
<file path=[Content_Types].xml><?xml version="1.0" encoding="utf-8"?>
<Types xmlns="http://schemas.openxmlformats.org/package/2006/content-types">
  <Override PartName="/word/footnotes.xml" ContentType="application/vnd.openxmlformats-officedocument.wordprocessingml.footnotes+xml"/>
  <Override PartName="/customXml/itemProps3.xml" ContentType="application/vnd.openxmlformats-officedocument.customXmlProperties+xml"/>
  <Override PartName="/customXml/itemProps1.xml" ContentType="application/vnd.openxmlformats-officedocument.customXmlProperties+xml"/>
  <Override PartName="/word/footer9.xml" ContentType="application/vnd.openxmlformats-officedocument.wordprocessingml.footer+xml"/>
  <Default Extension="wmf" ContentType="image/x-wmf"/>
  <Default Extension="rels" ContentType="application/vnd.openxmlformats-package.relationships+xml"/>
  <Override PartName="/word/footer7.xml" ContentType="application/vnd.openxmlformats-officedocument.wordprocessingml.footer+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footer5.xml" ContentType="application/vnd.openxmlformats-officedocument.wordprocessingml.footer+xml"/>
  <Override PartName="/word/header8.xml" ContentType="application/vnd.openxmlformats-officedocument.wordprocessingml.header+xml"/>
  <Override PartName="/word/header12.xml" ContentType="application/vnd.openxmlformats-officedocument.wordprocessingml.header+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footer1.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1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oter10.xml" ContentType="application/vnd.openxmlformats-officedocument.wordprocessingml.foot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Override PartName="/customXml/itemProps4.xml" ContentType="application/vnd.openxmlformats-officedocument.customXmlProperties+xml"/>
  <Default Extension="png" ContentType="image/png"/>
  <Default Extension="bin" ContentType="application/vnd.openxmlformats-officedocument.oleObject"/>
  <Override PartName="/customXml/itemProps2.xml" ContentType="application/vnd.openxmlformats-officedocument.customXmlProperties+xml"/>
  <Override PartName="/word/footer8.xml" ContentType="application/vnd.openxmlformats-officedocument.wordprocessingml.footer+xml"/>
  <Default Extension="emf" ContentType="image/x-emf"/>
  <Override PartName="/word/footer6.xml" ContentType="application/vnd.openxmlformats-officedocument.wordprocessingml.footer+xml"/>
  <Override PartName="/word/numbering.xml" ContentType="application/vnd.openxmlformats-officedocument.wordprocessingml.numbering+xml"/>
  <Override PartName="/word/endnotes.xml" ContentType="application/vnd.openxmlformats-officedocument.wordprocessingml.endnotes+xml"/>
  <Override PartName="/word/footer4.xml" ContentType="application/vnd.openxmlformats-officedocument.wordprocessingml.footer+xml"/>
  <Override PartName="/word/header9.xml" ContentType="application/vnd.openxmlformats-officedocument.wordprocessingml.header+xml"/>
  <Override PartName="/word/header13.xml" ContentType="application/vnd.openxmlformats-officedocument.wordprocessingml.header+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E43137" w:rsidRPr="00E43137" w:rsidRDefault="00E43137" w:rsidP="008676F9">
      <w:pPr>
        <w:jc w:val="center"/>
        <w:rPr>
          <w:sz w:val="28"/>
          <w:szCs w:val="28"/>
        </w:rPr>
      </w:pPr>
    </w:p>
    <w:p w:rsidR="00E43137" w:rsidRPr="00E43137" w:rsidRDefault="005F1407" w:rsidP="008676F9">
      <w:pPr>
        <w:jc w:val="center"/>
        <w:rPr>
          <w:sz w:val="28"/>
          <w:szCs w:val="28"/>
        </w:rPr>
      </w:pPr>
      <w:r>
        <w:rPr>
          <w:noProof/>
          <w:sz w:val="28"/>
          <w:szCs w:val="28"/>
        </w:rPr>
        <w:drawing>
          <wp:inline distT="0" distB="0" distL="0" distR="0">
            <wp:extent cx="514350" cy="342900"/>
            <wp:effectExtent l="0" t="0" r="0" b="0"/>
            <wp:docPr id="28" name="Obrázo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14350" cy="342900"/>
                    </a:xfrm>
                    <a:prstGeom prst="rect">
                      <a:avLst/>
                    </a:prstGeom>
                    <a:noFill/>
                    <a:ln>
                      <a:noFill/>
                    </a:ln>
                  </pic:spPr>
                </pic:pic>
              </a:graphicData>
            </a:graphic>
          </wp:inline>
        </w:drawing>
      </w:r>
      <w:r w:rsidR="00E43137" w:rsidRPr="00E43137">
        <w:rPr>
          <w:sz w:val="28"/>
          <w:szCs w:val="28"/>
        </w:rPr>
        <w:t xml:space="preserve">                                                                                         </w:t>
      </w:r>
      <w:r w:rsidR="00E43137" w:rsidRPr="00E43137">
        <w:rPr>
          <w:sz w:val="28"/>
          <w:szCs w:val="28"/>
        </w:rPr>
        <w:object w:dxaOrig="735" w:dyaOrig="510">
          <v:shape id="_x0000_i1025" type="#_x0000_t75" style="width:40pt;height:27.55pt" o:ole="">
            <v:imagedata r:id="rId10" o:title=""/>
          </v:shape>
          <o:OLEObject Type="Embed" ProgID="MSPhotoEd.3" ShapeID="_x0000_i1025" DrawAspect="Content" ObjectID="_1461410616" r:id="rId11"/>
        </w:object>
      </w:r>
    </w:p>
    <w:p w:rsidR="00E43137" w:rsidRPr="00E43137" w:rsidRDefault="00E43137" w:rsidP="008676F9">
      <w:pPr>
        <w:jc w:val="center"/>
        <w:rPr>
          <w:sz w:val="28"/>
          <w:szCs w:val="28"/>
        </w:rPr>
      </w:pPr>
    </w:p>
    <w:p w:rsidR="00E43137" w:rsidRPr="00E43137" w:rsidRDefault="00E43137" w:rsidP="008676F9">
      <w:pPr>
        <w:jc w:val="center"/>
        <w:rPr>
          <w:rFonts w:ascii="Calibri" w:hAnsi="Calibri"/>
          <w:sz w:val="28"/>
          <w:szCs w:val="28"/>
        </w:rPr>
      </w:pPr>
    </w:p>
    <w:p w:rsidR="00E43137" w:rsidRPr="00E43137" w:rsidRDefault="00E43137" w:rsidP="008676F9">
      <w:pPr>
        <w:jc w:val="center"/>
        <w:rPr>
          <w:rFonts w:ascii="Calibri" w:hAnsi="Calibri"/>
          <w:sz w:val="28"/>
          <w:szCs w:val="28"/>
        </w:rPr>
      </w:pPr>
    </w:p>
    <w:p w:rsidR="00E43137" w:rsidRPr="00E43137" w:rsidRDefault="00E43137" w:rsidP="008676F9">
      <w:pPr>
        <w:jc w:val="center"/>
        <w:rPr>
          <w:rFonts w:ascii="Calibri" w:hAnsi="Calibri"/>
          <w:sz w:val="36"/>
          <w:szCs w:val="36"/>
        </w:rPr>
      </w:pPr>
    </w:p>
    <w:p w:rsidR="00E43137" w:rsidRPr="00E43137" w:rsidRDefault="00E43137" w:rsidP="008676F9">
      <w:pPr>
        <w:jc w:val="center"/>
        <w:rPr>
          <w:rFonts w:ascii="Calibri" w:hAnsi="Calibri"/>
          <w:sz w:val="36"/>
          <w:szCs w:val="36"/>
        </w:rPr>
      </w:pPr>
    </w:p>
    <w:p w:rsidR="00E43137" w:rsidRPr="00E43137" w:rsidRDefault="00E43137" w:rsidP="008676F9">
      <w:pPr>
        <w:spacing w:after="120"/>
        <w:jc w:val="center"/>
        <w:outlineLvl w:val="0"/>
        <w:rPr>
          <w:rFonts w:ascii="Calibri" w:hAnsi="Calibri"/>
          <w:b/>
          <w:sz w:val="60"/>
          <w:szCs w:val="60"/>
        </w:rPr>
      </w:pPr>
      <w:r w:rsidRPr="00E43137">
        <w:rPr>
          <w:rFonts w:ascii="Calibri" w:hAnsi="Calibri"/>
          <w:b/>
          <w:sz w:val="60"/>
          <w:szCs w:val="60"/>
        </w:rPr>
        <w:t>Program rozvoja vidieka SR</w:t>
      </w:r>
    </w:p>
    <w:p w:rsidR="00E43137" w:rsidRPr="00E43137" w:rsidRDefault="00E43137" w:rsidP="008676F9">
      <w:pPr>
        <w:jc w:val="center"/>
        <w:rPr>
          <w:rFonts w:ascii="Calibri" w:hAnsi="Calibri"/>
          <w:sz w:val="32"/>
          <w:szCs w:val="32"/>
        </w:rPr>
      </w:pPr>
      <w:r w:rsidRPr="00E43137">
        <w:rPr>
          <w:rFonts w:ascii="Calibri" w:hAnsi="Calibri"/>
          <w:sz w:val="32"/>
          <w:szCs w:val="32"/>
        </w:rPr>
        <w:t>na programovacie obdobie 2014 – 2020</w:t>
      </w:r>
    </w:p>
    <w:p w:rsidR="00E43137" w:rsidRPr="00E43137" w:rsidRDefault="00E43137" w:rsidP="008676F9">
      <w:pPr>
        <w:jc w:val="center"/>
        <w:rPr>
          <w:rFonts w:ascii="Calibri" w:hAnsi="Calibri"/>
          <w:sz w:val="36"/>
          <w:szCs w:val="36"/>
        </w:rPr>
      </w:pPr>
    </w:p>
    <w:p w:rsidR="00E43137" w:rsidRPr="00E43137" w:rsidRDefault="00E43137" w:rsidP="008676F9">
      <w:pPr>
        <w:jc w:val="center"/>
        <w:rPr>
          <w:rFonts w:ascii="Calibri" w:hAnsi="Calibri"/>
          <w:sz w:val="36"/>
          <w:szCs w:val="36"/>
        </w:rPr>
      </w:pPr>
    </w:p>
    <w:p w:rsidR="00E43137" w:rsidRPr="00E43137" w:rsidRDefault="00E43137" w:rsidP="008676F9">
      <w:pPr>
        <w:jc w:val="center"/>
        <w:rPr>
          <w:rFonts w:ascii="Calibri" w:hAnsi="Calibri"/>
          <w:sz w:val="36"/>
          <w:szCs w:val="36"/>
        </w:rPr>
      </w:pPr>
    </w:p>
    <w:p w:rsidR="00E43137" w:rsidRPr="00E43137" w:rsidRDefault="00E43137" w:rsidP="008676F9">
      <w:pPr>
        <w:jc w:val="center"/>
        <w:rPr>
          <w:rFonts w:ascii="Calibri" w:hAnsi="Calibri"/>
          <w:sz w:val="36"/>
          <w:szCs w:val="36"/>
        </w:rPr>
      </w:pPr>
    </w:p>
    <w:p w:rsidR="00E43137" w:rsidRPr="00E43137" w:rsidRDefault="00E43137" w:rsidP="008676F9">
      <w:pPr>
        <w:jc w:val="center"/>
        <w:rPr>
          <w:rFonts w:ascii="Calibri" w:hAnsi="Calibri"/>
          <w:b/>
          <w:sz w:val="36"/>
          <w:szCs w:val="36"/>
        </w:rPr>
      </w:pPr>
      <w:r w:rsidRPr="00E43137">
        <w:rPr>
          <w:rFonts w:ascii="Calibri" w:hAnsi="Calibri"/>
          <w:b/>
          <w:sz w:val="36"/>
          <w:szCs w:val="36"/>
        </w:rPr>
        <w:t>SLOVENSKO</w:t>
      </w:r>
    </w:p>
    <w:p w:rsidR="00E43137" w:rsidRPr="00E43137" w:rsidRDefault="00E43137" w:rsidP="008676F9">
      <w:pPr>
        <w:jc w:val="center"/>
        <w:rPr>
          <w:sz w:val="36"/>
          <w:szCs w:val="36"/>
        </w:rPr>
      </w:pPr>
    </w:p>
    <w:p w:rsidR="00E43137" w:rsidRPr="00E43137" w:rsidRDefault="00E43137" w:rsidP="008676F9">
      <w:pPr>
        <w:jc w:val="center"/>
      </w:pPr>
    </w:p>
    <w:p w:rsidR="00E43137" w:rsidRPr="00E43137" w:rsidRDefault="00E43137" w:rsidP="008676F9">
      <w:pPr>
        <w:jc w:val="center"/>
      </w:pPr>
    </w:p>
    <w:p w:rsidR="00E43137" w:rsidRPr="00E43137" w:rsidRDefault="00E43137" w:rsidP="008676F9">
      <w:pPr>
        <w:jc w:val="center"/>
      </w:pPr>
    </w:p>
    <w:p w:rsidR="00E43137" w:rsidRPr="00E43137" w:rsidRDefault="00E43137" w:rsidP="008676F9">
      <w:pPr>
        <w:jc w:val="center"/>
      </w:pPr>
    </w:p>
    <w:p w:rsidR="00E43137" w:rsidRPr="00E43137" w:rsidRDefault="00954688" w:rsidP="008676F9">
      <w:pPr>
        <w:jc w:val="center"/>
      </w:pPr>
      <w:r>
        <w:pict>
          <v:shape id="_x0000_s1026" type="#_x0000_t75" style="position:absolute;left:0;text-align:left;margin-left:126pt;margin-top:-71.35pt;width:217.8pt;height:208.8pt;z-index:251659264;mso-wrap-edited:f" wrapcoords="-149 -78 -149 21600 21674 21600 21674 -78 -149 -78" stroked="t" strokeweight=".5pt">
            <v:imagedata r:id="rId12" o:title=""/>
            <w10:wrap type="tight"/>
          </v:shape>
          <o:OLEObject Type="Embed" ProgID="PBrush" ShapeID="_x0000_s1026" DrawAspect="Content" ObjectID="_1461410617" r:id="rId13"/>
        </w:pict>
      </w:r>
    </w:p>
    <w:p w:rsidR="00E43137" w:rsidRPr="00E43137" w:rsidRDefault="00E43137" w:rsidP="008676F9">
      <w:pPr>
        <w:jc w:val="center"/>
      </w:pPr>
    </w:p>
    <w:p w:rsidR="00E43137" w:rsidRPr="00E43137" w:rsidRDefault="00E43137" w:rsidP="008676F9">
      <w:pPr>
        <w:jc w:val="center"/>
      </w:pPr>
    </w:p>
    <w:p w:rsidR="00E43137" w:rsidRPr="00E43137" w:rsidRDefault="00E43137" w:rsidP="008676F9">
      <w:pPr>
        <w:jc w:val="center"/>
      </w:pPr>
    </w:p>
    <w:p w:rsidR="00E43137" w:rsidRPr="00E43137" w:rsidRDefault="00E43137" w:rsidP="008676F9">
      <w:pPr>
        <w:jc w:val="center"/>
      </w:pPr>
    </w:p>
    <w:p w:rsidR="00E43137" w:rsidRPr="00E43137" w:rsidRDefault="00E43137" w:rsidP="008676F9">
      <w:pPr>
        <w:jc w:val="center"/>
      </w:pPr>
    </w:p>
    <w:p w:rsidR="00E43137" w:rsidRPr="00E43137" w:rsidRDefault="00E43137" w:rsidP="008676F9">
      <w:pPr>
        <w:jc w:val="center"/>
      </w:pPr>
    </w:p>
    <w:p w:rsidR="00E43137" w:rsidRPr="00E43137" w:rsidRDefault="00E43137" w:rsidP="008676F9">
      <w:pPr>
        <w:jc w:val="center"/>
      </w:pPr>
    </w:p>
    <w:p w:rsidR="00E43137" w:rsidRPr="00E43137" w:rsidRDefault="00E43137" w:rsidP="008676F9">
      <w:pPr>
        <w:jc w:val="center"/>
      </w:pPr>
    </w:p>
    <w:p w:rsidR="00E43137" w:rsidRPr="00E43137" w:rsidRDefault="00E43137" w:rsidP="008676F9">
      <w:pPr>
        <w:jc w:val="center"/>
      </w:pPr>
    </w:p>
    <w:p w:rsidR="00E43137" w:rsidRPr="00E43137" w:rsidRDefault="00E43137" w:rsidP="008676F9">
      <w:pPr>
        <w:jc w:val="center"/>
      </w:pPr>
    </w:p>
    <w:p w:rsidR="00E43137" w:rsidRPr="00E43137" w:rsidRDefault="00E43137" w:rsidP="008676F9">
      <w:pPr>
        <w:jc w:val="center"/>
      </w:pPr>
    </w:p>
    <w:p w:rsidR="00E43137" w:rsidRPr="00E43137" w:rsidRDefault="00E43137" w:rsidP="008676F9">
      <w:pPr>
        <w:jc w:val="center"/>
      </w:pPr>
    </w:p>
    <w:p w:rsidR="00E43137" w:rsidRPr="00E43137" w:rsidRDefault="00E43137" w:rsidP="008676F9">
      <w:pPr>
        <w:jc w:val="center"/>
      </w:pPr>
    </w:p>
    <w:p w:rsidR="00E43137" w:rsidRPr="00E43137" w:rsidRDefault="00E43137" w:rsidP="008676F9">
      <w:pPr>
        <w:jc w:val="center"/>
      </w:pPr>
    </w:p>
    <w:p w:rsidR="00E43137" w:rsidRPr="00E43137" w:rsidRDefault="00E43137" w:rsidP="008676F9">
      <w:pPr>
        <w:jc w:val="center"/>
      </w:pPr>
    </w:p>
    <w:p w:rsidR="00E43137" w:rsidRPr="00E43137" w:rsidRDefault="00E43137" w:rsidP="008676F9">
      <w:pPr>
        <w:jc w:val="center"/>
      </w:pPr>
    </w:p>
    <w:p w:rsidR="00E43137" w:rsidRPr="00E43137" w:rsidRDefault="00E43137" w:rsidP="008676F9">
      <w:pPr>
        <w:jc w:val="center"/>
      </w:pPr>
    </w:p>
    <w:p w:rsidR="00E43137" w:rsidRPr="00E43137" w:rsidRDefault="00E43137" w:rsidP="008676F9">
      <w:pPr>
        <w:jc w:val="center"/>
      </w:pPr>
    </w:p>
    <w:p w:rsidR="00E43137" w:rsidRPr="00E43137" w:rsidRDefault="00E43137" w:rsidP="008676F9"/>
    <w:p w:rsidR="00E43137" w:rsidRPr="00E43137" w:rsidRDefault="00473094" w:rsidP="008676F9">
      <w:pPr>
        <w:jc w:val="center"/>
        <w:rPr>
          <w:rFonts w:ascii="Calibri" w:hAnsi="Calibri"/>
        </w:rPr>
      </w:pPr>
      <w:r>
        <w:rPr>
          <w:rFonts w:ascii="Calibri" w:hAnsi="Calibri"/>
        </w:rPr>
        <w:t>máj</w:t>
      </w:r>
      <w:r w:rsidR="00E43137" w:rsidRPr="00E43137">
        <w:rPr>
          <w:rFonts w:ascii="Calibri" w:hAnsi="Calibri"/>
        </w:rPr>
        <w:t xml:space="preserve"> 2014</w:t>
      </w:r>
    </w:p>
    <w:p w:rsidR="00F57BCD" w:rsidRDefault="00E43137" w:rsidP="008676F9">
      <w:pPr>
        <w:rPr>
          <w:rFonts w:ascii="Calibri" w:hAnsi="Calibri"/>
          <w:b/>
          <w:szCs w:val="22"/>
        </w:rPr>
      </w:pPr>
      <w:r>
        <w:rPr>
          <w:rFonts w:ascii="Calibri" w:hAnsi="Calibri"/>
          <w:b/>
          <w:szCs w:val="22"/>
        </w:rPr>
        <w:br w:type="page"/>
      </w:r>
    </w:p>
    <w:p w:rsidR="00AA30CA" w:rsidRPr="00AA30CA" w:rsidRDefault="00AA30CA" w:rsidP="00197171">
      <w:pPr>
        <w:pStyle w:val="Obsah1"/>
      </w:pPr>
      <w:r w:rsidRPr="00AA30CA">
        <w:lastRenderedPageBreak/>
        <w:t>OBSAH</w:t>
      </w:r>
    </w:p>
    <w:p w:rsidR="00197171" w:rsidRDefault="00A621B3" w:rsidP="00197171">
      <w:pPr>
        <w:pStyle w:val="Obsah1"/>
        <w:rPr>
          <w:rFonts w:asciiTheme="minorHAnsi" w:eastAsiaTheme="minorEastAsia" w:hAnsiTheme="minorHAnsi" w:cstheme="minorBidi"/>
          <w:sz w:val="22"/>
          <w:lang w:eastAsia="sk-SK"/>
        </w:rPr>
      </w:pPr>
      <w:r>
        <w:rPr>
          <w:sz w:val="22"/>
        </w:rPr>
        <w:fldChar w:fldCharType="begin"/>
      </w:r>
      <w:r w:rsidR="00AA30CA">
        <w:rPr>
          <w:sz w:val="22"/>
        </w:rPr>
        <w:instrText xml:space="preserve"> TOC \h \z \t "Hlavný;1;Pod;2;Pod pod;3;Pod pod pod;4;Opatrenie;3" </w:instrText>
      </w:r>
      <w:r>
        <w:rPr>
          <w:sz w:val="22"/>
        </w:rPr>
        <w:fldChar w:fldCharType="separate"/>
      </w:r>
      <w:hyperlink w:anchor="_Toc387041282" w:history="1">
        <w:r w:rsidR="00197171" w:rsidRPr="00103410">
          <w:rPr>
            <w:rStyle w:val="Hypertextovprepojenie"/>
            <w:caps/>
          </w:rPr>
          <w:t>1.</w:t>
        </w:r>
        <w:r w:rsidR="00197171" w:rsidRPr="00103410">
          <w:rPr>
            <w:rStyle w:val="Hypertextovprepojenie"/>
          </w:rPr>
          <w:t xml:space="preserve"> NÁZOV PROGRAMU</w:t>
        </w:r>
        <w:r w:rsidR="00197171">
          <w:rPr>
            <w:webHidden/>
          </w:rPr>
          <w:tab/>
        </w:r>
        <w:r w:rsidR="00197171">
          <w:rPr>
            <w:webHidden/>
          </w:rPr>
          <w:fldChar w:fldCharType="begin"/>
        </w:r>
        <w:r w:rsidR="00197171">
          <w:rPr>
            <w:webHidden/>
          </w:rPr>
          <w:instrText xml:space="preserve"> PAGEREF _Toc387041282 \h </w:instrText>
        </w:r>
        <w:r w:rsidR="00197171">
          <w:rPr>
            <w:webHidden/>
          </w:rPr>
        </w:r>
        <w:r w:rsidR="00197171">
          <w:rPr>
            <w:webHidden/>
          </w:rPr>
          <w:fldChar w:fldCharType="separate"/>
        </w:r>
        <w:r w:rsidR="00197171">
          <w:rPr>
            <w:webHidden/>
          </w:rPr>
          <w:t>5</w:t>
        </w:r>
        <w:r w:rsidR="00197171">
          <w:rPr>
            <w:webHidden/>
          </w:rPr>
          <w:fldChar w:fldCharType="end"/>
        </w:r>
      </w:hyperlink>
    </w:p>
    <w:p w:rsidR="00197171" w:rsidRDefault="00954688" w:rsidP="00197171">
      <w:pPr>
        <w:pStyle w:val="Obsah1"/>
        <w:rPr>
          <w:rFonts w:asciiTheme="minorHAnsi" w:eastAsiaTheme="minorEastAsia" w:hAnsiTheme="minorHAnsi" w:cstheme="minorBidi"/>
          <w:sz w:val="22"/>
          <w:lang w:eastAsia="sk-SK"/>
        </w:rPr>
      </w:pPr>
      <w:hyperlink w:anchor="_Toc387041283" w:history="1">
        <w:r w:rsidR="00197171" w:rsidRPr="00103410">
          <w:rPr>
            <w:rStyle w:val="Hypertextovprepojenie"/>
          </w:rPr>
          <w:t>2. ČLENSKÝ ŠTÁT A ADMINISTRATÍVNA OBLASŤ</w:t>
        </w:r>
        <w:r w:rsidR="00197171">
          <w:rPr>
            <w:webHidden/>
          </w:rPr>
          <w:tab/>
        </w:r>
        <w:r w:rsidR="00197171">
          <w:rPr>
            <w:webHidden/>
          </w:rPr>
          <w:fldChar w:fldCharType="begin"/>
        </w:r>
        <w:r w:rsidR="00197171">
          <w:rPr>
            <w:webHidden/>
          </w:rPr>
          <w:instrText xml:space="preserve"> PAGEREF _Toc387041283 \h </w:instrText>
        </w:r>
        <w:r w:rsidR="00197171">
          <w:rPr>
            <w:webHidden/>
          </w:rPr>
        </w:r>
        <w:r w:rsidR="00197171">
          <w:rPr>
            <w:webHidden/>
          </w:rPr>
          <w:fldChar w:fldCharType="separate"/>
        </w:r>
        <w:r w:rsidR="00197171">
          <w:rPr>
            <w:webHidden/>
          </w:rPr>
          <w:t>5</w:t>
        </w:r>
        <w:r w:rsidR="00197171">
          <w:rPr>
            <w:webHidden/>
          </w:rPr>
          <w:fldChar w:fldCharType="end"/>
        </w:r>
      </w:hyperlink>
    </w:p>
    <w:p w:rsidR="00197171" w:rsidRDefault="00954688" w:rsidP="00197171">
      <w:pPr>
        <w:pStyle w:val="Obsah1"/>
        <w:rPr>
          <w:rFonts w:asciiTheme="minorHAnsi" w:eastAsiaTheme="minorEastAsia" w:hAnsiTheme="minorHAnsi" w:cstheme="minorBidi"/>
          <w:sz w:val="22"/>
          <w:lang w:eastAsia="sk-SK"/>
        </w:rPr>
      </w:pPr>
      <w:hyperlink w:anchor="_Toc387041285" w:history="1">
        <w:r w:rsidR="00197171" w:rsidRPr="00103410">
          <w:rPr>
            <w:rStyle w:val="Hypertextovprepojenie"/>
          </w:rPr>
          <w:t>3. HODNOTENIE EX-ANTE</w:t>
        </w:r>
        <w:r w:rsidR="00197171">
          <w:rPr>
            <w:webHidden/>
          </w:rPr>
          <w:tab/>
        </w:r>
        <w:r w:rsidR="00197171">
          <w:rPr>
            <w:webHidden/>
          </w:rPr>
          <w:fldChar w:fldCharType="begin"/>
        </w:r>
        <w:r w:rsidR="00197171">
          <w:rPr>
            <w:webHidden/>
          </w:rPr>
          <w:instrText xml:space="preserve"> PAGEREF _Toc387041285 \h </w:instrText>
        </w:r>
        <w:r w:rsidR="00197171">
          <w:rPr>
            <w:webHidden/>
          </w:rPr>
        </w:r>
        <w:r w:rsidR="00197171">
          <w:rPr>
            <w:webHidden/>
          </w:rPr>
          <w:fldChar w:fldCharType="separate"/>
        </w:r>
        <w:r w:rsidR="00197171">
          <w:rPr>
            <w:webHidden/>
          </w:rPr>
          <w:t>6</w:t>
        </w:r>
        <w:r w:rsidR="00197171">
          <w:rPr>
            <w:webHidden/>
          </w:rPr>
          <w:fldChar w:fldCharType="end"/>
        </w:r>
      </w:hyperlink>
    </w:p>
    <w:p w:rsidR="00197171" w:rsidRDefault="00954688" w:rsidP="00197171">
      <w:pPr>
        <w:pStyle w:val="Obsah1"/>
        <w:rPr>
          <w:rFonts w:asciiTheme="minorHAnsi" w:eastAsiaTheme="minorEastAsia" w:hAnsiTheme="minorHAnsi" w:cstheme="minorBidi"/>
          <w:sz w:val="22"/>
          <w:lang w:eastAsia="sk-SK"/>
        </w:rPr>
      </w:pPr>
      <w:hyperlink w:anchor="_Toc387041290" w:history="1">
        <w:r w:rsidR="00197171" w:rsidRPr="00103410">
          <w:rPr>
            <w:rStyle w:val="Hypertextovprepojenie"/>
          </w:rPr>
          <w:t>4. ANALÝZ</w:t>
        </w:r>
        <w:r w:rsidR="00197171" w:rsidRPr="00103410">
          <w:rPr>
            <w:rStyle w:val="Hypertextovprepojenie"/>
          </w:rPr>
          <w:t>A</w:t>
        </w:r>
        <w:r w:rsidR="00197171" w:rsidRPr="00103410">
          <w:rPr>
            <w:rStyle w:val="Hypertextovprepojenie"/>
          </w:rPr>
          <w:t xml:space="preserve"> SWOT A IDENTIFIKÁCIA POTRIEB</w:t>
        </w:r>
        <w:r w:rsidR="00197171">
          <w:rPr>
            <w:webHidden/>
          </w:rPr>
          <w:tab/>
        </w:r>
        <w:r w:rsidR="00197171">
          <w:rPr>
            <w:webHidden/>
          </w:rPr>
          <w:fldChar w:fldCharType="begin"/>
        </w:r>
        <w:r w:rsidR="00197171">
          <w:rPr>
            <w:webHidden/>
          </w:rPr>
          <w:instrText xml:space="preserve"> PAGEREF _Toc387041290 \h </w:instrText>
        </w:r>
        <w:r w:rsidR="00197171">
          <w:rPr>
            <w:webHidden/>
          </w:rPr>
        </w:r>
        <w:r w:rsidR="00197171">
          <w:rPr>
            <w:webHidden/>
          </w:rPr>
          <w:fldChar w:fldCharType="separate"/>
        </w:r>
        <w:r w:rsidR="00197171">
          <w:rPr>
            <w:webHidden/>
          </w:rPr>
          <w:t>10</w:t>
        </w:r>
        <w:r w:rsidR="00197171">
          <w:rPr>
            <w:webHidden/>
          </w:rPr>
          <w:fldChar w:fldCharType="end"/>
        </w:r>
      </w:hyperlink>
    </w:p>
    <w:p w:rsidR="00197171" w:rsidRDefault="00954688" w:rsidP="00197171">
      <w:pPr>
        <w:pStyle w:val="Obsah1"/>
        <w:rPr>
          <w:rFonts w:asciiTheme="minorHAnsi" w:eastAsiaTheme="minorEastAsia" w:hAnsiTheme="minorHAnsi" w:cstheme="minorBidi"/>
          <w:sz w:val="22"/>
          <w:lang w:eastAsia="sk-SK"/>
        </w:rPr>
      </w:pPr>
      <w:hyperlink w:anchor="_Toc387041294" w:history="1">
        <w:r w:rsidR="00197171" w:rsidRPr="00103410">
          <w:rPr>
            <w:rStyle w:val="Hypertextovprepojenie"/>
          </w:rPr>
          <w:t>5. OPIS STRATÉGIE</w:t>
        </w:r>
        <w:r w:rsidR="00197171">
          <w:rPr>
            <w:webHidden/>
          </w:rPr>
          <w:tab/>
        </w:r>
        <w:r w:rsidR="00197171">
          <w:rPr>
            <w:webHidden/>
          </w:rPr>
          <w:fldChar w:fldCharType="begin"/>
        </w:r>
        <w:r w:rsidR="00197171">
          <w:rPr>
            <w:webHidden/>
          </w:rPr>
          <w:instrText xml:space="preserve"> PAGEREF _Toc387041294 \h </w:instrText>
        </w:r>
        <w:r w:rsidR="00197171">
          <w:rPr>
            <w:webHidden/>
          </w:rPr>
        </w:r>
        <w:r w:rsidR="00197171">
          <w:rPr>
            <w:webHidden/>
          </w:rPr>
          <w:fldChar w:fldCharType="separate"/>
        </w:r>
        <w:r w:rsidR="00197171">
          <w:rPr>
            <w:webHidden/>
          </w:rPr>
          <w:t>105</w:t>
        </w:r>
        <w:r w:rsidR="00197171">
          <w:rPr>
            <w:webHidden/>
          </w:rPr>
          <w:fldChar w:fldCharType="end"/>
        </w:r>
      </w:hyperlink>
    </w:p>
    <w:p w:rsidR="00197171" w:rsidRDefault="00954688" w:rsidP="00197171">
      <w:pPr>
        <w:pStyle w:val="Obsah1"/>
        <w:rPr>
          <w:rFonts w:asciiTheme="minorHAnsi" w:eastAsiaTheme="minorEastAsia" w:hAnsiTheme="minorHAnsi" w:cstheme="minorBidi"/>
          <w:sz w:val="22"/>
          <w:lang w:eastAsia="sk-SK"/>
        </w:rPr>
      </w:pPr>
      <w:hyperlink w:anchor="_Toc387041311" w:history="1">
        <w:r w:rsidR="001B3100">
          <w:rPr>
            <w:rStyle w:val="Hypertextovprepojenie"/>
          </w:rPr>
          <w:t xml:space="preserve">6. </w:t>
        </w:r>
        <w:r w:rsidR="00197171" w:rsidRPr="00103410">
          <w:rPr>
            <w:rStyle w:val="Hypertextovprepojenie"/>
          </w:rPr>
          <w:t>VYHODNO</w:t>
        </w:r>
        <w:r w:rsidR="00197171" w:rsidRPr="00103410">
          <w:rPr>
            <w:rStyle w:val="Hypertextovprepojenie"/>
          </w:rPr>
          <w:t>T</w:t>
        </w:r>
        <w:r w:rsidR="00197171" w:rsidRPr="00103410">
          <w:rPr>
            <w:rStyle w:val="Hypertextovprepojenie"/>
          </w:rPr>
          <w:t>ENIE EX ANTE KONDI</w:t>
        </w:r>
        <w:r w:rsidR="00197171" w:rsidRPr="00103410">
          <w:rPr>
            <w:rStyle w:val="Hypertextovprepojenie"/>
          </w:rPr>
          <w:t>C</w:t>
        </w:r>
        <w:r w:rsidR="00197171" w:rsidRPr="00103410">
          <w:rPr>
            <w:rStyle w:val="Hypertextovprepojenie"/>
          </w:rPr>
          <w:t>IONALÍT</w:t>
        </w:r>
        <w:r w:rsidR="00197171">
          <w:rPr>
            <w:webHidden/>
          </w:rPr>
          <w:tab/>
        </w:r>
        <w:r w:rsidR="00197171">
          <w:rPr>
            <w:webHidden/>
          </w:rPr>
          <w:fldChar w:fldCharType="begin"/>
        </w:r>
        <w:r w:rsidR="00197171">
          <w:rPr>
            <w:webHidden/>
          </w:rPr>
          <w:instrText xml:space="preserve"> PAGEREF _Toc387041311 \h </w:instrText>
        </w:r>
        <w:r w:rsidR="00197171">
          <w:rPr>
            <w:webHidden/>
          </w:rPr>
        </w:r>
        <w:r w:rsidR="00197171">
          <w:rPr>
            <w:webHidden/>
          </w:rPr>
          <w:fldChar w:fldCharType="separate"/>
        </w:r>
        <w:r w:rsidR="00197171">
          <w:rPr>
            <w:webHidden/>
          </w:rPr>
          <w:t>140</w:t>
        </w:r>
        <w:r w:rsidR="00197171">
          <w:rPr>
            <w:webHidden/>
          </w:rPr>
          <w:fldChar w:fldCharType="end"/>
        </w:r>
      </w:hyperlink>
    </w:p>
    <w:p w:rsidR="00197171" w:rsidRPr="00197171" w:rsidRDefault="00954688" w:rsidP="00197171">
      <w:pPr>
        <w:pStyle w:val="Obsah1"/>
        <w:rPr>
          <w:color w:val="0000FF"/>
          <w:u w:val="single"/>
        </w:rPr>
      </w:pPr>
      <w:hyperlink w:anchor="_Toc387041314" w:history="1">
        <w:r w:rsidR="00197171" w:rsidRPr="00103410">
          <w:rPr>
            <w:rStyle w:val="Hypertextovprepojenie"/>
          </w:rPr>
          <w:t>7.</w:t>
        </w:r>
        <w:r w:rsidR="00197171">
          <w:rPr>
            <w:rFonts w:asciiTheme="minorHAnsi" w:eastAsiaTheme="minorEastAsia" w:hAnsiTheme="minorHAnsi" w:cstheme="minorBidi"/>
            <w:sz w:val="22"/>
            <w:lang w:eastAsia="sk-SK"/>
          </w:rPr>
          <w:tab/>
        </w:r>
        <w:r w:rsidR="00412F39">
          <w:rPr>
            <w:rFonts w:asciiTheme="minorHAnsi" w:eastAsiaTheme="minorEastAsia" w:hAnsiTheme="minorHAnsi" w:cstheme="minorBidi"/>
            <w:sz w:val="22"/>
            <w:lang w:eastAsia="sk-SK"/>
          </w:rPr>
          <w:t xml:space="preserve"> </w:t>
        </w:r>
        <w:r w:rsidR="00197171" w:rsidRPr="00103410">
          <w:rPr>
            <w:rStyle w:val="Hypertextovprepojenie"/>
          </w:rPr>
          <w:t>OPIS VÝKONNOSTNÉHO RÁMCA</w:t>
        </w:r>
        <w:r w:rsidR="001B3100">
          <w:rPr>
            <w:webHidden/>
          </w:rPr>
          <w:t>..............................................................................</w:t>
        </w:r>
        <w:r w:rsidR="00197171">
          <w:rPr>
            <w:webHidden/>
          </w:rPr>
          <w:fldChar w:fldCharType="begin"/>
        </w:r>
        <w:r w:rsidR="00197171">
          <w:rPr>
            <w:webHidden/>
          </w:rPr>
          <w:instrText xml:space="preserve"> PAGEREF _Toc387041314 \h </w:instrText>
        </w:r>
        <w:r w:rsidR="00197171">
          <w:rPr>
            <w:webHidden/>
          </w:rPr>
        </w:r>
        <w:r w:rsidR="00197171">
          <w:rPr>
            <w:webHidden/>
          </w:rPr>
          <w:fldChar w:fldCharType="separate"/>
        </w:r>
        <w:r w:rsidR="00197171">
          <w:rPr>
            <w:webHidden/>
          </w:rPr>
          <w:t>191</w:t>
        </w:r>
        <w:r w:rsidR="00197171">
          <w:rPr>
            <w:webHidden/>
          </w:rPr>
          <w:fldChar w:fldCharType="end"/>
        </w:r>
      </w:hyperlink>
    </w:p>
    <w:p w:rsidR="00197171" w:rsidRDefault="00954688" w:rsidP="00197171">
      <w:pPr>
        <w:pStyle w:val="Obsah1"/>
        <w:rPr>
          <w:rFonts w:asciiTheme="minorHAnsi" w:eastAsiaTheme="minorEastAsia" w:hAnsiTheme="minorHAnsi" w:cstheme="minorBidi"/>
          <w:sz w:val="22"/>
          <w:lang w:eastAsia="sk-SK"/>
        </w:rPr>
      </w:pPr>
      <w:hyperlink w:anchor="_Toc387041315" w:history="1">
        <w:r w:rsidR="00197171" w:rsidRPr="00103410">
          <w:rPr>
            <w:rStyle w:val="Hypertextovprepojenie"/>
          </w:rPr>
          <w:t>8.</w:t>
        </w:r>
        <w:r w:rsidR="001B3100">
          <w:rPr>
            <w:rFonts w:asciiTheme="minorHAnsi" w:eastAsiaTheme="minorEastAsia" w:hAnsiTheme="minorHAnsi" w:cstheme="minorBidi"/>
            <w:sz w:val="22"/>
            <w:lang w:eastAsia="sk-SK"/>
          </w:rPr>
          <w:t xml:space="preserve"> </w:t>
        </w:r>
        <w:r w:rsidR="00E74151">
          <w:rPr>
            <w:rStyle w:val="Hypertextovprepojenie"/>
          </w:rPr>
          <w:t>OPIS OPATRENÍ</w:t>
        </w:r>
        <w:r w:rsidR="001B3100">
          <w:rPr>
            <w:rStyle w:val="Hypertextovprepojenie"/>
          </w:rPr>
          <w:t>..........................................................................................................</w:t>
        </w:r>
        <w:r w:rsidR="00197171">
          <w:rPr>
            <w:webHidden/>
          </w:rPr>
          <w:fldChar w:fldCharType="begin"/>
        </w:r>
        <w:r w:rsidR="00197171">
          <w:rPr>
            <w:webHidden/>
          </w:rPr>
          <w:instrText xml:space="preserve"> PAGEREF _Toc387041315 \h </w:instrText>
        </w:r>
        <w:r w:rsidR="00197171">
          <w:rPr>
            <w:webHidden/>
          </w:rPr>
        </w:r>
        <w:r w:rsidR="00197171">
          <w:rPr>
            <w:webHidden/>
          </w:rPr>
          <w:fldChar w:fldCharType="separate"/>
        </w:r>
        <w:r w:rsidR="00197171">
          <w:rPr>
            <w:webHidden/>
          </w:rPr>
          <w:t>193</w:t>
        </w:r>
        <w:r w:rsidR="00197171">
          <w:rPr>
            <w:webHidden/>
          </w:rPr>
          <w:fldChar w:fldCharType="end"/>
        </w:r>
      </w:hyperlink>
    </w:p>
    <w:p w:rsidR="00197171" w:rsidRDefault="00954688">
      <w:pPr>
        <w:pStyle w:val="Obsah2"/>
        <w:rPr>
          <w:rFonts w:eastAsiaTheme="minorEastAsia" w:cstheme="minorBidi"/>
          <w:noProof/>
          <w:szCs w:val="22"/>
        </w:rPr>
      </w:pPr>
      <w:hyperlink w:anchor="_Toc387041316" w:history="1">
        <w:r w:rsidR="00197171" w:rsidRPr="00103410">
          <w:rPr>
            <w:rStyle w:val="Hypertextovprepojenie"/>
            <w:rFonts w:eastAsia="Calibri"/>
            <w:noProof/>
            <w:lang w:eastAsia="en-US"/>
          </w:rPr>
          <w:t>8.1. Opis všeobecných podmienok týkajúcich sa viac ako jedného opatrenia:</w:t>
        </w:r>
        <w:r w:rsidR="00197171">
          <w:rPr>
            <w:noProof/>
            <w:webHidden/>
          </w:rPr>
          <w:tab/>
        </w:r>
        <w:r w:rsidR="00197171">
          <w:rPr>
            <w:noProof/>
            <w:webHidden/>
          </w:rPr>
          <w:fldChar w:fldCharType="begin"/>
        </w:r>
        <w:r w:rsidR="00197171">
          <w:rPr>
            <w:noProof/>
            <w:webHidden/>
          </w:rPr>
          <w:instrText xml:space="preserve"> PAGEREF _Toc387041316 \h </w:instrText>
        </w:r>
        <w:r w:rsidR="00197171">
          <w:rPr>
            <w:noProof/>
            <w:webHidden/>
          </w:rPr>
        </w:r>
        <w:r w:rsidR="00197171">
          <w:rPr>
            <w:noProof/>
            <w:webHidden/>
          </w:rPr>
          <w:fldChar w:fldCharType="separate"/>
        </w:r>
        <w:r w:rsidR="00197171">
          <w:rPr>
            <w:noProof/>
            <w:webHidden/>
          </w:rPr>
          <w:t>193</w:t>
        </w:r>
        <w:r w:rsidR="00197171">
          <w:rPr>
            <w:noProof/>
            <w:webHidden/>
          </w:rPr>
          <w:fldChar w:fldCharType="end"/>
        </w:r>
      </w:hyperlink>
    </w:p>
    <w:p w:rsidR="00197171" w:rsidRDefault="00954688" w:rsidP="000A3653">
      <w:pPr>
        <w:pStyle w:val="Obsah3"/>
        <w:rPr>
          <w:rFonts w:eastAsiaTheme="minorEastAsia" w:cstheme="minorBidi"/>
          <w:szCs w:val="22"/>
        </w:rPr>
      </w:pPr>
      <w:hyperlink w:anchor="_Toc387041317" w:history="1">
        <w:r w:rsidR="00197171" w:rsidRPr="00103410">
          <w:rPr>
            <w:rStyle w:val="Hypertextovprepojenie"/>
          </w:rPr>
          <w:t>8.1.1.Definícia vidieckych oblastí na úrovni programu</w:t>
        </w:r>
        <w:r w:rsidR="00197171">
          <w:rPr>
            <w:webHidden/>
          </w:rPr>
          <w:tab/>
        </w:r>
        <w:r w:rsidR="00197171">
          <w:rPr>
            <w:webHidden/>
          </w:rPr>
          <w:fldChar w:fldCharType="begin"/>
        </w:r>
        <w:r w:rsidR="00197171">
          <w:rPr>
            <w:webHidden/>
          </w:rPr>
          <w:instrText xml:space="preserve"> PAGEREF _Toc387041317 \h </w:instrText>
        </w:r>
        <w:r w:rsidR="00197171">
          <w:rPr>
            <w:webHidden/>
          </w:rPr>
        </w:r>
        <w:r w:rsidR="00197171">
          <w:rPr>
            <w:webHidden/>
          </w:rPr>
          <w:fldChar w:fldCharType="separate"/>
        </w:r>
        <w:r w:rsidR="00197171">
          <w:rPr>
            <w:webHidden/>
          </w:rPr>
          <w:t>193</w:t>
        </w:r>
        <w:r w:rsidR="00197171">
          <w:rPr>
            <w:webHidden/>
          </w:rPr>
          <w:fldChar w:fldCharType="end"/>
        </w:r>
      </w:hyperlink>
    </w:p>
    <w:p w:rsidR="00197171" w:rsidRDefault="00954688" w:rsidP="000A3653">
      <w:pPr>
        <w:pStyle w:val="Obsah3"/>
        <w:rPr>
          <w:rFonts w:eastAsiaTheme="minorEastAsia" w:cstheme="minorBidi"/>
          <w:szCs w:val="22"/>
        </w:rPr>
      </w:pPr>
      <w:hyperlink w:anchor="_Toc387041318" w:history="1">
        <w:r w:rsidR="00197171" w:rsidRPr="00103410">
          <w:rPr>
            <w:rStyle w:val="Hypertextovprepojenie"/>
          </w:rPr>
          <w:t>8.1.2. Všeobecné podmienky oprávnenosti podpory pre opatrenie:</w:t>
        </w:r>
        <w:r w:rsidR="00197171">
          <w:rPr>
            <w:webHidden/>
          </w:rPr>
          <w:tab/>
        </w:r>
        <w:r w:rsidR="00197171">
          <w:rPr>
            <w:webHidden/>
          </w:rPr>
          <w:fldChar w:fldCharType="begin"/>
        </w:r>
        <w:r w:rsidR="00197171">
          <w:rPr>
            <w:webHidden/>
          </w:rPr>
          <w:instrText xml:space="preserve"> PAGEREF _Toc387041318 \h </w:instrText>
        </w:r>
        <w:r w:rsidR="00197171">
          <w:rPr>
            <w:webHidden/>
          </w:rPr>
        </w:r>
        <w:r w:rsidR="00197171">
          <w:rPr>
            <w:webHidden/>
          </w:rPr>
          <w:fldChar w:fldCharType="separate"/>
        </w:r>
        <w:r w:rsidR="00197171">
          <w:rPr>
            <w:webHidden/>
          </w:rPr>
          <w:t>194</w:t>
        </w:r>
        <w:r w:rsidR="00197171">
          <w:rPr>
            <w:webHidden/>
          </w:rPr>
          <w:fldChar w:fldCharType="end"/>
        </w:r>
      </w:hyperlink>
    </w:p>
    <w:p w:rsidR="00197171" w:rsidRDefault="00954688" w:rsidP="000A3653">
      <w:pPr>
        <w:pStyle w:val="Obsah3"/>
        <w:rPr>
          <w:rFonts w:eastAsiaTheme="minorEastAsia" w:cstheme="minorBidi"/>
          <w:szCs w:val="22"/>
        </w:rPr>
      </w:pPr>
      <w:hyperlink w:anchor="_Toc387041319" w:history="1">
        <w:r w:rsidR="00197171" w:rsidRPr="00103410">
          <w:rPr>
            <w:rStyle w:val="Hypertextovprepojenie"/>
          </w:rPr>
          <w:t>8.1.3. Poskytovanie záloh konečným prijímateľom</w:t>
        </w:r>
        <w:r w:rsidR="00197171">
          <w:rPr>
            <w:webHidden/>
          </w:rPr>
          <w:tab/>
        </w:r>
        <w:r w:rsidR="00197171">
          <w:rPr>
            <w:webHidden/>
          </w:rPr>
          <w:fldChar w:fldCharType="begin"/>
        </w:r>
        <w:r w:rsidR="00197171">
          <w:rPr>
            <w:webHidden/>
          </w:rPr>
          <w:instrText xml:space="preserve"> PAGEREF _Toc387041319 \h </w:instrText>
        </w:r>
        <w:r w:rsidR="00197171">
          <w:rPr>
            <w:webHidden/>
          </w:rPr>
        </w:r>
        <w:r w:rsidR="00197171">
          <w:rPr>
            <w:webHidden/>
          </w:rPr>
          <w:fldChar w:fldCharType="separate"/>
        </w:r>
        <w:r w:rsidR="00197171">
          <w:rPr>
            <w:webHidden/>
          </w:rPr>
          <w:t>195</w:t>
        </w:r>
        <w:r w:rsidR="00197171">
          <w:rPr>
            <w:webHidden/>
          </w:rPr>
          <w:fldChar w:fldCharType="end"/>
        </w:r>
      </w:hyperlink>
    </w:p>
    <w:p w:rsidR="00197171" w:rsidRDefault="00954688">
      <w:pPr>
        <w:pStyle w:val="Obsah2"/>
        <w:rPr>
          <w:rFonts w:eastAsiaTheme="minorEastAsia" w:cstheme="minorBidi"/>
          <w:noProof/>
          <w:szCs w:val="22"/>
        </w:rPr>
      </w:pPr>
      <w:hyperlink w:anchor="_Toc387041320" w:history="1">
        <w:r w:rsidR="00197171" w:rsidRPr="00103410">
          <w:rPr>
            <w:rStyle w:val="Hypertextovprepojenie"/>
            <w:rFonts w:eastAsia="Calibri"/>
            <w:noProof/>
            <w:lang w:eastAsia="en-US"/>
          </w:rPr>
          <w:t>8.2. Špecifický opis jednotlivých opatrení</w:t>
        </w:r>
        <w:r w:rsidR="00197171">
          <w:rPr>
            <w:noProof/>
            <w:webHidden/>
          </w:rPr>
          <w:tab/>
        </w:r>
        <w:r w:rsidR="00197171">
          <w:rPr>
            <w:noProof/>
            <w:webHidden/>
          </w:rPr>
          <w:fldChar w:fldCharType="begin"/>
        </w:r>
        <w:r w:rsidR="00197171">
          <w:rPr>
            <w:noProof/>
            <w:webHidden/>
          </w:rPr>
          <w:instrText xml:space="preserve"> PAGEREF _Toc387041320 \h </w:instrText>
        </w:r>
        <w:r w:rsidR="00197171">
          <w:rPr>
            <w:noProof/>
            <w:webHidden/>
          </w:rPr>
        </w:r>
        <w:r w:rsidR="00197171">
          <w:rPr>
            <w:noProof/>
            <w:webHidden/>
          </w:rPr>
          <w:fldChar w:fldCharType="separate"/>
        </w:r>
        <w:r w:rsidR="00197171">
          <w:rPr>
            <w:noProof/>
            <w:webHidden/>
          </w:rPr>
          <w:t>196</w:t>
        </w:r>
        <w:r w:rsidR="00197171">
          <w:rPr>
            <w:noProof/>
            <w:webHidden/>
          </w:rPr>
          <w:fldChar w:fldCharType="end"/>
        </w:r>
      </w:hyperlink>
    </w:p>
    <w:p w:rsidR="00197171" w:rsidRDefault="00954688" w:rsidP="000A3653">
      <w:pPr>
        <w:pStyle w:val="Obsah3"/>
        <w:rPr>
          <w:rFonts w:eastAsiaTheme="minorEastAsia" w:cstheme="minorBidi"/>
          <w:szCs w:val="22"/>
        </w:rPr>
      </w:pPr>
      <w:hyperlink w:anchor="_Toc387041321" w:history="1">
        <w:r w:rsidR="00197171" w:rsidRPr="00103410">
          <w:rPr>
            <w:rStyle w:val="Hypertextovprepojenie"/>
          </w:rPr>
          <w:t>8.2.1</w:t>
        </w:r>
        <w:r w:rsidR="00F37247">
          <w:rPr>
            <w:rStyle w:val="Hypertextovprepojenie"/>
          </w:rPr>
          <w:t>.</w:t>
        </w:r>
        <w:r w:rsidR="00197171" w:rsidRPr="00103410">
          <w:rPr>
            <w:rStyle w:val="Hypertextovprepojenie"/>
          </w:rPr>
          <w:t xml:space="preserve"> OPATRENIE </w:t>
        </w:r>
        <w:r w:rsidR="00197171">
          <w:rPr>
            <w:rStyle w:val="Hypertextovprepojenie"/>
          </w:rPr>
          <w:t>1  P</w:t>
        </w:r>
        <w:r w:rsidR="00197171" w:rsidRPr="00103410">
          <w:rPr>
            <w:rStyle w:val="Hypertextovprepojenie"/>
          </w:rPr>
          <w:t>renos znalostí a informačné aktivity</w:t>
        </w:r>
        <w:r w:rsidR="00197171">
          <w:rPr>
            <w:webHidden/>
          </w:rPr>
          <w:tab/>
        </w:r>
        <w:r w:rsidR="00197171">
          <w:rPr>
            <w:webHidden/>
          </w:rPr>
          <w:fldChar w:fldCharType="begin"/>
        </w:r>
        <w:r w:rsidR="00197171">
          <w:rPr>
            <w:webHidden/>
          </w:rPr>
          <w:instrText xml:space="preserve"> PAGEREF _Toc387041321 \h </w:instrText>
        </w:r>
        <w:r w:rsidR="00197171">
          <w:rPr>
            <w:webHidden/>
          </w:rPr>
        </w:r>
        <w:r w:rsidR="00197171">
          <w:rPr>
            <w:webHidden/>
          </w:rPr>
          <w:fldChar w:fldCharType="separate"/>
        </w:r>
        <w:r w:rsidR="00197171">
          <w:rPr>
            <w:webHidden/>
          </w:rPr>
          <w:t>196</w:t>
        </w:r>
        <w:r w:rsidR="00197171">
          <w:rPr>
            <w:webHidden/>
          </w:rPr>
          <w:fldChar w:fldCharType="end"/>
        </w:r>
      </w:hyperlink>
    </w:p>
    <w:p w:rsidR="00197171" w:rsidRDefault="00954688" w:rsidP="000A3653">
      <w:pPr>
        <w:pStyle w:val="Obsah3"/>
        <w:rPr>
          <w:rFonts w:eastAsiaTheme="minorEastAsia" w:cstheme="minorBidi"/>
          <w:szCs w:val="22"/>
        </w:rPr>
      </w:pPr>
      <w:hyperlink w:anchor="_Toc387041322" w:history="1">
        <w:r w:rsidR="00197171" w:rsidRPr="00103410">
          <w:rPr>
            <w:rStyle w:val="Hypertextovprepojenie"/>
          </w:rPr>
          <w:t xml:space="preserve">8.2.2. </w:t>
        </w:r>
        <w:r w:rsidR="00197171" w:rsidRPr="00197171">
          <w:rPr>
            <w:rStyle w:val="Hypertextovprepojenie"/>
          </w:rPr>
          <w:t>OPATRENIE</w:t>
        </w:r>
        <w:r w:rsidR="00197171">
          <w:rPr>
            <w:rStyle w:val="Hypertextovprepojenie"/>
          </w:rPr>
          <w:t xml:space="preserve"> 2  P</w:t>
        </w:r>
        <w:r w:rsidR="00197171" w:rsidRPr="00103410">
          <w:rPr>
            <w:rStyle w:val="Hypertextovprepojenie"/>
          </w:rPr>
          <w:t>oradenské služby</w:t>
        </w:r>
        <w:r w:rsidR="00197171">
          <w:rPr>
            <w:webHidden/>
          </w:rPr>
          <w:tab/>
        </w:r>
        <w:r w:rsidR="00197171">
          <w:rPr>
            <w:webHidden/>
          </w:rPr>
          <w:fldChar w:fldCharType="begin"/>
        </w:r>
        <w:r w:rsidR="00197171">
          <w:rPr>
            <w:webHidden/>
          </w:rPr>
          <w:instrText xml:space="preserve"> PAGEREF _Toc387041322 \h </w:instrText>
        </w:r>
        <w:r w:rsidR="00197171">
          <w:rPr>
            <w:webHidden/>
          </w:rPr>
        </w:r>
        <w:r w:rsidR="00197171">
          <w:rPr>
            <w:webHidden/>
          </w:rPr>
          <w:fldChar w:fldCharType="separate"/>
        </w:r>
        <w:r w:rsidR="00197171">
          <w:rPr>
            <w:webHidden/>
          </w:rPr>
          <w:t>206</w:t>
        </w:r>
        <w:r w:rsidR="00197171">
          <w:rPr>
            <w:webHidden/>
          </w:rPr>
          <w:fldChar w:fldCharType="end"/>
        </w:r>
      </w:hyperlink>
    </w:p>
    <w:p w:rsidR="00197171" w:rsidRDefault="00954688" w:rsidP="000A3653">
      <w:pPr>
        <w:pStyle w:val="Obsah3"/>
      </w:pPr>
      <w:hyperlink w:anchor="_Toc387041323" w:history="1">
        <w:r w:rsidR="00197171" w:rsidRPr="00103410">
          <w:rPr>
            <w:rStyle w:val="Hypertextovprepojenie"/>
          </w:rPr>
          <w:t>8.2.3</w:t>
        </w:r>
        <w:r w:rsidR="00F37247">
          <w:rPr>
            <w:rStyle w:val="Hypertextovprepojenie"/>
          </w:rPr>
          <w:t>.</w:t>
        </w:r>
        <w:r w:rsidR="00197171" w:rsidRPr="00103410">
          <w:rPr>
            <w:rStyle w:val="Hypertextovprepojenie"/>
          </w:rPr>
          <w:t xml:space="preserve"> OPATRENIE 4 </w:t>
        </w:r>
        <w:r w:rsidR="00197171">
          <w:rPr>
            <w:rFonts w:eastAsiaTheme="minorEastAsia" w:cstheme="minorBidi"/>
            <w:szCs w:val="22"/>
          </w:rPr>
          <w:t>I</w:t>
        </w:r>
        <w:r w:rsidR="00197171" w:rsidRPr="00103410">
          <w:rPr>
            <w:rStyle w:val="Hypertextovprepojenie"/>
          </w:rPr>
          <w:t>nvestície do hmotného majetku</w:t>
        </w:r>
        <w:r w:rsidR="00197171">
          <w:rPr>
            <w:webHidden/>
          </w:rPr>
          <w:tab/>
        </w:r>
        <w:r w:rsidR="00197171">
          <w:rPr>
            <w:webHidden/>
          </w:rPr>
          <w:fldChar w:fldCharType="begin"/>
        </w:r>
        <w:r w:rsidR="00197171">
          <w:rPr>
            <w:webHidden/>
          </w:rPr>
          <w:instrText xml:space="preserve"> PAGEREF _Toc387041323 \h </w:instrText>
        </w:r>
        <w:r w:rsidR="00197171">
          <w:rPr>
            <w:webHidden/>
          </w:rPr>
        </w:r>
        <w:r w:rsidR="00197171">
          <w:rPr>
            <w:webHidden/>
          </w:rPr>
          <w:fldChar w:fldCharType="separate"/>
        </w:r>
        <w:r w:rsidR="00197171">
          <w:rPr>
            <w:webHidden/>
          </w:rPr>
          <w:t>216</w:t>
        </w:r>
        <w:r w:rsidR="00197171">
          <w:rPr>
            <w:webHidden/>
          </w:rPr>
          <w:fldChar w:fldCharType="end"/>
        </w:r>
      </w:hyperlink>
    </w:p>
    <w:p w:rsidR="009D42CC" w:rsidRPr="000A3653" w:rsidRDefault="009D42CC" w:rsidP="000A3653">
      <w:pPr>
        <w:pStyle w:val="Obsah3"/>
        <w:spacing w:after="0"/>
        <w:rPr>
          <w:rStyle w:val="Hypertextovprepojenie"/>
          <w:color w:val="auto"/>
          <w:u w:val="none"/>
        </w:rPr>
      </w:pPr>
      <w:r w:rsidRPr="000A3653">
        <w:rPr>
          <w:rStyle w:val="Hypertextovprepojenie"/>
          <w:smallCaps/>
          <w:color w:val="auto"/>
          <w:u w:val="none"/>
        </w:rPr>
        <w:t xml:space="preserve">8.2.4. OPATRENIE 5 </w:t>
      </w:r>
      <w:r w:rsidR="000A3653" w:rsidRPr="000A3653">
        <w:rPr>
          <w:rStyle w:val="Hypertextovprepojenie"/>
          <w:smallCaps/>
          <w:color w:val="auto"/>
          <w:u w:val="none"/>
        </w:rPr>
        <w:t>O</w:t>
      </w:r>
      <w:r w:rsidR="000A3653" w:rsidRPr="000A3653">
        <w:rPr>
          <w:rFonts w:eastAsiaTheme="minorEastAsia"/>
        </w:rPr>
        <w:t>bnova potenciálu poľnohospodárskej výroby zničeného prírodnými pohro-</w:t>
      </w:r>
    </w:p>
    <w:p w:rsidR="009D42CC" w:rsidRDefault="009D42CC" w:rsidP="000A3653">
      <w:pPr>
        <w:spacing w:after="120"/>
        <w:jc w:val="right"/>
        <w:rPr>
          <w:rFonts w:eastAsiaTheme="minorEastAsia"/>
        </w:rPr>
      </w:pPr>
      <w:r>
        <w:rPr>
          <w:rFonts w:eastAsiaTheme="minorEastAsia"/>
        </w:rPr>
        <w:tab/>
      </w:r>
      <w:r>
        <w:rPr>
          <w:rFonts w:eastAsiaTheme="minorEastAsia"/>
        </w:rPr>
        <w:tab/>
        <w:t xml:space="preserve">        mami</w:t>
      </w:r>
      <w:r w:rsidR="000A3653">
        <w:rPr>
          <w:rFonts w:eastAsiaTheme="minorEastAsia"/>
        </w:rPr>
        <w:t xml:space="preserve"> a katastrofickými udalosťami a zavedenie preventívnych opatrení.........246</w:t>
      </w:r>
    </w:p>
    <w:p w:rsidR="00197171" w:rsidRDefault="00954688" w:rsidP="000A3653">
      <w:pPr>
        <w:pStyle w:val="Obsah3"/>
        <w:rPr>
          <w:rFonts w:eastAsiaTheme="minorEastAsia" w:cstheme="minorBidi"/>
          <w:szCs w:val="22"/>
        </w:rPr>
      </w:pPr>
      <w:hyperlink w:anchor="_Toc387041324" w:history="1">
        <w:r w:rsidR="00197171">
          <w:rPr>
            <w:rStyle w:val="Hypertextovprepojenie"/>
            <w:smallCaps/>
          </w:rPr>
          <w:t>8.2.5</w:t>
        </w:r>
        <w:r w:rsidR="00F37247">
          <w:rPr>
            <w:rStyle w:val="Hypertextovprepojenie"/>
            <w:smallCaps/>
          </w:rPr>
          <w:t>.</w:t>
        </w:r>
        <w:r w:rsidR="00197171">
          <w:rPr>
            <w:rStyle w:val="Hypertextovprepojenie"/>
            <w:smallCaps/>
          </w:rPr>
          <w:t xml:space="preserve"> OPATRENIE  </w:t>
        </w:r>
        <w:r w:rsidR="00197171" w:rsidRPr="00103410">
          <w:rPr>
            <w:rStyle w:val="Hypertextovprepojenie"/>
            <w:smallCaps/>
          </w:rPr>
          <w:t>6</w:t>
        </w:r>
        <w:r w:rsidR="00197171">
          <w:rPr>
            <w:rStyle w:val="Hypertextovprepojenie"/>
            <w:smallCaps/>
          </w:rPr>
          <w:t xml:space="preserve"> R</w:t>
        </w:r>
        <w:r w:rsidR="00197171" w:rsidRPr="00103410">
          <w:rPr>
            <w:rStyle w:val="Hypertextovprepojenie"/>
          </w:rPr>
          <w:t>ozvoj poľnohospodárskych podnikov a</w:t>
        </w:r>
      </w:hyperlink>
      <w:r w:rsidR="00197171" w:rsidRPr="00197171">
        <w:rPr>
          <w:rStyle w:val="Hypertextovprepojenie"/>
          <w:u w:val="none"/>
        </w:rPr>
        <w:t xml:space="preserve"> </w:t>
      </w:r>
      <w:hyperlink w:anchor="_Toc387041325" w:history="1">
        <w:r w:rsidR="00197171" w:rsidRPr="00103410">
          <w:rPr>
            <w:rStyle w:val="Hypertextovprepojenie"/>
          </w:rPr>
          <w:t>podnikateľskej činnosti</w:t>
        </w:r>
        <w:r w:rsidR="00197171">
          <w:rPr>
            <w:webHidden/>
          </w:rPr>
          <w:tab/>
        </w:r>
        <w:r w:rsidR="00197171">
          <w:rPr>
            <w:webHidden/>
          </w:rPr>
          <w:fldChar w:fldCharType="begin"/>
        </w:r>
        <w:r w:rsidR="00197171">
          <w:rPr>
            <w:webHidden/>
          </w:rPr>
          <w:instrText xml:space="preserve"> PAGEREF _Toc387041325 \h </w:instrText>
        </w:r>
        <w:r w:rsidR="00197171">
          <w:rPr>
            <w:webHidden/>
          </w:rPr>
        </w:r>
        <w:r w:rsidR="00197171">
          <w:rPr>
            <w:webHidden/>
          </w:rPr>
          <w:fldChar w:fldCharType="separate"/>
        </w:r>
        <w:r w:rsidR="00197171">
          <w:rPr>
            <w:webHidden/>
          </w:rPr>
          <w:t>253</w:t>
        </w:r>
        <w:r w:rsidR="00197171">
          <w:rPr>
            <w:webHidden/>
          </w:rPr>
          <w:fldChar w:fldCharType="end"/>
        </w:r>
      </w:hyperlink>
    </w:p>
    <w:p w:rsidR="00197171" w:rsidRDefault="00954688" w:rsidP="000A3653">
      <w:pPr>
        <w:pStyle w:val="Obsah3"/>
        <w:rPr>
          <w:rFonts w:eastAsiaTheme="minorEastAsia" w:cstheme="minorBidi"/>
          <w:szCs w:val="22"/>
        </w:rPr>
      </w:pPr>
      <w:hyperlink w:anchor="_Toc387041326" w:history="1">
        <w:r w:rsidR="00197171" w:rsidRPr="00103410">
          <w:rPr>
            <w:rStyle w:val="Hypertextovprepojenie"/>
          </w:rPr>
          <w:t>8.2.6</w:t>
        </w:r>
        <w:r w:rsidR="00F37247">
          <w:rPr>
            <w:rStyle w:val="Hypertextovprepojenie"/>
          </w:rPr>
          <w:t>.</w:t>
        </w:r>
        <w:r w:rsidR="00197171" w:rsidRPr="00103410">
          <w:rPr>
            <w:rStyle w:val="Hypertextovprepojenie"/>
          </w:rPr>
          <w:t xml:space="preserve"> OPATRENIE</w:t>
        </w:r>
        <w:r w:rsidR="00197171">
          <w:rPr>
            <w:rStyle w:val="Hypertextovprepojenie"/>
          </w:rPr>
          <w:t xml:space="preserve"> </w:t>
        </w:r>
        <w:r w:rsidR="00197171" w:rsidRPr="00103410">
          <w:rPr>
            <w:rStyle w:val="Hypertextovprepojenie"/>
          </w:rPr>
          <w:t xml:space="preserve"> 7 </w:t>
        </w:r>
        <w:r w:rsidR="00197171">
          <w:rPr>
            <w:rFonts w:eastAsiaTheme="minorEastAsia" w:cstheme="minorBidi"/>
            <w:szCs w:val="22"/>
          </w:rPr>
          <w:t>Z</w:t>
        </w:r>
        <w:r w:rsidR="00197171" w:rsidRPr="00103410">
          <w:rPr>
            <w:rStyle w:val="Hypertextovprepojenie"/>
          </w:rPr>
          <w:t>ákladné slu</w:t>
        </w:r>
        <w:r w:rsidR="000A3653">
          <w:rPr>
            <w:rStyle w:val="Hypertextovprepojenie"/>
          </w:rPr>
          <w:t>ž</w:t>
        </w:r>
        <w:r w:rsidR="00197171" w:rsidRPr="00103410">
          <w:rPr>
            <w:rStyle w:val="Hypertextovprepojenie"/>
          </w:rPr>
          <w:t xml:space="preserve">by a obnova dedín </w:t>
        </w:r>
        <w:r w:rsidR="00197171">
          <w:rPr>
            <w:rStyle w:val="Hypertextovprepojenie"/>
          </w:rPr>
          <w:t>vo vidieckych oblastiach.................................</w:t>
        </w:r>
        <w:r w:rsidR="00197171">
          <w:rPr>
            <w:webHidden/>
          </w:rPr>
          <w:fldChar w:fldCharType="begin"/>
        </w:r>
        <w:r w:rsidR="00197171">
          <w:rPr>
            <w:webHidden/>
          </w:rPr>
          <w:instrText xml:space="preserve"> PAGEREF _Toc387041326 \h </w:instrText>
        </w:r>
        <w:r w:rsidR="00197171">
          <w:rPr>
            <w:webHidden/>
          </w:rPr>
        </w:r>
        <w:r w:rsidR="00197171">
          <w:rPr>
            <w:webHidden/>
          </w:rPr>
          <w:fldChar w:fldCharType="separate"/>
        </w:r>
        <w:r w:rsidR="00197171">
          <w:rPr>
            <w:webHidden/>
          </w:rPr>
          <w:t>264</w:t>
        </w:r>
        <w:r w:rsidR="00197171">
          <w:rPr>
            <w:webHidden/>
          </w:rPr>
          <w:fldChar w:fldCharType="end"/>
        </w:r>
      </w:hyperlink>
    </w:p>
    <w:p w:rsidR="00197171" w:rsidRDefault="00954688" w:rsidP="000A3653">
      <w:pPr>
        <w:pStyle w:val="Obsah3"/>
        <w:rPr>
          <w:rFonts w:eastAsiaTheme="minorEastAsia" w:cstheme="minorBidi"/>
          <w:szCs w:val="22"/>
        </w:rPr>
      </w:pPr>
      <w:hyperlink w:anchor="_Toc387041328" w:history="1">
        <w:r w:rsidR="00197171" w:rsidRPr="00103410">
          <w:rPr>
            <w:rStyle w:val="Hypertextovprepojenie"/>
            <w:rFonts w:eastAsia="Calibri"/>
          </w:rPr>
          <w:t>8.2.7</w:t>
        </w:r>
        <w:r w:rsidR="00F37247">
          <w:rPr>
            <w:rStyle w:val="Hypertextovprepojenie"/>
            <w:rFonts w:eastAsia="Calibri"/>
          </w:rPr>
          <w:t>.</w:t>
        </w:r>
        <w:r w:rsidR="00197171" w:rsidRPr="00103410">
          <w:rPr>
            <w:rStyle w:val="Hypertextovprepojenie"/>
            <w:rFonts w:eastAsia="Calibri"/>
          </w:rPr>
          <w:t xml:space="preserve"> OPATRENIE 8 I</w:t>
        </w:r>
        <w:r w:rsidR="00197171">
          <w:rPr>
            <w:rStyle w:val="Hypertextovprepojenie"/>
            <w:rFonts w:eastAsia="Calibri"/>
          </w:rPr>
          <w:t>nvestície do rozvoja lesných oblastí a zlepšenie životaschponosti lesov</w:t>
        </w:r>
      </w:hyperlink>
      <w:hyperlink w:anchor="_Toc387041329" w:history="1">
        <w:r w:rsidR="00197171">
          <w:rPr>
            <w:webHidden/>
          </w:rPr>
          <w:tab/>
        </w:r>
        <w:r w:rsidR="00197171">
          <w:rPr>
            <w:webHidden/>
          </w:rPr>
          <w:fldChar w:fldCharType="begin"/>
        </w:r>
        <w:r w:rsidR="00197171">
          <w:rPr>
            <w:webHidden/>
          </w:rPr>
          <w:instrText xml:space="preserve"> PAGEREF _Toc387041329 \h </w:instrText>
        </w:r>
        <w:r w:rsidR="00197171">
          <w:rPr>
            <w:webHidden/>
          </w:rPr>
        </w:r>
        <w:r w:rsidR="00197171">
          <w:rPr>
            <w:webHidden/>
          </w:rPr>
          <w:fldChar w:fldCharType="separate"/>
        </w:r>
        <w:r w:rsidR="00197171">
          <w:rPr>
            <w:webHidden/>
          </w:rPr>
          <w:t>273</w:t>
        </w:r>
        <w:r w:rsidR="00197171">
          <w:rPr>
            <w:webHidden/>
          </w:rPr>
          <w:fldChar w:fldCharType="end"/>
        </w:r>
      </w:hyperlink>
    </w:p>
    <w:p w:rsidR="00197171" w:rsidRDefault="00954688" w:rsidP="000A3653">
      <w:pPr>
        <w:pStyle w:val="Obsah3"/>
        <w:rPr>
          <w:rFonts w:eastAsiaTheme="minorEastAsia" w:cstheme="minorBidi"/>
          <w:szCs w:val="22"/>
        </w:rPr>
      </w:pPr>
      <w:hyperlink w:anchor="_Toc387041330" w:history="1">
        <w:r w:rsidR="00197171" w:rsidRPr="00103410">
          <w:rPr>
            <w:rStyle w:val="Hypertextovprepojenie"/>
          </w:rPr>
          <w:t>8.2.8</w:t>
        </w:r>
        <w:r w:rsidR="00F37247">
          <w:rPr>
            <w:rStyle w:val="Hypertextovprepojenie"/>
          </w:rPr>
          <w:t>.</w:t>
        </w:r>
        <w:r w:rsidR="00197171" w:rsidRPr="00103410">
          <w:rPr>
            <w:rStyle w:val="Hypertextovprepojenie"/>
          </w:rPr>
          <w:t xml:space="preserve"> </w:t>
        </w:r>
        <w:r w:rsidR="00197171" w:rsidRPr="00197171">
          <w:rPr>
            <w:rStyle w:val="Hypertextovprepojenie"/>
          </w:rPr>
          <w:t>OPATRENIE</w:t>
        </w:r>
        <w:r w:rsidR="00197171" w:rsidRPr="00103410">
          <w:rPr>
            <w:rStyle w:val="Hypertextovprepojenie"/>
          </w:rPr>
          <w:t xml:space="preserve"> 9 Zakladanie skupín a organizácií výrobcov</w:t>
        </w:r>
        <w:r w:rsidR="00197171">
          <w:rPr>
            <w:webHidden/>
          </w:rPr>
          <w:tab/>
        </w:r>
        <w:r w:rsidR="00197171">
          <w:rPr>
            <w:webHidden/>
          </w:rPr>
          <w:fldChar w:fldCharType="begin"/>
        </w:r>
        <w:r w:rsidR="00197171">
          <w:rPr>
            <w:webHidden/>
          </w:rPr>
          <w:instrText xml:space="preserve"> PAGEREF _Toc387041330 \h </w:instrText>
        </w:r>
        <w:r w:rsidR="00197171">
          <w:rPr>
            <w:webHidden/>
          </w:rPr>
        </w:r>
        <w:r w:rsidR="00197171">
          <w:rPr>
            <w:webHidden/>
          </w:rPr>
          <w:fldChar w:fldCharType="separate"/>
        </w:r>
        <w:r w:rsidR="00197171">
          <w:rPr>
            <w:webHidden/>
          </w:rPr>
          <w:t>287</w:t>
        </w:r>
        <w:r w:rsidR="00197171">
          <w:rPr>
            <w:webHidden/>
          </w:rPr>
          <w:fldChar w:fldCharType="end"/>
        </w:r>
      </w:hyperlink>
    </w:p>
    <w:p w:rsidR="00197171" w:rsidRDefault="00954688" w:rsidP="000A3653">
      <w:pPr>
        <w:pStyle w:val="Obsah3"/>
        <w:rPr>
          <w:rFonts w:eastAsiaTheme="minorEastAsia" w:cstheme="minorBidi"/>
          <w:szCs w:val="22"/>
        </w:rPr>
      </w:pPr>
      <w:hyperlink w:anchor="_Toc387041331" w:history="1">
        <w:r w:rsidR="00197171" w:rsidRPr="00103410">
          <w:rPr>
            <w:rStyle w:val="Hypertextovprepojenie"/>
            <w:rFonts w:eastAsia="Calibri"/>
          </w:rPr>
          <w:t>8.2.9</w:t>
        </w:r>
        <w:r w:rsidR="00F37247">
          <w:rPr>
            <w:rStyle w:val="Hypertextovprepojenie"/>
            <w:rFonts w:eastAsia="Calibri"/>
          </w:rPr>
          <w:t>.</w:t>
        </w:r>
        <w:r w:rsidR="00197171" w:rsidRPr="00103410">
          <w:rPr>
            <w:rStyle w:val="Hypertextovprepojenie"/>
            <w:rFonts w:eastAsia="Calibri"/>
          </w:rPr>
          <w:t xml:space="preserve"> OPATRENIE 10  </w:t>
        </w:r>
        <w:r w:rsidR="00197171">
          <w:rPr>
            <w:rStyle w:val="Hypertextovprepojenie"/>
            <w:rFonts w:eastAsia="Calibri"/>
          </w:rPr>
          <w:t>Agroenvironmentálno- klimatické opatrenie</w:t>
        </w:r>
        <w:r w:rsidR="00197171">
          <w:rPr>
            <w:webHidden/>
          </w:rPr>
          <w:tab/>
        </w:r>
        <w:r w:rsidR="00197171">
          <w:rPr>
            <w:webHidden/>
          </w:rPr>
          <w:fldChar w:fldCharType="begin"/>
        </w:r>
        <w:r w:rsidR="00197171">
          <w:rPr>
            <w:webHidden/>
          </w:rPr>
          <w:instrText xml:space="preserve"> PAGEREF _Toc387041331 \h </w:instrText>
        </w:r>
        <w:r w:rsidR="00197171">
          <w:rPr>
            <w:webHidden/>
          </w:rPr>
        </w:r>
        <w:r w:rsidR="00197171">
          <w:rPr>
            <w:webHidden/>
          </w:rPr>
          <w:fldChar w:fldCharType="separate"/>
        </w:r>
        <w:r w:rsidR="00197171">
          <w:rPr>
            <w:webHidden/>
          </w:rPr>
          <w:t>291</w:t>
        </w:r>
        <w:r w:rsidR="00197171">
          <w:rPr>
            <w:webHidden/>
          </w:rPr>
          <w:fldChar w:fldCharType="end"/>
        </w:r>
      </w:hyperlink>
    </w:p>
    <w:p w:rsidR="00197171" w:rsidRDefault="00954688" w:rsidP="000A3653">
      <w:pPr>
        <w:pStyle w:val="Obsah3"/>
        <w:rPr>
          <w:rFonts w:eastAsiaTheme="minorEastAsia" w:cstheme="minorBidi"/>
          <w:szCs w:val="22"/>
        </w:rPr>
      </w:pPr>
      <w:hyperlink w:anchor="_Toc387041332" w:history="1">
        <w:r w:rsidR="00197171" w:rsidRPr="00103410">
          <w:rPr>
            <w:rStyle w:val="Hypertextovprepojenie"/>
          </w:rPr>
          <w:t>8.2.10</w:t>
        </w:r>
        <w:r w:rsidR="00F37247">
          <w:rPr>
            <w:rStyle w:val="Hypertextovprepojenie"/>
          </w:rPr>
          <w:t>.</w:t>
        </w:r>
        <w:r w:rsidR="00197171" w:rsidRPr="00103410">
          <w:rPr>
            <w:rStyle w:val="Hypertextovprepojenie"/>
          </w:rPr>
          <w:t xml:space="preserve"> </w:t>
        </w:r>
        <w:r w:rsidR="00197171" w:rsidRPr="00197171">
          <w:rPr>
            <w:rStyle w:val="Hypertextovprepojenie"/>
          </w:rPr>
          <w:t>OPATRENIE</w:t>
        </w:r>
        <w:r w:rsidR="00197171" w:rsidRPr="00103410">
          <w:rPr>
            <w:rStyle w:val="Hypertextovprepojenie"/>
          </w:rPr>
          <w:t xml:space="preserve"> 11  Ekologické poľnohospodárstvo</w:t>
        </w:r>
        <w:r w:rsidR="00197171">
          <w:rPr>
            <w:webHidden/>
          </w:rPr>
          <w:tab/>
        </w:r>
        <w:r w:rsidR="00197171">
          <w:rPr>
            <w:webHidden/>
          </w:rPr>
          <w:fldChar w:fldCharType="begin"/>
        </w:r>
        <w:r w:rsidR="00197171">
          <w:rPr>
            <w:webHidden/>
          </w:rPr>
          <w:instrText xml:space="preserve"> PAGEREF _Toc387041332 \h </w:instrText>
        </w:r>
        <w:r w:rsidR="00197171">
          <w:rPr>
            <w:webHidden/>
          </w:rPr>
        </w:r>
        <w:r w:rsidR="00197171">
          <w:rPr>
            <w:webHidden/>
          </w:rPr>
          <w:fldChar w:fldCharType="separate"/>
        </w:r>
        <w:r w:rsidR="00197171">
          <w:rPr>
            <w:webHidden/>
          </w:rPr>
          <w:t>310</w:t>
        </w:r>
        <w:r w:rsidR="00197171">
          <w:rPr>
            <w:webHidden/>
          </w:rPr>
          <w:fldChar w:fldCharType="end"/>
        </w:r>
      </w:hyperlink>
    </w:p>
    <w:p w:rsidR="00197171" w:rsidRDefault="00954688" w:rsidP="000A3653">
      <w:pPr>
        <w:pStyle w:val="Obsah3"/>
        <w:rPr>
          <w:rFonts w:eastAsiaTheme="minorEastAsia" w:cstheme="minorBidi"/>
          <w:szCs w:val="22"/>
        </w:rPr>
      </w:pPr>
      <w:hyperlink w:anchor="_Toc387041333" w:history="1">
        <w:r w:rsidR="00197171" w:rsidRPr="00103410">
          <w:rPr>
            <w:rStyle w:val="Hypertextovprepojenie"/>
          </w:rPr>
          <w:t>8.2.11</w:t>
        </w:r>
        <w:r w:rsidR="00F37247">
          <w:rPr>
            <w:rStyle w:val="Hypertextovprepojenie"/>
          </w:rPr>
          <w:t>.</w:t>
        </w:r>
        <w:r w:rsidR="00197171" w:rsidRPr="00103410">
          <w:rPr>
            <w:rStyle w:val="Hypertextovprepojenie"/>
          </w:rPr>
          <w:t xml:space="preserve"> </w:t>
        </w:r>
        <w:r w:rsidR="00197171" w:rsidRPr="00197171">
          <w:rPr>
            <w:rStyle w:val="Hypertextovprepojenie"/>
          </w:rPr>
          <w:t>OPATRENIE</w:t>
        </w:r>
        <w:r w:rsidR="00197171" w:rsidRPr="00103410">
          <w:rPr>
            <w:rStyle w:val="Hypertextovprepojenie"/>
          </w:rPr>
          <w:t xml:space="preserve"> 12 Platby v rámci sústavy Natura 2000</w:t>
        </w:r>
        <w:r w:rsidR="00197171">
          <w:rPr>
            <w:webHidden/>
          </w:rPr>
          <w:tab/>
        </w:r>
        <w:r w:rsidR="00197171">
          <w:rPr>
            <w:webHidden/>
          </w:rPr>
          <w:fldChar w:fldCharType="begin"/>
        </w:r>
        <w:r w:rsidR="00197171">
          <w:rPr>
            <w:webHidden/>
          </w:rPr>
          <w:instrText xml:space="preserve"> PAGEREF _Toc387041333 \h </w:instrText>
        </w:r>
        <w:r w:rsidR="00197171">
          <w:rPr>
            <w:webHidden/>
          </w:rPr>
        </w:r>
        <w:r w:rsidR="00197171">
          <w:rPr>
            <w:webHidden/>
          </w:rPr>
          <w:fldChar w:fldCharType="separate"/>
        </w:r>
        <w:r w:rsidR="00197171">
          <w:rPr>
            <w:webHidden/>
          </w:rPr>
          <w:t>316</w:t>
        </w:r>
        <w:r w:rsidR="00197171">
          <w:rPr>
            <w:webHidden/>
          </w:rPr>
          <w:fldChar w:fldCharType="end"/>
        </w:r>
      </w:hyperlink>
    </w:p>
    <w:p w:rsidR="00197171" w:rsidRDefault="00954688" w:rsidP="000A3653">
      <w:pPr>
        <w:pStyle w:val="Obsah3"/>
        <w:rPr>
          <w:rFonts w:eastAsiaTheme="minorEastAsia" w:cstheme="minorBidi"/>
          <w:szCs w:val="22"/>
        </w:rPr>
      </w:pPr>
      <w:hyperlink w:anchor="_Toc387041334" w:history="1">
        <w:r w:rsidR="00197171" w:rsidRPr="00103410">
          <w:rPr>
            <w:rStyle w:val="Hypertextovprepojenie"/>
          </w:rPr>
          <w:t>8.2.12</w:t>
        </w:r>
        <w:r w:rsidR="00F37247">
          <w:rPr>
            <w:rStyle w:val="Hypertextovprepojenie"/>
          </w:rPr>
          <w:t>.</w:t>
        </w:r>
        <w:r w:rsidR="00197171">
          <w:rPr>
            <w:rFonts w:eastAsiaTheme="minorEastAsia" w:cstheme="minorBidi"/>
            <w:szCs w:val="22"/>
          </w:rPr>
          <w:t xml:space="preserve"> </w:t>
        </w:r>
        <w:r w:rsidR="00197171">
          <w:rPr>
            <w:rStyle w:val="Hypertextovprepojenie"/>
          </w:rPr>
          <w:t>OPATRENIE 13 P</w:t>
        </w:r>
        <w:r w:rsidR="00197171" w:rsidRPr="00103410">
          <w:rPr>
            <w:rStyle w:val="Hypertextovprepojenie"/>
          </w:rPr>
          <w:t>latby pre oblasti s prírodnými alebo inými</w:t>
        </w:r>
        <w:r w:rsidR="00197171">
          <w:rPr>
            <w:rStyle w:val="Hypertextovprepojenie"/>
          </w:rPr>
          <w:t xml:space="preserve"> osobitnými obmedzeniami</w:t>
        </w:r>
        <w:r w:rsidR="00197171">
          <w:rPr>
            <w:webHidden/>
          </w:rPr>
          <w:tab/>
        </w:r>
        <w:r w:rsidR="00197171">
          <w:rPr>
            <w:webHidden/>
          </w:rPr>
          <w:fldChar w:fldCharType="begin"/>
        </w:r>
        <w:r w:rsidR="00197171">
          <w:rPr>
            <w:webHidden/>
          </w:rPr>
          <w:instrText xml:space="preserve"> PAGEREF _Toc387041334 \h </w:instrText>
        </w:r>
        <w:r w:rsidR="00197171">
          <w:rPr>
            <w:webHidden/>
          </w:rPr>
        </w:r>
        <w:r w:rsidR="00197171">
          <w:rPr>
            <w:webHidden/>
          </w:rPr>
          <w:fldChar w:fldCharType="separate"/>
        </w:r>
        <w:r w:rsidR="00197171">
          <w:rPr>
            <w:webHidden/>
          </w:rPr>
          <w:t>321</w:t>
        </w:r>
        <w:r w:rsidR="00197171">
          <w:rPr>
            <w:webHidden/>
          </w:rPr>
          <w:fldChar w:fldCharType="end"/>
        </w:r>
      </w:hyperlink>
    </w:p>
    <w:p w:rsidR="00197171" w:rsidRDefault="00954688" w:rsidP="000A3653">
      <w:pPr>
        <w:pStyle w:val="Obsah3"/>
        <w:rPr>
          <w:rFonts w:eastAsiaTheme="minorEastAsia" w:cstheme="minorBidi"/>
          <w:szCs w:val="22"/>
        </w:rPr>
      </w:pPr>
      <w:hyperlink w:anchor="_Toc387041336" w:history="1">
        <w:r w:rsidR="00197171">
          <w:rPr>
            <w:rStyle w:val="Hypertextovprepojenie"/>
          </w:rPr>
          <w:t>8.2.13</w:t>
        </w:r>
        <w:r w:rsidR="00F37247">
          <w:rPr>
            <w:rStyle w:val="Hypertextovprepojenie"/>
          </w:rPr>
          <w:t>.</w:t>
        </w:r>
        <w:r w:rsidR="00197171">
          <w:rPr>
            <w:rStyle w:val="Hypertextovprepojenie"/>
          </w:rPr>
          <w:t xml:space="preserve"> OPATRENIE 14  D</w:t>
        </w:r>
        <w:r w:rsidR="00197171" w:rsidRPr="00103410">
          <w:rPr>
            <w:rStyle w:val="Hypertextovprepojenie"/>
          </w:rPr>
          <w:t>obré životné podmienky zvierat</w:t>
        </w:r>
        <w:r w:rsidR="00197171">
          <w:rPr>
            <w:webHidden/>
          </w:rPr>
          <w:tab/>
        </w:r>
        <w:r w:rsidR="00197171">
          <w:rPr>
            <w:webHidden/>
          </w:rPr>
          <w:fldChar w:fldCharType="begin"/>
        </w:r>
        <w:r w:rsidR="00197171">
          <w:rPr>
            <w:webHidden/>
          </w:rPr>
          <w:instrText xml:space="preserve"> PAGEREF _Toc387041336 \h </w:instrText>
        </w:r>
        <w:r w:rsidR="00197171">
          <w:rPr>
            <w:webHidden/>
          </w:rPr>
        </w:r>
        <w:r w:rsidR="00197171">
          <w:rPr>
            <w:webHidden/>
          </w:rPr>
          <w:fldChar w:fldCharType="separate"/>
        </w:r>
        <w:r w:rsidR="00197171">
          <w:rPr>
            <w:webHidden/>
          </w:rPr>
          <w:t>331</w:t>
        </w:r>
        <w:r w:rsidR="00197171">
          <w:rPr>
            <w:webHidden/>
          </w:rPr>
          <w:fldChar w:fldCharType="end"/>
        </w:r>
      </w:hyperlink>
    </w:p>
    <w:p w:rsidR="00197171" w:rsidRDefault="00954688" w:rsidP="000A3653">
      <w:pPr>
        <w:pStyle w:val="Obsah3"/>
        <w:rPr>
          <w:rFonts w:eastAsiaTheme="minorEastAsia" w:cstheme="minorBidi"/>
          <w:szCs w:val="22"/>
        </w:rPr>
      </w:pPr>
      <w:hyperlink w:anchor="_Toc387041337" w:history="1">
        <w:r w:rsidR="00197171" w:rsidRPr="00103410">
          <w:rPr>
            <w:rStyle w:val="Hypertextovprepojenie"/>
          </w:rPr>
          <w:t>8.2.14</w:t>
        </w:r>
        <w:r w:rsidR="00F37247">
          <w:rPr>
            <w:rStyle w:val="Hypertextovprepojenie"/>
          </w:rPr>
          <w:t>.</w:t>
        </w:r>
        <w:r w:rsidR="00197171" w:rsidRPr="00103410">
          <w:rPr>
            <w:rStyle w:val="Hypertextovprepojenie"/>
          </w:rPr>
          <w:t xml:space="preserve"> </w:t>
        </w:r>
        <w:r w:rsidR="00197171" w:rsidRPr="00197171">
          <w:rPr>
            <w:rStyle w:val="Hypertextovprepojenie"/>
          </w:rPr>
          <w:t>OPATRENIE</w:t>
        </w:r>
        <w:r w:rsidR="00197171" w:rsidRPr="00103410">
          <w:rPr>
            <w:rStyle w:val="Hypertextovprepojenie"/>
          </w:rPr>
          <w:t xml:space="preserve"> 15 </w:t>
        </w:r>
        <w:r w:rsidR="00197171">
          <w:rPr>
            <w:rFonts w:eastAsiaTheme="minorEastAsia" w:cstheme="minorBidi"/>
            <w:szCs w:val="22"/>
          </w:rPr>
          <w:t>L</w:t>
        </w:r>
        <w:r w:rsidR="00197171" w:rsidRPr="00103410">
          <w:rPr>
            <w:rStyle w:val="Hypertextovprepojenie"/>
          </w:rPr>
          <w:t>esnícko-environmentálne a</w:t>
        </w:r>
        <w:r w:rsidR="00197171">
          <w:rPr>
            <w:rStyle w:val="Hypertextovprepojenie"/>
          </w:rPr>
          <w:t> </w:t>
        </w:r>
        <w:r w:rsidR="00197171" w:rsidRPr="00103410">
          <w:rPr>
            <w:rStyle w:val="Hypertextovprepojenie"/>
          </w:rPr>
          <w:t>klimatické</w:t>
        </w:r>
        <w:r w:rsidR="00197171">
          <w:rPr>
            <w:rStyle w:val="Hypertextovprepojenie"/>
          </w:rPr>
          <w:t xml:space="preserve"> služby a ochrana lesov</w:t>
        </w:r>
        <w:r w:rsidR="00197171">
          <w:rPr>
            <w:webHidden/>
          </w:rPr>
          <w:tab/>
        </w:r>
        <w:r w:rsidR="00197171">
          <w:rPr>
            <w:webHidden/>
          </w:rPr>
          <w:fldChar w:fldCharType="begin"/>
        </w:r>
        <w:r w:rsidR="00197171">
          <w:rPr>
            <w:webHidden/>
          </w:rPr>
          <w:instrText xml:space="preserve"> PAGEREF _Toc387041337 \h </w:instrText>
        </w:r>
        <w:r w:rsidR="00197171">
          <w:rPr>
            <w:webHidden/>
          </w:rPr>
        </w:r>
        <w:r w:rsidR="00197171">
          <w:rPr>
            <w:webHidden/>
          </w:rPr>
          <w:fldChar w:fldCharType="separate"/>
        </w:r>
        <w:r w:rsidR="00197171">
          <w:rPr>
            <w:webHidden/>
          </w:rPr>
          <w:t>338</w:t>
        </w:r>
        <w:r w:rsidR="00197171">
          <w:rPr>
            <w:webHidden/>
          </w:rPr>
          <w:fldChar w:fldCharType="end"/>
        </w:r>
      </w:hyperlink>
    </w:p>
    <w:p w:rsidR="00197171" w:rsidRDefault="00954688" w:rsidP="000A3653">
      <w:pPr>
        <w:pStyle w:val="Obsah3"/>
        <w:rPr>
          <w:rFonts w:eastAsiaTheme="minorEastAsia" w:cstheme="minorBidi"/>
          <w:szCs w:val="22"/>
        </w:rPr>
      </w:pPr>
      <w:hyperlink w:anchor="_Toc387041339" w:history="1">
        <w:r w:rsidR="00197171" w:rsidRPr="00103410">
          <w:rPr>
            <w:rStyle w:val="Hypertextovprepojenie"/>
          </w:rPr>
          <w:t>8.2.15</w:t>
        </w:r>
        <w:r w:rsidR="00F37247">
          <w:rPr>
            <w:rStyle w:val="Hypertextovprepojenie"/>
          </w:rPr>
          <w:t>.</w:t>
        </w:r>
        <w:r w:rsidR="00197171" w:rsidRPr="00103410">
          <w:rPr>
            <w:rStyle w:val="Hypertextovprepojenie"/>
          </w:rPr>
          <w:t xml:space="preserve"> OPATRENIE 1</w:t>
        </w:r>
        <w:r w:rsidR="00B73162">
          <w:rPr>
            <w:rStyle w:val="Hypertextovprepojenie"/>
          </w:rPr>
          <w:t>6 Spolupráca</w:t>
        </w:r>
        <w:r w:rsidR="00197171">
          <w:rPr>
            <w:webHidden/>
          </w:rPr>
          <w:tab/>
        </w:r>
        <w:r w:rsidR="00197171">
          <w:rPr>
            <w:webHidden/>
          </w:rPr>
          <w:fldChar w:fldCharType="begin"/>
        </w:r>
        <w:r w:rsidR="00197171">
          <w:rPr>
            <w:webHidden/>
          </w:rPr>
          <w:instrText xml:space="preserve"> PAGEREF _Toc387041339 \h </w:instrText>
        </w:r>
        <w:r w:rsidR="00197171">
          <w:rPr>
            <w:webHidden/>
          </w:rPr>
        </w:r>
        <w:r w:rsidR="00197171">
          <w:rPr>
            <w:webHidden/>
          </w:rPr>
          <w:fldChar w:fldCharType="separate"/>
        </w:r>
        <w:r w:rsidR="00197171">
          <w:rPr>
            <w:webHidden/>
          </w:rPr>
          <w:t>344</w:t>
        </w:r>
        <w:r w:rsidR="00197171">
          <w:rPr>
            <w:webHidden/>
          </w:rPr>
          <w:fldChar w:fldCharType="end"/>
        </w:r>
      </w:hyperlink>
    </w:p>
    <w:p w:rsidR="00197171" w:rsidRDefault="00954688" w:rsidP="000A3653">
      <w:pPr>
        <w:pStyle w:val="Obsah3"/>
        <w:rPr>
          <w:rFonts w:eastAsiaTheme="minorEastAsia" w:cstheme="minorBidi"/>
          <w:szCs w:val="22"/>
        </w:rPr>
      </w:pPr>
      <w:hyperlink w:anchor="_Toc387041340" w:history="1">
        <w:r w:rsidR="00197171">
          <w:rPr>
            <w:rStyle w:val="Hypertextovprepojenie"/>
          </w:rPr>
          <w:t>8.2.16</w:t>
        </w:r>
        <w:r w:rsidR="00F37247">
          <w:rPr>
            <w:rStyle w:val="Hypertextovprepojenie"/>
          </w:rPr>
          <w:t>.</w:t>
        </w:r>
        <w:r w:rsidR="00197171">
          <w:rPr>
            <w:rStyle w:val="Hypertextovprepojenie"/>
          </w:rPr>
          <w:t xml:space="preserve"> OPATRENIE 17 </w:t>
        </w:r>
        <w:r w:rsidR="00197171">
          <w:rPr>
            <w:rFonts w:eastAsiaTheme="minorEastAsia" w:cstheme="minorBidi"/>
            <w:szCs w:val="22"/>
          </w:rPr>
          <w:t>R</w:t>
        </w:r>
        <w:r w:rsidR="00197171" w:rsidRPr="00103410">
          <w:rPr>
            <w:rStyle w:val="Hypertextovprepojenie"/>
          </w:rPr>
          <w:t>iadenie rizík</w:t>
        </w:r>
        <w:r w:rsidR="00197171">
          <w:rPr>
            <w:webHidden/>
          </w:rPr>
          <w:tab/>
        </w:r>
        <w:r w:rsidR="00197171">
          <w:rPr>
            <w:webHidden/>
          </w:rPr>
          <w:fldChar w:fldCharType="begin"/>
        </w:r>
        <w:r w:rsidR="00197171">
          <w:rPr>
            <w:webHidden/>
          </w:rPr>
          <w:instrText xml:space="preserve"> PAGEREF _Toc387041340 \h </w:instrText>
        </w:r>
        <w:r w:rsidR="00197171">
          <w:rPr>
            <w:webHidden/>
          </w:rPr>
        </w:r>
        <w:r w:rsidR="00197171">
          <w:rPr>
            <w:webHidden/>
          </w:rPr>
          <w:fldChar w:fldCharType="separate"/>
        </w:r>
        <w:r w:rsidR="00197171">
          <w:rPr>
            <w:webHidden/>
          </w:rPr>
          <w:t>354</w:t>
        </w:r>
        <w:r w:rsidR="00197171">
          <w:rPr>
            <w:webHidden/>
          </w:rPr>
          <w:fldChar w:fldCharType="end"/>
        </w:r>
      </w:hyperlink>
    </w:p>
    <w:p w:rsidR="00197171" w:rsidRDefault="00954688" w:rsidP="000A3653">
      <w:pPr>
        <w:pStyle w:val="Obsah3"/>
        <w:rPr>
          <w:rFonts w:eastAsiaTheme="minorEastAsia" w:cstheme="minorBidi"/>
          <w:szCs w:val="22"/>
        </w:rPr>
      </w:pPr>
      <w:hyperlink w:anchor="_Toc387041341" w:history="1">
        <w:r w:rsidR="00197171" w:rsidRPr="00103410">
          <w:rPr>
            <w:rStyle w:val="Hypertextovprepojenie"/>
          </w:rPr>
          <w:t>8.2.17</w:t>
        </w:r>
        <w:r w:rsidR="00F37247">
          <w:rPr>
            <w:rStyle w:val="Hypertextovprepojenie"/>
          </w:rPr>
          <w:t>.</w:t>
        </w:r>
        <w:r w:rsidR="00197171" w:rsidRPr="00103410">
          <w:rPr>
            <w:rStyle w:val="Hypertextovprepojenie"/>
          </w:rPr>
          <w:t xml:space="preserve"> OPATRENIE 19 LEADER</w:t>
        </w:r>
        <w:r w:rsidR="00197171">
          <w:rPr>
            <w:webHidden/>
          </w:rPr>
          <w:tab/>
          <w:t>............................................................................................................</w:t>
        </w:r>
        <w:r w:rsidR="00197171">
          <w:rPr>
            <w:webHidden/>
          </w:rPr>
          <w:fldChar w:fldCharType="begin"/>
        </w:r>
        <w:r w:rsidR="00197171">
          <w:rPr>
            <w:webHidden/>
          </w:rPr>
          <w:instrText xml:space="preserve"> PAGEREF _Toc387041341 \h </w:instrText>
        </w:r>
        <w:r w:rsidR="00197171">
          <w:rPr>
            <w:webHidden/>
          </w:rPr>
        </w:r>
        <w:r w:rsidR="00197171">
          <w:rPr>
            <w:webHidden/>
          </w:rPr>
          <w:fldChar w:fldCharType="separate"/>
        </w:r>
        <w:r w:rsidR="00197171">
          <w:rPr>
            <w:webHidden/>
          </w:rPr>
          <w:t>361</w:t>
        </w:r>
        <w:r w:rsidR="00197171">
          <w:rPr>
            <w:webHidden/>
          </w:rPr>
          <w:fldChar w:fldCharType="end"/>
        </w:r>
      </w:hyperlink>
    </w:p>
    <w:p w:rsidR="00197171" w:rsidRDefault="00954688" w:rsidP="00197171">
      <w:pPr>
        <w:pStyle w:val="Obsah1"/>
        <w:rPr>
          <w:rFonts w:asciiTheme="minorHAnsi" w:eastAsiaTheme="minorEastAsia" w:hAnsiTheme="minorHAnsi" w:cstheme="minorBidi"/>
          <w:sz w:val="22"/>
          <w:lang w:eastAsia="sk-SK"/>
        </w:rPr>
      </w:pPr>
      <w:hyperlink w:anchor="_Toc387041342" w:history="1">
        <w:r w:rsidR="00197171" w:rsidRPr="00103410">
          <w:rPr>
            <w:rStyle w:val="Hypertextovprepojenie"/>
          </w:rPr>
          <w:t>9. HODNOTIACI PLÁN</w:t>
        </w:r>
        <w:r w:rsidR="00197171">
          <w:rPr>
            <w:webHidden/>
          </w:rPr>
          <w:tab/>
        </w:r>
        <w:r w:rsidR="00197171">
          <w:rPr>
            <w:webHidden/>
          </w:rPr>
          <w:fldChar w:fldCharType="begin"/>
        </w:r>
        <w:r w:rsidR="00197171">
          <w:rPr>
            <w:webHidden/>
          </w:rPr>
          <w:instrText xml:space="preserve"> PAGEREF _Toc387041342 \h </w:instrText>
        </w:r>
        <w:r w:rsidR="00197171">
          <w:rPr>
            <w:webHidden/>
          </w:rPr>
        </w:r>
        <w:r w:rsidR="00197171">
          <w:rPr>
            <w:webHidden/>
          </w:rPr>
          <w:fldChar w:fldCharType="separate"/>
        </w:r>
        <w:r w:rsidR="00197171">
          <w:rPr>
            <w:webHidden/>
          </w:rPr>
          <w:t>373</w:t>
        </w:r>
        <w:r w:rsidR="00197171">
          <w:rPr>
            <w:webHidden/>
          </w:rPr>
          <w:fldChar w:fldCharType="end"/>
        </w:r>
      </w:hyperlink>
    </w:p>
    <w:p w:rsidR="00197171" w:rsidRDefault="00954688" w:rsidP="00197171">
      <w:pPr>
        <w:pStyle w:val="Obsah1"/>
        <w:rPr>
          <w:rFonts w:asciiTheme="minorHAnsi" w:eastAsiaTheme="minorEastAsia" w:hAnsiTheme="minorHAnsi" w:cstheme="minorBidi"/>
          <w:sz w:val="22"/>
          <w:lang w:eastAsia="sk-SK"/>
        </w:rPr>
      </w:pPr>
      <w:hyperlink w:anchor="_Toc387041346" w:history="1">
        <w:r w:rsidR="00197171" w:rsidRPr="00103410">
          <w:rPr>
            <w:rStyle w:val="Hypertextovprepojenie"/>
          </w:rPr>
          <w:t>10. FINANČNÝ PLÁN</w:t>
        </w:r>
        <w:r w:rsidR="00197171">
          <w:rPr>
            <w:webHidden/>
          </w:rPr>
          <w:tab/>
        </w:r>
        <w:r w:rsidR="00197171">
          <w:rPr>
            <w:webHidden/>
          </w:rPr>
          <w:fldChar w:fldCharType="begin"/>
        </w:r>
        <w:r w:rsidR="00197171">
          <w:rPr>
            <w:webHidden/>
          </w:rPr>
          <w:instrText xml:space="preserve"> PAGEREF _Toc387041346 \h </w:instrText>
        </w:r>
        <w:r w:rsidR="00197171">
          <w:rPr>
            <w:webHidden/>
          </w:rPr>
        </w:r>
        <w:r w:rsidR="00197171">
          <w:rPr>
            <w:webHidden/>
          </w:rPr>
          <w:fldChar w:fldCharType="separate"/>
        </w:r>
        <w:r w:rsidR="00197171">
          <w:rPr>
            <w:webHidden/>
          </w:rPr>
          <w:t>391</w:t>
        </w:r>
        <w:r w:rsidR="00197171">
          <w:rPr>
            <w:webHidden/>
          </w:rPr>
          <w:fldChar w:fldCharType="end"/>
        </w:r>
      </w:hyperlink>
    </w:p>
    <w:p w:rsidR="00197171" w:rsidRDefault="00954688" w:rsidP="00197171">
      <w:pPr>
        <w:pStyle w:val="Obsah1"/>
        <w:rPr>
          <w:rFonts w:eastAsiaTheme="minorEastAsia" w:cstheme="minorBidi"/>
        </w:rPr>
      </w:pPr>
      <w:hyperlink w:anchor="_Toc387041347" w:history="1">
        <w:r w:rsidR="00197171" w:rsidRPr="00103410">
          <w:rPr>
            <w:rStyle w:val="Hypertextovprepojenie"/>
          </w:rPr>
          <w:t>11. PLÁN UKAZOVATEĽOV</w:t>
        </w:r>
        <w:r w:rsidR="00197171">
          <w:rPr>
            <w:webHidden/>
          </w:rPr>
          <w:tab/>
        </w:r>
        <w:r w:rsidR="00197171">
          <w:rPr>
            <w:webHidden/>
          </w:rPr>
          <w:fldChar w:fldCharType="begin"/>
        </w:r>
        <w:r w:rsidR="00197171">
          <w:rPr>
            <w:webHidden/>
          </w:rPr>
          <w:instrText xml:space="preserve"> PAGEREF _Toc387041347 \h </w:instrText>
        </w:r>
        <w:r w:rsidR="00197171">
          <w:rPr>
            <w:webHidden/>
          </w:rPr>
        </w:r>
        <w:r w:rsidR="00197171">
          <w:rPr>
            <w:webHidden/>
          </w:rPr>
          <w:fldChar w:fldCharType="separate"/>
        </w:r>
        <w:r w:rsidR="00197171">
          <w:rPr>
            <w:webHidden/>
          </w:rPr>
          <w:t>399</w:t>
        </w:r>
        <w:r w:rsidR="00197171">
          <w:rPr>
            <w:webHidden/>
          </w:rPr>
          <w:fldChar w:fldCharType="end"/>
        </w:r>
      </w:hyperlink>
    </w:p>
    <w:p w:rsidR="00197171" w:rsidRDefault="00954688" w:rsidP="00197171">
      <w:pPr>
        <w:pStyle w:val="Obsah1"/>
        <w:rPr>
          <w:rFonts w:asciiTheme="minorHAnsi" w:eastAsiaTheme="minorEastAsia" w:hAnsiTheme="minorHAnsi" w:cstheme="minorBidi"/>
          <w:sz w:val="22"/>
          <w:lang w:eastAsia="sk-SK"/>
        </w:rPr>
      </w:pPr>
      <w:hyperlink w:anchor="_Toc387041349" w:history="1">
        <w:r w:rsidR="00197171" w:rsidRPr="00103410">
          <w:rPr>
            <w:rStyle w:val="Hypertextovprepojenie"/>
          </w:rPr>
          <w:t>12. ĎALŠIE NÁRODNÉ FINANCOVANIE</w:t>
        </w:r>
        <w:r w:rsidR="00197171">
          <w:rPr>
            <w:webHidden/>
          </w:rPr>
          <w:tab/>
        </w:r>
        <w:r w:rsidR="00197171">
          <w:rPr>
            <w:webHidden/>
          </w:rPr>
          <w:fldChar w:fldCharType="begin"/>
        </w:r>
        <w:r w:rsidR="00197171">
          <w:rPr>
            <w:webHidden/>
          </w:rPr>
          <w:instrText xml:space="preserve"> PAGEREF _Toc387041349 \h </w:instrText>
        </w:r>
        <w:r w:rsidR="00197171">
          <w:rPr>
            <w:webHidden/>
          </w:rPr>
        </w:r>
        <w:r w:rsidR="00197171">
          <w:rPr>
            <w:webHidden/>
          </w:rPr>
          <w:fldChar w:fldCharType="separate"/>
        </w:r>
        <w:r w:rsidR="00197171">
          <w:rPr>
            <w:webHidden/>
          </w:rPr>
          <w:t>421</w:t>
        </w:r>
        <w:r w:rsidR="00197171">
          <w:rPr>
            <w:webHidden/>
          </w:rPr>
          <w:fldChar w:fldCharType="end"/>
        </w:r>
      </w:hyperlink>
    </w:p>
    <w:p w:rsidR="00197171" w:rsidRDefault="00954688" w:rsidP="00197171">
      <w:pPr>
        <w:pStyle w:val="Obsah1"/>
        <w:rPr>
          <w:rFonts w:asciiTheme="minorHAnsi" w:eastAsiaTheme="minorEastAsia" w:hAnsiTheme="minorHAnsi" w:cstheme="minorBidi"/>
          <w:sz w:val="22"/>
          <w:lang w:eastAsia="sk-SK"/>
        </w:rPr>
      </w:pPr>
      <w:hyperlink w:anchor="_Toc387041350" w:history="1">
        <w:r w:rsidR="00197171" w:rsidRPr="00103410">
          <w:rPr>
            <w:rStyle w:val="Hypertextovprepojenie"/>
          </w:rPr>
          <w:t>13. PRVKY POTREBNÉ NA POSÚDENIE ŠTÁTNEJ POMOCI</w:t>
        </w:r>
        <w:r w:rsidR="00197171">
          <w:rPr>
            <w:webHidden/>
          </w:rPr>
          <w:tab/>
        </w:r>
        <w:r w:rsidR="00197171">
          <w:rPr>
            <w:webHidden/>
          </w:rPr>
          <w:fldChar w:fldCharType="begin"/>
        </w:r>
        <w:r w:rsidR="00197171">
          <w:rPr>
            <w:webHidden/>
          </w:rPr>
          <w:instrText xml:space="preserve"> PAGEREF _Toc387041350 \h </w:instrText>
        </w:r>
        <w:r w:rsidR="00197171">
          <w:rPr>
            <w:webHidden/>
          </w:rPr>
        </w:r>
        <w:r w:rsidR="00197171">
          <w:rPr>
            <w:webHidden/>
          </w:rPr>
          <w:fldChar w:fldCharType="separate"/>
        </w:r>
        <w:r w:rsidR="00197171">
          <w:rPr>
            <w:webHidden/>
          </w:rPr>
          <w:t>422</w:t>
        </w:r>
        <w:r w:rsidR="00197171">
          <w:rPr>
            <w:webHidden/>
          </w:rPr>
          <w:fldChar w:fldCharType="end"/>
        </w:r>
      </w:hyperlink>
    </w:p>
    <w:p w:rsidR="00197171" w:rsidRDefault="00954688" w:rsidP="00197171">
      <w:pPr>
        <w:pStyle w:val="Obsah1"/>
        <w:rPr>
          <w:rFonts w:asciiTheme="minorHAnsi" w:eastAsiaTheme="minorEastAsia" w:hAnsiTheme="minorHAnsi" w:cstheme="minorBidi"/>
          <w:sz w:val="22"/>
          <w:lang w:eastAsia="sk-SK"/>
        </w:rPr>
      </w:pPr>
      <w:hyperlink w:anchor="_Toc387041351" w:history="1">
        <w:r w:rsidR="00197171" w:rsidRPr="00103410">
          <w:rPr>
            <w:rStyle w:val="Hypertextovprepojenie"/>
          </w:rPr>
          <w:t>14. INFORMÁCIE O DOPLNKOVOSTI</w:t>
        </w:r>
        <w:r w:rsidR="00197171">
          <w:rPr>
            <w:webHidden/>
          </w:rPr>
          <w:tab/>
        </w:r>
        <w:r w:rsidR="00197171">
          <w:rPr>
            <w:webHidden/>
          </w:rPr>
          <w:fldChar w:fldCharType="begin"/>
        </w:r>
        <w:r w:rsidR="00197171">
          <w:rPr>
            <w:webHidden/>
          </w:rPr>
          <w:instrText xml:space="preserve"> PAGEREF _Toc387041351 \h </w:instrText>
        </w:r>
        <w:r w:rsidR="00197171">
          <w:rPr>
            <w:webHidden/>
          </w:rPr>
        </w:r>
        <w:r w:rsidR="00197171">
          <w:rPr>
            <w:webHidden/>
          </w:rPr>
          <w:fldChar w:fldCharType="separate"/>
        </w:r>
        <w:r w:rsidR="00197171">
          <w:rPr>
            <w:webHidden/>
          </w:rPr>
          <w:t>425</w:t>
        </w:r>
        <w:r w:rsidR="00197171">
          <w:rPr>
            <w:webHidden/>
          </w:rPr>
          <w:fldChar w:fldCharType="end"/>
        </w:r>
      </w:hyperlink>
    </w:p>
    <w:p w:rsidR="00197171" w:rsidRDefault="00954688" w:rsidP="00197171">
      <w:pPr>
        <w:pStyle w:val="Obsah1"/>
        <w:rPr>
          <w:rFonts w:asciiTheme="minorHAnsi" w:eastAsiaTheme="minorEastAsia" w:hAnsiTheme="minorHAnsi" w:cstheme="minorBidi"/>
          <w:sz w:val="22"/>
          <w:lang w:eastAsia="sk-SK"/>
        </w:rPr>
      </w:pPr>
      <w:hyperlink w:anchor="_Toc387041354" w:history="1">
        <w:r w:rsidR="00197171" w:rsidRPr="00103410">
          <w:rPr>
            <w:rStyle w:val="Hypertextovprepojenie"/>
          </w:rPr>
          <w:t>15.  USTANOVENIA O VYKONÁVANÍ PROGRAMU</w:t>
        </w:r>
        <w:r w:rsidR="00197171">
          <w:rPr>
            <w:webHidden/>
          </w:rPr>
          <w:tab/>
        </w:r>
        <w:r w:rsidR="00197171">
          <w:rPr>
            <w:webHidden/>
          </w:rPr>
          <w:fldChar w:fldCharType="begin"/>
        </w:r>
        <w:r w:rsidR="00197171">
          <w:rPr>
            <w:webHidden/>
          </w:rPr>
          <w:instrText xml:space="preserve"> PAGEREF _Toc387041354 \h </w:instrText>
        </w:r>
        <w:r w:rsidR="00197171">
          <w:rPr>
            <w:webHidden/>
          </w:rPr>
        </w:r>
        <w:r w:rsidR="00197171">
          <w:rPr>
            <w:webHidden/>
          </w:rPr>
          <w:fldChar w:fldCharType="separate"/>
        </w:r>
        <w:r w:rsidR="00197171">
          <w:rPr>
            <w:webHidden/>
          </w:rPr>
          <w:t>428</w:t>
        </w:r>
        <w:r w:rsidR="00197171">
          <w:rPr>
            <w:webHidden/>
          </w:rPr>
          <w:fldChar w:fldCharType="end"/>
        </w:r>
      </w:hyperlink>
    </w:p>
    <w:p w:rsidR="00197171" w:rsidRDefault="00954688" w:rsidP="00197171">
      <w:pPr>
        <w:pStyle w:val="Obsah1"/>
        <w:rPr>
          <w:rFonts w:asciiTheme="minorHAnsi" w:eastAsiaTheme="minorEastAsia" w:hAnsiTheme="minorHAnsi" w:cstheme="minorBidi"/>
          <w:sz w:val="22"/>
          <w:lang w:eastAsia="sk-SK"/>
        </w:rPr>
      </w:pPr>
      <w:hyperlink w:anchor="_Toc387041367" w:history="1">
        <w:r w:rsidR="001B3100">
          <w:rPr>
            <w:rStyle w:val="Hypertextovprepojenie"/>
          </w:rPr>
          <w:t xml:space="preserve">16. </w:t>
        </w:r>
        <w:r w:rsidR="00197171" w:rsidRPr="00103410">
          <w:rPr>
            <w:rStyle w:val="Hypertextovprepojenie"/>
          </w:rPr>
          <w:t>OPATRENIA PRIJATÉ NA ZAPOJENIE</w:t>
        </w:r>
        <w:r w:rsidR="00197171">
          <w:rPr>
            <w:rStyle w:val="Hypertextovprepojenie"/>
          </w:rPr>
          <w:t xml:space="preserve"> PARTNEROV UVEDENÝCH V ČLÁNKU 5 </w:t>
        </w:r>
        <w:r w:rsidR="00197171" w:rsidRPr="00103410">
          <w:rPr>
            <w:rStyle w:val="Hypertextovprepojenie"/>
          </w:rPr>
          <w:t>NARIADENIA(EÚ) Č. 1305/2013 A ZHRNUTIE VÝSLEDKOV KONZULTÁCIÍ S PARTNERMI</w:t>
        </w:r>
        <w:r w:rsidR="00197171">
          <w:rPr>
            <w:webHidden/>
          </w:rPr>
          <w:tab/>
        </w:r>
        <w:r w:rsidR="00197171">
          <w:rPr>
            <w:webHidden/>
          </w:rPr>
          <w:fldChar w:fldCharType="begin"/>
        </w:r>
        <w:r w:rsidR="00197171">
          <w:rPr>
            <w:webHidden/>
          </w:rPr>
          <w:instrText xml:space="preserve"> PAGEREF _Toc387041367 \h </w:instrText>
        </w:r>
        <w:r w:rsidR="00197171">
          <w:rPr>
            <w:webHidden/>
          </w:rPr>
        </w:r>
        <w:r w:rsidR="00197171">
          <w:rPr>
            <w:webHidden/>
          </w:rPr>
          <w:fldChar w:fldCharType="separate"/>
        </w:r>
        <w:r w:rsidR="00197171">
          <w:rPr>
            <w:webHidden/>
          </w:rPr>
          <w:t>438</w:t>
        </w:r>
        <w:r w:rsidR="00197171">
          <w:rPr>
            <w:webHidden/>
          </w:rPr>
          <w:fldChar w:fldCharType="end"/>
        </w:r>
      </w:hyperlink>
    </w:p>
    <w:p w:rsidR="00197171" w:rsidRDefault="00954688" w:rsidP="00197171">
      <w:pPr>
        <w:pStyle w:val="Obsah1"/>
        <w:rPr>
          <w:rFonts w:asciiTheme="minorHAnsi" w:eastAsiaTheme="minorEastAsia" w:hAnsiTheme="minorHAnsi" w:cstheme="minorBidi"/>
          <w:sz w:val="22"/>
          <w:lang w:eastAsia="sk-SK"/>
        </w:rPr>
      </w:pPr>
      <w:hyperlink w:anchor="_Toc387041370" w:history="1">
        <w:r w:rsidR="00197171" w:rsidRPr="00103410">
          <w:rPr>
            <w:rStyle w:val="Hypertextovprepojenie"/>
          </w:rPr>
          <w:t>17. NÁRODNÁ SIEŤ ROZVOJA VIDIEKA</w:t>
        </w:r>
        <w:r w:rsidR="00197171">
          <w:rPr>
            <w:webHidden/>
          </w:rPr>
          <w:tab/>
        </w:r>
        <w:r w:rsidR="00197171">
          <w:rPr>
            <w:webHidden/>
          </w:rPr>
          <w:fldChar w:fldCharType="begin"/>
        </w:r>
        <w:r w:rsidR="00197171">
          <w:rPr>
            <w:webHidden/>
          </w:rPr>
          <w:instrText xml:space="preserve"> PAGEREF _Toc387041370 \h </w:instrText>
        </w:r>
        <w:r w:rsidR="00197171">
          <w:rPr>
            <w:webHidden/>
          </w:rPr>
        </w:r>
        <w:r w:rsidR="00197171">
          <w:rPr>
            <w:webHidden/>
          </w:rPr>
          <w:fldChar w:fldCharType="separate"/>
        </w:r>
        <w:r w:rsidR="00197171">
          <w:rPr>
            <w:webHidden/>
          </w:rPr>
          <w:t>443</w:t>
        </w:r>
        <w:r w:rsidR="00197171">
          <w:rPr>
            <w:webHidden/>
          </w:rPr>
          <w:fldChar w:fldCharType="end"/>
        </w:r>
      </w:hyperlink>
    </w:p>
    <w:p w:rsidR="00197171" w:rsidRDefault="00954688" w:rsidP="00197171">
      <w:pPr>
        <w:pStyle w:val="Obsah1"/>
        <w:rPr>
          <w:rFonts w:asciiTheme="minorHAnsi" w:eastAsiaTheme="minorEastAsia" w:hAnsiTheme="minorHAnsi" w:cstheme="minorBidi"/>
          <w:sz w:val="22"/>
          <w:lang w:eastAsia="sk-SK"/>
        </w:rPr>
      </w:pPr>
      <w:hyperlink w:anchor="_Toc387041375" w:history="1">
        <w:r w:rsidR="00197171" w:rsidRPr="00103410">
          <w:rPr>
            <w:rStyle w:val="Hypertextovprepojenie"/>
          </w:rPr>
          <w:t>18. EX-ANTE POSÚDENIE OVERITEĽNOSTI, KONTROLOVATEĽNOSTI A RIZIKA CHÝB</w:t>
        </w:r>
        <w:r w:rsidR="00197171">
          <w:rPr>
            <w:webHidden/>
          </w:rPr>
          <w:tab/>
        </w:r>
        <w:r w:rsidR="00197171">
          <w:rPr>
            <w:webHidden/>
          </w:rPr>
          <w:fldChar w:fldCharType="begin"/>
        </w:r>
        <w:r w:rsidR="00197171">
          <w:rPr>
            <w:webHidden/>
          </w:rPr>
          <w:instrText xml:space="preserve"> PAGEREF _Toc387041375 \h </w:instrText>
        </w:r>
        <w:r w:rsidR="00197171">
          <w:rPr>
            <w:webHidden/>
          </w:rPr>
        </w:r>
        <w:r w:rsidR="00197171">
          <w:rPr>
            <w:webHidden/>
          </w:rPr>
          <w:fldChar w:fldCharType="separate"/>
        </w:r>
        <w:r w:rsidR="00197171">
          <w:rPr>
            <w:webHidden/>
          </w:rPr>
          <w:t>447</w:t>
        </w:r>
        <w:r w:rsidR="00197171">
          <w:rPr>
            <w:webHidden/>
          </w:rPr>
          <w:fldChar w:fldCharType="end"/>
        </w:r>
      </w:hyperlink>
    </w:p>
    <w:p w:rsidR="00197171" w:rsidRDefault="00954688" w:rsidP="00197171">
      <w:pPr>
        <w:pStyle w:val="Obsah1"/>
        <w:rPr>
          <w:rFonts w:asciiTheme="minorHAnsi" w:eastAsiaTheme="minorEastAsia" w:hAnsiTheme="minorHAnsi" w:cstheme="minorBidi"/>
          <w:sz w:val="22"/>
          <w:lang w:eastAsia="sk-SK"/>
        </w:rPr>
      </w:pPr>
      <w:hyperlink w:anchor="_Toc387041376" w:history="1">
        <w:r w:rsidR="00197171" w:rsidRPr="00103410">
          <w:rPr>
            <w:rStyle w:val="Hypertextovprepojenie"/>
          </w:rPr>
          <w:t>19. PRECHODNÉ USTANOVENIA</w:t>
        </w:r>
        <w:r w:rsidR="00197171">
          <w:rPr>
            <w:webHidden/>
          </w:rPr>
          <w:tab/>
        </w:r>
        <w:r w:rsidR="00197171">
          <w:rPr>
            <w:webHidden/>
          </w:rPr>
          <w:fldChar w:fldCharType="begin"/>
        </w:r>
        <w:r w:rsidR="00197171">
          <w:rPr>
            <w:webHidden/>
          </w:rPr>
          <w:instrText xml:space="preserve"> PAGEREF _Toc387041376 \h </w:instrText>
        </w:r>
        <w:r w:rsidR="00197171">
          <w:rPr>
            <w:webHidden/>
          </w:rPr>
        </w:r>
        <w:r w:rsidR="00197171">
          <w:rPr>
            <w:webHidden/>
          </w:rPr>
          <w:fldChar w:fldCharType="separate"/>
        </w:r>
        <w:r w:rsidR="00197171">
          <w:rPr>
            <w:webHidden/>
          </w:rPr>
          <w:t>449</w:t>
        </w:r>
        <w:r w:rsidR="00197171">
          <w:rPr>
            <w:webHidden/>
          </w:rPr>
          <w:fldChar w:fldCharType="end"/>
        </w:r>
      </w:hyperlink>
    </w:p>
    <w:p w:rsidR="00F73AED" w:rsidRPr="008E2B14" w:rsidRDefault="00A621B3" w:rsidP="00AA30CA">
      <w:pPr>
        <w:rPr>
          <w:rFonts w:ascii="Calibri" w:hAnsi="Calibri"/>
          <w:b/>
          <w:szCs w:val="22"/>
        </w:rPr>
      </w:pPr>
      <w:r>
        <w:rPr>
          <w:rFonts w:ascii="Calibri" w:hAnsi="Calibri"/>
          <w:b/>
          <w:szCs w:val="22"/>
        </w:rPr>
        <w:fldChar w:fldCharType="end"/>
      </w:r>
      <w:r w:rsidR="00AA30CA" w:rsidRPr="008E2B14">
        <w:rPr>
          <w:rFonts w:ascii="Calibri" w:hAnsi="Calibri"/>
          <w:b/>
          <w:szCs w:val="22"/>
        </w:rPr>
        <w:t xml:space="preserve"> </w:t>
      </w:r>
    </w:p>
    <w:p w:rsidR="002E2C49" w:rsidRDefault="00EC1746" w:rsidP="008676F9">
      <w:pPr>
        <w:tabs>
          <w:tab w:val="left" w:pos="8640"/>
        </w:tabs>
        <w:rPr>
          <w:rFonts w:ascii="Calibri" w:hAnsi="Calibri"/>
          <w:b/>
          <w:szCs w:val="22"/>
        </w:rPr>
      </w:pPr>
      <w:r>
        <w:rPr>
          <w:rFonts w:ascii="Calibri" w:hAnsi="Calibri"/>
          <w:b/>
          <w:szCs w:val="22"/>
        </w:rPr>
        <w:t xml:space="preserve">Príloha 1 </w:t>
      </w:r>
      <w:r w:rsidR="00532E41">
        <w:rPr>
          <w:rFonts w:ascii="Calibri" w:hAnsi="Calibri"/>
          <w:b/>
          <w:szCs w:val="22"/>
        </w:rPr>
        <w:t xml:space="preserve">– </w:t>
      </w:r>
      <w:r w:rsidR="00DF7247">
        <w:rPr>
          <w:rFonts w:ascii="Calibri" w:hAnsi="Calibri"/>
          <w:b/>
          <w:szCs w:val="22"/>
        </w:rPr>
        <w:t xml:space="preserve">SWOT - </w:t>
      </w:r>
      <w:r w:rsidR="00532E41">
        <w:rPr>
          <w:rFonts w:ascii="Calibri" w:hAnsi="Calibri"/>
          <w:b/>
          <w:szCs w:val="22"/>
        </w:rPr>
        <w:t>Kontextuálne ukazovatele SR</w:t>
      </w:r>
    </w:p>
    <w:p w:rsidR="00473094" w:rsidRDefault="00EC1746" w:rsidP="008676F9">
      <w:pPr>
        <w:tabs>
          <w:tab w:val="left" w:pos="8640"/>
        </w:tabs>
        <w:rPr>
          <w:rFonts w:ascii="Calibri" w:hAnsi="Calibri"/>
          <w:b/>
          <w:szCs w:val="22"/>
        </w:rPr>
      </w:pPr>
      <w:r>
        <w:rPr>
          <w:rFonts w:ascii="Calibri" w:hAnsi="Calibri"/>
          <w:b/>
          <w:szCs w:val="22"/>
        </w:rPr>
        <w:t xml:space="preserve">Príloha 2 </w:t>
      </w:r>
      <w:r w:rsidR="00DF7247">
        <w:rPr>
          <w:rFonts w:ascii="Calibri" w:hAnsi="Calibri"/>
          <w:b/>
          <w:szCs w:val="22"/>
        </w:rPr>
        <w:t>–</w:t>
      </w:r>
      <w:r w:rsidR="00473094">
        <w:rPr>
          <w:rFonts w:ascii="Calibri" w:hAnsi="Calibri"/>
          <w:b/>
          <w:szCs w:val="22"/>
        </w:rPr>
        <w:t xml:space="preserve"> Programovo špecifické kontextové ukazovatele (PSCI)</w:t>
      </w:r>
    </w:p>
    <w:p w:rsidR="0075211A" w:rsidRDefault="0075211A" w:rsidP="0075211A">
      <w:pPr>
        <w:ind w:left="993" w:hanging="993"/>
        <w:jc w:val="left"/>
        <w:rPr>
          <w:rFonts w:ascii="Calibri" w:hAnsi="Calibri"/>
          <w:b/>
          <w:szCs w:val="22"/>
        </w:rPr>
      </w:pPr>
      <w:r>
        <w:rPr>
          <w:rFonts w:ascii="Calibri" w:hAnsi="Calibri"/>
          <w:b/>
          <w:szCs w:val="22"/>
        </w:rPr>
        <w:t xml:space="preserve">Príloha 3 – </w:t>
      </w:r>
      <w:r w:rsidRPr="00AD5421">
        <w:rPr>
          <w:rFonts w:ascii="Calibri" w:hAnsi="Calibri"/>
          <w:b/>
          <w:szCs w:val="22"/>
        </w:rPr>
        <w:t>Veľkostná štruktúra poľnohospodárskych podnikov fyzických a právnických osôb na Slovensku</w:t>
      </w:r>
    </w:p>
    <w:p w:rsidR="00473094" w:rsidRPr="00FB0774" w:rsidRDefault="00473094" w:rsidP="00473094">
      <w:pPr>
        <w:ind w:left="1134" w:hanging="1134"/>
        <w:rPr>
          <w:b/>
          <w:bCs/>
          <w:color w:val="000000"/>
          <w:szCs w:val="22"/>
        </w:rPr>
      </w:pPr>
      <w:r>
        <w:rPr>
          <w:rFonts w:ascii="Calibri" w:hAnsi="Calibri"/>
          <w:b/>
          <w:szCs w:val="22"/>
        </w:rPr>
        <w:t xml:space="preserve">Príloha 4a) </w:t>
      </w:r>
      <w:r w:rsidRPr="00FB0774">
        <w:rPr>
          <w:b/>
          <w:bCs/>
          <w:color w:val="000000"/>
          <w:szCs w:val="22"/>
        </w:rPr>
        <w:t>Zoznam výrobkov v Slovenskej republike ako zaručené tradičné špeciality (ZTŠ) podľa hlavy III nariadenia EP a Rady (EÚ) č. 1151/2012 z 21. novembra 2012 o systémoch kvality pre poľnohospodárske výrobky a potraviny</w:t>
      </w:r>
    </w:p>
    <w:p w:rsidR="00473094" w:rsidRPr="000960D3" w:rsidRDefault="00473094" w:rsidP="00473094">
      <w:pPr>
        <w:ind w:left="1134" w:hanging="1134"/>
        <w:rPr>
          <w:b/>
          <w:bCs/>
          <w:color w:val="000000"/>
          <w:szCs w:val="22"/>
        </w:rPr>
      </w:pPr>
      <w:r>
        <w:rPr>
          <w:rFonts w:ascii="Calibri" w:hAnsi="Calibri"/>
          <w:b/>
          <w:szCs w:val="22"/>
        </w:rPr>
        <w:t xml:space="preserve">Príloha 4b) </w:t>
      </w:r>
      <w:r w:rsidRPr="00FB0774">
        <w:rPr>
          <w:b/>
          <w:bCs/>
          <w:color w:val="000000"/>
          <w:szCs w:val="22"/>
        </w:rPr>
        <w:t>Zoznam výrobkov v Slovenskej republike ako chránené označenie pôvodu a chránené zemepisné označenie (CHOP, CHZO) podľa hlavy II nariadenia EP a Rady (EÚ) č. 1151/2012 z 21. novembra 2012 o systémoch kvality pre poľnohospodárske výrobky a potraviny</w:t>
      </w:r>
    </w:p>
    <w:p w:rsidR="00E43137" w:rsidRDefault="00DF7247" w:rsidP="008676F9">
      <w:pPr>
        <w:tabs>
          <w:tab w:val="left" w:pos="8640"/>
        </w:tabs>
        <w:rPr>
          <w:rFonts w:ascii="Calibri" w:hAnsi="Calibri"/>
          <w:b/>
          <w:szCs w:val="22"/>
        </w:rPr>
      </w:pPr>
      <w:r>
        <w:rPr>
          <w:rFonts w:ascii="Calibri" w:hAnsi="Calibri"/>
          <w:b/>
          <w:szCs w:val="22"/>
        </w:rPr>
        <w:t xml:space="preserve">Príloha </w:t>
      </w:r>
      <w:r w:rsidR="00473094">
        <w:rPr>
          <w:rFonts w:ascii="Calibri" w:hAnsi="Calibri"/>
          <w:b/>
          <w:szCs w:val="22"/>
        </w:rPr>
        <w:t>5</w:t>
      </w:r>
      <w:r>
        <w:rPr>
          <w:rFonts w:ascii="Calibri" w:hAnsi="Calibri"/>
          <w:b/>
          <w:szCs w:val="22"/>
        </w:rPr>
        <w:t xml:space="preserve"> </w:t>
      </w:r>
      <w:r w:rsidR="00E43137">
        <w:rPr>
          <w:rFonts w:ascii="Calibri" w:hAnsi="Calibri"/>
          <w:b/>
          <w:szCs w:val="22"/>
        </w:rPr>
        <w:t>–</w:t>
      </w:r>
      <w:r>
        <w:rPr>
          <w:rFonts w:ascii="Calibri" w:hAnsi="Calibri"/>
          <w:b/>
          <w:szCs w:val="22"/>
        </w:rPr>
        <w:t xml:space="preserve"> </w:t>
      </w:r>
      <w:r w:rsidR="0075211A">
        <w:rPr>
          <w:rFonts w:ascii="Calibri" w:hAnsi="Calibri"/>
          <w:b/>
          <w:szCs w:val="22"/>
        </w:rPr>
        <w:t>Uplatňovanie horizontálnych princípov</w:t>
      </w:r>
    </w:p>
    <w:p w:rsidR="00060B3A" w:rsidRDefault="00060B3A" w:rsidP="008676F9">
      <w:pPr>
        <w:tabs>
          <w:tab w:val="left" w:pos="8640"/>
        </w:tabs>
        <w:rPr>
          <w:rFonts w:ascii="Calibri" w:hAnsi="Calibri"/>
          <w:b/>
          <w:szCs w:val="22"/>
        </w:rPr>
      </w:pPr>
      <w:r>
        <w:rPr>
          <w:rFonts w:ascii="Calibri" w:hAnsi="Calibri"/>
          <w:b/>
          <w:szCs w:val="22"/>
        </w:rPr>
        <w:t xml:space="preserve">Príloha </w:t>
      </w:r>
      <w:r w:rsidR="00473094">
        <w:rPr>
          <w:rFonts w:ascii="Calibri" w:hAnsi="Calibri"/>
          <w:b/>
          <w:szCs w:val="22"/>
        </w:rPr>
        <w:t>6</w:t>
      </w:r>
      <w:r>
        <w:rPr>
          <w:rFonts w:ascii="Calibri" w:hAnsi="Calibri"/>
          <w:b/>
          <w:szCs w:val="22"/>
        </w:rPr>
        <w:t xml:space="preserve"> – Verejné zdroje podľa opatrení</w:t>
      </w:r>
    </w:p>
    <w:p w:rsidR="00197171" w:rsidRDefault="00425CA0" w:rsidP="008676F9">
      <w:pPr>
        <w:tabs>
          <w:tab w:val="left" w:pos="8640"/>
        </w:tabs>
        <w:rPr>
          <w:rFonts w:ascii="Calibri" w:hAnsi="Calibri"/>
          <w:b/>
          <w:szCs w:val="22"/>
        </w:rPr>
      </w:pPr>
      <w:r>
        <w:rPr>
          <w:rFonts w:ascii="Calibri" w:hAnsi="Calibri"/>
          <w:b/>
          <w:szCs w:val="22"/>
        </w:rPr>
        <w:t xml:space="preserve">Príloha </w:t>
      </w:r>
      <w:r w:rsidR="00473094">
        <w:rPr>
          <w:rFonts w:ascii="Calibri" w:hAnsi="Calibri"/>
          <w:b/>
          <w:szCs w:val="22"/>
        </w:rPr>
        <w:t>7</w:t>
      </w:r>
      <w:r>
        <w:rPr>
          <w:rFonts w:ascii="Calibri" w:hAnsi="Calibri"/>
          <w:b/>
          <w:szCs w:val="22"/>
        </w:rPr>
        <w:t xml:space="preserve"> – Zoznam skratiek</w:t>
      </w:r>
    </w:p>
    <w:p w:rsidR="00076A54" w:rsidRDefault="00076A54" w:rsidP="008676F9">
      <w:pPr>
        <w:tabs>
          <w:tab w:val="left" w:pos="8640"/>
        </w:tabs>
        <w:rPr>
          <w:rFonts w:ascii="Calibri" w:hAnsi="Calibri"/>
          <w:b/>
          <w:szCs w:val="22"/>
        </w:rPr>
      </w:pPr>
      <w:r>
        <w:rPr>
          <w:rFonts w:ascii="Calibri" w:hAnsi="Calibri"/>
          <w:b/>
          <w:szCs w:val="22"/>
        </w:rPr>
        <w:t>Príloha 8 – Záverečná správa - Ex-ante hodnotenie PRV SR 2014-2020</w:t>
      </w:r>
    </w:p>
    <w:p w:rsidR="00076A54" w:rsidRDefault="00076A54" w:rsidP="008676F9">
      <w:pPr>
        <w:tabs>
          <w:tab w:val="left" w:pos="8640"/>
        </w:tabs>
        <w:rPr>
          <w:rFonts w:ascii="Calibri" w:hAnsi="Calibri"/>
          <w:b/>
          <w:szCs w:val="22"/>
        </w:rPr>
      </w:pPr>
      <w:r>
        <w:rPr>
          <w:rFonts w:ascii="Calibri" w:hAnsi="Calibri"/>
          <w:b/>
          <w:szCs w:val="22"/>
        </w:rPr>
        <w:t>Príloha 9 – Správa SEA</w:t>
      </w:r>
    </w:p>
    <w:p w:rsidR="00F57BCD" w:rsidRDefault="00197171" w:rsidP="00197171">
      <w:pPr>
        <w:jc w:val="left"/>
        <w:rPr>
          <w:rFonts w:ascii="Calibri" w:hAnsi="Calibri"/>
          <w:b/>
          <w:szCs w:val="22"/>
        </w:rPr>
      </w:pPr>
      <w:r>
        <w:rPr>
          <w:rFonts w:ascii="Calibri" w:hAnsi="Calibri"/>
          <w:b/>
          <w:szCs w:val="22"/>
        </w:rPr>
        <w:br w:type="page"/>
      </w:r>
    </w:p>
    <w:p w:rsidR="00E43137" w:rsidRPr="00E820E4" w:rsidRDefault="00E820E4" w:rsidP="00366F96">
      <w:pPr>
        <w:pStyle w:val="Hlavn"/>
      </w:pPr>
      <w:bookmarkStart w:id="0" w:name="_Toc387041282"/>
      <w:r w:rsidRPr="00E820E4">
        <w:rPr>
          <w:caps/>
        </w:rPr>
        <w:lastRenderedPageBreak/>
        <w:t>1.</w:t>
      </w:r>
      <w:r w:rsidRPr="00E820E4">
        <w:t xml:space="preserve"> </w:t>
      </w:r>
      <w:r w:rsidR="00E43137" w:rsidRPr="00E820E4">
        <w:t>NÁZOV PROGRAMU</w:t>
      </w:r>
      <w:bookmarkEnd w:id="0"/>
    </w:p>
    <w:p w:rsidR="00E43137" w:rsidRPr="004664C4" w:rsidRDefault="00E43137" w:rsidP="008676F9">
      <w:pPr>
        <w:ind w:left="284"/>
        <w:rPr>
          <w:rFonts w:ascii="Calibri" w:hAnsi="Calibri"/>
        </w:rPr>
      </w:pPr>
      <w:r w:rsidRPr="004664C4">
        <w:rPr>
          <w:rFonts w:ascii="Calibri" w:hAnsi="Calibri"/>
        </w:rPr>
        <w:t>Program rozvoja vidieka Slovenskej republiky 2014 – 2020</w:t>
      </w:r>
      <w:r w:rsidR="00E820E4">
        <w:rPr>
          <w:rFonts w:ascii="Calibri" w:hAnsi="Calibri"/>
        </w:rPr>
        <w:t>.</w:t>
      </w:r>
    </w:p>
    <w:p w:rsidR="00E43137" w:rsidRPr="004664C4" w:rsidRDefault="00E43137" w:rsidP="008676F9">
      <w:pPr>
        <w:ind w:left="284"/>
        <w:rPr>
          <w:rFonts w:ascii="Calibri" w:hAnsi="Calibri"/>
          <w:b/>
        </w:rPr>
      </w:pPr>
    </w:p>
    <w:p w:rsidR="00E43137" w:rsidRPr="008B05E0" w:rsidRDefault="00E820E4" w:rsidP="00366F96">
      <w:pPr>
        <w:pStyle w:val="Hlavn"/>
      </w:pPr>
      <w:bookmarkStart w:id="1" w:name="_Toc387041283"/>
      <w:r>
        <w:t xml:space="preserve">2. </w:t>
      </w:r>
      <w:r w:rsidR="00197171">
        <w:t>ČLENSKÝ ŠTÁT A ADMINISTRATÍVNA OBLASŤ</w:t>
      </w:r>
      <w:bookmarkEnd w:id="1"/>
    </w:p>
    <w:p w:rsidR="00E43137" w:rsidRPr="00BF6F2D" w:rsidRDefault="00E43137" w:rsidP="008B05E0">
      <w:pPr>
        <w:pStyle w:val="Pod"/>
        <w:rPr>
          <w:sz w:val="22"/>
          <w:szCs w:val="22"/>
        </w:rPr>
      </w:pPr>
      <w:bookmarkStart w:id="2" w:name="_Toc387041284"/>
      <w:r>
        <w:t xml:space="preserve">2.1. </w:t>
      </w:r>
      <w:r w:rsidRPr="00BF6F2D">
        <w:t>geografická oblasť, na ktorú sa program vzťahuje</w:t>
      </w:r>
      <w:bookmarkEnd w:id="2"/>
      <w:r w:rsidRPr="00BF6F2D">
        <w:t xml:space="preserve"> </w:t>
      </w:r>
    </w:p>
    <w:p w:rsidR="00E43137" w:rsidRPr="00F72531" w:rsidRDefault="00E43137" w:rsidP="008676F9">
      <w:pPr>
        <w:tabs>
          <w:tab w:val="num" w:pos="709"/>
        </w:tabs>
        <w:spacing w:after="120"/>
        <w:rPr>
          <w:rFonts w:ascii="Calibri" w:hAnsi="Calibri"/>
          <w:szCs w:val="22"/>
        </w:rPr>
      </w:pPr>
      <w:r w:rsidRPr="00F72531">
        <w:rPr>
          <w:rFonts w:ascii="Calibri" w:hAnsi="Calibri"/>
          <w:szCs w:val="22"/>
        </w:rPr>
        <w:t>Program rozvoja vidieka SR 2014 – 2020 sa vzťahuje na celé územie Slovenska</w:t>
      </w:r>
      <w:r>
        <w:rPr>
          <w:rFonts w:ascii="Calibri" w:hAnsi="Calibri"/>
          <w:szCs w:val="22"/>
        </w:rPr>
        <w:t xml:space="preserve"> (NUTS I)</w:t>
      </w:r>
      <w:r w:rsidRPr="00F72531">
        <w:rPr>
          <w:rFonts w:ascii="Calibri" w:hAnsi="Calibri"/>
          <w:szCs w:val="22"/>
        </w:rPr>
        <w:t>.</w:t>
      </w:r>
    </w:p>
    <w:p w:rsidR="00E43137" w:rsidRDefault="00E43137" w:rsidP="008676F9">
      <w:pPr>
        <w:pStyle w:val="tlText2VlastnfarbaRGB31"/>
        <w:pBdr>
          <w:bar w:val="single" w:sz="6" w:color="808080"/>
        </w:pBdr>
        <w:spacing w:after="120" w:line="240" w:lineRule="auto"/>
        <w:rPr>
          <w:color w:val="auto"/>
          <w:szCs w:val="22"/>
        </w:rPr>
      </w:pPr>
      <w:r>
        <w:rPr>
          <w:color w:val="auto"/>
          <w:szCs w:val="22"/>
        </w:rPr>
        <w:t>Slovensko má</w:t>
      </w:r>
      <w:r w:rsidRPr="00052467">
        <w:rPr>
          <w:color w:val="auto"/>
          <w:szCs w:val="22"/>
        </w:rPr>
        <w:t xml:space="preserve"> 5</w:t>
      </w:r>
      <w:r>
        <w:rPr>
          <w:color w:val="auto"/>
          <w:szCs w:val="22"/>
        </w:rPr>
        <w:t> 410 836 (2012)</w:t>
      </w:r>
      <w:r>
        <w:rPr>
          <w:rStyle w:val="Odkaznapoznmkupodiarou"/>
          <w:color w:val="auto"/>
          <w:szCs w:val="22"/>
        </w:rPr>
        <w:footnoteReference w:id="1"/>
      </w:r>
      <w:r>
        <w:rPr>
          <w:color w:val="auto"/>
          <w:szCs w:val="22"/>
        </w:rPr>
        <w:t xml:space="preserve"> obyvateľov a rozprestiera sa na ploche 49 036 km</w:t>
      </w:r>
      <w:r>
        <w:rPr>
          <w:color w:val="auto"/>
          <w:szCs w:val="22"/>
          <w:vertAlign w:val="superscript"/>
        </w:rPr>
        <w:t>2</w:t>
      </w:r>
      <w:r>
        <w:rPr>
          <w:color w:val="auto"/>
          <w:szCs w:val="22"/>
        </w:rPr>
        <w:t xml:space="preserve">. Vysočiny a hory pokrývajú 60% územia, nížiny 40%. Z celoeurópskeho hľadiska má charakter podhorskej až horskej krajiny. </w:t>
      </w:r>
    </w:p>
    <w:p w:rsidR="00E43137" w:rsidRPr="008B660D" w:rsidRDefault="00E43137" w:rsidP="008676F9">
      <w:pPr>
        <w:spacing w:after="120"/>
        <w:rPr>
          <w:rFonts w:ascii="Calibri" w:eastAsia="Calibri" w:hAnsi="Calibri"/>
          <w:szCs w:val="22"/>
          <w:lang w:eastAsia="en-US"/>
        </w:rPr>
      </w:pPr>
      <w:r>
        <w:rPr>
          <w:rFonts w:ascii="Calibri" w:eastAsia="Calibri" w:hAnsi="Calibri"/>
          <w:szCs w:val="22"/>
          <w:lang w:eastAsia="en-US"/>
        </w:rPr>
        <w:t>Podľa územno-právneho členenia sa Slovensko delí na 4 oblasti (NUTS 2)</w:t>
      </w:r>
      <w:r w:rsidR="00290520">
        <w:rPr>
          <w:rFonts w:ascii="Calibri" w:eastAsia="Calibri" w:hAnsi="Calibri"/>
          <w:szCs w:val="22"/>
          <w:lang w:eastAsia="en-US"/>
        </w:rPr>
        <w:t>,</w:t>
      </w:r>
      <w:r>
        <w:rPr>
          <w:rFonts w:ascii="Calibri" w:eastAsia="Calibri" w:hAnsi="Calibri"/>
          <w:szCs w:val="22"/>
          <w:lang w:eastAsia="en-US"/>
        </w:rPr>
        <w:t xml:space="preserve"> 8 krajov (NUTS 3), 79 okresov (LAU1), 2890 obcí (LAU2) z toho 138 so štatútom mesta.</w:t>
      </w:r>
    </w:p>
    <w:p w:rsidR="00E43137" w:rsidRDefault="00E43137" w:rsidP="008676F9">
      <w:pPr>
        <w:pStyle w:val="tlText2VlastnfarbaRGB31"/>
        <w:pBdr>
          <w:bar w:val="single" w:sz="6" w:color="808080"/>
        </w:pBdr>
        <w:spacing w:after="120" w:line="240" w:lineRule="auto"/>
        <w:rPr>
          <w:color w:val="auto"/>
          <w:szCs w:val="22"/>
        </w:rPr>
      </w:pPr>
      <w:r w:rsidRPr="00052467">
        <w:rPr>
          <w:color w:val="auto"/>
          <w:szCs w:val="22"/>
        </w:rPr>
        <w:t xml:space="preserve">Na základe </w:t>
      </w:r>
      <w:r>
        <w:rPr>
          <w:color w:val="auto"/>
          <w:szCs w:val="22"/>
        </w:rPr>
        <w:t xml:space="preserve">novej typológie vidieckych oblastí vypracovanej EK </w:t>
      </w:r>
      <w:r w:rsidRPr="00052467">
        <w:rPr>
          <w:color w:val="auto"/>
          <w:szCs w:val="22"/>
        </w:rPr>
        <w:t>trvalo bývalo na Slovens</w:t>
      </w:r>
      <w:r>
        <w:rPr>
          <w:color w:val="auto"/>
          <w:szCs w:val="22"/>
        </w:rPr>
        <w:t>ku v</w:t>
      </w:r>
      <w:r w:rsidRPr="00052467">
        <w:rPr>
          <w:color w:val="auto"/>
          <w:szCs w:val="22"/>
        </w:rPr>
        <w:t> roku 2012 v</w:t>
      </w:r>
      <w:r>
        <w:rPr>
          <w:color w:val="auto"/>
          <w:szCs w:val="22"/>
        </w:rPr>
        <w:t> prevažne vidieckych</w:t>
      </w:r>
      <w:r w:rsidRPr="00052467">
        <w:rPr>
          <w:color w:val="auto"/>
          <w:szCs w:val="22"/>
        </w:rPr>
        <w:t xml:space="preserve"> oblastiach 50,3%, v prechodných oblastiach 38,</w:t>
      </w:r>
      <w:r>
        <w:rPr>
          <w:color w:val="auto"/>
          <w:szCs w:val="22"/>
        </w:rPr>
        <w:t>3</w:t>
      </w:r>
      <w:r w:rsidRPr="00052467">
        <w:rPr>
          <w:color w:val="auto"/>
          <w:szCs w:val="22"/>
        </w:rPr>
        <w:t xml:space="preserve"> % a v</w:t>
      </w:r>
      <w:r>
        <w:rPr>
          <w:color w:val="auto"/>
          <w:szCs w:val="22"/>
        </w:rPr>
        <w:t xml:space="preserve"> prevažne </w:t>
      </w:r>
      <w:r w:rsidRPr="00052467">
        <w:rPr>
          <w:color w:val="auto"/>
          <w:szCs w:val="22"/>
        </w:rPr>
        <w:t>mestských oblastiach 11,</w:t>
      </w:r>
      <w:r>
        <w:rPr>
          <w:color w:val="auto"/>
          <w:szCs w:val="22"/>
        </w:rPr>
        <w:t>4</w:t>
      </w:r>
      <w:bookmarkStart w:id="3" w:name="_GoBack"/>
      <w:bookmarkEnd w:id="3"/>
      <w:r w:rsidRPr="00052467">
        <w:rPr>
          <w:color w:val="auto"/>
          <w:szCs w:val="22"/>
        </w:rPr>
        <w:t xml:space="preserve"> % obyvateľstva. Z celkovej rozlohy SR podľa jednotlivých typov regiónov najväčší podiel 59 % je tiež pri prevažne vidieckych, 36,8 %-ný podiel majú prechodné regióny a najnižší podiel 4,2 % predstavujú prevažne mestské regióny. Spolu vidiecke regióny tak predstavujú 95,8 % rozlohy SR.</w:t>
      </w:r>
      <w:r>
        <w:rPr>
          <w:rStyle w:val="Odkaznapoznmkupodiarou"/>
          <w:color w:val="auto"/>
          <w:szCs w:val="22"/>
        </w:rPr>
        <w:footnoteReference w:id="2"/>
      </w:r>
      <w:r w:rsidRPr="00052467">
        <w:rPr>
          <w:color w:val="auto"/>
          <w:szCs w:val="22"/>
        </w:rPr>
        <w:t xml:space="preserve"> </w:t>
      </w:r>
    </w:p>
    <w:p w:rsidR="00E43137" w:rsidRPr="00052467" w:rsidRDefault="00E43137" w:rsidP="008676F9">
      <w:pPr>
        <w:pStyle w:val="tlText2VlastnfarbaRGB31"/>
        <w:pBdr>
          <w:bar w:val="single" w:sz="6" w:color="808080"/>
        </w:pBdr>
        <w:spacing w:after="120" w:line="240" w:lineRule="auto"/>
        <w:rPr>
          <w:color w:val="auto"/>
          <w:szCs w:val="22"/>
        </w:rPr>
      </w:pPr>
    </w:p>
    <w:p w:rsidR="00E43137" w:rsidRDefault="00E43137" w:rsidP="008676F9">
      <w:pPr>
        <w:rPr>
          <w:rFonts w:ascii="Calibri" w:hAnsi="Calibri"/>
          <w:b/>
          <w:smallCaps/>
        </w:rPr>
      </w:pPr>
      <w:r>
        <w:rPr>
          <w:rFonts w:ascii="Calibri" w:hAnsi="Calibri"/>
          <w:b/>
          <w:smallCaps/>
        </w:rPr>
        <w:t xml:space="preserve">2.2. </w:t>
      </w:r>
      <w:r w:rsidRPr="00F72531">
        <w:rPr>
          <w:rFonts w:ascii="Calibri" w:hAnsi="Calibri"/>
          <w:b/>
          <w:smallCaps/>
        </w:rPr>
        <w:t>klasifikácia regiónu</w:t>
      </w:r>
    </w:p>
    <w:p w:rsidR="00E43137" w:rsidRPr="002E3612" w:rsidRDefault="00E43137" w:rsidP="008676F9">
      <w:pPr>
        <w:tabs>
          <w:tab w:val="num" w:pos="284"/>
        </w:tabs>
        <w:autoSpaceDE w:val="0"/>
        <w:autoSpaceDN w:val="0"/>
        <w:adjustRightInd w:val="0"/>
        <w:spacing w:after="120"/>
        <w:rPr>
          <w:rFonts w:ascii="Calibri" w:hAnsi="Calibri" w:cs="TimesNewRomanPS-BoldItalicMT"/>
          <w:bCs/>
          <w:iCs/>
          <w:szCs w:val="22"/>
        </w:rPr>
      </w:pPr>
      <w:r w:rsidRPr="002E3612">
        <w:rPr>
          <w:rFonts w:ascii="Calibri" w:hAnsi="Calibri" w:cs="TimesNewRomanPS-BoldItalicMT"/>
          <w:bCs/>
          <w:i/>
          <w:iCs/>
          <w:szCs w:val="22"/>
        </w:rPr>
        <w:t>Región</w:t>
      </w:r>
      <w:r>
        <w:rPr>
          <w:rStyle w:val="Odkaznapoznmkupodiarou"/>
          <w:rFonts w:ascii="Calibri" w:hAnsi="Calibri" w:cs="TimesNewRomanPS-BoldItalicMT"/>
          <w:bCs/>
          <w:i/>
          <w:iCs/>
          <w:szCs w:val="22"/>
        </w:rPr>
        <w:footnoteReference w:id="3"/>
      </w:r>
      <w:r w:rsidRPr="002E3612">
        <w:rPr>
          <w:rFonts w:ascii="Calibri" w:hAnsi="Calibri" w:cs="TimesNewRomanPS-BoldItalicMT"/>
          <w:bCs/>
          <w:iCs/>
          <w:szCs w:val="22"/>
        </w:rPr>
        <w:t xml:space="preserve"> je územná jednotka zodpovedajúca úrovni NUTS</w:t>
      </w:r>
      <w:r>
        <w:rPr>
          <w:rFonts w:ascii="Calibri" w:hAnsi="Calibri" w:cs="TimesNewRomanPS-BoldItalicMT"/>
          <w:bCs/>
          <w:iCs/>
          <w:szCs w:val="22"/>
        </w:rPr>
        <w:t xml:space="preserve"> 1 alebo 2</w:t>
      </w:r>
      <w:r w:rsidRPr="002E3612">
        <w:rPr>
          <w:rFonts w:ascii="Calibri" w:hAnsi="Calibri" w:cs="TimesNewRomanPS-BoldItalicMT"/>
          <w:bCs/>
          <w:iCs/>
          <w:szCs w:val="22"/>
        </w:rPr>
        <w:t xml:space="preserve"> v zmysle nariadeni</w:t>
      </w:r>
      <w:r>
        <w:rPr>
          <w:rFonts w:ascii="Calibri" w:hAnsi="Calibri" w:cs="TimesNewRomanPS-BoldItalicMT"/>
          <w:bCs/>
          <w:iCs/>
          <w:szCs w:val="22"/>
        </w:rPr>
        <w:t>a (ES) č. 1059/2003</w:t>
      </w:r>
      <w:r w:rsidRPr="002E3612">
        <w:rPr>
          <w:rFonts w:ascii="Calibri" w:hAnsi="Calibri" w:cs="TimesNewRomanPS-BoldItalicMT"/>
          <w:bCs/>
          <w:iCs/>
          <w:szCs w:val="22"/>
        </w:rPr>
        <w:t>.</w:t>
      </w:r>
    </w:p>
    <w:p w:rsidR="00E43137" w:rsidRDefault="00E43137" w:rsidP="008676F9">
      <w:pPr>
        <w:tabs>
          <w:tab w:val="num" w:pos="284"/>
        </w:tabs>
        <w:autoSpaceDE w:val="0"/>
        <w:autoSpaceDN w:val="0"/>
        <w:adjustRightInd w:val="0"/>
        <w:spacing w:after="120"/>
        <w:rPr>
          <w:rFonts w:ascii="Calibri" w:hAnsi="Calibri" w:cs="TimesNewRomanPS-BoldItalicMT"/>
          <w:bCs/>
          <w:iCs/>
          <w:szCs w:val="22"/>
        </w:rPr>
      </w:pPr>
      <w:r w:rsidRPr="002E3612">
        <w:rPr>
          <w:rFonts w:ascii="Calibri" w:hAnsi="Calibri" w:cs="TimesNewRomanPS-BoldItalicMT"/>
          <w:bCs/>
          <w:i/>
          <w:iCs/>
          <w:szCs w:val="22"/>
        </w:rPr>
        <w:t>Menej rozvinutý región</w:t>
      </w:r>
      <w:r>
        <w:rPr>
          <w:rStyle w:val="Odkaznapoznmkupodiarou"/>
          <w:rFonts w:ascii="Calibri" w:hAnsi="Calibri" w:cs="TimesNewRomanPS-BoldItalicMT"/>
          <w:bCs/>
          <w:i/>
          <w:iCs/>
          <w:szCs w:val="22"/>
        </w:rPr>
        <w:footnoteReference w:id="4"/>
      </w:r>
      <w:r w:rsidRPr="002E3612">
        <w:rPr>
          <w:rFonts w:ascii="Calibri" w:hAnsi="Calibri" w:cs="TimesNewRomanPS-BoldItalicMT"/>
          <w:bCs/>
          <w:iCs/>
          <w:szCs w:val="22"/>
        </w:rPr>
        <w:t xml:space="preserve"> je región, ktorého hrubý domáci produkt (HDP) na obyvateľa je nižší ako </w:t>
      </w:r>
      <w:r>
        <w:rPr>
          <w:rFonts w:ascii="Calibri" w:hAnsi="Calibri" w:cs="TimesNewRomanPS-BoldItalicMT"/>
          <w:bCs/>
          <w:iCs/>
          <w:szCs w:val="22"/>
        </w:rPr>
        <w:t xml:space="preserve">75% </w:t>
      </w:r>
      <w:r w:rsidRPr="002E3612">
        <w:rPr>
          <w:rFonts w:ascii="Calibri" w:hAnsi="Calibri" w:cs="TimesNewRomanPS-BoldItalicMT"/>
          <w:bCs/>
          <w:iCs/>
          <w:szCs w:val="22"/>
        </w:rPr>
        <w:t>priemeru HDP EÚ 27.</w:t>
      </w:r>
    </w:p>
    <w:p w:rsidR="00F832C9" w:rsidRDefault="00F832C9" w:rsidP="008676F9">
      <w:pPr>
        <w:tabs>
          <w:tab w:val="num" w:pos="284"/>
        </w:tabs>
        <w:autoSpaceDE w:val="0"/>
        <w:autoSpaceDN w:val="0"/>
        <w:adjustRightInd w:val="0"/>
        <w:spacing w:after="120"/>
        <w:rPr>
          <w:rFonts w:ascii="Calibri" w:hAnsi="Calibri" w:cs="TimesNewRomanPS-BoldItalicMT"/>
          <w:bCs/>
          <w:iCs/>
          <w:szCs w:val="22"/>
        </w:rPr>
      </w:pPr>
    </w:p>
    <w:p w:rsidR="00F832C9" w:rsidRPr="002E3612" w:rsidRDefault="00F832C9" w:rsidP="008676F9">
      <w:pPr>
        <w:tabs>
          <w:tab w:val="num" w:pos="284"/>
        </w:tabs>
        <w:autoSpaceDE w:val="0"/>
        <w:autoSpaceDN w:val="0"/>
        <w:adjustRightInd w:val="0"/>
        <w:spacing w:after="120"/>
        <w:rPr>
          <w:rFonts w:ascii="Calibri" w:hAnsi="Calibri" w:cs="TimesNewRomanPS-BoldItalicMT"/>
          <w:bCs/>
          <w:iCs/>
          <w:szCs w:val="22"/>
        </w:rPr>
      </w:pPr>
      <w:r>
        <w:rPr>
          <w:rFonts w:ascii="Calibri" w:hAnsi="Calibri" w:cs="TimesNewRomanPS-BoldItalicMT"/>
          <w:bCs/>
          <w:iCs/>
          <w:szCs w:val="22"/>
        </w:rPr>
        <w:t>Tabuľka 1</w:t>
      </w:r>
    </w:p>
    <w:tbl>
      <w:tblPr>
        <w:tblpPr w:leftFromText="141" w:rightFromText="141" w:vertAnchor="page" w:horzAnchor="margin" w:tblpY="9451"/>
        <w:tblW w:w="9102" w:type="dxa"/>
        <w:tblLayout w:type="fixed"/>
        <w:tblCellMar>
          <w:left w:w="30" w:type="dxa"/>
          <w:right w:w="30" w:type="dxa"/>
        </w:tblCellMar>
        <w:tblLook w:val="0000" w:firstRow="0" w:lastRow="0" w:firstColumn="0" w:lastColumn="0" w:noHBand="0" w:noVBand="0"/>
      </w:tblPr>
      <w:tblGrid>
        <w:gridCol w:w="5133"/>
        <w:gridCol w:w="3969"/>
      </w:tblGrid>
      <w:tr w:rsidR="00E43137" w:rsidRPr="000E7871" w:rsidTr="00F832C9">
        <w:trPr>
          <w:cantSplit/>
          <w:trHeight w:val="320"/>
        </w:trPr>
        <w:tc>
          <w:tcPr>
            <w:tcW w:w="5133" w:type="dxa"/>
            <w:tcBorders>
              <w:top w:val="single" w:sz="6" w:space="0" w:color="auto"/>
              <w:left w:val="single" w:sz="6" w:space="0" w:color="auto"/>
              <w:right w:val="single" w:sz="6" w:space="0" w:color="auto"/>
            </w:tcBorders>
            <w:shd w:val="clear" w:color="auto" w:fill="DAEEF3"/>
            <w:vAlign w:val="center"/>
          </w:tcPr>
          <w:p w:rsidR="00E43137" w:rsidRPr="002A2B60" w:rsidRDefault="00E43137" w:rsidP="00F832C9">
            <w:pPr>
              <w:jc w:val="center"/>
              <w:rPr>
                <w:rFonts w:ascii="Calibri" w:hAnsi="Calibri"/>
                <w:b/>
                <w:snapToGrid w:val="0"/>
                <w:sz w:val="20"/>
                <w:szCs w:val="20"/>
              </w:rPr>
            </w:pPr>
            <w:r w:rsidRPr="002A2B60">
              <w:rPr>
                <w:rFonts w:ascii="Calibri" w:hAnsi="Calibri"/>
                <w:b/>
                <w:snapToGrid w:val="0"/>
                <w:sz w:val="20"/>
                <w:szCs w:val="20"/>
              </w:rPr>
              <w:t xml:space="preserve">Územie na úrovni NUTS </w:t>
            </w:r>
            <w:r>
              <w:rPr>
                <w:rFonts w:ascii="Calibri" w:hAnsi="Calibri"/>
                <w:b/>
                <w:snapToGrid w:val="0"/>
                <w:sz w:val="20"/>
                <w:szCs w:val="20"/>
              </w:rPr>
              <w:t>2</w:t>
            </w:r>
          </w:p>
        </w:tc>
        <w:tc>
          <w:tcPr>
            <w:tcW w:w="3969" w:type="dxa"/>
            <w:tcBorders>
              <w:top w:val="single" w:sz="4" w:space="0" w:color="auto"/>
              <w:left w:val="single" w:sz="6" w:space="0" w:color="auto"/>
              <w:right w:val="single" w:sz="6" w:space="0" w:color="auto"/>
            </w:tcBorders>
            <w:shd w:val="clear" w:color="auto" w:fill="DAEEF3"/>
            <w:vAlign w:val="center"/>
          </w:tcPr>
          <w:p w:rsidR="00E43137" w:rsidRPr="002A2B60" w:rsidRDefault="00E43137" w:rsidP="00F832C9">
            <w:pPr>
              <w:jc w:val="center"/>
              <w:rPr>
                <w:rFonts w:ascii="Calibri" w:hAnsi="Calibri"/>
                <w:b/>
                <w:snapToGrid w:val="0"/>
                <w:sz w:val="20"/>
                <w:szCs w:val="20"/>
              </w:rPr>
            </w:pPr>
            <w:r w:rsidRPr="002A2B60">
              <w:rPr>
                <w:rFonts w:ascii="Calibri" w:hAnsi="Calibri"/>
                <w:b/>
                <w:snapToGrid w:val="0"/>
                <w:sz w:val="20"/>
                <w:szCs w:val="20"/>
              </w:rPr>
              <w:t xml:space="preserve">Región </w:t>
            </w:r>
          </w:p>
        </w:tc>
      </w:tr>
      <w:tr w:rsidR="00E43137" w:rsidRPr="00152B66" w:rsidTr="00F832C9">
        <w:trPr>
          <w:trHeight w:val="320"/>
        </w:trPr>
        <w:tc>
          <w:tcPr>
            <w:tcW w:w="5133" w:type="dxa"/>
            <w:tcBorders>
              <w:top w:val="single" w:sz="4" w:space="0" w:color="auto"/>
              <w:left w:val="single" w:sz="6" w:space="0" w:color="auto"/>
              <w:bottom w:val="single" w:sz="4" w:space="0" w:color="auto"/>
            </w:tcBorders>
          </w:tcPr>
          <w:p w:rsidR="00E43137" w:rsidRPr="002A2B60" w:rsidRDefault="00E43137" w:rsidP="00F832C9">
            <w:pPr>
              <w:rPr>
                <w:rFonts w:ascii="Calibri" w:hAnsi="Calibri"/>
                <w:snapToGrid w:val="0"/>
                <w:sz w:val="20"/>
                <w:szCs w:val="20"/>
              </w:rPr>
            </w:pPr>
            <w:r w:rsidRPr="002A2B60">
              <w:rPr>
                <w:rFonts w:ascii="Calibri" w:hAnsi="Calibri"/>
                <w:snapToGrid w:val="0"/>
                <w:sz w:val="20"/>
                <w:szCs w:val="20"/>
              </w:rPr>
              <w:t>Bratislavský kraj</w:t>
            </w:r>
          </w:p>
        </w:tc>
        <w:tc>
          <w:tcPr>
            <w:tcW w:w="3969" w:type="dxa"/>
            <w:tcBorders>
              <w:top w:val="single" w:sz="4" w:space="0" w:color="auto"/>
              <w:left w:val="single" w:sz="6" w:space="0" w:color="auto"/>
              <w:bottom w:val="single" w:sz="4" w:space="0" w:color="auto"/>
              <w:right w:val="single" w:sz="6" w:space="0" w:color="auto"/>
            </w:tcBorders>
            <w:vAlign w:val="center"/>
          </w:tcPr>
          <w:p w:rsidR="00E43137" w:rsidRPr="002A2B60" w:rsidRDefault="00E43137" w:rsidP="00F832C9">
            <w:pPr>
              <w:jc w:val="center"/>
              <w:rPr>
                <w:rFonts w:ascii="Calibri" w:hAnsi="Calibri"/>
                <w:snapToGrid w:val="0"/>
                <w:sz w:val="20"/>
                <w:szCs w:val="20"/>
              </w:rPr>
            </w:pPr>
            <w:r w:rsidRPr="002A2B60">
              <w:rPr>
                <w:rFonts w:ascii="Calibri" w:hAnsi="Calibri"/>
                <w:snapToGrid w:val="0"/>
                <w:sz w:val="20"/>
                <w:szCs w:val="20"/>
              </w:rPr>
              <w:t>Ostatné regióny</w:t>
            </w:r>
          </w:p>
        </w:tc>
      </w:tr>
      <w:tr w:rsidR="00E43137" w:rsidRPr="00152B66" w:rsidTr="00F832C9">
        <w:trPr>
          <w:trHeight w:val="320"/>
        </w:trPr>
        <w:tc>
          <w:tcPr>
            <w:tcW w:w="5133" w:type="dxa"/>
            <w:tcBorders>
              <w:top w:val="single" w:sz="4" w:space="0" w:color="auto"/>
              <w:left w:val="single" w:sz="6" w:space="0" w:color="auto"/>
              <w:bottom w:val="single" w:sz="4" w:space="0" w:color="auto"/>
            </w:tcBorders>
          </w:tcPr>
          <w:p w:rsidR="00E43137" w:rsidRPr="002A2B60" w:rsidRDefault="00E43137" w:rsidP="00F832C9">
            <w:pPr>
              <w:rPr>
                <w:rFonts w:ascii="Calibri" w:hAnsi="Calibri"/>
                <w:b/>
                <w:snapToGrid w:val="0"/>
                <w:sz w:val="20"/>
                <w:szCs w:val="20"/>
              </w:rPr>
            </w:pPr>
            <w:r w:rsidRPr="002A2B60">
              <w:rPr>
                <w:rFonts w:ascii="Calibri" w:hAnsi="Calibri"/>
                <w:b/>
                <w:snapToGrid w:val="0"/>
                <w:sz w:val="20"/>
                <w:szCs w:val="20"/>
              </w:rPr>
              <w:t xml:space="preserve">Západné Slovensko </w:t>
            </w:r>
            <w:r w:rsidRPr="002A2B60">
              <w:rPr>
                <w:rFonts w:ascii="Calibri" w:hAnsi="Calibri"/>
                <w:snapToGrid w:val="0"/>
                <w:sz w:val="20"/>
                <w:szCs w:val="20"/>
              </w:rPr>
              <w:t>(Kraje: Nitriansky,</w:t>
            </w:r>
            <w:r>
              <w:rPr>
                <w:rFonts w:ascii="Calibri" w:hAnsi="Calibri"/>
                <w:snapToGrid w:val="0"/>
                <w:sz w:val="20"/>
                <w:szCs w:val="20"/>
              </w:rPr>
              <w:t xml:space="preserve"> </w:t>
            </w:r>
            <w:r w:rsidRPr="002A2B60">
              <w:rPr>
                <w:rFonts w:ascii="Calibri" w:hAnsi="Calibri"/>
                <w:snapToGrid w:val="0"/>
                <w:sz w:val="20"/>
                <w:szCs w:val="20"/>
              </w:rPr>
              <w:t>Trnavský, Trenčiansky)</w:t>
            </w:r>
          </w:p>
        </w:tc>
        <w:tc>
          <w:tcPr>
            <w:tcW w:w="3969" w:type="dxa"/>
            <w:tcBorders>
              <w:top w:val="single" w:sz="4" w:space="0" w:color="auto"/>
              <w:left w:val="single" w:sz="6" w:space="0" w:color="auto"/>
              <w:bottom w:val="single" w:sz="4" w:space="0" w:color="auto"/>
              <w:right w:val="single" w:sz="6" w:space="0" w:color="auto"/>
            </w:tcBorders>
            <w:vAlign w:val="center"/>
          </w:tcPr>
          <w:p w:rsidR="00E43137" w:rsidRPr="002A2B60" w:rsidRDefault="00E43137" w:rsidP="00F832C9">
            <w:pPr>
              <w:jc w:val="center"/>
              <w:rPr>
                <w:rFonts w:ascii="Calibri" w:hAnsi="Calibri"/>
                <w:b/>
                <w:snapToGrid w:val="0"/>
                <w:sz w:val="20"/>
                <w:szCs w:val="20"/>
              </w:rPr>
            </w:pPr>
            <w:r w:rsidRPr="002A2B60">
              <w:rPr>
                <w:rFonts w:ascii="Calibri" w:hAnsi="Calibri"/>
                <w:b/>
                <w:snapToGrid w:val="0"/>
                <w:sz w:val="20"/>
                <w:szCs w:val="20"/>
              </w:rPr>
              <w:t>Menej rozvinuté regióny</w:t>
            </w:r>
          </w:p>
        </w:tc>
      </w:tr>
      <w:tr w:rsidR="00E43137" w:rsidRPr="00152B66" w:rsidTr="00F832C9">
        <w:trPr>
          <w:trHeight w:val="320"/>
        </w:trPr>
        <w:tc>
          <w:tcPr>
            <w:tcW w:w="5133" w:type="dxa"/>
            <w:tcBorders>
              <w:top w:val="single" w:sz="4" w:space="0" w:color="auto"/>
              <w:left w:val="single" w:sz="6" w:space="0" w:color="auto"/>
              <w:bottom w:val="single" w:sz="4" w:space="0" w:color="auto"/>
            </w:tcBorders>
          </w:tcPr>
          <w:p w:rsidR="00E43137" w:rsidRPr="002A2B60" w:rsidRDefault="00E43137" w:rsidP="00F832C9">
            <w:pPr>
              <w:rPr>
                <w:rFonts w:ascii="Calibri" w:hAnsi="Calibri"/>
                <w:b/>
                <w:snapToGrid w:val="0"/>
                <w:sz w:val="20"/>
                <w:szCs w:val="20"/>
              </w:rPr>
            </w:pPr>
            <w:r w:rsidRPr="002A2B60">
              <w:rPr>
                <w:rFonts w:ascii="Calibri" w:hAnsi="Calibri"/>
                <w:b/>
                <w:snapToGrid w:val="0"/>
                <w:sz w:val="20"/>
                <w:szCs w:val="20"/>
              </w:rPr>
              <w:t>Stredné Slovensko</w:t>
            </w:r>
            <w:r>
              <w:rPr>
                <w:rFonts w:ascii="Calibri" w:hAnsi="Calibri"/>
                <w:b/>
                <w:snapToGrid w:val="0"/>
                <w:sz w:val="20"/>
                <w:szCs w:val="20"/>
              </w:rPr>
              <w:t xml:space="preserve"> </w:t>
            </w:r>
            <w:r w:rsidRPr="00AD1D24">
              <w:rPr>
                <w:rFonts w:ascii="Calibri" w:hAnsi="Calibri"/>
                <w:snapToGrid w:val="0"/>
                <w:sz w:val="20"/>
                <w:szCs w:val="20"/>
              </w:rPr>
              <w:t>(Kraje</w:t>
            </w:r>
            <w:r w:rsidRPr="002A2B60">
              <w:rPr>
                <w:rFonts w:ascii="Calibri" w:hAnsi="Calibri"/>
                <w:snapToGrid w:val="0"/>
                <w:sz w:val="20"/>
                <w:szCs w:val="20"/>
              </w:rPr>
              <w:t>: Banskobystrický, Žilinský)</w:t>
            </w:r>
          </w:p>
        </w:tc>
        <w:tc>
          <w:tcPr>
            <w:tcW w:w="3969" w:type="dxa"/>
            <w:tcBorders>
              <w:top w:val="single" w:sz="4" w:space="0" w:color="auto"/>
              <w:left w:val="single" w:sz="6" w:space="0" w:color="auto"/>
              <w:bottom w:val="single" w:sz="4" w:space="0" w:color="auto"/>
              <w:right w:val="single" w:sz="6" w:space="0" w:color="auto"/>
            </w:tcBorders>
            <w:vAlign w:val="center"/>
          </w:tcPr>
          <w:p w:rsidR="00E43137" w:rsidRPr="002A2B60" w:rsidRDefault="00E43137" w:rsidP="00F832C9">
            <w:pPr>
              <w:jc w:val="center"/>
              <w:rPr>
                <w:rFonts w:ascii="Calibri" w:hAnsi="Calibri"/>
                <w:b/>
                <w:snapToGrid w:val="0"/>
                <w:sz w:val="20"/>
                <w:szCs w:val="20"/>
              </w:rPr>
            </w:pPr>
            <w:r w:rsidRPr="002A2B60">
              <w:rPr>
                <w:rFonts w:ascii="Calibri" w:hAnsi="Calibri"/>
                <w:b/>
                <w:snapToGrid w:val="0"/>
                <w:sz w:val="20"/>
                <w:szCs w:val="20"/>
              </w:rPr>
              <w:t>Menej rozvinuté regióny</w:t>
            </w:r>
          </w:p>
        </w:tc>
      </w:tr>
      <w:tr w:rsidR="00E43137" w:rsidRPr="00152B66" w:rsidTr="00F832C9">
        <w:trPr>
          <w:trHeight w:val="320"/>
        </w:trPr>
        <w:tc>
          <w:tcPr>
            <w:tcW w:w="5133" w:type="dxa"/>
            <w:tcBorders>
              <w:top w:val="single" w:sz="4" w:space="0" w:color="auto"/>
              <w:left w:val="single" w:sz="6" w:space="0" w:color="auto"/>
              <w:bottom w:val="single" w:sz="6" w:space="0" w:color="auto"/>
              <w:right w:val="single" w:sz="6" w:space="0" w:color="auto"/>
            </w:tcBorders>
          </w:tcPr>
          <w:p w:rsidR="00E43137" w:rsidRPr="002A2B60" w:rsidRDefault="00E43137" w:rsidP="00F832C9">
            <w:pPr>
              <w:rPr>
                <w:rFonts w:ascii="Calibri" w:hAnsi="Calibri"/>
                <w:b/>
                <w:snapToGrid w:val="0"/>
                <w:sz w:val="20"/>
                <w:szCs w:val="20"/>
              </w:rPr>
            </w:pPr>
            <w:r w:rsidRPr="002A2B60">
              <w:rPr>
                <w:rFonts w:ascii="Calibri" w:hAnsi="Calibri"/>
                <w:b/>
                <w:snapToGrid w:val="0"/>
                <w:sz w:val="20"/>
                <w:szCs w:val="20"/>
              </w:rPr>
              <w:t xml:space="preserve">Východné Slovensko </w:t>
            </w:r>
            <w:r w:rsidRPr="002A2B60">
              <w:rPr>
                <w:rFonts w:ascii="Calibri" w:hAnsi="Calibri"/>
                <w:snapToGrid w:val="0"/>
                <w:sz w:val="20"/>
                <w:szCs w:val="20"/>
              </w:rPr>
              <w:t>(Kraje: Košický, Prešovský)</w:t>
            </w:r>
          </w:p>
        </w:tc>
        <w:tc>
          <w:tcPr>
            <w:tcW w:w="3969" w:type="dxa"/>
            <w:tcBorders>
              <w:top w:val="single" w:sz="4" w:space="0" w:color="auto"/>
              <w:left w:val="single" w:sz="4" w:space="0" w:color="auto"/>
              <w:bottom w:val="single" w:sz="6" w:space="0" w:color="auto"/>
              <w:right w:val="single" w:sz="6" w:space="0" w:color="auto"/>
            </w:tcBorders>
            <w:vAlign w:val="center"/>
          </w:tcPr>
          <w:p w:rsidR="00E43137" w:rsidRPr="002A2B60" w:rsidRDefault="00E43137" w:rsidP="00F832C9">
            <w:pPr>
              <w:jc w:val="center"/>
              <w:rPr>
                <w:rFonts w:ascii="Calibri" w:hAnsi="Calibri"/>
                <w:b/>
                <w:snapToGrid w:val="0"/>
                <w:sz w:val="20"/>
                <w:szCs w:val="20"/>
              </w:rPr>
            </w:pPr>
            <w:r w:rsidRPr="002A2B60">
              <w:rPr>
                <w:rFonts w:ascii="Calibri" w:hAnsi="Calibri"/>
                <w:b/>
                <w:snapToGrid w:val="0"/>
                <w:sz w:val="20"/>
                <w:szCs w:val="20"/>
              </w:rPr>
              <w:t>Menej rozvinuté regióny</w:t>
            </w:r>
          </w:p>
        </w:tc>
      </w:tr>
    </w:tbl>
    <w:p w:rsidR="00E43137" w:rsidRDefault="00E43137" w:rsidP="008676F9">
      <w:pPr>
        <w:tabs>
          <w:tab w:val="num" w:pos="284"/>
        </w:tabs>
        <w:autoSpaceDE w:val="0"/>
        <w:autoSpaceDN w:val="0"/>
        <w:adjustRightInd w:val="0"/>
        <w:spacing w:after="120"/>
        <w:rPr>
          <w:rFonts w:ascii="Calibri" w:hAnsi="Calibri" w:cs="TimesNewRomanPS-BoldItalicMT"/>
          <w:bCs/>
          <w:iCs/>
          <w:szCs w:val="22"/>
        </w:rPr>
      </w:pPr>
    </w:p>
    <w:p w:rsidR="00E43137" w:rsidRPr="001F618F" w:rsidRDefault="00E43137" w:rsidP="008676F9">
      <w:pPr>
        <w:ind w:left="360"/>
        <w:rPr>
          <w:b/>
          <w:caps/>
        </w:rPr>
      </w:pPr>
    </w:p>
    <w:p w:rsidR="00E43137" w:rsidRPr="002E3612" w:rsidRDefault="00E43137" w:rsidP="008676F9">
      <w:pPr>
        <w:rPr>
          <w:rFonts w:ascii="Calibri" w:hAnsi="Calibri"/>
          <w:b/>
          <w:caps/>
          <w:szCs w:val="22"/>
        </w:rPr>
      </w:pPr>
      <w:r>
        <w:rPr>
          <w:rFonts w:ascii="Calibri" w:hAnsi="Calibri"/>
          <w:b/>
          <w:caps/>
          <w:szCs w:val="22"/>
        </w:rPr>
        <w:br w:type="page"/>
      </w:r>
    </w:p>
    <w:p w:rsidR="00E43137" w:rsidRPr="00E43137" w:rsidRDefault="00E820E4" w:rsidP="00366F96">
      <w:pPr>
        <w:pStyle w:val="Hlavn"/>
      </w:pPr>
      <w:bookmarkStart w:id="4" w:name="_Toc387041285"/>
      <w:r>
        <w:lastRenderedPageBreak/>
        <w:t xml:space="preserve">3. </w:t>
      </w:r>
      <w:r w:rsidR="00E43137" w:rsidRPr="00E43137">
        <w:t>HODNOTENIE EX-ANTE</w:t>
      </w:r>
      <w:bookmarkEnd w:id="4"/>
    </w:p>
    <w:p w:rsidR="00E43137" w:rsidRPr="008B05E0" w:rsidRDefault="008B05E0" w:rsidP="008B05E0">
      <w:pPr>
        <w:pStyle w:val="Pod"/>
        <w:rPr>
          <w:rFonts w:eastAsia="Calibri"/>
        </w:rPr>
      </w:pPr>
      <w:bookmarkStart w:id="5" w:name="_Toc387041286"/>
      <w:bookmarkStart w:id="6" w:name="_Toc354990831"/>
      <w:r w:rsidRPr="008B05E0">
        <w:rPr>
          <w:rFonts w:eastAsia="Calibri"/>
        </w:rPr>
        <w:t xml:space="preserve">3.1 </w:t>
      </w:r>
      <w:r w:rsidR="00E43137" w:rsidRPr="008B05E0">
        <w:rPr>
          <w:rFonts w:eastAsia="Calibri"/>
        </w:rPr>
        <w:t>Opis procesu hodnotenia</w:t>
      </w:r>
      <w:bookmarkEnd w:id="5"/>
    </w:p>
    <w:p w:rsidR="00E43137" w:rsidRPr="00E43137" w:rsidRDefault="00E43137" w:rsidP="00F57BCD">
      <w:pPr>
        <w:spacing w:after="120"/>
        <w:rPr>
          <w:rFonts w:ascii="Calibri" w:eastAsia="Calibri" w:hAnsi="Calibri"/>
          <w:color w:val="000000"/>
          <w:szCs w:val="22"/>
          <w:lang w:eastAsia="en-US"/>
        </w:rPr>
      </w:pPr>
      <w:r w:rsidRPr="00E43137">
        <w:rPr>
          <w:rFonts w:ascii="Calibri" w:eastAsia="Calibri" w:hAnsi="Calibri"/>
          <w:szCs w:val="22"/>
          <w:lang w:eastAsia="en-US"/>
        </w:rPr>
        <w:t xml:space="preserve">V rámci prvej fázy hodnotenia ex ante bol hodnotený dokument „analýza SWOT a identifikácia potrieb“ z júna 2013 a jeho aktualizovaná verzia z augusta 2013. K uvedeným dokumentom </w:t>
      </w:r>
      <w:r w:rsidRPr="00E43137">
        <w:rPr>
          <w:rFonts w:ascii="Calibri" w:eastAsia="Calibri" w:hAnsi="Calibri"/>
          <w:color w:val="000000"/>
          <w:szCs w:val="22"/>
          <w:lang w:eastAsia="en-US"/>
        </w:rPr>
        <w:t xml:space="preserve">poskytol hodnotiteľ spätnú väzbu. Hodnotiteľ prihliadal na východiskové hodnoty kontextu, ukazovatele vplyvu, stanovil úroveň koherentnosti a kompletnosti analýzy SWOT a potrieb, ktoré majú riešiť intervencie v oblasti rozvoja vidieka. Upozornil na všetky zistené nedostatky a poskytol odporúčania na dokončenie a zlepšenie popisu súčasnej situácie, tabuľky SWOT a identifikovaných potrieb. </w:t>
      </w:r>
    </w:p>
    <w:p w:rsidR="00E43137" w:rsidRPr="00E43137" w:rsidRDefault="00E43137" w:rsidP="00F57BCD">
      <w:pPr>
        <w:spacing w:after="120"/>
        <w:rPr>
          <w:rFonts w:ascii="Calibri" w:eastAsia="Calibri" w:hAnsi="Calibri"/>
          <w:szCs w:val="22"/>
          <w:lang w:eastAsia="en-US"/>
        </w:rPr>
      </w:pPr>
      <w:r w:rsidRPr="00E43137">
        <w:rPr>
          <w:rFonts w:ascii="Calibri" w:eastAsia="Calibri" w:hAnsi="Calibri"/>
          <w:color w:val="000000"/>
          <w:szCs w:val="22"/>
          <w:lang w:eastAsia="en-US"/>
        </w:rPr>
        <w:t xml:space="preserve">V rámci tejto etapy poskytli odborníci SEA svoje stanovisko k analýze environmentálnych otázok, hĺbke hodnotenia, ukazovateľom, úrovni splnenia požiadaviek na údaje a informácie, na ktoré sa ďalej bude prihliadať v priebehu strategického environmentálneho hodnotenia. </w:t>
      </w:r>
    </w:p>
    <w:p w:rsidR="00E43137" w:rsidRPr="00E43137" w:rsidRDefault="00E43137" w:rsidP="00F57BCD">
      <w:pPr>
        <w:spacing w:after="120"/>
        <w:rPr>
          <w:rFonts w:ascii="Calibri" w:eastAsia="Calibri" w:hAnsi="Calibri"/>
          <w:szCs w:val="22"/>
          <w:lang w:eastAsia="en-US"/>
        </w:rPr>
      </w:pPr>
      <w:r w:rsidRPr="00E43137">
        <w:rPr>
          <w:rFonts w:ascii="Calibri" w:eastAsia="Calibri" w:hAnsi="Calibri"/>
          <w:szCs w:val="22"/>
          <w:lang w:eastAsia="en-US"/>
        </w:rPr>
        <w:t xml:space="preserve">Prvé pripomienky a odporúčania k úpravám analýzy SWOT a identifikovaným potrebám prezentoval hodnotiteľ na pracovnom stretnutí s predstaviteľmi RO dňa 20.8.2013. Následne 4.9.2013 poskytol RO hodnotiteľovi upravenú verziu analýzy SWOT a identifikovaných potrieb, ktorá bola hodnotiteľom analyzovaná a posúdená v zmysle ex ante hodnotiacich kritérií (hodnotenie úplnosti SWOT, hodnotenie rámca ukazovateľov, posúdenie SWOT ako základu a zdôvodnenia hodnotenia potrieb). </w:t>
      </w:r>
    </w:p>
    <w:p w:rsidR="00E43137" w:rsidRPr="00E43137" w:rsidRDefault="00E43137" w:rsidP="00F57BCD">
      <w:pPr>
        <w:spacing w:after="120"/>
        <w:rPr>
          <w:rFonts w:ascii="Calibri" w:eastAsia="Calibri" w:hAnsi="Calibri"/>
          <w:szCs w:val="22"/>
          <w:lang w:eastAsia="en-US"/>
        </w:rPr>
      </w:pPr>
      <w:r w:rsidRPr="00E43137">
        <w:rPr>
          <w:rFonts w:ascii="Calibri" w:eastAsia="Calibri" w:hAnsi="Calibri"/>
          <w:szCs w:val="22"/>
          <w:lang w:eastAsia="en-US"/>
        </w:rPr>
        <w:t>Na záver hodnotiteľ zodpovedal všetky hodnotiace otázky vzťahujúce sa k prvej etape ex ante hodnotenia.</w:t>
      </w:r>
    </w:p>
    <w:p w:rsidR="00E43137" w:rsidRPr="00E43137" w:rsidRDefault="00E43137" w:rsidP="00F57BCD">
      <w:pPr>
        <w:spacing w:after="120"/>
        <w:rPr>
          <w:rFonts w:ascii="Calibri" w:eastAsia="Calibri" w:hAnsi="Calibri"/>
          <w:szCs w:val="22"/>
          <w:lang w:eastAsia="en-US"/>
        </w:rPr>
      </w:pPr>
      <w:r w:rsidRPr="00E43137">
        <w:rPr>
          <w:rFonts w:ascii="Calibri" w:eastAsia="Calibri" w:hAnsi="Calibri"/>
          <w:szCs w:val="22"/>
          <w:lang w:eastAsia="en-US"/>
        </w:rPr>
        <w:t xml:space="preserve">V súčasnosti prebieha druhá fáza hodnotenia, zameraná na </w:t>
      </w:r>
      <w:r w:rsidRPr="00E43137">
        <w:rPr>
          <w:rFonts w:ascii="Calibri" w:eastAsia="Calibri" w:hAnsi="Calibri"/>
          <w:color w:val="000000"/>
          <w:szCs w:val="22"/>
          <w:lang w:eastAsia="en-US"/>
        </w:rPr>
        <w:t xml:space="preserve">konštrukciu intervenčnej logiky vrátane  rozpočtových alokácií, stanovenie čiastkových cieľov a rámca výkonnosti </w:t>
      </w:r>
      <w:r w:rsidRPr="00E43137">
        <w:rPr>
          <w:rFonts w:ascii="Calibri" w:eastAsia="Calibri" w:hAnsi="Calibri"/>
          <w:szCs w:val="22"/>
          <w:lang w:eastAsia="en-US"/>
        </w:rPr>
        <w:t xml:space="preserve">v rámci ktorej hodnotiteľ prispieva k doladeniu a vylepšeniu programu prostredníctvom procesu postupných adaptácií v zmysle </w:t>
      </w:r>
      <w:r w:rsidRPr="00E43137">
        <w:rPr>
          <w:rFonts w:ascii="Calibri" w:eastAsia="Calibri" w:hAnsi="Calibri"/>
          <w:color w:val="000000"/>
          <w:szCs w:val="22"/>
          <w:lang w:eastAsia="en-US"/>
        </w:rPr>
        <w:t xml:space="preserve">vyhlásení, pripomienok alebo odporúčaní k PRV. </w:t>
      </w:r>
      <w:r w:rsidRPr="00E43137">
        <w:rPr>
          <w:rFonts w:ascii="Calibri" w:eastAsia="Calibri" w:hAnsi="Calibri"/>
          <w:szCs w:val="22"/>
          <w:lang w:eastAsia="en-US"/>
        </w:rPr>
        <w:t xml:space="preserve"> </w:t>
      </w:r>
    </w:p>
    <w:p w:rsidR="00E43137" w:rsidRPr="00E43137" w:rsidRDefault="00E43137" w:rsidP="00F57BCD">
      <w:pPr>
        <w:spacing w:after="120"/>
        <w:rPr>
          <w:rFonts w:ascii="Calibri" w:eastAsia="Calibri" w:hAnsi="Calibri"/>
          <w:szCs w:val="22"/>
          <w:lang w:eastAsia="en-US"/>
        </w:rPr>
      </w:pPr>
      <w:r w:rsidRPr="00E43137">
        <w:rPr>
          <w:rFonts w:ascii="Calibri" w:eastAsia="Calibri" w:hAnsi="Calibri"/>
          <w:color w:val="000000"/>
          <w:szCs w:val="22"/>
          <w:lang w:eastAsia="en-US"/>
        </w:rPr>
        <w:t xml:space="preserve">Hodnotiteľ ex-ante sa vyjadruje k očakávanému príspevku programu k naplneniu cieľov stratégie EÚ 2020, k navrhnutej intervenčnej logike vo vzťahu k identifikovaným potrebám, vnútornej a vonkajšej koherentnosti, súladu medzi očakávanými výstupmi a výsledkami, alokácii rozpočtových zdrojov, relevantnosti a jednoznačnosti spoločných ukazovateľov  a ukazovateľov  špecifických pre program, a k tomu, či sa hodnoty cieľov a hodnoty navrhované pre čiastkové ciele  v rámci výkonnosti javia ako realistické. V rámci tejto etapy hodnotiteľ poskytuje svoje stanoviská k monitorovaniu programu z hľadiska zberu údajov pre uskutočňovanie ďalších hodnotení. </w:t>
      </w:r>
    </w:p>
    <w:p w:rsidR="00E43137" w:rsidRPr="00E43137" w:rsidRDefault="00E43137" w:rsidP="008676F9">
      <w:pPr>
        <w:tabs>
          <w:tab w:val="left" w:pos="586"/>
        </w:tabs>
        <w:rPr>
          <w:rFonts w:ascii="Calibri" w:eastAsia="Calibri" w:hAnsi="Calibri"/>
          <w:color w:val="000000"/>
          <w:szCs w:val="22"/>
          <w:lang w:eastAsia="en-US"/>
        </w:rPr>
      </w:pPr>
      <w:r w:rsidRPr="00E43137">
        <w:rPr>
          <w:rFonts w:ascii="Calibri" w:eastAsia="Calibri" w:hAnsi="Calibri"/>
          <w:color w:val="000000"/>
          <w:szCs w:val="22"/>
          <w:lang w:eastAsia="en-US"/>
        </w:rPr>
        <w:t>Odborníci SEA sa v tejto etape vyjadrujú k potenciálnemu vplyvu cieľov, priorít, opatrení a akcií navrhovaného programu ako celku na životné prostredie. Ďalej by mali preveriť navrhované kritériá hodnotenia a systém ukazovateľov súvisiace s environmentálnymi otázkami.</w:t>
      </w:r>
    </w:p>
    <w:p w:rsidR="00E43137" w:rsidRPr="00E43137" w:rsidRDefault="00E43137" w:rsidP="008676F9">
      <w:pPr>
        <w:tabs>
          <w:tab w:val="left" w:pos="586"/>
        </w:tabs>
        <w:rPr>
          <w:rFonts w:ascii="Calibri" w:eastAsia="Calibri" w:hAnsi="Calibri"/>
          <w:color w:val="000000"/>
          <w:lang w:eastAsia="en-US"/>
        </w:rPr>
      </w:pPr>
    </w:p>
    <w:p w:rsidR="00E43137" w:rsidRPr="00E43137" w:rsidRDefault="00AA30CA" w:rsidP="00F832C9">
      <w:pPr>
        <w:pStyle w:val="Pod"/>
        <w:ind w:left="426" w:hanging="426"/>
        <w:rPr>
          <w:rFonts w:eastAsia="Calibri"/>
          <w:lang w:eastAsia="en-US"/>
        </w:rPr>
      </w:pPr>
      <w:bookmarkStart w:id="7" w:name="_Toc387041287"/>
      <w:bookmarkEnd w:id="6"/>
      <w:r>
        <w:rPr>
          <w:rFonts w:eastAsia="Calibri"/>
          <w:lang w:eastAsia="en-US"/>
        </w:rPr>
        <w:t xml:space="preserve">3.2 </w:t>
      </w:r>
      <w:r w:rsidR="00E43137" w:rsidRPr="00E43137">
        <w:rPr>
          <w:rFonts w:eastAsia="Calibri"/>
          <w:lang w:eastAsia="en-US"/>
        </w:rPr>
        <w:t>Prehľad odporúčaní ex-ante hodnotiteľov a stručný opis, ako boli jednotlivé odporúčania zohľadnené v programe</w:t>
      </w:r>
      <w:bookmarkEnd w:id="7"/>
    </w:p>
    <w:tbl>
      <w:tblPr>
        <w:tblW w:w="89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000" w:firstRow="0" w:lastRow="0" w:firstColumn="0" w:lastColumn="0" w:noHBand="0" w:noVBand="0"/>
      </w:tblPr>
      <w:tblGrid>
        <w:gridCol w:w="1147"/>
        <w:gridCol w:w="1273"/>
        <w:gridCol w:w="3402"/>
        <w:gridCol w:w="3118"/>
      </w:tblGrid>
      <w:tr w:rsidR="00E43137" w:rsidRPr="00E43137" w:rsidTr="00E43137">
        <w:trPr>
          <w:trHeight w:val="843"/>
          <w:tblHeader/>
        </w:trPr>
        <w:tc>
          <w:tcPr>
            <w:tcW w:w="1147" w:type="dxa"/>
            <w:tcBorders>
              <w:bottom w:val="single" w:sz="4" w:space="0" w:color="auto"/>
            </w:tcBorders>
            <w:shd w:val="clear" w:color="auto" w:fill="009999"/>
            <w:vAlign w:val="center"/>
          </w:tcPr>
          <w:p w:rsidR="00E43137" w:rsidRPr="00E43137" w:rsidRDefault="00E43137" w:rsidP="00F832C9">
            <w:pPr>
              <w:spacing w:after="100" w:afterAutospacing="1"/>
              <w:jc w:val="center"/>
              <w:rPr>
                <w:rFonts w:ascii="Calibri" w:eastAsia="Calibri" w:hAnsi="Calibri"/>
                <w:b/>
                <w:color w:val="FFFFFF"/>
                <w:sz w:val="20"/>
                <w:szCs w:val="20"/>
                <w:lang w:eastAsia="en-US"/>
              </w:rPr>
            </w:pPr>
            <w:r w:rsidRPr="00E43137">
              <w:rPr>
                <w:rFonts w:ascii="Calibri" w:eastAsia="Calibri" w:hAnsi="Calibri"/>
                <w:b/>
                <w:color w:val="FFFFFF"/>
                <w:sz w:val="20"/>
                <w:szCs w:val="20"/>
                <w:lang w:eastAsia="en-US"/>
              </w:rPr>
              <w:t>Dátum</w:t>
            </w:r>
          </w:p>
        </w:tc>
        <w:tc>
          <w:tcPr>
            <w:tcW w:w="1273" w:type="dxa"/>
            <w:tcBorders>
              <w:bottom w:val="single" w:sz="4" w:space="0" w:color="auto"/>
            </w:tcBorders>
            <w:shd w:val="clear" w:color="auto" w:fill="009999"/>
            <w:vAlign w:val="center"/>
          </w:tcPr>
          <w:p w:rsidR="00E43137" w:rsidRPr="00E43137" w:rsidRDefault="00E43137" w:rsidP="00F832C9">
            <w:pPr>
              <w:spacing w:after="100" w:afterAutospacing="1"/>
              <w:jc w:val="center"/>
              <w:rPr>
                <w:rFonts w:ascii="Calibri" w:eastAsia="Calibri" w:hAnsi="Calibri"/>
                <w:b/>
                <w:color w:val="FFFFFF"/>
                <w:sz w:val="20"/>
                <w:szCs w:val="20"/>
                <w:lang w:eastAsia="en-US"/>
              </w:rPr>
            </w:pPr>
            <w:r w:rsidRPr="00E43137">
              <w:rPr>
                <w:rFonts w:ascii="Calibri" w:eastAsia="Calibri" w:hAnsi="Calibri"/>
                <w:b/>
                <w:color w:val="FFFFFF"/>
                <w:sz w:val="20"/>
                <w:szCs w:val="20"/>
                <w:lang w:eastAsia="en-US"/>
              </w:rPr>
              <w:t>Téma</w:t>
            </w:r>
          </w:p>
        </w:tc>
        <w:tc>
          <w:tcPr>
            <w:tcW w:w="3402" w:type="dxa"/>
            <w:tcBorders>
              <w:bottom w:val="single" w:sz="4" w:space="0" w:color="auto"/>
            </w:tcBorders>
            <w:shd w:val="clear" w:color="auto" w:fill="009999"/>
            <w:vAlign w:val="center"/>
          </w:tcPr>
          <w:p w:rsidR="00E43137" w:rsidRPr="00E43137" w:rsidRDefault="00E43137" w:rsidP="00F832C9">
            <w:pPr>
              <w:spacing w:after="100" w:afterAutospacing="1"/>
              <w:jc w:val="center"/>
              <w:rPr>
                <w:rFonts w:ascii="Calibri" w:eastAsia="Calibri" w:hAnsi="Calibri"/>
                <w:b/>
                <w:color w:val="FFFFFF"/>
                <w:sz w:val="20"/>
                <w:szCs w:val="20"/>
                <w:lang w:eastAsia="en-US"/>
              </w:rPr>
            </w:pPr>
            <w:r w:rsidRPr="00E43137">
              <w:rPr>
                <w:rFonts w:ascii="Calibri" w:eastAsia="Calibri" w:hAnsi="Calibri"/>
                <w:b/>
                <w:color w:val="FFFFFF"/>
                <w:sz w:val="20"/>
                <w:szCs w:val="20"/>
                <w:lang w:eastAsia="en-US"/>
              </w:rPr>
              <w:t>Odporúčanie</w:t>
            </w:r>
          </w:p>
        </w:tc>
        <w:tc>
          <w:tcPr>
            <w:tcW w:w="3118" w:type="dxa"/>
            <w:tcBorders>
              <w:bottom w:val="single" w:sz="4" w:space="0" w:color="auto"/>
            </w:tcBorders>
            <w:shd w:val="clear" w:color="auto" w:fill="009999"/>
          </w:tcPr>
          <w:p w:rsidR="00E43137" w:rsidRPr="00E43137" w:rsidRDefault="00E43137" w:rsidP="00F832C9">
            <w:pPr>
              <w:spacing w:after="100" w:afterAutospacing="1"/>
              <w:jc w:val="center"/>
              <w:rPr>
                <w:rFonts w:ascii="Calibri" w:eastAsia="Calibri" w:hAnsi="Calibri"/>
                <w:b/>
                <w:color w:val="FFFFFF"/>
                <w:sz w:val="20"/>
                <w:szCs w:val="20"/>
                <w:lang w:eastAsia="en-US"/>
              </w:rPr>
            </w:pPr>
            <w:r w:rsidRPr="00E43137">
              <w:rPr>
                <w:rFonts w:ascii="Calibri" w:eastAsia="Calibri" w:hAnsi="Calibri"/>
                <w:b/>
                <w:color w:val="FFFFFF"/>
                <w:sz w:val="20"/>
                <w:szCs w:val="20"/>
                <w:lang w:eastAsia="en-US"/>
              </w:rPr>
              <w:t>Ako bolo odporúčanie zohľadnené v programe, resp. zdôvodnenie prečo nebolo zohľadnené</w:t>
            </w:r>
          </w:p>
        </w:tc>
      </w:tr>
      <w:tr w:rsidR="00E43137" w:rsidRPr="00E43137" w:rsidTr="00E43137">
        <w:trPr>
          <w:trHeight w:val="288"/>
        </w:trPr>
        <w:tc>
          <w:tcPr>
            <w:tcW w:w="8940" w:type="dxa"/>
            <w:gridSpan w:val="4"/>
            <w:shd w:val="clear" w:color="auto" w:fill="FFFF00"/>
          </w:tcPr>
          <w:p w:rsidR="00E43137" w:rsidRPr="00E43137" w:rsidRDefault="00E43137" w:rsidP="00F832C9">
            <w:pPr>
              <w:ind w:left="110"/>
              <w:jc w:val="left"/>
              <w:rPr>
                <w:rFonts w:ascii="Calibri" w:eastAsia="Calibri" w:hAnsi="Calibri"/>
                <w:sz w:val="20"/>
                <w:szCs w:val="20"/>
                <w:lang w:eastAsia="en-US"/>
              </w:rPr>
            </w:pPr>
            <w:r w:rsidRPr="00E43137">
              <w:rPr>
                <w:rFonts w:ascii="Calibri" w:eastAsia="Calibri" w:hAnsi="Calibri"/>
                <w:sz w:val="20"/>
                <w:szCs w:val="20"/>
                <w:lang w:eastAsia="en-US"/>
              </w:rPr>
              <w:t>Analýza SWOT, posúdenie potrieb</w:t>
            </w:r>
          </w:p>
        </w:tc>
      </w:tr>
      <w:tr w:rsidR="00E43137" w:rsidRPr="00E43137" w:rsidTr="00E43137">
        <w:trPr>
          <w:trHeight w:val="288"/>
        </w:trPr>
        <w:tc>
          <w:tcPr>
            <w:tcW w:w="1147" w:type="dxa"/>
            <w:shd w:val="clear" w:color="auto" w:fill="FFFFFF"/>
          </w:tcPr>
          <w:p w:rsidR="00E43137" w:rsidRPr="00E43137" w:rsidRDefault="00E43137" w:rsidP="00130D66">
            <w:pPr>
              <w:spacing w:after="100" w:afterAutospacing="1"/>
              <w:rPr>
                <w:rFonts w:ascii="Calibri" w:eastAsia="Calibri" w:hAnsi="Calibri"/>
                <w:sz w:val="20"/>
                <w:szCs w:val="20"/>
                <w:lang w:eastAsia="en-US"/>
              </w:rPr>
            </w:pPr>
            <w:r w:rsidRPr="00E43137">
              <w:rPr>
                <w:rFonts w:ascii="Calibri" w:eastAsia="Calibri" w:hAnsi="Calibri"/>
                <w:sz w:val="20"/>
                <w:szCs w:val="20"/>
                <w:lang w:eastAsia="en-US"/>
              </w:rPr>
              <w:t>16.9.2013</w:t>
            </w:r>
          </w:p>
        </w:tc>
        <w:tc>
          <w:tcPr>
            <w:tcW w:w="1273" w:type="dxa"/>
            <w:shd w:val="clear" w:color="auto" w:fill="FFFFFF"/>
          </w:tcPr>
          <w:p w:rsidR="00E43137" w:rsidRPr="00E43137" w:rsidRDefault="00E43137" w:rsidP="00130D66">
            <w:pPr>
              <w:spacing w:after="100" w:afterAutospacing="1"/>
              <w:ind w:left="142"/>
              <w:rPr>
                <w:rFonts w:ascii="Calibri" w:eastAsia="Calibri" w:hAnsi="Calibri"/>
                <w:sz w:val="20"/>
                <w:szCs w:val="20"/>
                <w:lang w:eastAsia="en-US"/>
              </w:rPr>
            </w:pPr>
            <w:r w:rsidRPr="00E43137">
              <w:rPr>
                <w:rFonts w:ascii="Calibri" w:eastAsia="Calibri" w:hAnsi="Calibri"/>
                <w:sz w:val="20"/>
                <w:szCs w:val="20"/>
                <w:lang w:eastAsia="en-US"/>
              </w:rPr>
              <w:t>Popis súčasnej situácie</w:t>
            </w:r>
          </w:p>
        </w:tc>
        <w:tc>
          <w:tcPr>
            <w:tcW w:w="3402" w:type="dxa"/>
            <w:shd w:val="clear" w:color="auto" w:fill="FFFFFF"/>
          </w:tcPr>
          <w:p w:rsidR="00E43137" w:rsidRPr="00E43137" w:rsidRDefault="00E43137" w:rsidP="00F832C9">
            <w:pPr>
              <w:numPr>
                <w:ilvl w:val="0"/>
                <w:numId w:val="1"/>
              </w:numPr>
              <w:spacing w:after="200"/>
              <w:ind w:left="415" w:hanging="284"/>
              <w:jc w:val="left"/>
              <w:rPr>
                <w:rFonts w:ascii="Calibri" w:eastAsia="Calibri" w:hAnsi="Calibri"/>
                <w:sz w:val="20"/>
                <w:szCs w:val="20"/>
                <w:lang w:eastAsia="en-US"/>
              </w:rPr>
            </w:pPr>
            <w:r w:rsidRPr="00E43137">
              <w:rPr>
                <w:rFonts w:ascii="Calibri" w:eastAsia="Calibri" w:hAnsi="Calibri"/>
                <w:sz w:val="20"/>
                <w:szCs w:val="20"/>
                <w:lang w:eastAsia="en-US"/>
              </w:rPr>
              <w:t xml:space="preserve">doplniť o informácie (resp. doplniť odvolávky na jednotlivé podrobné analýzy priorít), ktoré plne pokryjú všetky oblasti popísané v analýze SWOT ako aj poskytnú dôkaz pre identifikované potreby. </w:t>
            </w:r>
          </w:p>
          <w:p w:rsidR="00E43137" w:rsidRPr="00E43137" w:rsidRDefault="00E43137" w:rsidP="00F832C9">
            <w:pPr>
              <w:numPr>
                <w:ilvl w:val="0"/>
                <w:numId w:val="1"/>
              </w:numPr>
              <w:spacing w:after="200"/>
              <w:ind w:left="415" w:hanging="284"/>
              <w:jc w:val="left"/>
              <w:rPr>
                <w:rFonts w:ascii="Calibri" w:eastAsia="Calibri" w:hAnsi="Calibri"/>
                <w:caps/>
                <w:sz w:val="20"/>
                <w:szCs w:val="20"/>
                <w:lang w:eastAsia="en-US"/>
              </w:rPr>
            </w:pPr>
            <w:r w:rsidRPr="00E43137">
              <w:rPr>
                <w:rFonts w:ascii="Calibri" w:eastAsia="Calibri" w:hAnsi="Calibri"/>
                <w:sz w:val="20"/>
                <w:szCs w:val="20"/>
                <w:lang w:eastAsia="en-US"/>
              </w:rPr>
              <w:t>v popise uvádzať aj porovnania s inými krajinami (eu-27, v4), používať spoločné kontextové</w:t>
            </w:r>
            <w:r w:rsidRPr="00E43137">
              <w:rPr>
                <w:rFonts w:ascii="Calibri" w:eastAsia="Calibri" w:hAnsi="Calibri"/>
                <w:sz w:val="20"/>
                <w:szCs w:val="20"/>
                <w:lang w:eastAsia="en-US"/>
              </w:rPr>
              <w:lastRenderedPageBreak/>
              <w:t xml:space="preserve"> </w:t>
            </w:r>
            <w:r w:rsidRPr="00E43137">
              <w:rPr>
                <w:rFonts w:ascii="Calibri" w:eastAsia="Calibri" w:hAnsi="Calibri"/>
                <w:sz w:val="20"/>
                <w:szCs w:val="20"/>
                <w:lang w:eastAsia="en-US"/>
              </w:rPr>
              <w:lastRenderedPageBreak/>
              <w:t>ukazovatele ako aj programovo špecifické kontextové ukazovatele a údaje Eurostat-u, OECD a pod.</w:t>
            </w:r>
          </w:p>
          <w:p w:rsidR="00E43137" w:rsidRPr="00E43137" w:rsidRDefault="00E43137" w:rsidP="00F832C9">
            <w:pPr>
              <w:numPr>
                <w:ilvl w:val="0"/>
                <w:numId w:val="1"/>
              </w:numPr>
              <w:spacing w:after="200"/>
              <w:ind w:left="415" w:hanging="284"/>
              <w:jc w:val="left"/>
              <w:rPr>
                <w:rFonts w:ascii="Calibri" w:eastAsia="Calibri" w:hAnsi="Calibri"/>
                <w:caps/>
                <w:sz w:val="20"/>
                <w:szCs w:val="20"/>
                <w:lang w:eastAsia="en-US"/>
              </w:rPr>
            </w:pPr>
            <w:r w:rsidRPr="00E43137">
              <w:rPr>
                <w:rFonts w:ascii="Calibri" w:eastAsia="Calibri" w:hAnsi="Calibri"/>
                <w:sz w:val="20"/>
                <w:szCs w:val="20"/>
                <w:lang w:eastAsia="en-US"/>
              </w:rPr>
              <w:t>zharmonizovať údaje v popise v zmysle bázických rokov (okrem výnimiek napr. v podobe údajov v rámci Farm Cenzus, ktorý sa uskutočnil v roku 2010), pre vytvorenie uceleného obrazu využívať časový rad údajov (napr. za obdobie 2007-2011)</w:t>
            </w:r>
          </w:p>
          <w:p w:rsidR="00E43137" w:rsidRPr="00E43137" w:rsidRDefault="00E43137" w:rsidP="00F832C9">
            <w:pPr>
              <w:numPr>
                <w:ilvl w:val="0"/>
                <w:numId w:val="1"/>
              </w:numPr>
              <w:spacing w:after="200"/>
              <w:ind w:left="415" w:hanging="284"/>
              <w:jc w:val="left"/>
              <w:rPr>
                <w:rFonts w:ascii="Calibri" w:eastAsia="Calibri" w:hAnsi="Calibri"/>
                <w:color w:val="000000"/>
                <w:sz w:val="20"/>
                <w:szCs w:val="20"/>
                <w:lang w:eastAsia="en-US"/>
              </w:rPr>
            </w:pPr>
            <w:r w:rsidRPr="00E43137">
              <w:rPr>
                <w:rFonts w:ascii="Calibri" w:eastAsia="Calibri" w:hAnsi="Calibri"/>
                <w:color w:val="000000"/>
                <w:sz w:val="20"/>
                <w:szCs w:val="20"/>
                <w:lang w:eastAsia="en-US"/>
              </w:rPr>
              <w:t xml:space="preserve">zohľadniť poučenia z predchádzajúcich intervencií (hlavne súčasný PRV SR 2007-2013) </w:t>
            </w:r>
          </w:p>
          <w:p w:rsidR="00E43137" w:rsidRPr="00E43137" w:rsidRDefault="00E43137" w:rsidP="00F832C9">
            <w:pPr>
              <w:numPr>
                <w:ilvl w:val="0"/>
                <w:numId w:val="1"/>
              </w:numPr>
              <w:spacing w:after="200"/>
              <w:ind w:left="415" w:hanging="284"/>
              <w:jc w:val="left"/>
              <w:rPr>
                <w:rFonts w:ascii="Calibri" w:eastAsia="Calibri" w:hAnsi="Calibri"/>
                <w:caps/>
                <w:sz w:val="20"/>
                <w:szCs w:val="20"/>
                <w:lang w:eastAsia="en-US"/>
              </w:rPr>
            </w:pPr>
            <w:r w:rsidRPr="00E43137">
              <w:rPr>
                <w:rFonts w:ascii="Calibri" w:eastAsia="Calibri" w:hAnsi="Calibri"/>
                <w:sz w:val="20"/>
                <w:szCs w:val="20"/>
                <w:lang w:eastAsia="en-US"/>
              </w:rPr>
              <w:t>popis by nemal obsahovať len jednoduché tvrdenia a štatistické fakty, ale aj zdôvodnenia</w:t>
            </w:r>
            <w:r w:rsidRPr="00E43137">
              <w:rPr>
                <w:rFonts w:ascii="Calibri" w:eastAsia="Calibri" w:hAnsi="Calibri"/>
                <w:caps/>
                <w:sz w:val="20"/>
                <w:szCs w:val="20"/>
                <w:lang w:eastAsia="en-US"/>
              </w:rPr>
              <w:t xml:space="preserve"> </w:t>
            </w:r>
          </w:p>
        </w:tc>
        <w:tc>
          <w:tcPr>
            <w:tcW w:w="3118" w:type="dxa"/>
            <w:shd w:val="clear" w:color="auto" w:fill="FFFFFF"/>
          </w:tcPr>
          <w:p w:rsidR="00E43137" w:rsidRPr="00E43137" w:rsidRDefault="00E43137" w:rsidP="00F832C9">
            <w:pPr>
              <w:ind w:left="132" w:hanging="1"/>
              <w:jc w:val="left"/>
              <w:rPr>
                <w:rFonts w:ascii="Calibri" w:eastAsia="Calibri" w:hAnsi="Calibri"/>
                <w:sz w:val="20"/>
                <w:szCs w:val="20"/>
                <w:lang w:eastAsia="en-US"/>
              </w:rPr>
            </w:pPr>
            <w:r w:rsidRPr="00E43137">
              <w:rPr>
                <w:rFonts w:ascii="Calibri" w:eastAsia="Calibri" w:hAnsi="Calibri"/>
                <w:sz w:val="20"/>
                <w:szCs w:val="20"/>
                <w:lang w:eastAsia="en-US"/>
              </w:rPr>
              <w:lastRenderedPageBreak/>
              <w:t>Popis súčasnej situácie bol prepracovaný v zmysle odporúčaní hodnotiteľa. Štruktúra popisu bola prispôsobená podľa kontextových ukazovateľov a zamerania PRV, obsah zosúladený s analýzou SWOT a identifikovaných potrieb. Poučenia z predchádzajúcich intervencií boli zakomponované do popisu súčasnej situácie ako aj do</w:t>
            </w:r>
            <w:r w:rsidRPr="00E43137">
              <w:rPr>
                <w:rFonts w:ascii="Calibri" w:eastAsia="Calibri" w:hAnsi="Calibri"/>
                <w:sz w:val="20"/>
                <w:szCs w:val="20"/>
                <w:lang w:eastAsia="en-US"/>
              </w:rPr>
              <w:lastRenderedPageBreak/>
              <w:t xml:space="preserve"> </w:t>
            </w:r>
            <w:r w:rsidRPr="00E43137">
              <w:rPr>
                <w:rFonts w:ascii="Calibri" w:eastAsia="Calibri" w:hAnsi="Calibri"/>
                <w:sz w:val="20"/>
                <w:szCs w:val="20"/>
                <w:lang w:eastAsia="en-US"/>
              </w:rPr>
              <w:lastRenderedPageBreak/>
              <w:t>hodnotenia potrieb. Z dôvodu limitu počtu znakov boli vytvorené odvolávky na podrobné analýzy priorít, ktoré poskytujú podrobnejšie údaje ako aj zdôvodnenia.</w:t>
            </w:r>
          </w:p>
        </w:tc>
      </w:tr>
      <w:tr w:rsidR="00E43137" w:rsidRPr="00E43137" w:rsidTr="00E43137">
        <w:trPr>
          <w:trHeight w:val="283"/>
        </w:trPr>
        <w:tc>
          <w:tcPr>
            <w:tcW w:w="1147" w:type="dxa"/>
            <w:tcBorders>
              <w:bottom w:val="single" w:sz="4" w:space="0" w:color="auto"/>
            </w:tcBorders>
            <w:shd w:val="clear" w:color="auto" w:fill="FFFFFF"/>
          </w:tcPr>
          <w:p w:rsidR="00E43137" w:rsidRPr="00E43137" w:rsidRDefault="00E43137" w:rsidP="00130D66">
            <w:pPr>
              <w:spacing w:after="100" w:afterAutospacing="1"/>
              <w:rPr>
                <w:rFonts w:ascii="Calibri" w:eastAsia="Calibri" w:hAnsi="Calibri"/>
                <w:sz w:val="20"/>
                <w:szCs w:val="20"/>
                <w:lang w:eastAsia="en-US"/>
              </w:rPr>
            </w:pPr>
            <w:r w:rsidRPr="00E43137">
              <w:rPr>
                <w:rFonts w:ascii="Calibri" w:eastAsia="Calibri" w:hAnsi="Calibri"/>
                <w:sz w:val="20"/>
                <w:szCs w:val="20"/>
                <w:lang w:eastAsia="en-US"/>
              </w:rPr>
              <w:lastRenderedPageBreak/>
              <w:t>16.9.2013</w:t>
            </w:r>
          </w:p>
        </w:tc>
        <w:tc>
          <w:tcPr>
            <w:tcW w:w="1273" w:type="dxa"/>
            <w:tcBorders>
              <w:bottom w:val="single" w:sz="4" w:space="0" w:color="auto"/>
            </w:tcBorders>
            <w:shd w:val="clear" w:color="auto" w:fill="FFFFFF"/>
          </w:tcPr>
          <w:p w:rsidR="00E43137" w:rsidRPr="00E43137" w:rsidRDefault="00E43137" w:rsidP="00130D66">
            <w:pPr>
              <w:spacing w:after="100" w:afterAutospacing="1"/>
              <w:ind w:left="142"/>
              <w:rPr>
                <w:rFonts w:ascii="Calibri" w:eastAsia="Calibri" w:hAnsi="Calibri"/>
                <w:sz w:val="20"/>
                <w:szCs w:val="20"/>
                <w:lang w:eastAsia="en-US"/>
              </w:rPr>
            </w:pPr>
            <w:r w:rsidRPr="00E43137">
              <w:rPr>
                <w:rFonts w:ascii="Calibri" w:eastAsia="Calibri" w:hAnsi="Calibri"/>
                <w:sz w:val="20"/>
                <w:szCs w:val="20"/>
                <w:lang w:eastAsia="en-US"/>
              </w:rPr>
              <w:t>Tabuľka SWOT</w:t>
            </w:r>
          </w:p>
        </w:tc>
        <w:tc>
          <w:tcPr>
            <w:tcW w:w="3402" w:type="dxa"/>
            <w:tcBorders>
              <w:bottom w:val="single" w:sz="4" w:space="0" w:color="auto"/>
            </w:tcBorders>
            <w:shd w:val="clear" w:color="auto" w:fill="FFFFFF"/>
          </w:tcPr>
          <w:p w:rsidR="00E43137" w:rsidRPr="00E43137" w:rsidRDefault="00E43137" w:rsidP="00F832C9">
            <w:pPr>
              <w:numPr>
                <w:ilvl w:val="0"/>
                <w:numId w:val="1"/>
              </w:numPr>
              <w:spacing w:after="200"/>
              <w:ind w:left="274" w:hanging="143"/>
              <w:jc w:val="left"/>
              <w:rPr>
                <w:rFonts w:ascii="Calibri" w:eastAsia="Calibri" w:hAnsi="Calibri"/>
                <w:sz w:val="20"/>
                <w:szCs w:val="20"/>
                <w:lang w:eastAsia="en-US"/>
              </w:rPr>
            </w:pPr>
            <w:r w:rsidRPr="00E43137">
              <w:rPr>
                <w:rFonts w:ascii="Calibri" w:eastAsia="Calibri" w:hAnsi="Calibri"/>
                <w:sz w:val="20"/>
                <w:szCs w:val="20"/>
                <w:lang w:eastAsia="en-US"/>
              </w:rPr>
              <w:t>v analýze SWOT chýba zdôvodnenie (opodstatnenosť) niektorých identifikovaných potrieb, hodnotiteľ odporúča doplniť SWOT v zmysle zistení uvedených v správe pre jednotlivé priority.</w:t>
            </w:r>
          </w:p>
          <w:p w:rsidR="00E43137" w:rsidRPr="00E43137" w:rsidRDefault="00E43137" w:rsidP="00F832C9">
            <w:pPr>
              <w:numPr>
                <w:ilvl w:val="0"/>
                <w:numId w:val="1"/>
              </w:numPr>
              <w:ind w:left="272" w:hanging="142"/>
              <w:jc w:val="left"/>
              <w:rPr>
                <w:rFonts w:ascii="Calibri" w:eastAsia="Calibri" w:hAnsi="Calibri"/>
                <w:sz w:val="20"/>
                <w:szCs w:val="20"/>
                <w:lang w:eastAsia="en-US"/>
              </w:rPr>
            </w:pPr>
            <w:r w:rsidRPr="00E43137">
              <w:rPr>
                <w:rFonts w:ascii="Calibri" w:eastAsia="Calibri" w:hAnsi="Calibri"/>
                <w:sz w:val="20"/>
                <w:szCs w:val="20"/>
                <w:lang w:eastAsia="en-US"/>
              </w:rPr>
              <w:t>je potrebné rozlišovať interné a externé vplyvy, t.j. do slabých stránok zahrnúť iba tie, ktoré môže program riešiť, niektoré body sa týkajú iných priorít a preto by bolo správne ich presunúť alebo preformulovať</w:t>
            </w:r>
          </w:p>
        </w:tc>
        <w:tc>
          <w:tcPr>
            <w:tcW w:w="3118" w:type="dxa"/>
            <w:tcBorders>
              <w:bottom w:val="single" w:sz="4" w:space="0" w:color="auto"/>
            </w:tcBorders>
            <w:shd w:val="clear" w:color="auto" w:fill="FFFFFF"/>
          </w:tcPr>
          <w:p w:rsidR="00E43137" w:rsidRPr="00E43137" w:rsidRDefault="00E43137" w:rsidP="00F832C9">
            <w:pPr>
              <w:ind w:left="131"/>
              <w:jc w:val="left"/>
              <w:rPr>
                <w:rFonts w:ascii="Calibri" w:eastAsia="Calibri" w:hAnsi="Calibri"/>
                <w:sz w:val="20"/>
                <w:szCs w:val="20"/>
                <w:lang w:eastAsia="en-US"/>
              </w:rPr>
            </w:pPr>
            <w:r w:rsidRPr="00E43137">
              <w:rPr>
                <w:rFonts w:ascii="Calibri" w:eastAsia="Calibri" w:hAnsi="Calibri"/>
                <w:sz w:val="20"/>
                <w:szCs w:val="20"/>
                <w:lang w:eastAsia="en-US"/>
              </w:rPr>
              <w:t>Analýza SWOT bola zosúladená s hodnotením potrieb.</w:t>
            </w:r>
          </w:p>
        </w:tc>
      </w:tr>
      <w:tr w:rsidR="00E43137" w:rsidRPr="00E43137" w:rsidTr="00E43137">
        <w:trPr>
          <w:trHeight w:val="293"/>
        </w:trPr>
        <w:tc>
          <w:tcPr>
            <w:tcW w:w="1147" w:type="dxa"/>
            <w:shd w:val="clear" w:color="auto" w:fill="FFFFFF"/>
          </w:tcPr>
          <w:p w:rsidR="00E43137" w:rsidRPr="00E43137" w:rsidRDefault="00E43137" w:rsidP="00130D66">
            <w:pPr>
              <w:spacing w:after="100" w:afterAutospacing="1"/>
              <w:rPr>
                <w:rFonts w:ascii="Calibri" w:eastAsia="Calibri" w:hAnsi="Calibri"/>
                <w:sz w:val="20"/>
                <w:szCs w:val="20"/>
                <w:lang w:eastAsia="en-US"/>
              </w:rPr>
            </w:pPr>
            <w:r w:rsidRPr="00E43137">
              <w:rPr>
                <w:rFonts w:ascii="Calibri" w:eastAsia="Calibri" w:hAnsi="Calibri"/>
                <w:sz w:val="20"/>
                <w:szCs w:val="20"/>
                <w:lang w:eastAsia="en-US"/>
              </w:rPr>
              <w:t>16.9.2013</w:t>
            </w:r>
          </w:p>
        </w:tc>
        <w:tc>
          <w:tcPr>
            <w:tcW w:w="1273" w:type="dxa"/>
            <w:shd w:val="clear" w:color="auto" w:fill="FFFFFF"/>
          </w:tcPr>
          <w:p w:rsidR="00E43137" w:rsidRPr="00E43137" w:rsidRDefault="00E43137" w:rsidP="00130D66">
            <w:pPr>
              <w:spacing w:after="100" w:afterAutospacing="1"/>
              <w:ind w:left="142"/>
              <w:rPr>
                <w:rFonts w:ascii="Calibri" w:eastAsia="Calibri" w:hAnsi="Calibri"/>
                <w:sz w:val="20"/>
                <w:szCs w:val="20"/>
                <w:lang w:eastAsia="en-US"/>
              </w:rPr>
            </w:pPr>
            <w:r w:rsidRPr="00E43137">
              <w:rPr>
                <w:rFonts w:ascii="Calibri" w:eastAsia="Calibri" w:hAnsi="Calibri"/>
                <w:sz w:val="20"/>
                <w:szCs w:val="20"/>
                <w:lang w:eastAsia="en-US"/>
              </w:rPr>
              <w:t>Potreby</w:t>
            </w:r>
          </w:p>
        </w:tc>
        <w:tc>
          <w:tcPr>
            <w:tcW w:w="3402" w:type="dxa"/>
            <w:shd w:val="clear" w:color="auto" w:fill="FFFFFF"/>
          </w:tcPr>
          <w:p w:rsidR="00E43137" w:rsidRPr="00E43137" w:rsidRDefault="00E43137" w:rsidP="00F832C9">
            <w:pPr>
              <w:numPr>
                <w:ilvl w:val="0"/>
                <w:numId w:val="1"/>
              </w:numPr>
              <w:spacing w:after="200"/>
              <w:ind w:left="274" w:hanging="143"/>
              <w:jc w:val="left"/>
              <w:rPr>
                <w:rFonts w:ascii="Calibri" w:eastAsia="Calibri" w:hAnsi="Calibri"/>
                <w:sz w:val="20"/>
                <w:szCs w:val="20"/>
                <w:lang w:eastAsia="en-US"/>
              </w:rPr>
            </w:pPr>
            <w:r w:rsidRPr="00E43137">
              <w:rPr>
                <w:rFonts w:ascii="Calibri" w:eastAsia="Calibri" w:hAnsi="Calibri"/>
                <w:sz w:val="20"/>
                <w:szCs w:val="20"/>
                <w:lang w:eastAsia="en-US"/>
              </w:rPr>
              <w:t xml:space="preserve">niektoré potreby uvedené v zozname sú všeobecne definované, je potrebné ich i.) preformulovať tak, aby z ich popisu vyplýval typ podpory, ktorý by mal pomôcť vyriešiť danú potrebu, ii.) upraviť, aby vyjadrili príslušnosť k danej priorite </w:t>
            </w:r>
          </w:p>
          <w:p w:rsidR="00E43137" w:rsidRPr="00E43137" w:rsidRDefault="00E43137" w:rsidP="00F832C9">
            <w:pPr>
              <w:numPr>
                <w:ilvl w:val="0"/>
                <w:numId w:val="1"/>
              </w:numPr>
              <w:spacing w:after="200"/>
              <w:ind w:left="274" w:hanging="143"/>
              <w:jc w:val="left"/>
              <w:rPr>
                <w:rFonts w:ascii="Calibri" w:eastAsia="Calibri" w:hAnsi="Calibri"/>
                <w:sz w:val="20"/>
                <w:szCs w:val="20"/>
                <w:lang w:eastAsia="en-US"/>
              </w:rPr>
            </w:pPr>
            <w:r w:rsidRPr="00E43137">
              <w:rPr>
                <w:rFonts w:ascii="Calibri" w:eastAsia="Calibri" w:hAnsi="Calibri"/>
                <w:sz w:val="20"/>
                <w:szCs w:val="20"/>
                <w:lang w:eastAsia="en-US"/>
              </w:rPr>
              <w:t xml:space="preserve">je nevyhnutné stanoviť poradie dôležitosti potrieb, ktoré bude dôležité pre prípravu stratégie. </w:t>
            </w:r>
          </w:p>
          <w:p w:rsidR="00E43137" w:rsidRPr="00E43137" w:rsidRDefault="00E43137" w:rsidP="00F832C9">
            <w:pPr>
              <w:numPr>
                <w:ilvl w:val="0"/>
                <w:numId w:val="1"/>
              </w:numPr>
              <w:ind w:left="272" w:hanging="142"/>
              <w:jc w:val="left"/>
              <w:rPr>
                <w:rFonts w:ascii="Calibri" w:eastAsia="Calibri" w:hAnsi="Calibri"/>
                <w:color w:val="000000"/>
                <w:sz w:val="20"/>
                <w:szCs w:val="20"/>
                <w:lang w:eastAsia="en-US"/>
              </w:rPr>
            </w:pPr>
            <w:r w:rsidRPr="00E43137">
              <w:rPr>
                <w:rFonts w:ascii="Calibri" w:eastAsia="Calibri" w:hAnsi="Calibri"/>
                <w:sz w:val="20"/>
                <w:szCs w:val="20"/>
                <w:lang w:eastAsia="en-US"/>
              </w:rPr>
              <w:t>doplniť hodnotenie potrieb (needs assesment)</w:t>
            </w:r>
          </w:p>
        </w:tc>
        <w:tc>
          <w:tcPr>
            <w:tcW w:w="3118" w:type="dxa"/>
            <w:shd w:val="clear" w:color="auto" w:fill="FFFFFF"/>
          </w:tcPr>
          <w:p w:rsidR="00E43137" w:rsidRPr="00E43137" w:rsidRDefault="00E43137" w:rsidP="00F832C9">
            <w:pPr>
              <w:ind w:left="131"/>
              <w:jc w:val="left"/>
              <w:rPr>
                <w:rFonts w:ascii="Calibri" w:eastAsia="Calibri" w:hAnsi="Calibri"/>
                <w:sz w:val="20"/>
                <w:szCs w:val="20"/>
                <w:lang w:eastAsia="en-US"/>
              </w:rPr>
            </w:pPr>
            <w:r w:rsidRPr="00E43137">
              <w:rPr>
                <w:rFonts w:ascii="Calibri" w:eastAsia="Calibri" w:hAnsi="Calibri"/>
                <w:sz w:val="20"/>
                <w:szCs w:val="20"/>
                <w:lang w:eastAsia="en-US"/>
              </w:rPr>
              <w:t>Boli prepracované identifikované potreby v zmysle odporúčaní ex ante hodnotiteľa. Bolo pripravené chýbajúce hodnotenie potrieb, ktoré zdôvodňuje identifikované potreby na základe analýzy SWOT a popisu súčasnej situácie.</w:t>
            </w:r>
          </w:p>
        </w:tc>
      </w:tr>
      <w:tr w:rsidR="00E43137" w:rsidRPr="00E43137" w:rsidTr="00E43137">
        <w:trPr>
          <w:trHeight w:val="839"/>
        </w:trPr>
        <w:tc>
          <w:tcPr>
            <w:tcW w:w="1147" w:type="dxa"/>
            <w:tcBorders>
              <w:bottom w:val="single" w:sz="4" w:space="0" w:color="auto"/>
            </w:tcBorders>
            <w:shd w:val="clear" w:color="auto" w:fill="FFFFFF"/>
          </w:tcPr>
          <w:p w:rsidR="00E43137" w:rsidRPr="00E43137" w:rsidRDefault="00E43137" w:rsidP="00130D66">
            <w:pPr>
              <w:spacing w:after="100" w:afterAutospacing="1"/>
              <w:rPr>
                <w:rFonts w:ascii="Calibri" w:eastAsia="Calibri" w:hAnsi="Calibri"/>
                <w:sz w:val="20"/>
                <w:szCs w:val="20"/>
                <w:lang w:eastAsia="en-US"/>
              </w:rPr>
            </w:pPr>
            <w:r w:rsidRPr="00E43137">
              <w:rPr>
                <w:rFonts w:ascii="Calibri" w:eastAsia="Calibri" w:hAnsi="Calibri"/>
                <w:sz w:val="20"/>
                <w:szCs w:val="20"/>
                <w:lang w:eastAsia="en-US"/>
              </w:rPr>
              <w:t>16.9.2013</w:t>
            </w:r>
          </w:p>
        </w:tc>
        <w:tc>
          <w:tcPr>
            <w:tcW w:w="1273" w:type="dxa"/>
            <w:tcBorders>
              <w:bottom w:val="single" w:sz="4" w:space="0" w:color="auto"/>
            </w:tcBorders>
            <w:shd w:val="clear" w:color="auto" w:fill="FFFFFF"/>
          </w:tcPr>
          <w:p w:rsidR="00E43137" w:rsidRPr="00E43137" w:rsidRDefault="00E43137" w:rsidP="00130D66">
            <w:pPr>
              <w:spacing w:after="100" w:afterAutospacing="1"/>
              <w:ind w:left="142"/>
              <w:rPr>
                <w:rFonts w:ascii="Calibri" w:eastAsia="Calibri" w:hAnsi="Calibri"/>
                <w:sz w:val="20"/>
                <w:szCs w:val="20"/>
                <w:lang w:eastAsia="en-US"/>
              </w:rPr>
            </w:pPr>
            <w:r w:rsidRPr="00E43137">
              <w:rPr>
                <w:rFonts w:ascii="Calibri" w:eastAsia="Calibri" w:hAnsi="Calibri"/>
                <w:sz w:val="20"/>
                <w:szCs w:val="20"/>
                <w:lang w:eastAsia="en-US"/>
              </w:rPr>
              <w:t>Výsledky konzultácií k SWOT analýze</w:t>
            </w:r>
          </w:p>
        </w:tc>
        <w:tc>
          <w:tcPr>
            <w:tcW w:w="3402" w:type="dxa"/>
            <w:tcBorders>
              <w:bottom w:val="single" w:sz="4" w:space="0" w:color="auto"/>
            </w:tcBorders>
            <w:shd w:val="clear" w:color="auto" w:fill="FFFFFF"/>
          </w:tcPr>
          <w:p w:rsidR="00E43137" w:rsidRPr="00E43137" w:rsidRDefault="00E43137" w:rsidP="00F832C9">
            <w:pPr>
              <w:numPr>
                <w:ilvl w:val="0"/>
                <w:numId w:val="1"/>
              </w:numPr>
              <w:spacing w:after="200"/>
              <w:ind w:left="274" w:hanging="143"/>
              <w:jc w:val="left"/>
              <w:rPr>
                <w:rFonts w:ascii="Calibri" w:eastAsia="Calibri" w:hAnsi="Calibri"/>
                <w:sz w:val="20"/>
                <w:szCs w:val="20"/>
                <w:lang w:eastAsia="en-US"/>
              </w:rPr>
            </w:pPr>
            <w:r w:rsidRPr="00E43137">
              <w:rPr>
                <w:rFonts w:ascii="Calibri" w:eastAsia="Calibri" w:hAnsi="Calibri"/>
                <w:sz w:val="20"/>
                <w:szCs w:val="20"/>
                <w:lang w:eastAsia="en-US"/>
              </w:rPr>
              <w:t>uviesť do programu prehľad a vyhodnotenie hlavných pripomienok členov PS k SWOT analýze</w:t>
            </w:r>
          </w:p>
          <w:p w:rsidR="00E43137" w:rsidRPr="00E43137" w:rsidRDefault="00E43137" w:rsidP="00F832C9">
            <w:pPr>
              <w:spacing w:after="100" w:afterAutospacing="1"/>
              <w:ind w:left="274" w:hanging="143"/>
              <w:jc w:val="left"/>
              <w:rPr>
                <w:rFonts w:ascii="Calibri" w:eastAsia="Calibri" w:hAnsi="Calibri"/>
                <w:sz w:val="20"/>
                <w:szCs w:val="20"/>
                <w:lang w:eastAsia="en-US"/>
              </w:rPr>
            </w:pPr>
          </w:p>
        </w:tc>
        <w:tc>
          <w:tcPr>
            <w:tcW w:w="3118" w:type="dxa"/>
            <w:tcBorders>
              <w:bottom w:val="single" w:sz="4" w:space="0" w:color="auto"/>
            </w:tcBorders>
            <w:shd w:val="clear" w:color="auto" w:fill="FFFFFF"/>
          </w:tcPr>
          <w:p w:rsidR="00E43137" w:rsidRPr="00E43137" w:rsidRDefault="00E43137" w:rsidP="00F832C9">
            <w:pPr>
              <w:jc w:val="left"/>
              <w:rPr>
                <w:rFonts w:ascii="Calibri" w:eastAsia="Calibri" w:hAnsi="Calibri"/>
                <w:sz w:val="20"/>
                <w:szCs w:val="20"/>
                <w:lang w:eastAsia="en-US"/>
              </w:rPr>
            </w:pPr>
            <w:r w:rsidRPr="00E43137">
              <w:rPr>
                <w:rFonts w:ascii="Calibri" w:eastAsia="Calibri" w:hAnsi="Calibri"/>
                <w:sz w:val="20"/>
                <w:szCs w:val="20"/>
                <w:lang w:eastAsia="en-US"/>
              </w:rPr>
              <w:t xml:space="preserve"> Agenda ohľadom komunikácie všetkých gestorov s pracovnými skupinami a podskupinami bola spracovaná.</w:t>
            </w:r>
          </w:p>
        </w:tc>
      </w:tr>
    </w:tbl>
    <w:p w:rsidR="00E43137" w:rsidRPr="00E43137" w:rsidRDefault="00E43137" w:rsidP="00AA30CA">
      <w:pPr>
        <w:pStyle w:val="Podpod"/>
      </w:pPr>
      <w:bookmarkStart w:id="8" w:name="_Toc369609011"/>
      <w:bookmarkStart w:id="9" w:name="_Toc384111010"/>
      <w:bookmarkStart w:id="10" w:name="_Toc387041288"/>
      <w:r w:rsidRPr="00E43137">
        <w:t>3.2.1. Odporúčania</w:t>
      </w:r>
      <w:bookmarkEnd w:id="8"/>
      <w:bookmarkEnd w:id="9"/>
      <w:bookmarkEnd w:id="10"/>
      <w:r w:rsidRPr="00E43137">
        <w:t xml:space="preserve"> </w:t>
      </w:r>
    </w:p>
    <w:p w:rsidR="00E43137" w:rsidRPr="00E43137" w:rsidRDefault="00E43137" w:rsidP="008676F9">
      <w:pPr>
        <w:rPr>
          <w:rFonts w:ascii="Calibri" w:hAnsi="Calibri"/>
          <w:i/>
          <w:color w:val="000000"/>
          <w:szCs w:val="22"/>
        </w:rPr>
      </w:pPr>
    </w:p>
    <w:p w:rsidR="00E43137" w:rsidRPr="00E43137" w:rsidRDefault="00E43137" w:rsidP="001B6996">
      <w:pPr>
        <w:numPr>
          <w:ilvl w:val="0"/>
          <w:numId w:val="2"/>
        </w:numPr>
        <w:rPr>
          <w:rFonts w:ascii="Calibri" w:hAnsi="Calibri"/>
          <w:i/>
          <w:color w:val="000000"/>
          <w:szCs w:val="22"/>
        </w:rPr>
      </w:pPr>
      <w:r w:rsidRPr="00E43137">
        <w:rPr>
          <w:rFonts w:ascii="Calibri" w:hAnsi="Calibri"/>
          <w:i/>
          <w:color w:val="000000"/>
          <w:szCs w:val="22"/>
        </w:rPr>
        <w:t>Kategória  odporúčania: Analýza SWOT, hodnotenie potrieb</w:t>
      </w:r>
    </w:p>
    <w:p w:rsidR="00E43137" w:rsidRPr="00E43137" w:rsidRDefault="00E43137" w:rsidP="00F57BCD">
      <w:pPr>
        <w:rPr>
          <w:rFonts w:ascii="Calibri" w:hAnsi="Calibri"/>
          <w:color w:val="000000"/>
          <w:szCs w:val="22"/>
        </w:rPr>
      </w:pPr>
      <w:r w:rsidRPr="00E43137">
        <w:rPr>
          <w:rFonts w:ascii="Calibri" w:hAnsi="Calibri"/>
          <w:color w:val="000000"/>
          <w:szCs w:val="22"/>
        </w:rPr>
        <w:t>Dátum: 16.09.2013</w:t>
      </w:r>
    </w:p>
    <w:p w:rsidR="00E43137" w:rsidRPr="00E43137" w:rsidRDefault="00E43137" w:rsidP="00F57BCD">
      <w:pPr>
        <w:rPr>
          <w:rFonts w:ascii="Calibri" w:hAnsi="Calibri"/>
          <w:color w:val="000000"/>
          <w:szCs w:val="22"/>
        </w:rPr>
      </w:pPr>
      <w:r w:rsidRPr="00E43137">
        <w:rPr>
          <w:rFonts w:ascii="Calibri" w:hAnsi="Calibri"/>
          <w:color w:val="000000"/>
          <w:szCs w:val="22"/>
        </w:rPr>
        <w:t>Téma: Opis súčasnej situácie</w:t>
      </w:r>
    </w:p>
    <w:p w:rsidR="00E43137" w:rsidRPr="00E43137" w:rsidRDefault="00E43137" w:rsidP="00F57BCD">
      <w:pPr>
        <w:rPr>
          <w:rFonts w:ascii="Calibri" w:hAnsi="Calibri"/>
          <w:color w:val="000000"/>
          <w:szCs w:val="22"/>
        </w:rPr>
      </w:pPr>
      <w:r w:rsidRPr="00E43137">
        <w:rPr>
          <w:rFonts w:ascii="Calibri" w:hAnsi="Calibri"/>
          <w:color w:val="000000"/>
          <w:szCs w:val="22"/>
        </w:rPr>
        <w:t>Opis odporúčaní:</w:t>
      </w:r>
    </w:p>
    <w:p w:rsidR="00E43137" w:rsidRPr="00E43137" w:rsidRDefault="00E43137" w:rsidP="001B6996">
      <w:pPr>
        <w:numPr>
          <w:ilvl w:val="0"/>
          <w:numId w:val="1"/>
        </w:numPr>
        <w:ind w:left="557" w:hanging="426"/>
        <w:rPr>
          <w:rFonts w:ascii="Calibri" w:eastAsia="Calibri" w:hAnsi="Calibri"/>
          <w:color w:val="000000"/>
          <w:szCs w:val="22"/>
          <w:lang w:eastAsia="en-US"/>
        </w:rPr>
      </w:pPr>
      <w:r w:rsidRPr="00E43137">
        <w:rPr>
          <w:rFonts w:ascii="Calibri" w:eastAsia="Calibri" w:hAnsi="Calibri"/>
          <w:color w:val="000000"/>
          <w:szCs w:val="22"/>
          <w:lang w:eastAsia="en-US"/>
        </w:rPr>
        <w:t xml:space="preserve">doplniť o informácie (resp. doplniť odvolávky na jednotlivé podrobné analýzy priorít), ktoré plne pokryjú všetky oblasti popísané v analýze SWOT ako aj poskytnú dôkaz pre identifikované potreby. </w:t>
      </w:r>
    </w:p>
    <w:p w:rsidR="00E43137" w:rsidRPr="00E43137" w:rsidRDefault="00E43137" w:rsidP="001B6996">
      <w:pPr>
        <w:numPr>
          <w:ilvl w:val="0"/>
          <w:numId w:val="1"/>
        </w:numPr>
        <w:ind w:left="557" w:hanging="426"/>
        <w:rPr>
          <w:rFonts w:ascii="Calibri" w:eastAsia="Calibri" w:hAnsi="Calibri"/>
          <w:caps/>
          <w:color w:val="000000"/>
          <w:szCs w:val="22"/>
          <w:lang w:eastAsia="en-US"/>
        </w:rPr>
      </w:pPr>
      <w:r w:rsidRPr="00E43137">
        <w:rPr>
          <w:rFonts w:ascii="Calibri" w:eastAsia="Calibri" w:hAnsi="Calibri"/>
          <w:color w:val="000000"/>
          <w:szCs w:val="22"/>
          <w:lang w:eastAsia="en-US"/>
        </w:rPr>
        <w:t>v popise uvádzať aj porovnania s inými krajinami (eu-27, v4), používať spoločné kontextové ukazovatele ako aj programovo špecifické kontextové ukazovatele a údaje Eurostat-u, OECD a pod.</w:t>
      </w:r>
    </w:p>
    <w:p w:rsidR="00E43137" w:rsidRPr="00E43137" w:rsidRDefault="00E43137" w:rsidP="001B6996">
      <w:pPr>
        <w:numPr>
          <w:ilvl w:val="0"/>
          <w:numId w:val="1"/>
        </w:numPr>
        <w:ind w:left="557" w:hanging="426"/>
        <w:rPr>
          <w:rFonts w:ascii="Calibri" w:eastAsia="Calibri" w:hAnsi="Calibri"/>
          <w:caps/>
          <w:color w:val="000000"/>
          <w:szCs w:val="22"/>
          <w:lang w:eastAsia="en-US"/>
        </w:rPr>
      </w:pPr>
      <w:r w:rsidRPr="00E43137">
        <w:rPr>
          <w:rFonts w:ascii="Calibri" w:eastAsia="Calibri" w:hAnsi="Calibri"/>
          <w:color w:val="000000"/>
          <w:szCs w:val="22"/>
          <w:lang w:eastAsia="en-US"/>
        </w:rPr>
        <w:t>zharmonizovať údaje v popise v zmysle bázických rokov (okrem výnimiek napr. v podobe údajov v rámci Farm Cenzus, ktorý sa uskutočnil v roku 2010), pre vytvorenie uceleného obrazu využívať časový rad údajov (napr. za obdobie 2007-2011)</w:t>
      </w:r>
    </w:p>
    <w:p w:rsidR="00E43137" w:rsidRPr="00E43137" w:rsidRDefault="00E43137" w:rsidP="001B6996">
      <w:pPr>
        <w:numPr>
          <w:ilvl w:val="0"/>
          <w:numId w:val="1"/>
        </w:numPr>
        <w:ind w:left="557" w:hanging="447"/>
        <w:rPr>
          <w:rFonts w:ascii="Calibri" w:eastAsia="Calibri" w:hAnsi="Calibri"/>
          <w:color w:val="000000"/>
          <w:szCs w:val="22"/>
          <w:lang w:eastAsia="en-US"/>
        </w:rPr>
      </w:pPr>
      <w:r w:rsidRPr="00E43137">
        <w:rPr>
          <w:rFonts w:ascii="Calibri" w:eastAsia="Calibri" w:hAnsi="Calibri"/>
          <w:color w:val="000000"/>
          <w:szCs w:val="22"/>
          <w:lang w:eastAsia="en-US"/>
        </w:rPr>
        <w:t xml:space="preserve">zohľadniť poučenia z predchádzajúcich intervencií (hlavne súčasný PRV SR 2007-2013) </w:t>
      </w:r>
    </w:p>
    <w:p w:rsidR="00E43137" w:rsidRPr="00E43137" w:rsidRDefault="00E43137" w:rsidP="001B6996">
      <w:pPr>
        <w:numPr>
          <w:ilvl w:val="0"/>
          <w:numId w:val="1"/>
        </w:numPr>
        <w:ind w:left="557" w:hanging="447"/>
        <w:rPr>
          <w:rFonts w:ascii="Calibri" w:eastAsia="Calibri" w:hAnsi="Calibri"/>
          <w:color w:val="000000"/>
          <w:szCs w:val="22"/>
          <w:lang w:eastAsia="en-US"/>
        </w:rPr>
      </w:pPr>
      <w:r w:rsidRPr="00E43137">
        <w:rPr>
          <w:rFonts w:ascii="Calibri" w:eastAsia="Calibri" w:hAnsi="Calibri"/>
          <w:color w:val="000000"/>
          <w:szCs w:val="22"/>
          <w:lang w:eastAsia="en-US"/>
        </w:rPr>
        <w:t>popis by nemal obsahovať len jednoduché tvrdenia a štatistické fakty, ale aj zdôvodnenia</w:t>
      </w:r>
    </w:p>
    <w:p w:rsidR="00E43137" w:rsidRPr="00E43137" w:rsidRDefault="00E43137" w:rsidP="008676F9">
      <w:pPr>
        <w:rPr>
          <w:rFonts w:ascii="Calibri" w:hAnsi="Calibri"/>
          <w:color w:val="000000"/>
          <w:szCs w:val="22"/>
        </w:rPr>
      </w:pPr>
    </w:p>
    <w:p w:rsidR="00E43137" w:rsidRPr="00E43137" w:rsidRDefault="00E43137" w:rsidP="008676F9">
      <w:pPr>
        <w:rPr>
          <w:rFonts w:ascii="Calibri" w:hAnsi="Calibri"/>
          <w:color w:val="000000"/>
          <w:szCs w:val="22"/>
          <w:u w:val="single"/>
        </w:rPr>
      </w:pPr>
      <w:r w:rsidRPr="00E43137">
        <w:rPr>
          <w:rFonts w:ascii="Calibri" w:hAnsi="Calibri"/>
          <w:color w:val="000000"/>
          <w:szCs w:val="22"/>
          <w:u w:val="single"/>
        </w:rPr>
        <w:t>Ako bolo odporúčanie zohľadnené v programe, resp. zdôvodnenie prečo nebolo zohľadnené:</w:t>
      </w:r>
    </w:p>
    <w:p w:rsidR="00E43137" w:rsidRPr="00E43137" w:rsidRDefault="00E43137" w:rsidP="008676F9">
      <w:pPr>
        <w:rPr>
          <w:rFonts w:ascii="Calibri" w:hAnsi="Calibri"/>
          <w:color w:val="000000"/>
          <w:szCs w:val="22"/>
        </w:rPr>
      </w:pPr>
      <w:r w:rsidRPr="00E43137">
        <w:rPr>
          <w:rFonts w:ascii="Calibri" w:hAnsi="Calibri"/>
          <w:color w:val="000000"/>
          <w:szCs w:val="22"/>
        </w:rPr>
        <w:t xml:space="preserve">Popis súčasnej situácie bol prepracovaný v zmysle odporúčaní hodnotiteľa. Štruktúra popisu bola prispôsobená podľa kontextových ukazovateľov a zamerania PRV, obsah zosúladený s analýzou SWOT a identifikovaných potrieb. Poučenia z predchádzajúcich intervencií boli zakomponované do popisu súčasnej situácie ako aj do hodnotenia potrieb. Z dôvodu limitu počtu znakov boli vytvorené odvolávky na podrobné analýzy priorít, ktoré poskytujú podrobnejšie údaje ako aj zdôvodnenia. </w:t>
      </w:r>
    </w:p>
    <w:p w:rsidR="00E43137" w:rsidRDefault="00E43137" w:rsidP="008676F9">
      <w:pPr>
        <w:rPr>
          <w:rFonts w:ascii="Calibri" w:hAnsi="Calibri"/>
          <w:color w:val="000000"/>
          <w:szCs w:val="22"/>
        </w:rPr>
      </w:pPr>
    </w:p>
    <w:p w:rsidR="00F832C9" w:rsidRPr="00E43137" w:rsidRDefault="00F832C9" w:rsidP="008676F9">
      <w:pPr>
        <w:rPr>
          <w:rFonts w:ascii="Calibri" w:hAnsi="Calibri"/>
          <w:color w:val="000000"/>
          <w:szCs w:val="22"/>
        </w:rPr>
      </w:pPr>
    </w:p>
    <w:p w:rsidR="00E43137" w:rsidRPr="00E43137" w:rsidRDefault="00E43137" w:rsidP="001B6996">
      <w:pPr>
        <w:numPr>
          <w:ilvl w:val="0"/>
          <w:numId w:val="2"/>
        </w:numPr>
        <w:rPr>
          <w:rFonts w:ascii="Calibri" w:hAnsi="Calibri"/>
          <w:i/>
          <w:color w:val="000000"/>
          <w:szCs w:val="22"/>
        </w:rPr>
      </w:pPr>
      <w:r w:rsidRPr="00E43137">
        <w:rPr>
          <w:rFonts w:ascii="Calibri" w:hAnsi="Calibri"/>
          <w:i/>
          <w:color w:val="000000"/>
          <w:szCs w:val="22"/>
        </w:rPr>
        <w:t>Kategória odporúčania: Analýza SWOT, hodnotenie potrieb</w:t>
      </w:r>
    </w:p>
    <w:p w:rsidR="00E43137" w:rsidRPr="00E43137" w:rsidRDefault="00E43137" w:rsidP="00F57BCD">
      <w:pPr>
        <w:rPr>
          <w:rFonts w:ascii="Calibri" w:hAnsi="Calibri"/>
          <w:color w:val="000000"/>
          <w:szCs w:val="22"/>
        </w:rPr>
      </w:pPr>
      <w:r w:rsidRPr="00E43137">
        <w:rPr>
          <w:rFonts w:ascii="Calibri" w:hAnsi="Calibri"/>
          <w:color w:val="000000"/>
          <w:szCs w:val="22"/>
        </w:rPr>
        <w:t>Dátum: 16.09.2013</w:t>
      </w:r>
    </w:p>
    <w:p w:rsidR="00E43137" w:rsidRPr="00E43137" w:rsidRDefault="00E43137" w:rsidP="00F57BCD">
      <w:pPr>
        <w:rPr>
          <w:rFonts w:ascii="Calibri" w:hAnsi="Calibri"/>
          <w:color w:val="000000"/>
          <w:szCs w:val="22"/>
        </w:rPr>
      </w:pPr>
      <w:r w:rsidRPr="00E43137">
        <w:rPr>
          <w:rFonts w:ascii="Calibri" w:hAnsi="Calibri"/>
          <w:color w:val="000000"/>
          <w:szCs w:val="22"/>
        </w:rPr>
        <w:t xml:space="preserve">Téma: </w:t>
      </w:r>
      <w:r w:rsidRPr="00E43137">
        <w:rPr>
          <w:rFonts w:ascii="Calibri" w:eastAsia="Calibri" w:hAnsi="Calibri"/>
          <w:color w:val="000000"/>
          <w:szCs w:val="22"/>
        </w:rPr>
        <w:t>Tabuľka SWOT</w:t>
      </w:r>
    </w:p>
    <w:p w:rsidR="00E43137" w:rsidRPr="00E43137" w:rsidRDefault="00E43137" w:rsidP="00F57BCD">
      <w:pPr>
        <w:rPr>
          <w:rFonts w:ascii="Calibri" w:hAnsi="Calibri"/>
          <w:color w:val="000000"/>
          <w:szCs w:val="22"/>
        </w:rPr>
      </w:pPr>
      <w:r w:rsidRPr="00E43137">
        <w:rPr>
          <w:rFonts w:ascii="Calibri" w:hAnsi="Calibri"/>
          <w:color w:val="000000"/>
          <w:szCs w:val="22"/>
        </w:rPr>
        <w:t>Opis odporúčaní:</w:t>
      </w:r>
    </w:p>
    <w:p w:rsidR="00E43137" w:rsidRPr="00E43137" w:rsidRDefault="00E43137" w:rsidP="001B6996">
      <w:pPr>
        <w:numPr>
          <w:ilvl w:val="0"/>
          <w:numId w:val="1"/>
        </w:numPr>
        <w:ind w:left="557" w:hanging="426"/>
        <w:rPr>
          <w:rFonts w:ascii="Calibri" w:eastAsia="Calibri" w:hAnsi="Calibri"/>
          <w:color w:val="000000"/>
          <w:szCs w:val="22"/>
          <w:lang w:eastAsia="en-US"/>
        </w:rPr>
      </w:pPr>
      <w:r w:rsidRPr="00E43137">
        <w:rPr>
          <w:rFonts w:ascii="Calibri" w:eastAsia="Calibri" w:hAnsi="Calibri"/>
          <w:color w:val="000000"/>
          <w:szCs w:val="22"/>
          <w:lang w:eastAsia="en-US"/>
        </w:rPr>
        <w:t>v analýze SWOT chýba zdôvodnenie (opodstatnenosť) niektorých identifikovaných potrieb, hodnotiteľ odporúča doplniť SWOT v zmysle zistení uvedených v správe pre jednotlivé priority.</w:t>
      </w:r>
    </w:p>
    <w:p w:rsidR="00E43137" w:rsidRPr="00E43137" w:rsidRDefault="00E43137" w:rsidP="001B6996">
      <w:pPr>
        <w:numPr>
          <w:ilvl w:val="0"/>
          <w:numId w:val="1"/>
        </w:numPr>
        <w:ind w:left="557" w:hanging="426"/>
        <w:rPr>
          <w:rFonts w:ascii="Calibri" w:eastAsia="Calibri" w:hAnsi="Calibri"/>
          <w:color w:val="000000"/>
          <w:szCs w:val="22"/>
          <w:lang w:eastAsia="en-US"/>
        </w:rPr>
      </w:pPr>
      <w:r w:rsidRPr="00E43137">
        <w:rPr>
          <w:rFonts w:ascii="Calibri" w:eastAsia="Calibri" w:hAnsi="Calibri"/>
          <w:color w:val="000000"/>
          <w:szCs w:val="22"/>
          <w:lang w:eastAsia="en-US"/>
        </w:rPr>
        <w:t>je potrebné rozlišovať interné a externé vplyvy, t.j. do slabých stránok zahrnúť iba tie, ktoré môže program riešiť, niektoré body sa týkajú iných priorít a preto by bolo správne ich presunúť alebo preformulovať</w:t>
      </w:r>
    </w:p>
    <w:p w:rsidR="00E43137" w:rsidRDefault="00E43137" w:rsidP="00F57BCD">
      <w:pPr>
        <w:rPr>
          <w:rFonts w:ascii="Calibri" w:hAnsi="Calibri"/>
          <w:color w:val="000000"/>
          <w:szCs w:val="22"/>
        </w:rPr>
      </w:pPr>
    </w:p>
    <w:p w:rsidR="00F832C9" w:rsidRPr="00E43137" w:rsidRDefault="00F832C9" w:rsidP="00F57BCD">
      <w:pPr>
        <w:rPr>
          <w:rFonts w:ascii="Calibri" w:hAnsi="Calibri"/>
          <w:color w:val="000000"/>
          <w:szCs w:val="22"/>
        </w:rPr>
      </w:pPr>
    </w:p>
    <w:p w:rsidR="00E43137" w:rsidRPr="00E43137" w:rsidRDefault="00E43137" w:rsidP="00F57BCD">
      <w:pPr>
        <w:rPr>
          <w:rFonts w:ascii="Calibri" w:hAnsi="Calibri"/>
          <w:color w:val="000000"/>
          <w:szCs w:val="22"/>
        </w:rPr>
      </w:pPr>
      <w:r w:rsidRPr="00E43137">
        <w:rPr>
          <w:rFonts w:ascii="Calibri" w:hAnsi="Calibri"/>
          <w:color w:val="000000"/>
          <w:szCs w:val="22"/>
        </w:rPr>
        <w:t>Ako bolo odporúčanie zohľadnené v programe, resp. zdôvodnenie prečo nebolo zohľadnené:</w:t>
      </w:r>
    </w:p>
    <w:p w:rsidR="00E43137" w:rsidRPr="00E43137" w:rsidRDefault="00E43137" w:rsidP="00F57BCD">
      <w:pPr>
        <w:rPr>
          <w:rFonts w:ascii="Calibri" w:eastAsia="Calibri" w:hAnsi="Calibri"/>
          <w:color w:val="000000"/>
          <w:szCs w:val="22"/>
          <w:lang w:eastAsia="en-US"/>
        </w:rPr>
      </w:pPr>
      <w:r w:rsidRPr="00E43137">
        <w:rPr>
          <w:rFonts w:ascii="Calibri" w:eastAsia="Calibri" w:hAnsi="Calibri"/>
          <w:color w:val="000000"/>
          <w:szCs w:val="22"/>
          <w:lang w:eastAsia="en-US"/>
        </w:rPr>
        <w:t>Analýza SWOT bola zosúladená s hodnotením potrieb.</w:t>
      </w:r>
    </w:p>
    <w:p w:rsidR="00E43137" w:rsidRPr="00E43137" w:rsidRDefault="00E43137" w:rsidP="00F57BCD">
      <w:pPr>
        <w:rPr>
          <w:rFonts w:ascii="Calibri" w:hAnsi="Calibri"/>
          <w:i/>
          <w:color w:val="000000"/>
          <w:szCs w:val="22"/>
        </w:rPr>
      </w:pPr>
    </w:p>
    <w:p w:rsidR="00E43137" w:rsidRPr="00E43137" w:rsidRDefault="00E43137" w:rsidP="001B6996">
      <w:pPr>
        <w:numPr>
          <w:ilvl w:val="0"/>
          <w:numId w:val="2"/>
        </w:numPr>
        <w:rPr>
          <w:rFonts w:ascii="Calibri" w:hAnsi="Calibri"/>
          <w:i/>
          <w:color w:val="000000"/>
          <w:szCs w:val="22"/>
        </w:rPr>
      </w:pPr>
      <w:r w:rsidRPr="00E43137">
        <w:rPr>
          <w:rFonts w:ascii="Calibri" w:hAnsi="Calibri"/>
          <w:i/>
          <w:color w:val="000000"/>
          <w:szCs w:val="22"/>
        </w:rPr>
        <w:t>Kategória odporúčania: Analýza SWOT, hodnotenie potrieb</w:t>
      </w:r>
    </w:p>
    <w:p w:rsidR="00E43137" w:rsidRPr="00E43137" w:rsidRDefault="00E43137" w:rsidP="00F57BCD">
      <w:pPr>
        <w:rPr>
          <w:rFonts w:ascii="Calibri" w:hAnsi="Calibri"/>
          <w:color w:val="000000"/>
          <w:szCs w:val="22"/>
        </w:rPr>
      </w:pPr>
      <w:r w:rsidRPr="00E43137">
        <w:rPr>
          <w:rFonts w:ascii="Calibri" w:hAnsi="Calibri"/>
          <w:color w:val="000000"/>
          <w:szCs w:val="22"/>
        </w:rPr>
        <w:t>Dátum: 16.09.2013</w:t>
      </w:r>
    </w:p>
    <w:p w:rsidR="00E43137" w:rsidRPr="00E43137" w:rsidRDefault="00E43137" w:rsidP="00F57BCD">
      <w:pPr>
        <w:rPr>
          <w:rFonts w:ascii="Calibri" w:hAnsi="Calibri"/>
          <w:color w:val="000000"/>
          <w:szCs w:val="22"/>
        </w:rPr>
      </w:pPr>
      <w:r w:rsidRPr="00E43137">
        <w:rPr>
          <w:rFonts w:ascii="Calibri" w:hAnsi="Calibri"/>
          <w:color w:val="000000"/>
          <w:szCs w:val="22"/>
        </w:rPr>
        <w:t xml:space="preserve">Téma: </w:t>
      </w:r>
      <w:r w:rsidRPr="00E43137">
        <w:rPr>
          <w:rFonts w:ascii="Calibri" w:eastAsia="Calibri" w:hAnsi="Calibri"/>
          <w:color w:val="000000"/>
          <w:szCs w:val="22"/>
        </w:rPr>
        <w:t>Potreby</w:t>
      </w:r>
    </w:p>
    <w:p w:rsidR="00E43137" w:rsidRPr="00E43137" w:rsidRDefault="00E43137" w:rsidP="00F57BCD">
      <w:pPr>
        <w:rPr>
          <w:rFonts w:ascii="Calibri" w:hAnsi="Calibri"/>
          <w:color w:val="000000"/>
          <w:szCs w:val="22"/>
        </w:rPr>
      </w:pPr>
      <w:r w:rsidRPr="00E43137">
        <w:rPr>
          <w:rFonts w:ascii="Calibri" w:hAnsi="Calibri"/>
          <w:color w:val="000000"/>
          <w:szCs w:val="22"/>
        </w:rPr>
        <w:t>Opis odporúčaní:</w:t>
      </w:r>
    </w:p>
    <w:p w:rsidR="00E43137" w:rsidRPr="00E43137" w:rsidRDefault="00E43137" w:rsidP="001B6996">
      <w:pPr>
        <w:numPr>
          <w:ilvl w:val="0"/>
          <w:numId w:val="1"/>
        </w:numPr>
        <w:ind w:left="557" w:hanging="426"/>
        <w:rPr>
          <w:rFonts w:ascii="Calibri" w:eastAsia="Calibri" w:hAnsi="Calibri"/>
          <w:color w:val="000000"/>
          <w:szCs w:val="22"/>
          <w:lang w:eastAsia="en-US"/>
        </w:rPr>
      </w:pPr>
      <w:r w:rsidRPr="00E43137">
        <w:rPr>
          <w:rFonts w:ascii="Calibri" w:eastAsia="Calibri" w:hAnsi="Calibri"/>
          <w:color w:val="000000"/>
          <w:szCs w:val="22"/>
          <w:lang w:eastAsia="en-US"/>
        </w:rPr>
        <w:t xml:space="preserve">niektoré potreby uvedené v zozname sú všeobecne definované, je potrebné ich i.) preformulovať tak, aby z ich popisu vyplýval typ podpory, ktorý by mal pomôcť vyriešiť danú potrebu, ii.) upraviť, aby vyjadrili príslušnosť k danej priorite </w:t>
      </w:r>
    </w:p>
    <w:p w:rsidR="00E43137" w:rsidRPr="00E43137" w:rsidRDefault="00E43137" w:rsidP="001B6996">
      <w:pPr>
        <w:numPr>
          <w:ilvl w:val="0"/>
          <w:numId w:val="1"/>
        </w:numPr>
        <w:ind w:left="557" w:hanging="426"/>
        <w:rPr>
          <w:rFonts w:ascii="Calibri" w:eastAsia="Calibri" w:hAnsi="Calibri"/>
          <w:color w:val="000000"/>
          <w:szCs w:val="22"/>
          <w:lang w:eastAsia="en-US"/>
        </w:rPr>
      </w:pPr>
      <w:r w:rsidRPr="00E43137">
        <w:rPr>
          <w:rFonts w:ascii="Calibri" w:eastAsia="Calibri" w:hAnsi="Calibri"/>
          <w:color w:val="000000"/>
          <w:szCs w:val="22"/>
          <w:lang w:eastAsia="en-US"/>
        </w:rPr>
        <w:t>je nevyhnutné stanoviť poradie dôležitosti potrieb, ktoré bude d</w:t>
      </w:r>
      <w:r w:rsidR="00290520">
        <w:rPr>
          <w:rFonts w:ascii="Calibri" w:eastAsia="Calibri" w:hAnsi="Calibri"/>
          <w:color w:val="000000"/>
          <w:szCs w:val="22"/>
          <w:lang w:eastAsia="en-US"/>
        </w:rPr>
        <w:t>ôležité pre prípravu stratégie</w:t>
      </w:r>
    </w:p>
    <w:p w:rsidR="00E43137" w:rsidRDefault="00E43137" w:rsidP="001B6996">
      <w:pPr>
        <w:numPr>
          <w:ilvl w:val="0"/>
          <w:numId w:val="1"/>
        </w:numPr>
        <w:ind w:left="557" w:hanging="426"/>
        <w:rPr>
          <w:rFonts w:ascii="Calibri" w:eastAsia="Calibri" w:hAnsi="Calibri"/>
          <w:color w:val="000000"/>
          <w:szCs w:val="22"/>
          <w:lang w:eastAsia="en-US"/>
        </w:rPr>
      </w:pPr>
      <w:r w:rsidRPr="00E43137">
        <w:rPr>
          <w:rFonts w:ascii="Calibri" w:eastAsia="Calibri" w:hAnsi="Calibri"/>
          <w:color w:val="000000"/>
          <w:szCs w:val="22"/>
          <w:lang w:eastAsia="en-US"/>
        </w:rPr>
        <w:t>doplniť hodnotenie potrieb (needs assesment)</w:t>
      </w:r>
    </w:p>
    <w:p w:rsidR="00F832C9" w:rsidRPr="00E43137" w:rsidRDefault="00F832C9" w:rsidP="00F832C9">
      <w:pPr>
        <w:ind w:left="131"/>
        <w:rPr>
          <w:rFonts w:ascii="Calibri" w:eastAsia="Calibri" w:hAnsi="Calibri"/>
          <w:color w:val="000000"/>
          <w:szCs w:val="22"/>
          <w:lang w:eastAsia="en-US"/>
        </w:rPr>
      </w:pPr>
    </w:p>
    <w:p w:rsidR="00E43137" w:rsidRPr="00E43137" w:rsidRDefault="00E43137" w:rsidP="008676F9">
      <w:pPr>
        <w:ind w:left="557"/>
        <w:rPr>
          <w:rFonts w:ascii="Calibri" w:eastAsia="Calibri" w:hAnsi="Calibri"/>
          <w:color w:val="000000"/>
          <w:szCs w:val="22"/>
          <w:lang w:eastAsia="en-US"/>
        </w:rPr>
      </w:pPr>
    </w:p>
    <w:p w:rsidR="00E43137" w:rsidRPr="00E43137" w:rsidRDefault="00E43137" w:rsidP="008676F9">
      <w:pPr>
        <w:rPr>
          <w:rFonts w:ascii="Calibri" w:hAnsi="Calibri"/>
          <w:color w:val="000000"/>
          <w:szCs w:val="22"/>
          <w:u w:val="single"/>
        </w:rPr>
      </w:pPr>
      <w:r w:rsidRPr="00E43137">
        <w:rPr>
          <w:rFonts w:ascii="Calibri" w:hAnsi="Calibri"/>
          <w:color w:val="000000"/>
          <w:szCs w:val="22"/>
          <w:u w:val="single"/>
        </w:rPr>
        <w:t>Ako bolo odporúčanie zohľadnené v programe, resp. zdôvodnenie prečo nebolo zohľadnené:</w:t>
      </w:r>
    </w:p>
    <w:p w:rsidR="00E43137" w:rsidRPr="00E43137" w:rsidRDefault="00E43137" w:rsidP="008676F9">
      <w:pPr>
        <w:rPr>
          <w:rFonts w:ascii="Calibri" w:eastAsia="Calibri" w:hAnsi="Calibri"/>
          <w:color w:val="000000"/>
          <w:szCs w:val="22"/>
          <w:lang w:eastAsia="en-US"/>
        </w:rPr>
      </w:pPr>
      <w:r w:rsidRPr="00E43137">
        <w:rPr>
          <w:rFonts w:ascii="Calibri" w:eastAsia="Calibri" w:hAnsi="Calibri"/>
          <w:color w:val="000000"/>
          <w:szCs w:val="22"/>
          <w:lang w:eastAsia="en-US"/>
        </w:rPr>
        <w:t>Boli prepracované identifikované potreby v zmysle odporúčaní ex ante hodnotiteľa. Bolo pripravené chýbajúce hodnotenie potrieb, ktoré zdôvodňuje identifikované potreby na základe analýzy SWOT a popisu súčasnej situácie.</w:t>
      </w:r>
    </w:p>
    <w:p w:rsidR="00E43137" w:rsidRPr="00E43137" w:rsidRDefault="00E43137" w:rsidP="008676F9">
      <w:pPr>
        <w:rPr>
          <w:rFonts w:ascii="Calibri" w:hAnsi="Calibri"/>
          <w:color w:val="000000"/>
          <w:szCs w:val="22"/>
        </w:rPr>
      </w:pPr>
    </w:p>
    <w:p w:rsidR="00E43137" w:rsidRPr="00E43137" w:rsidRDefault="00E43137" w:rsidP="001B6996">
      <w:pPr>
        <w:numPr>
          <w:ilvl w:val="0"/>
          <w:numId w:val="2"/>
        </w:numPr>
        <w:spacing w:after="200" w:line="276" w:lineRule="auto"/>
        <w:rPr>
          <w:rFonts w:ascii="Calibri" w:hAnsi="Calibri"/>
          <w:i/>
          <w:color w:val="000000"/>
          <w:szCs w:val="22"/>
        </w:rPr>
      </w:pPr>
      <w:r w:rsidRPr="00E43137">
        <w:rPr>
          <w:rFonts w:ascii="Calibri" w:hAnsi="Calibri"/>
          <w:i/>
          <w:color w:val="000000"/>
          <w:szCs w:val="22"/>
        </w:rPr>
        <w:t>Kategória  odporúčania: Analýza SWOT, hodnotenie potrieb</w:t>
      </w:r>
    </w:p>
    <w:p w:rsidR="00E43137" w:rsidRPr="00E43137" w:rsidRDefault="00E43137" w:rsidP="008676F9">
      <w:pPr>
        <w:rPr>
          <w:rFonts w:ascii="Calibri" w:hAnsi="Calibri"/>
          <w:color w:val="000000"/>
          <w:szCs w:val="22"/>
        </w:rPr>
      </w:pPr>
      <w:r w:rsidRPr="00E43137">
        <w:rPr>
          <w:rFonts w:ascii="Calibri" w:hAnsi="Calibri"/>
          <w:color w:val="000000"/>
          <w:szCs w:val="22"/>
        </w:rPr>
        <w:t>Dátum: 16.09.2013</w:t>
      </w:r>
    </w:p>
    <w:p w:rsidR="00E43137" w:rsidRPr="00E43137" w:rsidRDefault="00E43137" w:rsidP="008676F9">
      <w:pPr>
        <w:rPr>
          <w:rFonts w:ascii="Calibri" w:hAnsi="Calibri"/>
          <w:color w:val="000000"/>
          <w:szCs w:val="22"/>
        </w:rPr>
      </w:pPr>
      <w:r w:rsidRPr="00E43137">
        <w:rPr>
          <w:rFonts w:ascii="Calibri" w:hAnsi="Calibri"/>
          <w:color w:val="000000"/>
          <w:szCs w:val="22"/>
        </w:rPr>
        <w:t xml:space="preserve">Téma: </w:t>
      </w:r>
      <w:r w:rsidRPr="00E43137">
        <w:rPr>
          <w:rFonts w:ascii="Calibri" w:eastAsia="Calibri" w:hAnsi="Calibri"/>
          <w:color w:val="000000"/>
          <w:szCs w:val="22"/>
        </w:rPr>
        <w:t>Výsledky konzultácií k SWOT analýze</w:t>
      </w:r>
    </w:p>
    <w:p w:rsidR="00E43137" w:rsidRPr="00E43137" w:rsidRDefault="00E43137" w:rsidP="008676F9">
      <w:pPr>
        <w:rPr>
          <w:rFonts w:ascii="Calibri" w:hAnsi="Calibri"/>
          <w:color w:val="000000"/>
          <w:szCs w:val="22"/>
        </w:rPr>
      </w:pPr>
      <w:r w:rsidRPr="00E43137">
        <w:rPr>
          <w:rFonts w:ascii="Calibri" w:hAnsi="Calibri"/>
          <w:color w:val="000000"/>
          <w:szCs w:val="22"/>
        </w:rPr>
        <w:t>Opis odporúčaní:</w:t>
      </w:r>
    </w:p>
    <w:p w:rsidR="00E43137" w:rsidRPr="00E43137" w:rsidRDefault="00E43137" w:rsidP="001B6996">
      <w:pPr>
        <w:numPr>
          <w:ilvl w:val="0"/>
          <w:numId w:val="1"/>
        </w:numPr>
        <w:spacing w:after="200" w:line="276" w:lineRule="auto"/>
        <w:ind w:left="557" w:hanging="426"/>
        <w:rPr>
          <w:rFonts w:ascii="Calibri" w:eastAsia="Calibri" w:hAnsi="Calibri"/>
          <w:color w:val="000000"/>
          <w:szCs w:val="22"/>
          <w:lang w:eastAsia="en-US"/>
        </w:rPr>
      </w:pPr>
      <w:r w:rsidRPr="00E43137">
        <w:rPr>
          <w:rFonts w:ascii="Calibri" w:eastAsia="Calibri" w:hAnsi="Calibri"/>
          <w:color w:val="000000"/>
          <w:szCs w:val="22"/>
          <w:lang w:eastAsia="en-US"/>
        </w:rPr>
        <w:t>uviesť do programu prehľad a vyhodnotenie hlavných pripomienok členov PS k SWOT analýze</w:t>
      </w:r>
    </w:p>
    <w:p w:rsidR="00E43137" w:rsidRPr="00E43137" w:rsidRDefault="00E43137" w:rsidP="008676F9">
      <w:pPr>
        <w:ind w:left="557"/>
        <w:rPr>
          <w:rFonts w:ascii="Calibri" w:eastAsia="Calibri" w:hAnsi="Calibri"/>
          <w:color w:val="000000"/>
          <w:szCs w:val="22"/>
          <w:lang w:eastAsia="en-US"/>
        </w:rPr>
      </w:pPr>
    </w:p>
    <w:p w:rsidR="00E43137" w:rsidRPr="00E43137" w:rsidRDefault="00E43137" w:rsidP="008676F9">
      <w:pPr>
        <w:rPr>
          <w:rFonts w:ascii="Calibri" w:hAnsi="Calibri"/>
          <w:color w:val="000000"/>
          <w:szCs w:val="22"/>
          <w:u w:val="single"/>
        </w:rPr>
      </w:pPr>
      <w:r w:rsidRPr="00E43137">
        <w:rPr>
          <w:rFonts w:ascii="Calibri" w:hAnsi="Calibri"/>
          <w:color w:val="000000"/>
          <w:szCs w:val="22"/>
          <w:u w:val="single"/>
        </w:rPr>
        <w:t>Ako bolo odporúčanie zohľadnené v programe, resp. zdôvodnenie prečo nebolo zohľadnené:</w:t>
      </w:r>
    </w:p>
    <w:p w:rsidR="00E43137" w:rsidRPr="00E43137" w:rsidRDefault="00E43137" w:rsidP="008676F9">
      <w:pPr>
        <w:rPr>
          <w:rFonts w:ascii="Calibri" w:eastAsia="Calibri" w:hAnsi="Calibri"/>
          <w:lang w:eastAsia="en-US"/>
        </w:rPr>
      </w:pPr>
    </w:p>
    <w:p w:rsidR="00E43137" w:rsidRPr="00E43137" w:rsidRDefault="00E43137" w:rsidP="00AA30CA">
      <w:pPr>
        <w:pStyle w:val="Podpod"/>
      </w:pPr>
      <w:bookmarkStart w:id="11" w:name="_Toc384111011"/>
      <w:bookmarkStart w:id="12" w:name="_Toc387041289"/>
      <w:r w:rsidRPr="00E43137">
        <w:t>3.2.2.Kompletná správa ex-ante hodnotenia vrátane SEA</w:t>
      </w:r>
      <w:bookmarkEnd w:id="11"/>
      <w:bookmarkEnd w:id="12"/>
    </w:p>
    <w:p w:rsidR="00E43137" w:rsidRDefault="00E43137" w:rsidP="008676F9">
      <w:pPr>
        <w:spacing w:after="200" w:line="276" w:lineRule="auto"/>
        <w:rPr>
          <w:rFonts w:ascii="Calibri" w:eastAsia="Calibri" w:hAnsi="Calibri"/>
          <w:szCs w:val="22"/>
          <w:lang w:eastAsia="en-US"/>
        </w:rPr>
      </w:pPr>
      <w:r w:rsidRPr="00E43137">
        <w:rPr>
          <w:rFonts w:ascii="Calibri" w:eastAsia="Calibri" w:hAnsi="Calibri"/>
          <w:szCs w:val="22"/>
          <w:lang w:eastAsia="en-US"/>
        </w:rPr>
        <w:t>- príloha k programu.</w:t>
      </w:r>
    </w:p>
    <w:p w:rsidR="00F57BCD" w:rsidRDefault="00F57BCD" w:rsidP="008676F9">
      <w:pPr>
        <w:spacing w:after="200" w:line="276" w:lineRule="auto"/>
        <w:rPr>
          <w:rFonts w:ascii="Calibri" w:eastAsia="Calibri" w:hAnsi="Calibri"/>
          <w:szCs w:val="22"/>
          <w:lang w:eastAsia="en-US"/>
        </w:rPr>
      </w:pPr>
      <w:r>
        <w:rPr>
          <w:rFonts w:ascii="Calibri" w:eastAsia="Calibri" w:hAnsi="Calibri"/>
          <w:szCs w:val="22"/>
          <w:lang w:eastAsia="en-US"/>
        </w:rPr>
        <w:br w:type="page"/>
      </w:r>
    </w:p>
    <w:p w:rsidR="00E43137" w:rsidRPr="00E43137" w:rsidRDefault="00E820E4" w:rsidP="00366F96">
      <w:pPr>
        <w:pStyle w:val="Hlavn"/>
      </w:pPr>
      <w:bookmarkStart w:id="13" w:name="_Toc387041290"/>
      <w:bookmarkStart w:id="14" w:name="_Toc359414554"/>
      <w:bookmarkStart w:id="15" w:name="_Toc360202468"/>
      <w:r w:rsidRPr="00E820E4">
        <w:t>4.</w:t>
      </w:r>
      <w:r>
        <w:t xml:space="preserve"> </w:t>
      </w:r>
      <w:r w:rsidR="00E43137" w:rsidRPr="00E43137">
        <w:t>ANALÝZA SWOT A IDENTIFIKÁCIA POTRIEB</w:t>
      </w:r>
      <w:bookmarkEnd w:id="13"/>
    </w:p>
    <w:p w:rsidR="00F832C9" w:rsidRDefault="00F832C9" w:rsidP="00AA30CA">
      <w:pPr>
        <w:pStyle w:val="Pod"/>
        <w:rPr>
          <w:rFonts w:eastAsia="Calibri"/>
          <w:lang w:eastAsia="en-US"/>
        </w:rPr>
      </w:pPr>
    </w:p>
    <w:p w:rsidR="00E43137" w:rsidRPr="00E43137" w:rsidRDefault="00C808B8" w:rsidP="00AA30CA">
      <w:pPr>
        <w:pStyle w:val="Pod"/>
        <w:rPr>
          <w:rFonts w:eastAsia="Calibri"/>
          <w:lang w:eastAsia="en-US"/>
        </w:rPr>
      </w:pPr>
      <w:bookmarkStart w:id="16" w:name="_Toc387041291"/>
      <w:r>
        <w:rPr>
          <w:rFonts w:eastAsia="Calibri"/>
          <w:lang w:eastAsia="en-US"/>
        </w:rPr>
        <w:t>4.1. a</w:t>
      </w:r>
      <w:r w:rsidR="00E43137" w:rsidRPr="00E43137">
        <w:rPr>
          <w:rFonts w:eastAsia="Calibri"/>
          <w:lang w:eastAsia="en-US"/>
        </w:rPr>
        <w:t>nalýza SWOT</w:t>
      </w:r>
      <w:bookmarkEnd w:id="16"/>
    </w:p>
    <w:p w:rsidR="00E43137" w:rsidRPr="00C808B8" w:rsidRDefault="00C808B8" w:rsidP="00C808B8">
      <w:pPr>
        <w:pStyle w:val="Pod"/>
        <w:rPr>
          <w:rFonts w:eastAsia="Calibri"/>
          <w:lang w:eastAsia="en-US"/>
        </w:rPr>
      </w:pPr>
      <w:bookmarkStart w:id="17" w:name="_Toc384111014"/>
      <w:bookmarkStart w:id="18" w:name="_Toc387041292"/>
      <w:r>
        <w:rPr>
          <w:rFonts w:eastAsia="Calibri"/>
          <w:lang w:eastAsia="en-US"/>
        </w:rPr>
        <w:t>4.1.1. p</w:t>
      </w:r>
      <w:r w:rsidR="00E43137" w:rsidRPr="00C808B8">
        <w:rPr>
          <w:rFonts w:eastAsia="Calibri"/>
          <w:lang w:eastAsia="en-US"/>
        </w:rPr>
        <w:t>opis súčasnej situácie</w:t>
      </w:r>
      <w:bookmarkEnd w:id="17"/>
      <w:bookmarkEnd w:id="18"/>
      <w:r w:rsidR="00E43137" w:rsidRPr="00C808B8">
        <w:rPr>
          <w:rFonts w:eastAsia="Calibri"/>
          <w:lang w:eastAsia="en-US"/>
        </w:rPr>
        <w:t xml:space="preserve"> </w:t>
      </w:r>
    </w:p>
    <w:bookmarkEnd w:id="14"/>
    <w:bookmarkEnd w:id="15"/>
    <w:p w:rsidR="00987C6F" w:rsidRPr="00C82F79" w:rsidRDefault="00987C6F" w:rsidP="00987C6F">
      <w:pPr>
        <w:keepNext/>
        <w:keepLines/>
        <w:pBdr>
          <w:bar w:val="single" w:sz="6" w:color="808080"/>
        </w:pBdr>
        <w:spacing w:after="120"/>
        <w:outlineLvl w:val="1"/>
        <w:rPr>
          <w:rFonts w:ascii="Calibri" w:hAnsi="Calibri"/>
          <w:b/>
          <w:bCs/>
          <w:i/>
          <w:sz w:val="20"/>
          <w:szCs w:val="20"/>
        </w:rPr>
      </w:pPr>
      <w:r w:rsidRPr="00C82F79">
        <w:rPr>
          <w:rFonts w:ascii="Calibri" w:eastAsia="Calibri" w:hAnsi="Calibri"/>
          <w:i/>
          <w:iCs/>
          <w:sz w:val="20"/>
          <w:szCs w:val="20"/>
          <w:lang w:eastAsia="en-US"/>
        </w:rPr>
        <w:t xml:space="preserve">Popis založený na spoločných a špecifických kontextuálnych ukazovateľoch </w:t>
      </w:r>
      <w:r w:rsidRPr="00C82F79">
        <w:rPr>
          <w:rFonts w:ascii="Calibri" w:eastAsia="Calibri" w:hAnsi="Calibri"/>
          <w:i/>
          <w:sz w:val="20"/>
          <w:szCs w:val="20"/>
          <w:lang w:eastAsia="en-US"/>
        </w:rPr>
        <w:t>(</w:t>
      </w:r>
      <w:r w:rsidRPr="00C82F79">
        <w:rPr>
          <w:rFonts w:ascii="Calibri" w:eastAsia="Calibri" w:hAnsi="Calibri"/>
          <w:i/>
          <w:iCs/>
          <w:sz w:val="20"/>
          <w:szCs w:val="20"/>
          <w:lang w:eastAsia="en-US"/>
        </w:rPr>
        <w:t xml:space="preserve">CCI 2014–2020: Analytická tabuľka, júl 2013 – príloha 1) a kvalitatívnych informáciách. V popise sú zahrnuté aj </w:t>
      </w:r>
      <w:r w:rsidRPr="00C82F79">
        <w:rPr>
          <w:rFonts w:ascii="Calibri" w:hAnsi="Calibri"/>
          <w:bCs/>
          <w:i/>
          <w:sz w:val="20"/>
          <w:szCs w:val="20"/>
        </w:rPr>
        <w:t>Programovo špecifické kontextové ukazovatele (PSCI, r. 2012 – príloha 2).</w:t>
      </w:r>
    </w:p>
    <w:p w:rsidR="00987C6F" w:rsidRPr="00E43137" w:rsidRDefault="00987C6F" w:rsidP="00987C6F">
      <w:pPr>
        <w:keepNext/>
        <w:pBdr>
          <w:bar w:val="single" w:sz="6" w:color="808080"/>
        </w:pBdr>
        <w:spacing w:after="60"/>
        <w:ind w:left="426" w:hanging="426"/>
        <w:outlineLvl w:val="0"/>
        <w:rPr>
          <w:rFonts w:ascii="Calibri" w:hAnsi="Calibri"/>
          <w:b/>
          <w:bCs/>
          <w:kern w:val="32"/>
          <w:szCs w:val="22"/>
          <w:u w:val="single"/>
          <w:lang w:eastAsia="en-US"/>
        </w:rPr>
      </w:pPr>
      <w:r>
        <w:rPr>
          <w:rFonts w:ascii="Calibri" w:hAnsi="Calibri"/>
          <w:b/>
          <w:bCs/>
          <w:kern w:val="32"/>
          <w:szCs w:val="22"/>
          <w:u w:val="single"/>
          <w:lang w:eastAsia="en-US"/>
        </w:rPr>
        <w:t xml:space="preserve">4.1.1.1 </w:t>
      </w:r>
      <w:r w:rsidRPr="00E43137">
        <w:rPr>
          <w:rFonts w:ascii="Calibri" w:hAnsi="Calibri"/>
          <w:b/>
          <w:bCs/>
          <w:kern w:val="32"/>
          <w:szCs w:val="22"/>
          <w:u w:val="single"/>
          <w:lang w:eastAsia="en-US"/>
        </w:rPr>
        <w:t>Sociálno-ekonomická situácia a vidieckosť</w:t>
      </w:r>
    </w:p>
    <w:p w:rsidR="00987C6F" w:rsidRPr="00E43137" w:rsidRDefault="00987C6F" w:rsidP="00987C6F">
      <w:pPr>
        <w:keepNext/>
        <w:keepLines/>
        <w:pBdr>
          <w:bar w:val="single" w:sz="6" w:color="808080"/>
        </w:pBdr>
        <w:spacing w:after="120"/>
        <w:outlineLvl w:val="1"/>
        <w:rPr>
          <w:rFonts w:ascii="Calibri" w:hAnsi="Calibri"/>
          <w:b/>
          <w:bCs/>
          <w:szCs w:val="22"/>
        </w:rPr>
      </w:pPr>
      <w:r w:rsidRPr="00E43137">
        <w:rPr>
          <w:rFonts w:ascii="Calibri" w:hAnsi="Calibri"/>
          <w:b/>
          <w:bCs/>
          <w:szCs w:val="22"/>
        </w:rPr>
        <w:t>Všeobecná charakteristika územia</w:t>
      </w:r>
    </w:p>
    <w:p w:rsidR="00987C6F" w:rsidRDefault="00987C6F" w:rsidP="00987C6F">
      <w:pPr>
        <w:pBdr>
          <w:bar w:val="single" w:sz="6" w:color="808080"/>
        </w:pBdr>
        <w:spacing w:after="120"/>
        <w:rPr>
          <w:rFonts w:ascii="Calibri" w:eastAsia="Calibri" w:hAnsi="Calibri"/>
          <w:szCs w:val="22"/>
          <w:lang w:eastAsia="en-US"/>
        </w:rPr>
      </w:pPr>
      <w:r w:rsidRPr="00E43137">
        <w:rPr>
          <w:rFonts w:ascii="Calibri" w:eastAsia="Calibri" w:hAnsi="Calibri"/>
          <w:szCs w:val="22"/>
          <w:lang w:eastAsia="en-US"/>
        </w:rPr>
        <w:t xml:space="preserve">Slovenská republika sa rozprestiera na rozlohe </w:t>
      </w:r>
      <w:r>
        <w:rPr>
          <w:rFonts w:ascii="Calibri" w:eastAsia="Calibri" w:hAnsi="Calibri"/>
          <w:szCs w:val="22"/>
          <w:lang w:eastAsia="en-US"/>
        </w:rPr>
        <w:t>49 036 km</w:t>
      </w:r>
      <w:r w:rsidRPr="00D2453F">
        <w:rPr>
          <w:rFonts w:ascii="Calibri" w:eastAsia="Calibri" w:hAnsi="Calibri"/>
          <w:szCs w:val="22"/>
          <w:vertAlign w:val="superscript"/>
          <w:lang w:eastAsia="en-US"/>
        </w:rPr>
        <w:t>2</w:t>
      </w:r>
      <w:r w:rsidRPr="00E43137">
        <w:rPr>
          <w:rFonts w:ascii="Calibri" w:eastAsia="Calibri" w:hAnsi="Calibri"/>
          <w:szCs w:val="22"/>
          <w:lang w:eastAsia="en-US"/>
        </w:rPr>
        <w:t xml:space="preserve"> </w:t>
      </w:r>
      <w:r>
        <w:rPr>
          <w:rFonts w:ascii="Calibri" w:eastAsia="Calibri" w:hAnsi="Calibri"/>
          <w:szCs w:val="22"/>
          <w:lang w:eastAsia="en-US"/>
        </w:rPr>
        <w:t>(</w:t>
      </w:r>
      <w:r w:rsidRPr="007D430C">
        <w:rPr>
          <w:rFonts w:ascii="Calibri" w:eastAsia="Calibri" w:hAnsi="Calibri"/>
          <w:b/>
          <w:szCs w:val="22"/>
          <w:lang w:eastAsia="en-US"/>
        </w:rPr>
        <w:t>CCI 3</w:t>
      </w:r>
      <w:r>
        <w:rPr>
          <w:rFonts w:ascii="Calibri" w:eastAsia="Calibri" w:hAnsi="Calibri"/>
          <w:szCs w:val="22"/>
          <w:lang w:eastAsia="en-US"/>
        </w:rPr>
        <w:t>)</w:t>
      </w:r>
      <w:r w:rsidRPr="00E43137">
        <w:rPr>
          <w:rFonts w:ascii="Calibri" w:eastAsia="Calibri" w:hAnsi="Calibri"/>
          <w:szCs w:val="22"/>
          <w:lang w:eastAsia="en-US"/>
        </w:rPr>
        <w:t>. V roku 2012 bolo v SR  5 4</w:t>
      </w:r>
      <w:r>
        <w:rPr>
          <w:rFonts w:ascii="Calibri" w:eastAsia="Calibri" w:hAnsi="Calibri"/>
          <w:szCs w:val="22"/>
          <w:lang w:eastAsia="en-US"/>
        </w:rPr>
        <w:t>2</w:t>
      </w:r>
      <w:r w:rsidRPr="00E43137">
        <w:rPr>
          <w:rFonts w:ascii="Calibri" w:eastAsia="Calibri" w:hAnsi="Calibri"/>
          <w:szCs w:val="22"/>
          <w:lang w:eastAsia="en-US"/>
        </w:rPr>
        <w:t>4</w:t>
      </w:r>
      <w:r>
        <w:rPr>
          <w:rFonts w:ascii="Calibri" w:eastAsia="Calibri" w:hAnsi="Calibri"/>
          <w:szCs w:val="22"/>
          <w:lang w:eastAsia="en-US"/>
        </w:rPr>
        <w:t xml:space="preserve"> </w:t>
      </w:r>
      <w:r w:rsidRPr="00E43137">
        <w:rPr>
          <w:rFonts w:ascii="Calibri" w:eastAsia="Calibri" w:hAnsi="Calibri"/>
          <w:szCs w:val="22"/>
          <w:lang w:eastAsia="en-US"/>
        </w:rPr>
        <w:t>322 obyvateľov</w:t>
      </w:r>
      <w:r>
        <w:rPr>
          <w:rFonts w:ascii="Calibri" w:eastAsia="Calibri" w:hAnsi="Calibri"/>
          <w:szCs w:val="22"/>
          <w:lang w:eastAsia="en-US"/>
        </w:rPr>
        <w:t xml:space="preserve"> (</w:t>
      </w:r>
      <w:r w:rsidRPr="00FA77A3">
        <w:rPr>
          <w:rFonts w:ascii="Calibri" w:eastAsia="Calibri" w:hAnsi="Calibri"/>
          <w:b/>
          <w:szCs w:val="22"/>
          <w:lang w:eastAsia="en-US"/>
        </w:rPr>
        <w:t>CCI 1</w:t>
      </w:r>
      <w:r>
        <w:rPr>
          <w:rFonts w:ascii="Calibri" w:eastAsia="Calibri" w:hAnsi="Calibri"/>
          <w:szCs w:val="22"/>
          <w:lang w:eastAsia="en-US"/>
        </w:rPr>
        <w:t>)</w:t>
      </w:r>
      <w:r w:rsidRPr="00E43137">
        <w:rPr>
          <w:rFonts w:ascii="Calibri" w:eastAsia="Calibri" w:hAnsi="Calibri"/>
          <w:szCs w:val="22"/>
          <w:lang w:eastAsia="en-US"/>
        </w:rPr>
        <w:t>. Počet trvalo bývajúcich obyvateľov SR sa zvyšuje, ale stále pomalším tempom. V roku 2012 trvalo bývalo vo vidieckych oblastiach 50,</w:t>
      </w:r>
      <w:r>
        <w:rPr>
          <w:rFonts w:ascii="Calibri" w:eastAsia="Calibri" w:hAnsi="Calibri"/>
          <w:szCs w:val="22"/>
          <w:lang w:eastAsia="en-US"/>
        </w:rPr>
        <w:t>4</w:t>
      </w:r>
      <w:r w:rsidRPr="00E43137">
        <w:rPr>
          <w:rFonts w:ascii="Calibri" w:eastAsia="Calibri" w:hAnsi="Calibri"/>
          <w:szCs w:val="22"/>
          <w:lang w:eastAsia="en-US"/>
        </w:rPr>
        <w:t xml:space="preserve"> %, v prechodných oblastiach 38,</w:t>
      </w:r>
      <w:r>
        <w:rPr>
          <w:rFonts w:ascii="Calibri" w:eastAsia="Calibri" w:hAnsi="Calibri"/>
          <w:szCs w:val="22"/>
          <w:lang w:eastAsia="en-US"/>
        </w:rPr>
        <w:t>4</w:t>
      </w:r>
      <w:r w:rsidRPr="00E43137">
        <w:rPr>
          <w:rFonts w:ascii="Calibri" w:eastAsia="Calibri" w:hAnsi="Calibri"/>
          <w:szCs w:val="22"/>
          <w:lang w:eastAsia="en-US"/>
        </w:rPr>
        <w:t xml:space="preserve"> % a v mestských oblastiach 11,2 % obyvateľstva</w:t>
      </w:r>
      <w:r>
        <w:rPr>
          <w:rFonts w:ascii="Calibri" w:eastAsia="Calibri" w:hAnsi="Calibri"/>
          <w:szCs w:val="22"/>
          <w:lang w:eastAsia="en-US"/>
        </w:rPr>
        <w:t xml:space="preserve"> (</w:t>
      </w:r>
      <w:r w:rsidRPr="00FA77A3">
        <w:rPr>
          <w:rFonts w:ascii="Calibri" w:eastAsia="Calibri" w:hAnsi="Calibri"/>
          <w:b/>
          <w:szCs w:val="22"/>
          <w:lang w:eastAsia="en-US"/>
        </w:rPr>
        <w:t>CCI 1</w:t>
      </w:r>
      <w:r>
        <w:rPr>
          <w:rFonts w:ascii="Calibri" w:eastAsia="Calibri" w:hAnsi="Calibri"/>
          <w:szCs w:val="22"/>
          <w:lang w:eastAsia="en-US"/>
        </w:rPr>
        <w:t>)</w:t>
      </w:r>
      <w:r w:rsidRPr="00E43137">
        <w:rPr>
          <w:rFonts w:ascii="Calibri" w:eastAsia="Calibri" w:hAnsi="Calibri"/>
          <w:szCs w:val="22"/>
          <w:lang w:eastAsia="en-US"/>
        </w:rPr>
        <w:t xml:space="preserve">. </w:t>
      </w:r>
      <w:r w:rsidRPr="00E43137">
        <w:rPr>
          <w:rFonts w:ascii="Calibri" w:hAnsi="Calibri"/>
          <w:szCs w:val="22"/>
        </w:rPr>
        <w:t xml:space="preserve">Vo vidieckych </w:t>
      </w:r>
      <w:r>
        <w:rPr>
          <w:rFonts w:ascii="Calibri" w:hAnsi="Calibri"/>
          <w:szCs w:val="22"/>
        </w:rPr>
        <w:t>oblastiach</w:t>
      </w:r>
      <w:r w:rsidRPr="00E43137">
        <w:rPr>
          <w:rFonts w:ascii="Calibri" w:hAnsi="Calibri"/>
          <w:szCs w:val="22"/>
        </w:rPr>
        <w:t xml:space="preserve"> spolu žije 88,</w:t>
      </w:r>
      <w:r>
        <w:rPr>
          <w:rFonts w:ascii="Calibri" w:hAnsi="Calibri"/>
          <w:szCs w:val="22"/>
        </w:rPr>
        <w:t>8</w:t>
      </w:r>
      <w:r w:rsidRPr="00E43137">
        <w:rPr>
          <w:rFonts w:ascii="Calibri" w:hAnsi="Calibri"/>
          <w:szCs w:val="22"/>
        </w:rPr>
        <w:t xml:space="preserve"> % obyvateľstva SR</w:t>
      </w:r>
      <w:r>
        <w:rPr>
          <w:rFonts w:ascii="Calibri" w:hAnsi="Calibri"/>
          <w:szCs w:val="22"/>
        </w:rPr>
        <w:t xml:space="preserve"> (prevažne vidiecke regióny a prechodné regióny spolu -  podľa nasledovnej tabuľky)</w:t>
      </w:r>
      <w:r w:rsidRPr="00E43137">
        <w:rPr>
          <w:rFonts w:ascii="Calibri" w:hAnsi="Calibri"/>
          <w:szCs w:val="22"/>
        </w:rPr>
        <w:t>.</w:t>
      </w:r>
    </w:p>
    <w:p w:rsidR="00987C6F" w:rsidRPr="00E43137" w:rsidRDefault="00987C6F" w:rsidP="00987C6F">
      <w:pPr>
        <w:pBdr>
          <w:bar w:val="single" w:sz="6" w:color="808080"/>
        </w:pBdr>
        <w:spacing w:after="120"/>
        <w:rPr>
          <w:rFonts w:ascii="Calibri" w:eastAsia="Calibri" w:hAnsi="Calibri"/>
          <w:szCs w:val="22"/>
          <w:lang w:eastAsia="en-US"/>
        </w:rPr>
      </w:pPr>
      <w:r w:rsidRPr="00E43137">
        <w:rPr>
          <w:rFonts w:ascii="Calibri" w:eastAsia="Calibri" w:hAnsi="Calibri"/>
          <w:szCs w:val="22"/>
          <w:lang w:eastAsia="en-US"/>
        </w:rPr>
        <w:t xml:space="preserve">Z celkovej rozlohy SR podľa jednotlivých typov regiónov najväčší podiel 59 % je tiež pri prevažne vidieckych, 36,8 %-ný podiel majú prechodné regióny a najnižší podiel 4,2 % predstavujú prevažne mestské regióny. </w:t>
      </w:r>
      <w:r w:rsidRPr="00E43137">
        <w:rPr>
          <w:rFonts w:ascii="Calibri" w:hAnsi="Calibri"/>
          <w:szCs w:val="22"/>
        </w:rPr>
        <w:t xml:space="preserve">Vidiecke </w:t>
      </w:r>
      <w:r>
        <w:rPr>
          <w:rFonts w:ascii="Calibri" w:hAnsi="Calibri"/>
          <w:szCs w:val="22"/>
        </w:rPr>
        <w:t>oblasti</w:t>
      </w:r>
      <w:r w:rsidRPr="00E43137">
        <w:rPr>
          <w:rFonts w:ascii="Calibri" w:hAnsi="Calibri"/>
          <w:szCs w:val="22"/>
        </w:rPr>
        <w:t xml:space="preserve"> tak zaberajú takmer celé územie Slovenska</w:t>
      </w:r>
      <w:r>
        <w:rPr>
          <w:rFonts w:ascii="Calibri" w:hAnsi="Calibri"/>
          <w:szCs w:val="22"/>
        </w:rPr>
        <w:t>,</w:t>
      </w:r>
      <w:r w:rsidR="00F35657">
        <w:rPr>
          <w:rFonts w:ascii="Calibri" w:hAnsi="Calibri"/>
          <w:szCs w:val="22"/>
        </w:rPr>
        <w:t xml:space="preserve"> </w:t>
      </w:r>
      <w:r w:rsidRPr="00E43137">
        <w:rPr>
          <w:rFonts w:ascii="Calibri" w:eastAsia="Calibri" w:hAnsi="Calibri"/>
          <w:szCs w:val="22"/>
          <w:lang w:eastAsia="en-US"/>
        </w:rPr>
        <w:t xml:space="preserve">spolu predstavujú 95,8 % rozlohy. </w:t>
      </w:r>
      <w:r>
        <w:rPr>
          <w:rFonts w:ascii="Calibri" w:eastAsia="Calibri" w:hAnsi="Calibri"/>
          <w:szCs w:val="22"/>
          <w:lang w:eastAsia="en-US"/>
        </w:rPr>
        <w:t>N</w:t>
      </w:r>
      <w:r w:rsidRPr="00E43137">
        <w:rPr>
          <w:rFonts w:ascii="Calibri" w:eastAsia="Calibri" w:hAnsi="Calibri"/>
          <w:szCs w:val="22"/>
          <w:lang w:eastAsia="en-US"/>
        </w:rPr>
        <w:t>a Slovensku prevládajú prevažne vidiecke regióny, za nimi nasledujú prechodné regióny.</w:t>
      </w:r>
    </w:p>
    <w:p w:rsidR="00987C6F" w:rsidRDefault="00987C6F" w:rsidP="00987C6F">
      <w:pPr>
        <w:rPr>
          <w:rFonts w:ascii="Calibri" w:hAnsi="Calibri"/>
          <w:szCs w:val="22"/>
        </w:rPr>
      </w:pPr>
      <w:r w:rsidRPr="00E43137">
        <w:rPr>
          <w:rFonts w:ascii="Calibri" w:hAnsi="Calibri"/>
          <w:szCs w:val="22"/>
        </w:rPr>
        <w:t>Nasledujúca tabuľka obsahuje podiel vidieckeho obyvateľstva z celkového počtu obyvateľov a podiel vidieckeho územia</w:t>
      </w:r>
      <w:r w:rsidRPr="00E43137">
        <w:rPr>
          <w:rFonts w:ascii="Calibri" w:hAnsi="Calibri"/>
          <w:b/>
          <w:szCs w:val="22"/>
        </w:rPr>
        <w:t xml:space="preserve"> </w:t>
      </w:r>
      <w:r w:rsidRPr="00E43137">
        <w:rPr>
          <w:rFonts w:ascii="Calibri" w:hAnsi="Calibri"/>
          <w:szCs w:val="22"/>
        </w:rPr>
        <w:t>z celkovej rozlohy</w:t>
      </w:r>
      <w:r w:rsidRPr="00E43137">
        <w:rPr>
          <w:rFonts w:ascii="Calibri" w:hAnsi="Calibri"/>
          <w:b/>
          <w:szCs w:val="22"/>
        </w:rPr>
        <w:t xml:space="preserve"> </w:t>
      </w:r>
      <w:r w:rsidRPr="00E43137">
        <w:rPr>
          <w:rFonts w:ascii="Calibri" w:hAnsi="Calibri"/>
          <w:szCs w:val="22"/>
        </w:rPr>
        <w:t xml:space="preserve">SR podľa </w:t>
      </w:r>
      <w:r w:rsidRPr="00D2453F">
        <w:rPr>
          <w:rFonts w:ascii="Calibri" w:hAnsi="Calibri"/>
          <w:szCs w:val="22"/>
        </w:rPr>
        <w:t>novej urbánno-rurálnej typológie za rok 2012</w:t>
      </w:r>
      <w:r>
        <w:rPr>
          <w:rFonts w:ascii="Calibri" w:hAnsi="Calibri"/>
          <w:b/>
          <w:szCs w:val="22"/>
        </w:rPr>
        <w:t xml:space="preserve"> </w:t>
      </w:r>
      <w:r w:rsidRPr="00E43137">
        <w:rPr>
          <w:rFonts w:ascii="Calibri" w:hAnsi="Calibri"/>
          <w:szCs w:val="22"/>
        </w:rPr>
        <w:t>v SR.</w:t>
      </w:r>
    </w:p>
    <w:p w:rsidR="00987C6F" w:rsidRPr="00E43137" w:rsidRDefault="00987C6F" w:rsidP="00987C6F">
      <w:pPr>
        <w:rPr>
          <w:rFonts w:ascii="Calibri" w:hAnsi="Calibri"/>
          <w:szCs w:val="22"/>
        </w:rPr>
      </w:pPr>
    </w:p>
    <w:p w:rsidR="00987C6F" w:rsidRPr="00E43137" w:rsidRDefault="00F832C9" w:rsidP="00F832C9">
      <w:pPr>
        <w:ind w:left="1134" w:hanging="1134"/>
        <w:rPr>
          <w:rFonts w:ascii="Calibri" w:hAnsi="Calibri"/>
          <w:szCs w:val="22"/>
        </w:rPr>
      </w:pPr>
      <w:r>
        <w:rPr>
          <w:rFonts w:ascii="Calibri" w:hAnsi="Calibri"/>
          <w:b/>
          <w:szCs w:val="22"/>
        </w:rPr>
        <w:t xml:space="preserve">Tabuľka 2: </w:t>
      </w:r>
      <w:r w:rsidR="00987C6F" w:rsidRPr="00E43137">
        <w:rPr>
          <w:rFonts w:ascii="Calibri" w:hAnsi="Calibri"/>
          <w:b/>
          <w:szCs w:val="22"/>
        </w:rPr>
        <w:t xml:space="preserve">Podiel vidieckeho obyvateľstva a vidieckeho územia SR podľa </w:t>
      </w:r>
      <w:r w:rsidR="00987C6F">
        <w:rPr>
          <w:rFonts w:ascii="Calibri" w:hAnsi="Calibri"/>
          <w:b/>
          <w:szCs w:val="22"/>
        </w:rPr>
        <w:t>novej urbánno-rurálnej typológie za rok 2012</w:t>
      </w:r>
    </w:p>
    <w:tbl>
      <w:tblPr>
        <w:tblW w:w="9038" w:type="dxa"/>
        <w:tblInd w:w="54" w:type="dxa"/>
        <w:tblCellMar>
          <w:left w:w="70" w:type="dxa"/>
          <w:right w:w="70" w:type="dxa"/>
        </w:tblCellMar>
        <w:tblLook w:val="04A0" w:firstRow="1" w:lastRow="0" w:firstColumn="1" w:lastColumn="0" w:noHBand="0" w:noVBand="1"/>
      </w:tblPr>
      <w:tblGrid>
        <w:gridCol w:w="3107"/>
        <w:gridCol w:w="1766"/>
        <w:gridCol w:w="1472"/>
        <w:gridCol w:w="1177"/>
        <w:gridCol w:w="1516"/>
      </w:tblGrid>
      <w:tr w:rsidR="00987C6F" w:rsidRPr="00E43137" w:rsidTr="00A53BCF">
        <w:trPr>
          <w:trHeight w:val="282"/>
        </w:trPr>
        <w:tc>
          <w:tcPr>
            <w:tcW w:w="3107" w:type="dxa"/>
            <w:vMerge w:val="restart"/>
            <w:tcBorders>
              <w:top w:val="single" w:sz="4" w:space="0" w:color="auto"/>
              <w:left w:val="single" w:sz="4" w:space="0" w:color="auto"/>
              <w:bottom w:val="single" w:sz="4" w:space="0" w:color="auto"/>
              <w:right w:val="single" w:sz="4" w:space="0" w:color="auto"/>
            </w:tcBorders>
            <w:shd w:val="clear" w:color="auto" w:fill="DBE5F1" w:themeFill="accent1" w:themeFillTint="33"/>
            <w:noWrap/>
            <w:vAlign w:val="center"/>
            <w:hideMark/>
          </w:tcPr>
          <w:p w:rsidR="00987C6F" w:rsidRPr="00E43137" w:rsidRDefault="00987C6F" w:rsidP="00A53BCF">
            <w:pPr>
              <w:jc w:val="center"/>
              <w:rPr>
                <w:rFonts w:ascii="Calibri" w:hAnsi="Calibri" w:cs="Calibri"/>
                <w:b/>
                <w:bCs/>
                <w:color w:val="000000"/>
                <w:sz w:val="20"/>
                <w:szCs w:val="20"/>
              </w:rPr>
            </w:pPr>
            <w:r w:rsidRPr="00E43137">
              <w:rPr>
                <w:rFonts w:ascii="Calibri" w:hAnsi="Calibri" w:cs="Calibri"/>
                <w:b/>
                <w:bCs/>
                <w:color w:val="000000"/>
                <w:sz w:val="20"/>
                <w:szCs w:val="20"/>
              </w:rPr>
              <w:t>Typ regiónu v SR</w:t>
            </w:r>
          </w:p>
        </w:tc>
        <w:tc>
          <w:tcPr>
            <w:tcW w:w="5931" w:type="dxa"/>
            <w:gridSpan w:val="4"/>
            <w:tcBorders>
              <w:top w:val="single" w:sz="4" w:space="0" w:color="auto"/>
              <w:left w:val="nil"/>
              <w:bottom w:val="single" w:sz="4" w:space="0" w:color="auto"/>
              <w:right w:val="single" w:sz="4" w:space="0" w:color="auto"/>
            </w:tcBorders>
            <w:shd w:val="clear" w:color="auto" w:fill="DBE5F1" w:themeFill="accent1" w:themeFillTint="33"/>
            <w:vAlign w:val="center"/>
            <w:hideMark/>
          </w:tcPr>
          <w:p w:rsidR="00987C6F" w:rsidRPr="00E43137" w:rsidRDefault="00987C6F" w:rsidP="00A53BCF">
            <w:pPr>
              <w:jc w:val="center"/>
              <w:rPr>
                <w:rFonts w:ascii="Calibri" w:hAnsi="Calibri" w:cs="Calibri"/>
                <w:b/>
                <w:bCs/>
                <w:color w:val="000000"/>
                <w:sz w:val="20"/>
                <w:szCs w:val="20"/>
              </w:rPr>
            </w:pPr>
            <w:r w:rsidRPr="00E43137">
              <w:rPr>
                <w:rFonts w:ascii="Calibri" w:hAnsi="Calibri" w:cs="Calibri"/>
                <w:b/>
                <w:bCs/>
                <w:color w:val="000000"/>
                <w:sz w:val="20"/>
                <w:szCs w:val="20"/>
              </w:rPr>
              <w:t xml:space="preserve">Rozdelenie podľa </w:t>
            </w:r>
            <w:r>
              <w:rPr>
                <w:rFonts w:ascii="Calibri" w:hAnsi="Calibri" w:cs="Calibri"/>
                <w:b/>
                <w:bCs/>
                <w:color w:val="000000"/>
                <w:sz w:val="20"/>
                <w:szCs w:val="20"/>
              </w:rPr>
              <w:t>novej urbánno-rurálne typológie</w:t>
            </w:r>
            <w:r w:rsidRPr="00E43137">
              <w:rPr>
                <w:rFonts w:ascii="Calibri" w:hAnsi="Calibri" w:cs="Calibri"/>
                <w:b/>
                <w:bCs/>
                <w:color w:val="000000"/>
                <w:sz w:val="20"/>
                <w:szCs w:val="20"/>
              </w:rPr>
              <w:t xml:space="preserve"> </w:t>
            </w:r>
          </w:p>
        </w:tc>
      </w:tr>
      <w:tr w:rsidR="00987C6F" w:rsidRPr="00E43137" w:rsidTr="00A53BCF">
        <w:trPr>
          <w:trHeight w:val="399"/>
        </w:trPr>
        <w:tc>
          <w:tcPr>
            <w:tcW w:w="3107" w:type="dxa"/>
            <w:vMerge/>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hideMark/>
          </w:tcPr>
          <w:p w:rsidR="00987C6F" w:rsidRPr="00E43137" w:rsidRDefault="00987C6F" w:rsidP="00A53BCF">
            <w:pPr>
              <w:rPr>
                <w:rFonts w:ascii="Calibri" w:hAnsi="Calibri" w:cs="Calibri"/>
                <w:b/>
                <w:bCs/>
                <w:color w:val="000000"/>
                <w:sz w:val="20"/>
                <w:szCs w:val="20"/>
              </w:rPr>
            </w:pPr>
          </w:p>
        </w:tc>
        <w:tc>
          <w:tcPr>
            <w:tcW w:w="1766" w:type="dxa"/>
            <w:tcBorders>
              <w:top w:val="nil"/>
              <w:left w:val="nil"/>
              <w:bottom w:val="single" w:sz="4" w:space="0" w:color="auto"/>
              <w:right w:val="single" w:sz="4" w:space="0" w:color="auto"/>
            </w:tcBorders>
            <w:shd w:val="clear" w:color="auto" w:fill="DBE5F1" w:themeFill="accent1" w:themeFillTint="33"/>
            <w:vAlign w:val="center"/>
            <w:hideMark/>
          </w:tcPr>
          <w:p w:rsidR="00987C6F" w:rsidRPr="00E43137" w:rsidRDefault="00987C6F" w:rsidP="00A53BCF">
            <w:pPr>
              <w:jc w:val="center"/>
              <w:rPr>
                <w:rFonts w:ascii="Calibri" w:hAnsi="Calibri" w:cs="Calibri"/>
                <w:b/>
                <w:bCs/>
                <w:color w:val="000000"/>
                <w:sz w:val="20"/>
                <w:szCs w:val="20"/>
              </w:rPr>
            </w:pPr>
            <w:r w:rsidRPr="00E43137">
              <w:rPr>
                <w:rFonts w:ascii="Calibri" w:hAnsi="Calibri" w:cs="Calibri"/>
                <w:b/>
                <w:bCs/>
                <w:color w:val="000000"/>
                <w:sz w:val="20"/>
                <w:szCs w:val="20"/>
              </w:rPr>
              <w:t>Počet obyvateľov regiónu</w:t>
            </w:r>
          </w:p>
        </w:tc>
        <w:tc>
          <w:tcPr>
            <w:tcW w:w="1472" w:type="dxa"/>
            <w:tcBorders>
              <w:top w:val="nil"/>
              <w:left w:val="nil"/>
              <w:bottom w:val="single" w:sz="4" w:space="0" w:color="auto"/>
              <w:right w:val="single" w:sz="4" w:space="0" w:color="auto"/>
            </w:tcBorders>
            <w:shd w:val="clear" w:color="auto" w:fill="DBE5F1" w:themeFill="accent1" w:themeFillTint="33"/>
            <w:vAlign w:val="center"/>
            <w:hideMark/>
          </w:tcPr>
          <w:p w:rsidR="00987C6F" w:rsidRPr="00E43137" w:rsidRDefault="00987C6F" w:rsidP="00A53BCF">
            <w:pPr>
              <w:jc w:val="center"/>
              <w:rPr>
                <w:rFonts w:ascii="Calibri" w:hAnsi="Calibri" w:cs="Calibri"/>
                <w:b/>
                <w:bCs/>
                <w:color w:val="000000"/>
                <w:sz w:val="20"/>
                <w:szCs w:val="20"/>
              </w:rPr>
            </w:pPr>
            <w:r w:rsidRPr="00E43137">
              <w:rPr>
                <w:rFonts w:ascii="Calibri" w:hAnsi="Calibri" w:cs="Calibri"/>
                <w:b/>
                <w:bCs/>
                <w:color w:val="000000"/>
                <w:sz w:val="20"/>
                <w:szCs w:val="20"/>
              </w:rPr>
              <w:t>% podiel obyvateľov SR</w:t>
            </w:r>
          </w:p>
        </w:tc>
        <w:tc>
          <w:tcPr>
            <w:tcW w:w="1177" w:type="dxa"/>
            <w:tcBorders>
              <w:top w:val="nil"/>
              <w:left w:val="nil"/>
              <w:bottom w:val="single" w:sz="4" w:space="0" w:color="auto"/>
              <w:right w:val="single" w:sz="4" w:space="0" w:color="auto"/>
            </w:tcBorders>
            <w:shd w:val="clear" w:color="auto" w:fill="DBE5F1" w:themeFill="accent1" w:themeFillTint="33"/>
            <w:vAlign w:val="center"/>
            <w:hideMark/>
          </w:tcPr>
          <w:p w:rsidR="00987C6F" w:rsidRPr="00E43137" w:rsidRDefault="00987C6F" w:rsidP="00A53BCF">
            <w:pPr>
              <w:jc w:val="center"/>
              <w:rPr>
                <w:rFonts w:ascii="Calibri" w:hAnsi="Calibri" w:cs="Calibri"/>
                <w:b/>
                <w:bCs/>
                <w:color w:val="000000"/>
                <w:sz w:val="20"/>
                <w:szCs w:val="20"/>
              </w:rPr>
            </w:pPr>
            <w:r w:rsidRPr="00E43137">
              <w:rPr>
                <w:rFonts w:ascii="Calibri" w:hAnsi="Calibri" w:cs="Calibri"/>
                <w:b/>
                <w:bCs/>
                <w:color w:val="000000"/>
                <w:sz w:val="20"/>
                <w:szCs w:val="20"/>
              </w:rPr>
              <w:t xml:space="preserve">Rozloha </w:t>
            </w:r>
            <w:r w:rsidRPr="00E43137">
              <w:rPr>
                <w:rFonts w:ascii="Calibri" w:hAnsi="Calibri" w:cs="Calibri"/>
                <w:b/>
                <w:bCs/>
                <w:color w:val="000000"/>
                <w:sz w:val="20"/>
                <w:szCs w:val="20"/>
              </w:rPr>
              <w:br/>
              <w:t>v km</w:t>
            </w:r>
            <w:r w:rsidRPr="00E43137">
              <w:rPr>
                <w:rFonts w:ascii="Calibri" w:hAnsi="Calibri" w:cs="Calibri"/>
                <w:b/>
                <w:bCs/>
                <w:color w:val="000000"/>
                <w:sz w:val="20"/>
                <w:szCs w:val="20"/>
                <w:vertAlign w:val="superscript"/>
              </w:rPr>
              <w:t>2</w:t>
            </w:r>
          </w:p>
        </w:tc>
        <w:tc>
          <w:tcPr>
            <w:tcW w:w="1516" w:type="dxa"/>
            <w:tcBorders>
              <w:top w:val="nil"/>
              <w:left w:val="nil"/>
              <w:bottom w:val="single" w:sz="4" w:space="0" w:color="auto"/>
              <w:right w:val="single" w:sz="4" w:space="0" w:color="auto"/>
            </w:tcBorders>
            <w:shd w:val="clear" w:color="auto" w:fill="DBE5F1" w:themeFill="accent1" w:themeFillTint="33"/>
            <w:vAlign w:val="center"/>
            <w:hideMark/>
          </w:tcPr>
          <w:p w:rsidR="00987C6F" w:rsidRPr="00E43137" w:rsidRDefault="00987C6F" w:rsidP="00A53BCF">
            <w:pPr>
              <w:jc w:val="center"/>
              <w:rPr>
                <w:rFonts w:ascii="Calibri" w:hAnsi="Calibri" w:cs="Calibri"/>
                <w:b/>
                <w:bCs/>
                <w:color w:val="000000"/>
                <w:sz w:val="20"/>
                <w:szCs w:val="20"/>
              </w:rPr>
            </w:pPr>
            <w:r w:rsidRPr="00E43137">
              <w:rPr>
                <w:rFonts w:ascii="Calibri" w:hAnsi="Calibri" w:cs="Calibri"/>
                <w:b/>
                <w:bCs/>
                <w:color w:val="000000"/>
                <w:sz w:val="20"/>
                <w:szCs w:val="20"/>
              </w:rPr>
              <w:t xml:space="preserve">% podiel </w:t>
            </w:r>
            <w:r w:rsidRPr="00E43137">
              <w:rPr>
                <w:rFonts w:ascii="Calibri" w:hAnsi="Calibri" w:cs="Calibri"/>
                <w:b/>
                <w:bCs/>
                <w:color w:val="000000"/>
                <w:sz w:val="20"/>
                <w:szCs w:val="20"/>
              </w:rPr>
              <w:br/>
              <w:t>z rozlohy SR</w:t>
            </w:r>
          </w:p>
        </w:tc>
      </w:tr>
      <w:tr w:rsidR="00987C6F" w:rsidRPr="00E43137" w:rsidTr="00A53BCF">
        <w:trPr>
          <w:trHeight w:val="488"/>
        </w:trPr>
        <w:tc>
          <w:tcPr>
            <w:tcW w:w="3107"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987C6F" w:rsidRPr="00E43137" w:rsidRDefault="00987C6F" w:rsidP="00A53BCF">
            <w:pPr>
              <w:rPr>
                <w:rFonts w:ascii="Calibri" w:hAnsi="Calibri" w:cs="Calibri"/>
                <w:b/>
                <w:bCs/>
                <w:color w:val="000000"/>
                <w:sz w:val="20"/>
                <w:szCs w:val="20"/>
              </w:rPr>
            </w:pPr>
            <w:r w:rsidRPr="00E43137">
              <w:rPr>
                <w:rFonts w:ascii="Calibri" w:hAnsi="Calibri" w:cs="Calibri"/>
                <w:b/>
                <w:bCs/>
                <w:color w:val="000000"/>
                <w:sz w:val="20"/>
                <w:szCs w:val="20"/>
              </w:rPr>
              <w:t>„Predominantly urban regions" – prevažne mestské regióny</w:t>
            </w:r>
          </w:p>
        </w:tc>
        <w:tc>
          <w:tcPr>
            <w:tcW w:w="1766" w:type="dxa"/>
            <w:tcBorders>
              <w:top w:val="nil"/>
              <w:left w:val="nil"/>
              <w:bottom w:val="single" w:sz="4" w:space="0" w:color="auto"/>
              <w:right w:val="single" w:sz="4" w:space="0" w:color="auto"/>
            </w:tcBorders>
            <w:shd w:val="clear" w:color="auto" w:fill="auto"/>
            <w:vAlign w:val="bottom"/>
            <w:hideMark/>
          </w:tcPr>
          <w:p w:rsidR="00987C6F" w:rsidRPr="00E43137" w:rsidRDefault="00987C6F" w:rsidP="00A53BCF">
            <w:pPr>
              <w:jc w:val="right"/>
              <w:rPr>
                <w:rFonts w:ascii="Calibri" w:hAnsi="Calibri" w:cs="Calibri"/>
                <w:sz w:val="20"/>
                <w:szCs w:val="20"/>
              </w:rPr>
            </w:pPr>
            <w:r>
              <w:rPr>
                <w:rFonts w:ascii="Calibri" w:hAnsi="Calibri" w:cs="Calibri"/>
                <w:sz w:val="20"/>
                <w:szCs w:val="20"/>
              </w:rPr>
              <w:t>608782</w:t>
            </w:r>
          </w:p>
        </w:tc>
        <w:tc>
          <w:tcPr>
            <w:tcW w:w="1472" w:type="dxa"/>
            <w:tcBorders>
              <w:top w:val="nil"/>
              <w:left w:val="nil"/>
              <w:bottom w:val="single" w:sz="4" w:space="0" w:color="auto"/>
              <w:right w:val="single" w:sz="4" w:space="0" w:color="auto"/>
            </w:tcBorders>
            <w:shd w:val="clear" w:color="auto" w:fill="auto"/>
            <w:vAlign w:val="bottom"/>
            <w:hideMark/>
          </w:tcPr>
          <w:p w:rsidR="00987C6F" w:rsidRPr="00E43137" w:rsidRDefault="00987C6F" w:rsidP="00A53BCF">
            <w:pPr>
              <w:jc w:val="right"/>
              <w:rPr>
                <w:rFonts w:ascii="Calibri" w:hAnsi="Calibri" w:cs="Calibri"/>
                <w:sz w:val="20"/>
                <w:szCs w:val="20"/>
              </w:rPr>
            </w:pPr>
            <w:r>
              <w:rPr>
                <w:rFonts w:ascii="Calibri" w:hAnsi="Calibri" w:cs="Calibri"/>
                <w:sz w:val="20"/>
                <w:szCs w:val="20"/>
              </w:rPr>
              <w:t>11,2</w:t>
            </w:r>
          </w:p>
        </w:tc>
        <w:tc>
          <w:tcPr>
            <w:tcW w:w="1177" w:type="dxa"/>
            <w:tcBorders>
              <w:top w:val="nil"/>
              <w:left w:val="nil"/>
              <w:bottom w:val="single" w:sz="4" w:space="0" w:color="auto"/>
              <w:right w:val="single" w:sz="4" w:space="0" w:color="auto"/>
            </w:tcBorders>
            <w:shd w:val="clear" w:color="auto" w:fill="auto"/>
            <w:vAlign w:val="bottom"/>
            <w:hideMark/>
          </w:tcPr>
          <w:p w:rsidR="00987C6F" w:rsidRPr="00E43137" w:rsidRDefault="00987C6F" w:rsidP="00A53BCF">
            <w:pPr>
              <w:jc w:val="right"/>
              <w:rPr>
                <w:rFonts w:ascii="Calibri" w:hAnsi="Calibri" w:cs="Calibri"/>
                <w:sz w:val="20"/>
                <w:szCs w:val="20"/>
              </w:rPr>
            </w:pPr>
            <w:r>
              <w:rPr>
                <w:rFonts w:ascii="Calibri" w:hAnsi="Calibri" w:cs="Calibri"/>
                <w:sz w:val="20"/>
                <w:szCs w:val="20"/>
              </w:rPr>
              <w:t>2060</w:t>
            </w:r>
          </w:p>
        </w:tc>
        <w:tc>
          <w:tcPr>
            <w:tcW w:w="1516" w:type="dxa"/>
            <w:tcBorders>
              <w:top w:val="nil"/>
              <w:left w:val="nil"/>
              <w:bottom w:val="single" w:sz="4" w:space="0" w:color="auto"/>
              <w:right w:val="single" w:sz="4" w:space="0" w:color="auto"/>
            </w:tcBorders>
            <w:shd w:val="clear" w:color="auto" w:fill="auto"/>
            <w:vAlign w:val="bottom"/>
            <w:hideMark/>
          </w:tcPr>
          <w:p w:rsidR="00987C6F" w:rsidRPr="00E43137" w:rsidRDefault="00987C6F" w:rsidP="00A53BCF">
            <w:pPr>
              <w:jc w:val="right"/>
              <w:rPr>
                <w:rFonts w:ascii="Calibri" w:hAnsi="Calibri" w:cs="Calibri"/>
                <w:sz w:val="20"/>
                <w:szCs w:val="20"/>
              </w:rPr>
            </w:pPr>
            <w:r w:rsidRPr="00E43137">
              <w:rPr>
                <w:rFonts w:ascii="Calibri" w:hAnsi="Calibri" w:cs="Calibri"/>
                <w:sz w:val="20"/>
                <w:szCs w:val="20"/>
              </w:rPr>
              <w:t>4,2</w:t>
            </w:r>
          </w:p>
        </w:tc>
      </w:tr>
      <w:tr w:rsidR="00987C6F" w:rsidRPr="00E43137" w:rsidTr="00A53BCF">
        <w:trPr>
          <w:trHeight w:val="488"/>
        </w:trPr>
        <w:tc>
          <w:tcPr>
            <w:tcW w:w="3107"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987C6F" w:rsidRPr="00E43137" w:rsidRDefault="00987C6F" w:rsidP="00A53BCF">
            <w:pPr>
              <w:rPr>
                <w:rFonts w:ascii="Calibri" w:hAnsi="Calibri" w:cs="Calibri"/>
                <w:b/>
                <w:bCs/>
                <w:color w:val="000000"/>
                <w:sz w:val="20"/>
                <w:szCs w:val="20"/>
              </w:rPr>
            </w:pPr>
            <w:r w:rsidRPr="00E43137">
              <w:rPr>
                <w:rFonts w:ascii="Calibri" w:hAnsi="Calibri" w:cs="Calibri"/>
                <w:b/>
                <w:bCs/>
                <w:color w:val="000000"/>
                <w:sz w:val="20"/>
                <w:szCs w:val="20"/>
              </w:rPr>
              <w:t>„Intermediate regions" – prechodné regióny</w:t>
            </w:r>
          </w:p>
        </w:tc>
        <w:tc>
          <w:tcPr>
            <w:tcW w:w="1766" w:type="dxa"/>
            <w:tcBorders>
              <w:top w:val="nil"/>
              <w:left w:val="nil"/>
              <w:bottom w:val="single" w:sz="4" w:space="0" w:color="auto"/>
              <w:right w:val="single" w:sz="4" w:space="0" w:color="auto"/>
            </w:tcBorders>
            <w:shd w:val="clear" w:color="auto" w:fill="auto"/>
            <w:vAlign w:val="bottom"/>
            <w:hideMark/>
          </w:tcPr>
          <w:p w:rsidR="00987C6F" w:rsidRPr="00E43137" w:rsidRDefault="00987C6F" w:rsidP="00A53BCF">
            <w:pPr>
              <w:jc w:val="right"/>
              <w:rPr>
                <w:rFonts w:ascii="Calibri" w:hAnsi="Calibri" w:cs="Calibri"/>
                <w:sz w:val="20"/>
                <w:szCs w:val="20"/>
              </w:rPr>
            </w:pPr>
            <w:r>
              <w:rPr>
                <w:rFonts w:ascii="Calibri" w:hAnsi="Calibri" w:cs="Calibri"/>
                <w:sz w:val="20"/>
                <w:szCs w:val="20"/>
              </w:rPr>
              <w:t>2084464</w:t>
            </w:r>
          </w:p>
        </w:tc>
        <w:tc>
          <w:tcPr>
            <w:tcW w:w="1472" w:type="dxa"/>
            <w:tcBorders>
              <w:top w:val="nil"/>
              <w:left w:val="nil"/>
              <w:bottom w:val="single" w:sz="4" w:space="0" w:color="auto"/>
              <w:right w:val="single" w:sz="4" w:space="0" w:color="auto"/>
            </w:tcBorders>
            <w:shd w:val="clear" w:color="auto" w:fill="auto"/>
            <w:vAlign w:val="bottom"/>
            <w:hideMark/>
          </w:tcPr>
          <w:p w:rsidR="00987C6F" w:rsidRPr="00E43137" w:rsidRDefault="00987C6F" w:rsidP="00A53BCF">
            <w:pPr>
              <w:jc w:val="right"/>
              <w:rPr>
                <w:rFonts w:ascii="Calibri" w:hAnsi="Calibri" w:cs="Calibri"/>
                <w:sz w:val="20"/>
                <w:szCs w:val="20"/>
              </w:rPr>
            </w:pPr>
            <w:r w:rsidRPr="00E43137">
              <w:rPr>
                <w:rFonts w:ascii="Calibri" w:hAnsi="Calibri" w:cs="Calibri"/>
                <w:sz w:val="20"/>
                <w:szCs w:val="20"/>
              </w:rPr>
              <w:t>38,</w:t>
            </w:r>
            <w:r>
              <w:rPr>
                <w:rFonts w:ascii="Calibri" w:hAnsi="Calibri" w:cs="Calibri"/>
                <w:sz w:val="20"/>
                <w:szCs w:val="20"/>
              </w:rPr>
              <w:t>4</w:t>
            </w:r>
          </w:p>
        </w:tc>
        <w:tc>
          <w:tcPr>
            <w:tcW w:w="1177" w:type="dxa"/>
            <w:tcBorders>
              <w:top w:val="nil"/>
              <w:left w:val="nil"/>
              <w:bottom w:val="single" w:sz="4" w:space="0" w:color="auto"/>
              <w:right w:val="single" w:sz="4" w:space="0" w:color="auto"/>
            </w:tcBorders>
            <w:shd w:val="clear" w:color="auto" w:fill="auto"/>
            <w:vAlign w:val="bottom"/>
            <w:hideMark/>
          </w:tcPr>
          <w:p w:rsidR="00987C6F" w:rsidRPr="00E43137" w:rsidRDefault="00987C6F" w:rsidP="00A53BCF">
            <w:pPr>
              <w:jc w:val="right"/>
              <w:rPr>
                <w:rFonts w:ascii="Calibri" w:hAnsi="Calibri" w:cs="Calibri"/>
                <w:sz w:val="20"/>
                <w:szCs w:val="20"/>
              </w:rPr>
            </w:pPr>
            <w:r>
              <w:rPr>
                <w:rFonts w:ascii="Calibri" w:hAnsi="Calibri" w:cs="Calibri"/>
                <w:sz w:val="20"/>
                <w:szCs w:val="20"/>
              </w:rPr>
              <w:t>18045</w:t>
            </w:r>
          </w:p>
        </w:tc>
        <w:tc>
          <w:tcPr>
            <w:tcW w:w="1516" w:type="dxa"/>
            <w:tcBorders>
              <w:top w:val="nil"/>
              <w:left w:val="nil"/>
              <w:bottom w:val="single" w:sz="4" w:space="0" w:color="auto"/>
              <w:right w:val="single" w:sz="4" w:space="0" w:color="auto"/>
            </w:tcBorders>
            <w:shd w:val="clear" w:color="auto" w:fill="auto"/>
            <w:vAlign w:val="bottom"/>
            <w:hideMark/>
          </w:tcPr>
          <w:p w:rsidR="00987C6F" w:rsidRPr="00E43137" w:rsidRDefault="00987C6F" w:rsidP="00A53BCF">
            <w:pPr>
              <w:jc w:val="right"/>
              <w:rPr>
                <w:rFonts w:ascii="Calibri" w:hAnsi="Calibri" w:cs="Calibri"/>
                <w:sz w:val="20"/>
                <w:szCs w:val="20"/>
              </w:rPr>
            </w:pPr>
            <w:r w:rsidRPr="00E43137">
              <w:rPr>
                <w:rFonts w:ascii="Calibri" w:hAnsi="Calibri" w:cs="Calibri"/>
                <w:sz w:val="20"/>
                <w:szCs w:val="20"/>
              </w:rPr>
              <w:t>36,8</w:t>
            </w:r>
          </w:p>
        </w:tc>
      </w:tr>
      <w:tr w:rsidR="00987C6F" w:rsidRPr="00E43137" w:rsidTr="00A53BCF">
        <w:trPr>
          <w:trHeight w:val="488"/>
        </w:trPr>
        <w:tc>
          <w:tcPr>
            <w:tcW w:w="3107"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987C6F" w:rsidRPr="00E43137" w:rsidRDefault="00987C6F" w:rsidP="00A53BCF">
            <w:pPr>
              <w:rPr>
                <w:rFonts w:ascii="Calibri" w:hAnsi="Calibri" w:cs="Calibri"/>
                <w:b/>
                <w:bCs/>
                <w:color w:val="000000"/>
                <w:sz w:val="20"/>
                <w:szCs w:val="20"/>
              </w:rPr>
            </w:pPr>
            <w:r w:rsidRPr="00E43137">
              <w:rPr>
                <w:rFonts w:ascii="Calibri" w:hAnsi="Calibri" w:cs="Calibri"/>
                <w:b/>
                <w:bCs/>
                <w:color w:val="000000"/>
                <w:sz w:val="20"/>
                <w:szCs w:val="20"/>
              </w:rPr>
              <w:t>„Predominantly rural regions" – prevažne vidiecke regióny</w:t>
            </w:r>
          </w:p>
        </w:tc>
        <w:tc>
          <w:tcPr>
            <w:tcW w:w="1766" w:type="dxa"/>
            <w:tcBorders>
              <w:top w:val="single" w:sz="4" w:space="0" w:color="auto"/>
              <w:left w:val="nil"/>
              <w:bottom w:val="single" w:sz="4" w:space="0" w:color="auto"/>
              <w:right w:val="single" w:sz="4" w:space="0" w:color="auto"/>
            </w:tcBorders>
            <w:shd w:val="clear" w:color="auto" w:fill="auto"/>
            <w:vAlign w:val="bottom"/>
            <w:hideMark/>
          </w:tcPr>
          <w:p w:rsidR="00987C6F" w:rsidRPr="00E43137" w:rsidRDefault="00987C6F" w:rsidP="00A53BCF">
            <w:pPr>
              <w:jc w:val="right"/>
              <w:rPr>
                <w:rFonts w:ascii="Calibri" w:hAnsi="Calibri" w:cs="Calibri"/>
                <w:sz w:val="20"/>
                <w:szCs w:val="20"/>
              </w:rPr>
            </w:pPr>
            <w:r>
              <w:rPr>
                <w:rFonts w:ascii="Calibri" w:hAnsi="Calibri" w:cs="Calibri"/>
                <w:sz w:val="20"/>
                <w:szCs w:val="20"/>
              </w:rPr>
              <w:t>2731077</w:t>
            </w:r>
          </w:p>
        </w:tc>
        <w:tc>
          <w:tcPr>
            <w:tcW w:w="1472" w:type="dxa"/>
            <w:tcBorders>
              <w:top w:val="single" w:sz="4" w:space="0" w:color="auto"/>
              <w:left w:val="nil"/>
              <w:bottom w:val="single" w:sz="4" w:space="0" w:color="auto"/>
              <w:right w:val="single" w:sz="4" w:space="0" w:color="auto"/>
            </w:tcBorders>
            <w:shd w:val="clear" w:color="auto" w:fill="auto"/>
            <w:vAlign w:val="bottom"/>
            <w:hideMark/>
          </w:tcPr>
          <w:p w:rsidR="00987C6F" w:rsidRPr="00E43137" w:rsidRDefault="00987C6F" w:rsidP="00A53BCF">
            <w:pPr>
              <w:jc w:val="right"/>
              <w:rPr>
                <w:rFonts w:ascii="Calibri" w:hAnsi="Calibri" w:cs="Calibri"/>
                <w:sz w:val="20"/>
                <w:szCs w:val="20"/>
              </w:rPr>
            </w:pPr>
            <w:r w:rsidRPr="00E43137">
              <w:rPr>
                <w:rFonts w:ascii="Calibri" w:hAnsi="Calibri" w:cs="Calibri"/>
                <w:sz w:val="20"/>
                <w:szCs w:val="20"/>
              </w:rPr>
              <w:t>50,</w:t>
            </w:r>
            <w:r>
              <w:rPr>
                <w:rFonts w:ascii="Calibri" w:hAnsi="Calibri" w:cs="Calibri"/>
                <w:sz w:val="20"/>
                <w:szCs w:val="20"/>
              </w:rPr>
              <w:t>4</w:t>
            </w:r>
          </w:p>
        </w:tc>
        <w:tc>
          <w:tcPr>
            <w:tcW w:w="1177" w:type="dxa"/>
            <w:tcBorders>
              <w:top w:val="single" w:sz="4" w:space="0" w:color="auto"/>
              <w:left w:val="nil"/>
              <w:bottom w:val="single" w:sz="4" w:space="0" w:color="auto"/>
              <w:right w:val="single" w:sz="4" w:space="0" w:color="auto"/>
            </w:tcBorders>
            <w:shd w:val="clear" w:color="auto" w:fill="auto"/>
            <w:vAlign w:val="bottom"/>
            <w:hideMark/>
          </w:tcPr>
          <w:p w:rsidR="00987C6F" w:rsidRPr="00E43137" w:rsidRDefault="00987C6F" w:rsidP="00A53BCF">
            <w:pPr>
              <w:jc w:val="right"/>
              <w:rPr>
                <w:rFonts w:ascii="Calibri" w:hAnsi="Calibri" w:cs="Calibri"/>
                <w:sz w:val="20"/>
                <w:szCs w:val="20"/>
              </w:rPr>
            </w:pPr>
            <w:r>
              <w:rPr>
                <w:rFonts w:ascii="Calibri" w:hAnsi="Calibri" w:cs="Calibri"/>
                <w:sz w:val="20"/>
                <w:szCs w:val="20"/>
              </w:rPr>
              <w:t>28931</w:t>
            </w:r>
          </w:p>
        </w:tc>
        <w:tc>
          <w:tcPr>
            <w:tcW w:w="1516" w:type="dxa"/>
            <w:tcBorders>
              <w:top w:val="single" w:sz="4" w:space="0" w:color="auto"/>
              <w:left w:val="nil"/>
              <w:bottom w:val="single" w:sz="4" w:space="0" w:color="auto"/>
              <w:right w:val="single" w:sz="4" w:space="0" w:color="auto"/>
            </w:tcBorders>
            <w:shd w:val="clear" w:color="auto" w:fill="auto"/>
            <w:vAlign w:val="bottom"/>
            <w:hideMark/>
          </w:tcPr>
          <w:p w:rsidR="00987C6F" w:rsidRPr="00E43137" w:rsidRDefault="00987C6F" w:rsidP="00A53BCF">
            <w:pPr>
              <w:jc w:val="right"/>
              <w:rPr>
                <w:rFonts w:ascii="Calibri" w:hAnsi="Calibri" w:cs="Calibri"/>
                <w:sz w:val="20"/>
                <w:szCs w:val="20"/>
              </w:rPr>
            </w:pPr>
            <w:r w:rsidRPr="00E43137">
              <w:rPr>
                <w:rFonts w:ascii="Calibri" w:hAnsi="Calibri" w:cs="Calibri"/>
                <w:sz w:val="20"/>
                <w:szCs w:val="20"/>
              </w:rPr>
              <w:t>59,0</w:t>
            </w:r>
          </w:p>
        </w:tc>
      </w:tr>
      <w:tr w:rsidR="00987C6F" w:rsidRPr="00E43137" w:rsidTr="00A53BCF">
        <w:trPr>
          <w:trHeight w:val="489"/>
        </w:trPr>
        <w:tc>
          <w:tcPr>
            <w:tcW w:w="3107" w:type="dxa"/>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987C6F" w:rsidRPr="00E43137" w:rsidRDefault="00987C6F" w:rsidP="00A53BCF">
            <w:pPr>
              <w:rPr>
                <w:rFonts w:ascii="Calibri" w:hAnsi="Calibri" w:cs="Calibri"/>
                <w:b/>
                <w:bCs/>
                <w:color w:val="000000"/>
                <w:sz w:val="20"/>
                <w:szCs w:val="20"/>
              </w:rPr>
            </w:pPr>
            <w:r w:rsidRPr="00E43137">
              <w:rPr>
                <w:rFonts w:ascii="Calibri" w:hAnsi="Calibri" w:cs="Calibri"/>
                <w:b/>
                <w:bCs/>
                <w:color w:val="000000"/>
                <w:sz w:val="20"/>
                <w:szCs w:val="20"/>
              </w:rPr>
              <w:t>SR celkom</w:t>
            </w:r>
          </w:p>
        </w:tc>
        <w:tc>
          <w:tcPr>
            <w:tcW w:w="1766" w:type="dxa"/>
            <w:tcBorders>
              <w:top w:val="nil"/>
              <w:left w:val="nil"/>
              <w:bottom w:val="single" w:sz="4" w:space="0" w:color="auto"/>
              <w:right w:val="single" w:sz="4" w:space="0" w:color="auto"/>
            </w:tcBorders>
            <w:shd w:val="clear" w:color="auto" w:fill="auto"/>
            <w:noWrap/>
            <w:vAlign w:val="bottom"/>
            <w:hideMark/>
          </w:tcPr>
          <w:p w:rsidR="00987C6F" w:rsidRPr="00E43137" w:rsidRDefault="00987C6F" w:rsidP="00A53BCF">
            <w:pPr>
              <w:jc w:val="right"/>
              <w:rPr>
                <w:rFonts w:ascii="Calibri" w:hAnsi="Calibri" w:cs="Calibri"/>
                <w:sz w:val="20"/>
                <w:szCs w:val="20"/>
              </w:rPr>
            </w:pPr>
            <w:r w:rsidRPr="00E43137">
              <w:rPr>
                <w:rFonts w:ascii="Calibri" w:hAnsi="Calibri" w:cs="Calibri"/>
                <w:sz w:val="20"/>
                <w:szCs w:val="20"/>
              </w:rPr>
              <w:t xml:space="preserve">5 424 </w:t>
            </w:r>
            <w:r>
              <w:rPr>
                <w:rFonts w:ascii="Calibri" w:hAnsi="Calibri" w:cs="Calibri"/>
                <w:sz w:val="20"/>
                <w:szCs w:val="20"/>
              </w:rPr>
              <w:t>322</w:t>
            </w:r>
          </w:p>
        </w:tc>
        <w:tc>
          <w:tcPr>
            <w:tcW w:w="1472" w:type="dxa"/>
            <w:tcBorders>
              <w:top w:val="nil"/>
              <w:left w:val="nil"/>
              <w:bottom w:val="single" w:sz="4" w:space="0" w:color="auto"/>
              <w:right w:val="single" w:sz="4" w:space="0" w:color="auto"/>
            </w:tcBorders>
            <w:shd w:val="clear" w:color="auto" w:fill="auto"/>
            <w:vAlign w:val="bottom"/>
            <w:hideMark/>
          </w:tcPr>
          <w:p w:rsidR="00987C6F" w:rsidRPr="00E43137" w:rsidRDefault="00987C6F" w:rsidP="00A53BCF">
            <w:pPr>
              <w:jc w:val="right"/>
              <w:rPr>
                <w:rFonts w:ascii="Calibri" w:hAnsi="Calibri" w:cs="Calibri"/>
                <w:sz w:val="20"/>
                <w:szCs w:val="20"/>
              </w:rPr>
            </w:pPr>
            <w:r w:rsidRPr="00E43137">
              <w:rPr>
                <w:rFonts w:ascii="Calibri" w:hAnsi="Calibri" w:cs="Calibri"/>
                <w:sz w:val="20"/>
                <w:szCs w:val="20"/>
              </w:rPr>
              <w:t>100,0</w:t>
            </w:r>
          </w:p>
        </w:tc>
        <w:tc>
          <w:tcPr>
            <w:tcW w:w="1177" w:type="dxa"/>
            <w:tcBorders>
              <w:top w:val="nil"/>
              <w:left w:val="nil"/>
              <w:bottom w:val="single" w:sz="4" w:space="0" w:color="auto"/>
              <w:right w:val="single" w:sz="4" w:space="0" w:color="auto"/>
            </w:tcBorders>
            <w:shd w:val="clear" w:color="auto" w:fill="auto"/>
            <w:noWrap/>
            <w:vAlign w:val="bottom"/>
            <w:hideMark/>
          </w:tcPr>
          <w:p w:rsidR="00987C6F" w:rsidRPr="00E43137" w:rsidRDefault="00987C6F" w:rsidP="00A53BCF">
            <w:pPr>
              <w:jc w:val="right"/>
              <w:rPr>
                <w:rFonts w:ascii="Calibri" w:hAnsi="Calibri" w:cs="Calibri"/>
                <w:sz w:val="20"/>
                <w:szCs w:val="20"/>
              </w:rPr>
            </w:pPr>
            <w:r w:rsidRPr="00E43137">
              <w:rPr>
                <w:rFonts w:ascii="Calibri" w:hAnsi="Calibri" w:cs="Calibri"/>
                <w:sz w:val="20"/>
                <w:szCs w:val="20"/>
              </w:rPr>
              <w:t>49 03</w:t>
            </w:r>
            <w:r>
              <w:rPr>
                <w:rFonts w:ascii="Calibri" w:hAnsi="Calibri" w:cs="Calibri"/>
                <w:sz w:val="20"/>
                <w:szCs w:val="20"/>
              </w:rPr>
              <w:t>6</w:t>
            </w:r>
          </w:p>
        </w:tc>
        <w:tc>
          <w:tcPr>
            <w:tcW w:w="1516" w:type="dxa"/>
            <w:tcBorders>
              <w:top w:val="nil"/>
              <w:left w:val="nil"/>
              <w:bottom w:val="single" w:sz="4" w:space="0" w:color="auto"/>
              <w:right w:val="single" w:sz="4" w:space="0" w:color="auto"/>
            </w:tcBorders>
            <w:shd w:val="clear" w:color="auto" w:fill="auto"/>
            <w:vAlign w:val="bottom"/>
            <w:hideMark/>
          </w:tcPr>
          <w:p w:rsidR="00987C6F" w:rsidRPr="00E43137" w:rsidRDefault="00987C6F" w:rsidP="00A53BCF">
            <w:pPr>
              <w:jc w:val="right"/>
              <w:rPr>
                <w:rFonts w:ascii="Calibri" w:hAnsi="Calibri" w:cs="Calibri"/>
                <w:sz w:val="20"/>
                <w:szCs w:val="20"/>
              </w:rPr>
            </w:pPr>
            <w:r w:rsidRPr="00E43137">
              <w:rPr>
                <w:rFonts w:ascii="Calibri" w:hAnsi="Calibri" w:cs="Calibri"/>
                <w:sz w:val="20"/>
                <w:szCs w:val="20"/>
              </w:rPr>
              <w:t>100,0</w:t>
            </w:r>
          </w:p>
        </w:tc>
      </w:tr>
    </w:tbl>
    <w:p w:rsidR="00987C6F" w:rsidRPr="00130D66" w:rsidRDefault="00987C6F" w:rsidP="00987C6F">
      <w:pPr>
        <w:rPr>
          <w:rFonts w:ascii="Calibri" w:eastAsia="MyriadPro-Regular" w:hAnsi="Calibri" w:cs="Calibri"/>
          <w:i/>
          <w:sz w:val="18"/>
          <w:szCs w:val="18"/>
        </w:rPr>
      </w:pPr>
      <w:r w:rsidRPr="00130D66">
        <w:rPr>
          <w:rFonts w:ascii="Calibri" w:hAnsi="Calibri" w:cs="Calibri"/>
          <w:i/>
          <w:iCs/>
          <w:sz w:val="18"/>
          <w:szCs w:val="18"/>
        </w:rPr>
        <w:t xml:space="preserve">Prameň: </w:t>
      </w:r>
      <w:r w:rsidRPr="00130D66">
        <w:rPr>
          <w:rFonts w:ascii="Calibri" w:eastAsia="MyriadPro-Regular" w:hAnsi="Calibri" w:cs="Calibri"/>
          <w:i/>
          <w:sz w:val="18"/>
          <w:szCs w:val="18"/>
        </w:rPr>
        <w:t>Eurostat, JRC, EFGS, REGIO-GIS in EU</w:t>
      </w:r>
      <w:r>
        <w:rPr>
          <w:rFonts w:ascii="Calibri" w:eastAsia="MyriadPro-Regular" w:hAnsi="Calibri" w:cs="Calibri"/>
          <w:i/>
          <w:sz w:val="18"/>
          <w:szCs w:val="18"/>
        </w:rPr>
        <w:t>.</w:t>
      </w:r>
      <w:r w:rsidRPr="00130D66">
        <w:rPr>
          <w:rFonts w:ascii="Calibri" w:eastAsia="MyriadPro-Regular" w:hAnsi="Calibri" w:cs="Calibri"/>
          <w:i/>
          <w:sz w:val="18"/>
          <w:szCs w:val="18"/>
        </w:rPr>
        <w:t xml:space="preserve"> Prepočty </w:t>
      </w:r>
      <w:r>
        <w:rPr>
          <w:rFonts w:ascii="Calibri" w:eastAsia="MyriadPro-Regular" w:hAnsi="Calibri" w:cs="Calibri"/>
          <w:i/>
          <w:sz w:val="18"/>
          <w:szCs w:val="18"/>
        </w:rPr>
        <w:t>NPPC-</w:t>
      </w:r>
      <w:r w:rsidRPr="00130D66">
        <w:rPr>
          <w:rFonts w:ascii="Calibri" w:eastAsia="MyriadPro-Regular" w:hAnsi="Calibri" w:cs="Calibri"/>
          <w:i/>
          <w:sz w:val="18"/>
          <w:szCs w:val="18"/>
        </w:rPr>
        <w:t>VÚEPP.</w:t>
      </w:r>
    </w:p>
    <w:p w:rsidR="00E43137" w:rsidRPr="00E43137" w:rsidRDefault="00E43137" w:rsidP="008676F9">
      <w:pPr>
        <w:rPr>
          <w:rFonts w:ascii="Calibri" w:hAnsi="Calibri"/>
          <w:b/>
        </w:rPr>
      </w:pPr>
    </w:p>
    <w:p w:rsidR="00E43137" w:rsidRPr="00E43137" w:rsidRDefault="00F832C9" w:rsidP="00F832C9">
      <w:pPr>
        <w:ind w:left="708" w:firstLine="426"/>
        <w:rPr>
          <w:rFonts w:ascii="Calibri" w:hAnsi="Calibri" w:cs="Calibri"/>
          <w:szCs w:val="22"/>
        </w:rPr>
      </w:pPr>
      <w:r>
        <w:rPr>
          <w:rFonts w:ascii="Calibri" w:hAnsi="Calibri"/>
          <w:b/>
          <w:szCs w:val="22"/>
        </w:rPr>
        <w:t xml:space="preserve">Tabuľka 3: </w:t>
      </w:r>
      <w:r w:rsidR="00E43137" w:rsidRPr="00E43137">
        <w:rPr>
          <w:rFonts w:ascii="Calibri" w:hAnsi="Calibri"/>
          <w:b/>
          <w:szCs w:val="22"/>
        </w:rPr>
        <w:t>Rozdelenie jednotlivých typov regiónov na úrovni NUTS 3 v SR</w:t>
      </w:r>
      <w:r w:rsidR="00E43137" w:rsidRPr="00E43137">
        <w:rPr>
          <w:rFonts w:ascii="Calibri" w:hAnsi="Calibri" w:cs="Calibri"/>
          <w:b/>
          <w:szCs w:val="22"/>
        </w:rPr>
        <w:tab/>
      </w:r>
    </w:p>
    <w:tbl>
      <w:tblPr>
        <w:tblW w:w="367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835"/>
        <w:gridCol w:w="1431"/>
        <w:gridCol w:w="1753"/>
        <w:gridCol w:w="1662"/>
      </w:tblGrid>
      <w:tr w:rsidR="00E43137" w:rsidRPr="00E43137" w:rsidTr="00130D66">
        <w:trPr>
          <w:trHeight w:val="266"/>
          <w:jc w:val="center"/>
        </w:trPr>
        <w:tc>
          <w:tcPr>
            <w:tcW w:w="1373" w:type="pct"/>
            <w:shd w:val="clear" w:color="auto" w:fill="DBE5F1" w:themeFill="accent1" w:themeFillTint="33"/>
            <w:vAlign w:val="center"/>
          </w:tcPr>
          <w:p w:rsidR="00E43137" w:rsidRPr="00E43137" w:rsidRDefault="00E43137" w:rsidP="008676F9">
            <w:pPr>
              <w:jc w:val="center"/>
              <w:rPr>
                <w:rFonts w:ascii="Calibri" w:hAnsi="Calibri" w:cs="Calibri"/>
                <w:b/>
                <w:color w:val="000000"/>
                <w:sz w:val="20"/>
                <w:szCs w:val="20"/>
              </w:rPr>
            </w:pPr>
            <w:r w:rsidRPr="00E43137">
              <w:rPr>
                <w:rFonts w:ascii="Calibri" w:hAnsi="Calibri" w:cs="Calibri"/>
                <w:b/>
                <w:color w:val="000000"/>
                <w:sz w:val="20"/>
                <w:szCs w:val="20"/>
              </w:rPr>
              <w:t>Názov kraja SR</w:t>
            </w:r>
          </w:p>
        </w:tc>
        <w:tc>
          <w:tcPr>
            <w:tcW w:w="1071" w:type="pct"/>
            <w:shd w:val="clear" w:color="auto" w:fill="DBE5F1" w:themeFill="accent1" w:themeFillTint="33"/>
            <w:tcMar>
              <w:top w:w="0" w:type="dxa"/>
              <w:left w:w="108" w:type="dxa"/>
              <w:bottom w:w="0" w:type="dxa"/>
              <w:right w:w="108" w:type="dxa"/>
            </w:tcMar>
            <w:vAlign w:val="center"/>
            <w:hideMark/>
          </w:tcPr>
          <w:p w:rsidR="00E43137" w:rsidRPr="00E43137" w:rsidRDefault="00E43137" w:rsidP="008676F9">
            <w:pPr>
              <w:jc w:val="center"/>
              <w:rPr>
                <w:rFonts w:ascii="Calibri" w:hAnsi="Calibri" w:cs="Calibri"/>
                <w:b/>
                <w:color w:val="000000"/>
                <w:sz w:val="20"/>
                <w:szCs w:val="20"/>
              </w:rPr>
            </w:pPr>
            <w:r w:rsidRPr="00E43137">
              <w:rPr>
                <w:rFonts w:ascii="Calibri" w:hAnsi="Calibri" w:cs="Calibri"/>
                <w:b/>
                <w:color w:val="000000"/>
                <w:sz w:val="20"/>
                <w:szCs w:val="20"/>
              </w:rPr>
              <w:t>Typ regiónu v SR</w:t>
            </w:r>
          </w:p>
        </w:tc>
        <w:tc>
          <w:tcPr>
            <w:tcW w:w="1312" w:type="pct"/>
            <w:shd w:val="clear" w:color="auto" w:fill="DBE5F1" w:themeFill="accent1" w:themeFillTint="33"/>
          </w:tcPr>
          <w:p w:rsidR="00E43137" w:rsidRPr="00E43137" w:rsidRDefault="00E43137" w:rsidP="008676F9">
            <w:pPr>
              <w:jc w:val="center"/>
              <w:rPr>
                <w:rFonts w:ascii="Calibri" w:hAnsi="Calibri" w:cs="Calibri"/>
                <w:b/>
                <w:color w:val="000000"/>
                <w:sz w:val="20"/>
                <w:szCs w:val="20"/>
              </w:rPr>
            </w:pPr>
            <w:r w:rsidRPr="00E43137">
              <w:rPr>
                <w:rFonts w:ascii="Calibri" w:hAnsi="Calibri" w:cs="Calibri"/>
                <w:b/>
                <w:color w:val="000000"/>
                <w:sz w:val="20"/>
                <w:szCs w:val="20"/>
              </w:rPr>
              <w:t>% podiel obyv. regiónu zo SR</w:t>
            </w:r>
          </w:p>
        </w:tc>
        <w:tc>
          <w:tcPr>
            <w:tcW w:w="1244" w:type="pct"/>
            <w:shd w:val="clear" w:color="auto" w:fill="DBE5F1" w:themeFill="accent1" w:themeFillTint="33"/>
          </w:tcPr>
          <w:p w:rsidR="00E43137" w:rsidRPr="00E43137" w:rsidRDefault="00E43137" w:rsidP="008676F9">
            <w:pPr>
              <w:jc w:val="center"/>
              <w:rPr>
                <w:rFonts w:ascii="Calibri" w:hAnsi="Calibri" w:cs="Calibri"/>
                <w:b/>
                <w:color w:val="000000"/>
                <w:sz w:val="20"/>
                <w:szCs w:val="20"/>
              </w:rPr>
            </w:pPr>
            <w:r w:rsidRPr="00E43137">
              <w:rPr>
                <w:rFonts w:ascii="Calibri" w:hAnsi="Calibri" w:cs="Calibri"/>
                <w:b/>
                <w:color w:val="000000"/>
                <w:sz w:val="20"/>
                <w:szCs w:val="20"/>
              </w:rPr>
              <w:t>% podiel rozlohy regiónu zo SR</w:t>
            </w:r>
          </w:p>
        </w:tc>
      </w:tr>
      <w:tr w:rsidR="00E43137" w:rsidRPr="00E43137" w:rsidTr="00E43137">
        <w:trPr>
          <w:trHeight w:val="240"/>
          <w:jc w:val="center"/>
        </w:trPr>
        <w:tc>
          <w:tcPr>
            <w:tcW w:w="1373" w:type="pct"/>
          </w:tcPr>
          <w:p w:rsidR="00E43137" w:rsidRPr="00E43137" w:rsidRDefault="00E43137" w:rsidP="008676F9">
            <w:pPr>
              <w:rPr>
                <w:rFonts w:ascii="Calibri" w:hAnsi="Calibri" w:cs="Calibri"/>
                <w:color w:val="000000"/>
                <w:sz w:val="20"/>
                <w:szCs w:val="20"/>
              </w:rPr>
            </w:pPr>
            <w:r w:rsidRPr="00E43137">
              <w:rPr>
                <w:rFonts w:ascii="Calibri" w:hAnsi="Calibri" w:cs="Calibri"/>
                <w:color w:val="000000"/>
                <w:sz w:val="20"/>
                <w:szCs w:val="20"/>
              </w:rPr>
              <w:t>Bratislavský</w:t>
            </w:r>
          </w:p>
        </w:tc>
        <w:tc>
          <w:tcPr>
            <w:tcW w:w="1071" w:type="pct"/>
            <w:tcMar>
              <w:top w:w="0" w:type="dxa"/>
              <w:left w:w="108" w:type="dxa"/>
              <w:bottom w:w="0" w:type="dxa"/>
              <w:right w:w="108" w:type="dxa"/>
            </w:tcMar>
            <w:hideMark/>
          </w:tcPr>
          <w:p w:rsidR="00E43137" w:rsidRPr="00E43137" w:rsidRDefault="00E43137" w:rsidP="008676F9">
            <w:pPr>
              <w:jc w:val="right"/>
              <w:rPr>
                <w:rFonts w:ascii="Calibri" w:hAnsi="Calibri" w:cs="Calibri"/>
                <w:sz w:val="20"/>
                <w:szCs w:val="20"/>
              </w:rPr>
            </w:pPr>
            <w:r w:rsidRPr="00E43137">
              <w:rPr>
                <w:rFonts w:ascii="Calibri" w:hAnsi="Calibri" w:cs="Calibri"/>
                <w:color w:val="000000"/>
                <w:sz w:val="20"/>
                <w:szCs w:val="20"/>
              </w:rPr>
              <w:t>1</w:t>
            </w:r>
          </w:p>
        </w:tc>
        <w:tc>
          <w:tcPr>
            <w:tcW w:w="1312" w:type="pct"/>
          </w:tcPr>
          <w:p w:rsidR="00E43137" w:rsidRPr="00E43137" w:rsidRDefault="00E43137" w:rsidP="008676F9">
            <w:pPr>
              <w:jc w:val="right"/>
              <w:rPr>
                <w:rFonts w:ascii="Calibri" w:hAnsi="Calibri" w:cs="Calibri"/>
                <w:color w:val="000000"/>
                <w:sz w:val="20"/>
                <w:szCs w:val="20"/>
              </w:rPr>
            </w:pPr>
            <w:r w:rsidRPr="00E43137">
              <w:rPr>
                <w:rFonts w:ascii="Calibri" w:hAnsi="Calibri" w:cs="Calibri"/>
                <w:color w:val="000000"/>
                <w:sz w:val="20"/>
                <w:szCs w:val="20"/>
              </w:rPr>
              <w:t>11,4</w:t>
            </w:r>
          </w:p>
        </w:tc>
        <w:tc>
          <w:tcPr>
            <w:tcW w:w="1244" w:type="pct"/>
          </w:tcPr>
          <w:p w:rsidR="00E43137" w:rsidRPr="00E43137" w:rsidRDefault="00E43137" w:rsidP="008676F9">
            <w:pPr>
              <w:jc w:val="right"/>
              <w:rPr>
                <w:rFonts w:ascii="Calibri" w:hAnsi="Calibri" w:cs="Calibri"/>
                <w:color w:val="000000"/>
                <w:sz w:val="20"/>
                <w:szCs w:val="20"/>
              </w:rPr>
            </w:pPr>
            <w:r w:rsidRPr="00E43137">
              <w:rPr>
                <w:rFonts w:ascii="Calibri" w:hAnsi="Calibri" w:cs="Calibri"/>
                <w:color w:val="000000"/>
                <w:sz w:val="20"/>
                <w:szCs w:val="20"/>
              </w:rPr>
              <w:t>4,2</w:t>
            </w:r>
          </w:p>
        </w:tc>
      </w:tr>
      <w:tr w:rsidR="00E43137" w:rsidRPr="00E43137" w:rsidTr="00E43137">
        <w:trPr>
          <w:trHeight w:val="307"/>
          <w:jc w:val="center"/>
        </w:trPr>
        <w:tc>
          <w:tcPr>
            <w:tcW w:w="1373" w:type="pct"/>
          </w:tcPr>
          <w:p w:rsidR="00E43137" w:rsidRPr="00E43137" w:rsidRDefault="00E43137" w:rsidP="008676F9">
            <w:pPr>
              <w:rPr>
                <w:rFonts w:ascii="Calibri" w:hAnsi="Calibri" w:cs="Calibri"/>
                <w:color w:val="000000"/>
                <w:sz w:val="20"/>
                <w:szCs w:val="20"/>
              </w:rPr>
            </w:pPr>
            <w:r w:rsidRPr="00E43137">
              <w:rPr>
                <w:rFonts w:ascii="Calibri" w:hAnsi="Calibri" w:cs="Calibri"/>
                <w:color w:val="000000"/>
                <w:sz w:val="20"/>
                <w:szCs w:val="20"/>
              </w:rPr>
              <w:t>Trnavský</w:t>
            </w:r>
          </w:p>
        </w:tc>
        <w:tc>
          <w:tcPr>
            <w:tcW w:w="1071" w:type="pct"/>
            <w:tcMar>
              <w:top w:w="0" w:type="dxa"/>
              <w:left w:w="108" w:type="dxa"/>
              <w:bottom w:w="0" w:type="dxa"/>
              <w:right w:w="108" w:type="dxa"/>
            </w:tcMar>
            <w:hideMark/>
          </w:tcPr>
          <w:p w:rsidR="00E43137" w:rsidRPr="00E43137" w:rsidRDefault="00E43137" w:rsidP="008676F9">
            <w:pPr>
              <w:jc w:val="right"/>
              <w:rPr>
                <w:rFonts w:ascii="Calibri" w:hAnsi="Calibri" w:cs="Calibri"/>
                <w:sz w:val="20"/>
                <w:szCs w:val="20"/>
              </w:rPr>
            </w:pPr>
            <w:r w:rsidRPr="00E43137">
              <w:rPr>
                <w:rFonts w:ascii="Calibri" w:hAnsi="Calibri" w:cs="Calibri"/>
                <w:color w:val="000000"/>
                <w:sz w:val="20"/>
                <w:szCs w:val="20"/>
              </w:rPr>
              <w:t>3</w:t>
            </w:r>
          </w:p>
        </w:tc>
        <w:tc>
          <w:tcPr>
            <w:tcW w:w="1312" w:type="pct"/>
          </w:tcPr>
          <w:p w:rsidR="00E43137" w:rsidRPr="00E43137" w:rsidRDefault="00E43137" w:rsidP="008676F9">
            <w:pPr>
              <w:jc w:val="right"/>
              <w:rPr>
                <w:rFonts w:ascii="Calibri" w:hAnsi="Calibri" w:cs="Calibri"/>
                <w:color w:val="000000"/>
                <w:sz w:val="20"/>
                <w:szCs w:val="20"/>
              </w:rPr>
            </w:pPr>
            <w:r w:rsidRPr="00E43137">
              <w:rPr>
                <w:rFonts w:ascii="Calibri" w:hAnsi="Calibri" w:cs="Calibri"/>
                <w:color w:val="000000"/>
                <w:sz w:val="20"/>
                <w:szCs w:val="20"/>
              </w:rPr>
              <w:t>10,4</w:t>
            </w:r>
          </w:p>
        </w:tc>
        <w:tc>
          <w:tcPr>
            <w:tcW w:w="1244" w:type="pct"/>
          </w:tcPr>
          <w:p w:rsidR="00E43137" w:rsidRPr="00E43137" w:rsidRDefault="00E43137" w:rsidP="008676F9">
            <w:pPr>
              <w:jc w:val="right"/>
              <w:rPr>
                <w:rFonts w:ascii="Calibri" w:hAnsi="Calibri" w:cs="Calibri"/>
                <w:color w:val="000000"/>
                <w:sz w:val="20"/>
                <w:szCs w:val="20"/>
              </w:rPr>
            </w:pPr>
            <w:r w:rsidRPr="00E43137">
              <w:rPr>
                <w:rFonts w:ascii="Calibri" w:hAnsi="Calibri" w:cs="Calibri"/>
                <w:color w:val="000000"/>
                <w:sz w:val="20"/>
                <w:szCs w:val="20"/>
              </w:rPr>
              <w:t>8,5</w:t>
            </w:r>
          </w:p>
        </w:tc>
      </w:tr>
      <w:tr w:rsidR="00E43137" w:rsidRPr="00E43137" w:rsidTr="00E43137">
        <w:trPr>
          <w:trHeight w:val="266"/>
          <w:jc w:val="center"/>
        </w:trPr>
        <w:tc>
          <w:tcPr>
            <w:tcW w:w="1373" w:type="pct"/>
          </w:tcPr>
          <w:p w:rsidR="00E43137" w:rsidRPr="00E43137" w:rsidRDefault="00E43137" w:rsidP="008676F9">
            <w:pPr>
              <w:rPr>
                <w:rFonts w:ascii="Calibri" w:hAnsi="Calibri" w:cs="Calibri"/>
                <w:color w:val="000000"/>
                <w:sz w:val="20"/>
                <w:szCs w:val="20"/>
              </w:rPr>
            </w:pPr>
            <w:r w:rsidRPr="00E43137">
              <w:rPr>
                <w:rFonts w:ascii="Calibri" w:hAnsi="Calibri" w:cs="Calibri"/>
                <w:color w:val="000000"/>
                <w:sz w:val="20"/>
                <w:szCs w:val="20"/>
              </w:rPr>
              <w:t>Trenčiansky</w:t>
            </w:r>
          </w:p>
        </w:tc>
        <w:tc>
          <w:tcPr>
            <w:tcW w:w="1071" w:type="pct"/>
            <w:tcMar>
              <w:top w:w="0" w:type="dxa"/>
              <w:left w:w="108" w:type="dxa"/>
              <w:bottom w:w="0" w:type="dxa"/>
              <w:right w:w="108" w:type="dxa"/>
            </w:tcMar>
            <w:hideMark/>
          </w:tcPr>
          <w:p w:rsidR="00E43137" w:rsidRPr="00E43137" w:rsidRDefault="00E43137" w:rsidP="008676F9">
            <w:pPr>
              <w:jc w:val="right"/>
              <w:rPr>
                <w:rFonts w:ascii="Calibri" w:hAnsi="Calibri" w:cs="Calibri"/>
                <w:sz w:val="20"/>
                <w:szCs w:val="20"/>
              </w:rPr>
            </w:pPr>
            <w:r w:rsidRPr="00E43137">
              <w:rPr>
                <w:rFonts w:ascii="Calibri" w:hAnsi="Calibri" w:cs="Calibri"/>
                <w:color w:val="000000"/>
                <w:sz w:val="20"/>
                <w:szCs w:val="20"/>
              </w:rPr>
              <w:t>2</w:t>
            </w:r>
          </w:p>
        </w:tc>
        <w:tc>
          <w:tcPr>
            <w:tcW w:w="1312" w:type="pct"/>
          </w:tcPr>
          <w:p w:rsidR="00E43137" w:rsidRPr="00E43137" w:rsidRDefault="00E43137" w:rsidP="008676F9">
            <w:pPr>
              <w:jc w:val="right"/>
              <w:rPr>
                <w:rFonts w:ascii="Calibri" w:hAnsi="Calibri" w:cs="Calibri"/>
                <w:color w:val="000000"/>
                <w:sz w:val="20"/>
                <w:szCs w:val="20"/>
              </w:rPr>
            </w:pPr>
            <w:r w:rsidRPr="00E43137">
              <w:rPr>
                <w:rFonts w:ascii="Calibri" w:hAnsi="Calibri" w:cs="Calibri"/>
                <w:color w:val="000000"/>
                <w:sz w:val="20"/>
                <w:szCs w:val="20"/>
              </w:rPr>
              <w:t>11,1</w:t>
            </w:r>
          </w:p>
        </w:tc>
        <w:tc>
          <w:tcPr>
            <w:tcW w:w="1244" w:type="pct"/>
          </w:tcPr>
          <w:p w:rsidR="00E43137" w:rsidRPr="00E43137" w:rsidRDefault="00E43137" w:rsidP="008676F9">
            <w:pPr>
              <w:jc w:val="right"/>
              <w:rPr>
                <w:rFonts w:ascii="Calibri" w:hAnsi="Calibri" w:cs="Calibri"/>
                <w:color w:val="000000"/>
                <w:sz w:val="20"/>
                <w:szCs w:val="20"/>
              </w:rPr>
            </w:pPr>
            <w:r w:rsidRPr="00E43137">
              <w:rPr>
                <w:rFonts w:ascii="Calibri" w:hAnsi="Calibri" w:cs="Calibri"/>
                <w:color w:val="000000"/>
                <w:sz w:val="20"/>
                <w:szCs w:val="20"/>
              </w:rPr>
              <w:t>9,2</w:t>
            </w:r>
          </w:p>
        </w:tc>
      </w:tr>
      <w:tr w:rsidR="00E43137" w:rsidRPr="00E43137" w:rsidTr="00E43137">
        <w:trPr>
          <w:trHeight w:val="266"/>
          <w:jc w:val="center"/>
        </w:trPr>
        <w:tc>
          <w:tcPr>
            <w:tcW w:w="1373" w:type="pct"/>
          </w:tcPr>
          <w:p w:rsidR="00E43137" w:rsidRPr="00E43137" w:rsidRDefault="00E43137" w:rsidP="008676F9">
            <w:pPr>
              <w:rPr>
                <w:rFonts w:ascii="Calibri" w:hAnsi="Calibri" w:cs="Calibri"/>
                <w:color w:val="000000"/>
                <w:sz w:val="20"/>
                <w:szCs w:val="20"/>
              </w:rPr>
            </w:pPr>
            <w:r w:rsidRPr="00E43137">
              <w:rPr>
                <w:rFonts w:ascii="Calibri" w:hAnsi="Calibri" w:cs="Calibri"/>
                <w:color w:val="000000"/>
                <w:sz w:val="20"/>
                <w:szCs w:val="20"/>
              </w:rPr>
              <w:t>Nitriansky</w:t>
            </w:r>
          </w:p>
        </w:tc>
        <w:tc>
          <w:tcPr>
            <w:tcW w:w="1071" w:type="pct"/>
            <w:tcMar>
              <w:top w:w="0" w:type="dxa"/>
              <w:left w:w="108" w:type="dxa"/>
              <w:bottom w:w="0" w:type="dxa"/>
              <w:right w:w="108" w:type="dxa"/>
            </w:tcMar>
            <w:hideMark/>
          </w:tcPr>
          <w:p w:rsidR="00E43137" w:rsidRPr="00E43137" w:rsidRDefault="00E43137" w:rsidP="008676F9">
            <w:pPr>
              <w:jc w:val="right"/>
              <w:rPr>
                <w:rFonts w:ascii="Calibri" w:hAnsi="Calibri" w:cs="Calibri"/>
                <w:sz w:val="20"/>
                <w:szCs w:val="20"/>
              </w:rPr>
            </w:pPr>
            <w:r w:rsidRPr="00E43137">
              <w:rPr>
                <w:rFonts w:ascii="Calibri" w:hAnsi="Calibri" w:cs="Calibri"/>
                <w:color w:val="000000"/>
                <w:sz w:val="20"/>
                <w:szCs w:val="20"/>
              </w:rPr>
              <w:t>3</w:t>
            </w:r>
          </w:p>
        </w:tc>
        <w:tc>
          <w:tcPr>
            <w:tcW w:w="1312" w:type="pct"/>
          </w:tcPr>
          <w:p w:rsidR="00E43137" w:rsidRPr="00E43137" w:rsidRDefault="00E43137" w:rsidP="008676F9">
            <w:pPr>
              <w:jc w:val="right"/>
              <w:rPr>
                <w:rFonts w:ascii="Calibri" w:hAnsi="Calibri" w:cs="Calibri"/>
                <w:color w:val="000000"/>
                <w:sz w:val="20"/>
                <w:szCs w:val="20"/>
              </w:rPr>
            </w:pPr>
            <w:r w:rsidRPr="00E43137">
              <w:rPr>
                <w:rFonts w:ascii="Calibri" w:hAnsi="Calibri" w:cs="Calibri"/>
                <w:color w:val="000000"/>
                <w:sz w:val="20"/>
                <w:szCs w:val="20"/>
              </w:rPr>
              <w:t>13,0</w:t>
            </w:r>
          </w:p>
        </w:tc>
        <w:tc>
          <w:tcPr>
            <w:tcW w:w="1244" w:type="pct"/>
          </w:tcPr>
          <w:p w:rsidR="00E43137" w:rsidRPr="00E43137" w:rsidRDefault="00E43137" w:rsidP="008676F9">
            <w:pPr>
              <w:jc w:val="right"/>
              <w:rPr>
                <w:rFonts w:ascii="Calibri" w:hAnsi="Calibri" w:cs="Calibri"/>
                <w:color w:val="000000"/>
                <w:sz w:val="20"/>
                <w:szCs w:val="20"/>
              </w:rPr>
            </w:pPr>
            <w:r w:rsidRPr="00E43137">
              <w:rPr>
                <w:rFonts w:ascii="Calibri" w:hAnsi="Calibri" w:cs="Calibri"/>
                <w:color w:val="000000"/>
                <w:sz w:val="20"/>
                <w:szCs w:val="20"/>
              </w:rPr>
              <w:t>12,9</w:t>
            </w:r>
          </w:p>
        </w:tc>
      </w:tr>
      <w:tr w:rsidR="00E43137" w:rsidRPr="00E43137" w:rsidTr="00E43137">
        <w:trPr>
          <w:trHeight w:val="266"/>
          <w:jc w:val="center"/>
        </w:trPr>
        <w:tc>
          <w:tcPr>
            <w:tcW w:w="1373" w:type="pct"/>
          </w:tcPr>
          <w:p w:rsidR="00E43137" w:rsidRPr="00E43137" w:rsidRDefault="00E43137" w:rsidP="008676F9">
            <w:pPr>
              <w:rPr>
                <w:rFonts w:ascii="Calibri" w:hAnsi="Calibri" w:cs="Calibri"/>
                <w:color w:val="000000"/>
                <w:sz w:val="20"/>
                <w:szCs w:val="20"/>
              </w:rPr>
            </w:pPr>
            <w:r w:rsidRPr="00E43137">
              <w:rPr>
                <w:rFonts w:ascii="Calibri" w:hAnsi="Calibri" w:cs="Calibri"/>
                <w:color w:val="000000"/>
                <w:sz w:val="20"/>
                <w:szCs w:val="20"/>
              </w:rPr>
              <w:t>Žilinský</w:t>
            </w:r>
          </w:p>
        </w:tc>
        <w:tc>
          <w:tcPr>
            <w:tcW w:w="1071" w:type="pct"/>
            <w:tcMar>
              <w:top w:w="0" w:type="dxa"/>
              <w:left w:w="108" w:type="dxa"/>
              <w:bottom w:w="0" w:type="dxa"/>
              <w:right w:w="108" w:type="dxa"/>
            </w:tcMar>
            <w:hideMark/>
          </w:tcPr>
          <w:p w:rsidR="00E43137" w:rsidRPr="00E43137" w:rsidRDefault="00E43137" w:rsidP="008676F9">
            <w:pPr>
              <w:jc w:val="right"/>
              <w:rPr>
                <w:rFonts w:ascii="Calibri" w:hAnsi="Calibri" w:cs="Calibri"/>
                <w:sz w:val="20"/>
                <w:szCs w:val="20"/>
              </w:rPr>
            </w:pPr>
            <w:r w:rsidRPr="00E43137">
              <w:rPr>
                <w:rFonts w:ascii="Calibri" w:hAnsi="Calibri" w:cs="Calibri"/>
                <w:color w:val="000000"/>
                <w:sz w:val="20"/>
                <w:szCs w:val="20"/>
              </w:rPr>
              <w:t>2</w:t>
            </w:r>
          </w:p>
        </w:tc>
        <w:tc>
          <w:tcPr>
            <w:tcW w:w="1312" w:type="pct"/>
          </w:tcPr>
          <w:p w:rsidR="00E43137" w:rsidRPr="00E43137" w:rsidRDefault="00E43137" w:rsidP="008676F9">
            <w:pPr>
              <w:jc w:val="right"/>
              <w:rPr>
                <w:rFonts w:ascii="Calibri" w:hAnsi="Calibri" w:cs="Calibri"/>
                <w:color w:val="000000"/>
                <w:sz w:val="20"/>
                <w:szCs w:val="20"/>
              </w:rPr>
            </w:pPr>
            <w:r w:rsidRPr="00E43137">
              <w:rPr>
                <w:rFonts w:ascii="Calibri" w:hAnsi="Calibri" w:cs="Calibri"/>
                <w:color w:val="000000"/>
                <w:sz w:val="20"/>
                <w:szCs w:val="20"/>
              </w:rPr>
              <w:t>12,9</w:t>
            </w:r>
          </w:p>
        </w:tc>
        <w:tc>
          <w:tcPr>
            <w:tcW w:w="1244" w:type="pct"/>
          </w:tcPr>
          <w:p w:rsidR="00E43137" w:rsidRPr="00E43137" w:rsidRDefault="00E43137" w:rsidP="008676F9">
            <w:pPr>
              <w:jc w:val="right"/>
              <w:rPr>
                <w:rFonts w:ascii="Calibri" w:hAnsi="Calibri" w:cs="Calibri"/>
                <w:color w:val="000000"/>
                <w:sz w:val="20"/>
                <w:szCs w:val="20"/>
              </w:rPr>
            </w:pPr>
            <w:r w:rsidRPr="00E43137">
              <w:rPr>
                <w:rFonts w:ascii="Calibri" w:hAnsi="Calibri" w:cs="Calibri"/>
                <w:color w:val="000000"/>
                <w:sz w:val="20"/>
                <w:szCs w:val="20"/>
              </w:rPr>
              <w:t>13,8</w:t>
            </w:r>
          </w:p>
        </w:tc>
      </w:tr>
      <w:tr w:rsidR="00E43137" w:rsidRPr="00E43137" w:rsidTr="00E43137">
        <w:trPr>
          <w:trHeight w:val="266"/>
          <w:jc w:val="center"/>
        </w:trPr>
        <w:tc>
          <w:tcPr>
            <w:tcW w:w="1373" w:type="pct"/>
          </w:tcPr>
          <w:p w:rsidR="00E43137" w:rsidRPr="00E43137" w:rsidRDefault="00E43137" w:rsidP="008676F9">
            <w:pPr>
              <w:rPr>
                <w:rFonts w:ascii="Calibri" w:hAnsi="Calibri" w:cs="Calibri"/>
                <w:color w:val="000000"/>
                <w:sz w:val="20"/>
                <w:szCs w:val="20"/>
              </w:rPr>
            </w:pPr>
            <w:r w:rsidRPr="00E43137">
              <w:rPr>
                <w:rFonts w:ascii="Calibri" w:hAnsi="Calibri" w:cs="Calibri"/>
                <w:color w:val="000000"/>
                <w:sz w:val="20"/>
                <w:szCs w:val="20"/>
              </w:rPr>
              <w:t>Banskobystrický</w:t>
            </w:r>
          </w:p>
        </w:tc>
        <w:tc>
          <w:tcPr>
            <w:tcW w:w="1071" w:type="pct"/>
            <w:tcMar>
              <w:top w:w="0" w:type="dxa"/>
              <w:left w:w="108" w:type="dxa"/>
              <w:bottom w:w="0" w:type="dxa"/>
              <w:right w:w="108" w:type="dxa"/>
            </w:tcMar>
            <w:hideMark/>
          </w:tcPr>
          <w:p w:rsidR="00E43137" w:rsidRPr="00E43137" w:rsidRDefault="00E43137" w:rsidP="008676F9">
            <w:pPr>
              <w:jc w:val="right"/>
              <w:rPr>
                <w:rFonts w:ascii="Calibri" w:hAnsi="Calibri" w:cs="Calibri"/>
                <w:sz w:val="20"/>
                <w:szCs w:val="20"/>
              </w:rPr>
            </w:pPr>
            <w:r w:rsidRPr="00E43137">
              <w:rPr>
                <w:rFonts w:ascii="Calibri" w:hAnsi="Calibri" w:cs="Calibri"/>
                <w:color w:val="000000"/>
                <w:sz w:val="20"/>
                <w:szCs w:val="20"/>
              </w:rPr>
              <w:t>3</w:t>
            </w:r>
          </w:p>
        </w:tc>
        <w:tc>
          <w:tcPr>
            <w:tcW w:w="1312" w:type="pct"/>
          </w:tcPr>
          <w:p w:rsidR="00E43137" w:rsidRPr="00E43137" w:rsidRDefault="00E43137" w:rsidP="008676F9">
            <w:pPr>
              <w:jc w:val="right"/>
              <w:rPr>
                <w:rFonts w:ascii="Calibri" w:hAnsi="Calibri" w:cs="Calibri"/>
                <w:color w:val="000000"/>
                <w:sz w:val="20"/>
                <w:szCs w:val="20"/>
              </w:rPr>
            </w:pPr>
            <w:r w:rsidRPr="00E43137">
              <w:rPr>
                <w:rFonts w:ascii="Calibri" w:hAnsi="Calibri" w:cs="Calibri"/>
                <w:color w:val="000000"/>
                <w:sz w:val="20"/>
                <w:szCs w:val="20"/>
              </w:rPr>
              <w:t>12,0</w:t>
            </w:r>
          </w:p>
        </w:tc>
        <w:tc>
          <w:tcPr>
            <w:tcW w:w="1244" w:type="pct"/>
          </w:tcPr>
          <w:p w:rsidR="00E43137" w:rsidRPr="00E43137" w:rsidRDefault="00E43137" w:rsidP="008676F9">
            <w:pPr>
              <w:jc w:val="right"/>
              <w:rPr>
                <w:rFonts w:ascii="Calibri" w:hAnsi="Calibri" w:cs="Calibri"/>
                <w:color w:val="000000"/>
                <w:sz w:val="20"/>
                <w:szCs w:val="20"/>
              </w:rPr>
            </w:pPr>
            <w:r w:rsidRPr="00E43137">
              <w:rPr>
                <w:rFonts w:ascii="Calibri" w:hAnsi="Calibri" w:cs="Calibri"/>
                <w:color w:val="000000"/>
                <w:sz w:val="20"/>
                <w:szCs w:val="20"/>
              </w:rPr>
              <w:t>19,3</w:t>
            </w:r>
          </w:p>
        </w:tc>
      </w:tr>
      <w:tr w:rsidR="00E43137" w:rsidRPr="00E43137" w:rsidTr="00E43137">
        <w:trPr>
          <w:trHeight w:val="266"/>
          <w:jc w:val="center"/>
        </w:trPr>
        <w:tc>
          <w:tcPr>
            <w:tcW w:w="1373" w:type="pct"/>
          </w:tcPr>
          <w:p w:rsidR="00E43137" w:rsidRPr="00E43137" w:rsidRDefault="00E43137" w:rsidP="008676F9">
            <w:pPr>
              <w:rPr>
                <w:rFonts w:ascii="Calibri" w:hAnsi="Calibri" w:cs="Calibri"/>
                <w:color w:val="000000"/>
                <w:sz w:val="20"/>
                <w:szCs w:val="20"/>
              </w:rPr>
            </w:pPr>
            <w:r w:rsidRPr="00E43137">
              <w:rPr>
                <w:rFonts w:ascii="Calibri" w:hAnsi="Calibri" w:cs="Calibri"/>
                <w:color w:val="000000"/>
                <w:sz w:val="20"/>
                <w:szCs w:val="20"/>
              </w:rPr>
              <w:t xml:space="preserve">Prešovský </w:t>
            </w:r>
          </w:p>
        </w:tc>
        <w:tc>
          <w:tcPr>
            <w:tcW w:w="1071" w:type="pct"/>
            <w:tcMar>
              <w:top w:w="0" w:type="dxa"/>
              <w:left w:w="108" w:type="dxa"/>
              <w:bottom w:w="0" w:type="dxa"/>
              <w:right w:w="108" w:type="dxa"/>
            </w:tcMar>
            <w:hideMark/>
          </w:tcPr>
          <w:p w:rsidR="00E43137" w:rsidRPr="00E43137" w:rsidRDefault="00E43137" w:rsidP="008676F9">
            <w:pPr>
              <w:jc w:val="right"/>
              <w:rPr>
                <w:rFonts w:ascii="Calibri" w:hAnsi="Calibri" w:cs="Calibri"/>
                <w:sz w:val="20"/>
                <w:szCs w:val="20"/>
              </w:rPr>
            </w:pPr>
            <w:r w:rsidRPr="00E43137">
              <w:rPr>
                <w:rFonts w:ascii="Calibri" w:hAnsi="Calibri" w:cs="Calibri"/>
                <w:color w:val="000000"/>
                <w:sz w:val="20"/>
                <w:szCs w:val="20"/>
              </w:rPr>
              <w:t>3</w:t>
            </w:r>
          </w:p>
        </w:tc>
        <w:tc>
          <w:tcPr>
            <w:tcW w:w="1312" w:type="pct"/>
          </w:tcPr>
          <w:p w:rsidR="00E43137" w:rsidRPr="00E43137" w:rsidRDefault="00E43137" w:rsidP="008676F9">
            <w:pPr>
              <w:jc w:val="right"/>
              <w:rPr>
                <w:rFonts w:ascii="Calibri" w:hAnsi="Calibri" w:cs="Calibri"/>
                <w:color w:val="000000"/>
                <w:sz w:val="20"/>
                <w:szCs w:val="20"/>
              </w:rPr>
            </w:pPr>
            <w:r w:rsidRPr="00E43137">
              <w:rPr>
                <w:rFonts w:ascii="Calibri" w:hAnsi="Calibri" w:cs="Calibri"/>
                <w:color w:val="000000"/>
                <w:sz w:val="20"/>
                <w:szCs w:val="20"/>
              </w:rPr>
              <w:t>14,9</w:t>
            </w:r>
          </w:p>
        </w:tc>
        <w:tc>
          <w:tcPr>
            <w:tcW w:w="1244" w:type="pct"/>
          </w:tcPr>
          <w:p w:rsidR="00E43137" w:rsidRPr="00E43137" w:rsidRDefault="00E43137" w:rsidP="008676F9">
            <w:pPr>
              <w:jc w:val="right"/>
              <w:rPr>
                <w:rFonts w:ascii="Calibri" w:hAnsi="Calibri" w:cs="Calibri"/>
                <w:color w:val="000000"/>
                <w:sz w:val="20"/>
                <w:szCs w:val="20"/>
              </w:rPr>
            </w:pPr>
            <w:r w:rsidRPr="00E43137">
              <w:rPr>
                <w:rFonts w:ascii="Calibri" w:hAnsi="Calibri" w:cs="Calibri"/>
                <w:color w:val="000000"/>
                <w:sz w:val="20"/>
                <w:szCs w:val="20"/>
              </w:rPr>
              <w:t>18,3</w:t>
            </w:r>
          </w:p>
        </w:tc>
      </w:tr>
      <w:tr w:rsidR="00E43137" w:rsidRPr="00E43137" w:rsidTr="00E43137">
        <w:trPr>
          <w:trHeight w:val="266"/>
          <w:jc w:val="center"/>
        </w:trPr>
        <w:tc>
          <w:tcPr>
            <w:tcW w:w="1373" w:type="pct"/>
          </w:tcPr>
          <w:p w:rsidR="00E43137" w:rsidRPr="00E43137" w:rsidRDefault="00E43137" w:rsidP="008676F9">
            <w:pPr>
              <w:rPr>
                <w:rFonts w:ascii="Calibri" w:hAnsi="Calibri" w:cs="Calibri"/>
                <w:color w:val="000000"/>
                <w:sz w:val="20"/>
                <w:szCs w:val="20"/>
              </w:rPr>
            </w:pPr>
            <w:r w:rsidRPr="00E43137">
              <w:rPr>
                <w:rFonts w:ascii="Calibri" w:hAnsi="Calibri" w:cs="Calibri"/>
                <w:color w:val="000000"/>
                <w:sz w:val="20"/>
                <w:szCs w:val="20"/>
              </w:rPr>
              <w:t xml:space="preserve">Košický </w:t>
            </w:r>
          </w:p>
        </w:tc>
        <w:tc>
          <w:tcPr>
            <w:tcW w:w="1071" w:type="pct"/>
            <w:tcMar>
              <w:top w:w="0" w:type="dxa"/>
              <w:left w:w="108" w:type="dxa"/>
              <w:bottom w:w="0" w:type="dxa"/>
              <w:right w:w="108" w:type="dxa"/>
            </w:tcMar>
            <w:hideMark/>
          </w:tcPr>
          <w:p w:rsidR="00E43137" w:rsidRPr="00E43137" w:rsidRDefault="00E43137" w:rsidP="008676F9">
            <w:pPr>
              <w:jc w:val="right"/>
              <w:rPr>
                <w:rFonts w:ascii="Calibri" w:hAnsi="Calibri" w:cs="Calibri"/>
                <w:sz w:val="20"/>
                <w:szCs w:val="20"/>
              </w:rPr>
            </w:pPr>
            <w:r w:rsidRPr="00E43137">
              <w:rPr>
                <w:rFonts w:ascii="Calibri" w:hAnsi="Calibri" w:cs="Calibri"/>
                <w:color w:val="000000"/>
                <w:sz w:val="20"/>
                <w:szCs w:val="20"/>
              </w:rPr>
              <w:t>2</w:t>
            </w:r>
          </w:p>
        </w:tc>
        <w:tc>
          <w:tcPr>
            <w:tcW w:w="1312" w:type="pct"/>
          </w:tcPr>
          <w:p w:rsidR="00E43137" w:rsidRPr="00E43137" w:rsidRDefault="00E43137" w:rsidP="008676F9">
            <w:pPr>
              <w:jc w:val="right"/>
              <w:rPr>
                <w:rFonts w:ascii="Calibri" w:hAnsi="Calibri" w:cs="Calibri"/>
                <w:color w:val="000000"/>
                <w:sz w:val="20"/>
                <w:szCs w:val="20"/>
              </w:rPr>
            </w:pPr>
            <w:r w:rsidRPr="00E43137">
              <w:rPr>
                <w:rFonts w:ascii="Calibri" w:hAnsi="Calibri" w:cs="Calibri"/>
                <w:color w:val="000000"/>
                <w:sz w:val="20"/>
                <w:szCs w:val="20"/>
              </w:rPr>
              <w:t>14,3</w:t>
            </w:r>
          </w:p>
        </w:tc>
        <w:tc>
          <w:tcPr>
            <w:tcW w:w="1244" w:type="pct"/>
          </w:tcPr>
          <w:p w:rsidR="00E43137" w:rsidRPr="00E43137" w:rsidRDefault="00E43137" w:rsidP="008676F9">
            <w:pPr>
              <w:jc w:val="right"/>
              <w:rPr>
                <w:rFonts w:ascii="Calibri" w:hAnsi="Calibri" w:cs="Calibri"/>
                <w:color w:val="000000"/>
                <w:sz w:val="20"/>
                <w:szCs w:val="20"/>
              </w:rPr>
            </w:pPr>
            <w:r w:rsidRPr="00E43137">
              <w:rPr>
                <w:rFonts w:ascii="Calibri" w:hAnsi="Calibri" w:cs="Calibri"/>
                <w:color w:val="000000"/>
                <w:sz w:val="20"/>
                <w:szCs w:val="20"/>
              </w:rPr>
              <w:t>13,8</w:t>
            </w:r>
          </w:p>
        </w:tc>
      </w:tr>
      <w:tr w:rsidR="00E43137" w:rsidRPr="00E43137" w:rsidTr="00E43137">
        <w:trPr>
          <w:trHeight w:val="266"/>
          <w:jc w:val="center"/>
        </w:trPr>
        <w:tc>
          <w:tcPr>
            <w:tcW w:w="1373" w:type="pct"/>
          </w:tcPr>
          <w:p w:rsidR="00E43137" w:rsidRPr="00E43137" w:rsidRDefault="00E43137" w:rsidP="008676F9">
            <w:pPr>
              <w:rPr>
                <w:rFonts w:ascii="Calibri" w:hAnsi="Calibri" w:cs="Calibri"/>
                <w:color w:val="000000"/>
                <w:sz w:val="20"/>
                <w:szCs w:val="20"/>
              </w:rPr>
            </w:pPr>
            <w:r w:rsidRPr="00E43137">
              <w:rPr>
                <w:rFonts w:ascii="Calibri" w:hAnsi="Calibri" w:cs="Calibri"/>
                <w:color w:val="000000"/>
                <w:sz w:val="20"/>
                <w:szCs w:val="20"/>
              </w:rPr>
              <w:t>SR spolu</w:t>
            </w:r>
          </w:p>
        </w:tc>
        <w:tc>
          <w:tcPr>
            <w:tcW w:w="1071" w:type="pct"/>
            <w:tcMar>
              <w:top w:w="0" w:type="dxa"/>
              <w:left w:w="108" w:type="dxa"/>
              <w:bottom w:w="0" w:type="dxa"/>
              <w:right w:w="108" w:type="dxa"/>
            </w:tcMar>
            <w:hideMark/>
          </w:tcPr>
          <w:p w:rsidR="00E43137" w:rsidRPr="00E43137" w:rsidRDefault="00E43137" w:rsidP="008676F9">
            <w:pPr>
              <w:jc w:val="right"/>
              <w:rPr>
                <w:rFonts w:ascii="Calibri" w:hAnsi="Calibri" w:cs="Calibri"/>
                <w:color w:val="000000"/>
                <w:sz w:val="20"/>
                <w:szCs w:val="20"/>
              </w:rPr>
            </w:pPr>
          </w:p>
        </w:tc>
        <w:tc>
          <w:tcPr>
            <w:tcW w:w="1312" w:type="pct"/>
          </w:tcPr>
          <w:p w:rsidR="00E43137" w:rsidRPr="00E43137" w:rsidRDefault="00E43137" w:rsidP="008676F9">
            <w:pPr>
              <w:jc w:val="right"/>
              <w:rPr>
                <w:rFonts w:ascii="Calibri" w:hAnsi="Calibri" w:cs="Calibri"/>
                <w:color w:val="000000"/>
                <w:sz w:val="20"/>
                <w:szCs w:val="20"/>
              </w:rPr>
            </w:pPr>
            <w:r w:rsidRPr="00E43137">
              <w:rPr>
                <w:rFonts w:ascii="Calibri" w:hAnsi="Calibri" w:cs="Calibri"/>
                <w:color w:val="000000"/>
                <w:sz w:val="20"/>
                <w:szCs w:val="20"/>
              </w:rPr>
              <w:t>100,0</w:t>
            </w:r>
          </w:p>
        </w:tc>
        <w:tc>
          <w:tcPr>
            <w:tcW w:w="1244" w:type="pct"/>
          </w:tcPr>
          <w:p w:rsidR="00E43137" w:rsidRPr="00E43137" w:rsidRDefault="00E43137" w:rsidP="008676F9">
            <w:pPr>
              <w:jc w:val="right"/>
              <w:rPr>
                <w:rFonts w:ascii="Calibri" w:hAnsi="Calibri" w:cs="Calibri"/>
                <w:color w:val="000000"/>
                <w:sz w:val="20"/>
                <w:szCs w:val="20"/>
              </w:rPr>
            </w:pPr>
            <w:r w:rsidRPr="00E43137">
              <w:rPr>
                <w:rFonts w:ascii="Calibri" w:hAnsi="Calibri" w:cs="Calibri"/>
                <w:color w:val="000000"/>
                <w:sz w:val="20"/>
                <w:szCs w:val="20"/>
              </w:rPr>
              <w:t>100,0</w:t>
            </w:r>
          </w:p>
        </w:tc>
      </w:tr>
    </w:tbl>
    <w:p w:rsidR="00E43137" w:rsidRPr="00130D66" w:rsidRDefault="00E43137" w:rsidP="00F832C9">
      <w:pPr>
        <w:ind w:left="1134"/>
        <w:rPr>
          <w:rFonts w:ascii="Calibri" w:hAnsi="Calibri" w:cs="Calibri"/>
          <w:i/>
          <w:sz w:val="18"/>
          <w:szCs w:val="18"/>
        </w:rPr>
      </w:pPr>
      <w:r w:rsidRPr="00130D66">
        <w:rPr>
          <w:rFonts w:ascii="Calibri" w:hAnsi="Calibri" w:cs="Calibri"/>
          <w:i/>
          <w:sz w:val="18"/>
          <w:szCs w:val="18"/>
        </w:rPr>
        <w:t xml:space="preserve">Prameň: Eurostat; ŠÚ SR. Spracoval </w:t>
      </w:r>
      <w:r w:rsidR="00987C6F">
        <w:rPr>
          <w:rFonts w:ascii="Calibri" w:hAnsi="Calibri" w:cs="Calibri"/>
          <w:i/>
          <w:sz w:val="18"/>
          <w:szCs w:val="18"/>
        </w:rPr>
        <w:t>NPPC-</w:t>
      </w:r>
      <w:r w:rsidRPr="00130D66">
        <w:rPr>
          <w:rFonts w:ascii="Calibri" w:hAnsi="Calibri" w:cs="Calibri"/>
          <w:i/>
          <w:sz w:val="18"/>
          <w:szCs w:val="18"/>
        </w:rPr>
        <w:t>VÚEPP.</w:t>
      </w:r>
    </w:p>
    <w:p w:rsidR="00E43137" w:rsidRPr="00130D66" w:rsidRDefault="00E43137" w:rsidP="008676F9">
      <w:pPr>
        <w:rPr>
          <w:rFonts w:ascii="Calibri" w:hAnsi="Calibri" w:cs="Calibri"/>
          <w:b/>
          <w:i/>
          <w:sz w:val="18"/>
          <w:szCs w:val="18"/>
        </w:rPr>
      </w:pPr>
    </w:p>
    <w:p w:rsidR="00987C6F" w:rsidRPr="00E43137" w:rsidRDefault="00987C6F" w:rsidP="00987C6F">
      <w:pPr>
        <w:rPr>
          <w:rFonts w:ascii="Calibri" w:hAnsi="Calibri" w:cs="Calibri"/>
          <w:b/>
          <w:sz w:val="18"/>
          <w:szCs w:val="18"/>
        </w:rPr>
      </w:pPr>
      <w:r w:rsidRPr="00E43137">
        <w:rPr>
          <w:rFonts w:ascii="Calibri" w:hAnsi="Calibri" w:cs="Calibri"/>
          <w:b/>
          <w:sz w:val="18"/>
          <w:szCs w:val="18"/>
        </w:rPr>
        <w:t>Legenda:</w:t>
      </w:r>
    </w:p>
    <w:p w:rsidR="00987C6F" w:rsidRPr="00E43137" w:rsidRDefault="00987C6F" w:rsidP="00987C6F">
      <w:pPr>
        <w:rPr>
          <w:rFonts w:ascii="Calibri" w:hAnsi="Calibri" w:cs="Calibri"/>
          <w:sz w:val="18"/>
          <w:szCs w:val="18"/>
        </w:rPr>
      </w:pPr>
      <w:r w:rsidRPr="00E43137">
        <w:rPr>
          <w:rFonts w:ascii="Calibri" w:hAnsi="Calibri" w:cs="Calibri"/>
          <w:sz w:val="18"/>
          <w:szCs w:val="18"/>
        </w:rPr>
        <w:t xml:space="preserve">1 = predominantly urban regions (prevažne mestské regióny) </w:t>
      </w:r>
    </w:p>
    <w:p w:rsidR="00987C6F" w:rsidRPr="00E43137" w:rsidRDefault="00987C6F" w:rsidP="00987C6F">
      <w:pPr>
        <w:rPr>
          <w:rFonts w:ascii="Calibri" w:hAnsi="Calibri" w:cs="Calibri"/>
          <w:sz w:val="18"/>
          <w:szCs w:val="18"/>
        </w:rPr>
      </w:pPr>
      <w:r w:rsidRPr="00E43137">
        <w:rPr>
          <w:rFonts w:ascii="Calibri" w:hAnsi="Calibri" w:cs="Calibri"/>
          <w:sz w:val="18"/>
          <w:szCs w:val="18"/>
        </w:rPr>
        <w:t xml:space="preserve">2 = intermediate regions (prechodné regióny) </w:t>
      </w:r>
    </w:p>
    <w:p w:rsidR="00987C6F" w:rsidRPr="00E43137" w:rsidRDefault="00987C6F" w:rsidP="00987C6F">
      <w:pPr>
        <w:spacing w:after="60"/>
        <w:rPr>
          <w:rFonts w:ascii="Calibri" w:hAnsi="Calibri" w:cs="Calibri"/>
          <w:sz w:val="18"/>
          <w:szCs w:val="18"/>
        </w:rPr>
      </w:pPr>
      <w:r w:rsidRPr="00E43137">
        <w:rPr>
          <w:rFonts w:ascii="Calibri" w:hAnsi="Calibri" w:cs="Calibri"/>
          <w:sz w:val="18"/>
          <w:szCs w:val="18"/>
        </w:rPr>
        <w:t>3 = predominantly rural regions (prevažne vidiecke regióny)</w:t>
      </w:r>
    </w:p>
    <w:p w:rsidR="00987C6F" w:rsidRPr="00E43137" w:rsidRDefault="00987C6F" w:rsidP="00987C6F">
      <w:pPr>
        <w:pBdr>
          <w:bar w:val="single" w:sz="6" w:color="808080"/>
        </w:pBdr>
        <w:spacing w:after="120"/>
        <w:rPr>
          <w:rFonts w:ascii="Calibri" w:eastAsia="Calibri" w:hAnsi="Calibri"/>
          <w:szCs w:val="22"/>
          <w:lang w:eastAsia="en-US"/>
        </w:rPr>
      </w:pPr>
      <w:r w:rsidRPr="00E43137">
        <w:rPr>
          <w:rFonts w:ascii="Calibri" w:eastAsia="Calibri" w:hAnsi="Calibri"/>
          <w:szCs w:val="22"/>
          <w:lang w:eastAsia="en-US"/>
        </w:rPr>
        <w:t>Priemerná hustota osídlenia bola v roku 2011 110,1 obyvateľov/km², na vidieku 94,1 obyvateľov/km²</w:t>
      </w:r>
      <w:r>
        <w:rPr>
          <w:rFonts w:ascii="Calibri" w:eastAsia="Calibri" w:hAnsi="Calibri"/>
          <w:szCs w:val="22"/>
          <w:lang w:eastAsia="en-US"/>
        </w:rPr>
        <w:t xml:space="preserve"> (</w:t>
      </w:r>
      <w:r w:rsidRPr="007D430C">
        <w:rPr>
          <w:rFonts w:ascii="Calibri" w:eastAsia="Calibri" w:hAnsi="Calibri"/>
          <w:b/>
          <w:szCs w:val="22"/>
          <w:lang w:eastAsia="en-US"/>
        </w:rPr>
        <w:t>CCI 4</w:t>
      </w:r>
      <w:r>
        <w:rPr>
          <w:rFonts w:ascii="Calibri" w:eastAsia="Calibri" w:hAnsi="Calibri"/>
          <w:szCs w:val="22"/>
          <w:lang w:eastAsia="en-US"/>
        </w:rPr>
        <w:t>)</w:t>
      </w:r>
      <w:r w:rsidRPr="00E43137">
        <w:rPr>
          <w:rFonts w:ascii="Calibri" w:eastAsia="Calibri" w:hAnsi="Calibri"/>
          <w:szCs w:val="22"/>
          <w:lang w:eastAsia="en-US"/>
        </w:rPr>
        <w:t>.</w:t>
      </w:r>
      <w:r>
        <w:rPr>
          <w:rFonts w:ascii="Calibri" w:eastAsia="Calibri" w:hAnsi="Calibri"/>
          <w:szCs w:val="22"/>
          <w:lang w:eastAsia="en-US"/>
        </w:rPr>
        <w:t xml:space="preserve"> </w:t>
      </w:r>
    </w:p>
    <w:p w:rsidR="00E43137" w:rsidRPr="00E43137" w:rsidRDefault="00E43137" w:rsidP="008676F9">
      <w:pPr>
        <w:pBdr>
          <w:bar w:val="single" w:sz="6" w:color="808080"/>
        </w:pBdr>
        <w:rPr>
          <w:rFonts w:ascii="Calibri" w:eastAsia="Calibri" w:hAnsi="Calibri"/>
          <w:b/>
          <w:bCs/>
          <w:szCs w:val="22"/>
          <w:lang w:eastAsia="en-US"/>
        </w:rPr>
      </w:pPr>
    </w:p>
    <w:p w:rsidR="00A53BCF" w:rsidRPr="00E43137" w:rsidRDefault="00A53BCF" w:rsidP="00A53BCF">
      <w:pPr>
        <w:keepNext/>
        <w:keepLines/>
        <w:pBdr>
          <w:bar w:val="single" w:sz="6" w:color="808080"/>
        </w:pBdr>
        <w:spacing w:after="120"/>
        <w:outlineLvl w:val="1"/>
        <w:rPr>
          <w:rFonts w:ascii="Calibri" w:hAnsi="Calibri"/>
          <w:b/>
          <w:bCs/>
          <w:szCs w:val="22"/>
        </w:rPr>
      </w:pPr>
      <w:r w:rsidRPr="00E43137">
        <w:rPr>
          <w:rFonts w:ascii="Calibri" w:hAnsi="Calibri"/>
          <w:b/>
          <w:bCs/>
          <w:szCs w:val="22"/>
        </w:rPr>
        <w:t xml:space="preserve">Vzdelanostná a veková štruktúra </w:t>
      </w:r>
    </w:p>
    <w:p w:rsidR="00A53BCF" w:rsidRPr="00E43137" w:rsidRDefault="00A53BCF" w:rsidP="00A53BCF">
      <w:pPr>
        <w:pBdr>
          <w:bar w:val="single" w:sz="6" w:color="808080"/>
        </w:pBdr>
        <w:rPr>
          <w:rFonts w:ascii="Calibri" w:eastAsia="Calibri" w:hAnsi="Calibri"/>
          <w:szCs w:val="22"/>
          <w:lang w:eastAsia="en-US"/>
        </w:rPr>
      </w:pPr>
      <w:r w:rsidRPr="00E43137">
        <w:rPr>
          <w:rFonts w:ascii="Calibri" w:eastAsia="Calibri" w:hAnsi="Calibri"/>
          <w:szCs w:val="22"/>
          <w:lang w:eastAsia="en-US"/>
        </w:rPr>
        <w:t>Z celkového počtu obyvateľov SR činí podiel predreprodukčnej zložky obyvateľstva (&lt;15 r.)  15,4 %, podiel obyvateľstva v produktívnom veku (15-64 r.) 71,8 % a v poproduktívnom veku (&gt;64 rokov) 12,8%</w:t>
      </w:r>
      <w:r>
        <w:rPr>
          <w:rFonts w:ascii="Calibri" w:eastAsia="Calibri" w:hAnsi="Calibri"/>
          <w:szCs w:val="22"/>
          <w:lang w:eastAsia="en-US"/>
        </w:rPr>
        <w:t xml:space="preserve"> (</w:t>
      </w:r>
      <w:r w:rsidRPr="007D430C">
        <w:rPr>
          <w:rFonts w:ascii="Calibri" w:eastAsia="Calibri" w:hAnsi="Calibri"/>
          <w:b/>
          <w:szCs w:val="22"/>
          <w:lang w:eastAsia="en-US"/>
        </w:rPr>
        <w:t>CCI 2</w:t>
      </w:r>
      <w:r>
        <w:rPr>
          <w:rFonts w:ascii="Calibri" w:eastAsia="Calibri" w:hAnsi="Calibri"/>
          <w:szCs w:val="22"/>
          <w:lang w:eastAsia="en-US"/>
        </w:rPr>
        <w:t>)</w:t>
      </w:r>
      <w:r w:rsidRPr="00E43137">
        <w:rPr>
          <w:rFonts w:ascii="Calibri" w:eastAsia="Calibri" w:hAnsi="Calibri"/>
          <w:szCs w:val="22"/>
          <w:lang w:eastAsia="en-US"/>
        </w:rPr>
        <w:t>. Za sledované obdobie (2001 – 2011) sa vo vidieckych regiónoch znížilo zastúpenie predproduktívneho obyvateľstva (z 19,2 % na 15,6 %), čo je spojené predovšetkým s výraznou redukciou prirodzených prírastkov. V období 2001-2011 bol podiel obyvateľstva v produktívnom veku vo vidieckych regiónoch nižší ako v mestských. Dlhodobejšie sa na vidieku zvyšuje aj podiel obyvateľstva v poproduktívnom veku. Vplyvom znižovania podielu detskej zložky a rastom podielu osôb v poproduktívnom veku sa vo vidieckych regiónoch zhoršuje veková štruktúra obyvateľstva. Tento proces je však výrazne vnútroregionálne a sídelne diferencovaný.</w:t>
      </w:r>
    </w:p>
    <w:p w:rsidR="00A53BCF" w:rsidRPr="00E43137" w:rsidRDefault="00A53BCF" w:rsidP="00A53BCF">
      <w:pPr>
        <w:pBdr>
          <w:bar w:val="single" w:sz="6" w:color="808080"/>
        </w:pBdr>
        <w:rPr>
          <w:rFonts w:ascii="Calibri" w:eastAsia="Calibri" w:hAnsi="Calibri"/>
          <w:szCs w:val="22"/>
          <w:lang w:eastAsia="en-US"/>
        </w:rPr>
      </w:pPr>
    </w:p>
    <w:p w:rsidR="00A53BCF" w:rsidRPr="00E43137" w:rsidRDefault="00A53BCF" w:rsidP="00A53BCF">
      <w:pPr>
        <w:rPr>
          <w:rFonts w:ascii="Calibri" w:hAnsi="Calibri"/>
          <w:szCs w:val="22"/>
        </w:rPr>
      </w:pPr>
      <w:r w:rsidRPr="00E43137">
        <w:rPr>
          <w:rFonts w:ascii="Calibri" w:hAnsi="Calibri"/>
          <w:szCs w:val="22"/>
        </w:rPr>
        <w:t>Vzdelanostná úroveň obyvateľstva  na Slovensku korešponduje so zmenami na trhu práce. Za sledované obdobie 2001-2011 sa znížil podiel obyvateľov so základným, stredným odborným a učňovským (bez maturity) vzdelaním a podiel obyvateľov bez vzdelania (deti do 16 rokov + bez vzdelania). Zvýšil sa podiel obyvateľov so stredným vzdelaním s maturitou a vyšším odborným a vysokoškolským vzdelaním. Medzi vidiekom a mestskými regiónmi je výrazný rozdiel v rozložení vysokoškolsk</w:t>
      </w:r>
      <w:r>
        <w:rPr>
          <w:rFonts w:ascii="Calibri" w:hAnsi="Calibri"/>
          <w:szCs w:val="22"/>
        </w:rPr>
        <w:t>y vzdelaného</w:t>
      </w:r>
      <w:r w:rsidRPr="00E43137">
        <w:rPr>
          <w:rFonts w:ascii="Calibri" w:hAnsi="Calibri"/>
          <w:szCs w:val="22"/>
        </w:rPr>
        <w:t xml:space="preserve"> obyvateľstva. Vo vidieckych regiónoch v r. 2011 trvale bývalo 12,3 % vysokoškolsky vzdelaných obyvateľov, zatiaľ čo v mestských regiónoch to bolo až 26,2 %. Na vidieku je podiel obyvateľstva so základným vzdelaním výrazne vyšší ako v mestských regiónoch. Mierne nižší je na vidieku ako v mestských regiónoch  podiel obyvateľstva  so stredoškolským vzdelaním. Tempo rastu stredoškolsky vzdelaného obyvateľstva bolo v uvedenom období na vidieku vyššie ako v mestských regiónoch.   </w:t>
      </w:r>
    </w:p>
    <w:p w:rsidR="003C04C8" w:rsidRPr="00E43137" w:rsidRDefault="003C04C8" w:rsidP="008676F9">
      <w:pPr>
        <w:rPr>
          <w:rFonts w:ascii="Calibri" w:hAnsi="Calibri"/>
          <w:szCs w:val="22"/>
        </w:rPr>
      </w:pPr>
    </w:p>
    <w:p w:rsidR="00A53BCF" w:rsidRPr="00E43137" w:rsidRDefault="00F832C9" w:rsidP="00A53BCF">
      <w:pPr>
        <w:rPr>
          <w:rFonts w:ascii="Calibri" w:hAnsi="Calibri"/>
          <w:b/>
          <w:szCs w:val="22"/>
        </w:rPr>
      </w:pPr>
      <w:r>
        <w:rPr>
          <w:rFonts w:ascii="Calibri" w:hAnsi="Calibri"/>
          <w:b/>
          <w:szCs w:val="22"/>
        </w:rPr>
        <w:t xml:space="preserve">Tabuľka 4: </w:t>
      </w:r>
      <w:r w:rsidR="00A53BCF" w:rsidRPr="00FF5518">
        <w:rPr>
          <w:rFonts w:ascii="Calibri" w:hAnsi="Calibri"/>
          <w:b/>
          <w:szCs w:val="22"/>
        </w:rPr>
        <w:t xml:space="preserve">Vzdelanostná štruktúra obyvateľstva </w:t>
      </w:r>
      <w:r w:rsidR="00A53BCF">
        <w:rPr>
          <w:rFonts w:ascii="Calibri" w:hAnsi="Calibri"/>
          <w:b/>
          <w:szCs w:val="22"/>
        </w:rPr>
        <w:t xml:space="preserve">podľa typu regiónu v SR </w:t>
      </w:r>
      <w:r w:rsidR="00A53BCF" w:rsidRPr="00FF5518">
        <w:rPr>
          <w:rFonts w:ascii="Calibri" w:hAnsi="Calibri"/>
          <w:b/>
          <w:szCs w:val="22"/>
        </w:rPr>
        <w:t>za roky 2001-2011</w:t>
      </w:r>
      <w:r w:rsidR="00A53BCF" w:rsidRPr="00E43137">
        <w:rPr>
          <w:rFonts w:ascii="Calibri" w:hAnsi="Calibri"/>
          <w:b/>
          <w:szCs w:val="22"/>
        </w:rPr>
        <w:t xml:space="preserve"> </w:t>
      </w:r>
    </w:p>
    <w:tbl>
      <w:tblPr>
        <w:tblW w:w="9136" w:type="dxa"/>
        <w:tblInd w:w="65" w:type="dxa"/>
        <w:tblCellMar>
          <w:left w:w="70" w:type="dxa"/>
          <w:right w:w="70" w:type="dxa"/>
        </w:tblCellMar>
        <w:tblLook w:val="04A0" w:firstRow="1" w:lastRow="0" w:firstColumn="1" w:lastColumn="0" w:noHBand="0" w:noVBand="1"/>
      </w:tblPr>
      <w:tblGrid>
        <w:gridCol w:w="1365"/>
        <w:gridCol w:w="581"/>
        <w:gridCol w:w="581"/>
        <w:gridCol w:w="608"/>
        <w:gridCol w:w="609"/>
        <w:gridCol w:w="870"/>
        <w:gridCol w:w="871"/>
        <w:gridCol w:w="552"/>
        <w:gridCol w:w="552"/>
        <w:gridCol w:w="674"/>
        <w:gridCol w:w="675"/>
        <w:gridCol w:w="599"/>
        <w:gridCol w:w="599"/>
      </w:tblGrid>
      <w:tr w:rsidR="00A53BCF" w:rsidRPr="00E43137" w:rsidTr="00A53BCF">
        <w:trPr>
          <w:trHeight w:val="916"/>
        </w:trPr>
        <w:tc>
          <w:tcPr>
            <w:tcW w:w="1366"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A53BCF" w:rsidRPr="00E43137" w:rsidRDefault="00A53BCF" w:rsidP="00A53BCF">
            <w:pPr>
              <w:jc w:val="center"/>
              <w:rPr>
                <w:rFonts w:ascii="Calibri" w:hAnsi="Calibri"/>
                <w:color w:val="000000"/>
                <w:sz w:val="18"/>
                <w:szCs w:val="18"/>
              </w:rPr>
            </w:pPr>
            <w:r w:rsidRPr="00E43137">
              <w:rPr>
                <w:rFonts w:ascii="Calibri" w:hAnsi="Calibri"/>
                <w:color w:val="000000"/>
                <w:sz w:val="18"/>
                <w:szCs w:val="18"/>
              </w:rPr>
              <w:t>Typ regiónu</w:t>
            </w:r>
          </w:p>
        </w:tc>
        <w:tc>
          <w:tcPr>
            <w:tcW w:w="1161" w:type="dxa"/>
            <w:gridSpan w:val="2"/>
            <w:tcBorders>
              <w:top w:val="single" w:sz="4" w:space="0" w:color="auto"/>
              <w:left w:val="nil"/>
              <w:bottom w:val="single" w:sz="4" w:space="0" w:color="auto"/>
              <w:right w:val="single" w:sz="4" w:space="0" w:color="000000"/>
            </w:tcBorders>
            <w:shd w:val="clear" w:color="auto" w:fill="auto"/>
            <w:vAlign w:val="center"/>
            <w:hideMark/>
          </w:tcPr>
          <w:p w:rsidR="00A53BCF" w:rsidRPr="00E43137" w:rsidRDefault="00A53BCF" w:rsidP="00A53BCF">
            <w:pPr>
              <w:jc w:val="center"/>
              <w:rPr>
                <w:rFonts w:ascii="Calibri" w:hAnsi="Calibri"/>
                <w:color w:val="000000"/>
                <w:sz w:val="18"/>
                <w:szCs w:val="18"/>
              </w:rPr>
            </w:pPr>
            <w:r w:rsidRPr="00E43137">
              <w:rPr>
                <w:rFonts w:ascii="Calibri" w:hAnsi="Calibri"/>
                <w:color w:val="000000"/>
                <w:sz w:val="18"/>
                <w:szCs w:val="18"/>
              </w:rPr>
              <w:t>Základné vzdelanie</w:t>
            </w:r>
          </w:p>
        </w:tc>
        <w:tc>
          <w:tcPr>
            <w:tcW w:w="1217" w:type="dxa"/>
            <w:gridSpan w:val="2"/>
            <w:tcBorders>
              <w:top w:val="single" w:sz="4" w:space="0" w:color="auto"/>
              <w:left w:val="nil"/>
              <w:bottom w:val="single" w:sz="4" w:space="0" w:color="auto"/>
              <w:right w:val="single" w:sz="4" w:space="0" w:color="000000"/>
            </w:tcBorders>
            <w:shd w:val="clear" w:color="auto" w:fill="auto"/>
            <w:vAlign w:val="center"/>
            <w:hideMark/>
          </w:tcPr>
          <w:p w:rsidR="00A53BCF" w:rsidRPr="00E43137" w:rsidRDefault="00A53BCF" w:rsidP="00A53BCF">
            <w:pPr>
              <w:jc w:val="center"/>
              <w:rPr>
                <w:rFonts w:ascii="Calibri" w:hAnsi="Calibri"/>
                <w:color w:val="000000"/>
                <w:sz w:val="18"/>
                <w:szCs w:val="18"/>
              </w:rPr>
            </w:pPr>
            <w:r w:rsidRPr="00E43137">
              <w:rPr>
                <w:rFonts w:ascii="Calibri" w:hAnsi="Calibri"/>
                <w:color w:val="000000"/>
                <w:sz w:val="18"/>
                <w:szCs w:val="18"/>
              </w:rPr>
              <w:t>Stredné odborné a učňovské (bez maturity)</w:t>
            </w:r>
          </w:p>
        </w:tc>
        <w:tc>
          <w:tcPr>
            <w:tcW w:w="1741" w:type="dxa"/>
            <w:gridSpan w:val="2"/>
            <w:tcBorders>
              <w:top w:val="single" w:sz="4" w:space="0" w:color="auto"/>
              <w:left w:val="nil"/>
              <w:bottom w:val="single" w:sz="4" w:space="0" w:color="auto"/>
              <w:right w:val="single" w:sz="4" w:space="0" w:color="000000"/>
            </w:tcBorders>
            <w:shd w:val="clear" w:color="auto" w:fill="auto"/>
            <w:vAlign w:val="center"/>
            <w:hideMark/>
          </w:tcPr>
          <w:p w:rsidR="00A53BCF" w:rsidRPr="00E43137" w:rsidRDefault="00A53BCF" w:rsidP="00A53BCF">
            <w:pPr>
              <w:jc w:val="center"/>
              <w:rPr>
                <w:rFonts w:ascii="Calibri" w:hAnsi="Calibri"/>
                <w:color w:val="000000"/>
                <w:sz w:val="18"/>
                <w:szCs w:val="18"/>
              </w:rPr>
            </w:pPr>
            <w:r w:rsidRPr="00E43137">
              <w:rPr>
                <w:rFonts w:ascii="Calibri" w:hAnsi="Calibri"/>
                <w:color w:val="000000"/>
                <w:sz w:val="18"/>
                <w:szCs w:val="18"/>
              </w:rPr>
              <w:t>Úplné stredné všeobecné, odborné a učňovské (s maturitou) a vyššie odborné vzdelanie</w:t>
            </w:r>
          </w:p>
        </w:tc>
        <w:tc>
          <w:tcPr>
            <w:tcW w:w="1104" w:type="dxa"/>
            <w:gridSpan w:val="2"/>
            <w:tcBorders>
              <w:top w:val="single" w:sz="4" w:space="0" w:color="auto"/>
              <w:left w:val="nil"/>
              <w:bottom w:val="single" w:sz="4" w:space="0" w:color="auto"/>
              <w:right w:val="single" w:sz="4" w:space="0" w:color="000000"/>
            </w:tcBorders>
            <w:shd w:val="clear" w:color="auto" w:fill="auto"/>
            <w:vAlign w:val="center"/>
            <w:hideMark/>
          </w:tcPr>
          <w:p w:rsidR="00A53BCF" w:rsidRPr="00E43137" w:rsidRDefault="00A53BCF" w:rsidP="00A53BCF">
            <w:pPr>
              <w:jc w:val="center"/>
              <w:rPr>
                <w:rFonts w:ascii="Calibri" w:hAnsi="Calibri"/>
                <w:color w:val="000000"/>
                <w:sz w:val="18"/>
                <w:szCs w:val="18"/>
              </w:rPr>
            </w:pPr>
            <w:r w:rsidRPr="00E43137">
              <w:rPr>
                <w:rFonts w:ascii="Calibri" w:hAnsi="Calibri"/>
                <w:color w:val="000000"/>
                <w:sz w:val="18"/>
                <w:szCs w:val="18"/>
              </w:rPr>
              <w:t>Všetky stupne VŠ vzdelania</w:t>
            </w:r>
          </w:p>
        </w:tc>
        <w:tc>
          <w:tcPr>
            <w:tcW w:w="1348" w:type="dxa"/>
            <w:gridSpan w:val="2"/>
            <w:tcBorders>
              <w:top w:val="single" w:sz="4" w:space="0" w:color="auto"/>
              <w:left w:val="nil"/>
              <w:bottom w:val="single" w:sz="4" w:space="0" w:color="auto"/>
              <w:right w:val="single" w:sz="4" w:space="0" w:color="000000"/>
            </w:tcBorders>
            <w:shd w:val="clear" w:color="auto" w:fill="auto"/>
            <w:vAlign w:val="center"/>
            <w:hideMark/>
          </w:tcPr>
          <w:p w:rsidR="00A53BCF" w:rsidRPr="00E43137" w:rsidRDefault="00A53BCF" w:rsidP="00A53BCF">
            <w:pPr>
              <w:jc w:val="center"/>
              <w:rPr>
                <w:rFonts w:ascii="Calibri" w:hAnsi="Calibri"/>
                <w:color w:val="000000"/>
                <w:sz w:val="18"/>
                <w:szCs w:val="18"/>
              </w:rPr>
            </w:pPr>
            <w:r w:rsidRPr="00E43137">
              <w:rPr>
                <w:rFonts w:ascii="Calibri" w:hAnsi="Calibri"/>
                <w:color w:val="000000"/>
                <w:sz w:val="18"/>
                <w:szCs w:val="18"/>
              </w:rPr>
              <w:t>Bez vzdelania (deti do 16 rokov + bez vzdelania)</w:t>
            </w:r>
          </w:p>
        </w:tc>
        <w:tc>
          <w:tcPr>
            <w:tcW w:w="1198" w:type="dxa"/>
            <w:gridSpan w:val="2"/>
            <w:tcBorders>
              <w:top w:val="single" w:sz="4" w:space="0" w:color="auto"/>
              <w:left w:val="nil"/>
              <w:bottom w:val="single" w:sz="4" w:space="0" w:color="auto"/>
              <w:right w:val="single" w:sz="4" w:space="0" w:color="auto"/>
            </w:tcBorders>
            <w:shd w:val="clear" w:color="auto" w:fill="auto"/>
            <w:noWrap/>
            <w:vAlign w:val="center"/>
            <w:hideMark/>
          </w:tcPr>
          <w:p w:rsidR="00A53BCF" w:rsidRPr="00E43137" w:rsidRDefault="00A53BCF" w:rsidP="00A53BCF">
            <w:pPr>
              <w:jc w:val="center"/>
              <w:rPr>
                <w:rFonts w:ascii="Calibri" w:hAnsi="Calibri"/>
                <w:color w:val="000000"/>
                <w:sz w:val="18"/>
                <w:szCs w:val="18"/>
              </w:rPr>
            </w:pPr>
            <w:r w:rsidRPr="00E43137">
              <w:rPr>
                <w:rFonts w:ascii="Calibri" w:hAnsi="Calibri"/>
                <w:color w:val="000000"/>
                <w:sz w:val="18"/>
                <w:szCs w:val="18"/>
              </w:rPr>
              <w:t>Nezistené</w:t>
            </w:r>
          </w:p>
        </w:tc>
      </w:tr>
      <w:tr w:rsidR="00A53BCF" w:rsidRPr="00E43137" w:rsidTr="00A53BCF">
        <w:trPr>
          <w:trHeight w:val="289"/>
        </w:trPr>
        <w:tc>
          <w:tcPr>
            <w:tcW w:w="1366" w:type="dxa"/>
            <w:vMerge/>
            <w:tcBorders>
              <w:top w:val="single" w:sz="4" w:space="0" w:color="auto"/>
              <w:left w:val="single" w:sz="4" w:space="0" w:color="auto"/>
              <w:bottom w:val="single" w:sz="4" w:space="0" w:color="000000"/>
              <w:right w:val="single" w:sz="4" w:space="0" w:color="auto"/>
            </w:tcBorders>
            <w:vAlign w:val="center"/>
            <w:hideMark/>
          </w:tcPr>
          <w:p w:rsidR="00A53BCF" w:rsidRPr="00E43137" w:rsidRDefault="00A53BCF" w:rsidP="00A53BCF">
            <w:pPr>
              <w:rPr>
                <w:rFonts w:ascii="Calibri" w:hAnsi="Calibri"/>
                <w:color w:val="000000"/>
                <w:sz w:val="18"/>
                <w:szCs w:val="18"/>
              </w:rPr>
            </w:pPr>
          </w:p>
        </w:tc>
        <w:tc>
          <w:tcPr>
            <w:tcW w:w="581" w:type="dxa"/>
            <w:tcBorders>
              <w:top w:val="nil"/>
              <w:left w:val="nil"/>
              <w:bottom w:val="single" w:sz="4" w:space="0" w:color="auto"/>
              <w:right w:val="single" w:sz="4" w:space="0" w:color="auto"/>
            </w:tcBorders>
            <w:shd w:val="clear" w:color="auto" w:fill="auto"/>
            <w:noWrap/>
            <w:vAlign w:val="bottom"/>
            <w:hideMark/>
          </w:tcPr>
          <w:p w:rsidR="00A53BCF" w:rsidRPr="00E43137" w:rsidRDefault="00A53BCF" w:rsidP="00A53BCF">
            <w:pPr>
              <w:jc w:val="right"/>
              <w:rPr>
                <w:rFonts w:ascii="Calibri" w:hAnsi="Calibri"/>
                <w:color w:val="000000"/>
                <w:sz w:val="18"/>
                <w:szCs w:val="18"/>
              </w:rPr>
            </w:pPr>
            <w:r w:rsidRPr="00E43137">
              <w:rPr>
                <w:rFonts w:ascii="Calibri" w:hAnsi="Calibri"/>
                <w:color w:val="000000"/>
                <w:sz w:val="18"/>
                <w:szCs w:val="18"/>
              </w:rPr>
              <w:t>2001</w:t>
            </w:r>
          </w:p>
        </w:tc>
        <w:tc>
          <w:tcPr>
            <w:tcW w:w="581" w:type="dxa"/>
            <w:tcBorders>
              <w:top w:val="nil"/>
              <w:left w:val="nil"/>
              <w:bottom w:val="single" w:sz="4" w:space="0" w:color="auto"/>
              <w:right w:val="single" w:sz="4" w:space="0" w:color="auto"/>
            </w:tcBorders>
            <w:shd w:val="clear" w:color="auto" w:fill="auto"/>
            <w:noWrap/>
            <w:vAlign w:val="bottom"/>
            <w:hideMark/>
          </w:tcPr>
          <w:p w:rsidR="00A53BCF" w:rsidRPr="00E43137" w:rsidRDefault="00A53BCF" w:rsidP="00A53BCF">
            <w:pPr>
              <w:jc w:val="right"/>
              <w:rPr>
                <w:rFonts w:ascii="Calibri" w:hAnsi="Calibri"/>
                <w:color w:val="000000"/>
                <w:sz w:val="18"/>
                <w:szCs w:val="18"/>
              </w:rPr>
            </w:pPr>
            <w:r w:rsidRPr="00E43137">
              <w:rPr>
                <w:rFonts w:ascii="Calibri" w:hAnsi="Calibri"/>
                <w:color w:val="000000"/>
                <w:sz w:val="18"/>
                <w:szCs w:val="18"/>
              </w:rPr>
              <w:t>2011</w:t>
            </w:r>
          </w:p>
        </w:tc>
        <w:tc>
          <w:tcPr>
            <w:tcW w:w="608" w:type="dxa"/>
            <w:tcBorders>
              <w:top w:val="nil"/>
              <w:left w:val="nil"/>
              <w:bottom w:val="single" w:sz="4" w:space="0" w:color="auto"/>
              <w:right w:val="single" w:sz="4" w:space="0" w:color="auto"/>
            </w:tcBorders>
            <w:shd w:val="clear" w:color="auto" w:fill="auto"/>
            <w:noWrap/>
            <w:vAlign w:val="bottom"/>
            <w:hideMark/>
          </w:tcPr>
          <w:p w:rsidR="00A53BCF" w:rsidRPr="00E43137" w:rsidRDefault="00A53BCF" w:rsidP="00A53BCF">
            <w:pPr>
              <w:jc w:val="right"/>
              <w:rPr>
                <w:rFonts w:ascii="Calibri" w:hAnsi="Calibri"/>
                <w:color w:val="000000"/>
                <w:sz w:val="18"/>
                <w:szCs w:val="18"/>
              </w:rPr>
            </w:pPr>
            <w:r w:rsidRPr="00E43137">
              <w:rPr>
                <w:rFonts w:ascii="Calibri" w:hAnsi="Calibri"/>
                <w:color w:val="000000"/>
                <w:sz w:val="18"/>
                <w:szCs w:val="18"/>
              </w:rPr>
              <w:t>2001</w:t>
            </w:r>
          </w:p>
        </w:tc>
        <w:tc>
          <w:tcPr>
            <w:tcW w:w="609" w:type="dxa"/>
            <w:tcBorders>
              <w:top w:val="nil"/>
              <w:left w:val="nil"/>
              <w:bottom w:val="single" w:sz="4" w:space="0" w:color="auto"/>
              <w:right w:val="single" w:sz="4" w:space="0" w:color="auto"/>
            </w:tcBorders>
            <w:shd w:val="clear" w:color="auto" w:fill="auto"/>
            <w:noWrap/>
            <w:vAlign w:val="bottom"/>
            <w:hideMark/>
          </w:tcPr>
          <w:p w:rsidR="00A53BCF" w:rsidRPr="00E43137" w:rsidRDefault="00A53BCF" w:rsidP="00A53BCF">
            <w:pPr>
              <w:jc w:val="right"/>
              <w:rPr>
                <w:rFonts w:ascii="Calibri" w:hAnsi="Calibri"/>
                <w:color w:val="000000"/>
                <w:sz w:val="18"/>
                <w:szCs w:val="18"/>
              </w:rPr>
            </w:pPr>
            <w:r w:rsidRPr="00E43137">
              <w:rPr>
                <w:rFonts w:ascii="Calibri" w:hAnsi="Calibri"/>
                <w:color w:val="000000"/>
                <w:sz w:val="18"/>
                <w:szCs w:val="18"/>
              </w:rPr>
              <w:t>2011</w:t>
            </w:r>
          </w:p>
        </w:tc>
        <w:tc>
          <w:tcPr>
            <w:tcW w:w="870" w:type="dxa"/>
            <w:tcBorders>
              <w:top w:val="nil"/>
              <w:left w:val="nil"/>
              <w:bottom w:val="single" w:sz="4" w:space="0" w:color="auto"/>
              <w:right w:val="single" w:sz="4" w:space="0" w:color="auto"/>
            </w:tcBorders>
            <w:shd w:val="clear" w:color="auto" w:fill="auto"/>
            <w:noWrap/>
            <w:vAlign w:val="bottom"/>
            <w:hideMark/>
          </w:tcPr>
          <w:p w:rsidR="00A53BCF" w:rsidRPr="00E43137" w:rsidRDefault="00A53BCF" w:rsidP="00A53BCF">
            <w:pPr>
              <w:jc w:val="right"/>
              <w:rPr>
                <w:rFonts w:ascii="Calibri" w:hAnsi="Calibri"/>
                <w:color w:val="000000"/>
                <w:sz w:val="18"/>
                <w:szCs w:val="18"/>
              </w:rPr>
            </w:pPr>
            <w:r w:rsidRPr="00E43137">
              <w:rPr>
                <w:rFonts w:ascii="Calibri" w:hAnsi="Calibri"/>
                <w:color w:val="000000"/>
                <w:sz w:val="18"/>
                <w:szCs w:val="18"/>
              </w:rPr>
              <w:t>2001</w:t>
            </w:r>
          </w:p>
        </w:tc>
        <w:tc>
          <w:tcPr>
            <w:tcW w:w="870" w:type="dxa"/>
            <w:tcBorders>
              <w:top w:val="nil"/>
              <w:left w:val="nil"/>
              <w:bottom w:val="single" w:sz="4" w:space="0" w:color="auto"/>
              <w:right w:val="single" w:sz="4" w:space="0" w:color="auto"/>
            </w:tcBorders>
            <w:shd w:val="clear" w:color="auto" w:fill="auto"/>
            <w:noWrap/>
            <w:vAlign w:val="bottom"/>
            <w:hideMark/>
          </w:tcPr>
          <w:p w:rsidR="00A53BCF" w:rsidRPr="00E43137" w:rsidRDefault="00A53BCF" w:rsidP="00A53BCF">
            <w:pPr>
              <w:jc w:val="right"/>
              <w:rPr>
                <w:rFonts w:ascii="Calibri" w:hAnsi="Calibri"/>
                <w:color w:val="000000"/>
                <w:sz w:val="18"/>
                <w:szCs w:val="18"/>
              </w:rPr>
            </w:pPr>
            <w:r w:rsidRPr="00E43137">
              <w:rPr>
                <w:rFonts w:ascii="Calibri" w:hAnsi="Calibri"/>
                <w:color w:val="000000"/>
                <w:sz w:val="18"/>
                <w:szCs w:val="18"/>
              </w:rPr>
              <w:t>2011</w:t>
            </w:r>
          </w:p>
        </w:tc>
        <w:tc>
          <w:tcPr>
            <w:tcW w:w="552" w:type="dxa"/>
            <w:tcBorders>
              <w:top w:val="nil"/>
              <w:left w:val="nil"/>
              <w:bottom w:val="single" w:sz="4" w:space="0" w:color="auto"/>
              <w:right w:val="single" w:sz="4" w:space="0" w:color="auto"/>
            </w:tcBorders>
            <w:shd w:val="clear" w:color="auto" w:fill="auto"/>
            <w:noWrap/>
            <w:vAlign w:val="bottom"/>
            <w:hideMark/>
          </w:tcPr>
          <w:p w:rsidR="00A53BCF" w:rsidRPr="00E43137" w:rsidRDefault="00A53BCF" w:rsidP="00A53BCF">
            <w:pPr>
              <w:jc w:val="right"/>
              <w:rPr>
                <w:rFonts w:ascii="Calibri" w:hAnsi="Calibri"/>
                <w:color w:val="000000"/>
                <w:sz w:val="18"/>
                <w:szCs w:val="18"/>
              </w:rPr>
            </w:pPr>
            <w:r w:rsidRPr="00E43137">
              <w:rPr>
                <w:rFonts w:ascii="Calibri" w:hAnsi="Calibri"/>
                <w:color w:val="000000"/>
                <w:sz w:val="18"/>
                <w:szCs w:val="18"/>
              </w:rPr>
              <w:t>2001</w:t>
            </w:r>
          </w:p>
        </w:tc>
        <w:tc>
          <w:tcPr>
            <w:tcW w:w="552" w:type="dxa"/>
            <w:tcBorders>
              <w:top w:val="nil"/>
              <w:left w:val="nil"/>
              <w:bottom w:val="single" w:sz="4" w:space="0" w:color="auto"/>
              <w:right w:val="single" w:sz="4" w:space="0" w:color="auto"/>
            </w:tcBorders>
            <w:shd w:val="clear" w:color="auto" w:fill="auto"/>
            <w:noWrap/>
            <w:vAlign w:val="bottom"/>
            <w:hideMark/>
          </w:tcPr>
          <w:p w:rsidR="00A53BCF" w:rsidRPr="00E43137" w:rsidRDefault="00A53BCF" w:rsidP="00A53BCF">
            <w:pPr>
              <w:jc w:val="right"/>
              <w:rPr>
                <w:rFonts w:ascii="Calibri" w:hAnsi="Calibri"/>
                <w:color w:val="000000"/>
                <w:sz w:val="18"/>
                <w:szCs w:val="18"/>
              </w:rPr>
            </w:pPr>
            <w:r w:rsidRPr="00E43137">
              <w:rPr>
                <w:rFonts w:ascii="Calibri" w:hAnsi="Calibri"/>
                <w:color w:val="000000"/>
                <w:sz w:val="18"/>
                <w:szCs w:val="18"/>
              </w:rPr>
              <w:t>2011</w:t>
            </w:r>
          </w:p>
        </w:tc>
        <w:tc>
          <w:tcPr>
            <w:tcW w:w="674" w:type="dxa"/>
            <w:tcBorders>
              <w:top w:val="nil"/>
              <w:left w:val="nil"/>
              <w:bottom w:val="single" w:sz="4" w:space="0" w:color="auto"/>
              <w:right w:val="single" w:sz="4" w:space="0" w:color="auto"/>
            </w:tcBorders>
            <w:shd w:val="clear" w:color="auto" w:fill="auto"/>
            <w:noWrap/>
            <w:vAlign w:val="bottom"/>
            <w:hideMark/>
          </w:tcPr>
          <w:p w:rsidR="00A53BCF" w:rsidRPr="00E43137" w:rsidRDefault="00A53BCF" w:rsidP="00A53BCF">
            <w:pPr>
              <w:jc w:val="right"/>
              <w:rPr>
                <w:rFonts w:ascii="Calibri" w:hAnsi="Calibri"/>
                <w:color w:val="000000"/>
                <w:sz w:val="18"/>
                <w:szCs w:val="18"/>
              </w:rPr>
            </w:pPr>
            <w:r w:rsidRPr="00E43137">
              <w:rPr>
                <w:rFonts w:ascii="Calibri" w:hAnsi="Calibri"/>
                <w:color w:val="000000"/>
                <w:sz w:val="18"/>
                <w:szCs w:val="18"/>
              </w:rPr>
              <w:t>2001</w:t>
            </w:r>
          </w:p>
        </w:tc>
        <w:tc>
          <w:tcPr>
            <w:tcW w:w="675" w:type="dxa"/>
            <w:tcBorders>
              <w:top w:val="nil"/>
              <w:left w:val="nil"/>
              <w:bottom w:val="single" w:sz="4" w:space="0" w:color="auto"/>
              <w:right w:val="single" w:sz="4" w:space="0" w:color="auto"/>
            </w:tcBorders>
            <w:shd w:val="clear" w:color="auto" w:fill="auto"/>
            <w:noWrap/>
            <w:vAlign w:val="bottom"/>
            <w:hideMark/>
          </w:tcPr>
          <w:p w:rsidR="00A53BCF" w:rsidRPr="00E43137" w:rsidRDefault="00A53BCF" w:rsidP="00A53BCF">
            <w:pPr>
              <w:jc w:val="right"/>
              <w:rPr>
                <w:rFonts w:ascii="Calibri" w:hAnsi="Calibri"/>
                <w:color w:val="000000"/>
                <w:sz w:val="18"/>
                <w:szCs w:val="18"/>
              </w:rPr>
            </w:pPr>
            <w:r w:rsidRPr="00E43137">
              <w:rPr>
                <w:rFonts w:ascii="Calibri" w:hAnsi="Calibri"/>
                <w:color w:val="000000"/>
                <w:sz w:val="18"/>
                <w:szCs w:val="18"/>
              </w:rPr>
              <w:t>2011</w:t>
            </w:r>
          </w:p>
        </w:tc>
        <w:tc>
          <w:tcPr>
            <w:tcW w:w="599" w:type="dxa"/>
            <w:tcBorders>
              <w:top w:val="nil"/>
              <w:left w:val="nil"/>
              <w:bottom w:val="single" w:sz="4" w:space="0" w:color="auto"/>
              <w:right w:val="single" w:sz="4" w:space="0" w:color="auto"/>
            </w:tcBorders>
            <w:shd w:val="clear" w:color="auto" w:fill="auto"/>
            <w:noWrap/>
            <w:vAlign w:val="bottom"/>
            <w:hideMark/>
          </w:tcPr>
          <w:p w:rsidR="00A53BCF" w:rsidRPr="00E43137" w:rsidRDefault="00A53BCF" w:rsidP="00A53BCF">
            <w:pPr>
              <w:jc w:val="right"/>
              <w:rPr>
                <w:rFonts w:ascii="Calibri" w:hAnsi="Calibri"/>
                <w:color w:val="000000"/>
                <w:sz w:val="18"/>
                <w:szCs w:val="18"/>
              </w:rPr>
            </w:pPr>
            <w:r w:rsidRPr="00E43137">
              <w:rPr>
                <w:rFonts w:ascii="Calibri" w:hAnsi="Calibri"/>
                <w:color w:val="000000"/>
                <w:sz w:val="18"/>
                <w:szCs w:val="18"/>
              </w:rPr>
              <w:t>2001</w:t>
            </w:r>
          </w:p>
        </w:tc>
        <w:tc>
          <w:tcPr>
            <w:tcW w:w="599" w:type="dxa"/>
            <w:tcBorders>
              <w:top w:val="nil"/>
              <w:left w:val="nil"/>
              <w:bottom w:val="single" w:sz="4" w:space="0" w:color="auto"/>
              <w:right w:val="single" w:sz="4" w:space="0" w:color="auto"/>
            </w:tcBorders>
            <w:shd w:val="clear" w:color="auto" w:fill="auto"/>
            <w:noWrap/>
            <w:vAlign w:val="bottom"/>
            <w:hideMark/>
          </w:tcPr>
          <w:p w:rsidR="00A53BCF" w:rsidRPr="00E43137" w:rsidRDefault="00A53BCF" w:rsidP="00A53BCF">
            <w:pPr>
              <w:jc w:val="right"/>
              <w:rPr>
                <w:rFonts w:ascii="Calibri" w:hAnsi="Calibri"/>
                <w:color w:val="000000"/>
                <w:sz w:val="18"/>
                <w:szCs w:val="18"/>
              </w:rPr>
            </w:pPr>
            <w:r w:rsidRPr="00E43137">
              <w:rPr>
                <w:rFonts w:ascii="Calibri" w:hAnsi="Calibri"/>
                <w:color w:val="000000"/>
                <w:sz w:val="18"/>
                <w:szCs w:val="18"/>
              </w:rPr>
              <w:t>2011</w:t>
            </w:r>
          </w:p>
        </w:tc>
      </w:tr>
      <w:tr w:rsidR="00A53BCF" w:rsidRPr="00E43137" w:rsidTr="00A53BCF">
        <w:trPr>
          <w:trHeight w:val="771"/>
        </w:trPr>
        <w:tc>
          <w:tcPr>
            <w:tcW w:w="1366" w:type="dxa"/>
            <w:tcBorders>
              <w:top w:val="nil"/>
              <w:left w:val="single" w:sz="4" w:space="0" w:color="auto"/>
              <w:bottom w:val="single" w:sz="4" w:space="0" w:color="auto"/>
              <w:right w:val="single" w:sz="4" w:space="0" w:color="auto"/>
            </w:tcBorders>
            <w:shd w:val="clear" w:color="auto" w:fill="auto"/>
            <w:vAlign w:val="bottom"/>
            <w:hideMark/>
          </w:tcPr>
          <w:p w:rsidR="00A53BCF" w:rsidRPr="00E43137" w:rsidRDefault="00A53BCF" w:rsidP="00A53BCF">
            <w:pPr>
              <w:rPr>
                <w:rFonts w:ascii="Calibri" w:hAnsi="Calibri"/>
                <w:color w:val="000000"/>
                <w:sz w:val="18"/>
                <w:szCs w:val="18"/>
              </w:rPr>
            </w:pPr>
            <w:r w:rsidRPr="00E43137">
              <w:rPr>
                <w:rFonts w:ascii="Calibri" w:hAnsi="Calibri"/>
                <w:color w:val="000000"/>
                <w:sz w:val="18"/>
                <w:szCs w:val="18"/>
              </w:rPr>
              <w:t>Predominantly urban (prevažne mestské)</w:t>
            </w:r>
          </w:p>
        </w:tc>
        <w:tc>
          <w:tcPr>
            <w:tcW w:w="581" w:type="dxa"/>
            <w:tcBorders>
              <w:top w:val="nil"/>
              <w:left w:val="nil"/>
              <w:bottom w:val="single" w:sz="4" w:space="0" w:color="auto"/>
              <w:right w:val="single" w:sz="4" w:space="0" w:color="auto"/>
            </w:tcBorders>
            <w:shd w:val="clear" w:color="auto" w:fill="auto"/>
            <w:noWrap/>
            <w:vAlign w:val="bottom"/>
            <w:hideMark/>
          </w:tcPr>
          <w:p w:rsidR="00A53BCF" w:rsidRPr="00E43137" w:rsidRDefault="00A53BCF" w:rsidP="00A53BCF">
            <w:pPr>
              <w:jc w:val="right"/>
              <w:rPr>
                <w:rFonts w:ascii="Calibri" w:hAnsi="Calibri"/>
                <w:color w:val="000000"/>
                <w:sz w:val="18"/>
                <w:szCs w:val="18"/>
              </w:rPr>
            </w:pPr>
            <w:r w:rsidRPr="00E43137">
              <w:rPr>
                <w:rFonts w:ascii="Calibri" w:hAnsi="Calibri"/>
                <w:color w:val="000000"/>
                <w:sz w:val="18"/>
                <w:szCs w:val="18"/>
              </w:rPr>
              <w:t>15,2</w:t>
            </w:r>
          </w:p>
        </w:tc>
        <w:tc>
          <w:tcPr>
            <w:tcW w:w="581" w:type="dxa"/>
            <w:tcBorders>
              <w:top w:val="nil"/>
              <w:left w:val="nil"/>
              <w:bottom w:val="single" w:sz="4" w:space="0" w:color="auto"/>
              <w:right w:val="single" w:sz="4" w:space="0" w:color="auto"/>
            </w:tcBorders>
            <w:shd w:val="clear" w:color="auto" w:fill="auto"/>
            <w:noWrap/>
            <w:vAlign w:val="bottom"/>
            <w:hideMark/>
          </w:tcPr>
          <w:p w:rsidR="00A53BCF" w:rsidRPr="00E43137" w:rsidRDefault="00A53BCF" w:rsidP="00A53BCF">
            <w:pPr>
              <w:jc w:val="right"/>
              <w:rPr>
                <w:rFonts w:ascii="Calibri" w:hAnsi="Calibri"/>
                <w:color w:val="000000"/>
                <w:sz w:val="18"/>
                <w:szCs w:val="18"/>
              </w:rPr>
            </w:pPr>
            <w:r w:rsidRPr="00E43137">
              <w:rPr>
                <w:rFonts w:ascii="Calibri" w:hAnsi="Calibri"/>
                <w:color w:val="000000"/>
                <w:sz w:val="18"/>
                <w:szCs w:val="18"/>
              </w:rPr>
              <w:t>9,6</w:t>
            </w:r>
          </w:p>
        </w:tc>
        <w:tc>
          <w:tcPr>
            <w:tcW w:w="608" w:type="dxa"/>
            <w:tcBorders>
              <w:top w:val="nil"/>
              <w:left w:val="nil"/>
              <w:bottom w:val="single" w:sz="4" w:space="0" w:color="auto"/>
              <w:right w:val="single" w:sz="4" w:space="0" w:color="auto"/>
            </w:tcBorders>
            <w:shd w:val="clear" w:color="auto" w:fill="auto"/>
            <w:noWrap/>
            <w:vAlign w:val="bottom"/>
            <w:hideMark/>
          </w:tcPr>
          <w:p w:rsidR="00A53BCF" w:rsidRPr="00E43137" w:rsidRDefault="00A53BCF" w:rsidP="00A53BCF">
            <w:pPr>
              <w:jc w:val="right"/>
              <w:rPr>
                <w:rFonts w:ascii="Calibri" w:hAnsi="Calibri"/>
                <w:color w:val="000000"/>
                <w:sz w:val="18"/>
                <w:szCs w:val="18"/>
              </w:rPr>
            </w:pPr>
            <w:r w:rsidRPr="00E43137">
              <w:rPr>
                <w:rFonts w:ascii="Calibri" w:hAnsi="Calibri"/>
                <w:color w:val="000000"/>
                <w:sz w:val="18"/>
                <w:szCs w:val="18"/>
              </w:rPr>
              <w:t>19,2</w:t>
            </w:r>
          </w:p>
        </w:tc>
        <w:tc>
          <w:tcPr>
            <w:tcW w:w="609" w:type="dxa"/>
            <w:tcBorders>
              <w:top w:val="nil"/>
              <w:left w:val="nil"/>
              <w:bottom w:val="single" w:sz="4" w:space="0" w:color="auto"/>
              <w:right w:val="single" w:sz="4" w:space="0" w:color="auto"/>
            </w:tcBorders>
            <w:shd w:val="clear" w:color="auto" w:fill="auto"/>
            <w:noWrap/>
            <w:vAlign w:val="bottom"/>
            <w:hideMark/>
          </w:tcPr>
          <w:p w:rsidR="00A53BCF" w:rsidRPr="00E43137" w:rsidRDefault="00A53BCF" w:rsidP="00A53BCF">
            <w:pPr>
              <w:jc w:val="right"/>
              <w:rPr>
                <w:rFonts w:ascii="Calibri" w:hAnsi="Calibri"/>
                <w:color w:val="000000"/>
                <w:sz w:val="18"/>
                <w:szCs w:val="18"/>
              </w:rPr>
            </w:pPr>
            <w:r w:rsidRPr="00E43137">
              <w:rPr>
                <w:rFonts w:ascii="Calibri" w:hAnsi="Calibri"/>
                <w:color w:val="000000"/>
                <w:sz w:val="18"/>
                <w:szCs w:val="18"/>
              </w:rPr>
              <w:t>17,1</w:t>
            </w:r>
          </w:p>
        </w:tc>
        <w:tc>
          <w:tcPr>
            <w:tcW w:w="870" w:type="dxa"/>
            <w:tcBorders>
              <w:top w:val="nil"/>
              <w:left w:val="nil"/>
              <w:bottom w:val="single" w:sz="4" w:space="0" w:color="auto"/>
              <w:right w:val="single" w:sz="4" w:space="0" w:color="auto"/>
            </w:tcBorders>
            <w:shd w:val="clear" w:color="auto" w:fill="auto"/>
            <w:noWrap/>
            <w:vAlign w:val="bottom"/>
            <w:hideMark/>
          </w:tcPr>
          <w:p w:rsidR="00A53BCF" w:rsidRPr="00E43137" w:rsidRDefault="00A53BCF" w:rsidP="00A53BCF">
            <w:pPr>
              <w:jc w:val="right"/>
              <w:rPr>
                <w:rFonts w:ascii="Calibri" w:hAnsi="Calibri"/>
                <w:color w:val="000000"/>
                <w:sz w:val="18"/>
                <w:szCs w:val="18"/>
              </w:rPr>
            </w:pPr>
            <w:r w:rsidRPr="00E43137">
              <w:rPr>
                <w:rFonts w:ascii="Calibri" w:hAnsi="Calibri"/>
                <w:color w:val="000000"/>
                <w:sz w:val="18"/>
                <w:szCs w:val="18"/>
              </w:rPr>
              <w:t>29,8</w:t>
            </w:r>
          </w:p>
        </w:tc>
        <w:tc>
          <w:tcPr>
            <w:tcW w:w="870" w:type="dxa"/>
            <w:tcBorders>
              <w:top w:val="nil"/>
              <w:left w:val="nil"/>
              <w:bottom w:val="single" w:sz="4" w:space="0" w:color="auto"/>
              <w:right w:val="single" w:sz="4" w:space="0" w:color="auto"/>
            </w:tcBorders>
            <w:shd w:val="clear" w:color="auto" w:fill="auto"/>
            <w:noWrap/>
            <w:vAlign w:val="bottom"/>
            <w:hideMark/>
          </w:tcPr>
          <w:p w:rsidR="00A53BCF" w:rsidRPr="00E43137" w:rsidRDefault="00A53BCF" w:rsidP="00A53BCF">
            <w:pPr>
              <w:jc w:val="right"/>
              <w:rPr>
                <w:rFonts w:ascii="Calibri" w:hAnsi="Calibri"/>
                <w:color w:val="000000"/>
                <w:sz w:val="18"/>
                <w:szCs w:val="18"/>
              </w:rPr>
            </w:pPr>
            <w:r w:rsidRPr="00E43137">
              <w:rPr>
                <w:rFonts w:ascii="Calibri" w:hAnsi="Calibri"/>
                <w:color w:val="000000"/>
                <w:sz w:val="18"/>
                <w:szCs w:val="18"/>
              </w:rPr>
              <w:t>32,0</w:t>
            </w:r>
          </w:p>
        </w:tc>
        <w:tc>
          <w:tcPr>
            <w:tcW w:w="552" w:type="dxa"/>
            <w:tcBorders>
              <w:top w:val="nil"/>
              <w:left w:val="nil"/>
              <w:bottom w:val="single" w:sz="4" w:space="0" w:color="auto"/>
              <w:right w:val="single" w:sz="4" w:space="0" w:color="auto"/>
            </w:tcBorders>
            <w:shd w:val="clear" w:color="auto" w:fill="auto"/>
            <w:noWrap/>
            <w:vAlign w:val="bottom"/>
            <w:hideMark/>
          </w:tcPr>
          <w:p w:rsidR="00A53BCF" w:rsidRPr="00E43137" w:rsidRDefault="00A53BCF" w:rsidP="00A53BCF">
            <w:pPr>
              <w:jc w:val="right"/>
              <w:rPr>
                <w:rFonts w:ascii="Calibri" w:hAnsi="Calibri"/>
                <w:color w:val="000000"/>
                <w:sz w:val="18"/>
                <w:szCs w:val="18"/>
              </w:rPr>
            </w:pPr>
            <w:r w:rsidRPr="00E43137">
              <w:rPr>
                <w:rFonts w:ascii="Calibri" w:hAnsi="Calibri"/>
                <w:color w:val="000000"/>
                <w:sz w:val="18"/>
                <w:szCs w:val="18"/>
              </w:rPr>
              <w:t>17,0</w:t>
            </w:r>
          </w:p>
        </w:tc>
        <w:tc>
          <w:tcPr>
            <w:tcW w:w="552" w:type="dxa"/>
            <w:tcBorders>
              <w:top w:val="nil"/>
              <w:left w:val="nil"/>
              <w:bottom w:val="single" w:sz="4" w:space="0" w:color="auto"/>
              <w:right w:val="single" w:sz="4" w:space="0" w:color="auto"/>
            </w:tcBorders>
            <w:shd w:val="clear" w:color="auto" w:fill="auto"/>
            <w:noWrap/>
            <w:vAlign w:val="bottom"/>
            <w:hideMark/>
          </w:tcPr>
          <w:p w:rsidR="00A53BCF" w:rsidRPr="00E43137" w:rsidRDefault="00A53BCF" w:rsidP="00A53BCF">
            <w:pPr>
              <w:jc w:val="right"/>
              <w:rPr>
                <w:rFonts w:ascii="Calibri" w:hAnsi="Calibri"/>
                <w:color w:val="000000"/>
                <w:sz w:val="18"/>
                <w:szCs w:val="18"/>
              </w:rPr>
            </w:pPr>
            <w:r w:rsidRPr="00E43137">
              <w:rPr>
                <w:rFonts w:ascii="Calibri" w:hAnsi="Calibri"/>
                <w:color w:val="000000"/>
                <w:sz w:val="18"/>
                <w:szCs w:val="18"/>
              </w:rPr>
              <w:t>26,2</w:t>
            </w:r>
          </w:p>
        </w:tc>
        <w:tc>
          <w:tcPr>
            <w:tcW w:w="674" w:type="dxa"/>
            <w:tcBorders>
              <w:top w:val="nil"/>
              <w:left w:val="nil"/>
              <w:bottom w:val="single" w:sz="4" w:space="0" w:color="auto"/>
              <w:right w:val="single" w:sz="4" w:space="0" w:color="auto"/>
            </w:tcBorders>
            <w:shd w:val="clear" w:color="auto" w:fill="auto"/>
            <w:noWrap/>
            <w:vAlign w:val="bottom"/>
            <w:hideMark/>
          </w:tcPr>
          <w:p w:rsidR="00A53BCF" w:rsidRPr="00E43137" w:rsidRDefault="00A53BCF" w:rsidP="00A53BCF">
            <w:pPr>
              <w:jc w:val="right"/>
              <w:rPr>
                <w:rFonts w:ascii="Calibri" w:hAnsi="Calibri"/>
                <w:color w:val="000000"/>
                <w:sz w:val="18"/>
                <w:szCs w:val="18"/>
              </w:rPr>
            </w:pPr>
            <w:r w:rsidRPr="00E43137">
              <w:rPr>
                <w:rFonts w:ascii="Calibri" w:hAnsi="Calibri"/>
                <w:color w:val="000000"/>
                <w:sz w:val="18"/>
                <w:szCs w:val="18"/>
              </w:rPr>
              <w:t>16,2</w:t>
            </w:r>
          </w:p>
        </w:tc>
        <w:tc>
          <w:tcPr>
            <w:tcW w:w="675" w:type="dxa"/>
            <w:tcBorders>
              <w:top w:val="nil"/>
              <w:left w:val="nil"/>
              <w:bottom w:val="single" w:sz="4" w:space="0" w:color="auto"/>
              <w:right w:val="single" w:sz="4" w:space="0" w:color="auto"/>
            </w:tcBorders>
            <w:shd w:val="clear" w:color="auto" w:fill="auto"/>
            <w:noWrap/>
            <w:vAlign w:val="bottom"/>
            <w:hideMark/>
          </w:tcPr>
          <w:p w:rsidR="00A53BCF" w:rsidRPr="00E43137" w:rsidRDefault="00A53BCF" w:rsidP="00A53BCF">
            <w:pPr>
              <w:jc w:val="right"/>
              <w:rPr>
                <w:rFonts w:ascii="Calibri" w:hAnsi="Calibri"/>
                <w:color w:val="000000"/>
                <w:sz w:val="18"/>
                <w:szCs w:val="18"/>
              </w:rPr>
            </w:pPr>
            <w:r w:rsidRPr="00E43137">
              <w:rPr>
                <w:rFonts w:ascii="Calibri" w:hAnsi="Calibri"/>
                <w:color w:val="000000"/>
                <w:sz w:val="18"/>
                <w:szCs w:val="18"/>
              </w:rPr>
              <w:t>13,7</w:t>
            </w:r>
          </w:p>
        </w:tc>
        <w:tc>
          <w:tcPr>
            <w:tcW w:w="599" w:type="dxa"/>
            <w:tcBorders>
              <w:top w:val="nil"/>
              <w:left w:val="nil"/>
              <w:bottom w:val="single" w:sz="4" w:space="0" w:color="auto"/>
              <w:right w:val="single" w:sz="4" w:space="0" w:color="auto"/>
            </w:tcBorders>
            <w:shd w:val="clear" w:color="auto" w:fill="auto"/>
            <w:noWrap/>
            <w:vAlign w:val="bottom"/>
            <w:hideMark/>
          </w:tcPr>
          <w:p w:rsidR="00A53BCF" w:rsidRPr="00E43137" w:rsidRDefault="00A53BCF" w:rsidP="00A53BCF">
            <w:pPr>
              <w:jc w:val="right"/>
              <w:rPr>
                <w:rFonts w:ascii="Calibri" w:hAnsi="Calibri"/>
                <w:color w:val="000000"/>
                <w:sz w:val="18"/>
                <w:szCs w:val="18"/>
              </w:rPr>
            </w:pPr>
            <w:r w:rsidRPr="00E43137">
              <w:rPr>
                <w:rFonts w:ascii="Calibri" w:hAnsi="Calibri"/>
                <w:color w:val="000000"/>
                <w:sz w:val="18"/>
                <w:szCs w:val="18"/>
              </w:rPr>
              <w:t>2,6</w:t>
            </w:r>
          </w:p>
        </w:tc>
        <w:tc>
          <w:tcPr>
            <w:tcW w:w="599" w:type="dxa"/>
            <w:tcBorders>
              <w:top w:val="nil"/>
              <w:left w:val="nil"/>
              <w:bottom w:val="single" w:sz="4" w:space="0" w:color="auto"/>
              <w:right w:val="single" w:sz="4" w:space="0" w:color="auto"/>
            </w:tcBorders>
            <w:shd w:val="clear" w:color="auto" w:fill="auto"/>
            <w:noWrap/>
            <w:vAlign w:val="bottom"/>
            <w:hideMark/>
          </w:tcPr>
          <w:p w:rsidR="00A53BCF" w:rsidRPr="00E43137" w:rsidRDefault="00A53BCF" w:rsidP="00A53BCF">
            <w:pPr>
              <w:jc w:val="right"/>
              <w:rPr>
                <w:rFonts w:ascii="Calibri" w:hAnsi="Calibri"/>
                <w:color w:val="000000"/>
                <w:sz w:val="18"/>
                <w:szCs w:val="18"/>
              </w:rPr>
            </w:pPr>
            <w:r w:rsidRPr="00E43137">
              <w:rPr>
                <w:rFonts w:ascii="Calibri" w:hAnsi="Calibri"/>
                <w:color w:val="000000"/>
                <w:sz w:val="18"/>
                <w:szCs w:val="18"/>
              </w:rPr>
              <w:t>1,5</w:t>
            </w:r>
          </w:p>
        </w:tc>
      </w:tr>
      <w:tr w:rsidR="00A53BCF" w:rsidRPr="00E43137" w:rsidTr="00A53BCF">
        <w:trPr>
          <w:trHeight w:val="272"/>
        </w:trPr>
        <w:tc>
          <w:tcPr>
            <w:tcW w:w="1366" w:type="dxa"/>
            <w:tcBorders>
              <w:top w:val="nil"/>
              <w:left w:val="single" w:sz="4" w:space="0" w:color="auto"/>
              <w:bottom w:val="single" w:sz="4" w:space="0" w:color="auto"/>
              <w:right w:val="single" w:sz="4" w:space="0" w:color="auto"/>
            </w:tcBorders>
            <w:shd w:val="clear" w:color="auto" w:fill="auto"/>
            <w:vAlign w:val="bottom"/>
            <w:hideMark/>
          </w:tcPr>
          <w:p w:rsidR="00A53BCF" w:rsidRPr="00E43137" w:rsidRDefault="00A53BCF" w:rsidP="00A53BCF">
            <w:pPr>
              <w:rPr>
                <w:rFonts w:ascii="Calibri" w:hAnsi="Calibri"/>
                <w:color w:val="000000"/>
                <w:sz w:val="18"/>
                <w:szCs w:val="18"/>
              </w:rPr>
            </w:pPr>
            <w:r w:rsidRPr="00E43137">
              <w:rPr>
                <w:rFonts w:ascii="Calibri" w:hAnsi="Calibri"/>
                <w:color w:val="000000"/>
                <w:sz w:val="18"/>
                <w:szCs w:val="18"/>
              </w:rPr>
              <w:t>Vidiecke spolu</w:t>
            </w:r>
          </w:p>
        </w:tc>
        <w:tc>
          <w:tcPr>
            <w:tcW w:w="581" w:type="dxa"/>
            <w:tcBorders>
              <w:top w:val="nil"/>
              <w:left w:val="nil"/>
              <w:bottom w:val="single" w:sz="4" w:space="0" w:color="auto"/>
              <w:right w:val="single" w:sz="4" w:space="0" w:color="auto"/>
            </w:tcBorders>
            <w:shd w:val="clear" w:color="auto" w:fill="auto"/>
            <w:noWrap/>
            <w:vAlign w:val="bottom"/>
            <w:hideMark/>
          </w:tcPr>
          <w:p w:rsidR="00A53BCF" w:rsidRPr="00E43137" w:rsidRDefault="00A53BCF" w:rsidP="00A53BCF">
            <w:pPr>
              <w:jc w:val="right"/>
              <w:rPr>
                <w:rFonts w:ascii="Calibri" w:hAnsi="Calibri"/>
                <w:color w:val="000000"/>
                <w:sz w:val="18"/>
                <w:szCs w:val="18"/>
              </w:rPr>
            </w:pPr>
            <w:r w:rsidRPr="00E43137">
              <w:rPr>
                <w:rFonts w:ascii="Calibri" w:hAnsi="Calibri"/>
                <w:color w:val="000000"/>
                <w:sz w:val="18"/>
                <w:szCs w:val="18"/>
              </w:rPr>
              <w:t>21,8</w:t>
            </w:r>
          </w:p>
        </w:tc>
        <w:tc>
          <w:tcPr>
            <w:tcW w:w="581" w:type="dxa"/>
            <w:tcBorders>
              <w:top w:val="nil"/>
              <w:left w:val="nil"/>
              <w:bottom w:val="single" w:sz="4" w:space="0" w:color="auto"/>
              <w:right w:val="single" w:sz="4" w:space="0" w:color="auto"/>
            </w:tcBorders>
            <w:shd w:val="clear" w:color="auto" w:fill="auto"/>
            <w:noWrap/>
            <w:vAlign w:val="bottom"/>
            <w:hideMark/>
          </w:tcPr>
          <w:p w:rsidR="00A53BCF" w:rsidRPr="00E43137" w:rsidRDefault="00A53BCF" w:rsidP="00A53BCF">
            <w:pPr>
              <w:jc w:val="right"/>
              <w:rPr>
                <w:rFonts w:ascii="Calibri" w:hAnsi="Calibri"/>
                <w:color w:val="000000"/>
                <w:sz w:val="18"/>
                <w:szCs w:val="18"/>
              </w:rPr>
            </w:pPr>
            <w:r w:rsidRPr="00E43137">
              <w:rPr>
                <w:rFonts w:ascii="Calibri" w:hAnsi="Calibri"/>
                <w:color w:val="000000"/>
                <w:sz w:val="18"/>
                <w:szCs w:val="18"/>
              </w:rPr>
              <w:t>15,7</w:t>
            </w:r>
          </w:p>
        </w:tc>
        <w:tc>
          <w:tcPr>
            <w:tcW w:w="608" w:type="dxa"/>
            <w:tcBorders>
              <w:top w:val="nil"/>
              <w:left w:val="nil"/>
              <w:bottom w:val="single" w:sz="4" w:space="0" w:color="auto"/>
              <w:right w:val="single" w:sz="4" w:space="0" w:color="auto"/>
            </w:tcBorders>
            <w:shd w:val="clear" w:color="auto" w:fill="auto"/>
            <w:noWrap/>
            <w:vAlign w:val="bottom"/>
            <w:hideMark/>
          </w:tcPr>
          <w:p w:rsidR="00A53BCF" w:rsidRPr="00E43137" w:rsidRDefault="00A53BCF" w:rsidP="00A53BCF">
            <w:pPr>
              <w:jc w:val="right"/>
              <w:rPr>
                <w:rFonts w:ascii="Calibri" w:hAnsi="Calibri"/>
                <w:color w:val="000000"/>
                <w:sz w:val="18"/>
                <w:szCs w:val="18"/>
              </w:rPr>
            </w:pPr>
            <w:r w:rsidRPr="00E43137">
              <w:rPr>
                <w:rFonts w:ascii="Calibri" w:hAnsi="Calibri"/>
                <w:color w:val="000000"/>
                <w:sz w:val="18"/>
                <w:szCs w:val="18"/>
              </w:rPr>
              <w:t>24,0</w:t>
            </w:r>
          </w:p>
        </w:tc>
        <w:tc>
          <w:tcPr>
            <w:tcW w:w="609" w:type="dxa"/>
            <w:tcBorders>
              <w:top w:val="nil"/>
              <w:left w:val="nil"/>
              <w:bottom w:val="single" w:sz="4" w:space="0" w:color="auto"/>
              <w:right w:val="single" w:sz="4" w:space="0" w:color="auto"/>
            </w:tcBorders>
            <w:shd w:val="clear" w:color="auto" w:fill="auto"/>
            <w:noWrap/>
            <w:vAlign w:val="bottom"/>
            <w:hideMark/>
          </w:tcPr>
          <w:p w:rsidR="00A53BCF" w:rsidRPr="00E43137" w:rsidRDefault="00A53BCF" w:rsidP="00A53BCF">
            <w:pPr>
              <w:jc w:val="right"/>
              <w:rPr>
                <w:rFonts w:ascii="Calibri" w:hAnsi="Calibri"/>
                <w:color w:val="000000"/>
                <w:sz w:val="18"/>
                <w:szCs w:val="18"/>
              </w:rPr>
            </w:pPr>
            <w:r w:rsidRPr="00E43137">
              <w:rPr>
                <w:rFonts w:ascii="Calibri" w:hAnsi="Calibri"/>
                <w:color w:val="000000"/>
                <w:sz w:val="18"/>
                <w:szCs w:val="18"/>
              </w:rPr>
              <w:t>23,8</w:t>
            </w:r>
          </w:p>
        </w:tc>
        <w:tc>
          <w:tcPr>
            <w:tcW w:w="870" w:type="dxa"/>
            <w:tcBorders>
              <w:top w:val="nil"/>
              <w:left w:val="nil"/>
              <w:bottom w:val="single" w:sz="4" w:space="0" w:color="auto"/>
              <w:right w:val="single" w:sz="4" w:space="0" w:color="auto"/>
            </w:tcBorders>
            <w:shd w:val="clear" w:color="auto" w:fill="auto"/>
            <w:noWrap/>
            <w:vAlign w:val="bottom"/>
            <w:hideMark/>
          </w:tcPr>
          <w:p w:rsidR="00A53BCF" w:rsidRPr="00E43137" w:rsidRDefault="00A53BCF" w:rsidP="00A53BCF">
            <w:pPr>
              <w:jc w:val="right"/>
              <w:rPr>
                <w:rFonts w:ascii="Calibri" w:hAnsi="Calibri"/>
                <w:color w:val="000000"/>
                <w:sz w:val="18"/>
                <w:szCs w:val="18"/>
              </w:rPr>
            </w:pPr>
            <w:r w:rsidRPr="00E43137">
              <w:rPr>
                <w:rFonts w:ascii="Calibri" w:hAnsi="Calibri"/>
                <w:color w:val="000000"/>
                <w:sz w:val="18"/>
                <w:szCs w:val="18"/>
              </w:rPr>
              <w:t>25,1</w:t>
            </w:r>
          </w:p>
        </w:tc>
        <w:tc>
          <w:tcPr>
            <w:tcW w:w="870" w:type="dxa"/>
            <w:tcBorders>
              <w:top w:val="nil"/>
              <w:left w:val="nil"/>
              <w:bottom w:val="single" w:sz="4" w:space="0" w:color="auto"/>
              <w:right w:val="single" w:sz="4" w:space="0" w:color="auto"/>
            </w:tcBorders>
            <w:shd w:val="clear" w:color="auto" w:fill="auto"/>
            <w:noWrap/>
            <w:vAlign w:val="bottom"/>
            <w:hideMark/>
          </w:tcPr>
          <w:p w:rsidR="00A53BCF" w:rsidRPr="00E43137" w:rsidRDefault="00A53BCF" w:rsidP="00A53BCF">
            <w:pPr>
              <w:jc w:val="right"/>
              <w:rPr>
                <w:rFonts w:ascii="Calibri" w:hAnsi="Calibri"/>
                <w:color w:val="000000"/>
                <w:sz w:val="18"/>
                <w:szCs w:val="18"/>
              </w:rPr>
            </w:pPr>
            <w:r w:rsidRPr="00E43137">
              <w:rPr>
                <w:rFonts w:ascii="Calibri" w:hAnsi="Calibri"/>
                <w:color w:val="000000"/>
                <w:sz w:val="18"/>
                <w:szCs w:val="18"/>
              </w:rPr>
              <w:t>29,3</w:t>
            </w:r>
          </w:p>
        </w:tc>
        <w:tc>
          <w:tcPr>
            <w:tcW w:w="552" w:type="dxa"/>
            <w:tcBorders>
              <w:top w:val="nil"/>
              <w:left w:val="nil"/>
              <w:bottom w:val="single" w:sz="4" w:space="0" w:color="auto"/>
              <w:right w:val="single" w:sz="4" w:space="0" w:color="auto"/>
            </w:tcBorders>
            <w:shd w:val="clear" w:color="auto" w:fill="auto"/>
            <w:noWrap/>
            <w:vAlign w:val="bottom"/>
            <w:hideMark/>
          </w:tcPr>
          <w:p w:rsidR="00A53BCF" w:rsidRPr="00E43137" w:rsidRDefault="00A53BCF" w:rsidP="00A53BCF">
            <w:pPr>
              <w:jc w:val="right"/>
              <w:rPr>
                <w:rFonts w:ascii="Calibri" w:hAnsi="Calibri"/>
                <w:color w:val="000000"/>
                <w:sz w:val="18"/>
                <w:szCs w:val="18"/>
              </w:rPr>
            </w:pPr>
            <w:r w:rsidRPr="00E43137">
              <w:rPr>
                <w:rFonts w:ascii="Calibri" w:hAnsi="Calibri"/>
                <w:color w:val="000000"/>
                <w:sz w:val="18"/>
                <w:szCs w:val="18"/>
              </w:rPr>
              <w:t>6,7</w:t>
            </w:r>
          </w:p>
        </w:tc>
        <w:tc>
          <w:tcPr>
            <w:tcW w:w="552" w:type="dxa"/>
            <w:tcBorders>
              <w:top w:val="nil"/>
              <w:left w:val="nil"/>
              <w:bottom w:val="single" w:sz="4" w:space="0" w:color="auto"/>
              <w:right w:val="single" w:sz="4" w:space="0" w:color="auto"/>
            </w:tcBorders>
            <w:shd w:val="clear" w:color="auto" w:fill="auto"/>
            <w:noWrap/>
            <w:vAlign w:val="bottom"/>
            <w:hideMark/>
          </w:tcPr>
          <w:p w:rsidR="00A53BCF" w:rsidRPr="00E43137" w:rsidRDefault="00A53BCF" w:rsidP="00A53BCF">
            <w:pPr>
              <w:jc w:val="right"/>
              <w:rPr>
                <w:rFonts w:ascii="Calibri" w:hAnsi="Calibri"/>
                <w:color w:val="000000"/>
                <w:sz w:val="18"/>
                <w:szCs w:val="18"/>
              </w:rPr>
            </w:pPr>
            <w:r w:rsidRPr="00E43137">
              <w:rPr>
                <w:rFonts w:ascii="Calibri" w:hAnsi="Calibri"/>
                <w:color w:val="000000"/>
                <w:sz w:val="18"/>
                <w:szCs w:val="18"/>
              </w:rPr>
              <w:t>12,3</w:t>
            </w:r>
          </w:p>
        </w:tc>
        <w:tc>
          <w:tcPr>
            <w:tcW w:w="674" w:type="dxa"/>
            <w:tcBorders>
              <w:top w:val="nil"/>
              <w:left w:val="nil"/>
              <w:bottom w:val="single" w:sz="4" w:space="0" w:color="auto"/>
              <w:right w:val="single" w:sz="4" w:space="0" w:color="auto"/>
            </w:tcBorders>
            <w:shd w:val="clear" w:color="auto" w:fill="auto"/>
            <w:noWrap/>
            <w:vAlign w:val="bottom"/>
            <w:hideMark/>
          </w:tcPr>
          <w:p w:rsidR="00A53BCF" w:rsidRPr="00E43137" w:rsidRDefault="00A53BCF" w:rsidP="00A53BCF">
            <w:pPr>
              <w:jc w:val="right"/>
              <w:rPr>
                <w:rFonts w:ascii="Calibri" w:hAnsi="Calibri"/>
                <w:color w:val="000000"/>
                <w:sz w:val="18"/>
                <w:szCs w:val="18"/>
              </w:rPr>
            </w:pPr>
            <w:r w:rsidRPr="00E43137">
              <w:rPr>
                <w:rFonts w:ascii="Calibri" w:hAnsi="Calibri"/>
                <w:color w:val="000000"/>
                <w:sz w:val="18"/>
                <w:szCs w:val="18"/>
              </w:rPr>
              <w:t>20,9</w:t>
            </w:r>
          </w:p>
        </w:tc>
        <w:tc>
          <w:tcPr>
            <w:tcW w:w="675" w:type="dxa"/>
            <w:tcBorders>
              <w:top w:val="nil"/>
              <w:left w:val="nil"/>
              <w:bottom w:val="single" w:sz="4" w:space="0" w:color="auto"/>
              <w:right w:val="single" w:sz="4" w:space="0" w:color="auto"/>
            </w:tcBorders>
            <w:shd w:val="clear" w:color="auto" w:fill="auto"/>
            <w:noWrap/>
            <w:vAlign w:val="bottom"/>
            <w:hideMark/>
          </w:tcPr>
          <w:p w:rsidR="00A53BCF" w:rsidRPr="00E43137" w:rsidRDefault="00A53BCF" w:rsidP="00A53BCF">
            <w:pPr>
              <w:jc w:val="right"/>
              <w:rPr>
                <w:rFonts w:ascii="Calibri" w:hAnsi="Calibri"/>
                <w:color w:val="000000"/>
                <w:sz w:val="18"/>
                <w:szCs w:val="18"/>
              </w:rPr>
            </w:pPr>
            <w:r w:rsidRPr="00E43137">
              <w:rPr>
                <w:rFonts w:ascii="Calibri" w:hAnsi="Calibri"/>
                <w:color w:val="000000"/>
                <w:sz w:val="18"/>
                <w:szCs w:val="18"/>
              </w:rPr>
              <w:t>15,9</w:t>
            </w:r>
          </w:p>
        </w:tc>
        <w:tc>
          <w:tcPr>
            <w:tcW w:w="599" w:type="dxa"/>
            <w:tcBorders>
              <w:top w:val="nil"/>
              <w:left w:val="nil"/>
              <w:bottom w:val="single" w:sz="4" w:space="0" w:color="auto"/>
              <w:right w:val="single" w:sz="4" w:space="0" w:color="auto"/>
            </w:tcBorders>
            <w:shd w:val="clear" w:color="auto" w:fill="auto"/>
            <w:noWrap/>
            <w:vAlign w:val="bottom"/>
            <w:hideMark/>
          </w:tcPr>
          <w:p w:rsidR="00A53BCF" w:rsidRPr="00E43137" w:rsidRDefault="00A53BCF" w:rsidP="00A53BCF">
            <w:pPr>
              <w:jc w:val="right"/>
              <w:rPr>
                <w:rFonts w:ascii="Calibri" w:hAnsi="Calibri"/>
                <w:color w:val="000000"/>
                <w:sz w:val="18"/>
                <w:szCs w:val="18"/>
              </w:rPr>
            </w:pPr>
            <w:r w:rsidRPr="00E43137">
              <w:rPr>
                <w:rFonts w:ascii="Calibri" w:hAnsi="Calibri"/>
                <w:color w:val="000000"/>
                <w:sz w:val="18"/>
                <w:szCs w:val="18"/>
              </w:rPr>
              <w:t>1,5</w:t>
            </w:r>
          </w:p>
        </w:tc>
        <w:tc>
          <w:tcPr>
            <w:tcW w:w="599" w:type="dxa"/>
            <w:tcBorders>
              <w:top w:val="nil"/>
              <w:left w:val="nil"/>
              <w:bottom w:val="single" w:sz="4" w:space="0" w:color="auto"/>
              <w:right w:val="single" w:sz="4" w:space="0" w:color="auto"/>
            </w:tcBorders>
            <w:shd w:val="clear" w:color="auto" w:fill="auto"/>
            <w:noWrap/>
            <w:vAlign w:val="bottom"/>
            <w:hideMark/>
          </w:tcPr>
          <w:p w:rsidR="00A53BCF" w:rsidRPr="00E43137" w:rsidRDefault="00A53BCF" w:rsidP="00A53BCF">
            <w:pPr>
              <w:jc w:val="right"/>
              <w:rPr>
                <w:rFonts w:ascii="Calibri" w:hAnsi="Calibri"/>
                <w:color w:val="000000"/>
                <w:sz w:val="18"/>
                <w:szCs w:val="18"/>
              </w:rPr>
            </w:pPr>
            <w:r w:rsidRPr="00E43137">
              <w:rPr>
                <w:rFonts w:ascii="Calibri" w:hAnsi="Calibri"/>
                <w:color w:val="000000"/>
                <w:sz w:val="18"/>
                <w:szCs w:val="18"/>
              </w:rPr>
              <w:t>3,0</w:t>
            </w:r>
          </w:p>
        </w:tc>
      </w:tr>
      <w:tr w:rsidR="00A53BCF" w:rsidRPr="00E43137" w:rsidTr="00A53BCF">
        <w:trPr>
          <w:trHeight w:val="289"/>
        </w:trPr>
        <w:tc>
          <w:tcPr>
            <w:tcW w:w="1366" w:type="dxa"/>
            <w:tcBorders>
              <w:top w:val="nil"/>
              <w:left w:val="single" w:sz="4" w:space="0" w:color="auto"/>
              <w:bottom w:val="single" w:sz="4" w:space="0" w:color="auto"/>
              <w:right w:val="single" w:sz="4" w:space="0" w:color="auto"/>
            </w:tcBorders>
            <w:shd w:val="clear" w:color="auto" w:fill="auto"/>
            <w:vAlign w:val="bottom"/>
            <w:hideMark/>
          </w:tcPr>
          <w:p w:rsidR="00A53BCF" w:rsidRPr="00E43137" w:rsidRDefault="00A53BCF" w:rsidP="00A53BCF">
            <w:pPr>
              <w:rPr>
                <w:rFonts w:ascii="Calibri" w:hAnsi="Calibri"/>
                <w:color w:val="000000"/>
                <w:sz w:val="18"/>
                <w:szCs w:val="18"/>
              </w:rPr>
            </w:pPr>
            <w:r w:rsidRPr="00E43137">
              <w:rPr>
                <w:rFonts w:ascii="Calibri" w:hAnsi="Calibri"/>
                <w:color w:val="000000"/>
                <w:sz w:val="18"/>
                <w:szCs w:val="18"/>
              </w:rPr>
              <w:t>SR spolu</w:t>
            </w:r>
          </w:p>
        </w:tc>
        <w:tc>
          <w:tcPr>
            <w:tcW w:w="581" w:type="dxa"/>
            <w:tcBorders>
              <w:top w:val="nil"/>
              <w:left w:val="nil"/>
              <w:bottom w:val="single" w:sz="4" w:space="0" w:color="auto"/>
              <w:right w:val="single" w:sz="4" w:space="0" w:color="auto"/>
            </w:tcBorders>
            <w:shd w:val="clear" w:color="auto" w:fill="auto"/>
            <w:noWrap/>
            <w:vAlign w:val="bottom"/>
            <w:hideMark/>
          </w:tcPr>
          <w:p w:rsidR="00A53BCF" w:rsidRPr="00E43137" w:rsidRDefault="00A53BCF" w:rsidP="00A53BCF">
            <w:pPr>
              <w:jc w:val="right"/>
              <w:rPr>
                <w:rFonts w:ascii="Calibri" w:hAnsi="Calibri"/>
                <w:color w:val="000000"/>
                <w:sz w:val="18"/>
                <w:szCs w:val="18"/>
              </w:rPr>
            </w:pPr>
            <w:r w:rsidRPr="00E43137">
              <w:rPr>
                <w:rFonts w:ascii="Calibri" w:hAnsi="Calibri"/>
                <w:color w:val="000000"/>
                <w:sz w:val="18"/>
                <w:szCs w:val="18"/>
              </w:rPr>
              <w:t>21,1</w:t>
            </w:r>
          </w:p>
        </w:tc>
        <w:tc>
          <w:tcPr>
            <w:tcW w:w="581" w:type="dxa"/>
            <w:tcBorders>
              <w:top w:val="nil"/>
              <w:left w:val="nil"/>
              <w:bottom w:val="single" w:sz="4" w:space="0" w:color="auto"/>
              <w:right w:val="single" w:sz="4" w:space="0" w:color="auto"/>
            </w:tcBorders>
            <w:shd w:val="clear" w:color="auto" w:fill="auto"/>
            <w:noWrap/>
            <w:vAlign w:val="bottom"/>
            <w:hideMark/>
          </w:tcPr>
          <w:p w:rsidR="00A53BCF" w:rsidRPr="00E43137" w:rsidRDefault="00A53BCF" w:rsidP="00A53BCF">
            <w:pPr>
              <w:jc w:val="right"/>
              <w:rPr>
                <w:rFonts w:ascii="Calibri" w:hAnsi="Calibri"/>
                <w:color w:val="000000"/>
                <w:sz w:val="18"/>
                <w:szCs w:val="18"/>
              </w:rPr>
            </w:pPr>
            <w:r w:rsidRPr="00E43137">
              <w:rPr>
                <w:rFonts w:ascii="Calibri" w:hAnsi="Calibri"/>
                <w:color w:val="000000"/>
                <w:sz w:val="18"/>
                <w:szCs w:val="18"/>
              </w:rPr>
              <w:t>15,0</w:t>
            </w:r>
          </w:p>
        </w:tc>
        <w:tc>
          <w:tcPr>
            <w:tcW w:w="608" w:type="dxa"/>
            <w:tcBorders>
              <w:top w:val="nil"/>
              <w:left w:val="nil"/>
              <w:bottom w:val="single" w:sz="4" w:space="0" w:color="auto"/>
              <w:right w:val="single" w:sz="4" w:space="0" w:color="auto"/>
            </w:tcBorders>
            <w:shd w:val="clear" w:color="auto" w:fill="auto"/>
            <w:noWrap/>
            <w:vAlign w:val="bottom"/>
            <w:hideMark/>
          </w:tcPr>
          <w:p w:rsidR="00A53BCF" w:rsidRPr="00E43137" w:rsidRDefault="00A53BCF" w:rsidP="00A53BCF">
            <w:pPr>
              <w:jc w:val="right"/>
              <w:rPr>
                <w:rFonts w:ascii="Calibri" w:hAnsi="Calibri"/>
                <w:color w:val="000000"/>
                <w:sz w:val="18"/>
                <w:szCs w:val="18"/>
              </w:rPr>
            </w:pPr>
            <w:r w:rsidRPr="00E43137">
              <w:rPr>
                <w:rFonts w:ascii="Calibri" w:hAnsi="Calibri"/>
                <w:color w:val="000000"/>
                <w:sz w:val="18"/>
                <w:szCs w:val="18"/>
              </w:rPr>
              <w:t>23,5</w:t>
            </w:r>
          </w:p>
        </w:tc>
        <w:tc>
          <w:tcPr>
            <w:tcW w:w="609" w:type="dxa"/>
            <w:tcBorders>
              <w:top w:val="nil"/>
              <w:left w:val="nil"/>
              <w:bottom w:val="single" w:sz="4" w:space="0" w:color="auto"/>
              <w:right w:val="single" w:sz="4" w:space="0" w:color="auto"/>
            </w:tcBorders>
            <w:shd w:val="clear" w:color="auto" w:fill="auto"/>
            <w:noWrap/>
            <w:vAlign w:val="bottom"/>
            <w:hideMark/>
          </w:tcPr>
          <w:p w:rsidR="00A53BCF" w:rsidRPr="00E43137" w:rsidRDefault="00A53BCF" w:rsidP="00A53BCF">
            <w:pPr>
              <w:jc w:val="right"/>
              <w:rPr>
                <w:rFonts w:ascii="Calibri" w:hAnsi="Calibri"/>
                <w:color w:val="000000"/>
                <w:sz w:val="18"/>
                <w:szCs w:val="18"/>
              </w:rPr>
            </w:pPr>
            <w:r w:rsidRPr="00E43137">
              <w:rPr>
                <w:rFonts w:ascii="Calibri" w:hAnsi="Calibri"/>
                <w:color w:val="000000"/>
                <w:sz w:val="18"/>
                <w:szCs w:val="18"/>
              </w:rPr>
              <w:t>23,1</w:t>
            </w:r>
          </w:p>
        </w:tc>
        <w:tc>
          <w:tcPr>
            <w:tcW w:w="870" w:type="dxa"/>
            <w:tcBorders>
              <w:top w:val="nil"/>
              <w:left w:val="nil"/>
              <w:bottom w:val="single" w:sz="4" w:space="0" w:color="auto"/>
              <w:right w:val="single" w:sz="4" w:space="0" w:color="auto"/>
            </w:tcBorders>
            <w:shd w:val="clear" w:color="auto" w:fill="auto"/>
            <w:noWrap/>
            <w:vAlign w:val="bottom"/>
            <w:hideMark/>
          </w:tcPr>
          <w:p w:rsidR="00A53BCF" w:rsidRPr="00E43137" w:rsidRDefault="00A53BCF" w:rsidP="00A53BCF">
            <w:pPr>
              <w:jc w:val="right"/>
              <w:rPr>
                <w:rFonts w:ascii="Calibri" w:hAnsi="Calibri"/>
                <w:color w:val="000000"/>
                <w:sz w:val="18"/>
                <w:szCs w:val="18"/>
              </w:rPr>
            </w:pPr>
            <w:r w:rsidRPr="00E43137">
              <w:rPr>
                <w:rFonts w:ascii="Calibri" w:hAnsi="Calibri"/>
                <w:color w:val="000000"/>
                <w:sz w:val="18"/>
                <w:szCs w:val="18"/>
              </w:rPr>
              <w:t>25,6</w:t>
            </w:r>
          </w:p>
        </w:tc>
        <w:tc>
          <w:tcPr>
            <w:tcW w:w="870" w:type="dxa"/>
            <w:tcBorders>
              <w:top w:val="nil"/>
              <w:left w:val="nil"/>
              <w:bottom w:val="single" w:sz="4" w:space="0" w:color="auto"/>
              <w:right w:val="single" w:sz="4" w:space="0" w:color="auto"/>
            </w:tcBorders>
            <w:shd w:val="clear" w:color="auto" w:fill="auto"/>
            <w:noWrap/>
            <w:vAlign w:val="bottom"/>
            <w:hideMark/>
          </w:tcPr>
          <w:p w:rsidR="00A53BCF" w:rsidRPr="00E43137" w:rsidRDefault="00A53BCF" w:rsidP="00A53BCF">
            <w:pPr>
              <w:jc w:val="right"/>
              <w:rPr>
                <w:rFonts w:ascii="Calibri" w:hAnsi="Calibri"/>
                <w:color w:val="000000"/>
                <w:sz w:val="18"/>
                <w:szCs w:val="18"/>
              </w:rPr>
            </w:pPr>
            <w:r w:rsidRPr="00E43137">
              <w:rPr>
                <w:rFonts w:ascii="Calibri" w:hAnsi="Calibri"/>
                <w:color w:val="000000"/>
                <w:sz w:val="18"/>
                <w:szCs w:val="18"/>
              </w:rPr>
              <w:t>29,6</w:t>
            </w:r>
          </w:p>
        </w:tc>
        <w:tc>
          <w:tcPr>
            <w:tcW w:w="552" w:type="dxa"/>
            <w:tcBorders>
              <w:top w:val="nil"/>
              <w:left w:val="nil"/>
              <w:bottom w:val="single" w:sz="4" w:space="0" w:color="auto"/>
              <w:right w:val="single" w:sz="4" w:space="0" w:color="auto"/>
            </w:tcBorders>
            <w:shd w:val="clear" w:color="auto" w:fill="auto"/>
            <w:noWrap/>
            <w:vAlign w:val="bottom"/>
            <w:hideMark/>
          </w:tcPr>
          <w:p w:rsidR="00A53BCF" w:rsidRPr="00E43137" w:rsidRDefault="00A53BCF" w:rsidP="00A53BCF">
            <w:pPr>
              <w:jc w:val="right"/>
              <w:rPr>
                <w:rFonts w:ascii="Calibri" w:hAnsi="Calibri"/>
                <w:color w:val="000000"/>
                <w:sz w:val="18"/>
                <w:szCs w:val="18"/>
              </w:rPr>
            </w:pPr>
            <w:r w:rsidRPr="00E43137">
              <w:rPr>
                <w:rFonts w:ascii="Calibri" w:hAnsi="Calibri"/>
                <w:color w:val="000000"/>
                <w:sz w:val="18"/>
                <w:szCs w:val="18"/>
              </w:rPr>
              <w:t>7,9</w:t>
            </w:r>
          </w:p>
        </w:tc>
        <w:tc>
          <w:tcPr>
            <w:tcW w:w="552" w:type="dxa"/>
            <w:tcBorders>
              <w:top w:val="nil"/>
              <w:left w:val="nil"/>
              <w:bottom w:val="single" w:sz="4" w:space="0" w:color="auto"/>
              <w:right w:val="single" w:sz="4" w:space="0" w:color="auto"/>
            </w:tcBorders>
            <w:shd w:val="clear" w:color="auto" w:fill="auto"/>
            <w:noWrap/>
            <w:vAlign w:val="bottom"/>
            <w:hideMark/>
          </w:tcPr>
          <w:p w:rsidR="00A53BCF" w:rsidRPr="00E43137" w:rsidRDefault="00A53BCF" w:rsidP="00A53BCF">
            <w:pPr>
              <w:jc w:val="right"/>
              <w:rPr>
                <w:rFonts w:ascii="Calibri" w:hAnsi="Calibri"/>
                <w:color w:val="000000"/>
                <w:sz w:val="18"/>
                <w:szCs w:val="18"/>
              </w:rPr>
            </w:pPr>
            <w:r w:rsidRPr="00E43137">
              <w:rPr>
                <w:rFonts w:ascii="Calibri" w:hAnsi="Calibri"/>
                <w:color w:val="000000"/>
                <w:sz w:val="18"/>
                <w:szCs w:val="18"/>
              </w:rPr>
              <w:t>13,8</w:t>
            </w:r>
          </w:p>
        </w:tc>
        <w:tc>
          <w:tcPr>
            <w:tcW w:w="674" w:type="dxa"/>
            <w:tcBorders>
              <w:top w:val="nil"/>
              <w:left w:val="nil"/>
              <w:bottom w:val="single" w:sz="4" w:space="0" w:color="auto"/>
              <w:right w:val="single" w:sz="4" w:space="0" w:color="auto"/>
            </w:tcBorders>
            <w:shd w:val="clear" w:color="auto" w:fill="auto"/>
            <w:noWrap/>
            <w:vAlign w:val="bottom"/>
            <w:hideMark/>
          </w:tcPr>
          <w:p w:rsidR="00A53BCF" w:rsidRPr="00E43137" w:rsidRDefault="00A53BCF" w:rsidP="00A53BCF">
            <w:pPr>
              <w:jc w:val="right"/>
              <w:rPr>
                <w:rFonts w:ascii="Calibri" w:hAnsi="Calibri"/>
                <w:color w:val="000000"/>
                <w:sz w:val="18"/>
                <w:szCs w:val="18"/>
              </w:rPr>
            </w:pPr>
            <w:r w:rsidRPr="00E43137">
              <w:rPr>
                <w:rFonts w:ascii="Calibri" w:hAnsi="Calibri"/>
                <w:color w:val="000000"/>
                <w:sz w:val="18"/>
                <w:szCs w:val="18"/>
              </w:rPr>
              <w:t>20,4</w:t>
            </w:r>
          </w:p>
        </w:tc>
        <w:tc>
          <w:tcPr>
            <w:tcW w:w="675" w:type="dxa"/>
            <w:tcBorders>
              <w:top w:val="nil"/>
              <w:left w:val="nil"/>
              <w:bottom w:val="single" w:sz="4" w:space="0" w:color="auto"/>
              <w:right w:val="single" w:sz="4" w:space="0" w:color="auto"/>
            </w:tcBorders>
            <w:shd w:val="clear" w:color="auto" w:fill="auto"/>
            <w:noWrap/>
            <w:vAlign w:val="bottom"/>
            <w:hideMark/>
          </w:tcPr>
          <w:p w:rsidR="00A53BCF" w:rsidRPr="00E43137" w:rsidRDefault="00A53BCF" w:rsidP="00A53BCF">
            <w:pPr>
              <w:jc w:val="right"/>
              <w:rPr>
                <w:rFonts w:ascii="Calibri" w:hAnsi="Calibri"/>
                <w:color w:val="000000"/>
                <w:sz w:val="18"/>
                <w:szCs w:val="18"/>
              </w:rPr>
            </w:pPr>
            <w:r w:rsidRPr="00E43137">
              <w:rPr>
                <w:rFonts w:ascii="Calibri" w:hAnsi="Calibri"/>
                <w:color w:val="000000"/>
                <w:sz w:val="18"/>
                <w:szCs w:val="18"/>
              </w:rPr>
              <w:t>15,7</w:t>
            </w:r>
          </w:p>
        </w:tc>
        <w:tc>
          <w:tcPr>
            <w:tcW w:w="599" w:type="dxa"/>
            <w:tcBorders>
              <w:top w:val="nil"/>
              <w:left w:val="nil"/>
              <w:bottom w:val="single" w:sz="4" w:space="0" w:color="auto"/>
              <w:right w:val="single" w:sz="4" w:space="0" w:color="auto"/>
            </w:tcBorders>
            <w:shd w:val="clear" w:color="auto" w:fill="auto"/>
            <w:noWrap/>
            <w:vAlign w:val="bottom"/>
            <w:hideMark/>
          </w:tcPr>
          <w:p w:rsidR="00A53BCF" w:rsidRPr="00E43137" w:rsidRDefault="00A53BCF" w:rsidP="00A53BCF">
            <w:pPr>
              <w:jc w:val="right"/>
              <w:rPr>
                <w:rFonts w:ascii="Calibri" w:hAnsi="Calibri"/>
                <w:color w:val="000000"/>
                <w:sz w:val="18"/>
                <w:szCs w:val="18"/>
              </w:rPr>
            </w:pPr>
            <w:r w:rsidRPr="00E43137">
              <w:rPr>
                <w:rFonts w:ascii="Calibri" w:hAnsi="Calibri"/>
                <w:color w:val="000000"/>
                <w:sz w:val="18"/>
                <w:szCs w:val="18"/>
              </w:rPr>
              <w:t>1,6</w:t>
            </w:r>
          </w:p>
        </w:tc>
        <w:tc>
          <w:tcPr>
            <w:tcW w:w="599" w:type="dxa"/>
            <w:tcBorders>
              <w:top w:val="nil"/>
              <w:left w:val="nil"/>
              <w:bottom w:val="single" w:sz="4" w:space="0" w:color="auto"/>
              <w:right w:val="single" w:sz="4" w:space="0" w:color="auto"/>
            </w:tcBorders>
            <w:shd w:val="clear" w:color="auto" w:fill="auto"/>
            <w:noWrap/>
            <w:vAlign w:val="bottom"/>
            <w:hideMark/>
          </w:tcPr>
          <w:p w:rsidR="00A53BCF" w:rsidRPr="00E43137" w:rsidRDefault="00A53BCF" w:rsidP="00A53BCF">
            <w:pPr>
              <w:jc w:val="right"/>
              <w:rPr>
                <w:rFonts w:ascii="Calibri" w:hAnsi="Calibri"/>
                <w:color w:val="000000"/>
                <w:sz w:val="18"/>
                <w:szCs w:val="18"/>
              </w:rPr>
            </w:pPr>
            <w:r w:rsidRPr="00E43137">
              <w:rPr>
                <w:rFonts w:ascii="Calibri" w:hAnsi="Calibri"/>
                <w:color w:val="000000"/>
                <w:sz w:val="18"/>
                <w:szCs w:val="18"/>
              </w:rPr>
              <w:t>2,8</w:t>
            </w:r>
          </w:p>
        </w:tc>
      </w:tr>
    </w:tbl>
    <w:p w:rsidR="00A53BCF" w:rsidRPr="00E43137" w:rsidRDefault="00A53BCF" w:rsidP="00A53BCF">
      <w:pPr>
        <w:rPr>
          <w:rFonts w:ascii="Calibri" w:hAnsi="Calibri"/>
          <w:sz w:val="18"/>
          <w:szCs w:val="18"/>
        </w:rPr>
      </w:pPr>
      <w:r w:rsidRPr="00E43137">
        <w:rPr>
          <w:rFonts w:ascii="Calibri" w:hAnsi="Calibri"/>
          <w:sz w:val="18"/>
          <w:szCs w:val="18"/>
        </w:rPr>
        <w:t>Prameň: ŠÚ SR, Sčítanie obyvateľstva 2001, 2011, spracoval:</w:t>
      </w:r>
      <w:r>
        <w:rPr>
          <w:rFonts w:ascii="Calibri" w:hAnsi="Calibri"/>
          <w:sz w:val="18"/>
          <w:szCs w:val="18"/>
        </w:rPr>
        <w:t xml:space="preserve"> NPPC-</w:t>
      </w:r>
      <w:r w:rsidRPr="00E43137">
        <w:rPr>
          <w:rFonts w:ascii="Calibri" w:hAnsi="Calibri"/>
          <w:sz w:val="18"/>
          <w:szCs w:val="18"/>
        </w:rPr>
        <w:t xml:space="preserve"> VÚEPP</w:t>
      </w:r>
    </w:p>
    <w:p w:rsidR="00A53BCF" w:rsidRDefault="00A53BCF" w:rsidP="00C502EC">
      <w:pPr>
        <w:keepNext/>
        <w:keepLines/>
        <w:pBdr>
          <w:bar w:val="single" w:sz="6" w:color="808080"/>
        </w:pBdr>
        <w:outlineLvl w:val="1"/>
        <w:rPr>
          <w:rFonts w:ascii="Calibri" w:hAnsi="Calibri"/>
          <w:b/>
          <w:bCs/>
          <w:szCs w:val="22"/>
        </w:rPr>
      </w:pPr>
    </w:p>
    <w:p w:rsidR="00E43137" w:rsidRPr="00E43137" w:rsidRDefault="00E43137" w:rsidP="00C502EC">
      <w:pPr>
        <w:keepNext/>
        <w:keepLines/>
        <w:pBdr>
          <w:bar w:val="single" w:sz="6" w:color="808080"/>
        </w:pBdr>
        <w:outlineLvl w:val="1"/>
        <w:rPr>
          <w:rFonts w:ascii="Calibri" w:hAnsi="Calibri"/>
          <w:b/>
          <w:bCs/>
          <w:szCs w:val="22"/>
        </w:rPr>
      </w:pPr>
      <w:r w:rsidRPr="00E43137">
        <w:rPr>
          <w:rFonts w:ascii="Calibri" w:hAnsi="Calibri"/>
          <w:b/>
          <w:bCs/>
          <w:szCs w:val="22"/>
        </w:rPr>
        <w:t>Zamestnanosť, nezamestnanosť, mzdová úroveň a chudoba</w:t>
      </w:r>
    </w:p>
    <w:p w:rsidR="00A53BCF" w:rsidRDefault="00A53BCF" w:rsidP="00F832C9">
      <w:pPr>
        <w:spacing w:after="120"/>
        <w:rPr>
          <w:rFonts w:ascii="Calibri" w:eastAsia="Calibri" w:hAnsi="Calibri"/>
          <w:szCs w:val="22"/>
          <w:lang w:eastAsia="en-US"/>
        </w:rPr>
      </w:pPr>
      <w:r w:rsidRPr="00E43137">
        <w:rPr>
          <w:rFonts w:ascii="Calibri" w:eastAsia="Calibri" w:hAnsi="Calibri"/>
          <w:szCs w:val="22"/>
          <w:lang w:eastAsia="en-US"/>
        </w:rPr>
        <w:t xml:space="preserve">Miera  zamestnanosti (15-64 r.) v SR spolu v r. 2012 </w:t>
      </w:r>
      <w:r>
        <w:rPr>
          <w:rFonts w:ascii="Calibri" w:eastAsia="Calibri" w:hAnsi="Calibri"/>
          <w:szCs w:val="22"/>
          <w:lang w:eastAsia="en-US"/>
        </w:rPr>
        <w:t xml:space="preserve">dosahovala </w:t>
      </w:r>
      <w:r w:rsidRPr="00E43137">
        <w:rPr>
          <w:rFonts w:ascii="Calibri" w:eastAsia="Calibri" w:hAnsi="Calibri"/>
          <w:szCs w:val="22"/>
          <w:lang w:eastAsia="en-US"/>
        </w:rPr>
        <w:t>59,</w:t>
      </w:r>
      <w:r>
        <w:rPr>
          <w:rFonts w:ascii="Calibri" w:eastAsia="Calibri" w:hAnsi="Calibri"/>
          <w:szCs w:val="22"/>
          <w:lang w:eastAsia="en-US"/>
        </w:rPr>
        <w:t>7</w:t>
      </w:r>
      <w:r w:rsidRPr="00E43137">
        <w:rPr>
          <w:rFonts w:ascii="Calibri" w:eastAsia="Calibri" w:hAnsi="Calibri"/>
          <w:szCs w:val="22"/>
          <w:lang w:eastAsia="en-US"/>
        </w:rPr>
        <w:t>% z toho muž</w:t>
      </w:r>
      <w:r>
        <w:rPr>
          <w:rFonts w:ascii="Calibri" w:eastAsia="Calibri" w:hAnsi="Calibri"/>
          <w:szCs w:val="22"/>
          <w:lang w:eastAsia="en-US"/>
        </w:rPr>
        <w:t>ov</w:t>
      </w:r>
      <w:r w:rsidRPr="00E43137">
        <w:rPr>
          <w:rFonts w:ascii="Calibri" w:eastAsia="Calibri" w:hAnsi="Calibri"/>
          <w:szCs w:val="22"/>
          <w:lang w:eastAsia="en-US"/>
        </w:rPr>
        <w:t xml:space="preserve"> 66,</w:t>
      </w:r>
      <w:r>
        <w:rPr>
          <w:rFonts w:ascii="Calibri" w:eastAsia="Calibri" w:hAnsi="Calibri"/>
          <w:szCs w:val="22"/>
          <w:lang w:eastAsia="en-US"/>
        </w:rPr>
        <w:t>7</w:t>
      </w:r>
      <w:r w:rsidRPr="00E43137">
        <w:rPr>
          <w:rFonts w:ascii="Calibri" w:eastAsia="Calibri" w:hAnsi="Calibri"/>
          <w:szCs w:val="22"/>
          <w:lang w:eastAsia="en-US"/>
        </w:rPr>
        <w:t>%</w:t>
      </w:r>
      <w:r>
        <w:rPr>
          <w:rFonts w:ascii="Calibri" w:eastAsia="Calibri" w:hAnsi="Calibri"/>
          <w:szCs w:val="22"/>
          <w:lang w:eastAsia="en-US"/>
        </w:rPr>
        <w:t xml:space="preserve"> a </w:t>
      </w:r>
      <w:r w:rsidRPr="00E43137">
        <w:rPr>
          <w:rFonts w:ascii="Calibri" w:eastAsia="Calibri" w:hAnsi="Calibri"/>
          <w:szCs w:val="22"/>
          <w:lang w:eastAsia="en-US"/>
        </w:rPr>
        <w:t>ž</w:t>
      </w:r>
      <w:r>
        <w:rPr>
          <w:rFonts w:ascii="Calibri" w:eastAsia="Calibri" w:hAnsi="Calibri"/>
          <w:szCs w:val="22"/>
          <w:lang w:eastAsia="en-US"/>
        </w:rPr>
        <w:t>i</w:t>
      </w:r>
      <w:r w:rsidRPr="00E43137">
        <w:rPr>
          <w:rFonts w:ascii="Calibri" w:eastAsia="Calibri" w:hAnsi="Calibri"/>
          <w:szCs w:val="22"/>
          <w:lang w:eastAsia="en-US"/>
        </w:rPr>
        <w:t>en 52,7%. Na vidieku bola miera zamestnanosti nižšia a tvorila len 55%</w:t>
      </w:r>
      <w:r>
        <w:rPr>
          <w:rFonts w:ascii="Calibri" w:eastAsia="Calibri" w:hAnsi="Calibri"/>
          <w:szCs w:val="22"/>
          <w:lang w:eastAsia="en-US"/>
        </w:rPr>
        <w:t xml:space="preserve"> (</w:t>
      </w:r>
      <w:r w:rsidRPr="009403DA">
        <w:rPr>
          <w:rFonts w:ascii="Calibri" w:eastAsia="Calibri" w:hAnsi="Calibri"/>
          <w:b/>
          <w:szCs w:val="22"/>
          <w:lang w:eastAsia="en-US"/>
        </w:rPr>
        <w:t>CCI 5</w:t>
      </w:r>
      <w:r>
        <w:rPr>
          <w:rFonts w:ascii="Calibri" w:eastAsia="Calibri" w:hAnsi="Calibri"/>
          <w:szCs w:val="22"/>
          <w:lang w:eastAsia="en-US"/>
        </w:rPr>
        <w:t>)</w:t>
      </w:r>
      <w:r w:rsidRPr="00E43137">
        <w:rPr>
          <w:rFonts w:ascii="Calibri" w:eastAsia="Calibri" w:hAnsi="Calibri"/>
          <w:szCs w:val="22"/>
          <w:lang w:eastAsia="en-US"/>
        </w:rPr>
        <w:t>. Z hľadiska štruktúry zamestnanosti, v SR bolo zamestnaných v roku 2012 celkom 2 209,4 tisíc osôb, z toho v primárnom sektore 3,1%, v sekundárnom sektore 31,6% a v terciárnom sektore 65,3</w:t>
      </w:r>
      <w:r w:rsidRPr="00E43137">
        <w:rPr>
          <w:rFonts w:ascii="Calibri" w:eastAsia="Calibri" w:hAnsi="Calibri"/>
          <w:b/>
          <w:sz w:val="32"/>
          <w:szCs w:val="32"/>
          <w:lang w:eastAsia="en-US"/>
        </w:rPr>
        <w:t xml:space="preserve"> </w:t>
      </w:r>
      <w:r w:rsidRPr="00E43137">
        <w:rPr>
          <w:rFonts w:ascii="Calibri" w:eastAsia="Calibri" w:hAnsi="Calibri"/>
          <w:szCs w:val="22"/>
          <w:lang w:eastAsia="en-US"/>
        </w:rPr>
        <w:t>%</w:t>
      </w:r>
      <w:r>
        <w:rPr>
          <w:rFonts w:ascii="Calibri" w:eastAsia="Calibri" w:hAnsi="Calibri"/>
          <w:szCs w:val="22"/>
          <w:lang w:eastAsia="en-US"/>
        </w:rPr>
        <w:t xml:space="preserve"> (</w:t>
      </w:r>
      <w:r w:rsidRPr="002C1F59">
        <w:rPr>
          <w:rFonts w:ascii="Calibri" w:eastAsia="Calibri" w:hAnsi="Calibri"/>
          <w:b/>
          <w:szCs w:val="22"/>
          <w:lang w:eastAsia="en-US"/>
        </w:rPr>
        <w:t>CCI 11</w:t>
      </w:r>
      <w:r>
        <w:rPr>
          <w:rFonts w:ascii="Calibri" w:eastAsia="Calibri" w:hAnsi="Calibri"/>
          <w:szCs w:val="22"/>
          <w:lang w:eastAsia="en-US"/>
        </w:rPr>
        <w:t>)</w:t>
      </w:r>
      <w:r w:rsidRPr="00E43137">
        <w:rPr>
          <w:rFonts w:ascii="Calibri" w:eastAsia="Calibri" w:hAnsi="Calibri"/>
          <w:szCs w:val="22"/>
          <w:lang w:eastAsia="en-US"/>
        </w:rPr>
        <w:t xml:space="preserve">. </w:t>
      </w:r>
      <w:r w:rsidRPr="00E43137">
        <w:rPr>
          <w:rFonts w:ascii="Calibri" w:hAnsi="Calibri"/>
          <w:szCs w:val="22"/>
        </w:rPr>
        <w:t xml:space="preserve">Terciárny sektor sa však vo vidieckych oblastiach nedá rozvíjať z dôvodu nedostatočnej zahustenosti obyvateľstva a malého okruhu využívateľov poskytovaných služieb a nemá tu rastový potenciál. Dôležitým potenciálom zvyšovania zamestnanosti na vidieku je hlavne </w:t>
      </w:r>
      <w:r>
        <w:rPr>
          <w:rFonts w:ascii="Calibri" w:hAnsi="Calibri"/>
          <w:szCs w:val="22"/>
        </w:rPr>
        <w:t xml:space="preserve">pracovne náročné </w:t>
      </w:r>
      <w:r w:rsidRPr="00E43137">
        <w:rPr>
          <w:rFonts w:ascii="Calibri" w:hAnsi="Calibri"/>
          <w:szCs w:val="22"/>
        </w:rPr>
        <w:t>poľnohospodárstvo</w:t>
      </w:r>
      <w:r w:rsidRPr="00E43137">
        <w:rPr>
          <w:rFonts w:ascii="Calibri" w:hAnsi="Calibri"/>
          <w:szCs w:val="22"/>
        </w:rPr>
        <w:lastRenderedPageBreak/>
        <w:t xml:space="preserve"> a lesníctvo, t. j. primárny sektor</w:t>
      </w:r>
      <w:r w:rsidRPr="000F1D07">
        <w:rPr>
          <w:rFonts w:ascii="Calibri" w:eastAsia="Calibri" w:hAnsi="Calibri"/>
          <w:szCs w:val="22"/>
          <w:lang w:eastAsia="en-US"/>
        </w:rPr>
        <w:t>.</w:t>
      </w:r>
      <w:r w:rsidRPr="00E43137">
        <w:rPr>
          <w:rFonts w:ascii="Calibri" w:eastAsia="Calibri" w:hAnsi="Calibri"/>
          <w:szCs w:val="22"/>
          <w:lang w:eastAsia="en-US"/>
        </w:rPr>
        <w:t xml:space="preserve"> Podiel pracujúcich z celkového počtu obyvateľov v produktívnom veku príslušného regiónu (15-64 rokov) je vo vidieckych regiónoch podstatne nižší ako celoslovenský priemer</w:t>
      </w:r>
      <w:r>
        <w:rPr>
          <w:rFonts w:ascii="Calibri" w:eastAsia="Calibri" w:hAnsi="Calibri"/>
          <w:szCs w:val="22"/>
          <w:lang w:eastAsia="en-US"/>
        </w:rPr>
        <w:t xml:space="preserve">  </w:t>
      </w:r>
      <w:r w:rsidRPr="00BC0CAE">
        <w:rPr>
          <w:rFonts w:ascii="Calibri" w:eastAsia="Calibri" w:hAnsi="Calibri"/>
          <w:szCs w:val="22"/>
          <w:lang w:eastAsia="en-US"/>
        </w:rPr>
        <w:t xml:space="preserve">Znižovanie počtu pracujúcich v poľnohospodárstve pokračovalo </w:t>
      </w:r>
      <w:r>
        <w:rPr>
          <w:rFonts w:ascii="Calibri" w:eastAsia="Calibri" w:hAnsi="Calibri"/>
          <w:szCs w:val="22"/>
          <w:lang w:eastAsia="en-US"/>
        </w:rPr>
        <w:t>aj</w:t>
      </w:r>
      <w:r w:rsidRPr="00BC0CAE">
        <w:rPr>
          <w:rFonts w:ascii="Calibri" w:eastAsia="Calibri" w:hAnsi="Calibri"/>
          <w:szCs w:val="22"/>
          <w:lang w:eastAsia="en-US"/>
        </w:rPr>
        <w:t xml:space="preserve"> v roku 2012. Medziročný pokles </w:t>
      </w:r>
      <w:r w:rsidRPr="00505442">
        <w:rPr>
          <w:rFonts w:ascii="Calibri" w:hAnsi="Calibri"/>
          <w:szCs w:val="22"/>
        </w:rPr>
        <w:t xml:space="preserve">dosiahol 1,7 tis. osôb, t. j. o 3,3 % na 50,4 tis. pracujúcich osôb. Pokles bol dôsledkom ekonomickej krízy a útlmu poľnohospodárskej výroby. V roku 2012 sa v poľnohospodárstve zvýšil podiel starších osôb v poľnohospodárstve, čo dokumentuje podiel pracujúcich vo veku 45 rokov a viac ročných, ktorý dosiahol 61,0 %.   </w:t>
      </w:r>
    </w:p>
    <w:p w:rsidR="00A53BCF" w:rsidRPr="00DA4C73" w:rsidRDefault="00A53BCF" w:rsidP="00F832C9">
      <w:pPr>
        <w:spacing w:after="120"/>
        <w:rPr>
          <w:szCs w:val="22"/>
        </w:rPr>
      </w:pPr>
      <w:r w:rsidRPr="00E43137">
        <w:rPr>
          <w:rFonts w:ascii="Calibri" w:eastAsia="Calibri" w:hAnsi="Calibri"/>
          <w:szCs w:val="22"/>
          <w:lang w:eastAsia="en-US"/>
        </w:rPr>
        <w:t xml:space="preserve">Nižší podiel miery zamestnanosti vo vidieckych oblastiach vyplýva zo stále nedostatočnej ekonomickej infraštruktúry a nízkej podnikateľskej hustoty vo vidieckych oblastiach a čiastočne svedčí aj o migračnej rigidite vidieckeho obyvateľstva. </w:t>
      </w:r>
      <w:r w:rsidRPr="00DA4C73">
        <w:rPr>
          <w:szCs w:val="22"/>
        </w:rPr>
        <w:t xml:space="preserve">Rastový potenciál zvýšenia zamestnanosti vidíme v podpore upadajúcich sektorov poľnohospodárstva (ŽV, ovocie, zelenina), v podpore podnikania na vidieku, v podpore mladých farmárov, vo zvýšení diverzifikačných aktivít v poľnohospodárstve a na vidieku, vo zvýšení ceny práce v poľnohospodárstve, v zlepšení životných podmienok vidieckeho obyvateľstva, v spolupráci </w:t>
      </w:r>
      <w:r w:rsidR="00F832C9" w:rsidRPr="00DA4C73">
        <w:rPr>
          <w:szCs w:val="22"/>
        </w:rPr>
        <w:t>nadväzujúcich</w:t>
      </w:r>
      <w:r w:rsidRPr="00DA4C73">
        <w:rPr>
          <w:szCs w:val="22"/>
        </w:rPr>
        <w:t xml:space="preserve"> odvetví (prvovýroba – spracovanie)</w:t>
      </w:r>
      <w:r w:rsidRPr="00DA4C73">
        <w:rPr>
          <w:rFonts w:ascii="Calibri" w:eastAsia="Calibri" w:hAnsi="Calibri"/>
          <w:szCs w:val="22"/>
          <w:lang w:eastAsia="en-US"/>
        </w:rPr>
        <w:t xml:space="preserve"> </w:t>
      </w:r>
      <w:r w:rsidRPr="00E43137">
        <w:rPr>
          <w:rFonts w:ascii="Calibri" w:eastAsia="Calibri" w:hAnsi="Calibri"/>
          <w:szCs w:val="22"/>
          <w:lang w:eastAsia="en-US"/>
        </w:rPr>
        <w:t>a v dobudovaní infraštruktúry v obciach.</w:t>
      </w:r>
    </w:p>
    <w:p w:rsidR="00A53BCF" w:rsidRPr="00A53BCF" w:rsidRDefault="00A53BCF" w:rsidP="00F832C9">
      <w:pPr>
        <w:spacing w:after="120"/>
        <w:rPr>
          <w:sz w:val="20"/>
          <w:szCs w:val="20"/>
        </w:rPr>
      </w:pPr>
      <w:r w:rsidRPr="00E43137">
        <w:rPr>
          <w:rFonts w:ascii="Calibri" w:eastAsia="Calibri" w:hAnsi="Calibri"/>
          <w:szCs w:val="22"/>
          <w:lang w:eastAsia="en-US"/>
        </w:rPr>
        <w:t xml:space="preserve">Z hľadiska nezamestnanosti existujú v SR značné regionálne rozdiely. Regióny s vysokou mierou nezamestnanosti sú sústredené najmä na východnom, južnom a strednom Slovensku. Miera nezamestnanosti vo vidieckych regiónoch bola v r. 2012 (17,8 %) vyššia ako </w:t>
      </w:r>
      <w:r w:rsidRPr="00A53BCF">
        <w:rPr>
          <w:rFonts w:ascii="Calibri" w:eastAsia="Calibri" w:hAnsi="Calibri"/>
          <w:szCs w:val="22"/>
          <w:lang w:eastAsia="en-US"/>
        </w:rPr>
        <w:t>nezamestnanosť v SR spolu (14,0%) (</w:t>
      </w:r>
      <w:r w:rsidRPr="00A53BCF">
        <w:rPr>
          <w:rFonts w:ascii="Calibri" w:eastAsia="Calibri" w:hAnsi="Calibri"/>
          <w:b/>
          <w:szCs w:val="22"/>
          <w:lang w:eastAsia="en-US"/>
        </w:rPr>
        <w:t>CCI 7</w:t>
      </w:r>
      <w:r w:rsidRPr="00A53BCF">
        <w:rPr>
          <w:rFonts w:ascii="Calibri" w:eastAsia="Calibri" w:hAnsi="Calibri"/>
          <w:szCs w:val="22"/>
          <w:lang w:eastAsia="en-US"/>
        </w:rPr>
        <w:t xml:space="preserve">). </w:t>
      </w:r>
      <w:r w:rsidRPr="00A53BCF">
        <w:rPr>
          <w:rFonts w:cs="Calibri"/>
          <w:szCs w:val="22"/>
        </w:rPr>
        <w:t xml:space="preserve">Hlavnými faktormi zvyšovania regionálnej polarizácie vidieckych regiónov boli štrukturálne ťažkosti veľkých, dominantných zamestnávateľských subjektov v regióne, infraštrukturálna zaostalosť a zostupná miera zapojenia sociálne znevýhodnených skupín a príslušníkov národnostných menšín na trh práce. Marginalizované rómske komunity, ktorých obyvatelia sú väčšinou nezamestnaní, žijú najmä vo vidieckych oblastiach. </w:t>
      </w:r>
      <w:r w:rsidRPr="00A53BCF">
        <w:rPr>
          <w:szCs w:val="22"/>
        </w:rPr>
        <w:t>Značnú časť nezamestnaných tvoria dlhodobo nezamestnaní, zamestnanie ktorých sa v špecifických podmienkach Slovenska dosiahne inkluzívnym zamestnávaním</w:t>
      </w:r>
      <w:r w:rsidRPr="00A53BCF">
        <w:rPr>
          <w:rFonts w:cs="Calibri"/>
          <w:szCs w:val="22"/>
        </w:rPr>
        <w:t xml:space="preserve">. </w:t>
      </w:r>
      <w:r w:rsidRPr="00A53BCF">
        <w:rPr>
          <w:rFonts w:ascii="Calibri" w:eastAsia="Calibri" w:hAnsi="Calibri"/>
          <w:szCs w:val="22"/>
          <w:lang w:eastAsia="en-US"/>
        </w:rPr>
        <w:t>Špecifická miera nezamestnanosti mladých ľudí vo veku 15-24 rokov v roku 2012 činila 34 % (na vidieku bola 39,1%) (</w:t>
      </w:r>
      <w:r w:rsidRPr="00A53BCF">
        <w:rPr>
          <w:rFonts w:ascii="Calibri" w:eastAsia="Calibri" w:hAnsi="Calibri"/>
          <w:b/>
          <w:szCs w:val="22"/>
          <w:lang w:eastAsia="en-US"/>
        </w:rPr>
        <w:t>CCI 7</w:t>
      </w:r>
      <w:r w:rsidRPr="00A53BCF">
        <w:rPr>
          <w:rFonts w:ascii="Calibri" w:eastAsia="Calibri" w:hAnsi="Calibri"/>
          <w:szCs w:val="22"/>
          <w:lang w:eastAsia="en-US"/>
        </w:rPr>
        <w:t>).</w:t>
      </w:r>
    </w:p>
    <w:p w:rsidR="00A53BCF" w:rsidRDefault="00A53BCF" w:rsidP="00A53BCF">
      <w:pPr>
        <w:pBdr>
          <w:bar w:val="single" w:sz="6" w:color="808080"/>
        </w:pBdr>
        <w:rPr>
          <w:rFonts w:ascii="Calibri" w:hAnsi="Calibri"/>
          <w:b/>
          <w:bCs/>
          <w:szCs w:val="22"/>
        </w:rPr>
      </w:pPr>
      <w:r w:rsidRPr="00E43137">
        <w:rPr>
          <w:rFonts w:ascii="Calibri" w:eastAsia="Calibri" w:hAnsi="Calibri"/>
          <w:szCs w:val="22"/>
          <w:lang w:eastAsia="en-US"/>
        </w:rPr>
        <w:t xml:space="preserve">V roku 2012 bolo na Slovensku v riziku chudoby alebo sociálneho vylúčenia 1 112 241 ľudí, čo predstavovalo 20,6% (na vidieku činil tento podiel  23,8 %) </w:t>
      </w:r>
      <w:r>
        <w:rPr>
          <w:rFonts w:ascii="Calibri" w:eastAsia="Calibri" w:hAnsi="Calibri"/>
          <w:szCs w:val="22"/>
          <w:lang w:eastAsia="en-US"/>
        </w:rPr>
        <w:t>(</w:t>
      </w:r>
      <w:r w:rsidRPr="002C1F59">
        <w:rPr>
          <w:rFonts w:ascii="Calibri" w:eastAsia="Calibri" w:hAnsi="Calibri"/>
          <w:b/>
          <w:szCs w:val="22"/>
          <w:lang w:eastAsia="en-US"/>
        </w:rPr>
        <w:t>CCI 9</w:t>
      </w:r>
      <w:r>
        <w:rPr>
          <w:rFonts w:ascii="Calibri" w:eastAsia="Calibri" w:hAnsi="Calibri"/>
          <w:szCs w:val="22"/>
          <w:lang w:eastAsia="en-US"/>
        </w:rPr>
        <w:t>)</w:t>
      </w:r>
      <w:r w:rsidRPr="00E43137">
        <w:rPr>
          <w:rFonts w:ascii="Calibri" w:eastAsia="Calibri" w:hAnsi="Calibri"/>
          <w:szCs w:val="22"/>
          <w:lang w:eastAsia="en-US"/>
        </w:rPr>
        <w:t xml:space="preserve">na celkovom počte obyvateľov (pod priemerom EÚ 27 - 24,2%). </w:t>
      </w:r>
    </w:p>
    <w:p w:rsidR="004E48D8" w:rsidRDefault="004E48D8" w:rsidP="00506997">
      <w:pPr>
        <w:keepNext/>
        <w:keepLines/>
        <w:pBdr>
          <w:bar w:val="single" w:sz="6" w:color="808080"/>
        </w:pBdr>
        <w:outlineLvl w:val="1"/>
        <w:rPr>
          <w:rFonts w:ascii="Calibri" w:hAnsi="Calibri"/>
          <w:b/>
          <w:bCs/>
          <w:szCs w:val="22"/>
        </w:rPr>
      </w:pPr>
    </w:p>
    <w:p w:rsidR="00A53BCF" w:rsidRPr="00E43137" w:rsidRDefault="00A53BCF" w:rsidP="00A53BCF">
      <w:pPr>
        <w:keepNext/>
        <w:keepLines/>
        <w:pBdr>
          <w:bar w:val="single" w:sz="6" w:color="808080"/>
        </w:pBdr>
        <w:spacing w:after="120"/>
        <w:outlineLvl w:val="1"/>
        <w:rPr>
          <w:rFonts w:ascii="Calibri" w:hAnsi="Calibri"/>
          <w:b/>
          <w:bCs/>
          <w:szCs w:val="22"/>
        </w:rPr>
      </w:pPr>
      <w:r w:rsidRPr="00E43137">
        <w:rPr>
          <w:rFonts w:ascii="Calibri" w:hAnsi="Calibri"/>
          <w:b/>
          <w:bCs/>
          <w:szCs w:val="22"/>
        </w:rPr>
        <w:t xml:space="preserve">Podnikateľská štruktúra </w:t>
      </w:r>
    </w:p>
    <w:p w:rsidR="00A53BCF" w:rsidRPr="00E43137" w:rsidRDefault="00A53BCF" w:rsidP="00A53BCF">
      <w:pPr>
        <w:pBdr>
          <w:bar w:val="single" w:sz="6" w:color="808080"/>
        </w:pBdr>
        <w:rPr>
          <w:rFonts w:ascii="Calibri" w:eastAsia="Calibri" w:hAnsi="Calibri"/>
          <w:szCs w:val="22"/>
          <w:lang w:eastAsia="en-US"/>
        </w:rPr>
      </w:pPr>
      <w:r w:rsidRPr="00E43137">
        <w:rPr>
          <w:rFonts w:ascii="Calibri" w:eastAsia="Calibri" w:hAnsi="Calibri"/>
          <w:szCs w:val="22"/>
          <w:lang w:eastAsia="en-US"/>
        </w:rPr>
        <w:t>Miera samostatne zárobkovo činných osôb (15–64 r.) v SR činila v roku 2012: 15,3 %</w:t>
      </w:r>
      <w:r>
        <w:rPr>
          <w:rFonts w:ascii="Calibri" w:eastAsia="Calibri" w:hAnsi="Calibri"/>
          <w:szCs w:val="22"/>
          <w:lang w:eastAsia="en-US"/>
        </w:rPr>
        <w:t xml:space="preserve"> (</w:t>
      </w:r>
      <w:r w:rsidRPr="002C1F59">
        <w:rPr>
          <w:rFonts w:ascii="Calibri" w:eastAsia="Calibri" w:hAnsi="Calibri"/>
          <w:b/>
          <w:szCs w:val="22"/>
          <w:lang w:eastAsia="en-US"/>
        </w:rPr>
        <w:t>CCI 6</w:t>
      </w:r>
      <w:r>
        <w:rPr>
          <w:rFonts w:ascii="Calibri" w:eastAsia="Calibri" w:hAnsi="Calibri"/>
          <w:szCs w:val="22"/>
          <w:lang w:eastAsia="en-US"/>
        </w:rPr>
        <w:t>)</w:t>
      </w:r>
      <w:r w:rsidRPr="00E43137">
        <w:rPr>
          <w:rFonts w:ascii="Calibri" w:eastAsia="Calibri" w:hAnsi="Calibri"/>
          <w:szCs w:val="22"/>
          <w:lang w:eastAsia="en-US"/>
        </w:rPr>
        <w:t xml:space="preserve">. Vo vidieckych regiónoch v roku 2011 podnikalo spolu 341 272 fyzických osôb, čo je v porovnaní s rokom 2001 nárast o 37,3 %. Právnických osôb bolo v 2011 v SR 210 087, na vidieku bolo 144 864. Zvyšovanie počtu podnikateľov na vidieku má stále značný potenciál rozvoja. </w:t>
      </w:r>
    </w:p>
    <w:p w:rsidR="00A53BCF" w:rsidRDefault="00A53BCF" w:rsidP="00A53BCF">
      <w:pPr>
        <w:keepNext/>
        <w:keepLines/>
        <w:pBdr>
          <w:bar w:val="single" w:sz="6" w:color="808080"/>
        </w:pBdr>
        <w:spacing w:after="120"/>
        <w:outlineLvl w:val="1"/>
        <w:rPr>
          <w:rFonts w:ascii="Calibri" w:hAnsi="Calibri"/>
          <w:b/>
          <w:bCs/>
          <w:szCs w:val="22"/>
        </w:rPr>
      </w:pPr>
    </w:p>
    <w:p w:rsidR="00A53BCF" w:rsidRPr="00E43137" w:rsidRDefault="00A53BCF" w:rsidP="00A53BCF">
      <w:pPr>
        <w:keepNext/>
        <w:keepLines/>
        <w:pBdr>
          <w:bar w:val="single" w:sz="6" w:color="808080"/>
        </w:pBdr>
        <w:spacing w:after="120"/>
        <w:outlineLvl w:val="1"/>
        <w:rPr>
          <w:rFonts w:ascii="Calibri" w:hAnsi="Calibri"/>
          <w:b/>
          <w:bCs/>
          <w:szCs w:val="22"/>
        </w:rPr>
      </w:pPr>
      <w:r w:rsidRPr="00E43137">
        <w:rPr>
          <w:rFonts w:ascii="Calibri" w:hAnsi="Calibri"/>
          <w:b/>
          <w:bCs/>
          <w:szCs w:val="22"/>
        </w:rPr>
        <w:t>Štruktúra ekonomiky – hrubá pridaná hodnota (GVA)</w:t>
      </w:r>
    </w:p>
    <w:p w:rsidR="00A53BCF" w:rsidRPr="00E43137" w:rsidRDefault="00A53BCF" w:rsidP="00A53BCF">
      <w:pPr>
        <w:pBdr>
          <w:bar w:val="single" w:sz="6" w:color="808080"/>
        </w:pBdr>
        <w:rPr>
          <w:rFonts w:ascii="Calibri" w:eastAsia="Calibri" w:hAnsi="Calibri"/>
          <w:szCs w:val="22"/>
          <w:lang w:eastAsia="en-US"/>
        </w:rPr>
      </w:pPr>
      <w:r w:rsidRPr="00E43137">
        <w:rPr>
          <w:rFonts w:ascii="Calibri" w:eastAsia="Calibri" w:hAnsi="Calibri"/>
          <w:szCs w:val="22"/>
          <w:lang w:eastAsia="en-US"/>
        </w:rPr>
        <w:t xml:space="preserve">Hrubá pridaná hodnota za rok  2012 dosiahla 65 409 mil. EUR. Najviac z tejto hodnoty vyprodukoval terciárny sektor </w:t>
      </w:r>
      <w:r w:rsidRPr="00E43137">
        <w:rPr>
          <w:rFonts w:ascii="Calibri" w:eastAsia="Calibri" w:hAnsi="Calibri"/>
          <w:color w:val="000000"/>
          <w:szCs w:val="22"/>
          <w:lang w:eastAsia="en-US"/>
        </w:rPr>
        <w:t>(</w:t>
      </w:r>
      <w:r w:rsidRPr="00E43137">
        <w:rPr>
          <w:rFonts w:ascii="Calibri" w:eastAsia="Calibri" w:hAnsi="Calibri"/>
          <w:szCs w:val="22"/>
          <w:lang w:eastAsia="en-US"/>
        </w:rPr>
        <w:t xml:space="preserve">60,5 %), menej sekundárny (35,9%)  a najmenej primárny sektor (3,6 %). </w:t>
      </w:r>
    </w:p>
    <w:p w:rsidR="00A53BCF" w:rsidRPr="00E43137" w:rsidRDefault="00A53BCF" w:rsidP="00A53BCF">
      <w:pPr>
        <w:pBdr>
          <w:bar w:val="single" w:sz="6" w:color="808080"/>
        </w:pBdr>
        <w:rPr>
          <w:rFonts w:ascii="Calibri" w:eastAsia="Calibri" w:hAnsi="Calibri"/>
          <w:szCs w:val="22"/>
          <w:lang w:eastAsia="en-US"/>
        </w:rPr>
      </w:pPr>
      <w:r w:rsidRPr="00E43137">
        <w:rPr>
          <w:rFonts w:ascii="Calibri" w:eastAsia="Calibri" w:hAnsi="Calibri"/>
          <w:szCs w:val="22"/>
          <w:lang w:eastAsia="en-US"/>
        </w:rPr>
        <w:t>V roku 2010 sa na tvorbe GVA najviac podieľali vidiecke oblasti (39,7 %), menej prechodné (32,5%) a najmenej mestské oblasti (27,8 %)</w:t>
      </w:r>
      <w:r>
        <w:rPr>
          <w:rFonts w:ascii="Calibri" w:eastAsia="Calibri" w:hAnsi="Calibri"/>
          <w:szCs w:val="22"/>
          <w:lang w:eastAsia="en-US"/>
        </w:rPr>
        <w:t>. Z tohto aspektu je potrebné podporovať vidiecke oblasti, ktoré sú zdrojmi vidieckej ekonomiky a zamestnanosti (</w:t>
      </w:r>
      <w:r w:rsidRPr="002E09B4">
        <w:rPr>
          <w:rFonts w:ascii="Calibri" w:eastAsia="Calibri" w:hAnsi="Calibri"/>
          <w:b/>
          <w:szCs w:val="22"/>
          <w:lang w:eastAsia="en-US"/>
        </w:rPr>
        <w:t>CCI 10</w:t>
      </w:r>
      <w:r>
        <w:rPr>
          <w:rFonts w:ascii="Calibri" w:eastAsia="Calibri" w:hAnsi="Calibri"/>
          <w:szCs w:val="22"/>
          <w:lang w:eastAsia="en-US"/>
        </w:rPr>
        <w:t>)</w:t>
      </w:r>
      <w:r w:rsidRPr="00E43137">
        <w:rPr>
          <w:rFonts w:ascii="Calibri" w:eastAsia="Calibri" w:hAnsi="Calibri"/>
          <w:szCs w:val="22"/>
          <w:lang w:eastAsia="en-US"/>
        </w:rPr>
        <w:t>.</w:t>
      </w:r>
    </w:p>
    <w:p w:rsidR="00A53BCF" w:rsidRDefault="00A53BCF" w:rsidP="00A53BCF">
      <w:pPr>
        <w:keepNext/>
        <w:keepLines/>
        <w:pBdr>
          <w:bar w:val="single" w:sz="6" w:color="808080"/>
        </w:pBdr>
        <w:shd w:val="clear" w:color="auto" w:fill="FFFFFF" w:themeFill="background1"/>
        <w:spacing w:after="120"/>
        <w:outlineLvl w:val="1"/>
        <w:rPr>
          <w:rFonts w:ascii="Calibri" w:hAnsi="Calibri"/>
          <w:b/>
          <w:bCs/>
          <w:szCs w:val="22"/>
        </w:rPr>
      </w:pPr>
    </w:p>
    <w:p w:rsidR="00A53BCF" w:rsidRPr="00B915C0" w:rsidRDefault="00A53BCF" w:rsidP="00A53BCF">
      <w:pPr>
        <w:keepNext/>
        <w:keepLines/>
        <w:pBdr>
          <w:bar w:val="single" w:sz="6" w:color="808080"/>
        </w:pBdr>
        <w:shd w:val="clear" w:color="auto" w:fill="FFFFFF" w:themeFill="background1"/>
        <w:spacing w:after="120"/>
        <w:outlineLvl w:val="1"/>
        <w:rPr>
          <w:rFonts w:ascii="Calibri" w:hAnsi="Calibri"/>
          <w:b/>
          <w:bCs/>
          <w:szCs w:val="22"/>
        </w:rPr>
      </w:pPr>
      <w:r w:rsidRPr="00B915C0">
        <w:rPr>
          <w:rFonts w:ascii="Calibri" w:hAnsi="Calibri"/>
          <w:b/>
          <w:bCs/>
          <w:szCs w:val="22"/>
        </w:rPr>
        <w:t xml:space="preserve">HDP na počet obyvateľov (GDP per capita) </w:t>
      </w:r>
    </w:p>
    <w:p w:rsidR="00A53BCF" w:rsidRDefault="00A53BCF" w:rsidP="00A53BCF">
      <w:pPr>
        <w:pBdr>
          <w:bar w:val="single" w:sz="6" w:color="808080"/>
        </w:pBdr>
        <w:shd w:val="clear" w:color="auto" w:fill="FFFFFF" w:themeFill="background1"/>
        <w:rPr>
          <w:rFonts w:ascii="Calibri" w:eastAsia="Calibri" w:hAnsi="Calibri"/>
          <w:b/>
          <w:szCs w:val="22"/>
          <w:lang w:eastAsia="en-US"/>
        </w:rPr>
      </w:pPr>
      <w:r w:rsidRPr="00B915C0">
        <w:rPr>
          <w:rFonts w:ascii="Calibri" w:eastAsia="Calibri" w:hAnsi="Calibri"/>
          <w:szCs w:val="22"/>
          <w:lang w:eastAsia="en-US"/>
        </w:rPr>
        <w:t xml:space="preserve">Hrubý domáci produkt na obyvateľa dosiahol v priemere v roku 2012  len 75 % úrovne štátov EÚ- 27.   Jeho výška bola rozdielna na vidieku a v mestských oblastiach. V roku 2010 predstavoval HDP na slovenskom vidieku len 57,7 % úrovne štátov EÚ-27  </w:t>
      </w:r>
      <w:r w:rsidRPr="00B915C0">
        <w:rPr>
          <w:rFonts w:ascii="Calibri" w:eastAsia="Calibri" w:hAnsi="Calibri"/>
          <w:b/>
          <w:szCs w:val="22"/>
          <w:lang w:eastAsia="en-US"/>
        </w:rPr>
        <w:t>(CCI 8)</w:t>
      </w:r>
    </w:p>
    <w:p w:rsidR="00A53BCF" w:rsidRPr="00DE4AD3" w:rsidRDefault="00A53BCF" w:rsidP="00A53BCF">
      <w:pPr>
        <w:pBdr>
          <w:bar w:val="single" w:sz="6" w:color="808080"/>
        </w:pBdr>
        <w:shd w:val="clear" w:color="auto" w:fill="FFFFFF" w:themeFill="background1"/>
        <w:rPr>
          <w:rFonts w:ascii="Calibri" w:eastAsia="Calibri" w:hAnsi="Calibri"/>
          <w:szCs w:val="22"/>
          <w:lang w:eastAsia="en-US"/>
        </w:rPr>
      </w:pPr>
    </w:p>
    <w:p w:rsidR="00A53BCF" w:rsidRPr="00AC1FEB" w:rsidRDefault="00F832C9" w:rsidP="00A53BCF">
      <w:pPr>
        <w:pBdr>
          <w:bar w:val="single" w:sz="6" w:color="808080"/>
        </w:pBdr>
        <w:shd w:val="clear" w:color="auto" w:fill="FFFFFF" w:themeFill="background1"/>
        <w:rPr>
          <w:rFonts w:ascii="Calibri" w:eastAsia="Calibri" w:hAnsi="Calibri"/>
          <w:b/>
          <w:szCs w:val="22"/>
          <w:lang w:eastAsia="en-US"/>
        </w:rPr>
      </w:pPr>
      <w:r>
        <w:rPr>
          <w:rFonts w:ascii="Calibri" w:eastAsia="Calibri" w:hAnsi="Calibri"/>
          <w:b/>
          <w:szCs w:val="22"/>
          <w:lang w:eastAsia="en-US"/>
        </w:rPr>
        <w:t xml:space="preserve">Tabuľka 5: </w:t>
      </w:r>
      <w:r w:rsidR="00A53BCF" w:rsidRPr="00AC1FEB">
        <w:rPr>
          <w:rFonts w:ascii="Calibri" w:eastAsia="Calibri" w:hAnsi="Calibri"/>
          <w:b/>
          <w:szCs w:val="22"/>
          <w:lang w:eastAsia="en-US"/>
        </w:rPr>
        <w:t xml:space="preserve">Podiel pôdohospodárstva na hrubej pridanej hodnote </w:t>
      </w:r>
    </w:p>
    <w:tbl>
      <w:tblPr>
        <w:tblW w:w="0" w:type="auto"/>
        <w:tblBorders>
          <w:top w:val="single" w:sz="8" w:space="0" w:color="9BBB59"/>
          <w:left w:val="single" w:sz="8" w:space="0" w:color="9BBB59"/>
          <w:bottom w:val="single" w:sz="8" w:space="0" w:color="9BBB59"/>
          <w:right w:val="single" w:sz="8" w:space="0" w:color="9BBB59"/>
          <w:insideH w:val="single" w:sz="8" w:space="0" w:color="9BBB59"/>
          <w:insideV w:val="single" w:sz="8" w:space="0" w:color="9BBB59"/>
        </w:tblBorders>
        <w:tblLook w:val="04A0" w:firstRow="1" w:lastRow="0" w:firstColumn="1" w:lastColumn="0" w:noHBand="0" w:noVBand="1"/>
      </w:tblPr>
      <w:tblGrid>
        <w:gridCol w:w="5495"/>
        <w:gridCol w:w="1134"/>
        <w:gridCol w:w="1134"/>
        <w:gridCol w:w="1447"/>
      </w:tblGrid>
      <w:tr w:rsidR="00A53BCF" w:rsidRPr="000E300E" w:rsidTr="00A53BCF">
        <w:tc>
          <w:tcPr>
            <w:tcW w:w="5495" w:type="dxa"/>
            <w:vMerge w:val="restart"/>
            <w:tcBorders>
              <w:top w:val="single" w:sz="8" w:space="0" w:color="9BBB59"/>
              <w:left w:val="single" w:sz="8" w:space="0" w:color="9BBB59"/>
              <w:bottom w:val="single" w:sz="18" w:space="0" w:color="9BBB59"/>
              <w:right w:val="single" w:sz="8" w:space="0" w:color="9BBB59"/>
            </w:tcBorders>
            <w:shd w:val="clear" w:color="auto" w:fill="auto"/>
            <w:vAlign w:val="center"/>
          </w:tcPr>
          <w:p w:rsidR="00A53BCF" w:rsidRPr="000E300E" w:rsidRDefault="00A53BCF" w:rsidP="00A53BCF">
            <w:pPr>
              <w:shd w:val="clear" w:color="auto" w:fill="FFFFFF" w:themeFill="background1"/>
              <w:rPr>
                <w:rFonts w:ascii="Calibri" w:hAnsi="Calibri"/>
                <w:bCs/>
                <w:color w:val="000000"/>
                <w:sz w:val="20"/>
                <w:szCs w:val="20"/>
              </w:rPr>
            </w:pPr>
            <w:r w:rsidRPr="000E300E">
              <w:rPr>
                <w:rFonts w:ascii="Calibri" w:hAnsi="Calibri"/>
                <w:bCs/>
                <w:color w:val="000000"/>
                <w:sz w:val="20"/>
                <w:szCs w:val="20"/>
              </w:rPr>
              <w:t>Ukazovateľ</w:t>
            </w:r>
          </w:p>
        </w:tc>
        <w:tc>
          <w:tcPr>
            <w:tcW w:w="2268" w:type="dxa"/>
            <w:gridSpan w:val="2"/>
            <w:tcBorders>
              <w:top w:val="single" w:sz="8" w:space="0" w:color="9BBB59"/>
              <w:left w:val="single" w:sz="8" w:space="0" w:color="9BBB59"/>
              <w:bottom w:val="single" w:sz="8" w:space="0" w:color="9BBB59"/>
              <w:right w:val="single" w:sz="8" w:space="0" w:color="9BBB59"/>
            </w:tcBorders>
            <w:shd w:val="clear" w:color="auto" w:fill="auto"/>
          </w:tcPr>
          <w:p w:rsidR="00A53BCF" w:rsidRPr="000E300E" w:rsidRDefault="00A53BCF" w:rsidP="00A53BCF">
            <w:pPr>
              <w:shd w:val="clear" w:color="auto" w:fill="FFFFFF" w:themeFill="background1"/>
              <w:jc w:val="center"/>
              <w:rPr>
                <w:rFonts w:ascii="Calibri" w:hAnsi="Calibri"/>
                <w:bCs/>
                <w:color w:val="000000"/>
                <w:sz w:val="20"/>
                <w:szCs w:val="20"/>
              </w:rPr>
            </w:pPr>
            <w:r w:rsidRPr="000E300E">
              <w:rPr>
                <w:rFonts w:ascii="Calibri" w:hAnsi="Calibri"/>
                <w:bCs/>
                <w:color w:val="000000"/>
                <w:sz w:val="20"/>
                <w:szCs w:val="20"/>
              </w:rPr>
              <w:t>Podiel v %</w:t>
            </w:r>
          </w:p>
        </w:tc>
        <w:tc>
          <w:tcPr>
            <w:tcW w:w="1447" w:type="dxa"/>
            <w:vMerge w:val="restart"/>
            <w:tcBorders>
              <w:top w:val="single" w:sz="8" w:space="0" w:color="9BBB59"/>
              <w:left w:val="single" w:sz="8" w:space="0" w:color="9BBB59"/>
              <w:bottom w:val="single" w:sz="18" w:space="0" w:color="9BBB59"/>
              <w:right w:val="single" w:sz="8" w:space="0" w:color="9BBB59"/>
            </w:tcBorders>
            <w:shd w:val="clear" w:color="auto" w:fill="auto"/>
          </w:tcPr>
          <w:p w:rsidR="00A53BCF" w:rsidRPr="000E300E" w:rsidRDefault="00A53BCF" w:rsidP="00A53BCF">
            <w:pPr>
              <w:shd w:val="clear" w:color="auto" w:fill="FFFFFF" w:themeFill="background1"/>
              <w:jc w:val="center"/>
              <w:rPr>
                <w:rFonts w:ascii="Calibri" w:hAnsi="Calibri"/>
                <w:bCs/>
                <w:snapToGrid w:val="0"/>
                <w:color w:val="000000"/>
                <w:sz w:val="20"/>
                <w:szCs w:val="20"/>
              </w:rPr>
            </w:pPr>
            <w:r w:rsidRPr="000E300E">
              <w:rPr>
                <w:rFonts w:ascii="Calibri" w:hAnsi="Calibri"/>
                <w:bCs/>
                <w:snapToGrid w:val="0"/>
                <w:color w:val="000000"/>
                <w:sz w:val="20"/>
                <w:szCs w:val="20"/>
              </w:rPr>
              <w:t>Rozdiel</w:t>
            </w:r>
          </w:p>
          <w:p w:rsidR="00A53BCF" w:rsidRPr="000E300E" w:rsidRDefault="00A53BCF" w:rsidP="00A53BCF">
            <w:pPr>
              <w:shd w:val="clear" w:color="auto" w:fill="FFFFFF" w:themeFill="background1"/>
              <w:jc w:val="center"/>
              <w:rPr>
                <w:rFonts w:ascii="Calibri" w:hAnsi="Calibri"/>
                <w:bCs/>
                <w:color w:val="000000"/>
                <w:sz w:val="20"/>
                <w:szCs w:val="20"/>
              </w:rPr>
            </w:pPr>
            <w:r w:rsidRPr="000E300E">
              <w:rPr>
                <w:rFonts w:ascii="Calibri" w:hAnsi="Calibri"/>
                <w:bCs/>
                <w:snapToGrid w:val="0"/>
                <w:color w:val="000000"/>
                <w:sz w:val="20"/>
                <w:szCs w:val="20"/>
              </w:rPr>
              <w:t>2012- 2011</w:t>
            </w:r>
          </w:p>
        </w:tc>
      </w:tr>
      <w:tr w:rsidR="00A53BCF" w:rsidRPr="000E300E" w:rsidTr="00A53BCF">
        <w:tc>
          <w:tcPr>
            <w:tcW w:w="5495" w:type="dxa"/>
            <w:vMerge/>
            <w:tcBorders>
              <w:top w:val="single" w:sz="8" w:space="0" w:color="9BBB59"/>
              <w:left w:val="single" w:sz="8" w:space="0" w:color="9BBB59"/>
              <w:bottom w:val="single" w:sz="8" w:space="0" w:color="9BBB59"/>
              <w:right w:val="single" w:sz="8" w:space="0" w:color="9BBB59"/>
            </w:tcBorders>
            <w:shd w:val="clear" w:color="auto" w:fill="auto"/>
          </w:tcPr>
          <w:p w:rsidR="00A53BCF" w:rsidRPr="000E300E" w:rsidRDefault="00A53BCF" w:rsidP="00A53BCF">
            <w:pPr>
              <w:shd w:val="clear" w:color="auto" w:fill="FFFFFF" w:themeFill="background1"/>
              <w:rPr>
                <w:rFonts w:ascii="Calibri" w:hAnsi="Calibri"/>
                <w:bCs/>
                <w:color w:val="000000"/>
                <w:sz w:val="20"/>
                <w:szCs w:val="20"/>
              </w:rPr>
            </w:pPr>
          </w:p>
        </w:tc>
        <w:tc>
          <w:tcPr>
            <w:tcW w:w="1134" w:type="dxa"/>
            <w:tcBorders>
              <w:top w:val="single" w:sz="8" w:space="0" w:color="9BBB59"/>
              <w:left w:val="single" w:sz="8" w:space="0" w:color="9BBB59"/>
              <w:bottom w:val="single" w:sz="8" w:space="0" w:color="9BBB59"/>
              <w:right w:val="single" w:sz="8" w:space="0" w:color="9BBB59"/>
            </w:tcBorders>
            <w:shd w:val="clear" w:color="auto" w:fill="auto"/>
          </w:tcPr>
          <w:p w:rsidR="00A53BCF" w:rsidRPr="000E300E" w:rsidRDefault="00A53BCF" w:rsidP="00A53BCF">
            <w:pPr>
              <w:shd w:val="clear" w:color="auto" w:fill="FFFFFF" w:themeFill="background1"/>
              <w:jc w:val="center"/>
              <w:rPr>
                <w:rFonts w:ascii="Calibri" w:hAnsi="Calibri"/>
                <w:color w:val="000000"/>
                <w:sz w:val="20"/>
                <w:szCs w:val="20"/>
              </w:rPr>
            </w:pPr>
            <w:r w:rsidRPr="000E300E">
              <w:rPr>
                <w:rFonts w:ascii="Calibri" w:hAnsi="Calibri"/>
                <w:color w:val="000000"/>
                <w:sz w:val="20"/>
                <w:szCs w:val="20"/>
              </w:rPr>
              <w:t>2011</w:t>
            </w:r>
          </w:p>
        </w:tc>
        <w:tc>
          <w:tcPr>
            <w:tcW w:w="1134" w:type="dxa"/>
            <w:tcBorders>
              <w:top w:val="single" w:sz="8" w:space="0" w:color="9BBB59"/>
              <w:left w:val="single" w:sz="8" w:space="0" w:color="9BBB59"/>
              <w:bottom w:val="single" w:sz="8" w:space="0" w:color="9BBB59"/>
              <w:right w:val="single" w:sz="8" w:space="0" w:color="9BBB59"/>
            </w:tcBorders>
            <w:shd w:val="clear" w:color="auto" w:fill="auto"/>
          </w:tcPr>
          <w:p w:rsidR="00A53BCF" w:rsidRPr="000E300E" w:rsidRDefault="00A53BCF" w:rsidP="00A53BCF">
            <w:pPr>
              <w:shd w:val="clear" w:color="auto" w:fill="FFFFFF" w:themeFill="background1"/>
              <w:jc w:val="center"/>
              <w:rPr>
                <w:rFonts w:ascii="Calibri" w:hAnsi="Calibri"/>
                <w:color w:val="000000"/>
                <w:sz w:val="20"/>
                <w:szCs w:val="20"/>
              </w:rPr>
            </w:pPr>
            <w:r w:rsidRPr="000E300E">
              <w:rPr>
                <w:rFonts w:ascii="Calibri" w:hAnsi="Calibri"/>
                <w:color w:val="000000"/>
                <w:sz w:val="20"/>
                <w:szCs w:val="20"/>
              </w:rPr>
              <w:t>2012</w:t>
            </w:r>
          </w:p>
        </w:tc>
        <w:tc>
          <w:tcPr>
            <w:tcW w:w="1447" w:type="dxa"/>
            <w:vMerge/>
            <w:tcBorders>
              <w:top w:val="single" w:sz="8" w:space="0" w:color="9BBB59"/>
              <w:left w:val="single" w:sz="8" w:space="0" w:color="9BBB59"/>
              <w:bottom w:val="single" w:sz="8" w:space="0" w:color="9BBB59"/>
              <w:right w:val="single" w:sz="8" w:space="0" w:color="9BBB59"/>
            </w:tcBorders>
            <w:shd w:val="clear" w:color="auto" w:fill="auto"/>
          </w:tcPr>
          <w:p w:rsidR="00A53BCF" w:rsidRPr="000E300E" w:rsidRDefault="00A53BCF" w:rsidP="00A53BCF">
            <w:pPr>
              <w:shd w:val="clear" w:color="auto" w:fill="FFFFFF" w:themeFill="background1"/>
              <w:rPr>
                <w:rFonts w:ascii="Calibri" w:hAnsi="Calibri"/>
                <w:color w:val="000000"/>
                <w:sz w:val="20"/>
                <w:szCs w:val="20"/>
              </w:rPr>
            </w:pPr>
          </w:p>
        </w:tc>
      </w:tr>
      <w:tr w:rsidR="00A53BCF" w:rsidRPr="000E300E" w:rsidTr="00A53BCF">
        <w:tc>
          <w:tcPr>
            <w:tcW w:w="5495" w:type="dxa"/>
            <w:tcBorders>
              <w:top w:val="single" w:sz="8" w:space="0" w:color="9BBB59"/>
              <w:left w:val="single" w:sz="8" w:space="0" w:color="9BBB59"/>
              <w:bottom w:val="single" w:sz="8" w:space="0" w:color="9BBB59"/>
              <w:right w:val="single" w:sz="8" w:space="0" w:color="9BBB59"/>
            </w:tcBorders>
            <w:shd w:val="clear" w:color="auto" w:fill="auto"/>
          </w:tcPr>
          <w:p w:rsidR="00A53BCF" w:rsidRPr="000E300E" w:rsidRDefault="00A53BCF" w:rsidP="00A53BCF">
            <w:pPr>
              <w:shd w:val="clear" w:color="auto" w:fill="FFFFFF" w:themeFill="background1"/>
              <w:rPr>
                <w:rFonts w:ascii="Calibri" w:hAnsi="Calibri"/>
                <w:bCs/>
                <w:color w:val="000000"/>
                <w:sz w:val="20"/>
                <w:szCs w:val="20"/>
              </w:rPr>
            </w:pPr>
            <w:r w:rsidRPr="000E300E">
              <w:rPr>
                <w:rFonts w:ascii="Calibri" w:hAnsi="Calibri"/>
                <w:bCs/>
                <w:color w:val="000000"/>
                <w:sz w:val="20"/>
                <w:szCs w:val="20"/>
              </w:rPr>
              <w:t>Podiel pôdohospodárstva na</w:t>
            </w:r>
            <w:r w:rsidRPr="000E300E">
              <w:rPr>
                <w:rFonts w:ascii="Calibri" w:hAnsi="Calibri"/>
                <w:bCs/>
                <w:color w:val="000000" w:themeColor="text1"/>
                <w:sz w:val="20"/>
                <w:szCs w:val="20"/>
              </w:rPr>
              <w:t xml:space="preserve">  </w:t>
            </w:r>
            <w:r w:rsidRPr="000E300E">
              <w:rPr>
                <w:rFonts w:ascii="Calibri" w:hAnsi="Calibri"/>
                <w:bCs/>
                <w:color w:val="000000"/>
                <w:sz w:val="20"/>
                <w:szCs w:val="20"/>
              </w:rPr>
              <w:t xml:space="preserve">hrubej pridanej hodnote (s. c.) </w:t>
            </w:r>
          </w:p>
        </w:tc>
        <w:tc>
          <w:tcPr>
            <w:tcW w:w="1134" w:type="dxa"/>
            <w:tcBorders>
              <w:top w:val="single" w:sz="8" w:space="0" w:color="9BBB59"/>
              <w:left w:val="single" w:sz="8" w:space="0" w:color="9BBB59"/>
              <w:bottom w:val="single" w:sz="8" w:space="0" w:color="9BBB59"/>
              <w:right w:val="single" w:sz="8" w:space="0" w:color="9BBB59"/>
            </w:tcBorders>
            <w:shd w:val="clear" w:color="auto" w:fill="auto"/>
          </w:tcPr>
          <w:p w:rsidR="00A53BCF" w:rsidRPr="000E300E" w:rsidRDefault="00A53BCF" w:rsidP="00A53BCF">
            <w:pPr>
              <w:shd w:val="clear" w:color="auto" w:fill="FFFFFF" w:themeFill="background1"/>
              <w:jc w:val="right"/>
              <w:rPr>
                <w:rFonts w:ascii="Calibri" w:hAnsi="Calibri"/>
                <w:color w:val="000000"/>
                <w:sz w:val="20"/>
                <w:szCs w:val="20"/>
              </w:rPr>
            </w:pPr>
            <w:r w:rsidRPr="000E300E">
              <w:rPr>
                <w:rFonts w:ascii="Calibri" w:hAnsi="Calibri"/>
                <w:color w:val="000000"/>
                <w:sz w:val="20"/>
                <w:szCs w:val="20"/>
              </w:rPr>
              <w:t>3,43</w:t>
            </w:r>
          </w:p>
        </w:tc>
        <w:tc>
          <w:tcPr>
            <w:tcW w:w="1134" w:type="dxa"/>
            <w:tcBorders>
              <w:top w:val="single" w:sz="8" w:space="0" w:color="9BBB59"/>
              <w:left w:val="single" w:sz="8" w:space="0" w:color="9BBB59"/>
              <w:bottom w:val="single" w:sz="8" w:space="0" w:color="9BBB59"/>
              <w:right w:val="single" w:sz="8" w:space="0" w:color="9BBB59"/>
            </w:tcBorders>
            <w:shd w:val="clear" w:color="auto" w:fill="auto"/>
          </w:tcPr>
          <w:p w:rsidR="00A53BCF" w:rsidRPr="000E300E" w:rsidRDefault="00A53BCF" w:rsidP="00A53BCF">
            <w:pPr>
              <w:shd w:val="clear" w:color="auto" w:fill="FFFFFF" w:themeFill="background1"/>
              <w:jc w:val="right"/>
              <w:rPr>
                <w:rFonts w:ascii="Calibri" w:hAnsi="Calibri"/>
                <w:color w:val="000000"/>
                <w:sz w:val="20"/>
                <w:szCs w:val="20"/>
              </w:rPr>
            </w:pPr>
            <w:r w:rsidRPr="000E300E">
              <w:rPr>
                <w:rFonts w:ascii="Calibri" w:hAnsi="Calibri"/>
                <w:color w:val="000000"/>
                <w:sz w:val="20"/>
                <w:szCs w:val="20"/>
              </w:rPr>
              <w:t>3,63</w:t>
            </w:r>
          </w:p>
        </w:tc>
        <w:tc>
          <w:tcPr>
            <w:tcW w:w="1447" w:type="dxa"/>
            <w:tcBorders>
              <w:top w:val="single" w:sz="8" w:space="0" w:color="9BBB59"/>
              <w:left w:val="single" w:sz="8" w:space="0" w:color="9BBB59"/>
              <w:bottom w:val="single" w:sz="8" w:space="0" w:color="9BBB59"/>
              <w:right w:val="single" w:sz="8" w:space="0" w:color="9BBB59"/>
            </w:tcBorders>
            <w:shd w:val="clear" w:color="auto" w:fill="auto"/>
          </w:tcPr>
          <w:p w:rsidR="00A53BCF" w:rsidRPr="000E300E" w:rsidRDefault="00A53BCF" w:rsidP="00A53BCF">
            <w:pPr>
              <w:shd w:val="clear" w:color="auto" w:fill="FFFFFF" w:themeFill="background1"/>
              <w:jc w:val="right"/>
              <w:rPr>
                <w:rFonts w:ascii="Calibri" w:hAnsi="Calibri"/>
                <w:color w:val="000000"/>
                <w:sz w:val="20"/>
                <w:szCs w:val="20"/>
              </w:rPr>
            </w:pPr>
            <w:r w:rsidRPr="000E300E">
              <w:rPr>
                <w:rFonts w:ascii="Calibri" w:hAnsi="Calibri"/>
                <w:color w:val="000000"/>
                <w:sz w:val="20"/>
                <w:szCs w:val="20"/>
              </w:rPr>
              <w:t>0,20</w:t>
            </w:r>
          </w:p>
        </w:tc>
      </w:tr>
    </w:tbl>
    <w:p w:rsidR="00A53BCF" w:rsidRPr="00434EE3" w:rsidRDefault="00A53BCF" w:rsidP="00A53BCF">
      <w:pPr>
        <w:pBdr>
          <w:bar w:val="single" w:sz="6" w:color="808080"/>
        </w:pBdr>
        <w:shd w:val="clear" w:color="auto" w:fill="FFFFFF" w:themeFill="background1"/>
        <w:rPr>
          <w:rFonts w:ascii="Calibri" w:eastAsia="Calibri" w:hAnsi="Calibri"/>
          <w:sz w:val="20"/>
          <w:szCs w:val="20"/>
          <w:lang w:eastAsia="en-US"/>
        </w:rPr>
      </w:pPr>
      <w:r w:rsidRPr="00505442">
        <w:rPr>
          <w:rFonts w:ascii="Calibri" w:eastAsia="Calibri" w:hAnsi="Calibri"/>
          <w:sz w:val="20"/>
          <w:szCs w:val="20"/>
          <w:lang w:eastAsia="en-US"/>
        </w:rPr>
        <w:t>Prameň: ŠÚ SR</w:t>
      </w:r>
    </w:p>
    <w:p w:rsidR="00A53BCF" w:rsidRDefault="00A53BCF" w:rsidP="00A53BCF">
      <w:pPr>
        <w:pBdr>
          <w:bar w:val="single" w:sz="6" w:color="808080"/>
        </w:pBdr>
        <w:rPr>
          <w:rFonts w:ascii="Calibri" w:eastAsia="Calibri" w:hAnsi="Calibri"/>
          <w:szCs w:val="22"/>
          <w:lang w:eastAsia="en-US"/>
        </w:rPr>
      </w:pPr>
    </w:p>
    <w:p w:rsidR="00E43137" w:rsidRPr="00E43137" w:rsidRDefault="00E43137" w:rsidP="004E48D8">
      <w:pPr>
        <w:pBdr>
          <w:bar w:val="single" w:sz="6" w:color="808080"/>
        </w:pBdr>
        <w:rPr>
          <w:rFonts w:ascii="Calibri" w:eastAsia="Cambria" w:hAnsi="Calibri" w:cs="Cambria"/>
          <w:b/>
          <w:bCs/>
          <w:szCs w:val="22"/>
          <w:lang w:eastAsia="en-US"/>
        </w:rPr>
      </w:pPr>
      <w:r w:rsidRPr="00E43137">
        <w:rPr>
          <w:rFonts w:ascii="Calibri" w:eastAsia="Cambria" w:hAnsi="Calibri" w:cs="Cambria"/>
          <w:b/>
          <w:bCs/>
          <w:szCs w:val="22"/>
          <w:lang w:eastAsia="en-US"/>
        </w:rPr>
        <w:t xml:space="preserve">Produktivita práce podľa sektorov hospodárstva </w:t>
      </w:r>
    </w:p>
    <w:p w:rsidR="00A53BCF" w:rsidRDefault="00A53BCF" w:rsidP="00A53BCF">
      <w:pPr>
        <w:pBdr>
          <w:bar w:val="single" w:sz="6" w:color="808080"/>
        </w:pBdr>
        <w:spacing w:after="120"/>
        <w:rPr>
          <w:rFonts w:ascii="Calibri" w:eastAsia="Calibri" w:hAnsi="Calibri"/>
          <w:szCs w:val="22"/>
          <w:lang w:eastAsia="en-US"/>
        </w:rPr>
      </w:pPr>
      <w:r w:rsidRPr="00E43137">
        <w:rPr>
          <w:rFonts w:ascii="Calibri" w:eastAsia="Calibri" w:hAnsi="Calibri"/>
          <w:szCs w:val="22"/>
          <w:lang w:eastAsia="en-US"/>
        </w:rPr>
        <w:t>Produktivita práce na osobu dosiahla v hospodárstve SR v roku 2012 29 604,9 EUR s najvyššou úrovňou  v primárnom sektore (34 481,9 EUR/osoba), nižšou v sekundárnom (33629,4 EUR/ osoba) a najnižšou  v terciárnom sektore (27 419,3 EUR/osoba)</w:t>
      </w:r>
      <w:r>
        <w:rPr>
          <w:rFonts w:ascii="Calibri" w:eastAsia="Calibri" w:hAnsi="Calibri"/>
          <w:szCs w:val="22"/>
          <w:lang w:eastAsia="en-US"/>
        </w:rPr>
        <w:t xml:space="preserve"> (</w:t>
      </w:r>
      <w:r w:rsidRPr="002E09B4">
        <w:rPr>
          <w:rFonts w:ascii="Calibri" w:eastAsia="Calibri" w:hAnsi="Calibri"/>
          <w:b/>
          <w:szCs w:val="22"/>
          <w:lang w:eastAsia="en-US"/>
        </w:rPr>
        <w:t>CCI 12</w:t>
      </w:r>
      <w:r>
        <w:rPr>
          <w:rFonts w:ascii="Calibri" w:eastAsia="Calibri" w:hAnsi="Calibri"/>
          <w:szCs w:val="22"/>
          <w:lang w:eastAsia="en-US"/>
        </w:rPr>
        <w:t>)</w:t>
      </w:r>
      <w:r w:rsidRPr="00E43137">
        <w:rPr>
          <w:rFonts w:ascii="Calibri" w:eastAsia="Calibri" w:hAnsi="Calibri"/>
          <w:szCs w:val="22"/>
          <w:lang w:eastAsia="en-US"/>
        </w:rPr>
        <w:t xml:space="preserve">. </w:t>
      </w:r>
    </w:p>
    <w:p w:rsidR="00A53BCF" w:rsidRDefault="00A53BCF" w:rsidP="00A53BCF">
      <w:pPr>
        <w:pBdr>
          <w:bar w:val="single" w:sz="6" w:color="808080"/>
        </w:pBdr>
        <w:spacing w:after="120"/>
        <w:rPr>
          <w:rFonts w:ascii="Calibri" w:eastAsia="Calibri" w:hAnsi="Calibri"/>
          <w:szCs w:val="22"/>
          <w:lang w:eastAsia="en-US"/>
        </w:rPr>
      </w:pPr>
      <w:r w:rsidRPr="00905691">
        <w:rPr>
          <w:rFonts w:ascii="Calibri" w:eastAsia="Calibri" w:hAnsi="Calibri"/>
          <w:szCs w:val="22"/>
          <w:lang w:eastAsia="en-US"/>
        </w:rPr>
        <w:t>Podľa uvádzaných čísel bola produktivita práce na vidieku (24 971,2 EUR/osoba) a</w:t>
      </w:r>
      <w:r>
        <w:rPr>
          <w:rFonts w:ascii="Calibri" w:eastAsia="Calibri" w:hAnsi="Calibri"/>
          <w:szCs w:val="22"/>
          <w:lang w:eastAsia="en-US"/>
        </w:rPr>
        <w:t> </w:t>
      </w:r>
      <w:r w:rsidRPr="00905691">
        <w:rPr>
          <w:rFonts w:ascii="Calibri" w:eastAsia="Calibri" w:hAnsi="Calibri"/>
          <w:szCs w:val="22"/>
          <w:lang w:eastAsia="en-US"/>
        </w:rPr>
        <w:t>v</w:t>
      </w:r>
      <w:r>
        <w:rPr>
          <w:rFonts w:ascii="Calibri" w:eastAsia="Calibri" w:hAnsi="Calibri"/>
          <w:szCs w:val="22"/>
          <w:lang w:eastAsia="en-US"/>
        </w:rPr>
        <w:t xml:space="preserve"> </w:t>
      </w:r>
      <w:r w:rsidRPr="00905691">
        <w:rPr>
          <w:rFonts w:ascii="Calibri" w:eastAsia="Calibri" w:hAnsi="Calibri"/>
          <w:szCs w:val="22"/>
          <w:lang w:eastAsia="en-US"/>
        </w:rPr>
        <w:t>prechodných oblastiach (24 460,4 EUR/osoba) výrazne nižšia ako v mestských sídlach (39 466,9 Eur/osoba)</w:t>
      </w:r>
      <w:r>
        <w:rPr>
          <w:rFonts w:ascii="Calibri" w:eastAsia="Calibri" w:hAnsi="Calibri"/>
          <w:szCs w:val="22"/>
          <w:lang w:eastAsia="en-US"/>
        </w:rPr>
        <w:t xml:space="preserve"> (</w:t>
      </w:r>
      <w:r w:rsidRPr="002E09B4">
        <w:rPr>
          <w:rFonts w:ascii="Calibri" w:eastAsia="Calibri" w:hAnsi="Calibri"/>
          <w:b/>
          <w:szCs w:val="22"/>
          <w:lang w:eastAsia="en-US"/>
        </w:rPr>
        <w:t>CCI 12</w:t>
      </w:r>
      <w:r>
        <w:rPr>
          <w:rFonts w:ascii="Calibri" w:eastAsia="Calibri" w:hAnsi="Calibri"/>
          <w:szCs w:val="22"/>
          <w:lang w:eastAsia="en-US"/>
        </w:rPr>
        <w:t xml:space="preserve">). </w:t>
      </w:r>
      <w:r w:rsidRPr="00E43137">
        <w:rPr>
          <w:rFonts w:ascii="Calibri" w:eastAsia="Calibri" w:hAnsi="Calibri"/>
          <w:szCs w:val="22"/>
          <w:lang w:eastAsia="en-US"/>
        </w:rPr>
        <w:t>Produktivita práce v mestských oblastiach bola o 58 % vyššia ako vo vidieckych oblastiach.</w:t>
      </w:r>
    </w:p>
    <w:p w:rsidR="00A53BCF" w:rsidRDefault="00A53BCF" w:rsidP="00A53BCF">
      <w:pPr>
        <w:pBdr>
          <w:bar w:val="single" w:sz="6" w:color="808080"/>
        </w:pBdr>
        <w:shd w:val="clear" w:color="auto" w:fill="FFFFFF" w:themeFill="background1"/>
        <w:spacing w:after="120"/>
        <w:rPr>
          <w:rFonts w:ascii="Calibri" w:eastAsia="Calibri" w:hAnsi="Calibri"/>
          <w:szCs w:val="22"/>
          <w:lang w:eastAsia="en-US"/>
        </w:rPr>
      </w:pPr>
      <w:r>
        <w:rPr>
          <w:rFonts w:ascii="Calibri" w:eastAsia="Calibri" w:hAnsi="Calibri"/>
          <w:szCs w:val="22"/>
          <w:lang w:eastAsia="en-US"/>
        </w:rPr>
        <w:t>Produktivita práce je ovplyvnená investičnou aktivitou do strojov a zariadení, technológií, čo sa následne odráža v úspore živej práce. Ďalším faktorom je vzdelanostná úroveň manažmentu podnikov a poradenstvo. Podiel vysokokvalifikovaných a špecializovaných je nízky.</w:t>
      </w:r>
    </w:p>
    <w:p w:rsidR="00A53BCF" w:rsidRDefault="00A53BCF" w:rsidP="00A53BCF">
      <w:pPr>
        <w:rPr>
          <w:rFonts w:ascii="Calibri" w:hAnsi="Calibri"/>
          <w:szCs w:val="22"/>
        </w:rPr>
      </w:pPr>
    </w:p>
    <w:p w:rsidR="00E43137" w:rsidRPr="0045541C" w:rsidRDefault="00E43137" w:rsidP="0045541C">
      <w:pPr>
        <w:rPr>
          <w:b/>
          <w:szCs w:val="22"/>
        </w:rPr>
      </w:pPr>
      <w:r w:rsidRPr="0045541C">
        <w:rPr>
          <w:b/>
          <w:szCs w:val="22"/>
        </w:rPr>
        <w:t>Oblasť miestneho rozvoja</w:t>
      </w:r>
    </w:p>
    <w:p w:rsidR="00E43137" w:rsidRPr="0045541C" w:rsidRDefault="00E43137" w:rsidP="0045541C">
      <w:pPr>
        <w:rPr>
          <w:b/>
          <w:szCs w:val="22"/>
        </w:rPr>
      </w:pPr>
      <w:r w:rsidRPr="0045541C">
        <w:rPr>
          <w:b/>
          <w:szCs w:val="22"/>
        </w:rPr>
        <w:t>Obce</w:t>
      </w:r>
    </w:p>
    <w:p w:rsidR="00A53BCF" w:rsidRPr="00E43137" w:rsidRDefault="00A53BCF" w:rsidP="00F832C9">
      <w:pPr>
        <w:spacing w:after="120"/>
        <w:rPr>
          <w:rFonts w:ascii="Calibri" w:hAnsi="Calibri" w:cs="TimesNewRomanPSMT"/>
          <w:szCs w:val="22"/>
        </w:rPr>
      </w:pPr>
      <w:r w:rsidRPr="00B51D83">
        <w:rPr>
          <w:rFonts w:ascii="Calibri" w:hAnsi="Calibri"/>
          <w:szCs w:val="22"/>
        </w:rPr>
        <w:t xml:space="preserve">Ku koncu roka 2011 bolo na území SR  </w:t>
      </w:r>
      <w:r w:rsidRPr="00B51D83">
        <w:rPr>
          <w:rFonts w:ascii="Calibri" w:hAnsi="Calibri"/>
          <w:b/>
          <w:szCs w:val="22"/>
        </w:rPr>
        <w:t>2 890 obcí</w:t>
      </w:r>
      <w:r w:rsidRPr="00E43137">
        <w:rPr>
          <w:rFonts w:ascii="Calibri" w:hAnsi="Calibri"/>
          <w:szCs w:val="22"/>
        </w:rPr>
        <w:t xml:space="preserve"> na úrovni LAU2, z toho so štatútom mesta je 138 obcí. Najväčší podiel na sídelnej štruktúre v SR majú vidiecke obce do 5 000 obyvateľov. Tvorí až  2 756 obcí (95,4 % z celkového počtu obcí v SR), v ktorých žije 2 450 030 obyvateľov t. j. 45,3 % z celkového počtu obyvateľov SR (z toho 49,4 % mužov a 50,6 % žien).</w:t>
      </w:r>
      <w:r w:rsidRPr="00E43137">
        <w:rPr>
          <w:rFonts w:ascii="Calibri" w:hAnsi="Calibri" w:cs="TimesNewRomanPSMT"/>
          <w:szCs w:val="22"/>
        </w:rPr>
        <w:t xml:space="preserve"> V sídelnej štruktúre SR </w:t>
      </w:r>
      <w:r w:rsidRPr="00E43137">
        <w:rPr>
          <w:rFonts w:ascii="Calibri" w:hAnsi="Calibri" w:cs="TimesNewRomanPSMT"/>
          <w:b/>
          <w:szCs w:val="22"/>
        </w:rPr>
        <w:t>prevládajú malé obce do 1 000 obyvateľov, ktorých je až 66,2 % z celkového počtu</w:t>
      </w:r>
      <w:r w:rsidRPr="00E43137">
        <w:rPr>
          <w:rFonts w:ascii="Calibri" w:hAnsi="Calibri" w:cs="TimesNewRomanPSMT"/>
          <w:szCs w:val="22"/>
        </w:rPr>
        <w:t>. Žije v nich len 854 566 obyvateľov (t. j. 15,8 %) Slovenska s miernou prevahou žien (50,5 %). Tieto malé vidiecke obce však tvoria prirodzenú reprodukčnú základňu pracovných síl pre poľnohospodársku prvovýrobu. V dlhodobom pohľade (od roku 1950) je evidentný pokles podielu obyvateľstva v sídlach do 5000 obyvateľov a nárast podielu obyvateľstva v mestských sídlach. Iný pohľad však naznačuje vývoj v prvej dekáde tohto storočia.  Dochádza k poklesu počtu obyvateľov v obciach do 1 000 obyvateľov a mestách nad 50 000 obyvateľov a</w:t>
      </w:r>
      <w:r>
        <w:rPr>
          <w:rFonts w:ascii="Calibri" w:hAnsi="Calibri" w:cs="TimesNewRomanPSMT"/>
          <w:szCs w:val="22"/>
        </w:rPr>
        <w:t xml:space="preserve"> k </w:t>
      </w:r>
      <w:r w:rsidRPr="00E43137">
        <w:rPr>
          <w:rFonts w:ascii="Calibri" w:hAnsi="Calibri" w:cs="TimesNewRomanPSMT"/>
          <w:szCs w:val="22"/>
        </w:rPr>
        <w:t xml:space="preserve">sústavnému rastu počtu obyvateľov v sídlach od 1000 do 50 000 obyvateľov. Pritom k najvyššiemu rastu počtu obyvateľov dochádza v sídlach od 5 000 do 10 000 obyvateľov (o 7,3 %) a v sídlach od 2 000 do 5 000 obyvateľov (o 6,4 %).  </w:t>
      </w:r>
    </w:p>
    <w:p w:rsidR="00A53BCF" w:rsidRDefault="00A53BCF" w:rsidP="00F832C9">
      <w:pPr>
        <w:spacing w:after="120"/>
        <w:rPr>
          <w:rFonts w:ascii="Calibri" w:hAnsi="Calibri" w:cs="Calibri"/>
          <w:szCs w:val="22"/>
        </w:rPr>
      </w:pPr>
      <w:r w:rsidRPr="00E43137">
        <w:rPr>
          <w:rFonts w:ascii="Calibri" w:hAnsi="Calibri" w:cs="Calibri"/>
          <w:szCs w:val="22"/>
        </w:rPr>
        <w:t xml:space="preserve">V roku 2011 </w:t>
      </w:r>
      <w:r>
        <w:rPr>
          <w:rFonts w:ascii="Calibri" w:hAnsi="Calibri" w:cs="Calibri"/>
          <w:szCs w:val="22"/>
        </w:rPr>
        <w:t xml:space="preserve">bolo v SR </w:t>
      </w:r>
      <w:r w:rsidRPr="00E43137">
        <w:rPr>
          <w:rFonts w:ascii="Calibri" w:hAnsi="Calibri" w:cs="Calibri"/>
          <w:szCs w:val="22"/>
        </w:rPr>
        <w:t xml:space="preserve">1 913 obcí do 1 000 obyvateľov (66,2 % zo všetkých 2 890 obcí a žije v nich 15,1 % obyvateľstva) a 2 756 obcí do 5 000 obyvateľov (95,4 % a žije v nich 45,3 % obyvateľstva). V sídelnej štruktúre tvorí vidiecke obce rozhodujúci zložku. Z tabuľky č. 3 a 4 je vidno, že v uvedenom časovom horizonte 2003-2011 klesá počet malých vidieckych obcí v kategórii 200-499 a 500-999. </w:t>
      </w:r>
    </w:p>
    <w:p w:rsidR="00A53BCF" w:rsidRDefault="00A53BCF" w:rsidP="00F832C9">
      <w:pPr>
        <w:spacing w:after="120"/>
        <w:rPr>
          <w:rFonts w:ascii="Calibri" w:hAnsi="Calibri"/>
          <w:szCs w:val="22"/>
        </w:rPr>
      </w:pPr>
      <w:r w:rsidRPr="00E43137">
        <w:rPr>
          <w:rFonts w:ascii="Calibri" w:hAnsi="Calibri"/>
          <w:szCs w:val="22"/>
        </w:rPr>
        <w:t xml:space="preserve">Problémom týchto obcí je pretrvávajúca </w:t>
      </w:r>
      <w:r w:rsidRPr="00B51D83">
        <w:rPr>
          <w:rFonts w:ascii="Calibri" w:hAnsi="Calibri"/>
          <w:szCs w:val="22"/>
        </w:rPr>
        <w:t>slabá lokálna infraštruktúra,  vysoká priemerná zadlženosť v porovnaní s </w:t>
      </w:r>
      <w:r w:rsidDel="00673737">
        <w:t xml:space="preserve"> </w:t>
      </w:r>
      <w:r>
        <w:t xml:space="preserve">príjmovou zložkou jej rozpočtu </w:t>
      </w:r>
      <w:r w:rsidRPr="00B51D83">
        <w:rPr>
          <w:rFonts w:ascii="Calibri" w:hAnsi="Calibri"/>
          <w:szCs w:val="22"/>
        </w:rPr>
        <w:t>a nedôsledn</w:t>
      </w:r>
      <w:r>
        <w:rPr>
          <w:rFonts w:ascii="Calibri" w:hAnsi="Calibri"/>
          <w:szCs w:val="22"/>
        </w:rPr>
        <w:t>é</w:t>
      </w:r>
      <w:r w:rsidRPr="00B51D83">
        <w:rPr>
          <w:rFonts w:ascii="Calibri" w:hAnsi="Calibri"/>
          <w:szCs w:val="22"/>
        </w:rPr>
        <w:t xml:space="preserve"> nakladan</w:t>
      </w:r>
      <w:r>
        <w:rPr>
          <w:rFonts w:ascii="Calibri" w:hAnsi="Calibri"/>
          <w:szCs w:val="22"/>
        </w:rPr>
        <w:t>ie</w:t>
      </w:r>
      <w:r w:rsidRPr="00B51D83">
        <w:rPr>
          <w:rFonts w:ascii="Calibri" w:hAnsi="Calibri"/>
          <w:szCs w:val="22"/>
        </w:rPr>
        <w:t xml:space="preserve"> s verejnými zdrojmi v správe obc</w:t>
      </w:r>
      <w:r>
        <w:rPr>
          <w:rFonts w:ascii="Calibri" w:hAnsi="Calibri"/>
          <w:szCs w:val="22"/>
        </w:rPr>
        <w:t>í</w:t>
      </w:r>
      <w:r w:rsidRPr="00B51D83">
        <w:rPr>
          <w:rFonts w:ascii="Calibri" w:hAnsi="Calibri"/>
          <w:szCs w:val="22"/>
        </w:rPr>
        <w:t>.</w:t>
      </w:r>
      <w:r w:rsidRPr="00E43137">
        <w:rPr>
          <w:rFonts w:ascii="Calibri" w:hAnsi="Calibri"/>
          <w:szCs w:val="22"/>
        </w:rPr>
        <w:t xml:space="preserve"> </w:t>
      </w:r>
    </w:p>
    <w:p w:rsidR="00A53BCF" w:rsidRPr="00E43137" w:rsidRDefault="00A53BCF" w:rsidP="00F832C9">
      <w:pPr>
        <w:spacing w:after="120"/>
        <w:rPr>
          <w:rFonts w:ascii="Calibri" w:hAnsi="Calibri"/>
          <w:szCs w:val="22"/>
        </w:rPr>
      </w:pPr>
      <w:r w:rsidRPr="00E43137">
        <w:rPr>
          <w:rFonts w:ascii="Calibri" w:hAnsi="Calibri"/>
          <w:szCs w:val="22"/>
        </w:rPr>
        <w:t xml:space="preserve">Na tieto problémy sa poukazuje  v dokumente SAV Stratégia rozvoja slovenskej spoločnosti. Konštatuje, že </w:t>
      </w:r>
      <w:r w:rsidRPr="00E43137">
        <w:rPr>
          <w:rFonts w:ascii="Calibri" w:hAnsi="Calibri"/>
          <w:b/>
          <w:szCs w:val="22"/>
        </w:rPr>
        <w:t>na Slovensku je príliš veľa obcí s malým počtom obyvateľov</w:t>
      </w:r>
      <w:r w:rsidRPr="00E43137">
        <w:rPr>
          <w:rFonts w:ascii="Calibri" w:hAnsi="Calibri"/>
          <w:szCs w:val="22"/>
        </w:rPr>
        <w:t xml:space="preserve">, pričom podľa zákona musia zabezpečiť výkon verejnej správy v plnom rozsahu. </w:t>
      </w:r>
    </w:p>
    <w:p w:rsidR="00A53BCF" w:rsidRDefault="00A53BCF" w:rsidP="00A53BCF">
      <w:pPr>
        <w:rPr>
          <w:rFonts w:ascii="Calibri" w:hAnsi="Calibri"/>
          <w:szCs w:val="22"/>
        </w:rPr>
      </w:pPr>
      <w:r w:rsidRPr="00E43137">
        <w:rPr>
          <w:rFonts w:ascii="Calibri" w:hAnsi="Calibri"/>
          <w:szCs w:val="22"/>
        </w:rPr>
        <w:t xml:space="preserve">Existencia vidieckeho osídlenia a jeho konkurencieschopnosť je priamo závislá od pozície v sídelnom systéme (veľkosti a periferiality) vo vzťahu k centrám osídlenia (mestám). Nepriaznivé dispozície vidieckeho osídlenia prejavujúce sa najmä vo vyššom zastúpení malých obcí do 1000 obyvateľov. V malých sídlach najmä </w:t>
      </w:r>
      <w:r w:rsidRPr="00E43137">
        <w:rPr>
          <w:rFonts w:ascii="Calibri" w:hAnsi="Calibri"/>
          <w:b/>
          <w:szCs w:val="22"/>
        </w:rPr>
        <w:t>do 500 obyvateľov sa obce vyľudňujú</w:t>
      </w:r>
      <w:r w:rsidRPr="00E43137">
        <w:rPr>
          <w:rFonts w:ascii="Calibri" w:hAnsi="Calibri"/>
          <w:szCs w:val="22"/>
        </w:rPr>
        <w:t>, zhoršujú sa sociodemografické štruktúry, pre nedostatok pracovných príležitostí v týchto sídlach a spravidla aj v okolí pokračuje rezidenčná emigrácia za prácou.</w:t>
      </w:r>
    </w:p>
    <w:p w:rsidR="00A53BCF" w:rsidRDefault="00A53BCF" w:rsidP="00F832C9">
      <w:pPr>
        <w:spacing w:after="120"/>
        <w:rPr>
          <w:rFonts w:ascii="Calibri" w:hAnsi="Calibri"/>
          <w:szCs w:val="22"/>
        </w:rPr>
      </w:pPr>
      <w:r w:rsidRPr="00505442">
        <w:rPr>
          <w:rFonts w:ascii="Calibri" w:hAnsi="Calibri"/>
          <w:szCs w:val="22"/>
        </w:rPr>
        <w:t xml:space="preserve">Verejné investície </w:t>
      </w:r>
      <w:r>
        <w:rPr>
          <w:rFonts w:ascii="Calibri" w:hAnsi="Calibri"/>
          <w:szCs w:val="22"/>
        </w:rPr>
        <w:t xml:space="preserve">v rámci PRV SR 2007 – 2013  týkajúce sa obcí </w:t>
      </w:r>
      <w:r w:rsidRPr="00505442">
        <w:rPr>
          <w:rFonts w:ascii="Calibri" w:hAnsi="Calibri"/>
          <w:szCs w:val="22"/>
        </w:rPr>
        <w:t>sú podporované cez opatrenie „Základné služby pre vidiecke obyvateľstvo“</w:t>
      </w:r>
      <w:r>
        <w:rPr>
          <w:rFonts w:ascii="Calibri" w:hAnsi="Calibri"/>
          <w:szCs w:val="22"/>
        </w:rPr>
        <w:t xml:space="preserve"> (kód 321)</w:t>
      </w:r>
      <w:r w:rsidRPr="00505442">
        <w:rPr>
          <w:rFonts w:ascii="Calibri" w:hAnsi="Calibri"/>
          <w:szCs w:val="22"/>
        </w:rPr>
        <w:t xml:space="preserve"> a  „Obnova a rozvoj obcí</w:t>
      </w:r>
      <w:r>
        <w:rPr>
          <w:rFonts w:ascii="Calibri" w:hAnsi="Calibri"/>
          <w:szCs w:val="22"/>
        </w:rPr>
        <w:t xml:space="preserve">“ (kód 322). V rámci uvedených opatrení bol počet podporených obcí 1007 (28.02.2014, PPA). </w:t>
      </w:r>
    </w:p>
    <w:p w:rsidR="00A53BCF" w:rsidRPr="00622BA5" w:rsidRDefault="00A53BCF" w:rsidP="00F832C9">
      <w:pPr>
        <w:autoSpaceDE w:val="0"/>
        <w:autoSpaceDN w:val="0"/>
        <w:adjustRightInd w:val="0"/>
        <w:spacing w:after="120"/>
        <w:rPr>
          <w:rFonts w:eastAsiaTheme="minorHAnsi"/>
          <w:szCs w:val="22"/>
          <w:lang w:eastAsia="en-US"/>
        </w:rPr>
      </w:pPr>
      <w:r w:rsidRPr="00622BA5">
        <w:rPr>
          <w:rFonts w:eastAsiaTheme="minorHAnsi"/>
          <w:szCs w:val="22"/>
          <w:lang w:eastAsia="en-US"/>
        </w:rPr>
        <w:t>Podporené obce cez 3.4.1 (321), op. 3.4.2 (322) a op.4.1 (413) a jedinečný počet podporených obcí cez Os3 a Os4 k 28.02.2014 je 1251 obcí</w:t>
      </w:r>
      <w:r>
        <w:rPr>
          <w:rFonts w:eastAsiaTheme="minorHAnsi"/>
          <w:szCs w:val="22"/>
          <w:lang w:eastAsia="en-US"/>
        </w:rPr>
        <w:t xml:space="preserve"> (PPA)</w:t>
      </w:r>
      <w:r w:rsidRPr="00622BA5">
        <w:rPr>
          <w:rFonts w:eastAsiaTheme="minorHAnsi"/>
          <w:szCs w:val="22"/>
          <w:lang w:eastAsia="en-US"/>
        </w:rPr>
        <w:t>.</w:t>
      </w:r>
    </w:p>
    <w:p w:rsidR="00A53BCF" w:rsidRDefault="00A53BCF" w:rsidP="00F832C9">
      <w:pPr>
        <w:spacing w:after="120"/>
        <w:rPr>
          <w:rFonts w:ascii="Calibri" w:hAnsi="Calibri"/>
          <w:szCs w:val="22"/>
        </w:rPr>
      </w:pPr>
      <w:r>
        <w:rPr>
          <w:rFonts w:ascii="Calibri" w:hAnsi="Calibri"/>
          <w:szCs w:val="22"/>
        </w:rPr>
        <w:t>Podľa PPA na</w:t>
      </w:r>
      <w:r w:rsidRPr="00505442">
        <w:rPr>
          <w:rFonts w:ascii="Calibri" w:hAnsi="Calibri"/>
          <w:b/>
          <w:szCs w:val="22"/>
        </w:rPr>
        <w:t xml:space="preserve"> opatrenie  Základné služby pre vidiecke obyvateľstvo  bolo k 31.12.2013 ukončených 498 projektov</w:t>
      </w:r>
      <w:r w:rsidRPr="00505442">
        <w:rPr>
          <w:rFonts w:ascii="Calibri" w:hAnsi="Calibri"/>
          <w:szCs w:val="22"/>
        </w:rPr>
        <w:t xml:space="preserve"> pričom sa vyplatilo z verejných zdrojov 78 920</w:t>
      </w:r>
      <w:r>
        <w:rPr>
          <w:rFonts w:ascii="Calibri" w:hAnsi="Calibri"/>
          <w:szCs w:val="22"/>
        </w:rPr>
        <w:t> </w:t>
      </w:r>
      <w:r w:rsidRPr="00505442">
        <w:rPr>
          <w:rFonts w:ascii="Calibri" w:hAnsi="Calibri"/>
          <w:szCs w:val="22"/>
        </w:rPr>
        <w:t>834</w:t>
      </w:r>
      <w:r>
        <w:rPr>
          <w:rFonts w:ascii="Calibri" w:hAnsi="Calibri"/>
          <w:szCs w:val="22"/>
        </w:rPr>
        <w:t xml:space="preserve"> </w:t>
      </w:r>
      <w:r w:rsidRPr="00505442">
        <w:rPr>
          <w:rFonts w:ascii="Calibri" w:hAnsi="Calibri"/>
          <w:szCs w:val="22"/>
        </w:rPr>
        <w:t>€ z toho príspevok EPFRV 59 190</w:t>
      </w:r>
      <w:r>
        <w:rPr>
          <w:rFonts w:ascii="Calibri" w:hAnsi="Calibri"/>
          <w:szCs w:val="22"/>
        </w:rPr>
        <w:t> </w:t>
      </w:r>
      <w:r w:rsidRPr="00505442">
        <w:rPr>
          <w:rFonts w:ascii="Calibri" w:hAnsi="Calibri"/>
          <w:szCs w:val="22"/>
        </w:rPr>
        <w:t>623</w:t>
      </w:r>
      <w:r>
        <w:rPr>
          <w:rFonts w:ascii="Calibri" w:hAnsi="Calibri"/>
          <w:szCs w:val="22"/>
        </w:rPr>
        <w:t xml:space="preserve"> </w:t>
      </w:r>
      <w:r w:rsidRPr="00505442">
        <w:rPr>
          <w:rFonts w:ascii="Calibri" w:hAnsi="Calibri"/>
          <w:szCs w:val="22"/>
        </w:rPr>
        <w:t>€. Toto isté opatrenie sa implementovalo aj cez miestne ak</w:t>
      </w:r>
      <w:r>
        <w:rPr>
          <w:rFonts w:ascii="Calibri" w:hAnsi="Calibri"/>
          <w:szCs w:val="22"/>
        </w:rPr>
        <w:t xml:space="preserve">čné skupiny Os </w:t>
      </w:r>
      <w:r w:rsidRPr="00505442">
        <w:rPr>
          <w:rFonts w:ascii="Calibri" w:hAnsi="Calibri"/>
          <w:szCs w:val="22"/>
        </w:rPr>
        <w:t xml:space="preserve">4 – LEADER, kde bolo ukončených 366 projektov na ktoré sa vyplatilo 15 939 022 € z toho EPFRV 12 633 973 </w:t>
      </w:r>
      <w:r>
        <w:rPr>
          <w:rFonts w:ascii="Calibri" w:hAnsi="Calibri"/>
          <w:szCs w:val="22"/>
        </w:rPr>
        <w:t>€.</w:t>
      </w:r>
    </w:p>
    <w:p w:rsidR="00A53BCF" w:rsidRDefault="00A53BCF" w:rsidP="00A53BCF">
      <w:pPr>
        <w:rPr>
          <w:rFonts w:ascii="Calibri" w:hAnsi="Calibri"/>
          <w:szCs w:val="22"/>
        </w:rPr>
      </w:pPr>
      <w:r w:rsidRPr="00505442">
        <w:rPr>
          <w:rFonts w:ascii="Calibri" w:hAnsi="Calibri"/>
          <w:szCs w:val="22"/>
        </w:rPr>
        <w:t>V rámci celého opatrenia Základné služby pre vidiecke obyvateľstvo, na základe informácií o ukončených projektoch, boli dosiahnuté  nasledovné výsledky  k 31.12.2013:</w:t>
      </w:r>
    </w:p>
    <w:tbl>
      <w:tblPr>
        <w:tblW w:w="7364"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770"/>
        <w:gridCol w:w="1045"/>
        <w:gridCol w:w="1141"/>
        <w:gridCol w:w="1136"/>
        <w:gridCol w:w="1136"/>
        <w:gridCol w:w="1136"/>
      </w:tblGrid>
      <w:tr w:rsidR="00A53BCF" w:rsidRPr="009F41BD" w:rsidTr="00A53BCF">
        <w:trPr>
          <w:trHeight w:val="435"/>
        </w:trPr>
        <w:tc>
          <w:tcPr>
            <w:tcW w:w="1770" w:type="dxa"/>
            <w:shd w:val="clear" w:color="auto" w:fill="auto"/>
            <w:noWrap/>
            <w:vAlign w:val="center"/>
            <w:hideMark/>
          </w:tcPr>
          <w:p w:rsidR="00A53BCF" w:rsidRPr="009F41BD" w:rsidRDefault="00A53BCF" w:rsidP="00A53BCF">
            <w:pPr>
              <w:rPr>
                <w:rFonts w:ascii="Calibri" w:hAnsi="Calibri"/>
                <w:b/>
                <w:bCs/>
                <w:color w:val="000000"/>
                <w:sz w:val="18"/>
                <w:szCs w:val="18"/>
              </w:rPr>
            </w:pPr>
            <w:r w:rsidRPr="00505442">
              <w:rPr>
                <w:rFonts w:ascii="Calibri" w:hAnsi="Calibri"/>
                <w:b/>
                <w:bCs/>
                <w:color w:val="000000"/>
                <w:sz w:val="18"/>
                <w:szCs w:val="18"/>
              </w:rPr>
              <w:t>PRV 2007-2013</w:t>
            </w:r>
          </w:p>
        </w:tc>
        <w:tc>
          <w:tcPr>
            <w:tcW w:w="5594" w:type="dxa"/>
            <w:gridSpan w:val="5"/>
            <w:shd w:val="clear" w:color="000000" w:fill="CCFFFF"/>
            <w:vAlign w:val="center"/>
            <w:hideMark/>
          </w:tcPr>
          <w:p w:rsidR="00A53BCF" w:rsidRPr="009F41BD" w:rsidRDefault="00A53BCF" w:rsidP="00A53BCF">
            <w:pPr>
              <w:jc w:val="center"/>
              <w:rPr>
                <w:rFonts w:ascii="Calibri" w:hAnsi="Calibri" w:cs="Arial"/>
                <w:b/>
                <w:bCs/>
                <w:sz w:val="18"/>
                <w:szCs w:val="18"/>
              </w:rPr>
            </w:pPr>
            <w:r w:rsidRPr="00505442">
              <w:rPr>
                <w:rFonts w:ascii="Calibri" w:hAnsi="Calibri" w:cs="Arial"/>
                <w:b/>
                <w:bCs/>
                <w:sz w:val="18"/>
                <w:szCs w:val="18"/>
              </w:rPr>
              <w:t>Počet vystavaných, zrekonštruovaných, modernizovaných</w:t>
            </w:r>
          </w:p>
        </w:tc>
      </w:tr>
      <w:tr w:rsidR="00A53BCF" w:rsidRPr="009F41BD" w:rsidTr="00A53BCF">
        <w:trPr>
          <w:trHeight w:val="641"/>
        </w:trPr>
        <w:tc>
          <w:tcPr>
            <w:tcW w:w="1770" w:type="dxa"/>
            <w:shd w:val="clear" w:color="auto" w:fill="auto"/>
            <w:vAlign w:val="bottom"/>
            <w:hideMark/>
          </w:tcPr>
          <w:p w:rsidR="00A53BCF" w:rsidRPr="009F41BD" w:rsidRDefault="00A53BCF" w:rsidP="00A53BCF">
            <w:pPr>
              <w:rPr>
                <w:rFonts w:ascii="Calibri" w:hAnsi="Calibri"/>
                <w:b/>
                <w:bCs/>
                <w:color w:val="000000"/>
                <w:sz w:val="18"/>
                <w:szCs w:val="18"/>
              </w:rPr>
            </w:pPr>
            <w:r w:rsidRPr="00505442">
              <w:rPr>
                <w:rFonts w:ascii="Calibri" w:hAnsi="Calibri"/>
                <w:b/>
                <w:bCs/>
                <w:color w:val="000000"/>
                <w:sz w:val="18"/>
                <w:szCs w:val="18"/>
              </w:rPr>
              <w:t>Opatrenie  "Základné služby pre vidiecke obyvateľstvo"</w:t>
            </w:r>
          </w:p>
        </w:tc>
        <w:tc>
          <w:tcPr>
            <w:tcW w:w="1045" w:type="dxa"/>
            <w:shd w:val="clear" w:color="000000" w:fill="CCFFFF"/>
            <w:vAlign w:val="center"/>
            <w:hideMark/>
          </w:tcPr>
          <w:p w:rsidR="00A53BCF" w:rsidRPr="009F41BD" w:rsidRDefault="00A53BCF" w:rsidP="00A53BCF">
            <w:pPr>
              <w:jc w:val="center"/>
              <w:rPr>
                <w:rFonts w:ascii="Calibri" w:hAnsi="Calibri" w:cs="Arial"/>
                <w:b/>
                <w:bCs/>
                <w:sz w:val="18"/>
                <w:szCs w:val="18"/>
              </w:rPr>
            </w:pPr>
            <w:r w:rsidRPr="00505442">
              <w:rPr>
                <w:rFonts w:ascii="Calibri" w:hAnsi="Calibri" w:cs="Arial"/>
                <w:b/>
                <w:bCs/>
                <w:sz w:val="18"/>
                <w:szCs w:val="18"/>
              </w:rPr>
              <w:t>detských ihrísk</w:t>
            </w:r>
          </w:p>
        </w:tc>
        <w:tc>
          <w:tcPr>
            <w:tcW w:w="1141" w:type="dxa"/>
            <w:shd w:val="clear" w:color="000000" w:fill="CCFFFF"/>
            <w:vAlign w:val="center"/>
            <w:hideMark/>
          </w:tcPr>
          <w:p w:rsidR="00A53BCF" w:rsidRPr="009F41BD" w:rsidRDefault="00A53BCF" w:rsidP="00A53BCF">
            <w:pPr>
              <w:jc w:val="center"/>
              <w:rPr>
                <w:rFonts w:ascii="Calibri" w:hAnsi="Calibri" w:cs="Arial"/>
                <w:b/>
                <w:bCs/>
                <w:sz w:val="18"/>
                <w:szCs w:val="18"/>
              </w:rPr>
            </w:pPr>
            <w:r w:rsidRPr="00505442">
              <w:rPr>
                <w:rFonts w:ascii="Calibri" w:hAnsi="Calibri" w:cs="Arial"/>
                <w:b/>
                <w:bCs/>
                <w:sz w:val="18"/>
                <w:szCs w:val="18"/>
              </w:rPr>
              <w:t>športových ihrísk</w:t>
            </w:r>
          </w:p>
        </w:tc>
        <w:tc>
          <w:tcPr>
            <w:tcW w:w="1136" w:type="dxa"/>
            <w:shd w:val="clear" w:color="000000" w:fill="CCFFFF"/>
            <w:vAlign w:val="center"/>
            <w:hideMark/>
          </w:tcPr>
          <w:p w:rsidR="00A53BCF" w:rsidRPr="009F41BD" w:rsidRDefault="00A53BCF" w:rsidP="00A53BCF">
            <w:pPr>
              <w:jc w:val="center"/>
              <w:rPr>
                <w:rFonts w:ascii="Calibri" w:hAnsi="Calibri" w:cs="Arial"/>
                <w:b/>
                <w:bCs/>
                <w:sz w:val="18"/>
                <w:szCs w:val="18"/>
              </w:rPr>
            </w:pPr>
            <w:r w:rsidRPr="00505442">
              <w:rPr>
                <w:rFonts w:ascii="Calibri" w:hAnsi="Calibri" w:cs="Arial"/>
                <w:b/>
                <w:bCs/>
                <w:sz w:val="18"/>
                <w:szCs w:val="18"/>
              </w:rPr>
              <w:t>tržníc</w:t>
            </w:r>
          </w:p>
        </w:tc>
        <w:tc>
          <w:tcPr>
            <w:tcW w:w="1136" w:type="dxa"/>
            <w:shd w:val="clear" w:color="000000" w:fill="CCFFFF"/>
            <w:vAlign w:val="center"/>
            <w:hideMark/>
          </w:tcPr>
          <w:p w:rsidR="00A53BCF" w:rsidRPr="009F41BD" w:rsidRDefault="00A53BCF" w:rsidP="00A53BCF">
            <w:pPr>
              <w:jc w:val="center"/>
              <w:rPr>
                <w:rFonts w:ascii="Calibri" w:hAnsi="Calibri" w:cs="Arial"/>
                <w:b/>
                <w:bCs/>
                <w:sz w:val="18"/>
                <w:szCs w:val="18"/>
              </w:rPr>
            </w:pPr>
            <w:r w:rsidRPr="00505442">
              <w:rPr>
                <w:rFonts w:ascii="Calibri" w:hAnsi="Calibri" w:cs="Arial"/>
                <w:b/>
                <w:bCs/>
                <w:sz w:val="18"/>
                <w:szCs w:val="18"/>
              </w:rPr>
              <w:t>zastávok (napr. bus)</w:t>
            </w:r>
          </w:p>
        </w:tc>
        <w:tc>
          <w:tcPr>
            <w:tcW w:w="1136" w:type="dxa"/>
            <w:shd w:val="clear" w:color="000000" w:fill="CCFFFF"/>
            <w:vAlign w:val="center"/>
            <w:hideMark/>
          </w:tcPr>
          <w:p w:rsidR="00A53BCF" w:rsidRPr="009F41BD" w:rsidRDefault="00A53BCF" w:rsidP="00A53BCF">
            <w:pPr>
              <w:jc w:val="center"/>
              <w:rPr>
                <w:rFonts w:ascii="Calibri" w:hAnsi="Calibri" w:cs="Arial"/>
                <w:b/>
                <w:bCs/>
                <w:sz w:val="18"/>
                <w:szCs w:val="18"/>
              </w:rPr>
            </w:pPr>
            <w:r w:rsidRPr="00505442">
              <w:rPr>
                <w:rFonts w:ascii="Calibri" w:hAnsi="Calibri" w:cs="Arial"/>
                <w:b/>
                <w:bCs/>
                <w:sz w:val="18"/>
                <w:szCs w:val="18"/>
              </w:rPr>
              <w:t>miestneho rozhlasu</w:t>
            </w:r>
          </w:p>
        </w:tc>
      </w:tr>
      <w:tr w:rsidR="00A53BCF" w:rsidRPr="009F41BD" w:rsidTr="00A53BCF">
        <w:trPr>
          <w:trHeight w:val="300"/>
        </w:trPr>
        <w:tc>
          <w:tcPr>
            <w:tcW w:w="1770" w:type="dxa"/>
            <w:shd w:val="clear" w:color="auto" w:fill="auto"/>
            <w:vAlign w:val="center"/>
            <w:hideMark/>
          </w:tcPr>
          <w:p w:rsidR="00A53BCF" w:rsidRPr="009F41BD" w:rsidRDefault="00A53BCF" w:rsidP="00A53BCF">
            <w:pPr>
              <w:rPr>
                <w:rFonts w:ascii="Calibri" w:hAnsi="Calibri" w:cs="Arial CE"/>
                <w:sz w:val="18"/>
                <w:szCs w:val="18"/>
              </w:rPr>
            </w:pPr>
            <w:r w:rsidRPr="00505442">
              <w:rPr>
                <w:rFonts w:ascii="Calibri" w:hAnsi="Calibri" w:cs="Arial CE"/>
                <w:sz w:val="18"/>
                <w:szCs w:val="18"/>
              </w:rPr>
              <w:t>cez OS 3</w:t>
            </w:r>
          </w:p>
        </w:tc>
        <w:tc>
          <w:tcPr>
            <w:tcW w:w="1045" w:type="dxa"/>
            <w:shd w:val="clear" w:color="auto" w:fill="auto"/>
            <w:vAlign w:val="center"/>
            <w:hideMark/>
          </w:tcPr>
          <w:p w:rsidR="00A53BCF" w:rsidRPr="009F41BD" w:rsidRDefault="00A53BCF" w:rsidP="00A53BCF">
            <w:pPr>
              <w:jc w:val="right"/>
              <w:rPr>
                <w:rFonts w:ascii="Calibri" w:hAnsi="Calibri" w:cs="Arial CE"/>
                <w:sz w:val="18"/>
                <w:szCs w:val="18"/>
              </w:rPr>
            </w:pPr>
            <w:r w:rsidRPr="00505442">
              <w:rPr>
                <w:rFonts w:ascii="Calibri" w:hAnsi="Calibri" w:cs="Arial CE"/>
                <w:sz w:val="18"/>
                <w:szCs w:val="18"/>
              </w:rPr>
              <w:t>21</w:t>
            </w:r>
          </w:p>
        </w:tc>
        <w:tc>
          <w:tcPr>
            <w:tcW w:w="1141" w:type="dxa"/>
            <w:shd w:val="clear" w:color="auto" w:fill="auto"/>
            <w:vAlign w:val="center"/>
            <w:hideMark/>
          </w:tcPr>
          <w:p w:rsidR="00A53BCF" w:rsidRPr="009F41BD" w:rsidRDefault="00A53BCF" w:rsidP="00A53BCF">
            <w:pPr>
              <w:jc w:val="right"/>
              <w:rPr>
                <w:rFonts w:ascii="Calibri" w:hAnsi="Calibri" w:cs="Arial CE"/>
                <w:sz w:val="18"/>
                <w:szCs w:val="18"/>
              </w:rPr>
            </w:pPr>
            <w:r w:rsidRPr="00505442">
              <w:rPr>
                <w:rFonts w:ascii="Calibri" w:hAnsi="Calibri" w:cs="Arial CE"/>
                <w:sz w:val="18"/>
                <w:szCs w:val="18"/>
              </w:rPr>
              <w:t>47</w:t>
            </w:r>
          </w:p>
        </w:tc>
        <w:tc>
          <w:tcPr>
            <w:tcW w:w="1136" w:type="dxa"/>
            <w:shd w:val="clear" w:color="auto" w:fill="auto"/>
            <w:vAlign w:val="center"/>
            <w:hideMark/>
          </w:tcPr>
          <w:p w:rsidR="00A53BCF" w:rsidRPr="009F41BD" w:rsidRDefault="00A53BCF" w:rsidP="00A53BCF">
            <w:pPr>
              <w:jc w:val="right"/>
              <w:rPr>
                <w:rFonts w:ascii="Calibri" w:hAnsi="Calibri" w:cs="Arial CE"/>
                <w:sz w:val="18"/>
                <w:szCs w:val="18"/>
              </w:rPr>
            </w:pPr>
            <w:r w:rsidRPr="00505442">
              <w:rPr>
                <w:rFonts w:ascii="Calibri" w:hAnsi="Calibri" w:cs="Arial CE"/>
                <w:sz w:val="18"/>
                <w:szCs w:val="18"/>
              </w:rPr>
              <w:t>6</w:t>
            </w:r>
          </w:p>
        </w:tc>
        <w:tc>
          <w:tcPr>
            <w:tcW w:w="1136" w:type="dxa"/>
            <w:shd w:val="clear" w:color="auto" w:fill="auto"/>
            <w:vAlign w:val="center"/>
            <w:hideMark/>
          </w:tcPr>
          <w:p w:rsidR="00A53BCF" w:rsidRPr="009F41BD" w:rsidRDefault="00A53BCF" w:rsidP="00A53BCF">
            <w:pPr>
              <w:jc w:val="right"/>
              <w:rPr>
                <w:rFonts w:ascii="Calibri" w:hAnsi="Calibri" w:cs="Arial CE"/>
                <w:sz w:val="18"/>
                <w:szCs w:val="18"/>
              </w:rPr>
            </w:pPr>
            <w:r w:rsidRPr="00505442">
              <w:rPr>
                <w:rFonts w:ascii="Calibri" w:hAnsi="Calibri" w:cs="Arial CE"/>
                <w:sz w:val="18"/>
                <w:szCs w:val="18"/>
              </w:rPr>
              <w:t>51</w:t>
            </w:r>
          </w:p>
        </w:tc>
        <w:tc>
          <w:tcPr>
            <w:tcW w:w="1136" w:type="dxa"/>
            <w:shd w:val="clear" w:color="auto" w:fill="auto"/>
            <w:vAlign w:val="center"/>
            <w:hideMark/>
          </w:tcPr>
          <w:p w:rsidR="00A53BCF" w:rsidRPr="009F41BD" w:rsidRDefault="00A53BCF" w:rsidP="00A53BCF">
            <w:pPr>
              <w:jc w:val="right"/>
              <w:rPr>
                <w:rFonts w:ascii="Calibri" w:hAnsi="Calibri" w:cs="Arial CE"/>
                <w:sz w:val="18"/>
                <w:szCs w:val="18"/>
              </w:rPr>
            </w:pPr>
            <w:r w:rsidRPr="00505442">
              <w:rPr>
                <w:rFonts w:ascii="Calibri" w:hAnsi="Calibri" w:cs="Arial CE"/>
                <w:sz w:val="18"/>
                <w:szCs w:val="18"/>
              </w:rPr>
              <w:t>10</w:t>
            </w:r>
          </w:p>
        </w:tc>
      </w:tr>
      <w:tr w:rsidR="00A53BCF" w:rsidRPr="009F41BD" w:rsidTr="00A53BCF">
        <w:trPr>
          <w:trHeight w:val="315"/>
        </w:trPr>
        <w:tc>
          <w:tcPr>
            <w:tcW w:w="1770" w:type="dxa"/>
            <w:shd w:val="clear" w:color="auto" w:fill="auto"/>
            <w:vAlign w:val="center"/>
            <w:hideMark/>
          </w:tcPr>
          <w:p w:rsidR="00A53BCF" w:rsidRPr="009F41BD" w:rsidRDefault="00A53BCF" w:rsidP="00A53BCF">
            <w:pPr>
              <w:rPr>
                <w:rFonts w:ascii="Calibri" w:hAnsi="Calibri" w:cs="Arial CE"/>
                <w:sz w:val="18"/>
                <w:szCs w:val="18"/>
              </w:rPr>
            </w:pPr>
            <w:r w:rsidRPr="00505442">
              <w:rPr>
                <w:rFonts w:ascii="Calibri" w:hAnsi="Calibri" w:cs="Arial CE"/>
                <w:sz w:val="18"/>
                <w:szCs w:val="18"/>
              </w:rPr>
              <w:t>cez OS 4 - LEADER</w:t>
            </w:r>
          </w:p>
        </w:tc>
        <w:tc>
          <w:tcPr>
            <w:tcW w:w="1045" w:type="dxa"/>
            <w:shd w:val="clear" w:color="auto" w:fill="auto"/>
            <w:vAlign w:val="center"/>
            <w:hideMark/>
          </w:tcPr>
          <w:p w:rsidR="00A53BCF" w:rsidRPr="009F41BD" w:rsidRDefault="00A53BCF" w:rsidP="00A53BCF">
            <w:pPr>
              <w:jc w:val="right"/>
              <w:rPr>
                <w:rFonts w:ascii="Calibri" w:hAnsi="Calibri" w:cs="Arial CE"/>
                <w:sz w:val="18"/>
                <w:szCs w:val="18"/>
              </w:rPr>
            </w:pPr>
            <w:r w:rsidRPr="00505442">
              <w:rPr>
                <w:rFonts w:ascii="Calibri" w:hAnsi="Calibri" w:cs="Arial CE"/>
                <w:sz w:val="18"/>
                <w:szCs w:val="18"/>
              </w:rPr>
              <w:t>94</w:t>
            </w:r>
          </w:p>
        </w:tc>
        <w:tc>
          <w:tcPr>
            <w:tcW w:w="1141" w:type="dxa"/>
            <w:shd w:val="clear" w:color="auto" w:fill="auto"/>
            <w:vAlign w:val="center"/>
            <w:hideMark/>
          </w:tcPr>
          <w:p w:rsidR="00A53BCF" w:rsidRPr="009F41BD" w:rsidRDefault="00A53BCF" w:rsidP="00A53BCF">
            <w:pPr>
              <w:jc w:val="right"/>
              <w:rPr>
                <w:rFonts w:ascii="Calibri" w:hAnsi="Calibri" w:cs="Arial CE"/>
                <w:sz w:val="18"/>
                <w:szCs w:val="18"/>
              </w:rPr>
            </w:pPr>
            <w:r w:rsidRPr="00505442">
              <w:rPr>
                <w:rFonts w:ascii="Calibri" w:hAnsi="Calibri" w:cs="Arial CE"/>
                <w:sz w:val="18"/>
                <w:szCs w:val="18"/>
              </w:rPr>
              <w:t>109</w:t>
            </w:r>
          </w:p>
        </w:tc>
        <w:tc>
          <w:tcPr>
            <w:tcW w:w="1136" w:type="dxa"/>
            <w:shd w:val="clear" w:color="auto" w:fill="auto"/>
            <w:vAlign w:val="center"/>
            <w:hideMark/>
          </w:tcPr>
          <w:p w:rsidR="00A53BCF" w:rsidRPr="009F41BD" w:rsidRDefault="00A53BCF" w:rsidP="00A53BCF">
            <w:pPr>
              <w:jc w:val="right"/>
              <w:rPr>
                <w:rFonts w:ascii="Calibri" w:hAnsi="Calibri" w:cs="Arial CE"/>
                <w:sz w:val="18"/>
                <w:szCs w:val="18"/>
              </w:rPr>
            </w:pPr>
            <w:r w:rsidRPr="00505442">
              <w:rPr>
                <w:rFonts w:ascii="Calibri" w:hAnsi="Calibri" w:cs="Arial CE"/>
                <w:sz w:val="18"/>
                <w:szCs w:val="18"/>
              </w:rPr>
              <w:t>9</w:t>
            </w:r>
          </w:p>
        </w:tc>
        <w:tc>
          <w:tcPr>
            <w:tcW w:w="1136" w:type="dxa"/>
            <w:shd w:val="clear" w:color="auto" w:fill="auto"/>
            <w:vAlign w:val="center"/>
            <w:hideMark/>
          </w:tcPr>
          <w:p w:rsidR="00A53BCF" w:rsidRPr="009F41BD" w:rsidRDefault="00A53BCF" w:rsidP="00A53BCF">
            <w:pPr>
              <w:jc w:val="right"/>
              <w:rPr>
                <w:rFonts w:ascii="Calibri" w:hAnsi="Calibri" w:cs="Arial CE"/>
                <w:sz w:val="18"/>
                <w:szCs w:val="18"/>
              </w:rPr>
            </w:pPr>
            <w:r w:rsidRPr="00505442">
              <w:rPr>
                <w:rFonts w:ascii="Calibri" w:hAnsi="Calibri" w:cs="Arial CE"/>
                <w:sz w:val="18"/>
                <w:szCs w:val="18"/>
              </w:rPr>
              <w:t>59</w:t>
            </w:r>
          </w:p>
        </w:tc>
        <w:tc>
          <w:tcPr>
            <w:tcW w:w="1136" w:type="dxa"/>
            <w:shd w:val="clear" w:color="auto" w:fill="auto"/>
            <w:vAlign w:val="center"/>
            <w:hideMark/>
          </w:tcPr>
          <w:p w:rsidR="00A53BCF" w:rsidRPr="009F41BD" w:rsidRDefault="00A53BCF" w:rsidP="00A53BCF">
            <w:pPr>
              <w:jc w:val="right"/>
              <w:rPr>
                <w:rFonts w:ascii="Calibri" w:hAnsi="Calibri" w:cs="Arial CE"/>
                <w:sz w:val="18"/>
                <w:szCs w:val="18"/>
              </w:rPr>
            </w:pPr>
            <w:r w:rsidRPr="00505442">
              <w:rPr>
                <w:rFonts w:ascii="Calibri" w:hAnsi="Calibri" w:cs="Arial CE"/>
                <w:sz w:val="18"/>
                <w:szCs w:val="18"/>
              </w:rPr>
              <w:t>7</w:t>
            </w:r>
          </w:p>
        </w:tc>
      </w:tr>
      <w:tr w:rsidR="00A53BCF" w:rsidRPr="009F41BD" w:rsidTr="00A53BCF">
        <w:trPr>
          <w:trHeight w:val="315"/>
        </w:trPr>
        <w:tc>
          <w:tcPr>
            <w:tcW w:w="1770" w:type="dxa"/>
            <w:shd w:val="clear" w:color="auto" w:fill="auto"/>
            <w:noWrap/>
            <w:vAlign w:val="bottom"/>
            <w:hideMark/>
          </w:tcPr>
          <w:p w:rsidR="00A53BCF" w:rsidRPr="009F41BD" w:rsidRDefault="00A53BCF" w:rsidP="00A53BCF">
            <w:pPr>
              <w:rPr>
                <w:rFonts w:ascii="Calibri" w:hAnsi="Calibri"/>
                <w:b/>
                <w:bCs/>
                <w:color w:val="000000"/>
                <w:sz w:val="18"/>
                <w:szCs w:val="18"/>
              </w:rPr>
            </w:pPr>
            <w:r w:rsidRPr="00505442">
              <w:rPr>
                <w:rFonts w:ascii="Calibri" w:hAnsi="Calibri"/>
                <w:b/>
                <w:bCs/>
                <w:color w:val="000000"/>
                <w:sz w:val="18"/>
                <w:szCs w:val="18"/>
              </w:rPr>
              <w:t>spolu</w:t>
            </w:r>
          </w:p>
        </w:tc>
        <w:tc>
          <w:tcPr>
            <w:tcW w:w="1045" w:type="dxa"/>
            <w:shd w:val="clear" w:color="auto" w:fill="auto"/>
            <w:noWrap/>
            <w:vAlign w:val="bottom"/>
            <w:hideMark/>
          </w:tcPr>
          <w:p w:rsidR="00A53BCF" w:rsidRPr="009F41BD" w:rsidRDefault="00A53BCF" w:rsidP="00A53BCF">
            <w:pPr>
              <w:jc w:val="right"/>
              <w:rPr>
                <w:rFonts w:ascii="Calibri" w:hAnsi="Calibri"/>
                <w:b/>
                <w:bCs/>
                <w:color w:val="000000"/>
                <w:sz w:val="18"/>
                <w:szCs w:val="18"/>
              </w:rPr>
            </w:pPr>
            <w:r w:rsidRPr="00505442">
              <w:rPr>
                <w:rFonts w:ascii="Calibri" w:hAnsi="Calibri"/>
                <w:b/>
                <w:bCs/>
                <w:color w:val="000000"/>
                <w:sz w:val="18"/>
                <w:szCs w:val="18"/>
              </w:rPr>
              <w:t>115</w:t>
            </w:r>
          </w:p>
        </w:tc>
        <w:tc>
          <w:tcPr>
            <w:tcW w:w="1141" w:type="dxa"/>
            <w:shd w:val="clear" w:color="auto" w:fill="auto"/>
            <w:noWrap/>
            <w:vAlign w:val="bottom"/>
            <w:hideMark/>
          </w:tcPr>
          <w:p w:rsidR="00A53BCF" w:rsidRPr="009F41BD" w:rsidRDefault="00A53BCF" w:rsidP="00A53BCF">
            <w:pPr>
              <w:jc w:val="right"/>
              <w:rPr>
                <w:rFonts w:ascii="Calibri" w:hAnsi="Calibri"/>
                <w:b/>
                <w:bCs/>
                <w:color w:val="000000"/>
                <w:sz w:val="18"/>
                <w:szCs w:val="18"/>
              </w:rPr>
            </w:pPr>
            <w:r w:rsidRPr="00505442">
              <w:rPr>
                <w:rFonts w:ascii="Calibri" w:hAnsi="Calibri"/>
                <w:b/>
                <w:bCs/>
                <w:color w:val="000000"/>
                <w:sz w:val="18"/>
                <w:szCs w:val="18"/>
              </w:rPr>
              <w:t>156</w:t>
            </w:r>
          </w:p>
        </w:tc>
        <w:tc>
          <w:tcPr>
            <w:tcW w:w="1136" w:type="dxa"/>
            <w:shd w:val="clear" w:color="auto" w:fill="auto"/>
            <w:noWrap/>
            <w:vAlign w:val="bottom"/>
            <w:hideMark/>
          </w:tcPr>
          <w:p w:rsidR="00A53BCF" w:rsidRPr="009F41BD" w:rsidRDefault="00A53BCF" w:rsidP="00A53BCF">
            <w:pPr>
              <w:jc w:val="right"/>
              <w:rPr>
                <w:rFonts w:ascii="Calibri" w:hAnsi="Calibri"/>
                <w:b/>
                <w:bCs/>
                <w:color w:val="000000"/>
                <w:sz w:val="18"/>
                <w:szCs w:val="18"/>
              </w:rPr>
            </w:pPr>
            <w:r w:rsidRPr="00505442">
              <w:rPr>
                <w:rFonts w:ascii="Calibri" w:hAnsi="Calibri"/>
                <w:b/>
                <w:bCs/>
                <w:color w:val="000000"/>
                <w:sz w:val="18"/>
                <w:szCs w:val="18"/>
              </w:rPr>
              <w:t>15</w:t>
            </w:r>
          </w:p>
        </w:tc>
        <w:tc>
          <w:tcPr>
            <w:tcW w:w="1136" w:type="dxa"/>
            <w:shd w:val="clear" w:color="auto" w:fill="auto"/>
            <w:noWrap/>
            <w:vAlign w:val="bottom"/>
            <w:hideMark/>
          </w:tcPr>
          <w:p w:rsidR="00A53BCF" w:rsidRPr="009F41BD" w:rsidRDefault="00A53BCF" w:rsidP="00A53BCF">
            <w:pPr>
              <w:jc w:val="right"/>
              <w:rPr>
                <w:rFonts w:ascii="Calibri" w:hAnsi="Calibri"/>
                <w:b/>
                <w:bCs/>
                <w:color w:val="000000"/>
                <w:sz w:val="18"/>
                <w:szCs w:val="18"/>
              </w:rPr>
            </w:pPr>
            <w:r w:rsidRPr="00505442">
              <w:rPr>
                <w:rFonts w:ascii="Calibri" w:hAnsi="Calibri"/>
                <w:b/>
                <w:bCs/>
                <w:color w:val="000000"/>
                <w:sz w:val="18"/>
                <w:szCs w:val="18"/>
              </w:rPr>
              <w:t>110</w:t>
            </w:r>
          </w:p>
        </w:tc>
        <w:tc>
          <w:tcPr>
            <w:tcW w:w="1136" w:type="dxa"/>
            <w:shd w:val="clear" w:color="auto" w:fill="auto"/>
            <w:noWrap/>
            <w:vAlign w:val="bottom"/>
            <w:hideMark/>
          </w:tcPr>
          <w:p w:rsidR="00A53BCF" w:rsidRPr="009F41BD" w:rsidRDefault="00A53BCF" w:rsidP="00A53BCF">
            <w:pPr>
              <w:jc w:val="right"/>
              <w:rPr>
                <w:rFonts w:ascii="Calibri" w:hAnsi="Calibri"/>
                <w:b/>
                <w:bCs/>
                <w:color w:val="000000"/>
                <w:sz w:val="18"/>
                <w:szCs w:val="18"/>
              </w:rPr>
            </w:pPr>
            <w:r w:rsidRPr="00505442">
              <w:rPr>
                <w:rFonts w:ascii="Calibri" w:hAnsi="Calibri"/>
                <w:b/>
                <w:bCs/>
                <w:color w:val="000000"/>
                <w:sz w:val="18"/>
                <w:szCs w:val="18"/>
              </w:rPr>
              <w:t>17</w:t>
            </w:r>
          </w:p>
        </w:tc>
      </w:tr>
    </w:tbl>
    <w:p w:rsidR="00A53BCF" w:rsidRPr="009F41BD" w:rsidRDefault="00A53BCF" w:rsidP="00A53BCF">
      <w:pPr>
        <w:rPr>
          <w:rFonts w:ascii="Calibri" w:hAnsi="Calibri"/>
          <w:szCs w:val="22"/>
        </w:rPr>
      </w:pPr>
      <w:r w:rsidRPr="00505442">
        <w:rPr>
          <w:rFonts w:ascii="Calibri" w:hAnsi="Calibri"/>
          <w:szCs w:val="22"/>
        </w:rPr>
        <w:t>pokračovanie tabuľky</w:t>
      </w:r>
    </w:p>
    <w:tbl>
      <w:tblPr>
        <w:tblW w:w="7371"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843"/>
        <w:gridCol w:w="912"/>
        <w:gridCol w:w="1214"/>
        <w:gridCol w:w="1134"/>
        <w:gridCol w:w="1134"/>
        <w:gridCol w:w="1134"/>
      </w:tblGrid>
      <w:tr w:rsidR="00A53BCF" w:rsidRPr="009F41BD" w:rsidTr="00A53BCF">
        <w:trPr>
          <w:trHeight w:val="435"/>
        </w:trPr>
        <w:tc>
          <w:tcPr>
            <w:tcW w:w="1843" w:type="dxa"/>
            <w:shd w:val="clear" w:color="000000" w:fill="CCFFFF"/>
            <w:vAlign w:val="center"/>
          </w:tcPr>
          <w:p w:rsidR="00A53BCF" w:rsidRPr="009F41BD" w:rsidRDefault="00A53BCF" w:rsidP="00A53BCF">
            <w:pPr>
              <w:jc w:val="center"/>
              <w:rPr>
                <w:rFonts w:ascii="Calibri" w:hAnsi="Calibri" w:cs="Arial"/>
                <w:b/>
                <w:bCs/>
                <w:sz w:val="18"/>
                <w:szCs w:val="18"/>
              </w:rPr>
            </w:pPr>
            <w:r w:rsidRPr="009F41BD">
              <w:rPr>
                <w:rFonts w:ascii="Calibri" w:hAnsi="Calibri"/>
                <w:b/>
                <w:bCs/>
                <w:color w:val="000000"/>
                <w:sz w:val="18"/>
                <w:szCs w:val="18"/>
              </w:rPr>
              <w:t>PRV 2007-2013</w:t>
            </w:r>
          </w:p>
        </w:tc>
        <w:tc>
          <w:tcPr>
            <w:tcW w:w="5528" w:type="dxa"/>
            <w:gridSpan w:val="5"/>
            <w:shd w:val="clear" w:color="000000" w:fill="CCFFFF"/>
            <w:vAlign w:val="center"/>
            <w:hideMark/>
          </w:tcPr>
          <w:p w:rsidR="00A53BCF" w:rsidRPr="009F41BD" w:rsidRDefault="00A53BCF" w:rsidP="00A53BCF">
            <w:pPr>
              <w:jc w:val="center"/>
              <w:rPr>
                <w:rFonts w:ascii="Calibri" w:hAnsi="Calibri" w:cs="Arial"/>
                <w:b/>
                <w:bCs/>
                <w:sz w:val="18"/>
                <w:szCs w:val="18"/>
              </w:rPr>
            </w:pPr>
            <w:r w:rsidRPr="00505442">
              <w:rPr>
                <w:rFonts w:ascii="Calibri" w:hAnsi="Calibri" w:cs="Arial"/>
                <w:b/>
                <w:bCs/>
                <w:sz w:val="18"/>
                <w:szCs w:val="18"/>
              </w:rPr>
              <w:t>Počet zrekonštruovaných, modernizovaných</w:t>
            </w:r>
          </w:p>
        </w:tc>
      </w:tr>
      <w:tr w:rsidR="00A53BCF" w:rsidRPr="009F41BD" w:rsidTr="00A53BCF">
        <w:trPr>
          <w:trHeight w:val="567"/>
        </w:trPr>
        <w:tc>
          <w:tcPr>
            <w:tcW w:w="1843" w:type="dxa"/>
            <w:shd w:val="clear" w:color="000000" w:fill="CCFFFF"/>
            <w:vAlign w:val="bottom"/>
          </w:tcPr>
          <w:p w:rsidR="00A53BCF" w:rsidRDefault="00A53BCF" w:rsidP="00A53BCF">
            <w:pPr>
              <w:rPr>
                <w:rFonts w:ascii="Calibri" w:hAnsi="Calibri" w:cs="Arial"/>
                <w:b/>
                <w:bCs/>
                <w:sz w:val="18"/>
                <w:szCs w:val="18"/>
              </w:rPr>
            </w:pPr>
            <w:r w:rsidRPr="009F41BD">
              <w:rPr>
                <w:rFonts w:ascii="Calibri" w:hAnsi="Calibri"/>
                <w:b/>
                <w:bCs/>
                <w:color w:val="000000"/>
                <w:sz w:val="18"/>
                <w:szCs w:val="18"/>
              </w:rPr>
              <w:t>Opatrenie  "Základné služby pre vidiecke obyvateľstvo"</w:t>
            </w:r>
          </w:p>
        </w:tc>
        <w:tc>
          <w:tcPr>
            <w:tcW w:w="912" w:type="dxa"/>
            <w:shd w:val="clear" w:color="000000" w:fill="CCFFFF"/>
            <w:vAlign w:val="center"/>
            <w:hideMark/>
          </w:tcPr>
          <w:p w:rsidR="00A53BCF" w:rsidRPr="009F41BD" w:rsidRDefault="00A53BCF" w:rsidP="00A53BCF">
            <w:pPr>
              <w:jc w:val="center"/>
              <w:rPr>
                <w:rFonts w:ascii="Calibri" w:hAnsi="Calibri" w:cs="Arial"/>
                <w:b/>
                <w:bCs/>
                <w:sz w:val="18"/>
                <w:szCs w:val="18"/>
              </w:rPr>
            </w:pPr>
            <w:r w:rsidRPr="00505442">
              <w:rPr>
                <w:rFonts w:ascii="Calibri" w:hAnsi="Calibri" w:cs="Arial"/>
                <w:b/>
                <w:bCs/>
                <w:sz w:val="18"/>
                <w:szCs w:val="18"/>
              </w:rPr>
              <w:t>rekreačných zón</w:t>
            </w:r>
          </w:p>
        </w:tc>
        <w:tc>
          <w:tcPr>
            <w:tcW w:w="1214" w:type="dxa"/>
            <w:shd w:val="clear" w:color="000000" w:fill="CCFFFF"/>
            <w:vAlign w:val="center"/>
            <w:hideMark/>
          </w:tcPr>
          <w:p w:rsidR="00A53BCF" w:rsidRPr="009F41BD" w:rsidRDefault="00A53BCF" w:rsidP="00A53BCF">
            <w:pPr>
              <w:jc w:val="center"/>
              <w:rPr>
                <w:rFonts w:ascii="Calibri" w:hAnsi="Calibri" w:cs="Arial"/>
                <w:b/>
                <w:bCs/>
                <w:sz w:val="18"/>
                <w:szCs w:val="18"/>
              </w:rPr>
            </w:pPr>
            <w:r w:rsidRPr="00505442">
              <w:rPr>
                <w:rFonts w:ascii="Calibri" w:hAnsi="Calibri" w:cs="Arial"/>
                <w:b/>
                <w:bCs/>
                <w:sz w:val="18"/>
                <w:szCs w:val="18"/>
              </w:rPr>
              <w:t>obecných úradov</w:t>
            </w:r>
          </w:p>
        </w:tc>
        <w:tc>
          <w:tcPr>
            <w:tcW w:w="1134" w:type="dxa"/>
            <w:shd w:val="clear" w:color="000000" w:fill="CCFFFF"/>
            <w:vAlign w:val="center"/>
            <w:hideMark/>
          </w:tcPr>
          <w:p w:rsidR="00A53BCF" w:rsidRPr="009F41BD" w:rsidRDefault="00A53BCF" w:rsidP="00A53BCF">
            <w:pPr>
              <w:jc w:val="center"/>
              <w:rPr>
                <w:rFonts w:ascii="Calibri" w:hAnsi="Calibri" w:cs="Arial"/>
                <w:b/>
                <w:bCs/>
                <w:sz w:val="18"/>
                <w:szCs w:val="18"/>
              </w:rPr>
            </w:pPr>
            <w:r w:rsidRPr="00505442">
              <w:rPr>
                <w:rFonts w:ascii="Calibri" w:hAnsi="Calibri" w:cs="Arial"/>
                <w:b/>
                <w:bCs/>
                <w:sz w:val="18"/>
                <w:szCs w:val="18"/>
              </w:rPr>
              <w:t>kultúrnych domov</w:t>
            </w:r>
          </w:p>
        </w:tc>
        <w:tc>
          <w:tcPr>
            <w:tcW w:w="1134" w:type="dxa"/>
            <w:shd w:val="clear" w:color="000000" w:fill="CCFFFF"/>
            <w:vAlign w:val="center"/>
            <w:hideMark/>
          </w:tcPr>
          <w:p w:rsidR="00A53BCF" w:rsidRPr="009F41BD" w:rsidRDefault="00A53BCF" w:rsidP="00A53BCF">
            <w:pPr>
              <w:jc w:val="center"/>
              <w:rPr>
                <w:rFonts w:ascii="Calibri" w:hAnsi="Calibri" w:cs="Arial"/>
                <w:b/>
                <w:bCs/>
                <w:sz w:val="18"/>
                <w:szCs w:val="18"/>
              </w:rPr>
            </w:pPr>
            <w:r w:rsidRPr="00505442">
              <w:rPr>
                <w:rFonts w:ascii="Calibri" w:hAnsi="Calibri" w:cs="Arial"/>
                <w:b/>
                <w:bCs/>
                <w:sz w:val="18"/>
                <w:szCs w:val="18"/>
              </w:rPr>
              <w:t>domov smútku</w:t>
            </w:r>
          </w:p>
        </w:tc>
        <w:tc>
          <w:tcPr>
            <w:tcW w:w="1134" w:type="dxa"/>
            <w:shd w:val="clear" w:color="000000" w:fill="CCFFFF"/>
            <w:vAlign w:val="center"/>
            <w:hideMark/>
          </w:tcPr>
          <w:p w:rsidR="00A53BCF" w:rsidRPr="009F41BD" w:rsidRDefault="00A53BCF" w:rsidP="00A53BCF">
            <w:pPr>
              <w:jc w:val="center"/>
              <w:rPr>
                <w:rFonts w:ascii="Calibri" w:hAnsi="Calibri" w:cs="Arial"/>
                <w:b/>
                <w:bCs/>
                <w:sz w:val="18"/>
                <w:szCs w:val="18"/>
              </w:rPr>
            </w:pPr>
            <w:r w:rsidRPr="00505442">
              <w:rPr>
                <w:rFonts w:ascii="Calibri" w:hAnsi="Calibri" w:cs="Arial"/>
                <w:b/>
                <w:bCs/>
                <w:sz w:val="18"/>
                <w:szCs w:val="18"/>
              </w:rPr>
              <w:t>amfiteátra</w:t>
            </w:r>
          </w:p>
        </w:tc>
      </w:tr>
      <w:tr w:rsidR="00A53BCF" w:rsidRPr="009F41BD" w:rsidTr="00A53BCF">
        <w:trPr>
          <w:trHeight w:val="300"/>
        </w:trPr>
        <w:tc>
          <w:tcPr>
            <w:tcW w:w="1843" w:type="dxa"/>
            <w:vAlign w:val="center"/>
          </w:tcPr>
          <w:p w:rsidR="00A53BCF" w:rsidRDefault="00A53BCF" w:rsidP="00A53BCF">
            <w:pPr>
              <w:rPr>
                <w:rFonts w:ascii="Calibri" w:hAnsi="Calibri" w:cs="Arial CE"/>
                <w:sz w:val="18"/>
                <w:szCs w:val="18"/>
              </w:rPr>
            </w:pPr>
            <w:r w:rsidRPr="009F41BD">
              <w:rPr>
                <w:rFonts w:ascii="Calibri" w:hAnsi="Calibri" w:cs="Arial CE"/>
                <w:sz w:val="18"/>
                <w:szCs w:val="18"/>
              </w:rPr>
              <w:t>cez OS 3</w:t>
            </w:r>
          </w:p>
        </w:tc>
        <w:tc>
          <w:tcPr>
            <w:tcW w:w="912" w:type="dxa"/>
            <w:shd w:val="clear" w:color="auto" w:fill="auto"/>
            <w:vAlign w:val="center"/>
            <w:hideMark/>
          </w:tcPr>
          <w:p w:rsidR="00A53BCF" w:rsidRPr="009F41BD" w:rsidRDefault="00A53BCF" w:rsidP="00A53BCF">
            <w:pPr>
              <w:jc w:val="right"/>
              <w:rPr>
                <w:rFonts w:ascii="Calibri" w:hAnsi="Calibri" w:cs="Arial CE"/>
                <w:sz w:val="18"/>
                <w:szCs w:val="18"/>
              </w:rPr>
            </w:pPr>
            <w:r w:rsidRPr="00505442">
              <w:rPr>
                <w:rFonts w:ascii="Calibri" w:hAnsi="Calibri" w:cs="Arial CE"/>
                <w:sz w:val="18"/>
                <w:szCs w:val="18"/>
              </w:rPr>
              <w:t>10</w:t>
            </w:r>
          </w:p>
        </w:tc>
        <w:tc>
          <w:tcPr>
            <w:tcW w:w="1214" w:type="dxa"/>
            <w:shd w:val="clear" w:color="auto" w:fill="auto"/>
            <w:vAlign w:val="center"/>
            <w:hideMark/>
          </w:tcPr>
          <w:p w:rsidR="00A53BCF" w:rsidRPr="009F41BD" w:rsidRDefault="00A53BCF" w:rsidP="00A53BCF">
            <w:pPr>
              <w:jc w:val="right"/>
              <w:rPr>
                <w:rFonts w:ascii="Calibri" w:hAnsi="Calibri" w:cs="Arial CE"/>
                <w:sz w:val="18"/>
                <w:szCs w:val="18"/>
              </w:rPr>
            </w:pPr>
            <w:r w:rsidRPr="00505442">
              <w:rPr>
                <w:rFonts w:ascii="Calibri" w:hAnsi="Calibri" w:cs="Arial CE"/>
                <w:sz w:val="18"/>
                <w:szCs w:val="18"/>
              </w:rPr>
              <w:t>251</w:t>
            </w:r>
          </w:p>
        </w:tc>
        <w:tc>
          <w:tcPr>
            <w:tcW w:w="1134" w:type="dxa"/>
            <w:shd w:val="clear" w:color="auto" w:fill="auto"/>
            <w:vAlign w:val="center"/>
            <w:hideMark/>
          </w:tcPr>
          <w:p w:rsidR="00A53BCF" w:rsidRPr="009F41BD" w:rsidRDefault="00A53BCF" w:rsidP="00A53BCF">
            <w:pPr>
              <w:jc w:val="right"/>
              <w:rPr>
                <w:rFonts w:ascii="Calibri" w:hAnsi="Calibri" w:cs="Arial CE"/>
                <w:sz w:val="18"/>
                <w:szCs w:val="18"/>
              </w:rPr>
            </w:pPr>
            <w:r w:rsidRPr="00505442">
              <w:rPr>
                <w:rFonts w:ascii="Calibri" w:hAnsi="Calibri" w:cs="Arial CE"/>
                <w:sz w:val="18"/>
                <w:szCs w:val="18"/>
              </w:rPr>
              <w:t>304</w:t>
            </w:r>
          </w:p>
        </w:tc>
        <w:tc>
          <w:tcPr>
            <w:tcW w:w="1134" w:type="dxa"/>
            <w:shd w:val="clear" w:color="auto" w:fill="auto"/>
            <w:vAlign w:val="center"/>
            <w:hideMark/>
          </w:tcPr>
          <w:p w:rsidR="00A53BCF" w:rsidRPr="009F41BD" w:rsidRDefault="00A53BCF" w:rsidP="00A53BCF">
            <w:pPr>
              <w:jc w:val="right"/>
              <w:rPr>
                <w:rFonts w:ascii="Calibri" w:hAnsi="Calibri" w:cs="Arial CE"/>
                <w:sz w:val="18"/>
                <w:szCs w:val="18"/>
              </w:rPr>
            </w:pPr>
            <w:r w:rsidRPr="00505442">
              <w:rPr>
                <w:rFonts w:ascii="Calibri" w:hAnsi="Calibri" w:cs="Arial CE"/>
                <w:sz w:val="18"/>
                <w:szCs w:val="18"/>
              </w:rPr>
              <w:t>28</w:t>
            </w:r>
          </w:p>
        </w:tc>
        <w:tc>
          <w:tcPr>
            <w:tcW w:w="1134" w:type="dxa"/>
            <w:shd w:val="clear" w:color="auto" w:fill="auto"/>
            <w:vAlign w:val="center"/>
            <w:hideMark/>
          </w:tcPr>
          <w:p w:rsidR="00A53BCF" w:rsidRPr="009F41BD" w:rsidRDefault="00A53BCF" w:rsidP="00A53BCF">
            <w:pPr>
              <w:jc w:val="right"/>
              <w:rPr>
                <w:rFonts w:ascii="Calibri" w:hAnsi="Calibri" w:cs="Arial CE"/>
                <w:sz w:val="18"/>
                <w:szCs w:val="18"/>
              </w:rPr>
            </w:pPr>
            <w:r w:rsidRPr="00505442">
              <w:rPr>
                <w:rFonts w:ascii="Calibri" w:hAnsi="Calibri" w:cs="Arial CE"/>
                <w:sz w:val="18"/>
                <w:szCs w:val="18"/>
              </w:rPr>
              <w:t>11</w:t>
            </w:r>
          </w:p>
        </w:tc>
      </w:tr>
      <w:tr w:rsidR="00A53BCF" w:rsidRPr="009F41BD" w:rsidTr="00A53BCF">
        <w:trPr>
          <w:trHeight w:val="315"/>
        </w:trPr>
        <w:tc>
          <w:tcPr>
            <w:tcW w:w="1843" w:type="dxa"/>
            <w:vAlign w:val="center"/>
          </w:tcPr>
          <w:p w:rsidR="00A53BCF" w:rsidRDefault="00A53BCF" w:rsidP="00A53BCF">
            <w:pPr>
              <w:rPr>
                <w:rFonts w:ascii="Calibri" w:hAnsi="Calibri" w:cs="Arial CE"/>
                <w:sz w:val="18"/>
                <w:szCs w:val="18"/>
              </w:rPr>
            </w:pPr>
            <w:r w:rsidRPr="009F41BD">
              <w:rPr>
                <w:rFonts w:ascii="Calibri" w:hAnsi="Calibri" w:cs="Arial CE"/>
                <w:sz w:val="18"/>
                <w:szCs w:val="18"/>
              </w:rPr>
              <w:t>cez OS 4 - LEADER</w:t>
            </w:r>
          </w:p>
        </w:tc>
        <w:tc>
          <w:tcPr>
            <w:tcW w:w="912" w:type="dxa"/>
            <w:shd w:val="clear" w:color="auto" w:fill="auto"/>
            <w:vAlign w:val="center"/>
            <w:hideMark/>
          </w:tcPr>
          <w:p w:rsidR="00A53BCF" w:rsidRPr="009F41BD" w:rsidRDefault="00A53BCF" w:rsidP="00A53BCF">
            <w:pPr>
              <w:jc w:val="right"/>
              <w:rPr>
                <w:rFonts w:ascii="Calibri" w:hAnsi="Calibri" w:cs="Arial CE"/>
                <w:sz w:val="18"/>
                <w:szCs w:val="18"/>
              </w:rPr>
            </w:pPr>
            <w:r w:rsidRPr="00505442">
              <w:rPr>
                <w:rFonts w:ascii="Calibri" w:hAnsi="Calibri" w:cs="Arial CE"/>
                <w:sz w:val="18"/>
                <w:szCs w:val="18"/>
              </w:rPr>
              <w:t>4</w:t>
            </w:r>
          </w:p>
        </w:tc>
        <w:tc>
          <w:tcPr>
            <w:tcW w:w="1214" w:type="dxa"/>
            <w:shd w:val="clear" w:color="auto" w:fill="auto"/>
            <w:vAlign w:val="center"/>
            <w:hideMark/>
          </w:tcPr>
          <w:p w:rsidR="00A53BCF" w:rsidRPr="009F41BD" w:rsidRDefault="00A53BCF" w:rsidP="00A53BCF">
            <w:pPr>
              <w:jc w:val="right"/>
              <w:rPr>
                <w:rFonts w:ascii="Calibri" w:hAnsi="Calibri" w:cs="Arial CE"/>
                <w:sz w:val="18"/>
                <w:szCs w:val="18"/>
              </w:rPr>
            </w:pPr>
            <w:r w:rsidRPr="00505442">
              <w:rPr>
                <w:rFonts w:ascii="Calibri" w:hAnsi="Calibri" w:cs="Arial CE"/>
                <w:sz w:val="18"/>
                <w:szCs w:val="18"/>
              </w:rPr>
              <w:t>42</w:t>
            </w:r>
          </w:p>
        </w:tc>
        <w:tc>
          <w:tcPr>
            <w:tcW w:w="1134" w:type="dxa"/>
            <w:shd w:val="clear" w:color="auto" w:fill="auto"/>
            <w:vAlign w:val="center"/>
            <w:hideMark/>
          </w:tcPr>
          <w:p w:rsidR="00A53BCF" w:rsidRPr="009F41BD" w:rsidRDefault="00A53BCF" w:rsidP="00A53BCF">
            <w:pPr>
              <w:jc w:val="right"/>
              <w:rPr>
                <w:rFonts w:ascii="Calibri" w:hAnsi="Calibri" w:cs="Arial CE"/>
                <w:sz w:val="18"/>
                <w:szCs w:val="18"/>
              </w:rPr>
            </w:pPr>
            <w:r w:rsidRPr="00505442">
              <w:rPr>
                <w:rFonts w:ascii="Calibri" w:hAnsi="Calibri" w:cs="Arial CE"/>
                <w:sz w:val="18"/>
                <w:szCs w:val="18"/>
              </w:rPr>
              <w:t>40</w:t>
            </w:r>
          </w:p>
        </w:tc>
        <w:tc>
          <w:tcPr>
            <w:tcW w:w="1134" w:type="dxa"/>
            <w:shd w:val="clear" w:color="auto" w:fill="auto"/>
            <w:vAlign w:val="center"/>
            <w:hideMark/>
          </w:tcPr>
          <w:p w:rsidR="00A53BCF" w:rsidRPr="009F41BD" w:rsidRDefault="00A53BCF" w:rsidP="00A53BCF">
            <w:pPr>
              <w:jc w:val="right"/>
              <w:rPr>
                <w:rFonts w:ascii="Calibri" w:hAnsi="Calibri" w:cs="Arial CE"/>
                <w:sz w:val="18"/>
                <w:szCs w:val="18"/>
              </w:rPr>
            </w:pPr>
            <w:r w:rsidRPr="00505442">
              <w:rPr>
                <w:rFonts w:ascii="Calibri" w:hAnsi="Calibri" w:cs="Arial CE"/>
                <w:sz w:val="18"/>
                <w:szCs w:val="18"/>
              </w:rPr>
              <w:t>25</w:t>
            </w:r>
          </w:p>
        </w:tc>
        <w:tc>
          <w:tcPr>
            <w:tcW w:w="1134" w:type="dxa"/>
            <w:shd w:val="clear" w:color="auto" w:fill="auto"/>
            <w:vAlign w:val="center"/>
            <w:hideMark/>
          </w:tcPr>
          <w:p w:rsidR="00A53BCF" w:rsidRPr="009F41BD" w:rsidRDefault="00A53BCF" w:rsidP="00A53BCF">
            <w:pPr>
              <w:jc w:val="right"/>
              <w:rPr>
                <w:rFonts w:ascii="Calibri" w:hAnsi="Calibri" w:cs="Arial CE"/>
                <w:sz w:val="18"/>
                <w:szCs w:val="18"/>
              </w:rPr>
            </w:pPr>
            <w:r w:rsidRPr="00505442">
              <w:rPr>
                <w:rFonts w:ascii="Calibri" w:hAnsi="Calibri" w:cs="Arial CE"/>
                <w:sz w:val="18"/>
                <w:szCs w:val="18"/>
              </w:rPr>
              <w:t>17</w:t>
            </w:r>
          </w:p>
        </w:tc>
      </w:tr>
      <w:tr w:rsidR="00A53BCF" w:rsidRPr="009F41BD" w:rsidTr="00A53BCF">
        <w:trPr>
          <w:trHeight w:val="315"/>
        </w:trPr>
        <w:tc>
          <w:tcPr>
            <w:tcW w:w="1843" w:type="dxa"/>
            <w:vAlign w:val="bottom"/>
          </w:tcPr>
          <w:p w:rsidR="00A53BCF" w:rsidRDefault="00A53BCF" w:rsidP="00A53BCF">
            <w:pPr>
              <w:rPr>
                <w:rFonts w:ascii="Calibri" w:hAnsi="Calibri"/>
                <w:b/>
                <w:bCs/>
                <w:color w:val="000000"/>
                <w:sz w:val="18"/>
                <w:szCs w:val="18"/>
              </w:rPr>
            </w:pPr>
            <w:r w:rsidRPr="009F41BD">
              <w:rPr>
                <w:rFonts w:ascii="Calibri" w:hAnsi="Calibri"/>
                <w:b/>
                <w:bCs/>
                <w:color w:val="000000"/>
                <w:sz w:val="18"/>
                <w:szCs w:val="18"/>
              </w:rPr>
              <w:t>spolu</w:t>
            </w:r>
          </w:p>
        </w:tc>
        <w:tc>
          <w:tcPr>
            <w:tcW w:w="912" w:type="dxa"/>
            <w:shd w:val="clear" w:color="auto" w:fill="auto"/>
            <w:noWrap/>
            <w:vAlign w:val="bottom"/>
            <w:hideMark/>
          </w:tcPr>
          <w:p w:rsidR="00A53BCF" w:rsidRPr="009F41BD" w:rsidRDefault="00A53BCF" w:rsidP="00A53BCF">
            <w:pPr>
              <w:jc w:val="right"/>
              <w:rPr>
                <w:rFonts w:ascii="Calibri" w:hAnsi="Calibri"/>
                <w:b/>
                <w:bCs/>
                <w:color w:val="000000"/>
                <w:sz w:val="18"/>
                <w:szCs w:val="18"/>
              </w:rPr>
            </w:pPr>
            <w:r w:rsidRPr="00505442">
              <w:rPr>
                <w:rFonts w:ascii="Calibri" w:hAnsi="Calibri"/>
                <w:b/>
                <w:bCs/>
                <w:color w:val="000000"/>
                <w:sz w:val="18"/>
                <w:szCs w:val="18"/>
              </w:rPr>
              <w:t>14</w:t>
            </w:r>
          </w:p>
        </w:tc>
        <w:tc>
          <w:tcPr>
            <w:tcW w:w="1214" w:type="dxa"/>
            <w:shd w:val="clear" w:color="auto" w:fill="auto"/>
            <w:noWrap/>
            <w:vAlign w:val="bottom"/>
            <w:hideMark/>
          </w:tcPr>
          <w:p w:rsidR="00A53BCF" w:rsidRPr="009F41BD" w:rsidRDefault="00A53BCF" w:rsidP="00A53BCF">
            <w:pPr>
              <w:jc w:val="right"/>
              <w:rPr>
                <w:rFonts w:ascii="Calibri" w:hAnsi="Calibri"/>
                <w:b/>
                <w:bCs/>
                <w:color w:val="000000"/>
                <w:sz w:val="18"/>
                <w:szCs w:val="18"/>
              </w:rPr>
            </w:pPr>
            <w:r w:rsidRPr="00505442">
              <w:rPr>
                <w:rFonts w:ascii="Calibri" w:hAnsi="Calibri"/>
                <w:b/>
                <w:bCs/>
                <w:color w:val="000000"/>
                <w:sz w:val="18"/>
                <w:szCs w:val="18"/>
              </w:rPr>
              <w:t>293</w:t>
            </w:r>
          </w:p>
        </w:tc>
        <w:tc>
          <w:tcPr>
            <w:tcW w:w="1134" w:type="dxa"/>
            <w:shd w:val="clear" w:color="auto" w:fill="auto"/>
            <w:noWrap/>
            <w:vAlign w:val="bottom"/>
            <w:hideMark/>
          </w:tcPr>
          <w:p w:rsidR="00A53BCF" w:rsidRPr="009F41BD" w:rsidRDefault="00A53BCF" w:rsidP="00A53BCF">
            <w:pPr>
              <w:jc w:val="right"/>
              <w:rPr>
                <w:rFonts w:ascii="Calibri" w:hAnsi="Calibri"/>
                <w:b/>
                <w:bCs/>
                <w:color w:val="000000"/>
                <w:sz w:val="18"/>
                <w:szCs w:val="18"/>
              </w:rPr>
            </w:pPr>
            <w:r w:rsidRPr="00505442">
              <w:rPr>
                <w:rFonts w:ascii="Calibri" w:hAnsi="Calibri"/>
                <w:b/>
                <w:bCs/>
                <w:color w:val="000000"/>
                <w:sz w:val="18"/>
                <w:szCs w:val="18"/>
              </w:rPr>
              <w:t>344</w:t>
            </w:r>
          </w:p>
        </w:tc>
        <w:tc>
          <w:tcPr>
            <w:tcW w:w="1134" w:type="dxa"/>
            <w:shd w:val="clear" w:color="auto" w:fill="auto"/>
            <w:noWrap/>
            <w:vAlign w:val="bottom"/>
            <w:hideMark/>
          </w:tcPr>
          <w:p w:rsidR="00A53BCF" w:rsidRPr="009F41BD" w:rsidRDefault="00A53BCF" w:rsidP="00A53BCF">
            <w:pPr>
              <w:jc w:val="right"/>
              <w:rPr>
                <w:rFonts w:ascii="Calibri" w:hAnsi="Calibri"/>
                <w:b/>
                <w:bCs/>
                <w:color w:val="000000"/>
                <w:sz w:val="18"/>
                <w:szCs w:val="18"/>
              </w:rPr>
            </w:pPr>
            <w:r w:rsidRPr="00505442">
              <w:rPr>
                <w:rFonts w:ascii="Calibri" w:hAnsi="Calibri"/>
                <w:b/>
                <w:bCs/>
                <w:color w:val="000000"/>
                <w:sz w:val="18"/>
                <w:szCs w:val="18"/>
              </w:rPr>
              <w:t>53</w:t>
            </w:r>
          </w:p>
        </w:tc>
        <w:tc>
          <w:tcPr>
            <w:tcW w:w="1134" w:type="dxa"/>
            <w:shd w:val="clear" w:color="auto" w:fill="auto"/>
            <w:noWrap/>
            <w:vAlign w:val="bottom"/>
            <w:hideMark/>
          </w:tcPr>
          <w:p w:rsidR="00A53BCF" w:rsidRPr="009F41BD" w:rsidRDefault="00A53BCF" w:rsidP="00A53BCF">
            <w:pPr>
              <w:jc w:val="right"/>
              <w:rPr>
                <w:rFonts w:ascii="Calibri" w:hAnsi="Calibri"/>
                <w:b/>
                <w:bCs/>
                <w:color w:val="000000"/>
                <w:sz w:val="18"/>
                <w:szCs w:val="18"/>
              </w:rPr>
            </w:pPr>
            <w:r w:rsidRPr="00505442">
              <w:rPr>
                <w:rFonts w:ascii="Calibri" w:hAnsi="Calibri"/>
                <w:b/>
                <w:bCs/>
                <w:color w:val="000000"/>
                <w:sz w:val="18"/>
                <w:szCs w:val="18"/>
              </w:rPr>
              <w:t>28</w:t>
            </w:r>
          </w:p>
        </w:tc>
      </w:tr>
    </w:tbl>
    <w:p w:rsidR="00A53BCF" w:rsidRDefault="00A53BCF" w:rsidP="00A53BCF">
      <w:pPr>
        <w:rPr>
          <w:rFonts w:ascii="Calibri" w:hAnsi="Calibri"/>
          <w:sz w:val="20"/>
          <w:szCs w:val="20"/>
        </w:rPr>
      </w:pPr>
      <w:r w:rsidRPr="00505442">
        <w:rPr>
          <w:rFonts w:ascii="Calibri" w:hAnsi="Calibri"/>
          <w:sz w:val="20"/>
          <w:szCs w:val="20"/>
        </w:rPr>
        <w:t>Prameň: PPA</w:t>
      </w:r>
    </w:p>
    <w:p w:rsidR="00E820E4" w:rsidRPr="009F41BD" w:rsidRDefault="00E820E4" w:rsidP="00A53BCF">
      <w:pPr>
        <w:rPr>
          <w:rFonts w:ascii="Calibri" w:hAnsi="Calibri"/>
          <w:sz w:val="20"/>
          <w:szCs w:val="20"/>
        </w:rPr>
      </w:pPr>
    </w:p>
    <w:p w:rsidR="00A53BCF" w:rsidRDefault="00A53BCF" w:rsidP="00A53BCF">
      <w:pPr>
        <w:rPr>
          <w:rFonts w:ascii="Calibri" w:hAnsi="Calibri"/>
          <w:szCs w:val="22"/>
        </w:rPr>
      </w:pPr>
      <w:r w:rsidRPr="00505442">
        <w:rPr>
          <w:rFonts w:ascii="Calibri" w:hAnsi="Calibri"/>
          <w:szCs w:val="22"/>
        </w:rPr>
        <w:t xml:space="preserve">Podľa počtu </w:t>
      </w:r>
      <w:r w:rsidR="00E820E4" w:rsidRPr="00505442">
        <w:rPr>
          <w:rFonts w:ascii="Calibri" w:hAnsi="Calibri"/>
          <w:szCs w:val="22"/>
        </w:rPr>
        <w:t>ukončených</w:t>
      </w:r>
      <w:r w:rsidRPr="00505442">
        <w:rPr>
          <w:rFonts w:ascii="Calibri" w:hAnsi="Calibri"/>
          <w:szCs w:val="22"/>
        </w:rPr>
        <w:t xml:space="preserve"> projektov podpora v rámci tohto opatrenia najviac smerovala najmä do športových a detských ihrísk a zastávok verejnej dopravy</w:t>
      </w:r>
      <w:r>
        <w:rPr>
          <w:rFonts w:ascii="Calibri" w:hAnsi="Calibri"/>
          <w:szCs w:val="22"/>
        </w:rPr>
        <w:t xml:space="preserve"> atď. (viď vyššie uvedenú tabuľku)</w:t>
      </w:r>
      <w:r w:rsidRPr="00505442">
        <w:rPr>
          <w:rFonts w:ascii="Calibri" w:hAnsi="Calibri"/>
          <w:szCs w:val="22"/>
        </w:rPr>
        <w:t xml:space="preserve">, kde prispela k ich skvalitneniu a tým aj k skvalitneniu života v obciach, kde boli tieto činnosti realizované. </w:t>
      </w:r>
    </w:p>
    <w:p w:rsidR="00A53BCF" w:rsidRDefault="00A53BCF" w:rsidP="00A53BCF">
      <w:pPr>
        <w:rPr>
          <w:rFonts w:ascii="Calibri" w:hAnsi="Calibri"/>
          <w:szCs w:val="22"/>
        </w:rPr>
      </w:pPr>
      <w:r>
        <w:rPr>
          <w:rFonts w:ascii="Calibri" w:hAnsi="Calibri"/>
          <w:szCs w:val="22"/>
        </w:rPr>
        <w:t>Podľa PPA n</w:t>
      </w:r>
      <w:r w:rsidRPr="00505442">
        <w:rPr>
          <w:rFonts w:ascii="Calibri" w:hAnsi="Calibri"/>
          <w:szCs w:val="22"/>
        </w:rPr>
        <w:t>a opatrenie  Obnova a rozvoj obcí  bolo  k 31.12.2013 ukončených 534 projektov pričom sa vyplatilo z verejných zdrojov 92 689 153 € z toho príspevok EPFRV 69 516</w:t>
      </w:r>
      <w:r>
        <w:rPr>
          <w:rFonts w:ascii="Calibri" w:hAnsi="Calibri"/>
          <w:szCs w:val="22"/>
        </w:rPr>
        <w:t> </w:t>
      </w:r>
      <w:r w:rsidRPr="00505442">
        <w:rPr>
          <w:rFonts w:ascii="Calibri" w:hAnsi="Calibri"/>
          <w:szCs w:val="22"/>
        </w:rPr>
        <w:t>862</w:t>
      </w:r>
      <w:r>
        <w:rPr>
          <w:rFonts w:ascii="Calibri" w:hAnsi="Calibri"/>
          <w:szCs w:val="22"/>
        </w:rPr>
        <w:t xml:space="preserve"> </w:t>
      </w:r>
      <w:r w:rsidRPr="00505442">
        <w:rPr>
          <w:rFonts w:ascii="Calibri" w:hAnsi="Calibri"/>
          <w:szCs w:val="22"/>
        </w:rPr>
        <w:t>€. Toto isté opatrenie sa implementovalo aj cez miestne akčné skupiny OS4 – LEADER, kde bolo ukončených 218 projektov na ktoré sa vyplatilo 10 149</w:t>
      </w:r>
      <w:r>
        <w:rPr>
          <w:rFonts w:ascii="Calibri" w:hAnsi="Calibri"/>
          <w:szCs w:val="22"/>
        </w:rPr>
        <w:t> </w:t>
      </w:r>
      <w:r w:rsidRPr="00505442">
        <w:rPr>
          <w:rFonts w:ascii="Calibri" w:hAnsi="Calibri"/>
          <w:szCs w:val="22"/>
        </w:rPr>
        <w:t>692</w:t>
      </w:r>
      <w:r>
        <w:rPr>
          <w:rFonts w:ascii="Calibri" w:hAnsi="Calibri"/>
          <w:szCs w:val="22"/>
        </w:rPr>
        <w:t xml:space="preserve"> </w:t>
      </w:r>
      <w:r w:rsidRPr="00505442">
        <w:rPr>
          <w:rFonts w:ascii="Calibri" w:hAnsi="Calibri"/>
          <w:szCs w:val="22"/>
        </w:rPr>
        <w:t>€ z toho EPFRV 8 068</w:t>
      </w:r>
      <w:r>
        <w:rPr>
          <w:rFonts w:ascii="Calibri" w:hAnsi="Calibri"/>
          <w:szCs w:val="22"/>
        </w:rPr>
        <w:t> </w:t>
      </w:r>
      <w:r w:rsidRPr="00505442">
        <w:rPr>
          <w:rFonts w:ascii="Calibri" w:hAnsi="Calibri"/>
          <w:szCs w:val="22"/>
        </w:rPr>
        <w:t>509</w:t>
      </w:r>
      <w:r>
        <w:rPr>
          <w:rFonts w:ascii="Calibri" w:hAnsi="Calibri"/>
          <w:szCs w:val="22"/>
        </w:rPr>
        <w:t xml:space="preserve"> </w:t>
      </w:r>
      <w:r w:rsidRPr="00505442">
        <w:rPr>
          <w:rFonts w:ascii="Calibri" w:hAnsi="Calibri"/>
          <w:szCs w:val="22"/>
        </w:rPr>
        <w:t>€</w:t>
      </w:r>
      <w:r>
        <w:rPr>
          <w:rFonts w:ascii="Calibri" w:hAnsi="Calibri"/>
          <w:szCs w:val="22"/>
        </w:rPr>
        <w:t>. Aj realizáciou tohto opatrenia sa prispelo k zlepšeniu kvality života v dotknutých obciach.</w:t>
      </w:r>
    </w:p>
    <w:p w:rsidR="00A53BCF" w:rsidRDefault="00A53BCF" w:rsidP="00A53BCF">
      <w:pPr>
        <w:rPr>
          <w:rFonts w:ascii="Calibri" w:hAnsi="Calibri"/>
          <w:szCs w:val="22"/>
        </w:rPr>
      </w:pPr>
    </w:p>
    <w:p w:rsidR="00A53BCF" w:rsidRPr="00AF4B4E" w:rsidRDefault="00A53BCF" w:rsidP="00A53BCF">
      <w:pPr>
        <w:rPr>
          <w:rFonts w:ascii="Calibri" w:hAnsi="Calibri"/>
          <w:szCs w:val="22"/>
        </w:rPr>
      </w:pPr>
      <w:r w:rsidRPr="00505442">
        <w:rPr>
          <w:rFonts w:ascii="Calibri" w:hAnsi="Calibri"/>
          <w:szCs w:val="22"/>
        </w:rPr>
        <w:t>V rámci celého opatrenia  Obnova a rozvoj obcí, na základe informácií o ukončených projektoch, boli dosiahnuté  nasledovné výsledky k  31.12.2013</w:t>
      </w:r>
      <w:r>
        <w:rPr>
          <w:rFonts w:ascii="Calibri" w:hAnsi="Calibri"/>
          <w:szCs w:val="22"/>
        </w:rPr>
        <w:t>, ako ukazuje nasledovná tabuľka</w:t>
      </w:r>
      <w:r w:rsidRPr="00505442">
        <w:rPr>
          <w:rFonts w:ascii="Calibri" w:hAnsi="Calibri"/>
          <w:szCs w:val="22"/>
        </w:rPr>
        <w:t>:</w:t>
      </w:r>
    </w:p>
    <w:tbl>
      <w:tblPr>
        <w:tblW w:w="8925" w:type="dxa"/>
        <w:tblInd w:w="55" w:type="dxa"/>
        <w:tblCellMar>
          <w:left w:w="70" w:type="dxa"/>
          <w:right w:w="70" w:type="dxa"/>
        </w:tblCellMar>
        <w:tblLook w:val="04A0" w:firstRow="1" w:lastRow="0" w:firstColumn="1" w:lastColumn="0" w:noHBand="0" w:noVBand="1"/>
      </w:tblPr>
      <w:tblGrid>
        <w:gridCol w:w="1723"/>
        <w:gridCol w:w="1034"/>
        <w:gridCol w:w="1135"/>
        <w:gridCol w:w="892"/>
        <w:gridCol w:w="1135"/>
        <w:gridCol w:w="1135"/>
        <w:gridCol w:w="858"/>
        <w:gridCol w:w="1013"/>
      </w:tblGrid>
      <w:tr w:rsidR="00A53BCF" w:rsidRPr="0008732F" w:rsidTr="00A53BCF">
        <w:trPr>
          <w:trHeight w:val="301"/>
        </w:trPr>
        <w:tc>
          <w:tcPr>
            <w:tcW w:w="17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53BCF" w:rsidRPr="0008732F" w:rsidRDefault="00A53BCF" w:rsidP="00A53BCF">
            <w:pPr>
              <w:rPr>
                <w:rFonts w:ascii="Calibri" w:hAnsi="Calibri"/>
                <w:b/>
                <w:bCs/>
                <w:color w:val="000000"/>
                <w:sz w:val="18"/>
                <w:szCs w:val="18"/>
              </w:rPr>
            </w:pPr>
            <w:r w:rsidRPr="00505442">
              <w:rPr>
                <w:rFonts w:ascii="Calibri" w:hAnsi="Calibri"/>
                <w:b/>
                <w:bCs/>
                <w:color w:val="000000"/>
                <w:sz w:val="18"/>
                <w:szCs w:val="18"/>
              </w:rPr>
              <w:t>PRV 2007-2013</w:t>
            </w:r>
          </w:p>
        </w:tc>
        <w:tc>
          <w:tcPr>
            <w:tcW w:w="1034" w:type="dxa"/>
            <w:tcBorders>
              <w:top w:val="nil"/>
              <w:left w:val="nil"/>
              <w:bottom w:val="nil"/>
              <w:right w:val="nil"/>
            </w:tcBorders>
            <w:shd w:val="clear" w:color="auto" w:fill="auto"/>
            <w:noWrap/>
            <w:vAlign w:val="bottom"/>
            <w:hideMark/>
          </w:tcPr>
          <w:p w:rsidR="00A53BCF" w:rsidRPr="0008732F" w:rsidRDefault="00A53BCF" w:rsidP="00A53BCF">
            <w:pPr>
              <w:rPr>
                <w:rFonts w:ascii="Calibri" w:hAnsi="Calibri"/>
                <w:color w:val="000000"/>
                <w:sz w:val="18"/>
                <w:szCs w:val="18"/>
              </w:rPr>
            </w:pPr>
          </w:p>
        </w:tc>
        <w:tc>
          <w:tcPr>
            <w:tcW w:w="1135" w:type="dxa"/>
            <w:tcBorders>
              <w:top w:val="nil"/>
              <w:left w:val="nil"/>
              <w:bottom w:val="nil"/>
              <w:right w:val="nil"/>
            </w:tcBorders>
            <w:shd w:val="clear" w:color="auto" w:fill="auto"/>
            <w:noWrap/>
            <w:vAlign w:val="bottom"/>
            <w:hideMark/>
          </w:tcPr>
          <w:p w:rsidR="00A53BCF" w:rsidRPr="0008732F" w:rsidRDefault="00A53BCF" w:rsidP="00A53BCF">
            <w:pPr>
              <w:rPr>
                <w:rFonts w:ascii="Calibri" w:hAnsi="Calibri"/>
                <w:color w:val="000000"/>
                <w:sz w:val="18"/>
                <w:szCs w:val="18"/>
              </w:rPr>
            </w:pPr>
          </w:p>
        </w:tc>
        <w:tc>
          <w:tcPr>
            <w:tcW w:w="892" w:type="dxa"/>
            <w:tcBorders>
              <w:top w:val="nil"/>
              <w:left w:val="nil"/>
              <w:bottom w:val="nil"/>
              <w:right w:val="nil"/>
            </w:tcBorders>
            <w:shd w:val="clear" w:color="auto" w:fill="auto"/>
            <w:noWrap/>
            <w:vAlign w:val="bottom"/>
            <w:hideMark/>
          </w:tcPr>
          <w:p w:rsidR="00A53BCF" w:rsidRPr="0008732F" w:rsidRDefault="00A53BCF" w:rsidP="00A53BCF">
            <w:pPr>
              <w:rPr>
                <w:rFonts w:ascii="Calibri" w:hAnsi="Calibri"/>
                <w:color w:val="000000"/>
                <w:sz w:val="18"/>
                <w:szCs w:val="18"/>
              </w:rPr>
            </w:pPr>
          </w:p>
        </w:tc>
        <w:tc>
          <w:tcPr>
            <w:tcW w:w="1135" w:type="dxa"/>
            <w:tcBorders>
              <w:top w:val="nil"/>
              <w:left w:val="nil"/>
              <w:bottom w:val="nil"/>
              <w:right w:val="nil"/>
            </w:tcBorders>
            <w:shd w:val="clear" w:color="auto" w:fill="auto"/>
            <w:noWrap/>
            <w:vAlign w:val="bottom"/>
            <w:hideMark/>
          </w:tcPr>
          <w:p w:rsidR="00A53BCF" w:rsidRPr="0008732F" w:rsidRDefault="00A53BCF" w:rsidP="00A53BCF">
            <w:pPr>
              <w:rPr>
                <w:rFonts w:ascii="Calibri" w:hAnsi="Calibri"/>
                <w:color w:val="000000"/>
                <w:sz w:val="18"/>
                <w:szCs w:val="18"/>
              </w:rPr>
            </w:pPr>
          </w:p>
        </w:tc>
        <w:tc>
          <w:tcPr>
            <w:tcW w:w="1135" w:type="dxa"/>
            <w:tcBorders>
              <w:top w:val="nil"/>
              <w:left w:val="nil"/>
              <w:bottom w:val="nil"/>
              <w:right w:val="nil"/>
            </w:tcBorders>
            <w:shd w:val="clear" w:color="auto" w:fill="auto"/>
            <w:noWrap/>
            <w:vAlign w:val="bottom"/>
            <w:hideMark/>
          </w:tcPr>
          <w:p w:rsidR="00A53BCF" w:rsidRPr="0008732F" w:rsidRDefault="00A53BCF" w:rsidP="00A53BCF">
            <w:pPr>
              <w:rPr>
                <w:rFonts w:ascii="Calibri" w:hAnsi="Calibri"/>
                <w:color w:val="000000"/>
                <w:sz w:val="18"/>
                <w:szCs w:val="18"/>
              </w:rPr>
            </w:pPr>
          </w:p>
        </w:tc>
        <w:tc>
          <w:tcPr>
            <w:tcW w:w="858" w:type="dxa"/>
            <w:tcBorders>
              <w:top w:val="nil"/>
              <w:left w:val="nil"/>
              <w:bottom w:val="nil"/>
              <w:right w:val="nil"/>
            </w:tcBorders>
            <w:shd w:val="clear" w:color="auto" w:fill="auto"/>
            <w:noWrap/>
            <w:vAlign w:val="bottom"/>
            <w:hideMark/>
          </w:tcPr>
          <w:p w:rsidR="00A53BCF" w:rsidRPr="0008732F" w:rsidRDefault="00A53BCF" w:rsidP="00A53BCF">
            <w:pPr>
              <w:rPr>
                <w:rFonts w:ascii="Calibri" w:hAnsi="Calibri"/>
                <w:color w:val="000000"/>
                <w:sz w:val="18"/>
                <w:szCs w:val="18"/>
              </w:rPr>
            </w:pPr>
          </w:p>
        </w:tc>
        <w:tc>
          <w:tcPr>
            <w:tcW w:w="1013" w:type="dxa"/>
            <w:tcBorders>
              <w:top w:val="nil"/>
              <w:left w:val="nil"/>
              <w:bottom w:val="nil"/>
              <w:right w:val="nil"/>
            </w:tcBorders>
            <w:shd w:val="clear" w:color="auto" w:fill="auto"/>
            <w:noWrap/>
            <w:vAlign w:val="bottom"/>
            <w:hideMark/>
          </w:tcPr>
          <w:p w:rsidR="00A53BCF" w:rsidRPr="0008732F" w:rsidRDefault="00A53BCF" w:rsidP="00A53BCF">
            <w:pPr>
              <w:rPr>
                <w:rFonts w:ascii="Calibri" w:hAnsi="Calibri"/>
                <w:color w:val="000000"/>
                <w:sz w:val="18"/>
                <w:szCs w:val="18"/>
              </w:rPr>
            </w:pPr>
          </w:p>
        </w:tc>
      </w:tr>
      <w:tr w:rsidR="00A53BCF" w:rsidRPr="0008732F" w:rsidTr="00A53BCF">
        <w:trPr>
          <w:trHeight w:val="1076"/>
        </w:trPr>
        <w:tc>
          <w:tcPr>
            <w:tcW w:w="1723" w:type="dxa"/>
            <w:tcBorders>
              <w:top w:val="nil"/>
              <w:left w:val="single" w:sz="4" w:space="0" w:color="auto"/>
              <w:bottom w:val="single" w:sz="4" w:space="0" w:color="auto"/>
              <w:right w:val="single" w:sz="4" w:space="0" w:color="auto"/>
            </w:tcBorders>
            <w:shd w:val="clear" w:color="auto" w:fill="auto"/>
            <w:vAlign w:val="bottom"/>
            <w:hideMark/>
          </w:tcPr>
          <w:p w:rsidR="00A53BCF" w:rsidRPr="0008732F" w:rsidRDefault="00A53BCF" w:rsidP="00A53BCF">
            <w:pPr>
              <w:rPr>
                <w:rFonts w:ascii="Calibri" w:hAnsi="Calibri"/>
                <w:b/>
                <w:bCs/>
                <w:color w:val="000000"/>
                <w:sz w:val="18"/>
                <w:szCs w:val="18"/>
              </w:rPr>
            </w:pPr>
            <w:r w:rsidRPr="00505442">
              <w:rPr>
                <w:rFonts w:ascii="Calibri" w:hAnsi="Calibri"/>
                <w:b/>
                <w:bCs/>
                <w:color w:val="000000"/>
                <w:sz w:val="18"/>
                <w:szCs w:val="18"/>
              </w:rPr>
              <w:t>Opatrenie  "Obnova a rozvoj obcí"</w:t>
            </w:r>
          </w:p>
        </w:tc>
        <w:tc>
          <w:tcPr>
            <w:tcW w:w="1034" w:type="dxa"/>
            <w:tcBorders>
              <w:top w:val="single" w:sz="8" w:space="0" w:color="auto"/>
              <w:left w:val="single" w:sz="8" w:space="0" w:color="auto"/>
              <w:bottom w:val="nil"/>
              <w:right w:val="single" w:sz="8" w:space="0" w:color="auto"/>
            </w:tcBorders>
            <w:shd w:val="clear" w:color="000000" w:fill="CCFFCC"/>
            <w:vAlign w:val="center"/>
            <w:hideMark/>
          </w:tcPr>
          <w:p w:rsidR="00A53BCF" w:rsidRPr="0008732F" w:rsidRDefault="00A53BCF" w:rsidP="00A53BCF">
            <w:pPr>
              <w:jc w:val="center"/>
              <w:rPr>
                <w:rFonts w:ascii="Calibri" w:hAnsi="Calibri" w:cs="Arial"/>
                <w:b/>
                <w:bCs/>
                <w:sz w:val="18"/>
                <w:szCs w:val="18"/>
              </w:rPr>
            </w:pPr>
            <w:r w:rsidRPr="00505442">
              <w:rPr>
                <w:rFonts w:ascii="Calibri" w:hAnsi="Calibri" w:cs="Arial"/>
                <w:b/>
                <w:bCs/>
                <w:sz w:val="18"/>
                <w:szCs w:val="18"/>
              </w:rPr>
              <w:t>Novovyb. Vodovod      v m</w:t>
            </w:r>
          </w:p>
        </w:tc>
        <w:tc>
          <w:tcPr>
            <w:tcW w:w="1135" w:type="dxa"/>
            <w:tcBorders>
              <w:top w:val="single" w:sz="8" w:space="0" w:color="auto"/>
              <w:left w:val="nil"/>
              <w:bottom w:val="nil"/>
              <w:right w:val="single" w:sz="8" w:space="0" w:color="auto"/>
            </w:tcBorders>
            <w:shd w:val="clear" w:color="000000" w:fill="CCFFCC"/>
            <w:vAlign w:val="center"/>
            <w:hideMark/>
          </w:tcPr>
          <w:p w:rsidR="00A53BCF" w:rsidRPr="0008732F" w:rsidRDefault="00A53BCF" w:rsidP="00A53BCF">
            <w:pPr>
              <w:jc w:val="center"/>
              <w:rPr>
                <w:rFonts w:ascii="Calibri" w:hAnsi="Calibri" w:cs="Arial"/>
                <w:b/>
                <w:bCs/>
                <w:sz w:val="18"/>
                <w:szCs w:val="18"/>
              </w:rPr>
            </w:pPr>
            <w:r w:rsidRPr="00505442">
              <w:rPr>
                <w:rFonts w:ascii="Calibri" w:hAnsi="Calibri" w:cs="Arial"/>
                <w:b/>
                <w:bCs/>
                <w:sz w:val="18"/>
                <w:szCs w:val="18"/>
              </w:rPr>
              <w:t>Novovyb. Kanalizácia  (splašková, d</w:t>
            </w:r>
            <w:r>
              <w:rPr>
                <w:rFonts w:ascii="Calibri" w:hAnsi="Calibri" w:cs="Arial"/>
                <w:b/>
                <w:bCs/>
                <w:sz w:val="18"/>
                <w:szCs w:val="18"/>
              </w:rPr>
              <w:t xml:space="preserve">ažďová) </w:t>
            </w:r>
            <w:r w:rsidRPr="00505442">
              <w:rPr>
                <w:rFonts w:ascii="Calibri" w:hAnsi="Calibri" w:cs="Arial"/>
                <w:b/>
                <w:bCs/>
                <w:sz w:val="18"/>
                <w:szCs w:val="18"/>
              </w:rPr>
              <w:t xml:space="preserve"> v m</w:t>
            </w:r>
          </w:p>
        </w:tc>
        <w:tc>
          <w:tcPr>
            <w:tcW w:w="892" w:type="dxa"/>
            <w:tcBorders>
              <w:top w:val="single" w:sz="8" w:space="0" w:color="auto"/>
              <w:left w:val="nil"/>
              <w:bottom w:val="nil"/>
              <w:right w:val="single" w:sz="8" w:space="0" w:color="auto"/>
            </w:tcBorders>
            <w:shd w:val="clear" w:color="000000" w:fill="CCFFCC"/>
            <w:vAlign w:val="center"/>
            <w:hideMark/>
          </w:tcPr>
          <w:p w:rsidR="00A53BCF" w:rsidRPr="0008732F" w:rsidRDefault="00A53BCF" w:rsidP="00A53BCF">
            <w:pPr>
              <w:jc w:val="center"/>
              <w:rPr>
                <w:rFonts w:ascii="Calibri" w:hAnsi="Calibri" w:cs="Arial"/>
                <w:b/>
                <w:bCs/>
                <w:sz w:val="18"/>
                <w:szCs w:val="18"/>
              </w:rPr>
            </w:pPr>
            <w:r w:rsidRPr="00505442">
              <w:rPr>
                <w:rFonts w:ascii="Calibri" w:hAnsi="Calibri" w:cs="Arial"/>
                <w:b/>
                <w:bCs/>
                <w:sz w:val="18"/>
                <w:szCs w:val="18"/>
              </w:rPr>
              <w:t>Počet novovyb.   ČOV</w:t>
            </w:r>
          </w:p>
        </w:tc>
        <w:tc>
          <w:tcPr>
            <w:tcW w:w="1135" w:type="dxa"/>
            <w:tcBorders>
              <w:top w:val="single" w:sz="8" w:space="0" w:color="auto"/>
              <w:left w:val="nil"/>
              <w:bottom w:val="nil"/>
              <w:right w:val="single" w:sz="8" w:space="0" w:color="auto"/>
            </w:tcBorders>
            <w:shd w:val="clear" w:color="000000" w:fill="CCFFCC"/>
            <w:vAlign w:val="center"/>
            <w:hideMark/>
          </w:tcPr>
          <w:p w:rsidR="00A53BCF" w:rsidRPr="0008732F" w:rsidRDefault="00A53BCF" w:rsidP="00A53BCF">
            <w:pPr>
              <w:jc w:val="center"/>
              <w:rPr>
                <w:rFonts w:ascii="Calibri" w:hAnsi="Calibri" w:cs="Arial"/>
                <w:b/>
                <w:bCs/>
                <w:sz w:val="18"/>
                <w:szCs w:val="18"/>
              </w:rPr>
            </w:pPr>
            <w:r w:rsidRPr="00505442">
              <w:rPr>
                <w:rFonts w:ascii="Calibri" w:hAnsi="Calibri" w:cs="Arial"/>
                <w:b/>
                <w:bCs/>
                <w:sz w:val="18"/>
                <w:szCs w:val="18"/>
              </w:rPr>
              <w:t>Novovyb.   ČOV celková kapacita v EO</w:t>
            </w:r>
          </w:p>
        </w:tc>
        <w:tc>
          <w:tcPr>
            <w:tcW w:w="1135" w:type="dxa"/>
            <w:tcBorders>
              <w:top w:val="single" w:sz="8" w:space="0" w:color="auto"/>
              <w:left w:val="nil"/>
              <w:bottom w:val="nil"/>
              <w:right w:val="single" w:sz="8" w:space="0" w:color="auto"/>
            </w:tcBorders>
            <w:shd w:val="clear" w:color="000000" w:fill="CCFFCC"/>
            <w:vAlign w:val="center"/>
            <w:hideMark/>
          </w:tcPr>
          <w:p w:rsidR="00A53BCF" w:rsidRPr="0008732F" w:rsidRDefault="00A53BCF" w:rsidP="00A53BCF">
            <w:pPr>
              <w:jc w:val="center"/>
              <w:rPr>
                <w:rFonts w:ascii="Calibri" w:hAnsi="Calibri" w:cs="Arial"/>
                <w:b/>
                <w:bCs/>
                <w:sz w:val="18"/>
                <w:szCs w:val="18"/>
              </w:rPr>
            </w:pPr>
            <w:r w:rsidRPr="00505442">
              <w:rPr>
                <w:rFonts w:ascii="Calibri" w:hAnsi="Calibri" w:cs="Arial"/>
                <w:b/>
                <w:bCs/>
                <w:sz w:val="18"/>
                <w:szCs w:val="18"/>
              </w:rPr>
              <w:t>Novovyb.     ČOV celková kapacita za deň v m³</w:t>
            </w:r>
          </w:p>
        </w:tc>
        <w:tc>
          <w:tcPr>
            <w:tcW w:w="858" w:type="dxa"/>
            <w:tcBorders>
              <w:top w:val="single" w:sz="8" w:space="0" w:color="auto"/>
              <w:left w:val="nil"/>
              <w:bottom w:val="nil"/>
              <w:right w:val="single" w:sz="8" w:space="0" w:color="auto"/>
            </w:tcBorders>
            <w:shd w:val="clear" w:color="000000" w:fill="CCFFCC"/>
            <w:vAlign w:val="center"/>
            <w:hideMark/>
          </w:tcPr>
          <w:p w:rsidR="00A53BCF" w:rsidRPr="0008732F" w:rsidRDefault="00A53BCF" w:rsidP="00A53BCF">
            <w:pPr>
              <w:jc w:val="center"/>
              <w:rPr>
                <w:rFonts w:ascii="Calibri" w:hAnsi="Calibri" w:cs="Arial"/>
                <w:b/>
                <w:bCs/>
                <w:sz w:val="18"/>
                <w:szCs w:val="18"/>
              </w:rPr>
            </w:pPr>
            <w:r w:rsidRPr="00505442">
              <w:rPr>
                <w:rFonts w:ascii="Calibri" w:hAnsi="Calibri" w:cs="Arial"/>
                <w:b/>
                <w:bCs/>
                <w:sz w:val="18"/>
                <w:szCs w:val="18"/>
              </w:rPr>
              <w:t xml:space="preserve">Novovyb.  Miestna cesta        v  m </w:t>
            </w:r>
          </w:p>
        </w:tc>
        <w:tc>
          <w:tcPr>
            <w:tcW w:w="1013" w:type="dxa"/>
            <w:tcBorders>
              <w:top w:val="single" w:sz="8" w:space="0" w:color="auto"/>
              <w:left w:val="nil"/>
              <w:bottom w:val="nil"/>
              <w:right w:val="single" w:sz="8" w:space="0" w:color="auto"/>
            </w:tcBorders>
            <w:shd w:val="clear" w:color="000000" w:fill="CCFFCC"/>
            <w:vAlign w:val="center"/>
            <w:hideMark/>
          </w:tcPr>
          <w:p w:rsidR="00A53BCF" w:rsidRPr="0008732F" w:rsidRDefault="00A53BCF" w:rsidP="00A53BCF">
            <w:pPr>
              <w:jc w:val="center"/>
              <w:rPr>
                <w:rFonts w:ascii="Calibri" w:hAnsi="Calibri" w:cs="Arial"/>
                <w:b/>
                <w:bCs/>
                <w:sz w:val="18"/>
                <w:szCs w:val="18"/>
              </w:rPr>
            </w:pPr>
            <w:r w:rsidRPr="00505442">
              <w:rPr>
                <w:rFonts w:ascii="Calibri" w:hAnsi="Calibri" w:cs="Arial"/>
                <w:b/>
                <w:bCs/>
                <w:sz w:val="18"/>
                <w:szCs w:val="18"/>
              </w:rPr>
              <w:t xml:space="preserve">Novovyb. Chodník v m </w:t>
            </w:r>
          </w:p>
        </w:tc>
      </w:tr>
      <w:tr w:rsidR="00A53BCF" w:rsidRPr="0008732F" w:rsidTr="00A53BCF">
        <w:trPr>
          <w:trHeight w:val="287"/>
        </w:trPr>
        <w:tc>
          <w:tcPr>
            <w:tcW w:w="1723" w:type="dxa"/>
            <w:tcBorders>
              <w:top w:val="nil"/>
              <w:left w:val="single" w:sz="4" w:space="0" w:color="auto"/>
              <w:bottom w:val="single" w:sz="4" w:space="0" w:color="auto"/>
              <w:right w:val="single" w:sz="4" w:space="0" w:color="auto"/>
            </w:tcBorders>
            <w:shd w:val="clear" w:color="auto" w:fill="auto"/>
            <w:vAlign w:val="center"/>
            <w:hideMark/>
          </w:tcPr>
          <w:p w:rsidR="00A53BCF" w:rsidRPr="0008732F" w:rsidRDefault="00A53BCF" w:rsidP="00A53BCF">
            <w:pPr>
              <w:rPr>
                <w:rFonts w:ascii="Calibri" w:hAnsi="Calibri" w:cs="Arial CE"/>
                <w:sz w:val="18"/>
                <w:szCs w:val="18"/>
              </w:rPr>
            </w:pPr>
            <w:r w:rsidRPr="00505442">
              <w:rPr>
                <w:rFonts w:ascii="Calibri" w:hAnsi="Calibri" w:cs="Arial CE"/>
                <w:sz w:val="18"/>
                <w:szCs w:val="18"/>
              </w:rPr>
              <w:t>cez OS 3</w:t>
            </w:r>
          </w:p>
        </w:tc>
        <w:tc>
          <w:tcPr>
            <w:tcW w:w="1034" w:type="dxa"/>
            <w:tcBorders>
              <w:top w:val="single" w:sz="4" w:space="0" w:color="auto"/>
              <w:left w:val="nil"/>
              <w:bottom w:val="single" w:sz="4" w:space="0" w:color="auto"/>
              <w:right w:val="single" w:sz="4" w:space="0" w:color="auto"/>
            </w:tcBorders>
            <w:shd w:val="clear" w:color="auto" w:fill="auto"/>
            <w:vAlign w:val="center"/>
            <w:hideMark/>
          </w:tcPr>
          <w:p w:rsidR="00A53BCF" w:rsidRPr="0008732F" w:rsidRDefault="00A53BCF" w:rsidP="00A53BCF">
            <w:pPr>
              <w:jc w:val="right"/>
              <w:rPr>
                <w:rFonts w:ascii="Calibri" w:hAnsi="Calibri" w:cs="Arial CE"/>
                <w:sz w:val="18"/>
                <w:szCs w:val="18"/>
              </w:rPr>
            </w:pPr>
            <w:r w:rsidRPr="00505442">
              <w:rPr>
                <w:rFonts w:ascii="Calibri" w:hAnsi="Calibri" w:cs="Arial CE"/>
                <w:sz w:val="18"/>
                <w:szCs w:val="18"/>
              </w:rPr>
              <w:t>4 986</w:t>
            </w:r>
          </w:p>
        </w:tc>
        <w:tc>
          <w:tcPr>
            <w:tcW w:w="1135" w:type="dxa"/>
            <w:tcBorders>
              <w:top w:val="single" w:sz="4" w:space="0" w:color="auto"/>
              <w:left w:val="nil"/>
              <w:bottom w:val="single" w:sz="4" w:space="0" w:color="auto"/>
              <w:right w:val="single" w:sz="4" w:space="0" w:color="auto"/>
            </w:tcBorders>
            <w:shd w:val="clear" w:color="auto" w:fill="auto"/>
            <w:vAlign w:val="center"/>
            <w:hideMark/>
          </w:tcPr>
          <w:p w:rsidR="00A53BCF" w:rsidRPr="0008732F" w:rsidRDefault="00A53BCF" w:rsidP="00A53BCF">
            <w:pPr>
              <w:jc w:val="right"/>
              <w:rPr>
                <w:rFonts w:ascii="Calibri" w:hAnsi="Calibri" w:cs="Arial CE"/>
                <w:sz w:val="18"/>
                <w:szCs w:val="18"/>
              </w:rPr>
            </w:pPr>
            <w:r w:rsidRPr="00505442">
              <w:rPr>
                <w:rFonts w:ascii="Calibri" w:hAnsi="Calibri" w:cs="Arial CE"/>
                <w:sz w:val="18"/>
                <w:szCs w:val="18"/>
              </w:rPr>
              <w:t>23 928</w:t>
            </w:r>
          </w:p>
        </w:tc>
        <w:tc>
          <w:tcPr>
            <w:tcW w:w="892" w:type="dxa"/>
            <w:tcBorders>
              <w:top w:val="single" w:sz="4" w:space="0" w:color="auto"/>
              <w:left w:val="nil"/>
              <w:bottom w:val="single" w:sz="4" w:space="0" w:color="auto"/>
              <w:right w:val="single" w:sz="4" w:space="0" w:color="auto"/>
            </w:tcBorders>
            <w:shd w:val="clear" w:color="auto" w:fill="auto"/>
            <w:vAlign w:val="center"/>
            <w:hideMark/>
          </w:tcPr>
          <w:p w:rsidR="00A53BCF" w:rsidRPr="0008732F" w:rsidRDefault="00A53BCF" w:rsidP="00A53BCF">
            <w:pPr>
              <w:jc w:val="right"/>
              <w:rPr>
                <w:rFonts w:ascii="Calibri" w:hAnsi="Calibri" w:cs="Arial CE"/>
                <w:sz w:val="18"/>
                <w:szCs w:val="18"/>
              </w:rPr>
            </w:pPr>
            <w:r w:rsidRPr="00505442">
              <w:rPr>
                <w:rFonts w:ascii="Calibri" w:hAnsi="Calibri" w:cs="Arial CE"/>
                <w:sz w:val="18"/>
                <w:szCs w:val="18"/>
              </w:rPr>
              <w:t>5</w:t>
            </w:r>
          </w:p>
        </w:tc>
        <w:tc>
          <w:tcPr>
            <w:tcW w:w="1135" w:type="dxa"/>
            <w:tcBorders>
              <w:top w:val="single" w:sz="4" w:space="0" w:color="auto"/>
              <w:left w:val="nil"/>
              <w:bottom w:val="single" w:sz="4" w:space="0" w:color="auto"/>
              <w:right w:val="single" w:sz="4" w:space="0" w:color="auto"/>
            </w:tcBorders>
            <w:shd w:val="clear" w:color="auto" w:fill="auto"/>
            <w:vAlign w:val="center"/>
            <w:hideMark/>
          </w:tcPr>
          <w:p w:rsidR="00A53BCF" w:rsidRPr="0008732F" w:rsidRDefault="00A53BCF" w:rsidP="00A53BCF">
            <w:pPr>
              <w:jc w:val="right"/>
              <w:rPr>
                <w:rFonts w:ascii="Calibri" w:hAnsi="Calibri" w:cs="Arial CE"/>
                <w:sz w:val="18"/>
                <w:szCs w:val="18"/>
              </w:rPr>
            </w:pPr>
            <w:r w:rsidRPr="00505442">
              <w:rPr>
                <w:rFonts w:ascii="Calibri" w:hAnsi="Calibri" w:cs="Arial CE"/>
                <w:sz w:val="18"/>
                <w:szCs w:val="18"/>
              </w:rPr>
              <w:t>5 337</w:t>
            </w:r>
          </w:p>
        </w:tc>
        <w:tc>
          <w:tcPr>
            <w:tcW w:w="1135" w:type="dxa"/>
            <w:tcBorders>
              <w:top w:val="single" w:sz="4" w:space="0" w:color="auto"/>
              <w:left w:val="nil"/>
              <w:bottom w:val="single" w:sz="4" w:space="0" w:color="auto"/>
              <w:right w:val="single" w:sz="4" w:space="0" w:color="auto"/>
            </w:tcBorders>
            <w:shd w:val="clear" w:color="auto" w:fill="auto"/>
            <w:vAlign w:val="center"/>
            <w:hideMark/>
          </w:tcPr>
          <w:p w:rsidR="00A53BCF" w:rsidRPr="0008732F" w:rsidRDefault="00A53BCF" w:rsidP="00A53BCF">
            <w:pPr>
              <w:jc w:val="right"/>
              <w:rPr>
                <w:rFonts w:ascii="Calibri" w:hAnsi="Calibri" w:cs="Arial CE"/>
                <w:sz w:val="18"/>
                <w:szCs w:val="18"/>
              </w:rPr>
            </w:pPr>
            <w:r w:rsidRPr="00505442">
              <w:rPr>
                <w:rFonts w:ascii="Calibri" w:hAnsi="Calibri" w:cs="Arial CE"/>
                <w:sz w:val="18"/>
                <w:szCs w:val="18"/>
              </w:rPr>
              <w:t>683</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A53BCF" w:rsidRPr="0008732F" w:rsidRDefault="00A53BCF" w:rsidP="00A53BCF">
            <w:pPr>
              <w:jc w:val="right"/>
              <w:rPr>
                <w:rFonts w:ascii="Calibri" w:hAnsi="Calibri" w:cs="Arial CE"/>
                <w:sz w:val="18"/>
                <w:szCs w:val="18"/>
              </w:rPr>
            </w:pPr>
            <w:r w:rsidRPr="00505442">
              <w:rPr>
                <w:rFonts w:ascii="Calibri" w:hAnsi="Calibri" w:cs="Arial CE"/>
                <w:sz w:val="18"/>
                <w:szCs w:val="18"/>
              </w:rPr>
              <w:t>22 620</w:t>
            </w:r>
          </w:p>
        </w:tc>
        <w:tc>
          <w:tcPr>
            <w:tcW w:w="1013" w:type="dxa"/>
            <w:tcBorders>
              <w:top w:val="single" w:sz="4" w:space="0" w:color="auto"/>
              <w:left w:val="nil"/>
              <w:bottom w:val="single" w:sz="4" w:space="0" w:color="auto"/>
              <w:right w:val="single" w:sz="4" w:space="0" w:color="auto"/>
            </w:tcBorders>
            <w:shd w:val="clear" w:color="auto" w:fill="auto"/>
            <w:vAlign w:val="center"/>
            <w:hideMark/>
          </w:tcPr>
          <w:p w:rsidR="00A53BCF" w:rsidRPr="0008732F" w:rsidRDefault="00A53BCF" w:rsidP="00A53BCF">
            <w:pPr>
              <w:jc w:val="right"/>
              <w:rPr>
                <w:rFonts w:ascii="Calibri" w:hAnsi="Calibri" w:cs="Arial CE"/>
                <w:sz w:val="18"/>
                <w:szCs w:val="18"/>
              </w:rPr>
            </w:pPr>
            <w:r w:rsidRPr="00505442">
              <w:rPr>
                <w:rFonts w:ascii="Calibri" w:hAnsi="Calibri" w:cs="Arial CE"/>
                <w:sz w:val="18"/>
                <w:szCs w:val="18"/>
              </w:rPr>
              <w:t>36 710</w:t>
            </w:r>
          </w:p>
        </w:tc>
      </w:tr>
      <w:tr w:rsidR="00A53BCF" w:rsidRPr="0008732F" w:rsidTr="00A53BCF">
        <w:trPr>
          <w:trHeight w:val="301"/>
        </w:trPr>
        <w:tc>
          <w:tcPr>
            <w:tcW w:w="1723" w:type="dxa"/>
            <w:tcBorders>
              <w:top w:val="nil"/>
              <w:left w:val="single" w:sz="4" w:space="0" w:color="auto"/>
              <w:bottom w:val="nil"/>
              <w:right w:val="single" w:sz="4" w:space="0" w:color="auto"/>
            </w:tcBorders>
            <w:shd w:val="clear" w:color="auto" w:fill="auto"/>
            <w:vAlign w:val="center"/>
            <w:hideMark/>
          </w:tcPr>
          <w:p w:rsidR="00A53BCF" w:rsidRPr="0008732F" w:rsidRDefault="00A53BCF" w:rsidP="00A53BCF">
            <w:pPr>
              <w:rPr>
                <w:rFonts w:ascii="Calibri" w:hAnsi="Calibri" w:cs="Arial CE"/>
                <w:sz w:val="18"/>
                <w:szCs w:val="18"/>
              </w:rPr>
            </w:pPr>
            <w:r w:rsidRPr="00505442">
              <w:rPr>
                <w:rFonts w:ascii="Calibri" w:hAnsi="Calibri" w:cs="Arial CE"/>
                <w:sz w:val="18"/>
                <w:szCs w:val="18"/>
              </w:rPr>
              <w:t>cez OS 4 - LEADER</w:t>
            </w:r>
          </w:p>
        </w:tc>
        <w:tc>
          <w:tcPr>
            <w:tcW w:w="1034" w:type="dxa"/>
            <w:tcBorders>
              <w:top w:val="nil"/>
              <w:left w:val="nil"/>
              <w:bottom w:val="nil"/>
              <w:right w:val="single" w:sz="4" w:space="0" w:color="auto"/>
            </w:tcBorders>
            <w:shd w:val="clear" w:color="auto" w:fill="auto"/>
            <w:vAlign w:val="center"/>
            <w:hideMark/>
          </w:tcPr>
          <w:p w:rsidR="00A53BCF" w:rsidRPr="0008732F" w:rsidRDefault="00A53BCF" w:rsidP="00A53BCF">
            <w:pPr>
              <w:jc w:val="right"/>
              <w:rPr>
                <w:rFonts w:ascii="Calibri" w:hAnsi="Calibri" w:cs="Arial CE"/>
                <w:sz w:val="18"/>
                <w:szCs w:val="18"/>
              </w:rPr>
            </w:pPr>
            <w:r w:rsidRPr="00505442">
              <w:rPr>
                <w:rFonts w:ascii="Calibri" w:hAnsi="Calibri" w:cs="Arial CE"/>
                <w:sz w:val="18"/>
                <w:szCs w:val="18"/>
              </w:rPr>
              <w:t>1 530</w:t>
            </w:r>
          </w:p>
        </w:tc>
        <w:tc>
          <w:tcPr>
            <w:tcW w:w="1135" w:type="dxa"/>
            <w:tcBorders>
              <w:top w:val="nil"/>
              <w:left w:val="nil"/>
              <w:bottom w:val="nil"/>
              <w:right w:val="single" w:sz="4" w:space="0" w:color="auto"/>
            </w:tcBorders>
            <w:shd w:val="clear" w:color="auto" w:fill="auto"/>
            <w:vAlign w:val="center"/>
            <w:hideMark/>
          </w:tcPr>
          <w:p w:rsidR="00A53BCF" w:rsidRPr="0008732F" w:rsidRDefault="00A53BCF" w:rsidP="00A53BCF">
            <w:pPr>
              <w:jc w:val="right"/>
              <w:rPr>
                <w:rFonts w:ascii="Calibri" w:hAnsi="Calibri" w:cs="Arial CE"/>
                <w:sz w:val="18"/>
                <w:szCs w:val="18"/>
              </w:rPr>
            </w:pPr>
            <w:r w:rsidRPr="00505442">
              <w:rPr>
                <w:rFonts w:ascii="Calibri" w:hAnsi="Calibri" w:cs="Arial CE"/>
                <w:sz w:val="18"/>
                <w:szCs w:val="18"/>
              </w:rPr>
              <w:t>1 453</w:t>
            </w:r>
          </w:p>
        </w:tc>
        <w:tc>
          <w:tcPr>
            <w:tcW w:w="892" w:type="dxa"/>
            <w:tcBorders>
              <w:top w:val="nil"/>
              <w:left w:val="nil"/>
              <w:bottom w:val="nil"/>
              <w:right w:val="single" w:sz="4" w:space="0" w:color="auto"/>
            </w:tcBorders>
            <w:shd w:val="clear" w:color="auto" w:fill="auto"/>
            <w:vAlign w:val="center"/>
            <w:hideMark/>
          </w:tcPr>
          <w:p w:rsidR="00A53BCF" w:rsidRPr="0008732F" w:rsidRDefault="00A53BCF" w:rsidP="00A53BCF">
            <w:pPr>
              <w:jc w:val="right"/>
              <w:rPr>
                <w:rFonts w:ascii="Calibri" w:hAnsi="Calibri" w:cs="Arial CE"/>
                <w:sz w:val="18"/>
                <w:szCs w:val="18"/>
              </w:rPr>
            </w:pPr>
            <w:r w:rsidRPr="00505442">
              <w:rPr>
                <w:rFonts w:ascii="Calibri" w:hAnsi="Calibri" w:cs="Arial CE"/>
                <w:sz w:val="18"/>
                <w:szCs w:val="18"/>
              </w:rPr>
              <w:t>0</w:t>
            </w:r>
          </w:p>
        </w:tc>
        <w:tc>
          <w:tcPr>
            <w:tcW w:w="1135" w:type="dxa"/>
            <w:tcBorders>
              <w:top w:val="nil"/>
              <w:left w:val="nil"/>
              <w:bottom w:val="nil"/>
              <w:right w:val="single" w:sz="4" w:space="0" w:color="auto"/>
            </w:tcBorders>
            <w:shd w:val="clear" w:color="auto" w:fill="auto"/>
            <w:vAlign w:val="center"/>
            <w:hideMark/>
          </w:tcPr>
          <w:p w:rsidR="00A53BCF" w:rsidRPr="0008732F" w:rsidRDefault="00A53BCF" w:rsidP="00A53BCF">
            <w:pPr>
              <w:jc w:val="right"/>
              <w:rPr>
                <w:rFonts w:ascii="Calibri" w:hAnsi="Calibri" w:cs="Arial CE"/>
                <w:sz w:val="18"/>
                <w:szCs w:val="18"/>
              </w:rPr>
            </w:pPr>
            <w:r w:rsidRPr="00505442">
              <w:rPr>
                <w:rFonts w:ascii="Calibri" w:hAnsi="Calibri" w:cs="Arial CE"/>
                <w:sz w:val="18"/>
                <w:szCs w:val="18"/>
              </w:rPr>
              <w:t>0</w:t>
            </w:r>
          </w:p>
        </w:tc>
        <w:tc>
          <w:tcPr>
            <w:tcW w:w="1135" w:type="dxa"/>
            <w:tcBorders>
              <w:top w:val="nil"/>
              <w:left w:val="nil"/>
              <w:bottom w:val="nil"/>
              <w:right w:val="single" w:sz="4" w:space="0" w:color="auto"/>
            </w:tcBorders>
            <w:shd w:val="clear" w:color="auto" w:fill="auto"/>
            <w:vAlign w:val="center"/>
            <w:hideMark/>
          </w:tcPr>
          <w:p w:rsidR="00A53BCF" w:rsidRPr="0008732F" w:rsidRDefault="00A53BCF" w:rsidP="00A53BCF">
            <w:pPr>
              <w:jc w:val="right"/>
              <w:rPr>
                <w:rFonts w:ascii="Calibri" w:hAnsi="Calibri" w:cs="Arial CE"/>
                <w:sz w:val="18"/>
                <w:szCs w:val="18"/>
              </w:rPr>
            </w:pPr>
            <w:r w:rsidRPr="00505442">
              <w:rPr>
                <w:rFonts w:ascii="Calibri" w:hAnsi="Calibri" w:cs="Arial CE"/>
                <w:sz w:val="18"/>
                <w:szCs w:val="18"/>
              </w:rPr>
              <w:t>0</w:t>
            </w:r>
          </w:p>
        </w:tc>
        <w:tc>
          <w:tcPr>
            <w:tcW w:w="858" w:type="dxa"/>
            <w:tcBorders>
              <w:top w:val="nil"/>
              <w:left w:val="nil"/>
              <w:bottom w:val="nil"/>
              <w:right w:val="single" w:sz="4" w:space="0" w:color="auto"/>
            </w:tcBorders>
            <w:shd w:val="clear" w:color="auto" w:fill="auto"/>
            <w:vAlign w:val="center"/>
            <w:hideMark/>
          </w:tcPr>
          <w:p w:rsidR="00A53BCF" w:rsidRPr="0008732F" w:rsidRDefault="00A53BCF" w:rsidP="00A53BCF">
            <w:pPr>
              <w:jc w:val="right"/>
              <w:rPr>
                <w:rFonts w:ascii="Calibri" w:hAnsi="Calibri" w:cs="Arial CE"/>
                <w:sz w:val="18"/>
                <w:szCs w:val="18"/>
              </w:rPr>
            </w:pPr>
            <w:r w:rsidRPr="00505442">
              <w:rPr>
                <w:rFonts w:ascii="Calibri" w:hAnsi="Calibri" w:cs="Arial CE"/>
                <w:sz w:val="18"/>
                <w:szCs w:val="18"/>
              </w:rPr>
              <w:t>9 261</w:t>
            </w:r>
          </w:p>
        </w:tc>
        <w:tc>
          <w:tcPr>
            <w:tcW w:w="1013" w:type="dxa"/>
            <w:tcBorders>
              <w:top w:val="nil"/>
              <w:left w:val="nil"/>
              <w:bottom w:val="nil"/>
              <w:right w:val="single" w:sz="4" w:space="0" w:color="auto"/>
            </w:tcBorders>
            <w:shd w:val="clear" w:color="auto" w:fill="auto"/>
            <w:vAlign w:val="center"/>
            <w:hideMark/>
          </w:tcPr>
          <w:p w:rsidR="00A53BCF" w:rsidRPr="0008732F" w:rsidRDefault="00A53BCF" w:rsidP="00A53BCF">
            <w:pPr>
              <w:jc w:val="right"/>
              <w:rPr>
                <w:rFonts w:ascii="Calibri" w:hAnsi="Calibri" w:cs="Arial CE"/>
                <w:sz w:val="18"/>
                <w:szCs w:val="18"/>
              </w:rPr>
            </w:pPr>
            <w:r w:rsidRPr="00505442">
              <w:rPr>
                <w:rFonts w:ascii="Calibri" w:hAnsi="Calibri" w:cs="Arial CE"/>
                <w:sz w:val="18"/>
                <w:szCs w:val="18"/>
              </w:rPr>
              <w:t>9 862</w:t>
            </w:r>
          </w:p>
        </w:tc>
      </w:tr>
      <w:tr w:rsidR="00A53BCF" w:rsidRPr="0008732F" w:rsidTr="00A53BCF">
        <w:trPr>
          <w:trHeight w:val="301"/>
        </w:trPr>
        <w:tc>
          <w:tcPr>
            <w:tcW w:w="1723" w:type="dxa"/>
            <w:tcBorders>
              <w:top w:val="single" w:sz="8" w:space="0" w:color="auto"/>
              <w:left w:val="single" w:sz="8" w:space="0" w:color="auto"/>
              <w:bottom w:val="single" w:sz="8" w:space="0" w:color="auto"/>
              <w:right w:val="single" w:sz="4" w:space="0" w:color="auto"/>
            </w:tcBorders>
            <w:shd w:val="clear" w:color="auto" w:fill="auto"/>
            <w:noWrap/>
            <w:vAlign w:val="bottom"/>
            <w:hideMark/>
          </w:tcPr>
          <w:p w:rsidR="00A53BCF" w:rsidRPr="0008732F" w:rsidRDefault="00A53BCF" w:rsidP="00A53BCF">
            <w:pPr>
              <w:rPr>
                <w:rFonts w:ascii="Calibri" w:hAnsi="Calibri"/>
                <w:b/>
                <w:bCs/>
                <w:color w:val="000000"/>
                <w:sz w:val="18"/>
                <w:szCs w:val="18"/>
              </w:rPr>
            </w:pPr>
            <w:r w:rsidRPr="00505442">
              <w:rPr>
                <w:rFonts w:ascii="Calibri" w:hAnsi="Calibri"/>
                <w:b/>
                <w:bCs/>
                <w:color w:val="000000"/>
                <w:sz w:val="18"/>
                <w:szCs w:val="18"/>
              </w:rPr>
              <w:t>spolu</w:t>
            </w:r>
          </w:p>
        </w:tc>
        <w:tc>
          <w:tcPr>
            <w:tcW w:w="1034" w:type="dxa"/>
            <w:tcBorders>
              <w:top w:val="single" w:sz="8" w:space="0" w:color="auto"/>
              <w:left w:val="nil"/>
              <w:bottom w:val="single" w:sz="8" w:space="0" w:color="auto"/>
              <w:right w:val="single" w:sz="4" w:space="0" w:color="auto"/>
            </w:tcBorders>
            <w:shd w:val="clear" w:color="auto" w:fill="auto"/>
            <w:noWrap/>
            <w:vAlign w:val="bottom"/>
            <w:hideMark/>
          </w:tcPr>
          <w:p w:rsidR="00A53BCF" w:rsidRPr="0008732F" w:rsidRDefault="00A53BCF" w:rsidP="00A53BCF">
            <w:pPr>
              <w:jc w:val="right"/>
              <w:rPr>
                <w:rFonts w:ascii="Calibri" w:hAnsi="Calibri"/>
                <w:b/>
                <w:bCs/>
                <w:color w:val="000000"/>
                <w:sz w:val="18"/>
                <w:szCs w:val="18"/>
              </w:rPr>
            </w:pPr>
            <w:r w:rsidRPr="00505442">
              <w:rPr>
                <w:rFonts w:ascii="Calibri" w:hAnsi="Calibri"/>
                <w:b/>
                <w:bCs/>
                <w:color w:val="000000"/>
                <w:sz w:val="18"/>
                <w:szCs w:val="18"/>
              </w:rPr>
              <w:t xml:space="preserve">6 515 </w:t>
            </w:r>
          </w:p>
        </w:tc>
        <w:tc>
          <w:tcPr>
            <w:tcW w:w="1135" w:type="dxa"/>
            <w:tcBorders>
              <w:top w:val="single" w:sz="8" w:space="0" w:color="auto"/>
              <w:left w:val="nil"/>
              <w:bottom w:val="single" w:sz="8" w:space="0" w:color="auto"/>
              <w:right w:val="single" w:sz="4" w:space="0" w:color="auto"/>
            </w:tcBorders>
            <w:shd w:val="clear" w:color="auto" w:fill="auto"/>
            <w:noWrap/>
            <w:vAlign w:val="bottom"/>
            <w:hideMark/>
          </w:tcPr>
          <w:p w:rsidR="00A53BCF" w:rsidRPr="0008732F" w:rsidRDefault="00A53BCF" w:rsidP="00A53BCF">
            <w:pPr>
              <w:jc w:val="right"/>
              <w:rPr>
                <w:rFonts w:ascii="Calibri" w:hAnsi="Calibri"/>
                <w:b/>
                <w:bCs/>
                <w:color w:val="000000"/>
                <w:sz w:val="18"/>
                <w:szCs w:val="18"/>
              </w:rPr>
            </w:pPr>
            <w:r w:rsidRPr="00505442">
              <w:rPr>
                <w:rFonts w:ascii="Calibri" w:hAnsi="Calibri"/>
                <w:b/>
                <w:bCs/>
                <w:color w:val="000000"/>
                <w:sz w:val="18"/>
                <w:szCs w:val="18"/>
              </w:rPr>
              <w:t xml:space="preserve">25 381 </w:t>
            </w:r>
          </w:p>
        </w:tc>
        <w:tc>
          <w:tcPr>
            <w:tcW w:w="892" w:type="dxa"/>
            <w:tcBorders>
              <w:top w:val="single" w:sz="8" w:space="0" w:color="auto"/>
              <w:left w:val="nil"/>
              <w:bottom w:val="single" w:sz="8" w:space="0" w:color="auto"/>
              <w:right w:val="single" w:sz="4" w:space="0" w:color="auto"/>
            </w:tcBorders>
            <w:shd w:val="clear" w:color="auto" w:fill="auto"/>
            <w:noWrap/>
            <w:vAlign w:val="bottom"/>
            <w:hideMark/>
          </w:tcPr>
          <w:p w:rsidR="00A53BCF" w:rsidRPr="0008732F" w:rsidRDefault="00A53BCF" w:rsidP="00A53BCF">
            <w:pPr>
              <w:jc w:val="right"/>
              <w:rPr>
                <w:rFonts w:ascii="Calibri" w:hAnsi="Calibri"/>
                <w:b/>
                <w:bCs/>
                <w:color w:val="000000"/>
                <w:sz w:val="18"/>
                <w:szCs w:val="18"/>
              </w:rPr>
            </w:pPr>
            <w:r w:rsidRPr="00505442">
              <w:rPr>
                <w:rFonts w:ascii="Calibri" w:hAnsi="Calibri"/>
                <w:b/>
                <w:bCs/>
                <w:color w:val="000000"/>
                <w:sz w:val="18"/>
                <w:szCs w:val="18"/>
              </w:rPr>
              <w:t xml:space="preserve">5 </w:t>
            </w:r>
          </w:p>
        </w:tc>
        <w:tc>
          <w:tcPr>
            <w:tcW w:w="1135" w:type="dxa"/>
            <w:tcBorders>
              <w:top w:val="single" w:sz="8" w:space="0" w:color="auto"/>
              <w:left w:val="nil"/>
              <w:bottom w:val="single" w:sz="8" w:space="0" w:color="auto"/>
              <w:right w:val="single" w:sz="4" w:space="0" w:color="auto"/>
            </w:tcBorders>
            <w:shd w:val="clear" w:color="auto" w:fill="auto"/>
            <w:noWrap/>
            <w:vAlign w:val="bottom"/>
            <w:hideMark/>
          </w:tcPr>
          <w:p w:rsidR="00A53BCF" w:rsidRPr="0008732F" w:rsidRDefault="00A53BCF" w:rsidP="00A53BCF">
            <w:pPr>
              <w:jc w:val="right"/>
              <w:rPr>
                <w:rFonts w:ascii="Calibri" w:hAnsi="Calibri"/>
                <w:b/>
                <w:bCs/>
                <w:color w:val="000000"/>
                <w:sz w:val="18"/>
                <w:szCs w:val="18"/>
              </w:rPr>
            </w:pPr>
            <w:r w:rsidRPr="00505442">
              <w:rPr>
                <w:rFonts w:ascii="Calibri" w:hAnsi="Calibri"/>
                <w:b/>
                <w:bCs/>
                <w:color w:val="000000"/>
                <w:sz w:val="18"/>
                <w:szCs w:val="18"/>
              </w:rPr>
              <w:t xml:space="preserve">5 337 </w:t>
            </w:r>
          </w:p>
        </w:tc>
        <w:tc>
          <w:tcPr>
            <w:tcW w:w="1135" w:type="dxa"/>
            <w:tcBorders>
              <w:top w:val="single" w:sz="8" w:space="0" w:color="auto"/>
              <w:left w:val="nil"/>
              <w:bottom w:val="single" w:sz="8" w:space="0" w:color="auto"/>
              <w:right w:val="single" w:sz="4" w:space="0" w:color="auto"/>
            </w:tcBorders>
            <w:shd w:val="clear" w:color="auto" w:fill="auto"/>
            <w:noWrap/>
            <w:vAlign w:val="bottom"/>
            <w:hideMark/>
          </w:tcPr>
          <w:p w:rsidR="00A53BCF" w:rsidRPr="0008732F" w:rsidRDefault="00A53BCF" w:rsidP="00A53BCF">
            <w:pPr>
              <w:jc w:val="right"/>
              <w:rPr>
                <w:rFonts w:ascii="Calibri" w:hAnsi="Calibri"/>
                <w:b/>
                <w:bCs/>
                <w:color w:val="000000"/>
                <w:sz w:val="18"/>
                <w:szCs w:val="18"/>
              </w:rPr>
            </w:pPr>
            <w:r w:rsidRPr="00505442">
              <w:rPr>
                <w:rFonts w:ascii="Calibri" w:hAnsi="Calibri"/>
                <w:b/>
                <w:bCs/>
                <w:color w:val="000000"/>
                <w:sz w:val="18"/>
                <w:szCs w:val="18"/>
              </w:rPr>
              <w:t xml:space="preserve">683 </w:t>
            </w:r>
          </w:p>
        </w:tc>
        <w:tc>
          <w:tcPr>
            <w:tcW w:w="858" w:type="dxa"/>
            <w:tcBorders>
              <w:top w:val="single" w:sz="8" w:space="0" w:color="auto"/>
              <w:left w:val="nil"/>
              <w:bottom w:val="single" w:sz="8" w:space="0" w:color="auto"/>
              <w:right w:val="single" w:sz="4" w:space="0" w:color="auto"/>
            </w:tcBorders>
            <w:shd w:val="clear" w:color="auto" w:fill="auto"/>
            <w:noWrap/>
            <w:vAlign w:val="bottom"/>
            <w:hideMark/>
          </w:tcPr>
          <w:p w:rsidR="00A53BCF" w:rsidRPr="0008732F" w:rsidRDefault="00A53BCF" w:rsidP="00A53BCF">
            <w:pPr>
              <w:jc w:val="right"/>
              <w:rPr>
                <w:rFonts w:ascii="Calibri" w:hAnsi="Calibri"/>
                <w:b/>
                <w:bCs/>
                <w:color w:val="000000"/>
                <w:sz w:val="18"/>
                <w:szCs w:val="18"/>
              </w:rPr>
            </w:pPr>
            <w:r w:rsidRPr="00505442">
              <w:rPr>
                <w:rFonts w:ascii="Calibri" w:hAnsi="Calibri"/>
                <w:b/>
                <w:bCs/>
                <w:color w:val="000000"/>
                <w:sz w:val="18"/>
                <w:szCs w:val="18"/>
              </w:rPr>
              <w:t xml:space="preserve">31 881 </w:t>
            </w:r>
          </w:p>
        </w:tc>
        <w:tc>
          <w:tcPr>
            <w:tcW w:w="1013" w:type="dxa"/>
            <w:tcBorders>
              <w:top w:val="single" w:sz="8" w:space="0" w:color="auto"/>
              <w:left w:val="nil"/>
              <w:bottom w:val="single" w:sz="8" w:space="0" w:color="auto"/>
              <w:right w:val="single" w:sz="4" w:space="0" w:color="auto"/>
            </w:tcBorders>
            <w:shd w:val="clear" w:color="auto" w:fill="auto"/>
            <w:noWrap/>
            <w:vAlign w:val="bottom"/>
            <w:hideMark/>
          </w:tcPr>
          <w:p w:rsidR="00A53BCF" w:rsidRPr="0008732F" w:rsidRDefault="00A53BCF" w:rsidP="00A53BCF">
            <w:pPr>
              <w:jc w:val="right"/>
              <w:rPr>
                <w:rFonts w:ascii="Calibri" w:hAnsi="Calibri"/>
                <w:b/>
                <w:bCs/>
                <w:color w:val="000000"/>
                <w:sz w:val="18"/>
                <w:szCs w:val="18"/>
              </w:rPr>
            </w:pPr>
            <w:r w:rsidRPr="00505442">
              <w:rPr>
                <w:rFonts w:ascii="Calibri" w:hAnsi="Calibri"/>
                <w:b/>
                <w:bCs/>
                <w:color w:val="000000"/>
                <w:sz w:val="18"/>
                <w:szCs w:val="18"/>
              </w:rPr>
              <w:t xml:space="preserve">46 573 </w:t>
            </w:r>
          </w:p>
        </w:tc>
      </w:tr>
      <w:tr w:rsidR="00A53BCF" w:rsidRPr="0008732F" w:rsidTr="00A53BCF">
        <w:trPr>
          <w:trHeight w:val="1076"/>
        </w:trPr>
        <w:tc>
          <w:tcPr>
            <w:tcW w:w="1723"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A53BCF" w:rsidRPr="0008732F" w:rsidRDefault="00A53BCF" w:rsidP="00A53BCF">
            <w:pPr>
              <w:rPr>
                <w:rFonts w:ascii="Calibri" w:hAnsi="Calibri"/>
                <w:b/>
                <w:bCs/>
                <w:color w:val="000000"/>
                <w:sz w:val="18"/>
                <w:szCs w:val="18"/>
              </w:rPr>
            </w:pPr>
            <w:r w:rsidRPr="00505442">
              <w:rPr>
                <w:rFonts w:ascii="Calibri" w:hAnsi="Calibri"/>
                <w:b/>
                <w:bCs/>
                <w:color w:val="000000"/>
                <w:sz w:val="18"/>
                <w:szCs w:val="18"/>
              </w:rPr>
              <w:t>Opatrenie  "Obnova a rozvoj obcí"</w:t>
            </w:r>
          </w:p>
        </w:tc>
        <w:tc>
          <w:tcPr>
            <w:tcW w:w="1034" w:type="dxa"/>
            <w:tcBorders>
              <w:top w:val="nil"/>
              <w:left w:val="single" w:sz="8" w:space="0" w:color="auto"/>
              <w:bottom w:val="nil"/>
              <w:right w:val="single" w:sz="8" w:space="0" w:color="auto"/>
            </w:tcBorders>
            <w:shd w:val="clear" w:color="000000" w:fill="CCFFFF"/>
            <w:vAlign w:val="center"/>
            <w:hideMark/>
          </w:tcPr>
          <w:p w:rsidR="00A53BCF" w:rsidRPr="0008732F" w:rsidRDefault="00A53BCF" w:rsidP="00A53BCF">
            <w:pPr>
              <w:jc w:val="center"/>
              <w:rPr>
                <w:rFonts w:ascii="Calibri" w:hAnsi="Calibri" w:cs="Arial"/>
                <w:b/>
                <w:bCs/>
                <w:sz w:val="18"/>
                <w:szCs w:val="18"/>
              </w:rPr>
            </w:pPr>
            <w:r w:rsidRPr="00505442">
              <w:rPr>
                <w:rFonts w:ascii="Calibri" w:hAnsi="Calibri" w:cs="Arial"/>
                <w:b/>
                <w:bCs/>
                <w:sz w:val="18"/>
                <w:szCs w:val="18"/>
              </w:rPr>
              <w:t>Rekonštr. Vodovod      v m</w:t>
            </w:r>
          </w:p>
        </w:tc>
        <w:tc>
          <w:tcPr>
            <w:tcW w:w="1135" w:type="dxa"/>
            <w:tcBorders>
              <w:top w:val="nil"/>
              <w:left w:val="nil"/>
              <w:bottom w:val="nil"/>
              <w:right w:val="single" w:sz="8" w:space="0" w:color="auto"/>
            </w:tcBorders>
            <w:shd w:val="clear" w:color="000000" w:fill="CCFFFF"/>
            <w:vAlign w:val="center"/>
            <w:hideMark/>
          </w:tcPr>
          <w:p w:rsidR="00A53BCF" w:rsidRPr="0008732F" w:rsidRDefault="00A53BCF" w:rsidP="00A53BCF">
            <w:pPr>
              <w:jc w:val="center"/>
              <w:rPr>
                <w:rFonts w:ascii="Calibri" w:hAnsi="Calibri" w:cs="Arial"/>
                <w:b/>
                <w:bCs/>
                <w:sz w:val="18"/>
                <w:szCs w:val="18"/>
              </w:rPr>
            </w:pPr>
            <w:r w:rsidRPr="00505442">
              <w:rPr>
                <w:rFonts w:ascii="Calibri" w:hAnsi="Calibri" w:cs="Arial"/>
                <w:b/>
                <w:bCs/>
                <w:sz w:val="18"/>
                <w:szCs w:val="18"/>
              </w:rPr>
              <w:t>Rekonštr.  Kanalizácia  (splašková, dažďová)        v m</w:t>
            </w:r>
          </w:p>
        </w:tc>
        <w:tc>
          <w:tcPr>
            <w:tcW w:w="892" w:type="dxa"/>
            <w:tcBorders>
              <w:top w:val="nil"/>
              <w:left w:val="nil"/>
              <w:bottom w:val="nil"/>
              <w:right w:val="single" w:sz="8" w:space="0" w:color="auto"/>
            </w:tcBorders>
            <w:shd w:val="clear" w:color="000000" w:fill="CCFFFF"/>
            <w:vAlign w:val="center"/>
            <w:hideMark/>
          </w:tcPr>
          <w:p w:rsidR="00A53BCF" w:rsidRPr="0008732F" w:rsidRDefault="00A53BCF" w:rsidP="00A53BCF">
            <w:pPr>
              <w:jc w:val="center"/>
              <w:rPr>
                <w:rFonts w:ascii="Calibri" w:hAnsi="Calibri" w:cs="Arial"/>
                <w:b/>
                <w:bCs/>
                <w:sz w:val="18"/>
                <w:szCs w:val="18"/>
              </w:rPr>
            </w:pPr>
            <w:r w:rsidRPr="00505442">
              <w:rPr>
                <w:rFonts w:ascii="Calibri" w:hAnsi="Calibri" w:cs="Arial"/>
                <w:b/>
                <w:bCs/>
                <w:sz w:val="18"/>
                <w:szCs w:val="18"/>
              </w:rPr>
              <w:t>Počet rekonštr.   ČOV</w:t>
            </w:r>
          </w:p>
        </w:tc>
        <w:tc>
          <w:tcPr>
            <w:tcW w:w="1135" w:type="dxa"/>
            <w:tcBorders>
              <w:top w:val="nil"/>
              <w:left w:val="nil"/>
              <w:bottom w:val="nil"/>
              <w:right w:val="single" w:sz="8" w:space="0" w:color="auto"/>
            </w:tcBorders>
            <w:shd w:val="clear" w:color="000000" w:fill="CCFFFF"/>
            <w:vAlign w:val="center"/>
            <w:hideMark/>
          </w:tcPr>
          <w:p w:rsidR="00A53BCF" w:rsidRPr="0008732F" w:rsidRDefault="00A53BCF" w:rsidP="00A53BCF">
            <w:pPr>
              <w:jc w:val="center"/>
              <w:rPr>
                <w:rFonts w:ascii="Calibri" w:hAnsi="Calibri" w:cs="Arial"/>
                <w:b/>
                <w:bCs/>
                <w:sz w:val="18"/>
                <w:szCs w:val="18"/>
              </w:rPr>
            </w:pPr>
            <w:r w:rsidRPr="00505442">
              <w:rPr>
                <w:rFonts w:ascii="Calibri" w:hAnsi="Calibri" w:cs="Arial"/>
                <w:b/>
                <w:bCs/>
                <w:sz w:val="18"/>
                <w:szCs w:val="18"/>
              </w:rPr>
              <w:t>Rekonštr.  ČOV celková kapacita v EO</w:t>
            </w:r>
          </w:p>
        </w:tc>
        <w:tc>
          <w:tcPr>
            <w:tcW w:w="1135" w:type="dxa"/>
            <w:tcBorders>
              <w:top w:val="nil"/>
              <w:left w:val="nil"/>
              <w:bottom w:val="nil"/>
              <w:right w:val="single" w:sz="8" w:space="0" w:color="auto"/>
            </w:tcBorders>
            <w:shd w:val="clear" w:color="000000" w:fill="CCFFFF"/>
            <w:vAlign w:val="center"/>
            <w:hideMark/>
          </w:tcPr>
          <w:p w:rsidR="00A53BCF" w:rsidRPr="0008732F" w:rsidRDefault="00A53BCF" w:rsidP="00A53BCF">
            <w:pPr>
              <w:jc w:val="center"/>
              <w:rPr>
                <w:rFonts w:ascii="Calibri" w:hAnsi="Calibri" w:cs="Arial"/>
                <w:b/>
                <w:bCs/>
                <w:sz w:val="18"/>
                <w:szCs w:val="18"/>
              </w:rPr>
            </w:pPr>
            <w:r w:rsidRPr="00505442">
              <w:rPr>
                <w:rFonts w:ascii="Calibri" w:hAnsi="Calibri" w:cs="Arial"/>
                <w:b/>
                <w:bCs/>
                <w:sz w:val="18"/>
                <w:szCs w:val="18"/>
              </w:rPr>
              <w:t>Rekonštr. ČOV celková kapacita za deň v m³</w:t>
            </w:r>
          </w:p>
        </w:tc>
        <w:tc>
          <w:tcPr>
            <w:tcW w:w="858" w:type="dxa"/>
            <w:tcBorders>
              <w:top w:val="nil"/>
              <w:left w:val="nil"/>
              <w:bottom w:val="nil"/>
              <w:right w:val="single" w:sz="8" w:space="0" w:color="auto"/>
            </w:tcBorders>
            <w:shd w:val="clear" w:color="000000" w:fill="CCFFFF"/>
            <w:vAlign w:val="center"/>
            <w:hideMark/>
          </w:tcPr>
          <w:p w:rsidR="00A53BCF" w:rsidRPr="0008732F" w:rsidRDefault="00A53BCF" w:rsidP="00A53BCF">
            <w:pPr>
              <w:jc w:val="center"/>
              <w:rPr>
                <w:rFonts w:ascii="Calibri" w:hAnsi="Calibri" w:cs="Arial"/>
                <w:b/>
                <w:bCs/>
                <w:sz w:val="18"/>
                <w:szCs w:val="18"/>
              </w:rPr>
            </w:pPr>
            <w:r w:rsidRPr="00505442">
              <w:rPr>
                <w:rFonts w:ascii="Calibri" w:hAnsi="Calibri" w:cs="Arial"/>
                <w:b/>
                <w:bCs/>
                <w:sz w:val="18"/>
                <w:szCs w:val="18"/>
              </w:rPr>
              <w:t xml:space="preserve">Rekonštr. Miestna cesta v  m </w:t>
            </w:r>
          </w:p>
        </w:tc>
        <w:tc>
          <w:tcPr>
            <w:tcW w:w="1013" w:type="dxa"/>
            <w:tcBorders>
              <w:top w:val="nil"/>
              <w:left w:val="nil"/>
              <w:bottom w:val="nil"/>
              <w:right w:val="single" w:sz="8" w:space="0" w:color="auto"/>
            </w:tcBorders>
            <w:shd w:val="clear" w:color="000000" w:fill="CCFFFF"/>
            <w:vAlign w:val="center"/>
            <w:hideMark/>
          </w:tcPr>
          <w:p w:rsidR="00A53BCF" w:rsidRPr="0008732F" w:rsidRDefault="00A53BCF" w:rsidP="00A53BCF">
            <w:pPr>
              <w:jc w:val="center"/>
              <w:rPr>
                <w:rFonts w:ascii="Calibri" w:hAnsi="Calibri" w:cs="Arial"/>
                <w:b/>
                <w:bCs/>
                <w:sz w:val="18"/>
                <w:szCs w:val="18"/>
              </w:rPr>
            </w:pPr>
            <w:r w:rsidRPr="00505442">
              <w:rPr>
                <w:rFonts w:ascii="Calibri" w:hAnsi="Calibri" w:cs="Arial"/>
                <w:b/>
                <w:bCs/>
                <w:sz w:val="18"/>
                <w:szCs w:val="18"/>
              </w:rPr>
              <w:t xml:space="preserve">Rekonštr. Chodník v m </w:t>
            </w:r>
          </w:p>
        </w:tc>
      </w:tr>
      <w:tr w:rsidR="00A53BCF" w:rsidRPr="0008732F" w:rsidTr="00A53BCF">
        <w:trPr>
          <w:trHeight w:val="287"/>
        </w:trPr>
        <w:tc>
          <w:tcPr>
            <w:tcW w:w="1723" w:type="dxa"/>
            <w:tcBorders>
              <w:top w:val="nil"/>
              <w:left w:val="single" w:sz="4" w:space="0" w:color="auto"/>
              <w:bottom w:val="single" w:sz="4" w:space="0" w:color="auto"/>
              <w:right w:val="single" w:sz="4" w:space="0" w:color="auto"/>
            </w:tcBorders>
            <w:shd w:val="clear" w:color="auto" w:fill="auto"/>
            <w:vAlign w:val="center"/>
            <w:hideMark/>
          </w:tcPr>
          <w:p w:rsidR="00A53BCF" w:rsidRPr="0008732F" w:rsidRDefault="00A53BCF" w:rsidP="00A53BCF">
            <w:pPr>
              <w:rPr>
                <w:rFonts w:ascii="Calibri" w:hAnsi="Calibri" w:cs="Arial CE"/>
                <w:sz w:val="18"/>
                <w:szCs w:val="18"/>
              </w:rPr>
            </w:pPr>
            <w:r w:rsidRPr="00505442">
              <w:rPr>
                <w:rFonts w:ascii="Calibri" w:hAnsi="Calibri" w:cs="Arial CE"/>
                <w:sz w:val="18"/>
                <w:szCs w:val="18"/>
              </w:rPr>
              <w:t>cez OS 3</w:t>
            </w:r>
          </w:p>
        </w:tc>
        <w:tc>
          <w:tcPr>
            <w:tcW w:w="1034" w:type="dxa"/>
            <w:tcBorders>
              <w:top w:val="single" w:sz="4" w:space="0" w:color="auto"/>
              <w:left w:val="nil"/>
              <w:bottom w:val="single" w:sz="4" w:space="0" w:color="auto"/>
              <w:right w:val="single" w:sz="4" w:space="0" w:color="auto"/>
            </w:tcBorders>
            <w:shd w:val="clear" w:color="auto" w:fill="auto"/>
            <w:vAlign w:val="center"/>
            <w:hideMark/>
          </w:tcPr>
          <w:p w:rsidR="00A53BCF" w:rsidRPr="0008732F" w:rsidRDefault="00A53BCF" w:rsidP="00A53BCF">
            <w:pPr>
              <w:jc w:val="right"/>
              <w:rPr>
                <w:rFonts w:ascii="Calibri" w:hAnsi="Calibri" w:cs="Arial CE"/>
                <w:sz w:val="18"/>
                <w:szCs w:val="18"/>
              </w:rPr>
            </w:pPr>
            <w:r w:rsidRPr="00505442">
              <w:rPr>
                <w:rFonts w:ascii="Calibri" w:hAnsi="Calibri" w:cs="Arial CE"/>
                <w:sz w:val="18"/>
                <w:szCs w:val="18"/>
              </w:rPr>
              <w:t>3 919</w:t>
            </w:r>
          </w:p>
        </w:tc>
        <w:tc>
          <w:tcPr>
            <w:tcW w:w="1135" w:type="dxa"/>
            <w:tcBorders>
              <w:top w:val="single" w:sz="4" w:space="0" w:color="auto"/>
              <w:left w:val="nil"/>
              <w:bottom w:val="single" w:sz="4" w:space="0" w:color="auto"/>
              <w:right w:val="single" w:sz="4" w:space="0" w:color="auto"/>
            </w:tcBorders>
            <w:shd w:val="clear" w:color="auto" w:fill="auto"/>
            <w:vAlign w:val="center"/>
            <w:hideMark/>
          </w:tcPr>
          <w:p w:rsidR="00A53BCF" w:rsidRPr="0008732F" w:rsidRDefault="00A53BCF" w:rsidP="00A53BCF">
            <w:pPr>
              <w:jc w:val="right"/>
              <w:rPr>
                <w:rFonts w:ascii="Calibri" w:hAnsi="Calibri" w:cs="Arial CE"/>
                <w:sz w:val="18"/>
                <w:szCs w:val="18"/>
              </w:rPr>
            </w:pPr>
            <w:r w:rsidRPr="00505442">
              <w:rPr>
                <w:rFonts w:ascii="Calibri" w:hAnsi="Calibri" w:cs="Arial CE"/>
                <w:sz w:val="18"/>
                <w:szCs w:val="18"/>
              </w:rPr>
              <w:t>9 624</w:t>
            </w:r>
          </w:p>
        </w:tc>
        <w:tc>
          <w:tcPr>
            <w:tcW w:w="892" w:type="dxa"/>
            <w:tcBorders>
              <w:top w:val="single" w:sz="4" w:space="0" w:color="auto"/>
              <w:left w:val="nil"/>
              <w:bottom w:val="single" w:sz="4" w:space="0" w:color="auto"/>
              <w:right w:val="single" w:sz="4" w:space="0" w:color="auto"/>
            </w:tcBorders>
            <w:shd w:val="clear" w:color="auto" w:fill="auto"/>
            <w:vAlign w:val="center"/>
            <w:hideMark/>
          </w:tcPr>
          <w:p w:rsidR="00A53BCF" w:rsidRPr="0008732F" w:rsidRDefault="00A53BCF" w:rsidP="00A53BCF">
            <w:pPr>
              <w:jc w:val="right"/>
              <w:rPr>
                <w:rFonts w:ascii="Calibri" w:hAnsi="Calibri" w:cs="Arial CE"/>
                <w:sz w:val="18"/>
                <w:szCs w:val="18"/>
              </w:rPr>
            </w:pPr>
            <w:r w:rsidRPr="00505442">
              <w:rPr>
                <w:rFonts w:ascii="Calibri" w:hAnsi="Calibri" w:cs="Arial CE"/>
                <w:sz w:val="18"/>
                <w:szCs w:val="18"/>
              </w:rPr>
              <w:t>0</w:t>
            </w:r>
          </w:p>
        </w:tc>
        <w:tc>
          <w:tcPr>
            <w:tcW w:w="1135" w:type="dxa"/>
            <w:tcBorders>
              <w:top w:val="single" w:sz="4" w:space="0" w:color="auto"/>
              <w:left w:val="nil"/>
              <w:bottom w:val="single" w:sz="4" w:space="0" w:color="auto"/>
              <w:right w:val="single" w:sz="4" w:space="0" w:color="auto"/>
            </w:tcBorders>
            <w:shd w:val="clear" w:color="auto" w:fill="auto"/>
            <w:vAlign w:val="center"/>
            <w:hideMark/>
          </w:tcPr>
          <w:p w:rsidR="00A53BCF" w:rsidRPr="0008732F" w:rsidRDefault="00A53BCF" w:rsidP="00A53BCF">
            <w:pPr>
              <w:jc w:val="right"/>
              <w:rPr>
                <w:rFonts w:ascii="Calibri" w:hAnsi="Calibri" w:cs="Arial CE"/>
                <w:sz w:val="18"/>
                <w:szCs w:val="18"/>
              </w:rPr>
            </w:pPr>
            <w:r w:rsidRPr="00505442">
              <w:rPr>
                <w:rFonts w:ascii="Calibri" w:hAnsi="Calibri" w:cs="Arial CE"/>
                <w:sz w:val="18"/>
                <w:szCs w:val="18"/>
              </w:rPr>
              <w:t>0</w:t>
            </w:r>
          </w:p>
        </w:tc>
        <w:tc>
          <w:tcPr>
            <w:tcW w:w="1135" w:type="dxa"/>
            <w:tcBorders>
              <w:top w:val="single" w:sz="4" w:space="0" w:color="auto"/>
              <w:left w:val="nil"/>
              <w:bottom w:val="single" w:sz="4" w:space="0" w:color="auto"/>
              <w:right w:val="single" w:sz="4" w:space="0" w:color="auto"/>
            </w:tcBorders>
            <w:shd w:val="clear" w:color="auto" w:fill="auto"/>
            <w:vAlign w:val="center"/>
            <w:hideMark/>
          </w:tcPr>
          <w:p w:rsidR="00A53BCF" w:rsidRPr="0008732F" w:rsidRDefault="00A53BCF" w:rsidP="00A53BCF">
            <w:pPr>
              <w:jc w:val="right"/>
              <w:rPr>
                <w:rFonts w:ascii="Calibri" w:hAnsi="Calibri" w:cs="Arial CE"/>
                <w:sz w:val="18"/>
                <w:szCs w:val="18"/>
              </w:rPr>
            </w:pPr>
            <w:r w:rsidRPr="00505442">
              <w:rPr>
                <w:rFonts w:ascii="Calibri" w:hAnsi="Calibri" w:cs="Arial CE"/>
                <w:sz w:val="18"/>
                <w:szCs w:val="18"/>
              </w:rPr>
              <w:t>0</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A53BCF" w:rsidRPr="0008732F" w:rsidRDefault="00A53BCF" w:rsidP="00A53BCF">
            <w:pPr>
              <w:jc w:val="right"/>
              <w:rPr>
                <w:rFonts w:ascii="Calibri" w:hAnsi="Calibri" w:cs="Arial CE"/>
                <w:sz w:val="18"/>
                <w:szCs w:val="18"/>
              </w:rPr>
            </w:pPr>
            <w:r w:rsidRPr="00505442">
              <w:rPr>
                <w:rFonts w:ascii="Calibri" w:hAnsi="Calibri" w:cs="Arial CE"/>
                <w:sz w:val="18"/>
                <w:szCs w:val="18"/>
              </w:rPr>
              <w:t>406 558</w:t>
            </w:r>
          </w:p>
        </w:tc>
        <w:tc>
          <w:tcPr>
            <w:tcW w:w="1013" w:type="dxa"/>
            <w:tcBorders>
              <w:top w:val="single" w:sz="4" w:space="0" w:color="auto"/>
              <w:left w:val="nil"/>
              <w:bottom w:val="single" w:sz="4" w:space="0" w:color="auto"/>
              <w:right w:val="single" w:sz="4" w:space="0" w:color="auto"/>
            </w:tcBorders>
            <w:shd w:val="clear" w:color="auto" w:fill="auto"/>
            <w:vAlign w:val="center"/>
            <w:hideMark/>
          </w:tcPr>
          <w:p w:rsidR="00A53BCF" w:rsidRPr="0008732F" w:rsidRDefault="00A53BCF" w:rsidP="00A53BCF">
            <w:pPr>
              <w:jc w:val="right"/>
              <w:rPr>
                <w:rFonts w:ascii="Calibri" w:hAnsi="Calibri" w:cs="Arial CE"/>
                <w:sz w:val="18"/>
                <w:szCs w:val="18"/>
              </w:rPr>
            </w:pPr>
            <w:r w:rsidRPr="00505442">
              <w:rPr>
                <w:rFonts w:ascii="Calibri" w:hAnsi="Calibri" w:cs="Arial CE"/>
                <w:sz w:val="18"/>
                <w:szCs w:val="18"/>
              </w:rPr>
              <w:t>157 704</w:t>
            </w:r>
          </w:p>
        </w:tc>
      </w:tr>
      <w:tr w:rsidR="00A53BCF" w:rsidRPr="0008732F" w:rsidTr="00A53BCF">
        <w:trPr>
          <w:trHeight w:val="301"/>
        </w:trPr>
        <w:tc>
          <w:tcPr>
            <w:tcW w:w="1723" w:type="dxa"/>
            <w:tcBorders>
              <w:top w:val="nil"/>
              <w:left w:val="single" w:sz="4" w:space="0" w:color="auto"/>
              <w:bottom w:val="nil"/>
              <w:right w:val="single" w:sz="4" w:space="0" w:color="auto"/>
            </w:tcBorders>
            <w:shd w:val="clear" w:color="auto" w:fill="auto"/>
            <w:vAlign w:val="center"/>
            <w:hideMark/>
          </w:tcPr>
          <w:p w:rsidR="00A53BCF" w:rsidRPr="0008732F" w:rsidRDefault="00A53BCF" w:rsidP="00A53BCF">
            <w:pPr>
              <w:rPr>
                <w:rFonts w:ascii="Calibri" w:hAnsi="Calibri" w:cs="Arial CE"/>
                <w:sz w:val="18"/>
                <w:szCs w:val="18"/>
              </w:rPr>
            </w:pPr>
            <w:r w:rsidRPr="00505442">
              <w:rPr>
                <w:rFonts w:ascii="Calibri" w:hAnsi="Calibri" w:cs="Arial CE"/>
                <w:sz w:val="18"/>
                <w:szCs w:val="18"/>
              </w:rPr>
              <w:t>cez OS 4 - LEADER</w:t>
            </w:r>
          </w:p>
        </w:tc>
        <w:tc>
          <w:tcPr>
            <w:tcW w:w="1034" w:type="dxa"/>
            <w:tcBorders>
              <w:top w:val="nil"/>
              <w:left w:val="nil"/>
              <w:bottom w:val="nil"/>
              <w:right w:val="single" w:sz="4" w:space="0" w:color="auto"/>
            </w:tcBorders>
            <w:shd w:val="clear" w:color="auto" w:fill="auto"/>
            <w:vAlign w:val="center"/>
            <w:hideMark/>
          </w:tcPr>
          <w:p w:rsidR="00A53BCF" w:rsidRPr="0008732F" w:rsidRDefault="00A53BCF" w:rsidP="00A53BCF">
            <w:pPr>
              <w:jc w:val="right"/>
              <w:rPr>
                <w:rFonts w:ascii="Calibri" w:hAnsi="Calibri" w:cs="Arial CE"/>
                <w:sz w:val="18"/>
                <w:szCs w:val="18"/>
              </w:rPr>
            </w:pPr>
            <w:r w:rsidRPr="00505442">
              <w:rPr>
                <w:rFonts w:ascii="Calibri" w:hAnsi="Calibri" w:cs="Arial CE"/>
                <w:sz w:val="18"/>
                <w:szCs w:val="18"/>
              </w:rPr>
              <w:t>0</w:t>
            </w:r>
          </w:p>
        </w:tc>
        <w:tc>
          <w:tcPr>
            <w:tcW w:w="1135" w:type="dxa"/>
            <w:tcBorders>
              <w:top w:val="nil"/>
              <w:left w:val="nil"/>
              <w:bottom w:val="nil"/>
              <w:right w:val="single" w:sz="4" w:space="0" w:color="auto"/>
            </w:tcBorders>
            <w:shd w:val="clear" w:color="auto" w:fill="auto"/>
            <w:vAlign w:val="center"/>
            <w:hideMark/>
          </w:tcPr>
          <w:p w:rsidR="00A53BCF" w:rsidRPr="0008732F" w:rsidRDefault="00A53BCF" w:rsidP="00A53BCF">
            <w:pPr>
              <w:jc w:val="right"/>
              <w:rPr>
                <w:rFonts w:ascii="Calibri" w:hAnsi="Calibri" w:cs="Arial CE"/>
                <w:sz w:val="18"/>
                <w:szCs w:val="18"/>
              </w:rPr>
            </w:pPr>
            <w:r w:rsidRPr="00505442">
              <w:rPr>
                <w:rFonts w:ascii="Calibri" w:hAnsi="Calibri" w:cs="Arial CE"/>
                <w:sz w:val="18"/>
                <w:szCs w:val="18"/>
              </w:rPr>
              <w:t>497</w:t>
            </w:r>
          </w:p>
        </w:tc>
        <w:tc>
          <w:tcPr>
            <w:tcW w:w="892" w:type="dxa"/>
            <w:tcBorders>
              <w:top w:val="nil"/>
              <w:left w:val="nil"/>
              <w:bottom w:val="nil"/>
              <w:right w:val="single" w:sz="4" w:space="0" w:color="auto"/>
            </w:tcBorders>
            <w:shd w:val="clear" w:color="auto" w:fill="auto"/>
            <w:vAlign w:val="center"/>
            <w:hideMark/>
          </w:tcPr>
          <w:p w:rsidR="00A53BCF" w:rsidRPr="0008732F" w:rsidRDefault="00A53BCF" w:rsidP="00A53BCF">
            <w:pPr>
              <w:jc w:val="right"/>
              <w:rPr>
                <w:rFonts w:ascii="Calibri" w:hAnsi="Calibri" w:cs="Arial CE"/>
                <w:sz w:val="18"/>
                <w:szCs w:val="18"/>
              </w:rPr>
            </w:pPr>
            <w:r w:rsidRPr="00505442">
              <w:rPr>
                <w:rFonts w:ascii="Calibri" w:hAnsi="Calibri" w:cs="Arial CE"/>
                <w:sz w:val="18"/>
                <w:szCs w:val="18"/>
              </w:rPr>
              <w:t>0</w:t>
            </w:r>
          </w:p>
        </w:tc>
        <w:tc>
          <w:tcPr>
            <w:tcW w:w="1135" w:type="dxa"/>
            <w:tcBorders>
              <w:top w:val="nil"/>
              <w:left w:val="nil"/>
              <w:bottom w:val="nil"/>
              <w:right w:val="single" w:sz="4" w:space="0" w:color="auto"/>
            </w:tcBorders>
            <w:shd w:val="clear" w:color="auto" w:fill="auto"/>
            <w:vAlign w:val="center"/>
            <w:hideMark/>
          </w:tcPr>
          <w:p w:rsidR="00A53BCF" w:rsidRPr="0008732F" w:rsidRDefault="00A53BCF" w:rsidP="00A53BCF">
            <w:pPr>
              <w:jc w:val="right"/>
              <w:rPr>
                <w:rFonts w:ascii="Calibri" w:hAnsi="Calibri" w:cs="Arial CE"/>
                <w:sz w:val="18"/>
                <w:szCs w:val="18"/>
              </w:rPr>
            </w:pPr>
            <w:r w:rsidRPr="00505442">
              <w:rPr>
                <w:rFonts w:ascii="Calibri" w:hAnsi="Calibri" w:cs="Arial CE"/>
                <w:sz w:val="18"/>
                <w:szCs w:val="18"/>
              </w:rPr>
              <w:t>0</w:t>
            </w:r>
          </w:p>
        </w:tc>
        <w:tc>
          <w:tcPr>
            <w:tcW w:w="1135" w:type="dxa"/>
            <w:tcBorders>
              <w:top w:val="nil"/>
              <w:left w:val="nil"/>
              <w:bottom w:val="nil"/>
              <w:right w:val="single" w:sz="4" w:space="0" w:color="auto"/>
            </w:tcBorders>
            <w:shd w:val="clear" w:color="auto" w:fill="auto"/>
            <w:vAlign w:val="center"/>
            <w:hideMark/>
          </w:tcPr>
          <w:p w:rsidR="00A53BCF" w:rsidRPr="0008732F" w:rsidRDefault="00A53BCF" w:rsidP="00A53BCF">
            <w:pPr>
              <w:jc w:val="right"/>
              <w:rPr>
                <w:rFonts w:ascii="Calibri" w:hAnsi="Calibri" w:cs="Arial CE"/>
                <w:sz w:val="18"/>
                <w:szCs w:val="18"/>
              </w:rPr>
            </w:pPr>
            <w:r w:rsidRPr="00505442">
              <w:rPr>
                <w:rFonts w:ascii="Calibri" w:hAnsi="Calibri" w:cs="Arial CE"/>
                <w:sz w:val="18"/>
                <w:szCs w:val="18"/>
              </w:rPr>
              <w:t>0</w:t>
            </w:r>
          </w:p>
        </w:tc>
        <w:tc>
          <w:tcPr>
            <w:tcW w:w="858" w:type="dxa"/>
            <w:tcBorders>
              <w:top w:val="nil"/>
              <w:left w:val="nil"/>
              <w:bottom w:val="nil"/>
              <w:right w:val="single" w:sz="4" w:space="0" w:color="auto"/>
            </w:tcBorders>
            <w:shd w:val="clear" w:color="auto" w:fill="auto"/>
            <w:vAlign w:val="center"/>
            <w:hideMark/>
          </w:tcPr>
          <w:p w:rsidR="00A53BCF" w:rsidRPr="0008732F" w:rsidRDefault="00A53BCF" w:rsidP="00A53BCF">
            <w:pPr>
              <w:jc w:val="right"/>
              <w:rPr>
                <w:rFonts w:ascii="Calibri" w:hAnsi="Calibri" w:cs="Arial CE"/>
                <w:sz w:val="18"/>
                <w:szCs w:val="18"/>
              </w:rPr>
            </w:pPr>
            <w:r w:rsidRPr="00505442">
              <w:rPr>
                <w:rFonts w:ascii="Calibri" w:hAnsi="Calibri" w:cs="Arial CE"/>
                <w:sz w:val="18"/>
                <w:szCs w:val="18"/>
              </w:rPr>
              <w:t>20 782</w:t>
            </w:r>
          </w:p>
        </w:tc>
        <w:tc>
          <w:tcPr>
            <w:tcW w:w="1013" w:type="dxa"/>
            <w:tcBorders>
              <w:top w:val="nil"/>
              <w:left w:val="nil"/>
              <w:bottom w:val="nil"/>
              <w:right w:val="single" w:sz="4" w:space="0" w:color="auto"/>
            </w:tcBorders>
            <w:shd w:val="clear" w:color="auto" w:fill="auto"/>
            <w:vAlign w:val="center"/>
            <w:hideMark/>
          </w:tcPr>
          <w:p w:rsidR="00A53BCF" w:rsidRPr="0008732F" w:rsidRDefault="00A53BCF" w:rsidP="00A53BCF">
            <w:pPr>
              <w:jc w:val="right"/>
              <w:rPr>
                <w:rFonts w:ascii="Calibri" w:hAnsi="Calibri" w:cs="Arial CE"/>
                <w:sz w:val="18"/>
                <w:szCs w:val="18"/>
              </w:rPr>
            </w:pPr>
            <w:r w:rsidRPr="00505442">
              <w:rPr>
                <w:rFonts w:ascii="Calibri" w:hAnsi="Calibri" w:cs="Arial CE"/>
                <w:sz w:val="18"/>
                <w:szCs w:val="18"/>
              </w:rPr>
              <w:t>20 437</w:t>
            </w:r>
          </w:p>
        </w:tc>
      </w:tr>
      <w:tr w:rsidR="00A53BCF" w:rsidRPr="0008732F" w:rsidTr="00A53BCF">
        <w:trPr>
          <w:trHeight w:val="301"/>
        </w:trPr>
        <w:tc>
          <w:tcPr>
            <w:tcW w:w="1723" w:type="dxa"/>
            <w:tcBorders>
              <w:top w:val="single" w:sz="8" w:space="0" w:color="auto"/>
              <w:left w:val="single" w:sz="8" w:space="0" w:color="auto"/>
              <w:bottom w:val="single" w:sz="8" w:space="0" w:color="auto"/>
              <w:right w:val="single" w:sz="4" w:space="0" w:color="auto"/>
            </w:tcBorders>
            <w:shd w:val="clear" w:color="auto" w:fill="auto"/>
            <w:noWrap/>
            <w:vAlign w:val="bottom"/>
            <w:hideMark/>
          </w:tcPr>
          <w:p w:rsidR="00A53BCF" w:rsidRPr="0008732F" w:rsidRDefault="00A53BCF" w:rsidP="00A53BCF">
            <w:pPr>
              <w:rPr>
                <w:rFonts w:ascii="Calibri" w:hAnsi="Calibri"/>
                <w:b/>
                <w:bCs/>
                <w:color w:val="000000"/>
                <w:sz w:val="18"/>
                <w:szCs w:val="18"/>
              </w:rPr>
            </w:pPr>
            <w:r w:rsidRPr="00505442">
              <w:rPr>
                <w:rFonts w:ascii="Calibri" w:hAnsi="Calibri"/>
                <w:b/>
                <w:bCs/>
                <w:color w:val="000000"/>
                <w:sz w:val="18"/>
                <w:szCs w:val="18"/>
              </w:rPr>
              <w:t>spolu</w:t>
            </w:r>
          </w:p>
        </w:tc>
        <w:tc>
          <w:tcPr>
            <w:tcW w:w="1034" w:type="dxa"/>
            <w:tcBorders>
              <w:top w:val="single" w:sz="8" w:space="0" w:color="auto"/>
              <w:left w:val="nil"/>
              <w:bottom w:val="single" w:sz="8" w:space="0" w:color="auto"/>
              <w:right w:val="single" w:sz="4" w:space="0" w:color="auto"/>
            </w:tcBorders>
            <w:shd w:val="clear" w:color="auto" w:fill="auto"/>
            <w:noWrap/>
            <w:vAlign w:val="bottom"/>
            <w:hideMark/>
          </w:tcPr>
          <w:p w:rsidR="00A53BCF" w:rsidRPr="0008732F" w:rsidRDefault="00A53BCF" w:rsidP="00A53BCF">
            <w:pPr>
              <w:jc w:val="right"/>
              <w:rPr>
                <w:rFonts w:ascii="Calibri" w:hAnsi="Calibri"/>
                <w:b/>
                <w:bCs/>
                <w:color w:val="000000"/>
                <w:sz w:val="18"/>
                <w:szCs w:val="18"/>
              </w:rPr>
            </w:pPr>
            <w:r w:rsidRPr="00505442">
              <w:rPr>
                <w:rFonts w:ascii="Calibri" w:hAnsi="Calibri"/>
                <w:b/>
                <w:bCs/>
                <w:color w:val="000000"/>
                <w:sz w:val="18"/>
                <w:szCs w:val="18"/>
              </w:rPr>
              <w:t xml:space="preserve">3 919 </w:t>
            </w:r>
          </w:p>
        </w:tc>
        <w:tc>
          <w:tcPr>
            <w:tcW w:w="1135" w:type="dxa"/>
            <w:tcBorders>
              <w:top w:val="single" w:sz="8" w:space="0" w:color="auto"/>
              <w:left w:val="nil"/>
              <w:bottom w:val="single" w:sz="8" w:space="0" w:color="auto"/>
              <w:right w:val="single" w:sz="4" w:space="0" w:color="auto"/>
            </w:tcBorders>
            <w:shd w:val="clear" w:color="auto" w:fill="auto"/>
            <w:noWrap/>
            <w:vAlign w:val="bottom"/>
            <w:hideMark/>
          </w:tcPr>
          <w:p w:rsidR="00A53BCF" w:rsidRPr="0008732F" w:rsidRDefault="00A53BCF" w:rsidP="00A53BCF">
            <w:pPr>
              <w:jc w:val="right"/>
              <w:rPr>
                <w:rFonts w:ascii="Calibri" w:hAnsi="Calibri"/>
                <w:b/>
                <w:bCs/>
                <w:color w:val="000000"/>
                <w:sz w:val="18"/>
                <w:szCs w:val="18"/>
              </w:rPr>
            </w:pPr>
            <w:r w:rsidRPr="00505442">
              <w:rPr>
                <w:rFonts w:ascii="Calibri" w:hAnsi="Calibri"/>
                <w:b/>
                <w:bCs/>
                <w:color w:val="000000"/>
                <w:sz w:val="18"/>
                <w:szCs w:val="18"/>
              </w:rPr>
              <w:t xml:space="preserve">10 121 </w:t>
            </w:r>
          </w:p>
        </w:tc>
        <w:tc>
          <w:tcPr>
            <w:tcW w:w="892" w:type="dxa"/>
            <w:tcBorders>
              <w:top w:val="single" w:sz="8" w:space="0" w:color="auto"/>
              <w:left w:val="nil"/>
              <w:bottom w:val="single" w:sz="8" w:space="0" w:color="auto"/>
              <w:right w:val="single" w:sz="4" w:space="0" w:color="auto"/>
            </w:tcBorders>
            <w:shd w:val="clear" w:color="auto" w:fill="auto"/>
            <w:noWrap/>
            <w:vAlign w:val="bottom"/>
            <w:hideMark/>
          </w:tcPr>
          <w:p w:rsidR="00A53BCF" w:rsidRPr="0008732F" w:rsidRDefault="00A53BCF" w:rsidP="00A53BCF">
            <w:pPr>
              <w:jc w:val="right"/>
              <w:rPr>
                <w:rFonts w:ascii="Calibri" w:hAnsi="Calibri"/>
                <w:b/>
                <w:bCs/>
                <w:color w:val="000000"/>
                <w:sz w:val="18"/>
                <w:szCs w:val="18"/>
              </w:rPr>
            </w:pPr>
            <w:r w:rsidRPr="00505442">
              <w:rPr>
                <w:rFonts w:ascii="Calibri" w:hAnsi="Calibri"/>
                <w:b/>
                <w:bCs/>
                <w:color w:val="000000"/>
                <w:sz w:val="18"/>
                <w:szCs w:val="18"/>
              </w:rPr>
              <w:t xml:space="preserve">0 </w:t>
            </w:r>
          </w:p>
        </w:tc>
        <w:tc>
          <w:tcPr>
            <w:tcW w:w="1135" w:type="dxa"/>
            <w:tcBorders>
              <w:top w:val="single" w:sz="8" w:space="0" w:color="auto"/>
              <w:left w:val="nil"/>
              <w:bottom w:val="single" w:sz="8" w:space="0" w:color="auto"/>
              <w:right w:val="single" w:sz="4" w:space="0" w:color="auto"/>
            </w:tcBorders>
            <w:shd w:val="clear" w:color="auto" w:fill="auto"/>
            <w:noWrap/>
            <w:vAlign w:val="bottom"/>
            <w:hideMark/>
          </w:tcPr>
          <w:p w:rsidR="00A53BCF" w:rsidRPr="0008732F" w:rsidRDefault="00A53BCF" w:rsidP="00A53BCF">
            <w:pPr>
              <w:jc w:val="right"/>
              <w:rPr>
                <w:rFonts w:ascii="Calibri" w:hAnsi="Calibri"/>
                <w:b/>
                <w:bCs/>
                <w:color w:val="000000"/>
                <w:sz w:val="18"/>
                <w:szCs w:val="18"/>
              </w:rPr>
            </w:pPr>
            <w:r w:rsidRPr="00505442">
              <w:rPr>
                <w:rFonts w:ascii="Calibri" w:hAnsi="Calibri"/>
                <w:b/>
                <w:bCs/>
                <w:color w:val="000000"/>
                <w:sz w:val="18"/>
                <w:szCs w:val="18"/>
              </w:rPr>
              <w:t xml:space="preserve">0 </w:t>
            </w:r>
          </w:p>
        </w:tc>
        <w:tc>
          <w:tcPr>
            <w:tcW w:w="1135" w:type="dxa"/>
            <w:tcBorders>
              <w:top w:val="single" w:sz="8" w:space="0" w:color="auto"/>
              <w:left w:val="nil"/>
              <w:bottom w:val="single" w:sz="8" w:space="0" w:color="auto"/>
              <w:right w:val="single" w:sz="4" w:space="0" w:color="auto"/>
            </w:tcBorders>
            <w:shd w:val="clear" w:color="auto" w:fill="auto"/>
            <w:noWrap/>
            <w:vAlign w:val="bottom"/>
            <w:hideMark/>
          </w:tcPr>
          <w:p w:rsidR="00A53BCF" w:rsidRPr="0008732F" w:rsidRDefault="00A53BCF" w:rsidP="00A53BCF">
            <w:pPr>
              <w:jc w:val="right"/>
              <w:rPr>
                <w:rFonts w:ascii="Calibri" w:hAnsi="Calibri"/>
                <w:b/>
                <w:bCs/>
                <w:color w:val="000000"/>
                <w:sz w:val="18"/>
                <w:szCs w:val="18"/>
              </w:rPr>
            </w:pPr>
            <w:r w:rsidRPr="00505442">
              <w:rPr>
                <w:rFonts w:ascii="Calibri" w:hAnsi="Calibri"/>
                <w:b/>
                <w:bCs/>
                <w:color w:val="000000"/>
                <w:sz w:val="18"/>
                <w:szCs w:val="18"/>
              </w:rPr>
              <w:t xml:space="preserve">0 </w:t>
            </w:r>
          </w:p>
        </w:tc>
        <w:tc>
          <w:tcPr>
            <w:tcW w:w="858" w:type="dxa"/>
            <w:tcBorders>
              <w:top w:val="single" w:sz="8" w:space="0" w:color="auto"/>
              <w:left w:val="nil"/>
              <w:bottom w:val="single" w:sz="8" w:space="0" w:color="auto"/>
              <w:right w:val="single" w:sz="4" w:space="0" w:color="auto"/>
            </w:tcBorders>
            <w:shd w:val="clear" w:color="auto" w:fill="auto"/>
            <w:noWrap/>
            <w:vAlign w:val="bottom"/>
            <w:hideMark/>
          </w:tcPr>
          <w:p w:rsidR="00A53BCF" w:rsidRPr="0008732F" w:rsidRDefault="00A53BCF" w:rsidP="00A53BCF">
            <w:pPr>
              <w:jc w:val="right"/>
              <w:rPr>
                <w:rFonts w:ascii="Calibri" w:hAnsi="Calibri"/>
                <w:b/>
                <w:bCs/>
                <w:color w:val="000000"/>
                <w:sz w:val="18"/>
                <w:szCs w:val="18"/>
              </w:rPr>
            </w:pPr>
            <w:r w:rsidRPr="00505442">
              <w:rPr>
                <w:rFonts w:ascii="Calibri" w:hAnsi="Calibri"/>
                <w:b/>
                <w:bCs/>
                <w:color w:val="000000"/>
                <w:sz w:val="18"/>
                <w:szCs w:val="18"/>
              </w:rPr>
              <w:t xml:space="preserve">427 340 </w:t>
            </w:r>
          </w:p>
        </w:tc>
        <w:tc>
          <w:tcPr>
            <w:tcW w:w="1013" w:type="dxa"/>
            <w:tcBorders>
              <w:top w:val="single" w:sz="8" w:space="0" w:color="auto"/>
              <w:left w:val="nil"/>
              <w:bottom w:val="single" w:sz="8" w:space="0" w:color="auto"/>
              <w:right w:val="single" w:sz="4" w:space="0" w:color="auto"/>
            </w:tcBorders>
            <w:shd w:val="clear" w:color="auto" w:fill="auto"/>
            <w:noWrap/>
            <w:vAlign w:val="bottom"/>
            <w:hideMark/>
          </w:tcPr>
          <w:p w:rsidR="00A53BCF" w:rsidRPr="0008732F" w:rsidRDefault="00A53BCF" w:rsidP="00A53BCF">
            <w:pPr>
              <w:jc w:val="right"/>
              <w:rPr>
                <w:rFonts w:ascii="Calibri" w:hAnsi="Calibri"/>
                <w:b/>
                <w:bCs/>
                <w:color w:val="000000"/>
                <w:sz w:val="18"/>
                <w:szCs w:val="18"/>
              </w:rPr>
            </w:pPr>
            <w:r w:rsidRPr="00505442">
              <w:rPr>
                <w:rFonts w:ascii="Calibri" w:hAnsi="Calibri"/>
                <w:b/>
                <w:bCs/>
                <w:color w:val="000000"/>
                <w:sz w:val="18"/>
                <w:szCs w:val="18"/>
              </w:rPr>
              <w:t xml:space="preserve">178 141 </w:t>
            </w:r>
          </w:p>
        </w:tc>
      </w:tr>
    </w:tbl>
    <w:p w:rsidR="00A53BCF" w:rsidRDefault="00A53BCF" w:rsidP="00A53BCF">
      <w:pPr>
        <w:rPr>
          <w:rFonts w:ascii="Calibri" w:hAnsi="Calibri"/>
          <w:szCs w:val="22"/>
        </w:rPr>
      </w:pPr>
      <w:r w:rsidRPr="009F41BD">
        <w:rPr>
          <w:rFonts w:ascii="Calibri" w:hAnsi="Calibri"/>
          <w:szCs w:val="22"/>
        </w:rPr>
        <w:t>pokračovanie tabuľky</w:t>
      </w:r>
    </w:p>
    <w:tbl>
      <w:tblPr>
        <w:tblW w:w="8911" w:type="dxa"/>
        <w:tblInd w:w="55" w:type="dxa"/>
        <w:tblCellMar>
          <w:left w:w="70" w:type="dxa"/>
          <w:right w:w="70" w:type="dxa"/>
        </w:tblCellMar>
        <w:tblLook w:val="04A0" w:firstRow="1" w:lastRow="0" w:firstColumn="1" w:lastColumn="0" w:noHBand="0" w:noVBand="1"/>
      </w:tblPr>
      <w:tblGrid>
        <w:gridCol w:w="1189"/>
        <w:gridCol w:w="1357"/>
        <w:gridCol w:w="1273"/>
        <w:gridCol w:w="1273"/>
        <w:gridCol w:w="1273"/>
        <w:gridCol w:w="1273"/>
        <w:gridCol w:w="1273"/>
      </w:tblGrid>
      <w:tr w:rsidR="00A53BCF" w:rsidRPr="0008732F" w:rsidTr="00A53BCF">
        <w:trPr>
          <w:trHeight w:val="305"/>
        </w:trPr>
        <w:tc>
          <w:tcPr>
            <w:tcW w:w="118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53BCF" w:rsidRPr="0008732F" w:rsidRDefault="00A53BCF" w:rsidP="00A53BCF">
            <w:pPr>
              <w:rPr>
                <w:b/>
                <w:bCs/>
                <w:color w:val="000000"/>
                <w:sz w:val="18"/>
                <w:szCs w:val="18"/>
              </w:rPr>
            </w:pPr>
            <w:r w:rsidRPr="00505442">
              <w:rPr>
                <w:b/>
                <w:bCs/>
                <w:color w:val="000000"/>
                <w:sz w:val="18"/>
                <w:szCs w:val="18"/>
              </w:rPr>
              <w:t>PRV 2007-2013</w:t>
            </w:r>
          </w:p>
        </w:tc>
        <w:tc>
          <w:tcPr>
            <w:tcW w:w="1357" w:type="dxa"/>
            <w:tcBorders>
              <w:top w:val="single" w:sz="4" w:space="0" w:color="auto"/>
              <w:left w:val="single" w:sz="4" w:space="0" w:color="auto"/>
              <w:bottom w:val="single" w:sz="4" w:space="0" w:color="auto"/>
              <w:right w:val="single" w:sz="4" w:space="0" w:color="auto"/>
            </w:tcBorders>
            <w:vAlign w:val="bottom"/>
          </w:tcPr>
          <w:p w:rsidR="00A53BCF" w:rsidRPr="0008732F" w:rsidRDefault="00A53BCF" w:rsidP="00A53BCF">
            <w:pPr>
              <w:rPr>
                <w:rFonts w:ascii="Calibri" w:hAnsi="Calibri"/>
                <w:b/>
                <w:bCs/>
                <w:color w:val="000000"/>
                <w:sz w:val="18"/>
                <w:szCs w:val="18"/>
              </w:rPr>
            </w:pPr>
          </w:p>
        </w:tc>
        <w:tc>
          <w:tcPr>
            <w:tcW w:w="1273" w:type="dxa"/>
            <w:tcBorders>
              <w:top w:val="single" w:sz="4" w:space="0" w:color="auto"/>
              <w:left w:val="single" w:sz="4" w:space="0" w:color="auto"/>
              <w:bottom w:val="single" w:sz="4" w:space="0" w:color="auto"/>
              <w:right w:val="single" w:sz="4" w:space="0" w:color="auto"/>
            </w:tcBorders>
            <w:vAlign w:val="bottom"/>
          </w:tcPr>
          <w:p w:rsidR="00A53BCF" w:rsidRPr="0008732F" w:rsidRDefault="00A53BCF" w:rsidP="00A53BCF">
            <w:pPr>
              <w:rPr>
                <w:rFonts w:ascii="Calibri" w:hAnsi="Calibri"/>
                <w:b/>
                <w:bCs/>
                <w:color w:val="000000"/>
                <w:sz w:val="18"/>
                <w:szCs w:val="18"/>
              </w:rPr>
            </w:pPr>
          </w:p>
        </w:tc>
        <w:tc>
          <w:tcPr>
            <w:tcW w:w="1273" w:type="dxa"/>
            <w:tcBorders>
              <w:top w:val="single" w:sz="4" w:space="0" w:color="auto"/>
              <w:left w:val="single" w:sz="4" w:space="0" w:color="auto"/>
              <w:bottom w:val="single" w:sz="4" w:space="0" w:color="auto"/>
              <w:right w:val="single" w:sz="4" w:space="0" w:color="auto"/>
            </w:tcBorders>
            <w:vAlign w:val="bottom"/>
          </w:tcPr>
          <w:p w:rsidR="00A53BCF" w:rsidRPr="0008732F" w:rsidRDefault="00A53BCF" w:rsidP="00A53BCF">
            <w:pPr>
              <w:rPr>
                <w:rFonts w:ascii="Calibri" w:hAnsi="Calibri"/>
                <w:b/>
                <w:bCs/>
                <w:color w:val="000000"/>
                <w:sz w:val="18"/>
                <w:szCs w:val="18"/>
              </w:rPr>
            </w:pPr>
          </w:p>
        </w:tc>
        <w:tc>
          <w:tcPr>
            <w:tcW w:w="1273" w:type="dxa"/>
            <w:tcBorders>
              <w:top w:val="single" w:sz="4" w:space="0" w:color="auto"/>
              <w:left w:val="single" w:sz="4" w:space="0" w:color="auto"/>
              <w:bottom w:val="single" w:sz="4" w:space="0" w:color="auto"/>
              <w:right w:val="single" w:sz="4" w:space="0" w:color="auto"/>
            </w:tcBorders>
            <w:vAlign w:val="bottom"/>
          </w:tcPr>
          <w:p w:rsidR="00A53BCF" w:rsidRPr="0008732F" w:rsidRDefault="00A53BCF" w:rsidP="00A53BCF">
            <w:pPr>
              <w:rPr>
                <w:rFonts w:ascii="Calibri" w:hAnsi="Calibri"/>
                <w:b/>
                <w:bCs/>
                <w:color w:val="000000"/>
                <w:sz w:val="18"/>
                <w:szCs w:val="18"/>
              </w:rPr>
            </w:pPr>
          </w:p>
        </w:tc>
        <w:tc>
          <w:tcPr>
            <w:tcW w:w="1273" w:type="dxa"/>
            <w:tcBorders>
              <w:top w:val="single" w:sz="4" w:space="0" w:color="auto"/>
              <w:left w:val="single" w:sz="4" w:space="0" w:color="auto"/>
              <w:bottom w:val="single" w:sz="4" w:space="0" w:color="auto"/>
              <w:right w:val="single" w:sz="4" w:space="0" w:color="auto"/>
            </w:tcBorders>
            <w:vAlign w:val="bottom"/>
          </w:tcPr>
          <w:p w:rsidR="00A53BCF" w:rsidRPr="0008732F" w:rsidRDefault="00A53BCF" w:rsidP="00A53BCF">
            <w:pPr>
              <w:rPr>
                <w:rFonts w:ascii="Calibri" w:hAnsi="Calibri"/>
                <w:b/>
                <w:bCs/>
                <w:color w:val="000000"/>
                <w:sz w:val="18"/>
                <w:szCs w:val="18"/>
              </w:rPr>
            </w:pPr>
          </w:p>
        </w:tc>
        <w:tc>
          <w:tcPr>
            <w:tcW w:w="1273" w:type="dxa"/>
            <w:tcBorders>
              <w:top w:val="single" w:sz="4" w:space="0" w:color="auto"/>
              <w:left w:val="single" w:sz="4" w:space="0" w:color="auto"/>
              <w:bottom w:val="single" w:sz="4" w:space="0" w:color="auto"/>
              <w:right w:val="single" w:sz="4" w:space="0" w:color="auto"/>
            </w:tcBorders>
            <w:vAlign w:val="bottom"/>
          </w:tcPr>
          <w:p w:rsidR="00A53BCF" w:rsidRPr="0008732F" w:rsidRDefault="00A53BCF" w:rsidP="00A53BCF">
            <w:pPr>
              <w:rPr>
                <w:rFonts w:ascii="Calibri" w:hAnsi="Calibri"/>
                <w:b/>
                <w:bCs/>
                <w:color w:val="000000"/>
                <w:sz w:val="18"/>
                <w:szCs w:val="18"/>
              </w:rPr>
            </w:pPr>
          </w:p>
        </w:tc>
      </w:tr>
      <w:tr w:rsidR="00A53BCF" w:rsidRPr="0008732F" w:rsidTr="00A53BCF">
        <w:trPr>
          <w:trHeight w:val="1092"/>
        </w:trPr>
        <w:tc>
          <w:tcPr>
            <w:tcW w:w="1189" w:type="dxa"/>
            <w:tcBorders>
              <w:top w:val="nil"/>
              <w:left w:val="single" w:sz="4" w:space="0" w:color="auto"/>
              <w:bottom w:val="single" w:sz="4" w:space="0" w:color="auto"/>
              <w:right w:val="single" w:sz="4" w:space="0" w:color="auto"/>
            </w:tcBorders>
            <w:shd w:val="clear" w:color="auto" w:fill="auto"/>
            <w:vAlign w:val="bottom"/>
            <w:hideMark/>
          </w:tcPr>
          <w:p w:rsidR="00A53BCF" w:rsidRPr="0008732F" w:rsidRDefault="00A53BCF" w:rsidP="00A53BCF">
            <w:pPr>
              <w:rPr>
                <w:b/>
                <w:bCs/>
                <w:color w:val="000000"/>
                <w:sz w:val="18"/>
                <w:szCs w:val="18"/>
              </w:rPr>
            </w:pPr>
            <w:r w:rsidRPr="00505442">
              <w:rPr>
                <w:b/>
                <w:bCs/>
                <w:color w:val="000000"/>
                <w:sz w:val="18"/>
                <w:szCs w:val="18"/>
              </w:rPr>
              <w:t>Opatrenie  "Obnova a rozvoj obcí"</w:t>
            </w:r>
          </w:p>
        </w:tc>
        <w:tc>
          <w:tcPr>
            <w:tcW w:w="1357" w:type="dxa"/>
            <w:tcBorders>
              <w:top w:val="nil"/>
              <w:left w:val="single" w:sz="4" w:space="0" w:color="auto"/>
              <w:bottom w:val="single" w:sz="4" w:space="0" w:color="auto"/>
              <w:right w:val="single" w:sz="4" w:space="0" w:color="auto"/>
            </w:tcBorders>
            <w:vAlign w:val="center"/>
          </w:tcPr>
          <w:p w:rsidR="00A53BCF" w:rsidRDefault="00A53BCF" w:rsidP="00A53BCF">
            <w:pPr>
              <w:jc w:val="center"/>
              <w:rPr>
                <w:rFonts w:ascii="Calibri" w:hAnsi="Calibri"/>
                <w:b/>
                <w:bCs/>
                <w:color w:val="000000"/>
                <w:sz w:val="18"/>
                <w:szCs w:val="18"/>
              </w:rPr>
            </w:pPr>
            <w:r w:rsidRPr="00505442">
              <w:rPr>
                <w:rFonts w:ascii="Calibri" w:hAnsi="Calibri" w:cs="Arial"/>
                <w:b/>
                <w:bCs/>
                <w:sz w:val="18"/>
                <w:szCs w:val="18"/>
              </w:rPr>
              <w:t>Novovyb.  Lávka        v m</w:t>
            </w:r>
          </w:p>
        </w:tc>
        <w:tc>
          <w:tcPr>
            <w:tcW w:w="1273" w:type="dxa"/>
            <w:tcBorders>
              <w:top w:val="nil"/>
              <w:left w:val="single" w:sz="4" w:space="0" w:color="auto"/>
              <w:bottom w:val="single" w:sz="4" w:space="0" w:color="auto"/>
              <w:right w:val="single" w:sz="4" w:space="0" w:color="auto"/>
            </w:tcBorders>
            <w:vAlign w:val="center"/>
          </w:tcPr>
          <w:p w:rsidR="00A53BCF" w:rsidRDefault="00A53BCF" w:rsidP="00A53BCF">
            <w:pPr>
              <w:jc w:val="center"/>
              <w:rPr>
                <w:rFonts w:ascii="Calibri" w:hAnsi="Calibri"/>
                <w:b/>
                <w:bCs/>
                <w:color w:val="000000"/>
                <w:sz w:val="18"/>
                <w:szCs w:val="18"/>
              </w:rPr>
            </w:pPr>
            <w:r w:rsidRPr="00505442">
              <w:rPr>
                <w:rFonts w:ascii="Calibri" w:hAnsi="Calibri" w:cs="Arial"/>
                <w:b/>
                <w:bCs/>
                <w:sz w:val="18"/>
                <w:szCs w:val="18"/>
              </w:rPr>
              <w:t>Novovyb.  Most          v m</w:t>
            </w:r>
          </w:p>
        </w:tc>
        <w:tc>
          <w:tcPr>
            <w:tcW w:w="1273" w:type="dxa"/>
            <w:tcBorders>
              <w:top w:val="nil"/>
              <w:left w:val="single" w:sz="4" w:space="0" w:color="auto"/>
              <w:bottom w:val="single" w:sz="4" w:space="0" w:color="auto"/>
              <w:right w:val="single" w:sz="4" w:space="0" w:color="auto"/>
            </w:tcBorders>
            <w:vAlign w:val="center"/>
          </w:tcPr>
          <w:p w:rsidR="00A53BCF" w:rsidRDefault="00A53BCF" w:rsidP="00A53BCF">
            <w:pPr>
              <w:jc w:val="center"/>
              <w:rPr>
                <w:rFonts w:ascii="Calibri" w:hAnsi="Calibri"/>
                <w:b/>
                <w:bCs/>
                <w:color w:val="000000"/>
                <w:sz w:val="18"/>
                <w:szCs w:val="18"/>
              </w:rPr>
            </w:pPr>
            <w:r w:rsidRPr="00505442">
              <w:rPr>
                <w:rFonts w:ascii="Calibri" w:hAnsi="Calibri" w:cs="Arial"/>
                <w:b/>
                <w:bCs/>
                <w:sz w:val="18"/>
                <w:szCs w:val="18"/>
              </w:rPr>
              <w:t>Novovyb.  Cykolotrasa v m</w:t>
            </w:r>
          </w:p>
        </w:tc>
        <w:tc>
          <w:tcPr>
            <w:tcW w:w="1273" w:type="dxa"/>
            <w:tcBorders>
              <w:top w:val="nil"/>
              <w:left w:val="single" w:sz="4" w:space="0" w:color="auto"/>
              <w:bottom w:val="single" w:sz="4" w:space="0" w:color="auto"/>
              <w:right w:val="single" w:sz="4" w:space="0" w:color="auto"/>
            </w:tcBorders>
            <w:vAlign w:val="center"/>
          </w:tcPr>
          <w:p w:rsidR="00A53BCF" w:rsidRDefault="00A53BCF" w:rsidP="00A53BCF">
            <w:pPr>
              <w:jc w:val="center"/>
              <w:rPr>
                <w:rFonts w:ascii="Calibri" w:hAnsi="Calibri"/>
                <w:b/>
                <w:bCs/>
                <w:color w:val="000000"/>
                <w:sz w:val="18"/>
                <w:szCs w:val="18"/>
              </w:rPr>
            </w:pPr>
            <w:r w:rsidRPr="00505442">
              <w:rPr>
                <w:rFonts w:ascii="Calibri" w:hAnsi="Calibri" w:cs="Arial"/>
                <w:b/>
                <w:bCs/>
                <w:sz w:val="18"/>
                <w:szCs w:val="18"/>
              </w:rPr>
              <w:t>Novovyb.  Úsek s verejným osvetlením v m</w:t>
            </w:r>
          </w:p>
        </w:tc>
        <w:tc>
          <w:tcPr>
            <w:tcW w:w="1273" w:type="dxa"/>
            <w:tcBorders>
              <w:top w:val="nil"/>
              <w:left w:val="single" w:sz="4" w:space="0" w:color="auto"/>
              <w:bottom w:val="single" w:sz="4" w:space="0" w:color="auto"/>
              <w:right w:val="single" w:sz="4" w:space="0" w:color="auto"/>
            </w:tcBorders>
            <w:vAlign w:val="center"/>
          </w:tcPr>
          <w:p w:rsidR="00A53BCF" w:rsidRDefault="00A53BCF" w:rsidP="00A53BCF">
            <w:pPr>
              <w:jc w:val="center"/>
              <w:rPr>
                <w:rFonts w:ascii="Calibri" w:hAnsi="Calibri"/>
                <w:b/>
                <w:bCs/>
                <w:color w:val="000000"/>
                <w:sz w:val="18"/>
                <w:szCs w:val="18"/>
              </w:rPr>
            </w:pPr>
            <w:r w:rsidRPr="00505442">
              <w:rPr>
                <w:rFonts w:ascii="Calibri" w:hAnsi="Calibri" w:cs="Arial"/>
                <w:b/>
                <w:bCs/>
                <w:sz w:val="18"/>
                <w:szCs w:val="18"/>
              </w:rPr>
              <w:t>Novovyb. Park v m²</w:t>
            </w:r>
          </w:p>
        </w:tc>
        <w:tc>
          <w:tcPr>
            <w:tcW w:w="1273" w:type="dxa"/>
            <w:tcBorders>
              <w:top w:val="nil"/>
              <w:left w:val="single" w:sz="4" w:space="0" w:color="auto"/>
              <w:bottom w:val="single" w:sz="4" w:space="0" w:color="auto"/>
              <w:right w:val="single" w:sz="4" w:space="0" w:color="auto"/>
            </w:tcBorders>
            <w:vAlign w:val="center"/>
          </w:tcPr>
          <w:p w:rsidR="00A53BCF" w:rsidRDefault="00A53BCF" w:rsidP="00A53BCF">
            <w:pPr>
              <w:jc w:val="center"/>
              <w:rPr>
                <w:rFonts w:ascii="Calibri" w:hAnsi="Calibri"/>
                <w:b/>
                <w:bCs/>
                <w:color w:val="000000"/>
                <w:sz w:val="18"/>
                <w:szCs w:val="18"/>
              </w:rPr>
            </w:pPr>
            <w:r w:rsidRPr="00505442">
              <w:rPr>
                <w:rFonts w:ascii="Calibri" w:hAnsi="Calibri" w:cs="Arial"/>
                <w:b/>
                <w:bCs/>
                <w:sz w:val="18"/>
                <w:szCs w:val="18"/>
              </w:rPr>
              <w:t>Novovyb.  Verejné priestranstvo v m²</w:t>
            </w:r>
          </w:p>
        </w:tc>
      </w:tr>
      <w:tr w:rsidR="00A53BCF" w:rsidRPr="0008732F" w:rsidTr="00A53BCF">
        <w:trPr>
          <w:trHeight w:val="291"/>
        </w:trPr>
        <w:tc>
          <w:tcPr>
            <w:tcW w:w="1189" w:type="dxa"/>
            <w:tcBorders>
              <w:top w:val="nil"/>
              <w:left w:val="single" w:sz="4" w:space="0" w:color="auto"/>
              <w:bottom w:val="single" w:sz="4" w:space="0" w:color="auto"/>
              <w:right w:val="single" w:sz="4" w:space="0" w:color="auto"/>
            </w:tcBorders>
            <w:shd w:val="clear" w:color="auto" w:fill="auto"/>
            <w:vAlign w:val="center"/>
            <w:hideMark/>
          </w:tcPr>
          <w:p w:rsidR="00A53BCF" w:rsidRPr="0008732F" w:rsidRDefault="00A53BCF" w:rsidP="00A53BCF">
            <w:pPr>
              <w:rPr>
                <w:rFonts w:cs="Arial CE"/>
                <w:sz w:val="18"/>
                <w:szCs w:val="18"/>
              </w:rPr>
            </w:pPr>
            <w:r w:rsidRPr="00505442">
              <w:rPr>
                <w:rFonts w:cs="Arial CE"/>
                <w:sz w:val="18"/>
                <w:szCs w:val="18"/>
              </w:rPr>
              <w:t>cez OS 3</w:t>
            </w:r>
          </w:p>
        </w:tc>
        <w:tc>
          <w:tcPr>
            <w:tcW w:w="1357" w:type="dxa"/>
            <w:tcBorders>
              <w:top w:val="nil"/>
              <w:left w:val="single" w:sz="4" w:space="0" w:color="auto"/>
              <w:bottom w:val="single" w:sz="4" w:space="0" w:color="auto"/>
              <w:right w:val="single" w:sz="4" w:space="0" w:color="auto"/>
            </w:tcBorders>
            <w:vAlign w:val="center"/>
          </w:tcPr>
          <w:p w:rsidR="00A53BCF" w:rsidRDefault="00A53BCF" w:rsidP="00A53BCF">
            <w:pPr>
              <w:jc w:val="right"/>
              <w:rPr>
                <w:rFonts w:ascii="Calibri" w:hAnsi="Calibri" w:cs="Arial CE"/>
                <w:sz w:val="18"/>
                <w:szCs w:val="18"/>
              </w:rPr>
            </w:pPr>
            <w:r w:rsidRPr="00505442">
              <w:rPr>
                <w:rFonts w:ascii="Calibri" w:hAnsi="Calibri" w:cs="Arial CE"/>
                <w:sz w:val="18"/>
                <w:szCs w:val="18"/>
              </w:rPr>
              <w:t>27</w:t>
            </w:r>
          </w:p>
        </w:tc>
        <w:tc>
          <w:tcPr>
            <w:tcW w:w="1273" w:type="dxa"/>
            <w:tcBorders>
              <w:top w:val="nil"/>
              <w:left w:val="single" w:sz="4" w:space="0" w:color="auto"/>
              <w:bottom w:val="single" w:sz="4" w:space="0" w:color="auto"/>
              <w:right w:val="single" w:sz="4" w:space="0" w:color="auto"/>
            </w:tcBorders>
            <w:vAlign w:val="center"/>
          </w:tcPr>
          <w:p w:rsidR="00A53BCF" w:rsidRDefault="00A53BCF" w:rsidP="00A53BCF">
            <w:pPr>
              <w:jc w:val="right"/>
              <w:rPr>
                <w:rFonts w:ascii="Calibri" w:hAnsi="Calibri" w:cs="Arial CE"/>
                <w:sz w:val="18"/>
                <w:szCs w:val="18"/>
              </w:rPr>
            </w:pPr>
            <w:r w:rsidRPr="00505442">
              <w:rPr>
                <w:rFonts w:ascii="Calibri" w:hAnsi="Calibri" w:cs="Arial CE"/>
                <w:sz w:val="18"/>
                <w:szCs w:val="18"/>
              </w:rPr>
              <w:t>7</w:t>
            </w:r>
          </w:p>
        </w:tc>
        <w:tc>
          <w:tcPr>
            <w:tcW w:w="1273" w:type="dxa"/>
            <w:tcBorders>
              <w:top w:val="nil"/>
              <w:left w:val="single" w:sz="4" w:space="0" w:color="auto"/>
              <w:bottom w:val="single" w:sz="4" w:space="0" w:color="auto"/>
              <w:right w:val="single" w:sz="4" w:space="0" w:color="auto"/>
            </w:tcBorders>
            <w:vAlign w:val="center"/>
          </w:tcPr>
          <w:p w:rsidR="00A53BCF" w:rsidRDefault="00A53BCF" w:rsidP="00A53BCF">
            <w:pPr>
              <w:jc w:val="right"/>
              <w:rPr>
                <w:rFonts w:ascii="Calibri" w:hAnsi="Calibri" w:cs="Arial CE"/>
                <w:sz w:val="18"/>
                <w:szCs w:val="18"/>
              </w:rPr>
            </w:pPr>
            <w:r w:rsidRPr="00505442">
              <w:rPr>
                <w:rFonts w:ascii="Calibri" w:hAnsi="Calibri" w:cs="Arial CE"/>
                <w:sz w:val="18"/>
                <w:szCs w:val="18"/>
              </w:rPr>
              <w:t>617</w:t>
            </w:r>
          </w:p>
        </w:tc>
        <w:tc>
          <w:tcPr>
            <w:tcW w:w="1273" w:type="dxa"/>
            <w:tcBorders>
              <w:top w:val="nil"/>
              <w:left w:val="single" w:sz="4" w:space="0" w:color="auto"/>
              <w:bottom w:val="single" w:sz="4" w:space="0" w:color="auto"/>
              <w:right w:val="single" w:sz="4" w:space="0" w:color="auto"/>
            </w:tcBorders>
            <w:vAlign w:val="center"/>
          </w:tcPr>
          <w:p w:rsidR="00A53BCF" w:rsidRDefault="00A53BCF" w:rsidP="00A53BCF">
            <w:pPr>
              <w:jc w:val="right"/>
              <w:rPr>
                <w:rFonts w:ascii="Calibri" w:hAnsi="Calibri" w:cs="Arial CE"/>
                <w:sz w:val="18"/>
                <w:szCs w:val="18"/>
              </w:rPr>
            </w:pPr>
            <w:r w:rsidRPr="00505442">
              <w:rPr>
                <w:rFonts w:ascii="Calibri" w:hAnsi="Calibri" w:cs="Arial CE"/>
                <w:sz w:val="18"/>
                <w:szCs w:val="18"/>
              </w:rPr>
              <w:t>8 421</w:t>
            </w:r>
          </w:p>
        </w:tc>
        <w:tc>
          <w:tcPr>
            <w:tcW w:w="1273" w:type="dxa"/>
            <w:tcBorders>
              <w:top w:val="nil"/>
              <w:left w:val="single" w:sz="4" w:space="0" w:color="auto"/>
              <w:bottom w:val="single" w:sz="4" w:space="0" w:color="auto"/>
              <w:right w:val="single" w:sz="4" w:space="0" w:color="auto"/>
            </w:tcBorders>
            <w:vAlign w:val="center"/>
          </w:tcPr>
          <w:p w:rsidR="00A53BCF" w:rsidRDefault="00A53BCF" w:rsidP="00A53BCF">
            <w:pPr>
              <w:jc w:val="right"/>
              <w:rPr>
                <w:rFonts w:ascii="Calibri" w:hAnsi="Calibri" w:cs="Arial CE"/>
                <w:sz w:val="18"/>
                <w:szCs w:val="18"/>
              </w:rPr>
            </w:pPr>
            <w:r w:rsidRPr="00505442">
              <w:rPr>
                <w:rFonts w:ascii="Calibri" w:hAnsi="Calibri" w:cs="Arial CE"/>
                <w:sz w:val="18"/>
                <w:szCs w:val="18"/>
              </w:rPr>
              <w:t>2 367</w:t>
            </w:r>
          </w:p>
        </w:tc>
        <w:tc>
          <w:tcPr>
            <w:tcW w:w="1273" w:type="dxa"/>
            <w:tcBorders>
              <w:top w:val="nil"/>
              <w:left w:val="single" w:sz="4" w:space="0" w:color="auto"/>
              <w:bottom w:val="single" w:sz="4" w:space="0" w:color="auto"/>
              <w:right w:val="single" w:sz="4" w:space="0" w:color="auto"/>
            </w:tcBorders>
            <w:vAlign w:val="center"/>
          </w:tcPr>
          <w:p w:rsidR="00A53BCF" w:rsidRDefault="00A53BCF" w:rsidP="00A53BCF">
            <w:pPr>
              <w:jc w:val="right"/>
              <w:rPr>
                <w:rFonts w:ascii="Calibri" w:hAnsi="Calibri" w:cs="Arial CE"/>
                <w:sz w:val="18"/>
                <w:szCs w:val="18"/>
              </w:rPr>
            </w:pPr>
            <w:r w:rsidRPr="00505442">
              <w:rPr>
                <w:rFonts w:ascii="Calibri" w:hAnsi="Calibri" w:cs="Arial CE"/>
                <w:sz w:val="18"/>
                <w:szCs w:val="18"/>
              </w:rPr>
              <w:t>3 836</w:t>
            </w:r>
          </w:p>
        </w:tc>
      </w:tr>
      <w:tr w:rsidR="00A53BCF" w:rsidRPr="0008732F" w:rsidTr="00A53BCF">
        <w:trPr>
          <w:trHeight w:val="305"/>
        </w:trPr>
        <w:tc>
          <w:tcPr>
            <w:tcW w:w="1189" w:type="dxa"/>
            <w:tcBorders>
              <w:top w:val="nil"/>
              <w:left w:val="single" w:sz="4" w:space="0" w:color="auto"/>
              <w:bottom w:val="nil"/>
              <w:right w:val="single" w:sz="4" w:space="0" w:color="auto"/>
            </w:tcBorders>
            <w:shd w:val="clear" w:color="auto" w:fill="auto"/>
            <w:vAlign w:val="center"/>
            <w:hideMark/>
          </w:tcPr>
          <w:p w:rsidR="00A53BCF" w:rsidRPr="0008732F" w:rsidRDefault="00A53BCF" w:rsidP="00A53BCF">
            <w:pPr>
              <w:rPr>
                <w:rFonts w:cs="Arial CE"/>
                <w:sz w:val="18"/>
                <w:szCs w:val="18"/>
              </w:rPr>
            </w:pPr>
            <w:r w:rsidRPr="00505442">
              <w:rPr>
                <w:rFonts w:cs="Arial CE"/>
                <w:sz w:val="18"/>
                <w:szCs w:val="18"/>
              </w:rPr>
              <w:t>cez OS 4 - LEADER</w:t>
            </w:r>
          </w:p>
        </w:tc>
        <w:tc>
          <w:tcPr>
            <w:tcW w:w="1357" w:type="dxa"/>
            <w:tcBorders>
              <w:top w:val="nil"/>
              <w:left w:val="single" w:sz="4" w:space="0" w:color="auto"/>
              <w:bottom w:val="nil"/>
              <w:right w:val="single" w:sz="4" w:space="0" w:color="auto"/>
            </w:tcBorders>
            <w:vAlign w:val="center"/>
          </w:tcPr>
          <w:p w:rsidR="00A53BCF" w:rsidRDefault="00A53BCF" w:rsidP="00A53BCF">
            <w:pPr>
              <w:jc w:val="right"/>
              <w:rPr>
                <w:rFonts w:ascii="Calibri" w:hAnsi="Calibri" w:cs="Arial CE"/>
                <w:sz w:val="18"/>
                <w:szCs w:val="18"/>
              </w:rPr>
            </w:pPr>
            <w:r w:rsidRPr="00505442">
              <w:rPr>
                <w:rFonts w:ascii="Calibri" w:hAnsi="Calibri" w:cs="Arial CE"/>
                <w:sz w:val="18"/>
                <w:szCs w:val="18"/>
              </w:rPr>
              <w:t>56</w:t>
            </w:r>
          </w:p>
        </w:tc>
        <w:tc>
          <w:tcPr>
            <w:tcW w:w="1273" w:type="dxa"/>
            <w:tcBorders>
              <w:top w:val="nil"/>
              <w:left w:val="single" w:sz="4" w:space="0" w:color="auto"/>
              <w:bottom w:val="nil"/>
              <w:right w:val="single" w:sz="4" w:space="0" w:color="auto"/>
            </w:tcBorders>
            <w:vAlign w:val="center"/>
          </w:tcPr>
          <w:p w:rsidR="00A53BCF" w:rsidRDefault="00A53BCF" w:rsidP="00A53BCF">
            <w:pPr>
              <w:jc w:val="right"/>
              <w:rPr>
                <w:rFonts w:ascii="Calibri" w:hAnsi="Calibri" w:cs="Arial CE"/>
                <w:sz w:val="18"/>
                <w:szCs w:val="18"/>
              </w:rPr>
            </w:pPr>
            <w:r w:rsidRPr="00505442">
              <w:rPr>
                <w:rFonts w:ascii="Calibri" w:hAnsi="Calibri" w:cs="Arial CE"/>
                <w:sz w:val="18"/>
                <w:szCs w:val="18"/>
              </w:rPr>
              <w:t>26</w:t>
            </w:r>
          </w:p>
        </w:tc>
        <w:tc>
          <w:tcPr>
            <w:tcW w:w="1273" w:type="dxa"/>
            <w:tcBorders>
              <w:top w:val="nil"/>
              <w:left w:val="single" w:sz="4" w:space="0" w:color="auto"/>
              <w:bottom w:val="nil"/>
              <w:right w:val="single" w:sz="4" w:space="0" w:color="auto"/>
            </w:tcBorders>
            <w:vAlign w:val="center"/>
          </w:tcPr>
          <w:p w:rsidR="00A53BCF" w:rsidRDefault="00A53BCF" w:rsidP="00A53BCF">
            <w:pPr>
              <w:jc w:val="right"/>
              <w:rPr>
                <w:rFonts w:ascii="Calibri" w:hAnsi="Calibri" w:cs="Arial CE"/>
                <w:sz w:val="18"/>
                <w:szCs w:val="18"/>
              </w:rPr>
            </w:pPr>
            <w:r w:rsidRPr="00505442">
              <w:rPr>
                <w:rFonts w:ascii="Calibri" w:hAnsi="Calibri" w:cs="Arial CE"/>
                <w:sz w:val="18"/>
                <w:szCs w:val="18"/>
              </w:rPr>
              <w:t>45 980</w:t>
            </w:r>
          </w:p>
        </w:tc>
        <w:tc>
          <w:tcPr>
            <w:tcW w:w="1273" w:type="dxa"/>
            <w:tcBorders>
              <w:top w:val="nil"/>
              <w:left w:val="single" w:sz="4" w:space="0" w:color="auto"/>
              <w:bottom w:val="nil"/>
              <w:right w:val="single" w:sz="4" w:space="0" w:color="auto"/>
            </w:tcBorders>
            <w:vAlign w:val="center"/>
          </w:tcPr>
          <w:p w:rsidR="00A53BCF" w:rsidRDefault="00A53BCF" w:rsidP="00A53BCF">
            <w:pPr>
              <w:jc w:val="right"/>
              <w:rPr>
                <w:rFonts w:ascii="Calibri" w:hAnsi="Calibri" w:cs="Arial CE"/>
                <w:sz w:val="18"/>
                <w:szCs w:val="18"/>
              </w:rPr>
            </w:pPr>
            <w:r w:rsidRPr="00505442">
              <w:rPr>
                <w:rFonts w:ascii="Calibri" w:hAnsi="Calibri" w:cs="Arial CE"/>
                <w:sz w:val="18"/>
                <w:szCs w:val="18"/>
              </w:rPr>
              <w:t>947</w:t>
            </w:r>
          </w:p>
        </w:tc>
        <w:tc>
          <w:tcPr>
            <w:tcW w:w="1273" w:type="dxa"/>
            <w:tcBorders>
              <w:top w:val="nil"/>
              <w:left w:val="single" w:sz="4" w:space="0" w:color="auto"/>
              <w:bottom w:val="nil"/>
              <w:right w:val="single" w:sz="4" w:space="0" w:color="auto"/>
            </w:tcBorders>
            <w:vAlign w:val="center"/>
          </w:tcPr>
          <w:p w:rsidR="00A53BCF" w:rsidRDefault="00A53BCF" w:rsidP="00A53BCF">
            <w:pPr>
              <w:jc w:val="right"/>
              <w:rPr>
                <w:rFonts w:ascii="Calibri" w:hAnsi="Calibri" w:cs="Arial CE"/>
                <w:sz w:val="18"/>
                <w:szCs w:val="18"/>
              </w:rPr>
            </w:pPr>
            <w:r w:rsidRPr="00505442">
              <w:rPr>
                <w:rFonts w:ascii="Calibri" w:hAnsi="Calibri" w:cs="Arial CE"/>
                <w:sz w:val="18"/>
                <w:szCs w:val="18"/>
              </w:rPr>
              <w:t>9 278</w:t>
            </w:r>
          </w:p>
        </w:tc>
        <w:tc>
          <w:tcPr>
            <w:tcW w:w="1273" w:type="dxa"/>
            <w:tcBorders>
              <w:top w:val="nil"/>
              <w:left w:val="single" w:sz="4" w:space="0" w:color="auto"/>
              <w:bottom w:val="nil"/>
              <w:right w:val="single" w:sz="4" w:space="0" w:color="auto"/>
            </w:tcBorders>
            <w:vAlign w:val="center"/>
          </w:tcPr>
          <w:p w:rsidR="00A53BCF" w:rsidRDefault="00A53BCF" w:rsidP="00A53BCF">
            <w:pPr>
              <w:jc w:val="right"/>
              <w:rPr>
                <w:rFonts w:ascii="Calibri" w:hAnsi="Calibri" w:cs="Arial CE"/>
                <w:sz w:val="18"/>
                <w:szCs w:val="18"/>
              </w:rPr>
            </w:pPr>
            <w:r w:rsidRPr="00505442">
              <w:rPr>
                <w:rFonts w:ascii="Calibri" w:hAnsi="Calibri" w:cs="Arial CE"/>
                <w:sz w:val="18"/>
                <w:szCs w:val="18"/>
              </w:rPr>
              <w:t>21 435</w:t>
            </w:r>
          </w:p>
        </w:tc>
      </w:tr>
      <w:tr w:rsidR="00A53BCF" w:rsidRPr="0008732F" w:rsidTr="00A53BCF">
        <w:trPr>
          <w:trHeight w:val="305"/>
        </w:trPr>
        <w:tc>
          <w:tcPr>
            <w:tcW w:w="1189" w:type="dxa"/>
            <w:tcBorders>
              <w:top w:val="single" w:sz="8" w:space="0" w:color="auto"/>
              <w:left w:val="single" w:sz="8" w:space="0" w:color="auto"/>
              <w:bottom w:val="single" w:sz="8" w:space="0" w:color="auto"/>
              <w:right w:val="single" w:sz="4" w:space="0" w:color="auto"/>
            </w:tcBorders>
            <w:shd w:val="clear" w:color="auto" w:fill="auto"/>
            <w:noWrap/>
            <w:vAlign w:val="bottom"/>
            <w:hideMark/>
          </w:tcPr>
          <w:p w:rsidR="00A53BCF" w:rsidRPr="0008732F" w:rsidRDefault="00A53BCF" w:rsidP="00A53BCF">
            <w:pPr>
              <w:rPr>
                <w:b/>
                <w:bCs/>
                <w:color w:val="000000"/>
                <w:sz w:val="18"/>
                <w:szCs w:val="18"/>
              </w:rPr>
            </w:pPr>
            <w:r w:rsidRPr="00505442">
              <w:rPr>
                <w:b/>
                <w:bCs/>
                <w:color w:val="000000"/>
                <w:sz w:val="18"/>
                <w:szCs w:val="18"/>
              </w:rPr>
              <w:t>spolu</w:t>
            </w:r>
          </w:p>
        </w:tc>
        <w:tc>
          <w:tcPr>
            <w:tcW w:w="1357" w:type="dxa"/>
            <w:tcBorders>
              <w:top w:val="single" w:sz="8" w:space="0" w:color="auto"/>
              <w:left w:val="single" w:sz="8" w:space="0" w:color="auto"/>
              <w:bottom w:val="single" w:sz="8" w:space="0" w:color="auto"/>
              <w:right w:val="single" w:sz="4" w:space="0" w:color="auto"/>
            </w:tcBorders>
            <w:vAlign w:val="bottom"/>
          </w:tcPr>
          <w:p w:rsidR="00A53BCF" w:rsidRDefault="00A53BCF" w:rsidP="00A53BCF">
            <w:pPr>
              <w:jc w:val="right"/>
              <w:rPr>
                <w:rFonts w:ascii="Calibri" w:hAnsi="Calibri"/>
                <w:b/>
                <w:bCs/>
                <w:color w:val="000000"/>
                <w:sz w:val="18"/>
                <w:szCs w:val="18"/>
              </w:rPr>
            </w:pPr>
            <w:r w:rsidRPr="00505442">
              <w:rPr>
                <w:rFonts w:ascii="Calibri" w:hAnsi="Calibri"/>
                <w:b/>
                <w:bCs/>
                <w:color w:val="000000"/>
                <w:sz w:val="18"/>
                <w:szCs w:val="18"/>
              </w:rPr>
              <w:t xml:space="preserve">83 </w:t>
            </w:r>
          </w:p>
        </w:tc>
        <w:tc>
          <w:tcPr>
            <w:tcW w:w="1273" w:type="dxa"/>
            <w:tcBorders>
              <w:top w:val="single" w:sz="8" w:space="0" w:color="auto"/>
              <w:left w:val="single" w:sz="8" w:space="0" w:color="auto"/>
              <w:bottom w:val="single" w:sz="8" w:space="0" w:color="auto"/>
              <w:right w:val="single" w:sz="4" w:space="0" w:color="auto"/>
            </w:tcBorders>
            <w:vAlign w:val="bottom"/>
          </w:tcPr>
          <w:p w:rsidR="00A53BCF" w:rsidRDefault="00A53BCF" w:rsidP="00A53BCF">
            <w:pPr>
              <w:jc w:val="right"/>
              <w:rPr>
                <w:rFonts w:ascii="Calibri" w:hAnsi="Calibri"/>
                <w:b/>
                <w:bCs/>
                <w:color w:val="000000"/>
                <w:sz w:val="18"/>
                <w:szCs w:val="18"/>
              </w:rPr>
            </w:pPr>
            <w:r w:rsidRPr="00505442">
              <w:rPr>
                <w:rFonts w:ascii="Calibri" w:hAnsi="Calibri"/>
                <w:b/>
                <w:bCs/>
                <w:color w:val="000000"/>
                <w:sz w:val="18"/>
                <w:szCs w:val="18"/>
              </w:rPr>
              <w:t xml:space="preserve">33 </w:t>
            </w:r>
          </w:p>
        </w:tc>
        <w:tc>
          <w:tcPr>
            <w:tcW w:w="1273" w:type="dxa"/>
            <w:tcBorders>
              <w:top w:val="single" w:sz="8" w:space="0" w:color="auto"/>
              <w:left w:val="single" w:sz="8" w:space="0" w:color="auto"/>
              <w:bottom w:val="single" w:sz="8" w:space="0" w:color="auto"/>
              <w:right w:val="single" w:sz="4" w:space="0" w:color="auto"/>
            </w:tcBorders>
            <w:vAlign w:val="bottom"/>
          </w:tcPr>
          <w:p w:rsidR="00A53BCF" w:rsidRDefault="00A53BCF" w:rsidP="00A53BCF">
            <w:pPr>
              <w:jc w:val="right"/>
              <w:rPr>
                <w:rFonts w:ascii="Calibri" w:hAnsi="Calibri"/>
                <w:b/>
                <w:bCs/>
                <w:color w:val="000000"/>
                <w:sz w:val="18"/>
                <w:szCs w:val="18"/>
              </w:rPr>
            </w:pPr>
            <w:r w:rsidRPr="00505442">
              <w:rPr>
                <w:rFonts w:ascii="Calibri" w:hAnsi="Calibri"/>
                <w:b/>
                <w:bCs/>
                <w:color w:val="000000"/>
                <w:sz w:val="18"/>
                <w:szCs w:val="18"/>
              </w:rPr>
              <w:t xml:space="preserve">46 597 </w:t>
            </w:r>
          </w:p>
        </w:tc>
        <w:tc>
          <w:tcPr>
            <w:tcW w:w="1273" w:type="dxa"/>
            <w:tcBorders>
              <w:top w:val="single" w:sz="8" w:space="0" w:color="auto"/>
              <w:left w:val="single" w:sz="8" w:space="0" w:color="auto"/>
              <w:bottom w:val="single" w:sz="8" w:space="0" w:color="auto"/>
              <w:right w:val="single" w:sz="4" w:space="0" w:color="auto"/>
            </w:tcBorders>
            <w:vAlign w:val="bottom"/>
          </w:tcPr>
          <w:p w:rsidR="00A53BCF" w:rsidRDefault="00A53BCF" w:rsidP="00A53BCF">
            <w:pPr>
              <w:jc w:val="right"/>
              <w:rPr>
                <w:rFonts w:ascii="Calibri" w:hAnsi="Calibri"/>
                <w:b/>
                <w:bCs/>
                <w:color w:val="000000"/>
                <w:sz w:val="18"/>
                <w:szCs w:val="18"/>
              </w:rPr>
            </w:pPr>
            <w:r w:rsidRPr="00505442">
              <w:rPr>
                <w:rFonts w:ascii="Calibri" w:hAnsi="Calibri"/>
                <w:b/>
                <w:bCs/>
                <w:color w:val="000000"/>
                <w:sz w:val="18"/>
                <w:szCs w:val="18"/>
              </w:rPr>
              <w:t xml:space="preserve">9 368 </w:t>
            </w:r>
          </w:p>
        </w:tc>
        <w:tc>
          <w:tcPr>
            <w:tcW w:w="1273" w:type="dxa"/>
            <w:tcBorders>
              <w:top w:val="single" w:sz="8" w:space="0" w:color="auto"/>
              <w:left w:val="single" w:sz="8" w:space="0" w:color="auto"/>
              <w:bottom w:val="single" w:sz="8" w:space="0" w:color="auto"/>
              <w:right w:val="single" w:sz="4" w:space="0" w:color="auto"/>
            </w:tcBorders>
            <w:vAlign w:val="bottom"/>
          </w:tcPr>
          <w:p w:rsidR="00A53BCF" w:rsidRDefault="00A53BCF" w:rsidP="00A53BCF">
            <w:pPr>
              <w:jc w:val="right"/>
              <w:rPr>
                <w:rFonts w:ascii="Calibri" w:hAnsi="Calibri"/>
                <w:b/>
                <w:bCs/>
                <w:color w:val="000000"/>
                <w:sz w:val="18"/>
                <w:szCs w:val="18"/>
              </w:rPr>
            </w:pPr>
            <w:r w:rsidRPr="00505442">
              <w:rPr>
                <w:rFonts w:ascii="Calibri" w:hAnsi="Calibri"/>
                <w:b/>
                <w:bCs/>
                <w:color w:val="000000"/>
                <w:sz w:val="18"/>
                <w:szCs w:val="18"/>
              </w:rPr>
              <w:t xml:space="preserve">11 645 </w:t>
            </w:r>
          </w:p>
        </w:tc>
        <w:tc>
          <w:tcPr>
            <w:tcW w:w="1273" w:type="dxa"/>
            <w:tcBorders>
              <w:top w:val="single" w:sz="8" w:space="0" w:color="auto"/>
              <w:left w:val="single" w:sz="8" w:space="0" w:color="auto"/>
              <w:bottom w:val="single" w:sz="8" w:space="0" w:color="auto"/>
              <w:right w:val="single" w:sz="4" w:space="0" w:color="auto"/>
            </w:tcBorders>
            <w:vAlign w:val="bottom"/>
          </w:tcPr>
          <w:p w:rsidR="00A53BCF" w:rsidRDefault="00A53BCF" w:rsidP="00A53BCF">
            <w:pPr>
              <w:jc w:val="right"/>
              <w:rPr>
                <w:rFonts w:ascii="Calibri" w:hAnsi="Calibri"/>
                <w:b/>
                <w:bCs/>
                <w:color w:val="000000"/>
                <w:sz w:val="18"/>
                <w:szCs w:val="18"/>
              </w:rPr>
            </w:pPr>
            <w:r w:rsidRPr="00505442">
              <w:rPr>
                <w:rFonts w:ascii="Calibri" w:hAnsi="Calibri"/>
                <w:b/>
                <w:bCs/>
                <w:color w:val="000000"/>
                <w:sz w:val="18"/>
                <w:szCs w:val="18"/>
              </w:rPr>
              <w:t xml:space="preserve">25 271 </w:t>
            </w:r>
          </w:p>
        </w:tc>
      </w:tr>
      <w:tr w:rsidR="00A53BCF" w:rsidRPr="0008732F" w:rsidTr="00A53BCF">
        <w:trPr>
          <w:trHeight w:val="920"/>
        </w:trPr>
        <w:tc>
          <w:tcPr>
            <w:tcW w:w="1189"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A53BCF" w:rsidRPr="0008732F" w:rsidRDefault="00A53BCF" w:rsidP="00A53BCF">
            <w:pPr>
              <w:rPr>
                <w:b/>
                <w:bCs/>
                <w:color w:val="000000"/>
                <w:sz w:val="18"/>
                <w:szCs w:val="18"/>
              </w:rPr>
            </w:pPr>
            <w:r w:rsidRPr="00505442">
              <w:rPr>
                <w:b/>
                <w:bCs/>
                <w:color w:val="000000"/>
                <w:sz w:val="18"/>
                <w:szCs w:val="18"/>
              </w:rPr>
              <w:t>Opatrenie  "Obnova a rozvoj obcí"</w:t>
            </w:r>
          </w:p>
        </w:tc>
        <w:tc>
          <w:tcPr>
            <w:tcW w:w="1357" w:type="dxa"/>
            <w:tcBorders>
              <w:top w:val="single" w:sz="4" w:space="0" w:color="auto"/>
              <w:left w:val="single" w:sz="4" w:space="0" w:color="auto"/>
              <w:bottom w:val="single" w:sz="4" w:space="0" w:color="auto"/>
              <w:right w:val="single" w:sz="4" w:space="0" w:color="auto"/>
            </w:tcBorders>
            <w:vAlign w:val="center"/>
          </w:tcPr>
          <w:p w:rsidR="00A53BCF" w:rsidRDefault="00A53BCF" w:rsidP="00A53BCF">
            <w:pPr>
              <w:jc w:val="center"/>
              <w:rPr>
                <w:rFonts w:ascii="Calibri" w:hAnsi="Calibri"/>
                <w:b/>
                <w:bCs/>
                <w:color w:val="000000"/>
                <w:sz w:val="18"/>
                <w:szCs w:val="18"/>
              </w:rPr>
            </w:pPr>
            <w:r w:rsidRPr="00505442">
              <w:rPr>
                <w:rFonts w:ascii="Calibri" w:hAnsi="Calibri" w:cs="Arial"/>
                <w:b/>
                <w:bCs/>
                <w:sz w:val="18"/>
                <w:szCs w:val="18"/>
              </w:rPr>
              <w:t>Rekonštr. Lávka        v m</w:t>
            </w:r>
          </w:p>
        </w:tc>
        <w:tc>
          <w:tcPr>
            <w:tcW w:w="1273" w:type="dxa"/>
            <w:tcBorders>
              <w:top w:val="single" w:sz="4" w:space="0" w:color="auto"/>
              <w:left w:val="single" w:sz="4" w:space="0" w:color="auto"/>
              <w:bottom w:val="single" w:sz="4" w:space="0" w:color="auto"/>
              <w:right w:val="single" w:sz="4" w:space="0" w:color="auto"/>
            </w:tcBorders>
            <w:vAlign w:val="center"/>
          </w:tcPr>
          <w:p w:rsidR="00A53BCF" w:rsidRDefault="00A53BCF" w:rsidP="00A53BCF">
            <w:pPr>
              <w:jc w:val="center"/>
              <w:rPr>
                <w:rFonts w:ascii="Calibri" w:hAnsi="Calibri"/>
                <w:b/>
                <w:bCs/>
                <w:color w:val="000000"/>
                <w:sz w:val="18"/>
                <w:szCs w:val="18"/>
              </w:rPr>
            </w:pPr>
            <w:r w:rsidRPr="00505442">
              <w:rPr>
                <w:rFonts w:ascii="Calibri" w:hAnsi="Calibri" w:cs="Arial"/>
                <w:b/>
                <w:bCs/>
                <w:sz w:val="18"/>
                <w:szCs w:val="18"/>
              </w:rPr>
              <w:t>Rekonštr. Most           v m</w:t>
            </w:r>
          </w:p>
        </w:tc>
        <w:tc>
          <w:tcPr>
            <w:tcW w:w="1273" w:type="dxa"/>
            <w:tcBorders>
              <w:top w:val="single" w:sz="4" w:space="0" w:color="auto"/>
              <w:left w:val="single" w:sz="4" w:space="0" w:color="auto"/>
              <w:bottom w:val="single" w:sz="4" w:space="0" w:color="auto"/>
              <w:right w:val="single" w:sz="4" w:space="0" w:color="auto"/>
            </w:tcBorders>
            <w:vAlign w:val="center"/>
          </w:tcPr>
          <w:p w:rsidR="00A53BCF" w:rsidRDefault="00A53BCF" w:rsidP="00A53BCF">
            <w:pPr>
              <w:jc w:val="center"/>
              <w:rPr>
                <w:rFonts w:ascii="Calibri" w:hAnsi="Calibri"/>
                <w:b/>
                <w:bCs/>
                <w:color w:val="000000"/>
                <w:sz w:val="18"/>
                <w:szCs w:val="18"/>
              </w:rPr>
            </w:pPr>
            <w:r w:rsidRPr="00505442">
              <w:rPr>
                <w:rFonts w:ascii="Calibri" w:hAnsi="Calibri" w:cs="Arial"/>
                <w:b/>
                <w:bCs/>
                <w:sz w:val="18"/>
                <w:szCs w:val="18"/>
              </w:rPr>
              <w:t>Rekonštr. Cykolotrasa v m</w:t>
            </w:r>
          </w:p>
        </w:tc>
        <w:tc>
          <w:tcPr>
            <w:tcW w:w="1273" w:type="dxa"/>
            <w:tcBorders>
              <w:top w:val="single" w:sz="4" w:space="0" w:color="auto"/>
              <w:left w:val="single" w:sz="4" w:space="0" w:color="auto"/>
              <w:bottom w:val="single" w:sz="4" w:space="0" w:color="auto"/>
              <w:right w:val="single" w:sz="4" w:space="0" w:color="auto"/>
            </w:tcBorders>
            <w:vAlign w:val="center"/>
          </w:tcPr>
          <w:p w:rsidR="00A53BCF" w:rsidRDefault="00A53BCF" w:rsidP="00A53BCF">
            <w:pPr>
              <w:jc w:val="center"/>
              <w:rPr>
                <w:rFonts w:ascii="Calibri" w:hAnsi="Calibri"/>
                <w:b/>
                <w:bCs/>
                <w:color w:val="000000"/>
                <w:sz w:val="18"/>
                <w:szCs w:val="18"/>
              </w:rPr>
            </w:pPr>
            <w:r w:rsidRPr="00505442">
              <w:rPr>
                <w:rFonts w:ascii="Calibri" w:hAnsi="Calibri" w:cs="Arial"/>
                <w:b/>
                <w:bCs/>
                <w:sz w:val="18"/>
                <w:szCs w:val="18"/>
              </w:rPr>
              <w:t>Rekonštr. Úsek s verejným osvetlením v m</w:t>
            </w:r>
          </w:p>
        </w:tc>
        <w:tc>
          <w:tcPr>
            <w:tcW w:w="1273" w:type="dxa"/>
            <w:tcBorders>
              <w:top w:val="single" w:sz="4" w:space="0" w:color="auto"/>
              <w:left w:val="single" w:sz="4" w:space="0" w:color="auto"/>
              <w:bottom w:val="single" w:sz="4" w:space="0" w:color="auto"/>
              <w:right w:val="single" w:sz="4" w:space="0" w:color="auto"/>
            </w:tcBorders>
            <w:vAlign w:val="center"/>
          </w:tcPr>
          <w:p w:rsidR="00A53BCF" w:rsidRDefault="00A53BCF" w:rsidP="00A53BCF">
            <w:pPr>
              <w:jc w:val="center"/>
              <w:rPr>
                <w:rFonts w:ascii="Calibri" w:hAnsi="Calibri"/>
                <w:b/>
                <w:bCs/>
                <w:color w:val="000000"/>
                <w:sz w:val="18"/>
                <w:szCs w:val="18"/>
              </w:rPr>
            </w:pPr>
            <w:r w:rsidRPr="00505442">
              <w:rPr>
                <w:rFonts w:ascii="Calibri" w:hAnsi="Calibri" w:cs="Arial"/>
                <w:b/>
                <w:bCs/>
                <w:sz w:val="18"/>
                <w:szCs w:val="18"/>
              </w:rPr>
              <w:t>Rekonštr. Park v m²</w:t>
            </w:r>
          </w:p>
        </w:tc>
        <w:tc>
          <w:tcPr>
            <w:tcW w:w="1273" w:type="dxa"/>
            <w:tcBorders>
              <w:top w:val="single" w:sz="4" w:space="0" w:color="auto"/>
              <w:left w:val="single" w:sz="4" w:space="0" w:color="auto"/>
              <w:bottom w:val="single" w:sz="4" w:space="0" w:color="auto"/>
              <w:right w:val="single" w:sz="4" w:space="0" w:color="auto"/>
            </w:tcBorders>
            <w:vAlign w:val="center"/>
          </w:tcPr>
          <w:p w:rsidR="00A53BCF" w:rsidRDefault="00A53BCF" w:rsidP="00A53BCF">
            <w:pPr>
              <w:jc w:val="center"/>
              <w:rPr>
                <w:rFonts w:ascii="Calibri" w:hAnsi="Calibri"/>
                <w:b/>
                <w:bCs/>
                <w:color w:val="000000"/>
                <w:sz w:val="18"/>
                <w:szCs w:val="18"/>
              </w:rPr>
            </w:pPr>
            <w:r w:rsidRPr="00505442">
              <w:rPr>
                <w:rFonts w:ascii="Calibri" w:hAnsi="Calibri" w:cs="Arial"/>
                <w:b/>
                <w:bCs/>
                <w:sz w:val="18"/>
                <w:szCs w:val="18"/>
              </w:rPr>
              <w:t>Rekonštr. Verejné priestranstvo v m²</w:t>
            </w:r>
          </w:p>
        </w:tc>
      </w:tr>
      <w:tr w:rsidR="00A53BCF" w:rsidRPr="0008732F" w:rsidTr="00A53BCF">
        <w:trPr>
          <w:trHeight w:val="291"/>
        </w:trPr>
        <w:tc>
          <w:tcPr>
            <w:tcW w:w="1189" w:type="dxa"/>
            <w:tcBorders>
              <w:top w:val="nil"/>
              <w:left w:val="single" w:sz="4" w:space="0" w:color="auto"/>
              <w:bottom w:val="single" w:sz="4" w:space="0" w:color="auto"/>
              <w:right w:val="single" w:sz="4" w:space="0" w:color="auto"/>
            </w:tcBorders>
            <w:shd w:val="clear" w:color="auto" w:fill="auto"/>
            <w:vAlign w:val="center"/>
            <w:hideMark/>
          </w:tcPr>
          <w:p w:rsidR="00A53BCF" w:rsidRPr="0008732F" w:rsidRDefault="00A53BCF" w:rsidP="00A53BCF">
            <w:pPr>
              <w:rPr>
                <w:rFonts w:cs="Arial CE"/>
                <w:sz w:val="18"/>
                <w:szCs w:val="18"/>
              </w:rPr>
            </w:pPr>
            <w:r w:rsidRPr="00505442">
              <w:rPr>
                <w:rFonts w:cs="Arial CE"/>
                <w:sz w:val="18"/>
                <w:szCs w:val="18"/>
              </w:rPr>
              <w:t>cez OS 3</w:t>
            </w:r>
          </w:p>
        </w:tc>
        <w:tc>
          <w:tcPr>
            <w:tcW w:w="1357" w:type="dxa"/>
            <w:tcBorders>
              <w:top w:val="nil"/>
              <w:left w:val="single" w:sz="4" w:space="0" w:color="auto"/>
              <w:bottom w:val="single" w:sz="4" w:space="0" w:color="auto"/>
              <w:right w:val="single" w:sz="4" w:space="0" w:color="auto"/>
            </w:tcBorders>
            <w:vAlign w:val="center"/>
          </w:tcPr>
          <w:p w:rsidR="00A53BCF" w:rsidRDefault="00A53BCF" w:rsidP="00A53BCF">
            <w:pPr>
              <w:jc w:val="right"/>
              <w:rPr>
                <w:rFonts w:ascii="Calibri" w:hAnsi="Calibri" w:cs="Arial CE"/>
                <w:sz w:val="18"/>
                <w:szCs w:val="18"/>
              </w:rPr>
            </w:pPr>
            <w:r w:rsidRPr="00505442">
              <w:rPr>
                <w:rFonts w:ascii="Calibri" w:hAnsi="Calibri" w:cs="Arial CE"/>
                <w:sz w:val="18"/>
                <w:szCs w:val="18"/>
              </w:rPr>
              <w:t>660</w:t>
            </w:r>
          </w:p>
        </w:tc>
        <w:tc>
          <w:tcPr>
            <w:tcW w:w="1273" w:type="dxa"/>
            <w:tcBorders>
              <w:top w:val="nil"/>
              <w:left w:val="single" w:sz="4" w:space="0" w:color="auto"/>
              <w:bottom w:val="single" w:sz="4" w:space="0" w:color="auto"/>
              <w:right w:val="single" w:sz="4" w:space="0" w:color="auto"/>
            </w:tcBorders>
            <w:vAlign w:val="center"/>
          </w:tcPr>
          <w:p w:rsidR="00A53BCF" w:rsidRDefault="00A53BCF" w:rsidP="00A53BCF">
            <w:pPr>
              <w:jc w:val="right"/>
              <w:rPr>
                <w:rFonts w:ascii="Calibri" w:hAnsi="Calibri" w:cs="Arial CE"/>
                <w:sz w:val="18"/>
                <w:szCs w:val="18"/>
              </w:rPr>
            </w:pPr>
            <w:r w:rsidRPr="00505442">
              <w:rPr>
                <w:rFonts w:ascii="Calibri" w:hAnsi="Calibri" w:cs="Arial CE"/>
                <w:sz w:val="18"/>
                <w:szCs w:val="18"/>
              </w:rPr>
              <w:t>323</w:t>
            </w:r>
          </w:p>
        </w:tc>
        <w:tc>
          <w:tcPr>
            <w:tcW w:w="1273" w:type="dxa"/>
            <w:tcBorders>
              <w:top w:val="nil"/>
              <w:left w:val="single" w:sz="4" w:space="0" w:color="auto"/>
              <w:bottom w:val="single" w:sz="4" w:space="0" w:color="auto"/>
              <w:right w:val="single" w:sz="4" w:space="0" w:color="auto"/>
            </w:tcBorders>
            <w:vAlign w:val="center"/>
          </w:tcPr>
          <w:p w:rsidR="00A53BCF" w:rsidRDefault="00A53BCF" w:rsidP="00A53BCF">
            <w:pPr>
              <w:jc w:val="right"/>
              <w:rPr>
                <w:rFonts w:ascii="Calibri" w:hAnsi="Calibri" w:cs="Arial CE"/>
                <w:sz w:val="18"/>
                <w:szCs w:val="18"/>
              </w:rPr>
            </w:pPr>
            <w:r w:rsidRPr="00505442">
              <w:rPr>
                <w:rFonts w:ascii="Calibri" w:hAnsi="Calibri" w:cs="Arial CE"/>
                <w:sz w:val="18"/>
                <w:szCs w:val="18"/>
              </w:rPr>
              <w:t>822</w:t>
            </w:r>
          </w:p>
        </w:tc>
        <w:tc>
          <w:tcPr>
            <w:tcW w:w="1273" w:type="dxa"/>
            <w:tcBorders>
              <w:top w:val="nil"/>
              <w:left w:val="single" w:sz="4" w:space="0" w:color="auto"/>
              <w:bottom w:val="single" w:sz="4" w:space="0" w:color="auto"/>
              <w:right w:val="single" w:sz="4" w:space="0" w:color="auto"/>
            </w:tcBorders>
            <w:vAlign w:val="center"/>
          </w:tcPr>
          <w:p w:rsidR="00A53BCF" w:rsidRDefault="00A53BCF" w:rsidP="00A53BCF">
            <w:pPr>
              <w:jc w:val="right"/>
              <w:rPr>
                <w:rFonts w:ascii="Calibri" w:hAnsi="Calibri" w:cs="Arial CE"/>
                <w:sz w:val="18"/>
                <w:szCs w:val="18"/>
              </w:rPr>
            </w:pPr>
            <w:r w:rsidRPr="00505442">
              <w:rPr>
                <w:rFonts w:ascii="Calibri" w:hAnsi="Calibri" w:cs="Arial CE"/>
                <w:sz w:val="18"/>
                <w:szCs w:val="18"/>
              </w:rPr>
              <w:t>13 094</w:t>
            </w:r>
          </w:p>
        </w:tc>
        <w:tc>
          <w:tcPr>
            <w:tcW w:w="1273" w:type="dxa"/>
            <w:tcBorders>
              <w:top w:val="nil"/>
              <w:left w:val="single" w:sz="4" w:space="0" w:color="auto"/>
              <w:bottom w:val="single" w:sz="4" w:space="0" w:color="auto"/>
              <w:right w:val="single" w:sz="4" w:space="0" w:color="auto"/>
            </w:tcBorders>
            <w:vAlign w:val="center"/>
          </w:tcPr>
          <w:p w:rsidR="00A53BCF" w:rsidRDefault="00A53BCF" w:rsidP="00A53BCF">
            <w:pPr>
              <w:jc w:val="right"/>
              <w:rPr>
                <w:rFonts w:ascii="Calibri" w:hAnsi="Calibri" w:cs="Arial CE"/>
                <w:sz w:val="18"/>
                <w:szCs w:val="18"/>
              </w:rPr>
            </w:pPr>
            <w:r w:rsidRPr="00505442">
              <w:rPr>
                <w:rFonts w:ascii="Calibri" w:hAnsi="Calibri" w:cs="Arial CE"/>
                <w:sz w:val="18"/>
                <w:szCs w:val="18"/>
              </w:rPr>
              <w:t>25 248</w:t>
            </w:r>
          </w:p>
        </w:tc>
        <w:tc>
          <w:tcPr>
            <w:tcW w:w="1273" w:type="dxa"/>
            <w:tcBorders>
              <w:top w:val="nil"/>
              <w:left w:val="single" w:sz="4" w:space="0" w:color="auto"/>
              <w:bottom w:val="single" w:sz="4" w:space="0" w:color="auto"/>
              <w:right w:val="single" w:sz="4" w:space="0" w:color="auto"/>
            </w:tcBorders>
            <w:vAlign w:val="center"/>
          </w:tcPr>
          <w:p w:rsidR="00A53BCF" w:rsidRDefault="00A53BCF" w:rsidP="00A53BCF">
            <w:pPr>
              <w:jc w:val="right"/>
              <w:rPr>
                <w:rFonts w:ascii="Calibri" w:hAnsi="Calibri" w:cs="Arial CE"/>
                <w:sz w:val="18"/>
                <w:szCs w:val="18"/>
              </w:rPr>
            </w:pPr>
            <w:r w:rsidRPr="00505442">
              <w:rPr>
                <w:rFonts w:ascii="Calibri" w:hAnsi="Calibri" w:cs="Arial CE"/>
                <w:sz w:val="18"/>
                <w:szCs w:val="18"/>
              </w:rPr>
              <w:t>73 224</w:t>
            </w:r>
          </w:p>
        </w:tc>
      </w:tr>
      <w:tr w:rsidR="00A53BCF" w:rsidRPr="0008732F" w:rsidTr="00A53BCF">
        <w:trPr>
          <w:trHeight w:val="305"/>
        </w:trPr>
        <w:tc>
          <w:tcPr>
            <w:tcW w:w="1189" w:type="dxa"/>
            <w:tcBorders>
              <w:top w:val="nil"/>
              <w:left w:val="single" w:sz="4" w:space="0" w:color="auto"/>
              <w:bottom w:val="nil"/>
              <w:right w:val="single" w:sz="4" w:space="0" w:color="auto"/>
            </w:tcBorders>
            <w:shd w:val="clear" w:color="auto" w:fill="auto"/>
            <w:vAlign w:val="center"/>
            <w:hideMark/>
          </w:tcPr>
          <w:p w:rsidR="00A53BCF" w:rsidRPr="0008732F" w:rsidRDefault="00A53BCF" w:rsidP="00A53BCF">
            <w:pPr>
              <w:rPr>
                <w:rFonts w:cs="Arial CE"/>
                <w:sz w:val="18"/>
                <w:szCs w:val="18"/>
              </w:rPr>
            </w:pPr>
            <w:r w:rsidRPr="00505442">
              <w:rPr>
                <w:rFonts w:cs="Arial CE"/>
                <w:sz w:val="18"/>
                <w:szCs w:val="18"/>
              </w:rPr>
              <w:t>cez OS 4 - LEADER</w:t>
            </w:r>
          </w:p>
        </w:tc>
        <w:tc>
          <w:tcPr>
            <w:tcW w:w="1357" w:type="dxa"/>
            <w:tcBorders>
              <w:top w:val="nil"/>
              <w:left w:val="single" w:sz="4" w:space="0" w:color="auto"/>
              <w:bottom w:val="nil"/>
              <w:right w:val="single" w:sz="4" w:space="0" w:color="auto"/>
            </w:tcBorders>
            <w:vAlign w:val="center"/>
          </w:tcPr>
          <w:p w:rsidR="00A53BCF" w:rsidRDefault="00A53BCF" w:rsidP="00A53BCF">
            <w:pPr>
              <w:jc w:val="right"/>
              <w:rPr>
                <w:rFonts w:ascii="Calibri" w:hAnsi="Calibri" w:cs="Arial CE"/>
                <w:sz w:val="18"/>
                <w:szCs w:val="18"/>
              </w:rPr>
            </w:pPr>
            <w:r w:rsidRPr="00505442">
              <w:rPr>
                <w:rFonts w:ascii="Calibri" w:hAnsi="Calibri" w:cs="Arial CE"/>
                <w:sz w:val="18"/>
                <w:szCs w:val="18"/>
              </w:rPr>
              <w:t>93</w:t>
            </w:r>
          </w:p>
        </w:tc>
        <w:tc>
          <w:tcPr>
            <w:tcW w:w="1273" w:type="dxa"/>
            <w:tcBorders>
              <w:top w:val="nil"/>
              <w:left w:val="single" w:sz="4" w:space="0" w:color="auto"/>
              <w:bottom w:val="nil"/>
              <w:right w:val="single" w:sz="4" w:space="0" w:color="auto"/>
            </w:tcBorders>
            <w:vAlign w:val="center"/>
          </w:tcPr>
          <w:p w:rsidR="00A53BCF" w:rsidRDefault="00A53BCF" w:rsidP="00A53BCF">
            <w:pPr>
              <w:jc w:val="right"/>
              <w:rPr>
                <w:rFonts w:ascii="Calibri" w:hAnsi="Calibri" w:cs="Arial CE"/>
                <w:sz w:val="18"/>
                <w:szCs w:val="18"/>
              </w:rPr>
            </w:pPr>
            <w:r w:rsidRPr="00505442">
              <w:rPr>
                <w:rFonts w:ascii="Calibri" w:hAnsi="Calibri" w:cs="Arial CE"/>
                <w:sz w:val="18"/>
                <w:szCs w:val="18"/>
              </w:rPr>
              <w:t>262</w:t>
            </w:r>
          </w:p>
        </w:tc>
        <w:tc>
          <w:tcPr>
            <w:tcW w:w="1273" w:type="dxa"/>
            <w:tcBorders>
              <w:top w:val="nil"/>
              <w:left w:val="single" w:sz="4" w:space="0" w:color="auto"/>
              <w:bottom w:val="nil"/>
              <w:right w:val="single" w:sz="4" w:space="0" w:color="auto"/>
            </w:tcBorders>
            <w:vAlign w:val="center"/>
          </w:tcPr>
          <w:p w:rsidR="00A53BCF" w:rsidRDefault="00A53BCF" w:rsidP="00A53BCF">
            <w:pPr>
              <w:jc w:val="right"/>
              <w:rPr>
                <w:rFonts w:ascii="Calibri" w:hAnsi="Calibri" w:cs="Arial CE"/>
                <w:sz w:val="18"/>
                <w:szCs w:val="18"/>
              </w:rPr>
            </w:pPr>
            <w:r w:rsidRPr="00505442">
              <w:rPr>
                <w:rFonts w:ascii="Calibri" w:hAnsi="Calibri" w:cs="Arial CE"/>
                <w:sz w:val="18"/>
                <w:szCs w:val="18"/>
              </w:rPr>
              <w:t>83 125</w:t>
            </w:r>
          </w:p>
        </w:tc>
        <w:tc>
          <w:tcPr>
            <w:tcW w:w="1273" w:type="dxa"/>
            <w:tcBorders>
              <w:top w:val="nil"/>
              <w:left w:val="single" w:sz="4" w:space="0" w:color="auto"/>
              <w:bottom w:val="nil"/>
              <w:right w:val="single" w:sz="4" w:space="0" w:color="auto"/>
            </w:tcBorders>
            <w:vAlign w:val="center"/>
          </w:tcPr>
          <w:p w:rsidR="00A53BCF" w:rsidRDefault="00A53BCF" w:rsidP="00A53BCF">
            <w:pPr>
              <w:jc w:val="right"/>
              <w:rPr>
                <w:rFonts w:ascii="Calibri" w:hAnsi="Calibri" w:cs="Arial CE"/>
                <w:sz w:val="18"/>
                <w:szCs w:val="18"/>
              </w:rPr>
            </w:pPr>
            <w:r w:rsidRPr="00505442">
              <w:rPr>
                <w:rFonts w:ascii="Calibri" w:hAnsi="Calibri" w:cs="Arial CE"/>
                <w:sz w:val="18"/>
                <w:szCs w:val="18"/>
              </w:rPr>
              <w:t>30 381</w:t>
            </w:r>
          </w:p>
        </w:tc>
        <w:tc>
          <w:tcPr>
            <w:tcW w:w="1273" w:type="dxa"/>
            <w:tcBorders>
              <w:top w:val="nil"/>
              <w:left w:val="single" w:sz="4" w:space="0" w:color="auto"/>
              <w:bottom w:val="nil"/>
              <w:right w:val="single" w:sz="4" w:space="0" w:color="auto"/>
            </w:tcBorders>
            <w:vAlign w:val="center"/>
          </w:tcPr>
          <w:p w:rsidR="00A53BCF" w:rsidRDefault="00A53BCF" w:rsidP="00A53BCF">
            <w:pPr>
              <w:jc w:val="right"/>
              <w:rPr>
                <w:rFonts w:ascii="Calibri" w:hAnsi="Calibri" w:cs="Arial CE"/>
                <w:sz w:val="18"/>
                <w:szCs w:val="18"/>
              </w:rPr>
            </w:pPr>
            <w:r w:rsidRPr="00505442">
              <w:rPr>
                <w:rFonts w:ascii="Calibri" w:hAnsi="Calibri" w:cs="Arial CE"/>
                <w:sz w:val="18"/>
                <w:szCs w:val="18"/>
              </w:rPr>
              <w:t>27 711</w:t>
            </w:r>
          </w:p>
        </w:tc>
        <w:tc>
          <w:tcPr>
            <w:tcW w:w="1273" w:type="dxa"/>
            <w:tcBorders>
              <w:top w:val="nil"/>
              <w:left w:val="single" w:sz="4" w:space="0" w:color="auto"/>
              <w:bottom w:val="nil"/>
              <w:right w:val="single" w:sz="4" w:space="0" w:color="auto"/>
            </w:tcBorders>
            <w:vAlign w:val="center"/>
          </w:tcPr>
          <w:p w:rsidR="00A53BCF" w:rsidRDefault="00A53BCF" w:rsidP="00A53BCF">
            <w:pPr>
              <w:jc w:val="right"/>
              <w:rPr>
                <w:rFonts w:ascii="Calibri" w:hAnsi="Calibri" w:cs="Arial CE"/>
                <w:sz w:val="18"/>
                <w:szCs w:val="18"/>
              </w:rPr>
            </w:pPr>
            <w:r w:rsidRPr="00505442">
              <w:rPr>
                <w:rFonts w:ascii="Calibri" w:hAnsi="Calibri" w:cs="Arial CE"/>
                <w:sz w:val="18"/>
                <w:szCs w:val="18"/>
              </w:rPr>
              <w:t>63 085</w:t>
            </w:r>
          </w:p>
        </w:tc>
      </w:tr>
      <w:tr w:rsidR="00A53BCF" w:rsidRPr="0008732F" w:rsidTr="00A53BCF">
        <w:trPr>
          <w:trHeight w:val="305"/>
        </w:trPr>
        <w:tc>
          <w:tcPr>
            <w:tcW w:w="1189" w:type="dxa"/>
            <w:tcBorders>
              <w:top w:val="single" w:sz="8" w:space="0" w:color="auto"/>
              <w:left w:val="single" w:sz="8" w:space="0" w:color="auto"/>
              <w:bottom w:val="single" w:sz="8" w:space="0" w:color="auto"/>
              <w:right w:val="single" w:sz="4" w:space="0" w:color="auto"/>
            </w:tcBorders>
            <w:shd w:val="clear" w:color="auto" w:fill="auto"/>
            <w:noWrap/>
            <w:vAlign w:val="bottom"/>
            <w:hideMark/>
          </w:tcPr>
          <w:p w:rsidR="00A53BCF" w:rsidRPr="0008732F" w:rsidRDefault="00A53BCF" w:rsidP="00A53BCF">
            <w:pPr>
              <w:rPr>
                <w:b/>
                <w:bCs/>
                <w:color w:val="000000"/>
                <w:sz w:val="18"/>
                <w:szCs w:val="18"/>
              </w:rPr>
            </w:pPr>
            <w:r w:rsidRPr="00505442">
              <w:rPr>
                <w:b/>
                <w:bCs/>
                <w:color w:val="000000"/>
                <w:sz w:val="18"/>
                <w:szCs w:val="18"/>
              </w:rPr>
              <w:t>spolu</w:t>
            </w:r>
          </w:p>
        </w:tc>
        <w:tc>
          <w:tcPr>
            <w:tcW w:w="1357" w:type="dxa"/>
            <w:tcBorders>
              <w:top w:val="single" w:sz="8" w:space="0" w:color="auto"/>
              <w:left w:val="single" w:sz="8" w:space="0" w:color="auto"/>
              <w:bottom w:val="single" w:sz="8" w:space="0" w:color="auto"/>
              <w:right w:val="single" w:sz="4" w:space="0" w:color="auto"/>
            </w:tcBorders>
            <w:vAlign w:val="bottom"/>
          </w:tcPr>
          <w:p w:rsidR="00A53BCF" w:rsidRDefault="00A53BCF" w:rsidP="00A53BCF">
            <w:pPr>
              <w:jc w:val="right"/>
              <w:rPr>
                <w:rFonts w:ascii="Calibri" w:hAnsi="Calibri"/>
                <w:b/>
                <w:bCs/>
                <w:color w:val="000000"/>
                <w:sz w:val="18"/>
                <w:szCs w:val="18"/>
              </w:rPr>
            </w:pPr>
            <w:r w:rsidRPr="00505442">
              <w:rPr>
                <w:rFonts w:ascii="Calibri" w:hAnsi="Calibri"/>
                <w:b/>
                <w:bCs/>
                <w:color w:val="000000"/>
                <w:sz w:val="18"/>
                <w:szCs w:val="18"/>
              </w:rPr>
              <w:t xml:space="preserve">754 </w:t>
            </w:r>
          </w:p>
        </w:tc>
        <w:tc>
          <w:tcPr>
            <w:tcW w:w="1273" w:type="dxa"/>
            <w:tcBorders>
              <w:top w:val="single" w:sz="8" w:space="0" w:color="auto"/>
              <w:left w:val="single" w:sz="8" w:space="0" w:color="auto"/>
              <w:bottom w:val="single" w:sz="8" w:space="0" w:color="auto"/>
              <w:right w:val="single" w:sz="4" w:space="0" w:color="auto"/>
            </w:tcBorders>
            <w:vAlign w:val="bottom"/>
          </w:tcPr>
          <w:p w:rsidR="00A53BCF" w:rsidRDefault="00A53BCF" w:rsidP="00A53BCF">
            <w:pPr>
              <w:jc w:val="right"/>
              <w:rPr>
                <w:rFonts w:ascii="Calibri" w:hAnsi="Calibri"/>
                <w:b/>
                <w:bCs/>
                <w:color w:val="000000"/>
                <w:sz w:val="18"/>
                <w:szCs w:val="18"/>
              </w:rPr>
            </w:pPr>
            <w:r w:rsidRPr="00505442">
              <w:rPr>
                <w:rFonts w:ascii="Calibri" w:hAnsi="Calibri"/>
                <w:b/>
                <w:bCs/>
                <w:color w:val="000000"/>
                <w:sz w:val="18"/>
                <w:szCs w:val="18"/>
              </w:rPr>
              <w:t xml:space="preserve">585 </w:t>
            </w:r>
          </w:p>
        </w:tc>
        <w:tc>
          <w:tcPr>
            <w:tcW w:w="1273" w:type="dxa"/>
            <w:tcBorders>
              <w:top w:val="single" w:sz="8" w:space="0" w:color="auto"/>
              <w:left w:val="single" w:sz="8" w:space="0" w:color="auto"/>
              <w:bottom w:val="single" w:sz="8" w:space="0" w:color="auto"/>
              <w:right w:val="single" w:sz="4" w:space="0" w:color="auto"/>
            </w:tcBorders>
            <w:vAlign w:val="bottom"/>
          </w:tcPr>
          <w:p w:rsidR="00A53BCF" w:rsidRDefault="00A53BCF" w:rsidP="00A53BCF">
            <w:pPr>
              <w:jc w:val="right"/>
              <w:rPr>
                <w:rFonts w:ascii="Calibri" w:hAnsi="Calibri"/>
                <w:b/>
                <w:bCs/>
                <w:color w:val="000000"/>
                <w:sz w:val="18"/>
                <w:szCs w:val="18"/>
              </w:rPr>
            </w:pPr>
            <w:r w:rsidRPr="00505442">
              <w:rPr>
                <w:rFonts w:ascii="Calibri" w:hAnsi="Calibri"/>
                <w:b/>
                <w:bCs/>
                <w:color w:val="000000"/>
                <w:sz w:val="18"/>
                <w:szCs w:val="18"/>
              </w:rPr>
              <w:t xml:space="preserve">83 947 </w:t>
            </w:r>
          </w:p>
        </w:tc>
        <w:tc>
          <w:tcPr>
            <w:tcW w:w="1273" w:type="dxa"/>
            <w:tcBorders>
              <w:top w:val="single" w:sz="8" w:space="0" w:color="auto"/>
              <w:left w:val="single" w:sz="8" w:space="0" w:color="auto"/>
              <w:bottom w:val="single" w:sz="8" w:space="0" w:color="auto"/>
              <w:right w:val="single" w:sz="4" w:space="0" w:color="auto"/>
            </w:tcBorders>
            <w:vAlign w:val="bottom"/>
          </w:tcPr>
          <w:p w:rsidR="00A53BCF" w:rsidRDefault="00A53BCF" w:rsidP="00A53BCF">
            <w:pPr>
              <w:jc w:val="right"/>
              <w:rPr>
                <w:rFonts w:ascii="Calibri" w:hAnsi="Calibri"/>
                <w:b/>
                <w:bCs/>
                <w:color w:val="000000"/>
                <w:sz w:val="18"/>
                <w:szCs w:val="18"/>
              </w:rPr>
            </w:pPr>
            <w:r w:rsidRPr="00505442">
              <w:rPr>
                <w:rFonts w:ascii="Calibri" w:hAnsi="Calibri"/>
                <w:b/>
                <w:bCs/>
                <w:color w:val="000000"/>
                <w:sz w:val="18"/>
                <w:szCs w:val="18"/>
              </w:rPr>
              <w:t xml:space="preserve">43 475 </w:t>
            </w:r>
          </w:p>
        </w:tc>
        <w:tc>
          <w:tcPr>
            <w:tcW w:w="1273" w:type="dxa"/>
            <w:tcBorders>
              <w:top w:val="single" w:sz="8" w:space="0" w:color="auto"/>
              <w:left w:val="single" w:sz="8" w:space="0" w:color="auto"/>
              <w:bottom w:val="single" w:sz="8" w:space="0" w:color="auto"/>
              <w:right w:val="single" w:sz="4" w:space="0" w:color="auto"/>
            </w:tcBorders>
            <w:vAlign w:val="bottom"/>
          </w:tcPr>
          <w:p w:rsidR="00A53BCF" w:rsidRDefault="00A53BCF" w:rsidP="00A53BCF">
            <w:pPr>
              <w:jc w:val="right"/>
              <w:rPr>
                <w:rFonts w:ascii="Calibri" w:hAnsi="Calibri"/>
                <w:b/>
                <w:bCs/>
                <w:color w:val="000000"/>
                <w:sz w:val="18"/>
                <w:szCs w:val="18"/>
              </w:rPr>
            </w:pPr>
            <w:r w:rsidRPr="00505442">
              <w:rPr>
                <w:rFonts w:ascii="Calibri" w:hAnsi="Calibri"/>
                <w:b/>
                <w:bCs/>
                <w:color w:val="000000"/>
                <w:sz w:val="18"/>
                <w:szCs w:val="18"/>
              </w:rPr>
              <w:t xml:space="preserve">52 959 </w:t>
            </w:r>
          </w:p>
        </w:tc>
        <w:tc>
          <w:tcPr>
            <w:tcW w:w="1273" w:type="dxa"/>
            <w:tcBorders>
              <w:top w:val="single" w:sz="8" w:space="0" w:color="auto"/>
              <w:left w:val="single" w:sz="8" w:space="0" w:color="auto"/>
              <w:bottom w:val="single" w:sz="8" w:space="0" w:color="auto"/>
              <w:right w:val="single" w:sz="4" w:space="0" w:color="auto"/>
            </w:tcBorders>
            <w:vAlign w:val="bottom"/>
          </w:tcPr>
          <w:p w:rsidR="00A53BCF" w:rsidRDefault="00A53BCF" w:rsidP="00A53BCF">
            <w:pPr>
              <w:jc w:val="right"/>
              <w:rPr>
                <w:rFonts w:ascii="Calibri" w:hAnsi="Calibri"/>
                <w:b/>
                <w:bCs/>
                <w:color w:val="000000"/>
                <w:sz w:val="18"/>
                <w:szCs w:val="18"/>
              </w:rPr>
            </w:pPr>
            <w:r w:rsidRPr="00505442">
              <w:rPr>
                <w:rFonts w:ascii="Calibri" w:hAnsi="Calibri"/>
                <w:b/>
                <w:bCs/>
                <w:color w:val="000000"/>
                <w:sz w:val="18"/>
                <w:szCs w:val="18"/>
              </w:rPr>
              <w:t xml:space="preserve">136 309 </w:t>
            </w:r>
          </w:p>
        </w:tc>
      </w:tr>
    </w:tbl>
    <w:p w:rsidR="00A53BCF" w:rsidRPr="009F41BD" w:rsidRDefault="00A53BCF" w:rsidP="00A53BCF">
      <w:pPr>
        <w:rPr>
          <w:rFonts w:ascii="Calibri" w:hAnsi="Calibri"/>
          <w:sz w:val="20"/>
          <w:szCs w:val="20"/>
        </w:rPr>
      </w:pPr>
      <w:r w:rsidRPr="009F41BD">
        <w:rPr>
          <w:rFonts w:ascii="Calibri" w:hAnsi="Calibri"/>
          <w:sz w:val="20"/>
          <w:szCs w:val="20"/>
        </w:rPr>
        <w:t>Prameň: PPA</w:t>
      </w:r>
    </w:p>
    <w:p w:rsidR="00A53BCF" w:rsidRDefault="00A53BCF" w:rsidP="00A53BCF">
      <w:pPr>
        <w:rPr>
          <w:rFonts w:ascii="Calibri" w:hAnsi="Calibri"/>
          <w:szCs w:val="22"/>
        </w:rPr>
      </w:pPr>
    </w:p>
    <w:p w:rsidR="00A53BCF" w:rsidRPr="00E43137" w:rsidRDefault="00A53BCF" w:rsidP="00F832C9">
      <w:pPr>
        <w:spacing w:after="120"/>
        <w:rPr>
          <w:rFonts w:ascii="Calibri" w:hAnsi="Calibri"/>
          <w:szCs w:val="22"/>
        </w:rPr>
      </w:pPr>
      <w:r w:rsidRPr="00E43137">
        <w:rPr>
          <w:rFonts w:ascii="Calibri" w:hAnsi="Calibri"/>
          <w:szCs w:val="22"/>
        </w:rPr>
        <w:t xml:space="preserve">S veľkosťou sídel súvisí aj úroveň výkonu samosprávy a rozsah poskytovaných miestnych služieb. Na obce prešlo veľa originálnych aj prenesených kompetencií. Časť z malých obcí nevykonáva samosprávu, jednak z absentujúceho dopytu (najmä po netrhových typoch služieb) jednak z nedostatku finančných zdrojov, ale aj z dôvodu absentujúceho profesionálneho prístupu manažmentu </w:t>
      </w:r>
      <w:r w:rsidRPr="00B51D83">
        <w:rPr>
          <w:szCs w:val="22"/>
        </w:rPr>
        <w:t>miestnej</w:t>
      </w:r>
      <w:r>
        <w:rPr>
          <w:rFonts w:ascii="Calibri" w:hAnsi="Calibri"/>
          <w:szCs w:val="22"/>
        </w:rPr>
        <w:t xml:space="preserve">  </w:t>
      </w:r>
      <w:r w:rsidRPr="00E43137">
        <w:rPr>
          <w:rFonts w:ascii="Calibri" w:hAnsi="Calibri"/>
          <w:szCs w:val="22"/>
        </w:rPr>
        <w:t xml:space="preserve">samosprávy. </w:t>
      </w:r>
    </w:p>
    <w:p w:rsidR="00A53BCF" w:rsidRPr="00E43137" w:rsidRDefault="00A53BCF" w:rsidP="00F832C9">
      <w:pPr>
        <w:spacing w:after="120"/>
        <w:rPr>
          <w:rFonts w:ascii="Calibri" w:hAnsi="Calibri"/>
          <w:szCs w:val="22"/>
        </w:rPr>
      </w:pPr>
      <w:r w:rsidRPr="00E43137">
        <w:rPr>
          <w:rFonts w:ascii="Calibri" w:hAnsi="Calibri"/>
          <w:szCs w:val="22"/>
        </w:rPr>
        <w:t>Otázka veľkosti miestnej samosprávy sa stala predmetom vážnej diskusie a riešení v mnohých štátoch EÚ a to najmä z dôvodu, že malé samosprávy nemôžu vykonávať všetky dôležité miestne služby. Riešenia sa nachádzali rôzne, počnúc integráciou malých obcí do väčších sídel cez rôzne formy dobrovoľnej spolupráce.</w:t>
      </w:r>
    </w:p>
    <w:p w:rsidR="00A53BCF" w:rsidRPr="00E43137" w:rsidRDefault="00A53BCF" w:rsidP="00F832C9">
      <w:pPr>
        <w:spacing w:after="120"/>
        <w:rPr>
          <w:rFonts w:ascii="Calibri" w:hAnsi="Calibri"/>
          <w:szCs w:val="22"/>
        </w:rPr>
      </w:pPr>
      <w:r w:rsidRPr="00E43137">
        <w:rPr>
          <w:rFonts w:ascii="Calibri" w:hAnsi="Calibri"/>
          <w:szCs w:val="22"/>
        </w:rPr>
        <w:t>Tak ako nemôže existovať rovnaký prístup k riešeniu rozvoja jednotlivých typov regiónov, neexistuje ani jednotný prístup na riešenie procesu urbanizácie vo vidieckych regiónoch aj do budúcnosti. Vidiecke sídla tvoriace zázemie miest (</w:t>
      </w:r>
      <w:r w:rsidRPr="00B51D83">
        <w:rPr>
          <w:rFonts w:ascii="Calibri" w:hAnsi="Calibri"/>
          <w:szCs w:val="22"/>
        </w:rPr>
        <w:t>vytvárajúce nodálny</w:t>
      </w:r>
      <w:r>
        <w:rPr>
          <w:rFonts w:ascii="Calibri" w:hAnsi="Calibri"/>
          <w:szCs w:val="22"/>
        </w:rPr>
        <w:t xml:space="preserve"> </w:t>
      </w:r>
      <w:r w:rsidRPr="00B51D83">
        <w:rPr>
          <w:rFonts w:ascii="Calibri" w:hAnsi="Calibri"/>
          <w:szCs w:val="22"/>
        </w:rPr>
        <w:t>/</w:t>
      </w:r>
      <w:r>
        <w:rPr>
          <w:rFonts w:ascii="Calibri" w:hAnsi="Calibri"/>
          <w:szCs w:val="22"/>
        </w:rPr>
        <w:t>uzlový</w:t>
      </w:r>
      <w:r w:rsidRPr="00E43137">
        <w:rPr>
          <w:rFonts w:ascii="Calibri" w:hAnsi="Calibri"/>
          <w:szCs w:val="22"/>
        </w:rPr>
        <w:t xml:space="preserve"> región) bez ohľadu na ich veľkosť, sa budú kapitálom i ponukou práce postupne prepájať na ekonomickú štruktúru miest, alebo ju budú dopĺňať.</w:t>
      </w:r>
    </w:p>
    <w:p w:rsidR="00A53BCF" w:rsidRPr="00E43137" w:rsidRDefault="00A53BCF" w:rsidP="00A53BCF">
      <w:pPr>
        <w:rPr>
          <w:rFonts w:ascii="Calibri" w:hAnsi="Calibri"/>
          <w:szCs w:val="22"/>
        </w:rPr>
      </w:pPr>
      <w:r w:rsidRPr="00E43137">
        <w:rPr>
          <w:rFonts w:ascii="Calibri" w:hAnsi="Calibri"/>
          <w:szCs w:val="22"/>
        </w:rPr>
        <w:t>Intenzita prepájania alebo dopĺňania ekonomickej štruktúry miest tvoriacich jadro rozvoja bude závislá od:</w:t>
      </w:r>
    </w:p>
    <w:p w:rsidR="00A53BCF" w:rsidRPr="00451C8D" w:rsidRDefault="00A53BCF" w:rsidP="00317BFF">
      <w:pPr>
        <w:numPr>
          <w:ilvl w:val="0"/>
          <w:numId w:val="7"/>
        </w:numPr>
        <w:rPr>
          <w:rFonts w:ascii="Calibri" w:hAnsi="Calibri"/>
          <w:szCs w:val="22"/>
        </w:rPr>
      </w:pPr>
      <w:r w:rsidRPr="00E43137">
        <w:rPr>
          <w:rFonts w:ascii="Calibri" w:hAnsi="Calibri"/>
          <w:szCs w:val="22"/>
        </w:rPr>
        <w:t xml:space="preserve">ponuky </w:t>
      </w:r>
      <w:r w:rsidRPr="001409A2">
        <w:rPr>
          <w:rFonts w:ascii="Calibri" w:hAnsi="Calibri"/>
          <w:szCs w:val="22"/>
        </w:rPr>
        <w:t>vhodných  priestorových kapacít v dedinách vhodných na stavebné účely</w:t>
      </w:r>
      <w:r w:rsidRPr="00E43137" w:rsidDel="00451C8D">
        <w:rPr>
          <w:rFonts w:ascii="Calibri" w:hAnsi="Calibri"/>
          <w:szCs w:val="22"/>
        </w:rPr>
        <w:t xml:space="preserve"> </w:t>
      </w:r>
      <w:r w:rsidRPr="00451C8D">
        <w:rPr>
          <w:rFonts w:ascii="Calibri" w:hAnsi="Calibri"/>
          <w:szCs w:val="22"/>
        </w:rPr>
        <w:t>cien pozemkov, nehnuteľností a prenájmu</w:t>
      </w:r>
    </w:p>
    <w:p w:rsidR="00A53BCF" w:rsidRPr="00E43137" w:rsidRDefault="00A53BCF" w:rsidP="00317BFF">
      <w:pPr>
        <w:numPr>
          <w:ilvl w:val="0"/>
          <w:numId w:val="7"/>
        </w:numPr>
        <w:rPr>
          <w:rFonts w:ascii="Calibri" w:hAnsi="Calibri"/>
          <w:szCs w:val="22"/>
        </w:rPr>
      </w:pPr>
      <w:r w:rsidRPr="00451C8D">
        <w:rPr>
          <w:rFonts w:ascii="Calibri" w:hAnsi="Calibri"/>
          <w:szCs w:val="22"/>
        </w:rPr>
        <w:t xml:space="preserve">úrovne </w:t>
      </w:r>
      <w:r w:rsidRPr="00E43137">
        <w:rPr>
          <w:rFonts w:ascii="Calibri" w:hAnsi="Calibri"/>
          <w:szCs w:val="22"/>
        </w:rPr>
        <w:t>a komplexnosti rozvoja technickej infraštruktúry, predovšetkým cestnej, dopravnej a</w:t>
      </w:r>
      <w:r>
        <w:rPr>
          <w:rFonts w:ascii="Calibri" w:hAnsi="Calibri"/>
          <w:szCs w:val="22"/>
        </w:rPr>
        <w:t> </w:t>
      </w:r>
      <w:r w:rsidRPr="00E43137">
        <w:rPr>
          <w:rFonts w:ascii="Calibri" w:hAnsi="Calibri"/>
          <w:szCs w:val="22"/>
        </w:rPr>
        <w:t>telekomunikačnej</w:t>
      </w:r>
      <w:r>
        <w:rPr>
          <w:rFonts w:ascii="Calibri" w:hAnsi="Calibri"/>
          <w:szCs w:val="22"/>
        </w:rPr>
        <w:t xml:space="preserve"> siete</w:t>
      </w:r>
    </w:p>
    <w:p w:rsidR="00A53BCF" w:rsidRPr="00E43137" w:rsidRDefault="00A53BCF" w:rsidP="00317BFF">
      <w:pPr>
        <w:numPr>
          <w:ilvl w:val="0"/>
          <w:numId w:val="7"/>
        </w:numPr>
        <w:rPr>
          <w:rFonts w:ascii="Calibri" w:hAnsi="Calibri"/>
          <w:szCs w:val="22"/>
        </w:rPr>
      </w:pPr>
      <w:r w:rsidRPr="00E43137">
        <w:rPr>
          <w:rFonts w:ascii="Calibri" w:hAnsi="Calibri"/>
          <w:szCs w:val="22"/>
        </w:rPr>
        <w:t>vzdialenosti od mestského sídla, na ktoré si vytvárajú väzby</w:t>
      </w:r>
    </w:p>
    <w:p w:rsidR="00A53BCF" w:rsidRPr="00E43137" w:rsidRDefault="00A53BCF" w:rsidP="00317BFF">
      <w:pPr>
        <w:numPr>
          <w:ilvl w:val="0"/>
          <w:numId w:val="7"/>
        </w:numPr>
        <w:rPr>
          <w:rFonts w:ascii="Calibri" w:hAnsi="Calibri"/>
          <w:szCs w:val="22"/>
        </w:rPr>
      </w:pPr>
      <w:r w:rsidRPr="00E43137">
        <w:rPr>
          <w:rFonts w:ascii="Calibri" w:hAnsi="Calibri"/>
          <w:szCs w:val="22"/>
        </w:rPr>
        <w:t>ponuky práce a zručností, ktorými ponuka disponuje</w:t>
      </w:r>
    </w:p>
    <w:p w:rsidR="00A53BCF" w:rsidRPr="00E43137" w:rsidRDefault="00A53BCF" w:rsidP="00F832C9">
      <w:pPr>
        <w:spacing w:after="120"/>
        <w:rPr>
          <w:rFonts w:ascii="Calibri" w:hAnsi="Calibri"/>
          <w:szCs w:val="22"/>
        </w:rPr>
      </w:pPr>
      <w:r w:rsidRPr="00E43137">
        <w:rPr>
          <w:rFonts w:ascii="Calibri" w:hAnsi="Calibri"/>
          <w:szCs w:val="22"/>
        </w:rPr>
        <w:t xml:space="preserve">Štrukturálne zmeny, ku ktorým došlo za posledných desať rokov </w:t>
      </w:r>
      <w:r w:rsidRPr="001327F9">
        <w:rPr>
          <w:rFonts w:ascii="Calibri" w:hAnsi="Calibri"/>
          <w:szCs w:val="22"/>
        </w:rPr>
        <w:t>potvrdzuj</w:t>
      </w:r>
      <w:r>
        <w:rPr>
          <w:rFonts w:ascii="Calibri" w:hAnsi="Calibri"/>
          <w:szCs w:val="22"/>
        </w:rPr>
        <w:t>ú</w:t>
      </w:r>
      <w:r w:rsidRPr="001327F9">
        <w:rPr>
          <w:rFonts w:ascii="Calibri" w:hAnsi="Calibri"/>
          <w:szCs w:val="22"/>
        </w:rPr>
        <w:t xml:space="preserve"> vyššie uvedené. Intenzita prepájania alebo dopĺňania ekonomickej štruktúry miest tvoriacich jadro rozvoja</w:t>
      </w:r>
      <w:r w:rsidRPr="00E43137">
        <w:rPr>
          <w:rFonts w:ascii="Calibri" w:hAnsi="Calibri"/>
          <w:szCs w:val="22"/>
        </w:rPr>
        <w:t xml:space="preserve"> bude závislá aj od ochoty spolupráce samosprávnych manažmentov na úrovni obcí a miest pri spoločnom riešení dopravných systémov. Obecné samosprávy by sa mali zamerať viac na marketing, prostredníctvom ktorého môžu dať do povedomia ponuku svojich lokalizačných faktorov (voľné pozemky,</w:t>
      </w:r>
      <w:r>
        <w:rPr>
          <w:rFonts w:ascii="Calibri" w:hAnsi="Calibri"/>
          <w:szCs w:val="22"/>
        </w:rPr>
        <w:t xml:space="preserve"> dostupný</w:t>
      </w:r>
      <w:r w:rsidRPr="00E43137">
        <w:rPr>
          <w:rFonts w:ascii="Calibri" w:hAnsi="Calibri"/>
          <w:szCs w:val="22"/>
        </w:rPr>
        <w:t xml:space="preserve"> bytový fond, voľné budovy resp. stavby). Regionálna samospráva môže byť tomuto procesu nápomocná budovaním resp. rozširovaním ciest, pretože už v súčasnosti je evidentný nárast denného presunu obyvateľ</w:t>
      </w:r>
      <w:r>
        <w:rPr>
          <w:rFonts w:ascii="Calibri" w:hAnsi="Calibri"/>
          <w:szCs w:val="22"/>
        </w:rPr>
        <w:t>ov</w:t>
      </w:r>
      <w:r w:rsidRPr="00E43137" w:rsidDel="00411CED">
        <w:rPr>
          <w:rFonts w:ascii="Calibri" w:hAnsi="Calibri"/>
          <w:szCs w:val="22"/>
        </w:rPr>
        <w:t xml:space="preserve"> </w:t>
      </w:r>
      <w:r w:rsidRPr="00E43137">
        <w:rPr>
          <w:rFonts w:ascii="Calibri" w:hAnsi="Calibri"/>
          <w:szCs w:val="22"/>
        </w:rPr>
        <w:t>do miest.</w:t>
      </w:r>
    </w:p>
    <w:p w:rsidR="00A53BCF" w:rsidRDefault="00A53BCF" w:rsidP="00F832C9">
      <w:pPr>
        <w:pStyle w:val="Textkomentra"/>
        <w:spacing w:after="120"/>
        <w:rPr>
          <w:sz w:val="22"/>
          <w:szCs w:val="22"/>
        </w:rPr>
      </w:pPr>
      <w:r w:rsidRPr="00E43137">
        <w:rPr>
          <w:rFonts w:ascii="Calibri" w:hAnsi="Calibri"/>
          <w:sz w:val="22"/>
          <w:szCs w:val="22"/>
        </w:rPr>
        <w:t xml:space="preserve">Problémom riešenia urbanizácie vidieckeho priestoru zostanú malé obce najmä do 300 obyvateľov, ktorých je 612. Rozhodujúca časť týchto obcí sa nachádza </w:t>
      </w:r>
      <w:r w:rsidRPr="001327F9">
        <w:rPr>
          <w:rFonts w:ascii="Calibri" w:hAnsi="Calibri"/>
          <w:sz w:val="22"/>
          <w:szCs w:val="22"/>
        </w:rPr>
        <w:t>v</w:t>
      </w:r>
      <w:r w:rsidRPr="001327F9">
        <w:rPr>
          <w:sz w:val="22"/>
          <w:szCs w:val="22"/>
        </w:rPr>
        <w:t xml:space="preserve"> odľahlých oblastiach s marginálnym hospodárskym a celospoločenským významom.</w:t>
      </w:r>
    </w:p>
    <w:p w:rsidR="00A53BCF" w:rsidRPr="00E43137" w:rsidRDefault="00A53BCF" w:rsidP="00A53BCF">
      <w:pPr>
        <w:rPr>
          <w:rFonts w:ascii="Calibri" w:hAnsi="Calibri"/>
          <w:szCs w:val="22"/>
        </w:rPr>
      </w:pPr>
      <w:r w:rsidRPr="00E43137">
        <w:rPr>
          <w:rFonts w:ascii="Calibri" w:hAnsi="Calibri"/>
          <w:szCs w:val="22"/>
        </w:rPr>
        <w:t>Zostáva otázkou aké postoje zaujať k budúcemu rozvoju týchto obcí. Ponúkajú sa nasledovné riešenia:</w:t>
      </w:r>
    </w:p>
    <w:p w:rsidR="00A53BCF" w:rsidRPr="00411CED" w:rsidRDefault="00A53BCF" w:rsidP="00CE203B">
      <w:pPr>
        <w:pStyle w:val="Textkomentra"/>
        <w:numPr>
          <w:ilvl w:val="0"/>
          <w:numId w:val="314"/>
        </w:numPr>
        <w:rPr>
          <w:rFonts w:ascii="Calibri" w:hAnsi="Calibri"/>
          <w:sz w:val="22"/>
          <w:szCs w:val="22"/>
        </w:rPr>
      </w:pPr>
      <w:r w:rsidRPr="00E43137">
        <w:rPr>
          <w:rFonts w:ascii="Calibri" w:hAnsi="Calibri"/>
          <w:sz w:val="22"/>
          <w:szCs w:val="22"/>
        </w:rPr>
        <w:t>Nechať tieto obce postupne vyľudňovať a to bez väčších dodatočných nákladov spojených z budovaním technickej infraštruktúry a udržiavanie kultúrneho rázu sídla a </w:t>
      </w:r>
      <w:r w:rsidRPr="001E4291">
        <w:rPr>
          <w:rFonts w:ascii="Calibri" w:hAnsi="Calibri"/>
          <w:sz w:val="22"/>
          <w:szCs w:val="22"/>
        </w:rPr>
        <w:t>z </w:t>
      </w:r>
      <w:r w:rsidRPr="00411CED">
        <w:rPr>
          <w:sz w:val="22"/>
          <w:szCs w:val="22"/>
        </w:rPr>
        <w:t>časti ponechať na chalupárov, aby sa proces vyľudňovania čiastočne spomalil.</w:t>
      </w:r>
      <w:r w:rsidRPr="00411CED">
        <w:rPr>
          <w:rFonts w:ascii="Calibri" w:hAnsi="Calibri"/>
          <w:sz w:val="22"/>
          <w:szCs w:val="22"/>
        </w:rPr>
        <w:t xml:space="preserve"> </w:t>
      </w:r>
    </w:p>
    <w:p w:rsidR="00A53BCF" w:rsidRDefault="00A53BCF" w:rsidP="00CE203B">
      <w:pPr>
        <w:pStyle w:val="Textkomentra"/>
        <w:numPr>
          <w:ilvl w:val="0"/>
          <w:numId w:val="314"/>
        </w:numPr>
        <w:rPr>
          <w:rFonts w:ascii="Calibri" w:hAnsi="Calibri"/>
          <w:sz w:val="22"/>
          <w:szCs w:val="22"/>
        </w:rPr>
      </w:pPr>
      <w:r w:rsidRPr="005B4516">
        <w:rPr>
          <w:rFonts w:ascii="Calibri" w:hAnsi="Calibri"/>
          <w:sz w:val="22"/>
          <w:szCs w:val="22"/>
        </w:rPr>
        <w:t xml:space="preserve">Postupne oživovať </w:t>
      </w:r>
      <w:r w:rsidRPr="00411CED">
        <w:rPr>
          <w:rFonts w:ascii="Calibri" w:hAnsi="Calibri"/>
          <w:sz w:val="22"/>
        </w:rPr>
        <w:t>obc</w:t>
      </w:r>
      <w:r w:rsidRPr="00411CED">
        <w:rPr>
          <w:rFonts w:ascii="Calibri" w:hAnsi="Calibri"/>
          <w:sz w:val="22"/>
          <w:szCs w:val="22"/>
        </w:rPr>
        <w:t>e</w:t>
      </w:r>
      <w:r w:rsidRPr="005B4516">
        <w:rPr>
          <w:rFonts w:ascii="Calibri" w:hAnsi="Calibri"/>
          <w:sz w:val="22"/>
          <w:szCs w:val="22"/>
        </w:rPr>
        <w:t xml:space="preserve"> cez vysoké investičné náklady spojené s budovaním cestnej siete, vodného a energetického hospodárstva (plyn), ktoré zvýšia hodnotu sídla z pohľadu obytnej funkcie ale pravdepodobne neprilákajú podnikateľov predovšetkým pre malú ponuku pracovnej sily (spravidla nižšie kvalifikovanej),</w:t>
      </w:r>
      <w:r>
        <w:rPr>
          <w:rFonts w:ascii="Calibri" w:hAnsi="Calibri"/>
          <w:sz w:val="22"/>
          <w:szCs w:val="22"/>
        </w:rPr>
        <w:t xml:space="preserve"> </w:t>
      </w:r>
      <w:r w:rsidRPr="005B4516">
        <w:rPr>
          <w:rFonts w:ascii="Calibri" w:hAnsi="Calibri"/>
          <w:sz w:val="22"/>
          <w:szCs w:val="22"/>
        </w:rPr>
        <w:t xml:space="preserve">značnú odľahlosť od mestských sídel a extenzívny systém dopravy. </w:t>
      </w:r>
    </w:p>
    <w:p w:rsidR="00A53BCF" w:rsidRDefault="00A53BCF" w:rsidP="00CE203B">
      <w:pPr>
        <w:pStyle w:val="Textkomentra"/>
        <w:numPr>
          <w:ilvl w:val="0"/>
          <w:numId w:val="314"/>
        </w:numPr>
        <w:rPr>
          <w:rFonts w:ascii="Calibri" w:hAnsi="Calibri"/>
          <w:sz w:val="22"/>
          <w:szCs w:val="22"/>
        </w:rPr>
      </w:pPr>
      <w:r>
        <w:rPr>
          <w:rFonts w:ascii="Calibri" w:hAnsi="Calibri"/>
          <w:sz w:val="22"/>
          <w:szCs w:val="22"/>
        </w:rPr>
        <w:t xml:space="preserve">Integrovať malé obce do väčších sídiel a tak sa malé obce stanú súčasťou väčšieho sídelného celku. Posilní sa tým kvalita samosprávneho manažmentu, výkon služieb a efektívnejšie využitie príjmov. Pôvodne malé obce môžu plniť rekreačnú alebo obytnú funkciu pre integrované obce. </w:t>
      </w:r>
    </w:p>
    <w:p w:rsidR="00E820E4" w:rsidRDefault="00E820E4" w:rsidP="00F832C9">
      <w:pPr>
        <w:pStyle w:val="Textkomentra"/>
        <w:spacing w:after="120"/>
        <w:rPr>
          <w:sz w:val="22"/>
          <w:szCs w:val="22"/>
        </w:rPr>
      </w:pPr>
    </w:p>
    <w:p w:rsidR="00A53BCF" w:rsidRPr="001409A2" w:rsidRDefault="00A53BCF" w:rsidP="00F832C9">
      <w:pPr>
        <w:pStyle w:val="Textkomentra"/>
        <w:spacing w:after="120"/>
        <w:rPr>
          <w:sz w:val="22"/>
          <w:szCs w:val="22"/>
        </w:rPr>
      </w:pPr>
      <w:r w:rsidRPr="001409A2">
        <w:rPr>
          <w:sz w:val="22"/>
          <w:szCs w:val="22"/>
        </w:rPr>
        <w:t>Čo sa týka prvej možnosti táto je najmenej nákladná a ponecháva ďalší vývoj týchto obcí na samoregulačný vývoj v najbližších rokoch. Realizáciu druhej možnosti brzdia hlavne príliš nízke rozpočty predmetných obcí, ktoré nie sú schopné zabezpečiť ani základné samosprávne funkcie. Tretia možnosť priamo súvisí s vyriešením citlivej otázky spájania obcí, ktorú je potrebné postaviť do väzieb s identifikovanými kritickými potrebami jednotlivých skupín obcí v kontexte spolufinancovania ich budúceho vývoja zo ŠF EÚI, resp</w:t>
      </w:r>
      <w:r>
        <w:rPr>
          <w:sz w:val="22"/>
          <w:szCs w:val="22"/>
        </w:rPr>
        <w:t>.</w:t>
      </w:r>
      <w:r w:rsidRPr="001409A2">
        <w:rPr>
          <w:sz w:val="22"/>
          <w:szCs w:val="22"/>
        </w:rPr>
        <w:t xml:space="preserve"> z </w:t>
      </w:r>
      <w:r>
        <w:rPr>
          <w:sz w:val="22"/>
          <w:szCs w:val="22"/>
        </w:rPr>
        <w:t>„</w:t>
      </w:r>
      <w:r w:rsidRPr="001409A2">
        <w:rPr>
          <w:sz w:val="22"/>
          <w:szCs w:val="22"/>
        </w:rPr>
        <w:t>PRV 2014 – 2020</w:t>
      </w:r>
      <w:r>
        <w:rPr>
          <w:sz w:val="22"/>
          <w:szCs w:val="22"/>
        </w:rPr>
        <w:t>“</w:t>
      </w:r>
      <w:r w:rsidRPr="001409A2">
        <w:rPr>
          <w:sz w:val="22"/>
          <w:szCs w:val="22"/>
        </w:rPr>
        <w:t>.</w:t>
      </w:r>
    </w:p>
    <w:p w:rsidR="00A53BCF" w:rsidRPr="00E43137" w:rsidRDefault="00A53BCF" w:rsidP="00F832C9">
      <w:pPr>
        <w:spacing w:after="120"/>
        <w:rPr>
          <w:rFonts w:ascii="Calibri" w:hAnsi="Calibri"/>
          <w:szCs w:val="22"/>
        </w:rPr>
      </w:pPr>
      <w:r w:rsidRPr="00E43137">
        <w:rPr>
          <w:rFonts w:ascii="Calibri" w:hAnsi="Calibri"/>
          <w:szCs w:val="22"/>
        </w:rPr>
        <w:t xml:space="preserve">Stredné a veľké sídla disponujú väčšou ponukou lokalizačných faktorov a majú </w:t>
      </w:r>
      <w:r>
        <w:rPr>
          <w:rFonts w:ascii="Calibri" w:hAnsi="Calibri"/>
          <w:szCs w:val="22"/>
        </w:rPr>
        <w:t>aj</w:t>
      </w:r>
      <w:r w:rsidRPr="00E43137">
        <w:rPr>
          <w:rFonts w:ascii="Calibri" w:hAnsi="Calibri"/>
          <w:szCs w:val="22"/>
        </w:rPr>
        <w:t> väčší trhový priestor. Cestou k ich rozvoju môže byť naďalej prejavujúca sa dobrovoľná medziobecná spolupráca pri zabezpečovaní časti služieb (stavebný poriadok), ktorá môže mať viacej foriem. Cez vytváranie spoločnej kancelárie na zabezpečenie napr. preneseného výkonu stavebného poriadku. Vytváraním dobrovoľných združení pre výkon vymedzených služieb, resp. rozvoj cestovného ruchu.</w:t>
      </w:r>
    </w:p>
    <w:p w:rsidR="00A53BCF" w:rsidRPr="00E43137" w:rsidRDefault="00A53BCF" w:rsidP="00F832C9">
      <w:pPr>
        <w:spacing w:after="120"/>
        <w:rPr>
          <w:rFonts w:ascii="Calibri" w:hAnsi="Calibri"/>
          <w:szCs w:val="22"/>
        </w:rPr>
      </w:pPr>
      <w:r w:rsidRPr="00E43137">
        <w:rPr>
          <w:rFonts w:ascii="Calibri" w:hAnsi="Calibri"/>
          <w:szCs w:val="22"/>
        </w:rPr>
        <w:t xml:space="preserve">Pri nastavení budúcich bodovacích kritérií pre vidiecke obce je potrebné riešiť dilemu, či bodovacími kritériami zvýhodniť určitú skupinu obcí (napr. malé obce do 500 obyvateľov), ktoré trpia vyľudňovaním a bez podpory sotva dokážu realizovať väčšiu modernizáciu.  </w:t>
      </w:r>
    </w:p>
    <w:p w:rsidR="00A53BCF" w:rsidRPr="001409A2" w:rsidRDefault="00A53BCF" w:rsidP="00F832C9">
      <w:pPr>
        <w:spacing w:after="120"/>
        <w:rPr>
          <w:szCs w:val="22"/>
        </w:rPr>
      </w:pPr>
      <w:r w:rsidRPr="00E43137">
        <w:rPr>
          <w:rFonts w:ascii="Calibri" w:hAnsi="Calibri"/>
          <w:szCs w:val="22"/>
        </w:rPr>
        <w:t xml:space="preserve">Na druhej strane, nie je ekonomicky efektívne individuálne podporovať tieto obce k investíciám, ktoré </w:t>
      </w:r>
      <w:r w:rsidRPr="00E43137">
        <w:rPr>
          <w:rFonts w:ascii="Calibri" w:hAnsi="Calibri"/>
          <w:b/>
          <w:szCs w:val="22"/>
        </w:rPr>
        <w:t>nie sú zárukou dosiahnutia pozitívnych rozvojových efektov</w:t>
      </w:r>
      <w:r w:rsidRPr="00E43137">
        <w:rPr>
          <w:rFonts w:ascii="Calibri" w:hAnsi="Calibri"/>
          <w:szCs w:val="22"/>
        </w:rPr>
        <w:t xml:space="preserve">. Obce s vymedzeným charakterom by tak mohli získať prostriedky na svoju modernizáciu aj bez ohľadu na synergické pozitívne efekty, ktoré majú byť projektmi dosiahnuté. Otázna je tiež udržateľnosť týchto projektov, vzhľadom na výšku príjmu obce a zdroje, ktorými disponuje. Investície do budov či infraštruktúry u malých obcí sú vo väčšine prípadov veľmi žiadanými, ich udržateľnosť je však nízka. Novovytvorená, či rekonštruovaná infraštruktúra sa tak po niekoľkých rokoch od realizácie projektov dostane opätovne do nevyhovujúceho stavu v dôsledku neudržiavania a neinvestovania do opráv. Týmto spôsobom sa zníži celkový efekt poskytnutej pomoci. Preto </w:t>
      </w:r>
      <w:r w:rsidRPr="00E43137">
        <w:rPr>
          <w:rFonts w:ascii="Calibri" w:hAnsi="Calibri"/>
          <w:b/>
          <w:szCs w:val="22"/>
        </w:rPr>
        <w:t>je nevyhnutné zamerať sa na</w:t>
      </w:r>
      <w:r w:rsidRPr="00E43137">
        <w:rPr>
          <w:rFonts w:ascii="Calibri" w:hAnsi="Calibri"/>
          <w:b/>
          <w:szCs w:val="22"/>
        </w:rPr>
        <w:lastRenderedPageBreak/>
        <w:t xml:space="preserve"> udržateľnosť investícií a ich priamy dopad na rozvoj obcí, resp. priľahlého územia regiónu </w:t>
      </w:r>
      <w:r w:rsidRPr="00E43137">
        <w:rPr>
          <w:rFonts w:ascii="Calibri" w:hAnsi="Calibri"/>
          <w:szCs w:val="22"/>
        </w:rPr>
        <w:t xml:space="preserve">(efekty realizácie projektov). V tomto smere sa optimálnym riešením oproti individuálnym projektom vyznačujú projekty realizované v rámci </w:t>
      </w:r>
      <w:r w:rsidRPr="00E43137">
        <w:rPr>
          <w:rFonts w:ascii="Calibri" w:hAnsi="Calibri"/>
          <w:b/>
          <w:szCs w:val="22"/>
        </w:rPr>
        <w:t>miestnych rozvojových stratégií</w:t>
      </w:r>
      <w:r w:rsidRPr="00E43137">
        <w:rPr>
          <w:rFonts w:ascii="Calibri" w:hAnsi="Calibri"/>
          <w:szCs w:val="22"/>
        </w:rPr>
        <w:t xml:space="preserve">, ktoré sú podstatným prvkom prístupu </w:t>
      </w:r>
      <w:r w:rsidRPr="00E43137">
        <w:rPr>
          <w:rFonts w:ascii="Calibri" w:hAnsi="Calibri"/>
          <w:b/>
          <w:szCs w:val="22"/>
        </w:rPr>
        <w:t>Leader</w:t>
      </w:r>
      <w:r w:rsidRPr="00E43137">
        <w:rPr>
          <w:rFonts w:ascii="Calibri" w:hAnsi="Calibri"/>
          <w:szCs w:val="22"/>
        </w:rPr>
        <w:t xml:space="preserve">, resp. Comunity Led Local Development (CLLD), ktoré sú založené na </w:t>
      </w:r>
      <w:r w:rsidRPr="001409A2">
        <w:rPr>
          <w:szCs w:val="22"/>
        </w:rPr>
        <w:t>prístupe Leader a odporúčané pre programovacie obdobie 2014-2020.</w:t>
      </w:r>
    </w:p>
    <w:p w:rsidR="00E43137" w:rsidRPr="00E43137" w:rsidRDefault="00E43137" w:rsidP="004E48D8">
      <w:pPr>
        <w:pBdr>
          <w:bar w:val="single" w:sz="6" w:color="808080"/>
        </w:pBdr>
        <w:rPr>
          <w:rFonts w:ascii="Calibri" w:eastAsia="Calibri" w:hAnsi="Calibri"/>
          <w:b/>
          <w:szCs w:val="22"/>
          <w:lang w:eastAsia="en-US"/>
        </w:rPr>
      </w:pPr>
      <w:r w:rsidRPr="00E43137">
        <w:rPr>
          <w:rFonts w:ascii="Calibri" w:eastAsia="Calibri" w:hAnsi="Calibri"/>
          <w:b/>
          <w:bCs/>
          <w:szCs w:val="22"/>
          <w:lang w:eastAsia="en-US"/>
        </w:rPr>
        <w:t>Rozvoj cestovného ruchu</w:t>
      </w:r>
      <w:r w:rsidR="00A53BCF">
        <w:rPr>
          <w:rFonts w:ascii="Calibri" w:eastAsia="Calibri" w:hAnsi="Calibri"/>
          <w:b/>
          <w:bCs/>
          <w:szCs w:val="22"/>
          <w:lang w:eastAsia="en-US"/>
        </w:rPr>
        <w:t xml:space="preserve"> a ubytovacie zariadenia</w:t>
      </w:r>
    </w:p>
    <w:p w:rsidR="00A53BCF" w:rsidRDefault="00A53BCF" w:rsidP="00A53BCF">
      <w:pPr>
        <w:pStyle w:val="Zarkazkladnhotextu"/>
        <w:spacing w:after="0" w:line="240" w:lineRule="auto"/>
        <w:ind w:left="0"/>
        <w:rPr>
          <w:rFonts w:asciiTheme="minorHAnsi" w:hAnsiTheme="minorHAnsi"/>
        </w:rPr>
      </w:pPr>
      <w:r w:rsidRPr="00505442">
        <w:rPr>
          <w:rFonts w:asciiTheme="minorHAnsi" w:hAnsiTheme="minorHAnsi"/>
        </w:rPr>
        <w:t>Slovensko má výrazný prírodný potenciál pre rozvoj cestovného ruchu.  V roku 2012 bolo na Slovensku v ubytovacích a stravovacích službách zamestnaných   97,2 tis. osôb, t. j.</w:t>
      </w:r>
      <w:r>
        <w:rPr>
          <w:rFonts w:asciiTheme="minorHAnsi" w:hAnsiTheme="minorHAnsi"/>
        </w:rPr>
        <w:t xml:space="preserve"> </w:t>
      </w:r>
      <w:r w:rsidRPr="00505442">
        <w:rPr>
          <w:rFonts w:asciiTheme="minorHAnsi" w:hAnsiTheme="minorHAnsi"/>
        </w:rPr>
        <w:t>4,2 % z celkového počtu zamestnaných osôb v SR (ŠÚ SR-VZPS). V roku 2013 sa tento počet zvýšil na 112,6 tis. osôb, čo predstavuje medziročné zvýšenie o 15,8 % (15,4 tis. osôb) a zvýšenie podielu na celkovom počte zamestnaných osôb SR na 4,8 %.  Jedným z predpokladov rozvoja pobytového cestovného ruchu je i  počet  a kapacita ubytovacích zariadení, ich veľkosť a štruktúra. Podľa ŠÚ SR sa  počet ubytovacích zariadení na Slovensku  od roku 2001 až do roku 2013 zvyšoval. Kým  v  roku 2001 bolo evidovaných na Slovensku 2 275 ubytovacích zariadení, v roku 2012 sa  ich počet oproti roku 2001 zvýšil o 60,1 % a v roku 2013 o 53,2 %. Z pohľadu typov ubytovacích zariadení  v posledných rokoch  najviac napredovali zariadenia poskytujúce služby na vyššej kvalitatívnej úrovni, t.j. 4 a 5 hviezdičkové hotely a najvyšší nárast návštevníkov zaznamenali najmä b</w:t>
      </w:r>
      <w:r w:rsidR="00F37247">
        <w:rPr>
          <w:rFonts w:asciiTheme="minorHAnsi" w:hAnsiTheme="minorHAnsi"/>
        </w:rPr>
        <w:t>o</w:t>
      </w:r>
      <w:r w:rsidRPr="00505442">
        <w:rPr>
          <w:rFonts w:asciiTheme="minorHAnsi" w:hAnsiTheme="minorHAnsi"/>
        </w:rPr>
        <w:t>utique, wellness a kúpeľné hotely. Dôležitým ukazovateľom napredovania cestovného ruchu je využitie stálych lôžok, ktoré má podľa ŠÚ SR na Slovensku dlhodobo klesajúcu tendenciu a v priebehu roka je veľmi kolísavé. Kým v roku 2002 boli kapacity lôžok využité na 31,9 %, v roku 2012 len na 21,4 %. V roku 2013 sa zaznamenal nárast ich využitia na 22,3 %, pričom počet ubytovacích zariadení sa v tomto období zvýšil o viac ako polovicu (51,9 %).  Za obdobie 2002-2012 sa počet návštevníkov zvýšil o len 9,5 %, počet nocí strávených návštevníkmi na Slovensku klesol o 11,4 %. Negatívom je, že v uvedenom období klesol počet prenocovaní zahraničných návštevníkov o 18,7 %. Počet prenocovaní domácich sa zvýšil o 21,3 %. Vývoj počtu lôžok v ubytovacích zariadeniach na 100 obyvateľov (tab. 14) ukazuje výrazný nárast tohto ukazovateľa v mestských oblastiach a stagnáciu vo vidieckych oblastiach. V rokoch 2001 až 2004 mali vidiecke regióny vyššie hodnoty ako mestské, od roku 2005 dochádza naopak k opačnej tendencii prevahy mestských regiónov. Tento ukazovateľ musíme však svojim spôsobom relativizovať, pretože váha na miestne obyvateľstvo je len pomocným kritériom, pretože miestne obyvateľstvo len veľmi málo využíva miestne ubytovacie zariadenia. Ukazuje však priestorový trend rastu, ktorý je v pomere mesto-vidiek rozhodujúci. Vidiek v tomto pohľade má nižšie nárastové trendy a zaostáva za mestskými oblasťami.</w:t>
      </w:r>
      <w:r>
        <w:rPr>
          <w:rFonts w:asciiTheme="minorHAnsi" w:hAnsiTheme="minorHAnsi"/>
          <w:strike/>
        </w:rPr>
        <w:t xml:space="preserve"> </w:t>
      </w:r>
      <w:r w:rsidRPr="00505442">
        <w:rPr>
          <w:rFonts w:asciiTheme="minorHAnsi" w:hAnsiTheme="minorHAnsi"/>
        </w:rPr>
        <w:t>Tento trend by mal byť dočasný.  Podľa „Marketingovej stratégie SACR na obdobie 2014-</w:t>
      </w:r>
      <w:r>
        <w:rPr>
          <w:rFonts w:asciiTheme="minorHAnsi" w:hAnsiTheme="minorHAnsi"/>
        </w:rPr>
        <w:t>20</w:t>
      </w:r>
      <w:r w:rsidRPr="00505442">
        <w:rPr>
          <w:rFonts w:asciiTheme="minorHAnsi" w:hAnsiTheme="minorHAnsi"/>
        </w:rPr>
        <w:t>20“ významnou problémovou oblasťou v našom cestovnom ruchu je nielen nedostatočné využívanie nových informačných technológii,  (systémy rezervovania na regionálnej úrovni, nedostatočná previazanosť siete turistických informačných centier a pod.), ale aj nedostatočne vybudovaná infraštruktúra. V domácom cestovnom ruchu by perspektívne malo dochádzať k presúvaniu finančných prostriedkov z tzv. “výrobných“ a bohatších regiónov do regiónov so zachovaným prírodným  potenciálom, čo sekundárne povedie k vyrovnávaniu disproporcií regiónov a k rastu zamestnanosti v týchto regiónov nielen v cestovnom ruchu, ale aj v nadväzných odvetviach. (</w:t>
      </w:r>
      <w:r w:rsidRPr="00505442">
        <w:rPr>
          <w:rFonts w:asciiTheme="minorHAnsi" w:hAnsiTheme="minorHAnsi"/>
          <w:bCs/>
        </w:rPr>
        <w:t>Marketingová stratégia Slovenskej agentúry pre cestovný ruch 2011 – 2013).</w:t>
      </w:r>
    </w:p>
    <w:p w:rsidR="00A53BCF" w:rsidRDefault="00A53BCF" w:rsidP="00A53BCF">
      <w:pPr>
        <w:pStyle w:val="Zarkazkladnhotextu"/>
        <w:spacing w:after="0" w:line="240" w:lineRule="auto"/>
        <w:ind w:left="0"/>
        <w:rPr>
          <w:rFonts w:asciiTheme="minorHAnsi" w:hAnsiTheme="minorHAnsi"/>
          <w:b/>
        </w:rPr>
      </w:pPr>
    </w:p>
    <w:p w:rsidR="00A53BCF" w:rsidRDefault="00F832C9" w:rsidP="00A53BCF">
      <w:pPr>
        <w:pStyle w:val="Zarkazkladnhotextu"/>
        <w:spacing w:after="0" w:line="240" w:lineRule="auto"/>
        <w:ind w:left="0"/>
        <w:rPr>
          <w:rFonts w:asciiTheme="minorHAnsi" w:hAnsiTheme="minorHAnsi"/>
          <w:b/>
        </w:rPr>
      </w:pPr>
      <w:r>
        <w:rPr>
          <w:rFonts w:asciiTheme="minorHAnsi" w:hAnsiTheme="minorHAnsi"/>
          <w:b/>
        </w:rPr>
        <w:t xml:space="preserve">Tabuľka 6: </w:t>
      </w:r>
      <w:r w:rsidR="00A53BCF" w:rsidRPr="00505442">
        <w:rPr>
          <w:rFonts w:asciiTheme="minorHAnsi" w:hAnsiTheme="minorHAnsi"/>
          <w:b/>
        </w:rPr>
        <w:t>Vývoj počtu lôžok v ubytovacích zariadeniach na 100 obyvateľov</w:t>
      </w:r>
    </w:p>
    <w:tbl>
      <w:tblPr>
        <w:tblW w:w="9157" w:type="dxa"/>
        <w:tblInd w:w="55" w:type="dxa"/>
        <w:tblCellMar>
          <w:left w:w="70" w:type="dxa"/>
          <w:right w:w="70" w:type="dxa"/>
        </w:tblCellMar>
        <w:tblLook w:val="04A0" w:firstRow="1" w:lastRow="0" w:firstColumn="1" w:lastColumn="0" w:noHBand="0" w:noVBand="1"/>
      </w:tblPr>
      <w:tblGrid>
        <w:gridCol w:w="892"/>
        <w:gridCol w:w="658"/>
        <w:gridCol w:w="658"/>
        <w:gridCol w:w="758"/>
        <w:gridCol w:w="599"/>
        <w:gridCol w:w="758"/>
        <w:gridCol w:w="638"/>
        <w:gridCol w:w="718"/>
        <w:gridCol w:w="738"/>
        <w:gridCol w:w="718"/>
        <w:gridCol w:w="738"/>
        <w:gridCol w:w="698"/>
        <w:gridCol w:w="586"/>
      </w:tblGrid>
      <w:tr w:rsidR="00A53BCF" w:rsidRPr="002A602D" w:rsidTr="00A53BCF">
        <w:trPr>
          <w:trHeight w:val="300"/>
        </w:trPr>
        <w:tc>
          <w:tcPr>
            <w:tcW w:w="892" w:type="dxa"/>
            <w:vMerge w:val="restart"/>
            <w:tcBorders>
              <w:top w:val="single" w:sz="4" w:space="0" w:color="auto"/>
              <w:left w:val="single" w:sz="4" w:space="0" w:color="auto"/>
              <w:bottom w:val="single" w:sz="4" w:space="0" w:color="auto"/>
              <w:right w:val="single" w:sz="4" w:space="0" w:color="auto"/>
            </w:tcBorders>
            <w:shd w:val="clear" w:color="000000" w:fill="EEEEEE"/>
            <w:hideMark/>
          </w:tcPr>
          <w:p w:rsidR="00A53BCF" w:rsidRDefault="00A53BCF" w:rsidP="00A53BCF">
            <w:pPr>
              <w:rPr>
                <w:rFonts w:cs="Calibri"/>
                <w:sz w:val="20"/>
                <w:szCs w:val="20"/>
              </w:rPr>
            </w:pPr>
            <w:r w:rsidRPr="00505442">
              <w:rPr>
                <w:rFonts w:cs="Calibri"/>
                <w:sz w:val="20"/>
                <w:szCs w:val="20"/>
              </w:rPr>
              <w:t>Územie</w:t>
            </w:r>
          </w:p>
        </w:tc>
        <w:tc>
          <w:tcPr>
            <w:tcW w:w="7679" w:type="dxa"/>
            <w:gridSpan w:val="11"/>
            <w:tcBorders>
              <w:top w:val="single" w:sz="4" w:space="0" w:color="auto"/>
              <w:left w:val="nil"/>
              <w:bottom w:val="single" w:sz="4" w:space="0" w:color="auto"/>
              <w:right w:val="single" w:sz="4" w:space="0" w:color="auto"/>
            </w:tcBorders>
            <w:shd w:val="clear" w:color="000000" w:fill="EEEEEE"/>
            <w:hideMark/>
          </w:tcPr>
          <w:p w:rsidR="00A53BCF" w:rsidRDefault="00A53BCF" w:rsidP="00A53BCF">
            <w:pPr>
              <w:rPr>
                <w:rFonts w:cs="Calibri"/>
                <w:sz w:val="20"/>
                <w:szCs w:val="20"/>
              </w:rPr>
            </w:pPr>
            <w:r w:rsidRPr="00505442">
              <w:rPr>
                <w:rFonts w:cs="Calibri"/>
                <w:sz w:val="20"/>
                <w:szCs w:val="20"/>
              </w:rPr>
              <w:t>Počet lôžok v ubytovacích zariadeniach na 100 obyvateľov</w:t>
            </w:r>
          </w:p>
        </w:tc>
        <w:tc>
          <w:tcPr>
            <w:tcW w:w="586" w:type="dxa"/>
            <w:tcBorders>
              <w:top w:val="single" w:sz="4" w:space="0" w:color="auto"/>
              <w:left w:val="nil"/>
              <w:bottom w:val="single" w:sz="4" w:space="0" w:color="auto"/>
              <w:right w:val="single" w:sz="4" w:space="0" w:color="auto"/>
            </w:tcBorders>
            <w:shd w:val="clear" w:color="000000" w:fill="EEEEEE"/>
          </w:tcPr>
          <w:p w:rsidR="00A53BCF" w:rsidRDefault="00A53BCF" w:rsidP="00A53BCF">
            <w:pPr>
              <w:rPr>
                <w:rFonts w:cs="Calibri"/>
                <w:sz w:val="20"/>
                <w:szCs w:val="20"/>
              </w:rPr>
            </w:pPr>
          </w:p>
        </w:tc>
      </w:tr>
      <w:tr w:rsidR="00A53BCF" w:rsidRPr="002A602D" w:rsidTr="00A53BCF">
        <w:trPr>
          <w:trHeight w:val="300"/>
        </w:trPr>
        <w:tc>
          <w:tcPr>
            <w:tcW w:w="892" w:type="dxa"/>
            <w:vMerge/>
            <w:tcBorders>
              <w:top w:val="single" w:sz="4" w:space="0" w:color="auto"/>
              <w:left w:val="single" w:sz="4" w:space="0" w:color="auto"/>
              <w:bottom w:val="single" w:sz="4" w:space="0" w:color="auto"/>
              <w:right w:val="single" w:sz="4" w:space="0" w:color="auto"/>
            </w:tcBorders>
            <w:vAlign w:val="center"/>
            <w:hideMark/>
          </w:tcPr>
          <w:p w:rsidR="00A53BCF" w:rsidRDefault="00A53BCF" w:rsidP="00A53BCF">
            <w:pPr>
              <w:rPr>
                <w:rFonts w:cs="Calibri"/>
                <w:sz w:val="20"/>
                <w:szCs w:val="20"/>
              </w:rPr>
            </w:pPr>
          </w:p>
        </w:tc>
        <w:tc>
          <w:tcPr>
            <w:tcW w:w="658" w:type="dxa"/>
            <w:tcBorders>
              <w:top w:val="nil"/>
              <w:left w:val="nil"/>
              <w:bottom w:val="single" w:sz="4" w:space="0" w:color="auto"/>
              <w:right w:val="single" w:sz="4" w:space="0" w:color="auto"/>
            </w:tcBorders>
            <w:shd w:val="clear" w:color="000000" w:fill="EEEEEE"/>
            <w:hideMark/>
          </w:tcPr>
          <w:p w:rsidR="00A53BCF" w:rsidRDefault="00A53BCF" w:rsidP="00A53BCF">
            <w:pPr>
              <w:rPr>
                <w:rFonts w:cs="Calibri"/>
                <w:sz w:val="20"/>
                <w:szCs w:val="20"/>
              </w:rPr>
            </w:pPr>
            <w:r w:rsidRPr="00505442">
              <w:rPr>
                <w:rFonts w:cs="Calibri"/>
                <w:sz w:val="20"/>
                <w:szCs w:val="20"/>
              </w:rPr>
              <w:t>2001</w:t>
            </w:r>
          </w:p>
        </w:tc>
        <w:tc>
          <w:tcPr>
            <w:tcW w:w="658" w:type="dxa"/>
            <w:tcBorders>
              <w:top w:val="nil"/>
              <w:left w:val="nil"/>
              <w:bottom w:val="single" w:sz="4" w:space="0" w:color="auto"/>
              <w:right w:val="single" w:sz="4" w:space="0" w:color="auto"/>
            </w:tcBorders>
            <w:shd w:val="clear" w:color="000000" w:fill="EEEEEE"/>
            <w:hideMark/>
          </w:tcPr>
          <w:p w:rsidR="00A53BCF" w:rsidRDefault="00A53BCF" w:rsidP="00A53BCF">
            <w:pPr>
              <w:rPr>
                <w:rFonts w:cs="Calibri"/>
                <w:sz w:val="20"/>
                <w:szCs w:val="20"/>
              </w:rPr>
            </w:pPr>
            <w:r w:rsidRPr="00505442">
              <w:rPr>
                <w:rFonts w:cs="Calibri"/>
                <w:sz w:val="20"/>
                <w:szCs w:val="20"/>
              </w:rPr>
              <w:t>2002</w:t>
            </w:r>
          </w:p>
        </w:tc>
        <w:tc>
          <w:tcPr>
            <w:tcW w:w="758" w:type="dxa"/>
            <w:tcBorders>
              <w:top w:val="nil"/>
              <w:left w:val="nil"/>
              <w:bottom w:val="single" w:sz="4" w:space="0" w:color="auto"/>
              <w:right w:val="single" w:sz="4" w:space="0" w:color="auto"/>
            </w:tcBorders>
            <w:shd w:val="clear" w:color="000000" w:fill="EEEEEE"/>
            <w:hideMark/>
          </w:tcPr>
          <w:p w:rsidR="00A53BCF" w:rsidRDefault="00A53BCF" w:rsidP="00A53BCF">
            <w:pPr>
              <w:rPr>
                <w:rFonts w:cs="Calibri"/>
                <w:sz w:val="20"/>
                <w:szCs w:val="20"/>
              </w:rPr>
            </w:pPr>
            <w:r w:rsidRPr="00505442">
              <w:rPr>
                <w:rFonts w:cs="Calibri"/>
                <w:sz w:val="20"/>
                <w:szCs w:val="20"/>
              </w:rPr>
              <w:t>2003</w:t>
            </w:r>
          </w:p>
        </w:tc>
        <w:tc>
          <w:tcPr>
            <w:tcW w:w="599" w:type="dxa"/>
            <w:tcBorders>
              <w:top w:val="nil"/>
              <w:left w:val="nil"/>
              <w:bottom w:val="single" w:sz="4" w:space="0" w:color="auto"/>
              <w:right w:val="single" w:sz="4" w:space="0" w:color="auto"/>
            </w:tcBorders>
            <w:shd w:val="clear" w:color="000000" w:fill="EEEEEE"/>
            <w:hideMark/>
          </w:tcPr>
          <w:p w:rsidR="00A53BCF" w:rsidRDefault="00A53BCF" w:rsidP="00A53BCF">
            <w:pPr>
              <w:rPr>
                <w:rFonts w:cs="Calibri"/>
                <w:sz w:val="20"/>
                <w:szCs w:val="20"/>
              </w:rPr>
            </w:pPr>
            <w:r w:rsidRPr="00505442">
              <w:rPr>
                <w:rFonts w:cs="Calibri"/>
                <w:sz w:val="20"/>
                <w:szCs w:val="20"/>
              </w:rPr>
              <w:t>2004</w:t>
            </w:r>
          </w:p>
        </w:tc>
        <w:tc>
          <w:tcPr>
            <w:tcW w:w="758" w:type="dxa"/>
            <w:tcBorders>
              <w:top w:val="nil"/>
              <w:left w:val="nil"/>
              <w:bottom w:val="single" w:sz="4" w:space="0" w:color="auto"/>
              <w:right w:val="single" w:sz="4" w:space="0" w:color="auto"/>
            </w:tcBorders>
            <w:shd w:val="clear" w:color="000000" w:fill="EEEEEE"/>
            <w:hideMark/>
          </w:tcPr>
          <w:p w:rsidR="00A53BCF" w:rsidRDefault="00A53BCF" w:rsidP="00A53BCF">
            <w:pPr>
              <w:rPr>
                <w:rFonts w:cs="Calibri"/>
                <w:sz w:val="20"/>
                <w:szCs w:val="20"/>
              </w:rPr>
            </w:pPr>
            <w:r w:rsidRPr="00505442">
              <w:rPr>
                <w:rFonts w:cs="Calibri"/>
                <w:sz w:val="20"/>
                <w:szCs w:val="20"/>
              </w:rPr>
              <w:t>2005</w:t>
            </w:r>
          </w:p>
        </w:tc>
        <w:tc>
          <w:tcPr>
            <w:tcW w:w="638" w:type="dxa"/>
            <w:tcBorders>
              <w:top w:val="nil"/>
              <w:left w:val="nil"/>
              <w:bottom w:val="single" w:sz="4" w:space="0" w:color="auto"/>
              <w:right w:val="single" w:sz="4" w:space="0" w:color="auto"/>
            </w:tcBorders>
            <w:shd w:val="clear" w:color="000000" w:fill="EEEEEE"/>
            <w:hideMark/>
          </w:tcPr>
          <w:p w:rsidR="00A53BCF" w:rsidRDefault="00A53BCF" w:rsidP="00A53BCF">
            <w:pPr>
              <w:rPr>
                <w:rFonts w:cs="Calibri"/>
                <w:sz w:val="20"/>
                <w:szCs w:val="20"/>
              </w:rPr>
            </w:pPr>
            <w:r w:rsidRPr="00505442">
              <w:rPr>
                <w:rFonts w:cs="Calibri"/>
                <w:sz w:val="20"/>
                <w:szCs w:val="20"/>
              </w:rPr>
              <w:t>2006</w:t>
            </w:r>
          </w:p>
        </w:tc>
        <w:tc>
          <w:tcPr>
            <w:tcW w:w="718" w:type="dxa"/>
            <w:tcBorders>
              <w:top w:val="nil"/>
              <w:left w:val="nil"/>
              <w:bottom w:val="single" w:sz="4" w:space="0" w:color="auto"/>
              <w:right w:val="single" w:sz="4" w:space="0" w:color="auto"/>
            </w:tcBorders>
            <w:shd w:val="clear" w:color="000000" w:fill="EEEEEE"/>
            <w:hideMark/>
          </w:tcPr>
          <w:p w:rsidR="00A53BCF" w:rsidRDefault="00A53BCF" w:rsidP="00A53BCF">
            <w:pPr>
              <w:rPr>
                <w:rFonts w:cs="Calibri"/>
                <w:sz w:val="20"/>
                <w:szCs w:val="20"/>
              </w:rPr>
            </w:pPr>
            <w:r w:rsidRPr="00505442">
              <w:rPr>
                <w:rFonts w:cs="Calibri"/>
                <w:sz w:val="20"/>
                <w:szCs w:val="20"/>
              </w:rPr>
              <w:t>2007</w:t>
            </w:r>
          </w:p>
        </w:tc>
        <w:tc>
          <w:tcPr>
            <w:tcW w:w="738" w:type="dxa"/>
            <w:tcBorders>
              <w:top w:val="nil"/>
              <w:left w:val="nil"/>
              <w:bottom w:val="single" w:sz="4" w:space="0" w:color="auto"/>
              <w:right w:val="single" w:sz="4" w:space="0" w:color="auto"/>
            </w:tcBorders>
            <w:shd w:val="clear" w:color="000000" w:fill="EEEEEE"/>
            <w:hideMark/>
          </w:tcPr>
          <w:p w:rsidR="00A53BCF" w:rsidRDefault="00A53BCF" w:rsidP="00A53BCF">
            <w:pPr>
              <w:rPr>
                <w:rFonts w:cs="Calibri"/>
                <w:sz w:val="20"/>
                <w:szCs w:val="20"/>
              </w:rPr>
            </w:pPr>
            <w:r w:rsidRPr="00505442">
              <w:rPr>
                <w:rFonts w:cs="Calibri"/>
                <w:sz w:val="20"/>
                <w:szCs w:val="20"/>
              </w:rPr>
              <w:t>2008</w:t>
            </w:r>
          </w:p>
        </w:tc>
        <w:tc>
          <w:tcPr>
            <w:tcW w:w="718" w:type="dxa"/>
            <w:tcBorders>
              <w:top w:val="nil"/>
              <w:left w:val="nil"/>
              <w:bottom w:val="single" w:sz="4" w:space="0" w:color="auto"/>
              <w:right w:val="single" w:sz="4" w:space="0" w:color="auto"/>
            </w:tcBorders>
            <w:shd w:val="clear" w:color="000000" w:fill="EEEEEE"/>
            <w:hideMark/>
          </w:tcPr>
          <w:p w:rsidR="00A53BCF" w:rsidRDefault="00A53BCF" w:rsidP="00A53BCF">
            <w:pPr>
              <w:rPr>
                <w:rFonts w:cs="Calibri"/>
                <w:sz w:val="20"/>
                <w:szCs w:val="20"/>
              </w:rPr>
            </w:pPr>
            <w:r w:rsidRPr="00505442">
              <w:rPr>
                <w:rFonts w:cs="Calibri"/>
                <w:sz w:val="20"/>
                <w:szCs w:val="20"/>
              </w:rPr>
              <w:t>2009</w:t>
            </w:r>
          </w:p>
        </w:tc>
        <w:tc>
          <w:tcPr>
            <w:tcW w:w="738" w:type="dxa"/>
            <w:tcBorders>
              <w:top w:val="nil"/>
              <w:left w:val="nil"/>
              <w:bottom w:val="single" w:sz="4" w:space="0" w:color="auto"/>
              <w:right w:val="single" w:sz="4" w:space="0" w:color="auto"/>
            </w:tcBorders>
            <w:shd w:val="clear" w:color="000000" w:fill="EEEEEE"/>
            <w:hideMark/>
          </w:tcPr>
          <w:p w:rsidR="00A53BCF" w:rsidRDefault="00A53BCF" w:rsidP="00A53BCF">
            <w:pPr>
              <w:rPr>
                <w:rFonts w:cs="Calibri"/>
                <w:sz w:val="20"/>
                <w:szCs w:val="20"/>
              </w:rPr>
            </w:pPr>
            <w:r w:rsidRPr="00505442">
              <w:rPr>
                <w:rFonts w:cs="Calibri"/>
                <w:sz w:val="20"/>
                <w:szCs w:val="20"/>
              </w:rPr>
              <w:t>2010</w:t>
            </w:r>
          </w:p>
        </w:tc>
        <w:tc>
          <w:tcPr>
            <w:tcW w:w="698" w:type="dxa"/>
            <w:tcBorders>
              <w:top w:val="nil"/>
              <w:left w:val="nil"/>
              <w:bottom w:val="single" w:sz="4" w:space="0" w:color="auto"/>
              <w:right w:val="single" w:sz="4" w:space="0" w:color="auto"/>
            </w:tcBorders>
            <w:shd w:val="clear" w:color="000000" w:fill="EEEEEE"/>
            <w:hideMark/>
          </w:tcPr>
          <w:p w:rsidR="00A53BCF" w:rsidRDefault="00A53BCF" w:rsidP="00A53BCF">
            <w:pPr>
              <w:rPr>
                <w:rFonts w:cs="Calibri"/>
                <w:sz w:val="20"/>
                <w:szCs w:val="20"/>
              </w:rPr>
            </w:pPr>
            <w:r w:rsidRPr="00505442">
              <w:rPr>
                <w:rFonts w:cs="Calibri"/>
                <w:sz w:val="20"/>
                <w:szCs w:val="20"/>
              </w:rPr>
              <w:t>2011</w:t>
            </w:r>
          </w:p>
        </w:tc>
        <w:tc>
          <w:tcPr>
            <w:tcW w:w="586" w:type="dxa"/>
            <w:tcBorders>
              <w:top w:val="nil"/>
              <w:left w:val="nil"/>
              <w:bottom w:val="single" w:sz="4" w:space="0" w:color="auto"/>
              <w:right w:val="single" w:sz="4" w:space="0" w:color="auto"/>
            </w:tcBorders>
            <w:shd w:val="clear" w:color="000000" w:fill="EEEEEE"/>
          </w:tcPr>
          <w:p w:rsidR="00A53BCF" w:rsidRDefault="00A53BCF" w:rsidP="00A53BCF">
            <w:pPr>
              <w:rPr>
                <w:rFonts w:cs="Calibri"/>
                <w:sz w:val="20"/>
                <w:szCs w:val="20"/>
              </w:rPr>
            </w:pPr>
            <w:r w:rsidRPr="00505442">
              <w:rPr>
                <w:rFonts w:cs="Calibri"/>
                <w:sz w:val="20"/>
                <w:szCs w:val="20"/>
              </w:rPr>
              <w:t>2012</w:t>
            </w:r>
          </w:p>
        </w:tc>
      </w:tr>
      <w:tr w:rsidR="00A53BCF" w:rsidRPr="002A602D" w:rsidTr="00A53BCF">
        <w:trPr>
          <w:trHeight w:val="600"/>
        </w:trPr>
        <w:tc>
          <w:tcPr>
            <w:tcW w:w="892" w:type="dxa"/>
            <w:tcBorders>
              <w:top w:val="nil"/>
              <w:left w:val="single" w:sz="4" w:space="0" w:color="auto"/>
              <w:bottom w:val="single" w:sz="4" w:space="0" w:color="auto"/>
              <w:right w:val="single" w:sz="4" w:space="0" w:color="auto"/>
            </w:tcBorders>
            <w:shd w:val="clear" w:color="000000" w:fill="EEEEEE"/>
            <w:hideMark/>
          </w:tcPr>
          <w:p w:rsidR="00A53BCF" w:rsidRDefault="00A53BCF" w:rsidP="00A53BCF">
            <w:pPr>
              <w:rPr>
                <w:rFonts w:cs="Calibri"/>
                <w:sz w:val="20"/>
                <w:szCs w:val="20"/>
              </w:rPr>
            </w:pPr>
            <w:r w:rsidRPr="00505442">
              <w:rPr>
                <w:rFonts w:cs="Calibri"/>
                <w:sz w:val="20"/>
                <w:szCs w:val="20"/>
              </w:rPr>
              <w:t xml:space="preserve">Mestské regióny </w:t>
            </w:r>
          </w:p>
        </w:tc>
        <w:tc>
          <w:tcPr>
            <w:tcW w:w="658" w:type="dxa"/>
            <w:tcBorders>
              <w:top w:val="nil"/>
              <w:left w:val="nil"/>
              <w:bottom w:val="single" w:sz="4" w:space="0" w:color="auto"/>
              <w:right w:val="single" w:sz="4" w:space="0" w:color="auto"/>
            </w:tcBorders>
            <w:shd w:val="clear" w:color="000000" w:fill="E4ECF9"/>
            <w:noWrap/>
            <w:hideMark/>
          </w:tcPr>
          <w:p w:rsidR="00A53BCF" w:rsidRDefault="00A53BCF" w:rsidP="00A53BCF">
            <w:pPr>
              <w:rPr>
                <w:rFonts w:cs="Calibri"/>
                <w:sz w:val="20"/>
                <w:szCs w:val="20"/>
              </w:rPr>
            </w:pPr>
            <w:r w:rsidRPr="00505442">
              <w:rPr>
                <w:rFonts w:cs="Calibri"/>
                <w:sz w:val="20"/>
                <w:szCs w:val="20"/>
              </w:rPr>
              <w:t>2,52</w:t>
            </w:r>
          </w:p>
        </w:tc>
        <w:tc>
          <w:tcPr>
            <w:tcW w:w="658" w:type="dxa"/>
            <w:tcBorders>
              <w:top w:val="nil"/>
              <w:left w:val="nil"/>
              <w:bottom w:val="single" w:sz="4" w:space="0" w:color="auto"/>
              <w:right w:val="single" w:sz="4" w:space="0" w:color="auto"/>
            </w:tcBorders>
            <w:shd w:val="clear" w:color="000000" w:fill="E4ECF9"/>
            <w:noWrap/>
            <w:hideMark/>
          </w:tcPr>
          <w:p w:rsidR="00A53BCF" w:rsidRDefault="00A53BCF" w:rsidP="00A53BCF">
            <w:pPr>
              <w:rPr>
                <w:rFonts w:cs="Calibri"/>
                <w:sz w:val="20"/>
                <w:szCs w:val="20"/>
              </w:rPr>
            </w:pPr>
            <w:r w:rsidRPr="00505442">
              <w:rPr>
                <w:rFonts w:cs="Calibri"/>
                <w:sz w:val="20"/>
                <w:szCs w:val="20"/>
              </w:rPr>
              <w:t>3,06</w:t>
            </w:r>
          </w:p>
        </w:tc>
        <w:tc>
          <w:tcPr>
            <w:tcW w:w="758" w:type="dxa"/>
            <w:tcBorders>
              <w:top w:val="nil"/>
              <w:left w:val="nil"/>
              <w:bottom w:val="single" w:sz="4" w:space="0" w:color="auto"/>
              <w:right w:val="single" w:sz="4" w:space="0" w:color="auto"/>
            </w:tcBorders>
            <w:shd w:val="clear" w:color="000000" w:fill="E4ECF9"/>
            <w:noWrap/>
            <w:hideMark/>
          </w:tcPr>
          <w:p w:rsidR="00A53BCF" w:rsidRDefault="00A53BCF" w:rsidP="00A53BCF">
            <w:pPr>
              <w:rPr>
                <w:rFonts w:cs="Calibri"/>
                <w:sz w:val="20"/>
                <w:szCs w:val="20"/>
              </w:rPr>
            </w:pPr>
            <w:r w:rsidRPr="00505442">
              <w:rPr>
                <w:rFonts w:cs="Calibri"/>
                <w:sz w:val="20"/>
                <w:szCs w:val="20"/>
              </w:rPr>
              <w:t>3,21</w:t>
            </w:r>
          </w:p>
        </w:tc>
        <w:tc>
          <w:tcPr>
            <w:tcW w:w="599" w:type="dxa"/>
            <w:tcBorders>
              <w:top w:val="nil"/>
              <w:left w:val="nil"/>
              <w:bottom w:val="single" w:sz="4" w:space="0" w:color="auto"/>
              <w:right w:val="single" w:sz="4" w:space="0" w:color="auto"/>
            </w:tcBorders>
            <w:shd w:val="clear" w:color="000000" w:fill="E4ECF9"/>
            <w:noWrap/>
            <w:hideMark/>
          </w:tcPr>
          <w:p w:rsidR="00A53BCF" w:rsidRDefault="00A53BCF" w:rsidP="00A53BCF">
            <w:pPr>
              <w:rPr>
                <w:rFonts w:cs="Calibri"/>
                <w:sz w:val="20"/>
                <w:szCs w:val="20"/>
              </w:rPr>
            </w:pPr>
            <w:r w:rsidRPr="00505442">
              <w:rPr>
                <w:rFonts w:cs="Calibri"/>
                <w:sz w:val="20"/>
                <w:szCs w:val="20"/>
              </w:rPr>
              <w:t>3,17</w:t>
            </w:r>
          </w:p>
        </w:tc>
        <w:tc>
          <w:tcPr>
            <w:tcW w:w="758" w:type="dxa"/>
            <w:tcBorders>
              <w:top w:val="nil"/>
              <w:left w:val="nil"/>
              <w:bottom w:val="single" w:sz="4" w:space="0" w:color="auto"/>
              <w:right w:val="single" w:sz="4" w:space="0" w:color="auto"/>
            </w:tcBorders>
            <w:shd w:val="clear" w:color="000000" w:fill="E4ECF9"/>
            <w:noWrap/>
            <w:hideMark/>
          </w:tcPr>
          <w:p w:rsidR="00A53BCF" w:rsidRDefault="00A53BCF" w:rsidP="00A53BCF">
            <w:pPr>
              <w:rPr>
                <w:rFonts w:cs="Calibri"/>
                <w:sz w:val="20"/>
                <w:szCs w:val="20"/>
              </w:rPr>
            </w:pPr>
            <w:r w:rsidRPr="00505442">
              <w:rPr>
                <w:rFonts w:cs="Calibri"/>
                <w:sz w:val="20"/>
                <w:szCs w:val="20"/>
              </w:rPr>
              <w:t>3,41</w:t>
            </w:r>
          </w:p>
        </w:tc>
        <w:tc>
          <w:tcPr>
            <w:tcW w:w="638" w:type="dxa"/>
            <w:tcBorders>
              <w:top w:val="nil"/>
              <w:left w:val="nil"/>
              <w:bottom w:val="single" w:sz="4" w:space="0" w:color="auto"/>
              <w:right w:val="single" w:sz="4" w:space="0" w:color="auto"/>
            </w:tcBorders>
            <w:shd w:val="clear" w:color="000000" w:fill="E4ECF9"/>
            <w:noWrap/>
            <w:hideMark/>
          </w:tcPr>
          <w:p w:rsidR="00A53BCF" w:rsidRDefault="00A53BCF" w:rsidP="00A53BCF">
            <w:pPr>
              <w:rPr>
                <w:rFonts w:cs="Calibri"/>
                <w:sz w:val="20"/>
                <w:szCs w:val="20"/>
              </w:rPr>
            </w:pPr>
            <w:r w:rsidRPr="00505442">
              <w:rPr>
                <w:rFonts w:cs="Calibri"/>
                <w:sz w:val="20"/>
                <w:szCs w:val="20"/>
              </w:rPr>
              <w:t>3,17</w:t>
            </w:r>
          </w:p>
        </w:tc>
        <w:tc>
          <w:tcPr>
            <w:tcW w:w="718" w:type="dxa"/>
            <w:tcBorders>
              <w:top w:val="nil"/>
              <w:left w:val="nil"/>
              <w:bottom w:val="single" w:sz="4" w:space="0" w:color="auto"/>
              <w:right w:val="single" w:sz="4" w:space="0" w:color="auto"/>
            </w:tcBorders>
            <w:shd w:val="clear" w:color="000000" w:fill="E4ECF9"/>
            <w:noWrap/>
            <w:hideMark/>
          </w:tcPr>
          <w:p w:rsidR="00A53BCF" w:rsidRDefault="00A53BCF" w:rsidP="00A53BCF">
            <w:pPr>
              <w:rPr>
                <w:rFonts w:cs="Calibri"/>
                <w:sz w:val="20"/>
                <w:szCs w:val="20"/>
              </w:rPr>
            </w:pPr>
            <w:r w:rsidRPr="00505442">
              <w:rPr>
                <w:rFonts w:cs="Calibri"/>
                <w:sz w:val="20"/>
                <w:szCs w:val="20"/>
              </w:rPr>
              <w:t>3,37</w:t>
            </w:r>
          </w:p>
        </w:tc>
        <w:tc>
          <w:tcPr>
            <w:tcW w:w="738" w:type="dxa"/>
            <w:tcBorders>
              <w:top w:val="nil"/>
              <w:left w:val="nil"/>
              <w:bottom w:val="single" w:sz="4" w:space="0" w:color="auto"/>
              <w:right w:val="single" w:sz="4" w:space="0" w:color="auto"/>
            </w:tcBorders>
            <w:shd w:val="clear" w:color="000000" w:fill="E4ECF9"/>
            <w:noWrap/>
            <w:hideMark/>
          </w:tcPr>
          <w:p w:rsidR="00A53BCF" w:rsidRDefault="00A53BCF" w:rsidP="00A53BCF">
            <w:pPr>
              <w:rPr>
                <w:rFonts w:cs="Calibri"/>
                <w:sz w:val="20"/>
                <w:szCs w:val="20"/>
              </w:rPr>
            </w:pPr>
            <w:r w:rsidRPr="00505442">
              <w:rPr>
                <w:rFonts w:cs="Calibri"/>
                <w:sz w:val="20"/>
                <w:szCs w:val="20"/>
              </w:rPr>
              <w:t>3,40</w:t>
            </w:r>
          </w:p>
        </w:tc>
        <w:tc>
          <w:tcPr>
            <w:tcW w:w="718" w:type="dxa"/>
            <w:tcBorders>
              <w:top w:val="nil"/>
              <w:left w:val="nil"/>
              <w:bottom w:val="single" w:sz="4" w:space="0" w:color="auto"/>
              <w:right w:val="single" w:sz="4" w:space="0" w:color="auto"/>
            </w:tcBorders>
            <w:shd w:val="clear" w:color="000000" w:fill="E4ECF9"/>
            <w:noWrap/>
            <w:hideMark/>
          </w:tcPr>
          <w:p w:rsidR="00A53BCF" w:rsidRDefault="00A53BCF" w:rsidP="00A53BCF">
            <w:pPr>
              <w:rPr>
                <w:rFonts w:cs="Calibri"/>
                <w:sz w:val="20"/>
                <w:szCs w:val="20"/>
              </w:rPr>
            </w:pPr>
            <w:r w:rsidRPr="00505442">
              <w:rPr>
                <w:rFonts w:cs="Calibri"/>
                <w:sz w:val="20"/>
                <w:szCs w:val="20"/>
              </w:rPr>
              <w:t>3,62</w:t>
            </w:r>
          </w:p>
        </w:tc>
        <w:tc>
          <w:tcPr>
            <w:tcW w:w="738" w:type="dxa"/>
            <w:tcBorders>
              <w:top w:val="nil"/>
              <w:left w:val="nil"/>
              <w:bottom w:val="single" w:sz="4" w:space="0" w:color="auto"/>
              <w:right w:val="single" w:sz="4" w:space="0" w:color="auto"/>
            </w:tcBorders>
            <w:shd w:val="clear" w:color="000000" w:fill="E4ECF9"/>
            <w:noWrap/>
            <w:hideMark/>
          </w:tcPr>
          <w:p w:rsidR="00A53BCF" w:rsidRDefault="00A53BCF" w:rsidP="00A53BCF">
            <w:pPr>
              <w:rPr>
                <w:rFonts w:cs="Calibri"/>
                <w:sz w:val="20"/>
                <w:szCs w:val="20"/>
              </w:rPr>
            </w:pPr>
            <w:r w:rsidRPr="00505442">
              <w:rPr>
                <w:rFonts w:cs="Calibri"/>
                <w:sz w:val="20"/>
                <w:szCs w:val="20"/>
              </w:rPr>
              <w:t>3,71</w:t>
            </w:r>
          </w:p>
        </w:tc>
        <w:tc>
          <w:tcPr>
            <w:tcW w:w="698" w:type="dxa"/>
            <w:tcBorders>
              <w:top w:val="nil"/>
              <w:left w:val="nil"/>
              <w:bottom w:val="single" w:sz="4" w:space="0" w:color="auto"/>
              <w:right w:val="single" w:sz="4" w:space="0" w:color="auto"/>
            </w:tcBorders>
            <w:shd w:val="clear" w:color="000000" w:fill="E4ECF9"/>
            <w:noWrap/>
            <w:hideMark/>
          </w:tcPr>
          <w:p w:rsidR="00A53BCF" w:rsidRDefault="00A53BCF" w:rsidP="00A53BCF">
            <w:pPr>
              <w:rPr>
                <w:rFonts w:cs="Calibri"/>
                <w:sz w:val="20"/>
                <w:szCs w:val="20"/>
              </w:rPr>
            </w:pPr>
            <w:r w:rsidRPr="00505442">
              <w:rPr>
                <w:rFonts w:cs="Calibri"/>
                <w:sz w:val="20"/>
                <w:szCs w:val="20"/>
              </w:rPr>
              <w:t>4,30</w:t>
            </w:r>
          </w:p>
        </w:tc>
        <w:tc>
          <w:tcPr>
            <w:tcW w:w="586" w:type="dxa"/>
            <w:tcBorders>
              <w:top w:val="nil"/>
              <w:left w:val="nil"/>
              <w:bottom w:val="single" w:sz="4" w:space="0" w:color="auto"/>
              <w:right w:val="single" w:sz="4" w:space="0" w:color="auto"/>
            </w:tcBorders>
            <w:shd w:val="clear" w:color="000000" w:fill="E4ECF9"/>
          </w:tcPr>
          <w:p w:rsidR="00A53BCF" w:rsidRDefault="00A53BCF" w:rsidP="00A53BCF">
            <w:pPr>
              <w:rPr>
                <w:rFonts w:cs="Calibri"/>
                <w:sz w:val="20"/>
                <w:szCs w:val="20"/>
              </w:rPr>
            </w:pPr>
            <w:r w:rsidRPr="00505442">
              <w:rPr>
                <w:rFonts w:cs="Calibri"/>
                <w:sz w:val="20"/>
                <w:szCs w:val="20"/>
              </w:rPr>
              <w:t>4,30</w:t>
            </w:r>
          </w:p>
        </w:tc>
      </w:tr>
      <w:tr w:rsidR="00A53BCF" w:rsidRPr="002A602D" w:rsidTr="00A53BCF">
        <w:trPr>
          <w:trHeight w:val="600"/>
        </w:trPr>
        <w:tc>
          <w:tcPr>
            <w:tcW w:w="892" w:type="dxa"/>
            <w:tcBorders>
              <w:top w:val="nil"/>
              <w:left w:val="single" w:sz="4" w:space="0" w:color="auto"/>
              <w:bottom w:val="single" w:sz="4" w:space="0" w:color="auto"/>
              <w:right w:val="single" w:sz="4" w:space="0" w:color="auto"/>
            </w:tcBorders>
            <w:shd w:val="clear" w:color="000000" w:fill="EEEEEE"/>
            <w:hideMark/>
          </w:tcPr>
          <w:p w:rsidR="00A53BCF" w:rsidRDefault="00A53BCF" w:rsidP="00A53BCF">
            <w:pPr>
              <w:rPr>
                <w:rFonts w:cs="Calibri"/>
                <w:sz w:val="20"/>
                <w:szCs w:val="20"/>
              </w:rPr>
            </w:pPr>
            <w:r w:rsidRPr="00505442">
              <w:rPr>
                <w:rFonts w:cs="Calibri"/>
                <w:sz w:val="20"/>
                <w:szCs w:val="20"/>
              </w:rPr>
              <w:t>Vidiecke regióny</w:t>
            </w:r>
          </w:p>
        </w:tc>
        <w:tc>
          <w:tcPr>
            <w:tcW w:w="658" w:type="dxa"/>
            <w:tcBorders>
              <w:top w:val="nil"/>
              <w:left w:val="nil"/>
              <w:bottom w:val="single" w:sz="4" w:space="0" w:color="auto"/>
              <w:right w:val="single" w:sz="4" w:space="0" w:color="auto"/>
            </w:tcBorders>
            <w:shd w:val="clear" w:color="auto" w:fill="auto"/>
            <w:noWrap/>
            <w:vAlign w:val="bottom"/>
            <w:hideMark/>
          </w:tcPr>
          <w:p w:rsidR="00A53BCF" w:rsidRDefault="00A53BCF" w:rsidP="00A53BCF">
            <w:pPr>
              <w:rPr>
                <w:rFonts w:cs="Calibri"/>
                <w:sz w:val="20"/>
                <w:szCs w:val="20"/>
              </w:rPr>
            </w:pPr>
            <w:r w:rsidRPr="00505442">
              <w:rPr>
                <w:rFonts w:cs="Calibri"/>
                <w:sz w:val="20"/>
                <w:szCs w:val="20"/>
              </w:rPr>
              <w:t>3,28</w:t>
            </w:r>
          </w:p>
        </w:tc>
        <w:tc>
          <w:tcPr>
            <w:tcW w:w="658" w:type="dxa"/>
            <w:tcBorders>
              <w:top w:val="nil"/>
              <w:left w:val="nil"/>
              <w:bottom w:val="single" w:sz="4" w:space="0" w:color="auto"/>
              <w:right w:val="single" w:sz="4" w:space="0" w:color="auto"/>
            </w:tcBorders>
            <w:shd w:val="clear" w:color="auto" w:fill="auto"/>
            <w:noWrap/>
            <w:vAlign w:val="bottom"/>
            <w:hideMark/>
          </w:tcPr>
          <w:p w:rsidR="00A53BCF" w:rsidRDefault="00A53BCF" w:rsidP="00A53BCF">
            <w:pPr>
              <w:rPr>
                <w:rFonts w:cs="Calibri"/>
                <w:sz w:val="20"/>
                <w:szCs w:val="20"/>
              </w:rPr>
            </w:pPr>
            <w:r w:rsidRPr="00505442">
              <w:rPr>
                <w:rFonts w:cs="Calibri"/>
                <w:sz w:val="20"/>
                <w:szCs w:val="20"/>
              </w:rPr>
              <w:t>3,25</w:t>
            </w:r>
          </w:p>
        </w:tc>
        <w:tc>
          <w:tcPr>
            <w:tcW w:w="758" w:type="dxa"/>
            <w:tcBorders>
              <w:top w:val="nil"/>
              <w:left w:val="nil"/>
              <w:bottom w:val="single" w:sz="4" w:space="0" w:color="auto"/>
              <w:right w:val="single" w:sz="4" w:space="0" w:color="auto"/>
            </w:tcBorders>
            <w:shd w:val="clear" w:color="auto" w:fill="auto"/>
            <w:noWrap/>
            <w:vAlign w:val="bottom"/>
            <w:hideMark/>
          </w:tcPr>
          <w:p w:rsidR="00A53BCF" w:rsidRDefault="00A53BCF" w:rsidP="00A53BCF">
            <w:pPr>
              <w:rPr>
                <w:rFonts w:cs="Calibri"/>
                <w:sz w:val="20"/>
                <w:szCs w:val="20"/>
              </w:rPr>
            </w:pPr>
            <w:r w:rsidRPr="00505442">
              <w:rPr>
                <w:rFonts w:cs="Calibri"/>
                <w:sz w:val="20"/>
                <w:szCs w:val="20"/>
              </w:rPr>
              <w:t>3,26</w:t>
            </w:r>
          </w:p>
        </w:tc>
        <w:tc>
          <w:tcPr>
            <w:tcW w:w="599" w:type="dxa"/>
            <w:tcBorders>
              <w:top w:val="nil"/>
              <w:left w:val="nil"/>
              <w:bottom w:val="single" w:sz="4" w:space="0" w:color="auto"/>
              <w:right w:val="single" w:sz="4" w:space="0" w:color="auto"/>
            </w:tcBorders>
            <w:shd w:val="clear" w:color="auto" w:fill="auto"/>
            <w:noWrap/>
            <w:vAlign w:val="bottom"/>
            <w:hideMark/>
          </w:tcPr>
          <w:p w:rsidR="00A53BCF" w:rsidRDefault="00A53BCF" w:rsidP="00A53BCF">
            <w:pPr>
              <w:rPr>
                <w:rFonts w:cs="Calibri"/>
                <w:sz w:val="20"/>
                <w:szCs w:val="20"/>
              </w:rPr>
            </w:pPr>
            <w:r w:rsidRPr="00505442">
              <w:rPr>
                <w:rFonts w:cs="Calibri"/>
                <w:sz w:val="20"/>
                <w:szCs w:val="20"/>
              </w:rPr>
              <w:t>3,32</w:t>
            </w:r>
          </w:p>
        </w:tc>
        <w:tc>
          <w:tcPr>
            <w:tcW w:w="758" w:type="dxa"/>
            <w:tcBorders>
              <w:top w:val="nil"/>
              <w:left w:val="nil"/>
              <w:bottom w:val="single" w:sz="4" w:space="0" w:color="auto"/>
              <w:right w:val="single" w:sz="4" w:space="0" w:color="auto"/>
            </w:tcBorders>
            <w:shd w:val="clear" w:color="auto" w:fill="auto"/>
            <w:noWrap/>
            <w:vAlign w:val="bottom"/>
            <w:hideMark/>
          </w:tcPr>
          <w:p w:rsidR="00A53BCF" w:rsidRDefault="00A53BCF" w:rsidP="00A53BCF">
            <w:pPr>
              <w:rPr>
                <w:rFonts w:cs="Calibri"/>
                <w:sz w:val="20"/>
                <w:szCs w:val="20"/>
              </w:rPr>
            </w:pPr>
            <w:r w:rsidRPr="00505442">
              <w:rPr>
                <w:rFonts w:cs="Calibri"/>
                <w:sz w:val="20"/>
                <w:szCs w:val="20"/>
              </w:rPr>
              <w:t>3,25</w:t>
            </w:r>
          </w:p>
        </w:tc>
        <w:tc>
          <w:tcPr>
            <w:tcW w:w="638" w:type="dxa"/>
            <w:tcBorders>
              <w:top w:val="nil"/>
              <w:left w:val="nil"/>
              <w:bottom w:val="single" w:sz="4" w:space="0" w:color="auto"/>
              <w:right w:val="single" w:sz="4" w:space="0" w:color="auto"/>
            </w:tcBorders>
            <w:shd w:val="clear" w:color="auto" w:fill="auto"/>
            <w:noWrap/>
            <w:vAlign w:val="bottom"/>
            <w:hideMark/>
          </w:tcPr>
          <w:p w:rsidR="00A53BCF" w:rsidRDefault="00A53BCF" w:rsidP="00A53BCF">
            <w:pPr>
              <w:rPr>
                <w:rFonts w:cs="Calibri"/>
                <w:sz w:val="20"/>
                <w:szCs w:val="20"/>
              </w:rPr>
            </w:pPr>
            <w:r w:rsidRPr="00505442">
              <w:rPr>
                <w:rFonts w:cs="Calibri"/>
                <w:sz w:val="20"/>
                <w:szCs w:val="20"/>
              </w:rPr>
              <w:t>2,97</w:t>
            </w:r>
          </w:p>
        </w:tc>
        <w:tc>
          <w:tcPr>
            <w:tcW w:w="718" w:type="dxa"/>
            <w:tcBorders>
              <w:top w:val="nil"/>
              <w:left w:val="nil"/>
              <w:bottom w:val="single" w:sz="4" w:space="0" w:color="auto"/>
              <w:right w:val="single" w:sz="4" w:space="0" w:color="auto"/>
            </w:tcBorders>
            <w:shd w:val="clear" w:color="auto" w:fill="auto"/>
            <w:noWrap/>
            <w:vAlign w:val="bottom"/>
            <w:hideMark/>
          </w:tcPr>
          <w:p w:rsidR="00A53BCF" w:rsidRDefault="00A53BCF" w:rsidP="00A53BCF">
            <w:pPr>
              <w:rPr>
                <w:rFonts w:cs="Calibri"/>
                <w:sz w:val="20"/>
                <w:szCs w:val="20"/>
              </w:rPr>
            </w:pPr>
            <w:r w:rsidRPr="00505442">
              <w:rPr>
                <w:rFonts w:cs="Calibri"/>
                <w:sz w:val="20"/>
                <w:szCs w:val="20"/>
              </w:rPr>
              <w:t>3,35</w:t>
            </w:r>
          </w:p>
        </w:tc>
        <w:tc>
          <w:tcPr>
            <w:tcW w:w="738" w:type="dxa"/>
            <w:tcBorders>
              <w:top w:val="nil"/>
              <w:left w:val="nil"/>
              <w:bottom w:val="single" w:sz="4" w:space="0" w:color="auto"/>
              <w:right w:val="single" w:sz="4" w:space="0" w:color="auto"/>
            </w:tcBorders>
            <w:shd w:val="clear" w:color="auto" w:fill="auto"/>
            <w:noWrap/>
            <w:vAlign w:val="bottom"/>
            <w:hideMark/>
          </w:tcPr>
          <w:p w:rsidR="00A53BCF" w:rsidRDefault="00A53BCF" w:rsidP="00A53BCF">
            <w:pPr>
              <w:rPr>
                <w:rFonts w:cs="Calibri"/>
                <w:sz w:val="20"/>
                <w:szCs w:val="20"/>
              </w:rPr>
            </w:pPr>
            <w:r w:rsidRPr="00505442">
              <w:rPr>
                <w:rFonts w:cs="Calibri"/>
                <w:sz w:val="20"/>
                <w:szCs w:val="20"/>
              </w:rPr>
              <w:t>3,48</w:t>
            </w:r>
          </w:p>
        </w:tc>
        <w:tc>
          <w:tcPr>
            <w:tcW w:w="718" w:type="dxa"/>
            <w:tcBorders>
              <w:top w:val="nil"/>
              <w:left w:val="nil"/>
              <w:bottom w:val="single" w:sz="4" w:space="0" w:color="auto"/>
              <w:right w:val="single" w:sz="4" w:space="0" w:color="auto"/>
            </w:tcBorders>
            <w:shd w:val="clear" w:color="auto" w:fill="auto"/>
            <w:noWrap/>
            <w:vAlign w:val="bottom"/>
            <w:hideMark/>
          </w:tcPr>
          <w:p w:rsidR="00A53BCF" w:rsidRDefault="00A53BCF" w:rsidP="00A53BCF">
            <w:pPr>
              <w:rPr>
                <w:rFonts w:cs="Calibri"/>
                <w:sz w:val="20"/>
                <w:szCs w:val="20"/>
              </w:rPr>
            </w:pPr>
            <w:r w:rsidRPr="00505442">
              <w:rPr>
                <w:rFonts w:cs="Calibri"/>
                <w:sz w:val="20"/>
                <w:szCs w:val="20"/>
              </w:rPr>
              <w:t>3,43</w:t>
            </w:r>
          </w:p>
        </w:tc>
        <w:tc>
          <w:tcPr>
            <w:tcW w:w="738" w:type="dxa"/>
            <w:tcBorders>
              <w:top w:val="nil"/>
              <w:left w:val="nil"/>
              <w:bottom w:val="single" w:sz="4" w:space="0" w:color="auto"/>
              <w:right w:val="single" w:sz="4" w:space="0" w:color="auto"/>
            </w:tcBorders>
            <w:shd w:val="clear" w:color="auto" w:fill="auto"/>
            <w:noWrap/>
            <w:vAlign w:val="bottom"/>
            <w:hideMark/>
          </w:tcPr>
          <w:p w:rsidR="00A53BCF" w:rsidRDefault="00A53BCF" w:rsidP="00A53BCF">
            <w:pPr>
              <w:rPr>
                <w:rFonts w:cs="Calibri"/>
                <w:sz w:val="20"/>
                <w:szCs w:val="20"/>
              </w:rPr>
            </w:pPr>
            <w:r w:rsidRPr="00505442">
              <w:rPr>
                <w:rFonts w:cs="Calibri"/>
                <w:sz w:val="20"/>
                <w:szCs w:val="20"/>
              </w:rPr>
              <w:t>3,34</w:t>
            </w:r>
          </w:p>
        </w:tc>
        <w:tc>
          <w:tcPr>
            <w:tcW w:w="698" w:type="dxa"/>
            <w:tcBorders>
              <w:top w:val="nil"/>
              <w:left w:val="nil"/>
              <w:bottom w:val="single" w:sz="4" w:space="0" w:color="auto"/>
              <w:right w:val="single" w:sz="4" w:space="0" w:color="auto"/>
            </w:tcBorders>
            <w:shd w:val="clear" w:color="auto" w:fill="auto"/>
            <w:noWrap/>
            <w:vAlign w:val="bottom"/>
            <w:hideMark/>
          </w:tcPr>
          <w:p w:rsidR="00A53BCF" w:rsidRDefault="00A53BCF" w:rsidP="00A53BCF">
            <w:pPr>
              <w:rPr>
                <w:rFonts w:cs="Calibri"/>
                <w:sz w:val="20"/>
                <w:szCs w:val="20"/>
              </w:rPr>
            </w:pPr>
            <w:r w:rsidRPr="00505442">
              <w:rPr>
                <w:rFonts w:cs="Calibri"/>
                <w:sz w:val="20"/>
                <w:szCs w:val="20"/>
              </w:rPr>
              <w:t>3,34</w:t>
            </w:r>
          </w:p>
        </w:tc>
        <w:tc>
          <w:tcPr>
            <w:tcW w:w="586" w:type="dxa"/>
            <w:tcBorders>
              <w:top w:val="nil"/>
              <w:left w:val="nil"/>
              <w:bottom w:val="single" w:sz="4" w:space="0" w:color="auto"/>
              <w:right w:val="single" w:sz="4" w:space="0" w:color="auto"/>
            </w:tcBorders>
            <w:vAlign w:val="bottom"/>
          </w:tcPr>
          <w:p w:rsidR="00A53BCF" w:rsidRDefault="00A53BCF" w:rsidP="00A53BCF">
            <w:pPr>
              <w:rPr>
                <w:rFonts w:cs="Calibri"/>
                <w:sz w:val="20"/>
                <w:szCs w:val="20"/>
              </w:rPr>
            </w:pPr>
            <w:r w:rsidRPr="00505442">
              <w:rPr>
                <w:rFonts w:cs="Calibri"/>
                <w:sz w:val="20"/>
                <w:szCs w:val="20"/>
              </w:rPr>
              <w:t>2,9</w:t>
            </w:r>
          </w:p>
        </w:tc>
      </w:tr>
      <w:tr w:rsidR="00A53BCF" w:rsidRPr="002A602D" w:rsidTr="00A53BCF">
        <w:trPr>
          <w:trHeight w:val="300"/>
        </w:trPr>
        <w:tc>
          <w:tcPr>
            <w:tcW w:w="892" w:type="dxa"/>
            <w:tcBorders>
              <w:top w:val="nil"/>
              <w:left w:val="single" w:sz="4" w:space="0" w:color="auto"/>
              <w:bottom w:val="single" w:sz="4" w:space="0" w:color="auto"/>
              <w:right w:val="single" w:sz="4" w:space="0" w:color="auto"/>
            </w:tcBorders>
            <w:shd w:val="clear" w:color="000000" w:fill="EEEEEE"/>
            <w:hideMark/>
          </w:tcPr>
          <w:p w:rsidR="00A53BCF" w:rsidRDefault="00A53BCF" w:rsidP="00A53BCF">
            <w:pPr>
              <w:rPr>
                <w:rFonts w:cs="Calibri"/>
                <w:sz w:val="20"/>
                <w:szCs w:val="20"/>
              </w:rPr>
            </w:pPr>
            <w:r w:rsidRPr="00505442">
              <w:rPr>
                <w:rFonts w:cs="Calibri"/>
                <w:sz w:val="20"/>
                <w:szCs w:val="20"/>
              </w:rPr>
              <w:t>SR Spolu</w:t>
            </w:r>
          </w:p>
        </w:tc>
        <w:tc>
          <w:tcPr>
            <w:tcW w:w="658" w:type="dxa"/>
            <w:tcBorders>
              <w:top w:val="nil"/>
              <w:left w:val="nil"/>
              <w:bottom w:val="single" w:sz="4" w:space="0" w:color="auto"/>
              <w:right w:val="single" w:sz="4" w:space="0" w:color="auto"/>
            </w:tcBorders>
            <w:shd w:val="clear" w:color="auto" w:fill="auto"/>
            <w:noWrap/>
            <w:vAlign w:val="bottom"/>
            <w:hideMark/>
          </w:tcPr>
          <w:p w:rsidR="00A53BCF" w:rsidRDefault="00A53BCF" w:rsidP="00A53BCF">
            <w:pPr>
              <w:rPr>
                <w:rFonts w:cs="Calibri"/>
                <w:sz w:val="20"/>
                <w:szCs w:val="20"/>
              </w:rPr>
            </w:pPr>
            <w:r w:rsidRPr="00505442">
              <w:rPr>
                <w:rFonts w:cs="Calibri"/>
                <w:sz w:val="20"/>
                <w:szCs w:val="20"/>
              </w:rPr>
              <w:t>3,19</w:t>
            </w:r>
          </w:p>
        </w:tc>
        <w:tc>
          <w:tcPr>
            <w:tcW w:w="658" w:type="dxa"/>
            <w:tcBorders>
              <w:top w:val="nil"/>
              <w:left w:val="nil"/>
              <w:bottom w:val="single" w:sz="4" w:space="0" w:color="auto"/>
              <w:right w:val="single" w:sz="4" w:space="0" w:color="auto"/>
            </w:tcBorders>
            <w:shd w:val="clear" w:color="auto" w:fill="auto"/>
            <w:noWrap/>
            <w:vAlign w:val="bottom"/>
            <w:hideMark/>
          </w:tcPr>
          <w:p w:rsidR="00A53BCF" w:rsidRDefault="00A53BCF" w:rsidP="00A53BCF">
            <w:pPr>
              <w:rPr>
                <w:rFonts w:cs="Calibri"/>
                <w:sz w:val="20"/>
                <w:szCs w:val="20"/>
              </w:rPr>
            </w:pPr>
            <w:r w:rsidRPr="00505442">
              <w:rPr>
                <w:rFonts w:cs="Calibri"/>
                <w:sz w:val="20"/>
                <w:szCs w:val="20"/>
              </w:rPr>
              <w:t>3,23</w:t>
            </w:r>
          </w:p>
        </w:tc>
        <w:tc>
          <w:tcPr>
            <w:tcW w:w="758" w:type="dxa"/>
            <w:tcBorders>
              <w:top w:val="nil"/>
              <w:left w:val="nil"/>
              <w:bottom w:val="single" w:sz="4" w:space="0" w:color="auto"/>
              <w:right w:val="single" w:sz="4" w:space="0" w:color="auto"/>
            </w:tcBorders>
            <w:shd w:val="clear" w:color="auto" w:fill="auto"/>
            <w:noWrap/>
            <w:vAlign w:val="bottom"/>
            <w:hideMark/>
          </w:tcPr>
          <w:p w:rsidR="00A53BCF" w:rsidRDefault="00A53BCF" w:rsidP="00A53BCF">
            <w:pPr>
              <w:rPr>
                <w:rFonts w:cs="Calibri"/>
                <w:sz w:val="20"/>
                <w:szCs w:val="20"/>
              </w:rPr>
            </w:pPr>
            <w:r w:rsidRPr="00505442">
              <w:rPr>
                <w:rFonts w:cs="Calibri"/>
                <w:sz w:val="20"/>
                <w:szCs w:val="20"/>
              </w:rPr>
              <w:t>3,26</w:t>
            </w:r>
          </w:p>
        </w:tc>
        <w:tc>
          <w:tcPr>
            <w:tcW w:w="599" w:type="dxa"/>
            <w:tcBorders>
              <w:top w:val="nil"/>
              <w:left w:val="nil"/>
              <w:bottom w:val="single" w:sz="4" w:space="0" w:color="auto"/>
              <w:right w:val="single" w:sz="4" w:space="0" w:color="auto"/>
            </w:tcBorders>
            <w:shd w:val="clear" w:color="auto" w:fill="auto"/>
            <w:noWrap/>
            <w:vAlign w:val="bottom"/>
            <w:hideMark/>
          </w:tcPr>
          <w:p w:rsidR="00A53BCF" w:rsidRDefault="00A53BCF" w:rsidP="00A53BCF">
            <w:pPr>
              <w:rPr>
                <w:rFonts w:cs="Calibri"/>
                <w:sz w:val="20"/>
                <w:szCs w:val="20"/>
              </w:rPr>
            </w:pPr>
            <w:r w:rsidRPr="00505442">
              <w:rPr>
                <w:rFonts w:cs="Calibri"/>
                <w:sz w:val="20"/>
                <w:szCs w:val="20"/>
              </w:rPr>
              <w:t>3,30</w:t>
            </w:r>
          </w:p>
        </w:tc>
        <w:tc>
          <w:tcPr>
            <w:tcW w:w="758" w:type="dxa"/>
            <w:tcBorders>
              <w:top w:val="nil"/>
              <w:left w:val="nil"/>
              <w:bottom w:val="single" w:sz="4" w:space="0" w:color="auto"/>
              <w:right w:val="single" w:sz="4" w:space="0" w:color="auto"/>
            </w:tcBorders>
            <w:shd w:val="clear" w:color="auto" w:fill="auto"/>
            <w:noWrap/>
            <w:vAlign w:val="bottom"/>
            <w:hideMark/>
          </w:tcPr>
          <w:p w:rsidR="00A53BCF" w:rsidRDefault="00A53BCF" w:rsidP="00A53BCF">
            <w:pPr>
              <w:rPr>
                <w:rFonts w:cs="Calibri"/>
                <w:sz w:val="20"/>
                <w:szCs w:val="20"/>
              </w:rPr>
            </w:pPr>
            <w:r w:rsidRPr="00505442">
              <w:rPr>
                <w:rFonts w:cs="Calibri"/>
                <w:sz w:val="20"/>
                <w:szCs w:val="20"/>
              </w:rPr>
              <w:t>3,27</w:t>
            </w:r>
          </w:p>
        </w:tc>
        <w:tc>
          <w:tcPr>
            <w:tcW w:w="638" w:type="dxa"/>
            <w:tcBorders>
              <w:top w:val="nil"/>
              <w:left w:val="nil"/>
              <w:bottom w:val="single" w:sz="4" w:space="0" w:color="auto"/>
              <w:right w:val="single" w:sz="4" w:space="0" w:color="auto"/>
            </w:tcBorders>
            <w:shd w:val="clear" w:color="auto" w:fill="auto"/>
            <w:noWrap/>
            <w:vAlign w:val="bottom"/>
            <w:hideMark/>
          </w:tcPr>
          <w:p w:rsidR="00A53BCF" w:rsidRDefault="00A53BCF" w:rsidP="00A53BCF">
            <w:pPr>
              <w:rPr>
                <w:rFonts w:cs="Calibri"/>
                <w:sz w:val="20"/>
                <w:szCs w:val="20"/>
              </w:rPr>
            </w:pPr>
            <w:r w:rsidRPr="00505442">
              <w:rPr>
                <w:rFonts w:cs="Calibri"/>
                <w:sz w:val="20"/>
                <w:szCs w:val="20"/>
              </w:rPr>
              <w:t>2,99</w:t>
            </w:r>
          </w:p>
        </w:tc>
        <w:tc>
          <w:tcPr>
            <w:tcW w:w="718" w:type="dxa"/>
            <w:tcBorders>
              <w:top w:val="nil"/>
              <w:left w:val="nil"/>
              <w:bottom w:val="single" w:sz="4" w:space="0" w:color="auto"/>
              <w:right w:val="single" w:sz="4" w:space="0" w:color="auto"/>
            </w:tcBorders>
            <w:shd w:val="clear" w:color="auto" w:fill="auto"/>
            <w:noWrap/>
            <w:vAlign w:val="bottom"/>
            <w:hideMark/>
          </w:tcPr>
          <w:p w:rsidR="00A53BCF" w:rsidRDefault="00A53BCF" w:rsidP="00A53BCF">
            <w:pPr>
              <w:rPr>
                <w:rFonts w:cs="Calibri"/>
                <w:sz w:val="20"/>
                <w:szCs w:val="20"/>
              </w:rPr>
            </w:pPr>
            <w:r w:rsidRPr="00505442">
              <w:rPr>
                <w:rFonts w:cs="Calibri"/>
                <w:sz w:val="20"/>
                <w:szCs w:val="20"/>
              </w:rPr>
              <w:t>3,36</w:t>
            </w:r>
          </w:p>
        </w:tc>
        <w:tc>
          <w:tcPr>
            <w:tcW w:w="738" w:type="dxa"/>
            <w:tcBorders>
              <w:top w:val="nil"/>
              <w:left w:val="nil"/>
              <w:bottom w:val="single" w:sz="4" w:space="0" w:color="auto"/>
              <w:right w:val="single" w:sz="4" w:space="0" w:color="auto"/>
            </w:tcBorders>
            <w:shd w:val="clear" w:color="auto" w:fill="auto"/>
            <w:noWrap/>
            <w:vAlign w:val="bottom"/>
            <w:hideMark/>
          </w:tcPr>
          <w:p w:rsidR="00A53BCF" w:rsidRDefault="00A53BCF" w:rsidP="00A53BCF">
            <w:pPr>
              <w:rPr>
                <w:rFonts w:cs="Calibri"/>
                <w:sz w:val="20"/>
                <w:szCs w:val="20"/>
              </w:rPr>
            </w:pPr>
            <w:r w:rsidRPr="00505442">
              <w:rPr>
                <w:rFonts w:cs="Calibri"/>
                <w:sz w:val="20"/>
                <w:szCs w:val="20"/>
              </w:rPr>
              <w:t>3,47</w:t>
            </w:r>
          </w:p>
        </w:tc>
        <w:tc>
          <w:tcPr>
            <w:tcW w:w="718" w:type="dxa"/>
            <w:tcBorders>
              <w:top w:val="nil"/>
              <w:left w:val="nil"/>
              <w:bottom w:val="single" w:sz="4" w:space="0" w:color="auto"/>
              <w:right w:val="single" w:sz="4" w:space="0" w:color="auto"/>
            </w:tcBorders>
            <w:shd w:val="clear" w:color="auto" w:fill="auto"/>
            <w:noWrap/>
            <w:vAlign w:val="bottom"/>
            <w:hideMark/>
          </w:tcPr>
          <w:p w:rsidR="00A53BCF" w:rsidRDefault="00A53BCF" w:rsidP="00A53BCF">
            <w:pPr>
              <w:rPr>
                <w:rFonts w:cs="Calibri"/>
                <w:sz w:val="20"/>
                <w:szCs w:val="20"/>
              </w:rPr>
            </w:pPr>
            <w:r w:rsidRPr="00505442">
              <w:rPr>
                <w:rFonts w:cs="Calibri"/>
                <w:sz w:val="20"/>
                <w:szCs w:val="20"/>
              </w:rPr>
              <w:t>3,45</w:t>
            </w:r>
          </w:p>
        </w:tc>
        <w:tc>
          <w:tcPr>
            <w:tcW w:w="738" w:type="dxa"/>
            <w:tcBorders>
              <w:top w:val="nil"/>
              <w:left w:val="nil"/>
              <w:bottom w:val="single" w:sz="4" w:space="0" w:color="auto"/>
              <w:right w:val="single" w:sz="4" w:space="0" w:color="auto"/>
            </w:tcBorders>
            <w:shd w:val="clear" w:color="auto" w:fill="auto"/>
            <w:noWrap/>
            <w:vAlign w:val="bottom"/>
            <w:hideMark/>
          </w:tcPr>
          <w:p w:rsidR="00A53BCF" w:rsidRDefault="00A53BCF" w:rsidP="00A53BCF">
            <w:pPr>
              <w:rPr>
                <w:rFonts w:cs="Calibri"/>
                <w:sz w:val="20"/>
                <w:szCs w:val="20"/>
              </w:rPr>
            </w:pPr>
            <w:r w:rsidRPr="00505442">
              <w:rPr>
                <w:rFonts w:cs="Calibri"/>
                <w:sz w:val="20"/>
                <w:szCs w:val="20"/>
              </w:rPr>
              <w:t>3,38</w:t>
            </w:r>
          </w:p>
        </w:tc>
        <w:tc>
          <w:tcPr>
            <w:tcW w:w="698" w:type="dxa"/>
            <w:tcBorders>
              <w:top w:val="nil"/>
              <w:left w:val="nil"/>
              <w:bottom w:val="single" w:sz="4" w:space="0" w:color="auto"/>
              <w:right w:val="single" w:sz="4" w:space="0" w:color="auto"/>
            </w:tcBorders>
            <w:shd w:val="clear" w:color="auto" w:fill="auto"/>
            <w:noWrap/>
            <w:vAlign w:val="bottom"/>
            <w:hideMark/>
          </w:tcPr>
          <w:p w:rsidR="00A53BCF" w:rsidRDefault="00A53BCF" w:rsidP="00A53BCF">
            <w:pPr>
              <w:rPr>
                <w:rFonts w:cs="Calibri"/>
                <w:sz w:val="20"/>
                <w:szCs w:val="20"/>
              </w:rPr>
            </w:pPr>
            <w:r w:rsidRPr="00505442">
              <w:rPr>
                <w:rFonts w:cs="Calibri"/>
                <w:sz w:val="20"/>
                <w:szCs w:val="20"/>
              </w:rPr>
              <w:t>3,44</w:t>
            </w:r>
          </w:p>
        </w:tc>
        <w:tc>
          <w:tcPr>
            <w:tcW w:w="586" w:type="dxa"/>
            <w:tcBorders>
              <w:top w:val="nil"/>
              <w:left w:val="nil"/>
              <w:bottom w:val="single" w:sz="4" w:space="0" w:color="auto"/>
              <w:right w:val="single" w:sz="4" w:space="0" w:color="auto"/>
            </w:tcBorders>
            <w:vAlign w:val="bottom"/>
          </w:tcPr>
          <w:p w:rsidR="00A53BCF" w:rsidRDefault="00A53BCF" w:rsidP="00A53BCF">
            <w:pPr>
              <w:rPr>
                <w:rFonts w:cs="Calibri"/>
                <w:sz w:val="20"/>
                <w:szCs w:val="20"/>
              </w:rPr>
            </w:pPr>
            <w:r w:rsidRPr="00505442">
              <w:rPr>
                <w:rFonts w:cs="Calibri"/>
                <w:sz w:val="20"/>
                <w:szCs w:val="20"/>
              </w:rPr>
              <w:t>3,03</w:t>
            </w:r>
          </w:p>
        </w:tc>
      </w:tr>
    </w:tbl>
    <w:p w:rsidR="00A53BCF" w:rsidRDefault="00A53BCF" w:rsidP="00A53BCF">
      <w:pPr>
        <w:pStyle w:val="Zarkazkladnhotextu"/>
        <w:ind w:left="0"/>
        <w:rPr>
          <w:rFonts w:asciiTheme="minorHAnsi" w:hAnsiTheme="minorHAnsi"/>
          <w:sz w:val="20"/>
          <w:szCs w:val="20"/>
        </w:rPr>
      </w:pPr>
      <w:r w:rsidRPr="00505442">
        <w:rPr>
          <w:rFonts w:asciiTheme="minorHAnsi" w:hAnsiTheme="minorHAnsi"/>
          <w:snapToGrid w:val="0"/>
          <w:sz w:val="20"/>
          <w:szCs w:val="20"/>
        </w:rPr>
        <w:t xml:space="preserve">Zdroj: ŠÚ SR, prepočty </w:t>
      </w:r>
      <w:r>
        <w:rPr>
          <w:rFonts w:asciiTheme="minorHAnsi" w:hAnsiTheme="minorHAnsi"/>
          <w:snapToGrid w:val="0"/>
          <w:sz w:val="20"/>
          <w:szCs w:val="20"/>
        </w:rPr>
        <w:t>NPPC-</w:t>
      </w:r>
      <w:r w:rsidRPr="00505442">
        <w:rPr>
          <w:rFonts w:asciiTheme="minorHAnsi" w:hAnsiTheme="minorHAnsi"/>
          <w:snapToGrid w:val="0"/>
          <w:sz w:val="20"/>
          <w:szCs w:val="20"/>
        </w:rPr>
        <w:t>VÚEPP</w:t>
      </w:r>
    </w:p>
    <w:p w:rsidR="00A53BCF" w:rsidRDefault="00A53BCF" w:rsidP="00A53BCF">
      <w:pPr>
        <w:pStyle w:val="Popis"/>
        <w:keepNext/>
        <w:rPr>
          <w:rFonts w:cs="TimesNewRoman"/>
          <w:sz w:val="22"/>
          <w:szCs w:val="22"/>
        </w:rPr>
      </w:pPr>
      <w:r w:rsidRPr="00505442">
        <w:rPr>
          <w:i w:val="0"/>
          <w:sz w:val="22"/>
          <w:szCs w:val="22"/>
        </w:rPr>
        <w:t xml:space="preserve">Podľa Výročnej správy o pokroku k PRV SR 2007 – 2013 </w:t>
      </w:r>
      <w:r>
        <w:rPr>
          <w:i w:val="0"/>
          <w:sz w:val="22"/>
          <w:szCs w:val="22"/>
        </w:rPr>
        <w:t xml:space="preserve">za rok 2012 </w:t>
      </w:r>
      <w:r w:rsidRPr="00505442">
        <w:rPr>
          <w:i w:val="0"/>
          <w:sz w:val="22"/>
          <w:szCs w:val="22"/>
        </w:rPr>
        <w:t xml:space="preserve">bolo </w:t>
      </w:r>
      <w:r>
        <w:rPr>
          <w:i w:val="0"/>
          <w:sz w:val="22"/>
          <w:szCs w:val="22"/>
        </w:rPr>
        <w:t xml:space="preserve">kumulatívne </w:t>
      </w:r>
      <w:r w:rsidRPr="00505442">
        <w:rPr>
          <w:i w:val="0"/>
          <w:sz w:val="22"/>
          <w:szCs w:val="22"/>
        </w:rPr>
        <w:t>do konca roka 2012</w:t>
      </w:r>
      <w:r w:rsidRPr="00505442">
        <w:rPr>
          <w:b/>
          <w:i w:val="0"/>
          <w:sz w:val="22"/>
          <w:szCs w:val="22"/>
        </w:rPr>
        <w:t xml:space="preserve"> </w:t>
      </w:r>
      <w:r w:rsidRPr="000E300E">
        <w:rPr>
          <w:i w:val="0"/>
          <w:sz w:val="22"/>
          <w:szCs w:val="22"/>
        </w:rPr>
        <w:t xml:space="preserve">a údajov PPA v rámci opatrenia 3.1  Diverzifikácia smerom k nepoľnohospodárskym činnostiam (kód 311) </w:t>
      </w:r>
      <w:r w:rsidRPr="00505442">
        <w:rPr>
          <w:i w:val="0"/>
          <w:sz w:val="22"/>
          <w:szCs w:val="22"/>
        </w:rPr>
        <w:t xml:space="preserve">prijatých 809 žiadostí o nenávratný finančný príspevok. </w:t>
      </w:r>
      <w:r>
        <w:rPr>
          <w:i w:val="0"/>
          <w:sz w:val="22"/>
          <w:szCs w:val="22"/>
        </w:rPr>
        <w:t xml:space="preserve">Bolo </w:t>
      </w:r>
      <w:r w:rsidRPr="00505442">
        <w:rPr>
          <w:rFonts w:cs="TimesNewRoman"/>
          <w:i w:val="0"/>
          <w:sz w:val="22"/>
          <w:szCs w:val="22"/>
          <w:lang w:eastAsia="sk-SK"/>
        </w:rPr>
        <w:t>61 ukončených projektov z 241 zazmluvnených projektov. 563 vyradených a 241 schválených spolu predstav</w:t>
      </w:r>
      <w:r>
        <w:rPr>
          <w:rFonts w:cs="TimesNewRoman"/>
          <w:i w:val="0"/>
          <w:sz w:val="22"/>
          <w:szCs w:val="22"/>
          <w:lang w:eastAsia="sk-SK"/>
        </w:rPr>
        <w:t>ovali</w:t>
      </w:r>
      <w:r w:rsidRPr="00505442">
        <w:rPr>
          <w:rFonts w:cs="TimesNewRoman"/>
          <w:i w:val="0"/>
          <w:sz w:val="22"/>
          <w:szCs w:val="22"/>
          <w:lang w:eastAsia="sk-SK"/>
        </w:rPr>
        <w:t xml:space="preserve"> 804 projektov, ktoré sú spracované a k 31.12.</w:t>
      </w:r>
      <w:r>
        <w:rPr>
          <w:rFonts w:cs="TimesNewRoman"/>
          <w:i w:val="0"/>
          <w:sz w:val="22"/>
          <w:szCs w:val="22"/>
          <w:lang w:eastAsia="sk-SK"/>
        </w:rPr>
        <w:t xml:space="preserve"> 2012 ost</w:t>
      </w:r>
      <w:r w:rsidRPr="00505442">
        <w:rPr>
          <w:rFonts w:cs="TimesNewRoman"/>
          <w:i w:val="0"/>
          <w:sz w:val="22"/>
          <w:szCs w:val="22"/>
          <w:lang w:eastAsia="sk-SK"/>
        </w:rPr>
        <w:t>a</w:t>
      </w:r>
      <w:r>
        <w:rPr>
          <w:rFonts w:cs="TimesNewRoman"/>
          <w:i w:val="0"/>
          <w:sz w:val="22"/>
          <w:szCs w:val="22"/>
          <w:lang w:eastAsia="sk-SK"/>
        </w:rPr>
        <w:t>lo</w:t>
      </w:r>
      <w:r w:rsidRPr="00505442">
        <w:rPr>
          <w:rFonts w:cs="TimesNewRoman"/>
          <w:i w:val="0"/>
          <w:sz w:val="22"/>
          <w:szCs w:val="22"/>
          <w:lang w:eastAsia="sk-SK"/>
        </w:rPr>
        <w:t xml:space="preserve"> 5 projektov v riešení.</w:t>
      </w:r>
    </w:p>
    <w:p w:rsidR="00A53BCF" w:rsidRDefault="00A53BCF" w:rsidP="00A53BCF">
      <w:pPr>
        <w:pStyle w:val="Popis"/>
        <w:keepNext/>
        <w:rPr>
          <w:color w:val="0070C0"/>
        </w:rPr>
      </w:pPr>
    </w:p>
    <w:p w:rsidR="00A53BCF" w:rsidRPr="00C044AA" w:rsidRDefault="00F832C9" w:rsidP="00F832C9">
      <w:pPr>
        <w:pStyle w:val="Popis"/>
        <w:keepNext/>
        <w:ind w:left="1134" w:hanging="1134"/>
        <w:rPr>
          <w:rStyle w:val="OdsekCalibri115Char"/>
          <w:b/>
          <w:i w:val="0"/>
          <w:szCs w:val="22"/>
        </w:rPr>
      </w:pPr>
      <w:r>
        <w:rPr>
          <w:rStyle w:val="OdsekCalibri115Char"/>
          <w:b/>
          <w:i w:val="0"/>
          <w:szCs w:val="22"/>
        </w:rPr>
        <w:t xml:space="preserve">Tabuľka 7: </w:t>
      </w:r>
      <w:r w:rsidR="00A53BCF" w:rsidRPr="00505442">
        <w:rPr>
          <w:rStyle w:val="OdsekCalibri115Char"/>
          <w:b/>
          <w:i w:val="0"/>
          <w:szCs w:val="22"/>
        </w:rPr>
        <w:t>Štruktúra príjemcov podpory a investície podľa druhu nepoľnohospodárskej činnosti</w:t>
      </w:r>
      <w:r w:rsidR="00A53BCF">
        <w:rPr>
          <w:rStyle w:val="OdsekCalibri115Char"/>
          <w:b/>
          <w:i w:val="0"/>
          <w:szCs w:val="22"/>
        </w:rPr>
        <w:t xml:space="preserve"> – op. 311</w:t>
      </w:r>
    </w:p>
    <w:tbl>
      <w:tblPr>
        <w:tblW w:w="90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63"/>
        <w:gridCol w:w="1224"/>
        <w:gridCol w:w="582"/>
        <w:gridCol w:w="618"/>
        <w:gridCol w:w="513"/>
        <w:gridCol w:w="625"/>
        <w:gridCol w:w="757"/>
        <w:gridCol w:w="1024"/>
        <w:gridCol w:w="757"/>
        <w:gridCol w:w="1146"/>
      </w:tblGrid>
      <w:tr w:rsidR="00A53BCF" w:rsidRPr="00C044AA" w:rsidTr="00A53BCF">
        <w:trPr>
          <w:cantSplit/>
          <w:jc w:val="center"/>
        </w:trPr>
        <w:tc>
          <w:tcPr>
            <w:tcW w:w="1747" w:type="dxa"/>
            <w:vMerge w:val="restart"/>
            <w:shd w:val="clear" w:color="auto" w:fill="F3F3F3"/>
            <w:vAlign w:val="center"/>
          </w:tcPr>
          <w:p w:rsidR="00A53BCF" w:rsidRPr="00C044AA" w:rsidRDefault="00A53BCF" w:rsidP="001B5E1A">
            <w:pPr>
              <w:jc w:val="left"/>
              <w:rPr>
                <w:rFonts w:ascii="Calibri" w:hAnsi="Calibri"/>
                <w:b/>
                <w:sz w:val="20"/>
                <w:szCs w:val="20"/>
              </w:rPr>
            </w:pPr>
            <w:r w:rsidRPr="00505442">
              <w:rPr>
                <w:rFonts w:ascii="Calibri" w:hAnsi="Calibri"/>
                <w:b/>
                <w:sz w:val="20"/>
                <w:szCs w:val="20"/>
              </w:rPr>
              <w:t>Druh vidieckej nepoľnohospodár-skej činnosti</w:t>
            </w:r>
          </w:p>
        </w:tc>
        <w:tc>
          <w:tcPr>
            <w:tcW w:w="1211" w:type="dxa"/>
            <w:vMerge w:val="restart"/>
            <w:shd w:val="clear" w:color="auto" w:fill="F3F3F3"/>
            <w:vAlign w:val="center"/>
          </w:tcPr>
          <w:p w:rsidR="00A53BCF" w:rsidRPr="00C044AA" w:rsidRDefault="00A53BCF" w:rsidP="00A53BCF">
            <w:pPr>
              <w:rPr>
                <w:rFonts w:ascii="Calibri" w:hAnsi="Calibri"/>
                <w:b/>
                <w:sz w:val="20"/>
                <w:szCs w:val="20"/>
              </w:rPr>
            </w:pPr>
            <w:r w:rsidRPr="00505442">
              <w:rPr>
                <w:rFonts w:ascii="Calibri" w:hAnsi="Calibri"/>
                <w:b/>
                <w:sz w:val="20"/>
                <w:szCs w:val="20"/>
              </w:rPr>
              <w:t>Počet schválených žiadostí</w:t>
            </w:r>
          </w:p>
        </w:tc>
        <w:tc>
          <w:tcPr>
            <w:tcW w:w="4829" w:type="dxa"/>
            <w:gridSpan w:val="7"/>
            <w:shd w:val="clear" w:color="auto" w:fill="F3F3F3"/>
            <w:vAlign w:val="center"/>
          </w:tcPr>
          <w:p w:rsidR="00A53BCF" w:rsidRPr="00C044AA" w:rsidRDefault="00A53BCF" w:rsidP="00A53BCF">
            <w:pPr>
              <w:jc w:val="center"/>
              <w:rPr>
                <w:rFonts w:ascii="Calibri" w:hAnsi="Calibri"/>
                <w:b/>
                <w:sz w:val="20"/>
                <w:szCs w:val="20"/>
              </w:rPr>
            </w:pPr>
            <w:r w:rsidRPr="00505442">
              <w:rPr>
                <w:rFonts w:ascii="Calibri" w:hAnsi="Calibri"/>
                <w:b/>
                <w:sz w:val="20"/>
                <w:szCs w:val="20"/>
              </w:rPr>
              <w:t>Počet príjemcov</w:t>
            </w:r>
          </w:p>
        </w:tc>
        <w:tc>
          <w:tcPr>
            <w:tcW w:w="1222" w:type="dxa"/>
            <w:vMerge w:val="restart"/>
            <w:shd w:val="clear" w:color="auto" w:fill="F3F3F3"/>
            <w:vAlign w:val="center"/>
          </w:tcPr>
          <w:p w:rsidR="00A53BCF" w:rsidRPr="00C044AA" w:rsidRDefault="00A53BCF" w:rsidP="00A53BCF">
            <w:pPr>
              <w:rPr>
                <w:rFonts w:ascii="Calibri" w:hAnsi="Calibri"/>
                <w:b/>
                <w:sz w:val="20"/>
                <w:szCs w:val="20"/>
              </w:rPr>
            </w:pPr>
            <w:r w:rsidRPr="00505442">
              <w:rPr>
                <w:rFonts w:ascii="Calibri" w:hAnsi="Calibri"/>
                <w:b/>
                <w:sz w:val="20"/>
                <w:szCs w:val="20"/>
              </w:rPr>
              <w:t xml:space="preserve">Celkový objem investícií </w:t>
            </w:r>
          </w:p>
          <w:p w:rsidR="00A53BCF" w:rsidRPr="00C044AA" w:rsidRDefault="00A53BCF" w:rsidP="00A53BCF">
            <w:pPr>
              <w:rPr>
                <w:rFonts w:ascii="Calibri" w:hAnsi="Calibri"/>
                <w:b/>
                <w:sz w:val="20"/>
                <w:szCs w:val="20"/>
              </w:rPr>
            </w:pPr>
            <w:r w:rsidRPr="00505442">
              <w:rPr>
                <w:rFonts w:ascii="Calibri" w:hAnsi="Calibri"/>
                <w:b/>
                <w:sz w:val="20"/>
                <w:szCs w:val="20"/>
              </w:rPr>
              <w:t>(tis. EUR)</w:t>
            </w:r>
          </w:p>
        </w:tc>
      </w:tr>
      <w:tr w:rsidR="00A53BCF" w:rsidRPr="00C044AA" w:rsidTr="00A53BCF">
        <w:trPr>
          <w:cantSplit/>
          <w:jc w:val="center"/>
        </w:trPr>
        <w:tc>
          <w:tcPr>
            <w:tcW w:w="1747" w:type="dxa"/>
            <w:vMerge/>
            <w:vAlign w:val="center"/>
          </w:tcPr>
          <w:p w:rsidR="00A53BCF" w:rsidRPr="00C044AA" w:rsidRDefault="00A53BCF" w:rsidP="001B5E1A">
            <w:pPr>
              <w:jc w:val="left"/>
              <w:rPr>
                <w:rFonts w:ascii="Calibri" w:hAnsi="Calibri"/>
                <w:sz w:val="20"/>
                <w:szCs w:val="20"/>
              </w:rPr>
            </w:pPr>
          </w:p>
        </w:tc>
        <w:tc>
          <w:tcPr>
            <w:tcW w:w="1211" w:type="dxa"/>
            <w:vMerge/>
            <w:vAlign w:val="center"/>
          </w:tcPr>
          <w:p w:rsidR="00A53BCF" w:rsidRPr="00C044AA" w:rsidRDefault="00A53BCF" w:rsidP="00A53BCF">
            <w:pPr>
              <w:rPr>
                <w:rFonts w:ascii="Calibri" w:hAnsi="Calibri"/>
                <w:sz w:val="20"/>
                <w:szCs w:val="20"/>
              </w:rPr>
            </w:pPr>
          </w:p>
        </w:tc>
        <w:tc>
          <w:tcPr>
            <w:tcW w:w="3199" w:type="dxa"/>
            <w:gridSpan w:val="5"/>
            <w:shd w:val="clear" w:color="auto" w:fill="F2F2F2"/>
            <w:vAlign w:val="center"/>
          </w:tcPr>
          <w:p w:rsidR="00A53BCF" w:rsidRPr="00C044AA" w:rsidRDefault="00A53BCF" w:rsidP="00A53BCF">
            <w:pPr>
              <w:jc w:val="center"/>
              <w:rPr>
                <w:rFonts w:ascii="Calibri" w:hAnsi="Calibri"/>
                <w:b/>
                <w:sz w:val="20"/>
                <w:szCs w:val="20"/>
              </w:rPr>
            </w:pPr>
            <w:r w:rsidRPr="00505442">
              <w:rPr>
                <w:rFonts w:ascii="Calibri" w:hAnsi="Calibri"/>
                <w:b/>
                <w:sz w:val="20"/>
                <w:szCs w:val="20"/>
              </w:rPr>
              <w:t>Fyzické osoby</w:t>
            </w:r>
          </w:p>
        </w:tc>
        <w:tc>
          <w:tcPr>
            <w:tcW w:w="938" w:type="dxa"/>
            <w:vMerge w:val="restart"/>
            <w:shd w:val="clear" w:color="auto" w:fill="F2F2F2"/>
            <w:vAlign w:val="center"/>
          </w:tcPr>
          <w:p w:rsidR="00A53BCF" w:rsidRPr="00C044AA" w:rsidRDefault="00A53BCF" w:rsidP="00A53BCF">
            <w:pPr>
              <w:jc w:val="center"/>
              <w:rPr>
                <w:rFonts w:ascii="Calibri" w:hAnsi="Calibri"/>
                <w:b/>
                <w:sz w:val="20"/>
                <w:szCs w:val="20"/>
              </w:rPr>
            </w:pPr>
            <w:r w:rsidRPr="00505442">
              <w:rPr>
                <w:rFonts w:ascii="Calibri" w:hAnsi="Calibri"/>
                <w:b/>
                <w:sz w:val="20"/>
                <w:szCs w:val="20"/>
              </w:rPr>
              <w:t>Právnické osoby</w:t>
            </w:r>
          </w:p>
        </w:tc>
        <w:tc>
          <w:tcPr>
            <w:tcW w:w="692" w:type="dxa"/>
            <w:vMerge w:val="restart"/>
            <w:shd w:val="clear" w:color="auto" w:fill="F2F2F2"/>
            <w:vAlign w:val="center"/>
          </w:tcPr>
          <w:p w:rsidR="00A53BCF" w:rsidRPr="00C044AA" w:rsidRDefault="00A53BCF" w:rsidP="00A53BCF">
            <w:pPr>
              <w:jc w:val="center"/>
              <w:rPr>
                <w:rFonts w:ascii="Calibri" w:hAnsi="Calibri"/>
                <w:sz w:val="20"/>
                <w:szCs w:val="20"/>
              </w:rPr>
            </w:pPr>
            <w:r w:rsidRPr="00505442">
              <w:rPr>
                <w:rFonts w:ascii="Calibri" w:hAnsi="Calibri"/>
                <w:sz w:val="20"/>
                <w:szCs w:val="20"/>
              </w:rPr>
              <w:t>SPOLU</w:t>
            </w:r>
          </w:p>
        </w:tc>
        <w:tc>
          <w:tcPr>
            <w:tcW w:w="1222" w:type="dxa"/>
            <w:vMerge/>
            <w:vAlign w:val="center"/>
          </w:tcPr>
          <w:p w:rsidR="00A53BCF" w:rsidRPr="00C044AA" w:rsidRDefault="00A53BCF" w:rsidP="00A53BCF">
            <w:pPr>
              <w:rPr>
                <w:rFonts w:ascii="Calibri" w:hAnsi="Calibri"/>
                <w:sz w:val="20"/>
                <w:szCs w:val="20"/>
              </w:rPr>
            </w:pPr>
          </w:p>
        </w:tc>
      </w:tr>
      <w:tr w:rsidR="00A53BCF" w:rsidRPr="00C044AA" w:rsidTr="00A53BCF">
        <w:trPr>
          <w:cantSplit/>
          <w:jc w:val="center"/>
        </w:trPr>
        <w:tc>
          <w:tcPr>
            <w:tcW w:w="1747" w:type="dxa"/>
            <w:vMerge/>
            <w:vAlign w:val="center"/>
          </w:tcPr>
          <w:p w:rsidR="00A53BCF" w:rsidRPr="00C044AA" w:rsidRDefault="00A53BCF" w:rsidP="001B5E1A">
            <w:pPr>
              <w:jc w:val="left"/>
              <w:rPr>
                <w:rFonts w:ascii="Calibri" w:hAnsi="Calibri"/>
                <w:sz w:val="20"/>
                <w:szCs w:val="20"/>
              </w:rPr>
            </w:pPr>
          </w:p>
        </w:tc>
        <w:tc>
          <w:tcPr>
            <w:tcW w:w="1211" w:type="dxa"/>
            <w:vMerge/>
            <w:vAlign w:val="center"/>
          </w:tcPr>
          <w:p w:rsidR="00A53BCF" w:rsidRPr="00C044AA" w:rsidRDefault="00A53BCF" w:rsidP="00A53BCF">
            <w:pPr>
              <w:rPr>
                <w:rFonts w:ascii="Calibri" w:hAnsi="Calibri"/>
                <w:sz w:val="20"/>
                <w:szCs w:val="20"/>
              </w:rPr>
            </w:pPr>
          </w:p>
        </w:tc>
        <w:tc>
          <w:tcPr>
            <w:tcW w:w="1289" w:type="dxa"/>
            <w:gridSpan w:val="2"/>
            <w:shd w:val="clear" w:color="auto" w:fill="F2F2F2"/>
            <w:vAlign w:val="center"/>
          </w:tcPr>
          <w:p w:rsidR="00A53BCF" w:rsidRPr="00C044AA" w:rsidRDefault="00A53BCF" w:rsidP="00A53BCF">
            <w:pPr>
              <w:jc w:val="center"/>
              <w:rPr>
                <w:rFonts w:ascii="Calibri" w:hAnsi="Calibri"/>
                <w:b/>
                <w:sz w:val="20"/>
                <w:szCs w:val="20"/>
              </w:rPr>
            </w:pPr>
            <w:r w:rsidRPr="00505442">
              <w:rPr>
                <w:rFonts w:ascii="Calibri" w:hAnsi="Calibri"/>
                <w:b/>
                <w:sz w:val="20"/>
                <w:szCs w:val="20"/>
              </w:rPr>
              <w:t>Muži</w:t>
            </w:r>
          </w:p>
        </w:tc>
        <w:tc>
          <w:tcPr>
            <w:tcW w:w="1201" w:type="dxa"/>
            <w:gridSpan w:val="2"/>
            <w:shd w:val="clear" w:color="auto" w:fill="F2F2F2"/>
            <w:vAlign w:val="center"/>
          </w:tcPr>
          <w:p w:rsidR="00A53BCF" w:rsidRPr="00C044AA" w:rsidRDefault="00A53BCF" w:rsidP="00A53BCF">
            <w:pPr>
              <w:jc w:val="center"/>
              <w:rPr>
                <w:rFonts w:ascii="Calibri" w:hAnsi="Calibri"/>
                <w:b/>
                <w:sz w:val="20"/>
                <w:szCs w:val="20"/>
              </w:rPr>
            </w:pPr>
            <w:r w:rsidRPr="00505442">
              <w:rPr>
                <w:rFonts w:ascii="Calibri" w:hAnsi="Calibri"/>
                <w:b/>
                <w:sz w:val="20"/>
                <w:szCs w:val="20"/>
              </w:rPr>
              <w:t>Ženy</w:t>
            </w:r>
          </w:p>
        </w:tc>
        <w:tc>
          <w:tcPr>
            <w:tcW w:w="709" w:type="dxa"/>
            <w:vMerge w:val="restart"/>
            <w:shd w:val="clear" w:color="auto" w:fill="F2F2F2"/>
            <w:vAlign w:val="center"/>
          </w:tcPr>
          <w:p w:rsidR="00A53BCF" w:rsidRPr="00C044AA" w:rsidRDefault="00A53BCF" w:rsidP="00A53BCF">
            <w:pPr>
              <w:jc w:val="center"/>
              <w:rPr>
                <w:rFonts w:ascii="Calibri" w:hAnsi="Calibri"/>
                <w:sz w:val="20"/>
                <w:szCs w:val="20"/>
              </w:rPr>
            </w:pPr>
            <w:r w:rsidRPr="00505442">
              <w:rPr>
                <w:rFonts w:ascii="Calibri" w:hAnsi="Calibri"/>
                <w:sz w:val="20"/>
                <w:szCs w:val="20"/>
              </w:rPr>
              <w:t>SPOLU</w:t>
            </w:r>
          </w:p>
        </w:tc>
        <w:tc>
          <w:tcPr>
            <w:tcW w:w="938" w:type="dxa"/>
            <w:vMerge/>
            <w:vAlign w:val="center"/>
          </w:tcPr>
          <w:p w:rsidR="00A53BCF" w:rsidRPr="00C044AA" w:rsidRDefault="00A53BCF" w:rsidP="00A53BCF">
            <w:pPr>
              <w:jc w:val="center"/>
              <w:rPr>
                <w:rFonts w:ascii="Calibri" w:hAnsi="Calibri"/>
                <w:sz w:val="20"/>
                <w:szCs w:val="20"/>
              </w:rPr>
            </w:pPr>
          </w:p>
        </w:tc>
        <w:tc>
          <w:tcPr>
            <w:tcW w:w="692" w:type="dxa"/>
            <w:vMerge/>
            <w:vAlign w:val="center"/>
          </w:tcPr>
          <w:p w:rsidR="00A53BCF" w:rsidRPr="00C044AA" w:rsidRDefault="00A53BCF" w:rsidP="00A53BCF">
            <w:pPr>
              <w:jc w:val="center"/>
              <w:rPr>
                <w:rFonts w:ascii="Calibri" w:hAnsi="Calibri"/>
                <w:sz w:val="20"/>
                <w:szCs w:val="20"/>
              </w:rPr>
            </w:pPr>
          </w:p>
        </w:tc>
        <w:tc>
          <w:tcPr>
            <w:tcW w:w="1222" w:type="dxa"/>
            <w:vMerge/>
            <w:vAlign w:val="center"/>
          </w:tcPr>
          <w:p w:rsidR="00A53BCF" w:rsidRPr="00C044AA" w:rsidRDefault="00A53BCF" w:rsidP="00A53BCF">
            <w:pPr>
              <w:rPr>
                <w:rFonts w:ascii="Calibri" w:hAnsi="Calibri"/>
                <w:sz w:val="20"/>
                <w:szCs w:val="20"/>
              </w:rPr>
            </w:pPr>
          </w:p>
        </w:tc>
      </w:tr>
      <w:tr w:rsidR="00A53BCF" w:rsidRPr="00C044AA" w:rsidTr="00A53BCF">
        <w:trPr>
          <w:cantSplit/>
          <w:jc w:val="center"/>
        </w:trPr>
        <w:tc>
          <w:tcPr>
            <w:tcW w:w="1747" w:type="dxa"/>
            <w:vMerge/>
            <w:vAlign w:val="center"/>
          </w:tcPr>
          <w:p w:rsidR="00A53BCF" w:rsidRPr="00C044AA" w:rsidRDefault="00A53BCF" w:rsidP="001B5E1A">
            <w:pPr>
              <w:jc w:val="left"/>
              <w:rPr>
                <w:rFonts w:ascii="Calibri" w:hAnsi="Calibri"/>
                <w:sz w:val="20"/>
                <w:szCs w:val="20"/>
              </w:rPr>
            </w:pPr>
          </w:p>
        </w:tc>
        <w:tc>
          <w:tcPr>
            <w:tcW w:w="1211" w:type="dxa"/>
            <w:vMerge/>
            <w:vAlign w:val="center"/>
          </w:tcPr>
          <w:p w:rsidR="00A53BCF" w:rsidRPr="00C044AA" w:rsidRDefault="00A53BCF" w:rsidP="00A53BCF">
            <w:pPr>
              <w:rPr>
                <w:rFonts w:ascii="Calibri" w:hAnsi="Calibri"/>
                <w:sz w:val="20"/>
                <w:szCs w:val="20"/>
              </w:rPr>
            </w:pPr>
          </w:p>
        </w:tc>
        <w:tc>
          <w:tcPr>
            <w:tcW w:w="684" w:type="dxa"/>
            <w:shd w:val="clear" w:color="auto" w:fill="F2F2F2"/>
            <w:vAlign w:val="center"/>
          </w:tcPr>
          <w:p w:rsidR="00A53BCF" w:rsidRPr="00C044AA" w:rsidRDefault="00A53BCF" w:rsidP="00A53BCF">
            <w:pPr>
              <w:rPr>
                <w:rFonts w:ascii="Calibri" w:hAnsi="Calibri"/>
                <w:sz w:val="20"/>
                <w:szCs w:val="20"/>
              </w:rPr>
            </w:pPr>
            <w:r w:rsidRPr="00505442">
              <w:rPr>
                <w:rFonts w:ascii="Calibri" w:hAnsi="Calibri"/>
                <w:sz w:val="20"/>
                <w:szCs w:val="20"/>
              </w:rPr>
              <w:t>&lt; 25</w:t>
            </w:r>
          </w:p>
        </w:tc>
        <w:tc>
          <w:tcPr>
            <w:tcW w:w="605" w:type="dxa"/>
            <w:shd w:val="clear" w:color="auto" w:fill="F2F2F2"/>
            <w:vAlign w:val="center"/>
          </w:tcPr>
          <w:p w:rsidR="00A53BCF" w:rsidRPr="00C044AA" w:rsidRDefault="00A53BCF" w:rsidP="00A53BCF">
            <w:pPr>
              <w:rPr>
                <w:rFonts w:ascii="Calibri" w:hAnsi="Calibri"/>
                <w:sz w:val="20"/>
                <w:szCs w:val="20"/>
              </w:rPr>
            </w:pPr>
            <w:r w:rsidRPr="00505442">
              <w:rPr>
                <w:rFonts w:ascii="Calibri" w:hAnsi="Calibri"/>
                <w:sz w:val="20"/>
                <w:szCs w:val="20"/>
              </w:rPr>
              <w:t>&gt;=25</w:t>
            </w:r>
          </w:p>
        </w:tc>
        <w:tc>
          <w:tcPr>
            <w:tcW w:w="572" w:type="dxa"/>
            <w:shd w:val="clear" w:color="auto" w:fill="F2F2F2"/>
            <w:vAlign w:val="center"/>
          </w:tcPr>
          <w:p w:rsidR="00A53BCF" w:rsidRPr="00C044AA" w:rsidRDefault="00A53BCF" w:rsidP="00A53BCF">
            <w:pPr>
              <w:rPr>
                <w:rFonts w:ascii="Calibri" w:hAnsi="Calibri"/>
                <w:sz w:val="20"/>
                <w:szCs w:val="20"/>
              </w:rPr>
            </w:pPr>
            <w:r w:rsidRPr="00505442">
              <w:rPr>
                <w:rFonts w:ascii="Calibri" w:hAnsi="Calibri"/>
                <w:sz w:val="20"/>
                <w:szCs w:val="20"/>
              </w:rPr>
              <w:t>&lt; 25</w:t>
            </w:r>
          </w:p>
        </w:tc>
        <w:tc>
          <w:tcPr>
            <w:tcW w:w="629" w:type="dxa"/>
            <w:shd w:val="clear" w:color="auto" w:fill="F2F2F2"/>
            <w:vAlign w:val="center"/>
          </w:tcPr>
          <w:p w:rsidR="00A53BCF" w:rsidRPr="00C044AA" w:rsidRDefault="00A53BCF" w:rsidP="00A53BCF">
            <w:pPr>
              <w:rPr>
                <w:rFonts w:ascii="Calibri" w:hAnsi="Calibri"/>
                <w:sz w:val="20"/>
                <w:szCs w:val="20"/>
              </w:rPr>
            </w:pPr>
            <w:r w:rsidRPr="00505442">
              <w:rPr>
                <w:rFonts w:ascii="Calibri" w:hAnsi="Calibri"/>
                <w:sz w:val="20"/>
                <w:szCs w:val="20"/>
              </w:rPr>
              <w:t>&gt;=25</w:t>
            </w:r>
          </w:p>
        </w:tc>
        <w:tc>
          <w:tcPr>
            <w:tcW w:w="709" w:type="dxa"/>
            <w:vMerge/>
            <w:vAlign w:val="center"/>
          </w:tcPr>
          <w:p w:rsidR="00A53BCF" w:rsidRPr="00C044AA" w:rsidRDefault="00A53BCF" w:rsidP="00A53BCF">
            <w:pPr>
              <w:rPr>
                <w:rFonts w:ascii="Calibri" w:hAnsi="Calibri"/>
                <w:sz w:val="20"/>
                <w:szCs w:val="20"/>
              </w:rPr>
            </w:pPr>
          </w:p>
        </w:tc>
        <w:tc>
          <w:tcPr>
            <w:tcW w:w="938" w:type="dxa"/>
            <w:vMerge/>
            <w:vAlign w:val="center"/>
          </w:tcPr>
          <w:p w:rsidR="00A53BCF" w:rsidRPr="00C044AA" w:rsidRDefault="00A53BCF" w:rsidP="00A53BCF">
            <w:pPr>
              <w:rPr>
                <w:rFonts w:ascii="Calibri" w:hAnsi="Calibri"/>
                <w:sz w:val="20"/>
                <w:szCs w:val="20"/>
              </w:rPr>
            </w:pPr>
          </w:p>
        </w:tc>
        <w:tc>
          <w:tcPr>
            <w:tcW w:w="692" w:type="dxa"/>
            <w:vMerge/>
            <w:vAlign w:val="center"/>
          </w:tcPr>
          <w:p w:rsidR="00A53BCF" w:rsidRPr="00C044AA" w:rsidRDefault="00A53BCF" w:rsidP="00A53BCF">
            <w:pPr>
              <w:rPr>
                <w:rFonts w:ascii="Calibri" w:hAnsi="Calibri"/>
                <w:sz w:val="20"/>
                <w:szCs w:val="20"/>
              </w:rPr>
            </w:pPr>
          </w:p>
        </w:tc>
        <w:tc>
          <w:tcPr>
            <w:tcW w:w="1222" w:type="dxa"/>
            <w:vMerge/>
            <w:vAlign w:val="center"/>
          </w:tcPr>
          <w:p w:rsidR="00A53BCF" w:rsidRPr="00C044AA" w:rsidRDefault="00A53BCF" w:rsidP="00A53BCF">
            <w:pPr>
              <w:rPr>
                <w:rFonts w:ascii="Calibri" w:hAnsi="Calibri"/>
                <w:sz w:val="20"/>
                <w:szCs w:val="20"/>
              </w:rPr>
            </w:pPr>
          </w:p>
        </w:tc>
      </w:tr>
      <w:tr w:rsidR="00A53BCF" w:rsidRPr="00C044AA" w:rsidTr="00A53BCF">
        <w:trPr>
          <w:cantSplit/>
          <w:jc w:val="center"/>
        </w:trPr>
        <w:tc>
          <w:tcPr>
            <w:tcW w:w="1747" w:type="dxa"/>
            <w:vAlign w:val="center"/>
          </w:tcPr>
          <w:p w:rsidR="00A53BCF" w:rsidRPr="00C044AA" w:rsidRDefault="00A53BCF" w:rsidP="001B5E1A">
            <w:pPr>
              <w:jc w:val="left"/>
              <w:rPr>
                <w:rFonts w:ascii="Calibri" w:hAnsi="Calibri"/>
                <w:sz w:val="20"/>
                <w:szCs w:val="20"/>
              </w:rPr>
            </w:pPr>
            <w:r w:rsidRPr="00505442">
              <w:rPr>
                <w:rFonts w:ascii="Calibri" w:hAnsi="Calibri"/>
                <w:sz w:val="20"/>
                <w:szCs w:val="20"/>
              </w:rPr>
              <w:t>Cestovný ruch</w:t>
            </w:r>
          </w:p>
        </w:tc>
        <w:tc>
          <w:tcPr>
            <w:tcW w:w="1211" w:type="dxa"/>
            <w:vAlign w:val="center"/>
          </w:tcPr>
          <w:p w:rsidR="00A53BCF" w:rsidRPr="00C044AA" w:rsidRDefault="00A53BCF" w:rsidP="00A53BCF">
            <w:pPr>
              <w:jc w:val="center"/>
              <w:rPr>
                <w:rFonts w:ascii="Calibri" w:hAnsi="Calibri"/>
                <w:sz w:val="20"/>
                <w:szCs w:val="20"/>
              </w:rPr>
            </w:pPr>
            <w:r w:rsidRPr="00505442">
              <w:rPr>
                <w:rFonts w:ascii="Calibri" w:hAnsi="Calibri"/>
                <w:sz w:val="20"/>
                <w:szCs w:val="20"/>
              </w:rPr>
              <w:t>176</w:t>
            </w:r>
          </w:p>
        </w:tc>
        <w:tc>
          <w:tcPr>
            <w:tcW w:w="684" w:type="dxa"/>
            <w:vAlign w:val="center"/>
          </w:tcPr>
          <w:p w:rsidR="00A53BCF" w:rsidRPr="00C044AA" w:rsidRDefault="00A53BCF" w:rsidP="00A53BCF">
            <w:pPr>
              <w:jc w:val="center"/>
              <w:rPr>
                <w:rFonts w:ascii="Calibri" w:hAnsi="Calibri"/>
                <w:sz w:val="20"/>
                <w:szCs w:val="20"/>
              </w:rPr>
            </w:pPr>
            <w:r w:rsidRPr="00505442">
              <w:rPr>
                <w:rFonts w:ascii="Calibri" w:hAnsi="Calibri"/>
                <w:sz w:val="20"/>
                <w:szCs w:val="20"/>
              </w:rPr>
              <w:t>0</w:t>
            </w:r>
          </w:p>
        </w:tc>
        <w:tc>
          <w:tcPr>
            <w:tcW w:w="605" w:type="dxa"/>
            <w:vAlign w:val="center"/>
          </w:tcPr>
          <w:p w:rsidR="00A53BCF" w:rsidRPr="00C044AA" w:rsidRDefault="00A53BCF" w:rsidP="00A53BCF">
            <w:pPr>
              <w:jc w:val="center"/>
              <w:rPr>
                <w:rFonts w:ascii="Calibri" w:hAnsi="Calibri"/>
                <w:sz w:val="20"/>
                <w:szCs w:val="20"/>
              </w:rPr>
            </w:pPr>
            <w:r w:rsidRPr="00505442">
              <w:rPr>
                <w:rFonts w:ascii="Calibri" w:hAnsi="Calibri"/>
                <w:sz w:val="20"/>
                <w:szCs w:val="20"/>
              </w:rPr>
              <w:t>24</w:t>
            </w:r>
          </w:p>
        </w:tc>
        <w:tc>
          <w:tcPr>
            <w:tcW w:w="572" w:type="dxa"/>
            <w:vAlign w:val="center"/>
          </w:tcPr>
          <w:p w:rsidR="00A53BCF" w:rsidRPr="00C044AA" w:rsidRDefault="00A53BCF" w:rsidP="00A53BCF">
            <w:pPr>
              <w:jc w:val="center"/>
              <w:rPr>
                <w:rFonts w:ascii="Calibri" w:hAnsi="Calibri"/>
                <w:sz w:val="20"/>
                <w:szCs w:val="20"/>
              </w:rPr>
            </w:pPr>
            <w:r w:rsidRPr="00505442">
              <w:rPr>
                <w:rFonts w:ascii="Calibri" w:hAnsi="Calibri"/>
                <w:sz w:val="20"/>
                <w:szCs w:val="20"/>
              </w:rPr>
              <w:t>0</w:t>
            </w:r>
          </w:p>
        </w:tc>
        <w:tc>
          <w:tcPr>
            <w:tcW w:w="629" w:type="dxa"/>
            <w:vAlign w:val="center"/>
          </w:tcPr>
          <w:p w:rsidR="00A53BCF" w:rsidRPr="00C044AA" w:rsidRDefault="00A53BCF" w:rsidP="00A53BCF">
            <w:pPr>
              <w:jc w:val="center"/>
              <w:rPr>
                <w:rFonts w:ascii="Calibri" w:hAnsi="Calibri"/>
                <w:sz w:val="20"/>
                <w:szCs w:val="20"/>
              </w:rPr>
            </w:pPr>
            <w:r w:rsidRPr="00505442">
              <w:rPr>
                <w:rFonts w:ascii="Calibri" w:hAnsi="Calibri"/>
                <w:sz w:val="20"/>
                <w:szCs w:val="20"/>
              </w:rPr>
              <w:t>9</w:t>
            </w:r>
          </w:p>
        </w:tc>
        <w:tc>
          <w:tcPr>
            <w:tcW w:w="709" w:type="dxa"/>
            <w:vAlign w:val="center"/>
          </w:tcPr>
          <w:p w:rsidR="00A53BCF" w:rsidRPr="00C044AA" w:rsidRDefault="00A53BCF" w:rsidP="00A53BCF">
            <w:pPr>
              <w:jc w:val="center"/>
              <w:rPr>
                <w:rFonts w:ascii="Calibri" w:hAnsi="Calibri"/>
                <w:sz w:val="20"/>
                <w:szCs w:val="20"/>
              </w:rPr>
            </w:pPr>
            <w:r w:rsidRPr="00505442">
              <w:rPr>
                <w:rFonts w:ascii="Calibri" w:hAnsi="Calibri"/>
                <w:sz w:val="20"/>
                <w:szCs w:val="20"/>
              </w:rPr>
              <w:t>33</w:t>
            </w:r>
          </w:p>
        </w:tc>
        <w:tc>
          <w:tcPr>
            <w:tcW w:w="938" w:type="dxa"/>
            <w:vAlign w:val="center"/>
          </w:tcPr>
          <w:p w:rsidR="00A53BCF" w:rsidRPr="00C044AA" w:rsidRDefault="00A53BCF" w:rsidP="00A53BCF">
            <w:pPr>
              <w:jc w:val="center"/>
              <w:rPr>
                <w:rFonts w:ascii="Calibri" w:hAnsi="Calibri"/>
                <w:sz w:val="20"/>
                <w:szCs w:val="20"/>
              </w:rPr>
            </w:pPr>
            <w:r w:rsidRPr="00505442">
              <w:rPr>
                <w:rFonts w:ascii="Calibri" w:hAnsi="Calibri"/>
                <w:sz w:val="20"/>
                <w:szCs w:val="20"/>
              </w:rPr>
              <w:t>52</w:t>
            </w:r>
          </w:p>
        </w:tc>
        <w:tc>
          <w:tcPr>
            <w:tcW w:w="692" w:type="dxa"/>
            <w:vAlign w:val="center"/>
          </w:tcPr>
          <w:p w:rsidR="00A53BCF" w:rsidRPr="00C044AA" w:rsidRDefault="00A53BCF" w:rsidP="00A53BCF">
            <w:pPr>
              <w:jc w:val="center"/>
              <w:rPr>
                <w:rFonts w:ascii="Calibri" w:hAnsi="Calibri"/>
                <w:sz w:val="20"/>
                <w:szCs w:val="20"/>
              </w:rPr>
            </w:pPr>
            <w:r w:rsidRPr="00505442">
              <w:rPr>
                <w:rFonts w:ascii="Calibri" w:hAnsi="Calibri"/>
                <w:sz w:val="20"/>
                <w:szCs w:val="20"/>
              </w:rPr>
              <w:t>85</w:t>
            </w:r>
          </w:p>
        </w:tc>
        <w:tc>
          <w:tcPr>
            <w:tcW w:w="1222" w:type="dxa"/>
            <w:vAlign w:val="center"/>
          </w:tcPr>
          <w:p w:rsidR="00A53BCF" w:rsidRPr="00C044AA" w:rsidRDefault="00A53BCF" w:rsidP="00A53BCF">
            <w:pPr>
              <w:jc w:val="right"/>
              <w:rPr>
                <w:rFonts w:ascii="Calibri" w:hAnsi="Calibri"/>
                <w:sz w:val="20"/>
                <w:szCs w:val="20"/>
              </w:rPr>
            </w:pPr>
            <w:r w:rsidRPr="00505442">
              <w:rPr>
                <w:rFonts w:ascii="Calibri" w:hAnsi="Calibri"/>
                <w:sz w:val="20"/>
                <w:szCs w:val="20"/>
              </w:rPr>
              <w:t>49 846,80</w:t>
            </w:r>
          </w:p>
        </w:tc>
      </w:tr>
      <w:tr w:rsidR="00A53BCF" w:rsidRPr="00C044AA" w:rsidTr="00A53BCF">
        <w:trPr>
          <w:cantSplit/>
          <w:jc w:val="center"/>
        </w:trPr>
        <w:tc>
          <w:tcPr>
            <w:tcW w:w="1747" w:type="dxa"/>
            <w:vAlign w:val="center"/>
          </w:tcPr>
          <w:p w:rsidR="00A53BCF" w:rsidRPr="00C044AA" w:rsidRDefault="00A53BCF" w:rsidP="001B5E1A">
            <w:pPr>
              <w:jc w:val="left"/>
              <w:rPr>
                <w:rFonts w:ascii="Calibri" w:hAnsi="Calibri"/>
                <w:sz w:val="20"/>
                <w:szCs w:val="20"/>
              </w:rPr>
            </w:pPr>
            <w:r w:rsidRPr="00505442">
              <w:rPr>
                <w:rFonts w:ascii="Calibri" w:hAnsi="Calibri"/>
                <w:sz w:val="20"/>
                <w:szCs w:val="20"/>
              </w:rPr>
              <w:t>Remeselné činnosti</w:t>
            </w:r>
          </w:p>
        </w:tc>
        <w:tc>
          <w:tcPr>
            <w:tcW w:w="1211" w:type="dxa"/>
            <w:vAlign w:val="center"/>
          </w:tcPr>
          <w:p w:rsidR="00A53BCF" w:rsidRPr="00C044AA" w:rsidRDefault="00A53BCF" w:rsidP="00A53BCF">
            <w:pPr>
              <w:jc w:val="center"/>
              <w:rPr>
                <w:rFonts w:ascii="Calibri" w:hAnsi="Calibri"/>
                <w:sz w:val="20"/>
                <w:szCs w:val="20"/>
              </w:rPr>
            </w:pPr>
            <w:r w:rsidRPr="00505442">
              <w:rPr>
                <w:rFonts w:ascii="Calibri" w:hAnsi="Calibri"/>
                <w:sz w:val="20"/>
                <w:szCs w:val="20"/>
              </w:rPr>
              <w:t>0</w:t>
            </w:r>
          </w:p>
        </w:tc>
        <w:tc>
          <w:tcPr>
            <w:tcW w:w="684" w:type="dxa"/>
            <w:vAlign w:val="center"/>
          </w:tcPr>
          <w:p w:rsidR="00A53BCF" w:rsidRPr="00C044AA" w:rsidRDefault="00A53BCF" w:rsidP="00A53BCF">
            <w:pPr>
              <w:jc w:val="center"/>
              <w:rPr>
                <w:rFonts w:ascii="Calibri" w:hAnsi="Calibri"/>
                <w:sz w:val="20"/>
                <w:szCs w:val="20"/>
              </w:rPr>
            </w:pPr>
            <w:r w:rsidRPr="00505442">
              <w:rPr>
                <w:rFonts w:ascii="Calibri" w:hAnsi="Calibri"/>
                <w:sz w:val="20"/>
                <w:szCs w:val="20"/>
              </w:rPr>
              <w:t>0</w:t>
            </w:r>
          </w:p>
        </w:tc>
        <w:tc>
          <w:tcPr>
            <w:tcW w:w="605" w:type="dxa"/>
            <w:vAlign w:val="center"/>
          </w:tcPr>
          <w:p w:rsidR="00A53BCF" w:rsidRPr="00C044AA" w:rsidRDefault="00A53BCF" w:rsidP="00A53BCF">
            <w:pPr>
              <w:jc w:val="center"/>
              <w:rPr>
                <w:rFonts w:ascii="Calibri" w:hAnsi="Calibri"/>
                <w:sz w:val="20"/>
                <w:szCs w:val="20"/>
              </w:rPr>
            </w:pPr>
            <w:r w:rsidRPr="00505442">
              <w:rPr>
                <w:rFonts w:ascii="Calibri" w:hAnsi="Calibri"/>
                <w:sz w:val="20"/>
                <w:szCs w:val="20"/>
              </w:rPr>
              <w:t>0</w:t>
            </w:r>
          </w:p>
        </w:tc>
        <w:tc>
          <w:tcPr>
            <w:tcW w:w="572" w:type="dxa"/>
            <w:vAlign w:val="center"/>
          </w:tcPr>
          <w:p w:rsidR="00A53BCF" w:rsidRPr="00C044AA" w:rsidRDefault="00A53BCF" w:rsidP="00A53BCF">
            <w:pPr>
              <w:jc w:val="center"/>
              <w:rPr>
                <w:rFonts w:ascii="Calibri" w:hAnsi="Calibri"/>
                <w:sz w:val="20"/>
                <w:szCs w:val="20"/>
              </w:rPr>
            </w:pPr>
            <w:r w:rsidRPr="00505442">
              <w:rPr>
                <w:rFonts w:ascii="Calibri" w:hAnsi="Calibri"/>
                <w:sz w:val="20"/>
                <w:szCs w:val="20"/>
              </w:rPr>
              <w:t>0</w:t>
            </w:r>
          </w:p>
        </w:tc>
        <w:tc>
          <w:tcPr>
            <w:tcW w:w="629" w:type="dxa"/>
            <w:vAlign w:val="center"/>
          </w:tcPr>
          <w:p w:rsidR="00A53BCF" w:rsidRPr="00C044AA" w:rsidRDefault="00A53BCF" w:rsidP="00A53BCF">
            <w:pPr>
              <w:jc w:val="center"/>
              <w:rPr>
                <w:rFonts w:ascii="Calibri" w:hAnsi="Calibri"/>
                <w:sz w:val="20"/>
                <w:szCs w:val="20"/>
              </w:rPr>
            </w:pPr>
            <w:r w:rsidRPr="00505442">
              <w:rPr>
                <w:rFonts w:ascii="Calibri" w:hAnsi="Calibri"/>
                <w:sz w:val="20"/>
                <w:szCs w:val="20"/>
              </w:rPr>
              <w:t>0</w:t>
            </w:r>
          </w:p>
        </w:tc>
        <w:tc>
          <w:tcPr>
            <w:tcW w:w="709" w:type="dxa"/>
            <w:vAlign w:val="center"/>
          </w:tcPr>
          <w:p w:rsidR="00A53BCF" w:rsidRPr="00C044AA" w:rsidRDefault="00A53BCF" w:rsidP="00A53BCF">
            <w:pPr>
              <w:jc w:val="center"/>
              <w:rPr>
                <w:rFonts w:ascii="Calibri" w:hAnsi="Calibri"/>
                <w:sz w:val="20"/>
                <w:szCs w:val="20"/>
              </w:rPr>
            </w:pPr>
            <w:r w:rsidRPr="00505442">
              <w:rPr>
                <w:rFonts w:ascii="Calibri" w:hAnsi="Calibri"/>
                <w:sz w:val="20"/>
                <w:szCs w:val="20"/>
              </w:rPr>
              <w:t>0</w:t>
            </w:r>
          </w:p>
        </w:tc>
        <w:tc>
          <w:tcPr>
            <w:tcW w:w="938" w:type="dxa"/>
            <w:vAlign w:val="center"/>
          </w:tcPr>
          <w:p w:rsidR="00A53BCF" w:rsidRPr="00C044AA" w:rsidRDefault="00A53BCF" w:rsidP="00A53BCF">
            <w:pPr>
              <w:jc w:val="center"/>
              <w:rPr>
                <w:rFonts w:ascii="Calibri" w:hAnsi="Calibri"/>
                <w:sz w:val="20"/>
                <w:szCs w:val="20"/>
              </w:rPr>
            </w:pPr>
            <w:r w:rsidRPr="00505442">
              <w:rPr>
                <w:rFonts w:ascii="Calibri" w:hAnsi="Calibri"/>
                <w:sz w:val="20"/>
                <w:szCs w:val="20"/>
              </w:rPr>
              <w:t>0</w:t>
            </w:r>
          </w:p>
        </w:tc>
        <w:tc>
          <w:tcPr>
            <w:tcW w:w="692" w:type="dxa"/>
            <w:vAlign w:val="center"/>
          </w:tcPr>
          <w:p w:rsidR="00A53BCF" w:rsidRPr="00C044AA" w:rsidRDefault="00A53BCF" w:rsidP="00A53BCF">
            <w:pPr>
              <w:jc w:val="center"/>
              <w:rPr>
                <w:rFonts w:ascii="Calibri" w:hAnsi="Calibri"/>
                <w:sz w:val="20"/>
                <w:szCs w:val="20"/>
              </w:rPr>
            </w:pPr>
            <w:r w:rsidRPr="00505442">
              <w:rPr>
                <w:rFonts w:ascii="Calibri" w:hAnsi="Calibri"/>
                <w:sz w:val="20"/>
                <w:szCs w:val="20"/>
              </w:rPr>
              <w:t>0</w:t>
            </w:r>
          </w:p>
        </w:tc>
        <w:tc>
          <w:tcPr>
            <w:tcW w:w="1222" w:type="dxa"/>
            <w:vAlign w:val="center"/>
          </w:tcPr>
          <w:p w:rsidR="00A53BCF" w:rsidRPr="00C044AA" w:rsidRDefault="00A53BCF" w:rsidP="00A53BCF">
            <w:pPr>
              <w:jc w:val="right"/>
              <w:rPr>
                <w:rFonts w:ascii="Calibri" w:hAnsi="Calibri"/>
                <w:sz w:val="20"/>
                <w:szCs w:val="20"/>
              </w:rPr>
            </w:pPr>
            <w:r w:rsidRPr="00505442">
              <w:rPr>
                <w:rFonts w:ascii="Calibri" w:hAnsi="Calibri"/>
                <w:sz w:val="20"/>
                <w:szCs w:val="20"/>
              </w:rPr>
              <w:t>0</w:t>
            </w:r>
          </w:p>
        </w:tc>
      </w:tr>
      <w:tr w:rsidR="00A53BCF" w:rsidRPr="00C044AA" w:rsidTr="00A53BCF">
        <w:trPr>
          <w:cantSplit/>
          <w:jc w:val="center"/>
        </w:trPr>
        <w:tc>
          <w:tcPr>
            <w:tcW w:w="1747" w:type="dxa"/>
            <w:vAlign w:val="center"/>
          </w:tcPr>
          <w:p w:rsidR="00A53BCF" w:rsidRPr="00C044AA" w:rsidRDefault="00A53BCF" w:rsidP="001B5E1A">
            <w:pPr>
              <w:jc w:val="left"/>
              <w:rPr>
                <w:rFonts w:ascii="Calibri" w:hAnsi="Calibri"/>
                <w:sz w:val="20"/>
                <w:szCs w:val="20"/>
              </w:rPr>
            </w:pPr>
            <w:r w:rsidRPr="00505442">
              <w:rPr>
                <w:rFonts w:ascii="Calibri" w:hAnsi="Calibri"/>
                <w:sz w:val="20"/>
                <w:szCs w:val="20"/>
              </w:rPr>
              <w:t>Maloobchodné činnosti</w:t>
            </w:r>
          </w:p>
        </w:tc>
        <w:tc>
          <w:tcPr>
            <w:tcW w:w="1211" w:type="dxa"/>
            <w:vAlign w:val="center"/>
          </w:tcPr>
          <w:p w:rsidR="00A53BCF" w:rsidRPr="00C044AA" w:rsidRDefault="00A53BCF" w:rsidP="00A53BCF">
            <w:pPr>
              <w:jc w:val="center"/>
              <w:rPr>
                <w:rFonts w:ascii="Calibri" w:hAnsi="Calibri"/>
                <w:sz w:val="20"/>
                <w:szCs w:val="20"/>
              </w:rPr>
            </w:pPr>
            <w:r w:rsidRPr="00505442">
              <w:rPr>
                <w:rFonts w:ascii="Calibri" w:hAnsi="Calibri"/>
                <w:sz w:val="20"/>
                <w:szCs w:val="20"/>
              </w:rPr>
              <w:t>24</w:t>
            </w:r>
          </w:p>
        </w:tc>
        <w:tc>
          <w:tcPr>
            <w:tcW w:w="684" w:type="dxa"/>
            <w:vAlign w:val="center"/>
          </w:tcPr>
          <w:p w:rsidR="00A53BCF" w:rsidRPr="00C044AA" w:rsidRDefault="00A53BCF" w:rsidP="00A53BCF">
            <w:pPr>
              <w:jc w:val="center"/>
              <w:rPr>
                <w:rFonts w:ascii="Calibri" w:hAnsi="Calibri"/>
                <w:sz w:val="20"/>
                <w:szCs w:val="20"/>
              </w:rPr>
            </w:pPr>
            <w:r w:rsidRPr="00505442">
              <w:rPr>
                <w:rFonts w:ascii="Calibri" w:hAnsi="Calibri"/>
                <w:sz w:val="20"/>
                <w:szCs w:val="20"/>
              </w:rPr>
              <w:t>0</w:t>
            </w:r>
          </w:p>
        </w:tc>
        <w:tc>
          <w:tcPr>
            <w:tcW w:w="605" w:type="dxa"/>
            <w:vAlign w:val="center"/>
          </w:tcPr>
          <w:p w:rsidR="00A53BCF" w:rsidRPr="00C044AA" w:rsidRDefault="00A53BCF" w:rsidP="00A53BCF">
            <w:pPr>
              <w:jc w:val="center"/>
              <w:rPr>
                <w:rFonts w:ascii="Calibri" w:hAnsi="Calibri"/>
                <w:sz w:val="20"/>
                <w:szCs w:val="20"/>
              </w:rPr>
            </w:pPr>
            <w:r w:rsidRPr="00505442">
              <w:rPr>
                <w:rFonts w:ascii="Calibri" w:hAnsi="Calibri"/>
                <w:sz w:val="20"/>
                <w:szCs w:val="20"/>
              </w:rPr>
              <w:t>1</w:t>
            </w:r>
          </w:p>
        </w:tc>
        <w:tc>
          <w:tcPr>
            <w:tcW w:w="572" w:type="dxa"/>
            <w:vAlign w:val="center"/>
          </w:tcPr>
          <w:p w:rsidR="00A53BCF" w:rsidRPr="00C044AA" w:rsidRDefault="00A53BCF" w:rsidP="00A53BCF">
            <w:pPr>
              <w:jc w:val="center"/>
              <w:rPr>
                <w:rFonts w:ascii="Calibri" w:hAnsi="Calibri"/>
                <w:sz w:val="20"/>
                <w:szCs w:val="20"/>
              </w:rPr>
            </w:pPr>
            <w:r w:rsidRPr="00505442">
              <w:rPr>
                <w:rFonts w:ascii="Calibri" w:hAnsi="Calibri"/>
                <w:sz w:val="20"/>
                <w:szCs w:val="20"/>
              </w:rPr>
              <w:t>0</w:t>
            </w:r>
          </w:p>
        </w:tc>
        <w:tc>
          <w:tcPr>
            <w:tcW w:w="629" w:type="dxa"/>
            <w:vAlign w:val="center"/>
          </w:tcPr>
          <w:p w:rsidR="00A53BCF" w:rsidRPr="00C044AA" w:rsidRDefault="00A53BCF" w:rsidP="00A53BCF">
            <w:pPr>
              <w:jc w:val="center"/>
              <w:rPr>
                <w:rFonts w:ascii="Calibri" w:hAnsi="Calibri"/>
                <w:sz w:val="20"/>
                <w:szCs w:val="20"/>
              </w:rPr>
            </w:pPr>
            <w:r w:rsidRPr="00505442">
              <w:rPr>
                <w:rFonts w:ascii="Calibri" w:hAnsi="Calibri"/>
                <w:sz w:val="20"/>
                <w:szCs w:val="20"/>
              </w:rPr>
              <w:t>0</w:t>
            </w:r>
          </w:p>
        </w:tc>
        <w:tc>
          <w:tcPr>
            <w:tcW w:w="709" w:type="dxa"/>
            <w:vAlign w:val="center"/>
          </w:tcPr>
          <w:p w:rsidR="00A53BCF" w:rsidRPr="00C044AA" w:rsidRDefault="00A53BCF" w:rsidP="00A53BCF">
            <w:pPr>
              <w:jc w:val="center"/>
              <w:rPr>
                <w:rFonts w:ascii="Calibri" w:hAnsi="Calibri"/>
                <w:sz w:val="20"/>
                <w:szCs w:val="20"/>
              </w:rPr>
            </w:pPr>
            <w:r w:rsidRPr="00505442">
              <w:rPr>
                <w:rFonts w:ascii="Calibri" w:hAnsi="Calibri"/>
                <w:sz w:val="20"/>
                <w:szCs w:val="20"/>
              </w:rPr>
              <w:t>1</w:t>
            </w:r>
          </w:p>
        </w:tc>
        <w:tc>
          <w:tcPr>
            <w:tcW w:w="938" w:type="dxa"/>
            <w:vAlign w:val="center"/>
          </w:tcPr>
          <w:p w:rsidR="00A53BCF" w:rsidRPr="00C044AA" w:rsidRDefault="00A53BCF" w:rsidP="00A53BCF">
            <w:pPr>
              <w:jc w:val="center"/>
              <w:rPr>
                <w:rFonts w:ascii="Calibri" w:hAnsi="Calibri"/>
                <w:sz w:val="20"/>
                <w:szCs w:val="20"/>
              </w:rPr>
            </w:pPr>
            <w:r w:rsidRPr="00505442">
              <w:rPr>
                <w:rFonts w:ascii="Calibri" w:hAnsi="Calibri"/>
                <w:sz w:val="20"/>
                <w:szCs w:val="20"/>
              </w:rPr>
              <w:t>10</w:t>
            </w:r>
          </w:p>
        </w:tc>
        <w:tc>
          <w:tcPr>
            <w:tcW w:w="692" w:type="dxa"/>
            <w:vAlign w:val="center"/>
          </w:tcPr>
          <w:p w:rsidR="00A53BCF" w:rsidRPr="00C044AA" w:rsidRDefault="00A53BCF" w:rsidP="00A53BCF">
            <w:pPr>
              <w:jc w:val="center"/>
              <w:rPr>
                <w:rFonts w:ascii="Calibri" w:hAnsi="Calibri"/>
                <w:sz w:val="20"/>
                <w:szCs w:val="20"/>
              </w:rPr>
            </w:pPr>
            <w:r w:rsidRPr="00505442">
              <w:rPr>
                <w:rFonts w:ascii="Calibri" w:hAnsi="Calibri"/>
                <w:sz w:val="20"/>
                <w:szCs w:val="20"/>
              </w:rPr>
              <w:t>11</w:t>
            </w:r>
          </w:p>
        </w:tc>
        <w:tc>
          <w:tcPr>
            <w:tcW w:w="1222" w:type="dxa"/>
            <w:vAlign w:val="center"/>
          </w:tcPr>
          <w:p w:rsidR="00A53BCF" w:rsidRPr="00C044AA" w:rsidRDefault="00A53BCF" w:rsidP="00A53BCF">
            <w:pPr>
              <w:jc w:val="right"/>
              <w:rPr>
                <w:rFonts w:ascii="Calibri" w:hAnsi="Calibri"/>
                <w:sz w:val="20"/>
                <w:szCs w:val="20"/>
              </w:rPr>
            </w:pPr>
            <w:r w:rsidRPr="00505442">
              <w:rPr>
                <w:rFonts w:ascii="Calibri" w:hAnsi="Calibri"/>
                <w:sz w:val="20"/>
                <w:szCs w:val="20"/>
              </w:rPr>
              <w:t>7 559,71</w:t>
            </w:r>
          </w:p>
        </w:tc>
      </w:tr>
      <w:tr w:rsidR="00A53BCF" w:rsidRPr="00C044AA" w:rsidTr="00A53BCF">
        <w:trPr>
          <w:cantSplit/>
          <w:jc w:val="center"/>
        </w:trPr>
        <w:tc>
          <w:tcPr>
            <w:tcW w:w="1747" w:type="dxa"/>
            <w:vAlign w:val="center"/>
          </w:tcPr>
          <w:p w:rsidR="00A53BCF" w:rsidRPr="00C044AA" w:rsidRDefault="00A53BCF" w:rsidP="001B5E1A">
            <w:pPr>
              <w:jc w:val="left"/>
              <w:rPr>
                <w:rFonts w:ascii="Calibri" w:hAnsi="Calibri"/>
                <w:sz w:val="20"/>
                <w:szCs w:val="20"/>
              </w:rPr>
            </w:pPr>
            <w:r w:rsidRPr="00505442">
              <w:rPr>
                <w:rFonts w:ascii="Calibri" w:hAnsi="Calibri"/>
                <w:sz w:val="20"/>
                <w:szCs w:val="20"/>
              </w:rPr>
              <w:t>Výroba obnoviteľ-nej energie</w:t>
            </w:r>
          </w:p>
        </w:tc>
        <w:tc>
          <w:tcPr>
            <w:tcW w:w="1211" w:type="dxa"/>
            <w:vAlign w:val="center"/>
          </w:tcPr>
          <w:p w:rsidR="00A53BCF" w:rsidRPr="00C044AA" w:rsidRDefault="00A53BCF" w:rsidP="00A53BCF">
            <w:pPr>
              <w:jc w:val="center"/>
              <w:rPr>
                <w:rFonts w:ascii="Calibri" w:hAnsi="Calibri"/>
                <w:sz w:val="20"/>
                <w:szCs w:val="20"/>
              </w:rPr>
            </w:pPr>
            <w:r w:rsidRPr="00505442">
              <w:rPr>
                <w:rFonts w:ascii="Calibri" w:hAnsi="Calibri"/>
                <w:sz w:val="20"/>
                <w:szCs w:val="20"/>
              </w:rPr>
              <w:t>24</w:t>
            </w:r>
          </w:p>
        </w:tc>
        <w:tc>
          <w:tcPr>
            <w:tcW w:w="684" w:type="dxa"/>
            <w:vAlign w:val="center"/>
          </w:tcPr>
          <w:p w:rsidR="00A53BCF" w:rsidRPr="00C044AA" w:rsidRDefault="00A53BCF" w:rsidP="00A53BCF">
            <w:pPr>
              <w:jc w:val="center"/>
              <w:rPr>
                <w:rFonts w:ascii="Calibri" w:hAnsi="Calibri"/>
                <w:sz w:val="20"/>
                <w:szCs w:val="20"/>
              </w:rPr>
            </w:pPr>
            <w:r w:rsidRPr="00505442">
              <w:rPr>
                <w:rFonts w:ascii="Calibri" w:hAnsi="Calibri"/>
                <w:sz w:val="20"/>
                <w:szCs w:val="20"/>
              </w:rPr>
              <w:t>1</w:t>
            </w:r>
          </w:p>
        </w:tc>
        <w:tc>
          <w:tcPr>
            <w:tcW w:w="605" w:type="dxa"/>
            <w:vAlign w:val="center"/>
          </w:tcPr>
          <w:p w:rsidR="00A53BCF" w:rsidRPr="00C044AA" w:rsidRDefault="00A53BCF" w:rsidP="00A53BCF">
            <w:pPr>
              <w:jc w:val="center"/>
              <w:rPr>
                <w:rFonts w:ascii="Calibri" w:hAnsi="Calibri"/>
                <w:sz w:val="20"/>
                <w:szCs w:val="20"/>
              </w:rPr>
            </w:pPr>
            <w:r w:rsidRPr="00505442">
              <w:rPr>
                <w:rFonts w:ascii="Calibri" w:hAnsi="Calibri"/>
                <w:sz w:val="20"/>
                <w:szCs w:val="20"/>
              </w:rPr>
              <w:t>2</w:t>
            </w:r>
          </w:p>
        </w:tc>
        <w:tc>
          <w:tcPr>
            <w:tcW w:w="572" w:type="dxa"/>
            <w:vAlign w:val="center"/>
          </w:tcPr>
          <w:p w:rsidR="00A53BCF" w:rsidRPr="00C044AA" w:rsidRDefault="00A53BCF" w:rsidP="00A53BCF">
            <w:pPr>
              <w:jc w:val="center"/>
              <w:rPr>
                <w:rFonts w:ascii="Calibri" w:hAnsi="Calibri"/>
                <w:sz w:val="20"/>
                <w:szCs w:val="20"/>
              </w:rPr>
            </w:pPr>
            <w:r w:rsidRPr="00505442">
              <w:rPr>
                <w:rFonts w:ascii="Calibri" w:hAnsi="Calibri"/>
                <w:sz w:val="20"/>
                <w:szCs w:val="20"/>
              </w:rPr>
              <w:t>0</w:t>
            </w:r>
          </w:p>
        </w:tc>
        <w:tc>
          <w:tcPr>
            <w:tcW w:w="629" w:type="dxa"/>
            <w:vAlign w:val="center"/>
          </w:tcPr>
          <w:p w:rsidR="00A53BCF" w:rsidRPr="00C044AA" w:rsidRDefault="00A53BCF" w:rsidP="00A53BCF">
            <w:pPr>
              <w:jc w:val="center"/>
              <w:rPr>
                <w:rFonts w:ascii="Calibri" w:hAnsi="Calibri"/>
                <w:sz w:val="20"/>
                <w:szCs w:val="20"/>
              </w:rPr>
            </w:pPr>
            <w:r w:rsidRPr="00505442">
              <w:rPr>
                <w:rFonts w:ascii="Calibri" w:hAnsi="Calibri"/>
                <w:sz w:val="20"/>
                <w:szCs w:val="20"/>
              </w:rPr>
              <w:t>0</w:t>
            </w:r>
          </w:p>
        </w:tc>
        <w:tc>
          <w:tcPr>
            <w:tcW w:w="709" w:type="dxa"/>
            <w:vAlign w:val="center"/>
          </w:tcPr>
          <w:p w:rsidR="00A53BCF" w:rsidRPr="00C044AA" w:rsidRDefault="00A53BCF" w:rsidP="00A53BCF">
            <w:pPr>
              <w:jc w:val="center"/>
              <w:rPr>
                <w:rFonts w:ascii="Calibri" w:hAnsi="Calibri"/>
                <w:sz w:val="20"/>
                <w:szCs w:val="20"/>
              </w:rPr>
            </w:pPr>
            <w:r w:rsidRPr="00505442">
              <w:rPr>
                <w:rFonts w:ascii="Calibri" w:hAnsi="Calibri"/>
                <w:sz w:val="20"/>
                <w:szCs w:val="20"/>
              </w:rPr>
              <w:t>3</w:t>
            </w:r>
          </w:p>
        </w:tc>
        <w:tc>
          <w:tcPr>
            <w:tcW w:w="938" w:type="dxa"/>
            <w:vAlign w:val="center"/>
          </w:tcPr>
          <w:p w:rsidR="00A53BCF" w:rsidRPr="00C044AA" w:rsidRDefault="00A53BCF" w:rsidP="00A53BCF">
            <w:pPr>
              <w:jc w:val="center"/>
              <w:rPr>
                <w:rFonts w:ascii="Calibri" w:hAnsi="Calibri"/>
                <w:sz w:val="20"/>
                <w:szCs w:val="20"/>
              </w:rPr>
            </w:pPr>
            <w:r w:rsidRPr="00505442">
              <w:rPr>
                <w:rFonts w:ascii="Calibri" w:hAnsi="Calibri"/>
                <w:sz w:val="20"/>
                <w:szCs w:val="20"/>
              </w:rPr>
              <w:t>13</w:t>
            </w:r>
          </w:p>
        </w:tc>
        <w:tc>
          <w:tcPr>
            <w:tcW w:w="692" w:type="dxa"/>
            <w:vAlign w:val="center"/>
          </w:tcPr>
          <w:p w:rsidR="00A53BCF" w:rsidRPr="00C044AA" w:rsidRDefault="00A53BCF" w:rsidP="00A53BCF">
            <w:pPr>
              <w:jc w:val="center"/>
              <w:rPr>
                <w:rFonts w:ascii="Calibri" w:hAnsi="Calibri"/>
                <w:sz w:val="20"/>
                <w:szCs w:val="20"/>
              </w:rPr>
            </w:pPr>
            <w:r w:rsidRPr="00505442">
              <w:rPr>
                <w:rFonts w:ascii="Calibri" w:hAnsi="Calibri"/>
                <w:sz w:val="20"/>
                <w:szCs w:val="20"/>
              </w:rPr>
              <w:t>16</w:t>
            </w:r>
          </w:p>
        </w:tc>
        <w:tc>
          <w:tcPr>
            <w:tcW w:w="1222" w:type="dxa"/>
            <w:vAlign w:val="center"/>
          </w:tcPr>
          <w:p w:rsidR="00A53BCF" w:rsidRPr="00C044AA" w:rsidRDefault="00A53BCF" w:rsidP="00A53BCF">
            <w:pPr>
              <w:jc w:val="right"/>
              <w:rPr>
                <w:rFonts w:ascii="Calibri" w:hAnsi="Calibri"/>
                <w:sz w:val="20"/>
                <w:szCs w:val="20"/>
              </w:rPr>
            </w:pPr>
            <w:r w:rsidRPr="00505442">
              <w:rPr>
                <w:rFonts w:ascii="Calibri" w:hAnsi="Calibri"/>
                <w:sz w:val="20"/>
                <w:szCs w:val="20"/>
              </w:rPr>
              <w:t>38 424,67</w:t>
            </w:r>
          </w:p>
        </w:tc>
      </w:tr>
      <w:tr w:rsidR="00A53BCF" w:rsidRPr="00C044AA" w:rsidTr="00A53BCF">
        <w:trPr>
          <w:cantSplit/>
          <w:jc w:val="center"/>
        </w:trPr>
        <w:tc>
          <w:tcPr>
            <w:tcW w:w="1747" w:type="dxa"/>
            <w:vAlign w:val="center"/>
          </w:tcPr>
          <w:p w:rsidR="00A53BCF" w:rsidRPr="00C044AA" w:rsidRDefault="00A53BCF" w:rsidP="001B5E1A">
            <w:pPr>
              <w:jc w:val="left"/>
              <w:rPr>
                <w:rFonts w:ascii="Calibri" w:hAnsi="Calibri"/>
                <w:sz w:val="20"/>
                <w:szCs w:val="20"/>
              </w:rPr>
            </w:pPr>
            <w:r w:rsidRPr="00505442">
              <w:rPr>
                <w:rFonts w:ascii="Calibri" w:hAnsi="Calibri"/>
                <w:sz w:val="20"/>
                <w:szCs w:val="20"/>
              </w:rPr>
              <w:t xml:space="preserve">Iné </w:t>
            </w:r>
          </w:p>
        </w:tc>
        <w:tc>
          <w:tcPr>
            <w:tcW w:w="1211" w:type="dxa"/>
            <w:vAlign w:val="center"/>
          </w:tcPr>
          <w:p w:rsidR="00A53BCF" w:rsidRPr="00C044AA" w:rsidRDefault="00A53BCF" w:rsidP="00A53BCF">
            <w:pPr>
              <w:jc w:val="center"/>
              <w:rPr>
                <w:rFonts w:ascii="Calibri" w:hAnsi="Calibri"/>
                <w:sz w:val="20"/>
                <w:szCs w:val="20"/>
              </w:rPr>
            </w:pPr>
            <w:r w:rsidRPr="00505442">
              <w:rPr>
                <w:rFonts w:ascii="Calibri" w:hAnsi="Calibri"/>
                <w:sz w:val="20"/>
                <w:szCs w:val="20"/>
              </w:rPr>
              <w:t>17</w:t>
            </w:r>
          </w:p>
        </w:tc>
        <w:tc>
          <w:tcPr>
            <w:tcW w:w="684" w:type="dxa"/>
            <w:vAlign w:val="center"/>
          </w:tcPr>
          <w:p w:rsidR="00A53BCF" w:rsidRPr="00C044AA" w:rsidRDefault="00A53BCF" w:rsidP="00A53BCF">
            <w:pPr>
              <w:jc w:val="center"/>
              <w:rPr>
                <w:rFonts w:ascii="Calibri" w:hAnsi="Calibri"/>
                <w:sz w:val="20"/>
                <w:szCs w:val="20"/>
              </w:rPr>
            </w:pPr>
            <w:r w:rsidRPr="00505442">
              <w:rPr>
                <w:rFonts w:ascii="Calibri" w:hAnsi="Calibri"/>
                <w:sz w:val="20"/>
                <w:szCs w:val="20"/>
              </w:rPr>
              <w:t>0</w:t>
            </w:r>
          </w:p>
        </w:tc>
        <w:tc>
          <w:tcPr>
            <w:tcW w:w="605" w:type="dxa"/>
            <w:vAlign w:val="center"/>
          </w:tcPr>
          <w:p w:rsidR="00A53BCF" w:rsidRPr="00C044AA" w:rsidRDefault="00A53BCF" w:rsidP="00A53BCF">
            <w:pPr>
              <w:jc w:val="center"/>
              <w:rPr>
                <w:rFonts w:ascii="Calibri" w:hAnsi="Calibri"/>
                <w:sz w:val="20"/>
                <w:szCs w:val="20"/>
              </w:rPr>
            </w:pPr>
            <w:r w:rsidRPr="00505442">
              <w:rPr>
                <w:rFonts w:ascii="Calibri" w:hAnsi="Calibri"/>
                <w:sz w:val="20"/>
                <w:szCs w:val="20"/>
              </w:rPr>
              <w:t>1</w:t>
            </w:r>
          </w:p>
        </w:tc>
        <w:tc>
          <w:tcPr>
            <w:tcW w:w="572" w:type="dxa"/>
            <w:vAlign w:val="center"/>
          </w:tcPr>
          <w:p w:rsidR="00A53BCF" w:rsidRPr="00C044AA" w:rsidRDefault="00A53BCF" w:rsidP="00A53BCF">
            <w:pPr>
              <w:jc w:val="center"/>
              <w:rPr>
                <w:rFonts w:ascii="Calibri" w:hAnsi="Calibri"/>
                <w:sz w:val="20"/>
                <w:szCs w:val="20"/>
              </w:rPr>
            </w:pPr>
            <w:r w:rsidRPr="00505442">
              <w:rPr>
                <w:rFonts w:ascii="Calibri" w:hAnsi="Calibri"/>
                <w:sz w:val="20"/>
                <w:szCs w:val="20"/>
              </w:rPr>
              <w:t>0</w:t>
            </w:r>
          </w:p>
        </w:tc>
        <w:tc>
          <w:tcPr>
            <w:tcW w:w="629" w:type="dxa"/>
            <w:vAlign w:val="center"/>
          </w:tcPr>
          <w:p w:rsidR="00A53BCF" w:rsidRPr="00C044AA" w:rsidRDefault="00A53BCF" w:rsidP="00A53BCF">
            <w:pPr>
              <w:jc w:val="center"/>
              <w:rPr>
                <w:rFonts w:ascii="Calibri" w:hAnsi="Calibri"/>
                <w:sz w:val="20"/>
                <w:szCs w:val="20"/>
              </w:rPr>
            </w:pPr>
            <w:r w:rsidRPr="00505442">
              <w:rPr>
                <w:rFonts w:ascii="Calibri" w:hAnsi="Calibri"/>
                <w:sz w:val="20"/>
                <w:szCs w:val="20"/>
              </w:rPr>
              <w:t>1</w:t>
            </w:r>
          </w:p>
        </w:tc>
        <w:tc>
          <w:tcPr>
            <w:tcW w:w="709" w:type="dxa"/>
            <w:vAlign w:val="center"/>
          </w:tcPr>
          <w:p w:rsidR="00A53BCF" w:rsidRPr="00C044AA" w:rsidRDefault="00A53BCF" w:rsidP="00A53BCF">
            <w:pPr>
              <w:jc w:val="center"/>
              <w:rPr>
                <w:rFonts w:ascii="Calibri" w:hAnsi="Calibri"/>
                <w:sz w:val="20"/>
                <w:szCs w:val="20"/>
              </w:rPr>
            </w:pPr>
            <w:r w:rsidRPr="00505442">
              <w:rPr>
                <w:rFonts w:ascii="Calibri" w:hAnsi="Calibri"/>
                <w:sz w:val="20"/>
                <w:szCs w:val="20"/>
              </w:rPr>
              <w:t>2</w:t>
            </w:r>
          </w:p>
        </w:tc>
        <w:tc>
          <w:tcPr>
            <w:tcW w:w="938" w:type="dxa"/>
            <w:vAlign w:val="center"/>
          </w:tcPr>
          <w:p w:rsidR="00A53BCF" w:rsidRPr="00C044AA" w:rsidRDefault="00A53BCF" w:rsidP="00A53BCF">
            <w:pPr>
              <w:jc w:val="center"/>
              <w:rPr>
                <w:rFonts w:ascii="Calibri" w:hAnsi="Calibri"/>
                <w:sz w:val="20"/>
                <w:szCs w:val="20"/>
              </w:rPr>
            </w:pPr>
            <w:r w:rsidRPr="00505442">
              <w:rPr>
                <w:rFonts w:ascii="Calibri" w:hAnsi="Calibri"/>
                <w:sz w:val="20"/>
                <w:szCs w:val="20"/>
              </w:rPr>
              <w:t>5</w:t>
            </w:r>
          </w:p>
        </w:tc>
        <w:tc>
          <w:tcPr>
            <w:tcW w:w="692" w:type="dxa"/>
            <w:vAlign w:val="center"/>
          </w:tcPr>
          <w:p w:rsidR="00A53BCF" w:rsidRPr="00C044AA" w:rsidRDefault="00A53BCF" w:rsidP="00A53BCF">
            <w:pPr>
              <w:jc w:val="center"/>
              <w:rPr>
                <w:rFonts w:ascii="Calibri" w:hAnsi="Calibri"/>
                <w:sz w:val="20"/>
                <w:szCs w:val="20"/>
              </w:rPr>
            </w:pPr>
            <w:r w:rsidRPr="00505442">
              <w:rPr>
                <w:rFonts w:ascii="Calibri" w:hAnsi="Calibri"/>
                <w:sz w:val="20"/>
                <w:szCs w:val="20"/>
              </w:rPr>
              <w:t>7</w:t>
            </w:r>
          </w:p>
        </w:tc>
        <w:tc>
          <w:tcPr>
            <w:tcW w:w="1222" w:type="dxa"/>
            <w:vAlign w:val="center"/>
          </w:tcPr>
          <w:p w:rsidR="00A53BCF" w:rsidRPr="00C044AA" w:rsidRDefault="00A53BCF" w:rsidP="00A53BCF">
            <w:pPr>
              <w:jc w:val="right"/>
              <w:rPr>
                <w:rFonts w:ascii="Calibri" w:hAnsi="Calibri"/>
                <w:sz w:val="20"/>
                <w:szCs w:val="20"/>
              </w:rPr>
            </w:pPr>
            <w:r w:rsidRPr="00505442">
              <w:rPr>
                <w:rFonts w:ascii="Calibri" w:hAnsi="Calibri"/>
                <w:sz w:val="20"/>
                <w:szCs w:val="20"/>
              </w:rPr>
              <w:t>1 233,33</w:t>
            </w:r>
          </w:p>
        </w:tc>
      </w:tr>
      <w:tr w:rsidR="00A53BCF" w:rsidRPr="00C044AA" w:rsidTr="00A53BCF">
        <w:trPr>
          <w:cantSplit/>
          <w:jc w:val="center"/>
        </w:trPr>
        <w:tc>
          <w:tcPr>
            <w:tcW w:w="1747" w:type="dxa"/>
            <w:shd w:val="clear" w:color="auto" w:fill="F2F2F2"/>
            <w:vAlign w:val="center"/>
          </w:tcPr>
          <w:p w:rsidR="00A53BCF" w:rsidRPr="00C044AA" w:rsidRDefault="00A53BCF" w:rsidP="001B5E1A">
            <w:pPr>
              <w:jc w:val="left"/>
              <w:rPr>
                <w:rFonts w:ascii="Calibri" w:hAnsi="Calibri"/>
                <w:b/>
                <w:sz w:val="20"/>
                <w:szCs w:val="20"/>
              </w:rPr>
            </w:pPr>
            <w:r w:rsidRPr="00505442">
              <w:rPr>
                <w:rFonts w:ascii="Calibri" w:hAnsi="Calibri"/>
                <w:b/>
                <w:sz w:val="20"/>
                <w:szCs w:val="20"/>
              </w:rPr>
              <w:t>SPOLU</w:t>
            </w:r>
          </w:p>
        </w:tc>
        <w:tc>
          <w:tcPr>
            <w:tcW w:w="1211" w:type="dxa"/>
            <w:shd w:val="clear" w:color="auto" w:fill="F2F2F2"/>
            <w:vAlign w:val="center"/>
          </w:tcPr>
          <w:p w:rsidR="00A53BCF" w:rsidRPr="00C044AA" w:rsidRDefault="00A53BCF" w:rsidP="00A53BCF">
            <w:pPr>
              <w:jc w:val="center"/>
              <w:rPr>
                <w:rFonts w:ascii="Calibri" w:hAnsi="Calibri"/>
                <w:b/>
                <w:sz w:val="20"/>
                <w:szCs w:val="20"/>
              </w:rPr>
            </w:pPr>
            <w:r w:rsidRPr="00505442">
              <w:rPr>
                <w:rFonts w:ascii="Calibri" w:hAnsi="Calibri"/>
                <w:b/>
                <w:sz w:val="20"/>
                <w:szCs w:val="20"/>
              </w:rPr>
              <w:t>241</w:t>
            </w:r>
          </w:p>
        </w:tc>
        <w:tc>
          <w:tcPr>
            <w:tcW w:w="684" w:type="dxa"/>
            <w:shd w:val="clear" w:color="auto" w:fill="F2F2F2"/>
            <w:vAlign w:val="center"/>
          </w:tcPr>
          <w:p w:rsidR="00A53BCF" w:rsidRPr="00C044AA" w:rsidRDefault="00A53BCF" w:rsidP="00A53BCF">
            <w:pPr>
              <w:jc w:val="center"/>
              <w:rPr>
                <w:rFonts w:ascii="Calibri" w:hAnsi="Calibri"/>
                <w:b/>
                <w:sz w:val="20"/>
                <w:szCs w:val="20"/>
              </w:rPr>
            </w:pPr>
            <w:r w:rsidRPr="00505442">
              <w:rPr>
                <w:rFonts w:ascii="Calibri" w:hAnsi="Calibri"/>
                <w:b/>
                <w:sz w:val="20"/>
                <w:szCs w:val="20"/>
              </w:rPr>
              <w:t>1</w:t>
            </w:r>
          </w:p>
        </w:tc>
        <w:tc>
          <w:tcPr>
            <w:tcW w:w="605" w:type="dxa"/>
            <w:shd w:val="clear" w:color="auto" w:fill="F2F2F2"/>
            <w:vAlign w:val="center"/>
          </w:tcPr>
          <w:p w:rsidR="00A53BCF" w:rsidRPr="00C044AA" w:rsidRDefault="00A53BCF" w:rsidP="00A53BCF">
            <w:pPr>
              <w:jc w:val="center"/>
              <w:rPr>
                <w:rFonts w:ascii="Calibri" w:hAnsi="Calibri"/>
                <w:b/>
                <w:sz w:val="20"/>
                <w:szCs w:val="20"/>
              </w:rPr>
            </w:pPr>
            <w:r w:rsidRPr="00505442">
              <w:rPr>
                <w:rFonts w:ascii="Calibri" w:hAnsi="Calibri"/>
                <w:b/>
                <w:sz w:val="20"/>
                <w:szCs w:val="20"/>
              </w:rPr>
              <w:t>28</w:t>
            </w:r>
          </w:p>
        </w:tc>
        <w:tc>
          <w:tcPr>
            <w:tcW w:w="572" w:type="dxa"/>
            <w:shd w:val="clear" w:color="auto" w:fill="F2F2F2"/>
            <w:vAlign w:val="center"/>
          </w:tcPr>
          <w:p w:rsidR="00A53BCF" w:rsidRPr="00C044AA" w:rsidRDefault="00A53BCF" w:rsidP="00A53BCF">
            <w:pPr>
              <w:jc w:val="center"/>
              <w:rPr>
                <w:rFonts w:ascii="Calibri" w:hAnsi="Calibri"/>
                <w:b/>
                <w:sz w:val="20"/>
                <w:szCs w:val="20"/>
              </w:rPr>
            </w:pPr>
            <w:r w:rsidRPr="00505442">
              <w:rPr>
                <w:rFonts w:ascii="Calibri" w:hAnsi="Calibri"/>
                <w:b/>
                <w:sz w:val="20"/>
                <w:szCs w:val="20"/>
              </w:rPr>
              <w:t>0</w:t>
            </w:r>
          </w:p>
        </w:tc>
        <w:tc>
          <w:tcPr>
            <w:tcW w:w="629" w:type="dxa"/>
            <w:shd w:val="clear" w:color="auto" w:fill="F2F2F2"/>
            <w:vAlign w:val="center"/>
          </w:tcPr>
          <w:p w:rsidR="00A53BCF" w:rsidRPr="00C044AA" w:rsidRDefault="00A53BCF" w:rsidP="00A53BCF">
            <w:pPr>
              <w:jc w:val="center"/>
              <w:rPr>
                <w:rFonts w:ascii="Calibri" w:hAnsi="Calibri"/>
                <w:b/>
                <w:sz w:val="20"/>
                <w:szCs w:val="20"/>
              </w:rPr>
            </w:pPr>
            <w:r w:rsidRPr="00505442">
              <w:rPr>
                <w:rFonts w:ascii="Calibri" w:hAnsi="Calibri"/>
                <w:b/>
                <w:sz w:val="20"/>
                <w:szCs w:val="20"/>
              </w:rPr>
              <w:t>10</w:t>
            </w:r>
          </w:p>
        </w:tc>
        <w:tc>
          <w:tcPr>
            <w:tcW w:w="709" w:type="dxa"/>
            <w:shd w:val="clear" w:color="auto" w:fill="F2F2F2"/>
            <w:vAlign w:val="center"/>
          </w:tcPr>
          <w:p w:rsidR="00A53BCF" w:rsidRPr="00C044AA" w:rsidRDefault="00A53BCF" w:rsidP="00A53BCF">
            <w:pPr>
              <w:jc w:val="center"/>
              <w:rPr>
                <w:rFonts w:ascii="Calibri" w:hAnsi="Calibri"/>
                <w:b/>
                <w:sz w:val="20"/>
                <w:szCs w:val="20"/>
              </w:rPr>
            </w:pPr>
            <w:r w:rsidRPr="00505442">
              <w:rPr>
                <w:rFonts w:ascii="Calibri" w:hAnsi="Calibri"/>
                <w:b/>
                <w:sz w:val="20"/>
                <w:szCs w:val="20"/>
              </w:rPr>
              <w:t>39</w:t>
            </w:r>
          </w:p>
        </w:tc>
        <w:tc>
          <w:tcPr>
            <w:tcW w:w="938" w:type="dxa"/>
            <w:shd w:val="clear" w:color="auto" w:fill="F2F2F2"/>
            <w:vAlign w:val="center"/>
          </w:tcPr>
          <w:p w:rsidR="00A53BCF" w:rsidRPr="00C044AA" w:rsidRDefault="00A53BCF" w:rsidP="00A53BCF">
            <w:pPr>
              <w:jc w:val="center"/>
              <w:rPr>
                <w:rFonts w:ascii="Calibri" w:hAnsi="Calibri"/>
                <w:b/>
                <w:sz w:val="20"/>
                <w:szCs w:val="20"/>
              </w:rPr>
            </w:pPr>
            <w:r w:rsidRPr="00505442">
              <w:rPr>
                <w:rFonts w:ascii="Calibri" w:hAnsi="Calibri"/>
                <w:b/>
                <w:sz w:val="20"/>
                <w:szCs w:val="20"/>
              </w:rPr>
              <w:t>80</w:t>
            </w:r>
          </w:p>
        </w:tc>
        <w:tc>
          <w:tcPr>
            <w:tcW w:w="692" w:type="dxa"/>
            <w:shd w:val="clear" w:color="auto" w:fill="F2F2F2"/>
            <w:vAlign w:val="center"/>
          </w:tcPr>
          <w:p w:rsidR="00A53BCF" w:rsidRPr="00C044AA" w:rsidRDefault="00A53BCF" w:rsidP="00A53BCF">
            <w:pPr>
              <w:jc w:val="center"/>
              <w:rPr>
                <w:rFonts w:ascii="Calibri" w:hAnsi="Calibri"/>
                <w:b/>
                <w:sz w:val="20"/>
                <w:szCs w:val="20"/>
              </w:rPr>
            </w:pPr>
            <w:r w:rsidRPr="00505442">
              <w:rPr>
                <w:rFonts w:ascii="Calibri" w:hAnsi="Calibri"/>
                <w:b/>
                <w:sz w:val="20"/>
                <w:szCs w:val="20"/>
              </w:rPr>
              <w:t>119</w:t>
            </w:r>
          </w:p>
        </w:tc>
        <w:tc>
          <w:tcPr>
            <w:tcW w:w="1222" w:type="dxa"/>
            <w:shd w:val="clear" w:color="auto" w:fill="F2F2F2"/>
            <w:vAlign w:val="center"/>
          </w:tcPr>
          <w:p w:rsidR="00A53BCF" w:rsidRPr="00C044AA" w:rsidRDefault="00A53BCF" w:rsidP="00A53BCF">
            <w:pPr>
              <w:jc w:val="right"/>
              <w:rPr>
                <w:rFonts w:ascii="Calibri" w:hAnsi="Calibri"/>
                <w:b/>
                <w:sz w:val="20"/>
                <w:szCs w:val="20"/>
              </w:rPr>
            </w:pPr>
            <w:r w:rsidRPr="00505442">
              <w:rPr>
                <w:rFonts w:ascii="Calibri" w:hAnsi="Calibri"/>
                <w:b/>
                <w:sz w:val="20"/>
                <w:szCs w:val="20"/>
              </w:rPr>
              <w:t>97 064,51</w:t>
            </w:r>
          </w:p>
        </w:tc>
      </w:tr>
    </w:tbl>
    <w:p w:rsidR="00A53BCF" w:rsidRPr="00C044AA" w:rsidRDefault="00A53BCF" w:rsidP="00A53BCF">
      <w:pPr>
        <w:rPr>
          <w:rFonts w:ascii="Calibri" w:hAnsi="Calibri"/>
        </w:rPr>
      </w:pPr>
      <w:r w:rsidRPr="00505442">
        <w:rPr>
          <w:rFonts w:ascii="Calibri" w:hAnsi="Calibri"/>
          <w:sz w:val="20"/>
        </w:rPr>
        <w:t>Zdroj: PPA</w:t>
      </w:r>
      <w:r>
        <w:rPr>
          <w:rFonts w:ascii="Calibri" w:hAnsi="Calibri"/>
          <w:sz w:val="20"/>
        </w:rPr>
        <w:t>, VS o pokroku k PRV SR 2007-2013 za rok 2012</w:t>
      </w:r>
    </w:p>
    <w:p w:rsidR="00A53BCF" w:rsidRDefault="00A53BCF" w:rsidP="00A53BCF">
      <w:pPr>
        <w:rPr>
          <w:szCs w:val="22"/>
        </w:rPr>
      </w:pPr>
    </w:p>
    <w:p w:rsidR="00A53BCF" w:rsidRDefault="00A53BCF" w:rsidP="00A53BCF">
      <w:pPr>
        <w:rPr>
          <w:rFonts w:ascii="Calibri" w:hAnsi="Calibri"/>
          <w:szCs w:val="22"/>
        </w:rPr>
      </w:pPr>
      <w:r w:rsidRPr="00505442">
        <w:rPr>
          <w:rFonts w:ascii="Calibri" w:hAnsi="Calibri"/>
          <w:szCs w:val="22"/>
        </w:rPr>
        <w:t xml:space="preserve">Na cestovný ruch sa orientovalo tri štvrtiny projektov (73 %) z 241 schválených projektov, 10 % na výrobu obnoviteľnej energie a maloobchodné činnosti a 7 % na iné. Viac ako polovicu  celkového objemu investícií absorbovali projekty v oblasti cestovného ruchu (49 846,80 EUR t. j. až 51 %).  </w:t>
      </w:r>
    </w:p>
    <w:p w:rsidR="00A53BCF" w:rsidRPr="00DB3EFD" w:rsidRDefault="00A53BCF" w:rsidP="00A53BCF">
      <w:pPr>
        <w:rPr>
          <w:szCs w:val="22"/>
        </w:rPr>
      </w:pPr>
      <w:r w:rsidRPr="00DB3EFD">
        <w:rPr>
          <w:szCs w:val="22"/>
        </w:rPr>
        <w:t>Potenciál je aj v skvalitňovaní služieb pre turistov, výrobe obnoviteľnej energie, maloobchodných činnostiach a pod.</w:t>
      </w:r>
    </w:p>
    <w:p w:rsidR="00A53BCF" w:rsidRDefault="00A53BCF" w:rsidP="00A53BCF">
      <w:pPr>
        <w:pStyle w:val="NadpisCalibri115"/>
        <w:rPr>
          <w:color w:val="0070C0"/>
        </w:rPr>
      </w:pPr>
    </w:p>
    <w:p w:rsidR="00A53BCF" w:rsidRPr="00DB3EFD" w:rsidRDefault="00A53BCF" w:rsidP="00A53BCF">
      <w:pPr>
        <w:pStyle w:val="NadpisCalibri115"/>
        <w:jc w:val="both"/>
        <w:rPr>
          <w:sz w:val="22"/>
        </w:rPr>
      </w:pPr>
      <w:r w:rsidRPr="00DB3EFD">
        <w:rPr>
          <w:b w:val="0"/>
          <w:sz w:val="22"/>
          <w:u w:val="none"/>
        </w:rPr>
        <w:t>V rámci opatrenia 3.2. Podpora činností v oblasti vidieckeho cestovného ruchu (kód opatrenia 313) - implementácie opatrenia - časť A bolo kumulatívne k 31.12.2012 schválených 161 projektov. Ukončených bolo 40 projektov.</w:t>
      </w:r>
    </w:p>
    <w:p w:rsidR="00A53BCF" w:rsidRPr="005B25DE" w:rsidRDefault="00A53BCF" w:rsidP="00A53BCF">
      <w:pPr>
        <w:rPr>
          <w:lang w:eastAsia="ar-SA"/>
        </w:rPr>
      </w:pPr>
    </w:p>
    <w:p w:rsidR="00A53BCF" w:rsidRDefault="00F832C9" w:rsidP="00F832C9">
      <w:pPr>
        <w:pStyle w:val="TucneCalibri115"/>
        <w:ind w:left="1134" w:hanging="1134"/>
        <w:rPr>
          <w:rStyle w:val="OdsekCalibri115Char"/>
          <w:b w:val="0"/>
          <w:i/>
          <w:color w:val="0070C0"/>
          <w:szCs w:val="22"/>
        </w:rPr>
      </w:pPr>
      <w:r>
        <w:rPr>
          <w:rStyle w:val="OdsekCalibri115Char"/>
          <w:szCs w:val="22"/>
        </w:rPr>
        <w:t xml:space="preserve">Tabuľka 8: </w:t>
      </w:r>
      <w:r w:rsidR="00A53BCF" w:rsidRPr="000820DA">
        <w:rPr>
          <w:rStyle w:val="OdsekCalibri115Char"/>
          <w:szCs w:val="22"/>
        </w:rPr>
        <w:t>Podporené aktivity a investície podľa druhu opatrenia</w:t>
      </w:r>
      <w:r w:rsidR="00A53BCF" w:rsidRPr="00505442">
        <w:rPr>
          <w:color w:val="0070C0"/>
          <w:sz w:val="22"/>
          <w:szCs w:val="22"/>
        </w:rPr>
        <w:t xml:space="preserve"> </w:t>
      </w:r>
      <w:r w:rsidR="00A53BCF">
        <w:rPr>
          <w:color w:val="0070C0"/>
          <w:sz w:val="22"/>
          <w:szCs w:val="22"/>
        </w:rPr>
        <w:t xml:space="preserve"> </w:t>
      </w:r>
      <w:r w:rsidR="00A53BCF" w:rsidRPr="00DB3EFD">
        <w:rPr>
          <w:sz w:val="22"/>
          <w:szCs w:val="22"/>
        </w:rPr>
        <w:t>- implementácia opatrenia 313 - časť B</w:t>
      </w:r>
    </w:p>
    <w:tbl>
      <w:tblPr>
        <w:tblW w:w="893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90"/>
        <w:gridCol w:w="2632"/>
        <w:gridCol w:w="1145"/>
        <w:gridCol w:w="1146"/>
        <w:gridCol w:w="1418"/>
      </w:tblGrid>
      <w:tr w:rsidR="00A53BCF" w:rsidRPr="000820DA" w:rsidTr="00A53BCF">
        <w:trPr>
          <w:cantSplit/>
        </w:trPr>
        <w:tc>
          <w:tcPr>
            <w:tcW w:w="2590" w:type="dxa"/>
            <w:vMerge w:val="restart"/>
            <w:shd w:val="clear" w:color="auto" w:fill="F3F3F3"/>
            <w:vAlign w:val="center"/>
          </w:tcPr>
          <w:p w:rsidR="00A53BCF" w:rsidRPr="000820DA" w:rsidRDefault="00A53BCF" w:rsidP="00A53BCF">
            <w:pPr>
              <w:jc w:val="center"/>
              <w:rPr>
                <w:rFonts w:ascii="Calibri" w:hAnsi="Calibri"/>
                <w:b/>
                <w:sz w:val="18"/>
              </w:rPr>
            </w:pPr>
            <w:r w:rsidRPr="00505442">
              <w:rPr>
                <w:rFonts w:ascii="Calibri" w:hAnsi="Calibri"/>
                <w:b/>
                <w:sz w:val="18"/>
              </w:rPr>
              <w:t>Druh opatrenia</w:t>
            </w:r>
          </w:p>
        </w:tc>
        <w:tc>
          <w:tcPr>
            <w:tcW w:w="2632" w:type="dxa"/>
            <w:vMerge w:val="restart"/>
            <w:shd w:val="clear" w:color="auto" w:fill="F3F3F3"/>
            <w:vAlign w:val="center"/>
          </w:tcPr>
          <w:p w:rsidR="00A53BCF" w:rsidRPr="000820DA" w:rsidRDefault="00A53BCF" w:rsidP="00A53BCF">
            <w:pPr>
              <w:jc w:val="center"/>
              <w:rPr>
                <w:rFonts w:ascii="Calibri" w:hAnsi="Calibri"/>
                <w:b/>
                <w:sz w:val="18"/>
              </w:rPr>
            </w:pPr>
            <w:r w:rsidRPr="00505442">
              <w:rPr>
                <w:rFonts w:ascii="Calibri" w:hAnsi="Calibri"/>
                <w:b/>
                <w:sz w:val="18"/>
              </w:rPr>
              <w:t>Počet podporovaných nových činností v oblasti cestovného ruchu</w:t>
            </w:r>
          </w:p>
        </w:tc>
        <w:tc>
          <w:tcPr>
            <w:tcW w:w="2291" w:type="dxa"/>
            <w:gridSpan w:val="2"/>
            <w:shd w:val="clear" w:color="auto" w:fill="F3F3F3"/>
            <w:vAlign w:val="center"/>
          </w:tcPr>
          <w:p w:rsidR="00A53BCF" w:rsidRPr="000820DA" w:rsidRDefault="00A53BCF" w:rsidP="00A53BCF">
            <w:pPr>
              <w:jc w:val="center"/>
              <w:rPr>
                <w:rFonts w:ascii="Calibri" w:hAnsi="Calibri"/>
                <w:b/>
                <w:sz w:val="18"/>
              </w:rPr>
            </w:pPr>
            <w:r w:rsidRPr="00505442">
              <w:rPr>
                <w:rFonts w:ascii="Calibri" w:hAnsi="Calibri"/>
                <w:b/>
                <w:sz w:val="18"/>
                <w:szCs w:val="18"/>
              </w:rPr>
              <w:t>Vyplatené verejné výdavky (tis. EUR)</w:t>
            </w:r>
          </w:p>
        </w:tc>
        <w:tc>
          <w:tcPr>
            <w:tcW w:w="1418" w:type="dxa"/>
            <w:vMerge w:val="restart"/>
            <w:shd w:val="clear" w:color="auto" w:fill="F3F3F3"/>
            <w:vAlign w:val="center"/>
          </w:tcPr>
          <w:p w:rsidR="00A53BCF" w:rsidRPr="000820DA" w:rsidRDefault="00A53BCF" w:rsidP="00A53BCF">
            <w:pPr>
              <w:jc w:val="center"/>
              <w:rPr>
                <w:rFonts w:ascii="Calibri" w:hAnsi="Calibri"/>
                <w:b/>
                <w:sz w:val="18"/>
              </w:rPr>
            </w:pPr>
            <w:r w:rsidRPr="00505442">
              <w:rPr>
                <w:rFonts w:ascii="Calibri" w:hAnsi="Calibri"/>
                <w:b/>
                <w:sz w:val="18"/>
              </w:rPr>
              <w:t xml:space="preserve">Celkový objem investícií </w:t>
            </w:r>
          </w:p>
          <w:p w:rsidR="00A53BCF" w:rsidRPr="000820DA" w:rsidRDefault="00A53BCF" w:rsidP="00A53BCF">
            <w:pPr>
              <w:jc w:val="center"/>
              <w:rPr>
                <w:rFonts w:ascii="Calibri" w:hAnsi="Calibri"/>
                <w:b/>
                <w:sz w:val="18"/>
              </w:rPr>
            </w:pPr>
            <w:r w:rsidRPr="00505442">
              <w:rPr>
                <w:rFonts w:ascii="Calibri" w:hAnsi="Calibri"/>
                <w:b/>
                <w:sz w:val="18"/>
              </w:rPr>
              <w:t>(tis. EUR)</w:t>
            </w:r>
          </w:p>
        </w:tc>
      </w:tr>
      <w:tr w:rsidR="00A53BCF" w:rsidRPr="000820DA" w:rsidTr="00A53BCF">
        <w:trPr>
          <w:cantSplit/>
        </w:trPr>
        <w:tc>
          <w:tcPr>
            <w:tcW w:w="2590" w:type="dxa"/>
            <w:vMerge/>
            <w:shd w:val="clear" w:color="auto" w:fill="F3F3F3"/>
            <w:vAlign w:val="center"/>
          </w:tcPr>
          <w:p w:rsidR="00A53BCF" w:rsidRPr="000820DA" w:rsidRDefault="00A53BCF" w:rsidP="00A53BCF">
            <w:pPr>
              <w:jc w:val="center"/>
              <w:rPr>
                <w:rFonts w:ascii="Calibri" w:hAnsi="Calibri"/>
                <w:b/>
                <w:sz w:val="18"/>
              </w:rPr>
            </w:pPr>
          </w:p>
        </w:tc>
        <w:tc>
          <w:tcPr>
            <w:tcW w:w="2632" w:type="dxa"/>
            <w:vMerge/>
            <w:vAlign w:val="center"/>
          </w:tcPr>
          <w:p w:rsidR="00A53BCF" w:rsidRPr="000820DA" w:rsidRDefault="00A53BCF" w:rsidP="00A53BCF">
            <w:pPr>
              <w:jc w:val="center"/>
              <w:rPr>
                <w:rFonts w:ascii="Calibri" w:hAnsi="Calibri"/>
                <w:b/>
                <w:sz w:val="18"/>
              </w:rPr>
            </w:pPr>
          </w:p>
        </w:tc>
        <w:tc>
          <w:tcPr>
            <w:tcW w:w="1145" w:type="dxa"/>
            <w:shd w:val="clear" w:color="auto" w:fill="F2F2F2"/>
            <w:vAlign w:val="center"/>
          </w:tcPr>
          <w:p w:rsidR="00A53BCF" w:rsidRPr="000820DA" w:rsidRDefault="00A53BCF" w:rsidP="00A53BCF">
            <w:pPr>
              <w:jc w:val="center"/>
              <w:rPr>
                <w:rFonts w:ascii="Calibri" w:hAnsi="Calibri"/>
                <w:b/>
                <w:sz w:val="18"/>
              </w:rPr>
            </w:pPr>
            <w:r w:rsidRPr="00505442">
              <w:rPr>
                <w:rFonts w:ascii="Calibri" w:hAnsi="Calibri"/>
                <w:b/>
                <w:sz w:val="18"/>
              </w:rPr>
              <w:t>EPFRV</w:t>
            </w:r>
          </w:p>
        </w:tc>
        <w:tc>
          <w:tcPr>
            <w:tcW w:w="1146" w:type="dxa"/>
            <w:shd w:val="clear" w:color="auto" w:fill="F2F2F2"/>
            <w:vAlign w:val="center"/>
          </w:tcPr>
          <w:p w:rsidR="00A53BCF" w:rsidRPr="000820DA" w:rsidRDefault="00A53BCF" w:rsidP="00A53BCF">
            <w:pPr>
              <w:jc w:val="center"/>
              <w:rPr>
                <w:rFonts w:ascii="Calibri" w:hAnsi="Calibri"/>
                <w:b/>
                <w:sz w:val="18"/>
              </w:rPr>
            </w:pPr>
            <w:r w:rsidRPr="00505442">
              <w:rPr>
                <w:rFonts w:ascii="Calibri" w:hAnsi="Calibri"/>
                <w:b/>
                <w:sz w:val="18"/>
              </w:rPr>
              <w:t>SPOLU</w:t>
            </w:r>
          </w:p>
        </w:tc>
        <w:tc>
          <w:tcPr>
            <w:tcW w:w="1418" w:type="dxa"/>
            <w:vMerge/>
            <w:vAlign w:val="center"/>
          </w:tcPr>
          <w:p w:rsidR="00A53BCF" w:rsidRPr="000820DA" w:rsidRDefault="00A53BCF" w:rsidP="00A53BCF">
            <w:pPr>
              <w:rPr>
                <w:rFonts w:ascii="Calibri" w:hAnsi="Calibri"/>
                <w:sz w:val="18"/>
              </w:rPr>
            </w:pPr>
          </w:p>
        </w:tc>
      </w:tr>
      <w:tr w:rsidR="00A53BCF" w:rsidRPr="000820DA" w:rsidTr="00A53BCF">
        <w:trPr>
          <w:cantSplit/>
        </w:trPr>
        <w:tc>
          <w:tcPr>
            <w:tcW w:w="2590" w:type="dxa"/>
            <w:vAlign w:val="center"/>
          </w:tcPr>
          <w:p w:rsidR="00A53BCF" w:rsidRPr="000820DA" w:rsidRDefault="00A53BCF" w:rsidP="00A53BCF">
            <w:pPr>
              <w:rPr>
                <w:rFonts w:ascii="Calibri" w:hAnsi="Calibri"/>
                <w:sz w:val="18"/>
              </w:rPr>
            </w:pPr>
            <w:r w:rsidRPr="00505442">
              <w:rPr>
                <w:rFonts w:ascii="Calibri" w:hAnsi="Calibri"/>
                <w:sz w:val="18"/>
              </w:rPr>
              <w:t>Infraštruktúra na lokálnej úrovni (informačné centrá, označenie..)</w:t>
            </w:r>
          </w:p>
        </w:tc>
        <w:tc>
          <w:tcPr>
            <w:tcW w:w="2632" w:type="dxa"/>
            <w:vAlign w:val="center"/>
          </w:tcPr>
          <w:p w:rsidR="00A53BCF" w:rsidRPr="000820DA" w:rsidRDefault="00A53BCF" w:rsidP="00A53BCF">
            <w:pPr>
              <w:jc w:val="center"/>
              <w:rPr>
                <w:rFonts w:ascii="Calibri" w:hAnsi="Calibri"/>
                <w:sz w:val="18"/>
                <w:szCs w:val="18"/>
              </w:rPr>
            </w:pPr>
            <w:r w:rsidRPr="00505442">
              <w:rPr>
                <w:rFonts w:ascii="Calibri" w:hAnsi="Calibri"/>
                <w:sz w:val="18"/>
                <w:szCs w:val="18"/>
              </w:rPr>
              <w:t>0</w:t>
            </w:r>
          </w:p>
        </w:tc>
        <w:tc>
          <w:tcPr>
            <w:tcW w:w="1145" w:type="dxa"/>
            <w:vAlign w:val="center"/>
          </w:tcPr>
          <w:p w:rsidR="00A53BCF" w:rsidRPr="000820DA" w:rsidRDefault="00A53BCF" w:rsidP="00A53BCF">
            <w:pPr>
              <w:jc w:val="right"/>
              <w:rPr>
                <w:rFonts w:ascii="Calibri" w:hAnsi="Calibri"/>
                <w:sz w:val="18"/>
                <w:szCs w:val="18"/>
              </w:rPr>
            </w:pPr>
            <w:r w:rsidRPr="00505442">
              <w:rPr>
                <w:rFonts w:ascii="Calibri" w:hAnsi="Calibri"/>
                <w:sz w:val="18"/>
                <w:szCs w:val="18"/>
              </w:rPr>
              <w:t>0</w:t>
            </w:r>
          </w:p>
        </w:tc>
        <w:tc>
          <w:tcPr>
            <w:tcW w:w="1146" w:type="dxa"/>
            <w:vAlign w:val="center"/>
          </w:tcPr>
          <w:p w:rsidR="00A53BCF" w:rsidRPr="000820DA" w:rsidRDefault="00A53BCF" w:rsidP="00A53BCF">
            <w:pPr>
              <w:jc w:val="right"/>
              <w:rPr>
                <w:rFonts w:ascii="Calibri" w:hAnsi="Calibri"/>
                <w:sz w:val="18"/>
                <w:szCs w:val="18"/>
              </w:rPr>
            </w:pPr>
            <w:r w:rsidRPr="00505442">
              <w:rPr>
                <w:rFonts w:ascii="Calibri" w:hAnsi="Calibri"/>
                <w:sz w:val="18"/>
                <w:szCs w:val="18"/>
              </w:rPr>
              <w:t>0</w:t>
            </w:r>
          </w:p>
        </w:tc>
        <w:tc>
          <w:tcPr>
            <w:tcW w:w="1418" w:type="dxa"/>
            <w:vAlign w:val="center"/>
          </w:tcPr>
          <w:p w:rsidR="00A53BCF" w:rsidRPr="000820DA" w:rsidRDefault="00A53BCF" w:rsidP="00A53BCF">
            <w:pPr>
              <w:jc w:val="right"/>
              <w:rPr>
                <w:rFonts w:ascii="Calibri" w:hAnsi="Calibri"/>
                <w:sz w:val="18"/>
                <w:szCs w:val="18"/>
              </w:rPr>
            </w:pPr>
            <w:r w:rsidRPr="00505442">
              <w:rPr>
                <w:rFonts w:ascii="Calibri" w:hAnsi="Calibri"/>
                <w:sz w:val="18"/>
                <w:szCs w:val="18"/>
              </w:rPr>
              <w:t>0 </w:t>
            </w:r>
          </w:p>
        </w:tc>
      </w:tr>
      <w:tr w:rsidR="00A53BCF" w:rsidRPr="000820DA" w:rsidTr="00A53BCF">
        <w:trPr>
          <w:cantSplit/>
        </w:trPr>
        <w:tc>
          <w:tcPr>
            <w:tcW w:w="2590" w:type="dxa"/>
            <w:vAlign w:val="center"/>
          </w:tcPr>
          <w:p w:rsidR="00A53BCF" w:rsidRPr="000820DA" w:rsidRDefault="00A53BCF" w:rsidP="00A53BCF">
            <w:pPr>
              <w:rPr>
                <w:rFonts w:ascii="Calibri" w:hAnsi="Calibri"/>
                <w:sz w:val="18"/>
              </w:rPr>
            </w:pPr>
            <w:r w:rsidRPr="00505442">
              <w:rPr>
                <w:rFonts w:ascii="Calibri" w:hAnsi="Calibri"/>
                <w:sz w:val="18"/>
              </w:rPr>
              <w:t>Rekreačná infraštruktúra (prístup k prírodných oblastiam, nízkokapacitné ubytovanie, …)</w:t>
            </w:r>
          </w:p>
        </w:tc>
        <w:tc>
          <w:tcPr>
            <w:tcW w:w="2632" w:type="dxa"/>
            <w:vAlign w:val="center"/>
          </w:tcPr>
          <w:p w:rsidR="00A53BCF" w:rsidRPr="000820DA" w:rsidRDefault="00A53BCF" w:rsidP="00A53BCF">
            <w:pPr>
              <w:jc w:val="center"/>
              <w:rPr>
                <w:rFonts w:ascii="Calibri" w:hAnsi="Calibri"/>
                <w:sz w:val="18"/>
                <w:szCs w:val="18"/>
              </w:rPr>
            </w:pPr>
            <w:r w:rsidRPr="00505442">
              <w:rPr>
                <w:rFonts w:ascii="Calibri" w:hAnsi="Calibri"/>
                <w:sz w:val="18"/>
                <w:szCs w:val="18"/>
              </w:rPr>
              <w:t>98</w:t>
            </w:r>
          </w:p>
        </w:tc>
        <w:tc>
          <w:tcPr>
            <w:tcW w:w="1145" w:type="dxa"/>
            <w:vAlign w:val="center"/>
          </w:tcPr>
          <w:p w:rsidR="00A53BCF" w:rsidRPr="000820DA" w:rsidRDefault="00A53BCF" w:rsidP="00A53BCF">
            <w:pPr>
              <w:jc w:val="right"/>
              <w:rPr>
                <w:rFonts w:ascii="Calibri" w:hAnsi="Calibri"/>
                <w:sz w:val="18"/>
                <w:szCs w:val="18"/>
              </w:rPr>
            </w:pPr>
            <w:r w:rsidRPr="00505442">
              <w:rPr>
                <w:rFonts w:ascii="Calibri" w:hAnsi="Calibri"/>
                <w:sz w:val="18"/>
                <w:szCs w:val="18"/>
              </w:rPr>
              <w:t>4 608,62</w:t>
            </w:r>
          </w:p>
        </w:tc>
        <w:tc>
          <w:tcPr>
            <w:tcW w:w="1146" w:type="dxa"/>
            <w:vAlign w:val="center"/>
          </w:tcPr>
          <w:p w:rsidR="00A53BCF" w:rsidRPr="000820DA" w:rsidRDefault="00A53BCF" w:rsidP="00A53BCF">
            <w:pPr>
              <w:jc w:val="right"/>
              <w:rPr>
                <w:rFonts w:ascii="Calibri" w:hAnsi="Calibri"/>
                <w:sz w:val="18"/>
                <w:szCs w:val="18"/>
              </w:rPr>
            </w:pPr>
            <w:r w:rsidRPr="00505442">
              <w:rPr>
                <w:rFonts w:ascii="Calibri" w:hAnsi="Calibri"/>
                <w:sz w:val="18"/>
                <w:szCs w:val="18"/>
              </w:rPr>
              <w:t>6 144,82</w:t>
            </w:r>
          </w:p>
        </w:tc>
        <w:tc>
          <w:tcPr>
            <w:tcW w:w="1418" w:type="dxa"/>
            <w:vAlign w:val="center"/>
          </w:tcPr>
          <w:p w:rsidR="00A53BCF" w:rsidRPr="000820DA" w:rsidRDefault="00A53BCF" w:rsidP="00A53BCF">
            <w:pPr>
              <w:jc w:val="right"/>
              <w:rPr>
                <w:rFonts w:ascii="Calibri" w:hAnsi="Calibri"/>
                <w:sz w:val="18"/>
                <w:szCs w:val="18"/>
              </w:rPr>
            </w:pPr>
            <w:r w:rsidRPr="00505442">
              <w:rPr>
                <w:rFonts w:ascii="Calibri" w:hAnsi="Calibri"/>
                <w:sz w:val="18"/>
                <w:szCs w:val="18"/>
              </w:rPr>
              <w:t>12 289,64</w:t>
            </w:r>
          </w:p>
        </w:tc>
      </w:tr>
      <w:tr w:rsidR="00A53BCF" w:rsidRPr="000820DA" w:rsidTr="00A53BCF">
        <w:trPr>
          <w:cantSplit/>
        </w:trPr>
        <w:tc>
          <w:tcPr>
            <w:tcW w:w="2590" w:type="dxa"/>
            <w:vAlign w:val="center"/>
          </w:tcPr>
          <w:p w:rsidR="00A53BCF" w:rsidRPr="000820DA" w:rsidRDefault="00A53BCF" w:rsidP="00A53BCF">
            <w:pPr>
              <w:rPr>
                <w:rFonts w:ascii="Calibri" w:hAnsi="Calibri"/>
                <w:sz w:val="18"/>
              </w:rPr>
            </w:pPr>
            <w:r w:rsidRPr="00505442">
              <w:rPr>
                <w:rFonts w:ascii="Calibri" w:hAnsi="Calibri"/>
                <w:sz w:val="18"/>
              </w:rPr>
              <w:t>Rozvoj/marketing služieb vidieckeho cestovného ruchu</w:t>
            </w:r>
          </w:p>
        </w:tc>
        <w:tc>
          <w:tcPr>
            <w:tcW w:w="2632" w:type="dxa"/>
            <w:vAlign w:val="center"/>
          </w:tcPr>
          <w:p w:rsidR="00A53BCF" w:rsidRPr="000820DA" w:rsidRDefault="00A53BCF" w:rsidP="00A53BCF">
            <w:pPr>
              <w:jc w:val="center"/>
              <w:rPr>
                <w:rFonts w:ascii="Calibri" w:hAnsi="Calibri"/>
                <w:sz w:val="18"/>
                <w:szCs w:val="18"/>
              </w:rPr>
            </w:pPr>
            <w:r w:rsidRPr="00505442">
              <w:rPr>
                <w:rFonts w:ascii="Calibri" w:hAnsi="Calibri"/>
                <w:sz w:val="18"/>
                <w:szCs w:val="18"/>
              </w:rPr>
              <w:t>4</w:t>
            </w:r>
          </w:p>
        </w:tc>
        <w:tc>
          <w:tcPr>
            <w:tcW w:w="1145" w:type="dxa"/>
            <w:vAlign w:val="center"/>
          </w:tcPr>
          <w:p w:rsidR="00A53BCF" w:rsidRPr="000820DA" w:rsidRDefault="00A53BCF" w:rsidP="00A53BCF">
            <w:pPr>
              <w:jc w:val="right"/>
              <w:rPr>
                <w:rFonts w:ascii="Calibri" w:hAnsi="Calibri"/>
                <w:sz w:val="18"/>
                <w:szCs w:val="18"/>
              </w:rPr>
            </w:pPr>
            <w:r w:rsidRPr="00505442">
              <w:rPr>
                <w:rFonts w:ascii="Calibri" w:hAnsi="Calibri"/>
                <w:sz w:val="18"/>
                <w:szCs w:val="18"/>
              </w:rPr>
              <w:t>151,38</w:t>
            </w:r>
          </w:p>
        </w:tc>
        <w:tc>
          <w:tcPr>
            <w:tcW w:w="1146" w:type="dxa"/>
            <w:vAlign w:val="center"/>
          </w:tcPr>
          <w:p w:rsidR="00A53BCF" w:rsidRPr="000820DA" w:rsidRDefault="00A53BCF" w:rsidP="00A53BCF">
            <w:pPr>
              <w:jc w:val="right"/>
              <w:rPr>
                <w:rFonts w:ascii="Calibri" w:hAnsi="Calibri"/>
                <w:sz w:val="18"/>
                <w:szCs w:val="18"/>
              </w:rPr>
            </w:pPr>
            <w:r w:rsidRPr="00505442">
              <w:rPr>
                <w:rFonts w:ascii="Calibri" w:hAnsi="Calibri"/>
                <w:sz w:val="18"/>
                <w:szCs w:val="18"/>
              </w:rPr>
              <w:t>201,85</w:t>
            </w:r>
          </w:p>
        </w:tc>
        <w:tc>
          <w:tcPr>
            <w:tcW w:w="1418" w:type="dxa"/>
            <w:vAlign w:val="center"/>
          </w:tcPr>
          <w:p w:rsidR="00A53BCF" w:rsidRPr="000820DA" w:rsidRDefault="00A53BCF" w:rsidP="00A53BCF">
            <w:pPr>
              <w:jc w:val="right"/>
              <w:rPr>
                <w:rFonts w:ascii="Calibri" w:hAnsi="Calibri"/>
                <w:sz w:val="18"/>
                <w:szCs w:val="18"/>
              </w:rPr>
            </w:pPr>
            <w:r w:rsidRPr="00505442">
              <w:rPr>
                <w:rFonts w:ascii="Calibri" w:hAnsi="Calibri"/>
                <w:sz w:val="18"/>
                <w:szCs w:val="18"/>
              </w:rPr>
              <w:t>201,85</w:t>
            </w:r>
          </w:p>
        </w:tc>
      </w:tr>
      <w:tr w:rsidR="00A53BCF" w:rsidRPr="000820DA" w:rsidTr="00A53BCF">
        <w:trPr>
          <w:cantSplit/>
          <w:trHeight w:val="320"/>
        </w:trPr>
        <w:tc>
          <w:tcPr>
            <w:tcW w:w="2590" w:type="dxa"/>
            <w:shd w:val="clear" w:color="auto" w:fill="F2F2F2"/>
            <w:vAlign w:val="center"/>
          </w:tcPr>
          <w:p w:rsidR="00A53BCF" w:rsidRPr="000820DA" w:rsidRDefault="00A53BCF" w:rsidP="00A53BCF">
            <w:pPr>
              <w:rPr>
                <w:rFonts w:ascii="Calibri" w:hAnsi="Calibri"/>
                <w:b/>
                <w:sz w:val="18"/>
              </w:rPr>
            </w:pPr>
            <w:r w:rsidRPr="00505442">
              <w:rPr>
                <w:rFonts w:ascii="Calibri" w:hAnsi="Calibri"/>
                <w:b/>
                <w:sz w:val="18"/>
              </w:rPr>
              <w:t>SPOLU</w:t>
            </w:r>
          </w:p>
        </w:tc>
        <w:tc>
          <w:tcPr>
            <w:tcW w:w="2632" w:type="dxa"/>
            <w:shd w:val="clear" w:color="auto" w:fill="F2F2F2"/>
            <w:vAlign w:val="center"/>
          </w:tcPr>
          <w:p w:rsidR="00A53BCF" w:rsidRPr="000820DA" w:rsidRDefault="00A53BCF" w:rsidP="00A53BCF">
            <w:pPr>
              <w:jc w:val="center"/>
              <w:rPr>
                <w:rFonts w:ascii="Calibri" w:hAnsi="Calibri"/>
                <w:b/>
                <w:sz w:val="18"/>
                <w:szCs w:val="18"/>
              </w:rPr>
            </w:pPr>
            <w:r w:rsidRPr="00505442">
              <w:rPr>
                <w:rFonts w:ascii="Calibri" w:hAnsi="Calibri"/>
                <w:b/>
                <w:sz w:val="18"/>
                <w:szCs w:val="18"/>
              </w:rPr>
              <w:t>102</w:t>
            </w:r>
          </w:p>
        </w:tc>
        <w:tc>
          <w:tcPr>
            <w:tcW w:w="1145" w:type="dxa"/>
            <w:shd w:val="clear" w:color="auto" w:fill="F2F2F2"/>
            <w:vAlign w:val="center"/>
          </w:tcPr>
          <w:p w:rsidR="00A53BCF" w:rsidRPr="000820DA" w:rsidRDefault="00A53BCF" w:rsidP="00A53BCF">
            <w:pPr>
              <w:jc w:val="right"/>
              <w:rPr>
                <w:rFonts w:ascii="Calibri" w:hAnsi="Calibri"/>
                <w:b/>
                <w:sz w:val="18"/>
                <w:szCs w:val="18"/>
              </w:rPr>
            </w:pPr>
            <w:r w:rsidRPr="00505442">
              <w:rPr>
                <w:rFonts w:ascii="Calibri" w:hAnsi="Calibri"/>
                <w:b/>
                <w:sz w:val="18"/>
                <w:szCs w:val="18"/>
              </w:rPr>
              <w:t>4 760,00</w:t>
            </w:r>
          </w:p>
        </w:tc>
        <w:tc>
          <w:tcPr>
            <w:tcW w:w="1146" w:type="dxa"/>
            <w:shd w:val="clear" w:color="auto" w:fill="F2F2F2"/>
            <w:vAlign w:val="center"/>
          </w:tcPr>
          <w:p w:rsidR="00A53BCF" w:rsidRPr="000820DA" w:rsidRDefault="00A53BCF" w:rsidP="00A53BCF">
            <w:pPr>
              <w:jc w:val="right"/>
              <w:rPr>
                <w:rFonts w:ascii="Calibri" w:hAnsi="Calibri"/>
                <w:b/>
                <w:sz w:val="18"/>
                <w:szCs w:val="18"/>
              </w:rPr>
            </w:pPr>
            <w:r w:rsidRPr="00505442">
              <w:rPr>
                <w:rFonts w:ascii="Calibri" w:hAnsi="Calibri"/>
                <w:b/>
                <w:sz w:val="18"/>
                <w:szCs w:val="18"/>
              </w:rPr>
              <w:t>6 346,67</w:t>
            </w:r>
          </w:p>
        </w:tc>
        <w:tc>
          <w:tcPr>
            <w:tcW w:w="1418" w:type="dxa"/>
            <w:shd w:val="clear" w:color="auto" w:fill="F2F2F2"/>
            <w:vAlign w:val="center"/>
          </w:tcPr>
          <w:p w:rsidR="00A53BCF" w:rsidRPr="000820DA" w:rsidRDefault="00A53BCF" w:rsidP="00A53BCF">
            <w:pPr>
              <w:jc w:val="right"/>
              <w:rPr>
                <w:rFonts w:ascii="Calibri" w:hAnsi="Calibri"/>
                <w:b/>
                <w:sz w:val="18"/>
                <w:szCs w:val="18"/>
              </w:rPr>
            </w:pPr>
            <w:r w:rsidRPr="00505442">
              <w:rPr>
                <w:rFonts w:ascii="Calibri" w:hAnsi="Calibri"/>
                <w:b/>
                <w:sz w:val="18"/>
                <w:szCs w:val="18"/>
              </w:rPr>
              <w:t>12 491,49</w:t>
            </w:r>
          </w:p>
        </w:tc>
      </w:tr>
    </w:tbl>
    <w:p w:rsidR="00A53BCF" w:rsidRPr="00C044AA" w:rsidRDefault="00A53BCF" w:rsidP="00A53BCF">
      <w:pPr>
        <w:rPr>
          <w:rFonts w:ascii="Calibri" w:hAnsi="Calibri"/>
        </w:rPr>
      </w:pPr>
      <w:r w:rsidRPr="00C044AA">
        <w:rPr>
          <w:rFonts w:ascii="Calibri" w:hAnsi="Calibri"/>
          <w:sz w:val="20"/>
        </w:rPr>
        <w:t>Zdroj: PPA</w:t>
      </w:r>
      <w:r>
        <w:rPr>
          <w:rFonts w:ascii="Calibri" w:hAnsi="Calibri"/>
          <w:sz w:val="20"/>
        </w:rPr>
        <w:t>, VS o pokroku k PRV SR 2007-2013 za rok 2012</w:t>
      </w:r>
    </w:p>
    <w:p w:rsidR="00F832C9" w:rsidRDefault="00F832C9" w:rsidP="00A53BCF">
      <w:pPr>
        <w:rPr>
          <w:rFonts w:ascii="Calibri" w:hAnsi="Calibri" w:cs="Arial"/>
          <w:szCs w:val="22"/>
        </w:rPr>
      </w:pPr>
    </w:p>
    <w:p w:rsidR="00A53BCF" w:rsidRDefault="00A53BCF" w:rsidP="00A53BCF">
      <w:pPr>
        <w:rPr>
          <w:rFonts w:ascii="Calibri" w:hAnsi="Calibri" w:cs="Arial"/>
          <w:szCs w:val="22"/>
        </w:rPr>
      </w:pPr>
      <w:r w:rsidRPr="00505442">
        <w:rPr>
          <w:rFonts w:ascii="Calibri" w:hAnsi="Calibri" w:cs="Arial"/>
          <w:szCs w:val="22"/>
        </w:rPr>
        <w:t>Dané opatrenie sa zameriava na podporu</w:t>
      </w:r>
      <w:r>
        <w:rPr>
          <w:rFonts w:ascii="Calibri" w:hAnsi="Calibri" w:cs="Arial"/>
          <w:szCs w:val="22"/>
        </w:rPr>
        <w:t xml:space="preserve"> rekreačnej</w:t>
      </w:r>
      <w:r w:rsidRPr="00505442">
        <w:rPr>
          <w:rFonts w:ascii="Calibri" w:hAnsi="Calibri" w:cs="Arial"/>
          <w:szCs w:val="22"/>
        </w:rPr>
        <w:t xml:space="preserve"> infraštruktúry ubytovacích služieb, doplnkových služieb a marketingu vidieckeho cestovného ruchu.</w:t>
      </w:r>
    </w:p>
    <w:p w:rsidR="00F832C9" w:rsidRPr="00F832C9" w:rsidRDefault="00A53BCF" w:rsidP="00F832C9">
      <w:pPr>
        <w:rPr>
          <w:rFonts w:ascii="Calibri" w:hAnsi="Calibri"/>
          <w:szCs w:val="22"/>
          <w:highlight w:val="yellow"/>
        </w:rPr>
      </w:pPr>
      <w:r w:rsidRPr="00505442">
        <w:rPr>
          <w:rFonts w:ascii="Calibri" w:hAnsi="Calibri" w:cs="Arial"/>
          <w:szCs w:val="22"/>
        </w:rPr>
        <w:t>Potenciál v rámci aktivít op. 313 je najmä v rozvoji/marketingu služieb vidieckeho cestovného ruchu a pod.</w:t>
      </w:r>
    </w:p>
    <w:p w:rsidR="00E43137" w:rsidRPr="00E43137" w:rsidRDefault="00E43137" w:rsidP="004E48D8">
      <w:pPr>
        <w:keepNext/>
        <w:keepLines/>
        <w:pBdr>
          <w:bar w:val="single" w:sz="6" w:color="808080"/>
        </w:pBdr>
        <w:outlineLvl w:val="1"/>
        <w:rPr>
          <w:rFonts w:ascii="Calibri" w:hAnsi="Calibri"/>
          <w:b/>
          <w:bCs/>
          <w:szCs w:val="22"/>
        </w:rPr>
      </w:pPr>
      <w:r w:rsidRPr="00E43137">
        <w:rPr>
          <w:rFonts w:ascii="Calibri" w:hAnsi="Calibri"/>
          <w:b/>
          <w:bCs/>
          <w:szCs w:val="22"/>
        </w:rPr>
        <w:t>Používanie internetu, počítačová gramotnosť</w:t>
      </w:r>
    </w:p>
    <w:p w:rsidR="00A53BCF" w:rsidRPr="00E43137" w:rsidRDefault="00A53BCF" w:rsidP="00E820E4">
      <w:pPr>
        <w:spacing w:after="120"/>
        <w:rPr>
          <w:rFonts w:ascii="Calibri" w:hAnsi="Calibri"/>
          <w:szCs w:val="22"/>
        </w:rPr>
      </w:pPr>
      <w:r w:rsidRPr="00E43137">
        <w:rPr>
          <w:rFonts w:ascii="Calibri" w:hAnsi="Calibri"/>
          <w:szCs w:val="22"/>
        </w:rPr>
        <w:t xml:space="preserve">IKT sú nástrojom inkluzívneho, ekonomického a udržateľného rastu. Rozvoj internetu v SR bol v posledných rokoch pod priemerom EÚ. Na vidieku je nedostatočne využitý potenciál rozširovania a rozvoja IKT. </w:t>
      </w:r>
    </w:p>
    <w:p w:rsidR="00A53BCF" w:rsidRDefault="00A53BCF" w:rsidP="00E820E4">
      <w:pPr>
        <w:spacing w:after="120"/>
        <w:rPr>
          <w:rFonts w:ascii="Calibri" w:hAnsi="Calibri"/>
          <w:szCs w:val="22"/>
        </w:rPr>
      </w:pPr>
      <w:r w:rsidRPr="00E43137">
        <w:rPr>
          <w:rFonts w:ascii="Calibri" w:hAnsi="Calibri"/>
          <w:szCs w:val="22"/>
        </w:rPr>
        <w:t>Pre inovácie a rozvoj podnikania s cieľom pomôcť začínajúcim podnikom je dôležitý aj elektronický obchod. Slovensko je v porovnaní s cieľmi Digitálnej agendy pre Európu v podmienkach SR v oblasti elektronického obchodovania pod priemerom EÚ2</w:t>
      </w:r>
      <w:r>
        <w:rPr>
          <w:rFonts w:ascii="Calibri" w:hAnsi="Calibri"/>
          <w:szCs w:val="22"/>
        </w:rPr>
        <w:t>8</w:t>
      </w:r>
      <w:r w:rsidRPr="00E43137">
        <w:rPr>
          <w:rFonts w:ascii="Calibri" w:hAnsi="Calibri"/>
          <w:szCs w:val="22"/>
        </w:rPr>
        <w:t>.</w:t>
      </w:r>
    </w:p>
    <w:p w:rsidR="00A53BCF" w:rsidRPr="006B331A" w:rsidRDefault="00A53BCF" w:rsidP="00E820E4">
      <w:pPr>
        <w:spacing w:after="120"/>
        <w:rPr>
          <w:color w:val="000000"/>
          <w:szCs w:val="20"/>
        </w:rPr>
      </w:pPr>
      <w:r w:rsidRPr="006B331A">
        <w:rPr>
          <w:color w:val="000000"/>
          <w:szCs w:val="20"/>
        </w:rPr>
        <w:t>V Strategickom dokument pre oblasť rastu digitálnych služieb a oblasť infraštruktúry prístupovej siete novej generácie (2014-2020) sú konkretizované hlavné rozvojové potreby pre Slovensko, ktoré sú v súlade s aktuálnym stavom digitálnej ekonomiky. Podľa uznesenia vlády SR č.305/2012 z 27.júna 2012 má Ministerstvo financií zabezpečiť plnenie dvoch ex ante kondicionalít v rámci tematického cieľa 2, kde sú definované 3 tematické podciele:</w:t>
      </w:r>
    </w:p>
    <w:p w:rsidR="00A53BCF" w:rsidRPr="006B331A" w:rsidRDefault="00A53BCF" w:rsidP="00CE203B">
      <w:pPr>
        <w:pStyle w:val="Odsekzoznamu"/>
        <w:numPr>
          <w:ilvl w:val="0"/>
          <w:numId w:val="344"/>
        </w:numPr>
        <w:rPr>
          <w:color w:val="000000"/>
          <w:szCs w:val="20"/>
        </w:rPr>
      </w:pPr>
      <w:r w:rsidRPr="006B331A">
        <w:rPr>
          <w:color w:val="000000"/>
          <w:szCs w:val="20"/>
        </w:rPr>
        <w:t>Posilnenie aplikácií IKT v rámci elektronickej štátnej správy, elektronického vzdelávania, elektronickej inklúzie, elektronickej kultúry a elektronického zdravotníctva</w:t>
      </w:r>
    </w:p>
    <w:p w:rsidR="00A53BCF" w:rsidRPr="006B331A" w:rsidRDefault="00A53BCF" w:rsidP="00CE203B">
      <w:pPr>
        <w:pStyle w:val="Odsekzoznamu"/>
        <w:numPr>
          <w:ilvl w:val="0"/>
          <w:numId w:val="344"/>
        </w:numPr>
        <w:rPr>
          <w:color w:val="000000"/>
          <w:szCs w:val="20"/>
        </w:rPr>
      </w:pPr>
      <w:r w:rsidRPr="006B331A">
        <w:rPr>
          <w:color w:val="000000"/>
          <w:szCs w:val="20"/>
        </w:rPr>
        <w:t>Vývoj produktov a služieb informačno-komunikačných technológií, elektronického obchodu a posilnenie dopytu po IKT</w:t>
      </w:r>
    </w:p>
    <w:p w:rsidR="00A53BCF" w:rsidRPr="006B331A" w:rsidRDefault="00A53BCF" w:rsidP="00CE203B">
      <w:pPr>
        <w:pStyle w:val="Odsekzoznamu"/>
        <w:numPr>
          <w:ilvl w:val="0"/>
          <w:numId w:val="344"/>
        </w:numPr>
      </w:pPr>
      <w:r w:rsidRPr="006B331A">
        <w:rPr>
          <w:color w:val="000000"/>
          <w:szCs w:val="20"/>
        </w:rPr>
        <w:t>Rozšírenie používania širokopásmového pripojenia a zavedenie vysokorýchlostných sietí a podporu prijatia budúcich a objavujúcich sa technológií a sietí pre digitálne hospodárstvo</w:t>
      </w:r>
    </w:p>
    <w:p w:rsidR="00A53BCF" w:rsidRPr="006B331A" w:rsidRDefault="00A53BCF" w:rsidP="00A53BCF"/>
    <w:p w:rsidR="00A53BCF" w:rsidRPr="006B331A" w:rsidRDefault="00A53BCF" w:rsidP="00A53BCF">
      <w:pPr>
        <w:rPr>
          <w:color w:val="000000"/>
          <w:szCs w:val="22"/>
        </w:rPr>
      </w:pPr>
      <w:r w:rsidRPr="006B331A">
        <w:rPr>
          <w:szCs w:val="22"/>
        </w:rPr>
        <w:t xml:space="preserve">Podľa </w:t>
      </w:r>
      <w:r w:rsidRPr="006B331A">
        <w:rPr>
          <w:color w:val="000000"/>
          <w:szCs w:val="22"/>
        </w:rPr>
        <w:t>Strategického dokumentu pre oblasť rastu digitálnych služieb a oblasť infraštruktúry prístupovej siete novej generácie cieľ vlády pre zlepšenie prístupu k IKT je možno chápať v dvoch oblastiach:</w:t>
      </w:r>
    </w:p>
    <w:p w:rsidR="00A53BCF" w:rsidRPr="006B331A" w:rsidRDefault="00A53BCF" w:rsidP="00CE203B">
      <w:pPr>
        <w:pStyle w:val="Odsekzoznamu"/>
        <w:numPr>
          <w:ilvl w:val="0"/>
          <w:numId w:val="345"/>
        </w:numPr>
        <w:rPr>
          <w:color w:val="000000"/>
          <w:szCs w:val="20"/>
        </w:rPr>
      </w:pPr>
      <w:r w:rsidRPr="006B331A">
        <w:rPr>
          <w:color w:val="000000"/>
          <w:szCs w:val="22"/>
        </w:rPr>
        <w:t xml:space="preserve">V oblasti rastu digitálnych služieb, určenej najmä aplikáciou IKT v rámci elektronickej štátnej správy, elektronického vzdelávania, </w:t>
      </w:r>
      <w:r w:rsidRPr="006B331A">
        <w:rPr>
          <w:color w:val="000000"/>
          <w:szCs w:val="20"/>
        </w:rPr>
        <w:t>elektronickej inklúzie a elektronického zdravotníctva v súvislosti a s posilnením dopytu po IKT</w:t>
      </w:r>
    </w:p>
    <w:p w:rsidR="00A53BCF" w:rsidRPr="006B331A" w:rsidRDefault="00A53BCF" w:rsidP="00CE203B">
      <w:pPr>
        <w:pStyle w:val="Odsekzoznamu"/>
        <w:numPr>
          <w:ilvl w:val="0"/>
          <w:numId w:val="345"/>
        </w:numPr>
        <w:rPr>
          <w:color w:val="000000"/>
          <w:szCs w:val="22"/>
        </w:rPr>
      </w:pPr>
      <w:r w:rsidRPr="006B331A">
        <w:rPr>
          <w:color w:val="000000"/>
          <w:szCs w:val="20"/>
        </w:rPr>
        <w:t>V oblasti infraštruktúry prístupovej siete, určenej rozširovaním používania širokopásmového pripojenia, zavedením vysokorýchlostných sietí a podporou prijatia budúcich a objavujúcich sa technológií a sietí pre digitálne hospodárstvo.</w:t>
      </w:r>
    </w:p>
    <w:p w:rsidR="00A53BCF" w:rsidRPr="006B331A" w:rsidRDefault="00A53BCF" w:rsidP="00A53BCF">
      <w:pPr>
        <w:rPr>
          <w:szCs w:val="22"/>
        </w:rPr>
      </w:pPr>
    </w:p>
    <w:p w:rsidR="00A53BCF" w:rsidRPr="00E43137" w:rsidRDefault="00A53BCF" w:rsidP="00A53BCF">
      <w:pPr>
        <w:rPr>
          <w:rFonts w:ascii="Calibri" w:eastAsia="Calibri" w:hAnsi="Calibri"/>
          <w:szCs w:val="22"/>
          <w:lang w:eastAsia="en-US"/>
        </w:rPr>
      </w:pPr>
      <w:r w:rsidRPr="00E43137">
        <w:rPr>
          <w:rFonts w:ascii="Calibri" w:hAnsi="Calibri"/>
          <w:szCs w:val="22"/>
        </w:rPr>
        <w:t xml:space="preserve"> </w:t>
      </w:r>
      <w:r w:rsidRPr="00E43137">
        <w:rPr>
          <w:rFonts w:ascii="Calibri" w:eastAsia="Calibri" w:hAnsi="Calibri"/>
          <w:szCs w:val="22"/>
          <w:lang w:eastAsia="en-US"/>
        </w:rPr>
        <w:t xml:space="preserve">Podľa Správy o pokroku v oblasti informatizácie spoločnosti za rok 2010 (MF SR, 2011) v porovnaní s EÚ 27 Slovensko zaostáva hlavne v týchto online aktivitách, ktoré sú spojené s obchodovaním: využívanie internetbankingu, získavanie informácií a tovaroch a službách a online objednávanie tovarov a služieb. Využívanie uvedeného však na Slovensku narastá. Napríklad medziročne narástlo o 12 % vyhľadávanie informácií o tovaroch a službách. </w:t>
      </w:r>
    </w:p>
    <w:p w:rsidR="00A53BCF" w:rsidRDefault="00A53BCF" w:rsidP="00A53BCF">
      <w:pPr>
        <w:pBdr>
          <w:bar w:val="single" w:sz="6" w:color="808080"/>
        </w:pBdr>
        <w:spacing w:after="120"/>
        <w:rPr>
          <w:rFonts w:ascii="Calibri" w:eastAsia="Calibri" w:hAnsi="Calibri"/>
          <w:szCs w:val="22"/>
          <w:lang w:eastAsia="en-US"/>
        </w:rPr>
      </w:pPr>
      <w:r w:rsidRPr="00E43137">
        <w:rPr>
          <w:rFonts w:ascii="Calibri" w:eastAsia="Calibri" w:hAnsi="Calibri"/>
          <w:szCs w:val="22"/>
          <w:lang w:eastAsia="en-US"/>
        </w:rPr>
        <w:t xml:space="preserve">V roku 2010 využívalo internet na interakciu s verejnou správou 35% jednotlivcov a 88% podnikov, čo je na úrovni priemeru EÚ27, pričom sofistikovanosť eGovernment služieb a frekvencia ich používania rýchlo narastá. </w:t>
      </w:r>
    </w:p>
    <w:p w:rsidR="00A53BCF" w:rsidRDefault="00A53BCF" w:rsidP="00A53BCF">
      <w:pPr>
        <w:pBdr>
          <w:bar w:val="single" w:sz="6" w:color="808080"/>
        </w:pBdr>
        <w:rPr>
          <w:rFonts w:ascii="Calibri" w:eastAsia="Calibri" w:hAnsi="Calibri"/>
          <w:szCs w:val="22"/>
          <w:lang w:eastAsia="en-US"/>
        </w:rPr>
      </w:pPr>
      <w:r w:rsidRPr="00E43137">
        <w:rPr>
          <w:rFonts w:ascii="Calibri" w:eastAsia="Calibri" w:hAnsi="Calibri"/>
          <w:szCs w:val="22"/>
          <w:lang w:eastAsia="en-US"/>
        </w:rPr>
        <w:t>Priložená tabuľka ukazuje, že ro</w:t>
      </w:r>
      <w:r>
        <w:rPr>
          <w:rFonts w:ascii="Calibri" w:eastAsia="Calibri" w:hAnsi="Calibri"/>
          <w:szCs w:val="22"/>
          <w:lang w:eastAsia="en-US"/>
        </w:rPr>
        <w:t>zvoj internetu v SR za roky 2010</w:t>
      </w:r>
      <w:r w:rsidRPr="00E43137">
        <w:rPr>
          <w:rFonts w:ascii="Calibri" w:eastAsia="Calibri" w:hAnsi="Calibri"/>
          <w:szCs w:val="22"/>
          <w:lang w:eastAsia="en-US"/>
        </w:rPr>
        <w:t xml:space="preserve"> – 201</w:t>
      </w:r>
      <w:r>
        <w:rPr>
          <w:rFonts w:ascii="Calibri" w:eastAsia="Calibri" w:hAnsi="Calibri"/>
          <w:szCs w:val="22"/>
          <w:lang w:eastAsia="en-US"/>
        </w:rPr>
        <w:t>3 v porovnaní s priemerom EÚ 28</w:t>
      </w:r>
      <w:r w:rsidRPr="00E43137">
        <w:rPr>
          <w:rFonts w:ascii="Calibri" w:eastAsia="Calibri" w:hAnsi="Calibri"/>
          <w:szCs w:val="22"/>
          <w:lang w:eastAsia="en-US"/>
        </w:rPr>
        <w:t xml:space="preserve"> je vo väčšine indikátorov mierne pod priemerom EÚ. </w:t>
      </w:r>
      <w:r>
        <w:rPr>
          <w:rFonts w:ascii="Calibri" w:eastAsia="Calibri" w:hAnsi="Calibri"/>
          <w:szCs w:val="22"/>
          <w:lang w:eastAsia="en-US"/>
        </w:rPr>
        <w:t>U sledovaných ukazovateľov využitie internetu za monitorované obdobie len mierne narastá.</w:t>
      </w:r>
    </w:p>
    <w:p w:rsidR="00F832C9" w:rsidRPr="00E43137" w:rsidRDefault="00F832C9" w:rsidP="00A53BCF">
      <w:pPr>
        <w:pBdr>
          <w:bar w:val="single" w:sz="6" w:color="808080"/>
        </w:pBdr>
        <w:rPr>
          <w:rFonts w:ascii="Calibri" w:eastAsia="Calibri" w:hAnsi="Calibri"/>
          <w:szCs w:val="22"/>
          <w:lang w:eastAsia="en-US"/>
        </w:rPr>
      </w:pPr>
    </w:p>
    <w:p w:rsidR="00A53BCF" w:rsidRPr="00850C31" w:rsidRDefault="00F832C9" w:rsidP="00A53BCF">
      <w:pPr>
        <w:pBdr>
          <w:bar w:val="single" w:sz="6" w:color="808080"/>
        </w:pBdr>
        <w:spacing w:after="120"/>
        <w:rPr>
          <w:rFonts w:ascii="Calibri" w:eastAsia="Calibri" w:hAnsi="Calibri"/>
          <w:b/>
          <w:szCs w:val="22"/>
          <w:lang w:eastAsia="en-US"/>
        </w:rPr>
      </w:pPr>
      <w:r>
        <w:rPr>
          <w:rFonts w:ascii="Calibri" w:eastAsia="Calibri" w:hAnsi="Calibri"/>
          <w:b/>
          <w:szCs w:val="22"/>
          <w:lang w:eastAsia="en-US"/>
        </w:rPr>
        <w:t xml:space="preserve">Tabuľka 9: </w:t>
      </w:r>
      <w:r w:rsidR="00A53BCF">
        <w:rPr>
          <w:rFonts w:ascii="Calibri" w:eastAsia="Calibri" w:hAnsi="Calibri"/>
          <w:b/>
          <w:szCs w:val="22"/>
          <w:lang w:eastAsia="en-US"/>
        </w:rPr>
        <w:t>Prehľad v</w:t>
      </w:r>
      <w:r w:rsidR="00A53BCF" w:rsidRPr="00850C31">
        <w:rPr>
          <w:rFonts w:ascii="Calibri" w:eastAsia="Calibri" w:hAnsi="Calibri"/>
          <w:b/>
          <w:szCs w:val="22"/>
          <w:lang w:eastAsia="en-US"/>
        </w:rPr>
        <w:t>yužiti</w:t>
      </w:r>
      <w:r w:rsidR="00A53BCF">
        <w:rPr>
          <w:rFonts w:ascii="Calibri" w:eastAsia="Calibri" w:hAnsi="Calibri"/>
          <w:b/>
          <w:szCs w:val="22"/>
          <w:lang w:eastAsia="en-US"/>
        </w:rPr>
        <w:t>a</w:t>
      </w:r>
      <w:r w:rsidR="00A53BCF" w:rsidRPr="00850C31">
        <w:rPr>
          <w:rFonts w:ascii="Calibri" w:eastAsia="Calibri" w:hAnsi="Calibri"/>
          <w:b/>
          <w:szCs w:val="22"/>
          <w:lang w:eastAsia="en-US"/>
        </w:rPr>
        <w:t xml:space="preserve"> internetu v SR v rokoch 2010 – 2013 v porovnaní s EÚ28</w:t>
      </w:r>
    </w:p>
    <w:tbl>
      <w:tblPr>
        <w:tblW w:w="5000" w:type="pct"/>
        <w:tblBorders>
          <w:top w:val="single" w:sz="6" w:space="0" w:color="CFCFCF"/>
          <w:left w:val="single" w:sz="6" w:space="0" w:color="CFCFCF"/>
          <w:bottom w:val="single" w:sz="6" w:space="0" w:color="CFCFCF"/>
          <w:right w:val="single" w:sz="6" w:space="0" w:color="CFCFCF"/>
        </w:tblBorders>
        <w:tblCellMar>
          <w:top w:w="60" w:type="dxa"/>
          <w:left w:w="120" w:type="dxa"/>
          <w:bottom w:w="60" w:type="dxa"/>
          <w:right w:w="120" w:type="dxa"/>
        </w:tblCellMar>
        <w:tblLook w:val="04A0" w:firstRow="1" w:lastRow="0" w:firstColumn="1" w:lastColumn="0" w:noHBand="0" w:noVBand="1"/>
      </w:tblPr>
      <w:tblGrid>
        <w:gridCol w:w="4657"/>
        <w:gridCol w:w="757"/>
        <w:gridCol w:w="756"/>
        <w:gridCol w:w="756"/>
        <w:gridCol w:w="756"/>
        <w:gridCol w:w="1630"/>
      </w:tblGrid>
      <w:tr w:rsidR="00A53BCF" w:rsidRPr="00850C31" w:rsidTr="00A53BCF">
        <w:trPr>
          <w:tblHeader/>
        </w:trPr>
        <w:tc>
          <w:tcPr>
            <w:tcW w:w="2500" w:type="pct"/>
            <w:vMerge w:val="restart"/>
            <w:tcBorders>
              <w:top w:val="single" w:sz="6" w:space="0" w:color="CFCFCF"/>
              <w:left w:val="single" w:sz="6" w:space="0" w:color="CFCFCF"/>
              <w:bottom w:val="single" w:sz="6" w:space="0" w:color="CFCFCF"/>
              <w:right w:val="single" w:sz="6" w:space="0" w:color="CFCFCF"/>
            </w:tcBorders>
            <w:shd w:val="clear" w:color="auto" w:fill="E1F0F7"/>
            <w:vAlign w:val="center"/>
            <w:hideMark/>
          </w:tcPr>
          <w:p w:rsidR="00A53BCF" w:rsidRPr="00850C31" w:rsidRDefault="00A53BCF" w:rsidP="00A53BCF">
            <w:pPr>
              <w:jc w:val="center"/>
              <w:rPr>
                <w:rFonts w:cs="Segoe UI"/>
                <w:b/>
                <w:bCs/>
                <w:sz w:val="18"/>
                <w:szCs w:val="18"/>
              </w:rPr>
            </w:pPr>
            <w:r w:rsidRPr="00850C31">
              <w:rPr>
                <w:rFonts w:cs="Segoe UI"/>
                <w:b/>
                <w:bCs/>
                <w:sz w:val="18"/>
                <w:szCs w:val="18"/>
              </w:rPr>
              <w:t>Indikátor (vrátane jednotky)</w:t>
            </w:r>
          </w:p>
        </w:tc>
        <w:tc>
          <w:tcPr>
            <w:tcW w:w="0" w:type="auto"/>
            <w:gridSpan w:val="4"/>
            <w:tcBorders>
              <w:top w:val="single" w:sz="6" w:space="0" w:color="CFCFCF"/>
              <w:left w:val="single" w:sz="6" w:space="0" w:color="CFCFCF"/>
              <w:bottom w:val="single" w:sz="6" w:space="0" w:color="CFCFCF"/>
              <w:right w:val="single" w:sz="6" w:space="0" w:color="CFCFCF"/>
            </w:tcBorders>
            <w:shd w:val="clear" w:color="auto" w:fill="E1F0F7"/>
            <w:vAlign w:val="center"/>
            <w:hideMark/>
          </w:tcPr>
          <w:p w:rsidR="00A53BCF" w:rsidRPr="00850C31" w:rsidRDefault="00A53BCF" w:rsidP="00A53BCF">
            <w:pPr>
              <w:jc w:val="center"/>
              <w:rPr>
                <w:rFonts w:cs="Segoe UI"/>
                <w:b/>
                <w:bCs/>
                <w:sz w:val="18"/>
                <w:szCs w:val="18"/>
              </w:rPr>
            </w:pPr>
            <w:r w:rsidRPr="00850C31">
              <w:rPr>
                <w:rFonts w:cs="Segoe UI"/>
                <w:b/>
                <w:bCs/>
                <w:sz w:val="18"/>
                <w:szCs w:val="18"/>
              </w:rPr>
              <w:t>Slovensko – hodnota</w:t>
            </w:r>
          </w:p>
        </w:tc>
        <w:tc>
          <w:tcPr>
            <w:tcW w:w="0" w:type="auto"/>
            <w:tcBorders>
              <w:top w:val="single" w:sz="6" w:space="0" w:color="CFCFCF"/>
              <w:left w:val="single" w:sz="6" w:space="0" w:color="CFCFCF"/>
              <w:bottom w:val="single" w:sz="6" w:space="0" w:color="CFCFCF"/>
              <w:right w:val="single" w:sz="6" w:space="0" w:color="CFCFCF"/>
            </w:tcBorders>
            <w:shd w:val="clear" w:color="auto" w:fill="E1F0F7"/>
            <w:vAlign w:val="center"/>
            <w:hideMark/>
          </w:tcPr>
          <w:p w:rsidR="00A53BCF" w:rsidRPr="00850C31" w:rsidRDefault="00A53BCF" w:rsidP="00A53BCF">
            <w:pPr>
              <w:jc w:val="center"/>
              <w:rPr>
                <w:rFonts w:cs="Segoe UI"/>
                <w:b/>
                <w:bCs/>
                <w:sz w:val="18"/>
                <w:szCs w:val="18"/>
              </w:rPr>
            </w:pPr>
            <w:r w:rsidRPr="00850C31">
              <w:rPr>
                <w:rFonts w:cs="Segoe UI"/>
                <w:b/>
                <w:bCs/>
                <w:sz w:val="18"/>
                <w:szCs w:val="18"/>
              </w:rPr>
              <w:t>EU28 hodnota</w:t>
            </w:r>
          </w:p>
        </w:tc>
      </w:tr>
      <w:tr w:rsidR="00A53BCF" w:rsidRPr="00850C31" w:rsidTr="00A53BCF">
        <w:trPr>
          <w:tblHeader/>
        </w:trPr>
        <w:tc>
          <w:tcPr>
            <w:tcW w:w="0" w:type="auto"/>
            <w:vMerge/>
            <w:tcBorders>
              <w:top w:val="single" w:sz="6" w:space="0" w:color="CFCFCF"/>
              <w:left w:val="single" w:sz="6" w:space="0" w:color="CFCFCF"/>
              <w:bottom w:val="single" w:sz="6" w:space="0" w:color="CFCFCF"/>
              <w:right w:val="single" w:sz="6" w:space="0" w:color="CFCFCF"/>
            </w:tcBorders>
            <w:shd w:val="clear" w:color="auto" w:fill="auto"/>
            <w:vAlign w:val="center"/>
            <w:hideMark/>
          </w:tcPr>
          <w:p w:rsidR="00A53BCF" w:rsidRPr="00850C31" w:rsidRDefault="00A53BCF" w:rsidP="00A53BCF">
            <w:pPr>
              <w:rPr>
                <w:rFonts w:cs="Segoe UI"/>
                <w:b/>
                <w:bCs/>
                <w:sz w:val="18"/>
                <w:szCs w:val="18"/>
              </w:rPr>
            </w:pPr>
          </w:p>
        </w:tc>
        <w:tc>
          <w:tcPr>
            <w:tcW w:w="0" w:type="auto"/>
            <w:tcBorders>
              <w:top w:val="single" w:sz="6" w:space="0" w:color="CFCFCF"/>
              <w:left w:val="single" w:sz="6" w:space="0" w:color="CFCFCF"/>
              <w:bottom w:val="single" w:sz="6" w:space="0" w:color="CFCFCF"/>
              <w:right w:val="single" w:sz="6" w:space="0" w:color="CFCFCF"/>
            </w:tcBorders>
            <w:shd w:val="clear" w:color="auto" w:fill="FFFFFF"/>
            <w:vAlign w:val="center"/>
            <w:hideMark/>
          </w:tcPr>
          <w:p w:rsidR="00A53BCF" w:rsidRPr="00850C31" w:rsidRDefault="00A53BCF" w:rsidP="00A53BCF">
            <w:pPr>
              <w:jc w:val="center"/>
              <w:rPr>
                <w:rFonts w:cs="Segoe UI"/>
                <w:b/>
                <w:bCs/>
                <w:sz w:val="18"/>
                <w:szCs w:val="18"/>
              </w:rPr>
            </w:pPr>
            <w:r w:rsidRPr="00850C31">
              <w:rPr>
                <w:rFonts w:cs="Segoe UI"/>
                <w:b/>
                <w:bCs/>
                <w:sz w:val="18"/>
                <w:szCs w:val="18"/>
              </w:rPr>
              <w:t>2010</w:t>
            </w:r>
          </w:p>
        </w:tc>
        <w:tc>
          <w:tcPr>
            <w:tcW w:w="0" w:type="auto"/>
            <w:tcBorders>
              <w:top w:val="single" w:sz="6" w:space="0" w:color="CFCFCF"/>
              <w:left w:val="single" w:sz="6" w:space="0" w:color="CFCFCF"/>
              <w:bottom w:val="single" w:sz="6" w:space="0" w:color="CFCFCF"/>
              <w:right w:val="single" w:sz="6" w:space="0" w:color="CFCFCF"/>
            </w:tcBorders>
            <w:shd w:val="clear" w:color="auto" w:fill="FFFFFF"/>
            <w:vAlign w:val="center"/>
            <w:hideMark/>
          </w:tcPr>
          <w:p w:rsidR="00A53BCF" w:rsidRPr="00850C31" w:rsidRDefault="00A53BCF" w:rsidP="00A53BCF">
            <w:pPr>
              <w:jc w:val="center"/>
              <w:rPr>
                <w:rFonts w:cs="Segoe UI"/>
                <w:b/>
                <w:bCs/>
                <w:sz w:val="18"/>
                <w:szCs w:val="18"/>
              </w:rPr>
            </w:pPr>
            <w:r w:rsidRPr="00850C31">
              <w:rPr>
                <w:rFonts w:cs="Segoe UI"/>
                <w:b/>
                <w:bCs/>
                <w:sz w:val="18"/>
                <w:szCs w:val="18"/>
              </w:rPr>
              <w:t>2011</w:t>
            </w:r>
          </w:p>
        </w:tc>
        <w:tc>
          <w:tcPr>
            <w:tcW w:w="0" w:type="auto"/>
            <w:tcBorders>
              <w:top w:val="single" w:sz="6" w:space="0" w:color="CFCFCF"/>
              <w:left w:val="single" w:sz="6" w:space="0" w:color="CFCFCF"/>
              <w:bottom w:val="single" w:sz="6" w:space="0" w:color="CFCFCF"/>
              <w:right w:val="single" w:sz="6" w:space="0" w:color="CFCFCF"/>
            </w:tcBorders>
            <w:shd w:val="clear" w:color="auto" w:fill="FFFFFF"/>
            <w:vAlign w:val="center"/>
            <w:hideMark/>
          </w:tcPr>
          <w:p w:rsidR="00A53BCF" w:rsidRPr="00850C31" w:rsidRDefault="00A53BCF" w:rsidP="00A53BCF">
            <w:pPr>
              <w:jc w:val="center"/>
              <w:rPr>
                <w:rFonts w:cs="Segoe UI"/>
                <w:b/>
                <w:bCs/>
                <w:sz w:val="18"/>
                <w:szCs w:val="18"/>
              </w:rPr>
            </w:pPr>
            <w:r w:rsidRPr="00850C31">
              <w:rPr>
                <w:rFonts w:cs="Segoe UI"/>
                <w:b/>
                <w:bCs/>
                <w:sz w:val="18"/>
                <w:szCs w:val="18"/>
              </w:rPr>
              <w:t>2012</w:t>
            </w:r>
          </w:p>
        </w:tc>
        <w:tc>
          <w:tcPr>
            <w:tcW w:w="0" w:type="auto"/>
            <w:tcBorders>
              <w:top w:val="single" w:sz="6" w:space="0" w:color="CFCFCF"/>
              <w:left w:val="single" w:sz="6" w:space="0" w:color="CFCFCF"/>
              <w:bottom w:val="single" w:sz="6" w:space="0" w:color="CFCFCF"/>
              <w:right w:val="single" w:sz="6" w:space="0" w:color="CFCFCF"/>
            </w:tcBorders>
            <w:shd w:val="clear" w:color="auto" w:fill="auto"/>
            <w:vAlign w:val="center"/>
            <w:hideMark/>
          </w:tcPr>
          <w:p w:rsidR="00A53BCF" w:rsidRPr="00850C31" w:rsidRDefault="00A53BCF" w:rsidP="00A53BCF">
            <w:pPr>
              <w:jc w:val="center"/>
              <w:rPr>
                <w:rFonts w:cs="Segoe UI"/>
                <w:b/>
                <w:bCs/>
                <w:sz w:val="18"/>
                <w:szCs w:val="18"/>
              </w:rPr>
            </w:pPr>
            <w:r w:rsidRPr="00850C31">
              <w:rPr>
                <w:rFonts w:cs="Segoe UI"/>
                <w:b/>
                <w:bCs/>
                <w:sz w:val="18"/>
                <w:szCs w:val="18"/>
              </w:rPr>
              <w:t>2013</w:t>
            </w:r>
          </w:p>
        </w:tc>
        <w:tc>
          <w:tcPr>
            <w:tcW w:w="0" w:type="auto"/>
            <w:tcBorders>
              <w:top w:val="single" w:sz="6" w:space="0" w:color="CFCFCF"/>
              <w:left w:val="single" w:sz="6" w:space="0" w:color="CFCFCF"/>
              <w:bottom w:val="single" w:sz="6" w:space="0" w:color="CFCFCF"/>
              <w:right w:val="single" w:sz="6" w:space="0" w:color="CFCFCF"/>
            </w:tcBorders>
            <w:shd w:val="clear" w:color="auto" w:fill="FFFFFF"/>
            <w:vAlign w:val="center"/>
            <w:hideMark/>
          </w:tcPr>
          <w:p w:rsidR="00A53BCF" w:rsidRPr="00850C31" w:rsidRDefault="00A53BCF" w:rsidP="00A53BCF">
            <w:pPr>
              <w:jc w:val="center"/>
              <w:rPr>
                <w:rFonts w:cs="Segoe UI"/>
                <w:b/>
                <w:bCs/>
                <w:sz w:val="18"/>
                <w:szCs w:val="18"/>
              </w:rPr>
            </w:pPr>
            <w:r w:rsidRPr="00850C31">
              <w:rPr>
                <w:rFonts w:cs="Segoe UI"/>
                <w:b/>
                <w:bCs/>
                <w:sz w:val="18"/>
                <w:szCs w:val="18"/>
              </w:rPr>
              <w:t>2013</w:t>
            </w:r>
          </w:p>
        </w:tc>
      </w:tr>
      <w:tr w:rsidR="00A53BCF" w:rsidRPr="00850C31" w:rsidTr="00A53BCF">
        <w:tc>
          <w:tcPr>
            <w:tcW w:w="0" w:type="auto"/>
            <w:tcBorders>
              <w:top w:val="single" w:sz="6" w:space="0" w:color="CFCFCF"/>
              <w:left w:val="single" w:sz="6" w:space="0" w:color="CFCFCF"/>
              <w:bottom w:val="single" w:sz="6" w:space="0" w:color="CFCFCF"/>
              <w:right w:val="single" w:sz="6" w:space="0" w:color="CFCFCF"/>
            </w:tcBorders>
            <w:shd w:val="clear" w:color="auto" w:fill="E1F0F7"/>
            <w:vAlign w:val="center"/>
            <w:hideMark/>
          </w:tcPr>
          <w:p w:rsidR="00A53BCF" w:rsidRPr="00850C31" w:rsidRDefault="00A53BCF" w:rsidP="00A53BCF">
            <w:pPr>
              <w:rPr>
                <w:rFonts w:cs="Segoe UI"/>
                <w:sz w:val="18"/>
                <w:szCs w:val="18"/>
              </w:rPr>
            </w:pPr>
            <w:r w:rsidRPr="00850C31">
              <w:rPr>
                <w:rFonts w:cs="Segoe UI"/>
                <w:b/>
                <w:bCs/>
                <w:sz w:val="18"/>
                <w:szCs w:val="18"/>
              </w:rPr>
              <w:t>Domácnosti s prístupom internetu doma</w:t>
            </w:r>
            <w:r w:rsidRPr="00850C31">
              <w:rPr>
                <w:rFonts w:cs="Segoe UI"/>
                <w:sz w:val="18"/>
                <w:szCs w:val="18"/>
              </w:rPr>
              <w:t xml:space="preserve"> – všetky domácnosti (v % domácností)</w:t>
            </w:r>
          </w:p>
        </w:tc>
        <w:tc>
          <w:tcPr>
            <w:tcW w:w="0" w:type="auto"/>
            <w:tcBorders>
              <w:top w:val="single" w:sz="6" w:space="0" w:color="CFCFCF"/>
              <w:left w:val="single" w:sz="6" w:space="0" w:color="CFCFCF"/>
              <w:bottom w:val="single" w:sz="6" w:space="0" w:color="CFCFCF"/>
              <w:right w:val="single" w:sz="6" w:space="0" w:color="CFCFCF"/>
            </w:tcBorders>
            <w:shd w:val="clear" w:color="auto" w:fill="auto"/>
            <w:vAlign w:val="center"/>
            <w:hideMark/>
          </w:tcPr>
          <w:p w:rsidR="00A53BCF" w:rsidRPr="00850C31" w:rsidRDefault="00A53BCF" w:rsidP="00A53BCF">
            <w:pPr>
              <w:jc w:val="center"/>
              <w:rPr>
                <w:rFonts w:cs="Segoe UI"/>
                <w:sz w:val="18"/>
                <w:szCs w:val="18"/>
              </w:rPr>
            </w:pPr>
            <w:r w:rsidRPr="00850C31">
              <w:rPr>
                <w:rFonts w:cs="Segoe UI"/>
                <w:sz w:val="18"/>
                <w:szCs w:val="18"/>
              </w:rPr>
              <w:t>67</w:t>
            </w:r>
          </w:p>
        </w:tc>
        <w:tc>
          <w:tcPr>
            <w:tcW w:w="0" w:type="auto"/>
            <w:tcBorders>
              <w:top w:val="single" w:sz="6" w:space="0" w:color="CFCFCF"/>
              <w:left w:val="single" w:sz="6" w:space="0" w:color="CFCFCF"/>
              <w:bottom w:val="single" w:sz="6" w:space="0" w:color="CFCFCF"/>
              <w:right w:val="single" w:sz="6" w:space="0" w:color="CFCFCF"/>
            </w:tcBorders>
            <w:shd w:val="clear" w:color="auto" w:fill="auto"/>
            <w:vAlign w:val="center"/>
            <w:hideMark/>
          </w:tcPr>
          <w:p w:rsidR="00A53BCF" w:rsidRPr="00850C31" w:rsidRDefault="00A53BCF" w:rsidP="00A53BCF">
            <w:pPr>
              <w:jc w:val="center"/>
              <w:rPr>
                <w:rFonts w:cs="Segoe UI"/>
                <w:sz w:val="18"/>
                <w:szCs w:val="18"/>
              </w:rPr>
            </w:pPr>
            <w:r w:rsidRPr="00850C31">
              <w:rPr>
                <w:rFonts w:cs="Segoe UI"/>
                <w:sz w:val="18"/>
                <w:szCs w:val="18"/>
              </w:rPr>
              <w:t>71</w:t>
            </w:r>
          </w:p>
        </w:tc>
        <w:tc>
          <w:tcPr>
            <w:tcW w:w="0" w:type="auto"/>
            <w:tcBorders>
              <w:top w:val="single" w:sz="6" w:space="0" w:color="CFCFCF"/>
              <w:left w:val="single" w:sz="6" w:space="0" w:color="CFCFCF"/>
              <w:bottom w:val="single" w:sz="6" w:space="0" w:color="CFCFCF"/>
              <w:right w:val="single" w:sz="6" w:space="0" w:color="CFCFCF"/>
            </w:tcBorders>
            <w:shd w:val="clear" w:color="auto" w:fill="auto"/>
            <w:vAlign w:val="center"/>
            <w:hideMark/>
          </w:tcPr>
          <w:p w:rsidR="00A53BCF" w:rsidRPr="00850C31" w:rsidRDefault="00A53BCF" w:rsidP="00A53BCF">
            <w:pPr>
              <w:jc w:val="center"/>
              <w:rPr>
                <w:rFonts w:cs="Segoe UI"/>
                <w:sz w:val="18"/>
                <w:szCs w:val="18"/>
              </w:rPr>
            </w:pPr>
            <w:r w:rsidRPr="00850C31">
              <w:rPr>
                <w:rFonts w:cs="Segoe UI"/>
                <w:sz w:val="18"/>
                <w:szCs w:val="18"/>
              </w:rPr>
              <w:t>75</w:t>
            </w:r>
          </w:p>
        </w:tc>
        <w:tc>
          <w:tcPr>
            <w:tcW w:w="0" w:type="auto"/>
            <w:tcBorders>
              <w:top w:val="single" w:sz="6" w:space="0" w:color="CFCFCF"/>
              <w:left w:val="single" w:sz="6" w:space="0" w:color="CFCFCF"/>
              <w:bottom w:val="single" w:sz="6" w:space="0" w:color="CFCFCF"/>
              <w:right w:val="single" w:sz="6" w:space="0" w:color="CFCFCF"/>
            </w:tcBorders>
            <w:shd w:val="clear" w:color="auto" w:fill="E1F0F7"/>
            <w:vAlign w:val="center"/>
            <w:hideMark/>
          </w:tcPr>
          <w:p w:rsidR="00A53BCF" w:rsidRPr="00850C31" w:rsidRDefault="00A53BCF" w:rsidP="00A53BCF">
            <w:pPr>
              <w:jc w:val="center"/>
              <w:rPr>
                <w:rFonts w:cs="Segoe UI"/>
                <w:sz w:val="18"/>
                <w:szCs w:val="18"/>
              </w:rPr>
            </w:pPr>
            <w:r w:rsidRPr="00850C31">
              <w:rPr>
                <w:rFonts w:cs="Segoe UI"/>
                <w:sz w:val="18"/>
                <w:szCs w:val="18"/>
              </w:rPr>
              <w:t>78</w:t>
            </w:r>
          </w:p>
        </w:tc>
        <w:tc>
          <w:tcPr>
            <w:tcW w:w="0" w:type="auto"/>
            <w:tcBorders>
              <w:top w:val="single" w:sz="6" w:space="0" w:color="CFCFCF"/>
              <w:left w:val="single" w:sz="6" w:space="0" w:color="CFCFCF"/>
              <w:bottom w:val="single" w:sz="6" w:space="0" w:color="CFCFCF"/>
              <w:right w:val="single" w:sz="6" w:space="0" w:color="CFCFCF"/>
            </w:tcBorders>
            <w:shd w:val="clear" w:color="auto" w:fill="auto"/>
            <w:vAlign w:val="center"/>
            <w:hideMark/>
          </w:tcPr>
          <w:p w:rsidR="00A53BCF" w:rsidRPr="00850C31" w:rsidRDefault="00A53BCF" w:rsidP="00A53BCF">
            <w:pPr>
              <w:jc w:val="center"/>
              <w:rPr>
                <w:rFonts w:cs="Segoe UI"/>
                <w:sz w:val="18"/>
                <w:szCs w:val="18"/>
              </w:rPr>
            </w:pPr>
            <w:r w:rsidRPr="00850C31">
              <w:rPr>
                <w:rFonts w:cs="Segoe UI"/>
                <w:sz w:val="18"/>
                <w:szCs w:val="18"/>
              </w:rPr>
              <w:t>79</w:t>
            </w:r>
          </w:p>
        </w:tc>
      </w:tr>
      <w:tr w:rsidR="00A53BCF" w:rsidRPr="00850C31" w:rsidTr="00A53BCF">
        <w:tc>
          <w:tcPr>
            <w:tcW w:w="0" w:type="auto"/>
            <w:tcBorders>
              <w:top w:val="single" w:sz="6" w:space="0" w:color="CFCFCF"/>
              <w:left w:val="single" w:sz="6" w:space="0" w:color="CFCFCF"/>
              <w:bottom w:val="single" w:sz="6" w:space="0" w:color="CFCFCF"/>
              <w:right w:val="single" w:sz="6" w:space="0" w:color="CFCFCF"/>
            </w:tcBorders>
            <w:shd w:val="clear" w:color="auto" w:fill="E1F0F7"/>
            <w:vAlign w:val="center"/>
            <w:hideMark/>
          </w:tcPr>
          <w:p w:rsidR="00A53BCF" w:rsidRPr="00850C31" w:rsidRDefault="00A53BCF" w:rsidP="00A53BCF">
            <w:pPr>
              <w:rPr>
                <w:rFonts w:cs="Segoe UI"/>
                <w:sz w:val="18"/>
                <w:szCs w:val="18"/>
              </w:rPr>
            </w:pPr>
            <w:r w:rsidRPr="00850C31">
              <w:rPr>
                <w:rFonts w:cs="Segoe UI"/>
                <w:b/>
                <w:bCs/>
                <w:sz w:val="18"/>
                <w:szCs w:val="18"/>
              </w:rPr>
              <w:t>Pravidelní užívatelia internetu</w:t>
            </w:r>
            <w:r w:rsidRPr="00850C31">
              <w:rPr>
                <w:rFonts w:cs="Segoe UI"/>
                <w:sz w:val="18"/>
                <w:szCs w:val="18"/>
              </w:rPr>
              <w:t xml:space="preserve"> – všetci jednotlivci (v % jednotlivcov)</w:t>
            </w:r>
          </w:p>
        </w:tc>
        <w:tc>
          <w:tcPr>
            <w:tcW w:w="0" w:type="auto"/>
            <w:tcBorders>
              <w:top w:val="single" w:sz="6" w:space="0" w:color="CFCFCF"/>
              <w:left w:val="single" w:sz="6" w:space="0" w:color="CFCFCF"/>
              <w:bottom w:val="single" w:sz="6" w:space="0" w:color="CFCFCF"/>
              <w:right w:val="single" w:sz="6" w:space="0" w:color="CFCFCF"/>
            </w:tcBorders>
            <w:shd w:val="clear" w:color="auto" w:fill="auto"/>
            <w:vAlign w:val="center"/>
            <w:hideMark/>
          </w:tcPr>
          <w:p w:rsidR="00A53BCF" w:rsidRPr="00850C31" w:rsidRDefault="00A53BCF" w:rsidP="00A53BCF">
            <w:pPr>
              <w:jc w:val="center"/>
              <w:rPr>
                <w:rFonts w:cs="Segoe UI"/>
                <w:sz w:val="18"/>
                <w:szCs w:val="18"/>
              </w:rPr>
            </w:pPr>
            <w:r w:rsidRPr="00850C31">
              <w:rPr>
                <w:rFonts w:cs="Segoe UI"/>
                <w:sz w:val="18"/>
                <w:szCs w:val="18"/>
              </w:rPr>
              <w:t>73</w:t>
            </w:r>
          </w:p>
        </w:tc>
        <w:tc>
          <w:tcPr>
            <w:tcW w:w="0" w:type="auto"/>
            <w:tcBorders>
              <w:top w:val="single" w:sz="6" w:space="0" w:color="CFCFCF"/>
              <w:left w:val="single" w:sz="6" w:space="0" w:color="CFCFCF"/>
              <w:bottom w:val="single" w:sz="6" w:space="0" w:color="CFCFCF"/>
              <w:right w:val="single" w:sz="6" w:space="0" w:color="CFCFCF"/>
            </w:tcBorders>
            <w:shd w:val="clear" w:color="auto" w:fill="auto"/>
            <w:vAlign w:val="center"/>
            <w:hideMark/>
          </w:tcPr>
          <w:p w:rsidR="00A53BCF" w:rsidRPr="00850C31" w:rsidRDefault="00A53BCF" w:rsidP="00A53BCF">
            <w:pPr>
              <w:jc w:val="center"/>
              <w:rPr>
                <w:rFonts w:cs="Segoe UI"/>
                <w:sz w:val="18"/>
                <w:szCs w:val="18"/>
              </w:rPr>
            </w:pPr>
            <w:r w:rsidRPr="00850C31">
              <w:rPr>
                <w:rFonts w:cs="Segoe UI"/>
                <w:sz w:val="18"/>
                <w:szCs w:val="18"/>
              </w:rPr>
              <w:t>72</w:t>
            </w:r>
          </w:p>
        </w:tc>
        <w:tc>
          <w:tcPr>
            <w:tcW w:w="0" w:type="auto"/>
            <w:tcBorders>
              <w:top w:val="single" w:sz="6" w:space="0" w:color="CFCFCF"/>
              <w:left w:val="single" w:sz="6" w:space="0" w:color="CFCFCF"/>
              <w:bottom w:val="single" w:sz="6" w:space="0" w:color="CFCFCF"/>
              <w:right w:val="single" w:sz="6" w:space="0" w:color="CFCFCF"/>
            </w:tcBorders>
            <w:shd w:val="clear" w:color="auto" w:fill="auto"/>
            <w:vAlign w:val="center"/>
            <w:hideMark/>
          </w:tcPr>
          <w:p w:rsidR="00A53BCF" w:rsidRPr="00850C31" w:rsidRDefault="00A53BCF" w:rsidP="00A53BCF">
            <w:pPr>
              <w:jc w:val="center"/>
              <w:rPr>
                <w:rFonts w:cs="Segoe UI"/>
                <w:sz w:val="18"/>
                <w:szCs w:val="18"/>
              </w:rPr>
            </w:pPr>
            <w:r w:rsidRPr="00850C31">
              <w:rPr>
                <w:rFonts w:cs="Segoe UI"/>
                <w:sz w:val="18"/>
                <w:szCs w:val="18"/>
              </w:rPr>
              <w:t>74</w:t>
            </w:r>
          </w:p>
        </w:tc>
        <w:tc>
          <w:tcPr>
            <w:tcW w:w="0" w:type="auto"/>
            <w:tcBorders>
              <w:top w:val="single" w:sz="6" w:space="0" w:color="CFCFCF"/>
              <w:left w:val="single" w:sz="6" w:space="0" w:color="CFCFCF"/>
              <w:bottom w:val="single" w:sz="6" w:space="0" w:color="CFCFCF"/>
              <w:right w:val="single" w:sz="6" w:space="0" w:color="CFCFCF"/>
            </w:tcBorders>
            <w:shd w:val="clear" w:color="auto" w:fill="E1F0F7"/>
            <w:vAlign w:val="center"/>
            <w:hideMark/>
          </w:tcPr>
          <w:p w:rsidR="00A53BCF" w:rsidRPr="00850C31" w:rsidRDefault="00A53BCF" w:rsidP="00A53BCF">
            <w:pPr>
              <w:jc w:val="center"/>
              <w:rPr>
                <w:rFonts w:cs="Segoe UI"/>
                <w:sz w:val="18"/>
                <w:szCs w:val="18"/>
              </w:rPr>
            </w:pPr>
            <w:r w:rsidRPr="00850C31">
              <w:rPr>
                <w:rFonts w:cs="Segoe UI"/>
                <w:sz w:val="18"/>
                <w:szCs w:val="18"/>
              </w:rPr>
              <w:t>74</w:t>
            </w:r>
          </w:p>
        </w:tc>
        <w:tc>
          <w:tcPr>
            <w:tcW w:w="0" w:type="auto"/>
            <w:tcBorders>
              <w:top w:val="single" w:sz="6" w:space="0" w:color="CFCFCF"/>
              <w:left w:val="single" w:sz="6" w:space="0" w:color="CFCFCF"/>
              <w:bottom w:val="single" w:sz="6" w:space="0" w:color="CFCFCF"/>
              <w:right w:val="single" w:sz="6" w:space="0" w:color="CFCFCF"/>
            </w:tcBorders>
            <w:shd w:val="clear" w:color="auto" w:fill="auto"/>
            <w:vAlign w:val="center"/>
            <w:hideMark/>
          </w:tcPr>
          <w:p w:rsidR="00A53BCF" w:rsidRPr="00850C31" w:rsidRDefault="00A53BCF" w:rsidP="00A53BCF">
            <w:pPr>
              <w:jc w:val="center"/>
              <w:rPr>
                <w:rFonts w:cs="Segoe UI"/>
                <w:sz w:val="18"/>
                <w:szCs w:val="18"/>
              </w:rPr>
            </w:pPr>
            <w:r w:rsidRPr="00850C31">
              <w:rPr>
                <w:rFonts w:cs="Segoe UI"/>
                <w:sz w:val="18"/>
                <w:szCs w:val="18"/>
              </w:rPr>
              <w:t>72</w:t>
            </w:r>
          </w:p>
        </w:tc>
      </w:tr>
      <w:tr w:rsidR="00A53BCF" w:rsidRPr="00850C31" w:rsidTr="00A53BCF">
        <w:tc>
          <w:tcPr>
            <w:tcW w:w="0" w:type="auto"/>
            <w:tcBorders>
              <w:top w:val="single" w:sz="6" w:space="0" w:color="CFCFCF"/>
              <w:left w:val="single" w:sz="6" w:space="0" w:color="CFCFCF"/>
              <w:bottom w:val="single" w:sz="6" w:space="0" w:color="CFCFCF"/>
              <w:right w:val="single" w:sz="6" w:space="0" w:color="CFCFCF"/>
            </w:tcBorders>
            <w:shd w:val="clear" w:color="auto" w:fill="E1F0F7"/>
            <w:vAlign w:val="center"/>
            <w:hideMark/>
          </w:tcPr>
          <w:p w:rsidR="00A53BCF" w:rsidRPr="00850C31" w:rsidRDefault="00A53BCF" w:rsidP="00A53BCF">
            <w:pPr>
              <w:rPr>
                <w:rFonts w:cs="Segoe UI"/>
                <w:sz w:val="18"/>
                <w:szCs w:val="18"/>
              </w:rPr>
            </w:pPr>
            <w:r w:rsidRPr="00850C31">
              <w:rPr>
                <w:rFonts w:cs="Segoe UI"/>
                <w:b/>
                <w:bCs/>
                <w:sz w:val="18"/>
                <w:szCs w:val="18"/>
              </w:rPr>
              <w:t>Pravidelní užívatelia internetu</w:t>
            </w:r>
            <w:r w:rsidRPr="00850C31">
              <w:rPr>
                <w:rFonts w:cs="Segoe UI"/>
                <w:sz w:val="18"/>
                <w:szCs w:val="18"/>
              </w:rPr>
              <w:t xml:space="preserve"> – najmenej 1 nevyhovujúci faktor faktor (v % jednotlivcov)</w:t>
            </w:r>
          </w:p>
        </w:tc>
        <w:tc>
          <w:tcPr>
            <w:tcW w:w="0" w:type="auto"/>
            <w:tcBorders>
              <w:top w:val="single" w:sz="6" w:space="0" w:color="CFCFCF"/>
              <w:left w:val="single" w:sz="6" w:space="0" w:color="CFCFCF"/>
              <w:bottom w:val="single" w:sz="6" w:space="0" w:color="CFCFCF"/>
              <w:right w:val="single" w:sz="6" w:space="0" w:color="CFCFCF"/>
            </w:tcBorders>
            <w:shd w:val="clear" w:color="auto" w:fill="auto"/>
            <w:vAlign w:val="center"/>
            <w:hideMark/>
          </w:tcPr>
          <w:p w:rsidR="00A53BCF" w:rsidRPr="00850C31" w:rsidRDefault="00A53BCF" w:rsidP="00A53BCF">
            <w:pPr>
              <w:jc w:val="center"/>
              <w:rPr>
                <w:rFonts w:cs="Segoe UI"/>
                <w:sz w:val="18"/>
                <w:szCs w:val="18"/>
              </w:rPr>
            </w:pPr>
            <w:r w:rsidRPr="00850C31">
              <w:rPr>
                <w:rFonts w:cs="Segoe UI"/>
                <w:sz w:val="18"/>
                <w:szCs w:val="18"/>
              </w:rPr>
              <w:t>-</w:t>
            </w:r>
          </w:p>
        </w:tc>
        <w:tc>
          <w:tcPr>
            <w:tcW w:w="0" w:type="auto"/>
            <w:tcBorders>
              <w:top w:val="single" w:sz="6" w:space="0" w:color="CFCFCF"/>
              <w:left w:val="single" w:sz="6" w:space="0" w:color="CFCFCF"/>
              <w:bottom w:val="single" w:sz="6" w:space="0" w:color="CFCFCF"/>
              <w:right w:val="single" w:sz="6" w:space="0" w:color="CFCFCF"/>
            </w:tcBorders>
            <w:shd w:val="clear" w:color="auto" w:fill="auto"/>
            <w:vAlign w:val="center"/>
            <w:hideMark/>
          </w:tcPr>
          <w:p w:rsidR="00A53BCF" w:rsidRPr="00850C31" w:rsidRDefault="00A53BCF" w:rsidP="00A53BCF">
            <w:pPr>
              <w:jc w:val="center"/>
              <w:rPr>
                <w:rFonts w:cs="Segoe UI"/>
                <w:sz w:val="18"/>
                <w:szCs w:val="18"/>
              </w:rPr>
            </w:pPr>
            <w:r w:rsidRPr="00850C31">
              <w:rPr>
                <w:rFonts w:cs="Segoe UI"/>
                <w:sz w:val="18"/>
                <w:szCs w:val="18"/>
              </w:rPr>
              <w:t>51</w:t>
            </w:r>
          </w:p>
        </w:tc>
        <w:tc>
          <w:tcPr>
            <w:tcW w:w="0" w:type="auto"/>
            <w:tcBorders>
              <w:top w:val="single" w:sz="6" w:space="0" w:color="CFCFCF"/>
              <w:left w:val="single" w:sz="6" w:space="0" w:color="CFCFCF"/>
              <w:bottom w:val="single" w:sz="6" w:space="0" w:color="CFCFCF"/>
              <w:right w:val="single" w:sz="6" w:space="0" w:color="CFCFCF"/>
            </w:tcBorders>
            <w:shd w:val="clear" w:color="auto" w:fill="auto"/>
            <w:vAlign w:val="center"/>
            <w:hideMark/>
          </w:tcPr>
          <w:p w:rsidR="00A53BCF" w:rsidRPr="00850C31" w:rsidRDefault="00A53BCF" w:rsidP="00A53BCF">
            <w:pPr>
              <w:jc w:val="center"/>
              <w:rPr>
                <w:rFonts w:cs="Segoe UI"/>
                <w:sz w:val="18"/>
                <w:szCs w:val="18"/>
              </w:rPr>
            </w:pPr>
            <w:r w:rsidRPr="00850C31">
              <w:rPr>
                <w:rFonts w:cs="Segoe UI"/>
                <w:sz w:val="18"/>
                <w:szCs w:val="18"/>
              </w:rPr>
              <w:t>53</w:t>
            </w:r>
          </w:p>
        </w:tc>
        <w:tc>
          <w:tcPr>
            <w:tcW w:w="0" w:type="auto"/>
            <w:tcBorders>
              <w:top w:val="single" w:sz="6" w:space="0" w:color="CFCFCF"/>
              <w:left w:val="single" w:sz="6" w:space="0" w:color="CFCFCF"/>
              <w:bottom w:val="single" w:sz="6" w:space="0" w:color="CFCFCF"/>
              <w:right w:val="single" w:sz="6" w:space="0" w:color="CFCFCF"/>
            </w:tcBorders>
            <w:shd w:val="clear" w:color="auto" w:fill="E1F0F7"/>
            <w:vAlign w:val="center"/>
            <w:hideMark/>
          </w:tcPr>
          <w:p w:rsidR="00A53BCF" w:rsidRPr="00850C31" w:rsidRDefault="00A53BCF" w:rsidP="00A53BCF">
            <w:pPr>
              <w:jc w:val="center"/>
              <w:rPr>
                <w:rFonts w:cs="Segoe UI"/>
                <w:sz w:val="18"/>
                <w:szCs w:val="18"/>
              </w:rPr>
            </w:pPr>
            <w:r w:rsidRPr="00850C31">
              <w:rPr>
                <w:rFonts w:cs="Segoe UI"/>
                <w:sz w:val="18"/>
                <w:szCs w:val="18"/>
              </w:rPr>
              <w:t>53</w:t>
            </w:r>
          </w:p>
        </w:tc>
        <w:tc>
          <w:tcPr>
            <w:tcW w:w="0" w:type="auto"/>
            <w:tcBorders>
              <w:top w:val="single" w:sz="6" w:space="0" w:color="CFCFCF"/>
              <w:left w:val="single" w:sz="6" w:space="0" w:color="CFCFCF"/>
              <w:bottom w:val="single" w:sz="6" w:space="0" w:color="CFCFCF"/>
              <w:right w:val="single" w:sz="6" w:space="0" w:color="CFCFCF"/>
            </w:tcBorders>
            <w:shd w:val="clear" w:color="auto" w:fill="auto"/>
            <w:vAlign w:val="center"/>
            <w:hideMark/>
          </w:tcPr>
          <w:p w:rsidR="00A53BCF" w:rsidRPr="00850C31" w:rsidRDefault="00A53BCF" w:rsidP="00A53BCF">
            <w:pPr>
              <w:jc w:val="center"/>
              <w:rPr>
                <w:rFonts w:cs="Segoe UI"/>
                <w:sz w:val="18"/>
                <w:szCs w:val="18"/>
              </w:rPr>
            </w:pPr>
            <w:r w:rsidRPr="00850C31">
              <w:rPr>
                <w:rFonts w:cs="Segoe UI"/>
                <w:sz w:val="18"/>
                <w:szCs w:val="18"/>
              </w:rPr>
              <w:t>57</w:t>
            </w:r>
          </w:p>
        </w:tc>
      </w:tr>
      <w:tr w:rsidR="00A53BCF" w:rsidRPr="00850C31" w:rsidTr="00A53BCF">
        <w:tc>
          <w:tcPr>
            <w:tcW w:w="0" w:type="auto"/>
            <w:tcBorders>
              <w:top w:val="single" w:sz="6" w:space="0" w:color="CFCFCF"/>
              <w:left w:val="single" w:sz="6" w:space="0" w:color="CFCFCF"/>
              <w:bottom w:val="single" w:sz="6" w:space="0" w:color="CFCFCF"/>
              <w:right w:val="single" w:sz="6" w:space="0" w:color="CFCFCF"/>
            </w:tcBorders>
            <w:shd w:val="clear" w:color="auto" w:fill="E1F0F7"/>
            <w:vAlign w:val="center"/>
            <w:hideMark/>
          </w:tcPr>
          <w:p w:rsidR="00A53BCF" w:rsidRPr="00850C31" w:rsidRDefault="00A53BCF" w:rsidP="00A53BCF">
            <w:pPr>
              <w:rPr>
                <w:rFonts w:cs="Segoe UI"/>
                <w:sz w:val="18"/>
                <w:szCs w:val="18"/>
              </w:rPr>
            </w:pPr>
            <w:r w:rsidRPr="00850C31">
              <w:rPr>
                <w:rFonts w:cs="Segoe UI"/>
                <w:b/>
                <w:bCs/>
                <w:sz w:val="18"/>
                <w:szCs w:val="18"/>
              </w:rPr>
              <w:t>Častí užívatelia internetu</w:t>
            </w:r>
            <w:r w:rsidRPr="00850C31">
              <w:rPr>
                <w:rFonts w:cs="Segoe UI"/>
                <w:sz w:val="18"/>
                <w:szCs w:val="18"/>
              </w:rPr>
              <w:t xml:space="preserve"> – všetci jednotlivci (v % jednotlivcov)</w:t>
            </w:r>
          </w:p>
        </w:tc>
        <w:tc>
          <w:tcPr>
            <w:tcW w:w="0" w:type="auto"/>
            <w:tcBorders>
              <w:top w:val="single" w:sz="6" w:space="0" w:color="CFCFCF"/>
              <w:left w:val="single" w:sz="6" w:space="0" w:color="CFCFCF"/>
              <w:bottom w:val="single" w:sz="6" w:space="0" w:color="CFCFCF"/>
              <w:right w:val="single" w:sz="6" w:space="0" w:color="CFCFCF"/>
            </w:tcBorders>
            <w:shd w:val="clear" w:color="auto" w:fill="auto"/>
            <w:vAlign w:val="center"/>
            <w:hideMark/>
          </w:tcPr>
          <w:p w:rsidR="00A53BCF" w:rsidRPr="00850C31" w:rsidRDefault="00A53BCF" w:rsidP="00A53BCF">
            <w:pPr>
              <w:jc w:val="center"/>
              <w:rPr>
                <w:rFonts w:cs="Segoe UI"/>
                <w:sz w:val="18"/>
                <w:szCs w:val="18"/>
              </w:rPr>
            </w:pPr>
            <w:r w:rsidRPr="00850C31">
              <w:rPr>
                <w:rFonts w:cs="Segoe UI"/>
                <w:sz w:val="18"/>
                <w:szCs w:val="18"/>
              </w:rPr>
              <w:t>58</w:t>
            </w:r>
          </w:p>
        </w:tc>
        <w:tc>
          <w:tcPr>
            <w:tcW w:w="0" w:type="auto"/>
            <w:tcBorders>
              <w:top w:val="single" w:sz="6" w:space="0" w:color="CFCFCF"/>
              <w:left w:val="single" w:sz="6" w:space="0" w:color="CFCFCF"/>
              <w:bottom w:val="single" w:sz="6" w:space="0" w:color="CFCFCF"/>
              <w:right w:val="single" w:sz="6" w:space="0" w:color="CFCFCF"/>
            </w:tcBorders>
            <w:shd w:val="clear" w:color="auto" w:fill="auto"/>
            <w:vAlign w:val="center"/>
            <w:hideMark/>
          </w:tcPr>
          <w:p w:rsidR="00A53BCF" w:rsidRPr="00850C31" w:rsidRDefault="00A53BCF" w:rsidP="00A53BCF">
            <w:pPr>
              <w:jc w:val="center"/>
              <w:rPr>
                <w:rFonts w:cs="Segoe UI"/>
                <w:sz w:val="18"/>
                <w:szCs w:val="18"/>
              </w:rPr>
            </w:pPr>
            <w:r w:rsidRPr="00850C31">
              <w:rPr>
                <w:rFonts w:cs="Segoe UI"/>
                <w:sz w:val="18"/>
                <w:szCs w:val="18"/>
              </w:rPr>
              <w:t>56</w:t>
            </w:r>
          </w:p>
        </w:tc>
        <w:tc>
          <w:tcPr>
            <w:tcW w:w="0" w:type="auto"/>
            <w:tcBorders>
              <w:top w:val="single" w:sz="6" w:space="0" w:color="CFCFCF"/>
              <w:left w:val="single" w:sz="6" w:space="0" w:color="CFCFCF"/>
              <w:bottom w:val="single" w:sz="6" w:space="0" w:color="CFCFCF"/>
              <w:right w:val="single" w:sz="6" w:space="0" w:color="CFCFCF"/>
            </w:tcBorders>
            <w:shd w:val="clear" w:color="auto" w:fill="auto"/>
            <w:vAlign w:val="center"/>
            <w:hideMark/>
          </w:tcPr>
          <w:p w:rsidR="00A53BCF" w:rsidRPr="00850C31" w:rsidRDefault="00A53BCF" w:rsidP="00A53BCF">
            <w:pPr>
              <w:jc w:val="center"/>
              <w:rPr>
                <w:rFonts w:cs="Segoe UI"/>
                <w:sz w:val="18"/>
                <w:szCs w:val="18"/>
              </w:rPr>
            </w:pPr>
            <w:r w:rsidRPr="00850C31">
              <w:rPr>
                <w:rFonts w:cs="Segoe UI"/>
                <w:sz w:val="18"/>
                <w:szCs w:val="18"/>
              </w:rPr>
              <w:t>60</w:t>
            </w:r>
          </w:p>
        </w:tc>
        <w:tc>
          <w:tcPr>
            <w:tcW w:w="0" w:type="auto"/>
            <w:tcBorders>
              <w:top w:val="single" w:sz="6" w:space="0" w:color="CFCFCF"/>
              <w:left w:val="single" w:sz="6" w:space="0" w:color="CFCFCF"/>
              <w:bottom w:val="single" w:sz="6" w:space="0" w:color="CFCFCF"/>
              <w:right w:val="single" w:sz="6" w:space="0" w:color="CFCFCF"/>
            </w:tcBorders>
            <w:shd w:val="clear" w:color="auto" w:fill="E1F0F7"/>
            <w:vAlign w:val="center"/>
            <w:hideMark/>
          </w:tcPr>
          <w:p w:rsidR="00A53BCF" w:rsidRPr="00850C31" w:rsidRDefault="00A53BCF" w:rsidP="00A53BCF">
            <w:pPr>
              <w:jc w:val="center"/>
              <w:rPr>
                <w:rFonts w:cs="Segoe UI"/>
                <w:sz w:val="18"/>
                <w:szCs w:val="18"/>
              </w:rPr>
            </w:pPr>
            <w:r w:rsidRPr="00850C31">
              <w:rPr>
                <w:rFonts w:cs="Segoe UI"/>
                <w:sz w:val="18"/>
                <w:szCs w:val="18"/>
              </w:rPr>
              <w:t>61</w:t>
            </w:r>
          </w:p>
        </w:tc>
        <w:tc>
          <w:tcPr>
            <w:tcW w:w="0" w:type="auto"/>
            <w:tcBorders>
              <w:top w:val="single" w:sz="6" w:space="0" w:color="CFCFCF"/>
              <w:left w:val="single" w:sz="6" w:space="0" w:color="CFCFCF"/>
              <w:bottom w:val="single" w:sz="6" w:space="0" w:color="CFCFCF"/>
              <w:right w:val="single" w:sz="6" w:space="0" w:color="CFCFCF"/>
            </w:tcBorders>
            <w:shd w:val="clear" w:color="auto" w:fill="auto"/>
            <w:vAlign w:val="center"/>
            <w:hideMark/>
          </w:tcPr>
          <w:p w:rsidR="00A53BCF" w:rsidRPr="00850C31" w:rsidRDefault="00A53BCF" w:rsidP="00A53BCF">
            <w:pPr>
              <w:jc w:val="center"/>
              <w:rPr>
                <w:rFonts w:cs="Segoe UI"/>
                <w:sz w:val="18"/>
                <w:szCs w:val="18"/>
              </w:rPr>
            </w:pPr>
            <w:r w:rsidRPr="00850C31">
              <w:rPr>
                <w:rFonts w:cs="Segoe UI"/>
                <w:sz w:val="18"/>
                <w:szCs w:val="18"/>
              </w:rPr>
              <w:t>62</w:t>
            </w:r>
          </w:p>
        </w:tc>
      </w:tr>
      <w:tr w:rsidR="00A53BCF" w:rsidRPr="00850C31" w:rsidTr="00A53BCF">
        <w:tc>
          <w:tcPr>
            <w:tcW w:w="0" w:type="auto"/>
            <w:tcBorders>
              <w:top w:val="single" w:sz="6" w:space="0" w:color="CFCFCF"/>
              <w:left w:val="single" w:sz="6" w:space="0" w:color="CFCFCF"/>
              <w:bottom w:val="single" w:sz="6" w:space="0" w:color="CFCFCF"/>
              <w:right w:val="single" w:sz="6" w:space="0" w:color="CFCFCF"/>
            </w:tcBorders>
            <w:shd w:val="clear" w:color="auto" w:fill="E1F0F7"/>
            <w:vAlign w:val="center"/>
            <w:hideMark/>
          </w:tcPr>
          <w:p w:rsidR="00A53BCF" w:rsidRPr="00850C31" w:rsidRDefault="00A53BCF" w:rsidP="00A53BCF">
            <w:pPr>
              <w:rPr>
                <w:rFonts w:cs="Segoe UI"/>
                <w:sz w:val="18"/>
                <w:szCs w:val="18"/>
              </w:rPr>
            </w:pPr>
            <w:r w:rsidRPr="00850C31">
              <w:rPr>
                <w:rFonts w:cs="Segoe UI"/>
                <w:b/>
                <w:bCs/>
                <w:sz w:val="18"/>
                <w:szCs w:val="18"/>
              </w:rPr>
              <w:t>Užívatelia využívajúci laptop/tablet pre prístup k internetu</w:t>
            </w:r>
            <w:r w:rsidRPr="00850C31">
              <w:rPr>
                <w:rFonts w:cs="Segoe UI"/>
                <w:sz w:val="18"/>
                <w:szCs w:val="18"/>
              </w:rPr>
              <w:t xml:space="preserve"> – všetci jednotlivci (v % jednotlivcov)</w:t>
            </w:r>
          </w:p>
        </w:tc>
        <w:tc>
          <w:tcPr>
            <w:tcW w:w="0" w:type="auto"/>
            <w:tcBorders>
              <w:top w:val="single" w:sz="6" w:space="0" w:color="CFCFCF"/>
              <w:left w:val="single" w:sz="6" w:space="0" w:color="CFCFCF"/>
              <w:bottom w:val="single" w:sz="6" w:space="0" w:color="CFCFCF"/>
              <w:right w:val="single" w:sz="6" w:space="0" w:color="CFCFCF"/>
            </w:tcBorders>
            <w:shd w:val="clear" w:color="auto" w:fill="auto"/>
            <w:vAlign w:val="center"/>
            <w:hideMark/>
          </w:tcPr>
          <w:p w:rsidR="00A53BCF" w:rsidRPr="00850C31" w:rsidRDefault="00A53BCF" w:rsidP="00A53BCF">
            <w:pPr>
              <w:jc w:val="center"/>
              <w:rPr>
                <w:rFonts w:cs="Segoe UI"/>
                <w:sz w:val="18"/>
                <w:szCs w:val="18"/>
              </w:rPr>
            </w:pPr>
            <w:r w:rsidRPr="00850C31">
              <w:rPr>
                <w:rFonts w:cs="Segoe UI"/>
                <w:sz w:val="18"/>
                <w:szCs w:val="18"/>
              </w:rPr>
              <w:t>20</w:t>
            </w:r>
          </w:p>
        </w:tc>
        <w:tc>
          <w:tcPr>
            <w:tcW w:w="0" w:type="auto"/>
            <w:tcBorders>
              <w:top w:val="single" w:sz="6" w:space="0" w:color="CFCFCF"/>
              <w:left w:val="single" w:sz="6" w:space="0" w:color="CFCFCF"/>
              <w:bottom w:val="single" w:sz="6" w:space="0" w:color="CFCFCF"/>
              <w:right w:val="single" w:sz="6" w:space="0" w:color="CFCFCF"/>
            </w:tcBorders>
            <w:shd w:val="clear" w:color="auto" w:fill="auto"/>
            <w:vAlign w:val="center"/>
            <w:hideMark/>
          </w:tcPr>
          <w:p w:rsidR="00A53BCF" w:rsidRPr="00850C31" w:rsidRDefault="00A53BCF" w:rsidP="00A53BCF">
            <w:pPr>
              <w:jc w:val="center"/>
              <w:rPr>
                <w:rFonts w:cs="Segoe UI"/>
                <w:sz w:val="18"/>
                <w:szCs w:val="18"/>
              </w:rPr>
            </w:pPr>
            <w:r w:rsidRPr="00850C31">
              <w:rPr>
                <w:rFonts w:cs="Segoe UI"/>
                <w:sz w:val="18"/>
                <w:szCs w:val="18"/>
              </w:rPr>
              <w:t>31</w:t>
            </w:r>
          </w:p>
        </w:tc>
        <w:tc>
          <w:tcPr>
            <w:tcW w:w="0" w:type="auto"/>
            <w:tcBorders>
              <w:top w:val="single" w:sz="6" w:space="0" w:color="CFCFCF"/>
              <w:left w:val="single" w:sz="6" w:space="0" w:color="CFCFCF"/>
              <w:bottom w:val="single" w:sz="6" w:space="0" w:color="CFCFCF"/>
              <w:right w:val="single" w:sz="6" w:space="0" w:color="CFCFCF"/>
            </w:tcBorders>
            <w:shd w:val="clear" w:color="auto" w:fill="auto"/>
            <w:vAlign w:val="center"/>
            <w:hideMark/>
          </w:tcPr>
          <w:p w:rsidR="00A53BCF" w:rsidRPr="00850C31" w:rsidRDefault="00A53BCF" w:rsidP="00A53BCF">
            <w:pPr>
              <w:jc w:val="center"/>
              <w:rPr>
                <w:rFonts w:cs="Segoe UI"/>
                <w:sz w:val="18"/>
                <w:szCs w:val="18"/>
              </w:rPr>
            </w:pPr>
            <w:r w:rsidRPr="00850C31">
              <w:rPr>
                <w:rFonts w:cs="Segoe UI"/>
                <w:sz w:val="18"/>
                <w:szCs w:val="18"/>
              </w:rPr>
              <w:t>30</w:t>
            </w:r>
          </w:p>
        </w:tc>
        <w:tc>
          <w:tcPr>
            <w:tcW w:w="0" w:type="auto"/>
            <w:tcBorders>
              <w:top w:val="single" w:sz="6" w:space="0" w:color="CFCFCF"/>
              <w:left w:val="single" w:sz="6" w:space="0" w:color="CFCFCF"/>
              <w:bottom w:val="single" w:sz="6" w:space="0" w:color="CFCFCF"/>
              <w:right w:val="single" w:sz="6" w:space="0" w:color="CFCFCF"/>
            </w:tcBorders>
            <w:shd w:val="clear" w:color="auto" w:fill="E1F0F7"/>
            <w:vAlign w:val="center"/>
            <w:hideMark/>
          </w:tcPr>
          <w:p w:rsidR="00A53BCF" w:rsidRPr="00850C31" w:rsidRDefault="00A53BCF" w:rsidP="00A53BCF">
            <w:pPr>
              <w:jc w:val="center"/>
              <w:rPr>
                <w:rFonts w:cs="Segoe UI"/>
                <w:sz w:val="18"/>
                <w:szCs w:val="18"/>
              </w:rPr>
            </w:pPr>
            <w:r w:rsidRPr="00850C31">
              <w:rPr>
                <w:rFonts w:cs="Segoe UI"/>
                <w:sz w:val="18"/>
                <w:szCs w:val="18"/>
              </w:rPr>
              <w:t>27</w:t>
            </w:r>
          </w:p>
        </w:tc>
        <w:tc>
          <w:tcPr>
            <w:tcW w:w="0" w:type="auto"/>
            <w:tcBorders>
              <w:top w:val="single" w:sz="6" w:space="0" w:color="CFCFCF"/>
              <w:left w:val="single" w:sz="6" w:space="0" w:color="CFCFCF"/>
              <w:bottom w:val="single" w:sz="6" w:space="0" w:color="CFCFCF"/>
              <w:right w:val="single" w:sz="6" w:space="0" w:color="CFCFCF"/>
            </w:tcBorders>
            <w:shd w:val="clear" w:color="auto" w:fill="auto"/>
            <w:vAlign w:val="center"/>
            <w:hideMark/>
          </w:tcPr>
          <w:p w:rsidR="00A53BCF" w:rsidRPr="00850C31" w:rsidRDefault="00A53BCF" w:rsidP="00A53BCF">
            <w:pPr>
              <w:jc w:val="center"/>
              <w:rPr>
                <w:rFonts w:cs="Segoe UI"/>
                <w:sz w:val="18"/>
                <w:szCs w:val="18"/>
              </w:rPr>
            </w:pPr>
            <w:r w:rsidRPr="00850C31">
              <w:rPr>
                <w:rFonts w:cs="Segoe UI"/>
                <w:sz w:val="18"/>
                <w:szCs w:val="18"/>
              </w:rPr>
              <w:t>24</w:t>
            </w:r>
          </w:p>
        </w:tc>
      </w:tr>
      <w:tr w:rsidR="00A53BCF" w:rsidRPr="00850C31" w:rsidTr="00A53BCF">
        <w:tc>
          <w:tcPr>
            <w:tcW w:w="0" w:type="auto"/>
            <w:tcBorders>
              <w:top w:val="single" w:sz="6" w:space="0" w:color="CFCFCF"/>
              <w:left w:val="single" w:sz="6" w:space="0" w:color="CFCFCF"/>
              <w:bottom w:val="single" w:sz="6" w:space="0" w:color="CFCFCF"/>
              <w:right w:val="single" w:sz="6" w:space="0" w:color="CFCFCF"/>
            </w:tcBorders>
            <w:shd w:val="clear" w:color="auto" w:fill="E1F0F7"/>
            <w:vAlign w:val="center"/>
            <w:hideMark/>
          </w:tcPr>
          <w:p w:rsidR="00A53BCF" w:rsidRPr="00850C31" w:rsidRDefault="00A53BCF" w:rsidP="00A53BCF">
            <w:pPr>
              <w:rPr>
                <w:rFonts w:cs="Segoe UI"/>
                <w:sz w:val="18"/>
                <w:szCs w:val="18"/>
              </w:rPr>
            </w:pPr>
            <w:r w:rsidRPr="00850C31">
              <w:rPr>
                <w:rFonts w:cs="Segoe UI"/>
                <w:b/>
                <w:bCs/>
                <w:sz w:val="18"/>
                <w:szCs w:val="18"/>
              </w:rPr>
              <w:t>Jednotlivci, ktorí nikdy nepoužívajú internet</w:t>
            </w:r>
            <w:r w:rsidRPr="00850C31">
              <w:rPr>
                <w:rFonts w:cs="Segoe UI"/>
                <w:sz w:val="18"/>
                <w:szCs w:val="18"/>
              </w:rPr>
              <w:t xml:space="preserve"> – všetci jednotlivci (v % jednotlivcov)</w:t>
            </w:r>
          </w:p>
        </w:tc>
        <w:tc>
          <w:tcPr>
            <w:tcW w:w="0" w:type="auto"/>
            <w:tcBorders>
              <w:top w:val="single" w:sz="6" w:space="0" w:color="CFCFCF"/>
              <w:left w:val="single" w:sz="6" w:space="0" w:color="CFCFCF"/>
              <w:bottom w:val="single" w:sz="6" w:space="0" w:color="CFCFCF"/>
              <w:right w:val="single" w:sz="6" w:space="0" w:color="CFCFCF"/>
            </w:tcBorders>
            <w:shd w:val="clear" w:color="auto" w:fill="auto"/>
            <w:vAlign w:val="center"/>
            <w:hideMark/>
          </w:tcPr>
          <w:p w:rsidR="00A53BCF" w:rsidRPr="00850C31" w:rsidRDefault="00A53BCF" w:rsidP="00A53BCF">
            <w:pPr>
              <w:jc w:val="center"/>
              <w:rPr>
                <w:rFonts w:cs="Segoe UI"/>
                <w:sz w:val="18"/>
                <w:szCs w:val="18"/>
              </w:rPr>
            </w:pPr>
            <w:r w:rsidRPr="00850C31">
              <w:rPr>
                <w:rFonts w:cs="Segoe UI"/>
                <w:sz w:val="18"/>
                <w:szCs w:val="18"/>
              </w:rPr>
              <w:t>17</w:t>
            </w:r>
          </w:p>
        </w:tc>
        <w:tc>
          <w:tcPr>
            <w:tcW w:w="0" w:type="auto"/>
            <w:tcBorders>
              <w:top w:val="single" w:sz="6" w:space="0" w:color="CFCFCF"/>
              <w:left w:val="single" w:sz="6" w:space="0" w:color="CFCFCF"/>
              <w:bottom w:val="single" w:sz="6" w:space="0" w:color="CFCFCF"/>
              <w:right w:val="single" w:sz="6" w:space="0" w:color="CFCFCF"/>
            </w:tcBorders>
            <w:shd w:val="clear" w:color="auto" w:fill="auto"/>
            <w:vAlign w:val="center"/>
            <w:hideMark/>
          </w:tcPr>
          <w:p w:rsidR="00A53BCF" w:rsidRPr="00850C31" w:rsidRDefault="00A53BCF" w:rsidP="00A53BCF">
            <w:pPr>
              <w:jc w:val="center"/>
              <w:rPr>
                <w:rFonts w:cs="Segoe UI"/>
                <w:sz w:val="18"/>
                <w:szCs w:val="18"/>
              </w:rPr>
            </w:pPr>
            <w:r w:rsidRPr="00850C31">
              <w:rPr>
                <w:rFonts w:cs="Segoe UI"/>
                <w:sz w:val="18"/>
                <w:szCs w:val="18"/>
              </w:rPr>
              <w:t>20</w:t>
            </w:r>
          </w:p>
        </w:tc>
        <w:tc>
          <w:tcPr>
            <w:tcW w:w="0" w:type="auto"/>
            <w:tcBorders>
              <w:top w:val="single" w:sz="6" w:space="0" w:color="CFCFCF"/>
              <w:left w:val="single" w:sz="6" w:space="0" w:color="CFCFCF"/>
              <w:bottom w:val="single" w:sz="6" w:space="0" w:color="CFCFCF"/>
              <w:right w:val="single" w:sz="6" w:space="0" w:color="CFCFCF"/>
            </w:tcBorders>
            <w:shd w:val="clear" w:color="auto" w:fill="auto"/>
            <w:vAlign w:val="center"/>
            <w:hideMark/>
          </w:tcPr>
          <w:p w:rsidR="00A53BCF" w:rsidRPr="00850C31" w:rsidRDefault="00A53BCF" w:rsidP="00A53BCF">
            <w:pPr>
              <w:jc w:val="center"/>
              <w:rPr>
                <w:rFonts w:cs="Segoe UI"/>
                <w:sz w:val="18"/>
                <w:szCs w:val="18"/>
              </w:rPr>
            </w:pPr>
            <w:r w:rsidRPr="00850C31">
              <w:rPr>
                <w:rFonts w:cs="Segoe UI"/>
                <w:sz w:val="18"/>
                <w:szCs w:val="18"/>
              </w:rPr>
              <w:t>18</w:t>
            </w:r>
          </w:p>
        </w:tc>
        <w:tc>
          <w:tcPr>
            <w:tcW w:w="0" w:type="auto"/>
            <w:tcBorders>
              <w:top w:val="single" w:sz="6" w:space="0" w:color="CFCFCF"/>
              <w:left w:val="single" w:sz="6" w:space="0" w:color="CFCFCF"/>
              <w:bottom w:val="single" w:sz="6" w:space="0" w:color="CFCFCF"/>
              <w:right w:val="single" w:sz="6" w:space="0" w:color="CFCFCF"/>
            </w:tcBorders>
            <w:shd w:val="clear" w:color="auto" w:fill="E1F0F7"/>
            <w:vAlign w:val="center"/>
            <w:hideMark/>
          </w:tcPr>
          <w:p w:rsidR="00A53BCF" w:rsidRPr="00850C31" w:rsidRDefault="00A53BCF" w:rsidP="00A53BCF">
            <w:pPr>
              <w:jc w:val="center"/>
              <w:rPr>
                <w:rFonts w:cs="Segoe UI"/>
                <w:sz w:val="18"/>
                <w:szCs w:val="18"/>
              </w:rPr>
            </w:pPr>
            <w:r w:rsidRPr="00850C31">
              <w:rPr>
                <w:rFonts w:cs="Segoe UI"/>
                <w:sz w:val="18"/>
                <w:szCs w:val="18"/>
              </w:rPr>
              <w:t>15</w:t>
            </w:r>
          </w:p>
        </w:tc>
        <w:tc>
          <w:tcPr>
            <w:tcW w:w="0" w:type="auto"/>
            <w:tcBorders>
              <w:top w:val="single" w:sz="6" w:space="0" w:color="CFCFCF"/>
              <w:left w:val="single" w:sz="6" w:space="0" w:color="CFCFCF"/>
              <w:bottom w:val="single" w:sz="6" w:space="0" w:color="CFCFCF"/>
              <w:right w:val="single" w:sz="6" w:space="0" w:color="CFCFCF"/>
            </w:tcBorders>
            <w:shd w:val="clear" w:color="auto" w:fill="auto"/>
            <w:vAlign w:val="center"/>
            <w:hideMark/>
          </w:tcPr>
          <w:p w:rsidR="00A53BCF" w:rsidRPr="00850C31" w:rsidRDefault="00A53BCF" w:rsidP="00A53BCF">
            <w:pPr>
              <w:jc w:val="center"/>
              <w:rPr>
                <w:rFonts w:cs="Segoe UI"/>
                <w:sz w:val="18"/>
                <w:szCs w:val="18"/>
              </w:rPr>
            </w:pPr>
            <w:r w:rsidRPr="00850C31">
              <w:rPr>
                <w:rFonts w:cs="Segoe UI"/>
                <w:sz w:val="18"/>
                <w:szCs w:val="18"/>
              </w:rPr>
              <w:t>21</w:t>
            </w:r>
          </w:p>
        </w:tc>
      </w:tr>
      <w:tr w:rsidR="00A53BCF" w:rsidRPr="00850C31" w:rsidTr="00A53BCF">
        <w:tc>
          <w:tcPr>
            <w:tcW w:w="0" w:type="auto"/>
            <w:tcBorders>
              <w:top w:val="single" w:sz="6" w:space="0" w:color="CFCFCF"/>
              <w:left w:val="single" w:sz="6" w:space="0" w:color="CFCFCF"/>
              <w:bottom w:val="single" w:sz="6" w:space="0" w:color="CFCFCF"/>
              <w:right w:val="single" w:sz="6" w:space="0" w:color="CFCFCF"/>
            </w:tcBorders>
            <w:shd w:val="clear" w:color="auto" w:fill="E1F0F7"/>
            <w:vAlign w:val="center"/>
            <w:hideMark/>
          </w:tcPr>
          <w:p w:rsidR="00A53BCF" w:rsidRPr="00850C31" w:rsidRDefault="00A53BCF" w:rsidP="00A53BCF">
            <w:pPr>
              <w:rPr>
                <w:rFonts w:cs="Segoe UI"/>
                <w:sz w:val="18"/>
                <w:szCs w:val="18"/>
              </w:rPr>
            </w:pPr>
            <w:r w:rsidRPr="00850C31">
              <w:rPr>
                <w:rFonts w:cs="Segoe UI"/>
                <w:b/>
                <w:bCs/>
                <w:sz w:val="18"/>
                <w:szCs w:val="18"/>
              </w:rPr>
              <w:t>Diverzifikácia indexu pre použitie internetu</w:t>
            </w:r>
            <w:r w:rsidRPr="00850C31">
              <w:rPr>
                <w:rFonts w:cs="Segoe UI"/>
                <w:sz w:val="18"/>
                <w:szCs w:val="18"/>
              </w:rPr>
              <w:t xml:space="preserve"> – 16-24 (v priemernom indexe diverzifikácie )</w:t>
            </w:r>
          </w:p>
        </w:tc>
        <w:tc>
          <w:tcPr>
            <w:tcW w:w="0" w:type="auto"/>
            <w:tcBorders>
              <w:top w:val="single" w:sz="6" w:space="0" w:color="CFCFCF"/>
              <w:left w:val="single" w:sz="6" w:space="0" w:color="CFCFCF"/>
              <w:bottom w:val="single" w:sz="6" w:space="0" w:color="CFCFCF"/>
              <w:right w:val="single" w:sz="6" w:space="0" w:color="CFCFCF"/>
            </w:tcBorders>
            <w:shd w:val="clear" w:color="auto" w:fill="auto"/>
            <w:vAlign w:val="center"/>
            <w:hideMark/>
          </w:tcPr>
          <w:p w:rsidR="00A53BCF" w:rsidRPr="00850C31" w:rsidRDefault="00A53BCF" w:rsidP="00A53BCF">
            <w:pPr>
              <w:jc w:val="center"/>
              <w:rPr>
                <w:rFonts w:cs="Segoe UI"/>
                <w:sz w:val="18"/>
                <w:szCs w:val="18"/>
              </w:rPr>
            </w:pPr>
            <w:r w:rsidRPr="00850C31">
              <w:rPr>
                <w:rFonts w:cs="Segoe UI"/>
                <w:sz w:val="18"/>
                <w:szCs w:val="18"/>
              </w:rPr>
              <w:t>4.89</w:t>
            </w:r>
          </w:p>
        </w:tc>
        <w:tc>
          <w:tcPr>
            <w:tcW w:w="0" w:type="auto"/>
            <w:tcBorders>
              <w:top w:val="single" w:sz="6" w:space="0" w:color="CFCFCF"/>
              <w:left w:val="single" w:sz="6" w:space="0" w:color="CFCFCF"/>
              <w:bottom w:val="single" w:sz="6" w:space="0" w:color="CFCFCF"/>
              <w:right w:val="single" w:sz="6" w:space="0" w:color="CFCFCF"/>
            </w:tcBorders>
            <w:shd w:val="clear" w:color="auto" w:fill="auto"/>
            <w:vAlign w:val="center"/>
            <w:hideMark/>
          </w:tcPr>
          <w:p w:rsidR="00A53BCF" w:rsidRPr="00850C31" w:rsidRDefault="00A53BCF" w:rsidP="00A53BCF">
            <w:pPr>
              <w:jc w:val="center"/>
              <w:rPr>
                <w:rFonts w:cs="Segoe UI"/>
                <w:sz w:val="18"/>
                <w:szCs w:val="18"/>
              </w:rPr>
            </w:pPr>
            <w:r w:rsidRPr="00850C31">
              <w:rPr>
                <w:rFonts w:cs="Segoe UI"/>
                <w:sz w:val="18"/>
                <w:szCs w:val="18"/>
              </w:rPr>
              <w:t>5.71</w:t>
            </w:r>
          </w:p>
        </w:tc>
        <w:tc>
          <w:tcPr>
            <w:tcW w:w="0" w:type="auto"/>
            <w:tcBorders>
              <w:top w:val="single" w:sz="6" w:space="0" w:color="CFCFCF"/>
              <w:left w:val="single" w:sz="6" w:space="0" w:color="CFCFCF"/>
              <w:bottom w:val="single" w:sz="6" w:space="0" w:color="CFCFCF"/>
              <w:right w:val="single" w:sz="6" w:space="0" w:color="CFCFCF"/>
            </w:tcBorders>
            <w:shd w:val="clear" w:color="auto" w:fill="auto"/>
            <w:vAlign w:val="center"/>
            <w:hideMark/>
          </w:tcPr>
          <w:p w:rsidR="00A53BCF" w:rsidRPr="00850C31" w:rsidRDefault="00A53BCF" w:rsidP="00A53BCF">
            <w:pPr>
              <w:jc w:val="center"/>
              <w:rPr>
                <w:rFonts w:cs="Segoe UI"/>
                <w:sz w:val="18"/>
                <w:szCs w:val="18"/>
              </w:rPr>
            </w:pPr>
            <w:r w:rsidRPr="00850C31">
              <w:rPr>
                <w:rFonts w:cs="Segoe UI"/>
                <w:sz w:val="18"/>
                <w:szCs w:val="18"/>
              </w:rPr>
              <w:t>6.00</w:t>
            </w:r>
          </w:p>
        </w:tc>
        <w:tc>
          <w:tcPr>
            <w:tcW w:w="0" w:type="auto"/>
            <w:tcBorders>
              <w:top w:val="single" w:sz="6" w:space="0" w:color="CFCFCF"/>
              <w:left w:val="single" w:sz="6" w:space="0" w:color="CFCFCF"/>
              <w:bottom w:val="single" w:sz="6" w:space="0" w:color="CFCFCF"/>
              <w:right w:val="single" w:sz="6" w:space="0" w:color="CFCFCF"/>
            </w:tcBorders>
            <w:shd w:val="clear" w:color="auto" w:fill="E1F0F7"/>
            <w:vAlign w:val="center"/>
            <w:hideMark/>
          </w:tcPr>
          <w:p w:rsidR="00A53BCF" w:rsidRPr="00850C31" w:rsidRDefault="00A53BCF" w:rsidP="00A53BCF">
            <w:pPr>
              <w:jc w:val="center"/>
              <w:rPr>
                <w:rFonts w:cs="Segoe UI"/>
                <w:sz w:val="18"/>
                <w:szCs w:val="18"/>
              </w:rPr>
            </w:pPr>
            <w:r w:rsidRPr="00850C31">
              <w:rPr>
                <w:rFonts w:cs="Segoe UI"/>
                <w:sz w:val="18"/>
                <w:szCs w:val="18"/>
              </w:rPr>
              <w:t>5.84</w:t>
            </w:r>
          </w:p>
        </w:tc>
        <w:tc>
          <w:tcPr>
            <w:tcW w:w="0" w:type="auto"/>
            <w:tcBorders>
              <w:top w:val="single" w:sz="6" w:space="0" w:color="CFCFCF"/>
              <w:left w:val="single" w:sz="6" w:space="0" w:color="CFCFCF"/>
              <w:bottom w:val="single" w:sz="6" w:space="0" w:color="CFCFCF"/>
              <w:right w:val="single" w:sz="6" w:space="0" w:color="CFCFCF"/>
            </w:tcBorders>
            <w:shd w:val="clear" w:color="auto" w:fill="auto"/>
            <w:vAlign w:val="center"/>
            <w:hideMark/>
          </w:tcPr>
          <w:p w:rsidR="00A53BCF" w:rsidRPr="00850C31" w:rsidRDefault="00A53BCF" w:rsidP="00A53BCF">
            <w:pPr>
              <w:jc w:val="center"/>
              <w:rPr>
                <w:rFonts w:cs="Segoe UI"/>
                <w:sz w:val="18"/>
                <w:szCs w:val="18"/>
              </w:rPr>
            </w:pPr>
            <w:r w:rsidRPr="00850C31">
              <w:rPr>
                <w:rFonts w:cs="Segoe UI"/>
                <w:sz w:val="18"/>
                <w:szCs w:val="18"/>
              </w:rPr>
              <w:t>6.11</w:t>
            </w:r>
          </w:p>
        </w:tc>
      </w:tr>
      <w:tr w:rsidR="00A53BCF" w:rsidRPr="00850C31" w:rsidTr="00A53BCF">
        <w:tc>
          <w:tcPr>
            <w:tcW w:w="0" w:type="auto"/>
            <w:tcBorders>
              <w:top w:val="single" w:sz="6" w:space="0" w:color="CFCFCF"/>
              <w:left w:val="single" w:sz="6" w:space="0" w:color="CFCFCF"/>
              <w:bottom w:val="single" w:sz="6" w:space="0" w:color="CFCFCF"/>
              <w:right w:val="single" w:sz="6" w:space="0" w:color="CFCFCF"/>
            </w:tcBorders>
            <w:shd w:val="clear" w:color="auto" w:fill="E1F0F7"/>
            <w:vAlign w:val="center"/>
            <w:hideMark/>
          </w:tcPr>
          <w:p w:rsidR="00A53BCF" w:rsidRPr="00850C31" w:rsidRDefault="00A53BCF" w:rsidP="00A53BCF">
            <w:pPr>
              <w:rPr>
                <w:rFonts w:cs="Segoe UI"/>
                <w:sz w:val="18"/>
                <w:szCs w:val="18"/>
              </w:rPr>
            </w:pPr>
            <w:r w:rsidRPr="00850C31">
              <w:rPr>
                <w:rFonts w:cs="Segoe UI"/>
                <w:b/>
                <w:bCs/>
                <w:sz w:val="18"/>
                <w:szCs w:val="18"/>
              </w:rPr>
              <w:t>Diverzifikácia indexu pre použitie internetu</w:t>
            </w:r>
            <w:r w:rsidRPr="00850C31">
              <w:rPr>
                <w:rFonts w:cs="Segoe UI"/>
                <w:sz w:val="18"/>
                <w:szCs w:val="18"/>
              </w:rPr>
              <w:t xml:space="preserve"> – 25-54 (v priemernom indexe diverzifikácie)</w:t>
            </w:r>
          </w:p>
        </w:tc>
        <w:tc>
          <w:tcPr>
            <w:tcW w:w="0" w:type="auto"/>
            <w:tcBorders>
              <w:top w:val="single" w:sz="6" w:space="0" w:color="CFCFCF"/>
              <w:left w:val="single" w:sz="6" w:space="0" w:color="CFCFCF"/>
              <w:bottom w:val="single" w:sz="6" w:space="0" w:color="CFCFCF"/>
              <w:right w:val="single" w:sz="6" w:space="0" w:color="CFCFCF"/>
            </w:tcBorders>
            <w:shd w:val="clear" w:color="auto" w:fill="auto"/>
            <w:vAlign w:val="center"/>
            <w:hideMark/>
          </w:tcPr>
          <w:p w:rsidR="00A53BCF" w:rsidRPr="00850C31" w:rsidRDefault="00A53BCF" w:rsidP="00A53BCF">
            <w:pPr>
              <w:jc w:val="center"/>
              <w:rPr>
                <w:rFonts w:cs="Segoe UI"/>
                <w:sz w:val="18"/>
                <w:szCs w:val="18"/>
              </w:rPr>
            </w:pPr>
            <w:r w:rsidRPr="00850C31">
              <w:rPr>
                <w:rFonts w:cs="Segoe UI"/>
                <w:sz w:val="18"/>
                <w:szCs w:val="18"/>
              </w:rPr>
              <w:t>5.75</w:t>
            </w:r>
          </w:p>
        </w:tc>
        <w:tc>
          <w:tcPr>
            <w:tcW w:w="0" w:type="auto"/>
            <w:tcBorders>
              <w:top w:val="single" w:sz="6" w:space="0" w:color="CFCFCF"/>
              <w:left w:val="single" w:sz="6" w:space="0" w:color="CFCFCF"/>
              <w:bottom w:val="single" w:sz="6" w:space="0" w:color="CFCFCF"/>
              <w:right w:val="single" w:sz="6" w:space="0" w:color="CFCFCF"/>
            </w:tcBorders>
            <w:shd w:val="clear" w:color="auto" w:fill="auto"/>
            <w:vAlign w:val="center"/>
            <w:hideMark/>
          </w:tcPr>
          <w:p w:rsidR="00A53BCF" w:rsidRPr="00850C31" w:rsidRDefault="00A53BCF" w:rsidP="00A53BCF">
            <w:pPr>
              <w:jc w:val="center"/>
              <w:rPr>
                <w:rFonts w:cs="Segoe UI"/>
                <w:sz w:val="18"/>
                <w:szCs w:val="18"/>
              </w:rPr>
            </w:pPr>
            <w:r w:rsidRPr="00850C31">
              <w:rPr>
                <w:rFonts w:cs="Segoe UI"/>
                <w:sz w:val="18"/>
                <w:szCs w:val="18"/>
              </w:rPr>
              <w:t>6.06</w:t>
            </w:r>
          </w:p>
        </w:tc>
        <w:tc>
          <w:tcPr>
            <w:tcW w:w="0" w:type="auto"/>
            <w:tcBorders>
              <w:top w:val="single" w:sz="6" w:space="0" w:color="CFCFCF"/>
              <w:left w:val="single" w:sz="6" w:space="0" w:color="CFCFCF"/>
              <w:bottom w:val="single" w:sz="6" w:space="0" w:color="CFCFCF"/>
              <w:right w:val="single" w:sz="6" w:space="0" w:color="CFCFCF"/>
            </w:tcBorders>
            <w:shd w:val="clear" w:color="auto" w:fill="auto"/>
            <w:vAlign w:val="center"/>
            <w:hideMark/>
          </w:tcPr>
          <w:p w:rsidR="00A53BCF" w:rsidRPr="00850C31" w:rsidRDefault="00A53BCF" w:rsidP="00A53BCF">
            <w:pPr>
              <w:jc w:val="center"/>
              <w:rPr>
                <w:rFonts w:cs="Segoe UI"/>
                <w:sz w:val="18"/>
                <w:szCs w:val="18"/>
              </w:rPr>
            </w:pPr>
            <w:r w:rsidRPr="00850C31">
              <w:rPr>
                <w:rFonts w:cs="Segoe UI"/>
                <w:sz w:val="18"/>
                <w:szCs w:val="18"/>
              </w:rPr>
              <w:t>6.44</w:t>
            </w:r>
          </w:p>
        </w:tc>
        <w:tc>
          <w:tcPr>
            <w:tcW w:w="0" w:type="auto"/>
            <w:tcBorders>
              <w:top w:val="single" w:sz="6" w:space="0" w:color="CFCFCF"/>
              <w:left w:val="single" w:sz="6" w:space="0" w:color="CFCFCF"/>
              <w:bottom w:val="single" w:sz="6" w:space="0" w:color="CFCFCF"/>
              <w:right w:val="single" w:sz="6" w:space="0" w:color="CFCFCF"/>
            </w:tcBorders>
            <w:shd w:val="clear" w:color="auto" w:fill="E1F0F7"/>
            <w:vAlign w:val="center"/>
            <w:hideMark/>
          </w:tcPr>
          <w:p w:rsidR="00A53BCF" w:rsidRPr="00850C31" w:rsidRDefault="00A53BCF" w:rsidP="00A53BCF">
            <w:pPr>
              <w:jc w:val="center"/>
              <w:rPr>
                <w:rFonts w:cs="Segoe UI"/>
                <w:sz w:val="18"/>
                <w:szCs w:val="18"/>
              </w:rPr>
            </w:pPr>
            <w:r w:rsidRPr="00850C31">
              <w:rPr>
                <w:rFonts w:cs="Segoe UI"/>
                <w:sz w:val="18"/>
                <w:szCs w:val="18"/>
              </w:rPr>
              <w:t>5.98</w:t>
            </w:r>
          </w:p>
        </w:tc>
        <w:tc>
          <w:tcPr>
            <w:tcW w:w="0" w:type="auto"/>
            <w:tcBorders>
              <w:top w:val="single" w:sz="6" w:space="0" w:color="CFCFCF"/>
              <w:left w:val="single" w:sz="6" w:space="0" w:color="CFCFCF"/>
              <w:bottom w:val="single" w:sz="6" w:space="0" w:color="CFCFCF"/>
              <w:right w:val="single" w:sz="6" w:space="0" w:color="CFCFCF"/>
            </w:tcBorders>
            <w:shd w:val="clear" w:color="auto" w:fill="auto"/>
            <w:vAlign w:val="center"/>
            <w:hideMark/>
          </w:tcPr>
          <w:p w:rsidR="00A53BCF" w:rsidRPr="00850C31" w:rsidRDefault="00A53BCF" w:rsidP="00A53BCF">
            <w:pPr>
              <w:jc w:val="center"/>
              <w:rPr>
                <w:rFonts w:cs="Segoe UI"/>
                <w:sz w:val="18"/>
                <w:szCs w:val="18"/>
              </w:rPr>
            </w:pPr>
            <w:r w:rsidRPr="00850C31">
              <w:rPr>
                <w:rFonts w:cs="Segoe UI"/>
                <w:sz w:val="18"/>
                <w:szCs w:val="18"/>
              </w:rPr>
              <w:t>6.48</w:t>
            </w:r>
          </w:p>
        </w:tc>
      </w:tr>
      <w:tr w:rsidR="00A53BCF" w:rsidRPr="00850C31" w:rsidTr="00A53BCF">
        <w:tc>
          <w:tcPr>
            <w:tcW w:w="0" w:type="auto"/>
            <w:tcBorders>
              <w:top w:val="single" w:sz="6" w:space="0" w:color="CFCFCF"/>
              <w:left w:val="single" w:sz="6" w:space="0" w:color="CFCFCF"/>
              <w:bottom w:val="single" w:sz="6" w:space="0" w:color="CFCFCF"/>
              <w:right w:val="single" w:sz="6" w:space="0" w:color="CFCFCF"/>
            </w:tcBorders>
            <w:shd w:val="clear" w:color="auto" w:fill="E1F0F7"/>
            <w:vAlign w:val="center"/>
            <w:hideMark/>
          </w:tcPr>
          <w:p w:rsidR="00A53BCF" w:rsidRPr="00850C31" w:rsidRDefault="00A53BCF" w:rsidP="00A53BCF">
            <w:pPr>
              <w:rPr>
                <w:rFonts w:cs="Segoe UI"/>
                <w:sz w:val="18"/>
                <w:szCs w:val="18"/>
              </w:rPr>
            </w:pPr>
            <w:r w:rsidRPr="00850C31">
              <w:rPr>
                <w:rFonts w:cs="Segoe UI"/>
                <w:b/>
                <w:bCs/>
                <w:sz w:val="18"/>
                <w:szCs w:val="18"/>
              </w:rPr>
              <w:t>Diverzifikácia indexu pre použitie internetu</w:t>
            </w:r>
            <w:r w:rsidRPr="00850C31">
              <w:rPr>
                <w:rFonts w:cs="Segoe UI"/>
                <w:sz w:val="18"/>
                <w:szCs w:val="18"/>
              </w:rPr>
              <w:t xml:space="preserve"> – 55-74 (v priemernom indexe diverzifikácie)</w:t>
            </w:r>
          </w:p>
        </w:tc>
        <w:tc>
          <w:tcPr>
            <w:tcW w:w="0" w:type="auto"/>
            <w:tcBorders>
              <w:top w:val="single" w:sz="6" w:space="0" w:color="CFCFCF"/>
              <w:left w:val="single" w:sz="6" w:space="0" w:color="CFCFCF"/>
              <w:bottom w:val="single" w:sz="6" w:space="0" w:color="CFCFCF"/>
              <w:right w:val="single" w:sz="6" w:space="0" w:color="CFCFCF"/>
            </w:tcBorders>
            <w:shd w:val="clear" w:color="auto" w:fill="auto"/>
            <w:vAlign w:val="center"/>
            <w:hideMark/>
          </w:tcPr>
          <w:p w:rsidR="00A53BCF" w:rsidRPr="00850C31" w:rsidRDefault="00A53BCF" w:rsidP="00A53BCF">
            <w:pPr>
              <w:jc w:val="center"/>
              <w:rPr>
                <w:rFonts w:cs="Segoe UI"/>
                <w:sz w:val="18"/>
                <w:szCs w:val="18"/>
              </w:rPr>
            </w:pPr>
            <w:r w:rsidRPr="00850C31">
              <w:rPr>
                <w:rFonts w:cs="Segoe UI"/>
                <w:sz w:val="18"/>
                <w:szCs w:val="18"/>
              </w:rPr>
              <w:t>3.37</w:t>
            </w:r>
          </w:p>
        </w:tc>
        <w:tc>
          <w:tcPr>
            <w:tcW w:w="0" w:type="auto"/>
            <w:tcBorders>
              <w:top w:val="single" w:sz="6" w:space="0" w:color="CFCFCF"/>
              <w:left w:val="single" w:sz="6" w:space="0" w:color="CFCFCF"/>
              <w:bottom w:val="single" w:sz="6" w:space="0" w:color="CFCFCF"/>
              <w:right w:val="single" w:sz="6" w:space="0" w:color="CFCFCF"/>
            </w:tcBorders>
            <w:shd w:val="clear" w:color="auto" w:fill="auto"/>
            <w:vAlign w:val="center"/>
            <w:hideMark/>
          </w:tcPr>
          <w:p w:rsidR="00A53BCF" w:rsidRPr="00850C31" w:rsidRDefault="00A53BCF" w:rsidP="00A53BCF">
            <w:pPr>
              <w:jc w:val="center"/>
              <w:rPr>
                <w:rFonts w:cs="Segoe UI"/>
                <w:sz w:val="18"/>
                <w:szCs w:val="18"/>
              </w:rPr>
            </w:pPr>
            <w:r w:rsidRPr="00850C31">
              <w:rPr>
                <w:rFonts w:cs="Segoe UI"/>
                <w:sz w:val="18"/>
                <w:szCs w:val="18"/>
              </w:rPr>
              <w:t>3.54</w:t>
            </w:r>
          </w:p>
        </w:tc>
        <w:tc>
          <w:tcPr>
            <w:tcW w:w="0" w:type="auto"/>
            <w:tcBorders>
              <w:top w:val="single" w:sz="6" w:space="0" w:color="CFCFCF"/>
              <w:left w:val="single" w:sz="6" w:space="0" w:color="CFCFCF"/>
              <w:bottom w:val="single" w:sz="6" w:space="0" w:color="CFCFCF"/>
              <w:right w:val="single" w:sz="6" w:space="0" w:color="CFCFCF"/>
            </w:tcBorders>
            <w:shd w:val="clear" w:color="auto" w:fill="auto"/>
            <w:vAlign w:val="center"/>
            <w:hideMark/>
          </w:tcPr>
          <w:p w:rsidR="00A53BCF" w:rsidRPr="00850C31" w:rsidRDefault="00A53BCF" w:rsidP="00A53BCF">
            <w:pPr>
              <w:jc w:val="center"/>
              <w:rPr>
                <w:rFonts w:cs="Segoe UI"/>
                <w:sz w:val="18"/>
                <w:szCs w:val="18"/>
              </w:rPr>
            </w:pPr>
            <w:r w:rsidRPr="00850C31">
              <w:rPr>
                <w:rFonts w:cs="Segoe UI"/>
                <w:sz w:val="18"/>
                <w:szCs w:val="18"/>
              </w:rPr>
              <w:t>4.39</w:t>
            </w:r>
          </w:p>
        </w:tc>
        <w:tc>
          <w:tcPr>
            <w:tcW w:w="0" w:type="auto"/>
            <w:tcBorders>
              <w:top w:val="single" w:sz="6" w:space="0" w:color="CFCFCF"/>
              <w:left w:val="single" w:sz="6" w:space="0" w:color="CFCFCF"/>
              <w:bottom w:val="single" w:sz="6" w:space="0" w:color="CFCFCF"/>
              <w:right w:val="single" w:sz="6" w:space="0" w:color="CFCFCF"/>
            </w:tcBorders>
            <w:shd w:val="clear" w:color="auto" w:fill="E1F0F7"/>
            <w:vAlign w:val="center"/>
            <w:hideMark/>
          </w:tcPr>
          <w:p w:rsidR="00A53BCF" w:rsidRPr="00850C31" w:rsidRDefault="00A53BCF" w:rsidP="00A53BCF">
            <w:pPr>
              <w:jc w:val="center"/>
              <w:rPr>
                <w:rFonts w:cs="Segoe UI"/>
                <w:sz w:val="18"/>
                <w:szCs w:val="18"/>
              </w:rPr>
            </w:pPr>
            <w:r w:rsidRPr="00850C31">
              <w:rPr>
                <w:rFonts w:cs="Segoe UI"/>
                <w:sz w:val="18"/>
                <w:szCs w:val="18"/>
              </w:rPr>
              <w:t>3.68</w:t>
            </w:r>
          </w:p>
        </w:tc>
        <w:tc>
          <w:tcPr>
            <w:tcW w:w="0" w:type="auto"/>
            <w:tcBorders>
              <w:top w:val="single" w:sz="6" w:space="0" w:color="CFCFCF"/>
              <w:left w:val="single" w:sz="6" w:space="0" w:color="CFCFCF"/>
              <w:bottom w:val="single" w:sz="6" w:space="0" w:color="CFCFCF"/>
              <w:right w:val="single" w:sz="6" w:space="0" w:color="CFCFCF"/>
            </w:tcBorders>
            <w:shd w:val="clear" w:color="auto" w:fill="auto"/>
            <w:vAlign w:val="center"/>
            <w:hideMark/>
          </w:tcPr>
          <w:p w:rsidR="00A53BCF" w:rsidRPr="00850C31" w:rsidRDefault="00A53BCF" w:rsidP="00A53BCF">
            <w:pPr>
              <w:jc w:val="center"/>
              <w:rPr>
                <w:rFonts w:cs="Segoe UI"/>
                <w:sz w:val="18"/>
                <w:szCs w:val="18"/>
              </w:rPr>
            </w:pPr>
            <w:r w:rsidRPr="00850C31">
              <w:rPr>
                <w:rFonts w:cs="Segoe UI"/>
                <w:sz w:val="18"/>
                <w:szCs w:val="18"/>
              </w:rPr>
              <w:t>5.47</w:t>
            </w:r>
          </w:p>
        </w:tc>
      </w:tr>
      <w:tr w:rsidR="00A53BCF" w:rsidRPr="00850C31" w:rsidTr="00A53BCF">
        <w:tc>
          <w:tcPr>
            <w:tcW w:w="0" w:type="auto"/>
            <w:tcBorders>
              <w:top w:val="single" w:sz="6" w:space="0" w:color="CFCFCF"/>
              <w:left w:val="single" w:sz="6" w:space="0" w:color="CFCFCF"/>
              <w:bottom w:val="single" w:sz="6" w:space="0" w:color="CFCFCF"/>
              <w:right w:val="single" w:sz="6" w:space="0" w:color="CFCFCF"/>
            </w:tcBorders>
            <w:shd w:val="clear" w:color="auto" w:fill="E1F0F7"/>
            <w:vAlign w:val="center"/>
            <w:hideMark/>
          </w:tcPr>
          <w:p w:rsidR="00A53BCF" w:rsidRPr="00850C31" w:rsidRDefault="00A53BCF" w:rsidP="00A53BCF">
            <w:pPr>
              <w:rPr>
                <w:rFonts w:cs="Segoe UI"/>
                <w:sz w:val="18"/>
                <w:szCs w:val="18"/>
              </w:rPr>
            </w:pPr>
            <w:r w:rsidRPr="00850C31">
              <w:rPr>
                <w:rFonts w:cs="Segoe UI"/>
                <w:b/>
                <w:bCs/>
                <w:sz w:val="18"/>
                <w:szCs w:val="18"/>
              </w:rPr>
              <w:t>Ipv6 pripravenosť najnavštevovanejších internetových stránok</w:t>
            </w:r>
            <w:r w:rsidRPr="00850C31">
              <w:rPr>
                <w:rFonts w:cs="Segoe UI"/>
                <w:sz w:val="18"/>
                <w:szCs w:val="18"/>
              </w:rPr>
              <w:t xml:space="preserve"> – Celkom (v % webovej stránky)</w:t>
            </w:r>
          </w:p>
        </w:tc>
        <w:tc>
          <w:tcPr>
            <w:tcW w:w="0" w:type="auto"/>
            <w:tcBorders>
              <w:top w:val="single" w:sz="6" w:space="0" w:color="CFCFCF"/>
              <w:left w:val="single" w:sz="6" w:space="0" w:color="CFCFCF"/>
              <w:bottom w:val="single" w:sz="6" w:space="0" w:color="CFCFCF"/>
              <w:right w:val="single" w:sz="6" w:space="0" w:color="CFCFCF"/>
            </w:tcBorders>
            <w:shd w:val="clear" w:color="auto" w:fill="auto"/>
            <w:vAlign w:val="center"/>
            <w:hideMark/>
          </w:tcPr>
          <w:p w:rsidR="00A53BCF" w:rsidRPr="00850C31" w:rsidRDefault="00A53BCF" w:rsidP="00A53BCF">
            <w:pPr>
              <w:jc w:val="center"/>
              <w:rPr>
                <w:rFonts w:cs="Segoe UI"/>
                <w:sz w:val="18"/>
                <w:szCs w:val="18"/>
              </w:rPr>
            </w:pPr>
            <w:r w:rsidRPr="00850C31">
              <w:rPr>
                <w:rFonts w:cs="Segoe UI"/>
                <w:sz w:val="18"/>
                <w:szCs w:val="18"/>
              </w:rPr>
              <w:t>-</w:t>
            </w:r>
          </w:p>
        </w:tc>
        <w:tc>
          <w:tcPr>
            <w:tcW w:w="0" w:type="auto"/>
            <w:tcBorders>
              <w:top w:val="single" w:sz="6" w:space="0" w:color="CFCFCF"/>
              <w:left w:val="single" w:sz="6" w:space="0" w:color="CFCFCF"/>
              <w:bottom w:val="single" w:sz="6" w:space="0" w:color="CFCFCF"/>
              <w:right w:val="single" w:sz="6" w:space="0" w:color="CFCFCF"/>
            </w:tcBorders>
            <w:shd w:val="clear" w:color="auto" w:fill="auto"/>
            <w:vAlign w:val="center"/>
            <w:hideMark/>
          </w:tcPr>
          <w:p w:rsidR="00A53BCF" w:rsidRPr="00850C31" w:rsidRDefault="00A53BCF" w:rsidP="00A53BCF">
            <w:pPr>
              <w:jc w:val="center"/>
              <w:rPr>
                <w:rFonts w:cs="Segoe UI"/>
                <w:sz w:val="18"/>
                <w:szCs w:val="18"/>
              </w:rPr>
            </w:pPr>
            <w:r w:rsidRPr="00850C31">
              <w:rPr>
                <w:rFonts w:cs="Segoe UI"/>
                <w:sz w:val="18"/>
                <w:szCs w:val="18"/>
              </w:rPr>
              <w:t>-</w:t>
            </w:r>
          </w:p>
        </w:tc>
        <w:tc>
          <w:tcPr>
            <w:tcW w:w="0" w:type="auto"/>
            <w:tcBorders>
              <w:top w:val="single" w:sz="6" w:space="0" w:color="CFCFCF"/>
              <w:left w:val="single" w:sz="6" w:space="0" w:color="CFCFCF"/>
              <w:bottom w:val="single" w:sz="6" w:space="0" w:color="CFCFCF"/>
              <w:right w:val="single" w:sz="6" w:space="0" w:color="CFCFCF"/>
            </w:tcBorders>
            <w:shd w:val="clear" w:color="auto" w:fill="auto"/>
            <w:vAlign w:val="center"/>
            <w:hideMark/>
          </w:tcPr>
          <w:p w:rsidR="00A53BCF" w:rsidRPr="00850C31" w:rsidRDefault="00A53BCF" w:rsidP="00A53BCF">
            <w:pPr>
              <w:jc w:val="center"/>
              <w:rPr>
                <w:rFonts w:cs="Segoe UI"/>
                <w:sz w:val="18"/>
                <w:szCs w:val="18"/>
              </w:rPr>
            </w:pPr>
            <w:r w:rsidRPr="00850C31">
              <w:rPr>
                <w:rFonts w:cs="Segoe UI"/>
                <w:sz w:val="18"/>
                <w:szCs w:val="18"/>
              </w:rPr>
              <w:t>9</w:t>
            </w:r>
          </w:p>
        </w:tc>
        <w:tc>
          <w:tcPr>
            <w:tcW w:w="0" w:type="auto"/>
            <w:tcBorders>
              <w:top w:val="single" w:sz="6" w:space="0" w:color="CFCFCF"/>
              <w:left w:val="single" w:sz="6" w:space="0" w:color="CFCFCF"/>
              <w:bottom w:val="single" w:sz="6" w:space="0" w:color="CFCFCF"/>
              <w:right w:val="single" w:sz="6" w:space="0" w:color="CFCFCF"/>
            </w:tcBorders>
            <w:shd w:val="clear" w:color="auto" w:fill="E1F0F7"/>
            <w:vAlign w:val="center"/>
            <w:hideMark/>
          </w:tcPr>
          <w:p w:rsidR="00A53BCF" w:rsidRPr="00850C31" w:rsidRDefault="00A53BCF" w:rsidP="00A53BCF">
            <w:pPr>
              <w:jc w:val="center"/>
              <w:rPr>
                <w:rFonts w:cs="Segoe UI"/>
                <w:sz w:val="18"/>
                <w:szCs w:val="18"/>
              </w:rPr>
            </w:pPr>
            <w:r w:rsidRPr="00850C31">
              <w:rPr>
                <w:rFonts w:cs="Segoe UI"/>
                <w:sz w:val="18"/>
                <w:szCs w:val="18"/>
              </w:rPr>
              <w:t>8</w:t>
            </w:r>
          </w:p>
        </w:tc>
        <w:tc>
          <w:tcPr>
            <w:tcW w:w="0" w:type="auto"/>
            <w:tcBorders>
              <w:top w:val="single" w:sz="6" w:space="0" w:color="CFCFCF"/>
              <w:left w:val="single" w:sz="6" w:space="0" w:color="CFCFCF"/>
              <w:bottom w:val="single" w:sz="6" w:space="0" w:color="CFCFCF"/>
              <w:right w:val="single" w:sz="6" w:space="0" w:color="CFCFCF"/>
            </w:tcBorders>
            <w:shd w:val="clear" w:color="auto" w:fill="auto"/>
            <w:vAlign w:val="center"/>
            <w:hideMark/>
          </w:tcPr>
          <w:p w:rsidR="00A53BCF" w:rsidRPr="00850C31" w:rsidRDefault="00A53BCF" w:rsidP="00A53BCF">
            <w:pPr>
              <w:jc w:val="center"/>
              <w:rPr>
                <w:rFonts w:cs="Segoe UI"/>
                <w:sz w:val="18"/>
                <w:szCs w:val="18"/>
              </w:rPr>
            </w:pPr>
            <w:r w:rsidRPr="00850C31">
              <w:rPr>
                <w:rFonts w:cs="Segoe UI"/>
                <w:sz w:val="18"/>
                <w:szCs w:val="18"/>
              </w:rPr>
              <w:t>5</w:t>
            </w:r>
          </w:p>
        </w:tc>
      </w:tr>
      <w:tr w:rsidR="00A53BCF" w:rsidRPr="00E820E4" w:rsidTr="00A53BCF">
        <w:tc>
          <w:tcPr>
            <w:tcW w:w="0" w:type="auto"/>
            <w:gridSpan w:val="6"/>
            <w:tcBorders>
              <w:top w:val="single" w:sz="6" w:space="0" w:color="CFCFCF"/>
              <w:left w:val="single" w:sz="6" w:space="0" w:color="CFCFCF"/>
              <w:bottom w:val="single" w:sz="6" w:space="0" w:color="CFCFCF"/>
              <w:right w:val="single" w:sz="6" w:space="0" w:color="CFCFCF"/>
            </w:tcBorders>
            <w:shd w:val="clear" w:color="auto" w:fill="auto"/>
            <w:vAlign w:val="center"/>
            <w:hideMark/>
          </w:tcPr>
          <w:p w:rsidR="00A53BCF" w:rsidRPr="00E820E4" w:rsidRDefault="00A53BCF" w:rsidP="00A53BCF">
            <w:pPr>
              <w:rPr>
                <w:rFonts w:cs="Segoe UI"/>
                <w:sz w:val="18"/>
                <w:szCs w:val="18"/>
              </w:rPr>
            </w:pPr>
            <w:r w:rsidRPr="00E820E4">
              <w:rPr>
                <w:sz w:val="18"/>
                <w:szCs w:val="18"/>
              </w:rPr>
              <w:t xml:space="preserve">Zdroj: Eurostat, </w:t>
            </w:r>
            <w:hyperlink r:id="rId14" w:tooltip=" European Commission, Digital Agenda Scoreboard" w:history="1">
              <w:r w:rsidRPr="00E820E4">
                <w:rPr>
                  <w:rFonts w:cs="Segoe UI"/>
                  <w:sz w:val="18"/>
                  <w:szCs w:val="18"/>
                </w:rPr>
                <w:t xml:space="preserve">European Commission, Digital Agenda Scoreboard </w:t>
              </w:r>
            </w:hyperlink>
          </w:p>
        </w:tc>
      </w:tr>
    </w:tbl>
    <w:p w:rsidR="00F832C9" w:rsidRDefault="00F832C9" w:rsidP="00A53BCF">
      <w:pPr>
        <w:rPr>
          <w:szCs w:val="22"/>
        </w:rPr>
      </w:pPr>
    </w:p>
    <w:p w:rsidR="00A53BCF" w:rsidRDefault="00A53BCF" w:rsidP="00A53BCF">
      <w:pPr>
        <w:rPr>
          <w:szCs w:val="22"/>
        </w:rPr>
      </w:pPr>
      <w:r w:rsidRPr="00134978">
        <w:rPr>
          <w:szCs w:val="22"/>
        </w:rPr>
        <w:t>Nasledovná tabuľka znázorňuje vývoj domácnost</w:t>
      </w:r>
      <w:r>
        <w:rPr>
          <w:szCs w:val="22"/>
        </w:rPr>
        <w:t>í</w:t>
      </w:r>
      <w:r w:rsidRPr="00134978">
        <w:rPr>
          <w:szCs w:val="22"/>
        </w:rPr>
        <w:t xml:space="preserve"> s prístupom na internet doma v rokoch 2006-2013</w:t>
      </w:r>
      <w:r>
        <w:rPr>
          <w:szCs w:val="22"/>
        </w:rPr>
        <w:t xml:space="preserve"> v regiónoch </w:t>
      </w:r>
      <w:r w:rsidRPr="00134978">
        <w:rPr>
          <w:szCs w:val="22"/>
        </w:rPr>
        <w:t xml:space="preserve">v SR </w:t>
      </w:r>
      <w:r>
        <w:rPr>
          <w:szCs w:val="22"/>
        </w:rPr>
        <w:t>(</w:t>
      </w:r>
      <w:r w:rsidRPr="00134978">
        <w:rPr>
          <w:szCs w:val="22"/>
        </w:rPr>
        <w:t>na úrovni NUTS 2</w:t>
      </w:r>
      <w:r>
        <w:rPr>
          <w:szCs w:val="22"/>
        </w:rPr>
        <w:t>).</w:t>
      </w:r>
    </w:p>
    <w:p w:rsidR="00E820E4" w:rsidRDefault="00E820E4" w:rsidP="00A53BCF">
      <w:pPr>
        <w:rPr>
          <w:szCs w:val="22"/>
        </w:rPr>
      </w:pPr>
    </w:p>
    <w:p w:rsidR="00A53BCF" w:rsidRPr="00F832C9" w:rsidRDefault="00F832C9" w:rsidP="00A53BCF">
      <w:pPr>
        <w:rPr>
          <w:color w:val="000000"/>
          <w:szCs w:val="22"/>
        </w:rPr>
      </w:pPr>
      <w:r>
        <w:rPr>
          <w:b/>
          <w:color w:val="000000"/>
          <w:szCs w:val="22"/>
        </w:rPr>
        <w:t xml:space="preserve">Tabuľka 10: </w:t>
      </w:r>
      <w:r w:rsidR="00A53BCF" w:rsidRPr="00F832C9">
        <w:rPr>
          <w:b/>
          <w:color w:val="000000"/>
          <w:szCs w:val="22"/>
        </w:rPr>
        <w:t>Domácnosti s prístupom na internet doma v SR na úrovni NUTS 2 v rokoch 2006-2013</w:t>
      </w:r>
    </w:p>
    <w:p w:rsidR="00A53BCF" w:rsidRPr="00124933" w:rsidRDefault="00A53BCF" w:rsidP="00A53BCF">
      <w:pPr>
        <w:rPr>
          <w:color w:val="000000"/>
          <w:sz w:val="20"/>
          <w:szCs w:val="20"/>
        </w:rPr>
      </w:pPr>
      <w:r w:rsidRPr="00124933">
        <w:rPr>
          <w:color w:val="000000"/>
          <w:sz w:val="20"/>
          <w:szCs w:val="20"/>
        </w:rPr>
        <w:t>(% domácností s aspoň jedným členom vo veku 16-74 rokov)</w:t>
      </w:r>
    </w:p>
    <w:tbl>
      <w:tblPr>
        <w:tblStyle w:val="Mriekatabuky"/>
        <w:tblW w:w="0" w:type="auto"/>
        <w:tblBorders>
          <w:top w:val="double" w:sz="4" w:space="0" w:color="auto"/>
          <w:left w:val="double" w:sz="4" w:space="0" w:color="auto"/>
          <w:bottom w:val="double" w:sz="4" w:space="0" w:color="auto"/>
          <w:right w:val="double" w:sz="4" w:space="0" w:color="auto"/>
        </w:tblBorders>
        <w:tblLook w:val="04A0" w:firstRow="1" w:lastRow="0" w:firstColumn="1" w:lastColumn="0" w:noHBand="0" w:noVBand="1"/>
      </w:tblPr>
      <w:tblGrid>
        <w:gridCol w:w="1416"/>
        <w:gridCol w:w="982"/>
        <w:gridCol w:w="982"/>
        <w:gridCol w:w="983"/>
        <w:gridCol w:w="985"/>
        <w:gridCol w:w="985"/>
        <w:gridCol w:w="985"/>
        <w:gridCol w:w="985"/>
        <w:gridCol w:w="985"/>
      </w:tblGrid>
      <w:tr w:rsidR="00A53BCF" w:rsidRPr="00124933" w:rsidTr="00A53BCF">
        <w:tc>
          <w:tcPr>
            <w:tcW w:w="1416" w:type="dxa"/>
          </w:tcPr>
          <w:p w:rsidR="00A53BCF" w:rsidRPr="00124933" w:rsidRDefault="00A53BCF" w:rsidP="00A53BCF">
            <w:pPr>
              <w:rPr>
                <w:b/>
                <w:sz w:val="20"/>
                <w:szCs w:val="20"/>
              </w:rPr>
            </w:pPr>
            <w:r w:rsidRPr="00124933">
              <w:rPr>
                <w:b/>
                <w:sz w:val="20"/>
                <w:szCs w:val="20"/>
              </w:rPr>
              <w:t>Regióny Slovenska</w:t>
            </w:r>
          </w:p>
        </w:tc>
        <w:tc>
          <w:tcPr>
            <w:tcW w:w="982" w:type="dxa"/>
            <w:vAlign w:val="center"/>
          </w:tcPr>
          <w:p w:rsidR="00A53BCF" w:rsidRPr="00124933" w:rsidRDefault="00A53BCF" w:rsidP="00A53BCF">
            <w:pPr>
              <w:jc w:val="center"/>
              <w:rPr>
                <w:b/>
                <w:sz w:val="20"/>
                <w:szCs w:val="20"/>
              </w:rPr>
            </w:pPr>
            <w:r w:rsidRPr="00124933">
              <w:rPr>
                <w:b/>
                <w:sz w:val="20"/>
                <w:szCs w:val="20"/>
              </w:rPr>
              <w:t>2006</w:t>
            </w:r>
          </w:p>
        </w:tc>
        <w:tc>
          <w:tcPr>
            <w:tcW w:w="982" w:type="dxa"/>
            <w:vAlign w:val="center"/>
          </w:tcPr>
          <w:p w:rsidR="00A53BCF" w:rsidRPr="00124933" w:rsidRDefault="00A53BCF" w:rsidP="00A53BCF">
            <w:pPr>
              <w:jc w:val="center"/>
              <w:rPr>
                <w:b/>
                <w:sz w:val="20"/>
                <w:szCs w:val="20"/>
              </w:rPr>
            </w:pPr>
            <w:r w:rsidRPr="00124933">
              <w:rPr>
                <w:b/>
                <w:sz w:val="20"/>
                <w:szCs w:val="20"/>
              </w:rPr>
              <w:t>2007</w:t>
            </w:r>
          </w:p>
        </w:tc>
        <w:tc>
          <w:tcPr>
            <w:tcW w:w="983" w:type="dxa"/>
            <w:vAlign w:val="center"/>
          </w:tcPr>
          <w:p w:rsidR="00A53BCF" w:rsidRPr="00124933" w:rsidRDefault="00A53BCF" w:rsidP="00A53BCF">
            <w:pPr>
              <w:jc w:val="center"/>
              <w:rPr>
                <w:b/>
                <w:sz w:val="20"/>
                <w:szCs w:val="20"/>
              </w:rPr>
            </w:pPr>
            <w:r w:rsidRPr="00124933">
              <w:rPr>
                <w:b/>
                <w:sz w:val="20"/>
                <w:szCs w:val="20"/>
              </w:rPr>
              <w:t>2008</w:t>
            </w:r>
          </w:p>
        </w:tc>
        <w:tc>
          <w:tcPr>
            <w:tcW w:w="985" w:type="dxa"/>
            <w:vAlign w:val="center"/>
          </w:tcPr>
          <w:p w:rsidR="00A53BCF" w:rsidRPr="00124933" w:rsidRDefault="00A53BCF" w:rsidP="00A53BCF">
            <w:pPr>
              <w:jc w:val="center"/>
              <w:rPr>
                <w:b/>
                <w:sz w:val="20"/>
                <w:szCs w:val="20"/>
              </w:rPr>
            </w:pPr>
            <w:r w:rsidRPr="00124933">
              <w:rPr>
                <w:b/>
                <w:sz w:val="20"/>
                <w:szCs w:val="20"/>
              </w:rPr>
              <w:t>2009</w:t>
            </w:r>
          </w:p>
        </w:tc>
        <w:tc>
          <w:tcPr>
            <w:tcW w:w="985" w:type="dxa"/>
            <w:vAlign w:val="center"/>
          </w:tcPr>
          <w:p w:rsidR="00A53BCF" w:rsidRPr="00124933" w:rsidRDefault="00A53BCF" w:rsidP="00A53BCF">
            <w:pPr>
              <w:jc w:val="center"/>
              <w:rPr>
                <w:b/>
                <w:sz w:val="20"/>
                <w:szCs w:val="20"/>
              </w:rPr>
            </w:pPr>
            <w:r w:rsidRPr="00124933">
              <w:rPr>
                <w:b/>
                <w:sz w:val="20"/>
                <w:szCs w:val="20"/>
              </w:rPr>
              <w:t>2010</w:t>
            </w:r>
          </w:p>
        </w:tc>
        <w:tc>
          <w:tcPr>
            <w:tcW w:w="985" w:type="dxa"/>
            <w:vAlign w:val="center"/>
          </w:tcPr>
          <w:p w:rsidR="00A53BCF" w:rsidRPr="00124933" w:rsidRDefault="00A53BCF" w:rsidP="00A53BCF">
            <w:pPr>
              <w:jc w:val="center"/>
              <w:rPr>
                <w:b/>
                <w:sz w:val="20"/>
                <w:szCs w:val="20"/>
              </w:rPr>
            </w:pPr>
            <w:r w:rsidRPr="00124933">
              <w:rPr>
                <w:b/>
                <w:sz w:val="20"/>
                <w:szCs w:val="20"/>
              </w:rPr>
              <w:t>2011</w:t>
            </w:r>
          </w:p>
        </w:tc>
        <w:tc>
          <w:tcPr>
            <w:tcW w:w="985" w:type="dxa"/>
            <w:vAlign w:val="center"/>
          </w:tcPr>
          <w:p w:rsidR="00A53BCF" w:rsidRPr="00124933" w:rsidRDefault="00A53BCF" w:rsidP="00A53BCF">
            <w:pPr>
              <w:jc w:val="center"/>
              <w:rPr>
                <w:b/>
                <w:sz w:val="20"/>
                <w:szCs w:val="20"/>
              </w:rPr>
            </w:pPr>
            <w:r w:rsidRPr="00124933">
              <w:rPr>
                <w:b/>
                <w:sz w:val="20"/>
                <w:szCs w:val="20"/>
              </w:rPr>
              <w:t>2012</w:t>
            </w:r>
          </w:p>
        </w:tc>
        <w:tc>
          <w:tcPr>
            <w:tcW w:w="985" w:type="dxa"/>
            <w:vAlign w:val="center"/>
          </w:tcPr>
          <w:p w:rsidR="00A53BCF" w:rsidRPr="00124933" w:rsidRDefault="00A53BCF" w:rsidP="00A53BCF">
            <w:pPr>
              <w:jc w:val="center"/>
              <w:rPr>
                <w:b/>
                <w:sz w:val="20"/>
                <w:szCs w:val="20"/>
              </w:rPr>
            </w:pPr>
            <w:r w:rsidRPr="00124933">
              <w:rPr>
                <w:b/>
                <w:sz w:val="20"/>
                <w:szCs w:val="20"/>
              </w:rPr>
              <w:t>2013</w:t>
            </w:r>
          </w:p>
        </w:tc>
      </w:tr>
      <w:tr w:rsidR="00A53BCF" w:rsidRPr="00124933" w:rsidTr="00A53BCF">
        <w:tc>
          <w:tcPr>
            <w:tcW w:w="1416" w:type="dxa"/>
          </w:tcPr>
          <w:p w:rsidR="00A53BCF" w:rsidRPr="00124933" w:rsidRDefault="00A53BCF" w:rsidP="00A53BCF">
            <w:pPr>
              <w:rPr>
                <w:sz w:val="20"/>
                <w:szCs w:val="20"/>
              </w:rPr>
            </w:pPr>
            <w:r w:rsidRPr="00124933">
              <w:rPr>
                <w:sz w:val="20"/>
                <w:szCs w:val="20"/>
              </w:rPr>
              <w:t>Bratislavský kraj</w:t>
            </w:r>
          </w:p>
        </w:tc>
        <w:tc>
          <w:tcPr>
            <w:tcW w:w="982" w:type="dxa"/>
            <w:vAlign w:val="center"/>
          </w:tcPr>
          <w:p w:rsidR="00A53BCF" w:rsidRPr="00124933" w:rsidRDefault="00A53BCF" w:rsidP="00A53BCF">
            <w:pPr>
              <w:jc w:val="center"/>
              <w:rPr>
                <w:sz w:val="20"/>
                <w:szCs w:val="20"/>
              </w:rPr>
            </w:pPr>
            <w:r w:rsidRPr="00124933">
              <w:rPr>
                <w:sz w:val="20"/>
                <w:szCs w:val="20"/>
              </w:rPr>
              <w:t>34</w:t>
            </w:r>
          </w:p>
        </w:tc>
        <w:tc>
          <w:tcPr>
            <w:tcW w:w="982" w:type="dxa"/>
            <w:vAlign w:val="center"/>
          </w:tcPr>
          <w:p w:rsidR="00A53BCF" w:rsidRPr="00124933" w:rsidRDefault="00A53BCF" w:rsidP="00A53BCF">
            <w:pPr>
              <w:jc w:val="center"/>
              <w:rPr>
                <w:sz w:val="20"/>
                <w:szCs w:val="20"/>
              </w:rPr>
            </w:pPr>
            <w:r w:rsidRPr="00124933">
              <w:rPr>
                <w:sz w:val="20"/>
                <w:szCs w:val="20"/>
              </w:rPr>
              <w:t>-</w:t>
            </w:r>
          </w:p>
        </w:tc>
        <w:tc>
          <w:tcPr>
            <w:tcW w:w="983" w:type="dxa"/>
            <w:vAlign w:val="center"/>
          </w:tcPr>
          <w:p w:rsidR="00A53BCF" w:rsidRPr="00124933" w:rsidRDefault="00A53BCF" w:rsidP="00A53BCF">
            <w:pPr>
              <w:jc w:val="center"/>
              <w:rPr>
                <w:sz w:val="20"/>
                <w:szCs w:val="20"/>
              </w:rPr>
            </w:pPr>
            <w:r w:rsidRPr="00124933">
              <w:rPr>
                <w:sz w:val="20"/>
                <w:szCs w:val="20"/>
              </w:rPr>
              <w:t>62</w:t>
            </w:r>
          </w:p>
        </w:tc>
        <w:tc>
          <w:tcPr>
            <w:tcW w:w="985" w:type="dxa"/>
            <w:vAlign w:val="center"/>
          </w:tcPr>
          <w:p w:rsidR="00A53BCF" w:rsidRPr="00124933" w:rsidRDefault="00A53BCF" w:rsidP="00A53BCF">
            <w:pPr>
              <w:jc w:val="center"/>
              <w:rPr>
                <w:sz w:val="20"/>
                <w:szCs w:val="20"/>
              </w:rPr>
            </w:pPr>
            <w:r w:rsidRPr="00124933">
              <w:rPr>
                <w:sz w:val="20"/>
                <w:szCs w:val="20"/>
              </w:rPr>
              <w:t>66</w:t>
            </w:r>
          </w:p>
        </w:tc>
        <w:tc>
          <w:tcPr>
            <w:tcW w:w="985" w:type="dxa"/>
            <w:vAlign w:val="center"/>
          </w:tcPr>
          <w:p w:rsidR="00A53BCF" w:rsidRPr="00124933" w:rsidRDefault="00A53BCF" w:rsidP="00A53BCF">
            <w:pPr>
              <w:jc w:val="center"/>
              <w:rPr>
                <w:sz w:val="20"/>
                <w:szCs w:val="20"/>
              </w:rPr>
            </w:pPr>
            <w:r w:rsidRPr="00124933">
              <w:rPr>
                <w:sz w:val="20"/>
                <w:szCs w:val="20"/>
              </w:rPr>
              <w:t>75</w:t>
            </w:r>
          </w:p>
        </w:tc>
        <w:tc>
          <w:tcPr>
            <w:tcW w:w="985" w:type="dxa"/>
            <w:vAlign w:val="center"/>
          </w:tcPr>
          <w:p w:rsidR="00A53BCF" w:rsidRPr="00124933" w:rsidRDefault="00A53BCF" w:rsidP="00A53BCF">
            <w:pPr>
              <w:jc w:val="center"/>
              <w:rPr>
                <w:sz w:val="20"/>
                <w:szCs w:val="20"/>
              </w:rPr>
            </w:pPr>
            <w:r w:rsidRPr="00124933">
              <w:rPr>
                <w:sz w:val="20"/>
                <w:szCs w:val="20"/>
              </w:rPr>
              <w:t>74</w:t>
            </w:r>
          </w:p>
        </w:tc>
        <w:tc>
          <w:tcPr>
            <w:tcW w:w="985" w:type="dxa"/>
            <w:vAlign w:val="center"/>
          </w:tcPr>
          <w:p w:rsidR="00A53BCF" w:rsidRPr="00124933" w:rsidRDefault="00A53BCF" w:rsidP="00A53BCF">
            <w:pPr>
              <w:jc w:val="center"/>
              <w:rPr>
                <w:sz w:val="20"/>
                <w:szCs w:val="20"/>
              </w:rPr>
            </w:pPr>
            <w:r w:rsidRPr="00124933">
              <w:rPr>
                <w:sz w:val="20"/>
                <w:szCs w:val="20"/>
              </w:rPr>
              <w:t>84</w:t>
            </w:r>
          </w:p>
        </w:tc>
        <w:tc>
          <w:tcPr>
            <w:tcW w:w="985" w:type="dxa"/>
            <w:vAlign w:val="center"/>
          </w:tcPr>
          <w:p w:rsidR="00A53BCF" w:rsidRPr="00124933" w:rsidRDefault="00A53BCF" w:rsidP="00A53BCF">
            <w:pPr>
              <w:jc w:val="center"/>
              <w:rPr>
                <w:sz w:val="20"/>
                <w:szCs w:val="20"/>
              </w:rPr>
            </w:pPr>
            <w:r w:rsidRPr="00124933">
              <w:rPr>
                <w:sz w:val="20"/>
                <w:szCs w:val="20"/>
              </w:rPr>
              <w:t>83</w:t>
            </w:r>
          </w:p>
        </w:tc>
      </w:tr>
      <w:tr w:rsidR="00A53BCF" w:rsidRPr="00124933" w:rsidTr="00A53BCF">
        <w:tc>
          <w:tcPr>
            <w:tcW w:w="1416" w:type="dxa"/>
          </w:tcPr>
          <w:p w:rsidR="00A53BCF" w:rsidRPr="00124933" w:rsidRDefault="00A53BCF" w:rsidP="00A53BCF">
            <w:pPr>
              <w:rPr>
                <w:sz w:val="20"/>
                <w:szCs w:val="20"/>
              </w:rPr>
            </w:pPr>
            <w:r w:rsidRPr="00124933">
              <w:rPr>
                <w:sz w:val="20"/>
                <w:szCs w:val="20"/>
              </w:rPr>
              <w:t>Západné Slovensko</w:t>
            </w:r>
          </w:p>
        </w:tc>
        <w:tc>
          <w:tcPr>
            <w:tcW w:w="982" w:type="dxa"/>
            <w:vAlign w:val="center"/>
          </w:tcPr>
          <w:p w:rsidR="00A53BCF" w:rsidRPr="00124933" w:rsidRDefault="00A53BCF" w:rsidP="00A53BCF">
            <w:pPr>
              <w:jc w:val="center"/>
              <w:rPr>
                <w:sz w:val="20"/>
                <w:szCs w:val="20"/>
              </w:rPr>
            </w:pPr>
            <w:r w:rsidRPr="00124933">
              <w:rPr>
                <w:sz w:val="20"/>
                <w:szCs w:val="20"/>
              </w:rPr>
              <w:t>25</w:t>
            </w:r>
          </w:p>
        </w:tc>
        <w:tc>
          <w:tcPr>
            <w:tcW w:w="982" w:type="dxa"/>
            <w:vAlign w:val="center"/>
          </w:tcPr>
          <w:p w:rsidR="00A53BCF" w:rsidRPr="00124933" w:rsidRDefault="00A53BCF" w:rsidP="00A53BCF">
            <w:pPr>
              <w:jc w:val="center"/>
              <w:rPr>
                <w:sz w:val="20"/>
                <w:szCs w:val="20"/>
              </w:rPr>
            </w:pPr>
            <w:r w:rsidRPr="00124933">
              <w:rPr>
                <w:sz w:val="20"/>
                <w:szCs w:val="20"/>
              </w:rPr>
              <w:t>-</w:t>
            </w:r>
          </w:p>
        </w:tc>
        <w:tc>
          <w:tcPr>
            <w:tcW w:w="983" w:type="dxa"/>
            <w:vAlign w:val="center"/>
          </w:tcPr>
          <w:p w:rsidR="00A53BCF" w:rsidRPr="00124933" w:rsidRDefault="00A53BCF" w:rsidP="00A53BCF">
            <w:pPr>
              <w:jc w:val="center"/>
              <w:rPr>
                <w:sz w:val="20"/>
                <w:szCs w:val="20"/>
              </w:rPr>
            </w:pPr>
            <w:r w:rsidRPr="00124933">
              <w:rPr>
                <w:sz w:val="20"/>
                <w:szCs w:val="20"/>
              </w:rPr>
              <w:t>59</w:t>
            </w:r>
          </w:p>
        </w:tc>
        <w:tc>
          <w:tcPr>
            <w:tcW w:w="985" w:type="dxa"/>
            <w:vAlign w:val="center"/>
          </w:tcPr>
          <w:p w:rsidR="00A53BCF" w:rsidRPr="00124933" w:rsidRDefault="00A53BCF" w:rsidP="00A53BCF">
            <w:pPr>
              <w:jc w:val="center"/>
              <w:rPr>
                <w:sz w:val="20"/>
                <w:szCs w:val="20"/>
              </w:rPr>
            </w:pPr>
            <w:r w:rsidRPr="00124933">
              <w:rPr>
                <w:sz w:val="20"/>
                <w:szCs w:val="20"/>
              </w:rPr>
              <w:t>67</w:t>
            </w:r>
          </w:p>
        </w:tc>
        <w:tc>
          <w:tcPr>
            <w:tcW w:w="985" w:type="dxa"/>
            <w:vAlign w:val="center"/>
          </w:tcPr>
          <w:p w:rsidR="00A53BCF" w:rsidRPr="00124933" w:rsidRDefault="00A53BCF" w:rsidP="00A53BCF">
            <w:pPr>
              <w:jc w:val="center"/>
              <w:rPr>
                <w:sz w:val="20"/>
                <w:szCs w:val="20"/>
              </w:rPr>
            </w:pPr>
            <w:r w:rsidRPr="00124933">
              <w:rPr>
                <w:sz w:val="20"/>
                <w:szCs w:val="20"/>
              </w:rPr>
              <w:t>67</w:t>
            </w:r>
          </w:p>
        </w:tc>
        <w:tc>
          <w:tcPr>
            <w:tcW w:w="985" w:type="dxa"/>
            <w:vAlign w:val="center"/>
          </w:tcPr>
          <w:p w:rsidR="00A53BCF" w:rsidRPr="00124933" w:rsidRDefault="00A53BCF" w:rsidP="00A53BCF">
            <w:pPr>
              <w:jc w:val="center"/>
              <w:rPr>
                <w:sz w:val="20"/>
                <w:szCs w:val="20"/>
              </w:rPr>
            </w:pPr>
            <w:r w:rsidRPr="00124933">
              <w:rPr>
                <w:sz w:val="20"/>
                <w:szCs w:val="20"/>
              </w:rPr>
              <w:t>73</w:t>
            </w:r>
          </w:p>
        </w:tc>
        <w:tc>
          <w:tcPr>
            <w:tcW w:w="985" w:type="dxa"/>
            <w:vAlign w:val="center"/>
          </w:tcPr>
          <w:p w:rsidR="00A53BCF" w:rsidRPr="00124933" w:rsidRDefault="00A53BCF" w:rsidP="00A53BCF">
            <w:pPr>
              <w:jc w:val="center"/>
              <w:rPr>
                <w:sz w:val="20"/>
                <w:szCs w:val="20"/>
              </w:rPr>
            </w:pPr>
            <w:r w:rsidRPr="00124933">
              <w:rPr>
                <w:sz w:val="20"/>
                <w:szCs w:val="20"/>
              </w:rPr>
              <w:t>75</w:t>
            </w:r>
          </w:p>
        </w:tc>
        <w:tc>
          <w:tcPr>
            <w:tcW w:w="985" w:type="dxa"/>
            <w:vAlign w:val="center"/>
          </w:tcPr>
          <w:p w:rsidR="00A53BCF" w:rsidRPr="00124933" w:rsidRDefault="00A53BCF" w:rsidP="00A53BCF">
            <w:pPr>
              <w:jc w:val="center"/>
              <w:rPr>
                <w:sz w:val="20"/>
                <w:szCs w:val="20"/>
              </w:rPr>
            </w:pPr>
            <w:r w:rsidRPr="00124933">
              <w:rPr>
                <w:sz w:val="20"/>
                <w:szCs w:val="20"/>
              </w:rPr>
              <w:t>77</w:t>
            </w:r>
          </w:p>
        </w:tc>
      </w:tr>
      <w:tr w:rsidR="00A53BCF" w:rsidRPr="00124933" w:rsidTr="00A53BCF">
        <w:tc>
          <w:tcPr>
            <w:tcW w:w="1416" w:type="dxa"/>
          </w:tcPr>
          <w:p w:rsidR="00A53BCF" w:rsidRPr="00124933" w:rsidRDefault="00A53BCF" w:rsidP="00A53BCF">
            <w:pPr>
              <w:rPr>
                <w:sz w:val="20"/>
                <w:szCs w:val="20"/>
              </w:rPr>
            </w:pPr>
            <w:r w:rsidRPr="00124933">
              <w:rPr>
                <w:sz w:val="20"/>
                <w:szCs w:val="20"/>
              </w:rPr>
              <w:t>Stredné Slovensko</w:t>
            </w:r>
          </w:p>
        </w:tc>
        <w:tc>
          <w:tcPr>
            <w:tcW w:w="982" w:type="dxa"/>
            <w:vAlign w:val="center"/>
          </w:tcPr>
          <w:p w:rsidR="00A53BCF" w:rsidRPr="00124933" w:rsidRDefault="00A53BCF" w:rsidP="00A53BCF">
            <w:pPr>
              <w:jc w:val="center"/>
              <w:rPr>
                <w:sz w:val="20"/>
                <w:szCs w:val="20"/>
              </w:rPr>
            </w:pPr>
            <w:r w:rsidRPr="00124933">
              <w:rPr>
                <w:sz w:val="20"/>
                <w:szCs w:val="20"/>
              </w:rPr>
              <w:t>24</w:t>
            </w:r>
          </w:p>
        </w:tc>
        <w:tc>
          <w:tcPr>
            <w:tcW w:w="982" w:type="dxa"/>
            <w:vAlign w:val="center"/>
          </w:tcPr>
          <w:p w:rsidR="00A53BCF" w:rsidRPr="00124933" w:rsidRDefault="00A53BCF" w:rsidP="00A53BCF">
            <w:pPr>
              <w:jc w:val="center"/>
              <w:rPr>
                <w:sz w:val="20"/>
                <w:szCs w:val="20"/>
              </w:rPr>
            </w:pPr>
            <w:r w:rsidRPr="00124933">
              <w:rPr>
                <w:sz w:val="20"/>
                <w:szCs w:val="20"/>
              </w:rPr>
              <w:t>-</w:t>
            </w:r>
          </w:p>
        </w:tc>
        <w:tc>
          <w:tcPr>
            <w:tcW w:w="983" w:type="dxa"/>
            <w:vAlign w:val="center"/>
          </w:tcPr>
          <w:p w:rsidR="00A53BCF" w:rsidRPr="00124933" w:rsidRDefault="00A53BCF" w:rsidP="00A53BCF">
            <w:pPr>
              <w:jc w:val="center"/>
              <w:rPr>
                <w:sz w:val="20"/>
                <w:szCs w:val="20"/>
              </w:rPr>
            </w:pPr>
            <w:r w:rsidRPr="00124933">
              <w:rPr>
                <w:sz w:val="20"/>
                <w:szCs w:val="20"/>
              </w:rPr>
              <w:t>56</w:t>
            </w:r>
          </w:p>
        </w:tc>
        <w:tc>
          <w:tcPr>
            <w:tcW w:w="985" w:type="dxa"/>
            <w:vAlign w:val="center"/>
          </w:tcPr>
          <w:p w:rsidR="00A53BCF" w:rsidRPr="00124933" w:rsidRDefault="00A53BCF" w:rsidP="00A53BCF">
            <w:pPr>
              <w:jc w:val="center"/>
              <w:rPr>
                <w:sz w:val="20"/>
                <w:szCs w:val="20"/>
              </w:rPr>
            </w:pPr>
            <w:r w:rsidRPr="00124933">
              <w:rPr>
                <w:sz w:val="20"/>
                <w:szCs w:val="20"/>
              </w:rPr>
              <w:t>59</w:t>
            </w:r>
          </w:p>
        </w:tc>
        <w:tc>
          <w:tcPr>
            <w:tcW w:w="985" w:type="dxa"/>
            <w:vAlign w:val="center"/>
          </w:tcPr>
          <w:p w:rsidR="00A53BCF" w:rsidRPr="00124933" w:rsidRDefault="00A53BCF" w:rsidP="00A53BCF">
            <w:pPr>
              <w:jc w:val="center"/>
              <w:rPr>
                <w:sz w:val="20"/>
                <w:szCs w:val="20"/>
              </w:rPr>
            </w:pPr>
            <w:r w:rsidRPr="00124933">
              <w:rPr>
                <w:sz w:val="20"/>
                <w:szCs w:val="20"/>
              </w:rPr>
              <w:t>65</w:t>
            </w:r>
          </w:p>
        </w:tc>
        <w:tc>
          <w:tcPr>
            <w:tcW w:w="985" w:type="dxa"/>
            <w:vAlign w:val="center"/>
          </w:tcPr>
          <w:p w:rsidR="00A53BCF" w:rsidRPr="00124933" w:rsidRDefault="00A53BCF" w:rsidP="00A53BCF">
            <w:pPr>
              <w:jc w:val="center"/>
              <w:rPr>
                <w:sz w:val="20"/>
                <w:szCs w:val="20"/>
              </w:rPr>
            </w:pPr>
            <w:r w:rsidRPr="00124933">
              <w:rPr>
                <w:sz w:val="20"/>
                <w:szCs w:val="20"/>
              </w:rPr>
              <w:t>71</w:t>
            </w:r>
          </w:p>
        </w:tc>
        <w:tc>
          <w:tcPr>
            <w:tcW w:w="985" w:type="dxa"/>
            <w:vAlign w:val="center"/>
          </w:tcPr>
          <w:p w:rsidR="00A53BCF" w:rsidRPr="00124933" w:rsidRDefault="00A53BCF" w:rsidP="00A53BCF">
            <w:pPr>
              <w:jc w:val="center"/>
              <w:rPr>
                <w:sz w:val="20"/>
                <w:szCs w:val="20"/>
              </w:rPr>
            </w:pPr>
            <w:r w:rsidRPr="00124933">
              <w:rPr>
                <w:sz w:val="20"/>
                <w:szCs w:val="20"/>
              </w:rPr>
              <w:t>71</w:t>
            </w:r>
          </w:p>
        </w:tc>
        <w:tc>
          <w:tcPr>
            <w:tcW w:w="985" w:type="dxa"/>
            <w:vAlign w:val="center"/>
          </w:tcPr>
          <w:p w:rsidR="00A53BCF" w:rsidRPr="00124933" w:rsidRDefault="00A53BCF" w:rsidP="00A53BCF">
            <w:pPr>
              <w:jc w:val="center"/>
              <w:rPr>
                <w:sz w:val="20"/>
                <w:szCs w:val="20"/>
              </w:rPr>
            </w:pPr>
            <w:r w:rsidRPr="00124933">
              <w:rPr>
                <w:sz w:val="20"/>
                <w:szCs w:val="20"/>
              </w:rPr>
              <w:t>77</w:t>
            </w:r>
          </w:p>
        </w:tc>
      </w:tr>
      <w:tr w:rsidR="00A53BCF" w:rsidRPr="00124933" w:rsidTr="00A53BCF">
        <w:tc>
          <w:tcPr>
            <w:tcW w:w="1416" w:type="dxa"/>
          </w:tcPr>
          <w:p w:rsidR="00A53BCF" w:rsidRPr="00124933" w:rsidRDefault="00A53BCF" w:rsidP="00A53BCF">
            <w:pPr>
              <w:rPr>
                <w:sz w:val="20"/>
                <w:szCs w:val="20"/>
              </w:rPr>
            </w:pPr>
            <w:r w:rsidRPr="00124933">
              <w:rPr>
                <w:sz w:val="20"/>
                <w:szCs w:val="20"/>
              </w:rPr>
              <w:t>Východné Slovensko</w:t>
            </w:r>
          </w:p>
        </w:tc>
        <w:tc>
          <w:tcPr>
            <w:tcW w:w="982" w:type="dxa"/>
            <w:vAlign w:val="center"/>
          </w:tcPr>
          <w:p w:rsidR="00A53BCF" w:rsidRPr="00124933" w:rsidRDefault="00A53BCF" w:rsidP="00A53BCF">
            <w:pPr>
              <w:jc w:val="center"/>
              <w:rPr>
                <w:sz w:val="20"/>
                <w:szCs w:val="20"/>
              </w:rPr>
            </w:pPr>
            <w:r w:rsidRPr="00124933">
              <w:rPr>
                <w:sz w:val="20"/>
                <w:szCs w:val="20"/>
              </w:rPr>
              <w:t>28</w:t>
            </w:r>
          </w:p>
        </w:tc>
        <w:tc>
          <w:tcPr>
            <w:tcW w:w="982" w:type="dxa"/>
            <w:vAlign w:val="center"/>
          </w:tcPr>
          <w:p w:rsidR="00A53BCF" w:rsidRPr="00124933" w:rsidRDefault="00A53BCF" w:rsidP="00A53BCF">
            <w:pPr>
              <w:jc w:val="center"/>
              <w:rPr>
                <w:sz w:val="20"/>
                <w:szCs w:val="20"/>
              </w:rPr>
            </w:pPr>
            <w:r w:rsidRPr="00124933">
              <w:rPr>
                <w:sz w:val="20"/>
                <w:szCs w:val="20"/>
              </w:rPr>
              <w:t>-</w:t>
            </w:r>
          </w:p>
        </w:tc>
        <w:tc>
          <w:tcPr>
            <w:tcW w:w="983" w:type="dxa"/>
            <w:vAlign w:val="center"/>
          </w:tcPr>
          <w:p w:rsidR="00A53BCF" w:rsidRPr="00124933" w:rsidRDefault="00A53BCF" w:rsidP="00A53BCF">
            <w:pPr>
              <w:jc w:val="center"/>
              <w:rPr>
                <w:sz w:val="20"/>
                <w:szCs w:val="20"/>
              </w:rPr>
            </w:pPr>
            <w:r w:rsidRPr="00124933">
              <w:rPr>
                <w:sz w:val="20"/>
                <w:szCs w:val="20"/>
              </w:rPr>
              <w:t>58</w:t>
            </w:r>
          </w:p>
        </w:tc>
        <w:tc>
          <w:tcPr>
            <w:tcW w:w="985" w:type="dxa"/>
            <w:vAlign w:val="center"/>
          </w:tcPr>
          <w:p w:rsidR="00A53BCF" w:rsidRPr="00124933" w:rsidRDefault="00A53BCF" w:rsidP="00A53BCF">
            <w:pPr>
              <w:jc w:val="center"/>
              <w:rPr>
                <w:sz w:val="20"/>
                <w:szCs w:val="20"/>
              </w:rPr>
            </w:pPr>
            <w:r w:rsidRPr="00124933">
              <w:rPr>
                <w:sz w:val="20"/>
                <w:szCs w:val="20"/>
              </w:rPr>
              <w:t>57</w:t>
            </w:r>
          </w:p>
        </w:tc>
        <w:tc>
          <w:tcPr>
            <w:tcW w:w="985" w:type="dxa"/>
            <w:vAlign w:val="center"/>
          </w:tcPr>
          <w:p w:rsidR="00A53BCF" w:rsidRPr="00124933" w:rsidRDefault="00A53BCF" w:rsidP="00A53BCF">
            <w:pPr>
              <w:jc w:val="center"/>
              <w:rPr>
                <w:sz w:val="20"/>
                <w:szCs w:val="20"/>
              </w:rPr>
            </w:pPr>
            <w:r w:rsidRPr="00124933">
              <w:rPr>
                <w:sz w:val="20"/>
                <w:szCs w:val="20"/>
              </w:rPr>
              <w:t>67</w:t>
            </w:r>
          </w:p>
        </w:tc>
        <w:tc>
          <w:tcPr>
            <w:tcW w:w="985" w:type="dxa"/>
            <w:vAlign w:val="center"/>
          </w:tcPr>
          <w:p w:rsidR="00A53BCF" w:rsidRPr="00124933" w:rsidRDefault="00A53BCF" w:rsidP="00A53BCF">
            <w:pPr>
              <w:jc w:val="center"/>
              <w:rPr>
                <w:sz w:val="20"/>
                <w:szCs w:val="20"/>
              </w:rPr>
            </w:pPr>
            <w:r w:rsidRPr="00124933">
              <w:rPr>
                <w:sz w:val="20"/>
                <w:szCs w:val="20"/>
              </w:rPr>
              <w:t>66</w:t>
            </w:r>
          </w:p>
        </w:tc>
        <w:tc>
          <w:tcPr>
            <w:tcW w:w="985" w:type="dxa"/>
            <w:vAlign w:val="center"/>
          </w:tcPr>
          <w:p w:rsidR="00A53BCF" w:rsidRPr="00124933" w:rsidRDefault="00A53BCF" w:rsidP="00A53BCF">
            <w:pPr>
              <w:jc w:val="center"/>
              <w:rPr>
                <w:sz w:val="20"/>
                <w:szCs w:val="20"/>
              </w:rPr>
            </w:pPr>
            <w:r w:rsidRPr="00124933">
              <w:rPr>
                <w:sz w:val="20"/>
                <w:szCs w:val="20"/>
              </w:rPr>
              <w:t>76</w:t>
            </w:r>
          </w:p>
        </w:tc>
        <w:tc>
          <w:tcPr>
            <w:tcW w:w="985" w:type="dxa"/>
            <w:vAlign w:val="center"/>
          </w:tcPr>
          <w:p w:rsidR="00A53BCF" w:rsidRPr="00124933" w:rsidRDefault="00A53BCF" w:rsidP="00A53BCF">
            <w:pPr>
              <w:jc w:val="center"/>
              <w:rPr>
                <w:sz w:val="20"/>
                <w:szCs w:val="20"/>
              </w:rPr>
            </w:pPr>
            <w:r w:rsidRPr="00124933">
              <w:rPr>
                <w:sz w:val="20"/>
                <w:szCs w:val="20"/>
              </w:rPr>
              <w:t>78</w:t>
            </w:r>
          </w:p>
        </w:tc>
      </w:tr>
    </w:tbl>
    <w:p w:rsidR="00A53BCF" w:rsidRDefault="00A53BCF" w:rsidP="00A53BCF">
      <w:pPr>
        <w:rPr>
          <w:color w:val="000000"/>
          <w:sz w:val="20"/>
          <w:szCs w:val="20"/>
        </w:rPr>
      </w:pPr>
      <w:r w:rsidRPr="00124933">
        <w:rPr>
          <w:color w:val="000000"/>
          <w:sz w:val="20"/>
          <w:szCs w:val="20"/>
        </w:rPr>
        <w:t>Zdroj: Eurostat</w:t>
      </w:r>
    </w:p>
    <w:p w:rsidR="00A53BCF" w:rsidRDefault="00A53BCF" w:rsidP="00A53BCF">
      <w:pPr>
        <w:rPr>
          <w:szCs w:val="22"/>
        </w:rPr>
      </w:pPr>
    </w:p>
    <w:p w:rsidR="00A53BCF" w:rsidRDefault="00A53BCF" w:rsidP="00A53BCF">
      <w:pPr>
        <w:rPr>
          <w:szCs w:val="22"/>
        </w:rPr>
      </w:pPr>
      <w:r>
        <w:rPr>
          <w:szCs w:val="22"/>
        </w:rPr>
        <w:t>T</w:t>
      </w:r>
      <w:r w:rsidRPr="00134978">
        <w:rPr>
          <w:szCs w:val="22"/>
        </w:rPr>
        <w:t xml:space="preserve">abuľka </w:t>
      </w:r>
      <w:r>
        <w:rPr>
          <w:szCs w:val="22"/>
        </w:rPr>
        <w:t>uvádza</w:t>
      </w:r>
      <w:r w:rsidRPr="00134978">
        <w:rPr>
          <w:szCs w:val="22"/>
        </w:rPr>
        <w:t xml:space="preserve"> vývoj domácnost</w:t>
      </w:r>
      <w:r>
        <w:rPr>
          <w:szCs w:val="22"/>
        </w:rPr>
        <w:t>í</w:t>
      </w:r>
      <w:r w:rsidRPr="00134978">
        <w:rPr>
          <w:szCs w:val="22"/>
        </w:rPr>
        <w:t xml:space="preserve"> </w:t>
      </w:r>
      <w:r>
        <w:rPr>
          <w:szCs w:val="22"/>
        </w:rPr>
        <w:t xml:space="preserve">so </w:t>
      </w:r>
      <w:r w:rsidRPr="00134978">
        <w:rPr>
          <w:color w:val="000000"/>
        </w:rPr>
        <w:t>širokopásmovým prístupom vo vzťahu k domácnostiam s prístupom na internet v SR</w:t>
      </w:r>
      <w:r w:rsidRPr="00134978">
        <w:rPr>
          <w:szCs w:val="22"/>
        </w:rPr>
        <w:t xml:space="preserve"> v rokoch 2006-2013</w:t>
      </w:r>
      <w:r>
        <w:rPr>
          <w:szCs w:val="22"/>
        </w:rPr>
        <w:t xml:space="preserve"> v regiónoch </w:t>
      </w:r>
      <w:r w:rsidRPr="00134978">
        <w:rPr>
          <w:szCs w:val="22"/>
        </w:rPr>
        <w:t xml:space="preserve">v SR </w:t>
      </w:r>
      <w:r>
        <w:rPr>
          <w:szCs w:val="22"/>
        </w:rPr>
        <w:t>(</w:t>
      </w:r>
      <w:r w:rsidRPr="00134978">
        <w:rPr>
          <w:szCs w:val="22"/>
        </w:rPr>
        <w:t>na úrovni NUTS 2</w:t>
      </w:r>
      <w:r>
        <w:rPr>
          <w:szCs w:val="22"/>
        </w:rPr>
        <w:t>).</w:t>
      </w:r>
    </w:p>
    <w:p w:rsidR="00E820E4" w:rsidRDefault="00E820E4" w:rsidP="00A53BCF">
      <w:pPr>
        <w:rPr>
          <w:szCs w:val="22"/>
        </w:rPr>
      </w:pPr>
    </w:p>
    <w:p w:rsidR="00A53BCF" w:rsidRPr="00F832C9" w:rsidRDefault="00F832C9" w:rsidP="00F832C9">
      <w:pPr>
        <w:ind w:left="1276" w:hanging="1276"/>
        <w:rPr>
          <w:color w:val="000000"/>
          <w:szCs w:val="22"/>
        </w:rPr>
      </w:pPr>
      <w:r w:rsidRPr="00F832C9">
        <w:rPr>
          <w:b/>
          <w:color w:val="000000"/>
          <w:szCs w:val="22"/>
        </w:rPr>
        <w:t xml:space="preserve">Tabuľka 11: </w:t>
      </w:r>
      <w:r w:rsidR="00A53BCF" w:rsidRPr="00F832C9">
        <w:rPr>
          <w:b/>
          <w:color w:val="000000"/>
          <w:szCs w:val="22"/>
        </w:rPr>
        <w:t>Percento domácností so širokopásmovým prístupom vo vzťahu k domácnostiam s prístupom na internet v SR, na úrovni NUTS 2 v rokoch 2006-2013</w:t>
      </w:r>
    </w:p>
    <w:p w:rsidR="00A53BCF" w:rsidRPr="006B331A" w:rsidRDefault="00A53BCF" w:rsidP="00A53BCF">
      <w:pPr>
        <w:rPr>
          <w:color w:val="000000"/>
          <w:sz w:val="20"/>
          <w:szCs w:val="20"/>
        </w:rPr>
      </w:pPr>
      <w:r w:rsidRPr="006B331A">
        <w:rPr>
          <w:color w:val="000000"/>
          <w:sz w:val="20"/>
          <w:szCs w:val="20"/>
        </w:rPr>
        <w:t>(% domácností s aspoň jedným členom vo veku 16-74 rokov a prístupom na internet)</w:t>
      </w:r>
    </w:p>
    <w:tbl>
      <w:tblPr>
        <w:tblStyle w:val="Mriekatabuky"/>
        <w:tblW w:w="0" w:type="auto"/>
        <w:tblBorders>
          <w:top w:val="double" w:sz="4" w:space="0" w:color="auto"/>
          <w:left w:val="double" w:sz="4" w:space="0" w:color="auto"/>
          <w:bottom w:val="double" w:sz="4" w:space="0" w:color="auto"/>
          <w:right w:val="double" w:sz="4" w:space="0" w:color="auto"/>
        </w:tblBorders>
        <w:tblLook w:val="04A0" w:firstRow="1" w:lastRow="0" w:firstColumn="1" w:lastColumn="0" w:noHBand="0" w:noVBand="1"/>
      </w:tblPr>
      <w:tblGrid>
        <w:gridCol w:w="1416"/>
        <w:gridCol w:w="982"/>
        <w:gridCol w:w="982"/>
        <w:gridCol w:w="983"/>
        <w:gridCol w:w="985"/>
        <w:gridCol w:w="985"/>
        <w:gridCol w:w="985"/>
        <w:gridCol w:w="985"/>
        <w:gridCol w:w="985"/>
      </w:tblGrid>
      <w:tr w:rsidR="00A53BCF" w:rsidRPr="006B331A" w:rsidTr="00A53BCF">
        <w:tc>
          <w:tcPr>
            <w:tcW w:w="1416" w:type="dxa"/>
          </w:tcPr>
          <w:p w:rsidR="00A53BCF" w:rsidRPr="006B331A" w:rsidRDefault="00A53BCF" w:rsidP="00A53BCF">
            <w:pPr>
              <w:rPr>
                <w:b/>
                <w:sz w:val="20"/>
                <w:szCs w:val="20"/>
              </w:rPr>
            </w:pPr>
            <w:r w:rsidRPr="006B331A">
              <w:rPr>
                <w:b/>
                <w:sz w:val="20"/>
                <w:szCs w:val="20"/>
              </w:rPr>
              <w:t>Regióny Slovenska</w:t>
            </w:r>
          </w:p>
        </w:tc>
        <w:tc>
          <w:tcPr>
            <w:tcW w:w="982" w:type="dxa"/>
            <w:vAlign w:val="center"/>
          </w:tcPr>
          <w:p w:rsidR="00A53BCF" w:rsidRPr="006B331A" w:rsidRDefault="00A53BCF" w:rsidP="00A53BCF">
            <w:pPr>
              <w:jc w:val="center"/>
              <w:rPr>
                <w:b/>
                <w:sz w:val="20"/>
                <w:szCs w:val="20"/>
              </w:rPr>
            </w:pPr>
            <w:r w:rsidRPr="006B331A">
              <w:rPr>
                <w:b/>
                <w:sz w:val="20"/>
                <w:szCs w:val="20"/>
              </w:rPr>
              <w:t>2006</w:t>
            </w:r>
          </w:p>
        </w:tc>
        <w:tc>
          <w:tcPr>
            <w:tcW w:w="982" w:type="dxa"/>
            <w:vAlign w:val="center"/>
          </w:tcPr>
          <w:p w:rsidR="00A53BCF" w:rsidRPr="006B331A" w:rsidRDefault="00A53BCF" w:rsidP="00A53BCF">
            <w:pPr>
              <w:jc w:val="center"/>
              <w:rPr>
                <w:b/>
                <w:sz w:val="20"/>
                <w:szCs w:val="20"/>
              </w:rPr>
            </w:pPr>
            <w:r w:rsidRPr="006B331A">
              <w:rPr>
                <w:b/>
                <w:sz w:val="20"/>
                <w:szCs w:val="20"/>
              </w:rPr>
              <w:t>2007</w:t>
            </w:r>
          </w:p>
        </w:tc>
        <w:tc>
          <w:tcPr>
            <w:tcW w:w="983" w:type="dxa"/>
            <w:vAlign w:val="center"/>
          </w:tcPr>
          <w:p w:rsidR="00A53BCF" w:rsidRPr="006B331A" w:rsidRDefault="00A53BCF" w:rsidP="00A53BCF">
            <w:pPr>
              <w:jc w:val="center"/>
              <w:rPr>
                <w:b/>
                <w:sz w:val="20"/>
                <w:szCs w:val="20"/>
              </w:rPr>
            </w:pPr>
            <w:r w:rsidRPr="006B331A">
              <w:rPr>
                <w:b/>
                <w:sz w:val="20"/>
                <w:szCs w:val="20"/>
              </w:rPr>
              <w:t>2008</w:t>
            </w:r>
          </w:p>
        </w:tc>
        <w:tc>
          <w:tcPr>
            <w:tcW w:w="985" w:type="dxa"/>
            <w:vAlign w:val="center"/>
          </w:tcPr>
          <w:p w:rsidR="00A53BCF" w:rsidRPr="006B331A" w:rsidRDefault="00A53BCF" w:rsidP="00A53BCF">
            <w:pPr>
              <w:jc w:val="center"/>
              <w:rPr>
                <w:b/>
                <w:sz w:val="20"/>
                <w:szCs w:val="20"/>
              </w:rPr>
            </w:pPr>
            <w:r w:rsidRPr="006B331A">
              <w:rPr>
                <w:b/>
                <w:sz w:val="20"/>
                <w:szCs w:val="20"/>
              </w:rPr>
              <w:t>2009</w:t>
            </w:r>
          </w:p>
        </w:tc>
        <w:tc>
          <w:tcPr>
            <w:tcW w:w="985" w:type="dxa"/>
            <w:vAlign w:val="center"/>
          </w:tcPr>
          <w:p w:rsidR="00A53BCF" w:rsidRPr="006B331A" w:rsidRDefault="00A53BCF" w:rsidP="00A53BCF">
            <w:pPr>
              <w:jc w:val="center"/>
              <w:rPr>
                <w:b/>
                <w:sz w:val="20"/>
                <w:szCs w:val="20"/>
              </w:rPr>
            </w:pPr>
            <w:r w:rsidRPr="006B331A">
              <w:rPr>
                <w:b/>
                <w:sz w:val="20"/>
                <w:szCs w:val="20"/>
              </w:rPr>
              <w:t>2010</w:t>
            </w:r>
          </w:p>
        </w:tc>
        <w:tc>
          <w:tcPr>
            <w:tcW w:w="985" w:type="dxa"/>
            <w:vAlign w:val="center"/>
          </w:tcPr>
          <w:p w:rsidR="00A53BCF" w:rsidRPr="006B331A" w:rsidRDefault="00A53BCF" w:rsidP="00A53BCF">
            <w:pPr>
              <w:jc w:val="center"/>
              <w:rPr>
                <w:b/>
                <w:sz w:val="20"/>
                <w:szCs w:val="20"/>
              </w:rPr>
            </w:pPr>
            <w:r w:rsidRPr="006B331A">
              <w:rPr>
                <w:b/>
                <w:sz w:val="20"/>
                <w:szCs w:val="20"/>
              </w:rPr>
              <w:t>2011</w:t>
            </w:r>
          </w:p>
        </w:tc>
        <w:tc>
          <w:tcPr>
            <w:tcW w:w="985" w:type="dxa"/>
            <w:vAlign w:val="center"/>
          </w:tcPr>
          <w:p w:rsidR="00A53BCF" w:rsidRPr="006B331A" w:rsidRDefault="00A53BCF" w:rsidP="00A53BCF">
            <w:pPr>
              <w:jc w:val="center"/>
              <w:rPr>
                <w:b/>
                <w:sz w:val="20"/>
                <w:szCs w:val="20"/>
              </w:rPr>
            </w:pPr>
            <w:r w:rsidRPr="006B331A">
              <w:rPr>
                <w:b/>
                <w:sz w:val="20"/>
                <w:szCs w:val="20"/>
              </w:rPr>
              <w:t>2012</w:t>
            </w:r>
          </w:p>
        </w:tc>
        <w:tc>
          <w:tcPr>
            <w:tcW w:w="985" w:type="dxa"/>
            <w:vAlign w:val="center"/>
          </w:tcPr>
          <w:p w:rsidR="00A53BCF" w:rsidRPr="006B331A" w:rsidRDefault="00A53BCF" w:rsidP="00A53BCF">
            <w:pPr>
              <w:jc w:val="center"/>
              <w:rPr>
                <w:b/>
                <w:sz w:val="20"/>
                <w:szCs w:val="20"/>
              </w:rPr>
            </w:pPr>
            <w:r w:rsidRPr="006B331A">
              <w:rPr>
                <w:b/>
                <w:sz w:val="20"/>
                <w:szCs w:val="20"/>
              </w:rPr>
              <w:t>2013</w:t>
            </w:r>
          </w:p>
        </w:tc>
      </w:tr>
      <w:tr w:rsidR="00A53BCF" w:rsidRPr="006B331A" w:rsidTr="00A53BCF">
        <w:tc>
          <w:tcPr>
            <w:tcW w:w="1416" w:type="dxa"/>
          </w:tcPr>
          <w:p w:rsidR="00A53BCF" w:rsidRPr="006B331A" w:rsidRDefault="00A53BCF" w:rsidP="00A53BCF">
            <w:pPr>
              <w:rPr>
                <w:sz w:val="20"/>
                <w:szCs w:val="20"/>
              </w:rPr>
            </w:pPr>
            <w:r w:rsidRPr="006B331A">
              <w:rPr>
                <w:sz w:val="20"/>
                <w:szCs w:val="20"/>
              </w:rPr>
              <w:t>Bratislavský kraj</w:t>
            </w:r>
          </w:p>
        </w:tc>
        <w:tc>
          <w:tcPr>
            <w:tcW w:w="982" w:type="dxa"/>
            <w:vAlign w:val="center"/>
          </w:tcPr>
          <w:p w:rsidR="00A53BCF" w:rsidRPr="006B331A" w:rsidRDefault="00A53BCF" w:rsidP="00A53BCF">
            <w:pPr>
              <w:jc w:val="center"/>
              <w:rPr>
                <w:sz w:val="20"/>
                <w:szCs w:val="20"/>
              </w:rPr>
            </w:pPr>
            <w:r w:rsidRPr="006B331A">
              <w:rPr>
                <w:sz w:val="20"/>
                <w:szCs w:val="20"/>
              </w:rPr>
              <w:t>43</w:t>
            </w:r>
          </w:p>
        </w:tc>
        <w:tc>
          <w:tcPr>
            <w:tcW w:w="982" w:type="dxa"/>
            <w:vAlign w:val="center"/>
          </w:tcPr>
          <w:p w:rsidR="00A53BCF" w:rsidRPr="006B331A" w:rsidRDefault="00A53BCF" w:rsidP="00A53BCF">
            <w:pPr>
              <w:jc w:val="center"/>
              <w:rPr>
                <w:sz w:val="20"/>
                <w:szCs w:val="20"/>
              </w:rPr>
            </w:pPr>
            <w:r w:rsidRPr="006B331A">
              <w:rPr>
                <w:sz w:val="20"/>
                <w:szCs w:val="20"/>
              </w:rPr>
              <w:t>-</w:t>
            </w:r>
          </w:p>
        </w:tc>
        <w:tc>
          <w:tcPr>
            <w:tcW w:w="983" w:type="dxa"/>
            <w:vAlign w:val="center"/>
          </w:tcPr>
          <w:p w:rsidR="00A53BCF" w:rsidRPr="006B331A" w:rsidRDefault="00A53BCF" w:rsidP="00A53BCF">
            <w:pPr>
              <w:jc w:val="center"/>
              <w:rPr>
                <w:sz w:val="20"/>
                <w:szCs w:val="20"/>
              </w:rPr>
            </w:pPr>
            <w:r w:rsidRPr="006B331A">
              <w:rPr>
                <w:sz w:val="20"/>
                <w:szCs w:val="20"/>
              </w:rPr>
              <w:t>63</w:t>
            </w:r>
          </w:p>
        </w:tc>
        <w:tc>
          <w:tcPr>
            <w:tcW w:w="985" w:type="dxa"/>
            <w:vAlign w:val="center"/>
          </w:tcPr>
          <w:p w:rsidR="00A53BCF" w:rsidRPr="006B331A" w:rsidRDefault="00A53BCF" w:rsidP="00A53BCF">
            <w:pPr>
              <w:jc w:val="center"/>
              <w:rPr>
                <w:sz w:val="20"/>
                <w:szCs w:val="20"/>
              </w:rPr>
            </w:pPr>
            <w:r w:rsidRPr="006B331A">
              <w:rPr>
                <w:sz w:val="20"/>
                <w:szCs w:val="20"/>
              </w:rPr>
              <w:t>59</w:t>
            </w:r>
          </w:p>
        </w:tc>
        <w:tc>
          <w:tcPr>
            <w:tcW w:w="985" w:type="dxa"/>
            <w:vAlign w:val="center"/>
          </w:tcPr>
          <w:p w:rsidR="00A53BCF" w:rsidRPr="006B331A" w:rsidRDefault="00A53BCF" w:rsidP="00A53BCF">
            <w:pPr>
              <w:jc w:val="center"/>
              <w:rPr>
                <w:sz w:val="20"/>
                <w:szCs w:val="20"/>
              </w:rPr>
            </w:pPr>
            <w:r w:rsidRPr="006B331A">
              <w:rPr>
                <w:sz w:val="20"/>
                <w:szCs w:val="20"/>
              </w:rPr>
              <w:t>76</w:t>
            </w:r>
          </w:p>
        </w:tc>
        <w:tc>
          <w:tcPr>
            <w:tcW w:w="985" w:type="dxa"/>
            <w:vAlign w:val="center"/>
          </w:tcPr>
          <w:p w:rsidR="00A53BCF" w:rsidRPr="006B331A" w:rsidRDefault="00A53BCF" w:rsidP="00A53BCF">
            <w:pPr>
              <w:jc w:val="center"/>
              <w:rPr>
                <w:sz w:val="20"/>
                <w:szCs w:val="20"/>
              </w:rPr>
            </w:pPr>
            <w:r w:rsidRPr="006B331A">
              <w:rPr>
                <w:sz w:val="20"/>
                <w:szCs w:val="20"/>
              </w:rPr>
              <w:t>77</w:t>
            </w:r>
          </w:p>
        </w:tc>
        <w:tc>
          <w:tcPr>
            <w:tcW w:w="985" w:type="dxa"/>
            <w:vAlign w:val="center"/>
          </w:tcPr>
          <w:p w:rsidR="00A53BCF" w:rsidRPr="006B331A" w:rsidRDefault="00A53BCF" w:rsidP="00A53BCF">
            <w:pPr>
              <w:jc w:val="center"/>
              <w:rPr>
                <w:sz w:val="20"/>
                <w:szCs w:val="20"/>
              </w:rPr>
            </w:pPr>
            <w:r w:rsidRPr="006B331A">
              <w:rPr>
                <w:sz w:val="20"/>
                <w:szCs w:val="20"/>
              </w:rPr>
              <w:t>95</w:t>
            </w:r>
          </w:p>
        </w:tc>
        <w:tc>
          <w:tcPr>
            <w:tcW w:w="985" w:type="dxa"/>
            <w:vAlign w:val="center"/>
          </w:tcPr>
          <w:p w:rsidR="00A53BCF" w:rsidRPr="006B331A" w:rsidRDefault="00A53BCF" w:rsidP="00A53BCF">
            <w:pPr>
              <w:jc w:val="center"/>
              <w:rPr>
                <w:sz w:val="20"/>
                <w:szCs w:val="20"/>
              </w:rPr>
            </w:pPr>
            <w:r w:rsidRPr="006B331A">
              <w:rPr>
                <w:sz w:val="20"/>
                <w:szCs w:val="20"/>
              </w:rPr>
              <w:t>87</w:t>
            </w:r>
          </w:p>
        </w:tc>
      </w:tr>
      <w:tr w:rsidR="00A53BCF" w:rsidRPr="006B331A" w:rsidTr="00A53BCF">
        <w:tc>
          <w:tcPr>
            <w:tcW w:w="1416" w:type="dxa"/>
          </w:tcPr>
          <w:p w:rsidR="00A53BCF" w:rsidRPr="006B331A" w:rsidRDefault="00A53BCF" w:rsidP="00A53BCF">
            <w:pPr>
              <w:rPr>
                <w:sz w:val="20"/>
                <w:szCs w:val="20"/>
              </w:rPr>
            </w:pPr>
            <w:r w:rsidRPr="006B331A">
              <w:rPr>
                <w:sz w:val="20"/>
                <w:szCs w:val="20"/>
              </w:rPr>
              <w:t>Západné Slovensko</w:t>
            </w:r>
          </w:p>
        </w:tc>
        <w:tc>
          <w:tcPr>
            <w:tcW w:w="982" w:type="dxa"/>
            <w:vAlign w:val="center"/>
          </w:tcPr>
          <w:p w:rsidR="00A53BCF" w:rsidRPr="006B331A" w:rsidRDefault="00A53BCF" w:rsidP="00A53BCF">
            <w:pPr>
              <w:jc w:val="center"/>
              <w:rPr>
                <w:sz w:val="20"/>
                <w:szCs w:val="20"/>
              </w:rPr>
            </w:pPr>
            <w:r w:rsidRPr="006B331A">
              <w:rPr>
                <w:sz w:val="20"/>
                <w:szCs w:val="20"/>
              </w:rPr>
              <w:t>36</w:t>
            </w:r>
          </w:p>
        </w:tc>
        <w:tc>
          <w:tcPr>
            <w:tcW w:w="982" w:type="dxa"/>
            <w:vAlign w:val="center"/>
          </w:tcPr>
          <w:p w:rsidR="00A53BCF" w:rsidRPr="006B331A" w:rsidRDefault="00A53BCF" w:rsidP="00A53BCF">
            <w:pPr>
              <w:jc w:val="center"/>
              <w:rPr>
                <w:sz w:val="20"/>
                <w:szCs w:val="20"/>
              </w:rPr>
            </w:pPr>
            <w:r w:rsidRPr="006B331A">
              <w:rPr>
                <w:sz w:val="20"/>
                <w:szCs w:val="20"/>
              </w:rPr>
              <w:t>-</w:t>
            </w:r>
          </w:p>
        </w:tc>
        <w:tc>
          <w:tcPr>
            <w:tcW w:w="983" w:type="dxa"/>
            <w:vAlign w:val="center"/>
          </w:tcPr>
          <w:p w:rsidR="00A53BCF" w:rsidRPr="006B331A" w:rsidRDefault="00A53BCF" w:rsidP="00A53BCF">
            <w:pPr>
              <w:jc w:val="center"/>
              <w:rPr>
                <w:sz w:val="20"/>
                <w:szCs w:val="20"/>
              </w:rPr>
            </w:pPr>
            <w:r w:rsidRPr="006B331A">
              <w:rPr>
                <w:sz w:val="20"/>
                <w:szCs w:val="20"/>
              </w:rPr>
              <w:t>59</w:t>
            </w:r>
          </w:p>
        </w:tc>
        <w:tc>
          <w:tcPr>
            <w:tcW w:w="985" w:type="dxa"/>
            <w:vAlign w:val="center"/>
          </w:tcPr>
          <w:p w:rsidR="00A53BCF" w:rsidRPr="006B331A" w:rsidRDefault="00A53BCF" w:rsidP="00A53BCF">
            <w:pPr>
              <w:jc w:val="center"/>
              <w:rPr>
                <w:sz w:val="20"/>
                <w:szCs w:val="20"/>
              </w:rPr>
            </w:pPr>
            <w:r w:rsidRPr="006B331A">
              <w:rPr>
                <w:sz w:val="20"/>
                <w:szCs w:val="20"/>
              </w:rPr>
              <w:t>66</w:t>
            </w:r>
          </w:p>
        </w:tc>
        <w:tc>
          <w:tcPr>
            <w:tcW w:w="985" w:type="dxa"/>
            <w:vAlign w:val="center"/>
          </w:tcPr>
          <w:p w:rsidR="00A53BCF" w:rsidRPr="006B331A" w:rsidRDefault="00A53BCF" w:rsidP="00A53BCF">
            <w:pPr>
              <w:jc w:val="center"/>
              <w:rPr>
                <w:sz w:val="20"/>
                <w:szCs w:val="20"/>
              </w:rPr>
            </w:pPr>
            <w:r w:rsidRPr="006B331A">
              <w:rPr>
                <w:sz w:val="20"/>
                <w:szCs w:val="20"/>
              </w:rPr>
              <w:t>72</w:t>
            </w:r>
          </w:p>
        </w:tc>
        <w:tc>
          <w:tcPr>
            <w:tcW w:w="985" w:type="dxa"/>
            <w:vAlign w:val="center"/>
          </w:tcPr>
          <w:p w:rsidR="00A53BCF" w:rsidRPr="006B331A" w:rsidRDefault="00A53BCF" w:rsidP="00A53BCF">
            <w:pPr>
              <w:jc w:val="center"/>
              <w:rPr>
                <w:sz w:val="20"/>
                <w:szCs w:val="20"/>
              </w:rPr>
            </w:pPr>
            <w:r w:rsidRPr="006B331A">
              <w:rPr>
                <w:sz w:val="20"/>
                <w:szCs w:val="20"/>
              </w:rPr>
              <w:t>83</w:t>
            </w:r>
          </w:p>
        </w:tc>
        <w:tc>
          <w:tcPr>
            <w:tcW w:w="985" w:type="dxa"/>
            <w:vAlign w:val="center"/>
          </w:tcPr>
          <w:p w:rsidR="00A53BCF" w:rsidRPr="006B331A" w:rsidRDefault="00A53BCF" w:rsidP="00A53BCF">
            <w:pPr>
              <w:jc w:val="center"/>
              <w:rPr>
                <w:sz w:val="20"/>
                <w:szCs w:val="20"/>
              </w:rPr>
            </w:pPr>
            <w:r w:rsidRPr="006B331A">
              <w:rPr>
                <w:sz w:val="20"/>
                <w:szCs w:val="20"/>
              </w:rPr>
              <w:t>94</w:t>
            </w:r>
          </w:p>
        </w:tc>
        <w:tc>
          <w:tcPr>
            <w:tcW w:w="985" w:type="dxa"/>
            <w:vAlign w:val="center"/>
          </w:tcPr>
          <w:p w:rsidR="00A53BCF" w:rsidRPr="006B331A" w:rsidRDefault="00A53BCF" w:rsidP="00A53BCF">
            <w:pPr>
              <w:jc w:val="center"/>
              <w:rPr>
                <w:sz w:val="20"/>
                <w:szCs w:val="20"/>
              </w:rPr>
            </w:pPr>
            <w:r w:rsidRPr="006B331A">
              <w:rPr>
                <w:sz w:val="20"/>
                <w:szCs w:val="20"/>
              </w:rPr>
              <w:t>95</w:t>
            </w:r>
          </w:p>
        </w:tc>
      </w:tr>
      <w:tr w:rsidR="00A53BCF" w:rsidRPr="006B331A" w:rsidTr="00A53BCF">
        <w:tc>
          <w:tcPr>
            <w:tcW w:w="1416" w:type="dxa"/>
          </w:tcPr>
          <w:p w:rsidR="00A53BCF" w:rsidRPr="006B331A" w:rsidRDefault="00A53BCF" w:rsidP="00A53BCF">
            <w:pPr>
              <w:rPr>
                <w:sz w:val="20"/>
                <w:szCs w:val="20"/>
              </w:rPr>
            </w:pPr>
            <w:r w:rsidRPr="006B331A">
              <w:rPr>
                <w:sz w:val="20"/>
                <w:szCs w:val="20"/>
              </w:rPr>
              <w:t>Stredné Slovensko</w:t>
            </w:r>
          </w:p>
        </w:tc>
        <w:tc>
          <w:tcPr>
            <w:tcW w:w="982" w:type="dxa"/>
            <w:vAlign w:val="center"/>
          </w:tcPr>
          <w:p w:rsidR="00A53BCF" w:rsidRPr="006B331A" w:rsidRDefault="00A53BCF" w:rsidP="00A53BCF">
            <w:pPr>
              <w:jc w:val="center"/>
              <w:rPr>
                <w:sz w:val="20"/>
                <w:szCs w:val="20"/>
              </w:rPr>
            </w:pPr>
            <w:r w:rsidRPr="006B331A">
              <w:rPr>
                <w:sz w:val="20"/>
                <w:szCs w:val="20"/>
              </w:rPr>
              <w:t>47</w:t>
            </w:r>
          </w:p>
        </w:tc>
        <w:tc>
          <w:tcPr>
            <w:tcW w:w="982" w:type="dxa"/>
            <w:vAlign w:val="center"/>
          </w:tcPr>
          <w:p w:rsidR="00A53BCF" w:rsidRPr="006B331A" w:rsidRDefault="00A53BCF" w:rsidP="00A53BCF">
            <w:pPr>
              <w:jc w:val="center"/>
              <w:rPr>
                <w:sz w:val="20"/>
                <w:szCs w:val="20"/>
              </w:rPr>
            </w:pPr>
            <w:r w:rsidRPr="006B331A">
              <w:rPr>
                <w:sz w:val="20"/>
                <w:szCs w:val="20"/>
              </w:rPr>
              <w:t>-</w:t>
            </w:r>
          </w:p>
        </w:tc>
        <w:tc>
          <w:tcPr>
            <w:tcW w:w="983" w:type="dxa"/>
            <w:vAlign w:val="center"/>
          </w:tcPr>
          <w:p w:rsidR="00A53BCF" w:rsidRPr="006B331A" w:rsidRDefault="00A53BCF" w:rsidP="00A53BCF">
            <w:pPr>
              <w:jc w:val="center"/>
              <w:rPr>
                <w:sz w:val="20"/>
                <w:szCs w:val="20"/>
              </w:rPr>
            </w:pPr>
            <w:r w:rsidRPr="006B331A">
              <w:rPr>
                <w:sz w:val="20"/>
                <w:szCs w:val="20"/>
              </w:rPr>
              <w:t>67</w:t>
            </w:r>
          </w:p>
        </w:tc>
        <w:tc>
          <w:tcPr>
            <w:tcW w:w="985" w:type="dxa"/>
            <w:vAlign w:val="center"/>
          </w:tcPr>
          <w:p w:rsidR="00A53BCF" w:rsidRPr="006B331A" w:rsidRDefault="00A53BCF" w:rsidP="00A53BCF">
            <w:pPr>
              <w:jc w:val="center"/>
              <w:rPr>
                <w:sz w:val="20"/>
                <w:szCs w:val="20"/>
              </w:rPr>
            </w:pPr>
            <w:r w:rsidRPr="006B331A">
              <w:rPr>
                <w:sz w:val="20"/>
                <w:szCs w:val="20"/>
              </w:rPr>
              <w:t>67</w:t>
            </w:r>
          </w:p>
        </w:tc>
        <w:tc>
          <w:tcPr>
            <w:tcW w:w="985" w:type="dxa"/>
            <w:vAlign w:val="center"/>
          </w:tcPr>
          <w:p w:rsidR="00A53BCF" w:rsidRPr="006B331A" w:rsidRDefault="00A53BCF" w:rsidP="00A53BCF">
            <w:pPr>
              <w:jc w:val="center"/>
              <w:rPr>
                <w:sz w:val="20"/>
                <w:szCs w:val="20"/>
              </w:rPr>
            </w:pPr>
            <w:r w:rsidRPr="006B331A">
              <w:rPr>
                <w:sz w:val="20"/>
                <w:szCs w:val="20"/>
              </w:rPr>
              <w:t>66</w:t>
            </w:r>
          </w:p>
        </w:tc>
        <w:tc>
          <w:tcPr>
            <w:tcW w:w="985" w:type="dxa"/>
            <w:vAlign w:val="center"/>
          </w:tcPr>
          <w:p w:rsidR="00A53BCF" w:rsidRPr="006B331A" w:rsidRDefault="00A53BCF" w:rsidP="00A53BCF">
            <w:pPr>
              <w:jc w:val="center"/>
              <w:rPr>
                <w:sz w:val="20"/>
                <w:szCs w:val="20"/>
              </w:rPr>
            </w:pPr>
            <w:r w:rsidRPr="006B331A">
              <w:rPr>
                <w:sz w:val="20"/>
                <w:szCs w:val="20"/>
              </w:rPr>
              <w:t>72</w:t>
            </w:r>
          </w:p>
        </w:tc>
        <w:tc>
          <w:tcPr>
            <w:tcW w:w="985" w:type="dxa"/>
            <w:vAlign w:val="center"/>
          </w:tcPr>
          <w:p w:rsidR="00A53BCF" w:rsidRPr="006B331A" w:rsidRDefault="00A53BCF" w:rsidP="00A53BCF">
            <w:pPr>
              <w:jc w:val="center"/>
              <w:rPr>
                <w:sz w:val="20"/>
                <w:szCs w:val="20"/>
              </w:rPr>
            </w:pPr>
            <w:r w:rsidRPr="006B331A">
              <w:rPr>
                <w:sz w:val="20"/>
                <w:szCs w:val="20"/>
              </w:rPr>
              <w:t>95</w:t>
            </w:r>
          </w:p>
        </w:tc>
        <w:tc>
          <w:tcPr>
            <w:tcW w:w="985" w:type="dxa"/>
            <w:vAlign w:val="center"/>
          </w:tcPr>
          <w:p w:rsidR="00A53BCF" w:rsidRPr="006B331A" w:rsidRDefault="00A53BCF" w:rsidP="00A53BCF">
            <w:pPr>
              <w:jc w:val="center"/>
              <w:rPr>
                <w:sz w:val="20"/>
                <w:szCs w:val="20"/>
              </w:rPr>
            </w:pPr>
            <w:r w:rsidRPr="006B331A">
              <w:rPr>
                <w:sz w:val="20"/>
                <w:szCs w:val="20"/>
              </w:rPr>
              <w:t>85</w:t>
            </w:r>
          </w:p>
        </w:tc>
      </w:tr>
      <w:tr w:rsidR="00A53BCF" w:rsidRPr="006B331A" w:rsidTr="00A53BCF">
        <w:tc>
          <w:tcPr>
            <w:tcW w:w="1416" w:type="dxa"/>
          </w:tcPr>
          <w:p w:rsidR="00A53BCF" w:rsidRPr="006B331A" w:rsidRDefault="00A53BCF" w:rsidP="00A53BCF">
            <w:pPr>
              <w:rPr>
                <w:sz w:val="20"/>
                <w:szCs w:val="20"/>
              </w:rPr>
            </w:pPr>
            <w:r w:rsidRPr="006B331A">
              <w:rPr>
                <w:sz w:val="20"/>
                <w:szCs w:val="20"/>
              </w:rPr>
              <w:t>Východné Slovensko</w:t>
            </w:r>
          </w:p>
        </w:tc>
        <w:tc>
          <w:tcPr>
            <w:tcW w:w="982" w:type="dxa"/>
            <w:vAlign w:val="center"/>
          </w:tcPr>
          <w:p w:rsidR="00A53BCF" w:rsidRPr="006B331A" w:rsidRDefault="00A53BCF" w:rsidP="00A53BCF">
            <w:pPr>
              <w:jc w:val="center"/>
              <w:rPr>
                <w:sz w:val="20"/>
                <w:szCs w:val="20"/>
              </w:rPr>
            </w:pPr>
            <w:r w:rsidRPr="006B331A">
              <w:rPr>
                <w:sz w:val="20"/>
                <w:szCs w:val="20"/>
              </w:rPr>
              <w:t>48</w:t>
            </w:r>
          </w:p>
        </w:tc>
        <w:tc>
          <w:tcPr>
            <w:tcW w:w="982" w:type="dxa"/>
            <w:vAlign w:val="center"/>
          </w:tcPr>
          <w:p w:rsidR="00A53BCF" w:rsidRPr="006B331A" w:rsidRDefault="00A53BCF" w:rsidP="00A53BCF">
            <w:pPr>
              <w:jc w:val="center"/>
              <w:rPr>
                <w:sz w:val="20"/>
                <w:szCs w:val="20"/>
              </w:rPr>
            </w:pPr>
            <w:r w:rsidRPr="006B331A">
              <w:rPr>
                <w:sz w:val="20"/>
                <w:szCs w:val="20"/>
              </w:rPr>
              <w:t>-</w:t>
            </w:r>
          </w:p>
        </w:tc>
        <w:tc>
          <w:tcPr>
            <w:tcW w:w="983" w:type="dxa"/>
            <w:vAlign w:val="center"/>
          </w:tcPr>
          <w:p w:rsidR="00A53BCF" w:rsidRPr="006B331A" w:rsidRDefault="00A53BCF" w:rsidP="00A53BCF">
            <w:pPr>
              <w:jc w:val="center"/>
              <w:rPr>
                <w:sz w:val="20"/>
                <w:szCs w:val="20"/>
              </w:rPr>
            </w:pPr>
            <w:r w:rsidRPr="006B331A">
              <w:rPr>
                <w:sz w:val="20"/>
                <w:szCs w:val="20"/>
              </w:rPr>
              <w:t>56</w:t>
            </w:r>
          </w:p>
        </w:tc>
        <w:tc>
          <w:tcPr>
            <w:tcW w:w="985" w:type="dxa"/>
            <w:vAlign w:val="center"/>
          </w:tcPr>
          <w:p w:rsidR="00A53BCF" w:rsidRPr="006B331A" w:rsidRDefault="00A53BCF" w:rsidP="00A53BCF">
            <w:pPr>
              <w:jc w:val="center"/>
              <w:rPr>
                <w:sz w:val="20"/>
                <w:szCs w:val="20"/>
              </w:rPr>
            </w:pPr>
            <w:r w:rsidRPr="006B331A">
              <w:rPr>
                <w:sz w:val="20"/>
                <w:szCs w:val="20"/>
              </w:rPr>
              <w:t>73</w:t>
            </w:r>
          </w:p>
        </w:tc>
        <w:tc>
          <w:tcPr>
            <w:tcW w:w="985" w:type="dxa"/>
            <w:vAlign w:val="center"/>
          </w:tcPr>
          <w:p w:rsidR="00A53BCF" w:rsidRPr="006B331A" w:rsidRDefault="00A53BCF" w:rsidP="00A53BCF">
            <w:pPr>
              <w:jc w:val="center"/>
              <w:rPr>
                <w:sz w:val="20"/>
                <w:szCs w:val="20"/>
              </w:rPr>
            </w:pPr>
            <w:r w:rsidRPr="006B331A">
              <w:rPr>
                <w:sz w:val="20"/>
                <w:szCs w:val="20"/>
              </w:rPr>
              <w:t>80</w:t>
            </w:r>
          </w:p>
        </w:tc>
        <w:tc>
          <w:tcPr>
            <w:tcW w:w="985" w:type="dxa"/>
            <w:vAlign w:val="center"/>
          </w:tcPr>
          <w:p w:rsidR="00A53BCF" w:rsidRPr="006B331A" w:rsidRDefault="00A53BCF" w:rsidP="00A53BCF">
            <w:pPr>
              <w:jc w:val="center"/>
              <w:rPr>
                <w:sz w:val="20"/>
                <w:szCs w:val="20"/>
              </w:rPr>
            </w:pPr>
            <w:r w:rsidRPr="006B331A">
              <w:rPr>
                <w:sz w:val="20"/>
                <w:szCs w:val="20"/>
              </w:rPr>
              <w:t>78</w:t>
            </w:r>
          </w:p>
        </w:tc>
        <w:tc>
          <w:tcPr>
            <w:tcW w:w="985" w:type="dxa"/>
            <w:vAlign w:val="center"/>
          </w:tcPr>
          <w:p w:rsidR="00A53BCF" w:rsidRPr="006B331A" w:rsidRDefault="00A53BCF" w:rsidP="00A53BCF">
            <w:pPr>
              <w:jc w:val="center"/>
              <w:rPr>
                <w:sz w:val="20"/>
                <w:szCs w:val="20"/>
              </w:rPr>
            </w:pPr>
            <w:r w:rsidRPr="006B331A">
              <w:rPr>
                <w:sz w:val="20"/>
                <w:szCs w:val="20"/>
              </w:rPr>
              <w:t>98</w:t>
            </w:r>
          </w:p>
        </w:tc>
        <w:tc>
          <w:tcPr>
            <w:tcW w:w="985" w:type="dxa"/>
            <w:vAlign w:val="center"/>
          </w:tcPr>
          <w:p w:rsidR="00A53BCF" w:rsidRPr="006B331A" w:rsidRDefault="00A53BCF" w:rsidP="00A53BCF">
            <w:pPr>
              <w:jc w:val="center"/>
              <w:rPr>
                <w:sz w:val="20"/>
                <w:szCs w:val="20"/>
              </w:rPr>
            </w:pPr>
            <w:r w:rsidRPr="006B331A">
              <w:rPr>
                <w:sz w:val="20"/>
                <w:szCs w:val="20"/>
              </w:rPr>
              <w:t>90</w:t>
            </w:r>
          </w:p>
        </w:tc>
      </w:tr>
    </w:tbl>
    <w:p w:rsidR="00A53BCF" w:rsidRPr="006B331A" w:rsidRDefault="00A53BCF" w:rsidP="00A53BCF">
      <w:pPr>
        <w:rPr>
          <w:color w:val="000000"/>
          <w:sz w:val="20"/>
          <w:szCs w:val="20"/>
        </w:rPr>
      </w:pPr>
      <w:r w:rsidRPr="006B331A">
        <w:rPr>
          <w:color w:val="000000"/>
          <w:sz w:val="20"/>
          <w:szCs w:val="20"/>
        </w:rPr>
        <w:t>Zdroj: Eurostat</w:t>
      </w:r>
    </w:p>
    <w:p w:rsidR="00E820E4" w:rsidRDefault="00E820E4" w:rsidP="00A53BCF">
      <w:pPr>
        <w:spacing w:after="120"/>
        <w:rPr>
          <w:rFonts w:ascii="Calibri" w:hAnsi="Calibri"/>
          <w:szCs w:val="22"/>
        </w:rPr>
      </w:pPr>
    </w:p>
    <w:p w:rsidR="00A53BCF" w:rsidRPr="00E43137" w:rsidRDefault="00A53BCF" w:rsidP="00A53BCF">
      <w:pPr>
        <w:spacing w:after="120"/>
        <w:rPr>
          <w:rFonts w:ascii="Calibri" w:hAnsi="Calibri"/>
          <w:szCs w:val="22"/>
        </w:rPr>
      </w:pPr>
      <w:r w:rsidRPr="00E43137">
        <w:rPr>
          <w:rFonts w:ascii="Calibri" w:hAnsi="Calibri"/>
          <w:szCs w:val="22"/>
        </w:rPr>
        <w:t>Širokopásmový internet patrí podľa Národnej stratégie pre širokopásmový prístup v SR k najefektívnejším nástrojom podpory ekonomickej a spoločenskej konkurencieschopnosti. Silná potreba širokopásmového pokrytia vo vidieckych regiónoch je v určitých obciach (optika, stožiare a i.) a v riedko osídlených oblastiach – kopanice, lazy a i. (bezdrôtové pokrytie), kde nie je a nebude vybudované iné pripojenie. Podpora IKT umožňuje zvýšiť inteligenciu sietí, asistovať starším ľuďom, zlepšovať bezpečnosť, šetriť energiu, skvalitniť podnikateľské prostredie.</w:t>
      </w:r>
    </w:p>
    <w:p w:rsidR="00A53BCF" w:rsidRDefault="00A53BCF" w:rsidP="00A53BCF">
      <w:pPr>
        <w:rPr>
          <w:rFonts w:ascii="Calibri" w:hAnsi="Calibri"/>
          <w:szCs w:val="22"/>
        </w:rPr>
      </w:pPr>
      <w:r w:rsidRPr="004B6DCB">
        <w:rPr>
          <w:rFonts w:cs="Calibri"/>
          <w:szCs w:val="22"/>
        </w:rPr>
        <w:t>V rámci návrhu Operačného programu Integrovaná infraštruktúra 2014 - 2020 (Bratislava: MDVRR SR, MF SR, marec 2014</w:t>
      </w:r>
      <w:r>
        <w:rPr>
          <w:rFonts w:cs="Calibri"/>
          <w:szCs w:val="22"/>
        </w:rPr>
        <w:t>; skrátene „OPII“</w:t>
      </w:r>
      <w:r w:rsidRPr="004B6DCB">
        <w:rPr>
          <w:rFonts w:cs="Calibri"/>
          <w:szCs w:val="22"/>
        </w:rPr>
        <w:t xml:space="preserve">), širokopásmový internet je riešený v prioritnej osi 7 Informačná spoločnosť, Investičná priorita 2a) Rozšírenie širokopásmového pripojenia a zavádzanie vysokorýchlostných sietí a podpora zavádzania nastupujúcich technológií a sietí pre digitálne hospodárstvo. </w:t>
      </w:r>
      <w:r w:rsidRPr="00E43137">
        <w:rPr>
          <w:rFonts w:ascii="Calibri" w:hAnsi="Calibri"/>
          <w:szCs w:val="22"/>
        </w:rPr>
        <w:t>OPII podporí realizáciu budovania širokopásmového pripojenia a zavádzanie sietí nových generácií. Pri riešení bielych miest širokopásmovým internetom o minimálnej rýchlosti 30 Mbit/s sa zameria na výstavbu národných regionálnych sietí a budovanie prístupových sietí prostredníctvom dopytových projektov v oblastiach zlyhania trhu. OPII tiež zabezpečí príslušné analytické práce a koordináciu výstavby sietí. PRV bude realizovať dopytové projekty pre budovanie prístupových sietí v jednotlivých obciach (do 500 obyvateľov), ktoré spadajú do bielych miest.</w:t>
      </w:r>
    </w:p>
    <w:p w:rsidR="00A53BCF" w:rsidRPr="00E43137" w:rsidRDefault="00A53BCF" w:rsidP="00A53BCF">
      <w:pPr>
        <w:rPr>
          <w:rFonts w:ascii="Calibri" w:hAnsi="Calibri"/>
          <w:szCs w:val="22"/>
        </w:rPr>
      </w:pPr>
    </w:p>
    <w:p w:rsidR="00E43137" w:rsidRPr="00E43137" w:rsidRDefault="00E43137" w:rsidP="008676F9">
      <w:pPr>
        <w:suppressAutoHyphens/>
        <w:autoSpaceDN w:val="0"/>
        <w:textAlignment w:val="baseline"/>
        <w:rPr>
          <w:rFonts w:ascii="Calibri" w:hAnsi="Calibri"/>
          <w:szCs w:val="22"/>
        </w:rPr>
      </w:pPr>
      <w:r w:rsidRPr="00E43137">
        <w:rPr>
          <w:rFonts w:ascii="Calibri" w:hAnsi="Calibri"/>
          <w:szCs w:val="22"/>
        </w:rPr>
        <w:t xml:space="preserve">Na vidieku je veľký potenciál pracovnej sily spolu s prírodným a kultúrnym dedičstvom, čím vznikajú široké možnosti pre rozvoj vidieka. Preto treba vo vidieckych oblastiach zachovať a zabezpečiť kontinuitu realizovaných a podporovaných aktivít cez prístup LEADER. </w:t>
      </w:r>
    </w:p>
    <w:p w:rsidR="00E43137" w:rsidRPr="00E43137" w:rsidRDefault="00E43137" w:rsidP="008676F9">
      <w:pPr>
        <w:suppressAutoHyphens/>
        <w:autoSpaceDN w:val="0"/>
        <w:textAlignment w:val="baseline"/>
        <w:rPr>
          <w:rFonts w:ascii="Calibri" w:hAnsi="Calibri"/>
          <w:szCs w:val="22"/>
        </w:rPr>
      </w:pPr>
    </w:p>
    <w:p w:rsidR="00242C36" w:rsidRPr="00E43137" w:rsidRDefault="00242C36" w:rsidP="00242C36">
      <w:pPr>
        <w:spacing w:after="120"/>
        <w:rPr>
          <w:rFonts w:ascii="Calibri" w:hAnsi="Calibri"/>
          <w:iCs/>
          <w:szCs w:val="22"/>
          <w:lang w:eastAsia="en-US"/>
        </w:rPr>
      </w:pPr>
      <w:r w:rsidRPr="00E43137">
        <w:rPr>
          <w:rFonts w:ascii="Calibri" w:hAnsi="Calibri"/>
          <w:b/>
          <w:bCs/>
          <w:szCs w:val="22"/>
          <w:u w:val="single"/>
        </w:rPr>
        <w:t>LEADER</w:t>
      </w:r>
      <w:r w:rsidRPr="00E43137">
        <w:rPr>
          <w:rFonts w:ascii="Calibri" w:hAnsi="Calibri"/>
          <w:szCs w:val="22"/>
        </w:rPr>
        <w:t xml:space="preserve"> vychádza z endogénneho potenciálu konkrétneho územia, ktorý významne motivuje a spája ľudský kapitál. Potvrdzuje sa to aj v podmienkach slovenského vidieka, kde v rámci podpôr súčasného PRV prináša prvé plody práce, na ktoré treba nadviazať. Uplatnenie princípu „zdola -nahor“ (LEADER) je mimoriadne dôležité aj v oblasti rozvoja obcí, pri ktorom sa dosahuje cielenosť a efektívnosť podpory potrebná v danej lokalite pre rozvoj územia.</w:t>
      </w:r>
    </w:p>
    <w:p w:rsidR="00242C36" w:rsidRPr="00E43137" w:rsidRDefault="00242C36" w:rsidP="00242C36">
      <w:pPr>
        <w:suppressAutoHyphens/>
        <w:autoSpaceDN w:val="0"/>
        <w:textAlignment w:val="baseline"/>
        <w:rPr>
          <w:rFonts w:ascii="Calibri" w:hAnsi="Calibri"/>
          <w:szCs w:val="22"/>
        </w:rPr>
      </w:pPr>
      <w:r w:rsidRPr="00E43137">
        <w:rPr>
          <w:rFonts w:ascii="Calibri" w:hAnsi="Calibri"/>
          <w:szCs w:val="22"/>
        </w:rPr>
        <w:t xml:space="preserve">V rámci Programu rozvoja vidieka SR 2007– 2013, prístupu LEADER pokračuje implementácia  </w:t>
      </w:r>
      <w:r w:rsidRPr="00E43137">
        <w:rPr>
          <w:rFonts w:ascii="Calibri" w:hAnsi="Calibri"/>
          <w:b/>
          <w:bCs/>
          <w:i/>
          <w:iCs/>
          <w:szCs w:val="22"/>
        </w:rPr>
        <w:t>integrovaných stratégií rozvoja územia</w:t>
      </w:r>
      <w:r w:rsidRPr="00E43137">
        <w:rPr>
          <w:rFonts w:ascii="Calibri" w:hAnsi="Calibri"/>
          <w:b/>
          <w:bCs/>
          <w:szCs w:val="22"/>
        </w:rPr>
        <w:t xml:space="preserve"> (ISRÚ)</w:t>
      </w:r>
      <w:r>
        <w:rPr>
          <w:rFonts w:ascii="Calibri" w:hAnsi="Calibri"/>
          <w:b/>
          <w:bCs/>
          <w:szCs w:val="22"/>
        </w:rPr>
        <w:t xml:space="preserve">. </w:t>
      </w:r>
      <w:r>
        <w:rPr>
          <w:rFonts w:ascii="Calibri" w:hAnsi="Calibri"/>
          <w:szCs w:val="22"/>
        </w:rPr>
        <w:t>M</w:t>
      </w:r>
      <w:r w:rsidRPr="00E43137">
        <w:rPr>
          <w:rFonts w:ascii="Calibri" w:hAnsi="Calibri"/>
          <w:szCs w:val="22"/>
        </w:rPr>
        <w:t>iestne akčné skupiny (MAS) pre svojich beneficientov z územia MAS</w:t>
      </w:r>
      <w:r w:rsidRPr="004D61D0">
        <w:rPr>
          <w:bCs/>
          <w:szCs w:val="22"/>
        </w:rPr>
        <w:t xml:space="preserve"> </w:t>
      </w:r>
      <w:r w:rsidRPr="00E43137">
        <w:rPr>
          <w:rFonts w:ascii="Calibri" w:hAnsi="Calibri"/>
          <w:szCs w:val="22"/>
        </w:rPr>
        <w:t>vyhlasujú</w:t>
      </w:r>
      <w:r w:rsidRPr="004D61D0">
        <w:rPr>
          <w:bCs/>
          <w:szCs w:val="22"/>
        </w:rPr>
        <w:t xml:space="preserve"> </w:t>
      </w:r>
      <w:r>
        <w:rPr>
          <w:bCs/>
          <w:szCs w:val="22"/>
        </w:rPr>
        <w:t>v</w:t>
      </w:r>
      <w:r w:rsidRPr="004D61D0">
        <w:rPr>
          <w:szCs w:val="22"/>
        </w:rPr>
        <w:t>ýzvy na implementáciu projektov v zmysle opatrení zadefinovaných v ISRÚ</w:t>
      </w:r>
      <w:r w:rsidRPr="00E43137">
        <w:rPr>
          <w:rFonts w:ascii="Calibri" w:hAnsi="Calibri"/>
          <w:szCs w:val="22"/>
        </w:rPr>
        <w:t xml:space="preserve">. </w:t>
      </w:r>
      <w:r>
        <w:rPr>
          <w:rFonts w:ascii="Calibri" w:hAnsi="Calibri"/>
          <w:szCs w:val="22"/>
        </w:rPr>
        <w:t xml:space="preserve">Počet fungujúcich MAS v SR je 29 (r. 2012, PSCI 15). </w:t>
      </w:r>
      <w:r w:rsidRPr="00E43137">
        <w:rPr>
          <w:rFonts w:ascii="Calibri" w:hAnsi="Calibri"/>
          <w:szCs w:val="22"/>
        </w:rPr>
        <w:t>Z priebehu implementácie vyplýva, že väčšina obcí chce realizovať projekty, ktoré majú viaceré ciele a zasahujú viaceré sféry aktivít a života obce.</w:t>
      </w:r>
    </w:p>
    <w:p w:rsidR="00242C36" w:rsidRPr="00E43137" w:rsidRDefault="00242C36" w:rsidP="00242C36">
      <w:pPr>
        <w:rPr>
          <w:rFonts w:ascii="Calibri" w:hAnsi="Calibri"/>
          <w:szCs w:val="22"/>
        </w:rPr>
      </w:pPr>
    </w:p>
    <w:p w:rsidR="00242C36" w:rsidRDefault="00242C36" w:rsidP="00317BFF">
      <w:pPr>
        <w:numPr>
          <w:ilvl w:val="0"/>
          <w:numId w:val="6"/>
        </w:numPr>
        <w:suppressAutoHyphens/>
        <w:autoSpaceDN w:val="0"/>
        <w:ind w:left="284" w:hanging="284"/>
        <w:textAlignment w:val="baseline"/>
        <w:rPr>
          <w:rFonts w:ascii="Calibri" w:hAnsi="Calibri"/>
          <w:szCs w:val="22"/>
        </w:rPr>
      </w:pPr>
      <w:r w:rsidRPr="00E43137">
        <w:rPr>
          <w:rFonts w:ascii="Calibri" w:hAnsi="Calibri"/>
          <w:szCs w:val="22"/>
        </w:rPr>
        <w:t xml:space="preserve">Výsledky projektov financovaných prostredníctvom osi 4 by </w:t>
      </w:r>
      <w:r>
        <w:rPr>
          <w:rFonts w:ascii="Calibri" w:hAnsi="Calibri"/>
          <w:szCs w:val="22"/>
        </w:rPr>
        <w:t xml:space="preserve">mali </w:t>
      </w:r>
      <w:r w:rsidRPr="00E43137">
        <w:rPr>
          <w:rFonts w:ascii="Calibri" w:hAnsi="Calibri"/>
          <w:szCs w:val="22"/>
        </w:rPr>
        <w:t xml:space="preserve">mať rovnaký prínos ako u projektov podporených priamo z osi 3. </w:t>
      </w:r>
    </w:p>
    <w:p w:rsidR="00242C36" w:rsidRPr="00262C98" w:rsidRDefault="00242C36" w:rsidP="00242C36">
      <w:pPr>
        <w:suppressAutoHyphens/>
        <w:autoSpaceDN w:val="0"/>
        <w:ind w:left="284"/>
        <w:textAlignment w:val="baseline"/>
        <w:rPr>
          <w:rFonts w:ascii="Calibri" w:hAnsi="Calibri"/>
          <w:szCs w:val="22"/>
        </w:rPr>
      </w:pPr>
      <w:r w:rsidRPr="00E43137">
        <w:rPr>
          <w:rFonts w:ascii="Calibri" w:hAnsi="Calibri"/>
          <w:szCs w:val="22"/>
        </w:rPr>
        <w:t>Podľa údajov MPRV</w:t>
      </w:r>
      <w:r>
        <w:rPr>
          <w:rFonts w:ascii="Calibri" w:hAnsi="Calibri"/>
          <w:szCs w:val="22"/>
        </w:rPr>
        <w:t>  </w:t>
      </w:r>
      <w:r w:rsidRPr="00E43137">
        <w:rPr>
          <w:rFonts w:ascii="Calibri" w:hAnsi="Calibri"/>
          <w:szCs w:val="22"/>
        </w:rPr>
        <w:t>SR a PPA prostredníctvom osi 4</w:t>
      </w:r>
      <w:r>
        <w:rPr>
          <w:rFonts w:ascii="Calibri" w:hAnsi="Calibri"/>
          <w:szCs w:val="22"/>
        </w:rPr>
        <w:t xml:space="preserve"> </w:t>
      </w:r>
      <w:r w:rsidRPr="00E43137">
        <w:rPr>
          <w:rFonts w:ascii="Calibri" w:hAnsi="Calibri"/>
          <w:szCs w:val="22"/>
        </w:rPr>
        <w:t>Prístup</w:t>
      </w:r>
      <w:r>
        <w:rPr>
          <w:rFonts w:ascii="Calibri" w:hAnsi="Calibri"/>
          <w:szCs w:val="22"/>
        </w:rPr>
        <w:t xml:space="preserve"> </w:t>
      </w:r>
      <w:r w:rsidRPr="00E43137">
        <w:rPr>
          <w:rFonts w:ascii="Calibri" w:hAnsi="Calibri"/>
          <w:szCs w:val="22"/>
        </w:rPr>
        <w:t>LEADER</w:t>
      </w:r>
      <w:r>
        <w:rPr>
          <w:rFonts w:ascii="Calibri" w:hAnsi="Calibri"/>
          <w:szCs w:val="22"/>
        </w:rPr>
        <w:t xml:space="preserve"> celkovo </w:t>
      </w:r>
      <w:r w:rsidRPr="007F22F0">
        <w:rPr>
          <w:rFonts w:ascii="Calibri" w:hAnsi="Calibri"/>
          <w:szCs w:val="22"/>
        </w:rPr>
        <w:t>bolo v PRV SR 2007 – 2013 podporených a zároveň aj do konca roku 2012 ukončených 293 projektov.</w:t>
      </w:r>
      <w:r>
        <w:rPr>
          <w:rFonts w:ascii="Calibri" w:hAnsi="Calibri"/>
          <w:szCs w:val="22"/>
        </w:rPr>
        <w:t xml:space="preserve"> </w:t>
      </w:r>
      <w:r>
        <w:rPr>
          <w:szCs w:val="22"/>
        </w:rPr>
        <w:t>N</w:t>
      </w:r>
      <w:r w:rsidRPr="00F00370">
        <w:rPr>
          <w:szCs w:val="22"/>
        </w:rPr>
        <w:t xml:space="preserve">ajviac projektov (206) </w:t>
      </w:r>
      <w:r>
        <w:rPr>
          <w:szCs w:val="22"/>
        </w:rPr>
        <w:t xml:space="preserve">bolo </w:t>
      </w:r>
      <w:r w:rsidRPr="00F00370">
        <w:rPr>
          <w:szCs w:val="22"/>
        </w:rPr>
        <w:t>implementovaných cez op. 321</w:t>
      </w:r>
      <w:r>
        <w:rPr>
          <w:szCs w:val="22"/>
        </w:rPr>
        <w:t xml:space="preserve"> Základné služby pre vidiecke obyvateľstvo</w:t>
      </w:r>
      <w:r w:rsidRPr="00F00370">
        <w:rPr>
          <w:szCs w:val="22"/>
        </w:rPr>
        <w:t>, 81 projektov cez op. 322</w:t>
      </w:r>
      <w:r>
        <w:rPr>
          <w:szCs w:val="22"/>
        </w:rPr>
        <w:t xml:space="preserve"> Obnova a rozvoj obcí</w:t>
      </w:r>
      <w:r w:rsidRPr="00F00370">
        <w:rPr>
          <w:szCs w:val="22"/>
        </w:rPr>
        <w:t xml:space="preserve">, 5 projektov cez op. 313 </w:t>
      </w:r>
      <w:r>
        <w:rPr>
          <w:szCs w:val="22"/>
        </w:rPr>
        <w:t xml:space="preserve">Podpora činností v oblasti cestovného ruchu </w:t>
      </w:r>
      <w:r w:rsidRPr="00F00370">
        <w:rPr>
          <w:szCs w:val="22"/>
        </w:rPr>
        <w:t>a </w:t>
      </w:r>
      <w:r>
        <w:rPr>
          <w:szCs w:val="22"/>
        </w:rPr>
        <w:t>jeden</w:t>
      </w:r>
      <w:r w:rsidRPr="00F00370">
        <w:rPr>
          <w:szCs w:val="22"/>
        </w:rPr>
        <w:t xml:space="preserve"> projekt cez op. 331</w:t>
      </w:r>
      <w:r>
        <w:rPr>
          <w:szCs w:val="22"/>
        </w:rPr>
        <w:t xml:space="preserve"> Vzdelávanie a informovanie</w:t>
      </w:r>
      <w:r w:rsidRPr="00F00370">
        <w:rPr>
          <w:szCs w:val="22"/>
        </w:rPr>
        <w:t>. Z počtu príjemcov 263, ktorí sú zatriedení podľa opatrení, bolo 257 z verejného sektora, 4 právnické osoby a 2 fyzické osoby. Cieľový ukazovateľ výstupu „počet príjemcov“ bol prekročený (105,2%) a ukazovateľ výstupu „počet projektov financovaných miestnymi akčnými skupinami“ je plnený na 58,6%</w:t>
      </w:r>
      <w:r>
        <w:rPr>
          <w:szCs w:val="22"/>
        </w:rPr>
        <w:t xml:space="preserve"> (VS o pokroku k PRV SR 2007-2013 za rok 2012 – spracované podľa údajov PPA)</w:t>
      </w:r>
      <w:r w:rsidRPr="00F00370">
        <w:rPr>
          <w:szCs w:val="22"/>
        </w:rPr>
        <w:t xml:space="preserve">. </w:t>
      </w:r>
    </w:p>
    <w:p w:rsidR="00242C36" w:rsidRDefault="00242C36" w:rsidP="00242C36">
      <w:pPr>
        <w:suppressAutoHyphens/>
        <w:autoSpaceDN w:val="0"/>
        <w:ind w:left="284"/>
        <w:textAlignment w:val="baseline"/>
        <w:rPr>
          <w:rFonts w:ascii="Calibri" w:hAnsi="Calibri"/>
          <w:szCs w:val="22"/>
        </w:rPr>
      </w:pPr>
      <w:r w:rsidRPr="007F22F0">
        <w:rPr>
          <w:rFonts w:ascii="Calibri" w:hAnsi="Calibri"/>
          <w:szCs w:val="22"/>
        </w:rPr>
        <w:t xml:space="preserve"> </w:t>
      </w:r>
      <w:r>
        <w:rPr>
          <w:rFonts w:ascii="Calibri" w:hAnsi="Calibri"/>
          <w:szCs w:val="22"/>
        </w:rPr>
        <w:t>Cez prístup LEADER z </w:t>
      </w:r>
      <w:r w:rsidRPr="007F22F0">
        <w:rPr>
          <w:rFonts w:ascii="Calibri" w:hAnsi="Calibri"/>
          <w:szCs w:val="22"/>
        </w:rPr>
        <w:t>opatren</w:t>
      </w:r>
      <w:r>
        <w:rPr>
          <w:rFonts w:ascii="Calibri" w:hAnsi="Calibri"/>
          <w:szCs w:val="22"/>
        </w:rPr>
        <w:t>í osi 3</w:t>
      </w:r>
      <w:r w:rsidRPr="007F22F0">
        <w:rPr>
          <w:rFonts w:ascii="Calibri" w:hAnsi="Calibri"/>
          <w:szCs w:val="22"/>
        </w:rPr>
        <w:t xml:space="preserve"> </w:t>
      </w:r>
      <w:r>
        <w:rPr>
          <w:rFonts w:ascii="Calibri" w:hAnsi="Calibri"/>
          <w:szCs w:val="22"/>
        </w:rPr>
        <w:t xml:space="preserve">– z opatrenia </w:t>
      </w:r>
      <w:r w:rsidRPr="007F22F0">
        <w:rPr>
          <w:rFonts w:ascii="Calibri" w:hAnsi="Calibri"/>
          <w:szCs w:val="22"/>
        </w:rPr>
        <w:t>Základné služby pre vidiecke obyvateľstvo bolo v doterajšom priebehu podporených 182 obcí a z opatrenia Obnova a rozvoj obcí bolo</w:t>
      </w:r>
      <w:r w:rsidRPr="007F22F0">
        <w:rPr>
          <w:rFonts w:ascii="Calibri" w:hAnsi="Calibri"/>
          <w:szCs w:val="22"/>
        </w:rPr>
        <w:lastRenderedPageBreak/>
        <w:t xml:space="preserve"> podporených 75 obcí. Z</w:t>
      </w:r>
      <w:r>
        <w:rPr>
          <w:rFonts w:ascii="Calibri" w:hAnsi="Calibri"/>
          <w:szCs w:val="22"/>
        </w:rPr>
        <w:t> </w:t>
      </w:r>
      <w:r w:rsidRPr="007F22F0">
        <w:rPr>
          <w:rFonts w:ascii="Calibri" w:hAnsi="Calibri"/>
          <w:szCs w:val="22"/>
        </w:rPr>
        <w:t>dotovaných aktivít bola jedna aktivita orientovaná na nízko kapacitné ubytovanie a tri aktivity na marketing cestovného ruchu v mikroregiónoch.</w:t>
      </w:r>
      <w:r>
        <w:rPr>
          <w:rFonts w:ascii="Calibri" w:hAnsi="Calibri"/>
          <w:szCs w:val="22"/>
        </w:rPr>
        <w:t xml:space="preserve"> </w:t>
      </w:r>
      <w:r w:rsidRPr="007F22F0">
        <w:rPr>
          <w:rFonts w:ascii="Calibri" w:hAnsi="Calibri"/>
          <w:szCs w:val="22"/>
        </w:rPr>
        <w:t>MAS si stanovujú ciele vrátane špecifických ukazovateľov vo svojich stratégiách rozvoja územia.</w:t>
      </w:r>
      <w:r>
        <w:rPr>
          <w:rFonts w:ascii="Calibri" w:hAnsi="Calibri"/>
          <w:szCs w:val="22"/>
        </w:rPr>
        <w:t xml:space="preserve"> </w:t>
      </w:r>
    </w:p>
    <w:p w:rsidR="00242C36" w:rsidRPr="007F22F0" w:rsidRDefault="00242C36" w:rsidP="00242C36">
      <w:pPr>
        <w:suppressAutoHyphens/>
        <w:autoSpaceDN w:val="0"/>
        <w:ind w:left="284"/>
        <w:textAlignment w:val="baseline"/>
        <w:rPr>
          <w:rFonts w:ascii="Calibri" w:hAnsi="Calibri"/>
          <w:szCs w:val="22"/>
        </w:rPr>
      </w:pPr>
      <w:r>
        <w:rPr>
          <w:rFonts w:ascii="Calibri" w:hAnsi="Calibri"/>
          <w:szCs w:val="22"/>
        </w:rPr>
        <w:t>Prehľad aktivít (výsledkov) k 31. 12. 2013 (PPA) v rámci ukončených projektov realizovaných pri opatreniach Základné služby pre vidiecke obyvateľstvo a Obnova a rozvoj obcí realizovaných cez os 3 a cez os 4 LEADER obsahujú tabuľky uvedené vyššie v časti „Obce“.</w:t>
      </w:r>
    </w:p>
    <w:p w:rsidR="00242C36" w:rsidRPr="00E43137" w:rsidRDefault="00242C36" w:rsidP="00242C36">
      <w:pPr>
        <w:rPr>
          <w:rFonts w:ascii="Calibri" w:hAnsi="Calibri"/>
          <w:szCs w:val="22"/>
        </w:rPr>
      </w:pPr>
      <w:r>
        <w:rPr>
          <w:rFonts w:ascii="Calibri" w:hAnsi="Calibri"/>
          <w:szCs w:val="22"/>
        </w:rPr>
        <w:tab/>
      </w:r>
    </w:p>
    <w:p w:rsidR="00242C36" w:rsidRPr="00E43137" w:rsidRDefault="00242C36" w:rsidP="00317BFF">
      <w:pPr>
        <w:numPr>
          <w:ilvl w:val="0"/>
          <w:numId w:val="6"/>
        </w:numPr>
        <w:suppressAutoHyphens/>
        <w:autoSpaceDN w:val="0"/>
        <w:ind w:left="284" w:hanging="284"/>
        <w:textAlignment w:val="baseline"/>
        <w:rPr>
          <w:rFonts w:ascii="Calibri" w:hAnsi="Calibri"/>
          <w:szCs w:val="22"/>
        </w:rPr>
      </w:pPr>
      <w:r w:rsidRPr="00E43137">
        <w:rPr>
          <w:rFonts w:ascii="Calibri" w:hAnsi="Calibri"/>
          <w:szCs w:val="22"/>
        </w:rPr>
        <w:t xml:space="preserve">Okrem projektov podporených z PRV SR 2007 – 2013 </w:t>
      </w:r>
      <w:r w:rsidRPr="00E43137">
        <w:rPr>
          <w:rFonts w:ascii="Calibri" w:hAnsi="Calibri"/>
          <w:i/>
          <w:iCs/>
          <w:szCs w:val="22"/>
        </w:rPr>
        <w:t xml:space="preserve">implementácia </w:t>
      </w:r>
      <w:r w:rsidRPr="00E43137">
        <w:rPr>
          <w:rFonts w:ascii="Calibri" w:hAnsi="Calibri"/>
          <w:b/>
          <w:bCs/>
          <w:i/>
          <w:iCs/>
          <w:szCs w:val="22"/>
        </w:rPr>
        <w:t>stratégií rozvoja územia</w:t>
      </w:r>
      <w:r w:rsidRPr="00E43137">
        <w:rPr>
          <w:rFonts w:ascii="Calibri" w:hAnsi="Calibri"/>
          <w:szCs w:val="22"/>
        </w:rPr>
        <w:t xml:space="preserve"> obsahuje aj projekty, ktoré boli financované aj z iných zdrojov (verejných aj súkromných, napr. nadácie). Takéto projekty môžu alebo nemusia byť súčasťou schválenej ISRÚ. Je odlišná kvalita implementácie a úroveň riadenia medzi jednotlivými MAS. V niektorých územiach sa nerealizovali také aktivity, ktoré by sa mohli financovať mimo PRV SR 2007 – 2013. Keďže je pomerne dôležitý aj objem získaných prostriedkov mimo PRV SR 2007 – 2013, preto môže rozvoj týchto území viaznuť v porovnaní s inými MAS.</w:t>
      </w:r>
    </w:p>
    <w:p w:rsidR="00242C36" w:rsidRPr="00E43137" w:rsidRDefault="00242C36" w:rsidP="00242C36">
      <w:pPr>
        <w:rPr>
          <w:rFonts w:ascii="Calibri" w:hAnsi="Calibri"/>
          <w:szCs w:val="22"/>
        </w:rPr>
      </w:pPr>
    </w:p>
    <w:p w:rsidR="00242C36" w:rsidRPr="00E43137" w:rsidRDefault="00242C36" w:rsidP="00317BFF">
      <w:pPr>
        <w:numPr>
          <w:ilvl w:val="0"/>
          <w:numId w:val="6"/>
        </w:numPr>
        <w:suppressAutoHyphens/>
        <w:autoSpaceDN w:val="0"/>
        <w:ind w:left="284" w:hanging="284"/>
        <w:textAlignment w:val="baseline"/>
        <w:rPr>
          <w:rFonts w:ascii="Calibri" w:hAnsi="Calibri"/>
          <w:szCs w:val="22"/>
        </w:rPr>
      </w:pPr>
      <w:r w:rsidRPr="00E43137">
        <w:rPr>
          <w:rFonts w:ascii="Calibri" w:hAnsi="Calibri"/>
          <w:szCs w:val="22"/>
        </w:rPr>
        <w:t>Podľa evidencie MPRV SR bolo v územiach MAS implementovaných</w:t>
      </w:r>
      <w:r>
        <w:rPr>
          <w:rFonts w:ascii="Calibri" w:hAnsi="Calibri"/>
          <w:szCs w:val="22"/>
        </w:rPr>
        <w:t xml:space="preserve"> za rok 2012: 117 integrovaných projektov.</w:t>
      </w:r>
      <w:r w:rsidRPr="00E43137">
        <w:rPr>
          <w:rFonts w:ascii="Calibri" w:hAnsi="Calibri"/>
          <w:szCs w:val="22"/>
        </w:rPr>
        <w:t xml:space="preserve"> </w:t>
      </w:r>
      <w:r w:rsidRPr="00A62D73">
        <w:rPr>
          <w:rFonts w:ascii="Calibri" w:hAnsi="Calibri"/>
          <w:bCs/>
          <w:i/>
          <w:szCs w:val="22"/>
          <w:u w:val="single"/>
        </w:rPr>
        <w:t>Integrovaný projekt</w:t>
      </w:r>
      <w:r w:rsidRPr="00A62D73">
        <w:rPr>
          <w:rFonts w:ascii="Calibri" w:hAnsi="Calibri"/>
          <w:szCs w:val="22"/>
        </w:rPr>
        <w:t xml:space="preserve"> je projekt, ktorý rieši viacero problémov územia a/alebo sa týka viacerých ekonomických sektorov. Príkladom môže byť agroturistika, kde sa spája poľnohospodárstvo a cestovný ruch, iným príkladom je športový a kultúrny komplex  v obci alebo využitie kultúrnej a historickej pamiatky na spoločenské účely a zároveň v rozvoji cestovného ruchu.</w:t>
      </w:r>
      <w:r>
        <w:rPr>
          <w:rFonts w:ascii="Calibri" w:hAnsi="Calibri"/>
          <w:szCs w:val="22"/>
        </w:rPr>
        <w:t xml:space="preserve"> </w:t>
      </w:r>
      <w:r w:rsidRPr="00E43137">
        <w:rPr>
          <w:rFonts w:ascii="Calibri" w:hAnsi="Calibri"/>
          <w:szCs w:val="22"/>
        </w:rPr>
        <w:t xml:space="preserve">Iba štvrtina akčných skupín realizuje viac ako jeden integrovaný projekt alebo plán. Projekty sú zamerané prevažne na infraštruktúru oblastí, </w:t>
      </w:r>
      <w:r>
        <w:rPr>
          <w:rFonts w:ascii="Calibri" w:hAnsi="Calibri"/>
          <w:szCs w:val="22"/>
        </w:rPr>
        <w:t xml:space="preserve">miestne suroviny sa väčšinou využívajú </w:t>
      </w:r>
      <w:r w:rsidRPr="00E43137">
        <w:rPr>
          <w:rFonts w:ascii="Calibri" w:hAnsi="Calibri"/>
          <w:szCs w:val="22"/>
        </w:rPr>
        <w:t>ako stavebný materiál.</w:t>
      </w:r>
    </w:p>
    <w:p w:rsidR="00242C36" w:rsidRPr="00E43137" w:rsidRDefault="00242C36" w:rsidP="00242C36">
      <w:pPr>
        <w:ind w:left="360"/>
        <w:rPr>
          <w:rFonts w:ascii="Calibri" w:hAnsi="Calibri"/>
          <w:szCs w:val="22"/>
        </w:rPr>
      </w:pPr>
    </w:p>
    <w:p w:rsidR="00242C36" w:rsidRPr="00E43137" w:rsidRDefault="00242C36" w:rsidP="00317BFF">
      <w:pPr>
        <w:numPr>
          <w:ilvl w:val="0"/>
          <w:numId w:val="6"/>
        </w:numPr>
        <w:suppressAutoHyphens/>
        <w:autoSpaceDN w:val="0"/>
        <w:ind w:left="284" w:hanging="284"/>
        <w:textAlignment w:val="baseline"/>
        <w:rPr>
          <w:rFonts w:ascii="Calibri" w:hAnsi="Calibri"/>
          <w:szCs w:val="22"/>
        </w:rPr>
      </w:pPr>
      <w:r w:rsidRPr="00E43137">
        <w:rPr>
          <w:rFonts w:ascii="Calibri" w:hAnsi="Calibri"/>
          <w:i/>
          <w:iCs/>
          <w:szCs w:val="22"/>
        </w:rPr>
        <w:t>Inovačné projekty:</w:t>
      </w:r>
      <w:r w:rsidRPr="00E43137">
        <w:rPr>
          <w:rFonts w:ascii="Calibri" w:hAnsi="Calibri"/>
          <w:szCs w:val="22"/>
        </w:rPr>
        <w:t xml:space="preserve"> ani jeden schválený </w:t>
      </w:r>
      <w:r w:rsidRPr="00E43137">
        <w:rPr>
          <w:rFonts w:ascii="Calibri" w:hAnsi="Calibri"/>
          <w:i/>
          <w:iCs/>
          <w:szCs w:val="22"/>
        </w:rPr>
        <w:t>inovatívny projekt</w:t>
      </w:r>
      <w:r w:rsidRPr="00E43137">
        <w:rPr>
          <w:rFonts w:ascii="Calibri" w:hAnsi="Calibri"/>
          <w:szCs w:val="22"/>
        </w:rPr>
        <w:t xml:space="preserve"> (na základe údajov MPRV SR) nemala viac ako tretina akčných skupín a polovica partnerstiev realizuje štyri a menej inovačných projektov (od začiatku implementácie). </w:t>
      </w:r>
      <w:r>
        <w:rPr>
          <w:rFonts w:ascii="Calibri" w:hAnsi="Calibri"/>
          <w:szCs w:val="22"/>
        </w:rPr>
        <w:t>Inovačné projekty sú</w:t>
      </w:r>
      <w:r w:rsidRPr="00E43137">
        <w:rPr>
          <w:rFonts w:ascii="Calibri" w:hAnsi="Calibri"/>
          <w:szCs w:val="22"/>
        </w:rPr>
        <w:t xml:space="preserve"> koncentrovan</w:t>
      </w:r>
      <w:r>
        <w:rPr>
          <w:rFonts w:ascii="Calibri" w:hAnsi="Calibri"/>
          <w:szCs w:val="22"/>
        </w:rPr>
        <w:t>é</w:t>
      </w:r>
      <w:r w:rsidRPr="00E43137">
        <w:rPr>
          <w:rFonts w:ascii="Calibri" w:hAnsi="Calibri"/>
          <w:szCs w:val="22"/>
        </w:rPr>
        <w:t xml:space="preserve"> v pomerne malom území</w:t>
      </w:r>
      <w:r>
        <w:rPr>
          <w:rFonts w:ascii="Calibri" w:hAnsi="Calibri"/>
          <w:szCs w:val="22"/>
        </w:rPr>
        <w:t xml:space="preserve"> vzhľadom k celkovému počtu schválených MAS</w:t>
      </w:r>
      <w:r w:rsidRPr="00E43137">
        <w:rPr>
          <w:rFonts w:ascii="Calibri" w:hAnsi="Calibri"/>
          <w:szCs w:val="22"/>
        </w:rPr>
        <w:t xml:space="preserve">. Limitujúci je aj nízky počet schválených projektov v niektorých prípadoch. </w:t>
      </w:r>
      <w:r>
        <w:rPr>
          <w:rFonts w:ascii="Calibri" w:hAnsi="Calibri"/>
          <w:szCs w:val="22"/>
        </w:rPr>
        <w:t>Priemerne je na</w:t>
      </w:r>
      <w:r w:rsidRPr="00E43137">
        <w:rPr>
          <w:rFonts w:ascii="Calibri" w:hAnsi="Calibri"/>
          <w:szCs w:val="22"/>
        </w:rPr>
        <w:t xml:space="preserve"> 1 MAS uzavretých 27 zmlúv, z toho je 11 inovatívnych projektov.</w:t>
      </w:r>
    </w:p>
    <w:p w:rsidR="00242C36" w:rsidRPr="00E43137" w:rsidRDefault="00242C36" w:rsidP="00242C36">
      <w:pPr>
        <w:rPr>
          <w:rFonts w:ascii="Calibri" w:hAnsi="Calibri"/>
          <w:szCs w:val="22"/>
        </w:rPr>
      </w:pPr>
    </w:p>
    <w:p w:rsidR="00242C36" w:rsidRPr="00E43137" w:rsidRDefault="00242C36" w:rsidP="00E820E4">
      <w:pPr>
        <w:numPr>
          <w:ilvl w:val="0"/>
          <w:numId w:val="6"/>
        </w:numPr>
        <w:suppressAutoHyphens/>
        <w:autoSpaceDN w:val="0"/>
        <w:ind w:left="284" w:hanging="284"/>
        <w:textAlignment w:val="baseline"/>
        <w:rPr>
          <w:rFonts w:ascii="Calibri" w:hAnsi="Calibri"/>
          <w:szCs w:val="22"/>
        </w:rPr>
      </w:pPr>
      <w:r w:rsidRPr="00E43137">
        <w:rPr>
          <w:rFonts w:ascii="Calibri" w:hAnsi="Calibri"/>
          <w:bCs/>
          <w:i/>
          <w:iCs/>
          <w:szCs w:val="22"/>
        </w:rPr>
        <w:t>Projekty spolupráce:</w:t>
      </w:r>
      <w:r w:rsidRPr="00E43137">
        <w:rPr>
          <w:rFonts w:ascii="Calibri" w:hAnsi="Calibri"/>
          <w:szCs w:val="22"/>
        </w:rPr>
        <w:t xml:space="preserve"> K 31.12.2012 bolo podľa Správ o činnosti MAS prijatých celkom 33 ŽoNFP v hodnote 1 247 718 EUR, bolo schválených 26 projektov v sume verejných výdavkov 976 973 EUR, z toho 8 projektov je smerovaných na národnú spoluprácu a 18 na nadnárodnú spoluprácu MAS. Pri maximálnej výške 40 000 EUR oprávnených výdavkov na 1 projekt je percento kontrahovania 26 %. V oblasti spoločný marketing Leadrovských skupín sa z počtu 26 zazmluvnených projektov realizuje 24 projektov; ochrana spoločného kultúrneho bohatstva 9 projektov, budovanie kapacít a výmena skúseností 17 projektov. </w:t>
      </w:r>
    </w:p>
    <w:p w:rsidR="00242C36" w:rsidRPr="00E43137" w:rsidRDefault="00242C36" w:rsidP="00E820E4">
      <w:pPr>
        <w:rPr>
          <w:rFonts w:ascii="Calibri" w:hAnsi="Calibri"/>
          <w:szCs w:val="22"/>
        </w:rPr>
      </w:pPr>
    </w:p>
    <w:p w:rsidR="00242C36" w:rsidRDefault="00242C36" w:rsidP="00E820E4">
      <w:pPr>
        <w:keepNext/>
        <w:pBdr>
          <w:bar w:val="single" w:sz="6" w:color="808080"/>
        </w:pBdr>
        <w:outlineLvl w:val="0"/>
        <w:rPr>
          <w:rFonts w:ascii="Calibri" w:hAnsi="Calibri"/>
          <w:szCs w:val="22"/>
        </w:rPr>
      </w:pPr>
      <w:r w:rsidRPr="00E43137">
        <w:rPr>
          <w:rFonts w:ascii="Calibri" w:hAnsi="Calibri"/>
          <w:szCs w:val="22"/>
        </w:rPr>
        <w:t>Prostredníctvom prístupu LEADER sa podporuje nielen budovanie a rozvoj miestnych partnerstiev, ale aj využitie vnútorného rozvojového potenciálu vidieka. Vidiecke podniky a lokálne komunity zapojené do prístupu LEADER môžu pôsobiť aj motivačne a vytvárať istým spôsobom sociálny vzor pre ďalšie komunity na vidiek</w:t>
      </w:r>
      <w:r>
        <w:rPr>
          <w:rFonts w:ascii="Calibri" w:hAnsi="Calibri"/>
          <w:szCs w:val="22"/>
        </w:rPr>
        <w:t>u</w:t>
      </w:r>
      <w:r w:rsidRPr="00E43137">
        <w:rPr>
          <w:rFonts w:ascii="Calibri" w:hAnsi="Calibri"/>
          <w:szCs w:val="22"/>
        </w:rPr>
        <w:t>.</w:t>
      </w:r>
    </w:p>
    <w:p w:rsidR="00C502EC" w:rsidRPr="00E43137" w:rsidRDefault="00C502EC" w:rsidP="00E820E4">
      <w:pPr>
        <w:keepNext/>
        <w:pBdr>
          <w:bar w:val="single" w:sz="6" w:color="808080"/>
        </w:pBdr>
        <w:outlineLvl w:val="0"/>
        <w:rPr>
          <w:rFonts w:ascii="Calibri" w:hAnsi="Calibri"/>
          <w:b/>
          <w:bCs/>
          <w:kern w:val="32"/>
          <w:szCs w:val="22"/>
          <w:u w:val="single"/>
          <w:lang w:eastAsia="en-US"/>
        </w:rPr>
      </w:pPr>
    </w:p>
    <w:p w:rsidR="007D119F" w:rsidRDefault="00DA395B" w:rsidP="00E820E4">
      <w:pPr>
        <w:keepNext/>
        <w:pBdr>
          <w:bar w:val="single" w:sz="6" w:color="808080"/>
        </w:pBdr>
        <w:ind w:left="851" w:hanging="851"/>
        <w:outlineLvl w:val="0"/>
        <w:rPr>
          <w:rFonts w:ascii="Calibri" w:hAnsi="Calibri"/>
          <w:b/>
          <w:bCs/>
          <w:kern w:val="32"/>
          <w:szCs w:val="22"/>
          <w:u w:val="single"/>
          <w:lang w:eastAsia="en-US"/>
        </w:rPr>
      </w:pPr>
      <w:r>
        <w:rPr>
          <w:rFonts w:ascii="Calibri" w:hAnsi="Calibri"/>
          <w:b/>
          <w:bCs/>
          <w:kern w:val="32"/>
          <w:szCs w:val="22"/>
          <w:u w:val="single"/>
          <w:lang w:eastAsia="en-US"/>
        </w:rPr>
        <w:t xml:space="preserve">4.1.1.2 </w:t>
      </w:r>
      <w:r w:rsidRPr="00E43137">
        <w:rPr>
          <w:rFonts w:ascii="Calibri" w:hAnsi="Calibri"/>
          <w:b/>
          <w:bCs/>
          <w:kern w:val="32"/>
          <w:szCs w:val="22"/>
          <w:u w:val="single"/>
          <w:lang w:eastAsia="en-US"/>
        </w:rPr>
        <w:t xml:space="preserve">SITUÁCIA V POĽNOHOSPODÁRSTVE, POTRAVINÁRSTVE A LESNÍCTVE </w:t>
      </w:r>
    </w:p>
    <w:p w:rsidR="00E43137" w:rsidRPr="00E43137" w:rsidRDefault="00DA395B" w:rsidP="00E820E4">
      <w:pPr>
        <w:keepNext/>
        <w:pBdr>
          <w:bar w:val="single" w:sz="6" w:color="808080"/>
        </w:pBdr>
        <w:ind w:left="851" w:hanging="851"/>
        <w:outlineLvl w:val="0"/>
        <w:rPr>
          <w:rFonts w:ascii="Calibri" w:hAnsi="Calibri"/>
          <w:b/>
          <w:bCs/>
          <w:kern w:val="32"/>
          <w:szCs w:val="22"/>
          <w:u w:val="single"/>
          <w:lang w:eastAsia="en-US"/>
        </w:rPr>
      </w:pPr>
      <w:r w:rsidRPr="00E43137">
        <w:rPr>
          <w:rFonts w:ascii="Calibri" w:hAnsi="Calibri"/>
          <w:b/>
          <w:bCs/>
          <w:kern w:val="32"/>
          <w:szCs w:val="22"/>
          <w:u w:val="single"/>
          <w:lang w:eastAsia="en-US"/>
        </w:rPr>
        <w:t>/SEKTOROVÁ ANALÝZA/</w:t>
      </w:r>
    </w:p>
    <w:p w:rsidR="00E820E4" w:rsidRDefault="00E820E4" w:rsidP="00E820E4">
      <w:pPr>
        <w:keepNext/>
        <w:keepLines/>
        <w:pBdr>
          <w:bar w:val="single" w:sz="6" w:color="808080"/>
        </w:pBdr>
        <w:outlineLvl w:val="1"/>
        <w:rPr>
          <w:rFonts w:ascii="Calibri" w:hAnsi="Calibri"/>
          <w:b/>
          <w:bCs/>
          <w:szCs w:val="22"/>
        </w:rPr>
      </w:pPr>
    </w:p>
    <w:p w:rsidR="00242C36" w:rsidRDefault="00242C36" w:rsidP="00E820E4">
      <w:pPr>
        <w:keepNext/>
        <w:keepLines/>
        <w:pBdr>
          <w:bar w:val="single" w:sz="6" w:color="808080"/>
        </w:pBdr>
        <w:outlineLvl w:val="1"/>
        <w:rPr>
          <w:rFonts w:ascii="Calibri" w:hAnsi="Calibri"/>
          <w:b/>
          <w:bCs/>
          <w:szCs w:val="22"/>
        </w:rPr>
      </w:pPr>
      <w:r>
        <w:rPr>
          <w:rFonts w:ascii="Calibri" w:hAnsi="Calibri"/>
          <w:b/>
          <w:bCs/>
          <w:szCs w:val="22"/>
        </w:rPr>
        <w:t xml:space="preserve">ANALÝZA POĽNOHOSPODÁRSKEHO SEKTORA </w:t>
      </w:r>
    </w:p>
    <w:p w:rsidR="00242C36" w:rsidRPr="00B50921" w:rsidRDefault="00242C36" w:rsidP="00E820E4">
      <w:pPr>
        <w:pBdr>
          <w:bar w:val="single" w:sz="6" w:color="808080"/>
        </w:pBdr>
        <w:rPr>
          <w:rFonts w:ascii="Calibri" w:eastAsia="Calibri" w:hAnsi="Calibri"/>
          <w:b/>
          <w:bCs/>
          <w:szCs w:val="22"/>
          <w:u w:val="single"/>
          <w:lang w:eastAsia="en-US"/>
        </w:rPr>
      </w:pPr>
      <w:r w:rsidRPr="00B50921">
        <w:rPr>
          <w:rFonts w:ascii="Calibri" w:eastAsia="Calibri" w:hAnsi="Calibri"/>
          <w:b/>
          <w:bCs/>
          <w:szCs w:val="22"/>
          <w:u w:val="single"/>
          <w:lang w:eastAsia="en-US"/>
        </w:rPr>
        <w:t xml:space="preserve">Veľkostná štruktúra a ekonomická veľkosť poľnohospodárskych podnikov </w:t>
      </w:r>
    </w:p>
    <w:p w:rsidR="00242C36" w:rsidRPr="00F832C9" w:rsidRDefault="00242C36" w:rsidP="00242C36">
      <w:pPr>
        <w:pBdr>
          <w:bar w:val="single" w:sz="6" w:color="808080"/>
        </w:pBdr>
        <w:spacing w:before="120"/>
        <w:rPr>
          <w:rFonts w:ascii="Calibri" w:eastAsia="Calibri" w:hAnsi="Calibri"/>
          <w:szCs w:val="22"/>
          <w:lang w:eastAsia="en-US"/>
        </w:rPr>
      </w:pPr>
      <w:r>
        <w:rPr>
          <w:rFonts w:ascii="Calibri" w:eastAsia="Calibri" w:hAnsi="Calibri"/>
          <w:szCs w:val="22"/>
          <w:lang w:eastAsia="en-US"/>
        </w:rPr>
        <w:t xml:space="preserve">V SR existuje duálna štruktúra poľnohospodárskych podnikov: i.) vyšší počet </w:t>
      </w:r>
      <w:r w:rsidRPr="00E71D2F">
        <w:rPr>
          <w:rFonts w:ascii="Calibri" w:eastAsia="Calibri" w:hAnsi="Calibri"/>
          <w:szCs w:val="22"/>
          <w:lang w:eastAsia="en-US"/>
        </w:rPr>
        <w:t>fyzických osôb s veľmi malou výmerou  pôdy, ktoré však svojou celkovou rozlohou nie sú z celo</w:t>
      </w:r>
      <w:r>
        <w:rPr>
          <w:rFonts w:ascii="Calibri" w:eastAsia="Calibri" w:hAnsi="Calibri"/>
          <w:szCs w:val="22"/>
          <w:lang w:eastAsia="en-US"/>
        </w:rPr>
        <w:t>spoločenského hľadiska</w:t>
      </w:r>
      <w:r>
        <w:rPr>
          <w:rFonts w:ascii="Calibri" w:eastAsia="Calibri" w:hAnsi="Calibri"/>
          <w:szCs w:val="22"/>
          <w:lang w:eastAsia="en-US"/>
        </w:rPr>
        <w:lastRenderedPageBreak/>
        <w:t xml:space="preserve"> významné, a ii.) nižší počet právnických osôb, ktoré predstavujú ekonomicky a produkčne rozhodujúcu časť podnikov. Táto časť podnikov má prevažne veľkovýrobný</w:t>
      </w:r>
      <w:r w:rsidRPr="00E43137">
        <w:rPr>
          <w:rFonts w:ascii="Calibri" w:eastAsia="Calibri" w:hAnsi="Calibri"/>
          <w:szCs w:val="22"/>
          <w:lang w:eastAsia="en-US"/>
        </w:rPr>
        <w:t xml:space="preserve"> charakter s prevahou prenajatej pôdy a s relatívne nízkou mierou diverzifikácie činnost</w:t>
      </w:r>
      <w:r>
        <w:rPr>
          <w:rFonts w:ascii="Calibri" w:eastAsia="Calibri" w:hAnsi="Calibri"/>
          <w:szCs w:val="22"/>
          <w:lang w:eastAsia="en-US"/>
        </w:rPr>
        <w:t>í mimo poľnohospodárstva (príjmy z diverzifikácie tvoria väčšinou menej ako 10</w:t>
      </w:r>
      <w:r w:rsidRPr="00F832C9">
        <w:rPr>
          <w:rFonts w:ascii="Calibri" w:eastAsia="Calibri" w:hAnsi="Calibri"/>
          <w:szCs w:val="22"/>
          <w:lang w:eastAsia="en-US"/>
        </w:rPr>
        <w:t xml:space="preserve">% obratu [Poľnohospodársky cenzus fariem 2010, diverzifikácia – odhad ]). </w:t>
      </w:r>
    </w:p>
    <w:p w:rsidR="00242C36" w:rsidRPr="00E43137" w:rsidRDefault="00242C36" w:rsidP="00242C36">
      <w:pPr>
        <w:pBdr>
          <w:bar w:val="single" w:sz="6" w:color="808080"/>
        </w:pBdr>
        <w:spacing w:before="120"/>
        <w:rPr>
          <w:rFonts w:ascii="Calibri" w:eastAsia="Calibri" w:hAnsi="Calibri"/>
          <w:szCs w:val="22"/>
          <w:lang w:eastAsia="en-US"/>
        </w:rPr>
      </w:pPr>
      <w:r>
        <w:rPr>
          <w:rFonts w:ascii="Calibri" w:eastAsia="Calibri" w:hAnsi="Calibri"/>
          <w:szCs w:val="22"/>
          <w:lang w:eastAsia="en-US"/>
        </w:rPr>
        <w:t xml:space="preserve">Podľa cenzu fariem v r.2010 </w:t>
      </w:r>
      <w:r w:rsidRPr="00E43137">
        <w:rPr>
          <w:rFonts w:ascii="Calibri" w:eastAsia="Calibri" w:hAnsi="Calibri"/>
          <w:szCs w:val="22"/>
          <w:lang w:eastAsia="en-US"/>
        </w:rPr>
        <w:t xml:space="preserve">existovalo na Slovensku 24 463 podnikov </w:t>
      </w:r>
      <w:r>
        <w:rPr>
          <w:rFonts w:ascii="Calibri" w:eastAsia="Calibri" w:hAnsi="Calibri"/>
          <w:szCs w:val="22"/>
          <w:lang w:eastAsia="en-US"/>
        </w:rPr>
        <w:t>(</w:t>
      </w:r>
      <w:r w:rsidRPr="00C83837">
        <w:rPr>
          <w:rFonts w:ascii="Calibri" w:eastAsia="Calibri" w:hAnsi="Calibri"/>
          <w:b/>
          <w:szCs w:val="22"/>
          <w:lang w:eastAsia="en-US"/>
        </w:rPr>
        <w:t>CI17</w:t>
      </w:r>
      <w:r>
        <w:rPr>
          <w:rFonts w:ascii="Calibri" w:eastAsia="Calibri" w:hAnsi="Calibri"/>
          <w:szCs w:val="22"/>
          <w:lang w:eastAsia="en-US"/>
        </w:rPr>
        <w:t xml:space="preserve">) </w:t>
      </w:r>
      <w:r w:rsidRPr="00E43137">
        <w:rPr>
          <w:rFonts w:ascii="Calibri" w:eastAsia="Calibri" w:hAnsi="Calibri"/>
          <w:szCs w:val="22"/>
          <w:lang w:eastAsia="en-US"/>
        </w:rPr>
        <w:t xml:space="preserve">zameraných na poľnohospodársku činnosť. Početne (9 460) najviac fariem (38,7 %) hospodárilo na výmere menšej ako </w:t>
      </w:r>
      <w:smartTag w:uri="urn:schemas-microsoft-com:office:smarttags" w:element="metricconverter">
        <w:smartTagPr>
          <w:attr w:name="ProductID" w:val="2 ha"/>
        </w:smartTagPr>
        <w:r w:rsidRPr="00E43137">
          <w:rPr>
            <w:rFonts w:ascii="Calibri" w:eastAsia="Calibri" w:hAnsi="Calibri"/>
            <w:szCs w:val="22"/>
            <w:lang w:eastAsia="en-US"/>
          </w:rPr>
          <w:t>2 ha</w:t>
        </w:r>
      </w:smartTag>
      <w:r w:rsidRPr="00E43137">
        <w:rPr>
          <w:rFonts w:ascii="Calibri" w:eastAsia="Calibri" w:hAnsi="Calibri"/>
          <w:szCs w:val="22"/>
          <w:lang w:eastAsia="en-US"/>
        </w:rPr>
        <w:t xml:space="preserve"> p. p. Ďalšou početne rozhodujúcou skupinou fariem (6290), s podielom 25,7 % na celkovom počte fariem, boli farmy od  2 do </w:t>
      </w:r>
      <w:smartTag w:uri="urn:schemas-microsoft-com:office:smarttags" w:element="metricconverter">
        <w:smartTagPr>
          <w:attr w:name="ProductID" w:val="4,9 ha"/>
        </w:smartTagPr>
        <w:r w:rsidRPr="00E43137">
          <w:rPr>
            <w:rFonts w:ascii="Calibri" w:eastAsia="Calibri" w:hAnsi="Calibri"/>
            <w:szCs w:val="22"/>
            <w:lang w:eastAsia="en-US"/>
          </w:rPr>
          <w:t>4,9 ha</w:t>
        </w:r>
      </w:smartTag>
      <w:r w:rsidRPr="00E43137">
        <w:rPr>
          <w:rFonts w:ascii="Calibri" w:eastAsia="Calibri" w:hAnsi="Calibri"/>
          <w:szCs w:val="22"/>
          <w:lang w:eastAsia="en-US"/>
        </w:rPr>
        <w:t xml:space="preserve"> p.p.  </w:t>
      </w:r>
      <w:r w:rsidRPr="00755E4F">
        <w:rPr>
          <w:rFonts w:ascii="Calibri" w:eastAsia="Calibri" w:hAnsi="Calibri"/>
          <w:b/>
          <w:szCs w:val="22"/>
          <w:lang w:eastAsia="en-US"/>
        </w:rPr>
        <w:t xml:space="preserve">Na výmere vyššej ako </w:t>
      </w:r>
      <w:smartTag w:uri="urn:schemas-microsoft-com:office:smarttags" w:element="metricconverter">
        <w:smartTagPr>
          <w:attr w:name="ProductID" w:val="100 ha"/>
        </w:smartTagPr>
        <w:r w:rsidRPr="00755E4F">
          <w:rPr>
            <w:rFonts w:ascii="Calibri" w:eastAsia="Calibri" w:hAnsi="Calibri"/>
            <w:b/>
            <w:szCs w:val="22"/>
            <w:lang w:eastAsia="en-US"/>
          </w:rPr>
          <w:t>100 ha</w:t>
        </w:r>
      </w:smartTag>
      <w:r w:rsidRPr="00755E4F">
        <w:rPr>
          <w:rFonts w:ascii="Calibri" w:eastAsia="Calibri" w:hAnsi="Calibri"/>
          <w:b/>
          <w:szCs w:val="22"/>
          <w:lang w:eastAsia="en-US"/>
        </w:rPr>
        <w:t xml:space="preserve"> hospodárilo 9 % fariem, ktoré boli rozhodujúce z hľadiska produkcie a udržania poľnohospodárskej krajiny v dobrom stave.</w:t>
      </w:r>
    </w:p>
    <w:p w:rsidR="00242C36" w:rsidRPr="00E43137" w:rsidRDefault="00242C36" w:rsidP="00242C36">
      <w:pPr>
        <w:pBdr>
          <w:bar w:val="single" w:sz="6" w:color="808080"/>
        </w:pBdr>
        <w:spacing w:before="120"/>
        <w:rPr>
          <w:rFonts w:ascii="Calibri" w:eastAsia="Calibri" w:hAnsi="Calibri"/>
          <w:szCs w:val="22"/>
          <w:lang w:eastAsia="en-US"/>
        </w:rPr>
      </w:pPr>
      <w:r>
        <w:rPr>
          <w:rFonts w:ascii="Calibri" w:eastAsia="Calibri" w:hAnsi="Calibri"/>
          <w:szCs w:val="22"/>
          <w:lang w:eastAsia="en-US"/>
        </w:rPr>
        <w:t>Z pohľadu právnej formy z celkového evidovaného počtu podnikov (</w:t>
      </w:r>
      <w:r w:rsidRPr="00C83837">
        <w:rPr>
          <w:rFonts w:ascii="Calibri" w:eastAsia="Calibri" w:hAnsi="Calibri"/>
          <w:b/>
          <w:szCs w:val="22"/>
          <w:lang w:eastAsia="en-US"/>
        </w:rPr>
        <w:t>CI17</w:t>
      </w:r>
      <w:r>
        <w:rPr>
          <w:rFonts w:ascii="Calibri" w:eastAsia="Calibri" w:hAnsi="Calibri"/>
          <w:szCs w:val="22"/>
          <w:lang w:eastAsia="en-US"/>
        </w:rPr>
        <w:t xml:space="preserve">) tvorí </w:t>
      </w:r>
      <w:r w:rsidRPr="00E43137">
        <w:rPr>
          <w:rFonts w:ascii="Calibri" w:eastAsia="Calibri" w:hAnsi="Calibri"/>
          <w:szCs w:val="22"/>
          <w:lang w:eastAsia="en-US"/>
        </w:rPr>
        <w:t xml:space="preserve">9,3 % (2276) právnické osoby a 90,7 % fyzické osoby. V štruktúre fyzických osôb prevládali </w:t>
      </w:r>
      <w:r w:rsidRPr="00B262E7">
        <w:rPr>
          <w:rFonts w:ascii="Calibri" w:eastAsia="Calibri" w:hAnsi="Calibri"/>
          <w:b/>
          <w:szCs w:val="22"/>
          <w:lang w:eastAsia="en-US"/>
        </w:rPr>
        <w:t>neregistrované osoby s podielom 72,9 % (výroba pre vlastnú spotrebu)</w:t>
      </w:r>
      <w:r w:rsidRPr="00E43137">
        <w:rPr>
          <w:rFonts w:ascii="Calibri" w:eastAsia="Calibri" w:hAnsi="Calibri"/>
          <w:szCs w:val="22"/>
          <w:lang w:eastAsia="en-US"/>
        </w:rPr>
        <w:t xml:space="preserve"> a registrované osoby tvorili podiel 27,1 %. Priemerná výmera farmy dosiahla 77,5 ha p. p., čo bolo  o 49,4 ha viac ako v roku 2007 ( 8,1 ha p. p.).</w:t>
      </w:r>
    </w:p>
    <w:p w:rsidR="00242C36" w:rsidRPr="001B5E1A" w:rsidRDefault="00242C36" w:rsidP="00242C36">
      <w:pPr>
        <w:pBdr>
          <w:bar w:val="single" w:sz="6" w:color="808080"/>
        </w:pBdr>
        <w:spacing w:before="120" w:after="120"/>
        <w:rPr>
          <w:rFonts w:ascii="Calibri" w:eastAsia="Calibri" w:hAnsi="Calibri"/>
          <w:szCs w:val="22"/>
          <w:lang w:eastAsia="en-US"/>
        </w:rPr>
      </w:pPr>
      <w:r w:rsidRPr="00E43137">
        <w:rPr>
          <w:rFonts w:ascii="Calibri" w:eastAsia="Calibri" w:hAnsi="Calibri"/>
          <w:szCs w:val="22"/>
          <w:lang w:eastAsia="en-US"/>
        </w:rPr>
        <w:t xml:space="preserve">Obdobie medzi dvomi cenzami (ŠÚ SR) dokumentuje stále silný plošný rozptyl poľnohospodárskych podnikateľských subjektov vrátane narastajúceho významu malých rodinných fariem (najmä v menej </w:t>
      </w:r>
      <w:r w:rsidRPr="001B5E1A">
        <w:rPr>
          <w:rFonts w:ascii="Calibri" w:eastAsia="Calibri" w:hAnsi="Calibri"/>
          <w:szCs w:val="22"/>
          <w:lang w:eastAsia="en-US"/>
        </w:rPr>
        <w:t>produkčných oblastiach Slovenska), ktoré majú značný potenciál najmä v nižších pracovných nákladoch. </w:t>
      </w:r>
      <w:r w:rsidRPr="001B5E1A" w:rsidDel="00B04693">
        <w:rPr>
          <w:rFonts w:ascii="Calibri" w:eastAsia="Calibri" w:hAnsi="Calibri"/>
          <w:szCs w:val="22"/>
          <w:lang w:eastAsia="en-US"/>
        </w:rPr>
        <w:t xml:space="preserve"> </w:t>
      </w:r>
      <w:r w:rsidRPr="001B5E1A">
        <w:rPr>
          <w:rFonts w:ascii="Calibri" w:eastAsia="Calibri" w:hAnsi="Calibri"/>
          <w:szCs w:val="22"/>
          <w:lang w:eastAsia="en-US"/>
        </w:rPr>
        <w:t xml:space="preserve"> Podľa štrukturálneho cenzu fariem priemerná veľkosť podnikov právnických osôb dosiahla v roku 2010 672 hektárov a fyzických osôb (registrovaných a neregistrovaných) 16,5 hektárov (viď tab. v prílohe 3).  Rodinné farmy môžu vznikať na základe legislatívnych predpisov všeobecne platných pre vznik podnikov.</w:t>
      </w:r>
    </w:p>
    <w:p w:rsidR="00242C36" w:rsidRPr="001B5E1A" w:rsidRDefault="00242C36" w:rsidP="00242C36">
      <w:pPr>
        <w:rPr>
          <w:vanish/>
        </w:rPr>
      </w:pPr>
    </w:p>
    <w:p w:rsidR="00242C36" w:rsidRPr="00E43137" w:rsidRDefault="00242C36" w:rsidP="00242C36">
      <w:pPr>
        <w:pBdr>
          <w:bar w:val="single" w:sz="6" w:color="808080"/>
        </w:pBdr>
        <w:spacing w:before="120"/>
        <w:rPr>
          <w:rFonts w:ascii="Calibri" w:eastAsia="Calibri" w:hAnsi="Calibri"/>
          <w:szCs w:val="22"/>
          <w:lang w:eastAsia="en-US"/>
        </w:rPr>
      </w:pPr>
      <w:r w:rsidRPr="001B5E1A">
        <w:rPr>
          <w:rFonts w:ascii="Calibri" w:eastAsia="Calibri" w:hAnsi="Calibri"/>
          <w:szCs w:val="22"/>
          <w:lang w:eastAsia="en-US"/>
        </w:rPr>
        <w:t>Z rozdelenia celkového počtu podnikov (</w:t>
      </w:r>
      <w:r w:rsidRPr="001B5E1A">
        <w:rPr>
          <w:rFonts w:ascii="Calibri" w:eastAsia="Calibri" w:hAnsi="Calibri"/>
          <w:b/>
          <w:szCs w:val="22"/>
          <w:lang w:eastAsia="en-US"/>
        </w:rPr>
        <w:t>CCI 17</w:t>
      </w:r>
      <w:r w:rsidRPr="001B5E1A">
        <w:rPr>
          <w:rFonts w:ascii="Calibri" w:eastAsia="Calibri" w:hAnsi="Calibri"/>
          <w:szCs w:val="22"/>
          <w:lang w:eastAsia="en-US"/>
        </w:rPr>
        <w:t>) podľa štandardného výstupu vyplýva, že prevažná časť evidovaných fariem dosahuje veľmi nízku ekonomickú veľkosť. Do 8 000 EUR je to až 75,6% fariem. Jedná sa prevažne o farmy s malou výmerou poľnohospodársky využívanej pôdy, ktoré obhospodarujú do</w:t>
      </w:r>
      <w:r>
        <w:rPr>
          <w:rFonts w:ascii="Calibri" w:eastAsia="Calibri" w:hAnsi="Calibri"/>
          <w:szCs w:val="22"/>
          <w:lang w:eastAsia="en-US"/>
        </w:rPr>
        <w:t xml:space="preserve"> 5</w:t>
      </w:r>
      <w:r>
        <w:rPr>
          <w:rFonts w:ascii="Calibri" w:eastAsia="Calibri" w:hAnsi="Calibri"/>
          <w:szCs w:val="22"/>
          <w:lang w:val="en-US" w:eastAsia="en-US"/>
        </w:rPr>
        <w:t xml:space="preserve">% </w:t>
      </w:r>
      <w:r w:rsidRPr="00E43137">
        <w:rPr>
          <w:rFonts w:ascii="Calibri" w:eastAsia="Calibri" w:hAnsi="Calibri"/>
          <w:szCs w:val="22"/>
          <w:lang w:eastAsia="en-US"/>
        </w:rPr>
        <w:t xml:space="preserve"> </w:t>
      </w:r>
      <w:r>
        <w:rPr>
          <w:rFonts w:ascii="Calibri" w:eastAsia="Calibri" w:hAnsi="Calibri"/>
          <w:szCs w:val="22"/>
          <w:lang w:eastAsia="en-US"/>
        </w:rPr>
        <w:t xml:space="preserve">UAA. Podniky s ekonomickou veľkosťou od 15 000 EUR disponujú s najvyšším rastovým potenciálom, ktorý je prostredníctvom intervencií PRV možné využiť pre dosiahnutie cieľov SPP. </w:t>
      </w:r>
      <w:r w:rsidRPr="00F837D1">
        <w:rPr>
          <w:rFonts w:ascii="Calibri" w:eastAsia="Calibri" w:hAnsi="Calibri"/>
          <w:b/>
          <w:szCs w:val="22"/>
          <w:lang w:eastAsia="en-US"/>
        </w:rPr>
        <w:t>Táto skupina podnikov (fyzické a právnické osoby), ktorá tvorí približne 18</w:t>
      </w:r>
      <w:r w:rsidRPr="00F837D1">
        <w:rPr>
          <w:rFonts w:ascii="Calibri" w:eastAsia="Calibri" w:hAnsi="Calibri"/>
          <w:b/>
          <w:szCs w:val="22"/>
          <w:lang w:val="en-US" w:eastAsia="en-US"/>
        </w:rPr>
        <w:t xml:space="preserve">% (4260) </w:t>
      </w:r>
      <w:r w:rsidRPr="00F837D1">
        <w:rPr>
          <w:rFonts w:ascii="Calibri" w:eastAsia="Calibri" w:hAnsi="Calibri"/>
          <w:b/>
          <w:szCs w:val="22"/>
          <w:lang w:eastAsia="en-US"/>
        </w:rPr>
        <w:t>z celkového počtu podnikov (</w:t>
      </w:r>
      <w:r>
        <w:rPr>
          <w:rFonts w:ascii="Calibri" w:eastAsia="Calibri" w:hAnsi="Calibri"/>
          <w:b/>
          <w:szCs w:val="22"/>
          <w:lang w:eastAsia="en-US"/>
        </w:rPr>
        <w:t>C</w:t>
      </w:r>
      <w:r w:rsidRPr="00F837D1">
        <w:rPr>
          <w:rFonts w:ascii="Calibri" w:eastAsia="Calibri" w:hAnsi="Calibri"/>
          <w:b/>
          <w:szCs w:val="22"/>
          <w:lang w:eastAsia="en-US"/>
        </w:rPr>
        <w:t>CI 17) reprezentuje potenciálnych prijímateľov PRV</w:t>
      </w:r>
      <w:r>
        <w:rPr>
          <w:rFonts w:ascii="Calibri" w:eastAsia="Calibri" w:hAnsi="Calibri"/>
          <w:b/>
          <w:szCs w:val="22"/>
          <w:lang w:eastAsia="en-US"/>
        </w:rPr>
        <w:t xml:space="preserve">. </w:t>
      </w:r>
      <w:r w:rsidRPr="00505442">
        <w:rPr>
          <w:rFonts w:ascii="Calibri" w:eastAsia="Calibri" w:hAnsi="Calibri"/>
          <w:szCs w:val="22"/>
          <w:lang w:eastAsia="en-US"/>
        </w:rPr>
        <w:t>V minulom programovom období bolo investične podporených spolu 1584 podnikov (</w:t>
      </w:r>
      <w:r>
        <w:rPr>
          <w:rFonts w:ascii="Calibri" w:eastAsia="Calibri" w:hAnsi="Calibri"/>
          <w:szCs w:val="22"/>
          <w:lang w:eastAsia="en-US"/>
        </w:rPr>
        <w:t xml:space="preserve">pozn. </w:t>
      </w:r>
      <w:r w:rsidRPr="00505442">
        <w:rPr>
          <w:rFonts w:ascii="Calibri" w:eastAsia="Calibri" w:hAnsi="Calibri"/>
          <w:szCs w:val="22"/>
          <w:lang w:eastAsia="en-US"/>
        </w:rPr>
        <w:t>v rámci najvýznamnejších projektových opatrení – jedinečné podniky, PPA).</w:t>
      </w:r>
      <w:r>
        <w:rPr>
          <w:rFonts w:ascii="Calibri" w:eastAsia="Calibri" w:hAnsi="Calibri"/>
          <w:szCs w:val="22"/>
          <w:lang w:eastAsia="en-US"/>
        </w:rPr>
        <w:t xml:space="preserve"> </w:t>
      </w:r>
      <w:r w:rsidRPr="00E43137">
        <w:rPr>
          <w:rFonts w:ascii="Calibri" w:eastAsia="Calibri" w:hAnsi="Calibri"/>
          <w:szCs w:val="22"/>
          <w:lang w:eastAsia="en-US"/>
        </w:rPr>
        <w:t>Na jednu farmu pripadalo 2,3 pracovných jednotiek AWU a 3,7 osôb na po</w:t>
      </w:r>
      <w:r>
        <w:rPr>
          <w:rFonts w:ascii="Calibri" w:eastAsia="Calibri" w:hAnsi="Calibri"/>
          <w:szCs w:val="22"/>
          <w:lang w:eastAsia="en-US"/>
        </w:rPr>
        <w:t>dnik, čo je v porovnaní s priemerom EÚ (0,8 AWU/farma (</w:t>
      </w:r>
      <w:r w:rsidRPr="00C83837">
        <w:rPr>
          <w:rFonts w:ascii="Calibri" w:eastAsia="Calibri" w:hAnsi="Calibri"/>
          <w:b/>
          <w:szCs w:val="22"/>
          <w:lang w:eastAsia="en-US"/>
        </w:rPr>
        <w:t>CI 17</w:t>
      </w:r>
      <w:r>
        <w:rPr>
          <w:rFonts w:ascii="Calibri" w:eastAsia="Calibri" w:hAnsi="Calibri"/>
          <w:szCs w:val="22"/>
          <w:lang w:eastAsia="en-US"/>
        </w:rPr>
        <w:t xml:space="preserve">)) nadpriemerné. </w:t>
      </w:r>
    </w:p>
    <w:p w:rsidR="00242C36" w:rsidRDefault="00242C36" w:rsidP="00242C36">
      <w:pPr>
        <w:rPr>
          <w:b/>
          <w:bCs/>
          <w:szCs w:val="22"/>
        </w:rPr>
      </w:pPr>
    </w:p>
    <w:p w:rsidR="00242C36" w:rsidRPr="00386BBC" w:rsidRDefault="00242C36" w:rsidP="007D119F">
      <w:pPr>
        <w:spacing w:after="120"/>
        <w:rPr>
          <w:szCs w:val="22"/>
        </w:rPr>
      </w:pPr>
      <w:r w:rsidRPr="00386BBC">
        <w:rPr>
          <w:bCs/>
          <w:szCs w:val="22"/>
        </w:rPr>
        <w:t>Z hľadiska</w:t>
      </w:r>
      <w:r>
        <w:rPr>
          <w:b/>
          <w:bCs/>
          <w:szCs w:val="22"/>
        </w:rPr>
        <w:t xml:space="preserve"> </w:t>
      </w:r>
      <w:r w:rsidRPr="00386BBC">
        <w:rPr>
          <w:b/>
          <w:bCs/>
          <w:szCs w:val="22"/>
        </w:rPr>
        <w:t>diferenciáci</w:t>
      </w:r>
      <w:r>
        <w:rPr>
          <w:b/>
          <w:bCs/>
          <w:szCs w:val="22"/>
        </w:rPr>
        <w:t>e</w:t>
      </w:r>
      <w:r w:rsidRPr="00386BBC">
        <w:rPr>
          <w:b/>
          <w:bCs/>
          <w:szCs w:val="22"/>
        </w:rPr>
        <w:t xml:space="preserve"> </w:t>
      </w:r>
      <w:r w:rsidRPr="00386BBC">
        <w:rPr>
          <w:b/>
          <w:szCs w:val="22"/>
        </w:rPr>
        <w:t xml:space="preserve">podnikateľských subjektov–právnických osôb v poľnohospodárstve podľa veľkostných kategórií vo väzbe na </w:t>
      </w:r>
      <w:r w:rsidRPr="00386BBC">
        <w:rPr>
          <w:b/>
          <w:szCs w:val="22"/>
          <w:u w:val="single"/>
        </w:rPr>
        <w:t>odporúčanie Komisie 2003/361/ES</w:t>
      </w:r>
      <w:r w:rsidRPr="00386BBC">
        <w:rPr>
          <w:b/>
          <w:szCs w:val="22"/>
        </w:rPr>
        <w:t>, ktoré sa týka definície mikro, malých a stredných podnikov</w:t>
      </w:r>
      <w:r>
        <w:rPr>
          <w:b/>
          <w:szCs w:val="22"/>
        </w:rPr>
        <w:t xml:space="preserve">, </w:t>
      </w:r>
      <w:r w:rsidRPr="00386BBC">
        <w:rPr>
          <w:szCs w:val="22"/>
        </w:rPr>
        <w:t>na základe odporúčania  Komisie ES je možno poľnohospodárske podniky podľa počtu pracovníkov zaradiť do 4 kategórií (veľmi malé, malé, stredné a veľké).</w:t>
      </w:r>
    </w:p>
    <w:p w:rsidR="00242C36" w:rsidRPr="00386BBC" w:rsidRDefault="00242C36" w:rsidP="007D119F">
      <w:pPr>
        <w:spacing w:after="120"/>
        <w:rPr>
          <w:szCs w:val="22"/>
        </w:rPr>
      </w:pPr>
      <w:r w:rsidRPr="00386BBC">
        <w:rPr>
          <w:szCs w:val="22"/>
        </w:rPr>
        <w:t xml:space="preserve">Poľnohospodárske podniky podľa </w:t>
      </w:r>
      <w:r w:rsidRPr="00386BBC">
        <w:rPr>
          <w:i/>
          <w:szCs w:val="22"/>
          <w:u w:val="single"/>
        </w:rPr>
        <w:t>počtu pracovníkov</w:t>
      </w:r>
      <w:r w:rsidRPr="00386BBC">
        <w:rPr>
          <w:szCs w:val="22"/>
        </w:rPr>
        <w:t xml:space="preserve"> patria v rozhodujúcej miere medzi veľmi malé a malé podniky (87,1 %). Do kategórie stredných podnikov spadá 12,9 % podnikov. Veľké podniky  nad 250 pracovníkov v poľnohospodárstve neexistujú. Veľmi malé a malé podniky sa podieľajú rozhodujúcou mierou  aj na výsledku hospodárenia (87,2 %). Odlišná je situácia participácie podnikov na pridanej hodnote  a produkcii, kde dominujú malé a stredne veľké  podniky.  </w:t>
      </w:r>
    </w:p>
    <w:p w:rsidR="00242C36" w:rsidRPr="00386BBC" w:rsidRDefault="00242C36" w:rsidP="007D119F">
      <w:pPr>
        <w:spacing w:after="120"/>
        <w:rPr>
          <w:szCs w:val="22"/>
        </w:rPr>
      </w:pPr>
      <w:r w:rsidRPr="00386BBC">
        <w:rPr>
          <w:szCs w:val="22"/>
        </w:rPr>
        <w:t xml:space="preserve">Taktiež podľa </w:t>
      </w:r>
      <w:r w:rsidRPr="00386BBC">
        <w:rPr>
          <w:i/>
          <w:szCs w:val="22"/>
          <w:u w:val="single"/>
        </w:rPr>
        <w:t>veľkosti majetku</w:t>
      </w:r>
      <w:r w:rsidRPr="00386BBC">
        <w:rPr>
          <w:szCs w:val="22"/>
        </w:rPr>
        <w:t xml:space="preserve"> (aktíva) patria poľn. podniky medzi veľmi malé a malé podniky (96,0 %). Len 3,8 % podnikov patrí do stredných podnikov a 0,1 % do veľkých podnikov. Rozhodujúci podiel podľa majetku majú malé a stredné podniky na výsledku hospodárenia (62,9 %), pridanej hodnote (85 %). Podielom na produkcii dominujú malé podniky (55,9 %).   </w:t>
      </w:r>
    </w:p>
    <w:p w:rsidR="00242C36" w:rsidRPr="00386BBC" w:rsidRDefault="00242C36" w:rsidP="00242C36">
      <w:pPr>
        <w:rPr>
          <w:szCs w:val="22"/>
        </w:rPr>
      </w:pPr>
      <w:r w:rsidRPr="00386BBC">
        <w:rPr>
          <w:szCs w:val="22"/>
        </w:rPr>
        <w:t xml:space="preserve">Obdobná diferenciácia podnikov je aj podľa </w:t>
      </w:r>
      <w:r w:rsidRPr="00386BBC">
        <w:rPr>
          <w:i/>
          <w:szCs w:val="22"/>
          <w:u w:val="single"/>
        </w:rPr>
        <w:t>hrubého obratu</w:t>
      </w:r>
      <w:r w:rsidRPr="00386BBC">
        <w:rPr>
          <w:szCs w:val="22"/>
        </w:rPr>
        <w:t xml:space="preserve">, kde 99,3 % poľn. podnikov patrí medzi veľmi malé a malé podniky. Malé podniky majú dominantný podiel na výsledku hospodárenia (71,1 %) pridanej hodnote (59,9 %)  a hrubom obrate (49,8 %).    </w:t>
      </w:r>
    </w:p>
    <w:p w:rsidR="00242C36" w:rsidRPr="00386BBC" w:rsidRDefault="00242C36" w:rsidP="00242C36">
      <w:pPr>
        <w:rPr>
          <w:bCs/>
          <w:szCs w:val="22"/>
        </w:rPr>
      </w:pPr>
      <w:r w:rsidRPr="00386BBC">
        <w:rPr>
          <w:bCs/>
          <w:szCs w:val="22"/>
        </w:rPr>
        <w:t>Tabuľka uvádza veľkostnú štruktúru fariem právnických osôb v roku 2012.</w:t>
      </w:r>
    </w:p>
    <w:p w:rsidR="00242C36" w:rsidRPr="00386BBC" w:rsidRDefault="007D119F" w:rsidP="00242C36">
      <w:pPr>
        <w:rPr>
          <w:b/>
          <w:bCs/>
          <w:szCs w:val="22"/>
        </w:rPr>
      </w:pPr>
      <w:r>
        <w:rPr>
          <w:b/>
          <w:bCs/>
          <w:szCs w:val="22"/>
        </w:rPr>
        <w:t xml:space="preserve">Tabuľka 12: </w:t>
      </w:r>
      <w:r w:rsidR="00242C36" w:rsidRPr="00386BBC">
        <w:rPr>
          <w:b/>
          <w:bCs/>
          <w:szCs w:val="22"/>
        </w:rPr>
        <w:t>Veľkostná štruktúra fariem právnických osôb v roku 2012</w:t>
      </w:r>
    </w:p>
    <w:tbl>
      <w:tblPr>
        <w:tblW w:w="9087" w:type="dxa"/>
        <w:tblInd w:w="55" w:type="dxa"/>
        <w:tblCellMar>
          <w:left w:w="70" w:type="dxa"/>
          <w:right w:w="70" w:type="dxa"/>
        </w:tblCellMar>
        <w:tblLook w:val="04A0" w:firstRow="1" w:lastRow="0" w:firstColumn="1" w:lastColumn="0" w:noHBand="0" w:noVBand="1"/>
      </w:tblPr>
      <w:tblGrid>
        <w:gridCol w:w="1260"/>
        <w:gridCol w:w="1420"/>
        <w:gridCol w:w="680"/>
        <w:gridCol w:w="908"/>
        <w:gridCol w:w="832"/>
        <w:gridCol w:w="869"/>
        <w:gridCol w:w="926"/>
        <w:gridCol w:w="690"/>
        <w:gridCol w:w="794"/>
        <w:gridCol w:w="708"/>
      </w:tblGrid>
      <w:tr w:rsidR="00242C36" w:rsidRPr="00386BBC" w:rsidTr="00242C36">
        <w:trPr>
          <w:trHeight w:val="390"/>
        </w:trPr>
        <w:tc>
          <w:tcPr>
            <w:tcW w:w="1260" w:type="dxa"/>
            <w:tcBorders>
              <w:top w:val="single" w:sz="4" w:space="0" w:color="auto"/>
              <w:left w:val="single" w:sz="4" w:space="0" w:color="auto"/>
              <w:bottom w:val="nil"/>
              <w:right w:val="single" w:sz="4" w:space="0" w:color="auto"/>
            </w:tcBorders>
            <w:shd w:val="clear" w:color="auto" w:fill="auto"/>
            <w:noWrap/>
            <w:vAlign w:val="center"/>
            <w:hideMark/>
          </w:tcPr>
          <w:p w:rsidR="00242C36" w:rsidRPr="00386BBC" w:rsidRDefault="00242C36" w:rsidP="00242C36">
            <w:pPr>
              <w:jc w:val="center"/>
              <w:rPr>
                <w:sz w:val="20"/>
                <w:szCs w:val="20"/>
              </w:rPr>
            </w:pPr>
            <w:r w:rsidRPr="00386BBC">
              <w:rPr>
                <w:sz w:val="20"/>
                <w:szCs w:val="20"/>
              </w:rPr>
              <w:t>Veľkosť</w:t>
            </w:r>
          </w:p>
        </w:tc>
        <w:tc>
          <w:tcPr>
            <w:tcW w:w="1420" w:type="dxa"/>
            <w:tcBorders>
              <w:top w:val="single" w:sz="4" w:space="0" w:color="auto"/>
              <w:left w:val="nil"/>
              <w:bottom w:val="nil"/>
              <w:right w:val="nil"/>
            </w:tcBorders>
            <w:shd w:val="clear" w:color="auto" w:fill="auto"/>
            <w:noWrap/>
            <w:vAlign w:val="center"/>
            <w:hideMark/>
          </w:tcPr>
          <w:p w:rsidR="00242C36" w:rsidRPr="00386BBC" w:rsidRDefault="00242C36" w:rsidP="00242C36">
            <w:pPr>
              <w:jc w:val="center"/>
              <w:rPr>
                <w:sz w:val="20"/>
                <w:szCs w:val="20"/>
              </w:rPr>
            </w:pPr>
            <w:r w:rsidRPr="00386BBC">
              <w:rPr>
                <w:sz w:val="20"/>
                <w:szCs w:val="20"/>
              </w:rPr>
              <w:t>Kritérium</w:t>
            </w:r>
          </w:p>
        </w:tc>
        <w:tc>
          <w:tcPr>
            <w:tcW w:w="1588"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42C36" w:rsidRPr="00386BBC" w:rsidRDefault="00242C36" w:rsidP="00242C36">
            <w:pPr>
              <w:jc w:val="center"/>
              <w:rPr>
                <w:sz w:val="20"/>
                <w:szCs w:val="20"/>
              </w:rPr>
            </w:pPr>
            <w:r w:rsidRPr="00386BBC">
              <w:rPr>
                <w:sz w:val="20"/>
                <w:szCs w:val="20"/>
              </w:rPr>
              <w:t>Spolu</w:t>
            </w:r>
          </w:p>
        </w:tc>
        <w:tc>
          <w:tcPr>
            <w:tcW w:w="1701" w:type="dxa"/>
            <w:gridSpan w:val="2"/>
            <w:tcBorders>
              <w:top w:val="single" w:sz="4" w:space="0" w:color="auto"/>
              <w:left w:val="nil"/>
              <w:bottom w:val="single" w:sz="4" w:space="0" w:color="auto"/>
              <w:right w:val="single" w:sz="4" w:space="0" w:color="auto"/>
            </w:tcBorders>
            <w:shd w:val="clear" w:color="auto" w:fill="auto"/>
            <w:noWrap/>
            <w:vAlign w:val="center"/>
            <w:hideMark/>
          </w:tcPr>
          <w:p w:rsidR="00242C36" w:rsidRPr="00386BBC" w:rsidRDefault="00242C36" w:rsidP="00242C36">
            <w:pPr>
              <w:jc w:val="center"/>
              <w:rPr>
                <w:sz w:val="20"/>
                <w:szCs w:val="20"/>
              </w:rPr>
            </w:pPr>
            <w:r w:rsidRPr="00386BBC">
              <w:rPr>
                <w:sz w:val="20"/>
                <w:szCs w:val="20"/>
              </w:rPr>
              <w:t>Výsledok hosp.</w:t>
            </w:r>
          </w:p>
        </w:tc>
        <w:tc>
          <w:tcPr>
            <w:tcW w:w="1616" w:type="dxa"/>
            <w:gridSpan w:val="2"/>
            <w:tcBorders>
              <w:top w:val="single" w:sz="4" w:space="0" w:color="auto"/>
              <w:left w:val="nil"/>
              <w:bottom w:val="single" w:sz="4" w:space="0" w:color="auto"/>
              <w:right w:val="single" w:sz="4" w:space="0" w:color="auto"/>
            </w:tcBorders>
            <w:shd w:val="clear" w:color="auto" w:fill="auto"/>
            <w:noWrap/>
            <w:vAlign w:val="center"/>
            <w:hideMark/>
          </w:tcPr>
          <w:p w:rsidR="00242C36" w:rsidRPr="00386BBC" w:rsidRDefault="00242C36" w:rsidP="00242C36">
            <w:pPr>
              <w:jc w:val="center"/>
              <w:rPr>
                <w:sz w:val="20"/>
                <w:szCs w:val="20"/>
              </w:rPr>
            </w:pPr>
            <w:r w:rsidRPr="00386BBC">
              <w:rPr>
                <w:sz w:val="20"/>
                <w:szCs w:val="20"/>
              </w:rPr>
              <w:t>Pridaná hodnota</w:t>
            </w:r>
          </w:p>
        </w:tc>
        <w:tc>
          <w:tcPr>
            <w:tcW w:w="1502" w:type="dxa"/>
            <w:gridSpan w:val="2"/>
            <w:tcBorders>
              <w:top w:val="single" w:sz="4" w:space="0" w:color="auto"/>
              <w:left w:val="nil"/>
              <w:bottom w:val="single" w:sz="4" w:space="0" w:color="auto"/>
              <w:right w:val="single" w:sz="4" w:space="0" w:color="auto"/>
            </w:tcBorders>
            <w:shd w:val="clear" w:color="auto" w:fill="auto"/>
            <w:noWrap/>
            <w:vAlign w:val="center"/>
            <w:hideMark/>
          </w:tcPr>
          <w:p w:rsidR="00242C36" w:rsidRPr="00386BBC" w:rsidRDefault="00242C36" w:rsidP="00242C36">
            <w:pPr>
              <w:jc w:val="center"/>
              <w:rPr>
                <w:sz w:val="20"/>
                <w:szCs w:val="20"/>
              </w:rPr>
            </w:pPr>
            <w:r w:rsidRPr="00386BBC">
              <w:rPr>
                <w:sz w:val="20"/>
                <w:szCs w:val="20"/>
              </w:rPr>
              <w:t>Produkcia</w:t>
            </w:r>
          </w:p>
        </w:tc>
      </w:tr>
      <w:tr w:rsidR="00242C36" w:rsidRPr="00386BBC" w:rsidTr="00242C36">
        <w:trPr>
          <w:trHeight w:val="630"/>
        </w:trPr>
        <w:tc>
          <w:tcPr>
            <w:tcW w:w="1260" w:type="dxa"/>
            <w:tcBorders>
              <w:top w:val="nil"/>
              <w:left w:val="single" w:sz="4" w:space="0" w:color="auto"/>
              <w:bottom w:val="single" w:sz="4" w:space="0" w:color="auto"/>
              <w:right w:val="single" w:sz="4" w:space="0" w:color="auto"/>
            </w:tcBorders>
            <w:shd w:val="clear" w:color="auto" w:fill="auto"/>
            <w:noWrap/>
            <w:vAlign w:val="bottom"/>
            <w:hideMark/>
          </w:tcPr>
          <w:p w:rsidR="00242C36" w:rsidRPr="00386BBC" w:rsidRDefault="00242C36" w:rsidP="00242C36">
            <w:pPr>
              <w:rPr>
                <w:sz w:val="20"/>
                <w:szCs w:val="20"/>
              </w:rPr>
            </w:pPr>
            <w:r w:rsidRPr="00386BBC">
              <w:rPr>
                <w:sz w:val="20"/>
                <w:szCs w:val="20"/>
              </w:rPr>
              <w:t> </w:t>
            </w:r>
          </w:p>
        </w:tc>
        <w:tc>
          <w:tcPr>
            <w:tcW w:w="1420" w:type="dxa"/>
            <w:tcBorders>
              <w:top w:val="nil"/>
              <w:left w:val="nil"/>
              <w:bottom w:val="single" w:sz="4" w:space="0" w:color="auto"/>
              <w:right w:val="nil"/>
            </w:tcBorders>
            <w:shd w:val="clear" w:color="auto" w:fill="auto"/>
            <w:noWrap/>
            <w:vAlign w:val="bottom"/>
            <w:hideMark/>
          </w:tcPr>
          <w:p w:rsidR="00242C36" w:rsidRPr="00386BBC" w:rsidRDefault="00242C36" w:rsidP="00242C36">
            <w:pPr>
              <w:rPr>
                <w:sz w:val="20"/>
                <w:szCs w:val="20"/>
              </w:rPr>
            </w:pPr>
            <w:r w:rsidRPr="00386BBC">
              <w:rPr>
                <w:sz w:val="20"/>
                <w:szCs w:val="20"/>
              </w:rPr>
              <w:t> </w:t>
            </w:r>
          </w:p>
        </w:tc>
        <w:tc>
          <w:tcPr>
            <w:tcW w:w="680" w:type="dxa"/>
            <w:tcBorders>
              <w:top w:val="nil"/>
              <w:left w:val="single" w:sz="4" w:space="0" w:color="auto"/>
              <w:bottom w:val="single" w:sz="4" w:space="0" w:color="auto"/>
              <w:right w:val="single" w:sz="4" w:space="0" w:color="auto"/>
            </w:tcBorders>
            <w:shd w:val="clear" w:color="auto" w:fill="auto"/>
            <w:noWrap/>
            <w:vAlign w:val="center"/>
            <w:hideMark/>
          </w:tcPr>
          <w:p w:rsidR="00242C36" w:rsidRPr="00386BBC" w:rsidRDefault="00242C36" w:rsidP="00242C36">
            <w:pPr>
              <w:jc w:val="center"/>
              <w:rPr>
                <w:sz w:val="20"/>
                <w:szCs w:val="20"/>
              </w:rPr>
            </w:pPr>
            <w:r w:rsidRPr="00386BBC">
              <w:rPr>
                <w:sz w:val="20"/>
                <w:szCs w:val="20"/>
              </w:rPr>
              <w:t>počet</w:t>
            </w:r>
          </w:p>
        </w:tc>
        <w:tc>
          <w:tcPr>
            <w:tcW w:w="908" w:type="dxa"/>
            <w:tcBorders>
              <w:top w:val="nil"/>
              <w:left w:val="nil"/>
              <w:bottom w:val="single" w:sz="4" w:space="0" w:color="auto"/>
              <w:right w:val="single" w:sz="4" w:space="0" w:color="auto"/>
            </w:tcBorders>
            <w:shd w:val="clear" w:color="auto" w:fill="auto"/>
            <w:vAlign w:val="center"/>
            <w:hideMark/>
          </w:tcPr>
          <w:p w:rsidR="00242C36" w:rsidRPr="00386BBC" w:rsidRDefault="00242C36" w:rsidP="00242C36">
            <w:pPr>
              <w:jc w:val="center"/>
              <w:rPr>
                <w:sz w:val="20"/>
                <w:szCs w:val="20"/>
              </w:rPr>
            </w:pPr>
            <w:r w:rsidRPr="00386BBC">
              <w:rPr>
                <w:sz w:val="20"/>
                <w:szCs w:val="20"/>
              </w:rPr>
              <w:t>podiel     v %</w:t>
            </w:r>
          </w:p>
        </w:tc>
        <w:tc>
          <w:tcPr>
            <w:tcW w:w="832" w:type="dxa"/>
            <w:tcBorders>
              <w:top w:val="nil"/>
              <w:left w:val="nil"/>
              <w:bottom w:val="single" w:sz="4" w:space="0" w:color="auto"/>
              <w:right w:val="single" w:sz="4" w:space="0" w:color="auto"/>
            </w:tcBorders>
            <w:shd w:val="clear" w:color="auto" w:fill="auto"/>
            <w:noWrap/>
            <w:vAlign w:val="center"/>
            <w:hideMark/>
          </w:tcPr>
          <w:p w:rsidR="00242C36" w:rsidRPr="00386BBC" w:rsidRDefault="00242C36" w:rsidP="00242C36">
            <w:pPr>
              <w:jc w:val="center"/>
              <w:rPr>
                <w:sz w:val="20"/>
                <w:szCs w:val="20"/>
              </w:rPr>
            </w:pPr>
            <w:r w:rsidRPr="00386BBC">
              <w:rPr>
                <w:sz w:val="20"/>
                <w:szCs w:val="20"/>
              </w:rPr>
              <w:t>v €/ha</w:t>
            </w:r>
          </w:p>
        </w:tc>
        <w:tc>
          <w:tcPr>
            <w:tcW w:w="869" w:type="dxa"/>
            <w:tcBorders>
              <w:top w:val="nil"/>
              <w:left w:val="nil"/>
              <w:bottom w:val="single" w:sz="4" w:space="0" w:color="auto"/>
              <w:right w:val="single" w:sz="4" w:space="0" w:color="auto"/>
            </w:tcBorders>
            <w:shd w:val="clear" w:color="auto" w:fill="auto"/>
            <w:vAlign w:val="center"/>
            <w:hideMark/>
          </w:tcPr>
          <w:p w:rsidR="00242C36" w:rsidRPr="00386BBC" w:rsidRDefault="00242C36" w:rsidP="00242C36">
            <w:pPr>
              <w:jc w:val="center"/>
              <w:rPr>
                <w:sz w:val="20"/>
                <w:szCs w:val="20"/>
              </w:rPr>
            </w:pPr>
            <w:r w:rsidRPr="00386BBC">
              <w:rPr>
                <w:sz w:val="20"/>
                <w:szCs w:val="20"/>
              </w:rPr>
              <w:t>podiel     v %</w:t>
            </w:r>
          </w:p>
        </w:tc>
        <w:tc>
          <w:tcPr>
            <w:tcW w:w="926" w:type="dxa"/>
            <w:tcBorders>
              <w:top w:val="nil"/>
              <w:left w:val="nil"/>
              <w:bottom w:val="single" w:sz="4" w:space="0" w:color="auto"/>
              <w:right w:val="single" w:sz="4" w:space="0" w:color="auto"/>
            </w:tcBorders>
            <w:shd w:val="clear" w:color="auto" w:fill="auto"/>
            <w:noWrap/>
            <w:vAlign w:val="center"/>
            <w:hideMark/>
          </w:tcPr>
          <w:p w:rsidR="00242C36" w:rsidRPr="00386BBC" w:rsidRDefault="00242C36" w:rsidP="00242C36">
            <w:pPr>
              <w:jc w:val="center"/>
              <w:rPr>
                <w:sz w:val="20"/>
                <w:szCs w:val="20"/>
              </w:rPr>
            </w:pPr>
            <w:r w:rsidRPr="00386BBC">
              <w:rPr>
                <w:sz w:val="20"/>
                <w:szCs w:val="20"/>
              </w:rPr>
              <w:t>v €/ha</w:t>
            </w:r>
          </w:p>
        </w:tc>
        <w:tc>
          <w:tcPr>
            <w:tcW w:w="690" w:type="dxa"/>
            <w:tcBorders>
              <w:top w:val="nil"/>
              <w:left w:val="nil"/>
              <w:bottom w:val="single" w:sz="4" w:space="0" w:color="auto"/>
              <w:right w:val="single" w:sz="4" w:space="0" w:color="auto"/>
            </w:tcBorders>
            <w:shd w:val="clear" w:color="auto" w:fill="auto"/>
            <w:vAlign w:val="center"/>
            <w:hideMark/>
          </w:tcPr>
          <w:p w:rsidR="00242C36" w:rsidRPr="00386BBC" w:rsidRDefault="00242C36" w:rsidP="00242C36">
            <w:pPr>
              <w:jc w:val="center"/>
              <w:rPr>
                <w:sz w:val="20"/>
                <w:szCs w:val="20"/>
              </w:rPr>
            </w:pPr>
            <w:r w:rsidRPr="00386BBC">
              <w:rPr>
                <w:sz w:val="20"/>
                <w:szCs w:val="20"/>
              </w:rPr>
              <w:t>podiel     v %</w:t>
            </w:r>
          </w:p>
        </w:tc>
        <w:tc>
          <w:tcPr>
            <w:tcW w:w="794" w:type="dxa"/>
            <w:tcBorders>
              <w:top w:val="nil"/>
              <w:left w:val="nil"/>
              <w:bottom w:val="single" w:sz="4" w:space="0" w:color="auto"/>
              <w:right w:val="single" w:sz="4" w:space="0" w:color="auto"/>
            </w:tcBorders>
            <w:shd w:val="clear" w:color="auto" w:fill="auto"/>
            <w:noWrap/>
            <w:vAlign w:val="center"/>
            <w:hideMark/>
          </w:tcPr>
          <w:p w:rsidR="00242C36" w:rsidRPr="00386BBC" w:rsidRDefault="00242C36" w:rsidP="00242C36">
            <w:pPr>
              <w:jc w:val="center"/>
              <w:rPr>
                <w:sz w:val="20"/>
                <w:szCs w:val="20"/>
              </w:rPr>
            </w:pPr>
            <w:r w:rsidRPr="00386BBC">
              <w:rPr>
                <w:sz w:val="20"/>
                <w:szCs w:val="20"/>
              </w:rPr>
              <w:t>v €/ha</w:t>
            </w:r>
          </w:p>
        </w:tc>
        <w:tc>
          <w:tcPr>
            <w:tcW w:w="708" w:type="dxa"/>
            <w:tcBorders>
              <w:top w:val="nil"/>
              <w:left w:val="nil"/>
              <w:bottom w:val="single" w:sz="4" w:space="0" w:color="auto"/>
              <w:right w:val="single" w:sz="4" w:space="0" w:color="auto"/>
            </w:tcBorders>
            <w:shd w:val="clear" w:color="auto" w:fill="auto"/>
            <w:vAlign w:val="center"/>
            <w:hideMark/>
          </w:tcPr>
          <w:p w:rsidR="00242C36" w:rsidRPr="00386BBC" w:rsidRDefault="00242C36" w:rsidP="00242C36">
            <w:pPr>
              <w:jc w:val="center"/>
              <w:rPr>
                <w:sz w:val="20"/>
                <w:szCs w:val="20"/>
              </w:rPr>
            </w:pPr>
            <w:r w:rsidRPr="00386BBC">
              <w:rPr>
                <w:sz w:val="20"/>
                <w:szCs w:val="20"/>
              </w:rPr>
              <w:t>podiel     v %</w:t>
            </w:r>
          </w:p>
        </w:tc>
      </w:tr>
      <w:tr w:rsidR="00242C36" w:rsidRPr="00386BBC" w:rsidTr="00242C36">
        <w:trPr>
          <w:trHeight w:val="360"/>
        </w:trPr>
        <w:tc>
          <w:tcPr>
            <w:tcW w:w="9087" w:type="dxa"/>
            <w:gridSpan w:val="10"/>
            <w:tcBorders>
              <w:top w:val="single" w:sz="4" w:space="0" w:color="auto"/>
              <w:left w:val="single" w:sz="4" w:space="0" w:color="auto"/>
              <w:bottom w:val="nil"/>
              <w:right w:val="single" w:sz="4" w:space="0" w:color="000000"/>
            </w:tcBorders>
            <w:shd w:val="clear" w:color="auto" w:fill="auto"/>
            <w:noWrap/>
            <w:vAlign w:val="center"/>
            <w:hideMark/>
          </w:tcPr>
          <w:p w:rsidR="00242C36" w:rsidRPr="00386BBC" w:rsidRDefault="00242C36" w:rsidP="00242C36">
            <w:pPr>
              <w:jc w:val="center"/>
              <w:rPr>
                <w:b/>
                <w:bCs/>
                <w:sz w:val="20"/>
                <w:szCs w:val="20"/>
              </w:rPr>
            </w:pPr>
            <w:r w:rsidRPr="00386BBC">
              <w:rPr>
                <w:b/>
                <w:bCs/>
                <w:sz w:val="20"/>
                <w:szCs w:val="20"/>
              </w:rPr>
              <w:t>Podľa počtu pracovníkov</w:t>
            </w:r>
          </w:p>
        </w:tc>
      </w:tr>
      <w:tr w:rsidR="00242C36" w:rsidRPr="00386BBC" w:rsidTr="00242C36">
        <w:trPr>
          <w:trHeight w:val="300"/>
        </w:trPr>
        <w:tc>
          <w:tcPr>
            <w:tcW w:w="1260" w:type="dxa"/>
            <w:tcBorders>
              <w:top w:val="single" w:sz="4" w:space="0" w:color="auto"/>
              <w:left w:val="single" w:sz="4" w:space="0" w:color="auto"/>
              <w:bottom w:val="nil"/>
              <w:right w:val="nil"/>
            </w:tcBorders>
            <w:shd w:val="clear" w:color="auto" w:fill="auto"/>
            <w:noWrap/>
            <w:vAlign w:val="bottom"/>
            <w:hideMark/>
          </w:tcPr>
          <w:p w:rsidR="00242C36" w:rsidRPr="00386BBC" w:rsidRDefault="00242C36" w:rsidP="00242C36">
            <w:pPr>
              <w:rPr>
                <w:sz w:val="20"/>
                <w:szCs w:val="20"/>
              </w:rPr>
            </w:pPr>
            <w:r w:rsidRPr="00386BBC">
              <w:rPr>
                <w:sz w:val="20"/>
                <w:szCs w:val="20"/>
              </w:rPr>
              <w:t>Veľmi malé</w:t>
            </w:r>
          </w:p>
        </w:tc>
        <w:tc>
          <w:tcPr>
            <w:tcW w:w="1420" w:type="dxa"/>
            <w:tcBorders>
              <w:top w:val="single" w:sz="4" w:space="0" w:color="auto"/>
              <w:left w:val="single" w:sz="4" w:space="0" w:color="auto"/>
              <w:bottom w:val="nil"/>
              <w:right w:val="single" w:sz="4" w:space="0" w:color="auto"/>
            </w:tcBorders>
            <w:shd w:val="clear" w:color="auto" w:fill="auto"/>
            <w:noWrap/>
            <w:vAlign w:val="bottom"/>
            <w:hideMark/>
          </w:tcPr>
          <w:p w:rsidR="00242C36" w:rsidRPr="00386BBC" w:rsidRDefault="00242C36" w:rsidP="00242C36">
            <w:pPr>
              <w:rPr>
                <w:sz w:val="20"/>
                <w:szCs w:val="20"/>
              </w:rPr>
            </w:pPr>
            <w:r w:rsidRPr="00386BBC">
              <w:rPr>
                <w:sz w:val="20"/>
                <w:szCs w:val="20"/>
              </w:rPr>
              <w:t>0 - 9 prac.</w:t>
            </w:r>
          </w:p>
        </w:tc>
        <w:tc>
          <w:tcPr>
            <w:tcW w:w="680" w:type="dxa"/>
            <w:tcBorders>
              <w:top w:val="single" w:sz="4" w:space="0" w:color="auto"/>
              <w:left w:val="nil"/>
              <w:bottom w:val="nil"/>
              <w:right w:val="nil"/>
            </w:tcBorders>
            <w:shd w:val="clear" w:color="auto" w:fill="auto"/>
            <w:noWrap/>
            <w:vAlign w:val="bottom"/>
            <w:hideMark/>
          </w:tcPr>
          <w:p w:rsidR="00242C36" w:rsidRPr="00386BBC" w:rsidRDefault="00242C36" w:rsidP="00242C36">
            <w:pPr>
              <w:jc w:val="right"/>
              <w:rPr>
                <w:sz w:val="20"/>
                <w:szCs w:val="20"/>
              </w:rPr>
            </w:pPr>
            <w:r w:rsidRPr="00386BBC">
              <w:rPr>
                <w:sz w:val="20"/>
                <w:szCs w:val="20"/>
              </w:rPr>
              <w:t>632</w:t>
            </w:r>
          </w:p>
        </w:tc>
        <w:tc>
          <w:tcPr>
            <w:tcW w:w="908" w:type="dxa"/>
            <w:tcBorders>
              <w:top w:val="single" w:sz="4" w:space="0" w:color="auto"/>
              <w:left w:val="nil"/>
              <w:bottom w:val="nil"/>
              <w:right w:val="single" w:sz="4" w:space="0" w:color="auto"/>
            </w:tcBorders>
            <w:shd w:val="clear" w:color="auto" w:fill="auto"/>
            <w:noWrap/>
            <w:vAlign w:val="bottom"/>
            <w:hideMark/>
          </w:tcPr>
          <w:p w:rsidR="00242C36" w:rsidRPr="00386BBC" w:rsidRDefault="00242C36" w:rsidP="00242C36">
            <w:pPr>
              <w:jc w:val="right"/>
              <w:rPr>
                <w:sz w:val="20"/>
                <w:szCs w:val="20"/>
              </w:rPr>
            </w:pPr>
            <w:r w:rsidRPr="00386BBC">
              <w:rPr>
                <w:sz w:val="20"/>
                <w:szCs w:val="20"/>
              </w:rPr>
              <w:t>42,7</w:t>
            </w:r>
          </w:p>
        </w:tc>
        <w:tc>
          <w:tcPr>
            <w:tcW w:w="832" w:type="dxa"/>
            <w:tcBorders>
              <w:top w:val="single" w:sz="4" w:space="0" w:color="auto"/>
              <w:left w:val="nil"/>
              <w:bottom w:val="nil"/>
              <w:right w:val="nil"/>
            </w:tcBorders>
            <w:shd w:val="clear" w:color="auto" w:fill="auto"/>
            <w:noWrap/>
            <w:vAlign w:val="bottom"/>
            <w:hideMark/>
          </w:tcPr>
          <w:p w:rsidR="00242C36" w:rsidRPr="00386BBC" w:rsidRDefault="00242C36" w:rsidP="00242C36">
            <w:pPr>
              <w:jc w:val="right"/>
              <w:rPr>
                <w:sz w:val="20"/>
                <w:szCs w:val="20"/>
              </w:rPr>
            </w:pPr>
            <w:r w:rsidRPr="00386BBC">
              <w:rPr>
                <w:sz w:val="20"/>
                <w:szCs w:val="20"/>
              </w:rPr>
              <w:t>52,5</w:t>
            </w:r>
          </w:p>
        </w:tc>
        <w:tc>
          <w:tcPr>
            <w:tcW w:w="869" w:type="dxa"/>
            <w:tcBorders>
              <w:top w:val="single" w:sz="4" w:space="0" w:color="auto"/>
              <w:left w:val="nil"/>
              <w:bottom w:val="nil"/>
              <w:right w:val="nil"/>
            </w:tcBorders>
            <w:shd w:val="clear" w:color="auto" w:fill="auto"/>
            <w:noWrap/>
            <w:vAlign w:val="bottom"/>
            <w:hideMark/>
          </w:tcPr>
          <w:p w:rsidR="00242C36" w:rsidRPr="00386BBC" w:rsidRDefault="00242C36" w:rsidP="00242C36">
            <w:pPr>
              <w:jc w:val="right"/>
              <w:rPr>
                <w:sz w:val="20"/>
                <w:szCs w:val="20"/>
              </w:rPr>
            </w:pPr>
            <w:r w:rsidRPr="00386BBC">
              <w:rPr>
                <w:sz w:val="20"/>
                <w:szCs w:val="20"/>
              </w:rPr>
              <w:t>24,0</w:t>
            </w:r>
          </w:p>
        </w:tc>
        <w:tc>
          <w:tcPr>
            <w:tcW w:w="926" w:type="dxa"/>
            <w:tcBorders>
              <w:top w:val="single" w:sz="4" w:space="0" w:color="auto"/>
              <w:left w:val="single" w:sz="4" w:space="0" w:color="auto"/>
              <w:bottom w:val="nil"/>
              <w:right w:val="nil"/>
            </w:tcBorders>
            <w:shd w:val="clear" w:color="auto" w:fill="auto"/>
            <w:noWrap/>
            <w:vAlign w:val="bottom"/>
            <w:hideMark/>
          </w:tcPr>
          <w:p w:rsidR="00242C36" w:rsidRPr="00386BBC" w:rsidRDefault="00242C36" w:rsidP="00242C36">
            <w:pPr>
              <w:jc w:val="right"/>
              <w:rPr>
                <w:sz w:val="20"/>
                <w:szCs w:val="20"/>
              </w:rPr>
            </w:pPr>
            <w:r w:rsidRPr="00386BBC">
              <w:rPr>
                <w:sz w:val="20"/>
                <w:szCs w:val="20"/>
              </w:rPr>
              <w:t>13,1</w:t>
            </w:r>
          </w:p>
        </w:tc>
        <w:tc>
          <w:tcPr>
            <w:tcW w:w="690" w:type="dxa"/>
            <w:tcBorders>
              <w:top w:val="single" w:sz="4" w:space="0" w:color="auto"/>
              <w:left w:val="nil"/>
              <w:bottom w:val="nil"/>
              <w:right w:val="single" w:sz="4" w:space="0" w:color="auto"/>
            </w:tcBorders>
            <w:shd w:val="clear" w:color="auto" w:fill="auto"/>
            <w:noWrap/>
            <w:vAlign w:val="bottom"/>
            <w:hideMark/>
          </w:tcPr>
          <w:p w:rsidR="00242C36" w:rsidRPr="00386BBC" w:rsidRDefault="00242C36" w:rsidP="00242C36">
            <w:pPr>
              <w:jc w:val="right"/>
              <w:rPr>
                <w:sz w:val="20"/>
                <w:szCs w:val="20"/>
              </w:rPr>
            </w:pPr>
            <w:r w:rsidRPr="00386BBC">
              <w:rPr>
                <w:sz w:val="20"/>
                <w:szCs w:val="20"/>
              </w:rPr>
              <w:t>0,8</w:t>
            </w:r>
          </w:p>
        </w:tc>
        <w:tc>
          <w:tcPr>
            <w:tcW w:w="794" w:type="dxa"/>
            <w:tcBorders>
              <w:top w:val="single" w:sz="4" w:space="0" w:color="auto"/>
              <w:left w:val="nil"/>
              <w:bottom w:val="nil"/>
              <w:right w:val="nil"/>
            </w:tcBorders>
            <w:shd w:val="clear" w:color="auto" w:fill="auto"/>
            <w:noWrap/>
            <w:vAlign w:val="bottom"/>
            <w:hideMark/>
          </w:tcPr>
          <w:p w:rsidR="00242C36" w:rsidRPr="00386BBC" w:rsidRDefault="00242C36" w:rsidP="00242C36">
            <w:pPr>
              <w:jc w:val="right"/>
              <w:rPr>
                <w:sz w:val="20"/>
                <w:szCs w:val="20"/>
              </w:rPr>
            </w:pPr>
            <w:r w:rsidRPr="00386BBC">
              <w:rPr>
                <w:sz w:val="20"/>
                <w:szCs w:val="20"/>
              </w:rPr>
              <w:t>699,4</w:t>
            </w:r>
          </w:p>
        </w:tc>
        <w:tc>
          <w:tcPr>
            <w:tcW w:w="708" w:type="dxa"/>
            <w:tcBorders>
              <w:top w:val="single" w:sz="4" w:space="0" w:color="auto"/>
              <w:left w:val="nil"/>
              <w:bottom w:val="nil"/>
              <w:right w:val="single" w:sz="4" w:space="0" w:color="auto"/>
            </w:tcBorders>
            <w:shd w:val="clear" w:color="auto" w:fill="auto"/>
            <w:noWrap/>
            <w:vAlign w:val="bottom"/>
            <w:hideMark/>
          </w:tcPr>
          <w:p w:rsidR="00242C36" w:rsidRPr="00386BBC" w:rsidRDefault="00242C36" w:rsidP="00242C36">
            <w:pPr>
              <w:jc w:val="right"/>
              <w:rPr>
                <w:sz w:val="20"/>
                <w:szCs w:val="20"/>
              </w:rPr>
            </w:pPr>
            <w:r w:rsidRPr="00386BBC">
              <w:rPr>
                <w:sz w:val="20"/>
                <w:szCs w:val="20"/>
              </w:rPr>
              <w:t>9,7</w:t>
            </w:r>
          </w:p>
        </w:tc>
      </w:tr>
      <w:tr w:rsidR="00242C36" w:rsidRPr="00386BBC" w:rsidTr="00242C36">
        <w:trPr>
          <w:trHeight w:val="300"/>
        </w:trPr>
        <w:tc>
          <w:tcPr>
            <w:tcW w:w="1260" w:type="dxa"/>
            <w:tcBorders>
              <w:top w:val="nil"/>
              <w:left w:val="single" w:sz="4" w:space="0" w:color="auto"/>
              <w:bottom w:val="nil"/>
              <w:right w:val="nil"/>
            </w:tcBorders>
            <w:shd w:val="clear" w:color="auto" w:fill="auto"/>
            <w:noWrap/>
            <w:vAlign w:val="bottom"/>
            <w:hideMark/>
          </w:tcPr>
          <w:p w:rsidR="00242C36" w:rsidRPr="00386BBC" w:rsidRDefault="00242C36" w:rsidP="00242C36">
            <w:pPr>
              <w:rPr>
                <w:sz w:val="20"/>
                <w:szCs w:val="20"/>
              </w:rPr>
            </w:pPr>
            <w:r w:rsidRPr="00386BBC">
              <w:rPr>
                <w:sz w:val="20"/>
                <w:szCs w:val="20"/>
              </w:rPr>
              <w:t>Malé</w:t>
            </w:r>
          </w:p>
        </w:tc>
        <w:tc>
          <w:tcPr>
            <w:tcW w:w="1420" w:type="dxa"/>
            <w:tcBorders>
              <w:top w:val="nil"/>
              <w:left w:val="single" w:sz="4" w:space="0" w:color="auto"/>
              <w:bottom w:val="nil"/>
              <w:right w:val="single" w:sz="4" w:space="0" w:color="auto"/>
            </w:tcBorders>
            <w:shd w:val="clear" w:color="auto" w:fill="auto"/>
            <w:noWrap/>
            <w:vAlign w:val="bottom"/>
            <w:hideMark/>
          </w:tcPr>
          <w:p w:rsidR="00242C36" w:rsidRPr="00386BBC" w:rsidRDefault="00242C36" w:rsidP="00242C36">
            <w:pPr>
              <w:rPr>
                <w:sz w:val="20"/>
                <w:szCs w:val="20"/>
              </w:rPr>
            </w:pPr>
            <w:r w:rsidRPr="00386BBC">
              <w:rPr>
                <w:sz w:val="20"/>
                <w:szCs w:val="20"/>
              </w:rPr>
              <w:t>10 - 49 prac.</w:t>
            </w:r>
          </w:p>
        </w:tc>
        <w:tc>
          <w:tcPr>
            <w:tcW w:w="680" w:type="dxa"/>
            <w:tcBorders>
              <w:top w:val="nil"/>
              <w:left w:val="nil"/>
              <w:bottom w:val="nil"/>
              <w:right w:val="nil"/>
            </w:tcBorders>
            <w:shd w:val="clear" w:color="auto" w:fill="auto"/>
            <w:noWrap/>
            <w:vAlign w:val="bottom"/>
            <w:hideMark/>
          </w:tcPr>
          <w:p w:rsidR="00242C36" w:rsidRPr="00386BBC" w:rsidRDefault="00242C36" w:rsidP="00242C36">
            <w:pPr>
              <w:jc w:val="right"/>
              <w:rPr>
                <w:sz w:val="20"/>
                <w:szCs w:val="20"/>
              </w:rPr>
            </w:pPr>
            <w:r w:rsidRPr="00386BBC">
              <w:rPr>
                <w:sz w:val="20"/>
                <w:szCs w:val="20"/>
              </w:rPr>
              <w:t>657</w:t>
            </w:r>
          </w:p>
        </w:tc>
        <w:tc>
          <w:tcPr>
            <w:tcW w:w="908" w:type="dxa"/>
            <w:tcBorders>
              <w:top w:val="nil"/>
              <w:left w:val="nil"/>
              <w:bottom w:val="nil"/>
              <w:right w:val="single" w:sz="4" w:space="0" w:color="auto"/>
            </w:tcBorders>
            <w:shd w:val="clear" w:color="auto" w:fill="auto"/>
            <w:noWrap/>
            <w:vAlign w:val="bottom"/>
            <w:hideMark/>
          </w:tcPr>
          <w:p w:rsidR="00242C36" w:rsidRPr="00386BBC" w:rsidRDefault="00242C36" w:rsidP="00242C36">
            <w:pPr>
              <w:jc w:val="right"/>
              <w:rPr>
                <w:sz w:val="20"/>
                <w:szCs w:val="20"/>
              </w:rPr>
            </w:pPr>
            <w:r w:rsidRPr="00386BBC">
              <w:rPr>
                <w:sz w:val="20"/>
                <w:szCs w:val="20"/>
              </w:rPr>
              <w:t>44,4</w:t>
            </w:r>
          </w:p>
        </w:tc>
        <w:tc>
          <w:tcPr>
            <w:tcW w:w="832" w:type="dxa"/>
            <w:tcBorders>
              <w:top w:val="nil"/>
              <w:left w:val="nil"/>
              <w:bottom w:val="nil"/>
              <w:right w:val="nil"/>
            </w:tcBorders>
            <w:shd w:val="clear" w:color="auto" w:fill="auto"/>
            <w:noWrap/>
            <w:vAlign w:val="bottom"/>
            <w:hideMark/>
          </w:tcPr>
          <w:p w:rsidR="00242C36" w:rsidRPr="00386BBC" w:rsidRDefault="00242C36" w:rsidP="00242C36">
            <w:pPr>
              <w:jc w:val="right"/>
              <w:rPr>
                <w:sz w:val="20"/>
                <w:szCs w:val="20"/>
              </w:rPr>
            </w:pPr>
            <w:r w:rsidRPr="00386BBC">
              <w:rPr>
                <w:sz w:val="20"/>
                <w:szCs w:val="20"/>
              </w:rPr>
              <w:t>42,4</w:t>
            </w:r>
          </w:p>
        </w:tc>
        <w:tc>
          <w:tcPr>
            <w:tcW w:w="869" w:type="dxa"/>
            <w:tcBorders>
              <w:top w:val="nil"/>
              <w:left w:val="nil"/>
              <w:bottom w:val="nil"/>
              <w:right w:val="nil"/>
            </w:tcBorders>
            <w:shd w:val="clear" w:color="auto" w:fill="auto"/>
            <w:noWrap/>
            <w:vAlign w:val="bottom"/>
            <w:hideMark/>
          </w:tcPr>
          <w:p w:rsidR="00242C36" w:rsidRPr="00386BBC" w:rsidRDefault="00242C36" w:rsidP="00242C36">
            <w:pPr>
              <w:jc w:val="right"/>
              <w:rPr>
                <w:sz w:val="20"/>
                <w:szCs w:val="20"/>
              </w:rPr>
            </w:pPr>
            <w:r w:rsidRPr="00386BBC">
              <w:rPr>
                <w:sz w:val="20"/>
                <w:szCs w:val="20"/>
              </w:rPr>
              <w:t>63,2</w:t>
            </w:r>
          </w:p>
        </w:tc>
        <w:tc>
          <w:tcPr>
            <w:tcW w:w="926" w:type="dxa"/>
            <w:tcBorders>
              <w:top w:val="nil"/>
              <w:left w:val="single" w:sz="4" w:space="0" w:color="auto"/>
              <w:bottom w:val="nil"/>
              <w:right w:val="nil"/>
            </w:tcBorders>
            <w:shd w:val="clear" w:color="auto" w:fill="auto"/>
            <w:noWrap/>
            <w:vAlign w:val="bottom"/>
            <w:hideMark/>
          </w:tcPr>
          <w:p w:rsidR="00242C36" w:rsidRPr="00386BBC" w:rsidRDefault="00242C36" w:rsidP="00242C36">
            <w:pPr>
              <w:jc w:val="right"/>
              <w:rPr>
                <w:sz w:val="20"/>
                <w:szCs w:val="20"/>
              </w:rPr>
            </w:pPr>
            <w:r w:rsidRPr="00386BBC">
              <w:rPr>
                <w:sz w:val="20"/>
                <w:szCs w:val="20"/>
              </w:rPr>
              <w:t>218,1</w:t>
            </w:r>
          </w:p>
        </w:tc>
        <w:tc>
          <w:tcPr>
            <w:tcW w:w="690" w:type="dxa"/>
            <w:tcBorders>
              <w:top w:val="nil"/>
              <w:left w:val="nil"/>
              <w:bottom w:val="nil"/>
              <w:right w:val="single" w:sz="4" w:space="0" w:color="auto"/>
            </w:tcBorders>
            <w:shd w:val="clear" w:color="auto" w:fill="auto"/>
            <w:noWrap/>
            <w:vAlign w:val="bottom"/>
            <w:hideMark/>
          </w:tcPr>
          <w:p w:rsidR="00242C36" w:rsidRPr="00386BBC" w:rsidRDefault="00242C36" w:rsidP="00242C36">
            <w:pPr>
              <w:jc w:val="right"/>
              <w:rPr>
                <w:sz w:val="20"/>
                <w:szCs w:val="20"/>
              </w:rPr>
            </w:pPr>
            <w:r w:rsidRPr="00386BBC">
              <w:rPr>
                <w:sz w:val="20"/>
                <w:szCs w:val="20"/>
              </w:rPr>
              <w:t>44,5</w:t>
            </w:r>
          </w:p>
        </w:tc>
        <w:tc>
          <w:tcPr>
            <w:tcW w:w="794" w:type="dxa"/>
            <w:tcBorders>
              <w:top w:val="nil"/>
              <w:left w:val="nil"/>
              <w:bottom w:val="nil"/>
              <w:right w:val="nil"/>
            </w:tcBorders>
            <w:shd w:val="clear" w:color="auto" w:fill="auto"/>
            <w:noWrap/>
            <w:vAlign w:val="bottom"/>
            <w:hideMark/>
          </w:tcPr>
          <w:p w:rsidR="00242C36" w:rsidRPr="00386BBC" w:rsidRDefault="00242C36" w:rsidP="00242C36">
            <w:pPr>
              <w:jc w:val="right"/>
              <w:rPr>
                <w:sz w:val="20"/>
                <w:szCs w:val="20"/>
              </w:rPr>
            </w:pPr>
            <w:r w:rsidRPr="00386BBC">
              <w:rPr>
                <w:sz w:val="20"/>
                <w:szCs w:val="20"/>
              </w:rPr>
              <w:t>993,1</w:t>
            </w:r>
          </w:p>
        </w:tc>
        <w:tc>
          <w:tcPr>
            <w:tcW w:w="708" w:type="dxa"/>
            <w:tcBorders>
              <w:top w:val="nil"/>
              <w:left w:val="nil"/>
              <w:bottom w:val="nil"/>
              <w:right w:val="single" w:sz="4" w:space="0" w:color="auto"/>
            </w:tcBorders>
            <w:shd w:val="clear" w:color="auto" w:fill="auto"/>
            <w:noWrap/>
            <w:vAlign w:val="bottom"/>
            <w:hideMark/>
          </w:tcPr>
          <w:p w:rsidR="00242C36" w:rsidRPr="00386BBC" w:rsidRDefault="00242C36" w:rsidP="00242C36">
            <w:pPr>
              <w:jc w:val="right"/>
              <w:rPr>
                <w:sz w:val="20"/>
                <w:szCs w:val="20"/>
              </w:rPr>
            </w:pPr>
            <w:r w:rsidRPr="00386BBC">
              <w:rPr>
                <w:sz w:val="20"/>
                <w:szCs w:val="20"/>
              </w:rPr>
              <w:t>44,8</w:t>
            </w:r>
          </w:p>
        </w:tc>
      </w:tr>
      <w:tr w:rsidR="00242C36" w:rsidRPr="00386BBC" w:rsidTr="00242C36">
        <w:trPr>
          <w:trHeight w:val="300"/>
        </w:trPr>
        <w:tc>
          <w:tcPr>
            <w:tcW w:w="1260" w:type="dxa"/>
            <w:tcBorders>
              <w:top w:val="nil"/>
              <w:left w:val="single" w:sz="4" w:space="0" w:color="auto"/>
              <w:bottom w:val="nil"/>
              <w:right w:val="nil"/>
            </w:tcBorders>
            <w:shd w:val="clear" w:color="auto" w:fill="auto"/>
            <w:noWrap/>
            <w:vAlign w:val="bottom"/>
            <w:hideMark/>
          </w:tcPr>
          <w:p w:rsidR="00242C36" w:rsidRPr="00386BBC" w:rsidRDefault="00242C36" w:rsidP="00242C36">
            <w:pPr>
              <w:rPr>
                <w:sz w:val="20"/>
                <w:szCs w:val="20"/>
              </w:rPr>
            </w:pPr>
            <w:r w:rsidRPr="00386BBC">
              <w:rPr>
                <w:sz w:val="20"/>
                <w:szCs w:val="20"/>
              </w:rPr>
              <w:t>Stredné</w:t>
            </w:r>
          </w:p>
        </w:tc>
        <w:tc>
          <w:tcPr>
            <w:tcW w:w="1420" w:type="dxa"/>
            <w:tcBorders>
              <w:top w:val="nil"/>
              <w:left w:val="single" w:sz="4" w:space="0" w:color="auto"/>
              <w:bottom w:val="nil"/>
              <w:right w:val="single" w:sz="4" w:space="0" w:color="auto"/>
            </w:tcBorders>
            <w:shd w:val="clear" w:color="auto" w:fill="auto"/>
            <w:noWrap/>
            <w:vAlign w:val="bottom"/>
            <w:hideMark/>
          </w:tcPr>
          <w:p w:rsidR="00242C36" w:rsidRPr="00386BBC" w:rsidRDefault="00242C36" w:rsidP="00242C36">
            <w:pPr>
              <w:rPr>
                <w:sz w:val="20"/>
                <w:szCs w:val="20"/>
              </w:rPr>
            </w:pPr>
            <w:r w:rsidRPr="00386BBC">
              <w:rPr>
                <w:sz w:val="20"/>
                <w:szCs w:val="20"/>
              </w:rPr>
              <w:t>50 - 250 prac.</w:t>
            </w:r>
          </w:p>
        </w:tc>
        <w:tc>
          <w:tcPr>
            <w:tcW w:w="680" w:type="dxa"/>
            <w:tcBorders>
              <w:top w:val="nil"/>
              <w:left w:val="nil"/>
              <w:bottom w:val="nil"/>
              <w:right w:val="nil"/>
            </w:tcBorders>
            <w:shd w:val="clear" w:color="auto" w:fill="auto"/>
            <w:noWrap/>
            <w:vAlign w:val="bottom"/>
            <w:hideMark/>
          </w:tcPr>
          <w:p w:rsidR="00242C36" w:rsidRPr="00386BBC" w:rsidRDefault="00242C36" w:rsidP="00242C36">
            <w:pPr>
              <w:jc w:val="right"/>
              <w:rPr>
                <w:sz w:val="20"/>
                <w:szCs w:val="20"/>
              </w:rPr>
            </w:pPr>
            <w:r w:rsidRPr="00386BBC">
              <w:rPr>
                <w:sz w:val="20"/>
                <w:szCs w:val="20"/>
              </w:rPr>
              <w:t>191</w:t>
            </w:r>
          </w:p>
        </w:tc>
        <w:tc>
          <w:tcPr>
            <w:tcW w:w="908" w:type="dxa"/>
            <w:tcBorders>
              <w:top w:val="nil"/>
              <w:left w:val="nil"/>
              <w:bottom w:val="nil"/>
              <w:right w:val="single" w:sz="4" w:space="0" w:color="auto"/>
            </w:tcBorders>
            <w:shd w:val="clear" w:color="auto" w:fill="auto"/>
            <w:noWrap/>
            <w:vAlign w:val="bottom"/>
            <w:hideMark/>
          </w:tcPr>
          <w:p w:rsidR="00242C36" w:rsidRPr="00386BBC" w:rsidRDefault="00242C36" w:rsidP="00242C36">
            <w:pPr>
              <w:jc w:val="right"/>
              <w:rPr>
                <w:sz w:val="20"/>
                <w:szCs w:val="20"/>
              </w:rPr>
            </w:pPr>
            <w:r w:rsidRPr="00386BBC">
              <w:rPr>
                <w:sz w:val="20"/>
                <w:szCs w:val="20"/>
              </w:rPr>
              <w:t>12,9</w:t>
            </w:r>
          </w:p>
        </w:tc>
        <w:tc>
          <w:tcPr>
            <w:tcW w:w="832" w:type="dxa"/>
            <w:tcBorders>
              <w:top w:val="nil"/>
              <w:left w:val="nil"/>
              <w:bottom w:val="nil"/>
              <w:right w:val="nil"/>
            </w:tcBorders>
            <w:shd w:val="clear" w:color="auto" w:fill="auto"/>
            <w:noWrap/>
            <w:vAlign w:val="bottom"/>
            <w:hideMark/>
          </w:tcPr>
          <w:p w:rsidR="00242C36" w:rsidRPr="00386BBC" w:rsidRDefault="00242C36" w:rsidP="00242C36">
            <w:pPr>
              <w:jc w:val="right"/>
              <w:rPr>
                <w:sz w:val="20"/>
                <w:szCs w:val="20"/>
              </w:rPr>
            </w:pPr>
            <w:r w:rsidRPr="00386BBC">
              <w:rPr>
                <w:sz w:val="20"/>
                <w:szCs w:val="20"/>
              </w:rPr>
              <w:t>13,0</w:t>
            </w:r>
          </w:p>
        </w:tc>
        <w:tc>
          <w:tcPr>
            <w:tcW w:w="869" w:type="dxa"/>
            <w:tcBorders>
              <w:top w:val="nil"/>
              <w:left w:val="nil"/>
              <w:bottom w:val="nil"/>
              <w:right w:val="nil"/>
            </w:tcBorders>
            <w:shd w:val="clear" w:color="auto" w:fill="auto"/>
            <w:noWrap/>
            <w:vAlign w:val="bottom"/>
            <w:hideMark/>
          </w:tcPr>
          <w:p w:rsidR="00242C36" w:rsidRPr="00386BBC" w:rsidRDefault="00242C36" w:rsidP="00242C36">
            <w:pPr>
              <w:jc w:val="right"/>
              <w:rPr>
                <w:sz w:val="20"/>
                <w:szCs w:val="20"/>
              </w:rPr>
            </w:pPr>
            <w:r w:rsidRPr="00386BBC">
              <w:rPr>
                <w:sz w:val="20"/>
                <w:szCs w:val="20"/>
              </w:rPr>
              <w:t>12,8</w:t>
            </w:r>
          </w:p>
        </w:tc>
        <w:tc>
          <w:tcPr>
            <w:tcW w:w="926" w:type="dxa"/>
            <w:tcBorders>
              <w:top w:val="nil"/>
              <w:left w:val="single" w:sz="4" w:space="0" w:color="auto"/>
              <w:bottom w:val="nil"/>
              <w:right w:val="nil"/>
            </w:tcBorders>
            <w:shd w:val="clear" w:color="auto" w:fill="auto"/>
            <w:noWrap/>
            <w:vAlign w:val="bottom"/>
            <w:hideMark/>
          </w:tcPr>
          <w:p w:rsidR="00242C36" w:rsidRPr="00386BBC" w:rsidRDefault="00242C36" w:rsidP="00242C36">
            <w:pPr>
              <w:jc w:val="right"/>
              <w:rPr>
                <w:sz w:val="20"/>
                <w:szCs w:val="20"/>
              </w:rPr>
            </w:pPr>
            <w:r w:rsidRPr="00386BBC">
              <w:rPr>
                <w:sz w:val="20"/>
                <w:szCs w:val="20"/>
              </w:rPr>
              <w:t>405,9</w:t>
            </w:r>
          </w:p>
        </w:tc>
        <w:tc>
          <w:tcPr>
            <w:tcW w:w="690" w:type="dxa"/>
            <w:tcBorders>
              <w:top w:val="nil"/>
              <w:left w:val="nil"/>
              <w:bottom w:val="nil"/>
              <w:right w:val="single" w:sz="4" w:space="0" w:color="auto"/>
            </w:tcBorders>
            <w:shd w:val="clear" w:color="auto" w:fill="auto"/>
            <w:noWrap/>
            <w:vAlign w:val="bottom"/>
            <w:hideMark/>
          </w:tcPr>
          <w:p w:rsidR="00242C36" w:rsidRPr="00386BBC" w:rsidRDefault="00242C36" w:rsidP="00242C36">
            <w:pPr>
              <w:jc w:val="right"/>
              <w:rPr>
                <w:sz w:val="20"/>
                <w:szCs w:val="20"/>
              </w:rPr>
            </w:pPr>
            <w:r w:rsidRPr="00386BBC">
              <w:rPr>
                <w:sz w:val="20"/>
                <w:szCs w:val="20"/>
              </w:rPr>
              <w:t>54,7</w:t>
            </w:r>
          </w:p>
        </w:tc>
        <w:tc>
          <w:tcPr>
            <w:tcW w:w="794" w:type="dxa"/>
            <w:tcBorders>
              <w:top w:val="nil"/>
              <w:left w:val="nil"/>
              <w:bottom w:val="nil"/>
              <w:right w:val="nil"/>
            </w:tcBorders>
            <w:shd w:val="clear" w:color="auto" w:fill="auto"/>
            <w:noWrap/>
            <w:vAlign w:val="bottom"/>
            <w:hideMark/>
          </w:tcPr>
          <w:p w:rsidR="00242C36" w:rsidRPr="00386BBC" w:rsidRDefault="00242C36" w:rsidP="00242C36">
            <w:pPr>
              <w:jc w:val="right"/>
              <w:rPr>
                <w:sz w:val="20"/>
                <w:szCs w:val="20"/>
              </w:rPr>
            </w:pPr>
            <w:r w:rsidRPr="00386BBC">
              <w:rPr>
                <w:sz w:val="20"/>
                <w:szCs w:val="20"/>
              </w:rPr>
              <w:t>1532,5</w:t>
            </w:r>
          </w:p>
        </w:tc>
        <w:tc>
          <w:tcPr>
            <w:tcW w:w="708" w:type="dxa"/>
            <w:tcBorders>
              <w:top w:val="nil"/>
              <w:left w:val="nil"/>
              <w:bottom w:val="nil"/>
              <w:right w:val="single" w:sz="4" w:space="0" w:color="auto"/>
            </w:tcBorders>
            <w:shd w:val="clear" w:color="auto" w:fill="auto"/>
            <w:noWrap/>
            <w:vAlign w:val="bottom"/>
            <w:hideMark/>
          </w:tcPr>
          <w:p w:rsidR="00242C36" w:rsidRPr="00386BBC" w:rsidRDefault="00242C36" w:rsidP="00242C36">
            <w:pPr>
              <w:jc w:val="right"/>
              <w:rPr>
                <w:sz w:val="20"/>
                <w:szCs w:val="20"/>
              </w:rPr>
            </w:pPr>
            <w:r w:rsidRPr="00386BBC">
              <w:rPr>
                <w:sz w:val="20"/>
                <w:szCs w:val="20"/>
              </w:rPr>
              <w:t>45,6</w:t>
            </w:r>
          </w:p>
        </w:tc>
      </w:tr>
      <w:tr w:rsidR="00242C36" w:rsidRPr="00386BBC" w:rsidTr="00242C36">
        <w:trPr>
          <w:trHeight w:val="300"/>
        </w:trPr>
        <w:tc>
          <w:tcPr>
            <w:tcW w:w="1260" w:type="dxa"/>
            <w:tcBorders>
              <w:top w:val="nil"/>
              <w:left w:val="single" w:sz="4" w:space="0" w:color="auto"/>
              <w:bottom w:val="nil"/>
              <w:right w:val="nil"/>
            </w:tcBorders>
            <w:shd w:val="clear" w:color="auto" w:fill="auto"/>
            <w:noWrap/>
            <w:vAlign w:val="bottom"/>
            <w:hideMark/>
          </w:tcPr>
          <w:p w:rsidR="00242C36" w:rsidRPr="00386BBC" w:rsidRDefault="00242C36" w:rsidP="00242C36">
            <w:pPr>
              <w:rPr>
                <w:sz w:val="20"/>
                <w:szCs w:val="20"/>
              </w:rPr>
            </w:pPr>
            <w:r w:rsidRPr="00386BBC">
              <w:rPr>
                <w:sz w:val="20"/>
                <w:szCs w:val="20"/>
              </w:rPr>
              <w:t>Veľké</w:t>
            </w:r>
          </w:p>
        </w:tc>
        <w:tc>
          <w:tcPr>
            <w:tcW w:w="1420" w:type="dxa"/>
            <w:tcBorders>
              <w:top w:val="nil"/>
              <w:left w:val="single" w:sz="4" w:space="0" w:color="auto"/>
              <w:bottom w:val="nil"/>
              <w:right w:val="single" w:sz="4" w:space="0" w:color="auto"/>
            </w:tcBorders>
            <w:shd w:val="clear" w:color="auto" w:fill="auto"/>
            <w:noWrap/>
            <w:vAlign w:val="bottom"/>
            <w:hideMark/>
          </w:tcPr>
          <w:p w:rsidR="00242C36" w:rsidRPr="00386BBC" w:rsidRDefault="00242C36" w:rsidP="00242C36">
            <w:pPr>
              <w:rPr>
                <w:sz w:val="20"/>
                <w:szCs w:val="20"/>
              </w:rPr>
            </w:pPr>
            <w:r w:rsidRPr="00386BBC">
              <w:rPr>
                <w:sz w:val="20"/>
                <w:szCs w:val="20"/>
              </w:rPr>
              <w:t>nad 250 prac.</w:t>
            </w:r>
          </w:p>
        </w:tc>
        <w:tc>
          <w:tcPr>
            <w:tcW w:w="680" w:type="dxa"/>
            <w:tcBorders>
              <w:top w:val="nil"/>
              <w:left w:val="nil"/>
              <w:bottom w:val="nil"/>
              <w:right w:val="nil"/>
            </w:tcBorders>
            <w:shd w:val="clear" w:color="auto" w:fill="auto"/>
            <w:noWrap/>
            <w:vAlign w:val="bottom"/>
            <w:hideMark/>
          </w:tcPr>
          <w:p w:rsidR="00242C36" w:rsidRPr="00386BBC" w:rsidRDefault="00242C36" w:rsidP="00242C36">
            <w:pPr>
              <w:jc w:val="right"/>
              <w:rPr>
                <w:sz w:val="20"/>
                <w:szCs w:val="20"/>
              </w:rPr>
            </w:pPr>
            <w:r w:rsidRPr="00386BBC">
              <w:rPr>
                <w:sz w:val="20"/>
                <w:szCs w:val="20"/>
              </w:rPr>
              <w:t>0</w:t>
            </w:r>
          </w:p>
        </w:tc>
        <w:tc>
          <w:tcPr>
            <w:tcW w:w="908" w:type="dxa"/>
            <w:tcBorders>
              <w:top w:val="nil"/>
              <w:left w:val="nil"/>
              <w:bottom w:val="nil"/>
              <w:right w:val="single" w:sz="4" w:space="0" w:color="auto"/>
            </w:tcBorders>
            <w:shd w:val="clear" w:color="auto" w:fill="auto"/>
            <w:noWrap/>
            <w:vAlign w:val="bottom"/>
            <w:hideMark/>
          </w:tcPr>
          <w:p w:rsidR="00242C36" w:rsidRPr="00386BBC" w:rsidRDefault="00242C36" w:rsidP="00242C36">
            <w:pPr>
              <w:jc w:val="right"/>
              <w:rPr>
                <w:sz w:val="20"/>
                <w:szCs w:val="20"/>
              </w:rPr>
            </w:pPr>
            <w:r w:rsidRPr="00386BBC">
              <w:rPr>
                <w:sz w:val="20"/>
                <w:szCs w:val="20"/>
              </w:rPr>
              <w:t>0,0</w:t>
            </w:r>
          </w:p>
        </w:tc>
        <w:tc>
          <w:tcPr>
            <w:tcW w:w="832" w:type="dxa"/>
            <w:tcBorders>
              <w:top w:val="nil"/>
              <w:left w:val="nil"/>
              <w:bottom w:val="nil"/>
              <w:right w:val="nil"/>
            </w:tcBorders>
            <w:shd w:val="clear" w:color="auto" w:fill="auto"/>
            <w:noWrap/>
            <w:vAlign w:val="bottom"/>
            <w:hideMark/>
          </w:tcPr>
          <w:p w:rsidR="00242C36" w:rsidRPr="00386BBC" w:rsidRDefault="00242C36" w:rsidP="00242C36">
            <w:pPr>
              <w:jc w:val="right"/>
              <w:rPr>
                <w:sz w:val="20"/>
                <w:szCs w:val="20"/>
              </w:rPr>
            </w:pPr>
            <w:r w:rsidRPr="00386BBC">
              <w:rPr>
                <w:sz w:val="20"/>
                <w:szCs w:val="20"/>
              </w:rPr>
              <w:t>0,0</w:t>
            </w:r>
          </w:p>
        </w:tc>
        <w:tc>
          <w:tcPr>
            <w:tcW w:w="869" w:type="dxa"/>
            <w:tcBorders>
              <w:top w:val="nil"/>
              <w:left w:val="nil"/>
              <w:bottom w:val="nil"/>
              <w:right w:val="nil"/>
            </w:tcBorders>
            <w:shd w:val="clear" w:color="auto" w:fill="auto"/>
            <w:noWrap/>
            <w:vAlign w:val="bottom"/>
            <w:hideMark/>
          </w:tcPr>
          <w:p w:rsidR="00242C36" w:rsidRPr="00386BBC" w:rsidRDefault="00242C36" w:rsidP="00242C36">
            <w:pPr>
              <w:jc w:val="right"/>
              <w:rPr>
                <w:sz w:val="20"/>
                <w:szCs w:val="20"/>
              </w:rPr>
            </w:pPr>
            <w:r w:rsidRPr="00386BBC">
              <w:rPr>
                <w:sz w:val="20"/>
                <w:szCs w:val="20"/>
              </w:rPr>
              <w:t>0,0</w:t>
            </w:r>
          </w:p>
        </w:tc>
        <w:tc>
          <w:tcPr>
            <w:tcW w:w="926" w:type="dxa"/>
            <w:tcBorders>
              <w:top w:val="nil"/>
              <w:left w:val="single" w:sz="4" w:space="0" w:color="auto"/>
              <w:bottom w:val="nil"/>
              <w:right w:val="nil"/>
            </w:tcBorders>
            <w:shd w:val="clear" w:color="auto" w:fill="auto"/>
            <w:noWrap/>
            <w:vAlign w:val="bottom"/>
            <w:hideMark/>
          </w:tcPr>
          <w:p w:rsidR="00242C36" w:rsidRPr="00386BBC" w:rsidRDefault="00242C36" w:rsidP="00242C36">
            <w:pPr>
              <w:jc w:val="right"/>
              <w:rPr>
                <w:sz w:val="20"/>
                <w:szCs w:val="20"/>
              </w:rPr>
            </w:pPr>
            <w:r w:rsidRPr="00386BBC">
              <w:rPr>
                <w:sz w:val="20"/>
                <w:szCs w:val="20"/>
              </w:rPr>
              <w:t>0,0</w:t>
            </w:r>
          </w:p>
        </w:tc>
        <w:tc>
          <w:tcPr>
            <w:tcW w:w="690" w:type="dxa"/>
            <w:tcBorders>
              <w:top w:val="nil"/>
              <w:left w:val="nil"/>
              <w:bottom w:val="nil"/>
              <w:right w:val="single" w:sz="4" w:space="0" w:color="auto"/>
            </w:tcBorders>
            <w:shd w:val="clear" w:color="auto" w:fill="auto"/>
            <w:noWrap/>
            <w:vAlign w:val="bottom"/>
            <w:hideMark/>
          </w:tcPr>
          <w:p w:rsidR="00242C36" w:rsidRPr="00386BBC" w:rsidRDefault="00242C36" w:rsidP="00242C36">
            <w:pPr>
              <w:jc w:val="right"/>
              <w:rPr>
                <w:sz w:val="20"/>
                <w:szCs w:val="20"/>
              </w:rPr>
            </w:pPr>
            <w:r w:rsidRPr="00386BBC">
              <w:rPr>
                <w:sz w:val="20"/>
                <w:szCs w:val="20"/>
              </w:rPr>
              <w:t>0,0</w:t>
            </w:r>
          </w:p>
        </w:tc>
        <w:tc>
          <w:tcPr>
            <w:tcW w:w="794" w:type="dxa"/>
            <w:tcBorders>
              <w:top w:val="nil"/>
              <w:left w:val="nil"/>
              <w:bottom w:val="nil"/>
              <w:right w:val="nil"/>
            </w:tcBorders>
            <w:shd w:val="clear" w:color="auto" w:fill="auto"/>
            <w:noWrap/>
            <w:vAlign w:val="bottom"/>
            <w:hideMark/>
          </w:tcPr>
          <w:p w:rsidR="00242C36" w:rsidRPr="00386BBC" w:rsidRDefault="00242C36" w:rsidP="00242C36">
            <w:pPr>
              <w:jc w:val="right"/>
              <w:rPr>
                <w:sz w:val="20"/>
                <w:szCs w:val="20"/>
              </w:rPr>
            </w:pPr>
            <w:r w:rsidRPr="00386BBC">
              <w:rPr>
                <w:sz w:val="20"/>
                <w:szCs w:val="20"/>
              </w:rPr>
              <w:t>0,0</w:t>
            </w:r>
          </w:p>
        </w:tc>
        <w:tc>
          <w:tcPr>
            <w:tcW w:w="708" w:type="dxa"/>
            <w:tcBorders>
              <w:top w:val="nil"/>
              <w:left w:val="nil"/>
              <w:bottom w:val="nil"/>
              <w:right w:val="single" w:sz="4" w:space="0" w:color="auto"/>
            </w:tcBorders>
            <w:shd w:val="clear" w:color="auto" w:fill="auto"/>
            <w:noWrap/>
            <w:vAlign w:val="bottom"/>
            <w:hideMark/>
          </w:tcPr>
          <w:p w:rsidR="00242C36" w:rsidRPr="00386BBC" w:rsidRDefault="00242C36" w:rsidP="00242C36">
            <w:pPr>
              <w:jc w:val="right"/>
              <w:rPr>
                <w:sz w:val="20"/>
                <w:szCs w:val="20"/>
              </w:rPr>
            </w:pPr>
            <w:r w:rsidRPr="00386BBC">
              <w:rPr>
                <w:sz w:val="20"/>
                <w:szCs w:val="20"/>
              </w:rPr>
              <w:t>0,0</w:t>
            </w:r>
          </w:p>
        </w:tc>
      </w:tr>
      <w:tr w:rsidR="00242C36" w:rsidRPr="00386BBC" w:rsidTr="00242C36">
        <w:trPr>
          <w:trHeight w:val="300"/>
        </w:trPr>
        <w:tc>
          <w:tcPr>
            <w:tcW w:w="1260" w:type="dxa"/>
            <w:tcBorders>
              <w:top w:val="single" w:sz="4" w:space="0" w:color="auto"/>
              <w:left w:val="single" w:sz="4" w:space="0" w:color="auto"/>
              <w:bottom w:val="single" w:sz="4" w:space="0" w:color="auto"/>
              <w:right w:val="nil"/>
            </w:tcBorders>
            <w:shd w:val="clear" w:color="auto" w:fill="auto"/>
            <w:noWrap/>
            <w:vAlign w:val="bottom"/>
            <w:hideMark/>
          </w:tcPr>
          <w:p w:rsidR="00242C36" w:rsidRPr="00386BBC" w:rsidRDefault="00242C36" w:rsidP="00242C36">
            <w:pPr>
              <w:rPr>
                <w:sz w:val="20"/>
                <w:szCs w:val="20"/>
              </w:rPr>
            </w:pPr>
            <w:r w:rsidRPr="00386BBC">
              <w:rPr>
                <w:sz w:val="20"/>
                <w:szCs w:val="20"/>
              </w:rPr>
              <w:t>Farmy spolu</w:t>
            </w:r>
          </w:p>
        </w:tc>
        <w:tc>
          <w:tcPr>
            <w:tcW w:w="142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42C36" w:rsidRPr="00386BBC" w:rsidRDefault="00242C36" w:rsidP="00242C36">
            <w:pPr>
              <w:jc w:val="center"/>
              <w:rPr>
                <w:sz w:val="20"/>
                <w:szCs w:val="20"/>
              </w:rPr>
            </w:pPr>
            <w:r w:rsidRPr="00386BBC">
              <w:rPr>
                <w:sz w:val="20"/>
                <w:szCs w:val="20"/>
              </w:rPr>
              <w:t>x</w:t>
            </w:r>
          </w:p>
        </w:tc>
        <w:tc>
          <w:tcPr>
            <w:tcW w:w="680" w:type="dxa"/>
            <w:tcBorders>
              <w:top w:val="single" w:sz="4" w:space="0" w:color="auto"/>
              <w:left w:val="nil"/>
              <w:bottom w:val="single" w:sz="4" w:space="0" w:color="auto"/>
              <w:right w:val="nil"/>
            </w:tcBorders>
            <w:shd w:val="clear" w:color="auto" w:fill="auto"/>
            <w:noWrap/>
            <w:vAlign w:val="bottom"/>
            <w:hideMark/>
          </w:tcPr>
          <w:p w:rsidR="00242C36" w:rsidRPr="00386BBC" w:rsidRDefault="00242C36" w:rsidP="00242C36">
            <w:pPr>
              <w:jc w:val="right"/>
              <w:rPr>
                <w:sz w:val="20"/>
                <w:szCs w:val="20"/>
              </w:rPr>
            </w:pPr>
            <w:r w:rsidRPr="00386BBC">
              <w:rPr>
                <w:sz w:val="20"/>
                <w:szCs w:val="20"/>
              </w:rPr>
              <w:t>1480</w:t>
            </w:r>
          </w:p>
        </w:tc>
        <w:tc>
          <w:tcPr>
            <w:tcW w:w="908" w:type="dxa"/>
            <w:tcBorders>
              <w:top w:val="single" w:sz="4" w:space="0" w:color="auto"/>
              <w:left w:val="nil"/>
              <w:bottom w:val="single" w:sz="4" w:space="0" w:color="auto"/>
              <w:right w:val="single" w:sz="4" w:space="0" w:color="auto"/>
            </w:tcBorders>
            <w:shd w:val="clear" w:color="auto" w:fill="auto"/>
            <w:noWrap/>
            <w:vAlign w:val="bottom"/>
            <w:hideMark/>
          </w:tcPr>
          <w:p w:rsidR="00242C36" w:rsidRPr="00386BBC" w:rsidRDefault="00242C36" w:rsidP="00242C36">
            <w:pPr>
              <w:jc w:val="right"/>
              <w:rPr>
                <w:sz w:val="20"/>
                <w:szCs w:val="20"/>
              </w:rPr>
            </w:pPr>
            <w:r w:rsidRPr="00386BBC">
              <w:rPr>
                <w:sz w:val="20"/>
                <w:szCs w:val="20"/>
              </w:rPr>
              <w:t>100,0</w:t>
            </w:r>
          </w:p>
        </w:tc>
        <w:tc>
          <w:tcPr>
            <w:tcW w:w="832" w:type="dxa"/>
            <w:tcBorders>
              <w:top w:val="single" w:sz="4" w:space="0" w:color="auto"/>
              <w:left w:val="nil"/>
              <w:bottom w:val="single" w:sz="4" w:space="0" w:color="auto"/>
              <w:right w:val="nil"/>
            </w:tcBorders>
            <w:shd w:val="clear" w:color="auto" w:fill="auto"/>
            <w:noWrap/>
            <w:vAlign w:val="bottom"/>
            <w:hideMark/>
          </w:tcPr>
          <w:p w:rsidR="00242C36" w:rsidRPr="00386BBC" w:rsidRDefault="00242C36" w:rsidP="00242C36">
            <w:pPr>
              <w:jc w:val="right"/>
              <w:rPr>
                <w:sz w:val="20"/>
                <w:szCs w:val="20"/>
              </w:rPr>
            </w:pPr>
            <w:r w:rsidRPr="00386BBC">
              <w:rPr>
                <w:sz w:val="20"/>
                <w:szCs w:val="20"/>
              </w:rPr>
              <w:t>34,1</w:t>
            </w:r>
          </w:p>
        </w:tc>
        <w:tc>
          <w:tcPr>
            <w:tcW w:w="869" w:type="dxa"/>
            <w:tcBorders>
              <w:top w:val="single" w:sz="4" w:space="0" w:color="auto"/>
              <w:left w:val="nil"/>
              <w:bottom w:val="single" w:sz="4" w:space="0" w:color="auto"/>
              <w:right w:val="nil"/>
            </w:tcBorders>
            <w:shd w:val="clear" w:color="auto" w:fill="auto"/>
            <w:noWrap/>
            <w:vAlign w:val="bottom"/>
            <w:hideMark/>
          </w:tcPr>
          <w:p w:rsidR="00242C36" w:rsidRPr="00386BBC" w:rsidRDefault="00242C36" w:rsidP="00242C36">
            <w:pPr>
              <w:jc w:val="right"/>
              <w:rPr>
                <w:sz w:val="20"/>
                <w:szCs w:val="20"/>
              </w:rPr>
            </w:pPr>
            <w:r w:rsidRPr="00386BBC">
              <w:rPr>
                <w:sz w:val="20"/>
                <w:szCs w:val="20"/>
              </w:rPr>
              <w:t>100,0</w:t>
            </w:r>
          </w:p>
        </w:tc>
        <w:tc>
          <w:tcPr>
            <w:tcW w:w="926" w:type="dxa"/>
            <w:tcBorders>
              <w:top w:val="single" w:sz="4" w:space="0" w:color="auto"/>
              <w:left w:val="single" w:sz="4" w:space="0" w:color="auto"/>
              <w:bottom w:val="single" w:sz="4" w:space="0" w:color="auto"/>
              <w:right w:val="nil"/>
            </w:tcBorders>
            <w:shd w:val="clear" w:color="auto" w:fill="auto"/>
            <w:noWrap/>
            <w:vAlign w:val="bottom"/>
            <w:hideMark/>
          </w:tcPr>
          <w:p w:rsidR="00242C36" w:rsidRPr="00386BBC" w:rsidRDefault="00242C36" w:rsidP="00242C36">
            <w:pPr>
              <w:jc w:val="right"/>
              <w:rPr>
                <w:sz w:val="20"/>
                <w:szCs w:val="20"/>
              </w:rPr>
            </w:pPr>
            <w:r w:rsidRPr="00386BBC">
              <w:rPr>
                <w:sz w:val="20"/>
                <w:szCs w:val="20"/>
              </w:rPr>
              <w:t>249,2</w:t>
            </w:r>
          </w:p>
        </w:tc>
        <w:tc>
          <w:tcPr>
            <w:tcW w:w="690" w:type="dxa"/>
            <w:tcBorders>
              <w:top w:val="single" w:sz="4" w:space="0" w:color="auto"/>
              <w:left w:val="nil"/>
              <w:bottom w:val="single" w:sz="4" w:space="0" w:color="auto"/>
              <w:right w:val="single" w:sz="4" w:space="0" w:color="auto"/>
            </w:tcBorders>
            <w:shd w:val="clear" w:color="auto" w:fill="auto"/>
            <w:noWrap/>
            <w:vAlign w:val="bottom"/>
            <w:hideMark/>
          </w:tcPr>
          <w:p w:rsidR="00242C36" w:rsidRPr="00386BBC" w:rsidRDefault="00242C36" w:rsidP="00242C36">
            <w:pPr>
              <w:jc w:val="right"/>
              <w:rPr>
                <w:sz w:val="20"/>
                <w:szCs w:val="20"/>
              </w:rPr>
            </w:pPr>
            <w:r w:rsidRPr="00386BBC">
              <w:rPr>
                <w:sz w:val="20"/>
                <w:szCs w:val="20"/>
              </w:rPr>
              <w:t>100,0</w:t>
            </w:r>
          </w:p>
        </w:tc>
        <w:tc>
          <w:tcPr>
            <w:tcW w:w="794" w:type="dxa"/>
            <w:tcBorders>
              <w:top w:val="single" w:sz="4" w:space="0" w:color="auto"/>
              <w:left w:val="nil"/>
              <w:bottom w:val="single" w:sz="4" w:space="0" w:color="auto"/>
              <w:right w:val="nil"/>
            </w:tcBorders>
            <w:shd w:val="clear" w:color="auto" w:fill="auto"/>
            <w:noWrap/>
            <w:vAlign w:val="bottom"/>
            <w:hideMark/>
          </w:tcPr>
          <w:p w:rsidR="00242C36" w:rsidRPr="00386BBC" w:rsidRDefault="00242C36" w:rsidP="00242C36">
            <w:pPr>
              <w:jc w:val="right"/>
              <w:rPr>
                <w:sz w:val="20"/>
                <w:szCs w:val="20"/>
              </w:rPr>
            </w:pPr>
            <w:r w:rsidRPr="00386BBC">
              <w:rPr>
                <w:sz w:val="20"/>
                <w:szCs w:val="20"/>
              </w:rPr>
              <w:t>1128,3</w:t>
            </w:r>
          </w:p>
        </w:tc>
        <w:tc>
          <w:tcPr>
            <w:tcW w:w="708" w:type="dxa"/>
            <w:tcBorders>
              <w:top w:val="single" w:sz="4" w:space="0" w:color="auto"/>
              <w:left w:val="nil"/>
              <w:bottom w:val="single" w:sz="4" w:space="0" w:color="auto"/>
              <w:right w:val="single" w:sz="4" w:space="0" w:color="auto"/>
            </w:tcBorders>
            <w:shd w:val="clear" w:color="auto" w:fill="auto"/>
            <w:noWrap/>
            <w:vAlign w:val="bottom"/>
            <w:hideMark/>
          </w:tcPr>
          <w:p w:rsidR="00242C36" w:rsidRPr="00386BBC" w:rsidRDefault="00242C36" w:rsidP="00242C36">
            <w:pPr>
              <w:jc w:val="right"/>
              <w:rPr>
                <w:sz w:val="20"/>
                <w:szCs w:val="20"/>
              </w:rPr>
            </w:pPr>
            <w:r w:rsidRPr="00386BBC">
              <w:rPr>
                <w:sz w:val="20"/>
                <w:szCs w:val="20"/>
              </w:rPr>
              <w:t>100,0</w:t>
            </w:r>
          </w:p>
        </w:tc>
      </w:tr>
      <w:tr w:rsidR="00242C36" w:rsidRPr="00386BBC" w:rsidTr="00242C36">
        <w:trPr>
          <w:trHeight w:val="420"/>
        </w:trPr>
        <w:tc>
          <w:tcPr>
            <w:tcW w:w="9087" w:type="dxa"/>
            <w:gridSpan w:val="10"/>
            <w:tcBorders>
              <w:top w:val="single" w:sz="4" w:space="0" w:color="auto"/>
              <w:left w:val="single" w:sz="4" w:space="0" w:color="auto"/>
              <w:bottom w:val="nil"/>
              <w:right w:val="single" w:sz="4" w:space="0" w:color="000000"/>
            </w:tcBorders>
            <w:shd w:val="clear" w:color="auto" w:fill="auto"/>
            <w:noWrap/>
            <w:vAlign w:val="center"/>
            <w:hideMark/>
          </w:tcPr>
          <w:p w:rsidR="00242C36" w:rsidRPr="00386BBC" w:rsidRDefault="00242C36" w:rsidP="00242C36">
            <w:pPr>
              <w:jc w:val="center"/>
              <w:rPr>
                <w:b/>
                <w:bCs/>
                <w:sz w:val="20"/>
                <w:szCs w:val="20"/>
              </w:rPr>
            </w:pPr>
            <w:r w:rsidRPr="00386BBC">
              <w:rPr>
                <w:b/>
                <w:bCs/>
                <w:sz w:val="20"/>
                <w:szCs w:val="20"/>
              </w:rPr>
              <w:t>Podľa majetku (aktíva)</w:t>
            </w:r>
          </w:p>
        </w:tc>
      </w:tr>
      <w:tr w:rsidR="00242C36" w:rsidRPr="00386BBC" w:rsidTr="00242C36">
        <w:trPr>
          <w:trHeight w:val="300"/>
        </w:trPr>
        <w:tc>
          <w:tcPr>
            <w:tcW w:w="1260" w:type="dxa"/>
            <w:tcBorders>
              <w:top w:val="single" w:sz="4" w:space="0" w:color="auto"/>
              <w:left w:val="single" w:sz="4" w:space="0" w:color="auto"/>
              <w:bottom w:val="nil"/>
              <w:right w:val="nil"/>
            </w:tcBorders>
            <w:shd w:val="clear" w:color="auto" w:fill="auto"/>
            <w:noWrap/>
            <w:vAlign w:val="bottom"/>
            <w:hideMark/>
          </w:tcPr>
          <w:p w:rsidR="00242C36" w:rsidRPr="00386BBC" w:rsidRDefault="00242C36" w:rsidP="00242C36">
            <w:pPr>
              <w:rPr>
                <w:sz w:val="20"/>
                <w:szCs w:val="20"/>
              </w:rPr>
            </w:pPr>
            <w:r w:rsidRPr="00386BBC">
              <w:rPr>
                <w:sz w:val="20"/>
                <w:szCs w:val="20"/>
              </w:rPr>
              <w:t>Veľmi malé</w:t>
            </w:r>
          </w:p>
        </w:tc>
        <w:tc>
          <w:tcPr>
            <w:tcW w:w="1420" w:type="dxa"/>
            <w:tcBorders>
              <w:top w:val="single" w:sz="4" w:space="0" w:color="auto"/>
              <w:left w:val="single" w:sz="4" w:space="0" w:color="auto"/>
              <w:bottom w:val="nil"/>
              <w:right w:val="single" w:sz="4" w:space="0" w:color="auto"/>
            </w:tcBorders>
            <w:shd w:val="clear" w:color="auto" w:fill="auto"/>
            <w:noWrap/>
            <w:vAlign w:val="bottom"/>
            <w:hideMark/>
          </w:tcPr>
          <w:p w:rsidR="00242C36" w:rsidRPr="00386BBC" w:rsidRDefault="00242C36" w:rsidP="00242C36">
            <w:pPr>
              <w:rPr>
                <w:sz w:val="20"/>
                <w:szCs w:val="20"/>
              </w:rPr>
            </w:pPr>
            <w:r w:rsidRPr="00386BBC">
              <w:rPr>
                <w:sz w:val="20"/>
                <w:szCs w:val="20"/>
              </w:rPr>
              <w:t>do 2 mil.€</w:t>
            </w:r>
          </w:p>
        </w:tc>
        <w:tc>
          <w:tcPr>
            <w:tcW w:w="680" w:type="dxa"/>
            <w:tcBorders>
              <w:top w:val="single" w:sz="4" w:space="0" w:color="auto"/>
              <w:left w:val="nil"/>
              <w:bottom w:val="nil"/>
              <w:right w:val="nil"/>
            </w:tcBorders>
            <w:shd w:val="clear" w:color="auto" w:fill="auto"/>
            <w:noWrap/>
            <w:vAlign w:val="bottom"/>
            <w:hideMark/>
          </w:tcPr>
          <w:p w:rsidR="00242C36" w:rsidRPr="00386BBC" w:rsidRDefault="00242C36" w:rsidP="00242C36">
            <w:pPr>
              <w:jc w:val="right"/>
              <w:rPr>
                <w:sz w:val="20"/>
                <w:szCs w:val="20"/>
              </w:rPr>
            </w:pPr>
            <w:r w:rsidRPr="00386BBC">
              <w:rPr>
                <w:sz w:val="20"/>
                <w:szCs w:val="20"/>
              </w:rPr>
              <w:t>942</w:t>
            </w:r>
          </w:p>
        </w:tc>
        <w:tc>
          <w:tcPr>
            <w:tcW w:w="908" w:type="dxa"/>
            <w:tcBorders>
              <w:top w:val="single" w:sz="4" w:space="0" w:color="auto"/>
              <w:left w:val="nil"/>
              <w:bottom w:val="nil"/>
              <w:right w:val="single" w:sz="4" w:space="0" w:color="auto"/>
            </w:tcBorders>
            <w:shd w:val="clear" w:color="auto" w:fill="auto"/>
            <w:noWrap/>
            <w:vAlign w:val="bottom"/>
            <w:hideMark/>
          </w:tcPr>
          <w:p w:rsidR="00242C36" w:rsidRPr="00386BBC" w:rsidRDefault="00242C36" w:rsidP="00242C36">
            <w:pPr>
              <w:jc w:val="right"/>
              <w:rPr>
                <w:sz w:val="20"/>
                <w:szCs w:val="20"/>
              </w:rPr>
            </w:pPr>
            <w:r w:rsidRPr="00386BBC">
              <w:rPr>
                <w:sz w:val="20"/>
                <w:szCs w:val="20"/>
              </w:rPr>
              <w:t>63,6</w:t>
            </w:r>
          </w:p>
        </w:tc>
        <w:tc>
          <w:tcPr>
            <w:tcW w:w="832" w:type="dxa"/>
            <w:tcBorders>
              <w:top w:val="single" w:sz="4" w:space="0" w:color="auto"/>
              <w:left w:val="nil"/>
              <w:bottom w:val="nil"/>
              <w:right w:val="nil"/>
            </w:tcBorders>
            <w:shd w:val="clear" w:color="auto" w:fill="auto"/>
            <w:noWrap/>
            <w:vAlign w:val="bottom"/>
            <w:hideMark/>
          </w:tcPr>
          <w:p w:rsidR="00242C36" w:rsidRPr="00386BBC" w:rsidRDefault="00242C36" w:rsidP="00242C36">
            <w:pPr>
              <w:jc w:val="right"/>
              <w:rPr>
                <w:sz w:val="20"/>
                <w:szCs w:val="20"/>
              </w:rPr>
            </w:pPr>
            <w:r w:rsidRPr="00386BBC">
              <w:rPr>
                <w:sz w:val="20"/>
                <w:szCs w:val="20"/>
              </w:rPr>
              <w:t>27,4</w:t>
            </w:r>
          </w:p>
        </w:tc>
        <w:tc>
          <w:tcPr>
            <w:tcW w:w="869" w:type="dxa"/>
            <w:tcBorders>
              <w:top w:val="single" w:sz="4" w:space="0" w:color="auto"/>
              <w:left w:val="nil"/>
              <w:bottom w:val="nil"/>
              <w:right w:val="nil"/>
            </w:tcBorders>
            <w:shd w:val="clear" w:color="auto" w:fill="auto"/>
            <w:noWrap/>
            <w:vAlign w:val="bottom"/>
            <w:hideMark/>
          </w:tcPr>
          <w:p w:rsidR="00242C36" w:rsidRPr="00386BBC" w:rsidRDefault="00242C36" w:rsidP="00242C36">
            <w:pPr>
              <w:jc w:val="right"/>
              <w:rPr>
                <w:sz w:val="20"/>
                <w:szCs w:val="20"/>
              </w:rPr>
            </w:pPr>
            <w:r w:rsidRPr="00386BBC">
              <w:rPr>
                <w:sz w:val="20"/>
                <w:szCs w:val="20"/>
              </w:rPr>
              <w:t>28,2</w:t>
            </w:r>
          </w:p>
        </w:tc>
        <w:tc>
          <w:tcPr>
            <w:tcW w:w="926" w:type="dxa"/>
            <w:tcBorders>
              <w:top w:val="single" w:sz="4" w:space="0" w:color="auto"/>
              <w:left w:val="single" w:sz="4" w:space="0" w:color="auto"/>
              <w:bottom w:val="nil"/>
              <w:right w:val="nil"/>
            </w:tcBorders>
            <w:shd w:val="clear" w:color="auto" w:fill="auto"/>
            <w:noWrap/>
            <w:vAlign w:val="bottom"/>
            <w:hideMark/>
          </w:tcPr>
          <w:p w:rsidR="00242C36" w:rsidRPr="00386BBC" w:rsidRDefault="00242C36" w:rsidP="00242C36">
            <w:pPr>
              <w:jc w:val="right"/>
              <w:rPr>
                <w:sz w:val="20"/>
                <w:szCs w:val="20"/>
              </w:rPr>
            </w:pPr>
            <w:r w:rsidRPr="00386BBC">
              <w:rPr>
                <w:sz w:val="20"/>
                <w:szCs w:val="20"/>
              </w:rPr>
              <w:t>81,4</w:t>
            </w:r>
          </w:p>
        </w:tc>
        <w:tc>
          <w:tcPr>
            <w:tcW w:w="690" w:type="dxa"/>
            <w:tcBorders>
              <w:top w:val="single" w:sz="4" w:space="0" w:color="auto"/>
              <w:left w:val="nil"/>
              <w:bottom w:val="nil"/>
              <w:right w:val="single" w:sz="4" w:space="0" w:color="auto"/>
            </w:tcBorders>
            <w:shd w:val="clear" w:color="auto" w:fill="auto"/>
            <w:noWrap/>
            <w:vAlign w:val="bottom"/>
            <w:hideMark/>
          </w:tcPr>
          <w:p w:rsidR="00242C36" w:rsidRPr="00386BBC" w:rsidRDefault="00242C36" w:rsidP="00242C36">
            <w:pPr>
              <w:jc w:val="right"/>
              <w:rPr>
                <w:sz w:val="20"/>
                <w:szCs w:val="20"/>
              </w:rPr>
            </w:pPr>
            <w:r w:rsidRPr="00386BBC">
              <w:rPr>
                <w:sz w:val="20"/>
                <w:szCs w:val="20"/>
              </w:rPr>
              <w:t>11,5</w:t>
            </w:r>
          </w:p>
        </w:tc>
        <w:tc>
          <w:tcPr>
            <w:tcW w:w="794" w:type="dxa"/>
            <w:tcBorders>
              <w:top w:val="single" w:sz="4" w:space="0" w:color="auto"/>
              <w:left w:val="nil"/>
              <w:bottom w:val="nil"/>
              <w:right w:val="nil"/>
            </w:tcBorders>
            <w:shd w:val="clear" w:color="auto" w:fill="auto"/>
            <w:noWrap/>
            <w:vAlign w:val="bottom"/>
            <w:hideMark/>
          </w:tcPr>
          <w:p w:rsidR="00242C36" w:rsidRPr="00386BBC" w:rsidRDefault="00242C36" w:rsidP="00242C36">
            <w:pPr>
              <w:jc w:val="right"/>
              <w:rPr>
                <w:sz w:val="20"/>
                <w:szCs w:val="20"/>
              </w:rPr>
            </w:pPr>
            <w:r w:rsidRPr="00386BBC">
              <w:rPr>
                <w:sz w:val="20"/>
                <w:szCs w:val="20"/>
              </w:rPr>
              <w:t>664,9</w:t>
            </w:r>
          </w:p>
        </w:tc>
        <w:tc>
          <w:tcPr>
            <w:tcW w:w="708" w:type="dxa"/>
            <w:tcBorders>
              <w:top w:val="single" w:sz="4" w:space="0" w:color="auto"/>
              <w:left w:val="nil"/>
              <w:bottom w:val="nil"/>
              <w:right w:val="single" w:sz="4" w:space="0" w:color="auto"/>
            </w:tcBorders>
            <w:shd w:val="clear" w:color="auto" w:fill="auto"/>
            <w:noWrap/>
            <w:vAlign w:val="bottom"/>
            <w:hideMark/>
          </w:tcPr>
          <w:p w:rsidR="00242C36" w:rsidRPr="00386BBC" w:rsidRDefault="00242C36" w:rsidP="00242C36">
            <w:pPr>
              <w:jc w:val="right"/>
              <w:rPr>
                <w:sz w:val="20"/>
                <w:szCs w:val="20"/>
              </w:rPr>
            </w:pPr>
            <w:r w:rsidRPr="00386BBC">
              <w:rPr>
                <w:sz w:val="20"/>
                <w:szCs w:val="20"/>
              </w:rPr>
              <w:t>20,7</w:t>
            </w:r>
          </w:p>
        </w:tc>
      </w:tr>
      <w:tr w:rsidR="00242C36" w:rsidRPr="00386BBC" w:rsidTr="00242C36">
        <w:trPr>
          <w:trHeight w:val="300"/>
        </w:trPr>
        <w:tc>
          <w:tcPr>
            <w:tcW w:w="1260" w:type="dxa"/>
            <w:tcBorders>
              <w:top w:val="nil"/>
              <w:left w:val="single" w:sz="4" w:space="0" w:color="auto"/>
              <w:bottom w:val="nil"/>
              <w:right w:val="nil"/>
            </w:tcBorders>
            <w:shd w:val="clear" w:color="auto" w:fill="auto"/>
            <w:noWrap/>
            <w:vAlign w:val="bottom"/>
            <w:hideMark/>
          </w:tcPr>
          <w:p w:rsidR="00242C36" w:rsidRPr="00386BBC" w:rsidRDefault="00242C36" w:rsidP="00242C36">
            <w:pPr>
              <w:rPr>
                <w:sz w:val="20"/>
                <w:szCs w:val="20"/>
              </w:rPr>
            </w:pPr>
            <w:r w:rsidRPr="00386BBC">
              <w:rPr>
                <w:sz w:val="20"/>
                <w:szCs w:val="20"/>
              </w:rPr>
              <w:t>Malé</w:t>
            </w:r>
          </w:p>
        </w:tc>
        <w:tc>
          <w:tcPr>
            <w:tcW w:w="1420" w:type="dxa"/>
            <w:tcBorders>
              <w:top w:val="nil"/>
              <w:left w:val="single" w:sz="4" w:space="0" w:color="auto"/>
              <w:bottom w:val="nil"/>
              <w:right w:val="single" w:sz="4" w:space="0" w:color="auto"/>
            </w:tcBorders>
            <w:shd w:val="clear" w:color="auto" w:fill="auto"/>
            <w:noWrap/>
            <w:vAlign w:val="bottom"/>
            <w:hideMark/>
          </w:tcPr>
          <w:p w:rsidR="00242C36" w:rsidRPr="00386BBC" w:rsidRDefault="00242C36" w:rsidP="00242C36">
            <w:pPr>
              <w:rPr>
                <w:sz w:val="20"/>
                <w:szCs w:val="20"/>
              </w:rPr>
            </w:pPr>
            <w:r w:rsidRPr="00386BBC">
              <w:rPr>
                <w:sz w:val="20"/>
                <w:szCs w:val="20"/>
              </w:rPr>
              <w:t>2 - 10 mil.€</w:t>
            </w:r>
          </w:p>
        </w:tc>
        <w:tc>
          <w:tcPr>
            <w:tcW w:w="680" w:type="dxa"/>
            <w:tcBorders>
              <w:top w:val="nil"/>
              <w:left w:val="nil"/>
              <w:bottom w:val="nil"/>
              <w:right w:val="nil"/>
            </w:tcBorders>
            <w:shd w:val="clear" w:color="auto" w:fill="auto"/>
            <w:noWrap/>
            <w:vAlign w:val="bottom"/>
            <w:hideMark/>
          </w:tcPr>
          <w:p w:rsidR="00242C36" w:rsidRPr="00386BBC" w:rsidRDefault="00242C36" w:rsidP="00242C36">
            <w:pPr>
              <w:jc w:val="right"/>
              <w:rPr>
                <w:sz w:val="20"/>
                <w:szCs w:val="20"/>
              </w:rPr>
            </w:pPr>
            <w:r w:rsidRPr="00386BBC">
              <w:rPr>
                <w:sz w:val="20"/>
                <w:szCs w:val="20"/>
              </w:rPr>
              <w:t>480</w:t>
            </w:r>
          </w:p>
        </w:tc>
        <w:tc>
          <w:tcPr>
            <w:tcW w:w="908" w:type="dxa"/>
            <w:tcBorders>
              <w:top w:val="nil"/>
              <w:left w:val="nil"/>
              <w:bottom w:val="nil"/>
              <w:right w:val="single" w:sz="4" w:space="0" w:color="auto"/>
            </w:tcBorders>
            <w:shd w:val="clear" w:color="auto" w:fill="auto"/>
            <w:noWrap/>
            <w:vAlign w:val="bottom"/>
            <w:hideMark/>
          </w:tcPr>
          <w:p w:rsidR="00242C36" w:rsidRPr="00386BBC" w:rsidRDefault="00242C36" w:rsidP="00242C36">
            <w:pPr>
              <w:jc w:val="right"/>
              <w:rPr>
                <w:sz w:val="20"/>
                <w:szCs w:val="20"/>
              </w:rPr>
            </w:pPr>
            <w:r w:rsidRPr="00386BBC">
              <w:rPr>
                <w:sz w:val="20"/>
                <w:szCs w:val="20"/>
              </w:rPr>
              <w:t>32,4</w:t>
            </w:r>
          </w:p>
        </w:tc>
        <w:tc>
          <w:tcPr>
            <w:tcW w:w="832" w:type="dxa"/>
            <w:tcBorders>
              <w:top w:val="nil"/>
              <w:left w:val="nil"/>
              <w:bottom w:val="nil"/>
              <w:right w:val="nil"/>
            </w:tcBorders>
            <w:shd w:val="clear" w:color="auto" w:fill="auto"/>
            <w:noWrap/>
            <w:vAlign w:val="bottom"/>
            <w:hideMark/>
          </w:tcPr>
          <w:p w:rsidR="00242C36" w:rsidRPr="00386BBC" w:rsidRDefault="00242C36" w:rsidP="00242C36">
            <w:pPr>
              <w:jc w:val="right"/>
              <w:rPr>
                <w:sz w:val="20"/>
                <w:szCs w:val="20"/>
              </w:rPr>
            </w:pPr>
            <w:r w:rsidRPr="00386BBC">
              <w:rPr>
                <w:sz w:val="20"/>
                <w:szCs w:val="20"/>
              </w:rPr>
              <w:t>19,6</w:t>
            </w:r>
          </w:p>
        </w:tc>
        <w:tc>
          <w:tcPr>
            <w:tcW w:w="869" w:type="dxa"/>
            <w:tcBorders>
              <w:top w:val="nil"/>
              <w:left w:val="nil"/>
              <w:bottom w:val="nil"/>
              <w:right w:val="nil"/>
            </w:tcBorders>
            <w:shd w:val="clear" w:color="auto" w:fill="auto"/>
            <w:noWrap/>
            <w:vAlign w:val="bottom"/>
            <w:hideMark/>
          </w:tcPr>
          <w:p w:rsidR="00242C36" w:rsidRPr="00386BBC" w:rsidRDefault="00242C36" w:rsidP="00242C36">
            <w:pPr>
              <w:jc w:val="right"/>
              <w:rPr>
                <w:sz w:val="20"/>
                <w:szCs w:val="20"/>
              </w:rPr>
            </w:pPr>
            <w:r w:rsidRPr="00386BBC">
              <w:rPr>
                <w:sz w:val="20"/>
                <w:szCs w:val="20"/>
              </w:rPr>
              <w:t>31,6</w:t>
            </w:r>
          </w:p>
        </w:tc>
        <w:tc>
          <w:tcPr>
            <w:tcW w:w="926" w:type="dxa"/>
            <w:tcBorders>
              <w:top w:val="nil"/>
              <w:left w:val="single" w:sz="4" w:space="0" w:color="auto"/>
              <w:bottom w:val="nil"/>
              <w:right w:val="nil"/>
            </w:tcBorders>
            <w:shd w:val="clear" w:color="auto" w:fill="auto"/>
            <w:noWrap/>
            <w:vAlign w:val="bottom"/>
            <w:hideMark/>
          </w:tcPr>
          <w:p w:rsidR="00242C36" w:rsidRPr="00386BBC" w:rsidRDefault="00242C36" w:rsidP="00242C36">
            <w:pPr>
              <w:jc w:val="right"/>
              <w:rPr>
                <w:sz w:val="20"/>
                <w:szCs w:val="20"/>
              </w:rPr>
            </w:pPr>
            <w:r w:rsidRPr="00386BBC">
              <w:rPr>
                <w:sz w:val="20"/>
                <w:szCs w:val="20"/>
              </w:rPr>
              <w:t>258,7</w:t>
            </w:r>
          </w:p>
        </w:tc>
        <w:tc>
          <w:tcPr>
            <w:tcW w:w="690" w:type="dxa"/>
            <w:tcBorders>
              <w:top w:val="nil"/>
              <w:left w:val="nil"/>
              <w:bottom w:val="nil"/>
              <w:right w:val="single" w:sz="4" w:space="0" w:color="auto"/>
            </w:tcBorders>
            <w:shd w:val="clear" w:color="auto" w:fill="auto"/>
            <w:noWrap/>
            <w:vAlign w:val="bottom"/>
            <w:hideMark/>
          </w:tcPr>
          <w:p w:rsidR="00242C36" w:rsidRPr="00386BBC" w:rsidRDefault="00242C36" w:rsidP="00242C36">
            <w:pPr>
              <w:jc w:val="right"/>
              <w:rPr>
                <w:sz w:val="20"/>
                <w:szCs w:val="20"/>
              </w:rPr>
            </w:pPr>
            <w:r w:rsidRPr="00386BBC">
              <w:rPr>
                <w:sz w:val="20"/>
                <w:szCs w:val="20"/>
              </w:rPr>
              <w:t>57,0</w:t>
            </w:r>
          </w:p>
        </w:tc>
        <w:tc>
          <w:tcPr>
            <w:tcW w:w="794" w:type="dxa"/>
            <w:tcBorders>
              <w:top w:val="nil"/>
              <w:left w:val="nil"/>
              <w:bottom w:val="nil"/>
              <w:right w:val="nil"/>
            </w:tcBorders>
            <w:shd w:val="clear" w:color="auto" w:fill="auto"/>
            <w:noWrap/>
            <w:vAlign w:val="bottom"/>
            <w:hideMark/>
          </w:tcPr>
          <w:p w:rsidR="00242C36" w:rsidRPr="00386BBC" w:rsidRDefault="00242C36" w:rsidP="00242C36">
            <w:pPr>
              <w:jc w:val="right"/>
              <w:rPr>
                <w:sz w:val="20"/>
                <w:szCs w:val="20"/>
              </w:rPr>
            </w:pPr>
            <w:r w:rsidRPr="00386BBC">
              <w:rPr>
                <w:sz w:val="20"/>
                <w:szCs w:val="20"/>
              </w:rPr>
              <w:t>1147,9</w:t>
            </w:r>
          </w:p>
        </w:tc>
        <w:tc>
          <w:tcPr>
            <w:tcW w:w="708" w:type="dxa"/>
            <w:tcBorders>
              <w:top w:val="nil"/>
              <w:left w:val="nil"/>
              <w:bottom w:val="nil"/>
              <w:right w:val="single" w:sz="4" w:space="0" w:color="auto"/>
            </w:tcBorders>
            <w:shd w:val="clear" w:color="auto" w:fill="auto"/>
            <w:noWrap/>
            <w:vAlign w:val="bottom"/>
            <w:hideMark/>
          </w:tcPr>
          <w:p w:rsidR="00242C36" w:rsidRPr="00386BBC" w:rsidRDefault="00242C36" w:rsidP="00242C36">
            <w:pPr>
              <w:jc w:val="right"/>
              <w:rPr>
                <w:sz w:val="20"/>
                <w:szCs w:val="20"/>
              </w:rPr>
            </w:pPr>
            <w:r w:rsidRPr="00386BBC">
              <w:rPr>
                <w:sz w:val="20"/>
                <w:szCs w:val="20"/>
              </w:rPr>
              <w:t>55,9</w:t>
            </w:r>
          </w:p>
        </w:tc>
      </w:tr>
      <w:tr w:rsidR="00242C36" w:rsidRPr="00386BBC" w:rsidTr="00242C36">
        <w:trPr>
          <w:trHeight w:val="300"/>
        </w:trPr>
        <w:tc>
          <w:tcPr>
            <w:tcW w:w="1260" w:type="dxa"/>
            <w:tcBorders>
              <w:top w:val="nil"/>
              <w:left w:val="single" w:sz="4" w:space="0" w:color="auto"/>
              <w:bottom w:val="nil"/>
              <w:right w:val="nil"/>
            </w:tcBorders>
            <w:shd w:val="clear" w:color="auto" w:fill="auto"/>
            <w:noWrap/>
            <w:vAlign w:val="bottom"/>
            <w:hideMark/>
          </w:tcPr>
          <w:p w:rsidR="00242C36" w:rsidRPr="00386BBC" w:rsidRDefault="00242C36" w:rsidP="00242C36">
            <w:pPr>
              <w:rPr>
                <w:sz w:val="20"/>
                <w:szCs w:val="20"/>
              </w:rPr>
            </w:pPr>
            <w:r w:rsidRPr="00386BBC">
              <w:rPr>
                <w:sz w:val="20"/>
                <w:szCs w:val="20"/>
              </w:rPr>
              <w:t>Stredné</w:t>
            </w:r>
          </w:p>
        </w:tc>
        <w:tc>
          <w:tcPr>
            <w:tcW w:w="1420" w:type="dxa"/>
            <w:tcBorders>
              <w:top w:val="nil"/>
              <w:left w:val="single" w:sz="4" w:space="0" w:color="auto"/>
              <w:bottom w:val="nil"/>
              <w:right w:val="single" w:sz="4" w:space="0" w:color="auto"/>
            </w:tcBorders>
            <w:shd w:val="clear" w:color="auto" w:fill="auto"/>
            <w:noWrap/>
            <w:vAlign w:val="bottom"/>
            <w:hideMark/>
          </w:tcPr>
          <w:p w:rsidR="00242C36" w:rsidRPr="00386BBC" w:rsidRDefault="00242C36" w:rsidP="00242C36">
            <w:pPr>
              <w:rPr>
                <w:sz w:val="20"/>
                <w:szCs w:val="20"/>
              </w:rPr>
            </w:pPr>
            <w:r w:rsidRPr="00386BBC">
              <w:rPr>
                <w:sz w:val="20"/>
                <w:szCs w:val="20"/>
              </w:rPr>
              <w:t>10 - 43 mil.€</w:t>
            </w:r>
          </w:p>
        </w:tc>
        <w:tc>
          <w:tcPr>
            <w:tcW w:w="680" w:type="dxa"/>
            <w:tcBorders>
              <w:top w:val="nil"/>
              <w:left w:val="nil"/>
              <w:bottom w:val="nil"/>
              <w:right w:val="nil"/>
            </w:tcBorders>
            <w:shd w:val="clear" w:color="auto" w:fill="auto"/>
            <w:noWrap/>
            <w:vAlign w:val="bottom"/>
            <w:hideMark/>
          </w:tcPr>
          <w:p w:rsidR="00242C36" w:rsidRPr="00386BBC" w:rsidRDefault="00242C36" w:rsidP="00242C36">
            <w:pPr>
              <w:jc w:val="right"/>
              <w:rPr>
                <w:sz w:val="20"/>
                <w:szCs w:val="20"/>
              </w:rPr>
            </w:pPr>
            <w:r w:rsidRPr="00386BBC">
              <w:rPr>
                <w:sz w:val="20"/>
                <w:szCs w:val="20"/>
              </w:rPr>
              <w:t>56</w:t>
            </w:r>
          </w:p>
        </w:tc>
        <w:tc>
          <w:tcPr>
            <w:tcW w:w="908" w:type="dxa"/>
            <w:tcBorders>
              <w:top w:val="nil"/>
              <w:left w:val="nil"/>
              <w:bottom w:val="nil"/>
              <w:right w:val="single" w:sz="4" w:space="0" w:color="auto"/>
            </w:tcBorders>
            <w:shd w:val="clear" w:color="auto" w:fill="auto"/>
            <w:noWrap/>
            <w:vAlign w:val="bottom"/>
            <w:hideMark/>
          </w:tcPr>
          <w:p w:rsidR="00242C36" w:rsidRPr="00386BBC" w:rsidRDefault="00242C36" w:rsidP="00242C36">
            <w:pPr>
              <w:jc w:val="right"/>
              <w:rPr>
                <w:sz w:val="20"/>
                <w:szCs w:val="20"/>
              </w:rPr>
            </w:pPr>
            <w:r w:rsidRPr="00386BBC">
              <w:rPr>
                <w:sz w:val="20"/>
                <w:szCs w:val="20"/>
              </w:rPr>
              <w:t>3,8</w:t>
            </w:r>
          </w:p>
        </w:tc>
        <w:tc>
          <w:tcPr>
            <w:tcW w:w="832" w:type="dxa"/>
            <w:tcBorders>
              <w:top w:val="nil"/>
              <w:left w:val="nil"/>
              <w:bottom w:val="nil"/>
              <w:right w:val="nil"/>
            </w:tcBorders>
            <w:shd w:val="clear" w:color="auto" w:fill="auto"/>
            <w:noWrap/>
            <w:vAlign w:val="bottom"/>
            <w:hideMark/>
          </w:tcPr>
          <w:p w:rsidR="00242C36" w:rsidRPr="00386BBC" w:rsidRDefault="00242C36" w:rsidP="00242C36">
            <w:pPr>
              <w:jc w:val="right"/>
              <w:rPr>
                <w:sz w:val="20"/>
                <w:szCs w:val="20"/>
              </w:rPr>
            </w:pPr>
            <w:r w:rsidRPr="00386BBC">
              <w:rPr>
                <w:sz w:val="20"/>
                <w:szCs w:val="20"/>
              </w:rPr>
              <w:t>114,8</w:t>
            </w:r>
          </w:p>
        </w:tc>
        <w:tc>
          <w:tcPr>
            <w:tcW w:w="869" w:type="dxa"/>
            <w:tcBorders>
              <w:top w:val="nil"/>
              <w:left w:val="nil"/>
              <w:bottom w:val="nil"/>
              <w:right w:val="nil"/>
            </w:tcBorders>
            <w:shd w:val="clear" w:color="auto" w:fill="auto"/>
            <w:noWrap/>
            <w:vAlign w:val="bottom"/>
            <w:hideMark/>
          </w:tcPr>
          <w:p w:rsidR="00242C36" w:rsidRPr="00386BBC" w:rsidRDefault="00242C36" w:rsidP="00242C36">
            <w:pPr>
              <w:jc w:val="right"/>
              <w:rPr>
                <w:sz w:val="20"/>
                <w:szCs w:val="20"/>
              </w:rPr>
            </w:pPr>
            <w:r w:rsidRPr="00386BBC">
              <w:rPr>
                <w:sz w:val="20"/>
                <w:szCs w:val="20"/>
              </w:rPr>
              <w:t>31,3</w:t>
            </w:r>
          </w:p>
        </w:tc>
        <w:tc>
          <w:tcPr>
            <w:tcW w:w="926" w:type="dxa"/>
            <w:tcBorders>
              <w:top w:val="nil"/>
              <w:left w:val="single" w:sz="4" w:space="0" w:color="auto"/>
              <w:bottom w:val="nil"/>
              <w:right w:val="nil"/>
            </w:tcBorders>
            <w:shd w:val="clear" w:color="auto" w:fill="auto"/>
            <w:noWrap/>
            <w:vAlign w:val="bottom"/>
            <w:hideMark/>
          </w:tcPr>
          <w:p w:rsidR="00242C36" w:rsidRPr="00386BBC" w:rsidRDefault="00242C36" w:rsidP="00242C36">
            <w:pPr>
              <w:jc w:val="right"/>
              <w:rPr>
                <w:sz w:val="20"/>
                <w:szCs w:val="20"/>
              </w:rPr>
            </w:pPr>
            <w:r w:rsidRPr="00386BBC">
              <w:rPr>
                <w:sz w:val="20"/>
                <w:szCs w:val="20"/>
              </w:rPr>
              <w:t>751,5</w:t>
            </w:r>
          </w:p>
        </w:tc>
        <w:tc>
          <w:tcPr>
            <w:tcW w:w="690" w:type="dxa"/>
            <w:tcBorders>
              <w:top w:val="nil"/>
              <w:left w:val="nil"/>
              <w:bottom w:val="nil"/>
              <w:right w:val="single" w:sz="4" w:space="0" w:color="auto"/>
            </w:tcBorders>
            <w:shd w:val="clear" w:color="auto" w:fill="auto"/>
            <w:noWrap/>
            <w:vAlign w:val="bottom"/>
            <w:hideMark/>
          </w:tcPr>
          <w:p w:rsidR="00242C36" w:rsidRPr="00386BBC" w:rsidRDefault="00242C36" w:rsidP="00242C36">
            <w:pPr>
              <w:jc w:val="right"/>
              <w:rPr>
                <w:sz w:val="20"/>
                <w:szCs w:val="20"/>
              </w:rPr>
            </w:pPr>
            <w:r w:rsidRPr="00386BBC">
              <w:rPr>
                <w:sz w:val="20"/>
                <w:szCs w:val="20"/>
              </w:rPr>
              <w:t>28,0</w:t>
            </w:r>
          </w:p>
        </w:tc>
        <w:tc>
          <w:tcPr>
            <w:tcW w:w="794" w:type="dxa"/>
            <w:tcBorders>
              <w:top w:val="nil"/>
              <w:left w:val="nil"/>
              <w:bottom w:val="nil"/>
              <w:right w:val="nil"/>
            </w:tcBorders>
            <w:shd w:val="clear" w:color="auto" w:fill="auto"/>
            <w:noWrap/>
            <w:vAlign w:val="bottom"/>
            <w:hideMark/>
          </w:tcPr>
          <w:p w:rsidR="00242C36" w:rsidRPr="00386BBC" w:rsidRDefault="00242C36" w:rsidP="00242C36">
            <w:pPr>
              <w:jc w:val="right"/>
              <w:rPr>
                <w:sz w:val="20"/>
                <w:szCs w:val="20"/>
              </w:rPr>
            </w:pPr>
            <w:r w:rsidRPr="00386BBC">
              <w:rPr>
                <w:sz w:val="20"/>
                <w:szCs w:val="20"/>
              </w:rPr>
              <w:t>2593,9</w:t>
            </w:r>
          </w:p>
        </w:tc>
        <w:tc>
          <w:tcPr>
            <w:tcW w:w="708" w:type="dxa"/>
            <w:tcBorders>
              <w:top w:val="nil"/>
              <w:left w:val="nil"/>
              <w:bottom w:val="nil"/>
              <w:right w:val="single" w:sz="4" w:space="0" w:color="auto"/>
            </w:tcBorders>
            <w:shd w:val="clear" w:color="auto" w:fill="auto"/>
            <w:noWrap/>
            <w:vAlign w:val="bottom"/>
            <w:hideMark/>
          </w:tcPr>
          <w:p w:rsidR="00242C36" w:rsidRPr="00386BBC" w:rsidRDefault="00242C36" w:rsidP="00242C36">
            <w:pPr>
              <w:jc w:val="right"/>
              <w:rPr>
                <w:sz w:val="20"/>
                <w:szCs w:val="20"/>
              </w:rPr>
            </w:pPr>
            <w:r w:rsidRPr="00386BBC">
              <w:rPr>
                <w:sz w:val="20"/>
                <w:szCs w:val="20"/>
              </w:rPr>
              <w:t>21,4</w:t>
            </w:r>
          </w:p>
        </w:tc>
      </w:tr>
      <w:tr w:rsidR="00242C36" w:rsidRPr="00386BBC" w:rsidTr="00242C36">
        <w:trPr>
          <w:trHeight w:val="300"/>
        </w:trPr>
        <w:tc>
          <w:tcPr>
            <w:tcW w:w="1260" w:type="dxa"/>
            <w:tcBorders>
              <w:top w:val="nil"/>
              <w:left w:val="single" w:sz="4" w:space="0" w:color="auto"/>
              <w:bottom w:val="nil"/>
              <w:right w:val="nil"/>
            </w:tcBorders>
            <w:shd w:val="clear" w:color="auto" w:fill="auto"/>
            <w:noWrap/>
            <w:vAlign w:val="bottom"/>
            <w:hideMark/>
          </w:tcPr>
          <w:p w:rsidR="00242C36" w:rsidRPr="00386BBC" w:rsidRDefault="00242C36" w:rsidP="00242C36">
            <w:pPr>
              <w:rPr>
                <w:sz w:val="20"/>
                <w:szCs w:val="20"/>
              </w:rPr>
            </w:pPr>
            <w:r w:rsidRPr="00386BBC">
              <w:rPr>
                <w:sz w:val="20"/>
                <w:szCs w:val="20"/>
              </w:rPr>
              <w:t>Veľké</w:t>
            </w:r>
          </w:p>
        </w:tc>
        <w:tc>
          <w:tcPr>
            <w:tcW w:w="1420" w:type="dxa"/>
            <w:tcBorders>
              <w:top w:val="nil"/>
              <w:left w:val="single" w:sz="4" w:space="0" w:color="auto"/>
              <w:bottom w:val="nil"/>
              <w:right w:val="single" w:sz="4" w:space="0" w:color="auto"/>
            </w:tcBorders>
            <w:shd w:val="clear" w:color="auto" w:fill="auto"/>
            <w:noWrap/>
            <w:vAlign w:val="bottom"/>
            <w:hideMark/>
          </w:tcPr>
          <w:p w:rsidR="00242C36" w:rsidRPr="00386BBC" w:rsidRDefault="00242C36" w:rsidP="00242C36">
            <w:pPr>
              <w:rPr>
                <w:sz w:val="20"/>
                <w:szCs w:val="20"/>
              </w:rPr>
            </w:pPr>
            <w:r w:rsidRPr="00386BBC">
              <w:rPr>
                <w:sz w:val="20"/>
                <w:szCs w:val="20"/>
              </w:rPr>
              <w:t>nad 43 mil.€</w:t>
            </w:r>
          </w:p>
        </w:tc>
        <w:tc>
          <w:tcPr>
            <w:tcW w:w="680" w:type="dxa"/>
            <w:tcBorders>
              <w:top w:val="nil"/>
              <w:left w:val="nil"/>
              <w:bottom w:val="nil"/>
              <w:right w:val="nil"/>
            </w:tcBorders>
            <w:shd w:val="clear" w:color="auto" w:fill="auto"/>
            <w:noWrap/>
            <w:vAlign w:val="bottom"/>
            <w:hideMark/>
          </w:tcPr>
          <w:p w:rsidR="00242C36" w:rsidRPr="00386BBC" w:rsidRDefault="00242C36" w:rsidP="00242C36">
            <w:pPr>
              <w:jc w:val="right"/>
              <w:rPr>
                <w:sz w:val="20"/>
                <w:szCs w:val="20"/>
              </w:rPr>
            </w:pPr>
            <w:r w:rsidRPr="00386BBC">
              <w:rPr>
                <w:sz w:val="20"/>
                <w:szCs w:val="20"/>
              </w:rPr>
              <w:t>2</w:t>
            </w:r>
          </w:p>
        </w:tc>
        <w:tc>
          <w:tcPr>
            <w:tcW w:w="908" w:type="dxa"/>
            <w:tcBorders>
              <w:top w:val="nil"/>
              <w:left w:val="nil"/>
              <w:bottom w:val="nil"/>
              <w:right w:val="single" w:sz="4" w:space="0" w:color="auto"/>
            </w:tcBorders>
            <w:shd w:val="clear" w:color="auto" w:fill="auto"/>
            <w:noWrap/>
            <w:vAlign w:val="bottom"/>
            <w:hideMark/>
          </w:tcPr>
          <w:p w:rsidR="00242C36" w:rsidRPr="00386BBC" w:rsidRDefault="00242C36" w:rsidP="00242C36">
            <w:pPr>
              <w:jc w:val="right"/>
              <w:rPr>
                <w:sz w:val="20"/>
                <w:szCs w:val="20"/>
              </w:rPr>
            </w:pPr>
            <w:r w:rsidRPr="00386BBC">
              <w:rPr>
                <w:sz w:val="20"/>
                <w:szCs w:val="20"/>
              </w:rPr>
              <w:t>0,1</w:t>
            </w:r>
          </w:p>
        </w:tc>
        <w:tc>
          <w:tcPr>
            <w:tcW w:w="832" w:type="dxa"/>
            <w:tcBorders>
              <w:top w:val="nil"/>
              <w:left w:val="nil"/>
              <w:bottom w:val="nil"/>
              <w:right w:val="nil"/>
            </w:tcBorders>
            <w:shd w:val="clear" w:color="auto" w:fill="auto"/>
            <w:noWrap/>
            <w:vAlign w:val="bottom"/>
            <w:hideMark/>
          </w:tcPr>
          <w:p w:rsidR="00242C36" w:rsidRPr="00386BBC" w:rsidRDefault="00242C36" w:rsidP="00242C36">
            <w:pPr>
              <w:jc w:val="right"/>
              <w:rPr>
                <w:sz w:val="20"/>
                <w:szCs w:val="20"/>
              </w:rPr>
            </w:pPr>
            <w:r w:rsidRPr="00386BBC">
              <w:rPr>
                <w:sz w:val="20"/>
                <w:szCs w:val="20"/>
              </w:rPr>
              <w:t>505,1</w:t>
            </w:r>
          </w:p>
        </w:tc>
        <w:tc>
          <w:tcPr>
            <w:tcW w:w="869" w:type="dxa"/>
            <w:tcBorders>
              <w:top w:val="nil"/>
              <w:left w:val="nil"/>
              <w:bottom w:val="nil"/>
              <w:right w:val="nil"/>
            </w:tcBorders>
            <w:shd w:val="clear" w:color="auto" w:fill="auto"/>
            <w:noWrap/>
            <w:vAlign w:val="bottom"/>
            <w:hideMark/>
          </w:tcPr>
          <w:p w:rsidR="00242C36" w:rsidRPr="00386BBC" w:rsidRDefault="00242C36" w:rsidP="00242C36">
            <w:pPr>
              <w:jc w:val="right"/>
              <w:rPr>
                <w:sz w:val="20"/>
                <w:szCs w:val="20"/>
              </w:rPr>
            </w:pPr>
            <w:r w:rsidRPr="00386BBC">
              <w:rPr>
                <w:sz w:val="20"/>
                <w:szCs w:val="20"/>
              </w:rPr>
              <w:t>8,9</w:t>
            </w:r>
          </w:p>
        </w:tc>
        <w:tc>
          <w:tcPr>
            <w:tcW w:w="926" w:type="dxa"/>
            <w:tcBorders>
              <w:top w:val="nil"/>
              <w:left w:val="single" w:sz="4" w:space="0" w:color="auto"/>
              <w:bottom w:val="nil"/>
              <w:right w:val="nil"/>
            </w:tcBorders>
            <w:shd w:val="clear" w:color="auto" w:fill="auto"/>
            <w:noWrap/>
            <w:vAlign w:val="bottom"/>
            <w:hideMark/>
          </w:tcPr>
          <w:p w:rsidR="00242C36" w:rsidRPr="00386BBC" w:rsidRDefault="00242C36" w:rsidP="00242C36">
            <w:pPr>
              <w:jc w:val="right"/>
              <w:rPr>
                <w:sz w:val="20"/>
                <w:szCs w:val="20"/>
              </w:rPr>
            </w:pPr>
            <w:r w:rsidRPr="00386BBC">
              <w:rPr>
                <w:sz w:val="20"/>
                <w:szCs w:val="20"/>
              </w:rPr>
              <w:t>1423,7</w:t>
            </w:r>
          </w:p>
        </w:tc>
        <w:tc>
          <w:tcPr>
            <w:tcW w:w="690" w:type="dxa"/>
            <w:tcBorders>
              <w:top w:val="nil"/>
              <w:left w:val="nil"/>
              <w:bottom w:val="nil"/>
              <w:right w:val="single" w:sz="4" w:space="0" w:color="auto"/>
            </w:tcBorders>
            <w:shd w:val="clear" w:color="auto" w:fill="auto"/>
            <w:noWrap/>
            <w:vAlign w:val="bottom"/>
            <w:hideMark/>
          </w:tcPr>
          <w:p w:rsidR="00242C36" w:rsidRPr="00386BBC" w:rsidRDefault="00242C36" w:rsidP="00242C36">
            <w:pPr>
              <w:jc w:val="right"/>
              <w:rPr>
                <w:sz w:val="20"/>
                <w:szCs w:val="20"/>
              </w:rPr>
            </w:pPr>
            <w:r w:rsidRPr="00386BBC">
              <w:rPr>
                <w:sz w:val="20"/>
                <w:szCs w:val="20"/>
              </w:rPr>
              <w:t>3,4</w:t>
            </w:r>
          </w:p>
        </w:tc>
        <w:tc>
          <w:tcPr>
            <w:tcW w:w="794" w:type="dxa"/>
            <w:tcBorders>
              <w:top w:val="nil"/>
              <w:left w:val="nil"/>
              <w:bottom w:val="nil"/>
              <w:right w:val="nil"/>
            </w:tcBorders>
            <w:shd w:val="clear" w:color="auto" w:fill="auto"/>
            <w:noWrap/>
            <w:vAlign w:val="bottom"/>
            <w:hideMark/>
          </w:tcPr>
          <w:p w:rsidR="00242C36" w:rsidRPr="00386BBC" w:rsidRDefault="00242C36" w:rsidP="00242C36">
            <w:pPr>
              <w:jc w:val="right"/>
              <w:rPr>
                <w:sz w:val="20"/>
                <w:szCs w:val="20"/>
              </w:rPr>
            </w:pPr>
            <w:r w:rsidRPr="00386BBC">
              <w:rPr>
                <w:sz w:val="20"/>
                <w:szCs w:val="20"/>
              </w:rPr>
              <w:t>3783,5</w:t>
            </w:r>
          </w:p>
        </w:tc>
        <w:tc>
          <w:tcPr>
            <w:tcW w:w="708" w:type="dxa"/>
            <w:tcBorders>
              <w:top w:val="nil"/>
              <w:left w:val="nil"/>
              <w:bottom w:val="nil"/>
              <w:right w:val="single" w:sz="4" w:space="0" w:color="auto"/>
            </w:tcBorders>
            <w:shd w:val="clear" w:color="auto" w:fill="auto"/>
            <w:noWrap/>
            <w:vAlign w:val="bottom"/>
            <w:hideMark/>
          </w:tcPr>
          <w:p w:rsidR="00242C36" w:rsidRPr="00386BBC" w:rsidRDefault="00242C36" w:rsidP="00242C36">
            <w:pPr>
              <w:jc w:val="right"/>
              <w:rPr>
                <w:sz w:val="20"/>
                <w:szCs w:val="20"/>
              </w:rPr>
            </w:pPr>
            <w:r w:rsidRPr="00386BBC">
              <w:rPr>
                <w:sz w:val="20"/>
                <w:szCs w:val="20"/>
              </w:rPr>
              <w:t>2,0</w:t>
            </w:r>
          </w:p>
        </w:tc>
      </w:tr>
      <w:tr w:rsidR="00242C36" w:rsidRPr="00386BBC" w:rsidTr="00242C36">
        <w:trPr>
          <w:trHeight w:val="345"/>
        </w:trPr>
        <w:tc>
          <w:tcPr>
            <w:tcW w:w="1260" w:type="dxa"/>
            <w:tcBorders>
              <w:top w:val="single" w:sz="4" w:space="0" w:color="auto"/>
              <w:left w:val="single" w:sz="4" w:space="0" w:color="auto"/>
              <w:bottom w:val="single" w:sz="4" w:space="0" w:color="auto"/>
              <w:right w:val="nil"/>
            </w:tcBorders>
            <w:shd w:val="clear" w:color="auto" w:fill="auto"/>
            <w:noWrap/>
            <w:vAlign w:val="bottom"/>
            <w:hideMark/>
          </w:tcPr>
          <w:p w:rsidR="00242C36" w:rsidRPr="00386BBC" w:rsidRDefault="00242C36" w:rsidP="00242C36">
            <w:pPr>
              <w:rPr>
                <w:sz w:val="20"/>
                <w:szCs w:val="20"/>
              </w:rPr>
            </w:pPr>
            <w:r w:rsidRPr="00386BBC">
              <w:rPr>
                <w:sz w:val="20"/>
                <w:szCs w:val="20"/>
              </w:rPr>
              <w:t>Farmy spolu</w:t>
            </w:r>
          </w:p>
        </w:tc>
        <w:tc>
          <w:tcPr>
            <w:tcW w:w="142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42C36" w:rsidRPr="00386BBC" w:rsidRDefault="00242C36" w:rsidP="00242C36">
            <w:pPr>
              <w:jc w:val="center"/>
              <w:rPr>
                <w:sz w:val="20"/>
                <w:szCs w:val="20"/>
              </w:rPr>
            </w:pPr>
            <w:r w:rsidRPr="00386BBC">
              <w:rPr>
                <w:sz w:val="20"/>
                <w:szCs w:val="20"/>
              </w:rPr>
              <w:t>x</w:t>
            </w:r>
          </w:p>
        </w:tc>
        <w:tc>
          <w:tcPr>
            <w:tcW w:w="680" w:type="dxa"/>
            <w:tcBorders>
              <w:top w:val="single" w:sz="4" w:space="0" w:color="auto"/>
              <w:left w:val="nil"/>
              <w:bottom w:val="single" w:sz="4" w:space="0" w:color="auto"/>
              <w:right w:val="nil"/>
            </w:tcBorders>
            <w:shd w:val="clear" w:color="auto" w:fill="auto"/>
            <w:noWrap/>
            <w:vAlign w:val="bottom"/>
            <w:hideMark/>
          </w:tcPr>
          <w:p w:rsidR="00242C36" w:rsidRPr="00386BBC" w:rsidRDefault="00242C36" w:rsidP="00242C36">
            <w:pPr>
              <w:jc w:val="right"/>
              <w:rPr>
                <w:sz w:val="20"/>
                <w:szCs w:val="20"/>
              </w:rPr>
            </w:pPr>
            <w:r w:rsidRPr="00386BBC">
              <w:rPr>
                <w:sz w:val="20"/>
                <w:szCs w:val="20"/>
              </w:rPr>
              <w:t>1480</w:t>
            </w:r>
          </w:p>
        </w:tc>
        <w:tc>
          <w:tcPr>
            <w:tcW w:w="908" w:type="dxa"/>
            <w:tcBorders>
              <w:top w:val="single" w:sz="4" w:space="0" w:color="auto"/>
              <w:left w:val="nil"/>
              <w:bottom w:val="single" w:sz="4" w:space="0" w:color="auto"/>
              <w:right w:val="single" w:sz="4" w:space="0" w:color="auto"/>
            </w:tcBorders>
            <w:shd w:val="clear" w:color="auto" w:fill="auto"/>
            <w:noWrap/>
            <w:vAlign w:val="bottom"/>
            <w:hideMark/>
          </w:tcPr>
          <w:p w:rsidR="00242C36" w:rsidRPr="00386BBC" w:rsidRDefault="00242C36" w:rsidP="00242C36">
            <w:pPr>
              <w:jc w:val="right"/>
              <w:rPr>
                <w:sz w:val="20"/>
                <w:szCs w:val="20"/>
              </w:rPr>
            </w:pPr>
            <w:r w:rsidRPr="00386BBC">
              <w:rPr>
                <w:sz w:val="20"/>
                <w:szCs w:val="20"/>
              </w:rPr>
              <w:t>100,0</w:t>
            </w:r>
          </w:p>
        </w:tc>
        <w:tc>
          <w:tcPr>
            <w:tcW w:w="832" w:type="dxa"/>
            <w:tcBorders>
              <w:top w:val="single" w:sz="4" w:space="0" w:color="auto"/>
              <w:left w:val="nil"/>
              <w:bottom w:val="single" w:sz="4" w:space="0" w:color="auto"/>
              <w:right w:val="nil"/>
            </w:tcBorders>
            <w:shd w:val="clear" w:color="auto" w:fill="auto"/>
            <w:noWrap/>
            <w:vAlign w:val="bottom"/>
            <w:hideMark/>
          </w:tcPr>
          <w:p w:rsidR="00242C36" w:rsidRPr="00386BBC" w:rsidRDefault="00242C36" w:rsidP="00242C36">
            <w:pPr>
              <w:jc w:val="right"/>
              <w:rPr>
                <w:sz w:val="20"/>
                <w:szCs w:val="20"/>
              </w:rPr>
            </w:pPr>
            <w:r w:rsidRPr="00386BBC">
              <w:rPr>
                <w:sz w:val="20"/>
                <w:szCs w:val="20"/>
              </w:rPr>
              <w:t>34,1</w:t>
            </w:r>
          </w:p>
        </w:tc>
        <w:tc>
          <w:tcPr>
            <w:tcW w:w="869" w:type="dxa"/>
            <w:tcBorders>
              <w:top w:val="single" w:sz="4" w:space="0" w:color="auto"/>
              <w:left w:val="nil"/>
              <w:bottom w:val="single" w:sz="4" w:space="0" w:color="auto"/>
              <w:right w:val="nil"/>
            </w:tcBorders>
            <w:shd w:val="clear" w:color="auto" w:fill="auto"/>
            <w:noWrap/>
            <w:vAlign w:val="bottom"/>
            <w:hideMark/>
          </w:tcPr>
          <w:p w:rsidR="00242C36" w:rsidRPr="00386BBC" w:rsidRDefault="00242C36" w:rsidP="00242C36">
            <w:pPr>
              <w:jc w:val="right"/>
              <w:rPr>
                <w:sz w:val="20"/>
                <w:szCs w:val="20"/>
              </w:rPr>
            </w:pPr>
            <w:r w:rsidRPr="00386BBC">
              <w:rPr>
                <w:sz w:val="20"/>
                <w:szCs w:val="20"/>
              </w:rPr>
              <w:t>100,0</w:t>
            </w:r>
          </w:p>
        </w:tc>
        <w:tc>
          <w:tcPr>
            <w:tcW w:w="926" w:type="dxa"/>
            <w:tcBorders>
              <w:top w:val="single" w:sz="4" w:space="0" w:color="auto"/>
              <w:left w:val="single" w:sz="4" w:space="0" w:color="auto"/>
              <w:bottom w:val="single" w:sz="4" w:space="0" w:color="auto"/>
              <w:right w:val="nil"/>
            </w:tcBorders>
            <w:shd w:val="clear" w:color="auto" w:fill="auto"/>
            <w:noWrap/>
            <w:vAlign w:val="bottom"/>
            <w:hideMark/>
          </w:tcPr>
          <w:p w:rsidR="00242C36" w:rsidRPr="00386BBC" w:rsidRDefault="00242C36" w:rsidP="00242C36">
            <w:pPr>
              <w:jc w:val="right"/>
              <w:rPr>
                <w:sz w:val="20"/>
                <w:szCs w:val="20"/>
              </w:rPr>
            </w:pPr>
            <w:r w:rsidRPr="00386BBC">
              <w:rPr>
                <w:sz w:val="20"/>
                <w:szCs w:val="20"/>
              </w:rPr>
              <w:t>249,2</w:t>
            </w:r>
          </w:p>
        </w:tc>
        <w:tc>
          <w:tcPr>
            <w:tcW w:w="690" w:type="dxa"/>
            <w:tcBorders>
              <w:top w:val="single" w:sz="4" w:space="0" w:color="auto"/>
              <w:left w:val="nil"/>
              <w:bottom w:val="single" w:sz="4" w:space="0" w:color="auto"/>
              <w:right w:val="single" w:sz="4" w:space="0" w:color="auto"/>
            </w:tcBorders>
            <w:shd w:val="clear" w:color="auto" w:fill="auto"/>
            <w:noWrap/>
            <w:vAlign w:val="bottom"/>
            <w:hideMark/>
          </w:tcPr>
          <w:p w:rsidR="00242C36" w:rsidRPr="00386BBC" w:rsidRDefault="00242C36" w:rsidP="00242C36">
            <w:pPr>
              <w:jc w:val="right"/>
              <w:rPr>
                <w:sz w:val="20"/>
                <w:szCs w:val="20"/>
              </w:rPr>
            </w:pPr>
            <w:r w:rsidRPr="00386BBC">
              <w:rPr>
                <w:sz w:val="20"/>
                <w:szCs w:val="20"/>
              </w:rPr>
              <w:t>100,0</w:t>
            </w:r>
          </w:p>
        </w:tc>
        <w:tc>
          <w:tcPr>
            <w:tcW w:w="794" w:type="dxa"/>
            <w:tcBorders>
              <w:top w:val="single" w:sz="4" w:space="0" w:color="auto"/>
              <w:left w:val="nil"/>
              <w:bottom w:val="single" w:sz="4" w:space="0" w:color="auto"/>
              <w:right w:val="nil"/>
            </w:tcBorders>
            <w:shd w:val="clear" w:color="auto" w:fill="auto"/>
            <w:noWrap/>
            <w:vAlign w:val="bottom"/>
            <w:hideMark/>
          </w:tcPr>
          <w:p w:rsidR="00242C36" w:rsidRPr="00386BBC" w:rsidRDefault="00242C36" w:rsidP="00242C36">
            <w:pPr>
              <w:jc w:val="right"/>
              <w:rPr>
                <w:sz w:val="20"/>
                <w:szCs w:val="20"/>
              </w:rPr>
            </w:pPr>
            <w:r w:rsidRPr="00386BBC">
              <w:rPr>
                <w:sz w:val="20"/>
                <w:szCs w:val="20"/>
              </w:rPr>
              <w:t>1128,3</w:t>
            </w:r>
          </w:p>
        </w:tc>
        <w:tc>
          <w:tcPr>
            <w:tcW w:w="708" w:type="dxa"/>
            <w:tcBorders>
              <w:top w:val="single" w:sz="4" w:space="0" w:color="auto"/>
              <w:left w:val="nil"/>
              <w:bottom w:val="single" w:sz="4" w:space="0" w:color="auto"/>
              <w:right w:val="single" w:sz="4" w:space="0" w:color="auto"/>
            </w:tcBorders>
            <w:shd w:val="clear" w:color="auto" w:fill="auto"/>
            <w:noWrap/>
            <w:vAlign w:val="bottom"/>
            <w:hideMark/>
          </w:tcPr>
          <w:p w:rsidR="00242C36" w:rsidRPr="00386BBC" w:rsidRDefault="00242C36" w:rsidP="00242C36">
            <w:pPr>
              <w:jc w:val="right"/>
              <w:rPr>
                <w:sz w:val="20"/>
                <w:szCs w:val="20"/>
              </w:rPr>
            </w:pPr>
            <w:r w:rsidRPr="00386BBC">
              <w:rPr>
                <w:sz w:val="20"/>
                <w:szCs w:val="20"/>
              </w:rPr>
              <w:t>100,0</w:t>
            </w:r>
          </w:p>
        </w:tc>
      </w:tr>
      <w:tr w:rsidR="00242C36" w:rsidRPr="00386BBC" w:rsidTr="00242C36">
        <w:trPr>
          <w:trHeight w:val="405"/>
        </w:trPr>
        <w:tc>
          <w:tcPr>
            <w:tcW w:w="9087" w:type="dxa"/>
            <w:gridSpan w:val="10"/>
            <w:tcBorders>
              <w:top w:val="single" w:sz="4" w:space="0" w:color="auto"/>
              <w:left w:val="single" w:sz="4" w:space="0" w:color="auto"/>
              <w:bottom w:val="nil"/>
              <w:right w:val="single" w:sz="4" w:space="0" w:color="000000"/>
            </w:tcBorders>
            <w:shd w:val="clear" w:color="auto" w:fill="auto"/>
            <w:noWrap/>
            <w:vAlign w:val="center"/>
            <w:hideMark/>
          </w:tcPr>
          <w:p w:rsidR="00242C36" w:rsidRPr="00386BBC" w:rsidRDefault="00242C36" w:rsidP="00242C36">
            <w:pPr>
              <w:jc w:val="center"/>
              <w:rPr>
                <w:b/>
                <w:bCs/>
                <w:sz w:val="20"/>
                <w:szCs w:val="20"/>
              </w:rPr>
            </w:pPr>
            <w:r w:rsidRPr="00386BBC">
              <w:rPr>
                <w:b/>
                <w:bCs/>
                <w:sz w:val="20"/>
                <w:szCs w:val="20"/>
              </w:rPr>
              <w:t>Podľa hrubého obratu (HO)</w:t>
            </w:r>
          </w:p>
        </w:tc>
      </w:tr>
      <w:tr w:rsidR="00242C36" w:rsidRPr="00386BBC" w:rsidTr="00242C36">
        <w:trPr>
          <w:trHeight w:val="300"/>
        </w:trPr>
        <w:tc>
          <w:tcPr>
            <w:tcW w:w="1260" w:type="dxa"/>
            <w:tcBorders>
              <w:top w:val="single" w:sz="4" w:space="0" w:color="auto"/>
              <w:left w:val="single" w:sz="4" w:space="0" w:color="auto"/>
              <w:bottom w:val="nil"/>
              <w:right w:val="nil"/>
            </w:tcBorders>
            <w:shd w:val="clear" w:color="auto" w:fill="auto"/>
            <w:noWrap/>
            <w:vAlign w:val="bottom"/>
            <w:hideMark/>
          </w:tcPr>
          <w:p w:rsidR="00242C36" w:rsidRPr="00386BBC" w:rsidRDefault="00242C36" w:rsidP="00242C36">
            <w:pPr>
              <w:rPr>
                <w:sz w:val="20"/>
                <w:szCs w:val="20"/>
              </w:rPr>
            </w:pPr>
            <w:r w:rsidRPr="00386BBC">
              <w:rPr>
                <w:sz w:val="20"/>
                <w:szCs w:val="20"/>
              </w:rPr>
              <w:t>Veľmi malé</w:t>
            </w:r>
          </w:p>
        </w:tc>
        <w:tc>
          <w:tcPr>
            <w:tcW w:w="1420" w:type="dxa"/>
            <w:tcBorders>
              <w:top w:val="single" w:sz="4" w:space="0" w:color="auto"/>
              <w:left w:val="single" w:sz="4" w:space="0" w:color="auto"/>
              <w:bottom w:val="nil"/>
              <w:right w:val="single" w:sz="4" w:space="0" w:color="auto"/>
            </w:tcBorders>
            <w:shd w:val="clear" w:color="auto" w:fill="auto"/>
            <w:noWrap/>
            <w:vAlign w:val="bottom"/>
            <w:hideMark/>
          </w:tcPr>
          <w:p w:rsidR="00242C36" w:rsidRPr="00386BBC" w:rsidRDefault="00242C36" w:rsidP="00242C36">
            <w:pPr>
              <w:rPr>
                <w:sz w:val="20"/>
                <w:szCs w:val="20"/>
              </w:rPr>
            </w:pPr>
            <w:r w:rsidRPr="00386BBC">
              <w:rPr>
                <w:sz w:val="20"/>
                <w:szCs w:val="20"/>
              </w:rPr>
              <w:t>do 2 mil.€</w:t>
            </w:r>
          </w:p>
        </w:tc>
        <w:tc>
          <w:tcPr>
            <w:tcW w:w="680" w:type="dxa"/>
            <w:tcBorders>
              <w:top w:val="single" w:sz="4" w:space="0" w:color="auto"/>
              <w:left w:val="nil"/>
              <w:bottom w:val="nil"/>
              <w:right w:val="nil"/>
            </w:tcBorders>
            <w:shd w:val="clear" w:color="auto" w:fill="auto"/>
            <w:noWrap/>
            <w:vAlign w:val="bottom"/>
            <w:hideMark/>
          </w:tcPr>
          <w:p w:rsidR="00242C36" w:rsidRPr="00386BBC" w:rsidRDefault="00242C36" w:rsidP="00242C36">
            <w:pPr>
              <w:jc w:val="right"/>
              <w:rPr>
                <w:sz w:val="20"/>
                <w:szCs w:val="20"/>
              </w:rPr>
            </w:pPr>
            <w:r w:rsidRPr="00386BBC">
              <w:rPr>
                <w:sz w:val="20"/>
                <w:szCs w:val="20"/>
              </w:rPr>
              <w:t>1240</w:t>
            </w:r>
          </w:p>
        </w:tc>
        <w:tc>
          <w:tcPr>
            <w:tcW w:w="908" w:type="dxa"/>
            <w:tcBorders>
              <w:top w:val="single" w:sz="4" w:space="0" w:color="auto"/>
              <w:left w:val="nil"/>
              <w:bottom w:val="nil"/>
              <w:right w:val="single" w:sz="4" w:space="0" w:color="auto"/>
            </w:tcBorders>
            <w:shd w:val="clear" w:color="auto" w:fill="auto"/>
            <w:noWrap/>
            <w:vAlign w:val="bottom"/>
            <w:hideMark/>
          </w:tcPr>
          <w:p w:rsidR="00242C36" w:rsidRPr="00386BBC" w:rsidRDefault="00242C36" w:rsidP="00242C36">
            <w:pPr>
              <w:jc w:val="right"/>
              <w:rPr>
                <w:sz w:val="20"/>
                <w:szCs w:val="20"/>
              </w:rPr>
            </w:pPr>
            <w:r w:rsidRPr="00386BBC">
              <w:rPr>
                <w:sz w:val="20"/>
                <w:szCs w:val="20"/>
              </w:rPr>
              <w:t>83,8</w:t>
            </w:r>
          </w:p>
        </w:tc>
        <w:tc>
          <w:tcPr>
            <w:tcW w:w="832" w:type="dxa"/>
            <w:tcBorders>
              <w:top w:val="single" w:sz="4" w:space="0" w:color="auto"/>
              <w:left w:val="nil"/>
              <w:bottom w:val="nil"/>
              <w:right w:val="nil"/>
            </w:tcBorders>
            <w:shd w:val="clear" w:color="auto" w:fill="auto"/>
            <w:noWrap/>
            <w:vAlign w:val="bottom"/>
            <w:hideMark/>
          </w:tcPr>
          <w:p w:rsidR="00242C36" w:rsidRPr="00386BBC" w:rsidRDefault="00242C36" w:rsidP="00242C36">
            <w:pPr>
              <w:jc w:val="right"/>
              <w:rPr>
                <w:sz w:val="20"/>
                <w:szCs w:val="20"/>
              </w:rPr>
            </w:pPr>
            <w:r w:rsidRPr="00386BBC">
              <w:rPr>
                <w:sz w:val="20"/>
                <w:szCs w:val="20"/>
              </w:rPr>
              <w:t>12,0</w:t>
            </w:r>
          </w:p>
        </w:tc>
        <w:tc>
          <w:tcPr>
            <w:tcW w:w="869" w:type="dxa"/>
            <w:tcBorders>
              <w:top w:val="single" w:sz="4" w:space="0" w:color="auto"/>
              <w:left w:val="nil"/>
              <w:bottom w:val="nil"/>
              <w:right w:val="nil"/>
            </w:tcBorders>
            <w:shd w:val="clear" w:color="auto" w:fill="auto"/>
            <w:noWrap/>
            <w:vAlign w:val="bottom"/>
            <w:hideMark/>
          </w:tcPr>
          <w:p w:rsidR="00242C36" w:rsidRPr="00386BBC" w:rsidRDefault="00242C36" w:rsidP="00242C36">
            <w:pPr>
              <w:jc w:val="right"/>
              <w:rPr>
                <w:sz w:val="20"/>
                <w:szCs w:val="20"/>
              </w:rPr>
            </w:pPr>
            <w:r w:rsidRPr="00386BBC">
              <w:rPr>
                <w:sz w:val="20"/>
                <w:szCs w:val="20"/>
              </w:rPr>
              <w:t>21,8</w:t>
            </w:r>
          </w:p>
        </w:tc>
        <w:tc>
          <w:tcPr>
            <w:tcW w:w="926" w:type="dxa"/>
            <w:tcBorders>
              <w:top w:val="single" w:sz="4" w:space="0" w:color="auto"/>
              <w:left w:val="single" w:sz="4" w:space="0" w:color="auto"/>
              <w:bottom w:val="nil"/>
              <w:right w:val="nil"/>
            </w:tcBorders>
            <w:shd w:val="clear" w:color="auto" w:fill="auto"/>
            <w:noWrap/>
            <w:vAlign w:val="bottom"/>
            <w:hideMark/>
          </w:tcPr>
          <w:p w:rsidR="00242C36" w:rsidRPr="00386BBC" w:rsidRDefault="00242C36" w:rsidP="00242C36">
            <w:pPr>
              <w:jc w:val="right"/>
              <w:rPr>
                <w:sz w:val="20"/>
                <w:szCs w:val="20"/>
              </w:rPr>
            </w:pPr>
            <w:r w:rsidRPr="00386BBC">
              <w:rPr>
                <w:sz w:val="20"/>
                <w:szCs w:val="20"/>
              </w:rPr>
              <w:t>112,5</w:t>
            </w:r>
          </w:p>
        </w:tc>
        <w:tc>
          <w:tcPr>
            <w:tcW w:w="690" w:type="dxa"/>
            <w:tcBorders>
              <w:top w:val="single" w:sz="4" w:space="0" w:color="auto"/>
              <w:left w:val="nil"/>
              <w:bottom w:val="nil"/>
              <w:right w:val="single" w:sz="4" w:space="0" w:color="auto"/>
            </w:tcBorders>
            <w:shd w:val="clear" w:color="auto" w:fill="auto"/>
            <w:noWrap/>
            <w:vAlign w:val="bottom"/>
            <w:hideMark/>
          </w:tcPr>
          <w:p w:rsidR="00242C36" w:rsidRPr="00386BBC" w:rsidRDefault="00242C36" w:rsidP="00242C36">
            <w:pPr>
              <w:jc w:val="right"/>
              <w:rPr>
                <w:sz w:val="20"/>
                <w:szCs w:val="20"/>
              </w:rPr>
            </w:pPr>
            <w:r w:rsidRPr="00386BBC">
              <w:rPr>
                <w:sz w:val="20"/>
                <w:szCs w:val="20"/>
              </w:rPr>
              <w:t>28,0</w:t>
            </w:r>
          </w:p>
        </w:tc>
        <w:tc>
          <w:tcPr>
            <w:tcW w:w="794" w:type="dxa"/>
            <w:tcBorders>
              <w:top w:val="single" w:sz="4" w:space="0" w:color="auto"/>
              <w:left w:val="nil"/>
              <w:bottom w:val="nil"/>
              <w:right w:val="nil"/>
            </w:tcBorders>
            <w:shd w:val="clear" w:color="auto" w:fill="auto"/>
            <w:noWrap/>
            <w:vAlign w:val="bottom"/>
            <w:hideMark/>
          </w:tcPr>
          <w:p w:rsidR="00242C36" w:rsidRPr="00386BBC" w:rsidRDefault="00242C36" w:rsidP="00242C36">
            <w:pPr>
              <w:jc w:val="right"/>
              <w:rPr>
                <w:sz w:val="20"/>
                <w:szCs w:val="20"/>
              </w:rPr>
            </w:pPr>
            <w:r w:rsidRPr="00386BBC">
              <w:rPr>
                <w:sz w:val="20"/>
                <w:szCs w:val="20"/>
              </w:rPr>
              <w:t>733,0</w:t>
            </w:r>
          </w:p>
        </w:tc>
        <w:tc>
          <w:tcPr>
            <w:tcW w:w="708" w:type="dxa"/>
            <w:tcBorders>
              <w:top w:val="single" w:sz="4" w:space="0" w:color="auto"/>
              <w:left w:val="nil"/>
              <w:bottom w:val="nil"/>
              <w:right w:val="single" w:sz="4" w:space="0" w:color="auto"/>
            </w:tcBorders>
            <w:shd w:val="clear" w:color="auto" w:fill="auto"/>
            <w:noWrap/>
            <w:vAlign w:val="bottom"/>
            <w:hideMark/>
          </w:tcPr>
          <w:p w:rsidR="00242C36" w:rsidRPr="00386BBC" w:rsidRDefault="00242C36" w:rsidP="00242C36">
            <w:pPr>
              <w:jc w:val="right"/>
              <w:rPr>
                <w:sz w:val="20"/>
                <w:szCs w:val="20"/>
              </w:rPr>
            </w:pPr>
            <w:r w:rsidRPr="00386BBC">
              <w:rPr>
                <w:sz w:val="20"/>
                <w:szCs w:val="20"/>
              </w:rPr>
              <w:t>40,2</w:t>
            </w:r>
          </w:p>
        </w:tc>
      </w:tr>
      <w:tr w:rsidR="00242C36" w:rsidRPr="00386BBC" w:rsidTr="00242C36">
        <w:trPr>
          <w:trHeight w:val="300"/>
        </w:trPr>
        <w:tc>
          <w:tcPr>
            <w:tcW w:w="1260" w:type="dxa"/>
            <w:tcBorders>
              <w:top w:val="nil"/>
              <w:left w:val="single" w:sz="4" w:space="0" w:color="auto"/>
              <w:bottom w:val="nil"/>
              <w:right w:val="nil"/>
            </w:tcBorders>
            <w:shd w:val="clear" w:color="auto" w:fill="auto"/>
            <w:noWrap/>
            <w:vAlign w:val="bottom"/>
            <w:hideMark/>
          </w:tcPr>
          <w:p w:rsidR="00242C36" w:rsidRPr="00386BBC" w:rsidRDefault="00242C36" w:rsidP="00242C36">
            <w:pPr>
              <w:rPr>
                <w:sz w:val="20"/>
                <w:szCs w:val="20"/>
              </w:rPr>
            </w:pPr>
            <w:r w:rsidRPr="00386BBC">
              <w:rPr>
                <w:sz w:val="20"/>
                <w:szCs w:val="20"/>
              </w:rPr>
              <w:t>Malé</w:t>
            </w:r>
          </w:p>
        </w:tc>
        <w:tc>
          <w:tcPr>
            <w:tcW w:w="1420" w:type="dxa"/>
            <w:tcBorders>
              <w:top w:val="nil"/>
              <w:left w:val="single" w:sz="4" w:space="0" w:color="auto"/>
              <w:bottom w:val="nil"/>
              <w:right w:val="single" w:sz="4" w:space="0" w:color="auto"/>
            </w:tcBorders>
            <w:shd w:val="clear" w:color="auto" w:fill="auto"/>
            <w:noWrap/>
            <w:vAlign w:val="bottom"/>
            <w:hideMark/>
          </w:tcPr>
          <w:p w:rsidR="00242C36" w:rsidRPr="00386BBC" w:rsidRDefault="00242C36" w:rsidP="00242C36">
            <w:pPr>
              <w:rPr>
                <w:sz w:val="20"/>
                <w:szCs w:val="20"/>
              </w:rPr>
            </w:pPr>
            <w:r w:rsidRPr="00386BBC">
              <w:rPr>
                <w:sz w:val="20"/>
                <w:szCs w:val="20"/>
              </w:rPr>
              <w:t>2 - 10 mil.€</w:t>
            </w:r>
          </w:p>
        </w:tc>
        <w:tc>
          <w:tcPr>
            <w:tcW w:w="680" w:type="dxa"/>
            <w:tcBorders>
              <w:top w:val="nil"/>
              <w:left w:val="nil"/>
              <w:bottom w:val="nil"/>
              <w:right w:val="nil"/>
            </w:tcBorders>
            <w:shd w:val="clear" w:color="auto" w:fill="auto"/>
            <w:noWrap/>
            <w:vAlign w:val="bottom"/>
            <w:hideMark/>
          </w:tcPr>
          <w:p w:rsidR="00242C36" w:rsidRPr="00386BBC" w:rsidRDefault="00242C36" w:rsidP="00242C36">
            <w:pPr>
              <w:jc w:val="right"/>
              <w:rPr>
                <w:sz w:val="20"/>
                <w:szCs w:val="20"/>
              </w:rPr>
            </w:pPr>
            <w:r w:rsidRPr="00386BBC">
              <w:rPr>
                <w:sz w:val="20"/>
                <w:szCs w:val="20"/>
              </w:rPr>
              <w:t>229</w:t>
            </w:r>
          </w:p>
        </w:tc>
        <w:tc>
          <w:tcPr>
            <w:tcW w:w="908" w:type="dxa"/>
            <w:tcBorders>
              <w:top w:val="nil"/>
              <w:left w:val="nil"/>
              <w:bottom w:val="nil"/>
              <w:right w:val="single" w:sz="4" w:space="0" w:color="auto"/>
            </w:tcBorders>
            <w:shd w:val="clear" w:color="auto" w:fill="auto"/>
            <w:noWrap/>
            <w:vAlign w:val="bottom"/>
            <w:hideMark/>
          </w:tcPr>
          <w:p w:rsidR="00242C36" w:rsidRPr="00386BBC" w:rsidRDefault="00242C36" w:rsidP="00242C36">
            <w:pPr>
              <w:jc w:val="right"/>
              <w:rPr>
                <w:sz w:val="20"/>
                <w:szCs w:val="20"/>
              </w:rPr>
            </w:pPr>
            <w:r w:rsidRPr="00386BBC">
              <w:rPr>
                <w:sz w:val="20"/>
                <w:szCs w:val="20"/>
              </w:rPr>
              <w:t>15,5</w:t>
            </w:r>
          </w:p>
        </w:tc>
        <w:tc>
          <w:tcPr>
            <w:tcW w:w="832" w:type="dxa"/>
            <w:tcBorders>
              <w:top w:val="nil"/>
              <w:left w:val="nil"/>
              <w:bottom w:val="nil"/>
              <w:right w:val="nil"/>
            </w:tcBorders>
            <w:shd w:val="clear" w:color="auto" w:fill="auto"/>
            <w:noWrap/>
            <w:vAlign w:val="bottom"/>
            <w:hideMark/>
          </w:tcPr>
          <w:p w:rsidR="00242C36" w:rsidRPr="00386BBC" w:rsidRDefault="00242C36" w:rsidP="00242C36">
            <w:pPr>
              <w:jc w:val="right"/>
              <w:rPr>
                <w:sz w:val="20"/>
                <w:szCs w:val="20"/>
              </w:rPr>
            </w:pPr>
            <w:r w:rsidRPr="00386BBC">
              <w:rPr>
                <w:sz w:val="20"/>
                <w:szCs w:val="20"/>
              </w:rPr>
              <w:t>67,5</w:t>
            </w:r>
          </w:p>
        </w:tc>
        <w:tc>
          <w:tcPr>
            <w:tcW w:w="869" w:type="dxa"/>
            <w:tcBorders>
              <w:top w:val="nil"/>
              <w:left w:val="nil"/>
              <w:bottom w:val="nil"/>
              <w:right w:val="nil"/>
            </w:tcBorders>
            <w:shd w:val="clear" w:color="auto" w:fill="auto"/>
            <w:noWrap/>
            <w:vAlign w:val="bottom"/>
            <w:hideMark/>
          </w:tcPr>
          <w:p w:rsidR="00242C36" w:rsidRPr="00386BBC" w:rsidRDefault="00242C36" w:rsidP="00242C36">
            <w:pPr>
              <w:jc w:val="right"/>
              <w:rPr>
                <w:sz w:val="20"/>
                <w:szCs w:val="20"/>
              </w:rPr>
            </w:pPr>
            <w:r w:rsidRPr="00386BBC">
              <w:rPr>
                <w:sz w:val="20"/>
                <w:szCs w:val="20"/>
              </w:rPr>
              <w:t>71,1</w:t>
            </w:r>
          </w:p>
        </w:tc>
        <w:tc>
          <w:tcPr>
            <w:tcW w:w="926" w:type="dxa"/>
            <w:tcBorders>
              <w:top w:val="nil"/>
              <w:left w:val="single" w:sz="4" w:space="0" w:color="auto"/>
              <w:bottom w:val="nil"/>
              <w:right w:val="nil"/>
            </w:tcBorders>
            <w:shd w:val="clear" w:color="auto" w:fill="auto"/>
            <w:noWrap/>
            <w:vAlign w:val="bottom"/>
            <w:hideMark/>
          </w:tcPr>
          <w:p w:rsidR="00242C36" w:rsidRPr="00386BBC" w:rsidRDefault="00242C36" w:rsidP="00242C36">
            <w:pPr>
              <w:jc w:val="right"/>
              <w:rPr>
                <w:sz w:val="20"/>
                <w:szCs w:val="20"/>
              </w:rPr>
            </w:pPr>
            <w:r w:rsidRPr="00386BBC">
              <w:rPr>
                <w:sz w:val="20"/>
                <w:szCs w:val="20"/>
              </w:rPr>
              <w:t>415,2</w:t>
            </w:r>
          </w:p>
        </w:tc>
        <w:tc>
          <w:tcPr>
            <w:tcW w:w="690" w:type="dxa"/>
            <w:tcBorders>
              <w:top w:val="nil"/>
              <w:left w:val="nil"/>
              <w:bottom w:val="nil"/>
              <w:right w:val="single" w:sz="4" w:space="0" w:color="auto"/>
            </w:tcBorders>
            <w:shd w:val="clear" w:color="auto" w:fill="auto"/>
            <w:noWrap/>
            <w:vAlign w:val="bottom"/>
            <w:hideMark/>
          </w:tcPr>
          <w:p w:rsidR="00242C36" w:rsidRPr="00386BBC" w:rsidRDefault="00242C36" w:rsidP="00242C36">
            <w:pPr>
              <w:jc w:val="right"/>
              <w:rPr>
                <w:sz w:val="20"/>
                <w:szCs w:val="20"/>
              </w:rPr>
            </w:pPr>
            <w:r w:rsidRPr="00386BBC">
              <w:rPr>
                <w:sz w:val="20"/>
                <w:szCs w:val="20"/>
              </w:rPr>
              <w:t>59,9</w:t>
            </w:r>
          </w:p>
        </w:tc>
        <w:tc>
          <w:tcPr>
            <w:tcW w:w="794" w:type="dxa"/>
            <w:tcBorders>
              <w:top w:val="nil"/>
              <w:left w:val="nil"/>
              <w:bottom w:val="nil"/>
              <w:right w:val="nil"/>
            </w:tcBorders>
            <w:shd w:val="clear" w:color="auto" w:fill="auto"/>
            <w:noWrap/>
            <w:vAlign w:val="bottom"/>
            <w:hideMark/>
          </w:tcPr>
          <w:p w:rsidR="00242C36" w:rsidRPr="00386BBC" w:rsidRDefault="00242C36" w:rsidP="00242C36">
            <w:pPr>
              <w:jc w:val="right"/>
              <w:rPr>
                <w:sz w:val="20"/>
                <w:szCs w:val="20"/>
              </w:rPr>
            </w:pPr>
            <w:r w:rsidRPr="00386BBC">
              <w:rPr>
                <w:sz w:val="20"/>
                <w:szCs w:val="20"/>
              </w:rPr>
              <w:t>1564,8</w:t>
            </w:r>
          </w:p>
        </w:tc>
        <w:tc>
          <w:tcPr>
            <w:tcW w:w="708" w:type="dxa"/>
            <w:tcBorders>
              <w:top w:val="nil"/>
              <w:left w:val="nil"/>
              <w:bottom w:val="nil"/>
              <w:right w:val="single" w:sz="4" w:space="0" w:color="auto"/>
            </w:tcBorders>
            <w:shd w:val="clear" w:color="auto" w:fill="auto"/>
            <w:noWrap/>
            <w:vAlign w:val="bottom"/>
            <w:hideMark/>
          </w:tcPr>
          <w:p w:rsidR="00242C36" w:rsidRPr="00386BBC" w:rsidRDefault="00242C36" w:rsidP="00242C36">
            <w:pPr>
              <w:jc w:val="right"/>
              <w:rPr>
                <w:sz w:val="20"/>
                <w:szCs w:val="20"/>
              </w:rPr>
            </w:pPr>
            <w:r w:rsidRPr="00386BBC">
              <w:rPr>
                <w:sz w:val="20"/>
                <w:szCs w:val="20"/>
              </w:rPr>
              <w:t>49,8</w:t>
            </w:r>
          </w:p>
        </w:tc>
      </w:tr>
      <w:tr w:rsidR="00242C36" w:rsidRPr="00386BBC" w:rsidTr="00242C36">
        <w:trPr>
          <w:trHeight w:val="300"/>
        </w:trPr>
        <w:tc>
          <w:tcPr>
            <w:tcW w:w="1260" w:type="dxa"/>
            <w:tcBorders>
              <w:top w:val="nil"/>
              <w:left w:val="single" w:sz="4" w:space="0" w:color="auto"/>
              <w:bottom w:val="nil"/>
              <w:right w:val="nil"/>
            </w:tcBorders>
            <w:shd w:val="clear" w:color="auto" w:fill="auto"/>
            <w:noWrap/>
            <w:vAlign w:val="bottom"/>
            <w:hideMark/>
          </w:tcPr>
          <w:p w:rsidR="00242C36" w:rsidRPr="00386BBC" w:rsidRDefault="00242C36" w:rsidP="00242C36">
            <w:pPr>
              <w:rPr>
                <w:sz w:val="20"/>
                <w:szCs w:val="20"/>
              </w:rPr>
            </w:pPr>
            <w:r w:rsidRPr="00386BBC">
              <w:rPr>
                <w:sz w:val="20"/>
                <w:szCs w:val="20"/>
              </w:rPr>
              <w:t>Stredné</w:t>
            </w:r>
          </w:p>
        </w:tc>
        <w:tc>
          <w:tcPr>
            <w:tcW w:w="1420" w:type="dxa"/>
            <w:tcBorders>
              <w:top w:val="nil"/>
              <w:left w:val="single" w:sz="4" w:space="0" w:color="auto"/>
              <w:bottom w:val="nil"/>
              <w:right w:val="single" w:sz="4" w:space="0" w:color="auto"/>
            </w:tcBorders>
            <w:shd w:val="clear" w:color="auto" w:fill="auto"/>
            <w:noWrap/>
            <w:vAlign w:val="bottom"/>
            <w:hideMark/>
          </w:tcPr>
          <w:p w:rsidR="00242C36" w:rsidRPr="00386BBC" w:rsidRDefault="00242C36" w:rsidP="00242C36">
            <w:pPr>
              <w:rPr>
                <w:sz w:val="20"/>
                <w:szCs w:val="20"/>
              </w:rPr>
            </w:pPr>
            <w:r w:rsidRPr="00386BBC">
              <w:rPr>
                <w:sz w:val="20"/>
                <w:szCs w:val="20"/>
              </w:rPr>
              <w:t>10 - 50 mil.€</w:t>
            </w:r>
          </w:p>
        </w:tc>
        <w:tc>
          <w:tcPr>
            <w:tcW w:w="680" w:type="dxa"/>
            <w:tcBorders>
              <w:top w:val="nil"/>
              <w:left w:val="nil"/>
              <w:bottom w:val="nil"/>
              <w:right w:val="nil"/>
            </w:tcBorders>
            <w:shd w:val="clear" w:color="auto" w:fill="auto"/>
            <w:noWrap/>
            <w:vAlign w:val="bottom"/>
            <w:hideMark/>
          </w:tcPr>
          <w:p w:rsidR="00242C36" w:rsidRPr="00386BBC" w:rsidRDefault="00242C36" w:rsidP="00242C36">
            <w:pPr>
              <w:jc w:val="right"/>
              <w:rPr>
                <w:sz w:val="20"/>
                <w:szCs w:val="20"/>
              </w:rPr>
            </w:pPr>
            <w:r w:rsidRPr="00386BBC">
              <w:rPr>
                <w:sz w:val="20"/>
                <w:szCs w:val="20"/>
              </w:rPr>
              <w:t>11</w:t>
            </w:r>
          </w:p>
        </w:tc>
        <w:tc>
          <w:tcPr>
            <w:tcW w:w="908" w:type="dxa"/>
            <w:tcBorders>
              <w:top w:val="nil"/>
              <w:left w:val="nil"/>
              <w:bottom w:val="nil"/>
              <w:right w:val="single" w:sz="4" w:space="0" w:color="auto"/>
            </w:tcBorders>
            <w:shd w:val="clear" w:color="auto" w:fill="auto"/>
            <w:noWrap/>
            <w:vAlign w:val="bottom"/>
            <w:hideMark/>
          </w:tcPr>
          <w:p w:rsidR="00242C36" w:rsidRPr="00386BBC" w:rsidRDefault="00242C36" w:rsidP="00242C36">
            <w:pPr>
              <w:jc w:val="right"/>
              <w:rPr>
                <w:sz w:val="20"/>
                <w:szCs w:val="20"/>
              </w:rPr>
            </w:pPr>
            <w:r w:rsidRPr="00386BBC">
              <w:rPr>
                <w:sz w:val="20"/>
                <w:szCs w:val="20"/>
              </w:rPr>
              <w:t>0,7</w:t>
            </w:r>
          </w:p>
        </w:tc>
        <w:tc>
          <w:tcPr>
            <w:tcW w:w="832" w:type="dxa"/>
            <w:tcBorders>
              <w:top w:val="nil"/>
              <w:left w:val="nil"/>
              <w:bottom w:val="nil"/>
              <w:right w:val="nil"/>
            </w:tcBorders>
            <w:shd w:val="clear" w:color="auto" w:fill="auto"/>
            <w:noWrap/>
            <w:vAlign w:val="bottom"/>
            <w:hideMark/>
          </w:tcPr>
          <w:p w:rsidR="00242C36" w:rsidRPr="00386BBC" w:rsidRDefault="00242C36" w:rsidP="00242C36">
            <w:pPr>
              <w:jc w:val="right"/>
              <w:rPr>
                <w:sz w:val="20"/>
                <w:szCs w:val="20"/>
              </w:rPr>
            </w:pPr>
            <w:r w:rsidRPr="00386BBC">
              <w:rPr>
                <w:sz w:val="20"/>
                <w:szCs w:val="20"/>
              </w:rPr>
              <w:t>114,5</w:t>
            </w:r>
          </w:p>
        </w:tc>
        <w:tc>
          <w:tcPr>
            <w:tcW w:w="869" w:type="dxa"/>
            <w:tcBorders>
              <w:top w:val="nil"/>
              <w:left w:val="nil"/>
              <w:bottom w:val="nil"/>
              <w:right w:val="nil"/>
            </w:tcBorders>
            <w:shd w:val="clear" w:color="auto" w:fill="auto"/>
            <w:noWrap/>
            <w:vAlign w:val="bottom"/>
            <w:hideMark/>
          </w:tcPr>
          <w:p w:rsidR="00242C36" w:rsidRPr="00386BBC" w:rsidRDefault="00242C36" w:rsidP="00242C36">
            <w:pPr>
              <w:jc w:val="right"/>
              <w:rPr>
                <w:sz w:val="20"/>
                <w:szCs w:val="20"/>
              </w:rPr>
            </w:pPr>
            <w:r w:rsidRPr="00386BBC">
              <w:rPr>
                <w:sz w:val="20"/>
                <w:szCs w:val="20"/>
              </w:rPr>
              <w:t>7,1</w:t>
            </w:r>
          </w:p>
        </w:tc>
        <w:tc>
          <w:tcPr>
            <w:tcW w:w="926" w:type="dxa"/>
            <w:tcBorders>
              <w:top w:val="nil"/>
              <w:left w:val="single" w:sz="4" w:space="0" w:color="auto"/>
              <w:bottom w:val="nil"/>
              <w:right w:val="nil"/>
            </w:tcBorders>
            <w:shd w:val="clear" w:color="auto" w:fill="auto"/>
            <w:noWrap/>
            <w:vAlign w:val="bottom"/>
            <w:hideMark/>
          </w:tcPr>
          <w:p w:rsidR="00242C36" w:rsidRPr="00386BBC" w:rsidRDefault="00242C36" w:rsidP="00242C36">
            <w:pPr>
              <w:jc w:val="right"/>
              <w:rPr>
                <w:sz w:val="20"/>
                <w:szCs w:val="20"/>
              </w:rPr>
            </w:pPr>
            <w:r w:rsidRPr="00386BBC">
              <w:rPr>
                <w:sz w:val="20"/>
                <w:szCs w:val="20"/>
              </w:rPr>
              <w:t>1423,2</w:t>
            </w:r>
          </w:p>
        </w:tc>
        <w:tc>
          <w:tcPr>
            <w:tcW w:w="690" w:type="dxa"/>
            <w:tcBorders>
              <w:top w:val="nil"/>
              <w:left w:val="nil"/>
              <w:bottom w:val="nil"/>
              <w:right w:val="single" w:sz="4" w:space="0" w:color="auto"/>
            </w:tcBorders>
            <w:shd w:val="clear" w:color="auto" w:fill="auto"/>
            <w:noWrap/>
            <w:vAlign w:val="bottom"/>
            <w:hideMark/>
          </w:tcPr>
          <w:p w:rsidR="00242C36" w:rsidRPr="00386BBC" w:rsidRDefault="00242C36" w:rsidP="00242C36">
            <w:pPr>
              <w:jc w:val="right"/>
              <w:rPr>
                <w:sz w:val="20"/>
                <w:szCs w:val="20"/>
              </w:rPr>
            </w:pPr>
            <w:r w:rsidRPr="00386BBC">
              <w:rPr>
                <w:sz w:val="20"/>
                <w:szCs w:val="20"/>
              </w:rPr>
              <w:t>12,2</w:t>
            </w:r>
          </w:p>
        </w:tc>
        <w:tc>
          <w:tcPr>
            <w:tcW w:w="794" w:type="dxa"/>
            <w:tcBorders>
              <w:top w:val="nil"/>
              <w:left w:val="nil"/>
              <w:bottom w:val="nil"/>
              <w:right w:val="nil"/>
            </w:tcBorders>
            <w:shd w:val="clear" w:color="auto" w:fill="auto"/>
            <w:noWrap/>
            <w:vAlign w:val="bottom"/>
            <w:hideMark/>
          </w:tcPr>
          <w:p w:rsidR="00242C36" w:rsidRPr="00386BBC" w:rsidRDefault="00242C36" w:rsidP="00242C36">
            <w:pPr>
              <w:jc w:val="right"/>
              <w:rPr>
                <w:sz w:val="20"/>
                <w:szCs w:val="20"/>
              </w:rPr>
            </w:pPr>
            <w:r w:rsidRPr="00386BBC">
              <w:rPr>
                <w:sz w:val="20"/>
                <w:szCs w:val="20"/>
              </w:rPr>
              <w:t>5263,9</w:t>
            </w:r>
          </w:p>
        </w:tc>
        <w:tc>
          <w:tcPr>
            <w:tcW w:w="708" w:type="dxa"/>
            <w:tcBorders>
              <w:top w:val="nil"/>
              <w:left w:val="nil"/>
              <w:bottom w:val="nil"/>
              <w:right w:val="single" w:sz="4" w:space="0" w:color="auto"/>
            </w:tcBorders>
            <w:shd w:val="clear" w:color="auto" w:fill="auto"/>
            <w:noWrap/>
            <w:vAlign w:val="bottom"/>
            <w:hideMark/>
          </w:tcPr>
          <w:p w:rsidR="00242C36" w:rsidRPr="00386BBC" w:rsidRDefault="00242C36" w:rsidP="00242C36">
            <w:pPr>
              <w:jc w:val="right"/>
              <w:rPr>
                <w:sz w:val="20"/>
                <w:szCs w:val="20"/>
              </w:rPr>
            </w:pPr>
            <w:r w:rsidRPr="00386BBC">
              <w:rPr>
                <w:sz w:val="20"/>
                <w:szCs w:val="20"/>
              </w:rPr>
              <w:t>9,9</w:t>
            </w:r>
          </w:p>
        </w:tc>
      </w:tr>
      <w:tr w:rsidR="00242C36" w:rsidRPr="00386BBC" w:rsidTr="00242C36">
        <w:trPr>
          <w:trHeight w:val="300"/>
        </w:trPr>
        <w:tc>
          <w:tcPr>
            <w:tcW w:w="1260" w:type="dxa"/>
            <w:tcBorders>
              <w:top w:val="nil"/>
              <w:left w:val="single" w:sz="4" w:space="0" w:color="auto"/>
              <w:bottom w:val="single" w:sz="4" w:space="0" w:color="auto"/>
              <w:right w:val="nil"/>
            </w:tcBorders>
            <w:shd w:val="clear" w:color="auto" w:fill="auto"/>
            <w:noWrap/>
            <w:vAlign w:val="bottom"/>
            <w:hideMark/>
          </w:tcPr>
          <w:p w:rsidR="00242C36" w:rsidRPr="00386BBC" w:rsidRDefault="00242C36" w:rsidP="00242C36">
            <w:pPr>
              <w:rPr>
                <w:sz w:val="20"/>
                <w:szCs w:val="20"/>
              </w:rPr>
            </w:pPr>
            <w:r w:rsidRPr="00386BBC">
              <w:rPr>
                <w:sz w:val="20"/>
                <w:szCs w:val="20"/>
              </w:rPr>
              <w:t>Veľké</w:t>
            </w:r>
          </w:p>
        </w:tc>
        <w:tc>
          <w:tcPr>
            <w:tcW w:w="1420" w:type="dxa"/>
            <w:tcBorders>
              <w:top w:val="nil"/>
              <w:left w:val="single" w:sz="4" w:space="0" w:color="auto"/>
              <w:bottom w:val="single" w:sz="4" w:space="0" w:color="auto"/>
              <w:right w:val="single" w:sz="4" w:space="0" w:color="auto"/>
            </w:tcBorders>
            <w:shd w:val="clear" w:color="auto" w:fill="auto"/>
            <w:noWrap/>
            <w:vAlign w:val="bottom"/>
            <w:hideMark/>
          </w:tcPr>
          <w:p w:rsidR="00242C36" w:rsidRPr="00386BBC" w:rsidRDefault="00242C36" w:rsidP="00242C36">
            <w:pPr>
              <w:rPr>
                <w:sz w:val="20"/>
                <w:szCs w:val="20"/>
              </w:rPr>
            </w:pPr>
            <w:r w:rsidRPr="00386BBC">
              <w:rPr>
                <w:sz w:val="20"/>
                <w:szCs w:val="20"/>
              </w:rPr>
              <w:t>nad 50 mil.€</w:t>
            </w:r>
          </w:p>
        </w:tc>
        <w:tc>
          <w:tcPr>
            <w:tcW w:w="680" w:type="dxa"/>
            <w:tcBorders>
              <w:top w:val="nil"/>
              <w:left w:val="nil"/>
              <w:bottom w:val="nil"/>
              <w:right w:val="nil"/>
            </w:tcBorders>
            <w:shd w:val="clear" w:color="auto" w:fill="auto"/>
            <w:noWrap/>
            <w:vAlign w:val="bottom"/>
            <w:hideMark/>
          </w:tcPr>
          <w:p w:rsidR="00242C36" w:rsidRPr="00386BBC" w:rsidRDefault="00242C36" w:rsidP="00242C36">
            <w:pPr>
              <w:jc w:val="right"/>
              <w:rPr>
                <w:sz w:val="20"/>
                <w:szCs w:val="20"/>
              </w:rPr>
            </w:pPr>
            <w:r w:rsidRPr="00386BBC">
              <w:rPr>
                <w:sz w:val="20"/>
                <w:szCs w:val="20"/>
              </w:rPr>
              <w:t>0</w:t>
            </w:r>
          </w:p>
        </w:tc>
        <w:tc>
          <w:tcPr>
            <w:tcW w:w="908" w:type="dxa"/>
            <w:tcBorders>
              <w:top w:val="nil"/>
              <w:left w:val="nil"/>
              <w:bottom w:val="nil"/>
              <w:right w:val="single" w:sz="4" w:space="0" w:color="auto"/>
            </w:tcBorders>
            <w:shd w:val="clear" w:color="auto" w:fill="auto"/>
            <w:noWrap/>
            <w:vAlign w:val="bottom"/>
            <w:hideMark/>
          </w:tcPr>
          <w:p w:rsidR="00242C36" w:rsidRPr="00386BBC" w:rsidRDefault="00242C36" w:rsidP="00242C36">
            <w:pPr>
              <w:jc w:val="right"/>
              <w:rPr>
                <w:sz w:val="20"/>
                <w:szCs w:val="20"/>
              </w:rPr>
            </w:pPr>
            <w:r w:rsidRPr="00386BBC">
              <w:rPr>
                <w:sz w:val="20"/>
                <w:szCs w:val="20"/>
              </w:rPr>
              <w:t>0,0</w:t>
            </w:r>
          </w:p>
        </w:tc>
        <w:tc>
          <w:tcPr>
            <w:tcW w:w="832" w:type="dxa"/>
            <w:tcBorders>
              <w:top w:val="nil"/>
              <w:left w:val="nil"/>
              <w:bottom w:val="nil"/>
              <w:right w:val="nil"/>
            </w:tcBorders>
            <w:shd w:val="clear" w:color="auto" w:fill="auto"/>
            <w:noWrap/>
            <w:vAlign w:val="bottom"/>
            <w:hideMark/>
          </w:tcPr>
          <w:p w:rsidR="00242C36" w:rsidRPr="00386BBC" w:rsidRDefault="00242C36" w:rsidP="00242C36">
            <w:pPr>
              <w:jc w:val="right"/>
              <w:rPr>
                <w:sz w:val="20"/>
                <w:szCs w:val="20"/>
              </w:rPr>
            </w:pPr>
            <w:r w:rsidRPr="00386BBC">
              <w:rPr>
                <w:sz w:val="20"/>
                <w:szCs w:val="20"/>
              </w:rPr>
              <w:t>0,0</w:t>
            </w:r>
          </w:p>
        </w:tc>
        <w:tc>
          <w:tcPr>
            <w:tcW w:w="869" w:type="dxa"/>
            <w:tcBorders>
              <w:top w:val="nil"/>
              <w:left w:val="nil"/>
              <w:bottom w:val="nil"/>
              <w:right w:val="nil"/>
            </w:tcBorders>
            <w:shd w:val="clear" w:color="auto" w:fill="auto"/>
            <w:noWrap/>
            <w:vAlign w:val="bottom"/>
            <w:hideMark/>
          </w:tcPr>
          <w:p w:rsidR="00242C36" w:rsidRPr="00386BBC" w:rsidRDefault="00242C36" w:rsidP="00242C36">
            <w:pPr>
              <w:jc w:val="right"/>
              <w:rPr>
                <w:sz w:val="20"/>
                <w:szCs w:val="20"/>
              </w:rPr>
            </w:pPr>
            <w:r w:rsidRPr="00386BBC">
              <w:rPr>
                <w:sz w:val="20"/>
                <w:szCs w:val="20"/>
              </w:rPr>
              <w:t>0,0</w:t>
            </w:r>
          </w:p>
        </w:tc>
        <w:tc>
          <w:tcPr>
            <w:tcW w:w="926" w:type="dxa"/>
            <w:tcBorders>
              <w:top w:val="nil"/>
              <w:left w:val="single" w:sz="4" w:space="0" w:color="auto"/>
              <w:bottom w:val="nil"/>
              <w:right w:val="nil"/>
            </w:tcBorders>
            <w:shd w:val="clear" w:color="auto" w:fill="auto"/>
            <w:noWrap/>
            <w:vAlign w:val="bottom"/>
            <w:hideMark/>
          </w:tcPr>
          <w:p w:rsidR="00242C36" w:rsidRPr="00386BBC" w:rsidRDefault="00242C36" w:rsidP="00242C36">
            <w:pPr>
              <w:jc w:val="right"/>
              <w:rPr>
                <w:sz w:val="20"/>
                <w:szCs w:val="20"/>
              </w:rPr>
            </w:pPr>
            <w:r w:rsidRPr="00386BBC">
              <w:rPr>
                <w:sz w:val="20"/>
                <w:szCs w:val="20"/>
              </w:rPr>
              <w:t>0,0</w:t>
            </w:r>
          </w:p>
        </w:tc>
        <w:tc>
          <w:tcPr>
            <w:tcW w:w="690" w:type="dxa"/>
            <w:tcBorders>
              <w:top w:val="nil"/>
              <w:left w:val="nil"/>
              <w:bottom w:val="nil"/>
              <w:right w:val="single" w:sz="4" w:space="0" w:color="auto"/>
            </w:tcBorders>
            <w:shd w:val="clear" w:color="auto" w:fill="auto"/>
            <w:noWrap/>
            <w:vAlign w:val="bottom"/>
            <w:hideMark/>
          </w:tcPr>
          <w:p w:rsidR="00242C36" w:rsidRPr="00386BBC" w:rsidRDefault="00242C36" w:rsidP="00242C36">
            <w:pPr>
              <w:jc w:val="right"/>
              <w:rPr>
                <w:sz w:val="20"/>
                <w:szCs w:val="20"/>
              </w:rPr>
            </w:pPr>
            <w:r w:rsidRPr="00386BBC">
              <w:rPr>
                <w:sz w:val="20"/>
                <w:szCs w:val="20"/>
              </w:rPr>
              <w:t>0,0</w:t>
            </w:r>
          </w:p>
        </w:tc>
        <w:tc>
          <w:tcPr>
            <w:tcW w:w="794" w:type="dxa"/>
            <w:tcBorders>
              <w:top w:val="nil"/>
              <w:left w:val="nil"/>
              <w:bottom w:val="nil"/>
              <w:right w:val="nil"/>
            </w:tcBorders>
            <w:shd w:val="clear" w:color="auto" w:fill="auto"/>
            <w:noWrap/>
            <w:vAlign w:val="bottom"/>
            <w:hideMark/>
          </w:tcPr>
          <w:p w:rsidR="00242C36" w:rsidRPr="00386BBC" w:rsidRDefault="00242C36" w:rsidP="00242C36">
            <w:pPr>
              <w:jc w:val="right"/>
              <w:rPr>
                <w:sz w:val="20"/>
                <w:szCs w:val="20"/>
              </w:rPr>
            </w:pPr>
            <w:r w:rsidRPr="00386BBC">
              <w:rPr>
                <w:sz w:val="20"/>
                <w:szCs w:val="20"/>
              </w:rPr>
              <w:t>0,0</w:t>
            </w:r>
          </w:p>
        </w:tc>
        <w:tc>
          <w:tcPr>
            <w:tcW w:w="708" w:type="dxa"/>
            <w:tcBorders>
              <w:top w:val="nil"/>
              <w:left w:val="nil"/>
              <w:bottom w:val="nil"/>
              <w:right w:val="single" w:sz="4" w:space="0" w:color="auto"/>
            </w:tcBorders>
            <w:shd w:val="clear" w:color="auto" w:fill="auto"/>
            <w:noWrap/>
            <w:vAlign w:val="bottom"/>
            <w:hideMark/>
          </w:tcPr>
          <w:p w:rsidR="00242C36" w:rsidRPr="00386BBC" w:rsidRDefault="00242C36" w:rsidP="00242C36">
            <w:pPr>
              <w:jc w:val="right"/>
              <w:rPr>
                <w:sz w:val="20"/>
                <w:szCs w:val="20"/>
              </w:rPr>
            </w:pPr>
            <w:r w:rsidRPr="00386BBC">
              <w:rPr>
                <w:sz w:val="20"/>
                <w:szCs w:val="20"/>
              </w:rPr>
              <w:t>0,0</w:t>
            </w:r>
          </w:p>
        </w:tc>
      </w:tr>
      <w:tr w:rsidR="00242C36" w:rsidRPr="00386BBC" w:rsidTr="00242C36">
        <w:trPr>
          <w:trHeight w:val="330"/>
        </w:trPr>
        <w:tc>
          <w:tcPr>
            <w:tcW w:w="12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42C36" w:rsidRPr="00386BBC" w:rsidRDefault="00242C36" w:rsidP="00242C36">
            <w:pPr>
              <w:rPr>
                <w:sz w:val="20"/>
                <w:szCs w:val="20"/>
              </w:rPr>
            </w:pPr>
            <w:r w:rsidRPr="00386BBC">
              <w:rPr>
                <w:sz w:val="20"/>
                <w:szCs w:val="20"/>
              </w:rPr>
              <w:t>Farmy spolu</w:t>
            </w:r>
          </w:p>
        </w:tc>
        <w:tc>
          <w:tcPr>
            <w:tcW w:w="1420" w:type="dxa"/>
            <w:tcBorders>
              <w:top w:val="nil"/>
              <w:left w:val="single" w:sz="4" w:space="0" w:color="auto"/>
              <w:bottom w:val="single" w:sz="4" w:space="0" w:color="auto"/>
              <w:right w:val="nil"/>
            </w:tcBorders>
            <w:shd w:val="clear" w:color="auto" w:fill="auto"/>
            <w:noWrap/>
            <w:vAlign w:val="bottom"/>
            <w:hideMark/>
          </w:tcPr>
          <w:p w:rsidR="00242C36" w:rsidRPr="00386BBC" w:rsidRDefault="00242C36" w:rsidP="00242C36">
            <w:pPr>
              <w:jc w:val="center"/>
              <w:rPr>
                <w:sz w:val="20"/>
                <w:szCs w:val="20"/>
              </w:rPr>
            </w:pPr>
            <w:r w:rsidRPr="00386BBC">
              <w:rPr>
                <w:sz w:val="20"/>
                <w:szCs w:val="20"/>
              </w:rPr>
              <w:t>x</w:t>
            </w:r>
          </w:p>
        </w:tc>
        <w:tc>
          <w:tcPr>
            <w:tcW w:w="680" w:type="dxa"/>
            <w:tcBorders>
              <w:top w:val="single" w:sz="4" w:space="0" w:color="auto"/>
              <w:left w:val="single" w:sz="4" w:space="0" w:color="auto"/>
              <w:bottom w:val="single" w:sz="4" w:space="0" w:color="auto"/>
              <w:right w:val="nil"/>
            </w:tcBorders>
            <w:shd w:val="clear" w:color="auto" w:fill="auto"/>
            <w:noWrap/>
            <w:vAlign w:val="bottom"/>
            <w:hideMark/>
          </w:tcPr>
          <w:p w:rsidR="00242C36" w:rsidRPr="00386BBC" w:rsidRDefault="00242C36" w:rsidP="00242C36">
            <w:pPr>
              <w:jc w:val="right"/>
              <w:rPr>
                <w:sz w:val="20"/>
                <w:szCs w:val="20"/>
              </w:rPr>
            </w:pPr>
            <w:r w:rsidRPr="00386BBC">
              <w:rPr>
                <w:sz w:val="20"/>
                <w:szCs w:val="20"/>
              </w:rPr>
              <w:t>1480</w:t>
            </w:r>
          </w:p>
        </w:tc>
        <w:tc>
          <w:tcPr>
            <w:tcW w:w="908" w:type="dxa"/>
            <w:tcBorders>
              <w:top w:val="single" w:sz="4" w:space="0" w:color="auto"/>
              <w:left w:val="nil"/>
              <w:bottom w:val="single" w:sz="4" w:space="0" w:color="auto"/>
              <w:right w:val="single" w:sz="4" w:space="0" w:color="auto"/>
            </w:tcBorders>
            <w:shd w:val="clear" w:color="auto" w:fill="auto"/>
            <w:noWrap/>
            <w:vAlign w:val="bottom"/>
            <w:hideMark/>
          </w:tcPr>
          <w:p w:rsidR="00242C36" w:rsidRPr="00386BBC" w:rsidRDefault="00242C36" w:rsidP="00242C36">
            <w:pPr>
              <w:jc w:val="right"/>
              <w:rPr>
                <w:sz w:val="20"/>
                <w:szCs w:val="20"/>
              </w:rPr>
            </w:pPr>
            <w:r w:rsidRPr="00386BBC">
              <w:rPr>
                <w:sz w:val="20"/>
                <w:szCs w:val="20"/>
              </w:rPr>
              <w:t>100,0</w:t>
            </w:r>
          </w:p>
        </w:tc>
        <w:tc>
          <w:tcPr>
            <w:tcW w:w="832" w:type="dxa"/>
            <w:tcBorders>
              <w:top w:val="single" w:sz="4" w:space="0" w:color="auto"/>
              <w:left w:val="nil"/>
              <w:bottom w:val="single" w:sz="4" w:space="0" w:color="auto"/>
              <w:right w:val="nil"/>
            </w:tcBorders>
            <w:shd w:val="clear" w:color="auto" w:fill="auto"/>
            <w:noWrap/>
            <w:vAlign w:val="bottom"/>
            <w:hideMark/>
          </w:tcPr>
          <w:p w:rsidR="00242C36" w:rsidRPr="00386BBC" w:rsidRDefault="00242C36" w:rsidP="00242C36">
            <w:pPr>
              <w:jc w:val="right"/>
              <w:rPr>
                <w:sz w:val="20"/>
                <w:szCs w:val="20"/>
              </w:rPr>
            </w:pPr>
            <w:r w:rsidRPr="00386BBC">
              <w:rPr>
                <w:sz w:val="20"/>
                <w:szCs w:val="20"/>
              </w:rPr>
              <w:t>34,1</w:t>
            </w:r>
          </w:p>
        </w:tc>
        <w:tc>
          <w:tcPr>
            <w:tcW w:w="869" w:type="dxa"/>
            <w:tcBorders>
              <w:top w:val="single" w:sz="4" w:space="0" w:color="auto"/>
              <w:left w:val="nil"/>
              <w:bottom w:val="single" w:sz="4" w:space="0" w:color="auto"/>
              <w:right w:val="nil"/>
            </w:tcBorders>
            <w:shd w:val="clear" w:color="auto" w:fill="auto"/>
            <w:noWrap/>
            <w:vAlign w:val="bottom"/>
            <w:hideMark/>
          </w:tcPr>
          <w:p w:rsidR="00242C36" w:rsidRPr="00386BBC" w:rsidRDefault="00242C36" w:rsidP="00242C36">
            <w:pPr>
              <w:jc w:val="right"/>
              <w:rPr>
                <w:sz w:val="20"/>
                <w:szCs w:val="20"/>
              </w:rPr>
            </w:pPr>
            <w:r w:rsidRPr="00386BBC">
              <w:rPr>
                <w:sz w:val="20"/>
                <w:szCs w:val="20"/>
              </w:rPr>
              <w:t>100,0</w:t>
            </w:r>
          </w:p>
        </w:tc>
        <w:tc>
          <w:tcPr>
            <w:tcW w:w="926" w:type="dxa"/>
            <w:tcBorders>
              <w:top w:val="single" w:sz="4" w:space="0" w:color="auto"/>
              <w:left w:val="single" w:sz="4" w:space="0" w:color="auto"/>
              <w:bottom w:val="single" w:sz="4" w:space="0" w:color="auto"/>
              <w:right w:val="nil"/>
            </w:tcBorders>
            <w:shd w:val="clear" w:color="auto" w:fill="auto"/>
            <w:noWrap/>
            <w:vAlign w:val="bottom"/>
            <w:hideMark/>
          </w:tcPr>
          <w:p w:rsidR="00242C36" w:rsidRPr="00386BBC" w:rsidRDefault="00242C36" w:rsidP="00242C36">
            <w:pPr>
              <w:jc w:val="right"/>
              <w:rPr>
                <w:sz w:val="20"/>
                <w:szCs w:val="20"/>
              </w:rPr>
            </w:pPr>
            <w:r w:rsidRPr="00386BBC">
              <w:rPr>
                <w:sz w:val="20"/>
                <w:szCs w:val="20"/>
              </w:rPr>
              <w:t>249,2</w:t>
            </w:r>
          </w:p>
        </w:tc>
        <w:tc>
          <w:tcPr>
            <w:tcW w:w="690" w:type="dxa"/>
            <w:tcBorders>
              <w:top w:val="single" w:sz="4" w:space="0" w:color="auto"/>
              <w:left w:val="nil"/>
              <w:bottom w:val="single" w:sz="4" w:space="0" w:color="auto"/>
              <w:right w:val="single" w:sz="4" w:space="0" w:color="auto"/>
            </w:tcBorders>
            <w:shd w:val="clear" w:color="auto" w:fill="auto"/>
            <w:noWrap/>
            <w:vAlign w:val="bottom"/>
            <w:hideMark/>
          </w:tcPr>
          <w:p w:rsidR="00242C36" w:rsidRPr="00386BBC" w:rsidRDefault="00242C36" w:rsidP="00242C36">
            <w:pPr>
              <w:jc w:val="right"/>
              <w:rPr>
                <w:sz w:val="20"/>
                <w:szCs w:val="20"/>
              </w:rPr>
            </w:pPr>
            <w:r w:rsidRPr="00386BBC">
              <w:rPr>
                <w:sz w:val="20"/>
                <w:szCs w:val="20"/>
              </w:rPr>
              <w:t>100,0</w:t>
            </w:r>
          </w:p>
        </w:tc>
        <w:tc>
          <w:tcPr>
            <w:tcW w:w="794" w:type="dxa"/>
            <w:tcBorders>
              <w:top w:val="single" w:sz="4" w:space="0" w:color="auto"/>
              <w:left w:val="nil"/>
              <w:bottom w:val="single" w:sz="4" w:space="0" w:color="auto"/>
              <w:right w:val="nil"/>
            </w:tcBorders>
            <w:shd w:val="clear" w:color="auto" w:fill="auto"/>
            <w:noWrap/>
            <w:vAlign w:val="bottom"/>
            <w:hideMark/>
          </w:tcPr>
          <w:p w:rsidR="00242C36" w:rsidRPr="00386BBC" w:rsidRDefault="00242C36" w:rsidP="00242C36">
            <w:pPr>
              <w:jc w:val="right"/>
              <w:rPr>
                <w:sz w:val="20"/>
                <w:szCs w:val="20"/>
              </w:rPr>
            </w:pPr>
            <w:r w:rsidRPr="00386BBC">
              <w:rPr>
                <w:sz w:val="20"/>
                <w:szCs w:val="20"/>
              </w:rPr>
              <w:t>1128,3</w:t>
            </w:r>
          </w:p>
        </w:tc>
        <w:tc>
          <w:tcPr>
            <w:tcW w:w="708" w:type="dxa"/>
            <w:tcBorders>
              <w:top w:val="single" w:sz="4" w:space="0" w:color="auto"/>
              <w:left w:val="nil"/>
              <w:bottom w:val="single" w:sz="4" w:space="0" w:color="auto"/>
              <w:right w:val="single" w:sz="4" w:space="0" w:color="auto"/>
            </w:tcBorders>
            <w:shd w:val="clear" w:color="auto" w:fill="auto"/>
            <w:noWrap/>
            <w:vAlign w:val="bottom"/>
            <w:hideMark/>
          </w:tcPr>
          <w:p w:rsidR="00242C36" w:rsidRPr="00386BBC" w:rsidRDefault="00242C36" w:rsidP="00242C36">
            <w:pPr>
              <w:jc w:val="right"/>
              <w:rPr>
                <w:sz w:val="20"/>
                <w:szCs w:val="20"/>
              </w:rPr>
            </w:pPr>
            <w:r w:rsidRPr="00386BBC">
              <w:rPr>
                <w:sz w:val="20"/>
                <w:szCs w:val="20"/>
              </w:rPr>
              <w:t>100,0</w:t>
            </w:r>
          </w:p>
        </w:tc>
      </w:tr>
    </w:tbl>
    <w:p w:rsidR="00242C36" w:rsidRPr="00386BBC" w:rsidRDefault="00242C36" w:rsidP="00242C36">
      <w:pPr>
        <w:rPr>
          <w:sz w:val="20"/>
          <w:szCs w:val="20"/>
        </w:rPr>
      </w:pPr>
      <w:r w:rsidRPr="00386BBC">
        <w:rPr>
          <w:sz w:val="20"/>
          <w:szCs w:val="20"/>
        </w:rPr>
        <w:t xml:space="preserve">Prameň: CD MPRV SR, </w:t>
      </w:r>
      <w:r>
        <w:rPr>
          <w:sz w:val="20"/>
          <w:szCs w:val="20"/>
        </w:rPr>
        <w:t>NPPC-</w:t>
      </w:r>
      <w:r w:rsidRPr="00386BBC">
        <w:rPr>
          <w:sz w:val="20"/>
          <w:szCs w:val="20"/>
        </w:rPr>
        <w:t>VÚEPP, Informačné listy 2012</w:t>
      </w:r>
    </w:p>
    <w:p w:rsidR="00242C36" w:rsidRDefault="00242C36" w:rsidP="00242C36">
      <w:pPr>
        <w:pBdr>
          <w:bar w:val="single" w:sz="6" w:color="808080"/>
        </w:pBdr>
        <w:spacing w:before="120"/>
        <w:rPr>
          <w:rFonts w:ascii="Calibri" w:eastAsia="Calibri" w:hAnsi="Calibri"/>
          <w:szCs w:val="22"/>
          <w:lang w:eastAsia="en-US"/>
        </w:rPr>
      </w:pPr>
      <w:r w:rsidRPr="00E43137">
        <w:rPr>
          <w:rFonts w:ascii="Calibri" w:eastAsia="Calibri" w:hAnsi="Calibri"/>
          <w:szCs w:val="22"/>
          <w:lang w:eastAsia="en-US"/>
        </w:rPr>
        <w:t xml:space="preserve">Podľa </w:t>
      </w:r>
      <w:r w:rsidRPr="00E43137">
        <w:rPr>
          <w:rFonts w:ascii="Calibri" w:eastAsia="Calibri" w:hAnsi="Calibri"/>
          <w:b/>
          <w:bCs/>
          <w:szCs w:val="22"/>
          <w:lang w:eastAsia="en-US"/>
        </w:rPr>
        <w:t>hospodárskej činnosti</w:t>
      </w:r>
      <w:r w:rsidRPr="00E43137">
        <w:rPr>
          <w:rFonts w:ascii="Calibri" w:eastAsia="Calibri" w:hAnsi="Calibri"/>
          <w:szCs w:val="22"/>
          <w:lang w:eastAsia="en-US"/>
        </w:rPr>
        <w:t xml:space="preserve"> bolo v SR v r. 2012 celkom zamestnaných 2 329 tisíc osôb</w:t>
      </w:r>
      <w:r>
        <w:rPr>
          <w:rFonts w:ascii="Calibri" w:eastAsia="Calibri" w:hAnsi="Calibri"/>
          <w:szCs w:val="22"/>
          <w:lang w:eastAsia="en-US"/>
        </w:rPr>
        <w:t xml:space="preserve"> (</w:t>
      </w:r>
      <w:r w:rsidRPr="00F837D1">
        <w:rPr>
          <w:rFonts w:ascii="Calibri" w:eastAsia="Calibri" w:hAnsi="Calibri"/>
          <w:b/>
          <w:szCs w:val="22"/>
          <w:lang w:eastAsia="en-US"/>
        </w:rPr>
        <w:t>C</w:t>
      </w:r>
      <w:r>
        <w:rPr>
          <w:rFonts w:ascii="Calibri" w:eastAsia="Calibri" w:hAnsi="Calibri"/>
          <w:b/>
          <w:szCs w:val="22"/>
          <w:lang w:eastAsia="en-US"/>
        </w:rPr>
        <w:t>C</w:t>
      </w:r>
      <w:r w:rsidRPr="00F837D1">
        <w:rPr>
          <w:rFonts w:ascii="Calibri" w:eastAsia="Calibri" w:hAnsi="Calibri"/>
          <w:b/>
          <w:szCs w:val="22"/>
          <w:lang w:eastAsia="en-US"/>
        </w:rPr>
        <w:t>I 13</w:t>
      </w:r>
      <w:r>
        <w:rPr>
          <w:rFonts w:ascii="Calibri" w:eastAsia="Calibri" w:hAnsi="Calibri"/>
          <w:szCs w:val="22"/>
          <w:lang w:eastAsia="en-US"/>
        </w:rPr>
        <w:t>)</w:t>
      </w:r>
      <w:r w:rsidRPr="00E43137">
        <w:rPr>
          <w:rFonts w:ascii="Calibri" w:eastAsia="Calibri" w:hAnsi="Calibri"/>
          <w:szCs w:val="22"/>
          <w:lang w:eastAsia="en-US"/>
        </w:rPr>
        <w:t>, z toho v poľnohospodárstve bolo zamestnaných 55,1 tisíc osôb, t. j. 2,4 % z celkového počtu zamestnaných v</w:t>
      </w:r>
      <w:r>
        <w:rPr>
          <w:rFonts w:ascii="Calibri" w:eastAsia="Calibri" w:hAnsi="Calibri"/>
          <w:szCs w:val="22"/>
          <w:lang w:eastAsia="en-US"/>
        </w:rPr>
        <w:t> </w:t>
      </w:r>
      <w:r w:rsidRPr="00E43137">
        <w:rPr>
          <w:rFonts w:ascii="Calibri" w:eastAsia="Calibri" w:hAnsi="Calibri"/>
          <w:szCs w:val="22"/>
          <w:lang w:eastAsia="en-US"/>
        </w:rPr>
        <w:t>SR</w:t>
      </w:r>
      <w:r>
        <w:rPr>
          <w:rFonts w:ascii="Calibri" w:eastAsia="Calibri" w:hAnsi="Calibri"/>
          <w:szCs w:val="22"/>
          <w:lang w:eastAsia="en-US"/>
        </w:rPr>
        <w:t xml:space="preserve"> (</w:t>
      </w:r>
      <w:r w:rsidRPr="00F837D1">
        <w:rPr>
          <w:rFonts w:ascii="Calibri" w:eastAsia="Calibri" w:hAnsi="Calibri"/>
          <w:b/>
          <w:szCs w:val="22"/>
          <w:lang w:eastAsia="en-US"/>
        </w:rPr>
        <w:t>C</w:t>
      </w:r>
      <w:r>
        <w:rPr>
          <w:rFonts w:ascii="Calibri" w:eastAsia="Calibri" w:hAnsi="Calibri"/>
          <w:b/>
          <w:szCs w:val="22"/>
          <w:lang w:eastAsia="en-US"/>
        </w:rPr>
        <w:t>C</w:t>
      </w:r>
      <w:r w:rsidRPr="00F837D1">
        <w:rPr>
          <w:rFonts w:ascii="Calibri" w:eastAsia="Calibri" w:hAnsi="Calibri"/>
          <w:b/>
          <w:szCs w:val="22"/>
          <w:lang w:eastAsia="en-US"/>
        </w:rPr>
        <w:t>I 13</w:t>
      </w:r>
      <w:r>
        <w:rPr>
          <w:rFonts w:ascii="Calibri" w:eastAsia="Calibri" w:hAnsi="Calibri"/>
          <w:szCs w:val="22"/>
          <w:lang w:eastAsia="en-US"/>
        </w:rPr>
        <w:t>)</w:t>
      </w:r>
      <w:r w:rsidRPr="00E43137">
        <w:rPr>
          <w:rFonts w:ascii="Calibri" w:eastAsia="Calibri" w:hAnsi="Calibri"/>
          <w:szCs w:val="22"/>
          <w:lang w:eastAsia="en-US"/>
        </w:rPr>
        <w:t xml:space="preserve">. </w:t>
      </w:r>
      <w:r>
        <w:rPr>
          <w:rFonts w:ascii="Calibri" w:eastAsia="Calibri" w:hAnsi="Calibri"/>
          <w:szCs w:val="22"/>
          <w:lang w:eastAsia="en-US"/>
        </w:rPr>
        <w:t xml:space="preserve"> </w:t>
      </w:r>
    </w:p>
    <w:p w:rsidR="007D119F" w:rsidRDefault="007D119F" w:rsidP="00242C36">
      <w:pPr>
        <w:pBdr>
          <w:bar w:val="single" w:sz="6" w:color="808080"/>
        </w:pBdr>
        <w:spacing w:before="120"/>
        <w:rPr>
          <w:rFonts w:ascii="Calibri" w:eastAsia="Calibri" w:hAnsi="Calibri"/>
          <w:szCs w:val="22"/>
          <w:lang w:eastAsia="en-US"/>
        </w:rPr>
      </w:pPr>
    </w:p>
    <w:p w:rsidR="00242C36" w:rsidRPr="000E300E" w:rsidRDefault="00242C36" w:rsidP="00242C36">
      <w:pPr>
        <w:rPr>
          <w:rFonts w:ascii="Calibri" w:hAnsi="Calibri"/>
          <w:b/>
          <w:szCs w:val="22"/>
        </w:rPr>
      </w:pPr>
      <w:r w:rsidRPr="000E300E">
        <w:rPr>
          <w:rFonts w:ascii="Calibri" w:hAnsi="Calibri"/>
          <w:b/>
          <w:szCs w:val="22"/>
        </w:rPr>
        <w:t>Vzdelanostná úroveň v poľnohospodárstve</w:t>
      </w:r>
    </w:p>
    <w:p w:rsidR="00242C36" w:rsidRPr="000E300E" w:rsidRDefault="00242C36" w:rsidP="00242C36">
      <w:pPr>
        <w:rPr>
          <w:rFonts w:ascii="Calibri" w:hAnsi="Calibri"/>
          <w:szCs w:val="22"/>
          <w:vertAlign w:val="superscript"/>
        </w:rPr>
      </w:pPr>
      <w:r w:rsidRPr="000E300E">
        <w:rPr>
          <w:rFonts w:ascii="Calibri" w:hAnsi="Calibri"/>
          <w:szCs w:val="22"/>
        </w:rPr>
        <w:t>Vzdelanostná úroveň pracujúcich v sektore poľnohospodárstva</w:t>
      </w:r>
      <w:r w:rsidRPr="000E300E">
        <w:rPr>
          <w:rFonts w:ascii="Calibri" w:hAnsi="Calibri"/>
          <w:b/>
          <w:szCs w:val="22"/>
        </w:rPr>
        <w:t xml:space="preserve"> </w:t>
      </w:r>
      <w:r w:rsidRPr="000E300E">
        <w:rPr>
          <w:rFonts w:ascii="Calibri" w:hAnsi="Calibri"/>
          <w:szCs w:val="22"/>
        </w:rPr>
        <w:t>(podľa ŠÚ SR - VZPS)</w:t>
      </w:r>
      <w:r w:rsidRPr="000E300E">
        <w:rPr>
          <w:rFonts w:ascii="Calibri" w:hAnsi="Calibri"/>
          <w:szCs w:val="22"/>
          <w:vertAlign w:val="superscript"/>
        </w:rPr>
        <w:footnoteReference w:id="5"/>
      </w:r>
      <w:r w:rsidRPr="000E300E">
        <w:rPr>
          <w:rFonts w:ascii="Calibri" w:hAnsi="Calibri"/>
          <w:szCs w:val="22"/>
          <w:vertAlign w:val="superscript"/>
        </w:rPr>
        <w:t xml:space="preserve"> </w:t>
      </w:r>
      <w:r w:rsidRPr="000E300E">
        <w:rPr>
          <w:rFonts w:ascii="Calibri" w:hAnsi="Calibri"/>
          <w:szCs w:val="22"/>
        </w:rPr>
        <w:t>je horšia ako v NH. V roku 2012  medziročne poklesli počty pracovníkov s vysokoškolským vzdelaním na  7,1 %, t. j. o 3,4 p. b. Na rozdiel od potravinárskej výroby, v poľnohospodárstve z počtu pracujúcich s vysokoškolským vzdelaním mali prevahu muži (74,4 %), v potravinárstve ženy (72,2 %). (Podiel pracujúcich s vysokoškolským vzdelaním v NH v posledných dvoch rokoch  dosiahol 20,0 %). V skupine so základným vzdelaním došlo ku stabilizácií počtu pracovníkov a podiel na celkovom počte sa znížil iba o 0,7 p. b. V skupine   vyučených a stredoškolsky vzdelaných došlo ku zvýšeniu podielu na celkovom počte  pracujúcich o 1,9 p. b. a o 2,3 p. b. u stredoškolákov. Tento trend  korešponduje s charakterom poľnohospodárskej prvovýroby, nakoľko väčšina zamestnancov nachádza uplatnenie</w:t>
      </w:r>
      <w:r w:rsidRPr="000E300E">
        <w:rPr>
          <w:rFonts w:ascii="Calibri" w:hAnsi="Calibri"/>
          <w:szCs w:val="22"/>
        </w:rPr>
        <w:lastRenderedPageBreak/>
        <w:t xml:space="preserve"> v robotníckych profesiách v rastlinnej a v živočíšnej výrobe. Podiel vedúcich technických a administratívnych zamestnancov sa mierne zvyšuje, čo súvisí s posilnením kategórie pracovníkov so stredoškolským vzdelaním.</w:t>
      </w:r>
      <w:r w:rsidRPr="000E300E">
        <w:rPr>
          <w:rFonts w:ascii="Calibri" w:hAnsi="Calibri"/>
          <w:szCs w:val="22"/>
          <w:vertAlign w:val="superscript"/>
        </w:rPr>
        <w:footnoteReference w:id="6"/>
      </w:r>
      <w:r w:rsidRPr="000E300E">
        <w:rPr>
          <w:rFonts w:ascii="Calibri" w:hAnsi="Calibri"/>
          <w:szCs w:val="22"/>
        </w:rPr>
        <w:t xml:space="preserve"> </w:t>
      </w:r>
    </w:p>
    <w:p w:rsidR="00242C36" w:rsidRPr="000E300E" w:rsidRDefault="00242C36" w:rsidP="00242C36">
      <w:pPr>
        <w:rPr>
          <w:rFonts w:ascii="Calibri" w:hAnsi="Calibri"/>
          <w:b/>
          <w:szCs w:val="22"/>
        </w:rPr>
      </w:pPr>
    </w:p>
    <w:p w:rsidR="00242C36" w:rsidRPr="000E300E" w:rsidRDefault="007D119F" w:rsidP="00242C36">
      <w:pPr>
        <w:keepNext/>
        <w:rPr>
          <w:rFonts w:ascii="Calibri" w:hAnsi="Calibri"/>
          <w:b/>
          <w:szCs w:val="22"/>
          <w:lang w:eastAsia="ar-SA"/>
        </w:rPr>
      </w:pPr>
      <w:r>
        <w:rPr>
          <w:rFonts w:ascii="Calibri" w:hAnsi="Calibri"/>
          <w:b/>
          <w:szCs w:val="22"/>
          <w:lang w:eastAsia="ar-SA"/>
        </w:rPr>
        <w:t xml:space="preserve">Tabuľka 13: </w:t>
      </w:r>
      <w:r w:rsidR="00242C36" w:rsidRPr="000E300E">
        <w:rPr>
          <w:rFonts w:ascii="Calibri" w:hAnsi="Calibri"/>
          <w:b/>
          <w:szCs w:val="22"/>
          <w:lang w:eastAsia="ar-SA"/>
        </w:rPr>
        <w:t>Vývoj vzdelanostnej štruktúry v poľnohospodárstve v %</w:t>
      </w:r>
    </w:p>
    <w:tbl>
      <w:tblPr>
        <w:tblW w:w="9229"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A0" w:firstRow="1" w:lastRow="0" w:firstColumn="1" w:lastColumn="0" w:noHBand="0" w:noVBand="0"/>
      </w:tblPr>
      <w:tblGrid>
        <w:gridCol w:w="1902"/>
        <w:gridCol w:w="1374"/>
        <w:gridCol w:w="1417"/>
        <w:gridCol w:w="1276"/>
        <w:gridCol w:w="1559"/>
        <w:gridCol w:w="1701"/>
      </w:tblGrid>
      <w:tr w:rsidR="00242C36" w:rsidRPr="000E300E" w:rsidTr="00242C36">
        <w:trPr>
          <w:trHeight w:val="255"/>
        </w:trPr>
        <w:tc>
          <w:tcPr>
            <w:tcW w:w="1902" w:type="dxa"/>
            <w:noWrap/>
            <w:vAlign w:val="bottom"/>
          </w:tcPr>
          <w:p w:rsidR="00242C36" w:rsidRPr="000E300E" w:rsidRDefault="00242C36" w:rsidP="00242C36">
            <w:pPr>
              <w:rPr>
                <w:rFonts w:ascii="Calibri" w:hAnsi="Calibri"/>
                <w:b/>
                <w:bCs/>
                <w:sz w:val="18"/>
                <w:szCs w:val="18"/>
              </w:rPr>
            </w:pPr>
            <w:r w:rsidRPr="000E300E">
              <w:rPr>
                <w:rFonts w:ascii="Calibri" w:hAnsi="Calibri"/>
                <w:b/>
                <w:bCs/>
                <w:sz w:val="18"/>
                <w:szCs w:val="18"/>
              </w:rPr>
              <w:t>Vzdelanie</w:t>
            </w:r>
          </w:p>
        </w:tc>
        <w:tc>
          <w:tcPr>
            <w:tcW w:w="1374" w:type="dxa"/>
            <w:noWrap/>
            <w:vAlign w:val="bottom"/>
          </w:tcPr>
          <w:p w:rsidR="00242C36" w:rsidRPr="000E300E" w:rsidRDefault="00242C36" w:rsidP="00242C36">
            <w:pPr>
              <w:jc w:val="center"/>
              <w:rPr>
                <w:rFonts w:ascii="Calibri" w:hAnsi="Calibri"/>
                <w:b/>
                <w:bCs/>
                <w:sz w:val="18"/>
                <w:szCs w:val="18"/>
              </w:rPr>
            </w:pPr>
            <w:r w:rsidRPr="000E300E">
              <w:rPr>
                <w:rFonts w:ascii="Calibri" w:hAnsi="Calibri"/>
                <w:b/>
                <w:bCs/>
                <w:sz w:val="18"/>
                <w:szCs w:val="18"/>
              </w:rPr>
              <w:t>1994</w:t>
            </w:r>
          </w:p>
        </w:tc>
        <w:tc>
          <w:tcPr>
            <w:tcW w:w="1417" w:type="dxa"/>
            <w:noWrap/>
            <w:vAlign w:val="bottom"/>
          </w:tcPr>
          <w:p w:rsidR="00242C36" w:rsidRPr="000E300E" w:rsidRDefault="00242C36" w:rsidP="00242C36">
            <w:pPr>
              <w:jc w:val="center"/>
              <w:rPr>
                <w:rFonts w:ascii="Calibri" w:hAnsi="Calibri"/>
                <w:b/>
                <w:bCs/>
                <w:sz w:val="18"/>
                <w:szCs w:val="18"/>
              </w:rPr>
            </w:pPr>
            <w:r w:rsidRPr="000E300E">
              <w:rPr>
                <w:rFonts w:ascii="Calibri" w:hAnsi="Calibri"/>
                <w:b/>
                <w:bCs/>
                <w:sz w:val="18"/>
                <w:szCs w:val="18"/>
              </w:rPr>
              <w:t>2001</w:t>
            </w:r>
          </w:p>
        </w:tc>
        <w:tc>
          <w:tcPr>
            <w:tcW w:w="1276" w:type="dxa"/>
            <w:noWrap/>
            <w:vAlign w:val="bottom"/>
          </w:tcPr>
          <w:p w:rsidR="00242C36" w:rsidRPr="000E300E" w:rsidRDefault="00242C36" w:rsidP="00242C36">
            <w:pPr>
              <w:jc w:val="center"/>
              <w:rPr>
                <w:rFonts w:ascii="Calibri" w:hAnsi="Calibri"/>
                <w:b/>
                <w:bCs/>
                <w:sz w:val="18"/>
                <w:szCs w:val="18"/>
              </w:rPr>
            </w:pPr>
            <w:r w:rsidRPr="000E300E">
              <w:rPr>
                <w:rFonts w:ascii="Calibri" w:hAnsi="Calibri"/>
                <w:b/>
                <w:bCs/>
                <w:sz w:val="18"/>
                <w:szCs w:val="18"/>
              </w:rPr>
              <w:t>2010</w:t>
            </w:r>
          </w:p>
        </w:tc>
        <w:tc>
          <w:tcPr>
            <w:tcW w:w="1559" w:type="dxa"/>
            <w:noWrap/>
            <w:vAlign w:val="bottom"/>
          </w:tcPr>
          <w:p w:rsidR="00242C36" w:rsidRPr="000E300E" w:rsidRDefault="00242C36" w:rsidP="00242C36">
            <w:pPr>
              <w:jc w:val="center"/>
              <w:rPr>
                <w:rFonts w:ascii="Calibri" w:hAnsi="Calibri"/>
                <w:b/>
                <w:bCs/>
                <w:sz w:val="18"/>
                <w:szCs w:val="18"/>
              </w:rPr>
            </w:pPr>
            <w:r w:rsidRPr="000E300E">
              <w:rPr>
                <w:rFonts w:ascii="Calibri" w:hAnsi="Calibri"/>
                <w:b/>
                <w:bCs/>
                <w:sz w:val="18"/>
                <w:szCs w:val="18"/>
              </w:rPr>
              <w:t>2011</w:t>
            </w:r>
          </w:p>
        </w:tc>
        <w:tc>
          <w:tcPr>
            <w:tcW w:w="1701" w:type="dxa"/>
          </w:tcPr>
          <w:p w:rsidR="00242C36" w:rsidRPr="000E300E" w:rsidRDefault="00242C36" w:rsidP="00242C36">
            <w:pPr>
              <w:jc w:val="center"/>
              <w:rPr>
                <w:rFonts w:ascii="Calibri" w:hAnsi="Calibri"/>
                <w:b/>
                <w:bCs/>
                <w:sz w:val="18"/>
                <w:szCs w:val="18"/>
              </w:rPr>
            </w:pPr>
            <w:r w:rsidRPr="000E300E">
              <w:rPr>
                <w:rFonts w:ascii="Calibri" w:hAnsi="Calibri"/>
                <w:b/>
                <w:bCs/>
                <w:sz w:val="18"/>
                <w:szCs w:val="18"/>
              </w:rPr>
              <w:t>2012</w:t>
            </w:r>
          </w:p>
        </w:tc>
      </w:tr>
      <w:tr w:rsidR="00242C36" w:rsidRPr="000E300E" w:rsidTr="00242C36">
        <w:trPr>
          <w:trHeight w:val="255"/>
        </w:trPr>
        <w:tc>
          <w:tcPr>
            <w:tcW w:w="1902" w:type="dxa"/>
            <w:noWrap/>
            <w:vAlign w:val="bottom"/>
          </w:tcPr>
          <w:p w:rsidR="00242C36" w:rsidRPr="000E300E" w:rsidRDefault="00242C36" w:rsidP="00242C36">
            <w:pPr>
              <w:rPr>
                <w:rFonts w:ascii="Calibri" w:hAnsi="Calibri"/>
                <w:sz w:val="18"/>
                <w:szCs w:val="18"/>
              </w:rPr>
            </w:pPr>
            <w:r w:rsidRPr="000E300E">
              <w:rPr>
                <w:rFonts w:ascii="Calibri" w:hAnsi="Calibri"/>
                <w:sz w:val="18"/>
                <w:szCs w:val="18"/>
              </w:rPr>
              <w:t xml:space="preserve">Základné </w:t>
            </w:r>
          </w:p>
        </w:tc>
        <w:tc>
          <w:tcPr>
            <w:tcW w:w="1374" w:type="dxa"/>
            <w:noWrap/>
            <w:vAlign w:val="bottom"/>
          </w:tcPr>
          <w:p w:rsidR="00242C36" w:rsidRPr="000E300E" w:rsidRDefault="00242C36" w:rsidP="00242C36">
            <w:pPr>
              <w:ind w:right="680"/>
              <w:jc w:val="right"/>
              <w:rPr>
                <w:rFonts w:ascii="Calibri" w:hAnsi="Calibri"/>
                <w:sz w:val="18"/>
                <w:szCs w:val="18"/>
              </w:rPr>
            </w:pPr>
            <w:r w:rsidRPr="000E300E">
              <w:rPr>
                <w:rFonts w:ascii="Calibri" w:hAnsi="Calibri"/>
                <w:sz w:val="18"/>
                <w:szCs w:val="18"/>
              </w:rPr>
              <w:t>29,9</w:t>
            </w:r>
          </w:p>
        </w:tc>
        <w:tc>
          <w:tcPr>
            <w:tcW w:w="1417" w:type="dxa"/>
            <w:noWrap/>
            <w:vAlign w:val="bottom"/>
          </w:tcPr>
          <w:p w:rsidR="00242C36" w:rsidRPr="000E300E" w:rsidRDefault="00242C36" w:rsidP="00242C36">
            <w:pPr>
              <w:ind w:right="680"/>
              <w:jc w:val="right"/>
              <w:rPr>
                <w:rFonts w:ascii="Calibri" w:hAnsi="Calibri"/>
                <w:sz w:val="18"/>
                <w:szCs w:val="18"/>
              </w:rPr>
            </w:pPr>
            <w:r w:rsidRPr="000E300E">
              <w:rPr>
                <w:rFonts w:ascii="Calibri" w:hAnsi="Calibri"/>
                <w:sz w:val="18"/>
                <w:szCs w:val="18"/>
              </w:rPr>
              <w:t>30,0</w:t>
            </w:r>
          </w:p>
        </w:tc>
        <w:tc>
          <w:tcPr>
            <w:tcW w:w="1276" w:type="dxa"/>
            <w:noWrap/>
            <w:vAlign w:val="bottom"/>
          </w:tcPr>
          <w:p w:rsidR="00242C36" w:rsidRPr="000E300E" w:rsidRDefault="00242C36" w:rsidP="00242C36">
            <w:pPr>
              <w:ind w:right="680"/>
              <w:jc w:val="right"/>
              <w:rPr>
                <w:rFonts w:ascii="Calibri" w:hAnsi="Calibri"/>
                <w:sz w:val="18"/>
                <w:szCs w:val="18"/>
              </w:rPr>
            </w:pPr>
            <w:r w:rsidRPr="000E300E">
              <w:rPr>
                <w:rFonts w:ascii="Calibri" w:hAnsi="Calibri"/>
                <w:sz w:val="18"/>
                <w:szCs w:val="18"/>
              </w:rPr>
              <w:t>11,5</w:t>
            </w:r>
          </w:p>
        </w:tc>
        <w:tc>
          <w:tcPr>
            <w:tcW w:w="1559" w:type="dxa"/>
            <w:noWrap/>
            <w:vAlign w:val="bottom"/>
          </w:tcPr>
          <w:p w:rsidR="00242C36" w:rsidRPr="000E300E" w:rsidRDefault="00242C36" w:rsidP="00242C36">
            <w:pPr>
              <w:ind w:right="680"/>
              <w:jc w:val="right"/>
              <w:rPr>
                <w:rFonts w:ascii="Calibri" w:hAnsi="Calibri"/>
                <w:sz w:val="18"/>
                <w:szCs w:val="18"/>
              </w:rPr>
            </w:pPr>
            <w:r w:rsidRPr="000E300E">
              <w:rPr>
                <w:rFonts w:ascii="Calibri" w:hAnsi="Calibri"/>
                <w:sz w:val="18"/>
                <w:szCs w:val="18"/>
              </w:rPr>
              <w:t>10,3</w:t>
            </w:r>
          </w:p>
        </w:tc>
        <w:tc>
          <w:tcPr>
            <w:tcW w:w="1701" w:type="dxa"/>
          </w:tcPr>
          <w:p w:rsidR="00242C36" w:rsidRPr="000E300E" w:rsidRDefault="00242C36" w:rsidP="00242C36">
            <w:pPr>
              <w:ind w:right="680"/>
              <w:jc w:val="right"/>
              <w:rPr>
                <w:rFonts w:ascii="Calibri" w:hAnsi="Calibri"/>
                <w:sz w:val="18"/>
                <w:szCs w:val="18"/>
              </w:rPr>
            </w:pPr>
            <w:r w:rsidRPr="000E300E">
              <w:rPr>
                <w:rFonts w:ascii="Calibri" w:hAnsi="Calibri"/>
                <w:sz w:val="18"/>
                <w:szCs w:val="18"/>
              </w:rPr>
              <w:t>9,6</w:t>
            </w:r>
          </w:p>
        </w:tc>
      </w:tr>
      <w:tr w:rsidR="00242C36" w:rsidRPr="000E300E" w:rsidTr="00242C36">
        <w:trPr>
          <w:trHeight w:val="255"/>
        </w:trPr>
        <w:tc>
          <w:tcPr>
            <w:tcW w:w="1902" w:type="dxa"/>
            <w:noWrap/>
            <w:vAlign w:val="bottom"/>
          </w:tcPr>
          <w:p w:rsidR="00242C36" w:rsidRPr="000E300E" w:rsidRDefault="00242C36" w:rsidP="00242C36">
            <w:pPr>
              <w:rPr>
                <w:rFonts w:ascii="Calibri" w:hAnsi="Calibri"/>
                <w:sz w:val="18"/>
                <w:szCs w:val="18"/>
              </w:rPr>
            </w:pPr>
            <w:r w:rsidRPr="000E300E">
              <w:rPr>
                <w:rFonts w:ascii="Calibri" w:hAnsi="Calibri"/>
                <w:sz w:val="18"/>
                <w:szCs w:val="18"/>
              </w:rPr>
              <w:t>Vyučení</w:t>
            </w:r>
          </w:p>
        </w:tc>
        <w:tc>
          <w:tcPr>
            <w:tcW w:w="1374" w:type="dxa"/>
            <w:noWrap/>
            <w:vAlign w:val="bottom"/>
          </w:tcPr>
          <w:p w:rsidR="00242C36" w:rsidRPr="000E300E" w:rsidRDefault="00242C36" w:rsidP="00242C36">
            <w:pPr>
              <w:ind w:right="680"/>
              <w:jc w:val="right"/>
              <w:rPr>
                <w:rFonts w:ascii="Calibri" w:hAnsi="Calibri"/>
                <w:sz w:val="18"/>
                <w:szCs w:val="18"/>
              </w:rPr>
            </w:pPr>
            <w:r w:rsidRPr="000E300E">
              <w:rPr>
                <w:rFonts w:ascii="Calibri" w:hAnsi="Calibri"/>
                <w:sz w:val="18"/>
                <w:szCs w:val="18"/>
              </w:rPr>
              <w:t>47,3</w:t>
            </w:r>
          </w:p>
        </w:tc>
        <w:tc>
          <w:tcPr>
            <w:tcW w:w="1417" w:type="dxa"/>
            <w:noWrap/>
            <w:vAlign w:val="bottom"/>
          </w:tcPr>
          <w:p w:rsidR="00242C36" w:rsidRPr="000E300E" w:rsidRDefault="00242C36" w:rsidP="00242C36">
            <w:pPr>
              <w:ind w:right="680"/>
              <w:jc w:val="right"/>
              <w:rPr>
                <w:rFonts w:ascii="Calibri" w:hAnsi="Calibri"/>
                <w:sz w:val="18"/>
                <w:szCs w:val="18"/>
              </w:rPr>
            </w:pPr>
            <w:r w:rsidRPr="000E300E">
              <w:rPr>
                <w:rFonts w:ascii="Calibri" w:hAnsi="Calibri"/>
                <w:sz w:val="18"/>
                <w:szCs w:val="18"/>
              </w:rPr>
              <w:t>48,5</w:t>
            </w:r>
          </w:p>
        </w:tc>
        <w:tc>
          <w:tcPr>
            <w:tcW w:w="1276" w:type="dxa"/>
            <w:noWrap/>
            <w:vAlign w:val="bottom"/>
          </w:tcPr>
          <w:p w:rsidR="00242C36" w:rsidRPr="000E300E" w:rsidRDefault="00242C36" w:rsidP="00242C36">
            <w:pPr>
              <w:ind w:right="680"/>
              <w:jc w:val="right"/>
              <w:rPr>
                <w:rFonts w:ascii="Calibri" w:hAnsi="Calibri"/>
                <w:sz w:val="18"/>
                <w:szCs w:val="18"/>
              </w:rPr>
            </w:pPr>
            <w:r w:rsidRPr="000E300E">
              <w:rPr>
                <w:rFonts w:ascii="Calibri" w:hAnsi="Calibri"/>
                <w:sz w:val="18"/>
                <w:szCs w:val="18"/>
              </w:rPr>
              <w:t>53,3</w:t>
            </w:r>
          </w:p>
        </w:tc>
        <w:tc>
          <w:tcPr>
            <w:tcW w:w="1559" w:type="dxa"/>
            <w:noWrap/>
            <w:vAlign w:val="bottom"/>
          </w:tcPr>
          <w:p w:rsidR="00242C36" w:rsidRPr="000E300E" w:rsidRDefault="00242C36" w:rsidP="00242C36">
            <w:pPr>
              <w:ind w:right="680"/>
              <w:jc w:val="right"/>
              <w:rPr>
                <w:rFonts w:ascii="Calibri" w:hAnsi="Calibri"/>
                <w:sz w:val="18"/>
                <w:szCs w:val="18"/>
              </w:rPr>
            </w:pPr>
            <w:r w:rsidRPr="000E300E">
              <w:rPr>
                <w:rFonts w:ascii="Calibri" w:hAnsi="Calibri"/>
                <w:sz w:val="18"/>
                <w:szCs w:val="18"/>
              </w:rPr>
              <w:t>50,3</w:t>
            </w:r>
          </w:p>
        </w:tc>
        <w:tc>
          <w:tcPr>
            <w:tcW w:w="1701" w:type="dxa"/>
          </w:tcPr>
          <w:p w:rsidR="00242C36" w:rsidRPr="000E300E" w:rsidRDefault="00242C36" w:rsidP="00242C36">
            <w:pPr>
              <w:ind w:right="680"/>
              <w:jc w:val="right"/>
              <w:rPr>
                <w:rFonts w:ascii="Calibri" w:hAnsi="Calibri"/>
                <w:sz w:val="18"/>
                <w:szCs w:val="18"/>
              </w:rPr>
            </w:pPr>
            <w:r w:rsidRPr="000E300E">
              <w:rPr>
                <w:rFonts w:ascii="Calibri" w:hAnsi="Calibri"/>
                <w:sz w:val="18"/>
                <w:szCs w:val="18"/>
              </w:rPr>
              <w:t>52,3</w:t>
            </w:r>
          </w:p>
        </w:tc>
      </w:tr>
      <w:tr w:rsidR="00242C36" w:rsidRPr="000E300E" w:rsidTr="00242C36">
        <w:trPr>
          <w:trHeight w:val="255"/>
        </w:trPr>
        <w:tc>
          <w:tcPr>
            <w:tcW w:w="1902" w:type="dxa"/>
            <w:noWrap/>
            <w:vAlign w:val="bottom"/>
          </w:tcPr>
          <w:p w:rsidR="00242C36" w:rsidRPr="000E300E" w:rsidRDefault="00242C36" w:rsidP="00242C36">
            <w:pPr>
              <w:rPr>
                <w:rFonts w:ascii="Calibri" w:hAnsi="Calibri"/>
                <w:sz w:val="18"/>
                <w:szCs w:val="18"/>
              </w:rPr>
            </w:pPr>
            <w:r w:rsidRPr="000E300E">
              <w:rPr>
                <w:rFonts w:ascii="Calibri" w:hAnsi="Calibri"/>
                <w:sz w:val="18"/>
                <w:szCs w:val="18"/>
              </w:rPr>
              <w:t>Stredné</w:t>
            </w:r>
          </w:p>
        </w:tc>
        <w:tc>
          <w:tcPr>
            <w:tcW w:w="1374" w:type="dxa"/>
            <w:noWrap/>
            <w:vAlign w:val="bottom"/>
          </w:tcPr>
          <w:p w:rsidR="00242C36" w:rsidRPr="000E300E" w:rsidRDefault="00242C36" w:rsidP="00242C36">
            <w:pPr>
              <w:ind w:right="680"/>
              <w:jc w:val="right"/>
              <w:rPr>
                <w:rFonts w:ascii="Calibri" w:hAnsi="Calibri"/>
                <w:sz w:val="18"/>
                <w:szCs w:val="18"/>
              </w:rPr>
            </w:pPr>
            <w:r w:rsidRPr="000E300E">
              <w:rPr>
                <w:rFonts w:ascii="Calibri" w:hAnsi="Calibri"/>
                <w:sz w:val="18"/>
                <w:szCs w:val="18"/>
              </w:rPr>
              <w:t>18,4</w:t>
            </w:r>
          </w:p>
        </w:tc>
        <w:tc>
          <w:tcPr>
            <w:tcW w:w="1417" w:type="dxa"/>
            <w:noWrap/>
            <w:vAlign w:val="bottom"/>
          </w:tcPr>
          <w:p w:rsidR="00242C36" w:rsidRPr="000E300E" w:rsidRDefault="00242C36" w:rsidP="00242C36">
            <w:pPr>
              <w:ind w:right="680"/>
              <w:jc w:val="right"/>
              <w:rPr>
                <w:rFonts w:ascii="Calibri" w:hAnsi="Calibri"/>
                <w:sz w:val="18"/>
                <w:szCs w:val="18"/>
              </w:rPr>
            </w:pPr>
            <w:r w:rsidRPr="000E300E">
              <w:rPr>
                <w:rFonts w:ascii="Calibri" w:hAnsi="Calibri"/>
                <w:sz w:val="18"/>
                <w:szCs w:val="18"/>
              </w:rPr>
              <w:t>19,4</w:t>
            </w:r>
          </w:p>
        </w:tc>
        <w:tc>
          <w:tcPr>
            <w:tcW w:w="1276" w:type="dxa"/>
            <w:noWrap/>
            <w:vAlign w:val="bottom"/>
          </w:tcPr>
          <w:p w:rsidR="00242C36" w:rsidRPr="000E300E" w:rsidRDefault="00242C36" w:rsidP="00242C36">
            <w:pPr>
              <w:ind w:right="680"/>
              <w:jc w:val="right"/>
              <w:rPr>
                <w:rFonts w:ascii="Calibri" w:hAnsi="Calibri"/>
                <w:sz w:val="18"/>
                <w:szCs w:val="18"/>
              </w:rPr>
            </w:pPr>
            <w:r w:rsidRPr="000E300E">
              <w:rPr>
                <w:rFonts w:ascii="Calibri" w:hAnsi="Calibri"/>
                <w:sz w:val="18"/>
                <w:szCs w:val="18"/>
              </w:rPr>
              <w:t>27,2</w:t>
            </w:r>
          </w:p>
        </w:tc>
        <w:tc>
          <w:tcPr>
            <w:tcW w:w="1559" w:type="dxa"/>
            <w:noWrap/>
            <w:vAlign w:val="bottom"/>
          </w:tcPr>
          <w:p w:rsidR="00242C36" w:rsidRPr="000E300E" w:rsidRDefault="00242C36" w:rsidP="00242C36">
            <w:pPr>
              <w:ind w:right="680"/>
              <w:jc w:val="right"/>
              <w:rPr>
                <w:rFonts w:ascii="Calibri" w:hAnsi="Calibri"/>
                <w:sz w:val="18"/>
                <w:szCs w:val="18"/>
              </w:rPr>
            </w:pPr>
            <w:r w:rsidRPr="000E300E">
              <w:rPr>
                <w:rFonts w:ascii="Calibri" w:hAnsi="Calibri"/>
                <w:sz w:val="18"/>
                <w:szCs w:val="18"/>
              </w:rPr>
              <w:t>29,0</w:t>
            </w:r>
          </w:p>
        </w:tc>
        <w:tc>
          <w:tcPr>
            <w:tcW w:w="1701" w:type="dxa"/>
          </w:tcPr>
          <w:p w:rsidR="00242C36" w:rsidRPr="000E300E" w:rsidRDefault="00242C36" w:rsidP="00242C36">
            <w:pPr>
              <w:ind w:right="680"/>
              <w:jc w:val="right"/>
              <w:rPr>
                <w:rFonts w:ascii="Calibri" w:hAnsi="Calibri"/>
                <w:sz w:val="18"/>
                <w:szCs w:val="18"/>
              </w:rPr>
            </w:pPr>
            <w:r w:rsidRPr="000E300E">
              <w:rPr>
                <w:rFonts w:ascii="Calibri" w:hAnsi="Calibri"/>
                <w:sz w:val="18"/>
                <w:szCs w:val="18"/>
              </w:rPr>
              <w:t>31,4</w:t>
            </w:r>
          </w:p>
        </w:tc>
      </w:tr>
      <w:tr w:rsidR="00242C36" w:rsidRPr="000E300E" w:rsidTr="00242C36">
        <w:trPr>
          <w:trHeight w:val="255"/>
        </w:trPr>
        <w:tc>
          <w:tcPr>
            <w:tcW w:w="1902" w:type="dxa"/>
            <w:noWrap/>
            <w:vAlign w:val="bottom"/>
          </w:tcPr>
          <w:p w:rsidR="00242C36" w:rsidRPr="000E300E" w:rsidRDefault="00242C36" w:rsidP="00242C36">
            <w:pPr>
              <w:rPr>
                <w:rFonts w:ascii="Calibri" w:hAnsi="Calibri"/>
                <w:sz w:val="18"/>
                <w:szCs w:val="18"/>
              </w:rPr>
            </w:pPr>
            <w:r w:rsidRPr="000E300E">
              <w:rPr>
                <w:rFonts w:ascii="Calibri" w:hAnsi="Calibri"/>
                <w:sz w:val="18"/>
                <w:szCs w:val="18"/>
              </w:rPr>
              <w:t>Vysokoškolské</w:t>
            </w:r>
          </w:p>
        </w:tc>
        <w:tc>
          <w:tcPr>
            <w:tcW w:w="1374" w:type="dxa"/>
            <w:noWrap/>
            <w:vAlign w:val="bottom"/>
          </w:tcPr>
          <w:p w:rsidR="00242C36" w:rsidRPr="000E300E" w:rsidRDefault="00242C36" w:rsidP="00242C36">
            <w:pPr>
              <w:ind w:right="680"/>
              <w:jc w:val="right"/>
              <w:rPr>
                <w:rFonts w:ascii="Calibri" w:hAnsi="Calibri"/>
                <w:sz w:val="18"/>
                <w:szCs w:val="18"/>
              </w:rPr>
            </w:pPr>
            <w:r w:rsidRPr="000E300E">
              <w:rPr>
                <w:rFonts w:ascii="Calibri" w:hAnsi="Calibri"/>
                <w:sz w:val="18"/>
                <w:szCs w:val="18"/>
              </w:rPr>
              <w:t>4,4</w:t>
            </w:r>
          </w:p>
        </w:tc>
        <w:tc>
          <w:tcPr>
            <w:tcW w:w="1417" w:type="dxa"/>
            <w:noWrap/>
            <w:vAlign w:val="bottom"/>
          </w:tcPr>
          <w:p w:rsidR="00242C36" w:rsidRPr="000E300E" w:rsidRDefault="00242C36" w:rsidP="00242C36">
            <w:pPr>
              <w:ind w:right="680"/>
              <w:jc w:val="right"/>
              <w:rPr>
                <w:rFonts w:ascii="Calibri" w:hAnsi="Calibri"/>
                <w:sz w:val="18"/>
                <w:szCs w:val="18"/>
              </w:rPr>
            </w:pPr>
            <w:r w:rsidRPr="000E300E">
              <w:rPr>
                <w:rFonts w:ascii="Calibri" w:hAnsi="Calibri"/>
                <w:sz w:val="18"/>
                <w:szCs w:val="18"/>
              </w:rPr>
              <w:t>6,1</w:t>
            </w:r>
          </w:p>
        </w:tc>
        <w:tc>
          <w:tcPr>
            <w:tcW w:w="1276" w:type="dxa"/>
            <w:noWrap/>
            <w:vAlign w:val="bottom"/>
          </w:tcPr>
          <w:p w:rsidR="00242C36" w:rsidRPr="000E300E" w:rsidRDefault="00242C36" w:rsidP="00242C36">
            <w:pPr>
              <w:ind w:right="680"/>
              <w:jc w:val="right"/>
              <w:rPr>
                <w:rFonts w:ascii="Calibri" w:hAnsi="Calibri"/>
                <w:sz w:val="18"/>
                <w:szCs w:val="18"/>
              </w:rPr>
            </w:pPr>
            <w:r w:rsidRPr="000E300E">
              <w:rPr>
                <w:rFonts w:ascii="Calibri" w:hAnsi="Calibri"/>
                <w:sz w:val="18"/>
                <w:szCs w:val="18"/>
              </w:rPr>
              <w:t>8,0</w:t>
            </w:r>
          </w:p>
        </w:tc>
        <w:tc>
          <w:tcPr>
            <w:tcW w:w="1559" w:type="dxa"/>
            <w:noWrap/>
            <w:vAlign w:val="bottom"/>
          </w:tcPr>
          <w:p w:rsidR="00242C36" w:rsidRPr="000E300E" w:rsidRDefault="00242C36" w:rsidP="00242C36">
            <w:pPr>
              <w:ind w:right="680"/>
              <w:jc w:val="right"/>
              <w:rPr>
                <w:rFonts w:ascii="Calibri" w:hAnsi="Calibri"/>
                <w:sz w:val="18"/>
                <w:szCs w:val="18"/>
              </w:rPr>
            </w:pPr>
            <w:r w:rsidRPr="000E300E">
              <w:rPr>
                <w:rFonts w:ascii="Calibri" w:hAnsi="Calibri"/>
                <w:sz w:val="18"/>
                <w:szCs w:val="18"/>
              </w:rPr>
              <w:t>10,4</w:t>
            </w:r>
          </w:p>
        </w:tc>
        <w:tc>
          <w:tcPr>
            <w:tcW w:w="1701" w:type="dxa"/>
          </w:tcPr>
          <w:p w:rsidR="00242C36" w:rsidRPr="000E300E" w:rsidRDefault="00242C36" w:rsidP="00242C36">
            <w:pPr>
              <w:ind w:right="680"/>
              <w:jc w:val="right"/>
              <w:rPr>
                <w:rFonts w:ascii="Calibri" w:hAnsi="Calibri"/>
                <w:sz w:val="18"/>
                <w:szCs w:val="18"/>
              </w:rPr>
            </w:pPr>
            <w:r w:rsidRPr="000E300E">
              <w:rPr>
                <w:rFonts w:ascii="Calibri" w:hAnsi="Calibri"/>
                <w:sz w:val="18"/>
                <w:szCs w:val="18"/>
              </w:rPr>
              <w:t>7,1</w:t>
            </w:r>
          </w:p>
        </w:tc>
      </w:tr>
    </w:tbl>
    <w:p w:rsidR="00242C36" w:rsidRPr="000E300E" w:rsidRDefault="00242C36" w:rsidP="00242C36">
      <w:pPr>
        <w:rPr>
          <w:sz w:val="18"/>
          <w:szCs w:val="18"/>
        </w:rPr>
      </w:pPr>
      <w:r w:rsidRPr="000E300E">
        <w:rPr>
          <w:sz w:val="18"/>
          <w:szCs w:val="18"/>
        </w:rPr>
        <w:t>Prameň: ŠÚ SR, Poľnohospodársky. cenzus, VZPS</w:t>
      </w:r>
    </w:p>
    <w:p w:rsidR="00242C36" w:rsidRPr="000E300E" w:rsidRDefault="00242C36" w:rsidP="00242C36">
      <w:pPr>
        <w:rPr>
          <w:sz w:val="18"/>
          <w:szCs w:val="18"/>
        </w:rPr>
      </w:pPr>
      <w:r w:rsidRPr="000E300E">
        <w:rPr>
          <w:sz w:val="18"/>
          <w:szCs w:val="18"/>
        </w:rPr>
        <w:t xml:space="preserve">Vypracoval: </w:t>
      </w:r>
      <w:r>
        <w:rPr>
          <w:sz w:val="18"/>
          <w:szCs w:val="18"/>
        </w:rPr>
        <w:t>NPPC-</w:t>
      </w:r>
      <w:r w:rsidRPr="000E300E">
        <w:rPr>
          <w:sz w:val="18"/>
          <w:szCs w:val="18"/>
        </w:rPr>
        <w:t xml:space="preserve">VÚEPP </w:t>
      </w:r>
    </w:p>
    <w:p w:rsidR="00242C36" w:rsidRPr="000E300E" w:rsidRDefault="00242C36" w:rsidP="00242C36"/>
    <w:p w:rsidR="00242C36" w:rsidRPr="00C82F79" w:rsidRDefault="00242C36" w:rsidP="00242C36">
      <w:pPr>
        <w:rPr>
          <w:rFonts w:ascii="Calibri" w:hAnsi="Calibri"/>
          <w:szCs w:val="22"/>
        </w:rPr>
      </w:pPr>
      <w:r w:rsidRPr="000E300E">
        <w:rPr>
          <w:rFonts w:ascii="Calibri" w:hAnsi="Calibri"/>
          <w:szCs w:val="22"/>
        </w:rPr>
        <w:t>Z hľadiska  vekovej štruktúry najviac pracovníkov bolo v roku 2010 vo veku nad 50 rokov a to tak u právnických i fyzických osôb. Mladí farmári do 40 rokov tvorili u právnických osôb 18,8 % a u fyzických osôb 13,3 %. Dôvodom nezáujmu mladých ľudí o prácu na poľnohospodárskych farmách je viacero, ako napr. absencia dlhodobej koncepcie pre mladých, malých a začínajúcich farmárov, problémy so získaním vlastnej pôdy, nedostatočná cielená podpora mladých, malých a začínajúcich farmárov, atď.</w:t>
      </w:r>
    </w:p>
    <w:p w:rsidR="00242C36" w:rsidRDefault="00242C36" w:rsidP="00242C36">
      <w:pPr>
        <w:rPr>
          <w:rFonts w:ascii="Calibri" w:hAnsi="Calibri"/>
          <w:b/>
          <w:szCs w:val="22"/>
        </w:rPr>
      </w:pPr>
    </w:p>
    <w:p w:rsidR="00242C36" w:rsidRPr="000E300E" w:rsidRDefault="007D119F" w:rsidP="00242C36">
      <w:pPr>
        <w:rPr>
          <w:rFonts w:ascii="Calibri" w:hAnsi="Calibri"/>
          <w:b/>
          <w:szCs w:val="22"/>
        </w:rPr>
      </w:pPr>
      <w:r>
        <w:rPr>
          <w:rFonts w:ascii="Calibri" w:hAnsi="Calibri"/>
          <w:b/>
          <w:szCs w:val="22"/>
        </w:rPr>
        <w:t xml:space="preserve">Tabuľka 14: </w:t>
      </w:r>
      <w:r w:rsidR="00242C36" w:rsidRPr="000E300E">
        <w:rPr>
          <w:rFonts w:ascii="Calibri" w:hAnsi="Calibri"/>
          <w:b/>
          <w:szCs w:val="22"/>
        </w:rPr>
        <w:t>Veková štruktúra mladých pracujúcich na farmách SR (rok 2010)</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06"/>
        <w:gridCol w:w="4606"/>
      </w:tblGrid>
      <w:tr w:rsidR="00242C36" w:rsidRPr="000E300E" w:rsidTr="00242C36">
        <w:tc>
          <w:tcPr>
            <w:tcW w:w="4606" w:type="dxa"/>
            <w:shd w:val="clear" w:color="auto" w:fill="auto"/>
          </w:tcPr>
          <w:p w:rsidR="00242C36" w:rsidRPr="000E300E" w:rsidRDefault="00242C36" w:rsidP="00242C36">
            <w:pPr>
              <w:rPr>
                <w:rFonts w:ascii="Calibri" w:eastAsia="Calibri" w:hAnsi="Calibri"/>
                <w:b/>
                <w:sz w:val="18"/>
                <w:szCs w:val="18"/>
                <w:lang w:eastAsia="en-US"/>
              </w:rPr>
            </w:pPr>
            <w:r w:rsidRPr="000E300E">
              <w:rPr>
                <w:rFonts w:ascii="Calibri" w:eastAsia="Calibri" w:hAnsi="Calibri"/>
                <w:b/>
                <w:sz w:val="18"/>
                <w:szCs w:val="18"/>
                <w:lang w:eastAsia="en-US"/>
              </w:rPr>
              <w:t xml:space="preserve">Vek </w:t>
            </w:r>
          </w:p>
        </w:tc>
        <w:tc>
          <w:tcPr>
            <w:tcW w:w="4606" w:type="dxa"/>
            <w:shd w:val="clear" w:color="auto" w:fill="auto"/>
          </w:tcPr>
          <w:p w:rsidR="00242C36" w:rsidRPr="000E300E" w:rsidRDefault="00242C36" w:rsidP="00242C36">
            <w:pPr>
              <w:rPr>
                <w:rFonts w:ascii="Calibri" w:eastAsia="Calibri" w:hAnsi="Calibri"/>
                <w:b/>
                <w:sz w:val="18"/>
                <w:szCs w:val="18"/>
                <w:lang w:eastAsia="en-US"/>
              </w:rPr>
            </w:pPr>
            <w:r w:rsidRPr="000E300E">
              <w:rPr>
                <w:rFonts w:ascii="Calibri" w:eastAsia="Calibri" w:hAnsi="Calibri"/>
                <w:b/>
                <w:sz w:val="18"/>
                <w:szCs w:val="18"/>
                <w:lang w:eastAsia="en-US"/>
              </w:rPr>
              <w:t>Fyzické osoby</w:t>
            </w:r>
          </w:p>
        </w:tc>
      </w:tr>
      <w:tr w:rsidR="00242C36" w:rsidRPr="000E300E" w:rsidTr="00242C36">
        <w:tc>
          <w:tcPr>
            <w:tcW w:w="4606" w:type="dxa"/>
            <w:shd w:val="clear" w:color="auto" w:fill="auto"/>
          </w:tcPr>
          <w:p w:rsidR="00242C36" w:rsidRPr="000E300E" w:rsidRDefault="00242C36" w:rsidP="00242C36">
            <w:pPr>
              <w:rPr>
                <w:rFonts w:ascii="Calibri" w:eastAsia="Calibri" w:hAnsi="Calibri"/>
                <w:sz w:val="18"/>
                <w:szCs w:val="18"/>
                <w:lang w:eastAsia="en-US"/>
              </w:rPr>
            </w:pPr>
            <w:r w:rsidRPr="000E300E">
              <w:rPr>
                <w:rFonts w:ascii="Calibri" w:eastAsia="Calibri" w:hAnsi="Calibri"/>
                <w:sz w:val="18"/>
                <w:szCs w:val="18"/>
                <w:lang w:eastAsia="en-US"/>
              </w:rPr>
              <w:t xml:space="preserve"> do 24 rokov </w:t>
            </w:r>
          </w:p>
        </w:tc>
        <w:tc>
          <w:tcPr>
            <w:tcW w:w="4606" w:type="dxa"/>
            <w:shd w:val="clear" w:color="auto" w:fill="auto"/>
          </w:tcPr>
          <w:p w:rsidR="00242C36" w:rsidRPr="000E300E" w:rsidRDefault="00242C36" w:rsidP="00242C36">
            <w:pPr>
              <w:rPr>
                <w:rFonts w:ascii="Calibri" w:eastAsia="Calibri" w:hAnsi="Calibri"/>
                <w:sz w:val="18"/>
                <w:szCs w:val="18"/>
                <w:lang w:eastAsia="en-US"/>
              </w:rPr>
            </w:pPr>
            <w:r w:rsidRPr="000E300E">
              <w:rPr>
                <w:rFonts w:ascii="Calibri" w:eastAsia="Calibri" w:hAnsi="Calibri"/>
                <w:sz w:val="18"/>
                <w:szCs w:val="18"/>
                <w:lang w:eastAsia="en-US"/>
              </w:rPr>
              <w:t>213</w:t>
            </w:r>
          </w:p>
        </w:tc>
      </w:tr>
      <w:tr w:rsidR="00242C36" w:rsidRPr="000E300E" w:rsidTr="00242C36">
        <w:tc>
          <w:tcPr>
            <w:tcW w:w="4606" w:type="dxa"/>
            <w:shd w:val="clear" w:color="auto" w:fill="auto"/>
          </w:tcPr>
          <w:p w:rsidR="00242C36" w:rsidRPr="000E300E" w:rsidRDefault="00242C36" w:rsidP="00242C36">
            <w:pPr>
              <w:rPr>
                <w:rFonts w:ascii="Calibri" w:eastAsia="Calibri" w:hAnsi="Calibri"/>
                <w:sz w:val="18"/>
                <w:szCs w:val="18"/>
                <w:lang w:eastAsia="en-US"/>
              </w:rPr>
            </w:pPr>
            <w:r w:rsidRPr="000E300E">
              <w:rPr>
                <w:rFonts w:ascii="Calibri" w:eastAsia="Calibri" w:hAnsi="Calibri"/>
                <w:sz w:val="18"/>
                <w:szCs w:val="18"/>
                <w:lang w:eastAsia="en-US"/>
              </w:rPr>
              <w:t xml:space="preserve"> 25-29</w:t>
            </w:r>
          </w:p>
        </w:tc>
        <w:tc>
          <w:tcPr>
            <w:tcW w:w="4606" w:type="dxa"/>
            <w:shd w:val="clear" w:color="auto" w:fill="auto"/>
          </w:tcPr>
          <w:p w:rsidR="00242C36" w:rsidRPr="000E300E" w:rsidRDefault="00242C36" w:rsidP="00242C36">
            <w:pPr>
              <w:rPr>
                <w:rFonts w:ascii="Calibri" w:eastAsia="Calibri" w:hAnsi="Calibri"/>
                <w:sz w:val="18"/>
                <w:szCs w:val="18"/>
                <w:lang w:eastAsia="en-US"/>
              </w:rPr>
            </w:pPr>
            <w:r w:rsidRPr="000E300E">
              <w:rPr>
                <w:rFonts w:ascii="Calibri" w:eastAsia="Calibri" w:hAnsi="Calibri"/>
                <w:sz w:val="18"/>
                <w:szCs w:val="18"/>
                <w:lang w:eastAsia="en-US"/>
              </w:rPr>
              <w:t>644</w:t>
            </w:r>
          </w:p>
        </w:tc>
      </w:tr>
      <w:tr w:rsidR="00242C36" w:rsidRPr="009403DA" w:rsidTr="00242C36">
        <w:tc>
          <w:tcPr>
            <w:tcW w:w="4606" w:type="dxa"/>
            <w:shd w:val="clear" w:color="auto" w:fill="auto"/>
          </w:tcPr>
          <w:p w:rsidR="00242C36" w:rsidRPr="000E300E" w:rsidRDefault="00242C36" w:rsidP="00242C36">
            <w:pPr>
              <w:rPr>
                <w:rFonts w:ascii="Calibri" w:eastAsia="Calibri" w:hAnsi="Calibri"/>
                <w:sz w:val="18"/>
                <w:szCs w:val="18"/>
                <w:lang w:eastAsia="en-US"/>
              </w:rPr>
            </w:pPr>
            <w:r w:rsidRPr="000E300E">
              <w:rPr>
                <w:rFonts w:ascii="Calibri" w:eastAsia="Calibri" w:hAnsi="Calibri"/>
                <w:sz w:val="18"/>
                <w:szCs w:val="18"/>
                <w:lang w:eastAsia="en-US"/>
              </w:rPr>
              <w:t xml:space="preserve"> 30-34</w:t>
            </w:r>
          </w:p>
        </w:tc>
        <w:tc>
          <w:tcPr>
            <w:tcW w:w="4606" w:type="dxa"/>
            <w:shd w:val="clear" w:color="auto" w:fill="auto"/>
          </w:tcPr>
          <w:p w:rsidR="00242C36" w:rsidRPr="000E300E" w:rsidRDefault="00242C36" w:rsidP="00242C36">
            <w:pPr>
              <w:rPr>
                <w:rFonts w:ascii="Calibri" w:eastAsia="Calibri" w:hAnsi="Calibri"/>
                <w:sz w:val="18"/>
                <w:szCs w:val="18"/>
                <w:lang w:eastAsia="en-US"/>
              </w:rPr>
            </w:pPr>
            <w:r w:rsidRPr="000E300E">
              <w:rPr>
                <w:rFonts w:ascii="Calibri" w:eastAsia="Calibri" w:hAnsi="Calibri"/>
                <w:sz w:val="18"/>
                <w:szCs w:val="18"/>
                <w:lang w:eastAsia="en-US"/>
              </w:rPr>
              <w:t>1 521</w:t>
            </w:r>
          </w:p>
        </w:tc>
      </w:tr>
      <w:tr w:rsidR="00242C36" w:rsidRPr="000E300E" w:rsidTr="00242C36">
        <w:tc>
          <w:tcPr>
            <w:tcW w:w="4606" w:type="dxa"/>
            <w:shd w:val="clear" w:color="auto" w:fill="auto"/>
          </w:tcPr>
          <w:p w:rsidR="00242C36" w:rsidRPr="000E300E" w:rsidRDefault="00242C36" w:rsidP="00242C36">
            <w:pPr>
              <w:rPr>
                <w:rFonts w:ascii="Calibri" w:eastAsia="Calibri" w:hAnsi="Calibri"/>
                <w:sz w:val="18"/>
                <w:szCs w:val="18"/>
                <w:lang w:eastAsia="en-US"/>
              </w:rPr>
            </w:pPr>
            <w:r w:rsidRPr="000E300E">
              <w:rPr>
                <w:rFonts w:ascii="Calibri" w:eastAsia="Calibri" w:hAnsi="Calibri"/>
                <w:sz w:val="18"/>
                <w:szCs w:val="18"/>
                <w:lang w:eastAsia="en-US"/>
              </w:rPr>
              <w:t xml:space="preserve"> 35-39</w:t>
            </w:r>
          </w:p>
        </w:tc>
        <w:tc>
          <w:tcPr>
            <w:tcW w:w="4606" w:type="dxa"/>
            <w:shd w:val="clear" w:color="auto" w:fill="auto"/>
          </w:tcPr>
          <w:p w:rsidR="00242C36" w:rsidRPr="000E300E" w:rsidRDefault="00242C36" w:rsidP="00242C36">
            <w:pPr>
              <w:rPr>
                <w:rFonts w:ascii="Calibri" w:eastAsia="Calibri" w:hAnsi="Calibri"/>
                <w:sz w:val="18"/>
                <w:szCs w:val="18"/>
                <w:lang w:eastAsia="en-US"/>
              </w:rPr>
            </w:pPr>
            <w:r w:rsidRPr="000E300E">
              <w:rPr>
                <w:rFonts w:ascii="Calibri" w:eastAsia="Calibri" w:hAnsi="Calibri"/>
                <w:sz w:val="18"/>
                <w:szCs w:val="18"/>
                <w:lang w:eastAsia="en-US"/>
              </w:rPr>
              <w:t>2 406</w:t>
            </w:r>
          </w:p>
        </w:tc>
      </w:tr>
    </w:tbl>
    <w:p w:rsidR="00242C36" w:rsidRPr="000E300E" w:rsidRDefault="00242C36" w:rsidP="00242C36">
      <w:pPr>
        <w:rPr>
          <w:rFonts w:ascii="Calibri" w:hAnsi="Calibri"/>
          <w:sz w:val="20"/>
          <w:szCs w:val="20"/>
        </w:rPr>
      </w:pPr>
      <w:r w:rsidRPr="000E300E">
        <w:rPr>
          <w:rFonts w:ascii="Calibri" w:hAnsi="Calibri"/>
          <w:sz w:val="20"/>
          <w:szCs w:val="20"/>
        </w:rPr>
        <w:t xml:space="preserve">Prameň: CD MPRV SR, </w:t>
      </w:r>
      <w:r>
        <w:rPr>
          <w:rFonts w:ascii="Calibri" w:hAnsi="Calibri"/>
          <w:sz w:val="20"/>
          <w:szCs w:val="20"/>
        </w:rPr>
        <w:t>NPPC-</w:t>
      </w:r>
      <w:r w:rsidRPr="000E300E">
        <w:rPr>
          <w:rFonts w:ascii="Calibri" w:hAnsi="Calibri"/>
          <w:sz w:val="20"/>
          <w:szCs w:val="20"/>
        </w:rPr>
        <w:t xml:space="preserve">VUEPP, </w:t>
      </w:r>
      <w:r>
        <w:rPr>
          <w:rFonts w:ascii="Calibri" w:hAnsi="Calibri"/>
          <w:sz w:val="20"/>
          <w:szCs w:val="20"/>
        </w:rPr>
        <w:t xml:space="preserve">ŠÚ SR: </w:t>
      </w:r>
      <w:r w:rsidRPr="000E300E">
        <w:rPr>
          <w:rFonts w:ascii="Calibri" w:hAnsi="Calibri"/>
          <w:sz w:val="20"/>
          <w:szCs w:val="20"/>
        </w:rPr>
        <w:t>Poľnohospodársky cenzus fariem 2010</w:t>
      </w:r>
    </w:p>
    <w:p w:rsidR="00242C36" w:rsidRPr="000E300E" w:rsidRDefault="00242C36" w:rsidP="00242C36"/>
    <w:p w:rsidR="00242C36" w:rsidRPr="000E300E" w:rsidRDefault="00242C36" w:rsidP="00242C36">
      <w:pPr>
        <w:pBdr>
          <w:bar w:val="single" w:sz="6" w:color="808080"/>
        </w:pBdr>
        <w:spacing w:after="120"/>
        <w:rPr>
          <w:rFonts w:ascii="Calibri" w:eastAsia="Calibri" w:hAnsi="Calibri"/>
          <w:szCs w:val="22"/>
          <w:lang w:eastAsia="en-US"/>
        </w:rPr>
      </w:pPr>
      <w:r w:rsidRPr="000E300E">
        <w:rPr>
          <w:rFonts w:ascii="Calibri" w:eastAsia="Calibri" w:hAnsi="Calibri" w:cs="Calibri"/>
          <w:szCs w:val="22"/>
          <w:lang w:eastAsia="en-US"/>
        </w:rPr>
        <w:t xml:space="preserve">Celkový počet </w:t>
      </w:r>
      <w:r w:rsidRPr="000E300E">
        <w:rPr>
          <w:rFonts w:ascii="Calibri" w:eastAsia="Calibri" w:hAnsi="Calibri" w:cs="Calibri"/>
          <w:b/>
          <w:bCs/>
          <w:szCs w:val="22"/>
          <w:lang w:eastAsia="en-US"/>
        </w:rPr>
        <w:t>riadiacich pracovníkov</w:t>
      </w:r>
      <w:r w:rsidRPr="000E300E">
        <w:rPr>
          <w:rFonts w:ascii="Calibri" w:eastAsia="Calibri" w:hAnsi="Calibri" w:cs="Calibri"/>
          <w:szCs w:val="22"/>
          <w:lang w:eastAsia="en-US"/>
        </w:rPr>
        <w:t xml:space="preserve"> v poľnohospodárstve v roku 2010 vo veku do 35 rokov 7,1%.</w:t>
      </w:r>
    </w:p>
    <w:p w:rsidR="00242C36" w:rsidRPr="000E300E" w:rsidRDefault="00242C36" w:rsidP="00242C36">
      <w:pPr>
        <w:pBdr>
          <w:bar w:val="single" w:sz="6" w:color="808080"/>
        </w:pBdr>
        <w:spacing w:after="120"/>
        <w:rPr>
          <w:rFonts w:ascii="Calibri" w:eastAsia="Calibri" w:hAnsi="Calibri" w:cs="Calibri"/>
          <w:szCs w:val="22"/>
          <w:lang w:eastAsia="en-US"/>
        </w:rPr>
      </w:pPr>
      <w:r w:rsidRPr="000E300E">
        <w:rPr>
          <w:rFonts w:ascii="Calibri" w:eastAsia="Calibri" w:hAnsi="Calibri" w:cs="Calibri"/>
          <w:szCs w:val="22"/>
          <w:lang w:eastAsia="en-US"/>
        </w:rPr>
        <w:t>Takmer štvrtina (23,8%) manažérov poľnohospodárskych podnikov malo základné a ukončené poľnohospodárske vzdelanie. Viac ako jedna tretina (35,3%) manažérov so základným a ukončeným poľnohospodárskym vzdelaním bolo do 35 rokov. Je predpoklad, že v súčasnom období výrazná zmena nenastala. Možno očakávať zmenu od r. 2015, kedy sa akcent položí na podporu mladých farmárov. Možno predpokladať, že začínajúci mladí farmári budú mať v prevažnej miere stredoškolské, resp. vysokoškolské vzdelanie.</w:t>
      </w:r>
    </w:p>
    <w:p w:rsidR="00242C36" w:rsidRPr="00A0367B" w:rsidRDefault="00242C36" w:rsidP="00242C36">
      <w:pPr>
        <w:pBdr>
          <w:bar w:val="single" w:sz="6" w:color="808080"/>
        </w:pBdr>
        <w:spacing w:after="120"/>
        <w:rPr>
          <w:rFonts w:eastAsia="Calibri"/>
          <w:szCs w:val="22"/>
          <w:highlight w:val="yellow"/>
          <w:lang w:eastAsia="en-US"/>
        </w:rPr>
      </w:pPr>
      <w:r w:rsidRPr="00A0367B">
        <w:rPr>
          <w:szCs w:val="22"/>
        </w:rPr>
        <w:t xml:space="preserve">Podiel pracovníkov vo vekovej skupine 25-64r. zapojených do </w:t>
      </w:r>
      <w:r w:rsidRPr="009357C1">
        <w:rPr>
          <w:b/>
          <w:szCs w:val="22"/>
        </w:rPr>
        <w:t>systému celoživotného vzdelávania</w:t>
      </w:r>
      <w:r w:rsidRPr="00A0367B">
        <w:rPr>
          <w:szCs w:val="22"/>
        </w:rPr>
        <w:t xml:space="preserve"> je </w:t>
      </w:r>
      <w:r>
        <w:rPr>
          <w:szCs w:val="22"/>
        </w:rPr>
        <w:t>3,1</w:t>
      </w:r>
      <w:r w:rsidRPr="00A0367B">
        <w:rPr>
          <w:szCs w:val="22"/>
        </w:rPr>
        <w:t>% (r. 2012, PSCI 14).</w:t>
      </w:r>
    </w:p>
    <w:p w:rsidR="00242C36" w:rsidRPr="00B50921" w:rsidRDefault="00242C36" w:rsidP="00242C36">
      <w:pPr>
        <w:rPr>
          <w:rFonts w:ascii="Calibri" w:hAnsi="Calibri"/>
          <w:b/>
          <w:szCs w:val="22"/>
          <w:u w:val="single"/>
        </w:rPr>
      </w:pPr>
      <w:r w:rsidRPr="00B50921">
        <w:rPr>
          <w:rFonts w:ascii="Calibri" w:hAnsi="Calibri"/>
          <w:b/>
          <w:szCs w:val="22"/>
          <w:u w:val="single"/>
        </w:rPr>
        <w:t xml:space="preserve">Využitie poľnohospodárskej pôdy </w:t>
      </w:r>
    </w:p>
    <w:p w:rsidR="00242C36" w:rsidRPr="00673737" w:rsidRDefault="00242C36" w:rsidP="00242C36">
      <w:pPr>
        <w:rPr>
          <w:rFonts w:ascii="Calibri" w:hAnsi="Calibri"/>
          <w:szCs w:val="22"/>
        </w:rPr>
      </w:pPr>
      <w:r>
        <w:rPr>
          <w:rFonts w:ascii="Calibri" w:hAnsi="Calibri"/>
          <w:szCs w:val="22"/>
        </w:rPr>
        <w:t>Podľa ŠÚ SR bola v roku 2012 výmera využitej poľnohospodárskej pôdy  1 927 450 ha. Podiel v r. 2012 ornej pôdy z celkovej využitej pôdy činil 70,56 % a trvalých lúk a pasienkov 26,72%.</w:t>
      </w:r>
      <w:r>
        <w:rPr>
          <w:rFonts w:ascii="Calibri" w:hAnsi="Calibri"/>
          <w:color w:val="000000"/>
          <w:szCs w:val="22"/>
          <w:lang w:eastAsia="en-US"/>
        </w:rPr>
        <w:t>R</w:t>
      </w:r>
      <w:r w:rsidRPr="00673737">
        <w:rPr>
          <w:rFonts w:ascii="Calibri" w:hAnsi="Calibri"/>
          <w:color w:val="000000"/>
          <w:szCs w:val="22"/>
          <w:lang w:eastAsia="en-US"/>
        </w:rPr>
        <w:t>ozloha bielych</w:t>
      </w:r>
      <w:r w:rsidRPr="00673737">
        <w:rPr>
          <w:rFonts w:ascii="Calibri" w:hAnsi="Calibri"/>
          <w:color w:val="000000"/>
          <w:szCs w:val="22"/>
          <w:lang w:eastAsia="en-US"/>
        </w:rPr>
        <w:lastRenderedPageBreak/>
        <w:t xml:space="preserve"> plôch </w:t>
      </w:r>
      <w:r w:rsidRPr="00A61BE8">
        <w:rPr>
          <w:rFonts w:ascii="Calibri" w:hAnsi="Calibri"/>
          <w:color w:val="000000"/>
          <w:szCs w:val="22"/>
          <w:lang w:eastAsia="en-US"/>
        </w:rPr>
        <w:t xml:space="preserve">sa v </w:t>
      </w:r>
      <w:r w:rsidRPr="00673737">
        <w:rPr>
          <w:rFonts w:ascii="Calibri" w:hAnsi="Calibri"/>
          <w:color w:val="000000"/>
          <w:szCs w:val="22"/>
          <w:lang w:eastAsia="en-US"/>
        </w:rPr>
        <w:t xml:space="preserve">súčasnosti </w:t>
      </w:r>
      <w:r w:rsidRPr="00A61BE8">
        <w:rPr>
          <w:rFonts w:ascii="Calibri" w:hAnsi="Calibri"/>
          <w:color w:val="000000"/>
          <w:szCs w:val="22"/>
          <w:lang w:eastAsia="en-US"/>
        </w:rPr>
        <w:t>neu</w:t>
      </w:r>
      <w:r w:rsidRPr="00673737">
        <w:rPr>
          <w:rFonts w:ascii="Calibri" w:hAnsi="Calibri"/>
          <w:color w:val="000000"/>
          <w:szCs w:val="22"/>
          <w:lang w:eastAsia="en-US"/>
        </w:rPr>
        <w:t xml:space="preserve">stále </w:t>
      </w:r>
      <w:r w:rsidRPr="00232F1B">
        <w:rPr>
          <w:rFonts w:ascii="Calibri" w:hAnsi="Calibri"/>
          <w:szCs w:val="22"/>
          <w:lang w:eastAsia="en-US"/>
        </w:rPr>
        <w:t xml:space="preserve">zväčšuje, je to aj následkom zníženia výmery poľnohospodárskej pôdy, na ktorú je poskytovaná dotácia. </w:t>
      </w:r>
      <w:r w:rsidRPr="00232F1B">
        <w:rPr>
          <w:rFonts w:ascii="Calibri" w:hAnsi="Calibri"/>
          <w:b/>
          <w:szCs w:val="22"/>
          <w:lang w:eastAsia="en-US"/>
        </w:rPr>
        <w:t>V rámci národnej inventarizácie a monitoringu lesov NLC</w:t>
      </w:r>
      <w:r w:rsidRPr="00232F1B">
        <w:rPr>
          <w:rFonts w:ascii="Calibri" w:hAnsi="Calibri"/>
          <w:szCs w:val="22"/>
          <w:lang w:eastAsia="en-US"/>
        </w:rPr>
        <w:t xml:space="preserve"> (NIML) SR 2005 – 2006 sa zistila výmera lesov na nelesných pozemkoch v rozsahu 275 000 ha a zásoba dreva je 36 mil. m</w:t>
      </w:r>
      <w:r w:rsidRPr="00232F1B">
        <w:rPr>
          <w:rFonts w:ascii="Calibri" w:hAnsi="Calibri"/>
          <w:szCs w:val="22"/>
          <w:vertAlign w:val="superscript"/>
          <w:lang w:eastAsia="en-US"/>
        </w:rPr>
        <w:t>3</w:t>
      </w:r>
      <w:r w:rsidRPr="00232F1B">
        <w:rPr>
          <w:rFonts w:ascii="Calibri" w:hAnsi="Calibri"/>
          <w:szCs w:val="22"/>
          <w:lang w:eastAsia="en-US"/>
        </w:rPr>
        <w:t xml:space="preserve">. </w:t>
      </w:r>
      <w:r w:rsidRPr="00232F1B">
        <w:rPr>
          <w:rFonts w:ascii="Calibri" w:hAnsi="Calibri"/>
          <w:szCs w:val="22"/>
        </w:rPr>
        <w:t xml:space="preserve"> </w:t>
      </w:r>
      <w:r w:rsidRPr="00232F1B">
        <w:rPr>
          <w:szCs w:val="22"/>
          <w:lang w:eastAsia="en-US"/>
        </w:rPr>
        <w:t xml:space="preserve">Z analýz </w:t>
      </w:r>
      <w:r w:rsidRPr="00232F1B">
        <w:rPr>
          <w:b/>
          <w:szCs w:val="22"/>
          <w:lang w:eastAsia="en-US"/>
        </w:rPr>
        <w:t>LPIS NPPC –VÚPOP</w:t>
      </w:r>
      <w:r w:rsidRPr="00232F1B">
        <w:rPr>
          <w:szCs w:val="22"/>
          <w:lang w:eastAsia="en-US"/>
        </w:rPr>
        <w:t xml:space="preserve"> odhaduje v roku 2012 cca 280 000 až 320 000 ha „</w:t>
      </w:r>
      <w:r w:rsidRPr="00232F1B">
        <w:rPr>
          <w:b/>
          <w:bCs/>
          <w:szCs w:val="22"/>
          <w:lang w:eastAsia="en-US"/>
        </w:rPr>
        <w:t>bielych plôch</w:t>
      </w:r>
      <w:r w:rsidRPr="00232F1B">
        <w:rPr>
          <w:szCs w:val="22"/>
          <w:lang w:eastAsia="en-US"/>
        </w:rPr>
        <w:t>“ alebo „</w:t>
      </w:r>
      <w:r w:rsidRPr="00232F1B">
        <w:rPr>
          <w:b/>
          <w:bCs/>
          <w:szCs w:val="22"/>
          <w:lang w:eastAsia="en-US"/>
        </w:rPr>
        <w:t>ľahkého  samonáletu</w:t>
      </w:r>
      <w:r w:rsidRPr="00232F1B">
        <w:rPr>
          <w:szCs w:val="22"/>
          <w:lang w:eastAsia="en-US"/>
        </w:rPr>
        <w:t xml:space="preserve">“ a to predovšetkým z veľkej miery na úkor TTP, najmä v marginálnych oblastiach. Táto skutočnosť má priamu súvislosť aj s výrazným </w:t>
      </w:r>
      <w:r w:rsidR="00E74151" w:rsidRPr="00232F1B">
        <w:rPr>
          <w:szCs w:val="22"/>
          <w:lang w:eastAsia="en-US"/>
        </w:rPr>
        <w:t>znížením</w:t>
      </w:r>
      <w:r w:rsidRPr="00232F1B">
        <w:rPr>
          <w:szCs w:val="22"/>
          <w:lang w:eastAsia="en-US"/>
        </w:rPr>
        <w:t xml:space="preserve"> zaťaženia PPF hospodárskymi zvieratami, najmä polygastrickými</w:t>
      </w:r>
      <w:r w:rsidRPr="00232F1B">
        <w:rPr>
          <w:rFonts w:ascii="Calibri" w:hAnsi="Calibri"/>
          <w:szCs w:val="22"/>
          <w:lang w:eastAsia="en-US"/>
        </w:rPr>
        <w:t xml:space="preserve"> (z Návrhu</w:t>
      </w:r>
      <w:r>
        <w:rPr>
          <w:rFonts w:ascii="Calibri" w:hAnsi="Calibri"/>
          <w:color w:val="000000"/>
          <w:szCs w:val="22"/>
          <w:lang w:eastAsia="en-US"/>
        </w:rPr>
        <w:t xml:space="preserve"> uznesenia </w:t>
      </w:r>
      <w:r w:rsidRPr="00A61BE8">
        <w:rPr>
          <w:rFonts w:ascii="Calibri" w:hAnsi="Calibri"/>
          <w:szCs w:val="22"/>
        </w:rPr>
        <w:t>porady vedenia Ministerstva pôdohospodárstva a rozvoja vidieka Slovenskej republiky k materiálu „Návrh vytvorenia systému na využitie plôch nesúladných z hľadiska druhu pozemku so stavom katastra nehnuteľností“ (z 31.05. 2014)</w:t>
      </w:r>
      <w:r>
        <w:rPr>
          <w:rFonts w:ascii="Calibri" w:hAnsi="Calibri"/>
          <w:szCs w:val="22"/>
        </w:rPr>
        <w:t>)</w:t>
      </w:r>
      <w:r w:rsidRPr="00673737">
        <w:rPr>
          <w:color w:val="C00000"/>
          <w:szCs w:val="22"/>
          <w:lang w:eastAsia="en-US"/>
        </w:rPr>
        <w:t>.</w:t>
      </w:r>
    </w:p>
    <w:p w:rsidR="00242C36" w:rsidRDefault="00242C36" w:rsidP="00242C36">
      <w:pPr>
        <w:spacing w:before="120"/>
        <w:rPr>
          <w:rFonts w:ascii="Calibri" w:hAnsi="Calibri"/>
          <w:szCs w:val="22"/>
        </w:rPr>
      </w:pPr>
      <w:r w:rsidRPr="00E43137">
        <w:rPr>
          <w:rFonts w:ascii="Calibri" w:hAnsi="Calibri"/>
          <w:szCs w:val="22"/>
        </w:rPr>
        <w:t>V roku 2010</w:t>
      </w:r>
      <w:r>
        <w:rPr>
          <w:rFonts w:ascii="Calibri" w:hAnsi="Calibri"/>
          <w:szCs w:val="22"/>
        </w:rPr>
        <w:t xml:space="preserve"> evidované poľnohospodárske podniky o</w:t>
      </w:r>
      <w:r w:rsidRPr="00E43137">
        <w:rPr>
          <w:rFonts w:ascii="Calibri" w:hAnsi="Calibri"/>
          <w:szCs w:val="22"/>
        </w:rPr>
        <w:t>bhospodarovali 1 895 500 ha poľnohospodárskej pôdy</w:t>
      </w:r>
      <w:r>
        <w:rPr>
          <w:rFonts w:ascii="Calibri" w:hAnsi="Calibri"/>
          <w:szCs w:val="22"/>
        </w:rPr>
        <w:t xml:space="preserve"> (</w:t>
      </w:r>
      <w:r w:rsidRPr="000C5D38">
        <w:rPr>
          <w:rFonts w:ascii="Calibri" w:hAnsi="Calibri"/>
          <w:b/>
          <w:szCs w:val="22"/>
        </w:rPr>
        <w:t>C</w:t>
      </w:r>
      <w:r>
        <w:rPr>
          <w:rFonts w:ascii="Calibri" w:hAnsi="Calibri"/>
          <w:b/>
          <w:szCs w:val="22"/>
        </w:rPr>
        <w:t>C</w:t>
      </w:r>
      <w:r w:rsidRPr="000C5D38">
        <w:rPr>
          <w:rFonts w:ascii="Calibri" w:hAnsi="Calibri"/>
          <w:b/>
          <w:szCs w:val="22"/>
        </w:rPr>
        <w:t>I 18</w:t>
      </w:r>
      <w:r>
        <w:rPr>
          <w:rFonts w:ascii="Calibri" w:hAnsi="Calibri"/>
          <w:szCs w:val="22"/>
        </w:rPr>
        <w:t>), z toho 71</w:t>
      </w:r>
      <w:r>
        <w:rPr>
          <w:rFonts w:ascii="Calibri" w:hAnsi="Calibri"/>
          <w:szCs w:val="22"/>
          <w:lang w:val="en-US"/>
        </w:rPr>
        <w:t xml:space="preserve">% </w:t>
      </w:r>
      <w:r>
        <w:rPr>
          <w:rFonts w:ascii="Calibri" w:hAnsi="Calibri"/>
          <w:szCs w:val="22"/>
        </w:rPr>
        <w:t>bola or</w:t>
      </w:r>
      <w:r w:rsidRPr="00411D9F">
        <w:rPr>
          <w:rFonts w:ascii="Calibri" w:hAnsi="Calibri"/>
          <w:szCs w:val="22"/>
        </w:rPr>
        <w:t>ná p</w:t>
      </w:r>
      <w:r>
        <w:rPr>
          <w:rFonts w:ascii="Calibri" w:hAnsi="Calibri"/>
          <w:szCs w:val="22"/>
        </w:rPr>
        <w:t xml:space="preserve">ôda, 28% TTP a 1% trvalé kultúry. </w:t>
      </w:r>
      <w:r w:rsidRPr="00E43137">
        <w:rPr>
          <w:rFonts w:ascii="Calibri" w:hAnsi="Calibri"/>
          <w:szCs w:val="22"/>
        </w:rPr>
        <w:t xml:space="preserve"> Početne väčšinovú skupinu </w:t>
      </w:r>
      <w:r>
        <w:rPr>
          <w:rFonts w:ascii="Calibri" w:hAnsi="Calibri"/>
          <w:szCs w:val="22"/>
        </w:rPr>
        <w:t>z evidovaných fariem (</w:t>
      </w:r>
      <w:r w:rsidRPr="009F609A">
        <w:rPr>
          <w:rFonts w:ascii="Calibri" w:hAnsi="Calibri"/>
          <w:b/>
          <w:szCs w:val="22"/>
        </w:rPr>
        <w:t>CCI 17</w:t>
      </w:r>
      <w:r>
        <w:rPr>
          <w:rFonts w:ascii="Calibri" w:hAnsi="Calibri"/>
          <w:szCs w:val="22"/>
        </w:rPr>
        <w:t>) s podielom 90,7</w:t>
      </w:r>
      <w:r w:rsidRPr="00E43137">
        <w:rPr>
          <w:rFonts w:ascii="Calibri" w:hAnsi="Calibri"/>
          <w:szCs w:val="22"/>
        </w:rPr>
        <w:t xml:space="preserve"> % tvorili podniky fyzických osôb a to registrovaných a neregistrovaných. Z hľadiska obhospodarovanej pôdy podniky právnických osôb obhospodarovali 80,7 % poľnohospodárskej pôdy, ale na celkovom počte podnikov sa podieľali len 9,3 %</w:t>
      </w:r>
      <w:r>
        <w:rPr>
          <w:rFonts w:ascii="Calibri" w:hAnsi="Calibri"/>
          <w:szCs w:val="22"/>
        </w:rPr>
        <w:t xml:space="preserve"> (</w:t>
      </w:r>
      <w:r w:rsidRPr="00C83837">
        <w:rPr>
          <w:rFonts w:ascii="Calibri" w:hAnsi="Calibri"/>
          <w:b/>
          <w:szCs w:val="22"/>
        </w:rPr>
        <w:t>C</w:t>
      </w:r>
      <w:r w:rsidRPr="000C5D38">
        <w:rPr>
          <w:rFonts w:ascii="Calibri" w:hAnsi="Calibri"/>
          <w:b/>
          <w:szCs w:val="22"/>
        </w:rPr>
        <w:t>CI 18</w:t>
      </w:r>
      <w:r>
        <w:rPr>
          <w:rFonts w:ascii="Calibri" w:hAnsi="Calibri"/>
          <w:b/>
          <w:szCs w:val="22"/>
        </w:rPr>
        <w:t>, CCI 17</w:t>
      </w:r>
      <w:r>
        <w:rPr>
          <w:rFonts w:ascii="Calibri" w:hAnsi="Calibri"/>
          <w:szCs w:val="22"/>
        </w:rPr>
        <w:t>)</w:t>
      </w:r>
      <w:r w:rsidRPr="00E43137">
        <w:rPr>
          <w:rFonts w:ascii="Calibri" w:hAnsi="Calibri"/>
          <w:szCs w:val="22"/>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70"/>
        <w:gridCol w:w="3071"/>
        <w:gridCol w:w="3071"/>
      </w:tblGrid>
      <w:tr w:rsidR="00242C36" w:rsidRPr="00E43137" w:rsidTr="00242C36">
        <w:tc>
          <w:tcPr>
            <w:tcW w:w="3070" w:type="dxa"/>
            <w:shd w:val="clear" w:color="auto" w:fill="auto"/>
          </w:tcPr>
          <w:p w:rsidR="00242C36" w:rsidRPr="00E43137" w:rsidRDefault="00242C36" w:rsidP="00242C36">
            <w:pPr>
              <w:spacing w:after="120"/>
              <w:rPr>
                <w:rFonts w:ascii="Calibri" w:eastAsia="Calibri" w:hAnsi="Calibri"/>
                <w:b/>
                <w:sz w:val="18"/>
                <w:szCs w:val="18"/>
                <w:lang w:eastAsia="en-US"/>
              </w:rPr>
            </w:pPr>
            <w:r w:rsidRPr="00E43137">
              <w:rPr>
                <w:rFonts w:ascii="Calibri" w:eastAsia="Calibri" w:hAnsi="Calibri"/>
                <w:b/>
                <w:sz w:val="18"/>
                <w:szCs w:val="18"/>
                <w:lang w:eastAsia="en-US"/>
              </w:rPr>
              <w:t>Pôda</w:t>
            </w:r>
          </w:p>
        </w:tc>
        <w:tc>
          <w:tcPr>
            <w:tcW w:w="3071" w:type="dxa"/>
            <w:shd w:val="clear" w:color="auto" w:fill="auto"/>
          </w:tcPr>
          <w:p w:rsidR="00242C36" w:rsidRPr="00E43137" w:rsidRDefault="00242C36" w:rsidP="00242C36">
            <w:pPr>
              <w:spacing w:after="120"/>
              <w:rPr>
                <w:rFonts w:ascii="Calibri" w:eastAsia="Calibri" w:hAnsi="Calibri"/>
                <w:b/>
                <w:sz w:val="18"/>
                <w:szCs w:val="18"/>
                <w:lang w:eastAsia="en-US"/>
              </w:rPr>
            </w:pPr>
            <w:r w:rsidRPr="00E43137">
              <w:rPr>
                <w:rFonts w:ascii="Calibri" w:eastAsia="Calibri" w:hAnsi="Calibri"/>
                <w:b/>
                <w:sz w:val="18"/>
                <w:szCs w:val="18"/>
                <w:lang w:eastAsia="en-US"/>
              </w:rPr>
              <w:t>V ha</w:t>
            </w:r>
          </w:p>
        </w:tc>
        <w:tc>
          <w:tcPr>
            <w:tcW w:w="3071" w:type="dxa"/>
            <w:shd w:val="clear" w:color="auto" w:fill="auto"/>
          </w:tcPr>
          <w:p w:rsidR="00242C36" w:rsidRPr="00E43137" w:rsidRDefault="00242C36" w:rsidP="00242C36">
            <w:pPr>
              <w:spacing w:after="120"/>
              <w:rPr>
                <w:rFonts w:ascii="Calibri" w:eastAsia="Calibri" w:hAnsi="Calibri"/>
                <w:b/>
                <w:sz w:val="18"/>
                <w:szCs w:val="18"/>
                <w:lang w:eastAsia="en-US"/>
              </w:rPr>
            </w:pPr>
            <w:r w:rsidRPr="00E43137">
              <w:rPr>
                <w:rFonts w:ascii="Calibri" w:eastAsia="Calibri" w:hAnsi="Calibri"/>
                <w:b/>
                <w:sz w:val="18"/>
                <w:szCs w:val="18"/>
                <w:lang w:eastAsia="en-US"/>
              </w:rPr>
              <w:t>Podiel v %</w:t>
            </w:r>
          </w:p>
        </w:tc>
      </w:tr>
      <w:tr w:rsidR="00242C36" w:rsidRPr="00E43137" w:rsidTr="00242C36">
        <w:tc>
          <w:tcPr>
            <w:tcW w:w="3070" w:type="dxa"/>
            <w:shd w:val="clear" w:color="auto" w:fill="auto"/>
          </w:tcPr>
          <w:p w:rsidR="00242C36" w:rsidRPr="00E43137" w:rsidRDefault="00242C36" w:rsidP="00242C36">
            <w:pPr>
              <w:spacing w:after="120"/>
              <w:rPr>
                <w:rFonts w:ascii="Calibri" w:eastAsia="Calibri" w:hAnsi="Calibri"/>
                <w:b/>
                <w:sz w:val="18"/>
                <w:szCs w:val="18"/>
                <w:lang w:eastAsia="en-US"/>
              </w:rPr>
            </w:pPr>
            <w:r w:rsidRPr="00E43137">
              <w:rPr>
                <w:rFonts w:ascii="Calibri" w:eastAsia="Calibri" w:hAnsi="Calibri"/>
                <w:b/>
                <w:sz w:val="18"/>
                <w:szCs w:val="18"/>
                <w:lang w:eastAsia="en-US"/>
              </w:rPr>
              <w:t>Právnické osoby</w:t>
            </w:r>
          </w:p>
        </w:tc>
        <w:tc>
          <w:tcPr>
            <w:tcW w:w="3071" w:type="dxa"/>
            <w:shd w:val="clear" w:color="auto" w:fill="auto"/>
          </w:tcPr>
          <w:p w:rsidR="00242C36" w:rsidRPr="00E43137" w:rsidRDefault="00242C36" w:rsidP="00242C36">
            <w:pPr>
              <w:spacing w:after="120"/>
              <w:rPr>
                <w:rFonts w:ascii="Calibri" w:eastAsia="Calibri" w:hAnsi="Calibri"/>
                <w:sz w:val="18"/>
                <w:szCs w:val="18"/>
                <w:lang w:eastAsia="en-US"/>
              </w:rPr>
            </w:pPr>
            <w:r w:rsidRPr="00E43137">
              <w:rPr>
                <w:rFonts w:ascii="Calibri" w:eastAsia="Calibri" w:hAnsi="Calibri"/>
                <w:sz w:val="18"/>
                <w:szCs w:val="18"/>
                <w:lang w:eastAsia="en-US"/>
              </w:rPr>
              <w:t>1 529083</w:t>
            </w:r>
          </w:p>
        </w:tc>
        <w:tc>
          <w:tcPr>
            <w:tcW w:w="3071" w:type="dxa"/>
            <w:shd w:val="clear" w:color="auto" w:fill="auto"/>
          </w:tcPr>
          <w:p w:rsidR="00242C36" w:rsidRPr="00E43137" w:rsidRDefault="00242C36" w:rsidP="00242C36">
            <w:pPr>
              <w:spacing w:after="120"/>
              <w:rPr>
                <w:rFonts w:ascii="Calibri" w:eastAsia="Calibri" w:hAnsi="Calibri"/>
                <w:sz w:val="18"/>
                <w:szCs w:val="18"/>
                <w:lang w:eastAsia="en-US"/>
              </w:rPr>
            </w:pPr>
            <w:r w:rsidRPr="00E43137">
              <w:rPr>
                <w:rFonts w:ascii="Calibri" w:eastAsia="Calibri" w:hAnsi="Calibri"/>
                <w:sz w:val="18"/>
                <w:szCs w:val="18"/>
                <w:lang w:eastAsia="en-US"/>
              </w:rPr>
              <w:t>80,7</w:t>
            </w:r>
          </w:p>
        </w:tc>
      </w:tr>
      <w:tr w:rsidR="00242C36" w:rsidRPr="00E43137" w:rsidTr="00242C36">
        <w:tc>
          <w:tcPr>
            <w:tcW w:w="3070" w:type="dxa"/>
            <w:shd w:val="clear" w:color="auto" w:fill="auto"/>
          </w:tcPr>
          <w:p w:rsidR="00242C36" w:rsidRPr="00E43137" w:rsidRDefault="00242C36" w:rsidP="00242C36">
            <w:pPr>
              <w:spacing w:after="120"/>
              <w:rPr>
                <w:rFonts w:ascii="Calibri" w:eastAsia="Calibri" w:hAnsi="Calibri"/>
                <w:b/>
                <w:sz w:val="18"/>
                <w:szCs w:val="18"/>
                <w:lang w:eastAsia="en-US"/>
              </w:rPr>
            </w:pPr>
            <w:r w:rsidRPr="00E43137">
              <w:rPr>
                <w:rFonts w:ascii="Calibri" w:eastAsia="Calibri" w:hAnsi="Calibri"/>
                <w:b/>
                <w:sz w:val="18"/>
                <w:szCs w:val="18"/>
                <w:lang w:eastAsia="en-US"/>
              </w:rPr>
              <w:t>Fyzické osoby</w:t>
            </w:r>
          </w:p>
        </w:tc>
        <w:tc>
          <w:tcPr>
            <w:tcW w:w="3071" w:type="dxa"/>
            <w:shd w:val="clear" w:color="auto" w:fill="auto"/>
          </w:tcPr>
          <w:p w:rsidR="00242C36" w:rsidRPr="00E43137" w:rsidRDefault="00242C36" w:rsidP="00242C36">
            <w:pPr>
              <w:spacing w:after="120"/>
              <w:rPr>
                <w:rFonts w:ascii="Calibri" w:eastAsia="Calibri" w:hAnsi="Calibri"/>
                <w:sz w:val="18"/>
                <w:szCs w:val="18"/>
                <w:lang w:eastAsia="en-US"/>
              </w:rPr>
            </w:pPr>
            <w:r w:rsidRPr="00E43137">
              <w:rPr>
                <w:rFonts w:ascii="Calibri" w:eastAsia="Calibri" w:hAnsi="Calibri"/>
                <w:sz w:val="18"/>
                <w:szCs w:val="18"/>
                <w:lang w:eastAsia="en-US"/>
              </w:rPr>
              <w:t>366417</w:t>
            </w:r>
          </w:p>
        </w:tc>
        <w:tc>
          <w:tcPr>
            <w:tcW w:w="3071" w:type="dxa"/>
            <w:shd w:val="clear" w:color="auto" w:fill="auto"/>
          </w:tcPr>
          <w:p w:rsidR="00242C36" w:rsidRPr="00E43137" w:rsidRDefault="00242C36" w:rsidP="00242C36">
            <w:pPr>
              <w:spacing w:after="120"/>
              <w:rPr>
                <w:rFonts w:ascii="Calibri" w:eastAsia="Calibri" w:hAnsi="Calibri"/>
                <w:sz w:val="18"/>
                <w:szCs w:val="18"/>
                <w:lang w:eastAsia="en-US"/>
              </w:rPr>
            </w:pPr>
            <w:r w:rsidRPr="00E43137">
              <w:rPr>
                <w:rFonts w:ascii="Calibri" w:eastAsia="Calibri" w:hAnsi="Calibri"/>
                <w:sz w:val="18"/>
                <w:szCs w:val="18"/>
                <w:lang w:eastAsia="en-US"/>
              </w:rPr>
              <w:t>19,3</w:t>
            </w:r>
          </w:p>
        </w:tc>
      </w:tr>
      <w:tr w:rsidR="00242C36" w:rsidRPr="00E43137" w:rsidTr="00242C36">
        <w:tc>
          <w:tcPr>
            <w:tcW w:w="3070" w:type="dxa"/>
            <w:shd w:val="clear" w:color="auto" w:fill="auto"/>
          </w:tcPr>
          <w:p w:rsidR="00242C36" w:rsidRPr="00E43137" w:rsidRDefault="00242C36" w:rsidP="00242C36">
            <w:pPr>
              <w:spacing w:after="120"/>
              <w:rPr>
                <w:rFonts w:ascii="Calibri" w:eastAsia="Calibri" w:hAnsi="Calibri"/>
                <w:b/>
                <w:sz w:val="18"/>
                <w:szCs w:val="18"/>
                <w:lang w:eastAsia="en-US"/>
              </w:rPr>
            </w:pPr>
            <w:r w:rsidRPr="00E43137">
              <w:rPr>
                <w:rFonts w:ascii="Calibri" w:eastAsia="Calibri" w:hAnsi="Calibri"/>
                <w:b/>
                <w:sz w:val="18"/>
                <w:szCs w:val="18"/>
                <w:lang w:eastAsia="en-US"/>
              </w:rPr>
              <w:t>Spolu</w:t>
            </w:r>
            <w:r>
              <w:rPr>
                <w:rFonts w:ascii="Calibri" w:eastAsia="Calibri" w:hAnsi="Calibri"/>
                <w:b/>
                <w:sz w:val="18"/>
                <w:szCs w:val="18"/>
                <w:lang w:eastAsia="en-US"/>
              </w:rPr>
              <w:t xml:space="preserve"> (UAA Cl18)</w:t>
            </w:r>
          </w:p>
        </w:tc>
        <w:tc>
          <w:tcPr>
            <w:tcW w:w="3071" w:type="dxa"/>
            <w:shd w:val="clear" w:color="auto" w:fill="auto"/>
          </w:tcPr>
          <w:p w:rsidR="00242C36" w:rsidRPr="00E43137" w:rsidRDefault="00242C36" w:rsidP="00242C36">
            <w:pPr>
              <w:spacing w:after="120"/>
              <w:rPr>
                <w:rFonts w:ascii="Calibri" w:eastAsia="Calibri" w:hAnsi="Calibri"/>
                <w:sz w:val="18"/>
                <w:szCs w:val="18"/>
                <w:lang w:eastAsia="en-US"/>
              </w:rPr>
            </w:pPr>
            <w:r w:rsidRPr="00E43137">
              <w:rPr>
                <w:rFonts w:ascii="Calibri" w:eastAsia="Calibri" w:hAnsi="Calibri"/>
                <w:sz w:val="18"/>
                <w:szCs w:val="18"/>
                <w:lang w:eastAsia="en-US"/>
              </w:rPr>
              <w:t>1 895500</w:t>
            </w:r>
          </w:p>
        </w:tc>
        <w:tc>
          <w:tcPr>
            <w:tcW w:w="3071" w:type="dxa"/>
            <w:shd w:val="clear" w:color="auto" w:fill="auto"/>
          </w:tcPr>
          <w:p w:rsidR="00242C36" w:rsidRPr="00E43137" w:rsidRDefault="00242C36" w:rsidP="00242C36">
            <w:pPr>
              <w:spacing w:after="120"/>
              <w:rPr>
                <w:rFonts w:ascii="Calibri" w:eastAsia="Calibri" w:hAnsi="Calibri"/>
                <w:sz w:val="18"/>
                <w:szCs w:val="18"/>
                <w:lang w:eastAsia="en-US"/>
              </w:rPr>
            </w:pPr>
            <w:r w:rsidRPr="00E43137">
              <w:rPr>
                <w:rFonts w:ascii="Calibri" w:eastAsia="Calibri" w:hAnsi="Calibri"/>
                <w:sz w:val="18"/>
                <w:szCs w:val="18"/>
                <w:lang w:eastAsia="en-US"/>
              </w:rPr>
              <w:t>100</w:t>
            </w:r>
          </w:p>
        </w:tc>
      </w:tr>
    </w:tbl>
    <w:p w:rsidR="00242C36" w:rsidRPr="00754C88" w:rsidRDefault="00242C36" w:rsidP="00242C36">
      <w:pPr>
        <w:rPr>
          <w:rFonts w:ascii="Calibri" w:hAnsi="Calibri"/>
          <w:sz w:val="20"/>
          <w:szCs w:val="20"/>
        </w:rPr>
      </w:pPr>
      <w:r w:rsidRPr="00754C88">
        <w:rPr>
          <w:rFonts w:ascii="Calibri" w:hAnsi="Calibri"/>
          <w:sz w:val="20"/>
          <w:szCs w:val="20"/>
        </w:rPr>
        <w:t>Prameň: ŠÚ SR</w:t>
      </w:r>
    </w:p>
    <w:p w:rsidR="00242C36" w:rsidRDefault="00242C36" w:rsidP="00242C36">
      <w:pPr>
        <w:rPr>
          <w:rFonts w:ascii="Calibri" w:hAnsi="Calibri"/>
          <w:szCs w:val="22"/>
        </w:rPr>
      </w:pPr>
    </w:p>
    <w:p w:rsidR="00242C36" w:rsidRPr="00E43137" w:rsidRDefault="00242C36" w:rsidP="00242C36">
      <w:pPr>
        <w:rPr>
          <w:rFonts w:ascii="Calibri" w:hAnsi="Calibri"/>
          <w:szCs w:val="22"/>
        </w:rPr>
      </w:pPr>
      <w:r w:rsidRPr="00E43137">
        <w:rPr>
          <w:rFonts w:ascii="Calibri" w:hAnsi="Calibri"/>
          <w:szCs w:val="22"/>
        </w:rPr>
        <w:t>Najpočetnejšiu skupinu (38,7 %) tvorili farmy hospodáriace na výmere nižšej ako 2 ha p. p. Potom nasledujú farmy s výmerou od 2 do 4,9 ha p. p. (25,7 %) a farmy s výmerou od 5 do 9,9 ha p. p. (10,9 %). Počet fariem s výmerou väčšou a</w:t>
      </w:r>
      <w:r>
        <w:rPr>
          <w:rFonts w:ascii="Calibri" w:hAnsi="Calibri"/>
          <w:szCs w:val="22"/>
        </w:rPr>
        <w:t>ko 100 ha p. p. dosiahol 9,0 % (zdroj: ŠÚ SR, Poľ.</w:t>
      </w:r>
      <w:r w:rsidR="00E74151">
        <w:rPr>
          <w:rFonts w:ascii="Calibri" w:hAnsi="Calibri"/>
          <w:szCs w:val="22"/>
        </w:rPr>
        <w:t xml:space="preserve"> </w:t>
      </w:r>
      <w:r>
        <w:rPr>
          <w:rFonts w:ascii="Calibri" w:hAnsi="Calibri"/>
          <w:szCs w:val="22"/>
        </w:rPr>
        <w:t>cenzus fariem za rok 2010).</w:t>
      </w:r>
    </w:p>
    <w:p w:rsidR="00242C36" w:rsidRDefault="00242C36" w:rsidP="00242C36">
      <w:pPr>
        <w:spacing w:before="120"/>
        <w:rPr>
          <w:rFonts w:ascii="Calibri" w:hAnsi="Calibri"/>
          <w:szCs w:val="22"/>
        </w:rPr>
      </w:pPr>
      <w:r>
        <w:rPr>
          <w:rFonts w:ascii="Calibri" w:hAnsi="Calibri"/>
          <w:szCs w:val="22"/>
        </w:rPr>
        <w:t>Z celkovej výmery využívanej pôdy je využitých 7 048,10 ha na ovocné sady, z toho intenzívne sady tvoria 4 853,88 ha a extenzívne sady 2 194,22 (r.2012, zdroj: Situačná a výhľadová správa - Ovocie, VÚEPP). Hlavnými odrodami sú jablká a broskyne (92</w:t>
      </w:r>
      <w:r>
        <w:rPr>
          <w:rFonts w:ascii="Calibri" w:hAnsi="Calibri"/>
          <w:szCs w:val="22"/>
          <w:lang w:val="en-US"/>
        </w:rPr>
        <w:t>% v r.2012</w:t>
      </w:r>
      <w:r>
        <w:rPr>
          <w:rFonts w:ascii="Calibri" w:hAnsi="Calibri"/>
          <w:szCs w:val="22"/>
        </w:rPr>
        <w:t>).  V porovnaní s predchádzajúcimi rokmi výmera neustále klesá, v r.2004 bolo využívaných 9 360 ha čistej výmery pre ovocné sady. Dôvodom poklesu je likvidácia starých, neperspektívnych a nerodiacich sadov. Na druhej strana v</w:t>
      </w:r>
      <w:r w:rsidRPr="00FA46CE">
        <w:rPr>
          <w:rFonts w:ascii="Calibri" w:hAnsi="Calibri"/>
          <w:szCs w:val="22"/>
        </w:rPr>
        <w:t xml:space="preserve"> roku 2012 sa po predchádzajúcom poklese plocha ovocných rodiacich sadov zväčšila, a to </w:t>
      </w:r>
      <w:r>
        <w:rPr>
          <w:rFonts w:ascii="Calibri" w:hAnsi="Calibri"/>
          <w:szCs w:val="22"/>
        </w:rPr>
        <w:t>o 1 259 ha (+27,6 %) (r. 2011: 4 562 ha), k čomu prispeli aj podporené investície do ovocných sadov z PRV 2007-2013 (</w:t>
      </w:r>
      <w:r w:rsidRPr="00FA46CE">
        <w:rPr>
          <w:rFonts w:ascii="Calibri" w:hAnsi="Calibri"/>
          <w:szCs w:val="22"/>
        </w:rPr>
        <w:t xml:space="preserve">Opatrenie 1.1: modernizácia fariem </w:t>
      </w:r>
      <w:r>
        <w:rPr>
          <w:rFonts w:ascii="Calibri" w:hAnsi="Calibri"/>
          <w:szCs w:val="22"/>
        </w:rPr>
        <w:t xml:space="preserve"> </w:t>
      </w:r>
      <w:r w:rsidRPr="00FA46CE">
        <w:rPr>
          <w:rFonts w:ascii="Calibri" w:hAnsi="Calibri"/>
          <w:szCs w:val="22"/>
        </w:rPr>
        <w:t xml:space="preserve">v rámci tohto opatrenia poskytla PPA k 31.12.2012 v sektore ovocia podporu na 50 projektov </w:t>
      </w:r>
      <w:r>
        <w:rPr>
          <w:rFonts w:ascii="Calibri" w:hAnsi="Calibri"/>
          <w:szCs w:val="22"/>
        </w:rPr>
        <w:t xml:space="preserve">7 786 932,05 €, </w:t>
      </w:r>
      <w:r w:rsidRPr="00FA46CE">
        <w:rPr>
          <w:rFonts w:ascii="Calibri" w:hAnsi="Calibri"/>
          <w:szCs w:val="22"/>
        </w:rPr>
        <w:t xml:space="preserve">Opatrenie 1.2: pridávanie hodnoty do produktov poľnohospodárstva a lesného hospodárstva poskytla PPA k 31.12.2012 v sektore ovocia a zeleniny podporu na 34 projektov </w:t>
      </w:r>
      <w:r>
        <w:rPr>
          <w:rFonts w:ascii="Calibri" w:hAnsi="Calibri"/>
          <w:szCs w:val="22"/>
        </w:rPr>
        <w:t xml:space="preserve"> 25 243 905,46 €., zdroj: Situačná a výhľadová správa - Ovocie, VÚEPP, r.2013). </w:t>
      </w:r>
      <w:r w:rsidRPr="00211BA9">
        <w:rPr>
          <w:rFonts w:ascii="Calibri" w:hAnsi="Calibri"/>
          <w:szCs w:val="22"/>
        </w:rPr>
        <w:t xml:space="preserve">Zavádzanie nových progresívnych technológií s novými vysoko produkčnými odrodami ovocia zabezpečilo zvýšenie objemu </w:t>
      </w:r>
      <w:r>
        <w:rPr>
          <w:rFonts w:ascii="Calibri" w:hAnsi="Calibri"/>
          <w:szCs w:val="22"/>
        </w:rPr>
        <w:t xml:space="preserve">produkcie ovocia v r.2012. </w:t>
      </w:r>
      <w:r w:rsidRPr="00211BA9">
        <w:rPr>
          <w:rFonts w:ascii="Calibri" w:hAnsi="Calibri"/>
          <w:szCs w:val="22"/>
        </w:rPr>
        <w:t>Na pokrytie domácej spotreby ovocia je v rámci obnovy a rekonštrukcie sadov potreba vysadiť</w:t>
      </w:r>
      <w:r>
        <w:rPr>
          <w:rFonts w:ascii="Calibri" w:hAnsi="Calibri"/>
          <w:szCs w:val="22"/>
        </w:rPr>
        <w:t xml:space="preserve"> 4 000 – 5000 ha ovocných sadov (zdroj: </w:t>
      </w:r>
      <w:r w:rsidRPr="00211BA9">
        <w:rPr>
          <w:rFonts w:ascii="Calibri" w:hAnsi="Calibri"/>
          <w:szCs w:val="22"/>
        </w:rPr>
        <w:t xml:space="preserve"> </w:t>
      </w:r>
      <w:r>
        <w:rPr>
          <w:rFonts w:ascii="Calibri" w:hAnsi="Calibri"/>
          <w:szCs w:val="22"/>
        </w:rPr>
        <w:t xml:space="preserve">Situačná a výhľadová správa - Ovocie, VÚEPP, r.2013). </w:t>
      </w:r>
    </w:p>
    <w:p w:rsidR="00242C36" w:rsidRPr="00E43137" w:rsidRDefault="00242C36" w:rsidP="00242C36">
      <w:pPr>
        <w:spacing w:before="120"/>
        <w:rPr>
          <w:rFonts w:ascii="Calibri" w:hAnsi="Calibri"/>
          <w:bCs/>
          <w:szCs w:val="22"/>
        </w:rPr>
      </w:pPr>
      <w:r>
        <w:rPr>
          <w:rFonts w:ascii="Calibri" w:hAnsi="Calibri"/>
          <w:szCs w:val="22"/>
        </w:rPr>
        <w:t>Podiel využívanej poľnohospodárske pôdy v ekologickej poľnohospodárskej výrobe (EPV) na celkovej výmere UAA bol v r. 2010 9,6  % (a v r</w:t>
      </w:r>
      <w:r w:rsidRPr="00DB3EFD">
        <w:rPr>
          <w:rFonts w:ascii="Calibri" w:hAnsi="Calibri"/>
          <w:szCs w:val="22"/>
        </w:rPr>
        <w:t>. 2012 8,11%) z toho</w:t>
      </w:r>
      <w:r w:rsidRPr="0032299C">
        <w:rPr>
          <w:rFonts w:ascii="Calibri" w:hAnsi="Calibri"/>
          <w:szCs w:val="22"/>
        </w:rPr>
        <w:t xml:space="preserve"> 166 023 ha certifikovaných a 2 579 v konverzii (</w:t>
      </w:r>
      <w:r w:rsidRPr="00F26B9B">
        <w:rPr>
          <w:rFonts w:ascii="Calibri" w:hAnsi="Calibri"/>
          <w:b/>
          <w:szCs w:val="22"/>
        </w:rPr>
        <w:t>C</w:t>
      </w:r>
      <w:r>
        <w:rPr>
          <w:rFonts w:ascii="Calibri" w:hAnsi="Calibri"/>
          <w:b/>
          <w:szCs w:val="22"/>
        </w:rPr>
        <w:t>C</w:t>
      </w:r>
      <w:r w:rsidRPr="00F26B9B">
        <w:rPr>
          <w:rFonts w:ascii="Calibri" w:hAnsi="Calibri"/>
          <w:b/>
          <w:szCs w:val="22"/>
        </w:rPr>
        <w:t>I 19</w:t>
      </w:r>
      <w:r>
        <w:rPr>
          <w:rFonts w:ascii="Calibri" w:hAnsi="Calibri"/>
          <w:szCs w:val="22"/>
        </w:rPr>
        <w:t xml:space="preserve">).  Tento podiel do r.2011 každoročne stúpal, ako </w:t>
      </w:r>
      <w:r w:rsidRPr="00E43137">
        <w:rPr>
          <w:rFonts w:ascii="Calibri" w:hAnsi="Calibri"/>
          <w:bCs/>
          <w:szCs w:val="22"/>
        </w:rPr>
        <w:t>uvádza nasledovná tabuľka, najmä vplyvom podpôr</w:t>
      </w:r>
      <w:r w:rsidRPr="00E43137">
        <w:rPr>
          <w:rFonts w:ascii="Calibri" w:hAnsi="Calibri"/>
          <w:b/>
          <w:bCs/>
          <w:szCs w:val="22"/>
        </w:rPr>
        <w:t xml:space="preserve"> </w:t>
      </w:r>
      <w:r w:rsidRPr="00E43137">
        <w:rPr>
          <w:rFonts w:ascii="Calibri" w:hAnsi="Calibri"/>
          <w:bCs/>
          <w:szCs w:val="22"/>
        </w:rPr>
        <w:t>PRV SR 2007-2013.</w:t>
      </w:r>
      <w:r>
        <w:rPr>
          <w:rFonts w:ascii="Calibri" w:hAnsi="Calibri"/>
          <w:bCs/>
          <w:szCs w:val="22"/>
        </w:rPr>
        <w:t xml:space="preserve"> Od r.2012 začína celková výmera v EPV klesať. Pravdepodobnou príčinou tohto poklesu  je ukončenie 5 ročných záväzkov u podporených prijímateľov. </w:t>
      </w:r>
    </w:p>
    <w:p w:rsidR="00242C36" w:rsidRPr="00DA64BD" w:rsidRDefault="00242C36" w:rsidP="00242C36">
      <w:pPr>
        <w:widowControl w:val="0"/>
        <w:pBdr>
          <w:bar w:val="single" w:sz="6" w:color="808080"/>
        </w:pBdr>
        <w:spacing w:before="120"/>
        <w:outlineLvl w:val="1"/>
        <w:rPr>
          <w:rFonts w:ascii="Calibri" w:hAnsi="Calibri"/>
          <w:bCs/>
          <w:i/>
          <w:szCs w:val="22"/>
        </w:rPr>
      </w:pPr>
      <w:r w:rsidRPr="00DA64BD">
        <w:rPr>
          <w:rFonts w:ascii="Calibri" w:hAnsi="Calibri"/>
          <w:bCs/>
          <w:szCs w:val="22"/>
        </w:rPr>
        <w:t>Vývoj výmery p.p. evidovanej v EPV poľnohospodárskej pôdy podľa druhu pozemku evidovanej v EPV v SR za roky 2007 – 2011 v</w:t>
      </w:r>
      <w:r>
        <w:rPr>
          <w:rFonts w:ascii="Calibri" w:hAnsi="Calibri"/>
          <w:bCs/>
          <w:szCs w:val="22"/>
        </w:rPr>
        <w:t> </w:t>
      </w:r>
      <w:r w:rsidRPr="00DA64BD">
        <w:rPr>
          <w:rFonts w:ascii="Calibri" w:hAnsi="Calibri"/>
          <w:bCs/>
          <w:szCs w:val="22"/>
        </w:rPr>
        <w:t>ha</w:t>
      </w:r>
      <w:r>
        <w:rPr>
          <w:rFonts w:ascii="Calibri" w:hAnsi="Calibri"/>
          <w:bCs/>
          <w:szCs w:val="22"/>
        </w:rPr>
        <w:t>:</w:t>
      </w:r>
    </w:p>
    <w:tbl>
      <w:tblPr>
        <w:tblW w:w="0" w:type="auto"/>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869"/>
        <w:gridCol w:w="1048"/>
        <w:gridCol w:w="1048"/>
        <w:gridCol w:w="1048"/>
        <w:gridCol w:w="1048"/>
        <w:gridCol w:w="1048"/>
        <w:gridCol w:w="1048"/>
      </w:tblGrid>
      <w:tr w:rsidR="00242C36" w:rsidRPr="00E43137" w:rsidTr="00242C36">
        <w:trPr>
          <w:trHeight w:val="194"/>
        </w:trPr>
        <w:tc>
          <w:tcPr>
            <w:tcW w:w="0" w:type="auto"/>
            <w:shd w:val="clear" w:color="auto" w:fill="auto"/>
            <w:vAlign w:val="center"/>
          </w:tcPr>
          <w:p w:rsidR="00242C36" w:rsidRPr="00E43137" w:rsidRDefault="00242C36" w:rsidP="00242C36">
            <w:pPr>
              <w:keepNext/>
              <w:keepLines/>
              <w:pBdr>
                <w:bar w:val="single" w:sz="6" w:color="808080"/>
              </w:pBdr>
              <w:outlineLvl w:val="1"/>
              <w:rPr>
                <w:rFonts w:ascii="Calibri" w:hAnsi="Calibri"/>
                <w:b/>
                <w:bCs/>
                <w:sz w:val="20"/>
              </w:rPr>
            </w:pPr>
            <w:r w:rsidRPr="00E43137">
              <w:rPr>
                <w:rFonts w:ascii="Calibri" w:hAnsi="Calibri"/>
                <w:b/>
                <w:bCs/>
                <w:sz w:val="20"/>
                <w:szCs w:val="22"/>
              </w:rPr>
              <w:t xml:space="preserve">Poľn. pôda podľa druhu pozemku </w:t>
            </w:r>
          </w:p>
        </w:tc>
        <w:tc>
          <w:tcPr>
            <w:tcW w:w="0" w:type="auto"/>
            <w:vAlign w:val="center"/>
          </w:tcPr>
          <w:p w:rsidR="00242C36" w:rsidRPr="00DA64BD" w:rsidRDefault="00242C36" w:rsidP="00242C36">
            <w:pPr>
              <w:keepNext/>
              <w:keepLines/>
              <w:pBdr>
                <w:bar w:val="single" w:sz="6" w:color="808080"/>
              </w:pBdr>
              <w:outlineLvl w:val="1"/>
              <w:rPr>
                <w:rFonts w:ascii="Calibri" w:hAnsi="Calibri"/>
                <w:b/>
                <w:bCs/>
                <w:sz w:val="20"/>
                <w:szCs w:val="20"/>
              </w:rPr>
            </w:pPr>
            <w:r w:rsidRPr="00DA64BD">
              <w:rPr>
                <w:rFonts w:ascii="Calibri" w:hAnsi="Calibri"/>
                <w:b/>
                <w:bCs/>
                <w:sz w:val="20"/>
                <w:szCs w:val="20"/>
              </w:rPr>
              <w:t>2007</w:t>
            </w:r>
          </w:p>
        </w:tc>
        <w:tc>
          <w:tcPr>
            <w:tcW w:w="0" w:type="auto"/>
            <w:vAlign w:val="center"/>
          </w:tcPr>
          <w:p w:rsidR="00242C36" w:rsidRPr="00DA64BD" w:rsidRDefault="00242C36" w:rsidP="00242C36">
            <w:pPr>
              <w:keepNext/>
              <w:keepLines/>
              <w:pBdr>
                <w:bar w:val="single" w:sz="6" w:color="808080"/>
              </w:pBdr>
              <w:outlineLvl w:val="1"/>
              <w:rPr>
                <w:rFonts w:ascii="Calibri" w:hAnsi="Calibri"/>
                <w:b/>
                <w:bCs/>
                <w:sz w:val="20"/>
                <w:szCs w:val="20"/>
              </w:rPr>
            </w:pPr>
            <w:r w:rsidRPr="00DA64BD">
              <w:rPr>
                <w:rFonts w:ascii="Calibri" w:hAnsi="Calibri"/>
                <w:b/>
                <w:bCs/>
                <w:sz w:val="20"/>
                <w:szCs w:val="20"/>
              </w:rPr>
              <w:t>2008</w:t>
            </w:r>
          </w:p>
        </w:tc>
        <w:tc>
          <w:tcPr>
            <w:tcW w:w="0" w:type="auto"/>
            <w:vAlign w:val="center"/>
          </w:tcPr>
          <w:p w:rsidR="00242C36" w:rsidRPr="009C75E7" w:rsidRDefault="00242C36" w:rsidP="00242C36">
            <w:pPr>
              <w:keepNext/>
              <w:keepLines/>
              <w:pBdr>
                <w:bar w:val="single" w:sz="6" w:color="808080"/>
              </w:pBdr>
              <w:outlineLvl w:val="1"/>
              <w:rPr>
                <w:rFonts w:ascii="Calibri" w:hAnsi="Calibri"/>
                <w:b/>
                <w:bCs/>
                <w:sz w:val="20"/>
                <w:szCs w:val="20"/>
              </w:rPr>
            </w:pPr>
            <w:r w:rsidRPr="009C75E7">
              <w:rPr>
                <w:rFonts w:ascii="Calibri" w:hAnsi="Calibri"/>
                <w:b/>
                <w:bCs/>
                <w:sz w:val="20"/>
                <w:szCs w:val="20"/>
              </w:rPr>
              <w:t>2009</w:t>
            </w:r>
          </w:p>
        </w:tc>
        <w:tc>
          <w:tcPr>
            <w:tcW w:w="0" w:type="auto"/>
            <w:shd w:val="clear" w:color="auto" w:fill="auto"/>
            <w:vAlign w:val="center"/>
          </w:tcPr>
          <w:p w:rsidR="00242C36" w:rsidRPr="009C75E7" w:rsidRDefault="00242C36" w:rsidP="00242C36">
            <w:pPr>
              <w:keepNext/>
              <w:keepLines/>
              <w:pBdr>
                <w:bar w:val="single" w:sz="6" w:color="808080"/>
              </w:pBdr>
              <w:outlineLvl w:val="1"/>
              <w:rPr>
                <w:rFonts w:ascii="Calibri" w:hAnsi="Calibri"/>
                <w:b/>
                <w:bCs/>
                <w:sz w:val="20"/>
                <w:szCs w:val="20"/>
              </w:rPr>
            </w:pPr>
            <w:r w:rsidRPr="009C75E7">
              <w:rPr>
                <w:rFonts w:ascii="Calibri" w:hAnsi="Calibri"/>
                <w:b/>
                <w:bCs/>
                <w:sz w:val="20"/>
                <w:szCs w:val="20"/>
              </w:rPr>
              <w:t>2010</w:t>
            </w:r>
          </w:p>
        </w:tc>
        <w:tc>
          <w:tcPr>
            <w:tcW w:w="0" w:type="auto"/>
            <w:shd w:val="clear" w:color="auto" w:fill="auto"/>
            <w:vAlign w:val="center"/>
          </w:tcPr>
          <w:p w:rsidR="00242C36" w:rsidRPr="009C75E7" w:rsidRDefault="00242C36" w:rsidP="00242C36">
            <w:pPr>
              <w:keepNext/>
              <w:keepLines/>
              <w:pBdr>
                <w:bar w:val="single" w:sz="6" w:color="808080"/>
              </w:pBdr>
              <w:outlineLvl w:val="1"/>
              <w:rPr>
                <w:rFonts w:ascii="Calibri" w:hAnsi="Calibri"/>
                <w:b/>
                <w:bCs/>
                <w:sz w:val="20"/>
                <w:szCs w:val="20"/>
              </w:rPr>
            </w:pPr>
            <w:r w:rsidRPr="009C75E7">
              <w:rPr>
                <w:rFonts w:ascii="Calibri" w:hAnsi="Calibri"/>
                <w:b/>
                <w:bCs/>
                <w:sz w:val="20"/>
                <w:szCs w:val="20"/>
              </w:rPr>
              <w:t>2011</w:t>
            </w:r>
          </w:p>
        </w:tc>
        <w:tc>
          <w:tcPr>
            <w:tcW w:w="898" w:type="dxa"/>
          </w:tcPr>
          <w:p w:rsidR="00242C36" w:rsidRPr="009C75E7" w:rsidRDefault="00242C36" w:rsidP="00242C36">
            <w:pPr>
              <w:keepNext/>
              <w:keepLines/>
              <w:pBdr>
                <w:bar w:val="single" w:sz="6" w:color="808080"/>
              </w:pBdr>
              <w:outlineLvl w:val="1"/>
              <w:rPr>
                <w:rFonts w:ascii="Calibri" w:hAnsi="Calibri"/>
                <w:b/>
                <w:bCs/>
                <w:sz w:val="20"/>
                <w:szCs w:val="20"/>
              </w:rPr>
            </w:pPr>
            <w:r w:rsidRPr="009C75E7">
              <w:rPr>
                <w:rFonts w:ascii="Calibri" w:hAnsi="Calibri"/>
                <w:b/>
                <w:bCs/>
                <w:sz w:val="20"/>
                <w:szCs w:val="20"/>
              </w:rPr>
              <w:t>2012</w:t>
            </w:r>
          </w:p>
        </w:tc>
      </w:tr>
      <w:tr w:rsidR="00242C36" w:rsidRPr="00E43137" w:rsidTr="00242C36">
        <w:trPr>
          <w:trHeight w:val="140"/>
        </w:trPr>
        <w:tc>
          <w:tcPr>
            <w:tcW w:w="0" w:type="auto"/>
            <w:shd w:val="clear" w:color="auto" w:fill="auto"/>
            <w:vAlign w:val="bottom"/>
          </w:tcPr>
          <w:p w:rsidR="00242C36" w:rsidRPr="00E43137" w:rsidRDefault="00242C36" w:rsidP="00242C36">
            <w:pPr>
              <w:keepNext/>
              <w:keepLines/>
              <w:pBdr>
                <w:bar w:val="single" w:sz="6" w:color="808080"/>
              </w:pBdr>
              <w:outlineLvl w:val="1"/>
              <w:rPr>
                <w:rFonts w:ascii="Calibri" w:hAnsi="Calibri"/>
                <w:bCs/>
                <w:sz w:val="20"/>
              </w:rPr>
            </w:pPr>
            <w:r w:rsidRPr="00E43137">
              <w:rPr>
                <w:rFonts w:ascii="Calibri" w:hAnsi="Calibri"/>
                <w:bCs/>
                <w:sz w:val="20"/>
                <w:szCs w:val="22"/>
              </w:rPr>
              <w:t>orná pôda</w:t>
            </w:r>
          </w:p>
        </w:tc>
        <w:tc>
          <w:tcPr>
            <w:tcW w:w="0" w:type="auto"/>
            <w:vAlign w:val="bottom"/>
          </w:tcPr>
          <w:p w:rsidR="00242C36" w:rsidRPr="00DA64BD" w:rsidRDefault="00242C36" w:rsidP="00242C36">
            <w:pPr>
              <w:keepNext/>
              <w:keepLines/>
              <w:pBdr>
                <w:bar w:val="single" w:sz="6" w:color="808080"/>
              </w:pBdr>
              <w:jc w:val="right"/>
              <w:outlineLvl w:val="1"/>
              <w:rPr>
                <w:rFonts w:ascii="Calibri" w:hAnsi="Calibri"/>
                <w:bCs/>
                <w:sz w:val="20"/>
                <w:szCs w:val="20"/>
              </w:rPr>
            </w:pPr>
            <w:r w:rsidRPr="00DA64BD">
              <w:rPr>
                <w:rFonts w:ascii="Calibri" w:hAnsi="Calibri"/>
                <w:bCs/>
                <w:sz w:val="20"/>
                <w:szCs w:val="20"/>
              </w:rPr>
              <w:t>37 776,75</w:t>
            </w:r>
          </w:p>
        </w:tc>
        <w:tc>
          <w:tcPr>
            <w:tcW w:w="0" w:type="auto"/>
            <w:vAlign w:val="bottom"/>
          </w:tcPr>
          <w:p w:rsidR="00242C36" w:rsidRPr="00DA64BD" w:rsidRDefault="00242C36" w:rsidP="00242C36">
            <w:pPr>
              <w:keepNext/>
              <w:keepLines/>
              <w:pBdr>
                <w:bar w:val="single" w:sz="6" w:color="808080"/>
              </w:pBdr>
              <w:jc w:val="right"/>
              <w:outlineLvl w:val="1"/>
              <w:rPr>
                <w:rFonts w:ascii="Calibri" w:hAnsi="Calibri"/>
                <w:bCs/>
                <w:sz w:val="20"/>
                <w:szCs w:val="20"/>
              </w:rPr>
            </w:pPr>
            <w:r w:rsidRPr="00DA64BD">
              <w:rPr>
                <w:rFonts w:ascii="Calibri" w:hAnsi="Calibri"/>
                <w:bCs/>
                <w:sz w:val="20"/>
                <w:szCs w:val="20"/>
              </w:rPr>
              <w:t>41 779,36</w:t>
            </w:r>
          </w:p>
        </w:tc>
        <w:tc>
          <w:tcPr>
            <w:tcW w:w="0" w:type="auto"/>
            <w:vAlign w:val="bottom"/>
          </w:tcPr>
          <w:p w:rsidR="00242C36" w:rsidRPr="009C75E7" w:rsidRDefault="00242C36" w:rsidP="00242C36">
            <w:pPr>
              <w:keepNext/>
              <w:keepLines/>
              <w:pBdr>
                <w:bar w:val="single" w:sz="6" w:color="808080"/>
              </w:pBdr>
              <w:jc w:val="right"/>
              <w:outlineLvl w:val="1"/>
              <w:rPr>
                <w:rFonts w:ascii="Calibri" w:hAnsi="Calibri"/>
                <w:bCs/>
                <w:sz w:val="20"/>
                <w:szCs w:val="20"/>
              </w:rPr>
            </w:pPr>
            <w:r w:rsidRPr="009C75E7">
              <w:rPr>
                <w:rFonts w:ascii="Calibri" w:hAnsi="Calibri"/>
                <w:bCs/>
                <w:sz w:val="20"/>
                <w:szCs w:val="20"/>
              </w:rPr>
              <w:t>47 549,35</w:t>
            </w:r>
          </w:p>
        </w:tc>
        <w:tc>
          <w:tcPr>
            <w:tcW w:w="0" w:type="auto"/>
            <w:shd w:val="clear" w:color="auto" w:fill="auto"/>
            <w:noWrap/>
            <w:vAlign w:val="bottom"/>
          </w:tcPr>
          <w:p w:rsidR="00242C36" w:rsidRPr="009C75E7" w:rsidRDefault="00242C36" w:rsidP="00242C36">
            <w:pPr>
              <w:keepNext/>
              <w:keepLines/>
              <w:pBdr>
                <w:bar w:val="single" w:sz="6" w:color="808080"/>
              </w:pBdr>
              <w:jc w:val="right"/>
              <w:outlineLvl w:val="1"/>
              <w:rPr>
                <w:rFonts w:ascii="Calibri" w:hAnsi="Calibri"/>
                <w:bCs/>
                <w:sz w:val="20"/>
                <w:szCs w:val="20"/>
              </w:rPr>
            </w:pPr>
            <w:r w:rsidRPr="009C75E7">
              <w:rPr>
                <w:rFonts w:ascii="Calibri" w:hAnsi="Calibri"/>
                <w:bCs/>
                <w:sz w:val="20"/>
                <w:szCs w:val="20"/>
              </w:rPr>
              <w:t>57 415,95</w:t>
            </w:r>
          </w:p>
        </w:tc>
        <w:tc>
          <w:tcPr>
            <w:tcW w:w="0" w:type="auto"/>
            <w:shd w:val="clear" w:color="auto" w:fill="auto"/>
            <w:vAlign w:val="bottom"/>
          </w:tcPr>
          <w:p w:rsidR="00242C36" w:rsidRPr="009C75E7" w:rsidRDefault="00242C36" w:rsidP="00242C36">
            <w:pPr>
              <w:keepNext/>
              <w:keepLines/>
              <w:pBdr>
                <w:bar w:val="single" w:sz="6" w:color="808080"/>
              </w:pBdr>
              <w:jc w:val="right"/>
              <w:outlineLvl w:val="1"/>
              <w:rPr>
                <w:rFonts w:ascii="Calibri" w:hAnsi="Calibri"/>
                <w:bCs/>
                <w:sz w:val="20"/>
                <w:szCs w:val="20"/>
              </w:rPr>
            </w:pPr>
            <w:r w:rsidRPr="009C75E7">
              <w:rPr>
                <w:rFonts w:ascii="Calibri" w:hAnsi="Calibri"/>
                <w:bCs/>
                <w:sz w:val="20"/>
                <w:szCs w:val="20"/>
              </w:rPr>
              <w:t>63 028,98</w:t>
            </w:r>
          </w:p>
        </w:tc>
        <w:tc>
          <w:tcPr>
            <w:tcW w:w="898" w:type="dxa"/>
          </w:tcPr>
          <w:p w:rsidR="00242C36" w:rsidRPr="009C75E7" w:rsidRDefault="00242C36" w:rsidP="00242C36">
            <w:pPr>
              <w:keepNext/>
              <w:keepLines/>
              <w:jc w:val="right"/>
              <w:outlineLvl w:val="1"/>
              <w:rPr>
                <w:rFonts w:ascii="Calibri" w:hAnsi="Calibri"/>
                <w:bCs/>
                <w:sz w:val="20"/>
                <w:szCs w:val="20"/>
              </w:rPr>
            </w:pPr>
            <w:r w:rsidRPr="009C75E7">
              <w:rPr>
                <w:rFonts w:ascii="Calibri" w:hAnsi="Calibri"/>
                <w:bCs/>
                <w:sz w:val="20"/>
                <w:szCs w:val="20"/>
              </w:rPr>
              <w:t>54 264,01</w:t>
            </w:r>
          </w:p>
        </w:tc>
      </w:tr>
      <w:tr w:rsidR="00242C36" w:rsidRPr="00E43137" w:rsidTr="00242C36">
        <w:trPr>
          <w:trHeight w:val="188"/>
        </w:trPr>
        <w:tc>
          <w:tcPr>
            <w:tcW w:w="0" w:type="auto"/>
            <w:shd w:val="clear" w:color="auto" w:fill="auto"/>
            <w:vAlign w:val="bottom"/>
          </w:tcPr>
          <w:p w:rsidR="00242C36" w:rsidRPr="00E43137" w:rsidRDefault="00242C36" w:rsidP="00242C36">
            <w:pPr>
              <w:keepNext/>
              <w:keepLines/>
              <w:pBdr>
                <w:bar w:val="single" w:sz="6" w:color="808080"/>
              </w:pBdr>
              <w:outlineLvl w:val="1"/>
              <w:rPr>
                <w:rFonts w:ascii="Calibri" w:hAnsi="Calibri"/>
                <w:bCs/>
                <w:sz w:val="20"/>
              </w:rPr>
            </w:pPr>
            <w:r w:rsidRPr="00E43137">
              <w:rPr>
                <w:rFonts w:ascii="Calibri" w:hAnsi="Calibri"/>
                <w:bCs/>
                <w:sz w:val="20"/>
                <w:szCs w:val="22"/>
              </w:rPr>
              <w:t>TTP</w:t>
            </w:r>
          </w:p>
        </w:tc>
        <w:tc>
          <w:tcPr>
            <w:tcW w:w="0" w:type="auto"/>
            <w:vAlign w:val="bottom"/>
          </w:tcPr>
          <w:p w:rsidR="00242C36" w:rsidRPr="00DA64BD" w:rsidRDefault="00242C36" w:rsidP="00242C36">
            <w:pPr>
              <w:keepNext/>
              <w:keepLines/>
              <w:pBdr>
                <w:bar w:val="single" w:sz="6" w:color="808080"/>
              </w:pBdr>
              <w:jc w:val="right"/>
              <w:outlineLvl w:val="1"/>
              <w:rPr>
                <w:rFonts w:ascii="Calibri" w:hAnsi="Calibri"/>
                <w:bCs/>
                <w:sz w:val="20"/>
                <w:szCs w:val="20"/>
              </w:rPr>
            </w:pPr>
            <w:r w:rsidRPr="00DA64BD">
              <w:rPr>
                <w:rFonts w:ascii="Calibri" w:hAnsi="Calibri"/>
                <w:bCs/>
                <w:sz w:val="20"/>
                <w:szCs w:val="20"/>
              </w:rPr>
              <w:t>84 051,71</w:t>
            </w:r>
          </w:p>
        </w:tc>
        <w:tc>
          <w:tcPr>
            <w:tcW w:w="0" w:type="auto"/>
            <w:vAlign w:val="bottom"/>
          </w:tcPr>
          <w:p w:rsidR="00242C36" w:rsidRPr="00DA64BD" w:rsidRDefault="00242C36" w:rsidP="00242C36">
            <w:pPr>
              <w:keepNext/>
              <w:keepLines/>
              <w:pBdr>
                <w:bar w:val="single" w:sz="6" w:color="808080"/>
              </w:pBdr>
              <w:jc w:val="right"/>
              <w:outlineLvl w:val="1"/>
              <w:rPr>
                <w:rFonts w:ascii="Calibri" w:hAnsi="Calibri"/>
                <w:bCs/>
                <w:sz w:val="20"/>
                <w:szCs w:val="20"/>
              </w:rPr>
            </w:pPr>
            <w:r w:rsidRPr="00DA64BD">
              <w:rPr>
                <w:rFonts w:ascii="Calibri" w:hAnsi="Calibri"/>
                <w:bCs/>
                <w:sz w:val="20"/>
                <w:szCs w:val="20"/>
              </w:rPr>
              <w:t>93 842,27</w:t>
            </w:r>
          </w:p>
        </w:tc>
        <w:tc>
          <w:tcPr>
            <w:tcW w:w="0" w:type="auto"/>
            <w:vAlign w:val="bottom"/>
          </w:tcPr>
          <w:p w:rsidR="00242C36" w:rsidRPr="009C75E7" w:rsidRDefault="00242C36" w:rsidP="00242C36">
            <w:pPr>
              <w:keepNext/>
              <w:keepLines/>
              <w:pBdr>
                <w:bar w:val="single" w:sz="6" w:color="808080"/>
              </w:pBdr>
              <w:jc w:val="right"/>
              <w:outlineLvl w:val="1"/>
              <w:rPr>
                <w:rFonts w:ascii="Calibri" w:hAnsi="Calibri"/>
                <w:bCs/>
                <w:sz w:val="20"/>
                <w:szCs w:val="20"/>
              </w:rPr>
            </w:pPr>
            <w:r w:rsidRPr="009C75E7">
              <w:rPr>
                <w:rFonts w:ascii="Calibri" w:hAnsi="Calibri"/>
                <w:bCs/>
                <w:sz w:val="20"/>
                <w:szCs w:val="20"/>
              </w:rPr>
              <w:t>98 126,95</w:t>
            </w:r>
          </w:p>
        </w:tc>
        <w:tc>
          <w:tcPr>
            <w:tcW w:w="0" w:type="auto"/>
            <w:shd w:val="clear" w:color="auto" w:fill="auto"/>
            <w:noWrap/>
            <w:vAlign w:val="bottom"/>
          </w:tcPr>
          <w:p w:rsidR="00242C36" w:rsidRPr="009C75E7" w:rsidRDefault="00242C36" w:rsidP="00242C36">
            <w:pPr>
              <w:keepNext/>
              <w:keepLines/>
              <w:pBdr>
                <w:bar w:val="single" w:sz="6" w:color="808080"/>
              </w:pBdr>
              <w:jc w:val="right"/>
              <w:outlineLvl w:val="1"/>
              <w:rPr>
                <w:rFonts w:ascii="Calibri" w:hAnsi="Calibri"/>
                <w:bCs/>
                <w:sz w:val="20"/>
                <w:szCs w:val="20"/>
              </w:rPr>
            </w:pPr>
            <w:r w:rsidRPr="009C75E7">
              <w:rPr>
                <w:rFonts w:ascii="Calibri" w:hAnsi="Calibri"/>
                <w:bCs/>
                <w:sz w:val="20"/>
                <w:szCs w:val="20"/>
              </w:rPr>
              <w:t>119 505,78</w:t>
            </w:r>
          </w:p>
        </w:tc>
        <w:tc>
          <w:tcPr>
            <w:tcW w:w="0" w:type="auto"/>
            <w:shd w:val="clear" w:color="auto" w:fill="auto"/>
            <w:vAlign w:val="bottom"/>
          </w:tcPr>
          <w:p w:rsidR="00242C36" w:rsidRPr="009C75E7" w:rsidRDefault="00242C36" w:rsidP="00242C36">
            <w:pPr>
              <w:keepNext/>
              <w:keepLines/>
              <w:pBdr>
                <w:bar w:val="single" w:sz="6" w:color="808080"/>
              </w:pBdr>
              <w:jc w:val="right"/>
              <w:outlineLvl w:val="1"/>
              <w:rPr>
                <w:rFonts w:ascii="Calibri" w:hAnsi="Calibri"/>
                <w:bCs/>
                <w:sz w:val="20"/>
                <w:szCs w:val="20"/>
              </w:rPr>
            </w:pPr>
            <w:r w:rsidRPr="009C75E7">
              <w:rPr>
                <w:rFonts w:ascii="Calibri" w:hAnsi="Calibri"/>
                <w:bCs/>
                <w:sz w:val="20"/>
                <w:szCs w:val="20"/>
              </w:rPr>
              <w:t>116 003,68</w:t>
            </w:r>
          </w:p>
        </w:tc>
        <w:tc>
          <w:tcPr>
            <w:tcW w:w="898" w:type="dxa"/>
          </w:tcPr>
          <w:p w:rsidR="00242C36" w:rsidRPr="009C75E7" w:rsidRDefault="00242C36" w:rsidP="00242C36">
            <w:pPr>
              <w:keepNext/>
              <w:keepLines/>
              <w:jc w:val="right"/>
              <w:outlineLvl w:val="1"/>
              <w:rPr>
                <w:rFonts w:ascii="Calibri" w:hAnsi="Calibri"/>
                <w:bCs/>
                <w:sz w:val="20"/>
                <w:szCs w:val="20"/>
              </w:rPr>
            </w:pPr>
            <w:r w:rsidRPr="009C75E7">
              <w:rPr>
                <w:rFonts w:ascii="Calibri" w:hAnsi="Calibri"/>
                <w:bCs/>
                <w:sz w:val="20"/>
                <w:szCs w:val="20"/>
              </w:rPr>
              <w:t>113 075,10</w:t>
            </w:r>
          </w:p>
        </w:tc>
      </w:tr>
      <w:tr w:rsidR="00242C36" w:rsidRPr="00E43137" w:rsidTr="00242C36">
        <w:trPr>
          <w:trHeight w:val="85"/>
        </w:trPr>
        <w:tc>
          <w:tcPr>
            <w:tcW w:w="0" w:type="auto"/>
            <w:shd w:val="clear" w:color="auto" w:fill="auto"/>
            <w:vAlign w:val="bottom"/>
          </w:tcPr>
          <w:p w:rsidR="00242C36" w:rsidRPr="00E43137" w:rsidRDefault="00242C36" w:rsidP="00242C36">
            <w:pPr>
              <w:keepNext/>
              <w:keepLines/>
              <w:pBdr>
                <w:bar w:val="single" w:sz="6" w:color="808080"/>
              </w:pBdr>
              <w:outlineLvl w:val="1"/>
              <w:rPr>
                <w:rFonts w:ascii="Calibri" w:hAnsi="Calibri"/>
                <w:bCs/>
                <w:sz w:val="20"/>
              </w:rPr>
            </w:pPr>
            <w:r w:rsidRPr="00E43137">
              <w:rPr>
                <w:rFonts w:ascii="Calibri" w:hAnsi="Calibri"/>
                <w:bCs/>
                <w:sz w:val="20"/>
                <w:szCs w:val="22"/>
              </w:rPr>
              <w:t>ovocné sady</w:t>
            </w:r>
          </w:p>
        </w:tc>
        <w:tc>
          <w:tcPr>
            <w:tcW w:w="0" w:type="auto"/>
            <w:vAlign w:val="bottom"/>
          </w:tcPr>
          <w:p w:rsidR="00242C36" w:rsidRPr="00DA64BD" w:rsidRDefault="00242C36" w:rsidP="00242C36">
            <w:pPr>
              <w:keepNext/>
              <w:keepLines/>
              <w:pBdr>
                <w:bar w:val="single" w:sz="6" w:color="808080"/>
              </w:pBdr>
              <w:jc w:val="right"/>
              <w:outlineLvl w:val="1"/>
              <w:rPr>
                <w:rFonts w:ascii="Calibri" w:hAnsi="Calibri"/>
                <w:bCs/>
                <w:sz w:val="20"/>
                <w:szCs w:val="20"/>
              </w:rPr>
            </w:pPr>
            <w:r w:rsidRPr="00DA64BD">
              <w:rPr>
                <w:rFonts w:ascii="Calibri" w:hAnsi="Calibri"/>
                <w:bCs/>
                <w:sz w:val="20"/>
                <w:szCs w:val="20"/>
              </w:rPr>
              <w:t>707,56</w:t>
            </w:r>
          </w:p>
        </w:tc>
        <w:tc>
          <w:tcPr>
            <w:tcW w:w="0" w:type="auto"/>
            <w:vAlign w:val="bottom"/>
          </w:tcPr>
          <w:p w:rsidR="00242C36" w:rsidRPr="00DA64BD" w:rsidRDefault="00242C36" w:rsidP="00242C36">
            <w:pPr>
              <w:keepNext/>
              <w:keepLines/>
              <w:pBdr>
                <w:bar w:val="single" w:sz="6" w:color="808080"/>
              </w:pBdr>
              <w:jc w:val="right"/>
              <w:outlineLvl w:val="1"/>
              <w:rPr>
                <w:rFonts w:ascii="Calibri" w:hAnsi="Calibri"/>
                <w:bCs/>
                <w:sz w:val="20"/>
                <w:szCs w:val="20"/>
              </w:rPr>
            </w:pPr>
            <w:r w:rsidRPr="00DA64BD">
              <w:rPr>
                <w:rFonts w:ascii="Calibri" w:hAnsi="Calibri"/>
                <w:bCs/>
                <w:sz w:val="20"/>
                <w:szCs w:val="20"/>
              </w:rPr>
              <w:t>993,39</w:t>
            </w:r>
          </w:p>
        </w:tc>
        <w:tc>
          <w:tcPr>
            <w:tcW w:w="0" w:type="auto"/>
            <w:vAlign w:val="bottom"/>
          </w:tcPr>
          <w:p w:rsidR="00242C36" w:rsidRPr="009C75E7" w:rsidRDefault="00242C36" w:rsidP="00242C36">
            <w:pPr>
              <w:keepNext/>
              <w:keepLines/>
              <w:pBdr>
                <w:bar w:val="single" w:sz="6" w:color="808080"/>
              </w:pBdr>
              <w:jc w:val="right"/>
              <w:outlineLvl w:val="1"/>
              <w:rPr>
                <w:rFonts w:ascii="Calibri" w:hAnsi="Calibri"/>
                <w:bCs/>
                <w:sz w:val="20"/>
                <w:szCs w:val="20"/>
              </w:rPr>
            </w:pPr>
            <w:r w:rsidRPr="009C75E7">
              <w:rPr>
                <w:rFonts w:ascii="Calibri" w:hAnsi="Calibri"/>
                <w:bCs/>
                <w:sz w:val="20"/>
                <w:szCs w:val="20"/>
              </w:rPr>
              <w:t>1 030,37</w:t>
            </w:r>
          </w:p>
        </w:tc>
        <w:tc>
          <w:tcPr>
            <w:tcW w:w="0" w:type="auto"/>
            <w:shd w:val="clear" w:color="auto" w:fill="auto"/>
            <w:noWrap/>
            <w:vAlign w:val="bottom"/>
          </w:tcPr>
          <w:p w:rsidR="00242C36" w:rsidRPr="009C75E7" w:rsidRDefault="00242C36" w:rsidP="00242C36">
            <w:pPr>
              <w:keepNext/>
              <w:keepLines/>
              <w:pBdr>
                <w:bar w:val="single" w:sz="6" w:color="808080"/>
              </w:pBdr>
              <w:jc w:val="right"/>
              <w:outlineLvl w:val="1"/>
              <w:rPr>
                <w:rFonts w:ascii="Calibri" w:hAnsi="Calibri"/>
                <w:bCs/>
                <w:sz w:val="20"/>
                <w:szCs w:val="20"/>
              </w:rPr>
            </w:pPr>
            <w:r w:rsidRPr="009C75E7">
              <w:rPr>
                <w:rFonts w:ascii="Calibri" w:hAnsi="Calibri"/>
                <w:bCs/>
                <w:sz w:val="20"/>
                <w:szCs w:val="20"/>
              </w:rPr>
              <w:t>1 234,43</w:t>
            </w:r>
          </w:p>
        </w:tc>
        <w:tc>
          <w:tcPr>
            <w:tcW w:w="0" w:type="auto"/>
            <w:shd w:val="clear" w:color="auto" w:fill="auto"/>
            <w:vAlign w:val="bottom"/>
          </w:tcPr>
          <w:p w:rsidR="00242C36" w:rsidRPr="009C75E7" w:rsidRDefault="00242C36" w:rsidP="00242C36">
            <w:pPr>
              <w:keepNext/>
              <w:keepLines/>
              <w:pBdr>
                <w:bar w:val="single" w:sz="6" w:color="808080"/>
              </w:pBdr>
              <w:jc w:val="right"/>
              <w:outlineLvl w:val="1"/>
              <w:rPr>
                <w:rFonts w:ascii="Calibri" w:hAnsi="Calibri"/>
                <w:bCs/>
                <w:sz w:val="20"/>
                <w:szCs w:val="20"/>
              </w:rPr>
            </w:pPr>
            <w:r w:rsidRPr="009C75E7">
              <w:rPr>
                <w:rFonts w:ascii="Calibri" w:hAnsi="Calibri"/>
                <w:bCs/>
                <w:sz w:val="20"/>
                <w:szCs w:val="20"/>
              </w:rPr>
              <w:t>1 158,27</w:t>
            </w:r>
          </w:p>
        </w:tc>
        <w:tc>
          <w:tcPr>
            <w:tcW w:w="898" w:type="dxa"/>
          </w:tcPr>
          <w:p w:rsidR="00242C36" w:rsidRPr="009C75E7" w:rsidRDefault="00242C36" w:rsidP="00242C36">
            <w:pPr>
              <w:keepNext/>
              <w:keepLines/>
              <w:jc w:val="right"/>
              <w:outlineLvl w:val="1"/>
              <w:rPr>
                <w:rFonts w:ascii="Calibri" w:hAnsi="Calibri"/>
                <w:bCs/>
                <w:sz w:val="20"/>
                <w:szCs w:val="20"/>
              </w:rPr>
            </w:pPr>
            <w:r w:rsidRPr="009C75E7">
              <w:rPr>
                <w:rFonts w:ascii="Calibri" w:hAnsi="Calibri"/>
                <w:bCs/>
                <w:sz w:val="20"/>
                <w:szCs w:val="20"/>
              </w:rPr>
              <w:t>1 162,45</w:t>
            </w:r>
          </w:p>
        </w:tc>
      </w:tr>
      <w:tr w:rsidR="00242C36" w:rsidRPr="00E43137" w:rsidTr="00242C36">
        <w:trPr>
          <w:trHeight w:val="134"/>
        </w:trPr>
        <w:tc>
          <w:tcPr>
            <w:tcW w:w="0" w:type="auto"/>
            <w:shd w:val="clear" w:color="auto" w:fill="auto"/>
            <w:vAlign w:val="bottom"/>
          </w:tcPr>
          <w:p w:rsidR="00242C36" w:rsidRPr="00E43137" w:rsidRDefault="00242C36" w:rsidP="00242C36">
            <w:pPr>
              <w:keepNext/>
              <w:keepLines/>
              <w:pBdr>
                <w:bar w:val="single" w:sz="6" w:color="808080"/>
              </w:pBdr>
              <w:outlineLvl w:val="1"/>
              <w:rPr>
                <w:rFonts w:ascii="Calibri" w:hAnsi="Calibri"/>
                <w:bCs/>
                <w:sz w:val="20"/>
              </w:rPr>
            </w:pPr>
            <w:r w:rsidRPr="00E43137">
              <w:rPr>
                <w:rFonts w:ascii="Calibri" w:hAnsi="Calibri"/>
                <w:bCs/>
                <w:sz w:val="20"/>
                <w:szCs w:val="22"/>
              </w:rPr>
              <w:t>vinohrady</w:t>
            </w:r>
          </w:p>
        </w:tc>
        <w:tc>
          <w:tcPr>
            <w:tcW w:w="0" w:type="auto"/>
            <w:vAlign w:val="bottom"/>
          </w:tcPr>
          <w:p w:rsidR="00242C36" w:rsidRPr="00DA64BD" w:rsidRDefault="00242C36" w:rsidP="00242C36">
            <w:pPr>
              <w:keepNext/>
              <w:keepLines/>
              <w:pBdr>
                <w:bar w:val="single" w:sz="6" w:color="808080"/>
              </w:pBdr>
              <w:jc w:val="right"/>
              <w:outlineLvl w:val="1"/>
              <w:rPr>
                <w:rFonts w:ascii="Calibri" w:hAnsi="Calibri"/>
                <w:bCs/>
                <w:sz w:val="20"/>
                <w:szCs w:val="20"/>
              </w:rPr>
            </w:pPr>
            <w:r w:rsidRPr="00DA64BD">
              <w:rPr>
                <w:rFonts w:ascii="Calibri" w:hAnsi="Calibri"/>
                <w:bCs/>
                <w:sz w:val="20"/>
                <w:szCs w:val="20"/>
              </w:rPr>
              <w:t>53,04</w:t>
            </w:r>
          </w:p>
        </w:tc>
        <w:tc>
          <w:tcPr>
            <w:tcW w:w="0" w:type="auto"/>
            <w:vAlign w:val="bottom"/>
          </w:tcPr>
          <w:p w:rsidR="00242C36" w:rsidRPr="00DA64BD" w:rsidRDefault="00242C36" w:rsidP="00242C36">
            <w:pPr>
              <w:keepNext/>
              <w:keepLines/>
              <w:pBdr>
                <w:bar w:val="single" w:sz="6" w:color="808080"/>
              </w:pBdr>
              <w:jc w:val="right"/>
              <w:outlineLvl w:val="1"/>
              <w:rPr>
                <w:rFonts w:ascii="Calibri" w:hAnsi="Calibri"/>
                <w:bCs/>
                <w:sz w:val="20"/>
                <w:szCs w:val="20"/>
              </w:rPr>
            </w:pPr>
            <w:r w:rsidRPr="00DA64BD">
              <w:rPr>
                <w:rFonts w:ascii="Calibri" w:hAnsi="Calibri"/>
                <w:bCs/>
                <w:sz w:val="20"/>
                <w:szCs w:val="20"/>
              </w:rPr>
              <w:t>53,04</w:t>
            </w:r>
          </w:p>
        </w:tc>
        <w:tc>
          <w:tcPr>
            <w:tcW w:w="0" w:type="auto"/>
            <w:vAlign w:val="bottom"/>
          </w:tcPr>
          <w:p w:rsidR="00242C36" w:rsidRPr="009C75E7" w:rsidRDefault="00242C36" w:rsidP="00242C36">
            <w:pPr>
              <w:keepNext/>
              <w:keepLines/>
              <w:pBdr>
                <w:bar w:val="single" w:sz="6" w:color="808080"/>
              </w:pBdr>
              <w:jc w:val="right"/>
              <w:outlineLvl w:val="1"/>
              <w:rPr>
                <w:rFonts w:ascii="Calibri" w:hAnsi="Calibri"/>
                <w:bCs/>
                <w:sz w:val="20"/>
                <w:szCs w:val="20"/>
              </w:rPr>
            </w:pPr>
            <w:r w:rsidRPr="009C75E7">
              <w:rPr>
                <w:rFonts w:ascii="Calibri" w:hAnsi="Calibri"/>
                <w:bCs/>
                <w:sz w:val="20"/>
                <w:szCs w:val="20"/>
              </w:rPr>
              <w:t>55,30</w:t>
            </w:r>
          </w:p>
        </w:tc>
        <w:tc>
          <w:tcPr>
            <w:tcW w:w="0" w:type="auto"/>
            <w:shd w:val="clear" w:color="auto" w:fill="auto"/>
            <w:noWrap/>
            <w:vAlign w:val="bottom"/>
          </w:tcPr>
          <w:p w:rsidR="00242C36" w:rsidRPr="009C75E7" w:rsidRDefault="00242C36" w:rsidP="00242C36">
            <w:pPr>
              <w:keepNext/>
              <w:keepLines/>
              <w:pBdr>
                <w:bar w:val="single" w:sz="6" w:color="808080"/>
              </w:pBdr>
              <w:jc w:val="right"/>
              <w:outlineLvl w:val="1"/>
              <w:rPr>
                <w:rFonts w:ascii="Calibri" w:hAnsi="Calibri"/>
                <w:bCs/>
                <w:sz w:val="20"/>
                <w:szCs w:val="20"/>
              </w:rPr>
            </w:pPr>
            <w:r w:rsidRPr="009C75E7">
              <w:rPr>
                <w:rFonts w:ascii="Calibri" w:hAnsi="Calibri"/>
                <w:bCs/>
                <w:sz w:val="20"/>
                <w:szCs w:val="20"/>
              </w:rPr>
              <w:t>79,05</w:t>
            </w:r>
          </w:p>
        </w:tc>
        <w:tc>
          <w:tcPr>
            <w:tcW w:w="0" w:type="auto"/>
            <w:shd w:val="clear" w:color="auto" w:fill="auto"/>
            <w:vAlign w:val="bottom"/>
          </w:tcPr>
          <w:p w:rsidR="00242C36" w:rsidRPr="009C75E7" w:rsidRDefault="00242C36" w:rsidP="00242C36">
            <w:pPr>
              <w:keepNext/>
              <w:keepLines/>
              <w:pBdr>
                <w:bar w:val="single" w:sz="6" w:color="808080"/>
              </w:pBdr>
              <w:jc w:val="right"/>
              <w:outlineLvl w:val="1"/>
              <w:rPr>
                <w:rFonts w:ascii="Calibri" w:hAnsi="Calibri"/>
                <w:bCs/>
                <w:sz w:val="20"/>
                <w:szCs w:val="20"/>
              </w:rPr>
            </w:pPr>
            <w:r w:rsidRPr="009C75E7">
              <w:rPr>
                <w:rFonts w:ascii="Calibri" w:hAnsi="Calibri"/>
                <w:bCs/>
                <w:sz w:val="20"/>
                <w:szCs w:val="20"/>
              </w:rPr>
              <w:t>69,78</w:t>
            </w:r>
          </w:p>
        </w:tc>
        <w:tc>
          <w:tcPr>
            <w:tcW w:w="898" w:type="dxa"/>
          </w:tcPr>
          <w:p w:rsidR="00242C36" w:rsidRPr="009C75E7" w:rsidRDefault="00242C36" w:rsidP="00242C36">
            <w:pPr>
              <w:keepNext/>
              <w:keepLines/>
              <w:jc w:val="right"/>
              <w:outlineLvl w:val="1"/>
              <w:rPr>
                <w:rFonts w:ascii="Calibri" w:hAnsi="Calibri"/>
                <w:bCs/>
                <w:sz w:val="20"/>
                <w:szCs w:val="20"/>
              </w:rPr>
            </w:pPr>
            <w:r w:rsidRPr="009C75E7">
              <w:rPr>
                <w:rFonts w:ascii="Calibri" w:hAnsi="Calibri"/>
                <w:bCs/>
                <w:sz w:val="20"/>
                <w:szCs w:val="20"/>
              </w:rPr>
              <w:t>100,77</w:t>
            </w:r>
          </w:p>
        </w:tc>
      </w:tr>
      <w:tr w:rsidR="00242C36" w:rsidRPr="00E43137" w:rsidTr="00242C36">
        <w:trPr>
          <w:trHeight w:val="234"/>
        </w:trPr>
        <w:tc>
          <w:tcPr>
            <w:tcW w:w="0" w:type="auto"/>
            <w:shd w:val="clear" w:color="auto" w:fill="auto"/>
            <w:vAlign w:val="bottom"/>
          </w:tcPr>
          <w:p w:rsidR="00242C36" w:rsidRPr="00E43137" w:rsidRDefault="00242C36" w:rsidP="00242C36">
            <w:pPr>
              <w:keepNext/>
              <w:keepLines/>
              <w:pBdr>
                <w:bar w:val="single" w:sz="6" w:color="808080"/>
              </w:pBdr>
              <w:outlineLvl w:val="1"/>
              <w:rPr>
                <w:rFonts w:ascii="Calibri" w:hAnsi="Calibri"/>
                <w:b/>
                <w:bCs/>
                <w:sz w:val="20"/>
              </w:rPr>
            </w:pPr>
            <w:r w:rsidRPr="00E43137">
              <w:rPr>
                <w:rFonts w:ascii="Calibri" w:hAnsi="Calibri"/>
                <w:b/>
                <w:bCs/>
                <w:sz w:val="20"/>
                <w:szCs w:val="22"/>
              </w:rPr>
              <w:t>Poľn. pôda v rámci EPV v SR spolu</w:t>
            </w:r>
          </w:p>
        </w:tc>
        <w:tc>
          <w:tcPr>
            <w:tcW w:w="0" w:type="auto"/>
            <w:vAlign w:val="bottom"/>
          </w:tcPr>
          <w:p w:rsidR="00242C36" w:rsidRPr="00DA64BD" w:rsidRDefault="00242C36" w:rsidP="00242C36">
            <w:pPr>
              <w:keepNext/>
              <w:keepLines/>
              <w:pBdr>
                <w:bar w:val="single" w:sz="6" w:color="808080"/>
              </w:pBdr>
              <w:jc w:val="right"/>
              <w:outlineLvl w:val="1"/>
              <w:rPr>
                <w:rFonts w:ascii="Calibri" w:hAnsi="Calibri"/>
                <w:b/>
                <w:bCs/>
                <w:sz w:val="20"/>
                <w:szCs w:val="20"/>
              </w:rPr>
            </w:pPr>
            <w:r w:rsidRPr="00DA64BD">
              <w:rPr>
                <w:rFonts w:ascii="Calibri" w:hAnsi="Calibri"/>
                <w:b/>
                <w:bCs/>
                <w:sz w:val="20"/>
                <w:szCs w:val="20"/>
              </w:rPr>
              <w:t>122 589,06</w:t>
            </w:r>
          </w:p>
        </w:tc>
        <w:tc>
          <w:tcPr>
            <w:tcW w:w="0" w:type="auto"/>
            <w:vAlign w:val="bottom"/>
          </w:tcPr>
          <w:p w:rsidR="00242C36" w:rsidRPr="00DA64BD" w:rsidRDefault="00242C36" w:rsidP="00242C36">
            <w:pPr>
              <w:keepNext/>
              <w:keepLines/>
              <w:pBdr>
                <w:bar w:val="single" w:sz="6" w:color="808080"/>
              </w:pBdr>
              <w:jc w:val="right"/>
              <w:outlineLvl w:val="1"/>
              <w:rPr>
                <w:rFonts w:ascii="Calibri" w:hAnsi="Calibri"/>
                <w:b/>
                <w:bCs/>
                <w:sz w:val="20"/>
                <w:szCs w:val="20"/>
              </w:rPr>
            </w:pPr>
            <w:r w:rsidRPr="00DA64BD">
              <w:rPr>
                <w:rFonts w:ascii="Calibri" w:hAnsi="Calibri"/>
                <w:b/>
                <w:bCs/>
                <w:sz w:val="20"/>
                <w:szCs w:val="20"/>
              </w:rPr>
              <w:t>136 668,06</w:t>
            </w:r>
          </w:p>
        </w:tc>
        <w:tc>
          <w:tcPr>
            <w:tcW w:w="0" w:type="auto"/>
            <w:vAlign w:val="bottom"/>
          </w:tcPr>
          <w:p w:rsidR="00242C36" w:rsidRPr="009C75E7" w:rsidRDefault="00242C36" w:rsidP="00242C36">
            <w:pPr>
              <w:keepNext/>
              <w:keepLines/>
              <w:pBdr>
                <w:bar w:val="single" w:sz="6" w:color="808080"/>
              </w:pBdr>
              <w:jc w:val="right"/>
              <w:outlineLvl w:val="1"/>
              <w:rPr>
                <w:rFonts w:ascii="Calibri" w:hAnsi="Calibri"/>
                <w:b/>
                <w:bCs/>
                <w:sz w:val="20"/>
                <w:szCs w:val="20"/>
              </w:rPr>
            </w:pPr>
            <w:r w:rsidRPr="009C75E7">
              <w:rPr>
                <w:rFonts w:ascii="Calibri" w:hAnsi="Calibri"/>
                <w:b/>
                <w:bCs/>
                <w:sz w:val="20"/>
                <w:szCs w:val="20"/>
              </w:rPr>
              <w:t>146 761,97</w:t>
            </w:r>
          </w:p>
        </w:tc>
        <w:tc>
          <w:tcPr>
            <w:tcW w:w="0" w:type="auto"/>
            <w:shd w:val="clear" w:color="auto" w:fill="auto"/>
            <w:noWrap/>
            <w:vAlign w:val="bottom"/>
          </w:tcPr>
          <w:p w:rsidR="00242C36" w:rsidRPr="009C75E7" w:rsidRDefault="00242C36" w:rsidP="00242C36">
            <w:pPr>
              <w:keepNext/>
              <w:keepLines/>
              <w:pBdr>
                <w:bar w:val="single" w:sz="6" w:color="808080"/>
              </w:pBdr>
              <w:jc w:val="right"/>
              <w:outlineLvl w:val="1"/>
              <w:rPr>
                <w:rFonts w:ascii="Calibri" w:hAnsi="Calibri"/>
                <w:b/>
                <w:bCs/>
                <w:sz w:val="20"/>
                <w:szCs w:val="20"/>
              </w:rPr>
            </w:pPr>
            <w:r w:rsidRPr="009C75E7">
              <w:rPr>
                <w:rFonts w:ascii="Calibri" w:hAnsi="Calibri"/>
                <w:b/>
                <w:bCs/>
                <w:sz w:val="20"/>
                <w:szCs w:val="20"/>
              </w:rPr>
              <w:t>178 235,21</w:t>
            </w:r>
          </w:p>
        </w:tc>
        <w:tc>
          <w:tcPr>
            <w:tcW w:w="0" w:type="auto"/>
            <w:shd w:val="clear" w:color="auto" w:fill="auto"/>
            <w:noWrap/>
            <w:vAlign w:val="bottom"/>
          </w:tcPr>
          <w:p w:rsidR="00242C36" w:rsidRPr="009C75E7" w:rsidRDefault="00242C36" w:rsidP="00242C36">
            <w:pPr>
              <w:keepNext/>
              <w:keepLines/>
              <w:pBdr>
                <w:bar w:val="single" w:sz="6" w:color="808080"/>
              </w:pBdr>
              <w:jc w:val="right"/>
              <w:outlineLvl w:val="1"/>
              <w:rPr>
                <w:rFonts w:ascii="Calibri" w:hAnsi="Calibri"/>
                <w:b/>
                <w:bCs/>
                <w:sz w:val="20"/>
                <w:szCs w:val="20"/>
              </w:rPr>
            </w:pPr>
            <w:r w:rsidRPr="009C75E7">
              <w:rPr>
                <w:rFonts w:ascii="Calibri" w:hAnsi="Calibri"/>
                <w:b/>
                <w:bCs/>
                <w:sz w:val="20"/>
                <w:szCs w:val="20"/>
              </w:rPr>
              <w:t>180 260,71</w:t>
            </w:r>
          </w:p>
        </w:tc>
        <w:tc>
          <w:tcPr>
            <w:tcW w:w="898" w:type="dxa"/>
          </w:tcPr>
          <w:p w:rsidR="00242C36" w:rsidRPr="009C75E7" w:rsidRDefault="00242C36" w:rsidP="00242C36">
            <w:pPr>
              <w:keepNext/>
              <w:keepLines/>
              <w:pBdr>
                <w:bar w:val="single" w:sz="6" w:color="808080"/>
              </w:pBdr>
              <w:jc w:val="right"/>
              <w:outlineLvl w:val="1"/>
              <w:rPr>
                <w:rFonts w:ascii="Calibri" w:hAnsi="Calibri"/>
                <w:b/>
                <w:bCs/>
                <w:sz w:val="20"/>
                <w:szCs w:val="20"/>
              </w:rPr>
            </w:pPr>
          </w:p>
          <w:p w:rsidR="00242C36" w:rsidRPr="009C75E7" w:rsidRDefault="00242C36" w:rsidP="00242C36">
            <w:pPr>
              <w:keepNext/>
              <w:keepLines/>
              <w:pBdr>
                <w:bar w:val="single" w:sz="6" w:color="808080"/>
              </w:pBdr>
              <w:jc w:val="right"/>
              <w:outlineLvl w:val="1"/>
              <w:rPr>
                <w:rFonts w:ascii="Calibri" w:hAnsi="Calibri"/>
                <w:b/>
                <w:bCs/>
                <w:sz w:val="20"/>
                <w:szCs w:val="20"/>
              </w:rPr>
            </w:pPr>
            <w:r w:rsidRPr="009C75E7">
              <w:rPr>
                <w:rFonts w:ascii="Calibri" w:hAnsi="Calibri"/>
                <w:b/>
                <w:bCs/>
                <w:sz w:val="20"/>
                <w:szCs w:val="20"/>
              </w:rPr>
              <w:t>168 602,33</w:t>
            </w:r>
          </w:p>
        </w:tc>
      </w:tr>
    </w:tbl>
    <w:p w:rsidR="00242C36" w:rsidRPr="00C82F79" w:rsidRDefault="00242C36" w:rsidP="00242C36">
      <w:pPr>
        <w:keepNext/>
        <w:keepLines/>
        <w:pBdr>
          <w:bar w:val="single" w:sz="6" w:color="808080"/>
        </w:pBdr>
        <w:spacing w:after="120"/>
        <w:outlineLvl w:val="1"/>
        <w:rPr>
          <w:rFonts w:ascii="Calibri" w:hAnsi="Calibri"/>
          <w:bCs/>
          <w:sz w:val="20"/>
          <w:szCs w:val="22"/>
        </w:rPr>
      </w:pPr>
      <w:r w:rsidRPr="00A230EA">
        <w:rPr>
          <w:rFonts w:ascii="Calibri" w:hAnsi="Calibri"/>
          <w:bCs/>
          <w:sz w:val="20"/>
          <w:szCs w:val="22"/>
        </w:rPr>
        <w:t>Zdroj: ÚKSÚP, MPRV SR (Pozn.: výmera poľn. pôdy v EPV je uvedená celkom, vrátane plôch v konverzii)</w:t>
      </w:r>
    </w:p>
    <w:p w:rsidR="00242C36" w:rsidRPr="00DA64BD" w:rsidRDefault="00242C36" w:rsidP="00242C36">
      <w:pPr>
        <w:pBdr>
          <w:bar w:val="single" w:sz="6" w:color="808080"/>
        </w:pBdr>
        <w:spacing w:after="120"/>
        <w:outlineLvl w:val="1"/>
        <w:rPr>
          <w:rFonts w:ascii="Calibri" w:hAnsi="Calibri"/>
          <w:bCs/>
          <w:szCs w:val="22"/>
        </w:rPr>
      </w:pPr>
      <w:r w:rsidRPr="00DA64BD">
        <w:rPr>
          <w:rFonts w:ascii="Calibri" w:hAnsi="Calibri"/>
          <w:bCs/>
          <w:szCs w:val="22"/>
        </w:rPr>
        <w:t>Registrovaní prevádzkovatelia v systéme EPV podľa prá</w:t>
      </w:r>
      <w:r>
        <w:rPr>
          <w:rFonts w:ascii="Calibri" w:hAnsi="Calibri"/>
          <w:bCs/>
          <w:szCs w:val="22"/>
        </w:rPr>
        <w:t xml:space="preserve">vnej formy v rokoch </w:t>
      </w:r>
      <w:r w:rsidRPr="0032299C">
        <w:rPr>
          <w:rFonts w:ascii="Calibri" w:hAnsi="Calibri"/>
          <w:bCs/>
          <w:szCs w:val="22"/>
        </w:rPr>
        <w:t>2007 - 2012</w:t>
      </w:r>
    </w:p>
    <w:tbl>
      <w:tblPr>
        <w:tblW w:w="893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28"/>
        <w:gridCol w:w="850"/>
        <w:gridCol w:w="851"/>
        <w:gridCol w:w="892"/>
        <w:gridCol w:w="809"/>
        <w:gridCol w:w="850"/>
        <w:gridCol w:w="851"/>
      </w:tblGrid>
      <w:tr w:rsidR="00242C36" w:rsidRPr="00F00C51" w:rsidTr="00242C36">
        <w:trPr>
          <w:trHeight w:val="256"/>
        </w:trPr>
        <w:tc>
          <w:tcPr>
            <w:tcW w:w="3828" w:type="dxa"/>
            <w:vMerge w:val="restart"/>
            <w:tcBorders>
              <w:top w:val="single" w:sz="4" w:space="0" w:color="auto"/>
              <w:left w:val="single" w:sz="4" w:space="0" w:color="auto"/>
              <w:right w:val="single" w:sz="4" w:space="0" w:color="auto"/>
            </w:tcBorders>
            <w:vAlign w:val="center"/>
          </w:tcPr>
          <w:p w:rsidR="00242C36" w:rsidRPr="00F00C51" w:rsidRDefault="00242C36" w:rsidP="00242C36">
            <w:pPr>
              <w:keepNext/>
              <w:keepLines/>
              <w:pBdr>
                <w:bar w:val="single" w:sz="6" w:color="808080"/>
              </w:pBdr>
              <w:outlineLvl w:val="1"/>
              <w:rPr>
                <w:bCs/>
                <w:sz w:val="20"/>
                <w:szCs w:val="20"/>
              </w:rPr>
            </w:pPr>
            <w:r w:rsidRPr="00F00C51">
              <w:rPr>
                <w:bCs/>
                <w:sz w:val="20"/>
                <w:szCs w:val="20"/>
              </w:rPr>
              <w:t>Právna forma prevádzkovateľov v EPV</w:t>
            </w:r>
          </w:p>
        </w:tc>
        <w:tc>
          <w:tcPr>
            <w:tcW w:w="5103" w:type="dxa"/>
            <w:gridSpan w:val="6"/>
            <w:tcBorders>
              <w:top w:val="single" w:sz="4" w:space="0" w:color="auto"/>
              <w:left w:val="single" w:sz="4" w:space="0" w:color="auto"/>
              <w:right w:val="single" w:sz="4" w:space="0" w:color="auto"/>
            </w:tcBorders>
          </w:tcPr>
          <w:p w:rsidR="00242C36" w:rsidRPr="00F00C51" w:rsidRDefault="00242C36" w:rsidP="00242C36">
            <w:pPr>
              <w:keepNext/>
              <w:keepLines/>
              <w:pBdr>
                <w:bar w:val="single" w:sz="6" w:color="808080"/>
              </w:pBdr>
              <w:jc w:val="center"/>
              <w:outlineLvl w:val="1"/>
              <w:rPr>
                <w:bCs/>
                <w:sz w:val="20"/>
                <w:szCs w:val="20"/>
              </w:rPr>
            </w:pPr>
            <w:r w:rsidRPr="00F00C51">
              <w:rPr>
                <w:bCs/>
                <w:sz w:val="20"/>
                <w:szCs w:val="20"/>
              </w:rPr>
              <w:t>Rok</w:t>
            </w:r>
          </w:p>
        </w:tc>
      </w:tr>
      <w:tr w:rsidR="00242C36" w:rsidRPr="00F00C51" w:rsidTr="00242C36">
        <w:trPr>
          <w:trHeight w:val="153"/>
        </w:trPr>
        <w:tc>
          <w:tcPr>
            <w:tcW w:w="3828" w:type="dxa"/>
            <w:vMerge/>
            <w:tcBorders>
              <w:left w:val="single" w:sz="4" w:space="0" w:color="auto"/>
              <w:right w:val="single" w:sz="4" w:space="0" w:color="auto"/>
            </w:tcBorders>
            <w:vAlign w:val="center"/>
          </w:tcPr>
          <w:p w:rsidR="00242C36" w:rsidRPr="00F00C51" w:rsidRDefault="00242C36" w:rsidP="00242C36">
            <w:pPr>
              <w:keepNext/>
              <w:keepLines/>
              <w:pBdr>
                <w:bar w:val="single" w:sz="6" w:color="808080"/>
              </w:pBdr>
              <w:outlineLvl w:val="1"/>
              <w:rPr>
                <w:bCs/>
                <w:sz w:val="20"/>
                <w:szCs w:val="20"/>
              </w:rPr>
            </w:pPr>
          </w:p>
        </w:tc>
        <w:tc>
          <w:tcPr>
            <w:tcW w:w="5103" w:type="dxa"/>
            <w:gridSpan w:val="6"/>
            <w:tcBorders>
              <w:left w:val="single" w:sz="4" w:space="0" w:color="auto"/>
              <w:right w:val="single" w:sz="4" w:space="0" w:color="auto"/>
            </w:tcBorders>
          </w:tcPr>
          <w:p w:rsidR="00242C36" w:rsidRPr="00F00C51" w:rsidRDefault="00242C36" w:rsidP="00242C36">
            <w:pPr>
              <w:keepNext/>
              <w:keepLines/>
              <w:pBdr>
                <w:bar w:val="single" w:sz="6" w:color="808080"/>
              </w:pBdr>
              <w:jc w:val="center"/>
              <w:outlineLvl w:val="1"/>
              <w:rPr>
                <w:bCs/>
                <w:sz w:val="20"/>
                <w:szCs w:val="20"/>
              </w:rPr>
            </w:pPr>
            <w:r w:rsidRPr="00F00C51">
              <w:rPr>
                <w:bCs/>
                <w:sz w:val="20"/>
                <w:szCs w:val="20"/>
              </w:rPr>
              <w:t>Počet registrovaných prevádzkovateľov v EPV</w:t>
            </w:r>
          </w:p>
        </w:tc>
      </w:tr>
      <w:tr w:rsidR="00242C36" w:rsidRPr="00F00C51" w:rsidTr="00242C36">
        <w:trPr>
          <w:trHeight w:val="246"/>
        </w:trPr>
        <w:tc>
          <w:tcPr>
            <w:tcW w:w="3828" w:type="dxa"/>
            <w:vMerge/>
            <w:tcBorders>
              <w:left w:val="single" w:sz="4" w:space="0" w:color="auto"/>
              <w:bottom w:val="single" w:sz="4" w:space="0" w:color="auto"/>
              <w:right w:val="single" w:sz="4" w:space="0" w:color="auto"/>
            </w:tcBorders>
          </w:tcPr>
          <w:p w:rsidR="00242C36" w:rsidRPr="00F00C51" w:rsidRDefault="00242C36" w:rsidP="00242C36">
            <w:pPr>
              <w:keepNext/>
              <w:keepLines/>
              <w:pBdr>
                <w:bar w:val="single" w:sz="6" w:color="808080"/>
              </w:pBdr>
              <w:outlineLvl w:val="1"/>
              <w:rPr>
                <w:bCs/>
                <w:sz w:val="20"/>
                <w:szCs w:val="20"/>
              </w:rPr>
            </w:pPr>
          </w:p>
        </w:tc>
        <w:tc>
          <w:tcPr>
            <w:tcW w:w="850" w:type="dxa"/>
            <w:tcBorders>
              <w:left w:val="single" w:sz="4" w:space="0" w:color="auto"/>
              <w:bottom w:val="single" w:sz="4" w:space="0" w:color="auto"/>
              <w:right w:val="single" w:sz="4" w:space="0" w:color="auto"/>
            </w:tcBorders>
          </w:tcPr>
          <w:p w:rsidR="00242C36" w:rsidRPr="00F00C51" w:rsidRDefault="00242C36" w:rsidP="00242C36">
            <w:pPr>
              <w:keepNext/>
              <w:keepLines/>
              <w:pBdr>
                <w:bar w:val="single" w:sz="6" w:color="808080"/>
              </w:pBdr>
              <w:jc w:val="right"/>
              <w:outlineLvl w:val="1"/>
              <w:rPr>
                <w:bCs/>
                <w:sz w:val="20"/>
                <w:szCs w:val="20"/>
              </w:rPr>
            </w:pPr>
            <w:r w:rsidRPr="00F00C51">
              <w:rPr>
                <w:bCs/>
                <w:sz w:val="20"/>
                <w:szCs w:val="20"/>
              </w:rPr>
              <w:t>2007</w:t>
            </w:r>
          </w:p>
        </w:tc>
        <w:tc>
          <w:tcPr>
            <w:tcW w:w="851" w:type="dxa"/>
            <w:tcBorders>
              <w:top w:val="single" w:sz="4" w:space="0" w:color="auto"/>
              <w:left w:val="single" w:sz="4" w:space="0" w:color="auto"/>
              <w:bottom w:val="single" w:sz="4" w:space="0" w:color="auto"/>
              <w:right w:val="single" w:sz="4" w:space="0" w:color="auto"/>
            </w:tcBorders>
          </w:tcPr>
          <w:p w:rsidR="00242C36" w:rsidRPr="00F00C51" w:rsidRDefault="00242C36" w:rsidP="00242C36">
            <w:pPr>
              <w:keepNext/>
              <w:keepLines/>
              <w:pBdr>
                <w:bar w:val="single" w:sz="6" w:color="808080"/>
              </w:pBdr>
              <w:jc w:val="right"/>
              <w:outlineLvl w:val="1"/>
              <w:rPr>
                <w:bCs/>
                <w:sz w:val="20"/>
                <w:szCs w:val="20"/>
              </w:rPr>
            </w:pPr>
            <w:r w:rsidRPr="00F00C51">
              <w:rPr>
                <w:bCs/>
                <w:sz w:val="20"/>
                <w:szCs w:val="20"/>
              </w:rPr>
              <w:t>2008</w:t>
            </w:r>
          </w:p>
        </w:tc>
        <w:tc>
          <w:tcPr>
            <w:tcW w:w="892" w:type="dxa"/>
            <w:tcBorders>
              <w:top w:val="single" w:sz="4" w:space="0" w:color="auto"/>
              <w:left w:val="single" w:sz="4" w:space="0" w:color="auto"/>
              <w:bottom w:val="single" w:sz="4" w:space="0" w:color="auto"/>
              <w:right w:val="single" w:sz="4" w:space="0" w:color="auto"/>
            </w:tcBorders>
          </w:tcPr>
          <w:p w:rsidR="00242C36" w:rsidRPr="00F00C51" w:rsidRDefault="00242C36" w:rsidP="00242C36">
            <w:pPr>
              <w:keepNext/>
              <w:keepLines/>
              <w:pBdr>
                <w:bar w:val="single" w:sz="6" w:color="808080"/>
              </w:pBdr>
              <w:jc w:val="right"/>
              <w:outlineLvl w:val="1"/>
              <w:rPr>
                <w:bCs/>
                <w:sz w:val="20"/>
                <w:szCs w:val="20"/>
              </w:rPr>
            </w:pPr>
            <w:r w:rsidRPr="00F00C51">
              <w:rPr>
                <w:bCs/>
                <w:sz w:val="20"/>
                <w:szCs w:val="20"/>
              </w:rPr>
              <w:t>2009</w:t>
            </w:r>
          </w:p>
        </w:tc>
        <w:tc>
          <w:tcPr>
            <w:tcW w:w="809" w:type="dxa"/>
            <w:tcBorders>
              <w:top w:val="single" w:sz="4" w:space="0" w:color="auto"/>
              <w:left w:val="single" w:sz="4" w:space="0" w:color="auto"/>
              <w:bottom w:val="single" w:sz="4" w:space="0" w:color="auto"/>
              <w:right w:val="single" w:sz="4" w:space="0" w:color="auto"/>
            </w:tcBorders>
          </w:tcPr>
          <w:p w:rsidR="00242C36" w:rsidRPr="00F00C51" w:rsidRDefault="00242C36" w:rsidP="00242C36">
            <w:pPr>
              <w:keepNext/>
              <w:keepLines/>
              <w:pBdr>
                <w:bar w:val="single" w:sz="6" w:color="808080"/>
              </w:pBdr>
              <w:jc w:val="right"/>
              <w:outlineLvl w:val="1"/>
              <w:rPr>
                <w:bCs/>
                <w:sz w:val="20"/>
                <w:szCs w:val="20"/>
              </w:rPr>
            </w:pPr>
            <w:r w:rsidRPr="00F00C51">
              <w:rPr>
                <w:bCs/>
                <w:sz w:val="20"/>
                <w:szCs w:val="20"/>
              </w:rPr>
              <w:t>2010</w:t>
            </w:r>
          </w:p>
        </w:tc>
        <w:tc>
          <w:tcPr>
            <w:tcW w:w="850" w:type="dxa"/>
            <w:tcBorders>
              <w:top w:val="single" w:sz="4" w:space="0" w:color="auto"/>
              <w:left w:val="single" w:sz="4" w:space="0" w:color="auto"/>
              <w:bottom w:val="single" w:sz="4" w:space="0" w:color="auto"/>
              <w:right w:val="single" w:sz="4" w:space="0" w:color="auto"/>
            </w:tcBorders>
          </w:tcPr>
          <w:p w:rsidR="00242C36" w:rsidRPr="00F00C51" w:rsidRDefault="00242C36" w:rsidP="00242C36">
            <w:pPr>
              <w:keepNext/>
              <w:keepLines/>
              <w:pBdr>
                <w:bar w:val="single" w:sz="6" w:color="808080"/>
              </w:pBdr>
              <w:jc w:val="right"/>
              <w:outlineLvl w:val="1"/>
              <w:rPr>
                <w:bCs/>
                <w:sz w:val="20"/>
                <w:szCs w:val="20"/>
              </w:rPr>
            </w:pPr>
            <w:r w:rsidRPr="00F00C51">
              <w:rPr>
                <w:bCs/>
                <w:sz w:val="20"/>
                <w:szCs w:val="20"/>
              </w:rPr>
              <w:t>2011</w:t>
            </w:r>
          </w:p>
        </w:tc>
        <w:tc>
          <w:tcPr>
            <w:tcW w:w="851" w:type="dxa"/>
            <w:tcBorders>
              <w:top w:val="single" w:sz="4" w:space="0" w:color="auto"/>
              <w:left w:val="single" w:sz="4" w:space="0" w:color="auto"/>
              <w:bottom w:val="single" w:sz="4" w:space="0" w:color="auto"/>
              <w:right w:val="single" w:sz="4" w:space="0" w:color="auto"/>
            </w:tcBorders>
          </w:tcPr>
          <w:p w:rsidR="00242C36" w:rsidRPr="00F00C51" w:rsidRDefault="00242C36" w:rsidP="00242C36">
            <w:pPr>
              <w:keepNext/>
              <w:keepLines/>
              <w:pBdr>
                <w:bar w:val="single" w:sz="6" w:color="808080"/>
              </w:pBdr>
              <w:jc w:val="right"/>
              <w:outlineLvl w:val="1"/>
              <w:rPr>
                <w:bCs/>
                <w:sz w:val="20"/>
                <w:szCs w:val="20"/>
              </w:rPr>
            </w:pPr>
            <w:r>
              <w:rPr>
                <w:bCs/>
                <w:sz w:val="20"/>
                <w:szCs w:val="20"/>
              </w:rPr>
              <w:t>2012</w:t>
            </w:r>
          </w:p>
        </w:tc>
      </w:tr>
      <w:tr w:rsidR="00242C36" w:rsidRPr="00F00C51" w:rsidTr="00242C36">
        <w:trPr>
          <w:trHeight w:val="207"/>
        </w:trPr>
        <w:tc>
          <w:tcPr>
            <w:tcW w:w="3828" w:type="dxa"/>
            <w:tcBorders>
              <w:top w:val="single" w:sz="4" w:space="0" w:color="auto"/>
              <w:left w:val="single" w:sz="4" w:space="0" w:color="auto"/>
              <w:bottom w:val="single" w:sz="4" w:space="0" w:color="auto"/>
              <w:right w:val="single" w:sz="4" w:space="0" w:color="auto"/>
            </w:tcBorders>
          </w:tcPr>
          <w:p w:rsidR="00242C36" w:rsidRPr="00F00C51" w:rsidRDefault="00242C36" w:rsidP="00242C36">
            <w:pPr>
              <w:keepNext/>
              <w:keepLines/>
              <w:pBdr>
                <w:bar w:val="single" w:sz="6" w:color="808080"/>
              </w:pBdr>
              <w:outlineLvl w:val="1"/>
              <w:rPr>
                <w:bCs/>
                <w:sz w:val="20"/>
                <w:szCs w:val="20"/>
              </w:rPr>
            </w:pPr>
            <w:r w:rsidRPr="00F00C51">
              <w:rPr>
                <w:bCs/>
                <w:sz w:val="20"/>
                <w:szCs w:val="20"/>
              </w:rPr>
              <w:t>Družstvo</w:t>
            </w:r>
          </w:p>
        </w:tc>
        <w:tc>
          <w:tcPr>
            <w:tcW w:w="850" w:type="dxa"/>
            <w:tcBorders>
              <w:top w:val="single" w:sz="4" w:space="0" w:color="auto"/>
              <w:left w:val="single" w:sz="4" w:space="0" w:color="auto"/>
              <w:bottom w:val="single" w:sz="4" w:space="0" w:color="auto"/>
              <w:right w:val="single" w:sz="4" w:space="0" w:color="auto"/>
            </w:tcBorders>
            <w:vAlign w:val="center"/>
          </w:tcPr>
          <w:p w:rsidR="00242C36" w:rsidRPr="00F00C51" w:rsidRDefault="00242C36" w:rsidP="00242C36">
            <w:pPr>
              <w:keepNext/>
              <w:keepLines/>
              <w:pBdr>
                <w:bar w:val="single" w:sz="6" w:color="808080"/>
              </w:pBdr>
              <w:jc w:val="right"/>
              <w:outlineLvl w:val="1"/>
              <w:rPr>
                <w:bCs/>
                <w:sz w:val="20"/>
                <w:szCs w:val="20"/>
              </w:rPr>
            </w:pPr>
            <w:r w:rsidRPr="00F00C51">
              <w:rPr>
                <w:bCs/>
                <w:sz w:val="20"/>
                <w:szCs w:val="20"/>
              </w:rPr>
              <w:t>52</w:t>
            </w:r>
          </w:p>
        </w:tc>
        <w:tc>
          <w:tcPr>
            <w:tcW w:w="851" w:type="dxa"/>
            <w:tcBorders>
              <w:top w:val="single" w:sz="4" w:space="0" w:color="auto"/>
              <w:left w:val="single" w:sz="4" w:space="0" w:color="auto"/>
              <w:bottom w:val="single" w:sz="4" w:space="0" w:color="auto"/>
              <w:right w:val="single" w:sz="4" w:space="0" w:color="auto"/>
            </w:tcBorders>
            <w:vAlign w:val="bottom"/>
          </w:tcPr>
          <w:p w:rsidR="00242C36" w:rsidRPr="00F00C51" w:rsidRDefault="00242C36" w:rsidP="00242C36">
            <w:pPr>
              <w:keepNext/>
              <w:keepLines/>
              <w:pBdr>
                <w:bar w:val="single" w:sz="6" w:color="808080"/>
              </w:pBdr>
              <w:jc w:val="right"/>
              <w:outlineLvl w:val="1"/>
              <w:rPr>
                <w:bCs/>
                <w:sz w:val="20"/>
                <w:szCs w:val="20"/>
              </w:rPr>
            </w:pPr>
            <w:r w:rsidRPr="00F00C51">
              <w:rPr>
                <w:bCs/>
                <w:sz w:val="20"/>
                <w:szCs w:val="20"/>
              </w:rPr>
              <w:t>68</w:t>
            </w:r>
          </w:p>
        </w:tc>
        <w:tc>
          <w:tcPr>
            <w:tcW w:w="892" w:type="dxa"/>
            <w:tcBorders>
              <w:top w:val="single" w:sz="4" w:space="0" w:color="auto"/>
              <w:left w:val="single" w:sz="4" w:space="0" w:color="auto"/>
              <w:bottom w:val="single" w:sz="4" w:space="0" w:color="auto"/>
              <w:right w:val="single" w:sz="4" w:space="0" w:color="auto"/>
            </w:tcBorders>
            <w:vAlign w:val="bottom"/>
          </w:tcPr>
          <w:p w:rsidR="00242C36" w:rsidRPr="00F00C51" w:rsidRDefault="00242C36" w:rsidP="00242C36">
            <w:pPr>
              <w:keepNext/>
              <w:keepLines/>
              <w:pBdr>
                <w:bar w:val="single" w:sz="6" w:color="808080"/>
              </w:pBdr>
              <w:jc w:val="right"/>
              <w:outlineLvl w:val="1"/>
              <w:rPr>
                <w:bCs/>
                <w:sz w:val="20"/>
                <w:szCs w:val="20"/>
              </w:rPr>
            </w:pPr>
            <w:r w:rsidRPr="00F00C51">
              <w:rPr>
                <w:bCs/>
                <w:sz w:val="20"/>
                <w:szCs w:val="20"/>
              </w:rPr>
              <w:t>71</w:t>
            </w:r>
          </w:p>
        </w:tc>
        <w:tc>
          <w:tcPr>
            <w:tcW w:w="809" w:type="dxa"/>
            <w:tcBorders>
              <w:top w:val="single" w:sz="4" w:space="0" w:color="auto"/>
              <w:left w:val="single" w:sz="4" w:space="0" w:color="auto"/>
              <w:bottom w:val="single" w:sz="4" w:space="0" w:color="auto"/>
              <w:right w:val="single" w:sz="4" w:space="0" w:color="auto"/>
            </w:tcBorders>
            <w:vAlign w:val="bottom"/>
          </w:tcPr>
          <w:p w:rsidR="00242C36" w:rsidRPr="00F00C51" w:rsidRDefault="00242C36" w:rsidP="00242C36">
            <w:pPr>
              <w:keepNext/>
              <w:keepLines/>
              <w:pBdr>
                <w:bar w:val="single" w:sz="6" w:color="808080"/>
              </w:pBdr>
              <w:jc w:val="right"/>
              <w:outlineLvl w:val="1"/>
              <w:rPr>
                <w:bCs/>
                <w:sz w:val="20"/>
                <w:szCs w:val="20"/>
              </w:rPr>
            </w:pPr>
            <w:r w:rsidRPr="00F00C51">
              <w:rPr>
                <w:bCs/>
                <w:sz w:val="20"/>
                <w:szCs w:val="20"/>
              </w:rPr>
              <w:t>83</w:t>
            </w:r>
          </w:p>
        </w:tc>
        <w:tc>
          <w:tcPr>
            <w:tcW w:w="850" w:type="dxa"/>
            <w:tcBorders>
              <w:top w:val="single" w:sz="4" w:space="0" w:color="auto"/>
              <w:left w:val="single" w:sz="4" w:space="0" w:color="auto"/>
              <w:bottom w:val="single" w:sz="4" w:space="0" w:color="auto"/>
              <w:right w:val="single" w:sz="4" w:space="0" w:color="auto"/>
            </w:tcBorders>
          </w:tcPr>
          <w:p w:rsidR="00242C36" w:rsidRPr="00F00C51" w:rsidRDefault="00242C36" w:rsidP="00242C36">
            <w:pPr>
              <w:keepNext/>
              <w:keepLines/>
              <w:pBdr>
                <w:bar w:val="single" w:sz="6" w:color="808080"/>
              </w:pBdr>
              <w:jc w:val="right"/>
              <w:outlineLvl w:val="1"/>
              <w:rPr>
                <w:bCs/>
                <w:sz w:val="20"/>
                <w:szCs w:val="20"/>
              </w:rPr>
            </w:pPr>
            <w:r w:rsidRPr="00F00C51">
              <w:rPr>
                <w:bCs/>
                <w:sz w:val="20"/>
                <w:szCs w:val="20"/>
              </w:rPr>
              <w:t>79</w:t>
            </w:r>
          </w:p>
        </w:tc>
        <w:tc>
          <w:tcPr>
            <w:tcW w:w="851" w:type="dxa"/>
            <w:tcBorders>
              <w:top w:val="single" w:sz="4" w:space="0" w:color="auto"/>
              <w:left w:val="single" w:sz="4" w:space="0" w:color="auto"/>
              <w:bottom w:val="single" w:sz="4" w:space="0" w:color="auto"/>
              <w:right w:val="single" w:sz="4" w:space="0" w:color="auto"/>
            </w:tcBorders>
            <w:vAlign w:val="bottom"/>
          </w:tcPr>
          <w:p w:rsidR="00242C36" w:rsidRPr="007E6748" w:rsidRDefault="00242C36" w:rsidP="00242C36">
            <w:pPr>
              <w:keepNext/>
              <w:keepLines/>
              <w:jc w:val="right"/>
              <w:outlineLvl w:val="1"/>
              <w:rPr>
                <w:bCs/>
                <w:sz w:val="20"/>
                <w:szCs w:val="20"/>
              </w:rPr>
            </w:pPr>
            <w:r w:rsidRPr="007E6748">
              <w:rPr>
                <w:bCs/>
                <w:sz w:val="20"/>
                <w:szCs w:val="20"/>
              </w:rPr>
              <w:t>78</w:t>
            </w:r>
          </w:p>
        </w:tc>
      </w:tr>
      <w:tr w:rsidR="00242C36" w:rsidRPr="00F00C51" w:rsidTr="00242C36">
        <w:trPr>
          <w:trHeight w:val="256"/>
        </w:trPr>
        <w:tc>
          <w:tcPr>
            <w:tcW w:w="3828" w:type="dxa"/>
            <w:tcBorders>
              <w:top w:val="single" w:sz="4" w:space="0" w:color="auto"/>
              <w:left w:val="single" w:sz="4" w:space="0" w:color="auto"/>
              <w:bottom w:val="single" w:sz="4" w:space="0" w:color="auto"/>
              <w:right w:val="single" w:sz="4" w:space="0" w:color="auto"/>
            </w:tcBorders>
          </w:tcPr>
          <w:p w:rsidR="00242C36" w:rsidRPr="00F00C51" w:rsidRDefault="00242C36" w:rsidP="00242C36">
            <w:pPr>
              <w:keepNext/>
              <w:keepLines/>
              <w:pBdr>
                <w:bar w:val="single" w:sz="6" w:color="808080"/>
              </w:pBdr>
              <w:outlineLvl w:val="1"/>
              <w:rPr>
                <w:bCs/>
                <w:sz w:val="20"/>
                <w:szCs w:val="20"/>
              </w:rPr>
            </w:pPr>
            <w:r w:rsidRPr="00F00C51">
              <w:rPr>
                <w:bCs/>
                <w:sz w:val="20"/>
                <w:szCs w:val="20"/>
              </w:rPr>
              <w:t>Spoločnosť s ručením obmedzeným</w:t>
            </w:r>
          </w:p>
        </w:tc>
        <w:tc>
          <w:tcPr>
            <w:tcW w:w="850" w:type="dxa"/>
            <w:tcBorders>
              <w:top w:val="single" w:sz="4" w:space="0" w:color="auto"/>
              <w:left w:val="single" w:sz="4" w:space="0" w:color="auto"/>
              <w:bottom w:val="single" w:sz="4" w:space="0" w:color="auto"/>
              <w:right w:val="single" w:sz="4" w:space="0" w:color="auto"/>
            </w:tcBorders>
            <w:vAlign w:val="center"/>
          </w:tcPr>
          <w:p w:rsidR="00242C36" w:rsidRPr="00F00C51" w:rsidRDefault="00242C36" w:rsidP="00242C36">
            <w:pPr>
              <w:keepNext/>
              <w:keepLines/>
              <w:pBdr>
                <w:bar w:val="single" w:sz="6" w:color="808080"/>
              </w:pBdr>
              <w:jc w:val="right"/>
              <w:outlineLvl w:val="1"/>
              <w:rPr>
                <w:bCs/>
                <w:sz w:val="20"/>
                <w:szCs w:val="20"/>
              </w:rPr>
            </w:pPr>
            <w:r w:rsidRPr="00F00C51">
              <w:rPr>
                <w:bCs/>
                <w:sz w:val="20"/>
                <w:szCs w:val="20"/>
              </w:rPr>
              <w:t>148</w:t>
            </w:r>
          </w:p>
        </w:tc>
        <w:tc>
          <w:tcPr>
            <w:tcW w:w="851" w:type="dxa"/>
            <w:tcBorders>
              <w:top w:val="single" w:sz="4" w:space="0" w:color="auto"/>
              <w:left w:val="single" w:sz="4" w:space="0" w:color="auto"/>
              <w:bottom w:val="single" w:sz="4" w:space="0" w:color="auto"/>
              <w:right w:val="single" w:sz="4" w:space="0" w:color="auto"/>
            </w:tcBorders>
            <w:vAlign w:val="center"/>
          </w:tcPr>
          <w:p w:rsidR="00242C36" w:rsidRPr="00F00C51" w:rsidRDefault="00242C36" w:rsidP="00242C36">
            <w:pPr>
              <w:keepNext/>
              <w:keepLines/>
              <w:pBdr>
                <w:bar w:val="single" w:sz="6" w:color="808080"/>
              </w:pBdr>
              <w:jc w:val="right"/>
              <w:outlineLvl w:val="1"/>
              <w:rPr>
                <w:bCs/>
                <w:sz w:val="20"/>
                <w:szCs w:val="20"/>
              </w:rPr>
            </w:pPr>
            <w:r w:rsidRPr="00F00C51">
              <w:rPr>
                <w:bCs/>
                <w:sz w:val="20"/>
                <w:szCs w:val="20"/>
              </w:rPr>
              <w:t>181</w:t>
            </w:r>
          </w:p>
        </w:tc>
        <w:tc>
          <w:tcPr>
            <w:tcW w:w="892" w:type="dxa"/>
            <w:tcBorders>
              <w:top w:val="single" w:sz="4" w:space="0" w:color="auto"/>
              <w:left w:val="single" w:sz="4" w:space="0" w:color="auto"/>
              <w:bottom w:val="single" w:sz="4" w:space="0" w:color="auto"/>
              <w:right w:val="single" w:sz="4" w:space="0" w:color="auto"/>
            </w:tcBorders>
            <w:vAlign w:val="center"/>
          </w:tcPr>
          <w:p w:rsidR="00242C36" w:rsidRPr="00F00C51" w:rsidRDefault="00242C36" w:rsidP="00242C36">
            <w:pPr>
              <w:keepNext/>
              <w:keepLines/>
              <w:pBdr>
                <w:bar w:val="single" w:sz="6" w:color="808080"/>
              </w:pBdr>
              <w:jc w:val="right"/>
              <w:outlineLvl w:val="1"/>
              <w:rPr>
                <w:bCs/>
                <w:sz w:val="20"/>
                <w:szCs w:val="20"/>
              </w:rPr>
            </w:pPr>
            <w:r w:rsidRPr="00F00C51">
              <w:rPr>
                <w:bCs/>
                <w:sz w:val="20"/>
                <w:szCs w:val="20"/>
              </w:rPr>
              <w:t>208</w:t>
            </w:r>
          </w:p>
        </w:tc>
        <w:tc>
          <w:tcPr>
            <w:tcW w:w="809" w:type="dxa"/>
            <w:tcBorders>
              <w:top w:val="single" w:sz="4" w:space="0" w:color="auto"/>
              <w:left w:val="single" w:sz="4" w:space="0" w:color="auto"/>
              <w:bottom w:val="single" w:sz="4" w:space="0" w:color="auto"/>
              <w:right w:val="single" w:sz="4" w:space="0" w:color="auto"/>
            </w:tcBorders>
            <w:vAlign w:val="center"/>
          </w:tcPr>
          <w:p w:rsidR="00242C36" w:rsidRPr="00F00C51" w:rsidRDefault="00242C36" w:rsidP="00242C36">
            <w:pPr>
              <w:keepNext/>
              <w:keepLines/>
              <w:pBdr>
                <w:bar w:val="single" w:sz="6" w:color="808080"/>
              </w:pBdr>
              <w:jc w:val="right"/>
              <w:outlineLvl w:val="1"/>
              <w:rPr>
                <w:bCs/>
                <w:sz w:val="20"/>
                <w:szCs w:val="20"/>
              </w:rPr>
            </w:pPr>
            <w:r w:rsidRPr="00F00C51">
              <w:rPr>
                <w:bCs/>
                <w:sz w:val="20"/>
                <w:szCs w:val="20"/>
              </w:rPr>
              <w:t>238</w:t>
            </w:r>
          </w:p>
        </w:tc>
        <w:tc>
          <w:tcPr>
            <w:tcW w:w="850" w:type="dxa"/>
            <w:tcBorders>
              <w:top w:val="single" w:sz="4" w:space="0" w:color="auto"/>
              <w:left w:val="single" w:sz="4" w:space="0" w:color="auto"/>
              <w:bottom w:val="single" w:sz="4" w:space="0" w:color="auto"/>
              <w:right w:val="single" w:sz="4" w:space="0" w:color="auto"/>
            </w:tcBorders>
            <w:vAlign w:val="center"/>
          </w:tcPr>
          <w:p w:rsidR="00242C36" w:rsidRPr="00F00C51" w:rsidRDefault="00242C36" w:rsidP="00242C36">
            <w:pPr>
              <w:keepNext/>
              <w:keepLines/>
              <w:pBdr>
                <w:bar w:val="single" w:sz="6" w:color="808080"/>
              </w:pBdr>
              <w:jc w:val="right"/>
              <w:outlineLvl w:val="1"/>
              <w:rPr>
                <w:bCs/>
                <w:sz w:val="20"/>
                <w:szCs w:val="20"/>
              </w:rPr>
            </w:pPr>
            <w:r w:rsidRPr="00F00C51">
              <w:rPr>
                <w:bCs/>
                <w:sz w:val="20"/>
                <w:szCs w:val="20"/>
              </w:rPr>
              <w:t>221</w:t>
            </w:r>
          </w:p>
        </w:tc>
        <w:tc>
          <w:tcPr>
            <w:tcW w:w="851" w:type="dxa"/>
            <w:tcBorders>
              <w:top w:val="single" w:sz="4" w:space="0" w:color="auto"/>
              <w:left w:val="single" w:sz="4" w:space="0" w:color="auto"/>
              <w:bottom w:val="single" w:sz="4" w:space="0" w:color="auto"/>
              <w:right w:val="single" w:sz="4" w:space="0" w:color="auto"/>
            </w:tcBorders>
            <w:vAlign w:val="bottom"/>
          </w:tcPr>
          <w:p w:rsidR="00242C36" w:rsidRPr="007E6748" w:rsidRDefault="00242C36" w:rsidP="00242C36">
            <w:pPr>
              <w:keepNext/>
              <w:keepLines/>
              <w:jc w:val="right"/>
              <w:outlineLvl w:val="1"/>
              <w:rPr>
                <w:bCs/>
                <w:sz w:val="20"/>
                <w:szCs w:val="20"/>
              </w:rPr>
            </w:pPr>
            <w:r w:rsidRPr="007E6748">
              <w:rPr>
                <w:bCs/>
                <w:sz w:val="20"/>
                <w:szCs w:val="20"/>
              </w:rPr>
              <w:t>233</w:t>
            </w:r>
          </w:p>
        </w:tc>
      </w:tr>
      <w:tr w:rsidR="00242C36" w:rsidRPr="00F00C51" w:rsidTr="00242C36">
        <w:trPr>
          <w:trHeight w:val="256"/>
        </w:trPr>
        <w:tc>
          <w:tcPr>
            <w:tcW w:w="3828" w:type="dxa"/>
            <w:tcBorders>
              <w:top w:val="single" w:sz="4" w:space="0" w:color="auto"/>
              <w:left w:val="single" w:sz="4" w:space="0" w:color="auto"/>
              <w:bottom w:val="single" w:sz="4" w:space="0" w:color="auto"/>
              <w:right w:val="single" w:sz="4" w:space="0" w:color="auto"/>
            </w:tcBorders>
          </w:tcPr>
          <w:p w:rsidR="00242C36" w:rsidRPr="00F00C51" w:rsidRDefault="00242C36" w:rsidP="00242C36">
            <w:pPr>
              <w:keepNext/>
              <w:keepLines/>
              <w:pBdr>
                <w:bar w:val="single" w:sz="6" w:color="808080"/>
              </w:pBdr>
              <w:outlineLvl w:val="1"/>
              <w:rPr>
                <w:bCs/>
                <w:sz w:val="20"/>
                <w:szCs w:val="20"/>
              </w:rPr>
            </w:pPr>
            <w:r w:rsidRPr="00F00C51">
              <w:rPr>
                <w:bCs/>
                <w:sz w:val="20"/>
                <w:szCs w:val="20"/>
              </w:rPr>
              <w:t>Akciová spoločnosť</w:t>
            </w:r>
          </w:p>
        </w:tc>
        <w:tc>
          <w:tcPr>
            <w:tcW w:w="850" w:type="dxa"/>
            <w:tcBorders>
              <w:top w:val="single" w:sz="4" w:space="0" w:color="auto"/>
              <w:left w:val="single" w:sz="4" w:space="0" w:color="auto"/>
              <w:bottom w:val="single" w:sz="4" w:space="0" w:color="auto"/>
              <w:right w:val="single" w:sz="4" w:space="0" w:color="auto"/>
            </w:tcBorders>
            <w:vAlign w:val="center"/>
          </w:tcPr>
          <w:p w:rsidR="00242C36" w:rsidRPr="00F00C51" w:rsidRDefault="00242C36" w:rsidP="00242C36">
            <w:pPr>
              <w:keepNext/>
              <w:keepLines/>
              <w:pBdr>
                <w:bar w:val="single" w:sz="6" w:color="808080"/>
              </w:pBdr>
              <w:jc w:val="right"/>
              <w:outlineLvl w:val="1"/>
              <w:rPr>
                <w:bCs/>
                <w:sz w:val="20"/>
                <w:szCs w:val="20"/>
              </w:rPr>
            </w:pPr>
            <w:r w:rsidRPr="00F00C51">
              <w:rPr>
                <w:bCs/>
                <w:sz w:val="20"/>
                <w:szCs w:val="20"/>
              </w:rPr>
              <w:t>17</w:t>
            </w:r>
          </w:p>
        </w:tc>
        <w:tc>
          <w:tcPr>
            <w:tcW w:w="851" w:type="dxa"/>
            <w:tcBorders>
              <w:top w:val="single" w:sz="4" w:space="0" w:color="auto"/>
              <w:left w:val="single" w:sz="4" w:space="0" w:color="auto"/>
              <w:bottom w:val="single" w:sz="4" w:space="0" w:color="auto"/>
              <w:right w:val="single" w:sz="4" w:space="0" w:color="auto"/>
            </w:tcBorders>
            <w:vAlign w:val="bottom"/>
          </w:tcPr>
          <w:p w:rsidR="00242C36" w:rsidRPr="00F00C51" w:rsidRDefault="00242C36" w:rsidP="00242C36">
            <w:pPr>
              <w:keepNext/>
              <w:keepLines/>
              <w:pBdr>
                <w:bar w:val="single" w:sz="6" w:color="808080"/>
              </w:pBdr>
              <w:jc w:val="right"/>
              <w:outlineLvl w:val="1"/>
              <w:rPr>
                <w:bCs/>
                <w:sz w:val="20"/>
                <w:szCs w:val="20"/>
              </w:rPr>
            </w:pPr>
            <w:r w:rsidRPr="00F00C51">
              <w:rPr>
                <w:bCs/>
                <w:sz w:val="20"/>
                <w:szCs w:val="20"/>
              </w:rPr>
              <w:t>24</w:t>
            </w:r>
          </w:p>
        </w:tc>
        <w:tc>
          <w:tcPr>
            <w:tcW w:w="892" w:type="dxa"/>
            <w:tcBorders>
              <w:top w:val="single" w:sz="4" w:space="0" w:color="auto"/>
              <w:left w:val="single" w:sz="4" w:space="0" w:color="auto"/>
              <w:bottom w:val="single" w:sz="4" w:space="0" w:color="auto"/>
              <w:right w:val="single" w:sz="4" w:space="0" w:color="auto"/>
            </w:tcBorders>
            <w:vAlign w:val="bottom"/>
          </w:tcPr>
          <w:p w:rsidR="00242C36" w:rsidRPr="00F00C51" w:rsidRDefault="00242C36" w:rsidP="00242C36">
            <w:pPr>
              <w:keepNext/>
              <w:keepLines/>
              <w:pBdr>
                <w:bar w:val="single" w:sz="6" w:color="808080"/>
              </w:pBdr>
              <w:jc w:val="right"/>
              <w:outlineLvl w:val="1"/>
              <w:rPr>
                <w:bCs/>
                <w:sz w:val="20"/>
                <w:szCs w:val="20"/>
              </w:rPr>
            </w:pPr>
            <w:r w:rsidRPr="00F00C51">
              <w:rPr>
                <w:bCs/>
                <w:sz w:val="20"/>
                <w:szCs w:val="20"/>
              </w:rPr>
              <w:t>26</w:t>
            </w:r>
          </w:p>
        </w:tc>
        <w:tc>
          <w:tcPr>
            <w:tcW w:w="809" w:type="dxa"/>
            <w:tcBorders>
              <w:top w:val="single" w:sz="4" w:space="0" w:color="auto"/>
              <w:left w:val="single" w:sz="4" w:space="0" w:color="auto"/>
              <w:bottom w:val="single" w:sz="4" w:space="0" w:color="auto"/>
              <w:right w:val="single" w:sz="4" w:space="0" w:color="auto"/>
            </w:tcBorders>
            <w:vAlign w:val="bottom"/>
          </w:tcPr>
          <w:p w:rsidR="00242C36" w:rsidRPr="00F00C51" w:rsidRDefault="00242C36" w:rsidP="00242C36">
            <w:pPr>
              <w:keepNext/>
              <w:keepLines/>
              <w:pBdr>
                <w:bar w:val="single" w:sz="6" w:color="808080"/>
              </w:pBdr>
              <w:jc w:val="right"/>
              <w:outlineLvl w:val="1"/>
              <w:rPr>
                <w:bCs/>
                <w:sz w:val="20"/>
                <w:szCs w:val="20"/>
              </w:rPr>
            </w:pPr>
            <w:r w:rsidRPr="00F00C51">
              <w:rPr>
                <w:bCs/>
                <w:sz w:val="20"/>
                <w:szCs w:val="20"/>
              </w:rPr>
              <w:t>23</w:t>
            </w:r>
          </w:p>
        </w:tc>
        <w:tc>
          <w:tcPr>
            <w:tcW w:w="850" w:type="dxa"/>
            <w:tcBorders>
              <w:top w:val="single" w:sz="4" w:space="0" w:color="auto"/>
              <w:left w:val="single" w:sz="4" w:space="0" w:color="auto"/>
              <w:bottom w:val="single" w:sz="4" w:space="0" w:color="auto"/>
              <w:right w:val="single" w:sz="4" w:space="0" w:color="auto"/>
            </w:tcBorders>
            <w:vAlign w:val="bottom"/>
          </w:tcPr>
          <w:p w:rsidR="00242C36" w:rsidRPr="00F00C51" w:rsidRDefault="00242C36" w:rsidP="00242C36">
            <w:pPr>
              <w:keepNext/>
              <w:keepLines/>
              <w:pBdr>
                <w:bar w:val="single" w:sz="6" w:color="808080"/>
              </w:pBdr>
              <w:jc w:val="right"/>
              <w:outlineLvl w:val="1"/>
              <w:rPr>
                <w:bCs/>
                <w:sz w:val="20"/>
                <w:szCs w:val="20"/>
              </w:rPr>
            </w:pPr>
            <w:r w:rsidRPr="00F00C51">
              <w:rPr>
                <w:bCs/>
                <w:sz w:val="20"/>
                <w:szCs w:val="20"/>
              </w:rPr>
              <w:t>22</w:t>
            </w:r>
          </w:p>
        </w:tc>
        <w:tc>
          <w:tcPr>
            <w:tcW w:w="851" w:type="dxa"/>
            <w:tcBorders>
              <w:top w:val="single" w:sz="4" w:space="0" w:color="auto"/>
              <w:left w:val="single" w:sz="4" w:space="0" w:color="auto"/>
              <w:bottom w:val="single" w:sz="4" w:space="0" w:color="auto"/>
              <w:right w:val="single" w:sz="4" w:space="0" w:color="auto"/>
            </w:tcBorders>
            <w:vAlign w:val="bottom"/>
          </w:tcPr>
          <w:p w:rsidR="00242C36" w:rsidRPr="007E6748" w:rsidRDefault="00242C36" w:rsidP="00242C36">
            <w:pPr>
              <w:keepNext/>
              <w:keepLines/>
              <w:jc w:val="right"/>
              <w:outlineLvl w:val="1"/>
              <w:rPr>
                <w:bCs/>
                <w:sz w:val="20"/>
                <w:szCs w:val="20"/>
              </w:rPr>
            </w:pPr>
            <w:r w:rsidRPr="007E6748">
              <w:rPr>
                <w:bCs/>
                <w:sz w:val="20"/>
                <w:szCs w:val="20"/>
              </w:rPr>
              <w:t>21</w:t>
            </w:r>
          </w:p>
        </w:tc>
      </w:tr>
      <w:tr w:rsidR="00242C36" w:rsidRPr="00F00C51" w:rsidTr="00242C36">
        <w:trPr>
          <w:trHeight w:val="256"/>
        </w:trPr>
        <w:tc>
          <w:tcPr>
            <w:tcW w:w="3828" w:type="dxa"/>
            <w:tcBorders>
              <w:top w:val="single" w:sz="4" w:space="0" w:color="auto"/>
              <w:left w:val="single" w:sz="4" w:space="0" w:color="auto"/>
              <w:bottom w:val="single" w:sz="4" w:space="0" w:color="auto"/>
              <w:right w:val="single" w:sz="4" w:space="0" w:color="auto"/>
            </w:tcBorders>
          </w:tcPr>
          <w:p w:rsidR="00242C36" w:rsidRPr="00F00C51" w:rsidRDefault="00242C36" w:rsidP="00242C36">
            <w:pPr>
              <w:keepNext/>
              <w:keepLines/>
              <w:pBdr>
                <w:bar w:val="single" w:sz="6" w:color="808080"/>
              </w:pBdr>
              <w:outlineLvl w:val="1"/>
              <w:rPr>
                <w:bCs/>
                <w:sz w:val="20"/>
                <w:szCs w:val="20"/>
              </w:rPr>
            </w:pPr>
            <w:r w:rsidRPr="00F00C51">
              <w:rPr>
                <w:bCs/>
                <w:sz w:val="20"/>
                <w:szCs w:val="20"/>
              </w:rPr>
              <w:t>SHR</w:t>
            </w:r>
          </w:p>
        </w:tc>
        <w:tc>
          <w:tcPr>
            <w:tcW w:w="850" w:type="dxa"/>
            <w:tcBorders>
              <w:top w:val="single" w:sz="4" w:space="0" w:color="auto"/>
              <w:left w:val="single" w:sz="4" w:space="0" w:color="auto"/>
              <w:bottom w:val="single" w:sz="4" w:space="0" w:color="auto"/>
              <w:right w:val="single" w:sz="4" w:space="0" w:color="auto"/>
            </w:tcBorders>
            <w:vAlign w:val="center"/>
          </w:tcPr>
          <w:p w:rsidR="00242C36" w:rsidRPr="00F00C51" w:rsidRDefault="00242C36" w:rsidP="00242C36">
            <w:pPr>
              <w:keepNext/>
              <w:keepLines/>
              <w:pBdr>
                <w:bar w:val="single" w:sz="6" w:color="808080"/>
              </w:pBdr>
              <w:jc w:val="right"/>
              <w:outlineLvl w:val="1"/>
              <w:rPr>
                <w:bCs/>
                <w:sz w:val="20"/>
                <w:szCs w:val="20"/>
              </w:rPr>
            </w:pPr>
            <w:r w:rsidRPr="00F00C51">
              <w:rPr>
                <w:bCs/>
                <w:sz w:val="20"/>
                <w:szCs w:val="20"/>
              </w:rPr>
              <w:t>116</w:t>
            </w:r>
          </w:p>
        </w:tc>
        <w:tc>
          <w:tcPr>
            <w:tcW w:w="851" w:type="dxa"/>
            <w:tcBorders>
              <w:top w:val="single" w:sz="4" w:space="0" w:color="auto"/>
              <w:left w:val="single" w:sz="4" w:space="0" w:color="auto"/>
              <w:bottom w:val="single" w:sz="4" w:space="0" w:color="auto"/>
              <w:right w:val="single" w:sz="4" w:space="0" w:color="auto"/>
            </w:tcBorders>
            <w:vAlign w:val="bottom"/>
          </w:tcPr>
          <w:p w:rsidR="00242C36" w:rsidRPr="00F00C51" w:rsidRDefault="00242C36" w:rsidP="00242C36">
            <w:pPr>
              <w:keepNext/>
              <w:keepLines/>
              <w:pBdr>
                <w:bar w:val="single" w:sz="6" w:color="808080"/>
              </w:pBdr>
              <w:jc w:val="right"/>
              <w:outlineLvl w:val="1"/>
              <w:rPr>
                <w:bCs/>
                <w:sz w:val="20"/>
                <w:szCs w:val="20"/>
              </w:rPr>
            </w:pPr>
            <w:r w:rsidRPr="00F00C51">
              <w:rPr>
                <w:bCs/>
                <w:sz w:val="20"/>
                <w:szCs w:val="20"/>
              </w:rPr>
              <w:t>136</w:t>
            </w:r>
          </w:p>
        </w:tc>
        <w:tc>
          <w:tcPr>
            <w:tcW w:w="892" w:type="dxa"/>
            <w:tcBorders>
              <w:top w:val="single" w:sz="4" w:space="0" w:color="auto"/>
              <w:left w:val="single" w:sz="4" w:space="0" w:color="auto"/>
              <w:bottom w:val="single" w:sz="4" w:space="0" w:color="auto"/>
              <w:right w:val="single" w:sz="4" w:space="0" w:color="auto"/>
            </w:tcBorders>
            <w:vAlign w:val="bottom"/>
          </w:tcPr>
          <w:p w:rsidR="00242C36" w:rsidRPr="00F00C51" w:rsidRDefault="00242C36" w:rsidP="00242C36">
            <w:pPr>
              <w:keepNext/>
              <w:keepLines/>
              <w:pBdr>
                <w:bar w:val="single" w:sz="6" w:color="808080"/>
              </w:pBdr>
              <w:jc w:val="right"/>
              <w:outlineLvl w:val="1"/>
              <w:rPr>
                <w:bCs/>
                <w:sz w:val="20"/>
                <w:szCs w:val="20"/>
              </w:rPr>
            </w:pPr>
            <w:r w:rsidRPr="00F00C51">
              <w:rPr>
                <w:bCs/>
                <w:sz w:val="20"/>
                <w:szCs w:val="20"/>
              </w:rPr>
              <w:t>145</w:t>
            </w:r>
          </w:p>
        </w:tc>
        <w:tc>
          <w:tcPr>
            <w:tcW w:w="809" w:type="dxa"/>
            <w:tcBorders>
              <w:top w:val="single" w:sz="4" w:space="0" w:color="auto"/>
              <w:left w:val="single" w:sz="4" w:space="0" w:color="auto"/>
              <w:bottom w:val="single" w:sz="4" w:space="0" w:color="auto"/>
              <w:right w:val="single" w:sz="4" w:space="0" w:color="auto"/>
            </w:tcBorders>
            <w:vAlign w:val="bottom"/>
          </w:tcPr>
          <w:p w:rsidR="00242C36" w:rsidRPr="00F00C51" w:rsidRDefault="00242C36" w:rsidP="00242C36">
            <w:pPr>
              <w:keepNext/>
              <w:keepLines/>
              <w:pBdr>
                <w:bar w:val="single" w:sz="6" w:color="808080"/>
              </w:pBdr>
              <w:jc w:val="right"/>
              <w:outlineLvl w:val="1"/>
              <w:rPr>
                <w:bCs/>
                <w:sz w:val="20"/>
                <w:szCs w:val="20"/>
              </w:rPr>
            </w:pPr>
            <w:r w:rsidRPr="00F00C51">
              <w:rPr>
                <w:bCs/>
                <w:sz w:val="20"/>
                <w:szCs w:val="20"/>
              </w:rPr>
              <w:t>145</w:t>
            </w:r>
          </w:p>
        </w:tc>
        <w:tc>
          <w:tcPr>
            <w:tcW w:w="850" w:type="dxa"/>
            <w:tcBorders>
              <w:top w:val="single" w:sz="4" w:space="0" w:color="auto"/>
              <w:left w:val="single" w:sz="4" w:space="0" w:color="auto"/>
              <w:bottom w:val="single" w:sz="4" w:space="0" w:color="auto"/>
              <w:right w:val="single" w:sz="4" w:space="0" w:color="auto"/>
            </w:tcBorders>
            <w:vAlign w:val="bottom"/>
          </w:tcPr>
          <w:p w:rsidR="00242C36" w:rsidRPr="00F00C51" w:rsidRDefault="00242C36" w:rsidP="00242C36">
            <w:pPr>
              <w:keepNext/>
              <w:keepLines/>
              <w:pBdr>
                <w:bar w:val="single" w:sz="6" w:color="808080"/>
              </w:pBdr>
              <w:jc w:val="right"/>
              <w:outlineLvl w:val="1"/>
              <w:rPr>
                <w:bCs/>
                <w:sz w:val="20"/>
                <w:szCs w:val="20"/>
              </w:rPr>
            </w:pPr>
            <w:r w:rsidRPr="00F00C51">
              <w:rPr>
                <w:bCs/>
                <w:sz w:val="20"/>
                <w:szCs w:val="20"/>
              </w:rPr>
              <w:t>124</w:t>
            </w:r>
          </w:p>
        </w:tc>
        <w:tc>
          <w:tcPr>
            <w:tcW w:w="851" w:type="dxa"/>
            <w:tcBorders>
              <w:top w:val="single" w:sz="4" w:space="0" w:color="auto"/>
              <w:left w:val="single" w:sz="4" w:space="0" w:color="auto"/>
              <w:bottom w:val="single" w:sz="4" w:space="0" w:color="auto"/>
              <w:right w:val="single" w:sz="4" w:space="0" w:color="auto"/>
            </w:tcBorders>
            <w:vAlign w:val="bottom"/>
          </w:tcPr>
          <w:p w:rsidR="00242C36" w:rsidRPr="007E6748" w:rsidRDefault="00242C36" w:rsidP="00242C36">
            <w:pPr>
              <w:keepNext/>
              <w:keepLines/>
              <w:jc w:val="right"/>
              <w:outlineLvl w:val="1"/>
              <w:rPr>
                <w:bCs/>
                <w:sz w:val="20"/>
                <w:szCs w:val="20"/>
              </w:rPr>
            </w:pPr>
            <w:r w:rsidRPr="007E6748">
              <w:rPr>
                <w:bCs/>
                <w:sz w:val="20"/>
                <w:szCs w:val="20"/>
              </w:rPr>
              <w:t>129</w:t>
            </w:r>
          </w:p>
        </w:tc>
      </w:tr>
      <w:tr w:rsidR="00242C36" w:rsidRPr="00F00C51" w:rsidTr="00242C36">
        <w:trPr>
          <w:trHeight w:val="256"/>
        </w:trPr>
        <w:tc>
          <w:tcPr>
            <w:tcW w:w="3828" w:type="dxa"/>
            <w:tcBorders>
              <w:top w:val="single" w:sz="4" w:space="0" w:color="auto"/>
              <w:left w:val="single" w:sz="4" w:space="0" w:color="auto"/>
              <w:bottom w:val="single" w:sz="4" w:space="0" w:color="auto"/>
              <w:right w:val="single" w:sz="4" w:space="0" w:color="auto"/>
            </w:tcBorders>
          </w:tcPr>
          <w:p w:rsidR="00242C36" w:rsidRPr="00F00C51" w:rsidRDefault="00242C36" w:rsidP="00242C36">
            <w:pPr>
              <w:keepNext/>
              <w:keepLines/>
              <w:pBdr>
                <w:bar w:val="single" w:sz="6" w:color="808080"/>
              </w:pBdr>
              <w:outlineLvl w:val="1"/>
              <w:rPr>
                <w:bCs/>
                <w:sz w:val="20"/>
                <w:szCs w:val="20"/>
              </w:rPr>
            </w:pPr>
            <w:r w:rsidRPr="00F00C51">
              <w:rPr>
                <w:bCs/>
                <w:sz w:val="20"/>
                <w:szCs w:val="20"/>
              </w:rPr>
              <w:t>Iné (živnostníci, registrovaní na rodné číslo)</w:t>
            </w:r>
          </w:p>
        </w:tc>
        <w:tc>
          <w:tcPr>
            <w:tcW w:w="850" w:type="dxa"/>
            <w:tcBorders>
              <w:top w:val="single" w:sz="4" w:space="0" w:color="auto"/>
              <w:left w:val="single" w:sz="4" w:space="0" w:color="auto"/>
              <w:bottom w:val="single" w:sz="4" w:space="0" w:color="auto"/>
              <w:right w:val="single" w:sz="4" w:space="0" w:color="auto"/>
            </w:tcBorders>
            <w:vAlign w:val="center"/>
          </w:tcPr>
          <w:p w:rsidR="00242C36" w:rsidRPr="00F00C51" w:rsidRDefault="00242C36" w:rsidP="00242C36">
            <w:pPr>
              <w:keepNext/>
              <w:keepLines/>
              <w:pBdr>
                <w:bar w:val="single" w:sz="6" w:color="808080"/>
              </w:pBdr>
              <w:jc w:val="right"/>
              <w:outlineLvl w:val="1"/>
              <w:rPr>
                <w:bCs/>
                <w:sz w:val="20"/>
                <w:szCs w:val="20"/>
              </w:rPr>
            </w:pPr>
            <w:r w:rsidRPr="00F00C51">
              <w:rPr>
                <w:bCs/>
                <w:sz w:val="20"/>
                <w:szCs w:val="20"/>
              </w:rPr>
              <w:t>5</w:t>
            </w:r>
          </w:p>
        </w:tc>
        <w:tc>
          <w:tcPr>
            <w:tcW w:w="851" w:type="dxa"/>
            <w:tcBorders>
              <w:top w:val="single" w:sz="4" w:space="0" w:color="auto"/>
              <w:left w:val="single" w:sz="4" w:space="0" w:color="auto"/>
              <w:bottom w:val="single" w:sz="4" w:space="0" w:color="auto"/>
              <w:right w:val="single" w:sz="4" w:space="0" w:color="auto"/>
            </w:tcBorders>
            <w:vAlign w:val="center"/>
          </w:tcPr>
          <w:p w:rsidR="00242C36" w:rsidRPr="00F00C51" w:rsidRDefault="00242C36" w:rsidP="00242C36">
            <w:pPr>
              <w:keepNext/>
              <w:keepLines/>
              <w:pBdr>
                <w:bar w:val="single" w:sz="6" w:color="808080"/>
              </w:pBdr>
              <w:jc w:val="right"/>
              <w:outlineLvl w:val="1"/>
              <w:rPr>
                <w:bCs/>
                <w:sz w:val="20"/>
                <w:szCs w:val="20"/>
              </w:rPr>
            </w:pPr>
            <w:r w:rsidRPr="00F00C51">
              <w:rPr>
                <w:bCs/>
                <w:sz w:val="20"/>
                <w:szCs w:val="20"/>
              </w:rPr>
              <w:t>9</w:t>
            </w:r>
          </w:p>
        </w:tc>
        <w:tc>
          <w:tcPr>
            <w:tcW w:w="892" w:type="dxa"/>
            <w:tcBorders>
              <w:top w:val="single" w:sz="4" w:space="0" w:color="auto"/>
              <w:left w:val="single" w:sz="4" w:space="0" w:color="auto"/>
              <w:bottom w:val="single" w:sz="4" w:space="0" w:color="auto"/>
              <w:right w:val="single" w:sz="4" w:space="0" w:color="auto"/>
            </w:tcBorders>
            <w:vAlign w:val="center"/>
          </w:tcPr>
          <w:p w:rsidR="00242C36" w:rsidRPr="00F00C51" w:rsidRDefault="00242C36" w:rsidP="00242C36">
            <w:pPr>
              <w:keepNext/>
              <w:keepLines/>
              <w:pBdr>
                <w:bar w:val="single" w:sz="6" w:color="808080"/>
              </w:pBdr>
              <w:jc w:val="right"/>
              <w:outlineLvl w:val="1"/>
              <w:rPr>
                <w:bCs/>
                <w:sz w:val="20"/>
                <w:szCs w:val="20"/>
              </w:rPr>
            </w:pPr>
            <w:r w:rsidRPr="00F00C51">
              <w:rPr>
                <w:bCs/>
                <w:sz w:val="20"/>
                <w:szCs w:val="20"/>
              </w:rPr>
              <w:t>8</w:t>
            </w:r>
          </w:p>
        </w:tc>
        <w:tc>
          <w:tcPr>
            <w:tcW w:w="809" w:type="dxa"/>
            <w:tcBorders>
              <w:top w:val="single" w:sz="4" w:space="0" w:color="auto"/>
              <w:left w:val="single" w:sz="4" w:space="0" w:color="auto"/>
              <w:bottom w:val="single" w:sz="4" w:space="0" w:color="auto"/>
              <w:right w:val="single" w:sz="4" w:space="0" w:color="auto"/>
            </w:tcBorders>
            <w:vAlign w:val="center"/>
          </w:tcPr>
          <w:p w:rsidR="00242C36" w:rsidRPr="00F00C51" w:rsidRDefault="00242C36" w:rsidP="00242C36">
            <w:pPr>
              <w:keepNext/>
              <w:keepLines/>
              <w:pBdr>
                <w:bar w:val="single" w:sz="6" w:color="808080"/>
              </w:pBdr>
              <w:jc w:val="right"/>
              <w:outlineLvl w:val="1"/>
              <w:rPr>
                <w:bCs/>
                <w:sz w:val="20"/>
                <w:szCs w:val="20"/>
              </w:rPr>
            </w:pPr>
            <w:r w:rsidRPr="00F00C51">
              <w:rPr>
                <w:bCs/>
                <w:sz w:val="20"/>
                <w:szCs w:val="20"/>
              </w:rPr>
              <w:t>8</w:t>
            </w:r>
          </w:p>
        </w:tc>
        <w:tc>
          <w:tcPr>
            <w:tcW w:w="850" w:type="dxa"/>
            <w:tcBorders>
              <w:top w:val="single" w:sz="4" w:space="0" w:color="auto"/>
              <w:left w:val="single" w:sz="4" w:space="0" w:color="auto"/>
              <w:bottom w:val="single" w:sz="4" w:space="0" w:color="auto"/>
              <w:right w:val="single" w:sz="4" w:space="0" w:color="auto"/>
            </w:tcBorders>
            <w:vAlign w:val="center"/>
          </w:tcPr>
          <w:p w:rsidR="00242C36" w:rsidRPr="00F00C51" w:rsidRDefault="00242C36" w:rsidP="00242C36">
            <w:pPr>
              <w:keepNext/>
              <w:keepLines/>
              <w:pBdr>
                <w:bar w:val="single" w:sz="6" w:color="808080"/>
              </w:pBdr>
              <w:jc w:val="right"/>
              <w:outlineLvl w:val="1"/>
              <w:rPr>
                <w:bCs/>
                <w:sz w:val="20"/>
                <w:szCs w:val="20"/>
              </w:rPr>
            </w:pPr>
            <w:r w:rsidRPr="00F00C51">
              <w:rPr>
                <w:bCs/>
                <w:sz w:val="20"/>
                <w:szCs w:val="20"/>
              </w:rPr>
              <w:t>8</w:t>
            </w:r>
          </w:p>
        </w:tc>
        <w:tc>
          <w:tcPr>
            <w:tcW w:w="851" w:type="dxa"/>
            <w:tcBorders>
              <w:top w:val="single" w:sz="4" w:space="0" w:color="auto"/>
              <w:left w:val="single" w:sz="4" w:space="0" w:color="auto"/>
              <w:bottom w:val="single" w:sz="4" w:space="0" w:color="auto"/>
              <w:right w:val="single" w:sz="4" w:space="0" w:color="auto"/>
            </w:tcBorders>
            <w:vAlign w:val="bottom"/>
          </w:tcPr>
          <w:p w:rsidR="00242C36" w:rsidRPr="007E6748" w:rsidRDefault="00242C36" w:rsidP="00242C36">
            <w:pPr>
              <w:keepNext/>
              <w:keepLines/>
              <w:jc w:val="right"/>
              <w:outlineLvl w:val="1"/>
              <w:rPr>
                <w:bCs/>
                <w:sz w:val="20"/>
                <w:szCs w:val="20"/>
              </w:rPr>
            </w:pPr>
            <w:r w:rsidRPr="007E6748">
              <w:rPr>
                <w:bCs/>
                <w:sz w:val="20"/>
                <w:szCs w:val="20"/>
              </w:rPr>
              <w:t>9</w:t>
            </w:r>
          </w:p>
        </w:tc>
      </w:tr>
      <w:tr w:rsidR="00242C36" w:rsidRPr="00F00C51" w:rsidTr="00242C36">
        <w:trPr>
          <w:trHeight w:val="256"/>
        </w:trPr>
        <w:tc>
          <w:tcPr>
            <w:tcW w:w="3828" w:type="dxa"/>
            <w:tcBorders>
              <w:top w:val="single" w:sz="4" w:space="0" w:color="auto"/>
              <w:left w:val="single" w:sz="4" w:space="0" w:color="auto"/>
              <w:bottom w:val="single" w:sz="4" w:space="0" w:color="auto"/>
              <w:right w:val="single" w:sz="4" w:space="0" w:color="auto"/>
            </w:tcBorders>
          </w:tcPr>
          <w:p w:rsidR="00242C36" w:rsidRPr="00F00C51" w:rsidRDefault="00242C36" w:rsidP="00242C36">
            <w:pPr>
              <w:keepNext/>
              <w:keepLines/>
              <w:pBdr>
                <w:bar w:val="single" w:sz="6" w:color="808080"/>
              </w:pBdr>
              <w:outlineLvl w:val="1"/>
              <w:rPr>
                <w:b/>
                <w:bCs/>
                <w:sz w:val="20"/>
                <w:szCs w:val="20"/>
              </w:rPr>
            </w:pPr>
            <w:r w:rsidRPr="00F00C51">
              <w:rPr>
                <w:b/>
                <w:bCs/>
                <w:sz w:val="20"/>
                <w:szCs w:val="20"/>
              </w:rPr>
              <w:t>Spolu za SR</w:t>
            </w:r>
          </w:p>
        </w:tc>
        <w:tc>
          <w:tcPr>
            <w:tcW w:w="850" w:type="dxa"/>
            <w:tcBorders>
              <w:top w:val="single" w:sz="4" w:space="0" w:color="auto"/>
              <w:left w:val="single" w:sz="4" w:space="0" w:color="auto"/>
              <w:bottom w:val="single" w:sz="4" w:space="0" w:color="auto"/>
              <w:right w:val="single" w:sz="4" w:space="0" w:color="auto"/>
            </w:tcBorders>
            <w:vAlign w:val="center"/>
          </w:tcPr>
          <w:p w:rsidR="00242C36" w:rsidRPr="00F00C51" w:rsidRDefault="00242C36" w:rsidP="00242C36">
            <w:pPr>
              <w:keepNext/>
              <w:keepLines/>
              <w:pBdr>
                <w:bar w:val="single" w:sz="6" w:color="808080"/>
              </w:pBdr>
              <w:jc w:val="right"/>
              <w:outlineLvl w:val="1"/>
              <w:rPr>
                <w:b/>
                <w:bCs/>
                <w:sz w:val="20"/>
                <w:szCs w:val="20"/>
              </w:rPr>
            </w:pPr>
            <w:r w:rsidRPr="00F00C51">
              <w:rPr>
                <w:b/>
                <w:bCs/>
                <w:sz w:val="20"/>
                <w:szCs w:val="20"/>
              </w:rPr>
              <w:t>338</w:t>
            </w:r>
          </w:p>
        </w:tc>
        <w:tc>
          <w:tcPr>
            <w:tcW w:w="851" w:type="dxa"/>
            <w:tcBorders>
              <w:top w:val="single" w:sz="4" w:space="0" w:color="auto"/>
              <w:left w:val="single" w:sz="4" w:space="0" w:color="auto"/>
              <w:bottom w:val="single" w:sz="4" w:space="0" w:color="auto"/>
              <w:right w:val="single" w:sz="4" w:space="0" w:color="auto"/>
            </w:tcBorders>
          </w:tcPr>
          <w:p w:rsidR="00242C36" w:rsidRPr="00F00C51" w:rsidRDefault="00242C36" w:rsidP="00242C36">
            <w:pPr>
              <w:keepNext/>
              <w:keepLines/>
              <w:pBdr>
                <w:bar w:val="single" w:sz="6" w:color="808080"/>
              </w:pBdr>
              <w:jc w:val="right"/>
              <w:outlineLvl w:val="1"/>
              <w:rPr>
                <w:b/>
                <w:bCs/>
                <w:sz w:val="20"/>
                <w:szCs w:val="20"/>
              </w:rPr>
            </w:pPr>
            <w:r w:rsidRPr="00F00C51">
              <w:rPr>
                <w:b/>
                <w:bCs/>
                <w:sz w:val="20"/>
                <w:szCs w:val="20"/>
              </w:rPr>
              <w:t>418</w:t>
            </w:r>
          </w:p>
        </w:tc>
        <w:tc>
          <w:tcPr>
            <w:tcW w:w="892" w:type="dxa"/>
            <w:tcBorders>
              <w:top w:val="single" w:sz="4" w:space="0" w:color="auto"/>
              <w:left w:val="single" w:sz="4" w:space="0" w:color="auto"/>
              <w:bottom w:val="single" w:sz="4" w:space="0" w:color="auto"/>
              <w:right w:val="single" w:sz="4" w:space="0" w:color="auto"/>
            </w:tcBorders>
            <w:vAlign w:val="bottom"/>
          </w:tcPr>
          <w:p w:rsidR="00242C36" w:rsidRPr="00F00C51" w:rsidRDefault="00242C36" w:rsidP="00242C36">
            <w:pPr>
              <w:keepNext/>
              <w:keepLines/>
              <w:pBdr>
                <w:bar w:val="single" w:sz="6" w:color="808080"/>
              </w:pBdr>
              <w:jc w:val="right"/>
              <w:outlineLvl w:val="1"/>
              <w:rPr>
                <w:b/>
                <w:bCs/>
                <w:sz w:val="20"/>
                <w:szCs w:val="20"/>
              </w:rPr>
            </w:pPr>
            <w:r w:rsidRPr="00F00C51">
              <w:rPr>
                <w:b/>
                <w:bCs/>
                <w:sz w:val="20"/>
                <w:szCs w:val="20"/>
              </w:rPr>
              <w:t>458</w:t>
            </w:r>
          </w:p>
        </w:tc>
        <w:tc>
          <w:tcPr>
            <w:tcW w:w="809" w:type="dxa"/>
            <w:tcBorders>
              <w:top w:val="single" w:sz="4" w:space="0" w:color="auto"/>
              <w:left w:val="single" w:sz="4" w:space="0" w:color="auto"/>
              <w:bottom w:val="single" w:sz="4" w:space="0" w:color="auto"/>
              <w:right w:val="single" w:sz="4" w:space="0" w:color="auto"/>
            </w:tcBorders>
            <w:vAlign w:val="bottom"/>
          </w:tcPr>
          <w:p w:rsidR="00242C36" w:rsidRPr="00F00C51" w:rsidRDefault="00242C36" w:rsidP="00242C36">
            <w:pPr>
              <w:keepNext/>
              <w:keepLines/>
              <w:pBdr>
                <w:bar w:val="single" w:sz="6" w:color="808080"/>
              </w:pBdr>
              <w:jc w:val="right"/>
              <w:outlineLvl w:val="1"/>
              <w:rPr>
                <w:b/>
                <w:bCs/>
                <w:sz w:val="20"/>
                <w:szCs w:val="20"/>
              </w:rPr>
            </w:pPr>
            <w:r w:rsidRPr="00F00C51">
              <w:rPr>
                <w:b/>
                <w:bCs/>
                <w:sz w:val="20"/>
                <w:szCs w:val="20"/>
              </w:rPr>
              <w:t>497</w:t>
            </w:r>
          </w:p>
        </w:tc>
        <w:tc>
          <w:tcPr>
            <w:tcW w:w="850" w:type="dxa"/>
            <w:tcBorders>
              <w:top w:val="single" w:sz="4" w:space="0" w:color="auto"/>
              <w:left w:val="single" w:sz="4" w:space="0" w:color="auto"/>
              <w:bottom w:val="single" w:sz="4" w:space="0" w:color="auto"/>
              <w:right w:val="single" w:sz="4" w:space="0" w:color="auto"/>
            </w:tcBorders>
          </w:tcPr>
          <w:p w:rsidR="00242C36" w:rsidRPr="00F00C51" w:rsidRDefault="00242C36" w:rsidP="00242C36">
            <w:pPr>
              <w:keepNext/>
              <w:keepLines/>
              <w:pBdr>
                <w:bar w:val="single" w:sz="6" w:color="808080"/>
              </w:pBdr>
              <w:jc w:val="right"/>
              <w:outlineLvl w:val="1"/>
              <w:rPr>
                <w:b/>
                <w:bCs/>
                <w:sz w:val="20"/>
                <w:szCs w:val="20"/>
              </w:rPr>
            </w:pPr>
            <w:r w:rsidRPr="00F00C51">
              <w:rPr>
                <w:b/>
                <w:bCs/>
                <w:sz w:val="20"/>
                <w:szCs w:val="20"/>
              </w:rPr>
              <w:t>454</w:t>
            </w:r>
          </w:p>
        </w:tc>
        <w:tc>
          <w:tcPr>
            <w:tcW w:w="851" w:type="dxa"/>
            <w:tcBorders>
              <w:top w:val="single" w:sz="4" w:space="0" w:color="auto"/>
              <w:left w:val="single" w:sz="4" w:space="0" w:color="auto"/>
              <w:bottom w:val="single" w:sz="4" w:space="0" w:color="auto"/>
              <w:right w:val="single" w:sz="4" w:space="0" w:color="auto"/>
            </w:tcBorders>
          </w:tcPr>
          <w:p w:rsidR="00242C36" w:rsidRPr="00F00C51" w:rsidRDefault="00242C36" w:rsidP="00242C36">
            <w:pPr>
              <w:keepNext/>
              <w:keepLines/>
              <w:pBdr>
                <w:bar w:val="single" w:sz="6" w:color="808080"/>
              </w:pBdr>
              <w:jc w:val="right"/>
              <w:outlineLvl w:val="1"/>
              <w:rPr>
                <w:b/>
                <w:bCs/>
                <w:sz w:val="20"/>
                <w:szCs w:val="20"/>
              </w:rPr>
            </w:pPr>
            <w:r>
              <w:rPr>
                <w:b/>
                <w:bCs/>
                <w:sz w:val="20"/>
                <w:szCs w:val="20"/>
              </w:rPr>
              <w:t>470</w:t>
            </w:r>
          </w:p>
        </w:tc>
      </w:tr>
    </w:tbl>
    <w:p w:rsidR="00242C36" w:rsidRPr="00F00C51" w:rsidRDefault="00242C36" w:rsidP="00242C36">
      <w:pPr>
        <w:pBdr>
          <w:bar w:val="single" w:sz="6" w:color="808080"/>
        </w:pBdr>
        <w:spacing w:after="120"/>
        <w:outlineLvl w:val="1"/>
        <w:rPr>
          <w:rFonts w:ascii="Calibri" w:hAnsi="Calibri"/>
          <w:bCs/>
          <w:sz w:val="20"/>
          <w:szCs w:val="22"/>
        </w:rPr>
      </w:pPr>
      <w:r w:rsidRPr="00F00C51">
        <w:rPr>
          <w:rFonts w:ascii="Calibri" w:hAnsi="Calibri"/>
          <w:bCs/>
          <w:sz w:val="20"/>
          <w:szCs w:val="22"/>
        </w:rPr>
        <w:t>Zdroj: ÚKSÚP, MPRV SR</w:t>
      </w:r>
    </w:p>
    <w:p w:rsidR="00242C36" w:rsidRPr="00E43137" w:rsidRDefault="00242C36" w:rsidP="00242C36">
      <w:pPr>
        <w:keepNext/>
        <w:keepLines/>
        <w:pBdr>
          <w:bar w:val="single" w:sz="6" w:color="808080"/>
        </w:pBdr>
        <w:spacing w:after="120"/>
        <w:outlineLvl w:val="1"/>
        <w:rPr>
          <w:rFonts w:ascii="Calibri" w:hAnsi="Calibri"/>
          <w:bCs/>
          <w:szCs w:val="22"/>
        </w:rPr>
      </w:pPr>
      <w:r w:rsidRPr="00E43137">
        <w:rPr>
          <w:rFonts w:ascii="Calibri" w:hAnsi="Calibri"/>
          <w:bCs/>
          <w:szCs w:val="22"/>
        </w:rPr>
        <w:t xml:space="preserve">Výrazný nárast výmery pôdy v EPV </w:t>
      </w:r>
      <w:r>
        <w:rPr>
          <w:rFonts w:ascii="Calibri" w:hAnsi="Calibri"/>
          <w:bCs/>
          <w:szCs w:val="22"/>
        </w:rPr>
        <w:t xml:space="preserve">súvisel </w:t>
      </w:r>
      <w:r w:rsidRPr="00E43137">
        <w:rPr>
          <w:rFonts w:ascii="Calibri" w:hAnsi="Calibri"/>
          <w:bCs/>
          <w:szCs w:val="22"/>
        </w:rPr>
        <w:t>s poskytovaním podpory z fondov EÚ, keď v r. 2009 evidujeme v porovnaní s rokom 2004 až k 3-násobný nárast výmery pôdy EPV.</w:t>
      </w:r>
    </w:p>
    <w:p w:rsidR="00242C36" w:rsidRPr="00E43137" w:rsidRDefault="00242C36" w:rsidP="00242C36">
      <w:pPr>
        <w:keepNext/>
        <w:keepLines/>
        <w:pBdr>
          <w:bar w:val="single" w:sz="6" w:color="808080"/>
        </w:pBdr>
        <w:spacing w:after="120"/>
        <w:outlineLvl w:val="1"/>
        <w:rPr>
          <w:rFonts w:ascii="Calibri" w:hAnsi="Calibri"/>
          <w:bCs/>
          <w:szCs w:val="22"/>
        </w:rPr>
      </w:pPr>
      <w:r w:rsidRPr="00E43137">
        <w:rPr>
          <w:rFonts w:ascii="Calibri" w:hAnsi="Calibri"/>
          <w:bCs/>
          <w:szCs w:val="22"/>
        </w:rPr>
        <w:t>U právnických aj fyzických osôb hospodáriacich výlučne v systéme ekologického poľnohospodárstva došlo v období 2009 – 2011 k zlepšeniu ukazovateľov týkajúcich sa zamestnanosti (napr. k zvýšeniu ročného priemerného evidenčného počtu zamestnancov, a pod.)</w:t>
      </w:r>
      <w:r>
        <w:rPr>
          <w:rFonts w:ascii="Calibri" w:hAnsi="Calibri"/>
          <w:bCs/>
          <w:szCs w:val="22"/>
        </w:rPr>
        <w:t xml:space="preserve"> </w:t>
      </w:r>
      <w:r w:rsidRPr="00E43137">
        <w:rPr>
          <w:rFonts w:ascii="Calibri" w:hAnsi="Calibri"/>
          <w:bCs/>
          <w:szCs w:val="22"/>
        </w:rPr>
        <w:t>Produkcia ekologického poľnohospodárstva okrem prínosov k ochrane ŽP predstavuje aj významný potenciál v oblasti zvýšenia sortimentu nových/ inovovaných výrobkov a ekologických surovín pre potravinársky priemysel.</w:t>
      </w:r>
    </w:p>
    <w:p w:rsidR="00E820E4" w:rsidRDefault="00242C36" w:rsidP="00E820E4">
      <w:pPr>
        <w:pBdr>
          <w:bar w:val="single" w:sz="6" w:color="808080"/>
        </w:pBdr>
        <w:rPr>
          <w:rFonts w:ascii="Calibri" w:eastAsia="Calibri" w:hAnsi="Calibri"/>
          <w:szCs w:val="22"/>
          <w:lang w:eastAsia="en-US"/>
        </w:rPr>
      </w:pPr>
      <w:r w:rsidRPr="00E43137">
        <w:rPr>
          <w:rFonts w:ascii="Calibri" w:eastAsia="Calibri" w:hAnsi="Calibri"/>
          <w:szCs w:val="22"/>
          <w:lang w:eastAsia="en-US"/>
        </w:rPr>
        <w:t>Závlahové systémy sú na poľnohospodárskej pôde SR vybudované na výmer</w:t>
      </w:r>
      <w:r>
        <w:rPr>
          <w:rFonts w:ascii="Calibri" w:eastAsia="Calibri" w:hAnsi="Calibri"/>
          <w:szCs w:val="22"/>
          <w:lang w:eastAsia="en-US"/>
        </w:rPr>
        <w:t>e 321 tisíc ha (r.2010), z toho aktívne je využívaných 14 840 ha (</w:t>
      </w:r>
      <w:r w:rsidRPr="0099209D">
        <w:rPr>
          <w:rFonts w:ascii="Calibri" w:eastAsia="Calibri" w:hAnsi="Calibri"/>
          <w:b/>
          <w:szCs w:val="22"/>
          <w:lang w:eastAsia="en-US"/>
        </w:rPr>
        <w:t>C</w:t>
      </w:r>
      <w:r>
        <w:rPr>
          <w:rFonts w:ascii="Calibri" w:eastAsia="Calibri" w:hAnsi="Calibri"/>
          <w:b/>
          <w:szCs w:val="22"/>
          <w:lang w:eastAsia="en-US"/>
        </w:rPr>
        <w:t>C</w:t>
      </w:r>
      <w:r w:rsidRPr="0099209D">
        <w:rPr>
          <w:rFonts w:ascii="Calibri" w:eastAsia="Calibri" w:hAnsi="Calibri"/>
          <w:b/>
          <w:szCs w:val="22"/>
          <w:lang w:eastAsia="en-US"/>
        </w:rPr>
        <w:t>I 20</w:t>
      </w:r>
      <w:r>
        <w:rPr>
          <w:rFonts w:ascii="Calibri" w:eastAsia="Calibri" w:hAnsi="Calibri"/>
          <w:b/>
          <w:szCs w:val="22"/>
          <w:lang w:eastAsia="en-US"/>
        </w:rPr>
        <w:t xml:space="preserve">, </w:t>
      </w:r>
      <w:r w:rsidRPr="0099209D">
        <w:rPr>
          <w:rFonts w:ascii="Calibri" w:eastAsia="Calibri" w:hAnsi="Calibri"/>
          <w:szCs w:val="22"/>
          <w:lang w:eastAsia="en-US"/>
        </w:rPr>
        <w:t>r.2010</w:t>
      </w:r>
      <w:r>
        <w:rPr>
          <w:rFonts w:ascii="Calibri" w:eastAsia="Calibri" w:hAnsi="Calibri"/>
          <w:szCs w:val="22"/>
          <w:lang w:eastAsia="en-US"/>
        </w:rPr>
        <w:t xml:space="preserve">). </w:t>
      </w:r>
      <w:r w:rsidRPr="00E43137">
        <w:rPr>
          <w:rFonts w:ascii="Calibri" w:eastAsia="Calibri" w:hAnsi="Calibri"/>
          <w:szCs w:val="22"/>
          <w:lang w:eastAsia="en-US"/>
        </w:rPr>
        <w:t xml:space="preserve">Za obdobie r. 2007–2011 sa </w:t>
      </w:r>
      <w:r>
        <w:rPr>
          <w:rFonts w:ascii="Calibri" w:eastAsia="Calibri" w:hAnsi="Calibri"/>
          <w:szCs w:val="22"/>
          <w:lang w:eastAsia="en-US"/>
        </w:rPr>
        <w:t>podiel zavlažovanej pôdy na UAA znížil</w:t>
      </w:r>
      <w:r w:rsidRPr="00E43137">
        <w:rPr>
          <w:rFonts w:ascii="Calibri" w:eastAsia="Calibri" w:hAnsi="Calibri"/>
          <w:szCs w:val="22"/>
          <w:lang w:eastAsia="en-US"/>
        </w:rPr>
        <w:t xml:space="preserve"> z 1,3% na 0,7%, čo prestavuje pokles o takmer polovicu.  Aj to svedčí o urgentnej potrebe podpory investícií a ostatných stimulov na obstaranie moderných a efektívnych zavlažovacích systémov, ktorých širšie nasadenie v poľnohospodárskej prvovýrobe je žiaducim a účinným adaptačným opatrením v</w:t>
      </w:r>
      <w:r>
        <w:rPr>
          <w:rFonts w:ascii="Calibri" w:eastAsia="Calibri" w:hAnsi="Calibri"/>
          <w:szCs w:val="22"/>
          <w:lang w:eastAsia="en-US"/>
        </w:rPr>
        <w:t> </w:t>
      </w:r>
      <w:r w:rsidRPr="00E43137">
        <w:rPr>
          <w:rFonts w:ascii="Calibri" w:eastAsia="Calibri" w:hAnsi="Calibri"/>
          <w:szCs w:val="22"/>
          <w:lang w:eastAsia="en-US"/>
        </w:rPr>
        <w:t>b</w:t>
      </w:r>
      <w:r>
        <w:rPr>
          <w:rFonts w:ascii="Calibri" w:eastAsia="Calibri" w:hAnsi="Calibri"/>
          <w:szCs w:val="22"/>
          <w:lang w:eastAsia="en-US"/>
        </w:rPr>
        <w:t>oji proti suchu.</w:t>
      </w:r>
    </w:p>
    <w:p w:rsidR="00E820E4" w:rsidRDefault="00E820E4" w:rsidP="00E820E4">
      <w:pPr>
        <w:pBdr>
          <w:bar w:val="single" w:sz="6" w:color="808080"/>
        </w:pBdr>
        <w:rPr>
          <w:rFonts w:ascii="Calibri" w:hAnsi="Calibri"/>
          <w:b/>
          <w:bCs/>
          <w:szCs w:val="22"/>
        </w:rPr>
      </w:pPr>
    </w:p>
    <w:p w:rsidR="00E820E4" w:rsidRDefault="00242C36" w:rsidP="00E820E4">
      <w:pPr>
        <w:pBdr>
          <w:bar w:val="single" w:sz="6" w:color="808080"/>
        </w:pBdr>
        <w:rPr>
          <w:rFonts w:ascii="Calibri" w:hAnsi="Calibri"/>
          <w:b/>
          <w:bCs/>
          <w:szCs w:val="22"/>
        </w:rPr>
      </w:pPr>
      <w:r w:rsidRPr="006A0E69">
        <w:rPr>
          <w:rFonts w:ascii="Calibri" w:hAnsi="Calibri"/>
          <w:b/>
          <w:bCs/>
          <w:szCs w:val="22"/>
        </w:rPr>
        <w:t xml:space="preserve">Ekologizácia </w:t>
      </w:r>
      <w:r w:rsidR="00E820E4">
        <w:rPr>
          <w:rFonts w:ascii="Calibri" w:hAnsi="Calibri"/>
          <w:b/>
          <w:bCs/>
          <w:szCs w:val="22"/>
        </w:rPr>
        <w:t>–</w:t>
      </w:r>
      <w:r w:rsidRPr="006A0E69">
        <w:rPr>
          <w:rFonts w:ascii="Calibri" w:hAnsi="Calibri"/>
          <w:b/>
          <w:bCs/>
          <w:szCs w:val="22"/>
        </w:rPr>
        <w:t xml:space="preserve"> Greening</w:t>
      </w:r>
    </w:p>
    <w:p w:rsidR="00E820E4" w:rsidRDefault="00242C36" w:rsidP="00E820E4">
      <w:pPr>
        <w:pBdr>
          <w:bar w:val="single" w:sz="6" w:color="808080"/>
        </w:pBdr>
        <w:spacing w:after="120"/>
        <w:rPr>
          <w:rFonts w:ascii="Calibri" w:hAnsi="Calibri"/>
          <w:bCs/>
          <w:szCs w:val="22"/>
        </w:rPr>
      </w:pPr>
      <w:r w:rsidRPr="006A0E69">
        <w:rPr>
          <w:rFonts w:ascii="Calibri" w:hAnsi="Calibri"/>
          <w:bCs/>
          <w:szCs w:val="22"/>
        </w:rPr>
        <w:t xml:space="preserve">Jedným z cieľov novej SPP je v zmysle Nariadenia EP a Rady (EÚ) č. 1307/2013 zlepšenie ekologickej stránky prostredníctvom povinnej zložky priamych platieb týkajúcej sa ekologizácie, čím sa podporia poľnohospodárske postupy prospešné pre klímu a životné prostredie. </w:t>
      </w:r>
    </w:p>
    <w:p w:rsidR="00E820E4" w:rsidRDefault="00242C36" w:rsidP="00E820E4">
      <w:pPr>
        <w:pBdr>
          <w:bar w:val="single" w:sz="6" w:color="808080"/>
        </w:pBdr>
        <w:spacing w:after="120"/>
        <w:rPr>
          <w:rFonts w:ascii="Calibri" w:hAnsi="Calibri"/>
          <w:bCs/>
          <w:szCs w:val="22"/>
        </w:rPr>
      </w:pPr>
      <w:r w:rsidRPr="006A0E69">
        <w:rPr>
          <w:rFonts w:ascii="Calibri" w:hAnsi="Calibri"/>
          <w:bCs/>
          <w:szCs w:val="22"/>
        </w:rPr>
        <w:t xml:space="preserve">Podľa tohto nariadenia poľnohospodári oprávnení na platbu v rámci režimu základných platieb alebo režimu jednotnej platby na plochu dodržiavajú v zmysle článku 32 ods. 2 až 5 na všetkých svojich hektároch, na ktoré možno poskytnúť podporu, poľnohospodárske postupy prospešné pre klímu a životné prostredie uvedené v odseku 2 tohto článku alebo rovnocenné postupy uvedené v odseku 3 tohto článku. </w:t>
      </w:r>
    </w:p>
    <w:p w:rsidR="00E820E4" w:rsidRDefault="00242C36" w:rsidP="00E820E4">
      <w:pPr>
        <w:pBdr>
          <w:bar w:val="single" w:sz="6" w:color="808080"/>
        </w:pBdr>
        <w:rPr>
          <w:rFonts w:ascii="Calibri" w:hAnsi="Calibri"/>
          <w:bCs/>
          <w:szCs w:val="22"/>
        </w:rPr>
      </w:pPr>
      <w:r>
        <w:rPr>
          <w:rFonts w:ascii="Calibri" w:hAnsi="Calibri"/>
          <w:bCs/>
          <w:szCs w:val="22"/>
        </w:rPr>
        <w:t>Nariadenie uvádza nasledovné p</w:t>
      </w:r>
      <w:r w:rsidRPr="006A0E69">
        <w:rPr>
          <w:rFonts w:ascii="Calibri" w:hAnsi="Calibri"/>
          <w:bCs/>
          <w:szCs w:val="22"/>
        </w:rPr>
        <w:t xml:space="preserve">oľnohospodárske postupy prospešné pre klímu a životné prostredie: a) diverzifikácia plodín; </w:t>
      </w:r>
    </w:p>
    <w:p w:rsidR="00E820E4" w:rsidRDefault="00242C36" w:rsidP="00E820E4">
      <w:pPr>
        <w:pBdr>
          <w:bar w:val="single" w:sz="6" w:color="808080"/>
        </w:pBdr>
        <w:rPr>
          <w:rFonts w:ascii="Calibri" w:hAnsi="Calibri"/>
          <w:bCs/>
          <w:szCs w:val="22"/>
        </w:rPr>
      </w:pPr>
      <w:r w:rsidRPr="006A0E69">
        <w:rPr>
          <w:rFonts w:ascii="Calibri" w:hAnsi="Calibri"/>
          <w:bCs/>
          <w:szCs w:val="22"/>
        </w:rPr>
        <w:t xml:space="preserve">b) zachovávanie existujúceho trvalého trávneho porastu a </w:t>
      </w:r>
    </w:p>
    <w:p w:rsidR="00242C36" w:rsidRPr="006A0E69" w:rsidRDefault="00242C36" w:rsidP="00E820E4">
      <w:pPr>
        <w:pBdr>
          <w:bar w:val="single" w:sz="6" w:color="808080"/>
        </w:pBdr>
        <w:rPr>
          <w:rFonts w:ascii="Calibri" w:hAnsi="Calibri"/>
          <w:bCs/>
          <w:szCs w:val="22"/>
        </w:rPr>
      </w:pPr>
      <w:r w:rsidRPr="006A0E69">
        <w:rPr>
          <w:rFonts w:ascii="Calibri" w:hAnsi="Calibri"/>
          <w:bCs/>
          <w:szCs w:val="22"/>
        </w:rPr>
        <w:t xml:space="preserve">c) existencia oblasti ekologického záujmu v rámci poľnohospodárskej plochy. </w:t>
      </w:r>
    </w:p>
    <w:p w:rsidR="00242C36" w:rsidRPr="006A0E69" w:rsidRDefault="00242C36" w:rsidP="00242C36">
      <w:pPr>
        <w:keepNext/>
        <w:keepLines/>
        <w:pBdr>
          <w:bar w:val="single" w:sz="6" w:color="808080"/>
        </w:pBdr>
        <w:spacing w:after="120"/>
        <w:outlineLvl w:val="1"/>
        <w:rPr>
          <w:rFonts w:ascii="Calibri" w:hAnsi="Calibri"/>
          <w:bCs/>
          <w:szCs w:val="22"/>
        </w:rPr>
      </w:pPr>
      <w:r>
        <w:rPr>
          <w:rFonts w:ascii="Calibri" w:hAnsi="Calibri"/>
          <w:bCs/>
          <w:szCs w:val="22"/>
        </w:rPr>
        <w:t>Okrem toho uznáva aj iné r</w:t>
      </w:r>
      <w:r w:rsidRPr="006A0E69">
        <w:rPr>
          <w:rFonts w:ascii="Calibri" w:hAnsi="Calibri"/>
          <w:bCs/>
          <w:szCs w:val="22"/>
        </w:rPr>
        <w:t>ovnocenné postupy, ktoré zahŕňajú podobné postupy predstavujúce rovnocennú alebo väčšiu úroveň prínosu pre klímu a životné prostredie v porovnaní s jedným alebo viacerými postupmi uvedenými v</w:t>
      </w:r>
      <w:r>
        <w:rPr>
          <w:rFonts w:ascii="Calibri" w:hAnsi="Calibri"/>
          <w:bCs/>
          <w:szCs w:val="22"/>
        </w:rPr>
        <w:t>yššie.</w:t>
      </w:r>
      <w:r w:rsidRPr="006A0E69">
        <w:rPr>
          <w:rFonts w:ascii="Calibri" w:hAnsi="Calibri"/>
          <w:bCs/>
          <w:szCs w:val="22"/>
        </w:rPr>
        <w:t xml:space="preserve"> </w:t>
      </w:r>
    </w:p>
    <w:p w:rsidR="00242C36" w:rsidRPr="006A0E69" w:rsidRDefault="00242C36" w:rsidP="00242C36">
      <w:pPr>
        <w:keepNext/>
        <w:keepLines/>
        <w:pBdr>
          <w:bar w:val="single" w:sz="6" w:color="808080"/>
        </w:pBdr>
        <w:spacing w:after="120"/>
        <w:outlineLvl w:val="1"/>
        <w:rPr>
          <w:rFonts w:ascii="Calibri" w:hAnsi="Calibri"/>
          <w:bCs/>
          <w:szCs w:val="22"/>
        </w:rPr>
      </w:pPr>
      <w:r w:rsidRPr="006A0E69">
        <w:rPr>
          <w:rFonts w:ascii="Calibri" w:hAnsi="Calibri"/>
          <w:bCs/>
          <w:szCs w:val="22"/>
        </w:rPr>
        <w:t xml:space="preserve">Členské štáty sa do 1. augusta 2014 rozhodnú, že jedna alebo viaceré z týchto plôch sa budú považovať za oblasť ekologického záujmu: </w:t>
      </w:r>
    </w:p>
    <w:p w:rsidR="00242C36" w:rsidRPr="00E820E4" w:rsidRDefault="00242C36" w:rsidP="00E820E4">
      <w:pPr>
        <w:pStyle w:val="Odsekzoznamu"/>
        <w:keepNext/>
        <w:keepLines/>
        <w:numPr>
          <w:ilvl w:val="0"/>
          <w:numId w:val="407"/>
        </w:numPr>
        <w:pBdr>
          <w:bar w:val="single" w:sz="6" w:color="808080"/>
        </w:pBdr>
        <w:spacing w:after="120"/>
        <w:outlineLvl w:val="1"/>
        <w:rPr>
          <w:rFonts w:ascii="Calibri" w:hAnsi="Calibri"/>
          <w:b/>
          <w:bCs/>
          <w:szCs w:val="22"/>
        </w:rPr>
      </w:pPr>
      <w:r w:rsidRPr="00E820E4">
        <w:rPr>
          <w:rFonts w:ascii="Calibri" w:hAnsi="Calibri"/>
          <w:b/>
          <w:bCs/>
          <w:szCs w:val="22"/>
        </w:rPr>
        <w:t xml:space="preserve">pôda ležiaca úhorom; </w:t>
      </w:r>
    </w:p>
    <w:p w:rsidR="00242C36" w:rsidRPr="00E820E4" w:rsidRDefault="00242C36" w:rsidP="00E820E4">
      <w:pPr>
        <w:pStyle w:val="Odsekzoznamu"/>
        <w:keepNext/>
        <w:keepLines/>
        <w:numPr>
          <w:ilvl w:val="0"/>
          <w:numId w:val="407"/>
        </w:numPr>
        <w:pBdr>
          <w:bar w:val="single" w:sz="6" w:color="808080"/>
        </w:pBdr>
        <w:spacing w:after="120"/>
        <w:outlineLvl w:val="1"/>
        <w:rPr>
          <w:rFonts w:ascii="Calibri" w:hAnsi="Calibri"/>
          <w:b/>
          <w:bCs/>
          <w:szCs w:val="22"/>
        </w:rPr>
      </w:pPr>
      <w:r w:rsidRPr="00E820E4">
        <w:rPr>
          <w:rFonts w:ascii="Calibri" w:hAnsi="Calibri"/>
          <w:b/>
          <w:bCs/>
          <w:szCs w:val="22"/>
        </w:rPr>
        <w:t xml:space="preserve">terasy; </w:t>
      </w:r>
    </w:p>
    <w:p w:rsidR="00242C36" w:rsidRPr="00E820E4" w:rsidRDefault="00242C36" w:rsidP="00E820E4">
      <w:pPr>
        <w:pStyle w:val="Odsekzoznamu"/>
        <w:keepNext/>
        <w:keepLines/>
        <w:numPr>
          <w:ilvl w:val="0"/>
          <w:numId w:val="407"/>
        </w:numPr>
        <w:pBdr>
          <w:bar w:val="single" w:sz="6" w:color="808080"/>
        </w:pBdr>
        <w:spacing w:after="120"/>
        <w:outlineLvl w:val="1"/>
        <w:rPr>
          <w:rFonts w:ascii="Calibri" w:hAnsi="Calibri"/>
          <w:bCs/>
          <w:szCs w:val="22"/>
        </w:rPr>
      </w:pPr>
      <w:r w:rsidRPr="00E820E4">
        <w:rPr>
          <w:rFonts w:ascii="Calibri" w:hAnsi="Calibri"/>
          <w:b/>
          <w:bCs/>
          <w:szCs w:val="22"/>
        </w:rPr>
        <w:t xml:space="preserve">krajinné prvky </w:t>
      </w:r>
      <w:r w:rsidRPr="00E820E4">
        <w:rPr>
          <w:rFonts w:ascii="Calibri" w:hAnsi="Calibri"/>
          <w:bCs/>
          <w:szCs w:val="22"/>
        </w:rPr>
        <w:t xml:space="preserve">vrátane takých prvkov, ktoré sú priľahlé k ornej pôde podniku, ktoré odchylne od článku 43 ods. 1 tohto nariadenia môžu zahŕňať krajinné prvky, ktoré nie sú súčasťou plôch, na ktoré možno poskytnúť podporu v súlade s článkom 76 ods. 2 písm. c) nariadenia (EÚ) č. 1306/2013; </w:t>
      </w:r>
    </w:p>
    <w:p w:rsidR="00242C36" w:rsidRPr="00E820E4" w:rsidRDefault="00242C36" w:rsidP="00E820E4">
      <w:pPr>
        <w:pStyle w:val="Odsekzoznamu"/>
        <w:keepNext/>
        <w:keepLines/>
        <w:numPr>
          <w:ilvl w:val="0"/>
          <w:numId w:val="407"/>
        </w:numPr>
        <w:pBdr>
          <w:bar w:val="single" w:sz="6" w:color="808080"/>
        </w:pBdr>
        <w:spacing w:after="120"/>
        <w:outlineLvl w:val="1"/>
        <w:rPr>
          <w:rFonts w:ascii="Calibri" w:hAnsi="Calibri"/>
          <w:bCs/>
          <w:szCs w:val="22"/>
        </w:rPr>
      </w:pPr>
      <w:r w:rsidRPr="00E820E4">
        <w:rPr>
          <w:rFonts w:ascii="Calibri" w:hAnsi="Calibri"/>
          <w:b/>
          <w:bCs/>
          <w:szCs w:val="22"/>
        </w:rPr>
        <w:t>nárazníkové zóny</w:t>
      </w:r>
      <w:r w:rsidRPr="00E820E4">
        <w:rPr>
          <w:rFonts w:ascii="Calibri" w:hAnsi="Calibri"/>
          <w:bCs/>
          <w:szCs w:val="22"/>
        </w:rPr>
        <w:t xml:space="preserve"> vrátane nárazníkových zón pokrytých trvalým trávnym porastom za predpokladu, že sú odlišné od priľahlej poľnohospodárskej plochy, na ktorú možno poskytnúť podporu; </w:t>
      </w:r>
    </w:p>
    <w:p w:rsidR="00242C36" w:rsidRPr="00E820E4" w:rsidRDefault="00242C36" w:rsidP="00E820E4">
      <w:pPr>
        <w:pStyle w:val="Odsekzoznamu"/>
        <w:keepNext/>
        <w:keepLines/>
        <w:numPr>
          <w:ilvl w:val="0"/>
          <w:numId w:val="407"/>
        </w:numPr>
        <w:pBdr>
          <w:bar w:val="single" w:sz="6" w:color="808080"/>
        </w:pBdr>
        <w:spacing w:after="120"/>
        <w:outlineLvl w:val="1"/>
        <w:rPr>
          <w:rFonts w:ascii="Calibri" w:hAnsi="Calibri"/>
          <w:bCs/>
          <w:szCs w:val="22"/>
        </w:rPr>
      </w:pPr>
      <w:r w:rsidRPr="00E820E4">
        <w:rPr>
          <w:rFonts w:ascii="Calibri" w:hAnsi="Calibri"/>
          <w:b/>
          <w:bCs/>
          <w:szCs w:val="22"/>
        </w:rPr>
        <w:t>hektáre agrolesníckej pôdy,</w:t>
      </w:r>
      <w:r w:rsidRPr="00E820E4">
        <w:rPr>
          <w:rFonts w:ascii="Calibri" w:hAnsi="Calibri"/>
          <w:bCs/>
          <w:szCs w:val="22"/>
        </w:rPr>
        <w:t xml:space="preserve"> na ktorú sa poskytuje alebo sa poskytla podpora v súlade s článkom 44 nariadenia (ES) č. 1698/2005 a/alebo článkom 23 nariadenia (EÚ) č. 1305/2013; </w:t>
      </w:r>
    </w:p>
    <w:p w:rsidR="00242C36" w:rsidRPr="00E820E4" w:rsidRDefault="00242C36" w:rsidP="00E820E4">
      <w:pPr>
        <w:pStyle w:val="Odsekzoznamu"/>
        <w:keepNext/>
        <w:keepLines/>
        <w:numPr>
          <w:ilvl w:val="0"/>
          <w:numId w:val="407"/>
        </w:numPr>
        <w:pBdr>
          <w:bar w:val="single" w:sz="6" w:color="808080"/>
        </w:pBdr>
        <w:spacing w:after="120"/>
        <w:outlineLvl w:val="1"/>
        <w:rPr>
          <w:rFonts w:ascii="Calibri" w:hAnsi="Calibri"/>
          <w:bCs/>
          <w:szCs w:val="22"/>
        </w:rPr>
      </w:pPr>
      <w:r w:rsidRPr="00E820E4">
        <w:rPr>
          <w:rFonts w:ascii="Calibri" w:hAnsi="Calibri"/>
          <w:b/>
          <w:bCs/>
          <w:szCs w:val="22"/>
        </w:rPr>
        <w:t>pásy hektárov popri okrajoch lesov</w:t>
      </w:r>
      <w:r w:rsidRPr="00E820E4">
        <w:rPr>
          <w:rFonts w:ascii="Calibri" w:hAnsi="Calibri"/>
          <w:bCs/>
          <w:szCs w:val="22"/>
        </w:rPr>
        <w:t xml:space="preserve">, na ktoré možno poskytnúť podporu; </w:t>
      </w:r>
    </w:p>
    <w:p w:rsidR="00242C36" w:rsidRPr="00E820E4" w:rsidRDefault="00242C36" w:rsidP="00E820E4">
      <w:pPr>
        <w:pStyle w:val="Odsekzoznamu"/>
        <w:keepNext/>
        <w:keepLines/>
        <w:numPr>
          <w:ilvl w:val="0"/>
          <w:numId w:val="407"/>
        </w:numPr>
        <w:pBdr>
          <w:bar w:val="single" w:sz="6" w:color="808080"/>
        </w:pBdr>
        <w:spacing w:after="120"/>
        <w:outlineLvl w:val="1"/>
        <w:rPr>
          <w:rFonts w:ascii="Calibri" w:hAnsi="Calibri"/>
          <w:bCs/>
          <w:szCs w:val="22"/>
        </w:rPr>
      </w:pPr>
      <w:r w:rsidRPr="00E820E4">
        <w:rPr>
          <w:rFonts w:ascii="Calibri" w:hAnsi="Calibri"/>
          <w:b/>
          <w:bCs/>
          <w:szCs w:val="22"/>
        </w:rPr>
        <w:t>plochy s mladinami</w:t>
      </w:r>
      <w:r w:rsidRPr="00E820E4">
        <w:rPr>
          <w:rFonts w:ascii="Calibri" w:hAnsi="Calibri"/>
          <w:bCs/>
          <w:szCs w:val="22"/>
        </w:rPr>
        <w:t xml:space="preserve"> s krátkodobým striedaním bez použitia hnojív a/alebo prípravkov na ochranu rastlín; </w:t>
      </w:r>
    </w:p>
    <w:p w:rsidR="00242C36" w:rsidRPr="00E820E4" w:rsidRDefault="00242C36" w:rsidP="00E820E4">
      <w:pPr>
        <w:pStyle w:val="Odsekzoznamu"/>
        <w:keepNext/>
        <w:keepLines/>
        <w:numPr>
          <w:ilvl w:val="0"/>
          <w:numId w:val="407"/>
        </w:numPr>
        <w:pBdr>
          <w:bar w:val="single" w:sz="6" w:color="808080"/>
        </w:pBdr>
        <w:spacing w:after="120"/>
        <w:outlineLvl w:val="1"/>
        <w:rPr>
          <w:rFonts w:ascii="Calibri" w:hAnsi="Calibri"/>
          <w:bCs/>
          <w:szCs w:val="22"/>
        </w:rPr>
      </w:pPr>
      <w:r w:rsidRPr="00E820E4">
        <w:rPr>
          <w:rFonts w:ascii="Calibri" w:hAnsi="Calibri"/>
          <w:b/>
          <w:bCs/>
          <w:szCs w:val="22"/>
        </w:rPr>
        <w:t>zalesnené oblasti</w:t>
      </w:r>
      <w:r w:rsidRPr="00E820E4">
        <w:rPr>
          <w:rFonts w:ascii="Calibri" w:hAnsi="Calibri"/>
          <w:bCs/>
          <w:szCs w:val="22"/>
        </w:rPr>
        <w:t xml:space="preserve"> uvedené v článku 32 ods. 2 písm. b) bode ii) tohto nariadenia; </w:t>
      </w:r>
    </w:p>
    <w:p w:rsidR="00242C36" w:rsidRPr="00E820E4" w:rsidRDefault="00242C36" w:rsidP="00E820E4">
      <w:pPr>
        <w:pStyle w:val="Odsekzoznamu"/>
        <w:keepNext/>
        <w:keepLines/>
        <w:numPr>
          <w:ilvl w:val="0"/>
          <w:numId w:val="407"/>
        </w:numPr>
        <w:pBdr>
          <w:bar w:val="single" w:sz="6" w:color="808080"/>
        </w:pBdr>
        <w:spacing w:after="120"/>
        <w:outlineLvl w:val="1"/>
        <w:rPr>
          <w:rFonts w:ascii="Calibri" w:hAnsi="Calibri"/>
          <w:bCs/>
          <w:szCs w:val="22"/>
        </w:rPr>
      </w:pPr>
      <w:r w:rsidRPr="00E820E4">
        <w:rPr>
          <w:rFonts w:ascii="Calibri" w:hAnsi="Calibri"/>
          <w:b/>
          <w:bCs/>
          <w:szCs w:val="22"/>
        </w:rPr>
        <w:t xml:space="preserve">plochy s medziplodinami </w:t>
      </w:r>
      <w:r w:rsidRPr="00E820E4">
        <w:rPr>
          <w:rFonts w:ascii="Calibri" w:hAnsi="Calibri"/>
          <w:bCs/>
          <w:szCs w:val="22"/>
        </w:rPr>
        <w:t xml:space="preserve">alebo zelenou pokrývkou, ktorá vznikla sadením a klíčením osív, ktoré podliehajú uplatneniu váhových faktorov uvedených v odseku 3 tohto článku; </w:t>
      </w:r>
    </w:p>
    <w:p w:rsidR="00242C36" w:rsidRPr="00E820E4" w:rsidRDefault="00242C36" w:rsidP="00E820E4">
      <w:pPr>
        <w:pStyle w:val="Odsekzoznamu"/>
        <w:keepNext/>
        <w:keepLines/>
        <w:numPr>
          <w:ilvl w:val="0"/>
          <w:numId w:val="407"/>
        </w:numPr>
        <w:pBdr>
          <w:bar w:val="single" w:sz="6" w:color="808080"/>
        </w:pBdr>
        <w:ind w:left="714" w:hanging="357"/>
        <w:outlineLvl w:val="1"/>
        <w:rPr>
          <w:rFonts w:ascii="Calibri" w:hAnsi="Calibri"/>
          <w:bCs/>
          <w:szCs w:val="22"/>
        </w:rPr>
      </w:pPr>
      <w:r w:rsidRPr="00E820E4">
        <w:rPr>
          <w:rFonts w:ascii="Calibri" w:hAnsi="Calibri"/>
          <w:b/>
          <w:bCs/>
          <w:szCs w:val="22"/>
        </w:rPr>
        <w:t>plochy s plodinami, ktoré viažu dusík</w:t>
      </w:r>
      <w:r w:rsidRPr="00E820E4">
        <w:rPr>
          <w:rFonts w:ascii="Calibri" w:hAnsi="Calibri"/>
          <w:bCs/>
          <w:szCs w:val="22"/>
        </w:rPr>
        <w:t xml:space="preserve">. </w:t>
      </w:r>
    </w:p>
    <w:p w:rsidR="00E820E4" w:rsidRDefault="00E820E4" w:rsidP="00242C36">
      <w:pPr>
        <w:keepNext/>
        <w:keepLines/>
        <w:pBdr>
          <w:bar w:val="single" w:sz="6" w:color="808080"/>
        </w:pBdr>
        <w:spacing w:after="120"/>
        <w:outlineLvl w:val="1"/>
        <w:rPr>
          <w:rFonts w:ascii="Calibri" w:hAnsi="Calibri"/>
          <w:bCs/>
          <w:szCs w:val="22"/>
        </w:rPr>
      </w:pPr>
    </w:p>
    <w:p w:rsidR="00242C36" w:rsidRDefault="00242C36" w:rsidP="00242C36">
      <w:pPr>
        <w:keepNext/>
        <w:keepLines/>
        <w:pBdr>
          <w:bar w:val="single" w:sz="6" w:color="808080"/>
        </w:pBdr>
        <w:spacing w:after="120"/>
        <w:outlineLvl w:val="1"/>
        <w:rPr>
          <w:rFonts w:ascii="Calibri" w:hAnsi="Calibri"/>
          <w:bCs/>
          <w:szCs w:val="22"/>
        </w:rPr>
      </w:pPr>
      <w:r>
        <w:rPr>
          <w:rFonts w:ascii="Calibri" w:hAnsi="Calibri"/>
          <w:bCs/>
          <w:szCs w:val="22"/>
        </w:rPr>
        <w:t>Na definovaní EFA pracuje aj SR (pracovisko VÚPOP) a ich vyčlenením dôjde k významnému posilneniu p</w:t>
      </w:r>
      <w:r w:rsidRPr="006A0E69">
        <w:rPr>
          <w:rFonts w:ascii="Calibri" w:hAnsi="Calibri"/>
          <w:bCs/>
          <w:szCs w:val="22"/>
        </w:rPr>
        <w:t>oľnohospodársk</w:t>
      </w:r>
      <w:r>
        <w:rPr>
          <w:rFonts w:ascii="Calibri" w:hAnsi="Calibri"/>
          <w:bCs/>
          <w:szCs w:val="22"/>
        </w:rPr>
        <w:t xml:space="preserve">ych </w:t>
      </w:r>
      <w:r w:rsidRPr="006A0E69">
        <w:rPr>
          <w:rFonts w:ascii="Calibri" w:hAnsi="Calibri"/>
          <w:bCs/>
          <w:szCs w:val="22"/>
        </w:rPr>
        <w:t>postup</w:t>
      </w:r>
      <w:r>
        <w:rPr>
          <w:rFonts w:ascii="Calibri" w:hAnsi="Calibri"/>
          <w:bCs/>
          <w:szCs w:val="22"/>
        </w:rPr>
        <w:t>ov</w:t>
      </w:r>
      <w:r w:rsidRPr="006A0E69">
        <w:rPr>
          <w:rFonts w:ascii="Calibri" w:hAnsi="Calibri"/>
          <w:bCs/>
          <w:szCs w:val="22"/>
        </w:rPr>
        <w:t xml:space="preserve"> prospešn</w:t>
      </w:r>
      <w:r>
        <w:rPr>
          <w:rFonts w:ascii="Calibri" w:hAnsi="Calibri"/>
          <w:bCs/>
          <w:szCs w:val="22"/>
        </w:rPr>
        <w:t>ých</w:t>
      </w:r>
      <w:r w:rsidRPr="006A0E69">
        <w:rPr>
          <w:rFonts w:ascii="Calibri" w:hAnsi="Calibri"/>
          <w:bCs/>
          <w:szCs w:val="22"/>
        </w:rPr>
        <w:t xml:space="preserve"> pre klímu a životné prostredie</w:t>
      </w:r>
      <w:r>
        <w:rPr>
          <w:rFonts w:ascii="Calibri" w:hAnsi="Calibri"/>
          <w:bCs/>
          <w:szCs w:val="22"/>
        </w:rPr>
        <w:t xml:space="preserve"> (príspevok I piliera SPP), ktoré budú spolupôsobiť s príslušnými agro-environmentálno-klimatickými opatreniami rozvoja vidieka.</w:t>
      </w:r>
    </w:p>
    <w:p w:rsidR="00242C36" w:rsidRDefault="00242C36" w:rsidP="00242C36">
      <w:pPr>
        <w:keepNext/>
        <w:keepLines/>
        <w:pBdr>
          <w:bar w:val="single" w:sz="6" w:color="808080"/>
        </w:pBdr>
        <w:spacing w:after="120"/>
        <w:outlineLvl w:val="1"/>
        <w:rPr>
          <w:rFonts w:ascii="Calibri" w:hAnsi="Calibri"/>
          <w:bCs/>
          <w:szCs w:val="22"/>
        </w:rPr>
      </w:pPr>
      <w:r>
        <w:rPr>
          <w:rFonts w:ascii="Calibri" w:hAnsi="Calibri"/>
          <w:bCs/>
          <w:szCs w:val="22"/>
        </w:rPr>
        <w:t xml:space="preserve">VUEPP vypracoval simulačnú analýzu o vplyve zavedenia </w:t>
      </w:r>
      <w:r w:rsidRPr="00025BA4">
        <w:rPr>
          <w:rFonts w:ascii="Calibri" w:hAnsi="Calibri"/>
          <w:bCs/>
          <w:szCs w:val="22"/>
        </w:rPr>
        <w:t>poľnohospodárskych postupov prospešných</w:t>
      </w:r>
      <w:r>
        <w:rPr>
          <w:rFonts w:ascii="Calibri" w:hAnsi="Calibri"/>
          <w:bCs/>
          <w:szCs w:val="22"/>
        </w:rPr>
        <w:t xml:space="preserve"> pre klímu a životné prostredie. J</w:t>
      </w:r>
      <w:r w:rsidRPr="00025BA4">
        <w:rPr>
          <w:rFonts w:ascii="Calibri" w:hAnsi="Calibri"/>
          <w:bCs/>
          <w:szCs w:val="22"/>
        </w:rPr>
        <w:t xml:space="preserve">e založená na využití databázy podnikov súboru Informačných listov MPRV SR (IL MPRV SR). Po eliminácii podnikov s nevykázanou pôdou táto vzorka predstavovala 2535 subjektov, z toho 1487 právnických a 1048 fyzických osôb. Obhospodarovaná výmera poľnohospodárskej pôdy predstavovala 1614 tis. ha, čo predstavuje 86% výmery evidovanej v LPIS.  </w:t>
      </w:r>
      <w:r w:rsidRPr="003E78B7">
        <w:rPr>
          <w:rFonts w:ascii="Calibri" w:hAnsi="Calibri"/>
          <w:bCs/>
          <w:szCs w:val="22"/>
        </w:rPr>
        <w:t xml:space="preserve">Existencia </w:t>
      </w:r>
      <w:r w:rsidRPr="00236527">
        <w:rPr>
          <w:rFonts w:ascii="Calibri" w:hAnsi="Calibri"/>
          <w:b/>
          <w:bCs/>
          <w:szCs w:val="22"/>
        </w:rPr>
        <w:t>oblastí ekologického záujmu</w:t>
      </w:r>
      <w:r w:rsidRPr="00025BA4">
        <w:rPr>
          <w:rFonts w:ascii="Calibri" w:hAnsi="Calibri"/>
          <w:bCs/>
          <w:szCs w:val="22"/>
        </w:rPr>
        <w:t xml:space="preserve"> (EFA) </w:t>
      </w:r>
      <w:r>
        <w:rPr>
          <w:rFonts w:ascii="Calibri" w:hAnsi="Calibri"/>
          <w:bCs/>
          <w:szCs w:val="22"/>
        </w:rPr>
        <w:t>na poľnohospodárskej pôde bola simulovaná</w:t>
      </w:r>
      <w:r w:rsidRPr="00025BA4">
        <w:rPr>
          <w:rFonts w:ascii="Calibri" w:hAnsi="Calibri"/>
          <w:bCs/>
          <w:szCs w:val="22"/>
        </w:rPr>
        <w:t xml:space="preserve"> </w:t>
      </w:r>
      <w:r>
        <w:rPr>
          <w:rFonts w:ascii="Calibri" w:hAnsi="Calibri"/>
          <w:bCs/>
          <w:szCs w:val="22"/>
        </w:rPr>
        <w:t>za k</w:t>
      </w:r>
      <w:r w:rsidRPr="00025BA4">
        <w:rPr>
          <w:rFonts w:ascii="Calibri" w:hAnsi="Calibri"/>
          <w:bCs/>
          <w:szCs w:val="22"/>
        </w:rPr>
        <w:t xml:space="preserve">aždú farmu </w:t>
      </w:r>
      <w:r>
        <w:rPr>
          <w:rFonts w:ascii="Calibri" w:hAnsi="Calibri"/>
          <w:bCs/>
          <w:szCs w:val="22"/>
        </w:rPr>
        <w:t xml:space="preserve">na úrovni </w:t>
      </w:r>
      <w:r w:rsidRPr="00025BA4">
        <w:rPr>
          <w:rFonts w:ascii="Calibri" w:hAnsi="Calibri"/>
          <w:bCs/>
          <w:szCs w:val="22"/>
        </w:rPr>
        <w:t>záväz</w:t>
      </w:r>
      <w:r>
        <w:rPr>
          <w:rFonts w:ascii="Calibri" w:hAnsi="Calibri"/>
          <w:bCs/>
          <w:szCs w:val="22"/>
        </w:rPr>
        <w:t xml:space="preserve">ku </w:t>
      </w:r>
      <w:r w:rsidRPr="00025BA4">
        <w:rPr>
          <w:rFonts w:ascii="Calibri" w:hAnsi="Calibri"/>
          <w:bCs/>
          <w:szCs w:val="22"/>
        </w:rPr>
        <w:t>5% EFA pre rok 2015</w:t>
      </w:r>
      <w:r>
        <w:rPr>
          <w:rFonts w:ascii="Calibri" w:hAnsi="Calibri"/>
          <w:bCs/>
          <w:szCs w:val="22"/>
        </w:rPr>
        <w:t xml:space="preserve"> a p</w:t>
      </w:r>
      <w:r w:rsidRPr="003E78B7">
        <w:rPr>
          <w:rFonts w:ascii="Calibri" w:hAnsi="Calibri"/>
          <w:bCs/>
          <w:szCs w:val="22"/>
        </w:rPr>
        <w:t>odmienk</w:t>
      </w:r>
      <w:r>
        <w:rPr>
          <w:rFonts w:ascii="Calibri" w:hAnsi="Calibri"/>
          <w:bCs/>
          <w:szCs w:val="22"/>
        </w:rPr>
        <w:t>a</w:t>
      </w:r>
      <w:r w:rsidRPr="003E78B7">
        <w:rPr>
          <w:rFonts w:ascii="Calibri" w:hAnsi="Calibri"/>
          <w:bCs/>
          <w:szCs w:val="22"/>
        </w:rPr>
        <w:t xml:space="preserve"> greeningu v oblasti </w:t>
      </w:r>
      <w:r w:rsidRPr="003E78B7">
        <w:rPr>
          <w:rFonts w:ascii="Calibri" w:hAnsi="Calibri"/>
          <w:b/>
          <w:bCs/>
          <w:szCs w:val="22"/>
        </w:rPr>
        <w:t>zachovávania existujúceho trvalého trávneho porastu</w:t>
      </w:r>
      <w:r w:rsidRPr="003E78B7">
        <w:rPr>
          <w:rFonts w:ascii="Calibri" w:hAnsi="Calibri"/>
          <w:bCs/>
          <w:szCs w:val="22"/>
        </w:rPr>
        <w:t xml:space="preserve"> b</w:t>
      </w:r>
      <w:r>
        <w:rPr>
          <w:rFonts w:ascii="Calibri" w:hAnsi="Calibri"/>
          <w:bCs/>
          <w:szCs w:val="22"/>
        </w:rPr>
        <w:t xml:space="preserve">ola </w:t>
      </w:r>
      <w:r w:rsidRPr="003E78B7">
        <w:rPr>
          <w:rFonts w:ascii="Calibri" w:hAnsi="Calibri"/>
          <w:bCs/>
          <w:szCs w:val="22"/>
        </w:rPr>
        <w:t>v analýze považova</w:t>
      </w:r>
      <w:r>
        <w:rPr>
          <w:rFonts w:ascii="Calibri" w:hAnsi="Calibri"/>
          <w:bCs/>
          <w:szCs w:val="22"/>
        </w:rPr>
        <w:t xml:space="preserve">ná </w:t>
      </w:r>
      <w:r w:rsidRPr="003E78B7">
        <w:rPr>
          <w:rFonts w:ascii="Calibri" w:hAnsi="Calibri"/>
          <w:bCs/>
          <w:szCs w:val="22"/>
        </w:rPr>
        <w:t>za už v súčasnosti plnenú</w:t>
      </w:r>
      <w:r>
        <w:rPr>
          <w:rFonts w:ascii="Calibri" w:hAnsi="Calibri"/>
          <w:bCs/>
          <w:szCs w:val="22"/>
        </w:rPr>
        <w:t>.</w:t>
      </w:r>
      <w:r w:rsidRPr="003E78B7">
        <w:rPr>
          <w:rFonts w:ascii="Calibri" w:hAnsi="Calibri"/>
          <w:bCs/>
          <w:szCs w:val="22"/>
        </w:rPr>
        <w:t xml:space="preserve"> </w:t>
      </w:r>
      <w:r>
        <w:rPr>
          <w:rFonts w:ascii="Calibri" w:hAnsi="Calibri"/>
          <w:bCs/>
          <w:szCs w:val="22"/>
        </w:rPr>
        <w:t>V</w:t>
      </w:r>
      <w:r w:rsidRPr="00025BA4">
        <w:rPr>
          <w:rFonts w:ascii="Calibri" w:hAnsi="Calibri"/>
          <w:bCs/>
          <w:szCs w:val="22"/>
        </w:rPr>
        <w:t xml:space="preserve">ýsledky </w:t>
      </w:r>
      <w:r>
        <w:rPr>
          <w:rFonts w:ascii="Calibri" w:hAnsi="Calibri"/>
          <w:bCs/>
          <w:szCs w:val="22"/>
        </w:rPr>
        <w:t xml:space="preserve">sú </w:t>
      </w:r>
      <w:r w:rsidRPr="00025BA4">
        <w:rPr>
          <w:rFonts w:ascii="Calibri" w:hAnsi="Calibri"/>
          <w:bCs/>
          <w:szCs w:val="22"/>
        </w:rPr>
        <w:t xml:space="preserve">agregované </w:t>
      </w:r>
      <w:r>
        <w:rPr>
          <w:rFonts w:ascii="Calibri" w:hAnsi="Calibri"/>
          <w:bCs/>
          <w:szCs w:val="22"/>
        </w:rPr>
        <w:t>a </w:t>
      </w:r>
      <w:r w:rsidRPr="00025BA4">
        <w:rPr>
          <w:rFonts w:ascii="Calibri" w:hAnsi="Calibri"/>
          <w:bCs/>
          <w:szCs w:val="22"/>
        </w:rPr>
        <w:t>prezent</w:t>
      </w:r>
      <w:r>
        <w:rPr>
          <w:rFonts w:ascii="Calibri" w:hAnsi="Calibri"/>
          <w:bCs/>
          <w:szCs w:val="22"/>
        </w:rPr>
        <w:t xml:space="preserve">ované </w:t>
      </w:r>
      <w:r w:rsidRPr="00025BA4">
        <w:rPr>
          <w:rFonts w:ascii="Calibri" w:hAnsi="Calibri"/>
          <w:bCs/>
          <w:szCs w:val="22"/>
        </w:rPr>
        <w:t>na úrovni NUTS4</w:t>
      </w:r>
      <w:r>
        <w:rPr>
          <w:rFonts w:ascii="Calibri" w:hAnsi="Calibri"/>
          <w:bCs/>
          <w:szCs w:val="22"/>
        </w:rPr>
        <w:t xml:space="preserve">, pričom je rozlíšený vplyv veľkých a malých fariem. </w:t>
      </w:r>
    </w:p>
    <w:p w:rsidR="00242C36" w:rsidRDefault="00242C36" w:rsidP="00242C36">
      <w:pPr>
        <w:keepNext/>
        <w:keepLines/>
        <w:pBdr>
          <w:bar w:val="single" w:sz="6" w:color="808080"/>
        </w:pBdr>
        <w:spacing w:after="120"/>
        <w:outlineLvl w:val="1"/>
        <w:rPr>
          <w:rFonts w:ascii="Calibri" w:hAnsi="Calibri"/>
          <w:bCs/>
          <w:szCs w:val="22"/>
        </w:rPr>
      </w:pPr>
      <w:r>
        <w:rPr>
          <w:rFonts w:ascii="Calibri" w:hAnsi="Calibri"/>
          <w:bCs/>
          <w:szCs w:val="22"/>
        </w:rPr>
        <w:t>O</w:t>
      </w:r>
      <w:r w:rsidRPr="003E78B7">
        <w:rPr>
          <w:rFonts w:ascii="Calibri" w:hAnsi="Calibri"/>
          <w:bCs/>
          <w:szCs w:val="22"/>
        </w:rPr>
        <w:t xml:space="preserve">proti všeobecne prezentovaným predstavám nie je </w:t>
      </w:r>
      <w:r>
        <w:rPr>
          <w:rFonts w:ascii="Calibri" w:hAnsi="Calibri"/>
          <w:bCs/>
          <w:szCs w:val="22"/>
        </w:rPr>
        <w:t>p</w:t>
      </w:r>
      <w:r w:rsidRPr="003E78B7">
        <w:rPr>
          <w:rFonts w:ascii="Calibri" w:hAnsi="Calibri"/>
          <w:bCs/>
          <w:szCs w:val="22"/>
        </w:rPr>
        <w:t>oľnohospodárska pôda v nížinách a produkčných oblastiach Slovenska obhospodarovaná najväčšími subjektmi. Z</w:t>
      </w:r>
      <w:r>
        <w:rPr>
          <w:rFonts w:ascii="Calibri" w:hAnsi="Calibri"/>
          <w:bCs/>
          <w:szCs w:val="22"/>
        </w:rPr>
        <w:t xml:space="preserve"> nasledovného </w:t>
      </w:r>
      <w:r w:rsidRPr="003E78B7">
        <w:rPr>
          <w:rFonts w:ascii="Calibri" w:hAnsi="Calibri"/>
          <w:bCs/>
          <w:szCs w:val="22"/>
        </w:rPr>
        <w:t>obrázku  je zrejmé, že v </w:t>
      </w:r>
      <w:r w:rsidR="00366F96">
        <w:rPr>
          <w:rFonts w:ascii="Calibri" w:hAnsi="Calibri"/>
          <w:bCs/>
          <w:szCs w:val="22"/>
        </w:rPr>
        <w:t>P</w:t>
      </w:r>
      <w:r w:rsidRPr="003E78B7">
        <w:rPr>
          <w:rFonts w:ascii="Calibri" w:hAnsi="Calibri"/>
          <w:bCs/>
          <w:szCs w:val="22"/>
        </w:rPr>
        <w:t xml:space="preserve">odunajskej nížine tieto subjekty dominujú iba v malých okresoch Bratislava 5 a Šaľa. Ostatné sú v priemernej, resp. nižšej kategórii, ako 1069 ha na farmu. Farmy s najväčšou priemernou výmerou sú </w:t>
      </w:r>
      <w:r>
        <w:rPr>
          <w:rFonts w:ascii="Calibri" w:hAnsi="Calibri"/>
          <w:bCs/>
          <w:szCs w:val="22"/>
        </w:rPr>
        <w:t xml:space="preserve">v okresoch </w:t>
      </w:r>
      <w:r w:rsidRPr="003E78B7">
        <w:rPr>
          <w:rFonts w:ascii="Calibri" w:hAnsi="Calibri"/>
          <w:bCs/>
          <w:szCs w:val="22"/>
        </w:rPr>
        <w:t>Zlaté Moravce, Partizánske (pahorkatiny), Malacky (arídna oblasť), ďalej Hlohovec, Topoľčany (nížiny a pahorkatiny), Turčianske Teplice, Liptovský Mikuláš, Tvrdošín a Snina (podhorské a horské oblasti).</w:t>
      </w:r>
    </w:p>
    <w:p w:rsidR="00366F96" w:rsidRDefault="00366F96" w:rsidP="00242C36">
      <w:pPr>
        <w:keepNext/>
        <w:keepLines/>
        <w:pBdr>
          <w:bar w:val="single" w:sz="6" w:color="808080"/>
        </w:pBdr>
        <w:spacing w:after="120"/>
        <w:outlineLvl w:val="1"/>
        <w:rPr>
          <w:rFonts w:ascii="Calibri" w:hAnsi="Calibri"/>
          <w:bCs/>
          <w:szCs w:val="22"/>
        </w:rPr>
      </w:pPr>
    </w:p>
    <w:p w:rsidR="00366F96" w:rsidRDefault="00366F96" w:rsidP="00242C36">
      <w:pPr>
        <w:keepNext/>
        <w:keepLines/>
        <w:pBdr>
          <w:bar w:val="single" w:sz="6" w:color="808080"/>
        </w:pBdr>
        <w:spacing w:after="120"/>
        <w:outlineLvl w:val="1"/>
        <w:rPr>
          <w:rFonts w:ascii="Calibri" w:hAnsi="Calibri"/>
          <w:bCs/>
          <w:szCs w:val="22"/>
        </w:rPr>
      </w:pPr>
    </w:p>
    <w:p w:rsidR="00366F96" w:rsidRPr="003E78B7" w:rsidRDefault="00366F96" w:rsidP="00242C36">
      <w:pPr>
        <w:keepNext/>
        <w:keepLines/>
        <w:pBdr>
          <w:bar w:val="single" w:sz="6" w:color="808080"/>
        </w:pBdr>
        <w:spacing w:after="120"/>
        <w:outlineLvl w:val="1"/>
        <w:rPr>
          <w:rFonts w:ascii="Calibri" w:hAnsi="Calibri"/>
          <w:bCs/>
          <w:szCs w:val="22"/>
        </w:rPr>
      </w:pPr>
    </w:p>
    <w:p w:rsidR="00242C36" w:rsidRPr="003E78B7" w:rsidRDefault="00242C36" w:rsidP="00242C36">
      <w:pPr>
        <w:keepNext/>
        <w:keepLines/>
        <w:pBdr>
          <w:bar w:val="single" w:sz="6" w:color="808080"/>
        </w:pBdr>
        <w:spacing w:after="120"/>
        <w:outlineLvl w:val="1"/>
        <w:rPr>
          <w:rFonts w:ascii="Calibri" w:hAnsi="Calibri"/>
          <w:bCs/>
          <w:szCs w:val="22"/>
        </w:rPr>
      </w:pPr>
      <w:r w:rsidRPr="003E78B7">
        <w:rPr>
          <w:rFonts w:ascii="Calibri" w:hAnsi="Calibri"/>
          <w:b/>
          <w:bCs/>
          <w:szCs w:val="22"/>
        </w:rPr>
        <w:t>Priemerná výmera poľnohospodárskej pôdy farmy právnických osôb</w:t>
      </w:r>
    </w:p>
    <w:p w:rsidR="00242C36" w:rsidRPr="003E78B7" w:rsidRDefault="00242C36" w:rsidP="00242C36">
      <w:pPr>
        <w:keepNext/>
        <w:keepLines/>
        <w:pBdr>
          <w:bar w:val="single" w:sz="6" w:color="808080"/>
        </w:pBdr>
        <w:spacing w:after="120"/>
        <w:outlineLvl w:val="1"/>
        <w:rPr>
          <w:rFonts w:ascii="Calibri" w:hAnsi="Calibri"/>
          <w:b/>
          <w:bCs/>
          <w:szCs w:val="22"/>
        </w:rPr>
      </w:pPr>
      <w:r>
        <w:rPr>
          <w:rFonts w:ascii="Calibri" w:hAnsi="Calibri"/>
          <w:b/>
          <w:bCs/>
          <w:noProof/>
          <w:szCs w:val="22"/>
        </w:rPr>
        <w:drawing>
          <wp:inline distT="0" distB="0" distL="0" distR="0" wp14:anchorId="765F9933" wp14:editId="4C852E1E">
            <wp:extent cx="5086350" cy="2466975"/>
            <wp:effectExtent l="0" t="0" r="0" b="0"/>
            <wp:docPr id="3" name="Obrázok 17" descr="ha_pp_PO.e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a_pp_PO.emf"/>
                    <pic:cNvPicPr/>
                  </pic:nvPicPr>
                  <pic:blipFill>
                    <a:blip r:embed="rId15" cstate="print"/>
                    <a:srcRect l="4463" t="17391" r="7273" b="16368"/>
                    <a:stretch>
                      <a:fillRect/>
                    </a:stretch>
                  </pic:blipFill>
                  <pic:spPr>
                    <a:xfrm>
                      <a:off x="0" y="0"/>
                      <a:ext cx="5086350" cy="2466975"/>
                    </a:xfrm>
                    <a:prstGeom prst="rect">
                      <a:avLst/>
                    </a:prstGeom>
                  </pic:spPr>
                </pic:pic>
              </a:graphicData>
            </a:graphic>
          </wp:inline>
        </w:drawing>
      </w:r>
    </w:p>
    <w:p w:rsidR="00242C36" w:rsidRPr="00AB0AD4" w:rsidRDefault="00242C36" w:rsidP="00242C36">
      <w:pPr>
        <w:keepNext/>
        <w:keepLines/>
        <w:pBdr>
          <w:bar w:val="single" w:sz="6" w:color="808080"/>
        </w:pBdr>
        <w:spacing w:after="120"/>
        <w:outlineLvl w:val="1"/>
        <w:rPr>
          <w:rFonts w:ascii="Calibri" w:hAnsi="Calibri"/>
          <w:bCs/>
          <w:sz w:val="20"/>
          <w:szCs w:val="20"/>
        </w:rPr>
      </w:pPr>
      <w:r w:rsidRPr="00AB0AD4">
        <w:rPr>
          <w:rFonts w:ascii="Calibri" w:hAnsi="Calibri"/>
          <w:bCs/>
          <w:sz w:val="20"/>
          <w:szCs w:val="20"/>
        </w:rPr>
        <w:t>Vypracoval: NPPC-VÚEPP</w:t>
      </w:r>
    </w:p>
    <w:p w:rsidR="00242C36" w:rsidRPr="003E78B7" w:rsidRDefault="00242C36" w:rsidP="00242C36">
      <w:pPr>
        <w:keepNext/>
        <w:keepLines/>
        <w:pBdr>
          <w:bar w:val="single" w:sz="6" w:color="808080"/>
        </w:pBdr>
        <w:spacing w:after="120"/>
        <w:outlineLvl w:val="1"/>
        <w:rPr>
          <w:rFonts w:ascii="Calibri" w:hAnsi="Calibri"/>
          <w:bCs/>
          <w:szCs w:val="22"/>
        </w:rPr>
      </w:pPr>
      <w:r w:rsidRPr="003E78B7">
        <w:rPr>
          <w:rFonts w:ascii="Calibri" w:hAnsi="Calibri"/>
          <w:bCs/>
          <w:szCs w:val="22"/>
        </w:rPr>
        <w:t>Výsledky možno zovšeobecniť s tým, že veľké farmy</w:t>
      </w:r>
      <w:r>
        <w:rPr>
          <w:rFonts w:ascii="Calibri" w:hAnsi="Calibri"/>
          <w:bCs/>
          <w:szCs w:val="22"/>
        </w:rPr>
        <w:t xml:space="preserve"> (</w:t>
      </w:r>
      <w:r w:rsidRPr="003E78B7">
        <w:rPr>
          <w:rFonts w:ascii="Calibri" w:hAnsi="Calibri"/>
          <w:bCs/>
          <w:szCs w:val="22"/>
        </w:rPr>
        <w:t>z pohľadu veľkosti právnických osôb</w:t>
      </w:r>
      <w:r>
        <w:rPr>
          <w:rFonts w:ascii="Calibri" w:hAnsi="Calibri"/>
          <w:bCs/>
          <w:szCs w:val="22"/>
        </w:rPr>
        <w:t>)</w:t>
      </w:r>
      <w:r w:rsidRPr="003E78B7">
        <w:rPr>
          <w:rFonts w:ascii="Calibri" w:hAnsi="Calibri"/>
          <w:bCs/>
          <w:szCs w:val="22"/>
        </w:rPr>
        <w:t xml:space="preserve"> nie sú špecificky typické pre konkrétnu produkčnú, resp. geografickú oblasť (napr. iba pre nížiny). Dokumentuje to aj nasledujúci obr</w:t>
      </w:r>
      <w:r>
        <w:rPr>
          <w:rFonts w:ascii="Calibri" w:hAnsi="Calibri"/>
          <w:bCs/>
          <w:szCs w:val="22"/>
        </w:rPr>
        <w:t xml:space="preserve">ázok, ktorý porovnáva veľkosť fariem právnických osôb </w:t>
      </w:r>
      <w:r w:rsidRPr="003E78B7">
        <w:rPr>
          <w:rFonts w:ascii="Calibri" w:hAnsi="Calibri"/>
          <w:bCs/>
          <w:szCs w:val="22"/>
        </w:rPr>
        <w:t>s priemerom Slovenska.</w:t>
      </w:r>
    </w:p>
    <w:p w:rsidR="00242C36" w:rsidRPr="003E78B7" w:rsidRDefault="00242C36" w:rsidP="00242C36">
      <w:pPr>
        <w:keepNext/>
        <w:keepLines/>
        <w:pBdr>
          <w:bar w:val="single" w:sz="6" w:color="808080"/>
        </w:pBdr>
        <w:spacing w:after="120"/>
        <w:outlineLvl w:val="1"/>
        <w:rPr>
          <w:rFonts w:ascii="Calibri" w:hAnsi="Calibri"/>
          <w:b/>
          <w:bCs/>
          <w:szCs w:val="22"/>
        </w:rPr>
      </w:pPr>
      <w:r w:rsidRPr="003E78B7">
        <w:rPr>
          <w:rFonts w:ascii="Calibri" w:hAnsi="Calibri"/>
          <w:b/>
          <w:bCs/>
          <w:szCs w:val="22"/>
        </w:rPr>
        <w:t>Pomer priemernej výmery poľnohospodárskej pôdy farmy právnických osôb k priemeru Slovenska (637 ha) v %</w:t>
      </w:r>
    </w:p>
    <w:p w:rsidR="00242C36" w:rsidRPr="003E78B7" w:rsidRDefault="00242C36" w:rsidP="00242C36">
      <w:pPr>
        <w:keepNext/>
        <w:keepLines/>
        <w:pBdr>
          <w:bar w:val="single" w:sz="6" w:color="808080"/>
        </w:pBdr>
        <w:spacing w:after="120"/>
        <w:outlineLvl w:val="1"/>
        <w:rPr>
          <w:rFonts w:ascii="Calibri" w:hAnsi="Calibri"/>
          <w:b/>
          <w:bCs/>
          <w:szCs w:val="22"/>
        </w:rPr>
      </w:pPr>
      <w:r>
        <w:rPr>
          <w:rFonts w:ascii="Calibri" w:hAnsi="Calibri"/>
          <w:b/>
          <w:bCs/>
          <w:noProof/>
          <w:szCs w:val="22"/>
        </w:rPr>
        <w:drawing>
          <wp:inline distT="0" distB="0" distL="0" distR="0" wp14:anchorId="2C4700A7" wp14:editId="3AF0D2A5">
            <wp:extent cx="5105400" cy="2457450"/>
            <wp:effectExtent l="0" t="0" r="0" b="0"/>
            <wp:docPr id="13" name="Obrázok 19" descr="PO_per_SR.e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O_per_SR.emf"/>
                    <pic:cNvPicPr/>
                  </pic:nvPicPr>
                  <pic:blipFill>
                    <a:blip r:embed="rId16" cstate="print"/>
                    <a:srcRect l="4463" t="17391" r="6942" b="16624"/>
                    <a:stretch>
                      <a:fillRect/>
                    </a:stretch>
                  </pic:blipFill>
                  <pic:spPr>
                    <a:xfrm>
                      <a:off x="0" y="0"/>
                      <a:ext cx="5105400" cy="2457450"/>
                    </a:xfrm>
                    <a:prstGeom prst="rect">
                      <a:avLst/>
                    </a:prstGeom>
                  </pic:spPr>
                </pic:pic>
              </a:graphicData>
            </a:graphic>
          </wp:inline>
        </w:drawing>
      </w:r>
    </w:p>
    <w:p w:rsidR="00242C36" w:rsidRPr="000348D5" w:rsidRDefault="00242C36" w:rsidP="00242C36">
      <w:pPr>
        <w:keepNext/>
        <w:keepLines/>
        <w:pBdr>
          <w:bar w:val="single" w:sz="6" w:color="808080"/>
        </w:pBdr>
        <w:spacing w:after="120"/>
        <w:outlineLvl w:val="1"/>
        <w:rPr>
          <w:rFonts w:ascii="Calibri" w:hAnsi="Calibri"/>
          <w:bCs/>
          <w:sz w:val="20"/>
          <w:szCs w:val="20"/>
        </w:rPr>
      </w:pPr>
      <w:r w:rsidRPr="00AB0AD4">
        <w:rPr>
          <w:rFonts w:ascii="Calibri" w:hAnsi="Calibri"/>
          <w:bCs/>
          <w:sz w:val="20"/>
          <w:szCs w:val="20"/>
        </w:rPr>
        <w:t>Vypracoval: NPPC-VÚEPP</w:t>
      </w:r>
    </w:p>
    <w:p w:rsidR="00242C36" w:rsidRDefault="00242C36" w:rsidP="00242C36">
      <w:pPr>
        <w:keepNext/>
        <w:keepLines/>
        <w:pBdr>
          <w:bar w:val="single" w:sz="6" w:color="808080"/>
        </w:pBdr>
        <w:spacing w:after="120"/>
        <w:outlineLvl w:val="1"/>
        <w:rPr>
          <w:rFonts w:ascii="Calibri" w:hAnsi="Calibri"/>
          <w:bCs/>
          <w:szCs w:val="22"/>
        </w:rPr>
      </w:pPr>
      <w:r>
        <w:rPr>
          <w:rFonts w:ascii="Calibri" w:hAnsi="Calibri"/>
          <w:bCs/>
          <w:szCs w:val="22"/>
        </w:rPr>
        <w:t>Pri farmách fyzických osôb (FO), sú n</w:t>
      </w:r>
      <w:r w:rsidRPr="003E78B7">
        <w:rPr>
          <w:rFonts w:ascii="Calibri" w:hAnsi="Calibri"/>
          <w:bCs/>
          <w:szCs w:val="22"/>
        </w:rPr>
        <w:t>ajväčšie farmy v triede do 390 ha, čo spadá u právnických osôb do tr</w:t>
      </w:r>
      <w:r>
        <w:rPr>
          <w:rFonts w:ascii="Calibri" w:hAnsi="Calibri"/>
          <w:bCs/>
          <w:szCs w:val="22"/>
        </w:rPr>
        <w:t xml:space="preserve">iedy najmenších </w:t>
      </w:r>
      <w:r w:rsidRPr="003E78B7">
        <w:rPr>
          <w:rFonts w:ascii="Calibri" w:hAnsi="Calibri"/>
          <w:bCs/>
          <w:szCs w:val="22"/>
        </w:rPr>
        <w:t xml:space="preserve">(do 415 ha). Oveľa zreteľnejšie, ako u právnických osôb však </w:t>
      </w:r>
      <w:r>
        <w:rPr>
          <w:rFonts w:ascii="Calibri" w:hAnsi="Calibri"/>
          <w:bCs/>
          <w:szCs w:val="22"/>
        </w:rPr>
        <w:t xml:space="preserve">farmy FO </w:t>
      </w:r>
      <w:r w:rsidRPr="003E78B7">
        <w:rPr>
          <w:rFonts w:ascii="Calibri" w:hAnsi="Calibri"/>
          <w:bCs/>
          <w:szCs w:val="22"/>
        </w:rPr>
        <w:t xml:space="preserve">pokrývajú oblasti nížin (Nitra, Nové Zámky, Trebišov, Michalovce). Možno ich však identifikovať aj v podhorských a horských oblastiach (Skalica, Rožňava, Považská Bystrica, Sabinov, Svidník a Snina. </w:t>
      </w:r>
    </w:p>
    <w:p w:rsidR="00366F96" w:rsidRDefault="00366F96" w:rsidP="00242C36">
      <w:pPr>
        <w:keepNext/>
        <w:keepLines/>
        <w:pBdr>
          <w:bar w:val="single" w:sz="6" w:color="808080"/>
        </w:pBdr>
        <w:spacing w:after="120"/>
        <w:outlineLvl w:val="1"/>
        <w:rPr>
          <w:rFonts w:ascii="Calibri" w:hAnsi="Calibri"/>
          <w:bCs/>
          <w:szCs w:val="22"/>
        </w:rPr>
      </w:pPr>
    </w:p>
    <w:p w:rsidR="00366F96" w:rsidRDefault="00366F96" w:rsidP="00242C36">
      <w:pPr>
        <w:keepNext/>
        <w:keepLines/>
        <w:pBdr>
          <w:bar w:val="single" w:sz="6" w:color="808080"/>
        </w:pBdr>
        <w:spacing w:after="120"/>
        <w:outlineLvl w:val="1"/>
        <w:rPr>
          <w:rFonts w:ascii="Calibri" w:hAnsi="Calibri"/>
          <w:bCs/>
          <w:szCs w:val="22"/>
        </w:rPr>
      </w:pPr>
    </w:p>
    <w:p w:rsidR="00366F96" w:rsidRDefault="00366F96" w:rsidP="00242C36">
      <w:pPr>
        <w:keepNext/>
        <w:keepLines/>
        <w:pBdr>
          <w:bar w:val="single" w:sz="6" w:color="808080"/>
        </w:pBdr>
        <w:spacing w:after="120"/>
        <w:outlineLvl w:val="1"/>
        <w:rPr>
          <w:rFonts w:ascii="Calibri" w:hAnsi="Calibri"/>
          <w:bCs/>
          <w:szCs w:val="22"/>
        </w:rPr>
      </w:pPr>
    </w:p>
    <w:p w:rsidR="00366F96" w:rsidRDefault="00366F96" w:rsidP="00242C36">
      <w:pPr>
        <w:keepNext/>
        <w:keepLines/>
        <w:pBdr>
          <w:bar w:val="single" w:sz="6" w:color="808080"/>
        </w:pBdr>
        <w:spacing w:after="120"/>
        <w:outlineLvl w:val="1"/>
        <w:rPr>
          <w:rFonts w:ascii="Calibri" w:hAnsi="Calibri"/>
          <w:bCs/>
          <w:szCs w:val="22"/>
        </w:rPr>
      </w:pPr>
    </w:p>
    <w:p w:rsidR="00366F96" w:rsidRPr="003E78B7" w:rsidRDefault="00366F96" w:rsidP="00242C36">
      <w:pPr>
        <w:keepNext/>
        <w:keepLines/>
        <w:pBdr>
          <w:bar w:val="single" w:sz="6" w:color="808080"/>
        </w:pBdr>
        <w:spacing w:after="120"/>
        <w:outlineLvl w:val="1"/>
        <w:rPr>
          <w:rFonts w:ascii="Calibri" w:hAnsi="Calibri"/>
          <w:bCs/>
          <w:szCs w:val="22"/>
        </w:rPr>
      </w:pPr>
    </w:p>
    <w:p w:rsidR="00242C36" w:rsidRPr="003E78B7" w:rsidRDefault="00242C36" w:rsidP="00242C36">
      <w:pPr>
        <w:keepNext/>
        <w:keepLines/>
        <w:pBdr>
          <w:bar w:val="single" w:sz="6" w:color="808080"/>
        </w:pBdr>
        <w:spacing w:after="120"/>
        <w:outlineLvl w:val="1"/>
        <w:rPr>
          <w:rFonts w:ascii="Calibri" w:hAnsi="Calibri"/>
          <w:b/>
          <w:bCs/>
          <w:szCs w:val="22"/>
        </w:rPr>
      </w:pPr>
      <w:r w:rsidRPr="003E78B7">
        <w:rPr>
          <w:rFonts w:ascii="Calibri" w:hAnsi="Calibri"/>
          <w:b/>
          <w:bCs/>
          <w:szCs w:val="22"/>
        </w:rPr>
        <w:t>Priemerná výmera poľnohospodárskej pôdy farmy fyzických osôb</w:t>
      </w:r>
    </w:p>
    <w:p w:rsidR="00242C36" w:rsidRPr="003E78B7" w:rsidRDefault="00242C36" w:rsidP="00242C36">
      <w:pPr>
        <w:keepNext/>
        <w:keepLines/>
        <w:pBdr>
          <w:bar w:val="single" w:sz="6" w:color="808080"/>
        </w:pBdr>
        <w:spacing w:after="120"/>
        <w:outlineLvl w:val="1"/>
        <w:rPr>
          <w:rFonts w:ascii="Calibri" w:hAnsi="Calibri"/>
          <w:bCs/>
          <w:szCs w:val="22"/>
        </w:rPr>
      </w:pPr>
      <w:r>
        <w:rPr>
          <w:rFonts w:ascii="Calibri" w:hAnsi="Calibri"/>
          <w:bCs/>
          <w:noProof/>
          <w:szCs w:val="22"/>
        </w:rPr>
        <w:drawing>
          <wp:inline distT="0" distB="0" distL="0" distR="0" wp14:anchorId="43CDE4D3" wp14:editId="4CD0472C">
            <wp:extent cx="5076825" cy="2486025"/>
            <wp:effectExtent l="0" t="0" r="9525" b="0"/>
            <wp:docPr id="14" name="Obrázok 18" descr="ha_pp_FO.e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a_pp_FO.emf"/>
                    <pic:cNvPicPr/>
                  </pic:nvPicPr>
                  <pic:blipFill>
                    <a:blip r:embed="rId17" cstate="print"/>
                    <a:srcRect l="4298" t="16624" r="7603" b="16624"/>
                    <a:stretch>
                      <a:fillRect/>
                    </a:stretch>
                  </pic:blipFill>
                  <pic:spPr>
                    <a:xfrm>
                      <a:off x="0" y="0"/>
                      <a:ext cx="5076825" cy="2486025"/>
                    </a:xfrm>
                    <a:prstGeom prst="rect">
                      <a:avLst/>
                    </a:prstGeom>
                  </pic:spPr>
                </pic:pic>
              </a:graphicData>
            </a:graphic>
          </wp:inline>
        </w:drawing>
      </w:r>
    </w:p>
    <w:p w:rsidR="00242C36" w:rsidRPr="000348D5" w:rsidRDefault="00242C36" w:rsidP="00242C36">
      <w:pPr>
        <w:keepNext/>
        <w:keepLines/>
        <w:pBdr>
          <w:bar w:val="single" w:sz="6" w:color="808080"/>
        </w:pBdr>
        <w:spacing w:after="120"/>
        <w:outlineLvl w:val="1"/>
        <w:rPr>
          <w:rFonts w:ascii="Calibri" w:hAnsi="Calibri"/>
          <w:bCs/>
          <w:sz w:val="20"/>
          <w:szCs w:val="20"/>
        </w:rPr>
      </w:pPr>
      <w:r w:rsidRPr="00AB0AD4">
        <w:rPr>
          <w:rFonts w:ascii="Calibri" w:hAnsi="Calibri"/>
          <w:bCs/>
          <w:sz w:val="20"/>
          <w:szCs w:val="20"/>
        </w:rPr>
        <w:t>Vypracoval: NPPC-VÚEPP</w:t>
      </w:r>
    </w:p>
    <w:p w:rsidR="00242C36" w:rsidRPr="003E78B7" w:rsidRDefault="00242C36" w:rsidP="00242C36">
      <w:pPr>
        <w:keepNext/>
        <w:keepLines/>
        <w:pBdr>
          <w:bar w:val="single" w:sz="6" w:color="808080"/>
        </w:pBdr>
        <w:spacing w:after="120"/>
        <w:outlineLvl w:val="1"/>
        <w:rPr>
          <w:rFonts w:ascii="Calibri" w:hAnsi="Calibri"/>
          <w:bCs/>
          <w:szCs w:val="22"/>
        </w:rPr>
      </w:pPr>
      <w:r w:rsidRPr="003E78B7">
        <w:rPr>
          <w:rFonts w:ascii="Calibri" w:hAnsi="Calibri"/>
          <w:bCs/>
          <w:szCs w:val="22"/>
        </w:rPr>
        <w:t xml:space="preserve">Na rozdiel od právnických subjektov možno výsledky u fyzických osôb zovšeobecniť s tým, že veľké farmy, z pohľadu ich relatívnej veľkosti sú špecificky typické tým, že najväčšie sa koncentrujú hlavne v oblasti nížin Slovenska. Existujú však aj výnimky, ako sú napr. okresy Skalica, Považská Bystrica, Sabinov a Vranov nad Topľou. V týchto oblastiach sa výmery fariem fyzických osôb približuje priemernej výmere fariem Slovenska. </w:t>
      </w:r>
    </w:p>
    <w:p w:rsidR="00242C36" w:rsidRDefault="00242C36" w:rsidP="00242C36">
      <w:pPr>
        <w:keepNext/>
        <w:keepLines/>
        <w:pBdr>
          <w:bar w:val="single" w:sz="6" w:color="808080"/>
        </w:pBdr>
        <w:spacing w:after="120"/>
        <w:outlineLvl w:val="1"/>
        <w:rPr>
          <w:rFonts w:ascii="Calibri" w:hAnsi="Calibri"/>
          <w:bCs/>
          <w:szCs w:val="22"/>
        </w:rPr>
      </w:pPr>
      <w:r w:rsidRPr="009A6947">
        <w:rPr>
          <w:rFonts w:ascii="Calibri" w:hAnsi="Calibri"/>
          <w:bCs/>
          <w:szCs w:val="22"/>
        </w:rPr>
        <w:t>Pri stanovení</w:t>
      </w:r>
      <w:r>
        <w:rPr>
          <w:rFonts w:ascii="Calibri" w:hAnsi="Calibri"/>
          <w:bCs/>
          <w:szCs w:val="22"/>
        </w:rPr>
        <w:t xml:space="preserve"> </w:t>
      </w:r>
      <w:r w:rsidRPr="009A6947">
        <w:rPr>
          <w:rFonts w:ascii="Calibri" w:hAnsi="Calibri"/>
          <w:b/>
          <w:bCs/>
          <w:szCs w:val="22"/>
        </w:rPr>
        <w:t>diverzifikácie plodín</w:t>
      </w:r>
      <w:r>
        <w:rPr>
          <w:rFonts w:ascii="Calibri" w:hAnsi="Calibri"/>
          <w:bCs/>
          <w:szCs w:val="22"/>
        </w:rPr>
        <w:t xml:space="preserve"> (v zmysle nar.</w:t>
      </w:r>
      <w:r w:rsidRPr="009A6947">
        <w:rPr>
          <w:rFonts w:ascii="Calibri" w:hAnsi="Calibri"/>
          <w:bCs/>
          <w:szCs w:val="22"/>
        </w:rPr>
        <w:t xml:space="preserve"> </w:t>
      </w:r>
      <w:r w:rsidRPr="006A0E69">
        <w:rPr>
          <w:rFonts w:ascii="Calibri" w:hAnsi="Calibri"/>
          <w:bCs/>
          <w:szCs w:val="22"/>
        </w:rPr>
        <w:t>č. 1307/2013</w:t>
      </w:r>
      <w:r>
        <w:rPr>
          <w:rFonts w:ascii="Calibri" w:hAnsi="Calibri"/>
          <w:bCs/>
          <w:szCs w:val="22"/>
        </w:rPr>
        <w:t>) simulácia potvrdila, že f</w:t>
      </w:r>
      <w:r w:rsidRPr="003E78B7">
        <w:rPr>
          <w:rFonts w:ascii="Calibri" w:hAnsi="Calibri"/>
          <w:bCs/>
          <w:szCs w:val="22"/>
        </w:rPr>
        <w:t xml:space="preserve">army fyzických osôb venujú diverzifikácii menšiu pozornosť ako farmy právnických osôb.  </w:t>
      </w:r>
      <w:r>
        <w:rPr>
          <w:rFonts w:ascii="Calibri" w:hAnsi="Calibri"/>
          <w:bCs/>
          <w:szCs w:val="22"/>
        </w:rPr>
        <w:t>Týmto sa hypotéza, že veľké intenzívne farmy v nížinných oblastiach môžu byť zodpovedné za stratu biodiverzity sa v analýze nepreukázala.</w:t>
      </w:r>
    </w:p>
    <w:p w:rsidR="00242C36" w:rsidRPr="003E78B7" w:rsidRDefault="00242C36" w:rsidP="00242C36">
      <w:pPr>
        <w:keepNext/>
        <w:keepLines/>
        <w:pBdr>
          <w:bar w:val="single" w:sz="6" w:color="808080"/>
        </w:pBdr>
        <w:spacing w:after="120"/>
        <w:outlineLvl w:val="1"/>
        <w:rPr>
          <w:rFonts w:ascii="Calibri" w:hAnsi="Calibri"/>
          <w:bCs/>
          <w:szCs w:val="22"/>
        </w:rPr>
      </w:pPr>
      <w:r w:rsidRPr="003E78B7">
        <w:rPr>
          <w:rFonts w:ascii="Calibri" w:hAnsi="Calibri"/>
          <w:bCs/>
          <w:szCs w:val="22"/>
        </w:rPr>
        <w:t xml:space="preserve">Priemerný podiel pôdy subjektov s presahom výmery hlavnej plodiny nad 75% z výmery ornej pôdy predstavoval v roku 2012 iba 1,5% (od 0,1-6,5%). Znamená to teda, že </w:t>
      </w:r>
      <w:r w:rsidRPr="003E78B7">
        <w:rPr>
          <w:rFonts w:ascii="Calibri" w:hAnsi="Calibri"/>
          <w:b/>
          <w:bCs/>
          <w:szCs w:val="22"/>
        </w:rPr>
        <w:t xml:space="preserve">presah bol v rozhodujúcej miere u subjektov </w:t>
      </w:r>
      <w:r>
        <w:rPr>
          <w:rFonts w:ascii="Calibri" w:hAnsi="Calibri"/>
          <w:b/>
          <w:bCs/>
          <w:szCs w:val="22"/>
        </w:rPr>
        <w:t xml:space="preserve">s </w:t>
      </w:r>
      <w:r w:rsidRPr="003E78B7">
        <w:rPr>
          <w:rFonts w:ascii="Calibri" w:hAnsi="Calibri"/>
          <w:b/>
          <w:bCs/>
          <w:szCs w:val="22"/>
        </w:rPr>
        <w:t>výmerou pôdy hlboko pod priemerom výmery fariem</w:t>
      </w:r>
      <w:r>
        <w:rPr>
          <w:rFonts w:ascii="Calibri" w:hAnsi="Calibri"/>
          <w:b/>
          <w:bCs/>
          <w:szCs w:val="22"/>
        </w:rPr>
        <w:t>.</w:t>
      </w:r>
    </w:p>
    <w:p w:rsidR="00242C36" w:rsidRDefault="00242C36" w:rsidP="00242C36">
      <w:pPr>
        <w:rPr>
          <w:rFonts w:ascii="Calibri" w:hAnsi="Calibri"/>
          <w:szCs w:val="22"/>
        </w:rPr>
      </w:pPr>
      <w:r w:rsidRPr="003E78B7">
        <w:rPr>
          <w:rFonts w:ascii="Calibri" w:hAnsi="Calibri"/>
          <w:bCs/>
          <w:szCs w:val="22"/>
        </w:rPr>
        <w:t xml:space="preserve">Priemerný podiel subjektov fyzických osôb s presahom výmery troch plodín nad 95% z výmery ornej pôdy predstavoval v roku 2012 až 47,5% (od 4,5-100% subjektov). Týkalo sa to polovice a viac subjektov v okrese Bratislava 4 (100%), Šaľa, Malacky, Skalica, Dunajská Streda, Nitra, Púchov, Zlaté Moravce, a Bratislava 3 a od 43 do 50% v okresoch Senec, Michalovce, Trnava, Galanta, Pezinok, Nové Zámky, Komárno a Hlohovec. Výsledok opäť potvrdzuje výrazne nižšiu diverzitu </w:t>
      </w:r>
      <w:r>
        <w:rPr>
          <w:rFonts w:ascii="Calibri" w:hAnsi="Calibri"/>
          <w:bCs/>
          <w:szCs w:val="22"/>
        </w:rPr>
        <w:t xml:space="preserve">rastlinnej </w:t>
      </w:r>
      <w:r w:rsidRPr="003E78B7">
        <w:rPr>
          <w:rFonts w:ascii="Calibri" w:hAnsi="Calibri"/>
          <w:bCs/>
          <w:szCs w:val="22"/>
        </w:rPr>
        <w:t xml:space="preserve">výroby fariem fyzických osôb. </w:t>
      </w:r>
    </w:p>
    <w:p w:rsidR="00242C36" w:rsidRDefault="00242C36" w:rsidP="00242C36">
      <w:pPr>
        <w:rPr>
          <w:rFonts w:ascii="Calibri" w:hAnsi="Calibri"/>
          <w:b/>
          <w:szCs w:val="22"/>
          <w:u w:val="single"/>
        </w:rPr>
      </w:pPr>
    </w:p>
    <w:p w:rsidR="00242C36" w:rsidRPr="00B50921" w:rsidRDefault="00242C36" w:rsidP="00242C36">
      <w:pPr>
        <w:rPr>
          <w:rFonts w:ascii="Calibri" w:hAnsi="Calibri"/>
          <w:b/>
          <w:szCs w:val="22"/>
          <w:u w:val="single"/>
        </w:rPr>
      </w:pPr>
      <w:r w:rsidRPr="00B50921">
        <w:rPr>
          <w:rFonts w:ascii="Calibri" w:hAnsi="Calibri"/>
          <w:b/>
          <w:szCs w:val="22"/>
          <w:u w:val="single"/>
        </w:rPr>
        <w:t>Živočíšna výroba</w:t>
      </w:r>
    </w:p>
    <w:p w:rsidR="00242C36" w:rsidRDefault="00242C36" w:rsidP="00242C36">
      <w:pPr>
        <w:pBdr>
          <w:bar w:val="single" w:sz="6" w:color="808080"/>
        </w:pBdr>
        <w:spacing w:before="120"/>
        <w:rPr>
          <w:rFonts w:eastAsia="Calibri"/>
          <w:szCs w:val="22"/>
          <w:lang w:eastAsia="en-US"/>
        </w:rPr>
      </w:pPr>
      <w:r>
        <w:rPr>
          <w:rFonts w:eastAsia="Calibri"/>
          <w:szCs w:val="22"/>
          <w:lang w:eastAsia="en-US"/>
        </w:rPr>
        <w:t xml:space="preserve">Ako je uvedené v Koncepcii </w:t>
      </w:r>
      <w:r w:rsidRPr="00AD69E8">
        <w:rPr>
          <w:rFonts w:ascii="Calibri" w:eastAsia="Calibri" w:hAnsi="Calibri"/>
          <w:szCs w:val="22"/>
          <w:lang w:eastAsia="en-US"/>
        </w:rPr>
        <w:t>rozvoja pôdohospodárstva SR na roky 2013-2020</w:t>
      </w:r>
      <w:r>
        <w:rPr>
          <w:rFonts w:eastAsia="Calibri"/>
          <w:szCs w:val="22"/>
          <w:lang w:eastAsia="en-US"/>
        </w:rPr>
        <w:t>, ž</w:t>
      </w:r>
      <w:r w:rsidRPr="000C05EC">
        <w:rPr>
          <w:rFonts w:eastAsia="Calibri"/>
          <w:szCs w:val="22"/>
          <w:lang w:eastAsia="en-US"/>
        </w:rPr>
        <w:t>ivočíšna výroba</w:t>
      </w:r>
      <w:r>
        <w:rPr>
          <w:rFonts w:eastAsia="Calibri"/>
          <w:szCs w:val="22"/>
          <w:lang w:eastAsia="en-US"/>
        </w:rPr>
        <w:t xml:space="preserve"> (ŽV)</w:t>
      </w:r>
      <w:r w:rsidRPr="000C05EC">
        <w:rPr>
          <w:rFonts w:eastAsia="Calibri"/>
          <w:szCs w:val="22"/>
          <w:lang w:eastAsia="en-US"/>
        </w:rPr>
        <w:t xml:space="preserve"> má nezastupiteľný a multiprodukčný význam</w:t>
      </w:r>
      <w:r>
        <w:rPr>
          <w:rFonts w:eastAsia="Calibri"/>
          <w:szCs w:val="22"/>
          <w:lang w:eastAsia="en-US"/>
        </w:rPr>
        <w:t>. Z</w:t>
      </w:r>
      <w:r w:rsidRPr="000C05EC">
        <w:rPr>
          <w:rFonts w:eastAsia="Calibri"/>
          <w:szCs w:val="22"/>
          <w:lang w:eastAsia="en-US"/>
        </w:rPr>
        <w:t>abezpečuje nielen produkciu surovín a polotovarov pre výrobu</w:t>
      </w:r>
      <w:r>
        <w:rPr>
          <w:rFonts w:eastAsia="Calibri"/>
          <w:szCs w:val="22"/>
          <w:lang w:eastAsia="en-US"/>
        </w:rPr>
        <w:t xml:space="preserve"> finálnych potravín ž</w:t>
      </w:r>
      <w:r w:rsidRPr="000C05EC">
        <w:rPr>
          <w:rFonts w:eastAsia="Calibri"/>
          <w:szCs w:val="22"/>
          <w:lang w:eastAsia="en-US"/>
        </w:rPr>
        <w:t>i</w:t>
      </w:r>
      <w:r>
        <w:rPr>
          <w:rFonts w:eastAsia="Calibri"/>
          <w:szCs w:val="22"/>
          <w:lang w:eastAsia="en-US"/>
        </w:rPr>
        <w:t>vočíšneho pôvodu určených na výž</w:t>
      </w:r>
      <w:r w:rsidRPr="000C05EC">
        <w:rPr>
          <w:rFonts w:eastAsia="Calibri"/>
          <w:szCs w:val="22"/>
          <w:lang w:eastAsia="en-US"/>
        </w:rPr>
        <w:t xml:space="preserve">ivu obyvateľstva, </w:t>
      </w:r>
      <w:r>
        <w:rPr>
          <w:rFonts w:eastAsia="Calibri"/>
          <w:szCs w:val="22"/>
          <w:lang w:eastAsia="en-US"/>
        </w:rPr>
        <w:t xml:space="preserve">ale </w:t>
      </w:r>
      <w:r w:rsidRPr="000C05EC">
        <w:rPr>
          <w:rFonts w:eastAsia="Calibri"/>
          <w:szCs w:val="22"/>
          <w:lang w:eastAsia="en-US"/>
        </w:rPr>
        <w:t xml:space="preserve">je </w:t>
      </w:r>
      <w:r>
        <w:rPr>
          <w:rFonts w:eastAsia="Calibri"/>
          <w:szCs w:val="22"/>
          <w:lang w:eastAsia="en-US"/>
        </w:rPr>
        <w:t xml:space="preserve">aj </w:t>
      </w:r>
      <w:r w:rsidRPr="000C05EC">
        <w:rPr>
          <w:rFonts w:eastAsia="Calibri"/>
          <w:szCs w:val="22"/>
          <w:lang w:eastAsia="en-US"/>
        </w:rPr>
        <w:t>zdrojom príjmov poľnohospodárskych podnikov</w:t>
      </w:r>
      <w:r>
        <w:rPr>
          <w:rFonts w:eastAsia="Calibri"/>
          <w:szCs w:val="22"/>
          <w:lang w:eastAsia="en-US"/>
        </w:rPr>
        <w:t xml:space="preserve"> </w:t>
      </w:r>
      <w:r w:rsidRPr="000C05EC">
        <w:rPr>
          <w:rFonts w:eastAsia="Calibri"/>
          <w:szCs w:val="22"/>
          <w:lang w:eastAsia="en-US"/>
        </w:rPr>
        <w:t>v priebehu celého roka.</w:t>
      </w:r>
      <w:r>
        <w:rPr>
          <w:rFonts w:eastAsia="Calibri"/>
          <w:szCs w:val="22"/>
          <w:lang w:eastAsia="en-US"/>
        </w:rPr>
        <w:t xml:space="preserve"> </w:t>
      </w:r>
      <w:r w:rsidRPr="000C05EC">
        <w:rPr>
          <w:rFonts w:eastAsia="Calibri"/>
          <w:szCs w:val="22"/>
          <w:lang w:eastAsia="en-US"/>
        </w:rPr>
        <w:t xml:space="preserve">Význam </w:t>
      </w:r>
      <w:r>
        <w:rPr>
          <w:rFonts w:eastAsia="Calibri"/>
          <w:szCs w:val="22"/>
          <w:lang w:eastAsia="en-US"/>
        </w:rPr>
        <w:t xml:space="preserve">ŽV </w:t>
      </w:r>
      <w:r w:rsidRPr="000C05EC">
        <w:rPr>
          <w:rFonts w:eastAsia="Calibri"/>
          <w:szCs w:val="22"/>
          <w:lang w:eastAsia="en-US"/>
        </w:rPr>
        <w:t xml:space="preserve"> spočíva aj v mimoprodukčných oblastiach. Významnou mierou</w:t>
      </w:r>
      <w:r>
        <w:rPr>
          <w:rFonts w:eastAsia="Calibri"/>
          <w:szCs w:val="22"/>
          <w:lang w:eastAsia="en-US"/>
        </w:rPr>
        <w:t xml:space="preserve"> </w:t>
      </w:r>
      <w:r w:rsidRPr="000C05EC">
        <w:rPr>
          <w:rFonts w:eastAsia="Calibri"/>
          <w:szCs w:val="22"/>
          <w:lang w:eastAsia="en-US"/>
        </w:rPr>
        <w:t xml:space="preserve">prispieva k zamestnanosti a tým k rastu </w:t>
      </w:r>
      <w:r>
        <w:rPr>
          <w:rFonts w:eastAsia="Calibri"/>
          <w:szCs w:val="22"/>
          <w:lang w:eastAsia="en-US"/>
        </w:rPr>
        <w:t>ž</w:t>
      </w:r>
      <w:r w:rsidRPr="000C05EC">
        <w:rPr>
          <w:rFonts w:eastAsia="Calibri"/>
          <w:szCs w:val="22"/>
          <w:lang w:eastAsia="en-US"/>
        </w:rPr>
        <w:t xml:space="preserve">ivotnej úrovne a kvality </w:t>
      </w:r>
      <w:r>
        <w:rPr>
          <w:rFonts w:eastAsia="Calibri"/>
          <w:szCs w:val="22"/>
          <w:lang w:eastAsia="en-US"/>
        </w:rPr>
        <w:t>ž</w:t>
      </w:r>
      <w:r w:rsidRPr="000C05EC">
        <w:rPr>
          <w:rFonts w:eastAsia="Calibri"/>
          <w:szCs w:val="22"/>
          <w:lang w:eastAsia="en-US"/>
        </w:rPr>
        <w:t>ivota na vidieku. Má</w:t>
      </w:r>
      <w:r>
        <w:rPr>
          <w:rFonts w:eastAsia="Calibri"/>
          <w:szCs w:val="22"/>
          <w:lang w:eastAsia="en-US"/>
        </w:rPr>
        <w:t xml:space="preserve"> </w:t>
      </w:r>
      <w:r w:rsidRPr="000C05EC">
        <w:rPr>
          <w:rFonts w:eastAsia="Calibri"/>
          <w:szCs w:val="22"/>
          <w:lang w:eastAsia="en-US"/>
        </w:rPr>
        <w:t>nezastupiteľné miesto v rozvoji turizmu a agroturizmu, ktoré na rozdiel od krajín západnej</w:t>
      </w:r>
      <w:r>
        <w:rPr>
          <w:rFonts w:eastAsia="Calibri"/>
          <w:szCs w:val="22"/>
          <w:lang w:eastAsia="en-US"/>
        </w:rPr>
        <w:t xml:space="preserve"> </w:t>
      </w:r>
      <w:r w:rsidRPr="000C05EC">
        <w:rPr>
          <w:rFonts w:eastAsia="Calibri"/>
          <w:szCs w:val="22"/>
          <w:lang w:eastAsia="en-US"/>
        </w:rPr>
        <w:t xml:space="preserve">Európy nemal </w:t>
      </w:r>
      <w:r>
        <w:rPr>
          <w:rFonts w:eastAsia="Calibri"/>
          <w:szCs w:val="22"/>
          <w:lang w:eastAsia="en-US"/>
        </w:rPr>
        <w:t xml:space="preserve">v SR </w:t>
      </w:r>
      <w:r w:rsidRPr="000C05EC">
        <w:rPr>
          <w:rFonts w:eastAsia="Calibri"/>
          <w:szCs w:val="22"/>
          <w:lang w:eastAsia="en-US"/>
        </w:rPr>
        <w:t>tradíciu a je vo fáze rozvoja a hľadania si svojej klientely.</w:t>
      </w:r>
      <w:r>
        <w:rPr>
          <w:rFonts w:eastAsia="Calibri"/>
          <w:szCs w:val="22"/>
          <w:lang w:eastAsia="en-US"/>
        </w:rPr>
        <w:t xml:space="preserve"> Významný prínos ŽV </w:t>
      </w:r>
      <w:r w:rsidRPr="000C05EC">
        <w:rPr>
          <w:rFonts w:eastAsia="Calibri"/>
          <w:szCs w:val="22"/>
          <w:lang w:eastAsia="en-US"/>
        </w:rPr>
        <w:t>je aj z hľadiska krajinotvorby.</w:t>
      </w:r>
      <w:r>
        <w:rPr>
          <w:rFonts w:eastAsia="Calibri"/>
          <w:szCs w:val="22"/>
          <w:lang w:eastAsia="en-US"/>
        </w:rPr>
        <w:t xml:space="preserve"> </w:t>
      </w:r>
    </w:p>
    <w:p w:rsidR="00242C36" w:rsidRDefault="00242C36" w:rsidP="00242C36">
      <w:pPr>
        <w:pBdr>
          <w:bar w:val="single" w:sz="6" w:color="808080"/>
        </w:pBdr>
        <w:spacing w:before="120"/>
        <w:rPr>
          <w:rFonts w:ascii="Calibri" w:eastAsiaTheme="minorHAnsi" w:hAnsi="Calibri"/>
          <w:szCs w:val="22"/>
          <w:lang w:eastAsia="en-US"/>
        </w:rPr>
      </w:pPr>
      <w:r w:rsidRPr="000C05EC">
        <w:rPr>
          <w:rFonts w:eastAsia="Calibri"/>
          <w:szCs w:val="22"/>
          <w:lang w:eastAsia="en-US"/>
        </w:rPr>
        <w:t xml:space="preserve">Napriek nespornému významu a </w:t>
      </w:r>
      <w:r>
        <w:rPr>
          <w:rFonts w:eastAsia="Calibri"/>
          <w:szCs w:val="22"/>
          <w:lang w:eastAsia="en-US"/>
        </w:rPr>
        <w:t xml:space="preserve">nezastupiteľnému postaveniu sa ŽV v SR </w:t>
      </w:r>
      <w:r w:rsidRPr="000C05EC">
        <w:rPr>
          <w:rFonts w:eastAsia="Calibri"/>
          <w:szCs w:val="22"/>
          <w:lang w:eastAsia="en-US"/>
        </w:rPr>
        <w:t>nachádza v hlbokej recesii. Od roku 2002 do roku 2010 sa celková hrubá</w:t>
      </w:r>
      <w:r>
        <w:rPr>
          <w:rFonts w:eastAsia="Calibri"/>
          <w:szCs w:val="22"/>
          <w:lang w:eastAsia="en-US"/>
        </w:rPr>
        <w:t xml:space="preserve"> poľnohospodárska produkcia v bežných cenách zníž</w:t>
      </w:r>
      <w:r w:rsidRPr="000C05EC">
        <w:rPr>
          <w:rFonts w:eastAsia="Calibri"/>
          <w:szCs w:val="22"/>
          <w:lang w:eastAsia="en-US"/>
        </w:rPr>
        <w:t>ila o 12,7%, čo bolo jednoznačne</w:t>
      </w:r>
      <w:r>
        <w:rPr>
          <w:rFonts w:eastAsia="Calibri"/>
          <w:szCs w:val="22"/>
          <w:lang w:eastAsia="en-US"/>
        </w:rPr>
        <w:t xml:space="preserve"> </w:t>
      </w:r>
      <w:r w:rsidRPr="000C05EC">
        <w:rPr>
          <w:rFonts w:eastAsia="Calibri"/>
          <w:szCs w:val="22"/>
          <w:lang w:eastAsia="en-US"/>
        </w:rPr>
        <w:t>spôs</w:t>
      </w:r>
      <w:r>
        <w:rPr>
          <w:rFonts w:eastAsia="Calibri"/>
          <w:szCs w:val="22"/>
          <w:lang w:eastAsia="en-US"/>
        </w:rPr>
        <w:t xml:space="preserve">obené </w:t>
      </w:r>
      <w:r w:rsidRPr="007B67F9">
        <w:rPr>
          <w:rFonts w:eastAsia="Calibri"/>
          <w:b/>
          <w:szCs w:val="22"/>
          <w:lang w:eastAsia="en-US"/>
        </w:rPr>
        <w:t>poklesom celkovej hrubej ŽV až o 25,9%</w:t>
      </w:r>
      <w:r w:rsidRPr="000C05EC">
        <w:rPr>
          <w:rFonts w:eastAsia="Calibri"/>
          <w:szCs w:val="22"/>
          <w:lang w:eastAsia="en-US"/>
        </w:rPr>
        <w:t>. Pokiaľ v</w:t>
      </w:r>
      <w:r>
        <w:rPr>
          <w:rFonts w:eastAsia="Calibri"/>
          <w:szCs w:val="22"/>
          <w:lang w:eastAsia="en-US"/>
        </w:rPr>
        <w:t> </w:t>
      </w:r>
      <w:r w:rsidRPr="000C05EC">
        <w:rPr>
          <w:rFonts w:eastAsia="Calibri"/>
          <w:szCs w:val="22"/>
          <w:lang w:eastAsia="en-US"/>
        </w:rPr>
        <w:t>bázickom</w:t>
      </w:r>
      <w:r>
        <w:rPr>
          <w:rFonts w:eastAsia="Calibri"/>
          <w:szCs w:val="22"/>
          <w:lang w:eastAsia="en-US"/>
        </w:rPr>
        <w:t xml:space="preserve"> roku 2002 sa hrubá ŽV </w:t>
      </w:r>
      <w:r w:rsidRPr="000C05EC">
        <w:rPr>
          <w:rFonts w:eastAsia="Calibri"/>
          <w:szCs w:val="22"/>
          <w:lang w:eastAsia="en-US"/>
        </w:rPr>
        <w:t>podieľala na celkovej poľnohospodárskej produkcii</w:t>
      </w:r>
      <w:r>
        <w:rPr>
          <w:rFonts w:eastAsia="Calibri"/>
          <w:szCs w:val="22"/>
          <w:lang w:eastAsia="en-US"/>
        </w:rPr>
        <w:t xml:space="preserve"> až 54%-mi, v roku 2010 už</w:t>
      </w:r>
      <w:r w:rsidRPr="000C05EC">
        <w:rPr>
          <w:rFonts w:eastAsia="Calibri"/>
          <w:szCs w:val="22"/>
          <w:lang w:eastAsia="en-US"/>
        </w:rPr>
        <w:lastRenderedPageBreak/>
        <w:t xml:space="preserve"> len 46%-mi. Rozhodujúcim spôsobom sa na uvedenom poklese</w:t>
      </w:r>
      <w:r>
        <w:rPr>
          <w:rFonts w:eastAsia="Calibri"/>
          <w:szCs w:val="22"/>
          <w:lang w:eastAsia="en-US"/>
        </w:rPr>
        <w:t xml:space="preserve"> </w:t>
      </w:r>
      <w:r w:rsidRPr="000C05EC">
        <w:rPr>
          <w:rFonts w:eastAsia="Calibri"/>
          <w:szCs w:val="22"/>
          <w:lang w:eastAsia="en-US"/>
        </w:rPr>
        <w:t>podieľali z</w:t>
      </w:r>
      <w:r>
        <w:rPr>
          <w:rFonts w:eastAsia="Calibri"/>
          <w:szCs w:val="22"/>
          <w:lang w:eastAsia="en-US"/>
        </w:rPr>
        <w:t>vieratá, ktorých produkcia v bežných cenách celkovo klesla až</w:t>
      </w:r>
      <w:r w:rsidRPr="000C05EC">
        <w:rPr>
          <w:rFonts w:eastAsia="Calibri"/>
          <w:szCs w:val="22"/>
          <w:lang w:eastAsia="en-US"/>
        </w:rPr>
        <w:t xml:space="preserve"> o 38,6%, na čom sa</w:t>
      </w:r>
      <w:r>
        <w:rPr>
          <w:rFonts w:eastAsia="Calibri"/>
          <w:szCs w:val="22"/>
          <w:lang w:eastAsia="en-US"/>
        </w:rPr>
        <w:t xml:space="preserve"> </w:t>
      </w:r>
      <w:r w:rsidRPr="000C05EC">
        <w:rPr>
          <w:rFonts w:eastAsia="Calibri"/>
          <w:szCs w:val="22"/>
          <w:lang w:eastAsia="en-US"/>
        </w:rPr>
        <w:t>podieľali všetky nosné kategórie hospodárskych zvierat: predovšetkým produkcia hydiny sa</w:t>
      </w:r>
      <w:r>
        <w:rPr>
          <w:rFonts w:eastAsia="Calibri"/>
          <w:szCs w:val="22"/>
          <w:lang w:eastAsia="en-US"/>
        </w:rPr>
        <w:t xml:space="preserve"> </w:t>
      </w:r>
      <w:r w:rsidRPr="007B67F9">
        <w:rPr>
          <w:rFonts w:ascii="Calibri" w:eastAsiaTheme="minorHAnsi" w:hAnsi="Calibri"/>
          <w:szCs w:val="22"/>
          <w:lang w:eastAsia="en-US"/>
        </w:rPr>
        <w:t>zn</w:t>
      </w:r>
      <w:r>
        <w:rPr>
          <w:rFonts w:ascii="Calibri" w:eastAsiaTheme="minorHAnsi" w:hAnsi="Calibri"/>
          <w:szCs w:val="22"/>
          <w:lang w:eastAsia="en-US"/>
        </w:rPr>
        <w:t>íž</w:t>
      </w:r>
      <w:r w:rsidRPr="007B67F9">
        <w:rPr>
          <w:rFonts w:ascii="Calibri" w:eastAsiaTheme="minorHAnsi" w:hAnsi="Calibri"/>
          <w:szCs w:val="22"/>
          <w:lang w:eastAsia="en-US"/>
        </w:rPr>
        <w:t>ila o 16,6%, a kritický prepad produkcie ošípaných o viac ako 63 %. Dynamika poklesu</w:t>
      </w:r>
      <w:r>
        <w:rPr>
          <w:rFonts w:ascii="Calibri" w:eastAsiaTheme="minorHAnsi" w:hAnsi="Calibri"/>
          <w:szCs w:val="22"/>
          <w:lang w:eastAsia="en-US"/>
        </w:rPr>
        <w:t xml:space="preserve"> </w:t>
      </w:r>
      <w:r w:rsidRPr="007B67F9">
        <w:rPr>
          <w:rFonts w:ascii="Calibri" w:eastAsiaTheme="minorHAnsi" w:hAnsi="Calibri"/>
          <w:szCs w:val="22"/>
          <w:lang w:eastAsia="en-US"/>
        </w:rPr>
        <w:t xml:space="preserve">hrubej produkcie </w:t>
      </w:r>
      <w:r>
        <w:rPr>
          <w:rFonts w:ascii="Calibri" w:eastAsiaTheme="minorHAnsi" w:hAnsi="Calibri"/>
          <w:szCs w:val="22"/>
          <w:lang w:eastAsia="en-US"/>
        </w:rPr>
        <w:t>ž</w:t>
      </w:r>
      <w:r w:rsidRPr="007B67F9">
        <w:rPr>
          <w:rFonts w:ascii="Calibri" w:eastAsiaTheme="minorHAnsi" w:hAnsi="Calibri"/>
          <w:szCs w:val="22"/>
          <w:lang w:eastAsia="en-US"/>
        </w:rPr>
        <w:t>ivočíšnych výrobkov v priebehu sledovaného obdobia bola v porovnaní so</w:t>
      </w:r>
      <w:r>
        <w:rPr>
          <w:rFonts w:ascii="Calibri" w:eastAsiaTheme="minorHAnsi" w:hAnsi="Calibri"/>
          <w:szCs w:val="22"/>
          <w:lang w:eastAsia="en-US"/>
        </w:rPr>
        <w:t xml:space="preserve"> </w:t>
      </w:r>
      <w:r w:rsidRPr="007B67F9">
        <w:rPr>
          <w:rFonts w:ascii="Calibri" w:eastAsiaTheme="minorHAnsi" w:hAnsi="Calibri"/>
          <w:szCs w:val="22"/>
          <w:lang w:eastAsia="en-US"/>
        </w:rPr>
        <w:t>zvieratami výrazne ni</w:t>
      </w:r>
      <w:r>
        <w:rPr>
          <w:rFonts w:ascii="Calibri" w:eastAsiaTheme="minorHAnsi" w:hAnsi="Calibri"/>
          <w:szCs w:val="22"/>
          <w:lang w:eastAsia="en-US"/>
        </w:rPr>
        <w:t>ž</w:t>
      </w:r>
      <w:r w:rsidRPr="007B67F9">
        <w:rPr>
          <w:rFonts w:ascii="Calibri" w:eastAsiaTheme="minorHAnsi" w:hAnsi="Calibri"/>
          <w:szCs w:val="22"/>
          <w:lang w:eastAsia="en-US"/>
        </w:rPr>
        <w:t>šia (-7,2%)</w:t>
      </w:r>
      <w:r>
        <w:rPr>
          <w:rFonts w:ascii="Calibri" w:eastAsiaTheme="minorHAnsi" w:hAnsi="Calibri"/>
          <w:szCs w:val="22"/>
          <w:lang w:eastAsia="en-US"/>
        </w:rPr>
        <w:t xml:space="preserve"> (zdroj: Koncepcia)</w:t>
      </w:r>
      <w:r w:rsidRPr="007B67F9">
        <w:rPr>
          <w:rFonts w:ascii="Calibri" w:eastAsiaTheme="minorHAnsi" w:hAnsi="Calibri"/>
          <w:szCs w:val="22"/>
          <w:lang w:eastAsia="en-US"/>
        </w:rPr>
        <w:t xml:space="preserve">. </w:t>
      </w:r>
    </w:p>
    <w:p w:rsidR="00242C36" w:rsidRPr="00E43137" w:rsidRDefault="00242C36" w:rsidP="00242C36">
      <w:pPr>
        <w:pBdr>
          <w:bar w:val="single" w:sz="6" w:color="808080"/>
        </w:pBdr>
        <w:spacing w:before="120" w:after="120"/>
        <w:rPr>
          <w:rFonts w:ascii="Calibri" w:hAnsi="Calibri" w:cs="Courier New"/>
          <w:szCs w:val="22"/>
        </w:rPr>
      </w:pPr>
      <w:r>
        <w:rPr>
          <w:rFonts w:ascii="Calibri" w:hAnsi="Calibri" w:cs="Courier New"/>
          <w:szCs w:val="22"/>
        </w:rPr>
        <w:t xml:space="preserve">Stavy zvierat v SR dlhodobo klesajú </w:t>
      </w:r>
      <w:r w:rsidRPr="00E43137">
        <w:rPr>
          <w:rFonts w:ascii="Calibri" w:hAnsi="Calibri" w:cs="Courier New"/>
          <w:szCs w:val="22"/>
        </w:rPr>
        <w:t xml:space="preserve">v dôsledku vyššej nákladovosti </w:t>
      </w:r>
      <w:r>
        <w:rPr>
          <w:rFonts w:ascii="Calibri" w:hAnsi="Calibri" w:cs="Courier New"/>
          <w:szCs w:val="22"/>
        </w:rPr>
        <w:t xml:space="preserve">ŽV. </w:t>
      </w:r>
      <w:r w:rsidRPr="00E71D2F">
        <w:rPr>
          <w:rFonts w:eastAsia="Calibri"/>
          <w:szCs w:val="22"/>
          <w:lang w:eastAsia="en-US"/>
        </w:rPr>
        <w:t>V SR bolo v r. 2010  668 340</w:t>
      </w:r>
      <w:r>
        <w:rPr>
          <w:rFonts w:eastAsia="Calibri"/>
          <w:szCs w:val="22"/>
          <w:lang w:eastAsia="en-US"/>
        </w:rPr>
        <w:t xml:space="preserve"> VDJ (</w:t>
      </w:r>
      <w:r w:rsidRPr="00C83837">
        <w:rPr>
          <w:rFonts w:eastAsia="Calibri"/>
          <w:b/>
          <w:szCs w:val="22"/>
          <w:lang w:eastAsia="en-US"/>
        </w:rPr>
        <w:t>CCI 21</w:t>
      </w:r>
      <w:r>
        <w:rPr>
          <w:rFonts w:eastAsia="Calibri"/>
          <w:szCs w:val="22"/>
          <w:lang w:eastAsia="en-US"/>
        </w:rPr>
        <w:t xml:space="preserve">)  Stav VDJ na 100 hektárov </w:t>
      </w:r>
      <w:r w:rsidR="00366F96">
        <w:rPr>
          <w:rFonts w:eastAsia="Calibri"/>
          <w:szCs w:val="22"/>
          <w:lang w:eastAsia="en-US"/>
        </w:rPr>
        <w:t>poľnohospodárskej</w:t>
      </w:r>
      <w:r>
        <w:rPr>
          <w:rFonts w:eastAsia="Calibri"/>
          <w:szCs w:val="22"/>
          <w:lang w:eastAsia="en-US"/>
        </w:rPr>
        <w:t xml:space="preserve"> pôdy dosahoval (podľa ŠÚ SR) </w:t>
      </w:r>
      <w:r w:rsidRPr="00505442">
        <w:rPr>
          <w:rFonts w:eastAsia="Calibri"/>
          <w:szCs w:val="22"/>
          <w:shd w:val="clear" w:color="auto" w:fill="FFFFFF" w:themeFill="background1"/>
          <w:lang w:eastAsia="en-US"/>
        </w:rPr>
        <w:t>v roku 2012  hodnotu 36,9, čo bolo  o 19 % menej ako v roku 2005 (45,3 VDJ).</w:t>
      </w:r>
      <w:r>
        <w:rPr>
          <w:rFonts w:eastAsia="Calibri"/>
          <w:szCs w:val="22"/>
          <w:lang w:eastAsia="en-US"/>
        </w:rPr>
        <w:t xml:space="preserve">  </w:t>
      </w:r>
      <w:r w:rsidRPr="00674220">
        <w:rPr>
          <w:rFonts w:ascii="Calibri" w:hAnsi="Calibri" w:cs="Courier New"/>
          <w:b/>
          <w:szCs w:val="22"/>
        </w:rPr>
        <w:t>Intenzita chovov hospodárskych zvierat</w:t>
      </w:r>
      <w:r w:rsidRPr="00E43137">
        <w:rPr>
          <w:rFonts w:ascii="Calibri" w:hAnsi="Calibri" w:cs="Courier New"/>
          <w:szCs w:val="22"/>
        </w:rPr>
        <w:t xml:space="preserve">, meraná počtom dobytčích jednotiek (DJ) na 100 hektárov poľnohospodársky využívanej pôdy, </w:t>
      </w:r>
      <w:r w:rsidRPr="00674220">
        <w:rPr>
          <w:rFonts w:ascii="Calibri" w:hAnsi="Calibri" w:cs="Courier New"/>
          <w:b/>
          <w:szCs w:val="22"/>
        </w:rPr>
        <w:t>dosahuje na Slovensku pri hovädzom dobytku len 52 % priemeru EÚ-27, v chove dojníc 69 % v chove ošípaných iba 53 %.</w:t>
      </w:r>
    </w:p>
    <w:p w:rsidR="00242C36" w:rsidRPr="00E43137" w:rsidRDefault="007D119F" w:rsidP="00242C36">
      <w:pPr>
        <w:pBdr>
          <w:bar w:val="single" w:sz="6" w:color="808080"/>
        </w:pBdr>
        <w:rPr>
          <w:rFonts w:ascii="Calibri" w:eastAsia="Calibri" w:hAnsi="Calibri"/>
          <w:b/>
          <w:bCs/>
          <w:szCs w:val="22"/>
          <w:lang w:eastAsia="en-US"/>
        </w:rPr>
      </w:pPr>
      <w:r>
        <w:rPr>
          <w:rFonts w:ascii="Calibri" w:eastAsia="Calibri" w:hAnsi="Calibri"/>
          <w:b/>
          <w:bCs/>
          <w:szCs w:val="22"/>
          <w:lang w:eastAsia="en-US"/>
        </w:rPr>
        <w:t xml:space="preserve">Tabuľka 15: </w:t>
      </w:r>
      <w:r w:rsidR="00242C36" w:rsidRPr="00E43137">
        <w:rPr>
          <w:rFonts w:ascii="Calibri" w:eastAsia="Calibri" w:hAnsi="Calibri"/>
          <w:b/>
          <w:bCs/>
          <w:szCs w:val="22"/>
          <w:lang w:eastAsia="en-US"/>
        </w:rPr>
        <w:t>Počet VDJ na 100 ha p.v.p.</w:t>
      </w:r>
    </w:p>
    <w:tbl>
      <w:tblPr>
        <w:tblW w:w="9085" w:type="dxa"/>
        <w:tblCellMar>
          <w:left w:w="0" w:type="dxa"/>
          <w:right w:w="0" w:type="dxa"/>
        </w:tblCellMar>
        <w:tblLook w:val="04A0" w:firstRow="1" w:lastRow="0" w:firstColumn="1" w:lastColumn="0" w:noHBand="0" w:noVBand="1"/>
      </w:tblPr>
      <w:tblGrid>
        <w:gridCol w:w="1431"/>
        <w:gridCol w:w="1913"/>
        <w:gridCol w:w="1914"/>
        <w:gridCol w:w="1913"/>
        <w:gridCol w:w="1914"/>
      </w:tblGrid>
      <w:tr w:rsidR="00242C36" w:rsidRPr="00E43137" w:rsidTr="00242C36">
        <w:trPr>
          <w:trHeight w:val="396"/>
        </w:trPr>
        <w:tc>
          <w:tcPr>
            <w:tcW w:w="1431" w:type="dxa"/>
            <w:tcBorders>
              <w:top w:val="single" w:sz="8" w:space="0" w:color="000000"/>
              <w:left w:val="single" w:sz="8" w:space="0" w:color="000000"/>
              <w:bottom w:val="single" w:sz="8" w:space="0" w:color="000000"/>
              <w:right w:val="single" w:sz="8" w:space="0" w:color="000000"/>
            </w:tcBorders>
            <w:shd w:val="clear" w:color="auto" w:fill="auto"/>
            <w:tcMar>
              <w:top w:w="13" w:type="dxa"/>
              <w:left w:w="13" w:type="dxa"/>
              <w:bottom w:w="0" w:type="dxa"/>
              <w:right w:w="13" w:type="dxa"/>
            </w:tcMar>
            <w:vAlign w:val="bottom"/>
            <w:hideMark/>
          </w:tcPr>
          <w:p w:rsidR="00242C36" w:rsidRPr="00E43137" w:rsidRDefault="00242C36" w:rsidP="00242C36">
            <w:pPr>
              <w:pBdr>
                <w:bar w:val="single" w:sz="6" w:color="808080"/>
              </w:pBdr>
              <w:jc w:val="center"/>
              <w:rPr>
                <w:rFonts w:ascii="Calibri" w:eastAsia="Calibri" w:hAnsi="Calibri"/>
                <w:b/>
                <w:bCs/>
                <w:sz w:val="18"/>
                <w:szCs w:val="18"/>
                <w:lang w:eastAsia="en-US"/>
              </w:rPr>
            </w:pPr>
            <w:r w:rsidRPr="00E43137">
              <w:rPr>
                <w:rFonts w:ascii="Calibri" w:eastAsia="Calibri" w:hAnsi="Calibri"/>
                <w:b/>
                <w:bCs/>
                <w:sz w:val="18"/>
                <w:szCs w:val="18"/>
                <w:lang w:eastAsia="en-US"/>
              </w:rPr>
              <w:t>Štáty a zosk.</w:t>
            </w:r>
          </w:p>
        </w:tc>
        <w:tc>
          <w:tcPr>
            <w:tcW w:w="1913" w:type="dxa"/>
            <w:tcBorders>
              <w:top w:val="single" w:sz="8" w:space="0" w:color="000000"/>
              <w:left w:val="single" w:sz="8" w:space="0" w:color="000000"/>
              <w:bottom w:val="single" w:sz="8" w:space="0" w:color="000000"/>
              <w:right w:val="single" w:sz="8" w:space="0" w:color="000000"/>
            </w:tcBorders>
            <w:shd w:val="clear" w:color="auto" w:fill="auto"/>
            <w:tcMar>
              <w:top w:w="13" w:type="dxa"/>
              <w:left w:w="13" w:type="dxa"/>
              <w:bottom w:w="0" w:type="dxa"/>
              <w:right w:w="13" w:type="dxa"/>
            </w:tcMar>
            <w:vAlign w:val="bottom"/>
            <w:hideMark/>
          </w:tcPr>
          <w:p w:rsidR="00242C36" w:rsidRPr="00E43137" w:rsidRDefault="00242C36" w:rsidP="00242C36">
            <w:pPr>
              <w:pBdr>
                <w:bar w:val="single" w:sz="6" w:color="808080"/>
              </w:pBdr>
              <w:jc w:val="center"/>
              <w:rPr>
                <w:rFonts w:ascii="Calibri" w:eastAsia="Calibri" w:hAnsi="Calibri"/>
                <w:b/>
                <w:bCs/>
                <w:sz w:val="18"/>
                <w:szCs w:val="18"/>
                <w:lang w:eastAsia="en-US"/>
              </w:rPr>
            </w:pPr>
            <w:r w:rsidRPr="00E43137">
              <w:rPr>
                <w:rFonts w:ascii="Calibri" w:eastAsia="Calibri" w:hAnsi="Calibri"/>
                <w:b/>
                <w:bCs/>
                <w:sz w:val="18"/>
                <w:szCs w:val="18"/>
                <w:lang w:eastAsia="en-US"/>
              </w:rPr>
              <w:t>Hov. dobytok</w:t>
            </w:r>
          </w:p>
        </w:tc>
        <w:tc>
          <w:tcPr>
            <w:tcW w:w="1914" w:type="dxa"/>
            <w:tcBorders>
              <w:top w:val="single" w:sz="8" w:space="0" w:color="000000"/>
              <w:left w:val="single" w:sz="8" w:space="0" w:color="000000"/>
              <w:bottom w:val="single" w:sz="8" w:space="0" w:color="000000"/>
              <w:right w:val="single" w:sz="8" w:space="0" w:color="000000"/>
            </w:tcBorders>
            <w:shd w:val="clear" w:color="auto" w:fill="auto"/>
            <w:tcMar>
              <w:top w:w="13" w:type="dxa"/>
              <w:left w:w="13" w:type="dxa"/>
              <w:bottom w:w="0" w:type="dxa"/>
              <w:right w:w="13" w:type="dxa"/>
            </w:tcMar>
            <w:vAlign w:val="bottom"/>
            <w:hideMark/>
          </w:tcPr>
          <w:p w:rsidR="00242C36" w:rsidRPr="00E43137" w:rsidRDefault="00242C36" w:rsidP="00242C36">
            <w:pPr>
              <w:pBdr>
                <w:bar w:val="single" w:sz="6" w:color="808080"/>
              </w:pBdr>
              <w:jc w:val="center"/>
              <w:rPr>
                <w:rFonts w:ascii="Calibri" w:eastAsia="Calibri" w:hAnsi="Calibri"/>
                <w:b/>
                <w:bCs/>
                <w:sz w:val="18"/>
                <w:szCs w:val="18"/>
                <w:lang w:eastAsia="en-US"/>
              </w:rPr>
            </w:pPr>
            <w:r w:rsidRPr="00E43137">
              <w:rPr>
                <w:rFonts w:ascii="Calibri" w:eastAsia="Calibri" w:hAnsi="Calibri"/>
                <w:b/>
                <w:bCs/>
                <w:sz w:val="18"/>
                <w:szCs w:val="18"/>
                <w:lang w:eastAsia="en-US"/>
              </w:rPr>
              <w:t>Dojnice</w:t>
            </w:r>
          </w:p>
        </w:tc>
        <w:tc>
          <w:tcPr>
            <w:tcW w:w="1913" w:type="dxa"/>
            <w:tcBorders>
              <w:top w:val="single" w:sz="8" w:space="0" w:color="000000"/>
              <w:left w:val="single" w:sz="8" w:space="0" w:color="000000"/>
              <w:bottom w:val="single" w:sz="8" w:space="0" w:color="000000"/>
              <w:right w:val="single" w:sz="8" w:space="0" w:color="000000"/>
            </w:tcBorders>
            <w:shd w:val="clear" w:color="auto" w:fill="auto"/>
            <w:tcMar>
              <w:top w:w="13" w:type="dxa"/>
              <w:left w:w="13" w:type="dxa"/>
              <w:bottom w:w="0" w:type="dxa"/>
              <w:right w:w="13" w:type="dxa"/>
            </w:tcMar>
            <w:vAlign w:val="bottom"/>
            <w:hideMark/>
          </w:tcPr>
          <w:p w:rsidR="00242C36" w:rsidRPr="00E43137" w:rsidRDefault="00242C36" w:rsidP="00242C36">
            <w:pPr>
              <w:pBdr>
                <w:bar w:val="single" w:sz="6" w:color="808080"/>
              </w:pBdr>
              <w:jc w:val="center"/>
              <w:rPr>
                <w:rFonts w:ascii="Calibri" w:eastAsia="Calibri" w:hAnsi="Calibri"/>
                <w:b/>
                <w:bCs/>
                <w:sz w:val="18"/>
                <w:szCs w:val="18"/>
                <w:lang w:eastAsia="en-US"/>
              </w:rPr>
            </w:pPr>
            <w:r w:rsidRPr="00E43137">
              <w:rPr>
                <w:rFonts w:ascii="Calibri" w:eastAsia="Calibri" w:hAnsi="Calibri"/>
                <w:b/>
                <w:bCs/>
                <w:sz w:val="18"/>
                <w:szCs w:val="18"/>
                <w:lang w:eastAsia="en-US"/>
              </w:rPr>
              <w:t>Ovce</w:t>
            </w:r>
          </w:p>
        </w:tc>
        <w:tc>
          <w:tcPr>
            <w:tcW w:w="1914" w:type="dxa"/>
            <w:tcBorders>
              <w:top w:val="single" w:sz="8" w:space="0" w:color="000000"/>
              <w:left w:val="single" w:sz="8" w:space="0" w:color="000000"/>
              <w:bottom w:val="single" w:sz="8" w:space="0" w:color="000000"/>
              <w:right w:val="single" w:sz="8" w:space="0" w:color="000000"/>
            </w:tcBorders>
            <w:shd w:val="clear" w:color="auto" w:fill="auto"/>
            <w:tcMar>
              <w:top w:w="13" w:type="dxa"/>
              <w:left w:w="13" w:type="dxa"/>
              <w:bottom w:w="0" w:type="dxa"/>
              <w:right w:w="13" w:type="dxa"/>
            </w:tcMar>
            <w:vAlign w:val="bottom"/>
            <w:hideMark/>
          </w:tcPr>
          <w:p w:rsidR="00242C36" w:rsidRPr="00E43137" w:rsidRDefault="00242C36" w:rsidP="00242C36">
            <w:pPr>
              <w:pBdr>
                <w:bar w:val="single" w:sz="6" w:color="808080"/>
              </w:pBdr>
              <w:jc w:val="center"/>
              <w:rPr>
                <w:rFonts w:ascii="Calibri" w:eastAsia="Calibri" w:hAnsi="Calibri"/>
                <w:b/>
                <w:bCs/>
                <w:sz w:val="18"/>
                <w:szCs w:val="18"/>
                <w:lang w:eastAsia="en-US"/>
              </w:rPr>
            </w:pPr>
            <w:r w:rsidRPr="00E43137">
              <w:rPr>
                <w:rFonts w:ascii="Calibri" w:eastAsia="Calibri" w:hAnsi="Calibri"/>
                <w:b/>
                <w:bCs/>
                <w:sz w:val="18"/>
                <w:szCs w:val="18"/>
                <w:lang w:eastAsia="en-US"/>
              </w:rPr>
              <w:t>Ošípané</w:t>
            </w:r>
          </w:p>
        </w:tc>
      </w:tr>
      <w:tr w:rsidR="00242C36" w:rsidRPr="00E43137" w:rsidTr="00242C36">
        <w:trPr>
          <w:trHeight w:val="284"/>
        </w:trPr>
        <w:tc>
          <w:tcPr>
            <w:tcW w:w="1431" w:type="dxa"/>
            <w:tcBorders>
              <w:top w:val="single" w:sz="8" w:space="0" w:color="000000"/>
              <w:left w:val="single" w:sz="8" w:space="0" w:color="000000"/>
              <w:bottom w:val="single" w:sz="8" w:space="0" w:color="000000"/>
              <w:right w:val="single" w:sz="8" w:space="0" w:color="000000"/>
            </w:tcBorders>
            <w:shd w:val="clear" w:color="auto" w:fill="auto"/>
            <w:tcMar>
              <w:top w:w="13" w:type="dxa"/>
              <w:left w:w="13" w:type="dxa"/>
              <w:bottom w:w="0" w:type="dxa"/>
              <w:right w:w="13" w:type="dxa"/>
            </w:tcMar>
            <w:vAlign w:val="bottom"/>
            <w:hideMark/>
          </w:tcPr>
          <w:p w:rsidR="00242C36" w:rsidRPr="00E43137" w:rsidRDefault="00242C36" w:rsidP="00242C36">
            <w:pPr>
              <w:pBdr>
                <w:bar w:val="single" w:sz="6" w:color="808080"/>
              </w:pBdr>
              <w:rPr>
                <w:rFonts w:ascii="Calibri" w:eastAsia="Calibri" w:hAnsi="Calibri"/>
                <w:sz w:val="18"/>
                <w:szCs w:val="18"/>
                <w:lang w:eastAsia="en-US"/>
              </w:rPr>
            </w:pPr>
            <w:r w:rsidRPr="00E43137">
              <w:rPr>
                <w:rFonts w:ascii="Calibri" w:eastAsia="Calibri" w:hAnsi="Calibri"/>
                <w:bCs/>
                <w:sz w:val="18"/>
                <w:szCs w:val="18"/>
                <w:lang w:eastAsia="en-US"/>
              </w:rPr>
              <w:t>EÚ-27</w:t>
            </w:r>
          </w:p>
        </w:tc>
        <w:tc>
          <w:tcPr>
            <w:tcW w:w="1913" w:type="dxa"/>
            <w:tcBorders>
              <w:top w:val="single" w:sz="8" w:space="0" w:color="000000"/>
              <w:left w:val="single" w:sz="8" w:space="0" w:color="000000"/>
              <w:bottom w:val="single" w:sz="8" w:space="0" w:color="000000"/>
              <w:right w:val="single" w:sz="8" w:space="0" w:color="000000"/>
            </w:tcBorders>
            <w:shd w:val="clear" w:color="auto" w:fill="auto"/>
            <w:tcMar>
              <w:top w:w="13" w:type="dxa"/>
              <w:left w:w="13" w:type="dxa"/>
              <w:bottom w:w="0" w:type="dxa"/>
              <w:right w:w="13" w:type="dxa"/>
            </w:tcMar>
            <w:vAlign w:val="bottom"/>
            <w:hideMark/>
          </w:tcPr>
          <w:p w:rsidR="00242C36" w:rsidRPr="00E43137" w:rsidRDefault="00242C36" w:rsidP="00242C36">
            <w:pPr>
              <w:pBdr>
                <w:bar w:val="single" w:sz="6" w:color="808080"/>
              </w:pBdr>
              <w:jc w:val="center"/>
              <w:rPr>
                <w:rFonts w:ascii="Calibri" w:eastAsia="Calibri" w:hAnsi="Calibri"/>
                <w:sz w:val="18"/>
                <w:szCs w:val="18"/>
                <w:lang w:eastAsia="en-US"/>
              </w:rPr>
            </w:pPr>
            <w:r w:rsidRPr="00E43137">
              <w:rPr>
                <w:rFonts w:ascii="Calibri" w:eastAsia="Calibri" w:hAnsi="Calibri"/>
                <w:bCs/>
                <w:sz w:val="18"/>
                <w:szCs w:val="18"/>
                <w:lang w:eastAsia="en-US"/>
              </w:rPr>
              <w:t>49,3</w:t>
            </w:r>
          </w:p>
        </w:tc>
        <w:tc>
          <w:tcPr>
            <w:tcW w:w="1914" w:type="dxa"/>
            <w:tcBorders>
              <w:top w:val="single" w:sz="8" w:space="0" w:color="000000"/>
              <w:left w:val="single" w:sz="8" w:space="0" w:color="000000"/>
              <w:bottom w:val="single" w:sz="8" w:space="0" w:color="000000"/>
              <w:right w:val="single" w:sz="8" w:space="0" w:color="000000"/>
            </w:tcBorders>
            <w:shd w:val="clear" w:color="auto" w:fill="auto"/>
            <w:tcMar>
              <w:top w:w="13" w:type="dxa"/>
              <w:left w:w="13" w:type="dxa"/>
              <w:bottom w:w="0" w:type="dxa"/>
              <w:right w:w="13" w:type="dxa"/>
            </w:tcMar>
            <w:vAlign w:val="bottom"/>
            <w:hideMark/>
          </w:tcPr>
          <w:p w:rsidR="00242C36" w:rsidRPr="00E43137" w:rsidRDefault="00242C36" w:rsidP="00242C36">
            <w:pPr>
              <w:pBdr>
                <w:bar w:val="single" w:sz="6" w:color="808080"/>
              </w:pBdr>
              <w:jc w:val="center"/>
              <w:rPr>
                <w:rFonts w:ascii="Calibri" w:eastAsia="Calibri" w:hAnsi="Calibri"/>
                <w:sz w:val="18"/>
                <w:szCs w:val="18"/>
                <w:lang w:eastAsia="en-US"/>
              </w:rPr>
            </w:pPr>
            <w:r w:rsidRPr="00E43137">
              <w:rPr>
                <w:rFonts w:ascii="Calibri" w:eastAsia="Calibri" w:hAnsi="Calibri"/>
                <w:bCs/>
                <w:sz w:val="18"/>
                <w:szCs w:val="18"/>
                <w:lang w:eastAsia="en-US"/>
              </w:rPr>
              <w:t>13,3</w:t>
            </w:r>
          </w:p>
        </w:tc>
        <w:tc>
          <w:tcPr>
            <w:tcW w:w="1913" w:type="dxa"/>
            <w:tcBorders>
              <w:top w:val="single" w:sz="8" w:space="0" w:color="000000"/>
              <w:left w:val="single" w:sz="8" w:space="0" w:color="000000"/>
              <w:bottom w:val="single" w:sz="8" w:space="0" w:color="000000"/>
              <w:right w:val="single" w:sz="8" w:space="0" w:color="000000"/>
            </w:tcBorders>
            <w:shd w:val="clear" w:color="auto" w:fill="auto"/>
            <w:tcMar>
              <w:top w:w="13" w:type="dxa"/>
              <w:left w:w="13" w:type="dxa"/>
              <w:bottom w:w="0" w:type="dxa"/>
              <w:right w:w="13" w:type="dxa"/>
            </w:tcMar>
            <w:vAlign w:val="bottom"/>
            <w:hideMark/>
          </w:tcPr>
          <w:p w:rsidR="00242C36" w:rsidRPr="00E43137" w:rsidRDefault="00242C36" w:rsidP="00242C36">
            <w:pPr>
              <w:pBdr>
                <w:bar w:val="single" w:sz="6" w:color="808080"/>
              </w:pBdr>
              <w:jc w:val="center"/>
              <w:rPr>
                <w:rFonts w:ascii="Calibri" w:eastAsia="Calibri" w:hAnsi="Calibri"/>
                <w:sz w:val="18"/>
                <w:szCs w:val="18"/>
                <w:lang w:eastAsia="en-US"/>
              </w:rPr>
            </w:pPr>
            <w:r w:rsidRPr="00E43137">
              <w:rPr>
                <w:rFonts w:ascii="Calibri" w:eastAsia="Calibri" w:hAnsi="Calibri"/>
                <w:bCs/>
                <w:sz w:val="18"/>
                <w:szCs w:val="18"/>
                <w:lang w:eastAsia="en-US"/>
              </w:rPr>
              <w:t>:</w:t>
            </w:r>
          </w:p>
        </w:tc>
        <w:tc>
          <w:tcPr>
            <w:tcW w:w="1914" w:type="dxa"/>
            <w:tcBorders>
              <w:top w:val="single" w:sz="8" w:space="0" w:color="000000"/>
              <w:left w:val="single" w:sz="8" w:space="0" w:color="000000"/>
              <w:bottom w:val="single" w:sz="8" w:space="0" w:color="000000"/>
              <w:right w:val="single" w:sz="8" w:space="0" w:color="000000"/>
            </w:tcBorders>
            <w:shd w:val="clear" w:color="auto" w:fill="auto"/>
            <w:tcMar>
              <w:top w:w="13" w:type="dxa"/>
              <w:left w:w="13" w:type="dxa"/>
              <w:bottom w:w="0" w:type="dxa"/>
              <w:right w:w="13" w:type="dxa"/>
            </w:tcMar>
            <w:vAlign w:val="bottom"/>
            <w:hideMark/>
          </w:tcPr>
          <w:p w:rsidR="00242C36" w:rsidRPr="00E43137" w:rsidRDefault="00242C36" w:rsidP="00242C36">
            <w:pPr>
              <w:pBdr>
                <w:bar w:val="single" w:sz="6" w:color="808080"/>
              </w:pBdr>
              <w:jc w:val="center"/>
              <w:rPr>
                <w:rFonts w:ascii="Calibri" w:eastAsia="Calibri" w:hAnsi="Calibri"/>
                <w:sz w:val="18"/>
                <w:szCs w:val="18"/>
                <w:lang w:eastAsia="en-US"/>
              </w:rPr>
            </w:pPr>
            <w:r w:rsidRPr="00E43137">
              <w:rPr>
                <w:rFonts w:ascii="Calibri" w:eastAsia="Calibri" w:hAnsi="Calibri"/>
                <w:bCs/>
                <w:sz w:val="18"/>
                <w:szCs w:val="18"/>
                <w:lang w:eastAsia="en-US"/>
              </w:rPr>
              <w:t>86,1</w:t>
            </w:r>
          </w:p>
        </w:tc>
      </w:tr>
      <w:tr w:rsidR="00242C36" w:rsidRPr="00E43137" w:rsidTr="00242C36">
        <w:trPr>
          <w:trHeight w:val="284"/>
        </w:trPr>
        <w:tc>
          <w:tcPr>
            <w:tcW w:w="1431" w:type="dxa"/>
            <w:tcBorders>
              <w:top w:val="single" w:sz="8" w:space="0" w:color="000000"/>
              <w:left w:val="single" w:sz="8" w:space="0" w:color="000000"/>
              <w:bottom w:val="single" w:sz="8" w:space="0" w:color="000000"/>
              <w:right w:val="single" w:sz="8" w:space="0" w:color="000000"/>
            </w:tcBorders>
            <w:shd w:val="clear" w:color="auto" w:fill="auto"/>
            <w:tcMar>
              <w:top w:w="13" w:type="dxa"/>
              <w:left w:w="13" w:type="dxa"/>
              <w:bottom w:w="0" w:type="dxa"/>
              <w:right w:w="13" w:type="dxa"/>
            </w:tcMar>
            <w:vAlign w:val="bottom"/>
            <w:hideMark/>
          </w:tcPr>
          <w:p w:rsidR="00242C36" w:rsidRPr="00E43137" w:rsidRDefault="00242C36" w:rsidP="00242C36">
            <w:pPr>
              <w:pBdr>
                <w:bar w:val="single" w:sz="6" w:color="808080"/>
              </w:pBdr>
              <w:rPr>
                <w:rFonts w:ascii="Calibri" w:eastAsia="Calibri" w:hAnsi="Calibri"/>
                <w:sz w:val="18"/>
                <w:szCs w:val="18"/>
                <w:lang w:eastAsia="en-US"/>
              </w:rPr>
            </w:pPr>
            <w:r w:rsidRPr="00E43137">
              <w:rPr>
                <w:rFonts w:ascii="Calibri" w:eastAsia="Calibri" w:hAnsi="Calibri"/>
                <w:bCs/>
                <w:sz w:val="18"/>
                <w:szCs w:val="18"/>
                <w:lang w:eastAsia="en-US"/>
              </w:rPr>
              <w:t>EÚ-15</w:t>
            </w:r>
          </w:p>
        </w:tc>
        <w:tc>
          <w:tcPr>
            <w:tcW w:w="1913" w:type="dxa"/>
            <w:tcBorders>
              <w:top w:val="single" w:sz="8" w:space="0" w:color="000000"/>
              <w:left w:val="single" w:sz="8" w:space="0" w:color="000000"/>
              <w:bottom w:val="single" w:sz="8" w:space="0" w:color="000000"/>
              <w:right w:val="single" w:sz="8" w:space="0" w:color="000000"/>
            </w:tcBorders>
            <w:shd w:val="clear" w:color="auto" w:fill="auto"/>
            <w:tcMar>
              <w:top w:w="13" w:type="dxa"/>
              <w:left w:w="13" w:type="dxa"/>
              <w:bottom w:w="0" w:type="dxa"/>
              <w:right w:w="13" w:type="dxa"/>
            </w:tcMar>
            <w:vAlign w:val="bottom"/>
            <w:hideMark/>
          </w:tcPr>
          <w:p w:rsidR="00242C36" w:rsidRPr="00E43137" w:rsidRDefault="00242C36" w:rsidP="00242C36">
            <w:pPr>
              <w:pBdr>
                <w:bar w:val="single" w:sz="6" w:color="808080"/>
              </w:pBdr>
              <w:jc w:val="center"/>
              <w:rPr>
                <w:rFonts w:ascii="Calibri" w:eastAsia="Calibri" w:hAnsi="Calibri"/>
                <w:sz w:val="18"/>
                <w:szCs w:val="18"/>
                <w:lang w:eastAsia="en-US"/>
              </w:rPr>
            </w:pPr>
            <w:r w:rsidRPr="00E43137">
              <w:rPr>
                <w:rFonts w:ascii="Calibri" w:eastAsia="Calibri" w:hAnsi="Calibri"/>
                <w:bCs/>
                <w:sz w:val="18"/>
                <w:szCs w:val="18"/>
                <w:lang w:eastAsia="en-US"/>
              </w:rPr>
              <w:t>60,5</w:t>
            </w:r>
          </w:p>
        </w:tc>
        <w:tc>
          <w:tcPr>
            <w:tcW w:w="1914" w:type="dxa"/>
            <w:tcBorders>
              <w:top w:val="single" w:sz="8" w:space="0" w:color="000000"/>
              <w:left w:val="single" w:sz="8" w:space="0" w:color="000000"/>
              <w:bottom w:val="single" w:sz="8" w:space="0" w:color="000000"/>
              <w:right w:val="single" w:sz="8" w:space="0" w:color="000000"/>
            </w:tcBorders>
            <w:shd w:val="clear" w:color="auto" w:fill="auto"/>
            <w:tcMar>
              <w:top w:w="13" w:type="dxa"/>
              <w:left w:w="13" w:type="dxa"/>
              <w:bottom w:w="0" w:type="dxa"/>
              <w:right w:w="13" w:type="dxa"/>
            </w:tcMar>
            <w:vAlign w:val="bottom"/>
            <w:hideMark/>
          </w:tcPr>
          <w:p w:rsidR="00242C36" w:rsidRPr="00E43137" w:rsidRDefault="00242C36" w:rsidP="00242C36">
            <w:pPr>
              <w:pBdr>
                <w:bar w:val="single" w:sz="6" w:color="808080"/>
              </w:pBdr>
              <w:jc w:val="center"/>
              <w:rPr>
                <w:rFonts w:ascii="Calibri" w:eastAsia="Calibri" w:hAnsi="Calibri"/>
                <w:sz w:val="18"/>
                <w:szCs w:val="18"/>
                <w:lang w:eastAsia="en-US"/>
              </w:rPr>
            </w:pPr>
            <w:r w:rsidRPr="00E43137">
              <w:rPr>
                <w:rFonts w:ascii="Calibri" w:eastAsia="Calibri" w:hAnsi="Calibri"/>
                <w:bCs/>
                <w:sz w:val="18"/>
                <w:szCs w:val="18"/>
                <w:lang w:eastAsia="en-US"/>
              </w:rPr>
              <w:t>14,3</w:t>
            </w:r>
          </w:p>
        </w:tc>
        <w:tc>
          <w:tcPr>
            <w:tcW w:w="1913" w:type="dxa"/>
            <w:tcBorders>
              <w:top w:val="single" w:sz="8" w:space="0" w:color="000000"/>
              <w:left w:val="single" w:sz="8" w:space="0" w:color="000000"/>
              <w:bottom w:val="single" w:sz="8" w:space="0" w:color="000000"/>
              <w:right w:val="single" w:sz="8" w:space="0" w:color="000000"/>
            </w:tcBorders>
            <w:shd w:val="clear" w:color="auto" w:fill="auto"/>
            <w:tcMar>
              <w:top w:w="13" w:type="dxa"/>
              <w:left w:w="13" w:type="dxa"/>
              <w:bottom w:w="0" w:type="dxa"/>
              <w:right w:w="13" w:type="dxa"/>
            </w:tcMar>
            <w:vAlign w:val="bottom"/>
            <w:hideMark/>
          </w:tcPr>
          <w:p w:rsidR="00242C36" w:rsidRPr="00E43137" w:rsidRDefault="00242C36" w:rsidP="00242C36">
            <w:pPr>
              <w:pBdr>
                <w:bar w:val="single" w:sz="6" w:color="808080"/>
              </w:pBdr>
              <w:jc w:val="center"/>
              <w:rPr>
                <w:rFonts w:ascii="Calibri" w:eastAsia="Calibri" w:hAnsi="Calibri"/>
                <w:sz w:val="18"/>
                <w:szCs w:val="18"/>
                <w:lang w:eastAsia="en-US"/>
              </w:rPr>
            </w:pPr>
            <w:r w:rsidRPr="00E43137">
              <w:rPr>
                <w:rFonts w:ascii="Calibri" w:eastAsia="Calibri" w:hAnsi="Calibri"/>
                <w:bCs/>
                <w:sz w:val="18"/>
                <w:szCs w:val="18"/>
                <w:lang w:eastAsia="en-US"/>
              </w:rPr>
              <w:t>:</w:t>
            </w:r>
          </w:p>
        </w:tc>
        <w:tc>
          <w:tcPr>
            <w:tcW w:w="1914" w:type="dxa"/>
            <w:tcBorders>
              <w:top w:val="single" w:sz="8" w:space="0" w:color="000000"/>
              <w:left w:val="single" w:sz="8" w:space="0" w:color="000000"/>
              <w:bottom w:val="single" w:sz="8" w:space="0" w:color="000000"/>
              <w:right w:val="single" w:sz="8" w:space="0" w:color="000000"/>
            </w:tcBorders>
            <w:shd w:val="clear" w:color="auto" w:fill="auto"/>
            <w:tcMar>
              <w:top w:w="13" w:type="dxa"/>
              <w:left w:w="13" w:type="dxa"/>
              <w:bottom w:w="0" w:type="dxa"/>
              <w:right w:w="13" w:type="dxa"/>
            </w:tcMar>
            <w:vAlign w:val="bottom"/>
            <w:hideMark/>
          </w:tcPr>
          <w:p w:rsidR="00242C36" w:rsidRPr="00E43137" w:rsidRDefault="00242C36" w:rsidP="00242C36">
            <w:pPr>
              <w:pBdr>
                <w:bar w:val="single" w:sz="6" w:color="808080"/>
              </w:pBdr>
              <w:jc w:val="center"/>
              <w:rPr>
                <w:rFonts w:ascii="Calibri" w:eastAsia="Calibri" w:hAnsi="Calibri"/>
                <w:sz w:val="18"/>
                <w:szCs w:val="18"/>
                <w:lang w:eastAsia="en-US"/>
              </w:rPr>
            </w:pPr>
            <w:r w:rsidRPr="00E43137">
              <w:rPr>
                <w:rFonts w:ascii="Calibri" w:eastAsia="Calibri" w:hAnsi="Calibri"/>
                <w:bCs/>
                <w:sz w:val="18"/>
                <w:szCs w:val="18"/>
                <w:lang w:eastAsia="en-US"/>
              </w:rPr>
              <w:t>98</w:t>
            </w:r>
          </w:p>
        </w:tc>
      </w:tr>
      <w:tr w:rsidR="00242C36" w:rsidRPr="00E43137" w:rsidTr="00242C36">
        <w:trPr>
          <w:trHeight w:val="284"/>
        </w:trPr>
        <w:tc>
          <w:tcPr>
            <w:tcW w:w="1431" w:type="dxa"/>
            <w:tcBorders>
              <w:top w:val="single" w:sz="8" w:space="0" w:color="000000"/>
              <w:left w:val="single" w:sz="8" w:space="0" w:color="000000"/>
              <w:bottom w:val="single" w:sz="8" w:space="0" w:color="000000"/>
              <w:right w:val="single" w:sz="8" w:space="0" w:color="000000"/>
            </w:tcBorders>
            <w:shd w:val="clear" w:color="auto" w:fill="auto"/>
            <w:tcMar>
              <w:top w:w="13" w:type="dxa"/>
              <w:left w:w="13" w:type="dxa"/>
              <w:bottom w:w="0" w:type="dxa"/>
              <w:right w:w="13" w:type="dxa"/>
            </w:tcMar>
            <w:vAlign w:val="bottom"/>
            <w:hideMark/>
          </w:tcPr>
          <w:p w:rsidR="00242C36" w:rsidRPr="00E43137" w:rsidRDefault="00242C36" w:rsidP="00242C36">
            <w:pPr>
              <w:pBdr>
                <w:bar w:val="single" w:sz="6" w:color="808080"/>
              </w:pBdr>
              <w:rPr>
                <w:rFonts w:ascii="Calibri" w:eastAsia="Calibri" w:hAnsi="Calibri"/>
                <w:sz w:val="18"/>
                <w:szCs w:val="18"/>
                <w:lang w:eastAsia="en-US"/>
              </w:rPr>
            </w:pPr>
            <w:r w:rsidRPr="00E43137">
              <w:rPr>
                <w:rFonts w:ascii="Calibri" w:eastAsia="Calibri" w:hAnsi="Calibri"/>
                <w:bCs/>
                <w:sz w:val="18"/>
                <w:szCs w:val="18"/>
                <w:lang w:eastAsia="en-US"/>
              </w:rPr>
              <w:t>EÚ-12</w:t>
            </w:r>
          </w:p>
        </w:tc>
        <w:tc>
          <w:tcPr>
            <w:tcW w:w="1913" w:type="dxa"/>
            <w:tcBorders>
              <w:top w:val="single" w:sz="8" w:space="0" w:color="000000"/>
              <w:left w:val="single" w:sz="8" w:space="0" w:color="000000"/>
              <w:bottom w:val="single" w:sz="8" w:space="0" w:color="000000"/>
              <w:right w:val="single" w:sz="8" w:space="0" w:color="000000"/>
            </w:tcBorders>
            <w:shd w:val="clear" w:color="auto" w:fill="auto"/>
            <w:tcMar>
              <w:top w:w="13" w:type="dxa"/>
              <w:left w:w="13" w:type="dxa"/>
              <w:bottom w:w="0" w:type="dxa"/>
              <w:right w:w="13" w:type="dxa"/>
            </w:tcMar>
            <w:vAlign w:val="bottom"/>
            <w:hideMark/>
          </w:tcPr>
          <w:p w:rsidR="00242C36" w:rsidRPr="00E43137" w:rsidRDefault="00242C36" w:rsidP="00242C36">
            <w:pPr>
              <w:pBdr>
                <w:bar w:val="single" w:sz="6" w:color="808080"/>
              </w:pBdr>
              <w:jc w:val="center"/>
              <w:rPr>
                <w:rFonts w:ascii="Calibri" w:eastAsia="Calibri" w:hAnsi="Calibri"/>
                <w:sz w:val="18"/>
                <w:szCs w:val="18"/>
                <w:lang w:eastAsia="en-US"/>
              </w:rPr>
            </w:pPr>
            <w:r w:rsidRPr="00E43137">
              <w:rPr>
                <w:rFonts w:ascii="Calibri" w:eastAsia="Calibri" w:hAnsi="Calibri"/>
                <w:bCs/>
                <w:sz w:val="18"/>
                <w:szCs w:val="18"/>
                <w:lang w:eastAsia="en-US"/>
              </w:rPr>
              <w:t>25,3</w:t>
            </w:r>
          </w:p>
        </w:tc>
        <w:tc>
          <w:tcPr>
            <w:tcW w:w="1914" w:type="dxa"/>
            <w:tcBorders>
              <w:top w:val="single" w:sz="8" w:space="0" w:color="000000"/>
              <w:left w:val="single" w:sz="8" w:space="0" w:color="000000"/>
              <w:bottom w:val="single" w:sz="8" w:space="0" w:color="000000"/>
              <w:right w:val="single" w:sz="8" w:space="0" w:color="000000"/>
            </w:tcBorders>
            <w:shd w:val="clear" w:color="auto" w:fill="auto"/>
            <w:tcMar>
              <w:top w:w="13" w:type="dxa"/>
              <w:left w:w="13" w:type="dxa"/>
              <w:bottom w:w="0" w:type="dxa"/>
              <w:right w:w="13" w:type="dxa"/>
            </w:tcMar>
            <w:vAlign w:val="bottom"/>
            <w:hideMark/>
          </w:tcPr>
          <w:p w:rsidR="00242C36" w:rsidRPr="00E43137" w:rsidRDefault="00242C36" w:rsidP="00242C36">
            <w:pPr>
              <w:pBdr>
                <w:bar w:val="single" w:sz="6" w:color="808080"/>
              </w:pBdr>
              <w:jc w:val="center"/>
              <w:rPr>
                <w:rFonts w:ascii="Calibri" w:eastAsia="Calibri" w:hAnsi="Calibri"/>
                <w:sz w:val="18"/>
                <w:szCs w:val="18"/>
                <w:lang w:eastAsia="en-US"/>
              </w:rPr>
            </w:pPr>
            <w:r w:rsidRPr="00E43137">
              <w:rPr>
                <w:rFonts w:ascii="Calibri" w:eastAsia="Calibri" w:hAnsi="Calibri"/>
                <w:bCs/>
                <w:sz w:val="18"/>
                <w:szCs w:val="18"/>
                <w:lang w:eastAsia="en-US"/>
              </w:rPr>
              <w:t>11,7</w:t>
            </w:r>
          </w:p>
        </w:tc>
        <w:tc>
          <w:tcPr>
            <w:tcW w:w="1913" w:type="dxa"/>
            <w:tcBorders>
              <w:top w:val="single" w:sz="8" w:space="0" w:color="000000"/>
              <w:left w:val="single" w:sz="8" w:space="0" w:color="000000"/>
              <w:bottom w:val="single" w:sz="8" w:space="0" w:color="000000"/>
              <w:right w:val="single" w:sz="8" w:space="0" w:color="000000"/>
            </w:tcBorders>
            <w:shd w:val="clear" w:color="auto" w:fill="auto"/>
            <w:tcMar>
              <w:top w:w="13" w:type="dxa"/>
              <w:left w:w="13" w:type="dxa"/>
              <w:bottom w:w="0" w:type="dxa"/>
              <w:right w:w="13" w:type="dxa"/>
            </w:tcMar>
            <w:vAlign w:val="bottom"/>
            <w:hideMark/>
          </w:tcPr>
          <w:p w:rsidR="00242C36" w:rsidRPr="00E43137" w:rsidRDefault="00242C36" w:rsidP="00242C36">
            <w:pPr>
              <w:pBdr>
                <w:bar w:val="single" w:sz="6" w:color="808080"/>
              </w:pBdr>
              <w:jc w:val="center"/>
              <w:rPr>
                <w:rFonts w:ascii="Calibri" w:eastAsia="Calibri" w:hAnsi="Calibri"/>
                <w:sz w:val="18"/>
                <w:szCs w:val="18"/>
                <w:lang w:eastAsia="en-US"/>
              </w:rPr>
            </w:pPr>
            <w:r w:rsidRPr="00E43137">
              <w:rPr>
                <w:rFonts w:ascii="Calibri" w:eastAsia="Calibri" w:hAnsi="Calibri"/>
                <w:bCs/>
                <w:sz w:val="18"/>
                <w:szCs w:val="18"/>
                <w:lang w:eastAsia="en-US"/>
              </w:rPr>
              <w:t>23,4</w:t>
            </w:r>
          </w:p>
        </w:tc>
        <w:tc>
          <w:tcPr>
            <w:tcW w:w="1914" w:type="dxa"/>
            <w:tcBorders>
              <w:top w:val="single" w:sz="8" w:space="0" w:color="000000"/>
              <w:left w:val="single" w:sz="8" w:space="0" w:color="000000"/>
              <w:bottom w:val="single" w:sz="8" w:space="0" w:color="000000"/>
              <w:right w:val="single" w:sz="8" w:space="0" w:color="000000"/>
            </w:tcBorders>
            <w:shd w:val="clear" w:color="auto" w:fill="auto"/>
            <w:tcMar>
              <w:top w:w="13" w:type="dxa"/>
              <w:left w:w="13" w:type="dxa"/>
              <w:bottom w:w="0" w:type="dxa"/>
              <w:right w:w="13" w:type="dxa"/>
            </w:tcMar>
            <w:vAlign w:val="bottom"/>
            <w:hideMark/>
          </w:tcPr>
          <w:p w:rsidR="00242C36" w:rsidRPr="00E43137" w:rsidRDefault="00242C36" w:rsidP="00242C36">
            <w:pPr>
              <w:pBdr>
                <w:bar w:val="single" w:sz="6" w:color="808080"/>
              </w:pBdr>
              <w:jc w:val="center"/>
              <w:rPr>
                <w:rFonts w:ascii="Calibri" w:eastAsia="Calibri" w:hAnsi="Calibri"/>
                <w:sz w:val="18"/>
                <w:szCs w:val="18"/>
                <w:lang w:eastAsia="en-US"/>
              </w:rPr>
            </w:pPr>
            <w:r w:rsidRPr="00E43137">
              <w:rPr>
                <w:rFonts w:ascii="Calibri" w:eastAsia="Calibri" w:hAnsi="Calibri"/>
                <w:bCs/>
                <w:sz w:val="18"/>
                <w:szCs w:val="18"/>
                <w:lang w:eastAsia="en-US"/>
              </w:rPr>
              <w:t>62,7</w:t>
            </w:r>
          </w:p>
        </w:tc>
      </w:tr>
      <w:tr w:rsidR="00242C36" w:rsidRPr="00E43137" w:rsidTr="00242C36">
        <w:trPr>
          <w:trHeight w:val="284"/>
        </w:trPr>
        <w:tc>
          <w:tcPr>
            <w:tcW w:w="1431" w:type="dxa"/>
            <w:tcBorders>
              <w:top w:val="single" w:sz="8" w:space="0" w:color="000000"/>
              <w:left w:val="single" w:sz="8" w:space="0" w:color="000000"/>
              <w:bottom w:val="single" w:sz="8" w:space="0" w:color="000000"/>
              <w:right w:val="single" w:sz="8" w:space="0" w:color="000000"/>
            </w:tcBorders>
            <w:shd w:val="clear" w:color="auto" w:fill="auto"/>
            <w:tcMar>
              <w:top w:w="13" w:type="dxa"/>
              <w:left w:w="13" w:type="dxa"/>
              <w:bottom w:w="0" w:type="dxa"/>
              <w:right w:w="13" w:type="dxa"/>
            </w:tcMar>
            <w:vAlign w:val="bottom"/>
            <w:hideMark/>
          </w:tcPr>
          <w:p w:rsidR="00242C36" w:rsidRPr="00E43137" w:rsidRDefault="00242C36" w:rsidP="00242C36">
            <w:pPr>
              <w:pBdr>
                <w:bar w:val="single" w:sz="6" w:color="808080"/>
              </w:pBdr>
              <w:rPr>
                <w:rFonts w:ascii="Calibri" w:eastAsia="Calibri" w:hAnsi="Calibri"/>
                <w:sz w:val="18"/>
                <w:szCs w:val="18"/>
                <w:lang w:eastAsia="en-US"/>
              </w:rPr>
            </w:pPr>
            <w:r w:rsidRPr="00E43137">
              <w:rPr>
                <w:rFonts w:ascii="Calibri" w:eastAsia="Calibri" w:hAnsi="Calibri"/>
                <w:bCs/>
                <w:sz w:val="18"/>
                <w:szCs w:val="18"/>
                <w:lang w:eastAsia="en-US"/>
              </w:rPr>
              <w:t>Belgicko</w:t>
            </w:r>
          </w:p>
        </w:tc>
        <w:tc>
          <w:tcPr>
            <w:tcW w:w="1913" w:type="dxa"/>
            <w:tcBorders>
              <w:top w:val="single" w:sz="8" w:space="0" w:color="000000"/>
              <w:left w:val="single" w:sz="8" w:space="0" w:color="000000"/>
              <w:bottom w:val="single" w:sz="8" w:space="0" w:color="000000"/>
              <w:right w:val="single" w:sz="8" w:space="0" w:color="000000"/>
            </w:tcBorders>
            <w:shd w:val="clear" w:color="auto" w:fill="auto"/>
            <w:tcMar>
              <w:top w:w="13" w:type="dxa"/>
              <w:left w:w="13" w:type="dxa"/>
              <w:bottom w:w="0" w:type="dxa"/>
              <w:right w:w="13" w:type="dxa"/>
            </w:tcMar>
            <w:vAlign w:val="bottom"/>
            <w:hideMark/>
          </w:tcPr>
          <w:p w:rsidR="00242C36" w:rsidRPr="00E43137" w:rsidRDefault="00242C36" w:rsidP="00242C36">
            <w:pPr>
              <w:pBdr>
                <w:bar w:val="single" w:sz="6" w:color="808080"/>
              </w:pBdr>
              <w:jc w:val="center"/>
              <w:rPr>
                <w:rFonts w:ascii="Calibri" w:eastAsia="Calibri" w:hAnsi="Calibri"/>
                <w:sz w:val="18"/>
                <w:szCs w:val="18"/>
                <w:lang w:eastAsia="en-US"/>
              </w:rPr>
            </w:pPr>
            <w:r w:rsidRPr="00E43137">
              <w:rPr>
                <w:rFonts w:ascii="Calibri" w:eastAsia="Calibri" w:hAnsi="Calibri"/>
                <w:bCs/>
                <w:sz w:val="18"/>
                <w:szCs w:val="18"/>
                <w:lang w:eastAsia="en-US"/>
              </w:rPr>
              <w:t>186,4</w:t>
            </w:r>
          </w:p>
        </w:tc>
        <w:tc>
          <w:tcPr>
            <w:tcW w:w="1914" w:type="dxa"/>
            <w:tcBorders>
              <w:top w:val="single" w:sz="8" w:space="0" w:color="000000"/>
              <w:left w:val="single" w:sz="8" w:space="0" w:color="000000"/>
              <w:bottom w:val="single" w:sz="8" w:space="0" w:color="000000"/>
              <w:right w:val="single" w:sz="8" w:space="0" w:color="000000"/>
            </w:tcBorders>
            <w:shd w:val="clear" w:color="auto" w:fill="auto"/>
            <w:tcMar>
              <w:top w:w="13" w:type="dxa"/>
              <w:left w:w="13" w:type="dxa"/>
              <w:bottom w:w="0" w:type="dxa"/>
              <w:right w:w="13" w:type="dxa"/>
            </w:tcMar>
            <w:vAlign w:val="bottom"/>
            <w:hideMark/>
          </w:tcPr>
          <w:p w:rsidR="00242C36" w:rsidRPr="00E43137" w:rsidRDefault="00242C36" w:rsidP="00242C36">
            <w:pPr>
              <w:pBdr>
                <w:bar w:val="single" w:sz="6" w:color="808080"/>
              </w:pBdr>
              <w:jc w:val="center"/>
              <w:rPr>
                <w:rFonts w:ascii="Calibri" w:eastAsia="Calibri" w:hAnsi="Calibri"/>
                <w:sz w:val="18"/>
                <w:szCs w:val="18"/>
                <w:lang w:eastAsia="en-US"/>
              </w:rPr>
            </w:pPr>
            <w:r w:rsidRPr="00E43137">
              <w:rPr>
                <w:rFonts w:ascii="Calibri" w:eastAsia="Calibri" w:hAnsi="Calibri"/>
                <w:bCs/>
                <w:sz w:val="18"/>
                <w:szCs w:val="18"/>
                <w:lang w:eastAsia="en-US"/>
              </w:rPr>
              <w:t>38,5</w:t>
            </w:r>
          </w:p>
        </w:tc>
        <w:tc>
          <w:tcPr>
            <w:tcW w:w="1913" w:type="dxa"/>
            <w:tcBorders>
              <w:top w:val="single" w:sz="8" w:space="0" w:color="000000"/>
              <w:left w:val="single" w:sz="8" w:space="0" w:color="000000"/>
              <w:bottom w:val="single" w:sz="8" w:space="0" w:color="000000"/>
              <w:right w:val="single" w:sz="8" w:space="0" w:color="000000"/>
            </w:tcBorders>
            <w:shd w:val="clear" w:color="auto" w:fill="auto"/>
            <w:tcMar>
              <w:top w:w="13" w:type="dxa"/>
              <w:left w:w="13" w:type="dxa"/>
              <w:bottom w:w="0" w:type="dxa"/>
              <w:right w:w="13" w:type="dxa"/>
            </w:tcMar>
            <w:vAlign w:val="bottom"/>
            <w:hideMark/>
          </w:tcPr>
          <w:p w:rsidR="00242C36" w:rsidRPr="00E43137" w:rsidRDefault="00242C36" w:rsidP="00242C36">
            <w:pPr>
              <w:pBdr>
                <w:bar w:val="single" w:sz="6" w:color="808080"/>
              </w:pBdr>
              <w:jc w:val="center"/>
              <w:rPr>
                <w:rFonts w:ascii="Calibri" w:eastAsia="Calibri" w:hAnsi="Calibri"/>
                <w:sz w:val="18"/>
                <w:szCs w:val="18"/>
                <w:lang w:eastAsia="en-US"/>
              </w:rPr>
            </w:pPr>
            <w:r w:rsidRPr="00E43137">
              <w:rPr>
                <w:rFonts w:ascii="Calibri" w:eastAsia="Calibri" w:hAnsi="Calibri"/>
                <w:bCs/>
                <w:sz w:val="18"/>
                <w:szCs w:val="18"/>
                <w:lang w:eastAsia="en-US"/>
              </w:rPr>
              <w:t>:</w:t>
            </w:r>
          </w:p>
        </w:tc>
        <w:tc>
          <w:tcPr>
            <w:tcW w:w="1914" w:type="dxa"/>
            <w:tcBorders>
              <w:top w:val="single" w:sz="8" w:space="0" w:color="000000"/>
              <w:left w:val="single" w:sz="8" w:space="0" w:color="000000"/>
              <w:bottom w:val="single" w:sz="8" w:space="0" w:color="000000"/>
              <w:right w:val="single" w:sz="8" w:space="0" w:color="000000"/>
            </w:tcBorders>
            <w:shd w:val="clear" w:color="auto" w:fill="auto"/>
            <w:tcMar>
              <w:top w:w="13" w:type="dxa"/>
              <w:left w:w="13" w:type="dxa"/>
              <w:bottom w:w="0" w:type="dxa"/>
              <w:right w:w="13" w:type="dxa"/>
            </w:tcMar>
            <w:vAlign w:val="bottom"/>
            <w:hideMark/>
          </w:tcPr>
          <w:p w:rsidR="00242C36" w:rsidRPr="00E43137" w:rsidRDefault="00242C36" w:rsidP="00242C36">
            <w:pPr>
              <w:pBdr>
                <w:bar w:val="single" w:sz="6" w:color="808080"/>
              </w:pBdr>
              <w:jc w:val="center"/>
              <w:rPr>
                <w:rFonts w:ascii="Calibri" w:eastAsia="Calibri" w:hAnsi="Calibri"/>
                <w:sz w:val="18"/>
                <w:szCs w:val="18"/>
                <w:lang w:eastAsia="en-US"/>
              </w:rPr>
            </w:pPr>
            <w:r w:rsidRPr="00E43137">
              <w:rPr>
                <w:rFonts w:ascii="Calibri" w:eastAsia="Calibri" w:hAnsi="Calibri"/>
                <w:bCs/>
                <w:sz w:val="18"/>
                <w:szCs w:val="18"/>
                <w:lang w:eastAsia="en-US"/>
              </w:rPr>
              <w:t>455</w:t>
            </w:r>
          </w:p>
        </w:tc>
      </w:tr>
      <w:tr w:rsidR="00242C36" w:rsidRPr="00E43137" w:rsidTr="00242C36">
        <w:trPr>
          <w:trHeight w:val="284"/>
        </w:trPr>
        <w:tc>
          <w:tcPr>
            <w:tcW w:w="1431" w:type="dxa"/>
            <w:tcBorders>
              <w:top w:val="single" w:sz="8" w:space="0" w:color="000000"/>
              <w:left w:val="single" w:sz="8" w:space="0" w:color="000000"/>
              <w:bottom w:val="single" w:sz="8" w:space="0" w:color="000000"/>
              <w:right w:val="single" w:sz="8" w:space="0" w:color="000000"/>
            </w:tcBorders>
            <w:shd w:val="clear" w:color="auto" w:fill="auto"/>
            <w:tcMar>
              <w:top w:w="13" w:type="dxa"/>
              <w:left w:w="13" w:type="dxa"/>
              <w:bottom w:w="0" w:type="dxa"/>
              <w:right w:w="13" w:type="dxa"/>
            </w:tcMar>
            <w:vAlign w:val="bottom"/>
            <w:hideMark/>
          </w:tcPr>
          <w:p w:rsidR="00242C36" w:rsidRPr="00E43137" w:rsidRDefault="00242C36" w:rsidP="00242C36">
            <w:pPr>
              <w:pBdr>
                <w:bar w:val="single" w:sz="6" w:color="808080"/>
              </w:pBdr>
              <w:rPr>
                <w:rFonts w:ascii="Calibri" w:eastAsia="Calibri" w:hAnsi="Calibri"/>
                <w:sz w:val="18"/>
                <w:szCs w:val="18"/>
                <w:lang w:eastAsia="en-US"/>
              </w:rPr>
            </w:pPr>
            <w:r w:rsidRPr="00E43137">
              <w:rPr>
                <w:rFonts w:ascii="Calibri" w:eastAsia="Calibri" w:hAnsi="Calibri"/>
                <w:bCs/>
                <w:sz w:val="18"/>
                <w:szCs w:val="18"/>
                <w:lang w:eastAsia="en-US"/>
              </w:rPr>
              <w:t>Bulharsko</w:t>
            </w:r>
          </w:p>
        </w:tc>
        <w:tc>
          <w:tcPr>
            <w:tcW w:w="1913" w:type="dxa"/>
            <w:tcBorders>
              <w:top w:val="single" w:sz="8" w:space="0" w:color="000000"/>
              <w:left w:val="single" w:sz="8" w:space="0" w:color="000000"/>
              <w:bottom w:val="single" w:sz="8" w:space="0" w:color="000000"/>
              <w:right w:val="single" w:sz="8" w:space="0" w:color="000000"/>
            </w:tcBorders>
            <w:shd w:val="clear" w:color="auto" w:fill="auto"/>
            <w:tcMar>
              <w:top w:w="13" w:type="dxa"/>
              <w:left w:w="13" w:type="dxa"/>
              <w:bottom w:w="0" w:type="dxa"/>
              <w:right w:w="13" w:type="dxa"/>
            </w:tcMar>
            <w:vAlign w:val="bottom"/>
            <w:hideMark/>
          </w:tcPr>
          <w:p w:rsidR="00242C36" w:rsidRPr="00E43137" w:rsidRDefault="00242C36" w:rsidP="00242C36">
            <w:pPr>
              <w:pBdr>
                <w:bar w:val="single" w:sz="6" w:color="808080"/>
              </w:pBdr>
              <w:jc w:val="center"/>
              <w:rPr>
                <w:rFonts w:ascii="Calibri" w:eastAsia="Calibri" w:hAnsi="Calibri"/>
                <w:sz w:val="18"/>
                <w:szCs w:val="18"/>
                <w:lang w:eastAsia="en-US"/>
              </w:rPr>
            </w:pPr>
            <w:r w:rsidRPr="00E43137">
              <w:rPr>
                <w:rFonts w:ascii="Calibri" w:eastAsia="Calibri" w:hAnsi="Calibri"/>
                <w:bCs/>
                <w:sz w:val="18"/>
                <w:szCs w:val="18"/>
                <w:lang w:eastAsia="en-US"/>
              </w:rPr>
              <w:t>11,8</w:t>
            </w:r>
          </w:p>
        </w:tc>
        <w:tc>
          <w:tcPr>
            <w:tcW w:w="1914" w:type="dxa"/>
            <w:tcBorders>
              <w:top w:val="single" w:sz="8" w:space="0" w:color="000000"/>
              <w:left w:val="single" w:sz="8" w:space="0" w:color="000000"/>
              <w:bottom w:val="single" w:sz="8" w:space="0" w:color="000000"/>
              <w:right w:val="single" w:sz="8" w:space="0" w:color="000000"/>
            </w:tcBorders>
            <w:shd w:val="clear" w:color="auto" w:fill="auto"/>
            <w:tcMar>
              <w:top w:w="13" w:type="dxa"/>
              <w:left w:w="13" w:type="dxa"/>
              <w:bottom w:w="0" w:type="dxa"/>
              <w:right w:w="13" w:type="dxa"/>
            </w:tcMar>
            <w:vAlign w:val="bottom"/>
            <w:hideMark/>
          </w:tcPr>
          <w:p w:rsidR="00242C36" w:rsidRPr="00E43137" w:rsidRDefault="00242C36" w:rsidP="00242C36">
            <w:pPr>
              <w:pBdr>
                <w:bar w:val="single" w:sz="6" w:color="808080"/>
              </w:pBdr>
              <w:jc w:val="center"/>
              <w:rPr>
                <w:rFonts w:ascii="Calibri" w:eastAsia="Calibri" w:hAnsi="Calibri"/>
                <w:sz w:val="18"/>
                <w:szCs w:val="18"/>
                <w:lang w:eastAsia="en-US"/>
              </w:rPr>
            </w:pPr>
            <w:r w:rsidRPr="00E43137">
              <w:rPr>
                <w:rFonts w:ascii="Calibri" w:eastAsia="Calibri" w:hAnsi="Calibri"/>
                <w:bCs/>
                <w:sz w:val="18"/>
                <w:szCs w:val="18"/>
                <w:lang w:eastAsia="en-US"/>
              </w:rPr>
              <w:t>6,5</w:t>
            </w:r>
          </w:p>
        </w:tc>
        <w:tc>
          <w:tcPr>
            <w:tcW w:w="1913" w:type="dxa"/>
            <w:tcBorders>
              <w:top w:val="single" w:sz="8" w:space="0" w:color="000000"/>
              <w:left w:val="single" w:sz="8" w:space="0" w:color="000000"/>
              <w:bottom w:val="single" w:sz="8" w:space="0" w:color="000000"/>
              <w:right w:val="single" w:sz="8" w:space="0" w:color="000000"/>
            </w:tcBorders>
            <w:shd w:val="clear" w:color="auto" w:fill="auto"/>
            <w:tcMar>
              <w:top w:w="13" w:type="dxa"/>
              <w:left w:w="13" w:type="dxa"/>
              <w:bottom w:w="0" w:type="dxa"/>
              <w:right w:w="13" w:type="dxa"/>
            </w:tcMar>
            <w:vAlign w:val="bottom"/>
            <w:hideMark/>
          </w:tcPr>
          <w:p w:rsidR="00242C36" w:rsidRPr="00E43137" w:rsidRDefault="00242C36" w:rsidP="00242C36">
            <w:pPr>
              <w:pBdr>
                <w:bar w:val="single" w:sz="6" w:color="808080"/>
              </w:pBdr>
              <w:jc w:val="center"/>
              <w:rPr>
                <w:rFonts w:ascii="Calibri" w:eastAsia="Calibri" w:hAnsi="Calibri"/>
                <w:sz w:val="18"/>
                <w:szCs w:val="18"/>
                <w:lang w:eastAsia="en-US"/>
              </w:rPr>
            </w:pPr>
            <w:r w:rsidRPr="00E43137">
              <w:rPr>
                <w:rFonts w:ascii="Calibri" w:eastAsia="Calibri" w:hAnsi="Calibri"/>
                <w:bCs/>
                <w:sz w:val="18"/>
                <w:szCs w:val="18"/>
                <w:lang w:eastAsia="en-US"/>
              </w:rPr>
              <w:t>29,9</w:t>
            </w:r>
          </w:p>
        </w:tc>
        <w:tc>
          <w:tcPr>
            <w:tcW w:w="1914" w:type="dxa"/>
            <w:tcBorders>
              <w:top w:val="single" w:sz="8" w:space="0" w:color="000000"/>
              <w:left w:val="single" w:sz="8" w:space="0" w:color="000000"/>
              <w:bottom w:val="single" w:sz="8" w:space="0" w:color="000000"/>
              <w:right w:val="single" w:sz="8" w:space="0" w:color="000000"/>
            </w:tcBorders>
            <w:shd w:val="clear" w:color="auto" w:fill="auto"/>
            <w:tcMar>
              <w:top w:w="13" w:type="dxa"/>
              <w:left w:w="13" w:type="dxa"/>
              <w:bottom w:w="0" w:type="dxa"/>
              <w:right w:w="13" w:type="dxa"/>
            </w:tcMar>
            <w:vAlign w:val="bottom"/>
            <w:hideMark/>
          </w:tcPr>
          <w:p w:rsidR="00242C36" w:rsidRPr="00E43137" w:rsidRDefault="00242C36" w:rsidP="00242C36">
            <w:pPr>
              <w:pBdr>
                <w:bar w:val="single" w:sz="6" w:color="808080"/>
              </w:pBdr>
              <w:jc w:val="center"/>
              <w:rPr>
                <w:rFonts w:ascii="Calibri" w:eastAsia="Calibri" w:hAnsi="Calibri"/>
                <w:sz w:val="18"/>
                <w:szCs w:val="18"/>
                <w:lang w:eastAsia="en-US"/>
              </w:rPr>
            </w:pPr>
            <w:r w:rsidRPr="00E43137">
              <w:rPr>
                <w:rFonts w:ascii="Calibri" w:eastAsia="Calibri" w:hAnsi="Calibri"/>
                <w:bCs/>
                <w:sz w:val="18"/>
                <w:szCs w:val="18"/>
                <w:lang w:eastAsia="en-US"/>
              </w:rPr>
              <w:t>16,1</w:t>
            </w:r>
          </w:p>
        </w:tc>
      </w:tr>
      <w:tr w:rsidR="00242C36" w:rsidRPr="00E43137" w:rsidTr="00242C36">
        <w:trPr>
          <w:trHeight w:val="284"/>
        </w:trPr>
        <w:tc>
          <w:tcPr>
            <w:tcW w:w="1431" w:type="dxa"/>
            <w:tcBorders>
              <w:top w:val="single" w:sz="8" w:space="0" w:color="000000"/>
              <w:left w:val="single" w:sz="8" w:space="0" w:color="000000"/>
              <w:bottom w:val="single" w:sz="8" w:space="0" w:color="000000"/>
              <w:right w:val="single" w:sz="8" w:space="0" w:color="000000"/>
            </w:tcBorders>
            <w:shd w:val="clear" w:color="auto" w:fill="auto"/>
            <w:tcMar>
              <w:top w:w="13" w:type="dxa"/>
              <w:left w:w="13" w:type="dxa"/>
              <w:bottom w:w="0" w:type="dxa"/>
              <w:right w:w="13" w:type="dxa"/>
            </w:tcMar>
            <w:vAlign w:val="bottom"/>
            <w:hideMark/>
          </w:tcPr>
          <w:p w:rsidR="00242C36" w:rsidRPr="00E43137" w:rsidRDefault="00242C36" w:rsidP="00242C36">
            <w:pPr>
              <w:pBdr>
                <w:bar w:val="single" w:sz="6" w:color="808080"/>
              </w:pBdr>
              <w:rPr>
                <w:rFonts w:ascii="Calibri" w:eastAsia="Calibri" w:hAnsi="Calibri"/>
                <w:sz w:val="18"/>
                <w:szCs w:val="18"/>
                <w:lang w:eastAsia="en-US"/>
              </w:rPr>
            </w:pPr>
            <w:r w:rsidRPr="00E43137">
              <w:rPr>
                <w:rFonts w:ascii="Calibri" w:eastAsia="Calibri" w:hAnsi="Calibri"/>
                <w:bCs/>
                <w:sz w:val="18"/>
                <w:szCs w:val="18"/>
                <w:lang w:eastAsia="en-US"/>
              </w:rPr>
              <w:t>Česká rep.</w:t>
            </w:r>
          </w:p>
        </w:tc>
        <w:tc>
          <w:tcPr>
            <w:tcW w:w="1913" w:type="dxa"/>
            <w:tcBorders>
              <w:top w:val="single" w:sz="8" w:space="0" w:color="000000"/>
              <w:left w:val="single" w:sz="8" w:space="0" w:color="000000"/>
              <w:bottom w:val="single" w:sz="8" w:space="0" w:color="000000"/>
              <w:right w:val="single" w:sz="8" w:space="0" w:color="000000"/>
            </w:tcBorders>
            <w:shd w:val="clear" w:color="auto" w:fill="auto"/>
            <w:tcMar>
              <w:top w:w="13" w:type="dxa"/>
              <w:left w:w="13" w:type="dxa"/>
              <w:bottom w:w="0" w:type="dxa"/>
              <w:right w:w="13" w:type="dxa"/>
            </w:tcMar>
            <w:vAlign w:val="bottom"/>
            <w:hideMark/>
          </w:tcPr>
          <w:p w:rsidR="00242C36" w:rsidRPr="00E43137" w:rsidRDefault="00242C36" w:rsidP="00242C36">
            <w:pPr>
              <w:pBdr>
                <w:bar w:val="single" w:sz="6" w:color="808080"/>
              </w:pBdr>
              <w:jc w:val="center"/>
              <w:rPr>
                <w:rFonts w:ascii="Calibri" w:eastAsia="Calibri" w:hAnsi="Calibri"/>
                <w:sz w:val="18"/>
                <w:szCs w:val="18"/>
                <w:lang w:eastAsia="en-US"/>
              </w:rPr>
            </w:pPr>
            <w:r w:rsidRPr="00E43137">
              <w:rPr>
                <w:rFonts w:ascii="Calibri" w:eastAsia="Calibri" w:hAnsi="Calibri"/>
                <w:bCs/>
                <w:sz w:val="18"/>
                <w:szCs w:val="18"/>
                <w:lang w:eastAsia="en-US"/>
              </w:rPr>
              <w:t>37,3</w:t>
            </w:r>
          </w:p>
        </w:tc>
        <w:tc>
          <w:tcPr>
            <w:tcW w:w="1914" w:type="dxa"/>
            <w:tcBorders>
              <w:top w:val="single" w:sz="8" w:space="0" w:color="000000"/>
              <w:left w:val="single" w:sz="8" w:space="0" w:color="000000"/>
              <w:bottom w:val="single" w:sz="8" w:space="0" w:color="000000"/>
              <w:right w:val="single" w:sz="8" w:space="0" w:color="000000"/>
            </w:tcBorders>
            <w:shd w:val="clear" w:color="auto" w:fill="auto"/>
            <w:tcMar>
              <w:top w:w="13" w:type="dxa"/>
              <w:left w:w="13" w:type="dxa"/>
              <w:bottom w:w="0" w:type="dxa"/>
              <w:right w:w="13" w:type="dxa"/>
            </w:tcMar>
            <w:vAlign w:val="bottom"/>
            <w:hideMark/>
          </w:tcPr>
          <w:p w:rsidR="00242C36" w:rsidRPr="00E43137" w:rsidRDefault="00242C36" w:rsidP="00242C36">
            <w:pPr>
              <w:pBdr>
                <w:bar w:val="single" w:sz="6" w:color="808080"/>
              </w:pBdr>
              <w:jc w:val="center"/>
              <w:rPr>
                <w:rFonts w:ascii="Calibri" w:eastAsia="Calibri" w:hAnsi="Calibri"/>
                <w:sz w:val="18"/>
                <w:szCs w:val="18"/>
                <w:lang w:eastAsia="en-US"/>
              </w:rPr>
            </w:pPr>
            <w:r w:rsidRPr="00E43137">
              <w:rPr>
                <w:rFonts w:ascii="Calibri" w:eastAsia="Calibri" w:hAnsi="Calibri"/>
                <w:bCs/>
                <w:sz w:val="18"/>
                <w:szCs w:val="18"/>
                <w:lang w:eastAsia="en-US"/>
              </w:rPr>
              <w:t>11,1</w:t>
            </w:r>
          </w:p>
        </w:tc>
        <w:tc>
          <w:tcPr>
            <w:tcW w:w="1913" w:type="dxa"/>
            <w:tcBorders>
              <w:top w:val="single" w:sz="8" w:space="0" w:color="000000"/>
              <w:left w:val="single" w:sz="8" w:space="0" w:color="000000"/>
              <w:bottom w:val="single" w:sz="8" w:space="0" w:color="000000"/>
              <w:right w:val="single" w:sz="8" w:space="0" w:color="000000"/>
            </w:tcBorders>
            <w:shd w:val="clear" w:color="auto" w:fill="auto"/>
            <w:tcMar>
              <w:top w:w="13" w:type="dxa"/>
              <w:left w:w="13" w:type="dxa"/>
              <w:bottom w:w="0" w:type="dxa"/>
              <w:right w:w="13" w:type="dxa"/>
            </w:tcMar>
            <w:vAlign w:val="bottom"/>
            <w:hideMark/>
          </w:tcPr>
          <w:p w:rsidR="00242C36" w:rsidRPr="00E43137" w:rsidRDefault="00242C36" w:rsidP="00242C36">
            <w:pPr>
              <w:pBdr>
                <w:bar w:val="single" w:sz="6" w:color="808080"/>
              </w:pBdr>
              <w:jc w:val="center"/>
              <w:rPr>
                <w:rFonts w:ascii="Calibri" w:eastAsia="Calibri" w:hAnsi="Calibri"/>
                <w:sz w:val="18"/>
                <w:szCs w:val="18"/>
                <w:lang w:eastAsia="en-US"/>
              </w:rPr>
            </w:pPr>
            <w:r w:rsidRPr="00E43137">
              <w:rPr>
                <w:rFonts w:ascii="Calibri" w:eastAsia="Calibri" w:hAnsi="Calibri"/>
                <w:bCs/>
                <w:sz w:val="18"/>
                <w:szCs w:val="18"/>
                <w:lang w:eastAsia="en-US"/>
              </w:rPr>
              <w:t>4,8</w:t>
            </w:r>
          </w:p>
        </w:tc>
        <w:tc>
          <w:tcPr>
            <w:tcW w:w="1914" w:type="dxa"/>
            <w:tcBorders>
              <w:top w:val="single" w:sz="8" w:space="0" w:color="000000"/>
              <w:left w:val="single" w:sz="8" w:space="0" w:color="000000"/>
              <w:bottom w:val="single" w:sz="8" w:space="0" w:color="000000"/>
              <w:right w:val="single" w:sz="8" w:space="0" w:color="000000"/>
            </w:tcBorders>
            <w:shd w:val="clear" w:color="auto" w:fill="auto"/>
            <w:tcMar>
              <w:top w:w="13" w:type="dxa"/>
              <w:left w:w="13" w:type="dxa"/>
              <w:bottom w:w="0" w:type="dxa"/>
              <w:right w:w="13" w:type="dxa"/>
            </w:tcMar>
            <w:vAlign w:val="bottom"/>
            <w:hideMark/>
          </w:tcPr>
          <w:p w:rsidR="00242C36" w:rsidRPr="00E43137" w:rsidRDefault="00242C36" w:rsidP="00242C36">
            <w:pPr>
              <w:pBdr>
                <w:bar w:val="single" w:sz="6" w:color="808080"/>
              </w:pBdr>
              <w:jc w:val="center"/>
              <w:rPr>
                <w:rFonts w:ascii="Calibri" w:eastAsia="Calibri" w:hAnsi="Calibri"/>
                <w:sz w:val="18"/>
                <w:szCs w:val="18"/>
                <w:lang w:eastAsia="en-US"/>
              </w:rPr>
            </w:pPr>
            <w:r w:rsidRPr="00E43137">
              <w:rPr>
                <w:rFonts w:ascii="Calibri" w:eastAsia="Calibri" w:hAnsi="Calibri"/>
                <w:bCs/>
                <w:sz w:val="18"/>
                <w:szCs w:val="18"/>
                <w:lang w:eastAsia="en-US"/>
              </w:rPr>
              <w:t>63</w:t>
            </w:r>
          </w:p>
        </w:tc>
      </w:tr>
      <w:tr w:rsidR="00242C36" w:rsidRPr="00E43137" w:rsidTr="00242C36">
        <w:trPr>
          <w:trHeight w:val="284"/>
        </w:trPr>
        <w:tc>
          <w:tcPr>
            <w:tcW w:w="1431" w:type="dxa"/>
            <w:tcBorders>
              <w:top w:val="single" w:sz="8" w:space="0" w:color="000000"/>
              <w:left w:val="single" w:sz="8" w:space="0" w:color="000000"/>
              <w:bottom w:val="single" w:sz="8" w:space="0" w:color="000000"/>
              <w:right w:val="single" w:sz="8" w:space="0" w:color="000000"/>
            </w:tcBorders>
            <w:shd w:val="clear" w:color="auto" w:fill="auto"/>
            <w:tcMar>
              <w:top w:w="13" w:type="dxa"/>
              <w:left w:w="13" w:type="dxa"/>
              <w:bottom w:w="0" w:type="dxa"/>
              <w:right w:w="13" w:type="dxa"/>
            </w:tcMar>
            <w:vAlign w:val="bottom"/>
            <w:hideMark/>
          </w:tcPr>
          <w:p w:rsidR="00242C36" w:rsidRPr="00E43137" w:rsidRDefault="00242C36" w:rsidP="00242C36">
            <w:pPr>
              <w:pBdr>
                <w:bar w:val="single" w:sz="6" w:color="808080"/>
              </w:pBdr>
              <w:rPr>
                <w:rFonts w:ascii="Calibri" w:eastAsia="Calibri" w:hAnsi="Calibri"/>
                <w:sz w:val="18"/>
                <w:szCs w:val="18"/>
                <w:lang w:eastAsia="en-US"/>
              </w:rPr>
            </w:pPr>
            <w:r w:rsidRPr="00E43137">
              <w:rPr>
                <w:rFonts w:ascii="Calibri" w:eastAsia="Calibri" w:hAnsi="Calibri"/>
                <w:bCs/>
                <w:sz w:val="18"/>
                <w:szCs w:val="18"/>
                <w:lang w:eastAsia="en-US"/>
              </w:rPr>
              <w:t>Dánsko</w:t>
            </w:r>
          </w:p>
        </w:tc>
        <w:tc>
          <w:tcPr>
            <w:tcW w:w="1913" w:type="dxa"/>
            <w:tcBorders>
              <w:top w:val="single" w:sz="8" w:space="0" w:color="000000"/>
              <w:left w:val="single" w:sz="8" w:space="0" w:color="000000"/>
              <w:bottom w:val="single" w:sz="8" w:space="0" w:color="000000"/>
              <w:right w:val="single" w:sz="8" w:space="0" w:color="000000"/>
            </w:tcBorders>
            <w:shd w:val="clear" w:color="auto" w:fill="auto"/>
            <w:tcMar>
              <w:top w:w="13" w:type="dxa"/>
              <w:left w:w="13" w:type="dxa"/>
              <w:bottom w:w="0" w:type="dxa"/>
              <w:right w:w="13" w:type="dxa"/>
            </w:tcMar>
            <w:vAlign w:val="bottom"/>
            <w:hideMark/>
          </w:tcPr>
          <w:p w:rsidR="00242C36" w:rsidRPr="00E43137" w:rsidRDefault="00242C36" w:rsidP="00242C36">
            <w:pPr>
              <w:pBdr>
                <w:bar w:val="single" w:sz="6" w:color="808080"/>
              </w:pBdr>
              <w:jc w:val="center"/>
              <w:rPr>
                <w:rFonts w:ascii="Calibri" w:eastAsia="Calibri" w:hAnsi="Calibri"/>
                <w:sz w:val="18"/>
                <w:szCs w:val="18"/>
                <w:lang w:eastAsia="en-US"/>
              </w:rPr>
            </w:pPr>
            <w:r w:rsidRPr="00E43137">
              <w:rPr>
                <w:rFonts w:ascii="Calibri" w:eastAsia="Calibri" w:hAnsi="Calibri"/>
                <w:bCs/>
                <w:sz w:val="18"/>
                <w:szCs w:val="18"/>
                <w:lang w:eastAsia="en-US"/>
              </w:rPr>
              <w:t>59,6</w:t>
            </w:r>
          </w:p>
        </w:tc>
        <w:tc>
          <w:tcPr>
            <w:tcW w:w="1914" w:type="dxa"/>
            <w:tcBorders>
              <w:top w:val="single" w:sz="8" w:space="0" w:color="000000"/>
              <w:left w:val="single" w:sz="8" w:space="0" w:color="000000"/>
              <w:bottom w:val="single" w:sz="8" w:space="0" w:color="000000"/>
              <w:right w:val="single" w:sz="8" w:space="0" w:color="000000"/>
            </w:tcBorders>
            <w:shd w:val="clear" w:color="auto" w:fill="auto"/>
            <w:tcMar>
              <w:top w:w="13" w:type="dxa"/>
              <w:left w:w="13" w:type="dxa"/>
              <w:bottom w:w="0" w:type="dxa"/>
              <w:right w:w="13" w:type="dxa"/>
            </w:tcMar>
            <w:vAlign w:val="bottom"/>
            <w:hideMark/>
          </w:tcPr>
          <w:p w:rsidR="00242C36" w:rsidRPr="00E43137" w:rsidRDefault="00242C36" w:rsidP="00242C36">
            <w:pPr>
              <w:pBdr>
                <w:bar w:val="single" w:sz="6" w:color="808080"/>
              </w:pBdr>
              <w:jc w:val="center"/>
              <w:rPr>
                <w:rFonts w:ascii="Calibri" w:eastAsia="Calibri" w:hAnsi="Calibri"/>
                <w:sz w:val="18"/>
                <w:szCs w:val="18"/>
                <w:lang w:eastAsia="en-US"/>
              </w:rPr>
            </w:pPr>
            <w:r w:rsidRPr="00E43137">
              <w:rPr>
                <w:rFonts w:ascii="Calibri" w:eastAsia="Calibri" w:hAnsi="Calibri"/>
                <w:bCs/>
                <w:sz w:val="18"/>
                <w:szCs w:val="18"/>
                <w:lang w:eastAsia="en-US"/>
              </w:rPr>
              <w:t>21,1</w:t>
            </w:r>
          </w:p>
        </w:tc>
        <w:tc>
          <w:tcPr>
            <w:tcW w:w="1913" w:type="dxa"/>
            <w:tcBorders>
              <w:top w:val="single" w:sz="8" w:space="0" w:color="000000"/>
              <w:left w:val="single" w:sz="8" w:space="0" w:color="000000"/>
              <w:bottom w:val="single" w:sz="8" w:space="0" w:color="000000"/>
              <w:right w:val="single" w:sz="8" w:space="0" w:color="000000"/>
            </w:tcBorders>
            <w:shd w:val="clear" w:color="auto" w:fill="auto"/>
            <w:tcMar>
              <w:top w:w="13" w:type="dxa"/>
              <w:left w:w="13" w:type="dxa"/>
              <w:bottom w:w="0" w:type="dxa"/>
              <w:right w:w="13" w:type="dxa"/>
            </w:tcMar>
            <w:vAlign w:val="bottom"/>
            <w:hideMark/>
          </w:tcPr>
          <w:p w:rsidR="00242C36" w:rsidRPr="00E43137" w:rsidRDefault="00242C36" w:rsidP="00242C36">
            <w:pPr>
              <w:pBdr>
                <w:bar w:val="single" w:sz="6" w:color="808080"/>
              </w:pBdr>
              <w:jc w:val="center"/>
              <w:rPr>
                <w:rFonts w:ascii="Calibri" w:eastAsia="Calibri" w:hAnsi="Calibri"/>
                <w:sz w:val="18"/>
                <w:szCs w:val="18"/>
                <w:lang w:eastAsia="en-US"/>
              </w:rPr>
            </w:pPr>
            <w:r w:rsidRPr="00E43137">
              <w:rPr>
                <w:rFonts w:ascii="Calibri" w:eastAsia="Calibri" w:hAnsi="Calibri"/>
                <w:bCs/>
                <w:sz w:val="18"/>
                <w:szCs w:val="18"/>
                <w:lang w:eastAsia="en-US"/>
              </w:rPr>
              <w:t>3,4</w:t>
            </w:r>
          </w:p>
        </w:tc>
        <w:tc>
          <w:tcPr>
            <w:tcW w:w="1914" w:type="dxa"/>
            <w:tcBorders>
              <w:top w:val="single" w:sz="8" w:space="0" w:color="000000"/>
              <w:left w:val="single" w:sz="8" w:space="0" w:color="000000"/>
              <w:bottom w:val="single" w:sz="8" w:space="0" w:color="000000"/>
              <w:right w:val="single" w:sz="8" w:space="0" w:color="000000"/>
            </w:tcBorders>
            <w:shd w:val="clear" w:color="auto" w:fill="auto"/>
            <w:tcMar>
              <w:top w:w="13" w:type="dxa"/>
              <w:left w:w="13" w:type="dxa"/>
              <w:bottom w:w="0" w:type="dxa"/>
              <w:right w:w="13" w:type="dxa"/>
            </w:tcMar>
            <w:vAlign w:val="bottom"/>
            <w:hideMark/>
          </w:tcPr>
          <w:p w:rsidR="00242C36" w:rsidRPr="00E43137" w:rsidRDefault="00242C36" w:rsidP="00242C36">
            <w:pPr>
              <w:pBdr>
                <w:bar w:val="single" w:sz="6" w:color="808080"/>
              </w:pBdr>
              <w:jc w:val="center"/>
              <w:rPr>
                <w:rFonts w:ascii="Calibri" w:eastAsia="Calibri" w:hAnsi="Calibri"/>
                <w:sz w:val="18"/>
                <w:szCs w:val="18"/>
                <w:lang w:eastAsia="en-US"/>
              </w:rPr>
            </w:pPr>
            <w:r w:rsidRPr="00E43137">
              <w:rPr>
                <w:rFonts w:ascii="Calibri" w:eastAsia="Calibri" w:hAnsi="Calibri"/>
                <w:bCs/>
                <w:sz w:val="18"/>
                <w:szCs w:val="18"/>
                <w:lang w:eastAsia="en-US"/>
              </w:rPr>
              <w:t>477,9</w:t>
            </w:r>
          </w:p>
        </w:tc>
      </w:tr>
      <w:tr w:rsidR="00242C36" w:rsidRPr="00E43137" w:rsidTr="00242C36">
        <w:trPr>
          <w:trHeight w:val="284"/>
        </w:trPr>
        <w:tc>
          <w:tcPr>
            <w:tcW w:w="1431" w:type="dxa"/>
            <w:tcBorders>
              <w:top w:val="single" w:sz="8" w:space="0" w:color="000000"/>
              <w:left w:val="single" w:sz="8" w:space="0" w:color="000000"/>
              <w:bottom w:val="single" w:sz="8" w:space="0" w:color="000000"/>
              <w:right w:val="single" w:sz="8" w:space="0" w:color="000000"/>
            </w:tcBorders>
            <w:shd w:val="clear" w:color="auto" w:fill="auto"/>
            <w:tcMar>
              <w:top w:w="13" w:type="dxa"/>
              <w:left w:w="13" w:type="dxa"/>
              <w:bottom w:w="0" w:type="dxa"/>
              <w:right w:w="13" w:type="dxa"/>
            </w:tcMar>
            <w:vAlign w:val="bottom"/>
            <w:hideMark/>
          </w:tcPr>
          <w:p w:rsidR="00242C36" w:rsidRPr="00E43137" w:rsidRDefault="00242C36" w:rsidP="00242C36">
            <w:pPr>
              <w:pBdr>
                <w:bar w:val="single" w:sz="6" w:color="808080"/>
              </w:pBdr>
              <w:rPr>
                <w:rFonts w:ascii="Calibri" w:eastAsia="Calibri" w:hAnsi="Calibri"/>
                <w:sz w:val="18"/>
                <w:szCs w:val="18"/>
                <w:lang w:eastAsia="en-US"/>
              </w:rPr>
            </w:pPr>
            <w:r w:rsidRPr="00E43137">
              <w:rPr>
                <w:rFonts w:ascii="Calibri" w:eastAsia="Calibri" w:hAnsi="Calibri"/>
                <w:bCs/>
                <w:sz w:val="18"/>
                <w:szCs w:val="18"/>
                <w:lang w:eastAsia="en-US"/>
              </w:rPr>
              <w:t>Nemecko</w:t>
            </w:r>
          </w:p>
        </w:tc>
        <w:tc>
          <w:tcPr>
            <w:tcW w:w="1913" w:type="dxa"/>
            <w:tcBorders>
              <w:top w:val="single" w:sz="8" w:space="0" w:color="000000"/>
              <w:left w:val="single" w:sz="8" w:space="0" w:color="000000"/>
              <w:bottom w:val="single" w:sz="8" w:space="0" w:color="000000"/>
              <w:right w:val="single" w:sz="8" w:space="0" w:color="000000"/>
            </w:tcBorders>
            <w:shd w:val="clear" w:color="auto" w:fill="auto"/>
            <w:tcMar>
              <w:top w:w="13" w:type="dxa"/>
              <w:left w:w="13" w:type="dxa"/>
              <w:bottom w:w="0" w:type="dxa"/>
              <w:right w:w="13" w:type="dxa"/>
            </w:tcMar>
            <w:vAlign w:val="bottom"/>
            <w:hideMark/>
          </w:tcPr>
          <w:p w:rsidR="00242C36" w:rsidRPr="00E43137" w:rsidRDefault="00242C36" w:rsidP="00242C36">
            <w:pPr>
              <w:pBdr>
                <w:bar w:val="single" w:sz="6" w:color="808080"/>
              </w:pBdr>
              <w:jc w:val="center"/>
              <w:rPr>
                <w:rFonts w:ascii="Calibri" w:eastAsia="Calibri" w:hAnsi="Calibri"/>
                <w:sz w:val="18"/>
                <w:szCs w:val="18"/>
                <w:lang w:eastAsia="en-US"/>
              </w:rPr>
            </w:pPr>
            <w:r w:rsidRPr="00E43137">
              <w:rPr>
                <w:rFonts w:ascii="Calibri" w:eastAsia="Calibri" w:hAnsi="Calibri"/>
                <w:bCs/>
                <w:sz w:val="18"/>
                <w:szCs w:val="18"/>
                <w:lang w:eastAsia="en-US"/>
              </w:rPr>
              <w:t>75,7</w:t>
            </w:r>
          </w:p>
        </w:tc>
        <w:tc>
          <w:tcPr>
            <w:tcW w:w="1914" w:type="dxa"/>
            <w:tcBorders>
              <w:top w:val="single" w:sz="8" w:space="0" w:color="000000"/>
              <w:left w:val="single" w:sz="8" w:space="0" w:color="000000"/>
              <w:bottom w:val="single" w:sz="8" w:space="0" w:color="000000"/>
              <w:right w:val="single" w:sz="8" w:space="0" w:color="000000"/>
            </w:tcBorders>
            <w:shd w:val="clear" w:color="auto" w:fill="auto"/>
            <w:tcMar>
              <w:top w:w="13" w:type="dxa"/>
              <w:left w:w="13" w:type="dxa"/>
              <w:bottom w:w="0" w:type="dxa"/>
              <w:right w:w="13" w:type="dxa"/>
            </w:tcMar>
            <w:vAlign w:val="bottom"/>
            <w:hideMark/>
          </w:tcPr>
          <w:p w:rsidR="00242C36" w:rsidRPr="00E43137" w:rsidRDefault="00242C36" w:rsidP="00242C36">
            <w:pPr>
              <w:pBdr>
                <w:bar w:val="single" w:sz="6" w:color="808080"/>
              </w:pBdr>
              <w:jc w:val="center"/>
              <w:rPr>
                <w:rFonts w:ascii="Calibri" w:eastAsia="Calibri" w:hAnsi="Calibri"/>
                <w:sz w:val="18"/>
                <w:szCs w:val="18"/>
                <w:lang w:eastAsia="en-US"/>
              </w:rPr>
            </w:pPr>
            <w:r w:rsidRPr="00E43137">
              <w:rPr>
                <w:rFonts w:ascii="Calibri" w:eastAsia="Calibri" w:hAnsi="Calibri"/>
                <w:bCs/>
                <w:sz w:val="18"/>
                <w:szCs w:val="18"/>
                <w:lang w:eastAsia="en-US"/>
              </w:rPr>
              <w:t>24,6</w:t>
            </w:r>
          </w:p>
        </w:tc>
        <w:tc>
          <w:tcPr>
            <w:tcW w:w="1913" w:type="dxa"/>
            <w:tcBorders>
              <w:top w:val="single" w:sz="8" w:space="0" w:color="000000"/>
              <w:left w:val="single" w:sz="8" w:space="0" w:color="000000"/>
              <w:bottom w:val="single" w:sz="8" w:space="0" w:color="000000"/>
              <w:right w:val="single" w:sz="8" w:space="0" w:color="000000"/>
            </w:tcBorders>
            <w:shd w:val="clear" w:color="auto" w:fill="auto"/>
            <w:tcMar>
              <w:top w:w="13" w:type="dxa"/>
              <w:left w:w="13" w:type="dxa"/>
              <w:bottom w:w="0" w:type="dxa"/>
              <w:right w:w="13" w:type="dxa"/>
            </w:tcMar>
            <w:vAlign w:val="bottom"/>
            <w:hideMark/>
          </w:tcPr>
          <w:p w:rsidR="00242C36" w:rsidRPr="00E43137" w:rsidRDefault="00242C36" w:rsidP="00242C36">
            <w:pPr>
              <w:pBdr>
                <w:bar w:val="single" w:sz="6" w:color="808080"/>
              </w:pBdr>
              <w:jc w:val="center"/>
              <w:rPr>
                <w:rFonts w:ascii="Calibri" w:eastAsia="Calibri" w:hAnsi="Calibri"/>
                <w:sz w:val="18"/>
                <w:szCs w:val="18"/>
                <w:lang w:eastAsia="en-US"/>
              </w:rPr>
            </w:pPr>
            <w:r w:rsidRPr="00E43137">
              <w:rPr>
                <w:rFonts w:ascii="Calibri" w:eastAsia="Calibri" w:hAnsi="Calibri"/>
                <w:bCs/>
                <w:sz w:val="18"/>
                <w:szCs w:val="18"/>
                <w:lang w:eastAsia="en-US"/>
              </w:rPr>
              <w:t>11,3</w:t>
            </w:r>
          </w:p>
        </w:tc>
        <w:tc>
          <w:tcPr>
            <w:tcW w:w="1914" w:type="dxa"/>
            <w:tcBorders>
              <w:top w:val="single" w:sz="8" w:space="0" w:color="000000"/>
              <w:left w:val="single" w:sz="8" w:space="0" w:color="000000"/>
              <w:bottom w:val="single" w:sz="8" w:space="0" w:color="000000"/>
              <w:right w:val="single" w:sz="8" w:space="0" w:color="000000"/>
            </w:tcBorders>
            <w:shd w:val="clear" w:color="auto" w:fill="auto"/>
            <w:tcMar>
              <w:top w:w="13" w:type="dxa"/>
              <w:left w:w="13" w:type="dxa"/>
              <w:bottom w:w="0" w:type="dxa"/>
              <w:right w:w="13" w:type="dxa"/>
            </w:tcMar>
            <w:vAlign w:val="bottom"/>
            <w:hideMark/>
          </w:tcPr>
          <w:p w:rsidR="00242C36" w:rsidRPr="00E43137" w:rsidRDefault="00242C36" w:rsidP="00242C36">
            <w:pPr>
              <w:pBdr>
                <w:bar w:val="single" w:sz="6" w:color="808080"/>
              </w:pBdr>
              <w:jc w:val="center"/>
              <w:rPr>
                <w:rFonts w:ascii="Calibri" w:eastAsia="Calibri" w:hAnsi="Calibri"/>
                <w:sz w:val="18"/>
                <w:szCs w:val="18"/>
                <w:lang w:eastAsia="en-US"/>
              </w:rPr>
            </w:pPr>
            <w:r w:rsidRPr="00E43137">
              <w:rPr>
                <w:rFonts w:ascii="Calibri" w:eastAsia="Calibri" w:hAnsi="Calibri"/>
                <w:bCs/>
                <w:sz w:val="18"/>
                <w:szCs w:val="18"/>
                <w:lang w:eastAsia="en-US"/>
              </w:rPr>
              <w:t>158,9</w:t>
            </w:r>
          </w:p>
        </w:tc>
      </w:tr>
      <w:tr w:rsidR="00242C36" w:rsidRPr="00E43137" w:rsidTr="00242C36">
        <w:trPr>
          <w:trHeight w:val="284"/>
        </w:trPr>
        <w:tc>
          <w:tcPr>
            <w:tcW w:w="1431" w:type="dxa"/>
            <w:tcBorders>
              <w:top w:val="single" w:sz="8" w:space="0" w:color="000000"/>
              <w:left w:val="single" w:sz="8" w:space="0" w:color="000000"/>
              <w:bottom w:val="single" w:sz="8" w:space="0" w:color="000000"/>
              <w:right w:val="single" w:sz="8" w:space="0" w:color="000000"/>
            </w:tcBorders>
            <w:shd w:val="clear" w:color="auto" w:fill="auto"/>
            <w:tcMar>
              <w:top w:w="13" w:type="dxa"/>
              <w:left w:w="13" w:type="dxa"/>
              <w:bottom w:w="0" w:type="dxa"/>
              <w:right w:w="13" w:type="dxa"/>
            </w:tcMar>
            <w:vAlign w:val="bottom"/>
            <w:hideMark/>
          </w:tcPr>
          <w:p w:rsidR="00242C36" w:rsidRPr="00E43137" w:rsidRDefault="00242C36" w:rsidP="00242C36">
            <w:pPr>
              <w:pBdr>
                <w:bar w:val="single" w:sz="6" w:color="808080"/>
              </w:pBdr>
              <w:rPr>
                <w:rFonts w:ascii="Calibri" w:eastAsia="Calibri" w:hAnsi="Calibri"/>
                <w:sz w:val="18"/>
                <w:szCs w:val="18"/>
                <w:lang w:eastAsia="en-US"/>
              </w:rPr>
            </w:pPr>
            <w:r w:rsidRPr="00E43137">
              <w:rPr>
                <w:rFonts w:ascii="Calibri" w:eastAsia="Calibri" w:hAnsi="Calibri"/>
                <w:bCs/>
                <w:sz w:val="18"/>
                <w:szCs w:val="18"/>
                <w:lang w:eastAsia="en-US"/>
              </w:rPr>
              <w:t>Španielsko</w:t>
            </w:r>
          </w:p>
        </w:tc>
        <w:tc>
          <w:tcPr>
            <w:tcW w:w="1913" w:type="dxa"/>
            <w:tcBorders>
              <w:top w:val="single" w:sz="8" w:space="0" w:color="000000"/>
              <w:left w:val="single" w:sz="8" w:space="0" w:color="000000"/>
              <w:bottom w:val="single" w:sz="8" w:space="0" w:color="000000"/>
              <w:right w:val="single" w:sz="8" w:space="0" w:color="000000"/>
            </w:tcBorders>
            <w:shd w:val="clear" w:color="auto" w:fill="auto"/>
            <w:tcMar>
              <w:top w:w="13" w:type="dxa"/>
              <w:left w:w="13" w:type="dxa"/>
              <w:bottom w:w="0" w:type="dxa"/>
              <w:right w:w="13" w:type="dxa"/>
            </w:tcMar>
            <w:vAlign w:val="bottom"/>
            <w:hideMark/>
          </w:tcPr>
          <w:p w:rsidR="00242C36" w:rsidRPr="00E43137" w:rsidRDefault="00242C36" w:rsidP="00242C36">
            <w:pPr>
              <w:pBdr>
                <w:bar w:val="single" w:sz="6" w:color="808080"/>
              </w:pBdr>
              <w:jc w:val="center"/>
              <w:rPr>
                <w:rFonts w:ascii="Calibri" w:eastAsia="Calibri" w:hAnsi="Calibri"/>
                <w:sz w:val="18"/>
                <w:szCs w:val="18"/>
                <w:lang w:eastAsia="en-US"/>
              </w:rPr>
            </w:pPr>
            <w:r w:rsidRPr="00E43137">
              <w:rPr>
                <w:rFonts w:ascii="Calibri" w:eastAsia="Calibri" w:hAnsi="Calibri"/>
                <w:bCs/>
                <w:sz w:val="18"/>
                <w:szCs w:val="18"/>
                <w:lang w:eastAsia="en-US"/>
              </w:rPr>
              <w:t>25,5</w:t>
            </w:r>
          </w:p>
        </w:tc>
        <w:tc>
          <w:tcPr>
            <w:tcW w:w="1914" w:type="dxa"/>
            <w:tcBorders>
              <w:top w:val="single" w:sz="8" w:space="0" w:color="000000"/>
              <w:left w:val="single" w:sz="8" w:space="0" w:color="000000"/>
              <w:bottom w:val="single" w:sz="8" w:space="0" w:color="000000"/>
              <w:right w:val="single" w:sz="8" w:space="0" w:color="000000"/>
            </w:tcBorders>
            <w:shd w:val="clear" w:color="auto" w:fill="auto"/>
            <w:tcMar>
              <w:top w:w="13" w:type="dxa"/>
              <w:left w:w="13" w:type="dxa"/>
              <w:bottom w:w="0" w:type="dxa"/>
              <w:right w:w="13" w:type="dxa"/>
            </w:tcMar>
            <w:vAlign w:val="bottom"/>
            <w:hideMark/>
          </w:tcPr>
          <w:p w:rsidR="00242C36" w:rsidRPr="00E43137" w:rsidRDefault="00242C36" w:rsidP="00242C36">
            <w:pPr>
              <w:pBdr>
                <w:bar w:val="single" w:sz="6" w:color="808080"/>
              </w:pBdr>
              <w:jc w:val="center"/>
              <w:rPr>
                <w:rFonts w:ascii="Calibri" w:eastAsia="Calibri" w:hAnsi="Calibri"/>
                <w:sz w:val="18"/>
                <w:szCs w:val="18"/>
                <w:lang w:eastAsia="en-US"/>
              </w:rPr>
            </w:pPr>
            <w:r w:rsidRPr="00E43137">
              <w:rPr>
                <w:rFonts w:ascii="Calibri" w:eastAsia="Calibri" w:hAnsi="Calibri"/>
                <w:bCs/>
                <w:sz w:val="18"/>
                <w:szCs w:val="18"/>
                <w:lang w:eastAsia="en-US"/>
              </w:rPr>
              <w:t>3,7</w:t>
            </w:r>
          </w:p>
        </w:tc>
        <w:tc>
          <w:tcPr>
            <w:tcW w:w="1913" w:type="dxa"/>
            <w:tcBorders>
              <w:top w:val="single" w:sz="8" w:space="0" w:color="000000"/>
              <w:left w:val="single" w:sz="8" w:space="0" w:color="000000"/>
              <w:bottom w:val="single" w:sz="8" w:space="0" w:color="000000"/>
              <w:right w:val="single" w:sz="8" w:space="0" w:color="000000"/>
            </w:tcBorders>
            <w:shd w:val="clear" w:color="auto" w:fill="auto"/>
            <w:tcMar>
              <w:top w:w="13" w:type="dxa"/>
              <w:left w:w="13" w:type="dxa"/>
              <w:bottom w:w="0" w:type="dxa"/>
              <w:right w:w="13" w:type="dxa"/>
            </w:tcMar>
            <w:vAlign w:val="bottom"/>
            <w:hideMark/>
          </w:tcPr>
          <w:p w:rsidR="00242C36" w:rsidRPr="00E43137" w:rsidRDefault="00242C36" w:rsidP="00242C36">
            <w:pPr>
              <w:pBdr>
                <w:bar w:val="single" w:sz="6" w:color="808080"/>
              </w:pBdr>
              <w:jc w:val="center"/>
              <w:rPr>
                <w:rFonts w:ascii="Calibri" w:eastAsia="Calibri" w:hAnsi="Calibri"/>
                <w:sz w:val="18"/>
                <w:szCs w:val="18"/>
                <w:lang w:eastAsia="en-US"/>
              </w:rPr>
            </w:pPr>
            <w:r w:rsidRPr="00E43137">
              <w:rPr>
                <w:rFonts w:ascii="Calibri" w:eastAsia="Calibri" w:hAnsi="Calibri"/>
                <w:bCs/>
                <w:sz w:val="18"/>
                <w:szCs w:val="18"/>
                <w:lang w:eastAsia="en-US"/>
              </w:rPr>
              <w:t>83,9</w:t>
            </w:r>
          </w:p>
        </w:tc>
        <w:tc>
          <w:tcPr>
            <w:tcW w:w="1914" w:type="dxa"/>
            <w:tcBorders>
              <w:top w:val="single" w:sz="8" w:space="0" w:color="000000"/>
              <w:left w:val="single" w:sz="8" w:space="0" w:color="000000"/>
              <w:bottom w:val="single" w:sz="8" w:space="0" w:color="000000"/>
              <w:right w:val="single" w:sz="8" w:space="0" w:color="000000"/>
            </w:tcBorders>
            <w:shd w:val="clear" w:color="auto" w:fill="auto"/>
            <w:tcMar>
              <w:top w:w="13" w:type="dxa"/>
              <w:left w:w="13" w:type="dxa"/>
              <w:bottom w:w="0" w:type="dxa"/>
              <w:right w:w="13" w:type="dxa"/>
            </w:tcMar>
            <w:vAlign w:val="bottom"/>
            <w:hideMark/>
          </w:tcPr>
          <w:p w:rsidR="00242C36" w:rsidRPr="00E43137" w:rsidRDefault="00242C36" w:rsidP="00242C36">
            <w:pPr>
              <w:pBdr>
                <w:bar w:val="single" w:sz="6" w:color="808080"/>
              </w:pBdr>
              <w:jc w:val="center"/>
              <w:rPr>
                <w:rFonts w:ascii="Calibri" w:eastAsia="Calibri" w:hAnsi="Calibri"/>
                <w:sz w:val="18"/>
                <w:szCs w:val="18"/>
                <w:lang w:eastAsia="en-US"/>
              </w:rPr>
            </w:pPr>
            <w:r w:rsidRPr="00E43137">
              <w:rPr>
                <w:rFonts w:ascii="Calibri" w:eastAsia="Calibri" w:hAnsi="Calibri"/>
                <w:bCs/>
                <w:sz w:val="18"/>
                <w:szCs w:val="18"/>
                <w:lang w:eastAsia="en-US"/>
              </w:rPr>
              <w:t>104,5</w:t>
            </w:r>
          </w:p>
        </w:tc>
      </w:tr>
      <w:tr w:rsidR="00242C36" w:rsidRPr="00E43137" w:rsidTr="00242C36">
        <w:trPr>
          <w:trHeight w:val="284"/>
        </w:trPr>
        <w:tc>
          <w:tcPr>
            <w:tcW w:w="1431" w:type="dxa"/>
            <w:tcBorders>
              <w:top w:val="single" w:sz="8" w:space="0" w:color="000000"/>
              <w:left w:val="single" w:sz="8" w:space="0" w:color="000000"/>
              <w:bottom w:val="single" w:sz="8" w:space="0" w:color="000000"/>
              <w:right w:val="single" w:sz="8" w:space="0" w:color="000000"/>
            </w:tcBorders>
            <w:shd w:val="clear" w:color="auto" w:fill="auto"/>
            <w:tcMar>
              <w:top w:w="13" w:type="dxa"/>
              <w:left w:w="13" w:type="dxa"/>
              <w:bottom w:w="0" w:type="dxa"/>
              <w:right w:w="13" w:type="dxa"/>
            </w:tcMar>
            <w:vAlign w:val="bottom"/>
            <w:hideMark/>
          </w:tcPr>
          <w:p w:rsidR="00242C36" w:rsidRPr="00E43137" w:rsidRDefault="00242C36" w:rsidP="00242C36">
            <w:pPr>
              <w:pBdr>
                <w:bar w:val="single" w:sz="6" w:color="808080"/>
              </w:pBdr>
              <w:rPr>
                <w:rFonts w:ascii="Calibri" w:eastAsia="Calibri" w:hAnsi="Calibri"/>
                <w:sz w:val="18"/>
                <w:szCs w:val="18"/>
                <w:lang w:eastAsia="en-US"/>
              </w:rPr>
            </w:pPr>
            <w:r w:rsidRPr="00E43137">
              <w:rPr>
                <w:rFonts w:ascii="Calibri" w:eastAsia="Calibri" w:hAnsi="Calibri"/>
                <w:bCs/>
                <w:sz w:val="18"/>
                <w:szCs w:val="18"/>
                <w:lang w:eastAsia="en-US"/>
              </w:rPr>
              <w:t>Francúzsko</w:t>
            </w:r>
          </w:p>
        </w:tc>
        <w:tc>
          <w:tcPr>
            <w:tcW w:w="1913" w:type="dxa"/>
            <w:tcBorders>
              <w:top w:val="single" w:sz="8" w:space="0" w:color="000000"/>
              <w:left w:val="single" w:sz="8" w:space="0" w:color="000000"/>
              <w:bottom w:val="single" w:sz="8" w:space="0" w:color="000000"/>
              <w:right w:val="single" w:sz="8" w:space="0" w:color="000000"/>
            </w:tcBorders>
            <w:shd w:val="clear" w:color="auto" w:fill="auto"/>
            <w:tcMar>
              <w:top w:w="13" w:type="dxa"/>
              <w:left w:w="13" w:type="dxa"/>
              <w:bottom w:w="0" w:type="dxa"/>
              <w:right w:w="13" w:type="dxa"/>
            </w:tcMar>
            <w:vAlign w:val="bottom"/>
            <w:hideMark/>
          </w:tcPr>
          <w:p w:rsidR="00242C36" w:rsidRPr="00E43137" w:rsidRDefault="00242C36" w:rsidP="00242C36">
            <w:pPr>
              <w:pBdr>
                <w:bar w:val="single" w:sz="6" w:color="808080"/>
              </w:pBdr>
              <w:jc w:val="center"/>
              <w:rPr>
                <w:rFonts w:ascii="Calibri" w:eastAsia="Calibri" w:hAnsi="Calibri"/>
                <w:sz w:val="18"/>
                <w:szCs w:val="18"/>
                <w:lang w:eastAsia="en-US"/>
              </w:rPr>
            </w:pPr>
            <w:r w:rsidRPr="00E43137">
              <w:rPr>
                <w:rFonts w:ascii="Calibri" w:eastAsia="Calibri" w:hAnsi="Calibri"/>
                <w:bCs/>
                <w:sz w:val="18"/>
                <w:szCs w:val="18"/>
                <w:lang w:eastAsia="en-US"/>
              </w:rPr>
              <w:t>64,6</w:t>
            </w:r>
          </w:p>
        </w:tc>
        <w:tc>
          <w:tcPr>
            <w:tcW w:w="1914" w:type="dxa"/>
            <w:tcBorders>
              <w:top w:val="single" w:sz="8" w:space="0" w:color="000000"/>
              <w:left w:val="single" w:sz="8" w:space="0" w:color="000000"/>
              <w:bottom w:val="single" w:sz="8" w:space="0" w:color="000000"/>
              <w:right w:val="single" w:sz="8" w:space="0" w:color="000000"/>
            </w:tcBorders>
            <w:shd w:val="clear" w:color="auto" w:fill="auto"/>
            <w:tcMar>
              <w:top w:w="13" w:type="dxa"/>
              <w:left w:w="13" w:type="dxa"/>
              <w:bottom w:w="0" w:type="dxa"/>
              <w:right w:w="13" w:type="dxa"/>
            </w:tcMar>
            <w:vAlign w:val="bottom"/>
            <w:hideMark/>
          </w:tcPr>
          <w:p w:rsidR="00242C36" w:rsidRPr="00E43137" w:rsidRDefault="00242C36" w:rsidP="00242C36">
            <w:pPr>
              <w:pBdr>
                <w:bar w:val="single" w:sz="6" w:color="808080"/>
              </w:pBdr>
              <w:jc w:val="center"/>
              <w:rPr>
                <w:rFonts w:ascii="Calibri" w:eastAsia="Calibri" w:hAnsi="Calibri"/>
                <w:sz w:val="18"/>
                <w:szCs w:val="18"/>
                <w:lang w:eastAsia="en-US"/>
              </w:rPr>
            </w:pPr>
            <w:r w:rsidRPr="00E43137">
              <w:rPr>
                <w:rFonts w:ascii="Calibri" w:eastAsia="Calibri" w:hAnsi="Calibri"/>
                <w:bCs/>
                <w:sz w:val="18"/>
                <w:szCs w:val="18"/>
                <w:lang w:eastAsia="en-US"/>
              </w:rPr>
              <w:t>12,7</w:t>
            </w:r>
          </w:p>
        </w:tc>
        <w:tc>
          <w:tcPr>
            <w:tcW w:w="1913" w:type="dxa"/>
            <w:tcBorders>
              <w:top w:val="single" w:sz="8" w:space="0" w:color="000000"/>
              <w:left w:val="single" w:sz="8" w:space="0" w:color="000000"/>
              <w:bottom w:val="single" w:sz="8" w:space="0" w:color="000000"/>
              <w:right w:val="single" w:sz="8" w:space="0" w:color="000000"/>
            </w:tcBorders>
            <w:shd w:val="clear" w:color="auto" w:fill="auto"/>
            <w:tcMar>
              <w:top w:w="13" w:type="dxa"/>
              <w:left w:w="13" w:type="dxa"/>
              <w:bottom w:w="0" w:type="dxa"/>
              <w:right w:w="13" w:type="dxa"/>
            </w:tcMar>
            <w:vAlign w:val="bottom"/>
            <w:hideMark/>
          </w:tcPr>
          <w:p w:rsidR="00242C36" w:rsidRPr="00E43137" w:rsidRDefault="00242C36" w:rsidP="00242C36">
            <w:pPr>
              <w:pBdr>
                <w:bar w:val="single" w:sz="6" w:color="808080"/>
              </w:pBdr>
              <w:jc w:val="center"/>
              <w:rPr>
                <w:rFonts w:ascii="Calibri" w:eastAsia="Calibri" w:hAnsi="Calibri"/>
                <w:sz w:val="18"/>
                <w:szCs w:val="18"/>
                <w:lang w:eastAsia="en-US"/>
              </w:rPr>
            </w:pPr>
            <w:r w:rsidRPr="00E43137">
              <w:rPr>
                <w:rFonts w:ascii="Calibri" w:eastAsia="Calibri" w:hAnsi="Calibri"/>
                <w:bCs/>
                <w:sz w:val="18"/>
                <w:szCs w:val="18"/>
                <w:lang w:eastAsia="en-US"/>
              </w:rPr>
              <w:t>27,3</w:t>
            </w:r>
          </w:p>
        </w:tc>
        <w:tc>
          <w:tcPr>
            <w:tcW w:w="1914" w:type="dxa"/>
            <w:tcBorders>
              <w:top w:val="single" w:sz="8" w:space="0" w:color="000000"/>
              <w:left w:val="single" w:sz="8" w:space="0" w:color="000000"/>
              <w:bottom w:val="single" w:sz="8" w:space="0" w:color="000000"/>
              <w:right w:val="single" w:sz="8" w:space="0" w:color="000000"/>
            </w:tcBorders>
            <w:shd w:val="clear" w:color="auto" w:fill="auto"/>
            <w:tcMar>
              <w:top w:w="13" w:type="dxa"/>
              <w:left w:w="13" w:type="dxa"/>
              <w:bottom w:w="0" w:type="dxa"/>
              <w:right w:w="13" w:type="dxa"/>
            </w:tcMar>
            <w:vAlign w:val="bottom"/>
            <w:hideMark/>
          </w:tcPr>
          <w:p w:rsidR="00242C36" w:rsidRPr="00E43137" w:rsidRDefault="00242C36" w:rsidP="00242C36">
            <w:pPr>
              <w:pBdr>
                <w:bar w:val="single" w:sz="6" w:color="808080"/>
              </w:pBdr>
              <w:jc w:val="center"/>
              <w:rPr>
                <w:rFonts w:ascii="Calibri" w:eastAsia="Calibri" w:hAnsi="Calibri"/>
                <w:sz w:val="18"/>
                <w:szCs w:val="18"/>
                <w:lang w:eastAsia="en-US"/>
              </w:rPr>
            </w:pPr>
            <w:r w:rsidRPr="00E43137">
              <w:rPr>
                <w:rFonts w:ascii="Calibri" w:eastAsia="Calibri" w:hAnsi="Calibri"/>
                <w:bCs/>
                <w:sz w:val="18"/>
                <w:szCs w:val="18"/>
                <w:lang w:eastAsia="en-US"/>
              </w:rPr>
              <w:t>49,3</w:t>
            </w:r>
          </w:p>
        </w:tc>
      </w:tr>
      <w:tr w:rsidR="00242C36" w:rsidRPr="00E43137" w:rsidTr="00242C36">
        <w:trPr>
          <w:trHeight w:val="284"/>
        </w:trPr>
        <w:tc>
          <w:tcPr>
            <w:tcW w:w="1431" w:type="dxa"/>
            <w:tcBorders>
              <w:top w:val="single" w:sz="8" w:space="0" w:color="000000"/>
              <w:left w:val="single" w:sz="8" w:space="0" w:color="000000"/>
              <w:bottom w:val="single" w:sz="8" w:space="0" w:color="000000"/>
              <w:right w:val="single" w:sz="8" w:space="0" w:color="000000"/>
            </w:tcBorders>
            <w:shd w:val="clear" w:color="auto" w:fill="auto"/>
            <w:tcMar>
              <w:top w:w="13" w:type="dxa"/>
              <w:left w:w="13" w:type="dxa"/>
              <w:bottom w:w="0" w:type="dxa"/>
              <w:right w:w="13" w:type="dxa"/>
            </w:tcMar>
            <w:vAlign w:val="bottom"/>
            <w:hideMark/>
          </w:tcPr>
          <w:p w:rsidR="00242C36" w:rsidRPr="00E43137" w:rsidRDefault="00242C36" w:rsidP="00242C36">
            <w:pPr>
              <w:pBdr>
                <w:bar w:val="single" w:sz="6" w:color="808080"/>
              </w:pBdr>
              <w:rPr>
                <w:rFonts w:ascii="Calibri" w:eastAsia="Calibri" w:hAnsi="Calibri"/>
                <w:sz w:val="18"/>
                <w:szCs w:val="18"/>
                <w:lang w:eastAsia="en-US"/>
              </w:rPr>
            </w:pPr>
            <w:r w:rsidRPr="00E43137">
              <w:rPr>
                <w:rFonts w:ascii="Calibri" w:eastAsia="Calibri" w:hAnsi="Calibri"/>
                <w:bCs/>
                <w:sz w:val="18"/>
                <w:szCs w:val="18"/>
                <w:lang w:eastAsia="en-US"/>
              </w:rPr>
              <w:t>Taliansko</w:t>
            </w:r>
          </w:p>
        </w:tc>
        <w:tc>
          <w:tcPr>
            <w:tcW w:w="1913" w:type="dxa"/>
            <w:tcBorders>
              <w:top w:val="single" w:sz="8" w:space="0" w:color="000000"/>
              <w:left w:val="single" w:sz="8" w:space="0" w:color="000000"/>
              <w:bottom w:val="single" w:sz="8" w:space="0" w:color="000000"/>
              <w:right w:val="single" w:sz="8" w:space="0" w:color="000000"/>
            </w:tcBorders>
            <w:shd w:val="clear" w:color="auto" w:fill="auto"/>
            <w:tcMar>
              <w:top w:w="13" w:type="dxa"/>
              <w:left w:w="13" w:type="dxa"/>
              <w:bottom w:w="0" w:type="dxa"/>
              <w:right w:w="13" w:type="dxa"/>
            </w:tcMar>
            <w:vAlign w:val="bottom"/>
            <w:hideMark/>
          </w:tcPr>
          <w:p w:rsidR="00242C36" w:rsidRPr="00E43137" w:rsidRDefault="00242C36" w:rsidP="00242C36">
            <w:pPr>
              <w:pBdr>
                <w:bar w:val="single" w:sz="6" w:color="808080"/>
              </w:pBdr>
              <w:jc w:val="center"/>
              <w:rPr>
                <w:rFonts w:ascii="Calibri" w:eastAsia="Calibri" w:hAnsi="Calibri"/>
                <w:sz w:val="18"/>
                <w:szCs w:val="18"/>
                <w:lang w:eastAsia="en-US"/>
              </w:rPr>
            </w:pPr>
            <w:r w:rsidRPr="00E43137">
              <w:rPr>
                <w:rFonts w:ascii="Calibri" w:eastAsia="Calibri" w:hAnsi="Calibri"/>
                <w:bCs/>
                <w:sz w:val="18"/>
                <w:szCs w:val="18"/>
                <w:lang w:eastAsia="en-US"/>
              </w:rPr>
              <w:t>46,1</w:t>
            </w:r>
          </w:p>
        </w:tc>
        <w:tc>
          <w:tcPr>
            <w:tcW w:w="1914" w:type="dxa"/>
            <w:tcBorders>
              <w:top w:val="single" w:sz="8" w:space="0" w:color="000000"/>
              <w:left w:val="single" w:sz="8" w:space="0" w:color="000000"/>
              <w:bottom w:val="single" w:sz="8" w:space="0" w:color="000000"/>
              <w:right w:val="single" w:sz="8" w:space="0" w:color="000000"/>
            </w:tcBorders>
            <w:shd w:val="clear" w:color="auto" w:fill="auto"/>
            <w:tcMar>
              <w:top w:w="13" w:type="dxa"/>
              <w:left w:w="13" w:type="dxa"/>
              <w:bottom w:w="0" w:type="dxa"/>
              <w:right w:w="13" w:type="dxa"/>
            </w:tcMar>
            <w:vAlign w:val="bottom"/>
            <w:hideMark/>
          </w:tcPr>
          <w:p w:rsidR="00242C36" w:rsidRPr="00E43137" w:rsidRDefault="00242C36" w:rsidP="00242C36">
            <w:pPr>
              <w:pBdr>
                <w:bar w:val="single" w:sz="6" w:color="808080"/>
              </w:pBdr>
              <w:jc w:val="center"/>
              <w:rPr>
                <w:rFonts w:ascii="Calibri" w:eastAsia="Calibri" w:hAnsi="Calibri"/>
                <w:sz w:val="18"/>
                <w:szCs w:val="18"/>
                <w:lang w:eastAsia="en-US"/>
              </w:rPr>
            </w:pPr>
            <w:r w:rsidRPr="00E43137">
              <w:rPr>
                <w:rFonts w:ascii="Calibri" w:eastAsia="Calibri" w:hAnsi="Calibri"/>
                <w:bCs/>
                <w:sz w:val="18"/>
                <w:szCs w:val="18"/>
                <w:lang w:eastAsia="en-US"/>
              </w:rPr>
              <w:t>13,3</w:t>
            </w:r>
          </w:p>
        </w:tc>
        <w:tc>
          <w:tcPr>
            <w:tcW w:w="1913" w:type="dxa"/>
            <w:tcBorders>
              <w:top w:val="single" w:sz="8" w:space="0" w:color="000000"/>
              <w:left w:val="single" w:sz="8" w:space="0" w:color="000000"/>
              <w:bottom w:val="single" w:sz="8" w:space="0" w:color="000000"/>
              <w:right w:val="single" w:sz="8" w:space="0" w:color="000000"/>
            </w:tcBorders>
            <w:shd w:val="clear" w:color="auto" w:fill="auto"/>
            <w:tcMar>
              <w:top w:w="13" w:type="dxa"/>
              <w:left w:w="13" w:type="dxa"/>
              <w:bottom w:w="0" w:type="dxa"/>
              <w:right w:w="13" w:type="dxa"/>
            </w:tcMar>
            <w:vAlign w:val="bottom"/>
            <w:hideMark/>
          </w:tcPr>
          <w:p w:rsidR="00242C36" w:rsidRPr="00E43137" w:rsidRDefault="00242C36" w:rsidP="00242C36">
            <w:pPr>
              <w:pBdr>
                <w:bar w:val="single" w:sz="6" w:color="808080"/>
              </w:pBdr>
              <w:jc w:val="center"/>
              <w:rPr>
                <w:rFonts w:ascii="Calibri" w:eastAsia="Calibri" w:hAnsi="Calibri"/>
                <w:sz w:val="18"/>
                <w:szCs w:val="18"/>
                <w:lang w:eastAsia="en-US"/>
              </w:rPr>
            </w:pPr>
            <w:r w:rsidRPr="00E43137">
              <w:rPr>
                <w:rFonts w:ascii="Calibri" w:eastAsia="Calibri" w:hAnsi="Calibri"/>
                <w:bCs/>
                <w:sz w:val="18"/>
                <w:szCs w:val="18"/>
                <w:lang w:eastAsia="en-US"/>
              </w:rPr>
              <w:t>58,9</w:t>
            </w:r>
          </w:p>
        </w:tc>
        <w:tc>
          <w:tcPr>
            <w:tcW w:w="1914" w:type="dxa"/>
            <w:tcBorders>
              <w:top w:val="single" w:sz="8" w:space="0" w:color="000000"/>
              <w:left w:val="single" w:sz="8" w:space="0" w:color="000000"/>
              <w:bottom w:val="single" w:sz="8" w:space="0" w:color="000000"/>
              <w:right w:val="single" w:sz="8" w:space="0" w:color="000000"/>
            </w:tcBorders>
            <w:shd w:val="clear" w:color="auto" w:fill="auto"/>
            <w:tcMar>
              <w:top w:w="13" w:type="dxa"/>
              <w:left w:w="13" w:type="dxa"/>
              <w:bottom w:w="0" w:type="dxa"/>
              <w:right w:w="13" w:type="dxa"/>
            </w:tcMar>
            <w:vAlign w:val="bottom"/>
            <w:hideMark/>
          </w:tcPr>
          <w:p w:rsidR="00242C36" w:rsidRPr="00E43137" w:rsidRDefault="00242C36" w:rsidP="00242C36">
            <w:pPr>
              <w:pBdr>
                <w:bar w:val="single" w:sz="6" w:color="808080"/>
              </w:pBdr>
              <w:jc w:val="center"/>
              <w:rPr>
                <w:rFonts w:ascii="Calibri" w:eastAsia="Calibri" w:hAnsi="Calibri"/>
                <w:sz w:val="18"/>
                <w:szCs w:val="18"/>
                <w:lang w:eastAsia="en-US"/>
              </w:rPr>
            </w:pPr>
            <w:r w:rsidRPr="00E43137">
              <w:rPr>
                <w:rFonts w:ascii="Calibri" w:eastAsia="Calibri" w:hAnsi="Calibri"/>
                <w:bCs/>
                <w:sz w:val="18"/>
                <w:szCs w:val="18"/>
                <w:lang w:eastAsia="en-US"/>
              </w:rPr>
              <w:t>67,3</w:t>
            </w:r>
          </w:p>
        </w:tc>
      </w:tr>
      <w:tr w:rsidR="00242C36" w:rsidRPr="00E43137" w:rsidTr="00242C36">
        <w:trPr>
          <w:trHeight w:val="284"/>
        </w:trPr>
        <w:tc>
          <w:tcPr>
            <w:tcW w:w="1431" w:type="dxa"/>
            <w:tcBorders>
              <w:top w:val="single" w:sz="8" w:space="0" w:color="000000"/>
              <w:left w:val="single" w:sz="8" w:space="0" w:color="000000"/>
              <w:bottom w:val="single" w:sz="8" w:space="0" w:color="000000"/>
              <w:right w:val="single" w:sz="8" w:space="0" w:color="000000"/>
            </w:tcBorders>
            <w:shd w:val="clear" w:color="auto" w:fill="auto"/>
            <w:tcMar>
              <w:top w:w="13" w:type="dxa"/>
              <w:left w:w="13" w:type="dxa"/>
              <w:bottom w:w="0" w:type="dxa"/>
              <w:right w:w="13" w:type="dxa"/>
            </w:tcMar>
            <w:vAlign w:val="bottom"/>
            <w:hideMark/>
          </w:tcPr>
          <w:p w:rsidR="00242C36" w:rsidRPr="00E43137" w:rsidRDefault="00242C36" w:rsidP="00242C36">
            <w:pPr>
              <w:pBdr>
                <w:bar w:val="single" w:sz="6" w:color="808080"/>
              </w:pBdr>
              <w:rPr>
                <w:rFonts w:ascii="Calibri" w:eastAsia="Calibri" w:hAnsi="Calibri"/>
                <w:sz w:val="18"/>
                <w:szCs w:val="18"/>
                <w:lang w:eastAsia="en-US"/>
              </w:rPr>
            </w:pPr>
            <w:r w:rsidRPr="00E43137">
              <w:rPr>
                <w:rFonts w:ascii="Calibri" w:eastAsia="Calibri" w:hAnsi="Calibri"/>
                <w:bCs/>
                <w:sz w:val="18"/>
                <w:szCs w:val="18"/>
                <w:lang w:eastAsia="en-US"/>
              </w:rPr>
              <w:t>Maďarsko</w:t>
            </w:r>
          </w:p>
        </w:tc>
        <w:tc>
          <w:tcPr>
            <w:tcW w:w="1913" w:type="dxa"/>
            <w:tcBorders>
              <w:top w:val="single" w:sz="8" w:space="0" w:color="000000"/>
              <w:left w:val="single" w:sz="8" w:space="0" w:color="000000"/>
              <w:bottom w:val="single" w:sz="8" w:space="0" w:color="000000"/>
              <w:right w:val="single" w:sz="8" w:space="0" w:color="000000"/>
            </w:tcBorders>
            <w:shd w:val="clear" w:color="auto" w:fill="auto"/>
            <w:tcMar>
              <w:top w:w="13" w:type="dxa"/>
              <w:left w:w="13" w:type="dxa"/>
              <w:bottom w:w="0" w:type="dxa"/>
              <w:right w:w="13" w:type="dxa"/>
            </w:tcMar>
            <w:vAlign w:val="bottom"/>
            <w:hideMark/>
          </w:tcPr>
          <w:p w:rsidR="00242C36" w:rsidRPr="00E43137" w:rsidRDefault="00242C36" w:rsidP="00242C36">
            <w:pPr>
              <w:pBdr>
                <w:bar w:val="single" w:sz="6" w:color="808080"/>
              </w:pBdr>
              <w:jc w:val="center"/>
              <w:rPr>
                <w:rFonts w:ascii="Calibri" w:eastAsia="Calibri" w:hAnsi="Calibri"/>
                <w:sz w:val="18"/>
                <w:szCs w:val="18"/>
                <w:lang w:eastAsia="en-US"/>
              </w:rPr>
            </w:pPr>
            <w:r w:rsidRPr="00E43137">
              <w:rPr>
                <w:rFonts w:ascii="Calibri" w:eastAsia="Calibri" w:hAnsi="Calibri"/>
                <w:bCs/>
                <w:sz w:val="18"/>
                <w:szCs w:val="18"/>
                <w:lang w:eastAsia="en-US"/>
              </w:rPr>
              <w:t>12,4</w:t>
            </w:r>
          </w:p>
        </w:tc>
        <w:tc>
          <w:tcPr>
            <w:tcW w:w="1914" w:type="dxa"/>
            <w:tcBorders>
              <w:top w:val="single" w:sz="8" w:space="0" w:color="000000"/>
              <w:left w:val="single" w:sz="8" w:space="0" w:color="000000"/>
              <w:bottom w:val="single" w:sz="8" w:space="0" w:color="000000"/>
              <w:right w:val="single" w:sz="8" w:space="0" w:color="000000"/>
            </w:tcBorders>
            <w:shd w:val="clear" w:color="auto" w:fill="auto"/>
            <w:tcMar>
              <w:top w:w="13" w:type="dxa"/>
              <w:left w:w="13" w:type="dxa"/>
              <w:bottom w:w="0" w:type="dxa"/>
              <w:right w:w="13" w:type="dxa"/>
            </w:tcMar>
            <w:vAlign w:val="bottom"/>
            <w:hideMark/>
          </w:tcPr>
          <w:p w:rsidR="00242C36" w:rsidRPr="00E43137" w:rsidRDefault="00242C36" w:rsidP="00242C36">
            <w:pPr>
              <w:pBdr>
                <w:bar w:val="single" w:sz="6" w:color="808080"/>
              </w:pBdr>
              <w:jc w:val="center"/>
              <w:rPr>
                <w:rFonts w:ascii="Calibri" w:eastAsia="Calibri" w:hAnsi="Calibri"/>
                <w:sz w:val="18"/>
                <w:szCs w:val="18"/>
                <w:lang w:eastAsia="en-US"/>
              </w:rPr>
            </w:pPr>
            <w:r w:rsidRPr="00E43137">
              <w:rPr>
                <w:rFonts w:ascii="Calibri" w:eastAsia="Calibri" w:hAnsi="Calibri"/>
                <w:bCs/>
                <w:sz w:val="18"/>
                <w:szCs w:val="18"/>
                <w:lang w:eastAsia="en-US"/>
              </w:rPr>
              <w:t>4,7</w:t>
            </w:r>
          </w:p>
        </w:tc>
        <w:tc>
          <w:tcPr>
            <w:tcW w:w="1913" w:type="dxa"/>
            <w:tcBorders>
              <w:top w:val="single" w:sz="8" w:space="0" w:color="000000"/>
              <w:left w:val="single" w:sz="8" w:space="0" w:color="000000"/>
              <w:bottom w:val="single" w:sz="8" w:space="0" w:color="000000"/>
              <w:right w:val="single" w:sz="8" w:space="0" w:color="000000"/>
            </w:tcBorders>
            <w:shd w:val="clear" w:color="auto" w:fill="auto"/>
            <w:tcMar>
              <w:top w:w="13" w:type="dxa"/>
              <w:left w:w="13" w:type="dxa"/>
              <w:bottom w:w="0" w:type="dxa"/>
              <w:right w:w="13" w:type="dxa"/>
            </w:tcMar>
            <w:vAlign w:val="bottom"/>
            <w:hideMark/>
          </w:tcPr>
          <w:p w:rsidR="00242C36" w:rsidRPr="00E43137" w:rsidRDefault="00242C36" w:rsidP="00242C36">
            <w:pPr>
              <w:pBdr>
                <w:bar w:val="single" w:sz="6" w:color="808080"/>
              </w:pBdr>
              <w:jc w:val="center"/>
              <w:rPr>
                <w:rFonts w:ascii="Calibri" w:eastAsia="Calibri" w:hAnsi="Calibri"/>
                <w:sz w:val="18"/>
                <w:szCs w:val="18"/>
                <w:lang w:eastAsia="en-US"/>
              </w:rPr>
            </w:pPr>
            <w:r w:rsidRPr="00E43137">
              <w:rPr>
                <w:rFonts w:ascii="Calibri" w:eastAsia="Calibri" w:hAnsi="Calibri"/>
                <w:bCs/>
                <w:sz w:val="18"/>
                <w:szCs w:val="18"/>
                <w:lang w:eastAsia="en-US"/>
              </w:rPr>
              <w:t>22,2</w:t>
            </w:r>
          </w:p>
        </w:tc>
        <w:tc>
          <w:tcPr>
            <w:tcW w:w="1914" w:type="dxa"/>
            <w:tcBorders>
              <w:top w:val="single" w:sz="8" w:space="0" w:color="000000"/>
              <w:left w:val="single" w:sz="8" w:space="0" w:color="000000"/>
              <w:bottom w:val="single" w:sz="8" w:space="0" w:color="000000"/>
              <w:right w:val="single" w:sz="8" w:space="0" w:color="000000"/>
            </w:tcBorders>
            <w:shd w:val="clear" w:color="auto" w:fill="auto"/>
            <w:tcMar>
              <w:top w:w="13" w:type="dxa"/>
              <w:left w:w="13" w:type="dxa"/>
              <w:bottom w:w="0" w:type="dxa"/>
              <w:right w:w="13" w:type="dxa"/>
            </w:tcMar>
            <w:vAlign w:val="bottom"/>
            <w:hideMark/>
          </w:tcPr>
          <w:p w:rsidR="00242C36" w:rsidRPr="00E43137" w:rsidRDefault="00242C36" w:rsidP="00242C36">
            <w:pPr>
              <w:pBdr>
                <w:bar w:val="single" w:sz="6" w:color="808080"/>
              </w:pBdr>
              <w:jc w:val="center"/>
              <w:rPr>
                <w:rFonts w:ascii="Calibri" w:eastAsia="Calibri" w:hAnsi="Calibri"/>
                <w:sz w:val="18"/>
                <w:szCs w:val="18"/>
                <w:lang w:eastAsia="en-US"/>
              </w:rPr>
            </w:pPr>
            <w:r w:rsidRPr="00E43137">
              <w:rPr>
                <w:rFonts w:ascii="Calibri" w:eastAsia="Calibri" w:hAnsi="Calibri"/>
                <w:bCs/>
                <w:sz w:val="18"/>
                <w:szCs w:val="18"/>
                <w:lang w:eastAsia="en-US"/>
              </w:rPr>
              <w:t>63</w:t>
            </w:r>
          </w:p>
        </w:tc>
      </w:tr>
      <w:tr w:rsidR="00242C36" w:rsidRPr="00E43137" w:rsidTr="00242C36">
        <w:trPr>
          <w:trHeight w:val="284"/>
        </w:trPr>
        <w:tc>
          <w:tcPr>
            <w:tcW w:w="1431" w:type="dxa"/>
            <w:tcBorders>
              <w:top w:val="single" w:sz="8" w:space="0" w:color="000000"/>
              <w:left w:val="single" w:sz="8" w:space="0" w:color="000000"/>
              <w:bottom w:val="single" w:sz="8" w:space="0" w:color="000000"/>
              <w:right w:val="single" w:sz="8" w:space="0" w:color="000000"/>
            </w:tcBorders>
            <w:shd w:val="clear" w:color="auto" w:fill="auto"/>
            <w:tcMar>
              <w:top w:w="13" w:type="dxa"/>
              <w:left w:w="13" w:type="dxa"/>
              <w:bottom w:w="0" w:type="dxa"/>
              <w:right w:w="13" w:type="dxa"/>
            </w:tcMar>
            <w:vAlign w:val="bottom"/>
            <w:hideMark/>
          </w:tcPr>
          <w:p w:rsidR="00242C36" w:rsidRPr="00E43137" w:rsidRDefault="00242C36" w:rsidP="00242C36">
            <w:pPr>
              <w:pBdr>
                <w:bar w:val="single" w:sz="6" w:color="808080"/>
              </w:pBdr>
              <w:rPr>
                <w:rFonts w:ascii="Calibri" w:eastAsia="Calibri" w:hAnsi="Calibri"/>
                <w:sz w:val="18"/>
                <w:szCs w:val="18"/>
                <w:lang w:eastAsia="en-US"/>
              </w:rPr>
            </w:pPr>
            <w:r w:rsidRPr="00E43137">
              <w:rPr>
                <w:rFonts w:ascii="Calibri" w:eastAsia="Calibri" w:hAnsi="Calibri"/>
                <w:bCs/>
                <w:sz w:val="18"/>
                <w:szCs w:val="18"/>
                <w:lang w:eastAsia="en-US"/>
              </w:rPr>
              <w:t>Holandsko</w:t>
            </w:r>
          </w:p>
        </w:tc>
        <w:tc>
          <w:tcPr>
            <w:tcW w:w="1913" w:type="dxa"/>
            <w:tcBorders>
              <w:top w:val="single" w:sz="8" w:space="0" w:color="000000"/>
              <w:left w:val="single" w:sz="8" w:space="0" w:color="000000"/>
              <w:bottom w:val="single" w:sz="8" w:space="0" w:color="000000"/>
              <w:right w:val="single" w:sz="8" w:space="0" w:color="000000"/>
            </w:tcBorders>
            <w:shd w:val="clear" w:color="auto" w:fill="auto"/>
            <w:tcMar>
              <w:top w:w="13" w:type="dxa"/>
              <w:left w:w="13" w:type="dxa"/>
              <w:bottom w:w="0" w:type="dxa"/>
              <w:right w:w="13" w:type="dxa"/>
            </w:tcMar>
            <w:vAlign w:val="bottom"/>
            <w:hideMark/>
          </w:tcPr>
          <w:p w:rsidR="00242C36" w:rsidRPr="00E43137" w:rsidRDefault="00242C36" w:rsidP="00242C36">
            <w:pPr>
              <w:pBdr>
                <w:bar w:val="single" w:sz="6" w:color="808080"/>
              </w:pBdr>
              <w:jc w:val="center"/>
              <w:rPr>
                <w:rFonts w:ascii="Calibri" w:eastAsia="Calibri" w:hAnsi="Calibri"/>
                <w:sz w:val="18"/>
                <w:szCs w:val="18"/>
                <w:lang w:eastAsia="en-US"/>
              </w:rPr>
            </w:pPr>
            <w:r w:rsidRPr="00E43137">
              <w:rPr>
                <w:rFonts w:ascii="Calibri" w:eastAsia="Calibri" w:hAnsi="Calibri"/>
                <w:bCs/>
                <w:sz w:val="18"/>
                <w:szCs w:val="18"/>
                <w:lang w:eastAsia="en-US"/>
              </w:rPr>
              <w:t>202,0</w:t>
            </w:r>
          </w:p>
        </w:tc>
        <w:tc>
          <w:tcPr>
            <w:tcW w:w="1914" w:type="dxa"/>
            <w:tcBorders>
              <w:top w:val="single" w:sz="8" w:space="0" w:color="000000"/>
              <w:left w:val="single" w:sz="8" w:space="0" w:color="000000"/>
              <w:bottom w:val="single" w:sz="8" w:space="0" w:color="000000"/>
              <w:right w:val="single" w:sz="8" w:space="0" w:color="000000"/>
            </w:tcBorders>
            <w:shd w:val="clear" w:color="auto" w:fill="auto"/>
            <w:tcMar>
              <w:top w:w="13" w:type="dxa"/>
              <w:left w:w="13" w:type="dxa"/>
              <w:bottom w:w="0" w:type="dxa"/>
              <w:right w:w="13" w:type="dxa"/>
            </w:tcMar>
            <w:vAlign w:val="bottom"/>
            <w:hideMark/>
          </w:tcPr>
          <w:p w:rsidR="00242C36" w:rsidRPr="00E43137" w:rsidRDefault="00242C36" w:rsidP="00242C36">
            <w:pPr>
              <w:pBdr>
                <w:bar w:val="single" w:sz="6" w:color="808080"/>
              </w:pBdr>
              <w:jc w:val="center"/>
              <w:rPr>
                <w:rFonts w:ascii="Calibri" w:eastAsia="Calibri" w:hAnsi="Calibri"/>
                <w:sz w:val="18"/>
                <w:szCs w:val="18"/>
                <w:lang w:eastAsia="en-US"/>
              </w:rPr>
            </w:pPr>
            <w:r w:rsidRPr="00E43137">
              <w:rPr>
                <w:rFonts w:ascii="Calibri" w:eastAsia="Calibri" w:hAnsi="Calibri"/>
                <w:bCs/>
                <w:sz w:val="18"/>
                <w:szCs w:val="18"/>
                <w:lang w:eastAsia="en-US"/>
              </w:rPr>
              <w:t>79,1</w:t>
            </w:r>
          </w:p>
        </w:tc>
        <w:tc>
          <w:tcPr>
            <w:tcW w:w="1913" w:type="dxa"/>
            <w:tcBorders>
              <w:top w:val="single" w:sz="8" w:space="0" w:color="000000"/>
              <w:left w:val="single" w:sz="8" w:space="0" w:color="000000"/>
              <w:bottom w:val="single" w:sz="8" w:space="0" w:color="000000"/>
              <w:right w:val="single" w:sz="8" w:space="0" w:color="000000"/>
            </w:tcBorders>
            <w:shd w:val="clear" w:color="auto" w:fill="auto"/>
            <w:tcMar>
              <w:top w:w="13" w:type="dxa"/>
              <w:left w:w="13" w:type="dxa"/>
              <w:bottom w:w="0" w:type="dxa"/>
              <w:right w:w="13" w:type="dxa"/>
            </w:tcMar>
            <w:vAlign w:val="bottom"/>
            <w:hideMark/>
          </w:tcPr>
          <w:p w:rsidR="00242C36" w:rsidRPr="00E43137" w:rsidRDefault="00242C36" w:rsidP="00242C36">
            <w:pPr>
              <w:pBdr>
                <w:bar w:val="single" w:sz="6" w:color="808080"/>
              </w:pBdr>
              <w:jc w:val="center"/>
              <w:rPr>
                <w:rFonts w:ascii="Calibri" w:eastAsia="Calibri" w:hAnsi="Calibri"/>
                <w:sz w:val="18"/>
                <w:szCs w:val="18"/>
                <w:lang w:eastAsia="en-US"/>
              </w:rPr>
            </w:pPr>
            <w:r w:rsidRPr="00E43137">
              <w:rPr>
                <w:rFonts w:ascii="Calibri" w:eastAsia="Calibri" w:hAnsi="Calibri"/>
                <w:bCs/>
                <w:sz w:val="18"/>
                <w:szCs w:val="18"/>
                <w:lang w:eastAsia="en-US"/>
              </w:rPr>
              <w:t>77,6</w:t>
            </w:r>
          </w:p>
        </w:tc>
        <w:tc>
          <w:tcPr>
            <w:tcW w:w="1914" w:type="dxa"/>
            <w:tcBorders>
              <w:top w:val="single" w:sz="8" w:space="0" w:color="000000"/>
              <w:left w:val="single" w:sz="8" w:space="0" w:color="000000"/>
              <w:bottom w:val="single" w:sz="8" w:space="0" w:color="000000"/>
              <w:right w:val="single" w:sz="8" w:space="0" w:color="000000"/>
            </w:tcBorders>
            <w:shd w:val="clear" w:color="auto" w:fill="auto"/>
            <w:tcMar>
              <w:top w:w="13" w:type="dxa"/>
              <w:left w:w="13" w:type="dxa"/>
              <w:bottom w:w="0" w:type="dxa"/>
              <w:right w:w="13" w:type="dxa"/>
            </w:tcMar>
            <w:vAlign w:val="bottom"/>
            <w:hideMark/>
          </w:tcPr>
          <w:p w:rsidR="00242C36" w:rsidRPr="00E43137" w:rsidRDefault="00242C36" w:rsidP="00242C36">
            <w:pPr>
              <w:pBdr>
                <w:bar w:val="single" w:sz="6" w:color="808080"/>
              </w:pBdr>
              <w:jc w:val="center"/>
              <w:rPr>
                <w:rFonts w:ascii="Calibri" w:eastAsia="Calibri" w:hAnsi="Calibri"/>
                <w:sz w:val="18"/>
                <w:szCs w:val="18"/>
                <w:lang w:eastAsia="en-US"/>
              </w:rPr>
            </w:pPr>
            <w:r w:rsidRPr="00E43137">
              <w:rPr>
                <w:rFonts w:ascii="Calibri" w:eastAsia="Calibri" w:hAnsi="Calibri"/>
                <w:bCs/>
                <w:sz w:val="18"/>
                <w:szCs w:val="18"/>
                <w:lang w:eastAsia="en-US"/>
              </w:rPr>
              <w:t>610,1</w:t>
            </w:r>
          </w:p>
        </w:tc>
      </w:tr>
      <w:tr w:rsidR="00242C36" w:rsidRPr="00E43137" w:rsidTr="00242C36">
        <w:trPr>
          <w:trHeight w:val="284"/>
        </w:trPr>
        <w:tc>
          <w:tcPr>
            <w:tcW w:w="1431" w:type="dxa"/>
            <w:tcBorders>
              <w:top w:val="single" w:sz="8" w:space="0" w:color="000000"/>
              <w:left w:val="single" w:sz="8" w:space="0" w:color="000000"/>
              <w:bottom w:val="single" w:sz="8" w:space="0" w:color="000000"/>
              <w:right w:val="single" w:sz="8" w:space="0" w:color="000000"/>
            </w:tcBorders>
            <w:shd w:val="clear" w:color="auto" w:fill="auto"/>
            <w:tcMar>
              <w:top w:w="13" w:type="dxa"/>
              <w:left w:w="13" w:type="dxa"/>
              <w:bottom w:w="0" w:type="dxa"/>
              <w:right w:w="13" w:type="dxa"/>
            </w:tcMar>
            <w:vAlign w:val="bottom"/>
            <w:hideMark/>
          </w:tcPr>
          <w:p w:rsidR="00242C36" w:rsidRPr="00E43137" w:rsidRDefault="00242C36" w:rsidP="00242C36">
            <w:pPr>
              <w:pBdr>
                <w:bar w:val="single" w:sz="6" w:color="808080"/>
              </w:pBdr>
              <w:rPr>
                <w:rFonts w:ascii="Calibri" w:eastAsia="Calibri" w:hAnsi="Calibri"/>
                <w:sz w:val="18"/>
                <w:szCs w:val="18"/>
                <w:lang w:eastAsia="en-US"/>
              </w:rPr>
            </w:pPr>
            <w:r w:rsidRPr="00E43137">
              <w:rPr>
                <w:rFonts w:ascii="Calibri" w:eastAsia="Calibri" w:hAnsi="Calibri"/>
                <w:bCs/>
                <w:sz w:val="18"/>
                <w:szCs w:val="18"/>
                <w:lang w:eastAsia="en-US"/>
              </w:rPr>
              <w:t>Rakúsko</w:t>
            </w:r>
          </w:p>
        </w:tc>
        <w:tc>
          <w:tcPr>
            <w:tcW w:w="1913" w:type="dxa"/>
            <w:tcBorders>
              <w:top w:val="single" w:sz="8" w:space="0" w:color="000000"/>
              <w:left w:val="single" w:sz="8" w:space="0" w:color="000000"/>
              <w:bottom w:val="single" w:sz="8" w:space="0" w:color="000000"/>
              <w:right w:val="single" w:sz="8" w:space="0" w:color="000000"/>
            </w:tcBorders>
            <w:shd w:val="clear" w:color="auto" w:fill="auto"/>
            <w:tcMar>
              <w:top w:w="13" w:type="dxa"/>
              <w:left w:w="13" w:type="dxa"/>
              <w:bottom w:w="0" w:type="dxa"/>
              <w:right w:w="13" w:type="dxa"/>
            </w:tcMar>
            <w:vAlign w:val="bottom"/>
            <w:hideMark/>
          </w:tcPr>
          <w:p w:rsidR="00242C36" w:rsidRPr="00E43137" w:rsidRDefault="00242C36" w:rsidP="00242C36">
            <w:pPr>
              <w:pBdr>
                <w:bar w:val="single" w:sz="6" w:color="808080"/>
              </w:pBdr>
              <w:jc w:val="center"/>
              <w:rPr>
                <w:rFonts w:ascii="Calibri" w:eastAsia="Calibri" w:hAnsi="Calibri"/>
                <w:sz w:val="18"/>
                <w:szCs w:val="18"/>
                <w:lang w:eastAsia="en-US"/>
              </w:rPr>
            </w:pPr>
            <w:r w:rsidRPr="00E43137">
              <w:rPr>
                <w:rFonts w:ascii="Calibri" w:eastAsia="Calibri" w:hAnsi="Calibri"/>
                <w:bCs/>
                <w:sz w:val="18"/>
                <w:szCs w:val="18"/>
                <w:lang w:eastAsia="en-US"/>
              </w:rPr>
              <w:t>63,4</w:t>
            </w:r>
          </w:p>
        </w:tc>
        <w:tc>
          <w:tcPr>
            <w:tcW w:w="1914" w:type="dxa"/>
            <w:tcBorders>
              <w:top w:val="single" w:sz="8" w:space="0" w:color="000000"/>
              <w:left w:val="single" w:sz="8" w:space="0" w:color="000000"/>
              <w:bottom w:val="single" w:sz="8" w:space="0" w:color="000000"/>
              <w:right w:val="single" w:sz="8" w:space="0" w:color="000000"/>
            </w:tcBorders>
            <w:shd w:val="clear" w:color="auto" w:fill="auto"/>
            <w:tcMar>
              <w:top w:w="13" w:type="dxa"/>
              <w:left w:w="13" w:type="dxa"/>
              <w:bottom w:w="0" w:type="dxa"/>
              <w:right w:w="13" w:type="dxa"/>
            </w:tcMar>
            <w:vAlign w:val="bottom"/>
            <w:hideMark/>
          </w:tcPr>
          <w:p w:rsidR="00242C36" w:rsidRPr="00E43137" w:rsidRDefault="00242C36" w:rsidP="00242C36">
            <w:pPr>
              <w:pBdr>
                <w:bar w:val="single" w:sz="6" w:color="808080"/>
              </w:pBdr>
              <w:jc w:val="center"/>
              <w:rPr>
                <w:rFonts w:ascii="Calibri" w:eastAsia="Calibri" w:hAnsi="Calibri"/>
                <w:sz w:val="18"/>
                <w:szCs w:val="18"/>
                <w:lang w:eastAsia="en-US"/>
              </w:rPr>
            </w:pPr>
            <w:r w:rsidRPr="00E43137">
              <w:rPr>
                <w:rFonts w:ascii="Calibri" w:eastAsia="Calibri" w:hAnsi="Calibri"/>
                <w:bCs/>
                <w:sz w:val="18"/>
                <w:szCs w:val="18"/>
                <w:lang w:eastAsia="en-US"/>
              </w:rPr>
              <w:t>16,8</w:t>
            </w:r>
          </w:p>
        </w:tc>
        <w:tc>
          <w:tcPr>
            <w:tcW w:w="1913" w:type="dxa"/>
            <w:tcBorders>
              <w:top w:val="single" w:sz="8" w:space="0" w:color="000000"/>
              <w:left w:val="single" w:sz="8" w:space="0" w:color="000000"/>
              <w:bottom w:val="single" w:sz="8" w:space="0" w:color="000000"/>
              <w:right w:val="single" w:sz="8" w:space="0" w:color="000000"/>
            </w:tcBorders>
            <w:shd w:val="clear" w:color="auto" w:fill="auto"/>
            <w:tcMar>
              <w:top w:w="13" w:type="dxa"/>
              <w:left w:w="13" w:type="dxa"/>
              <w:bottom w:w="0" w:type="dxa"/>
              <w:right w:w="13" w:type="dxa"/>
            </w:tcMar>
            <w:vAlign w:val="bottom"/>
            <w:hideMark/>
          </w:tcPr>
          <w:p w:rsidR="00242C36" w:rsidRPr="00E43137" w:rsidRDefault="00242C36" w:rsidP="00242C36">
            <w:pPr>
              <w:pBdr>
                <w:bar w:val="single" w:sz="6" w:color="808080"/>
              </w:pBdr>
              <w:jc w:val="center"/>
              <w:rPr>
                <w:rFonts w:ascii="Calibri" w:eastAsia="Calibri" w:hAnsi="Calibri"/>
                <w:sz w:val="18"/>
                <w:szCs w:val="18"/>
                <w:lang w:eastAsia="en-US"/>
              </w:rPr>
            </w:pPr>
            <w:r w:rsidRPr="00E43137">
              <w:rPr>
                <w:rFonts w:ascii="Calibri" w:eastAsia="Calibri" w:hAnsi="Calibri"/>
                <w:bCs/>
                <w:sz w:val="18"/>
                <w:szCs w:val="18"/>
                <w:lang w:eastAsia="en-US"/>
              </w:rPr>
              <w:t>10,7</w:t>
            </w:r>
          </w:p>
        </w:tc>
        <w:tc>
          <w:tcPr>
            <w:tcW w:w="1914" w:type="dxa"/>
            <w:tcBorders>
              <w:top w:val="single" w:sz="8" w:space="0" w:color="000000"/>
              <w:left w:val="single" w:sz="8" w:space="0" w:color="000000"/>
              <w:bottom w:val="single" w:sz="8" w:space="0" w:color="000000"/>
              <w:right w:val="single" w:sz="8" w:space="0" w:color="000000"/>
            </w:tcBorders>
            <w:shd w:val="clear" w:color="auto" w:fill="auto"/>
            <w:tcMar>
              <w:top w:w="13" w:type="dxa"/>
              <w:left w:w="13" w:type="dxa"/>
              <w:bottom w:w="0" w:type="dxa"/>
              <w:right w:w="13" w:type="dxa"/>
            </w:tcMar>
            <w:vAlign w:val="bottom"/>
            <w:hideMark/>
          </w:tcPr>
          <w:p w:rsidR="00242C36" w:rsidRPr="00E43137" w:rsidRDefault="00242C36" w:rsidP="00242C36">
            <w:pPr>
              <w:pBdr>
                <w:bar w:val="single" w:sz="6" w:color="808080"/>
              </w:pBdr>
              <w:jc w:val="center"/>
              <w:rPr>
                <w:rFonts w:ascii="Calibri" w:eastAsia="Calibri" w:hAnsi="Calibri"/>
                <w:sz w:val="18"/>
                <w:szCs w:val="18"/>
                <w:lang w:eastAsia="en-US"/>
              </w:rPr>
            </w:pPr>
            <w:r w:rsidRPr="00E43137">
              <w:rPr>
                <w:rFonts w:ascii="Calibri" w:eastAsia="Calibri" w:hAnsi="Calibri"/>
                <w:bCs/>
                <w:sz w:val="18"/>
                <w:szCs w:val="18"/>
                <w:lang w:eastAsia="en-US"/>
              </w:rPr>
              <w:t>98,8</w:t>
            </w:r>
          </w:p>
        </w:tc>
      </w:tr>
      <w:tr w:rsidR="00242C36" w:rsidRPr="00E43137" w:rsidTr="00242C36">
        <w:trPr>
          <w:trHeight w:val="284"/>
        </w:trPr>
        <w:tc>
          <w:tcPr>
            <w:tcW w:w="1431" w:type="dxa"/>
            <w:tcBorders>
              <w:top w:val="single" w:sz="8" w:space="0" w:color="000000"/>
              <w:left w:val="single" w:sz="8" w:space="0" w:color="000000"/>
              <w:bottom w:val="single" w:sz="8" w:space="0" w:color="000000"/>
              <w:right w:val="single" w:sz="8" w:space="0" w:color="000000"/>
            </w:tcBorders>
            <w:shd w:val="clear" w:color="auto" w:fill="auto"/>
            <w:tcMar>
              <w:top w:w="13" w:type="dxa"/>
              <w:left w:w="13" w:type="dxa"/>
              <w:bottom w:w="0" w:type="dxa"/>
              <w:right w:w="13" w:type="dxa"/>
            </w:tcMar>
            <w:vAlign w:val="bottom"/>
            <w:hideMark/>
          </w:tcPr>
          <w:p w:rsidR="00242C36" w:rsidRPr="00E43137" w:rsidRDefault="00242C36" w:rsidP="00242C36">
            <w:pPr>
              <w:pBdr>
                <w:bar w:val="single" w:sz="6" w:color="808080"/>
              </w:pBdr>
              <w:rPr>
                <w:rFonts w:ascii="Calibri" w:eastAsia="Calibri" w:hAnsi="Calibri"/>
                <w:sz w:val="18"/>
                <w:szCs w:val="18"/>
                <w:lang w:eastAsia="en-US"/>
              </w:rPr>
            </w:pPr>
            <w:r w:rsidRPr="00E43137">
              <w:rPr>
                <w:rFonts w:ascii="Calibri" w:eastAsia="Calibri" w:hAnsi="Calibri"/>
                <w:bCs/>
                <w:sz w:val="18"/>
                <w:szCs w:val="18"/>
                <w:lang w:eastAsia="en-US"/>
              </w:rPr>
              <w:t>Poľsko</w:t>
            </w:r>
          </w:p>
        </w:tc>
        <w:tc>
          <w:tcPr>
            <w:tcW w:w="1913" w:type="dxa"/>
            <w:tcBorders>
              <w:top w:val="single" w:sz="8" w:space="0" w:color="000000"/>
              <w:left w:val="single" w:sz="8" w:space="0" w:color="000000"/>
              <w:bottom w:val="single" w:sz="8" w:space="0" w:color="000000"/>
              <w:right w:val="single" w:sz="8" w:space="0" w:color="000000"/>
            </w:tcBorders>
            <w:shd w:val="clear" w:color="auto" w:fill="auto"/>
            <w:tcMar>
              <w:top w:w="13" w:type="dxa"/>
              <w:left w:w="13" w:type="dxa"/>
              <w:bottom w:w="0" w:type="dxa"/>
              <w:right w:w="13" w:type="dxa"/>
            </w:tcMar>
            <w:vAlign w:val="bottom"/>
            <w:hideMark/>
          </w:tcPr>
          <w:p w:rsidR="00242C36" w:rsidRPr="00E43137" w:rsidRDefault="00242C36" w:rsidP="00242C36">
            <w:pPr>
              <w:pBdr>
                <w:bar w:val="single" w:sz="6" w:color="808080"/>
              </w:pBdr>
              <w:jc w:val="center"/>
              <w:rPr>
                <w:rFonts w:ascii="Calibri" w:eastAsia="Calibri" w:hAnsi="Calibri"/>
                <w:sz w:val="18"/>
                <w:szCs w:val="18"/>
                <w:lang w:eastAsia="en-US"/>
              </w:rPr>
            </w:pPr>
            <w:r w:rsidRPr="00E43137">
              <w:rPr>
                <w:rFonts w:ascii="Calibri" w:eastAsia="Calibri" w:hAnsi="Calibri"/>
                <w:bCs/>
                <w:sz w:val="18"/>
                <w:szCs w:val="18"/>
                <w:lang w:eastAsia="en-US"/>
              </w:rPr>
              <w:t>34,7</w:t>
            </w:r>
          </w:p>
        </w:tc>
        <w:tc>
          <w:tcPr>
            <w:tcW w:w="1914" w:type="dxa"/>
            <w:tcBorders>
              <w:top w:val="single" w:sz="8" w:space="0" w:color="000000"/>
              <w:left w:val="single" w:sz="8" w:space="0" w:color="000000"/>
              <w:bottom w:val="single" w:sz="8" w:space="0" w:color="000000"/>
              <w:right w:val="single" w:sz="8" w:space="0" w:color="000000"/>
            </w:tcBorders>
            <w:shd w:val="clear" w:color="auto" w:fill="auto"/>
            <w:tcMar>
              <w:top w:w="13" w:type="dxa"/>
              <w:left w:w="13" w:type="dxa"/>
              <w:bottom w:w="0" w:type="dxa"/>
              <w:right w:w="13" w:type="dxa"/>
            </w:tcMar>
            <w:vAlign w:val="bottom"/>
            <w:hideMark/>
          </w:tcPr>
          <w:p w:rsidR="00242C36" w:rsidRPr="00E43137" w:rsidRDefault="00242C36" w:rsidP="00242C36">
            <w:pPr>
              <w:pBdr>
                <w:bar w:val="single" w:sz="6" w:color="808080"/>
              </w:pBdr>
              <w:jc w:val="center"/>
              <w:rPr>
                <w:rFonts w:ascii="Calibri" w:eastAsia="Calibri" w:hAnsi="Calibri"/>
                <w:sz w:val="18"/>
                <w:szCs w:val="18"/>
                <w:lang w:eastAsia="en-US"/>
              </w:rPr>
            </w:pPr>
            <w:r w:rsidRPr="00E43137">
              <w:rPr>
                <w:rFonts w:ascii="Calibri" w:eastAsia="Calibri" w:hAnsi="Calibri"/>
                <w:bCs/>
                <w:sz w:val="18"/>
                <w:szCs w:val="18"/>
                <w:lang w:eastAsia="en-US"/>
              </w:rPr>
              <w:t>16,8</w:t>
            </w:r>
          </w:p>
        </w:tc>
        <w:tc>
          <w:tcPr>
            <w:tcW w:w="1913" w:type="dxa"/>
            <w:tcBorders>
              <w:top w:val="single" w:sz="8" w:space="0" w:color="000000"/>
              <w:left w:val="single" w:sz="8" w:space="0" w:color="000000"/>
              <w:bottom w:val="single" w:sz="8" w:space="0" w:color="000000"/>
              <w:right w:val="single" w:sz="8" w:space="0" w:color="000000"/>
            </w:tcBorders>
            <w:shd w:val="clear" w:color="auto" w:fill="auto"/>
            <w:tcMar>
              <w:top w:w="13" w:type="dxa"/>
              <w:left w:w="13" w:type="dxa"/>
              <w:bottom w:w="0" w:type="dxa"/>
              <w:right w:w="13" w:type="dxa"/>
            </w:tcMar>
            <w:vAlign w:val="bottom"/>
            <w:hideMark/>
          </w:tcPr>
          <w:p w:rsidR="00242C36" w:rsidRPr="00E43137" w:rsidRDefault="00242C36" w:rsidP="00242C36">
            <w:pPr>
              <w:pBdr>
                <w:bar w:val="single" w:sz="6" w:color="808080"/>
              </w:pBdr>
              <w:jc w:val="center"/>
              <w:rPr>
                <w:rFonts w:ascii="Calibri" w:eastAsia="Calibri" w:hAnsi="Calibri"/>
                <w:sz w:val="18"/>
                <w:szCs w:val="18"/>
                <w:lang w:eastAsia="en-US"/>
              </w:rPr>
            </w:pPr>
            <w:r w:rsidRPr="00E43137">
              <w:rPr>
                <w:rFonts w:ascii="Calibri" w:eastAsia="Calibri" w:hAnsi="Calibri"/>
                <w:bCs/>
                <w:sz w:val="18"/>
                <w:szCs w:val="18"/>
                <w:lang w:eastAsia="en-US"/>
              </w:rPr>
              <w:t>1,7</w:t>
            </w:r>
          </w:p>
        </w:tc>
        <w:tc>
          <w:tcPr>
            <w:tcW w:w="1914" w:type="dxa"/>
            <w:tcBorders>
              <w:top w:val="single" w:sz="8" w:space="0" w:color="000000"/>
              <w:left w:val="single" w:sz="8" w:space="0" w:color="000000"/>
              <w:bottom w:val="single" w:sz="8" w:space="0" w:color="000000"/>
              <w:right w:val="single" w:sz="8" w:space="0" w:color="000000"/>
            </w:tcBorders>
            <w:shd w:val="clear" w:color="auto" w:fill="auto"/>
            <w:tcMar>
              <w:top w:w="13" w:type="dxa"/>
              <w:left w:w="13" w:type="dxa"/>
              <w:bottom w:w="0" w:type="dxa"/>
              <w:right w:w="13" w:type="dxa"/>
            </w:tcMar>
            <w:vAlign w:val="bottom"/>
            <w:hideMark/>
          </w:tcPr>
          <w:p w:rsidR="00242C36" w:rsidRPr="00E43137" w:rsidRDefault="00242C36" w:rsidP="00242C36">
            <w:pPr>
              <w:pBdr>
                <w:bar w:val="single" w:sz="6" w:color="808080"/>
              </w:pBdr>
              <w:jc w:val="center"/>
              <w:rPr>
                <w:rFonts w:ascii="Calibri" w:eastAsia="Calibri" w:hAnsi="Calibri"/>
                <w:sz w:val="18"/>
                <w:szCs w:val="18"/>
                <w:lang w:eastAsia="en-US"/>
              </w:rPr>
            </w:pPr>
            <w:r w:rsidRPr="00E43137">
              <w:rPr>
                <w:rFonts w:ascii="Calibri" w:eastAsia="Calibri" w:hAnsi="Calibri"/>
                <w:bCs/>
                <w:sz w:val="18"/>
                <w:szCs w:val="18"/>
                <w:lang w:eastAsia="en-US"/>
              </w:rPr>
              <w:t>102,3</w:t>
            </w:r>
          </w:p>
        </w:tc>
      </w:tr>
      <w:tr w:rsidR="00242C36" w:rsidRPr="00E43137" w:rsidTr="00242C36">
        <w:trPr>
          <w:trHeight w:val="284"/>
        </w:trPr>
        <w:tc>
          <w:tcPr>
            <w:tcW w:w="1431" w:type="dxa"/>
            <w:tcBorders>
              <w:top w:val="single" w:sz="8" w:space="0" w:color="000000"/>
              <w:left w:val="single" w:sz="8" w:space="0" w:color="000000"/>
              <w:bottom w:val="single" w:sz="8" w:space="0" w:color="000000"/>
              <w:right w:val="single" w:sz="8" w:space="0" w:color="000000"/>
            </w:tcBorders>
            <w:shd w:val="clear" w:color="auto" w:fill="auto"/>
            <w:tcMar>
              <w:top w:w="13" w:type="dxa"/>
              <w:left w:w="13" w:type="dxa"/>
              <w:bottom w:w="0" w:type="dxa"/>
              <w:right w:w="13" w:type="dxa"/>
            </w:tcMar>
            <w:vAlign w:val="bottom"/>
            <w:hideMark/>
          </w:tcPr>
          <w:p w:rsidR="00242C36" w:rsidRPr="00E43137" w:rsidRDefault="00242C36" w:rsidP="00242C36">
            <w:pPr>
              <w:pBdr>
                <w:bar w:val="single" w:sz="6" w:color="808080"/>
              </w:pBdr>
              <w:rPr>
                <w:rFonts w:ascii="Calibri" w:eastAsia="Calibri" w:hAnsi="Calibri"/>
                <w:sz w:val="18"/>
                <w:szCs w:val="18"/>
                <w:lang w:eastAsia="en-US"/>
              </w:rPr>
            </w:pPr>
            <w:r w:rsidRPr="00E43137">
              <w:rPr>
                <w:rFonts w:ascii="Calibri" w:eastAsia="Calibri" w:hAnsi="Calibri"/>
                <w:bCs/>
                <w:sz w:val="18"/>
                <w:szCs w:val="18"/>
                <w:lang w:eastAsia="en-US"/>
              </w:rPr>
              <w:t>Rumunsko</w:t>
            </w:r>
          </w:p>
        </w:tc>
        <w:tc>
          <w:tcPr>
            <w:tcW w:w="1913" w:type="dxa"/>
            <w:tcBorders>
              <w:top w:val="single" w:sz="8" w:space="0" w:color="000000"/>
              <w:left w:val="single" w:sz="8" w:space="0" w:color="000000"/>
              <w:bottom w:val="single" w:sz="8" w:space="0" w:color="000000"/>
              <w:right w:val="single" w:sz="8" w:space="0" w:color="000000"/>
            </w:tcBorders>
            <w:shd w:val="clear" w:color="auto" w:fill="auto"/>
            <w:tcMar>
              <w:top w:w="13" w:type="dxa"/>
              <w:left w:w="13" w:type="dxa"/>
              <w:bottom w:w="0" w:type="dxa"/>
              <w:right w:w="13" w:type="dxa"/>
            </w:tcMar>
            <w:vAlign w:val="bottom"/>
            <w:hideMark/>
          </w:tcPr>
          <w:p w:rsidR="00242C36" w:rsidRPr="00E43137" w:rsidRDefault="00242C36" w:rsidP="00242C36">
            <w:pPr>
              <w:pBdr>
                <w:bar w:val="single" w:sz="6" w:color="808080"/>
              </w:pBdr>
              <w:jc w:val="center"/>
              <w:rPr>
                <w:rFonts w:ascii="Calibri" w:eastAsia="Calibri" w:hAnsi="Calibri"/>
                <w:sz w:val="18"/>
                <w:szCs w:val="18"/>
                <w:lang w:eastAsia="en-US"/>
              </w:rPr>
            </w:pPr>
            <w:r w:rsidRPr="00E43137">
              <w:rPr>
                <w:rFonts w:ascii="Calibri" w:eastAsia="Calibri" w:hAnsi="Calibri"/>
                <w:bCs/>
                <w:sz w:val="18"/>
                <w:szCs w:val="18"/>
                <w:lang w:eastAsia="en-US"/>
              </w:rPr>
              <w:t>18,5</w:t>
            </w:r>
          </w:p>
        </w:tc>
        <w:tc>
          <w:tcPr>
            <w:tcW w:w="1914" w:type="dxa"/>
            <w:tcBorders>
              <w:top w:val="single" w:sz="8" w:space="0" w:color="000000"/>
              <w:left w:val="single" w:sz="8" w:space="0" w:color="000000"/>
              <w:bottom w:val="single" w:sz="8" w:space="0" w:color="000000"/>
              <w:right w:val="single" w:sz="8" w:space="0" w:color="000000"/>
            </w:tcBorders>
            <w:shd w:val="clear" w:color="auto" w:fill="auto"/>
            <w:tcMar>
              <w:top w:w="13" w:type="dxa"/>
              <w:left w:w="13" w:type="dxa"/>
              <w:bottom w:w="0" w:type="dxa"/>
              <w:right w:w="13" w:type="dxa"/>
            </w:tcMar>
            <w:vAlign w:val="bottom"/>
            <w:hideMark/>
          </w:tcPr>
          <w:p w:rsidR="00242C36" w:rsidRPr="00E43137" w:rsidRDefault="00242C36" w:rsidP="00242C36">
            <w:pPr>
              <w:pBdr>
                <w:bar w:val="single" w:sz="6" w:color="808080"/>
              </w:pBdr>
              <w:jc w:val="center"/>
              <w:rPr>
                <w:rFonts w:ascii="Calibri" w:eastAsia="Calibri" w:hAnsi="Calibri"/>
                <w:sz w:val="18"/>
                <w:szCs w:val="18"/>
                <w:lang w:eastAsia="en-US"/>
              </w:rPr>
            </w:pPr>
            <w:r w:rsidRPr="00E43137">
              <w:rPr>
                <w:rFonts w:ascii="Calibri" w:eastAsia="Calibri" w:hAnsi="Calibri"/>
                <w:bCs/>
                <w:sz w:val="18"/>
                <w:szCs w:val="18"/>
                <w:lang w:eastAsia="en-US"/>
              </w:rPr>
              <w:t>10,5</w:t>
            </w:r>
          </w:p>
        </w:tc>
        <w:tc>
          <w:tcPr>
            <w:tcW w:w="1913" w:type="dxa"/>
            <w:tcBorders>
              <w:top w:val="single" w:sz="8" w:space="0" w:color="000000"/>
              <w:left w:val="single" w:sz="8" w:space="0" w:color="000000"/>
              <w:bottom w:val="single" w:sz="8" w:space="0" w:color="000000"/>
              <w:right w:val="single" w:sz="8" w:space="0" w:color="000000"/>
            </w:tcBorders>
            <w:shd w:val="clear" w:color="auto" w:fill="auto"/>
            <w:tcMar>
              <w:top w:w="13" w:type="dxa"/>
              <w:left w:w="13" w:type="dxa"/>
              <w:bottom w:w="0" w:type="dxa"/>
              <w:right w:w="13" w:type="dxa"/>
            </w:tcMar>
            <w:vAlign w:val="bottom"/>
            <w:hideMark/>
          </w:tcPr>
          <w:p w:rsidR="00242C36" w:rsidRPr="00E43137" w:rsidRDefault="00242C36" w:rsidP="00242C36">
            <w:pPr>
              <w:pBdr>
                <w:bar w:val="single" w:sz="6" w:color="808080"/>
              </w:pBdr>
              <w:jc w:val="center"/>
              <w:rPr>
                <w:rFonts w:ascii="Calibri" w:eastAsia="Calibri" w:hAnsi="Calibri"/>
                <w:sz w:val="18"/>
                <w:szCs w:val="18"/>
                <w:lang w:eastAsia="en-US"/>
              </w:rPr>
            </w:pPr>
            <w:r w:rsidRPr="00E43137">
              <w:rPr>
                <w:rFonts w:ascii="Calibri" w:eastAsia="Calibri" w:hAnsi="Calibri"/>
                <w:bCs/>
                <w:sz w:val="18"/>
                <w:szCs w:val="18"/>
                <w:lang w:eastAsia="en-US"/>
              </w:rPr>
              <w:t>59,8</w:t>
            </w:r>
          </w:p>
        </w:tc>
        <w:tc>
          <w:tcPr>
            <w:tcW w:w="1914" w:type="dxa"/>
            <w:tcBorders>
              <w:top w:val="single" w:sz="8" w:space="0" w:color="000000"/>
              <w:left w:val="single" w:sz="8" w:space="0" w:color="000000"/>
              <w:bottom w:val="single" w:sz="8" w:space="0" w:color="000000"/>
              <w:right w:val="single" w:sz="8" w:space="0" w:color="000000"/>
            </w:tcBorders>
            <w:shd w:val="clear" w:color="auto" w:fill="auto"/>
            <w:tcMar>
              <w:top w:w="13" w:type="dxa"/>
              <w:left w:w="13" w:type="dxa"/>
              <w:bottom w:w="0" w:type="dxa"/>
              <w:right w:w="13" w:type="dxa"/>
            </w:tcMar>
            <w:vAlign w:val="bottom"/>
            <w:hideMark/>
          </w:tcPr>
          <w:p w:rsidR="00242C36" w:rsidRPr="00E43137" w:rsidRDefault="00242C36" w:rsidP="00242C36">
            <w:pPr>
              <w:pBdr>
                <w:bar w:val="single" w:sz="6" w:color="808080"/>
              </w:pBdr>
              <w:jc w:val="center"/>
              <w:rPr>
                <w:rFonts w:ascii="Calibri" w:eastAsia="Calibri" w:hAnsi="Calibri"/>
                <w:sz w:val="18"/>
                <w:szCs w:val="18"/>
                <w:lang w:eastAsia="en-US"/>
              </w:rPr>
            </w:pPr>
            <w:r w:rsidRPr="00E43137">
              <w:rPr>
                <w:rFonts w:ascii="Calibri" w:eastAsia="Calibri" w:hAnsi="Calibri"/>
                <w:bCs/>
                <w:sz w:val="18"/>
                <w:szCs w:val="18"/>
                <w:lang w:eastAsia="en-US"/>
              </w:rPr>
              <w:t>44,4</w:t>
            </w:r>
          </w:p>
        </w:tc>
      </w:tr>
      <w:tr w:rsidR="00242C36" w:rsidRPr="00E43137" w:rsidTr="00242C36">
        <w:trPr>
          <w:trHeight w:val="284"/>
        </w:trPr>
        <w:tc>
          <w:tcPr>
            <w:tcW w:w="1431" w:type="dxa"/>
            <w:tcBorders>
              <w:top w:val="single" w:sz="8" w:space="0" w:color="000000"/>
              <w:left w:val="single" w:sz="8" w:space="0" w:color="000000"/>
              <w:bottom w:val="single" w:sz="8" w:space="0" w:color="000000"/>
              <w:right w:val="single" w:sz="8" w:space="0" w:color="000000"/>
            </w:tcBorders>
            <w:shd w:val="clear" w:color="auto" w:fill="auto"/>
            <w:tcMar>
              <w:top w:w="13" w:type="dxa"/>
              <w:left w:w="13" w:type="dxa"/>
              <w:bottom w:w="0" w:type="dxa"/>
              <w:right w:w="13" w:type="dxa"/>
            </w:tcMar>
            <w:vAlign w:val="bottom"/>
            <w:hideMark/>
          </w:tcPr>
          <w:p w:rsidR="00242C36" w:rsidRPr="00E43137" w:rsidRDefault="00242C36" w:rsidP="00242C36">
            <w:pPr>
              <w:pBdr>
                <w:bar w:val="single" w:sz="6" w:color="808080"/>
              </w:pBdr>
              <w:rPr>
                <w:rFonts w:ascii="Calibri" w:eastAsia="Calibri" w:hAnsi="Calibri"/>
                <w:sz w:val="18"/>
                <w:szCs w:val="18"/>
                <w:lang w:eastAsia="en-US"/>
              </w:rPr>
            </w:pPr>
            <w:r w:rsidRPr="00E43137">
              <w:rPr>
                <w:rFonts w:ascii="Calibri" w:eastAsia="Calibri" w:hAnsi="Calibri"/>
                <w:bCs/>
                <w:sz w:val="18"/>
                <w:szCs w:val="18"/>
                <w:lang w:eastAsia="en-US"/>
              </w:rPr>
              <w:t>Slovinsko</w:t>
            </w:r>
          </w:p>
        </w:tc>
        <w:tc>
          <w:tcPr>
            <w:tcW w:w="1913" w:type="dxa"/>
            <w:tcBorders>
              <w:top w:val="single" w:sz="8" w:space="0" w:color="000000"/>
              <w:left w:val="single" w:sz="8" w:space="0" w:color="000000"/>
              <w:bottom w:val="single" w:sz="8" w:space="0" w:color="000000"/>
              <w:right w:val="single" w:sz="8" w:space="0" w:color="000000"/>
            </w:tcBorders>
            <w:shd w:val="clear" w:color="auto" w:fill="auto"/>
            <w:tcMar>
              <w:top w:w="13" w:type="dxa"/>
              <w:left w:w="13" w:type="dxa"/>
              <w:bottom w:w="0" w:type="dxa"/>
              <w:right w:w="13" w:type="dxa"/>
            </w:tcMar>
            <w:vAlign w:val="bottom"/>
            <w:hideMark/>
          </w:tcPr>
          <w:p w:rsidR="00242C36" w:rsidRPr="00E43137" w:rsidRDefault="00242C36" w:rsidP="00242C36">
            <w:pPr>
              <w:pBdr>
                <w:bar w:val="single" w:sz="6" w:color="808080"/>
              </w:pBdr>
              <w:jc w:val="center"/>
              <w:rPr>
                <w:rFonts w:ascii="Calibri" w:eastAsia="Calibri" w:hAnsi="Calibri"/>
                <w:sz w:val="18"/>
                <w:szCs w:val="18"/>
                <w:lang w:eastAsia="en-US"/>
              </w:rPr>
            </w:pPr>
            <w:r w:rsidRPr="00E43137">
              <w:rPr>
                <w:rFonts w:ascii="Calibri" w:eastAsia="Calibri" w:hAnsi="Calibri"/>
                <w:bCs/>
                <w:sz w:val="18"/>
                <w:szCs w:val="18"/>
                <w:lang w:eastAsia="en-US"/>
              </w:rPr>
              <w:t>95,2</w:t>
            </w:r>
          </w:p>
        </w:tc>
        <w:tc>
          <w:tcPr>
            <w:tcW w:w="1914" w:type="dxa"/>
            <w:tcBorders>
              <w:top w:val="single" w:sz="8" w:space="0" w:color="000000"/>
              <w:left w:val="single" w:sz="8" w:space="0" w:color="000000"/>
              <w:bottom w:val="single" w:sz="8" w:space="0" w:color="000000"/>
              <w:right w:val="single" w:sz="8" w:space="0" w:color="000000"/>
            </w:tcBorders>
            <w:shd w:val="clear" w:color="auto" w:fill="auto"/>
            <w:tcMar>
              <w:top w:w="13" w:type="dxa"/>
              <w:left w:w="13" w:type="dxa"/>
              <w:bottom w:w="0" w:type="dxa"/>
              <w:right w:w="13" w:type="dxa"/>
            </w:tcMar>
            <w:vAlign w:val="bottom"/>
            <w:hideMark/>
          </w:tcPr>
          <w:p w:rsidR="00242C36" w:rsidRPr="00E43137" w:rsidRDefault="00242C36" w:rsidP="00242C36">
            <w:pPr>
              <w:pBdr>
                <w:bar w:val="single" w:sz="6" w:color="808080"/>
              </w:pBdr>
              <w:jc w:val="center"/>
              <w:rPr>
                <w:rFonts w:ascii="Calibri" w:eastAsia="Calibri" w:hAnsi="Calibri"/>
                <w:sz w:val="18"/>
                <w:szCs w:val="18"/>
                <w:lang w:eastAsia="en-US"/>
              </w:rPr>
            </w:pPr>
            <w:r w:rsidRPr="00E43137">
              <w:rPr>
                <w:rFonts w:ascii="Calibri" w:eastAsia="Calibri" w:hAnsi="Calibri"/>
                <w:bCs/>
                <w:sz w:val="18"/>
                <w:szCs w:val="18"/>
                <w:lang w:eastAsia="en-US"/>
              </w:rPr>
              <w:t>23,8</w:t>
            </w:r>
          </w:p>
        </w:tc>
        <w:tc>
          <w:tcPr>
            <w:tcW w:w="1913" w:type="dxa"/>
            <w:tcBorders>
              <w:top w:val="single" w:sz="8" w:space="0" w:color="000000"/>
              <w:left w:val="single" w:sz="8" w:space="0" w:color="000000"/>
              <w:bottom w:val="single" w:sz="8" w:space="0" w:color="000000"/>
              <w:right w:val="single" w:sz="8" w:space="0" w:color="000000"/>
            </w:tcBorders>
            <w:shd w:val="clear" w:color="auto" w:fill="auto"/>
            <w:tcMar>
              <w:top w:w="13" w:type="dxa"/>
              <w:left w:w="13" w:type="dxa"/>
              <w:bottom w:w="0" w:type="dxa"/>
              <w:right w:w="13" w:type="dxa"/>
            </w:tcMar>
            <w:vAlign w:val="bottom"/>
            <w:hideMark/>
          </w:tcPr>
          <w:p w:rsidR="00242C36" w:rsidRPr="00E43137" w:rsidRDefault="00242C36" w:rsidP="00242C36">
            <w:pPr>
              <w:pBdr>
                <w:bar w:val="single" w:sz="6" w:color="808080"/>
              </w:pBdr>
              <w:jc w:val="center"/>
              <w:rPr>
                <w:rFonts w:ascii="Calibri" w:eastAsia="Calibri" w:hAnsi="Calibri"/>
                <w:sz w:val="18"/>
                <w:szCs w:val="18"/>
                <w:lang w:eastAsia="en-US"/>
              </w:rPr>
            </w:pPr>
            <w:r w:rsidRPr="00E43137">
              <w:rPr>
                <w:rFonts w:ascii="Calibri" w:eastAsia="Calibri" w:hAnsi="Calibri"/>
                <w:bCs/>
                <w:sz w:val="18"/>
                <w:szCs w:val="18"/>
                <w:lang w:eastAsia="en-US"/>
              </w:rPr>
              <w:t>26,7</w:t>
            </w:r>
          </w:p>
        </w:tc>
        <w:tc>
          <w:tcPr>
            <w:tcW w:w="1914" w:type="dxa"/>
            <w:tcBorders>
              <w:top w:val="single" w:sz="8" w:space="0" w:color="000000"/>
              <w:left w:val="single" w:sz="8" w:space="0" w:color="000000"/>
              <w:bottom w:val="single" w:sz="8" w:space="0" w:color="000000"/>
              <w:right w:val="single" w:sz="8" w:space="0" w:color="000000"/>
            </w:tcBorders>
            <w:shd w:val="clear" w:color="auto" w:fill="auto"/>
            <w:tcMar>
              <w:top w:w="13" w:type="dxa"/>
              <w:left w:w="13" w:type="dxa"/>
              <w:bottom w:w="0" w:type="dxa"/>
              <w:right w:w="13" w:type="dxa"/>
            </w:tcMar>
            <w:vAlign w:val="bottom"/>
            <w:hideMark/>
          </w:tcPr>
          <w:p w:rsidR="00242C36" w:rsidRPr="00E43137" w:rsidRDefault="00242C36" w:rsidP="00242C36">
            <w:pPr>
              <w:pBdr>
                <w:bar w:val="single" w:sz="6" w:color="808080"/>
              </w:pBdr>
              <w:jc w:val="center"/>
              <w:rPr>
                <w:rFonts w:ascii="Calibri" w:eastAsia="Calibri" w:hAnsi="Calibri"/>
                <w:sz w:val="18"/>
                <w:szCs w:val="18"/>
                <w:lang w:eastAsia="en-US"/>
              </w:rPr>
            </w:pPr>
            <w:r w:rsidRPr="00E43137">
              <w:rPr>
                <w:rFonts w:ascii="Calibri" w:eastAsia="Calibri" w:hAnsi="Calibri"/>
                <w:bCs/>
                <w:sz w:val="18"/>
                <w:szCs w:val="18"/>
                <w:lang w:eastAsia="en-US"/>
              </w:rPr>
              <w:t>96,8</w:t>
            </w:r>
          </w:p>
        </w:tc>
      </w:tr>
      <w:tr w:rsidR="00242C36" w:rsidRPr="00E43137" w:rsidTr="00242C36">
        <w:trPr>
          <w:trHeight w:val="284"/>
        </w:trPr>
        <w:tc>
          <w:tcPr>
            <w:tcW w:w="1431" w:type="dxa"/>
            <w:tcBorders>
              <w:top w:val="single" w:sz="8" w:space="0" w:color="000000"/>
              <w:left w:val="single" w:sz="8" w:space="0" w:color="000000"/>
              <w:bottom w:val="single" w:sz="8" w:space="0" w:color="000000"/>
              <w:right w:val="single" w:sz="8" w:space="0" w:color="000000"/>
            </w:tcBorders>
            <w:shd w:val="clear" w:color="auto" w:fill="auto"/>
            <w:tcMar>
              <w:top w:w="13" w:type="dxa"/>
              <w:left w:w="13" w:type="dxa"/>
              <w:bottom w:w="0" w:type="dxa"/>
              <w:right w:w="13" w:type="dxa"/>
            </w:tcMar>
            <w:vAlign w:val="bottom"/>
            <w:hideMark/>
          </w:tcPr>
          <w:p w:rsidR="00242C36" w:rsidRPr="00E43137" w:rsidRDefault="00242C36" w:rsidP="00242C36">
            <w:pPr>
              <w:pBdr>
                <w:bar w:val="single" w:sz="6" w:color="808080"/>
              </w:pBdr>
              <w:rPr>
                <w:rFonts w:ascii="Calibri" w:eastAsia="Calibri" w:hAnsi="Calibri"/>
                <w:sz w:val="18"/>
                <w:szCs w:val="18"/>
                <w:lang w:eastAsia="en-US"/>
              </w:rPr>
            </w:pPr>
            <w:r w:rsidRPr="00E43137">
              <w:rPr>
                <w:rFonts w:ascii="Calibri" w:eastAsia="Calibri" w:hAnsi="Calibri"/>
                <w:bCs/>
                <w:sz w:val="18"/>
                <w:szCs w:val="18"/>
                <w:lang w:eastAsia="en-US"/>
              </w:rPr>
              <w:t>Slovensko</w:t>
            </w:r>
          </w:p>
        </w:tc>
        <w:tc>
          <w:tcPr>
            <w:tcW w:w="1913" w:type="dxa"/>
            <w:tcBorders>
              <w:top w:val="single" w:sz="8" w:space="0" w:color="000000"/>
              <w:left w:val="single" w:sz="8" w:space="0" w:color="000000"/>
              <w:bottom w:val="single" w:sz="8" w:space="0" w:color="000000"/>
              <w:right w:val="single" w:sz="8" w:space="0" w:color="000000"/>
            </w:tcBorders>
            <w:shd w:val="clear" w:color="auto" w:fill="auto"/>
            <w:tcMar>
              <w:top w:w="13" w:type="dxa"/>
              <w:left w:w="13" w:type="dxa"/>
              <w:bottom w:w="0" w:type="dxa"/>
              <w:right w:w="13" w:type="dxa"/>
            </w:tcMar>
            <w:vAlign w:val="bottom"/>
            <w:hideMark/>
          </w:tcPr>
          <w:p w:rsidR="00242C36" w:rsidRPr="00E43137" w:rsidRDefault="00242C36" w:rsidP="00242C36">
            <w:pPr>
              <w:pBdr>
                <w:bar w:val="single" w:sz="6" w:color="808080"/>
              </w:pBdr>
              <w:jc w:val="center"/>
              <w:rPr>
                <w:rFonts w:ascii="Calibri" w:eastAsia="Calibri" w:hAnsi="Calibri"/>
                <w:sz w:val="18"/>
                <w:szCs w:val="18"/>
                <w:lang w:eastAsia="en-US"/>
              </w:rPr>
            </w:pPr>
            <w:r w:rsidRPr="00E43137">
              <w:rPr>
                <w:rFonts w:ascii="Calibri" w:eastAsia="Calibri" w:hAnsi="Calibri"/>
                <w:bCs/>
                <w:sz w:val="18"/>
                <w:szCs w:val="18"/>
                <w:lang w:eastAsia="en-US"/>
              </w:rPr>
              <w:t>25,7</w:t>
            </w:r>
          </w:p>
        </w:tc>
        <w:tc>
          <w:tcPr>
            <w:tcW w:w="1914" w:type="dxa"/>
            <w:tcBorders>
              <w:top w:val="single" w:sz="8" w:space="0" w:color="000000"/>
              <w:left w:val="single" w:sz="8" w:space="0" w:color="000000"/>
              <w:bottom w:val="single" w:sz="8" w:space="0" w:color="000000"/>
              <w:right w:val="single" w:sz="8" w:space="0" w:color="000000"/>
            </w:tcBorders>
            <w:shd w:val="clear" w:color="auto" w:fill="auto"/>
            <w:tcMar>
              <w:top w:w="13" w:type="dxa"/>
              <w:left w:w="13" w:type="dxa"/>
              <w:bottom w:w="0" w:type="dxa"/>
              <w:right w:w="13" w:type="dxa"/>
            </w:tcMar>
            <w:vAlign w:val="bottom"/>
            <w:hideMark/>
          </w:tcPr>
          <w:p w:rsidR="00242C36" w:rsidRPr="00E43137" w:rsidRDefault="00242C36" w:rsidP="00242C36">
            <w:pPr>
              <w:pBdr>
                <w:bar w:val="single" w:sz="6" w:color="808080"/>
              </w:pBdr>
              <w:jc w:val="center"/>
              <w:rPr>
                <w:rFonts w:ascii="Calibri" w:eastAsia="Calibri" w:hAnsi="Calibri"/>
                <w:sz w:val="18"/>
                <w:szCs w:val="18"/>
                <w:lang w:eastAsia="en-US"/>
              </w:rPr>
            </w:pPr>
            <w:r w:rsidRPr="00E43137">
              <w:rPr>
                <w:rFonts w:ascii="Calibri" w:eastAsia="Calibri" w:hAnsi="Calibri"/>
                <w:bCs/>
                <w:sz w:val="18"/>
                <w:szCs w:val="18"/>
                <w:lang w:eastAsia="en-US"/>
              </w:rPr>
              <w:t>9,2</w:t>
            </w:r>
          </w:p>
        </w:tc>
        <w:tc>
          <w:tcPr>
            <w:tcW w:w="1913" w:type="dxa"/>
            <w:tcBorders>
              <w:top w:val="single" w:sz="8" w:space="0" w:color="000000"/>
              <w:left w:val="single" w:sz="8" w:space="0" w:color="000000"/>
              <w:bottom w:val="single" w:sz="8" w:space="0" w:color="000000"/>
              <w:right w:val="single" w:sz="8" w:space="0" w:color="000000"/>
            </w:tcBorders>
            <w:shd w:val="clear" w:color="auto" w:fill="auto"/>
            <w:tcMar>
              <w:top w:w="13" w:type="dxa"/>
              <w:left w:w="13" w:type="dxa"/>
              <w:bottom w:w="0" w:type="dxa"/>
              <w:right w:w="13" w:type="dxa"/>
            </w:tcMar>
            <w:vAlign w:val="bottom"/>
            <w:hideMark/>
          </w:tcPr>
          <w:p w:rsidR="00242C36" w:rsidRPr="00E43137" w:rsidRDefault="00242C36" w:rsidP="00242C36">
            <w:pPr>
              <w:pBdr>
                <w:bar w:val="single" w:sz="6" w:color="808080"/>
              </w:pBdr>
              <w:jc w:val="center"/>
              <w:rPr>
                <w:rFonts w:ascii="Calibri" w:eastAsia="Calibri" w:hAnsi="Calibri"/>
                <w:sz w:val="18"/>
                <w:szCs w:val="18"/>
                <w:lang w:eastAsia="en-US"/>
              </w:rPr>
            </w:pPr>
            <w:r w:rsidRPr="00E43137">
              <w:rPr>
                <w:rFonts w:ascii="Calibri" w:eastAsia="Calibri" w:hAnsi="Calibri"/>
                <w:bCs/>
                <w:sz w:val="18"/>
                <w:szCs w:val="18"/>
                <w:lang w:eastAsia="en-US"/>
              </w:rPr>
              <w:t>18,5</w:t>
            </w:r>
          </w:p>
        </w:tc>
        <w:tc>
          <w:tcPr>
            <w:tcW w:w="1914" w:type="dxa"/>
            <w:tcBorders>
              <w:top w:val="single" w:sz="8" w:space="0" w:color="000000"/>
              <w:left w:val="single" w:sz="8" w:space="0" w:color="000000"/>
              <w:bottom w:val="single" w:sz="8" w:space="0" w:color="000000"/>
              <w:right w:val="single" w:sz="8" w:space="0" w:color="000000"/>
            </w:tcBorders>
            <w:shd w:val="clear" w:color="auto" w:fill="auto"/>
            <w:tcMar>
              <w:top w:w="13" w:type="dxa"/>
              <w:left w:w="13" w:type="dxa"/>
              <w:bottom w:w="0" w:type="dxa"/>
              <w:right w:w="13" w:type="dxa"/>
            </w:tcMar>
            <w:vAlign w:val="bottom"/>
            <w:hideMark/>
          </w:tcPr>
          <w:p w:rsidR="00242C36" w:rsidRPr="00E43137" w:rsidRDefault="00242C36" w:rsidP="00242C36">
            <w:pPr>
              <w:pBdr>
                <w:bar w:val="single" w:sz="6" w:color="808080"/>
              </w:pBdr>
              <w:jc w:val="center"/>
              <w:rPr>
                <w:rFonts w:ascii="Calibri" w:eastAsia="Calibri" w:hAnsi="Calibri"/>
                <w:sz w:val="18"/>
                <w:szCs w:val="18"/>
                <w:lang w:eastAsia="en-US"/>
              </w:rPr>
            </w:pPr>
            <w:r w:rsidRPr="00E43137">
              <w:rPr>
                <w:rFonts w:ascii="Calibri" w:eastAsia="Calibri" w:hAnsi="Calibri"/>
                <w:bCs/>
                <w:sz w:val="18"/>
                <w:szCs w:val="18"/>
                <w:lang w:eastAsia="en-US"/>
              </w:rPr>
              <w:t>45,8</w:t>
            </w:r>
          </w:p>
        </w:tc>
      </w:tr>
    </w:tbl>
    <w:p w:rsidR="00242C36" w:rsidRDefault="00242C36" w:rsidP="00242C36">
      <w:pPr>
        <w:pBdr>
          <w:bar w:val="single" w:sz="6" w:color="808080"/>
        </w:pBdr>
        <w:rPr>
          <w:rFonts w:ascii="Calibri" w:eastAsia="Calibri" w:hAnsi="Calibri"/>
          <w:sz w:val="20"/>
          <w:szCs w:val="20"/>
          <w:lang w:eastAsia="en-US"/>
        </w:rPr>
      </w:pPr>
      <w:r w:rsidRPr="00E43137">
        <w:rPr>
          <w:rFonts w:ascii="Calibri" w:eastAsia="Calibri" w:hAnsi="Calibri"/>
          <w:sz w:val="20"/>
          <w:szCs w:val="20"/>
          <w:lang w:eastAsia="en-US"/>
        </w:rPr>
        <w:t>Prameň: Eurostat database, máj 2013</w:t>
      </w:r>
    </w:p>
    <w:p w:rsidR="00242C36" w:rsidRDefault="00242C36" w:rsidP="00242C36">
      <w:pPr>
        <w:pBdr>
          <w:bar w:val="single" w:sz="6" w:color="808080"/>
        </w:pBdr>
        <w:rPr>
          <w:rFonts w:ascii="Calibri" w:eastAsia="Calibri" w:hAnsi="Calibri"/>
          <w:sz w:val="20"/>
          <w:szCs w:val="20"/>
          <w:lang w:eastAsia="en-US"/>
        </w:rPr>
      </w:pPr>
    </w:p>
    <w:p w:rsidR="00242C36" w:rsidRDefault="00242C36" w:rsidP="00242C36">
      <w:pPr>
        <w:pBdr>
          <w:bar w:val="single" w:sz="6" w:color="808080"/>
        </w:pBdr>
        <w:rPr>
          <w:rFonts w:ascii="Calibri" w:eastAsia="Calibri" w:hAnsi="Calibri"/>
          <w:sz w:val="20"/>
          <w:szCs w:val="20"/>
          <w:lang w:eastAsia="en-US"/>
        </w:rPr>
      </w:pPr>
    </w:p>
    <w:p w:rsidR="00242C36" w:rsidRPr="00E43137" w:rsidRDefault="00242C36" w:rsidP="00242C36">
      <w:pPr>
        <w:pBdr>
          <w:bar w:val="single" w:sz="6" w:color="808080"/>
        </w:pBdr>
        <w:rPr>
          <w:rFonts w:ascii="Calibri" w:eastAsia="Calibri" w:hAnsi="Calibri"/>
          <w:sz w:val="20"/>
          <w:szCs w:val="20"/>
          <w:lang w:eastAsia="en-US"/>
        </w:rPr>
      </w:pPr>
      <w:r w:rsidRPr="00E43137">
        <w:rPr>
          <w:rFonts w:ascii="Calibri" w:eastAsia="Calibri" w:hAnsi="Calibri"/>
          <w:szCs w:val="22"/>
          <w:lang w:eastAsia="en-US"/>
        </w:rPr>
        <w:t>Porovnanie intenzity chovov hospodárskych zvierat vybraných členských krajín EÚ ukazuje značne nízku intenzitu chovu hovädzieho dobytka, oviec a kôz (prežúvavcov). Graf zobrazuje chov hospodárskych zvierat vo vzťahu k využívanej p.p. v krajinách EÚ. Údaje sú z poľnohospodárskeho cenzu fariem z roku 2010</w:t>
      </w:r>
      <w:r>
        <w:rPr>
          <w:rFonts w:ascii="Calibri" w:eastAsia="Calibri" w:hAnsi="Calibri"/>
          <w:szCs w:val="22"/>
          <w:lang w:eastAsia="en-US"/>
        </w:rPr>
        <w:t xml:space="preserve">. </w:t>
      </w:r>
    </w:p>
    <w:p w:rsidR="00242C36" w:rsidRPr="00E43137" w:rsidRDefault="00242C36" w:rsidP="00242C36">
      <w:pPr>
        <w:pBdr>
          <w:bar w:val="single" w:sz="6" w:color="808080"/>
        </w:pBdr>
        <w:rPr>
          <w:rFonts w:ascii="Calibri" w:eastAsia="Calibri" w:hAnsi="Calibri"/>
          <w:b/>
          <w:bCs/>
          <w:szCs w:val="22"/>
          <w:lang w:eastAsia="en-US"/>
        </w:rPr>
      </w:pPr>
      <w:r>
        <w:rPr>
          <w:rFonts w:ascii="Calibri" w:eastAsia="Calibri" w:hAnsi="Calibri"/>
          <w:noProof/>
          <w:szCs w:val="22"/>
        </w:rPr>
        <w:drawing>
          <wp:inline distT="0" distB="0" distL="0" distR="0" wp14:anchorId="6D4738A0" wp14:editId="60544391">
            <wp:extent cx="5705475" cy="3105150"/>
            <wp:effectExtent l="0" t="0" r="9525" b="0"/>
            <wp:docPr id="4" name="Obrázo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ok 1"/>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705475" cy="3105150"/>
                    </a:xfrm>
                    <a:prstGeom prst="rect">
                      <a:avLst/>
                    </a:prstGeom>
                    <a:noFill/>
                    <a:ln>
                      <a:noFill/>
                    </a:ln>
                  </pic:spPr>
                </pic:pic>
              </a:graphicData>
            </a:graphic>
          </wp:inline>
        </w:drawing>
      </w:r>
    </w:p>
    <w:p w:rsidR="00242C36" w:rsidRPr="002D5035" w:rsidRDefault="00242C36" w:rsidP="00242C36">
      <w:pPr>
        <w:pBdr>
          <w:bar w:val="single" w:sz="6" w:color="808080"/>
        </w:pBdr>
        <w:rPr>
          <w:rFonts w:ascii="Calibri" w:eastAsia="Calibri" w:hAnsi="Calibri"/>
          <w:bCs/>
          <w:sz w:val="20"/>
          <w:szCs w:val="20"/>
          <w:lang w:eastAsia="en-US"/>
        </w:rPr>
      </w:pPr>
      <w:r w:rsidRPr="002D5035">
        <w:rPr>
          <w:rFonts w:ascii="Calibri" w:eastAsia="Calibri" w:hAnsi="Calibri"/>
          <w:bCs/>
          <w:sz w:val="20"/>
          <w:szCs w:val="20"/>
          <w:lang w:eastAsia="en-US"/>
        </w:rPr>
        <w:t>Prameň: Eurostat</w:t>
      </w:r>
    </w:p>
    <w:p w:rsidR="00242C36" w:rsidRDefault="00242C36" w:rsidP="00242C36">
      <w:pPr>
        <w:rPr>
          <w:rFonts w:ascii="Calibri" w:hAnsi="Calibri"/>
          <w:szCs w:val="22"/>
        </w:rPr>
      </w:pPr>
    </w:p>
    <w:p w:rsidR="00242C36" w:rsidRPr="007D119F" w:rsidRDefault="00242C36" w:rsidP="00242C36">
      <w:pPr>
        <w:pStyle w:val="Nadpis3"/>
        <w:spacing w:before="0" w:after="0"/>
        <w:rPr>
          <w:b/>
          <w:i w:val="0"/>
          <w:szCs w:val="22"/>
          <w:lang w:val="sk-SK"/>
        </w:rPr>
      </w:pPr>
      <w:r w:rsidRPr="007D119F">
        <w:rPr>
          <w:b/>
          <w:i w:val="0"/>
          <w:szCs w:val="22"/>
          <w:lang w:val="sk-SK"/>
        </w:rPr>
        <w:t xml:space="preserve">Životné podmienky zvierat  </w:t>
      </w:r>
    </w:p>
    <w:p w:rsidR="00242C36" w:rsidRPr="007D119F" w:rsidRDefault="00242C36" w:rsidP="007D119F">
      <w:pPr>
        <w:spacing w:after="120"/>
        <w:rPr>
          <w:szCs w:val="22"/>
        </w:rPr>
      </w:pPr>
      <w:r w:rsidRPr="007D119F">
        <w:rPr>
          <w:szCs w:val="22"/>
        </w:rPr>
        <w:t xml:space="preserve">Podpora pohody zvierat (animal welfare - AW) sa v kontexte strategickej priority rezortu </w:t>
      </w:r>
      <w:r w:rsidRPr="007D119F">
        <w:rPr>
          <w:b/>
          <w:bCs/>
          <w:szCs w:val="22"/>
        </w:rPr>
        <w:t>podporiť oživenie a rozvoj domácej živočíšnej výroby</w:t>
      </w:r>
      <w:r w:rsidRPr="007D119F">
        <w:rPr>
          <w:szCs w:val="22"/>
        </w:rPr>
        <w:t xml:space="preserve"> radí medzi významné nástroje viazanej podpory a spoločne s podporou v rámci čl.18 nariadenia (investície do ŽV) sa očakáva jej vhodný synergický účinok na zvýšenú motiváciu prvovýrobcov venovať sa chovu hospodárskych zvierat.</w:t>
      </w:r>
    </w:p>
    <w:p w:rsidR="00242C36" w:rsidRPr="007D119F" w:rsidRDefault="00242C36" w:rsidP="007D119F">
      <w:pPr>
        <w:spacing w:after="120"/>
        <w:rPr>
          <w:szCs w:val="22"/>
        </w:rPr>
      </w:pPr>
      <w:r w:rsidRPr="007D119F">
        <w:rPr>
          <w:szCs w:val="22"/>
        </w:rPr>
        <w:t xml:space="preserve">Podpora bude zameraná na zabezpečenie </w:t>
      </w:r>
      <w:r w:rsidR="007D119F" w:rsidRPr="007D119F">
        <w:rPr>
          <w:szCs w:val="22"/>
        </w:rPr>
        <w:t>nadštandardných</w:t>
      </w:r>
      <w:r w:rsidRPr="007D119F">
        <w:rPr>
          <w:szCs w:val="22"/>
        </w:rPr>
        <w:t xml:space="preserve"> podmienok pre chov hospodárskych zvierat (hydina, ošípané, HD - dojnice). Dodržiavaním špecifických podmienok v rámci chovoch hospodárskych zvierat (HZ) sa prostredníctvom zlepšenej pohody, starostlivosti o zvieratá očakáva zníženie stresov a zlepšenie životných podmienok zvierat. Výška platby bude vypočítaná ako kompenzácia za vytvorenie a poskytovanie nadštandardných podmienok chovu HZ. </w:t>
      </w:r>
    </w:p>
    <w:p w:rsidR="00242C36" w:rsidRPr="00CB20EC" w:rsidRDefault="00242C36" w:rsidP="00242C36">
      <w:pPr>
        <w:rPr>
          <w:szCs w:val="22"/>
        </w:rPr>
      </w:pPr>
      <w:r w:rsidRPr="007D119F">
        <w:rPr>
          <w:szCs w:val="22"/>
        </w:rPr>
        <w:t>Zároveň je však potrebné, osobitne v súvislosťou s ekonomickou krízou,  rešpektovať aj ekonomické</w:t>
      </w:r>
      <w:r w:rsidRPr="00CB20EC">
        <w:rPr>
          <w:szCs w:val="22"/>
        </w:rPr>
        <w:t xml:space="preserve"> hľadisko chovu HZ a snažiť sa v súlade s pravidlami trhu udržať prijateľné parametre efektivity chovu. Pri stanovení výšky podpory pre jednotlivé kategórie HZ bude zohľadnená úroveň požiadaviek b</w:t>
      </w:r>
      <w:r w:rsidR="007D119F">
        <w:rPr>
          <w:szCs w:val="22"/>
        </w:rPr>
        <w:t>a</w:t>
      </w:r>
      <w:r w:rsidRPr="00CB20EC">
        <w:rPr>
          <w:szCs w:val="22"/>
        </w:rPr>
        <w:t>seline legislatívy a rozsah akým sa premietne požadovaný nadštandard do praxe chovateľov HZ .  Podpora bude v porovnaní s predchádzajúcim obdobím realizovaná na ročnej báze (zrušenie 5 ročných záväzkov).</w:t>
      </w:r>
    </w:p>
    <w:p w:rsidR="00242C36" w:rsidRPr="00CB20EC" w:rsidRDefault="00242C36" w:rsidP="00242C36">
      <w:pPr>
        <w:rPr>
          <w:szCs w:val="22"/>
          <w:u w:val="single"/>
        </w:rPr>
      </w:pPr>
      <w:r w:rsidRPr="00CB20EC">
        <w:rPr>
          <w:szCs w:val="22"/>
          <w:u w:val="single"/>
        </w:rPr>
        <w:t>Zdôvodnenie potreby pokračovania podpôr AW:</w:t>
      </w:r>
    </w:p>
    <w:p w:rsidR="00242C36" w:rsidRPr="00DB3EFD" w:rsidRDefault="00242C36" w:rsidP="007D119F">
      <w:pPr>
        <w:spacing w:after="120"/>
        <w:rPr>
          <w:szCs w:val="22"/>
        </w:rPr>
      </w:pPr>
      <w:r w:rsidRPr="00DB3EFD">
        <w:rPr>
          <w:szCs w:val="22"/>
        </w:rPr>
        <w:t xml:space="preserve">Podľa pracovnej verzie Výročnej správy a verejného odpočtu za rok 2012 Štátnej veterinárnej a potravinovej správy Slovenskej republiky vykonala ŠVPS SR v priebehu roka 2012 v </w:t>
      </w:r>
      <w:r w:rsidRPr="00DB3EFD">
        <w:rPr>
          <w:b/>
          <w:bCs/>
          <w:szCs w:val="22"/>
        </w:rPr>
        <w:t>18 584</w:t>
      </w:r>
      <w:r w:rsidRPr="00DB3EFD">
        <w:rPr>
          <w:szCs w:val="22"/>
        </w:rPr>
        <w:t xml:space="preserve"> chovoch jednotlivých druhov hospodárskych zvierat celkovo </w:t>
      </w:r>
      <w:r w:rsidRPr="00DB3EFD">
        <w:rPr>
          <w:b/>
          <w:bCs/>
          <w:szCs w:val="22"/>
        </w:rPr>
        <w:t>2 190</w:t>
      </w:r>
      <w:r w:rsidRPr="00DB3EFD">
        <w:rPr>
          <w:szCs w:val="22"/>
        </w:rPr>
        <w:t xml:space="preserve"> inšpekcií zameraných na kontrolu dobrých životných podmienok zvierat, z čoho bolo 1 184 kontrol v chovoch hovädzieho dobytka a teliat, 424 inšpekcií na farmách oviec a kôz, 372 kontrol v chovoch ošípaných a 82 kontrol v chovoch nosníc. </w:t>
      </w:r>
      <w:r w:rsidRPr="00DB3EFD">
        <w:rPr>
          <w:b/>
          <w:bCs/>
          <w:szCs w:val="22"/>
        </w:rPr>
        <w:t>Počas týchto kontrol bolo zistených 201 porušení jednotlivých ustanovení pre životné podmienky zvierat.</w:t>
      </w:r>
      <w:r w:rsidRPr="00DB3EFD">
        <w:rPr>
          <w:szCs w:val="22"/>
        </w:rPr>
        <w:t xml:space="preserve"> </w:t>
      </w:r>
    </w:p>
    <w:p w:rsidR="00242C36" w:rsidRPr="00DB3EFD" w:rsidRDefault="00242C36" w:rsidP="007D119F">
      <w:pPr>
        <w:spacing w:after="120"/>
        <w:rPr>
          <w:szCs w:val="22"/>
        </w:rPr>
      </w:pPr>
      <w:r w:rsidRPr="00DB3EFD">
        <w:rPr>
          <w:szCs w:val="22"/>
        </w:rPr>
        <w:t>N</w:t>
      </w:r>
      <w:r w:rsidRPr="00DB3EFD">
        <w:rPr>
          <w:b/>
          <w:bCs/>
          <w:szCs w:val="22"/>
        </w:rPr>
        <w:t xml:space="preserve">aďalej potrebné motivovať chovateľov k dodržiavaniu dobrých životných podmienok zvierat aj cestou poskytovania kompenzácií nákladov </w:t>
      </w:r>
      <w:r w:rsidRPr="00DB3EFD">
        <w:rPr>
          <w:szCs w:val="22"/>
        </w:rPr>
        <w:t>prostredníctvom programu rozvoja vidieka v ďalšom období 2014 – 2020.</w:t>
      </w:r>
    </w:p>
    <w:p w:rsidR="00242C36" w:rsidRPr="00DB3EFD" w:rsidRDefault="00242C36" w:rsidP="007D119F">
      <w:pPr>
        <w:spacing w:after="120"/>
        <w:rPr>
          <w:szCs w:val="22"/>
        </w:rPr>
      </w:pPr>
      <w:r w:rsidRPr="00DB3EFD">
        <w:rPr>
          <w:szCs w:val="22"/>
        </w:rPr>
        <w:t>Zároveň uvádzame ďalšie odôvodnenia pre zachovanie platieb za nadštandardné zabezpečovanie dobrých životných podmienok zvierat v slovenských chovoch hospodárskych zvierat v rámci PRV 2014 - 2020:</w:t>
      </w:r>
    </w:p>
    <w:p w:rsidR="00242C36" w:rsidRPr="00DB3EFD" w:rsidRDefault="00242C36" w:rsidP="00CE203B">
      <w:pPr>
        <w:numPr>
          <w:ilvl w:val="0"/>
          <w:numId w:val="348"/>
        </w:numPr>
        <w:spacing w:after="120"/>
        <w:rPr>
          <w:szCs w:val="22"/>
        </w:rPr>
      </w:pPr>
      <w:r w:rsidRPr="00DB3EFD">
        <w:rPr>
          <w:b/>
          <w:bCs/>
          <w:szCs w:val="22"/>
        </w:rPr>
        <w:t>problematika dobrých životných podmienok zvierat sa stáva aj na Slovensku vecou verejného záujmu</w:t>
      </w:r>
      <w:r w:rsidRPr="00DB3EFD">
        <w:rPr>
          <w:szCs w:val="22"/>
        </w:rPr>
        <w:t xml:space="preserve">, zvyšuje sa tlak mimovládnych organizácií a médií </w:t>
      </w:r>
      <w:r w:rsidRPr="00DB3EFD">
        <w:rPr>
          <w:szCs w:val="22"/>
        </w:rPr>
        <w:br/>
        <w:t xml:space="preserve">na legislatívne riešenie tejto problematiky a na sankcionovanie porušení zákona chovateľmi; </w:t>
      </w:r>
      <w:r w:rsidRPr="00DB3EFD">
        <w:rPr>
          <w:b/>
          <w:bCs/>
          <w:szCs w:val="22"/>
        </w:rPr>
        <w:t>zvyšuje sa skupina spotrebiteľov, ktorí sa zaujímajú o nákup výrobkov</w:t>
      </w:r>
      <w:r w:rsidRPr="00DB3EFD">
        <w:rPr>
          <w:szCs w:val="22"/>
        </w:rPr>
        <w:t xml:space="preserve"> s osobitnými kvalitami a vlastnosťami vrátane znakov dobrých životných podmienok zvierat;</w:t>
      </w:r>
    </w:p>
    <w:p w:rsidR="00242C36" w:rsidRPr="00DB3EFD" w:rsidRDefault="00242C36" w:rsidP="00CE203B">
      <w:pPr>
        <w:numPr>
          <w:ilvl w:val="0"/>
          <w:numId w:val="348"/>
        </w:numPr>
        <w:spacing w:after="120"/>
        <w:rPr>
          <w:szCs w:val="22"/>
        </w:rPr>
      </w:pPr>
      <w:r w:rsidRPr="00DB3EFD">
        <w:rPr>
          <w:b/>
          <w:bCs/>
          <w:szCs w:val="22"/>
        </w:rPr>
        <w:t>zvýšenie kvality domácich potravín živočíšneho pôvodu</w:t>
      </w:r>
      <w:r w:rsidRPr="00DB3EFD">
        <w:rPr>
          <w:szCs w:val="22"/>
        </w:rPr>
        <w:t>, napr. bravčového hovädzieho a hydinového mäsa skvalitnením životných podmienok pre zvieratá;</w:t>
      </w:r>
    </w:p>
    <w:p w:rsidR="00242C36" w:rsidRPr="00DB3EFD" w:rsidRDefault="00242C36" w:rsidP="00CE203B">
      <w:pPr>
        <w:numPr>
          <w:ilvl w:val="0"/>
          <w:numId w:val="348"/>
        </w:numPr>
        <w:spacing w:after="120"/>
        <w:rPr>
          <w:szCs w:val="22"/>
        </w:rPr>
      </w:pPr>
      <w:r w:rsidRPr="00DB3EFD">
        <w:rPr>
          <w:b/>
          <w:bCs/>
          <w:szCs w:val="22"/>
        </w:rPr>
        <w:t xml:space="preserve">zvyšovanie atraktívnosti fariem pre verejnosť </w:t>
      </w:r>
      <w:r w:rsidRPr="00DB3EFD">
        <w:rPr>
          <w:szCs w:val="22"/>
        </w:rPr>
        <w:t>a tým zlepšovanie ich pozície najmä v prípade predaja z dvora a agroturistických aktivít;</w:t>
      </w:r>
    </w:p>
    <w:p w:rsidR="00242C36" w:rsidRPr="00DB3EFD" w:rsidRDefault="00242C36" w:rsidP="00CE203B">
      <w:pPr>
        <w:numPr>
          <w:ilvl w:val="0"/>
          <w:numId w:val="348"/>
        </w:numPr>
        <w:spacing w:after="120"/>
        <w:rPr>
          <w:szCs w:val="22"/>
        </w:rPr>
      </w:pPr>
      <w:r w:rsidRPr="00DB3EFD">
        <w:rPr>
          <w:szCs w:val="22"/>
        </w:rPr>
        <w:t xml:space="preserve">poskytovaním kompenzačných </w:t>
      </w:r>
      <w:r w:rsidRPr="00DB3EFD">
        <w:rPr>
          <w:b/>
          <w:bCs/>
          <w:szCs w:val="22"/>
        </w:rPr>
        <w:t>platieb eliminovanie nepriaznivého prístupu chovateľov k parametrom dobrých životných podmienok zvierat v zmysle ekonomickej záťaže</w:t>
      </w:r>
      <w:r w:rsidRPr="00DB3EFD">
        <w:rPr>
          <w:szCs w:val="22"/>
        </w:rPr>
        <w:t xml:space="preserve"> a tým zníženej konkurencieschopnosti voči tretím krajinám ale aj ostatným členským štátom; </w:t>
      </w:r>
    </w:p>
    <w:p w:rsidR="00242C36" w:rsidRPr="00DB3EFD" w:rsidRDefault="00242C36" w:rsidP="00CE203B">
      <w:pPr>
        <w:numPr>
          <w:ilvl w:val="0"/>
          <w:numId w:val="348"/>
        </w:numPr>
        <w:spacing w:after="120"/>
        <w:rPr>
          <w:szCs w:val="22"/>
        </w:rPr>
      </w:pPr>
      <w:r w:rsidRPr="00DB3EFD">
        <w:rPr>
          <w:szCs w:val="22"/>
        </w:rPr>
        <w:t xml:space="preserve">nadštandardný prístup k životným podmienkam zvierat si vyžaduje zvýšené investície do chovov, čím sa podporuje žiaduca modernizácia chovov a tým </w:t>
      </w:r>
      <w:r w:rsidRPr="00DB3EFD">
        <w:rPr>
          <w:b/>
          <w:bCs/>
          <w:szCs w:val="22"/>
        </w:rPr>
        <w:t>stimulácia trhu s poľnohospodárskymi stavbami a technológiami;</w:t>
      </w:r>
    </w:p>
    <w:p w:rsidR="00242C36" w:rsidRPr="00DB3EFD" w:rsidRDefault="00242C36" w:rsidP="00CE203B">
      <w:pPr>
        <w:numPr>
          <w:ilvl w:val="0"/>
          <w:numId w:val="348"/>
        </w:numPr>
        <w:spacing w:after="120"/>
        <w:rPr>
          <w:szCs w:val="22"/>
        </w:rPr>
      </w:pPr>
      <w:r w:rsidRPr="00DB3EFD">
        <w:rPr>
          <w:szCs w:val="22"/>
        </w:rPr>
        <w:t xml:space="preserve">nadštandardný prístup k životným podmienkam zvierat si vyžaduje </w:t>
      </w:r>
      <w:r w:rsidRPr="00DB3EFD">
        <w:rPr>
          <w:b/>
          <w:bCs/>
          <w:szCs w:val="22"/>
        </w:rPr>
        <w:t xml:space="preserve">zvýšené nároky </w:t>
      </w:r>
      <w:r w:rsidRPr="00DB3EFD">
        <w:rPr>
          <w:b/>
          <w:bCs/>
          <w:szCs w:val="22"/>
        </w:rPr>
        <w:br/>
        <w:t xml:space="preserve">na pracovné sily </w:t>
      </w:r>
      <w:r w:rsidRPr="00DB3EFD">
        <w:rPr>
          <w:szCs w:val="22"/>
        </w:rPr>
        <w:t xml:space="preserve">(najmä pri individuálnej manipulácii so zvieratami alebo pri znížení zaťaženia podlahovej plochy ustajňovacích priestorov), čo </w:t>
      </w:r>
      <w:r w:rsidRPr="00DB3EFD">
        <w:rPr>
          <w:b/>
          <w:bCs/>
          <w:szCs w:val="22"/>
        </w:rPr>
        <w:t>podporuje celoročnú zamestnanosť najmä vidieckeho obyvateľstva;</w:t>
      </w:r>
    </w:p>
    <w:p w:rsidR="00242C36" w:rsidRPr="00DB3EFD" w:rsidRDefault="00242C36" w:rsidP="00CE203B">
      <w:pPr>
        <w:numPr>
          <w:ilvl w:val="0"/>
          <w:numId w:val="348"/>
        </w:numPr>
        <w:spacing w:after="120"/>
        <w:rPr>
          <w:szCs w:val="22"/>
        </w:rPr>
      </w:pPr>
      <w:r w:rsidRPr="00DB3EFD">
        <w:rPr>
          <w:szCs w:val="22"/>
        </w:rPr>
        <w:t xml:space="preserve">motivácia chovateľov k nadštandardnému prístupu k životným podmienkam zvierat má </w:t>
      </w:r>
      <w:r w:rsidRPr="00DB3EFD">
        <w:rPr>
          <w:b/>
          <w:bCs/>
          <w:szCs w:val="22"/>
        </w:rPr>
        <w:t>edukačný význam</w:t>
      </w:r>
      <w:r w:rsidRPr="00DB3EFD">
        <w:rPr>
          <w:szCs w:val="22"/>
        </w:rPr>
        <w:t xml:space="preserve"> (dodržiavanie nadštandardu si vyžaduje ovládanie minimálnych - štandardných požiadaviek, ide o </w:t>
      </w:r>
      <w:r w:rsidRPr="00DB3EFD">
        <w:rPr>
          <w:b/>
          <w:bCs/>
          <w:szCs w:val="22"/>
        </w:rPr>
        <w:t>zlepšenie vzťahu a celkového postoja chovateľa ku zvieratám ako k cítiacim bytostiam</w:t>
      </w:r>
      <w:r w:rsidRPr="00DB3EFD">
        <w:rPr>
          <w:szCs w:val="22"/>
        </w:rPr>
        <w:t>);</w:t>
      </w:r>
    </w:p>
    <w:p w:rsidR="00242C36" w:rsidRDefault="00242C36" w:rsidP="00CE203B">
      <w:pPr>
        <w:numPr>
          <w:ilvl w:val="0"/>
          <w:numId w:val="348"/>
        </w:numPr>
        <w:rPr>
          <w:szCs w:val="22"/>
        </w:rPr>
      </w:pPr>
      <w:r w:rsidRPr="00DB3EFD">
        <w:rPr>
          <w:b/>
          <w:bCs/>
          <w:szCs w:val="22"/>
        </w:rPr>
        <w:t>zvyšovanie kvalifikácie zamestnancov</w:t>
      </w:r>
      <w:r w:rsidRPr="00DB3EFD">
        <w:rPr>
          <w:szCs w:val="22"/>
        </w:rPr>
        <w:t xml:space="preserve"> v poľnohospodárstve v oblasti dobrých životných podmienok zvierat;</w:t>
      </w:r>
    </w:p>
    <w:p w:rsidR="00242C36" w:rsidRPr="00DB3EFD" w:rsidRDefault="00242C36" w:rsidP="00242C36">
      <w:pPr>
        <w:ind w:left="720"/>
        <w:rPr>
          <w:szCs w:val="22"/>
        </w:rPr>
      </w:pPr>
    </w:p>
    <w:p w:rsidR="00242C36" w:rsidRPr="00CB20EC" w:rsidRDefault="00242C36" w:rsidP="00242C36">
      <w:pPr>
        <w:rPr>
          <w:szCs w:val="22"/>
          <w:u w:val="single"/>
        </w:rPr>
      </w:pPr>
      <w:r w:rsidRPr="00CB20EC">
        <w:rPr>
          <w:szCs w:val="22"/>
          <w:u w:val="single"/>
        </w:rPr>
        <w:t>História podpôr AW v SR:</w:t>
      </w:r>
    </w:p>
    <w:p w:rsidR="00242C36" w:rsidRPr="00CB20EC" w:rsidRDefault="00242C36" w:rsidP="00242C36">
      <w:pPr>
        <w:rPr>
          <w:b/>
          <w:bCs/>
          <w:i/>
          <w:iCs/>
          <w:szCs w:val="22"/>
        </w:rPr>
      </w:pPr>
      <w:r w:rsidRPr="00CB20EC">
        <w:rPr>
          <w:b/>
          <w:bCs/>
          <w:i/>
          <w:iCs/>
          <w:szCs w:val="22"/>
        </w:rPr>
        <w:t>Plán rozvoja vidieka SR 2004-2006</w:t>
      </w:r>
    </w:p>
    <w:p w:rsidR="00242C36" w:rsidRDefault="00242C36" w:rsidP="00242C36">
      <w:pPr>
        <w:rPr>
          <w:szCs w:val="22"/>
        </w:rPr>
      </w:pPr>
      <w:r w:rsidRPr="00CB20EC">
        <w:rPr>
          <w:szCs w:val="22"/>
        </w:rPr>
        <w:t>Väčšina podporených investícii v ŽV sa netýkala pohody zvierat, takže zlepšenie životných podmienok zvierat vplyvom podpory bolo nízke. Beneficientov, kde podpora prispela k zlepšeniu pohody zvierat,  či už sa priamo týkala zlepšenia plnenia noriem EÚ alebo bola zameraná na pohodu zvierat iným spôsobom bolo približne 20%.  S primárnym cieľom zlepšenia pohody zvierat realizovalo investíciu 13,46% respondentov, v 9,62% prípadov bolo zlepšenie vedľajším efektom (ZS ex-post hodnotenia PRV 2004-2006).</w:t>
      </w:r>
    </w:p>
    <w:p w:rsidR="00242C36" w:rsidRPr="00CB20EC" w:rsidRDefault="00242C36" w:rsidP="00242C36">
      <w:pPr>
        <w:rPr>
          <w:szCs w:val="22"/>
        </w:rPr>
      </w:pPr>
    </w:p>
    <w:p w:rsidR="00242C36" w:rsidRPr="00CB20EC" w:rsidRDefault="00242C36" w:rsidP="00242C36">
      <w:pPr>
        <w:rPr>
          <w:b/>
          <w:bCs/>
          <w:i/>
          <w:iCs/>
          <w:szCs w:val="22"/>
        </w:rPr>
      </w:pPr>
      <w:r w:rsidRPr="00CB20EC">
        <w:rPr>
          <w:b/>
          <w:bCs/>
          <w:i/>
          <w:iCs/>
          <w:szCs w:val="22"/>
        </w:rPr>
        <w:t>SOP Poľnohospodárstvo a rozvoj vidieka SR 2004-2006</w:t>
      </w:r>
    </w:p>
    <w:p w:rsidR="00242C36" w:rsidRPr="00CB20EC" w:rsidRDefault="00242C36" w:rsidP="00242C36">
      <w:pPr>
        <w:rPr>
          <w:szCs w:val="22"/>
        </w:rPr>
      </w:pPr>
      <w:r w:rsidRPr="00CB20EC">
        <w:rPr>
          <w:szCs w:val="22"/>
        </w:rPr>
        <w:t xml:space="preserve">Väčšina investícii SOP PaRV sa netýkala pohody zvierat. S primárnym cieľom zlepšenia pohody zvierat realizovalo investíciu 15,8% respondentov dotazníkového prieskumu, v 13,2% prípadov bolo zlepšenie vedľajším efektom (ZS ex-post hodnotenia SOP PaRV 2004-2006). Podľa údajov z monitorovacích správ bolo v sektore živočíšnej výroby schválených 22% (206 z  929) projektov, čo predstavuje iba jednu pätinu a znej odhadujeme, že približne polovica investícií sa týkala pohody zvierat. </w:t>
      </w:r>
    </w:p>
    <w:p w:rsidR="00242C36" w:rsidRPr="00CB20EC" w:rsidRDefault="00242C36" w:rsidP="00242C36">
      <w:pPr>
        <w:rPr>
          <w:szCs w:val="22"/>
        </w:rPr>
      </w:pPr>
      <w:r w:rsidRPr="00CB20EC">
        <w:rPr>
          <w:szCs w:val="22"/>
        </w:rPr>
        <w:t>Podniky museli spĺňať minimálne normy týkajúce sa životného prostredia, hygieny a životných podmienok zvierat pred investíciou (v čase podania žiadosti), pričom podpora mohla byť poskytnutá na zavedenie týchto nových noriem. Relatívne malá časť beneficientov (13,8%) zlepšila welfare zvierat, pokiaľ sa jednalo o plnenie noriem. Z toho vyplýva, že investície prevažne priniesli zlepšenie nad rámec minimálnych noriem, či už ako primárny cieľ alebo ako vedľajší efekt, ale negatívne boli celkové výsledky ovplyvnené nízkym počtom projektov zameraných na welfare zvierat a živočíšnu výrobu celkovo, ktorá je v dôsledku nízkej rentability v útlme.</w:t>
      </w:r>
    </w:p>
    <w:p w:rsidR="00242C36" w:rsidRPr="00CB20EC" w:rsidRDefault="00242C36" w:rsidP="00366F96">
      <w:pPr>
        <w:spacing w:after="120"/>
        <w:rPr>
          <w:szCs w:val="22"/>
        </w:rPr>
      </w:pPr>
      <w:r w:rsidRPr="00CB20EC">
        <w:rPr>
          <w:szCs w:val="22"/>
        </w:rPr>
        <w:t>Z hľadiska špecifických cieľov opatrenia (na úrovni výstupov a výsledkov) bolo zvýšenie úrovne hygienických podmienok a životných podmienok zvierat relatívne menej významné ako znižovanie výrobných nákladov a používanie strojov a technológií hospodárnych a šetrných k životnému prostrediu.</w:t>
      </w:r>
    </w:p>
    <w:p w:rsidR="00242C36" w:rsidRPr="00CB20EC" w:rsidRDefault="00242C36" w:rsidP="00242C36">
      <w:pPr>
        <w:rPr>
          <w:szCs w:val="22"/>
        </w:rPr>
      </w:pPr>
      <w:r w:rsidRPr="00CB20EC">
        <w:rPr>
          <w:szCs w:val="22"/>
        </w:rPr>
        <w:t xml:space="preserve">Slabší efekt v tejto oblasti zodpovedá trendu utlmovania živočíšnej výroby, keď stavy hospodárskych zvierat od roku 1990 nepretržite klesajú (viď analytické údaje SWOT k Priorite 2).  Napriek tomu, že Plán rozvoja vidieka obsahoval aj investície do zabezpečenia životných podmienok zvierat a poskytoval aj tolerančné obdobie pre zosúladenie s minimálnymi normami v oblasti životných podmienok zvierat, nebol zo strany podnikov dostatočný záujem. </w:t>
      </w:r>
    </w:p>
    <w:p w:rsidR="007D119F" w:rsidRDefault="007D119F" w:rsidP="00242C36">
      <w:pPr>
        <w:rPr>
          <w:b/>
          <w:bCs/>
          <w:i/>
          <w:iCs/>
          <w:szCs w:val="22"/>
        </w:rPr>
      </w:pPr>
    </w:p>
    <w:p w:rsidR="00242C36" w:rsidRPr="00CB20EC" w:rsidRDefault="00242C36" w:rsidP="00242C36">
      <w:pPr>
        <w:rPr>
          <w:b/>
          <w:bCs/>
          <w:i/>
          <w:iCs/>
          <w:szCs w:val="22"/>
        </w:rPr>
      </w:pPr>
      <w:r w:rsidRPr="00CB20EC">
        <w:rPr>
          <w:b/>
          <w:bCs/>
          <w:i/>
          <w:iCs/>
          <w:szCs w:val="22"/>
        </w:rPr>
        <w:t>Program rozvoja vidieka SR 2007-2013</w:t>
      </w:r>
    </w:p>
    <w:p w:rsidR="00242C36" w:rsidRPr="00CB20EC" w:rsidRDefault="00242C36" w:rsidP="00242C36">
      <w:pPr>
        <w:rPr>
          <w:szCs w:val="22"/>
        </w:rPr>
      </w:pPr>
      <w:r w:rsidRPr="00CB20EC">
        <w:rPr>
          <w:szCs w:val="22"/>
        </w:rPr>
        <w:t xml:space="preserve">Opatrenie životné podmienky zvierat (215) zahŕňa nasledovné podopatrenia: </w:t>
      </w:r>
    </w:p>
    <w:p w:rsidR="00242C36" w:rsidRPr="00CB20EC" w:rsidRDefault="00242C36" w:rsidP="00242C36">
      <w:pPr>
        <w:rPr>
          <w:szCs w:val="22"/>
        </w:rPr>
      </w:pPr>
      <w:r w:rsidRPr="00CB20EC">
        <w:rPr>
          <w:szCs w:val="22"/>
        </w:rPr>
        <w:t xml:space="preserve">a) Zlepšenie životných podmienok </w:t>
      </w:r>
      <w:r w:rsidRPr="00CB20EC">
        <w:rPr>
          <w:szCs w:val="22"/>
          <w:u w:val="single"/>
        </w:rPr>
        <w:t>v chove hydiny</w:t>
      </w:r>
      <w:r w:rsidRPr="00CB20EC">
        <w:rPr>
          <w:szCs w:val="22"/>
        </w:rPr>
        <w:t xml:space="preserve">; podpora sa vzťahuje na výkrm kurčiat, </w:t>
      </w:r>
    </w:p>
    <w:p w:rsidR="00242C36" w:rsidRPr="00CB20EC" w:rsidRDefault="00242C36" w:rsidP="00242C36">
      <w:pPr>
        <w:rPr>
          <w:szCs w:val="22"/>
        </w:rPr>
      </w:pPr>
      <w:r w:rsidRPr="00CB20EC">
        <w:rPr>
          <w:szCs w:val="22"/>
        </w:rPr>
        <w:t xml:space="preserve">b) Zlepšenie životných podmienok </w:t>
      </w:r>
      <w:r w:rsidRPr="00CB20EC">
        <w:rPr>
          <w:szCs w:val="22"/>
          <w:u w:val="single"/>
        </w:rPr>
        <w:t>v chove hovädzieho dobytka</w:t>
      </w:r>
      <w:r w:rsidRPr="00CB20EC">
        <w:rPr>
          <w:szCs w:val="22"/>
        </w:rPr>
        <w:t xml:space="preserve">; podpora je zameraná na </w:t>
      </w:r>
    </w:p>
    <w:p w:rsidR="00242C36" w:rsidRPr="00CB20EC" w:rsidRDefault="00242C36" w:rsidP="00242C36">
      <w:pPr>
        <w:rPr>
          <w:szCs w:val="22"/>
        </w:rPr>
      </w:pPr>
      <w:r w:rsidRPr="00CB20EC">
        <w:rPr>
          <w:szCs w:val="22"/>
        </w:rPr>
        <w:t xml:space="preserve">     1. zlepšenie prirodzeného správania sa zvierat a to: </w:t>
      </w:r>
    </w:p>
    <w:p w:rsidR="00242C36" w:rsidRPr="00CB20EC" w:rsidRDefault="00242C36" w:rsidP="00242C36">
      <w:pPr>
        <w:ind w:left="708"/>
        <w:rPr>
          <w:szCs w:val="22"/>
        </w:rPr>
      </w:pPr>
      <w:r w:rsidRPr="00CB20EC">
        <w:rPr>
          <w:szCs w:val="22"/>
        </w:rPr>
        <w:t xml:space="preserve">i) voľným chovom ustajnených dojníc; podpora sa vzťahuje na kravy (dojnice) vo veku nad 24 mesiacov vo voľnom ustajnení alebo </w:t>
      </w:r>
    </w:p>
    <w:p w:rsidR="00242C36" w:rsidRPr="00CB20EC" w:rsidRDefault="00242C36" w:rsidP="00242C36">
      <w:pPr>
        <w:ind w:left="708"/>
        <w:rPr>
          <w:szCs w:val="22"/>
        </w:rPr>
      </w:pPr>
      <w:r w:rsidRPr="00CB20EC">
        <w:rPr>
          <w:szCs w:val="22"/>
        </w:rPr>
        <w:t xml:space="preserve">ii) maštaľným výkrmom dobytka; podpora sa vzťahuje na výkrm býkov a/alebo volov vo veku od 6 do 24 mesiacov. </w:t>
      </w:r>
    </w:p>
    <w:p w:rsidR="00242C36" w:rsidRPr="00CB20EC" w:rsidRDefault="00242C36" w:rsidP="00242C36">
      <w:pPr>
        <w:rPr>
          <w:szCs w:val="22"/>
        </w:rPr>
      </w:pPr>
      <w:r w:rsidRPr="00CB20EC">
        <w:rPr>
          <w:szCs w:val="22"/>
        </w:rPr>
        <w:t xml:space="preserve">     2. zlepšenie prirodzeného materského správania dojníc; podpora sa vzťahuje na dojnice, ktoré sú  </w:t>
      </w:r>
    </w:p>
    <w:p w:rsidR="00242C36" w:rsidRPr="00CB20EC" w:rsidRDefault="00242C36" w:rsidP="00242C36">
      <w:pPr>
        <w:rPr>
          <w:szCs w:val="22"/>
        </w:rPr>
      </w:pPr>
      <w:r w:rsidRPr="00CB20EC">
        <w:rPr>
          <w:szCs w:val="22"/>
        </w:rPr>
        <w:t xml:space="preserve">     preradené do osobitnej skupiny určenej iba na dojčenie teliat (jalovičiek) do veku 3 mesiacov. </w:t>
      </w:r>
    </w:p>
    <w:p w:rsidR="00242C36" w:rsidRPr="00CB20EC" w:rsidRDefault="00242C36" w:rsidP="00242C36">
      <w:pPr>
        <w:rPr>
          <w:szCs w:val="22"/>
        </w:rPr>
      </w:pPr>
      <w:r w:rsidRPr="00CB20EC">
        <w:rPr>
          <w:szCs w:val="22"/>
        </w:rPr>
        <w:t xml:space="preserve">c)  Zlepšenie životných podmienok </w:t>
      </w:r>
      <w:r w:rsidRPr="00CB20EC">
        <w:rPr>
          <w:szCs w:val="22"/>
          <w:u w:val="single"/>
        </w:rPr>
        <w:t>v chove ošípaných</w:t>
      </w:r>
      <w:r w:rsidRPr="00CB20EC">
        <w:rPr>
          <w:szCs w:val="22"/>
        </w:rPr>
        <w:t xml:space="preserve">; podpora sa vzťahuje na prasnice základného stáda. </w:t>
      </w:r>
    </w:p>
    <w:p w:rsidR="00242C36" w:rsidRPr="00CB20EC" w:rsidRDefault="00242C36" w:rsidP="00242C36">
      <w:pPr>
        <w:rPr>
          <w:szCs w:val="22"/>
        </w:rPr>
      </w:pPr>
      <w:r w:rsidRPr="00CB20EC">
        <w:rPr>
          <w:szCs w:val="22"/>
        </w:rPr>
        <w:t xml:space="preserve">d)  Zlepšenie životných podmienok </w:t>
      </w:r>
      <w:r w:rsidRPr="00CB20EC">
        <w:rPr>
          <w:szCs w:val="22"/>
          <w:u w:val="single"/>
        </w:rPr>
        <w:t>v chove oviec</w:t>
      </w:r>
      <w:r w:rsidRPr="00CB20EC">
        <w:rPr>
          <w:szCs w:val="22"/>
        </w:rPr>
        <w:t xml:space="preserve">; podpora sa vzťahuje na bahnice. </w:t>
      </w:r>
    </w:p>
    <w:p w:rsidR="00242C36" w:rsidRPr="0035454D" w:rsidRDefault="007D119F" w:rsidP="007D119F">
      <w:pPr>
        <w:spacing w:before="120"/>
        <w:ind w:left="1134" w:hanging="1134"/>
        <w:rPr>
          <w:b/>
          <w:bCs/>
          <w:szCs w:val="22"/>
        </w:rPr>
      </w:pPr>
      <w:r>
        <w:rPr>
          <w:b/>
          <w:iCs/>
          <w:szCs w:val="22"/>
        </w:rPr>
        <w:t xml:space="preserve">Tabuľka 16: </w:t>
      </w:r>
      <w:r w:rsidR="00242C36" w:rsidRPr="0035454D">
        <w:rPr>
          <w:b/>
          <w:iCs/>
          <w:szCs w:val="22"/>
        </w:rPr>
        <w:t>Kumulatívny prehľad platieb op. 215 podľa druhov hospodárskych zvierat ku koncu r. 2013</w:t>
      </w:r>
    </w:p>
    <w:tbl>
      <w:tblPr>
        <w:tblW w:w="0" w:type="auto"/>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00" w:firstRow="0" w:lastRow="0" w:firstColumn="0" w:lastColumn="0" w:noHBand="0" w:noVBand="0"/>
      </w:tblPr>
      <w:tblGrid>
        <w:gridCol w:w="4494"/>
        <w:gridCol w:w="1511"/>
        <w:gridCol w:w="1568"/>
        <w:gridCol w:w="1499"/>
      </w:tblGrid>
      <w:tr w:rsidR="00242C36" w:rsidRPr="00CB20EC" w:rsidTr="00242C36">
        <w:trPr>
          <w:trHeight w:val="330"/>
        </w:trPr>
        <w:tc>
          <w:tcPr>
            <w:tcW w:w="4494" w:type="dxa"/>
            <w:shd w:val="clear" w:color="auto" w:fill="FFFFCC"/>
            <w:vAlign w:val="center"/>
          </w:tcPr>
          <w:p w:rsidR="00242C36" w:rsidRPr="00CB20EC" w:rsidRDefault="00242C36" w:rsidP="00242C36">
            <w:pPr>
              <w:rPr>
                <w:b/>
                <w:bCs/>
                <w:iCs/>
                <w:sz w:val="20"/>
                <w:szCs w:val="20"/>
              </w:rPr>
            </w:pPr>
            <w:r w:rsidRPr="00CB20EC">
              <w:rPr>
                <w:b/>
                <w:bCs/>
                <w:iCs/>
                <w:sz w:val="20"/>
                <w:szCs w:val="20"/>
              </w:rPr>
              <w:t>Druh hospodárskych zvierat</w:t>
            </w:r>
          </w:p>
        </w:tc>
        <w:tc>
          <w:tcPr>
            <w:tcW w:w="1511" w:type="dxa"/>
            <w:shd w:val="clear" w:color="auto" w:fill="FFFFCC"/>
            <w:vAlign w:val="center"/>
          </w:tcPr>
          <w:p w:rsidR="00242C36" w:rsidRPr="00CB20EC" w:rsidRDefault="00242C36" w:rsidP="00242C36">
            <w:pPr>
              <w:jc w:val="center"/>
              <w:rPr>
                <w:b/>
                <w:bCs/>
                <w:iCs/>
                <w:sz w:val="20"/>
                <w:szCs w:val="20"/>
              </w:rPr>
            </w:pPr>
            <w:r w:rsidRPr="00CB20EC">
              <w:rPr>
                <w:b/>
                <w:bCs/>
                <w:iCs/>
                <w:sz w:val="20"/>
                <w:szCs w:val="20"/>
              </w:rPr>
              <w:t>Počet schválených žiadostí</w:t>
            </w:r>
          </w:p>
        </w:tc>
        <w:tc>
          <w:tcPr>
            <w:tcW w:w="1568" w:type="dxa"/>
            <w:shd w:val="clear" w:color="auto" w:fill="FFFFCC"/>
            <w:vAlign w:val="center"/>
          </w:tcPr>
          <w:p w:rsidR="00242C36" w:rsidRPr="00CB20EC" w:rsidRDefault="00242C36" w:rsidP="00242C36">
            <w:pPr>
              <w:jc w:val="center"/>
              <w:rPr>
                <w:b/>
                <w:bCs/>
                <w:iCs/>
                <w:sz w:val="20"/>
                <w:szCs w:val="20"/>
              </w:rPr>
            </w:pPr>
            <w:r w:rsidRPr="00CB20EC">
              <w:rPr>
                <w:b/>
                <w:bCs/>
                <w:iCs/>
                <w:sz w:val="20"/>
                <w:szCs w:val="20"/>
              </w:rPr>
              <w:t>Počet podporovaných poľn. podnikov</w:t>
            </w:r>
          </w:p>
        </w:tc>
        <w:tc>
          <w:tcPr>
            <w:tcW w:w="1499" w:type="dxa"/>
            <w:shd w:val="clear" w:color="auto" w:fill="FFFFCC"/>
            <w:vAlign w:val="center"/>
          </w:tcPr>
          <w:p w:rsidR="00242C36" w:rsidRPr="00CB20EC" w:rsidRDefault="00242C36" w:rsidP="00242C36">
            <w:pPr>
              <w:jc w:val="center"/>
              <w:rPr>
                <w:b/>
                <w:bCs/>
                <w:iCs/>
                <w:sz w:val="20"/>
                <w:szCs w:val="20"/>
              </w:rPr>
            </w:pPr>
            <w:r w:rsidRPr="00CB20EC">
              <w:rPr>
                <w:b/>
                <w:bCs/>
                <w:iCs/>
                <w:sz w:val="20"/>
                <w:szCs w:val="20"/>
              </w:rPr>
              <w:t>Počet zmlúv</w:t>
            </w:r>
          </w:p>
        </w:tc>
      </w:tr>
      <w:tr w:rsidR="00242C36" w:rsidRPr="00CB20EC" w:rsidTr="00242C36">
        <w:trPr>
          <w:cantSplit/>
          <w:trHeight w:hRule="exact" w:val="330"/>
        </w:trPr>
        <w:tc>
          <w:tcPr>
            <w:tcW w:w="4494" w:type="dxa"/>
            <w:vAlign w:val="center"/>
          </w:tcPr>
          <w:p w:rsidR="00242C36" w:rsidRPr="00CB20EC" w:rsidRDefault="00242C36" w:rsidP="00242C36">
            <w:pPr>
              <w:rPr>
                <w:sz w:val="20"/>
                <w:szCs w:val="20"/>
              </w:rPr>
            </w:pPr>
            <w:r w:rsidRPr="00CB20EC">
              <w:rPr>
                <w:sz w:val="20"/>
                <w:szCs w:val="20"/>
              </w:rPr>
              <w:t>Teľatá (smernica 91/629/EHS)</w:t>
            </w:r>
          </w:p>
        </w:tc>
        <w:tc>
          <w:tcPr>
            <w:tcW w:w="1511" w:type="dxa"/>
            <w:vAlign w:val="center"/>
          </w:tcPr>
          <w:p w:rsidR="00242C36" w:rsidRPr="00CB20EC" w:rsidRDefault="00242C36" w:rsidP="00242C36">
            <w:pPr>
              <w:jc w:val="right"/>
              <w:rPr>
                <w:sz w:val="20"/>
                <w:szCs w:val="20"/>
              </w:rPr>
            </w:pPr>
          </w:p>
        </w:tc>
        <w:tc>
          <w:tcPr>
            <w:tcW w:w="1568" w:type="dxa"/>
            <w:vAlign w:val="center"/>
          </w:tcPr>
          <w:p w:rsidR="00242C36" w:rsidRPr="00CB20EC" w:rsidRDefault="00242C36" w:rsidP="00242C36">
            <w:pPr>
              <w:jc w:val="right"/>
              <w:rPr>
                <w:sz w:val="20"/>
                <w:szCs w:val="20"/>
              </w:rPr>
            </w:pPr>
          </w:p>
        </w:tc>
        <w:tc>
          <w:tcPr>
            <w:tcW w:w="1499" w:type="dxa"/>
            <w:vAlign w:val="center"/>
          </w:tcPr>
          <w:p w:rsidR="00242C36" w:rsidRPr="00CB20EC" w:rsidRDefault="00242C36" w:rsidP="00242C36">
            <w:pPr>
              <w:jc w:val="right"/>
              <w:rPr>
                <w:sz w:val="20"/>
                <w:szCs w:val="20"/>
              </w:rPr>
            </w:pPr>
          </w:p>
        </w:tc>
      </w:tr>
      <w:tr w:rsidR="00242C36" w:rsidRPr="00CB20EC" w:rsidTr="00242C36">
        <w:trPr>
          <w:cantSplit/>
          <w:trHeight w:hRule="exact" w:val="330"/>
        </w:trPr>
        <w:tc>
          <w:tcPr>
            <w:tcW w:w="4494" w:type="dxa"/>
            <w:vAlign w:val="center"/>
          </w:tcPr>
          <w:p w:rsidR="00242C36" w:rsidRPr="00CB20EC" w:rsidRDefault="00242C36" w:rsidP="00242C36">
            <w:pPr>
              <w:rPr>
                <w:sz w:val="20"/>
                <w:szCs w:val="20"/>
              </w:rPr>
            </w:pPr>
            <w:r w:rsidRPr="00CB20EC">
              <w:rPr>
                <w:sz w:val="20"/>
                <w:szCs w:val="20"/>
              </w:rPr>
              <w:t>Hovädzí dobytok iný ako teľatá</w:t>
            </w:r>
          </w:p>
        </w:tc>
        <w:tc>
          <w:tcPr>
            <w:tcW w:w="1511" w:type="dxa"/>
            <w:vAlign w:val="center"/>
          </w:tcPr>
          <w:p w:rsidR="00242C36" w:rsidRPr="00CB20EC" w:rsidRDefault="00242C36" w:rsidP="00242C36">
            <w:pPr>
              <w:jc w:val="right"/>
              <w:rPr>
                <w:sz w:val="20"/>
                <w:szCs w:val="20"/>
              </w:rPr>
            </w:pPr>
            <w:r w:rsidRPr="00CB20EC">
              <w:rPr>
                <w:sz w:val="20"/>
                <w:szCs w:val="20"/>
              </w:rPr>
              <w:t>241</w:t>
            </w:r>
          </w:p>
        </w:tc>
        <w:tc>
          <w:tcPr>
            <w:tcW w:w="1568" w:type="dxa"/>
            <w:vAlign w:val="center"/>
          </w:tcPr>
          <w:p w:rsidR="00242C36" w:rsidRPr="00CB20EC" w:rsidRDefault="00242C36" w:rsidP="00242C36">
            <w:pPr>
              <w:jc w:val="right"/>
              <w:rPr>
                <w:sz w:val="20"/>
                <w:szCs w:val="20"/>
              </w:rPr>
            </w:pPr>
            <w:r w:rsidRPr="00CB20EC">
              <w:rPr>
                <w:sz w:val="20"/>
                <w:szCs w:val="20"/>
              </w:rPr>
              <w:t>199</w:t>
            </w:r>
          </w:p>
        </w:tc>
        <w:tc>
          <w:tcPr>
            <w:tcW w:w="1499" w:type="dxa"/>
            <w:vAlign w:val="center"/>
          </w:tcPr>
          <w:p w:rsidR="00242C36" w:rsidRPr="00CB20EC" w:rsidRDefault="00242C36" w:rsidP="00242C36">
            <w:pPr>
              <w:jc w:val="right"/>
              <w:rPr>
                <w:sz w:val="20"/>
                <w:szCs w:val="20"/>
              </w:rPr>
            </w:pPr>
            <w:r w:rsidRPr="00CB20EC">
              <w:rPr>
                <w:sz w:val="20"/>
                <w:szCs w:val="20"/>
              </w:rPr>
              <w:t>208</w:t>
            </w:r>
          </w:p>
        </w:tc>
      </w:tr>
      <w:tr w:rsidR="00242C36" w:rsidRPr="00CB20EC" w:rsidTr="00242C36">
        <w:trPr>
          <w:cantSplit/>
          <w:trHeight w:hRule="exact" w:val="298"/>
        </w:trPr>
        <w:tc>
          <w:tcPr>
            <w:tcW w:w="4494" w:type="dxa"/>
            <w:vAlign w:val="center"/>
          </w:tcPr>
          <w:p w:rsidR="00242C36" w:rsidRPr="00CB20EC" w:rsidRDefault="00242C36" w:rsidP="00242C36">
            <w:pPr>
              <w:rPr>
                <w:sz w:val="20"/>
                <w:szCs w:val="20"/>
              </w:rPr>
            </w:pPr>
            <w:r w:rsidRPr="00CB20EC">
              <w:rPr>
                <w:sz w:val="20"/>
                <w:szCs w:val="20"/>
              </w:rPr>
              <w:t>Ošípané (smernica 91/630/EHS)</w:t>
            </w:r>
          </w:p>
        </w:tc>
        <w:tc>
          <w:tcPr>
            <w:tcW w:w="1511" w:type="dxa"/>
            <w:vAlign w:val="center"/>
          </w:tcPr>
          <w:p w:rsidR="00242C36" w:rsidRPr="00CB20EC" w:rsidRDefault="00242C36" w:rsidP="00242C36">
            <w:pPr>
              <w:jc w:val="right"/>
              <w:rPr>
                <w:sz w:val="20"/>
                <w:szCs w:val="20"/>
              </w:rPr>
            </w:pPr>
            <w:r w:rsidRPr="00CB20EC">
              <w:rPr>
                <w:sz w:val="20"/>
                <w:szCs w:val="20"/>
              </w:rPr>
              <w:t>52</w:t>
            </w:r>
          </w:p>
        </w:tc>
        <w:tc>
          <w:tcPr>
            <w:tcW w:w="1568" w:type="dxa"/>
            <w:vAlign w:val="center"/>
          </w:tcPr>
          <w:p w:rsidR="00242C36" w:rsidRPr="00CB20EC" w:rsidRDefault="00242C36" w:rsidP="00242C36">
            <w:pPr>
              <w:jc w:val="right"/>
              <w:rPr>
                <w:sz w:val="20"/>
                <w:szCs w:val="20"/>
              </w:rPr>
            </w:pPr>
            <w:r w:rsidRPr="00CB20EC">
              <w:rPr>
                <w:sz w:val="20"/>
                <w:szCs w:val="20"/>
              </w:rPr>
              <w:t>50</w:t>
            </w:r>
          </w:p>
        </w:tc>
        <w:tc>
          <w:tcPr>
            <w:tcW w:w="1499" w:type="dxa"/>
            <w:vAlign w:val="center"/>
          </w:tcPr>
          <w:p w:rsidR="00242C36" w:rsidRPr="00CB20EC" w:rsidRDefault="00242C36" w:rsidP="00242C36">
            <w:pPr>
              <w:jc w:val="right"/>
              <w:rPr>
                <w:sz w:val="20"/>
                <w:szCs w:val="20"/>
              </w:rPr>
            </w:pPr>
            <w:r w:rsidRPr="00CB20EC">
              <w:rPr>
                <w:sz w:val="20"/>
                <w:szCs w:val="20"/>
              </w:rPr>
              <w:t>93</w:t>
            </w:r>
          </w:p>
        </w:tc>
      </w:tr>
      <w:tr w:rsidR="00242C36" w:rsidRPr="00CB20EC" w:rsidTr="00242C36">
        <w:trPr>
          <w:cantSplit/>
          <w:trHeight w:hRule="exact" w:val="330"/>
        </w:trPr>
        <w:tc>
          <w:tcPr>
            <w:tcW w:w="4494" w:type="dxa"/>
            <w:vAlign w:val="center"/>
          </w:tcPr>
          <w:p w:rsidR="00242C36" w:rsidRPr="00CB20EC" w:rsidRDefault="00242C36" w:rsidP="00242C36">
            <w:pPr>
              <w:rPr>
                <w:sz w:val="20"/>
                <w:szCs w:val="20"/>
              </w:rPr>
            </w:pPr>
            <w:r w:rsidRPr="00CB20EC">
              <w:rPr>
                <w:sz w:val="20"/>
                <w:szCs w:val="20"/>
              </w:rPr>
              <w:t>Hydina / Vajcia</w:t>
            </w:r>
          </w:p>
        </w:tc>
        <w:tc>
          <w:tcPr>
            <w:tcW w:w="1511" w:type="dxa"/>
            <w:vAlign w:val="center"/>
          </w:tcPr>
          <w:p w:rsidR="00242C36" w:rsidRPr="00CB20EC" w:rsidRDefault="00242C36" w:rsidP="00242C36">
            <w:pPr>
              <w:jc w:val="right"/>
              <w:rPr>
                <w:sz w:val="20"/>
                <w:szCs w:val="20"/>
              </w:rPr>
            </w:pPr>
            <w:r w:rsidRPr="00CB20EC">
              <w:rPr>
                <w:sz w:val="20"/>
                <w:szCs w:val="20"/>
              </w:rPr>
              <w:t>37</w:t>
            </w:r>
          </w:p>
        </w:tc>
        <w:tc>
          <w:tcPr>
            <w:tcW w:w="1568" w:type="dxa"/>
            <w:vAlign w:val="center"/>
          </w:tcPr>
          <w:p w:rsidR="00242C36" w:rsidRPr="00CB20EC" w:rsidRDefault="00242C36" w:rsidP="00242C36">
            <w:pPr>
              <w:jc w:val="right"/>
              <w:rPr>
                <w:sz w:val="20"/>
                <w:szCs w:val="20"/>
              </w:rPr>
            </w:pPr>
            <w:r w:rsidRPr="00CB20EC">
              <w:rPr>
                <w:sz w:val="20"/>
                <w:szCs w:val="20"/>
              </w:rPr>
              <w:t>31</w:t>
            </w:r>
          </w:p>
        </w:tc>
        <w:tc>
          <w:tcPr>
            <w:tcW w:w="1499" w:type="dxa"/>
            <w:vAlign w:val="center"/>
          </w:tcPr>
          <w:p w:rsidR="00242C36" w:rsidRPr="00CB20EC" w:rsidRDefault="00242C36" w:rsidP="00242C36">
            <w:pPr>
              <w:jc w:val="right"/>
              <w:rPr>
                <w:sz w:val="20"/>
                <w:szCs w:val="20"/>
              </w:rPr>
            </w:pPr>
            <w:r w:rsidRPr="00CB20EC">
              <w:rPr>
                <w:sz w:val="20"/>
                <w:szCs w:val="20"/>
              </w:rPr>
              <w:t>32</w:t>
            </w:r>
          </w:p>
        </w:tc>
      </w:tr>
      <w:tr w:rsidR="00242C36" w:rsidRPr="00CB20EC" w:rsidTr="00242C36">
        <w:trPr>
          <w:cantSplit/>
          <w:trHeight w:val="330"/>
        </w:trPr>
        <w:tc>
          <w:tcPr>
            <w:tcW w:w="4494" w:type="dxa"/>
            <w:vAlign w:val="center"/>
          </w:tcPr>
          <w:p w:rsidR="00242C36" w:rsidRPr="00CB20EC" w:rsidRDefault="00242C36" w:rsidP="00242C36">
            <w:pPr>
              <w:rPr>
                <w:sz w:val="20"/>
                <w:szCs w:val="20"/>
              </w:rPr>
            </w:pPr>
            <w:r w:rsidRPr="00CB20EC">
              <w:rPr>
                <w:sz w:val="20"/>
                <w:szCs w:val="20"/>
              </w:rPr>
              <w:t>Iné zvieratá chované na poľn. účely (smernica 98/58/ES)</w:t>
            </w:r>
          </w:p>
        </w:tc>
        <w:tc>
          <w:tcPr>
            <w:tcW w:w="1511" w:type="dxa"/>
            <w:vAlign w:val="center"/>
          </w:tcPr>
          <w:p w:rsidR="00242C36" w:rsidRPr="00CB20EC" w:rsidRDefault="00242C36" w:rsidP="00242C36">
            <w:pPr>
              <w:jc w:val="right"/>
              <w:rPr>
                <w:sz w:val="20"/>
                <w:szCs w:val="20"/>
              </w:rPr>
            </w:pPr>
            <w:r w:rsidRPr="00CB20EC">
              <w:rPr>
                <w:sz w:val="20"/>
                <w:szCs w:val="20"/>
              </w:rPr>
              <w:t>123</w:t>
            </w:r>
          </w:p>
        </w:tc>
        <w:tc>
          <w:tcPr>
            <w:tcW w:w="1568" w:type="dxa"/>
            <w:vAlign w:val="center"/>
          </w:tcPr>
          <w:p w:rsidR="00242C36" w:rsidRPr="00CB20EC" w:rsidRDefault="00242C36" w:rsidP="00242C36">
            <w:pPr>
              <w:jc w:val="right"/>
              <w:rPr>
                <w:sz w:val="20"/>
                <w:szCs w:val="20"/>
              </w:rPr>
            </w:pPr>
            <w:r w:rsidRPr="00CB20EC">
              <w:rPr>
                <w:sz w:val="20"/>
                <w:szCs w:val="20"/>
              </w:rPr>
              <w:t>124</w:t>
            </w:r>
          </w:p>
        </w:tc>
        <w:tc>
          <w:tcPr>
            <w:tcW w:w="1499" w:type="dxa"/>
            <w:vAlign w:val="center"/>
          </w:tcPr>
          <w:p w:rsidR="00242C36" w:rsidRPr="00CB20EC" w:rsidRDefault="00242C36" w:rsidP="00242C36">
            <w:pPr>
              <w:jc w:val="right"/>
              <w:rPr>
                <w:sz w:val="20"/>
                <w:szCs w:val="20"/>
              </w:rPr>
            </w:pPr>
            <w:r w:rsidRPr="00CB20EC">
              <w:rPr>
                <w:sz w:val="20"/>
                <w:szCs w:val="20"/>
              </w:rPr>
              <w:t>155</w:t>
            </w:r>
          </w:p>
        </w:tc>
      </w:tr>
      <w:tr w:rsidR="00242C36" w:rsidRPr="00CB20EC" w:rsidTr="00242C36">
        <w:trPr>
          <w:trHeight w:val="330"/>
        </w:trPr>
        <w:tc>
          <w:tcPr>
            <w:tcW w:w="4494" w:type="dxa"/>
            <w:shd w:val="clear" w:color="auto" w:fill="FFFFCC"/>
            <w:vAlign w:val="center"/>
          </w:tcPr>
          <w:p w:rsidR="00242C36" w:rsidRPr="00CB20EC" w:rsidRDefault="00242C36" w:rsidP="00242C36">
            <w:pPr>
              <w:rPr>
                <w:b/>
                <w:bCs/>
                <w:sz w:val="20"/>
                <w:szCs w:val="20"/>
              </w:rPr>
            </w:pPr>
            <w:r w:rsidRPr="00CB20EC">
              <w:rPr>
                <w:b/>
                <w:bCs/>
                <w:sz w:val="20"/>
                <w:szCs w:val="20"/>
              </w:rPr>
              <w:t>Spolu</w:t>
            </w:r>
          </w:p>
        </w:tc>
        <w:tc>
          <w:tcPr>
            <w:tcW w:w="1511" w:type="dxa"/>
            <w:shd w:val="clear" w:color="auto" w:fill="FFFFCC"/>
            <w:vAlign w:val="center"/>
          </w:tcPr>
          <w:p w:rsidR="00242C36" w:rsidRPr="00CB20EC" w:rsidRDefault="00242C36" w:rsidP="00242C36">
            <w:pPr>
              <w:jc w:val="right"/>
              <w:rPr>
                <w:sz w:val="20"/>
                <w:szCs w:val="20"/>
              </w:rPr>
            </w:pPr>
            <w:r w:rsidRPr="00CB20EC">
              <w:rPr>
                <w:sz w:val="20"/>
                <w:szCs w:val="20"/>
              </w:rPr>
              <w:t>453</w:t>
            </w:r>
          </w:p>
        </w:tc>
        <w:tc>
          <w:tcPr>
            <w:tcW w:w="1568" w:type="dxa"/>
            <w:shd w:val="clear" w:color="auto" w:fill="FFFFCC"/>
            <w:vAlign w:val="center"/>
          </w:tcPr>
          <w:p w:rsidR="00242C36" w:rsidRPr="00CB20EC" w:rsidRDefault="00242C36" w:rsidP="00242C36">
            <w:pPr>
              <w:jc w:val="right"/>
              <w:rPr>
                <w:sz w:val="20"/>
                <w:szCs w:val="20"/>
              </w:rPr>
            </w:pPr>
            <w:r w:rsidRPr="00CB20EC">
              <w:rPr>
                <w:sz w:val="20"/>
                <w:szCs w:val="20"/>
              </w:rPr>
              <w:t>404</w:t>
            </w:r>
          </w:p>
        </w:tc>
        <w:tc>
          <w:tcPr>
            <w:tcW w:w="1499" w:type="dxa"/>
            <w:shd w:val="clear" w:color="auto" w:fill="FFFFCC"/>
            <w:vAlign w:val="center"/>
          </w:tcPr>
          <w:p w:rsidR="00242C36" w:rsidRPr="00CB20EC" w:rsidRDefault="00242C36" w:rsidP="00242C36">
            <w:pPr>
              <w:jc w:val="right"/>
              <w:rPr>
                <w:sz w:val="20"/>
                <w:szCs w:val="20"/>
              </w:rPr>
            </w:pPr>
            <w:r w:rsidRPr="00CB20EC">
              <w:rPr>
                <w:sz w:val="20"/>
                <w:szCs w:val="20"/>
              </w:rPr>
              <w:t>488</w:t>
            </w:r>
          </w:p>
        </w:tc>
      </w:tr>
    </w:tbl>
    <w:p w:rsidR="00242C36" w:rsidRPr="00CB20EC" w:rsidRDefault="00242C36" w:rsidP="00242C36">
      <w:pPr>
        <w:rPr>
          <w:iCs/>
          <w:sz w:val="20"/>
          <w:szCs w:val="20"/>
        </w:rPr>
      </w:pPr>
      <w:r w:rsidRPr="00CB20EC">
        <w:rPr>
          <w:iCs/>
          <w:sz w:val="20"/>
          <w:szCs w:val="20"/>
        </w:rPr>
        <w:t>Zdroj:  PPA (SFC2007), marec 2014</w:t>
      </w:r>
    </w:p>
    <w:p w:rsidR="007D119F" w:rsidRDefault="007D119F" w:rsidP="00242C36">
      <w:pPr>
        <w:rPr>
          <w:szCs w:val="22"/>
        </w:rPr>
      </w:pPr>
    </w:p>
    <w:p w:rsidR="00242C36" w:rsidRDefault="00242C36" w:rsidP="00242C36">
      <w:pPr>
        <w:rPr>
          <w:szCs w:val="22"/>
        </w:rPr>
      </w:pPr>
      <w:r w:rsidRPr="00CB20EC">
        <w:rPr>
          <w:szCs w:val="22"/>
        </w:rPr>
        <w:t>Z priebehu implementácie opatrenia 215 vyplýva kumulatívne plnenie cieľových hodnôt ukazovateľa počet podporených poľnohospodárskych subjektov na 71,8 % (402 podnikov z cieleného počtu 560).</w:t>
      </w:r>
    </w:p>
    <w:p w:rsidR="00242C36" w:rsidRPr="000E300E" w:rsidRDefault="00242C36" w:rsidP="00366F96">
      <w:pPr>
        <w:spacing w:after="120"/>
        <w:rPr>
          <w:szCs w:val="22"/>
        </w:rPr>
      </w:pPr>
      <w:r w:rsidRPr="00CB20EC">
        <w:rPr>
          <w:szCs w:val="22"/>
        </w:rPr>
        <w:t xml:space="preserve">V rámci 4. modifikácie súčasného PRV </w:t>
      </w:r>
      <w:r w:rsidRPr="000E300E">
        <w:rPr>
          <w:szCs w:val="22"/>
        </w:rPr>
        <w:t>bolo schválené zníženie  cieľových hodnôt ukazovateľov  na počet subjektov 360 a počet záväzkov 470. Je to spôsobené tým, že 129 subjektov nepožiadalo o prvú platbu, čím z opatrenia vystúpili. 36 mil. €, ktoré v rámci opatrenia už nemožno vyčerpať do AEP na vyfinancovanie rokov 2014 a 2015.</w:t>
      </w:r>
    </w:p>
    <w:p w:rsidR="00242C36" w:rsidRPr="000E300E" w:rsidRDefault="00242C36" w:rsidP="00366F96">
      <w:pPr>
        <w:spacing w:after="120"/>
        <w:rPr>
          <w:szCs w:val="22"/>
        </w:rPr>
      </w:pPr>
      <w:r w:rsidRPr="000E300E">
        <w:rPr>
          <w:szCs w:val="22"/>
        </w:rPr>
        <w:t xml:space="preserve">Poučenie zo implementácie PRV 2007-13 bude premietnuté do nastavenia podmienok opatrenia v novom PRV má ťažiskovo smerovať </w:t>
      </w:r>
      <w:r w:rsidRPr="000E300E">
        <w:rPr>
          <w:b/>
          <w:bCs/>
          <w:szCs w:val="22"/>
        </w:rPr>
        <w:t>k podpore výkrmu určených kategórií HZ a hydiny</w:t>
      </w:r>
      <w:r w:rsidRPr="000E300E">
        <w:rPr>
          <w:szCs w:val="22"/>
        </w:rPr>
        <w:t xml:space="preserve"> a nepokračovať s podopatreniami,  o ktoré nebol prejavený záujem (napr. zlepšenie prirodzeného materského správania dojníc a pod.).</w:t>
      </w:r>
    </w:p>
    <w:p w:rsidR="00242C36" w:rsidRPr="00CB20EC" w:rsidRDefault="00242C36" w:rsidP="00242C36">
      <w:pPr>
        <w:rPr>
          <w:szCs w:val="22"/>
        </w:rPr>
      </w:pPr>
      <w:r w:rsidRPr="000E300E">
        <w:rPr>
          <w:szCs w:val="22"/>
        </w:rPr>
        <w:t>Úspešnosť opatrenia bude vo veľkej miere závisieť od objektívne a dostatočne presne kalkulovanej</w:t>
      </w:r>
      <w:r w:rsidRPr="00CB20EC">
        <w:rPr>
          <w:szCs w:val="22"/>
        </w:rPr>
        <w:t xml:space="preserve"> výšky kompenzácie, ktorá by mala predstavovať dostatočnú motiváciu pre chovateľov, resp. prvovýrobcov ktorí sa doposiaľ nevenujú chovu HZ. Pozitívnym zistením je rastúci trend záujmu spotrebiteľov o mäso a mäsové výrobky z chovov AW, teda zo zvierat s menšou hladinou stresových hormónov a celkovo lepším zdravotným stavom.</w:t>
      </w:r>
    </w:p>
    <w:p w:rsidR="00242C36" w:rsidRDefault="00242C36" w:rsidP="00242C36">
      <w:pPr>
        <w:rPr>
          <w:rFonts w:ascii="Calibri" w:hAnsi="Calibri"/>
          <w:b/>
          <w:szCs w:val="22"/>
          <w:u w:val="single"/>
        </w:rPr>
      </w:pPr>
    </w:p>
    <w:p w:rsidR="00242C36" w:rsidRPr="009D3DB5" w:rsidRDefault="00242C36" w:rsidP="00242C36">
      <w:pPr>
        <w:rPr>
          <w:rFonts w:ascii="Calibri" w:hAnsi="Calibri"/>
          <w:b/>
          <w:szCs w:val="22"/>
          <w:u w:val="single"/>
        </w:rPr>
      </w:pPr>
      <w:r w:rsidRPr="009D3DB5">
        <w:rPr>
          <w:rFonts w:ascii="Calibri" w:hAnsi="Calibri"/>
          <w:b/>
          <w:szCs w:val="22"/>
          <w:u w:val="single"/>
        </w:rPr>
        <w:t>Rastlinná výroba</w:t>
      </w:r>
    </w:p>
    <w:p w:rsidR="00242C36" w:rsidRPr="00E43137" w:rsidRDefault="00242C36" w:rsidP="00366F9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120"/>
        <w:rPr>
          <w:rFonts w:ascii="Calibri" w:hAnsi="Calibri" w:cs="Courier New"/>
          <w:szCs w:val="22"/>
        </w:rPr>
      </w:pPr>
      <w:r>
        <w:rPr>
          <w:rFonts w:ascii="Calibri" w:hAnsi="Calibri" w:cs="Courier New"/>
          <w:b/>
          <w:szCs w:val="22"/>
        </w:rPr>
        <w:t xml:space="preserve">RV </w:t>
      </w:r>
      <w:r w:rsidRPr="00E43137">
        <w:rPr>
          <w:rFonts w:ascii="Calibri" w:hAnsi="Calibri" w:cs="Courier New"/>
          <w:b/>
          <w:szCs w:val="22"/>
        </w:rPr>
        <w:t>dosahuje na Slovensku</w:t>
      </w:r>
      <w:r w:rsidRPr="00E43137">
        <w:rPr>
          <w:rFonts w:ascii="Calibri" w:hAnsi="Calibri" w:cs="Courier New"/>
          <w:szCs w:val="22"/>
        </w:rPr>
        <w:t xml:space="preserve"> lepšie výsledky ako živočíšna. Svojím vývojom kopírovala hrubú poľnohospodársku produkciu a v roku 2011 dosiahla opäť predkrízovú úroveň. Postupne sa zmenila štruktúra </w:t>
      </w:r>
      <w:r>
        <w:rPr>
          <w:rFonts w:ascii="Calibri" w:hAnsi="Calibri" w:cs="Courier New"/>
          <w:szCs w:val="22"/>
        </w:rPr>
        <w:t xml:space="preserve">RV </w:t>
      </w:r>
      <w:r w:rsidRPr="00E43137">
        <w:rPr>
          <w:rFonts w:ascii="Calibri" w:hAnsi="Calibri" w:cs="Courier New"/>
          <w:szCs w:val="22"/>
        </w:rPr>
        <w:t xml:space="preserve">v prospech obilnín a niektorých technických plodín, najmä olejnín, naopak klesla produkcia niektorých </w:t>
      </w:r>
      <w:r>
        <w:rPr>
          <w:rFonts w:ascii="Calibri" w:hAnsi="Calibri" w:cs="Courier New"/>
          <w:szCs w:val="22"/>
        </w:rPr>
        <w:t>tradičných</w:t>
      </w:r>
      <w:r w:rsidRPr="00E43137">
        <w:rPr>
          <w:rFonts w:ascii="Calibri" w:hAnsi="Calibri" w:cs="Courier New"/>
          <w:szCs w:val="22"/>
        </w:rPr>
        <w:t xml:space="preserve"> trhových plodín ako zemiakov, zeleniny, ovocia a hrozna. Vývoj rastlinnej produkcie bol charakteristický poklesom vyprodukovaných objemov v naturálnom vyjadrení a medziročným zvyšovaním jednotkových cien.</w:t>
      </w:r>
    </w:p>
    <w:p w:rsidR="00242C36" w:rsidRPr="005A1556" w:rsidRDefault="00242C36" w:rsidP="00242C36">
      <w:pPr>
        <w:pBdr>
          <w:bar w:val="single" w:sz="6" w:color="808080"/>
        </w:pBdr>
        <w:rPr>
          <w:rFonts w:ascii="Calibri" w:eastAsia="Calibri" w:hAnsi="Calibri"/>
          <w:bCs/>
          <w:szCs w:val="22"/>
          <w:lang w:eastAsia="en-US"/>
        </w:rPr>
      </w:pPr>
      <w:r w:rsidRPr="00E43137">
        <w:rPr>
          <w:rFonts w:ascii="Calibri" w:eastAsia="Calibri" w:hAnsi="Calibri"/>
          <w:bCs/>
          <w:szCs w:val="22"/>
          <w:lang w:eastAsia="en-US"/>
        </w:rPr>
        <w:t>Využitie prostriedkov z PRV SR 2007 – 2013 čiastočne prispelo k efektívnosti výroby komodít rastlinného pôvodu, tým, že sa zlepšila materiálno-technická základňa podnikov, čím nastala úspornosť pracovných nákladov, ktorých efekt sa prejaví v dlhšom časovom období.</w:t>
      </w:r>
      <w:r>
        <w:rPr>
          <w:rFonts w:ascii="Calibri" w:eastAsia="Calibri" w:hAnsi="Calibri"/>
          <w:bCs/>
          <w:szCs w:val="22"/>
          <w:lang w:eastAsia="en-US"/>
        </w:rPr>
        <w:t xml:space="preserve"> V rámci opatrenia 1.1 PRV SR 2007-2013 bolo </w:t>
      </w:r>
      <w:r>
        <w:rPr>
          <w:rFonts w:ascii="Calibri" w:hAnsi="Calibri" w:cs="Courier New"/>
          <w:szCs w:val="22"/>
        </w:rPr>
        <w:t xml:space="preserve">z </w:t>
      </w:r>
      <w:r w:rsidRPr="005A1556">
        <w:rPr>
          <w:rFonts w:ascii="Calibri" w:eastAsia="Calibri" w:hAnsi="Calibri"/>
          <w:bCs/>
          <w:szCs w:val="22"/>
          <w:lang w:eastAsia="en-US"/>
        </w:rPr>
        <w:t>celkového objemu realizovaných platieb 369,4 mil. EUR (celkový objem investícií 783,2 mil. EUR) smerovalo 40,0 % (147,7 mil. EUR) do zmiešaných oblastí (ŽV+RV) a 22,1 % (81,8 mil. EUR) do RV</w:t>
      </w:r>
      <w:r>
        <w:rPr>
          <w:rFonts w:ascii="Calibri" w:eastAsia="Calibri" w:hAnsi="Calibri"/>
          <w:bCs/>
          <w:szCs w:val="22"/>
          <w:lang w:eastAsia="en-US"/>
        </w:rPr>
        <w:t xml:space="preserve"> (Výročná správa o pokroku k PRV za rok 2012).</w:t>
      </w:r>
    </w:p>
    <w:p w:rsidR="00242C36" w:rsidRPr="005A1556" w:rsidRDefault="00242C36" w:rsidP="00242C3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ourier New"/>
          <w:szCs w:val="22"/>
        </w:rPr>
      </w:pPr>
    </w:p>
    <w:tbl>
      <w:tblPr>
        <w:tblW w:w="8741" w:type="dxa"/>
        <w:tblInd w:w="56" w:type="dxa"/>
        <w:tblCellMar>
          <w:left w:w="70" w:type="dxa"/>
          <w:right w:w="70" w:type="dxa"/>
        </w:tblCellMar>
        <w:tblLook w:val="04A0" w:firstRow="1" w:lastRow="0" w:firstColumn="1" w:lastColumn="0" w:noHBand="0" w:noVBand="1"/>
      </w:tblPr>
      <w:tblGrid>
        <w:gridCol w:w="2815"/>
        <w:gridCol w:w="726"/>
        <w:gridCol w:w="828"/>
        <w:gridCol w:w="828"/>
        <w:gridCol w:w="828"/>
        <w:gridCol w:w="828"/>
        <w:gridCol w:w="828"/>
        <w:gridCol w:w="1060"/>
      </w:tblGrid>
      <w:tr w:rsidR="007D119F" w:rsidRPr="00E43137" w:rsidTr="007D119F">
        <w:trPr>
          <w:trHeight w:val="285"/>
        </w:trPr>
        <w:tc>
          <w:tcPr>
            <w:tcW w:w="8741" w:type="dxa"/>
            <w:gridSpan w:val="8"/>
            <w:tcBorders>
              <w:top w:val="nil"/>
              <w:left w:val="nil"/>
              <w:bottom w:val="nil"/>
              <w:right w:val="nil"/>
            </w:tcBorders>
            <w:shd w:val="clear" w:color="auto" w:fill="auto"/>
            <w:noWrap/>
            <w:vAlign w:val="bottom"/>
            <w:hideMark/>
          </w:tcPr>
          <w:p w:rsidR="007D119F" w:rsidRPr="00E43137" w:rsidRDefault="007D119F" w:rsidP="00242C36">
            <w:pPr>
              <w:rPr>
                <w:rFonts w:ascii="Calibri" w:hAnsi="Calibri"/>
                <w:b/>
                <w:bCs/>
              </w:rPr>
            </w:pPr>
            <w:r>
              <w:rPr>
                <w:rFonts w:ascii="Calibri" w:hAnsi="Calibri"/>
                <w:b/>
                <w:bCs/>
                <w:szCs w:val="22"/>
              </w:rPr>
              <w:t xml:space="preserve">Tabuľka 17: </w:t>
            </w:r>
            <w:r w:rsidRPr="00E43137">
              <w:rPr>
                <w:rFonts w:ascii="Calibri" w:hAnsi="Calibri"/>
                <w:b/>
                <w:bCs/>
                <w:szCs w:val="22"/>
              </w:rPr>
              <w:t>VÝVOJ HEKTÁROVÝCH ÚROD A PRODUKCIE VYBRANÝCH PLODÍN V SR</w:t>
            </w:r>
          </w:p>
        </w:tc>
      </w:tr>
      <w:tr w:rsidR="00242C36" w:rsidRPr="00E43137" w:rsidTr="007D119F">
        <w:trPr>
          <w:trHeight w:val="300"/>
        </w:trPr>
        <w:tc>
          <w:tcPr>
            <w:tcW w:w="2815" w:type="dxa"/>
            <w:vMerge w:val="restart"/>
            <w:tcBorders>
              <w:top w:val="single" w:sz="8" w:space="0" w:color="auto"/>
              <w:left w:val="single" w:sz="8" w:space="0" w:color="auto"/>
              <w:bottom w:val="single" w:sz="8" w:space="0" w:color="000000"/>
              <w:right w:val="single" w:sz="8" w:space="0" w:color="auto"/>
            </w:tcBorders>
            <w:shd w:val="clear" w:color="auto" w:fill="auto"/>
            <w:noWrap/>
            <w:vAlign w:val="center"/>
            <w:hideMark/>
          </w:tcPr>
          <w:p w:rsidR="00242C36" w:rsidRPr="00E43137" w:rsidRDefault="00242C36" w:rsidP="00242C36">
            <w:pPr>
              <w:jc w:val="center"/>
              <w:rPr>
                <w:rFonts w:ascii="Calibri" w:hAnsi="Calibri"/>
                <w:sz w:val="18"/>
                <w:szCs w:val="18"/>
              </w:rPr>
            </w:pPr>
            <w:r w:rsidRPr="00E43137">
              <w:rPr>
                <w:rFonts w:ascii="Calibri" w:hAnsi="Calibri"/>
                <w:sz w:val="18"/>
                <w:szCs w:val="18"/>
              </w:rPr>
              <w:t>Ukazovateľ</w:t>
            </w:r>
          </w:p>
        </w:tc>
        <w:tc>
          <w:tcPr>
            <w:tcW w:w="726" w:type="dxa"/>
            <w:tcBorders>
              <w:top w:val="single" w:sz="8" w:space="0" w:color="auto"/>
              <w:left w:val="nil"/>
              <w:bottom w:val="nil"/>
              <w:right w:val="single" w:sz="4" w:space="0" w:color="auto"/>
            </w:tcBorders>
            <w:shd w:val="clear" w:color="auto" w:fill="auto"/>
            <w:noWrap/>
            <w:vAlign w:val="bottom"/>
            <w:hideMark/>
          </w:tcPr>
          <w:p w:rsidR="00242C36" w:rsidRPr="00E43137" w:rsidRDefault="00242C36" w:rsidP="00242C36">
            <w:pPr>
              <w:jc w:val="center"/>
              <w:rPr>
                <w:rFonts w:ascii="Calibri" w:hAnsi="Calibri"/>
                <w:sz w:val="18"/>
                <w:szCs w:val="18"/>
              </w:rPr>
            </w:pPr>
            <w:r w:rsidRPr="00E43137">
              <w:rPr>
                <w:rFonts w:ascii="Calibri" w:hAnsi="Calibri"/>
                <w:sz w:val="18"/>
                <w:szCs w:val="18"/>
              </w:rPr>
              <w:t>Merná</w:t>
            </w:r>
          </w:p>
        </w:tc>
        <w:tc>
          <w:tcPr>
            <w:tcW w:w="3312" w:type="dxa"/>
            <w:gridSpan w:val="4"/>
            <w:tcBorders>
              <w:top w:val="single" w:sz="8" w:space="0" w:color="auto"/>
              <w:left w:val="nil"/>
              <w:bottom w:val="single" w:sz="4" w:space="0" w:color="auto"/>
              <w:right w:val="nil"/>
            </w:tcBorders>
            <w:shd w:val="clear" w:color="auto" w:fill="auto"/>
            <w:noWrap/>
            <w:vAlign w:val="bottom"/>
            <w:hideMark/>
          </w:tcPr>
          <w:p w:rsidR="00242C36" w:rsidRPr="00E43137" w:rsidRDefault="00242C36" w:rsidP="00242C36">
            <w:pPr>
              <w:jc w:val="center"/>
              <w:rPr>
                <w:rFonts w:ascii="Calibri" w:hAnsi="Calibri"/>
                <w:sz w:val="18"/>
                <w:szCs w:val="18"/>
              </w:rPr>
            </w:pPr>
            <w:r w:rsidRPr="00E43137">
              <w:rPr>
                <w:rFonts w:ascii="Calibri" w:hAnsi="Calibri"/>
                <w:sz w:val="18"/>
                <w:szCs w:val="18"/>
              </w:rPr>
              <w:t>Skutočnosť</w:t>
            </w:r>
          </w:p>
        </w:tc>
        <w:tc>
          <w:tcPr>
            <w:tcW w:w="828" w:type="dxa"/>
            <w:tcBorders>
              <w:top w:val="single" w:sz="4" w:space="0" w:color="auto"/>
              <w:left w:val="nil"/>
              <w:bottom w:val="single" w:sz="4" w:space="0" w:color="auto"/>
              <w:right w:val="nil"/>
            </w:tcBorders>
            <w:shd w:val="clear" w:color="auto" w:fill="auto"/>
            <w:noWrap/>
            <w:vAlign w:val="bottom"/>
            <w:hideMark/>
          </w:tcPr>
          <w:p w:rsidR="00242C36" w:rsidRPr="00E43137" w:rsidRDefault="00242C36" w:rsidP="00242C36">
            <w:pPr>
              <w:jc w:val="center"/>
              <w:rPr>
                <w:rFonts w:ascii="Calibri" w:hAnsi="Calibri"/>
                <w:sz w:val="18"/>
                <w:szCs w:val="18"/>
              </w:rPr>
            </w:pPr>
            <w:r w:rsidRPr="00E43137">
              <w:rPr>
                <w:rFonts w:ascii="Calibri" w:hAnsi="Calibri"/>
                <w:sz w:val="18"/>
                <w:szCs w:val="18"/>
              </w:rPr>
              <w:t> </w:t>
            </w:r>
          </w:p>
        </w:tc>
        <w:tc>
          <w:tcPr>
            <w:tcW w:w="1060" w:type="dxa"/>
            <w:tcBorders>
              <w:top w:val="single" w:sz="4" w:space="0" w:color="auto"/>
              <w:left w:val="single" w:sz="4" w:space="0" w:color="auto"/>
              <w:bottom w:val="nil"/>
              <w:right w:val="single" w:sz="8" w:space="0" w:color="auto"/>
            </w:tcBorders>
            <w:shd w:val="clear" w:color="auto" w:fill="auto"/>
            <w:noWrap/>
            <w:vAlign w:val="bottom"/>
            <w:hideMark/>
          </w:tcPr>
          <w:p w:rsidR="00242C36" w:rsidRPr="00E43137" w:rsidRDefault="00242C36" w:rsidP="00242C36">
            <w:pPr>
              <w:jc w:val="center"/>
              <w:rPr>
                <w:rFonts w:ascii="Calibri" w:hAnsi="Calibri"/>
                <w:sz w:val="18"/>
                <w:szCs w:val="18"/>
              </w:rPr>
            </w:pPr>
            <w:r w:rsidRPr="00E43137">
              <w:rPr>
                <w:rFonts w:ascii="Calibri" w:hAnsi="Calibri"/>
                <w:sz w:val="18"/>
                <w:szCs w:val="18"/>
              </w:rPr>
              <w:t>Index</w:t>
            </w:r>
          </w:p>
        </w:tc>
      </w:tr>
      <w:tr w:rsidR="00242C36" w:rsidRPr="00E43137" w:rsidTr="00242C36">
        <w:trPr>
          <w:trHeight w:val="315"/>
        </w:trPr>
        <w:tc>
          <w:tcPr>
            <w:tcW w:w="2815" w:type="dxa"/>
            <w:vMerge/>
            <w:tcBorders>
              <w:top w:val="single" w:sz="8" w:space="0" w:color="auto"/>
              <w:left w:val="single" w:sz="8" w:space="0" w:color="auto"/>
              <w:bottom w:val="single" w:sz="8" w:space="0" w:color="000000"/>
              <w:right w:val="single" w:sz="8" w:space="0" w:color="auto"/>
            </w:tcBorders>
            <w:vAlign w:val="center"/>
            <w:hideMark/>
          </w:tcPr>
          <w:p w:rsidR="00242C36" w:rsidRPr="00E43137" w:rsidRDefault="00242C36" w:rsidP="00242C36">
            <w:pPr>
              <w:rPr>
                <w:rFonts w:ascii="Calibri" w:hAnsi="Calibri"/>
                <w:sz w:val="18"/>
                <w:szCs w:val="18"/>
              </w:rPr>
            </w:pPr>
          </w:p>
        </w:tc>
        <w:tc>
          <w:tcPr>
            <w:tcW w:w="726" w:type="dxa"/>
            <w:tcBorders>
              <w:top w:val="nil"/>
              <w:left w:val="nil"/>
              <w:bottom w:val="single" w:sz="8" w:space="0" w:color="auto"/>
              <w:right w:val="single" w:sz="4" w:space="0" w:color="auto"/>
            </w:tcBorders>
            <w:shd w:val="clear" w:color="auto" w:fill="auto"/>
            <w:noWrap/>
            <w:vAlign w:val="bottom"/>
            <w:hideMark/>
          </w:tcPr>
          <w:p w:rsidR="00242C36" w:rsidRPr="00E43137" w:rsidRDefault="00242C36" w:rsidP="00242C36">
            <w:pPr>
              <w:jc w:val="center"/>
              <w:rPr>
                <w:rFonts w:ascii="Calibri" w:hAnsi="Calibri"/>
                <w:sz w:val="18"/>
                <w:szCs w:val="18"/>
              </w:rPr>
            </w:pPr>
            <w:r w:rsidRPr="00E43137">
              <w:rPr>
                <w:rFonts w:ascii="Calibri" w:hAnsi="Calibri"/>
                <w:sz w:val="18"/>
                <w:szCs w:val="18"/>
              </w:rPr>
              <w:t>jedn.</w:t>
            </w:r>
          </w:p>
        </w:tc>
        <w:tc>
          <w:tcPr>
            <w:tcW w:w="828" w:type="dxa"/>
            <w:tcBorders>
              <w:top w:val="nil"/>
              <w:left w:val="nil"/>
              <w:bottom w:val="double" w:sz="6" w:space="0" w:color="auto"/>
              <w:right w:val="single" w:sz="4" w:space="0" w:color="auto"/>
            </w:tcBorders>
            <w:shd w:val="clear" w:color="auto" w:fill="auto"/>
            <w:noWrap/>
            <w:vAlign w:val="bottom"/>
            <w:hideMark/>
          </w:tcPr>
          <w:p w:rsidR="00242C36" w:rsidRPr="00E43137" w:rsidRDefault="00242C36" w:rsidP="00242C36">
            <w:pPr>
              <w:jc w:val="center"/>
              <w:rPr>
                <w:rFonts w:ascii="Calibri" w:hAnsi="Calibri"/>
                <w:sz w:val="18"/>
                <w:szCs w:val="18"/>
              </w:rPr>
            </w:pPr>
            <w:r w:rsidRPr="00E43137">
              <w:rPr>
                <w:rFonts w:ascii="Calibri" w:hAnsi="Calibri"/>
                <w:sz w:val="18"/>
                <w:szCs w:val="18"/>
              </w:rPr>
              <w:t>2008</w:t>
            </w:r>
          </w:p>
        </w:tc>
        <w:tc>
          <w:tcPr>
            <w:tcW w:w="828" w:type="dxa"/>
            <w:tcBorders>
              <w:top w:val="nil"/>
              <w:left w:val="nil"/>
              <w:bottom w:val="double" w:sz="6" w:space="0" w:color="auto"/>
              <w:right w:val="single" w:sz="4" w:space="0" w:color="auto"/>
            </w:tcBorders>
            <w:shd w:val="clear" w:color="auto" w:fill="auto"/>
            <w:noWrap/>
            <w:vAlign w:val="bottom"/>
            <w:hideMark/>
          </w:tcPr>
          <w:p w:rsidR="00242C36" w:rsidRPr="00E43137" w:rsidRDefault="00242C36" w:rsidP="00242C36">
            <w:pPr>
              <w:jc w:val="center"/>
              <w:rPr>
                <w:rFonts w:ascii="Calibri" w:hAnsi="Calibri"/>
                <w:sz w:val="18"/>
                <w:szCs w:val="18"/>
              </w:rPr>
            </w:pPr>
            <w:r w:rsidRPr="00E43137">
              <w:rPr>
                <w:rFonts w:ascii="Calibri" w:hAnsi="Calibri"/>
                <w:sz w:val="18"/>
                <w:szCs w:val="18"/>
              </w:rPr>
              <w:t>2009</w:t>
            </w:r>
          </w:p>
        </w:tc>
        <w:tc>
          <w:tcPr>
            <w:tcW w:w="828" w:type="dxa"/>
            <w:tcBorders>
              <w:top w:val="nil"/>
              <w:left w:val="nil"/>
              <w:bottom w:val="double" w:sz="6" w:space="0" w:color="auto"/>
              <w:right w:val="single" w:sz="4" w:space="0" w:color="auto"/>
            </w:tcBorders>
            <w:shd w:val="clear" w:color="auto" w:fill="auto"/>
            <w:noWrap/>
            <w:vAlign w:val="bottom"/>
            <w:hideMark/>
          </w:tcPr>
          <w:p w:rsidR="00242C36" w:rsidRPr="00E43137" w:rsidRDefault="00242C36" w:rsidP="00242C36">
            <w:pPr>
              <w:jc w:val="center"/>
              <w:rPr>
                <w:rFonts w:ascii="Calibri" w:hAnsi="Calibri"/>
                <w:sz w:val="18"/>
                <w:szCs w:val="18"/>
              </w:rPr>
            </w:pPr>
            <w:r w:rsidRPr="00E43137">
              <w:rPr>
                <w:rFonts w:ascii="Calibri" w:hAnsi="Calibri"/>
                <w:sz w:val="18"/>
                <w:szCs w:val="18"/>
              </w:rPr>
              <w:t>2010</w:t>
            </w:r>
          </w:p>
        </w:tc>
        <w:tc>
          <w:tcPr>
            <w:tcW w:w="828" w:type="dxa"/>
            <w:tcBorders>
              <w:top w:val="nil"/>
              <w:left w:val="nil"/>
              <w:bottom w:val="double" w:sz="6" w:space="0" w:color="auto"/>
              <w:right w:val="single" w:sz="4" w:space="0" w:color="auto"/>
            </w:tcBorders>
            <w:shd w:val="clear" w:color="auto" w:fill="auto"/>
            <w:noWrap/>
            <w:vAlign w:val="bottom"/>
            <w:hideMark/>
          </w:tcPr>
          <w:p w:rsidR="00242C36" w:rsidRPr="00E43137" w:rsidRDefault="00242C36" w:rsidP="00242C36">
            <w:pPr>
              <w:jc w:val="center"/>
              <w:rPr>
                <w:rFonts w:ascii="Calibri" w:hAnsi="Calibri"/>
                <w:color w:val="000000"/>
                <w:sz w:val="18"/>
                <w:szCs w:val="18"/>
              </w:rPr>
            </w:pPr>
            <w:r w:rsidRPr="00E43137">
              <w:rPr>
                <w:rFonts w:ascii="Calibri" w:hAnsi="Calibri"/>
                <w:color w:val="000000"/>
                <w:sz w:val="18"/>
                <w:szCs w:val="18"/>
              </w:rPr>
              <w:t>2011</w:t>
            </w:r>
          </w:p>
        </w:tc>
        <w:tc>
          <w:tcPr>
            <w:tcW w:w="828" w:type="dxa"/>
            <w:tcBorders>
              <w:top w:val="nil"/>
              <w:left w:val="nil"/>
              <w:bottom w:val="double" w:sz="6" w:space="0" w:color="auto"/>
              <w:right w:val="single" w:sz="4" w:space="0" w:color="auto"/>
            </w:tcBorders>
            <w:shd w:val="clear" w:color="auto" w:fill="auto"/>
            <w:noWrap/>
            <w:vAlign w:val="bottom"/>
            <w:hideMark/>
          </w:tcPr>
          <w:p w:rsidR="00242C36" w:rsidRPr="00E43137" w:rsidRDefault="00242C36" w:rsidP="00242C36">
            <w:pPr>
              <w:jc w:val="center"/>
              <w:rPr>
                <w:rFonts w:ascii="Calibri" w:hAnsi="Calibri"/>
                <w:color w:val="000000"/>
                <w:sz w:val="18"/>
                <w:szCs w:val="18"/>
              </w:rPr>
            </w:pPr>
            <w:r w:rsidRPr="00E43137">
              <w:rPr>
                <w:rFonts w:ascii="Calibri" w:hAnsi="Calibri"/>
                <w:color w:val="000000"/>
                <w:sz w:val="18"/>
                <w:szCs w:val="18"/>
              </w:rPr>
              <w:t>2012</w:t>
            </w:r>
          </w:p>
        </w:tc>
        <w:tc>
          <w:tcPr>
            <w:tcW w:w="1060" w:type="dxa"/>
            <w:tcBorders>
              <w:top w:val="nil"/>
              <w:left w:val="nil"/>
              <w:bottom w:val="double" w:sz="6" w:space="0" w:color="auto"/>
              <w:right w:val="single" w:sz="8" w:space="0" w:color="auto"/>
            </w:tcBorders>
            <w:shd w:val="clear" w:color="auto" w:fill="auto"/>
            <w:noWrap/>
            <w:vAlign w:val="bottom"/>
            <w:hideMark/>
          </w:tcPr>
          <w:p w:rsidR="00242C36" w:rsidRPr="00E43137" w:rsidRDefault="00242C36" w:rsidP="00242C36">
            <w:pPr>
              <w:jc w:val="center"/>
              <w:rPr>
                <w:rFonts w:ascii="Calibri" w:hAnsi="Calibri"/>
                <w:color w:val="000000"/>
                <w:sz w:val="18"/>
                <w:szCs w:val="18"/>
              </w:rPr>
            </w:pPr>
            <w:r w:rsidRPr="00E43137">
              <w:rPr>
                <w:rFonts w:ascii="Calibri" w:hAnsi="Calibri"/>
                <w:color w:val="000000"/>
                <w:sz w:val="18"/>
                <w:szCs w:val="18"/>
              </w:rPr>
              <w:t>2012/11</w:t>
            </w:r>
          </w:p>
        </w:tc>
      </w:tr>
      <w:tr w:rsidR="00242C36" w:rsidRPr="00E43137" w:rsidTr="00242C36">
        <w:trPr>
          <w:trHeight w:val="248"/>
        </w:trPr>
        <w:tc>
          <w:tcPr>
            <w:tcW w:w="2815" w:type="dxa"/>
            <w:tcBorders>
              <w:top w:val="nil"/>
              <w:left w:val="single" w:sz="8" w:space="0" w:color="auto"/>
              <w:bottom w:val="single" w:sz="4" w:space="0" w:color="auto"/>
              <w:right w:val="single" w:sz="8" w:space="0" w:color="auto"/>
            </w:tcBorders>
            <w:shd w:val="clear" w:color="auto" w:fill="auto"/>
            <w:noWrap/>
            <w:vAlign w:val="bottom"/>
            <w:hideMark/>
          </w:tcPr>
          <w:p w:rsidR="00242C36" w:rsidRPr="00E43137" w:rsidRDefault="00242C36" w:rsidP="00242C36">
            <w:pPr>
              <w:rPr>
                <w:rFonts w:ascii="Calibri" w:hAnsi="Calibri"/>
                <w:sz w:val="18"/>
                <w:szCs w:val="18"/>
              </w:rPr>
            </w:pPr>
            <w:r w:rsidRPr="00E43137">
              <w:rPr>
                <w:rFonts w:ascii="Calibri" w:hAnsi="Calibri"/>
                <w:sz w:val="18"/>
                <w:szCs w:val="18"/>
              </w:rPr>
              <w:t>H e k t á r o v é    ú r o d y</w:t>
            </w:r>
          </w:p>
        </w:tc>
        <w:tc>
          <w:tcPr>
            <w:tcW w:w="726" w:type="dxa"/>
            <w:tcBorders>
              <w:top w:val="single" w:sz="4" w:space="0" w:color="auto"/>
              <w:left w:val="nil"/>
              <w:bottom w:val="single" w:sz="4" w:space="0" w:color="auto"/>
              <w:right w:val="nil"/>
            </w:tcBorders>
            <w:shd w:val="clear" w:color="auto" w:fill="auto"/>
            <w:noWrap/>
            <w:vAlign w:val="bottom"/>
            <w:hideMark/>
          </w:tcPr>
          <w:p w:rsidR="00242C36" w:rsidRPr="00E43137" w:rsidRDefault="00242C36" w:rsidP="00242C36">
            <w:pPr>
              <w:rPr>
                <w:rFonts w:ascii="Calibri" w:hAnsi="Calibri"/>
                <w:sz w:val="18"/>
                <w:szCs w:val="18"/>
              </w:rPr>
            </w:pPr>
            <w:r w:rsidRPr="00E43137">
              <w:rPr>
                <w:rFonts w:ascii="Calibri" w:hAnsi="Calibri"/>
                <w:sz w:val="18"/>
                <w:szCs w:val="18"/>
              </w:rPr>
              <w:t> </w:t>
            </w:r>
          </w:p>
        </w:tc>
        <w:tc>
          <w:tcPr>
            <w:tcW w:w="828" w:type="dxa"/>
            <w:tcBorders>
              <w:top w:val="single" w:sz="4" w:space="0" w:color="auto"/>
              <w:left w:val="nil"/>
              <w:bottom w:val="single" w:sz="4" w:space="0" w:color="auto"/>
              <w:right w:val="nil"/>
            </w:tcBorders>
            <w:shd w:val="clear" w:color="auto" w:fill="auto"/>
            <w:noWrap/>
            <w:vAlign w:val="bottom"/>
            <w:hideMark/>
          </w:tcPr>
          <w:p w:rsidR="00242C36" w:rsidRPr="00E43137" w:rsidRDefault="00242C36" w:rsidP="00242C36">
            <w:pPr>
              <w:rPr>
                <w:rFonts w:ascii="Calibri" w:hAnsi="Calibri"/>
                <w:sz w:val="18"/>
                <w:szCs w:val="18"/>
              </w:rPr>
            </w:pPr>
            <w:r w:rsidRPr="00E43137">
              <w:rPr>
                <w:rFonts w:ascii="Calibri" w:hAnsi="Calibri"/>
                <w:sz w:val="18"/>
                <w:szCs w:val="18"/>
              </w:rPr>
              <w:t> </w:t>
            </w:r>
          </w:p>
        </w:tc>
        <w:tc>
          <w:tcPr>
            <w:tcW w:w="828" w:type="dxa"/>
            <w:tcBorders>
              <w:top w:val="single" w:sz="4" w:space="0" w:color="auto"/>
              <w:left w:val="nil"/>
              <w:bottom w:val="single" w:sz="4" w:space="0" w:color="auto"/>
              <w:right w:val="nil"/>
            </w:tcBorders>
            <w:shd w:val="clear" w:color="auto" w:fill="auto"/>
            <w:noWrap/>
            <w:vAlign w:val="bottom"/>
            <w:hideMark/>
          </w:tcPr>
          <w:p w:rsidR="00242C36" w:rsidRPr="00E43137" w:rsidRDefault="00242C36" w:rsidP="00242C36">
            <w:pPr>
              <w:rPr>
                <w:rFonts w:ascii="Calibri" w:hAnsi="Calibri"/>
                <w:sz w:val="18"/>
                <w:szCs w:val="18"/>
              </w:rPr>
            </w:pPr>
            <w:r w:rsidRPr="00E43137">
              <w:rPr>
                <w:rFonts w:ascii="Calibri" w:hAnsi="Calibri"/>
                <w:sz w:val="18"/>
                <w:szCs w:val="18"/>
              </w:rPr>
              <w:t> </w:t>
            </w:r>
          </w:p>
        </w:tc>
        <w:tc>
          <w:tcPr>
            <w:tcW w:w="828" w:type="dxa"/>
            <w:tcBorders>
              <w:top w:val="single" w:sz="4" w:space="0" w:color="auto"/>
              <w:left w:val="nil"/>
              <w:bottom w:val="single" w:sz="4" w:space="0" w:color="auto"/>
              <w:right w:val="nil"/>
            </w:tcBorders>
            <w:shd w:val="clear" w:color="auto" w:fill="auto"/>
            <w:noWrap/>
            <w:vAlign w:val="bottom"/>
            <w:hideMark/>
          </w:tcPr>
          <w:p w:rsidR="00242C36" w:rsidRPr="00E43137" w:rsidRDefault="00242C36" w:rsidP="00242C36">
            <w:pPr>
              <w:rPr>
                <w:rFonts w:ascii="Calibri" w:hAnsi="Calibri"/>
                <w:sz w:val="18"/>
                <w:szCs w:val="18"/>
              </w:rPr>
            </w:pPr>
            <w:r w:rsidRPr="00E43137">
              <w:rPr>
                <w:rFonts w:ascii="Calibri" w:hAnsi="Calibri"/>
                <w:sz w:val="18"/>
                <w:szCs w:val="18"/>
              </w:rPr>
              <w:t> </w:t>
            </w:r>
          </w:p>
        </w:tc>
        <w:tc>
          <w:tcPr>
            <w:tcW w:w="828" w:type="dxa"/>
            <w:tcBorders>
              <w:top w:val="single" w:sz="4" w:space="0" w:color="auto"/>
              <w:left w:val="nil"/>
              <w:bottom w:val="single" w:sz="4" w:space="0" w:color="auto"/>
              <w:right w:val="nil"/>
            </w:tcBorders>
            <w:shd w:val="clear" w:color="auto" w:fill="auto"/>
            <w:noWrap/>
            <w:vAlign w:val="bottom"/>
            <w:hideMark/>
          </w:tcPr>
          <w:p w:rsidR="00242C36" w:rsidRPr="00E43137" w:rsidRDefault="00242C36" w:rsidP="00242C36">
            <w:pPr>
              <w:rPr>
                <w:rFonts w:ascii="Calibri" w:hAnsi="Calibri"/>
                <w:color w:val="000000"/>
                <w:sz w:val="18"/>
                <w:szCs w:val="18"/>
              </w:rPr>
            </w:pPr>
            <w:r w:rsidRPr="00E43137">
              <w:rPr>
                <w:rFonts w:ascii="Calibri" w:hAnsi="Calibri"/>
                <w:color w:val="000000"/>
                <w:sz w:val="18"/>
                <w:szCs w:val="18"/>
              </w:rPr>
              <w:t> </w:t>
            </w:r>
          </w:p>
        </w:tc>
        <w:tc>
          <w:tcPr>
            <w:tcW w:w="828" w:type="dxa"/>
            <w:tcBorders>
              <w:top w:val="single" w:sz="4" w:space="0" w:color="auto"/>
              <w:left w:val="nil"/>
              <w:bottom w:val="single" w:sz="4" w:space="0" w:color="auto"/>
              <w:right w:val="nil"/>
            </w:tcBorders>
            <w:shd w:val="clear" w:color="auto" w:fill="auto"/>
            <w:noWrap/>
            <w:vAlign w:val="bottom"/>
            <w:hideMark/>
          </w:tcPr>
          <w:p w:rsidR="00242C36" w:rsidRPr="00E43137" w:rsidRDefault="00242C36" w:rsidP="00242C36">
            <w:pPr>
              <w:rPr>
                <w:rFonts w:ascii="Calibri" w:hAnsi="Calibri"/>
                <w:color w:val="000000"/>
                <w:sz w:val="18"/>
                <w:szCs w:val="18"/>
              </w:rPr>
            </w:pPr>
            <w:r w:rsidRPr="00E43137">
              <w:rPr>
                <w:rFonts w:ascii="Calibri" w:hAnsi="Calibri"/>
                <w:color w:val="000000"/>
                <w:sz w:val="18"/>
                <w:szCs w:val="18"/>
              </w:rPr>
              <w:t> </w:t>
            </w:r>
          </w:p>
        </w:tc>
        <w:tc>
          <w:tcPr>
            <w:tcW w:w="1060" w:type="dxa"/>
            <w:tcBorders>
              <w:top w:val="single" w:sz="4" w:space="0" w:color="auto"/>
              <w:left w:val="nil"/>
              <w:bottom w:val="single" w:sz="4" w:space="0" w:color="auto"/>
              <w:right w:val="single" w:sz="8" w:space="0" w:color="auto"/>
            </w:tcBorders>
            <w:shd w:val="clear" w:color="auto" w:fill="auto"/>
            <w:noWrap/>
            <w:vAlign w:val="bottom"/>
            <w:hideMark/>
          </w:tcPr>
          <w:p w:rsidR="00242C36" w:rsidRPr="00E43137" w:rsidRDefault="00242C36" w:rsidP="00242C36">
            <w:pPr>
              <w:rPr>
                <w:rFonts w:ascii="Calibri" w:hAnsi="Calibri"/>
                <w:color w:val="000000"/>
                <w:sz w:val="18"/>
                <w:szCs w:val="18"/>
              </w:rPr>
            </w:pPr>
            <w:r w:rsidRPr="00E43137">
              <w:rPr>
                <w:rFonts w:ascii="Calibri" w:hAnsi="Calibri"/>
                <w:color w:val="000000"/>
                <w:sz w:val="18"/>
                <w:szCs w:val="18"/>
              </w:rPr>
              <w:t> </w:t>
            </w:r>
          </w:p>
        </w:tc>
      </w:tr>
      <w:tr w:rsidR="00242C36" w:rsidRPr="00E43137" w:rsidTr="00242C36">
        <w:trPr>
          <w:trHeight w:val="300"/>
        </w:trPr>
        <w:tc>
          <w:tcPr>
            <w:tcW w:w="2815" w:type="dxa"/>
            <w:tcBorders>
              <w:top w:val="nil"/>
              <w:left w:val="single" w:sz="8" w:space="0" w:color="auto"/>
              <w:bottom w:val="nil"/>
              <w:right w:val="single" w:sz="8" w:space="0" w:color="auto"/>
            </w:tcBorders>
            <w:shd w:val="clear" w:color="auto" w:fill="auto"/>
            <w:noWrap/>
            <w:vAlign w:val="bottom"/>
            <w:hideMark/>
          </w:tcPr>
          <w:p w:rsidR="00242C36" w:rsidRPr="00E43137" w:rsidRDefault="00242C36" w:rsidP="00242C36">
            <w:pPr>
              <w:rPr>
                <w:rFonts w:ascii="Calibri" w:hAnsi="Calibri"/>
                <w:sz w:val="18"/>
                <w:szCs w:val="18"/>
              </w:rPr>
            </w:pPr>
            <w:r w:rsidRPr="00E43137">
              <w:rPr>
                <w:rFonts w:ascii="Calibri" w:hAnsi="Calibri"/>
                <w:sz w:val="18"/>
                <w:szCs w:val="18"/>
              </w:rPr>
              <w:t>Obilniny spolu</w:t>
            </w:r>
          </w:p>
        </w:tc>
        <w:tc>
          <w:tcPr>
            <w:tcW w:w="726" w:type="dxa"/>
            <w:tcBorders>
              <w:top w:val="nil"/>
              <w:left w:val="nil"/>
              <w:bottom w:val="nil"/>
              <w:right w:val="single" w:sz="4" w:space="0" w:color="auto"/>
            </w:tcBorders>
            <w:shd w:val="clear" w:color="auto" w:fill="auto"/>
            <w:noWrap/>
            <w:vAlign w:val="bottom"/>
            <w:hideMark/>
          </w:tcPr>
          <w:p w:rsidR="00242C36" w:rsidRPr="00E43137" w:rsidRDefault="00242C36" w:rsidP="00242C36">
            <w:pPr>
              <w:jc w:val="center"/>
              <w:rPr>
                <w:rFonts w:ascii="Calibri" w:hAnsi="Calibri"/>
                <w:sz w:val="18"/>
                <w:szCs w:val="18"/>
              </w:rPr>
            </w:pPr>
            <w:r w:rsidRPr="00E43137">
              <w:rPr>
                <w:rFonts w:ascii="Calibri" w:hAnsi="Calibri"/>
                <w:sz w:val="18"/>
                <w:szCs w:val="18"/>
              </w:rPr>
              <w:t>t/ha</w:t>
            </w:r>
          </w:p>
        </w:tc>
        <w:tc>
          <w:tcPr>
            <w:tcW w:w="828" w:type="dxa"/>
            <w:tcBorders>
              <w:top w:val="nil"/>
              <w:left w:val="nil"/>
              <w:bottom w:val="nil"/>
              <w:right w:val="nil"/>
            </w:tcBorders>
            <w:shd w:val="clear" w:color="auto" w:fill="auto"/>
            <w:noWrap/>
            <w:vAlign w:val="bottom"/>
            <w:hideMark/>
          </w:tcPr>
          <w:p w:rsidR="00242C36" w:rsidRPr="00E43137" w:rsidRDefault="00242C36" w:rsidP="00242C36">
            <w:pPr>
              <w:jc w:val="right"/>
              <w:rPr>
                <w:rFonts w:ascii="Calibri" w:hAnsi="Calibri"/>
                <w:color w:val="000000"/>
                <w:sz w:val="18"/>
                <w:szCs w:val="18"/>
              </w:rPr>
            </w:pPr>
            <w:r w:rsidRPr="00E43137">
              <w:rPr>
                <w:rFonts w:ascii="Calibri" w:hAnsi="Calibri"/>
                <w:color w:val="000000"/>
                <w:sz w:val="18"/>
                <w:szCs w:val="18"/>
              </w:rPr>
              <w:t xml:space="preserve">5,18 </w:t>
            </w:r>
          </w:p>
        </w:tc>
        <w:tc>
          <w:tcPr>
            <w:tcW w:w="828" w:type="dxa"/>
            <w:tcBorders>
              <w:top w:val="nil"/>
              <w:left w:val="single" w:sz="4" w:space="0" w:color="auto"/>
              <w:bottom w:val="nil"/>
              <w:right w:val="nil"/>
            </w:tcBorders>
            <w:shd w:val="clear" w:color="auto" w:fill="auto"/>
            <w:noWrap/>
            <w:vAlign w:val="bottom"/>
            <w:hideMark/>
          </w:tcPr>
          <w:p w:rsidR="00242C36" w:rsidRPr="00E43137" w:rsidRDefault="00242C36" w:rsidP="00242C36">
            <w:pPr>
              <w:jc w:val="right"/>
              <w:rPr>
                <w:rFonts w:ascii="Calibri" w:hAnsi="Calibri"/>
                <w:color w:val="000000"/>
                <w:sz w:val="18"/>
                <w:szCs w:val="18"/>
              </w:rPr>
            </w:pPr>
            <w:r w:rsidRPr="00E43137">
              <w:rPr>
                <w:rFonts w:ascii="Calibri" w:hAnsi="Calibri"/>
                <w:color w:val="000000"/>
                <w:sz w:val="18"/>
                <w:szCs w:val="18"/>
              </w:rPr>
              <w:t xml:space="preserve">4,33 </w:t>
            </w:r>
          </w:p>
        </w:tc>
        <w:tc>
          <w:tcPr>
            <w:tcW w:w="828" w:type="dxa"/>
            <w:tcBorders>
              <w:top w:val="nil"/>
              <w:left w:val="single" w:sz="4" w:space="0" w:color="auto"/>
              <w:bottom w:val="nil"/>
              <w:right w:val="nil"/>
            </w:tcBorders>
            <w:shd w:val="clear" w:color="auto" w:fill="auto"/>
            <w:noWrap/>
            <w:vAlign w:val="bottom"/>
            <w:hideMark/>
          </w:tcPr>
          <w:p w:rsidR="00242C36" w:rsidRPr="00E43137" w:rsidRDefault="00242C36" w:rsidP="00242C36">
            <w:pPr>
              <w:jc w:val="right"/>
              <w:rPr>
                <w:rFonts w:ascii="Calibri" w:hAnsi="Calibri"/>
                <w:color w:val="000000"/>
                <w:sz w:val="18"/>
                <w:szCs w:val="18"/>
              </w:rPr>
            </w:pPr>
            <w:r w:rsidRPr="00E43137">
              <w:rPr>
                <w:rFonts w:ascii="Calibri" w:hAnsi="Calibri"/>
                <w:color w:val="000000"/>
                <w:sz w:val="18"/>
                <w:szCs w:val="18"/>
              </w:rPr>
              <w:t xml:space="preserve">3,74 </w:t>
            </w:r>
          </w:p>
        </w:tc>
        <w:tc>
          <w:tcPr>
            <w:tcW w:w="828" w:type="dxa"/>
            <w:tcBorders>
              <w:top w:val="nil"/>
              <w:left w:val="single" w:sz="4" w:space="0" w:color="auto"/>
              <w:bottom w:val="nil"/>
              <w:right w:val="nil"/>
            </w:tcBorders>
            <w:shd w:val="clear" w:color="auto" w:fill="auto"/>
            <w:noWrap/>
            <w:vAlign w:val="bottom"/>
            <w:hideMark/>
          </w:tcPr>
          <w:p w:rsidR="00242C36" w:rsidRPr="00E43137" w:rsidRDefault="00242C36" w:rsidP="00242C36">
            <w:pPr>
              <w:jc w:val="right"/>
              <w:rPr>
                <w:rFonts w:ascii="Calibri" w:hAnsi="Calibri"/>
                <w:color w:val="000000"/>
                <w:sz w:val="18"/>
                <w:szCs w:val="18"/>
              </w:rPr>
            </w:pPr>
            <w:r w:rsidRPr="00E43137">
              <w:rPr>
                <w:rFonts w:ascii="Calibri" w:hAnsi="Calibri"/>
                <w:color w:val="000000"/>
                <w:sz w:val="18"/>
                <w:szCs w:val="18"/>
              </w:rPr>
              <w:t xml:space="preserve">5,01 </w:t>
            </w:r>
          </w:p>
        </w:tc>
        <w:tc>
          <w:tcPr>
            <w:tcW w:w="828" w:type="dxa"/>
            <w:tcBorders>
              <w:top w:val="nil"/>
              <w:left w:val="single" w:sz="4" w:space="0" w:color="auto"/>
              <w:bottom w:val="nil"/>
              <w:right w:val="nil"/>
            </w:tcBorders>
            <w:shd w:val="clear" w:color="auto" w:fill="auto"/>
            <w:noWrap/>
            <w:vAlign w:val="bottom"/>
            <w:hideMark/>
          </w:tcPr>
          <w:p w:rsidR="00242C36" w:rsidRPr="00E43137" w:rsidRDefault="00242C36" w:rsidP="00242C36">
            <w:pPr>
              <w:jc w:val="right"/>
              <w:rPr>
                <w:rFonts w:ascii="Calibri" w:hAnsi="Calibri"/>
                <w:color w:val="000000"/>
                <w:sz w:val="18"/>
                <w:szCs w:val="18"/>
              </w:rPr>
            </w:pPr>
            <w:r w:rsidRPr="00E43137">
              <w:rPr>
                <w:rFonts w:ascii="Calibri" w:hAnsi="Calibri"/>
                <w:color w:val="000000"/>
                <w:sz w:val="18"/>
                <w:szCs w:val="18"/>
              </w:rPr>
              <w:t xml:space="preserve">3,83 </w:t>
            </w:r>
          </w:p>
        </w:tc>
        <w:tc>
          <w:tcPr>
            <w:tcW w:w="1060" w:type="dxa"/>
            <w:tcBorders>
              <w:top w:val="nil"/>
              <w:left w:val="single" w:sz="4" w:space="0" w:color="auto"/>
              <w:bottom w:val="nil"/>
              <w:right w:val="single" w:sz="8" w:space="0" w:color="auto"/>
            </w:tcBorders>
            <w:shd w:val="clear" w:color="auto" w:fill="auto"/>
            <w:noWrap/>
            <w:vAlign w:val="bottom"/>
            <w:hideMark/>
          </w:tcPr>
          <w:p w:rsidR="00242C36" w:rsidRPr="00E43137" w:rsidRDefault="00242C36" w:rsidP="00242C36">
            <w:pPr>
              <w:jc w:val="right"/>
              <w:rPr>
                <w:rFonts w:ascii="Calibri" w:hAnsi="Calibri"/>
                <w:color w:val="000000"/>
                <w:sz w:val="18"/>
                <w:szCs w:val="18"/>
              </w:rPr>
            </w:pPr>
            <w:r w:rsidRPr="00E43137">
              <w:rPr>
                <w:rFonts w:ascii="Calibri" w:hAnsi="Calibri"/>
                <w:color w:val="000000"/>
                <w:sz w:val="18"/>
                <w:szCs w:val="18"/>
              </w:rPr>
              <w:t xml:space="preserve">76,4 </w:t>
            </w:r>
          </w:p>
        </w:tc>
      </w:tr>
      <w:tr w:rsidR="00242C36" w:rsidRPr="00E43137" w:rsidTr="00242C36">
        <w:trPr>
          <w:trHeight w:val="300"/>
        </w:trPr>
        <w:tc>
          <w:tcPr>
            <w:tcW w:w="2815" w:type="dxa"/>
            <w:tcBorders>
              <w:top w:val="nil"/>
              <w:left w:val="single" w:sz="8" w:space="0" w:color="auto"/>
              <w:bottom w:val="nil"/>
              <w:right w:val="single" w:sz="8" w:space="0" w:color="auto"/>
            </w:tcBorders>
            <w:shd w:val="clear" w:color="auto" w:fill="auto"/>
            <w:noWrap/>
            <w:vAlign w:val="bottom"/>
            <w:hideMark/>
          </w:tcPr>
          <w:p w:rsidR="00242C36" w:rsidRPr="00E43137" w:rsidRDefault="00242C36" w:rsidP="00242C36">
            <w:pPr>
              <w:rPr>
                <w:rFonts w:ascii="Calibri" w:hAnsi="Calibri"/>
                <w:sz w:val="18"/>
                <w:szCs w:val="18"/>
              </w:rPr>
            </w:pPr>
            <w:r w:rsidRPr="00E43137">
              <w:rPr>
                <w:rFonts w:ascii="Calibri" w:hAnsi="Calibri"/>
                <w:sz w:val="18"/>
                <w:szCs w:val="18"/>
              </w:rPr>
              <w:t>z toho: pšenica</w:t>
            </w:r>
          </w:p>
        </w:tc>
        <w:tc>
          <w:tcPr>
            <w:tcW w:w="726" w:type="dxa"/>
            <w:tcBorders>
              <w:top w:val="nil"/>
              <w:left w:val="nil"/>
              <w:bottom w:val="nil"/>
              <w:right w:val="single" w:sz="4" w:space="0" w:color="auto"/>
            </w:tcBorders>
            <w:shd w:val="clear" w:color="auto" w:fill="auto"/>
            <w:noWrap/>
            <w:vAlign w:val="bottom"/>
            <w:hideMark/>
          </w:tcPr>
          <w:p w:rsidR="00242C36" w:rsidRPr="00E43137" w:rsidRDefault="00242C36" w:rsidP="00242C36">
            <w:pPr>
              <w:jc w:val="center"/>
              <w:rPr>
                <w:rFonts w:ascii="Calibri" w:hAnsi="Calibri"/>
                <w:sz w:val="18"/>
                <w:szCs w:val="18"/>
              </w:rPr>
            </w:pPr>
            <w:r w:rsidRPr="00E43137">
              <w:rPr>
                <w:rFonts w:ascii="Calibri" w:hAnsi="Calibri"/>
                <w:sz w:val="18"/>
                <w:szCs w:val="18"/>
              </w:rPr>
              <w:t>t/ha</w:t>
            </w:r>
          </w:p>
        </w:tc>
        <w:tc>
          <w:tcPr>
            <w:tcW w:w="828" w:type="dxa"/>
            <w:tcBorders>
              <w:top w:val="nil"/>
              <w:left w:val="nil"/>
              <w:bottom w:val="nil"/>
              <w:right w:val="nil"/>
            </w:tcBorders>
            <w:shd w:val="clear" w:color="auto" w:fill="auto"/>
            <w:noWrap/>
            <w:vAlign w:val="bottom"/>
            <w:hideMark/>
          </w:tcPr>
          <w:p w:rsidR="00242C36" w:rsidRPr="00E43137" w:rsidRDefault="00242C36" w:rsidP="00242C36">
            <w:pPr>
              <w:jc w:val="right"/>
              <w:rPr>
                <w:rFonts w:ascii="Calibri" w:hAnsi="Calibri"/>
                <w:color w:val="000000"/>
                <w:sz w:val="18"/>
                <w:szCs w:val="18"/>
              </w:rPr>
            </w:pPr>
            <w:r w:rsidRPr="00E43137">
              <w:rPr>
                <w:rFonts w:ascii="Calibri" w:hAnsi="Calibri"/>
                <w:color w:val="000000"/>
                <w:sz w:val="18"/>
                <w:szCs w:val="18"/>
              </w:rPr>
              <w:t xml:space="preserve">4,87 </w:t>
            </w:r>
          </w:p>
        </w:tc>
        <w:tc>
          <w:tcPr>
            <w:tcW w:w="828" w:type="dxa"/>
            <w:tcBorders>
              <w:top w:val="nil"/>
              <w:left w:val="single" w:sz="4" w:space="0" w:color="auto"/>
              <w:bottom w:val="nil"/>
              <w:right w:val="nil"/>
            </w:tcBorders>
            <w:shd w:val="clear" w:color="auto" w:fill="auto"/>
            <w:noWrap/>
            <w:vAlign w:val="bottom"/>
            <w:hideMark/>
          </w:tcPr>
          <w:p w:rsidR="00242C36" w:rsidRPr="00E43137" w:rsidRDefault="00242C36" w:rsidP="00242C36">
            <w:pPr>
              <w:jc w:val="right"/>
              <w:rPr>
                <w:rFonts w:ascii="Calibri" w:hAnsi="Calibri"/>
                <w:color w:val="000000"/>
                <w:sz w:val="18"/>
                <w:szCs w:val="18"/>
              </w:rPr>
            </w:pPr>
            <w:r w:rsidRPr="00E43137">
              <w:rPr>
                <w:rFonts w:ascii="Calibri" w:hAnsi="Calibri"/>
                <w:color w:val="000000"/>
                <w:sz w:val="18"/>
                <w:szCs w:val="18"/>
              </w:rPr>
              <w:t xml:space="preserve">4,06 </w:t>
            </w:r>
          </w:p>
        </w:tc>
        <w:tc>
          <w:tcPr>
            <w:tcW w:w="828" w:type="dxa"/>
            <w:tcBorders>
              <w:top w:val="nil"/>
              <w:left w:val="single" w:sz="4" w:space="0" w:color="auto"/>
              <w:bottom w:val="nil"/>
              <w:right w:val="nil"/>
            </w:tcBorders>
            <w:shd w:val="clear" w:color="auto" w:fill="auto"/>
            <w:noWrap/>
            <w:vAlign w:val="bottom"/>
            <w:hideMark/>
          </w:tcPr>
          <w:p w:rsidR="00242C36" w:rsidRPr="00E43137" w:rsidRDefault="00242C36" w:rsidP="00242C36">
            <w:pPr>
              <w:jc w:val="right"/>
              <w:rPr>
                <w:rFonts w:ascii="Calibri" w:hAnsi="Calibri"/>
                <w:color w:val="000000"/>
                <w:sz w:val="18"/>
                <w:szCs w:val="18"/>
              </w:rPr>
            </w:pPr>
            <w:r w:rsidRPr="00E43137">
              <w:rPr>
                <w:rFonts w:ascii="Calibri" w:hAnsi="Calibri"/>
                <w:color w:val="000000"/>
                <w:sz w:val="18"/>
                <w:szCs w:val="18"/>
              </w:rPr>
              <w:t xml:space="preserve">3,46 </w:t>
            </w:r>
          </w:p>
        </w:tc>
        <w:tc>
          <w:tcPr>
            <w:tcW w:w="828" w:type="dxa"/>
            <w:tcBorders>
              <w:top w:val="nil"/>
              <w:left w:val="single" w:sz="4" w:space="0" w:color="auto"/>
              <w:bottom w:val="nil"/>
              <w:right w:val="nil"/>
            </w:tcBorders>
            <w:shd w:val="clear" w:color="auto" w:fill="auto"/>
            <w:noWrap/>
            <w:vAlign w:val="bottom"/>
            <w:hideMark/>
          </w:tcPr>
          <w:p w:rsidR="00242C36" w:rsidRPr="00E43137" w:rsidRDefault="00242C36" w:rsidP="00242C36">
            <w:pPr>
              <w:jc w:val="right"/>
              <w:rPr>
                <w:rFonts w:ascii="Calibri" w:hAnsi="Calibri"/>
                <w:color w:val="000000"/>
                <w:sz w:val="18"/>
                <w:szCs w:val="18"/>
              </w:rPr>
            </w:pPr>
            <w:r w:rsidRPr="00E43137">
              <w:rPr>
                <w:rFonts w:ascii="Calibri" w:hAnsi="Calibri"/>
                <w:color w:val="000000"/>
                <w:sz w:val="18"/>
                <w:szCs w:val="18"/>
              </w:rPr>
              <w:t xml:space="preserve">4,50 </w:t>
            </w:r>
          </w:p>
        </w:tc>
        <w:tc>
          <w:tcPr>
            <w:tcW w:w="828" w:type="dxa"/>
            <w:tcBorders>
              <w:top w:val="nil"/>
              <w:left w:val="single" w:sz="4" w:space="0" w:color="auto"/>
              <w:bottom w:val="nil"/>
              <w:right w:val="nil"/>
            </w:tcBorders>
            <w:shd w:val="clear" w:color="auto" w:fill="auto"/>
            <w:noWrap/>
            <w:vAlign w:val="bottom"/>
            <w:hideMark/>
          </w:tcPr>
          <w:p w:rsidR="00242C36" w:rsidRPr="00E43137" w:rsidRDefault="00242C36" w:rsidP="00242C36">
            <w:pPr>
              <w:jc w:val="right"/>
              <w:rPr>
                <w:rFonts w:ascii="Calibri" w:hAnsi="Calibri"/>
                <w:color w:val="000000"/>
                <w:sz w:val="18"/>
                <w:szCs w:val="18"/>
              </w:rPr>
            </w:pPr>
            <w:r w:rsidRPr="00E43137">
              <w:rPr>
                <w:rFonts w:ascii="Calibri" w:hAnsi="Calibri"/>
                <w:color w:val="000000"/>
                <w:sz w:val="18"/>
                <w:szCs w:val="18"/>
              </w:rPr>
              <w:t xml:space="preserve">3,29 </w:t>
            </w:r>
          </w:p>
        </w:tc>
        <w:tc>
          <w:tcPr>
            <w:tcW w:w="1060" w:type="dxa"/>
            <w:tcBorders>
              <w:top w:val="nil"/>
              <w:left w:val="single" w:sz="4" w:space="0" w:color="auto"/>
              <w:bottom w:val="nil"/>
              <w:right w:val="single" w:sz="8" w:space="0" w:color="auto"/>
            </w:tcBorders>
            <w:shd w:val="clear" w:color="auto" w:fill="auto"/>
            <w:noWrap/>
            <w:vAlign w:val="bottom"/>
            <w:hideMark/>
          </w:tcPr>
          <w:p w:rsidR="00242C36" w:rsidRPr="00E43137" w:rsidRDefault="00242C36" w:rsidP="00242C36">
            <w:pPr>
              <w:jc w:val="right"/>
              <w:rPr>
                <w:rFonts w:ascii="Calibri" w:hAnsi="Calibri"/>
                <w:color w:val="000000"/>
                <w:sz w:val="18"/>
                <w:szCs w:val="18"/>
              </w:rPr>
            </w:pPr>
            <w:r w:rsidRPr="00E43137">
              <w:rPr>
                <w:rFonts w:ascii="Calibri" w:hAnsi="Calibri"/>
                <w:color w:val="000000"/>
                <w:sz w:val="18"/>
                <w:szCs w:val="18"/>
              </w:rPr>
              <w:t xml:space="preserve">73,1 </w:t>
            </w:r>
          </w:p>
        </w:tc>
      </w:tr>
      <w:tr w:rsidR="00242C36" w:rsidRPr="00E43137" w:rsidTr="00242C36">
        <w:trPr>
          <w:trHeight w:val="300"/>
        </w:trPr>
        <w:tc>
          <w:tcPr>
            <w:tcW w:w="2815" w:type="dxa"/>
            <w:tcBorders>
              <w:top w:val="nil"/>
              <w:left w:val="single" w:sz="8" w:space="0" w:color="auto"/>
              <w:bottom w:val="nil"/>
              <w:right w:val="single" w:sz="8" w:space="0" w:color="auto"/>
            </w:tcBorders>
            <w:shd w:val="clear" w:color="auto" w:fill="auto"/>
            <w:noWrap/>
            <w:vAlign w:val="bottom"/>
            <w:hideMark/>
          </w:tcPr>
          <w:p w:rsidR="00242C36" w:rsidRPr="00E43137" w:rsidRDefault="00242C36" w:rsidP="00242C36">
            <w:pPr>
              <w:rPr>
                <w:rFonts w:ascii="Calibri" w:hAnsi="Calibri"/>
                <w:sz w:val="18"/>
                <w:szCs w:val="18"/>
              </w:rPr>
            </w:pPr>
            <w:r w:rsidRPr="00E43137">
              <w:rPr>
                <w:rFonts w:ascii="Calibri" w:hAnsi="Calibri"/>
                <w:sz w:val="18"/>
                <w:szCs w:val="18"/>
              </w:rPr>
              <w:t xml:space="preserve">           jačmeň</w:t>
            </w:r>
          </w:p>
        </w:tc>
        <w:tc>
          <w:tcPr>
            <w:tcW w:w="726" w:type="dxa"/>
            <w:tcBorders>
              <w:top w:val="nil"/>
              <w:left w:val="nil"/>
              <w:bottom w:val="nil"/>
              <w:right w:val="single" w:sz="4" w:space="0" w:color="auto"/>
            </w:tcBorders>
            <w:shd w:val="clear" w:color="auto" w:fill="auto"/>
            <w:noWrap/>
            <w:vAlign w:val="bottom"/>
            <w:hideMark/>
          </w:tcPr>
          <w:p w:rsidR="00242C36" w:rsidRPr="00E43137" w:rsidRDefault="00242C36" w:rsidP="00242C36">
            <w:pPr>
              <w:jc w:val="center"/>
              <w:rPr>
                <w:rFonts w:ascii="Calibri" w:hAnsi="Calibri"/>
                <w:sz w:val="18"/>
                <w:szCs w:val="18"/>
              </w:rPr>
            </w:pPr>
            <w:r w:rsidRPr="00E43137">
              <w:rPr>
                <w:rFonts w:ascii="Calibri" w:hAnsi="Calibri"/>
                <w:sz w:val="18"/>
                <w:szCs w:val="18"/>
              </w:rPr>
              <w:t>t/ha</w:t>
            </w:r>
          </w:p>
        </w:tc>
        <w:tc>
          <w:tcPr>
            <w:tcW w:w="828" w:type="dxa"/>
            <w:tcBorders>
              <w:top w:val="nil"/>
              <w:left w:val="nil"/>
              <w:bottom w:val="nil"/>
              <w:right w:val="nil"/>
            </w:tcBorders>
            <w:shd w:val="clear" w:color="auto" w:fill="auto"/>
            <w:noWrap/>
            <w:vAlign w:val="bottom"/>
            <w:hideMark/>
          </w:tcPr>
          <w:p w:rsidR="00242C36" w:rsidRPr="00E43137" w:rsidRDefault="00242C36" w:rsidP="00242C36">
            <w:pPr>
              <w:jc w:val="right"/>
              <w:rPr>
                <w:rFonts w:ascii="Calibri" w:hAnsi="Calibri"/>
                <w:color w:val="000000"/>
                <w:sz w:val="18"/>
                <w:szCs w:val="18"/>
              </w:rPr>
            </w:pPr>
            <w:r w:rsidRPr="00E43137">
              <w:rPr>
                <w:rFonts w:ascii="Calibri" w:hAnsi="Calibri"/>
                <w:color w:val="000000"/>
                <w:sz w:val="18"/>
                <w:szCs w:val="18"/>
              </w:rPr>
              <w:t xml:space="preserve">4,18 </w:t>
            </w:r>
          </w:p>
        </w:tc>
        <w:tc>
          <w:tcPr>
            <w:tcW w:w="828" w:type="dxa"/>
            <w:tcBorders>
              <w:top w:val="nil"/>
              <w:left w:val="single" w:sz="4" w:space="0" w:color="auto"/>
              <w:bottom w:val="nil"/>
              <w:right w:val="nil"/>
            </w:tcBorders>
            <w:shd w:val="clear" w:color="auto" w:fill="auto"/>
            <w:noWrap/>
            <w:vAlign w:val="bottom"/>
            <w:hideMark/>
          </w:tcPr>
          <w:p w:rsidR="00242C36" w:rsidRPr="00E43137" w:rsidRDefault="00242C36" w:rsidP="00242C36">
            <w:pPr>
              <w:jc w:val="right"/>
              <w:rPr>
                <w:rFonts w:ascii="Calibri" w:hAnsi="Calibri"/>
                <w:color w:val="000000"/>
                <w:sz w:val="18"/>
                <w:szCs w:val="18"/>
              </w:rPr>
            </w:pPr>
            <w:r w:rsidRPr="00E43137">
              <w:rPr>
                <w:rFonts w:ascii="Calibri" w:hAnsi="Calibri"/>
                <w:color w:val="000000"/>
                <w:sz w:val="18"/>
                <w:szCs w:val="18"/>
              </w:rPr>
              <w:t xml:space="preserve">3,45 </w:t>
            </w:r>
          </w:p>
        </w:tc>
        <w:tc>
          <w:tcPr>
            <w:tcW w:w="828" w:type="dxa"/>
            <w:tcBorders>
              <w:top w:val="nil"/>
              <w:left w:val="single" w:sz="4" w:space="0" w:color="auto"/>
              <w:bottom w:val="nil"/>
              <w:right w:val="nil"/>
            </w:tcBorders>
            <w:shd w:val="clear" w:color="auto" w:fill="auto"/>
            <w:noWrap/>
            <w:vAlign w:val="bottom"/>
            <w:hideMark/>
          </w:tcPr>
          <w:p w:rsidR="00242C36" w:rsidRPr="00E43137" w:rsidRDefault="00242C36" w:rsidP="00242C36">
            <w:pPr>
              <w:jc w:val="right"/>
              <w:rPr>
                <w:rFonts w:ascii="Calibri" w:hAnsi="Calibri"/>
                <w:color w:val="000000"/>
                <w:sz w:val="18"/>
                <w:szCs w:val="18"/>
              </w:rPr>
            </w:pPr>
            <w:r w:rsidRPr="00E43137">
              <w:rPr>
                <w:rFonts w:ascii="Calibri" w:hAnsi="Calibri"/>
                <w:color w:val="000000"/>
                <w:sz w:val="18"/>
                <w:szCs w:val="18"/>
              </w:rPr>
              <w:t xml:space="preserve">2,72 </w:t>
            </w:r>
          </w:p>
        </w:tc>
        <w:tc>
          <w:tcPr>
            <w:tcW w:w="828" w:type="dxa"/>
            <w:tcBorders>
              <w:top w:val="nil"/>
              <w:left w:val="single" w:sz="4" w:space="0" w:color="auto"/>
              <w:bottom w:val="nil"/>
              <w:right w:val="nil"/>
            </w:tcBorders>
            <w:shd w:val="clear" w:color="auto" w:fill="auto"/>
            <w:noWrap/>
            <w:vAlign w:val="bottom"/>
            <w:hideMark/>
          </w:tcPr>
          <w:p w:rsidR="00242C36" w:rsidRPr="00E43137" w:rsidRDefault="00242C36" w:rsidP="00242C36">
            <w:pPr>
              <w:jc w:val="right"/>
              <w:rPr>
                <w:rFonts w:ascii="Calibri" w:hAnsi="Calibri"/>
                <w:color w:val="000000"/>
                <w:sz w:val="18"/>
                <w:szCs w:val="18"/>
              </w:rPr>
            </w:pPr>
            <w:r w:rsidRPr="00E43137">
              <w:rPr>
                <w:rFonts w:ascii="Calibri" w:hAnsi="Calibri"/>
                <w:color w:val="000000"/>
                <w:sz w:val="18"/>
                <w:szCs w:val="18"/>
              </w:rPr>
              <w:t xml:space="preserve">3,87 </w:t>
            </w:r>
          </w:p>
        </w:tc>
        <w:tc>
          <w:tcPr>
            <w:tcW w:w="828" w:type="dxa"/>
            <w:tcBorders>
              <w:top w:val="nil"/>
              <w:left w:val="single" w:sz="4" w:space="0" w:color="auto"/>
              <w:bottom w:val="nil"/>
              <w:right w:val="nil"/>
            </w:tcBorders>
            <w:shd w:val="clear" w:color="auto" w:fill="auto"/>
            <w:noWrap/>
            <w:vAlign w:val="bottom"/>
            <w:hideMark/>
          </w:tcPr>
          <w:p w:rsidR="00242C36" w:rsidRPr="00E43137" w:rsidRDefault="00242C36" w:rsidP="00242C36">
            <w:pPr>
              <w:jc w:val="right"/>
              <w:rPr>
                <w:rFonts w:ascii="Calibri" w:hAnsi="Calibri"/>
                <w:color w:val="000000"/>
                <w:sz w:val="18"/>
                <w:szCs w:val="18"/>
              </w:rPr>
            </w:pPr>
            <w:r w:rsidRPr="00E43137">
              <w:rPr>
                <w:rFonts w:ascii="Calibri" w:hAnsi="Calibri"/>
                <w:color w:val="000000"/>
                <w:sz w:val="18"/>
                <w:szCs w:val="18"/>
              </w:rPr>
              <w:t xml:space="preserve">3,18 </w:t>
            </w:r>
          </w:p>
        </w:tc>
        <w:tc>
          <w:tcPr>
            <w:tcW w:w="1060" w:type="dxa"/>
            <w:tcBorders>
              <w:top w:val="nil"/>
              <w:left w:val="single" w:sz="4" w:space="0" w:color="auto"/>
              <w:bottom w:val="nil"/>
              <w:right w:val="single" w:sz="8" w:space="0" w:color="auto"/>
            </w:tcBorders>
            <w:shd w:val="clear" w:color="auto" w:fill="auto"/>
            <w:noWrap/>
            <w:vAlign w:val="bottom"/>
            <w:hideMark/>
          </w:tcPr>
          <w:p w:rsidR="00242C36" w:rsidRPr="00E43137" w:rsidRDefault="00242C36" w:rsidP="00242C36">
            <w:pPr>
              <w:jc w:val="right"/>
              <w:rPr>
                <w:rFonts w:ascii="Calibri" w:hAnsi="Calibri"/>
                <w:color w:val="000000"/>
                <w:sz w:val="18"/>
                <w:szCs w:val="18"/>
              </w:rPr>
            </w:pPr>
            <w:r w:rsidRPr="00E43137">
              <w:rPr>
                <w:rFonts w:ascii="Calibri" w:hAnsi="Calibri"/>
                <w:color w:val="000000"/>
                <w:sz w:val="18"/>
                <w:szCs w:val="18"/>
              </w:rPr>
              <w:t xml:space="preserve">82,2 </w:t>
            </w:r>
          </w:p>
        </w:tc>
      </w:tr>
      <w:tr w:rsidR="00242C36" w:rsidRPr="00E43137" w:rsidTr="00242C36">
        <w:trPr>
          <w:trHeight w:val="300"/>
        </w:trPr>
        <w:tc>
          <w:tcPr>
            <w:tcW w:w="2815" w:type="dxa"/>
            <w:tcBorders>
              <w:top w:val="nil"/>
              <w:left w:val="single" w:sz="8" w:space="0" w:color="auto"/>
              <w:bottom w:val="nil"/>
              <w:right w:val="single" w:sz="8" w:space="0" w:color="auto"/>
            </w:tcBorders>
            <w:shd w:val="clear" w:color="auto" w:fill="auto"/>
            <w:noWrap/>
            <w:vAlign w:val="bottom"/>
            <w:hideMark/>
          </w:tcPr>
          <w:p w:rsidR="00242C36" w:rsidRPr="00E43137" w:rsidRDefault="00242C36" w:rsidP="00242C36">
            <w:pPr>
              <w:rPr>
                <w:rFonts w:ascii="Calibri" w:hAnsi="Calibri"/>
                <w:sz w:val="18"/>
                <w:szCs w:val="18"/>
              </w:rPr>
            </w:pPr>
            <w:r w:rsidRPr="00E43137">
              <w:rPr>
                <w:rFonts w:ascii="Calibri" w:hAnsi="Calibri"/>
                <w:sz w:val="18"/>
                <w:szCs w:val="18"/>
              </w:rPr>
              <w:t xml:space="preserve">           raž</w:t>
            </w:r>
          </w:p>
        </w:tc>
        <w:tc>
          <w:tcPr>
            <w:tcW w:w="726" w:type="dxa"/>
            <w:tcBorders>
              <w:top w:val="nil"/>
              <w:left w:val="nil"/>
              <w:bottom w:val="nil"/>
              <w:right w:val="single" w:sz="4" w:space="0" w:color="auto"/>
            </w:tcBorders>
            <w:shd w:val="clear" w:color="auto" w:fill="auto"/>
            <w:noWrap/>
            <w:vAlign w:val="bottom"/>
            <w:hideMark/>
          </w:tcPr>
          <w:p w:rsidR="00242C36" w:rsidRPr="00E43137" w:rsidRDefault="00242C36" w:rsidP="00242C36">
            <w:pPr>
              <w:jc w:val="center"/>
              <w:rPr>
                <w:rFonts w:ascii="Calibri" w:hAnsi="Calibri"/>
                <w:sz w:val="18"/>
                <w:szCs w:val="18"/>
              </w:rPr>
            </w:pPr>
            <w:r w:rsidRPr="00E43137">
              <w:rPr>
                <w:rFonts w:ascii="Calibri" w:hAnsi="Calibri"/>
                <w:sz w:val="18"/>
                <w:szCs w:val="18"/>
              </w:rPr>
              <w:t>t/ha</w:t>
            </w:r>
          </w:p>
        </w:tc>
        <w:tc>
          <w:tcPr>
            <w:tcW w:w="828" w:type="dxa"/>
            <w:tcBorders>
              <w:top w:val="nil"/>
              <w:left w:val="nil"/>
              <w:bottom w:val="nil"/>
              <w:right w:val="nil"/>
            </w:tcBorders>
            <w:shd w:val="clear" w:color="auto" w:fill="auto"/>
            <w:noWrap/>
            <w:vAlign w:val="bottom"/>
            <w:hideMark/>
          </w:tcPr>
          <w:p w:rsidR="00242C36" w:rsidRPr="00E43137" w:rsidRDefault="00242C36" w:rsidP="00242C36">
            <w:pPr>
              <w:jc w:val="right"/>
              <w:rPr>
                <w:rFonts w:ascii="Calibri" w:hAnsi="Calibri"/>
                <w:color w:val="000000"/>
                <w:sz w:val="18"/>
                <w:szCs w:val="18"/>
              </w:rPr>
            </w:pPr>
            <w:r w:rsidRPr="00E43137">
              <w:rPr>
                <w:rFonts w:ascii="Calibri" w:hAnsi="Calibri"/>
                <w:color w:val="000000"/>
                <w:sz w:val="18"/>
                <w:szCs w:val="18"/>
              </w:rPr>
              <w:t xml:space="preserve">3,10 </w:t>
            </w:r>
          </w:p>
        </w:tc>
        <w:tc>
          <w:tcPr>
            <w:tcW w:w="828" w:type="dxa"/>
            <w:tcBorders>
              <w:top w:val="nil"/>
              <w:left w:val="single" w:sz="4" w:space="0" w:color="auto"/>
              <w:bottom w:val="nil"/>
              <w:right w:val="nil"/>
            </w:tcBorders>
            <w:shd w:val="clear" w:color="auto" w:fill="auto"/>
            <w:noWrap/>
            <w:vAlign w:val="bottom"/>
            <w:hideMark/>
          </w:tcPr>
          <w:p w:rsidR="00242C36" w:rsidRPr="00E43137" w:rsidRDefault="00242C36" w:rsidP="00242C36">
            <w:pPr>
              <w:jc w:val="right"/>
              <w:rPr>
                <w:rFonts w:ascii="Calibri" w:hAnsi="Calibri"/>
                <w:color w:val="000000"/>
                <w:sz w:val="18"/>
                <w:szCs w:val="18"/>
              </w:rPr>
            </w:pPr>
            <w:r w:rsidRPr="00E43137">
              <w:rPr>
                <w:rFonts w:ascii="Calibri" w:hAnsi="Calibri"/>
                <w:color w:val="000000"/>
                <w:sz w:val="18"/>
                <w:szCs w:val="18"/>
              </w:rPr>
              <w:t xml:space="preserve">2,87 </w:t>
            </w:r>
          </w:p>
        </w:tc>
        <w:tc>
          <w:tcPr>
            <w:tcW w:w="828" w:type="dxa"/>
            <w:tcBorders>
              <w:top w:val="nil"/>
              <w:left w:val="single" w:sz="4" w:space="0" w:color="auto"/>
              <w:bottom w:val="nil"/>
              <w:right w:val="nil"/>
            </w:tcBorders>
            <w:shd w:val="clear" w:color="auto" w:fill="auto"/>
            <w:noWrap/>
            <w:vAlign w:val="bottom"/>
            <w:hideMark/>
          </w:tcPr>
          <w:p w:rsidR="00242C36" w:rsidRPr="00E43137" w:rsidRDefault="00242C36" w:rsidP="00242C36">
            <w:pPr>
              <w:jc w:val="right"/>
              <w:rPr>
                <w:rFonts w:ascii="Calibri" w:hAnsi="Calibri"/>
                <w:color w:val="000000"/>
                <w:sz w:val="18"/>
                <w:szCs w:val="18"/>
              </w:rPr>
            </w:pPr>
            <w:r w:rsidRPr="00E43137">
              <w:rPr>
                <w:rFonts w:ascii="Calibri" w:hAnsi="Calibri"/>
                <w:color w:val="000000"/>
                <w:sz w:val="18"/>
                <w:szCs w:val="18"/>
              </w:rPr>
              <w:t xml:space="preserve">2,23 </w:t>
            </w:r>
          </w:p>
        </w:tc>
        <w:tc>
          <w:tcPr>
            <w:tcW w:w="828" w:type="dxa"/>
            <w:tcBorders>
              <w:top w:val="nil"/>
              <w:left w:val="single" w:sz="4" w:space="0" w:color="auto"/>
              <w:bottom w:val="nil"/>
              <w:right w:val="nil"/>
            </w:tcBorders>
            <w:shd w:val="clear" w:color="auto" w:fill="auto"/>
            <w:noWrap/>
            <w:vAlign w:val="bottom"/>
            <w:hideMark/>
          </w:tcPr>
          <w:p w:rsidR="00242C36" w:rsidRPr="00E43137" w:rsidRDefault="00242C36" w:rsidP="00242C36">
            <w:pPr>
              <w:jc w:val="right"/>
              <w:rPr>
                <w:rFonts w:ascii="Calibri" w:hAnsi="Calibri"/>
                <w:color w:val="000000"/>
                <w:sz w:val="18"/>
                <w:szCs w:val="18"/>
              </w:rPr>
            </w:pPr>
            <w:r w:rsidRPr="00E43137">
              <w:rPr>
                <w:rFonts w:ascii="Calibri" w:hAnsi="Calibri"/>
                <w:color w:val="000000"/>
                <w:sz w:val="18"/>
                <w:szCs w:val="18"/>
              </w:rPr>
              <w:t xml:space="preserve">3,18 </w:t>
            </w:r>
          </w:p>
        </w:tc>
        <w:tc>
          <w:tcPr>
            <w:tcW w:w="828" w:type="dxa"/>
            <w:tcBorders>
              <w:top w:val="nil"/>
              <w:left w:val="single" w:sz="4" w:space="0" w:color="auto"/>
              <w:bottom w:val="nil"/>
              <w:right w:val="nil"/>
            </w:tcBorders>
            <w:shd w:val="clear" w:color="auto" w:fill="auto"/>
            <w:noWrap/>
            <w:vAlign w:val="bottom"/>
            <w:hideMark/>
          </w:tcPr>
          <w:p w:rsidR="00242C36" w:rsidRPr="00E43137" w:rsidRDefault="00242C36" w:rsidP="00242C36">
            <w:pPr>
              <w:jc w:val="right"/>
              <w:rPr>
                <w:rFonts w:ascii="Calibri" w:hAnsi="Calibri"/>
                <w:color w:val="000000"/>
                <w:sz w:val="18"/>
                <w:szCs w:val="18"/>
              </w:rPr>
            </w:pPr>
            <w:r w:rsidRPr="00E43137">
              <w:rPr>
                <w:rFonts w:ascii="Calibri" w:hAnsi="Calibri"/>
                <w:color w:val="000000"/>
                <w:sz w:val="18"/>
                <w:szCs w:val="18"/>
              </w:rPr>
              <w:t xml:space="preserve">3,14 </w:t>
            </w:r>
          </w:p>
        </w:tc>
        <w:tc>
          <w:tcPr>
            <w:tcW w:w="1060" w:type="dxa"/>
            <w:tcBorders>
              <w:top w:val="nil"/>
              <w:left w:val="single" w:sz="4" w:space="0" w:color="auto"/>
              <w:bottom w:val="nil"/>
              <w:right w:val="single" w:sz="8" w:space="0" w:color="auto"/>
            </w:tcBorders>
            <w:shd w:val="clear" w:color="auto" w:fill="auto"/>
            <w:noWrap/>
            <w:vAlign w:val="bottom"/>
            <w:hideMark/>
          </w:tcPr>
          <w:p w:rsidR="00242C36" w:rsidRPr="00E43137" w:rsidRDefault="00242C36" w:rsidP="00242C36">
            <w:pPr>
              <w:jc w:val="right"/>
              <w:rPr>
                <w:rFonts w:ascii="Calibri" w:hAnsi="Calibri"/>
                <w:color w:val="000000"/>
                <w:sz w:val="18"/>
                <w:szCs w:val="18"/>
              </w:rPr>
            </w:pPr>
            <w:r w:rsidRPr="00E43137">
              <w:rPr>
                <w:rFonts w:ascii="Calibri" w:hAnsi="Calibri"/>
                <w:color w:val="000000"/>
                <w:sz w:val="18"/>
                <w:szCs w:val="18"/>
              </w:rPr>
              <w:t xml:space="preserve">98,7 </w:t>
            </w:r>
          </w:p>
        </w:tc>
      </w:tr>
      <w:tr w:rsidR="00242C36" w:rsidRPr="00E43137" w:rsidTr="00242C36">
        <w:trPr>
          <w:trHeight w:val="300"/>
        </w:trPr>
        <w:tc>
          <w:tcPr>
            <w:tcW w:w="2815" w:type="dxa"/>
            <w:tcBorders>
              <w:top w:val="nil"/>
              <w:left w:val="single" w:sz="8" w:space="0" w:color="auto"/>
              <w:bottom w:val="nil"/>
              <w:right w:val="single" w:sz="8" w:space="0" w:color="auto"/>
            </w:tcBorders>
            <w:shd w:val="clear" w:color="auto" w:fill="auto"/>
            <w:noWrap/>
            <w:vAlign w:val="bottom"/>
            <w:hideMark/>
          </w:tcPr>
          <w:p w:rsidR="00242C36" w:rsidRPr="00E43137" w:rsidRDefault="00242C36" w:rsidP="00242C36">
            <w:pPr>
              <w:rPr>
                <w:rFonts w:ascii="Calibri" w:hAnsi="Calibri"/>
                <w:sz w:val="18"/>
                <w:szCs w:val="18"/>
              </w:rPr>
            </w:pPr>
            <w:r w:rsidRPr="00E43137">
              <w:rPr>
                <w:rFonts w:ascii="Calibri" w:hAnsi="Calibri"/>
                <w:sz w:val="18"/>
                <w:szCs w:val="18"/>
              </w:rPr>
              <w:t xml:space="preserve">           ovos</w:t>
            </w:r>
          </w:p>
        </w:tc>
        <w:tc>
          <w:tcPr>
            <w:tcW w:w="726" w:type="dxa"/>
            <w:tcBorders>
              <w:top w:val="nil"/>
              <w:left w:val="nil"/>
              <w:bottom w:val="nil"/>
              <w:right w:val="single" w:sz="4" w:space="0" w:color="auto"/>
            </w:tcBorders>
            <w:shd w:val="clear" w:color="auto" w:fill="auto"/>
            <w:noWrap/>
            <w:vAlign w:val="bottom"/>
            <w:hideMark/>
          </w:tcPr>
          <w:p w:rsidR="00242C36" w:rsidRPr="00E43137" w:rsidRDefault="00242C36" w:rsidP="00242C36">
            <w:pPr>
              <w:jc w:val="center"/>
              <w:rPr>
                <w:rFonts w:ascii="Calibri" w:hAnsi="Calibri"/>
                <w:sz w:val="18"/>
                <w:szCs w:val="18"/>
              </w:rPr>
            </w:pPr>
            <w:r w:rsidRPr="00E43137">
              <w:rPr>
                <w:rFonts w:ascii="Calibri" w:hAnsi="Calibri"/>
                <w:sz w:val="18"/>
                <w:szCs w:val="18"/>
              </w:rPr>
              <w:t>t/ha</w:t>
            </w:r>
          </w:p>
        </w:tc>
        <w:tc>
          <w:tcPr>
            <w:tcW w:w="828" w:type="dxa"/>
            <w:tcBorders>
              <w:top w:val="nil"/>
              <w:left w:val="nil"/>
              <w:bottom w:val="nil"/>
              <w:right w:val="nil"/>
            </w:tcBorders>
            <w:shd w:val="clear" w:color="auto" w:fill="auto"/>
            <w:noWrap/>
            <w:vAlign w:val="bottom"/>
            <w:hideMark/>
          </w:tcPr>
          <w:p w:rsidR="00242C36" w:rsidRPr="00E43137" w:rsidRDefault="00242C36" w:rsidP="00242C36">
            <w:pPr>
              <w:jc w:val="right"/>
              <w:rPr>
                <w:rFonts w:ascii="Calibri" w:hAnsi="Calibri"/>
                <w:color w:val="000000"/>
                <w:sz w:val="18"/>
                <w:szCs w:val="18"/>
              </w:rPr>
            </w:pPr>
            <w:r w:rsidRPr="00E43137">
              <w:rPr>
                <w:rFonts w:ascii="Calibri" w:hAnsi="Calibri"/>
                <w:color w:val="000000"/>
                <w:sz w:val="18"/>
                <w:szCs w:val="18"/>
              </w:rPr>
              <w:t xml:space="preserve">2,06 </w:t>
            </w:r>
          </w:p>
        </w:tc>
        <w:tc>
          <w:tcPr>
            <w:tcW w:w="828" w:type="dxa"/>
            <w:tcBorders>
              <w:top w:val="nil"/>
              <w:left w:val="single" w:sz="4" w:space="0" w:color="auto"/>
              <w:bottom w:val="nil"/>
              <w:right w:val="nil"/>
            </w:tcBorders>
            <w:shd w:val="clear" w:color="auto" w:fill="auto"/>
            <w:noWrap/>
            <w:vAlign w:val="bottom"/>
            <w:hideMark/>
          </w:tcPr>
          <w:p w:rsidR="00242C36" w:rsidRPr="00E43137" w:rsidRDefault="00242C36" w:rsidP="00242C36">
            <w:pPr>
              <w:jc w:val="right"/>
              <w:rPr>
                <w:rFonts w:ascii="Calibri" w:hAnsi="Calibri"/>
                <w:color w:val="000000"/>
                <w:sz w:val="18"/>
                <w:szCs w:val="18"/>
              </w:rPr>
            </w:pPr>
            <w:r w:rsidRPr="00E43137">
              <w:rPr>
                <w:rFonts w:ascii="Calibri" w:hAnsi="Calibri"/>
                <w:color w:val="000000"/>
                <w:sz w:val="18"/>
                <w:szCs w:val="18"/>
              </w:rPr>
              <w:t xml:space="preserve">2,17 </w:t>
            </w:r>
          </w:p>
        </w:tc>
        <w:tc>
          <w:tcPr>
            <w:tcW w:w="828" w:type="dxa"/>
            <w:tcBorders>
              <w:top w:val="nil"/>
              <w:left w:val="single" w:sz="4" w:space="0" w:color="auto"/>
              <w:bottom w:val="nil"/>
              <w:right w:val="nil"/>
            </w:tcBorders>
            <w:shd w:val="clear" w:color="auto" w:fill="auto"/>
            <w:noWrap/>
            <w:vAlign w:val="bottom"/>
            <w:hideMark/>
          </w:tcPr>
          <w:p w:rsidR="00242C36" w:rsidRPr="00E43137" w:rsidRDefault="00242C36" w:rsidP="00242C36">
            <w:pPr>
              <w:jc w:val="right"/>
              <w:rPr>
                <w:rFonts w:ascii="Calibri" w:hAnsi="Calibri"/>
                <w:color w:val="000000"/>
                <w:sz w:val="18"/>
                <w:szCs w:val="18"/>
              </w:rPr>
            </w:pPr>
            <w:r w:rsidRPr="00E43137">
              <w:rPr>
                <w:rFonts w:ascii="Calibri" w:hAnsi="Calibri"/>
                <w:color w:val="000000"/>
                <w:sz w:val="18"/>
                <w:szCs w:val="18"/>
              </w:rPr>
              <w:t xml:space="preserve">1,67 </w:t>
            </w:r>
          </w:p>
        </w:tc>
        <w:tc>
          <w:tcPr>
            <w:tcW w:w="828" w:type="dxa"/>
            <w:tcBorders>
              <w:top w:val="nil"/>
              <w:left w:val="single" w:sz="4" w:space="0" w:color="auto"/>
              <w:bottom w:val="nil"/>
              <w:right w:val="nil"/>
            </w:tcBorders>
            <w:shd w:val="clear" w:color="auto" w:fill="auto"/>
            <w:noWrap/>
            <w:vAlign w:val="bottom"/>
            <w:hideMark/>
          </w:tcPr>
          <w:p w:rsidR="00242C36" w:rsidRPr="00E43137" w:rsidRDefault="00242C36" w:rsidP="00242C36">
            <w:pPr>
              <w:jc w:val="right"/>
              <w:rPr>
                <w:rFonts w:ascii="Calibri" w:hAnsi="Calibri"/>
                <w:color w:val="000000"/>
                <w:sz w:val="18"/>
                <w:szCs w:val="18"/>
              </w:rPr>
            </w:pPr>
            <w:r w:rsidRPr="00E43137">
              <w:rPr>
                <w:rFonts w:ascii="Calibri" w:hAnsi="Calibri"/>
                <w:color w:val="000000"/>
                <w:sz w:val="18"/>
                <w:szCs w:val="18"/>
              </w:rPr>
              <w:t xml:space="preserve">2,37 </w:t>
            </w:r>
          </w:p>
        </w:tc>
        <w:tc>
          <w:tcPr>
            <w:tcW w:w="828" w:type="dxa"/>
            <w:tcBorders>
              <w:top w:val="nil"/>
              <w:left w:val="single" w:sz="4" w:space="0" w:color="auto"/>
              <w:bottom w:val="nil"/>
              <w:right w:val="nil"/>
            </w:tcBorders>
            <w:shd w:val="clear" w:color="auto" w:fill="auto"/>
            <w:noWrap/>
            <w:vAlign w:val="bottom"/>
            <w:hideMark/>
          </w:tcPr>
          <w:p w:rsidR="00242C36" w:rsidRPr="00E43137" w:rsidRDefault="00242C36" w:rsidP="00242C36">
            <w:pPr>
              <w:jc w:val="right"/>
              <w:rPr>
                <w:rFonts w:ascii="Calibri" w:hAnsi="Calibri"/>
                <w:color w:val="000000"/>
                <w:sz w:val="18"/>
                <w:szCs w:val="18"/>
              </w:rPr>
            </w:pPr>
            <w:r w:rsidRPr="00E43137">
              <w:rPr>
                <w:rFonts w:ascii="Calibri" w:hAnsi="Calibri"/>
                <w:color w:val="000000"/>
                <w:sz w:val="18"/>
                <w:szCs w:val="18"/>
              </w:rPr>
              <w:t xml:space="preserve">2,14 </w:t>
            </w:r>
          </w:p>
        </w:tc>
        <w:tc>
          <w:tcPr>
            <w:tcW w:w="1060" w:type="dxa"/>
            <w:tcBorders>
              <w:top w:val="nil"/>
              <w:left w:val="single" w:sz="4" w:space="0" w:color="auto"/>
              <w:bottom w:val="nil"/>
              <w:right w:val="single" w:sz="8" w:space="0" w:color="auto"/>
            </w:tcBorders>
            <w:shd w:val="clear" w:color="auto" w:fill="auto"/>
            <w:noWrap/>
            <w:vAlign w:val="bottom"/>
            <w:hideMark/>
          </w:tcPr>
          <w:p w:rsidR="00242C36" w:rsidRPr="00E43137" w:rsidRDefault="00242C36" w:rsidP="00242C36">
            <w:pPr>
              <w:jc w:val="right"/>
              <w:rPr>
                <w:rFonts w:ascii="Calibri" w:hAnsi="Calibri"/>
                <w:color w:val="000000"/>
                <w:sz w:val="18"/>
                <w:szCs w:val="18"/>
              </w:rPr>
            </w:pPr>
            <w:r w:rsidRPr="00E43137">
              <w:rPr>
                <w:rFonts w:ascii="Calibri" w:hAnsi="Calibri"/>
                <w:color w:val="000000"/>
                <w:sz w:val="18"/>
                <w:szCs w:val="18"/>
              </w:rPr>
              <w:t xml:space="preserve">90,3 </w:t>
            </w:r>
          </w:p>
        </w:tc>
      </w:tr>
      <w:tr w:rsidR="00242C36" w:rsidRPr="00E43137" w:rsidTr="00242C36">
        <w:trPr>
          <w:trHeight w:val="300"/>
        </w:trPr>
        <w:tc>
          <w:tcPr>
            <w:tcW w:w="2815" w:type="dxa"/>
            <w:tcBorders>
              <w:top w:val="nil"/>
              <w:left w:val="single" w:sz="8" w:space="0" w:color="auto"/>
              <w:bottom w:val="nil"/>
              <w:right w:val="single" w:sz="8" w:space="0" w:color="auto"/>
            </w:tcBorders>
            <w:shd w:val="clear" w:color="auto" w:fill="auto"/>
            <w:noWrap/>
            <w:vAlign w:val="bottom"/>
            <w:hideMark/>
          </w:tcPr>
          <w:p w:rsidR="00242C36" w:rsidRPr="00E43137" w:rsidRDefault="00242C36" w:rsidP="00242C36">
            <w:pPr>
              <w:rPr>
                <w:rFonts w:ascii="Calibri" w:hAnsi="Calibri"/>
                <w:sz w:val="18"/>
                <w:szCs w:val="18"/>
              </w:rPr>
            </w:pPr>
            <w:r w:rsidRPr="00E43137">
              <w:rPr>
                <w:rFonts w:ascii="Calibri" w:hAnsi="Calibri"/>
                <w:sz w:val="18"/>
                <w:szCs w:val="18"/>
              </w:rPr>
              <w:t xml:space="preserve">           kukurica</w:t>
            </w:r>
          </w:p>
        </w:tc>
        <w:tc>
          <w:tcPr>
            <w:tcW w:w="726" w:type="dxa"/>
            <w:tcBorders>
              <w:top w:val="nil"/>
              <w:left w:val="nil"/>
              <w:bottom w:val="nil"/>
              <w:right w:val="single" w:sz="4" w:space="0" w:color="auto"/>
            </w:tcBorders>
            <w:shd w:val="clear" w:color="auto" w:fill="auto"/>
            <w:noWrap/>
            <w:vAlign w:val="bottom"/>
            <w:hideMark/>
          </w:tcPr>
          <w:p w:rsidR="00242C36" w:rsidRPr="00E43137" w:rsidRDefault="00242C36" w:rsidP="00242C36">
            <w:pPr>
              <w:jc w:val="center"/>
              <w:rPr>
                <w:rFonts w:ascii="Calibri" w:hAnsi="Calibri"/>
                <w:sz w:val="18"/>
                <w:szCs w:val="18"/>
              </w:rPr>
            </w:pPr>
            <w:r w:rsidRPr="00E43137">
              <w:rPr>
                <w:rFonts w:ascii="Calibri" w:hAnsi="Calibri"/>
                <w:sz w:val="18"/>
                <w:szCs w:val="18"/>
              </w:rPr>
              <w:t>t/ha</w:t>
            </w:r>
          </w:p>
        </w:tc>
        <w:tc>
          <w:tcPr>
            <w:tcW w:w="828" w:type="dxa"/>
            <w:tcBorders>
              <w:top w:val="nil"/>
              <w:left w:val="nil"/>
              <w:bottom w:val="nil"/>
              <w:right w:val="nil"/>
            </w:tcBorders>
            <w:shd w:val="clear" w:color="auto" w:fill="auto"/>
            <w:noWrap/>
            <w:vAlign w:val="bottom"/>
            <w:hideMark/>
          </w:tcPr>
          <w:p w:rsidR="00242C36" w:rsidRPr="00E43137" w:rsidRDefault="00242C36" w:rsidP="00242C36">
            <w:pPr>
              <w:jc w:val="right"/>
              <w:rPr>
                <w:rFonts w:ascii="Calibri" w:hAnsi="Calibri"/>
                <w:color w:val="000000"/>
                <w:sz w:val="18"/>
                <w:szCs w:val="18"/>
              </w:rPr>
            </w:pPr>
            <w:r w:rsidRPr="00E43137">
              <w:rPr>
                <w:rFonts w:ascii="Calibri" w:hAnsi="Calibri"/>
                <w:color w:val="000000"/>
                <w:sz w:val="18"/>
                <w:szCs w:val="18"/>
              </w:rPr>
              <w:t xml:space="preserve">8,17 </w:t>
            </w:r>
          </w:p>
        </w:tc>
        <w:tc>
          <w:tcPr>
            <w:tcW w:w="828" w:type="dxa"/>
            <w:tcBorders>
              <w:top w:val="nil"/>
              <w:left w:val="single" w:sz="4" w:space="0" w:color="auto"/>
              <w:bottom w:val="nil"/>
              <w:right w:val="nil"/>
            </w:tcBorders>
            <w:shd w:val="clear" w:color="auto" w:fill="auto"/>
            <w:noWrap/>
            <w:vAlign w:val="bottom"/>
            <w:hideMark/>
          </w:tcPr>
          <w:p w:rsidR="00242C36" w:rsidRPr="00E43137" w:rsidRDefault="00242C36" w:rsidP="00242C36">
            <w:pPr>
              <w:jc w:val="right"/>
              <w:rPr>
                <w:rFonts w:ascii="Calibri" w:hAnsi="Calibri"/>
                <w:color w:val="000000"/>
                <w:sz w:val="18"/>
                <w:szCs w:val="18"/>
              </w:rPr>
            </w:pPr>
            <w:r w:rsidRPr="00E43137">
              <w:rPr>
                <w:rFonts w:ascii="Calibri" w:hAnsi="Calibri"/>
                <w:color w:val="000000"/>
                <w:sz w:val="18"/>
                <w:szCs w:val="18"/>
              </w:rPr>
              <w:t xml:space="preserve">6,85 </w:t>
            </w:r>
          </w:p>
        </w:tc>
        <w:tc>
          <w:tcPr>
            <w:tcW w:w="828" w:type="dxa"/>
            <w:tcBorders>
              <w:top w:val="nil"/>
              <w:left w:val="single" w:sz="4" w:space="0" w:color="auto"/>
              <w:bottom w:val="nil"/>
              <w:right w:val="nil"/>
            </w:tcBorders>
            <w:shd w:val="clear" w:color="auto" w:fill="auto"/>
            <w:noWrap/>
            <w:vAlign w:val="bottom"/>
            <w:hideMark/>
          </w:tcPr>
          <w:p w:rsidR="00242C36" w:rsidRPr="00E43137" w:rsidRDefault="00242C36" w:rsidP="00242C36">
            <w:pPr>
              <w:jc w:val="right"/>
              <w:rPr>
                <w:rFonts w:ascii="Calibri" w:hAnsi="Calibri"/>
                <w:color w:val="000000"/>
                <w:sz w:val="18"/>
                <w:szCs w:val="18"/>
              </w:rPr>
            </w:pPr>
            <w:r w:rsidRPr="00E43137">
              <w:rPr>
                <w:rFonts w:ascii="Calibri" w:hAnsi="Calibri"/>
                <w:color w:val="000000"/>
                <w:sz w:val="18"/>
                <w:szCs w:val="18"/>
              </w:rPr>
              <w:t xml:space="preserve">5,53 </w:t>
            </w:r>
          </w:p>
        </w:tc>
        <w:tc>
          <w:tcPr>
            <w:tcW w:w="828" w:type="dxa"/>
            <w:tcBorders>
              <w:top w:val="nil"/>
              <w:left w:val="single" w:sz="4" w:space="0" w:color="auto"/>
              <w:bottom w:val="nil"/>
              <w:right w:val="nil"/>
            </w:tcBorders>
            <w:shd w:val="clear" w:color="auto" w:fill="auto"/>
            <w:noWrap/>
            <w:vAlign w:val="bottom"/>
            <w:hideMark/>
          </w:tcPr>
          <w:p w:rsidR="00242C36" w:rsidRPr="00E43137" w:rsidRDefault="00242C36" w:rsidP="00242C36">
            <w:pPr>
              <w:jc w:val="right"/>
              <w:rPr>
                <w:rFonts w:ascii="Calibri" w:hAnsi="Calibri"/>
                <w:color w:val="000000"/>
                <w:sz w:val="18"/>
                <w:szCs w:val="18"/>
              </w:rPr>
            </w:pPr>
            <w:r w:rsidRPr="00E43137">
              <w:rPr>
                <w:rFonts w:ascii="Calibri" w:hAnsi="Calibri"/>
                <w:color w:val="000000"/>
                <w:sz w:val="18"/>
                <w:szCs w:val="18"/>
              </w:rPr>
              <w:t xml:space="preserve">7,15 </w:t>
            </w:r>
          </w:p>
        </w:tc>
        <w:tc>
          <w:tcPr>
            <w:tcW w:w="828" w:type="dxa"/>
            <w:tcBorders>
              <w:top w:val="nil"/>
              <w:left w:val="single" w:sz="4" w:space="0" w:color="auto"/>
              <w:bottom w:val="nil"/>
              <w:right w:val="nil"/>
            </w:tcBorders>
            <w:shd w:val="clear" w:color="auto" w:fill="auto"/>
            <w:noWrap/>
            <w:vAlign w:val="bottom"/>
            <w:hideMark/>
          </w:tcPr>
          <w:p w:rsidR="00242C36" w:rsidRPr="00E43137" w:rsidRDefault="00242C36" w:rsidP="00242C36">
            <w:pPr>
              <w:jc w:val="right"/>
              <w:rPr>
                <w:rFonts w:ascii="Calibri" w:hAnsi="Calibri"/>
                <w:color w:val="000000"/>
                <w:sz w:val="18"/>
                <w:szCs w:val="18"/>
              </w:rPr>
            </w:pPr>
            <w:r w:rsidRPr="00E43137">
              <w:rPr>
                <w:rFonts w:ascii="Calibri" w:hAnsi="Calibri"/>
                <w:color w:val="000000"/>
                <w:sz w:val="18"/>
                <w:szCs w:val="18"/>
              </w:rPr>
              <w:t xml:space="preserve">5,51 </w:t>
            </w:r>
          </w:p>
        </w:tc>
        <w:tc>
          <w:tcPr>
            <w:tcW w:w="1060" w:type="dxa"/>
            <w:tcBorders>
              <w:top w:val="nil"/>
              <w:left w:val="single" w:sz="4" w:space="0" w:color="auto"/>
              <w:bottom w:val="nil"/>
              <w:right w:val="single" w:sz="8" w:space="0" w:color="auto"/>
            </w:tcBorders>
            <w:shd w:val="clear" w:color="auto" w:fill="auto"/>
            <w:noWrap/>
            <w:vAlign w:val="bottom"/>
            <w:hideMark/>
          </w:tcPr>
          <w:p w:rsidR="00242C36" w:rsidRPr="00E43137" w:rsidRDefault="00242C36" w:rsidP="00242C36">
            <w:pPr>
              <w:jc w:val="right"/>
              <w:rPr>
                <w:rFonts w:ascii="Calibri" w:hAnsi="Calibri"/>
                <w:color w:val="000000"/>
                <w:sz w:val="18"/>
                <w:szCs w:val="18"/>
              </w:rPr>
            </w:pPr>
            <w:r w:rsidRPr="00E43137">
              <w:rPr>
                <w:rFonts w:ascii="Calibri" w:hAnsi="Calibri"/>
                <w:color w:val="000000"/>
                <w:sz w:val="18"/>
                <w:szCs w:val="18"/>
              </w:rPr>
              <w:t xml:space="preserve">77,1 </w:t>
            </w:r>
          </w:p>
        </w:tc>
      </w:tr>
      <w:tr w:rsidR="00242C36" w:rsidRPr="00E43137" w:rsidTr="00242C36">
        <w:trPr>
          <w:trHeight w:val="300"/>
        </w:trPr>
        <w:tc>
          <w:tcPr>
            <w:tcW w:w="2815" w:type="dxa"/>
            <w:tcBorders>
              <w:top w:val="nil"/>
              <w:left w:val="single" w:sz="8" w:space="0" w:color="auto"/>
              <w:bottom w:val="nil"/>
              <w:right w:val="single" w:sz="8" w:space="0" w:color="auto"/>
            </w:tcBorders>
            <w:shd w:val="clear" w:color="auto" w:fill="auto"/>
            <w:noWrap/>
            <w:vAlign w:val="bottom"/>
            <w:hideMark/>
          </w:tcPr>
          <w:p w:rsidR="00242C36" w:rsidRPr="00E43137" w:rsidRDefault="00242C36" w:rsidP="00242C36">
            <w:pPr>
              <w:rPr>
                <w:rFonts w:ascii="Calibri" w:hAnsi="Calibri"/>
                <w:color w:val="000000"/>
                <w:sz w:val="18"/>
                <w:szCs w:val="18"/>
              </w:rPr>
            </w:pPr>
            <w:r w:rsidRPr="00E43137">
              <w:rPr>
                <w:rFonts w:ascii="Calibri" w:hAnsi="Calibri"/>
                <w:color w:val="000000"/>
                <w:sz w:val="18"/>
                <w:szCs w:val="18"/>
              </w:rPr>
              <w:t>Cukrová repa techn.</w:t>
            </w:r>
          </w:p>
        </w:tc>
        <w:tc>
          <w:tcPr>
            <w:tcW w:w="726" w:type="dxa"/>
            <w:tcBorders>
              <w:top w:val="nil"/>
              <w:left w:val="nil"/>
              <w:bottom w:val="nil"/>
              <w:right w:val="single" w:sz="4" w:space="0" w:color="auto"/>
            </w:tcBorders>
            <w:shd w:val="clear" w:color="auto" w:fill="auto"/>
            <w:noWrap/>
            <w:vAlign w:val="bottom"/>
            <w:hideMark/>
          </w:tcPr>
          <w:p w:rsidR="00242C36" w:rsidRPr="00E43137" w:rsidRDefault="00242C36" w:rsidP="00242C36">
            <w:pPr>
              <w:jc w:val="center"/>
              <w:rPr>
                <w:rFonts w:ascii="Calibri" w:hAnsi="Calibri"/>
                <w:color w:val="000000"/>
                <w:sz w:val="18"/>
                <w:szCs w:val="18"/>
              </w:rPr>
            </w:pPr>
            <w:r w:rsidRPr="00E43137">
              <w:rPr>
                <w:rFonts w:ascii="Calibri" w:hAnsi="Calibri"/>
                <w:color w:val="000000"/>
                <w:sz w:val="18"/>
                <w:szCs w:val="18"/>
              </w:rPr>
              <w:t>t/ha</w:t>
            </w:r>
          </w:p>
        </w:tc>
        <w:tc>
          <w:tcPr>
            <w:tcW w:w="828" w:type="dxa"/>
            <w:tcBorders>
              <w:top w:val="nil"/>
              <w:left w:val="nil"/>
              <w:bottom w:val="nil"/>
              <w:right w:val="nil"/>
            </w:tcBorders>
            <w:shd w:val="clear" w:color="auto" w:fill="auto"/>
            <w:noWrap/>
            <w:vAlign w:val="bottom"/>
            <w:hideMark/>
          </w:tcPr>
          <w:p w:rsidR="00242C36" w:rsidRPr="00E43137" w:rsidRDefault="00242C36" w:rsidP="00242C36">
            <w:pPr>
              <w:jc w:val="right"/>
              <w:rPr>
                <w:rFonts w:ascii="Calibri" w:hAnsi="Calibri"/>
                <w:color w:val="000000"/>
                <w:sz w:val="18"/>
                <w:szCs w:val="18"/>
              </w:rPr>
            </w:pPr>
            <w:r w:rsidRPr="00E43137">
              <w:rPr>
                <w:rFonts w:ascii="Calibri" w:hAnsi="Calibri"/>
                <w:color w:val="000000"/>
                <w:sz w:val="18"/>
                <w:szCs w:val="18"/>
              </w:rPr>
              <w:t xml:space="preserve">61,07 </w:t>
            </w:r>
          </w:p>
        </w:tc>
        <w:tc>
          <w:tcPr>
            <w:tcW w:w="828" w:type="dxa"/>
            <w:tcBorders>
              <w:top w:val="nil"/>
              <w:left w:val="single" w:sz="4" w:space="0" w:color="auto"/>
              <w:bottom w:val="nil"/>
              <w:right w:val="nil"/>
            </w:tcBorders>
            <w:shd w:val="clear" w:color="auto" w:fill="auto"/>
            <w:noWrap/>
            <w:vAlign w:val="bottom"/>
            <w:hideMark/>
          </w:tcPr>
          <w:p w:rsidR="00242C36" w:rsidRPr="00E43137" w:rsidRDefault="00242C36" w:rsidP="00242C36">
            <w:pPr>
              <w:jc w:val="right"/>
              <w:rPr>
                <w:rFonts w:ascii="Calibri" w:hAnsi="Calibri"/>
                <w:color w:val="000000"/>
                <w:sz w:val="18"/>
                <w:szCs w:val="18"/>
              </w:rPr>
            </w:pPr>
            <w:r w:rsidRPr="00E43137">
              <w:rPr>
                <w:rFonts w:ascii="Calibri" w:hAnsi="Calibri"/>
                <w:color w:val="000000"/>
                <w:sz w:val="18"/>
                <w:szCs w:val="18"/>
              </w:rPr>
              <w:t xml:space="preserve">56,34 </w:t>
            </w:r>
          </w:p>
        </w:tc>
        <w:tc>
          <w:tcPr>
            <w:tcW w:w="828" w:type="dxa"/>
            <w:tcBorders>
              <w:top w:val="nil"/>
              <w:left w:val="single" w:sz="4" w:space="0" w:color="auto"/>
              <w:bottom w:val="nil"/>
              <w:right w:val="nil"/>
            </w:tcBorders>
            <w:shd w:val="clear" w:color="auto" w:fill="auto"/>
            <w:noWrap/>
            <w:vAlign w:val="bottom"/>
            <w:hideMark/>
          </w:tcPr>
          <w:p w:rsidR="00242C36" w:rsidRPr="00E43137" w:rsidRDefault="00242C36" w:rsidP="00242C36">
            <w:pPr>
              <w:jc w:val="right"/>
              <w:rPr>
                <w:rFonts w:ascii="Calibri" w:hAnsi="Calibri"/>
                <w:color w:val="000000"/>
                <w:sz w:val="18"/>
                <w:szCs w:val="18"/>
              </w:rPr>
            </w:pPr>
            <w:r w:rsidRPr="00E43137">
              <w:rPr>
                <w:rFonts w:ascii="Calibri" w:hAnsi="Calibri"/>
                <w:color w:val="000000"/>
                <w:sz w:val="18"/>
                <w:szCs w:val="18"/>
              </w:rPr>
              <w:t xml:space="preserve">54,52 </w:t>
            </w:r>
          </w:p>
        </w:tc>
        <w:tc>
          <w:tcPr>
            <w:tcW w:w="828" w:type="dxa"/>
            <w:tcBorders>
              <w:top w:val="nil"/>
              <w:left w:val="single" w:sz="4" w:space="0" w:color="auto"/>
              <w:bottom w:val="nil"/>
              <w:right w:val="nil"/>
            </w:tcBorders>
            <w:shd w:val="clear" w:color="auto" w:fill="auto"/>
            <w:noWrap/>
            <w:vAlign w:val="bottom"/>
            <w:hideMark/>
          </w:tcPr>
          <w:p w:rsidR="00242C36" w:rsidRPr="00E43137" w:rsidRDefault="00242C36" w:rsidP="00242C36">
            <w:pPr>
              <w:jc w:val="right"/>
              <w:rPr>
                <w:rFonts w:ascii="Calibri" w:hAnsi="Calibri"/>
                <w:color w:val="000000"/>
                <w:sz w:val="18"/>
                <w:szCs w:val="18"/>
              </w:rPr>
            </w:pPr>
            <w:r w:rsidRPr="00E43137">
              <w:rPr>
                <w:rFonts w:ascii="Calibri" w:hAnsi="Calibri"/>
                <w:color w:val="000000"/>
                <w:sz w:val="18"/>
                <w:szCs w:val="18"/>
              </w:rPr>
              <w:t xml:space="preserve">64,14 </w:t>
            </w:r>
          </w:p>
        </w:tc>
        <w:tc>
          <w:tcPr>
            <w:tcW w:w="828" w:type="dxa"/>
            <w:tcBorders>
              <w:top w:val="nil"/>
              <w:left w:val="single" w:sz="4" w:space="0" w:color="auto"/>
              <w:bottom w:val="nil"/>
              <w:right w:val="nil"/>
            </w:tcBorders>
            <w:shd w:val="clear" w:color="auto" w:fill="auto"/>
            <w:noWrap/>
            <w:vAlign w:val="bottom"/>
            <w:hideMark/>
          </w:tcPr>
          <w:p w:rsidR="00242C36" w:rsidRPr="00E43137" w:rsidRDefault="00242C36" w:rsidP="00242C36">
            <w:pPr>
              <w:jc w:val="right"/>
              <w:rPr>
                <w:rFonts w:ascii="Calibri" w:hAnsi="Calibri"/>
                <w:color w:val="000000"/>
                <w:sz w:val="18"/>
                <w:szCs w:val="18"/>
              </w:rPr>
            </w:pPr>
            <w:r w:rsidRPr="00E43137">
              <w:rPr>
                <w:rFonts w:ascii="Calibri" w:hAnsi="Calibri"/>
                <w:color w:val="000000"/>
                <w:sz w:val="18"/>
                <w:szCs w:val="18"/>
              </w:rPr>
              <w:t xml:space="preserve">45,31 </w:t>
            </w:r>
          </w:p>
        </w:tc>
        <w:tc>
          <w:tcPr>
            <w:tcW w:w="1060" w:type="dxa"/>
            <w:tcBorders>
              <w:top w:val="nil"/>
              <w:left w:val="single" w:sz="4" w:space="0" w:color="auto"/>
              <w:bottom w:val="nil"/>
              <w:right w:val="single" w:sz="8" w:space="0" w:color="auto"/>
            </w:tcBorders>
            <w:shd w:val="clear" w:color="auto" w:fill="auto"/>
            <w:noWrap/>
            <w:vAlign w:val="bottom"/>
            <w:hideMark/>
          </w:tcPr>
          <w:p w:rsidR="00242C36" w:rsidRPr="00E43137" w:rsidRDefault="00242C36" w:rsidP="00242C36">
            <w:pPr>
              <w:jc w:val="right"/>
              <w:rPr>
                <w:rFonts w:ascii="Calibri" w:hAnsi="Calibri"/>
                <w:color w:val="000000"/>
                <w:sz w:val="18"/>
                <w:szCs w:val="18"/>
              </w:rPr>
            </w:pPr>
            <w:r w:rsidRPr="00E43137">
              <w:rPr>
                <w:rFonts w:ascii="Calibri" w:hAnsi="Calibri"/>
                <w:color w:val="000000"/>
                <w:sz w:val="18"/>
                <w:szCs w:val="18"/>
              </w:rPr>
              <w:t xml:space="preserve">70,6 </w:t>
            </w:r>
          </w:p>
        </w:tc>
      </w:tr>
      <w:tr w:rsidR="00242C36" w:rsidRPr="00E43137" w:rsidTr="00242C36">
        <w:trPr>
          <w:trHeight w:val="300"/>
        </w:trPr>
        <w:tc>
          <w:tcPr>
            <w:tcW w:w="2815" w:type="dxa"/>
            <w:tcBorders>
              <w:top w:val="nil"/>
              <w:left w:val="single" w:sz="8" w:space="0" w:color="auto"/>
              <w:bottom w:val="nil"/>
              <w:right w:val="single" w:sz="8" w:space="0" w:color="auto"/>
            </w:tcBorders>
            <w:shd w:val="clear" w:color="auto" w:fill="auto"/>
            <w:noWrap/>
            <w:vAlign w:val="bottom"/>
            <w:hideMark/>
          </w:tcPr>
          <w:p w:rsidR="00242C36" w:rsidRPr="00E43137" w:rsidRDefault="00242C36" w:rsidP="00242C36">
            <w:pPr>
              <w:rPr>
                <w:rFonts w:ascii="Calibri" w:hAnsi="Calibri"/>
                <w:color w:val="000000"/>
                <w:sz w:val="18"/>
                <w:szCs w:val="18"/>
              </w:rPr>
            </w:pPr>
            <w:r w:rsidRPr="00E43137">
              <w:rPr>
                <w:rFonts w:ascii="Calibri" w:hAnsi="Calibri"/>
                <w:color w:val="000000"/>
                <w:sz w:val="18"/>
                <w:szCs w:val="18"/>
              </w:rPr>
              <w:t>Zemiaky</w:t>
            </w:r>
          </w:p>
        </w:tc>
        <w:tc>
          <w:tcPr>
            <w:tcW w:w="726" w:type="dxa"/>
            <w:tcBorders>
              <w:top w:val="nil"/>
              <w:left w:val="nil"/>
              <w:bottom w:val="nil"/>
              <w:right w:val="single" w:sz="4" w:space="0" w:color="auto"/>
            </w:tcBorders>
            <w:shd w:val="clear" w:color="auto" w:fill="auto"/>
            <w:noWrap/>
            <w:vAlign w:val="bottom"/>
            <w:hideMark/>
          </w:tcPr>
          <w:p w:rsidR="00242C36" w:rsidRPr="00E43137" w:rsidRDefault="00242C36" w:rsidP="00242C36">
            <w:pPr>
              <w:jc w:val="center"/>
              <w:rPr>
                <w:rFonts w:ascii="Calibri" w:hAnsi="Calibri"/>
                <w:color w:val="000000"/>
                <w:sz w:val="18"/>
                <w:szCs w:val="18"/>
              </w:rPr>
            </w:pPr>
            <w:r w:rsidRPr="00E43137">
              <w:rPr>
                <w:rFonts w:ascii="Calibri" w:hAnsi="Calibri"/>
                <w:color w:val="000000"/>
                <w:sz w:val="18"/>
                <w:szCs w:val="18"/>
              </w:rPr>
              <w:t>t/ha</w:t>
            </w:r>
          </w:p>
        </w:tc>
        <w:tc>
          <w:tcPr>
            <w:tcW w:w="828" w:type="dxa"/>
            <w:tcBorders>
              <w:top w:val="nil"/>
              <w:left w:val="nil"/>
              <w:bottom w:val="nil"/>
              <w:right w:val="nil"/>
            </w:tcBorders>
            <w:shd w:val="clear" w:color="auto" w:fill="auto"/>
            <w:noWrap/>
            <w:vAlign w:val="bottom"/>
            <w:hideMark/>
          </w:tcPr>
          <w:p w:rsidR="00242C36" w:rsidRPr="00E43137" w:rsidRDefault="00242C36" w:rsidP="00242C36">
            <w:pPr>
              <w:jc w:val="right"/>
              <w:rPr>
                <w:rFonts w:ascii="Calibri" w:hAnsi="Calibri"/>
                <w:color w:val="000000"/>
                <w:sz w:val="18"/>
                <w:szCs w:val="18"/>
              </w:rPr>
            </w:pPr>
            <w:r w:rsidRPr="00E43137">
              <w:rPr>
                <w:rFonts w:ascii="Calibri" w:hAnsi="Calibri"/>
                <w:color w:val="000000"/>
                <w:sz w:val="18"/>
                <w:szCs w:val="18"/>
              </w:rPr>
              <w:t xml:space="preserve">17,19 </w:t>
            </w:r>
          </w:p>
        </w:tc>
        <w:tc>
          <w:tcPr>
            <w:tcW w:w="828" w:type="dxa"/>
            <w:tcBorders>
              <w:top w:val="nil"/>
              <w:left w:val="single" w:sz="4" w:space="0" w:color="auto"/>
              <w:bottom w:val="nil"/>
              <w:right w:val="nil"/>
            </w:tcBorders>
            <w:shd w:val="clear" w:color="auto" w:fill="auto"/>
            <w:noWrap/>
            <w:vAlign w:val="bottom"/>
            <w:hideMark/>
          </w:tcPr>
          <w:p w:rsidR="00242C36" w:rsidRPr="00E43137" w:rsidRDefault="00242C36" w:rsidP="00242C36">
            <w:pPr>
              <w:jc w:val="right"/>
              <w:rPr>
                <w:rFonts w:ascii="Calibri" w:hAnsi="Calibri"/>
                <w:color w:val="000000"/>
                <w:sz w:val="18"/>
                <w:szCs w:val="18"/>
              </w:rPr>
            </w:pPr>
            <w:r w:rsidRPr="00E43137">
              <w:rPr>
                <w:rFonts w:ascii="Calibri" w:hAnsi="Calibri"/>
                <w:color w:val="000000"/>
                <w:sz w:val="18"/>
                <w:szCs w:val="18"/>
              </w:rPr>
              <w:t xml:space="preserve">18,60 </w:t>
            </w:r>
          </w:p>
        </w:tc>
        <w:tc>
          <w:tcPr>
            <w:tcW w:w="828" w:type="dxa"/>
            <w:tcBorders>
              <w:top w:val="nil"/>
              <w:left w:val="single" w:sz="4" w:space="0" w:color="auto"/>
              <w:bottom w:val="nil"/>
              <w:right w:val="nil"/>
            </w:tcBorders>
            <w:shd w:val="clear" w:color="auto" w:fill="auto"/>
            <w:noWrap/>
            <w:vAlign w:val="bottom"/>
            <w:hideMark/>
          </w:tcPr>
          <w:p w:rsidR="00242C36" w:rsidRPr="00E43137" w:rsidRDefault="00242C36" w:rsidP="00242C36">
            <w:pPr>
              <w:jc w:val="right"/>
              <w:rPr>
                <w:rFonts w:ascii="Calibri" w:hAnsi="Calibri"/>
                <w:color w:val="000000"/>
                <w:sz w:val="18"/>
                <w:szCs w:val="18"/>
              </w:rPr>
            </w:pPr>
            <w:r w:rsidRPr="00E43137">
              <w:rPr>
                <w:rFonts w:ascii="Calibri" w:hAnsi="Calibri"/>
                <w:color w:val="000000"/>
                <w:sz w:val="18"/>
                <w:szCs w:val="18"/>
              </w:rPr>
              <w:t xml:space="preserve">11,45 </w:t>
            </w:r>
          </w:p>
        </w:tc>
        <w:tc>
          <w:tcPr>
            <w:tcW w:w="828" w:type="dxa"/>
            <w:tcBorders>
              <w:top w:val="nil"/>
              <w:left w:val="single" w:sz="4" w:space="0" w:color="auto"/>
              <w:bottom w:val="nil"/>
              <w:right w:val="nil"/>
            </w:tcBorders>
            <w:shd w:val="clear" w:color="auto" w:fill="auto"/>
            <w:noWrap/>
            <w:vAlign w:val="bottom"/>
            <w:hideMark/>
          </w:tcPr>
          <w:p w:rsidR="00242C36" w:rsidRPr="00E43137" w:rsidRDefault="00242C36" w:rsidP="00242C36">
            <w:pPr>
              <w:jc w:val="right"/>
              <w:rPr>
                <w:rFonts w:ascii="Calibri" w:hAnsi="Calibri"/>
                <w:color w:val="000000"/>
                <w:sz w:val="18"/>
                <w:szCs w:val="18"/>
              </w:rPr>
            </w:pPr>
            <w:r w:rsidRPr="00E43137">
              <w:rPr>
                <w:rFonts w:ascii="Calibri" w:hAnsi="Calibri"/>
                <w:color w:val="000000"/>
                <w:sz w:val="18"/>
                <w:szCs w:val="18"/>
              </w:rPr>
              <w:t xml:space="preserve">20,94 </w:t>
            </w:r>
          </w:p>
        </w:tc>
        <w:tc>
          <w:tcPr>
            <w:tcW w:w="828" w:type="dxa"/>
            <w:tcBorders>
              <w:top w:val="nil"/>
              <w:left w:val="single" w:sz="4" w:space="0" w:color="auto"/>
              <w:bottom w:val="nil"/>
              <w:right w:val="nil"/>
            </w:tcBorders>
            <w:shd w:val="clear" w:color="auto" w:fill="auto"/>
            <w:noWrap/>
            <w:vAlign w:val="bottom"/>
            <w:hideMark/>
          </w:tcPr>
          <w:p w:rsidR="00242C36" w:rsidRPr="00E43137" w:rsidRDefault="00242C36" w:rsidP="00242C36">
            <w:pPr>
              <w:jc w:val="right"/>
              <w:rPr>
                <w:rFonts w:ascii="Calibri" w:hAnsi="Calibri"/>
                <w:color w:val="000000"/>
                <w:sz w:val="18"/>
                <w:szCs w:val="18"/>
              </w:rPr>
            </w:pPr>
            <w:r w:rsidRPr="00E43137">
              <w:rPr>
                <w:rFonts w:ascii="Calibri" w:hAnsi="Calibri"/>
                <w:color w:val="000000"/>
                <w:sz w:val="18"/>
                <w:szCs w:val="18"/>
              </w:rPr>
              <w:t xml:space="preserve">18,54 </w:t>
            </w:r>
          </w:p>
        </w:tc>
        <w:tc>
          <w:tcPr>
            <w:tcW w:w="1060" w:type="dxa"/>
            <w:tcBorders>
              <w:top w:val="nil"/>
              <w:left w:val="single" w:sz="4" w:space="0" w:color="auto"/>
              <w:bottom w:val="nil"/>
              <w:right w:val="single" w:sz="8" w:space="0" w:color="auto"/>
            </w:tcBorders>
            <w:shd w:val="clear" w:color="auto" w:fill="auto"/>
            <w:noWrap/>
            <w:vAlign w:val="bottom"/>
            <w:hideMark/>
          </w:tcPr>
          <w:p w:rsidR="00242C36" w:rsidRPr="00E43137" w:rsidRDefault="00242C36" w:rsidP="00242C36">
            <w:pPr>
              <w:jc w:val="right"/>
              <w:rPr>
                <w:rFonts w:ascii="Calibri" w:hAnsi="Calibri"/>
                <w:color w:val="000000"/>
                <w:sz w:val="18"/>
                <w:szCs w:val="18"/>
              </w:rPr>
            </w:pPr>
            <w:r w:rsidRPr="00E43137">
              <w:rPr>
                <w:rFonts w:ascii="Calibri" w:hAnsi="Calibri"/>
                <w:color w:val="000000"/>
                <w:sz w:val="18"/>
                <w:szCs w:val="18"/>
              </w:rPr>
              <w:t xml:space="preserve">88,5 </w:t>
            </w:r>
          </w:p>
        </w:tc>
      </w:tr>
      <w:tr w:rsidR="00242C36" w:rsidRPr="00E43137" w:rsidTr="00242C36">
        <w:trPr>
          <w:trHeight w:val="300"/>
        </w:trPr>
        <w:tc>
          <w:tcPr>
            <w:tcW w:w="2815" w:type="dxa"/>
            <w:tcBorders>
              <w:top w:val="nil"/>
              <w:left w:val="single" w:sz="8" w:space="0" w:color="auto"/>
              <w:bottom w:val="nil"/>
              <w:right w:val="single" w:sz="8" w:space="0" w:color="auto"/>
            </w:tcBorders>
            <w:shd w:val="clear" w:color="auto" w:fill="auto"/>
            <w:noWrap/>
            <w:vAlign w:val="bottom"/>
            <w:hideMark/>
          </w:tcPr>
          <w:p w:rsidR="00242C36" w:rsidRPr="00E43137" w:rsidRDefault="00242C36" w:rsidP="00242C36">
            <w:pPr>
              <w:rPr>
                <w:rFonts w:ascii="Calibri" w:hAnsi="Calibri"/>
                <w:color w:val="000000"/>
                <w:sz w:val="18"/>
                <w:szCs w:val="18"/>
              </w:rPr>
            </w:pPr>
            <w:r w:rsidRPr="00E43137">
              <w:rPr>
                <w:rFonts w:ascii="Calibri" w:hAnsi="Calibri"/>
                <w:color w:val="000000"/>
                <w:sz w:val="18"/>
                <w:szCs w:val="18"/>
              </w:rPr>
              <w:t>Olejniny</w:t>
            </w:r>
          </w:p>
        </w:tc>
        <w:tc>
          <w:tcPr>
            <w:tcW w:w="726" w:type="dxa"/>
            <w:tcBorders>
              <w:top w:val="nil"/>
              <w:left w:val="nil"/>
              <w:bottom w:val="nil"/>
              <w:right w:val="single" w:sz="4" w:space="0" w:color="auto"/>
            </w:tcBorders>
            <w:shd w:val="clear" w:color="auto" w:fill="auto"/>
            <w:noWrap/>
            <w:vAlign w:val="bottom"/>
            <w:hideMark/>
          </w:tcPr>
          <w:p w:rsidR="00242C36" w:rsidRPr="00E43137" w:rsidRDefault="00242C36" w:rsidP="00242C36">
            <w:pPr>
              <w:jc w:val="center"/>
              <w:rPr>
                <w:rFonts w:ascii="Calibri" w:hAnsi="Calibri"/>
                <w:color w:val="000000"/>
                <w:sz w:val="18"/>
                <w:szCs w:val="18"/>
              </w:rPr>
            </w:pPr>
            <w:r w:rsidRPr="00E43137">
              <w:rPr>
                <w:rFonts w:ascii="Calibri" w:hAnsi="Calibri"/>
                <w:color w:val="000000"/>
                <w:sz w:val="18"/>
                <w:szCs w:val="18"/>
              </w:rPr>
              <w:t>t/ha</w:t>
            </w:r>
          </w:p>
        </w:tc>
        <w:tc>
          <w:tcPr>
            <w:tcW w:w="828" w:type="dxa"/>
            <w:tcBorders>
              <w:top w:val="nil"/>
              <w:left w:val="nil"/>
              <w:bottom w:val="nil"/>
              <w:right w:val="nil"/>
            </w:tcBorders>
            <w:shd w:val="clear" w:color="auto" w:fill="auto"/>
            <w:noWrap/>
            <w:vAlign w:val="bottom"/>
            <w:hideMark/>
          </w:tcPr>
          <w:p w:rsidR="00242C36" w:rsidRPr="00E43137" w:rsidRDefault="00242C36" w:rsidP="00242C36">
            <w:pPr>
              <w:jc w:val="right"/>
              <w:rPr>
                <w:rFonts w:ascii="Calibri" w:hAnsi="Calibri"/>
                <w:color w:val="000000"/>
                <w:sz w:val="18"/>
                <w:szCs w:val="18"/>
              </w:rPr>
            </w:pPr>
            <w:r w:rsidRPr="00E43137">
              <w:rPr>
                <w:rFonts w:ascii="Calibri" w:hAnsi="Calibri"/>
                <w:color w:val="000000"/>
                <w:sz w:val="18"/>
                <w:szCs w:val="18"/>
              </w:rPr>
              <w:t xml:space="preserve">2,54 </w:t>
            </w:r>
          </w:p>
        </w:tc>
        <w:tc>
          <w:tcPr>
            <w:tcW w:w="828" w:type="dxa"/>
            <w:tcBorders>
              <w:top w:val="nil"/>
              <w:left w:val="single" w:sz="4" w:space="0" w:color="auto"/>
              <w:bottom w:val="nil"/>
              <w:right w:val="nil"/>
            </w:tcBorders>
            <w:shd w:val="clear" w:color="auto" w:fill="auto"/>
            <w:noWrap/>
            <w:vAlign w:val="bottom"/>
            <w:hideMark/>
          </w:tcPr>
          <w:p w:rsidR="00242C36" w:rsidRPr="00E43137" w:rsidRDefault="00242C36" w:rsidP="00242C36">
            <w:pPr>
              <w:jc w:val="right"/>
              <w:rPr>
                <w:rFonts w:ascii="Calibri" w:hAnsi="Calibri"/>
                <w:color w:val="000000"/>
                <w:sz w:val="18"/>
                <w:szCs w:val="18"/>
              </w:rPr>
            </w:pPr>
            <w:r w:rsidRPr="00E43137">
              <w:rPr>
                <w:rFonts w:ascii="Calibri" w:hAnsi="Calibri"/>
                <w:color w:val="000000"/>
                <w:sz w:val="18"/>
                <w:szCs w:val="18"/>
              </w:rPr>
              <w:t xml:space="preserve">2,23 </w:t>
            </w:r>
          </w:p>
        </w:tc>
        <w:tc>
          <w:tcPr>
            <w:tcW w:w="828" w:type="dxa"/>
            <w:tcBorders>
              <w:top w:val="nil"/>
              <w:left w:val="single" w:sz="4" w:space="0" w:color="auto"/>
              <w:bottom w:val="nil"/>
              <w:right w:val="nil"/>
            </w:tcBorders>
            <w:shd w:val="clear" w:color="auto" w:fill="auto"/>
            <w:noWrap/>
            <w:vAlign w:val="bottom"/>
            <w:hideMark/>
          </w:tcPr>
          <w:p w:rsidR="00242C36" w:rsidRPr="00E43137" w:rsidRDefault="00242C36" w:rsidP="00242C36">
            <w:pPr>
              <w:jc w:val="right"/>
              <w:rPr>
                <w:rFonts w:ascii="Calibri" w:hAnsi="Calibri"/>
                <w:color w:val="000000"/>
                <w:sz w:val="18"/>
                <w:szCs w:val="18"/>
              </w:rPr>
            </w:pPr>
            <w:r w:rsidRPr="00E43137">
              <w:rPr>
                <w:rFonts w:ascii="Calibri" w:hAnsi="Calibri"/>
                <w:color w:val="000000"/>
                <w:sz w:val="18"/>
                <w:szCs w:val="18"/>
              </w:rPr>
              <w:t xml:space="preserve">1,88 </w:t>
            </w:r>
          </w:p>
        </w:tc>
        <w:tc>
          <w:tcPr>
            <w:tcW w:w="828" w:type="dxa"/>
            <w:tcBorders>
              <w:top w:val="nil"/>
              <w:left w:val="single" w:sz="4" w:space="0" w:color="auto"/>
              <w:bottom w:val="nil"/>
              <w:right w:val="nil"/>
            </w:tcBorders>
            <w:shd w:val="clear" w:color="auto" w:fill="auto"/>
            <w:noWrap/>
            <w:vAlign w:val="bottom"/>
            <w:hideMark/>
          </w:tcPr>
          <w:p w:rsidR="00242C36" w:rsidRPr="00E43137" w:rsidRDefault="00242C36" w:rsidP="00242C36">
            <w:pPr>
              <w:jc w:val="right"/>
              <w:rPr>
                <w:rFonts w:ascii="Calibri" w:hAnsi="Calibri"/>
                <w:color w:val="000000"/>
                <w:sz w:val="18"/>
                <w:szCs w:val="18"/>
              </w:rPr>
            </w:pPr>
            <w:r w:rsidRPr="00E43137">
              <w:rPr>
                <w:rFonts w:ascii="Calibri" w:hAnsi="Calibri"/>
                <w:color w:val="000000"/>
                <w:sz w:val="18"/>
                <w:szCs w:val="18"/>
              </w:rPr>
              <w:t xml:space="preserve">2,23 </w:t>
            </w:r>
          </w:p>
        </w:tc>
        <w:tc>
          <w:tcPr>
            <w:tcW w:w="828" w:type="dxa"/>
            <w:tcBorders>
              <w:top w:val="nil"/>
              <w:left w:val="single" w:sz="4" w:space="0" w:color="auto"/>
              <w:bottom w:val="nil"/>
              <w:right w:val="nil"/>
            </w:tcBorders>
            <w:shd w:val="clear" w:color="auto" w:fill="auto"/>
            <w:noWrap/>
            <w:vAlign w:val="bottom"/>
            <w:hideMark/>
          </w:tcPr>
          <w:p w:rsidR="00242C36" w:rsidRPr="00E43137" w:rsidRDefault="00242C36" w:rsidP="00242C36">
            <w:pPr>
              <w:jc w:val="right"/>
              <w:rPr>
                <w:rFonts w:ascii="Calibri" w:hAnsi="Calibri"/>
                <w:color w:val="000000"/>
                <w:sz w:val="18"/>
                <w:szCs w:val="18"/>
              </w:rPr>
            </w:pPr>
            <w:r w:rsidRPr="00E43137">
              <w:rPr>
                <w:rFonts w:ascii="Calibri" w:hAnsi="Calibri"/>
                <w:color w:val="000000"/>
                <w:sz w:val="18"/>
                <w:szCs w:val="18"/>
              </w:rPr>
              <w:t xml:space="preserve">2,04 </w:t>
            </w:r>
          </w:p>
        </w:tc>
        <w:tc>
          <w:tcPr>
            <w:tcW w:w="1060" w:type="dxa"/>
            <w:tcBorders>
              <w:top w:val="nil"/>
              <w:left w:val="single" w:sz="4" w:space="0" w:color="auto"/>
              <w:bottom w:val="nil"/>
              <w:right w:val="single" w:sz="8" w:space="0" w:color="auto"/>
            </w:tcBorders>
            <w:shd w:val="clear" w:color="auto" w:fill="auto"/>
            <w:noWrap/>
            <w:vAlign w:val="bottom"/>
            <w:hideMark/>
          </w:tcPr>
          <w:p w:rsidR="00242C36" w:rsidRPr="00E43137" w:rsidRDefault="00242C36" w:rsidP="00242C36">
            <w:pPr>
              <w:jc w:val="right"/>
              <w:rPr>
                <w:rFonts w:ascii="Calibri" w:hAnsi="Calibri"/>
                <w:color w:val="000000"/>
                <w:sz w:val="18"/>
                <w:szCs w:val="18"/>
              </w:rPr>
            </w:pPr>
            <w:r w:rsidRPr="00E43137">
              <w:rPr>
                <w:rFonts w:ascii="Calibri" w:hAnsi="Calibri"/>
                <w:color w:val="000000"/>
                <w:sz w:val="18"/>
                <w:szCs w:val="18"/>
              </w:rPr>
              <w:t xml:space="preserve">91,5 </w:t>
            </w:r>
          </w:p>
        </w:tc>
      </w:tr>
      <w:tr w:rsidR="00242C36" w:rsidRPr="00E43137" w:rsidTr="00242C36">
        <w:trPr>
          <w:trHeight w:val="300"/>
        </w:trPr>
        <w:tc>
          <w:tcPr>
            <w:tcW w:w="2815" w:type="dxa"/>
            <w:tcBorders>
              <w:top w:val="nil"/>
              <w:left w:val="single" w:sz="8" w:space="0" w:color="auto"/>
              <w:bottom w:val="single" w:sz="4" w:space="0" w:color="auto"/>
              <w:right w:val="single" w:sz="8" w:space="0" w:color="auto"/>
            </w:tcBorders>
            <w:shd w:val="clear" w:color="auto" w:fill="auto"/>
            <w:noWrap/>
            <w:vAlign w:val="bottom"/>
            <w:hideMark/>
          </w:tcPr>
          <w:p w:rsidR="00242C36" w:rsidRPr="00E43137" w:rsidRDefault="00242C36" w:rsidP="00242C36">
            <w:pPr>
              <w:rPr>
                <w:rFonts w:ascii="Calibri" w:hAnsi="Calibri"/>
                <w:color w:val="000000"/>
                <w:sz w:val="18"/>
                <w:szCs w:val="18"/>
              </w:rPr>
            </w:pPr>
            <w:r w:rsidRPr="00E43137">
              <w:rPr>
                <w:rFonts w:ascii="Calibri" w:hAnsi="Calibri"/>
                <w:color w:val="000000"/>
                <w:sz w:val="18"/>
                <w:szCs w:val="18"/>
              </w:rPr>
              <w:t>Muštové hrozno</w:t>
            </w:r>
          </w:p>
        </w:tc>
        <w:tc>
          <w:tcPr>
            <w:tcW w:w="726" w:type="dxa"/>
            <w:tcBorders>
              <w:top w:val="nil"/>
              <w:left w:val="nil"/>
              <w:bottom w:val="nil"/>
              <w:right w:val="single" w:sz="4" w:space="0" w:color="auto"/>
            </w:tcBorders>
            <w:shd w:val="clear" w:color="auto" w:fill="auto"/>
            <w:noWrap/>
            <w:vAlign w:val="bottom"/>
            <w:hideMark/>
          </w:tcPr>
          <w:p w:rsidR="00242C36" w:rsidRPr="00E43137" w:rsidRDefault="00242C36" w:rsidP="00242C36">
            <w:pPr>
              <w:jc w:val="center"/>
              <w:rPr>
                <w:rFonts w:ascii="Calibri" w:hAnsi="Calibri"/>
                <w:color w:val="000000"/>
                <w:sz w:val="18"/>
                <w:szCs w:val="18"/>
              </w:rPr>
            </w:pPr>
            <w:r w:rsidRPr="00E43137">
              <w:rPr>
                <w:rFonts w:ascii="Calibri" w:hAnsi="Calibri"/>
                <w:color w:val="000000"/>
                <w:sz w:val="18"/>
                <w:szCs w:val="18"/>
              </w:rPr>
              <w:t>t/ha</w:t>
            </w:r>
          </w:p>
        </w:tc>
        <w:tc>
          <w:tcPr>
            <w:tcW w:w="828" w:type="dxa"/>
            <w:tcBorders>
              <w:top w:val="nil"/>
              <w:left w:val="nil"/>
              <w:bottom w:val="nil"/>
              <w:right w:val="nil"/>
            </w:tcBorders>
            <w:shd w:val="clear" w:color="auto" w:fill="auto"/>
            <w:noWrap/>
            <w:vAlign w:val="bottom"/>
            <w:hideMark/>
          </w:tcPr>
          <w:p w:rsidR="00242C36" w:rsidRPr="00E43137" w:rsidRDefault="00242C36" w:rsidP="00242C36">
            <w:pPr>
              <w:jc w:val="right"/>
              <w:rPr>
                <w:rFonts w:ascii="Calibri" w:hAnsi="Calibri"/>
                <w:color w:val="000000"/>
                <w:sz w:val="18"/>
                <w:szCs w:val="18"/>
              </w:rPr>
            </w:pPr>
            <w:r w:rsidRPr="00E43137">
              <w:rPr>
                <w:rFonts w:ascii="Calibri" w:hAnsi="Calibri"/>
                <w:color w:val="000000"/>
                <w:sz w:val="18"/>
                <w:szCs w:val="18"/>
              </w:rPr>
              <w:t xml:space="preserve">5,36 </w:t>
            </w:r>
          </w:p>
        </w:tc>
        <w:tc>
          <w:tcPr>
            <w:tcW w:w="828" w:type="dxa"/>
            <w:tcBorders>
              <w:top w:val="nil"/>
              <w:left w:val="single" w:sz="4" w:space="0" w:color="auto"/>
              <w:bottom w:val="nil"/>
              <w:right w:val="nil"/>
            </w:tcBorders>
            <w:shd w:val="clear" w:color="auto" w:fill="auto"/>
            <w:noWrap/>
            <w:vAlign w:val="bottom"/>
            <w:hideMark/>
          </w:tcPr>
          <w:p w:rsidR="00242C36" w:rsidRPr="00E43137" w:rsidRDefault="00242C36" w:rsidP="00242C36">
            <w:pPr>
              <w:jc w:val="right"/>
              <w:rPr>
                <w:rFonts w:ascii="Calibri" w:hAnsi="Calibri"/>
                <w:color w:val="000000"/>
                <w:sz w:val="18"/>
                <w:szCs w:val="18"/>
              </w:rPr>
            </w:pPr>
            <w:r w:rsidRPr="00E43137">
              <w:rPr>
                <w:rFonts w:ascii="Calibri" w:hAnsi="Calibri"/>
                <w:color w:val="000000"/>
                <w:sz w:val="18"/>
                <w:szCs w:val="18"/>
              </w:rPr>
              <w:t xml:space="preserve">4,53 </w:t>
            </w:r>
          </w:p>
        </w:tc>
        <w:tc>
          <w:tcPr>
            <w:tcW w:w="828" w:type="dxa"/>
            <w:tcBorders>
              <w:top w:val="nil"/>
              <w:left w:val="single" w:sz="4" w:space="0" w:color="auto"/>
              <w:bottom w:val="nil"/>
              <w:right w:val="nil"/>
            </w:tcBorders>
            <w:shd w:val="clear" w:color="auto" w:fill="auto"/>
            <w:noWrap/>
            <w:vAlign w:val="bottom"/>
            <w:hideMark/>
          </w:tcPr>
          <w:p w:rsidR="00242C36" w:rsidRPr="00E43137" w:rsidRDefault="00242C36" w:rsidP="00242C36">
            <w:pPr>
              <w:jc w:val="right"/>
              <w:rPr>
                <w:rFonts w:ascii="Calibri" w:hAnsi="Calibri"/>
                <w:color w:val="000000"/>
                <w:sz w:val="18"/>
                <w:szCs w:val="18"/>
              </w:rPr>
            </w:pPr>
            <w:r w:rsidRPr="00E43137">
              <w:rPr>
                <w:rFonts w:ascii="Calibri" w:hAnsi="Calibri"/>
                <w:color w:val="000000"/>
                <w:sz w:val="18"/>
                <w:szCs w:val="18"/>
              </w:rPr>
              <w:t xml:space="preserve">2,61 </w:t>
            </w:r>
          </w:p>
        </w:tc>
        <w:tc>
          <w:tcPr>
            <w:tcW w:w="828" w:type="dxa"/>
            <w:tcBorders>
              <w:top w:val="nil"/>
              <w:left w:val="single" w:sz="4" w:space="0" w:color="auto"/>
              <w:bottom w:val="nil"/>
              <w:right w:val="nil"/>
            </w:tcBorders>
            <w:shd w:val="clear" w:color="auto" w:fill="auto"/>
            <w:noWrap/>
            <w:vAlign w:val="bottom"/>
            <w:hideMark/>
          </w:tcPr>
          <w:p w:rsidR="00242C36" w:rsidRPr="00E43137" w:rsidRDefault="00242C36" w:rsidP="00242C36">
            <w:pPr>
              <w:jc w:val="right"/>
              <w:rPr>
                <w:rFonts w:ascii="Calibri" w:hAnsi="Calibri"/>
                <w:color w:val="000000"/>
                <w:sz w:val="18"/>
                <w:szCs w:val="18"/>
              </w:rPr>
            </w:pPr>
            <w:r w:rsidRPr="00E43137">
              <w:rPr>
                <w:rFonts w:ascii="Calibri" w:hAnsi="Calibri"/>
                <w:color w:val="000000"/>
                <w:sz w:val="18"/>
                <w:szCs w:val="18"/>
              </w:rPr>
              <w:t xml:space="preserve">4,96 </w:t>
            </w:r>
          </w:p>
        </w:tc>
        <w:tc>
          <w:tcPr>
            <w:tcW w:w="828" w:type="dxa"/>
            <w:tcBorders>
              <w:top w:val="nil"/>
              <w:left w:val="single" w:sz="4" w:space="0" w:color="auto"/>
              <w:bottom w:val="nil"/>
              <w:right w:val="nil"/>
            </w:tcBorders>
            <w:shd w:val="clear" w:color="auto" w:fill="auto"/>
            <w:noWrap/>
            <w:vAlign w:val="bottom"/>
            <w:hideMark/>
          </w:tcPr>
          <w:p w:rsidR="00242C36" w:rsidRPr="00E43137" w:rsidRDefault="00242C36" w:rsidP="00242C36">
            <w:pPr>
              <w:jc w:val="right"/>
              <w:rPr>
                <w:rFonts w:ascii="Calibri" w:hAnsi="Calibri"/>
                <w:color w:val="000000"/>
                <w:sz w:val="18"/>
                <w:szCs w:val="18"/>
              </w:rPr>
            </w:pPr>
            <w:r w:rsidRPr="00E43137">
              <w:rPr>
                <w:rFonts w:ascii="Calibri" w:hAnsi="Calibri"/>
                <w:color w:val="000000"/>
                <w:sz w:val="18"/>
                <w:szCs w:val="18"/>
              </w:rPr>
              <w:t xml:space="preserve">4,99 </w:t>
            </w:r>
          </w:p>
        </w:tc>
        <w:tc>
          <w:tcPr>
            <w:tcW w:w="1060" w:type="dxa"/>
            <w:tcBorders>
              <w:top w:val="nil"/>
              <w:left w:val="single" w:sz="4" w:space="0" w:color="auto"/>
              <w:bottom w:val="nil"/>
              <w:right w:val="single" w:sz="8" w:space="0" w:color="auto"/>
            </w:tcBorders>
            <w:shd w:val="clear" w:color="auto" w:fill="auto"/>
            <w:noWrap/>
            <w:vAlign w:val="bottom"/>
            <w:hideMark/>
          </w:tcPr>
          <w:p w:rsidR="00242C36" w:rsidRPr="00E43137" w:rsidRDefault="00242C36" w:rsidP="00242C36">
            <w:pPr>
              <w:jc w:val="right"/>
              <w:rPr>
                <w:rFonts w:ascii="Calibri" w:hAnsi="Calibri"/>
                <w:color w:val="000000"/>
                <w:sz w:val="18"/>
                <w:szCs w:val="18"/>
              </w:rPr>
            </w:pPr>
            <w:r w:rsidRPr="00E43137">
              <w:rPr>
                <w:rFonts w:ascii="Calibri" w:hAnsi="Calibri"/>
                <w:color w:val="000000"/>
                <w:sz w:val="18"/>
                <w:szCs w:val="18"/>
              </w:rPr>
              <w:t xml:space="preserve">100,6 </w:t>
            </w:r>
          </w:p>
        </w:tc>
      </w:tr>
      <w:tr w:rsidR="00242C36" w:rsidRPr="00E43137" w:rsidTr="00242C36">
        <w:trPr>
          <w:trHeight w:val="238"/>
        </w:trPr>
        <w:tc>
          <w:tcPr>
            <w:tcW w:w="2815" w:type="dxa"/>
            <w:tcBorders>
              <w:top w:val="nil"/>
              <w:left w:val="single" w:sz="8" w:space="0" w:color="auto"/>
              <w:bottom w:val="single" w:sz="4" w:space="0" w:color="auto"/>
              <w:right w:val="single" w:sz="8" w:space="0" w:color="auto"/>
            </w:tcBorders>
            <w:shd w:val="clear" w:color="auto" w:fill="auto"/>
            <w:noWrap/>
            <w:vAlign w:val="bottom"/>
            <w:hideMark/>
          </w:tcPr>
          <w:p w:rsidR="00242C36" w:rsidRPr="00E43137" w:rsidRDefault="00242C36" w:rsidP="00242C36">
            <w:pPr>
              <w:rPr>
                <w:rFonts w:ascii="Calibri" w:hAnsi="Calibri"/>
                <w:sz w:val="18"/>
                <w:szCs w:val="18"/>
              </w:rPr>
            </w:pPr>
            <w:r w:rsidRPr="00E43137">
              <w:rPr>
                <w:rFonts w:ascii="Calibri" w:hAnsi="Calibri"/>
                <w:sz w:val="18"/>
                <w:szCs w:val="18"/>
              </w:rPr>
              <w:t>P r o d u k c i a</w:t>
            </w:r>
          </w:p>
        </w:tc>
        <w:tc>
          <w:tcPr>
            <w:tcW w:w="726" w:type="dxa"/>
            <w:tcBorders>
              <w:top w:val="single" w:sz="4" w:space="0" w:color="auto"/>
              <w:left w:val="nil"/>
              <w:bottom w:val="single" w:sz="4" w:space="0" w:color="auto"/>
              <w:right w:val="nil"/>
            </w:tcBorders>
            <w:shd w:val="clear" w:color="auto" w:fill="auto"/>
            <w:noWrap/>
            <w:vAlign w:val="bottom"/>
            <w:hideMark/>
          </w:tcPr>
          <w:p w:rsidR="00242C36" w:rsidRPr="00E43137" w:rsidRDefault="00242C36" w:rsidP="00242C36">
            <w:pPr>
              <w:jc w:val="center"/>
              <w:rPr>
                <w:rFonts w:ascii="Calibri" w:hAnsi="Calibri"/>
                <w:sz w:val="18"/>
                <w:szCs w:val="18"/>
              </w:rPr>
            </w:pPr>
            <w:r w:rsidRPr="00E43137">
              <w:rPr>
                <w:rFonts w:ascii="Calibri" w:hAnsi="Calibri"/>
                <w:sz w:val="18"/>
                <w:szCs w:val="18"/>
              </w:rPr>
              <w:t> </w:t>
            </w:r>
          </w:p>
        </w:tc>
        <w:tc>
          <w:tcPr>
            <w:tcW w:w="828" w:type="dxa"/>
            <w:tcBorders>
              <w:top w:val="single" w:sz="4" w:space="0" w:color="auto"/>
              <w:left w:val="nil"/>
              <w:bottom w:val="single" w:sz="4" w:space="0" w:color="auto"/>
              <w:right w:val="nil"/>
            </w:tcBorders>
            <w:shd w:val="clear" w:color="auto" w:fill="auto"/>
            <w:noWrap/>
            <w:vAlign w:val="bottom"/>
            <w:hideMark/>
          </w:tcPr>
          <w:p w:rsidR="00242C36" w:rsidRPr="00E43137" w:rsidRDefault="00242C36" w:rsidP="00242C36">
            <w:pPr>
              <w:rPr>
                <w:rFonts w:ascii="Calibri" w:hAnsi="Calibri"/>
                <w:sz w:val="18"/>
                <w:szCs w:val="18"/>
              </w:rPr>
            </w:pPr>
            <w:r w:rsidRPr="00E43137">
              <w:rPr>
                <w:rFonts w:ascii="Calibri" w:hAnsi="Calibri"/>
                <w:sz w:val="18"/>
                <w:szCs w:val="18"/>
              </w:rPr>
              <w:t> </w:t>
            </w:r>
          </w:p>
        </w:tc>
        <w:tc>
          <w:tcPr>
            <w:tcW w:w="828" w:type="dxa"/>
            <w:tcBorders>
              <w:top w:val="single" w:sz="4" w:space="0" w:color="auto"/>
              <w:left w:val="nil"/>
              <w:bottom w:val="single" w:sz="4" w:space="0" w:color="auto"/>
              <w:right w:val="nil"/>
            </w:tcBorders>
            <w:shd w:val="clear" w:color="auto" w:fill="auto"/>
            <w:noWrap/>
            <w:vAlign w:val="bottom"/>
            <w:hideMark/>
          </w:tcPr>
          <w:p w:rsidR="00242C36" w:rsidRPr="00E43137" w:rsidRDefault="00242C36" w:rsidP="00242C36">
            <w:pPr>
              <w:rPr>
                <w:rFonts w:ascii="Calibri" w:hAnsi="Calibri"/>
                <w:sz w:val="18"/>
                <w:szCs w:val="18"/>
              </w:rPr>
            </w:pPr>
            <w:r w:rsidRPr="00E43137">
              <w:rPr>
                <w:rFonts w:ascii="Calibri" w:hAnsi="Calibri"/>
                <w:sz w:val="18"/>
                <w:szCs w:val="18"/>
              </w:rPr>
              <w:t> </w:t>
            </w:r>
          </w:p>
        </w:tc>
        <w:tc>
          <w:tcPr>
            <w:tcW w:w="828" w:type="dxa"/>
            <w:tcBorders>
              <w:top w:val="single" w:sz="4" w:space="0" w:color="auto"/>
              <w:left w:val="nil"/>
              <w:bottom w:val="single" w:sz="4" w:space="0" w:color="auto"/>
              <w:right w:val="nil"/>
            </w:tcBorders>
            <w:shd w:val="clear" w:color="auto" w:fill="auto"/>
            <w:noWrap/>
            <w:vAlign w:val="bottom"/>
            <w:hideMark/>
          </w:tcPr>
          <w:p w:rsidR="00242C36" w:rsidRPr="00E43137" w:rsidRDefault="00242C36" w:rsidP="00242C36">
            <w:pPr>
              <w:rPr>
                <w:rFonts w:ascii="Calibri" w:hAnsi="Calibri"/>
                <w:sz w:val="18"/>
                <w:szCs w:val="18"/>
              </w:rPr>
            </w:pPr>
            <w:r w:rsidRPr="00E43137">
              <w:rPr>
                <w:rFonts w:ascii="Calibri" w:hAnsi="Calibri"/>
                <w:sz w:val="18"/>
                <w:szCs w:val="18"/>
              </w:rPr>
              <w:t> </w:t>
            </w:r>
          </w:p>
        </w:tc>
        <w:tc>
          <w:tcPr>
            <w:tcW w:w="828" w:type="dxa"/>
            <w:tcBorders>
              <w:top w:val="single" w:sz="4" w:space="0" w:color="auto"/>
              <w:left w:val="nil"/>
              <w:bottom w:val="single" w:sz="4" w:space="0" w:color="auto"/>
              <w:right w:val="nil"/>
            </w:tcBorders>
            <w:shd w:val="clear" w:color="auto" w:fill="auto"/>
            <w:noWrap/>
            <w:vAlign w:val="bottom"/>
            <w:hideMark/>
          </w:tcPr>
          <w:p w:rsidR="00242C36" w:rsidRPr="00E43137" w:rsidRDefault="00242C36" w:rsidP="00242C36">
            <w:pPr>
              <w:rPr>
                <w:rFonts w:ascii="Calibri" w:hAnsi="Calibri"/>
                <w:color w:val="000000"/>
                <w:sz w:val="18"/>
                <w:szCs w:val="18"/>
              </w:rPr>
            </w:pPr>
            <w:r w:rsidRPr="00E43137">
              <w:rPr>
                <w:rFonts w:ascii="Calibri" w:hAnsi="Calibri"/>
                <w:color w:val="000000"/>
                <w:sz w:val="18"/>
                <w:szCs w:val="18"/>
              </w:rPr>
              <w:t> </w:t>
            </w:r>
          </w:p>
        </w:tc>
        <w:tc>
          <w:tcPr>
            <w:tcW w:w="828" w:type="dxa"/>
            <w:tcBorders>
              <w:top w:val="single" w:sz="4" w:space="0" w:color="auto"/>
              <w:left w:val="nil"/>
              <w:bottom w:val="single" w:sz="4" w:space="0" w:color="auto"/>
              <w:right w:val="nil"/>
            </w:tcBorders>
            <w:shd w:val="clear" w:color="auto" w:fill="auto"/>
            <w:noWrap/>
            <w:vAlign w:val="bottom"/>
            <w:hideMark/>
          </w:tcPr>
          <w:p w:rsidR="00242C36" w:rsidRPr="00E43137" w:rsidRDefault="00242C36" w:rsidP="00242C36">
            <w:pPr>
              <w:rPr>
                <w:rFonts w:ascii="Calibri" w:hAnsi="Calibri"/>
                <w:color w:val="000000"/>
                <w:sz w:val="18"/>
                <w:szCs w:val="18"/>
              </w:rPr>
            </w:pPr>
            <w:r w:rsidRPr="00E43137">
              <w:rPr>
                <w:rFonts w:ascii="Calibri" w:hAnsi="Calibri"/>
                <w:color w:val="000000"/>
                <w:sz w:val="18"/>
                <w:szCs w:val="18"/>
              </w:rPr>
              <w:t> </w:t>
            </w:r>
          </w:p>
        </w:tc>
        <w:tc>
          <w:tcPr>
            <w:tcW w:w="1060" w:type="dxa"/>
            <w:tcBorders>
              <w:top w:val="single" w:sz="4" w:space="0" w:color="auto"/>
              <w:left w:val="nil"/>
              <w:bottom w:val="single" w:sz="4" w:space="0" w:color="auto"/>
              <w:right w:val="single" w:sz="8" w:space="0" w:color="auto"/>
            </w:tcBorders>
            <w:shd w:val="clear" w:color="auto" w:fill="auto"/>
            <w:noWrap/>
            <w:vAlign w:val="bottom"/>
            <w:hideMark/>
          </w:tcPr>
          <w:p w:rsidR="00242C36" w:rsidRPr="00E43137" w:rsidRDefault="00242C36" w:rsidP="00242C36">
            <w:pPr>
              <w:rPr>
                <w:rFonts w:ascii="Calibri" w:hAnsi="Calibri"/>
                <w:color w:val="000000"/>
                <w:sz w:val="18"/>
                <w:szCs w:val="18"/>
              </w:rPr>
            </w:pPr>
            <w:r w:rsidRPr="00E43137">
              <w:rPr>
                <w:rFonts w:ascii="Calibri" w:hAnsi="Calibri"/>
                <w:color w:val="000000"/>
                <w:sz w:val="18"/>
                <w:szCs w:val="18"/>
              </w:rPr>
              <w:t> </w:t>
            </w:r>
          </w:p>
        </w:tc>
      </w:tr>
      <w:tr w:rsidR="00242C36" w:rsidRPr="00E43137" w:rsidTr="00242C36">
        <w:trPr>
          <w:trHeight w:val="300"/>
        </w:trPr>
        <w:tc>
          <w:tcPr>
            <w:tcW w:w="2815" w:type="dxa"/>
            <w:tcBorders>
              <w:top w:val="nil"/>
              <w:left w:val="single" w:sz="8" w:space="0" w:color="auto"/>
              <w:bottom w:val="nil"/>
              <w:right w:val="single" w:sz="8" w:space="0" w:color="auto"/>
            </w:tcBorders>
            <w:shd w:val="clear" w:color="auto" w:fill="auto"/>
            <w:noWrap/>
            <w:vAlign w:val="bottom"/>
            <w:hideMark/>
          </w:tcPr>
          <w:p w:rsidR="00242C36" w:rsidRPr="00E43137" w:rsidRDefault="00242C36" w:rsidP="00242C36">
            <w:pPr>
              <w:rPr>
                <w:rFonts w:ascii="Calibri" w:hAnsi="Calibri"/>
                <w:sz w:val="18"/>
                <w:szCs w:val="18"/>
              </w:rPr>
            </w:pPr>
            <w:r w:rsidRPr="00E43137">
              <w:rPr>
                <w:rFonts w:ascii="Calibri" w:hAnsi="Calibri"/>
                <w:sz w:val="18"/>
                <w:szCs w:val="18"/>
              </w:rPr>
              <w:t>Obilniny spolu</w:t>
            </w:r>
          </w:p>
        </w:tc>
        <w:tc>
          <w:tcPr>
            <w:tcW w:w="726" w:type="dxa"/>
            <w:tcBorders>
              <w:top w:val="nil"/>
              <w:left w:val="nil"/>
              <w:bottom w:val="nil"/>
              <w:right w:val="single" w:sz="4" w:space="0" w:color="auto"/>
            </w:tcBorders>
            <w:shd w:val="clear" w:color="auto" w:fill="auto"/>
            <w:noWrap/>
            <w:vAlign w:val="bottom"/>
            <w:hideMark/>
          </w:tcPr>
          <w:p w:rsidR="00242C36" w:rsidRPr="00E43137" w:rsidRDefault="00242C36" w:rsidP="00242C36">
            <w:pPr>
              <w:jc w:val="center"/>
              <w:rPr>
                <w:rFonts w:ascii="Calibri" w:hAnsi="Calibri"/>
                <w:sz w:val="18"/>
                <w:szCs w:val="18"/>
              </w:rPr>
            </w:pPr>
            <w:r w:rsidRPr="00E43137">
              <w:rPr>
                <w:rFonts w:ascii="Calibri" w:hAnsi="Calibri"/>
                <w:sz w:val="18"/>
                <w:szCs w:val="18"/>
              </w:rPr>
              <w:t>tis.</w:t>
            </w:r>
            <w:r>
              <w:rPr>
                <w:rFonts w:ascii="Calibri" w:hAnsi="Calibri"/>
                <w:sz w:val="18"/>
                <w:szCs w:val="18"/>
              </w:rPr>
              <w:t xml:space="preserve"> </w:t>
            </w:r>
            <w:r w:rsidRPr="00E43137">
              <w:rPr>
                <w:rFonts w:ascii="Calibri" w:hAnsi="Calibri"/>
                <w:sz w:val="18"/>
                <w:szCs w:val="18"/>
              </w:rPr>
              <w:t>t</w:t>
            </w:r>
          </w:p>
        </w:tc>
        <w:tc>
          <w:tcPr>
            <w:tcW w:w="828" w:type="dxa"/>
            <w:tcBorders>
              <w:top w:val="nil"/>
              <w:left w:val="nil"/>
              <w:bottom w:val="nil"/>
              <w:right w:val="nil"/>
            </w:tcBorders>
            <w:shd w:val="clear" w:color="auto" w:fill="auto"/>
            <w:noWrap/>
            <w:vAlign w:val="bottom"/>
            <w:hideMark/>
          </w:tcPr>
          <w:p w:rsidR="00242C36" w:rsidRPr="00E43137" w:rsidRDefault="00242C36" w:rsidP="00242C36">
            <w:pPr>
              <w:jc w:val="right"/>
              <w:rPr>
                <w:rFonts w:ascii="Calibri" w:hAnsi="Calibri"/>
                <w:color w:val="000000"/>
                <w:sz w:val="18"/>
                <w:szCs w:val="18"/>
              </w:rPr>
            </w:pPr>
            <w:r w:rsidRPr="00E43137">
              <w:rPr>
                <w:rFonts w:ascii="Calibri" w:hAnsi="Calibri"/>
                <w:color w:val="000000"/>
                <w:sz w:val="18"/>
                <w:szCs w:val="18"/>
              </w:rPr>
              <w:t xml:space="preserve">4 137,0 </w:t>
            </w:r>
          </w:p>
        </w:tc>
        <w:tc>
          <w:tcPr>
            <w:tcW w:w="828" w:type="dxa"/>
            <w:tcBorders>
              <w:top w:val="nil"/>
              <w:left w:val="single" w:sz="4" w:space="0" w:color="auto"/>
              <w:bottom w:val="nil"/>
              <w:right w:val="nil"/>
            </w:tcBorders>
            <w:shd w:val="clear" w:color="auto" w:fill="auto"/>
            <w:noWrap/>
            <w:vAlign w:val="bottom"/>
            <w:hideMark/>
          </w:tcPr>
          <w:p w:rsidR="00242C36" w:rsidRPr="00E43137" w:rsidRDefault="00242C36" w:rsidP="00242C36">
            <w:pPr>
              <w:jc w:val="right"/>
              <w:rPr>
                <w:rFonts w:ascii="Calibri" w:hAnsi="Calibri"/>
                <w:color w:val="000000"/>
                <w:sz w:val="18"/>
                <w:szCs w:val="18"/>
              </w:rPr>
            </w:pPr>
            <w:r w:rsidRPr="00E43137">
              <w:rPr>
                <w:rFonts w:ascii="Calibri" w:hAnsi="Calibri"/>
                <w:color w:val="000000"/>
                <w:sz w:val="18"/>
                <w:szCs w:val="18"/>
              </w:rPr>
              <w:t xml:space="preserve">3 330,0 </w:t>
            </w:r>
          </w:p>
        </w:tc>
        <w:tc>
          <w:tcPr>
            <w:tcW w:w="828" w:type="dxa"/>
            <w:tcBorders>
              <w:top w:val="nil"/>
              <w:left w:val="single" w:sz="4" w:space="0" w:color="auto"/>
              <w:bottom w:val="nil"/>
              <w:right w:val="nil"/>
            </w:tcBorders>
            <w:shd w:val="clear" w:color="auto" w:fill="auto"/>
            <w:noWrap/>
            <w:vAlign w:val="bottom"/>
            <w:hideMark/>
          </w:tcPr>
          <w:p w:rsidR="00242C36" w:rsidRPr="00E43137" w:rsidRDefault="00242C36" w:rsidP="00242C36">
            <w:pPr>
              <w:jc w:val="right"/>
              <w:rPr>
                <w:rFonts w:ascii="Calibri" w:hAnsi="Calibri"/>
                <w:color w:val="000000"/>
                <w:sz w:val="18"/>
                <w:szCs w:val="18"/>
              </w:rPr>
            </w:pPr>
            <w:r w:rsidRPr="00E43137">
              <w:rPr>
                <w:rFonts w:ascii="Calibri" w:hAnsi="Calibri"/>
                <w:color w:val="000000"/>
                <w:sz w:val="18"/>
                <w:szCs w:val="18"/>
              </w:rPr>
              <w:t xml:space="preserve">2 554,2 </w:t>
            </w:r>
          </w:p>
        </w:tc>
        <w:tc>
          <w:tcPr>
            <w:tcW w:w="828" w:type="dxa"/>
            <w:tcBorders>
              <w:top w:val="nil"/>
              <w:left w:val="single" w:sz="4" w:space="0" w:color="auto"/>
              <w:bottom w:val="nil"/>
              <w:right w:val="nil"/>
            </w:tcBorders>
            <w:shd w:val="clear" w:color="auto" w:fill="auto"/>
            <w:noWrap/>
            <w:vAlign w:val="bottom"/>
            <w:hideMark/>
          </w:tcPr>
          <w:p w:rsidR="00242C36" w:rsidRPr="00E43137" w:rsidRDefault="00242C36" w:rsidP="00242C36">
            <w:pPr>
              <w:jc w:val="right"/>
              <w:rPr>
                <w:rFonts w:ascii="Calibri" w:hAnsi="Calibri"/>
                <w:color w:val="000000"/>
                <w:sz w:val="18"/>
                <w:szCs w:val="18"/>
              </w:rPr>
            </w:pPr>
            <w:r w:rsidRPr="00E43137">
              <w:rPr>
                <w:rFonts w:ascii="Calibri" w:hAnsi="Calibri"/>
                <w:color w:val="000000"/>
                <w:sz w:val="18"/>
                <w:szCs w:val="18"/>
              </w:rPr>
              <w:t xml:space="preserve">3 714,1 </w:t>
            </w:r>
          </w:p>
        </w:tc>
        <w:tc>
          <w:tcPr>
            <w:tcW w:w="828" w:type="dxa"/>
            <w:tcBorders>
              <w:top w:val="nil"/>
              <w:left w:val="single" w:sz="4" w:space="0" w:color="auto"/>
              <w:bottom w:val="nil"/>
              <w:right w:val="nil"/>
            </w:tcBorders>
            <w:shd w:val="clear" w:color="auto" w:fill="auto"/>
            <w:noWrap/>
            <w:vAlign w:val="bottom"/>
            <w:hideMark/>
          </w:tcPr>
          <w:p w:rsidR="00242C36" w:rsidRPr="00E43137" w:rsidRDefault="00242C36" w:rsidP="00242C36">
            <w:pPr>
              <w:jc w:val="right"/>
              <w:rPr>
                <w:rFonts w:ascii="Calibri" w:hAnsi="Calibri"/>
                <w:color w:val="000000"/>
                <w:sz w:val="18"/>
                <w:szCs w:val="18"/>
              </w:rPr>
            </w:pPr>
            <w:r w:rsidRPr="00E43137">
              <w:rPr>
                <w:rFonts w:ascii="Calibri" w:hAnsi="Calibri"/>
                <w:color w:val="000000"/>
                <w:sz w:val="18"/>
                <w:szCs w:val="18"/>
              </w:rPr>
              <w:t xml:space="preserve">3 035,8 </w:t>
            </w:r>
          </w:p>
        </w:tc>
        <w:tc>
          <w:tcPr>
            <w:tcW w:w="1060" w:type="dxa"/>
            <w:tcBorders>
              <w:top w:val="nil"/>
              <w:left w:val="single" w:sz="4" w:space="0" w:color="auto"/>
              <w:bottom w:val="nil"/>
              <w:right w:val="single" w:sz="8" w:space="0" w:color="auto"/>
            </w:tcBorders>
            <w:shd w:val="clear" w:color="auto" w:fill="auto"/>
            <w:noWrap/>
            <w:vAlign w:val="bottom"/>
            <w:hideMark/>
          </w:tcPr>
          <w:p w:rsidR="00242C36" w:rsidRPr="00E43137" w:rsidRDefault="00242C36" w:rsidP="00242C36">
            <w:pPr>
              <w:jc w:val="right"/>
              <w:rPr>
                <w:rFonts w:ascii="Calibri" w:hAnsi="Calibri"/>
                <w:color w:val="000000"/>
                <w:sz w:val="18"/>
                <w:szCs w:val="18"/>
              </w:rPr>
            </w:pPr>
            <w:r w:rsidRPr="00E43137">
              <w:rPr>
                <w:rFonts w:ascii="Calibri" w:hAnsi="Calibri"/>
                <w:color w:val="000000"/>
                <w:sz w:val="18"/>
                <w:szCs w:val="18"/>
              </w:rPr>
              <w:t xml:space="preserve">81,7 </w:t>
            </w:r>
          </w:p>
        </w:tc>
      </w:tr>
      <w:tr w:rsidR="00242C36" w:rsidRPr="00E43137" w:rsidTr="00242C36">
        <w:trPr>
          <w:trHeight w:val="300"/>
        </w:trPr>
        <w:tc>
          <w:tcPr>
            <w:tcW w:w="2815" w:type="dxa"/>
            <w:tcBorders>
              <w:top w:val="nil"/>
              <w:left w:val="single" w:sz="8" w:space="0" w:color="auto"/>
              <w:bottom w:val="nil"/>
              <w:right w:val="single" w:sz="8" w:space="0" w:color="auto"/>
            </w:tcBorders>
            <w:shd w:val="clear" w:color="auto" w:fill="auto"/>
            <w:noWrap/>
            <w:vAlign w:val="bottom"/>
            <w:hideMark/>
          </w:tcPr>
          <w:p w:rsidR="00242C36" w:rsidRPr="00E43137" w:rsidRDefault="00242C36" w:rsidP="00242C36">
            <w:pPr>
              <w:rPr>
                <w:rFonts w:ascii="Calibri" w:hAnsi="Calibri"/>
                <w:sz w:val="18"/>
                <w:szCs w:val="18"/>
              </w:rPr>
            </w:pPr>
            <w:r w:rsidRPr="00E43137">
              <w:rPr>
                <w:rFonts w:ascii="Calibri" w:hAnsi="Calibri"/>
                <w:sz w:val="18"/>
                <w:szCs w:val="18"/>
              </w:rPr>
              <w:t>z toho: pšenica</w:t>
            </w:r>
          </w:p>
        </w:tc>
        <w:tc>
          <w:tcPr>
            <w:tcW w:w="726" w:type="dxa"/>
            <w:tcBorders>
              <w:top w:val="nil"/>
              <w:left w:val="nil"/>
              <w:bottom w:val="nil"/>
              <w:right w:val="single" w:sz="4" w:space="0" w:color="auto"/>
            </w:tcBorders>
            <w:shd w:val="clear" w:color="auto" w:fill="auto"/>
            <w:noWrap/>
            <w:vAlign w:val="bottom"/>
            <w:hideMark/>
          </w:tcPr>
          <w:p w:rsidR="00242C36" w:rsidRPr="00E43137" w:rsidRDefault="00242C36" w:rsidP="00242C36">
            <w:pPr>
              <w:jc w:val="center"/>
              <w:rPr>
                <w:rFonts w:ascii="Calibri" w:hAnsi="Calibri"/>
                <w:sz w:val="18"/>
                <w:szCs w:val="18"/>
              </w:rPr>
            </w:pPr>
            <w:r w:rsidRPr="00E43137">
              <w:rPr>
                <w:rFonts w:ascii="Calibri" w:hAnsi="Calibri"/>
                <w:sz w:val="18"/>
                <w:szCs w:val="18"/>
              </w:rPr>
              <w:t>tis.</w:t>
            </w:r>
            <w:r>
              <w:rPr>
                <w:rFonts w:ascii="Calibri" w:hAnsi="Calibri"/>
                <w:sz w:val="18"/>
                <w:szCs w:val="18"/>
              </w:rPr>
              <w:t xml:space="preserve"> </w:t>
            </w:r>
            <w:r w:rsidRPr="00E43137">
              <w:rPr>
                <w:rFonts w:ascii="Calibri" w:hAnsi="Calibri"/>
                <w:sz w:val="18"/>
                <w:szCs w:val="18"/>
              </w:rPr>
              <w:t>t</w:t>
            </w:r>
          </w:p>
        </w:tc>
        <w:tc>
          <w:tcPr>
            <w:tcW w:w="828" w:type="dxa"/>
            <w:tcBorders>
              <w:top w:val="nil"/>
              <w:left w:val="nil"/>
              <w:bottom w:val="nil"/>
              <w:right w:val="nil"/>
            </w:tcBorders>
            <w:shd w:val="clear" w:color="auto" w:fill="auto"/>
            <w:noWrap/>
            <w:vAlign w:val="bottom"/>
            <w:hideMark/>
          </w:tcPr>
          <w:p w:rsidR="00242C36" w:rsidRPr="00E43137" w:rsidRDefault="00242C36" w:rsidP="00242C36">
            <w:pPr>
              <w:jc w:val="right"/>
              <w:rPr>
                <w:rFonts w:ascii="Calibri" w:hAnsi="Calibri"/>
                <w:color w:val="000000"/>
                <w:sz w:val="18"/>
                <w:szCs w:val="18"/>
              </w:rPr>
            </w:pPr>
            <w:r w:rsidRPr="00E43137">
              <w:rPr>
                <w:rFonts w:ascii="Calibri" w:hAnsi="Calibri"/>
                <w:color w:val="000000"/>
                <w:sz w:val="18"/>
                <w:szCs w:val="18"/>
              </w:rPr>
              <w:t xml:space="preserve">1 819,5 </w:t>
            </w:r>
          </w:p>
        </w:tc>
        <w:tc>
          <w:tcPr>
            <w:tcW w:w="828" w:type="dxa"/>
            <w:tcBorders>
              <w:top w:val="nil"/>
              <w:left w:val="single" w:sz="4" w:space="0" w:color="auto"/>
              <w:bottom w:val="nil"/>
              <w:right w:val="nil"/>
            </w:tcBorders>
            <w:shd w:val="clear" w:color="auto" w:fill="auto"/>
            <w:noWrap/>
            <w:vAlign w:val="bottom"/>
            <w:hideMark/>
          </w:tcPr>
          <w:p w:rsidR="00242C36" w:rsidRPr="00E43137" w:rsidRDefault="00242C36" w:rsidP="00242C36">
            <w:pPr>
              <w:jc w:val="right"/>
              <w:rPr>
                <w:rFonts w:ascii="Calibri" w:hAnsi="Calibri"/>
                <w:color w:val="000000"/>
                <w:sz w:val="18"/>
                <w:szCs w:val="18"/>
              </w:rPr>
            </w:pPr>
            <w:r w:rsidRPr="00E43137">
              <w:rPr>
                <w:rFonts w:ascii="Calibri" w:hAnsi="Calibri"/>
                <w:color w:val="000000"/>
                <w:sz w:val="18"/>
                <w:szCs w:val="18"/>
              </w:rPr>
              <w:t xml:space="preserve">1 537,9 </w:t>
            </w:r>
          </w:p>
        </w:tc>
        <w:tc>
          <w:tcPr>
            <w:tcW w:w="828" w:type="dxa"/>
            <w:tcBorders>
              <w:top w:val="nil"/>
              <w:left w:val="single" w:sz="4" w:space="0" w:color="auto"/>
              <w:bottom w:val="nil"/>
              <w:right w:val="nil"/>
            </w:tcBorders>
            <w:shd w:val="clear" w:color="auto" w:fill="auto"/>
            <w:noWrap/>
            <w:vAlign w:val="bottom"/>
            <w:hideMark/>
          </w:tcPr>
          <w:p w:rsidR="00242C36" w:rsidRPr="00E43137" w:rsidRDefault="00242C36" w:rsidP="00242C36">
            <w:pPr>
              <w:jc w:val="right"/>
              <w:rPr>
                <w:rFonts w:ascii="Calibri" w:hAnsi="Calibri"/>
                <w:color w:val="000000"/>
                <w:sz w:val="18"/>
                <w:szCs w:val="18"/>
              </w:rPr>
            </w:pPr>
            <w:r w:rsidRPr="00E43137">
              <w:rPr>
                <w:rFonts w:ascii="Calibri" w:hAnsi="Calibri"/>
                <w:color w:val="000000"/>
                <w:sz w:val="18"/>
                <w:szCs w:val="18"/>
              </w:rPr>
              <w:t xml:space="preserve">1 185,3 </w:t>
            </w:r>
          </w:p>
        </w:tc>
        <w:tc>
          <w:tcPr>
            <w:tcW w:w="828" w:type="dxa"/>
            <w:tcBorders>
              <w:top w:val="nil"/>
              <w:left w:val="single" w:sz="4" w:space="0" w:color="auto"/>
              <w:bottom w:val="nil"/>
              <w:right w:val="nil"/>
            </w:tcBorders>
            <w:shd w:val="clear" w:color="auto" w:fill="auto"/>
            <w:noWrap/>
            <w:vAlign w:val="bottom"/>
            <w:hideMark/>
          </w:tcPr>
          <w:p w:rsidR="00242C36" w:rsidRPr="00E43137" w:rsidRDefault="00242C36" w:rsidP="00242C36">
            <w:pPr>
              <w:jc w:val="right"/>
              <w:rPr>
                <w:rFonts w:ascii="Calibri" w:hAnsi="Calibri"/>
                <w:color w:val="000000"/>
                <w:sz w:val="18"/>
                <w:szCs w:val="18"/>
              </w:rPr>
            </w:pPr>
            <w:r w:rsidRPr="00E43137">
              <w:rPr>
                <w:rFonts w:ascii="Calibri" w:hAnsi="Calibri"/>
                <w:color w:val="000000"/>
                <w:sz w:val="18"/>
                <w:szCs w:val="18"/>
              </w:rPr>
              <w:t xml:space="preserve">1 631,1 </w:t>
            </w:r>
          </w:p>
        </w:tc>
        <w:tc>
          <w:tcPr>
            <w:tcW w:w="828" w:type="dxa"/>
            <w:tcBorders>
              <w:top w:val="nil"/>
              <w:left w:val="single" w:sz="4" w:space="0" w:color="auto"/>
              <w:bottom w:val="nil"/>
              <w:right w:val="nil"/>
            </w:tcBorders>
            <w:shd w:val="clear" w:color="auto" w:fill="auto"/>
            <w:noWrap/>
            <w:vAlign w:val="bottom"/>
            <w:hideMark/>
          </w:tcPr>
          <w:p w:rsidR="00242C36" w:rsidRPr="00E43137" w:rsidRDefault="00242C36" w:rsidP="00242C36">
            <w:pPr>
              <w:jc w:val="right"/>
              <w:rPr>
                <w:rFonts w:ascii="Calibri" w:hAnsi="Calibri"/>
                <w:color w:val="000000"/>
                <w:sz w:val="18"/>
                <w:szCs w:val="18"/>
              </w:rPr>
            </w:pPr>
            <w:r w:rsidRPr="00E43137">
              <w:rPr>
                <w:rFonts w:ascii="Calibri" w:hAnsi="Calibri"/>
                <w:color w:val="000000"/>
                <w:sz w:val="18"/>
                <w:szCs w:val="18"/>
              </w:rPr>
              <w:t xml:space="preserve">1 275,3 </w:t>
            </w:r>
          </w:p>
        </w:tc>
        <w:tc>
          <w:tcPr>
            <w:tcW w:w="1060" w:type="dxa"/>
            <w:tcBorders>
              <w:top w:val="nil"/>
              <w:left w:val="single" w:sz="4" w:space="0" w:color="auto"/>
              <w:bottom w:val="nil"/>
              <w:right w:val="single" w:sz="8" w:space="0" w:color="auto"/>
            </w:tcBorders>
            <w:shd w:val="clear" w:color="auto" w:fill="auto"/>
            <w:noWrap/>
            <w:vAlign w:val="bottom"/>
            <w:hideMark/>
          </w:tcPr>
          <w:p w:rsidR="00242C36" w:rsidRPr="00E43137" w:rsidRDefault="00242C36" w:rsidP="00242C36">
            <w:pPr>
              <w:jc w:val="right"/>
              <w:rPr>
                <w:rFonts w:ascii="Calibri" w:hAnsi="Calibri"/>
                <w:color w:val="000000"/>
                <w:sz w:val="18"/>
                <w:szCs w:val="18"/>
              </w:rPr>
            </w:pPr>
            <w:r w:rsidRPr="00E43137">
              <w:rPr>
                <w:rFonts w:ascii="Calibri" w:hAnsi="Calibri"/>
                <w:color w:val="000000"/>
                <w:sz w:val="18"/>
                <w:szCs w:val="18"/>
              </w:rPr>
              <w:t xml:space="preserve">78,2 </w:t>
            </w:r>
          </w:p>
        </w:tc>
      </w:tr>
      <w:tr w:rsidR="00242C36" w:rsidRPr="00E43137" w:rsidTr="00242C36">
        <w:trPr>
          <w:trHeight w:val="300"/>
        </w:trPr>
        <w:tc>
          <w:tcPr>
            <w:tcW w:w="2815" w:type="dxa"/>
            <w:tcBorders>
              <w:top w:val="nil"/>
              <w:left w:val="single" w:sz="8" w:space="0" w:color="auto"/>
              <w:bottom w:val="nil"/>
              <w:right w:val="single" w:sz="8" w:space="0" w:color="auto"/>
            </w:tcBorders>
            <w:shd w:val="clear" w:color="auto" w:fill="auto"/>
            <w:noWrap/>
            <w:vAlign w:val="bottom"/>
            <w:hideMark/>
          </w:tcPr>
          <w:p w:rsidR="00242C36" w:rsidRPr="00E43137" w:rsidRDefault="00242C36" w:rsidP="00242C36">
            <w:pPr>
              <w:rPr>
                <w:rFonts w:ascii="Calibri" w:hAnsi="Calibri"/>
                <w:sz w:val="18"/>
                <w:szCs w:val="18"/>
              </w:rPr>
            </w:pPr>
            <w:r w:rsidRPr="00E43137">
              <w:rPr>
                <w:rFonts w:ascii="Calibri" w:hAnsi="Calibri"/>
                <w:sz w:val="18"/>
                <w:szCs w:val="18"/>
              </w:rPr>
              <w:t xml:space="preserve">           jačmeň</w:t>
            </w:r>
          </w:p>
        </w:tc>
        <w:tc>
          <w:tcPr>
            <w:tcW w:w="726" w:type="dxa"/>
            <w:tcBorders>
              <w:top w:val="nil"/>
              <w:left w:val="nil"/>
              <w:bottom w:val="nil"/>
              <w:right w:val="single" w:sz="4" w:space="0" w:color="auto"/>
            </w:tcBorders>
            <w:shd w:val="clear" w:color="auto" w:fill="auto"/>
            <w:noWrap/>
            <w:vAlign w:val="bottom"/>
            <w:hideMark/>
          </w:tcPr>
          <w:p w:rsidR="00242C36" w:rsidRPr="00E43137" w:rsidRDefault="00242C36" w:rsidP="00242C36">
            <w:pPr>
              <w:jc w:val="center"/>
              <w:rPr>
                <w:rFonts w:ascii="Calibri" w:hAnsi="Calibri"/>
                <w:sz w:val="18"/>
                <w:szCs w:val="18"/>
              </w:rPr>
            </w:pPr>
            <w:r w:rsidRPr="00E43137">
              <w:rPr>
                <w:rFonts w:ascii="Calibri" w:hAnsi="Calibri"/>
                <w:sz w:val="18"/>
                <w:szCs w:val="18"/>
              </w:rPr>
              <w:t>tis</w:t>
            </w:r>
            <w:r>
              <w:rPr>
                <w:rFonts w:ascii="Calibri" w:hAnsi="Calibri"/>
                <w:sz w:val="18"/>
                <w:szCs w:val="18"/>
              </w:rPr>
              <w:t xml:space="preserve"> </w:t>
            </w:r>
            <w:r w:rsidRPr="00E43137">
              <w:rPr>
                <w:rFonts w:ascii="Calibri" w:hAnsi="Calibri"/>
                <w:sz w:val="18"/>
                <w:szCs w:val="18"/>
              </w:rPr>
              <w:t>.t</w:t>
            </w:r>
          </w:p>
        </w:tc>
        <w:tc>
          <w:tcPr>
            <w:tcW w:w="828" w:type="dxa"/>
            <w:tcBorders>
              <w:top w:val="nil"/>
              <w:left w:val="nil"/>
              <w:bottom w:val="nil"/>
              <w:right w:val="nil"/>
            </w:tcBorders>
            <w:shd w:val="clear" w:color="auto" w:fill="auto"/>
            <w:noWrap/>
            <w:vAlign w:val="bottom"/>
            <w:hideMark/>
          </w:tcPr>
          <w:p w:rsidR="00242C36" w:rsidRPr="00E43137" w:rsidRDefault="00242C36" w:rsidP="00242C36">
            <w:pPr>
              <w:jc w:val="right"/>
              <w:rPr>
                <w:rFonts w:ascii="Calibri" w:hAnsi="Calibri"/>
                <w:color w:val="000000"/>
                <w:sz w:val="18"/>
                <w:szCs w:val="18"/>
              </w:rPr>
            </w:pPr>
            <w:r w:rsidRPr="00E43137">
              <w:rPr>
                <w:rFonts w:ascii="Calibri" w:hAnsi="Calibri"/>
                <w:color w:val="000000"/>
                <w:sz w:val="18"/>
                <w:szCs w:val="18"/>
              </w:rPr>
              <w:t xml:space="preserve">891,3 </w:t>
            </w:r>
          </w:p>
        </w:tc>
        <w:tc>
          <w:tcPr>
            <w:tcW w:w="828" w:type="dxa"/>
            <w:tcBorders>
              <w:top w:val="nil"/>
              <w:left w:val="single" w:sz="4" w:space="0" w:color="auto"/>
              <w:bottom w:val="nil"/>
              <w:right w:val="nil"/>
            </w:tcBorders>
            <w:shd w:val="clear" w:color="auto" w:fill="auto"/>
            <w:noWrap/>
            <w:vAlign w:val="bottom"/>
            <w:hideMark/>
          </w:tcPr>
          <w:p w:rsidR="00242C36" w:rsidRPr="00E43137" w:rsidRDefault="00242C36" w:rsidP="00242C36">
            <w:pPr>
              <w:jc w:val="right"/>
              <w:rPr>
                <w:rFonts w:ascii="Calibri" w:hAnsi="Calibri"/>
                <w:color w:val="000000"/>
                <w:sz w:val="18"/>
                <w:szCs w:val="18"/>
              </w:rPr>
            </w:pPr>
            <w:r w:rsidRPr="00E43137">
              <w:rPr>
                <w:rFonts w:ascii="Calibri" w:hAnsi="Calibri"/>
                <w:color w:val="000000"/>
                <w:sz w:val="18"/>
                <w:szCs w:val="18"/>
              </w:rPr>
              <w:t xml:space="preserve">675,5 </w:t>
            </w:r>
          </w:p>
        </w:tc>
        <w:tc>
          <w:tcPr>
            <w:tcW w:w="828" w:type="dxa"/>
            <w:tcBorders>
              <w:top w:val="nil"/>
              <w:left w:val="single" w:sz="4" w:space="0" w:color="auto"/>
              <w:bottom w:val="nil"/>
              <w:right w:val="nil"/>
            </w:tcBorders>
            <w:shd w:val="clear" w:color="auto" w:fill="auto"/>
            <w:noWrap/>
            <w:vAlign w:val="bottom"/>
            <w:hideMark/>
          </w:tcPr>
          <w:p w:rsidR="00242C36" w:rsidRPr="00E43137" w:rsidRDefault="00242C36" w:rsidP="00242C36">
            <w:pPr>
              <w:jc w:val="right"/>
              <w:rPr>
                <w:rFonts w:ascii="Calibri" w:hAnsi="Calibri"/>
                <w:color w:val="000000"/>
                <w:sz w:val="18"/>
                <w:szCs w:val="18"/>
              </w:rPr>
            </w:pPr>
            <w:r w:rsidRPr="00E43137">
              <w:rPr>
                <w:rFonts w:ascii="Calibri" w:hAnsi="Calibri"/>
                <w:color w:val="000000"/>
                <w:sz w:val="18"/>
                <w:szCs w:val="18"/>
              </w:rPr>
              <w:t xml:space="preserve">361,4 </w:t>
            </w:r>
          </w:p>
        </w:tc>
        <w:tc>
          <w:tcPr>
            <w:tcW w:w="828" w:type="dxa"/>
            <w:tcBorders>
              <w:top w:val="nil"/>
              <w:left w:val="single" w:sz="4" w:space="0" w:color="auto"/>
              <w:bottom w:val="nil"/>
              <w:right w:val="nil"/>
            </w:tcBorders>
            <w:shd w:val="clear" w:color="auto" w:fill="auto"/>
            <w:noWrap/>
            <w:vAlign w:val="bottom"/>
            <w:hideMark/>
          </w:tcPr>
          <w:p w:rsidR="00242C36" w:rsidRPr="00E43137" w:rsidRDefault="00242C36" w:rsidP="00242C36">
            <w:pPr>
              <w:jc w:val="right"/>
              <w:rPr>
                <w:rFonts w:ascii="Calibri" w:hAnsi="Calibri"/>
                <w:color w:val="000000"/>
                <w:sz w:val="18"/>
                <w:szCs w:val="18"/>
              </w:rPr>
            </w:pPr>
            <w:r w:rsidRPr="00E43137">
              <w:rPr>
                <w:rFonts w:ascii="Calibri" w:hAnsi="Calibri"/>
                <w:color w:val="000000"/>
                <w:sz w:val="18"/>
                <w:szCs w:val="18"/>
              </w:rPr>
              <w:t xml:space="preserve">525,0 </w:t>
            </w:r>
          </w:p>
        </w:tc>
        <w:tc>
          <w:tcPr>
            <w:tcW w:w="828" w:type="dxa"/>
            <w:tcBorders>
              <w:top w:val="nil"/>
              <w:left w:val="single" w:sz="4" w:space="0" w:color="auto"/>
              <w:bottom w:val="nil"/>
              <w:right w:val="nil"/>
            </w:tcBorders>
            <w:shd w:val="clear" w:color="auto" w:fill="auto"/>
            <w:noWrap/>
            <w:vAlign w:val="bottom"/>
            <w:hideMark/>
          </w:tcPr>
          <w:p w:rsidR="00242C36" w:rsidRPr="00E43137" w:rsidRDefault="00242C36" w:rsidP="00242C36">
            <w:pPr>
              <w:jc w:val="right"/>
              <w:rPr>
                <w:rFonts w:ascii="Calibri" w:hAnsi="Calibri"/>
                <w:color w:val="000000"/>
                <w:sz w:val="18"/>
                <w:szCs w:val="18"/>
              </w:rPr>
            </w:pPr>
            <w:r w:rsidRPr="00E43137">
              <w:rPr>
                <w:rFonts w:ascii="Calibri" w:hAnsi="Calibri"/>
                <w:color w:val="000000"/>
                <w:sz w:val="18"/>
                <w:szCs w:val="18"/>
              </w:rPr>
              <w:t xml:space="preserve">470,5 </w:t>
            </w:r>
          </w:p>
        </w:tc>
        <w:tc>
          <w:tcPr>
            <w:tcW w:w="1060" w:type="dxa"/>
            <w:tcBorders>
              <w:top w:val="nil"/>
              <w:left w:val="single" w:sz="4" w:space="0" w:color="auto"/>
              <w:bottom w:val="nil"/>
              <w:right w:val="single" w:sz="8" w:space="0" w:color="auto"/>
            </w:tcBorders>
            <w:shd w:val="clear" w:color="auto" w:fill="auto"/>
            <w:noWrap/>
            <w:vAlign w:val="bottom"/>
            <w:hideMark/>
          </w:tcPr>
          <w:p w:rsidR="00242C36" w:rsidRPr="00E43137" w:rsidRDefault="00242C36" w:rsidP="00242C36">
            <w:pPr>
              <w:jc w:val="right"/>
              <w:rPr>
                <w:rFonts w:ascii="Calibri" w:hAnsi="Calibri"/>
                <w:color w:val="000000"/>
                <w:sz w:val="18"/>
                <w:szCs w:val="18"/>
              </w:rPr>
            </w:pPr>
            <w:r w:rsidRPr="00E43137">
              <w:rPr>
                <w:rFonts w:ascii="Calibri" w:hAnsi="Calibri"/>
                <w:color w:val="000000"/>
                <w:sz w:val="18"/>
                <w:szCs w:val="18"/>
              </w:rPr>
              <w:t xml:space="preserve">89,6 </w:t>
            </w:r>
          </w:p>
        </w:tc>
      </w:tr>
      <w:tr w:rsidR="00242C36" w:rsidRPr="00E43137" w:rsidTr="00242C36">
        <w:trPr>
          <w:trHeight w:val="300"/>
        </w:trPr>
        <w:tc>
          <w:tcPr>
            <w:tcW w:w="2815" w:type="dxa"/>
            <w:tcBorders>
              <w:top w:val="nil"/>
              <w:left w:val="single" w:sz="8" w:space="0" w:color="auto"/>
              <w:bottom w:val="nil"/>
              <w:right w:val="single" w:sz="8" w:space="0" w:color="auto"/>
            </w:tcBorders>
            <w:shd w:val="clear" w:color="auto" w:fill="auto"/>
            <w:noWrap/>
            <w:vAlign w:val="bottom"/>
            <w:hideMark/>
          </w:tcPr>
          <w:p w:rsidR="00242C36" w:rsidRPr="00E43137" w:rsidRDefault="00242C36" w:rsidP="00242C36">
            <w:pPr>
              <w:rPr>
                <w:rFonts w:ascii="Calibri" w:hAnsi="Calibri"/>
                <w:sz w:val="18"/>
                <w:szCs w:val="18"/>
              </w:rPr>
            </w:pPr>
            <w:r w:rsidRPr="00E43137">
              <w:rPr>
                <w:rFonts w:ascii="Calibri" w:hAnsi="Calibri"/>
                <w:sz w:val="18"/>
                <w:szCs w:val="18"/>
              </w:rPr>
              <w:t xml:space="preserve">           raž</w:t>
            </w:r>
          </w:p>
        </w:tc>
        <w:tc>
          <w:tcPr>
            <w:tcW w:w="726" w:type="dxa"/>
            <w:tcBorders>
              <w:top w:val="nil"/>
              <w:left w:val="nil"/>
              <w:bottom w:val="nil"/>
              <w:right w:val="single" w:sz="4" w:space="0" w:color="auto"/>
            </w:tcBorders>
            <w:shd w:val="clear" w:color="auto" w:fill="auto"/>
            <w:noWrap/>
            <w:vAlign w:val="bottom"/>
            <w:hideMark/>
          </w:tcPr>
          <w:p w:rsidR="00242C36" w:rsidRPr="00E43137" w:rsidRDefault="00242C36" w:rsidP="00242C36">
            <w:pPr>
              <w:jc w:val="center"/>
              <w:rPr>
                <w:rFonts w:ascii="Calibri" w:hAnsi="Calibri"/>
                <w:sz w:val="18"/>
                <w:szCs w:val="18"/>
              </w:rPr>
            </w:pPr>
            <w:r w:rsidRPr="00E43137">
              <w:rPr>
                <w:rFonts w:ascii="Calibri" w:hAnsi="Calibri"/>
                <w:sz w:val="18"/>
                <w:szCs w:val="18"/>
              </w:rPr>
              <w:t>tis.</w:t>
            </w:r>
            <w:r>
              <w:rPr>
                <w:rFonts w:ascii="Calibri" w:hAnsi="Calibri"/>
                <w:sz w:val="18"/>
                <w:szCs w:val="18"/>
              </w:rPr>
              <w:t xml:space="preserve"> </w:t>
            </w:r>
            <w:r w:rsidRPr="00E43137">
              <w:rPr>
                <w:rFonts w:ascii="Calibri" w:hAnsi="Calibri"/>
                <w:sz w:val="18"/>
                <w:szCs w:val="18"/>
              </w:rPr>
              <w:t>t</w:t>
            </w:r>
          </w:p>
        </w:tc>
        <w:tc>
          <w:tcPr>
            <w:tcW w:w="828" w:type="dxa"/>
            <w:tcBorders>
              <w:top w:val="nil"/>
              <w:left w:val="nil"/>
              <w:bottom w:val="nil"/>
              <w:right w:val="nil"/>
            </w:tcBorders>
            <w:shd w:val="clear" w:color="auto" w:fill="auto"/>
            <w:noWrap/>
            <w:vAlign w:val="bottom"/>
            <w:hideMark/>
          </w:tcPr>
          <w:p w:rsidR="00242C36" w:rsidRPr="00E43137" w:rsidRDefault="00242C36" w:rsidP="00242C36">
            <w:pPr>
              <w:jc w:val="right"/>
              <w:rPr>
                <w:rFonts w:ascii="Calibri" w:hAnsi="Calibri"/>
                <w:color w:val="000000"/>
                <w:sz w:val="18"/>
                <w:szCs w:val="18"/>
              </w:rPr>
            </w:pPr>
            <w:r w:rsidRPr="00E43137">
              <w:rPr>
                <w:rFonts w:ascii="Calibri" w:hAnsi="Calibri"/>
                <w:color w:val="000000"/>
                <w:sz w:val="18"/>
                <w:szCs w:val="18"/>
              </w:rPr>
              <w:t xml:space="preserve">80,3 </w:t>
            </w:r>
          </w:p>
        </w:tc>
        <w:tc>
          <w:tcPr>
            <w:tcW w:w="828" w:type="dxa"/>
            <w:tcBorders>
              <w:top w:val="nil"/>
              <w:left w:val="single" w:sz="4" w:space="0" w:color="auto"/>
              <w:bottom w:val="nil"/>
              <w:right w:val="nil"/>
            </w:tcBorders>
            <w:shd w:val="clear" w:color="auto" w:fill="auto"/>
            <w:noWrap/>
            <w:vAlign w:val="bottom"/>
            <w:hideMark/>
          </w:tcPr>
          <w:p w:rsidR="00242C36" w:rsidRPr="00E43137" w:rsidRDefault="00242C36" w:rsidP="00242C36">
            <w:pPr>
              <w:jc w:val="right"/>
              <w:rPr>
                <w:rFonts w:ascii="Calibri" w:hAnsi="Calibri"/>
                <w:color w:val="000000"/>
                <w:sz w:val="18"/>
                <w:szCs w:val="18"/>
              </w:rPr>
            </w:pPr>
            <w:r w:rsidRPr="00E43137">
              <w:rPr>
                <w:rFonts w:ascii="Calibri" w:hAnsi="Calibri"/>
                <w:color w:val="000000"/>
                <w:sz w:val="18"/>
                <w:szCs w:val="18"/>
              </w:rPr>
              <w:t xml:space="preserve">56,9 </w:t>
            </w:r>
          </w:p>
        </w:tc>
        <w:tc>
          <w:tcPr>
            <w:tcW w:w="828" w:type="dxa"/>
            <w:tcBorders>
              <w:top w:val="nil"/>
              <w:left w:val="single" w:sz="4" w:space="0" w:color="auto"/>
              <w:bottom w:val="nil"/>
              <w:right w:val="nil"/>
            </w:tcBorders>
            <w:shd w:val="clear" w:color="auto" w:fill="auto"/>
            <w:noWrap/>
            <w:vAlign w:val="bottom"/>
            <w:hideMark/>
          </w:tcPr>
          <w:p w:rsidR="00242C36" w:rsidRPr="00E43137" w:rsidRDefault="00242C36" w:rsidP="00242C36">
            <w:pPr>
              <w:jc w:val="right"/>
              <w:rPr>
                <w:rFonts w:ascii="Calibri" w:hAnsi="Calibri"/>
                <w:color w:val="000000"/>
                <w:sz w:val="18"/>
                <w:szCs w:val="18"/>
              </w:rPr>
            </w:pPr>
            <w:r w:rsidRPr="00E43137">
              <w:rPr>
                <w:rFonts w:ascii="Calibri" w:hAnsi="Calibri"/>
                <w:color w:val="000000"/>
                <w:sz w:val="18"/>
                <w:szCs w:val="18"/>
              </w:rPr>
              <w:t xml:space="preserve">35,5 </w:t>
            </w:r>
          </w:p>
        </w:tc>
        <w:tc>
          <w:tcPr>
            <w:tcW w:w="828" w:type="dxa"/>
            <w:tcBorders>
              <w:top w:val="nil"/>
              <w:left w:val="single" w:sz="4" w:space="0" w:color="auto"/>
              <w:bottom w:val="nil"/>
              <w:right w:val="nil"/>
            </w:tcBorders>
            <w:shd w:val="clear" w:color="auto" w:fill="auto"/>
            <w:noWrap/>
            <w:vAlign w:val="bottom"/>
            <w:hideMark/>
          </w:tcPr>
          <w:p w:rsidR="00242C36" w:rsidRPr="00E43137" w:rsidRDefault="00242C36" w:rsidP="00242C36">
            <w:pPr>
              <w:jc w:val="right"/>
              <w:rPr>
                <w:rFonts w:ascii="Calibri" w:hAnsi="Calibri"/>
                <w:color w:val="000000"/>
                <w:sz w:val="18"/>
                <w:szCs w:val="18"/>
              </w:rPr>
            </w:pPr>
            <w:r w:rsidRPr="00E43137">
              <w:rPr>
                <w:rFonts w:ascii="Calibri" w:hAnsi="Calibri"/>
                <w:color w:val="000000"/>
                <w:sz w:val="18"/>
                <w:szCs w:val="18"/>
              </w:rPr>
              <w:t xml:space="preserve">41,2 </w:t>
            </w:r>
          </w:p>
        </w:tc>
        <w:tc>
          <w:tcPr>
            <w:tcW w:w="828" w:type="dxa"/>
            <w:tcBorders>
              <w:top w:val="nil"/>
              <w:left w:val="single" w:sz="4" w:space="0" w:color="auto"/>
              <w:bottom w:val="nil"/>
              <w:right w:val="nil"/>
            </w:tcBorders>
            <w:shd w:val="clear" w:color="auto" w:fill="auto"/>
            <w:noWrap/>
            <w:vAlign w:val="bottom"/>
            <w:hideMark/>
          </w:tcPr>
          <w:p w:rsidR="00242C36" w:rsidRPr="00E43137" w:rsidRDefault="00242C36" w:rsidP="00242C36">
            <w:pPr>
              <w:jc w:val="right"/>
              <w:rPr>
                <w:rFonts w:ascii="Calibri" w:hAnsi="Calibri"/>
                <w:color w:val="000000"/>
                <w:sz w:val="18"/>
                <w:szCs w:val="18"/>
              </w:rPr>
            </w:pPr>
            <w:r w:rsidRPr="00E43137">
              <w:rPr>
                <w:rFonts w:ascii="Calibri" w:hAnsi="Calibri"/>
                <w:color w:val="000000"/>
                <w:sz w:val="18"/>
                <w:szCs w:val="18"/>
              </w:rPr>
              <w:t xml:space="preserve">49,4 </w:t>
            </w:r>
          </w:p>
        </w:tc>
        <w:tc>
          <w:tcPr>
            <w:tcW w:w="1060" w:type="dxa"/>
            <w:tcBorders>
              <w:top w:val="nil"/>
              <w:left w:val="single" w:sz="4" w:space="0" w:color="auto"/>
              <w:bottom w:val="nil"/>
              <w:right w:val="single" w:sz="8" w:space="0" w:color="auto"/>
            </w:tcBorders>
            <w:shd w:val="clear" w:color="auto" w:fill="auto"/>
            <w:noWrap/>
            <w:vAlign w:val="bottom"/>
            <w:hideMark/>
          </w:tcPr>
          <w:p w:rsidR="00242C36" w:rsidRPr="00E43137" w:rsidRDefault="00242C36" w:rsidP="00242C36">
            <w:pPr>
              <w:jc w:val="right"/>
              <w:rPr>
                <w:rFonts w:ascii="Calibri" w:hAnsi="Calibri"/>
                <w:color w:val="000000"/>
                <w:sz w:val="18"/>
                <w:szCs w:val="18"/>
              </w:rPr>
            </w:pPr>
            <w:r w:rsidRPr="00E43137">
              <w:rPr>
                <w:rFonts w:ascii="Calibri" w:hAnsi="Calibri"/>
                <w:color w:val="000000"/>
                <w:sz w:val="18"/>
                <w:szCs w:val="18"/>
              </w:rPr>
              <w:t xml:space="preserve">119,8 </w:t>
            </w:r>
          </w:p>
        </w:tc>
      </w:tr>
      <w:tr w:rsidR="00242C36" w:rsidRPr="00E43137" w:rsidTr="00242C36">
        <w:trPr>
          <w:trHeight w:val="300"/>
        </w:trPr>
        <w:tc>
          <w:tcPr>
            <w:tcW w:w="2815" w:type="dxa"/>
            <w:tcBorders>
              <w:top w:val="nil"/>
              <w:left w:val="single" w:sz="8" w:space="0" w:color="auto"/>
              <w:bottom w:val="nil"/>
              <w:right w:val="single" w:sz="8" w:space="0" w:color="auto"/>
            </w:tcBorders>
            <w:shd w:val="clear" w:color="auto" w:fill="auto"/>
            <w:noWrap/>
            <w:vAlign w:val="bottom"/>
            <w:hideMark/>
          </w:tcPr>
          <w:p w:rsidR="00242C36" w:rsidRPr="00E43137" w:rsidRDefault="00242C36" w:rsidP="00242C36">
            <w:pPr>
              <w:rPr>
                <w:rFonts w:ascii="Calibri" w:hAnsi="Calibri"/>
                <w:sz w:val="18"/>
                <w:szCs w:val="18"/>
              </w:rPr>
            </w:pPr>
            <w:r w:rsidRPr="00E43137">
              <w:rPr>
                <w:rFonts w:ascii="Calibri" w:hAnsi="Calibri"/>
                <w:sz w:val="18"/>
                <w:szCs w:val="18"/>
              </w:rPr>
              <w:t xml:space="preserve">           ovos</w:t>
            </w:r>
          </w:p>
        </w:tc>
        <w:tc>
          <w:tcPr>
            <w:tcW w:w="726" w:type="dxa"/>
            <w:tcBorders>
              <w:top w:val="nil"/>
              <w:left w:val="nil"/>
              <w:bottom w:val="nil"/>
              <w:right w:val="single" w:sz="4" w:space="0" w:color="auto"/>
            </w:tcBorders>
            <w:shd w:val="clear" w:color="auto" w:fill="auto"/>
            <w:noWrap/>
            <w:vAlign w:val="bottom"/>
            <w:hideMark/>
          </w:tcPr>
          <w:p w:rsidR="00242C36" w:rsidRPr="00E43137" w:rsidRDefault="00242C36" w:rsidP="00242C36">
            <w:pPr>
              <w:jc w:val="center"/>
              <w:rPr>
                <w:rFonts w:ascii="Calibri" w:hAnsi="Calibri"/>
                <w:sz w:val="18"/>
                <w:szCs w:val="18"/>
              </w:rPr>
            </w:pPr>
            <w:r w:rsidRPr="00E43137">
              <w:rPr>
                <w:rFonts w:ascii="Calibri" w:hAnsi="Calibri"/>
                <w:sz w:val="18"/>
                <w:szCs w:val="18"/>
              </w:rPr>
              <w:t>tis.</w:t>
            </w:r>
            <w:r>
              <w:rPr>
                <w:rFonts w:ascii="Calibri" w:hAnsi="Calibri"/>
                <w:sz w:val="18"/>
                <w:szCs w:val="18"/>
              </w:rPr>
              <w:t xml:space="preserve"> </w:t>
            </w:r>
            <w:r w:rsidRPr="00E43137">
              <w:rPr>
                <w:rFonts w:ascii="Calibri" w:hAnsi="Calibri"/>
                <w:sz w:val="18"/>
                <w:szCs w:val="18"/>
              </w:rPr>
              <w:t>t</w:t>
            </w:r>
          </w:p>
        </w:tc>
        <w:tc>
          <w:tcPr>
            <w:tcW w:w="828" w:type="dxa"/>
            <w:tcBorders>
              <w:top w:val="nil"/>
              <w:left w:val="nil"/>
              <w:bottom w:val="nil"/>
              <w:right w:val="nil"/>
            </w:tcBorders>
            <w:shd w:val="clear" w:color="auto" w:fill="auto"/>
            <w:noWrap/>
            <w:vAlign w:val="bottom"/>
            <w:hideMark/>
          </w:tcPr>
          <w:p w:rsidR="00242C36" w:rsidRPr="00E43137" w:rsidRDefault="00242C36" w:rsidP="00242C36">
            <w:pPr>
              <w:jc w:val="right"/>
              <w:rPr>
                <w:rFonts w:ascii="Calibri" w:hAnsi="Calibri"/>
                <w:color w:val="000000"/>
                <w:sz w:val="18"/>
                <w:szCs w:val="18"/>
              </w:rPr>
            </w:pPr>
            <w:r w:rsidRPr="00E43137">
              <w:rPr>
                <w:rFonts w:ascii="Calibri" w:hAnsi="Calibri"/>
                <w:color w:val="000000"/>
                <w:sz w:val="18"/>
                <w:szCs w:val="18"/>
              </w:rPr>
              <w:t xml:space="preserve">35,0 </w:t>
            </w:r>
          </w:p>
        </w:tc>
        <w:tc>
          <w:tcPr>
            <w:tcW w:w="828" w:type="dxa"/>
            <w:tcBorders>
              <w:top w:val="nil"/>
              <w:left w:val="single" w:sz="4" w:space="0" w:color="auto"/>
              <w:bottom w:val="nil"/>
              <w:right w:val="nil"/>
            </w:tcBorders>
            <w:shd w:val="clear" w:color="auto" w:fill="auto"/>
            <w:noWrap/>
            <w:vAlign w:val="bottom"/>
            <w:hideMark/>
          </w:tcPr>
          <w:p w:rsidR="00242C36" w:rsidRPr="00E43137" w:rsidRDefault="00242C36" w:rsidP="00242C36">
            <w:pPr>
              <w:jc w:val="right"/>
              <w:rPr>
                <w:rFonts w:ascii="Calibri" w:hAnsi="Calibri"/>
                <w:color w:val="000000"/>
                <w:sz w:val="18"/>
                <w:szCs w:val="18"/>
              </w:rPr>
            </w:pPr>
            <w:r w:rsidRPr="00E43137">
              <w:rPr>
                <w:rFonts w:ascii="Calibri" w:hAnsi="Calibri"/>
                <w:color w:val="000000"/>
                <w:sz w:val="18"/>
                <w:szCs w:val="18"/>
              </w:rPr>
              <w:t xml:space="preserve">34,6 </w:t>
            </w:r>
          </w:p>
        </w:tc>
        <w:tc>
          <w:tcPr>
            <w:tcW w:w="828" w:type="dxa"/>
            <w:tcBorders>
              <w:top w:val="nil"/>
              <w:left w:val="single" w:sz="4" w:space="0" w:color="auto"/>
              <w:bottom w:val="nil"/>
              <w:right w:val="nil"/>
            </w:tcBorders>
            <w:shd w:val="clear" w:color="auto" w:fill="auto"/>
            <w:noWrap/>
            <w:vAlign w:val="bottom"/>
            <w:hideMark/>
          </w:tcPr>
          <w:p w:rsidR="00242C36" w:rsidRPr="00E43137" w:rsidRDefault="00242C36" w:rsidP="00242C36">
            <w:pPr>
              <w:jc w:val="right"/>
              <w:rPr>
                <w:rFonts w:ascii="Calibri" w:hAnsi="Calibri"/>
                <w:color w:val="000000"/>
                <w:sz w:val="18"/>
                <w:szCs w:val="18"/>
              </w:rPr>
            </w:pPr>
            <w:r w:rsidRPr="00E43137">
              <w:rPr>
                <w:rFonts w:ascii="Calibri" w:hAnsi="Calibri"/>
                <w:color w:val="000000"/>
                <w:sz w:val="18"/>
                <w:szCs w:val="18"/>
              </w:rPr>
              <w:t xml:space="preserve">24,6 </w:t>
            </w:r>
          </w:p>
        </w:tc>
        <w:tc>
          <w:tcPr>
            <w:tcW w:w="828" w:type="dxa"/>
            <w:tcBorders>
              <w:top w:val="nil"/>
              <w:left w:val="single" w:sz="4" w:space="0" w:color="auto"/>
              <w:bottom w:val="nil"/>
              <w:right w:val="nil"/>
            </w:tcBorders>
            <w:shd w:val="clear" w:color="auto" w:fill="auto"/>
            <w:noWrap/>
            <w:vAlign w:val="bottom"/>
            <w:hideMark/>
          </w:tcPr>
          <w:p w:rsidR="00242C36" w:rsidRPr="00E43137" w:rsidRDefault="00242C36" w:rsidP="00242C36">
            <w:pPr>
              <w:jc w:val="right"/>
              <w:rPr>
                <w:rFonts w:ascii="Calibri" w:hAnsi="Calibri"/>
                <w:color w:val="000000"/>
                <w:sz w:val="18"/>
                <w:szCs w:val="18"/>
              </w:rPr>
            </w:pPr>
            <w:r w:rsidRPr="00E43137">
              <w:rPr>
                <w:rFonts w:ascii="Calibri" w:hAnsi="Calibri"/>
                <w:color w:val="000000"/>
                <w:sz w:val="18"/>
                <w:szCs w:val="18"/>
              </w:rPr>
              <w:t xml:space="preserve">36,0 </w:t>
            </w:r>
          </w:p>
        </w:tc>
        <w:tc>
          <w:tcPr>
            <w:tcW w:w="828" w:type="dxa"/>
            <w:tcBorders>
              <w:top w:val="nil"/>
              <w:left w:val="single" w:sz="4" w:space="0" w:color="auto"/>
              <w:bottom w:val="nil"/>
              <w:right w:val="nil"/>
            </w:tcBorders>
            <w:shd w:val="clear" w:color="auto" w:fill="auto"/>
            <w:noWrap/>
            <w:vAlign w:val="bottom"/>
            <w:hideMark/>
          </w:tcPr>
          <w:p w:rsidR="00242C36" w:rsidRPr="00E43137" w:rsidRDefault="00242C36" w:rsidP="00242C36">
            <w:pPr>
              <w:jc w:val="right"/>
              <w:rPr>
                <w:rFonts w:ascii="Calibri" w:hAnsi="Calibri"/>
                <w:color w:val="000000"/>
                <w:sz w:val="18"/>
                <w:szCs w:val="18"/>
              </w:rPr>
            </w:pPr>
            <w:r w:rsidRPr="00E43137">
              <w:rPr>
                <w:rFonts w:ascii="Calibri" w:hAnsi="Calibri"/>
                <w:color w:val="000000"/>
                <w:sz w:val="18"/>
                <w:szCs w:val="18"/>
              </w:rPr>
              <w:t xml:space="preserve">33,7 </w:t>
            </w:r>
          </w:p>
        </w:tc>
        <w:tc>
          <w:tcPr>
            <w:tcW w:w="1060" w:type="dxa"/>
            <w:tcBorders>
              <w:top w:val="nil"/>
              <w:left w:val="single" w:sz="4" w:space="0" w:color="auto"/>
              <w:bottom w:val="nil"/>
              <w:right w:val="single" w:sz="8" w:space="0" w:color="auto"/>
            </w:tcBorders>
            <w:shd w:val="clear" w:color="auto" w:fill="auto"/>
            <w:noWrap/>
            <w:vAlign w:val="bottom"/>
            <w:hideMark/>
          </w:tcPr>
          <w:p w:rsidR="00242C36" w:rsidRPr="00E43137" w:rsidRDefault="00242C36" w:rsidP="00242C36">
            <w:pPr>
              <w:jc w:val="right"/>
              <w:rPr>
                <w:rFonts w:ascii="Calibri" w:hAnsi="Calibri"/>
                <w:color w:val="000000"/>
                <w:sz w:val="18"/>
                <w:szCs w:val="18"/>
              </w:rPr>
            </w:pPr>
            <w:r w:rsidRPr="00E43137">
              <w:rPr>
                <w:rFonts w:ascii="Calibri" w:hAnsi="Calibri"/>
                <w:color w:val="000000"/>
                <w:sz w:val="18"/>
                <w:szCs w:val="18"/>
              </w:rPr>
              <w:t xml:space="preserve">93,8 </w:t>
            </w:r>
          </w:p>
        </w:tc>
      </w:tr>
      <w:tr w:rsidR="00242C36" w:rsidRPr="00E43137" w:rsidTr="00242C36">
        <w:trPr>
          <w:trHeight w:val="300"/>
        </w:trPr>
        <w:tc>
          <w:tcPr>
            <w:tcW w:w="2815" w:type="dxa"/>
            <w:tcBorders>
              <w:top w:val="nil"/>
              <w:left w:val="single" w:sz="8" w:space="0" w:color="auto"/>
              <w:bottom w:val="nil"/>
              <w:right w:val="single" w:sz="8" w:space="0" w:color="auto"/>
            </w:tcBorders>
            <w:shd w:val="clear" w:color="auto" w:fill="auto"/>
            <w:noWrap/>
            <w:vAlign w:val="bottom"/>
            <w:hideMark/>
          </w:tcPr>
          <w:p w:rsidR="00242C36" w:rsidRPr="00E43137" w:rsidRDefault="00242C36" w:rsidP="00242C36">
            <w:pPr>
              <w:rPr>
                <w:rFonts w:ascii="Calibri" w:hAnsi="Calibri"/>
                <w:sz w:val="18"/>
                <w:szCs w:val="18"/>
              </w:rPr>
            </w:pPr>
            <w:r w:rsidRPr="00E43137">
              <w:rPr>
                <w:rFonts w:ascii="Calibri" w:hAnsi="Calibri"/>
                <w:sz w:val="18"/>
                <w:szCs w:val="18"/>
              </w:rPr>
              <w:t xml:space="preserve">           kukurica</w:t>
            </w:r>
          </w:p>
        </w:tc>
        <w:tc>
          <w:tcPr>
            <w:tcW w:w="726" w:type="dxa"/>
            <w:tcBorders>
              <w:top w:val="nil"/>
              <w:left w:val="nil"/>
              <w:bottom w:val="nil"/>
              <w:right w:val="single" w:sz="4" w:space="0" w:color="auto"/>
            </w:tcBorders>
            <w:shd w:val="clear" w:color="auto" w:fill="auto"/>
            <w:noWrap/>
            <w:vAlign w:val="bottom"/>
            <w:hideMark/>
          </w:tcPr>
          <w:p w:rsidR="00242C36" w:rsidRPr="00E43137" w:rsidRDefault="00242C36" w:rsidP="00242C36">
            <w:pPr>
              <w:jc w:val="center"/>
              <w:rPr>
                <w:rFonts w:ascii="Calibri" w:hAnsi="Calibri"/>
                <w:sz w:val="18"/>
                <w:szCs w:val="18"/>
              </w:rPr>
            </w:pPr>
            <w:r w:rsidRPr="00E43137">
              <w:rPr>
                <w:rFonts w:ascii="Calibri" w:hAnsi="Calibri"/>
                <w:sz w:val="18"/>
                <w:szCs w:val="18"/>
              </w:rPr>
              <w:t>tis.</w:t>
            </w:r>
            <w:r>
              <w:rPr>
                <w:rFonts w:ascii="Calibri" w:hAnsi="Calibri"/>
                <w:sz w:val="18"/>
                <w:szCs w:val="18"/>
              </w:rPr>
              <w:t xml:space="preserve"> </w:t>
            </w:r>
            <w:r w:rsidRPr="00E43137">
              <w:rPr>
                <w:rFonts w:ascii="Calibri" w:hAnsi="Calibri"/>
                <w:sz w:val="18"/>
                <w:szCs w:val="18"/>
              </w:rPr>
              <w:t>t</w:t>
            </w:r>
          </w:p>
        </w:tc>
        <w:tc>
          <w:tcPr>
            <w:tcW w:w="828" w:type="dxa"/>
            <w:tcBorders>
              <w:top w:val="nil"/>
              <w:left w:val="nil"/>
              <w:bottom w:val="nil"/>
              <w:right w:val="nil"/>
            </w:tcBorders>
            <w:shd w:val="clear" w:color="auto" w:fill="auto"/>
            <w:noWrap/>
            <w:vAlign w:val="bottom"/>
            <w:hideMark/>
          </w:tcPr>
          <w:p w:rsidR="00242C36" w:rsidRPr="00E43137" w:rsidRDefault="00242C36" w:rsidP="00242C36">
            <w:pPr>
              <w:jc w:val="right"/>
              <w:rPr>
                <w:rFonts w:ascii="Calibri" w:hAnsi="Calibri"/>
                <w:color w:val="000000"/>
                <w:sz w:val="18"/>
                <w:szCs w:val="18"/>
              </w:rPr>
            </w:pPr>
            <w:r w:rsidRPr="00E43137">
              <w:rPr>
                <w:rFonts w:ascii="Calibri" w:hAnsi="Calibri"/>
                <w:color w:val="000000"/>
                <w:sz w:val="18"/>
                <w:szCs w:val="18"/>
              </w:rPr>
              <w:t xml:space="preserve">1 260,6 </w:t>
            </w:r>
          </w:p>
        </w:tc>
        <w:tc>
          <w:tcPr>
            <w:tcW w:w="828" w:type="dxa"/>
            <w:tcBorders>
              <w:top w:val="nil"/>
              <w:left w:val="single" w:sz="4" w:space="0" w:color="auto"/>
              <w:bottom w:val="nil"/>
              <w:right w:val="nil"/>
            </w:tcBorders>
            <w:shd w:val="clear" w:color="auto" w:fill="auto"/>
            <w:noWrap/>
            <w:vAlign w:val="bottom"/>
            <w:hideMark/>
          </w:tcPr>
          <w:p w:rsidR="00242C36" w:rsidRPr="00E43137" w:rsidRDefault="00242C36" w:rsidP="00242C36">
            <w:pPr>
              <w:jc w:val="right"/>
              <w:rPr>
                <w:rFonts w:ascii="Calibri" w:hAnsi="Calibri"/>
                <w:color w:val="000000"/>
                <w:sz w:val="18"/>
                <w:szCs w:val="18"/>
              </w:rPr>
            </w:pPr>
            <w:r w:rsidRPr="00E43137">
              <w:rPr>
                <w:rFonts w:ascii="Calibri" w:hAnsi="Calibri"/>
                <w:color w:val="000000"/>
                <w:sz w:val="18"/>
                <w:szCs w:val="18"/>
              </w:rPr>
              <w:t xml:space="preserve">988,1 </w:t>
            </w:r>
          </w:p>
        </w:tc>
        <w:tc>
          <w:tcPr>
            <w:tcW w:w="828" w:type="dxa"/>
            <w:tcBorders>
              <w:top w:val="nil"/>
              <w:left w:val="single" w:sz="4" w:space="0" w:color="auto"/>
              <w:bottom w:val="nil"/>
              <w:right w:val="nil"/>
            </w:tcBorders>
            <w:shd w:val="clear" w:color="auto" w:fill="auto"/>
            <w:noWrap/>
            <w:vAlign w:val="bottom"/>
            <w:hideMark/>
          </w:tcPr>
          <w:p w:rsidR="00242C36" w:rsidRPr="00E43137" w:rsidRDefault="00242C36" w:rsidP="00242C36">
            <w:pPr>
              <w:jc w:val="right"/>
              <w:rPr>
                <w:rFonts w:ascii="Calibri" w:hAnsi="Calibri"/>
                <w:color w:val="000000"/>
                <w:sz w:val="18"/>
                <w:szCs w:val="18"/>
              </w:rPr>
            </w:pPr>
            <w:r w:rsidRPr="00E43137">
              <w:rPr>
                <w:rFonts w:ascii="Calibri" w:hAnsi="Calibri"/>
                <w:color w:val="000000"/>
                <w:sz w:val="18"/>
                <w:szCs w:val="18"/>
              </w:rPr>
              <w:t xml:space="preserve">921,3 </w:t>
            </w:r>
          </w:p>
        </w:tc>
        <w:tc>
          <w:tcPr>
            <w:tcW w:w="828" w:type="dxa"/>
            <w:tcBorders>
              <w:top w:val="nil"/>
              <w:left w:val="single" w:sz="4" w:space="0" w:color="auto"/>
              <w:bottom w:val="nil"/>
              <w:right w:val="nil"/>
            </w:tcBorders>
            <w:shd w:val="clear" w:color="auto" w:fill="auto"/>
            <w:noWrap/>
            <w:vAlign w:val="bottom"/>
            <w:hideMark/>
          </w:tcPr>
          <w:p w:rsidR="00242C36" w:rsidRPr="00E43137" w:rsidRDefault="00242C36" w:rsidP="00242C36">
            <w:pPr>
              <w:jc w:val="right"/>
              <w:rPr>
                <w:rFonts w:ascii="Calibri" w:hAnsi="Calibri"/>
                <w:color w:val="000000"/>
                <w:sz w:val="18"/>
                <w:szCs w:val="18"/>
              </w:rPr>
            </w:pPr>
            <w:r w:rsidRPr="00E43137">
              <w:rPr>
                <w:rFonts w:ascii="Calibri" w:hAnsi="Calibri"/>
                <w:color w:val="000000"/>
                <w:sz w:val="18"/>
                <w:szCs w:val="18"/>
              </w:rPr>
              <w:t xml:space="preserve">1 444,4 </w:t>
            </w:r>
          </w:p>
        </w:tc>
        <w:tc>
          <w:tcPr>
            <w:tcW w:w="828" w:type="dxa"/>
            <w:tcBorders>
              <w:top w:val="nil"/>
              <w:left w:val="single" w:sz="4" w:space="0" w:color="auto"/>
              <w:bottom w:val="nil"/>
              <w:right w:val="nil"/>
            </w:tcBorders>
            <w:shd w:val="clear" w:color="auto" w:fill="auto"/>
            <w:noWrap/>
            <w:vAlign w:val="bottom"/>
            <w:hideMark/>
          </w:tcPr>
          <w:p w:rsidR="00242C36" w:rsidRPr="00E43137" w:rsidRDefault="00242C36" w:rsidP="00242C36">
            <w:pPr>
              <w:jc w:val="right"/>
              <w:rPr>
                <w:rFonts w:ascii="Calibri" w:hAnsi="Calibri"/>
                <w:color w:val="000000"/>
                <w:sz w:val="18"/>
                <w:szCs w:val="18"/>
              </w:rPr>
            </w:pPr>
            <w:r w:rsidRPr="00E43137">
              <w:rPr>
                <w:rFonts w:ascii="Calibri" w:hAnsi="Calibri"/>
                <w:color w:val="000000"/>
                <w:sz w:val="18"/>
                <w:szCs w:val="18"/>
              </w:rPr>
              <w:t xml:space="preserve">1 170,4 </w:t>
            </w:r>
          </w:p>
        </w:tc>
        <w:tc>
          <w:tcPr>
            <w:tcW w:w="1060" w:type="dxa"/>
            <w:tcBorders>
              <w:top w:val="nil"/>
              <w:left w:val="single" w:sz="4" w:space="0" w:color="auto"/>
              <w:bottom w:val="nil"/>
              <w:right w:val="single" w:sz="8" w:space="0" w:color="auto"/>
            </w:tcBorders>
            <w:shd w:val="clear" w:color="auto" w:fill="auto"/>
            <w:noWrap/>
            <w:vAlign w:val="bottom"/>
            <w:hideMark/>
          </w:tcPr>
          <w:p w:rsidR="00242C36" w:rsidRPr="00E43137" w:rsidRDefault="00242C36" w:rsidP="00242C36">
            <w:pPr>
              <w:jc w:val="right"/>
              <w:rPr>
                <w:rFonts w:ascii="Calibri" w:hAnsi="Calibri"/>
                <w:color w:val="000000"/>
                <w:sz w:val="18"/>
                <w:szCs w:val="18"/>
              </w:rPr>
            </w:pPr>
            <w:r w:rsidRPr="00E43137">
              <w:rPr>
                <w:rFonts w:ascii="Calibri" w:hAnsi="Calibri"/>
                <w:color w:val="000000"/>
                <w:sz w:val="18"/>
                <w:szCs w:val="18"/>
              </w:rPr>
              <w:t xml:space="preserve">81,0 </w:t>
            </w:r>
          </w:p>
        </w:tc>
      </w:tr>
      <w:tr w:rsidR="00242C36" w:rsidRPr="00E43137" w:rsidTr="00242C36">
        <w:trPr>
          <w:trHeight w:val="300"/>
        </w:trPr>
        <w:tc>
          <w:tcPr>
            <w:tcW w:w="2815" w:type="dxa"/>
            <w:tcBorders>
              <w:top w:val="nil"/>
              <w:left w:val="single" w:sz="8" w:space="0" w:color="auto"/>
              <w:bottom w:val="nil"/>
              <w:right w:val="single" w:sz="8" w:space="0" w:color="auto"/>
            </w:tcBorders>
            <w:shd w:val="clear" w:color="auto" w:fill="auto"/>
            <w:noWrap/>
            <w:vAlign w:val="bottom"/>
            <w:hideMark/>
          </w:tcPr>
          <w:p w:rsidR="00242C36" w:rsidRPr="00E43137" w:rsidRDefault="00242C36" w:rsidP="00242C36">
            <w:pPr>
              <w:rPr>
                <w:rFonts w:ascii="Calibri" w:hAnsi="Calibri"/>
                <w:color w:val="000000"/>
                <w:sz w:val="18"/>
                <w:szCs w:val="18"/>
              </w:rPr>
            </w:pPr>
            <w:r w:rsidRPr="00E43137">
              <w:rPr>
                <w:rFonts w:ascii="Calibri" w:hAnsi="Calibri"/>
                <w:color w:val="000000"/>
                <w:sz w:val="18"/>
                <w:szCs w:val="18"/>
              </w:rPr>
              <w:t>Cukrová repa techn.</w:t>
            </w:r>
          </w:p>
        </w:tc>
        <w:tc>
          <w:tcPr>
            <w:tcW w:w="726" w:type="dxa"/>
            <w:tcBorders>
              <w:top w:val="nil"/>
              <w:left w:val="nil"/>
              <w:bottom w:val="nil"/>
              <w:right w:val="single" w:sz="4" w:space="0" w:color="auto"/>
            </w:tcBorders>
            <w:shd w:val="clear" w:color="auto" w:fill="auto"/>
            <w:noWrap/>
            <w:vAlign w:val="bottom"/>
            <w:hideMark/>
          </w:tcPr>
          <w:p w:rsidR="00242C36" w:rsidRPr="00E43137" w:rsidRDefault="00242C36" w:rsidP="00242C36">
            <w:pPr>
              <w:jc w:val="center"/>
              <w:rPr>
                <w:rFonts w:ascii="Calibri" w:hAnsi="Calibri"/>
                <w:color w:val="000000"/>
                <w:sz w:val="18"/>
                <w:szCs w:val="18"/>
              </w:rPr>
            </w:pPr>
            <w:r w:rsidRPr="00E43137">
              <w:rPr>
                <w:rFonts w:ascii="Calibri" w:hAnsi="Calibri"/>
                <w:color w:val="000000"/>
                <w:sz w:val="18"/>
                <w:szCs w:val="18"/>
              </w:rPr>
              <w:t>tis.</w:t>
            </w:r>
            <w:r>
              <w:rPr>
                <w:rFonts w:ascii="Calibri" w:hAnsi="Calibri"/>
                <w:color w:val="000000"/>
                <w:sz w:val="18"/>
                <w:szCs w:val="18"/>
              </w:rPr>
              <w:t xml:space="preserve"> </w:t>
            </w:r>
            <w:r w:rsidRPr="00E43137">
              <w:rPr>
                <w:rFonts w:ascii="Calibri" w:hAnsi="Calibri"/>
                <w:color w:val="000000"/>
                <w:sz w:val="18"/>
                <w:szCs w:val="18"/>
              </w:rPr>
              <w:t>t</w:t>
            </w:r>
          </w:p>
        </w:tc>
        <w:tc>
          <w:tcPr>
            <w:tcW w:w="828" w:type="dxa"/>
            <w:tcBorders>
              <w:top w:val="nil"/>
              <w:left w:val="nil"/>
              <w:bottom w:val="nil"/>
              <w:right w:val="nil"/>
            </w:tcBorders>
            <w:shd w:val="clear" w:color="auto" w:fill="auto"/>
            <w:noWrap/>
            <w:vAlign w:val="bottom"/>
            <w:hideMark/>
          </w:tcPr>
          <w:p w:rsidR="00242C36" w:rsidRPr="00E43137" w:rsidRDefault="00242C36" w:rsidP="00242C36">
            <w:pPr>
              <w:jc w:val="right"/>
              <w:rPr>
                <w:rFonts w:ascii="Calibri" w:hAnsi="Calibri"/>
                <w:color w:val="000000"/>
                <w:sz w:val="18"/>
                <w:szCs w:val="18"/>
              </w:rPr>
            </w:pPr>
            <w:r w:rsidRPr="00E43137">
              <w:rPr>
                <w:rFonts w:ascii="Calibri" w:hAnsi="Calibri"/>
                <w:color w:val="000000"/>
                <w:sz w:val="18"/>
                <w:szCs w:val="18"/>
              </w:rPr>
              <w:t xml:space="preserve">678,9 </w:t>
            </w:r>
          </w:p>
        </w:tc>
        <w:tc>
          <w:tcPr>
            <w:tcW w:w="828" w:type="dxa"/>
            <w:tcBorders>
              <w:top w:val="nil"/>
              <w:left w:val="single" w:sz="4" w:space="0" w:color="auto"/>
              <w:bottom w:val="nil"/>
              <w:right w:val="nil"/>
            </w:tcBorders>
            <w:shd w:val="clear" w:color="auto" w:fill="auto"/>
            <w:noWrap/>
            <w:vAlign w:val="bottom"/>
            <w:hideMark/>
          </w:tcPr>
          <w:p w:rsidR="00242C36" w:rsidRPr="00E43137" w:rsidRDefault="00242C36" w:rsidP="00242C36">
            <w:pPr>
              <w:jc w:val="right"/>
              <w:rPr>
                <w:rFonts w:ascii="Calibri" w:hAnsi="Calibri"/>
                <w:color w:val="000000"/>
                <w:sz w:val="18"/>
                <w:szCs w:val="18"/>
              </w:rPr>
            </w:pPr>
            <w:r w:rsidRPr="00E43137">
              <w:rPr>
                <w:rFonts w:ascii="Calibri" w:hAnsi="Calibri"/>
                <w:color w:val="000000"/>
                <w:sz w:val="18"/>
                <w:szCs w:val="18"/>
              </w:rPr>
              <w:t xml:space="preserve">898,8 </w:t>
            </w:r>
          </w:p>
        </w:tc>
        <w:tc>
          <w:tcPr>
            <w:tcW w:w="828" w:type="dxa"/>
            <w:tcBorders>
              <w:top w:val="nil"/>
              <w:left w:val="single" w:sz="4" w:space="0" w:color="auto"/>
              <w:bottom w:val="nil"/>
              <w:right w:val="nil"/>
            </w:tcBorders>
            <w:shd w:val="clear" w:color="auto" w:fill="auto"/>
            <w:noWrap/>
            <w:vAlign w:val="bottom"/>
            <w:hideMark/>
          </w:tcPr>
          <w:p w:rsidR="00242C36" w:rsidRPr="00E43137" w:rsidRDefault="00242C36" w:rsidP="00242C36">
            <w:pPr>
              <w:jc w:val="right"/>
              <w:rPr>
                <w:rFonts w:ascii="Calibri" w:hAnsi="Calibri"/>
                <w:color w:val="000000"/>
                <w:sz w:val="18"/>
                <w:szCs w:val="18"/>
              </w:rPr>
            </w:pPr>
            <w:r w:rsidRPr="00E43137">
              <w:rPr>
                <w:rFonts w:ascii="Calibri" w:hAnsi="Calibri"/>
                <w:color w:val="000000"/>
                <w:sz w:val="18"/>
                <w:szCs w:val="18"/>
              </w:rPr>
              <w:t xml:space="preserve">977,7 </w:t>
            </w:r>
          </w:p>
        </w:tc>
        <w:tc>
          <w:tcPr>
            <w:tcW w:w="828" w:type="dxa"/>
            <w:tcBorders>
              <w:top w:val="nil"/>
              <w:left w:val="single" w:sz="4" w:space="0" w:color="auto"/>
              <w:bottom w:val="nil"/>
              <w:right w:val="nil"/>
            </w:tcBorders>
            <w:shd w:val="clear" w:color="auto" w:fill="auto"/>
            <w:noWrap/>
            <w:vAlign w:val="bottom"/>
            <w:hideMark/>
          </w:tcPr>
          <w:p w:rsidR="00242C36" w:rsidRPr="00E43137" w:rsidRDefault="00242C36" w:rsidP="00242C36">
            <w:pPr>
              <w:jc w:val="right"/>
              <w:rPr>
                <w:rFonts w:ascii="Calibri" w:hAnsi="Calibri"/>
                <w:color w:val="000000"/>
                <w:sz w:val="18"/>
                <w:szCs w:val="18"/>
              </w:rPr>
            </w:pPr>
            <w:r w:rsidRPr="00E43137">
              <w:rPr>
                <w:rFonts w:ascii="Calibri" w:hAnsi="Calibri"/>
                <w:color w:val="000000"/>
                <w:sz w:val="18"/>
                <w:szCs w:val="18"/>
              </w:rPr>
              <w:t xml:space="preserve">1 160,7 </w:t>
            </w:r>
          </w:p>
        </w:tc>
        <w:tc>
          <w:tcPr>
            <w:tcW w:w="828" w:type="dxa"/>
            <w:tcBorders>
              <w:top w:val="nil"/>
              <w:left w:val="single" w:sz="4" w:space="0" w:color="auto"/>
              <w:bottom w:val="nil"/>
              <w:right w:val="nil"/>
            </w:tcBorders>
            <w:shd w:val="clear" w:color="auto" w:fill="auto"/>
            <w:noWrap/>
            <w:vAlign w:val="bottom"/>
            <w:hideMark/>
          </w:tcPr>
          <w:p w:rsidR="00242C36" w:rsidRPr="00E43137" w:rsidRDefault="00242C36" w:rsidP="00242C36">
            <w:pPr>
              <w:jc w:val="right"/>
              <w:rPr>
                <w:rFonts w:ascii="Calibri" w:hAnsi="Calibri"/>
                <w:color w:val="000000"/>
                <w:sz w:val="18"/>
                <w:szCs w:val="18"/>
              </w:rPr>
            </w:pPr>
            <w:r w:rsidRPr="00E43137">
              <w:rPr>
                <w:rFonts w:ascii="Calibri" w:hAnsi="Calibri"/>
                <w:color w:val="000000"/>
                <w:sz w:val="18"/>
                <w:szCs w:val="18"/>
              </w:rPr>
              <w:t xml:space="preserve">894,5 </w:t>
            </w:r>
          </w:p>
        </w:tc>
        <w:tc>
          <w:tcPr>
            <w:tcW w:w="1060" w:type="dxa"/>
            <w:tcBorders>
              <w:top w:val="nil"/>
              <w:left w:val="single" w:sz="4" w:space="0" w:color="auto"/>
              <w:bottom w:val="nil"/>
              <w:right w:val="single" w:sz="8" w:space="0" w:color="auto"/>
            </w:tcBorders>
            <w:shd w:val="clear" w:color="auto" w:fill="auto"/>
            <w:noWrap/>
            <w:vAlign w:val="bottom"/>
            <w:hideMark/>
          </w:tcPr>
          <w:p w:rsidR="00242C36" w:rsidRPr="00E43137" w:rsidRDefault="00242C36" w:rsidP="00242C36">
            <w:pPr>
              <w:jc w:val="right"/>
              <w:rPr>
                <w:rFonts w:ascii="Calibri" w:hAnsi="Calibri"/>
                <w:color w:val="000000"/>
                <w:sz w:val="18"/>
                <w:szCs w:val="18"/>
              </w:rPr>
            </w:pPr>
            <w:r w:rsidRPr="00E43137">
              <w:rPr>
                <w:rFonts w:ascii="Calibri" w:hAnsi="Calibri"/>
                <w:color w:val="000000"/>
                <w:sz w:val="18"/>
                <w:szCs w:val="18"/>
              </w:rPr>
              <w:t xml:space="preserve">77,1 </w:t>
            </w:r>
          </w:p>
        </w:tc>
      </w:tr>
      <w:tr w:rsidR="00242C36" w:rsidRPr="00E43137" w:rsidTr="00242C36">
        <w:trPr>
          <w:trHeight w:val="300"/>
        </w:trPr>
        <w:tc>
          <w:tcPr>
            <w:tcW w:w="2815" w:type="dxa"/>
            <w:tcBorders>
              <w:top w:val="nil"/>
              <w:left w:val="single" w:sz="8" w:space="0" w:color="auto"/>
              <w:bottom w:val="nil"/>
              <w:right w:val="single" w:sz="8" w:space="0" w:color="auto"/>
            </w:tcBorders>
            <w:shd w:val="clear" w:color="auto" w:fill="auto"/>
            <w:noWrap/>
            <w:vAlign w:val="bottom"/>
            <w:hideMark/>
          </w:tcPr>
          <w:p w:rsidR="00242C36" w:rsidRPr="00E43137" w:rsidRDefault="00242C36" w:rsidP="00242C36">
            <w:pPr>
              <w:rPr>
                <w:rFonts w:ascii="Calibri" w:hAnsi="Calibri"/>
                <w:color w:val="000000"/>
                <w:sz w:val="18"/>
                <w:szCs w:val="18"/>
              </w:rPr>
            </w:pPr>
            <w:r w:rsidRPr="00E43137">
              <w:rPr>
                <w:rFonts w:ascii="Calibri" w:hAnsi="Calibri"/>
                <w:color w:val="000000"/>
                <w:sz w:val="18"/>
                <w:szCs w:val="18"/>
              </w:rPr>
              <w:t>Zemiaky</w:t>
            </w:r>
          </w:p>
        </w:tc>
        <w:tc>
          <w:tcPr>
            <w:tcW w:w="726" w:type="dxa"/>
            <w:tcBorders>
              <w:top w:val="nil"/>
              <w:left w:val="nil"/>
              <w:bottom w:val="nil"/>
              <w:right w:val="single" w:sz="4" w:space="0" w:color="auto"/>
            </w:tcBorders>
            <w:shd w:val="clear" w:color="auto" w:fill="auto"/>
            <w:noWrap/>
            <w:vAlign w:val="bottom"/>
            <w:hideMark/>
          </w:tcPr>
          <w:p w:rsidR="00242C36" w:rsidRPr="00E43137" w:rsidRDefault="00242C36" w:rsidP="00242C36">
            <w:pPr>
              <w:jc w:val="center"/>
              <w:rPr>
                <w:rFonts w:ascii="Calibri" w:hAnsi="Calibri"/>
                <w:color w:val="000000"/>
                <w:sz w:val="18"/>
                <w:szCs w:val="18"/>
              </w:rPr>
            </w:pPr>
            <w:r w:rsidRPr="00E43137">
              <w:rPr>
                <w:rFonts w:ascii="Calibri" w:hAnsi="Calibri"/>
                <w:color w:val="000000"/>
                <w:sz w:val="18"/>
                <w:szCs w:val="18"/>
              </w:rPr>
              <w:t>tis.</w:t>
            </w:r>
            <w:r>
              <w:rPr>
                <w:rFonts w:ascii="Calibri" w:hAnsi="Calibri"/>
                <w:color w:val="000000"/>
                <w:sz w:val="18"/>
                <w:szCs w:val="18"/>
              </w:rPr>
              <w:t xml:space="preserve"> </w:t>
            </w:r>
            <w:r w:rsidRPr="00E43137">
              <w:rPr>
                <w:rFonts w:ascii="Calibri" w:hAnsi="Calibri"/>
                <w:color w:val="000000"/>
                <w:sz w:val="18"/>
                <w:szCs w:val="18"/>
              </w:rPr>
              <w:t>t</w:t>
            </w:r>
          </w:p>
        </w:tc>
        <w:tc>
          <w:tcPr>
            <w:tcW w:w="828" w:type="dxa"/>
            <w:tcBorders>
              <w:top w:val="nil"/>
              <w:left w:val="nil"/>
              <w:bottom w:val="nil"/>
              <w:right w:val="nil"/>
            </w:tcBorders>
            <w:shd w:val="clear" w:color="auto" w:fill="auto"/>
            <w:noWrap/>
            <w:vAlign w:val="bottom"/>
            <w:hideMark/>
          </w:tcPr>
          <w:p w:rsidR="00242C36" w:rsidRPr="00E43137" w:rsidRDefault="00242C36" w:rsidP="00242C36">
            <w:pPr>
              <w:jc w:val="right"/>
              <w:rPr>
                <w:rFonts w:ascii="Calibri" w:hAnsi="Calibri"/>
                <w:color w:val="000000"/>
                <w:sz w:val="18"/>
                <w:szCs w:val="18"/>
              </w:rPr>
            </w:pPr>
            <w:r w:rsidRPr="00E43137">
              <w:rPr>
                <w:rFonts w:ascii="Calibri" w:hAnsi="Calibri"/>
                <w:color w:val="000000"/>
                <w:sz w:val="18"/>
                <w:szCs w:val="18"/>
              </w:rPr>
              <w:t xml:space="preserve">245,3 </w:t>
            </w:r>
          </w:p>
        </w:tc>
        <w:tc>
          <w:tcPr>
            <w:tcW w:w="828" w:type="dxa"/>
            <w:tcBorders>
              <w:top w:val="nil"/>
              <w:left w:val="single" w:sz="4" w:space="0" w:color="auto"/>
              <w:bottom w:val="nil"/>
              <w:right w:val="nil"/>
            </w:tcBorders>
            <w:shd w:val="clear" w:color="auto" w:fill="auto"/>
            <w:noWrap/>
            <w:vAlign w:val="bottom"/>
            <w:hideMark/>
          </w:tcPr>
          <w:p w:rsidR="00242C36" w:rsidRPr="00E43137" w:rsidRDefault="00242C36" w:rsidP="00242C36">
            <w:pPr>
              <w:jc w:val="right"/>
              <w:rPr>
                <w:rFonts w:ascii="Calibri" w:hAnsi="Calibri"/>
                <w:color w:val="000000"/>
                <w:sz w:val="18"/>
                <w:szCs w:val="18"/>
              </w:rPr>
            </w:pPr>
            <w:r w:rsidRPr="00E43137">
              <w:rPr>
                <w:rFonts w:ascii="Calibri" w:hAnsi="Calibri"/>
                <w:color w:val="000000"/>
                <w:sz w:val="18"/>
                <w:szCs w:val="18"/>
              </w:rPr>
              <w:t xml:space="preserve">216,1 </w:t>
            </w:r>
          </w:p>
        </w:tc>
        <w:tc>
          <w:tcPr>
            <w:tcW w:w="828" w:type="dxa"/>
            <w:tcBorders>
              <w:top w:val="nil"/>
              <w:left w:val="single" w:sz="4" w:space="0" w:color="auto"/>
              <w:bottom w:val="nil"/>
              <w:right w:val="nil"/>
            </w:tcBorders>
            <w:shd w:val="clear" w:color="auto" w:fill="auto"/>
            <w:noWrap/>
            <w:vAlign w:val="bottom"/>
            <w:hideMark/>
          </w:tcPr>
          <w:p w:rsidR="00242C36" w:rsidRPr="00E43137" w:rsidRDefault="00242C36" w:rsidP="00242C36">
            <w:pPr>
              <w:jc w:val="right"/>
              <w:rPr>
                <w:rFonts w:ascii="Calibri" w:hAnsi="Calibri"/>
                <w:color w:val="000000"/>
                <w:sz w:val="18"/>
                <w:szCs w:val="18"/>
              </w:rPr>
            </w:pPr>
            <w:r w:rsidRPr="00E43137">
              <w:rPr>
                <w:rFonts w:ascii="Calibri" w:hAnsi="Calibri"/>
                <w:color w:val="000000"/>
                <w:sz w:val="18"/>
                <w:szCs w:val="18"/>
              </w:rPr>
              <w:t xml:space="preserve">125,9 </w:t>
            </w:r>
          </w:p>
        </w:tc>
        <w:tc>
          <w:tcPr>
            <w:tcW w:w="828" w:type="dxa"/>
            <w:tcBorders>
              <w:top w:val="nil"/>
              <w:left w:val="single" w:sz="4" w:space="0" w:color="auto"/>
              <w:bottom w:val="nil"/>
              <w:right w:val="nil"/>
            </w:tcBorders>
            <w:shd w:val="clear" w:color="auto" w:fill="auto"/>
            <w:noWrap/>
            <w:vAlign w:val="bottom"/>
            <w:hideMark/>
          </w:tcPr>
          <w:p w:rsidR="00242C36" w:rsidRPr="00E43137" w:rsidRDefault="00242C36" w:rsidP="00242C36">
            <w:pPr>
              <w:jc w:val="right"/>
              <w:rPr>
                <w:rFonts w:ascii="Calibri" w:hAnsi="Calibri"/>
                <w:color w:val="000000"/>
                <w:sz w:val="18"/>
                <w:szCs w:val="18"/>
              </w:rPr>
            </w:pPr>
            <w:r w:rsidRPr="00E43137">
              <w:rPr>
                <w:rFonts w:ascii="Calibri" w:hAnsi="Calibri"/>
                <w:color w:val="000000"/>
                <w:sz w:val="18"/>
                <w:szCs w:val="18"/>
              </w:rPr>
              <w:t xml:space="preserve">217,3 </w:t>
            </w:r>
          </w:p>
        </w:tc>
        <w:tc>
          <w:tcPr>
            <w:tcW w:w="828" w:type="dxa"/>
            <w:tcBorders>
              <w:top w:val="nil"/>
              <w:left w:val="single" w:sz="4" w:space="0" w:color="auto"/>
              <w:bottom w:val="nil"/>
              <w:right w:val="nil"/>
            </w:tcBorders>
            <w:shd w:val="clear" w:color="auto" w:fill="auto"/>
            <w:noWrap/>
            <w:vAlign w:val="bottom"/>
            <w:hideMark/>
          </w:tcPr>
          <w:p w:rsidR="00242C36" w:rsidRPr="00E43137" w:rsidRDefault="00242C36" w:rsidP="00242C36">
            <w:pPr>
              <w:jc w:val="right"/>
              <w:rPr>
                <w:rFonts w:ascii="Calibri" w:hAnsi="Calibri"/>
                <w:color w:val="000000"/>
                <w:sz w:val="18"/>
                <w:szCs w:val="18"/>
              </w:rPr>
            </w:pPr>
            <w:r w:rsidRPr="00E43137">
              <w:rPr>
                <w:rFonts w:ascii="Calibri" w:hAnsi="Calibri"/>
                <w:color w:val="000000"/>
                <w:sz w:val="18"/>
                <w:szCs w:val="18"/>
              </w:rPr>
              <w:t xml:space="preserve">165,7 </w:t>
            </w:r>
          </w:p>
        </w:tc>
        <w:tc>
          <w:tcPr>
            <w:tcW w:w="1060" w:type="dxa"/>
            <w:tcBorders>
              <w:top w:val="nil"/>
              <w:left w:val="single" w:sz="4" w:space="0" w:color="auto"/>
              <w:bottom w:val="nil"/>
              <w:right w:val="single" w:sz="8" w:space="0" w:color="auto"/>
            </w:tcBorders>
            <w:shd w:val="clear" w:color="auto" w:fill="auto"/>
            <w:noWrap/>
            <w:vAlign w:val="bottom"/>
            <w:hideMark/>
          </w:tcPr>
          <w:p w:rsidR="00242C36" w:rsidRPr="00E43137" w:rsidRDefault="00242C36" w:rsidP="00242C36">
            <w:pPr>
              <w:jc w:val="right"/>
              <w:rPr>
                <w:rFonts w:ascii="Calibri" w:hAnsi="Calibri"/>
                <w:color w:val="000000"/>
                <w:sz w:val="18"/>
                <w:szCs w:val="18"/>
              </w:rPr>
            </w:pPr>
            <w:r w:rsidRPr="00E43137">
              <w:rPr>
                <w:rFonts w:ascii="Calibri" w:hAnsi="Calibri"/>
                <w:color w:val="000000"/>
                <w:sz w:val="18"/>
                <w:szCs w:val="18"/>
              </w:rPr>
              <w:t xml:space="preserve">76,3 </w:t>
            </w:r>
          </w:p>
        </w:tc>
      </w:tr>
      <w:tr w:rsidR="00242C36" w:rsidRPr="00E43137" w:rsidTr="00242C36">
        <w:trPr>
          <w:trHeight w:val="300"/>
        </w:trPr>
        <w:tc>
          <w:tcPr>
            <w:tcW w:w="2815" w:type="dxa"/>
            <w:tcBorders>
              <w:top w:val="nil"/>
              <w:left w:val="single" w:sz="8" w:space="0" w:color="auto"/>
              <w:bottom w:val="nil"/>
              <w:right w:val="single" w:sz="8" w:space="0" w:color="auto"/>
            </w:tcBorders>
            <w:shd w:val="clear" w:color="auto" w:fill="auto"/>
            <w:noWrap/>
            <w:vAlign w:val="bottom"/>
            <w:hideMark/>
          </w:tcPr>
          <w:p w:rsidR="00242C36" w:rsidRPr="00E43137" w:rsidRDefault="00242C36" w:rsidP="00242C36">
            <w:pPr>
              <w:rPr>
                <w:rFonts w:ascii="Calibri" w:hAnsi="Calibri"/>
                <w:color w:val="000000"/>
                <w:sz w:val="18"/>
                <w:szCs w:val="18"/>
              </w:rPr>
            </w:pPr>
            <w:r w:rsidRPr="00E43137">
              <w:rPr>
                <w:rFonts w:ascii="Calibri" w:hAnsi="Calibri"/>
                <w:color w:val="000000"/>
                <w:sz w:val="18"/>
                <w:szCs w:val="18"/>
              </w:rPr>
              <w:t>Olejniny</w:t>
            </w:r>
          </w:p>
        </w:tc>
        <w:tc>
          <w:tcPr>
            <w:tcW w:w="726" w:type="dxa"/>
            <w:tcBorders>
              <w:top w:val="nil"/>
              <w:left w:val="nil"/>
              <w:bottom w:val="nil"/>
              <w:right w:val="single" w:sz="4" w:space="0" w:color="auto"/>
            </w:tcBorders>
            <w:shd w:val="clear" w:color="auto" w:fill="auto"/>
            <w:noWrap/>
            <w:vAlign w:val="bottom"/>
            <w:hideMark/>
          </w:tcPr>
          <w:p w:rsidR="00242C36" w:rsidRPr="00E43137" w:rsidRDefault="00242C36" w:rsidP="00242C36">
            <w:pPr>
              <w:jc w:val="center"/>
              <w:rPr>
                <w:rFonts w:ascii="Calibri" w:hAnsi="Calibri"/>
                <w:color w:val="000000"/>
                <w:sz w:val="18"/>
                <w:szCs w:val="18"/>
              </w:rPr>
            </w:pPr>
            <w:r w:rsidRPr="00E43137">
              <w:rPr>
                <w:rFonts w:ascii="Calibri" w:hAnsi="Calibri"/>
                <w:color w:val="000000"/>
                <w:sz w:val="18"/>
                <w:szCs w:val="18"/>
              </w:rPr>
              <w:t>tis.</w:t>
            </w:r>
            <w:r>
              <w:rPr>
                <w:rFonts w:ascii="Calibri" w:hAnsi="Calibri"/>
                <w:color w:val="000000"/>
                <w:sz w:val="18"/>
                <w:szCs w:val="18"/>
              </w:rPr>
              <w:t xml:space="preserve"> </w:t>
            </w:r>
            <w:r w:rsidRPr="00E43137">
              <w:rPr>
                <w:rFonts w:ascii="Calibri" w:hAnsi="Calibri"/>
                <w:color w:val="000000"/>
                <w:sz w:val="18"/>
                <w:szCs w:val="18"/>
              </w:rPr>
              <w:t>t</w:t>
            </w:r>
          </w:p>
        </w:tc>
        <w:tc>
          <w:tcPr>
            <w:tcW w:w="828" w:type="dxa"/>
            <w:tcBorders>
              <w:top w:val="nil"/>
              <w:left w:val="nil"/>
              <w:bottom w:val="nil"/>
              <w:right w:val="nil"/>
            </w:tcBorders>
            <w:shd w:val="clear" w:color="auto" w:fill="auto"/>
            <w:noWrap/>
            <w:vAlign w:val="bottom"/>
            <w:hideMark/>
          </w:tcPr>
          <w:p w:rsidR="00242C36" w:rsidRPr="00E43137" w:rsidRDefault="00242C36" w:rsidP="00242C36">
            <w:pPr>
              <w:jc w:val="right"/>
              <w:rPr>
                <w:rFonts w:ascii="Calibri" w:hAnsi="Calibri"/>
                <w:color w:val="000000"/>
                <w:sz w:val="18"/>
                <w:szCs w:val="18"/>
              </w:rPr>
            </w:pPr>
            <w:r w:rsidRPr="00E43137">
              <w:rPr>
                <w:rFonts w:ascii="Calibri" w:hAnsi="Calibri"/>
                <w:color w:val="000000"/>
                <w:sz w:val="18"/>
                <w:szCs w:val="18"/>
              </w:rPr>
              <w:t xml:space="preserve">633,1 </w:t>
            </w:r>
          </w:p>
        </w:tc>
        <w:tc>
          <w:tcPr>
            <w:tcW w:w="828" w:type="dxa"/>
            <w:tcBorders>
              <w:top w:val="nil"/>
              <w:left w:val="single" w:sz="4" w:space="0" w:color="auto"/>
              <w:bottom w:val="nil"/>
              <w:right w:val="nil"/>
            </w:tcBorders>
            <w:shd w:val="clear" w:color="auto" w:fill="auto"/>
            <w:noWrap/>
            <w:vAlign w:val="bottom"/>
            <w:hideMark/>
          </w:tcPr>
          <w:p w:rsidR="00242C36" w:rsidRPr="00E43137" w:rsidRDefault="00242C36" w:rsidP="00242C36">
            <w:pPr>
              <w:jc w:val="right"/>
              <w:rPr>
                <w:rFonts w:ascii="Calibri" w:hAnsi="Calibri"/>
                <w:color w:val="000000"/>
                <w:sz w:val="18"/>
                <w:szCs w:val="18"/>
              </w:rPr>
            </w:pPr>
            <w:r w:rsidRPr="00E43137">
              <w:rPr>
                <w:rFonts w:ascii="Calibri" w:hAnsi="Calibri"/>
                <w:color w:val="000000"/>
                <w:sz w:val="18"/>
                <w:szCs w:val="18"/>
              </w:rPr>
              <w:t xml:space="preserve">595,8 </w:t>
            </w:r>
          </w:p>
        </w:tc>
        <w:tc>
          <w:tcPr>
            <w:tcW w:w="828" w:type="dxa"/>
            <w:tcBorders>
              <w:top w:val="nil"/>
              <w:left w:val="single" w:sz="4" w:space="0" w:color="auto"/>
              <w:bottom w:val="nil"/>
              <w:right w:val="nil"/>
            </w:tcBorders>
            <w:shd w:val="clear" w:color="auto" w:fill="auto"/>
            <w:noWrap/>
            <w:vAlign w:val="bottom"/>
            <w:hideMark/>
          </w:tcPr>
          <w:p w:rsidR="00242C36" w:rsidRPr="00E43137" w:rsidRDefault="00242C36" w:rsidP="00242C36">
            <w:pPr>
              <w:jc w:val="right"/>
              <w:rPr>
                <w:rFonts w:ascii="Calibri" w:hAnsi="Calibri"/>
                <w:color w:val="000000"/>
                <w:sz w:val="18"/>
                <w:szCs w:val="18"/>
              </w:rPr>
            </w:pPr>
            <w:r w:rsidRPr="00E43137">
              <w:rPr>
                <w:rFonts w:ascii="Calibri" w:hAnsi="Calibri"/>
                <w:color w:val="000000"/>
                <w:sz w:val="18"/>
                <w:szCs w:val="18"/>
              </w:rPr>
              <w:t xml:space="preserve">500,7 </w:t>
            </w:r>
          </w:p>
        </w:tc>
        <w:tc>
          <w:tcPr>
            <w:tcW w:w="828" w:type="dxa"/>
            <w:tcBorders>
              <w:top w:val="nil"/>
              <w:left w:val="single" w:sz="4" w:space="0" w:color="auto"/>
              <w:bottom w:val="nil"/>
              <w:right w:val="nil"/>
            </w:tcBorders>
            <w:shd w:val="clear" w:color="auto" w:fill="auto"/>
            <w:noWrap/>
            <w:vAlign w:val="bottom"/>
            <w:hideMark/>
          </w:tcPr>
          <w:p w:rsidR="00242C36" w:rsidRPr="00E43137" w:rsidRDefault="00242C36" w:rsidP="00242C36">
            <w:pPr>
              <w:jc w:val="right"/>
              <w:rPr>
                <w:rFonts w:ascii="Calibri" w:hAnsi="Calibri"/>
                <w:color w:val="000000"/>
                <w:sz w:val="18"/>
                <w:szCs w:val="18"/>
              </w:rPr>
            </w:pPr>
            <w:r w:rsidRPr="00E43137">
              <w:rPr>
                <w:rFonts w:ascii="Calibri" w:hAnsi="Calibri"/>
                <w:color w:val="000000"/>
                <w:sz w:val="18"/>
                <w:szCs w:val="18"/>
              </w:rPr>
              <w:t xml:space="preserve">574,6 </w:t>
            </w:r>
          </w:p>
        </w:tc>
        <w:tc>
          <w:tcPr>
            <w:tcW w:w="828" w:type="dxa"/>
            <w:tcBorders>
              <w:top w:val="nil"/>
              <w:left w:val="single" w:sz="4" w:space="0" w:color="auto"/>
              <w:bottom w:val="nil"/>
              <w:right w:val="nil"/>
            </w:tcBorders>
            <w:shd w:val="clear" w:color="auto" w:fill="auto"/>
            <w:noWrap/>
            <w:vAlign w:val="bottom"/>
            <w:hideMark/>
          </w:tcPr>
          <w:p w:rsidR="00242C36" w:rsidRPr="00E43137" w:rsidRDefault="00242C36" w:rsidP="00242C36">
            <w:pPr>
              <w:jc w:val="right"/>
              <w:rPr>
                <w:rFonts w:ascii="Calibri" w:hAnsi="Calibri"/>
                <w:color w:val="000000"/>
                <w:sz w:val="18"/>
                <w:szCs w:val="18"/>
              </w:rPr>
            </w:pPr>
            <w:r w:rsidRPr="00E43137">
              <w:rPr>
                <w:rFonts w:ascii="Calibri" w:hAnsi="Calibri"/>
                <w:color w:val="000000"/>
                <w:sz w:val="18"/>
                <w:szCs w:val="18"/>
              </w:rPr>
              <w:t xml:space="preserve">454,3 </w:t>
            </w:r>
          </w:p>
        </w:tc>
        <w:tc>
          <w:tcPr>
            <w:tcW w:w="1060" w:type="dxa"/>
            <w:tcBorders>
              <w:top w:val="nil"/>
              <w:left w:val="single" w:sz="4" w:space="0" w:color="auto"/>
              <w:bottom w:val="nil"/>
              <w:right w:val="single" w:sz="8" w:space="0" w:color="auto"/>
            </w:tcBorders>
            <w:shd w:val="clear" w:color="auto" w:fill="auto"/>
            <w:noWrap/>
            <w:vAlign w:val="bottom"/>
            <w:hideMark/>
          </w:tcPr>
          <w:p w:rsidR="00242C36" w:rsidRPr="00E43137" w:rsidRDefault="00242C36" w:rsidP="00242C36">
            <w:pPr>
              <w:jc w:val="right"/>
              <w:rPr>
                <w:rFonts w:ascii="Calibri" w:hAnsi="Calibri"/>
                <w:color w:val="000000"/>
                <w:sz w:val="18"/>
                <w:szCs w:val="18"/>
              </w:rPr>
            </w:pPr>
            <w:r w:rsidRPr="00E43137">
              <w:rPr>
                <w:rFonts w:ascii="Calibri" w:hAnsi="Calibri"/>
                <w:color w:val="000000"/>
                <w:sz w:val="18"/>
                <w:szCs w:val="18"/>
              </w:rPr>
              <w:t xml:space="preserve">79,1 </w:t>
            </w:r>
          </w:p>
        </w:tc>
      </w:tr>
      <w:tr w:rsidR="00242C36" w:rsidRPr="00E43137" w:rsidTr="00242C36">
        <w:trPr>
          <w:trHeight w:val="300"/>
        </w:trPr>
        <w:tc>
          <w:tcPr>
            <w:tcW w:w="2815" w:type="dxa"/>
            <w:tcBorders>
              <w:top w:val="nil"/>
              <w:left w:val="single" w:sz="8" w:space="0" w:color="auto"/>
              <w:bottom w:val="single" w:sz="4" w:space="0" w:color="auto"/>
              <w:right w:val="single" w:sz="8" w:space="0" w:color="auto"/>
            </w:tcBorders>
            <w:shd w:val="clear" w:color="auto" w:fill="auto"/>
            <w:noWrap/>
            <w:vAlign w:val="bottom"/>
            <w:hideMark/>
          </w:tcPr>
          <w:p w:rsidR="00242C36" w:rsidRPr="00E43137" w:rsidRDefault="00242C36" w:rsidP="00242C36">
            <w:pPr>
              <w:rPr>
                <w:rFonts w:ascii="Calibri" w:hAnsi="Calibri"/>
                <w:color w:val="000000"/>
                <w:sz w:val="18"/>
                <w:szCs w:val="18"/>
              </w:rPr>
            </w:pPr>
            <w:r w:rsidRPr="00E43137">
              <w:rPr>
                <w:rFonts w:ascii="Calibri" w:hAnsi="Calibri"/>
                <w:color w:val="000000"/>
                <w:sz w:val="18"/>
                <w:szCs w:val="18"/>
              </w:rPr>
              <w:t>Muštové hrozno</w:t>
            </w:r>
          </w:p>
        </w:tc>
        <w:tc>
          <w:tcPr>
            <w:tcW w:w="726" w:type="dxa"/>
            <w:tcBorders>
              <w:top w:val="nil"/>
              <w:left w:val="nil"/>
              <w:bottom w:val="nil"/>
              <w:right w:val="single" w:sz="4" w:space="0" w:color="auto"/>
            </w:tcBorders>
            <w:shd w:val="clear" w:color="auto" w:fill="auto"/>
            <w:noWrap/>
            <w:vAlign w:val="bottom"/>
            <w:hideMark/>
          </w:tcPr>
          <w:p w:rsidR="00242C36" w:rsidRPr="00E43137" w:rsidRDefault="00242C36" w:rsidP="00242C36">
            <w:pPr>
              <w:jc w:val="center"/>
              <w:rPr>
                <w:rFonts w:ascii="Calibri" w:hAnsi="Calibri"/>
                <w:color w:val="000000"/>
                <w:sz w:val="18"/>
                <w:szCs w:val="18"/>
              </w:rPr>
            </w:pPr>
            <w:r w:rsidRPr="00E43137">
              <w:rPr>
                <w:rFonts w:ascii="Calibri" w:hAnsi="Calibri"/>
                <w:color w:val="000000"/>
                <w:sz w:val="18"/>
                <w:szCs w:val="18"/>
              </w:rPr>
              <w:t>tis.</w:t>
            </w:r>
            <w:r>
              <w:rPr>
                <w:rFonts w:ascii="Calibri" w:hAnsi="Calibri"/>
                <w:color w:val="000000"/>
                <w:sz w:val="18"/>
                <w:szCs w:val="18"/>
              </w:rPr>
              <w:t xml:space="preserve"> </w:t>
            </w:r>
            <w:r w:rsidRPr="00E43137">
              <w:rPr>
                <w:rFonts w:ascii="Calibri" w:hAnsi="Calibri"/>
                <w:color w:val="000000"/>
                <w:sz w:val="18"/>
                <w:szCs w:val="18"/>
              </w:rPr>
              <w:t>t</w:t>
            </w:r>
          </w:p>
        </w:tc>
        <w:tc>
          <w:tcPr>
            <w:tcW w:w="828" w:type="dxa"/>
            <w:tcBorders>
              <w:top w:val="nil"/>
              <w:left w:val="nil"/>
              <w:bottom w:val="nil"/>
              <w:right w:val="nil"/>
            </w:tcBorders>
            <w:shd w:val="clear" w:color="auto" w:fill="auto"/>
            <w:noWrap/>
            <w:vAlign w:val="bottom"/>
            <w:hideMark/>
          </w:tcPr>
          <w:p w:rsidR="00242C36" w:rsidRPr="00E43137" w:rsidRDefault="00242C36" w:rsidP="00242C36">
            <w:pPr>
              <w:jc w:val="right"/>
              <w:rPr>
                <w:rFonts w:ascii="Calibri" w:hAnsi="Calibri"/>
                <w:color w:val="000000"/>
                <w:sz w:val="18"/>
                <w:szCs w:val="18"/>
              </w:rPr>
            </w:pPr>
            <w:r w:rsidRPr="00E43137">
              <w:rPr>
                <w:rFonts w:ascii="Calibri" w:hAnsi="Calibri"/>
                <w:color w:val="000000"/>
                <w:sz w:val="18"/>
                <w:szCs w:val="18"/>
              </w:rPr>
              <w:t xml:space="preserve">51,2 </w:t>
            </w:r>
          </w:p>
        </w:tc>
        <w:tc>
          <w:tcPr>
            <w:tcW w:w="828" w:type="dxa"/>
            <w:tcBorders>
              <w:top w:val="nil"/>
              <w:left w:val="single" w:sz="4" w:space="0" w:color="auto"/>
              <w:bottom w:val="nil"/>
              <w:right w:val="nil"/>
            </w:tcBorders>
            <w:shd w:val="clear" w:color="auto" w:fill="auto"/>
            <w:noWrap/>
            <w:vAlign w:val="bottom"/>
            <w:hideMark/>
          </w:tcPr>
          <w:p w:rsidR="00242C36" w:rsidRPr="00E43137" w:rsidRDefault="00242C36" w:rsidP="00242C36">
            <w:pPr>
              <w:jc w:val="right"/>
              <w:rPr>
                <w:rFonts w:ascii="Calibri" w:hAnsi="Calibri"/>
                <w:color w:val="000000"/>
                <w:sz w:val="18"/>
                <w:szCs w:val="18"/>
              </w:rPr>
            </w:pPr>
            <w:r w:rsidRPr="00E43137">
              <w:rPr>
                <w:rFonts w:ascii="Calibri" w:hAnsi="Calibri"/>
                <w:color w:val="000000"/>
                <w:sz w:val="18"/>
                <w:szCs w:val="18"/>
              </w:rPr>
              <w:t xml:space="preserve">41,8 </w:t>
            </w:r>
          </w:p>
        </w:tc>
        <w:tc>
          <w:tcPr>
            <w:tcW w:w="828" w:type="dxa"/>
            <w:tcBorders>
              <w:top w:val="nil"/>
              <w:left w:val="single" w:sz="4" w:space="0" w:color="auto"/>
              <w:bottom w:val="nil"/>
              <w:right w:val="nil"/>
            </w:tcBorders>
            <w:shd w:val="clear" w:color="auto" w:fill="auto"/>
            <w:noWrap/>
            <w:vAlign w:val="bottom"/>
            <w:hideMark/>
          </w:tcPr>
          <w:p w:rsidR="00242C36" w:rsidRPr="00E43137" w:rsidRDefault="00242C36" w:rsidP="00242C36">
            <w:pPr>
              <w:jc w:val="right"/>
              <w:rPr>
                <w:rFonts w:ascii="Calibri" w:hAnsi="Calibri"/>
                <w:color w:val="000000"/>
                <w:sz w:val="18"/>
                <w:szCs w:val="18"/>
              </w:rPr>
            </w:pPr>
            <w:r w:rsidRPr="00E43137">
              <w:rPr>
                <w:rFonts w:ascii="Calibri" w:hAnsi="Calibri"/>
                <w:color w:val="000000"/>
                <w:sz w:val="18"/>
                <w:szCs w:val="18"/>
              </w:rPr>
              <w:t xml:space="preserve">21,0 </w:t>
            </w:r>
          </w:p>
        </w:tc>
        <w:tc>
          <w:tcPr>
            <w:tcW w:w="828" w:type="dxa"/>
            <w:tcBorders>
              <w:top w:val="nil"/>
              <w:left w:val="single" w:sz="4" w:space="0" w:color="auto"/>
              <w:bottom w:val="nil"/>
              <w:right w:val="nil"/>
            </w:tcBorders>
            <w:shd w:val="clear" w:color="auto" w:fill="auto"/>
            <w:noWrap/>
            <w:vAlign w:val="bottom"/>
            <w:hideMark/>
          </w:tcPr>
          <w:p w:rsidR="00242C36" w:rsidRPr="00E43137" w:rsidRDefault="00242C36" w:rsidP="00242C36">
            <w:pPr>
              <w:jc w:val="right"/>
              <w:rPr>
                <w:rFonts w:ascii="Calibri" w:hAnsi="Calibri"/>
                <w:color w:val="000000"/>
                <w:sz w:val="18"/>
                <w:szCs w:val="18"/>
              </w:rPr>
            </w:pPr>
            <w:r w:rsidRPr="00E43137">
              <w:rPr>
                <w:rFonts w:ascii="Calibri" w:hAnsi="Calibri"/>
                <w:color w:val="000000"/>
                <w:sz w:val="18"/>
                <w:szCs w:val="18"/>
              </w:rPr>
              <w:t xml:space="preserve">48,6 </w:t>
            </w:r>
          </w:p>
        </w:tc>
        <w:tc>
          <w:tcPr>
            <w:tcW w:w="828" w:type="dxa"/>
            <w:tcBorders>
              <w:top w:val="nil"/>
              <w:left w:val="single" w:sz="4" w:space="0" w:color="auto"/>
              <w:bottom w:val="nil"/>
              <w:right w:val="nil"/>
            </w:tcBorders>
            <w:shd w:val="clear" w:color="auto" w:fill="auto"/>
            <w:noWrap/>
            <w:vAlign w:val="bottom"/>
            <w:hideMark/>
          </w:tcPr>
          <w:p w:rsidR="00242C36" w:rsidRPr="00E43137" w:rsidRDefault="00242C36" w:rsidP="00242C36">
            <w:pPr>
              <w:jc w:val="right"/>
              <w:rPr>
                <w:rFonts w:ascii="Calibri" w:hAnsi="Calibri"/>
                <w:color w:val="000000"/>
                <w:sz w:val="18"/>
                <w:szCs w:val="18"/>
              </w:rPr>
            </w:pPr>
            <w:r w:rsidRPr="00E43137">
              <w:rPr>
                <w:rFonts w:ascii="Calibri" w:hAnsi="Calibri"/>
                <w:color w:val="000000"/>
                <w:sz w:val="18"/>
                <w:szCs w:val="18"/>
              </w:rPr>
              <w:t xml:space="preserve">51,6 </w:t>
            </w:r>
          </w:p>
        </w:tc>
        <w:tc>
          <w:tcPr>
            <w:tcW w:w="1060" w:type="dxa"/>
            <w:tcBorders>
              <w:top w:val="nil"/>
              <w:left w:val="single" w:sz="4" w:space="0" w:color="auto"/>
              <w:bottom w:val="nil"/>
              <w:right w:val="single" w:sz="8" w:space="0" w:color="auto"/>
            </w:tcBorders>
            <w:shd w:val="clear" w:color="auto" w:fill="auto"/>
            <w:noWrap/>
            <w:vAlign w:val="bottom"/>
            <w:hideMark/>
          </w:tcPr>
          <w:p w:rsidR="00242C36" w:rsidRPr="00E43137" w:rsidRDefault="00242C36" w:rsidP="00242C36">
            <w:pPr>
              <w:jc w:val="right"/>
              <w:rPr>
                <w:rFonts w:ascii="Calibri" w:hAnsi="Calibri"/>
                <w:color w:val="000000"/>
                <w:sz w:val="18"/>
                <w:szCs w:val="18"/>
              </w:rPr>
            </w:pPr>
            <w:r w:rsidRPr="00E43137">
              <w:rPr>
                <w:rFonts w:ascii="Calibri" w:hAnsi="Calibri"/>
                <w:color w:val="000000"/>
                <w:sz w:val="18"/>
                <w:szCs w:val="18"/>
              </w:rPr>
              <w:t xml:space="preserve">106,2 </w:t>
            </w:r>
          </w:p>
        </w:tc>
      </w:tr>
      <w:tr w:rsidR="00242C36" w:rsidRPr="00E43137" w:rsidTr="00242C36">
        <w:trPr>
          <w:trHeight w:val="300"/>
        </w:trPr>
        <w:tc>
          <w:tcPr>
            <w:tcW w:w="2815" w:type="dxa"/>
            <w:tcBorders>
              <w:top w:val="nil"/>
              <w:left w:val="single" w:sz="8" w:space="0" w:color="auto"/>
              <w:bottom w:val="nil"/>
              <w:right w:val="single" w:sz="8" w:space="0" w:color="auto"/>
            </w:tcBorders>
            <w:shd w:val="clear" w:color="auto" w:fill="auto"/>
            <w:noWrap/>
            <w:vAlign w:val="bottom"/>
            <w:hideMark/>
          </w:tcPr>
          <w:p w:rsidR="00242C36" w:rsidRPr="00020977" w:rsidRDefault="00242C36" w:rsidP="00242C36">
            <w:pPr>
              <w:rPr>
                <w:rFonts w:ascii="Calibri" w:hAnsi="Calibri"/>
                <w:sz w:val="18"/>
                <w:szCs w:val="18"/>
              </w:rPr>
            </w:pPr>
            <w:r w:rsidRPr="00020977">
              <w:rPr>
                <w:rFonts w:ascii="Calibri" w:hAnsi="Calibri"/>
                <w:sz w:val="18"/>
                <w:szCs w:val="18"/>
              </w:rPr>
              <w:t>Ovocie v sadoch</w:t>
            </w:r>
          </w:p>
        </w:tc>
        <w:tc>
          <w:tcPr>
            <w:tcW w:w="726" w:type="dxa"/>
            <w:tcBorders>
              <w:top w:val="nil"/>
              <w:left w:val="nil"/>
              <w:bottom w:val="nil"/>
              <w:right w:val="single" w:sz="4" w:space="0" w:color="auto"/>
            </w:tcBorders>
            <w:shd w:val="clear" w:color="auto" w:fill="auto"/>
            <w:noWrap/>
            <w:vAlign w:val="bottom"/>
            <w:hideMark/>
          </w:tcPr>
          <w:p w:rsidR="00242C36" w:rsidRPr="00020977" w:rsidRDefault="00242C36" w:rsidP="00242C36">
            <w:pPr>
              <w:jc w:val="center"/>
              <w:rPr>
                <w:rFonts w:ascii="Calibri" w:hAnsi="Calibri"/>
                <w:sz w:val="18"/>
                <w:szCs w:val="18"/>
              </w:rPr>
            </w:pPr>
            <w:r w:rsidRPr="00020977">
              <w:rPr>
                <w:rFonts w:ascii="Calibri" w:hAnsi="Calibri"/>
                <w:sz w:val="18"/>
                <w:szCs w:val="18"/>
              </w:rPr>
              <w:t>tis. t</w:t>
            </w:r>
          </w:p>
        </w:tc>
        <w:tc>
          <w:tcPr>
            <w:tcW w:w="828" w:type="dxa"/>
            <w:tcBorders>
              <w:top w:val="nil"/>
              <w:left w:val="nil"/>
              <w:bottom w:val="nil"/>
              <w:right w:val="nil"/>
            </w:tcBorders>
            <w:shd w:val="clear" w:color="auto" w:fill="auto"/>
            <w:noWrap/>
            <w:vAlign w:val="bottom"/>
            <w:hideMark/>
          </w:tcPr>
          <w:p w:rsidR="00242C36" w:rsidRPr="00020977" w:rsidRDefault="00242C36" w:rsidP="00242C36">
            <w:pPr>
              <w:jc w:val="right"/>
              <w:rPr>
                <w:rFonts w:ascii="Calibri" w:hAnsi="Calibri"/>
                <w:sz w:val="18"/>
                <w:szCs w:val="18"/>
              </w:rPr>
            </w:pPr>
            <w:r w:rsidRPr="00020977">
              <w:rPr>
                <w:rFonts w:ascii="Calibri" w:hAnsi="Calibri"/>
                <w:sz w:val="18"/>
                <w:szCs w:val="18"/>
              </w:rPr>
              <w:t xml:space="preserve">48,8 </w:t>
            </w:r>
          </w:p>
        </w:tc>
        <w:tc>
          <w:tcPr>
            <w:tcW w:w="828" w:type="dxa"/>
            <w:tcBorders>
              <w:top w:val="nil"/>
              <w:left w:val="single" w:sz="4" w:space="0" w:color="auto"/>
              <w:bottom w:val="nil"/>
              <w:right w:val="nil"/>
            </w:tcBorders>
            <w:shd w:val="clear" w:color="auto" w:fill="auto"/>
            <w:noWrap/>
            <w:vAlign w:val="bottom"/>
            <w:hideMark/>
          </w:tcPr>
          <w:p w:rsidR="00242C36" w:rsidRPr="00020977" w:rsidRDefault="00242C36" w:rsidP="00242C36">
            <w:pPr>
              <w:jc w:val="right"/>
              <w:rPr>
                <w:rFonts w:ascii="Calibri" w:hAnsi="Calibri"/>
                <w:sz w:val="18"/>
                <w:szCs w:val="18"/>
              </w:rPr>
            </w:pPr>
            <w:r w:rsidRPr="00020977">
              <w:rPr>
                <w:rFonts w:ascii="Calibri" w:hAnsi="Calibri"/>
                <w:sz w:val="18"/>
                <w:szCs w:val="18"/>
              </w:rPr>
              <w:t xml:space="preserve">46,3 </w:t>
            </w:r>
          </w:p>
        </w:tc>
        <w:tc>
          <w:tcPr>
            <w:tcW w:w="828" w:type="dxa"/>
            <w:tcBorders>
              <w:top w:val="nil"/>
              <w:left w:val="single" w:sz="4" w:space="0" w:color="auto"/>
              <w:bottom w:val="nil"/>
              <w:right w:val="nil"/>
            </w:tcBorders>
            <w:shd w:val="clear" w:color="auto" w:fill="auto"/>
            <w:noWrap/>
            <w:vAlign w:val="bottom"/>
            <w:hideMark/>
          </w:tcPr>
          <w:p w:rsidR="00242C36" w:rsidRPr="00020977" w:rsidRDefault="00242C36" w:rsidP="00242C36">
            <w:pPr>
              <w:jc w:val="right"/>
              <w:rPr>
                <w:rFonts w:ascii="Calibri" w:hAnsi="Calibri"/>
                <w:sz w:val="18"/>
                <w:szCs w:val="18"/>
              </w:rPr>
            </w:pPr>
            <w:r w:rsidRPr="00020977">
              <w:rPr>
                <w:rFonts w:ascii="Calibri" w:hAnsi="Calibri"/>
                <w:sz w:val="18"/>
                <w:szCs w:val="18"/>
              </w:rPr>
              <w:t xml:space="preserve">40,5 </w:t>
            </w:r>
          </w:p>
        </w:tc>
        <w:tc>
          <w:tcPr>
            <w:tcW w:w="828" w:type="dxa"/>
            <w:tcBorders>
              <w:top w:val="nil"/>
              <w:left w:val="single" w:sz="4" w:space="0" w:color="auto"/>
              <w:bottom w:val="nil"/>
              <w:right w:val="nil"/>
            </w:tcBorders>
            <w:shd w:val="clear" w:color="auto" w:fill="auto"/>
            <w:noWrap/>
            <w:vAlign w:val="bottom"/>
            <w:hideMark/>
          </w:tcPr>
          <w:p w:rsidR="00242C36" w:rsidRPr="00020977" w:rsidRDefault="00242C36" w:rsidP="00242C36">
            <w:pPr>
              <w:jc w:val="right"/>
              <w:rPr>
                <w:rFonts w:ascii="Calibri" w:hAnsi="Calibri"/>
                <w:sz w:val="18"/>
                <w:szCs w:val="18"/>
              </w:rPr>
            </w:pPr>
            <w:r w:rsidRPr="00020977">
              <w:rPr>
                <w:rFonts w:ascii="Calibri" w:hAnsi="Calibri"/>
                <w:sz w:val="18"/>
                <w:szCs w:val="18"/>
              </w:rPr>
              <w:t xml:space="preserve">37,2 </w:t>
            </w:r>
          </w:p>
        </w:tc>
        <w:tc>
          <w:tcPr>
            <w:tcW w:w="828" w:type="dxa"/>
            <w:tcBorders>
              <w:top w:val="nil"/>
              <w:left w:val="single" w:sz="4" w:space="0" w:color="auto"/>
              <w:bottom w:val="nil"/>
              <w:right w:val="nil"/>
            </w:tcBorders>
            <w:shd w:val="clear" w:color="auto" w:fill="auto"/>
            <w:noWrap/>
            <w:vAlign w:val="bottom"/>
            <w:hideMark/>
          </w:tcPr>
          <w:p w:rsidR="00242C36" w:rsidRPr="00020977" w:rsidRDefault="00242C36" w:rsidP="00242C36">
            <w:pPr>
              <w:jc w:val="right"/>
              <w:rPr>
                <w:rFonts w:ascii="Calibri" w:hAnsi="Calibri"/>
                <w:sz w:val="18"/>
                <w:szCs w:val="18"/>
              </w:rPr>
            </w:pPr>
            <w:r w:rsidRPr="00020977">
              <w:rPr>
                <w:rFonts w:ascii="Calibri" w:hAnsi="Calibri"/>
                <w:sz w:val="18"/>
                <w:szCs w:val="18"/>
              </w:rPr>
              <w:t xml:space="preserve">50,3 </w:t>
            </w:r>
          </w:p>
        </w:tc>
        <w:tc>
          <w:tcPr>
            <w:tcW w:w="1060" w:type="dxa"/>
            <w:tcBorders>
              <w:top w:val="nil"/>
              <w:left w:val="single" w:sz="4" w:space="0" w:color="auto"/>
              <w:bottom w:val="nil"/>
              <w:right w:val="single" w:sz="8" w:space="0" w:color="auto"/>
            </w:tcBorders>
            <w:shd w:val="clear" w:color="auto" w:fill="auto"/>
            <w:noWrap/>
            <w:vAlign w:val="bottom"/>
            <w:hideMark/>
          </w:tcPr>
          <w:p w:rsidR="00242C36" w:rsidRPr="00020977" w:rsidRDefault="00242C36" w:rsidP="00242C36">
            <w:pPr>
              <w:jc w:val="right"/>
              <w:rPr>
                <w:rFonts w:ascii="Calibri" w:hAnsi="Calibri"/>
                <w:sz w:val="18"/>
                <w:szCs w:val="18"/>
              </w:rPr>
            </w:pPr>
            <w:r w:rsidRPr="00020977">
              <w:rPr>
                <w:rFonts w:ascii="Calibri" w:hAnsi="Calibri"/>
                <w:sz w:val="18"/>
                <w:szCs w:val="18"/>
              </w:rPr>
              <w:t xml:space="preserve">135,2 </w:t>
            </w:r>
          </w:p>
        </w:tc>
      </w:tr>
      <w:tr w:rsidR="00242C36" w:rsidRPr="00E43137" w:rsidTr="00242C36">
        <w:trPr>
          <w:trHeight w:val="300"/>
        </w:trPr>
        <w:tc>
          <w:tcPr>
            <w:tcW w:w="2815" w:type="dxa"/>
            <w:tcBorders>
              <w:top w:val="nil"/>
              <w:left w:val="single" w:sz="8" w:space="0" w:color="auto"/>
              <w:right w:val="single" w:sz="8" w:space="0" w:color="auto"/>
            </w:tcBorders>
            <w:shd w:val="clear" w:color="auto" w:fill="auto"/>
            <w:noWrap/>
            <w:vAlign w:val="bottom"/>
            <w:hideMark/>
          </w:tcPr>
          <w:p w:rsidR="00242C36" w:rsidRPr="00020977" w:rsidRDefault="00242C36" w:rsidP="00242C36">
            <w:pPr>
              <w:rPr>
                <w:rFonts w:ascii="Calibri" w:hAnsi="Calibri"/>
                <w:sz w:val="18"/>
                <w:szCs w:val="18"/>
              </w:rPr>
            </w:pPr>
            <w:r w:rsidRPr="00020977">
              <w:rPr>
                <w:rFonts w:ascii="Calibri" w:hAnsi="Calibri"/>
                <w:sz w:val="18"/>
                <w:szCs w:val="18"/>
              </w:rPr>
              <w:t>Ovocie spolu</w:t>
            </w:r>
          </w:p>
        </w:tc>
        <w:tc>
          <w:tcPr>
            <w:tcW w:w="726" w:type="dxa"/>
            <w:tcBorders>
              <w:top w:val="nil"/>
              <w:left w:val="nil"/>
              <w:right w:val="single" w:sz="4" w:space="0" w:color="auto"/>
            </w:tcBorders>
            <w:shd w:val="clear" w:color="auto" w:fill="auto"/>
            <w:noWrap/>
            <w:vAlign w:val="bottom"/>
            <w:hideMark/>
          </w:tcPr>
          <w:p w:rsidR="00242C36" w:rsidRPr="00020977" w:rsidRDefault="00242C36" w:rsidP="00242C36">
            <w:pPr>
              <w:jc w:val="center"/>
              <w:rPr>
                <w:rFonts w:ascii="Calibri" w:hAnsi="Calibri"/>
                <w:sz w:val="18"/>
                <w:szCs w:val="18"/>
              </w:rPr>
            </w:pPr>
            <w:r w:rsidRPr="00020977">
              <w:rPr>
                <w:rFonts w:ascii="Calibri" w:hAnsi="Calibri"/>
                <w:sz w:val="18"/>
                <w:szCs w:val="18"/>
              </w:rPr>
              <w:t>tis. t</w:t>
            </w:r>
          </w:p>
        </w:tc>
        <w:tc>
          <w:tcPr>
            <w:tcW w:w="828" w:type="dxa"/>
            <w:tcBorders>
              <w:top w:val="nil"/>
              <w:left w:val="nil"/>
              <w:right w:val="nil"/>
            </w:tcBorders>
            <w:shd w:val="clear" w:color="auto" w:fill="auto"/>
            <w:noWrap/>
            <w:vAlign w:val="bottom"/>
            <w:hideMark/>
          </w:tcPr>
          <w:p w:rsidR="00242C36" w:rsidRPr="00020977" w:rsidRDefault="00242C36" w:rsidP="00242C36">
            <w:pPr>
              <w:jc w:val="right"/>
              <w:rPr>
                <w:rFonts w:ascii="Calibri" w:hAnsi="Calibri"/>
                <w:sz w:val="18"/>
                <w:szCs w:val="18"/>
              </w:rPr>
            </w:pPr>
            <w:r w:rsidRPr="00020977">
              <w:rPr>
                <w:rFonts w:ascii="Calibri" w:hAnsi="Calibri"/>
                <w:sz w:val="18"/>
                <w:szCs w:val="18"/>
              </w:rPr>
              <w:t xml:space="preserve">75,6 </w:t>
            </w:r>
          </w:p>
        </w:tc>
        <w:tc>
          <w:tcPr>
            <w:tcW w:w="828" w:type="dxa"/>
            <w:tcBorders>
              <w:top w:val="nil"/>
              <w:left w:val="single" w:sz="4" w:space="0" w:color="auto"/>
              <w:right w:val="nil"/>
            </w:tcBorders>
            <w:shd w:val="clear" w:color="auto" w:fill="auto"/>
            <w:noWrap/>
            <w:vAlign w:val="bottom"/>
            <w:hideMark/>
          </w:tcPr>
          <w:p w:rsidR="00242C36" w:rsidRPr="00020977" w:rsidRDefault="00242C36" w:rsidP="00242C36">
            <w:pPr>
              <w:jc w:val="right"/>
              <w:rPr>
                <w:rFonts w:ascii="Calibri" w:hAnsi="Calibri"/>
                <w:sz w:val="18"/>
                <w:szCs w:val="18"/>
              </w:rPr>
            </w:pPr>
            <w:r w:rsidRPr="00020977">
              <w:rPr>
                <w:rFonts w:ascii="Calibri" w:hAnsi="Calibri"/>
                <w:sz w:val="18"/>
                <w:szCs w:val="18"/>
              </w:rPr>
              <w:t xml:space="preserve">69,1 </w:t>
            </w:r>
          </w:p>
        </w:tc>
        <w:tc>
          <w:tcPr>
            <w:tcW w:w="828" w:type="dxa"/>
            <w:tcBorders>
              <w:top w:val="nil"/>
              <w:left w:val="single" w:sz="4" w:space="0" w:color="auto"/>
              <w:right w:val="nil"/>
            </w:tcBorders>
            <w:shd w:val="clear" w:color="auto" w:fill="auto"/>
            <w:noWrap/>
            <w:vAlign w:val="bottom"/>
            <w:hideMark/>
          </w:tcPr>
          <w:p w:rsidR="00242C36" w:rsidRPr="00020977" w:rsidRDefault="00242C36" w:rsidP="00242C36">
            <w:pPr>
              <w:jc w:val="right"/>
              <w:rPr>
                <w:rFonts w:ascii="Calibri" w:hAnsi="Calibri"/>
                <w:sz w:val="18"/>
                <w:szCs w:val="18"/>
              </w:rPr>
            </w:pPr>
            <w:r w:rsidRPr="00020977">
              <w:rPr>
                <w:rFonts w:ascii="Calibri" w:hAnsi="Calibri"/>
                <w:sz w:val="18"/>
                <w:szCs w:val="18"/>
              </w:rPr>
              <w:t xml:space="preserve">58,7 </w:t>
            </w:r>
          </w:p>
        </w:tc>
        <w:tc>
          <w:tcPr>
            <w:tcW w:w="828" w:type="dxa"/>
            <w:tcBorders>
              <w:top w:val="nil"/>
              <w:left w:val="single" w:sz="4" w:space="0" w:color="auto"/>
              <w:right w:val="nil"/>
            </w:tcBorders>
            <w:shd w:val="clear" w:color="auto" w:fill="auto"/>
            <w:noWrap/>
            <w:vAlign w:val="bottom"/>
            <w:hideMark/>
          </w:tcPr>
          <w:p w:rsidR="00242C36" w:rsidRPr="00020977" w:rsidRDefault="00242C36" w:rsidP="00242C36">
            <w:pPr>
              <w:jc w:val="right"/>
              <w:rPr>
                <w:rFonts w:ascii="Calibri" w:hAnsi="Calibri"/>
                <w:sz w:val="18"/>
                <w:szCs w:val="18"/>
              </w:rPr>
            </w:pPr>
            <w:r w:rsidRPr="00020977">
              <w:rPr>
                <w:rFonts w:ascii="Calibri" w:hAnsi="Calibri"/>
                <w:sz w:val="18"/>
                <w:szCs w:val="18"/>
              </w:rPr>
              <w:t xml:space="preserve">50,7 </w:t>
            </w:r>
          </w:p>
        </w:tc>
        <w:tc>
          <w:tcPr>
            <w:tcW w:w="828" w:type="dxa"/>
            <w:tcBorders>
              <w:top w:val="nil"/>
              <w:left w:val="single" w:sz="4" w:space="0" w:color="auto"/>
              <w:right w:val="nil"/>
            </w:tcBorders>
            <w:shd w:val="clear" w:color="auto" w:fill="auto"/>
            <w:noWrap/>
            <w:vAlign w:val="bottom"/>
            <w:hideMark/>
          </w:tcPr>
          <w:p w:rsidR="00242C36" w:rsidRPr="00020977" w:rsidRDefault="00242C36" w:rsidP="00242C36">
            <w:pPr>
              <w:jc w:val="right"/>
              <w:rPr>
                <w:rFonts w:ascii="Calibri" w:hAnsi="Calibri"/>
                <w:sz w:val="18"/>
                <w:szCs w:val="18"/>
              </w:rPr>
            </w:pPr>
            <w:r w:rsidRPr="00020977">
              <w:rPr>
                <w:rFonts w:ascii="Calibri" w:hAnsi="Calibri"/>
                <w:sz w:val="18"/>
                <w:szCs w:val="18"/>
              </w:rPr>
              <w:t xml:space="preserve">63,0 </w:t>
            </w:r>
          </w:p>
        </w:tc>
        <w:tc>
          <w:tcPr>
            <w:tcW w:w="1060" w:type="dxa"/>
            <w:tcBorders>
              <w:top w:val="nil"/>
              <w:left w:val="single" w:sz="4" w:space="0" w:color="auto"/>
              <w:right w:val="single" w:sz="8" w:space="0" w:color="auto"/>
            </w:tcBorders>
            <w:shd w:val="clear" w:color="auto" w:fill="auto"/>
            <w:noWrap/>
            <w:vAlign w:val="bottom"/>
            <w:hideMark/>
          </w:tcPr>
          <w:p w:rsidR="00242C36" w:rsidRPr="00020977" w:rsidRDefault="00242C36" w:rsidP="00242C36">
            <w:pPr>
              <w:jc w:val="right"/>
              <w:rPr>
                <w:rFonts w:ascii="Calibri" w:hAnsi="Calibri"/>
                <w:sz w:val="18"/>
                <w:szCs w:val="18"/>
              </w:rPr>
            </w:pPr>
            <w:r w:rsidRPr="00020977">
              <w:rPr>
                <w:rFonts w:ascii="Calibri" w:hAnsi="Calibri"/>
                <w:sz w:val="18"/>
                <w:szCs w:val="18"/>
              </w:rPr>
              <w:t xml:space="preserve">124,3 </w:t>
            </w:r>
          </w:p>
        </w:tc>
      </w:tr>
      <w:tr w:rsidR="00242C36" w:rsidRPr="00E43137" w:rsidTr="00242C36">
        <w:trPr>
          <w:trHeight w:val="315"/>
        </w:trPr>
        <w:tc>
          <w:tcPr>
            <w:tcW w:w="2815" w:type="dxa"/>
            <w:tcBorders>
              <w:top w:val="nil"/>
              <w:left w:val="single" w:sz="8" w:space="0" w:color="auto"/>
              <w:right w:val="single" w:sz="8" w:space="0" w:color="auto"/>
            </w:tcBorders>
            <w:shd w:val="clear" w:color="auto" w:fill="auto"/>
            <w:noWrap/>
            <w:vAlign w:val="bottom"/>
            <w:hideMark/>
          </w:tcPr>
          <w:p w:rsidR="00242C36" w:rsidRPr="00020977" w:rsidRDefault="00242C36" w:rsidP="00242C36">
            <w:pPr>
              <w:rPr>
                <w:rFonts w:ascii="Calibri" w:hAnsi="Calibri"/>
                <w:sz w:val="18"/>
                <w:szCs w:val="18"/>
              </w:rPr>
            </w:pPr>
            <w:r w:rsidRPr="00020977">
              <w:rPr>
                <w:rFonts w:ascii="Calibri" w:hAnsi="Calibri"/>
                <w:sz w:val="18"/>
                <w:szCs w:val="18"/>
              </w:rPr>
              <w:t>Zelenina na ornej pôde</w:t>
            </w:r>
          </w:p>
        </w:tc>
        <w:tc>
          <w:tcPr>
            <w:tcW w:w="726" w:type="dxa"/>
            <w:tcBorders>
              <w:top w:val="nil"/>
              <w:left w:val="nil"/>
              <w:right w:val="single" w:sz="4" w:space="0" w:color="auto"/>
            </w:tcBorders>
            <w:shd w:val="clear" w:color="auto" w:fill="auto"/>
            <w:noWrap/>
            <w:vAlign w:val="bottom"/>
            <w:hideMark/>
          </w:tcPr>
          <w:p w:rsidR="00242C36" w:rsidRPr="00020977" w:rsidRDefault="00242C36" w:rsidP="00242C36">
            <w:pPr>
              <w:jc w:val="center"/>
              <w:rPr>
                <w:rFonts w:ascii="Calibri" w:hAnsi="Calibri"/>
                <w:sz w:val="18"/>
                <w:szCs w:val="18"/>
              </w:rPr>
            </w:pPr>
            <w:r w:rsidRPr="00020977">
              <w:rPr>
                <w:rFonts w:ascii="Calibri" w:hAnsi="Calibri"/>
                <w:sz w:val="18"/>
                <w:szCs w:val="18"/>
              </w:rPr>
              <w:t>tis. t</w:t>
            </w:r>
          </w:p>
        </w:tc>
        <w:tc>
          <w:tcPr>
            <w:tcW w:w="828" w:type="dxa"/>
            <w:tcBorders>
              <w:top w:val="nil"/>
              <w:left w:val="nil"/>
              <w:right w:val="nil"/>
            </w:tcBorders>
            <w:shd w:val="clear" w:color="auto" w:fill="auto"/>
            <w:noWrap/>
            <w:vAlign w:val="bottom"/>
            <w:hideMark/>
          </w:tcPr>
          <w:p w:rsidR="00242C36" w:rsidRPr="00020977" w:rsidRDefault="00242C36" w:rsidP="00242C36">
            <w:pPr>
              <w:ind w:right="57"/>
              <w:jc w:val="right"/>
              <w:rPr>
                <w:rFonts w:eastAsia="Arial Unicode MS"/>
                <w:sz w:val="20"/>
                <w:szCs w:val="20"/>
              </w:rPr>
            </w:pPr>
            <w:r w:rsidRPr="00020977">
              <w:rPr>
                <w:sz w:val="20"/>
                <w:szCs w:val="20"/>
              </w:rPr>
              <w:t>117,8</w:t>
            </w:r>
          </w:p>
        </w:tc>
        <w:tc>
          <w:tcPr>
            <w:tcW w:w="828" w:type="dxa"/>
            <w:tcBorders>
              <w:top w:val="nil"/>
              <w:left w:val="single" w:sz="4" w:space="0" w:color="auto"/>
              <w:right w:val="nil"/>
            </w:tcBorders>
            <w:shd w:val="clear" w:color="auto" w:fill="auto"/>
            <w:noWrap/>
            <w:vAlign w:val="bottom"/>
            <w:hideMark/>
          </w:tcPr>
          <w:p w:rsidR="00242C36" w:rsidRPr="00020977" w:rsidRDefault="00242C36" w:rsidP="00242C36">
            <w:pPr>
              <w:ind w:right="57"/>
              <w:jc w:val="right"/>
              <w:rPr>
                <w:sz w:val="20"/>
                <w:szCs w:val="20"/>
              </w:rPr>
            </w:pPr>
            <w:r w:rsidRPr="00020977">
              <w:rPr>
                <w:sz w:val="20"/>
                <w:szCs w:val="20"/>
              </w:rPr>
              <w:t>97,3</w:t>
            </w:r>
          </w:p>
        </w:tc>
        <w:tc>
          <w:tcPr>
            <w:tcW w:w="828" w:type="dxa"/>
            <w:tcBorders>
              <w:top w:val="nil"/>
              <w:left w:val="single" w:sz="4" w:space="0" w:color="auto"/>
              <w:right w:val="nil"/>
            </w:tcBorders>
            <w:shd w:val="clear" w:color="auto" w:fill="auto"/>
            <w:noWrap/>
            <w:vAlign w:val="bottom"/>
            <w:hideMark/>
          </w:tcPr>
          <w:p w:rsidR="00242C36" w:rsidRPr="00020977" w:rsidRDefault="00242C36" w:rsidP="00242C36">
            <w:pPr>
              <w:ind w:right="57"/>
              <w:jc w:val="right"/>
              <w:rPr>
                <w:sz w:val="20"/>
                <w:szCs w:val="20"/>
              </w:rPr>
            </w:pPr>
            <w:r w:rsidRPr="00020977">
              <w:rPr>
                <w:sz w:val="20"/>
                <w:szCs w:val="20"/>
              </w:rPr>
              <w:t>77,7</w:t>
            </w:r>
          </w:p>
        </w:tc>
        <w:tc>
          <w:tcPr>
            <w:tcW w:w="828" w:type="dxa"/>
            <w:tcBorders>
              <w:top w:val="nil"/>
              <w:left w:val="single" w:sz="4" w:space="0" w:color="auto"/>
              <w:right w:val="nil"/>
            </w:tcBorders>
            <w:shd w:val="clear" w:color="auto" w:fill="auto"/>
            <w:noWrap/>
            <w:vAlign w:val="bottom"/>
            <w:hideMark/>
          </w:tcPr>
          <w:p w:rsidR="00242C36" w:rsidRPr="00020977" w:rsidRDefault="00242C36" w:rsidP="00242C36">
            <w:pPr>
              <w:ind w:right="57"/>
              <w:jc w:val="right"/>
              <w:rPr>
                <w:sz w:val="20"/>
                <w:szCs w:val="20"/>
              </w:rPr>
            </w:pPr>
            <w:r w:rsidRPr="00020977">
              <w:rPr>
                <w:sz w:val="20"/>
                <w:szCs w:val="20"/>
              </w:rPr>
              <w:t>108,6</w:t>
            </w:r>
          </w:p>
        </w:tc>
        <w:tc>
          <w:tcPr>
            <w:tcW w:w="828" w:type="dxa"/>
            <w:tcBorders>
              <w:top w:val="nil"/>
              <w:left w:val="single" w:sz="4" w:space="0" w:color="auto"/>
              <w:right w:val="nil"/>
            </w:tcBorders>
            <w:shd w:val="clear" w:color="auto" w:fill="auto"/>
            <w:noWrap/>
            <w:vAlign w:val="bottom"/>
            <w:hideMark/>
          </w:tcPr>
          <w:p w:rsidR="00242C36" w:rsidRPr="00020977" w:rsidRDefault="00242C36" w:rsidP="00242C36">
            <w:pPr>
              <w:ind w:right="57"/>
              <w:jc w:val="right"/>
              <w:rPr>
                <w:sz w:val="20"/>
                <w:szCs w:val="20"/>
              </w:rPr>
            </w:pPr>
            <w:r w:rsidRPr="00020977">
              <w:rPr>
                <w:sz w:val="20"/>
                <w:szCs w:val="20"/>
              </w:rPr>
              <w:t>90,8</w:t>
            </w:r>
          </w:p>
        </w:tc>
        <w:tc>
          <w:tcPr>
            <w:tcW w:w="1060" w:type="dxa"/>
            <w:tcBorders>
              <w:top w:val="nil"/>
              <w:left w:val="single" w:sz="4" w:space="0" w:color="auto"/>
              <w:right w:val="single" w:sz="8" w:space="0" w:color="auto"/>
            </w:tcBorders>
            <w:shd w:val="clear" w:color="auto" w:fill="auto"/>
            <w:noWrap/>
            <w:vAlign w:val="bottom"/>
            <w:hideMark/>
          </w:tcPr>
          <w:p w:rsidR="00242C36" w:rsidRPr="00020977" w:rsidRDefault="00242C36" w:rsidP="00242C36">
            <w:pPr>
              <w:jc w:val="right"/>
              <w:rPr>
                <w:sz w:val="20"/>
                <w:szCs w:val="20"/>
              </w:rPr>
            </w:pPr>
            <w:r w:rsidRPr="00020977">
              <w:rPr>
                <w:sz w:val="20"/>
                <w:szCs w:val="20"/>
              </w:rPr>
              <w:t>83,6</w:t>
            </w:r>
          </w:p>
        </w:tc>
      </w:tr>
      <w:tr w:rsidR="00242C36" w:rsidRPr="00E43137" w:rsidTr="00242C36">
        <w:trPr>
          <w:trHeight w:val="315"/>
        </w:trPr>
        <w:tc>
          <w:tcPr>
            <w:tcW w:w="2815" w:type="dxa"/>
            <w:tcBorders>
              <w:top w:val="nil"/>
              <w:left w:val="single" w:sz="8" w:space="0" w:color="auto"/>
              <w:bottom w:val="single" w:sz="8" w:space="0" w:color="auto"/>
              <w:right w:val="single" w:sz="8" w:space="0" w:color="auto"/>
            </w:tcBorders>
            <w:shd w:val="clear" w:color="auto" w:fill="auto"/>
            <w:noWrap/>
            <w:vAlign w:val="bottom"/>
            <w:hideMark/>
          </w:tcPr>
          <w:p w:rsidR="00242C36" w:rsidRPr="00020977" w:rsidRDefault="00242C36" w:rsidP="00242C36">
            <w:pPr>
              <w:rPr>
                <w:rFonts w:ascii="Calibri" w:hAnsi="Calibri"/>
                <w:sz w:val="18"/>
                <w:szCs w:val="18"/>
              </w:rPr>
            </w:pPr>
            <w:r w:rsidRPr="00020977">
              <w:rPr>
                <w:rFonts w:ascii="Calibri" w:hAnsi="Calibri"/>
                <w:sz w:val="18"/>
                <w:szCs w:val="18"/>
              </w:rPr>
              <w:t>Zelenina spolu</w:t>
            </w:r>
          </w:p>
        </w:tc>
        <w:tc>
          <w:tcPr>
            <w:tcW w:w="726" w:type="dxa"/>
            <w:tcBorders>
              <w:top w:val="nil"/>
              <w:left w:val="nil"/>
              <w:bottom w:val="single" w:sz="8" w:space="0" w:color="auto"/>
              <w:right w:val="single" w:sz="4" w:space="0" w:color="auto"/>
            </w:tcBorders>
            <w:shd w:val="clear" w:color="auto" w:fill="auto"/>
            <w:noWrap/>
            <w:vAlign w:val="bottom"/>
            <w:hideMark/>
          </w:tcPr>
          <w:p w:rsidR="00242C36" w:rsidRPr="00020977" w:rsidRDefault="00242C36" w:rsidP="00242C36">
            <w:pPr>
              <w:jc w:val="center"/>
              <w:rPr>
                <w:rFonts w:ascii="Calibri" w:hAnsi="Calibri"/>
                <w:sz w:val="18"/>
                <w:szCs w:val="18"/>
              </w:rPr>
            </w:pPr>
            <w:r w:rsidRPr="00020977">
              <w:rPr>
                <w:rFonts w:ascii="Calibri" w:hAnsi="Calibri"/>
                <w:sz w:val="18"/>
                <w:szCs w:val="18"/>
              </w:rPr>
              <w:t>tis. t</w:t>
            </w:r>
          </w:p>
        </w:tc>
        <w:tc>
          <w:tcPr>
            <w:tcW w:w="828" w:type="dxa"/>
            <w:tcBorders>
              <w:top w:val="nil"/>
              <w:left w:val="nil"/>
              <w:bottom w:val="single" w:sz="8" w:space="0" w:color="auto"/>
              <w:right w:val="nil"/>
            </w:tcBorders>
            <w:shd w:val="clear" w:color="auto" w:fill="auto"/>
            <w:noWrap/>
            <w:vAlign w:val="bottom"/>
            <w:hideMark/>
          </w:tcPr>
          <w:p w:rsidR="00242C36" w:rsidRPr="00020977" w:rsidRDefault="00242C36" w:rsidP="00242C36">
            <w:pPr>
              <w:jc w:val="right"/>
              <w:rPr>
                <w:rFonts w:ascii="Calibri" w:hAnsi="Calibri"/>
                <w:sz w:val="18"/>
                <w:szCs w:val="18"/>
              </w:rPr>
            </w:pPr>
            <w:r w:rsidRPr="00020977">
              <w:rPr>
                <w:rFonts w:ascii="Calibri" w:hAnsi="Calibri"/>
                <w:sz w:val="18"/>
                <w:szCs w:val="18"/>
              </w:rPr>
              <w:t xml:space="preserve">333,0 </w:t>
            </w:r>
          </w:p>
        </w:tc>
        <w:tc>
          <w:tcPr>
            <w:tcW w:w="828" w:type="dxa"/>
            <w:tcBorders>
              <w:top w:val="nil"/>
              <w:left w:val="single" w:sz="4" w:space="0" w:color="auto"/>
              <w:bottom w:val="single" w:sz="8" w:space="0" w:color="auto"/>
              <w:right w:val="nil"/>
            </w:tcBorders>
            <w:shd w:val="clear" w:color="auto" w:fill="auto"/>
            <w:noWrap/>
            <w:vAlign w:val="bottom"/>
            <w:hideMark/>
          </w:tcPr>
          <w:p w:rsidR="00242C36" w:rsidRPr="00020977" w:rsidRDefault="00242C36" w:rsidP="00242C36">
            <w:pPr>
              <w:jc w:val="right"/>
              <w:rPr>
                <w:rFonts w:ascii="Calibri" w:hAnsi="Calibri"/>
                <w:sz w:val="18"/>
                <w:szCs w:val="18"/>
              </w:rPr>
            </w:pPr>
            <w:r w:rsidRPr="00020977">
              <w:rPr>
                <w:rFonts w:ascii="Calibri" w:hAnsi="Calibri"/>
                <w:sz w:val="18"/>
                <w:szCs w:val="18"/>
              </w:rPr>
              <w:t xml:space="preserve">312,1 </w:t>
            </w:r>
          </w:p>
        </w:tc>
        <w:tc>
          <w:tcPr>
            <w:tcW w:w="828" w:type="dxa"/>
            <w:tcBorders>
              <w:top w:val="nil"/>
              <w:left w:val="single" w:sz="4" w:space="0" w:color="auto"/>
              <w:bottom w:val="single" w:sz="8" w:space="0" w:color="auto"/>
              <w:right w:val="nil"/>
            </w:tcBorders>
            <w:shd w:val="clear" w:color="auto" w:fill="auto"/>
            <w:noWrap/>
            <w:vAlign w:val="bottom"/>
            <w:hideMark/>
          </w:tcPr>
          <w:p w:rsidR="00242C36" w:rsidRPr="00020977" w:rsidRDefault="00242C36" w:rsidP="00242C36">
            <w:pPr>
              <w:jc w:val="right"/>
              <w:rPr>
                <w:rFonts w:ascii="Calibri" w:hAnsi="Calibri"/>
                <w:sz w:val="18"/>
                <w:szCs w:val="18"/>
              </w:rPr>
            </w:pPr>
            <w:r w:rsidRPr="00020977">
              <w:rPr>
                <w:rFonts w:ascii="Calibri" w:hAnsi="Calibri"/>
                <w:sz w:val="18"/>
                <w:szCs w:val="18"/>
              </w:rPr>
              <w:t xml:space="preserve">284,4 </w:t>
            </w:r>
          </w:p>
        </w:tc>
        <w:tc>
          <w:tcPr>
            <w:tcW w:w="828" w:type="dxa"/>
            <w:tcBorders>
              <w:top w:val="nil"/>
              <w:left w:val="single" w:sz="4" w:space="0" w:color="auto"/>
              <w:bottom w:val="single" w:sz="8" w:space="0" w:color="auto"/>
              <w:right w:val="nil"/>
            </w:tcBorders>
            <w:shd w:val="clear" w:color="auto" w:fill="auto"/>
            <w:noWrap/>
            <w:vAlign w:val="bottom"/>
            <w:hideMark/>
          </w:tcPr>
          <w:p w:rsidR="00242C36" w:rsidRPr="00020977" w:rsidRDefault="00242C36" w:rsidP="00242C36">
            <w:pPr>
              <w:jc w:val="right"/>
              <w:rPr>
                <w:rFonts w:ascii="Calibri" w:hAnsi="Calibri"/>
                <w:sz w:val="18"/>
                <w:szCs w:val="18"/>
              </w:rPr>
            </w:pPr>
            <w:r w:rsidRPr="00020977">
              <w:rPr>
                <w:rFonts w:ascii="Calibri" w:hAnsi="Calibri"/>
                <w:sz w:val="18"/>
                <w:szCs w:val="18"/>
              </w:rPr>
              <w:t xml:space="preserve">314,9 </w:t>
            </w:r>
          </w:p>
        </w:tc>
        <w:tc>
          <w:tcPr>
            <w:tcW w:w="828" w:type="dxa"/>
            <w:tcBorders>
              <w:top w:val="nil"/>
              <w:left w:val="single" w:sz="4" w:space="0" w:color="auto"/>
              <w:bottom w:val="single" w:sz="8" w:space="0" w:color="auto"/>
              <w:right w:val="nil"/>
            </w:tcBorders>
            <w:shd w:val="clear" w:color="auto" w:fill="auto"/>
            <w:noWrap/>
            <w:vAlign w:val="bottom"/>
            <w:hideMark/>
          </w:tcPr>
          <w:p w:rsidR="00242C36" w:rsidRPr="00020977" w:rsidRDefault="00242C36" w:rsidP="00242C36">
            <w:pPr>
              <w:jc w:val="right"/>
              <w:rPr>
                <w:rFonts w:ascii="Calibri" w:hAnsi="Calibri"/>
                <w:sz w:val="18"/>
                <w:szCs w:val="18"/>
              </w:rPr>
            </w:pPr>
            <w:r w:rsidRPr="00020977">
              <w:rPr>
                <w:rFonts w:ascii="Calibri" w:hAnsi="Calibri"/>
                <w:sz w:val="18"/>
                <w:szCs w:val="18"/>
              </w:rPr>
              <w:t xml:space="preserve">310,1 </w:t>
            </w:r>
          </w:p>
        </w:tc>
        <w:tc>
          <w:tcPr>
            <w:tcW w:w="1060" w:type="dxa"/>
            <w:tcBorders>
              <w:top w:val="nil"/>
              <w:left w:val="single" w:sz="4" w:space="0" w:color="auto"/>
              <w:bottom w:val="single" w:sz="8" w:space="0" w:color="auto"/>
              <w:right w:val="single" w:sz="8" w:space="0" w:color="auto"/>
            </w:tcBorders>
            <w:shd w:val="clear" w:color="auto" w:fill="auto"/>
            <w:noWrap/>
            <w:vAlign w:val="bottom"/>
            <w:hideMark/>
          </w:tcPr>
          <w:p w:rsidR="00242C36" w:rsidRPr="00020977" w:rsidRDefault="00242C36" w:rsidP="00242C36">
            <w:pPr>
              <w:jc w:val="right"/>
              <w:rPr>
                <w:rFonts w:ascii="Calibri" w:hAnsi="Calibri"/>
                <w:sz w:val="18"/>
                <w:szCs w:val="18"/>
              </w:rPr>
            </w:pPr>
            <w:r w:rsidRPr="00020977">
              <w:rPr>
                <w:rFonts w:ascii="Calibri" w:hAnsi="Calibri"/>
                <w:sz w:val="18"/>
                <w:szCs w:val="18"/>
              </w:rPr>
              <w:t xml:space="preserve">98,5 </w:t>
            </w:r>
          </w:p>
        </w:tc>
      </w:tr>
    </w:tbl>
    <w:p w:rsidR="00242C36" w:rsidRPr="00E43137" w:rsidRDefault="00242C36" w:rsidP="00242C36">
      <w:pPr>
        <w:pBdr>
          <w:bar w:val="single" w:sz="6" w:color="808080"/>
        </w:pBdr>
        <w:rPr>
          <w:rFonts w:ascii="Calibri" w:eastAsia="Calibri" w:hAnsi="Calibri"/>
          <w:b/>
          <w:bCs/>
          <w:sz w:val="20"/>
          <w:szCs w:val="20"/>
          <w:lang w:eastAsia="en-US"/>
        </w:rPr>
      </w:pPr>
      <w:r w:rsidRPr="00E43137">
        <w:rPr>
          <w:rFonts w:ascii="Calibri" w:hAnsi="Calibri"/>
          <w:sz w:val="20"/>
          <w:szCs w:val="20"/>
        </w:rPr>
        <w:t>Prameň: Definitívne údaje o úrode poľnohospodárskych plodín, ovocia a zeleniny v SR, ŠÚ SR</w:t>
      </w:r>
    </w:p>
    <w:p w:rsidR="00242C36" w:rsidRPr="00E43137" w:rsidRDefault="00242C36" w:rsidP="00242C36">
      <w:pPr>
        <w:rPr>
          <w:rFonts w:ascii="Calibri" w:hAnsi="Calibri"/>
          <w:sz w:val="20"/>
          <w:szCs w:val="20"/>
        </w:rPr>
      </w:pPr>
      <w:r w:rsidRPr="00E43137">
        <w:rPr>
          <w:rFonts w:ascii="Calibri" w:eastAsia="Calibri" w:hAnsi="Calibri"/>
          <w:b/>
          <w:bCs/>
          <w:sz w:val="20"/>
          <w:szCs w:val="20"/>
          <w:lang w:eastAsia="en-US"/>
        </w:rPr>
        <w:t xml:space="preserve"> </w:t>
      </w:r>
      <w:r w:rsidRPr="00E43137">
        <w:rPr>
          <w:rFonts w:ascii="Calibri" w:hAnsi="Calibri"/>
          <w:sz w:val="20"/>
          <w:szCs w:val="20"/>
        </w:rPr>
        <w:t>Vypracoval:</w:t>
      </w:r>
      <w:r>
        <w:rPr>
          <w:rFonts w:ascii="Calibri" w:hAnsi="Calibri"/>
          <w:sz w:val="20"/>
          <w:szCs w:val="20"/>
        </w:rPr>
        <w:t xml:space="preserve"> NPPC-</w:t>
      </w:r>
      <w:r w:rsidRPr="00E43137">
        <w:rPr>
          <w:rFonts w:ascii="Calibri" w:hAnsi="Calibri"/>
          <w:sz w:val="20"/>
          <w:szCs w:val="20"/>
        </w:rPr>
        <w:t>VÚEPP</w:t>
      </w:r>
      <w:r w:rsidRPr="00E43137">
        <w:rPr>
          <w:rFonts w:ascii="Calibri" w:eastAsia="Calibri" w:hAnsi="Calibri"/>
          <w:b/>
          <w:bCs/>
          <w:sz w:val="20"/>
          <w:szCs w:val="20"/>
          <w:lang w:eastAsia="en-US"/>
        </w:rPr>
        <w:t xml:space="preserve"> </w:t>
      </w:r>
    </w:p>
    <w:p w:rsidR="00242C36" w:rsidRDefault="00242C36" w:rsidP="00242C36">
      <w:pPr>
        <w:pBdr>
          <w:bar w:val="single" w:sz="6" w:color="808080"/>
        </w:pBdr>
        <w:rPr>
          <w:rFonts w:ascii="Calibri" w:eastAsia="Calibri" w:hAnsi="Calibri" w:cs="Calibri"/>
          <w:szCs w:val="22"/>
        </w:rPr>
      </w:pPr>
    </w:p>
    <w:p w:rsidR="00242C36" w:rsidRPr="00E43137" w:rsidRDefault="00242C36" w:rsidP="00242C36">
      <w:pPr>
        <w:pBdr>
          <w:bar w:val="single" w:sz="6" w:color="808080"/>
        </w:pBdr>
        <w:rPr>
          <w:szCs w:val="22"/>
        </w:rPr>
      </w:pPr>
      <w:r w:rsidRPr="00E43137">
        <w:rPr>
          <w:rFonts w:ascii="Calibri" w:eastAsia="Calibri" w:hAnsi="Calibri" w:cs="Calibri"/>
          <w:szCs w:val="22"/>
        </w:rPr>
        <w:t xml:space="preserve">Porovnávanie hektárových úrod vybraných poľnohospodárskych plodín ukazuje </w:t>
      </w:r>
      <w:r w:rsidRPr="00E43137">
        <w:rPr>
          <w:rFonts w:ascii="Calibri" w:eastAsia="Calibri" w:hAnsi="Calibri" w:cs="Calibri"/>
          <w:b/>
          <w:bCs/>
          <w:i/>
          <w:iCs/>
          <w:szCs w:val="22"/>
        </w:rPr>
        <w:t>zásadný problém rentability</w:t>
      </w:r>
      <w:r w:rsidRPr="00E43137">
        <w:rPr>
          <w:rFonts w:ascii="Calibri" w:eastAsia="Calibri" w:hAnsi="Calibri" w:cs="Calibri"/>
          <w:szCs w:val="22"/>
        </w:rPr>
        <w:t xml:space="preserve"> poľnohospodárstva Slovenska—v porovnaní s najlepšími, priemerné hektárové úrody za roky 2004 až 2011 obilnín v SR boli o 62,3% nižšie ako vo Francúzsku, nižšie boli iba v Poľsku. U pšenice boli o 78% nižšie, ako v Nemecku a na úrovni Maďarska. U zemiakov sú dokonca 2,5 krát nižšie ako vo vyspelých krajinách. Jedine u cukrovej repy (s výnimkou Francúzska a Rakúska) a slnečnice sa blížime intenzite výroby vo vyspelých krajinách EÚ. </w:t>
      </w:r>
    </w:p>
    <w:p w:rsidR="00242C36" w:rsidRPr="00E43137" w:rsidRDefault="00242C36" w:rsidP="00242C36">
      <w:pPr>
        <w:rPr>
          <w:rFonts w:ascii="Calibri" w:eastAsia="Calibri" w:hAnsi="Calibri" w:cs="Calibri"/>
          <w:b/>
          <w:iCs/>
          <w:szCs w:val="22"/>
        </w:rPr>
      </w:pPr>
    </w:p>
    <w:p w:rsidR="00242C36" w:rsidRPr="00E43137" w:rsidRDefault="00242C36" w:rsidP="00242C36">
      <w:pPr>
        <w:rPr>
          <w:b/>
          <w:szCs w:val="22"/>
        </w:rPr>
      </w:pPr>
      <w:r w:rsidRPr="00E43137">
        <w:rPr>
          <w:rFonts w:ascii="Calibri" w:eastAsia="Calibri" w:hAnsi="Calibri" w:cs="Calibri"/>
          <w:b/>
          <w:iCs/>
          <w:szCs w:val="22"/>
        </w:rPr>
        <w:t xml:space="preserve">Priemerné hektárové úrody vybraných plodín rastlinnej výroby za roky 2004 až 2011 k úrodám Slovenska v % Graf </w:t>
      </w:r>
    </w:p>
    <w:p w:rsidR="00242C36" w:rsidRPr="00E43137" w:rsidRDefault="00242C36" w:rsidP="00242C36">
      <w:r>
        <w:rPr>
          <w:noProof/>
        </w:rPr>
        <w:drawing>
          <wp:inline distT="0" distB="0" distL="0" distR="0" wp14:anchorId="1BB0EBD1" wp14:editId="6D53781B">
            <wp:extent cx="5743575" cy="1657350"/>
            <wp:effectExtent l="0" t="0" r="0" b="0"/>
            <wp:docPr id="21" name="Obrázo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ok 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743575" cy="1657350"/>
                    </a:xfrm>
                    <a:prstGeom prst="rect">
                      <a:avLst/>
                    </a:prstGeom>
                    <a:noFill/>
                    <a:ln>
                      <a:noFill/>
                    </a:ln>
                  </pic:spPr>
                </pic:pic>
              </a:graphicData>
            </a:graphic>
          </wp:inline>
        </w:drawing>
      </w:r>
    </w:p>
    <w:p w:rsidR="00242C36" w:rsidRPr="00E43137" w:rsidRDefault="00242C36" w:rsidP="00242C36">
      <w:pPr>
        <w:rPr>
          <w:sz w:val="20"/>
          <w:szCs w:val="20"/>
        </w:rPr>
      </w:pPr>
      <w:r w:rsidRPr="00E43137">
        <w:rPr>
          <w:rFonts w:ascii="Calibri" w:eastAsia="Calibri" w:hAnsi="Calibri" w:cs="Calibri"/>
          <w:iCs/>
          <w:sz w:val="20"/>
          <w:szCs w:val="20"/>
        </w:rPr>
        <w:t>Prameň: Eurostat</w:t>
      </w:r>
    </w:p>
    <w:p w:rsidR="00242C36" w:rsidRPr="00E43137" w:rsidRDefault="00242C36" w:rsidP="00242C36"/>
    <w:p w:rsidR="00242C36" w:rsidRPr="00A50DDD" w:rsidRDefault="00242C36" w:rsidP="00242C36">
      <w:pPr>
        <w:rPr>
          <w:b/>
          <w:szCs w:val="22"/>
        </w:rPr>
      </w:pPr>
      <w:r w:rsidRPr="00505442">
        <w:rPr>
          <w:b/>
          <w:szCs w:val="22"/>
        </w:rPr>
        <w:t>Vývoj produkcie zeleniny a ovocia (t)</w:t>
      </w:r>
    </w:p>
    <w:tbl>
      <w:tblPr>
        <w:tblW w:w="8994" w:type="dxa"/>
        <w:tblInd w:w="55" w:type="dxa"/>
        <w:tblLayout w:type="fixed"/>
        <w:tblCellMar>
          <w:left w:w="70" w:type="dxa"/>
          <w:right w:w="70" w:type="dxa"/>
        </w:tblCellMar>
        <w:tblLook w:val="04A0" w:firstRow="1" w:lastRow="0" w:firstColumn="1" w:lastColumn="0" w:noHBand="0" w:noVBand="1"/>
      </w:tblPr>
      <w:tblGrid>
        <w:gridCol w:w="2524"/>
        <w:gridCol w:w="1294"/>
        <w:gridCol w:w="1294"/>
        <w:gridCol w:w="1294"/>
        <w:gridCol w:w="1294"/>
        <w:gridCol w:w="1294"/>
      </w:tblGrid>
      <w:tr w:rsidR="00242C36" w:rsidRPr="00A50DDD" w:rsidTr="00242C36">
        <w:trPr>
          <w:trHeight w:val="255"/>
        </w:trPr>
        <w:tc>
          <w:tcPr>
            <w:tcW w:w="252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42C36" w:rsidRPr="00A50DDD" w:rsidRDefault="00242C36" w:rsidP="00242C36">
            <w:pPr>
              <w:rPr>
                <w:b/>
                <w:bCs/>
                <w:color w:val="000000"/>
                <w:sz w:val="20"/>
                <w:szCs w:val="20"/>
              </w:rPr>
            </w:pPr>
            <w:r w:rsidRPr="00505442">
              <w:rPr>
                <w:b/>
                <w:bCs/>
                <w:color w:val="000000"/>
                <w:sz w:val="20"/>
                <w:szCs w:val="20"/>
              </w:rPr>
              <w:t>Produkcia</w:t>
            </w:r>
          </w:p>
        </w:tc>
        <w:tc>
          <w:tcPr>
            <w:tcW w:w="1294" w:type="dxa"/>
            <w:tcBorders>
              <w:top w:val="single" w:sz="4" w:space="0" w:color="auto"/>
              <w:left w:val="nil"/>
              <w:bottom w:val="single" w:sz="4" w:space="0" w:color="auto"/>
              <w:right w:val="single" w:sz="4" w:space="0" w:color="auto"/>
            </w:tcBorders>
            <w:shd w:val="clear" w:color="auto" w:fill="auto"/>
            <w:noWrap/>
            <w:vAlign w:val="center"/>
            <w:hideMark/>
          </w:tcPr>
          <w:p w:rsidR="00242C36" w:rsidRPr="00A50DDD" w:rsidRDefault="00242C36" w:rsidP="00242C36">
            <w:pPr>
              <w:jc w:val="center"/>
              <w:rPr>
                <w:b/>
                <w:bCs/>
                <w:color w:val="000000"/>
                <w:sz w:val="20"/>
                <w:szCs w:val="20"/>
              </w:rPr>
            </w:pPr>
            <w:r w:rsidRPr="00505442">
              <w:rPr>
                <w:b/>
                <w:bCs/>
                <w:color w:val="000000"/>
                <w:sz w:val="20"/>
                <w:szCs w:val="20"/>
              </w:rPr>
              <w:t>2002</w:t>
            </w:r>
          </w:p>
        </w:tc>
        <w:tc>
          <w:tcPr>
            <w:tcW w:w="1294" w:type="dxa"/>
            <w:tcBorders>
              <w:top w:val="single" w:sz="4" w:space="0" w:color="auto"/>
              <w:left w:val="nil"/>
              <w:bottom w:val="single" w:sz="4" w:space="0" w:color="auto"/>
              <w:right w:val="single" w:sz="4" w:space="0" w:color="auto"/>
            </w:tcBorders>
            <w:shd w:val="clear" w:color="auto" w:fill="auto"/>
            <w:noWrap/>
            <w:vAlign w:val="center"/>
            <w:hideMark/>
          </w:tcPr>
          <w:p w:rsidR="00242C36" w:rsidRPr="00A50DDD" w:rsidRDefault="00242C36" w:rsidP="00242C36">
            <w:pPr>
              <w:jc w:val="center"/>
              <w:rPr>
                <w:b/>
                <w:bCs/>
                <w:color w:val="000000"/>
                <w:sz w:val="20"/>
                <w:szCs w:val="20"/>
              </w:rPr>
            </w:pPr>
            <w:r w:rsidRPr="00505442">
              <w:rPr>
                <w:b/>
                <w:bCs/>
                <w:color w:val="000000"/>
                <w:sz w:val="20"/>
                <w:szCs w:val="20"/>
              </w:rPr>
              <w:t>2003</w:t>
            </w:r>
          </w:p>
        </w:tc>
        <w:tc>
          <w:tcPr>
            <w:tcW w:w="1294" w:type="dxa"/>
            <w:tcBorders>
              <w:top w:val="single" w:sz="4" w:space="0" w:color="auto"/>
              <w:left w:val="nil"/>
              <w:bottom w:val="single" w:sz="4" w:space="0" w:color="auto"/>
              <w:right w:val="single" w:sz="4" w:space="0" w:color="auto"/>
            </w:tcBorders>
            <w:shd w:val="clear" w:color="auto" w:fill="auto"/>
            <w:noWrap/>
            <w:vAlign w:val="center"/>
            <w:hideMark/>
          </w:tcPr>
          <w:p w:rsidR="00242C36" w:rsidRPr="00A50DDD" w:rsidRDefault="00242C36" w:rsidP="00242C36">
            <w:pPr>
              <w:jc w:val="center"/>
              <w:rPr>
                <w:b/>
                <w:bCs/>
                <w:color w:val="000000"/>
                <w:sz w:val="20"/>
                <w:szCs w:val="20"/>
              </w:rPr>
            </w:pPr>
            <w:r w:rsidRPr="00505442">
              <w:rPr>
                <w:b/>
                <w:bCs/>
                <w:color w:val="000000"/>
                <w:sz w:val="20"/>
                <w:szCs w:val="20"/>
              </w:rPr>
              <w:t>2004</w:t>
            </w:r>
          </w:p>
        </w:tc>
        <w:tc>
          <w:tcPr>
            <w:tcW w:w="1294" w:type="dxa"/>
            <w:tcBorders>
              <w:top w:val="single" w:sz="4" w:space="0" w:color="auto"/>
              <w:left w:val="nil"/>
              <w:bottom w:val="single" w:sz="4" w:space="0" w:color="auto"/>
              <w:right w:val="single" w:sz="4" w:space="0" w:color="auto"/>
            </w:tcBorders>
            <w:shd w:val="clear" w:color="auto" w:fill="auto"/>
            <w:noWrap/>
            <w:vAlign w:val="center"/>
            <w:hideMark/>
          </w:tcPr>
          <w:p w:rsidR="00242C36" w:rsidRPr="00A50DDD" w:rsidRDefault="00242C36" w:rsidP="00242C36">
            <w:pPr>
              <w:jc w:val="center"/>
              <w:rPr>
                <w:b/>
                <w:bCs/>
                <w:color w:val="000000"/>
                <w:sz w:val="20"/>
                <w:szCs w:val="20"/>
              </w:rPr>
            </w:pPr>
            <w:r w:rsidRPr="00505442">
              <w:rPr>
                <w:b/>
                <w:bCs/>
                <w:color w:val="000000"/>
                <w:sz w:val="20"/>
                <w:szCs w:val="20"/>
              </w:rPr>
              <w:t>2005</w:t>
            </w:r>
          </w:p>
        </w:tc>
        <w:tc>
          <w:tcPr>
            <w:tcW w:w="1294" w:type="dxa"/>
            <w:tcBorders>
              <w:top w:val="single" w:sz="4" w:space="0" w:color="auto"/>
              <w:left w:val="nil"/>
              <w:bottom w:val="single" w:sz="4" w:space="0" w:color="auto"/>
              <w:right w:val="single" w:sz="4" w:space="0" w:color="auto"/>
            </w:tcBorders>
            <w:shd w:val="clear" w:color="auto" w:fill="auto"/>
            <w:noWrap/>
            <w:vAlign w:val="center"/>
            <w:hideMark/>
          </w:tcPr>
          <w:p w:rsidR="00242C36" w:rsidRPr="00A50DDD" w:rsidRDefault="00242C36" w:rsidP="00242C36">
            <w:pPr>
              <w:jc w:val="center"/>
              <w:rPr>
                <w:b/>
                <w:bCs/>
                <w:color w:val="000000"/>
                <w:sz w:val="20"/>
                <w:szCs w:val="20"/>
              </w:rPr>
            </w:pPr>
            <w:r w:rsidRPr="00505442">
              <w:rPr>
                <w:b/>
                <w:bCs/>
                <w:color w:val="000000"/>
                <w:sz w:val="20"/>
                <w:szCs w:val="20"/>
              </w:rPr>
              <w:t>2006</w:t>
            </w:r>
          </w:p>
        </w:tc>
      </w:tr>
      <w:tr w:rsidR="00242C36" w:rsidRPr="00A50DDD" w:rsidTr="00242C36">
        <w:trPr>
          <w:trHeight w:val="255"/>
        </w:trPr>
        <w:tc>
          <w:tcPr>
            <w:tcW w:w="2524" w:type="dxa"/>
            <w:tcBorders>
              <w:top w:val="nil"/>
              <w:left w:val="single" w:sz="4" w:space="0" w:color="auto"/>
              <w:bottom w:val="nil"/>
              <w:right w:val="single" w:sz="4" w:space="0" w:color="auto"/>
            </w:tcBorders>
            <w:shd w:val="clear" w:color="auto" w:fill="auto"/>
            <w:noWrap/>
            <w:vAlign w:val="bottom"/>
            <w:hideMark/>
          </w:tcPr>
          <w:p w:rsidR="00242C36" w:rsidRPr="00A50DDD" w:rsidRDefault="00242C36" w:rsidP="00242C36">
            <w:pPr>
              <w:rPr>
                <w:color w:val="000000"/>
                <w:sz w:val="20"/>
                <w:szCs w:val="20"/>
              </w:rPr>
            </w:pPr>
            <w:r w:rsidRPr="00505442">
              <w:rPr>
                <w:color w:val="000000"/>
                <w:sz w:val="20"/>
                <w:szCs w:val="20"/>
              </w:rPr>
              <w:t>Produkcia zel. na ornej pôde</w:t>
            </w:r>
          </w:p>
        </w:tc>
        <w:tc>
          <w:tcPr>
            <w:tcW w:w="1294" w:type="dxa"/>
            <w:tcBorders>
              <w:top w:val="nil"/>
              <w:left w:val="nil"/>
              <w:bottom w:val="nil"/>
              <w:right w:val="single" w:sz="4" w:space="0" w:color="auto"/>
            </w:tcBorders>
            <w:shd w:val="clear" w:color="auto" w:fill="auto"/>
            <w:noWrap/>
            <w:vAlign w:val="center"/>
            <w:hideMark/>
          </w:tcPr>
          <w:p w:rsidR="00242C36" w:rsidRPr="00A50DDD" w:rsidRDefault="00242C36" w:rsidP="00242C36">
            <w:pPr>
              <w:jc w:val="center"/>
              <w:rPr>
                <w:color w:val="000000"/>
                <w:sz w:val="20"/>
                <w:szCs w:val="20"/>
              </w:rPr>
            </w:pPr>
            <w:r w:rsidRPr="00505442">
              <w:rPr>
                <w:color w:val="000000"/>
                <w:sz w:val="20"/>
                <w:szCs w:val="20"/>
              </w:rPr>
              <w:t>161 114</w:t>
            </w:r>
          </w:p>
        </w:tc>
        <w:tc>
          <w:tcPr>
            <w:tcW w:w="1294" w:type="dxa"/>
            <w:tcBorders>
              <w:top w:val="nil"/>
              <w:left w:val="nil"/>
              <w:bottom w:val="nil"/>
              <w:right w:val="single" w:sz="4" w:space="0" w:color="auto"/>
            </w:tcBorders>
            <w:shd w:val="clear" w:color="auto" w:fill="auto"/>
            <w:vAlign w:val="center"/>
            <w:hideMark/>
          </w:tcPr>
          <w:p w:rsidR="00242C36" w:rsidRPr="00A50DDD" w:rsidRDefault="00242C36" w:rsidP="00242C36">
            <w:pPr>
              <w:jc w:val="center"/>
              <w:rPr>
                <w:color w:val="000000"/>
                <w:sz w:val="20"/>
                <w:szCs w:val="20"/>
              </w:rPr>
            </w:pPr>
            <w:r w:rsidRPr="00505442">
              <w:rPr>
                <w:color w:val="000000"/>
                <w:sz w:val="20"/>
                <w:szCs w:val="20"/>
              </w:rPr>
              <w:t>169 929</w:t>
            </w:r>
          </w:p>
        </w:tc>
        <w:tc>
          <w:tcPr>
            <w:tcW w:w="1294" w:type="dxa"/>
            <w:tcBorders>
              <w:top w:val="nil"/>
              <w:left w:val="nil"/>
              <w:bottom w:val="nil"/>
              <w:right w:val="single" w:sz="4" w:space="0" w:color="auto"/>
            </w:tcBorders>
            <w:shd w:val="clear" w:color="auto" w:fill="auto"/>
            <w:vAlign w:val="center"/>
            <w:hideMark/>
          </w:tcPr>
          <w:p w:rsidR="00242C36" w:rsidRPr="00A50DDD" w:rsidRDefault="00242C36" w:rsidP="00242C36">
            <w:pPr>
              <w:jc w:val="center"/>
              <w:rPr>
                <w:color w:val="000000"/>
                <w:sz w:val="20"/>
                <w:szCs w:val="20"/>
              </w:rPr>
            </w:pPr>
            <w:r w:rsidRPr="00505442">
              <w:rPr>
                <w:color w:val="000000"/>
                <w:sz w:val="20"/>
                <w:szCs w:val="20"/>
              </w:rPr>
              <w:t>175 932</w:t>
            </w:r>
          </w:p>
        </w:tc>
        <w:tc>
          <w:tcPr>
            <w:tcW w:w="1294" w:type="dxa"/>
            <w:tcBorders>
              <w:top w:val="nil"/>
              <w:left w:val="nil"/>
              <w:bottom w:val="nil"/>
              <w:right w:val="single" w:sz="4" w:space="0" w:color="auto"/>
            </w:tcBorders>
            <w:shd w:val="clear" w:color="auto" w:fill="auto"/>
            <w:vAlign w:val="center"/>
            <w:hideMark/>
          </w:tcPr>
          <w:p w:rsidR="00242C36" w:rsidRPr="00A50DDD" w:rsidRDefault="00242C36" w:rsidP="00242C36">
            <w:pPr>
              <w:jc w:val="center"/>
              <w:rPr>
                <w:color w:val="000000"/>
                <w:sz w:val="20"/>
                <w:szCs w:val="20"/>
              </w:rPr>
            </w:pPr>
            <w:r w:rsidRPr="00505442">
              <w:rPr>
                <w:color w:val="000000"/>
                <w:sz w:val="20"/>
                <w:szCs w:val="20"/>
              </w:rPr>
              <w:t>141 398</w:t>
            </w:r>
          </w:p>
        </w:tc>
        <w:tc>
          <w:tcPr>
            <w:tcW w:w="1294" w:type="dxa"/>
            <w:tcBorders>
              <w:top w:val="nil"/>
              <w:left w:val="nil"/>
              <w:bottom w:val="nil"/>
              <w:right w:val="single" w:sz="4" w:space="0" w:color="auto"/>
            </w:tcBorders>
            <w:shd w:val="clear" w:color="auto" w:fill="auto"/>
            <w:vAlign w:val="center"/>
            <w:hideMark/>
          </w:tcPr>
          <w:p w:rsidR="00242C36" w:rsidRPr="00A50DDD" w:rsidRDefault="00242C36" w:rsidP="00242C36">
            <w:pPr>
              <w:jc w:val="center"/>
              <w:rPr>
                <w:color w:val="000000"/>
                <w:sz w:val="20"/>
                <w:szCs w:val="20"/>
              </w:rPr>
            </w:pPr>
            <w:r w:rsidRPr="00505442">
              <w:rPr>
                <w:color w:val="000000"/>
                <w:sz w:val="20"/>
                <w:szCs w:val="20"/>
              </w:rPr>
              <w:t>139 850</w:t>
            </w:r>
          </w:p>
        </w:tc>
      </w:tr>
      <w:tr w:rsidR="00242C36" w:rsidRPr="00A50DDD" w:rsidTr="00242C36">
        <w:trPr>
          <w:trHeight w:val="255"/>
        </w:trPr>
        <w:tc>
          <w:tcPr>
            <w:tcW w:w="2524" w:type="dxa"/>
            <w:tcBorders>
              <w:top w:val="nil"/>
              <w:left w:val="single" w:sz="4" w:space="0" w:color="auto"/>
              <w:bottom w:val="nil"/>
              <w:right w:val="single" w:sz="4" w:space="0" w:color="auto"/>
            </w:tcBorders>
            <w:shd w:val="clear" w:color="auto" w:fill="auto"/>
            <w:noWrap/>
            <w:vAlign w:val="bottom"/>
            <w:hideMark/>
          </w:tcPr>
          <w:p w:rsidR="00242C36" w:rsidRPr="00A50DDD" w:rsidRDefault="00242C36" w:rsidP="00242C36">
            <w:pPr>
              <w:rPr>
                <w:color w:val="000000"/>
                <w:sz w:val="20"/>
                <w:szCs w:val="20"/>
              </w:rPr>
            </w:pPr>
            <w:r w:rsidRPr="00505442">
              <w:rPr>
                <w:color w:val="000000"/>
                <w:sz w:val="20"/>
                <w:szCs w:val="20"/>
              </w:rPr>
              <w:t>Produkcia zeleniny celkom</w:t>
            </w:r>
          </w:p>
        </w:tc>
        <w:tc>
          <w:tcPr>
            <w:tcW w:w="1294" w:type="dxa"/>
            <w:tcBorders>
              <w:top w:val="nil"/>
              <w:left w:val="nil"/>
              <w:bottom w:val="nil"/>
              <w:right w:val="single" w:sz="4" w:space="0" w:color="auto"/>
            </w:tcBorders>
            <w:shd w:val="clear" w:color="auto" w:fill="auto"/>
            <w:vAlign w:val="center"/>
            <w:hideMark/>
          </w:tcPr>
          <w:p w:rsidR="00242C36" w:rsidRPr="00A50DDD" w:rsidRDefault="00242C36" w:rsidP="00242C36">
            <w:pPr>
              <w:jc w:val="center"/>
              <w:rPr>
                <w:color w:val="000000"/>
                <w:sz w:val="20"/>
                <w:szCs w:val="20"/>
              </w:rPr>
            </w:pPr>
            <w:r w:rsidRPr="00505442">
              <w:rPr>
                <w:color w:val="000000"/>
                <w:sz w:val="20"/>
                <w:szCs w:val="20"/>
              </w:rPr>
              <w:t>363 482</w:t>
            </w:r>
          </w:p>
        </w:tc>
        <w:tc>
          <w:tcPr>
            <w:tcW w:w="1294" w:type="dxa"/>
            <w:tcBorders>
              <w:top w:val="nil"/>
              <w:left w:val="nil"/>
              <w:bottom w:val="nil"/>
              <w:right w:val="single" w:sz="4" w:space="0" w:color="auto"/>
            </w:tcBorders>
            <w:shd w:val="clear" w:color="auto" w:fill="auto"/>
            <w:vAlign w:val="center"/>
            <w:hideMark/>
          </w:tcPr>
          <w:p w:rsidR="00242C36" w:rsidRPr="00A50DDD" w:rsidRDefault="00242C36" w:rsidP="00242C36">
            <w:pPr>
              <w:jc w:val="center"/>
              <w:rPr>
                <w:color w:val="000000"/>
                <w:sz w:val="20"/>
                <w:szCs w:val="20"/>
              </w:rPr>
            </w:pPr>
            <w:r w:rsidRPr="00505442">
              <w:rPr>
                <w:color w:val="000000"/>
                <w:sz w:val="20"/>
                <w:szCs w:val="20"/>
              </w:rPr>
              <w:t>368 847</w:t>
            </w:r>
          </w:p>
        </w:tc>
        <w:tc>
          <w:tcPr>
            <w:tcW w:w="1294" w:type="dxa"/>
            <w:tcBorders>
              <w:top w:val="nil"/>
              <w:left w:val="nil"/>
              <w:bottom w:val="nil"/>
              <w:right w:val="single" w:sz="4" w:space="0" w:color="auto"/>
            </w:tcBorders>
            <w:shd w:val="clear" w:color="auto" w:fill="auto"/>
            <w:vAlign w:val="center"/>
            <w:hideMark/>
          </w:tcPr>
          <w:p w:rsidR="00242C36" w:rsidRPr="00A50DDD" w:rsidRDefault="00242C36" w:rsidP="00242C36">
            <w:pPr>
              <w:jc w:val="center"/>
              <w:rPr>
                <w:color w:val="000000"/>
                <w:sz w:val="20"/>
                <w:szCs w:val="20"/>
              </w:rPr>
            </w:pPr>
            <w:r w:rsidRPr="00505442">
              <w:rPr>
                <w:color w:val="000000"/>
                <w:sz w:val="20"/>
                <w:szCs w:val="20"/>
              </w:rPr>
              <w:t>380 626</w:t>
            </w:r>
          </w:p>
        </w:tc>
        <w:tc>
          <w:tcPr>
            <w:tcW w:w="1294" w:type="dxa"/>
            <w:tcBorders>
              <w:top w:val="nil"/>
              <w:left w:val="nil"/>
              <w:bottom w:val="nil"/>
              <w:right w:val="single" w:sz="4" w:space="0" w:color="auto"/>
            </w:tcBorders>
            <w:shd w:val="clear" w:color="auto" w:fill="auto"/>
            <w:vAlign w:val="center"/>
            <w:hideMark/>
          </w:tcPr>
          <w:p w:rsidR="00242C36" w:rsidRPr="00A50DDD" w:rsidRDefault="00242C36" w:rsidP="00242C36">
            <w:pPr>
              <w:jc w:val="center"/>
              <w:rPr>
                <w:color w:val="000000"/>
                <w:sz w:val="20"/>
                <w:szCs w:val="20"/>
              </w:rPr>
            </w:pPr>
            <w:r w:rsidRPr="00505442">
              <w:rPr>
                <w:color w:val="000000"/>
                <w:sz w:val="20"/>
                <w:szCs w:val="20"/>
              </w:rPr>
              <w:t>353 567</w:t>
            </w:r>
          </w:p>
        </w:tc>
        <w:tc>
          <w:tcPr>
            <w:tcW w:w="1294" w:type="dxa"/>
            <w:tcBorders>
              <w:top w:val="nil"/>
              <w:left w:val="nil"/>
              <w:bottom w:val="nil"/>
              <w:right w:val="single" w:sz="4" w:space="0" w:color="auto"/>
            </w:tcBorders>
            <w:shd w:val="clear" w:color="auto" w:fill="auto"/>
            <w:vAlign w:val="center"/>
            <w:hideMark/>
          </w:tcPr>
          <w:p w:rsidR="00242C36" w:rsidRPr="00A50DDD" w:rsidRDefault="00242C36" w:rsidP="00242C36">
            <w:pPr>
              <w:jc w:val="center"/>
              <w:rPr>
                <w:color w:val="000000"/>
                <w:sz w:val="20"/>
                <w:szCs w:val="20"/>
              </w:rPr>
            </w:pPr>
            <w:r w:rsidRPr="00505442">
              <w:rPr>
                <w:color w:val="000000"/>
                <w:sz w:val="20"/>
                <w:szCs w:val="20"/>
              </w:rPr>
              <w:t>351 526</w:t>
            </w:r>
          </w:p>
        </w:tc>
      </w:tr>
      <w:tr w:rsidR="00242C36" w:rsidRPr="00A50DDD" w:rsidTr="00242C36">
        <w:trPr>
          <w:trHeight w:val="255"/>
        </w:trPr>
        <w:tc>
          <w:tcPr>
            <w:tcW w:w="2524" w:type="dxa"/>
            <w:tcBorders>
              <w:top w:val="nil"/>
              <w:left w:val="single" w:sz="4" w:space="0" w:color="auto"/>
              <w:bottom w:val="nil"/>
              <w:right w:val="single" w:sz="4" w:space="0" w:color="auto"/>
            </w:tcBorders>
            <w:shd w:val="clear" w:color="auto" w:fill="auto"/>
            <w:noWrap/>
            <w:vAlign w:val="bottom"/>
            <w:hideMark/>
          </w:tcPr>
          <w:p w:rsidR="00242C36" w:rsidRPr="00A50DDD" w:rsidRDefault="00242C36" w:rsidP="00242C36">
            <w:pPr>
              <w:rPr>
                <w:color w:val="000000"/>
                <w:sz w:val="20"/>
                <w:szCs w:val="20"/>
              </w:rPr>
            </w:pPr>
            <w:r w:rsidRPr="00505442">
              <w:rPr>
                <w:color w:val="000000"/>
                <w:sz w:val="20"/>
                <w:szCs w:val="20"/>
              </w:rPr>
              <w:t>Produkcia ovocia v sadoch</w:t>
            </w:r>
          </w:p>
        </w:tc>
        <w:tc>
          <w:tcPr>
            <w:tcW w:w="1294" w:type="dxa"/>
            <w:tcBorders>
              <w:top w:val="nil"/>
              <w:left w:val="nil"/>
              <w:bottom w:val="nil"/>
              <w:right w:val="single" w:sz="4" w:space="0" w:color="auto"/>
            </w:tcBorders>
            <w:shd w:val="clear" w:color="auto" w:fill="auto"/>
            <w:vAlign w:val="center"/>
            <w:hideMark/>
          </w:tcPr>
          <w:p w:rsidR="00242C36" w:rsidRPr="00A50DDD" w:rsidRDefault="00242C36" w:rsidP="00242C36">
            <w:pPr>
              <w:jc w:val="center"/>
              <w:rPr>
                <w:color w:val="000000"/>
                <w:sz w:val="20"/>
                <w:szCs w:val="20"/>
              </w:rPr>
            </w:pPr>
            <w:r w:rsidRPr="00505442">
              <w:rPr>
                <w:color w:val="000000"/>
                <w:sz w:val="20"/>
                <w:szCs w:val="20"/>
              </w:rPr>
              <w:t>32 045</w:t>
            </w:r>
          </w:p>
        </w:tc>
        <w:tc>
          <w:tcPr>
            <w:tcW w:w="1294" w:type="dxa"/>
            <w:tcBorders>
              <w:top w:val="nil"/>
              <w:left w:val="nil"/>
              <w:bottom w:val="nil"/>
              <w:right w:val="single" w:sz="4" w:space="0" w:color="auto"/>
            </w:tcBorders>
            <w:shd w:val="clear" w:color="auto" w:fill="auto"/>
            <w:vAlign w:val="center"/>
            <w:hideMark/>
          </w:tcPr>
          <w:p w:rsidR="00242C36" w:rsidRPr="00A50DDD" w:rsidRDefault="00242C36" w:rsidP="00242C36">
            <w:pPr>
              <w:jc w:val="center"/>
              <w:rPr>
                <w:color w:val="000000"/>
                <w:sz w:val="20"/>
                <w:szCs w:val="20"/>
              </w:rPr>
            </w:pPr>
            <w:r w:rsidRPr="00505442">
              <w:rPr>
                <w:color w:val="000000"/>
                <w:sz w:val="20"/>
                <w:szCs w:val="20"/>
              </w:rPr>
              <w:t>41 131</w:t>
            </w:r>
          </w:p>
        </w:tc>
        <w:tc>
          <w:tcPr>
            <w:tcW w:w="1294" w:type="dxa"/>
            <w:tcBorders>
              <w:top w:val="nil"/>
              <w:left w:val="nil"/>
              <w:bottom w:val="nil"/>
              <w:right w:val="single" w:sz="4" w:space="0" w:color="auto"/>
            </w:tcBorders>
            <w:shd w:val="clear" w:color="auto" w:fill="auto"/>
            <w:vAlign w:val="center"/>
            <w:hideMark/>
          </w:tcPr>
          <w:p w:rsidR="00242C36" w:rsidRPr="00A50DDD" w:rsidRDefault="00242C36" w:rsidP="00242C36">
            <w:pPr>
              <w:jc w:val="center"/>
              <w:rPr>
                <w:color w:val="000000"/>
                <w:sz w:val="20"/>
                <w:szCs w:val="20"/>
              </w:rPr>
            </w:pPr>
            <w:r w:rsidRPr="00505442">
              <w:rPr>
                <w:color w:val="000000"/>
                <w:sz w:val="20"/>
                <w:szCs w:val="20"/>
              </w:rPr>
              <w:t>38 394</w:t>
            </w:r>
          </w:p>
        </w:tc>
        <w:tc>
          <w:tcPr>
            <w:tcW w:w="1294" w:type="dxa"/>
            <w:tcBorders>
              <w:top w:val="nil"/>
              <w:left w:val="nil"/>
              <w:bottom w:val="nil"/>
              <w:right w:val="single" w:sz="4" w:space="0" w:color="auto"/>
            </w:tcBorders>
            <w:shd w:val="clear" w:color="auto" w:fill="auto"/>
            <w:vAlign w:val="center"/>
            <w:hideMark/>
          </w:tcPr>
          <w:p w:rsidR="00242C36" w:rsidRPr="00A50DDD" w:rsidRDefault="00242C36" w:rsidP="00242C36">
            <w:pPr>
              <w:jc w:val="center"/>
              <w:rPr>
                <w:color w:val="000000"/>
                <w:sz w:val="20"/>
                <w:szCs w:val="20"/>
              </w:rPr>
            </w:pPr>
            <w:r w:rsidRPr="00505442">
              <w:rPr>
                <w:color w:val="000000"/>
                <w:sz w:val="20"/>
                <w:szCs w:val="20"/>
              </w:rPr>
              <w:t>41 289</w:t>
            </w:r>
          </w:p>
        </w:tc>
        <w:tc>
          <w:tcPr>
            <w:tcW w:w="1294" w:type="dxa"/>
            <w:tcBorders>
              <w:top w:val="nil"/>
              <w:left w:val="nil"/>
              <w:bottom w:val="nil"/>
              <w:right w:val="single" w:sz="4" w:space="0" w:color="auto"/>
            </w:tcBorders>
            <w:shd w:val="clear" w:color="auto" w:fill="auto"/>
            <w:vAlign w:val="center"/>
            <w:hideMark/>
          </w:tcPr>
          <w:p w:rsidR="00242C36" w:rsidRPr="00A50DDD" w:rsidRDefault="00242C36" w:rsidP="00242C36">
            <w:pPr>
              <w:jc w:val="center"/>
              <w:rPr>
                <w:color w:val="000000"/>
                <w:sz w:val="20"/>
                <w:szCs w:val="20"/>
              </w:rPr>
            </w:pPr>
            <w:r w:rsidRPr="00505442">
              <w:rPr>
                <w:color w:val="000000"/>
                <w:sz w:val="20"/>
                <w:szCs w:val="20"/>
              </w:rPr>
              <w:t>38 171</w:t>
            </w:r>
          </w:p>
        </w:tc>
      </w:tr>
      <w:tr w:rsidR="00242C36" w:rsidRPr="00A50DDD" w:rsidTr="00242C36">
        <w:trPr>
          <w:trHeight w:val="255"/>
        </w:trPr>
        <w:tc>
          <w:tcPr>
            <w:tcW w:w="2524" w:type="dxa"/>
            <w:tcBorders>
              <w:top w:val="nil"/>
              <w:left w:val="single" w:sz="4" w:space="0" w:color="auto"/>
              <w:bottom w:val="single" w:sz="4" w:space="0" w:color="auto"/>
              <w:right w:val="single" w:sz="4" w:space="0" w:color="auto"/>
            </w:tcBorders>
            <w:shd w:val="clear" w:color="auto" w:fill="auto"/>
            <w:noWrap/>
            <w:vAlign w:val="bottom"/>
            <w:hideMark/>
          </w:tcPr>
          <w:p w:rsidR="00242C36" w:rsidRPr="00A50DDD" w:rsidRDefault="00242C36" w:rsidP="00242C36">
            <w:pPr>
              <w:rPr>
                <w:color w:val="000000"/>
                <w:sz w:val="20"/>
                <w:szCs w:val="20"/>
              </w:rPr>
            </w:pPr>
            <w:r w:rsidRPr="00505442">
              <w:rPr>
                <w:color w:val="000000"/>
                <w:sz w:val="20"/>
                <w:szCs w:val="20"/>
              </w:rPr>
              <w:t>Produkcia ovocia celkom</w:t>
            </w:r>
          </w:p>
        </w:tc>
        <w:tc>
          <w:tcPr>
            <w:tcW w:w="1294" w:type="dxa"/>
            <w:tcBorders>
              <w:top w:val="nil"/>
              <w:left w:val="nil"/>
              <w:bottom w:val="single" w:sz="4" w:space="0" w:color="auto"/>
              <w:right w:val="single" w:sz="4" w:space="0" w:color="auto"/>
            </w:tcBorders>
            <w:shd w:val="clear" w:color="auto" w:fill="auto"/>
            <w:vAlign w:val="center"/>
            <w:hideMark/>
          </w:tcPr>
          <w:p w:rsidR="00242C36" w:rsidRPr="00A50DDD" w:rsidRDefault="00242C36" w:rsidP="00242C36">
            <w:pPr>
              <w:jc w:val="center"/>
              <w:rPr>
                <w:color w:val="000000"/>
                <w:sz w:val="20"/>
                <w:szCs w:val="20"/>
              </w:rPr>
            </w:pPr>
            <w:r w:rsidRPr="00505442">
              <w:rPr>
                <w:color w:val="000000"/>
                <w:sz w:val="20"/>
                <w:szCs w:val="20"/>
              </w:rPr>
              <w:t>81 632</w:t>
            </w:r>
          </w:p>
        </w:tc>
        <w:tc>
          <w:tcPr>
            <w:tcW w:w="1294" w:type="dxa"/>
            <w:tcBorders>
              <w:top w:val="nil"/>
              <w:left w:val="nil"/>
              <w:bottom w:val="single" w:sz="4" w:space="0" w:color="auto"/>
              <w:right w:val="single" w:sz="4" w:space="0" w:color="auto"/>
            </w:tcBorders>
            <w:shd w:val="clear" w:color="auto" w:fill="auto"/>
            <w:vAlign w:val="center"/>
            <w:hideMark/>
          </w:tcPr>
          <w:p w:rsidR="00242C36" w:rsidRPr="00A50DDD" w:rsidRDefault="00242C36" w:rsidP="00242C36">
            <w:pPr>
              <w:jc w:val="center"/>
              <w:rPr>
                <w:color w:val="000000"/>
                <w:sz w:val="20"/>
                <w:szCs w:val="20"/>
              </w:rPr>
            </w:pPr>
            <w:r w:rsidRPr="00505442">
              <w:rPr>
                <w:color w:val="000000"/>
                <w:sz w:val="20"/>
                <w:szCs w:val="20"/>
              </w:rPr>
              <w:t>90 133</w:t>
            </w:r>
          </w:p>
        </w:tc>
        <w:tc>
          <w:tcPr>
            <w:tcW w:w="1294" w:type="dxa"/>
            <w:tcBorders>
              <w:top w:val="nil"/>
              <w:left w:val="nil"/>
              <w:bottom w:val="single" w:sz="4" w:space="0" w:color="auto"/>
              <w:right w:val="single" w:sz="4" w:space="0" w:color="auto"/>
            </w:tcBorders>
            <w:shd w:val="clear" w:color="auto" w:fill="auto"/>
            <w:vAlign w:val="center"/>
            <w:hideMark/>
          </w:tcPr>
          <w:p w:rsidR="00242C36" w:rsidRPr="00A50DDD" w:rsidRDefault="00242C36" w:rsidP="00242C36">
            <w:pPr>
              <w:jc w:val="center"/>
              <w:rPr>
                <w:color w:val="000000"/>
                <w:sz w:val="20"/>
                <w:szCs w:val="20"/>
              </w:rPr>
            </w:pPr>
            <w:r w:rsidRPr="00505442">
              <w:rPr>
                <w:color w:val="000000"/>
                <w:sz w:val="20"/>
                <w:szCs w:val="20"/>
              </w:rPr>
              <w:t>62 544</w:t>
            </w:r>
          </w:p>
        </w:tc>
        <w:tc>
          <w:tcPr>
            <w:tcW w:w="1294" w:type="dxa"/>
            <w:tcBorders>
              <w:top w:val="nil"/>
              <w:left w:val="nil"/>
              <w:bottom w:val="single" w:sz="4" w:space="0" w:color="auto"/>
              <w:right w:val="single" w:sz="4" w:space="0" w:color="auto"/>
            </w:tcBorders>
            <w:shd w:val="clear" w:color="auto" w:fill="auto"/>
            <w:vAlign w:val="center"/>
            <w:hideMark/>
          </w:tcPr>
          <w:p w:rsidR="00242C36" w:rsidRPr="00A50DDD" w:rsidRDefault="00242C36" w:rsidP="00242C36">
            <w:pPr>
              <w:jc w:val="center"/>
              <w:rPr>
                <w:color w:val="000000"/>
                <w:sz w:val="20"/>
                <w:szCs w:val="20"/>
              </w:rPr>
            </w:pPr>
            <w:r w:rsidRPr="00505442">
              <w:rPr>
                <w:color w:val="000000"/>
                <w:sz w:val="20"/>
                <w:szCs w:val="20"/>
              </w:rPr>
              <w:t>64 528</w:t>
            </w:r>
          </w:p>
        </w:tc>
        <w:tc>
          <w:tcPr>
            <w:tcW w:w="1294" w:type="dxa"/>
            <w:tcBorders>
              <w:top w:val="nil"/>
              <w:left w:val="nil"/>
              <w:bottom w:val="single" w:sz="4" w:space="0" w:color="auto"/>
              <w:right w:val="single" w:sz="4" w:space="0" w:color="auto"/>
            </w:tcBorders>
            <w:shd w:val="clear" w:color="auto" w:fill="auto"/>
            <w:vAlign w:val="center"/>
            <w:hideMark/>
          </w:tcPr>
          <w:p w:rsidR="00242C36" w:rsidRPr="00A50DDD" w:rsidRDefault="00242C36" w:rsidP="00242C36">
            <w:pPr>
              <w:jc w:val="center"/>
              <w:rPr>
                <w:color w:val="000000"/>
                <w:sz w:val="20"/>
                <w:szCs w:val="20"/>
              </w:rPr>
            </w:pPr>
            <w:r w:rsidRPr="00505442">
              <w:rPr>
                <w:color w:val="000000"/>
                <w:sz w:val="20"/>
                <w:szCs w:val="20"/>
              </w:rPr>
              <w:t>62 043</w:t>
            </w:r>
          </w:p>
        </w:tc>
      </w:tr>
    </w:tbl>
    <w:p w:rsidR="00242C36" w:rsidRPr="00A50DDD" w:rsidRDefault="00242C36" w:rsidP="00242C36">
      <w:pPr>
        <w:rPr>
          <w:szCs w:val="22"/>
        </w:rPr>
      </w:pPr>
      <w:r w:rsidRPr="00505442">
        <w:rPr>
          <w:szCs w:val="22"/>
        </w:rPr>
        <w:t>pokračovanie tabuľky</w:t>
      </w:r>
    </w:p>
    <w:tbl>
      <w:tblPr>
        <w:tblW w:w="9037" w:type="dxa"/>
        <w:tblInd w:w="55" w:type="dxa"/>
        <w:tblLayout w:type="fixed"/>
        <w:tblCellMar>
          <w:left w:w="70" w:type="dxa"/>
          <w:right w:w="70" w:type="dxa"/>
        </w:tblCellMar>
        <w:tblLook w:val="04A0" w:firstRow="1" w:lastRow="0" w:firstColumn="1" w:lastColumn="0" w:noHBand="0" w:noVBand="1"/>
      </w:tblPr>
      <w:tblGrid>
        <w:gridCol w:w="2536"/>
        <w:gridCol w:w="1083"/>
        <w:gridCol w:w="1084"/>
        <w:gridCol w:w="1083"/>
        <w:gridCol w:w="1084"/>
        <w:gridCol w:w="1083"/>
        <w:gridCol w:w="1084"/>
      </w:tblGrid>
      <w:tr w:rsidR="00242C36" w:rsidRPr="00A50DDD" w:rsidTr="00242C36">
        <w:trPr>
          <w:trHeight w:val="259"/>
        </w:trPr>
        <w:tc>
          <w:tcPr>
            <w:tcW w:w="253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42C36" w:rsidRPr="00A50DDD" w:rsidRDefault="00242C36" w:rsidP="00242C36">
            <w:pPr>
              <w:rPr>
                <w:b/>
                <w:bCs/>
                <w:color w:val="000000"/>
                <w:sz w:val="20"/>
                <w:szCs w:val="20"/>
              </w:rPr>
            </w:pPr>
            <w:r w:rsidRPr="00505442">
              <w:rPr>
                <w:b/>
                <w:bCs/>
                <w:color w:val="000000"/>
                <w:sz w:val="20"/>
                <w:szCs w:val="20"/>
              </w:rPr>
              <w:t>Produkcia</w:t>
            </w:r>
          </w:p>
        </w:tc>
        <w:tc>
          <w:tcPr>
            <w:tcW w:w="1083" w:type="dxa"/>
            <w:tcBorders>
              <w:top w:val="single" w:sz="4" w:space="0" w:color="auto"/>
              <w:left w:val="nil"/>
              <w:bottom w:val="single" w:sz="4" w:space="0" w:color="auto"/>
              <w:right w:val="single" w:sz="4" w:space="0" w:color="auto"/>
            </w:tcBorders>
            <w:shd w:val="clear" w:color="auto" w:fill="auto"/>
            <w:noWrap/>
            <w:vAlign w:val="center"/>
            <w:hideMark/>
          </w:tcPr>
          <w:p w:rsidR="00242C36" w:rsidRPr="00A50DDD" w:rsidRDefault="00242C36" w:rsidP="00242C36">
            <w:pPr>
              <w:jc w:val="center"/>
              <w:rPr>
                <w:b/>
                <w:bCs/>
                <w:color w:val="000000"/>
                <w:sz w:val="20"/>
                <w:szCs w:val="20"/>
              </w:rPr>
            </w:pPr>
            <w:r w:rsidRPr="00505442">
              <w:rPr>
                <w:b/>
                <w:bCs/>
                <w:color w:val="000000"/>
                <w:sz w:val="20"/>
                <w:szCs w:val="20"/>
              </w:rPr>
              <w:t>2007</w:t>
            </w:r>
          </w:p>
        </w:tc>
        <w:tc>
          <w:tcPr>
            <w:tcW w:w="1084" w:type="dxa"/>
            <w:tcBorders>
              <w:top w:val="single" w:sz="4" w:space="0" w:color="auto"/>
              <w:left w:val="nil"/>
              <w:bottom w:val="single" w:sz="4" w:space="0" w:color="auto"/>
              <w:right w:val="single" w:sz="4" w:space="0" w:color="auto"/>
            </w:tcBorders>
            <w:shd w:val="clear" w:color="auto" w:fill="auto"/>
            <w:noWrap/>
            <w:vAlign w:val="center"/>
            <w:hideMark/>
          </w:tcPr>
          <w:p w:rsidR="00242C36" w:rsidRPr="00A50DDD" w:rsidRDefault="00242C36" w:rsidP="00242C36">
            <w:pPr>
              <w:jc w:val="center"/>
              <w:rPr>
                <w:b/>
                <w:bCs/>
                <w:color w:val="000000"/>
                <w:sz w:val="20"/>
                <w:szCs w:val="20"/>
              </w:rPr>
            </w:pPr>
            <w:r w:rsidRPr="00505442">
              <w:rPr>
                <w:b/>
                <w:bCs/>
                <w:color w:val="000000"/>
                <w:sz w:val="20"/>
                <w:szCs w:val="20"/>
              </w:rPr>
              <w:t>2008</w:t>
            </w:r>
          </w:p>
        </w:tc>
        <w:tc>
          <w:tcPr>
            <w:tcW w:w="1083" w:type="dxa"/>
            <w:tcBorders>
              <w:top w:val="single" w:sz="4" w:space="0" w:color="auto"/>
              <w:left w:val="nil"/>
              <w:bottom w:val="single" w:sz="4" w:space="0" w:color="auto"/>
              <w:right w:val="single" w:sz="4" w:space="0" w:color="auto"/>
            </w:tcBorders>
            <w:shd w:val="clear" w:color="auto" w:fill="auto"/>
            <w:noWrap/>
            <w:vAlign w:val="center"/>
            <w:hideMark/>
          </w:tcPr>
          <w:p w:rsidR="00242C36" w:rsidRPr="00A50DDD" w:rsidRDefault="00242C36" w:rsidP="00242C36">
            <w:pPr>
              <w:jc w:val="center"/>
              <w:rPr>
                <w:b/>
                <w:bCs/>
                <w:color w:val="000000"/>
                <w:sz w:val="20"/>
                <w:szCs w:val="20"/>
              </w:rPr>
            </w:pPr>
            <w:r w:rsidRPr="00505442">
              <w:rPr>
                <w:b/>
                <w:bCs/>
                <w:color w:val="000000"/>
                <w:sz w:val="20"/>
                <w:szCs w:val="20"/>
              </w:rPr>
              <w:t>2009</w:t>
            </w:r>
          </w:p>
        </w:tc>
        <w:tc>
          <w:tcPr>
            <w:tcW w:w="1084" w:type="dxa"/>
            <w:tcBorders>
              <w:top w:val="single" w:sz="4" w:space="0" w:color="auto"/>
              <w:left w:val="nil"/>
              <w:bottom w:val="single" w:sz="4" w:space="0" w:color="auto"/>
              <w:right w:val="single" w:sz="4" w:space="0" w:color="auto"/>
            </w:tcBorders>
            <w:shd w:val="clear" w:color="auto" w:fill="auto"/>
            <w:noWrap/>
            <w:vAlign w:val="center"/>
            <w:hideMark/>
          </w:tcPr>
          <w:p w:rsidR="00242C36" w:rsidRPr="00A50DDD" w:rsidRDefault="00242C36" w:rsidP="00242C36">
            <w:pPr>
              <w:jc w:val="center"/>
              <w:rPr>
                <w:b/>
                <w:bCs/>
                <w:color w:val="000000"/>
                <w:sz w:val="20"/>
                <w:szCs w:val="20"/>
              </w:rPr>
            </w:pPr>
            <w:r w:rsidRPr="00505442">
              <w:rPr>
                <w:b/>
                <w:bCs/>
                <w:color w:val="000000"/>
                <w:sz w:val="20"/>
                <w:szCs w:val="20"/>
              </w:rPr>
              <w:t>2010</w:t>
            </w:r>
          </w:p>
        </w:tc>
        <w:tc>
          <w:tcPr>
            <w:tcW w:w="1083" w:type="dxa"/>
            <w:tcBorders>
              <w:top w:val="single" w:sz="4" w:space="0" w:color="auto"/>
              <w:left w:val="nil"/>
              <w:bottom w:val="single" w:sz="4" w:space="0" w:color="auto"/>
              <w:right w:val="single" w:sz="4" w:space="0" w:color="auto"/>
            </w:tcBorders>
            <w:shd w:val="clear" w:color="auto" w:fill="auto"/>
            <w:noWrap/>
            <w:vAlign w:val="center"/>
            <w:hideMark/>
          </w:tcPr>
          <w:p w:rsidR="00242C36" w:rsidRPr="00A50DDD" w:rsidRDefault="00242C36" w:rsidP="00242C36">
            <w:pPr>
              <w:jc w:val="center"/>
              <w:rPr>
                <w:b/>
                <w:bCs/>
                <w:color w:val="000000"/>
                <w:sz w:val="20"/>
                <w:szCs w:val="20"/>
              </w:rPr>
            </w:pPr>
            <w:r w:rsidRPr="00505442">
              <w:rPr>
                <w:b/>
                <w:bCs/>
                <w:color w:val="000000"/>
                <w:sz w:val="20"/>
                <w:szCs w:val="20"/>
              </w:rPr>
              <w:t>2011</w:t>
            </w:r>
          </w:p>
        </w:tc>
        <w:tc>
          <w:tcPr>
            <w:tcW w:w="1084" w:type="dxa"/>
            <w:tcBorders>
              <w:top w:val="single" w:sz="4" w:space="0" w:color="auto"/>
              <w:left w:val="nil"/>
              <w:bottom w:val="single" w:sz="4" w:space="0" w:color="auto"/>
              <w:right w:val="single" w:sz="4" w:space="0" w:color="auto"/>
            </w:tcBorders>
            <w:vAlign w:val="center"/>
          </w:tcPr>
          <w:p w:rsidR="00242C36" w:rsidRPr="00A50DDD" w:rsidRDefault="00242C36" w:rsidP="00242C36">
            <w:pPr>
              <w:jc w:val="center"/>
              <w:rPr>
                <w:b/>
                <w:bCs/>
                <w:color w:val="000000"/>
                <w:sz w:val="20"/>
                <w:szCs w:val="20"/>
              </w:rPr>
            </w:pPr>
            <w:r w:rsidRPr="00505442">
              <w:rPr>
                <w:b/>
                <w:bCs/>
                <w:color w:val="000000"/>
                <w:sz w:val="20"/>
                <w:szCs w:val="20"/>
              </w:rPr>
              <w:t>2012</w:t>
            </w:r>
          </w:p>
        </w:tc>
      </w:tr>
      <w:tr w:rsidR="00242C36" w:rsidRPr="00A50DDD" w:rsidTr="00242C36">
        <w:trPr>
          <w:trHeight w:val="259"/>
        </w:trPr>
        <w:tc>
          <w:tcPr>
            <w:tcW w:w="2536" w:type="dxa"/>
            <w:tcBorders>
              <w:top w:val="nil"/>
              <w:left w:val="single" w:sz="4" w:space="0" w:color="auto"/>
              <w:bottom w:val="nil"/>
              <w:right w:val="single" w:sz="4" w:space="0" w:color="auto"/>
            </w:tcBorders>
            <w:shd w:val="clear" w:color="auto" w:fill="auto"/>
            <w:noWrap/>
            <w:vAlign w:val="bottom"/>
            <w:hideMark/>
          </w:tcPr>
          <w:p w:rsidR="00242C36" w:rsidRPr="00A50DDD" w:rsidRDefault="00242C36" w:rsidP="00242C36">
            <w:pPr>
              <w:rPr>
                <w:color w:val="000000"/>
                <w:sz w:val="20"/>
                <w:szCs w:val="20"/>
              </w:rPr>
            </w:pPr>
            <w:r w:rsidRPr="00505442">
              <w:rPr>
                <w:color w:val="000000"/>
                <w:sz w:val="20"/>
                <w:szCs w:val="20"/>
              </w:rPr>
              <w:t>Produkcia zel. na ornej pôde</w:t>
            </w:r>
          </w:p>
        </w:tc>
        <w:tc>
          <w:tcPr>
            <w:tcW w:w="1083" w:type="dxa"/>
            <w:tcBorders>
              <w:top w:val="nil"/>
              <w:left w:val="nil"/>
              <w:bottom w:val="nil"/>
              <w:right w:val="single" w:sz="4" w:space="0" w:color="auto"/>
            </w:tcBorders>
            <w:shd w:val="clear" w:color="auto" w:fill="auto"/>
            <w:noWrap/>
            <w:vAlign w:val="center"/>
            <w:hideMark/>
          </w:tcPr>
          <w:p w:rsidR="00242C36" w:rsidRPr="00A50DDD" w:rsidRDefault="00242C36" w:rsidP="00242C36">
            <w:pPr>
              <w:jc w:val="center"/>
              <w:rPr>
                <w:color w:val="000000"/>
                <w:sz w:val="20"/>
                <w:szCs w:val="20"/>
              </w:rPr>
            </w:pPr>
            <w:r w:rsidRPr="00505442">
              <w:rPr>
                <w:color w:val="000000"/>
                <w:sz w:val="20"/>
                <w:szCs w:val="20"/>
              </w:rPr>
              <w:t>99 393</w:t>
            </w:r>
          </w:p>
        </w:tc>
        <w:tc>
          <w:tcPr>
            <w:tcW w:w="1084" w:type="dxa"/>
            <w:tcBorders>
              <w:top w:val="nil"/>
              <w:left w:val="nil"/>
              <w:bottom w:val="nil"/>
              <w:right w:val="single" w:sz="4" w:space="0" w:color="auto"/>
            </w:tcBorders>
            <w:shd w:val="clear" w:color="auto" w:fill="auto"/>
            <w:vAlign w:val="center"/>
            <w:hideMark/>
          </w:tcPr>
          <w:p w:rsidR="00242C36" w:rsidRPr="00A50DDD" w:rsidRDefault="00242C36" w:rsidP="00242C36">
            <w:pPr>
              <w:jc w:val="center"/>
              <w:rPr>
                <w:color w:val="000000"/>
                <w:sz w:val="20"/>
                <w:szCs w:val="20"/>
              </w:rPr>
            </w:pPr>
            <w:r w:rsidRPr="00505442">
              <w:rPr>
                <w:color w:val="000000"/>
                <w:sz w:val="20"/>
                <w:szCs w:val="20"/>
              </w:rPr>
              <w:t>117 805</w:t>
            </w:r>
          </w:p>
        </w:tc>
        <w:tc>
          <w:tcPr>
            <w:tcW w:w="1083" w:type="dxa"/>
            <w:tcBorders>
              <w:top w:val="nil"/>
              <w:left w:val="nil"/>
              <w:bottom w:val="nil"/>
              <w:right w:val="single" w:sz="4" w:space="0" w:color="auto"/>
            </w:tcBorders>
            <w:shd w:val="clear" w:color="auto" w:fill="auto"/>
            <w:vAlign w:val="center"/>
            <w:hideMark/>
          </w:tcPr>
          <w:p w:rsidR="00242C36" w:rsidRPr="00A50DDD" w:rsidRDefault="00242C36" w:rsidP="00242C36">
            <w:pPr>
              <w:jc w:val="center"/>
              <w:rPr>
                <w:color w:val="000000"/>
                <w:sz w:val="20"/>
                <w:szCs w:val="20"/>
              </w:rPr>
            </w:pPr>
            <w:r w:rsidRPr="00505442">
              <w:rPr>
                <w:color w:val="000000"/>
                <w:sz w:val="20"/>
                <w:szCs w:val="20"/>
              </w:rPr>
              <w:t>97 250</w:t>
            </w:r>
          </w:p>
        </w:tc>
        <w:tc>
          <w:tcPr>
            <w:tcW w:w="1084" w:type="dxa"/>
            <w:tcBorders>
              <w:top w:val="nil"/>
              <w:left w:val="nil"/>
              <w:bottom w:val="nil"/>
              <w:right w:val="single" w:sz="4" w:space="0" w:color="auto"/>
            </w:tcBorders>
            <w:shd w:val="clear" w:color="auto" w:fill="auto"/>
            <w:vAlign w:val="center"/>
            <w:hideMark/>
          </w:tcPr>
          <w:p w:rsidR="00242C36" w:rsidRPr="00A50DDD" w:rsidRDefault="00242C36" w:rsidP="00242C36">
            <w:pPr>
              <w:jc w:val="center"/>
              <w:rPr>
                <w:color w:val="000000"/>
                <w:sz w:val="20"/>
                <w:szCs w:val="20"/>
              </w:rPr>
            </w:pPr>
            <w:r w:rsidRPr="00505442">
              <w:rPr>
                <w:color w:val="000000"/>
                <w:sz w:val="20"/>
                <w:szCs w:val="20"/>
              </w:rPr>
              <w:t>77 721</w:t>
            </w:r>
          </w:p>
        </w:tc>
        <w:tc>
          <w:tcPr>
            <w:tcW w:w="1083" w:type="dxa"/>
            <w:tcBorders>
              <w:top w:val="nil"/>
              <w:left w:val="nil"/>
              <w:bottom w:val="nil"/>
              <w:right w:val="single" w:sz="4" w:space="0" w:color="auto"/>
            </w:tcBorders>
            <w:shd w:val="clear" w:color="auto" w:fill="auto"/>
            <w:vAlign w:val="center"/>
            <w:hideMark/>
          </w:tcPr>
          <w:p w:rsidR="00242C36" w:rsidRPr="00A50DDD" w:rsidRDefault="00242C36" w:rsidP="00242C36">
            <w:pPr>
              <w:jc w:val="center"/>
              <w:rPr>
                <w:color w:val="000000"/>
                <w:sz w:val="20"/>
                <w:szCs w:val="20"/>
              </w:rPr>
            </w:pPr>
            <w:r w:rsidRPr="00505442">
              <w:rPr>
                <w:color w:val="000000"/>
                <w:sz w:val="20"/>
                <w:szCs w:val="20"/>
              </w:rPr>
              <w:t>108 627</w:t>
            </w:r>
          </w:p>
        </w:tc>
        <w:tc>
          <w:tcPr>
            <w:tcW w:w="1084" w:type="dxa"/>
            <w:tcBorders>
              <w:top w:val="nil"/>
              <w:left w:val="nil"/>
              <w:bottom w:val="nil"/>
              <w:right w:val="single" w:sz="4" w:space="0" w:color="auto"/>
            </w:tcBorders>
            <w:vAlign w:val="center"/>
          </w:tcPr>
          <w:p w:rsidR="00242C36" w:rsidRPr="00A50DDD" w:rsidRDefault="00242C36" w:rsidP="00242C36">
            <w:pPr>
              <w:jc w:val="center"/>
              <w:rPr>
                <w:color w:val="000000"/>
                <w:sz w:val="20"/>
                <w:szCs w:val="20"/>
              </w:rPr>
            </w:pPr>
            <w:r w:rsidRPr="00505442">
              <w:rPr>
                <w:color w:val="000000"/>
                <w:sz w:val="20"/>
                <w:szCs w:val="20"/>
              </w:rPr>
              <w:t>90 806</w:t>
            </w:r>
          </w:p>
        </w:tc>
      </w:tr>
      <w:tr w:rsidR="00242C36" w:rsidRPr="00A50DDD" w:rsidTr="00242C36">
        <w:trPr>
          <w:trHeight w:val="259"/>
        </w:trPr>
        <w:tc>
          <w:tcPr>
            <w:tcW w:w="2536" w:type="dxa"/>
            <w:tcBorders>
              <w:top w:val="nil"/>
              <w:left w:val="single" w:sz="4" w:space="0" w:color="auto"/>
              <w:bottom w:val="nil"/>
              <w:right w:val="single" w:sz="4" w:space="0" w:color="auto"/>
            </w:tcBorders>
            <w:shd w:val="clear" w:color="auto" w:fill="auto"/>
            <w:noWrap/>
            <w:vAlign w:val="bottom"/>
            <w:hideMark/>
          </w:tcPr>
          <w:p w:rsidR="00242C36" w:rsidRPr="00A50DDD" w:rsidRDefault="00242C36" w:rsidP="00242C36">
            <w:pPr>
              <w:rPr>
                <w:color w:val="000000"/>
                <w:sz w:val="20"/>
                <w:szCs w:val="20"/>
              </w:rPr>
            </w:pPr>
            <w:r w:rsidRPr="00505442">
              <w:rPr>
                <w:color w:val="000000"/>
                <w:sz w:val="20"/>
                <w:szCs w:val="20"/>
              </w:rPr>
              <w:t>Produkcia zeleniny celkom</w:t>
            </w:r>
          </w:p>
        </w:tc>
        <w:tc>
          <w:tcPr>
            <w:tcW w:w="1083" w:type="dxa"/>
            <w:tcBorders>
              <w:top w:val="nil"/>
              <w:left w:val="nil"/>
              <w:bottom w:val="nil"/>
              <w:right w:val="single" w:sz="4" w:space="0" w:color="auto"/>
            </w:tcBorders>
            <w:shd w:val="clear" w:color="auto" w:fill="auto"/>
            <w:vAlign w:val="center"/>
            <w:hideMark/>
          </w:tcPr>
          <w:p w:rsidR="00242C36" w:rsidRPr="00A50DDD" w:rsidRDefault="00242C36" w:rsidP="00242C36">
            <w:pPr>
              <w:jc w:val="center"/>
              <w:rPr>
                <w:color w:val="000000"/>
                <w:sz w:val="20"/>
                <w:szCs w:val="20"/>
              </w:rPr>
            </w:pPr>
            <w:r w:rsidRPr="00505442">
              <w:rPr>
                <w:color w:val="000000"/>
                <w:sz w:val="20"/>
                <w:szCs w:val="20"/>
              </w:rPr>
              <w:t>307 756</w:t>
            </w:r>
          </w:p>
        </w:tc>
        <w:tc>
          <w:tcPr>
            <w:tcW w:w="1084" w:type="dxa"/>
            <w:tcBorders>
              <w:top w:val="nil"/>
              <w:left w:val="nil"/>
              <w:bottom w:val="nil"/>
              <w:right w:val="single" w:sz="4" w:space="0" w:color="auto"/>
            </w:tcBorders>
            <w:shd w:val="clear" w:color="auto" w:fill="auto"/>
            <w:vAlign w:val="center"/>
            <w:hideMark/>
          </w:tcPr>
          <w:p w:rsidR="00242C36" w:rsidRPr="00A50DDD" w:rsidRDefault="00242C36" w:rsidP="00242C36">
            <w:pPr>
              <w:jc w:val="center"/>
              <w:rPr>
                <w:color w:val="000000"/>
                <w:sz w:val="20"/>
                <w:szCs w:val="20"/>
              </w:rPr>
            </w:pPr>
            <w:r w:rsidRPr="00505442">
              <w:rPr>
                <w:color w:val="000000"/>
                <w:sz w:val="20"/>
                <w:szCs w:val="20"/>
              </w:rPr>
              <w:t>332 954</w:t>
            </w:r>
          </w:p>
        </w:tc>
        <w:tc>
          <w:tcPr>
            <w:tcW w:w="1083" w:type="dxa"/>
            <w:tcBorders>
              <w:top w:val="nil"/>
              <w:left w:val="nil"/>
              <w:bottom w:val="nil"/>
              <w:right w:val="single" w:sz="4" w:space="0" w:color="auto"/>
            </w:tcBorders>
            <w:shd w:val="clear" w:color="auto" w:fill="auto"/>
            <w:vAlign w:val="center"/>
            <w:hideMark/>
          </w:tcPr>
          <w:p w:rsidR="00242C36" w:rsidRPr="00A50DDD" w:rsidRDefault="00242C36" w:rsidP="00242C36">
            <w:pPr>
              <w:jc w:val="center"/>
              <w:rPr>
                <w:color w:val="000000"/>
                <w:sz w:val="20"/>
                <w:szCs w:val="20"/>
              </w:rPr>
            </w:pPr>
            <w:r w:rsidRPr="00505442">
              <w:rPr>
                <w:color w:val="000000"/>
                <w:sz w:val="20"/>
                <w:szCs w:val="20"/>
              </w:rPr>
              <w:t>312 084</w:t>
            </w:r>
          </w:p>
        </w:tc>
        <w:tc>
          <w:tcPr>
            <w:tcW w:w="1084" w:type="dxa"/>
            <w:tcBorders>
              <w:top w:val="nil"/>
              <w:left w:val="nil"/>
              <w:bottom w:val="nil"/>
              <w:right w:val="single" w:sz="4" w:space="0" w:color="auto"/>
            </w:tcBorders>
            <w:shd w:val="clear" w:color="auto" w:fill="auto"/>
            <w:vAlign w:val="center"/>
            <w:hideMark/>
          </w:tcPr>
          <w:p w:rsidR="00242C36" w:rsidRPr="00A50DDD" w:rsidRDefault="00242C36" w:rsidP="00242C36">
            <w:pPr>
              <w:jc w:val="center"/>
              <w:rPr>
                <w:color w:val="000000"/>
                <w:sz w:val="20"/>
                <w:szCs w:val="20"/>
              </w:rPr>
            </w:pPr>
            <w:r w:rsidRPr="00505442">
              <w:rPr>
                <w:color w:val="000000"/>
                <w:sz w:val="20"/>
                <w:szCs w:val="20"/>
              </w:rPr>
              <w:t>284 429</w:t>
            </w:r>
          </w:p>
        </w:tc>
        <w:tc>
          <w:tcPr>
            <w:tcW w:w="1083" w:type="dxa"/>
            <w:tcBorders>
              <w:top w:val="nil"/>
              <w:left w:val="nil"/>
              <w:bottom w:val="nil"/>
              <w:right w:val="single" w:sz="4" w:space="0" w:color="auto"/>
            </w:tcBorders>
            <w:shd w:val="clear" w:color="auto" w:fill="auto"/>
            <w:vAlign w:val="center"/>
            <w:hideMark/>
          </w:tcPr>
          <w:p w:rsidR="00242C36" w:rsidRPr="00A50DDD" w:rsidRDefault="00242C36" w:rsidP="00242C36">
            <w:pPr>
              <w:jc w:val="center"/>
              <w:rPr>
                <w:color w:val="000000"/>
                <w:sz w:val="20"/>
                <w:szCs w:val="20"/>
              </w:rPr>
            </w:pPr>
            <w:r w:rsidRPr="00505442">
              <w:rPr>
                <w:color w:val="000000"/>
                <w:sz w:val="20"/>
                <w:szCs w:val="20"/>
              </w:rPr>
              <w:t>314 855</w:t>
            </w:r>
          </w:p>
        </w:tc>
        <w:tc>
          <w:tcPr>
            <w:tcW w:w="1084" w:type="dxa"/>
            <w:tcBorders>
              <w:top w:val="nil"/>
              <w:left w:val="nil"/>
              <w:bottom w:val="nil"/>
              <w:right w:val="single" w:sz="4" w:space="0" w:color="auto"/>
            </w:tcBorders>
            <w:vAlign w:val="center"/>
          </w:tcPr>
          <w:p w:rsidR="00242C36" w:rsidRPr="00A50DDD" w:rsidRDefault="00242C36" w:rsidP="00242C36">
            <w:pPr>
              <w:jc w:val="center"/>
              <w:rPr>
                <w:color w:val="000000"/>
                <w:sz w:val="20"/>
                <w:szCs w:val="20"/>
              </w:rPr>
            </w:pPr>
            <w:r w:rsidRPr="00505442">
              <w:rPr>
                <w:color w:val="000000"/>
                <w:sz w:val="20"/>
                <w:szCs w:val="20"/>
              </w:rPr>
              <w:t>310 148</w:t>
            </w:r>
          </w:p>
        </w:tc>
      </w:tr>
      <w:tr w:rsidR="00242C36" w:rsidRPr="00A50DDD" w:rsidTr="00242C36">
        <w:trPr>
          <w:trHeight w:val="259"/>
        </w:trPr>
        <w:tc>
          <w:tcPr>
            <w:tcW w:w="2536" w:type="dxa"/>
            <w:tcBorders>
              <w:top w:val="nil"/>
              <w:left w:val="single" w:sz="4" w:space="0" w:color="auto"/>
              <w:bottom w:val="nil"/>
              <w:right w:val="single" w:sz="4" w:space="0" w:color="auto"/>
            </w:tcBorders>
            <w:shd w:val="clear" w:color="auto" w:fill="auto"/>
            <w:noWrap/>
            <w:vAlign w:val="bottom"/>
            <w:hideMark/>
          </w:tcPr>
          <w:p w:rsidR="00242C36" w:rsidRPr="00A50DDD" w:rsidRDefault="00242C36" w:rsidP="00242C36">
            <w:pPr>
              <w:rPr>
                <w:color w:val="000000"/>
                <w:sz w:val="20"/>
                <w:szCs w:val="20"/>
              </w:rPr>
            </w:pPr>
            <w:r w:rsidRPr="00505442">
              <w:rPr>
                <w:color w:val="000000"/>
                <w:sz w:val="20"/>
                <w:szCs w:val="20"/>
              </w:rPr>
              <w:t>Produkcia ovocia v sadoch</w:t>
            </w:r>
          </w:p>
        </w:tc>
        <w:tc>
          <w:tcPr>
            <w:tcW w:w="1083" w:type="dxa"/>
            <w:tcBorders>
              <w:top w:val="nil"/>
              <w:left w:val="nil"/>
              <w:bottom w:val="nil"/>
              <w:right w:val="single" w:sz="4" w:space="0" w:color="auto"/>
            </w:tcBorders>
            <w:shd w:val="clear" w:color="auto" w:fill="auto"/>
            <w:vAlign w:val="center"/>
            <w:hideMark/>
          </w:tcPr>
          <w:p w:rsidR="00242C36" w:rsidRPr="00A50DDD" w:rsidRDefault="00242C36" w:rsidP="00242C36">
            <w:pPr>
              <w:jc w:val="center"/>
              <w:rPr>
                <w:color w:val="000000"/>
                <w:sz w:val="20"/>
                <w:szCs w:val="20"/>
              </w:rPr>
            </w:pPr>
            <w:r w:rsidRPr="00505442">
              <w:rPr>
                <w:color w:val="000000"/>
                <w:sz w:val="20"/>
                <w:szCs w:val="20"/>
              </w:rPr>
              <w:t>22 316</w:t>
            </w:r>
          </w:p>
        </w:tc>
        <w:tc>
          <w:tcPr>
            <w:tcW w:w="1084" w:type="dxa"/>
            <w:tcBorders>
              <w:top w:val="nil"/>
              <w:left w:val="nil"/>
              <w:bottom w:val="nil"/>
              <w:right w:val="single" w:sz="4" w:space="0" w:color="auto"/>
            </w:tcBorders>
            <w:shd w:val="clear" w:color="auto" w:fill="auto"/>
            <w:vAlign w:val="center"/>
            <w:hideMark/>
          </w:tcPr>
          <w:p w:rsidR="00242C36" w:rsidRPr="00A50DDD" w:rsidRDefault="00242C36" w:rsidP="00242C36">
            <w:pPr>
              <w:jc w:val="center"/>
              <w:rPr>
                <w:color w:val="000000"/>
                <w:sz w:val="20"/>
                <w:szCs w:val="20"/>
              </w:rPr>
            </w:pPr>
            <w:r w:rsidRPr="00505442">
              <w:rPr>
                <w:color w:val="000000"/>
                <w:sz w:val="20"/>
                <w:szCs w:val="20"/>
              </w:rPr>
              <w:t>48 762</w:t>
            </w:r>
          </w:p>
        </w:tc>
        <w:tc>
          <w:tcPr>
            <w:tcW w:w="1083" w:type="dxa"/>
            <w:tcBorders>
              <w:top w:val="nil"/>
              <w:left w:val="nil"/>
              <w:bottom w:val="nil"/>
              <w:right w:val="single" w:sz="4" w:space="0" w:color="auto"/>
            </w:tcBorders>
            <w:shd w:val="clear" w:color="auto" w:fill="auto"/>
            <w:vAlign w:val="center"/>
            <w:hideMark/>
          </w:tcPr>
          <w:p w:rsidR="00242C36" w:rsidRPr="00A50DDD" w:rsidRDefault="00242C36" w:rsidP="00242C36">
            <w:pPr>
              <w:jc w:val="center"/>
              <w:rPr>
                <w:color w:val="000000"/>
                <w:sz w:val="20"/>
                <w:szCs w:val="20"/>
              </w:rPr>
            </w:pPr>
            <w:r w:rsidRPr="00505442">
              <w:rPr>
                <w:color w:val="000000"/>
                <w:sz w:val="20"/>
                <w:szCs w:val="20"/>
              </w:rPr>
              <w:t>46 264</w:t>
            </w:r>
          </w:p>
        </w:tc>
        <w:tc>
          <w:tcPr>
            <w:tcW w:w="1084" w:type="dxa"/>
            <w:tcBorders>
              <w:top w:val="nil"/>
              <w:left w:val="nil"/>
              <w:bottom w:val="nil"/>
              <w:right w:val="single" w:sz="4" w:space="0" w:color="auto"/>
            </w:tcBorders>
            <w:shd w:val="clear" w:color="auto" w:fill="auto"/>
            <w:vAlign w:val="center"/>
            <w:hideMark/>
          </w:tcPr>
          <w:p w:rsidR="00242C36" w:rsidRPr="00A50DDD" w:rsidRDefault="00242C36" w:rsidP="00242C36">
            <w:pPr>
              <w:jc w:val="center"/>
              <w:rPr>
                <w:color w:val="000000"/>
                <w:sz w:val="20"/>
                <w:szCs w:val="20"/>
              </w:rPr>
            </w:pPr>
            <w:r w:rsidRPr="00505442">
              <w:rPr>
                <w:color w:val="000000"/>
                <w:sz w:val="20"/>
                <w:szCs w:val="20"/>
              </w:rPr>
              <w:t>40 519</w:t>
            </w:r>
          </w:p>
        </w:tc>
        <w:tc>
          <w:tcPr>
            <w:tcW w:w="1083" w:type="dxa"/>
            <w:tcBorders>
              <w:top w:val="nil"/>
              <w:left w:val="nil"/>
              <w:bottom w:val="nil"/>
              <w:right w:val="single" w:sz="4" w:space="0" w:color="auto"/>
            </w:tcBorders>
            <w:shd w:val="clear" w:color="auto" w:fill="auto"/>
            <w:vAlign w:val="center"/>
            <w:hideMark/>
          </w:tcPr>
          <w:p w:rsidR="00242C36" w:rsidRPr="00A50DDD" w:rsidRDefault="00242C36" w:rsidP="00242C36">
            <w:pPr>
              <w:jc w:val="center"/>
              <w:rPr>
                <w:color w:val="000000"/>
                <w:sz w:val="20"/>
                <w:szCs w:val="20"/>
              </w:rPr>
            </w:pPr>
            <w:r w:rsidRPr="00505442">
              <w:rPr>
                <w:color w:val="000000"/>
                <w:sz w:val="20"/>
                <w:szCs w:val="20"/>
              </w:rPr>
              <w:t>37 158</w:t>
            </w:r>
          </w:p>
        </w:tc>
        <w:tc>
          <w:tcPr>
            <w:tcW w:w="1084" w:type="dxa"/>
            <w:tcBorders>
              <w:top w:val="nil"/>
              <w:left w:val="nil"/>
              <w:bottom w:val="nil"/>
              <w:right w:val="single" w:sz="4" w:space="0" w:color="auto"/>
            </w:tcBorders>
            <w:vAlign w:val="center"/>
          </w:tcPr>
          <w:p w:rsidR="00242C36" w:rsidRPr="00A50DDD" w:rsidRDefault="00242C36" w:rsidP="00242C36">
            <w:pPr>
              <w:jc w:val="center"/>
              <w:rPr>
                <w:color w:val="000000"/>
                <w:sz w:val="20"/>
                <w:szCs w:val="20"/>
              </w:rPr>
            </w:pPr>
            <w:r w:rsidRPr="00505442">
              <w:rPr>
                <w:color w:val="000000"/>
                <w:sz w:val="20"/>
                <w:szCs w:val="20"/>
              </w:rPr>
              <w:t>50 326</w:t>
            </w:r>
          </w:p>
        </w:tc>
      </w:tr>
      <w:tr w:rsidR="00242C36" w:rsidRPr="00A50DDD" w:rsidTr="00242C36">
        <w:trPr>
          <w:trHeight w:val="259"/>
        </w:trPr>
        <w:tc>
          <w:tcPr>
            <w:tcW w:w="2536" w:type="dxa"/>
            <w:tcBorders>
              <w:top w:val="nil"/>
              <w:left w:val="single" w:sz="4" w:space="0" w:color="auto"/>
              <w:bottom w:val="single" w:sz="4" w:space="0" w:color="auto"/>
              <w:right w:val="single" w:sz="4" w:space="0" w:color="auto"/>
            </w:tcBorders>
            <w:shd w:val="clear" w:color="auto" w:fill="auto"/>
            <w:noWrap/>
            <w:vAlign w:val="bottom"/>
            <w:hideMark/>
          </w:tcPr>
          <w:p w:rsidR="00242C36" w:rsidRPr="00A50DDD" w:rsidRDefault="00242C36" w:rsidP="00242C36">
            <w:pPr>
              <w:rPr>
                <w:color w:val="000000"/>
                <w:sz w:val="20"/>
                <w:szCs w:val="20"/>
              </w:rPr>
            </w:pPr>
            <w:r w:rsidRPr="00505442">
              <w:rPr>
                <w:color w:val="000000"/>
                <w:sz w:val="20"/>
                <w:szCs w:val="20"/>
              </w:rPr>
              <w:t>Produkcia ovocia celkom</w:t>
            </w:r>
          </w:p>
        </w:tc>
        <w:tc>
          <w:tcPr>
            <w:tcW w:w="1083" w:type="dxa"/>
            <w:tcBorders>
              <w:top w:val="nil"/>
              <w:left w:val="nil"/>
              <w:bottom w:val="single" w:sz="4" w:space="0" w:color="auto"/>
              <w:right w:val="single" w:sz="4" w:space="0" w:color="auto"/>
            </w:tcBorders>
            <w:shd w:val="clear" w:color="auto" w:fill="auto"/>
            <w:vAlign w:val="center"/>
            <w:hideMark/>
          </w:tcPr>
          <w:p w:rsidR="00242C36" w:rsidRPr="00A50DDD" w:rsidRDefault="00242C36" w:rsidP="00242C36">
            <w:pPr>
              <w:jc w:val="center"/>
              <w:rPr>
                <w:color w:val="000000"/>
                <w:sz w:val="20"/>
                <w:szCs w:val="20"/>
              </w:rPr>
            </w:pPr>
            <w:r w:rsidRPr="00505442">
              <w:rPr>
                <w:color w:val="000000"/>
                <w:sz w:val="20"/>
                <w:szCs w:val="20"/>
              </w:rPr>
              <w:t>45 900</w:t>
            </w:r>
          </w:p>
        </w:tc>
        <w:tc>
          <w:tcPr>
            <w:tcW w:w="1084" w:type="dxa"/>
            <w:tcBorders>
              <w:top w:val="nil"/>
              <w:left w:val="nil"/>
              <w:bottom w:val="single" w:sz="4" w:space="0" w:color="auto"/>
              <w:right w:val="single" w:sz="4" w:space="0" w:color="auto"/>
            </w:tcBorders>
            <w:shd w:val="clear" w:color="auto" w:fill="auto"/>
            <w:vAlign w:val="center"/>
            <w:hideMark/>
          </w:tcPr>
          <w:p w:rsidR="00242C36" w:rsidRPr="00A50DDD" w:rsidRDefault="00242C36" w:rsidP="00242C36">
            <w:pPr>
              <w:jc w:val="center"/>
              <w:rPr>
                <w:color w:val="000000"/>
                <w:sz w:val="20"/>
                <w:szCs w:val="20"/>
              </w:rPr>
            </w:pPr>
            <w:r w:rsidRPr="00505442">
              <w:rPr>
                <w:color w:val="000000"/>
                <w:sz w:val="20"/>
                <w:szCs w:val="20"/>
              </w:rPr>
              <w:t>75 656</w:t>
            </w:r>
          </w:p>
        </w:tc>
        <w:tc>
          <w:tcPr>
            <w:tcW w:w="1083" w:type="dxa"/>
            <w:tcBorders>
              <w:top w:val="nil"/>
              <w:left w:val="nil"/>
              <w:bottom w:val="single" w:sz="4" w:space="0" w:color="auto"/>
              <w:right w:val="single" w:sz="4" w:space="0" w:color="auto"/>
            </w:tcBorders>
            <w:shd w:val="clear" w:color="auto" w:fill="auto"/>
            <w:vAlign w:val="center"/>
            <w:hideMark/>
          </w:tcPr>
          <w:p w:rsidR="00242C36" w:rsidRPr="00A50DDD" w:rsidRDefault="00242C36" w:rsidP="00242C36">
            <w:pPr>
              <w:jc w:val="center"/>
              <w:rPr>
                <w:color w:val="000000"/>
                <w:sz w:val="20"/>
                <w:szCs w:val="20"/>
              </w:rPr>
            </w:pPr>
            <w:r w:rsidRPr="00505442">
              <w:rPr>
                <w:color w:val="000000"/>
                <w:sz w:val="20"/>
                <w:szCs w:val="20"/>
              </w:rPr>
              <w:t>69 086</w:t>
            </w:r>
          </w:p>
        </w:tc>
        <w:tc>
          <w:tcPr>
            <w:tcW w:w="1084" w:type="dxa"/>
            <w:tcBorders>
              <w:top w:val="nil"/>
              <w:left w:val="nil"/>
              <w:bottom w:val="single" w:sz="4" w:space="0" w:color="auto"/>
              <w:right w:val="single" w:sz="4" w:space="0" w:color="auto"/>
            </w:tcBorders>
            <w:shd w:val="clear" w:color="auto" w:fill="auto"/>
            <w:vAlign w:val="center"/>
            <w:hideMark/>
          </w:tcPr>
          <w:p w:rsidR="00242C36" w:rsidRPr="00A50DDD" w:rsidRDefault="00242C36" w:rsidP="00242C36">
            <w:pPr>
              <w:jc w:val="center"/>
              <w:rPr>
                <w:color w:val="000000"/>
                <w:sz w:val="20"/>
                <w:szCs w:val="20"/>
              </w:rPr>
            </w:pPr>
            <w:r w:rsidRPr="00505442">
              <w:rPr>
                <w:color w:val="000000"/>
                <w:sz w:val="20"/>
                <w:szCs w:val="20"/>
              </w:rPr>
              <w:t>58 722</w:t>
            </w:r>
          </w:p>
        </w:tc>
        <w:tc>
          <w:tcPr>
            <w:tcW w:w="1083" w:type="dxa"/>
            <w:tcBorders>
              <w:top w:val="nil"/>
              <w:left w:val="nil"/>
              <w:bottom w:val="single" w:sz="4" w:space="0" w:color="auto"/>
              <w:right w:val="single" w:sz="4" w:space="0" w:color="auto"/>
            </w:tcBorders>
            <w:shd w:val="clear" w:color="auto" w:fill="auto"/>
            <w:vAlign w:val="center"/>
            <w:hideMark/>
          </w:tcPr>
          <w:p w:rsidR="00242C36" w:rsidRPr="00A50DDD" w:rsidRDefault="00242C36" w:rsidP="00242C36">
            <w:pPr>
              <w:jc w:val="center"/>
              <w:rPr>
                <w:color w:val="000000"/>
                <w:sz w:val="20"/>
                <w:szCs w:val="20"/>
              </w:rPr>
            </w:pPr>
            <w:r w:rsidRPr="00505442">
              <w:rPr>
                <w:color w:val="000000"/>
                <w:sz w:val="20"/>
                <w:szCs w:val="20"/>
              </w:rPr>
              <w:t>50 732</w:t>
            </w:r>
          </w:p>
        </w:tc>
        <w:tc>
          <w:tcPr>
            <w:tcW w:w="1084" w:type="dxa"/>
            <w:tcBorders>
              <w:top w:val="nil"/>
              <w:left w:val="nil"/>
              <w:bottom w:val="single" w:sz="4" w:space="0" w:color="auto"/>
              <w:right w:val="single" w:sz="4" w:space="0" w:color="auto"/>
            </w:tcBorders>
            <w:vAlign w:val="center"/>
          </w:tcPr>
          <w:p w:rsidR="00242C36" w:rsidRPr="00A50DDD" w:rsidRDefault="00242C36" w:rsidP="00242C36">
            <w:pPr>
              <w:jc w:val="center"/>
              <w:rPr>
                <w:color w:val="000000"/>
                <w:sz w:val="20"/>
                <w:szCs w:val="20"/>
              </w:rPr>
            </w:pPr>
            <w:r w:rsidRPr="00505442">
              <w:rPr>
                <w:color w:val="000000"/>
                <w:sz w:val="20"/>
                <w:szCs w:val="20"/>
              </w:rPr>
              <w:t>62 590</w:t>
            </w:r>
          </w:p>
        </w:tc>
      </w:tr>
    </w:tbl>
    <w:p w:rsidR="00242C36" w:rsidRPr="00A50DDD" w:rsidRDefault="00242C36" w:rsidP="00242C36">
      <w:pPr>
        <w:rPr>
          <w:sz w:val="20"/>
          <w:szCs w:val="20"/>
        </w:rPr>
      </w:pPr>
      <w:r w:rsidRPr="00505442">
        <w:rPr>
          <w:sz w:val="20"/>
          <w:szCs w:val="20"/>
        </w:rPr>
        <w:t>Prameň: ŠÚ SR, ÚKSÚP</w:t>
      </w:r>
    </w:p>
    <w:p w:rsidR="00242C36" w:rsidRPr="00A50DDD" w:rsidRDefault="00242C36" w:rsidP="007D119F">
      <w:pPr>
        <w:spacing w:after="60"/>
        <w:rPr>
          <w:szCs w:val="22"/>
        </w:rPr>
      </w:pPr>
      <w:r w:rsidRPr="00505442">
        <w:rPr>
          <w:szCs w:val="22"/>
        </w:rPr>
        <w:t>Produkcia zeleniny klesla po vstupe do EÚ z dôvodu dovozu lacných druhov zeleniny. Domáca produkcia sa nevykupovala, preto sa mnohí pestovatelia vzdali pestovania zeleniny.</w:t>
      </w:r>
    </w:p>
    <w:p w:rsidR="00242C36" w:rsidRPr="00A50DDD" w:rsidRDefault="00242C36" w:rsidP="007D119F">
      <w:pPr>
        <w:spacing w:after="60"/>
        <w:rPr>
          <w:szCs w:val="22"/>
        </w:rPr>
      </w:pPr>
      <w:r w:rsidRPr="00505442">
        <w:rPr>
          <w:szCs w:val="22"/>
        </w:rPr>
        <w:t>V roku 2012 prišli do rodivosti sady budované za podpory štátu, preto sa zvýšila úroda ovocia. Podpora z</w:t>
      </w:r>
      <w:r>
        <w:rPr>
          <w:szCs w:val="22"/>
        </w:rPr>
        <w:t> </w:t>
      </w:r>
      <w:r w:rsidRPr="00505442">
        <w:rPr>
          <w:szCs w:val="22"/>
        </w:rPr>
        <w:t>PRV</w:t>
      </w:r>
      <w:r>
        <w:rPr>
          <w:szCs w:val="22"/>
        </w:rPr>
        <w:t xml:space="preserve"> SR 2007 – 2013</w:t>
      </w:r>
      <w:r w:rsidRPr="00505442">
        <w:rPr>
          <w:szCs w:val="22"/>
        </w:rPr>
        <w:t xml:space="preserve"> </w:t>
      </w:r>
      <w:r>
        <w:rPr>
          <w:szCs w:val="22"/>
        </w:rPr>
        <w:t xml:space="preserve">na integrovanú produkciu </w:t>
      </w:r>
      <w:r w:rsidRPr="00505442">
        <w:rPr>
          <w:szCs w:val="22"/>
        </w:rPr>
        <w:t>má význam pre ovocinárov. Vďaka nej majú kvalitnejšiu pestovateľskú technológiu, čo im umožňuje zvyšovanie intenzity výroby ovocia.</w:t>
      </w:r>
    </w:p>
    <w:p w:rsidR="00242C36" w:rsidRDefault="00242C36" w:rsidP="00242C36">
      <w:pPr>
        <w:rPr>
          <w:rFonts w:ascii="Calibri" w:hAnsi="Calibri"/>
          <w:szCs w:val="22"/>
        </w:rPr>
      </w:pPr>
    </w:p>
    <w:p w:rsidR="00242C36" w:rsidRPr="00B50921" w:rsidRDefault="00242C36" w:rsidP="00242C36">
      <w:pPr>
        <w:rPr>
          <w:rFonts w:ascii="Calibri" w:hAnsi="Calibri"/>
          <w:b/>
          <w:szCs w:val="22"/>
          <w:u w:val="single"/>
        </w:rPr>
      </w:pPr>
      <w:r w:rsidRPr="00B50921">
        <w:rPr>
          <w:rFonts w:ascii="Calibri" w:hAnsi="Calibri"/>
          <w:b/>
          <w:szCs w:val="22"/>
          <w:u w:val="single"/>
        </w:rPr>
        <w:t xml:space="preserve">Pracovná sila v poľnohospodárstve </w:t>
      </w:r>
    </w:p>
    <w:p w:rsidR="00242C36" w:rsidRDefault="00242C36" w:rsidP="00242C36">
      <w:pPr>
        <w:spacing w:before="120"/>
        <w:rPr>
          <w:rFonts w:ascii="Calibri" w:hAnsi="Calibri"/>
          <w:szCs w:val="22"/>
        </w:rPr>
      </w:pPr>
      <w:r w:rsidRPr="00E43137">
        <w:rPr>
          <w:rFonts w:ascii="Calibri" w:hAnsi="Calibri"/>
          <w:szCs w:val="22"/>
        </w:rPr>
        <w:t>Podľa poľnohospodárskeho cenzu v roku 2010 pracovalo  na farmách  na Slovensku 90 961 osôb</w:t>
      </w:r>
      <w:r>
        <w:rPr>
          <w:rFonts w:ascii="Calibri" w:hAnsi="Calibri"/>
          <w:szCs w:val="22"/>
        </w:rPr>
        <w:t xml:space="preserve"> (</w:t>
      </w:r>
      <w:r w:rsidRPr="00674220">
        <w:rPr>
          <w:rFonts w:ascii="Calibri" w:hAnsi="Calibri"/>
          <w:b/>
          <w:szCs w:val="22"/>
        </w:rPr>
        <w:t>CCI 22</w:t>
      </w:r>
      <w:r>
        <w:rPr>
          <w:rFonts w:ascii="Calibri" w:hAnsi="Calibri"/>
          <w:szCs w:val="22"/>
        </w:rPr>
        <w:t>)</w:t>
      </w:r>
      <w:r w:rsidRPr="00E43137">
        <w:rPr>
          <w:rFonts w:ascii="Calibri" w:hAnsi="Calibri"/>
          <w:szCs w:val="22"/>
        </w:rPr>
        <w:t xml:space="preserve">. Z toho fyzické osoby tvorili 53,2 % (48 365 osôb) a v tom neregistrované osoby až 69,9 %. V porovnaní s predchádzajúcimi cenzami sa zvýšil počet neregistrovaných fyzických osôb, čo súvisí s nárastom celkovej nezamestnanosti na Slovensku a s väčším využitím existujúceho potenciálu na zlepšenie  situácie.   </w:t>
      </w:r>
    </w:p>
    <w:p w:rsidR="00242C36" w:rsidRPr="00E43137" w:rsidRDefault="00242C36" w:rsidP="00242C36">
      <w:pPr>
        <w:spacing w:before="120"/>
        <w:rPr>
          <w:rFonts w:ascii="Calibri" w:hAnsi="Calibri"/>
          <w:szCs w:val="22"/>
        </w:rPr>
      </w:pPr>
      <w:r w:rsidRPr="00E43137">
        <w:rPr>
          <w:rFonts w:ascii="Calibri" w:hAnsi="Calibri"/>
          <w:szCs w:val="22"/>
        </w:rPr>
        <w:t>Z hľadiska  vekovej štruktúry najviac pracovníkov bolo v roku 2010 vo veku nad 50 rokov a to tak u právnických i fyzických osôb. Mladí farmári do 40 rokov tvorili u právnických osôb 18,8 % a u fyzických osôb 13,3 %. Dôvodom nezáujmu mladých ľudí o prácu na poľnohospodárskych farmách je viacero, ako napr. problémy so získaním vlastnej pôdy</w:t>
      </w:r>
      <w:r>
        <w:rPr>
          <w:rFonts w:ascii="Calibri" w:hAnsi="Calibri"/>
          <w:szCs w:val="22"/>
        </w:rPr>
        <w:t xml:space="preserve">, silná konkurencia na trhu, </w:t>
      </w:r>
      <w:r w:rsidRPr="00E43137">
        <w:rPr>
          <w:rFonts w:ascii="Calibri" w:hAnsi="Calibri"/>
          <w:szCs w:val="22"/>
        </w:rPr>
        <w:t>absencia dlhodobej koncepcie pre mladých</w:t>
      </w:r>
      <w:r>
        <w:rPr>
          <w:rFonts w:ascii="Calibri" w:hAnsi="Calibri"/>
          <w:szCs w:val="22"/>
        </w:rPr>
        <w:t xml:space="preserve">. </w:t>
      </w:r>
      <w:r w:rsidRPr="00E43137">
        <w:rPr>
          <w:rFonts w:ascii="Calibri" w:hAnsi="Calibri"/>
          <w:szCs w:val="22"/>
        </w:rPr>
        <w:t>atď.</w:t>
      </w:r>
    </w:p>
    <w:p w:rsidR="00242C36" w:rsidRPr="00E43137" w:rsidRDefault="00242C36" w:rsidP="00242C36">
      <w:pPr>
        <w:ind w:firstLine="708"/>
        <w:rPr>
          <w:rFonts w:ascii="Calibri" w:hAnsi="Calibri"/>
          <w:szCs w:val="22"/>
        </w:rPr>
      </w:pPr>
    </w:p>
    <w:p w:rsidR="00242C36" w:rsidRPr="00E43137" w:rsidRDefault="007D119F" w:rsidP="00242C36">
      <w:pPr>
        <w:rPr>
          <w:rFonts w:ascii="Calibri" w:hAnsi="Calibri"/>
          <w:b/>
          <w:szCs w:val="22"/>
        </w:rPr>
      </w:pPr>
      <w:r>
        <w:rPr>
          <w:rFonts w:ascii="Calibri" w:hAnsi="Calibri"/>
          <w:b/>
          <w:szCs w:val="22"/>
        </w:rPr>
        <w:t xml:space="preserve">Tabuľka 18: </w:t>
      </w:r>
      <w:r w:rsidR="00242C36" w:rsidRPr="00E43137">
        <w:rPr>
          <w:rFonts w:ascii="Calibri" w:hAnsi="Calibri"/>
          <w:b/>
          <w:szCs w:val="22"/>
        </w:rPr>
        <w:t>Veková štruktúra mladých pracujúcich na farmách SR (rok 2010)</w:t>
      </w:r>
      <w:r w:rsidR="00242C36">
        <w:rPr>
          <w:rFonts w:ascii="Calibri" w:hAnsi="Calibri"/>
          <w:b/>
          <w:szCs w:val="22"/>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06"/>
        <w:gridCol w:w="4606"/>
      </w:tblGrid>
      <w:tr w:rsidR="00242C36" w:rsidRPr="00E43137" w:rsidTr="00242C36">
        <w:tc>
          <w:tcPr>
            <w:tcW w:w="4606" w:type="dxa"/>
            <w:shd w:val="clear" w:color="auto" w:fill="auto"/>
          </w:tcPr>
          <w:p w:rsidR="00242C36" w:rsidRPr="00E43137" w:rsidRDefault="00242C36" w:rsidP="00242C36">
            <w:pPr>
              <w:rPr>
                <w:rFonts w:ascii="Calibri" w:eastAsia="Calibri" w:hAnsi="Calibri"/>
                <w:b/>
                <w:sz w:val="18"/>
                <w:szCs w:val="18"/>
                <w:lang w:eastAsia="en-US"/>
              </w:rPr>
            </w:pPr>
            <w:r w:rsidRPr="00E43137">
              <w:rPr>
                <w:rFonts w:ascii="Calibri" w:eastAsia="Calibri" w:hAnsi="Calibri"/>
                <w:b/>
                <w:sz w:val="18"/>
                <w:szCs w:val="18"/>
                <w:lang w:eastAsia="en-US"/>
              </w:rPr>
              <w:t xml:space="preserve">Vek </w:t>
            </w:r>
          </w:p>
        </w:tc>
        <w:tc>
          <w:tcPr>
            <w:tcW w:w="4606" w:type="dxa"/>
            <w:shd w:val="clear" w:color="auto" w:fill="auto"/>
          </w:tcPr>
          <w:p w:rsidR="00242C36" w:rsidRPr="00E43137" w:rsidRDefault="00242C36" w:rsidP="00242C36">
            <w:pPr>
              <w:rPr>
                <w:rFonts w:ascii="Calibri" w:eastAsia="Calibri" w:hAnsi="Calibri"/>
                <w:b/>
                <w:sz w:val="18"/>
                <w:szCs w:val="18"/>
                <w:lang w:eastAsia="en-US"/>
              </w:rPr>
            </w:pPr>
            <w:r w:rsidRPr="00E43137">
              <w:rPr>
                <w:rFonts w:ascii="Calibri" w:eastAsia="Calibri" w:hAnsi="Calibri"/>
                <w:b/>
                <w:sz w:val="18"/>
                <w:szCs w:val="18"/>
                <w:lang w:eastAsia="en-US"/>
              </w:rPr>
              <w:t>Fyzické osoby</w:t>
            </w:r>
          </w:p>
        </w:tc>
      </w:tr>
      <w:tr w:rsidR="00242C36" w:rsidRPr="00E43137" w:rsidTr="00242C36">
        <w:tc>
          <w:tcPr>
            <w:tcW w:w="4606" w:type="dxa"/>
            <w:shd w:val="clear" w:color="auto" w:fill="auto"/>
          </w:tcPr>
          <w:p w:rsidR="00242C36" w:rsidRPr="00E43137" w:rsidRDefault="00242C36" w:rsidP="00242C36">
            <w:pPr>
              <w:rPr>
                <w:rFonts w:ascii="Calibri" w:eastAsia="Calibri" w:hAnsi="Calibri"/>
                <w:sz w:val="18"/>
                <w:szCs w:val="18"/>
                <w:lang w:eastAsia="en-US"/>
              </w:rPr>
            </w:pPr>
            <w:r w:rsidRPr="00E43137">
              <w:rPr>
                <w:rFonts w:ascii="Calibri" w:eastAsia="Calibri" w:hAnsi="Calibri"/>
                <w:sz w:val="18"/>
                <w:szCs w:val="18"/>
                <w:lang w:eastAsia="en-US"/>
              </w:rPr>
              <w:t xml:space="preserve"> do 24 rokov </w:t>
            </w:r>
          </w:p>
        </w:tc>
        <w:tc>
          <w:tcPr>
            <w:tcW w:w="4606" w:type="dxa"/>
            <w:shd w:val="clear" w:color="auto" w:fill="auto"/>
          </w:tcPr>
          <w:p w:rsidR="00242C36" w:rsidRPr="00E43137" w:rsidRDefault="00242C36" w:rsidP="00242C36">
            <w:pPr>
              <w:rPr>
                <w:rFonts w:ascii="Calibri" w:eastAsia="Calibri" w:hAnsi="Calibri"/>
                <w:sz w:val="18"/>
                <w:szCs w:val="18"/>
                <w:lang w:eastAsia="en-US"/>
              </w:rPr>
            </w:pPr>
            <w:r w:rsidRPr="00E43137">
              <w:rPr>
                <w:rFonts w:ascii="Calibri" w:eastAsia="Calibri" w:hAnsi="Calibri"/>
                <w:sz w:val="18"/>
                <w:szCs w:val="18"/>
                <w:lang w:eastAsia="en-US"/>
              </w:rPr>
              <w:t>213</w:t>
            </w:r>
          </w:p>
        </w:tc>
      </w:tr>
      <w:tr w:rsidR="00242C36" w:rsidRPr="00E43137" w:rsidTr="00242C36">
        <w:tc>
          <w:tcPr>
            <w:tcW w:w="4606" w:type="dxa"/>
            <w:shd w:val="clear" w:color="auto" w:fill="auto"/>
          </w:tcPr>
          <w:p w:rsidR="00242C36" w:rsidRPr="00E43137" w:rsidRDefault="00242C36" w:rsidP="00242C36">
            <w:pPr>
              <w:rPr>
                <w:rFonts w:ascii="Calibri" w:eastAsia="Calibri" w:hAnsi="Calibri"/>
                <w:sz w:val="18"/>
                <w:szCs w:val="18"/>
                <w:lang w:eastAsia="en-US"/>
              </w:rPr>
            </w:pPr>
            <w:r w:rsidRPr="00E43137">
              <w:rPr>
                <w:rFonts w:ascii="Calibri" w:eastAsia="Calibri" w:hAnsi="Calibri"/>
                <w:sz w:val="18"/>
                <w:szCs w:val="18"/>
                <w:lang w:eastAsia="en-US"/>
              </w:rPr>
              <w:t xml:space="preserve"> 25-29</w:t>
            </w:r>
          </w:p>
        </w:tc>
        <w:tc>
          <w:tcPr>
            <w:tcW w:w="4606" w:type="dxa"/>
            <w:shd w:val="clear" w:color="auto" w:fill="auto"/>
          </w:tcPr>
          <w:p w:rsidR="00242C36" w:rsidRPr="00E43137" w:rsidRDefault="00242C36" w:rsidP="00242C36">
            <w:pPr>
              <w:rPr>
                <w:rFonts w:ascii="Calibri" w:eastAsia="Calibri" w:hAnsi="Calibri"/>
                <w:sz w:val="18"/>
                <w:szCs w:val="18"/>
                <w:lang w:eastAsia="en-US"/>
              </w:rPr>
            </w:pPr>
            <w:r w:rsidRPr="00E43137">
              <w:rPr>
                <w:rFonts w:ascii="Calibri" w:eastAsia="Calibri" w:hAnsi="Calibri"/>
                <w:sz w:val="18"/>
                <w:szCs w:val="18"/>
                <w:lang w:eastAsia="en-US"/>
              </w:rPr>
              <w:t>644</w:t>
            </w:r>
          </w:p>
        </w:tc>
      </w:tr>
      <w:tr w:rsidR="00242C36" w:rsidRPr="00E43137" w:rsidTr="00242C36">
        <w:tc>
          <w:tcPr>
            <w:tcW w:w="4606" w:type="dxa"/>
            <w:shd w:val="clear" w:color="auto" w:fill="auto"/>
          </w:tcPr>
          <w:p w:rsidR="00242C36" w:rsidRPr="00E43137" w:rsidRDefault="00242C36" w:rsidP="00242C36">
            <w:pPr>
              <w:rPr>
                <w:rFonts w:ascii="Calibri" w:eastAsia="Calibri" w:hAnsi="Calibri"/>
                <w:sz w:val="18"/>
                <w:szCs w:val="18"/>
                <w:lang w:eastAsia="en-US"/>
              </w:rPr>
            </w:pPr>
            <w:r w:rsidRPr="00E43137">
              <w:rPr>
                <w:rFonts w:ascii="Calibri" w:eastAsia="Calibri" w:hAnsi="Calibri"/>
                <w:sz w:val="18"/>
                <w:szCs w:val="18"/>
                <w:lang w:eastAsia="en-US"/>
              </w:rPr>
              <w:t xml:space="preserve"> 30-34</w:t>
            </w:r>
          </w:p>
        </w:tc>
        <w:tc>
          <w:tcPr>
            <w:tcW w:w="4606" w:type="dxa"/>
            <w:shd w:val="clear" w:color="auto" w:fill="auto"/>
          </w:tcPr>
          <w:p w:rsidR="00242C36" w:rsidRPr="00E43137" w:rsidRDefault="00242C36" w:rsidP="00242C36">
            <w:pPr>
              <w:rPr>
                <w:rFonts w:ascii="Calibri" w:eastAsia="Calibri" w:hAnsi="Calibri"/>
                <w:sz w:val="18"/>
                <w:szCs w:val="18"/>
                <w:lang w:eastAsia="en-US"/>
              </w:rPr>
            </w:pPr>
            <w:r w:rsidRPr="00E43137">
              <w:rPr>
                <w:rFonts w:ascii="Calibri" w:eastAsia="Calibri" w:hAnsi="Calibri"/>
                <w:sz w:val="18"/>
                <w:szCs w:val="18"/>
                <w:lang w:eastAsia="en-US"/>
              </w:rPr>
              <w:t>1 521</w:t>
            </w:r>
          </w:p>
        </w:tc>
      </w:tr>
      <w:tr w:rsidR="00242C36" w:rsidRPr="00E43137" w:rsidTr="00242C36">
        <w:tc>
          <w:tcPr>
            <w:tcW w:w="4606" w:type="dxa"/>
            <w:shd w:val="clear" w:color="auto" w:fill="auto"/>
          </w:tcPr>
          <w:p w:rsidR="00242C36" w:rsidRPr="00E43137" w:rsidRDefault="00242C36" w:rsidP="00242C36">
            <w:pPr>
              <w:rPr>
                <w:rFonts w:ascii="Calibri" w:eastAsia="Calibri" w:hAnsi="Calibri"/>
                <w:sz w:val="18"/>
                <w:szCs w:val="18"/>
                <w:lang w:eastAsia="en-US"/>
              </w:rPr>
            </w:pPr>
            <w:r w:rsidRPr="00E43137">
              <w:rPr>
                <w:rFonts w:ascii="Calibri" w:eastAsia="Calibri" w:hAnsi="Calibri"/>
                <w:sz w:val="18"/>
                <w:szCs w:val="18"/>
                <w:lang w:eastAsia="en-US"/>
              </w:rPr>
              <w:t xml:space="preserve"> 35-39</w:t>
            </w:r>
          </w:p>
        </w:tc>
        <w:tc>
          <w:tcPr>
            <w:tcW w:w="4606" w:type="dxa"/>
            <w:shd w:val="clear" w:color="auto" w:fill="auto"/>
          </w:tcPr>
          <w:p w:rsidR="00242C36" w:rsidRPr="00E43137" w:rsidRDefault="00242C36" w:rsidP="00242C36">
            <w:pPr>
              <w:rPr>
                <w:rFonts w:ascii="Calibri" w:eastAsia="Calibri" w:hAnsi="Calibri"/>
                <w:sz w:val="18"/>
                <w:szCs w:val="18"/>
                <w:lang w:eastAsia="en-US"/>
              </w:rPr>
            </w:pPr>
            <w:r w:rsidRPr="00E43137">
              <w:rPr>
                <w:rFonts w:ascii="Calibri" w:eastAsia="Calibri" w:hAnsi="Calibri"/>
                <w:sz w:val="18"/>
                <w:szCs w:val="18"/>
                <w:lang w:eastAsia="en-US"/>
              </w:rPr>
              <w:t>2 406</w:t>
            </w:r>
          </w:p>
        </w:tc>
      </w:tr>
    </w:tbl>
    <w:p w:rsidR="00242C36" w:rsidRPr="00E43137" w:rsidRDefault="00242C36" w:rsidP="00242C36">
      <w:pPr>
        <w:rPr>
          <w:rFonts w:ascii="Calibri" w:hAnsi="Calibri"/>
          <w:sz w:val="20"/>
          <w:szCs w:val="20"/>
        </w:rPr>
      </w:pPr>
      <w:r w:rsidRPr="00E43137">
        <w:rPr>
          <w:rFonts w:ascii="Calibri" w:hAnsi="Calibri"/>
          <w:sz w:val="20"/>
          <w:szCs w:val="20"/>
        </w:rPr>
        <w:t xml:space="preserve">Prameň: CD MPRV SR, </w:t>
      </w:r>
      <w:r>
        <w:rPr>
          <w:rFonts w:ascii="Calibri" w:hAnsi="Calibri"/>
          <w:sz w:val="20"/>
          <w:szCs w:val="20"/>
        </w:rPr>
        <w:t>NPPC-</w:t>
      </w:r>
      <w:r w:rsidRPr="00E43137">
        <w:rPr>
          <w:rFonts w:ascii="Calibri" w:hAnsi="Calibri"/>
          <w:sz w:val="20"/>
          <w:szCs w:val="20"/>
        </w:rPr>
        <w:t>VUEPP, Poľnohospodársky cenzus fariem 2010</w:t>
      </w:r>
    </w:p>
    <w:p w:rsidR="00242C36" w:rsidRPr="00E43137" w:rsidRDefault="00242C36" w:rsidP="00242C36"/>
    <w:p w:rsidR="00242C36" w:rsidRDefault="00242C36" w:rsidP="00242C36">
      <w:pPr>
        <w:pBdr>
          <w:bar w:val="single" w:sz="6" w:color="808080"/>
        </w:pBdr>
        <w:spacing w:after="120"/>
        <w:rPr>
          <w:rFonts w:ascii="Calibri" w:eastAsia="Calibri" w:hAnsi="Calibri" w:cs="Calibri"/>
          <w:szCs w:val="22"/>
          <w:lang w:eastAsia="en-US"/>
        </w:rPr>
      </w:pPr>
      <w:r w:rsidRPr="00E43137">
        <w:rPr>
          <w:rFonts w:ascii="Calibri" w:eastAsia="Calibri" w:hAnsi="Calibri" w:cs="Calibri"/>
          <w:szCs w:val="22"/>
          <w:lang w:eastAsia="en-US"/>
        </w:rPr>
        <w:t xml:space="preserve">Celkový počet </w:t>
      </w:r>
      <w:r w:rsidRPr="00E43137">
        <w:rPr>
          <w:rFonts w:ascii="Calibri" w:eastAsia="Calibri" w:hAnsi="Calibri" w:cs="Calibri"/>
          <w:b/>
          <w:bCs/>
          <w:szCs w:val="22"/>
          <w:lang w:eastAsia="en-US"/>
        </w:rPr>
        <w:t>riadiacich pracovníkov</w:t>
      </w:r>
      <w:r w:rsidRPr="00E43137">
        <w:rPr>
          <w:rFonts w:ascii="Calibri" w:eastAsia="Calibri" w:hAnsi="Calibri" w:cs="Calibri"/>
          <w:szCs w:val="22"/>
          <w:lang w:eastAsia="en-US"/>
        </w:rPr>
        <w:t xml:space="preserve"> v poľnohospodárstve v roku 2010 vo veku do 35 rokov 7,1%</w:t>
      </w:r>
      <w:r>
        <w:rPr>
          <w:rFonts w:ascii="Calibri" w:eastAsia="Calibri" w:hAnsi="Calibri" w:cs="Calibri"/>
          <w:szCs w:val="22"/>
          <w:lang w:eastAsia="en-US"/>
        </w:rPr>
        <w:t xml:space="preserve"> (</w:t>
      </w:r>
      <w:r w:rsidRPr="006200C1">
        <w:rPr>
          <w:rFonts w:ascii="Calibri" w:eastAsia="Calibri" w:hAnsi="Calibri" w:cs="Calibri"/>
          <w:b/>
          <w:szCs w:val="22"/>
          <w:lang w:eastAsia="en-US"/>
        </w:rPr>
        <w:t>CCI 23</w:t>
      </w:r>
      <w:r>
        <w:rPr>
          <w:rFonts w:ascii="Calibri" w:eastAsia="Calibri" w:hAnsi="Calibri" w:cs="Calibri"/>
          <w:szCs w:val="22"/>
          <w:lang w:eastAsia="en-US"/>
        </w:rPr>
        <w:t>)</w:t>
      </w:r>
      <w:r w:rsidRPr="00E43137">
        <w:rPr>
          <w:rFonts w:ascii="Calibri" w:eastAsia="Calibri" w:hAnsi="Calibri" w:cs="Calibri"/>
          <w:szCs w:val="22"/>
          <w:lang w:eastAsia="en-US"/>
        </w:rPr>
        <w:t>.</w:t>
      </w:r>
      <w:r>
        <w:rPr>
          <w:rFonts w:ascii="Calibri" w:eastAsia="Calibri" w:hAnsi="Calibri" w:cs="Calibri"/>
          <w:szCs w:val="22"/>
          <w:lang w:eastAsia="en-US"/>
        </w:rPr>
        <w:t xml:space="preserve"> </w:t>
      </w:r>
    </w:p>
    <w:p w:rsidR="00242C36" w:rsidRDefault="00242C36" w:rsidP="00242C36">
      <w:pPr>
        <w:pBdr>
          <w:bar w:val="single" w:sz="6" w:color="808080"/>
        </w:pBdr>
        <w:spacing w:after="120"/>
        <w:rPr>
          <w:rFonts w:ascii="Calibri" w:eastAsia="Calibri" w:hAnsi="Calibri" w:cs="Calibri"/>
          <w:szCs w:val="22"/>
          <w:lang w:eastAsia="en-US"/>
        </w:rPr>
      </w:pPr>
      <w:r w:rsidRPr="00E43137">
        <w:rPr>
          <w:rFonts w:ascii="Calibri" w:eastAsia="Calibri" w:hAnsi="Calibri" w:cs="Calibri"/>
          <w:szCs w:val="22"/>
          <w:lang w:eastAsia="en-US"/>
        </w:rPr>
        <w:t>Takmer štvrtina (23,8%) manažérov poľnohospodárskych podnikov malo základné a ukončené poľnohospodárske vzdelanie. Viac ako jedna tretina (35,3%) manažérov so základným a ukončeným poľnohospodárskym vzdelaním bolo do 35 rokov</w:t>
      </w:r>
      <w:r>
        <w:rPr>
          <w:rFonts w:ascii="Calibri" w:eastAsia="Calibri" w:hAnsi="Calibri" w:cs="Calibri"/>
          <w:szCs w:val="22"/>
          <w:lang w:eastAsia="en-US"/>
        </w:rPr>
        <w:t xml:space="preserve"> (</w:t>
      </w:r>
      <w:r w:rsidRPr="006200C1">
        <w:rPr>
          <w:rFonts w:ascii="Calibri" w:eastAsia="Calibri" w:hAnsi="Calibri" w:cs="Calibri"/>
          <w:b/>
          <w:szCs w:val="22"/>
          <w:lang w:eastAsia="en-US"/>
        </w:rPr>
        <w:t>CCI 24</w:t>
      </w:r>
      <w:r>
        <w:rPr>
          <w:rFonts w:ascii="Calibri" w:eastAsia="Calibri" w:hAnsi="Calibri" w:cs="Calibri"/>
          <w:szCs w:val="22"/>
          <w:lang w:eastAsia="en-US"/>
        </w:rPr>
        <w:t>)</w:t>
      </w:r>
      <w:r w:rsidRPr="00E43137">
        <w:rPr>
          <w:rFonts w:ascii="Calibri" w:eastAsia="Calibri" w:hAnsi="Calibri" w:cs="Calibri"/>
          <w:szCs w:val="22"/>
          <w:lang w:eastAsia="en-US"/>
        </w:rPr>
        <w:t xml:space="preserve">. Je predpoklad, že v súčasnom období výrazná zmena nenastala. </w:t>
      </w:r>
    </w:p>
    <w:p w:rsidR="00242C36" w:rsidRPr="00E43137" w:rsidRDefault="007D119F" w:rsidP="00242C36">
      <w:pPr>
        <w:rPr>
          <w:rFonts w:ascii="Calibri" w:hAnsi="Calibri"/>
          <w:b/>
          <w:szCs w:val="22"/>
        </w:rPr>
      </w:pPr>
      <w:r>
        <w:rPr>
          <w:rFonts w:ascii="Calibri" w:hAnsi="Calibri" w:cs="Calibri"/>
          <w:b/>
          <w:iCs/>
          <w:szCs w:val="22"/>
        </w:rPr>
        <w:t xml:space="preserve">Tabuľka 19: </w:t>
      </w:r>
      <w:r w:rsidR="00242C36" w:rsidRPr="00E43137">
        <w:rPr>
          <w:rFonts w:ascii="Calibri" w:hAnsi="Calibri" w:cs="Calibri"/>
          <w:b/>
          <w:iCs/>
          <w:szCs w:val="22"/>
        </w:rPr>
        <w:t>Poľnohospodárske vzdelanie vedúceho podľa veku (počet fariem)</w:t>
      </w:r>
    </w:p>
    <w:tbl>
      <w:tblPr>
        <w:tblW w:w="0" w:type="auto"/>
        <w:tblBorders>
          <w:top w:val="single" w:sz="4" w:space="0" w:color="B8CCE4"/>
          <w:left w:val="single" w:sz="4" w:space="0" w:color="B8CCE4"/>
          <w:bottom w:val="single" w:sz="4" w:space="0" w:color="B8CCE4"/>
          <w:right w:val="single" w:sz="4" w:space="0" w:color="B8CCE4"/>
          <w:insideH w:val="single" w:sz="4" w:space="0" w:color="B8CCE4"/>
          <w:insideV w:val="single" w:sz="4" w:space="0" w:color="B8CCE4"/>
        </w:tblBorders>
        <w:tblLook w:val="00A0" w:firstRow="1" w:lastRow="0" w:firstColumn="1" w:lastColumn="0" w:noHBand="0" w:noVBand="0"/>
      </w:tblPr>
      <w:tblGrid>
        <w:gridCol w:w="1814"/>
        <w:gridCol w:w="1814"/>
        <w:gridCol w:w="1814"/>
        <w:gridCol w:w="1814"/>
        <w:gridCol w:w="1814"/>
      </w:tblGrid>
      <w:tr w:rsidR="00242C36" w:rsidRPr="00E43137" w:rsidTr="00242C36">
        <w:tc>
          <w:tcPr>
            <w:tcW w:w="1814" w:type="dxa"/>
            <w:tcBorders>
              <w:bottom w:val="single" w:sz="12" w:space="0" w:color="95B3D7"/>
            </w:tcBorders>
            <w:shd w:val="clear" w:color="auto" w:fill="548DD4"/>
          </w:tcPr>
          <w:p w:rsidR="00242C36" w:rsidRPr="00E43137" w:rsidRDefault="00242C36" w:rsidP="00242C36">
            <w:pPr>
              <w:rPr>
                <w:rFonts w:ascii="Calibri" w:hAnsi="Calibri"/>
                <w:b/>
                <w:bCs/>
                <w:sz w:val="20"/>
                <w:szCs w:val="20"/>
                <w:lang w:eastAsia="en-US"/>
              </w:rPr>
            </w:pPr>
            <w:r w:rsidRPr="00E43137">
              <w:rPr>
                <w:rFonts w:ascii="Calibri" w:hAnsi="Calibri" w:cs="Segoe UI"/>
                <w:b/>
                <w:bCs/>
                <w:color w:val="FFFFFF"/>
                <w:sz w:val="20"/>
                <w:szCs w:val="20"/>
                <w:lang w:eastAsia="en-US"/>
              </w:rPr>
              <w:t xml:space="preserve"> </w:t>
            </w:r>
          </w:p>
        </w:tc>
        <w:tc>
          <w:tcPr>
            <w:tcW w:w="1814" w:type="dxa"/>
            <w:tcBorders>
              <w:bottom w:val="single" w:sz="12" w:space="0" w:color="95B3D7"/>
            </w:tcBorders>
            <w:shd w:val="clear" w:color="auto" w:fill="548DD4"/>
          </w:tcPr>
          <w:p w:rsidR="00242C36" w:rsidRPr="00E43137" w:rsidRDefault="00242C36" w:rsidP="00242C36">
            <w:pPr>
              <w:rPr>
                <w:rFonts w:ascii="Calibri" w:hAnsi="Calibri"/>
                <w:b/>
                <w:bCs/>
                <w:sz w:val="20"/>
                <w:szCs w:val="20"/>
                <w:lang w:eastAsia="en-US"/>
              </w:rPr>
            </w:pPr>
            <w:r w:rsidRPr="00E43137">
              <w:rPr>
                <w:rFonts w:ascii="Calibri" w:hAnsi="Calibri" w:cs="Segoe UI"/>
                <w:b/>
                <w:bCs/>
                <w:color w:val="FFFFFF"/>
                <w:sz w:val="20"/>
                <w:szCs w:val="20"/>
                <w:lang w:eastAsia="en-US"/>
              </w:rPr>
              <w:t>Spolu</w:t>
            </w:r>
          </w:p>
        </w:tc>
        <w:tc>
          <w:tcPr>
            <w:tcW w:w="1814" w:type="dxa"/>
            <w:tcBorders>
              <w:bottom w:val="single" w:sz="12" w:space="0" w:color="95B3D7"/>
            </w:tcBorders>
            <w:shd w:val="clear" w:color="auto" w:fill="548DD4"/>
          </w:tcPr>
          <w:p w:rsidR="00242C36" w:rsidRPr="00E43137" w:rsidRDefault="00242C36" w:rsidP="00242C36">
            <w:pPr>
              <w:rPr>
                <w:rFonts w:ascii="Calibri" w:hAnsi="Calibri"/>
                <w:b/>
                <w:bCs/>
                <w:sz w:val="20"/>
                <w:szCs w:val="20"/>
                <w:lang w:eastAsia="en-US"/>
              </w:rPr>
            </w:pPr>
            <w:r w:rsidRPr="00E43137">
              <w:rPr>
                <w:rFonts w:ascii="Calibri" w:hAnsi="Calibri" w:cs="Segoe UI"/>
                <w:b/>
                <w:bCs/>
                <w:color w:val="FFFFFF"/>
                <w:sz w:val="20"/>
                <w:szCs w:val="20"/>
                <w:lang w:eastAsia="en-US"/>
              </w:rPr>
              <w:t>Poľn. vzdelanie stredoškolské</w:t>
            </w:r>
          </w:p>
        </w:tc>
        <w:tc>
          <w:tcPr>
            <w:tcW w:w="1814" w:type="dxa"/>
            <w:tcBorders>
              <w:bottom w:val="single" w:sz="12" w:space="0" w:color="95B3D7"/>
            </w:tcBorders>
            <w:shd w:val="clear" w:color="auto" w:fill="548DD4"/>
          </w:tcPr>
          <w:p w:rsidR="00242C36" w:rsidRPr="00E43137" w:rsidRDefault="00242C36" w:rsidP="00242C36">
            <w:pPr>
              <w:rPr>
                <w:rFonts w:ascii="Calibri" w:hAnsi="Calibri"/>
                <w:b/>
                <w:bCs/>
                <w:sz w:val="20"/>
                <w:szCs w:val="20"/>
                <w:lang w:eastAsia="en-US"/>
              </w:rPr>
            </w:pPr>
            <w:r w:rsidRPr="00E43137">
              <w:rPr>
                <w:rFonts w:ascii="Calibri" w:hAnsi="Calibri" w:cs="Segoe UI"/>
                <w:b/>
                <w:bCs/>
                <w:color w:val="FFFFFF"/>
                <w:sz w:val="20"/>
                <w:szCs w:val="20"/>
                <w:lang w:eastAsia="en-US"/>
              </w:rPr>
              <w:t>Len praktické znalosti</w:t>
            </w:r>
          </w:p>
        </w:tc>
        <w:tc>
          <w:tcPr>
            <w:tcW w:w="1814" w:type="dxa"/>
            <w:tcBorders>
              <w:bottom w:val="single" w:sz="12" w:space="0" w:color="95B3D7"/>
            </w:tcBorders>
            <w:shd w:val="clear" w:color="auto" w:fill="548DD4"/>
          </w:tcPr>
          <w:p w:rsidR="00242C36" w:rsidRPr="00E43137" w:rsidRDefault="00242C36" w:rsidP="00242C36">
            <w:pPr>
              <w:rPr>
                <w:rFonts w:ascii="Calibri" w:hAnsi="Calibri"/>
                <w:b/>
                <w:bCs/>
                <w:sz w:val="20"/>
                <w:szCs w:val="20"/>
                <w:lang w:eastAsia="en-US"/>
              </w:rPr>
            </w:pPr>
            <w:r w:rsidRPr="00E43137">
              <w:rPr>
                <w:rFonts w:ascii="Calibri" w:hAnsi="Calibri" w:cs="Segoe UI"/>
                <w:b/>
                <w:bCs/>
                <w:color w:val="FFFFFF"/>
                <w:sz w:val="20"/>
                <w:szCs w:val="20"/>
                <w:lang w:eastAsia="en-US"/>
              </w:rPr>
              <w:t>Poľn. vzdelanie vyššie a vysokoškolské</w:t>
            </w:r>
          </w:p>
        </w:tc>
      </w:tr>
      <w:tr w:rsidR="00242C36" w:rsidRPr="00E43137" w:rsidTr="00242C36">
        <w:tc>
          <w:tcPr>
            <w:tcW w:w="1814" w:type="dxa"/>
          </w:tcPr>
          <w:p w:rsidR="00242C36" w:rsidRPr="00E43137" w:rsidRDefault="00242C36" w:rsidP="00242C36">
            <w:pPr>
              <w:rPr>
                <w:rFonts w:ascii="Calibri" w:hAnsi="Calibri"/>
                <w:b/>
                <w:bCs/>
                <w:sz w:val="20"/>
                <w:szCs w:val="20"/>
                <w:lang w:eastAsia="en-US"/>
              </w:rPr>
            </w:pPr>
            <w:r w:rsidRPr="00E43137">
              <w:rPr>
                <w:rFonts w:ascii="Calibri" w:hAnsi="Calibri" w:cs="Segoe UI"/>
                <w:b/>
                <w:bCs/>
                <w:color w:val="333333"/>
                <w:sz w:val="20"/>
                <w:szCs w:val="20"/>
                <w:lang w:eastAsia="en-US"/>
              </w:rPr>
              <w:t xml:space="preserve">Celkom </w:t>
            </w:r>
          </w:p>
        </w:tc>
        <w:tc>
          <w:tcPr>
            <w:tcW w:w="1814" w:type="dxa"/>
          </w:tcPr>
          <w:p w:rsidR="00242C36" w:rsidRPr="00E43137" w:rsidRDefault="00242C36" w:rsidP="00242C36">
            <w:pPr>
              <w:jc w:val="right"/>
              <w:rPr>
                <w:rFonts w:ascii="Calibri" w:hAnsi="Calibri"/>
                <w:sz w:val="20"/>
                <w:szCs w:val="20"/>
                <w:lang w:eastAsia="en-US"/>
              </w:rPr>
            </w:pPr>
            <w:r w:rsidRPr="00E43137">
              <w:rPr>
                <w:rFonts w:ascii="Calibri" w:hAnsi="Calibri" w:cs="Segoe UI"/>
                <w:color w:val="333333"/>
                <w:sz w:val="20"/>
                <w:szCs w:val="20"/>
                <w:lang w:eastAsia="en-US"/>
              </w:rPr>
              <w:t>24 460</w:t>
            </w:r>
          </w:p>
        </w:tc>
        <w:tc>
          <w:tcPr>
            <w:tcW w:w="1814" w:type="dxa"/>
          </w:tcPr>
          <w:p w:rsidR="00242C36" w:rsidRPr="00E43137" w:rsidRDefault="00242C36" w:rsidP="00242C36">
            <w:pPr>
              <w:jc w:val="right"/>
              <w:rPr>
                <w:rFonts w:ascii="Calibri" w:hAnsi="Calibri"/>
                <w:sz w:val="20"/>
                <w:szCs w:val="20"/>
                <w:lang w:eastAsia="en-US"/>
              </w:rPr>
            </w:pPr>
            <w:r w:rsidRPr="00E43137">
              <w:rPr>
                <w:rFonts w:ascii="Calibri" w:hAnsi="Calibri" w:cs="Segoe UI"/>
                <w:color w:val="333333"/>
                <w:sz w:val="20"/>
                <w:szCs w:val="20"/>
                <w:lang w:eastAsia="en-US"/>
              </w:rPr>
              <w:t>3 670</w:t>
            </w:r>
          </w:p>
        </w:tc>
        <w:tc>
          <w:tcPr>
            <w:tcW w:w="1814" w:type="dxa"/>
          </w:tcPr>
          <w:p w:rsidR="00242C36" w:rsidRPr="00E43137" w:rsidRDefault="00242C36" w:rsidP="00242C36">
            <w:pPr>
              <w:jc w:val="right"/>
              <w:rPr>
                <w:rFonts w:ascii="Calibri" w:hAnsi="Calibri"/>
                <w:sz w:val="20"/>
                <w:szCs w:val="20"/>
                <w:lang w:eastAsia="en-US"/>
              </w:rPr>
            </w:pPr>
            <w:r w:rsidRPr="00E43137">
              <w:rPr>
                <w:rFonts w:ascii="Calibri" w:hAnsi="Calibri" w:cs="Segoe UI"/>
                <w:color w:val="333333"/>
                <w:sz w:val="20"/>
                <w:szCs w:val="20"/>
                <w:lang w:eastAsia="en-US"/>
              </w:rPr>
              <w:t>18 640</w:t>
            </w:r>
          </w:p>
        </w:tc>
        <w:tc>
          <w:tcPr>
            <w:tcW w:w="1814" w:type="dxa"/>
          </w:tcPr>
          <w:p w:rsidR="00242C36" w:rsidRPr="00E43137" w:rsidRDefault="00242C36" w:rsidP="00242C36">
            <w:pPr>
              <w:jc w:val="right"/>
              <w:rPr>
                <w:rFonts w:ascii="Calibri" w:hAnsi="Calibri"/>
                <w:sz w:val="20"/>
                <w:szCs w:val="20"/>
                <w:lang w:eastAsia="en-US"/>
              </w:rPr>
            </w:pPr>
            <w:r w:rsidRPr="00E43137">
              <w:rPr>
                <w:rFonts w:ascii="Calibri" w:hAnsi="Calibri" w:cs="Segoe UI"/>
                <w:color w:val="333333"/>
                <w:sz w:val="20"/>
                <w:szCs w:val="20"/>
                <w:lang w:eastAsia="en-US"/>
              </w:rPr>
              <w:t>2 150</w:t>
            </w:r>
          </w:p>
        </w:tc>
      </w:tr>
      <w:tr w:rsidR="00242C36" w:rsidRPr="00E43137" w:rsidTr="00242C36">
        <w:tc>
          <w:tcPr>
            <w:tcW w:w="1814" w:type="dxa"/>
          </w:tcPr>
          <w:p w:rsidR="00242C36" w:rsidRPr="00E43137" w:rsidRDefault="00242C36" w:rsidP="00242C36">
            <w:pPr>
              <w:rPr>
                <w:rFonts w:ascii="Calibri" w:hAnsi="Calibri"/>
                <w:b/>
                <w:bCs/>
                <w:sz w:val="20"/>
                <w:szCs w:val="20"/>
                <w:lang w:eastAsia="en-US"/>
              </w:rPr>
            </w:pPr>
            <w:r w:rsidRPr="00E43137">
              <w:rPr>
                <w:rFonts w:ascii="Calibri" w:hAnsi="Calibri" w:cs="Segoe UI"/>
                <w:b/>
                <w:bCs/>
                <w:color w:val="333333"/>
                <w:sz w:val="20"/>
                <w:szCs w:val="20"/>
                <w:lang w:eastAsia="en-US"/>
              </w:rPr>
              <w:t>Do 35 rokov</w:t>
            </w:r>
          </w:p>
        </w:tc>
        <w:tc>
          <w:tcPr>
            <w:tcW w:w="1814" w:type="dxa"/>
          </w:tcPr>
          <w:p w:rsidR="00242C36" w:rsidRPr="00E43137" w:rsidRDefault="00242C36" w:rsidP="00242C36">
            <w:pPr>
              <w:jc w:val="right"/>
              <w:rPr>
                <w:rFonts w:ascii="Calibri" w:hAnsi="Calibri"/>
                <w:sz w:val="20"/>
                <w:szCs w:val="20"/>
                <w:lang w:eastAsia="en-US"/>
              </w:rPr>
            </w:pPr>
            <w:r w:rsidRPr="00E43137">
              <w:rPr>
                <w:rFonts w:ascii="Calibri" w:hAnsi="Calibri" w:cs="Segoe UI"/>
                <w:color w:val="333333"/>
                <w:sz w:val="20"/>
                <w:szCs w:val="20"/>
                <w:lang w:eastAsia="en-US"/>
              </w:rPr>
              <w:t>1 730</w:t>
            </w:r>
          </w:p>
        </w:tc>
        <w:tc>
          <w:tcPr>
            <w:tcW w:w="1814" w:type="dxa"/>
          </w:tcPr>
          <w:p w:rsidR="00242C36" w:rsidRPr="00E43137" w:rsidRDefault="00242C36" w:rsidP="00242C36">
            <w:pPr>
              <w:jc w:val="right"/>
              <w:rPr>
                <w:rFonts w:ascii="Calibri" w:hAnsi="Calibri"/>
                <w:sz w:val="20"/>
                <w:szCs w:val="20"/>
                <w:lang w:eastAsia="en-US"/>
              </w:rPr>
            </w:pPr>
            <w:r w:rsidRPr="00E43137">
              <w:rPr>
                <w:rFonts w:ascii="Calibri" w:hAnsi="Calibri" w:cs="Segoe UI"/>
                <w:color w:val="333333"/>
                <w:sz w:val="20"/>
                <w:szCs w:val="20"/>
                <w:lang w:eastAsia="en-US"/>
              </w:rPr>
              <w:t>350</w:t>
            </w:r>
          </w:p>
        </w:tc>
        <w:tc>
          <w:tcPr>
            <w:tcW w:w="1814" w:type="dxa"/>
          </w:tcPr>
          <w:p w:rsidR="00242C36" w:rsidRPr="00E43137" w:rsidRDefault="00242C36" w:rsidP="00242C36">
            <w:pPr>
              <w:jc w:val="right"/>
              <w:rPr>
                <w:rFonts w:ascii="Calibri" w:hAnsi="Calibri"/>
                <w:sz w:val="20"/>
                <w:szCs w:val="20"/>
                <w:lang w:eastAsia="en-US"/>
              </w:rPr>
            </w:pPr>
            <w:r w:rsidRPr="00E43137">
              <w:rPr>
                <w:rFonts w:ascii="Calibri" w:hAnsi="Calibri" w:cs="Segoe UI"/>
                <w:color w:val="333333"/>
                <w:sz w:val="20"/>
                <w:szCs w:val="20"/>
                <w:lang w:eastAsia="en-US"/>
              </w:rPr>
              <w:t>1 120</w:t>
            </w:r>
          </w:p>
        </w:tc>
        <w:tc>
          <w:tcPr>
            <w:tcW w:w="1814" w:type="dxa"/>
          </w:tcPr>
          <w:p w:rsidR="00242C36" w:rsidRPr="00E43137" w:rsidRDefault="00242C36" w:rsidP="00242C36">
            <w:pPr>
              <w:jc w:val="right"/>
              <w:rPr>
                <w:rFonts w:ascii="Calibri" w:hAnsi="Calibri"/>
                <w:sz w:val="20"/>
                <w:szCs w:val="20"/>
                <w:lang w:eastAsia="en-US"/>
              </w:rPr>
            </w:pPr>
            <w:r w:rsidRPr="00E43137">
              <w:rPr>
                <w:rFonts w:ascii="Calibri" w:hAnsi="Calibri" w:cs="Segoe UI"/>
                <w:color w:val="333333"/>
                <w:sz w:val="20"/>
                <w:szCs w:val="20"/>
                <w:lang w:eastAsia="en-US"/>
              </w:rPr>
              <w:t>260</w:t>
            </w:r>
          </w:p>
        </w:tc>
      </w:tr>
      <w:tr w:rsidR="00242C36" w:rsidRPr="00E43137" w:rsidTr="00242C36">
        <w:tc>
          <w:tcPr>
            <w:tcW w:w="1814" w:type="dxa"/>
          </w:tcPr>
          <w:p w:rsidR="00242C36" w:rsidRPr="00E43137" w:rsidRDefault="00242C36" w:rsidP="00242C36">
            <w:pPr>
              <w:rPr>
                <w:rFonts w:ascii="Calibri" w:hAnsi="Calibri"/>
                <w:b/>
                <w:bCs/>
                <w:sz w:val="20"/>
                <w:szCs w:val="20"/>
                <w:lang w:eastAsia="en-US"/>
              </w:rPr>
            </w:pPr>
            <w:r w:rsidRPr="00E43137">
              <w:rPr>
                <w:rFonts w:ascii="Calibri" w:hAnsi="Calibri" w:cs="Segoe UI"/>
                <w:b/>
                <w:bCs/>
                <w:color w:val="333333"/>
                <w:sz w:val="20"/>
                <w:szCs w:val="20"/>
                <w:lang w:eastAsia="en-US"/>
              </w:rPr>
              <w:t>35 až 44 rokov</w:t>
            </w:r>
          </w:p>
        </w:tc>
        <w:tc>
          <w:tcPr>
            <w:tcW w:w="1814" w:type="dxa"/>
          </w:tcPr>
          <w:p w:rsidR="00242C36" w:rsidRPr="00E43137" w:rsidRDefault="00242C36" w:rsidP="00242C36">
            <w:pPr>
              <w:jc w:val="right"/>
              <w:rPr>
                <w:rFonts w:ascii="Calibri" w:hAnsi="Calibri"/>
                <w:sz w:val="20"/>
                <w:szCs w:val="20"/>
                <w:lang w:eastAsia="en-US"/>
              </w:rPr>
            </w:pPr>
            <w:r w:rsidRPr="00E43137">
              <w:rPr>
                <w:rFonts w:ascii="Calibri" w:hAnsi="Calibri" w:cs="Segoe UI"/>
                <w:color w:val="333333"/>
                <w:sz w:val="20"/>
                <w:szCs w:val="20"/>
                <w:lang w:eastAsia="en-US"/>
              </w:rPr>
              <w:t>3 640</w:t>
            </w:r>
          </w:p>
        </w:tc>
        <w:tc>
          <w:tcPr>
            <w:tcW w:w="1814" w:type="dxa"/>
          </w:tcPr>
          <w:p w:rsidR="00242C36" w:rsidRPr="00E43137" w:rsidRDefault="00242C36" w:rsidP="00242C36">
            <w:pPr>
              <w:jc w:val="right"/>
              <w:rPr>
                <w:rFonts w:ascii="Calibri" w:hAnsi="Calibri"/>
                <w:sz w:val="20"/>
                <w:szCs w:val="20"/>
                <w:lang w:eastAsia="en-US"/>
              </w:rPr>
            </w:pPr>
            <w:r w:rsidRPr="00E43137">
              <w:rPr>
                <w:rFonts w:ascii="Calibri" w:hAnsi="Calibri" w:cs="Segoe UI"/>
                <w:color w:val="333333"/>
                <w:sz w:val="20"/>
                <w:szCs w:val="20"/>
                <w:lang w:eastAsia="en-US"/>
              </w:rPr>
              <w:t>720</w:t>
            </w:r>
          </w:p>
        </w:tc>
        <w:tc>
          <w:tcPr>
            <w:tcW w:w="1814" w:type="dxa"/>
          </w:tcPr>
          <w:p w:rsidR="00242C36" w:rsidRPr="00E43137" w:rsidRDefault="00242C36" w:rsidP="00242C36">
            <w:pPr>
              <w:jc w:val="right"/>
              <w:rPr>
                <w:rFonts w:ascii="Calibri" w:hAnsi="Calibri"/>
                <w:sz w:val="20"/>
                <w:szCs w:val="20"/>
                <w:lang w:eastAsia="en-US"/>
              </w:rPr>
            </w:pPr>
            <w:r w:rsidRPr="00E43137">
              <w:rPr>
                <w:rFonts w:ascii="Calibri" w:hAnsi="Calibri" w:cs="Segoe UI"/>
                <w:color w:val="333333"/>
                <w:sz w:val="20"/>
                <w:szCs w:val="20"/>
                <w:lang w:eastAsia="en-US"/>
              </w:rPr>
              <w:t>2 560</w:t>
            </w:r>
          </w:p>
        </w:tc>
        <w:tc>
          <w:tcPr>
            <w:tcW w:w="1814" w:type="dxa"/>
          </w:tcPr>
          <w:p w:rsidR="00242C36" w:rsidRPr="00E43137" w:rsidRDefault="00242C36" w:rsidP="00242C36">
            <w:pPr>
              <w:jc w:val="right"/>
              <w:rPr>
                <w:rFonts w:ascii="Calibri" w:hAnsi="Calibri"/>
                <w:sz w:val="20"/>
                <w:szCs w:val="20"/>
                <w:lang w:eastAsia="en-US"/>
              </w:rPr>
            </w:pPr>
            <w:r w:rsidRPr="00E43137">
              <w:rPr>
                <w:rFonts w:ascii="Calibri" w:hAnsi="Calibri" w:cs="Segoe UI"/>
                <w:color w:val="333333"/>
                <w:sz w:val="20"/>
                <w:szCs w:val="20"/>
                <w:lang w:eastAsia="en-US"/>
              </w:rPr>
              <w:t>370</w:t>
            </w:r>
          </w:p>
        </w:tc>
      </w:tr>
      <w:tr w:rsidR="00242C36" w:rsidRPr="00E43137" w:rsidTr="00242C36">
        <w:tc>
          <w:tcPr>
            <w:tcW w:w="1814" w:type="dxa"/>
          </w:tcPr>
          <w:p w:rsidR="00242C36" w:rsidRPr="00E43137" w:rsidRDefault="00242C36" w:rsidP="00242C36">
            <w:pPr>
              <w:rPr>
                <w:rFonts w:ascii="Calibri" w:hAnsi="Calibri"/>
                <w:b/>
                <w:bCs/>
                <w:sz w:val="20"/>
                <w:szCs w:val="20"/>
                <w:lang w:eastAsia="en-US"/>
              </w:rPr>
            </w:pPr>
            <w:r w:rsidRPr="00E43137">
              <w:rPr>
                <w:rFonts w:ascii="Calibri" w:hAnsi="Calibri" w:cs="Segoe UI"/>
                <w:b/>
                <w:bCs/>
                <w:color w:val="333333"/>
                <w:sz w:val="20"/>
                <w:szCs w:val="20"/>
                <w:lang w:eastAsia="en-US"/>
              </w:rPr>
              <w:t>45 až 54 rokov</w:t>
            </w:r>
          </w:p>
        </w:tc>
        <w:tc>
          <w:tcPr>
            <w:tcW w:w="1814" w:type="dxa"/>
          </w:tcPr>
          <w:p w:rsidR="00242C36" w:rsidRPr="00E43137" w:rsidRDefault="00242C36" w:rsidP="00242C36">
            <w:pPr>
              <w:jc w:val="right"/>
              <w:rPr>
                <w:rFonts w:ascii="Calibri" w:hAnsi="Calibri"/>
                <w:sz w:val="20"/>
                <w:szCs w:val="20"/>
                <w:lang w:eastAsia="en-US"/>
              </w:rPr>
            </w:pPr>
            <w:r w:rsidRPr="00E43137">
              <w:rPr>
                <w:rFonts w:ascii="Calibri" w:hAnsi="Calibri" w:cs="Segoe UI"/>
                <w:color w:val="333333"/>
                <w:sz w:val="20"/>
                <w:szCs w:val="20"/>
                <w:lang w:eastAsia="en-US"/>
              </w:rPr>
              <w:t>6 610</w:t>
            </w:r>
          </w:p>
        </w:tc>
        <w:tc>
          <w:tcPr>
            <w:tcW w:w="1814" w:type="dxa"/>
          </w:tcPr>
          <w:p w:rsidR="00242C36" w:rsidRPr="00E43137" w:rsidRDefault="00242C36" w:rsidP="00242C36">
            <w:pPr>
              <w:jc w:val="right"/>
              <w:rPr>
                <w:rFonts w:ascii="Calibri" w:hAnsi="Calibri"/>
                <w:sz w:val="20"/>
                <w:szCs w:val="20"/>
                <w:lang w:eastAsia="en-US"/>
              </w:rPr>
            </w:pPr>
            <w:r w:rsidRPr="00E43137">
              <w:rPr>
                <w:rFonts w:ascii="Calibri" w:hAnsi="Calibri" w:cs="Segoe UI"/>
                <w:color w:val="333333"/>
                <w:sz w:val="20"/>
                <w:szCs w:val="20"/>
                <w:lang w:eastAsia="en-US"/>
              </w:rPr>
              <w:t>1 130</w:t>
            </w:r>
          </w:p>
        </w:tc>
        <w:tc>
          <w:tcPr>
            <w:tcW w:w="1814" w:type="dxa"/>
          </w:tcPr>
          <w:p w:rsidR="00242C36" w:rsidRPr="00E43137" w:rsidRDefault="00242C36" w:rsidP="00242C36">
            <w:pPr>
              <w:jc w:val="right"/>
              <w:rPr>
                <w:rFonts w:ascii="Calibri" w:hAnsi="Calibri"/>
                <w:sz w:val="20"/>
                <w:szCs w:val="20"/>
                <w:lang w:eastAsia="en-US"/>
              </w:rPr>
            </w:pPr>
            <w:r w:rsidRPr="00E43137">
              <w:rPr>
                <w:rFonts w:ascii="Calibri" w:hAnsi="Calibri" w:cs="Segoe UI"/>
                <w:color w:val="333333"/>
                <w:sz w:val="20"/>
                <w:szCs w:val="20"/>
                <w:lang w:eastAsia="en-US"/>
              </w:rPr>
              <w:t>4 760</w:t>
            </w:r>
          </w:p>
        </w:tc>
        <w:tc>
          <w:tcPr>
            <w:tcW w:w="1814" w:type="dxa"/>
          </w:tcPr>
          <w:p w:rsidR="00242C36" w:rsidRPr="00E43137" w:rsidRDefault="00242C36" w:rsidP="00242C36">
            <w:pPr>
              <w:jc w:val="right"/>
              <w:rPr>
                <w:rFonts w:ascii="Calibri" w:hAnsi="Calibri"/>
                <w:sz w:val="20"/>
                <w:szCs w:val="20"/>
                <w:lang w:eastAsia="en-US"/>
              </w:rPr>
            </w:pPr>
            <w:r w:rsidRPr="00E43137">
              <w:rPr>
                <w:rFonts w:ascii="Calibri" w:hAnsi="Calibri" w:cs="Segoe UI"/>
                <w:color w:val="333333"/>
                <w:sz w:val="20"/>
                <w:szCs w:val="20"/>
                <w:lang w:eastAsia="en-US"/>
              </w:rPr>
              <w:t>720</w:t>
            </w:r>
          </w:p>
        </w:tc>
      </w:tr>
      <w:tr w:rsidR="00242C36" w:rsidRPr="00E43137" w:rsidTr="00242C36">
        <w:tc>
          <w:tcPr>
            <w:tcW w:w="1814" w:type="dxa"/>
          </w:tcPr>
          <w:p w:rsidR="00242C36" w:rsidRPr="00E43137" w:rsidRDefault="00242C36" w:rsidP="00242C36">
            <w:pPr>
              <w:rPr>
                <w:rFonts w:ascii="Calibri" w:hAnsi="Calibri"/>
                <w:b/>
                <w:bCs/>
                <w:sz w:val="20"/>
                <w:szCs w:val="20"/>
                <w:lang w:eastAsia="en-US"/>
              </w:rPr>
            </w:pPr>
            <w:r w:rsidRPr="00E43137">
              <w:rPr>
                <w:rFonts w:ascii="Calibri" w:hAnsi="Calibri" w:cs="Segoe UI"/>
                <w:b/>
                <w:bCs/>
                <w:color w:val="333333"/>
                <w:sz w:val="20"/>
                <w:szCs w:val="20"/>
                <w:lang w:eastAsia="en-US"/>
              </w:rPr>
              <w:t>55 až 64 rokov</w:t>
            </w:r>
          </w:p>
        </w:tc>
        <w:tc>
          <w:tcPr>
            <w:tcW w:w="1814" w:type="dxa"/>
          </w:tcPr>
          <w:p w:rsidR="00242C36" w:rsidRPr="00E43137" w:rsidRDefault="00242C36" w:rsidP="00242C36">
            <w:pPr>
              <w:jc w:val="right"/>
              <w:rPr>
                <w:rFonts w:ascii="Calibri" w:hAnsi="Calibri"/>
                <w:sz w:val="20"/>
                <w:szCs w:val="20"/>
                <w:lang w:eastAsia="en-US"/>
              </w:rPr>
            </w:pPr>
            <w:r w:rsidRPr="00E43137">
              <w:rPr>
                <w:rFonts w:ascii="Calibri" w:hAnsi="Calibri" w:cs="Segoe UI"/>
                <w:color w:val="333333"/>
                <w:sz w:val="20"/>
                <w:szCs w:val="20"/>
                <w:lang w:eastAsia="en-US"/>
              </w:rPr>
              <w:t>6 920</w:t>
            </w:r>
          </w:p>
        </w:tc>
        <w:tc>
          <w:tcPr>
            <w:tcW w:w="1814" w:type="dxa"/>
          </w:tcPr>
          <w:p w:rsidR="00242C36" w:rsidRPr="00E43137" w:rsidRDefault="00242C36" w:rsidP="00242C36">
            <w:pPr>
              <w:jc w:val="right"/>
              <w:rPr>
                <w:rFonts w:ascii="Calibri" w:hAnsi="Calibri"/>
                <w:sz w:val="20"/>
                <w:szCs w:val="20"/>
                <w:lang w:eastAsia="en-US"/>
              </w:rPr>
            </w:pPr>
            <w:r w:rsidRPr="00E43137">
              <w:rPr>
                <w:rFonts w:ascii="Calibri" w:hAnsi="Calibri" w:cs="Segoe UI"/>
                <w:color w:val="333333"/>
                <w:sz w:val="20"/>
                <w:szCs w:val="20"/>
                <w:lang w:eastAsia="en-US"/>
              </w:rPr>
              <w:t>990</w:t>
            </w:r>
          </w:p>
        </w:tc>
        <w:tc>
          <w:tcPr>
            <w:tcW w:w="1814" w:type="dxa"/>
          </w:tcPr>
          <w:p w:rsidR="00242C36" w:rsidRPr="00E43137" w:rsidRDefault="00242C36" w:rsidP="00242C36">
            <w:pPr>
              <w:jc w:val="right"/>
              <w:rPr>
                <w:rFonts w:ascii="Calibri" w:hAnsi="Calibri"/>
                <w:sz w:val="20"/>
                <w:szCs w:val="20"/>
                <w:lang w:eastAsia="en-US"/>
              </w:rPr>
            </w:pPr>
            <w:r w:rsidRPr="00E43137">
              <w:rPr>
                <w:rFonts w:ascii="Calibri" w:hAnsi="Calibri" w:cs="Segoe UI"/>
                <w:color w:val="333333"/>
                <w:sz w:val="20"/>
                <w:szCs w:val="20"/>
                <w:lang w:eastAsia="en-US"/>
              </w:rPr>
              <w:t>5 310</w:t>
            </w:r>
          </w:p>
        </w:tc>
        <w:tc>
          <w:tcPr>
            <w:tcW w:w="1814" w:type="dxa"/>
          </w:tcPr>
          <w:p w:rsidR="00242C36" w:rsidRPr="00E43137" w:rsidRDefault="00242C36" w:rsidP="00242C36">
            <w:pPr>
              <w:jc w:val="right"/>
              <w:rPr>
                <w:rFonts w:ascii="Calibri" w:hAnsi="Calibri"/>
                <w:sz w:val="20"/>
                <w:szCs w:val="20"/>
                <w:lang w:eastAsia="en-US"/>
              </w:rPr>
            </w:pPr>
            <w:r w:rsidRPr="00E43137">
              <w:rPr>
                <w:rFonts w:ascii="Calibri" w:hAnsi="Calibri" w:cs="Segoe UI"/>
                <w:color w:val="333333"/>
                <w:sz w:val="20"/>
                <w:szCs w:val="20"/>
                <w:lang w:eastAsia="en-US"/>
              </w:rPr>
              <w:t>620</w:t>
            </w:r>
          </w:p>
        </w:tc>
      </w:tr>
      <w:tr w:rsidR="00242C36" w:rsidRPr="00E43137" w:rsidTr="00242C36">
        <w:tc>
          <w:tcPr>
            <w:tcW w:w="1814" w:type="dxa"/>
          </w:tcPr>
          <w:p w:rsidR="00242C36" w:rsidRPr="00E43137" w:rsidRDefault="00242C36" w:rsidP="00242C36">
            <w:pPr>
              <w:rPr>
                <w:rFonts w:ascii="Calibri" w:hAnsi="Calibri"/>
                <w:b/>
                <w:bCs/>
                <w:sz w:val="20"/>
                <w:szCs w:val="20"/>
                <w:lang w:eastAsia="en-US"/>
              </w:rPr>
            </w:pPr>
            <w:r w:rsidRPr="00E43137">
              <w:rPr>
                <w:rFonts w:ascii="Calibri" w:hAnsi="Calibri" w:cs="Segoe UI"/>
                <w:b/>
                <w:bCs/>
                <w:color w:val="333333"/>
                <w:sz w:val="20"/>
                <w:szCs w:val="20"/>
                <w:lang w:eastAsia="en-US"/>
              </w:rPr>
              <w:t>65 a viac rokov</w:t>
            </w:r>
          </w:p>
        </w:tc>
        <w:tc>
          <w:tcPr>
            <w:tcW w:w="1814" w:type="dxa"/>
          </w:tcPr>
          <w:p w:rsidR="00242C36" w:rsidRPr="00E43137" w:rsidRDefault="00242C36" w:rsidP="00242C36">
            <w:pPr>
              <w:jc w:val="right"/>
              <w:rPr>
                <w:rFonts w:ascii="Calibri" w:hAnsi="Calibri"/>
                <w:sz w:val="20"/>
                <w:szCs w:val="20"/>
                <w:lang w:eastAsia="en-US"/>
              </w:rPr>
            </w:pPr>
            <w:r w:rsidRPr="00E43137">
              <w:rPr>
                <w:rFonts w:ascii="Calibri" w:hAnsi="Calibri" w:cs="Segoe UI"/>
                <w:color w:val="333333"/>
                <w:sz w:val="20"/>
                <w:szCs w:val="20"/>
                <w:lang w:eastAsia="en-US"/>
              </w:rPr>
              <w:t>5 560</w:t>
            </w:r>
          </w:p>
        </w:tc>
        <w:tc>
          <w:tcPr>
            <w:tcW w:w="1814" w:type="dxa"/>
          </w:tcPr>
          <w:p w:rsidR="00242C36" w:rsidRPr="00E43137" w:rsidRDefault="00242C36" w:rsidP="00242C36">
            <w:pPr>
              <w:jc w:val="right"/>
              <w:rPr>
                <w:rFonts w:ascii="Calibri" w:hAnsi="Calibri"/>
                <w:sz w:val="20"/>
                <w:szCs w:val="20"/>
                <w:lang w:eastAsia="en-US"/>
              </w:rPr>
            </w:pPr>
            <w:r w:rsidRPr="00E43137">
              <w:rPr>
                <w:rFonts w:ascii="Calibri" w:hAnsi="Calibri" w:cs="Segoe UI"/>
                <w:color w:val="333333"/>
                <w:sz w:val="20"/>
                <w:szCs w:val="20"/>
                <w:lang w:eastAsia="en-US"/>
              </w:rPr>
              <w:t>490</w:t>
            </w:r>
          </w:p>
        </w:tc>
        <w:tc>
          <w:tcPr>
            <w:tcW w:w="1814" w:type="dxa"/>
          </w:tcPr>
          <w:p w:rsidR="00242C36" w:rsidRPr="00E43137" w:rsidRDefault="00242C36" w:rsidP="00242C36">
            <w:pPr>
              <w:jc w:val="right"/>
              <w:rPr>
                <w:rFonts w:ascii="Calibri" w:hAnsi="Calibri"/>
                <w:sz w:val="20"/>
                <w:szCs w:val="20"/>
                <w:lang w:eastAsia="en-US"/>
              </w:rPr>
            </w:pPr>
            <w:r w:rsidRPr="00E43137">
              <w:rPr>
                <w:rFonts w:ascii="Calibri" w:hAnsi="Calibri" w:cs="Segoe UI"/>
                <w:color w:val="333333"/>
                <w:sz w:val="20"/>
                <w:szCs w:val="20"/>
                <w:lang w:eastAsia="en-US"/>
              </w:rPr>
              <w:t>4 890</w:t>
            </w:r>
          </w:p>
        </w:tc>
        <w:tc>
          <w:tcPr>
            <w:tcW w:w="1814" w:type="dxa"/>
          </w:tcPr>
          <w:p w:rsidR="00242C36" w:rsidRPr="00E43137" w:rsidRDefault="00242C36" w:rsidP="00242C36">
            <w:pPr>
              <w:jc w:val="right"/>
              <w:rPr>
                <w:rFonts w:ascii="Calibri" w:hAnsi="Calibri"/>
                <w:sz w:val="20"/>
                <w:szCs w:val="20"/>
                <w:lang w:eastAsia="en-US"/>
              </w:rPr>
            </w:pPr>
            <w:r w:rsidRPr="00E43137">
              <w:rPr>
                <w:rFonts w:ascii="Calibri" w:hAnsi="Calibri" w:cs="Segoe UI"/>
                <w:color w:val="333333"/>
                <w:sz w:val="20"/>
                <w:szCs w:val="20"/>
                <w:lang w:eastAsia="en-US"/>
              </w:rPr>
              <w:t>180</w:t>
            </w:r>
          </w:p>
        </w:tc>
      </w:tr>
    </w:tbl>
    <w:p w:rsidR="00242C36" w:rsidRPr="00E43137" w:rsidRDefault="00242C36" w:rsidP="00242C36">
      <w:pPr>
        <w:rPr>
          <w:rFonts w:ascii="Calibri" w:hAnsi="Calibri"/>
          <w:sz w:val="20"/>
          <w:szCs w:val="20"/>
        </w:rPr>
      </w:pPr>
      <w:r w:rsidRPr="00E43137">
        <w:rPr>
          <w:rFonts w:ascii="Calibri" w:hAnsi="Calibri" w:cs="Calibri"/>
          <w:iCs/>
          <w:sz w:val="20"/>
          <w:szCs w:val="20"/>
        </w:rPr>
        <w:t>Zdroj: Eurostat, Farm structure survey 2010</w:t>
      </w:r>
    </w:p>
    <w:p w:rsidR="00242C36" w:rsidRPr="00E43137" w:rsidRDefault="00242C36" w:rsidP="00242C36">
      <w:pPr>
        <w:pBdr>
          <w:bar w:val="single" w:sz="6" w:color="808080"/>
        </w:pBdr>
        <w:spacing w:after="120"/>
        <w:rPr>
          <w:rFonts w:ascii="Calibri" w:eastAsia="Calibri" w:hAnsi="Calibri"/>
          <w:szCs w:val="22"/>
          <w:lang w:eastAsia="en-US"/>
        </w:rPr>
      </w:pPr>
    </w:p>
    <w:p w:rsidR="00242C36" w:rsidRDefault="00242C36" w:rsidP="00242C36">
      <w:pPr>
        <w:pBdr>
          <w:bar w:val="single" w:sz="6" w:color="808080"/>
        </w:pBdr>
        <w:spacing w:before="120"/>
        <w:rPr>
          <w:rFonts w:ascii="Calibri" w:eastAsia="Calibri" w:hAnsi="Calibri"/>
          <w:szCs w:val="22"/>
          <w:lang w:eastAsia="en-US"/>
        </w:rPr>
      </w:pPr>
      <w:r w:rsidRPr="00E43137">
        <w:rPr>
          <w:rFonts w:ascii="Calibri" w:eastAsia="Calibri" w:hAnsi="Calibri"/>
          <w:szCs w:val="22"/>
          <w:lang w:eastAsia="en-US"/>
        </w:rPr>
        <w:t xml:space="preserve">Podľa </w:t>
      </w:r>
      <w:r w:rsidRPr="00E43137">
        <w:rPr>
          <w:rFonts w:ascii="Calibri" w:eastAsia="Calibri" w:hAnsi="Calibri"/>
          <w:b/>
          <w:bCs/>
          <w:szCs w:val="22"/>
          <w:lang w:eastAsia="en-US"/>
        </w:rPr>
        <w:t>hospodárskej činnosti</w:t>
      </w:r>
      <w:r w:rsidRPr="00E43137">
        <w:rPr>
          <w:rFonts w:ascii="Calibri" w:eastAsia="Calibri" w:hAnsi="Calibri"/>
          <w:szCs w:val="22"/>
          <w:lang w:eastAsia="en-US"/>
        </w:rPr>
        <w:t xml:space="preserve"> bolo v SR v r. 2012 zamestnaných v poľnohospodárstve 55,1 tisíc osôb, t. j. 2,4 % z celkového počtu zamestnaných v</w:t>
      </w:r>
      <w:r>
        <w:rPr>
          <w:rFonts w:ascii="Calibri" w:eastAsia="Calibri" w:hAnsi="Calibri"/>
          <w:szCs w:val="22"/>
          <w:lang w:eastAsia="en-US"/>
        </w:rPr>
        <w:t> </w:t>
      </w:r>
      <w:r w:rsidRPr="00E43137">
        <w:rPr>
          <w:rFonts w:ascii="Calibri" w:eastAsia="Calibri" w:hAnsi="Calibri"/>
          <w:szCs w:val="22"/>
          <w:lang w:eastAsia="en-US"/>
        </w:rPr>
        <w:t>SR</w:t>
      </w:r>
      <w:r>
        <w:rPr>
          <w:rFonts w:ascii="Calibri" w:eastAsia="Calibri" w:hAnsi="Calibri"/>
          <w:szCs w:val="22"/>
          <w:lang w:eastAsia="en-US"/>
        </w:rPr>
        <w:t xml:space="preserve"> (</w:t>
      </w:r>
      <w:r w:rsidRPr="00F837D1">
        <w:rPr>
          <w:rFonts w:ascii="Calibri" w:eastAsia="Calibri" w:hAnsi="Calibri"/>
          <w:b/>
          <w:szCs w:val="22"/>
          <w:lang w:eastAsia="en-US"/>
        </w:rPr>
        <w:t>C</w:t>
      </w:r>
      <w:r>
        <w:rPr>
          <w:rFonts w:ascii="Calibri" w:eastAsia="Calibri" w:hAnsi="Calibri"/>
          <w:b/>
          <w:szCs w:val="22"/>
          <w:lang w:eastAsia="en-US"/>
        </w:rPr>
        <w:t>C</w:t>
      </w:r>
      <w:r w:rsidRPr="00F837D1">
        <w:rPr>
          <w:rFonts w:ascii="Calibri" w:eastAsia="Calibri" w:hAnsi="Calibri"/>
          <w:b/>
          <w:szCs w:val="22"/>
          <w:lang w:eastAsia="en-US"/>
        </w:rPr>
        <w:t>I 13</w:t>
      </w:r>
      <w:r>
        <w:rPr>
          <w:rFonts w:ascii="Calibri" w:eastAsia="Calibri" w:hAnsi="Calibri"/>
          <w:szCs w:val="22"/>
          <w:lang w:eastAsia="en-US"/>
        </w:rPr>
        <w:t>), čo je v porovnaní s priemerom EÚ viac než dvojnásobne menej.</w:t>
      </w:r>
      <w:r w:rsidRPr="00E43137">
        <w:rPr>
          <w:rFonts w:ascii="Calibri" w:eastAsia="Calibri" w:hAnsi="Calibri"/>
          <w:szCs w:val="22"/>
          <w:lang w:eastAsia="en-US"/>
        </w:rPr>
        <w:t xml:space="preserve"> </w:t>
      </w:r>
      <w:r>
        <w:rPr>
          <w:rFonts w:ascii="Calibri" w:eastAsia="Calibri" w:hAnsi="Calibri"/>
          <w:szCs w:val="22"/>
          <w:lang w:eastAsia="en-US"/>
        </w:rPr>
        <w:t xml:space="preserve"> V</w:t>
      </w:r>
      <w:r w:rsidRPr="00E43137">
        <w:rPr>
          <w:rFonts w:ascii="Calibri" w:eastAsia="Calibri" w:hAnsi="Calibri"/>
          <w:szCs w:val="22"/>
          <w:lang w:eastAsia="en-US"/>
        </w:rPr>
        <w:t xml:space="preserve"> priebehu transformačného obdobia došlo v poľnohospodárskej prvovýrobe k výraznému kontinuálnemu úbytku pracovníkov. </w:t>
      </w:r>
      <w:r w:rsidRPr="003C5FD1">
        <w:rPr>
          <w:rFonts w:ascii="Calibri" w:eastAsia="Calibri" w:hAnsi="Calibri"/>
          <w:szCs w:val="22"/>
          <w:lang w:eastAsia="en-US"/>
        </w:rPr>
        <w:t>Príčina poklesu zamestnanosti, v</w:t>
      </w:r>
      <w:r>
        <w:rPr>
          <w:rFonts w:ascii="Calibri" w:eastAsia="Calibri" w:hAnsi="Calibri"/>
          <w:szCs w:val="22"/>
          <w:lang w:eastAsia="en-US"/>
        </w:rPr>
        <w:t> </w:t>
      </w:r>
      <w:r w:rsidRPr="003C5FD1">
        <w:rPr>
          <w:rFonts w:ascii="Calibri" w:eastAsia="Calibri" w:hAnsi="Calibri"/>
          <w:szCs w:val="22"/>
          <w:lang w:eastAsia="en-US"/>
        </w:rPr>
        <w:t>podmienkach</w:t>
      </w:r>
      <w:r>
        <w:rPr>
          <w:rFonts w:ascii="Calibri" w:eastAsia="Calibri" w:hAnsi="Calibri"/>
          <w:szCs w:val="22"/>
          <w:lang w:eastAsia="en-US"/>
        </w:rPr>
        <w:t xml:space="preserve"> </w:t>
      </w:r>
      <w:r w:rsidRPr="003C5FD1">
        <w:rPr>
          <w:rFonts w:ascii="Calibri" w:eastAsia="Calibri" w:hAnsi="Calibri"/>
          <w:szCs w:val="22"/>
          <w:lang w:eastAsia="en-US"/>
        </w:rPr>
        <w:t>Slovenska, spočíva vo výraznom útlme poľnohospodárskej výroby spojenej s</w:t>
      </w:r>
      <w:r>
        <w:rPr>
          <w:rFonts w:ascii="Calibri" w:eastAsia="Calibri" w:hAnsi="Calibri"/>
          <w:szCs w:val="22"/>
          <w:lang w:eastAsia="en-US"/>
        </w:rPr>
        <w:t> </w:t>
      </w:r>
      <w:r w:rsidRPr="003C5FD1">
        <w:rPr>
          <w:rFonts w:ascii="Calibri" w:eastAsia="Calibri" w:hAnsi="Calibri"/>
          <w:szCs w:val="22"/>
          <w:lang w:eastAsia="en-US"/>
        </w:rPr>
        <w:t>odbytovou</w:t>
      </w:r>
      <w:r>
        <w:rPr>
          <w:rFonts w:ascii="Calibri" w:eastAsia="Calibri" w:hAnsi="Calibri"/>
          <w:szCs w:val="22"/>
          <w:lang w:eastAsia="en-US"/>
        </w:rPr>
        <w:t xml:space="preserve"> </w:t>
      </w:r>
      <w:r w:rsidRPr="003C5FD1">
        <w:rPr>
          <w:rFonts w:ascii="Calibri" w:eastAsia="Calibri" w:hAnsi="Calibri"/>
          <w:szCs w:val="22"/>
          <w:lang w:eastAsia="en-US"/>
        </w:rPr>
        <w:t>krízou na domácom trhu</w:t>
      </w:r>
      <w:r>
        <w:rPr>
          <w:rFonts w:ascii="Calibri" w:eastAsia="Calibri" w:hAnsi="Calibri"/>
          <w:szCs w:val="22"/>
          <w:lang w:eastAsia="en-US"/>
        </w:rPr>
        <w:t xml:space="preserve"> (hlavne v živočíšnej výrobe)</w:t>
      </w:r>
      <w:r w:rsidRPr="003C5FD1">
        <w:rPr>
          <w:rFonts w:ascii="Calibri" w:eastAsia="Calibri" w:hAnsi="Calibri"/>
          <w:szCs w:val="22"/>
          <w:lang w:eastAsia="en-US"/>
        </w:rPr>
        <w:t>, transformáciou, zánikom nepoľnohospodárskych aktivít a následne i</w:t>
      </w:r>
      <w:r>
        <w:rPr>
          <w:rFonts w:ascii="Calibri" w:eastAsia="Calibri" w:hAnsi="Calibri"/>
          <w:szCs w:val="22"/>
          <w:lang w:eastAsia="en-US"/>
        </w:rPr>
        <w:t xml:space="preserve"> </w:t>
      </w:r>
      <w:r w:rsidRPr="003C5FD1">
        <w:rPr>
          <w:rFonts w:ascii="Calibri" w:eastAsia="Calibri" w:hAnsi="Calibri"/>
          <w:szCs w:val="22"/>
          <w:lang w:eastAsia="en-US"/>
        </w:rPr>
        <w:t>nízkym podielom diverzifikačných aktivít, mzdovou neatraktivitou a v poslednom období aj</w:t>
      </w:r>
      <w:r>
        <w:rPr>
          <w:rFonts w:ascii="Calibri" w:eastAsia="Calibri" w:hAnsi="Calibri"/>
          <w:szCs w:val="22"/>
          <w:lang w:eastAsia="en-US"/>
        </w:rPr>
        <w:t xml:space="preserve"> </w:t>
      </w:r>
      <w:r w:rsidRPr="003C5FD1">
        <w:rPr>
          <w:rFonts w:ascii="Calibri" w:eastAsia="Calibri" w:hAnsi="Calibri"/>
          <w:szCs w:val="22"/>
          <w:lang w:eastAsia="en-US"/>
        </w:rPr>
        <w:t>ekonomickou a finančnou krízou.</w:t>
      </w:r>
    </w:p>
    <w:p w:rsidR="00242C36" w:rsidRDefault="007D119F" w:rsidP="00242C36">
      <w:pPr>
        <w:pStyle w:val="Popis"/>
        <w:keepNext/>
        <w:spacing w:before="120"/>
      </w:pPr>
      <w:r>
        <w:t xml:space="preserve">Tabuľka 20: </w:t>
      </w:r>
      <w:r w:rsidR="00242C36" w:rsidRPr="009C3AD3">
        <w:t>Vývoj počtu pracujúcich v poľnohospodárstve (prepočítaný časový rad zamestnanosti</w:t>
      </w:r>
      <w:r w:rsidR="00242C36">
        <w:t>) v tis. os.</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22"/>
        <w:gridCol w:w="744"/>
        <w:gridCol w:w="743"/>
        <w:gridCol w:w="743"/>
        <w:gridCol w:w="742"/>
        <w:gridCol w:w="742"/>
        <w:gridCol w:w="911"/>
        <w:gridCol w:w="911"/>
        <w:gridCol w:w="911"/>
        <w:gridCol w:w="911"/>
      </w:tblGrid>
      <w:tr w:rsidR="00242C36" w:rsidRPr="00A62DB3" w:rsidTr="00242C36">
        <w:trPr>
          <w:trHeight w:val="243"/>
        </w:trPr>
        <w:tc>
          <w:tcPr>
            <w:tcW w:w="1825" w:type="dxa"/>
            <w:vMerge w:val="restart"/>
            <w:vAlign w:val="bottom"/>
          </w:tcPr>
          <w:p w:rsidR="00242C36" w:rsidRPr="00A62DB3" w:rsidRDefault="00242C36" w:rsidP="00242C36">
            <w:pPr>
              <w:rPr>
                <w:rFonts w:ascii="Calibri" w:hAnsi="Calibri"/>
                <w:b/>
                <w:sz w:val="20"/>
                <w:szCs w:val="20"/>
              </w:rPr>
            </w:pPr>
            <w:r w:rsidRPr="00A62DB3">
              <w:rPr>
                <w:rFonts w:ascii="Calibri" w:hAnsi="Calibri"/>
                <w:b/>
                <w:sz w:val="20"/>
                <w:szCs w:val="20"/>
              </w:rPr>
              <w:t>Rok</w:t>
            </w:r>
          </w:p>
        </w:tc>
        <w:tc>
          <w:tcPr>
            <w:tcW w:w="763" w:type="dxa"/>
            <w:vMerge w:val="restart"/>
            <w:vAlign w:val="bottom"/>
          </w:tcPr>
          <w:p w:rsidR="00242C36" w:rsidRPr="00A62DB3" w:rsidRDefault="00242C36" w:rsidP="00242C36">
            <w:pPr>
              <w:jc w:val="center"/>
              <w:rPr>
                <w:rFonts w:ascii="Calibri" w:hAnsi="Calibri"/>
                <w:b/>
                <w:sz w:val="20"/>
                <w:szCs w:val="20"/>
              </w:rPr>
            </w:pPr>
            <w:r w:rsidRPr="00A62DB3">
              <w:rPr>
                <w:rFonts w:ascii="Calibri" w:hAnsi="Calibri"/>
                <w:b/>
                <w:sz w:val="20"/>
                <w:szCs w:val="20"/>
              </w:rPr>
              <w:t>2008</w:t>
            </w:r>
          </w:p>
        </w:tc>
        <w:tc>
          <w:tcPr>
            <w:tcW w:w="763" w:type="dxa"/>
            <w:vMerge w:val="restart"/>
            <w:vAlign w:val="bottom"/>
          </w:tcPr>
          <w:p w:rsidR="00242C36" w:rsidRPr="00A62DB3" w:rsidRDefault="00242C36" w:rsidP="00242C36">
            <w:pPr>
              <w:jc w:val="center"/>
              <w:rPr>
                <w:rFonts w:ascii="Calibri" w:hAnsi="Calibri"/>
                <w:b/>
                <w:sz w:val="20"/>
                <w:szCs w:val="20"/>
              </w:rPr>
            </w:pPr>
            <w:r w:rsidRPr="00A62DB3">
              <w:rPr>
                <w:rFonts w:ascii="Calibri" w:hAnsi="Calibri"/>
                <w:b/>
                <w:sz w:val="20"/>
                <w:szCs w:val="20"/>
              </w:rPr>
              <w:t>2009</w:t>
            </w:r>
          </w:p>
        </w:tc>
        <w:tc>
          <w:tcPr>
            <w:tcW w:w="763" w:type="dxa"/>
            <w:vMerge w:val="restart"/>
            <w:vAlign w:val="bottom"/>
          </w:tcPr>
          <w:p w:rsidR="00242C36" w:rsidRPr="00A62DB3" w:rsidRDefault="00242C36" w:rsidP="00242C36">
            <w:pPr>
              <w:jc w:val="center"/>
              <w:rPr>
                <w:rFonts w:ascii="Calibri" w:hAnsi="Calibri"/>
                <w:b/>
                <w:sz w:val="20"/>
                <w:szCs w:val="20"/>
              </w:rPr>
            </w:pPr>
            <w:r w:rsidRPr="00A62DB3">
              <w:rPr>
                <w:rFonts w:ascii="Calibri" w:hAnsi="Calibri"/>
                <w:b/>
                <w:sz w:val="20"/>
                <w:szCs w:val="20"/>
              </w:rPr>
              <w:t>2010</w:t>
            </w:r>
          </w:p>
        </w:tc>
        <w:tc>
          <w:tcPr>
            <w:tcW w:w="762" w:type="dxa"/>
            <w:vMerge w:val="restart"/>
            <w:vAlign w:val="bottom"/>
          </w:tcPr>
          <w:p w:rsidR="00242C36" w:rsidRPr="00A62DB3" w:rsidRDefault="00242C36" w:rsidP="00242C36">
            <w:pPr>
              <w:jc w:val="center"/>
              <w:rPr>
                <w:rFonts w:ascii="Calibri" w:hAnsi="Calibri"/>
                <w:b/>
                <w:sz w:val="20"/>
                <w:szCs w:val="20"/>
              </w:rPr>
            </w:pPr>
            <w:r w:rsidRPr="00A62DB3">
              <w:rPr>
                <w:rFonts w:ascii="Calibri" w:hAnsi="Calibri"/>
                <w:b/>
                <w:sz w:val="20"/>
                <w:szCs w:val="20"/>
              </w:rPr>
              <w:t>2011</w:t>
            </w:r>
          </w:p>
        </w:tc>
        <w:tc>
          <w:tcPr>
            <w:tcW w:w="762" w:type="dxa"/>
            <w:vMerge w:val="restart"/>
            <w:vAlign w:val="bottom"/>
          </w:tcPr>
          <w:p w:rsidR="00242C36" w:rsidRPr="00A62DB3" w:rsidRDefault="00242C36" w:rsidP="00242C36">
            <w:pPr>
              <w:jc w:val="center"/>
              <w:rPr>
                <w:rFonts w:ascii="Calibri" w:hAnsi="Calibri"/>
                <w:b/>
                <w:sz w:val="20"/>
                <w:szCs w:val="20"/>
              </w:rPr>
            </w:pPr>
            <w:r w:rsidRPr="00A62DB3">
              <w:rPr>
                <w:rFonts w:ascii="Calibri" w:hAnsi="Calibri"/>
                <w:b/>
                <w:sz w:val="20"/>
                <w:szCs w:val="20"/>
              </w:rPr>
              <w:t>2012</w:t>
            </w:r>
          </w:p>
        </w:tc>
        <w:tc>
          <w:tcPr>
            <w:tcW w:w="3475" w:type="dxa"/>
            <w:gridSpan w:val="4"/>
          </w:tcPr>
          <w:p w:rsidR="00242C36" w:rsidRPr="00A62DB3" w:rsidRDefault="00242C36" w:rsidP="00242C36">
            <w:pPr>
              <w:jc w:val="center"/>
              <w:rPr>
                <w:rFonts w:ascii="Calibri" w:hAnsi="Calibri"/>
                <w:b/>
                <w:sz w:val="20"/>
                <w:szCs w:val="20"/>
              </w:rPr>
            </w:pPr>
            <w:r w:rsidRPr="00A62DB3">
              <w:rPr>
                <w:rFonts w:ascii="Calibri" w:hAnsi="Calibri"/>
                <w:b/>
                <w:sz w:val="20"/>
                <w:szCs w:val="20"/>
              </w:rPr>
              <w:t>Medziročná zmena v %</w:t>
            </w:r>
          </w:p>
        </w:tc>
      </w:tr>
      <w:tr w:rsidR="00242C36" w:rsidRPr="00A62DB3" w:rsidTr="00242C36">
        <w:trPr>
          <w:trHeight w:val="155"/>
        </w:trPr>
        <w:tc>
          <w:tcPr>
            <w:tcW w:w="1825" w:type="dxa"/>
            <w:vMerge/>
          </w:tcPr>
          <w:p w:rsidR="00242C36" w:rsidRPr="00A62DB3" w:rsidRDefault="00242C36" w:rsidP="00242C36">
            <w:pPr>
              <w:rPr>
                <w:rFonts w:ascii="Calibri" w:hAnsi="Calibri"/>
                <w:b/>
                <w:sz w:val="20"/>
                <w:szCs w:val="20"/>
              </w:rPr>
            </w:pPr>
          </w:p>
        </w:tc>
        <w:tc>
          <w:tcPr>
            <w:tcW w:w="763" w:type="dxa"/>
            <w:vMerge/>
          </w:tcPr>
          <w:p w:rsidR="00242C36" w:rsidRPr="00A62DB3" w:rsidRDefault="00242C36" w:rsidP="00242C36">
            <w:pPr>
              <w:rPr>
                <w:rFonts w:ascii="Calibri" w:hAnsi="Calibri"/>
                <w:b/>
                <w:sz w:val="20"/>
                <w:szCs w:val="20"/>
              </w:rPr>
            </w:pPr>
          </w:p>
        </w:tc>
        <w:tc>
          <w:tcPr>
            <w:tcW w:w="763" w:type="dxa"/>
            <w:vMerge/>
          </w:tcPr>
          <w:p w:rsidR="00242C36" w:rsidRPr="00A62DB3" w:rsidRDefault="00242C36" w:rsidP="00242C36">
            <w:pPr>
              <w:rPr>
                <w:rFonts w:ascii="Calibri" w:hAnsi="Calibri"/>
                <w:b/>
                <w:sz w:val="20"/>
                <w:szCs w:val="20"/>
              </w:rPr>
            </w:pPr>
          </w:p>
        </w:tc>
        <w:tc>
          <w:tcPr>
            <w:tcW w:w="763" w:type="dxa"/>
            <w:vMerge/>
          </w:tcPr>
          <w:p w:rsidR="00242C36" w:rsidRPr="00A62DB3" w:rsidRDefault="00242C36" w:rsidP="00242C36">
            <w:pPr>
              <w:rPr>
                <w:rFonts w:ascii="Calibri" w:hAnsi="Calibri"/>
                <w:b/>
                <w:sz w:val="20"/>
                <w:szCs w:val="20"/>
              </w:rPr>
            </w:pPr>
          </w:p>
        </w:tc>
        <w:tc>
          <w:tcPr>
            <w:tcW w:w="762" w:type="dxa"/>
            <w:vMerge/>
          </w:tcPr>
          <w:p w:rsidR="00242C36" w:rsidRPr="00A62DB3" w:rsidRDefault="00242C36" w:rsidP="00242C36">
            <w:pPr>
              <w:rPr>
                <w:rFonts w:ascii="Calibri" w:hAnsi="Calibri"/>
                <w:b/>
                <w:sz w:val="20"/>
                <w:szCs w:val="20"/>
              </w:rPr>
            </w:pPr>
          </w:p>
        </w:tc>
        <w:tc>
          <w:tcPr>
            <w:tcW w:w="762" w:type="dxa"/>
            <w:vMerge/>
          </w:tcPr>
          <w:p w:rsidR="00242C36" w:rsidRPr="00A62DB3" w:rsidRDefault="00242C36" w:rsidP="00242C36">
            <w:pPr>
              <w:rPr>
                <w:rFonts w:ascii="Calibri" w:hAnsi="Calibri"/>
                <w:b/>
                <w:sz w:val="20"/>
                <w:szCs w:val="20"/>
              </w:rPr>
            </w:pPr>
          </w:p>
        </w:tc>
        <w:tc>
          <w:tcPr>
            <w:tcW w:w="879" w:type="dxa"/>
          </w:tcPr>
          <w:p w:rsidR="00242C36" w:rsidRPr="00A62DB3" w:rsidRDefault="00242C36" w:rsidP="00242C36">
            <w:pPr>
              <w:rPr>
                <w:rFonts w:ascii="Calibri" w:hAnsi="Calibri"/>
                <w:b/>
                <w:sz w:val="20"/>
                <w:szCs w:val="20"/>
              </w:rPr>
            </w:pPr>
            <w:r w:rsidRPr="00A62DB3">
              <w:rPr>
                <w:rFonts w:ascii="Calibri" w:hAnsi="Calibri"/>
                <w:b/>
                <w:sz w:val="20"/>
                <w:szCs w:val="20"/>
              </w:rPr>
              <w:t>2009/08</w:t>
            </w:r>
          </w:p>
        </w:tc>
        <w:tc>
          <w:tcPr>
            <w:tcW w:w="879" w:type="dxa"/>
          </w:tcPr>
          <w:p w:rsidR="00242C36" w:rsidRPr="00A62DB3" w:rsidRDefault="00242C36" w:rsidP="00242C36">
            <w:pPr>
              <w:rPr>
                <w:rFonts w:ascii="Calibri" w:hAnsi="Calibri"/>
                <w:b/>
                <w:sz w:val="20"/>
                <w:szCs w:val="20"/>
              </w:rPr>
            </w:pPr>
            <w:r w:rsidRPr="00A62DB3">
              <w:rPr>
                <w:rFonts w:ascii="Calibri" w:hAnsi="Calibri"/>
                <w:b/>
                <w:sz w:val="20"/>
                <w:szCs w:val="20"/>
              </w:rPr>
              <w:t>2010/09</w:t>
            </w:r>
          </w:p>
        </w:tc>
        <w:tc>
          <w:tcPr>
            <w:tcW w:w="859" w:type="dxa"/>
          </w:tcPr>
          <w:p w:rsidR="00242C36" w:rsidRPr="00A62DB3" w:rsidRDefault="00242C36" w:rsidP="00242C36">
            <w:pPr>
              <w:rPr>
                <w:rFonts w:ascii="Calibri" w:hAnsi="Calibri"/>
                <w:b/>
                <w:sz w:val="20"/>
                <w:szCs w:val="20"/>
              </w:rPr>
            </w:pPr>
            <w:r w:rsidRPr="00A62DB3">
              <w:rPr>
                <w:rFonts w:ascii="Calibri" w:hAnsi="Calibri"/>
                <w:b/>
                <w:sz w:val="20"/>
                <w:szCs w:val="20"/>
              </w:rPr>
              <w:t>2011/10</w:t>
            </w:r>
          </w:p>
        </w:tc>
        <w:tc>
          <w:tcPr>
            <w:tcW w:w="858" w:type="dxa"/>
          </w:tcPr>
          <w:p w:rsidR="00242C36" w:rsidRPr="00A62DB3" w:rsidRDefault="00242C36" w:rsidP="00242C36">
            <w:pPr>
              <w:rPr>
                <w:rFonts w:ascii="Calibri" w:hAnsi="Calibri"/>
                <w:b/>
                <w:sz w:val="20"/>
                <w:szCs w:val="20"/>
              </w:rPr>
            </w:pPr>
            <w:r w:rsidRPr="00A62DB3">
              <w:rPr>
                <w:rFonts w:ascii="Calibri" w:hAnsi="Calibri"/>
                <w:b/>
                <w:sz w:val="20"/>
                <w:szCs w:val="20"/>
              </w:rPr>
              <w:t>2012/11</w:t>
            </w:r>
          </w:p>
        </w:tc>
      </w:tr>
      <w:tr w:rsidR="00242C36" w:rsidRPr="00A62DB3" w:rsidTr="00242C36">
        <w:trPr>
          <w:trHeight w:val="259"/>
        </w:trPr>
        <w:tc>
          <w:tcPr>
            <w:tcW w:w="1825" w:type="dxa"/>
          </w:tcPr>
          <w:p w:rsidR="00242C36" w:rsidRPr="00A62DB3" w:rsidRDefault="00242C36" w:rsidP="00242C36">
            <w:pPr>
              <w:rPr>
                <w:rFonts w:ascii="Calibri" w:hAnsi="Calibri"/>
                <w:sz w:val="20"/>
                <w:szCs w:val="20"/>
              </w:rPr>
            </w:pPr>
            <w:r w:rsidRPr="00A62DB3">
              <w:rPr>
                <w:rFonts w:ascii="Calibri" w:hAnsi="Calibri"/>
                <w:sz w:val="20"/>
                <w:szCs w:val="20"/>
              </w:rPr>
              <w:t>Poľnohospodárstvo</w:t>
            </w:r>
          </w:p>
        </w:tc>
        <w:tc>
          <w:tcPr>
            <w:tcW w:w="763" w:type="dxa"/>
          </w:tcPr>
          <w:p w:rsidR="00242C36" w:rsidRPr="00A62DB3" w:rsidRDefault="00242C36" w:rsidP="00242C36">
            <w:pPr>
              <w:jc w:val="center"/>
              <w:rPr>
                <w:rFonts w:ascii="Calibri" w:hAnsi="Calibri"/>
                <w:sz w:val="20"/>
                <w:szCs w:val="20"/>
              </w:rPr>
            </w:pPr>
            <w:r w:rsidRPr="00A62DB3">
              <w:rPr>
                <w:rFonts w:ascii="Calibri" w:hAnsi="Calibri"/>
                <w:sz w:val="20"/>
                <w:szCs w:val="20"/>
              </w:rPr>
              <w:t>60,2</w:t>
            </w:r>
          </w:p>
        </w:tc>
        <w:tc>
          <w:tcPr>
            <w:tcW w:w="763" w:type="dxa"/>
          </w:tcPr>
          <w:p w:rsidR="00242C36" w:rsidRPr="00A62DB3" w:rsidRDefault="00242C36" w:rsidP="00242C36">
            <w:pPr>
              <w:jc w:val="center"/>
              <w:rPr>
                <w:rFonts w:ascii="Calibri" w:hAnsi="Calibri"/>
                <w:sz w:val="20"/>
                <w:szCs w:val="20"/>
              </w:rPr>
            </w:pPr>
            <w:r w:rsidRPr="00A62DB3">
              <w:rPr>
                <w:rFonts w:ascii="Calibri" w:hAnsi="Calibri"/>
                <w:sz w:val="20"/>
                <w:szCs w:val="20"/>
              </w:rPr>
              <w:t>59,7</w:t>
            </w:r>
          </w:p>
        </w:tc>
        <w:tc>
          <w:tcPr>
            <w:tcW w:w="763" w:type="dxa"/>
          </w:tcPr>
          <w:p w:rsidR="00242C36" w:rsidRPr="00A62DB3" w:rsidRDefault="00242C36" w:rsidP="00242C36">
            <w:pPr>
              <w:jc w:val="center"/>
              <w:rPr>
                <w:rFonts w:ascii="Calibri" w:hAnsi="Calibri"/>
                <w:sz w:val="20"/>
                <w:szCs w:val="20"/>
              </w:rPr>
            </w:pPr>
            <w:r w:rsidRPr="00A62DB3">
              <w:rPr>
                <w:rFonts w:ascii="Calibri" w:hAnsi="Calibri"/>
                <w:sz w:val="20"/>
                <w:szCs w:val="20"/>
              </w:rPr>
              <w:t>54,9</w:t>
            </w:r>
          </w:p>
        </w:tc>
        <w:tc>
          <w:tcPr>
            <w:tcW w:w="762" w:type="dxa"/>
          </w:tcPr>
          <w:p w:rsidR="00242C36" w:rsidRPr="00A62DB3" w:rsidRDefault="00242C36" w:rsidP="00242C36">
            <w:pPr>
              <w:jc w:val="center"/>
              <w:rPr>
                <w:rFonts w:ascii="Calibri" w:hAnsi="Calibri"/>
                <w:sz w:val="20"/>
                <w:szCs w:val="20"/>
              </w:rPr>
            </w:pPr>
            <w:r w:rsidRPr="00A62DB3">
              <w:rPr>
                <w:rFonts w:ascii="Calibri" w:hAnsi="Calibri"/>
                <w:sz w:val="20"/>
                <w:szCs w:val="20"/>
              </w:rPr>
              <w:t>52,6</w:t>
            </w:r>
          </w:p>
        </w:tc>
        <w:tc>
          <w:tcPr>
            <w:tcW w:w="762" w:type="dxa"/>
          </w:tcPr>
          <w:p w:rsidR="00242C36" w:rsidRPr="00A62DB3" w:rsidRDefault="00242C36" w:rsidP="00242C36">
            <w:pPr>
              <w:jc w:val="center"/>
              <w:rPr>
                <w:rFonts w:ascii="Calibri" w:hAnsi="Calibri"/>
                <w:sz w:val="20"/>
                <w:szCs w:val="20"/>
              </w:rPr>
            </w:pPr>
            <w:r w:rsidRPr="00A62DB3">
              <w:rPr>
                <w:rFonts w:ascii="Calibri" w:hAnsi="Calibri"/>
                <w:sz w:val="20"/>
                <w:szCs w:val="20"/>
              </w:rPr>
              <w:t>50,4</w:t>
            </w:r>
          </w:p>
        </w:tc>
        <w:tc>
          <w:tcPr>
            <w:tcW w:w="879" w:type="dxa"/>
          </w:tcPr>
          <w:p w:rsidR="00242C36" w:rsidRPr="00A62DB3" w:rsidRDefault="00242C36" w:rsidP="00242C36">
            <w:pPr>
              <w:jc w:val="center"/>
              <w:rPr>
                <w:rFonts w:ascii="Calibri" w:hAnsi="Calibri"/>
                <w:sz w:val="20"/>
                <w:szCs w:val="20"/>
              </w:rPr>
            </w:pPr>
            <w:r w:rsidRPr="00A62DB3">
              <w:rPr>
                <w:rFonts w:ascii="Calibri" w:hAnsi="Calibri"/>
                <w:sz w:val="20"/>
                <w:szCs w:val="20"/>
              </w:rPr>
              <w:t>-0,8</w:t>
            </w:r>
          </w:p>
        </w:tc>
        <w:tc>
          <w:tcPr>
            <w:tcW w:w="879" w:type="dxa"/>
          </w:tcPr>
          <w:p w:rsidR="00242C36" w:rsidRPr="00A62DB3" w:rsidRDefault="00242C36" w:rsidP="00242C36">
            <w:pPr>
              <w:jc w:val="center"/>
              <w:rPr>
                <w:rFonts w:ascii="Calibri" w:hAnsi="Calibri"/>
                <w:sz w:val="20"/>
                <w:szCs w:val="20"/>
              </w:rPr>
            </w:pPr>
            <w:r w:rsidRPr="00A62DB3">
              <w:rPr>
                <w:rFonts w:ascii="Calibri" w:hAnsi="Calibri"/>
                <w:sz w:val="20"/>
                <w:szCs w:val="20"/>
              </w:rPr>
              <w:t>-8,1</w:t>
            </w:r>
          </w:p>
        </w:tc>
        <w:tc>
          <w:tcPr>
            <w:tcW w:w="859" w:type="dxa"/>
          </w:tcPr>
          <w:p w:rsidR="00242C36" w:rsidRPr="00A62DB3" w:rsidRDefault="00242C36" w:rsidP="00242C36">
            <w:pPr>
              <w:jc w:val="center"/>
              <w:rPr>
                <w:rFonts w:ascii="Calibri" w:hAnsi="Calibri"/>
                <w:sz w:val="20"/>
                <w:szCs w:val="20"/>
              </w:rPr>
            </w:pPr>
            <w:r w:rsidRPr="00A62DB3">
              <w:rPr>
                <w:rFonts w:ascii="Calibri" w:hAnsi="Calibri"/>
                <w:sz w:val="20"/>
                <w:szCs w:val="20"/>
              </w:rPr>
              <w:t>-4,1</w:t>
            </w:r>
          </w:p>
        </w:tc>
        <w:tc>
          <w:tcPr>
            <w:tcW w:w="858" w:type="dxa"/>
          </w:tcPr>
          <w:p w:rsidR="00242C36" w:rsidRPr="00A62DB3" w:rsidRDefault="00242C36" w:rsidP="00242C36">
            <w:pPr>
              <w:jc w:val="center"/>
              <w:rPr>
                <w:rFonts w:ascii="Calibri" w:hAnsi="Calibri"/>
                <w:sz w:val="20"/>
                <w:szCs w:val="20"/>
              </w:rPr>
            </w:pPr>
            <w:r w:rsidRPr="00A62DB3">
              <w:rPr>
                <w:rFonts w:ascii="Calibri" w:hAnsi="Calibri"/>
                <w:sz w:val="20"/>
                <w:szCs w:val="20"/>
              </w:rPr>
              <w:t>-4,3</w:t>
            </w:r>
          </w:p>
        </w:tc>
      </w:tr>
    </w:tbl>
    <w:p w:rsidR="00242C36" w:rsidRPr="00A62DB3" w:rsidRDefault="00242C36" w:rsidP="00242C36">
      <w:pPr>
        <w:rPr>
          <w:rFonts w:ascii="Calibri" w:hAnsi="Calibri"/>
          <w:i/>
          <w:sz w:val="20"/>
          <w:szCs w:val="20"/>
        </w:rPr>
      </w:pPr>
      <w:r w:rsidRPr="00A62DB3">
        <w:rPr>
          <w:rFonts w:ascii="Calibri" w:hAnsi="Calibri"/>
          <w:i/>
          <w:sz w:val="20"/>
          <w:szCs w:val="20"/>
        </w:rPr>
        <w:t xml:space="preserve">Prameň: prepočty </w:t>
      </w:r>
      <w:r>
        <w:rPr>
          <w:rFonts w:ascii="Calibri" w:hAnsi="Calibri"/>
          <w:i/>
          <w:sz w:val="20"/>
          <w:szCs w:val="20"/>
        </w:rPr>
        <w:t>NPPC-</w:t>
      </w:r>
      <w:r w:rsidRPr="00A62DB3">
        <w:rPr>
          <w:rFonts w:ascii="Calibri" w:hAnsi="Calibri"/>
          <w:i/>
          <w:sz w:val="20"/>
          <w:szCs w:val="20"/>
        </w:rPr>
        <w:t>VÚEPP podľa:</w:t>
      </w:r>
    </w:p>
    <w:p w:rsidR="00242C36" w:rsidRPr="00A62DB3" w:rsidRDefault="00242C36" w:rsidP="00242C36">
      <w:pPr>
        <w:rPr>
          <w:rFonts w:ascii="Calibri" w:hAnsi="Calibri"/>
          <w:i/>
          <w:sz w:val="20"/>
          <w:szCs w:val="20"/>
        </w:rPr>
      </w:pPr>
      <w:r w:rsidRPr="00A62DB3">
        <w:rPr>
          <w:rFonts w:ascii="Calibri" w:hAnsi="Calibri"/>
          <w:i/>
          <w:sz w:val="20"/>
          <w:szCs w:val="20"/>
        </w:rPr>
        <w:t xml:space="preserve"> ŠÚ SR,  Výberové zisťovanie pracovných síl (VZPS)</w:t>
      </w:r>
    </w:p>
    <w:p w:rsidR="00242C36" w:rsidRPr="00A62DB3" w:rsidRDefault="00242C36" w:rsidP="00242C36">
      <w:pPr>
        <w:rPr>
          <w:rFonts w:ascii="Calibri" w:hAnsi="Calibri"/>
          <w:i/>
          <w:sz w:val="20"/>
          <w:szCs w:val="20"/>
        </w:rPr>
      </w:pPr>
      <w:r w:rsidRPr="00A62DB3">
        <w:rPr>
          <w:rFonts w:ascii="Calibri" w:hAnsi="Calibri"/>
          <w:i/>
          <w:sz w:val="20"/>
          <w:szCs w:val="20"/>
        </w:rPr>
        <w:t xml:space="preserve"> ŠÚ SR, Celková zamestnanosť (ESNÚ95) podľa ekonomických činností (SK NACE Rev. 2)</w:t>
      </w:r>
    </w:p>
    <w:p w:rsidR="00242C36" w:rsidRDefault="00242C36" w:rsidP="00242C36">
      <w:pPr>
        <w:pBdr>
          <w:bar w:val="single" w:sz="6" w:color="808080"/>
        </w:pBdr>
        <w:spacing w:before="120"/>
        <w:rPr>
          <w:rFonts w:ascii="Calibri" w:eastAsia="Calibri" w:hAnsi="Calibri"/>
          <w:szCs w:val="22"/>
          <w:lang w:eastAsia="en-US"/>
        </w:rPr>
      </w:pPr>
      <w:r>
        <w:rPr>
          <w:rFonts w:ascii="Calibri" w:eastAsia="Calibri" w:hAnsi="Calibri"/>
          <w:szCs w:val="22"/>
          <w:lang w:eastAsia="en-US"/>
        </w:rPr>
        <w:t>Hoci celkový počet zamestnancov každoročne klesá, minulý program PRV SR 2007-2013  pozitívne ovplyvnil pokles zamestnanosti, ktorý sa prejavil v nižšom poklese počtu pracovníkov (AWU) u podporených podnikov v porovnaní s AWU v nepodporených podnikoch. Podľa záverov strednodobého hodnotenia PRV SR 2007-2013 za právnické osoby v skupine nepodporených fariem</w:t>
      </w:r>
      <w:r>
        <w:rPr>
          <w:rFonts w:ascii="Calibri" w:eastAsia="Calibri" w:hAnsi="Calibri"/>
          <w:szCs w:val="22"/>
          <w:lang w:eastAsia="en-US"/>
        </w:rPr>
        <w:lastRenderedPageBreak/>
        <w:t xml:space="preserve"> AWU pokleslo o 24% a pri podporených farmách o 15,4%, a za SHR v skupine nepodporených fariem AWU pokleslo o 17,1% a pri podporených farmách iba o 6%. Podobné výsledky boli dosiahnuté aj v hodnotení indikátora AWU/ha. V období 2006-2009 výmera p.p. u nepodporených fariem takmer kontinuálne klesala. Oproti tomu o podporených fariem kontinuálne rástla. </w:t>
      </w:r>
    </w:p>
    <w:p w:rsidR="00242C36" w:rsidRPr="00B172D1" w:rsidRDefault="00242C36" w:rsidP="00242C36">
      <w:pPr>
        <w:pBdr>
          <w:bar w:val="single" w:sz="6" w:color="808080"/>
        </w:pBdr>
        <w:spacing w:before="120"/>
        <w:rPr>
          <w:rFonts w:ascii="Calibri" w:eastAsia="Calibri" w:hAnsi="Calibri"/>
          <w:szCs w:val="22"/>
          <w:lang w:eastAsia="en-US"/>
        </w:rPr>
      </w:pPr>
      <w:r w:rsidRPr="00AD69E8">
        <w:rPr>
          <w:rFonts w:ascii="Calibri" w:eastAsia="Calibri" w:hAnsi="Calibri"/>
          <w:szCs w:val="22"/>
          <w:lang w:eastAsia="en-US"/>
        </w:rPr>
        <w:t>Poľnohospodárstvo má značné rezervy v tvorbe zamestnanosti vo vidieckych oblastiach, nevyužíva potenciál hlavne v sektoroch s vyšším nárokom na pracovné sily (živočíšna výroba, špeciálny rastlinná výroba, ekologický produkcia). Koncepcia rozvoja pôdohospodárstva SR na roky 2013-2020 si</w:t>
      </w:r>
      <w:r>
        <w:rPr>
          <w:rFonts w:ascii="Calibri" w:eastAsia="Calibri" w:hAnsi="Calibri"/>
          <w:szCs w:val="22"/>
          <w:lang w:eastAsia="en-US"/>
        </w:rPr>
        <w:t xml:space="preserve"> stanovila za strategický cieľ rozvoj vidieka a zlepšovanie životných podmienok a zamestnanosti vidieckeho obyvateľstva, predovšetkým prostredníctvom podpory sektorov, ktorú sú potenciálnymi zdrojmi zamestnanosti (živočíšna výroba a špeciálna rastlinná výroba). </w:t>
      </w:r>
      <w:r w:rsidRPr="00B172D1">
        <w:rPr>
          <w:rFonts w:ascii="Calibri" w:eastAsiaTheme="minorHAnsi" w:hAnsi="Calibri"/>
          <w:szCs w:val="22"/>
          <w:lang w:eastAsia="en-US"/>
        </w:rPr>
        <w:t xml:space="preserve">Rozvoj zamestnanosti v hlavnej </w:t>
      </w:r>
      <w:r>
        <w:rPr>
          <w:rFonts w:ascii="Calibri" w:eastAsiaTheme="minorHAnsi" w:hAnsi="Calibri"/>
          <w:szCs w:val="22"/>
          <w:lang w:eastAsia="en-US"/>
        </w:rPr>
        <w:t>ž</w:t>
      </w:r>
      <w:r w:rsidRPr="00B172D1">
        <w:rPr>
          <w:rFonts w:ascii="Calibri" w:eastAsiaTheme="minorHAnsi" w:hAnsi="Calibri"/>
          <w:szCs w:val="22"/>
          <w:lang w:eastAsia="en-US"/>
        </w:rPr>
        <w:t xml:space="preserve">ivočíšnej </w:t>
      </w:r>
      <w:r>
        <w:rPr>
          <w:rFonts w:ascii="Calibri" w:eastAsiaTheme="minorHAnsi" w:hAnsi="Calibri"/>
          <w:szCs w:val="22"/>
          <w:lang w:eastAsia="en-US"/>
        </w:rPr>
        <w:t xml:space="preserve">a rastlinnej </w:t>
      </w:r>
      <w:r w:rsidRPr="00B172D1">
        <w:rPr>
          <w:rFonts w:ascii="Calibri" w:eastAsiaTheme="minorHAnsi" w:hAnsi="Calibri"/>
          <w:szCs w:val="22"/>
          <w:lang w:eastAsia="en-US"/>
        </w:rPr>
        <w:t>výrobe predpokladá dosiahnuť cielenú mieru</w:t>
      </w:r>
      <w:r>
        <w:rPr>
          <w:rFonts w:ascii="Calibri" w:eastAsiaTheme="minorHAnsi" w:hAnsi="Calibri"/>
          <w:szCs w:val="22"/>
          <w:lang w:eastAsia="en-US"/>
        </w:rPr>
        <w:t xml:space="preserve"> </w:t>
      </w:r>
      <w:r w:rsidRPr="00B172D1">
        <w:rPr>
          <w:rFonts w:ascii="Calibri" w:eastAsiaTheme="minorHAnsi" w:hAnsi="Calibri"/>
          <w:szCs w:val="22"/>
          <w:lang w:eastAsia="en-US"/>
        </w:rPr>
        <w:t xml:space="preserve">produkčnej výkonnosti v nosných komoditách </w:t>
      </w:r>
      <w:r>
        <w:rPr>
          <w:rFonts w:ascii="Calibri" w:eastAsiaTheme="minorHAnsi" w:hAnsi="Calibri"/>
          <w:szCs w:val="22"/>
          <w:lang w:eastAsia="en-US"/>
        </w:rPr>
        <w:t>ž</w:t>
      </w:r>
      <w:r w:rsidRPr="00B172D1">
        <w:rPr>
          <w:rFonts w:ascii="Calibri" w:eastAsiaTheme="minorHAnsi" w:hAnsi="Calibri"/>
          <w:szCs w:val="22"/>
          <w:lang w:eastAsia="en-US"/>
        </w:rPr>
        <w:t xml:space="preserve">ivočíšnej </w:t>
      </w:r>
      <w:r>
        <w:rPr>
          <w:rFonts w:ascii="Calibri" w:eastAsiaTheme="minorHAnsi" w:hAnsi="Calibri"/>
          <w:szCs w:val="22"/>
          <w:lang w:eastAsia="en-US"/>
        </w:rPr>
        <w:t xml:space="preserve">a rastlinnej </w:t>
      </w:r>
      <w:r w:rsidRPr="00B172D1">
        <w:rPr>
          <w:rFonts w:ascii="Calibri" w:eastAsiaTheme="minorHAnsi" w:hAnsi="Calibri"/>
          <w:szCs w:val="22"/>
          <w:lang w:eastAsia="en-US"/>
        </w:rPr>
        <w:t>výroby na úrovni 80 % súčasnej</w:t>
      </w:r>
      <w:r>
        <w:rPr>
          <w:rFonts w:ascii="Calibri" w:eastAsiaTheme="minorHAnsi" w:hAnsi="Calibri"/>
          <w:szCs w:val="22"/>
          <w:lang w:eastAsia="en-US"/>
        </w:rPr>
        <w:t xml:space="preserve"> </w:t>
      </w:r>
      <w:r w:rsidRPr="00B172D1">
        <w:rPr>
          <w:rFonts w:ascii="Calibri" w:eastAsiaTheme="minorHAnsi" w:hAnsi="Calibri"/>
          <w:szCs w:val="22"/>
          <w:lang w:eastAsia="en-US"/>
        </w:rPr>
        <w:t>spotreby obyvateľstva. Na základe vykonaných analýz potravinovej vertikály v</w:t>
      </w:r>
      <w:r>
        <w:rPr>
          <w:rFonts w:ascii="Calibri" w:eastAsiaTheme="minorHAnsi" w:hAnsi="Calibri"/>
          <w:szCs w:val="22"/>
          <w:lang w:eastAsia="en-US"/>
        </w:rPr>
        <w:t> </w:t>
      </w:r>
      <w:r w:rsidRPr="00B172D1">
        <w:rPr>
          <w:rFonts w:ascii="Calibri" w:eastAsiaTheme="minorHAnsi" w:hAnsi="Calibri"/>
          <w:szCs w:val="22"/>
          <w:lang w:eastAsia="en-US"/>
        </w:rPr>
        <w:t>nosných</w:t>
      </w:r>
      <w:r>
        <w:rPr>
          <w:rFonts w:ascii="Calibri" w:eastAsiaTheme="minorHAnsi" w:hAnsi="Calibri"/>
          <w:szCs w:val="22"/>
          <w:lang w:eastAsia="en-US"/>
        </w:rPr>
        <w:t xml:space="preserve"> </w:t>
      </w:r>
      <w:r w:rsidRPr="00B172D1">
        <w:rPr>
          <w:rFonts w:ascii="Calibri" w:eastAsiaTheme="minorHAnsi" w:hAnsi="Calibri"/>
          <w:szCs w:val="22"/>
          <w:lang w:eastAsia="en-US"/>
        </w:rPr>
        <w:t xml:space="preserve">komoditách </w:t>
      </w:r>
      <w:r>
        <w:rPr>
          <w:rFonts w:ascii="Calibri" w:eastAsiaTheme="minorHAnsi" w:hAnsi="Calibri"/>
          <w:szCs w:val="22"/>
          <w:lang w:eastAsia="en-US"/>
        </w:rPr>
        <w:t>ž</w:t>
      </w:r>
      <w:r w:rsidRPr="00B172D1">
        <w:rPr>
          <w:rFonts w:ascii="Calibri" w:eastAsiaTheme="minorHAnsi" w:hAnsi="Calibri"/>
          <w:szCs w:val="22"/>
          <w:lang w:eastAsia="en-US"/>
        </w:rPr>
        <w:t xml:space="preserve">ivočíšnej </w:t>
      </w:r>
      <w:r>
        <w:rPr>
          <w:rFonts w:ascii="Calibri" w:eastAsiaTheme="minorHAnsi" w:hAnsi="Calibri"/>
          <w:szCs w:val="22"/>
          <w:lang w:eastAsia="en-US"/>
        </w:rPr>
        <w:t xml:space="preserve">a rastlinnej </w:t>
      </w:r>
      <w:r w:rsidRPr="00B172D1">
        <w:rPr>
          <w:rFonts w:ascii="Calibri" w:eastAsiaTheme="minorHAnsi" w:hAnsi="Calibri"/>
          <w:szCs w:val="22"/>
          <w:lang w:eastAsia="en-US"/>
        </w:rPr>
        <w:t xml:space="preserve">výroby je zrejmé, </w:t>
      </w:r>
      <w:r>
        <w:rPr>
          <w:rFonts w:ascii="Calibri" w:eastAsiaTheme="minorHAnsi" w:hAnsi="Calibri"/>
          <w:szCs w:val="22"/>
          <w:lang w:eastAsia="en-US"/>
        </w:rPr>
        <w:t>ž</w:t>
      </w:r>
      <w:r w:rsidRPr="00B172D1">
        <w:rPr>
          <w:rFonts w:ascii="Calibri" w:eastAsiaTheme="minorHAnsi" w:hAnsi="Calibri"/>
          <w:szCs w:val="22"/>
          <w:lang w:eastAsia="en-US"/>
        </w:rPr>
        <w:t>e tento cieľ bude mo</w:t>
      </w:r>
      <w:r>
        <w:rPr>
          <w:rFonts w:ascii="Calibri" w:eastAsiaTheme="minorHAnsi" w:hAnsi="Calibri"/>
          <w:szCs w:val="22"/>
          <w:lang w:eastAsia="en-US"/>
        </w:rPr>
        <w:t>ž</w:t>
      </w:r>
      <w:r w:rsidRPr="00B172D1">
        <w:rPr>
          <w:rFonts w:ascii="Calibri" w:eastAsiaTheme="minorHAnsi" w:hAnsi="Calibri"/>
          <w:szCs w:val="22"/>
          <w:lang w:eastAsia="en-US"/>
        </w:rPr>
        <w:t>né dosiahnuť kombináciou</w:t>
      </w:r>
      <w:r>
        <w:rPr>
          <w:rFonts w:ascii="Calibri" w:eastAsiaTheme="minorHAnsi" w:hAnsi="Calibri"/>
          <w:szCs w:val="22"/>
          <w:lang w:eastAsia="en-US"/>
        </w:rPr>
        <w:t xml:space="preserve"> </w:t>
      </w:r>
      <w:r w:rsidRPr="00B172D1">
        <w:rPr>
          <w:rFonts w:ascii="Calibri" w:eastAsiaTheme="minorHAnsi" w:hAnsi="Calibri"/>
          <w:szCs w:val="22"/>
          <w:lang w:eastAsia="en-US"/>
        </w:rPr>
        <w:t>kvantitatívnych a kvalitatívnych opatrení, a to na všetkých stupňoch potravinovej vertikály.</w:t>
      </w:r>
      <w:r>
        <w:rPr>
          <w:rFonts w:ascii="Calibri" w:eastAsiaTheme="minorHAnsi" w:hAnsi="Calibri"/>
          <w:szCs w:val="22"/>
          <w:lang w:eastAsia="en-US"/>
        </w:rPr>
        <w:t xml:space="preserve"> Jedným z nástrojov na naplnenie stanovených strategických cieľov Koncepcie bude PRV SR 2014-2020. </w:t>
      </w:r>
    </w:p>
    <w:p w:rsidR="00242C36" w:rsidRPr="00E43137" w:rsidRDefault="00242C36" w:rsidP="00242C36">
      <w:pPr>
        <w:pBdr>
          <w:bar w:val="single" w:sz="6" w:color="808080"/>
        </w:pBdr>
        <w:rPr>
          <w:rFonts w:ascii="Calibri" w:eastAsia="Calibri" w:hAnsi="Calibri"/>
          <w:szCs w:val="22"/>
          <w:lang w:eastAsia="en-US"/>
        </w:rPr>
      </w:pPr>
    </w:p>
    <w:p w:rsidR="00242C36" w:rsidRDefault="00242C36" w:rsidP="00242C36">
      <w:pPr>
        <w:pBdr>
          <w:bar w:val="single" w:sz="6" w:color="808080"/>
        </w:pBdr>
        <w:spacing w:after="120"/>
        <w:rPr>
          <w:rFonts w:ascii="Calibri" w:hAnsi="Calibri"/>
          <w:szCs w:val="22"/>
        </w:rPr>
      </w:pPr>
      <w:r w:rsidRPr="00E43137">
        <w:rPr>
          <w:rFonts w:ascii="Calibri" w:eastAsia="Calibri" w:hAnsi="Calibri"/>
          <w:b/>
          <w:bCs/>
          <w:szCs w:val="22"/>
          <w:lang w:eastAsia="en-US"/>
        </w:rPr>
        <w:t>Produktivita práce v poľnohospodárstve,</w:t>
      </w:r>
      <w:r w:rsidRPr="00E43137">
        <w:rPr>
          <w:rFonts w:ascii="Calibri" w:eastAsia="Calibri" w:hAnsi="Calibri"/>
          <w:b/>
          <w:bCs/>
          <w:sz w:val="32"/>
          <w:szCs w:val="32"/>
          <w:lang w:eastAsia="en-US"/>
        </w:rPr>
        <w:t xml:space="preserve"> </w:t>
      </w:r>
      <w:r w:rsidRPr="00E43137">
        <w:rPr>
          <w:rFonts w:ascii="Calibri" w:eastAsia="Calibri" w:hAnsi="Calibri"/>
          <w:szCs w:val="22"/>
          <w:lang w:eastAsia="en-US"/>
        </w:rPr>
        <w:t xml:space="preserve">vyčíslená z hrubej pridanej hodnoty na osobu dosiahla v roku 2010 </w:t>
      </w:r>
      <w:r w:rsidRPr="00E43137">
        <w:rPr>
          <w:rFonts w:ascii="Calibri" w:hAnsi="Calibri"/>
          <w:szCs w:val="22"/>
        </w:rPr>
        <w:t xml:space="preserve">6 988,6 </w:t>
      </w:r>
      <w:r w:rsidRPr="00E43137">
        <w:rPr>
          <w:rFonts w:ascii="Calibri" w:eastAsia="Calibri" w:hAnsi="Calibri"/>
          <w:szCs w:val="22"/>
          <w:lang w:eastAsia="en-US"/>
        </w:rPr>
        <w:t xml:space="preserve">EUR/osobu </w:t>
      </w:r>
      <w:r>
        <w:rPr>
          <w:rFonts w:ascii="Calibri" w:eastAsia="Calibri" w:hAnsi="Calibri"/>
          <w:szCs w:val="22"/>
          <w:lang w:eastAsia="en-US"/>
        </w:rPr>
        <w:t>(</w:t>
      </w:r>
      <w:r w:rsidRPr="00AD69E8">
        <w:rPr>
          <w:rFonts w:ascii="Calibri" w:eastAsia="Calibri" w:hAnsi="Calibri"/>
          <w:b/>
          <w:szCs w:val="22"/>
          <w:lang w:eastAsia="en-US"/>
        </w:rPr>
        <w:t>CCI 14</w:t>
      </w:r>
      <w:r>
        <w:rPr>
          <w:rFonts w:ascii="Calibri" w:eastAsia="Calibri" w:hAnsi="Calibri"/>
          <w:szCs w:val="22"/>
          <w:lang w:eastAsia="en-US"/>
        </w:rPr>
        <w:t>)</w:t>
      </w:r>
      <w:r w:rsidRPr="00E43137">
        <w:rPr>
          <w:rFonts w:ascii="Calibri" w:hAnsi="Calibri"/>
          <w:szCs w:val="22"/>
        </w:rPr>
        <w:t xml:space="preserve">s vyšším podielom v rastlinnej výrobe. </w:t>
      </w:r>
      <w:r w:rsidRPr="00E43137">
        <w:rPr>
          <w:rFonts w:ascii="Calibri" w:eastAsia="Calibri" w:hAnsi="Calibri"/>
          <w:szCs w:val="22"/>
          <w:lang w:eastAsia="en-US"/>
        </w:rPr>
        <w:t>Jej úroveň je len 46,7 % z úrovne priemeru štátov EÚ-27 (14 967 EUR/AWU), ale v porovnaní so štátmi V4 a Bulharskom a Rumunskom je produktivita práce slovenského poľnohospodárstva úrovňou druhá po Česku. Z pobaltských krajín je nižšia oproti Estónsku (o 41,3 %), ale vyššia ako u ostatných pobaltských krajín a to oproti Lotyšsku (o 107,2 %) a Litve (o 15 %). (CCI 2014–20</w:t>
      </w:r>
      <w:r>
        <w:rPr>
          <w:rFonts w:ascii="Calibri" w:eastAsia="Calibri" w:hAnsi="Calibri"/>
          <w:szCs w:val="22"/>
          <w:lang w:eastAsia="en-US"/>
        </w:rPr>
        <w:t>20: Analytická tabuľka</w:t>
      </w:r>
      <w:r w:rsidRPr="00E43137">
        <w:rPr>
          <w:rFonts w:ascii="Calibri" w:eastAsia="Calibri" w:hAnsi="Calibri"/>
          <w:szCs w:val="22"/>
          <w:lang w:eastAsia="en-US"/>
        </w:rPr>
        <w:t xml:space="preserve">).   </w:t>
      </w:r>
    </w:p>
    <w:p w:rsidR="00242C36" w:rsidRDefault="00242C36" w:rsidP="00242C36">
      <w:pPr>
        <w:pBdr>
          <w:bar w:val="single" w:sz="6" w:color="808080"/>
        </w:pBdr>
        <w:spacing w:after="120"/>
        <w:rPr>
          <w:rFonts w:ascii="Calibri" w:hAnsi="Calibri"/>
          <w:szCs w:val="22"/>
        </w:rPr>
      </w:pPr>
      <w:r w:rsidRPr="00E43137">
        <w:rPr>
          <w:rFonts w:ascii="Calibri" w:hAnsi="Calibri"/>
          <w:szCs w:val="22"/>
        </w:rPr>
        <w:t>Vývoj nie je pre agrárny sektor optimálny, nakoľko by bolo vhodnejšie, keby v štruktúre agrárnej výroby výrazne vyšším podielom dominovala živočíšna výroba, ktorá má potenciál produkovať vyššiu pridanú hodnotu a zamestnanosť ako rastlinná výroba.</w:t>
      </w:r>
      <w:r>
        <w:rPr>
          <w:rFonts w:ascii="Calibri" w:hAnsi="Calibri"/>
          <w:szCs w:val="22"/>
        </w:rPr>
        <w:t xml:space="preserve">  </w:t>
      </w:r>
    </w:p>
    <w:p w:rsidR="00242C36" w:rsidRDefault="00242C36" w:rsidP="007D119F">
      <w:pPr>
        <w:rPr>
          <w:rFonts w:ascii="Calibri" w:hAnsi="Calibri"/>
          <w:szCs w:val="22"/>
        </w:rPr>
      </w:pPr>
      <w:r w:rsidRPr="00505442">
        <w:rPr>
          <w:rFonts w:ascii="Calibri" w:hAnsi="Calibri"/>
          <w:szCs w:val="22"/>
        </w:rPr>
        <w:t xml:space="preserve">Nižšia produktivita  </w:t>
      </w:r>
      <w:r>
        <w:rPr>
          <w:rFonts w:ascii="Calibri" w:hAnsi="Calibri"/>
          <w:szCs w:val="22"/>
        </w:rPr>
        <w:t xml:space="preserve">práce v poľnohospodárstve </w:t>
      </w:r>
      <w:r w:rsidRPr="00505442">
        <w:rPr>
          <w:rFonts w:ascii="Calibri" w:hAnsi="Calibri"/>
          <w:szCs w:val="22"/>
        </w:rPr>
        <w:t>SR oproti štátom EÚ  je spôsobená nižšou intenzitou výroby a vyššou výrobnou spotrebou, nízk</w:t>
      </w:r>
      <w:r>
        <w:rPr>
          <w:rFonts w:ascii="Calibri" w:hAnsi="Calibri"/>
          <w:szCs w:val="22"/>
        </w:rPr>
        <w:t>ou</w:t>
      </w:r>
      <w:r w:rsidRPr="00505442">
        <w:rPr>
          <w:rFonts w:ascii="Calibri" w:hAnsi="Calibri"/>
          <w:szCs w:val="22"/>
        </w:rPr>
        <w:t xml:space="preserve"> kvalifikačn</w:t>
      </w:r>
      <w:r>
        <w:rPr>
          <w:rFonts w:ascii="Calibri" w:hAnsi="Calibri"/>
          <w:szCs w:val="22"/>
        </w:rPr>
        <w:t>ou</w:t>
      </w:r>
      <w:r w:rsidRPr="00505442">
        <w:rPr>
          <w:rFonts w:ascii="Calibri" w:hAnsi="Calibri"/>
          <w:szCs w:val="22"/>
        </w:rPr>
        <w:t>/vzdelanostn</w:t>
      </w:r>
      <w:r>
        <w:rPr>
          <w:rFonts w:ascii="Calibri" w:hAnsi="Calibri"/>
          <w:szCs w:val="22"/>
        </w:rPr>
        <w:t>ou</w:t>
      </w:r>
      <w:r w:rsidRPr="00505442">
        <w:rPr>
          <w:rFonts w:ascii="Calibri" w:hAnsi="Calibri"/>
          <w:szCs w:val="22"/>
        </w:rPr>
        <w:t xml:space="preserve"> úrovň</w:t>
      </w:r>
      <w:r>
        <w:rPr>
          <w:rFonts w:ascii="Calibri" w:hAnsi="Calibri"/>
          <w:szCs w:val="22"/>
        </w:rPr>
        <w:t>ou</w:t>
      </w:r>
      <w:r w:rsidRPr="00505442">
        <w:rPr>
          <w:rFonts w:ascii="Calibri" w:hAnsi="Calibri"/>
          <w:szCs w:val="22"/>
        </w:rPr>
        <w:t xml:space="preserve"> pracovníkov v poľnohospodárstve, vysoký</w:t>
      </w:r>
      <w:r>
        <w:rPr>
          <w:rFonts w:ascii="Calibri" w:hAnsi="Calibri"/>
          <w:szCs w:val="22"/>
        </w:rPr>
        <w:t>m</w:t>
      </w:r>
      <w:r w:rsidRPr="00505442">
        <w:rPr>
          <w:rFonts w:ascii="Calibri" w:hAnsi="Calibri"/>
          <w:szCs w:val="22"/>
        </w:rPr>
        <w:t xml:space="preserve"> podiel</w:t>
      </w:r>
      <w:r>
        <w:rPr>
          <w:rFonts w:ascii="Calibri" w:hAnsi="Calibri"/>
          <w:szCs w:val="22"/>
        </w:rPr>
        <w:t>om</w:t>
      </w:r>
      <w:r w:rsidRPr="00505442">
        <w:rPr>
          <w:rFonts w:ascii="Calibri" w:hAnsi="Calibri"/>
          <w:szCs w:val="22"/>
        </w:rPr>
        <w:t xml:space="preserve"> zamestnancov vo vyššom veku</w:t>
      </w:r>
      <w:r>
        <w:rPr>
          <w:rFonts w:ascii="Calibri" w:hAnsi="Calibri"/>
          <w:szCs w:val="22"/>
        </w:rPr>
        <w:t>, ale aj vzdelanostnou úrovňou manažérov poľnohospodárskych podnikov a poradenstva</w:t>
      </w:r>
      <w:r w:rsidRPr="00505442">
        <w:rPr>
          <w:rFonts w:ascii="Calibri" w:hAnsi="Calibri"/>
          <w:szCs w:val="22"/>
        </w:rPr>
        <w:t>.</w:t>
      </w:r>
      <w:r>
        <w:rPr>
          <w:rFonts w:ascii="Calibri" w:hAnsi="Calibri"/>
          <w:szCs w:val="22"/>
        </w:rPr>
        <w:t xml:space="preserve"> </w:t>
      </w:r>
    </w:p>
    <w:p w:rsidR="00242C36" w:rsidRPr="00E43137" w:rsidRDefault="00242C36" w:rsidP="00E74151">
      <w:pPr>
        <w:pBdr>
          <w:bar w:val="single" w:sz="6" w:color="808080"/>
        </w:pBdr>
        <w:spacing w:after="120"/>
        <w:rPr>
          <w:rFonts w:ascii="Calibri" w:hAnsi="Calibri"/>
          <w:szCs w:val="22"/>
        </w:rPr>
      </w:pPr>
      <w:r w:rsidRPr="00E43137">
        <w:rPr>
          <w:rFonts w:ascii="Calibri" w:hAnsi="Calibri"/>
          <w:szCs w:val="22"/>
        </w:rPr>
        <w:t xml:space="preserve">Produktivita práce medzi jednotlivými kategóriami podnikov a komodít je  značne diferencovaná k čomu prispievajú aj podpory. </w:t>
      </w:r>
    </w:p>
    <w:p w:rsidR="00242C36" w:rsidRPr="00E43137" w:rsidRDefault="00242C36" w:rsidP="007D119F">
      <w:pPr>
        <w:pBdr>
          <w:bar w:val="single" w:sz="6" w:color="808080"/>
        </w:pBdr>
        <w:rPr>
          <w:rFonts w:ascii="Calibri" w:eastAsia="Calibri" w:hAnsi="Calibri"/>
          <w:szCs w:val="22"/>
          <w:lang w:eastAsia="en-US"/>
        </w:rPr>
      </w:pPr>
      <w:r w:rsidRPr="00E43137">
        <w:rPr>
          <w:rFonts w:ascii="Calibri" w:eastAsia="Calibri" w:hAnsi="Calibri"/>
          <w:szCs w:val="22"/>
          <w:lang w:eastAsia="en-US"/>
        </w:rPr>
        <w:t>Produktivita práce vyčíslená (z rezortnej databázy) z výnosov, resp. z pridanej hodnoty na pracovníka  bola nasledovná:</w:t>
      </w:r>
    </w:p>
    <w:p w:rsidR="00242C36" w:rsidRPr="00E43137" w:rsidRDefault="00242C36" w:rsidP="007D119F">
      <w:pPr>
        <w:pBdr>
          <w:bar w:val="single" w:sz="6" w:color="808080"/>
        </w:pBdr>
        <w:rPr>
          <w:rFonts w:ascii="Calibri" w:eastAsia="Calibri" w:hAnsi="Calibri"/>
          <w:szCs w:val="22"/>
          <w:lang w:eastAsia="en-US"/>
        </w:rPr>
      </w:pPr>
      <w:r w:rsidRPr="00E43137">
        <w:rPr>
          <w:rFonts w:ascii="Calibri" w:eastAsia="Calibri" w:hAnsi="Calibri"/>
          <w:szCs w:val="22"/>
          <w:lang w:eastAsia="en-US"/>
        </w:rPr>
        <w:t>- najvyššiu úroveň produktivity práce z výnosov dosiahli  podniky s nižšími výmerami</w:t>
      </w:r>
    </w:p>
    <w:p w:rsidR="00242C36" w:rsidRPr="00E43137" w:rsidRDefault="00242C36" w:rsidP="007D119F">
      <w:pPr>
        <w:pBdr>
          <w:bar w:val="single" w:sz="6" w:color="808080"/>
        </w:pBdr>
        <w:spacing w:after="120"/>
        <w:ind w:left="142" w:hanging="142"/>
        <w:rPr>
          <w:rFonts w:ascii="Calibri" w:eastAsia="Calibri" w:hAnsi="Calibri"/>
          <w:szCs w:val="22"/>
          <w:lang w:eastAsia="en-US"/>
        </w:rPr>
      </w:pPr>
      <w:r w:rsidRPr="00E43137">
        <w:rPr>
          <w:rFonts w:ascii="Calibri" w:eastAsia="Calibri" w:hAnsi="Calibri"/>
          <w:szCs w:val="22"/>
          <w:lang w:eastAsia="en-US"/>
        </w:rPr>
        <w:t>- produktivita práce z pridanej hodnoty bola najvyššia v podnikoch bez pôdy, a v podnikoch s vyššími výmerami</w:t>
      </w:r>
    </w:p>
    <w:p w:rsidR="00242C36" w:rsidRPr="00193203" w:rsidRDefault="007D119F" w:rsidP="00242C36">
      <w:pPr>
        <w:pBdr>
          <w:bar w:val="single" w:sz="6" w:color="808080"/>
        </w:pBdr>
        <w:spacing w:after="120"/>
        <w:rPr>
          <w:rFonts w:ascii="Calibri" w:eastAsia="Calibri" w:hAnsi="Calibri"/>
          <w:b/>
          <w:szCs w:val="22"/>
          <w:lang w:eastAsia="en-US"/>
        </w:rPr>
      </w:pPr>
      <w:r>
        <w:rPr>
          <w:rFonts w:ascii="Calibri" w:eastAsia="Calibri" w:hAnsi="Calibri"/>
          <w:b/>
          <w:szCs w:val="22"/>
          <w:lang w:eastAsia="en-US"/>
        </w:rPr>
        <w:t xml:space="preserve">Tabuľka 21: </w:t>
      </w:r>
      <w:r w:rsidR="00242C36" w:rsidRPr="00505442">
        <w:rPr>
          <w:rFonts w:ascii="Calibri" w:eastAsia="Calibri" w:hAnsi="Calibri"/>
          <w:b/>
          <w:szCs w:val="22"/>
          <w:lang w:eastAsia="en-US"/>
        </w:rPr>
        <w:t>Produktivita práce podľa veľkostných skupín podnikov za rok 2012:</w:t>
      </w:r>
    </w:p>
    <w:tbl>
      <w:tblPr>
        <w:tblW w:w="6700" w:type="dxa"/>
        <w:tblInd w:w="55" w:type="dxa"/>
        <w:tblCellMar>
          <w:left w:w="70" w:type="dxa"/>
          <w:right w:w="70" w:type="dxa"/>
        </w:tblCellMar>
        <w:tblLook w:val="04A0" w:firstRow="1" w:lastRow="0" w:firstColumn="1" w:lastColumn="0" w:noHBand="0" w:noVBand="1"/>
      </w:tblPr>
      <w:tblGrid>
        <w:gridCol w:w="2180"/>
        <w:gridCol w:w="2260"/>
        <w:gridCol w:w="2260"/>
      </w:tblGrid>
      <w:tr w:rsidR="00242C36" w:rsidRPr="00193203" w:rsidTr="00242C36">
        <w:trPr>
          <w:trHeight w:val="510"/>
        </w:trPr>
        <w:tc>
          <w:tcPr>
            <w:tcW w:w="218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242C36" w:rsidRPr="00193203" w:rsidRDefault="00242C36" w:rsidP="00242C36">
            <w:pPr>
              <w:jc w:val="center"/>
              <w:rPr>
                <w:sz w:val="18"/>
                <w:szCs w:val="18"/>
              </w:rPr>
            </w:pPr>
            <w:r w:rsidRPr="00505442">
              <w:rPr>
                <w:sz w:val="18"/>
                <w:szCs w:val="18"/>
              </w:rPr>
              <w:t xml:space="preserve">Interval poľ. pôdy v ha    (podľa LPIS) </w:t>
            </w:r>
          </w:p>
        </w:tc>
        <w:tc>
          <w:tcPr>
            <w:tcW w:w="4520" w:type="dxa"/>
            <w:gridSpan w:val="2"/>
            <w:tcBorders>
              <w:top w:val="single" w:sz="4" w:space="0" w:color="auto"/>
              <w:left w:val="nil"/>
              <w:bottom w:val="single" w:sz="4" w:space="0" w:color="auto"/>
              <w:right w:val="single" w:sz="4" w:space="0" w:color="000000"/>
            </w:tcBorders>
            <w:shd w:val="clear" w:color="auto" w:fill="auto"/>
            <w:vAlign w:val="center"/>
            <w:hideMark/>
          </w:tcPr>
          <w:p w:rsidR="00242C36" w:rsidRPr="00193203" w:rsidRDefault="00242C36" w:rsidP="00242C36">
            <w:pPr>
              <w:jc w:val="center"/>
              <w:rPr>
                <w:sz w:val="18"/>
                <w:szCs w:val="18"/>
              </w:rPr>
            </w:pPr>
            <w:r w:rsidRPr="00505442">
              <w:rPr>
                <w:sz w:val="18"/>
                <w:szCs w:val="18"/>
              </w:rPr>
              <w:t>Produktivita prace v tis € na pracovníka</w:t>
            </w:r>
          </w:p>
        </w:tc>
      </w:tr>
      <w:tr w:rsidR="00242C36" w:rsidRPr="00193203" w:rsidTr="00242C36">
        <w:trPr>
          <w:trHeight w:val="345"/>
        </w:trPr>
        <w:tc>
          <w:tcPr>
            <w:tcW w:w="2180"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242C36" w:rsidRPr="00193203" w:rsidRDefault="00242C36" w:rsidP="00242C36">
            <w:pPr>
              <w:rPr>
                <w:sz w:val="18"/>
                <w:szCs w:val="18"/>
              </w:rPr>
            </w:pPr>
          </w:p>
        </w:tc>
        <w:tc>
          <w:tcPr>
            <w:tcW w:w="2260" w:type="dxa"/>
            <w:tcBorders>
              <w:top w:val="nil"/>
              <w:left w:val="nil"/>
              <w:bottom w:val="single" w:sz="4" w:space="0" w:color="auto"/>
              <w:right w:val="single" w:sz="4" w:space="0" w:color="auto"/>
            </w:tcBorders>
            <w:shd w:val="clear" w:color="auto" w:fill="auto"/>
            <w:vAlign w:val="center"/>
            <w:hideMark/>
          </w:tcPr>
          <w:p w:rsidR="00242C36" w:rsidRPr="00193203" w:rsidRDefault="00242C36" w:rsidP="00242C36">
            <w:pPr>
              <w:jc w:val="center"/>
              <w:rPr>
                <w:sz w:val="18"/>
                <w:szCs w:val="18"/>
              </w:rPr>
            </w:pPr>
            <w:r w:rsidRPr="00505442">
              <w:rPr>
                <w:sz w:val="18"/>
                <w:szCs w:val="18"/>
              </w:rPr>
              <w:t>z výnosov</w:t>
            </w:r>
          </w:p>
        </w:tc>
        <w:tc>
          <w:tcPr>
            <w:tcW w:w="2260" w:type="dxa"/>
            <w:tcBorders>
              <w:top w:val="nil"/>
              <w:left w:val="nil"/>
              <w:bottom w:val="single" w:sz="4" w:space="0" w:color="auto"/>
              <w:right w:val="single" w:sz="4" w:space="0" w:color="auto"/>
            </w:tcBorders>
            <w:shd w:val="clear" w:color="auto" w:fill="auto"/>
            <w:vAlign w:val="center"/>
            <w:hideMark/>
          </w:tcPr>
          <w:p w:rsidR="00242C36" w:rsidRPr="00193203" w:rsidRDefault="00242C36" w:rsidP="00242C36">
            <w:pPr>
              <w:jc w:val="center"/>
              <w:rPr>
                <w:sz w:val="18"/>
                <w:szCs w:val="18"/>
              </w:rPr>
            </w:pPr>
            <w:r w:rsidRPr="00505442">
              <w:rPr>
                <w:sz w:val="18"/>
                <w:szCs w:val="18"/>
              </w:rPr>
              <w:t>z pridanej hodnoty</w:t>
            </w:r>
          </w:p>
        </w:tc>
      </w:tr>
      <w:tr w:rsidR="00242C36" w:rsidRPr="00193203" w:rsidTr="00242C36">
        <w:trPr>
          <w:trHeight w:val="342"/>
        </w:trPr>
        <w:tc>
          <w:tcPr>
            <w:tcW w:w="2180" w:type="dxa"/>
            <w:tcBorders>
              <w:top w:val="nil"/>
              <w:left w:val="single" w:sz="4" w:space="0" w:color="auto"/>
              <w:bottom w:val="single" w:sz="4" w:space="0" w:color="auto"/>
              <w:right w:val="single" w:sz="4" w:space="0" w:color="auto"/>
            </w:tcBorders>
            <w:shd w:val="clear" w:color="auto" w:fill="auto"/>
            <w:noWrap/>
            <w:vAlign w:val="bottom"/>
            <w:hideMark/>
          </w:tcPr>
          <w:p w:rsidR="00242C36" w:rsidRPr="00193203" w:rsidRDefault="00242C36" w:rsidP="00242C36">
            <w:pPr>
              <w:rPr>
                <w:sz w:val="18"/>
                <w:szCs w:val="18"/>
              </w:rPr>
            </w:pPr>
            <w:r w:rsidRPr="00505442">
              <w:rPr>
                <w:sz w:val="18"/>
                <w:szCs w:val="18"/>
              </w:rPr>
              <w:t>bez pôdy</w:t>
            </w:r>
          </w:p>
        </w:tc>
        <w:tc>
          <w:tcPr>
            <w:tcW w:w="2260" w:type="dxa"/>
            <w:tcBorders>
              <w:top w:val="nil"/>
              <w:left w:val="nil"/>
              <w:bottom w:val="single" w:sz="4" w:space="0" w:color="auto"/>
              <w:right w:val="single" w:sz="4" w:space="0" w:color="auto"/>
            </w:tcBorders>
            <w:shd w:val="clear" w:color="auto" w:fill="auto"/>
            <w:vAlign w:val="center"/>
            <w:hideMark/>
          </w:tcPr>
          <w:p w:rsidR="00242C36" w:rsidRPr="00193203" w:rsidRDefault="00242C36" w:rsidP="00242C36">
            <w:pPr>
              <w:jc w:val="right"/>
              <w:rPr>
                <w:sz w:val="18"/>
                <w:szCs w:val="18"/>
              </w:rPr>
            </w:pPr>
            <w:r w:rsidRPr="00505442">
              <w:rPr>
                <w:sz w:val="18"/>
                <w:szCs w:val="18"/>
              </w:rPr>
              <w:t>162,86</w:t>
            </w:r>
          </w:p>
        </w:tc>
        <w:tc>
          <w:tcPr>
            <w:tcW w:w="2260" w:type="dxa"/>
            <w:tcBorders>
              <w:top w:val="nil"/>
              <w:left w:val="nil"/>
              <w:bottom w:val="single" w:sz="4" w:space="0" w:color="auto"/>
              <w:right w:val="single" w:sz="4" w:space="0" w:color="auto"/>
            </w:tcBorders>
            <w:shd w:val="clear" w:color="auto" w:fill="auto"/>
            <w:vAlign w:val="center"/>
            <w:hideMark/>
          </w:tcPr>
          <w:p w:rsidR="00242C36" w:rsidRPr="00193203" w:rsidRDefault="00242C36" w:rsidP="00242C36">
            <w:pPr>
              <w:jc w:val="right"/>
              <w:rPr>
                <w:sz w:val="18"/>
                <w:szCs w:val="18"/>
              </w:rPr>
            </w:pPr>
            <w:r w:rsidRPr="00505442">
              <w:rPr>
                <w:sz w:val="18"/>
                <w:szCs w:val="18"/>
              </w:rPr>
              <w:t>20,53</w:t>
            </w:r>
          </w:p>
        </w:tc>
      </w:tr>
      <w:tr w:rsidR="00242C36" w:rsidRPr="00193203" w:rsidTr="00242C36">
        <w:trPr>
          <w:trHeight w:val="342"/>
        </w:trPr>
        <w:tc>
          <w:tcPr>
            <w:tcW w:w="2180" w:type="dxa"/>
            <w:tcBorders>
              <w:top w:val="nil"/>
              <w:left w:val="single" w:sz="4" w:space="0" w:color="auto"/>
              <w:bottom w:val="single" w:sz="4" w:space="0" w:color="auto"/>
              <w:right w:val="single" w:sz="4" w:space="0" w:color="auto"/>
            </w:tcBorders>
            <w:shd w:val="clear" w:color="auto" w:fill="auto"/>
            <w:noWrap/>
            <w:vAlign w:val="bottom"/>
            <w:hideMark/>
          </w:tcPr>
          <w:p w:rsidR="00242C36" w:rsidRPr="00193203" w:rsidRDefault="00242C36" w:rsidP="00242C36">
            <w:pPr>
              <w:rPr>
                <w:sz w:val="18"/>
                <w:szCs w:val="18"/>
              </w:rPr>
            </w:pPr>
            <w:r w:rsidRPr="00505442">
              <w:rPr>
                <w:sz w:val="18"/>
                <w:szCs w:val="18"/>
              </w:rPr>
              <w:t>do 100</w:t>
            </w:r>
          </w:p>
        </w:tc>
        <w:tc>
          <w:tcPr>
            <w:tcW w:w="2260" w:type="dxa"/>
            <w:tcBorders>
              <w:top w:val="nil"/>
              <w:left w:val="nil"/>
              <w:bottom w:val="single" w:sz="4" w:space="0" w:color="auto"/>
              <w:right w:val="single" w:sz="4" w:space="0" w:color="auto"/>
            </w:tcBorders>
            <w:shd w:val="clear" w:color="auto" w:fill="auto"/>
            <w:noWrap/>
            <w:vAlign w:val="bottom"/>
            <w:hideMark/>
          </w:tcPr>
          <w:p w:rsidR="00242C36" w:rsidRPr="00193203" w:rsidRDefault="00242C36" w:rsidP="00242C36">
            <w:pPr>
              <w:jc w:val="right"/>
              <w:rPr>
                <w:sz w:val="18"/>
                <w:szCs w:val="18"/>
              </w:rPr>
            </w:pPr>
            <w:r w:rsidRPr="00505442">
              <w:rPr>
                <w:sz w:val="18"/>
                <w:szCs w:val="18"/>
              </w:rPr>
              <w:t>137,31</w:t>
            </w:r>
          </w:p>
        </w:tc>
        <w:tc>
          <w:tcPr>
            <w:tcW w:w="2260" w:type="dxa"/>
            <w:tcBorders>
              <w:top w:val="nil"/>
              <w:left w:val="nil"/>
              <w:bottom w:val="single" w:sz="4" w:space="0" w:color="auto"/>
              <w:right w:val="single" w:sz="4" w:space="0" w:color="auto"/>
            </w:tcBorders>
            <w:shd w:val="clear" w:color="auto" w:fill="auto"/>
            <w:noWrap/>
            <w:vAlign w:val="bottom"/>
            <w:hideMark/>
          </w:tcPr>
          <w:p w:rsidR="00242C36" w:rsidRPr="00193203" w:rsidRDefault="00242C36" w:rsidP="00242C36">
            <w:pPr>
              <w:jc w:val="right"/>
              <w:rPr>
                <w:sz w:val="18"/>
                <w:szCs w:val="18"/>
              </w:rPr>
            </w:pPr>
            <w:r w:rsidRPr="00505442">
              <w:rPr>
                <w:sz w:val="18"/>
                <w:szCs w:val="18"/>
              </w:rPr>
              <w:t>11,18</w:t>
            </w:r>
          </w:p>
        </w:tc>
      </w:tr>
      <w:tr w:rsidR="00242C36" w:rsidRPr="00193203" w:rsidTr="00242C36">
        <w:trPr>
          <w:trHeight w:val="342"/>
        </w:trPr>
        <w:tc>
          <w:tcPr>
            <w:tcW w:w="2180" w:type="dxa"/>
            <w:tcBorders>
              <w:top w:val="nil"/>
              <w:left w:val="single" w:sz="4" w:space="0" w:color="auto"/>
              <w:bottom w:val="single" w:sz="4" w:space="0" w:color="auto"/>
              <w:right w:val="single" w:sz="4" w:space="0" w:color="auto"/>
            </w:tcBorders>
            <w:shd w:val="clear" w:color="auto" w:fill="auto"/>
            <w:noWrap/>
            <w:vAlign w:val="bottom"/>
            <w:hideMark/>
          </w:tcPr>
          <w:p w:rsidR="00242C36" w:rsidRPr="00193203" w:rsidRDefault="00242C36" w:rsidP="00242C36">
            <w:pPr>
              <w:rPr>
                <w:sz w:val="18"/>
                <w:szCs w:val="18"/>
              </w:rPr>
            </w:pPr>
            <w:r w:rsidRPr="00505442">
              <w:rPr>
                <w:sz w:val="18"/>
                <w:szCs w:val="18"/>
              </w:rPr>
              <w:t>101 - 500</w:t>
            </w:r>
          </w:p>
        </w:tc>
        <w:tc>
          <w:tcPr>
            <w:tcW w:w="2260" w:type="dxa"/>
            <w:tcBorders>
              <w:top w:val="nil"/>
              <w:left w:val="nil"/>
              <w:bottom w:val="single" w:sz="4" w:space="0" w:color="auto"/>
              <w:right w:val="single" w:sz="4" w:space="0" w:color="auto"/>
            </w:tcBorders>
            <w:shd w:val="clear" w:color="auto" w:fill="auto"/>
            <w:noWrap/>
            <w:vAlign w:val="bottom"/>
            <w:hideMark/>
          </w:tcPr>
          <w:p w:rsidR="00242C36" w:rsidRPr="00193203" w:rsidRDefault="00242C36" w:rsidP="00242C36">
            <w:pPr>
              <w:jc w:val="right"/>
              <w:rPr>
                <w:sz w:val="18"/>
                <w:szCs w:val="18"/>
              </w:rPr>
            </w:pPr>
            <w:r w:rsidRPr="00505442">
              <w:rPr>
                <w:sz w:val="18"/>
                <w:szCs w:val="18"/>
              </w:rPr>
              <w:t>103,93</w:t>
            </w:r>
          </w:p>
        </w:tc>
        <w:tc>
          <w:tcPr>
            <w:tcW w:w="2260" w:type="dxa"/>
            <w:tcBorders>
              <w:top w:val="nil"/>
              <w:left w:val="nil"/>
              <w:bottom w:val="single" w:sz="4" w:space="0" w:color="auto"/>
              <w:right w:val="single" w:sz="4" w:space="0" w:color="auto"/>
            </w:tcBorders>
            <w:shd w:val="clear" w:color="auto" w:fill="auto"/>
            <w:noWrap/>
            <w:vAlign w:val="bottom"/>
            <w:hideMark/>
          </w:tcPr>
          <w:p w:rsidR="00242C36" w:rsidRPr="00193203" w:rsidRDefault="00242C36" w:rsidP="00242C36">
            <w:pPr>
              <w:jc w:val="right"/>
              <w:rPr>
                <w:sz w:val="18"/>
                <w:szCs w:val="18"/>
              </w:rPr>
            </w:pPr>
            <w:r w:rsidRPr="00505442">
              <w:rPr>
                <w:sz w:val="18"/>
                <w:szCs w:val="18"/>
              </w:rPr>
              <w:t>11,70</w:t>
            </w:r>
          </w:p>
        </w:tc>
      </w:tr>
      <w:tr w:rsidR="00242C36" w:rsidRPr="00193203" w:rsidTr="00242C36">
        <w:trPr>
          <w:trHeight w:val="342"/>
        </w:trPr>
        <w:tc>
          <w:tcPr>
            <w:tcW w:w="2180" w:type="dxa"/>
            <w:tcBorders>
              <w:top w:val="nil"/>
              <w:left w:val="single" w:sz="4" w:space="0" w:color="auto"/>
              <w:bottom w:val="single" w:sz="4" w:space="0" w:color="auto"/>
              <w:right w:val="single" w:sz="4" w:space="0" w:color="auto"/>
            </w:tcBorders>
            <w:shd w:val="clear" w:color="auto" w:fill="auto"/>
            <w:noWrap/>
            <w:vAlign w:val="bottom"/>
            <w:hideMark/>
          </w:tcPr>
          <w:p w:rsidR="00242C36" w:rsidRPr="00193203" w:rsidRDefault="00242C36" w:rsidP="00242C36">
            <w:pPr>
              <w:rPr>
                <w:sz w:val="18"/>
                <w:szCs w:val="18"/>
              </w:rPr>
            </w:pPr>
            <w:r w:rsidRPr="00505442">
              <w:rPr>
                <w:sz w:val="18"/>
                <w:szCs w:val="18"/>
              </w:rPr>
              <w:t>501 - 1000</w:t>
            </w:r>
          </w:p>
        </w:tc>
        <w:tc>
          <w:tcPr>
            <w:tcW w:w="2260" w:type="dxa"/>
            <w:tcBorders>
              <w:top w:val="nil"/>
              <w:left w:val="nil"/>
              <w:bottom w:val="single" w:sz="4" w:space="0" w:color="auto"/>
              <w:right w:val="single" w:sz="4" w:space="0" w:color="auto"/>
            </w:tcBorders>
            <w:shd w:val="clear" w:color="auto" w:fill="auto"/>
            <w:noWrap/>
            <w:vAlign w:val="bottom"/>
            <w:hideMark/>
          </w:tcPr>
          <w:p w:rsidR="00242C36" w:rsidRPr="00193203" w:rsidRDefault="00242C36" w:rsidP="00242C36">
            <w:pPr>
              <w:jc w:val="right"/>
              <w:rPr>
                <w:sz w:val="18"/>
                <w:szCs w:val="18"/>
              </w:rPr>
            </w:pPr>
            <w:r w:rsidRPr="00505442">
              <w:rPr>
                <w:sz w:val="18"/>
                <w:szCs w:val="18"/>
              </w:rPr>
              <w:t>67,42</w:t>
            </w:r>
          </w:p>
        </w:tc>
        <w:tc>
          <w:tcPr>
            <w:tcW w:w="2260" w:type="dxa"/>
            <w:tcBorders>
              <w:top w:val="nil"/>
              <w:left w:val="nil"/>
              <w:bottom w:val="single" w:sz="4" w:space="0" w:color="auto"/>
              <w:right w:val="single" w:sz="4" w:space="0" w:color="auto"/>
            </w:tcBorders>
            <w:shd w:val="clear" w:color="auto" w:fill="auto"/>
            <w:noWrap/>
            <w:vAlign w:val="bottom"/>
            <w:hideMark/>
          </w:tcPr>
          <w:p w:rsidR="00242C36" w:rsidRPr="00193203" w:rsidRDefault="00242C36" w:rsidP="00242C36">
            <w:pPr>
              <w:jc w:val="right"/>
              <w:rPr>
                <w:sz w:val="18"/>
                <w:szCs w:val="18"/>
              </w:rPr>
            </w:pPr>
            <w:r w:rsidRPr="00505442">
              <w:rPr>
                <w:sz w:val="18"/>
                <w:szCs w:val="18"/>
              </w:rPr>
              <w:t>6,99</w:t>
            </w:r>
          </w:p>
        </w:tc>
      </w:tr>
      <w:tr w:rsidR="00242C36" w:rsidRPr="00193203" w:rsidTr="00242C36">
        <w:trPr>
          <w:trHeight w:val="342"/>
        </w:trPr>
        <w:tc>
          <w:tcPr>
            <w:tcW w:w="2180" w:type="dxa"/>
            <w:tcBorders>
              <w:top w:val="nil"/>
              <w:left w:val="single" w:sz="4" w:space="0" w:color="auto"/>
              <w:bottom w:val="single" w:sz="4" w:space="0" w:color="auto"/>
              <w:right w:val="single" w:sz="4" w:space="0" w:color="auto"/>
            </w:tcBorders>
            <w:shd w:val="clear" w:color="auto" w:fill="auto"/>
            <w:noWrap/>
            <w:vAlign w:val="bottom"/>
            <w:hideMark/>
          </w:tcPr>
          <w:p w:rsidR="00242C36" w:rsidRPr="00193203" w:rsidRDefault="00242C36" w:rsidP="00242C36">
            <w:pPr>
              <w:rPr>
                <w:sz w:val="18"/>
                <w:szCs w:val="18"/>
              </w:rPr>
            </w:pPr>
            <w:r w:rsidRPr="00505442">
              <w:rPr>
                <w:sz w:val="18"/>
                <w:szCs w:val="18"/>
              </w:rPr>
              <w:t>1001 - 1500</w:t>
            </w:r>
          </w:p>
        </w:tc>
        <w:tc>
          <w:tcPr>
            <w:tcW w:w="2260" w:type="dxa"/>
            <w:tcBorders>
              <w:top w:val="nil"/>
              <w:left w:val="nil"/>
              <w:bottom w:val="single" w:sz="4" w:space="0" w:color="auto"/>
              <w:right w:val="single" w:sz="4" w:space="0" w:color="auto"/>
            </w:tcBorders>
            <w:shd w:val="clear" w:color="auto" w:fill="auto"/>
            <w:noWrap/>
            <w:vAlign w:val="bottom"/>
            <w:hideMark/>
          </w:tcPr>
          <w:p w:rsidR="00242C36" w:rsidRPr="00193203" w:rsidRDefault="00242C36" w:rsidP="00242C36">
            <w:pPr>
              <w:jc w:val="right"/>
              <w:rPr>
                <w:sz w:val="18"/>
                <w:szCs w:val="18"/>
              </w:rPr>
            </w:pPr>
            <w:r w:rsidRPr="00505442">
              <w:rPr>
                <w:sz w:val="18"/>
                <w:szCs w:val="18"/>
              </w:rPr>
              <w:t>66,40</w:t>
            </w:r>
          </w:p>
        </w:tc>
        <w:tc>
          <w:tcPr>
            <w:tcW w:w="2260" w:type="dxa"/>
            <w:tcBorders>
              <w:top w:val="nil"/>
              <w:left w:val="nil"/>
              <w:bottom w:val="single" w:sz="4" w:space="0" w:color="auto"/>
              <w:right w:val="single" w:sz="4" w:space="0" w:color="auto"/>
            </w:tcBorders>
            <w:shd w:val="clear" w:color="auto" w:fill="auto"/>
            <w:noWrap/>
            <w:vAlign w:val="bottom"/>
            <w:hideMark/>
          </w:tcPr>
          <w:p w:rsidR="00242C36" w:rsidRPr="00193203" w:rsidRDefault="00242C36" w:rsidP="00242C36">
            <w:pPr>
              <w:jc w:val="right"/>
              <w:rPr>
                <w:sz w:val="18"/>
                <w:szCs w:val="18"/>
              </w:rPr>
            </w:pPr>
            <w:r w:rsidRPr="00505442">
              <w:rPr>
                <w:sz w:val="18"/>
                <w:szCs w:val="18"/>
              </w:rPr>
              <w:t>9,44</w:t>
            </w:r>
          </w:p>
        </w:tc>
      </w:tr>
      <w:tr w:rsidR="00242C36" w:rsidRPr="00193203" w:rsidTr="00242C36">
        <w:trPr>
          <w:trHeight w:val="342"/>
        </w:trPr>
        <w:tc>
          <w:tcPr>
            <w:tcW w:w="2180" w:type="dxa"/>
            <w:tcBorders>
              <w:top w:val="nil"/>
              <w:left w:val="single" w:sz="4" w:space="0" w:color="auto"/>
              <w:bottom w:val="single" w:sz="4" w:space="0" w:color="auto"/>
              <w:right w:val="single" w:sz="4" w:space="0" w:color="auto"/>
            </w:tcBorders>
            <w:shd w:val="clear" w:color="auto" w:fill="auto"/>
            <w:noWrap/>
            <w:vAlign w:val="bottom"/>
            <w:hideMark/>
          </w:tcPr>
          <w:p w:rsidR="00242C36" w:rsidRPr="00193203" w:rsidRDefault="00242C36" w:rsidP="00242C36">
            <w:pPr>
              <w:rPr>
                <w:sz w:val="18"/>
                <w:szCs w:val="18"/>
              </w:rPr>
            </w:pPr>
            <w:r w:rsidRPr="00505442">
              <w:rPr>
                <w:sz w:val="18"/>
                <w:szCs w:val="18"/>
              </w:rPr>
              <w:t>1501 - 2000</w:t>
            </w:r>
          </w:p>
        </w:tc>
        <w:tc>
          <w:tcPr>
            <w:tcW w:w="2260" w:type="dxa"/>
            <w:tcBorders>
              <w:top w:val="nil"/>
              <w:left w:val="nil"/>
              <w:bottom w:val="single" w:sz="4" w:space="0" w:color="auto"/>
              <w:right w:val="single" w:sz="4" w:space="0" w:color="auto"/>
            </w:tcBorders>
            <w:shd w:val="clear" w:color="auto" w:fill="auto"/>
            <w:noWrap/>
            <w:vAlign w:val="bottom"/>
            <w:hideMark/>
          </w:tcPr>
          <w:p w:rsidR="00242C36" w:rsidRPr="00193203" w:rsidRDefault="00242C36" w:rsidP="00242C36">
            <w:pPr>
              <w:jc w:val="right"/>
              <w:rPr>
                <w:sz w:val="18"/>
                <w:szCs w:val="18"/>
              </w:rPr>
            </w:pPr>
            <w:r w:rsidRPr="00505442">
              <w:rPr>
                <w:sz w:val="18"/>
                <w:szCs w:val="18"/>
              </w:rPr>
              <w:t>63,94</w:t>
            </w:r>
          </w:p>
        </w:tc>
        <w:tc>
          <w:tcPr>
            <w:tcW w:w="2260" w:type="dxa"/>
            <w:tcBorders>
              <w:top w:val="nil"/>
              <w:left w:val="nil"/>
              <w:bottom w:val="single" w:sz="4" w:space="0" w:color="auto"/>
              <w:right w:val="single" w:sz="4" w:space="0" w:color="auto"/>
            </w:tcBorders>
            <w:shd w:val="clear" w:color="auto" w:fill="auto"/>
            <w:noWrap/>
            <w:vAlign w:val="bottom"/>
            <w:hideMark/>
          </w:tcPr>
          <w:p w:rsidR="00242C36" w:rsidRPr="00193203" w:rsidRDefault="00242C36" w:rsidP="00242C36">
            <w:pPr>
              <w:jc w:val="right"/>
              <w:rPr>
                <w:sz w:val="18"/>
                <w:szCs w:val="18"/>
              </w:rPr>
            </w:pPr>
            <w:r w:rsidRPr="00505442">
              <w:rPr>
                <w:sz w:val="18"/>
                <w:szCs w:val="18"/>
              </w:rPr>
              <w:t>8,36</w:t>
            </w:r>
          </w:p>
        </w:tc>
      </w:tr>
      <w:tr w:rsidR="00242C36" w:rsidRPr="00193203" w:rsidTr="00242C36">
        <w:trPr>
          <w:trHeight w:val="342"/>
        </w:trPr>
        <w:tc>
          <w:tcPr>
            <w:tcW w:w="2180" w:type="dxa"/>
            <w:tcBorders>
              <w:top w:val="nil"/>
              <w:left w:val="single" w:sz="4" w:space="0" w:color="auto"/>
              <w:bottom w:val="single" w:sz="4" w:space="0" w:color="auto"/>
              <w:right w:val="single" w:sz="4" w:space="0" w:color="auto"/>
            </w:tcBorders>
            <w:shd w:val="clear" w:color="auto" w:fill="auto"/>
            <w:noWrap/>
            <w:vAlign w:val="bottom"/>
            <w:hideMark/>
          </w:tcPr>
          <w:p w:rsidR="00242C36" w:rsidRPr="00193203" w:rsidRDefault="00242C36" w:rsidP="00242C36">
            <w:pPr>
              <w:rPr>
                <w:sz w:val="18"/>
                <w:szCs w:val="18"/>
              </w:rPr>
            </w:pPr>
            <w:r w:rsidRPr="00505442">
              <w:rPr>
                <w:sz w:val="18"/>
                <w:szCs w:val="18"/>
              </w:rPr>
              <w:t>2001 - 2500</w:t>
            </w:r>
          </w:p>
        </w:tc>
        <w:tc>
          <w:tcPr>
            <w:tcW w:w="2260" w:type="dxa"/>
            <w:tcBorders>
              <w:top w:val="nil"/>
              <w:left w:val="nil"/>
              <w:bottom w:val="single" w:sz="4" w:space="0" w:color="auto"/>
              <w:right w:val="single" w:sz="4" w:space="0" w:color="auto"/>
            </w:tcBorders>
            <w:shd w:val="clear" w:color="auto" w:fill="auto"/>
            <w:noWrap/>
            <w:vAlign w:val="bottom"/>
            <w:hideMark/>
          </w:tcPr>
          <w:p w:rsidR="00242C36" w:rsidRPr="00193203" w:rsidRDefault="00242C36" w:rsidP="00242C36">
            <w:pPr>
              <w:jc w:val="right"/>
              <w:rPr>
                <w:sz w:val="18"/>
                <w:szCs w:val="18"/>
              </w:rPr>
            </w:pPr>
            <w:r w:rsidRPr="00505442">
              <w:rPr>
                <w:sz w:val="18"/>
                <w:szCs w:val="18"/>
              </w:rPr>
              <w:t>66,51</w:t>
            </w:r>
          </w:p>
        </w:tc>
        <w:tc>
          <w:tcPr>
            <w:tcW w:w="2260" w:type="dxa"/>
            <w:tcBorders>
              <w:top w:val="nil"/>
              <w:left w:val="nil"/>
              <w:bottom w:val="single" w:sz="4" w:space="0" w:color="auto"/>
              <w:right w:val="single" w:sz="4" w:space="0" w:color="auto"/>
            </w:tcBorders>
            <w:shd w:val="clear" w:color="auto" w:fill="auto"/>
            <w:noWrap/>
            <w:vAlign w:val="bottom"/>
            <w:hideMark/>
          </w:tcPr>
          <w:p w:rsidR="00242C36" w:rsidRPr="00193203" w:rsidRDefault="00242C36" w:rsidP="00242C36">
            <w:pPr>
              <w:jc w:val="right"/>
              <w:rPr>
                <w:sz w:val="18"/>
                <w:szCs w:val="18"/>
              </w:rPr>
            </w:pPr>
            <w:r w:rsidRPr="00505442">
              <w:rPr>
                <w:sz w:val="18"/>
                <w:szCs w:val="18"/>
              </w:rPr>
              <w:t>9,76</w:t>
            </w:r>
          </w:p>
        </w:tc>
      </w:tr>
      <w:tr w:rsidR="00242C36" w:rsidRPr="00193203" w:rsidTr="00242C36">
        <w:trPr>
          <w:trHeight w:val="342"/>
        </w:trPr>
        <w:tc>
          <w:tcPr>
            <w:tcW w:w="2180" w:type="dxa"/>
            <w:tcBorders>
              <w:top w:val="nil"/>
              <w:left w:val="single" w:sz="4" w:space="0" w:color="auto"/>
              <w:bottom w:val="single" w:sz="4" w:space="0" w:color="auto"/>
              <w:right w:val="single" w:sz="4" w:space="0" w:color="auto"/>
            </w:tcBorders>
            <w:shd w:val="clear" w:color="auto" w:fill="auto"/>
            <w:noWrap/>
            <w:vAlign w:val="bottom"/>
            <w:hideMark/>
          </w:tcPr>
          <w:p w:rsidR="00242C36" w:rsidRPr="00193203" w:rsidRDefault="00242C36" w:rsidP="00242C36">
            <w:pPr>
              <w:rPr>
                <w:sz w:val="18"/>
                <w:szCs w:val="18"/>
              </w:rPr>
            </w:pPr>
            <w:r w:rsidRPr="00505442">
              <w:rPr>
                <w:sz w:val="18"/>
                <w:szCs w:val="18"/>
              </w:rPr>
              <w:t>2501 - 3000</w:t>
            </w:r>
          </w:p>
        </w:tc>
        <w:tc>
          <w:tcPr>
            <w:tcW w:w="2260" w:type="dxa"/>
            <w:tcBorders>
              <w:top w:val="nil"/>
              <w:left w:val="nil"/>
              <w:bottom w:val="single" w:sz="4" w:space="0" w:color="auto"/>
              <w:right w:val="single" w:sz="4" w:space="0" w:color="auto"/>
            </w:tcBorders>
            <w:shd w:val="clear" w:color="auto" w:fill="auto"/>
            <w:noWrap/>
            <w:vAlign w:val="bottom"/>
            <w:hideMark/>
          </w:tcPr>
          <w:p w:rsidR="00242C36" w:rsidRPr="00193203" w:rsidRDefault="00242C36" w:rsidP="00242C36">
            <w:pPr>
              <w:jc w:val="right"/>
              <w:rPr>
                <w:sz w:val="18"/>
                <w:szCs w:val="18"/>
              </w:rPr>
            </w:pPr>
            <w:r w:rsidRPr="00505442">
              <w:rPr>
                <w:sz w:val="18"/>
                <w:szCs w:val="18"/>
              </w:rPr>
              <w:t>62,62</w:t>
            </w:r>
          </w:p>
        </w:tc>
        <w:tc>
          <w:tcPr>
            <w:tcW w:w="2260" w:type="dxa"/>
            <w:tcBorders>
              <w:top w:val="nil"/>
              <w:left w:val="nil"/>
              <w:bottom w:val="single" w:sz="4" w:space="0" w:color="auto"/>
              <w:right w:val="single" w:sz="4" w:space="0" w:color="auto"/>
            </w:tcBorders>
            <w:shd w:val="clear" w:color="auto" w:fill="auto"/>
            <w:noWrap/>
            <w:vAlign w:val="bottom"/>
            <w:hideMark/>
          </w:tcPr>
          <w:p w:rsidR="00242C36" w:rsidRPr="00193203" w:rsidRDefault="00242C36" w:rsidP="00242C36">
            <w:pPr>
              <w:jc w:val="right"/>
              <w:rPr>
                <w:sz w:val="18"/>
                <w:szCs w:val="18"/>
              </w:rPr>
            </w:pPr>
            <w:r w:rsidRPr="00505442">
              <w:rPr>
                <w:sz w:val="18"/>
                <w:szCs w:val="18"/>
              </w:rPr>
              <w:t>10,22</w:t>
            </w:r>
          </w:p>
        </w:tc>
      </w:tr>
      <w:tr w:rsidR="00242C36" w:rsidRPr="00193203" w:rsidTr="00242C36">
        <w:trPr>
          <w:trHeight w:val="342"/>
        </w:trPr>
        <w:tc>
          <w:tcPr>
            <w:tcW w:w="2180" w:type="dxa"/>
            <w:tcBorders>
              <w:top w:val="nil"/>
              <w:left w:val="single" w:sz="4" w:space="0" w:color="auto"/>
              <w:bottom w:val="single" w:sz="4" w:space="0" w:color="auto"/>
              <w:right w:val="single" w:sz="4" w:space="0" w:color="auto"/>
            </w:tcBorders>
            <w:shd w:val="clear" w:color="auto" w:fill="auto"/>
            <w:noWrap/>
            <w:vAlign w:val="bottom"/>
            <w:hideMark/>
          </w:tcPr>
          <w:p w:rsidR="00242C36" w:rsidRPr="00193203" w:rsidRDefault="00242C36" w:rsidP="00242C36">
            <w:pPr>
              <w:rPr>
                <w:sz w:val="18"/>
                <w:szCs w:val="18"/>
              </w:rPr>
            </w:pPr>
            <w:r w:rsidRPr="00505442">
              <w:rPr>
                <w:sz w:val="18"/>
                <w:szCs w:val="18"/>
              </w:rPr>
              <w:t>3001 - 3500</w:t>
            </w:r>
          </w:p>
        </w:tc>
        <w:tc>
          <w:tcPr>
            <w:tcW w:w="2260" w:type="dxa"/>
            <w:tcBorders>
              <w:top w:val="nil"/>
              <w:left w:val="nil"/>
              <w:bottom w:val="single" w:sz="4" w:space="0" w:color="auto"/>
              <w:right w:val="single" w:sz="4" w:space="0" w:color="auto"/>
            </w:tcBorders>
            <w:shd w:val="clear" w:color="auto" w:fill="auto"/>
            <w:noWrap/>
            <w:vAlign w:val="bottom"/>
            <w:hideMark/>
          </w:tcPr>
          <w:p w:rsidR="00242C36" w:rsidRPr="00193203" w:rsidRDefault="00242C36" w:rsidP="00242C36">
            <w:pPr>
              <w:jc w:val="right"/>
              <w:rPr>
                <w:sz w:val="18"/>
                <w:szCs w:val="18"/>
              </w:rPr>
            </w:pPr>
            <w:r w:rsidRPr="00505442">
              <w:rPr>
                <w:sz w:val="18"/>
                <w:szCs w:val="18"/>
              </w:rPr>
              <w:t>65,13</w:t>
            </w:r>
          </w:p>
        </w:tc>
        <w:tc>
          <w:tcPr>
            <w:tcW w:w="2260" w:type="dxa"/>
            <w:tcBorders>
              <w:top w:val="nil"/>
              <w:left w:val="nil"/>
              <w:bottom w:val="single" w:sz="4" w:space="0" w:color="auto"/>
              <w:right w:val="single" w:sz="4" w:space="0" w:color="auto"/>
            </w:tcBorders>
            <w:shd w:val="clear" w:color="auto" w:fill="auto"/>
            <w:noWrap/>
            <w:vAlign w:val="bottom"/>
            <w:hideMark/>
          </w:tcPr>
          <w:p w:rsidR="00242C36" w:rsidRPr="00193203" w:rsidRDefault="00242C36" w:rsidP="00242C36">
            <w:pPr>
              <w:jc w:val="right"/>
              <w:rPr>
                <w:sz w:val="18"/>
                <w:szCs w:val="18"/>
              </w:rPr>
            </w:pPr>
            <w:r w:rsidRPr="00505442">
              <w:rPr>
                <w:sz w:val="18"/>
                <w:szCs w:val="18"/>
              </w:rPr>
              <w:t>11,72</w:t>
            </w:r>
          </w:p>
        </w:tc>
      </w:tr>
      <w:tr w:rsidR="00242C36" w:rsidRPr="00193203" w:rsidTr="00242C36">
        <w:trPr>
          <w:trHeight w:val="342"/>
        </w:trPr>
        <w:tc>
          <w:tcPr>
            <w:tcW w:w="2180" w:type="dxa"/>
            <w:tcBorders>
              <w:top w:val="nil"/>
              <w:left w:val="single" w:sz="4" w:space="0" w:color="auto"/>
              <w:bottom w:val="single" w:sz="4" w:space="0" w:color="auto"/>
              <w:right w:val="single" w:sz="4" w:space="0" w:color="auto"/>
            </w:tcBorders>
            <w:shd w:val="clear" w:color="auto" w:fill="auto"/>
            <w:noWrap/>
            <w:vAlign w:val="bottom"/>
            <w:hideMark/>
          </w:tcPr>
          <w:p w:rsidR="00242C36" w:rsidRPr="00193203" w:rsidRDefault="00242C36" w:rsidP="00242C36">
            <w:pPr>
              <w:rPr>
                <w:sz w:val="18"/>
                <w:szCs w:val="18"/>
              </w:rPr>
            </w:pPr>
            <w:r w:rsidRPr="00505442">
              <w:rPr>
                <w:sz w:val="18"/>
                <w:szCs w:val="18"/>
              </w:rPr>
              <w:t>3501 - 4000</w:t>
            </w:r>
          </w:p>
        </w:tc>
        <w:tc>
          <w:tcPr>
            <w:tcW w:w="2260" w:type="dxa"/>
            <w:tcBorders>
              <w:top w:val="nil"/>
              <w:left w:val="nil"/>
              <w:bottom w:val="single" w:sz="4" w:space="0" w:color="auto"/>
              <w:right w:val="single" w:sz="4" w:space="0" w:color="auto"/>
            </w:tcBorders>
            <w:shd w:val="clear" w:color="auto" w:fill="auto"/>
            <w:noWrap/>
            <w:vAlign w:val="bottom"/>
            <w:hideMark/>
          </w:tcPr>
          <w:p w:rsidR="00242C36" w:rsidRPr="00193203" w:rsidRDefault="00242C36" w:rsidP="00242C36">
            <w:pPr>
              <w:jc w:val="right"/>
              <w:rPr>
                <w:sz w:val="18"/>
                <w:szCs w:val="18"/>
              </w:rPr>
            </w:pPr>
            <w:r w:rsidRPr="00505442">
              <w:rPr>
                <w:sz w:val="18"/>
                <w:szCs w:val="18"/>
              </w:rPr>
              <w:t>93,30</w:t>
            </w:r>
          </w:p>
        </w:tc>
        <w:tc>
          <w:tcPr>
            <w:tcW w:w="2260" w:type="dxa"/>
            <w:tcBorders>
              <w:top w:val="nil"/>
              <w:left w:val="nil"/>
              <w:bottom w:val="single" w:sz="4" w:space="0" w:color="auto"/>
              <w:right w:val="single" w:sz="4" w:space="0" w:color="auto"/>
            </w:tcBorders>
            <w:shd w:val="clear" w:color="auto" w:fill="auto"/>
            <w:noWrap/>
            <w:vAlign w:val="bottom"/>
            <w:hideMark/>
          </w:tcPr>
          <w:p w:rsidR="00242C36" w:rsidRPr="00193203" w:rsidRDefault="00242C36" w:rsidP="00242C36">
            <w:pPr>
              <w:jc w:val="right"/>
              <w:rPr>
                <w:sz w:val="18"/>
                <w:szCs w:val="18"/>
              </w:rPr>
            </w:pPr>
            <w:r w:rsidRPr="00505442">
              <w:rPr>
                <w:sz w:val="18"/>
                <w:szCs w:val="18"/>
              </w:rPr>
              <w:t>14,69</w:t>
            </w:r>
          </w:p>
        </w:tc>
      </w:tr>
      <w:tr w:rsidR="00242C36" w:rsidRPr="00193203" w:rsidTr="00242C36">
        <w:trPr>
          <w:trHeight w:val="342"/>
        </w:trPr>
        <w:tc>
          <w:tcPr>
            <w:tcW w:w="2180" w:type="dxa"/>
            <w:tcBorders>
              <w:top w:val="nil"/>
              <w:left w:val="single" w:sz="4" w:space="0" w:color="auto"/>
              <w:bottom w:val="single" w:sz="4" w:space="0" w:color="auto"/>
              <w:right w:val="single" w:sz="4" w:space="0" w:color="auto"/>
            </w:tcBorders>
            <w:shd w:val="clear" w:color="auto" w:fill="auto"/>
            <w:noWrap/>
            <w:vAlign w:val="bottom"/>
            <w:hideMark/>
          </w:tcPr>
          <w:p w:rsidR="00242C36" w:rsidRPr="00193203" w:rsidRDefault="00242C36" w:rsidP="00242C36">
            <w:pPr>
              <w:rPr>
                <w:sz w:val="18"/>
                <w:szCs w:val="18"/>
              </w:rPr>
            </w:pPr>
            <w:r w:rsidRPr="00505442">
              <w:rPr>
                <w:sz w:val="18"/>
                <w:szCs w:val="18"/>
              </w:rPr>
              <w:t>4001 a viac</w:t>
            </w:r>
          </w:p>
        </w:tc>
        <w:tc>
          <w:tcPr>
            <w:tcW w:w="2260" w:type="dxa"/>
            <w:tcBorders>
              <w:top w:val="nil"/>
              <w:left w:val="nil"/>
              <w:bottom w:val="single" w:sz="4" w:space="0" w:color="auto"/>
              <w:right w:val="single" w:sz="4" w:space="0" w:color="auto"/>
            </w:tcBorders>
            <w:shd w:val="clear" w:color="auto" w:fill="auto"/>
            <w:noWrap/>
            <w:vAlign w:val="bottom"/>
            <w:hideMark/>
          </w:tcPr>
          <w:p w:rsidR="00242C36" w:rsidRPr="00193203" w:rsidRDefault="00242C36" w:rsidP="00242C36">
            <w:pPr>
              <w:jc w:val="right"/>
              <w:rPr>
                <w:sz w:val="18"/>
                <w:szCs w:val="18"/>
              </w:rPr>
            </w:pPr>
            <w:r w:rsidRPr="00505442">
              <w:rPr>
                <w:sz w:val="18"/>
                <w:szCs w:val="18"/>
              </w:rPr>
              <w:t>81,37</w:t>
            </w:r>
          </w:p>
        </w:tc>
        <w:tc>
          <w:tcPr>
            <w:tcW w:w="2260" w:type="dxa"/>
            <w:tcBorders>
              <w:top w:val="nil"/>
              <w:left w:val="nil"/>
              <w:bottom w:val="single" w:sz="4" w:space="0" w:color="auto"/>
              <w:right w:val="single" w:sz="4" w:space="0" w:color="auto"/>
            </w:tcBorders>
            <w:shd w:val="clear" w:color="auto" w:fill="auto"/>
            <w:noWrap/>
            <w:vAlign w:val="bottom"/>
            <w:hideMark/>
          </w:tcPr>
          <w:p w:rsidR="00242C36" w:rsidRPr="00193203" w:rsidRDefault="00242C36" w:rsidP="00242C36">
            <w:pPr>
              <w:jc w:val="right"/>
              <w:rPr>
                <w:sz w:val="18"/>
                <w:szCs w:val="18"/>
              </w:rPr>
            </w:pPr>
            <w:r w:rsidRPr="00505442">
              <w:rPr>
                <w:sz w:val="18"/>
                <w:szCs w:val="18"/>
              </w:rPr>
              <w:t>14,73</w:t>
            </w:r>
          </w:p>
        </w:tc>
      </w:tr>
      <w:tr w:rsidR="00242C36" w:rsidRPr="00193203" w:rsidTr="00242C36">
        <w:trPr>
          <w:trHeight w:val="342"/>
        </w:trPr>
        <w:tc>
          <w:tcPr>
            <w:tcW w:w="2180" w:type="dxa"/>
            <w:tcBorders>
              <w:top w:val="nil"/>
              <w:left w:val="single" w:sz="4" w:space="0" w:color="auto"/>
              <w:bottom w:val="single" w:sz="4" w:space="0" w:color="auto"/>
              <w:right w:val="single" w:sz="4" w:space="0" w:color="auto"/>
            </w:tcBorders>
            <w:shd w:val="clear" w:color="auto" w:fill="auto"/>
            <w:noWrap/>
            <w:vAlign w:val="bottom"/>
            <w:hideMark/>
          </w:tcPr>
          <w:p w:rsidR="00242C36" w:rsidRPr="00193203" w:rsidRDefault="00242C36" w:rsidP="00242C36">
            <w:pPr>
              <w:rPr>
                <w:sz w:val="18"/>
                <w:szCs w:val="18"/>
              </w:rPr>
            </w:pPr>
            <w:r w:rsidRPr="00505442">
              <w:rPr>
                <w:sz w:val="18"/>
                <w:szCs w:val="18"/>
              </w:rPr>
              <w:t>Spolu</w:t>
            </w:r>
          </w:p>
        </w:tc>
        <w:tc>
          <w:tcPr>
            <w:tcW w:w="2260" w:type="dxa"/>
            <w:tcBorders>
              <w:top w:val="nil"/>
              <w:left w:val="nil"/>
              <w:bottom w:val="single" w:sz="4" w:space="0" w:color="auto"/>
              <w:right w:val="single" w:sz="4" w:space="0" w:color="auto"/>
            </w:tcBorders>
            <w:shd w:val="clear" w:color="auto" w:fill="auto"/>
            <w:noWrap/>
            <w:vAlign w:val="bottom"/>
            <w:hideMark/>
          </w:tcPr>
          <w:p w:rsidR="00242C36" w:rsidRPr="00193203" w:rsidRDefault="00242C36" w:rsidP="00242C36">
            <w:pPr>
              <w:jc w:val="right"/>
              <w:rPr>
                <w:sz w:val="18"/>
                <w:szCs w:val="18"/>
              </w:rPr>
            </w:pPr>
            <w:r w:rsidRPr="00505442">
              <w:rPr>
                <w:sz w:val="18"/>
                <w:szCs w:val="18"/>
              </w:rPr>
              <w:t>75,70</w:t>
            </w:r>
          </w:p>
        </w:tc>
        <w:tc>
          <w:tcPr>
            <w:tcW w:w="2260" w:type="dxa"/>
            <w:tcBorders>
              <w:top w:val="nil"/>
              <w:left w:val="nil"/>
              <w:bottom w:val="single" w:sz="4" w:space="0" w:color="auto"/>
              <w:right w:val="single" w:sz="4" w:space="0" w:color="auto"/>
            </w:tcBorders>
            <w:shd w:val="clear" w:color="auto" w:fill="auto"/>
            <w:noWrap/>
            <w:vAlign w:val="bottom"/>
            <w:hideMark/>
          </w:tcPr>
          <w:p w:rsidR="00242C36" w:rsidRPr="00193203" w:rsidRDefault="00242C36" w:rsidP="00242C36">
            <w:pPr>
              <w:jc w:val="right"/>
              <w:rPr>
                <w:sz w:val="18"/>
                <w:szCs w:val="18"/>
              </w:rPr>
            </w:pPr>
            <w:r w:rsidRPr="00505442">
              <w:rPr>
                <w:sz w:val="18"/>
                <w:szCs w:val="18"/>
              </w:rPr>
              <w:t>10,35</w:t>
            </w:r>
          </w:p>
        </w:tc>
      </w:tr>
    </w:tbl>
    <w:p w:rsidR="00242C36" w:rsidRPr="00E43137" w:rsidRDefault="00242C36" w:rsidP="00242C36">
      <w:pPr>
        <w:pBdr>
          <w:bar w:val="single" w:sz="6" w:color="808080"/>
        </w:pBdr>
        <w:spacing w:after="120"/>
        <w:rPr>
          <w:rFonts w:ascii="Calibri" w:eastAsia="Calibri" w:hAnsi="Calibri"/>
          <w:sz w:val="20"/>
          <w:szCs w:val="20"/>
          <w:lang w:eastAsia="en-US"/>
        </w:rPr>
      </w:pPr>
      <w:r w:rsidRPr="00E43137">
        <w:rPr>
          <w:rFonts w:ascii="Calibri" w:eastAsia="Calibri" w:hAnsi="Calibri"/>
          <w:sz w:val="20"/>
          <w:szCs w:val="20"/>
          <w:lang w:eastAsia="en-US"/>
        </w:rPr>
        <w:t xml:space="preserve">Prameň: CD MPRV SR, Informačné listy MPRV  SR, </w:t>
      </w:r>
      <w:r>
        <w:rPr>
          <w:rFonts w:ascii="Calibri" w:eastAsia="Calibri" w:hAnsi="Calibri"/>
          <w:sz w:val="20"/>
          <w:szCs w:val="20"/>
          <w:lang w:eastAsia="en-US"/>
        </w:rPr>
        <w:t>NPPC-</w:t>
      </w:r>
      <w:r w:rsidRPr="00E43137">
        <w:rPr>
          <w:rFonts w:ascii="Calibri" w:eastAsia="Calibri" w:hAnsi="Calibri"/>
          <w:sz w:val="20"/>
          <w:szCs w:val="20"/>
          <w:lang w:eastAsia="en-US"/>
        </w:rPr>
        <w:t>VÚEPP</w:t>
      </w:r>
    </w:p>
    <w:p w:rsidR="00242C36" w:rsidRDefault="00242C36" w:rsidP="00242C36">
      <w:pPr>
        <w:pBdr>
          <w:bar w:val="single" w:sz="6" w:color="808080"/>
        </w:pBdr>
        <w:spacing w:after="120"/>
        <w:rPr>
          <w:rFonts w:ascii="Calibri" w:eastAsia="Calibri" w:hAnsi="Calibri"/>
          <w:szCs w:val="22"/>
          <w:lang w:eastAsia="en-US"/>
        </w:rPr>
      </w:pPr>
    </w:p>
    <w:p w:rsidR="00242C36" w:rsidRPr="00DA0BC1" w:rsidRDefault="00242C36" w:rsidP="00242C36">
      <w:pPr>
        <w:pBdr>
          <w:bar w:val="single" w:sz="6" w:color="808080"/>
        </w:pBdr>
        <w:spacing w:after="120"/>
        <w:rPr>
          <w:rFonts w:ascii="Calibri" w:eastAsia="Calibri" w:hAnsi="Calibri"/>
          <w:b/>
          <w:szCs w:val="22"/>
          <w:u w:val="single"/>
          <w:lang w:eastAsia="en-US"/>
        </w:rPr>
      </w:pPr>
      <w:r w:rsidRPr="007E6748">
        <w:rPr>
          <w:rFonts w:ascii="Calibri" w:eastAsia="Calibri" w:hAnsi="Calibri"/>
          <w:b/>
          <w:szCs w:val="22"/>
          <w:u w:val="single"/>
          <w:lang w:eastAsia="en-US"/>
        </w:rPr>
        <w:t xml:space="preserve">Ekonomická výkonnosť poľnohospodárskeho sektora </w:t>
      </w:r>
    </w:p>
    <w:p w:rsidR="00242C36" w:rsidRPr="00E43137" w:rsidRDefault="00242C36" w:rsidP="00242C36">
      <w:pPr>
        <w:pBdr>
          <w:bar w:val="single" w:sz="6" w:color="808080"/>
        </w:pBdr>
        <w:rPr>
          <w:rFonts w:ascii="Calibri" w:eastAsia="Calibri" w:hAnsi="Calibri"/>
          <w:szCs w:val="22"/>
          <w:lang w:eastAsia="en-US"/>
        </w:rPr>
      </w:pPr>
      <w:r>
        <w:rPr>
          <w:rFonts w:ascii="Calibri" w:eastAsia="Calibri" w:hAnsi="Calibri"/>
          <w:bCs/>
          <w:szCs w:val="22"/>
          <w:lang w:eastAsia="en-US"/>
        </w:rPr>
        <w:t>Tvorba čistej pridanej hodnoty</w:t>
      </w:r>
      <w:r w:rsidRPr="00D60BB1">
        <w:rPr>
          <w:rFonts w:ascii="Calibri" w:eastAsia="Calibri" w:hAnsi="Calibri"/>
          <w:bCs/>
          <w:szCs w:val="22"/>
          <w:lang w:eastAsia="en-US"/>
        </w:rPr>
        <w:t xml:space="preserve"> v nákladoch faktorov</w:t>
      </w:r>
      <w:r w:rsidRPr="00E43137">
        <w:rPr>
          <w:rFonts w:ascii="Calibri" w:eastAsia="Calibri" w:hAnsi="Calibri"/>
          <w:b/>
          <w:bCs/>
          <w:szCs w:val="22"/>
          <w:lang w:eastAsia="en-US"/>
        </w:rPr>
        <w:t xml:space="preserve"> </w:t>
      </w:r>
      <w:r w:rsidRPr="008E0EF2">
        <w:rPr>
          <w:rFonts w:ascii="Calibri" w:eastAsia="Calibri" w:hAnsi="Calibri"/>
          <w:bCs/>
          <w:szCs w:val="22"/>
          <w:lang w:eastAsia="en-US"/>
        </w:rPr>
        <w:t>v poľnohospodárstve SR dosiahla v roku 2012</w:t>
      </w:r>
      <w:r>
        <w:rPr>
          <w:rFonts w:ascii="Calibri" w:eastAsia="Calibri" w:hAnsi="Calibri"/>
          <w:b/>
          <w:bCs/>
          <w:szCs w:val="22"/>
          <w:lang w:eastAsia="en-US"/>
        </w:rPr>
        <w:t xml:space="preserve"> </w:t>
      </w:r>
      <w:r>
        <w:rPr>
          <w:rFonts w:ascii="Calibri" w:eastAsia="Calibri" w:hAnsi="Calibri"/>
          <w:szCs w:val="22"/>
          <w:lang w:eastAsia="en-US"/>
        </w:rPr>
        <w:t xml:space="preserve">úroveň </w:t>
      </w:r>
      <w:r w:rsidRPr="00E43137">
        <w:rPr>
          <w:rFonts w:ascii="Calibri" w:eastAsia="Calibri" w:hAnsi="Calibri"/>
          <w:szCs w:val="22"/>
          <w:lang w:eastAsia="en-US"/>
        </w:rPr>
        <w:t>7 982,4 EUR/AWU</w:t>
      </w:r>
      <w:r>
        <w:rPr>
          <w:rFonts w:ascii="Calibri" w:eastAsia="Calibri" w:hAnsi="Calibri"/>
          <w:szCs w:val="22"/>
          <w:lang w:eastAsia="en-US"/>
        </w:rPr>
        <w:t xml:space="preserve"> (</w:t>
      </w:r>
      <w:r w:rsidRPr="00D60BB1">
        <w:rPr>
          <w:rFonts w:ascii="Calibri" w:eastAsia="Calibri" w:hAnsi="Calibri"/>
          <w:b/>
          <w:szCs w:val="22"/>
          <w:lang w:eastAsia="en-US"/>
        </w:rPr>
        <w:t>CCI 25</w:t>
      </w:r>
      <w:r>
        <w:rPr>
          <w:rFonts w:ascii="Calibri" w:eastAsia="Calibri" w:hAnsi="Calibri"/>
          <w:szCs w:val="22"/>
          <w:lang w:eastAsia="en-US"/>
        </w:rPr>
        <w:t>)</w:t>
      </w:r>
      <w:r w:rsidRPr="00E43137">
        <w:rPr>
          <w:rFonts w:ascii="Calibri" w:eastAsia="Calibri" w:hAnsi="Calibri"/>
          <w:szCs w:val="22"/>
          <w:lang w:eastAsia="en-US"/>
        </w:rPr>
        <w:t xml:space="preserve">, čo bolo o 95,9 % viac ako v roku 2005. Zvýšenie možno pripísať podporám z PRV ako </w:t>
      </w:r>
      <w:r w:rsidRPr="00E71D2F">
        <w:rPr>
          <w:rFonts w:ascii="Calibri" w:eastAsia="Calibri" w:hAnsi="Calibri"/>
          <w:szCs w:val="22"/>
          <w:lang w:eastAsia="en-US"/>
        </w:rPr>
        <w:t>aj postupným znižovaním až likvidovaním</w:t>
      </w:r>
      <w:r>
        <w:rPr>
          <w:rFonts w:ascii="Calibri" w:eastAsia="Calibri" w:hAnsi="Calibri"/>
          <w:sz w:val="28"/>
          <w:szCs w:val="28"/>
          <w:lang w:eastAsia="en-US"/>
        </w:rPr>
        <w:t xml:space="preserve"> </w:t>
      </w:r>
      <w:r w:rsidRPr="00F04F47">
        <w:rPr>
          <w:rFonts w:ascii="Calibri" w:eastAsia="Calibri" w:hAnsi="Calibri"/>
          <w:sz w:val="28"/>
          <w:szCs w:val="28"/>
          <w:lang w:eastAsia="en-US"/>
        </w:rPr>
        <w:t xml:space="preserve"> </w:t>
      </w:r>
      <w:r w:rsidRPr="00E43137">
        <w:rPr>
          <w:rFonts w:ascii="Calibri" w:eastAsia="Calibri" w:hAnsi="Calibri"/>
          <w:szCs w:val="22"/>
          <w:lang w:eastAsia="en-US"/>
        </w:rPr>
        <w:t>neefektívnych výrob v podnikoch.</w:t>
      </w:r>
      <w:r>
        <w:rPr>
          <w:rFonts w:ascii="Calibri" w:eastAsia="Calibri" w:hAnsi="Calibri"/>
          <w:szCs w:val="22"/>
          <w:lang w:eastAsia="en-US"/>
        </w:rPr>
        <w:t xml:space="preserve"> </w:t>
      </w:r>
      <w:r w:rsidRPr="00E43137">
        <w:rPr>
          <w:rFonts w:ascii="Calibri" w:eastAsia="Calibri" w:hAnsi="Calibri"/>
          <w:szCs w:val="22"/>
          <w:lang w:eastAsia="en-US"/>
        </w:rPr>
        <w:t xml:space="preserve"> Jej podiel na priemernej hodnote EÚ-27 (1076,9 EUR/AWU) bol len 62,8 %, ale v porovnaní s Poľskom, Maďarskom, Bulharskom, Rumunskom a Pobaltskými krajinami (okrem Estónska) je jej hodnota vyššia. </w:t>
      </w:r>
    </w:p>
    <w:p w:rsidR="00242C36" w:rsidRPr="00E43137" w:rsidRDefault="00242C36" w:rsidP="00242C36">
      <w:pPr>
        <w:pBdr>
          <w:bar w:val="single" w:sz="6" w:color="808080"/>
        </w:pBdr>
        <w:spacing w:before="120"/>
        <w:rPr>
          <w:rFonts w:ascii="Calibri" w:eastAsia="Calibri" w:hAnsi="Calibri"/>
          <w:szCs w:val="22"/>
          <w:lang w:eastAsia="en-US"/>
        </w:rPr>
      </w:pPr>
      <w:r w:rsidRPr="00E43137">
        <w:rPr>
          <w:rFonts w:ascii="Calibri" w:eastAsia="Calibri" w:hAnsi="Calibri"/>
          <w:szCs w:val="22"/>
          <w:lang w:eastAsia="en-US"/>
        </w:rPr>
        <w:t>Celkový index vývoja faktorovej produktivity medzi rokmi 2005 a priemerom rokov 2011 a 2009 dosiahol 102,9, čiže tento ukazovateľ vzrástol o 2,9 % oproti roku 2005</w:t>
      </w:r>
      <w:r>
        <w:rPr>
          <w:rFonts w:ascii="Calibri" w:eastAsia="Calibri" w:hAnsi="Calibri"/>
          <w:szCs w:val="22"/>
          <w:lang w:eastAsia="en-US"/>
        </w:rPr>
        <w:t xml:space="preserve"> (</w:t>
      </w:r>
      <w:r w:rsidRPr="0083057E">
        <w:rPr>
          <w:rFonts w:ascii="Calibri" w:eastAsia="Calibri" w:hAnsi="Calibri"/>
          <w:b/>
          <w:szCs w:val="22"/>
          <w:lang w:eastAsia="en-US"/>
        </w:rPr>
        <w:t>CCI 27</w:t>
      </w:r>
      <w:r>
        <w:rPr>
          <w:rFonts w:ascii="Calibri" w:eastAsia="Calibri" w:hAnsi="Calibri"/>
          <w:szCs w:val="22"/>
          <w:lang w:eastAsia="en-US"/>
        </w:rPr>
        <w:t>)</w:t>
      </w:r>
      <w:r w:rsidRPr="00E43137">
        <w:rPr>
          <w:rFonts w:ascii="Calibri" w:eastAsia="Calibri" w:hAnsi="Calibri"/>
          <w:szCs w:val="22"/>
          <w:lang w:eastAsia="en-US"/>
        </w:rPr>
        <w:t xml:space="preserve">. Nízky nárast produktivity je ovplyvnený vývojom hrubej pridanej hodnoty a medzispotreby. Slovensko a Maďarsko (1,9 %) mali najnižší nárast nielen oproti priemeru štátov EÚ-27, ale aj v porovnaní s ostatnými krajinami V4 a Bulharskom a Rumunskom a s pobaltskými krajinami. </w:t>
      </w:r>
    </w:p>
    <w:p w:rsidR="00242C36" w:rsidRPr="00E71D2F" w:rsidRDefault="00242C36" w:rsidP="00242C36">
      <w:pPr>
        <w:pBdr>
          <w:bar w:val="single" w:sz="6" w:color="808080"/>
        </w:pBdr>
        <w:spacing w:before="120" w:after="120"/>
        <w:rPr>
          <w:rFonts w:ascii="Calibri" w:eastAsia="Calibri" w:hAnsi="Calibri"/>
          <w:szCs w:val="22"/>
          <w:lang w:eastAsia="en-US"/>
        </w:rPr>
      </w:pPr>
      <w:r w:rsidRPr="000F381E">
        <w:rPr>
          <w:rFonts w:ascii="Calibri" w:eastAsia="Calibri" w:hAnsi="Calibri"/>
          <w:bCs/>
          <w:szCs w:val="22"/>
          <w:lang w:eastAsia="en-US"/>
        </w:rPr>
        <w:t>Priemerný príjem poľnohospodárskych podnikov na Slovensku</w:t>
      </w:r>
      <w:r w:rsidRPr="000F381E">
        <w:rPr>
          <w:rFonts w:ascii="Calibri" w:eastAsia="Calibri" w:hAnsi="Calibri"/>
          <w:szCs w:val="22"/>
          <w:lang w:eastAsia="en-US"/>
        </w:rPr>
        <w:t xml:space="preserve"> za rok 2012 nebol vysoký a dosiahol</w:t>
      </w:r>
      <w:r w:rsidRPr="00E43137">
        <w:rPr>
          <w:rFonts w:ascii="Calibri" w:eastAsia="Calibri" w:hAnsi="Calibri"/>
          <w:szCs w:val="22"/>
          <w:lang w:eastAsia="en-US"/>
        </w:rPr>
        <w:t xml:space="preserve"> na jednu AWU len 1966,3 EUR</w:t>
      </w:r>
      <w:r>
        <w:rPr>
          <w:rFonts w:ascii="Calibri" w:eastAsia="Calibri" w:hAnsi="Calibri"/>
          <w:szCs w:val="22"/>
          <w:lang w:eastAsia="en-US"/>
        </w:rPr>
        <w:t xml:space="preserve"> (</w:t>
      </w:r>
      <w:r w:rsidRPr="000F381E">
        <w:rPr>
          <w:rFonts w:ascii="Calibri" w:eastAsia="Calibri" w:hAnsi="Calibri"/>
          <w:b/>
          <w:szCs w:val="22"/>
          <w:lang w:eastAsia="en-US"/>
        </w:rPr>
        <w:t>CCI 26</w:t>
      </w:r>
      <w:r>
        <w:rPr>
          <w:rFonts w:ascii="Calibri" w:eastAsia="Calibri" w:hAnsi="Calibri"/>
          <w:szCs w:val="22"/>
          <w:lang w:eastAsia="en-US"/>
        </w:rPr>
        <w:t>)</w:t>
      </w:r>
      <w:r w:rsidRPr="00E43137">
        <w:rPr>
          <w:rFonts w:ascii="Calibri" w:eastAsia="Calibri" w:hAnsi="Calibri"/>
          <w:szCs w:val="22"/>
          <w:lang w:eastAsia="en-US"/>
        </w:rPr>
        <w:t>,</w:t>
      </w:r>
      <w:r>
        <w:rPr>
          <w:rFonts w:ascii="Calibri" w:eastAsia="Calibri" w:hAnsi="Calibri"/>
          <w:szCs w:val="22"/>
          <w:lang w:eastAsia="en-US"/>
        </w:rPr>
        <w:t xml:space="preserve"> </w:t>
      </w:r>
      <w:r w:rsidRPr="00E71D2F">
        <w:rPr>
          <w:rFonts w:ascii="Calibri" w:eastAsia="Calibri" w:hAnsi="Calibri"/>
          <w:szCs w:val="22"/>
          <w:lang w:eastAsia="en-US"/>
        </w:rPr>
        <w:t>čo ukazuje výrazne nižšiu životnú úroveň pracujúcich v poľnohospodárstve oproti zamestnancom v iných odvetviach hospodárstva.   Oproti roku 2005 sa jeho úroveň znížila o 4,1 %, čo bolo spôsobené aj dosahom hospodárskej krízy. Úroveň príjmu bola najnižšia zo všetkých štátov pristúpených nielen v roku 2004 spolu so Slovenskom do EÚ (Česko, Poľsko, Maďarsko), ale aj štátov pristúpených po roku 2004 do EÚ (Bulharsko, Rumunsko)</w:t>
      </w:r>
      <w:r>
        <w:rPr>
          <w:rFonts w:ascii="Calibri" w:eastAsia="Calibri" w:hAnsi="Calibri"/>
          <w:szCs w:val="22"/>
          <w:lang w:eastAsia="en-US"/>
        </w:rPr>
        <w:t xml:space="preserve">. Dôvodom tohto vývoja je vysoká nákladovosť výnosov a nižšia intenzita výroby. </w:t>
      </w:r>
      <w:r w:rsidRPr="00E71D2F">
        <w:rPr>
          <w:rFonts w:ascii="Calibri" w:eastAsia="Calibri" w:hAnsi="Calibri"/>
          <w:szCs w:val="22"/>
          <w:lang w:eastAsia="en-US"/>
        </w:rPr>
        <w:t>Príjem Slovenska dosahoval len 19,5 % z príjmu štátov EÚ-27. V porovnaní s Českom bola jeho úroveň o 90 % nižšia.  Živočíšna výroba bola menej efektívna z dôvodu vyššej nákladovosti a tým nižšej rentabilnosti a ziskovosti.</w:t>
      </w:r>
      <w:r>
        <w:rPr>
          <w:rFonts w:ascii="Calibri" w:eastAsia="Calibri" w:hAnsi="Calibri"/>
          <w:szCs w:val="22"/>
          <w:lang w:eastAsia="en-US"/>
        </w:rPr>
        <w:t xml:space="preserve"> </w:t>
      </w:r>
    </w:p>
    <w:p w:rsidR="00242C36" w:rsidRDefault="00242C36" w:rsidP="00242C36">
      <w:pPr>
        <w:pBdr>
          <w:bar w:val="single" w:sz="6" w:color="808080"/>
        </w:pBdr>
        <w:spacing w:before="120"/>
        <w:rPr>
          <w:rFonts w:ascii="Calibri" w:eastAsia="Calibri" w:hAnsi="Calibri"/>
          <w:szCs w:val="22"/>
          <w:lang w:eastAsia="en-US"/>
        </w:rPr>
      </w:pPr>
      <w:r w:rsidRPr="00A41BCC">
        <w:rPr>
          <w:rFonts w:ascii="Calibri" w:eastAsia="Calibri" w:hAnsi="Calibri"/>
          <w:bCs/>
          <w:szCs w:val="22"/>
          <w:lang w:eastAsia="en-US"/>
        </w:rPr>
        <w:t>Tvorba hrubého fixného kapitálu v poľnohospodárstve (GFCF/THFK)</w:t>
      </w:r>
      <w:r w:rsidRPr="00E43137">
        <w:rPr>
          <w:rFonts w:ascii="Calibri" w:eastAsia="Calibri" w:hAnsi="Calibri"/>
          <w:szCs w:val="22"/>
          <w:lang w:eastAsia="en-US"/>
        </w:rPr>
        <w:t xml:space="preserve"> v roku 2011 dosiahla 213,7 mil. EUR</w:t>
      </w:r>
      <w:r>
        <w:rPr>
          <w:rFonts w:ascii="Calibri" w:eastAsia="Calibri" w:hAnsi="Calibri"/>
          <w:szCs w:val="22"/>
          <w:lang w:eastAsia="en-US"/>
        </w:rPr>
        <w:t xml:space="preserve"> (</w:t>
      </w:r>
      <w:r w:rsidRPr="00A41BCC">
        <w:rPr>
          <w:rFonts w:ascii="Calibri" w:eastAsia="Calibri" w:hAnsi="Calibri"/>
          <w:b/>
          <w:szCs w:val="22"/>
          <w:lang w:eastAsia="en-US"/>
        </w:rPr>
        <w:t>CCI 28</w:t>
      </w:r>
      <w:r>
        <w:rPr>
          <w:rFonts w:ascii="Calibri" w:eastAsia="Calibri" w:hAnsi="Calibri"/>
          <w:szCs w:val="22"/>
          <w:lang w:eastAsia="en-US"/>
        </w:rPr>
        <w:t>)</w:t>
      </w:r>
      <w:r w:rsidRPr="00E43137">
        <w:rPr>
          <w:rFonts w:ascii="Calibri" w:eastAsia="Calibri" w:hAnsi="Calibri"/>
          <w:szCs w:val="22"/>
          <w:lang w:eastAsia="en-US"/>
        </w:rPr>
        <w:t>. V porovnaní s krajinami V4</w:t>
      </w:r>
      <w:r>
        <w:rPr>
          <w:rFonts w:ascii="Calibri" w:eastAsia="Calibri" w:hAnsi="Calibri"/>
          <w:szCs w:val="22"/>
          <w:lang w:eastAsia="en-US"/>
        </w:rPr>
        <w:t xml:space="preserve"> </w:t>
      </w:r>
      <w:r w:rsidRPr="00E43137">
        <w:rPr>
          <w:rFonts w:ascii="Calibri" w:eastAsia="Calibri" w:hAnsi="Calibri"/>
          <w:szCs w:val="22"/>
          <w:lang w:eastAsia="en-US"/>
        </w:rPr>
        <w:t xml:space="preserve"> je jeho úroveň</w:t>
      </w:r>
      <w:r w:rsidRPr="00E71D2F">
        <w:rPr>
          <w:rFonts w:ascii="Calibri" w:eastAsia="Calibri" w:hAnsi="Calibri"/>
          <w:szCs w:val="22"/>
          <w:lang w:eastAsia="en-US"/>
        </w:rPr>
        <w:t>,  prepočítaná na hektár poľnohospodársky využívanej pôdy rozdielna. V porovnaní s Českom dosahuje nižšie hodnoty o 20,5 %, Maďarskom o 26,8 %. Len Poľsko má nižšiu úroveň hrubého fixného kapitálu (19,6 %) , a to najmä z dôvodu rozsiahlej výmery poľnohospodárskej pôdy.  K priemeru krajín pôvodnej EÚ-15 je jeho úroveň na Slovensku 3,4-násobne nižšia.</w:t>
      </w:r>
      <w:r>
        <w:rPr>
          <w:rFonts w:ascii="Calibri" w:eastAsia="Calibri" w:hAnsi="Calibri"/>
          <w:szCs w:val="22"/>
          <w:lang w:eastAsia="en-US"/>
        </w:rPr>
        <w:t xml:space="preserve"> </w:t>
      </w:r>
      <w:r w:rsidRPr="00E43137">
        <w:rPr>
          <w:rFonts w:ascii="Calibri" w:eastAsia="Calibri" w:hAnsi="Calibri"/>
          <w:szCs w:val="22"/>
          <w:lang w:eastAsia="en-US"/>
        </w:rPr>
        <w:t xml:space="preserve">Podpora z PRV SR 2007 – 2013 a s finančnými prostriedkami z vlastných zdrojov podnikov prispela na obnovu THFK </w:t>
      </w:r>
      <w:r>
        <w:rPr>
          <w:rFonts w:ascii="Calibri" w:eastAsia="Calibri" w:hAnsi="Calibri"/>
          <w:szCs w:val="22"/>
          <w:lang w:eastAsia="en-US"/>
        </w:rPr>
        <w:t xml:space="preserve">(k 31.12.2012 bolo podporených 1 504 projektov v celkovej výške verejných výdavkov </w:t>
      </w:r>
      <w:r w:rsidRPr="0083057E">
        <w:rPr>
          <w:rFonts w:ascii="Calibri" w:eastAsia="Calibri" w:hAnsi="Calibri"/>
          <w:szCs w:val="22"/>
          <w:lang w:eastAsia="en-US"/>
        </w:rPr>
        <w:t>369,4 mil. EUR</w:t>
      </w:r>
      <w:r>
        <w:rPr>
          <w:rFonts w:ascii="Calibri" w:eastAsia="Calibri" w:hAnsi="Calibri"/>
          <w:szCs w:val="22"/>
          <w:lang w:eastAsia="en-US"/>
        </w:rPr>
        <w:t>)</w:t>
      </w:r>
      <w:r w:rsidRPr="00E43137">
        <w:rPr>
          <w:rFonts w:ascii="Calibri" w:eastAsia="Calibri" w:hAnsi="Calibri"/>
          <w:szCs w:val="22"/>
          <w:lang w:eastAsia="en-US"/>
        </w:rPr>
        <w:t xml:space="preserve">. </w:t>
      </w:r>
    </w:p>
    <w:p w:rsidR="00242C36" w:rsidRDefault="007D119F" w:rsidP="00242C36">
      <w:pPr>
        <w:pBdr>
          <w:bar w:val="single" w:sz="6" w:color="808080"/>
        </w:pBdr>
        <w:shd w:val="clear" w:color="auto" w:fill="FFFFFF" w:themeFill="background1"/>
        <w:spacing w:before="120"/>
        <w:rPr>
          <w:rFonts w:ascii="Calibri" w:eastAsia="Calibri" w:hAnsi="Calibri"/>
          <w:b/>
          <w:szCs w:val="22"/>
        </w:rPr>
      </w:pPr>
      <w:r>
        <w:rPr>
          <w:rFonts w:ascii="Calibri" w:eastAsia="Calibri" w:hAnsi="Calibri"/>
          <w:b/>
          <w:szCs w:val="22"/>
        </w:rPr>
        <w:t xml:space="preserve">Tabuľka 22: </w:t>
      </w:r>
      <w:r w:rsidR="00242C36" w:rsidRPr="00505442">
        <w:rPr>
          <w:rFonts w:ascii="Calibri" w:eastAsia="Calibri" w:hAnsi="Calibri"/>
          <w:b/>
          <w:szCs w:val="22"/>
        </w:rPr>
        <w:t>Vývoj THFK v poľnohospodárstve v tis.</w:t>
      </w:r>
      <w:r>
        <w:rPr>
          <w:rFonts w:ascii="Calibri" w:eastAsia="Calibri" w:hAnsi="Calibri"/>
          <w:b/>
          <w:szCs w:val="22"/>
        </w:rPr>
        <w:t xml:space="preserve"> </w:t>
      </w:r>
      <w:r w:rsidR="00242C36" w:rsidRPr="00505442">
        <w:rPr>
          <w:rFonts w:ascii="Calibri" w:eastAsia="Calibri" w:hAnsi="Calibri"/>
          <w:b/>
          <w:szCs w:val="22"/>
        </w:rPr>
        <w:t>EUR</w:t>
      </w:r>
    </w:p>
    <w:tbl>
      <w:tblPr>
        <w:tblW w:w="9086" w:type="dxa"/>
        <w:tblInd w:w="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290"/>
        <w:gridCol w:w="974"/>
        <w:gridCol w:w="975"/>
        <w:gridCol w:w="974"/>
        <w:gridCol w:w="975"/>
        <w:gridCol w:w="974"/>
        <w:gridCol w:w="975"/>
        <w:gridCol w:w="974"/>
        <w:gridCol w:w="975"/>
      </w:tblGrid>
      <w:tr w:rsidR="00242C36" w:rsidRPr="00B233BE" w:rsidTr="00242C36">
        <w:trPr>
          <w:trHeight w:val="435"/>
        </w:trPr>
        <w:tc>
          <w:tcPr>
            <w:tcW w:w="1290" w:type="dxa"/>
            <w:shd w:val="clear" w:color="auto" w:fill="auto"/>
            <w:noWrap/>
            <w:vAlign w:val="bottom"/>
            <w:hideMark/>
          </w:tcPr>
          <w:p w:rsidR="00242C36" w:rsidRDefault="00242C36" w:rsidP="00242C36">
            <w:pPr>
              <w:shd w:val="clear" w:color="auto" w:fill="FFFFFF" w:themeFill="background1"/>
              <w:spacing w:before="120"/>
              <w:rPr>
                <w:rFonts w:ascii="Calibri" w:eastAsia="Calibri" w:hAnsi="Calibri"/>
                <w:sz w:val="20"/>
                <w:szCs w:val="20"/>
                <w:lang w:eastAsia="en-US"/>
              </w:rPr>
            </w:pPr>
            <w:r w:rsidRPr="00505442">
              <w:rPr>
                <w:rFonts w:ascii="Calibri" w:eastAsia="Calibri" w:hAnsi="Calibri"/>
                <w:sz w:val="20"/>
                <w:szCs w:val="20"/>
                <w:lang w:eastAsia="en-US"/>
              </w:rPr>
              <w:t xml:space="preserve">Ukazovateľ </w:t>
            </w:r>
          </w:p>
        </w:tc>
        <w:tc>
          <w:tcPr>
            <w:tcW w:w="974" w:type="dxa"/>
            <w:shd w:val="clear" w:color="auto" w:fill="auto"/>
            <w:noWrap/>
            <w:vAlign w:val="bottom"/>
            <w:hideMark/>
          </w:tcPr>
          <w:p w:rsidR="00242C36" w:rsidRDefault="00242C36" w:rsidP="00242C36">
            <w:pPr>
              <w:shd w:val="clear" w:color="auto" w:fill="FFFFFF" w:themeFill="background1"/>
              <w:spacing w:before="120"/>
              <w:rPr>
                <w:rFonts w:ascii="Calibri" w:eastAsia="Calibri" w:hAnsi="Calibri"/>
                <w:sz w:val="20"/>
                <w:szCs w:val="20"/>
                <w:lang w:eastAsia="en-US"/>
              </w:rPr>
            </w:pPr>
            <w:r w:rsidRPr="00505442">
              <w:rPr>
                <w:rFonts w:ascii="Calibri" w:eastAsia="Calibri" w:hAnsi="Calibri"/>
                <w:sz w:val="20"/>
                <w:szCs w:val="20"/>
                <w:lang w:eastAsia="en-US"/>
              </w:rPr>
              <w:t>2006</w:t>
            </w:r>
          </w:p>
        </w:tc>
        <w:tc>
          <w:tcPr>
            <w:tcW w:w="975" w:type="dxa"/>
            <w:shd w:val="clear" w:color="auto" w:fill="auto"/>
            <w:noWrap/>
            <w:vAlign w:val="bottom"/>
            <w:hideMark/>
          </w:tcPr>
          <w:p w:rsidR="00242C36" w:rsidRDefault="00242C36" w:rsidP="00242C36">
            <w:pPr>
              <w:shd w:val="clear" w:color="auto" w:fill="FFFFFF" w:themeFill="background1"/>
              <w:spacing w:before="120"/>
              <w:rPr>
                <w:rFonts w:ascii="Calibri" w:eastAsia="Calibri" w:hAnsi="Calibri"/>
                <w:sz w:val="20"/>
                <w:szCs w:val="20"/>
                <w:lang w:eastAsia="en-US"/>
              </w:rPr>
            </w:pPr>
            <w:r w:rsidRPr="00505442">
              <w:rPr>
                <w:rFonts w:ascii="Calibri" w:eastAsia="Calibri" w:hAnsi="Calibri"/>
                <w:sz w:val="20"/>
                <w:szCs w:val="20"/>
                <w:lang w:eastAsia="en-US"/>
              </w:rPr>
              <w:t>2007</w:t>
            </w:r>
          </w:p>
        </w:tc>
        <w:tc>
          <w:tcPr>
            <w:tcW w:w="974" w:type="dxa"/>
            <w:shd w:val="clear" w:color="auto" w:fill="auto"/>
            <w:noWrap/>
            <w:vAlign w:val="bottom"/>
            <w:hideMark/>
          </w:tcPr>
          <w:p w:rsidR="00242C36" w:rsidRDefault="00242C36" w:rsidP="00242C36">
            <w:pPr>
              <w:shd w:val="clear" w:color="auto" w:fill="FFFFFF" w:themeFill="background1"/>
              <w:spacing w:before="120"/>
              <w:rPr>
                <w:rFonts w:ascii="Calibri" w:eastAsia="Calibri" w:hAnsi="Calibri"/>
                <w:sz w:val="20"/>
                <w:szCs w:val="20"/>
                <w:lang w:eastAsia="en-US"/>
              </w:rPr>
            </w:pPr>
            <w:r w:rsidRPr="00505442">
              <w:rPr>
                <w:rFonts w:ascii="Calibri" w:eastAsia="Calibri" w:hAnsi="Calibri"/>
                <w:sz w:val="20"/>
                <w:szCs w:val="20"/>
                <w:lang w:eastAsia="en-US"/>
              </w:rPr>
              <w:t>2008</w:t>
            </w:r>
          </w:p>
        </w:tc>
        <w:tc>
          <w:tcPr>
            <w:tcW w:w="975" w:type="dxa"/>
            <w:shd w:val="clear" w:color="auto" w:fill="auto"/>
            <w:noWrap/>
            <w:vAlign w:val="bottom"/>
            <w:hideMark/>
          </w:tcPr>
          <w:p w:rsidR="00242C36" w:rsidRDefault="00242C36" w:rsidP="00242C36">
            <w:pPr>
              <w:shd w:val="clear" w:color="auto" w:fill="FFFFFF" w:themeFill="background1"/>
              <w:spacing w:before="120"/>
              <w:rPr>
                <w:rFonts w:ascii="Calibri" w:eastAsia="Calibri" w:hAnsi="Calibri"/>
                <w:sz w:val="20"/>
                <w:szCs w:val="20"/>
                <w:lang w:eastAsia="en-US"/>
              </w:rPr>
            </w:pPr>
            <w:r w:rsidRPr="00505442">
              <w:rPr>
                <w:rFonts w:ascii="Calibri" w:eastAsia="Calibri" w:hAnsi="Calibri"/>
                <w:sz w:val="20"/>
                <w:szCs w:val="20"/>
                <w:lang w:eastAsia="en-US"/>
              </w:rPr>
              <w:t>2009</w:t>
            </w:r>
          </w:p>
        </w:tc>
        <w:tc>
          <w:tcPr>
            <w:tcW w:w="974" w:type="dxa"/>
            <w:shd w:val="clear" w:color="auto" w:fill="auto"/>
            <w:noWrap/>
            <w:vAlign w:val="bottom"/>
            <w:hideMark/>
          </w:tcPr>
          <w:p w:rsidR="00242C36" w:rsidRDefault="00242C36" w:rsidP="00242C36">
            <w:pPr>
              <w:shd w:val="clear" w:color="auto" w:fill="FFFFFF" w:themeFill="background1"/>
              <w:spacing w:before="120"/>
              <w:rPr>
                <w:rFonts w:ascii="Calibri" w:eastAsia="Calibri" w:hAnsi="Calibri"/>
                <w:sz w:val="20"/>
                <w:szCs w:val="20"/>
                <w:lang w:eastAsia="en-US"/>
              </w:rPr>
            </w:pPr>
            <w:r w:rsidRPr="00505442">
              <w:rPr>
                <w:rFonts w:ascii="Calibri" w:eastAsia="Calibri" w:hAnsi="Calibri"/>
                <w:sz w:val="20"/>
                <w:szCs w:val="20"/>
                <w:lang w:eastAsia="en-US"/>
              </w:rPr>
              <w:t>2010</w:t>
            </w:r>
          </w:p>
        </w:tc>
        <w:tc>
          <w:tcPr>
            <w:tcW w:w="975" w:type="dxa"/>
            <w:shd w:val="clear" w:color="auto" w:fill="auto"/>
            <w:noWrap/>
            <w:vAlign w:val="bottom"/>
            <w:hideMark/>
          </w:tcPr>
          <w:p w:rsidR="00242C36" w:rsidRDefault="00242C36" w:rsidP="00242C36">
            <w:pPr>
              <w:shd w:val="clear" w:color="auto" w:fill="FFFFFF" w:themeFill="background1"/>
              <w:spacing w:before="120"/>
              <w:rPr>
                <w:rFonts w:ascii="Calibri" w:eastAsia="Calibri" w:hAnsi="Calibri"/>
                <w:sz w:val="20"/>
                <w:szCs w:val="20"/>
                <w:lang w:eastAsia="en-US"/>
              </w:rPr>
            </w:pPr>
            <w:r w:rsidRPr="00505442">
              <w:rPr>
                <w:rFonts w:ascii="Calibri" w:eastAsia="Calibri" w:hAnsi="Calibri"/>
                <w:sz w:val="20"/>
                <w:szCs w:val="20"/>
                <w:lang w:eastAsia="en-US"/>
              </w:rPr>
              <w:t>2011</w:t>
            </w:r>
          </w:p>
        </w:tc>
        <w:tc>
          <w:tcPr>
            <w:tcW w:w="974" w:type="dxa"/>
            <w:shd w:val="clear" w:color="auto" w:fill="auto"/>
            <w:noWrap/>
            <w:vAlign w:val="bottom"/>
            <w:hideMark/>
          </w:tcPr>
          <w:p w:rsidR="00242C36" w:rsidRDefault="00242C36" w:rsidP="00242C36">
            <w:pPr>
              <w:shd w:val="clear" w:color="auto" w:fill="FFFFFF" w:themeFill="background1"/>
              <w:spacing w:before="120"/>
              <w:rPr>
                <w:rFonts w:ascii="Calibri" w:eastAsia="Calibri" w:hAnsi="Calibri"/>
                <w:sz w:val="20"/>
                <w:szCs w:val="20"/>
                <w:lang w:eastAsia="en-US"/>
              </w:rPr>
            </w:pPr>
            <w:r w:rsidRPr="00505442">
              <w:rPr>
                <w:rFonts w:ascii="Calibri" w:eastAsia="Calibri" w:hAnsi="Calibri"/>
                <w:sz w:val="20"/>
                <w:szCs w:val="20"/>
                <w:lang w:eastAsia="en-US"/>
              </w:rPr>
              <w:t>2012</w:t>
            </w:r>
          </w:p>
        </w:tc>
        <w:tc>
          <w:tcPr>
            <w:tcW w:w="975" w:type="dxa"/>
            <w:shd w:val="clear" w:color="auto" w:fill="auto"/>
            <w:noWrap/>
            <w:vAlign w:val="bottom"/>
            <w:hideMark/>
          </w:tcPr>
          <w:p w:rsidR="00242C36" w:rsidRDefault="00242C36" w:rsidP="00242C36">
            <w:pPr>
              <w:shd w:val="clear" w:color="auto" w:fill="FFFFFF" w:themeFill="background1"/>
              <w:spacing w:before="120"/>
              <w:rPr>
                <w:rFonts w:ascii="Calibri" w:eastAsia="Calibri" w:hAnsi="Calibri"/>
                <w:sz w:val="20"/>
                <w:szCs w:val="20"/>
                <w:lang w:eastAsia="en-US"/>
              </w:rPr>
            </w:pPr>
            <w:r w:rsidRPr="00505442">
              <w:rPr>
                <w:rFonts w:ascii="Calibri" w:eastAsia="Calibri" w:hAnsi="Calibri"/>
                <w:sz w:val="20"/>
                <w:szCs w:val="20"/>
                <w:lang w:eastAsia="en-US"/>
              </w:rPr>
              <w:t>2013</w:t>
            </w:r>
          </w:p>
        </w:tc>
      </w:tr>
      <w:tr w:rsidR="00242C36" w:rsidRPr="00B233BE" w:rsidTr="00242C36">
        <w:trPr>
          <w:trHeight w:val="375"/>
        </w:trPr>
        <w:tc>
          <w:tcPr>
            <w:tcW w:w="1290" w:type="dxa"/>
            <w:shd w:val="clear" w:color="auto" w:fill="auto"/>
            <w:noWrap/>
            <w:vAlign w:val="bottom"/>
            <w:hideMark/>
          </w:tcPr>
          <w:p w:rsidR="00242C36" w:rsidRDefault="00242C36" w:rsidP="00242C36">
            <w:pPr>
              <w:shd w:val="clear" w:color="auto" w:fill="FFFFFF" w:themeFill="background1"/>
              <w:spacing w:before="120"/>
              <w:rPr>
                <w:rFonts w:ascii="Calibri" w:eastAsia="Calibri" w:hAnsi="Calibri"/>
                <w:sz w:val="20"/>
                <w:szCs w:val="20"/>
                <w:lang w:eastAsia="en-US"/>
              </w:rPr>
            </w:pPr>
            <w:r w:rsidRPr="00505442">
              <w:rPr>
                <w:rFonts w:ascii="Calibri" w:eastAsia="Calibri" w:hAnsi="Calibri"/>
                <w:sz w:val="20"/>
                <w:szCs w:val="20"/>
                <w:lang w:eastAsia="en-US"/>
              </w:rPr>
              <w:t>THFK</w:t>
            </w:r>
          </w:p>
        </w:tc>
        <w:tc>
          <w:tcPr>
            <w:tcW w:w="974" w:type="dxa"/>
            <w:shd w:val="clear" w:color="auto" w:fill="auto"/>
            <w:noWrap/>
            <w:vAlign w:val="bottom"/>
            <w:hideMark/>
          </w:tcPr>
          <w:p w:rsidR="00242C36" w:rsidRDefault="00242C36" w:rsidP="00242C36">
            <w:pPr>
              <w:shd w:val="clear" w:color="auto" w:fill="FFFFFF" w:themeFill="background1"/>
              <w:spacing w:before="120"/>
              <w:rPr>
                <w:rFonts w:ascii="Calibri" w:eastAsia="Calibri" w:hAnsi="Calibri"/>
                <w:sz w:val="20"/>
                <w:szCs w:val="20"/>
                <w:lang w:eastAsia="en-US"/>
              </w:rPr>
            </w:pPr>
            <w:r w:rsidRPr="00505442">
              <w:rPr>
                <w:rFonts w:ascii="Calibri" w:eastAsia="Calibri" w:hAnsi="Calibri"/>
                <w:sz w:val="20"/>
                <w:szCs w:val="20"/>
                <w:lang w:eastAsia="en-US"/>
              </w:rPr>
              <w:t>414 318</w:t>
            </w:r>
          </w:p>
        </w:tc>
        <w:tc>
          <w:tcPr>
            <w:tcW w:w="975" w:type="dxa"/>
            <w:shd w:val="clear" w:color="auto" w:fill="auto"/>
            <w:noWrap/>
            <w:vAlign w:val="bottom"/>
            <w:hideMark/>
          </w:tcPr>
          <w:p w:rsidR="00242C36" w:rsidRDefault="00242C36" w:rsidP="00242C36">
            <w:pPr>
              <w:shd w:val="clear" w:color="auto" w:fill="FFFFFF" w:themeFill="background1"/>
              <w:spacing w:before="120"/>
              <w:rPr>
                <w:rFonts w:ascii="Calibri" w:eastAsia="Calibri" w:hAnsi="Calibri"/>
                <w:sz w:val="20"/>
                <w:szCs w:val="20"/>
                <w:lang w:eastAsia="en-US"/>
              </w:rPr>
            </w:pPr>
            <w:r w:rsidRPr="00505442">
              <w:rPr>
                <w:rFonts w:ascii="Calibri" w:eastAsia="Calibri" w:hAnsi="Calibri"/>
                <w:sz w:val="20"/>
                <w:szCs w:val="20"/>
                <w:lang w:eastAsia="en-US"/>
              </w:rPr>
              <w:t>286 489</w:t>
            </w:r>
          </w:p>
        </w:tc>
        <w:tc>
          <w:tcPr>
            <w:tcW w:w="974" w:type="dxa"/>
            <w:shd w:val="clear" w:color="auto" w:fill="auto"/>
            <w:noWrap/>
            <w:vAlign w:val="bottom"/>
            <w:hideMark/>
          </w:tcPr>
          <w:p w:rsidR="00242C36" w:rsidRDefault="00242C36" w:rsidP="00242C36">
            <w:pPr>
              <w:shd w:val="clear" w:color="auto" w:fill="FFFFFF" w:themeFill="background1"/>
              <w:spacing w:before="120"/>
              <w:rPr>
                <w:rFonts w:ascii="Calibri" w:eastAsia="Calibri" w:hAnsi="Calibri"/>
                <w:sz w:val="20"/>
                <w:szCs w:val="20"/>
                <w:lang w:eastAsia="en-US"/>
              </w:rPr>
            </w:pPr>
            <w:r w:rsidRPr="00505442">
              <w:rPr>
                <w:rFonts w:ascii="Calibri" w:eastAsia="Calibri" w:hAnsi="Calibri"/>
                <w:sz w:val="20"/>
                <w:szCs w:val="20"/>
                <w:lang w:eastAsia="en-US"/>
              </w:rPr>
              <w:t>616 521</w:t>
            </w:r>
          </w:p>
        </w:tc>
        <w:tc>
          <w:tcPr>
            <w:tcW w:w="975" w:type="dxa"/>
            <w:shd w:val="clear" w:color="auto" w:fill="auto"/>
            <w:noWrap/>
            <w:vAlign w:val="bottom"/>
            <w:hideMark/>
          </w:tcPr>
          <w:p w:rsidR="00242C36" w:rsidRDefault="00242C36" w:rsidP="00242C36">
            <w:pPr>
              <w:shd w:val="clear" w:color="auto" w:fill="FFFFFF" w:themeFill="background1"/>
              <w:spacing w:before="120"/>
              <w:rPr>
                <w:rFonts w:ascii="Calibri" w:eastAsia="Calibri" w:hAnsi="Calibri"/>
                <w:sz w:val="20"/>
                <w:szCs w:val="20"/>
                <w:lang w:eastAsia="en-US"/>
              </w:rPr>
            </w:pPr>
            <w:r w:rsidRPr="00505442">
              <w:rPr>
                <w:rFonts w:ascii="Calibri" w:eastAsia="Calibri" w:hAnsi="Calibri"/>
                <w:sz w:val="20"/>
                <w:szCs w:val="20"/>
                <w:lang w:eastAsia="en-US"/>
              </w:rPr>
              <w:t>343 498</w:t>
            </w:r>
          </w:p>
        </w:tc>
        <w:tc>
          <w:tcPr>
            <w:tcW w:w="974" w:type="dxa"/>
            <w:shd w:val="clear" w:color="auto" w:fill="auto"/>
            <w:noWrap/>
            <w:vAlign w:val="bottom"/>
            <w:hideMark/>
          </w:tcPr>
          <w:p w:rsidR="00242C36" w:rsidRDefault="00242C36" w:rsidP="00242C36">
            <w:pPr>
              <w:shd w:val="clear" w:color="auto" w:fill="FFFFFF" w:themeFill="background1"/>
              <w:spacing w:before="120"/>
              <w:rPr>
                <w:rFonts w:ascii="Calibri" w:eastAsia="Calibri" w:hAnsi="Calibri"/>
                <w:sz w:val="20"/>
                <w:szCs w:val="20"/>
                <w:lang w:eastAsia="en-US"/>
              </w:rPr>
            </w:pPr>
            <w:r w:rsidRPr="00505442">
              <w:rPr>
                <w:rFonts w:ascii="Calibri" w:eastAsia="Calibri" w:hAnsi="Calibri"/>
                <w:sz w:val="20"/>
                <w:szCs w:val="20"/>
                <w:lang w:eastAsia="en-US"/>
              </w:rPr>
              <w:t>303 578</w:t>
            </w:r>
          </w:p>
        </w:tc>
        <w:tc>
          <w:tcPr>
            <w:tcW w:w="975" w:type="dxa"/>
            <w:shd w:val="clear" w:color="auto" w:fill="auto"/>
            <w:noWrap/>
            <w:vAlign w:val="bottom"/>
            <w:hideMark/>
          </w:tcPr>
          <w:p w:rsidR="00242C36" w:rsidRDefault="00242C36" w:rsidP="00242C36">
            <w:pPr>
              <w:shd w:val="clear" w:color="auto" w:fill="FFFFFF" w:themeFill="background1"/>
              <w:spacing w:before="120"/>
              <w:rPr>
                <w:rFonts w:ascii="Calibri" w:eastAsia="Calibri" w:hAnsi="Calibri"/>
                <w:sz w:val="20"/>
                <w:szCs w:val="20"/>
                <w:lang w:eastAsia="en-US"/>
              </w:rPr>
            </w:pPr>
            <w:r w:rsidRPr="00505442">
              <w:rPr>
                <w:rFonts w:ascii="Calibri" w:eastAsia="Calibri" w:hAnsi="Calibri"/>
                <w:sz w:val="20"/>
                <w:szCs w:val="20"/>
                <w:lang w:eastAsia="en-US"/>
              </w:rPr>
              <w:t>399 004</w:t>
            </w:r>
          </w:p>
        </w:tc>
        <w:tc>
          <w:tcPr>
            <w:tcW w:w="974" w:type="dxa"/>
            <w:shd w:val="clear" w:color="auto" w:fill="auto"/>
            <w:noWrap/>
            <w:vAlign w:val="bottom"/>
            <w:hideMark/>
          </w:tcPr>
          <w:p w:rsidR="00242C36" w:rsidRDefault="00242C36" w:rsidP="00242C36">
            <w:pPr>
              <w:shd w:val="clear" w:color="auto" w:fill="FFFFFF" w:themeFill="background1"/>
              <w:spacing w:before="120"/>
              <w:rPr>
                <w:rFonts w:ascii="Calibri" w:eastAsia="Calibri" w:hAnsi="Calibri"/>
                <w:sz w:val="20"/>
                <w:szCs w:val="20"/>
                <w:lang w:eastAsia="en-US"/>
              </w:rPr>
            </w:pPr>
            <w:r w:rsidRPr="00505442">
              <w:rPr>
                <w:rFonts w:ascii="Calibri" w:eastAsia="Calibri" w:hAnsi="Calibri"/>
                <w:sz w:val="20"/>
                <w:szCs w:val="20"/>
                <w:lang w:eastAsia="en-US"/>
              </w:rPr>
              <w:t>321 229</w:t>
            </w:r>
          </w:p>
        </w:tc>
        <w:tc>
          <w:tcPr>
            <w:tcW w:w="975" w:type="dxa"/>
            <w:shd w:val="clear" w:color="auto" w:fill="auto"/>
            <w:noWrap/>
            <w:vAlign w:val="bottom"/>
            <w:hideMark/>
          </w:tcPr>
          <w:p w:rsidR="00242C36" w:rsidRDefault="00242C36" w:rsidP="00242C36">
            <w:pPr>
              <w:shd w:val="clear" w:color="auto" w:fill="FFFFFF" w:themeFill="background1"/>
              <w:spacing w:before="120"/>
              <w:rPr>
                <w:rFonts w:ascii="Calibri" w:eastAsia="Calibri" w:hAnsi="Calibri"/>
                <w:sz w:val="20"/>
                <w:szCs w:val="20"/>
                <w:lang w:eastAsia="en-US"/>
              </w:rPr>
            </w:pPr>
            <w:r w:rsidRPr="00505442">
              <w:rPr>
                <w:rFonts w:ascii="Calibri" w:eastAsia="Calibri" w:hAnsi="Calibri"/>
                <w:sz w:val="20"/>
                <w:szCs w:val="20"/>
                <w:lang w:eastAsia="en-US"/>
              </w:rPr>
              <w:t>297 193</w:t>
            </w:r>
          </w:p>
        </w:tc>
      </w:tr>
    </w:tbl>
    <w:p w:rsidR="00242C36" w:rsidRDefault="00242C36" w:rsidP="00242C36">
      <w:pPr>
        <w:shd w:val="clear" w:color="auto" w:fill="FFFFFF" w:themeFill="background1"/>
        <w:rPr>
          <w:rFonts w:ascii="Calibri" w:hAnsi="Calibri"/>
          <w:sz w:val="20"/>
          <w:szCs w:val="20"/>
        </w:rPr>
      </w:pPr>
      <w:r w:rsidRPr="00505442">
        <w:rPr>
          <w:rFonts w:ascii="Calibri" w:hAnsi="Calibri"/>
          <w:sz w:val="20"/>
          <w:szCs w:val="20"/>
        </w:rPr>
        <w:t>Prameň: ŠÚ SR</w:t>
      </w:r>
    </w:p>
    <w:p w:rsidR="00242C36" w:rsidRDefault="00242C36" w:rsidP="00242C36">
      <w:pPr>
        <w:pBdr>
          <w:bar w:val="single" w:sz="6" w:color="808080"/>
        </w:pBdr>
        <w:spacing w:before="120" w:after="120"/>
        <w:rPr>
          <w:rFonts w:eastAsia="Calibri"/>
          <w:szCs w:val="22"/>
          <w:lang w:eastAsia="en-US"/>
        </w:rPr>
      </w:pPr>
      <w:r w:rsidRPr="00E43137">
        <w:rPr>
          <w:rFonts w:ascii="Calibri" w:eastAsia="Calibri" w:hAnsi="Calibri"/>
          <w:szCs w:val="22"/>
          <w:lang w:eastAsia="en-US"/>
        </w:rPr>
        <w:t>Podielom HPH v poľnohospodárstve (13,5 %) je Slovensko pod priemerom štátov EÚ-27. Jeho úroveň je vyššia (z krajín V4) ako v Poľsku, ale nižšia ako v Česku, Maďarsku a v pobaltských krajinách. (</w:t>
      </w:r>
      <w:r w:rsidRPr="00B73E29">
        <w:rPr>
          <w:rFonts w:ascii="Calibri" w:eastAsia="Calibri" w:hAnsi="Calibri"/>
          <w:b/>
          <w:szCs w:val="22"/>
          <w:lang w:eastAsia="en-US"/>
        </w:rPr>
        <w:t>CCI 28</w:t>
      </w:r>
      <w:r w:rsidRPr="00E71D2F">
        <w:rPr>
          <w:rFonts w:eastAsia="Calibri"/>
          <w:szCs w:val="22"/>
          <w:lang w:eastAsia="en-US"/>
        </w:rPr>
        <w:t xml:space="preserve">). </w:t>
      </w:r>
      <w:r>
        <w:rPr>
          <w:rFonts w:eastAsia="Calibri"/>
          <w:szCs w:val="22"/>
          <w:lang w:eastAsia="en-US"/>
        </w:rPr>
        <w:t>Dôvodom je nižšia intenzita výroby a vyššia úroveň nákladových faktorov.</w:t>
      </w:r>
      <w:r w:rsidRPr="00E71D2F">
        <w:rPr>
          <w:rFonts w:eastAsia="Calibri"/>
          <w:szCs w:val="22"/>
          <w:lang w:eastAsia="en-US"/>
        </w:rPr>
        <w:t xml:space="preserve">  </w:t>
      </w:r>
    </w:p>
    <w:p w:rsidR="00E74151" w:rsidRDefault="00E74151" w:rsidP="00242C36">
      <w:pPr>
        <w:pBdr>
          <w:bar w:val="single" w:sz="6" w:color="808080"/>
        </w:pBdr>
        <w:spacing w:before="120" w:after="120"/>
        <w:rPr>
          <w:rFonts w:eastAsia="Calibri"/>
          <w:szCs w:val="22"/>
          <w:lang w:eastAsia="en-US"/>
        </w:rPr>
      </w:pPr>
    </w:p>
    <w:p w:rsidR="00242C36" w:rsidRPr="009B6C51" w:rsidRDefault="007D119F" w:rsidP="007D119F">
      <w:pPr>
        <w:widowControl w:val="0"/>
        <w:ind w:left="-142" w:firstLine="142"/>
        <w:rPr>
          <w:sz w:val="18"/>
          <w:szCs w:val="18"/>
        </w:rPr>
      </w:pPr>
      <w:r>
        <w:rPr>
          <w:b/>
          <w:szCs w:val="22"/>
        </w:rPr>
        <w:t xml:space="preserve">Tabuľka 23: </w:t>
      </w:r>
      <w:r w:rsidR="00242C36" w:rsidRPr="00505442">
        <w:rPr>
          <w:b/>
          <w:szCs w:val="22"/>
        </w:rPr>
        <w:t>Hrubý fixný kapitál poľnohospodárstva členských štátov EÚ-27</w:t>
      </w:r>
      <w:r>
        <w:rPr>
          <w:b/>
          <w:szCs w:val="22"/>
        </w:rPr>
        <w:t xml:space="preserve"> </w:t>
      </w:r>
      <w:r w:rsidR="00242C36" w:rsidRPr="00505442">
        <w:rPr>
          <w:sz w:val="20"/>
          <w:szCs w:val="20"/>
        </w:rPr>
        <w:t>v €.ha</w:t>
      </w:r>
      <w:r w:rsidR="00242C36" w:rsidRPr="00505442">
        <w:rPr>
          <w:sz w:val="20"/>
          <w:szCs w:val="20"/>
          <w:vertAlign w:val="superscript"/>
        </w:rPr>
        <w:t>-1</w:t>
      </w:r>
      <w:r w:rsidR="00242C36" w:rsidRPr="00505442">
        <w:rPr>
          <w:sz w:val="20"/>
          <w:szCs w:val="20"/>
        </w:rPr>
        <w:t xml:space="preserve"> p. v. p.    </w:t>
      </w:r>
      <w:r w:rsidR="00242C36" w:rsidRPr="00505442">
        <w:rPr>
          <w:sz w:val="18"/>
          <w:szCs w:val="18"/>
        </w:rPr>
        <w:t xml:space="preserve">                                                                                                            </w:t>
      </w:r>
    </w:p>
    <w:tbl>
      <w:tblPr>
        <w:tblW w:w="9214" w:type="dxa"/>
        <w:tblInd w:w="-72" w:type="dxa"/>
        <w:tblLayout w:type="fixed"/>
        <w:tblCellMar>
          <w:left w:w="70" w:type="dxa"/>
          <w:right w:w="70" w:type="dxa"/>
        </w:tblCellMar>
        <w:tblLook w:val="04A0" w:firstRow="1" w:lastRow="0" w:firstColumn="1" w:lastColumn="0" w:noHBand="0" w:noVBand="1"/>
      </w:tblPr>
      <w:tblGrid>
        <w:gridCol w:w="2269"/>
        <w:gridCol w:w="2126"/>
        <w:gridCol w:w="1559"/>
        <w:gridCol w:w="1843"/>
        <w:gridCol w:w="1417"/>
      </w:tblGrid>
      <w:tr w:rsidR="00242C36" w:rsidRPr="0031060D" w:rsidTr="00242C36">
        <w:trPr>
          <w:trHeight w:val="282"/>
        </w:trPr>
        <w:tc>
          <w:tcPr>
            <w:tcW w:w="2269" w:type="dxa"/>
            <w:vMerge w:val="restart"/>
            <w:tcBorders>
              <w:top w:val="single" w:sz="8" w:space="0" w:color="auto"/>
              <w:left w:val="single" w:sz="8" w:space="0" w:color="auto"/>
              <w:bottom w:val="single" w:sz="4" w:space="0" w:color="000000"/>
              <w:right w:val="single" w:sz="8" w:space="0" w:color="auto"/>
            </w:tcBorders>
            <w:shd w:val="clear" w:color="auto" w:fill="auto"/>
            <w:noWrap/>
            <w:vAlign w:val="center"/>
            <w:hideMark/>
          </w:tcPr>
          <w:p w:rsidR="00242C36" w:rsidRPr="0031060D" w:rsidRDefault="00242C36" w:rsidP="00242C36">
            <w:pPr>
              <w:rPr>
                <w:sz w:val="18"/>
                <w:szCs w:val="18"/>
              </w:rPr>
            </w:pPr>
            <w:r w:rsidRPr="0031060D">
              <w:rPr>
                <w:sz w:val="18"/>
                <w:szCs w:val="18"/>
              </w:rPr>
              <w:t>EÚ-27</w:t>
            </w:r>
          </w:p>
        </w:tc>
        <w:tc>
          <w:tcPr>
            <w:tcW w:w="2126" w:type="dxa"/>
            <w:tcBorders>
              <w:top w:val="single" w:sz="8" w:space="0" w:color="auto"/>
              <w:left w:val="nil"/>
              <w:bottom w:val="single" w:sz="8" w:space="0" w:color="auto"/>
              <w:right w:val="single" w:sz="4" w:space="0" w:color="auto"/>
            </w:tcBorders>
            <w:shd w:val="clear" w:color="000000" w:fill="FFFFFF"/>
            <w:noWrap/>
            <w:vAlign w:val="center"/>
            <w:hideMark/>
          </w:tcPr>
          <w:p w:rsidR="00242C36" w:rsidRPr="0031060D" w:rsidRDefault="00242C36" w:rsidP="00242C36">
            <w:pPr>
              <w:jc w:val="center"/>
              <w:rPr>
                <w:b/>
                <w:bCs/>
                <w:sz w:val="18"/>
                <w:szCs w:val="18"/>
              </w:rPr>
            </w:pPr>
            <w:r w:rsidRPr="0031060D">
              <w:rPr>
                <w:b/>
                <w:bCs/>
                <w:sz w:val="18"/>
                <w:szCs w:val="18"/>
              </w:rPr>
              <w:t>2009</w:t>
            </w:r>
          </w:p>
        </w:tc>
        <w:tc>
          <w:tcPr>
            <w:tcW w:w="1559" w:type="dxa"/>
            <w:tcBorders>
              <w:top w:val="single" w:sz="8" w:space="0" w:color="auto"/>
              <w:left w:val="nil"/>
              <w:bottom w:val="single" w:sz="8" w:space="0" w:color="auto"/>
              <w:right w:val="single" w:sz="4" w:space="0" w:color="auto"/>
            </w:tcBorders>
            <w:shd w:val="clear" w:color="000000" w:fill="FFFFFF"/>
            <w:noWrap/>
            <w:vAlign w:val="center"/>
            <w:hideMark/>
          </w:tcPr>
          <w:p w:rsidR="00242C36" w:rsidRPr="0031060D" w:rsidRDefault="00242C36" w:rsidP="00242C36">
            <w:pPr>
              <w:jc w:val="center"/>
              <w:rPr>
                <w:b/>
                <w:bCs/>
                <w:sz w:val="18"/>
                <w:szCs w:val="18"/>
              </w:rPr>
            </w:pPr>
            <w:r w:rsidRPr="0031060D">
              <w:rPr>
                <w:b/>
                <w:bCs/>
                <w:sz w:val="18"/>
                <w:szCs w:val="18"/>
              </w:rPr>
              <w:t>2010</w:t>
            </w:r>
          </w:p>
        </w:tc>
        <w:tc>
          <w:tcPr>
            <w:tcW w:w="1843" w:type="dxa"/>
            <w:tcBorders>
              <w:top w:val="single" w:sz="8" w:space="0" w:color="auto"/>
              <w:left w:val="nil"/>
              <w:bottom w:val="single" w:sz="8" w:space="0" w:color="auto"/>
              <w:right w:val="single" w:sz="4" w:space="0" w:color="auto"/>
            </w:tcBorders>
            <w:shd w:val="clear" w:color="000000" w:fill="FFFFFF"/>
            <w:noWrap/>
            <w:vAlign w:val="center"/>
            <w:hideMark/>
          </w:tcPr>
          <w:p w:rsidR="00242C36" w:rsidRPr="0031060D" w:rsidRDefault="00242C36" w:rsidP="00242C36">
            <w:pPr>
              <w:jc w:val="center"/>
              <w:rPr>
                <w:b/>
                <w:bCs/>
                <w:sz w:val="18"/>
                <w:szCs w:val="18"/>
              </w:rPr>
            </w:pPr>
            <w:r w:rsidRPr="0031060D">
              <w:rPr>
                <w:b/>
                <w:bCs/>
                <w:sz w:val="18"/>
                <w:szCs w:val="18"/>
              </w:rPr>
              <w:t>2011</w:t>
            </w:r>
          </w:p>
        </w:tc>
        <w:tc>
          <w:tcPr>
            <w:tcW w:w="1417" w:type="dxa"/>
            <w:tcBorders>
              <w:top w:val="single" w:sz="8" w:space="0" w:color="auto"/>
              <w:left w:val="nil"/>
              <w:bottom w:val="single" w:sz="8" w:space="0" w:color="auto"/>
              <w:right w:val="single" w:sz="8" w:space="0" w:color="auto"/>
            </w:tcBorders>
            <w:shd w:val="clear" w:color="auto" w:fill="auto"/>
            <w:noWrap/>
            <w:vAlign w:val="center"/>
            <w:hideMark/>
          </w:tcPr>
          <w:p w:rsidR="00242C36" w:rsidRPr="0031060D" w:rsidRDefault="00242C36" w:rsidP="00242C36">
            <w:pPr>
              <w:jc w:val="center"/>
              <w:rPr>
                <w:b/>
                <w:bCs/>
                <w:sz w:val="18"/>
                <w:szCs w:val="18"/>
              </w:rPr>
            </w:pPr>
            <w:r w:rsidRPr="0031060D">
              <w:rPr>
                <w:b/>
                <w:bCs/>
                <w:sz w:val="18"/>
                <w:szCs w:val="18"/>
              </w:rPr>
              <w:t>Priemer</w:t>
            </w:r>
          </w:p>
        </w:tc>
      </w:tr>
      <w:tr w:rsidR="00242C36" w:rsidRPr="0031060D" w:rsidTr="00242C36">
        <w:trPr>
          <w:trHeight w:val="282"/>
        </w:trPr>
        <w:tc>
          <w:tcPr>
            <w:tcW w:w="2269" w:type="dxa"/>
            <w:vMerge/>
            <w:tcBorders>
              <w:top w:val="single" w:sz="8" w:space="0" w:color="auto"/>
              <w:left w:val="single" w:sz="8" w:space="0" w:color="auto"/>
              <w:bottom w:val="single" w:sz="4" w:space="0" w:color="000000"/>
              <w:right w:val="single" w:sz="8" w:space="0" w:color="auto"/>
            </w:tcBorders>
            <w:vAlign w:val="center"/>
            <w:hideMark/>
          </w:tcPr>
          <w:p w:rsidR="00242C36" w:rsidRPr="0031060D" w:rsidRDefault="00242C36" w:rsidP="00242C36">
            <w:pPr>
              <w:rPr>
                <w:sz w:val="18"/>
                <w:szCs w:val="18"/>
              </w:rPr>
            </w:pPr>
          </w:p>
        </w:tc>
        <w:tc>
          <w:tcPr>
            <w:tcW w:w="2126" w:type="dxa"/>
            <w:tcBorders>
              <w:top w:val="nil"/>
              <w:left w:val="nil"/>
              <w:bottom w:val="single" w:sz="4" w:space="0" w:color="auto"/>
              <w:right w:val="single" w:sz="4" w:space="0" w:color="auto"/>
            </w:tcBorders>
            <w:shd w:val="clear" w:color="auto" w:fill="auto"/>
            <w:noWrap/>
            <w:vAlign w:val="bottom"/>
            <w:hideMark/>
          </w:tcPr>
          <w:p w:rsidR="00242C36" w:rsidRPr="0031060D" w:rsidRDefault="00242C36" w:rsidP="00242C36">
            <w:pPr>
              <w:jc w:val="right"/>
              <w:rPr>
                <w:sz w:val="18"/>
                <w:szCs w:val="18"/>
              </w:rPr>
            </w:pPr>
            <w:r w:rsidRPr="0031060D">
              <w:rPr>
                <w:sz w:val="18"/>
                <w:szCs w:val="18"/>
              </w:rPr>
              <w:t>316</w:t>
            </w:r>
          </w:p>
        </w:tc>
        <w:tc>
          <w:tcPr>
            <w:tcW w:w="1559" w:type="dxa"/>
            <w:tcBorders>
              <w:top w:val="nil"/>
              <w:left w:val="nil"/>
              <w:bottom w:val="single" w:sz="4" w:space="0" w:color="auto"/>
              <w:right w:val="single" w:sz="4" w:space="0" w:color="auto"/>
            </w:tcBorders>
            <w:shd w:val="clear" w:color="auto" w:fill="auto"/>
            <w:noWrap/>
            <w:vAlign w:val="bottom"/>
            <w:hideMark/>
          </w:tcPr>
          <w:p w:rsidR="00242C36" w:rsidRPr="0031060D" w:rsidRDefault="00242C36" w:rsidP="00242C36">
            <w:pPr>
              <w:jc w:val="right"/>
              <w:rPr>
                <w:sz w:val="18"/>
                <w:szCs w:val="18"/>
              </w:rPr>
            </w:pPr>
            <w:r w:rsidRPr="0031060D">
              <w:rPr>
                <w:sz w:val="18"/>
                <w:szCs w:val="18"/>
              </w:rPr>
              <w:t>313</w:t>
            </w:r>
          </w:p>
        </w:tc>
        <w:tc>
          <w:tcPr>
            <w:tcW w:w="1843" w:type="dxa"/>
            <w:tcBorders>
              <w:top w:val="nil"/>
              <w:left w:val="nil"/>
              <w:bottom w:val="single" w:sz="4" w:space="0" w:color="auto"/>
              <w:right w:val="single" w:sz="4" w:space="0" w:color="auto"/>
            </w:tcBorders>
            <w:shd w:val="clear" w:color="auto" w:fill="auto"/>
            <w:noWrap/>
            <w:vAlign w:val="bottom"/>
            <w:hideMark/>
          </w:tcPr>
          <w:p w:rsidR="00242C36" w:rsidRPr="0031060D" w:rsidRDefault="00242C36" w:rsidP="00242C36">
            <w:pPr>
              <w:jc w:val="right"/>
              <w:rPr>
                <w:sz w:val="18"/>
                <w:szCs w:val="18"/>
              </w:rPr>
            </w:pPr>
            <w:r w:rsidRPr="0031060D">
              <w:rPr>
                <w:sz w:val="18"/>
                <w:szCs w:val="18"/>
              </w:rPr>
              <w:t>345</w:t>
            </w:r>
          </w:p>
        </w:tc>
        <w:tc>
          <w:tcPr>
            <w:tcW w:w="1417" w:type="dxa"/>
            <w:tcBorders>
              <w:top w:val="nil"/>
              <w:left w:val="nil"/>
              <w:bottom w:val="single" w:sz="4" w:space="0" w:color="auto"/>
              <w:right w:val="single" w:sz="8" w:space="0" w:color="auto"/>
            </w:tcBorders>
            <w:shd w:val="clear" w:color="auto" w:fill="auto"/>
            <w:noWrap/>
            <w:vAlign w:val="bottom"/>
            <w:hideMark/>
          </w:tcPr>
          <w:p w:rsidR="00242C36" w:rsidRPr="0031060D" w:rsidRDefault="00242C36" w:rsidP="00242C36">
            <w:pPr>
              <w:jc w:val="right"/>
              <w:rPr>
                <w:sz w:val="18"/>
                <w:szCs w:val="18"/>
              </w:rPr>
            </w:pPr>
            <w:r w:rsidRPr="0031060D">
              <w:rPr>
                <w:sz w:val="18"/>
                <w:szCs w:val="18"/>
              </w:rPr>
              <w:t>299</w:t>
            </w:r>
          </w:p>
        </w:tc>
      </w:tr>
      <w:tr w:rsidR="00242C36" w:rsidRPr="0031060D" w:rsidTr="00242C36">
        <w:trPr>
          <w:trHeight w:val="282"/>
        </w:trPr>
        <w:tc>
          <w:tcPr>
            <w:tcW w:w="2269" w:type="dxa"/>
            <w:tcBorders>
              <w:top w:val="nil"/>
              <w:left w:val="single" w:sz="8" w:space="0" w:color="auto"/>
              <w:bottom w:val="single" w:sz="4" w:space="0" w:color="auto"/>
              <w:right w:val="single" w:sz="8" w:space="0" w:color="auto"/>
            </w:tcBorders>
            <w:shd w:val="clear" w:color="auto" w:fill="auto"/>
            <w:noWrap/>
            <w:vAlign w:val="bottom"/>
            <w:hideMark/>
          </w:tcPr>
          <w:p w:rsidR="00242C36" w:rsidRPr="0031060D" w:rsidRDefault="00242C36" w:rsidP="00242C36">
            <w:pPr>
              <w:rPr>
                <w:sz w:val="18"/>
                <w:szCs w:val="18"/>
              </w:rPr>
            </w:pPr>
            <w:r w:rsidRPr="0031060D">
              <w:rPr>
                <w:sz w:val="18"/>
                <w:szCs w:val="18"/>
              </w:rPr>
              <w:t>EÚ-25</w:t>
            </w:r>
          </w:p>
        </w:tc>
        <w:tc>
          <w:tcPr>
            <w:tcW w:w="2126" w:type="dxa"/>
            <w:tcBorders>
              <w:top w:val="nil"/>
              <w:left w:val="nil"/>
              <w:bottom w:val="single" w:sz="4" w:space="0" w:color="auto"/>
              <w:right w:val="single" w:sz="4" w:space="0" w:color="auto"/>
            </w:tcBorders>
            <w:shd w:val="clear" w:color="auto" w:fill="auto"/>
            <w:noWrap/>
            <w:vAlign w:val="bottom"/>
            <w:hideMark/>
          </w:tcPr>
          <w:p w:rsidR="00242C36" w:rsidRPr="0031060D" w:rsidRDefault="00242C36" w:rsidP="00242C36">
            <w:pPr>
              <w:jc w:val="right"/>
              <w:rPr>
                <w:sz w:val="18"/>
                <w:szCs w:val="18"/>
              </w:rPr>
            </w:pPr>
            <w:r w:rsidRPr="0031060D">
              <w:rPr>
                <w:sz w:val="18"/>
                <w:szCs w:val="18"/>
              </w:rPr>
              <w:t>340</w:t>
            </w:r>
          </w:p>
        </w:tc>
        <w:tc>
          <w:tcPr>
            <w:tcW w:w="1559" w:type="dxa"/>
            <w:tcBorders>
              <w:top w:val="nil"/>
              <w:left w:val="nil"/>
              <w:bottom w:val="single" w:sz="4" w:space="0" w:color="auto"/>
              <w:right w:val="single" w:sz="4" w:space="0" w:color="auto"/>
            </w:tcBorders>
            <w:shd w:val="clear" w:color="auto" w:fill="auto"/>
            <w:noWrap/>
            <w:vAlign w:val="bottom"/>
            <w:hideMark/>
          </w:tcPr>
          <w:p w:rsidR="00242C36" w:rsidRPr="0031060D" w:rsidRDefault="00242C36" w:rsidP="00242C36">
            <w:pPr>
              <w:jc w:val="right"/>
              <w:rPr>
                <w:sz w:val="18"/>
                <w:szCs w:val="18"/>
              </w:rPr>
            </w:pPr>
            <w:r w:rsidRPr="0031060D">
              <w:rPr>
                <w:sz w:val="18"/>
                <w:szCs w:val="18"/>
              </w:rPr>
              <w:t>334</w:t>
            </w:r>
          </w:p>
        </w:tc>
        <w:tc>
          <w:tcPr>
            <w:tcW w:w="1843" w:type="dxa"/>
            <w:tcBorders>
              <w:top w:val="nil"/>
              <w:left w:val="nil"/>
              <w:bottom w:val="single" w:sz="4" w:space="0" w:color="auto"/>
              <w:right w:val="single" w:sz="4" w:space="0" w:color="auto"/>
            </w:tcBorders>
            <w:shd w:val="clear" w:color="auto" w:fill="auto"/>
            <w:noWrap/>
            <w:vAlign w:val="bottom"/>
            <w:hideMark/>
          </w:tcPr>
          <w:p w:rsidR="00242C36" w:rsidRPr="0031060D" w:rsidRDefault="00242C36" w:rsidP="00242C36">
            <w:pPr>
              <w:jc w:val="right"/>
              <w:rPr>
                <w:sz w:val="18"/>
                <w:szCs w:val="18"/>
              </w:rPr>
            </w:pPr>
            <w:r w:rsidRPr="0031060D">
              <w:rPr>
                <w:sz w:val="18"/>
                <w:szCs w:val="18"/>
              </w:rPr>
              <w:t>365</w:t>
            </w:r>
          </w:p>
        </w:tc>
        <w:tc>
          <w:tcPr>
            <w:tcW w:w="1417" w:type="dxa"/>
            <w:tcBorders>
              <w:top w:val="nil"/>
              <w:left w:val="nil"/>
              <w:bottom w:val="single" w:sz="4" w:space="0" w:color="auto"/>
              <w:right w:val="single" w:sz="8" w:space="0" w:color="auto"/>
            </w:tcBorders>
            <w:shd w:val="clear" w:color="auto" w:fill="auto"/>
            <w:noWrap/>
            <w:vAlign w:val="bottom"/>
            <w:hideMark/>
          </w:tcPr>
          <w:p w:rsidR="00242C36" w:rsidRPr="0031060D" w:rsidRDefault="00242C36" w:rsidP="00242C36">
            <w:pPr>
              <w:jc w:val="right"/>
              <w:rPr>
                <w:sz w:val="18"/>
                <w:szCs w:val="18"/>
              </w:rPr>
            </w:pPr>
            <w:r w:rsidRPr="0031060D">
              <w:rPr>
                <w:sz w:val="18"/>
                <w:szCs w:val="18"/>
              </w:rPr>
              <w:t>320</w:t>
            </w:r>
          </w:p>
        </w:tc>
      </w:tr>
      <w:tr w:rsidR="00242C36" w:rsidRPr="0031060D" w:rsidTr="00242C36">
        <w:trPr>
          <w:trHeight w:val="282"/>
        </w:trPr>
        <w:tc>
          <w:tcPr>
            <w:tcW w:w="2269" w:type="dxa"/>
            <w:tcBorders>
              <w:top w:val="nil"/>
              <w:left w:val="single" w:sz="8" w:space="0" w:color="auto"/>
              <w:bottom w:val="single" w:sz="4" w:space="0" w:color="auto"/>
              <w:right w:val="single" w:sz="8" w:space="0" w:color="auto"/>
            </w:tcBorders>
            <w:shd w:val="clear" w:color="auto" w:fill="auto"/>
            <w:noWrap/>
            <w:vAlign w:val="bottom"/>
            <w:hideMark/>
          </w:tcPr>
          <w:p w:rsidR="00242C36" w:rsidRPr="0031060D" w:rsidRDefault="00242C36" w:rsidP="00242C36">
            <w:pPr>
              <w:rPr>
                <w:sz w:val="18"/>
                <w:szCs w:val="18"/>
              </w:rPr>
            </w:pPr>
            <w:r w:rsidRPr="0031060D">
              <w:rPr>
                <w:sz w:val="18"/>
                <w:szCs w:val="18"/>
              </w:rPr>
              <w:t>EÚ-15</w:t>
            </w:r>
          </w:p>
        </w:tc>
        <w:tc>
          <w:tcPr>
            <w:tcW w:w="2126" w:type="dxa"/>
            <w:tcBorders>
              <w:top w:val="nil"/>
              <w:left w:val="nil"/>
              <w:bottom w:val="single" w:sz="4" w:space="0" w:color="auto"/>
              <w:right w:val="single" w:sz="4" w:space="0" w:color="auto"/>
            </w:tcBorders>
            <w:shd w:val="clear" w:color="auto" w:fill="auto"/>
            <w:noWrap/>
            <w:vAlign w:val="bottom"/>
            <w:hideMark/>
          </w:tcPr>
          <w:p w:rsidR="00242C36" w:rsidRPr="0031060D" w:rsidRDefault="00242C36" w:rsidP="00242C36">
            <w:pPr>
              <w:jc w:val="right"/>
              <w:rPr>
                <w:sz w:val="18"/>
                <w:szCs w:val="18"/>
              </w:rPr>
            </w:pPr>
            <w:r w:rsidRPr="0031060D">
              <w:rPr>
                <w:sz w:val="18"/>
                <w:szCs w:val="18"/>
              </w:rPr>
              <w:t>399</w:t>
            </w:r>
          </w:p>
        </w:tc>
        <w:tc>
          <w:tcPr>
            <w:tcW w:w="1559" w:type="dxa"/>
            <w:tcBorders>
              <w:top w:val="nil"/>
              <w:left w:val="nil"/>
              <w:bottom w:val="single" w:sz="4" w:space="0" w:color="auto"/>
              <w:right w:val="single" w:sz="4" w:space="0" w:color="auto"/>
            </w:tcBorders>
            <w:shd w:val="clear" w:color="auto" w:fill="auto"/>
            <w:noWrap/>
            <w:vAlign w:val="bottom"/>
            <w:hideMark/>
          </w:tcPr>
          <w:p w:rsidR="00242C36" w:rsidRPr="0031060D" w:rsidRDefault="00242C36" w:rsidP="00242C36">
            <w:pPr>
              <w:jc w:val="right"/>
              <w:rPr>
                <w:sz w:val="18"/>
                <w:szCs w:val="18"/>
              </w:rPr>
            </w:pPr>
            <w:r w:rsidRPr="0031060D">
              <w:rPr>
                <w:sz w:val="18"/>
                <w:szCs w:val="18"/>
              </w:rPr>
              <w:t>388</w:t>
            </w:r>
          </w:p>
        </w:tc>
        <w:tc>
          <w:tcPr>
            <w:tcW w:w="1843" w:type="dxa"/>
            <w:tcBorders>
              <w:top w:val="nil"/>
              <w:left w:val="nil"/>
              <w:bottom w:val="single" w:sz="4" w:space="0" w:color="auto"/>
              <w:right w:val="single" w:sz="4" w:space="0" w:color="auto"/>
            </w:tcBorders>
            <w:shd w:val="clear" w:color="auto" w:fill="auto"/>
            <w:noWrap/>
            <w:vAlign w:val="bottom"/>
            <w:hideMark/>
          </w:tcPr>
          <w:p w:rsidR="00242C36" w:rsidRPr="0031060D" w:rsidRDefault="00242C36" w:rsidP="00242C36">
            <w:pPr>
              <w:jc w:val="right"/>
              <w:rPr>
                <w:sz w:val="18"/>
                <w:szCs w:val="18"/>
              </w:rPr>
            </w:pPr>
            <w:r w:rsidRPr="0031060D">
              <w:rPr>
                <w:sz w:val="18"/>
                <w:szCs w:val="18"/>
              </w:rPr>
              <w:t>424</w:t>
            </w:r>
          </w:p>
        </w:tc>
        <w:tc>
          <w:tcPr>
            <w:tcW w:w="1417" w:type="dxa"/>
            <w:tcBorders>
              <w:top w:val="nil"/>
              <w:left w:val="nil"/>
              <w:bottom w:val="single" w:sz="4" w:space="0" w:color="auto"/>
              <w:right w:val="single" w:sz="8" w:space="0" w:color="auto"/>
            </w:tcBorders>
            <w:shd w:val="clear" w:color="auto" w:fill="auto"/>
            <w:noWrap/>
            <w:vAlign w:val="bottom"/>
            <w:hideMark/>
          </w:tcPr>
          <w:p w:rsidR="00242C36" w:rsidRPr="0031060D" w:rsidRDefault="00242C36" w:rsidP="00242C36">
            <w:pPr>
              <w:jc w:val="right"/>
              <w:rPr>
                <w:sz w:val="18"/>
                <w:szCs w:val="18"/>
              </w:rPr>
            </w:pPr>
            <w:r w:rsidRPr="0031060D">
              <w:rPr>
                <w:sz w:val="18"/>
                <w:szCs w:val="18"/>
              </w:rPr>
              <w:t>384</w:t>
            </w:r>
          </w:p>
        </w:tc>
      </w:tr>
      <w:tr w:rsidR="00242C36" w:rsidRPr="0031060D" w:rsidTr="00242C36">
        <w:trPr>
          <w:trHeight w:val="282"/>
        </w:trPr>
        <w:tc>
          <w:tcPr>
            <w:tcW w:w="2269" w:type="dxa"/>
            <w:tcBorders>
              <w:top w:val="nil"/>
              <w:left w:val="single" w:sz="8" w:space="0" w:color="auto"/>
              <w:bottom w:val="single" w:sz="4" w:space="0" w:color="auto"/>
              <w:right w:val="single" w:sz="8" w:space="0" w:color="auto"/>
            </w:tcBorders>
            <w:shd w:val="clear" w:color="auto" w:fill="auto"/>
            <w:noWrap/>
            <w:vAlign w:val="bottom"/>
            <w:hideMark/>
          </w:tcPr>
          <w:p w:rsidR="00242C36" w:rsidRPr="0031060D" w:rsidRDefault="00242C36" w:rsidP="00242C36">
            <w:pPr>
              <w:rPr>
                <w:sz w:val="18"/>
                <w:szCs w:val="18"/>
              </w:rPr>
            </w:pPr>
            <w:r w:rsidRPr="0031060D">
              <w:rPr>
                <w:sz w:val="18"/>
                <w:szCs w:val="18"/>
              </w:rPr>
              <w:t>EÚ-12</w:t>
            </w:r>
          </w:p>
        </w:tc>
        <w:tc>
          <w:tcPr>
            <w:tcW w:w="2126" w:type="dxa"/>
            <w:tcBorders>
              <w:top w:val="nil"/>
              <w:left w:val="nil"/>
              <w:bottom w:val="single" w:sz="4" w:space="0" w:color="auto"/>
              <w:right w:val="single" w:sz="4" w:space="0" w:color="auto"/>
            </w:tcBorders>
            <w:shd w:val="clear" w:color="auto" w:fill="auto"/>
            <w:noWrap/>
            <w:vAlign w:val="bottom"/>
            <w:hideMark/>
          </w:tcPr>
          <w:p w:rsidR="00242C36" w:rsidRPr="0031060D" w:rsidRDefault="00242C36" w:rsidP="00242C36">
            <w:pPr>
              <w:jc w:val="right"/>
              <w:rPr>
                <w:sz w:val="18"/>
                <w:szCs w:val="18"/>
              </w:rPr>
            </w:pPr>
            <w:r w:rsidRPr="0031060D">
              <w:rPr>
                <w:sz w:val="18"/>
                <w:szCs w:val="18"/>
              </w:rPr>
              <w:t>110</w:t>
            </w:r>
          </w:p>
        </w:tc>
        <w:tc>
          <w:tcPr>
            <w:tcW w:w="1559" w:type="dxa"/>
            <w:tcBorders>
              <w:top w:val="nil"/>
              <w:left w:val="nil"/>
              <w:bottom w:val="single" w:sz="4" w:space="0" w:color="auto"/>
              <w:right w:val="single" w:sz="4" w:space="0" w:color="auto"/>
            </w:tcBorders>
            <w:shd w:val="clear" w:color="auto" w:fill="auto"/>
            <w:noWrap/>
            <w:vAlign w:val="bottom"/>
            <w:hideMark/>
          </w:tcPr>
          <w:p w:rsidR="00242C36" w:rsidRPr="0031060D" w:rsidRDefault="00242C36" w:rsidP="00242C36">
            <w:pPr>
              <w:jc w:val="right"/>
              <w:rPr>
                <w:sz w:val="18"/>
                <w:szCs w:val="18"/>
              </w:rPr>
            </w:pPr>
            <w:r w:rsidRPr="0031060D">
              <w:rPr>
                <w:sz w:val="18"/>
                <w:szCs w:val="18"/>
              </w:rPr>
              <w:t>124</w:t>
            </w:r>
          </w:p>
        </w:tc>
        <w:tc>
          <w:tcPr>
            <w:tcW w:w="1843" w:type="dxa"/>
            <w:tcBorders>
              <w:top w:val="nil"/>
              <w:left w:val="nil"/>
              <w:bottom w:val="single" w:sz="4" w:space="0" w:color="auto"/>
              <w:right w:val="single" w:sz="4" w:space="0" w:color="auto"/>
            </w:tcBorders>
            <w:shd w:val="clear" w:color="auto" w:fill="auto"/>
            <w:noWrap/>
            <w:vAlign w:val="bottom"/>
            <w:hideMark/>
          </w:tcPr>
          <w:p w:rsidR="00242C36" w:rsidRPr="0031060D" w:rsidRDefault="00242C36" w:rsidP="00242C36">
            <w:pPr>
              <w:jc w:val="right"/>
              <w:rPr>
                <w:sz w:val="18"/>
                <w:szCs w:val="18"/>
              </w:rPr>
            </w:pPr>
            <w:r w:rsidRPr="0031060D">
              <w:rPr>
                <w:sz w:val="18"/>
                <w:szCs w:val="18"/>
              </w:rPr>
              <w:t>143</w:t>
            </w:r>
          </w:p>
        </w:tc>
        <w:tc>
          <w:tcPr>
            <w:tcW w:w="1417" w:type="dxa"/>
            <w:tcBorders>
              <w:top w:val="nil"/>
              <w:left w:val="nil"/>
              <w:bottom w:val="single" w:sz="4" w:space="0" w:color="auto"/>
              <w:right w:val="single" w:sz="8" w:space="0" w:color="auto"/>
            </w:tcBorders>
            <w:shd w:val="clear" w:color="auto" w:fill="auto"/>
            <w:noWrap/>
            <w:vAlign w:val="bottom"/>
            <w:hideMark/>
          </w:tcPr>
          <w:p w:rsidR="00242C36" w:rsidRPr="0031060D" w:rsidRDefault="00242C36" w:rsidP="00242C36">
            <w:pPr>
              <w:jc w:val="right"/>
              <w:rPr>
                <w:sz w:val="18"/>
                <w:szCs w:val="18"/>
              </w:rPr>
            </w:pPr>
            <w:r w:rsidRPr="0031060D">
              <w:rPr>
                <w:sz w:val="18"/>
                <w:szCs w:val="18"/>
              </w:rPr>
              <w:t>111</w:t>
            </w:r>
          </w:p>
        </w:tc>
      </w:tr>
      <w:tr w:rsidR="00242C36" w:rsidRPr="0031060D" w:rsidTr="00242C36">
        <w:trPr>
          <w:trHeight w:val="282"/>
        </w:trPr>
        <w:tc>
          <w:tcPr>
            <w:tcW w:w="2269" w:type="dxa"/>
            <w:tcBorders>
              <w:top w:val="nil"/>
              <w:left w:val="single" w:sz="8" w:space="0" w:color="auto"/>
              <w:bottom w:val="single" w:sz="4" w:space="0" w:color="auto"/>
              <w:right w:val="single" w:sz="8" w:space="0" w:color="auto"/>
            </w:tcBorders>
            <w:shd w:val="clear" w:color="auto" w:fill="auto"/>
            <w:noWrap/>
            <w:vAlign w:val="bottom"/>
            <w:hideMark/>
          </w:tcPr>
          <w:p w:rsidR="00242C36" w:rsidRPr="0031060D" w:rsidRDefault="00242C36" w:rsidP="00242C36">
            <w:pPr>
              <w:rPr>
                <w:sz w:val="18"/>
                <w:szCs w:val="18"/>
              </w:rPr>
            </w:pPr>
            <w:r w:rsidRPr="0031060D">
              <w:rPr>
                <w:sz w:val="18"/>
                <w:szCs w:val="18"/>
              </w:rPr>
              <w:t>Česko</w:t>
            </w:r>
          </w:p>
        </w:tc>
        <w:tc>
          <w:tcPr>
            <w:tcW w:w="2126" w:type="dxa"/>
            <w:tcBorders>
              <w:top w:val="nil"/>
              <w:left w:val="nil"/>
              <w:bottom w:val="single" w:sz="4" w:space="0" w:color="auto"/>
              <w:right w:val="single" w:sz="4" w:space="0" w:color="auto"/>
            </w:tcBorders>
            <w:shd w:val="clear" w:color="auto" w:fill="auto"/>
            <w:noWrap/>
            <w:vAlign w:val="bottom"/>
            <w:hideMark/>
          </w:tcPr>
          <w:p w:rsidR="00242C36" w:rsidRPr="0031060D" w:rsidRDefault="00242C36" w:rsidP="00242C36">
            <w:pPr>
              <w:jc w:val="right"/>
              <w:rPr>
                <w:sz w:val="18"/>
                <w:szCs w:val="18"/>
              </w:rPr>
            </w:pPr>
            <w:r w:rsidRPr="0031060D">
              <w:rPr>
                <w:sz w:val="18"/>
                <w:szCs w:val="18"/>
              </w:rPr>
              <w:t>152</w:t>
            </w:r>
          </w:p>
        </w:tc>
        <w:tc>
          <w:tcPr>
            <w:tcW w:w="1559" w:type="dxa"/>
            <w:tcBorders>
              <w:top w:val="nil"/>
              <w:left w:val="nil"/>
              <w:bottom w:val="single" w:sz="4" w:space="0" w:color="auto"/>
              <w:right w:val="single" w:sz="4" w:space="0" w:color="auto"/>
            </w:tcBorders>
            <w:shd w:val="clear" w:color="auto" w:fill="auto"/>
            <w:noWrap/>
            <w:vAlign w:val="bottom"/>
            <w:hideMark/>
          </w:tcPr>
          <w:p w:rsidR="00242C36" w:rsidRPr="0031060D" w:rsidRDefault="00242C36" w:rsidP="00242C36">
            <w:pPr>
              <w:jc w:val="right"/>
              <w:rPr>
                <w:sz w:val="18"/>
                <w:szCs w:val="18"/>
              </w:rPr>
            </w:pPr>
            <w:r w:rsidRPr="0031060D">
              <w:rPr>
                <w:sz w:val="18"/>
                <w:szCs w:val="18"/>
              </w:rPr>
              <w:t>159</w:t>
            </w:r>
          </w:p>
        </w:tc>
        <w:tc>
          <w:tcPr>
            <w:tcW w:w="1843" w:type="dxa"/>
            <w:tcBorders>
              <w:top w:val="nil"/>
              <w:left w:val="nil"/>
              <w:bottom w:val="single" w:sz="4" w:space="0" w:color="auto"/>
              <w:right w:val="single" w:sz="4" w:space="0" w:color="auto"/>
            </w:tcBorders>
            <w:shd w:val="clear" w:color="auto" w:fill="auto"/>
            <w:noWrap/>
            <w:vAlign w:val="bottom"/>
            <w:hideMark/>
          </w:tcPr>
          <w:p w:rsidR="00242C36" w:rsidRPr="0031060D" w:rsidRDefault="00242C36" w:rsidP="00242C36">
            <w:pPr>
              <w:jc w:val="right"/>
              <w:rPr>
                <w:sz w:val="18"/>
                <w:szCs w:val="18"/>
              </w:rPr>
            </w:pPr>
            <w:r w:rsidRPr="0031060D">
              <w:rPr>
                <w:sz w:val="18"/>
                <w:szCs w:val="18"/>
              </w:rPr>
              <w:t>173</w:t>
            </w:r>
          </w:p>
        </w:tc>
        <w:tc>
          <w:tcPr>
            <w:tcW w:w="1417" w:type="dxa"/>
            <w:tcBorders>
              <w:top w:val="nil"/>
              <w:left w:val="nil"/>
              <w:bottom w:val="single" w:sz="4" w:space="0" w:color="auto"/>
              <w:right w:val="single" w:sz="8" w:space="0" w:color="auto"/>
            </w:tcBorders>
            <w:shd w:val="clear" w:color="auto" w:fill="auto"/>
            <w:noWrap/>
            <w:vAlign w:val="bottom"/>
            <w:hideMark/>
          </w:tcPr>
          <w:p w:rsidR="00242C36" w:rsidRPr="0031060D" w:rsidRDefault="00242C36" w:rsidP="00242C36">
            <w:pPr>
              <w:jc w:val="right"/>
              <w:rPr>
                <w:sz w:val="18"/>
                <w:szCs w:val="18"/>
              </w:rPr>
            </w:pPr>
            <w:r w:rsidRPr="0031060D">
              <w:rPr>
                <w:sz w:val="18"/>
                <w:szCs w:val="18"/>
              </w:rPr>
              <w:t>141</w:t>
            </w:r>
          </w:p>
        </w:tc>
      </w:tr>
      <w:tr w:rsidR="00242C36" w:rsidRPr="0031060D" w:rsidTr="00242C36">
        <w:trPr>
          <w:trHeight w:val="282"/>
        </w:trPr>
        <w:tc>
          <w:tcPr>
            <w:tcW w:w="2269" w:type="dxa"/>
            <w:tcBorders>
              <w:top w:val="nil"/>
              <w:left w:val="single" w:sz="8" w:space="0" w:color="auto"/>
              <w:bottom w:val="single" w:sz="4" w:space="0" w:color="auto"/>
              <w:right w:val="single" w:sz="8" w:space="0" w:color="auto"/>
            </w:tcBorders>
            <w:shd w:val="clear" w:color="auto" w:fill="auto"/>
            <w:noWrap/>
            <w:vAlign w:val="bottom"/>
            <w:hideMark/>
          </w:tcPr>
          <w:p w:rsidR="00242C36" w:rsidRPr="0031060D" w:rsidRDefault="00242C36" w:rsidP="00242C36">
            <w:pPr>
              <w:rPr>
                <w:sz w:val="18"/>
                <w:szCs w:val="18"/>
              </w:rPr>
            </w:pPr>
            <w:r w:rsidRPr="0031060D">
              <w:rPr>
                <w:sz w:val="18"/>
                <w:szCs w:val="18"/>
              </w:rPr>
              <w:t>Maďarsko</w:t>
            </w:r>
          </w:p>
        </w:tc>
        <w:tc>
          <w:tcPr>
            <w:tcW w:w="2126" w:type="dxa"/>
            <w:tcBorders>
              <w:top w:val="nil"/>
              <w:left w:val="nil"/>
              <w:bottom w:val="single" w:sz="4" w:space="0" w:color="auto"/>
              <w:right w:val="single" w:sz="4" w:space="0" w:color="auto"/>
            </w:tcBorders>
            <w:shd w:val="clear" w:color="auto" w:fill="auto"/>
            <w:noWrap/>
            <w:vAlign w:val="bottom"/>
            <w:hideMark/>
          </w:tcPr>
          <w:p w:rsidR="00242C36" w:rsidRPr="0031060D" w:rsidRDefault="00242C36" w:rsidP="00242C36">
            <w:pPr>
              <w:jc w:val="right"/>
              <w:rPr>
                <w:sz w:val="18"/>
                <w:szCs w:val="18"/>
              </w:rPr>
            </w:pPr>
            <w:r w:rsidRPr="0031060D">
              <w:rPr>
                <w:sz w:val="18"/>
                <w:szCs w:val="18"/>
              </w:rPr>
              <w:t>151</w:t>
            </w:r>
          </w:p>
        </w:tc>
        <w:tc>
          <w:tcPr>
            <w:tcW w:w="1559" w:type="dxa"/>
            <w:tcBorders>
              <w:top w:val="nil"/>
              <w:left w:val="nil"/>
              <w:bottom w:val="single" w:sz="4" w:space="0" w:color="auto"/>
              <w:right w:val="single" w:sz="4" w:space="0" w:color="auto"/>
            </w:tcBorders>
            <w:shd w:val="clear" w:color="auto" w:fill="auto"/>
            <w:noWrap/>
            <w:vAlign w:val="bottom"/>
            <w:hideMark/>
          </w:tcPr>
          <w:p w:rsidR="00242C36" w:rsidRPr="0031060D" w:rsidRDefault="00242C36" w:rsidP="00242C36">
            <w:pPr>
              <w:jc w:val="right"/>
              <w:rPr>
                <w:sz w:val="18"/>
                <w:szCs w:val="18"/>
              </w:rPr>
            </w:pPr>
            <w:r w:rsidRPr="0031060D">
              <w:rPr>
                <w:sz w:val="18"/>
                <w:szCs w:val="18"/>
              </w:rPr>
              <w:t>157</w:t>
            </w:r>
          </w:p>
        </w:tc>
        <w:tc>
          <w:tcPr>
            <w:tcW w:w="1843" w:type="dxa"/>
            <w:tcBorders>
              <w:top w:val="nil"/>
              <w:left w:val="nil"/>
              <w:bottom w:val="single" w:sz="4" w:space="0" w:color="auto"/>
              <w:right w:val="single" w:sz="4" w:space="0" w:color="auto"/>
            </w:tcBorders>
            <w:shd w:val="clear" w:color="auto" w:fill="auto"/>
            <w:noWrap/>
            <w:vAlign w:val="bottom"/>
            <w:hideMark/>
          </w:tcPr>
          <w:p w:rsidR="00242C36" w:rsidRPr="0031060D" w:rsidRDefault="00242C36" w:rsidP="00242C36">
            <w:pPr>
              <w:jc w:val="right"/>
              <w:rPr>
                <w:sz w:val="18"/>
                <w:szCs w:val="18"/>
              </w:rPr>
            </w:pPr>
            <w:r w:rsidRPr="0031060D">
              <w:rPr>
                <w:sz w:val="18"/>
                <w:szCs w:val="18"/>
              </w:rPr>
              <w:t>198</w:t>
            </w:r>
          </w:p>
        </w:tc>
        <w:tc>
          <w:tcPr>
            <w:tcW w:w="1417" w:type="dxa"/>
            <w:tcBorders>
              <w:top w:val="nil"/>
              <w:left w:val="nil"/>
              <w:bottom w:val="single" w:sz="4" w:space="0" w:color="auto"/>
              <w:right w:val="single" w:sz="8" w:space="0" w:color="auto"/>
            </w:tcBorders>
            <w:shd w:val="clear" w:color="auto" w:fill="auto"/>
            <w:noWrap/>
            <w:vAlign w:val="bottom"/>
            <w:hideMark/>
          </w:tcPr>
          <w:p w:rsidR="00242C36" w:rsidRPr="0031060D" w:rsidRDefault="00242C36" w:rsidP="00242C36">
            <w:pPr>
              <w:jc w:val="right"/>
              <w:rPr>
                <w:sz w:val="18"/>
                <w:szCs w:val="18"/>
              </w:rPr>
            </w:pPr>
            <w:r w:rsidRPr="0031060D">
              <w:rPr>
                <w:sz w:val="18"/>
                <w:szCs w:val="18"/>
              </w:rPr>
              <w:t>153</w:t>
            </w:r>
          </w:p>
        </w:tc>
      </w:tr>
      <w:tr w:rsidR="00242C36" w:rsidRPr="0031060D" w:rsidTr="00242C36">
        <w:trPr>
          <w:trHeight w:val="282"/>
        </w:trPr>
        <w:tc>
          <w:tcPr>
            <w:tcW w:w="2269" w:type="dxa"/>
            <w:tcBorders>
              <w:top w:val="nil"/>
              <w:left w:val="single" w:sz="8" w:space="0" w:color="auto"/>
              <w:bottom w:val="single" w:sz="4" w:space="0" w:color="auto"/>
              <w:right w:val="single" w:sz="8" w:space="0" w:color="auto"/>
            </w:tcBorders>
            <w:shd w:val="clear" w:color="auto" w:fill="auto"/>
            <w:noWrap/>
            <w:vAlign w:val="bottom"/>
            <w:hideMark/>
          </w:tcPr>
          <w:p w:rsidR="00242C36" w:rsidRPr="0031060D" w:rsidRDefault="00242C36" w:rsidP="00242C36">
            <w:pPr>
              <w:rPr>
                <w:sz w:val="18"/>
                <w:szCs w:val="18"/>
              </w:rPr>
            </w:pPr>
            <w:r w:rsidRPr="0031060D">
              <w:rPr>
                <w:sz w:val="18"/>
                <w:szCs w:val="18"/>
              </w:rPr>
              <w:t>Poľsko</w:t>
            </w:r>
          </w:p>
        </w:tc>
        <w:tc>
          <w:tcPr>
            <w:tcW w:w="2126" w:type="dxa"/>
            <w:tcBorders>
              <w:top w:val="nil"/>
              <w:left w:val="nil"/>
              <w:bottom w:val="single" w:sz="4" w:space="0" w:color="auto"/>
              <w:right w:val="single" w:sz="4" w:space="0" w:color="auto"/>
            </w:tcBorders>
            <w:shd w:val="clear" w:color="auto" w:fill="auto"/>
            <w:noWrap/>
            <w:vAlign w:val="bottom"/>
            <w:hideMark/>
          </w:tcPr>
          <w:p w:rsidR="00242C36" w:rsidRPr="0031060D" w:rsidRDefault="00242C36" w:rsidP="00242C36">
            <w:pPr>
              <w:jc w:val="right"/>
              <w:rPr>
                <w:sz w:val="18"/>
                <w:szCs w:val="18"/>
              </w:rPr>
            </w:pPr>
            <w:r w:rsidRPr="0031060D">
              <w:rPr>
                <w:sz w:val="18"/>
                <w:szCs w:val="18"/>
              </w:rPr>
              <w:t>85</w:t>
            </w:r>
          </w:p>
        </w:tc>
        <w:tc>
          <w:tcPr>
            <w:tcW w:w="1559" w:type="dxa"/>
            <w:tcBorders>
              <w:top w:val="nil"/>
              <w:left w:val="nil"/>
              <w:bottom w:val="single" w:sz="4" w:space="0" w:color="auto"/>
              <w:right w:val="single" w:sz="4" w:space="0" w:color="auto"/>
            </w:tcBorders>
            <w:shd w:val="clear" w:color="auto" w:fill="auto"/>
            <w:noWrap/>
            <w:vAlign w:val="bottom"/>
            <w:hideMark/>
          </w:tcPr>
          <w:p w:rsidR="00242C36" w:rsidRPr="0031060D" w:rsidRDefault="00242C36" w:rsidP="00242C36">
            <w:pPr>
              <w:jc w:val="right"/>
              <w:rPr>
                <w:sz w:val="18"/>
                <w:szCs w:val="18"/>
              </w:rPr>
            </w:pPr>
            <w:r w:rsidRPr="0031060D">
              <w:rPr>
                <w:sz w:val="18"/>
                <w:szCs w:val="18"/>
              </w:rPr>
              <w:t>95</w:t>
            </w:r>
          </w:p>
        </w:tc>
        <w:tc>
          <w:tcPr>
            <w:tcW w:w="1843" w:type="dxa"/>
            <w:tcBorders>
              <w:top w:val="nil"/>
              <w:left w:val="nil"/>
              <w:bottom w:val="single" w:sz="4" w:space="0" w:color="auto"/>
              <w:right w:val="single" w:sz="4" w:space="0" w:color="auto"/>
            </w:tcBorders>
            <w:shd w:val="clear" w:color="auto" w:fill="auto"/>
            <w:noWrap/>
            <w:vAlign w:val="bottom"/>
            <w:hideMark/>
          </w:tcPr>
          <w:p w:rsidR="00242C36" w:rsidRPr="0031060D" w:rsidRDefault="00242C36" w:rsidP="00242C36">
            <w:pPr>
              <w:jc w:val="right"/>
              <w:rPr>
                <w:sz w:val="18"/>
                <w:szCs w:val="18"/>
              </w:rPr>
            </w:pPr>
            <w:r w:rsidRPr="0031060D">
              <w:rPr>
                <w:sz w:val="18"/>
                <w:szCs w:val="18"/>
              </w:rPr>
              <w:t>102</w:t>
            </w:r>
          </w:p>
        </w:tc>
        <w:tc>
          <w:tcPr>
            <w:tcW w:w="1417" w:type="dxa"/>
            <w:tcBorders>
              <w:top w:val="nil"/>
              <w:left w:val="nil"/>
              <w:bottom w:val="single" w:sz="4" w:space="0" w:color="auto"/>
              <w:right w:val="single" w:sz="8" w:space="0" w:color="auto"/>
            </w:tcBorders>
            <w:shd w:val="clear" w:color="auto" w:fill="auto"/>
            <w:noWrap/>
            <w:vAlign w:val="bottom"/>
            <w:hideMark/>
          </w:tcPr>
          <w:p w:rsidR="00242C36" w:rsidRPr="0031060D" w:rsidRDefault="00242C36" w:rsidP="00242C36">
            <w:pPr>
              <w:jc w:val="right"/>
              <w:rPr>
                <w:sz w:val="18"/>
                <w:szCs w:val="18"/>
              </w:rPr>
            </w:pPr>
            <w:r w:rsidRPr="0031060D">
              <w:rPr>
                <w:sz w:val="18"/>
                <w:szCs w:val="18"/>
              </w:rPr>
              <w:t>90</w:t>
            </w:r>
          </w:p>
        </w:tc>
      </w:tr>
      <w:tr w:rsidR="00242C36" w:rsidRPr="0031060D" w:rsidTr="00242C36">
        <w:trPr>
          <w:trHeight w:val="282"/>
        </w:trPr>
        <w:tc>
          <w:tcPr>
            <w:tcW w:w="2269" w:type="dxa"/>
            <w:tcBorders>
              <w:top w:val="nil"/>
              <w:left w:val="single" w:sz="8" w:space="0" w:color="auto"/>
              <w:bottom w:val="single" w:sz="4" w:space="0" w:color="auto"/>
              <w:right w:val="single" w:sz="8" w:space="0" w:color="auto"/>
            </w:tcBorders>
            <w:shd w:val="clear" w:color="auto" w:fill="auto"/>
            <w:noWrap/>
            <w:vAlign w:val="bottom"/>
            <w:hideMark/>
          </w:tcPr>
          <w:p w:rsidR="00242C36" w:rsidRPr="0031060D" w:rsidRDefault="00242C36" w:rsidP="00242C36">
            <w:pPr>
              <w:rPr>
                <w:b/>
                <w:bCs/>
                <w:sz w:val="18"/>
                <w:szCs w:val="18"/>
              </w:rPr>
            </w:pPr>
            <w:r w:rsidRPr="0031060D">
              <w:rPr>
                <w:b/>
                <w:bCs/>
                <w:sz w:val="18"/>
                <w:szCs w:val="18"/>
              </w:rPr>
              <w:t>Slovensko</w:t>
            </w:r>
          </w:p>
        </w:tc>
        <w:tc>
          <w:tcPr>
            <w:tcW w:w="2126" w:type="dxa"/>
            <w:tcBorders>
              <w:top w:val="nil"/>
              <w:left w:val="nil"/>
              <w:bottom w:val="single" w:sz="4" w:space="0" w:color="auto"/>
              <w:right w:val="single" w:sz="4" w:space="0" w:color="auto"/>
            </w:tcBorders>
            <w:shd w:val="clear" w:color="auto" w:fill="auto"/>
            <w:noWrap/>
            <w:vAlign w:val="bottom"/>
            <w:hideMark/>
          </w:tcPr>
          <w:p w:rsidR="00242C36" w:rsidRPr="0031060D" w:rsidRDefault="00242C36" w:rsidP="00242C36">
            <w:pPr>
              <w:jc w:val="right"/>
              <w:rPr>
                <w:b/>
                <w:bCs/>
                <w:sz w:val="18"/>
                <w:szCs w:val="18"/>
              </w:rPr>
            </w:pPr>
            <w:r w:rsidRPr="0031060D">
              <w:rPr>
                <w:b/>
                <w:bCs/>
                <w:sz w:val="18"/>
                <w:szCs w:val="18"/>
              </w:rPr>
              <w:t>102</w:t>
            </w:r>
          </w:p>
        </w:tc>
        <w:tc>
          <w:tcPr>
            <w:tcW w:w="1559" w:type="dxa"/>
            <w:tcBorders>
              <w:top w:val="nil"/>
              <w:left w:val="nil"/>
              <w:bottom w:val="single" w:sz="4" w:space="0" w:color="auto"/>
              <w:right w:val="single" w:sz="4" w:space="0" w:color="auto"/>
            </w:tcBorders>
            <w:shd w:val="clear" w:color="auto" w:fill="auto"/>
            <w:noWrap/>
            <w:vAlign w:val="bottom"/>
            <w:hideMark/>
          </w:tcPr>
          <w:p w:rsidR="00242C36" w:rsidRPr="0031060D" w:rsidRDefault="00242C36" w:rsidP="00242C36">
            <w:pPr>
              <w:jc w:val="right"/>
              <w:rPr>
                <w:b/>
                <w:bCs/>
                <w:sz w:val="18"/>
                <w:szCs w:val="18"/>
              </w:rPr>
            </w:pPr>
            <w:r w:rsidRPr="0031060D">
              <w:rPr>
                <w:b/>
                <w:bCs/>
                <w:sz w:val="18"/>
                <w:szCs w:val="18"/>
              </w:rPr>
              <w:t>120</w:t>
            </w:r>
          </w:p>
        </w:tc>
        <w:tc>
          <w:tcPr>
            <w:tcW w:w="1843" w:type="dxa"/>
            <w:tcBorders>
              <w:top w:val="nil"/>
              <w:left w:val="nil"/>
              <w:bottom w:val="single" w:sz="4" w:space="0" w:color="auto"/>
              <w:right w:val="single" w:sz="4" w:space="0" w:color="auto"/>
            </w:tcBorders>
            <w:shd w:val="clear" w:color="auto" w:fill="auto"/>
            <w:noWrap/>
            <w:vAlign w:val="bottom"/>
            <w:hideMark/>
          </w:tcPr>
          <w:p w:rsidR="00242C36" w:rsidRPr="0031060D" w:rsidRDefault="00242C36" w:rsidP="00242C36">
            <w:pPr>
              <w:jc w:val="right"/>
              <w:rPr>
                <w:b/>
                <w:bCs/>
                <w:sz w:val="18"/>
                <w:szCs w:val="18"/>
              </w:rPr>
            </w:pPr>
            <w:r w:rsidRPr="0031060D">
              <w:rPr>
                <w:b/>
                <w:bCs/>
                <w:sz w:val="18"/>
                <w:szCs w:val="18"/>
              </w:rPr>
              <w:t>146</w:t>
            </w:r>
          </w:p>
        </w:tc>
        <w:tc>
          <w:tcPr>
            <w:tcW w:w="1417" w:type="dxa"/>
            <w:tcBorders>
              <w:top w:val="nil"/>
              <w:left w:val="nil"/>
              <w:bottom w:val="single" w:sz="4" w:space="0" w:color="auto"/>
              <w:right w:val="single" w:sz="8" w:space="0" w:color="auto"/>
            </w:tcBorders>
            <w:shd w:val="clear" w:color="auto" w:fill="auto"/>
            <w:noWrap/>
            <w:vAlign w:val="bottom"/>
            <w:hideMark/>
          </w:tcPr>
          <w:p w:rsidR="00242C36" w:rsidRPr="0031060D" w:rsidRDefault="00242C36" w:rsidP="00242C36">
            <w:pPr>
              <w:jc w:val="right"/>
              <w:rPr>
                <w:b/>
                <w:bCs/>
                <w:sz w:val="18"/>
                <w:szCs w:val="18"/>
              </w:rPr>
            </w:pPr>
            <w:r w:rsidRPr="0031060D">
              <w:rPr>
                <w:b/>
                <w:bCs/>
                <w:sz w:val="18"/>
                <w:szCs w:val="18"/>
              </w:rPr>
              <w:t>112</w:t>
            </w:r>
          </w:p>
        </w:tc>
      </w:tr>
    </w:tbl>
    <w:p w:rsidR="00242C36" w:rsidRPr="00E71D2F" w:rsidRDefault="00242C36" w:rsidP="00242C36">
      <w:pPr>
        <w:pBdr>
          <w:bar w:val="single" w:sz="6" w:color="808080"/>
        </w:pBdr>
        <w:rPr>
          <w:rFonts w:eastAsia="Calibri"/>
          <w:sz w:val="20"/>
          <w:szCs w:val="20"/>
          <w:lang w:eastAsia="en-US"/>
        </w:rPr>
      </w:pPr>
      <w:r w:rsidRPr="00E71D2F">
        <w:rPr>
          <w:rFonts w:eastAsia="Calibri"/>
          <w:sz w:val="20"/>
          <w:szCs w:val="20"/>
          <w:lang w:eastAsia="en-US"/>
        </w:rPr>
        <w:t>Prameň: Eurostat database, marec 2013</w:t>
      </w:r>
    </w:p>
    <w:p w:rsidR="00242C36" w:rsidRDefault="00242C36" w:rsidP="00242C36">
      <w:pPr>
        <w:pBdr>
          <w:bar w:val="single" w:sz="6" w:color="808080"/>
        </w:pBdr>
        <w:rPr>
          <w:rFonts w:eastAsia="Calibri"/>
          <w:sz w:val="20"/>
          <w:szCs w:val="20"/>
          <w:lang w:eastAsia="en-US"/>
        </w:rPr>
      </w:pPr>
      <w:r w:rsidRPr="00E71D2F">
        <w:rPr>
          <w:rFonts w:eastAsia="Calibri"/>
          <w:sz w:val="20"/>
          <w:szCs w:val="20"/>
          <w:lang w:eastAsia="en-US"/>
        </w:rPr>
        <w:t>Poznámka: p.v.p.-</w:t>
      </w:r>
      <w:r w:rsidR="007D119F">
        <w:rPr>
          <w:rFonts w:eastAsia="Calibri"/>
          <w:sz w:val="20"/>
          <w:szCs w:val="20"/>
          <w:lang w:eastAsia="en-US"/>
        </w:rPr>
        <w:t xml:space="preserve"> </w:t>
      </w:r>
      <w:r w:rsidRPr="00E71D2F">
        <w:rPr>
          <w:rFonts w:eastAsia="Calibri"/>
          <w:sz w:val="20"/>
          <w:szCs w:val="20"/>
          <w:lang w:eastAsia="en-US"/>
        </w:rPr>
        <w:t xml:space="preserve">poľnohospodársky využívaná pôda </w:t>
      </w:r>
    </w:p>
    <w:p w:rsidR="007D119F" w:rsidRPr="00E71D2F" w:rsidRDefault="007D119F" w:rsidP="00242C36">
      <w:pPr>
        <w:pBdr>
          <w:bar w:val="single" w:sz="6" w:color="808080"/>
        </w:pBdr>
        <w:rPr>
          <w:rFonts w:eastAsia="Calibri"/>
          <w:sz w:val="20"/>
          <w:szCs w:val="20"/>
          <w:lang w:eastAsia="en-US"/>
        </w:rPr>
      </w:pPr>
    </w:p>
    <w:p w:rsidR="00242C36" w:rsidRPr="00E43137" w:rsidRDefault="00242C36" w:rsidP="00242C36">
      <w:pPr>
        <w:pBdr>
          <w:bar w:val="single" w:sz="6" w:color="808080"/>
        </w:pBdr>
        <w:rPr>
          <w:rFonts w:ascii="Calibri" w:eastAsia="Calibri" w:hAnsi="Calibri"/>
          <w:szCs w:val="22"/>
          <w:lang w:eastAsia="en-US"/>
        </w:rPr>
      </w:pPr>
      <w:r w:rsidRPr="00E71D2F">
        <w:rPr>
          <w:rFonts w:eastAsia="Calibri"/>
          <w:szCs w:val="22"/>
          <w:lang w:eastAsia="en-US"/>
        </w:rPr>
        <w:t>Hospodárnosť podnikov zaťažuje aj veľký objem majetku, ktorý je potrebné udržiavať a obnovovať, pričom reprodukcia je v dôsledku rastu cien stále náročnejšia. Vývoj fixného kapitálu naznačuje, že</w:t>
      </w:r>
      <w:r w:rsidRPr="00E43137">
        <w:rPr>
          <w:rFonts w:ascii="Calibri" w:eastAsia="Calibri" w:hAnsi="Calibri"/>
          <w:szCs w:val="22"/>
          <w:lang w:eastAsia="en-US"/>
        </w:rPr>
        <w:t xml:space="preserve"> obnova sa medzi rokmi 2009 až 2012 spomalila,  z dôvodu zníženia investovanosti do všetkých zložiek tvorby hrubého fixného kapitálu (budov, stavby, stroje a zariadenia, dopravné prostriedky a kultivované aktíva) čo ovplyvňuje opotrebovanosť hmotných statkov. </w:t>
      </w:r>
    </w:p>
    <w:p w:rsidR="00242C36" w:rsidRPr="00E43137" w:rsidRDefault="00242C36" w:rsidP="00242C36">
      <w:pPr>
        <w:pBdr>
          <w:bar w:val="single" w:sz="6" w:color="808080"/>
        </w:pBdr>
        <w:rPr>
          <w:rFonts w:ascii="Calibri" w:eastAsia="Calibri" w:hAnsi="Calibri"/>
          <w:szCs w:val="22"/>
          <w:lang w:eastAsia="en-US"/>
        </w:rPr>
      </w:pPr>
      <w:r>
        <w:rPr>
          <w:rFonts w:ascii="Calibri" w:eastAsia="Calibri" w:hAnsi="Calibri"/>
          <w:noProof/>
          <w:szCs w:val="22"/>
        </w:rPr>
        <w:drawing>
          <wp:inline distT="0" distB="0" distL="0" distR="0" wp14:anchorId="36339314" wp14:editId="739E3610">
            <wp:extent cx="4848225" cy="3190875"/>
            <wp:effectExtent l="19050" t="0" r="9525" b="0"/>
            <wp:docPr id="22" name="Obrázo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ok 1"/>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848225" cy="3190875"/>
                    </a:xfrm>
                    <a:prstGeom prst="rect">
                      <a:avLst/>
                    </a:prstGeom>
                    <a:noFill/>
                    <a:ln>
                      <a:noFill/>
                    </a:ln>
                  </pic:spPr>
                </pic:pic>
              </a:graphicData>
            </a:graphic>
          </wp:inline>
        </w:drawing>
      </w:r>
    </w:p>
    <w:p w:rsidR="00242C36" w:rsidRPr="00E43137" w:rsidRDefault="00242C36" w:rsidP="00242C36">
      <w:pPr>
        <w:pBdr>
          <w:bar w:val="single" w:sz="6" w:color="808080"/>
        </w:pBdr>
        <w:rPr>
          <w:rFonts w:ascii="Calibri" w:eastAsia="Calibri" w:hAnsi="Calibri"/>
          <w:sz w:val="18"/>
          <w:szCs w:val="18"/>
          <w:lang w:eastAsia="en-US"/>
        </w:rPr>
      </w:pPr>
      <w:r w:rsidRPr="00E43137">
        <w:rPr>
          <w:rFonts w:ascii="Calibri" w:eastAsia="Calibri" w:hAnsi="Calibri"/>
          <w:sz w:val="18"/>
          <w:szCs w:val="18"/>
          <w:lang w:eastAsia="en-US"/>
        </w:rPr>
        <w:t>Prameň: ŠÚ SR</w:t>
      </w:r>
    </w:p>
    <w:p w:rsidR="00242C36" w:rsidRPr="00E43137" w:rsidRDefault="00242C36" w:rsidP="00242C36">
      <w:pPr>
        <w:pBdr>
          <w:bar w:val="single" w:sz="6" w:color="808080"/>
        </w:pBdr>
        <w:rPr>
          <w:rFonts w:ascii="Calibri" w:eastAsia="Calibri" w:hAnsi="Calibri"/>
          <w:szCs w:val="22"/>
          <w:lang w:eastAsia="en-US"/>
        </w:rPr>
      </w:pPr>
    </w:p>
    <w:p w:rsidR="00242C36" w:rsidRPr="00E71D2F" w:rsidRDefault="00242C36" w:rsidP="00366F96">
      <w:pPr>
        <w:pBdr>
          <w:bar w:val="single" w:sz="6" w:color="808080"/>
        </w:pBdr>
        <w:spacing w:after="120"/>
        <w:rPr>
          <w:rFonts w:eastAsia="Calibri"/>
          <w:strike/>
          <w:szCs w:val="22"/>
          <w:lang w:eastAsia="en-US"/>
        </w:rPr>
      </w:pPr>
      <w:r w:rsidRPr="00E71D2F">
        <w:rPr>
          <w:rFonts w:eastAsia="Calibri"/>
          <w:szCs w:val="22"/>
          <w:lang w:eastAsia="en-US"/>
        </w:rPr>
        <w:t xml:space="preserve">Rozdiel medzi peňažným vyjadrením vstupov a výstupov z poľnohospodárskej produkcie  je príliš nízky nato, aby pokrýval prevádzkové náklady  poľnohospodárskych subjektov. S týmto súvisí aj nízky príjem poľnohospodárskych podnikov. </w:t>
      </w:r>
    </w:p>
    <w:p w:rsidR="00242C36" w:rsidRDefault="00242C36" w:rsidP="00366F96">
      <w:pPr>
        <w:pBdr>
          <w:bar w:val="single" w:sz="6" w:color="808080"/>
        </w:pBdr>
        <w:spacing w:after="120"/>
        <w:rPr>
          <w:rFonts w:eastAsia="Calibri"/>
          <w:szCs w:val="22"/>
          <w:lang w:eastAsia="en-US"/>
        </w:rPr>
      </w:pPr>
      <w:r>
        <w:rPr>
          <w:rFonts w:eastAsia="Calibri"/>
          <w:szCs w:val="22"/>
          <w:lang w:eastAsia="en-US"/>
        </w:rPr>
        <w:t xml:space="preserve">Poľnohospodárske podniky si zabezpečujú financovanie projektov z rôznych zdrojov- podpory, vlastné zdroje a úvery. Úvery sú často problematické vzhľadom na nedostatočnú zábezpeku najmä pre menšie podniky.  V rámci  PRV SR 2007-2013  sa realizovali najmä veľké projekty, pre  obmedzený počet poľnohospodárskych výrobcov, u ktorých spolufinancovanie si vynútilo využitie úverov komerčných bánk, čo sa odrazilo na ich  vysokom úverovom zaťažení.   </w:t>
      </w:r>
    </w:p>
    <w:p w:rsidR="00242C36" w:rsidRDefault="00242C36" w:rsidP="00242C36">
      <w:pPr>
        <w:pBdr>
          <w:bar w:val="single" w:sz="6" w:color="808080"/>
        </w:pBdr>
        <w:rPr>
          <w:rFonts w:eastAsia="Calibri"/>
          <w:szCs w:val="22"/>
          <w:lang w:eastAsia="en-US"/>
        </w:rPr>
      </w:pPr>
      <w:r w:rsidRPr="00856960">
        <w:rPr>
          <w:rFonts w:eastAsia="Calibri"/>
          <w:szCs w:val="22"/>
          <w:lang w:eastAsia="en-US"/>
        </w:rPr>
        <w:t>Preto v budúcnosti by bolo potrebné smerovať podporu na projektové opatrenia nielen pre veľké projekty, resp. väčšie podniky  ale viac aj na projekty do malých podnikov, ktoré sú významné aj z </w:t>
      </w:r>
      <w:r w:rsidR="00366F96" w:rsidRPr="00856960">
        <w:rPr>
          <w:rFonts w:eastAsia="Calibri"/>
          <w:szCs w:val="22"/>
          <w:lang w:eastAsia="en-US"/>
        </w:rPr>
        <w:t>hľadiska</w:t>
      </w:r>
      <w:r w:rsidRPr="00856960">
        <w:rPr>
          <w:rFonts w:eastAsia="Calibri"/>
          <w:szCs w:val="22"/>
          <w:lang w:eastAsia="en-US"/>
        </w:rPr>
        <w:t xml:space="preserve"> zamestnanosti a podnikania formou aj rodinných fariem.  </w:t>
      </w:r>
    </w:p>
    <w:p w:rsidR="00242C36" w:rsidRDefault="00242C36" w:rsidP="00242C36">
      <w:pPr>
        <w:pBdr>
          <w:bar w:val="single" w:sz="6" w:color="808080"/>
        </w:pBdr>
        <w:rPr>
          <w:rFonts w:ascii="Calibri" w:eastAsia="Calibri" w:hAnsi="Calibri"/>
          <w:szCs w:val="22"/>
          <w:lang w:eastAsia="en-US"/>
        </w:rPr>
      </w:pPr>
    </w:p>
    <w:p w:rsidR="00242C36" w:rsidRPr="000A649E" w:rsidRDefault="00242C36" w:rsidP="00242C36">
      <w:pPr>
        <w:rPr>
          <w:rFonts w:ascii="Calibri" w:hAnsi="Calibri" w:cs="Calibri"/>
          <w:b/>
          <w:szCs w:val="22"/>
        </w:rPr>
      </w:pPr>
      <w:r w:rsidRPr="002126F7">
        <w:rPr>
          <w:rFonts w:ascii="Calibri" w:hAnsi="Calibri" w:cs="Calibri"/>
          <w:b/>
          <w:szCs w:val="22"/>
        </w:rPr>
        <w:t>Pôsobe</w:t>
      </w:r>
      <w:r>
        <w:rPr>
          <w:rFonts w:ascii="Calibri" w:hAnsi="Calibri" w:cs="Calibri"/>
          <w:b/>
          <w:szCs w:val="22"/>
        </w:rPr>
        <w:t>nie výrobných faktorov v podnikoch</w:t>
      </w:r>
    </w:p>
    <w:p w:rsidR="00242C36" w:rsidRPr="00E43137" w:rsidRDefault="00242C36" w:rsidP="00242C36">
      <w:pPr>
        <w:spacing w:before="120"/>
        <w:rPr>
          <w:szCs w:val="22"/>
        </w:rPr>
      </w:pPr>
      <w:r w:rsidRPr="00E43137">
        <w:rPr>
          <w:rFonts w:ascii="Calibri" w:hAnsi="Calibri" w:cs="Calibri"/>
          <w:szCs w:val="22"/>
        </w:rPr>
        <w:t>Výrobné faktory (mechanizácia, materiál, práca) a ich vplyv na objem produkcie môžeme charakterizovať syntetickým ukazovateľom produktivity práce, ktorá závisí od vybavenosti majetkom, účinnosti strojov a účinnosti materiálu.</w:t>
      </w:r>
    </w:p>
    <w:p w:rsidR="00242C36" w:rsidRPr="00E43137" w:rsidRDefault="00242C36" w:rsidP="00242C36">
      <w:pPr>
        <w:spacing w:before="120"/>
        <w:rPr>
          <w:rFonts w:ascii="Calibri" w:hAnsi="Calibri" w:cs="Calibri"/>
          <w:szCs w:val="22"/>
        </w:rPr>
      </w:pPr>
      <w:r w:rsidRPr="00E43137">
        <w:rPr>
          <w:rFonts w:ascii="Calibri" w:hAnsi="Calibri" w:cs="Calibri"/>
          <w:szCs w:val="22"/>
        </w:rPr>
        <w:t>Podľa údajov zo Zelenej správy výroba v roku 2011 prepočítaná na jeden hektár poľnohospodárskej pôdy vzrástla oproti roku 2010 v relatívnom vyjadrení o 23,56%. Najväčší vplyv na zvýšenie produkcie mala vyššia účinnosť (využitie) investičného majetku a tiež vybavenie pracovníkov. V porovnaní s rokom 2010 sa zvýšilo použitie materiálu, ale zlepšila sa aj nákladovosť výroby, pokiaľ ide o spotrebu materiálu a energie. Negatívne však pôsobil úbytok pracovných síl</w:t>
      </w:r>
      <w:r>
        <w:rPr>
          <w:rFonts w:ascii="Calibri" w:hAnsi="Calibri" w:cs="Calibri"/>
          <w:szCs w:val="22"/>
        </w:rPr>
        <w:t>. Podniky, keďže zlepšovali materiálno-technickú základňu, hľadali úsporné opatrenia aj v redukcii pracovných síl</w:t>
      </w:r>
      <w:r w:rsidRPr="00E43137">
        <w:rPr>
          <w:rFonts w:ascii="Calibri" w:hAnsi="Calibri" w:cs="Calibri"/>
          <w:szCs w:val="22"/>
        </w:rPr>
        <w:t xml:space="preserve">. </w:t>
      </w:r>
    </w:p>
    <w:p w:rsidR="00242C36" w:rsidRPr="00E43137" w:rsidRDefault="00242C36" w:rsidP="00242C36">
      <w:pPr>
        <w:rPr>
          <w:szCs w:val="22"/>
        </w:rPr>
      </w:pPr>
    </w:p>
    <w:p w:rsidR="00242C36" w:rsidRPr="00E43137" w:rsidRDefault="007D119F" w:rsidP="00242C36">
      <w:pPr>
        <w:rPr>
          <w:b/>
          <w:szCs w:val="22"/>
        </w:rPr>
      </w:pPr>
      <w:r>
        <w:rPr>
          <w:rFonts w:ascii="Calibri" w:hAnsi="Calibri" w:cs="Calibri"/>
          <w:b/>
          <w:iCs/>
          <w:szCs w:val="22"/>
        </w:rPr>
        <w:t xml:space="preserve">Tabuľka 24: </w:t>
      </w:r>
      <w:r w:rsidR="00242C36" w:rsidRPr="00E43137">
        <w:rPr>
          <w:rFonts w:ascii="Calibri" w:hAnsi="Calibri" w:cs="Calibri"/>
          <w:b/>
          <w:iCs/>
          <w:szCs w:val="22"/>
        </w:rPr>
        <w:t>Vplyv základných faktorov na objem výroby</w:t>
      </w:r>
    </w:p>
    <w:tbl>
      <w:tblPr>
        <w:tblStyle w:val="Strednpodfarbenie1zvraznenie3"/>
        <w:tblW w:w="9109" w:type="dxa"/>
        <w:tblLook w:val="00A0" w:firstRow="1" w:lastRow="0" w:firstColumn="1" w:lastColumn="0" w:noHBand="0" w:noVBand="0"/>
      </w:tblPr>
      <w:tblGrid>
        <w:gridCol w:w="3084"/>
        <w:gridCol w:w="1205"/>
        <w:gridCol w:w="1205"/>
        <w:gridCol w:w="1205"/>
        <w:gridCol w:w="1205"/>
        <w:gridCol w:w="1205"/>
      </w:tblGrid>
      <w:tr w:rsidR="00242C36" w:rsidRPr="000E300E" w:rsidTr="00242C36">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084" w:type="dxa"/>
          </w:tcPr>
          <w:p w:rsidR="00242C36" w:rsidRPr="000E300E" w:rsidRDefault="00242C36" w:rsidP="00242C36">
            <w:pPr>
              <w:rPr>
                <w:rFonts w:ascii="Calibri" w:hAnsi="Calibri"/>
                <w:b w:val="0"/>
                <w:bCs w:val="0"/>
                <w:color w:val="auto"/>
                <w:sz w:val="20"/>
                <w:szCs w:val="20"/>
                <w:lang w:eastAsia="en-US"/>
              </w:rPr>
            </w:pPr>
            <w:r w:rsidRPr="000E300E">
              <w:rPr>
                <w:rFonts w:ascii="Calibri" w:hAnsi="Calibri" w:cs="Calibri"/>
                <w:b w:val="0"/>
                <w:bCs w:val="0"/>
                <w:color w:val="auto"/>
                <w:sz w:val="20"/>
                <w:szCs w:val="20"/>
                <w:lang w:eastAsia="en-US"/>
              </w:rPr>
              <w:t>(EUR na ha p.p.)</w:t>
            </w:r>
          </w:p>
        </w:tc>
        <w:tc>
          <w:tcPr>
            <w:cnfStyle w:val="000010000000" w:firstRow="0" w:lastRow="0" w:firstColumn="0" w:lastColumn="0" w:oddVBand="1" w:evenVBand="0" w:oddHBand="0" w:evenHBand="0" w:firstRowFirstColumn="0" w:firstRowLastColumn="0" w:lastRowFirstColumn="0" w:lastRowLastColumn="0"/>
            <w:tcW w:w="1205" w:type="dxa"/>
          </w:tcPr>
          <w:p w:rsidR="00242C36" w:rsidRPr="000E300E" w:rsidRDefault="00242C36" w:rsidP="00242C36">
            <w:pPr>
              <w:jc w:val="right"/>
              <w:rPr>
                <w:rFonts w:ascii="Calibri" w:hAnsi="Calibri"/>
                <w:b w:val="0"/>
                <w:bCs w:val="0"/>
                <w:color w:val="auto"/>
                <w:sz w:val="20"/>
                <w:szCs w:val="20"/>
                <w:lang w:eastAsia="en-US"/>
              </w:rPr>
            </w:pPr>
            <w:r w:rsidRPr="000E300E">
              <w:rPr>
                <w:rFonts w:ascii="Calibri" w:hAnsi="Calibri" w:cs="Calibri"/>
                <w:b w:val="0"/>
                <w:bCs w:val="0"/>
                <w:color w:val="auto"/>
                <w:sz w:val="20"/>
                <w:szCs w:val="20"/>
                <w:lang w:eastAsia="en-US"/>
              </w:rPr>
              <w:t>2010</w:t>
            </w:r>
          </w:p>
        </w:tc>
        <w:tc>
          <w:tcPr>
            <w:tcW w:w="1205" w:type="dxa"/>
          </w:tcPr>
          <w:p w:rsidR="00242C36" w:rsidRPr="000E300E" w:rsidRDefault="00242C36" w:rsidP="00242C36">
            <w:pPr>
              <w:jc w:val="right"/>
              <w:cnfStyle w:val="100000000000" w:firstRow="1" w:lastRow="0" w:firstColumn="0" w:lastColumn="0" w:oddVBand="0" w:evenVBand="0" w:oddHBand="0" w:evenHBand="0" w:firstRowFirstColumn="0" w:firstRowLastColumn="0" w:lastRowFirstColumn="0" w:lastRowLastColumn="0"/>
              <w:rPr>
                <w:rFonts w:ascii="Calibri" w:hAnsi="Calibri"/>
                <w:b w:val="0"/>
                <w:bCs w:val="0"/>
                <w:color w:val="auto"/>
                <w:sz w:val="20"/>
                <w:szCs w:val="20"/>
                <w:lang w:eastAsia="en-US"/>
              </w:rPr>
            </w:pPr>
            <w:r w:rsidRPr="000E300E">
              <w:rPr>
                <w:rFonts w:ascii="Calibri" w:hAnsi="Calibri" w:cs="Calibri"/>
                <w:b w:val="0"/>
                <w:bCs w:val="0"/>
                <w:color w:val="auto"/>
                <w:sz w:val="20"/>
                <w:szCs w:val="20"/>
                <w:lang w:eastAsia="en-US"/>
              </w:rPr>
              <w:t>2011</w:t>
            </w:r>
          </w:p>
        </w:tc>
        <w:tc>
          <w:tcPr>
            <w:cnfStyle w:val="000010000000" w:firstRow="0" w:lastRow="0" w:firstColumn="0" w:lastColumn="0" w:oddVBand="1" w:evenVBand="0" w:oddHBand="0" w:evenHBand="0" w:firstRowFirstColumn="0" w:firstRowLastColumn="0" w:lastRowFirstColumn="0" w:lastRowLastColumn="0"/>
            <w:tcW w:w="1205" w:type="dxa"/>
          </w:tcPr>
          <w:p w:rsidR="00242C36" w:rsidRPr="000E300E" w:rsidRDefault="00242C36" w:rsidP="00242C36">
            <w:pPr>
              <w:jc w:val="right"/>
              <w:rPr>
                <w:rFonts w:ascii="Calibri" w:hAnsi="Calibri" w:cs="Calibri"/>
                <w:b w:val="0"/>
                <w:bCs w:val="0"/>
                <w:color w:val="auto"/>
                <w:sz w:val="20"/>
                <w:szCs w:val="20"/>
                <w:lang w:eastAsia="en-US"/>
              </w:rPr>
            </w:pPr>
            <w:r w:rsidRPr="000E300E">
              <w:rPr>
                <w:rFonts w:ascii="Calibri" w:hAnsi="Calibri"/>
                <w:color w:val="auto"/>
                <w:sz w:val="20"/>
                <w:szCs w:val="20"/>
              </w:rPr>
              <w:t>2012</w:t>
            </w:r>
          </w:p>
        </w:tc>
        <w:tc>
          <w:tcPr>
            <w:tcW w:w="1205" w:type="dxa"/>
          </w:tcPr>
          <w:p w:rsidR="00242C36" w:rsidRPr="000E300E" w:rsidRDefault="00242C36" w:rsidP="00242C36">
            <w:pPr>
              <w:jc w:val="right"/>
              <w:cnfStyle w:val="100000000000" w:firstRow="1" w:lastRow="0" w:firstColumn="0" w:lastColumn="0" w:oddVBand="0" w:evenVBand="0" w:oddHBand="0" w:evenHBand="0" w:firstRowFirstColumn="0" w:firstRowLastColumn="0" w:lastRowFirstColumn="0" w:lastRowLastColumn="0"/>
              <w:rPr>
                <w:rFonts w:ascii="Calibri" w:hAnsi="Calibri" w:cs="Calibri"/>
                <w:b w:val="0"/>
                <w:bCs w:val="0"/>
                <w:color w:val="auto"/>
                <w:sz w:val="20"/>
                <w:szCs w:val="20"/>
                <w:lang w:eastAsia="en-US"/>
              </w:rPr>
            </w:pPr>
            <w:r w:rsidRPr="000E300E">
              <w:rPr>
                <w:rFonts w:ascii="Calibri" w:hAnsi="Calibri" w:cs="Calibri"/>
                <w:b w:val="0"/>
                <w:bCs w:val="0"/>
                <w:color w:val="auto"/>
                <w:sz w:val="20"/>
                <w:szCs w:val="20"/>
                <w:lang w:eastAsia="en-US"/>
              </w:rPr>
              <w:t>Rozdiel 2012-2011</w:t>
            </w:r>
          </w:p>
        </w:tc>
        <w:tc>
          <w:tcPr>
            <w:cnfStyle w:val="000010000000" w:firstRow="0" w:lastRow="0" w:firstColumn="0" w:lastColumn="0" w:oddVBand="1" w:evenVBand="0" w:oddHBand="0" w:evenHBand="0" w:firstRowFirstColumn="0" w:firstRowLastColumn="0" w:lastRowFirstColumn="0" w:lastRowLastColumn="0"/>
            <w:tcW w:w="1205" w:type="dxa"/>
          </w:tcPr>
          <w:p w:rsidR="00242C36" w:rsidRPr="000E300E" w:rsidRDefault="00242C36" w:rsidP="00242C36">
            <w:pPr>
              <w:jc w:val="right"/>
              <w:rPr>
                <w:rFonts w:ascii="Calibri" w:hAnsi="Calibri"/>
                <w:b w:val="0"/>
                <w:bCs w:val="0"/>
                <w:color w:val="auto"/>
                <w:sz w:val="20"/>
                <w:szCs w:val="20"/>
                <w:lang w:eastAsia="en-US"/>
              </w:rPr>
            </w:pPr>
            <w:r w:rsidRPr="000E300E">
              <w:rPr>
                <w:rFonts w:ascii="Calibri" w:hAnsi="Calibri" w:cs="Calibri"/>
                <w:b w:val="0"/>
                <w:bCs w:val="0"/>
                <w:color w:val="auto"/>
                <w:sz w:val="20"/>
                <w:szCs w:val="20"/>
                <w:lang w:eastAsia="en-US"/>
              </w:rPr>
              <w:t>Vplyv</w:t>
            </w:r>
          </w:p>
        </w:tc>
      </w:tr>
      <w:tr w:rsidR="00242C36" w:rsidRPr="000E300E" w:rsidTr="00242C36">
        <w:tc>
          <w:tcPr>
            <w:cnfStyle w:val="001000000000" w:firstRow="0" w:lastRow="0" w:firstColumn="1" w:lastColumn="0" w:oddVBand="0" w:evenVBand="0" w:oddHBand="0" w:evenHBand="0" w:firstRowFirstColumn="0" w:firstRowLastColumn="0" w:lastRowFirstColumn="0" w:lastRowLastColumn="0"/>
            <w:tcW w:w="3084" w:type="dxa"/>
          </w:tcPr>
          <w:p w:rsidR="00242C36" w:rsidRPr="000E300E" w:rsidRDefault="00242C36" w:rsidP="00242C36">
            <w:pPr>
              <w:rPr>
                <w:rFonts w:ascii="Calibri" w:hAnsi="Calibri"/>
                <w:b w:val="0"/>
                <w:bCs w:val="0"/>
                <w:sz w:val="20"/>
                <w:szCs w:val="20"/>
                <w:lang w:eastAsia="en-US"/>
              </w:rPr>
            </w:pPr>
            <w:r w:rsidRPr="000E300E">
              <w:rPr>
                <w:rFonts w:ascii="Calibri" w:hAnsi="Calibri" w:cs="Calibri"/>
                <w:b w:val="0"/>
                <w:bCs w:val="0"/>
                <w:sz w:val="20"/>
                <w:szCs w:val="20"/>
                <w:lang w:eastAsia="en-US"/>
              </w:rPr>
              <w:t>Výroba (V)</w:t>
            </w:r>
          </w:p>
        </w:tc>
        <w:tc>
          <w:tcPr>
            <w:cnfStyle w:val="000010000000" w:firstRow="0" w:lastRow="0" w:firstColumn="0" w:lastColumn="0" w:oddVBand="1" w:evenVBand="0" w:oddHBand="0" w:evenHBand="0" w:firstRowFirstColumn="0" w:firstRowLastColumn="0" w:lastRowFirstColumn="0" w:lastRowLastColumn="0"/>
            <w:tcW w:w="1205" w:type="dxa"/>
          </w:tcPr>
          <w:p w:rsidR="00242C36" w:rsidRPr="000E300E" w:rsidRDefault="00242C36" w:rsidP="00242C36">
            <w:pPr>
              <w:jc w:val="right"/>
              <w:rPr>
                <w:rFonts w:ascii="Calibri" w:hAnsi="Calibri"/>
                <w:sz w:val="20"/>
                <w:szCs w:val="20"/>
                <w:lang w:eastAsia="en-US"/>
              </w:rPr>
            </w:pPr>
            <w:r w:rsidRPr="000E300E">
              <w:rPr>
                <w:rFonts w:ascii="Calibri" w:hAnsi="Calibri" w:cs="Calibri"/>
                <w:sz w:val="20"/>
                <w:szCs w:val="20"/>
                <w:lang w:eastAsia="en-US"/>
              </w:rPr>
              <w:t>938,20</w:t>
            </w:r>
          </w:p>
        </w:tc>
        <w:tc>
          <w:tcPr>
            <w:tcW w:w="1205" w:type="dxa"/>
          </w:tcPr>
          <w:p w:rsidR="00242C36" w:rsidRPr="000E300E" w:rsidRDefault="00242C36" w:rsidP="00242C36">
            <w:pPr>
              <w:jc w:val="right"/>
              <w:cnfStyle w:val="000000000000" w:firstRow="0" w:lastRow="0" w:firstColumn="0" w:lastColumn="0" w:oddVBand="0" w:evenVBand="0" w:oddHBand="0" w:evenHBand="0" w:firstRowFirstColumn="0" w:firstRowLastColumn="0" w:lastRowFirstColumn="0" w:lastRowLastColumn="0"/>
              <w:rPr>
                <w:rFonts w:ascii="Calibri" w:hAnsi="Calibri"/>
                <w:sz w:val="20"/>
                <w:szCs w:val="20"/>
                <w:lang w:eastAsia="en-US"/>
              </w:rPr>
            </w:pPr>
            <w:r w:rsidRPr="000E300E">
              <w:rPr>
                <w:rFonts w:ascii="Calibri" w:hAnsi="Calibri" w:cs="Calibri"/>
                <w:sz w:val="20"/>
                <w:szCs w:val="20"/>
                <w:lang w:eastAsia="en-US"/>
              </w:rPr>
              <w:t>1159,40</w:t>
            </w:r>
          </w:p>
        </w:tc>
        <w:tc>
          <w:tcPr>
            <w:cnfStyle w:val="000010000000" w:firstRow="0" w:lastRow="0" w:firstColumn="0" w:lastColumn="0" w:oddVBand="1" w:evenVBand="0" w:oddHBand="0" w:evenHBand="0" w:firstRowFirstColumn="0" w:firstRowLastColumn="0" w:lastRowFirstColumn="0" w:lastRowLastColumn="0"/>
            <w:tcW w:w="1205" w:type="dxa"/>
          </w:tcPr>
          <w:p w:rsidR="00242C36" w:rsidRPr="000E300E" w:rsidRDefault="00242C36" w:rsidP="00242C36">
            <w:pPr>
              <w:jc w:val="right"/>
              <w:rPr>
                <w:rFonts w:ascii="Calibri" w:hAnsi="Calibri" w:cs="Calibri"/>
                <w:sz w:val="20"/>
                <w:szCs w:val="20"/>
                <w:lang w:eastAsia="en-US"/>
              </w:rPr>
            </w:pPr>
            <w:r w:rsidRPr="000E300E">
              <w:rPr>
                <w:rFonts w:ascii="Calibri" w:hAnsi="Calibri"/>
                <w:sz w:val="20"/>
                <w:szCs w:val="20"/>
              </w:rPr>
              <w:t>1128,3</w:t>
            </w:r>
          </w:p>
        </w:tc>
        <w:tc>
          <w:tcPr>
            <w:tcW w:w="1205" w:type="dxa"/>
          </w:tcPr>
          <w:p w:rsidR="00242C36" w:rsidRPr="000E300E" w:rsidRDefault="00242C36" w:rsidP="00242C36">
            <w:pPr>
              <w:jc w:val="right"/>
              <w:cnfStyle w:val="000000000000" w:firstRow="0" w:lastRow="0" w:firstColumn="0" w:lastColumn="0" w:oddVBand="0" w:evenVBand="0" w:oddHBand="0" w:evenHBand="0" w:firstRowFirstColumn="0" w:firstRowLastColumn="0" w:lastRowFirstColumn="0" w:lastRowLastColumn="0"/>
              <w:rPr>
                <w:rFonts w:ascii="Calibri" w:hAnsi="Calibri" w:cs="Calibri"/>
                <w:sz w:val="20"/>
                <w:szCs w:val="20"/>
                <w:lang w:eastAsia="en-US"/>
              </w:rPr>
            </w:pPr>
            <w:r w:rsidRPr="000E300E">
              <w:rPr>
                <w:rFonts w:ascii="Calibri" w:hAnsi="Calibri"/>
                <w:sz w:val="20"/>
                <w:szCs w:val="20"/>
              </w:rPr>
              <w:t>-31,1</w:t>
            </w:r>
          </w:p>
        </w:tc>
        <w:tc>
          <w:tcPr>
            <w:cnfStyle w:val="000010000000" w:firstRow="0" w:lastRow="0" w:firstColumn="0" w:lastColumn="0" w:oddVBand="1" w:evenVBand="0" w:oddHBand="0" w:evenHBand="0" w:firstRowFirstColumn="0" w:firstRowLastColumn="0" w:lastRowFirstColumn="0" w:lastRowLastColumn="0"/>
            <w:tcW w:w="1205" w:type="dxa"/>
          </w:tcPr>
          <w:p w:rsidR="00242C36" w:rsidRPr="000E300E" w:rsidRDefault="00242C36" w:rsidP="00242C36">
            <w:pPr>
              <w:jc w:val="right"/>
              <w:rPr>
                <w:rFonts w:ascii="Calibri" w:hAnsi="Calibri"/>
                <w:sz w:val="20"/>
                <w:szCs w:val="20"/>
                <w:lang w:eastAsia="en-US"/>
              </w:rPr>
            </w:pPr>
            <w:r w:rsidRPr="000E300E">
              <w:rPr>
                <w:rFonts w:ascii="Calibri" w:hAnsi="Calibri" w:cs="Calibri"/>
                <w:sz w:val="20"/>
                <w:szCs w:val="20"/>
                <w:lang w:eastAsia="en-US"/>
              </w:rPr>
              <w:t xml:space="preserve"> </w:t>
            </w:r>
          </w:p>
        </w:tc>
      </w:tr>
      <w:tr w:rsidR="00242C36" w:rsidRPr="000E300E" w:rsidTr="00242C36">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084" w:type="dxa"/>
          </w:tcPr>
          <w:p w:rsidR="00242C36" w:rsidRPr="000E300E" w:rsidRDefault="00242C36" w:rsidP="00242C36">
            <w:pPr>
              <w:rPr>
                <w:rFonts w:ascii="Calibri" w:hAnsi="Calibri"/>
                <w:b w:val="0"/>
                <w:bCs w:val="0"/>
                <w:sz w:val="20"/>
                <w:szCs w:val="20"/>
                <w:lang w:eastAsia="en-US"/>
              </w:rPr>
            </w:pPr>
            <w:r w:rsidRPr="000E300E">
              <w:rPr>
                <w:rFonts w:ascii="Calibri" w:hAnsi="Calibri" w:cs="Calibri"/>
                <w:b w:val="0"/>
                <w:bCs w:val="0"/>
                <w:sz w:val="20"/>
                <w:szCs w:val="20"/>
                <w:lang w:eastAsia="en-US"/>
              </w:rPr>
              <w:t>Materiál, energie, služby (MAT)</w:t>
            </w:r>
          </w:p>
        </w:tc>
        <w:tc>
          <w:tcPr>
            <w:cnfStyle w:val="000010000000" w:firstRow="0" w:lastRow="0" w:firstColumn="0" w:lastColumn="0" w:oddVBand="1" w:evenVBand="0" w:oddHBand="0" w:evenHBand="0" w:firstRowFirstColumn="0" w:firstRowLastColumn="0" w:lastRowFirstColumn="0" w:lastRowLastColumn="0"/>
            <w:tcW w:w="1205" w:type="dxa"/>
          </w:tcPr>
          <w:p w:rsidR="00242C36" w:rsidRPr="000E300E" w:rsidRDefault="00242C36" w:rsidP="00242C36">
            <w:pPr>
              <w:jc w:val="right"/>
              <w:rPr>
                <w:rFonts w:ascii="Calibri" w:hAnsi="Calibri"/>
                <w:sz w:val="20"/>
                <w:szCs w:val="20"/>
                <w:lang w:eastAsia="en-US"/>
              </w:rPr>
            </w:pPr>
            <w:r w:rsidRPr="000E300E">
              <w:rPr>
                <w:rFonts w:ascii="Calibri" w:hAnsi="Calibri" w:cs="Calibri"/>
                <w:sz w:val="20"/>
                <w:szCs w:val="20"/>
                <w:lang w:eastAsia="en-US"/>
              </w:rPr>
              <w:t>554,10</w:t>
            </w:r>
          </w:p>
        </w:tc>
        <w:tc>
          <w:tcPr>
            <w:tcW w:w="1205" w:type="dxa"/>
          </w:tcPr>
          <w:p w:rsidR="00242C36" w:rsidRPr="000E300E" w:rsidRDefault="00242C36" w:rsidP="00242C36">
            <w:pPr>
              <w:jc w:val="right"/>
              <w:cnfStyle w:val="000000010000" w:firstRow="0" w:lastRow="0" w:firstColumn="0" w:lastColumn="0" w:oddVBand="0" w:evenVBand="0" w:oddHBand="0" w:evenHBand="1" w:firstRowFirstColumn="0" w:firstRowLastColumn="0" w:lastRowFirstColumn="0" w:lastRowLastColumn="0"/>
              <w:rPr>
                <w:rFonts w:ascii="Calibri" w:hAnsi="Calibri"/>
                <w:sz w:val="20"/>
                <w:szCs w:val="20"/>
                <w:lang w:eastAsia="en-US"/>
              </w:rPr>
            </w:pPr>
            <w:r w:rsidRPr="000E300E">
              <w:rPr>
                <w:rFonts w:ascii="Calibri" w:hAnsi="Calibri" w:cs="Calibri"/>
                <w:sz w:val="20"/>
                <w:szCs w:val="20"/>
                <w:lang w:eastAsia="en-US"/>
              </w:rPr>
              <w:t>656,90</w:t>
            </w:r>
          </w:p>
        </w:tc>
        <w:tc>
          <w:tcPr>
            <w:cnfStyle w:val="000010000000" w:firstRow="0" w:lastRow="0" w:firstColumn="0" w:lastColumn="0" w:oddVBand="1" w:evenVBand="0" w:oddHBand="0" w:evenHBand="0" w:firstRowFirstColumn="0" w:firstRowLastColumn="0" w:lastRowFirstColumn="0" w:lastRowLastColumn="0"/>
            <w:tcW w:w="1205" w:type="dxa"/>
          </w:tcPr>
          <w:p w:rsidR="00242C36" w:rsidRPr="000E300E" w:rsidRDefault="00242C36" w:rsidP="00242C36">
            <w:pPr>
              <w:jc w:val="right"/>
              <w:rPr>
                <w:rFonts w:ascii="Calibri" w:hAnsi="Calibri" w:cs="Calibri"/>
                <w:sz w:val="20"/>
                <w:szCs w:val="20"/>
                <w:lang w:eastAsia="en-US"/>
              </w:rPr>
            </w:pPr>
            <w:r w:rsidRPr="000E300E">
              <w:rPr>
                <w:rFonts w:ascii="Calibri" w:hAnsi="Calibri"/>
                <w:sz w:val="20"/>
                <w:szCs w:val="20"/>
              </w:rPr>
              <w:t>658,78</w:t>
            </w:r>
          </w:p>
        </w:tc>
        <w:tc>
          <w:tcPr>
            <w:tcW w:w="1205" w:type="dxa"/>
          </w:tcPr>
          <w:p w:rsidR="00242C36" w:rsidRPr="000E300E" w:rsidRDefault="00242C36" w:rsidP="00242C36">
            <w:pPr>
              <w:jc w:val="right"/>
              <w:cnfStyle w:val="000000010000" w:firstRow="0" w:lastRow="0" w:firstColumn="0" w:lastColumn="0" w:oddVBand="0" w:evenVBand="0" w:oddHBand="0" w:evenHBand="1" w:firstRowFirstColumn="0" w:firstRowLastColumn="0" w:lastRowFirstColumn="0" w:lastRowLastColumn="0"/>
              <w:rPr>
                <w:rFonts w:ascii="Calibri" w:hAnsi="Calibri" w:cs="Calibri"/>
                <w:sz w:val="20"/>
                <w:szCs w:val="20"/>
                <w:lang w:eastAsia="en-US"/>
              </w:rPr>
            </w:pPr>
            <w:r w:rsidRPr="000E300E">
              <w:rPr>
                <w:rFonts w:ascii="Calibri" w:hAnsi="Calibri"/>
                <w:sz w:val="20"/>
                <w:szCs w:val="20"/>
              </w:rPr>
              <w:t>1,88</w:t>
            </w:r>
          </w:p>
        </w:tc>
        <w:tc>
          <w:tcPr>
            <w:cnfStyle w:val="000010000000" w:firstRow="0" w:lastRow="0" w:firstColumn="0" w:lastColumn="0" w:oddVBand="1" w:evenVBand="0" w:oddHBand="0" w:evenHBand="0" w:firstRowFirstColumn="0" w:firstRowLastColumn="0" w:lastRowFirstColumn="0" w:lastRowLastColumn="0"/>
            <w:tcW w:w="1205" w:type="dxa"/>
          </w:tcPr>
          <w:p w:rsidR="00242C36" w:rsidRPr="000E300E" w:rsidRDefault="00242C36" w:rsidP="00242C36">
            <w:pPr>
              <w:jc w:val="right"/>
              <w:rPr>
                <w:rFonts w:ascii="Calibri" w:hAnsi="Calibri"/>
                <w:sz w:val="20"/>
                <w:szCs w:val="20"/>
                <w:lang w:eastAsia="en-US"/>
              </w:rPr>
            </w:pPr>
            <w:r w:rsidRPr="000E300E">
              <w:rPr>
                <w:rFonts w:ascii="Calibri" w:hAnsi="Calibri" w:cs="Calibri"/>
                <w:sz w:val="20"/>
                <w:szCs w:val="20"/>
                <w:lang w:eastAsia="en-US"/>
              </w:rPr>
              <w:t xml:space="preserve"> </w:t>
            </w:r>
          </w:p>
        </w:tc>
      </w:tr>
      <w:tr w:rsidR="00242C36" w:rsidRPr="000E300E" w:rsidTr="00242C36">
        <w:tc>
          <w:tcPr>
            <w:cnfStyle w:val="001000000000" w:firstRow="0" w:lastRow="0" w:firstColumn="1" w:lastColumn="0" w:oddVBand="0" w:evenVBand="0" w:oddHBand="0" w:evenHBand="0" w:firstRowFirstColumn="0" w:firstRowLastColumn="0" w:lastRowFirstColumn="0" w:lastRowLastColumn="0"/>
            <w:tcW w:w="3084" w:type="dxa"/>
          </w:tcPr>
          <w:p w:rsidR="00242C36" w:rsidRPr="000E300E" w:rsidRDefault="00242C36" w:rsidP="00242C36">
            <w:pPr>
              <w:rPr>
                <w:rFonts w:ascii="Calibri" w:hAnsi="Calibri"/>
                <w:b w:val="0"/>
                <w:bCs w:val="0"/>
                <w:sz w:val="20"/>
                <w:szCs w:val="20"/>
                <w:lang w:eastAsia="en-US"/>
              </w:rPr>
            </w:pPr>
            <w:r w:rsidRPr="000E300E">
              <w:rPr>
                <w:rFonts w:ascii="Calibri" w:hAnsi="Calibri" w:cs="Calibri"/>
                <w:b w:val="0"/>
                <w:bCs w:val="0"/>
                <w:sz w:val="20"/>
                <w:szCs w:val="20"/>
                <w:lang w:eastAsia="en-US"/>
              </w:rPr>
              <w:t>Dlhodobý hmotný majetok (Stroje)</w:t>
            </w:r>
          </w:p>
        </w:tc>
        <w:tc>
          <w:tcPr>
            <w:cnfStyle w:val="000010000000" w:firstRow="0" w:lastRow="0" w:firstColumn="0" w:lastColumn="0" w:oddVBand="1" w:evenVBand="0" w:oddHBand="0" w:evenHBand="0" w:firstRowFirstColumn="0" w:firstRowLastColumn="0" w:lastRowFirstColumn="0" w:lastRowLastColumn="0"/>
            <w:tcW w:w="1205" w:type="dxa"/>
          </w:tcPr>
          <w:p w:rsidR="00242C36" w:rsidRPr="000E300E" w:rsidRDefault="00242C36" w:rsidP="00242C36">
            <w:pPr>
              <w:jc w:val="right"/>
              <w:rPr>
                <w:rFonts w:ascii="Calibri" w:hAnsi="Calibri"/>
                <w:sz w:val="20"/>
                <w:szCs w:val="20"/>
                <w:lang w:eastAsia="en-US"/>
              </w:rPr>
            </w:pPr>
            <w:r w:rsidRPr="000E300E">
              <w:rPr>
                <w:rFonts w:ascii="Calibri" w:hAnsi="Calibri" w:cs="Calibri"/>
                <w:sz w:val="20"/>
                <w:szCs w:val="20"/>
                <w:lang w:eastAsia="en-US"/>
              </w:rPr>
              <w:t>1 434,30</w:t>
            </w:r>
          </w:p>
        </w:tc>
        <w:tc>
          <w:tcPr>
            <w:tcW w:w="1205" w:type="dxa"/>
          </w:tcPr>
          <w:p w:rsidR="00242C36" w:rsidRPr="000E300E" w:rsidRDefault="00242C36" w:rsidP="00242C36">
            <w:pPr>
              <w:jc w:val="right"/>
              <w:cnfStyle w:val="000000000000" w:firstRow="0" w:lastRow="0" w:firstColumn="0" w:lastColumn="0" w:oddVBand="0" w:evenVBand="0" w:oddHBand="0" w:evenHBand="0" w:firstRowFirstColumn="0" w:firstRowLastColumn="0" w:lastRowFirstColumn="0" w:lastRowLastColumn="0"/>
              <w:rPr>
                <w:rFonts w:ascii="Calibri" w:hAnsi="Calibri"/>
                <w:sz w:val="20"/>
                <w:szCs w:val="20"/>
                <w:lang w:eastAsia="en-US"/>
              </w:rPr>
            </w:pPr>
            <w:r w:rsidRPr="000E300E">
              <w:rPr>
                <w:rFonts w:ascii="Calibri" w:hAnsi="Calibri" w:cs="Calibri"/>
                <w:sz w:val="20"/>
                <w:szCs w:val="20"/>
                <w:lang w:eastAsia="en-US"/>
              </w:rPr>
              <w:t>1 478,60</w:t>
            </w:r>
          </w:p>
        </w:tc>
        <w:tc>
          <w:tcPr>
            <w:cnfStyle w:val="000010000000" w:firstRow="0" w:lastRow="0" w:firstColumn="0" w:lastColumn="0" w:oddVBand="1" w:evenVBand="0" w:oddHBand="0" w:evenHBand="0" w:firstRowFirstColumn="0" w:firstRowLastColumn="0" w:lastRowFirstColumn="0" w:lastRowLastColumn="0"/>
            <w:tcW w:w="1205" w:type="dxa"/>
          </w:tcPr>
          <w:p w:rsidR="00242C36" w:rsidRPr="000E300E" w:rsidRDefault="00242C36" w:rsidP="00242C36">
            <w:pPr>
              <w:jc w:val="right"/>
              <w:rPr>
                <w:rFonts w:ascii="Calibri" w:hAnsi="Calibri" w:cs="Calibri"/>
                <w:sz w:val="20"/>
                <w:szCs w:val="20"/>
                <w:lang w:eastAsia="en-US"/>
              </w:rPr>
            </w:pPr>
            <w:r w:rsidRPr="000E300E">
              <w:rPr>
                <w:rFonts w:ascii="Calibri" w:hAnsi="Calibri"/>
                <w:sz w:val="20"/>
                <w:szCs w:val="20"/>
              </w:rPr>
              <w:t>1468,00</w:t>
            </w:r>
          </w:p>
        </w:tc>
        <w:tc>
          <w:tcPr>
            <w:tcW w:w="1205" w:type="dxa"/>
          </w:tcPr>
          <w:p w:rsidR="00242C36" w:rsidRPr="000E300E" w:rsidRDefault="00242C36" w:rsidP="00242C36">
            <w:pPr>
              <w:jc w:val="right"/>
              <w:cnfStyle w:val="000000000000" w:firstRow="0" w:lastRow="0" w:firstColumn="0" w:lastColumn="0" w:oddVBand="0" w:evenVBand="0" w:oddHBand="0" w:evenHBand="0" w:firstRowFirstColumn="0" w:firstRowLastColumn="0" w:lastRowFirstColumn="0" w:lastRowLastColumn="0"/>
              <w:rPr>
                <w:rFonts w:ascii="Calibri" w:hAnsi="Calibri" w:cs="Calibri"/>
                <w:sz w:val="20"/>
                <w:szCs w:val="20"/>
                <w:lang w:eastAsia="en-US"/>
              </w:rPr>
            </w:pPr>
            <w:r w:rsidRPr="000E300E">
              <w:rPr>
                <w:rFonts w:ascii="Calibri" w:hAnsi="Calibri"/>
                <w:sz w:val="20"/>
                <w:szCs w:val="20"/>
              </w:rPr>
              <w:t>-10,6</w:t>
            </w:r>
          </w:p>
        </w:tc>
        <w:tc>
          <w:tcPr>
            <w:cnfStyle w:val="000010000000" w:firstRow="0" w:lastRow="0" w:firstColumn="0" w:lastColumn="0" w:oddVBand="1" w:evenVBand="0" w:oddHBand="0" w:evenHBand="0" w:firstRowFirstColumn="0" w:firstRowLastColumn="0" w:lastRowFirstColumn="0" w:lastRowLastColumn="0"/>
            <w:tcW w:w="1205" w:type="dxa"/>
          </w:tcPr>
          <w:p w:rsidR="00242C36" w:rsidRPr="000E300E" w:rsidRDefault="00242C36" w:rsidP="00242C36">
            <w:pPr>
              <w:jc w:val="right"/>
              <w:rPr>
                <w:rFonts w:ascii="Calibri" w:hAnsi="Calibri"/>
                <w:sz w:val="20"/>
                <w:szCs w:val="20"/>
                <w:lang w:eastAsia="en-US"/>
              </w:rPr>
            </w:pPr>
            <w:r w:rsidRPr="000E300E">
              <w:rPr>
                <w:rFonts w:ascii="Calibri" w:hAnsi="Calibri" w:cs="Calibri"/>
                <w:sz w:val="20"/>
                <w:szCs w:val="20"/>
                <w:lang w:eastAsia="en-US"/>
              </w:rPr>
              <w:t xml:space="preserve"> </w:t>
            </w:r>
          </w:p>
        </w:tc>
      </w:tr>
      <w:tr w:rsidR="00242C36" w:rsidRPr="000E300E" w:rsidTr="00242C36">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084" w:type="dxa"/>
          </w:tcPr>
          <w:p w:rsidR="00242C36" w:rsidRPr="000E300E" w:rsidRDefault="00242C36" w:rsidP="00242C36">
            <w:pPr>
              <w:rPr>
                <w:rFonts w:ascii="Calibri" w:hAnsi="Calibri"/>
                <w:b w:val="0"/>
                <w:bCs w:val="0"/>
                <w:sz w:val="20"/>
                <w:szCs w:val="20"/>
                <w:lang w:eastAsia="en-US"/>
              </w:rPr>
            </w:pPr>
            <w:r w:rsidRPr="000E300E">
              <w:rPr>
                <w:rFonts w:ascii="Calibri" w:hAnsi="Calibri" w:cs="Calibri"/>
                <w:b w:val="0"/>
                <w:bCs w:val="0"/>
                <w:sz w:val="20"/>
                <w:szCs w:val="20"/>
                <w:lang w:eastAsia="en-US"/>
              </w:rPr>
              <w:t>V/MAT</w:t>
            </w:r>
          </w:p>
        </w:tc>
        <w:tc>
          <w:tcPr>
            <w:cnfStyle w:val="000010000000" w:firstRow="0" w:lastRow="0" w:firstColumn="0" w:lastColumn="0" w:oddVBand="1" w:evenVBand="0" w:oddHBand="0" w:evenHBand="0" w:firstRowFirstColumn="0" w:firstRowLastColumn="0" w:lastRowFirstColumn="0" w:lastRowLastColumn="0"/>
            <w:tcW w:w="1205" w:type="dxa"/>
          </w:tcPr>
          <w:p w:rsidR="00242C36" w:rsidRPr="000E300E" w:rsidRDefault="00242C36" w:rsidP="00242C36">
            <w:pPr>
              <w:jc w:val="right"/>
              <w:rPr>
                <w:rFonts w:ascii="Calibri" w:hAnsi="Calibri"/>
                <w:sz w:val="20"/>
                <w:szCs w:val="20"/>
                <w:lang w:eastAsia="en-US"/>
              </w:rPr>
            </w:pPr>
            <w:r w:rsidRPr="000E300E">
              <w:rPr>
                <w:rFonts w:ascii="Calibri" w:hAnsi="Calibri" w:cs="Calibri"/>
                <w:sz w:val="20"/>
                <w:szCs w:val="20"/>
                <w:lang w:eastAsia="en-US"/>
              </w:rPr>
              <w:t>1,69</w:t>
            </w:r>
          </w:p>
        </w:tc>
        <w:tc>
          <w:tcPr>
            <w:tcW w:w="1205" w:type="dxa"/>
          </w:tcPr>
          <w:p w:rsidR="00242C36" w:rsidRPr="000E300E" w:rsidRDefault="00242C36" w:rsidP="00242C36">
            <w:pPr>
              <w:jc w:val="right"/>
              <w:cnfStyle w:val="000000010000" w:firstRow="0" w:lastRow="0" w:firstColumn="0" w:lastColumn="0" w:oddVBand="0" w:evenVBand="0" w:oddHBand="0" w:evenHBand="1" w:firstRowFirstColumn="0" w:firstRowLastColumn="0" w:lastRowFirstColumn="0" w:lastRowLastColumn="0"/>
              <w:rPr>
                <w:rFonts w:ascii="Calibri" w:hAnsi="Calibri"/>
                <w:sz w:val="20"/>
                <w:szCs w:val="20"/>
                <w:lang w:eastAsia="en-US"/>
              </w:rPr>
            </w:pPr>
            <w:r w:rsidRPr="000E300E">
              <w:rPr>
                <w:rFonts w:ascii="Calibri" w:hAnsi="Calibri" w:cs="Calibri"/>
                <w:sz w:val="20"/>
                <w:szCs w:val="20"/>
                <w:lang w:eastAsia="en-US"/>
              </w:rPr>
              <w:t>1,77</w:t>
            </w:r>
          </w:p>
        </w:tc>
        <w:tc>
          <w:tcPr>
            <w:cnfStyle w:val="000010000000" w:firstRow="0" w:lastRow="0" w:firstColumn="0" w:lastColumn="0" w:oddVBand="1" w:evenVBand="0" w:oddHBand="0" w:evenHBand="0" w:firstRowFirstColumn="0" w:firstRowLastColumn="0" w:lastRowFirstColumn="0" w:lastRowLastColumn="0"/>
            <w:tcW w:w="1205" w:type="dxa"/>
          </w:tcPr>
          <w:p w:rsidR="00242C36" w:rsidRPr="000E300E" w:rsidRDefault="00242C36" w:rsidP="00242C36">
            <w:pPr>
              <w:jc w:val="right"/>
              <w:rPr>
                <w:rFonts w:ascii="Calibri" w:hAnsi="Calibri" w:cs="Calibri"/>
                <w:sz w:val="20"/>
                <w:szCs w:val="20"/>
                <w:lang w:eastAsia="en-US"/>
              </w:rPr>
            </w:pPr>
            <w:r w:rsidRPr="000E300E">
              <w:rPr>
                <w:rFonts w:ascii="Calibri" w:hAnsi="Calibri"/>
                <w:sz w:val="20"/>
                <w:szCs w:val="20"/>
              </w:rPr>
              <w:t>1,71</w:t>
            </w:r>
          </w:p>
        </w:tc>
        <w:tc>
          <w:tcPr>
            <w:tcW w:w="1205" w:type="dxa"/>
          </w:tcPr>
          <w:p w:rsidR="00242C36" w:rsidRPr="000E300E" w:rsidRDefault="00242C36" w:rsidP="00242C36">
            <w:pPr>
              <w:jc w:val="right"/>
              <w:cnfStyle w:val="000000010000" w:firstRow="0" w:lastRow="0" w:firstColumn="0" w:lastColumn="0" w:oddVBand="0" w:evenVBand="0" w:oddHBand="0" w:evenHBand="1" w:firstRowFirstColumn="0" w:firstRowLastColumn="0" w:lastRowFirstColumn="0" w:lastRowLastColumn="0"/>
              <w:rPr>
                <w:rFonts w:ascii="Calibri" w:hAnsi="Calibri" w:cs="Calibri"/>
                <w:sz w:val="20"/>
                <w:szCs w:val="20"/>
                <w:lang w:eastAsia="en-US"/>
              </w:rPr>
            </w:pPr>
            <w:r w:rsidRPr="000E300E">
              <w:rPr>
                <w:rFonts w:ascii="Calibri" w:hAnsi="Calibri" w:cs="Calibri"/>
                <w:sz w:val="20"/>
                <w:szCs w:val="20"/>
                <w:lang w:eastAsia="en-US"/>
              </w:rPr>
              <w:t xml:space="preserve"> </w:t>
            </w:r>
          </w:p>
        </w:tc>
        <w:tc>
          <w:tcPr>
            <w:cnfStyle w:val="000010000000" w:firstRow="0" w:lastRow="0" w:firstColumn="0" w:lastColumn="0" w:oddVBand="1" w:evenVBand="0" w:oddHBand="0" w:evenHBand="0" w:firstRowFirstColumn="0" w:firstRowLastColumn="0" w:lastRowFirstColumn="0" w:lastRowLastColumn="0"/>
            <w:tcW w:w="1205" w:type="dxa"/>
          </w:tcPr>
          <w:p w:rsidR="00242C36" w:rsidRPr="000E300E" w:rsidRDefault="00242C36" w:rsidP="00242C36">
            <w:pPr>
              <w:jc w:val="right"/>
              <w:rPr>
                <w:rFonts w:ascii="Calibri" w:hAnsi="Calibri"/>
                <w:sz w:val="20"/>
                <w:szCs w:val="20"/>
                <w:lang w:eastAsia="en-US"/>
              </w:rPr>
            </w:pPr>
            <w:r w:rsidRPr="000E300E">
              <w:rPr>
                <w:rFonts w:ascii="Calibri" w:hAnsi="Calibri" w:cs="Calibri"/>
                <w:sz w:val="20"/>
                <w:szCs w:val="20"/>
                <w:lang w:eastAsia="en-US"/>
              </w:rPr>
              <w:t>43,39</w:t>
            </w:r>
          </w:p>
        </w:tc>
      </w:tr>
      <w:tr w:rsidR="00242C36" w:rsidRPr="000E300E" w:rsidTr="00242C36">
        <w:tc>
          <w:tcPr>
            <w:cnfStyle w:val="001000000000" w:firstRow="0" w:lastRow="0" w:firstColumn="1" w:lastColumn="0" w:oddVBand="0" w:evenVBand="0" w:oddHBand="0" w:evenHBand="0" w:firstRowFirstColumn="0" w:firstRowLastColumn="0" w:lastRowFirstColumn="0" w:lastRowLastColumn="0"/>
            <w:tcW w:w="3084" w:type="dxa"/>
          </w:tcPr>
          <w:p w:rsidR="00242C36" w:rsidRPr="000E300E" w:rsidRDefault="00242C36" w:rsidP="00242C36">
            <w:pPr>
              <w:rPr>
                <w:rFonts w:ascii="Calibri" w:hAnsi="Calibri"/>
                <w:b w:val="0"/>
                <w:bCs w:val="0"/>
                <w:sz w:val="20"/>
                <w:szCs w:val="20"/>
                <w:lang w:eastAsia="en-US"/>
              </w:rPr>
            </w:pPr>
            <w:r w:rsidRPr="000E300E">
              <w:rPr>
                <w:rFonts w:ascii="Calibri" w:hAnsi="Calibri" w:cs="Calibri"/>
                <w:b w:val="0"/>
                <w:bCs w:val="0"/>
                <w:sz w:val="20"/>
                <w:szCs w:val="20"/>
                <w:lang w:eastAsia="en-US"/>
              </w:rPr>
              <w:t>MAT/Stroje</w:t>
            </w:r>
          </w:p>
        </w:tc>
        <w:tc>
          <w:tcPr>
            <w:cnfStyle w:val="000010000000" w:firstRow="0" w:lastRow="0" w:firstColumn="0" w:lastColumn="0" w:oddVBand="1" w:evenVBand="0" w:oddHBand="0" w:evenHBand="0" w:firstRowFirstColumn="0" w:firstRowLastColumn="0" w:lastRowFirstColumn="0" w:lastRowLastColumn="0"/>
            <w:tcW w:w="1205" w:type="dxa"/>
          </w:tcPr>
          <w:p w:rsidR="00242C36" w:rsidRPr="000E300E" w:rsidRDefault="00242C36" w:rsidP="00242C36">
            <w:pPr>
              <w:jc w:val="right"/>
              <w:rPr>
                <w:rFonts w:ascii="Calibri" w:hAnsi="Calibri"/>
                <w:sz w:val="20"/>
                <w:szCs w:val="20"/>
                <w:lang w:eastAsia="en-US"/>
              </w:rPr>
            </w:pPr>
            <w:r w:rsidRPr="000E300E">
              <w:rPr>
                <w:rFonts w:ascii="Calibri" w:hAnsi="Calibri" w:cs="Calibri"/>
                <w:sz w:val="20"/>
                <w:szCs w:val="20"/>
                <w:lang w:eastAsia="en-US"/>
              </w:rPr>
              <w:t>0,39</w:t>
            </w:r>
          </w:p>
        </w:tc>
        <w:tc>
          <w:tcPr>
            <w:tcW w:w="1205" w:type="dxa"/>
          </w:tcPr>
          <w:p w:rsidR="00242C36" w:rsidRPr="000E300E" w:rsidRDefault="00242C36" w:rsidP="00242C36">
            <w:pPr>
              <w:jc w:val="right"/>
              <w:cnfStyle w:val="000000000000" w:firstRow="0" w:lastRow="0" w:firstColumn="0" w:lastColumn="0" w:oddVBand="0" w:evenVBand="0" w:oddHBand="0" w:evenHBand="0" w:firstRowFirstColumn="0" w:firstRowLastColumn="0" w:lastRowFirstColumn="0" w:lastRowLastColumn="0"/>
              <w:rPr>
                <w:rFonts w:ascii="Calibri" w:hAnsi="Calibri"/>
                <w:sz w:val="20"/>
                <w:szCs w:val="20"/>
                <w:lang w:eastAsia="en-US"/>
              </w:rPr>
            </w:pPr>
            <w:r w:rsidRPr="000E300E">
              <w:rPr>
                <w:rFonts w:ascii="Calibri" w:hAnsi="Calibri" w:cs="Calibri"/>
                <w:sz w:val="20"/>
                <w:szCs w:val="20"/>
                <w:lang w:eastAsia="en-US"/>
              </w:rPr>
              <w:t>0,44</w:t>
            </w:r>
          </w:p>
        </w:tc>
        <w:tc>
          <w:tcPr>
            <w:cnfStyle w:val="000010000000" w:firstRow="0" w:lastRow="0" w:firstColumn="0" w:lastColumn="0" w:oddVBand="1" w:evenVBand="0" w:oddHBand="0" w:evenHBand="0" w:firstRowFirstColumn="0" w:firstRowLastColumn="0" w:lastRowFirstColumn="0" w:lastRowLastColumn="0"/>
            <w:tcW w:w="1205" w:type="dxa"/>
          </w:tcPr>
          <w:p w:rsidR="00242C36" w:rsidRPr="000E300E" w:rsidRDefault="00242C36" w:rsidP="00242C36">
            <w:pPr>
              <w:jc w:val="right"/>
              <w:rPr>
                <w:rFonts w:ascii="Calibri" w:hAnsi="Calibri" w:cs="Calibri"/>
                <w:sz w:val="20"/>
                <w:szCs w:val="20"/>
                <w:lang w:eastAsia="en-US"/>
              </w:rPr>
            </w:pPr>
            <w:r w:rsidRPr="000E300E">
              <w:rPr>
                <w:rFonts w:ascii="Calibri" w:hAnsi="Calibri"/>
                <w:sz w:val="20"/>
                <w:szCs w:val="20"/>
              </w:rPr>
              <w:t>0,45</w:t>
            </w:r>
          </w:p>
        </w:tc>
        <w:tc>
          <w:tcPr>
            <w:tcW w:w="1205" w:type="dxa"/>
          </w:tcPr>
          <w:p w:rsidR="00242C36" w:rsidRPr="000E300E" w:rsidRDefault="00242C36" w:rsidP="00242C36">
            <w:pPr>
              <w:jc w:val="right"/>
              <w:cnfStyle w:val="000000000000" w:firstRow="0" w:lastRow="0" w:firstColumn="0" w:lastColumn="0" w:oddVBand="0" w:evenVBand="0" w:oddHBand="0" w:evenHBand="0" w:firstRowFirstColumn="0" w:firstRowLastColumn="0" w:lastRowFirstColumn="0" w:lastRowLastColumn="0"/>
              <w:rPr>
                <w:rFonts w:ascii="Calibri" w:hAnsi="Calibri" w:cs="Calibri"/>
                <w:sz w:val="20"/>
                <w:szCs w:val="20"/>
                <w:lang w:eastAsia="en-US"/>
              </w:rPr>
            </w:pPr>
            <w:r w:rsidRPr="000E300E">
              <w:rPr>
                <w:rFonts w:ascii="Calibri" w:hAnsi="Calibri" w:cs="Calibri"/>
                <w:sz w:val="20"/>
                <w:szCs w:val="20"/>
                <w:lang w:eastAsia="en-US"/>
              </w:rPr>
              <w:t xml:space="preserve"> </w:t>
            </w:r>
          </w:p>
        </w:tc>
        <w:tc>
          <w:tcPr>
            <w:cnfStyle w:val="000010000000" w:firstRow="0" w:lastRow="0" w:firstColumn="0" w:lastColumn="0" w:oddVBand="1" w:evenVBand="0" w:oddHBand="0" w:evenHBand="0" w:firstRowFirstColumn="0" w:firstRowLastColumn="0" w:lastRowFirstColumn="0" w:lastRowLastColumn="0"/>
            <w:tcW w:w="1205" w:type="dxa"/>
          </w:tcPr>
          <w:p w:rsidR="00242C36" w:rsidRPr="000E300E" w:rsidRDefault="00242C36" w:rsidP="00242C36">
            <w:pPr>
              <w:jc w:val="right"/>
              <w:rPr>
                <w:rFonts w:ascii="Calibri" w:hAnsi="Calibri"/>
                <w:sz w:val="20"/>
                <w:szCs w:val="20"/>
                <w:lang w:eastAsia="en-US"/>
              </w:rPr>
            </w:pPr>
            <w:r w:rsidRPr="000E300E">
              <w:rPr>
                <w:rFonts w:ascii="Calibri" w:hAnsi="Calibri" w:cs="Calibri"/>
                <w:sz w:val="20"/>
                <w:szCs w:val="20"/>
                <w:lang w:eastAsia="en-US"/>
              </w:rPr>
              <w:t>146,00</w:t>
            </w:r>
          </w:p>
        </w:tc>
      </w:tr>
      <w:tr w:rsidR="00242C36" w:rsidRPr="000E300E" w:rsidTr="00242C36">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084" w:type="dxa"/>
          </w:tcPr>
          <w:p w:rsidR="00242C36" w:rsidRPr="000E300E" w:rsidRDefault="00242C36" w:rsidP="00242C36">
            <w:pPr>
              <w:rPr>
                <w:rFonts w:ascii="Calibri" w:hAnsi="Calibri"/>
                <w:b w:val="0"/>
                <w:bCs w:val="0"/>
                <w:sz w:val="20"/>
                <w:szCs w:val="20"/>
                <w:lang w:eastAsia="en-US"/>
              </w:rPr>
            </w:pPr>
            <w:r w:rsidRPr="000E300E">
              <w:rPr>
                <w:rFonts w:ascii="Calibri" w:hAnsi="Calibri" w:cs="Calibri"/>
                <w:b w:val="0"/>
                <w:bCs w:val="0"/>
                <w:sz w:val="20"/>
                <w:szCs w:val="20"/>
                <w:lang w:eastAsia="en-US"/>
              </w:rPr>
              <w:t>Stroje/Prac</w:t>
            </w:r>
          </w:p>
        </w:tc>
        <w:tc>
          <w:tcPr>
            <w:cnfStyle w:val="000010000000" w:firstRow="0" w:lastRow="0" w:firstColumn="0" w:lastColumn="0" w:oddVBand="1" w:evenVBand="0" w:oddHBand="0" w:evenHBand="0" w:firstRowFirstColumn="0" w:firstRowLastColumn="0" w:lastRowFirstColumn="0" w:lastRowLastColumn="0"/>
            <w:tcW w:w="1205" w:type="dxa"/>
          </w:tcPr>
          <w:p w:rsidR="00242C36" w:rsidRPr="000E300E" w:rsidRDefault="00242C36" w:rsidP="00242C36">
            <w:pPr>
              <w:jc w:val="right"/>
              <w:rPr>
                <w:rFonts w:ascii="Calibri" w:hAnsi="Calibri"/>
                <w:sz w:val="20"/>
                <w:szCs w:val="20"/>
                <w:lang w:eastAsia="en-US"/>
              </w:rPr>
            </w:pPr>
            <w:r w:rsidRPr="000E300E">
              <w:rPr>
                <w:rFonts w:ascii="Calibri" w:hAnsi="Calibri" w:cs="Calibri"/>
                <w:sz w:val="20"/>
                <w:szCs w:val="20"/>
                <w:lang w:eastAsia="en-US"/>
              </w:rPr>
              <w:t>44 291,89</w:t>
            </w:r>
          </w:p>
        </w:tc>
        <w:tc>
          <w:tcPr>
            <w:tcW w:w="1205" w:type="dxa"/>
          </w:tcPr>
          <w:p w:rsidR="00242C36" w:rsidRPr="000E300E" w:rsidRDefault="00242C36" w:rsidP="00242C36">
            <w:pPr>
              <w:jc w:val="right"/>
              <w:cnfStyle w:val="000000010000" w:firstRow="0" w:lastRow="0" w:firstColumn="0" w:lastColumn="0" w:oddVBand="0" w:evenVBand="0" w:oddHBand="0" w:evenHBand="1" w:firstRowFirstColumn="0" w:firstRowLastColumn="0" w:lastRowFirstColumn="0" w:lastRowLastColumn="0"/>
              <w:rPr>
                <w:rFonts w:ascii="Calibri" w:hAnsi="Calibri"/>
                <w:sz w:val="20"/>
                <w:szCs w:val="20"/>
                <w:lang w:eastAsia="en-US"/>
              </w:rPr>
            </w:pPr>
            <w:r w:rsidRPr="000E300E">
              <w:rPr>
                <w:rFonts w:ascii="Calibri" w:hAnsi="Calibri" w:cs="Calibri"/>
                <w:sz w:val="20"/>
                <w:szCs w:val="20"/>
                <w:lang w:eastAsia="en-US"/>
              </w:rPr>
              <w:t>50 486,12</w:t>
            </w:r>
          </w:p>
        </w:tc>
        <w:tc>
          <w:tcPr>
            <w:cnfStyle w:val="000010000000" w:firstRow="0" w:lastRow="0" w:firstColumn="0" w:lastColumn="0" w:oddVBand="1" w:evenVBand="0" w:oddHBand="0" w:evenHBand="0" w:firstRowFirstColumn="0" w:firstRowLastColumn="0" w:lastRowFirstColumn="0" w:lastRowLastColumn="0"/>
            <w:tcW w:w="1205" w:type="dxa"/>
          </w:tcPr>
          <w:p w:rsidR="00242C36" w:rsidRPr="000E300E" w:rsidRDefault="00242C36" w:rsidP="00242C36">
            <w:pPr>
              <w:jc w:val="right"/>
              <w:rPr>
                <w:rFonts w:ascii="Calibri" w:hAnsi="Calibri" w:cs="Calibri"/>
                <w:sz w:val="20"/>
                <w:szCs w:val="20"/>
                <w:lang w:eastAsia="en-US"/>
              </w:rPr>
            </w:pPr>
            <w:r w:rsidRPr="000E300E">
              <w:rPr>
                <w:rFonts w:ascii="Calibri" w:hAnsi="Calibri"/>
                <w:sz w:val="20"/>
                <w:szCs w:val="20"/>
              </w:rPr>
              <w:t>51 358,03</w:t>
            </w:r>
          </w:p>
        </w:tc>
        <w:tc>
          <w:tcPr>
            <w:tcW w:w="1205" w:type="dxa"/>
          </w:tcPr>
          <w:p w:rsidR="00242C36" w:rsidRPr="000E300E" w:rsidRDefault="00242C36" w:rsidP="00242C36">
            <w:pPr>
              <w:jc w:val="right"/>
              <w:cnfStyle w:val="000000010000" w:firstRow="0" w:lastRow="0" w:firstColumn="0" w:lastColumn="0" w:oddVBand="0" w:evenVBand="0" w:oddHBand="0" w:evenHBand="1" w:firstRowFirstColumn="0" w:firstRowLastColumn="0" w:lastRowFirstColumn="0" w:lastRowLastColumn="0"/>
              <w:rPr>
                <w:rFonts w:ascii="Calibri" w:hAnsi="Calibri" w:cs="Calibri"/>
                <w:sz w:val="20"/>
                <w:szCs w:val="20"/>
                <w:lang w:eastAsia="en-US"/>
              </w:rPr>
            </w:pPr>
            <w:r w:rsidRPr="000E300E">
              <w:rPr>
                <w:rFonts w:ascii="Calibri" w:hAnsi="Calibri" w:cs="Calibri"/>
                <w:sz w:val="20"/>
                <w:szCs w:val="20"/>
                <w:lang w:eastAsia="en-US"/>
              </w:rPr>
              <w:t xml:space="preserve"> </w:t>
            </w:r>
          </w:p>
        </w:tc>
        <w:tc>
          <w:tcPr>
            <w:cnfStyle w:val="000010000000" w:firstRow="0" w:lastRow="0" w:firstColumn="0" w:lastColumn="0" w:oddVBand="1" w:evenVBand="0" w:oddHBand="0" w:evenHBand="0" w:firstRowFirstColumn="0" w:firstRowLastColumn="0" w:lastRowFirstColumn="0" w:lastRowLastColumn="0"/>
            <w:tcW w:w="1205" w:type="dxa"/>
          </w:tcPr>
          <w:p w:rsidR="00242C36" w:rsidRPr="000E300E" w:rsidRDefault="00242C36" w:rsidP="00242C36">
            <w:pPr>
              <w:jc w:val="right"/>
              <w:rPr>
                <w:rFonts w:ascii="Calibri" w:hAnsi="Calibri"/>
                <w:sz w:val="20"/>
                <w:szCs w:val="20"/>
                <w:lang w:eastAsia="en-US"/>
              </w:rPr>
            </w:pPr>
            <w:r w:rsidRPr="000E300E">
              <w:rPr>
                <w:rFonts w:ascii="Calibri" w:hAnsi="Calibri" w:cs="Calibri"/>
                <w:sz w:val="20"/>
                <w:szCs w:val="20"/>
                <w:lang w:eastAsia="en-US"/>
              </w:rPr>
              <w:t>136,78</w:t>
            </w:r>
          </w:p>
        </w:tc>
      </w:tr>
      <w:tr w:rsidR="00242C36" w:rsidRPr="000E300E" w:rsidTr="00242C36">
        <w:tc>
          <w:tcPr>
            <w:cnfStyle w:val="001000000000" w:firstRow="0" w:lastRow="0" w:firstColumn="1" w:lastColumn="0" w:oddVBand="0" w:evenVBand="0" w:oddHBand="0" w:evenHBand="0" w:firstRowFirstColumn="0" w:firstRowLastColumn="0" w:lastRowFirstColumn="0" w:lastRowLastColumn="0"/>
            <w:tcW w:w="3084" w:type="dxa"/>
          </w:tcPr>
          <w:p w:rsidR="00242C36" w:rsidRPr="000E300E" w:rsidRDefault="00242C36" w:rsidP="00242C36">
            <w:pPr>
              <w:rPr>
                <w:rFonts w:ascii="Calibri" w:hAnsi="Calibri"/>
                <w:b w:val="0"/>
                <w:bCs w:val="0"/>
                <w:sz w:val="20"/>
                <w:szCs w:val="20"/>
                <w:lang w:eastAsia="en-US"/>
              </w:rPr>
            </w:pPr>
            <w:r w:rsidRPr="000E300E">
              <w:rPr>
                <w:rFonts w:ascii="Calibri" w:hAnsi="Calibri" w:cs="Calibri"/>
                <w:b w:val="0"/>
                <w:bCs w:val="0"/>
                <w:sz w:val="20"/>
                <w:szCs w:val="20"/>
                <w:lang w:eastAsia="en-US"/>
              </w:rPr>
              <w:t>Platená pracovná sila [AWU/ha]*</w:t>
            </w:r>
          </w:p>
        </w:tc>
        <w:tc>
          <w:tcPr>
            <w:cnfStyle w:val="000010000000" w:firstRow="0" w:lastRow="0" w:firstColumn="0" w:lastColumn="0" w:oddVBand="1" w:evenVBand="0" w:oddHBand="0" w:evenHBand="0" w:firstRowFirstColumn="0" w:firstRowLastColumn="0" w:lastRowFirstColumn="0" w:lastRowLastColumn="0"/>
            <w:tcW w:w="1205" w:type="dxa"/>
          </w:tcPr>
          <w:p w:rsidR="00242C36" w:rsidRPr="000E300E" w:rsidRDefault="00242C36" w:rsidP="00242C36">
            <w:pPr>
              <w:jc w:val="right"/>
              <w:rPr>
                <w:rFonts w:ascii="Calibri" w:hAnsi="Calibri"/>
                <w:sz w:val="20"/>
                <w:szCs w:val="20"/>
                <w:lang w:eastAsia="en-US"/>
              </w:rPr>
            </w:pPr>
            <w:r w:rsidRPr="000E300E">
              <w:rPr>
                <w:rFonts w:ascii="Calibri" w:hAnsi="Calibri" w:cs="Calibri"/>
                <w:sz w:val="20"/>
                <w:szCs w:val="20"/>
                <w:lang w:eastAsia="en-US"/>
              </w:rPr>
              <w:t>0,032</w:t>
            </w:r>
          </w:p>
        </w:tc>
        <w:tc>
          <w:tcPr>
            <w:tcW w:w="1205" w:type="dxa"/>
          </w:tcPr>
          <w:p w:rsidR="00242C36" w:rsidRPr="000E300E" w:rsidRDefault="00242C36" w:rsidP="00242C36">
            <w:pPr>
              <w:jc w:val="right"/>
              <w:cnfStyle w:val="000000000000" w:firstRow="0" w:lastRow="0" w:firstColumn="0" w:lastColumn="0" w:oddVBand="0" w:evenVBand="0" w:oddHBand="0" w:evenHBand="0" w:firstRowFirstColumn="0" w:firstRowLastColumn="0" w:lastRowFirstColumn="0" w:lastRowLastColumn="0"/>
              <w:rPr>
                <w:rFonts w:ascii="Calibri" w:hAnsi="Calibri"/>
                <w:sz w:val="20"/>
                <w:szCs w:val="20"/>
                <w:lang w:eastAsia="en-US"/>
              </w:rPr>
            </w:pPr>
            <w:r w:rsidRPr="000E300E">
              <w:rPr>
                <w:rFonts w:ascii="Calibri" w:hAnsi="Calibri" w:cs="Calibri"/>
                <w:sz w:val="20"/>
                <w:szCs w:val="20"/>
                <w:lang w:eastAsia="en-US"/>
              </w:rPr>
              <w:t>0,029</w:t>
            </w:r>
          </w:p>
        </w:tc>
        <w:tc>
          <w:tcPr>
            <w:cnfStyle w:val="000010000000" w:firstRow="0" w:lastRow="0" w:firstColumn="0" w:lastColumn="0" w:oddVBand="1" w:evenVBand="0" w:oddHBand="0" w:evenHBand="0" w:firstRowFirstColumn="0" w:firstRowLastColumn="0" w:lastRowFirstColumn="0" w:lastRowLastColumn="0"/>
            <w:tcW w:w="1205" w:type="dxa"/>
          </w:tcPr>
          <w:p w:rsidR="00242C36" w:rsidRPr="000E300E" w:rsidRDefault="00242C36" w:rsidP="00242C36">
            <w:pPr>
              <w:jc w:val="right"/>
              <w:rPr>
                <w:rFonts w:ascii="Calibri" w:hAnsi="Calibri" w:cs="Calibri"/>
                <w:sz w:val="20"/>
                <w:szCs w:val="20"/>
                <w:lang w:eastAsia="en-US"/>
              </w:rPr>
            </w:pPr>
            <w:r w:rsidRPr="000E300E">
              <w:rPr>
                <w:rFonts w:ascii="Calibri" w:hAnsi="Calibri"/>
                <w:sz w:val="20"/>
                <w:szCs w:val="20"/>
              </w:rPr>
              <w:t>0,028</w:t>
            </w:r>
          </w:p>
        </w:tc>
        <w:tc>
          <w:tcPr>
            <w:tcW w:w="1205" w:type="dxa"/>
          </w:tcPr>
          <w:p w:rsidR="00242C36" w:rsidRPr="000E300E" w:rsidRDefault="00242C36" w:rsidP="00242C36">
            <w:pPr>
              <w:jc w:val="right"/>
              <w:cnfStyle w:val="000000000000" w:firstRow="0" w:lastRow="0" w:firstColumn="0" w:lastColumn="0" w:oddVBand="0" w:evenVBand="0" w:oddHBand="0" w:evenHBand="0" w:firstRowFirstColumn="0" w:firstRowLastColumn="0" w:lastRowFirstColumn="0" w:lastRowLastColumn="0"/>
              <w:rPr>
                <w:rFonts w:ascii="Calibri" w:hAnsi="Calibri" w:cs="Calibri"/>
                <w:sz w:val="20"/>
                <w:szCs w:val="20"/>
                <w:lang w:eastAsia="en-US"/>
              </w:rPr>
            </w:pPr>
            <w:r w:rsidRPr="000E300E">
              <w:rPr>
                <w:rFonts w:ascii="Calibri" w:hAnsi="Calibri" w:cs="Calibri"/>
                <w:sz w:val="20"/>
                <w:szCs w:val="20"/>
                <w:lang w:eastAsia="en-US"/>
              </w:rPr>
              <w:t xml:space="preserve"> </w:t>
            </w:r>
          </w:p>
        </w:tc>
        <w:tc>
          <w:tcPr>
            <w:cnfStyle w:val="000010000000" w:firstRow="0" w:lastRow="0" w:firstColumn="0" w:lastColumn="0" w:oddVBand="1" w:evenVBand="0" w:oddHBand="0" w:evenHBand="0" w:firstRowFirstColumn="0" w:firstRowLastColumn="0" w:lastRowFirstColumn="0" w:lastRowLastColumn="0"/>
            <w:tcW w:w="1205" w:type="dxa"/>
          </w:tcPr>
          <w:p w:rsidR="00242C36" w:rsidRPr="000E300E" w:rsidRDefault="00242C36" w:rsidP="00242C36">
            <w:pPr>
              <w:jc w:val="right"/>
              <w:rPr>
                <w:rFonts w:ascii="Calibri" w:hAnsi="Calibri"/>
                <w:sz w:val="20"/>
                <w:szCs w:val="20"/>
                <w:lang w:eastAsia="en-US"/>
              </w:rPr>
            </w:pPr>
            <w:r w:rsidRPr="000E300E">
              <w:rPr>
                <w:rFonts w:ascii="Calibri" w:hAnsi="Calibri" w:cs="Calibri"/>
                <w:sz w:val="20"/>
                <w:szCs w:val="20"/>
                <w:lang w:eastAsia="en-US"/>
              </w:rPr>
              <w:t>-104,96</w:t>
            </w:r>
          </w:p>
        </w:tc>
      </w:tr>
    </w:tbl>
    <w:p w:rsidR="00242C36" w:rsidRPr="00E43137" w:rsidRDefault="00242C36" w:rsidP="00242C36">
      <w:pPr>
        <w:rPr>
          <w:sz w:val="20"/>
          <w:szCs w:val="20"/>
        </w:rPr>
      </w:pPr>
      <w:r w:rsidRPr="00E43137">
        <w:rPr>
          <w:rFonts w:ascii="Calibri" w:hAnsi="Calibri" w:cs="Calibri"/>
          <w:iCs/>
          <w:sz w:val="20"/>
          <w:szCs w:val="20"/>
        </w:rPr>
        <w:t>Prameň: Zelená správa za rok 2012, vlastné prepočty</w:t>
      </w:r>
    </w:p>
    <w:p w:rsidR="00242C36" w:rsidRPr="00E43137" w:rsidRDefault="00242C36" w:rsidP="00242C36">
      <w:pPr>
        <w:rPr>
          <w:sz w:val="20"/>
          <w:szCs w:val="20"/>
        </w:rPr>
      </w:pPr>
      <w:r w:rsidRPr="00E43137">
        <w:rPr>
          <w:rFonts w:ascii="Calibri" w:hAnsi="Calibri" w:cs="Calibri"/>
          <w:iCs/>
          <w:sz w:val="20"/>
          <w:szCs w:val="20"/>
        </w:rPr>
        <w:t>*Eurostat</w:t>
      </w:r>
    </w:p>
    <w:p w:rsidR="00242C36" w:rsidRPr="00E43137" w:rsidRDefault="00242C36" w:rsidP="00242C36">
      <w:pPr>
        <w:rPr>
          <w:rFonts w:ascii="Calibri" w:hAnsi="Calibri" w:cs="Calibri"/>
        </w:rPr>
      </w:pPr>
    </w:p>
    <w:p w:rsidR="00242C36" w:rsidRPr="00E43137" w:rsidRDefault="00242C36" w:rsidP="00242C36">
      <w:pPr>
        <w:rPr>
          <w:szCs w:val="22"/>
        </w:rPr>
      </w:pPr>
      <w:r w:rsidRPr="00E43137">
        <w:rPr>
          <w:rFonts w:ascii="Calibri" w:hAnsi="Calibri" w:cs="Calibri"/>
          <w:szCs w:val="22"/>
        </w:rPr>
        <w:t xml:space="preserve">Posledný stĺpec udáva vplyv materiálovej účinnosti, využitia strojov, vybavenia pracovníkov a odpracovaného času na zmenu objemového ukazovateľa (výroba). Vývoj naznačuje, že pre podniky je dôležité, aby sa zlepšilo využitie výrobných faktorov, znížil sa podiel materiálu, surovín a energie (toho, čo podnik prevezme) v prospech pridanej hodnoty. Spotreba výrobných faktorov by mala rásť rýchlejšie ako ich viazanosť vo výrobnom procese, čo je možné dosiahnuť s využitím vhodných postupov obrábania pôdy, rozšírením o živočíšnu výrobu, spracovaním výrobkov priamo na farmách a doplnkovými činnosťami, napr. službami tak, aby sa zároveň minimalizovali zásoby, v ktorých sú viazané krátkodobé zdroje. </w:t>
      </w:r>
    </w:p>
    <w:p w:rsidR="00242C36" w:rsidRPr="00E43137" w:rsidRDefault="00242C36" w:rsidP="00242C36">
      <w:pPr>
        <w:spacing w:before="120"/>
        <w:rPr>
          <w:szCs w:val="22"/>
        </w:rPr>
      </w:pPr>
      <w:r w:rsidRPr="003268DA">
        <w:rPr>
          <w:rFonts w:ascii="Calibri" w:hAnsi="Calibri" w:cs="Calibri"/>
          <w:b/>
          <w:szCs w:val="22"/>
        </w:rPr>
        <w:t>Analýza štruktúry pridanej hodnoty</w:t>
      </w:r>
      <w:r w:rsidRPr="00E43137">
        <w:rPr>
          <w:rFonts w:ascii="Calibri" w:hAnsi="Calibri" w:cs="Calibri"/>
          <w:szCs w:val="22"/>
        </w:rPr>
        <w:t xml:space="preserve"> však poukazuje na nedostatočnú reprodukciu výrobných činiteľov. Prezentované údaje sú z verejnej databázy FADN za rok 2009, ale hlavný problém je platný aj v súčasnosti. Z hľadiska štruktúry tvorili pridanú hodnotu vo veľmi veľkých podnikoch spotrebované externé výrobné faktory, predovšetkým platená práca. Tieto spoločnosti nevytvorili žiadnu novú hodnotu z vlastnej poľnohospodárskej činnosti, celá pridaná hodnota sa spotrebovala na reprodukciu výrobných faktorov. V roku 2009 pracovali najefektívnejšie malé podniky, kde nebol vysoký podiel externých výrobných faktorov v pridanej hodnote. Nie sú zaťažené majetkom, ktorý by nebol využívaný. Tieto malé farmy vytvorili príjem z použitia vlastného kapitálu, vlastnej pôdy a vlastnej práce roľníka a členov jeho rodiny. Nedostatkom je nízka investičná aktivita a malá podpora na investovanie v malých podnikoch (obmedzené zdroje). Aj stredne veľké farmy vytvorili prebytok z poľnohospodárskej činnosti, ale v dôsledku poskytnutia investičných dotácii. </w:t>
      </w:r>
    </w:p>
    <w:p w:rsidR="00242C36" w:rsidRPr="00E43137" w:rsidRDefault="00242C36" w:rsidP="00242C36"/>
    <w:p w:rsidR="00242C36" w:rsidRPr="00E43137" w:rsidRDefault="007D119F" w:rsidP="00242C36">
      <w:pPr>
        <w:rPr>
          <w:b/>
          <w:szCs w:val="22"/>
        </w:rPr>
      </w:pPr>
      <w:r>
        <w:rPr>
          <w:rFonts w:ascii="Calibri" w:hAnsi="Calibri" w:cs="Calibri"/>
          <w:b/>
          <w:iCs/>
          <w:szCs w:val="22"/>
        </w:rPr>
        <w:t xml:space="preserve">Tabuľka 25: </w:t>
      </w:r>
      <w:r w:rsidR="00242C36" w:rsidRPr="00E43137">
        <w:rPr>
          <w:rFonts w:ascii="Calibri" w:hAnsi="Calibri" w:cs="Calibri"/>
          <w:b/>
          <w:iCs/>
          <w:szCs w:val="22"/>
        </w:rPr>
        <w:t>Poľnohospodársky príjem v roku 2009 podľa ekonomickej veľkosti</w:t>
      </w:r>
    </w:p>
    <w:tbl>
      <w:tblPr>
        <w:tblStyle w:val="Svetlzoznamzvraznenie3"/>
        <w:tblW w:w="0" w:type="auto"/>
        <w:tblBorders>
          <w:insideH w:val="single" w:sz="8" w:space="0" w:color="9BBB59" w:themeColor="accent3"/>
          <w:insideV w:val="single" w:sz="8" w:space="0" w:color="9BBB59" w:themeColor="accent3"/>
        </w:tblBorders>
        <w:tblLook w:val="00A0" w:firstRow="1" w:lastRow="0" w:firstColumn="1" w:lastColumn="0" w:noHBand="0" w:noVBand="0"/>
      </w:tblPr>
      <w:tblGrid>
        <w:gridCol w:w="1814"/>
        <w:gridCol w:w="1814"/>
        <w:gridCol w:w="1814"/>
        <w:gridCol w:w="1814"/>
        <w:gridCol w:w="1814"/>
      </w:tblGrid>
      <w:tr w:rsidR="00242C36" w:rsidRPr="00E43137" w:rsidTr="00242C36">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14" w:type="dxa"/>
          </w:tcPr>
          <w:p w:rsidR="00242C36" w:rsidRPr="00E43137" w:rsidRDefault="00242C36" w:rsidP="00242C36">
            <w:pPr>
              <w:rPr>
                <w:rFonts w:ascii="Calibri" w:hAnsi="Calibri"/>
                <w:b w:val="0"/>
                <w:bCs w:val="0"/>
                <w:sz w:val="20"/>
                <w:szCs w:val="20"/>
                <w:lang w:eastAsia="en-US"/>
              </w:rPr>
            </w:pPr>
            <w:r w:rsidRPr="00E43137">
              <w:rPr>
                <w:rFonts w:ascii="Calibri" w:hAnsi="Calibri" w:cs="Calibri"/>
                <w:sz w:val="20"/>
                <w:szCs w:val="20"/>
                <w:lang w:eastAsia="en-US"/>
              </w:rPr>
              <w:t xml:space="preserve"> </w:t>
            </w:r>
          </w:p>
        </w:tc>
        <w:tc>
          <w:tcPr>
            <w:cnfStyle w:val="000010000000" w:firstRow="0" w:lastRow="0" w:firstColumn="0" w:lastColumn="0" w:oddVBand="1" w:evenVBand="0" w:oddHBand="0" w:evenHBand="0" w:firstRowFirstColumn="0" w:firstRowLastColumn="0" w:lastRowFirstColumn="0" w:lastRowLastColumn="0"/>
            <w:tcW w:w="1814" w:type="dxa"/>
          </w:tcPr>
          <w:p w:rsidR="00242C36" w:rsidRPr="00E43137" w:rsidRDefault="00242C36" w:rsidP="00242C36">
            <w:pPr>
              <w:rPr>
                <w:rFonts w:ascii="Calibri" w:hAnsi="Calibri"/>
                <w:b w:val="0"/>
                <w:bCs w:val="0"/>
                <w:sz w:val="20"/>
                <w:szCs w:val="20"/>
                <w:lang w:eastAsia="en-US"/>
              </w:rPr>
            </w:pPr>
            <w:r w:rsidRPr="00E43137">
              <w:rPr>
                <w:rFonts w:ascii="Calibri" w:hAnsi="Calibri" w:cs="Calibri"/>
                <w:sz w:val="20"/>
                <w:szCs w:val="20"/>
                <w:lang w:eastAsia="en-US"/>
              </w:rPr>
              <w:t>Stredne malé</w:t>
            </w:r>
          </w:p>
        </w:tc>
        <w:tc>
          <w:tcPr>
            <w:tcW w:w="1814" w:type="dxa"/>
          </w:tcPr>
          <w:p w:rsidR="00242C36" w:rsidRPr="00E43137" w:rsidRDefault="00242C36" w:rsidP="00242C36">
            <w:pPr>
              <w:cnfStyle w:val="100000000000" w:firstRow="1" w:lastRow="0" w:firstColumn="0" w:lastColumn="0" w:oddVBand="0" w:evenVBand="0" w:oddHBand="0" w:evenHBand="0" w:firstRowFirstColumn="0" w:firstRowLastColumn="0" w:lastRowFirstColumn="0" w:lastRowLastColumn="0"/>
              <w:rPr>
                <w:rFonts w:ascii="Calibri" w:hAnsi="Calibri"/>
                <w:b w:val="0"/>
                <w:bCs w:val="0"/>
                <w:sz w:val="20"/>
                <w:szCs w:val="20"/>
                <w:lang w:eastAsia="en-US"/>
              </w:rPr>
            </w:pPr>
            <w:r w:rsidRPr="00E43137">
              <w:rPr>
                <w:rFonts w:ascii="Calibri" w:hAnsi="Calibri" w:cs="Calibri"/>
                <w:sz w:val="20"/>
                <w:szCs w:val="20"/>
                <w:lang w:eastAsia="en-US"/>
              </w:rPr>
              <w:t>Stredne veľké</w:t>
            </w:r>
          </w:p>
        </w:tc>
        <w:tc>
          <w:tcPr>
            <w:cnfStyle w:val="000010000000" w:firstRow="0" w:lastRow="0" w:firstColumn="0" w:lastColumn="0" w:oddVBand="1" w:evenVBand="0" w:oddHBand="0" w:evenHBand="0" w:firstRowFirstColumn="0" w:firstRowLastColumn="0" w:lastRowFirstColumn="0" w:lastRowLastColumn="0"/>
            <w:tcW w:w="1814" w:type="dxa"/>
          </w:tcPr>
          <w:p w:rsidR="00242C36" w:rsidRPr="00E43137" w:rsidRDefault="00242C36" w:rsidP="00242C36">
            <w:pPr>
              <w:rPr>
                <w:rFonts w:ascii="Calibri" w:hAnsi="Calibri"/>
                <w:b w:val="0"/>
                <w:bCs w:val="0"/>
                <w:sz w:val="20"/>
                <w:szCs w:val="20"/>
                <w:lang w:eastAsia="en-US"/>
              </w:rPr>
            </w:pPr>
            <w:r w:rsidRPr="00E43137">
              <w:rPr>
                <w:rFonts w:ascii="Calibri" w:hAnsi="Calibri" w:cs="Calibri"/>
                <w:sz w:val="20"/>
                <w:szCs w:val="20"/>
                <w:lang w:eastAsia="en-US"/>
              </w:rPr>
              <w:t>Veľké</w:t>
            </w:r>
          </w:p>
        </w:tc>
        <w:tc>
          <w:tcPr>
            <w:tcW w:w="1814" w:type="dxa"/>
          </w:tcPr>
          <w:p w:rsidR="00242C36" w:rsidRPr="00E43137" w:rsidRDefault="00242C36" w:rsidP="00242C36">
            <w:pPr>
              <w:cnfStyle w:val="100000000000" w:firstRow="1" w:lastRow="0" w:firstColumn="0" w:lastColumn="0" w:oddVBand="0" w:evenVBand="0" w:oddHBand="0" w:evenHBand="0" w:firstRowFirstColumn="0" w:firstRowLastColumn="0" w:lastRowFirstColumn="0" w:lastRowLastColumn="0"/>
              <w:rPr>
                <w:rFonts w:ascii="Calibri" w:hAnsi="Calibri"/>
                <w:b w:val="0"/>
                <w:bCs w:val="0"/>
                <w:sz w:val="20"/>
                <w:szCs w:val="20"/>
                <w:lang w:eastAsia="en-US"/>
              </w:rPr>
            </w:pPr>
            <w:r w:rsidRPr="00E43137">
              <w:rPr>
                <w:rFonts w:ascii="Calibri" w:hAnsi="Calibri" w:cs="Calibri"/>
                <w:sz w:val="20"/>
                <w:szCs w:val="20"/>
                <w:lang w:eastAsia="en-US"/>
              </w:rPr>
              <w:t>Veľmi veľké</w:t>
            </w:r>
          </w:p>
        </w:tc>
      </w:tr>
      <w:tr w:rsidR="00242C36" w:rsidRPr="00E43137" w:rsidTr="00242C3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14" w:type="dxa"/>
          </w:tcPr>
          <w:p w:rsidR="00242C36" w:rsidRPr="00E43137" w:rsidRDefault="00242C36" w:rsidP="00242C36">
            <w:pPr>
              <w:rPr>
                <w:rFonts w:ascii="Calibri" w:hAnsi="Calibri"/>
                <w:b w:val="0"/>
                <w:bCs w:val="0"/>
                <w:sz w:val="20"/>
                <w:szCs w:val="20"/>
                <w:lang w:eastAsia="en-US"/>
              </w:rPr>
            </w:pPr>
            <w:r w:rsidRPr="00E43137">
              <w:rPr>
                <w:rFonts w:ascii="Calibri" w:hAnsi="Calibri" w:cs="Calibri"/>
                <w:sz w:val="20"/>
                <w:szCs w:val="20"/>
                <w:lang w:eastAsia="en-US"/>
              </w:rPr>
              <w:t xml:space="preserve"> </w:t>
            </w:r>
          </w:p>
        </w:tc>
        <w:tc>
          <w:tcPr>
            <w:cnfStyle w:val="000010000000" w:firstRow="0" w:lastRow="0" w:firstColumn="0" w:lastColumn="0" w:oddVBand="1" w:evenVBand="0" w:oddHBand="0" w:evenHBand="0" w:firstRowFirstColumn="0" w:firstRowLastColumn="0" w:lastRowFirstColumn="0" w:lastRowLastColumn="0"/>
            <w:tcW w:w="1814" w:type="dxa"/>
          </w:tcPr>
          <w:p w:rsidR="00242C36" w:rsidRPr="00E43137" w:rsidRDefault="00242C36" w:rsidP="00242C36">
            <w:pPr>
              <w:rPr>
                <w:rFonts w:ascii="Calibri" w:hAnsi="Calibri"/>
                <w:sz w:val="20"/>
                <w:szCs w:val="20"/>
                <w:lang w:eastAsia="en-US"/>
              </w:rPr>
            </w:pPr>
            <w:r w:rsidRPr="00E43137">
              <w:rPr>
                <w:rFonts w:ascii="Calibri" w:hAnsi="Calibri" w:cs="Calibri"/>
                <w:b/>
                <w:bCs/>
                <w:sz w:val="20"/>
                <w:szCs w:val="20"/>
                <w:lang w:eastAsia="en-US"/>
              </w:rPr>
              <w:t>8 - &lt;16 ESU</w:t>
            </w:r>
          </w:p>
        </w:tc>
        <w:tc>
          <w:tcPr>
            <w:tcW w:w="1814" w:type="dxa"/>
          </w:tcPr>
          <w:p w:rsidR="00242C36" w:rsidRPr="00E43137" w:rsidRDefault="00242C36" w:rsidP="00242C36">
            <w:pPr>
              <w:cnfStyle w:val="000000100000" w:firstRow="0" w:lastRow="0" w:firstColumn="0" w:lastColumn="0" w:oddVBand="0" w:evenVBand="0" w:oddHBand="1" w:evenHBand="0" w:firstRowFirstColumn="0" w:firstRowLastColumn="0" w:lastRowFirstColumn="0" w:lastRowLastColumn="0"/>
              <w:rPr>
                <w:rFonts w:ascii="Calibri" w:hAnsi="Calibri"/>
                <w:sz w:val="20"/>
                <w:szCs w:val="20"/>
                <w:lang w:eastAsia="en-US"/>
              </w:rPr>
            </w:pPr>
            <w:r w:rsidRPr="00E43137">
              <w:rPr>
                <w:rFonts w:ascii="Calibri" w:hAnsi="Calibri" w:cs="Calibri"/>
                <w:b/>
                <w:bCs/>
                <w:sz w:val="20"/>
                <w:szCs w:val="20"/>
                <w:lang w:eastAsia="en-US"/>
              </w:rPr>
              <w:t>16 - &lt;40 ESU</w:t>
            </w:r>
          </w:p>
        </w:tc>
        <w:tc>
          <w:tcPr>
            <w:cnfStyle w:val="000010000000" w:firstRow="0" w:lastRow="0" w:firstColumn="0" w:lastColumn="0" w:oddVBand="1" w:evenVBand="0" w:oddHBand="0" w:evenHBand="0" w:firstRowFirstColumn="0" w:firstRowLastColumn="0" w:lastRowFirstColumn="0" w:lastRowLastColumn="0"/>
            <w:tcW w:w="1814" w:type="dxa"/>
          </w:tcPr>
          <w:p w:rsidR="00242C36" w:rsidRPr="00E43137" w:rsidRDefault="00242C36" w:rsidP="00242C36">
            <w:pPr>
              <w:rPr>
                <w:rFonts w:ascii="Calibri" w:hAnsi="Calibri"/>
                <w:sz w:val="20"/>
                <w:szCs w:val="20"/>
                <w:lang w:eastAsia="en-US"/>
              </w:rPr>
            </w:pPr>
            <w:r w:rsidRPr="00E43137">
              <w:rPr>
                <w:rFonts w:ascii="Calibri" w:hAnsi="Calibri" w:cs="Calibri"/>
                <w:b/>
                <w:bCs/>
                <w:sz w:val="20"/>
                <w:szCs w:val="20"/>
                <w:lang w:eastAsia="en-US"/>
              </w:rPr>
              <w:t>40 - &lt;100 ESU</w:t>
            </w:r>
          </w:p>
        </w:tc>
        <w:tc>
          <w:tcPr>
            <w:tcW w:w="1814" w:type="dxa"/>
          </w:tcPr>
          <w:p w:rsidR="00242C36" w:rsidRPr="00E43137" w:rsidRDefault="00242C36" w:rsidP="00242C36">
            <w:pPr>
              <w:cnfStyle w:val="000000100000" w:firstRow="0" w:lastRow="0" w:firstColumn="0" w:lastColumn="0" w:oddVBand="0" w:evenVBand="0" w:oddHBand="1" w:evenHBand="0" w:firstRowFirstColumn="0" w:firstRowLastColumn="0" w:lastRowFirstColumn="0" w:lastRowLastColumn="0"/>
              <w:rPr>
                <w:rFonts w:ascii="Calibri" w:hAnsi="Calibri"/>
                <w:sz w:val="20"/>
                <w:szCs w:val="20"/>
                <w:lang w:eastAsia="en-US"/>
              </w:rPr>
            </w:pPr>
            <w:r w:rsidRPr="00E43137">
              <w:rPr>
                <w:rFonts w:ascii="Calibri" w:hAnsi="Calibri" w:cs="Calibri"/>
                <w:b/>
                <w:bCs/>
                <w:sz w:val="20"/>
                <w:szCs w:val="20"/>
                <w:lang w:eastAsia="en-US"/>
              </w:rPr>
              <w:t>&gt;= 100 ESU</w:t>
            </w:r>
          </w:p>
        </w:tc>
      </w:tr>
      <w:tr w:rsidR="00242C36" w:rsidRPr="00E43137" w:rsidTr="00242C36">
        <w:tc>
          <w:tcPr>
            <w:cnfStyle w:val="001000000000" w:firstRow="0" w:lastRow="0" w:firstColumn="1" w:lastColumn="0" w:oddVBand="0" w:evenVBand="0" w:oddHBand="0" w:evenHBand="0" w:firstRowFirstColumn="0" w:firstRowLastColumn="0" w:lastRowFirstColumn="0" w:lastRowLastColumn="0"/>
            <w:tcW w:w="1814" w:type="dxa"/>
          </w:tcPr>
          <w:p w:rsidR="00242C36" w:rsidRPr="00E43137" w:rsidRDefault="00242C36" w:rsidP="00242C36">
            <w:pPr>
              <w:jc w:val="right"/>
              <w:rPr>
                <w:rFonts w:ascii="Calibri" w:hAnsi="Calibri"/>
                <w:b w:val="0"/>
                <w:bCs w:val="0"/>
                <w:sz w:val="20"/>
                <w:szCs w:val="20"/>
                <w:lang w:eastAsia="en-US"/>
              </w:rPr>
            </w:pPr>
            <w:r w:rsidRPr="00E43137">
              <w:rPr>
                <w:rFonts w:ascii="Calibri" w:hAnsi="Calibri" w:cs="Calibri"/>
                <w:sz w:val="20"/>
                <w:szCs w:val="20"/>
                <w:lang w:eastAsia="en-US"/>
              </w:rPr>
              <w:t>PV (EUR)</w:t>
            </w:r>
          </w:p>
        </w:tc>
        <w:tc>
          <w:tcPr>
            <w:cnfStyle w:val="000010000000" w:firstRow="0" w:lastRow="0" w:firstColumn="0" w:lastColumn="0" w:oddVBand="1" w:evenVBand="0" w:oddHBand="0" w:evenHBand="0" w:firstRowFirstColumn="0" w:firstRowLastColumn="0" w:lastRowFirstColumn="0" w:lastRowLastColumn="0"/>
            <w:tcW w:w="1814" w:type="dxa"/>
          </w:tcPr>
          <w:p w:rsidR="00242C36" w:rsidRPr="00E43137" w:rsidRDefault="00242C36" w:rsidP="00242C36">
            <w:pPr>
              <w:jc w:val="right"/>
              <w:rPr>
                <w:rFonts w:ascii="Calibri" w:hAnsi="Calibri"/>
                <w:sz w:val="20"/>
                <w:szCs w:val="20"/>
                <w:lang w:eastAsia="en-US"/>
              </w:rPr>
            </w:pPr>
            <w:r w:rsidRPr="00E43137">
              <w:rPr>
                <w:rFonts w:ascii="Calibri" w:hAnsi="Calibri" w:cs="Calibri"/>
                <w:sz w:val="20"/>
                <w:szCs w:val="20"/>
                <w:lang w:eastAsia="en-US"/>
              </w:rPr>
              <w:t>49 508</w:t>
            </w:r>
          </w:p>
        </w:tc>
        <w:tc>
          <w:tcPr>
            <w:tcW w:w="1814" w:type="dxa"/>
          </w:tcPr>
          <w:p w:rsidR="00242C36" w:rsidRPr="00E43137" w:rsidRDefault="00242C36" w:rsidP="00242C36">
            <w:pPr>
              <w:jc w:val="right"/>
              <w:cnfStyle w:val="000000000000" w:firstRow="0" w:lastRow="0" w:firstColumn="0" w:lastColumn="0" w:oddVBand="0" w:evenVBand="0" w:oddHBand="0" w:evenHBand="0" w:firstRowFirstColumn="0" w:firstRowLastColumn="0" w:lastRowFirstColumn="0" w:lastRowLastColumn="0"/>
              <w:rPr>
                <w:rFonts w:ascii="Calibri" w:hAnsi="Calibri"/>
                <w:sz w:val="20"/>
                <w:szCs w:val="20"/>
                <w:lang w:eastAsia="en-US"/>
              </w:rPr>
            </w:pPr>
            <w:r w:rsidRPr="00E43137">
              <w:rPr>
                <w:rFonts w:ascii="Calibri" w:hAnsi="Calibri" w:cs="Calibri"/>
                <w:sz w:val="20"/>
                <w:szCs w:val="20"/>
                <w:lang w:eastAsia="en-US"/>
              </w:rPr>
              <w:t>118 932</w:t>
            </w:r>
          </w:p>
        </w:tc>
        <w:tc>
          <w:tcPr>
            <w:cnfStyle w:val="000010000000" w:firstRow="0" w:lastRow="0" w:firstColumn="0" w:lastColumn="0" w:oddVBand="1" w:evenVBand="0" w:oddHBand="0" w:evenHBand="0" w:firstRowFirstColumn="0" w:firstRowLastColumn="0" w:lastRowFirstColumn="0" w:lastRowLastColumn="0"/>
            <w:tcW w:w="1814" w:type="dxa"/>
          </w:tcPr>
          <w:p w:rsidR="00242C36" w:rsidRPr="00E43137" w:rsidRDefault="00242C36" w:rsidP="00242C36">
            <w:pPr>
              <w:jc w:val="right"/>
              <w:rPr>
                <w:rFonts w:ascii="Calibri" w:hAnsi="Calibri"/>
                <w:sz w:val="20"/>
                <w:szCs w:val="20"/>
                <w:lang w:eastAsia="en-US"/>
              </w:rPr>
            </w:pPr>
            <w:r w:rsidRPr="00E43137">
              <w:rPr>
                <w:rFonts w:ascii="Calibri" w:hAnsi="Calibri" w:cs="Calibri"/>
                <w:sz w:val="20"/>
                <w:szCs w:val="20"/>
                <w:lang w:eastAsia="en-US"/>
              </w:rPr>
              <w:t>278 852</w:t>
            </w:r>
          </w:p>
        </w:tc>
        <w:tc>
          <w:tcPr>
            <w:tcW w:w="1814" w:type="dxa"/>
          </w:tcPr>
          <w:p w:rsidR="00242C36" w:rsidRPr="00E43137" w:rsidRDefault="00242C36" w:rsidP="00242C36">
            <w:pPr>
              <w:jc w:val="right"/>
              <w:cnfStyle w:val="000000000000" w:firstRow="0" w:lastRow="0" w:firstColumn="0" w:lastColumn="0" w:oddVBand="0" w:evenVBand="0" w:oddHBand="0" w:evenHBand="0" w:firstRowFirstColumn="0" w:firstRowLastColumn="0" w:lastRowFirstColumn="0" w:lastRowLastColumn="0"/>
              <w:rPr>
                <w:rFonts w:ascii="Calibri" w:hAnsi="Calibri"/>
                <w:sz w:val="20"/>
                <w:szCs w:val="20"/>
                <w:lang w:eastAsia="en-US"/>
              </w:rPr>
            </w:pPr>
            <w:r w:rsidRPr="00E43137">
              <w:rPr>
                <w:rFonts w:ascii="Calibri" w:hAnsi="Calibri" w:cs="Calibri"/>
                <w:sz w:val="20"/>
                <w:szCs w:val="20"/>
                <w:lang w:eastAsia="en-US"/>
              </w:rPr>
              <w:t>1 631 770</w:t>
            </w:r>
          </w:p>
        </w:tc>
      </w:tr>
      <w:tr w:rsidR="00242C36" w:rsidRPr="00E43137" w:rsidTr="00242C3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14" w:type="dxa"/>
          </w:tcPr>
          <w:p w:rsidR="00242C36" w:rsidRPr="00E43137" w:rsidRDefault="00242C36" w:rsidP="00242C36">
            <w:pPr>
              <w:jc w:val="right"/>
              <w:rPr>
                <w:rFonts w:ascii="Calibri" w:hAnsi="Calibri"/>
                <w:b w:val="0"/>
                <w:bCs w:val="0"/>
                <w:sz w:val="20"/>
                <w:szCs w:val="20"/>
                <w:lang w:eastAsia="en-US"/>
              </w:rPr>
            </w:pPr>
            <w:r w:rsidRPr="00E43137">
              <w:rPr>
                <w:rFonts w:ascii="Calibri" w:hAnsi="Calibri" w:cs="Calibri"/>
                <w:sz w:val="20"/>
                <w:szCs w:val="20"/>
                <w:lang w:eastAsia="en-US"/>
              </w:rPr>
              <w:t>PH/PV</w:t>
            </w:r>
          </w:p>
        </w:tc>
        <w:tc>
          <w:tcPr>
            <w:cnfStyle w:val="000010000000" w:firstRow="0" w:lastRow="0" w:firstColumn="0" w:lastColumn="0" w:oddVBand="1" w:evenVBand="0" w:oddHBand="0" w:evenHBand="0" w:firstRowFirstColumn="0" w:firstRowLastColumn="0" w:lastRowFirstColumn="0" w:lastRowLastColumn="0"/>
            <w:tcW w:w="1814" w:type="dxa"/>
          </w:tcPr>
          <w:p w:rsidR="00242C36" w:rsidRPr="00E43137" w:rsidRDefault="00242C36" w:rsidP="00242C36">
            <w:pPr>
              <w:jc w:val="right"/>
              <w:rPr>
                <w:rFonts w:ascii="Calibri" w:hAnsi="Calibri"/>
                <w:sz w:val="20"/>
                <w:szCs w:val="20"/>
                <w:lang w:eastAsia="en-US"/>
              </w:rPr>
            </w:pPr>
            <w:r w:rsidRPr="00E43137">
              <w:rPr>
                <w:rFonts w:ascii="Calibri" w:hAnsi="Calibri" w:cs="Calibri"/>
                <w:sz w:val="20"/>
                <w:szCs w:val="20"/>
                <w:lang w:eastAsia="en-US"/>
              </w:rPr>
              <w:t>0,312</w:t>
            </w:r>
          </w:p>
        </w:tc>
        <w:tc>
          <w:tcPr>
            <w:tcW w:w="1814" w:type="dxa"/>
          </w:tcPr>
          <w:p w:rsidR="00242C36" w:rsidRPr="00E43137" w:rsidRDefault="00242C36" w:rsidP="00242C36">
            <w:pPr>
              <w:jc w:val="right"/>
              <w:cnfStyle w:val="000000100000" w:firstRow="0" w:lastRow="0" w:firstColumn="0" w:lastColumn="0" w:oddVBand="0" w:evenVBand="0" w:oddHBand="1" w:evenHBand="0" w:firstRowFirstColumn="0" w:firstRowLastColumn="0" w:lastRowFirstColumn="0" w:lastRowLastColumn="0"/>
              <w:rPr>
                <w:rFonts w:ascii="Calibri" w:hAnsi="Calibri"/>
                <w:sz w:val="20"/>
                <w:szCs w:val="20"/>
                <w:lang w:eastAsia="en-US"/>
              </w:rPr>
            </w:pPr>
            <w:r w:rsidRPr="00E43137">
              <w:rPr>
                <w:rFonts w:ascii="Calibri" w:hAnsi="Calibri" w:cs="Calibri"/>
                <w:sz w:val="20"/>
                <w:szCs w:val="20"/>
                <w:lang w:eastAsia="en-US"/>
              </w:rPr>
              <w:t>0,370</w:t>
            </w:r>
          </w:p>
        </w:tc>
        <w:tc>
          <w:tcPr>
            <w:cnfStyle w:val="000010000000" w:firstRow="0" w:lastRow="0" w:firstColumn="0" w:lastColumn="0" w:oddVBand="1" w:evenVBand="0" w:oddHBand="0" w:evenHBand="0" w:firstRowFirstColumn="0" w:firstRowLastColumn="0" w:lastRowFirstColumn="0" w:lastRowLastColumn="0"/>
            <w:tcW w:w="1814" w:type="dxa"/>
          </w:tcPr>
          <w:p w:rsidR="00242C36" w:rsidRPr="00E43137" w:rsidRDefault="00242C36" w:rsidP="00242C36">
            <w:pPr>
              <w:jc w:val="right"/>
              <w:rPr>
                <w:rFonts w:ascii="Calibri" w:hAnsi="Calibri"/>
                <w:sz w:val="20"/>
                <w:szCs w:val="20"/>
                <w:lang w:eastAsia="en-US"/>
              </w:rPr>
            </w:pPr>
            <w:r w:rsidRPr="00E43137">
              <w:rPr>
                <w:rFonts w:ascii="Calibri" w:hAnsi="Calibri" w:cs="Calibri"/>
                <w:sz w:val="20"/>
                <w:szCs w:val="20"/>
                <w:lang w:eastAsia="en-US"/>
              </w:rPr>
              <w:t>0,307</w:t>
            </w:r>
          </w:p>
        </w:tc>
        <w:tc>
          <w:tcPr>
            <w:tcW w:w="1814" w:type="dxa"/>
          </w:tcPr>
          <w:p w:rsidR="00242C36" w:rsidRPr="00E43137" w:rsidRDefault="00242C36" w:rsidP="00242C36">
            <w:pPr>
              <w:jc w:val="right"/>
              <w:cnfStyle w:val="000000100000" w:firstRow="0" w:lastRow="0" w:firstColumn="0" w:lastColumn="0" w:oddVBand="0" w:evenVBand="0" w:oddHBand="1" w:evenHBand="0" w:firstRowFirstColumn="0" w:firstRowLastColumn="0" w:lastRowFirstColumn="0" w:lastRowLastColumn="0"/>
              <w:rPr>
                <w:rFonts w:ascii="Calibri" w:hAnsi="Calibri"/>
                <w:sz w:val="20"/>
                <w:szCs w:val="20"/>
                <w:lang w:eastAsia="en-US"/>
              </w:rPr>
            </w:pPr>
            <w:r w:rsidRPr="00E43137">
              <w:rPr>
                <w:rFonts w:ascii="Calibri" w:hAnsi="Calibri" w:cs="Calibri"/>
                <w:sz w:val="20"/>
                <w:szCs w:val="20"/>
                <w:lang w:eastAsia="en-US"/>
              </w:rPr>
              <w:t>0,214</w:t>
            </w:r>
          </w:p>
        </w:tc>
      </w:tr>
      <w:tr w:rsidR="00242C36" w:rsidRPr="00E43137" w:rsidTr="00242C36">
        <w:tc>
          <w:tcPr>
            <w:cnfStyle w:val="001000000000" w:firstRow="0" w:lastRow="0" w:firstColumn="1" w:lastColumn="0" w:oddVBand="0" w:evenVBand="0" w:oddHBand="0" w:evenHBand="0" w:firstRowFirstColumn="0" w:firstRowLastColumn="0" w:lastRowFirstColumn="0" w:lastRowLastColumn="0"/>
            <w:tcW w:w="1814" w:type="dxa"/>
          </w:tcPr>
          <w:p w:rsidR="00242C36" w:rsidRPr="00E43137" w:rsidRDefault="00242C36" w:rsidP="00242C36">
            <w:pPr>
              <w:jc w:val="right"/>
              <w:rPr>
                <w:rFonts w:ascii="Calibri" w:hAnsi="Calibri"/>
                <w:b w:val="0"/>
                <w:bCs w:val="0"/>
                <w:sz w:val="20"/>
                <w:szCs w:val="20"/>
                <w:lang w:eastAsia="en-US"/>
              </w:rPr>
            </w:pPr>
            <w:r w:rsidRPr="00E43137">
              <w:rPr>
                <w:rFonts w:ascii="Calibri" w:hAnsi="Calibri" w:cs="Calibri"/>
                <w:sz w:val="20"/>
                <w:szCs w:val="20"/>
                <w:lang w:eastAsia="en-US"/>
              </w:rPr>
              <w:t>VS/PV</w:t>
            </w:r>
          </w:p>
        </w:tc>
        <w:tc>
          <w:tcPr>
            <w:cnfStyle w:val="000010000000" w:firstRow="0" w:lastRow="0" w:firstColumn="0" w:lastColumn="0" w:oddVBand="1" w:evenVBand="0" w:oddHBand="0" w:evenHBand="0" w:firstRowFirstColumn="0" w:firstRowLastColumn="0" w:lastRowFirstColumn="0" w:lastRowLastColumn="0"/>
            <w:tcW w:w="1814" w:type="dxa"/>
          </w:tcPr>
          <w:p w:rsidR="00242C36" w:rsidRPr="00E43137" w:rsidRDefault="00242C36" w:rsidP="00242C36">
            <w:pPr>
              <w:jc w:val="right"/>
              <w:rPr>
                <w:rFonts w:ascii="Calibri" w:hAnsi="Calibri"/>
                <w:sz w:val="20"/>
                <w:szCs w:val="20"/>
                <w:lang w:eastAsia="en-US"/>
              </w:rPr>
            </w:pPr>
            <w:r w:rsidRPr="00E43137">
              <w:rPr>
                <w:rFonts w:ascii="Calibri" w:hAnsi="Calibri" w:cs="Calibri"/>
                <w:sz w:val="20"/>
                <w:szCs w:val="20"/>
                <w:lang w:eastAsia="en-US"/>
              </w:rPr>
              <w:t>0,688</w:t>
            </w:r>
          </w:p>
        </w:tc>
        <w:tc>
          <w:tcPr>
            <w:tcW w:w="1814" w:type="dxa"/>
          </w:tcPr>
          <w:p w:rsidR="00242C36" w:rsidRPr="00E43137" w:rsidRDefault="00242C36" w:rsidP="00242C36">
            <w:pPr>
              <w:jc w:val="right"/>
              <w:cnfStyle w:val="000000000000" w:firstRow="0" w:lastRow="0" w:firstColumn="0" w:lastColumn="0" w:oddVBand="0" w:evenVBand="0" w:oddHBand="0" w:evenHBand="0" w:firstRowFirstColumn="0" w:firstRowLastColumn="0" w:lastRowFirstColumn="0" w:lastRowLastColumn="0"/>
              <w:rPr>
                <w:rFonts w:ascii="Calibri" w:hAnsi="Calibri"/>
                <w:sz w:val="20"/>
                <w:szCs w:val="20"/>
                <w:lang w:eastAsia="en-US"/>
              </w:rPr>
            </w:pPr>
            <w:r w:rsidRPr="00E43137">
              <w:rPr>
                <w:rFonts w:ascii="Calibri" w:hAnsi="Calibri" w:cs="Calibri"/>
                <w:sz w:val="20"/>
                <w:szCs w:val="20"/>
                <w:lang w:eastAsia="en-US"/>
              </w:rPr>
              <w:t>0,630</w:t>
            </w:r>
          </w:p>
        </w:tc>
        <w:tc>
          <w:tcPr>
            <w:cnfStyle w:val="000010000000" w:firstRow="0" w:lastRow="0" w:firstColumn="0" w:lastColumn="0" w:oddVBand="1" w:evenVBand="0" w:oddHBand="0" w:evenHBand="0" w:firstRowFirstColumn="0" w:firstRowLastColumn="0" w:lastRowFirstColumn="0" w:lastRowLastColumn="0"/>
            <w:tcW w:w="1814" w:type="dxa"/>
          </w:tcPr>
          <w:p w:rsidR="00242C36" w:rsidRPr="00E43137" w:rsidRDefault="00242C36" w:rsidP="00242C36">
            <w:pPr>
              <w:jc w:val="right"/>
              <w:rPr>
                <w:rFonts w:ascii="Calibri" w:hAnsi="Calibri"/>
                <w:sz w:val="20"/>
                <w:szCs w:val="20"/>
                <w:lang w:eastAsia="en-US"/>
              </w:rPr>
            </w:pPr>
            <w:r w:rsidRPr="00E43137">
              <w:rPr>
                <w:rFonts w:ascii="Calibri" w:hAnsi="Calibri" w:cs="Calibri"/>
                <w:sz w:val="20"/>
                <w:szCs w:val="20"/>
                <w:lang w:eastAsia="en-US"/>
              </w:rPr>
              <w:t>0,693</w:t>
            </w:r>
          </w:p>
        </w:tc>
        <w:tc>
          <w:tcPr>
            <w:tcW w:w="1814" w:type="dxa"/>
          </w:tcPr>
          <w:p w:rsidR="00242C36" w:rsidRPr="00E43137" w:rsidRDefault="00242C36" w:rsidP="00242C36">
            <w:pPr>
              <w:jc w:val="right"/>
              <w:cnfStyle w:val="000000000000" w:firstRow="0" w:lastRow="0" w:firstColumn="0" w:lastColumn="0" w:oddVBand="0" w:evenVBand="0" w:oddHBand="0" w:evenHBand="0" w:firstRowFirstColumn="0" w:firstRowLastColumn="0" w:lastRowFirstColumn="0" w:lastRowLastColumn="0"/>
              <w:rPr>
                <w:rFonts w:ascii="Calibri" w:hAnsi="Calibri"/>
                <w:sz w:val="20"/>
                <w:szCs w:val="20"/>
                <w:lang w:eastAsia="en-US"/>
              </w:rPr>
            </w:pPr>
            <w:r w:rsidRPr="00E43137">
              <w:rPr>
                <w:rFonts w:ascii="Calibri" w:hAnsi="Calibri" w:cs="Calibri"/>
                <w:sz w:val="20"/>
                <w:szCs w:val="20"/>
                <w:lang w:eastAsia="en-US"/>
              </w:rPr>
              <w:t>0,786</w:t>
            </w:r>
          </w:p>
        </w:tc>
      </w:tr>
      <w:tr w:rsidR="00242C36" w:rsidRPr="00E43137" w:rsidTr="00242C3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14" w:type="dxa"/>
          </w:tcPr>
          <w:p w:rsidR="00242C36" w:rsidRPr="00E43137" w:rsidRDefault="00242C36" w:rsidP="00242C36">
            <w:pPr>
              <w:jc w:val="right"/>
              <w:rPr>
                <w:rFonts w:ascii="Calibri" w:hAnsi="Calibri"/>
                <w:b w:val="0"/>
                <w:bCs w:val="0"/>
                <w:sz w:val="20"/>
                <w:szCs w:val="20"/>
                <w:lang w:eastAsia="en-US"/>
              </w:rPr>
            </w:pPr>
            <w:r w:rsidRPr="00E43137">
              <w:rPr>
                <w:rFonts w:ascii="Calibri" w:hAnsi="Calibri" w:cs="Calibri"/>
                <w:sz w:val="20"/>
                <w:szCs w:val="20"/>
                <w:lang w:eastAsia="en-US"/>
              </w:rPr>
              <w:t>VYR/PV</w:t>
            </w:r>
          </w:p>
        </w:tc>
        <w:tc>
          <w:tcPr>
            <w:cnfStyle w:val="000010000000" w:firstRow="0" w:lastRow="0" w:firstColumn="0" w:lastColumn="0" w:oddVBand="1" w:evenVBand="0" w:oddHBand="0" w:evenHBand="0" w:firstRowFirstColumn="0" w:firstRowLastColumn="0" w:lastRowFirstColumn="0" w:lastRowLastColumn="0"/>
            <w:tcW w:w="1814" w:type="dxa"/>
          </w:tcPr>
          <w:p w:rsidR="00242C36" w:rsidRPr="00E43137" w:rsidRDefault="00242C36" w:rsidP="00242C36">
            <w:pPr>
              <w:jc w:val="right"/>
              <w:rPr>
                <w:rFonts w:ascii="Calibri" w:hAnsi="Calibri"/>
                <w:sz w:val="20"/>
                <w:szCs w:val="20"/>
                <w:lang w:eastAsia="en-US"/>
              </w:rPr>
            </w:pPr>
            <w:r w:rsidRPr="00E43137">
              <w:rPr>
                <w:rFonts w:ascii="Calibri" w:hAnsi="Calibri" w:cs="Calibri"/>
                <w:sz w:val="20"/>
                <w:szCs w:val="20"/>
                <w:lang w:eastAsia="en-US"/>
              </w:rPr>
              <w:t>0,681</w:t>
            </w:r>
          </w:p>
        </w:tc>
        <w:tc>
          <w:tcPr>
            <w:tcW w:w="1814" w:type="dxa"/>
          </w:tcPr>
          <w:p w:rsidR="00242C36" w:rsidRPr="00E43137" w:rsidRDefault="00242C36" w:rsidP="00242C36">
            <w:pPr>
              <w:jc w:val="right"/>
              <w:cnfStyle w:val="000000100000" w:firstRow="0" w:lastRow="0" w:firstColumn="0" w:lastColumn="0" w:oddVBand="0" w:evenVBand="0" w:oddHBand="1" w:evenHBand="0" w:firstRowFirstColumn="0" w:firstRowLastColumn="0" w:lastRowFirstColumn="0" w:lastRowLastColumn="0"/>
              <w:rPr>
                <w:rFonts w:ascii="Calibri" w:hAnsi="Calibri"/>
                <w:sz w:val="20"/>
                <w:szCs w:val="20"/>
                <w:lang w:eastAsia="en-US"/>
              </w:rPr>
            </w:pPr>
            <w:r w:rsidRPr="00E43137">
              <w:rPr>
                <w:rFonts w:ascii="Calibri" w:hAnsi="Calibri" w:cs="Calibri"/>
                <w:sz w:val="20"/>
                <w:szCs w:val="20"/>
                <w:lang w:eastAsia="en-US"/>
              </w:rPr>
              <w:t>0,633</w:t>
            </w:r>
          </w:p>
        </w:tc>
        <w:tc>
          <w:tcPr>
            <w:cnfStyle w:val="000010000000" w:firstRow="0" w:lastRow="0" w:firstColumn="0" w:lastColumn="0" w:oddVBand="1" w:evenVBand="0" w:oddHBand="0" w:evenHBand="0" w:firstRowFirstColumn="0" w:firstRowLastColumn="0" w:lastRowFirstColumn="0" w:lastRowLastColumn="0"/>
            <w:tcW w:w="1814" w:type="dxa"/>
          </w:tcPr>
          <w:p w:rsidR="00242C36" w:rsidRPr="00E43137" w:rsidRDefault="00242C36" w:rsidP="00242C36">
            <w:pPr>
              <w:jc w:val="right"/>
              <w:rPr>
                <w:rFonts w:ascii="Calibri" w:hAnsi="Calibri"/>
                <w:sz w:val="20"/>
                <w:szCs w:val="20"/>
                <w:lang w:eastAsia="en-US"/>
              </w:rPr>
            </w:pPr>
            <w:r w:rsidRPr="00E43137">
              <w:rPr>
                <w:rFonts w:ascii="Calibri" w:hAnsi="Calibri" w:cs="Calibri"/>
                <w:sz w:val="20"/>
                <w:szCs w:val="20"/>
                <w:lang w:eastAsia="en-US"/>
              </w:rPr>
              <w:t>0,597</w:t>
            </w:r>
          </w:p>
        </w:tc>
        <w:tc>
          <w:tcPr>
            <w:tcW w:w="1814" w:type="dxa"/>
          </w:tcPr>
          <w:p w:rsidR="00242C36" w:rsidRPr="00E43137" w:rsidRDefault="00242C36" w:rsidP="00242C36">
            <w:pPr>
              <w:jc w:val="right"/>
              <w:cnfStyle w:val="000000100000" w:firstRow="0" w:lastRow="0" w:firstColumn="0" w:lastColumn="0" w:oddVBand="0" w:evenVBand="0" w:oddHBand="1" w:evenHBand="0" w:firstRowFirstColumn="0" w:firstRowLastColumn="0" w:lastRowFirstColumn="0" w:lastRowLastColumn="0"/>
              <w:rPr>
                <w:rFonts w:ascii="Calibri" w:hAnsi="Calibri"/>
                <w:sz w:val="20"/>
                <w:szCs w:val="20"/>
                <w:lang w:eastAsia="en-US"/>
              </w:rPr>
            </w:pPr>
            <w:r w:rsidRPr="00E43137">
              <w:rPr>
                <w:rFonts w:ascii="Calibri" w:hAnsi="Calibri" w:cs="Calibri"/>
                <w:sz w:val="20"/>
                <w:szCs w:val="20"/>
                <w:lang w:eastAsia="en-US"/>
              </w:rPr>
              <w:t>0,710</w:t>
            </w:r>
          </w:p>
        </w:tc>
      </w:tr>
      <w:tr w:rsidR="00242C36" w:rsidRPr="00E43137" w:rsidTr="00242C36">
        <w:tc>
          <w:tcPr>
            <w:cnfStyle w:val="001000000000" w:firstRow="0" w:lastRow="0" w:firstColumn="1" w:lastColumn="0" w:oddVBand="0" w:evenVBand="0" w:oddHBand="0" w:evenHBand="0" w:firstRowFirstColumn="0" w:firstRowLastColumn="0" w:lastRowFirstColumn="0" w:lastRowLastColumn="0"/>
            <w:tcW w:w="1814" w:type="dxa"/>
          </w:tcPr>
          <w:p w:rsidR="00242C36" w:rsidRPr="00E43137" w:rsidRDefault="00242C36" w:rsidP="00242C36">
            <w:pPr>
              <w:jc w:val="right"/>
              <w:rPr>
                <w:rFonts w:ascii="Calibri" w:hAnsi="Calibri"/>
                <w:b w:val="0"/>
                <w:bCs w:val="0"/>
                <w:sz w:val="20"/>
                <w:szCs w:val="20"/>
                <w:lang w:eastAsia="en-US"/>
              </w:rPr>
            </w:pPr>
            <w:r w:rsidRPr="00E43137">
              <w:rPr>
                <w:rFonts w:ascii="Calibri" w:hAnsi="Calibri" w:cs="Calibri"/>
                <w:sz w:val="20"/>
                <w:szCs w:val="20"/>
                <w:lang w:eastAsia="en-US"/>
              </w:rPr>
              <w:t xml:space="preserve"> </w:t>
            </w:r>
          </w:p>
        </w:tc>
        <w:tc>
          <w:tcPr>
            <w:cnfStyle w:val="000010000000" w:firstRow="0" w:lastRow="0" w:firstColumn="0" w:lastColumn="0" w:oddVBand="1" w:evenVBand="0" w:oddHBand="0" w:evenHBand="0" w:firstRowFirstColumn="0" w:firstRowLastColumn="0" w:lastRowFirstColumn="0" w:lastRowLastColumn="0"/>
            <w:tcW w:w="1814" w:type="dxa"/>
          </w:tcPr>
          <w:p w:rsidR="00242C36" w:rsidRPr="00E43137" w:rsidRDefault="00242C36" w:rsidP="00242C36">
            <w:pPr>
              <w:jc w:val="right"/>
              <w:rPr>
                <w:rFonts w:ascii="Calibri" w:hAnsi="Calibri"/>
                <w:sz w:val="20"/>
                <w:szCs w:val="20"/>
                <w:lang w:eastAsia="en-US"/>
              </w:rPr>
            </w:pPr>
            <w:r w:rsidRPr="00E43137">
              <w:rPr>
                <w:rFonts w:ascii="Calibri" w:hAnsi="Calibri" w:cs="Calibri"/>
                <w:sz w:val="20"/>
                <w:szCs w:val="20"/>
                <w:lang w:eastAsia="en-US"/>
              </w:rPr>
              <w:t xml:space="preserve"> </w:t>
            </w:r>
          </w:p>
        </w:tc>
        <w:tc>
          <w:tcPr>
            <w:tcW w:w="1814" w:type="dxa"/>
          </w:tcPr>
          <w:p w:rsidR="00242C36" w:rsidRPr="00E43137" w:rsidRDefault="00242C36" w:rsidP="00242C36">
            <w:pPr>
              <w:jc w:val="right"/>
              <w:cnfStyle w:val="000000000000" w:firstRow="0" w:lastRow="0" w:firstColumn="0" w:lastColumn="0" w:oddVBand="0" w:evenVBand="0" w:oddHBand="0" w:evenHBand="0" w:firstRowFirstColumn="0" w:firstRowLastColumn="0" w:lastRowFirstColumn="0" w:lastRowLastColumn="0"/>
              <w:rPr>
                <w:rFonts w:ascii="Calibri" w:hAnsi="Calibri"/>
                <w:sz w:val="20"/>
                <w:szCs w:val="20"/>
                <w:lang w:eastAsia="en-US"/>
              </w:rPr>
            </w:pPr>
            <w:r w:rsidRPr="00E43137">
              <w:rPr>
                <w:rFonts w:ascii="Calibri" w:hAnsi="Calibri" w:cs="Calibri"/>
                <w:sz w:val="20"/>
                <w:szCs w:val="20"/>
                <w:lang w:eastAsia="en-US"/>
              </w:rPr>
              <w:t xml:space="preserve"> </w:t>
            </w:r>
          </w:p>
        </w:tc>
        <w:tc>
          <w:tcPr>
            <w:cnfStyle w:val="000010000000" w:firstRow="0" w:lastRow="0" w:firstColumn="0" w:lastColumn="0" w:oddVBand="1" w:evenVBand="0" w:oddHBand="0" w:evenHBand="0" w:firstRowFirstColumn="0" w:firstRowLastColumn="0" w:lastRowFirstColumn="0" w:lastRowLastColumn="0"/>
            <w:tcW w:w="1814" w:type="dxa"/>
          </w:tcPr>
          <w:p w:rsidR="00242C36" w:rsidRPr="00E43137" w:rsidRDefault="00242C36" w:rsidP="00242C36">
            <w:pPr>
              <w:jc w:val="right"/>
              <w:rPr>
                <w:rFonts w:ascii="Calibri" w:hAnsi="Calibri"/>
                <w:sz w:val="20"/>
                <w:szCs w:val="20"/>
                <w:lang w:eastAsia="en-US"/>
              </w:rPr>
            </w:pPr>
            <w:r w:rsidRPr="00E43137">
              <w:rPr>
                <w:rFonts w:ascii="Calibri" w:hAnsi="Calibri" w:cs="Calibri"/>
                <w:sz w:val="20"/>
                <w:szCs w:val="20"/>
                <w:lang w:eastAsia="en-US"/>
              </w:rPr>
              <w:t xml:space="preserve"> </w:t>
            </w:r>
          </w:p>
        </w:tc>
        <w:tc>
          <w:tcPr>
            <w:tcW w:w="1814" w:type="dxa"/>
          </w:tcPr>
          <w:p w:rsidR="00242C36" w:rsidRPr="00E43137" w:rsidRDefault="00242C36" w:rsidP="00242C36">
            <w:pPr>
              <w:jc w:val="right"/>
              <w:cnfStyle w:val="000000000000" w:firstRow="0" w:lastRow="0" w:firstColumn="0" w:lastColumn="0" w:oddVBand="0" w:evenVBand="0" w:oddHBand="0" w:evenHBand="0" w:firstRowFirstColumn="0" w:firstRowLastColumn="0" w:lastRowFirstColumn="0" w:lastRowLastColumn="0"/>
              <w:rPr>
                <w:rFonts w:ascii="Calibri" w:hAnsi="Calibri"/>
                <w:sz w:val="20"/>
                <w:szCs w:val="20"/>
                <w:lang w:eastAsia="en-US"/>
              </w:rPr>
            </w:pPr>
            <w:r w:rsidRPr="00E43137">
              <w:rPr>
                <w:rFonts w:ascii="Calibri" w:hAnsi="Calibri" w:cs="Calibri"/>
                <w:sz w:val="20"/>
                <w:szCs w:val="20"/>
                <w:lang w:eastAsia="en-US"/>
              </w:rPr>
              <w:t xml:space="preserve"> </w:t>
            </w:r>
          </w:p>
        </w:tc>
      </w:tr>
      <w:tr w:rsidR="00242C36" w:rsidRPr="00E43137" w:rsidTr="00242C3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14" w:type="dxa"/>
          </w:tcPr>
          <w:p w:rsidR="00242C36" w:rsidRPr="00E43137" w:rsidRDefault="00242C36" w:rsidP="00242C36">
            <w:pPr>
              <w:jc w:val="right"/>
              <w:rPr>
                <w:rFonts w:ascii="Calibri" w:hAnsi="Calibri"/>
                <w:b w:val="0"/>
                <w:bCs w:val="0"/>
                <w:sz w:val="20"/>
                <w:szCs w:val="20"/>
                <w:lang w:eastAsia="en-US"/>
              </w:rPr>
            </w:pPr>
            <w:r w:rsidRPr="00E43137">
              <w:rPr>
                <w:rFonts w:ascii="Calibri" w:hAnsi="Calibri" w:cs="Calibri"/>
                <w:sz w:val="20"/>
                <w:szCs w:val="20"/>
                <w:lang w:eastAsia="en-US"/>
              </w:rPr>
              <w:t>EXT/PH</w:t>
            </w:r>
          </w:p>
        </w:tc>
        <w:tc>
          <w:tcPr>
            <w:cnfStyle w:val="000010000000" w:firstRow="0" w:lastRow="0" w:firstColumn="0" w:lastColumn="0" w:oddVBand="1" w:evenVBand="0" w:oddHBand="0" w:evenHBand="0" w:firstRowFirstColumn="0" w:firstRowLastColumn="0" w:lastRowFirstColumn="0" w:lastRowLastColumn="0"/>
            <w:tcW w:w="1814" w:type="dxa"/>
          </w:tcPr>
          <w:p w:rsidR="00242C36" w:rsidRPr="00E43137" w:rsidRDefault="00242C36" w:rsidP="00242C36">
            <w:pPr>
              <w:jc w:val="right"/>
              <w:rPr>
                <w:rFonts w:ascii="Calibri" w:hAnsi="Calibri"/>
                <w:sz w:val="20"/>
                <w:szCs w:val="20"/>
                <w:lang w:eastAsia="en-US"/>
              </w:rPr>
            </w:pPr>
            <w:r w:rsidRPr="00E43137">
              <w:rPr>
                <w:rFonts w:ascii="Calibri" w:hAnsi="Calibri" w:cs="Calibri"/>
                <w:sz w:val="20"/>
                <w:szCs w:val="20"/>
                <w:lang w:eastAsia="en-US"/>
              </w:rPr>
              <w:t>0,421</w:t>
            </w:r>
          </w:p>
        </w:tc>
        <w:tc>
          <w:tcPr>
            <w:tcW w:w="1814" w:type="dxa"/>
          </w:tcPr>
          <w:p w:rsidR="00242C36" w:rsidRPr="00E43137" w:rsidRDefault="00242C36" w:rsidP="00242C36">
            <w:pPr>
              <w:jc w:val="right"/>
              <w:cnfStyle w:val="000000100000" w:firstRow="0" w:lastRow="0" w:firstColumn="0" w:lastColumn="0" w:oddVBand="0" w:evenVBand="0" w:oddHBand="1" w:evenHBand="0" w:firstRowFirstColumn="0" w:firstRowLastColumn="0" w:lastRowFirstColumn="0" w:lastRowLastColumn="0"/>
              <w:rPr>
                <w:rFonts w:ascii="Calibri" w:hAnsi="Calibri"/>
                <w:sz w:val="20"/>
                <w:szCs w:val="20"/>
                <w:lang w:eastAsia="en-US"/>
              </w:rPr>
            </w:pPr>
            <w:r w:rsidRPr="00E43137">
              <w:rPr>
                <w:rFonts w:ascii="Calibri" w:hAnsi="Calibri" w:cs="Calibri"/>
                <w:sz w:val="20"/>
                <w:szCs w:val="20"/>
                <w:lang w:eastAsia="en-US"/>
              </w:rPr>
              <w:t>0,450</w:t>
            </w:r>
          </w:p>
        </w:tc>
        <w:tc>
          <w:tcPr>
            <w:cnfStyle w:val="000010000000" w:firstRow="0" w:lastRow="0" w:firstColumn="0" w:lastColumn="0" w:oddVBand="1" w:evenVBand="0" w:oddHBand="0" w:evenHBand="0" w:firstRowFirstColumn="0" w:firstRowLastColumn="0" w:lastRowFirstColumn="0" w:lastRowLastColumn="0"/>
            <w:tcW w:w="1814" w:type="dxa"/>
          </w:tcPr>
          <w:p w:rsidR="00242C36" w:rsidRPr="00E43137" w:rsidRDefault="00242C36" w:rsidP="00242C36">
            <w:pPr>
              <w:jc w:val="right"/>
              <w:rPr>
                <w:rFonts w:ascii="Calibri" w:hAnsi="Calibri"/>
                <w:sz w:val="20"/>
                <w:szCs w:val="20"/>
                <w:lang w:eastAsia="en-US"/>
              </w:rPr>
            </w:pPr>
            <w:r w:rsidRPr="00E43137">
              <w:rPr>
                <w:rFonts w:ascii="Calibri" w:hAnsi="Calibri" w:cs="Calibri"/>
                <w:sz w:val="20"/>
                <w:szCs w:val="20"/>
                <w:lang w:eastAsia="en-US"/>
              </w:rPr>
              <w:t>0,785</w:t>
            </w:r>
          </w:p>
        </w:tc>
        <w:tc>
          <w:tcPr>
            <w:tcW w:w="1814" w:type="dxa"/>
          </w:tcPr>
          <w:p w:rsidR="00242C36" w:rsidRPr="00E43137" w:rsidRDefault="00242C36" w:rsidP="00242C36">
            <w:pPr>
              <w:jc w:val="right"/>
              <w:cnfStyle w:val="000000100000" w:firstRow="0" w:lastRow="0" w:firstColumn="0" w:lastColumn="0" w:oddVBand="0" w:evenVBand="0" w:oddHBand="1" w:evenHBand="0" w:firstRowFirstColumn="0" w:firstRowLastColumn="0" w:lastRowFirstColumn="0" w:lastRowLastColumn="0"/>
              <w:rPr>
                <w:rFonts w:ascii="Calibri" w:hAnsi="Calibri"/>
                <w:sz w:val="20"/>
                <w:szCs w:val="20"/>
                <w:lang w:eastAsia="en-US"/>
              </w:rPr>
            </w:pPr>
            <w:r w:rsidRPr="00E43137">
              <w:rPr>
                <w:rFonts w:ascii="Calibri" w:hAnsi="Calibri" w:cs="Calibri"/>
                <w:sz w:val="20"/>
                <w:szCs w:val="20"/>
                <w:lang w:eastAsia="en-US"/>
              </w:rPr>
              <w:t>1,373</w:t>
            </w:r>
          </w:p>
        </w:tc>
      </w:tr>
      <w:tr w:rsidR="00242C36" w:rsidRPr="00E43137" w:rsidTr="00242C36">
        <w:tc>
          <w:tcPr>
            <w:cnfStyle w:val="001000000000" w:firstRow="0" w:lastRow="0" w:firstColumn="1" w:lastColumn="0" w:oddVBand="0" w:evenVBand="0" w:oddHBand="0" w:evenHBand="0" w:firstRowFirstColumn="0" w:firstRowLastColumn="0" w:lastRowFirstColumn="0" w:lastRowLastColumn="0"/>
            <w:tcW w:w="1814" w:type="dxa"/>
          </w:tcPr>
          <w:p w:rsidR="00242C36" w:rsidRPr="00E43137" w:rsidRDefault="00242C36" w:rsidP="00242C36">
            <w:pPr>
              <w:jc w:val="right"/>
              <w:rPr>
                <w:rFonts w:ascii="Calibri" w:hAnsi="Calibri"/>
                <w:b w:val="0"/>
                <w:bCs w:val="0"/>
                <w:sz w:val="20"/>
                <w:szCs w:val="20"/>
                <w:lang w:eastAsia="en-US"/>
              </w:rPr>
            </w:pPr>
            <w:r w:rsidRPr="00E43137">
              <w:rPr>
                <w:rFonts w:ascii="Calibri" w:hAnsi="Calibri" w:cs="Calibri"/>
                <w:sz w:val="20"/>
                <w:szCs w:val="20"/>
                <w:lang w:eastAsia="en-US"/>
              </w:rPr>
              <w:t>Odpisy/PH</w:t>
            </w:r>
          </w:p>
        </w:tc>
        <w:tc>
          <w:tcPr>
            <w:cnfStyle w:val="000010000000" w:firstRow="0" w:lastRow="0" w:firstColumn="0" w:lastColumn="0" w:oddVBand="1" w:evenVBand="0" w:oddHBand="0" w:evenHBand="0" w:firstRowFirstColumn="0" w:firstRowLastColumn="0" w:lastRowFirstColumn="0" w:lastRowLastColumn="0"/>
            <w:tcW w:w="1814" w:type="dxa"/>
          </w:tcPr>
          <w:p w:rsidR="00242C36" w:rsidRPr="00E43137" w:rsidRDefault="00242C36" w:rsidP="00242C36">
            <w:pPr>
              <w:jc w:val="right"/>
              <w:rPr>
                <w:rFonts w:ascii="Calibri" w:hAnsi="Calibri"/>
                <w:sz w:val="20"/>
                <w:szCs w:val="20"/>
                <w:lang w:eastAsia="en-US"/>
              </w:rPr>
            </w:pPr>
            <w:r w:rsidRPr="00E43137">
              <w:rPr>
                <w:rFonts w:ascii="Calibri" w:hAnsi="Calibri" w:cs="Calibri"/>
                <w:sz w:val="20"/>
                <w:szCs w:val="20"/>
                <w:lang w:eastAsia="en-US"/>
              </w:rPr>
              <w:t>0,472</w:t>
            </w:r>
          </w:p>
        </w:tc>
        <w:tc>
          <w:tcPr>
            <w:tcW w:w="1814" w:type="dxa"/>
          </w:tcPr>
          <w:p w:rsidR="00242C36" w:rsidRPr="00E43137" w:rsidRDefault="00242C36" w:rsidP="00242C36">
            <w:pPr>
              <w:jc w:val="right"/>
              <w:cnfStyle w:val="000000000000" w:firstRow="0" w:lastRow="0" w:firstColumn="0" w:lastColumn="0" w:oddVBand="0" w:evenVBand="0" w:oddHBand="0" w:evenHBand="0" w:firstRowFirstColumn="0" w:firstRowLastColumn="0" w:lastRowFirstColumn="0" w:lastRowLastColumn="0"/>
              <w:rPr>
                <w:rFonts w:ascii="Calibri" w:hAnsi="Calibri"/>
                <w:sz w:val="20"/>
                <w:szCs w:val="20"/>
                <w:lang w:eastAsia="en-US"/>
              </w:rPr>
            </w:pPr>
            <w:r w:rsidRPr="00E43137">
              <w:rPr>
                <w:rFonts w:ascii="Calibri" w:hAnsi="Calibri" w:cs="Calibri"/>
                <w:sz w:val="20"/>
                <w:szCs w:val="20"/>
                <w:lang w:eastAsia="en-US"/>
              </w:rPr>
              <w:t>0,570</w:t>
            </w:r>
          </w:p>
        </w:tc>
        <w:tc>
          <w:tcPr>
            <w:cnfStyle w:val="000010000000" w:firstRow="0" w:lastRow="0" w:firstColumn="0" w:lastColumn="0" w:oddVBand="1" w:evenVBand="0" w:oddHBand="0" w:evenHBand="0" w:firstRowFirstColumn="0" w:firstRowLastColumn="0" w:lastRowFirstColumn="0" w:lastRowLastColumn="0"/>
            <w:tcW w:w="1814" w:type="dxa"/>
          </w:tcPr>
          <w:p w:rsidR="00242C36" w:rsidRPr="00E43137" w:rsidRDefault="00242C36" w:rsidP="00242C36">
            <w:pPr>
              <w:jc w:val="right"/>
              <w:rPr>
                <w:rFonts w:ascii="Calibri" w:hAnsi="Calibri"/>
                <w:sz w:val="20"/>
                <w:szCs w:val="20"/>
                <w:lang w:eastAsia="en-US"/>
              </w:rPr>
            </w:pPr>
            <w:r w:rsidRPr="00E43137">
              <w:rPr>
                <w:rFonts w:ascii="Calibri" w:hAnsi="Calibri" w:cs="Calibri"/>
                <w:sz w:val="20"/>
                <w:szCs w:val="20"/>
                <w:lang w:eastAsia="en-US"/>
              </w:rPr>
              <w:t>0,728</w:t>
            </w:r>
          </w:p>
        </w:tc>
        <w:tc>
          <w:tcPr>
            <w:tcW w:w="1814" w:type="dxa"/>
          </w:tcPr>
          <w:p w:rsidR="00242C36" w:rsidRPr="00E43137" w:rsidRDefault="00242C36" w:rsidP="00242C36">
            <w:pPr>
              <w:jc w:val="right"/>
              <w:cnfStyle w:val="000000000000" w:firstRow="0" w:lastRow="0" w:firstColumn="0" w:lastColumn="0" w:oddVBand="0" w:evenVBand="0" w:oddHBand="0" w:evenHBand="0" w:firstRowFirstColumn="0" w:firstRowLastColumn="0" w:lastRowFirstColumn="0" w:lastRowLastColumn="0"/>
              <w:rPr>
                <w:rFonts w:ascii="Calibri" w:hAnsi="Calibri"/>
                <w:sz w:val="20"/>
                <w:szCs w:val="20"/>
                <w:lang w:eastAsia="en-US"/>
              </w:rPr>
            </w:pPr>
            <w:r w:rsidRPr="00E43137">
              <w:rPr>
                <w:rFonts w:ascii="Calibri" w:hAnsi="Calibri" w:cs="Calibri"/>
                <w:sz w:val="20"/>
                <w:szCs w:val="20"/>
                <w:lang w:eastAsia="en-US"/>
              </w:rPr>
              <w:t>0,859</w:t>
            </w:r>
          </w:p>
        </w:tc>
      </w:tr>
      <w:tr w:rsidR="00242C36" w:rsidRPr="00E43137" w:rsidTr="00242C3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14" w:type="dxa"/>
          </w:tcPr>
          <w:p w:rsidR="00242C36" w:rsidRPr="00E43137" w:rsidRDefault="00242C36" w:rsidP="00242C36">
            <w:pPr>
              <w:jc w:val="right"/>
              <w:rPr>
                <w:rFonts w:ascii="Calibri" w:hAnsi="Calibri"/>
                <w:b w:val="0"/>
                <w:bCs w:val="0"/>
                <w:sz w:val="20"/>
                <w:szCs w:val="20"/>
                <w:lang w:eastAsia="en-US"/>
              </w:rPr>
            </w:pPr>
            <w:r w:rsidRPr="00E43137">
              <w:rPr>
                <w:rFonts w:ascii="Calibri" w:hAnsi="Calibri" w:cs="Calibri"/>
                <w:sz w:val="20"/>
                <w:szCs w:val="20"/>
                <w:lang w:eastAsia="en-US"/>
              </w:rPr>
              <w:t>NVH (EUR)</w:t>
            </w:r>
          </w:p>
        </w:tc>
        <w:tc>
          <w:tcPr>
            <w:cnfStyle w:val="000010000000" w:firstRow="0" w:lastRow="0" w:firstColumn="0" w:lastColumn="0" w:oddVBand="1" w:evenVBand="0" w:oddHBand="0" w:evenHBand="0" w:firstRowFirstColumn="0" w:firstRowLastColumn="0" w:lastRowFirstColumn="0" w:lastRowLastColumn="0"/>
            <w:tcW w:w="1814" w:type="dxa"/>
          </w:tcPr>
          <w:p w:rsidR="00242C36" w:rsidRPr="00E43137" w:rsidRDefault="00242C36" w:rsidP="00242C36">
            <w:pPr>
              <w:jc w:val="right"/>
              <w:rPr>
                <w:rFonts w:ascii="Calibri" w:hAnsi="Calibri"/>
                <w:sz w:val="20"/>
                <w:szCs w:val="20"/>
                <w:lang w:eastAsia="en-US"/>
              </w:rPr>
            </w:pPr>
            <w:r w:rsidRPr="00E43137">
              <w:rPr>
                <w:rFonts w:ascii="Calibri" w:hAnsi="Calibri" w:cs="Calibri"/>
                <w:sz w:val="20"/>
                <w:szCs w:val="20"/>
                <w:lang w:eastAsia="en-US"/>
              </w:rPr>
              <w:t>1 652</w:t>
            </w:r>
          </w:p>
        </w:tc>
        <w:tc>
          <w:tcPr>
            <w:tcW w:w="1814" w:type="dxa"/>
          </w:tcPr>
          <w:p w:rsidR="00242C36" w:rsidRPr="00E43137" w:rsidRDefault="00242C36" w:rsidP="00242C36">
            <w:pPr>
              <w:jc w:val="right"/>
              <w:cnfStyle w:val="000000100000" w:firstRow="0" w:lastRow="0" w:firstColumn="0" w:lastColumn="0" w:oddVBand="0" w:evenVBand="0" w:oddHBand="1" w:evenHBand="0" w:firstRowFirstColumn="0" w:firstRowLastColumn="0" w:lastRowFirstColumn="0" w:lastRowLastColumn="0"/>
              <w:rPr>
                <w:rFonts w:ascii="Calibri" w:hAnsi="Calibri"/>
                <w:sz w:val="20"/>
                <w:szCs w:val="20"/>
                <w:lang w:eastAsia="en-US"/>
              </w:rPr>
            </w:pPr>
            <w:r w:rsidRPr="00E43137">
              <w:rPr>
                <w:rFonts w:ascii="Calibri" w:hAnsi="Calibri" w:cs="Calibri"/>
                <w:sz w:val="20"/>
                <w:szCs w:val="20"/>
                <w:lang w:eastAsia="en-US"/>
              </w:rPr>
              <w:t>-901</w:t>
            </w:r>
          </w:p>
        </w:tc>
        <w:tc>
          <w:tcPr>
            <w:cnfStyle w:val="000010000000" w:firstRow="0" w:lastRow="0" w:firstColumn="0" w:lastColumn="0" w:oddVBand="1" w:evenVBand="0" w:oddHBand="0" w:evenHBand="0" w:firstRowFirstColumn="0" w:firstRowLastColumn="0" w:lastRowFirstColumn="0" w:lastRowLastColumn="0"/>
            <w:tcW w:w="1814" w:type="dxa"/>
          </w:tcPr>
          <w:p w:rsidR="00242C36" w:rsidRPr="00E43137" w:rsidRDefault="00242C36" w:rsidP="00242C36">
            <w:pPr>
              <w:jc w:val="right"/>
              <w:rPr>
                <w:rFonts w:ascii="Calibri" w:hAnsi="Calibri"/>
                <w:sz w:val="20"/>
                <w:szCs w:val="20"/>
                <w:lang w:eastAsia="en-US"/>
              </w:rPr>
            </w:pPr>
            <w:r w:rsidRPr="00E43137">
              <w:rPr>
                <w:rFonts w:ascii="Calibri" w:hAnsi="Calibri" w:cs="Calibri"/>
                <w:sz w:val="20"/>
                <w:szCs w:val="20"/>
                <w:lang w:eastAsia="en-US"/>
              </w:rPr>
              <w:t>-43 834</w:t>
            </w:r>
          </w:p>
        </w:tc>
        <w:tc>
          <w:tcPr>
            <w:tcW w:w="1814" w:type="dxa"/>
          </w:tcPr>
          <w:p w:rsidR="00242C36" w:rsidRPr="00E43137" w:rsidRDefault="00242C36" w:rsidP="00242C36">
            <w:pPr>
              <w:jc w:val="right"/>
              <w:cnfStyle w:val="000000100000" w:firstRow="0" w:lastRow="0" w:firstColumn="0" w:lastColumn="0" w:oddVBand="0" w:evenVBand="0" w:oddHBand="1" w:evenHBand="0" w:firstRowFirstColumn="0" w:firstRowLastColumn="0" w:lastRowFirstColumn="0" w:lastRowLastColumn="0"/>
              <w:rPr>
                <w:rFonts w:ascii="Calibri" w:hAnsi="Calibri"/>
                <w:sz w:val="20"/>
                <w:szCs w:val="20"/>
                <w:lang w:eastAsia="en-US"/>
              </w:rPr>
            </w:pPr>
            <w:r w:rsidRPr="00E43137">
              <w:rPr>
                <w:rFonts w:ascii="Calibri" w:hAnsi="Calibri" w:cs="Calibri"/>
                <w:sz w:val="20"/>
                <w:szCs w:val="20"/>
                <w:lang w:eastAsia="en-US"/>
              </w:rPr>
              <w:t>-429 580</w:t>
            </w:r>
          </w:p>
        </w:tc>
      </w:tr>
      <w:tr w:rsidR="00242C36" w:rsidRPr="00E43137" w:rsidTr="00242C36">
        <w:tc>
          <w:tcPr>
            <w:cnfStyle w:val="001000000000" w:firstRow="0" w:lastRow="0" w:firstColumn="1" w:lastColumn="0" w:oddVBand="0" w:evenVBand="0" w:oddHBand="0" w:evenHBand="0" w:firstRowFirstColumn="0" w:firstRowLastColumn="0" w:lastRowFirstColumn="0" w:lastRowLastColumn="0"/>
            <w:tcW w:w="1814" w:type="dxa"/>
          </w:tcPr>
          <w:p w:rsidR="00242C36" w:rsidRPr="00E43137" w:rsidRDefault="00242C36" w:rsidP="00242C36">
            <w:pPr>
              <w:jc w:val="right"/>
              <w:rPr>
                <w:rFonts w:ascii="Calibri" w:hAnsi="Calibri"/>
                <w:b w:val="0"/>
                <w:bCs w:val="0"/>
                <w:sz w:val="20"/>
                <w:szCs w:val="20"/>
                <w:lang w:eastAsia="en-US"/>
              </w:rPr>
            </w:pPr>
            <w:r w:rsidRPr="00E43137">
              <w:rPr>
                <w:rFonts w:ascii="Calibri" w:hAnsi="Calibri" w:cs="Calibri"/>
                <w:sz w:val="20"/>
                <w:szCs w:val="20"/>
                <w:lang w:eastAsia="en-US"/>
              </w:rPr>
              <w:t>NVH/PH</w:t>
            </w:r>
          </w:p>
        </w:tc>
        <w:tc>
          <w:tcPr>
            <w:cnfStyle w:val="000010000000" w:firstRow="0" w:lastRow="0" w:firstColumn="0" w:lastColumn="0" w:oddVBand="1" w:evenVBand="0" w:oddHBand="0" w:evenHBand="0" w:firstRowFirstColumn="0" w:firstRowLastColumn="0" w:lastRowFirstColumn="0" w:lastRowLastColumn="0"/>
            <w:tcW w:w="1814" w:type="dxa"/>
          </w:tcPr>
          <w:p w:rsidR="00242C36" w:rsidRPr="00E43137" w:rsidRDefault="00242C36" w:rsidP="00242C36">
            <w:pPr>
              <w:jc w:val="right"/>
              <w:rPr>
                <w:rFonts w:ascii="Calibri" w:hAnsi="Calibri"/>
                <w:sz w:val="20"/>
                <w:szCs w:val="20"/>
                <w:lang w:eastAsia="en-US"/>
              </w:rPr>
            </w:pPr>
            <w:r w:rsidRPr="00E43137">
              <w:rPr>
                <w:rFonts w:ascii="Calibri" w:hAnsi="Calibri" w:cs="Calibri"/>
                <w:sz w:val="20"/>
                <w:szCs w:val="20"/>
                <w:lang w:eastAsia="en-US"/>
              </w:rPr>
              <w:t>0,107</w:t>
            </w:r>
          </w:p>
        </w:tc>
        <w:tc>
          <w:tcPr>
            <w:tcW w:w="1814" w:type="dxa"/>
          </w:tcPr>
          <w:p w:rsidR="00242C36" w:rsidRPr="00E43137" w:rsidRDefault="00242C36" w:rsidP="00242C36">
            <w:pPr>
              <w:jc w:val="right"/>
              <w:cnfStyle w:val="000000000000" w:firstRow="0" w:lastRow="0" w:firstColumn="0" w:lastColumn="0" w:oddVBand="0" w:evenVBand="0" w:oddHBand="0" w:evenHBand="0" w:firstRowFirstColumn="0" w:firstRowLastColumn="0" w:lastRowFirstColumn="0" w:lastRowLastColumn="0"/>
              <w:rPr>
                <w:rFonts w:ascii="Calibri" w:hAnsi="Calibri"/>
                <w:sz w:val="20"/>
                <w:szCs w:val="20"/>
                <w:lang w:eastAsia="en-US"/>
              </w:rPr>
            </w:pPr>
            <w:r w:rsidRPr="00E43137">
              <w:rPr>
                <w:rFonts w:ascii="Calibri" w:hAnsi="Calibri" w:cs="Calibri"/>
                <w:sz w:val="20"/>
                <w:szCs w:val="20"/>
                <w:lang w:eastAsia="en-US"/>
              </w:rPr>
              <w:t>-0,020</w:t>
            </w:r>
          </w:p>
        </w:tc>
        <w:tc>
          <w:tcPr>
            <w:cnfStyle w:val="000010000000" w:firstRow="0" w:lastRow="0" w:firstColumn="0" w:lastColumn="0" w:oddVBand="1" w:evenVBand="0" w:oddHBand="0" w:evenHBand="0" w:firstRowFirstColumn="0" w:firstRowLastColumn="0" w:lastRowFirstColumn="0" w:lastRowLastColumn="0"/>
            <w:tcW w:w="1814" w:type="dxa"/>
          </w:tcPr>
          <w:p w:rsidR="00242C36" w:rsidRPr="00E43137" w:rsidRDefault="00242C36" w:rsidP="00242C36">
            <w:pPr>
              <w:jc w:val="right"/>
              <w:rPr>
                <w:rFonts w:ascii="Calibri" w:hAnsi="Calibri"/>
                <w:sz w:val="20"/>
                <w:szCs w:val="20"/>
                <w:lang w:eastAsia="en-US"/>
              </w:rPr>
            </w:pPr>
            <w:r w:rsidRPr="00E43137">
              <w:rPr>
                <w:rFonts w:ascii="Calibri" w:hAnsi="Calibri" w:cs="Calibri"/>
                <w:sz w:val="20"/>
                <w:szCs w:val="20"/>
                <w:lang w:eastAsia="en-US"/>
              </w:rPr>
              <w:t>-0,513</w:t>
            </w:r>
          </w:p>
        </w:tc>
        <w:tc>
          <w:tcPr>
            <w:tcW w:w="1814" w:type="dxa"/>
          </w:tcPr>
          <w:p w:rsidR="00242C36" w:rsidRPr="00E43137" w:rsidRDefault="00242C36" w:rsidP="00242C36">
            <w:pPr>
              <w:jc w:val="right"/>
              <w:cnfStyle w:val="000000000000" w:firstRow="0" w:lastRow="0" w:firstColumn="0" w:lastColumn="0" w:oddVBand="0" w:evenVBand="0" w:oddHBand="0" w:evenHBand="0" w:firstRowFirstColumn="0" w:firstRowLastColumn="0" w:lastRowFirstColumn="0" w:lastRowLastColumn="0"/>
              <w:rPr>
                <w:rFonts w:ascii="Calibri" w:hAnsi="Calibri"/>
                <w:sz w:val="20"/>
                <w:szCs w:val="20"/>
                <w:lang w:eastAsia="en-US"/>
              </w:rPr>
            </w:pPr>
            <w:r w:rsidRPr="00E43137">
              <w:rPr>
                <w:rFonts w:ascii="Calibri" w:hAnsi="Calibri" w:cs="Calibri"/>
                <w:sz w:val="20"/>
                <w:szCs w:val="20"/>
                <w:lang w:eastAsia="en-US"/>
              </w:rPr>
              <w:t>-1,232</w:t>
            </w:r>
          </w:p>
        </w:tc>
      </w:tr>
    </w:tbl>
    <w:p w:rsidR="00242C36" w:rsidRPr="00E43137" w:rsidRDefault="00242C36" w:rsidP="00242C36">
      <w:pPr>
        <w:rPr>
          <w:sz w:val="20"/>
          <w:szCs w:val="20"/>
        </w:rPr>
      </w:pPr>
      <w:r w:rsidRPr="00E43137">
        <w:rPr>
          <w:rFonts w:ascii="Calibri" w:hAnsi="Calibri" w:cs="Calibri"/>
          <w:iCs/>
          <w:sz w:val="20"/>
          <w:szCs w:val="20"/>
        </w:rPr>
        <w:t>PV – prevádzkové výnosy (celková produkcia + saldo prevádzkových dotácií a daní)</w:t>
      </w:r>
    </w:p>
    <w:p w:rsidR="00242C36" w:rsidRPr="00E43137" w:rsidRDefault="00242C36" w:rsidP="00242C36">
      <w:pPr>
        <w:rPr>
          <w:sz w:val="20"/>
          <w:szCs w:val="20"/>
        </w:rPr>
      </w:pPr>
      <w:r w:rsidRPr="00E43137">
        <w:rPr>
          <w:rFonts w:ascii="Calibri" w:hAnsi="Calibri" w:cs="Calibri"/>
          <w:iCs/>
          <w:sz w:val="20"/>
          <w:szCs w:val="20"/>
        </w:rPr>
        <w:t>VYR – rastlinná, živočíšna a ostatná produkcia</w:t>
      </w:r>
    </w:p>
    <w:p w:rsidR="00242C36" w:rsidRPr="00E43137" w:rsidRDefault="00242C36" w:rsidP="00242C36">
      <w:pPr>
        <w:rPr>
          <w:sz w:val="20"/>
          <w:szCs w:val="20"/>
        </w:rPr>
      </w:pPr>
      <w:r w:rsidRPr="00E43137">
        <w:rPr>
          <w:rFonts w:ascii="Calibri" w:hAnsi="Calibri" w:cs="Calibri"/>
          <w:iCs/>
          <w:sz w:val="20"/>
          <w:szCs w:val="20"/>
        </w:rPr>
        <w:t>VS – výrobná spotreba</w:t>
      </w:r>
    </w:p>
    <w:p w:rsidR="00242C36" w:rsidRPr="00E43137" w:rsidRDefault="00242C36" w:rsidP="00242C36">
      <w:pPr>
        <w:rPr>
          <w:sz w:val="20"/>
          <w:szCs w:val="20"/>
        </w:rPr>
      </w:pPr>
      <w:r w:rsidRPr="00E43137">
        <w:rPr>
          <w:rFonts w:ascii="Calibri" w:hAnsi="Calibri" w:cs="Calibri"/>
          <w:iCs/>
          <w:sz w:val="20"/>
          <w:szCs w:val="20"/>
        </w:rPr>
        <w:t>PH – hrubá pridaná hodnota</w:t>
      </w:r>
    </w:p>
    <w:p w:rsidR="00242C36" w:rsidRPr="00E43137" w:rsidRDefault="00242C36" w:rsidP="00242C36">
      <w:pPr>
        <w:rPr>
          <w:sz w:val="20"/>
          <w:szCs w:val="20"/>
        </w:rPr>
      </w:pPr>
      <w:r w:rsidRPr="00E43137">
        <w:rPr>
          <w:rFonts w:ascii="Calibri" w:hAnsi="Calibri" w:cs="Calibri"/>
          <w:iCs/>
          <w:sz w:val="20"/>
          <w:szCs w:val="20"/>
        </w:rPr>
        <w:t>EXT – externé faktory (mzdy, nájomné, úroky)</w:t>
      </w:r>
    </w:p>
    <w:p w:rsidR="00242C36" w:rsidRPr="00E43137" w:rsidRDefault="00242C36" w:rsidP="00242C36">
      <w:pPr>
        <w:rPr>
          <w:sz w:val="20"/>
          <w:szCs w:val="20"/>
        </w:rPr>
      </w:pPr>
      <w:r w:rsidRPr="00E43137">
        <w:rPr>
          <w:rFonts w:ascii="Calibri" w:hAnsi="Calibri" w:cs="Calibri"/>
          <w:iCs/>
          <w:sz w:val="20"/>
          <w:szCs w:val="20"/>
        </w:rPr>
        <w:t>NVH – novo vytvorená hodnota (dôchodok z poľnohospodárskej činnosti bez investičných dotácií)</w:t>
      </w:r>
    </w:p>
    <w:p w:rsidR="00242C36" w:rsidRPr="00E43137" w:rsidRDefault="00242C36" w:rsidP="00242C36">
      <w:pPr>
        <w:rPr>
          <w:sz w:val="20"/>
          <w:szCs w:val="20"/>
        </w:rPr>
      </w:pPr>
      <w:r w:rsidRPr="00E43137">
        <w:rPr>
          <w:rFonts w:ascii="Calibri" w:hAnsi="Calibri" w:cs="Calibri"/>
          <w:iCs/>
          <w:sz w:val="20"/>
          <w:szCs w:val="20"/>
        </w:rPr>
        <w:t>Pozn.: údaje sú prepočítané na priemerný podnik</w:t>
      </w:r>
    </w:p>
    <w:p w:rsidR="00242C36" w:rsidRPr="00E43137" w:rsidRDefault="00242C36" w:rsidP="00242C36">
      <w:pPr>
        <w:rPr>
          <w:sz w:val="20"/>
          <w:szCs w:val="20"/>
        </w:rPr>
      </w:pPr>
      <w:r w:rsidRPr="00E43137">
        <w:rPr>
          <w:rFonts w:ascii="Calibri" w:hAnsi="Calibri" w:cs="Calibri"/>
          <w:iCs/>
          <w:sz w:val="20"/>
          <w:szCs w:val="20"/>
        </w:rPr>
        <w:t>Prameň: FADN, verejná databáza DG AGRI</w:t>
      </w:r>
    </w:p>
    <w:p w:rsidR="00242C36" w:rsidRPr="00E43137" w:rsidRDefault="00242C36" w:rsidP="00242C36"/>
    <w:p w:rsidR="00242C36" w:rsidRPr="00E43137" w:rsidRDefault="00242C36" w:rsidP="00242C36">
      <w:pPr>
        <w:rPr>
          <w:szCs w:val="22"/>
        </w:rPr>
      </w:pPr>
      <w:r w:rsidRPr="00E43137">
        <w:rPr>
          <w:rFonts w:ascii="Calibri" w:hAnsi="Calibri" w:cs="Calibri"/>
          <w:szCs w:val="22"/>
        </w:rPr>
        <w:t>Zlepšovanie kapitálového vybavenia pomáha znižovať mzdové náklady, ale ak sa produkčná kapacita nevyužíva optimálne, rastie podiel fixných nákladov</w:t>
      </w:r>
      <w:r>
        <w:rPr>
          <w:rFonts w:ascii="Calibri" w:hAnsi="Calibri" w:cs="Calibri"/>
          <w:szCs w:val="22"/>
        </w:rPr>
        <w:t xml:space="preserve">, </w:t>
      </w:r>
      <w:r w:rsidRPr="00A86278">
        <w:rPr>
          <w:rFonts w:ascii="Calibri" w:hAnsi="Calibri" w:cs="Calibri"/>
          <w:szCs w:val="22"/>
        </w:rPr>
        <w:t>ktoré vstupujú do cenotvorby</w:t>
      </w:r>
      <w:r w:rsidRPr="00E43137">
        <w:rPr>
          <w:rFonts w:ascii="Calibri" w:hAnsi="Calibri" w:cs="Calibri"/>
          <w:szCs w:val="22"/>
        </w:rPr>
        <w:t>. Potreba reprodukcie majetku bude v budúcnosti v dôsledku rastu cien investičného majetku, neexistencie podpory a pod. ťažšie uskutočniteľná, čo tiež v súčasnosti zvyšuje výrobné náklady prostredníctvom odpisov.</w:t>
      </w:r>
    </w:p>
    <w:p w:rsidR="00242C36" w:rsidRPr="007F4933" w:rsidRDefault="00242C36" w:rsidP="00242C36">
      <w:pPr>
        <w:spacing w:before="120"/>
        <w:rPr>
          <w:szCs w:val="22"/>
        </w:rPr>
      </w:pPr>
      <w:r w:rsidRPr="00E43137">
        <w:rPr>
          <w:rFonts w:ascii="Calibri" w:hAnsi="Calibri" w:cs="Calibri"/>
          <w:szCs w:val="22"/>
        </w:rPr>
        <w:t xml:space="preserve">Problém sa môže prejaviť v odbyte, keď cena stanovená na úrovni výrobných nákladov nie je akceptovaná trhom. Na úrovni výrobkov môže ísť iba o niektoré druhy, kde nie je dosahovaný zisk, preto je potrebné ponúkať sortiment, o ktorý je záujem a podporovať také výrobky, kde je možnosť rastu </w:t>
      </w:r>
      <w:r w:rsidRPr="007F4933">
        <w:rPr>
          <w:rFonts w:ascii="Calibri" w:hAnsi="Calibri" w:cs="Calibri"/>
          <w:szCs w:val="22"/>
        </w:rPr>
        <w:t xml:space="preserve">efektívneho dopytu  Rastúci efektívny dopyt   umožní splatiť prvotné investičné náklady a neskôr sa vytvorí priestor pre znižovanie cien. Nevyhnutné je prepojenie spracovateľov a prvovýrobcov, aby boli spoločne schopní ponúknuť nový sortiment alebo nájsť nové trhy. </w:t>
      </w:r>
    </w:p>
    <w:p w:rsidR="00242C36" w:rsidRPr="00E43137" w:rsidRDefault="00242C36" w:rsidP="00242C36">
      <w:pPr>
        <w:spacing w:before="120"/>
        <w:rPr>
          <w:rFonts w:ascii="Calibri" w:hAnsi="Calibri"/>
          <w:szCs w:val="22"/>
        </w:rPr>
      </w:pPr>
      <w:r w:rsidRPr="007F4933">
        <w:rPr>
          <w:rFonts w:ascii="Calibri" w:hAnsi="Calibri" w:cs="Calibri"/>
          <w:szCs w:val="22"/>
        </w:rPr>
        <w:t>Ekonomicky a produkčne  rozhoduj</w:t>
      </w:r>
      <w:r w:rsidRPr="00E43137">
        <w:rPr>
          <w:rFonts w:ascii="Calibri" w:hAnsi="Calibri" w:cs="Calibri"/>
          <w:szCs w:val="22"/>
        </w:rPr>
        <w:t xml:space="preserve">úca časť slovenského poľnohospodárstva má veľkovýrobný charakter s prevahou prenajatej pôdy a s relatívne nízkou mierou diverzifikácie mimo poľnohospodárstva. Hoci každá tretia právnická osoba má príjmy mimo svoju hlavnú činnosť, väčšinou ide o služby iným poľnohospodárskym podnikom. Z hľadiska podielu na celkovom obrate nie sú tieto príjmy natoľko významné (tvoria väčšinou menej ako 10% obratu) ako pre fyzické osoby. Medzi fyzickými osobami však iba 6% fariem vykonáva zárobkové činnosti, ktoré nepredstavujú poľnohospodárske práce, ale sú v priamom vzťahu s farmou. </w:t>
      </w:r>
      <w:r>
        <w:rPr>
          <w:rFonts w:ascii="Calibri" w:hAnsi="Calibri" w:cs="Calibri"/>
          <w:szCs w:val="22"/>
        </w:rPr>
        <w:t xml:space="preserve">Je potrebné stimulovať </w:t>
      </w:r>
      <w:r w:rsidRPr="00E43137">
        <w:rPr>
          <w:rFonts w:ascii="Calibri" w:hAnsi="Calibri" w:cs="Calibri"/>
          <w:szCs w:val="22"/>
        </w:rPr>
        <w:t>vhodnými podpornými nástrojmi podnikateľské subjekty do väčšej diverzifikácie v rámci vlastnej výroby, optimálne do zmiešanej rastlinnej a živočíšnej produkcie a spracovania produktov na farmách.</w:t>
      </w:r>
    </w:p>
    <w:p w:rsidR="00242C36" w:rsidRDefault="00242C36" w:rsidP="00242C36">
      <w:pPr>
        <w:spacing w:before="120"/>
        <w:rPr>
          <w:rFonts w:ascii="Calibri" w:hAnsi="Calibri" w:cs="Calibri"/>
          <w:szCs w:val="22"/>
        </w:rPr>
      </w:pPr>
      <w:r w:rsidRPr="00E43137">
        <w:rPr>
          <w:rFonts w:ascii="Calibri" w:hAnsi="Calibri" w:cs="Calibri"/>
          <w:szCs w:val="22"/>
        </w:rPr>
        <w:t>Medzi registrovanými spracovateľskými prevádzkami na produkty živočíšneho pôvodu podľa Štátnej veterinárnej a potravinovej správy SR je aj určitý podiel družstiev, ktoré sa zaoberajú poľnohospodárskou prvovýrobou. Približne 23% mlieka sa spracováva na družstvách, u mäsových výrobkoch je to iba približne 5%. Tieto produkty môžu byť predávané priamo v regióne, kde je možné zabezpečiť kvalitu a pôvod výrobkov, ktorým by zákazníci dôverovali. Vhodnou podporou výroby, spracovania a odbytu (napr. formou projektov spolupráce) by sa mohol podiel produkcie spracovanej priamo na farme a predanej na regionálnom trhu zvýšiť.</w:t>
      </w:r>
    </w:p>
    <w:p w:rsidR="00242C36" w:rsidRPr="00E43137" w:rsidRDefault="00242C36" w:rsidP="00242C36">
      <w:pPr>
        <w:rPr>
          <w:rFonts w:ascii="Calibri" w:hAnsi="Calibri"/>
          <w:szCs w:val="22"/>
        </w:rPr>
      </w:pPr>
    </w:p>
    <w:p w:rsidR="00242C36" w:rsidRPr="00E43137" w:rsidRDefault="007D119F" w:rsidP="007D119F">
      <w:pPr>
        <w:ind w:left="1276" w:hanging="1276"/>
        <w:rPr>
          <w:rFonts w:ascii="Calibri" w:hAnsi="Calibri"/>
          <w:b/>
          <w:szCs w:val="22"/>
        </w:rPr>
      </w:pPr>
      <w:r>
        <w:rPr>
          <w:rFonts w:ascii="Calibri" w:hAnsi="Calibri"/>
          <w:b/>
          <w:iCs/>
          <w:szCs w:val="22"/>
        </w:rPr>
        <w:t xml:space="preserve">Tabuľka 26: </w:t>
      </w:r>
      <w:r w:rsidR="00242C36" w:rsidRPr="00E43137">
        <w:rPr>
          <w:rFonts w:ascii="Calibri" w:hAnsi="Calibri"/>
          <w:b/>
          <w:iCs/>
          <w:szCs w:val="22"/>
        </w:rPr>
        <w:t>Iné zárobkové činnosti priamo súvisiace s farmou a obrat z týchto aktivít (počet subjektov a počet aktivít podľa veku majiteľa)</w:t>
      </w:r>
    </w:p>
    <w:tbl>
      <w:tblPr>
        <w:tblW w:w="0" w:type="auto"/>
        <w:tblBorders>
          <w:top w:val="single" w:sz="4" w:space="0" w:color="B8CCE4"/>
          <w:left w:val="single" w:sz="4" w:space="0" w:color="B8CCE4"/>
          <w:bottom w:val="single" w:sz="4" w:space="0" w:color="B8CCE4"/>
          <w:right w:val="single" w:sz="4" w:space="0" w:color="B8CCE4"/>
          <w:insideH w:val="single" w:sz="4" w:space="0" w:color="B8CCE4"/>
          <w:insideV w:val="single" w:sz="4" w:space="0" w:color="B8CCE4"/>
        </w:tblBorders>
        <w:tblLook w:val="00A0" w:firstRow="1" w:lastRow="0" w:firstColumn="1" w:lastColumn="0" w:noHBand="0" w:noVBand="0"/>
      </w:tblPr>
      <w:tblGrid>
        <w:gridCol w:w="1652"/>
        <w:gridCol w:w="776"/>
        <w:gridCol w:w="1134"/>
        <w:gridCol w:w="1134"/>
        <w:gridCol w:w="1134"/>
        <w:gridCol w:w="1134"/>
        <w:gridCol w:w="1134"/>
        <w:gridCol w:w="1134"/>
      </w:tblGrid>
      <w:tr w:rsidR="00242C36" w:rsidRPr="00E43137" w:rsidTr="00E32F57">
        <w:tc>
          <w:tcPr>
            <w:tcW w:w="1652" w:type="dxa"/>
            <w:tcBorders>
              <w:bottom w:val="single" w:sz="12" w:space="0" w:color="95B3D7"/>
            </w:tcBorders>
            <w:shd w:val="clear" w:color="auto" w:fill="548DD4"/>
          </w:tcPr>
          <w:p w:rsidR="00242C36" w:rsidRPr="00E43137" w:rsidRDefault="00242C36" w:rsidP="00E32F57">
            <w:pPr>
              <w:jc w:val="center"/>
              <w:rPr>
                <w:rFonts w:ascii="Calibri" w:hAnsi="Calibri"/>
                <w:b/>
                <w:bCs/>
                <w:sz w:val="18"/>
                <w:szCs w:val="18"/>
                <w:lang w:eastAsia="en-US"/>
              </w:rPr>
            </w:pPr>
          </w:p>
        </w:tc>
        <w:tc>
          <w:tcPr>
            <w:tcW w:w="776" w:type="dxa"/>
            <w:tcBorders>
              <w:bottom w:val="single" w:sz="12" w:space="0" w:color="95B3D7"/>
            </w:tcBorders>
            <w:shd w:val="clear" w:color="auto" w:fill="548DD4"/>
          </w:tcPr>
          <w:p w:rsidR="00242C36" w:rsidRPr="00E43137" w:rsidRDefault="00242C36" w:rsidP="00E32F57">
            <w:pPr>
              <w:jc w:val="center"/>
              <w:rPr>
                <w:rFonts w:ascii="Calibri" w:hAnsi="Calibri"/>
                <w:b/>
                <w:bCs/>
                <w:sz w:val="18"/>
                <w:szCs w:val="18"/>
                <w:lang w:eastAsia="en-US"/>
              </w:rPr>
            </w:pPr>
            <w:r w:rsidRPr="00E43137">
              <w:rPr>
                <w:rFonts w:ascii="Calibri" w:hAnsi="Calibri" w:cs="Segoe UI"/>
                <w:b/>
                <w:bCs/>
                <w:color w:val="FFFFFF"/>
                <w:sz w:val="18"/>
                <w:szCs w:val="18"/>
                <w:lang w:eastAsia="en-US"/>
              </w:rPr>
              <w:t>Celkom</w:t>
            </w:r>
          </w:p>
        </w:tc>
        <w:tc>
          <w:tcPr>
            <w:tcW w:w="1134" w:type="dxa"/>
            <w:tcBorders>
              <w:bottom w:val="single" w:sz="12" w:space="0" w:color="95B3D7"/>
            </w:tcBorders>
            <w:shd w:val="clear" w:color="auto" w:fill="548DD4"/>
          </w:tcPr>
          <w:p w:rsidR="00242C36" w:rsidRPr="00E43137" w:rsidRDefault="00242C36" w:rsidP="00E32F57">
            <w:pPr>
              <w:jc w:val="center"/>
              <w:rPr>
                <w:rFonts w:ascii="Calibri" w:hAnsi="Calibri"/>
                <w:b/>
                <w:bCs/>
                <w:sz w:val="18"/>
                <w:szCs w:val="18"/>
                <w:lang w:eastAsia="en-US"/>
              </w:rPr>
            </w:pPr>
            <w:r w:rsidRPr="00E43137">
              <w:rPr>
                <w:rFonts w:ascii="Calibri" w:hAnsi="Calibri" w:cs="Segoe UI"/>
                <w:b/>
                <w:bCs/>
                <w:color w:val="FFFFFF"/>
                <w:sz w:val="18"/>
                <w:szCs w:val="18"/>
                <w:lang w:eastAsia="en-US"/>
              </w:rPr>
              <w:t>&lt;35</w:t>
            </w:r>
          </w:p>
        </w:tc>
        <w:tc>
          <w:tcPr>
            <w:tcW w:w="1134" w:type="dxa"/>
            <w:tcBorders>
              <w:bottom w:val="single" w:sz="12" w:space="0" w:color="95B3D7"/>
            </w:tcBorders>
            <w:shd w:val="clear" w:color="auto" w:fill="548DD4"/>
          </w:tcPr>
          <w:p w:rsidR="00242C36" w:rsidRPr="00E43137" w:rsidRDefault="00242C36" w:rsidP="00E32F57">
            <w:pPr>
              <w:jc w:val="center"/>
              <w:rPr>
                <w:rFonts w:ascii="Calibri" w:hAnsi="Calibri"/>
                <w:b/>
                <w:bCs/>
                <w:sz w:val="18"/>
                <w:szCs w:val="18"/>
                <w:lang w:eastAsia="en-US"/>
              </w:rPr>
            </w:pPr>
            <w:r w:rsidRPr="00E43137">
              <w:rPr>
                <w:rFonts w:ascii="Calibri" w:hAnsi="Calibri" w:cs="Segoe UI"/>
                <w:b/>
                <w:bCs/>
                <w:color w:val="FFFFFF"/>
                <w:sz w:val="18"/>
                <w:szCs w:val="18"/>
                <w:lang w:eastAsia="en-US"/>
              </w:rPr>
              <w:t>35-44</w:t>
            </w:r>
          </w:p>
        </w:tc>
        <w:tc>
          <w:tcPr>
            <w:tcW w:w="1134" w:type="dxa"/>
            <w:tcBorders>
              <w:bottom w:val="single" w:sz="12" w:space="0" w:color="95B3D7"/>
            </w:tcBorders>
            <w:shd w:val="clear" w:color="auto" w:fill="548DD4"/>
          </w:tcPr>
          <w:p w:rsidR="00242C36" w:rsidRPr="00E43137" w:rsidRDefault="00242C36" w:rsidP="00E32F57">
            <w:pPr>
              <w:jc w:val="center"/>
              <w:rPr>
                <w:rFonts w:ascii="Calibri" w:hAnsi="Calibri"/>
                <w:b/>
                <w:bCs/>
                <w:sz w:val="18"/>
                <w:szCs w:val="18"/>
                <w:lang w:eastAsia="en-US"/>
              </w:rPr>
            </w:pPr>
            <w:r w:rsidRPr="00E43137">
              <w:rPr>
                <w:rFonts w:ascii="Calibri" w:hAnsi="Calibri" w:cs="Segoe UI"/>
                <w:b/>
                <w:bCs/>
                <w:color w:val="FFFFFF"/>
                <w:sz w:val="18"/>
                <w:szCs w:val="18"/>
                <w:lang w:eastAsia="en-US"/>
              </w:rPr>
              <w:t>45-54</w:t>
            </w:r>
          </w:p>
        </w:tc>
        <w:tc>
          <w:tcPr>
            <w:tcW w:w="1134" w:type="dxa"/>
            <w:tcBorders>
              <w:bottom w:val="single" w:sz="12" w:space="0" w:color="95B3D7"/>
            </w:tcBorders>
            <w:shd w:val="clear" w:color="auto" w:fill="548DD4"/>
          </w:tcPr>
          <w:p w:rsidR="00242C36" w:rsidRPr="00E43137" w:rsidRDefault="00242C36" w:rsidP="00E32F57">
            <w:pPr>
              <w:jc w:val="center"/>
              <w:rPr>
                <w:rFonts w:ascii="Calibri" w:hAnsi="Calibri"/>
                <w:b/>
                <w:bCs/>
                <w:sz w:val="18"/>
                <w:szCs w:val="18"/>
                <w:lang w:eastAsia="en-US"/>
              </w:rPr>
            </w:pPr>
            <w:r w:rsidRPr="00E43137">
              <w:rPr>
                <w:rFonts w:ascii="Calibri" w:hAnsi="Calibri" w:cs="Segoe UI"/>
                <w:b/>
                <w:bCs/>
                <w:color w:val="FFFFFF"/>
                <w:sz w:val="18"/>
                <w:szCs w:val="18"/>
                <w:lang w:eastAsia="en-US"/>
              </w:rPr>
              <w:t>55-64</w:t>
            </w:r>
          </w:p>
        </w:tc>
        <w:tc>
          <w:tcPr>
            <w:tcW w:w="1134" w:type="dxa"/>
            <w:tcBorders>
              <w:bottom w:val="single" w:sz="12" w:space="0" w:color="95B3D7"/>
            </w:tcBorders>
            <w:shd w:val="clear" w:color="auto" w:fill="548DD4"/>
          </w:tcPr>
          <w:p w:rsidR="00242C36" w:rsidRPr="00E43137" w:rsidRDefault="00242C36" w:rsidP="00E32F57">
            <w:pPr>
              <w:jc w:val="center"/>
              <w:rPr>
                <w:rFonts w:ascii="Calibri" w:hAnsi="Calibri"/>
                <w:b/>
                <w:bCs/>
                <w:sz w:val="18"/>
                <w:szCs w:val="18"/>
                <w:lang w:eastAsia="en-US"/>
              </w:rPr>
            </w:pPr>
            <w:r w:rsidRPr="00E43137">
              <w:rPr>
                <w:rFonts w:ascii="Calibri" w:hAnsi="Calibri" w:cs="Segoe UI"/>
                <w:b/>
                <w:bCs/>
                <w:color w:val="FFFFFF"/>
                <w:sz w:val="18"/>
                <w:szCs w:val="18"/>
                <w:lang w:eastAsia="en-US"/>
              </w:rPr>
              <w:t>&gt;65</w:t>
            </w:r>
          </w:p>
        </w:tc>
        <w:tc>
          <w:tcPr>
            <w:tcW w:w="1134" w:type="dxa"/>
            <w:tcBorders>
              <w:bottom w:val="single" w:sz="12" w:space="0" w:color="95B3D7"/>
            </w:tcBorders>
            <w:shd w:val="clear" w:color="auto" w:fill="548DD4"/>
          </w:tcPr>
          <w:p w:rsidR="00242C36" w:rsidRPr="00E43137" w:rsidRDefault="00242C36" w:rsidP="00E32F57">
            <w:pPr>
              <w:jc w:val="center"/>
              <w:rPr>
                <w:rFonts w:ascii="Calibri" w:hAnsi="Calibri"/>
                <w:b/>
                <w:bCs/>
                <w:sz w:val="18"/>
                <w:szCs w:val="18"/>
                <w:lang w:eastAsia="en-US"/>
              </w:rPr>
            </w:pPr>
            <w:r w:rsidRPr="00E43137">
              <w:rPr>
                <w:rFonts w:ascii="Calibri" w:hAnsi="Calibri" w:cs="Segoe UI"/>
                <w:b/>
                <w:bCs/>
                <w:color w:val="FFFFFF"/>
                <w:sz w:val="18"/>
                <w:szCs w:val="18"/>
                <w:lang w:eastAsia="en-US"/>
              </w:rPr>
              <w:t>Neurčené</w:t>
            </w:r>
          </w:p>
        </w:tc>
      </w:tr>
      <w:tr w:rsidR="00242C36" w:rsidRPr="00E43137" w:rsidTr="00E32F57">
        <w:tc>
          <w:tcPr>
            <w:tcW w:w="1652" w:type="dxa"/>
          </w:tcPr>
          <w:p w:rsidR="00242C36" w:rsidRPr="00E43137" w:rsidRDefault="00242C36" w:rsidP="00E32F57">
            <w:pPr>
              <w:jc w:val="left"/>
              <w:rPr>
                <w:rFonts w:ascii="Calibri" w:hAnsi="Calibri"/>
                <w:b/>
                <w:bCs/>
                <w:sz w:val="18"/>
                <w:szCs w:val="18"/>
                <w:lang w:eastAsia="en-US"/>
              </w:rPr>
            </w:pPr>
            <w:r w:rsidRPr="00E43137">
              <w:rPr>
                <w:rFonts w:ascii="Calibri" w:hAnsi="Calibri" w:cs="Segoe UI"/>
                <w:b/>
                <w:bCs/>
                <w:color w:val="333333"/>
                <w:sz w:val="18"/>
                <w:szCs w:val="18"/>
                <w:lang w:eastAsia="en-US"/>
              </w:rPr>
              <w:t>Počet subjektov celkom</w:t>
            </w:r>
          </w:p>
        </w:tc>
        <w:tc>
          <w:tcPr>
            <w:tcW w:w="776" w:type="dxa"/>
          </w:tcPr>
          <w:p w:rsidR="00242C36" w:rsidRPr="00E43137" w:rsidRDefault="00242C36" w:rsidP="00242C36">
            <w:pPr>
              <w:jc w:val="right"/>
              <w:rPr>
                <w:rFonts w:ascii="Calibri" w:hAnsi="Calibri"/>
                <w:sz w:val="18"/>
                <w:szCs w:val="18"/>
                <w:lang w:eastAsia="en-US"/>
              </w:rPr>
            </w:pPr>
            <w:r w:rsidRPr="00E43137">
              <w:rPr>
                <w:rFonts w:ascii="Calibri" w:hAnsi="Calibri" w:cs="Segoe UI"/>
                <w:b/>
                <w:bCs/>
                <w:color w:val="333333"/>
                <w:sz w:val="18"/>
                <w:szCs w:val="18"/>
                <w:lang w:eastAsia="en-US"/>
              </w:rPr>
              <w:t>24 460</w:t>
            </w:r>
          </w:p>
        </w:tc>
        <w:tc>
          <w:tcPr>
            <w:tcW w:w="1134" w:type="dxa"/>
          </w:tcPr>
          <w:p w:rsidR="00242C36" w:rsidRPr="00E43137" w:rsidRDefault="00242C36" w:rsidP="00242C36">
            <w:pPr>
              <w:jc w:val="right"/>
              <w:rPr>
                <w:rFonts w:ascii="Calibri" w:hAnsi="Calibri"/>
                <w:sz w:val="18"/>
                <w:szCs w:val="18"/>
                <w:lang w:eastAsia="en-US"/>
              </w:rPr>
            </w:pPr>
            <w:r w:rsidRPr="00E43137">
              <w:rPr>
                <w:rFonts w:ascii="Calibri" w:hAnsi="Calibri" w:cs="Segoe UI"/>
                <w:b/>
                <w:bCs/>
                <w:color w:val="333333"/>
                <w:sz w:val="18"/>
                <w:szCs w:val="18"/>
                <w:lang w:eastAsia="en-US"/>
              </w:rPr>
              <w:t>1 490</w:t>
            </w:r>
          </w:p>
        </w:tc>
        <w:tc>
          <w:tcPr>
            <w:tcW w:w="1134" w:type="dxa"/>
          </w:tcPr>
          <w:p w:rsidR="00242C36" w:rsidRPr="00E43137" w:rsidRDefault="00242C36" w:rsidP="00242C36">
            <w:pPr>
              <w:jc w:val="right"/>
              <w:rPr>
                <w:rFonts w:ascii="Calibri" w:hAnsi="Calibri"/>
                <w:sz w:val="18"/>
                <w:szCs w:val="18"/>
                <w:lang w:eastAsia="en-US"/>
              </w:rPr>
            </w:pPr>
            <w:r w:rsidRPr="00E43137">
              <w:rPr>
                <w:rFonts w:ascii="Calibri" w:hAnsi="Calibri" w:cs="Segoe UI"/>
                <w:b/>
                <w:bCs/>
                <w:color w:val="333333"/>
                <w:sz w:val="18"/>
                <w:szCs w:val="18"/>
                <w:lang w:eastAsia="en-US"/>
              </w:rPr>
              <w:t>3 170</w:t>
            </w:r>
          </w:p>
        </w:tc>
        <w:tc>
          <w:tcPr>
            <w:tcW w:w="1134" w:type="dxa"/>
          </w:tcPr>
          <w:p w:rsidR="00242C36" w:rsidRPr="00E43137" w:rsidRDefault="00242C36" w:rsidP="00242C36">
            <w:pPr>
              <w:jc w:val="right"/>
              <w:rPr>
                <w:rFonts w:ascii="Calibri" w:hAnsi="Calibri"/>
                <w:sz w:val="18"/>
                <w:szCs w:val="18"/>
                <w:lang w:eastAsia="en-US"/>
              </w:rPr>
            </w:pPr>
            <w:r w:rsidRPr="00E43137">
              <w:rPr>
                <w:rFonts w:ascii="Calibri" w:hAnsi="Calibri" w:cs="Segoe UI"/>
                <w:b/>
                <w:bCs/>
                <w:color w:val="333333"/>
                <w:sz w:val="18"/>
                <w:szCs w:val="18"/>
                <w:lang w:eastAsia="en-US"/>
              </w:rPr>
              <w:t>5 770</w:t>
            </w:r>
          </w:p>
        </w:tc>
        <w:tc>
          <w:tcPr>
            <w:tcW w:w="1134" w:type="dxa"/>
          </w:tcPr>
          <w:p w:rsidR="00242C36" w:rsidRPr="00E43137" w:rsidRDefault="00242C36" w:rsidP="00242C36">
            <w:pPr>
              <w:jc w:val="right"/>
              <w:rPr>
                <w:rFonts w:ascii="Calibri" w:hAnsi="Calibri"/>
                <w:sz w:val="18"/>
                <w:szCs w:val="18"/>
                <w:lang w:eastAsia="en-US"/>
              </w:rPr>
            </w:pPr>
            <w:r w:rsidRPr="00E43137">
              <w:rPr>
                <w:rFonts w:ascii="Calibri" w:hAnsi="Calibri" w:cs="Segoe UI"/>
                <w:b/>
                <w:bCs/>
                <w:color w:val="333333"/>
                <w:sz w:val="18"/>
                <w:szCs w:val="18"/>
                <w:lang w:eastAsia="en-US"/>
              </w:rPr>
              <w:t>6 260</w:t>
            </w:r>
          </w:p>
        </w:tc>
        <w:tc>
          <w:tcPr>
            <w:tcW w:w="1134" w:type="dxa"/>
          </w:tcPr>
          <w:p w:rsidR="00242C36" w:rsidRPr="00E43137" w:rsidRDefault="00242C36" w:rsidP="00242C36">
            <w:pPr>
              <w:jc w:val="right"/>
              <w:rPr>
                <w:rFonts w:ascii="Calibri" w:hAnsi="Calibri"/>
                <w:sz w:val="18"/>
                <w:szCs w:val="18"/>
                <w:lang w:eastAsia="en-US"/>
              </w:rPr>
            </w:pPr>
            <w:r w:rsidRPr="00E43137">
              <w:rPr>
                <w:rFonts w:ascii="Calibri" w:hAnsi="Calibri" w:cs="Segoe UI"/>
                <w:b/>
                <w:bCs/>
                <w:color w:val="333333"/>
                <w:sz w:val="18"/>
                <w:szCs w:val="18"/>
                <w:lang w:eastAsia="en-US"/>
              </w:rPr>
              <w:t>5 490</w:t>
            </w:r>
          </w:p>
        </w:tc>
        <w:tc>
          <w:tcPr>
            <w:tcW w:w="1134" w:type="dxa"/>
          </w:tcPr>
          <w:p w:rsidR="00242C36" w:rsidRPr="00E43137" w:rsidRDefault="00242C36" w:rsidP="00242C36">
            <w:pPr>
              <w:jc w:val="right"/>
              <w:rPr>
                <w:rFonts w:ascii="Calibri" w:hAnsi="Calibri"/>
                <w:sz w:val="18"/>
                <w:szCs w:val="18"/>
                <w:lang w:eastAsia="en-US"/>
              </w:rPr>
            </w:pPr>
            <w:r w:rsidRPr="00E43137">
              <w:rPr>
                <w:rFonts w:ascii="Calibri" w:hAnsi="Calibri" w:cs="Segoe UI"/>
                <w:b/>
                <w:bCs/>
                <w:color w:val="333333"/>
                <w:sz w:val="18"/>
                <w:szCs w:val="18"/>
                <w:lang w:eastAsia="en-US"/>
              </w:rPr>
              <w:t>2 280</w:t>
            </w:r>
          </w:p>
        </w:tc>
      </w:tr>
      <w:tr w:rsidR="00242C36" w:rsidRPr="00E43137" w:rsidTr="00E32F57">
        <w:tc>
          <w:tcPr>
            <w:tcW w:w="1652" w:type="dxa"/>
          </w:tcPr>
          <w:p w:rsidR="00242C36" w:rsidRPr="00E43137" w:rsidRDefault="00242C36" w:rsidP="00E32F57">
            <w:pPr>
              <w:jc w:val="left"/>
              <w:rPr>
                <w:rFonts w:ascii="Calibri" w:hAnsi="Calibri"/>
                <w:b/>
                <w:bCs/>
                <w:sz w:val="18"/>
                <w:szCs w:val="18"/>
                <w:lang w:eastAsia="en-US"/>
              </w:rPr>
            </w:pPr>
            <w:r w:rsidRPr="00E43137">
              <w:rPr>
                <w:rFonts w:ascii="Calibri" w:hAnsi="Calibri" w:cs="Segoe UI"/>
                <w:b/>
                <w:bCs/>
                <w:color w:val="333333"/>
                <w:sz w:val="18"/>
                <w:szCs w:val="18"/>
                <w:lang w:eastAsia="en-US"/>
              </w:rPr>
              <w:t>Počet subjektov s inými činnosťami</w:t>
            </w:r>
          </w:p>
        </w:tc>
        <w:tc>
          <w:tcPr>
            <w:tcW w:w="776" w:type="dxa"/>
          </w:tcPr>
          <w:p w:rsidR="00242C36" w:rsidRPr="00E43137" w:rsidRDefault="00242C36" w:rsidP="00242C36">
            <w:pPr>
              <w:jc w:val="right"/>
              <w:rPr>
                <w:rFonts w:ascii="Calibri" w:hAnsi="Calibri"/>
                <w:sz w:val="18"/>
                <w:szCs w:val="18"/>
                <w:lang w:eastAsia="en-US"/>
              </w:rPr>
            </w:pPr>
            <w:r w:rsidRPr="00E43137">
              <w:rPr>
                <w:rFonts w:ascii="Calibri" w:hAnsi="Calibri" w:cs="Segoe UI"/>
                <w:b/>
                <w:bCs/>
                <w:color w:val="333333"/>
                <w:sz w:val="18"/>
                <w:szCs w:val="18"/>
                <w:lang w:eastAsia="en-US"/>
              </w:rPr>
              <w:t>1 450</w:t>
            </w:r>
          </w:p>
        </w:tc>
        <w:tc>
          <w:tcPr>
            <w:tcW w:w="1134" w:type="dxa"/>
          </w:tcPr>
          <w:p w:rsidR="00242C36" w:rsidRPr="00E43137" w:rsidRDefault="00242C36" w:rsidP="00242C36">
            <w:pPr>
              <w:jc w:val="right"/>
              <w:rPr>
                <w:rFonts w:ascii="Calibri" w:hAnsi="Calibri"/>
                <w:sz w:val="18"/>
                <w:szCs w:val="18"/>
                <w:lang w:eastAsia="en-US"/>
              </w:rPr>
            </w:pPr>
            <w:r w:rsidRPr="00E43137">
              <w:rPr>
                <w:rFonts w:ascii="Calibri" w:hAnsi="Calibri" w:cs="Segoe UI"/>
                <w:b/>
                <w:bCs/>
                <w:color w:val="333333"/>
                <w:sz w:val="18"/>
                <w:szCs w:val="18"/>
                <w:lang w:eastAsia="en-US"/>
              </w:rPr>
              <w:t>100</w:t>
            </w:r>
          </w:p>
        </w:tc>
        <w:tc>
          <w:tcPr>
            <w:tcW w:w="1134" w:type="dxa"/>
          </w:tcPr>
          <w:p w:rsidR="00242C36" w:rsidRPr="00E43137" w:rsidRDefault="00242C36" w:rsidP="00242C36">
            <w:pPr>
              <w:jc w:val="right"/>
              <w:rPr>
                <w:rFonts w:ascii="Calibri" w:hAnsi="Calibri"/>
                <w:sz w:val="18"/>
                <w:szCs w:val="18"/>
                <w:lang w:eastAsia="en-US"/>
              </w:rPr>
            </w:pPr>
            <w:r w:rsidRPr="00E43137">
              <w:rPr>
                <w:rFonts w:ascii="Calibri" w:hAnsi="Calibri" w:cs="Segoe UI"/>
                <w:b/>
                <w:bCs/>
                <w:color w:val="333333"/>
                <w:sz w:val="18"/>
                <w:szCs w:val="18"/>
                <w:lang w:eastAsia="en-US"/>
              </w:rPr>
              <w:t>180</w:t>
            </w:r>
          </w:p>
        </w:tc>
        <w:tc>
          <w:tcPr>
            <w:tcW w:w="1134" w:type="dxa"/>
          </w:tcPr>
          <w:p w:rsidR="00242C36" w:rsidRPr="00E43137" w:rsidRDefault="00242C36" w:rsidP="00242C36">
            <w:pPr>
              <w:jc w:val="right"/>
              <w:rPr>
                <w:rFonts w:ascii="Calibri" w:hAnsi="Calibri"/>
                <w:sz w:val="18"/>
                <w:szCs w:val="18"/>
                <w:lang w:eastAsia="en-US"/>
              </w:rPr>
            </w:pPr>
            <w:r w:rsidRPr="00E43137">
              <w:rPr>
                <w:rFonts w:ascii="Calibri" w:hAnsi="Calibri" w:cs="Segoe UI"/>
                <w:b/>
                <w:bCs/>
                <w:color w:val="333333"/>
                <w:sz w:val="18"/>
                <w:szCs w:val="18"/>
                <w:lang w:eastAsia="en-US"/>
              </w:rPr>
              <w:t>280</w:t>
            </w:r>
          </w:p>
        </w:tc>
        <w:tc>
          <w:tcPr>
            <w:tcW w:w="1134" w:type="dxa"/>
          </w:tcPr>
          <w:p w:rsidR="00242C36" w:rsidRPr="00E43137" w:rsidRDefault="00242C36" w:rsidP="00242C36">
            <w:pPr>
              <w:jc w:val="right"/>
              <w:rPr>
                <w:rFonts w:ascii="Calibri" w:hAnsi="Calibri"/>
                <w:sz w:val="18"/>
                <w:szCs w:val="18"/>
                <w:lang w:eastAsia="en-US"/>
              </w:rPr>
            </w:pPr>
            <w:r w:rsidRPr="00E43137">
              <w:rPr>
                <w:rFonts w:ascii="Calibri" w:hAnsi="Calibri" w:cs="Segoe UI"/>
                <w:b/>
                <w:bCs/>
                <w:color w:val="333333"/>
                <w:sz w:val="18"/>
                <w:szCs w:val="18"/>
                <w:lang w:eastAsia="en-US"/>
              </w:rPr>
              <w:t>150</w:t>
            </w:r>
          </w:p>
        </w:tc>
        <w:tc>
          <w:tcPr>
            <w:tcW w:w="1134" w:type="dxa"/>
          </w:tcPr>
          <w:p w:rsidR="00242C36" w:rsidRPr="00E43137" w:rsidRDefault="00242C36" w:rsidP="00242C36">
            <w:pPr>
              <w:jc w:val="right"/>
              <w:rPr>
                <w:rFonts w:ascii="Calibri" w:hAnsi="Calibri"/>
                <w:sz w:val="18"/>
                <w:szCs w:val="18"/>
                <w:lang w:eastAsia="en-US"/>
              </w:rPr>
            </w:pPr>
            <w:r w:rsidRPr="00E43137">
              <w:rPr>
                <w:rFonts w:ascii="Calibri" w:hAnsi="Calibri" w:cs="Segoe UI"/>
                <w:b/>
                <w:bCs/>
                <w:color w:val="333333"/>
                <w:sz w:val="18"/>
                <w:szCs w:val="18"/>
                <w:lang w:eastAsia="en-US"/>
              </w:rPr>
              <w:t>30</w:t>
            </w:r>
          </w:p>
        </w:tc>
        <w:tc>
          <w:tcPr>
            <w:tcW w:w="1134" w:type="dxa"/>
          </w:tcPr>
          <w:p w:rsidR="00242C36" w:rsidRPr="00E43137" w:rsidRDefault="00242C36" w:rsidP="00242C36">
            <w:pPr>
              <w:jc w:val="right"/>
              <w:rPr>
                <w:rFonts w:ascii="Calibri" w:hAnsi="Calibri"/>
                <w:sz w:val="18"/>
                <w:szCs w:val="18"/>
                <w:lang w:eastAsia="en-US"/>
              </w:rPr>
            </w:pPr>
            <w:r w:rsidRPr="00E43137">
              <w:rPr>
                <w:rFonts w:ascii="Calibri" w:hAnsi="Calibri" w:cs="Segoe UI"/>
                <w:b/>
                <w:bCs/>
                <w:color w:val="333333"/>
                <w:sz w:val="18"/>
                <w:szCs w:val="18"/>
                <w:lang w:eastAsia="en-US"/>
              </w:rPr>
              <w:t>710</w:t>
            </w:r>
          </w:p>
        </w:tc>
      </w:tr>
      <w:tr w:rsidR="00242C36" w:rsidRPr="00E43137" w:rsidTr="00E32F57">
        <w:tc>
          <w:tcPr>
            <w:tcW w:w="1652" w:type="dxa"/>
          </w:tcPr>
          <w:p w:rsidR="00242C36" w:rsidRPr="00E43137" w:rsidRDefault="00242C36" w:rsidP="00E32F57">
            <w:pPr>
              <w:jc w:val="left"/>
              <w:rPr>
                <w:rFonts w:ascii="Calibri" w:hAnsi="Calibri"/>
                <w:b/>
                <w:bCs/>
                <w:sz w:val="18"/>
                <w:szCs w:val="18"/>
                <w:lang w:eastAsia="en-US"/>
              </w:rPr>
            </w:pPr>
            <w:r w:rsidRPr="00E43137">
              <w:rPr>
                <w:rFonts w:ascii="Calibri" w:hAnsi="Calibri" w:cs="Segoe UI"/>
                <w:b/>
                <w:bCs/>
                <w:color w:val="333333"/>
                <w:sz w:val="18"/>
                <w:szCs w:val="18"/>
                <w:lang w:eastAsia="en-US"/>
              </w:rPr>
              <w:t>Agroturistika a vidiecky turizmus</w:t>
            </w:r>
          </w:p>
        </w:tc>
        <w:tc>
          <w:tcPr>
            <w:tcW w:w="776" w:type="dxa"/>
          </w:tcPr>
          <w:p w:rsidR="00242C36" w:rsidRPr="00E43137" w:rsidRDefault="00242C36" w:rsidP="00242C36">
            <w:pPr>
              <w:jc w:val="right"/>
              <w:rPr>
                <w:rFonts w:ascii="Calibri" w:hAnsi="Calibri"/>
                <w:sz w:val="18"/>
                <w:szCs w:val="18"/>
                <w:lang w:eastAsia="en-US"/>
              </w:rPr>
            </w:pPr>
            <w:r w:rsidRPr="00E43137">
              <w:rPr>
                <w:rFonts w:ascii="Calibri" w:hAnsi="Calibri" w:cs="Segoe UI"/>
                <w:color w:val="333333"/>
                <w:sz w:val="18"/>
                <w:szCs w:val="18"/>
                <w:lang w:eastAsia="en-US"/>
              </w:rPr>
              <w:t>160</w:t>
            </w:r>
          </w:p>
        </w:tc>
        <w:tc>
          <w:tcPr>
            <w:tcW w:w="1134" w:type="dxa"/>
          </w:tcPr>
          <w:p w:rsidR="00242C36" w:rsidRPr="00E43137" w:rsidRDefault="00242C36" w:rsidP="00242C36">
            <w:pPr>
              <w:jc w:val="right"/>
              <w:rPr>
                <w:rFonts w:ascii="Calibri" w:hAnsi="Calibri"/>
                <w:sz w:val="18"/>
                <w:szCs w:val="18"/>
                <w:lang w:eastAsia="en-US"/>
              </w:rPr>
            </w:pPr>
            <w:r w:rsidRPr="00E43137">
              <w:rPr>
                <w:rFonts w:ascii="Calibri" w:hAnsi="Calibri" w:cs="Segoe UI"/>
                <w:color w:val="333333"/>
                <w:sz w:val="18"/>
                <w:szCs w:val="18"/>
                <w:lang w:eastAsia="en-US"/>
              </w:rPr>
              <w:t>10</w:t>
            </w:r>
          </w:p>
        </w:tc>
        <w:tc>
          <w:tcPr>
            <w:tcW w:w="1134" w:type="dxa"/>
          </w:tcPr>
          <w:p w:rsidR="00242C36" w:rsidRPr="00E43137" w:rsidRDefault="00242C36" w:rsidP="00242C36">
            <w:pPr>
              <w:jc w:val="right"/>
              <w:rPr>
                <w:rFonts w:ascii="Calibri" w:hAnsi="Calibri"/>
                <w:sz w:val="18"/>
                <w:szCs w:val="18"/>
                <w:lang w:eastAsia="en-US"/>
              </w:rPr>
            </w:pPr>
            <w:r w:rsidRPr="00E43137">
              <w:rPr>
                <w:rFonts w:ascii="Calibri" w:hAnsi="Calibri" w:cs="Segoe UI"/>
                <w:color w:val="333333"/>
                <w:sz w:val="18"/>
                <w:szCs w:val="18"/>
                <w:lang w:eastAsia="en-US"/>
              </w:rPr>
              <w:t>20</w:t>
            </w:r>
          </w:p>
        </w:tc>
        <w:tc>
          <w:tcPr>
            <w:tcW w:w="1134" w:type="dxa"/>
          </w:tcPr>
          <w:p w:rsidR="00242C36" w:rsidRPr="00E43137" w:rsidRDefault="00242C36" w:rsidP="00242C36">
            <w:pPr>
              <w:jc w:val="right"/>
              <w:rPr>
                <w:rFonts w:ascii="Calibri" w:hAnsi="Calibri"/>
                <w:sz w:val="18"/>
                <w:szCs w:val="18"/>
                <w:lang w:eastAsia="en-US"/>
              </w:rPr>
            </w:pPr>
            <w:r w:rsidRPr="00E43137">
              <w:rPr>
                <w:rFonts w:ascii="Calibri" w:hAnsi="Calibri" w:cs="Segoe UI"/>
                <w:color w:val="333333"/>
                <w:sz w:val="18"/>
                <w:szCs w:val="18"/>
                <w:lang w:eastAsia="en-US"/>
              </w:rPr>
              <w:t>30</w:t>
            </w:r>
          </w:p>
        </w:tc>
        <w:tc>
          <w:tcPr>
            <w:tcW w:w="1134" w:type="dxa"/>
          </w:tcPr>
          <w:p w:rsidR="00242C36" w:rsidRPr="00E43137" w:rsidRDefault="00242C36" w:rsidP="00242C36">
            <w:pPr>
              <w:jc w:val="right"/>
              <w:rPr>
                <w:rFonts w:ascii="Calibri" w:hAnsi="Calibri"/>
                <w:sz w:val="18"/>
                <w:szCs w:val="18"/>
                <w:lang w:eastAsia="en-US"/>
              </w:rPr>
            </w:pPr>
            <w:r w:rsidRPr="00E43137">
              <w:rPr>
                <w:rFonts w:ascii="Calibri" w:hAnsi="Calibri" w:cs="Segoe UI"/>
                <w:color w:val="333333"/>
                <w:sz w:val="18"/>
                <w:szCs w:val="18"/>
                <w:lang w:eastAsia="en-US"/>
              </w:rPr>
              <w:t>20</w:t>
            </w:r>
          </w:p>
        </w:tc>
        <w:tc>
          <w:tcPr>
            <w:tcW w:w="1134" w:type="dxa"/>
          </w:tcPr>
          <w:p w:rsidR="00242C36" w:rsidRPr="00E43137" w:rsidRDefault="00242C36" w:rsidP="00242C36">
            <w:pPr>
              <w:jc w:val="right"/>
              <w:rPr>
                <w:rFonts w:ascii="Calibri" w:hAnsi="Calibri"/>
                <w:sz w:val="18"/>
                <w:szCs w:val="18"/>
                <w:lang w:eastAsia="en-US"/>
              </w:rPr>
            </w:pPr>
            <w:r w:rsidRPr="00E43137">
              <w:rPr>
                <w:rFonts w:ascii="Calibri" w:hAnsi="Calibri" w:cs="Segoe UI"/>
                <w:color w:val="333333"/>
                <w:sz w:val="18"/>
                <w:szCs w:val="18"/>
                <w:lang w:eastAsia="en-US"/>
              </w:rPr>
              <w:t>0</w:t>
            </w:r>
          </w:p>
        </w:tc>
        <w:tc>
          <w:tcPr>
            <w:tcW w:w="1134" w:type="dxa"/>
          </w:tcPr>
          <w:p w:rsidR="00242C36" w:rsidRPr="00E43137" w:rsidRDefault="00242C36" w:rsidP="00242C36">
            <w:pPr>
              <w:jc w:val="right"/>
              <w:rPr>
                <w:rFonts w:ascii="Calibri" w:hAnsi="Calibri"/>
                <w:sz w:val="18"/>
                <w:szCs w:val="18"/>
                <w:lang w:eastAsia="en-US"/>
              </w:rPr>
            </w:pPr>
            <w:r w:rsidRPr="00E43137">
              <w:rPr>
                <w:rFonts w:ascii="Calibri" w:hAnsi="Calibri" w:cs="Segoe UI"/>
                <w:color w:val="333333"/>
                <w:sz w:val="18"/>
                <w:szCs w:val="18"/>
                <w:lang w:eastAsia="en-US"/>
              </w:rPr>
              <w:t>80</w:t>
            </w:r>
          </w:p>
        </w:tc>
      </w:tr>
      <w:tr w:rsidR="00242C36" w:rsidRPr="00E43137" w:rsidTr="00E32F57">
        <w:tc>
          <w:tcPr>
            <w:tcW w:w="1652" w:type="dxa"/>
          </w:tcPr>
          <w:p w:rsidR="00242C36" w:rsidRPr="00E43137" w:rsidRDefault="00242C36" w:rsidP="00E32F57">
            <w:pPr>
              <w:jc w:val="left"/>
              <w:rPr>
                <w:rFonts w:ascii="Calibri" w:hAnsi="Calibri"/>
                <w:b/>
                <w:bCs/>
                <w:sz w:val="18"/>
                <w:szCs w:val="18"/>
                <w:lang w:eastAsia="en-US"/>
              </w:rPr>
            </w:pPr>
            <w:r w:rsidRPr="00E43137">
              <w:rPr>
                <w:rFonts w:ascii="Calibri" w:hAnsi="Calibri" w:cs="Segoe UI"/>
                <w:b/>
                <w:bCs/>
                <w:color w:val="333333"/>
                <w:sz w:val="18"/>
                <w:szCs w:val="18"/>
                <w:lang w:eastAsia="en-US"/>
              </w:rPr>
              <w:t>Remeslá</w:t>
            </w:r>
          </w:p>
        </w:tc>
        <w:tc>
          <w:tcPr>
            <w:tcW w:w="776" w:type="dxa"/>
          </w:tcPr>
          <w:p w:rsidR="00242C36" w:rsidRPr="00E43137" w:rsidRDefault="00242C36" w:rsidP="00242C36">
            <w:pPr>
              <w:jc w:val="right"/>
              <w:rPr>
                <w:rFonts w:ascii="Calibri" w:hAnsi="Calibri"/>
                <w:sz w:val="18"/>
                <w:szCs w:val="18"/>
                <w:lang w:eastAsia="en-US"/>
              </w:rPr>
            </w:pPr>
            <w:r w:rsidRPr="00E43137">
              <w:rPr>
                <w:rFonts w:ascii="Calibri" w:hAnsi="Calibri" w:cs="Segoe UI"/>
                <w:color w:val="333333"/>
                <w:sz w:val="18"/>
                <w:szCs w:val="18"/>
                <w:lang w:eastAsia="en-US"/>
              </w:rPr>
              <w:t>60</w:t>
            </w:r>
          </w:p>
        </w:tc>
        <w:tc>
          <w:tcPr>
            <w:tcW w:w="1134" w:type="dxa"/>
          </w:tcPr>
          <w:p w:rsidR="00242C36" w:rsidRPr="00E43137" w:rsidRDefault="00242C36" w:rsidP="00242C36">
            <w:pPr>
              <w:jc w:val="right"/>
              <w:rPr>
                <w:rFonts w:ascii="Calibri" w:hAnsi="Calibri"/>
                <w:sz w:val="18"/>
                <w:szCs w:val="18"/>
                <w:lang w:eastAsia="en-US"/>
              </w:rPr>
            </w:pPr>
            <w:r w:rsidRPr="00E43137">
              <w:rPr>
                <w:rFonts w:ascii="Calibri" w:hAnsi="Calibri" w:cs="Segoe UI"/>
                <w:color w:val="333333"/>
                <w:sz w:val="18"/>
                <w:szCs w:val="18"/>
                <w:lang w:eastAsia="en-US"/>
              </w:rPr>
              <w:t>0</w:t>
            </w:r>
          </w:p>
        </w:tc>
        <w:tc>
          <w:tcPr>
            <w:tcW w:w="1134" w:type="dxa"/>
          </w:tcPr>
          <w:p w:rsidR="00242C36" w:rsidRPr="00E43137" w:rsidRDefault="00242C36" w:rsidP="00242C36">
            <w:pPr>
              <w:jc w:val="right"/>
              <w:rPr>
                <w:rFonts w:ascii="Calibri" w:hAnsi="Calibri"/>
                <w:sz w:val="18"/>
                <w:szCs w:val="18"/>
                <w:lang w:eastAsia="en-US"/>
              </w:rPr>
            </w:pPr>
            <w:r w:rsidRPr="00E43137">
              <w:rPr>
                <w:rFonts w:ascii="Calibri" w:hAnsi="Calibri" w:cs="Segoe UI"/>
                <w:color w:val="333333"/>
                <w:sz w:val="18"/>
                <w:szCs w:val="18"/>
                <w:lang w:eastAsia="en-US"/>
              </w:rPr>
              <w:t>0</w:t>
            </w:r>
          </w:p>
        </w:tc>
        <w:tc>
          <w:tcPr>
            <w:tcW w:w="1134" w:type="dxa"/>
          </w:tcPr>
          <w:p w:rsidR="00242C36" w:rsidRPr="00E43137" w:rsidRDefault="00242C36" w:rsidP="00242C36">
            <w:pPr>
              <w:jc w:val="right"/>
              <w:rPr>
                <w:rFonts w:ascii="Calibri" w:hAnsi="Calibri"/>
                <w:sz w:val="18"/>
                <w:szCs w:val="18"/>
                <w:lang w:eastAsia="en-US"/>
              </w:rPr>
            </w:pPr>
            <w:r w:rsidRPr="00E43137">
              <w:rPr>
                <w:rFonts w:ascii="Calibri" w:hAnsi="Calibri" w:cs="Segoe UI"/>
                <w:color w:val="333333"/>
                <w:sz w:val="18"/>
                <w:szCs w:val="18"/>
                <w:lang w:eastAsia="en-US"/>
              </w:rPr>
              <w:t>20</w:t>
            </w:r>
          </w:p>
        </w:tc>
        <w:tc>
          <w:tcPr>
            <w:tcW w:w="1134" w:type="dxa"/>
          </w:tcPr>
          <w:p w:rsidR="00242C36" w:rsidRPr="00E43137" w:rsidRDefault="00242C36" w:rsidP="00242C36">
            <w:pPr>
              <w:jc w:val="right"/>
              <w:rPr>
                <w:rFonts w:ascii="Calibri" w:hAnsi="Calibri"/>
                <w:sz w:val="18"/>
                <w:szCs w:val="18"/>
                <w:lang w:eastAsia="en-US"/>
              </w:rPr>
            </w:pPr>
            <w:r w:rsidRPr="00E43137">
              <w:rPr>
                <w:rFonts w:ascii="Calibri" w:hAnsi="Calibri" w:cs="Segoe UI"/>
                <w:color w:val="333333"/>
                <w:sz w:val="18"/>
                <w:szCs w:val="18"/>
                <w:lang w:eastAsia="en-US"/>
              </w:rPr>
              <w:t>0</w:t>
            </w:r>
          </w:p>
        </w:tc>
        <w:tc>
          <w:tcPr>
            <w:tcW w:w="1134" w:type="dxa"/>
          </w:tcPr>
          <w:p w:rsidR="00242C36" w:rsidRPr="00E43137" w:rsidRDefault="00242C36" w:rsidP="00242C36">
            <w:pPr>
              <w:jc w:val="right"/>
              <w:rPr>
                <w:rFonts w:ascii="Calibri" w:hAnsi="Calibri"/>
                <w:sz w:val="18"/>
                <w:szCs w:val="18"/>
                <w:lang w:eastAsia="en-US"/>
              </w:rPr>
            </w:pPr>
            <w:r w:rsidRPr="00E43137">
              <w:rPr>
                <w:rFonts w:ascii="Calibri" w:hAnsi="Calibri" w:cs="Segoe UI"/>
                <w:color w:val="333333"/>
                <w:sz w:val="18"/>
                <w:szCs w:val="18"/>
                <w:lang w:eastAsia="en-US"/>
              </w:rPr>
              <w:t>0</w:t>
            </w:r>
          </w:p>
        </w:tc>
        <w:tc>
          <w:tcPr>
            <w:tcW w:w="1134" w:type="dxa"/>
          </w:tcPr>
          <w:p w:rsidR="00242C36" w:rsidRPr="00E43137" w:rsidRDefault="00242C36" w:rsidP="00242C36">
            <w:pPr>
              <w:jc w:val="right"/>
              <w:rPr>
                <w:rFonts w:ascii="Calibri" w:hAnsi="Calibri"/>
                <w:sz w:val="18"/>
                <w:szCs w:val="18"/>
                <w:lang w:eastAsia="en-US"/>
              </w:rPr>
            </w:pPr>
            <w:r w:rsidRPr="00E43137">
              <w:rPr>
                <w:rFonts w:ascii="Calibri" w:hAnsi="Calibri" w:cs="Segoe UI"/>
                <w:color w:val="333333"/>
                <w:sz w:val="18"/>
                <w:szCs w:val="18"/>
                <w:lang w:eastAsia="en-US"/>
              </w:rPr>
              <w:t>30</w:t>
            </w:r>
          </w:p>
        </w:tc>
      </w:tr>
      <w:tr w:rsidR="00242C36" w:rsidRPr="00E43137" w:rsidTr="00E32F57">
        <w:tc>
          <w:tcPr>
            <w:tcW w:w="1652" w:type="dxa"/>
          </w:tcPr>
          <w:p w:rsidR="00242C36" w:rsidRPr="00E43137" w:rsidRDefault="00242C36" w:rsidP="00E32F57">
            <w:pPr>
              <w:jc w:val="left"/>
              <w:rPr>
                <w:rFonts w:ascii="Calibri" w:hAnsi="Calibri"/>
                <w:b/>
                <w:bCs/>
                <w:sz w:val="18"/>
                <w:szCs w:val="18"/>
                <w:lang w:eastAsia="en-US"/>
              </w:rPr>
            </w:pPr>
            <w:r w:rsidRPr="00E43137">
              <w:rPr>
                <w:rFonts w:ascii="Calibri" w:hAnsi="Calibri" w:cs="Segoe UI"/>
                <w:b/>
                <w:bCs/>
                <w:color w:val="333333"/>
                <w:sz w:val="18"/>
                <w:szCs w:val="18"/>
                <w:lang w:eastAsia="en-US"/>
              </w:rPr>
              <w:t>Spracovanie poľnohosp. produktov</w:t>
            </w:r>
          </w:p>
        </w:tc>
        <w:tc>
          <w:tcPr>
            <w:tcW w:w="776" w:type="dxa"/>
          </w:tcPr>
          <w:p w:rsidR="00242C36" w:rsidRPr="00E43137" w:rsidRDefault="00242C36" w:rsidP="00242C36">
            <w:pPr>
              <w:jc w:val="right"/>
              <w:rPr>
                <w:rFonts w:ascii="Calibri" w:hAnsi="Calibri"/>
                <w:sz w:val="18"/>
                <w:szCs w:val="18"/>
                <w:lang w:eastAsia="en-US"/>
              </w:rPr>
            </w:pPr>
            <w:r w:rsidRPr="00E43137">
              <w:rPr>
                <w:rFonts w:ascii="Calibri" w:hAnsi="Calibri" w:cs="Segoe UI"/>
                <w:color w:val="333333"/>
                <w:sz w:val="18"/>
                <w:szCs w:val="18"/>
                <w:lang w:eastAsia="en-US"/>
              </w:rPr>
              <w:t>330</w:t>
            </w:r>
          </w:p>
        </w:tc>
        <w:tc>
          <w:tcPr>
            <w:tcW w:w="1134" w:type="dxa"/>
          </w:tcPr>
          <w:p w:rsidR="00242C36" w:rsidRPr="00E43137" w:rsidRDefault="00242C36" w:rsidP="00242C36">
            <w:pPr>
              <w:jc w:val="right"/>
              <w:rPr>
                <w:rFonts w:ascii="Calibri" w:hAnsi="Calibri"/>
                <w:sz w:val="18"/>
                <w:szCs w:val="18"/>
                <w:lang w:eastAsia="en-US"/>
              </w:rPr>
            </w:pPr>
            <w:r w:rsidRPr="00E43137">
              <w:rPr>
                <w:rFonts w:ascii="Calibri" w:hAnsi="Calibri" w:cs="Segoe UI"/>
                <w:color w:val="333333"/>
                <w:sz w:val="18"/>
                <w:szCs w:val="18"/>
                <w:lang w:eastAsia="en-US"/>
              </w:rPr>
              <w:t>20</w:t>
            </w:r>
          </w:p>
        </w:tc>
        <w:tc>
          <w:tcPr>
            <w:tcW w:w="1134" w:type="dxa"/>
          </w:tcPr>
          <w:p w:rsidR="00242C36" w:rsidRPr="00E43137" w:rsidRDefault="00242C36" w:rsidP="00242C36">
            <w:pPr>
              <w:jc w:val="right"/>
              <w:rPr>
                <w:rFonts w:ascii="Calibri" w:hAnsi="Calibri"/>
                <w:sz w:val="18"/>
                <w:szCs w:val="18"/>
                <w:lang w:eastAsia="en-US"/>
              </w:rPr>
            </w:pPr>
            <w:r w:rsidRPr="00E43137">
              <w:rPr>
                <w:rFonts w:ascii="Calibri" w:hAnsi="Calibri" w:cs="Segoe UI"/>
                <w:color w:val="333333"/>
                <w:sz w:val="18"/>
                <w:szCs w:val="18"/>
                <w:lang w:eastAsia="en-US"/>
              </w:rPr>
              <w:t>30</w:t>
            </w:r>
          </w:p>
        </w:tc>
        <w:tc>
          <w:tcPr>
            <w:tcW w:w="1134" w:type="dxa"/>
          </w:tcPr>
          <w:p w:rsidR="00242C36" w:rsidRPr="00E43137" w:rsidRDefault="00242C36" w:rsidP="00242C36">
            <w:pPr>
              <w:jc w:val="right"/>
              <w:rPr>
                <w:rFonts w:ascii="Calibri" w:hAnsi="Calibri"/>
                <w:sz w:val="18"/>
                <w:szCs w:val="18"/>
                <w:lang w:eastAsia="en-US"/>
              </w:rPr>
            </w:pPr>
            <w:r w:rsidRPr="00E43137">
              <w:rPr>
                <w:rFonts w:ascii="Calibri" w:hAnsi="Calibri" w:cs="Segoe UI"/>
                <w:color w:val="333333"/>
                <w:sz w:val="18"/>
                <w:szCs w:val="18"/>
                <w:lang w:eastAsia="en-US"/>
              </w:rPr>
              <w:t>60</w:t>
            </w:r>
          </w:p>
        </w:tc>
        <w:tc>
          <w:tcPr>
            <w:tcW w:w="1134" w:type="dxa"/>
          </w:tcPr>
          <w:p w:rsidR="00242C36" w:rsidRPr="00E43137" w:rsidRDefault="00242C36" w:rsidP="00242C36">
            <w:pPr>
              <w:jc w:val="right"/>
              <w:rPr>
                <w:rFonts w:ascii="Calibri" w:hAnsi="Calibri"/>
                <w:sz w:val="18"/>
                <w:szCs w:val="18"/>
                <w:lang w:eastAsia="en-US"/>
              </w:rPr>
            </w:pPr>
            <w:r w:rsidRPr="00E43137">
              <w:rPr>
                <w:rFonts w:ascii="Calibri" w:hAnsi="Calibri" w:cs="Segoe UI"/>
                <w:color w:val="333333"/>
                <w:sz w:val="18"/>
                <w:szCs w:val="18"/>
                <w:lang w:eastAsia="en-US"/>
              </w:rPr>
              <w:t>40</w:t>
            </w:r>
          </w:p>
        </w:tc>
        <w:tc>
          <w:tcPr>
            <w:tcW w:w="1134" w:type="dxa"/>
          </w:tcPr>
          <w:p w:rsidR="00242C36" w:rsidRPr="00E43137" w:rsidRDefault="00242C36" w:rsidP="00242C36">
            <w:pPr>
              <w:jc w:val="right"/>
              <w:rPr>
                <w:rFonts w:ascii="Calibri" w:hAnsi="Calibri"/>
                <w:sz w:val="18"/>
                <w:szCs w:val="18"/>
                <w:lang w:eastAsia="en-US"/>
              </w:rPr>
            </w:pPr>
            <w:r w:rsidRPr="00E43137">
              <w:rPr>
                <w:rFonts w:ascii="Calibri" w:hAnsi="Calibri" w:cs="Segoe UI"/>
                <w:color w:val="333333"/>
                <w:sz w:val="18"/>
                <w:szCs w:val="18"/>
                <w:lang w:eastAsia="en-US"/>
              </w:rPr>
              <w:t>10</w:t>
            </w:r>
          </w:p>
        </w:tc>
        <w:tc>
          <w:tcPr>
            <w:tcW w:w="1134" w:type="dxa"/>
          </w:tcPr>
          <w:p w:rsidR="00242C36" w:rsidRPr="00E43137" w:rsidRDefault="00242C36" w:rsidP="00242C36">
            <w:pPr>
              <w:jc w:val="right"/>
              <w:rPr>
                <w:rFonts w:ascii="Calibri" w:hAnsi="Calibri"/>
                <w:sz w:val="18"/>
                <w:szCs w:val="18"/>
                <w:lang w:eastAsia="en-US"/>
              </w:rPr>
            </w:pPr>
            <w:r w:rsidRPr="00E43137">
              <w:rPr>
                <w:rFonts w:ascii="Calibri" w:hAnsi="Calibri" w:cs="Segoe UI"/>
                <w:color w:val="333333"/>
                <w:sz w:val="18"/>
                <w:szCs w:val="18"/>
                <w:lang w:eastAsia="en-US"/>
              </w:rPr>
              <w:t>170</w:t>
            </w:r>
          </w:p>
        </w:tc>
      </w:tr>
      <w:tr w:rsidR="00242C36" w:rsidRPr="00E43137" w:rsidTr="00E32F57">
        <w:tc>
          <w:tcPr>
            <w:tcW w:w="1652" w:type="dxa"/>
          </w:tcPr>
          <w:p w:rsidR="00242C36" w:rsidRPr="00E43137" w:rsidRDefault="00242C36" w:rsidP="00E32F57">
            <w:pPr>
              <w:jc w:val="left"/>
              <w:rPr>
                <w:rFonts w:ascii="Calibri" w:hAnsi="Calibri"/>
                <w:b/>
                <w:bCs/>
                <w:sz w:val="18"/>
                <w:szCs w:val="18"/>
                <w:lang w:eastAsia="en-US"/>
              </w:rPr>
            </w:pPr>
            <w:r w:rsidRPr="00E43137">
              <w:rPr>
                <w:rFonts w:ascii="Calibri" w:hAnsi="Calibri" w:cs="Segoe UI"/>
                <w:b/>
                <w:bCs/>
                <w:color w:val="333333"/>
                <w:sz w:val="18"/>
                <w:szCs w:val="18"/>
                <w:lang w:eastAsia="en-US"/>
              </w:rPr>
              <w:t>Výroba energie na predaj z obnoviteľných zdrojov</w:t>
            </w:r>
          </w:p>
        </w:tc>
        <w:tc>
          <w:tcPr>
            <w:tcW w:w="776" w:type="dxa"/>
          </w:tcPr>
          <w:p w:rsidR="00242C36" w:rsidRPr="00E43137" w:rsidRDefault="00242C36" w:rsidP="00242C36">
            <w:pPr>
              <w:jc w:val="right"/>
              <w:rPr>
                <w:rFonts w:ascii="Calibri" w:hAnsi="Calibri"/>
                <w:sz w:val="18"/>
                <w:szCs w:val="18"/>
                <w:lang w:eastAsia="en-US"/>
              </w:rPr>
            </w:pPr>
            <w:r w:rsidRPr="00E43137">
              <w:rPr>
                <w:rFonts w:ascii="Calibri" w:hAnsi="Calibri" w:cs="Segoe UI"/>
                <w:color w:val="333333"/>
                <w:sz w:val="18"/>
                <w:szCs w:val="18"/>
                <w:lang w:eastAsia="en-US"/>
              </w:rPr>
              <w:t>10</w:t>
            </w:r>
          </w:p>
        </w:tc>
        <w:tc>
          <w:tcPr>
            <w:tcW w:w="1134" w:type="dxa"/>
          </w:tcPr>
          <w:p w:rsidR="00242C36" w:rsidRPr="00E43137" w:rsidRDefault="00242C36" w:rsidP="00242C36">
            <w:pPr>
              <w:jc w:val="right"/>
              <w:rPr>
                <w:rFonts w:ascii="Calibri" w:hAnsi="Calibri"/>
                <w:sz w:val="18"/>
                <w:szCs w:val="18"/>
                <w:lang w:eastAsia="en-US"/>
              </w:rPr>
            </w:pPr>
            <w:r w:rsidRPr="00E43137">
              <w:rPr>
                <w:rFonts w:ascii="Calibri" w:hAnsi="Calibri" w:cs="Segoe UI"/>
                <w:color w:val="333333"/>
                <w:sz w:val="18"/>
                <w:szCs w:val="18"/>
                <w:lang w:eastAsia="en-US"/>
              </w:rPr>
              <w:t>0</w:t>
            </w:r>
          </w:p>
        </w:tc>
        <w:tc>
          <w:tcPr>
            <w:tcW w:w="1134" w:type="dxa"/>
          </w:tcPr>
          <w:p w:rsidR="00242C36" w:rsidRPr="00E43137" w:rsidRDefault="00242C36" w:rsidP="00242C36">
            <w:pPr>
              <w:jc w:val="right"/>
              <w:rPr>
                <w:rFonts w:ascii="Calibri" w:hAnsi="Calibri"/>
                <w:sz w:val="18"/>
                <w:szCs w:val="18"/>
                <w:lang w:eastAsia="en-US"/>
              </w:rPr>
            </w:pPr>
            <w:r w:rsidRPr="00E43137">
              <w:rPr>
                <w:rFonts w:ascii="Calibri" w:hAnsi="Calibri" w:cs="Segoe UI"/>
                <w:color w:val="333333"/>
                <w:sz w:val="18"/>
                <w:szCs w:val="18"/>
                <w:lang w:eastAsia="en-US"/>
              </w:rPr>
              <w:t>0</w:t>
            </w:r>
          </w:p>
        </w:tc>
        <w:tc>
          <w:tcPr>
            <w:tcW w:w="1134" w:type="dxa"/>
          </w:tcPr>
          <w:p w:rsidR="00242C36" w:rsidRPr="00E43137" w:rsidRDefault="00242C36" w:rsidP="00242C36">
            <w:pPr>
              <w:jc w:val="right"/>
              <w:rPr>
                <w:rFonts w:ascii="Calibri" w:hAnsi="Calibri"/>
                <w:sz w:val="18"/>
                <w:szCs w:val="18"/>
                <w:lang w:eastAsia="en-US"/>
              </w:rPr>
            </w:pPr>
            <w:r w:rsidRPr="00E43137">
              <w:rPr>
                <w:rFonts w:ascii="Calibri" w:hAnsi="Calibri" w:cs="Segoe UI"/>
                <w:color w:val="333333"/>
                <w:sz w:val="18"/>
                <w:szCs w:val="18"/>
                <w:lang w:eastAsia="en-US"/>
              </w:rPr>
              <w:t>0</w:t>
            </w:r>
          </w:p>
        </w:tc>
        <w:tc>
          <w:tcPr>
            <w:tcW w:w="1134" w:type="dxa"/>
          </w:tcPr>
          <w:p w:rsidR="00242C36" w:rsidRPr="00E43137" w:rsidRDefault="00242C36" w:rsidP="00242C36">
            <w:pPr>
              <w:jc w:val="right"/>
              <w:rPr>
                <w:rFonts w:ascii="Calibri" w:hAnsi="Calibri"/>
                <w:sz w:val="18"/>
                <w:szCs w:val="18"/>
                <w:lang w:eastAsia="en-US"/>
              </w:rPr>
            </w:pPr>
            <w:r w:rsidRPr="00E43137">
              <w:rPr>
                <w:rFonts w:ascii="Calibri" w:hAnsi="Calibri" w:cs="Segoe UI"/>
                <w:color w:val="333333"/>
                <w:sz w:val="18"/>
                <w:szCs w:val="18"/>
                <w:lang w:eastAsia="en-US"/>
              </w:rPr>
              <w:t>0</w:t>
            </w:r>
          </w:p>
        </w:tc>
        <w:tc>
          <w:tcPr>
            <w:tcW w:w="1134" w:type="dxa"/>
          </w:tcPr>
          <w:p w:rsidR="00242C36" w:rsidRPr="00E43137" w:rsidRDefault="00242C36" w:rsidP="00242C36">
            <w:pPr>
              <w:jc w:val="right"/>
              <w:rPr>
                <w:rFonts w:ascii="Calibri" w:hAnsi="Calibri"/>
                <w:sz w:val="18"/>
                <w:szCs w:val="18"/>
                <w:lang w:eastAsia="en-US"/>
              </w:rPr>
            </w:pPr>
            <w:r w:rsidRPr="00E43137">
              <w:rPr>
                <w:rFonts w:ascii="Calibri" w:hAnsi="Calibri" w:cs="Segoe UI"/>
                <w:color w:val="333333"/>
                <w:sz w:val="18"/>
                <w:szCs w:val="18"/>
                <w:lang w:eastAsia="en-US"/>
              </w:rPr>
              <w:t>0</w:t>
            </w:r>
          </w:p>
        </w:tc>
        <w:tc>
          <w:tcPr>
            <w:tcW w:w="1134" w:type="dxa"/>
          </w:tcPr>
          <w:p w:rsidR="00242C36" w:rsidRPr="00E43137" w:rsidRDefault="00242C36" w:rsidP="00242C36">
            <w:pPr>
              <w:jc w:val="right"/>
              <w:rPr>
                <w:rFonts w:ascii="Calibri" w:hAnsi="Calibri"/>
                <w:sz w:val="18"/>
                <w:szCs w:val="18"/>
                <w:lang w:eastAsia="en-US"/>
              </w:rPr>
            </w:pPr>
            <w:r w:rsidRPr="00E43137">
              <w:rPr>
                <w:rFonts w:ascii="Calibri" w:hAnsi="Calibri" w:cs="Segoe UI"/>
                <w:color w:val="333333"/>
                <w:sz w:val="18"/>
                <w:szCs w:val="18"/>
                <w:lang w:eastAsia="en-US"/>
              </w:rPr>
              <w:t>0</w:t>
            </w:r>
          </w:p>
        </w:tc>
      </w:tr>
      <w:tr w:rsidR="00242C36" w:rsidRPr="00E43137" w:rsidTr="00E32F57">
        <w:tc>
          <w:tcPr>
            <w:tcW w:w="1652" w:type="dxa"/>
          </w:tcPr>
          <w:p w:rsidR="00242C36" w:rsidRPr="00E43137" w:rsidRDefault="00242C36" w:rsidP="00E32F57">
            <w:pPr>
              <w:jc w:val="left"/>
              <w:rPr>
                <w:rFonts w:ascii="Calibri" w:hAnsi="Calibri"/>
                <w:b/>
                <w:bCs/>
                <w:sz w:val="18"/>
                <w:szCs w:val="18"/>
                <w:lang w:eastAsia="en-US"/>
              </w:rPr>
            </w:pPr>
            <w:r w:rsidRPr="00E43137">
              <w:rPr>
                <w:rFonts w:ascii="Calibri" w:hAnsi="Calibri" w:cs="Segoe UI"/>
                <w:b/>
                <w:bCs/>
                <w:color w:val="333333"/>
                <w:sz w:val="18"/>
                <w:szCs w:val="18"/>
                <w:lang w:eastAsia="en-US"/>
              </w:rPr>
              <w:t>Spracovanie dreva</w:t>
            </w:r>
          </w:p>
        </w:tc>
        <w:tc>
          <w:tcPr>
            <w:tcW w:w="776" w:type="dxa"/>
          </w:tcPr>
          <w:p w:rsidR="00242C36" w:rsidRPr="00E43137" w:rsidRDefault="00242C36" w:rsidP="00242C36">
            <w:pPr>
              <w:jc w:val="right"/>
              <w:rPr>
                <w:rFonts w:ascii="Calibri" w:hAnsi="Calibri"/>
                <w:sz w:val="18"/>
                <w:szCs w:val="18"/>
                <w:lang w:eastAsia="en-US"/>
              </w:rPr>
            </w:pPr>
            <w:r w:rsidRPr="00E43137">
              <w:rPr>
                <w:rFonts w:ascii="Calibri" w:hAnsi="Calibri" w:cs="Segoe UI"/>
                <w:color w:val="333333"/>
                <w:sz w:val="18"/>
                <w:szCs w:val="18"/>
                <w:lang w:eastAsia="en-US"/>
              </w:rPr>
              <w:t>80</w:t>
            </w:r>
          </w:p>
        </w:tc>
        <w:tc>
          <w:tcPr>
            <w:tcW w:w="1134" w:type="dxa"/>
          </w:tcPr>
          <w:p w:rsidR="00242C36" w:rsidRPr="00E43137" w:rsidRDefault="00242C36" w:rsidP="00242C36">
            <w:pPr>
              <w:jc w:val="right"/>
              <w:rPr>
                <w:rFonts w:ascii="Calibri" w:hAnsi="Calibri"/>
                <w:sz w:val="18"/>
                <w:szCs w:val="18"/>
                <w:lang w:eastAsia="en-US"/>
              </w:rPr>
            </w:pPr>
            <w:r w:rsidRPr="00E43137">
              <w:rPr>
                <w:rFonts w:ascii="Calibri" w:hAnsi="Calibri" w:cs="Segoe UI"/>
                <w:color w:val="333333"/>
                <w:sz w:val="18"/>
                <w:szCs w:val="18"/>
                <w:lang w:eastAsia="en-US"/>
              </w:rPr>
              <w:t>0</w:t>
            </w:r>
          </w:p>
        </w:tc>
        <w:tc>
          <w:tcPr>
            <w:tcW w:w="1134" w:type="dxa"/>
          </w:tcPr>
          <w:p w:rsidR="00242C36" w:rsidRPr="00E43137" w:rsidRDefault="00242C36" w:rsidP="00242C36">
            <w:pPr>
              <w:jc w:val="right"/>
              <w:rPr>
                <w:rFonts w:ascii="Calibri" w:hAnsi="Calibri"/>
                <w:sz w:val="18"/>
                <w:szCs w:val="18"/>
                <w:lang w:eastAsia="en-US"/>
              </w:rPr>
            </w:pPr>
            <w:r w:rsidRPr="00E43137">
              <w:rPr>
                <w:rFonts w:ascii="Calibri" w:hAnsi="Calibri" w:cs="Segoe UI"/>
                <w:color w:val="333333"/>
                <w:sz w:val="18"/>
                <w:szCs w:val="18"/>
                <w:lang w:eastAsia="en-US"/>
              </w:rPr>
              <w:t>10</w:t>
            </w:r>
          </w:p>
        </w:tc>
        <w:tc>
          <w:tcPr>
            <w:tcW w:w="1134" w:type="dxa"/>
          </w:tcPr>
          <w:p w:rsidR="00242C36" w:rsidRPr="00E43137" w:rsidRDefault="00242C36" w:rsidP="00242C36">
            <w:pPr>
              <w:jc w:val="right"/>
              <w:rPr>
                <w:rFonts w:ascii="Calibri" w:hAnsi="Calibri"/>
                <w:sz w:val="18"/>
                <w:szCs w:val="18"/>
                <w:lang w:eastAsia="en-US"/>
              </w:rPr>
            </w:pPr>
            <w:r w:rsidRPr="00E43137">
              <w:rPr>
                <w:rFonts w:ascii="Calibri" w:hAnsi="Calibri" w:cs="Segoe UI"/>
                <w:color w:val="333333"/>
                <w:sz w:val="18"/>
                <w:szCs w:val="18"/>
                <w:lang w:eastAsia="en-US"/>
              </w:rPr>
              <w:t>10</w:t>
            </w:r>
          </w:p>
        </w:tc>
        <w:tc>
          <w:tcPr>
            <w:tcW w:w="1134" w:type="dxa"/>
          </w:tcPr>
          <w:p w:rsidR="00242C36" w:rsidRPr="00E43137" w:rsidRDefault="00242C36" w:rsidP="00242C36">
            <w:pPr>
              <w:jc w:val="right"/>
              <w:rPr>
                <w:rFonts w:ascii="Calibri" w:hAnsi="Calibri"/>
                <w:sz w:val="18"/>
                <w:szCs w:val="18"/>
                <w:lang w:eastAsia="en-US"/>
              </w:rPr>
            </w:pPr>
            <w:r w:rsidRPr="00E43137">
              <w:rPr>
                <w:rFonts w:ascii="Calibri" w:hAnsi="Calibri" w:cs="Segoe UI"/>
                <w:color w:val="333333"/>
                <w:sz w:val="18"/>
                <w:szCs w:val="18"/>
                <w:lang w:eastAsia="en-US"/>
              </w:rPr>
              <w:t>10</w:t>
            </w:r>
          </w:p>
        </w:tc>
        <w:tc>
          <w:tcPr>
            <w:tcW w:w="1134" w:type="dxa"/>
          </w:tcPr>
          <w:p w:rsidR="00242C36" w:rsidRPr="00E43137" w:rsidRDefault="00242C36" w:rsidP="00242C36">
            <w:pPr>
              <w:jc w:val="right"/>
              <w:rPr>
                <w:rFonts w:ascii="Calibri" w:hAnsi="Calibri"/>
                <w:sz w:val="18"/>
                <w:szCs w:val="18"/>
                <w:lang w:eastAsia="en-US"/>
              </w:rPr>
            </w:pPr>
            <w:r w:rsidRPr="00E43137">
              <w:rPr>
                <w:rFonts w:ascii="Calibri" w:hAnsi="Calibri" w:cs="Segoe UI"/>
                <w:color w:val="333333"/>
                <w:sz w:val="18"/>
                <w:szCs w:val="18"/>
                <w:lang w:eastAsia="en-US"/>
              </w:rPr>
              <w:t>0</w:t>
            </w:r>
          </w:p>
        </w:tc>
        <w:tc>
          <w:tcPr>
            <w:tcW w:w="1134" w:type="dxa"/>
          </w:tcPr>
          <w:p w:rsidR="00242C36" w:rsidRPr="00E43137" w:rsidRDefault="00242C36" w:rsidP="00242C36">
            <w:pPr>
              <w:jc w:val="right"/>
              <w:rPr>
                <w:rFonts w:ascii="Calibri" w:hAnsi="Calibri"/>
                <w:sz w:val="18"/>
                <w:szCs w:val="18"/>
                <w:lang w:eastAsia="en-US"/>
              </w:rPr>
            </w:pPr>
            <w:r w:rsidRPr="00E43137">
              <w:rPr>
                <w:rFonts w:ascii="Calibri" w:hAnsi="Calibri" w:cs="Segoe UI"/>
                <w:color w:val="333333"/>
                <w:sz w:val="18"/>
                <w:szCs w:val="18"/>
                <w:lang w:eastAsia="en-US"/>
              </w:rPr>
              <w:t>40</w:t>
            </w:r>
          </w:p>
        </w:tc>
      </w:tr>
      <w:tr w:rsidR="00242C36" w:rsidRPr="00E43137" w:rsidTr="00E32F57">
        <w:tc>
          <w:tcPr>
            <w:tcW w:w="1652" w:type="dxa"/>
          </w:tcPr>
          <w:p w:rsidR="00242C36" w:rsidRPr="00E43137" w:rsidRDefault="00242C36" w:rsidP="00E32F57">
            <w:pPr>
              <w:jc w:val="left"/>
              <w:rPr>
                <w:rFonts w:ascii="Calibri" w:hAnsi="Calibri"/>
                <w:b/>
                <w:bCs/>
                <w:sz w:val="18"/>
                <w:szCs w:val="18"/>
                <w:lang w:eastAsia="en-US"/>
              </w:rPr>
            </w:pPr>
            <w:r w:rsidRPr="00E43137">
              <w:rPr>
                <w:rFonts w:ascii="Calibri" w:hAnsi="Calibri" w:cs="Segoe UI"/>
                <w:b/>
                <w:bCs/>
                <w:color w:val="333333"/>
                <w:sz w:val="18"/>
                <w:szCs w:val="18"/>
                <w:lang w:eastAsia="en-US"/>
              </w:rPr>
              <w:t>Chov rýb</w:t>
            </w:r>
          </w:p>
        </w:tc>
        <w:tc>
          <w:tcPr>
            <w:tcW w:w="776" w:type="dxa"/>
          </w:tcPr>
          <w:p w:rsidR="00242C36" w:rsidRPr="00E43137" w:rsidRDefault="00242C36" w:rsidP="00242C36">
            <w:pPr>
              <w:jc w:val="right"/>
              <w:rPr>
                <w:rFonts w:ascii="Calibri" w:hAnsi="Calibri"/>
                <w:sz w:val="18"/>
                <w:szCs w:val="18"/>
                <w:lang w:eastAsia="en-US"/>
              </w:rPr>
            </w:pPr>
            <w:r w:rsidRPr="00E43137">
              <w:rPr>
                <w:rFonts w:ascii="Calibri" w:hAnsi="Calibri" w:cs="Segoe UI"/>
                <w:color w:val="333333"/>
                <w:sz w:val="18"/>
                <w:szCs w:val="18"/>
                <w:lang w:eastAsia="en-US"/>
              </w:rPr>
              <w:t>10</w:t>
            </w:r>
          </w:p>
        </w:tc>
        <w:tc>
          <w:tcPr>
            <w:tcW w:w="1134" w:type="dxa"/>
          </w:tcPr>
          <w:p w:rsidR="00242C36" w:rsidRPr="00E43137" w:rsidRDefault="00242C36" w:rsidP="00242C36">
            <w:pPr>
              <w:jc w:val="right"/>
              <w:rPr>
                <w:rFonts w:ascii="Calibri" w:hAnsi="Calibri"/>
                <w:sz w:val="18"/>
                <w:szCs w:val="18"/>
                <w:lang w:eastAsia="en-US"/>
              </w:rPr>
            </w:pPr>
            <w:r w:rsidRPr="00E43137">
              <w:rPr>
                <w:rFonts w:ascii="Calibri" w:hAnsi="Calibri" w:cs="Segoe UI"/>
                <w:color w:val="333333"/>
                <w:sz w:val="18"/>
                <w:szCs w:val="18"/>
                <w:lang w:eastAsia="en-US"/>
              </w:rPr>
              <w:t>0</w:t>
            </w:r>
          </w:p>
        </w:tc>
        <w:tc>
          <w:tcPr>
            <w:tcW w:w="1134" w:type="dxa"/>
          </w:tcPr>
          <w:p w:rsidR="00242C36" w:rsidRPr="00E43137" w:rsidRDefault="00242C36" w:rsidP="00242C36">
            <w:pPr>
              <w:jc w:val="right"/>
              <w:rPr>
                <w:rFonts w:ascii="Calibri" w:hAnsi="Calibri"/>
                <w:sz w:val="18"/>
                <w:szCs w:val="18"/>
                <w:lang w:eastAsia="en-US"/>
              </w:rPr>
            </w:pPr>
            <w:r w:rsidRPr="00E43137">
              <w:rPr>
                <w:rFonts w:ascii="Calibri" w:hAnsi="Calibri" w:cs="Segoe UI"/>
                <w:color w:val="333333"/>
                <w:sz w:val="18"/>
                <w:szCs w:val="18"/>
                <w:lang w:eastAsia="en-US"/>
              </w:rPr>
              <w:t>0</w:t>
            </w:r>
          </w:p>
        </w:tc>
        <w:tc>
          <w:tcPr>
            <w:tcW w:w="1134" w:type="dxa"/>
          </w:tcPr>
          <w:p w:rsidR="00242C36" w:rsidRPr="00E43137" w:rsidRDefault="00242C36" w:rsidP="00242C36">
            <w:pPr>
              <w:jc w:val="right"/>
              <w:rPr>
                <w:rFonts w:ascii="Calibri" w:hAnsi="Calibri"/>
                <w:sz w:val="18"/>
                <w:szCs w:val="18"/>
                <w:lang w:eastAsia="en-US"/>
              </w:rPr>
            </w:pPr>
            <w:r w:rsidRPr="00E43137">
              <w:rPr>
                <w:rFonts w:ascii="Calibri" w:hAnsi="Calibri" w:cs="Segoe UI"/>
                <w:color w:val="333333"/>
                <w:sz w:val="18"/>
                <w:szCs w:val="18"/>
                <w:lang w:eastAsia="en-US"/>
              </w:rPr>
              <w:t>0</w:t>
            </w:r>
          </w:p>
        </w:tc>
        <w:tc>
          <w:tcPr>
            <w:tcW w:w="1134" w:type="dxa"/>
          </w:tcPr>
          <w:p w:rsidR="00242C36" w:rsidRPr="00E43137" w:rsidRDefault="00242C36" w:rsidP="00242C36">
            <w:pPr>
              <w:jc w:val="right"/>
              <w:rPr>
                <w:rFonts w:ascii="Calibri" w:hAnsi="Calibri"/>
                <w:sz w:val="18"/>
                <w:szCs w:val="18"/>
                <w:lang w:eastAsia="en-US"/>
              </w:rPr>
            </w:pPr>
            <w:r w:rsidRPr="00E43137">
              <w:rPr>
                <w:rFonts w:ascii="Calibri" w:hAnsi="Calibri" w:cs="Segoe UI"/>
                <w:color w:val="333333"/>
                <w:sz w:val="18"/>
                <w:szCs w:val="18"/>
                <w:lang w:eastAsia="en-US"/>
              </w:rPr>
              <w:t>0</w:t>
            </w:r>
          </w:p>
        </w:tc>
        <w:tc>
          <w:tcPr>
            <w:tcW w:w="1134" w:type="dxa"/>
          </w:tcPr>
          <w:p w:rsidR="00242C36" w:rsidRPr="00E43137" w:rsidRDefault="00242C36" w:rsidP="00242C36">
            <w:pPr>
              <w:jc w:val="right"/>
              <w:rPr>
                <w:rFonts w:ascii="Calibri" w:hAnsi="Calibri"/>
                <w:sz w:val="18"/>
                <w:szCs w:val="18"/>
                <w:lang w:eastAsia="en-US"/>
              </w:rPr>
            </w:pPr>
            <w:r w:rsidRPr="00E43137">
              <w:rPr>
                <w:rFonts w:ascii="Calibri" w:hAnsi="Calibri" w:cs="Segoe UI"/>
                <w:color w:val="333333"/>
                <w:sz w:val="18"/>
                <w:szCs w:val="18"/>
                <w:lang w:eastAsia="en-US"/>
              </w:rPr>
              <w:t>0</w:t>
            </w:r>
          </w:p>
        </w:tc>
        <w:tc>
          <w:tcPr>
            <w:tcW w:w="1134" w:type="dxa"/>
          </w:tcPr>
          <w:p w:rsidR="00242C36" w:rsidRPr="00E43137" w:rsidRDefault="00242C36" w:rsidP="00242C36">
            <w:pPr>
              <w:jc w:val="right"/>
              <w:rPr>
                <w:rFonts w:ascii="Calibri" w:hAnsi="Calibri"/>
                <w:sz w:val="18"/>
                <w:szCs w:val="18"/>
                <w:lang w:eastAsia="en-US"/>
              </w:rPr>
            </w:pPr>
            <w:r w:rsidRPr="00E43137">
              <w:rPr>
                <w:rFonts w:ascii="Calibri" w:hAnsi="Calibri" w:cs="Segoe UI"/>
                <w:color w:val="333333"/>
                <w:sz w:val="18"/>
                <w:szCs w:val="18"/>
                <w:lang w:eastAsia="en-US"/>
              </w:rPr>
              <w:t>10</w:t>
            </w:r>
          </w:p>
        </w:tc>
      </w:tr>
      <w:tr w:rsidR="00242C36" w:rsidRPr="00E43137" w:rsidTr="00E32F57">
        <w:tc>
          <w:tcPr>
            <w:tcW w:w="1652" w:type="dxa"/>
          </w:tcPr>
          <w:p w:rsidR="00242C36" w:rsidRPr="00E43137" w:rsidRDefault="00242C36" w:rsidP="00E32F57">
            <w:pPr>
              <w:jc w:val="left"/>
              <w:rPr>
                <w:rFonts w:ascii="Calibri" w:hAnsi="Calibri"/>
                <w:b/>
                <w:bCs/>
                <w:sz w:val="18"/>
                <w:szCs w:val="18"/>
                <w:lang w:eastAsia="en-US"/>
              </w:rPr>
            </w:pPr>
            <w:r w:rsidRPr="00E43137">
              <w:rPr>
                <w:rFonts w:ascii="Calibri" w:hAnsi="Calibri" w:cs="Segoe UI"/>
                <w:b/>
                <w:bCs/>
                <w:color w:val="333333"/>
                <w:sz w:val="18"/>
                <w:szCs w:val="18"/>
                <w:lang w:eastAsia="en-US"/>
              </w:rPr>
              <w:t>Zmluvné práce</w:t>
            </w:r>
          </w:p>
        </w:tc>
        <w:tc>
          <w:tcPr>
            <w:tcW w:w="776" w:type="dxa"/>
          </w:tcPr>
          <w:p w:rsidR="00242C36" w:rsidRPr="00E43137" w:rsidRDefault="00242C36" w:rsidP="00242C36">
            <w:pPr>
              <w:jc w:val="right"/>
              <w:rPr>
                <w:rFonts w:ascii="Calibri" w:hAnsi="Calibri"/>
                <w:sz w:val="18"/>
                <w:szCs w:val="18"/>
                <w:lang w:eastAsia="en-US"/>
              </w:rPr>
            </w:pPr>
            <w:r w:rsidRPr="00E43137">
              <w:rPr>
                <w:rFonts w:ascii="Calibri" w:hAnsi="Calibri" w:cs="Segoe UI"/>
                <w:color w:val="333333"/>
                <w:sz w:val="18"/>
                <w:szCs w:val="18"/>
                <w:lang w:eastAsia="en-US"/>
              </w:rPr>
              <w:t>700</w:t>
            </w:r>
          </w:p>
        </w:tc>
        <w:tc>
          <w:tcPr>
            <w:tcW w:w="1134" w:type="dxa"/>
          </w:tcPr>
          <w:p w:rsidR="00242C36" w:rsidRPr="00E43137" w:rsidRDefault="00242C36" w:rsidP="00242C36">
            <w:pPr>
              <w:jc w:val="right"/>
              <w:rPr>
                <w:rFonts w:ascii="Calibri" w:hAnsi="Calibri"/>
                <w:sz w:val="18"/>
                <w:szCs w:val="18"/>
                <w:lang w:eastAsia="en-US"/>
              </w:rPr>
            </w:pPr>
            <w:r w:rsidRPr="00E43137">
              <w:rPr>
                <w:rFonts w:ascii="Calibri" w:hAnsi="Calibri" w:cs="Segoe UI"/>
                <w:color w:val="333333"/>
                <w:sz w:val="18"/>
                <w:szCs w:val="18"/>
                <w:lang w:eastAsia="en-US"/>
              </w:rPr>
              <w:t>50</w:t>
            </w:r>
          </w:p>
        </w:tc>
        <w:tc>
          <w:tcPr>
            <w:tcW w:w="1134" w:type="dxa"/>
          </w:tcPr>
          <w:p w:rsidR="00242C36" w:rsidRPr="00E43137" w:rsidRDefault="00242C36" w:rsidP="00242C36">
            <w:pPr>
              <w:jc w:val="right"/>
              <w:rPr>
                <w:rFonts w:ascii="Calibri" w:hAnsi="Calibri"/>
                <w:sz w:val="18"/>
                <w:szCs w:val="18"/>
                <w:lang w:eastAsia="en-US"/>
              </w:rPr>
            </w:pPr>
            <w:r w:rsidRPr="00E43137">
              <w:rPr>
                <w:rFonts w:ascii="Calibri" w:hAnsi="Calibri" w:cs="Segoe UI"/>
                <w:color w:val="333333"/>
                <w:sz w:val="18"/>
                <w:szCs w:val="18"/>
                <w:lang w:eastAsia="en-US"/>
              </w:rPr>
              <w:t>80</w:t>
            </w:r>
          </w:p>
        </w:tc>
        <w:tc>
          <w:tcPr>
            <w:tcW w:w="1134" w:type="dxa"/>
          </w:tcPr>
          <w:p w:rsidR="00242C36" w:rsidRPr="00E43137" w:rsidRDefault="00242C36" w:rsidP="00242C36">
            <w:pPr>
              <w:jc w:val="right"/>
              <w:rPr>
                <w:rFonts w:ascii="Calibri" w:hAnsi="Calibri"/>
                <w:sz w:val="18"/>
                <w:szCs w:val="18"/>
                <w:lang w:eastAsia="en-US"/>
              </w:rPr>
            </w:pPr>
            <w:r w:rsidRPr="00E43137">
              <w:rPr>
                <w:rFonts w:ascii="Calibri" w:hAnsi="Calibri" w:cs="Segoe UI"/>
                <w:color w:val="333333"/>
                <w:sz w:val="18"/>
                <w:szCs w:val="18"/>
                <w:lang w:eastAsia="en-US"/>
              </w:rPr>
              <w:t>100</w:t>
            </w:r>
          </w:p>
        </w:tc>
        <w:tc>
          <w:tcPr>
            <w:tcW w:w="1134" w:type="dxa"/>
          </w:tcPr>
          <w:p w:rsidR="00242C36" w:rsidRPr="00E43137" w:rsidRDefault="00242C36" w:rsidP="00242C36">
            <w:pPr>
              <w:jc w:val="right"/>
              <w:rPr>
                <w:rFonts w:ascii="Calibri" w:hAnsi="Calibri"/>
                <w:sz w:val="18"/>
                <w:szCs w:val="18"/>
                <w:lang w:eastAsia="en-US"/>
              </w:rPr>
            </w:pPr>
            <w:r w:rsidRPr="00E43137">
              <w:rPr>
                <w:rFonts w:ascii="Calibri" w:hAnsi="Calibri" w:cs="Segoe UI"/>
                <w:color w:val="333333"/>
                <w:sz w:val="18"/>
                <w:szCs w:val="18"/>
                <w:lang w:eastAsia="en-US"/>
              </w:rPr>
              <w:t>50</w:t>
            </w:r>
          </w:p>
        </w:tc>
        <w:tc>
          <w:tcPr>
            <w:tcW w:w="1134" w:type="dxa"/>
          </w:tcPr>
          <w:p w:rsidR="00242C36" w:rsidRPr="00E43137" w:rsidRDefault="00242C36" w:rsidP="00242C36">
            <w:pPr>
              <w:jc w:val="right"/>
              <w:rPr>
                <w:rFonts w:ascii="Calibri" w:hAnsi="Calibri"/>
                <w:sz w:val="18"/>
                <w:szCs w:val="18"/>
                <w:lang w:eastAsia="en-US"/>
              </w:rPr>
            </w:pPr>
            <w:r w:rsidRPr="00E43137">
              <w:rPr>
                <w:rFonts w:ascii="Calibri" w:hAnsi="Calibri" w:cs="Segoe UI"/>
                <w:color w:val="333333"/>
                <w:sz w:val="18"/>
                <w:szCs w:val="18"/>
                <w:lang w:eastAsia="en-US"/>
              </w:rPr>
              <w:t>10</w:t>
            </w:r>
          </w:p>
        </w:tc>
        <w:tc>
          <w:tcPr>
            <w:tcW w:w="1134" w:type="dxa"/>
          </w:tcPr>
          <w:p w:rsidR="00242C36" w:rsidRPr="00E43137" w:rsidRDefault="00242C36" w:rsidP="00242C36">
            <w:pPr>
              <w:jc w:val="right"/>
              <w:rPr>
                <w:rFonts w:ascii="Calibri" w:hAnsi="Calibri"/>
                <w:sz w:val="18"/>
                <w:szCs w:val="18"/>
                <w:lang w:eastAsia="en-US"/>
              </w:rPr>
            </w:pPr>
            <w:r w:rsidRPr="00E43137">
              <w:rPr>
                <w:rFonts w:ascii="Calibri" w:hAnsi="Calibri" w:cs="Segoe UI"/>
                <w:color w:val="333333"/>
                <w:sz w:val="18"/>
                <w:szCs w:val="18"/>
                <w:lang w:eastAsia="en-US"/>
              </w:rPr>
              <w:t>410</w:t>
            </w:r>
          </w:p>
        </w:tc>
      </w:tr>
      <w:tr w:rsidR="00242C36" w:rsidRPr="00E43137" w:rsidTr="00E32F57">
        <w:tc>
          <w:tcPr>
            <w:tcW w:w="1652" w:type="dxa"/>
          </w:tcPr>
          <w:p w:rsidR="00242C36" w:rsidRPr="00E43137" w:rsidRDefault="00242C36" w:rsidP="00E32F57">
            <w:pPr>
              <w:jc w:val="left"/>
              <w:rPr>
                <w:rFonts w:ascii="Calibri" w:hAnsi="Calibri"/>
                <w:b/>
                <w:bCs/>
                <w:sz w:val="18"/>
                <w:szCs w:val="18"/>
                <w:lang w:eastAsia="en-US"/>
              </w:rPr>
            </w:pPr>
            <w:r w:rsidRPr="00E43137">
              <w:rPr>
                <w:rFonts w:ascii="Calibri" w:hAnsi="Calibri" w:cs="Segoe UI"/>
                <w:b/>
                <w:bCs/>
                <w:color w:val="333333"/>
                <w:sz w:val="18"/>
                <w:szCs w:val="18"/>
                <w:lang w:eastAsia="en-US"/>
              </w:rPr>
              <w:t>Zmluvné práce pre inú farmu</w:t>
            </w:r>
          </w:p>
        </w:tc>
        <w:tc>
          <w:tcPr>
            <w:tcW w:w="776" w:type="dxa"/>
          </w:tcPr>
          <w:p w:rsidR="00242C36" w:rsidRPr="00E43137" w:rsidRDefault="00242C36" w:rsidP="00242C36">
            <w:pPr>
              <w:jc w:val="right"/>
              <w:rPr>
                <w:rFonts w:ascii="Calibri" w:hAnsi="Calibri"/>
                <w:sz w:val="18"/>
                <w:szCs w:val="18"/>
                <w:lang w:eastAsia="en-US"/>
              </w:rPr>
            </w:pPr>
            <w:r w:rsidRPr="00E43137">
              <w:rPr>
                <w:rFonts w:ascii="Calibri" w:hAnsi="Calibri" w:cs="Segoe UI"/>
                <w:color w:val="333333"/>
                <w:sz w:val="18"/>
                <w:szCs w:val="18"/>
                <w:lang w:eastAsia="en-US"/>
              </w:rPr>
              <w:t>530</w:t>
            </w:r>
          </w:p>
        </w:tc>
        <w:tc>
          <w:tcPr>
            <w:tcW w:w="1134" w:type="dxa"/>
          </w:tcPr>
          <w:p w:rsidR="00242C36" w:rsidRPr="00E43137" w:rsidRDefault="00242C36" w:rsidP="00242C36">
            <w:pPr>
              <w:jc w:val="right"/>
              <w:rPr>
                <w:rFonts w:ascii="Calibri" w:hAnsi="Calibri"/>
                <w:sz w:val="18"/>
                <w:szCs w:val="18"/>
                <w:lang w:eastAsia="en-US"/>
              </w:rPr>
            </w:pPr>
            <w:r w:rsidRPr="00E43137">
              <w:rPr>
                <w:rFonts w:ascii="Calibri" w:hAnsi="Calibri" w:cs="Segoe UI"/>
                <w:color w:val="333333"/>
                <w:sz w:val="18"/>
                <w:szCs w:val="18"/>
                <w:lang w:eastAsia="en-US"/>
              </w:rPr>
              <w:t>40</w:t>
            </w:r>
          </w:p>
        </w:tc>
        <w:tc>
          <w:tcPr>
            <w:tcW w:w="1134" w:type="dxa"/>
          </w:tcPr>
          <w:p w:rsidR="00242C36" w:rsidRPr="00E43137" w:rsidRDefault="00242C36" w:rsidP="00242C36">
            <w:pPr>
              <w:jc w:val="right"/>
              <w:rPr>
                <w:rFonts w:ascii="Calibri" w:hAnsi="Calibri"/>
                <w:sz w:val="18"/>
                <w:szCs w:val="18"/>
                <w:lang w:eastAsia="en-US"/>
              </w:rPr>
            </w:pPr>
            <w:r w:rsidRPr="00E43137">
              <w:rPr>
                <w:rFonts w:ascii="Calibri" w:hAnsi="Calibri" w:cs="Segoe UI"/>
                <w:color w:val="333333"/>
                <w:sz w:val="18"/>
                <w:szCs w:val="18"/>
                <w:lang w:eastAsia="en-US"/>
              </w:rPr>
              <w:t>50</w:t>
            </w:r>
          </w:p>
        </w:tc>
        <w:tc>
          <w:tcPr>
            <w:tcW w:w="1134" w:type="dxa"/>
          </w:tcPr>
          <w:p w:rsidR="00242C36" w:rsidRPr="00E43137" w:rsidRDefault="00242C36" w:rsidP="00242C36">
            <w:pPr>
              <w:jc w:val="right"/>
              <w:rPr>
                <w:rFonts w:ascii="Calibri" w:hAnsi="Calibri"/>
                <w:sz w:val="18"/>
                <w:szCs w:val="18"/>
                <w:lang w:eastAsia="en-US"/>
              </w:rPr>
            </w:pPr>
            <w:r w:rsidRPr="00E43137">
              <w:rPr>
                <w:rFonts w:ascii="Calibri" w:hAnsi="Calibri" w:cs="Segoe UI"/>
                <w:color w:val="333333"/>
                <w:sz w:val="18"/>
                <w:szCs w:val="18"/>
                <w:lang w:eastAsia="en-US"/>
              </w:rPr>
              <w:t>60</w:t>
            </w:r>
          </w:p>
        </w:tc>
        <w:tc>
          <w:tcPr>
            <w:tcW w:w="1134" w:type="dxa"/>
          </w:tcPr>
          <w:p w:rsidR="00242C36" w:rsidRPr="00E43137" w:rsidRDefault="00242C36" w:rsidP="00242C36">
            <w:pPr>
              <w:jc w:val="right"/>
              <w:rPr>
                <w:rFonts w:ascii="Calibri" w:hAnsi="Calibri"/>
                <w:sz w:val="18"/>
                <w:szCs w:val="18"/>
                <w:lang w:eastAsia="en-US"/>
              </w:rPr>
            </w:pPr>
            <w:r w:rsidRPr="00E43137">
              <w:rPr>
                <w:rFonts w:ascii="Calibri" w:hAnsi="Calibri" w:cs="Segoe UI"/>
                <w:color w:val="333333"/>
                <w:sz w:val="18"/>
                <w:szCs w:val="18"/>
                <w:lang w:eastAsia="en-US"/>
              </w:rPr>
              <w:t>40</w:t>
            </w:r>
          </w:p>
        </w:tc>
        <w:tc>
          <w:tcPr>
            <w:tcW w:w="1134" w:type="dxa"/>
          </w:tcPr>
          <w:p w:rsidR="00242C36" w:rsidRPr="00E43137" w:rsidRDefault="00242C36" w:rsidP="00242C36">
            <w:pPr>
              <w:jc w:val="right"/>
              <w:rPr>
                <w:rFonts w:ascii="Calibri" w:hAnsi="Calibri"/>
                <w:sz w:val="18"/>
                <w:szCs w:val="18"/>
                <w:lang w:eastAsia="en-US"/>
              </w:rPr>
            </w:pPr>
            <w:r w:rsidRPr="00E43137">
              <w:rPr>
                <w:rFonts w:ascii="Calibri" w:hAnsi="Calibri" w:cs="Segoe UI"/>
                <w:color w:val="333333"/>
                <w:sz w:val="18"/>
                <w:szCs w:val="18"/>
                <w:lang w:eastAsia="en-US"/>
              </w:rPr>
              <w:t>10</w:t>
            </w:r>
          </w:p>
        </w:tc>
        <w:tc>
          <w:tcPr>
            <w:tcW w:w="1134" w:type="dxa"/>
          </w:tcPr>
          <w:p w:rsidR="00242C36" w:rsidRPr="00E43137" w:rsidRDefault="00242C36" w:rsidP="00242C36">
            <w:pPr>
              <w:jc w:val="right"/>
              <w:rPr>
                <w:rFonts w:ascii="Calibri" w:hAnsi="Calibri"/>
                <w:sz w:val="18"/>
                <w:szCs w:val="18"/>
                <w:lang w:eastAsia="en-US"/>
              </w:rPr>
            </w:pPr>
            <w:r w:rsidRPr="00E43137">
              <w:rPr>
                <w:rFonts w:ascii="Calibri" w:hAnsi="Calibri" w:cs="Segoe UI"/>
                <w:color w:val="333333"/>
                <w:sz w:val="18"/>
                <w:szCs w:val="18"/>
                <w:lang w:eastAsia="en-US"/>
              </w:rPr>
              <w:t>330</w:t>
            </w:r>
          </w:p>
        </w:tc>
      </w:tr>
      <w:tr w:rsidR="00242C36" w:rsidRPr="00E43137" w:rsidTr="00E32F57">
        <w:tc>
          <w:tcPr>
            <w:tcW w:w="1652" w:type="dxa"/>
          </w:tcPr>
          <w:p w:rsidR="00242C36" w:rsidRPr="00E43137" w:rsidRDefault="00242C36" w:rsidP="00E32F57">
            <w:pPr>
              <w:jc w:val="left"/>
              <w:rPr>
                <w:rFonts w:ascii="Calibri" w:hAnsi="Calibri"/>
                <w:b/>
                <w:bCs/>
                <w:sz w:val="18"/>
                <w:szCs w:val="18"/>
                <w:lang w:eastAsia="en-US"/>
              </w:rPr>
            </w:pPr>
            <w:r w:rsidRPr="00E43137">
              <w:rPr>
                <w:rFonts w:ascii="Calibri" w:hAnsi="Calibri" w:cs="Segoe UI"/>
                <w:b/>
                <w:bCs/>
                <w:color w:val="333333"/>
                <w:sz w:val="18"/>
                <w:szCs w:val="18"/>
                <w:lang w:eastAsia="en-US"/>
              </w:rPr>
              <w:t xml:space="preserve">Zmluvné práce pre </w:t>
            </w:r>
            <w:r w:rsidR="00E32F57">
              <w:rPr>
                <w:rFonts w:ascii="Calibri" w:hAnsi="Calibri" w:cs="Segoe UI"/>
                <w:b/>
                <w:bCs/>
                <w:color w:val="333333"/>
                <w:sz w:val="18"/>
                <w:szCs w:val="18"/>
                <w:lang w:eastAsia="en-US"/>
              </w:rPr>
              <w:t>n</w:t>
            </w:r>
            <w:r w:rsidRPr="00E43137">
              <w:rPr>
                <w:rFonts w:ascii="Calibri" w:hAnsi="Calibri" w:cs="Segoe UI"/>
                <w:b/>
                <w:bCs/>
                <w:color w:val="333333"/>
                <w:sz w:val="18"/>
                <w:szCs w:val="18"/>
                <w:lang w:eastAsia="en-US"/>
              </w:rPr>
              <w:t>epoľnohosp. podnik</w:t>
            </w:r>
          </w:p>
        </w:tc>
        <w:tc>
          <w:tcPr>
            <w:tcW w:w="776" w:type="dxa"/>
          </w:tcPr>
          <w:p w:rsidR="00242C36" w:rsidRPr="00E43137" w:rsidRDefault="00242C36" w:rsidP="00242C36">
            <w:pPr>
              <w:jc w:val="right"/>
              <w:rPr>
                <w:rFonts w:ascii="Calibri" w:hAnsi="Calibri"/>
                <w:sz w:val="18"/>
                <w:szCs w:val="18"/>
                <w:lang w:eastAsia="en-US"/>
              </w:rPr>
            </w:pPr>
            <w:r w:rsidRPr="00E43137">
              <w:rPr>
                <w:rFonts w:ascii="Calibri" w:hAnsi="Calibri" w:cs="Segoe UI"/>
                <w:color w:val="333333"/>
                <w:sz w:val="18"/>
                <w:szCs w:val="18"/>
                <w:lang w:eastAsia="en-US"/>
              </w:rPr>
              <w:t>350</w:t>
            </w:r>
          </w:p>
        </w:tc>
        <w:tc>
          <w:tcPr>
            <w:tcW w:w="1134" w:type="dxa"/>
          </w:tcPr>
          <w:p w:rsidR="00242C36" w:rsidRPr="00E43137" w:rsidRDefault="00242C36" w:rsidP="00242C36">
            <w:pPr>
              <w:jc w:val="right"/>
              <w:rPr>
                <w:rFonts w:ascii="Calibri" w:hAnsi="Calibri"/>
                <w:sz w:val="18"/>
                <w:szCs w:val="18"/>
                <w:lang w:eastAsia="en-US"/>
              </w:rPr>
            </w:pPr>
            <w:r w:rsidRPr="00E43137">
              <w:rPr>
                <w:rFonts w:ascii="Calibri" w:hAnsi="Calibri" w:cs="Segoe UI"/>
                <w:color w:val="333333"/>
                <w:sz w:val="18"/>
                <w:szCs w:val="18"/>
                <w:lang w:eastAsia="en-US"/>
              </w:rPr>
              <w:t>20</w:t>
            </w:r>
          </w:p>
        </w:tc>
        <w:tc>
          <w:tcPr>
            <w:tcW w:w="1134" w:type="dxa"/>
          </w:tcPr>
          <w:p w:rsidR="00242C36" w:rsidRPr="00E43137" w:rsidRDefault="00242C36" w:rsidP="00242C36">
            <w:pPr>
              <w:jc w:val="right"/>
              <w:rPr>
                <w:rFonts w:ascii="Calibri" w:hAnsi="Calibri"/>
                <w:sz w:val="18"/>
                <w:szCs w:val="18"/>
                <w:lang w:eastAsia="en-US"/>
              </w:rPr>
            </w:pPr>
            <w:r w:rsidRPr="00E43137">
              <w:rPr>
                <w:rFonts w:ascii="Calibri" w:hAnsi="Calibri" w:cs="Segoe UI"/>
                <w:color w:val="333333"/>
                <w:sz w:val="18"/>
                <w:szCs w:val="18"/>
                <w:lang w:eastAsia="en-US"/>
              </w:rPr>
              <w:t>40</w:t>
            </w:r>
          </w:p>
        </w:tc>
        <w:tc>
          <w:tcPr>
            <w:tcW w:w="1134" w:type="dxa"/>
          </w:tcPr>
          <w:p w:rsidR="00242C36" w:rsidRPr="00E43137" w:rsidRDefault="00242C36" w:rsidP="00242C36">
            <w:pPr>
              <w:jc w:val="right"/>
              <w:rPr>
                <w:rFonts w:ascii="Calibri" w:hAnsi="Calibri"/>
                <w:sz w:val="18"/>
                <w:szCs w:val="18"/>
                <w:lang w:eastAsia="en-US"/>
              </w:rPr>
            </w:pPr>
            <w:r w:rsidRPr="00E43137">
              <w:rPr>
                <w:rFonts w:ascii="Calibri" w:hAnsi="Calibri" w:cs="Segoe UI"/>
                <w:color w:val="333333"/>
                <w:sz w:val="18"/>
                <w:szCs w:val="18"/>
                <w:lang w:eastAsia="en-US"/>
              </w:rPr>
              <w:t>60</w:t>
            </w:r>
          </w:p>
        </w:tc>
        <w:tc>
          <w:tcPr>
            <w:tcW w:w="1134" w:type="dxa"/>
          </w:tcPr>
          <w:p w:rsidR="00242C36" w:rsidRPr="00E43137" w:rsidRDefault="00242C36" w:rsidP="00242C36">
            <w:pPr>
              <w:jc w:val="right"/>
              <w:rPr>
                <w:rFonts w:ascii="Calibri" w:hAnsi="Calibri"/>
                <w:sz w:val="18"/>
                <w:szCs w:val="18"/>
                <w:lang w:eastAsia="en-US"/>
              </w:rPr>
            </w:pPr>
            <w:r w:rsidRPr="00E43137">
              <w:rPr>
                <w:rFonts w:ascii="Calibri" w:hAnsi="Calibri" w:cs="Segoe UI"/>
                <w:color w:val="333333"/>
                <w:sz w:val="18"/>
                <w:szCs w:val="18"/>
                <w:lang w:eastAsia="en-US"/>
              </w:rPr>
              <w:t>20</w:t>
            </w:r>
          </w:p>
        </w:tc>
        <w:tc>
          <w:tcPr>
            <w:tcW w:w="1134" w:type="dxa"/>
          </w:tcPr>
          <w:p w:rsidR="00242C36" w:rsidRPr="00E43137" w:rsidRDefault="00242C36" w:rsidP="00242C36">
            <w:pPr>
              <w:jc w:val="right"/>
              <w:rPr>
                <w:rFonts w:ascii="Calibri" w:hAnsi="Calibri"/>
                <w:sz w:val="18"/>
                <w:szCs w:val="18"/>
                <w:lang w:eastAsia="en-US"/>
              </w:rPr>
            </w:pPr>
            <w:r w:rsidRPr="00E43137">
              <w:rPr>
                <w:rFonts w:ascii="Calibri" w:hAnsi="Calibri" w:cs="Segoe UI"/>
                <w:color w:val="333333"/>
                <w:sz w:val="18"/>
                <w:szCs w:val="18"/>
                <w:lang w:eastAsia="en-US"/>
              </w:rPr>
              <w:t>0</w:t>
            </w:r>
          </w:p>
        </w:tc>
        <w:tc>
          <w:tcPr>
            <w:tcW w:w="1134" w:type="dxa"/>
          </w:tcPr>
          <w:p w:rsidR="00242C36" w:rsidRPr="00E43137" w:rsidRDefault="00242C36" w:rsidP="00242C36">
            <w:pPr>
              <w:jc w:val="right"/>
              <w:rPr>
                <w:rFonts w:ascii="Calibri" w:hAnsi="Calibri"/>
                <w:sz w:val="18"/>
                <w:szCs w:val="18"/>
                <w:lang w:eastAsia="en-US"/>
              </w:rPr>
            </w:pPr>
            <w:r w:rsidRPr="00E43137">
              <w:rPr>
                <w:rFonts w:ascii="Calibri" w:hAnsi="Calibri" w:cs="Segoe UI"/>
                <w:color w:val="333333"/>
                <w:sz w:val="18"/>
                <w:szCs w:val="18"/>
                <w:lang w:eastAsia="en-US"/>
              </w:rPr>
              <w:t>210</w:t>
            </w:r>
          </w:p>
        </w:tc>
      </w:tr>
      <w:tr w:rsidR="00242C36" w:rsidRPr="00E43137" w:rsidTr="00E32F57">
        <w:tc>
          <w:tcPr>
            <w:tcW w:w="1652" w:type="dxa"/>
          </w:tcPr>
          <w:p w:rsidR="00242C36" w:rsidRPr="00E43137" w:rsidRDefault="00242C36" w:rsidP="00E32F57">
            <w:pPr>
              <w:jc w:val="left"/>
              <w:rPr>
                <w:rFonts w:ascii="Calibri" w:hAnsi="Calibri"/>
                <w:b/>
                <w:bCs/>
                <w:sz w:val="18"/>
                <w:szCs w:val="18"/>
                <w:lang w:eastAsia="en-US"/>
              </w:rPr>
            </w:pPr>
            <w:r w:rsidRPr="00E43137">
              <w:rPr>
                <w:rFonts w:ascii="Calibri" w:hAnsi="Calibri" w:cs="Segoe UI"/>
                <w:b/>
                <w:bCs/>
                <w:color w:val="333333"/>
                <w:sz w:val="18"/>
                <w:szCs w:val="18"/>
                <w:lang w:eastAsia="en-US"/>
              </w:rPr>
              <w:t>Práca v lesníctve</w:t>
            </w:r>
          </w:p>
        </w:tc>
        <w:tc>
          <w:tcPr>
            <w:tcW w:w="776" w:type="dxa"/>
          </w:tcPr>
          <w:p w:rsidR="00242C36" w:rsidRPr="00E43137" w:rsidRDefault="00242C36" w:rsidP="00242C36">
            <w:pPr>
              <w:jc w:val="right"/>
              <w:rPr>
                <w:rFonts w:ascii="Calibri" w:hAnsi="Calibri"/>
                <w:sz w:val="18"/>
                <w:szCs w:val="18"/>
                <w:lang w:eastAsia="en-US"/>
              </w:rPr>
            </w:pPr>
            <w:r w:rsidRPr="00E43137">
              <w:rPr>
                <w:rFonts w:ascii="Calibri" w:hAnsi="Calibri" w:cs="Segoe UI"/>
                <w:color w:val="333333"/>
                <w:sz w:val="18"/>
                <w:szCs w:val="18"/>
                <w:lang w:eastAsia="en-US"/>
              </w:rPr>
              <w:t>50</w:t>
            </w:r>
          </w:p>
        </w:tc>
        <w:tc>
          <w:tcPr>
            <w:tcW w:w="1134" w:type="dxa"/>
          </w:tcPr>
          <w:p w:rsidR="00242C36" w:rsidRPr="00E43137" w:rsidRDefault="00242C36" w:rsidP="00242C36">
            <w:pPr>
              <w:jc w:val="right"/>
              <w:rPr>
                <w:rFonts w:ascii="Calibri" w:hAnsi="Calibri"/>
                <w:sz w:val="18"/>
                <w:szCs w:val="18"/>
                <w:lang w:eastAsia="en-US"/>
              </w:rPr>
            </w:pPr>
            <w:r w:rsidRPr="00E43137">
              <w:rPr>
                <w:rFonts w:ascii="Calibri" w:hAnsi="Calibri" w:cs="Segoe UI"/>
                <w:color w:val="333333"/>
                <w:sz w:val="18"/>
                <w:szCs w:val="18"/>
                <w:lang w:eastAsia="en-US"/>
              </w:rPr>
              <w:t>0</w:t>
            </w:r>
          </w:p>
        </w:tc>
        <w:tc>
          <w:tcPr>
            <w:tcW w:w="1134" w:type="dxa"/>
          </w:tcPr>
          <w:p w:rsidR="00242C36" w:rsidRPr="00E43137" w:rsidRDefault="00242C36" w:rsidP="00242C36">
            <w:pPr>
              <w:jc w:val="right"/>
              <w:rPr>
                <w:rFonts w:ascii="Calibri" w:hAnsi="Calibri"/>
                <w:sz w:val="18"/>
                <w:szCs w:val="18"/>
                <w:lang w:eastAsia="en-US"/>
              </w:rPr>
            </w:pPr>
            <w:r w:rsidRPr="00E43137">
              <w:rPr>
                <w:rFonts w:ascii="Calibri" w:hAnsi="Calibri" w:cs="Segoe UI"/>
                <w:color w:val="333333"/>
                <w:sz w:val="18"/>
                <w:szCs w:val="18"/>
                <w:lang w:eastAsia="en-US"/>
              </w:rPr>
              <w:t>0</w:t>
            </w:r>
          </w:p>
        </w:tc>
        <w:tc>
          <w:tcPr>
            <w:tcW w:w="1134" w:type="dxa"/>
          </w:tcPr>
          <w:p w:rsidR="00242C36" w:rsidRPr="00E43137" w:rsidRDefault="00242C36" w:rsidP="00242C36">
            <w:pPr>
              <w:jc w:val="right"/>
              <w:rPr>
                <w:rFonts w:ascii="Calibri" w:hAnsi="Calibri"/>
                <w:sz w:val="18"/>
                <w:szCs w:val="18"/>
                <w:lang w:eastAsia="en-US"/>
              </w:rPr>
            </w:pPr>
            <w:r w:rsidRPr="00E43137">
              <w:rPr>
                <w:rFonts w:ascii="Calibri" w:hAnsi="Calibri" w:cs="Segoe UI"/>
                <w:color w:val="333333"/>
                <w:sz w:val="18"/>
                <w:szCs w:val="18"/>
                <w:lang w:eastAsia="en-US"/>
              </w:rPr>
              <w:t>10</w:t>
            </w:r>
          </w:p>
        </w:tc>
        <w:tc>
          <w:tcPr>
            <w:tcW w:w="1134" w:type="dxa"/>
          </w:tcPr>
          <w:p w:rsidR="00242C36" w:rsidRPr="00E43137" w:rsidRDefault="00242C36" w:rsidP="00242C36">
            <w:pPr>
              <w:jc w:val="right"/>
              <w:rPr>
                <w:rFonts w:ascii="Calibri" w:hAnsi="Calibri"/>
                <w:sz w:val="18"/>
                <w:szCs w:val="18"/>
                <w:lang w:eastAsia="en-US"/>
              </w:rPr>
            </w:pPr>
            <w:r w:rsidRPr="00E43137">
              <w:rPr>
                <w:rFonts w:ascii="Calibri" w:hAnsi="Calibri" w:cs="Segoe UI"/>
                <w:color w:val="333333"/>
                <w:sz w:val="18"/>
                <w:szCs w:val="18"/>
                <w:lang w:eastAsia="en-US"/>
              </w:rPr>
              <w:t>0</w:t>
            </w:r>
          </w:p>
        </w:tc>
        <w:tc>
          <w:tcPr>
            <w:tcW w:w="1134" w:type="dxa"/>
          </w:tcPr>
          <w:p w:rsidR="00242C36" w:rsidRPr="00E43137" w:rsidRDefault="00242C36" w:rsidP="00242C36">
            <w:pPr>
              <w:jc w:val="right"/>
              <w:rPr>
                <w:rFonts w:ascii="Calibri" w:hAnsi="Calibri"/>
                <w:sz w:val="18"/>
                <w:szCs w:val="18"/>
                <w:lang w:eastAsia="en-US"/>
              </w:rPr>
            </w:pPr>
            <w:r w:rsidRPr="00E43137">
              <w:rPr>
                <w:rFonts w:ascii="Calibri" w:hAnsi="Calibri" w:cs="Segoe UI"/>
                <w:color w:val="333333"/>
                <w:sz w:val="18"/>
                <w:szCs w:val="18"/>
                <w:lang w:eastAsia="en-US"/>
              </w:rPr>
              <w:t>0</w:t>
            </w:r>
          </w:p>
        </w:tc>
        <w:tc>
          <w:tcPr>
            <w:tcW w:w="1134" w:type="dxa"/>
          </w:tcPr>
          <w:p w:rsidR="00242C36" w:rsidRPr="00E43137" w:rsidRDefault="00242C36" w:rsidP="00242C36">
            <w:pPr>
              <w:jc w:val="right"/>
              <w:rPr>
                <w:rFonts w:ascii="Calibri" w:hAnsi="Calibri"/>
                <w:sz w:val="18"/>
                <w:szCs w:val="18"/>
                <w:lang w:eastAsia="en-US"/>
              </w:rPr>
            </w:pPr>
            <w:r w:rsidRPr="00E43137">
              <w:rPr>
                <w:rFonts w:ascii="Calibri" w:hAnsi="Calibri" w:cs="Segoe UI"/>
                <w:color w:val="333333"/>
                <w:sz w:val="18"/>
                <w:szCs w:val="18"/>
                <w:lang w:eastAsia="en-US"/>
              </w:rPr>
              <w:t>30</w:t>
            </w:r>
          </w:p>
        </w:tc>
      </w:tr>
      <w:tr w:rsidR="00242C36" w:rsidRPr="00E43137" w:rsidTr="00E32F57">
        <w:tc>
          <w:tcPr>
            <w:tcW w:w="1652" w:type="dxa"/>
          </w:tcPr>
          <w:p w:rsidR="00242C36" w:rsidRPr="00E43137" w:rsidRDefault="00242C36" w:rsidP="00E32F57">
            <w:pPr>
              <w:jc w:val="left"/>
              <w:rPr>
                <w:rFonts w:ascii="Calibri" w:hAnsi="Calibri"/>
                <w:b/>
                <w:bCs/>
                <w:sz w:val="18"/>
                <w:szCs w:val="18"/>
                <w:lang w:eastAsia="en-US"/>
              </w:rPr>
            </w:pPr>
            <w:r w:rsidRPr="00E43137">
              <w:rPr>
                <w:rFonts w:ascii="Calibri" w:hAnsi="Calibri" w:cs="Segoe UI"/>
                <w:b/>
                <w:bCs/>
                <w:color w:val="333333"/>
                <w:sz w:val="18"/>
                <w:szCs w:val="18"/>
                <w:lang w:eastAsia="en-US"/>
              </w:rPr>
              <w:t>Iné</w:t>
            </w:r>
          </w:p>
        </w:tc>
        <w:tc>
          <w:tcPr>
            <w:tcW w:w="776" w:type="dxa"/>
          </w:tcPr>
          <w:p w:rsidR="00242C36" w:rsidRPr="00E43137" w:rsidRDefault="00242C36" w:rsidP="00242C36">
            <w:pPr>
              <w:jc w:val="right"/>
              <w:rPr>
                <w:rFonts w:ascii="Calibri" w:hAnsi="Calibri"/>
                <w:sz w:val="18"/>
                <w:szCs w:val="18"/>
                <w:lang w:eastAsia="en-US"/>
              </w:rPr>
            </w:pPr>
            <w:r w:rsidRPr="00E43137">
              <w:rPr>
                <w:rFonts w:ascii="Calibri" w:hAnsi="Calibri" w:cs="Segoe UI"/>
                <w:color w:val="333333"/>
                <w:sz w:val="18"/>
                <w:szCs w:val="18"/>
                <w:lang w:eastAsia="en-US"/>
              </w:rPr>
              <w:t>580</w:t>
            </w:r>
          </w:p>
        </w:tc>
        <w:tc>
          <w:tcPr>
            <w:tcW w:w="1134" w:type="dxa"/>
          </w:tcPr>
          <w:p w:rsidR="00242C36" w:rsidRPr="00E43137" w:rsidRDefault="00242C36" w:rsidP="00242C36">
            <w:pPr>
              <w:jc w:val="right"/>
              <w:rPr>
                <w:rFonts w:ascii="Calibri" w:hAnsi="Calibri"/>
                <w:sz w:val="18"/>
                <w:szCs w:val="18"/>
                <w:lang w:eastAsia="en-US"/>
              </w:rPr>
            </w:pPr>
            <w:r w:rsidRPr="00E43137">
              <w:rPr>
                <w:rFonts w:ascii="Calibri" w:hAnsi="Calibri" w:cs="Segoe UI"/>
                <w:color w:val="333333"/>
                <w:sz w:val="18"/>
                <w:szCs w:val="18"/>
                <w:lang w:eastAsia="en-US"/>
              </w:rPr>
              <w:t>40</w:t>
            </w:r>
          </w:p>
        </w:tc>
        <w:tc>
          <w:tcPr>
            <w:tcW w:w="1134" w:type="dxa"/>
          </w:tcPr>
          <w:p w:rsidR="00242C36" w:rsidRPr="00E43137" w:rsidRDefault="00242C36" w:rsidP="00242C36">
            <w:pPr>
              <w:jc w:val="right"/>
              <w:rPr>
                <w:rFonts w:ascii="Calibri" w:hAnsi="Calibri"/>
                <w:sz w:val="18"/>
                <w:szCs w:val="18"/>
                <w:lang w:eastAsia="en-US"/>
              </w:rPr>
            </w:pPr>
            <w:r w:rsidRPr="00E43137">
              <w:rPr>
                <w:rFonts w:ascii="Calibri" w:hAnsi="Calibri" w:cs="Segoe UI"/>
                <w:color w:val="333333"/>
                <w:sz w:val="18"/>
                <w:szCs w:val="18"/>
                <w:lang w:eastAsia="en-US"/>
              </w:rPr>
              <w:t>80</w:t>
            </w:r>
          </w:p>
        </w:tc>
        <w:tc>
          <w:tcPr>
            <w:tcW w:w="1134" w:type="dxa"/>
          </w:tcPr>
          <w:p w:rsidR="00242C36" w:rsidRPr="00E43137" w:rsidRDefault="00242C36" w:rsidP="00242C36">
            <w:pPr>
              <w:jc w:val="right"/>
              <w:rPr>
                <w:rFonts w:ascii="Calibri" w:hAnsi="Calibri"/>
                <w:sz w:val="18"/>
                <w:szCs w:val="18"/>
                <w:lang w:eastAsia="en-US"/>
              </w:rPr>
            </w:pPr>
            <w:r w:rsidRPr="00E43137">
              <w:rPr>
                <w:rFonts w:ascii="Calibri" w:hAnsi="Calibri" w:cs="Segoe UI"/>
                <w:color w:val="333333"/>
                <w:sz w:val="18"/>
                <w:szCs w:val="18"/>
                <w:lang w:eastAsia="en-US"/>
              </w:rPr>
              <w:t>110</w:t>
            </w:r>
          </w:p>
        </w:tc>
        <w:tc>
          <w:tcPr>
            <w:tcW w:w="1134" w:type="dxa"/>
          </w:tcPr>
          <w:p w:rsidR="00242C36" w:rsidRPr="00E43137" w:rsidRDefault="00242C36" w:rsidP="00242C36">
            <w:pPr>
              <w:jc w:val="right"/>
              <w:rPr>
                <w:rFonts w:ascii="Calibri" w:hAnsi="Calibri"/>
                <w:sz w:val="18"/>
                <w:szCs w:val="18"/>
                <w:lang w:eastAsia="en-US"/>
              </w:rPr>
            </w:pPr>
            <w:r w:rsidRPr="00E43137">
              <w:rPr>
                <w:rFonts w:ascii="Calibri" w:hAnsi="Calibri" w:cs="Segoe UI"/>
                <w:color w:val="333333"/>
                <w:sz w:val="18"/>
                <w:szCs w:val="18"/>
                <w:lang w:eastAsia="en-US"/>
              </w:rPr>
              <w:t>60</w:t>
            </w:r>
          </w:p>
        </w:tc>
        <w:tc>
          <w:tcPr>
            <w:tcW w:w="1134" w:type="dxa"/>
          </w:tcPr>
          <w:p w:rsidR="00242C36" w:rsidRPr="00E43137" w:rsidRDefault="00242C36" w:rsidP="00242C36">
            <w:pPr>
              <w:jc w:val="right"/>
              <w:rPr>
                <w:rFonts w:ascii="Calibri" w:hAnsi="Calibri"/>
                <w:sz w:val="18"/>
                <w:szCs w:val="18"/>
                <w:lang w:eastAsia="en-US"/>
              </w:rPr>
            </w:pPr>
            <w:r w:rsidRPr="00E43137">
              <w:rPr>
                <w:rFonts w:ascii="Calibri" w:hAnsi="Calibri" w:cs="Segoe UI"/>
                <w:color w:val="333333"/>
                <w:sz w:val="18"/>
                <w:szCs w:val="18"/>
                <w:lang w:eastAsia="en-US"/>
              </w:rPr>
              <w:t>10</w:t>
            </w:r>
          </w:p>
        </w:tc>
        <w:tc>
          <w:tcPr>
            <w:tcW w:w="1134" w:type="dxa"/>
          </w:tcPr>
          <w:p w:rsidR="00242C36" w:rsidRPr="00E43137" w:rsidRDefault="00242C36" w:rsidP="00242C36">
            <w:pPr>
              <w:jc w:val="right"/>
              <w:rPr>
                <w:rFonts w:ascii="Calibri" w:hAnsi="Calibri"/>
                <w:sz w:val="18"/>
                <w:szCs w:val="18"/>
                <w:lang w:eastAsia="en-US"/>
              </w:rPr>
            </w:pPr>
            <w:r w:rsidRPr="00E43137">
              <w:rPr>
                <w:rFonts w:ascii="Calibri" w:hAnsi="Calibri" w:cs="Segoe UI"/>
                <w:color w:val="333333"/>
                <w:sz w:val="18"/>
                <w:szCs w:val="18"/>
                <w:lang w:eastAsia="en-US"/>
              </w:rPr>
              <w:t>280</w:t>
            </w:r>
          </w:p>
        </w:tc>
      </w:tr>
      <w:tr w:rsidR="00242C36" w:rsidRPr="00E43137" w:rsidTr="00E32F57">
        <w:tc>
          <w:tcPr>
            <w:tcW w:w="1652" w:type="dxa"/>
          </w:tcPr>
          <w:p w:rsidR="00242C36" w:rsidRPr="00E43137" w:rsidRDefault="00242C36" w:rsidP="00E32F57">
            <w:pPr>
              <w:jc w:val="left"/>
              <w:rPr>
                <w:rFonts w:ascii="Calibri" w:hAnsi="Calibri"/>
                <w:b/>
                <w:bCs/>
                <w:sz w:val="18"/>
                <w:szCs w:val="18"/>
                <w:lang w:eastAsia="en-US"/>
              </w:rPr>
            </w:pPr>
            <w:r w:rsidRPr="00E43137">
              <w:rPr>
                <w:rFonts w:ascii="Calibri" w:hAnsi="Calibri" w:cs="Segoe UI"/>
                <w:b/>
                <w:bCs/>
                <w:i/>
                <w:iCs/>
                <w:color w:val="333333"/>
                <w:sz w:val="18"/>
                <w:szCs w:val="18"/>
                <w:lang w:eastAsia="en-US"/>
              </w:rPr>
              <w:t>Obrat do 10%</w:t>
            </w:r>
          </w:p>
        </w:tc>
        <w:tc>
          <w:tcPr>
            <w:tcW w:w="776" w:type="dxa"/>
          </w:tcPr>
          <w:p w:rsidR="00242C36" w:rsidRPr="00E43137" w:rsidRDefault="00242C36" w:rsidP="00242C36">
            <w:pPr>
              <w:jc w:val="right"/>
              <w:rPr>
                <w:rFonts w:ascii="Calibri" w:hAnsi="Calibri"/>
                <w:sz w:val="18"/>
                <w:szCs w:val="18"/>
                <w:lang w:eastAsia="en-US"/>
              </w:rPr>
            </w:pPr>
            <w:r w:rsidRPr="00E43137">
              <w:rPr>
                <w:rFonts w:ascii="Calibri" w:hAnsi="Calibri" w:cs="Segoe UI"/>
                <w:i/>
                <w:iCs/>
                <w:color w:val="333333"/>
                <w:sz w:val="18"/>
                <w:szCs w:val="18"/>
                <w:lang w:eastAsia="en-US"/>
              </w:rPr>
              <w:t>23 550</w:t>
            </w:r>
          </w:p>
        </w:tc>
        <w:tc>
          <w:tcPr>
            <w:tcW w:w="1134" w:type="dxa"/>
          </w:tcPr>
          <w:p w:rsidR="00242C36" w:rsidRPr="00E43137" w:rsidRDefault="00242C36" w:rsidP="00242C36">
            <w:pPr>
              <w:jc w:val="right"/>
              <w:rPr>
                <w:rFonts w:ascii="Calibri" w:hAnsi="Calibri"/>
                <w:sz w:val="18"/>
                <w:szCs w:val="18"/>
                <w:lang w:eastAsia="en-US"/>
              </w:rPr>
            </w:pPr>
            <w:r w:rsidRPr="00E43137">
              <w:rPr>
                <w:rFonts w:ascii="Calibri" w:hAnsi="Calibri" w:cs="Segoe UI"/>
                <w:i/>
                <w:iCs/>
                <w:color w:val="333333"/>
                <w:sz w:val="18"/>
                <w:szCs w:val="18"/>
                <w:lang w:eastAsia="en-US"/>
              </w:rPr>
              <w:t>1 430</w:t>
            </w:r>
          </w:p>
        </w:tc>
        <w:tc>
          <w:tcPr>
            <w:tcW w:w="1134" w:type="dxa"/>
          </w:tcPr>
          <w:p w:rsidR="00242C36" w:rsidRPr="00E43137" w:rsidRDefault="00242C36" w:rsidP="00242C36">
            <w:pPr>
              <w:jc w:val="right"/>
              <w:rPr>
                <w:rFonts w:ascii="Calibri" w:hAnsi="Calibri"/>
                <w:sz w:val="18"/>
                <w:szCs w:val="18"/>
                <w:lang w:eastAsia="en-US"/>
              </w:rPr>
            </w:pPr>
            <w:r w:rsidRPr="00E43137">
              <w:rPr>
                <w:rFonts w:ascii="Calibri" w:hAnsi="Calibri" w:cs="Segoe UI"/>
                <w:i/>
                <w:iCs/>
                <w:color w:val="333333"/>
                <w:sz w:val="18"/>
                <w:szCs w:val="18"/>
                <w:lang w:eastAsia="en-US"/>
              </w:rPr>
              <w:t>3 037</w:t>
            </w:r>
          </w:p>
        </w:tc>
        <w:tc>
          <w:tcPr>
            <w:tcW w:w="1134" w:type="dxa"/>
          </w:tcPr>
          <w:p w:rsidR="00242C36" w:rsidRPr="00E43137" w:rsidRDefault="00242C36" w:rsidP="00242C36">
            <w:pPr>
              <w:jc w:val="right"/>
              <w:rPr>
                <w:rFonts w:ascii="Calibri" w:hAnsi="Calibri"/>
                <w:sz w:val="18"/>
                <w:szCs w:val="18"/>
                <w:lang w:eastAsia="en-US"/>
              </w:rPr>
            </w:pPr>
            <w:r w:rsidRPr="00E43137">
              <w:rPr>
                <w:rFonts w:ascii="Calibri" w:hAnsi="Calibri" w:cs="Segoe UI"/>
                <w:i/>
                <w:iCs/>
                <w:color w:val="333333"/>
                <w:sz w:val="18"/>
                <w:szCs w:val="18"/>
                <w:lang w:eastAsia="en-US"/>
              </w:rPr>
              <w:t>5 560</w:t>
            </w:r>
          </w:p>
        </w:tc>
        <w:tc>
          <w:tcPr>
            <w:tcW w:w="1134" w:type="dxa"/>
          </w:tcPr>
          <w:p w:rsidR="00242C36" w:rsidRPr="00E43137" w:rsidRDefault="00242C36" w:rsidP="00242C36">
            <w:pPr>
              <w:jc w:val="right"/>
              <w:rPr>
                <w:rFonts w:ascii="Calibri" w:hAnsi="Calibri"/>
                <w:sz w:val="18"/>
                <w:szCs w:val="18"/>
                <w:lang w:eastAsia="en-US"/>
              </w:rPr>
            </w:pPr>
            <w:r w:rsidRPr="00E43137">
              <w:rPr>
                <w:rFonts w:ascii="Calibri" w:hAnsi="Calibri" w:cs="Segoe UI"/>
                <w:i/>
                <w:iCs/>
                <w:color w:val="333333"/>
                <w:sz w:val="18"/>
                <w:szCs w:val="18"/>
                <w:lang w:eastAsia="en-US"/>
              </w:rPr>
              <w:t>6 150</w:t>
            </w:r>
          </w:p>
        </w:tc>
        <w:tc>
          <w:tcPr>
            <w:tcW w:w="1134" w:type="dxa"/>
          </w:tcPr>
          <w:p w:rsidR="00242C36" w:rsidRPr="00E43137" w:rsidRDefault="00242C36" w:rsidP="00242C36">
            <w:pPr>
              <w:jc w:val="right"/>
              <w:rPr>
                <w:rFonts w:ascii="Calibri" w:hAnsi="Calibri"/>
                <w:sz w:val="18"/>
                <w:szCs w:val="18"/>
                <w:lang w:eastAsia="en-US"/>
              </w:rPr>
            </w:pPr>
            <w:r w:rsidRPr="00E43137">
              <w:rPr>
                <w:rFonts w:ascii="Calibri" w:hAnsi="Calibri" w:cs="Segoe UI"/>
                <w:i/>
                <w:iCs/>
                <w:color w:val="333333"/>
                <w:sz w:val="18"/>
                <w:szCs w:val="18"/>
                <w:lang w:eastAsia="en-US"/>
              </w:rPr>
              <w:t>5 467</w:t>
            </w:r>
          </w:p>
        </w:tc>
        <w:tc>
          <w:tcPr>
            <w:tcW w:w="1134" w:type="dxa"/>
          </w:tcPr>
          <w:p w:rsidR="00242C36" w:rsidRPr="00E43137" w:rsidRDefault="00242C36" w:rsidP="00242C36">
            <w:pPr>
              <w:jc w:val="right"/>
              <w:rPr>
                <w:rFonts w:ascii="Calibri" w:hAnsi="Calibri"/>
                <w:sz w:val="18"/>
                <w:szCs w:val="18"/>
                <w:lang w:eastAsia="en-US"/>
              </w:rPr>
            </w:pPr>
            <w:r w:rsidRPr="00E43137">
              <w:rPr>
                <w:rFonts w:ascii="Calibri" w:hAnsi="Calibri" w:cs="Segoe UI"/>
                <w:i/>
                <w:iCs/>
                <w:color w:val="333333"/>
                <w:sz w:val="18"/>
                <w:szCs w:val="18"/>
                <w:lang w:eastAsia="en-US"/>
              </w:rPr>
              <w:t>1 900</w:t>
            </w:r>
          </w:p>
        </w:tc>
      </w:tr>
      <w:tr w:rsidR="00242C36" w:rsidRPr="00E43137" w:rsidTr="00E32F57">
        <w:tc>
          <w:tcPr>
            <w:tcW w:w="1652" w:type="dxa"/>
          </w:tcPr>
          <w:p w:rsidR="00242C36" w:rsidRPr="00E43137" w:rsidRDefault="00242C36" w:rsidP="00E32F57">
            <w:pPr>
              <w:jc w:val="left"/>
              <w:rPr>
                <w:rFonts w:ascii="Calibri" w:hAnsi="Calibri"/>
                <w:b/>
                <w:bCs/>
                <w:sz w:val="18"/>
                <w:szCs w:val="18"/>
                <w:lang w:eastAsia="en-US"/>
              </w:rPr>
            </w:pPr>
            <w:r w:rsidRPr="00E43137">
              <w:rPr>
                <w:rFonts w:ascii="Calibri" w:hAnsi="Calibri" w:cs="Segoe UI"/>
                <w:b/>
                <w:bCs/>
                <w:i/>
                <w:iCs/>
                <w:color w:val="333333"/>
                <w:sz w:val="18"/>
                <w:szCs w:val="18"/>
                <w:lang w:eastAsia="en-US"/>
              </w:rPr>
              <w:t>Obrat od 10 do 50%</w:t>
            </w:r>
          </w:p>
        </w:tc>
        <w:tc>
          <w:tcPr>
            <w:tcW w:w="776" w:type="dxa"/>
          </w:tcPr>
          <w:p w:rsidR="00242C36" w:rsidRPr="00E43137" w:rsidRDefault="00242C36" w:rsidP="00242C36">
            <w:pPr>
              <w:jc w:val="right"/>
              <w:rPr>
                <w:rFonts w:ascii="Calibri" w:hAnsi="Calibri"/>
                <w:sz w:val="18"/>
                <w:szCs w:val="18"/>
                <w:lang w:eastAsia="en-US"/>
              </w:rPr>
            </w:pPr>
            <w:r w:rsidRPr="00E43137">
              <w:rPr>
                <w:rFonts w:ascii="Calibri" w:hAnsi="Calibri" w:cs="Segoe UI"/>
                <w:i/>
                <w:iCs/>
                <w:color w:val="333333"/>
                <w:sz w:val="18"/>
                <w:szCs w:val="18"/>
                <w:lang w:eastAsia="en-US"/>
              </w:rPr>
              <w:t>610</w:t>
            </w:r>
          </w:p>
        </w:tc>
        <w:tc>
          <w:tcPr>
            <w:tcW w:w="1134" w:type="dxa"/>
          </w:tcPr>
          <w:p w:rsidR="00242C36" w:rsidRPr="00E43137" w:rsidRDefault="00242C36" w:rsidP="00242C36">
            <w:pPr>
              <w:jc w:val="right"/>
              <w:rPr>
                <w:rFonts w:ascii="Calibri" w:hAnsi="Calibri"/>
                <w:sz w:val="18"/>
                <w:szCs w:val="18"/>
                <w:lang w:eastAsia="en-US"/>
              </w:rPr>
            </w:pPr>
            <w:r w:rsidRPr="00E43137">
              <w:rPr>
                <w:rFonts w:ascii="Calibri" w:hAnsi="Calibri" w:cs="Segoe UI"/>
                <w:i/>
                <w:iCs/>
                <w:color w:val="333333"/>
                <w:sz w:val="18"/>
                <w:szCs w:val="18"/>
                <w:lang w:eastAsia="en-US"/>
              </w:rPr>
              <w:t>40</w:t>
            </w:r>
          </w:p>
        </w:tc>
        <w:tc>
          <w:tcPr>
            <w:tcW w:w="1134" w:type="dxa"/>
          </w:tcPr>
          <w:p w:rsidR="00242C36" w:rsidRPr="00E43137" w:rsidRDefault="00242C36" w:rsidP="00242C36">
            <w:pPr>
              <w:jc w:val="right"/>
              <w:rPr>
                <w:rFonts w:ascii="Calibri" w:hAnsi="Calibri"/>
                <w:sz w:val="18"/>
                <w:szCs w:val="18"/>
                <w:lang w:eastAsia="en-US"/>
              </w:rPr>
            </w:pPr>
            <w:r w:rsidRPr="00E43137">
              <w:rPr>
                <w:rFonts w:ascii="Calibri" w:hAnsi="Calibri" w:cs="Segoe UI"/>
                <w:i/>
                <w:iCs/>
                <w:color w:val="333333"/>
                <w:sz w:val="18"/>
                <w:szCs w:val="18"/>
                <w:lang w:eastAsia="en-US"/>
              </w:rPr>
              <w:t>77</w:t>
            </w:r>
          </w:p>
        </w:tc>
        <w:tc>
          <w:tcPr>
            <w:tcW w:w="1134" w:type="dxa"/>
          </w:tcPr>
          <w:p w:rsidR="00242C36" w:rsidRPr="00E43137" w:rsidRDefault="00242C36" w:rsidP="00242C36">
            <w:pPr>
              <w:jc w:val="right"/>
              <w:rPr>
                <w:rFonts w:ascii="Calibri" w:hAnsi="Calibri"/>
                <w:sz w:val="18"/>
                <w:szCs w:val="18"/>
                <w:lang w:eastAsia="en-US"/>
              </w:rPr>
            </w:pPr>
            <w:r w:rsidRPr="00E43137">
              <w:rPr>
                <w:rFonts w:ascii="Calibri" w:hAnsi="Calibri" w:cs="Segoe UI"/>
                <w:i/>
                <w:iCs/>
                <w:color w:val="333333"/>
                <w:sz w:val="18"/>
                <w:szCs w:val="18"/>
                <w:lang w:eastAsia="en-US"/>
              </w:rPr>
              <w:t>140</w:t>
            </w:r>
          </w:p>
        </w:tc>
        <w:tc>
          <w:tcPr>
            <w:tcW w:w="1134" w:type="dxa"/>
          </w:tcPr>
          <w:p w:rsidR="00242C36" w:rsidRPr="00E43137" w:rsidRDefault="00242C36" w:rsidP="00242C36">
            <w:pPr>
              <w:jc w:val="right"/>
              <w:rPr>
                <w:rFonts w:ascii="Calibri" w:hAnsi="Calibri"/>
                <w:sz w:val="18"/>
                <w:szCs w:val="18"/>
                <w:lang w:eastAsia="en-US"/>
              </w:rPr>
            </w:pPr>
            <w:r w:rsidRPr="00E43137">
              <w:rPr>
                <w:rFonts w:ascii="Calibri" w:hAnsi="Calibri" w:cs="Segoe UI"/>
                <w:i/>
                <w:iCs/>
                <w:color w:val="333333"/>
                <w:sz w:val="18"/>
                <w:szCs w:val="18"/>
                <w:lang w:eastAsia="en-US"/>
              </w:rPr>
              <w:t>80</w:t>
            </w:r>
          </w:p>
        </w:tc>
        <w:tc>
          <w:tcPr>
            <w:tcW w:w="1134" w:type="dxa"/>
          </w:tcPr>
          <w:p w:rsidR="00242C36" w:rsidRPr="00E43137" w:rsidRDefault="00242C36" w:rsidP="00242C36">
            <w:pPr>
              <w:jc w:val="right"/>
              <w:rPr>
                <w:rFonts w:ascii="Calibri" w:hAnsi="Calibri"/>
                <w:sz w:val="18"/>
                <w:szCs w:val="18"/>
                <w:lang w:eastAsia="en-US"/>
              </w:rPr>
            </w:pPr>
            <w:r w:rsidRPr="00E43137">
              <w:rPr>
                <w:rFonts w:ascii="Calibri" w:hAnsi="Calibri" w:cs="Segoe UI"/>
                <w:i/>
                <w:iCs/>
                <w:color w:val="333333"/>
                <w:sz w:val="18"/>
                <w:szCs w:val="18"/>
                <w:lang w:eastAsia="en-US"/>
              </w:rPr>
              <w:t>17</w:t>
            </w:r>
          </w:p>
        </w:tc>
        <w:tc>
          <w:tcPr>
            <w:tcW w:w="1134" w:type="dxa"/>
          </w:tcPr>
          <w:p w:rsidR="00242C36" w:rsidRPr="00E43137" w:rsidRDefault="00242C36" w:rsidP="00242C36">
            <w:pPr>
              <w:jc w:val="right"/>
              <w:rPr>
                <w:rFonts w:ascii="Calibri" w:hAnsi="Calibri"/>
                <w:sz w:val="18"/>
                <w:szCs w:val="18"/>
                <w:lang w:eastAsia="en-US"/>
              </w:rPr>
            </w:pPr>
            <w:r w:rsidRPr="00E43137">
              <w:rPr>
                <w:rFonts w:ascii="Calibri" w:hAnsi="Calibri" w:cs="Segoe UI"/>
                <w:i/>
                <w:iCs/>
                <w:color w:val="333333"/>
                <w:sz w:val="18"/>
                <w:szCs w:val="18"/>
                <w:lang w:eastAsia="en-US"/>
              </w:rPr>
              <w:t>260</w:t>
            </w:r>
          </w:p>
        </w:tc>
      </w:tr>
      <w:tr w:rsidR="00242C36" w:rsidRPr="00E43137" w:rsidTr="00E32F57">
        <w:tc>
          <w:tcPr>
            <w:tcW w:w="1652" w:type="dxa"/>
          </w:tcPr>
          <w:p w:rsidR="00242C36" w:rsidRPr="00E43137" w:rsidRDefault="00242C36" w:rsidP="00E32F57">
            <w:pPr>
              <w:jc w:val="left"/>
              <w:rPr>
                <w:rFonts w:ascii="Calibri" w:hAnsi="Calibri"/>
                <w:b/>
                <w:bCs/>
                <w:sz w:val="18"/>
                <w:szCs w:val="18"/>
                <w:lang w:eastAsia="en-US"/>
              </w:rPr>
            </w:pPr>
            <w:r w:rsidRPr="00E43137">
              <w:rPr>
                <w:rFonts w:ascii="Calibri" w:hAnsi="Calibri" w:cs="Segoe UI"/>
                <w:b/>
                <w:bCs/>
                <w:i/>
                <w:iCs/>
                <w:color w:val="333333"/>
                <w:sz w:val="18"/>
                <w:szCs w:val="18"/>
                <w:lang w:eastAsia="en-US"/>
              </w:rPr>
              <w:t>Obrat viac ako 50%</w:t>
            </w:r>
          </w:p>
        </w:tc>
        <w:tc>
          <w:tcPr>
            <w:tcW w:w="776" w:type="dxa"/>
          </w:tcPr>
          <w:p w:rsidR="00242C36" w:rsidRPr="00E43137" w:rsidRDefault="00242C36" w:rsidP="00242C36">
            <w:pPr>
              <w:jc w:val="right"/>
              <w:rPr>
                <w:rFonts w:ascii="Calibri" w:hAnsi="Calibri"/>
                <w:sz w:val="18"/>
                <w:szCs w:val="18"/>
                <w:lang w:eastAsia="en-US"/>
              </w:rPr>
            </w:pPr>
            <w:r w:rsidRPr="00E43137">
              <w:rPr>
                <w:rFonts w:ascii="Calibri" w:hAnsi="Calibri" w:cs="Segoe UI"/>
                <w:i/>
                <w:iCs/>
                <w:color w:val="333333"/>
                <w:sz w:val="18"/>
                <w:szCs w:val="18"/>
                <w:lang w:eastAsia="en-US"/>
              </w:rPr>
              <w:t>300</w:t>
            </w:r>
          </w:p>
        </w:tc>
        <w:tc>
          <w:tcPr>
            <w:tcW w:w="1134" w:type="dxa"/>
          </w:tcPr>
          <w:p w:rsidR="00242C36" w:rsidRPr="00E43137" w:rsidRDefault="00242C36" w:rsidP="00242C36">
            <w:pPr>
              <w:jc w:val="right"/>
              <w:rPr>
                <w:rFonts w:ascii="Calibri" w:hAnsi="Calibri"/>
                <w:sz w:val="18"/>
                <w:szCs w:val="18"/>
                <w:lang w:eastAsia="en-US"/>
              </w:rPr>
            </w:pPr>
            <w:r w:rsidRPr="00E43137">
              <w:rPr>
                <w:rFonts w:ascii="Calibri" w:hAnsi="Calibri" w:cs="Segoe UI"/>
                <w:i/>
                <w:iCs/>
                <w:color w:val="333333"/>
                <w:sz w:val="18"/>
                <w:szCs w:val="18"/>
                <w:lang w:eastAsia="en-US"/>
              </w:rPr>
              <w:t>20</w:t>
            </w:r>
          </w:p>
        </w:tc>
        <w:tc>
          <w:tcPr>
            <w:tcW w:w="1134" w:type="dxa"/>
          </w:tcPr>
          <w:p w:rsidR="00242C36" w:rsidRPr="00E43137" w:rsidRDefault="00242C36" w:rsidP="00242C36">
            <w:pPr>
              <w:jc w:val="right"/>
              <w:rPr>
                <w:rFonts w:ascii="Calibri" w:hAnsi="Calibri"/>
                <w:sz w:val="18"/>
                <w:szCs w:val="18"/>
                <w:lang w:eastAsia="en-US"/>
              </w:rPr>
            </w:pPr>
            <w:r w:rsidRPr="00E43137">
              <w:rPr>
                <w:rFonts w:ascii="Calibri" w:hAnsi="Calibri" w:cs="Segoe UI"/>
                <w:i/>
                <w:iCs/>
                <w:color w:val="333333"/>
                <w:sz w:val="18"/>
                <w:szCs w:val="18"/>
                <w:lang w:eastAsia="en-US"/>
              </w:rPr>
              <w:t>56</w:t>
            </w:r>
          </w:p>
        </w:tc>
        <w:tc>
          <w:tcPr>
            <w:tcW w:w="1134" w:type="dxa"/>
          </w:tcPr>
          <w:p w:rsidR="00242C36" w:rsidRPr="00E43137" w:rsidRDefault="00242C36" w:rsidP="00242C36">
            <w:pPr>
              <w:jc w:val="right"/>
              <w:rPr>
                <w:rFonts w:ascii="Calibri" w:hAnsi="Calibri"/>
                <w:sz w:val="18"/>
                <w:szCs w:val="18"/>
                <w:lang w:eastAsia="en-US"/>
              </w:rPr>
            </w:pPr>
            <w:r w:rsidRPr="00E43137">
              <w:rPr>
                <w:rFonts w:ascii="Calibri" w:hAnsi="Calibri" w:cs="Segoe UI"/>
                <w:i/>
                <w:iCs/>
                <w:color w:val="333333"/>
                <w:sz w:val="18"/>
                <w:szCs w:val="18"/>
                <w:lang w:eastAsia="en-US"/>
              </w:rPr>
              <w:t>70</w:t>
            </w:r>
          </w:p>
        </w:tc>
        <w:tc>
          <w:tcPr>
            <w:tcW w:w="1134" w:type="dxa"/>
          </w:tcPr>
          <w:p w:rsidR="00242C36" w:rsidRPr="00E43137" w:rsidRDefault="00242C36" w:rsidP="00242C36">
            <w:pPr>
              <w:jc w:val="right"/>
              <w:rPr>
                <w:rFonts w:ascii="Calibri" w:hAnsi="Calibri"/>
                <w:sz w:val="18"/>
                <w:szCs w:val="18"/>
                <w:lang w:eastAsia="en-US"/>
              </w:rPr>
            </w:pPr>
            <w:r w:rsidRPr="00E43137">
              <w:rPr>
                <w:rFonts w:ascii="Calibri" w:hAnsi="Calibri" w:cs="Segoe UI"/>
                <w:i/>
                <w:iCs/>
                <w:color w:val="333333"/>
                <w:sz w:val="18"/>
                <w:szCs w:val="18"/>
                <w:lang w:eastAsia="en-US"/>
              </w:rPr>
              <w:t>30</w:t>
            </w:r>
          </w:p>
        </w:tc>
        <w:tc>
          <w:tcPr>
            <w:tcW w:w="1134" w:type="dxa"/>
          </w:tcPr>
          <w:p w:rsidR="00242C36" w:rsidRPr="00E43137" w:rsidRDefault="00242C36" w:rsidP="00242C36">
            <w:pPr>
              <w:jc w:val="right"/>
              <w:rPr>
                <w:rFonts w:ascii="Calibri" w:hAnsi="Calibri"/>
                <w:sz w:val="18"/>
                <w:szCs w:val="18"/>
                <w:lang w:eastAsia="en-US"/>
              </w:rPr>
            </w:pPr>
            <w:r w:rsidRPr="00E43137">
              <w:rPr>
                <w:rFonts w:ascii="Calibri" w:hAnsi="Calibri" w:cs="Segoe UI"/>
                <w:i/>
                <w:iCs/>
                <w:color w:val="333333"/>
                <w:sz w:val="18"/>
                <w:szCs w:val="18"/>
                <w:lang w:eastAsia="en-US"/>
              </w:rPr>
              <w:t>6</w:t>
            </w:r>
          </w:p>
        </w:tc>
        <w:tc>
          <w:tcPr>
            <w:tcW w:w="1134" w:type="dxa"/>
          </w:tcPr>
          <w:p w:rsidR="00242C36" w:rsidRPr="00E43137" w:rsidRDefault="00242C36" w:rsidP="00242C36">
            <w:pPr>
              <w:jc w:val="right"/>
              <w:rPr>
                <w:rFonts w:ascii="Calibri" w:hAnsi="Calibri"/>
                <w:sz w:val="18"/>
                <w:szCs w:val="18"/>
                <w:lang w:eastAsia="en-US"/>
              </w:rPr>
            </w:pPr>
            <w:r w:rsidRPr="00E43137">
              <w:rPr>
                <w:rFonts w:ascii="Calibri" w:hAnsi="Calibri" w:cs="Segoe UI"/>
                <w:i/>
                <w:iCs/>
                <w:color w:val="333333"/>
                <w:sz w:val="18"/>
                <w:szCs w:val="18"/>
                <w:lang w:eastAsia="en-US"/>
              </w:rPr>
              <w:t>120</w:t>
            </w:r>
          </w:p>
        </w:tc>
      </w:tr>
    </w:tbl>
    <w:p w:rsidR="00242C36" w:rsidRPr="00E43137" w:rsidRDefault="00242C36" w:rsidP="00242C36">
      <w:pPr>
        <w:rPr>
          <w:rFonts w:ascii="Calibri" w:hAnsi="Calibri"/>
          <w:sz w:val="20"/>
          <w:szCs w:val="20"/>
        </w:rPr>
      </w:pPr>
      <w:r w:rsidRPr="00E43137">
        <w:rPr>
          <w:rFonts w:ascii="Calibri" w:hAnsi="Calibri"/>
          <w:iCs/>
          <w:sz w:val="20"/>
          <w:szCs w:val="20"/>
        </w:rPr>
        <w:t>Zdroj: Eurostat, poľnohospodársky cenzus fariem 2010</w:t>
      </w:r>
    </w:p>
    <w:p w:rsidR="00242C36" w:rsidRPr="00E43137" w:rsidRDefault="00242C36" w:rsidP="00242C36">
      <w:pPr>
        <w:rPr>
          <w:rFonts w:ascii="Calibri" w:hAnsi="Calibri"/>
        </w:rPr>
      </w:pPr>
      <w:r w:rsidRPr="00E43137">
        <w:rPr>
          <w:rFonts w:ascii="Calibri" w:hAnsi="Calibri" w:cs="Calibri"/>
        </w:rPr>
        <w:t xml:space="preserve"> </w:t>
      </w:r>
    </w:p>
    <w:p w:rsidR="00366F96" w:rsidRDefault="00242C36" w:rsidP="00366F96">
      <w:pPr>
        <w:rPr>
          <w:rFonts w:ascii="Calibri" w:hAnsi="Calibri" w:cs="Calibri"/>
          <w:szCs w:val="22"/>
        </w:rPr>
      </w:pPr>
      <w:r w:rsidRPr="00E43137">
        <w:rPr>
          <w:rFonts w:ascii="Calibri" w:hAnsi="Calibri" w:cs="Calibri"/>
          <w:szCs w:val="22"/>
        </w:rPr>
        <w:t>V</w:t>
      </w:r>
      <w:r w:rsidR="00366F96">
        <w:rPr>
          <w:rFonts w:ascii="Calibri" w:hAnsi="Calibri" w:cs="Calibri"/>
          <w:szCs w:val="22"/>
        </w:rPr>
        <w:t> </w:t>
      </w:r>
      <w:r w:rsidRPr="00E43137">
        <w:rPr>
          <w:rFonts w:ascii="Calibri" w:hAnsi="Calibri" w:cs="Calibri"/>
          <w:szCs w:val="22"/>
        </w:rPr>
        <w:t>nad</w:t>
      </w:r>
    </w:p>
    <w:p w:rsidR="00242C36" w:rsidRPr="00E43137" w:rsidRDefault="00242C36" w:rsidP="00366F96">
      <w:pPr>
        <w:rPr>
          <w:rFonts w:ascii="Calibri" w:hAnsi="Calibri"/>
          <w:szCs w:val="22"/>
        </w:rPr>
      </w:pPr>
      <w:r w:rsidRPr="00E43137">
        <w:rPr>
          <w:rFonts w:ascii="Calibri" w:hAnsi="Calibri" w:cs="Calibri"/>
          <w:szCs w:val="22"/>
        </w:rPr>
        <w:t xml:space="preserve">väznosti na rôzne stratégie správania sa na trhu je dôležité poskytovať poradenstvo a celoživotné vzdelávanie okrem výrobnej a environmentálnej oblasti aj v oblasti strategického manažmentu. </w:t>
      </w:r>
    </w:p>
    <w:p w:rsidR="00242C36" w:rsidRPr="00E43137" w:rsidRDefault="00242C36" w:rsidP="00242C36">
      <w:pPr>
        <w:spacing w:before="120"/>
        <w:rPr>
          <w:rFonts w:ascii="Calibri" w:hAnsi="Calibri"/>
          <w:szCs w:val="22"/>
        </w:rPr>
      </w:pPr>
      <w:r w:rsidRPr="00E43137">
        <w:rPr>
          <w:rFonts w:ascii="Calibri" w:hAnsi="Calibri" w:cs="Calibri"/>
          <w:szCs w:val="22"/>
        </w:rPr>
        <w:t xml:space="preserve">Predovšetkým mladí hospodári majú poľnohospodárske vzdelanie, zatiaľ čo starší hospodári využívajú skôr praktické skúsenosti. S tým môže súvisieť aj miera diverzifikácie poľnohospodárskych aktivít, aj keď vzťah medzi diverzifikáciou a vzdelaním na základe získaných údajov nie je možné zovšeobecniť. Platí však, že najmä hospodári od 35 do 54 rokov majú dobrú úroveň úplného vzdelania (okolo 10% vysokoškolsky vzdelaných hospodárov) a zároveň dostatok skúseností na rozširovanie podnikania. Viac ako tri štvrtiny týchto farmárov má obrat z iných aktivít nad 10%. </w:t>
      </w:r>
    </w:p>
    <w:p w:rsidR="00242C36" w:rsidRPr="00E43137" w:rsidRDefault="00242C36" w:rsidP="00242C36">
      <w:pPr>
        <w:spacing w:before="120"/>
        <w:rPr>
          <w:rFonts w:ascii="Calibri" w:hAnsi="Calibri"/>
          <w:szCs w:val="22"/>
          <w:lang w:eastAsia="en-US"/>
        </w:rPr>
      </w:pPr>
      <w:r w:rsidRPr="00E43137">
        <w:rPr>
          <w:rFonts w:ascii="Calibri" w:hAnsi="Calibri" w:cs="Calibri"/>
          <w:szCs w:val="22"/>
        </w:rPr>
        <w:t>Dostupnosť finančných zdrojov je pre rozšírenie výroby nevyhnutná, nie len z hľadiska investičných nákladov, ale aj prevádzkového kapitálu. Pre všetky podniky je dôležitá istota budúcich príjmov, ktoré pokryjú náklady vynaložené vopred. Vzhľadom na dlhú dobu obratu majetku v poľnohospodárstve sú vhodné rôzne formy poistenia a rizikového manažmentu, ktorý môže zmierniť následky straty veľkej časti produkcie vplyvom vonkajších faktorov, ako sú suchá, choroby, infekcie a pod. O manažmente rizika je popísané v texte nižšie.</w:t>
      </w:r>
    </w:p>
    <w:p w:rsidR="00242C36" w:rsidRDefault="00242C36" w:rsidP="00242C36">
      <w:pPr>
        <w:pBdr>
          <w:bar w:val="single" w:sz="6" w:color="808080"/>
        </w:pBdr>
        <w:rPr>
          <w:rFonts w:ascii="Calibri" w:eastAsia="Calibri" w:hAnsi="Calibri"/>
          <w:bCs/>
          <w:szCs w:val="22"/>
          <w:lang w:eastAsia="en-US"/>
        </w:rPr>
      </w:pPr>
    </w:p>
    <w:p w:rsidR="00242C36" w:rsidRPr="002E608E" w:rsidRDefault="00242C36" w:rsidP="00242C36">
      <w:pPr>
        <w:keepNext/>
        <w:keepLines/>
        <w:pBdr>
          <w:bar w:val="single" w:sz="6" w:color="808080"/>
        </w:pBdr>
        <w:spacing w:after="120"/>
        <w:outlineLvl w:val="1"/>
        <w:rPr>
          <w:rFonts w:ascii="Calibri" w:hAnsi="Calibri"/>
          <w:bCs/>
          <w:szCs w:val="22"/>
        </w:rPr>
      </w:pPr>
      <w:r w:rsidRPr="00E43137">
        <w:rPr>
          <w:rFonts w:ascii="Calibri" w:hAnsi="Calibri"/>
          <w:b/>
          <w:bCs/>
          <w:szCs w:val="22"/>
        </w:rPr>
        <w:t>Pozemkové úpravy</w:t>
      </w:r>
      <w:r>
        <w:rPr>
          <w:rFonts w:ascii="Calibri" w:hAnsi="Calibri"/>
          <w:b/>
          <w:bCs/>
          <w:szCs w:val="22"/>
        </w:rPr>
        <w:t xml:space="preserve"> </w:t>
      </w:r>
    </w:p>
    <w:p w:rsidR="00242C36" w:rsidRPr="00E43137" w:rsidRDefault="00242C36" w:rsidP="007D119F">
      <w:pPr>
        <w:pBdr>
          <w:bar w:val="single" w:sz="6" w:color="808080"/>
        </w:pBdr>
        <w:spacing w:after="120"/>
        <w:rPr>
          <w:rFonts w:ascii="Calibri" w:eastAsia="Calibri" w:hAnsi="Calibri"/>
          <w:szCs w:val="22"/>
        </w:rPr>
      </w:pPr>
      <w:r w:rsidRPr="00E43137">
        <w:rPr>
          <w:rFonts w:ascii="Calibri" w:eastAsia="Calibri" w:hAnsi="Calibri"/>
          <w:szCs w:val="22"/>
        </w:rPr>
        <w:t xml:space="preserve">Rozdrobenosť vlastníctva pôdy v SR je pretrvávajúcim problémom, ktorý zhoršuje podnikateľské prostredie a osobitne sťažuje začatie podnikanie na pôde a následné investície.  </w:t>
      </w:r>
    </w:p>
    <w:p w:rsidR="00242C36" w:rsidRDefault="00242C36" w:rsidP="007D119F">
      <w:pPr>
        <w:pBdr>
          <w:bar w:val="single" w:sz="6" w:color="808080"/>
        </w:pBdr>
        <w:spacing w:after="120"/>
        <w:rPr>
          <w:rFonts w:ascii="Calibri" w:eastAsia="Calibri" w:hAnsi="Calibri"/>
          <w:szCs w:val="22"/>
          <w:lang w:eastAsia="en-US"/>
        </w:rPr>
      </w:pPr>
      <w:r w:rsidRPr="00E43137">
        <w:rPr>
          <w:rFonts w:ascii="Calibri" w:eastAsia="Calibri" w:hAnsi="Calibri"/>
          <w:szCs w:val="22"/>
        </w:rPr>
        <w:t>V rámci PRV 2007-2013 bolo doposiaľ podporených 3</w:t>
      </w:r>
      <w:r>
        <w:rPr>
          <w:rFonts w:ascii="Calibri" w:eastAsia="Calibri" w:hAnsi="Calibri"/>
          <w:szCs w:val="22"/>
        </w:rPr>
        <w:t>20</w:t>
      </w:r>
      <w:r w:rsidRPr="00E43137">
        <w:rPr>
          <w:rFonts w:ascii="Calibri" w:eastAsia="Calibri" w:hAnsi="Calibri"/>
          <w:szCs w:val="22"/>
        </w:rPr>
        <w:t xml:space="preserve"> projektov pozemkových úprav (PPÚ). Tento počet rozpracovaných projektov tvorí skupina projektov začatých v SAPARD-e a v SOP / PRV 2004-2006 v počte 208. </w:t>
      </w:r>
      <w:r w:rsidRPr="00E43137">
        <w:rPr>
          <w:rFonts w:ascii="Calibri" w:eastAsia="Calibri" w:hAnsi="Calibri"/>
          <w:szCs w:val="22"/>
          <w:lang w:eastAsia="en-US"/>
        </w:rPr>
        <w:t>Zvyšných 112 projektov sú nové projekty, ktoré boli zahájené v roku 2009.</w:t>
      </w:r>
      <w:r>
        <w:rPr>
          <w:rFonts w:ascii="Calibri" w:eastAsia="Calibri" w:hAnsi="Calibri"/>
          <w:szCs w:val="22"/>
          <w:lang w:eastAsia="en-US"/>
        </w:rPr>
        <w:t xml:space="preserve"> </w:t>
      </w:r>
      <w:r w:rsidRPr="00E04F93">
        <w:rPr>
          <w:rFonts w:ascii="Calibri" w:eastAsia="Calibri" w:hAnsi="Calibri"/>
          <w:szCs w:val="22"/>
          <w:lang w:eastAsia="en-US"/>
        </w:rPr>
        <w:t>Podiel katastrálnych území s realizovanými PPÚ k celkovej potrebe za SR</w:t>
      </w:r>
      <w:r>
        <w:rPr>
          <w:rFonts w:ascii="Calibri" w:eastAsia="Calibri" w:hAnsi="Calibri"/>
          <w:szCs w:val="22"/>
          <w:lang w:eastAsia="en-US"/>
        </w:rPr>
        <w:t xml:space="preserve"> v  je 17% (r.2012, </w:t>
      </w:r>
      <w:r w:rsidRPr="00E04F93">
        <w:rPr>
          <w:rFonts w:ascii="Calibri" w:eastAsia="Calibri" w:hAnsi="Calibri"/>
          <w:b/>
          <w:szCs w:val="22"/>
          <w:lang w:eastAsia="en-US"/>
        </w:rPr>
        <w:t>PSCI1</w:t>
      </w:r>
      <w:r>
        <w:rPr>
          <w:rFonts w:ascii="Calibri" w:eastAsia="Calibri" w:hAnsi="Calibri"/>
          <w:szCs w:val="22"/>
          <w:lang w:eastAsia="en-US"/>
        </w:rPr>
        <w:t>)</w:t>
      </w:r>
    </w:p>
    <w:p w:rsidR="00242C36" w:rsidRPr="00E43137" w:rsidRDefault="00242C36" w:rsidP="007D119F">
      <w:pPr>
        <w:pBdr>
          <w:bar w:val="single" w:sz="6" w:color="808080"/>
        </w:pBdr>
        <w:spacing w:after="120"/>
        <w:rPr>
          <w:rFonts w:ascii="Calibri" w:eastAsia="Calibri" w:hAnsi="Calibri"/>
          <w:szCs w:val="22"/>
          <w:lang w:eastAsia="en-US"/>
        </w:rPr>
      </w:pPr>
      <w:r w:rsidRPr="00E43137">
        <w:rPr>
          <w:rFonts w:ascii="Calibri" w:eastAsia="Calibri" w:hAnsi="Calibri"/>
          <w:szCs w:val="22"/>
          <w:lang w:eastAsia="en-US"/>
        </w:rPr>
        <w:t>Pri riešení pozemkových úprav v SR iba určitá časť finančných prostriedkov opatrenia bola použitá na budovanie v projektoch pozemkových úprav plánovaných spoločných zariadení a opatrení slúžiacich na sprístupnenie pozemkov (poľné a lesné cesty) – 13% vyplatených prostriedkov k 31.12.2012.</w:t>
      </w:r>
      <w:r>
        <w:rPr>
          <w:rFonts w:ascii="Calibri" w:eastAsia="Calibri" w:hAnsi="Calibri"/>
          <w:szCs w:val="22"/>
          <w:lang w:eastAsia="en-US"/>
        </w:rPr>
        <w:t xml:space="preserve"> Celkovo bolo vybudovaných iba 6 spoločných zariadení</w:t>
      </w:r>
      <w:r w:rsidRPr="00E04F93">
        <w:rPr>
          <w:rFonts w:ascii="Calibri" w:eastAsia="Calibri" w:hAnsi="Calibri"/>
          <w:szCs w:val="22"/>
          <w:lang w:eastAsia="en-US"/>
        </w:rPr>
        <w:t xml:space="preserve"> a op</w:t>
      </w:r>
      <w:r>
        <w:rPr>
          <w:rFonts w:ascii="Calibri" w:eastAsia="Calibri" w:hAnsi="Calibri"/>
          <w:szCs w:val="22"/>
          <w:lang w:eastAsia="en-US"/>
        </w:rPr>
        <w:t>atrení</w:t>
      </w:r>
      <w:r w:rsidRPr="00E04F93">
        <w:rPr>
          <w:rFonts w:ascii="Calibri" w:eastAsia="Calibri" w:hAnsi="Calibri"/>
          <w:szCs w:val="22"/>
          <w:lang w:eastAsia="en-US"/>
        </w:rPr>
        <w:t xml:space="preserve"> PPÚ na ochranu biodiverzity, kvality pôdy a kvality vody</w:t>
      </w:r>
      <w:r>
        <w:rPr>
          <w:rFonts w:ascii="Calibri" w:eastAsia="Calibri" w:hAnsi="Calibri"/>
          <w:szCs w:val="22"/>
          <w:lang w:eastAsia="en-US"/>
        </w:rPr>
        <w:t xml:space="preserve"> (</w:t>
      </w:r>
      <w:r w:rsidRPr="00E04F93">
        <w:rPr>
          <w:rFonts w:ascii="Calibri" w:eastAsia="Calibri" w:hAnsi="Calibri"/>
          <w:b/>
          <w:szCs w:val="22"/>
          <w:lang w:eastAsia="en-US"/>
        </w:rPr>
        <w:t>PSCI4</w:t>
      </w:r>
      <w:r>
        <w:rPr>
          <w:rFonts w:ascii="Calibri" w:eastAsia="Calibri" w:hAnsi="Calibri"/>
          <w:szCs w:val="22"/>
          <w:lang w:eastAsia="en-US"/>
        </w:rPr>
        <w:t xml:space="preserve">). </w:t>
      </w:r>
    </w:p>
    <w:p w:rsidR="00242C36" w:rsidRPr="00597DAA" w:rsidRDefault="00242C36" w:rsidP="007D119F">
      <w:pPr>
        <w:pStyle w:val="Odsekzoznamu"/>
        <w:pBdr>
          <w:bar w:val="single" w:sz="6" w:color="808080"/>
        </w:pBdr>
        <w:spacing w:after="120"/>
        <w:ind w:left="0"/>
        <w:contextualSpacing w:val="0"/>
        <w:rPr>
          <w:rFonts w:ascii="Calibri" w:eastAsia="Calibri" w:hAnsi="Calibri"/>
          <w:szCs w:val="22"/>
          <w:lang w:eastAsia="en-US"/>
        </w:rPr>
      </w:pPr>
      <w:r w:rsidRPr="00597DAA">
        <w:rPr>
          <w:rFonts w:ascii="Calibri" w:eastAsia="Calibri" w:hAnsi="Calibri"/>
          <w:szCs w:val="22"/>
          <w:lang w:eastAsia="en-US"/>
        </w:rPr>
        <w:t>Pozemkové úpravy súčasne riešia nezrovnalosti v evidencii pozemkového vlastníctva, keď informačný systém LPIS registrujúci produkčné plochy jednotlivých obhospodarovateľov často nie je kompatibilný s databázou údajov katastra nehnuteľností a skutkovým stavom v teréne.</w:t>
      </w:r>
    </w:p>
    <w:p w:rsidR="00242C36" w:rsidRPr="00E43137" w:rsidRDefault="00242C36" w:rsidP="007D119F">
      <w:pPr>
        <w:pBdr>
          <w:bar w:val="single" w:sz="6" w:color="808080"/>
        </w:pBdr>
        <w:spacing w:after="120"/>
        <w:rPr>
          <w:rFonts w:ascii="Calibri" w:eastAsia="Calibri" w:hAnsi="Calibri"/>
          <w:szCs w:val="22"/>
          <w:lang w:eastAsia="en-US"/>
        </w:rPr>
      </w:pPr>
      <w:r>
        <w:rPr>
          <w:rFonts w:ascii="Calibri" w:eastAsia="Calibri" w:hAnsi="Calibri"/>
          <w:szCs w:val="22"/>
          <w:lang w:eastAsia="en-US"/>
        </w:rPr>
        <w:t xml:space="preserve">Poučením z predchádzajúceho programovacieho obdobia sú </w:t>
      </w:r>
      <w:r w:rsidRPr="00E43137">
        <w:rPr>
          <w:rFonts w:ascii="Calibri" w:eastAsia="Calibri" w:hAnsi="Calibri"/>
          <w:szCs w:val="22"/>
          <w:lang w:eastAsia="en-US"/>
        </w:rPr>
        <w:t>zistenia MTE</w:t>
      </w:r>
      <w:r>
        <w:rPr>
          <w:rFonts w:ascii="Calibri" w:eastAsia="Calibri" w:hAnsi="Calibri"/>
          <w:szCs w:val="22"/>
          <w:lang w:eastAsia="en-US"/>
        </w:rPr>
        <w:t xml:space="preserve">, ktoré poukázali </w:t>
      </w:r>
      <w:r w:rsidRPr="00E43137">
        <w:rPr>
          <w:rFonts w:ascii="Calibri" w:eastAsia="Calibri" w:hAnsi="Calibri"/>
          <w:szCs w:val="22"/>
          <w:lang w:eastAsia="en-US"/>
        </w:rPr>
        <w:t xml:space="preserve"> </w:t>
      </w:r>
      <w:r>
        <w:rPr>
          <w:rFonts w:ascii="Calibri" w:eastAsia="Calibri" w:hAnsi="Calibri"/>
          <w:szCs w:val="22"/>
          <w:lang w:eastAsia="en-US"/>
        </w:rPr>
        <w:t xml:space="preserve">na </w:t>
      </w:r>
      <w:r w:rsidRPr="00E43137">
        <w:rPr>
          <w:rFonts w:ascii="Calibri" w:eastAsia="Calibri" w:hAnsi="Calibri"/>
          <w:szCs w:val="22"/>
          <w:lang w:eastAsia="en-US"/>
        </w:rPr>
        <w:t>nízk</w:t>
      </w:r>
      <w:r>
        <w:rPr>
          <w:rFonts w:ascii="Calibri" w:eastAsia="Calibri" w:hAnsi="Calibri"/>
          <w:szCs w:val="22"/>
          <w:lang w:eastAsia="en-US"/>
        </w:rPr>
        <w:t>u</w:t>
      </w:r>
      <w:r w:rsidRPr="00E43137">
        <w:rPr>
          <w:rFonts w:ascii="Calibri" w:eastAsia="Calibri" w:hAnsi="Calibri"/>
          <w:szCs w:val="22"/>
          <w:lang w:eastAsia="en-US"/>
        </w:rPr>
        <w:t xml:space="preserve"> efektivit</w:t>
      </w:r>
      <w:r>
        <w:rPr>
          <w:rFonts w:ascii="Calibri" w:eastAsia="Calibri" w:hAnsi="Calibri"/>
          <w:szCs w:val="22"/>
          <w:lang w:eastAsia="en-US"/>
        </w:rPr>
        <w:t>u</w:t>
      </w:r>
      <w:r w:rsidRPr="00E43137">
        <w:rPr>
          <w:rFonts w:ascii="Calibri" w:eastAsia="Calibri" w:hAnsi="Calibri"/>
          <w:szCs w:val="22"/>
          <w:lang w:eastAsia="en-US"/>
        </w:rPr>
        <w:t xml:space="preserve"> PPÚ</w:t>
      </w:r>
      <w:r>
        <w:rPr>
          <w:rFonts w:ascii="Calibri" w:eastAsia="Calibri" w:hAnsi="Calibri"/>
          <w:szCs w:val="22"/>
          <w:lang w:eastAsia="en-US"/>
        </w:rPr>
        <w:t xml:space="preserve">. V programovacom období 2014 - 2020 </w:t>
      </w:r>
      <w:r w:rsidRPr="00E43137">
        <w:rPr>
          <w:rFonts w:ascii="Calibri" w:eastAsia="Calibri" w:hAnsi="Calibri"/>
          <w:szCs w:val="22"/>
          <w:lang w:eastAsia="en-US"/>
        </w:rPr>
        <w:t xml:space="preserve"> </w:t>
      </w:r>
      <w:r>
        <w:rPr>
          <w:rFonts w:ascii="Calibri" w:eastAsia="Calibri" w:hAnsi="Calibri"/>
          <w:szCs w:val="22"/>
          <w:lang w:eastAsia="en-US"/>
        </w:rPr>
        <w:t xml:space="preserve">je dobré zvýšiť </w:t>
      </w:r>
      <w:r w:rsidRPr="00E43137">
        <w:rPr>
          <w:rFonts w:ascii="Calibri" w:eastAsia="Calibri" w:hAnsi="Calibri"/>
          <w:szCs w:val="22"/>
          <w:lang w:eastAsia="en-US"/>
        </w:rPr>
        <w:t>podiel vysporiadaného územia vzhľadom na potreby krajiny</w:t>
      </w:r>
      <w:r>
        <w:rPr>
          <w:rFonts w:ascii="Calibri" w:eastAsia="Calibri" w:hAnsi="Calibri"/>
          <w:szCs w:val="22"/>
          <w:lang w:eastAsia="en-US"/>
        </w:rPr>
        <w:t>, skrátiť</w:t>
      </w:r>
      <w:r w:rsidRPr="00E43137">
        <w:rPr>
          <w:rFonts w:ascii="Calibri" w:eastAsia="Calibri" w:hAnsi="Calibri"/>
          <w:szCs w:val="22"/>
          <w:lang w:eastAsia="en-US"/>
        </w:rPr>
        <w:t xml:space="preserve"> obdobie riešenia projektu</w:t>
      </w:r>
      <w:r>
        <w:rPr>
          <w:rFonts w:ascii="Calibri" w:eastAsia="Calibri" w:hAnsi="Calibri"/>
          <w:szCs w:val="22"/>
          <w:lang w:eastAsia="en-US"/>
        </w:rPr>
        <w:t>, a pod.</w:t>
      </w:r>
    </w:p>
    <w:p w:rsidR="00242C36" w:rsidRPr="00E43137" w:rsidRDefault="00242C36" w:rsidP="007D119F">
      <w:pPr>
        <w:pBdr>
          <w:bar w:val="single" w:sz="6" w:color="808080"/>
        </w:pBdr>
        <w:spacing w:after="120"/>
        <w:rPr>
          <w:rFonts w:ascii="Calibri" w:eastAsia="Calibri" w:hAnsi="Calibri"/>
          <w:szCs w:val="22"/>
          <w:lang w:eastAsia="en-US"/>
        </w:rPr>
      </w:pPr>
      <w:r w:rsidRPr="00E43137">
        <w:rPr>
          <w:rFonts w:ascii="Calibri" w:eastAsia="Calibri" w:hAnsi="Calibri"/>
          <w:szCs w:val="22"/>
          <w:lang w:eastAsia="en-US"/>
        </w:rPr>
        <w:t xml:space="preserve">Z celkového počtu 3559 katastrálnych území v rámci SR zostáva </w:t>
      </w:r>
      <w:r w:rsidRPr="000E300E">
        <w:rPr>
          <w:rFonts w:ascii="Calibri" w:eastAsia="Calibri" w:hAnsi="Calibri"/>
          <w:szCs w:val="22"/>
          <w:lang w:eastAsia="en-US"/>
        </w:rPr>
        <w:t>2 433,</w:t>
      </w:r>
      <w:r w:rsidRPr="00E43137">
        <w:rPr>
          <w:rFonts w:ascii="Calibri" w:eastAsia="Calibri" w:hAnsi="Calibri"/>
          <w:szCs w:val="22"/>
          <w:lang w:eastAsia="en-US"/>
        </w:rPr>
        <w:t xml:space="preserve"> v ktorých neboli začaté pozemkové úpravy. Pokiaľ je lesnatosť v k.ú. väčšia ako 50 % výmery, nie je naliehavá potreba na vykonanie PPÚ v danom k.ú., čím sa kladie dôraz na dosiahnutie vyššieho podielu vysporiadania vlastníckych vzťahov v poľnohospodársky využívaných územiach. </w:t>
      </w:r>
    </w:p>
    <w:p w:rsidR="00242C36" w:rsidRPr="00E43137" w:rsidRDefault="00242C36" w:rsidP="007D119F">
      <w:pPr>
        <w:pBdr>
          <w:bar w:val="single" w:sz="6" w:color="808080"/>
        </w:pBdr>
        <w:spacing w:after="120"/>
        <w:rPr>
          <w:rFonts w:ascii="Calibri" w:eastAsia="Calibri" w:hAnsi="Calibri"/>
          <w:szCs w:val="22"/>
          <w:lang w:eastAsia="en-US"/>
        </w:rPr>
      </w:pPr>
      <w:r w:rsidRPr="00E43137">
        <w:rPr>
          <w:rFonts w:ascii="Calibri" w:eastAsia="Calibri" w:hAnsi="Calibri"/>
          <w:szCs w:val="22"/>
          <w:lang w:eastAsia="en-US"/>
        </w:rPr>
        <w:t>V súčasnosti je podiel scelenej pôdy 10% na celkovej výmere SR</w:t>
      </w:r>
      <w:r>
        <w:rPr>
          <w:rFonts w:ascii="Calibri" w:eastAsia="Calibri" w:hAnsi="Calibri"/>
          <w:szCs w:val="22"/>
          <w:lang w:eastAsia="en-US"/>
        </w:rPr>
        <w:t xml:space="preserve"> (</w:t>
      </w:r>
      <w:r w:rsidRPr="002E608E">
        <w:rPr>
          <w:rFonts w:ascii="Calibri" w:eastAsia="Calibri" w:hAnsi="Calibri"/>
          <w:b/>
          <w:szCs w:val="22"/>
          <w:lang w:eastAsia="en-US"/>
        </w:rPr>
        <w:t>PSCI3</w:t>
      </w:r>
      <w:r>
        <w:rPr>
          <w:rFonts w:ascii="Calibri" w:eastAsia="Calibri" w:hAnsi="Calibri"/>
          <w:szCs w:val="22"/>
          <w:lang w:eastAsia="en-US"/>
        </w:rPr>
        <w:t>)</w:t>
      </w:r>
      <w:r w:rsidRPr="00E43137">
        <w:rPr>
          <w:rFonts w:ascii="Calibri" w:eastAsia="Calibri" w:hAnsi="Calibri"/>
          <w:szCs w:val="22"/>
          <w:lang w:eastAsia="en-US"/>
        </w:rPr>
        <w:t>. Priemerný počet vlastníkov na 1 parcelu pred realizáciou PPÚ je 10,45</w:t>
      </w:r>
      <w:r>
        <w:rPr>
          <w:rFonts w:ascii="Calibri" w:eastAsia="Calibri" w:hAnsi="Calibri"/>
          <w:szCs w:val="22"/>
          <w:lang w:eastAsia="en-US"/>
        </w:rPr>
        <w:t xml:space="preserve"> (</w:t>
      </w:r>
      <w:r w:rsidRPr="002E608E">
        <w:rPr>
          <w:rFonts w:ascii="Calibri" w:eastAsia="Calibri" w:hAnsi="Calibri"/>
          <w:b/>
          <w:szCs w:val="22"/>
          <w:lang w:eastAsia="en-US"/>
        </w:rPr>
        <w:t>PSCI2</w:t>
      </w:r>
      <w:r>
        <w:rPr>
          <w:rFonts w:ascii="Calibri" w:eastAsia="Calibri" w:hAnsi="Calibri"/>
          <w:szCs w:val="22"/>
          <w:lang w:eastAsia="en-US"/>
        </w:rPr>
        <w:t>)</w:t>
      </w:r>
      <w:r w:rsidRPr="00E43137">
        <w:rPr>
          <w:rFonts w:ascii="Calibri" w:eastAsia="Calibri" w:hAnsi="Calibri"/>
          <w:szCs w:val="22"/>
          <w:lang w:eastAsia="en-US"/>
        </w:rPr>
        <w:t>, po realizácii sa očakáva pokles na 5. Ako potvrdzuje aj MTE, usporiadaním vlastníckych vzťahov k pozemkom sa zníži priemern</w:t>
      </w:r>
      <w:r>
        <w:rPr>
          <w:rFonts w:ascii="Calibri" w:eastAsia="Calibri" w:hAnsi="Calibri"/>
          <w:szCs w:val="22"/>
          <w:lang w:eastAsia="en-US"/>
        </w:rPr>
        <w:t xml:space="preserve">ý počet vlastníkov na parcelu, </w:t>
      </w:r>
      <w:r w:rsidRPr="00E43137">
        <w:rPr>
          <w:rFonts w:ascii="Calibri" w:eastAsia="Calibri" w:hAnsi="Calibri"/>
          <w:szCs w:val="22"/>
          <w:lang w:eastAsia="en-US"/>
        </w:rPr>
        <w:t>zvýši sa priemerná výmera parcely</w:t>
      </w:r>
      <w:r>
        <w:rPr>
          <w:rFonts w:ascii="Calibri" w:eastAsia="Calibri" w:hAnsi="Calibri"/>
          <w:szCs w:val="22"/>
          <w:lang w:eastAsia="en-US"/>
        </w:rPr>
        <w:t xml:space="preserve"> a zabezpečí sa prístup k všetkým parcelám</w:t>
      </w:r>
      <w:r>
        <w:rPr>
          <w:rFonts w:ascii="Calibri" w:eastAsia="Calibri" w:hAnsi="Calibri"/>
          <w:szCs w:val="22"/>
          <w:lang w:val="en-GB" w:eastAsia="en-US"/>
        </w:rPr>
        <w:t xml:space="preserve">. </w:t>
      </w:r>
      <w:r w:rsidRPr="00AF0436">
        <w:rPr>
          <w:rFonts w:ascii="Calibri" w:eastAsia="Calibri" w:hAnsi="Calibri"/>
          <w:szCs w:val="22"/>
          <w:lang w:eastAsia="en-US"/>
        </w:rPr>
        <w:t>Pre účinnejšie monitorovanie stavu a prínosu realizácie PPÚ boli navrhnuté programovo špecifické kontextuálne ukazovatele (PSCI), vrátane sledovania príspevku k ekologickej stabilite území (vybudované spoločné zariadenia a  opatrenia) a prístupu na pozemky.</w:t>
      </w:r>
      <w:r>
        <w:rPr>
          <w:rFonts w:ascii="Calibri" w:eastAsia="Calibri" w:hAnsi="Calibri"/>
          <w:szCs w:val="22"/>
          <w:lang w:eastAsia="en-US"/>
        </w:rPr>
        <w:t xml:space="preserve"> </w:t>
      </w:r>
    </w:p>
    <w:p w:rsidR="00242C36" w:rsidRDefault="00242C36" w:rsidP="00242C3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ourier New"/>
          <w:szCs w:val="22"/>
        </w:rPr>
      </w:pPr>
      <w:r w:rsidRPr="00D04A90">
        <w:rPr>
          <w:rFonts w:ascii="Calibri" w:hAnsi="Calibri" w:cs="Courier New"/>
          <w:szCs w:val="22"/>
        </w:rPr>
        <w:t xml:space="preserve">Na základe doterajších skúsenosti z ukončených projektov pozemkových úprav MPRV SR </w:t>
      </w:r>
      <w:r w:rsidR="007D119F" w:rsidRPr="00D04A90">
        <w:rPr>
          <w:rFonts w:ascii="Calibri" w:hAnsi="Calibri" w:cs="Courier New"/>
          <w:szCs w:val="22"/>
        </w:rPr>
        <w:t>v záujme</w:t>
      </w:r>
      <w:r w:rsidRPr="00D04A90">
        <w:rPr>
          <w:rFonts w:ascii="Calibri" w:hAnsi="Calibri" w:cs="Courier New"/>
          <w:szCs w:val="22"/>
        </w:rPr>
        <w:t xml:space="preserve"> vyššej efektivity a dynamizácie projektov pozemkových úprav pristúpilo k</w:t>
      </w:r>
      <w:r w:rsidR="007D119F">
        <w:rPr>
          <w:rFonts w:ascii="Calibri" w:hAnsi="Calibri" w:cs="Courier New"/>
          <w:szCs w:val="22"/>
        </w:rPr>
        <w:t xml:space="preserve"> </w:t>
      </w:r>
      <w:r w:rsidRPr="00D04A90">
        <w:rPr>
          <w:rFonts w:ascii="Calibri" w:hAnsi="Calibri" w:cs="Courier New"/>
          <w:szCs w:val="22"/>
        </w:rPr>
        <w:t>legislatívnym a technickým zmenám.</w:t>
      </w:r>
    </w:p>
    <w:p w:rsidR="007D119F" w:rsidRPr="00D04A90" w:rsidRDefault="007D119F" w:rsidP="00242C3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ourier New"/>
          <w:szCs w:val="22"/>
        </w:rPr>
      </w:pPr>
    </w:p>
    <w:p w:rsidR="00242C36" w:rsidRPr="00D04A90" w:rsidRDefault="00242C36" w:rsidP="00242C3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ourier New"/>
          <w:szCs w:val="22"/>
        </w:rPr>
      </w:pPr>
      <w:r w:rsidRPr="00D04A90">
        <w:rPr>
          <w:rFonts w:ascii="Calibri" w:hAnsi="Calibri" w:cs="Courier New"/>
          <w:szCs w:val="22"/>
        </w:rPr>
        <w:t>1.       Legislatívne zmeny:</w:t>
      </w:r>
    </w:p>
    <w:p w:rsidR="00242C36" w:rsidRPr="00D04A90" w:rsidRDefault="00242C36" w:rsidP="00242C3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ourier New"/>
          <w:szCs w:val="22"/>
        </w:rPr>
      </w:pPr>
      <w:r w:rsidRPr="00D04A90">
        <w:rPr>
          <w:rFonts w:ascii="Calibri" w:hAnsi="Calibri" w:cs="Courier New"/>
          <w:szCs w:val="22"/>
        </w:rPr>
        <w:t>Novelou zákona č.330/1991 Zb., ktorá má byť účinná od 1.5.2014, sa najmä:</w:t>
      </w:r>
    </w:p>
    <w:p w:rsidR="00242C36" w:rsidRPr="007D119F" w:rsidRDefault="00242C36" w:rsidP="00CE203B">
      <w:pPr>
        <w:pStyle w:val="Odsekzoznamu"/>
        <w:numPr>
          <w:ilvl w:val="0"/>
          <w:numId w:val="403"/>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ourier New"/>
          <w:szCs w:val="22"/>
        </w:rPr>
      </w:pPr>
      <w:r w:rsidRPr="007D119F">
        <w:rPr>
          <w:rFonts w:ascii="Calibri" w:hAnsi="Calibri" w:cs="Courier New"/>
          <w:szCs w:val="22"/>
        </w:rPr>
        <w:t>odstraňuje vágnosť niektorých ustanovení, tým že zavádza konkrétne lehoty pre vyjadrenia a podania účastníkov,</w:t>
      </w:r>
    </w:p>
    <w:p w:rsidR="00242C36" w:rsidRPr="007D119F" w:rsidRDefault="00242C36" w:rsidP="00CE203B">
      <w:pPr>
        <w:pStyle w:val="Odsekzoznamu"/>
        <w:numPr>
          <w:ilvl w:val="0"/>
          <w:numId w:val="403"/>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ourier New"/>
          <w:szCs w:val="22"/>
        </w:rPr>
      </w:pPr>
      <w:r w:rsidRPr="007D119F">
        <w:rPr>
          <w:rFonts w:ascii="Calibri" w:hAnsi="Calibri" w:cs="Courier New"/>
          <w:szCs w:val="22"/>
        </w:rPr>
        <w:t>presnejšie vymedzuje okruh subjektov(účastníkov), s ktorými zhotoviteľ projektu pozemkových úprav resp. správny orgán prerokúva určité postupy,</w:t>
      </w:r>
    </w:p>
    <w:p w:rsidR="00242C36" w:rsidRPr="007D119F" w:rsidRDefault="00242C36" w:rsidP="00CE203B">
      <w:pPr>
        <w:pStyle w:val="Odsekzoznamu"/>
        <w:numPr>
          <w:ilvl w:val="0"/>
          <w:numId w:val="403"/>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ourier New"/>
          <w:szCs w:val="22"/>
        </w:rPr>
      </w:pPr>
      <w:r w:rsidRPr="007D119F">
        <w:rPr>
          <w:rFonts w:ascii="Calibri" w:hAnsi="Calibri" w:cs="Courier New"/>
          <w:szCs w:val="22"/>
        </w:rPr>
        <w:t>zefektívňuje proces podania a preskúmania opravných prostriedkov,</w:t>
      </w:r>
    </w:p>
    <w:p w:rsidR="00242C36" w:rsidRPr="007D119F" w:rsidRDefault="00242C36" w:rsidP="00CE203B">
      <w:pPr>
        <w:pStyle w:val="Odsekzoznamu"/>
        <w:numPr>
          <w:ilvl w:val="0"/>
          <w:numId w:val="403"/>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ourier New"/>
          <w:szCs w:val="22"/>
        </w:rPr>
      </w:pPr>
      <w:r w:rsidRPr="007D119F">
        <w:rPr>
          <w:rFonts w:ascii="Calibri" w:hAnsi="Calibri" w:cs="Courier New"/>
          <w:szCs w:val="22"/>
        </w:rPr>
        <w:t>upresňuje sa okruh účastníkov, ktorým sa oznamujú resp. doručujú určité písomnosti resp. rozhodnutia,</w:t>
      </w:r>
    </w:p>
    <w:p w:rsidR="00242C36" w:rsidRPr="007D119F" w:rsidRDefault="00242C36" w:rsidP="00CE203B">
      <w:pPr>
        <w:pStyle w:val="Odsekzoznamu"/>
        <w:numPr>
          <w:ilvl w:val="0"/>
          <w:numId w:val="403"/>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ourier New"/>
          <w:szCs w:val="22"/>
        </w:rPr>
      </w:pPr>
      <w:r w:rsidRPr="007D119F">
        <w:rPr>
          <w:rFonts w:ascii="Calibri" w:hAnsi="Calibri" w:cs="Courier New"/>
          <w:szCs w:val="22"/>
        </w:rPr>
        <w:t>Širšie sa využíva doručovanie formou verejnej vyhlášky.</w:t>
      </w:r>
    </w:p>
    <w:p w:rsidR="00242C36" w:rsidRPr="00D04A90" w:rsidRDefault="00242C36" w:rsidP="00242C3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ourier New"/>
          <w:szCs w:val="22"/>
        </w:rPr>
      </w:pPr>
    </w:p>
    <w:p w:rsidR="00242C36" w:rsidRPr="00D04A90" w:rsidRDefault="00242C36" w:rsidP="00242C3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ourier New"/>
          <w:szCs w:val="22"/>
        </w:rPr>
      </w:pPr>
      <w:r w:rsidRPr="00D04A90">
        <w:rPr>
          <w:rFonts w:ascii="Calibri" w:hAnsi="Calibri" w:cs="Courier New"/>
          <w:szCs w:val="22"/>
        </w:rPr>
        <w:t>2.       Technické zmeny:</w:t>
      </w:r>
    </w:p>
    <w:p w:rsidR="00242C36" w:rsidRPr="00D04A90" w:rsidRDefault="00242C36" w:rsidP="00242C3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ourier New"/>
          <w:szCs w:val="22"/>
        </w:rPr>
      </w:pPr>
      <w:r w:rsidRPr="00D04A90">
        <w:rPr>
          <w:rFonts w:ascii="Calibri" w:hAnsi="Calibri" w:cs="Courier New"/>
          <w:szCs w:val="22"/>
        </w:rPr>
        <w:t>Prijaté technické opatrenia sú zamerané na optimalizáciu dodacích podmienok etáp a ucelených častí projektov pozemkových úprav z doterajších 47  na 9 etáp, čo predstavuje 13 ucelených častí. Výsledkom racionalizácie etáp a ucelených častí projektov pozemkových úprav je skrátenie priemernej doby na vyhotovenie PPÚ z doterajších 7 až 8 rokov na 5 rokov. Racionalizáciou etáp pri vykonávaní PPÚ došlo zároveň aj k optimalizácii cenníka a zníženiu priemernej ceny za vypracovanie a</w:t>
      </w:r>
    </w:p>
    <w:p w:rsidR="00242C36" w:rsidRPr="00D04A90" w:rsidRDefault="00242C36" w:rsidP="00242C3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ourier New"/>
          <w:szCs w:val="22"/>
        </w:rPr>
      </w:pPr>
      <w:r w:rsidRPr="00D04A90">
        <w:rPr>
          <w:rFonts w:ascii="Calibri" w:hAnsi="Calibri" w:cs="Courier New"/>
          <w:szCs w:val="22"/>
        </w:rPr>
        <w:t>vykonanie projektov pozemkových úprav.</w:t>
      </w:r>
    </w:p>
    <w:p w:rsidR="00242C36" w:rsidRPr="00D04A90" w:rsidRDefault="00242C36" w:rsidP="00242C3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ourier New"/>
          <w:szCs w:val="22"/>
        </w:rPr>
      </w:pPr>
    </w:p>
    <w:p w:rsidR="00242C36" w:rsidRPr="00D04A90" w:rsidRDefault="00242C36" w:rsidP="00242C3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ourier New"/>
          <w:szCs w:val="22"/>
        </w:rPr>
      </w:pPr>
      <w:r w:rsidRPr="00D04A90">
        <w:rPr>
          <w:rFonts w:ascii="Calibri" w:hAnsi="Calibri" w:cs="Courier New"/>
          <w:szCs w:val="22"/>
        </w:rPr>
        <w:t>Pozemkové úpravy sú dlhodobý a časovo náročný proces, vedú k zlepšeniu hospodárskeho výkonu všetkých poľnohospodárskych podnikov a uľahčia reštrukturalizáciu a modernizáciu poľnohospodárskych podnikov, najmä na účely zvýšenia ich účasti na trhu, zamerania na trh a poľnohospodárskej diverzifikácie. Je potrebné do pozemkových úprav zahrnúť čo najväčší počet katastrálnych území na vybudovanie komplexného informačného systému o pôde potrebného na štandardizáciu podmienok so starými členskými krajinami EÚ.</w:t>
      </w:r>
    </w:p>
    <w:p w:rsidR="00242C36" w:rsidRPr="00D04A90" w:rsidRDefault="00242C36" w:rsidP="00242C3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ourier New"/>
          <w:szCs w:val="22"/>
        </w:rPr>
      </w:pPr>
    </w:p>
    <w:p w:rsidR="00242C36" w:rsidRPr="00D04A90" w:rsidRDefault="00242C36" w:rsidP="00242C3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ourier New"/>
          <w:szCs w:val="22"/>
        </w:rPr>
      </w:pPr>
      <w:r w:rsidRPr="00D04A90">
        <w:rPr>
          <w:rFonts w:ascii="Calibri" w:hAnsi="Calibri" w:cs="Courier New"/>
          <w:szCs w:val="22"/>
        </w:rPr>
        <w:t>Pre vysvetlenie dĺžky trvania procesu vypracovania a vykonania projektov pozemkových úprav je potrebné uviesť, že pripomienky k trvaniu konania o pozemkových úpravách vychádzajú z pohľadu MPRV SR z nedostatočnej informovanosti o skutočnostiach podmieňujúcich ich vykonávanie, akými</w:t>
      </w:r>
      <w:r w:rsidRPr="00D04A90">
        <w:rPr>
          <w:rFonts w:ascii="Calibri" w:hAnsi="Calibri" w:cs="Courier New"/>
          <w:szCs w:val="22"/>
        </w:rPr>
        <w:lastRenderedPageBreak/>
        <w:t xml:space="preserve"> sú  predovšetkým nároky vlastníkov, ktorých oprávnenosť sa prešetruje a rozhoduje sa o nich, tiež v neposlednom rade oneskorené uhrádzanie faktúr za vykonané práce a z toho vyplývajúce posúvanie termínov odovzdania jednotlivých etáp projektov. V porovnaní s inými štátmi EÚ (Nemecko, Rakúsko, Česká republika) je proces vypracovania a vykonania projektov pozemkových úprav približne rovnako dlhý.</w:t>
      </w:r>
    </w:p>
    <w:p w:rsidR="00242C36" w:rsidRDefault="00242C36" w:rsidP="00242C36">
      <w:pPr>
        <w:pBdr>
          <w:bar w:val="single" w:sz="6" w:color="808080"/>
        </w:pBdr>
        <w:spacing w:after="120"/>
        <w:rPr>
          <w:rFonts w:eastAsia="Calibri"/>
          <w:szCs w:val="22"/>
          <w:lang w:eastAsia="en-US"/>
        </w:rPr>
      </w:pPr>
    </w:p>
    <w:p w:rsidR="00242C36" w:rsidRPr="009B6C51" w:rsidRDefault="00242C36" w:rsidP="00242C36">
      <w:pPr>
        <w:pBdr>
          <w:bar w:val="single" w:sz="6" w:color="808080"/>
        </w:pBdr>
        <w:spacing w:after="120"/>
        <w:rPr>
          <w:rFonts w:ascii="Calibri" w:eastAsia="Calibri" w:hAnsi="Calibri"/>
          <w:b/>
          <w:szCs w:val="22"/>
          <w:lang w:eastAsia="en-US"/>
        </w:rPr>
      </w:pPr>
      <w:r w:rsidRPr="009B6C51">
        <w:rPr>
          <w:rFonts w:ascii="Calibri" w:eastAsia="Calibri" w:hAnsi="Calibri"/>
          <w:b/>
          <w:szCs w:val="22"/>
          <w:lang w:eastAsia="en-US"/>
        </w:rPr>
        <w:t>Odbytové organizácie  výrobcov</w:t>
      </w:r>
    </w:p>
    <w:p w:rsidR="00242C36" w:rsidRPr="009B6C51" w:rsidRDefault="00242C36" w:rsidP="00366F96">
      <w:pPr>
        <w:keepNext/>
        <w:tabs>
          <w:tab w:val="num" w:pos="540"/>
        </w:tabs>
        <w:spacing w:before="120"/>
        <w:rPr>
          <w:rFonts w:ascii="Calibri" w:hAnsi="Calibri"/>
          <w:strike/>
          <w:szCs w:val="22"/>
        </w:rPr>
      </w:pPr>
      <w:r w:rsidRPr="00505442">
        <w:rPr>
          <w:rFonts w:ascii="Calibri" w:eastAsia="Calibri" w:hAnsi="Calibri"/>
          <w:szCs w:val="22"/>
          <w:lang w:eastAsia="en-US"/>
        </w:rPr>
        <w:t>Vznik odbytových organizácií výrobcov, ktoré dodávajú primárnu produkciu na spracovanie, sa v SR začal finančne podporovať v rámci programu SAPARD, Plánu rozvoja vidieka 2004-</w:t>
      </w:r>
      <w:smartTag w:uri="urn:schemas-microsoft-com:office:smarttags" w:element="metricconverter">
        <w:smartTagPr>
          <w:attr w:name="ProductID" w:val="2006 a"/>
        </w:smartTagPr>
        <w:r w:rsidRPr="00505442">
          <w:rPr>
            <w:rFonts w:ascii="Calibri" w:eastAsia="Calibri" w:hAnsi="Calibri"/>
            <w:szCs w:val="22"/>
            <w:lang w:eastAsia="en-US"/>
          </w:rPr>
          <w:t>2006 a</w:t>
        </w:r>
      </w:smartTag>
      <w:r w:rsidRPr="00505442">
        <w:rPr>
          <w:rFonts w:ascii="Calibri" w:eastAsia="Calibri" w:hAnsi="Calibri"/>
          <w:szCs w:val="22"/>
          <w:lang w:eastAsia="en-US"/>
        </w:rPr>
        <w:t xml:space="preserve"> v súčasnosti je podporovaný v rámci Programu rozvoja vidieka SR 2007-2013. </w:t>
      </w:r>
    </w:p>
    <w:p w:rsidR="00242C36" w:rsidRPr="009B6C51" w:rsidRDefault="00242C36" w:rsidP="00366F96">
      <w:pPr>
        <w:keepNext/>
        <w:spacing w:before="120"/>
        <w:rPr>
          <w:rFonts w:ascii="Calibri" w:hAnsi="Calibri"/>
          <w:b/>
          <w:szCs w:val="22"/>
        </w:rPr>
      </w:pPr>
      <w:r w:rsidRPr="00505442">
        <w:rPr>
          <w:rFonts w:ascii="Calibri" w:hAnsi="Calibri"/>
          <w:szCs w:val="22"/>
        </w:rPr>
        <w:t>V rámci uvedených podporných programov bolo na Slovensku v období rokov 2005-2013 založených</w:t>
      </w:r>
      <w:r w:rsidRPr="00505442">
        <w:rPr>
          <w:rFonts w:ascii="Calibri" w:hAnsi="Calibri"/>
          <w:b/>
          <w:szCs w:val="22"/>
        </w:rPr>
        <w:t xml:space="preserve"> </w:t>
      </w:r>
      <w:r w:rsidRPr="00505442">
        <w:rPr>
          <w:rFonts w:ascii="Calibri" w:hAnsi="Calibri"/>
          <w:szCs w:val="22"/>
        </w:rPr>
        <w:t>97 odbytových združení, z toho 58 pre komodity rastlinnej výroby a 39 pre komodity živočíšnej výroby</w:t>
      </w:r>
      <w:r w:rsidRPr="00505442">
        <w:rPr>
          <w:rFonts w:ascii="Calibri" w:hAnsi="Calibri"/>
          <w:b/>
          <w:szCs w:val="22"/>
        </w:rPr>
        <w:t xml:space="preserve">. </w:t>
      </w:r>
      <w:r w:rsidRPr="00505442">
        <w:rPr>
          <w:rFonts w:ascii="Calibri" w:hAnsi="Calibri"/>
          <w:szCs w:val="22"/>
        </w:rPr>
        <w:t xml:space="preserve">Predmetné odbytové organizácie združujú 746 poľnohospodárskych podnikov.  S ukončením vyplácania podpôr v rámci PRV 2004-2006  (v roku 2010) viaceré  združenia svoju aktívnu činnosť obmedzili.   Dôvodom je nedostatok finančných prostriedkov na zabezpečenie ich prevádzky (mzdy, administratíva). Podľa údajov z MPRV SR v súčasnosti aktívne  funguje 25 odbytových organizácií výrobcov </w:t>
      </w:r>
      <w:r w:rsidRPr="00505442">
        <w:rPr>
          <w:rFonts w:ascii="Calibri" w:hAnsi="Calibri"/>
          <w:b/>
          <w:szCs w:val="22"/>
        </w:rPr>
        <w:t xml:space="preserve">(PSCI 8). </w:t>
      </w:r>
      <w:r w:rsidRPr="00505442">
        <w:rPr>
          <w:rFonts w:ascii="Calibri" w:hAnsi="Calibri"/>
          <w:b/>
          <w:szCs w:val="22"/>
          <w:highlight w:val="yellow"/>
        </w:rPr>
        <w:t xml:space="preserve"> </w:t>
      </w:r>
    </w:p>
    <w:p w:rsidR="00242C36" w:rsidRPr="009B6C51" w:rsidRDefault="00242C36" w:rsidP="00366F96">
      <w:pPr>
        <w:pStyle w:val="Textbody"/>
        <w:spacing w:before="120" w:after="120"/>
        <w:rPr>
          <w:szCs w:val="22"/>
        </w:rPr>
      </w:pPr>
      <w:r w:rsidRPr="00505442">
        <w:rPr>
          <w:szCs w:val="22"/>
        </w:rPr>
        <w:t>OOV zabezpečujú pre členov odbyt až do 100% ich produkcie, kontrolu kvality, vyjednávanie podmienok s regionálnymi odberateľmi a pod. Potenciál ich rozvoja je v zapojení väčšieho množstva producentov  s cieľom odbytu a pridávania hodnoty  do ich produktov, t.</w:t>
      </w:r>
      <w:r>
        <w:rPr>
          <w:szCs w:val="22"/>
        </w:rPr>
        <w:t xml:space="preserve"> </w:t>
      </w:r>
      <w:r w:rsidRPr="00505442">
        <w:rPr>
          <w:szCs w:val="22"/>
        </w:rPr>
        <w:t>j. v</w:t>
      </w:r>
      <w:r w:rsidRPr="00505442">
        <w:rPr>
          <w:szCs w:val="22"/>
          <w:u w:val="single"/>
        </w:rPr>
        <w:t xml:space="preserve"> </w:t>
      </w:r>
      <w:r w:rsidRPr="00505442">
        <w:rPr>
          <w:szCs w:val="22"/>
        </w:rPr>
        <w:t xml:space="preserve"> rozvoji skladovacích, spracovateľských a ďalších obchodných aktivít so zameraním sa na inovácie a vybudovanie strategickej pozície s ohľadom na požiadavky trhu.</w:t>
      </w:r>
    </w:p>
    <w:p w:rsidR="00242C36" w:rsidRPr="009B6C51" w:rsidRDefault="00242C36" w:rsidP="00242C36">
      <w:pPr>
        <w:pBdr>
          <w:bar w:val="single" w:sz="6" w:color="808080"/>
        </w:pBdr>
        <w:rPr>
          <w:rFonts w:ascii="Calibri" w:eastAsia="Calibri" w:hAnsi="Calibri"/>
          <w:szCs w:val="22"/>
          <w:lang w:eastAsia="en-US"/>
        </w:rPr>
      </w:pPr>
      <w:r w:rsidRPr="00505442">
        <w:rPr>
          <w:rFonts w:ascii="Calibri" w:eastAsia="Calibri" w:hAnsi="Calibri"/>
          <w:szCs w:val="22"/>
          <w:lang w:eastAsia="en-US"/>
        </w:rPr>
        <w:t>Rokovania s OOV ako s väčšími partnermi by uvítali aj  obchodné reťazce ktoré, v eventuálne vyššej dodávateľskej cene problém nevidia.</w:t>
      </w:r>
    </w:p>
    <w:p w:rsidR="00242C36" w:rsidRDefault="00242C36" w:rsidP="00F37247">
      <w:pPr>
        <w:pBdr>
          <w:bar w:val="single" w:sz="6" w:color="808080"/>
        </w:pBdr>
        <w:rPr>
          <w:rFonts w:eastAsia="Calibri"/>
          <w:szCs w:val="22"/>
          <w:lang w:eastAsia="en-US"/>
        </w:rPr>
      </w:pPr>
    </w:p>
    <w:p w:rsidR="00242C36" w:rsidRPr="00E43137" w:rsidRDefault="00242C36" w:rsidP="00F37247">
      <w:pPr>
        <w:keepNext/>
        <w:keepLines/>
        <w:pBdr>
          <w:bar w:val="single" w:sz="6" w:color="808080"/>
        </w:pBdr>
        <w:outlineLvl w:val="1"/>
        <w:rPr>
          <w:rFonts w:ascii="Calibri" w:hAnsi="Calibri"/>
          <w:b/>
          <w:bCs/>
          <w:szCs w:val="22"/>
        </w:rPr>
      </w:pPr>
      <w:r w:rsidRPr="00E43137">
        <w:rPr>
          <w:rFonts w:ascii="Calibri" w:hAnsi="Calibri"/>
          <w:b/>
          <w:bCs/>
          <w:szCs w:val="22"/>
        </w:rPr>
        <w:t xml:space="preserve">Rizikový manažment </w:t>
      </w:r>
    </w:p>
    <w:p w:rsidR="00242C36" w:rsidRPr="00E43137" w:rsidRDefault="00242C36" w:rsidP="00F37247">
      <w:pPr>
        <w:pBdr>
          <w:bar w:val="single" w:sz="6" w:color="808080"/>
        </w:pBdr>
        <w:rPr>
          <w:rFonts w:ascii="Calibri" w:eastAsia="Calibri" w:hAnsi="Calibri"/>
          <w:szCs w:val="22"/>
          <w:lang w:eastAsia="en-US"/>
        </w:rPr>
      </w:pPr>
      <w:r w:rsidRPr="00E43137">
        <w:rPr>
          <w:rFonts w:ascii="Calibri" w:eastAsia="Calibri" w:hAnsi="Calibri"/>
          <w:szCs w:val="22"/>
          <w:lang w:eastAsia="en-US"/>
        </w:rPr>
        <w:t>Poľnohospodárov každoročne postihujú povodne a iné prírodné a živelné pohromy. Podľa dostupných údajov MPRV SR za obdobie rokov 2004 až 2010 spôsobili povodne najväčšie priame škody v r. 2010, až vyše 480 mil. EUR (vrátane škôd na majetku obcí a občanov). Čiastočné kompenzácie následkov škôd sú poskytované zo štátneho rozpočtu často na základe mimoriadnej právnej úpravy.</w:t>
      </w:r>
      <w:r>
        <w:rPr>
          <w:rFonts w:ascii="Calibri" w:eastAsia="Calibri" w:hAnsi="Calibri"/>
          <w:szCs w:val="22"/>
          <w:lang w:eastAsia="en-US"/>
        </w:rPr>
        <w:t xml:space="preserve"> </w:t>
      </w:r>
    </w:p>
    <w:p w:rsidR="00242C36" w:rsidRPr="00E43137" w:rsidRDefault="00242C36" w:rsidP="00242C36">
      <w:pPr>
        <w:pBdr>
          <w:bar w:val="single" w:sz="6" w:color="808080"/>
        </w:pBdr>
        <w:spacing w:after="120"/>
        <w:rPr>
          <w:rFonts w:ascii="Calibri" w:eastAsia="Calibri" w:hAnsi="Calibri"/>
          <w:szCs w:val="22"/>
          <w:lang w:eastAsia="en-US"/>
        </w:rPr>
      </w:pPr>
      <w:r w:rsidRPr="00E43137">
        <w:rPr>
          <w:rFonts w:ascii="Calibri" w:eastAsia="Calibri" w:hAnsi="Calibri"/>
          <w:szCs w:val="22"/>
          <w:lang w:eastAsia="en-US"/>
        </w:rPr>
        <w:t>Rezort pôdohospodárstva má záujem ochrániť poľnohospodársku pôdu a majetok proti rizikám tzv. malej vody, ktorou je prechodné alebo čiastočné zatopenie, podmáčanie alebo zamokrenie pôdy, keď poľnohospodár prechodne nemôže svoju pôdu obhospodarovať a dochádza u neho k škodám (strata úrody, poškodenie pôdy eróziou, splachy humusovej vrstvy a pod.).</w:t>
      </w:r>
    </w:p>
    <w:p w:rsidR="00242C36" w:rsidRPr="00E43137" w:rsidRDefault="00242C36" w:rsidP="00242C36">
      <w:pPr>
        <w:pBdr>
          <w:bar w:val="single" w:sz="6" w:color="808080"/>
        </w:pBdr>
        <w:spacing w:after="120"/>
        <w:rPr>
          <w:rFonts w:ascii="Calibri" w:eastAsia="Calibri" w:hAnsi="Calibri"/>
          <w:szCs w:val="22"/>
          <w:lang w:eastAsia="en-US"/>
        </w:rPr>
      </w:pPr>
      <w:r>
        <w:rPr>
          <w:rFonts w:ascii="Calibri" w:eastAsia="Calibri" w:hAnsi="Calibri"/>
          <w:szCs w:val="22"/>
          <w:lang w:eastAsia="en-US"/>
        </w:rPr>
        <w:t xml:space="preserve">Škody spôsobené povodňami na poľnohospodárskom území by mohli byť výrazne nižšie v prípade  existencie funkčných hydromelioračných kanálov a čerpacích staníc. </w:t>
      </w:r>
      <w:r w:rsidRPr="00E43137">
        <w:rPr>
          <w:rFonts w:ascii="Calibri" w:eastAsia="Calibri" w:hAnsi="Calibri"/>
          <w:szCs w:val="22"/>
          <w:lang w:eastAsia="en-US"/>
        </w:rPr>
        <w:t xml:space="preserve">Tieto kanály a zariadenia vybudoval štát a sú v  jeho vlastníctve ako hydromelioračný majetok odvodnenia. Štátny podnik Hydromeliorácie spravuje </w:t>
      </w:r>
      <w:smartTag w:uri="urn:schemas-microsoft-com:office:smarttags" w:element="metricconverter">
        <w:smartTagPr>
          <w:attr w:name="ProductID" w:val="5ﾠ851 km"/>
        </w:smartTagPr>
        <w:r w:rsidRPr="00E43137">
          <w:rPr>
            <w:rFonts w:ascii="Calibri" w:eastAsia="Calibri" w:hAnsi="Calibri"/>
            <w:szCs w:val="22"/>
            <w:lang w:eastAsia="en-US"/>
          </w:rPr>
          <w:t>5 851 km</w:t>
        </w:r>
      </w:smartTag>
      <w:r>
        <w:rPr>
          <w:rFonts w:ascii="Calibri" w:eastAsia="Calibri" w:hAnsi="Calibri"/>
          <w:szCs w:val="22"/>
          <w:lang w:eastAsia="en-US"/>
        </w:rPr>
        <w:t xml:space="preserve"> odvodňovacích kanálov </w:t>
      </w:r>
      <w:r w:rsidRPr="00E43137">
        <w:rPr>
          <w:rFonts w:ascii="Calibri" w:eastAsia="Calibri" w:hAnsi="Calibri"/>
          <w:szCs w:val="22"/>
          <w:lang w:eastAsia="en-US"/>
        </w:rPr>
        <w:t>a 24 odvodňovacích čerpacích staníc</w:t>
      </w:r>
      <w:r>
        <w:rPr>
          <w:rFonts w:ascii="Calibri" w:eastAsia="Calibri" w:hAnsi="Calibri"/>
          <w:szCs w:val="22"/>
          <w:lang w:eastAsia="en-US"/>
        </w:rPr>
        <w:t xml:space="preserve">. Pre sfunkčnenie vybraných častí kanálov a čerpacích staníc bola vypracovaná štúdia realizácie, </w:t>
      </w:r>
      <w:r w:rsidRPr="00E43137">
        <w:rPr>
          <w:rFonts w:ascii="Calibri" w:eastAsia="Calibri" w:hAnsi="Calibri"/>
          <w:szCs w:val="22"/>
          <w:lang w:eastAsia="en-US"/>
        </w:rPr>
        <w:t>ktorá popisuje podrobnosti realizácie a celkové prínosy investície do prevencie a ochrany poľnohospodárskej pôdy pred zatopením a zamokrením.</w:t>
      </w:r>
      <w:r>
        <w:rPr>
          <w:rFonts w:ascii="Calibri" w:eastAsia="Calibri" w:hAnsi="Calibri"/>
          <w:szCs w:val="22"/>
          <w:lang w:eastAsia="en-US"/>
        </w:rPr>
        <w:t xml:space="preserve"> </w:t>
      </w:r>
      <w:r w:rsidRPr="00E43137">
        <w:rPr>
          <w:rFonts w:ascii="Calibri" w:eastAsia="Calibri" w:hAnsi="Calibri"/>
          <w:szCs w:val="22"/>
          <w:lang w:eastAsia="en-US"/>
        </w:rPr>
        <w:t>Technická časť štúdie poskytuje podrobné údaje o lokalizácii hydromelioračnej infraštruktúry, ktorá prioritne vyžaduje rekonštrukciu, tak aby mohla plniť zásadné funkcie v poľnohospodárskej krajine.</w:t>
      </w:r>
    </w:p>
    <w:p w:rsidR="00242C36" w:rsidRPr="00E43137" w:rsidRDefault="00242C36" w:rsidP="00242C36">
      <w:pPr>
        <w:pBdr>
          <w:bar w:val="single" w:sz="6" w:color="808080"/>
        </w:pBdr>
        <w:spacing w:after="120"/>
        <w:rPr>
          <w:rFonts w:ascii="Calibri" w:eastAsia="Calibri" w:hAnsi="Calibri"/>
          <w:szCs w:val="22"/>
          <w:lang w:eastAsia="en-US"/>
        </w:rPr>
      </w:pPr>
      <w:r w:rsidRPr="00E43137">
        <w:rPr>
          <w:rFonts w:ascii="Calibri" w:eastAsia="Calibri" w:hAnsi="Calibri"/>
          <w:szCs w:val="22"/>
          <w:lang w:eastAsia="en-US"/>
        </w:rPr>
        <w:t>Funkčné hydromelioračné kanály a čerpacie stanice môžu plniť významnú úlohu v prevencii pred škodami na poľnohospodárskej produkcii spôsobenými zamokrením, podmáčaním a vodnou eróziou, spôsobenej prívalovými zrážkami a prúdmi stekajúcej vody. Zároveň majú potenciál čiastočnej ochrany proti záplavám v poľnohospodárskej krajine, do ktorej v širšom poňatí patria vidiecke obce, podniky a miestna infraštruktúra. Hydromelioračné kanály týmto systematicky nadväzujú na hlavné</w:t>
      </w:r>
      <w:r w:rsidRPr="00E43137">
        <w:rPr>
          <w:rFonts w:ascii="Calibri" w:eastAsia="Calibri" w:hAnsi="Calibri"/>
          <w:szCs w:val="22"/>
          <w:lang w:eastAsia="en-US"/>
        </w:rPr>
        <w:lastRenderedPageBreak/>
        <w:t xml:space="preserve"> prvky protipovodňovej ochrany štátu (vodné priehrady, sieť hlavných odvodňovacích kanálov, rôzne typy ochranných hrádz, suché poldre a pod.) v správe rezortu MŽP SR</w:t>
      </w:r>
      <w:r>
        <w:rPr>
          <w:rFonts w:ascii="Calibri" w:eastAsia="Calibri" w:hAnsi="Calibri"/>
          <w:szCs w:val="22"/>
          <w:lang w:eastAsia="en-US"/>
        </w:rPr>
        <w:t xml:space="preserve">. </w:t>
      </w:r>
      <w:r w:rsidRPr="00E43137">
        <w:rPr>
          <w:rFonts w:ascii="Calibri" w:eastAsia="Calibri" w:hAnsi="Calibri"/>
          <w:szCs w:val="22"/>
          <w:lang w:eastAsia="en-US"/>
        </w:rPr>
        <w:t>Celkovú protipovodňovú ochranu územia v SR (obyvateľstvo a sídla) proti tzv. veľkej vode (povodne), odborne riadi rezort životného prostredia.</w:t>
      </w:r>
    </w:p>
    <w:p w:rsidR="00242C36" w:rsidRDefault="00242C36" w:rsidP="00242C36">
      <w:pPr>
        <w:pBdr>
          <w:bar w:val="single" w:sz="6" w:color="808080"/>
        </w:pBdr>
        <w:spacing w:after="120"/>
        <w:rPr>
          <w:rFonts w:ascii="Calibri" w:eastAsia="Calibri" w:hAnsi="Calibri"/>
          <w:szCs w:val="22"/>
          <w:u w:val="single"/>
          <w:lang w:eastAsia="en-US"/>
        </w:rPr>
      </w:pPr>
      <w:r w:rsidRPr="00E43137">
        <w:rPr>
          <w:rFonts w:ascii="Calibri" w:eastAsia="Calibri" w:hAnsi="Calibri"/>
          <w:szCs w:val="22"/>
          <w:lang w:eastAsia="en-US"/>
        </w:rPr>
        <w:t xml:space="preserve">Pozitívom, ktoré v tejto súvislosti treba vyzdvihnúť je, že zmienená infraštruktúra hydromelioračných kanálov má kapacitný potenciál </w:t>
      </w:r>
      <w:r w:rsidRPr="00E43137">
        <w:rPr>
          <w:rFonts w:ascii="Calibri" w:eastAsia="Calibri" w:hAnsi="Calibri"/>
          <w:szCs w:val="22"/>
          <w:u w:val="single"/>
          <w:lang w:eastAsia="en-US"/>
        </w:rPr>
        <w:t>aj na</w:t>
      </w:r>
      <w:r w:rsidRPr="00E43137">
        <w:rPr>
          <w:rFonts w:ascii="Calibri" w:eastAsia="Calibri" w:hAnsi="Calibri"/>
          <w:szCs w:val="22"/>
          <w:lang w:eastAsia="en-US"/>
        </w:rPr>
        <w:t xml:space="preserve"> </w:t>
      </w:r>
      <w:r w:rsidRPr="00E43137">
        <w:rPr>
          <w:rFonts w:ascii="Calibri" w:eastAsia="Calibri" w:hAnsi="Calibri"/>
          <w:szCs w:val="22"/>
          <w:u w:val="single"/>
          <w:lang w:eastAsia="en-US"/>
        </w:rPr>
        <w:t xml:space="preserve">zadržanie vody v danej oblasti v období sucha, resp. na privedenie vody do oblastí z nedostatkom vodných zdrojov, čím sa významne posilní retenčná kapacita spádových území a adaptácia na suché obdobia. </w:t>
      </w:r>
    </w:p>
    <w:p w:rsidR="00242C36" w:rsidRPr="00013B12" w:rsidRDefault="00242C36" w:rsidP="00242C36">
      <w:pPr>
        <w:spacing w:before="120"/>
        <w:rPr>
          <w:szCs w:val="22"/>
        </w:rPr>
      </w:pPr>
      <w:r w:rsidRPr="00746C88">
        <w:rPr>
          <w:szCs w:val="22"/>
        </w:rPr>
        <w:t>Bola vypracovaná Koncepcia revitalizácie  hydromelioračných  sústav, na základe ktorej je potrebné uplatniť úplne nový prístup k budúcnosti siete závlah a odvodnenia na Slovensku. Nie je v nej kladený akcent revitalizácie celej existujúcej siete odvodnenia a závlah, ale súčasný stav definuje ako neudržateľný a v súčasných trhových podmienkach za neefektívny.  Defi</w:t>
      </w:r>
      <w:r>
        <w:rPr>
          <w:szCs w:val="22"/>
        </w:rPr>
        <w:t>nnuje sa v nej povinná minimálna</w:t>
      </w:r>
      <w:r w:rsidRPr="00746C88">
        <w:rPr>
          <w:szCs w:val="22"/>
        </w:rPr>
        <w:t xml:space="preserve"> sieť závlah a odvodnenia, ktorá sa javí v súčasných podmienkach ako dlhodobo udržateľná.  </w:t>
      </w:r>
    </w:p>
    <w:p w:rsidR="00242C36" w:rsidRPr="00013B12" w:rsidRDefault="00242C36" w:rsidP="00242C36">
      <w:pPr>
        <w:spacing w:before="120"/>
        <w:rPr>
          <w:szCs w:val="22"/>
        </w:rPr>
      </w:pPr>
      <w:r w:rsidRPr="00746C88">
        <w:rPr>
          <w:szCs w:val="22"/>
        </w:rPr>
        <w:t xml:space="preserve">Koncepcia nekladie nároky na verejné financie nad rámec programovo rozpočtovaných výdavkov a spĺňa tak kritérium rozpočtovej neutrálnosti. </w:t>
      </w:r>
    </w:p>
    <w:p w:rsidR="00242C36" w:rsidRPr="00013B12" w:rsidRDefault="00242C36" w:rsidP="00242C36">
      <w:pPr>
        <w:spacing w:before="120"/>
        <w:rPr>
          <w:szCs w:val="22"/>
        </w:rPr>
      </w:pPr>
      <w:r w:rsidRPr="00746C88">
        <w:rPr>
          <w:szCs w:val="22"/>
        </w:rPr>
        <w:t>Projekcia napĺňania cieľov tejto koncepcie ako aj všetky výroky s týmto spojené sú založené na princípe vzácnosti výrobných faktorov a hospodárnosti ich využívania, t.</w:t>
      </w:r>
      <w:r>
        <w:rPr>
          <w:szCs w:val="22"/>
        </w:rPr>
        <w:t> </w:t>
      </w:r>
      <w:r w:rsidRPr="00746C88">
        <w:rPr>
          <w:szCs w:val="22"/>
        </w:rPr>
        <w:t>j. podnikateľský subjekt v pôdohospodárstve kombinuje svoje výrobné faktory s ohľadom na ich požadovaný výstup tak aby vstupy minimalizoval a výstupy maximalizoval. Sú taktiež založené na princípe finančnej rovnováhy, t.j. podnik sa sústreďuje na zachovanie svojej platobnej schopnosti a solventnosti, na princípe súkromného vlastníctva a rozhodovacej autonómii a na princípe maximalizácie ziskovosti. Podnik v pôdohospodárstve sa autonómne rozhoduje o svojej podnikovej stratégii a štát v konečnom dôsledku nenesie bremeno dôsledkov jeho zlých strategických rozhodnutí.</w:t>
      </w:r>
    </w:p>
    <w:p w:rsidR="00242C36" w:rsidRPr="00013B12" w:rsidRDefault="00242C36" w:rsidP="00242C36">
      <w:pPr>
        <w:spacing w:before="120"/>
        <w:rPr>
          <w:szCs w:val="22"/>
        </w:rPr>
      </w:pPr>
      <w:r w:rsidRPr="00746C88">
        <w:rPr>
          <w:szCs w:val="22"/>
        </w:rPr>
        <w:t xml:space="preserve">Miera naplnenia predpokladov koncepcie závisí predovšetkým od samotných prijímateľov finančných prostriedkov z oboch pilierov spoločnej poľnohospodárskej politiky a miery ochoty ich prispôsobenia sa čiastočnej zmene pravidiel fungovania spoločného trhu v jednotlivých sektoroch pôdohospodárstva.   </w:t>
      </w:r>
    </w:p>
    <w:p w:rsidR="00242C36" w:rsidRPr="00E43137" w:rsidRDefault="00242C36" w:rsidP="00242C36">
      <w:pPr>
        <w:pBdr>
          <w:bar w:val="single" w:sz="6" w:color="808080"/>
        </w:pBdr>
        <w:spacing w:before="120" w:after="120"/>
        <w:rPr>
          <w:rFonts w:ascii="Calibri" w:eastAsia="Calibri" w:hAnsi="Calibri"/>
          <w:szCs w:val="22"/>
          <w:lang w:eastAsia="en-US"/>
        </w:rPr>
      </w:pPr>
      <w:r w:rsidRPr="00E43137">
        <w:rPr>
          <w:rFonts w:ascii="Calibri" w:eastAsia="Calibri" w:hAnsi="Calibri" w:cs="Calibri"/>
          <w:szCs w:val="22"/>
          <w:lang w:eastAsia="en-US"/>
        </w:rPr>
        <w:t>V </w:t>
      </w:r>
      <w:r w:rsidRPr="00EF7BA7">
        <w:rPr>
          <w:rFonts w:ascii="Calibri" w:eastAsia="Calibri" w:hAnsi="Calibri" w:cs="Calibri"/>
          <w:b/>
          <w:szCs w:val="22"/>
          <w:lang w:eastAsia="en-US"/>
        </w:rPr>
        <w:t>oblasti poistenia rizík v poľnohospodárstve</w:t>
      </w:r>
      <w:r w:rsidRPr="00E43137">
        <w:rPr>
          <w:rFonts w:ascii="Calibri" w:eastAsia="Calibri" w:hAnsi="Calibri" w:cs="Calibri"/>
          <w:szCs w:val="22"/>
          <w:lang w:eastAsia="en-US"/>
        </w:rPr>
        <w:t>, ako pri poistení plodín tak pri  poistení zvierat nie je v súčasnosti využívaný  efektívny spôsob znižovania rizika v dôsledku relatívne vysokej ceny poistenia, nízkej výmery poistených plôch (malé množstvo podobných rizík), obmedzenosti poistiteľných rizík a existencie pomoci zo strany štátu. Vývoj poistenia plodín a zvierat od roku 2000 sa vyznačuje poklesom zaplateného poistného.</w:t>
      </w:r>
    </w:p>
    <w:p w:rsidR="00242C36" w:rsidRPr="00E43137" w:rsidRDefault="00242C36" w:rsidP="00242C36">
      <w:pPr>
        <w:spacing w:after="120"/>
        <w:rPr>
          <w:rFonts w:ascii="Calibri" w:hAnsi="Calibri"/>
          <w:szCs w:val="22"/>
        </w:rPr>
      </w:pPr>
      <w:r>
        <w:rPr>
          <w:rFonts w:ascii="Calibri" w:eastAsia="Calibri" w:hAnsi="Calibri" w:cs="Calibri"/>
          <w:szCs w:val="22"/>
        </w:rPr>
        <w:t xml:space="preserve"> Na Slovensku </w:t>
      </w:r>
      <w:r w:rsidRPr="00E43137">
        <w:rPr>
          <w:rFonts w:ascii="Calibri" w:eastAsia="Calibri" w:hAnsi="Calibri" w:cs="Calibri"/>
          <w:szCs w:val="22"/>
        </w:rPr>
        <w:t xml:space="preserve">v dôsledku škôd spôsobených nepriaznivým vplyvom počasia </w:t>
      </w:r>
      <w:r>
        <w:rPr>
          <w:rFonts w:ascii="Calibri" w:eastAsia="Calibri" w:hAnsi="Calibri" w:cs="Calibri"/>
          <w:szCs w:val="22"/>
        </w:rPr>
        <w:t xml:space="preserve">a ovplyvnených zmenami klímy </w:t>
      </w:r>
      <w:r w:rsidRPr="00E43137">
        <w:rPr>
          <w:rFonts w:ascii="Calibri" w:eastAsia="Calibri" w:hAnsi="Calibri" w:cs="Calibri"/>
          <w:szCs w:val="22"/>
        </w:rPr>
        <w:t>(vyzimovanie, ľadovec, sucho</w:t>
      </w:r>
      <w:r>
        <w:rPr>
          <w:rFonts w:ascii="Calibri" w:eastAsia="Calibri" w:hAnsi="Calibri" w:cs="Calibri"/>
          <w:szCs w:val="22"/>
        </w:rPr>
        <w:t>, prívalové dažde</w:t>
      </w:r>
      <w:r w:rsidRPr="00E43137">
        <w:rPr>
          <w:rFonts w:ascii="Calibri" w:eastAsia="Calibri" w:hAnsi="Calibri" w:cs="Calibri"/>
          <w:szCs w:val="22"/>
        </w:rPr>
        <w:t>) a chorôb a nákaz zvierat dochádza pravidelne k stratám produkcie. Následky nepoistiteľných rizík so škodami katastrofického rozsahu sú čiastočne eliminované len v intenciách dotačnej politiky a komerčného poistenia. Pre riešenie rizikovosti sú finančné prostriedky nad rámec kapitoly poľnohospodárstva veľmi obmedzené a doteraz nebol vytvorený fond na kompenzáciu škôd z nepoistiteľných rizík.</w:t>
      </w:r>
    </w:p>
    <w:p w:rsidR="00242C36" w:rsidRPr="00E43137" w:rsidRDefault="00E32F57" w:rsidP="00242C36">
      <w:pPr>
        <w:spacing w:after="120"/>
        <w:rPr>
          <w:b/>
          <w:szCs w:val="22"/>
        </w:rPr>
      </w:pPr>
      <w:r>
        <w:rPr>
          <w:rFonts w:ascii="Calibri" w:eastAsia="Calibri" w:hAnsi="Calibri" w:cs="Calibri"/>
          <w:b/>
          <w:iCs/>
          <w:szCs w:val="22"/>
        </w:rPr>
        <w:t xml:space="preserve">Tabuľka 27: </w:t>
      </w:r>
      <w:r w:rsidR="00242C36" w:rsidRPr="00E43137">
        <w:rPr>
          <w:rFonts w:ascii="Calibri" w:eastAsia="Calibri" w:hAnsi="Calibri" w:cs="Calibri"/>
          <w:b/>
          <w:iCs/>
          <w:szCs w:val="22"/>
        </w:rPr>
        <w:t>Náhrady škôd z poistenia a štátneho rozpočtu v roku 2011</w:t>
      </w:r>
    </w:p>
    <w:tbl>
      <w:tblPr>
        <w:tblW w:w="0" w:type="auto"/>
        <w:tblBorders>
          <w:top w:val="single" w:sz="4" w:space="0" w:color="B8CCE4"/>
          <w:left w:val="single" w:sz="4" w:space="0" w:color="B8CCE4"/>
          <w:bottom w:val="single" w:sz="4" w:space="0" w:color="B8CCE4"/>
          <w:right w:val="single" w:sz="4" w:space="0" w:color="B8CCE4"/>
          <w:insideH w:val="single" w:sz="4" w:space="0" w:color="B8CCE4"/>
          <w:insideV w:val="single" w:sz="4" w:space="0" w:color="B8CCE4"/>
        </w:tblBorders>
        <w:tblLook w:val="04A0" w:firstRow="1" w:lastRow="0" w:firstColumn="1" w:lastColumn="0" w:noHBand="0" w:noVBand="1"/>
      </w:tblPr>
      <w:tblGrid>
        <w:gridCol w:w="7905"/>
        <w:gridCol w:w="1167"/>
      </w:tblGrid>
      <w:tr w:rsidR="00242C36" w:rsidRPr="00E43137" w:rsidTr="00E32F57">
        <w:tc>
          <w:tcPr>
            <w:tcW w:w="7905" w:type="dxa"/>
            <w:tcBorders>
              <w:bottom w:val="single" w:sz="12" w:space="0" w:color="95B3D7"/>
            </w:tcBorders>
            <w:shd w:val="clear" w:color="auto" w:fill="auto"/>
          </w:tcPr>
          <w:p w:rsidR="00242C36" w:rsidRPr="00E43137" w:rsidRDefault="00242C36" w:rsidP="00242C36">
            <w:pPr>
              <w:rPr>
                <w:rFonts w:ascii="Calibri" w:eastAsia="Calibri" w:hAnsi="Calibri"/>
                <w:b/>
                <w:bCs/>
                <w:sz w:val="20"/>
                <w:szCs w:val="20"/>
                <w:lang w:eastAsia="en-US"/>
              </w:rPr>
            </w:pPr>
            <w:r w:rsidRPr="00E43137">
              <w:rPr>
                <w:rFonts w:ascii="Calibri" w:eastAsia="Calibri" w:hAnsi="Calibri" w:cs="Calibri"/>
                <w:b/>
                <w:bCs/>
                <w:color w:val="000000"/>
                <w:sz w:val="20"/>
                <w:szCs w:val="20"/>
                <w:lang w:eastAsia="en-US"/>
              </w:rPr>
              <w:t xml:space="preserve"> </w:t>
            </w:r>
          </w:p>
        </w:tc>
        <w:tc>
          <w:tcPr>
            <w:tcW w:w="1167" w:type="dxa"/>
            <w:tcBorders>
              <w:bottom w:val="single" w:sz="12" w:space="0" w:color="95B3D7"/>
            </w:tcBorders>
            <w:shd w:val="clear" w:color="auto" w:fill="auto"/>
          </w:tcPr>
          <w:p w:rsidR="00242C36" w:rsidRPr="00E43137" w:rsidRDefault="00242C36" w:rsidP="00242C36">
            <w:pPr>
              <w:rPr>
                <w:rFonts w:ascii="Calibri" w:eastAsia="Calibri" w:hAnsi="Calibri"/>
                <w:b/>
                <w:bCs/>
                <w:sz w:val="20"/>
                <w:szCs w:val="20"/>
                <w:lang w:eastAsia="en-US"/>
              </w:rPr>
            </w:pPr>
            <w:r w:rsidRPr="00E43137">
              <w:rPr>
                <w:rFonts w:ascii="Calibri" w:eastAsia="Calibri" w:hAnsi="Calibri" w:cs="Calibri"/>
                <w:b/>
                <w:bCs/>
                <w:color w:val="000000"/>
                <w:sz w:val="20"/>
                <w:szCs w:val="20"/>
                <w:lang w:eastAsia="en-US"/>
              </w:rPr>
              <w:t>mil. EUR</w:t>
            </w:r>
          </w:p>
        </w:tc>
      </w:tr>
      <w:tr w:rsidR="00242C36" w:rsidRPr="00E43137" w:rsidTr="00E32F57">
        <w:tc>
          <w:tcPr>
            <w:tcW w:w="7905" w:type="dxa"/>
            <w:shd w:val="clear" w:color="auto" w:fill="auto"/>
          </w:tcPr>
          <w:p w:rsidR="00242C36" w:rsidRPr="00E43137" w:rsidRDefault="00242C36" w:rsidP="00242C36">
            <w:pPr>
              <w:rPr>
                <w:rFonts w:ascii="Calibri" w:eastAsia="Calibri" w:hAnsi="Calibri"/>
                <w:b/>
                <w:bCs/>
                <w:sz w:val="20"/>
                <w:szCs w:val="20"/>
                <w:lang w:eastAsia="en-US"/>
              </w:rPr>
            </w:pPr>
            <w:r w:rsidRPr="00E43137">
              <w:rPr>
                <w:rFonts w:ascii="Calibri" w:eastAsia="Calibri" w:hAnsi="Calibri" w:cs="Calibri"/>
                <w:b/>
                <w:bCs/>
                <w:color w:val="000000"/>
                <w:sz w:val="20"/>
                <w:szCs w:val="20"/>
                <w:lang w:eastAsia="en-US"/>
              </w:rPr>
              <w:t>Náhrady z poistenia</w:t>
            </w:r>
          </w:p>
        </w:tc>
        <w:tc>
          <w:tcPr>
            <w:tcW w:w="1167" w:type="dxa"/>
            <w:shd w:val="clear" w:color="auto" w:fill="auto"/>
          </w:tcPr>
          <w:p w:rsidR="00242C36" w:rsidRPr="00E43137" w:rsidRDefault="00242C36" w:rsidP="00242C36">
            <w:pPr>
              <w:jc w:val="right"/>
              <w:rPr>
                <w:rFonts w:ascii="Calibri" w:eastAsia="Calibri" w:hAnsi="Calibri"/>
                <w:sz w:val="20"/>
                <w:szCs w:val="20"/>
                <w:lang w:eastAsia="en-US"/>
              </w:rPr>
            </w:pPr>
            <w:r w:rsidRPr="00E43137">
              <w:rPr>
                <w:rFonts w:ascii="Calibri" w:eastAsia="Calibri" w:hAnsi="Calibri" w:cs="Calibri"/>
                <w:color w:val="000000"/>
                <w:sz w:val="20"/>
                <w:szCs w:val="20"/>
                <w:lang w:eastAsia="en-US"/>
              </w:rPr>
              <w:t>10,9</w:t>
            </w:r>
          </w:p>
        </w:tc>
      </w:tr>
      <w:tr w:rsidR="00242C36" w:rsidRPr="00E43137" w:rsidTr="00E32F57">
        <w:tc>
          <w:tcPr>
            <w:tcW w:w="7905" w:type="dxa"/>
            <w:shd w:val="clear" w:color="auto" w:fill="auto"/>
          </w:tcPr>
          <w:p w:rsidR="00242C36" w:rsidRPr="00E43137" w:rsidRDefault="00242C36" w:rsidP="00242C36">
            <w:pPr>
              <w:rPr>
                <w:rFonts w:ascii="Calibri" w:eastAsia="Calibri" w:hAnsi="Calibri"/>
                <w:b/>
                <w:bCs/>
                <w:sz w:val="20"/>
                <w:szCs w:val="20"/>
                <w:lang w:eastAsia="en-US"/>
              </w:rPr>
            </w:pPr>
            <w:r w:rsidRPr="00E43137">
              <w:rPr>
                <w:rFonts w:ascii="Calibri" w:eastAsia="Calibri" w:hAnsi="Calibri" w:cs="Calibri"/>
                <w:b/>
                <w:bCs/>
                <w:color w:val="000000"/>
                <w:sz w:val="20"/>
                <w:szCs w:val="20"/>
                <w:lang w:eastAsia="en-US"/>
              </w:rPr>
              <w:t>Zákon č. 267/2010 Z.z. Dotácie na kompenzáciu strát spôsobených prírodnou katastrofou</w:t>
            </w:r>
          </w:p>
        </w:tc>
        <w:tc>
          <w:tcPr>
            <w:tcW w:w="1167" w:type="dxa"/>
            <w:shd w:val="clear" w:color="auto" w:fill="auto"/>
          </w:tcPr>
          <w:p w:rsidR="00242C36" w:rsidRPr="00E43137" w:rsidRDefault="00242C36" w:rsidP="00242C36">
            <w:pPr>
              <w:rPr>
                <w:rFonts w:ascii="Calibri" w:eastAsia="Calibri" w:hAnsi="Calibri"/>
                <w:sz w:val="20"/>
                <w:szCs w:val="20"/>
                <w:lang w:eastAsia="en-US"/>
              </w:rPr>
            </w:pPr>
            <w:r w:rsidRPr="00E43137">
              <w:rPr>
                <w:rFonts w:ascii="Calibri" w:eastAsia="Calibri" w:hAnsi="Calibri" w:cs="Calibri"/>
                <w:color w:val="000000"/>
                <w:sz w:val="20"/>
                <w:szCs w:val="20"/>
                <w:lang w:eastAsia="en-US"/>
              </w:rPr>
              <w:t xml:space="preserve"> </w:t>
            </w:r>
          </w:p>
        </w:tc>
      </w:tr>
      <w:tr w:rsidR="00242C36" w:rsidRPr="00E43137" w:rsidTr="00E32F57">
        <w:tc>
          <w:tcPr>
            <w:tcW w:w="7905" w:type="dxa"/>
            <w:shd w:val="clear" w:color="auto" w:fill="auto"/>
          </w:tcPr>
          <w:p w:rsidR="00242C36" w:rsidRPr="00E43137" w:rsidRDefault="00242C36" w:rsidP="00242C36">
            <w:pPr>
              <w:rPr>
                <w:rFonts w:ascii="Calibri" w:eastAsia="Calibri" w:hAnsi="Calibri"/>
                <w:b/>
                <w:bCs/>
                <w:sz w:val="20"/>
                <w:szCs w:val="20"/>
                <w:lang w:eastAsia="en-US"/>
              </w:rPr>
            </w:pPr>
            <w:r w:rsidRPr="00E43137">
              <w:rPr>
                <w:rFonts w:ascii="Calibri" w:eastAsia="Calibri" w:hAnsi="Calibri" w:cs="Calibri"/>
                <w:b/>
                <w:bCs/>
                <w:color w:val="000000"/>
                <w:sz w:val="20"/>
                <w:szCs w:val="20"/>
                <w:lang w:eastAsia="en-US"/>
              </w:rPr>
              <w:t>štátny rozpočet</w:t>
            </w:r>
          </w:p>
        </w:tc>
        <w:tc>
          <w:tcPr>
            <w:tcW w:w="1167" w:type="dxa"/>
            <w:shd w:val="clear" w:color="auto" w:fill="auto"/>
          </w:tcPr>
          <w:p w:rsidR="00242C36" w:rsidRPr="00E43137" w:rsidRDefault="00242C36" w:rsidP="00242C36">
            <w:pPr>
              <w:jc w:val="right"/>
              <w:rPr>
                <w:rFonts w:ascii="Calibri" w:eastAsia="Calibri" w:hAnsi="Calibri"/>
                <w:sz w:val="20"/>
                <w:szCs w:val="20"/>
                <w:lang w:eastAsia="en-US"/>
              </w:rPr>
            </w:pPr>
            <w:r w:rsidRPr="00E43137">
              <w:rPr>
                <w:rFonts w:ascii="Calibri" w:eastAsia="Calibri" w:hAnsi="Calibri" w:cs="Calibri"/>
                <w:color w:val="000000"/>
                <w:sz w:val="20"/>
                <w:szCs w:val="20"/>
                <w:lang w:eastAsia="en-US"/>
              </w:rPr>
              <w:t>2,7</w:t>
            </w:r>
          </w:p>
        </w:tc>
      </w:tr>
      <w:tr w:rsidR="00242C36" w:rsidRPr="00E43137" w:rsidTr="00E32F57">
        <w:tc>
          <w:tcPr>
            <w:tcW w:w="7905" w:type="dxa"/>
            <w:shd w:val="clear" w:color="auto" w:fill="auto"/>
          </w:tcPr>
          <w:p w:rsidR="00242C36" w:rsidRPr="00E43137" w:rsidRDefault="00242C36" w:rsidP="00242C36">
            <w:pPr>
              <w:rPr>
                <w:rFonts w:ascii="Calibri" w:eastAsia="Calibri" w:hAnsi="Calibri"/>
                <w:b/>
                <w:bCs/>
                <w:sz w:val="20"/>
                <w:szCs w:val="20"/>
                <w:lang w:eastAsia="en-US"/>
              </w:rPr>
            </w:pPr>
            <w:r w:rsidRPr="00E43137">
              <w:rPr>
                <w:rFonts w:ascii="Calibri" w:eastAsia="Calibri" w:hAnsi="Calibri" w:cs="Calibri"/>
                <w:b/>
                <w:bCs/>
                <w:color w:val="000000"/>
                <w:sz w:val="20"/>
                <w:szCs w:val="20"/>
                <w:lang w:eastAsia="en-US"/>
              </w:rPr>
              <w:t>Náhrady škôd celkom</w:t>
            </w:r>
          </w:p>
        </w:tc>
        <w:tc>
          <w:tcPr>
            <w:tcW w:w="1167" w:type="dxa"/>
            <w:shd w:val="clear" w:color="auto" w:fill="auto"/>
          </w:tcPr>
          <w:p w:rsidR="00242C36" w:rsidRPr="00E43137" w:rsidRDefault="00242C36" w:rsidP="00242C36">
            <w:pPr>
              <w:jc w:val="right"/>
              <w:rPr>
                <w:rFonts w:ascii="Calibri" w:eastAsia="Calibri" w:hAnsi="Calibri"/>
                <w:sz w:val="20"/>
                <w:szCs w:val="20"/>
                <w:lang w:eastAsia="en-US"/>
              </w:rPr>
            </w:pPr>
            <w:r w:rsidRPr="00E43137">
              <w:rPr>
                <w:rFonts w:ascii="Calibri" w:eastAsia="Calibri" w:hAnsi="Calibri" w:cs="Calibri"/>
                <w:color w:val="000000"/>
                <w:sz w:val="20"/>
                <w:szCs w:val="20"/>
                <w:lang w:eastAsia="en-US"/>
              </w:rPr>
              <w:t>13,6</w:t>
            </w:r>
          </w:p>
        </w:tc>
      </w:tr>
      <w:tr w:rsidR="00242C36" w:rsidRPr="00E43137" w:rsidTr="00E32F57">
        <w:tc>
          <w:tcPr>
            <w:tcW w:w="7905" w:type="dxa"/>
            <w:shd w:val="clear" w:color="auto" w:fill="auto"/>
          </w:tcPr>
          <w:p w:rsidR="00242C36" w:rsidRPr="00E43137" w:rsidRDefault="00242C36" w:rsidP="00242C36">
            <w:pPr>
              <w:rPr>
                <w:rFonts w:ascii="Calibri" w:eastAsia="Calibri" w:hAnsi="Calibri"/>
                <w:b/>
                <w:bCs/>
                <w:sz w:val="20"/>
                <w:szCs w:val="20"/>
                <w:lang w:eastAsia="en-US"/>
              </w:rPr>
            </w:pPr>
            <w:r w:rsidRPr="00E43137">
              <w:rPr>
                <w:rFonts w:ascii="Calibri" w:eastAsia="Calibri" w:hAnsi="Calibri" w:cs="Calibri"/>
                <w:b/>
                <w:bCs/>
                <w:color w:val="000000"/>
                <w:sz w:val="20"/>
                <w:szCs w:val="20"/>
                <w:lang w:eastAsia="en-US"/>
              </w:rPr>
              <w:t>Hrubá poľnohospodárska produkcia</w:t>
            </w:r>
          </w:p>
        </w:tc>
        <w:tc>
          <w:tcPr>
            <w:tcW w:w="1167" w:type="dxa"/>
            <w:shd w:val="clear" w:color="auto" w:fill="auto"/>
          </w:tcPr>
          <w:p w:rsidR="00242C36" w:rsidRPr="00E43137" w:rsidRDefault="00242C36" w:rsidP="00242C36">
            <w:pPr>
              <w:jc w:val="right"/>
              <w:rPr>
                <w:rFonts w:ascii="Calibri" w:eastAsia="Calibri" w:hAnsi="Calibri"/>
                <w:sz w:val="20"/>
                <w:szCs w:val="20"/>
                <w:lang w:eastAsia="en-US"/>
              </w:rPr>
            </w:pPr>
            <w:r w:rsidRPr="00E43137">
              <w:rPr>
                <w:rFonts w:ascii="Calibri" w:eastAsia="Calibri" w:hAnsi="Calibri" w:cs="Calibri"/>
                <w:color w:val="000000"/>
                <w:sz w:val="20"/>
                <w:szCs w:val="20"/>
                <w:lang w:eastAsia="en-US"/>
              </w:rPr>
              <w:t>2057,7</w:t>
            </w:r>
          </w:p>
        </w:tc>
      </w:tr>
      <w:tr w:rsidR="00242C36" w:rsidRPr="00E43137" w:rsidTr="00E32F57">
        <w:tc>
          <w:tcPr>
            <w:tcW w:w="7905" w:type="dxa"/>
            <w:shd w:val="clear" w:color="auto" w:fill="auto"/>
          </w:tcPr>
          <w:p w:rsidR="00242C36" w:rsidRPr="00E43137" w:rsidRDefault="00242C36" w:rsidP="00242C36">
            <w:pPr>
              <w:rPr>
                <w:rFonts w:ascii="Calibri" w:eastAsia="Calibri" w:hAnsi="Calibri"/>
                <w:b/>
                <w:bCs/>
                <w:sz w:val="20"/>
                <w:szCs w:val="20"/>
                <w:lang w:eastAsia="en-US"/>
              </w:rPr>
            </w:pPr>
            <w:r w:rsidRPr="00E43137">
              <w:rPr>
                <w:rFonts w:ascii="Calibri" w:eastAsia="Calibri" w:hAnsi="Calibri" w:cs="Calibri"/>
                <w:b/>
                <w:bCs/>
                <w:color w:val="000000"/>
                <w:sz w:val="20"/>
                <w:szCs w:val="20"/>
                <w:lang w:eastAsia="en-US"/>
              </w:rPr>
              <w:t>Podiel škôd na produkcii</w:t>
            </w:r>
          </w:p>
        </w:tc>
        <w:tc>
          <w:tcPr>
            <w:tcW w:w="1167" w:type="dxa"/>
            <w:shd w:val="clear" w:color="auto" w:fill="auto"/>
          </w:tcPr>
          <w:p w:rsidR="00242C36" w:rsidRPr="00E43137" w:rsidRDefault="00242C36" w:rsidP="00242C36">
            <w:pPr>
              <w:jc w:val="right"/>
              <w:rPr>
                <w:rFonts w:ascii="Calibri" w:eastAsia="Calibri" w:hAnsi="Calibri"/>
                <w:sz w:val="20"/>
                <w:szCs w:val="20"/>
                <w:lang w:eastAsia="en-US"/>
              </w:rPr>
            </w:pPr>
            <w:r w:rsidRPr="00E43137">
              <w:rPr>
                <w:rFonts w:ascii="Calibri" w:eastAsia="Calibri" w:hAnsi="Calibri" w:cs="Calibri"/>
                <w:color w:val="000000"/>
                <w:sz w:val="20"/>
                <w:szCs w:val="20"/>
                <w:lang w:eastAsia="en-US"/>
              </w:rPr>
              <w:t>0,66%</w:t>
            </w:r>
          </w:p>
        </w:tc>
      </w:tr>
    </w:tbl>
    <w:p w:rsidR="00242C36" w:rsidRPr="00E43137" w:rsidRDefault="00242C36" w:rsidP="00242C36">
      <w:pPr>
        <w:spacing w:after="120"/>
        <w:rPr>
          <w:sz w:val="20"/>
          <w:szCs w:val="20"/>
        </w:rPr>
      </w:pPr>
      <w:r w:rsidRPr="00E43137">
        <w:rPr>
          <w:rFonts w:ascii="Calibri" w:eastAsia="Calibri" w:hAnsi="Calibri" w:cs="Calibri"/>
          <w:iCs/>
          <w:sz w:val="20"/>
          <w:szCs w:val="20"/>
        </w:rPr>
        <w:t>Zdroj: Zelená správa za rok 2011</w:t>
      </w:r>
    </w:p>
    <w:p w:rsidR="00242C36" w:rsidRPr="00E43137" w:rsidRDefault="00242C36" w:rsidP="00242C36">
      <w:pPr>
        <w:spacing w:after="120"/>
        <w:rPr>
          <w:rFonts w:ascii="Calibri" w:hAnsi="Calibri"/>
          <w:szCs w:val="22"/>
        </w:rPr>
      </w:pPr>
      <w:r w:rsidRPr="00E43137">
        <w:rPr>
          <w:rFonts w:ascii="Calibri" w:eastAsia="Calibri" w:hAnsi="Calibri" w:cs="Calibri"/>
          <w:i/>
          <w:iCs/>
          <w:szCs w:val="22"/>
        </w:rPr>
        <w:t>V tabuľke nie sú zahrnuté kompenzácie škôd spôsobené chorobami zvierat / rastlín na základe veterinárnych a fytosanitárnych opatrení. Tieto prostriedky nemajú ad hoc charakter.</w:t>
      </w:r>
    </w:p>
    <w:p w:rsidR="00242C36" w:rsidRPr="00E43137" w:rsidRDefault="00242C36" w:rsidP="00242C36">
      <w:pPr>
        <w:spacing w:after="120"/>
        <w:rPr>
          <w:rFonts w:ascii="Calibri" w:hAnsi="Calibri"/>
          <w:szCs w:val="22"/>
        </w:rPr>
      </w:pPr>
      <w:r w:rsidRPr="00E43137">
        <w:rPr>
          <w:rFonts w:ascii="Calibri" w:eastAsia="Calibri" w:hAnsi="Calibri" w:cs="Calibri"/>
          <w:szCs w:val="22"/>
        </w:rPr>
        <w:t>Prevažná väčšina škôd bola krytá komerčným poistením. Úroveň kompenzácií je relatívne nízka, keď napr. v Českej republike vzhľadom na priemernú produkciu poľnohospodárstva dosahuje výška náhrad škôd 1,4% produkcie. Vzhľadom na nedostatok prostriedkov štátneho rozpočtu je potrebné zabezpečiť riadenie rizika formou spolufinancovania zo strany poľnohospodárov.</w:t>
      </w:r>
    </w:p>
    <w:p w:rsidR="00242C36" w:rsidRPr="00E43137" w:rsidRDefault="00242C36" w:rsidP="00242C36">
      <w:pPr>
        <w:spacing w:after="120"/>
        <w:rPr>
          <w:rFonts w:ascii="Calibri" w:hAnsi="Calibri"/>
          <w:szCs w:val="22"/>
        </w:rPr>
      </w:pPr>
      <w:r w:rsidRPr="00E43137">
        <w:rPr>
          <w:rFonts w:ascii="Calibri" w:eastAsia="Calibri" w:hAnsi="Calibri" w:cs="Calibri"/>
          <w:szCs w:val="22"/>
        </w:rPr>
        <w:t>Príčiny vzniku problému je možné zhrnúť nasledovne:</w:t>
      </w:r>
    </w:p>
    <w:p w:rsidR="00242C36" w:rsidRPr="00E43137" w:rsidRDefault="00242C36" w:rsidP="00317BFF">
      <w:pPr>
        <w:numPr>
          <w:ilvl w:val="0"/>
          <w:numId w:val="11"/>
        </w:numPr>
        <w:spacing w:after="120"/>
        <w:contextualSpacing/>
        <w:rPr>
          <w:rFonts w:ascii="Calibri" w:hAnsi="Calibri"/>
          <w:szCs w:val="22"/>
        </w:rPr>
      </w:pPr>
      <w:r w:rsidRPr="00E43137">
        <w:rPr>
          <w:rFonts w:ascii="Calibri" w:eastAsia="Calibri" w:hAnsi="Calibri" w:cs="Calibri"/>
          <w:color w:val="000000"/>
          <w:szCs w:val="22"/>
        </w:rPr>
        <w:t>Výkyvy počasia v posledných rokoch sú zvýraznené v súvislosti s klimatickými zmenami. Efektom týchto zmien v strednej Európe môže byť častejšie striedanie vlhkých zím s následnými jarnými povodňami a suchých letných mesiacov, ktoré v kombinácii s pôdnou eróziou zvýši riziko volatility výnosov plodín.</w:t>
      </w:r>
    </w:p>
    <w:p w:rsidR="00242C36" w:rsidRPr="00E43137" w:rsidRDefault="00242C36" w:rsidP="00317BFF">
      <w:pPr>
        <w:numPr>
          <w:ilvl w:val="0"/>
          <w:numId w:val="11"/>
        </w:numPr>
        <w:spacing w:after="120"/>
        <w:contextualSpacing/>
        <w:rPr>
          <w:rFonts w:ascii="Calibri" w:hAnsi="Calibri"/>
          <w:szCs w:val="22"/>
        </w:rPr>
      </w:pPr>
      <w:r w:rsidRPr="00E43137">
        <w:rPr>
          <w:rFonts w:ascii="Calibri" w:eastAsia="Calibri" w:hAnsi="Calibri" w:cs="Calibri"/>
          <w:color w:val="000000"/>
          <w:szCs w:val="22"/>
        </w:rPr>
        <w:t>V prípade strát je nemožnosť kompenzovať nižšie výnosy vyššou cenou, keďže SR je otvorená ekonomika závislá na okolitých trhoch.</w:t>
      </w:r>
    </w:p>
    <w:p w:rsidR="00242C36" w:rsidRPr="00E43137" w:rsidRDefault="00242C36" w:rsidP="00317BFF">
      <w:pPr>
        <w:numPr>
          <w:ilvl w:val="0"/>
          <w:numId w:val="11"/>
        </w:numPr>
        <w:spacing w:after="120"/>
        <w:contextualSpacing/>
        <w:rPr>
          <w:rFonts w:ascii="Calibri" w:hAnsi="Calibri"/>
          <w:szCs w:val="22"/>
        </w:rPr>
      </w:pPr>
      <w:r w:rsidRPr="00E43137">
        <w:rPr>
          <w:rFonts w:ascii="Calibri" w:eastAsia="Calibri" w:hAnsi="Calibri" w:cs="Calibri"/>
          <w:color w:val="000000"/>
          <w:szCs w:val="22"/>
        </w:rPr>
        <w:t>Poistenie plodín a hospodárskych zvierat je relatívne drahé. Pre poistenie systematických rizík nie je poistný trh dostatočne rozvinutý.</w:t>
      </w:r>
    </w:p>
    <w:p w:rsidR="00242C36" w:rsidRPr="00E43137" w:rsidRDefault="00242C36" w:rsidP="00317BFF">
      <w:pPr>
        <w:numPr>
          <w:ilvl w:val="0"/>
          <w:numId w:val="11"/>
        </w:numPr>
        <w:spacing w:after="120"/>
        <w:contextualSpacing/>
        <w:rPr>
          <w:rFonts w:ascii="Calibri" w:hAnsi="Calibri"/>
          <w:szCs w:val="22"/>
        </w:rPr>
      </w:pPr>
      <w:r w:rsidRPr="00E43137">
        <w:rPr>
          <w:rFonts w:ascii="Calibri" w:eastAsia="Calibri" w:hAnsi="Calibri" w:cs="Calibri"/>
          <w:szCs w:val="22"/>
        </w:rPr>
        <w:t>Doteraz bola malá politická podpora k vytvoreniu fondu nepoistiteľných rizík, ktorý by eliminoval ad hoc platby zo štátneho rozpočtu.</w:t>
      </w:r>
    </w:p>
    <w:p w:rsidR="00242C36" w:rsidRDefault="00242C36" w:rsidP="00242C36">
      <w:pPr>
        <w:pBdr>
          <w:bar w:val="single" w:sz="6" w:color="808080"/>
        </w:pBdr>
        <w:spacing w:after="120"/>
        <w:rPr>
          <w:rFonts w:eastAsia="Calibri"/>
          <w:szCs w:val="22"/>
          <w:lang w:eastAsia="en-US"/>
        </w:rPr>
      </w:pPr>
    </w:p>
    <w:p w:rsidR="00242C36" w:rsidRPr="00E43137" w:rsidRDefault="00242C36" w:rsidP="00242C36">
      <w:pPr>
        <w:pBdr>
          <w:bar w:val="single" w:sz="6" w:color="808080"/>
        </w:pBdr>
        <w:rPr>
          <w:rFonts w:ascii="Calibri" w:eastAsia="Calibri" w:hAnsi="Calibri"/>
          <w:szCs w:val="22"/>
          <w:lang w:eastAsia="en-US"/>
        </w:rPr>
      </w:pPr>
    </w:p>
    <w:p w:rsidR="00E43137" w:rsidRPr="00E43137" w:rsidRDefault="00DA395B" w:rsidP="001513BA">
      <w:pPr>
        <w:keepNext/>
        <w:keepLines/>
        <w:pBdr>
          <w:bar w:val="single" w:sz="6" w:color="808080"/>
        </w:pBdr>
        <w:outlineLvl w:val="1"/>
        <w:rPr>
          <w:rFonts w:ascii="Calibri" w:hAnsi="Calibri"/>
          <w:b/>
          <w:bCs/>
          <w:szCs w:val="22"/>
        </w:rPr>
      </w:pPr>
      <w:r>
        <w:rPr>
          <w:rFonts w:ascii="Calibri" w:hAnsi="Calibri"/>
          <w:b/>
          <w:bCs/>
          <w:szCs w:val="22"/>
        </w:rPr>
        <w:t>4.1.1.3 POTRAVIN</w:t>
      </w:r>
      <w:r w:rsidRPr="00E43137">
        <w:rPr>
          <w:rFonts w:ascii="Calibri" w:hAnsi="Calibri"/>
          <w:b/>
          <w:bCs/>
          <w:szCs w:val="22"/>
        </w:rPr>
        <w:t>ÁRSTVO</w:t>
      </w:r>
    </w:p>
    <w:p w:rsidR="00242C36" w:rsidRDefault="00E43137" w:rsidP="00242C36">
      <w:pPr>
        <w:pBdr>
          <w:bar w:val="single" w:sz="6" w:color="808080"/>
        </w:pBdr>
        <w:shd w:val="clear" w:color="auto" w:fill="FFFFFF" w:themeFill="background1"/>
        <w:spacing w:after="120"/>
        <w:rPr>
          <w:rFonts w:ascii="Calibri" w:eastAsia="Calibri" w:hAnsi="Calibri"/>
          <w:szCs w:val="22"/>
          <w:lang w:eastAsia="en-US"/>
        </w:rPr>
      </w:pPr>
      <w:r w:rsidRPr="00E43137">
        <w:rPr>
          <w:rFonts w:ascii="Calibri" w:eastAsia="Calibri" w:hAnsi="Calibri"/>
          <w:szCs w:val="22"/>
          <w:lang w:eastAsia="en-US"/>
        </w:rPr>
        <w:t>V potravinárstve bolo v r. 2012</w:t>
      </w:r>
      <w:r w:rsidR="00E30CD7">
        <w:rPr>
          <w:rFonts w:ascii="Calibri" w:eastAsia="Calibri" w:hAnsi="Calibri"/>
          <w:szCs w:val="22"/>
          <w:lang w:eastAsia="en-US"/>
        </w:rPr>
        <w:t xml:space="preserve">(ŠÚ SR – VZPS) </w:t>
      </w:r>
      <w:r w:rsidRPr="00E43137">
        <w:rPr>
          <w:rFonts w:ascii="Calibri" w:eastAsia="Calibri" w:hAnsi="Calibri"/>
          <w:szCs w:val="22"/>
          <w:lang w:eastAsia="en-US"/>
        </w:rPr>
        <w:t>zamestnaných 4</w:t>
      </w:r>
      <w:r w:rsidR="006D4807">
        <w:rPr>
          <w:rFonts w:ascii="Calibri" w:eastAsia="Calibri" w:hAnsi="Calibri"/>
          <w:szCs w:val="22"/>
          <w:lang w:eastAsia="en-US"/>
        </w:rPr>
        <w:t>8</w:t>
      </w:r>
      <w:r w:rsidRPr="00E43137">
        <w:rPr>
          <w:rFonts w:ascii="Calibri" w:eastAsia="Calibri" w:hAnsi="Calibri"/>
          <w:szCs w:val="22"/>
          <w:lang w:eastAsia="en-US"/>
        </w:rPr>
        <w:t>,</w:t>
      </w:r>
      <w:r w:rsidR="006D4807">
        <w:rPr>
          <w:rFonts w:ascii="Calibri" w:eastAsia="Calibri" w:hAnsi="Calibri"/>
          <w:szCs w:val="22"/>
          <w:lang w:eastAsia="en-US"/>
        </w:rPr>
        <w:t>5</w:t>
      </w:r>
      <w:r w:rsidRPr="00E43137">
        <w:rPr>
          <w:rFonts w:ascii="Calibri" w:eastAsia="Calibri" w:hAnsi="Calibri"/>
          <w:szCs w:val="22"/>
          <w:lang w:eastAsia="en-US"/>
        </w:rPr>
        <w:t xml:space="preserve"> tisíc osôb, t.j. </w:t>
      </w:r>
      <w:r w:rsidR="006D4807">
        <w:rPr>
          <w:rFonts w:ascii="Calibri" w:eastAsia="Calibri" w:hAnsi="Calibri"/>
          <w:szCs w:val="22"/>
          <w:lang w:eastAsia="en-US"/>
        </w:rPr>
        <w:t>2</w:t>
      </w:r>
      <w:r w:rsidR="00B833BD">
        <w:rPr>
          <w:rFonts w:ascii="Calibri" w:eastAsia="Calibri" w:hAnsi="Calibri"/>
          <w:szCs w:val="22"/>
          <w:lang w:eastAsia="en-US"/>
        </w:rPr>
        <w:t>,1</w:t>
      </w:r>
      <w:r w:rsidRPr="00E43137">
        <w:rPr>
          <w:rFonts w:ascii="Calibri" w:eastAsia="Calibri" w:hAnsi="Calibri"/>
          <w:szCs w:val="22"/>
          <w:lang w:eastAsia="en-US"/>
        </w:rPr>
        <w:t xml:space="preserve">% z celkového </w:t>
      </w:r>
      <w:r w:rsidR="00242C36" w:rsidRPr="00221DBD">
        <w:rPr>
          <w:rFonts w:ascii="Calibri" w:eastAsia="Calibri" w:hAnsi="Calibri"/>
          <w:szCs w:val="22"/>
          <w:lang w:eastAsia="en-US"/>
        </w:rPr>
        <w:t xml:space="preserve">Podiel výroby potravín a nápojov a tabak. výrobkov na hrubej pridanej hodnote v roku 2012 mal narastajúcu tendencie a jeho úroveň dosiahla 2,19 %, čo bolo medziročne o 0,09 p.b. viac. </w:t>
      </w:r>
    </w:p>
    <w:p w:rsidR="00242C36" w:rsidRDefault="00E32F57" w:rsidP="00242C36">
      <w:pPr>
        <w:pBdr>
          <w:bar w:val="single" w:sz="6" w:color="808080"/>
        </w:pBdr>
        <w:shd w:val="clear" w:color="auto" w:fill="FFFFFF" w:themeFill="background1"/>
        <w:spacing w:after="120"/>
        <w:rPr>
          <w:rFonts w:ascii="Calibri" w:eastAsia="Calibri" w:hAnsi="Calibri"/>
          <w:b/>
          <w:szCs w:val="22"/>
          <w:lang w:eastAsia="en-US"/>
        </w:rPr>
      </w:pPr>
      <w:r>
        <w:rPr>
          <w:rFonts w:ascii="Calibri" w:eastAsia="Calibri" w:hAnsi="Calibri"/>
          <w:b/>
          <w:szCs w:val="22"/>
          <w:lang w:eastAsia="en-US"/>
        </w:rPr>
        <w:t xml:space="preserve">Tabuľka 28: </w:t>
      </w:r>
      <w:r w:rsidR="00242C36" w:rsidRPr="00221DBD">
        <w:rPr>
          <w:rFonts w:ascii="Calibri" w:eastAsia="Calibri" w:hAnsi="Calibri"/>
          <w:b/>
          <w:szCs w:val="22"/>
          <w:lang w:eastAsia="en-US"/>
        </w:rPr>
        <w:t>Podiel výroby potravín a nápojov a tabak. výrobkov na hrubej pridanej hodnote NH</w:t>
      </w:r>
    </w:p>
    <w:tbl>
      <w:tblPr>
        <w:tblW w:w="910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30" w:type="dxa"/>
          <w:right w:w="30" w:type="dxa"/>
        </w:tblCellMar>
        <w:tblLook w:val="0000" w:firstRow="0" w:lastRow="0" w:firstColumn="0" w:lastColumn="0" w:noHBand="0" w:noVBand="0"/>
      </w:tblPr>
      <w:tblGrid>
        <w:gridCol w:w="5984"/>
        <w:gridCol w:w="709"/>
        <w:gridCol w:w="992"/>
        <w:gridCol w:w="1417"/>
      </w:tblGrid>
      <w:tr w:rsidR="00242C36" w:rsidRPr="00221DBD" w:rsidTr="00242C36">
        <w:trPr>
          <w:cantSplit/>
          <w:trHeight w:hRule="exact" w:val="253"/>
        </w:trPr>
        <w:tc>
          <w:tcPr>
            <w:tcW w:w="5984" w:type="dxa"/>
            <w:vMerge w:val="restart"/>
            <w:shd w:val="clear" w:color="auto" w:fill="auto"/>
            <w:vAlign w:val="center"/>
          </w:tcPr>
          <w:p w:rsidR="00242C36" w:rsidRDefault="00242C36" w:rsidP="00242C36">
            <w:pPr>
              <w:shd w:val="clear" w:color="auto" w:fill="FFFFFF" w:themeFill="background1"/>
              <w:spacing w:after="120"/>
              <w:rPr>
                <w:rFonts w:ascii="Calibri" w:eastAsia="Calibri" w:hAnsi="Calibri"/>
                <w:sz w:val="20"/>
                <w:szCs w:val="20"/>
                <w:lang w:eastAsia="en-US"/>
              </w:rPr>
            </w:pPr>
            <w:r w:rsidRPr="00505442">
              <w:rPr>
                <w:rFonts w:ascii="Calibri" w:eastAsia="Calibri" w:hAnsi="Calibri"/>
                <w:sz w:val="20"/>
                <w:szCs w:val="20"/>
                <w:lang w:eastAsia="en-US"/>
              </w:rPr>
              <w:t>Ukazovateľ</w:t>
            </w:r>
          </w:p>
        </w:tc>
        <w:tc>
          <w:tcPr>
            <w:tcW w:w="1701" w:type="dxa"/>
            <w:gridSpan w:val="2"/>
            <w:shd w:val="clear" w:color="auto" w:fill="auto"/>
          </w:tcPr>
          <w:p w:rsidR="00242C36" w:rsidRDefault="00242C36" w:rsidP="00242C36">
            <w:pPr>
              <w:shd w:val="clear" w:color="auto" w:fill="FFFFFF" w:themeFill="background1"/>
              <w:spacing w:after="120"/>
              <w:jc w:val="center"/>
              <w:rPr>
                <w:rFonts w:ascii="Calibri" w:eastAsia="Calibri" w:hAnsi="Calibri"/>
                <w:sz w:val="20"/>
                <w:szCs w:val="20"/>
                <w:lang w:eastAsia="en-US"/>
              </w:rPr>
            </w:pPr>
            <w:r w:rsidRPr="00505442">
              <w:rPr>
                <w:rFonts w:ascii="Calibri" w:eastAsia="Calibri" w:hAnsi="Calibri"/>
                <w:sz w:val="20"/>
                <w:szCs w:val="20"/>
                <w:lang w:eastAsia="en-US"/>
              </w:rPr>
              <w:t>Podiel v %</w:t>
            </w:r>
          </w:p>
        </w:tc>
        <w:tc>
          <w:tcPr>
            <w:tcW w:w="1417" w:type="dxa"/>
            <w:vMerge w:val="restart"/>
            <w:shd w:val="clear" w:color="auto" w:fill="auto"/>
          </w:tcPr>
          <w:p w:rsidR="00242C36" w:rsidRDefault="00242C36" w:rsidP="00242C36">
            <w:pPr>
              <w:shd w:val="clear" w:color="auto" w:fill="FFFFFF" w:themeFill="background1"/>
              <w:spacing w:after="120"/>
              <w:jc w:val="center"/>
              <w:rPr>
                <w:rFonts w:ascii="Calibri" w:eastAsia="Calibri" w:hAnsi="Calibri"/>
                <w:sz w:val="20"/>
                <w:szCs w:val="20"/>
                <w:lang w:eastAsia="en-US"/>
              </w:rPr>
            </w:pPr>
            <w:r w:rsidRPr="00505442">
              <w:rPr>
                <w:rFonts w:ascii="Calibri" w:eastAsia="Calibri" w:hAnsi="Calibri"/>
                <w:sz w:val="20"/>
                <w:szCs w:val="20"/>
                <w:lang w:eastAsia="en-US"/>
              </w:rPr>
              <w:t>Rozdiel</w:t>
            </w:r>
          </w:p>
          <w:p w:rsidR="00242C36" w:rsidRDefault="00242C36" w:rsidP="00242C36">
            <w:pPr>
              <w:shd w:val="clear" w:color="auto" w:fill="FFFFFF" w:themeFill="background1"/>
              <w:spacing w:after="120"/>
              <w:jc w:val="center"/>
              <w:rPr>
                <w:rFonts w:ascii="Calibri" w:eastAsia="Calibri" w:hAnsi="Calibri"/>
                <w:sz w:val="20"/>
                <w:szCs w:val="20"/>
                <w:lang w:eastAsia="en-US"/>
              </w:rPr>
            </w:pPr>
            <w:r w:rsidRPr="00505442">
              <w:rPr>
                <w:rFonts w:ascii="Calibri" w:eastAsia="Calibri" w:hAnsi="Calibri"/>
                <w:sz w:val="20"/>
                <w:szCs w:val="20"/>
                <w:lang w:eastAsia="en-US"/>
              </w:rPr>
              <w:t>2012-2010</w:t>
            </w:r>
          </w:p>
        </w:tc>
      </w:tr>
      <w:tr w:rsidR="00242C36" w:rsidRPr="00221DBD" w:rsidTr="00242C36">
        <w:trPr>
          <w:cantSplit/>
          <w:trHeight w:hRule="exact" w:val="338"/>
        </w:trPr>
        <w:tc>
          <w:tcPr>
            <w:tcW w:w="5984" w:type="dxa"/>
            <w:vMerge/>
            <w:shd w:val="clear" w:color="auto" w:fill="auto"/>
          </w:tcPr>
          <w:p w:rsidR="00242C36" w:rsidRDefault="00242C36" w:rsidP="00242C36">
            <w:pPr>
              <w:shd w:val="clear" w:color="auto" w:fill="FFFFFF" w:themeFill="background1"/>
              <w:spacing w:after="120"/>
              <w:rPr>
                <w:rFonts w:ascii="Calibri" w:eastAsia="Calibri" w:hAnsi="Calibri"/>
                <w:sz w:val="20"/>
                <w:szCs w:val="20"/>
                <w:lang w:eastAsia="en-US"/>
              </w:rPr>
            </w:pPr>
          </w:p>
        </w:tc>
        <w:tc>
          <w:tcPr>
            <w:tcW w:w="709" w:type="dxa"/>
            <w:shd w:val="clear" w:color="auto" w:fill="auto"/>
          </w:tcPr>
          <w:p w:rsidR="00242C36" w:rsidRDefault="00242C36" w:rsidP="00242C36">
            <w:pPr>
              <w:shd w:val="clear" w:color="auto" w:fill="FFFFFF" w:themeFill="background1"/>
              <w:spacing w:after="120"/>
              <w:jc w:val="center"/>
              <w:rPr>
                <w:rFonts w:ascii="Calibri" w:eastAsia="Calibri" w:hAnsi="Calibri"/>
                <w:sz w:val="20"/>
                <w:szCs w:val="20"/>
                <w:lang w:eastAsia="en-US"/>
              </w:rPr>
            </w:pPr>
            <w:r w:rsidRPr="00505442">
              <w:rPr>
                <w:rFonts w:ascii="Calibri" w:eastAsia="Calibri" w:hAnsi="Calibri"/>
                <w:sz w:val="20"/>
                <w:szCs w:val="20"/>
                <w:lang w:eastAsia="en-US"/>
              </w:rPr>
              <w:t>2011</w:t>
            </w:r>
          </w:p>
        </w:tc>
        <w:tc>
          <w:tcPr>
            <w:tcW w:w="992" w:type="dxa"/>
            <w:shd w:val="clear" w:color="auto" w:fill="auto"/>
          </w:tcPr>
          <w:p w:rsidR="00242C36" w:rsidRDefault="00242C36" w:rsidP="00242C36">
            <w:pPr>
              <w:shd w:val="clear" w:color="auto" w:fill="FFFFFF" w:themeFill="background1"/>
              <w:spacing w:after="120"/>
              <w:jc w:val="center"/>
              <w:rPr>
                <w:rFonts w:ascii="Calibri" w:eastAsia="Calibri" w:hAnsi="Calibri"/>
                <w:sz w:val="20"/>
                <w:szCs w:val="20"/>
                <w:lang w:eastAsia="en-US"/>
              </w:rPr>
            </w:pPr>
            <w:r w:rsidRPr="00505442">
              <w:rPr>
                <w:rFonts w:ascii="Calibri" w:eastAsia="Calibri" w:hAnsi="Calibri"/>
                <w:sz w:val="20"/>
                <w:szCs w:val="20"/>
                <w:lang w:eastAsia="en-US"/>
              </w:rPr>
              <w:t>2012</w:t>
            </w:r>
          </w:p>
        </w:tc>
        <w:tc>
          <w:tcPr>
            <w:tcW w:w="1417" w:type="dxa"/>
            <w:vMerge/>
            <w:shd w:val="clear" w:color="auto" w:fill="auto"/>
          </w:tcPr>
          <w:p w:rsidR="00242C36" w:rsidRDefault="00242C36" w:rsidP="00242C36">
            <w:pPr>
              <w:shd w:val="clear" w:color="auto" w:fill="FFFFFF" w:themeFill="background1"/>
              <w:spacing w:after="120"/>
              <w:jc w:val="center"/>
              <w:rPr>
                <w:rFonts w:ascii="Calibri" w:eastAsia="Calibri" w:hAnsi="Calibri"/>
                <w:sz w:val="20"/>
                <w:szCs w:val="20"/>
                <w:lang w:eastAsia="en-US"/>
              </w:rPr>
            </w:pPr>
          </w:p>
        </w:tc>
      </w:tr>
      <w:tr w:rsidR="00242C36" w:rsidRPr="00221DBD" w:rsidTr="00242C36">
        <w:trPr>
          <w:trHeight w:hRule="exact" w:val="337"/>
        </w:trPr>
        <w:tc>
          <w:tcPr>
            <w:tcW w:w="5984" w:type="dxa"/>
            <w:shd w:val="clear" w:color="auto" w:fill="auto"/>
          </w:tcPr>
          <w:p w:rsidR="00242C36" w:rsidRDefault="00242C36" w:rsidP="00242C36">
            <w:pPr>
              <w:shd w:val="clear" w:color="auto" w:fill="FFFFFF" w:themeFill="background1"/>
              <w:spacing w:after="120"/>
              <w:rPr>
                <w:rFonts w:ascii="Calibri" w:eastAsia="Calibri" w:hAnsi="Calibri"/>
                <w:sz w:val="20"/>
                <w:szCs w:val="20"/>
                <w:lang w:eastAsia="en-US"/>
              </w:rPr>
            </w:pPr>
            <w:r w:rsidRPr="00505442">
              <w:rPr>
                <w:rFonts w:ascii="Calibri" w:eastAsia="Calibri" w:hAnsi="Calibri"/>
                <w:sz w:val="20"/>
                <w:szCs w:val="20"/>
                <w:lang w:eastAsia="en-US"/>
              </w:rPr>
              <w:t>Podiel výroby potravín a nápojov a tabak. výrobkov na HPH v s.c.</w:t>
            </w:r>
          </w:p>
        </w:tc>
        <w:tc>
          <w:tcPr>
            <w:tcW w:w="709" w:type="dxa"/>
            <w:shd w:val="clear" w:color="auto" w:fill="auto"/>
          </w:tcPr>
          <w:p w:rsidR="00242C36" w:rsidRDefault="00242C36" w:rsidP="00242C36">
            <w:pPr>
              <w:shd w:val="clear" w:color="auto" w:fill="FFFFFF" w:themeFill="background1"/>
              <w:spacing w:after="120"/>
              <w:jc w:val="center"/>
              <w:rPr>
                <w:rFonts w:ascii="Calibri" w:eastAsia="Calibri" w:hAnsi="Calibri"/>
                <w:sz w:val="20"/>
                <w:szCs w:val="20"/>
                <w:lang w:eastAsia="en-US"/>
              </w:rPr>
            </w:pPr>
            <w:r w:rsidRPr="00505442">
              <w:rPr>
                <w:rFonts w:ascii="Calibri" w:eastAsia="Calibri" w:hAnsi="Calibri"/>
                <w:sz w:val="20"/>
                <w:szCs w:val="20"/>
                <w:lang w:eastAsia="en-US"/>
              </w:rPr>
              <w:t>2,10</w:t>
            </w:r>
          </w:p>
        </w:tc>
        <w:tc>
          <w:tcPr>
            <w:tcW w:w="992" w:type="dxa"/>
            <w:shd w:val="clear" w:color="auto" w:fill="auto"/>
          </w:tcPr>
          <w:p w:rsidR="00242C36" w:rsidRDefault="00242C36" w:rsidP="00242C36">
            <w:pPr>
              <w:shd w:val="clear" w:color="auto" w:fill="FFFFFF" w:themeFill="background1"/>
              <w:spacing w:after="120"/>
              <w:jc w:val="center"/>
              <w:rPr>
                <w:rFonts w:ascii="Calibri" w:eastAsia="Calibri" w:hAnsi="Calibri"/>
                <w:sz w:val="20"/>
                <w:szCs w:val="20"/>
                <w:lang w:eastAsia="en-US"/>
              </w:rPr>
            </w:pPr>
            <w:r w:rsidRPr="00505442">
              <w:rPr>
                <w:rFonts w:ascii="Calibri" w:eastAsia="Calibri" w:hAnsi="Calibri"/>
                <w:sz w:val="20"/>
                <w:szCs w:val="20"/>
                <w:lang w:eastAsia="en-US"/>
              </w:rPr>
              <w:t>2,19</w:t>
            </w:r>
          </w:p>
        </w:tc>
        <w:tc>
          <w:tcPr>
            <w:tcW w:w="1417" w:type="dxa"/>
            <w:shd w:val="clear" w:color="auto" w:fill="auto"/>
          </w:tcPr>
          <w:p w:rsidR="00242C36" w:rsidRDefault="00242C36" w:rsidP="00242C36">
            <w:pPr>
              <w:shd w:val="clear" w:color="auto" w:fill="FFFFFF" w:themeFill="background1"/>
              <w:spacing w:after="120"/>
              <w:jc w:val="center"/>
              <w:rPr>
                <w:rFonts w:ascii="Calibri" w:eastAsia="Calibri" w:hAnsi="Calibri"/>
                <w:sz w:val="20"/>
                <w:szCs w:val="20"/>
                <w:lang w:eastAsia="en-US"/>
              </w:rPr>
            </w:pPr>
            <w:r w:rsidRPr="00505442">
              <w:rPr>
                <w:rFonts w:ascii="Calibri" w:eastAsia="Calibri" w:hAnsi="Calibri"/>
                <w:sz w:val="20"/>
                <w:szCs w:val="20"/>
                <w:lang w:eastAsia="en-US"/>
              </w:rPr>
              <w:t>0,09</w:t>
            </w:r>
          </w:p>
        </w:tc>
      </w:tr>
    </w:tbl>
    <w:p w:rsidR="00242C36" w:rsidRDefault="00242C36" w:rsidP="00242C36">
      <w:pPr>
        <w:pBdr>
          <w:bar w:val="single" w:sz="6" w:color="808080"/>
        </w:pBdr>
        <w:shd w:val="clear" w:color="auto" w:fill="FFFFFF" w:themeFill="background1"/>
        <w:spacing w:after="120"/>
        <w:rPr>
          <w:rFonts w:ascii="Calibri" w:eastAsia="Calibri" w:hAnsi="Calibri"/>
          <w:sz w:val="20"/>
          <w:szCs w:val="20"/>
          <w:lang w:eastAsia="en-US"/>
        </w:rPr>
      </w:pPr>
      <w:r w:rsidRPr="00505442">
        <w:rPr>
          <w:rFonts w:ascii="Calibri" w:eastAsia="Calibri" w:hAnsi="Calibri"/>
          <w:sz w:val="20"/>
          <w:szCs w:val="20"/>
          <w:lang w:eastAsia="en-US"/>
        </w:rPr>
        <w:t>Prameň: ŠÚ SR</w:t>
      </w:r>
    </w:p>
    <w:p w:rsidR="00242C36" w:rsidRDefault="00242C36" w:rsidP="00242C36">
      <w:pPr>
        <w:rPr>
          <w:rFonts w:ascii="Calibri" w:eastAsia="Calibri" w:hAnsi="Calibri"/>
          <w:szCs w:val="22"/>
          <w:lang w:eastAsia="en-US"/>
        </w:rPr>
      </w:pPr>
      <w:r w:rsidRPr="00E43137">
        <w:rPr>
          <w:rFonts w:ascii="Calibri" w:eastAsia="Calibri" w:hAnsi="Calibri"/>
          <w:szCs w:val="22"/>
          <w:lang w:eastAsia="en-US"/>
        </w:rPr>
        <w:t xml:space="preserve">V potravinárstve bolo v r. 2012 </w:t>
      </w:r>
      <w:r>
        <w:rPr>
          <w:rFonts w:ascii="Calibri" w:eastAsia="Calibri" w:hAnsi="Calibri"/>
          <w:szCs w:val="22"/>
          <w:lang w:eastAsia="en-US"/>
        </w:rPr>
        <w:t xml:space="preserve">(ŠÚ SR – VZPS) zamestnaných 48,5 tisíc osôb, t. j. 2,1 % z celkového počtu zamestnaných osôb podľa ekonomických činností v SR (2329 tisíc osôb). </w:t>
      </w:r>
    </w:p>
    <w:p w:rsidR="00242C36" w:rsidRPr="00E43137" w:rsidRDefault="00242C36" w:rsidP="00242C36">
      <w:pPr>
        <w:rPr>
          <w:rFonts w:ascii="Calibri" w:eastAsia="Calibri" w:hAnsi="Calibri"/>
          <w:szCs w:val="22"/>
          <w:lang w:eastAsia="en-US"/>
        </w:rPr>
      </w:pPr>
    </w:p>
    <w:p w:rsidR="00242C36" w:rsidRPr="00E43137" w:rsidRDefault="00242C36" w:rsidP="00242C36">
      <w:pPr>
        <w:pBdr>
          <w:bar w:val="single" w:sz="6" w:color="808080"/>
        </w:pBdr>
        <w:spacing w:after="120"/>
        <w:rPr>
          <w:rFonts w:ascii="Calibri" w:eastAsia="Calibri" w:hAnsi="Calibri"/>
          <w:szCs w:val="22"/>
          <w:lang w:eastAsia="en-US"/>
        </w:rPr>
      </w:pPr>
      <w:r w:rsidRPr="00E43137">
        <w:rPr>
          <w:rFonts w:ascii="Calibri" w:eastAsia="Calibri" w:hAnsi="Calibri"/>
          <w:szCs w:val="22"/>
          <w:lang w:eastAsia="en-US"/>
        </w:rPr>
        <w:t>Produktivita práce v</w:t>
      </w:r>
      <w:r>
        <w:rPr>
          <w:rFonts w:ascii="Calibri" w:eastAsia="Calibri" w:hAnsi="Calibri"/>
          <w:szCs w:val="22"/>
          <w:lang w:eastAsia="en-US"/>
        </w:rPr>
        <w:t> </w:t>
      </w:r>
      <w:r w:rsidRPr="00E43137">
        <w:rPr>
          <w:rFonts w:ascii="Calibri" w:eastAsia="Calibri" w:hAnsi="Calibri"/>
          <w:szCs w:val="22"/>
          <w:lang w:eastAsia="en-US"/>
        </w:rPr>
        <w:t>potravinárstve</w:t>
      </w:r>
      <w:r>
        <w:rPr>
          <w:rFonts w:ascii="Calibri" w:eastAsia="Calibri" w:hAnsi="Calibri"/>
          <w:szCs w:val="22"/>
          <w:lang w:eastAsia="en-US"/>
        </w:rPr>
        <w:t xml:space="preserve"> </w:t>
      </w:r>
      <w:r w:rsidRPr="005A77E4">
        <w:rPr>
          <w:rFonts w:ascii="Calibri" w:eastAsia="Calibri" w:hAnsi="Calibri"/>
          <w:szCs w:val="22"/>
          <w:lang w:eastAsia="en-US"/>
        </w:rPr>
        <w:t>(</w:t>
      </w:r>
      <w:r w:rsidRPr="00E910CC">
        <w:rPr>
          <w:rFonts w:ascii="Calibri" w:eastAsia="Calibri" w:hAnsi="Calibri"/>
          <w:b/>
          <w:szCs w:val="22"/>
          <w:lang w:eastAsia="en-US"/>
        </w:rPr>
        <w:t>CCI 16</w:t>
      </w:r>
      <w:r w:rsidRPr="005A77E4">
        <w:rPr>
          <w:rFonts w:ascii="Calibri" w:eastAsia="Calibri" w:hAnsi="Calibri"/>
          <w:iCs/>
          <w:szCs w:val="22"/>
          <w:lang w:eastAsia="en-US"/>
        </w:rPr>
        <w:t>)</w:t>
      </w:r>
      <w:r w:rsidRPr="00E43137">
        <w:rPr>
          <w:rFonts w:ascii="Calibri" w:eastAsia="Calibri" w:hAnsi="Calibri"/>
          <w:szCs w:val="22"/>
          <w:lang w:eastAsia="en-US"/>
        </w:rPr>
        <w:t xml:space="preserve">, vyčíslená z hrubej pridanej hodnoty na pracovnú jednotku – AWU (ročnú pracovnú jednotku), dosiahla v priemere za roky 2010-2012  15 906,6 EUR/AWU. V porovnaní s priemerom štátov EÚ-27 (40 485 EUR/osoba) dosahuje </w:t>
      </w:r>
      <w:r>
        <w:rPr>
          <w:rFonts w:ascii="Calibri" w:eastAsia="Calibri" w:hAnsi="Calibri"/>
          <w:szCs w:val="22"/>
          <w:lang w:eastAsia="en-US"/>
        </w:rPr>
        <w:t xml:space="preserve">SR </w:t>
      </w:r>
      <w:r w:rsidRPr="00E43137">
        <w:rPr>
          <w:rFonts w:ascii="Calibri" w:eastAsia="Calibri" w:hAnsi="Calibri"/>
          <w:szCs w:val="22"/>
          <w:lang w:eastAsia="en-US"/>
        </w:rPr>
        <w:t>len 39 % ich úrovne. Z krajín V4 je úrovňou najnižšia pri porovnaní s Českom (15,9%), Poľskom (12,9%), Maďarskom (4,1 %), ale vyššia ako v Bulharsku (123,4 %), Rumunsku (75,1 %), Litve (34,7 %) a Lotyšsku (34,6 %).</w:t>
      </w:r>
    </w:p>
    <w:p w:rsidR="00242C36" w:rsidRPr="009B6C51" w:rsidRDefault="00242C36" w:rsidP="00242C36">
      <w:pPr>
        <w:pBdr>
          <w:bar w:val="single" w:sz="6" w:color="808080"/>
        </w:pBdr>
        <w:spacing w:after="120"/>
        <w:rPr>
          <w:rFonts w:ascii="Calibri" w:hAnsi="Calibri"/>
          <w:szCs w:val="22"/>
        </w:rPr>
      </w:pPr>
      <w:r w:rsidRPr="00505442">
        <w:rPr>
          <w:rFonts w:ascii="Calibri" w:hAnsi="Calibri"/>
          <w:szCs w:val="22"/>
        </w:rPr>
        <w:t xml:space="preserve">Nižšia  produktivita práce z  pridanej hodnoty v potravinárstve v porovnaní s vyspelými krajinami EÚ je spôsobená nedostatkom finančných prostriedkov na investovanie do najmodernejších  technologických zariadení a  postupov, resp. výskumu, vývoja a marketingu.  Táto situácia má dopad na nižšiu mieru efektívnosti výroby, ale najmä na nižšiu mieru inovácií, ktoré sú základným predpokladom konkurencieschopnosti našich potravinárskych výrobkov na domácich a zahraničných trhoch a následne životaschopnosti potravinárskych podnikov.  </w:t>
      </w:r>
    </w:p>
    <w:p w:rsidR="00242C36" w:rsidRPr="00E43137" w:rsidRDefault="00242C36" w:rsidP="00242C36">
      <w:pPr>
        <w:pBdr>
          <w:bar w:val="single" w:sz="6" w:color="808080"/>
        </w:pBdr>
        <w:spacing w:after="120"/>
        <w:rPr>
          <w:rFonts w:ascii="Calibri" w:eastAsia="Calibri" w:hAnsi="Calibri"/>
          <w:b/>
          <w:sz w:val="32"/>
          <w:szCs w:val="32"/>
          <w:lang w:eastAsia="en-US"/>
        </w:rPr>
      </w:pPr>
      <w:r w:rsidRPr="00E43137">
        <w:rPr>
          <w:rFonts w:ascii="Calibri" w:eastAsia="Calibri" w:hAnsi="Calibri"/>
          <w:szCs w:val="22"/>
          <w:lang w:eastAsia="en-US"/>
        </w:rPr>
        <w:t xml:space="preserve">V potravinárskej výrobe klesá podiel zamestnancov a stúpa podiel podnikateľov. Kým v roku 2007 predstavoval podiel zamestnancov 95,7 % z celkového počtu pracujúcich, v roku 2011 poklesol o 3,6 p. b. a zároveň sa zvýšil podiel </w:t>
      </w:r>
      <w:r w:rsidRPr="008652B1">
        <w:rPr>
          <w:rFonts w:ascii="Calibri" w:eastAsia="Calibri" w:hAnsi="Calibri"/>
          <w:szCs w:val="22"/>
          <w:lang w:eastAsia="en-US"/>
        </w:rPr>
        <w:t>podnikateľských subjektov</w:t>
      </w:r>
      <w:r>
        <w:rPr>
          <w:rFonts w:ascii="Calibri" w:eastAsia="Calibri" w:hAnsi="Calibri"/>
          <w:color w:val="FF0000"/>
          <w:szCs w:val="22"/>
          <w:lang w:eastAsia="en-US"/>
        </w:rPr>
        <w:t xml:space="preserve"> </w:t>
      </w:r>
      <w:r w:rsidRPr="00E43137">
        <w:rPr>
          <w:rFonts w:ascii="Calibri" w:eastAsia="Calibri" w:hAnsi="Calibri"/>
          <w:szCs w:val="22"/>
          <w:lang w:eastAsia="en-US"/>
        </w:rPr>
        <w:t>o 3,2 p. b na 7,5 %. Rozhodujúcimi odbormi</w:t>
      </w:r>
      <w:r w:rsidRPr="00E43137">
        <w:rPr>
          <w:rFonts w:ascii="Calibri" w:eastAsia="Calibri" w:hAnsi="Calibri"/>
          <w:szCs w:val="22"/>
          <w:lang w:eastAsia="en-US"/>
        </w:rPr>
        <w:lastRenderedPageBreak/>
        <w:t xml:space="preserve"> z hľadiska produkcie a zamestnanosti v potravinárstve sú mliekarenský, mäsový, mlynský a pekárenský odbor.</w:t>
      </w:r>
      <w:r w:rsidRPr="00E43137">
        <w:rPr>
          <w:rFonts w:ascii="Calibri" w:eastAsia="Calibri" w:hAnsi="Calibri"/>
          <w:b/>
          <w:sz w:val="32"/>
          <w:szCs w:val="32"/>
          <w:lang w:eastAsia="en-US"/>
        </w:rPr>
        <w:t xml:space="preserve">  </w:t>
      </w:r>
    </w:p>
    <w:p w:rsidR="00242C36" w:rsidRPr="00E43137" w:rsidRDefault="00242C36" w:rsidP="00242C36">
      <w:pPr>
        <w:pBdr>
          <w:bar w:val="single" w:sz="6" w:color="808080"/>
        </w:pBdr>
        <w:spacing w:after="120"/>
        <w:rPr>
          <w:rFonts w:ascii="Calibri" w:eastAsia="Calibri" w:hAnsi="Calibri"/>
          <w:szCs w:val="22"/>
          <w:lang w:eastAsia="en-US"/>
        </w:rPr>
      </w:pPr>
      <w:r w:rsidRPr="00E43137">
        <w:rPr>
          <w:rFonts w:ascii="Calibri" w:eastAsia="Calibri" w:hAnsi="Calibri"/>
          <w:szCs w:val="22"/>
          <w:lang w:eastAsia="en-US"/>
        </w:rPr>
        <w:t>Štruktúra zamestnancov z hľadiska vzdelania sa v rokoch 2007–12 zmenila tak, že sa znížil podiel pracovníkov vo vzdelanostných kategóriách so základným vzdelaním, podiely vyučených pracovníkov a stredoškolsky vzdelaných sa pohybovali približne na rovnakej úrovni a zvýšil sa podiel pracujúcich s vysokoškolským vzdelaním, ktorý v roku 2012 predstavoval 8,5 % z celkového počtu pracujúcich.</w:t>
      </w:r>
    </w:p>
    <w:p w:rsidR="00242C36" w:rsidRDefault="00242C36" w:rsidP="00242C36">
      <w:pPr>
        <w:keepNext/>
        <w:keepLines/>
        <w:pBdr>
          <w:bar w:val="single" w:sz="6" w:color="808080"/>
        </w:pBdr>
        <w:spacing w:after="120"/>
        <w:outlineLvl w:val="1"/>
        <w:rPr>
          <w:rFonts w:ascii="Calibri" w:hAnsi="Calibri"/>
          <w:b/>
          <w:bCs/>
          <w:szCs w:val="22"/>
        </w:rPr>
      </w:pPr>
      <w:r w:rsidRPr="00E433B6">
        <w:rPr>
          <w:rFonts w:ascii="Calibri" w:hAnsi="Calibri"/>
          <w:szCs w:val="22"/>
        </w:rPr>
        <w:t>Rovnako ako v poľnohospodárstve aj v potravinárskej výrobe dochádza ku zmenám vo vekovej štruktúre pracujúcich. V potravinárstve bola v roku 2012 najsilnejšou kategóriou skupina pracovníkov 40-44 ročných, (18,1 %), kým v roku 2011 skupina mladších pracovníkov 30-34 ročných.  Ženy sú v tejto kategórii zastúpené 44,3 %. Znížil sa počet 45 a viac ročných z 19,6 tis. osôb na 18,9. Ich podiel tvoril 39,0 % a medziročne poklesol o 0,5 p. b. Zvýšil sa však podiel žien v tejto kategórii z 51,3 % v roku 2011 na 52,3 % v roku 2012.  Priemerný vek pracovníkov v potravinárstve bol v roku 2012 nižší ako v poľnohospodárstve o 4,7 roka. Medziročne sa však zvýšil viac ako v poľnohospodárstve  a dosiahol 41,3 rokov, z toho ženy 42,2 rokov a priemerný vek u mužov bol 40,5 rokov. V obidvoch sektoroch dochádza ku zvyšovaniu veku žien, čo  súvisí aj s charakterom výroby umožňujúcej väčšiu možnosť zamestnania žien i vo vyššom veku.</w:t>
      </w:r>
    </w:p>
    <w:p w:rsidR="00242C36" w:rsidRPr="00F825B0" w:rsidRDefault="00242C36" w:rsidP="00242C36">
      <w:pPr>
        <w:rPr>
          <w:rFonts w:ascii="Calibri" w:hAnsi="Calibri"/>
          <w:b/>
          <w:szCs w:val="22"/>
        </w:rPr>
      </w:pPr>
      <w:r w:rsidRPr="00F825B0">
        <w:rPr>
          <w:rFonts w:ascii="Calibri" w:hAnsi="Calibri"/>
          <w:b/>
          <w:szCs w:val="22"/>
        </w:rPr>
        <w:t>Vzdelanostná úroveň v potravinárstve</w:t>
      </w:r>
    </w:p>
    <w:p w:rsidR="00242C36" w:rsidRPr="00F825B0" w:rsidRDefault="00242C36" w:rsidP="00242C36">
      <w:pPr>
        <w:rPr>
          <w:rFonts w:ascii="Calibri" w:hAnsi="Calibri"/>
          <w:szCs w:val="22"/>
        </w:rPr>
      </w:pPr>
      <w:r w:rsidRPr="00F825B0">
        <w:rPr>
          <w:rFonts w:ascii="Calibri" w:hAnsi="Calibri"/>
          <w:szCs w:val="22"/>
        </w:rPr>
        <w:t xml:space="preserve">Štruktúra zamestnancov z hľadiska vzdelania sa (podľa VZPS) medziročne zmenila tak, že sa zvýšil podiel pracovníkov s učňovským vzdelaním o 1,8 p. b. a podiel pracovníkov so stredným vzdelaním o 0,6 p. b. Tak ako v poľnohospodárstve i v tomto sektore sa najvýraznejšie znížil počet vysokoškolsky vzdelaných pracujúcich a podiel na celkovom počte pracujúcich poklesol o 1,8 p. b. Rovnako zníženie počtu pracovníkov so základným vzdelaním sa prejavilo na znížení podielu na celkovom počte medziročne o 0,7 p. b. </w:t>
      </w:r>
    </w:p>
    <w:p w:rsidR="00242C36" w:rsidRPr="00F825B0" w:rsidRDefault="00242C36" w:rsidP="00242C36">
      <w:pPr>
        <w:rPr>
          <w:rFonts w:ascii="Calibri" w:hAnsi="Calibri"/>
        </w:rPr>
      </w:pPr>
      <w:r w:rsidRPr="00F825B0">
        <w:rPr>
          <w:rFonts w:ascii="Calibri" w:hAnsi="Calibri"/>
        </w:rPr>
        <w:t xml:space="preserve"> </w:t>
      </w:r>
    </w:p>
    <w:p w:rsidR="00242C36" w:rsidRPr="00F825B0" w:rsidRDefault="00E32F57" w:rsidP="00242C36">
      <w:pPr>
        <w:keepNext/>
        <w:rPr>
          <w:rFonts w:ascii="Calibri" w:hAnsi="Calibri"/>
          <w:b/>
          <w:szCs w:val="22"/>
          <w:lang w:eastAsia="ar-SA"/>
        </w:rPr>
      </w:pPr>
      <w:r>
        <w:rPr>
          <w:rFonts w:ascii="Calibri" w:hAnsi="Calibri"/>
          <w:b/>
          <w:szCs w:val="22"/>
          <w:lang w:eastAsia="ar-SA"/>
        </w:rPr>
        <w:t xml:space="preserve">Tabuľka 29: </w:t>
      </w:r>
      <w:r w:rsidR="00242C36" w:rsidRPr="00F825B0">
        <w:rPr>
          <w:rFonts w:ascii="Calibri" w:hAnsi="Calibri"/>
          <w:b/>
          <w:szCs w:val="22"/>
          <w:lang w:eastAsia="ar-SA"/>
        </w:rPr>
        <w:t>Vývoj vzdelanostnej štruktúry v potravinárskej výrobe (v %)</w:t>
      </w:r>
    </w:p>
    <w:tbl>
      <w:tblPr>
        <w:tblW w:w="9072" w:type="dxa"/>
        <w:tblInd w:w="70"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70" w:type="dxa"/>
          <w:right w:w="70" w:type="dxa"/>
        </w:tblCellMar>
        <w:tblLook w:val="00A0" w:firstRow="1" w:lastRow="0" w:firstColumn="1" w:lastColumn="0" w:noHBand="0" w:noVBand="0"/>
      </w:tblPr>
      <w:tblGrid>
        <w:gridCol w:w="2647"/>
        <w:gridCol w:w="1285"/>
        <w:gridCol w:w="1285"/>
        <w:gridCol w:w="1285"/>
        <w:gridCol w:w="1285"/>
        <w:gridCol w:w="1285"/>
      </w:tblGrid>
      <w:tr w:rsidR="00242C36" w:rsidRPr="00F825B0" w:rsidTr="00242C36">
        <w:trPr>
          <w:trHeight w:val="148"/>
        </w:trPr>
        <w:tc>
          <w:tcPr>
            <w:tcW w:w="2647" w:type="dxa"/>
            <w:tcBorders>
              <w:top w:val="single" w:sz="8" w:space="0" w:color="auto"/>
              <w:left w:val="single" w:sz="8" w:space="0" w:color="auto"/>
              <w:bottom w:val="single" w:sz="8" w:space="0" w:color="auto"/>
              <w:right w:val="single" w:sz="8" w:space="0" w:color="auto"/>
            </w:tcBorders>
            <w:vAlign w:val="center"/>
          </w:tcPr>
          <w:p w:rsidR="00242C36" w:rsidRPr="00F825B0" w:rsidRDefault="00242C36" w:rsidP="00242C36">
            <w:pPr>
              <w:jc w:val="center"/>
              <w:rPr>
                <w:rFonts w:ascii="Calibri" w:hAnsi="Calibri"/>
                <w:b/>
                <w:bCs/>
                <w:color w:val="000000"/>
                <w:sz w:val="20"/>
                <w:szCs w:val="20"/>
              </w:rPr>
            </w:pPr>
          </w:p>
        </w:tc>
        <w:tc>
          <w:tcPr>
            <w:tcW w:w="1285" w:type="dxa"/>
            <w:tcBorders>
              <w:top w:val="single" w:sz="8" w:space="0" w:color="auto"/>
              <w:left w:val="single" w:sz="8" w:space="0" w:color="auto"/>
              <w:bottom w:val="single" w:sz="8" w:space="0" w:color="auto"/>
              <w:right w:val="single" w:sz="8" w:space="0" w:color="auto"/>
            </w:tcBorders>
            <w:vAlign w:val="center"/>
          </w:tcPr>
          <w:p w:rsidR="00242C36" w:rsidRPr="00F825B0" w:rsidRDefault="00242C36" w:rsidP="00242C36">
            <w:pPr>
              <w:jc w:val="center"/>
              <w:rPr>
                <w:rFonts w:ascii="Calibri" w:hAnsi="Calibri"/>
                <w:b/>
                <w:bCs/>
                <w:color w:val="000000"/>
                <w:sz w:val="20"/>
                <w:szCs w:val="20"/>
              </w:rPr>
            </w:pPr>
            <w:r w:rsidRPr="00F825B0">
              <w:rPr>
                <w:rFonts w:ascii="Calibri" w:hAnsi="Calibri"/>
                <w:b/>
                <w:bCs/>
                <w:color w:val="000000"/>
                <w:sz w:val="20"/>
                <w:szCs w:val="20"/>
              </w:rPr>
              <w:t>2008</w:t>
            </w:r>
          </w:p>
        </w:tc>
        <w:tc>
          <w:tcPr>
            <w:tcW w:w="1285" w:type="dxa"/>
            <w:tcBorders>
              <w:top w:val="single" w:sz="8" w:space="0" w:color="auto"/>
              <w:left w:val="single" w:sz="8" w:space="0" w:color="auto"/>
              <w:bottom w:val="single" w:sz="8" w:space="0" w:color="auto"/>
              <w:right w:val="single" w:sz="8" w:space="0" w:color="auto"/>
            </w:tcBorders>
            <w:vAlign w:val="center"/>
          </w:tcPr>
          <w:p w:rsidR="00242C36" w:rsidRPr="00F825B0" w:rsidRDefault="00242C36" w:rsidP="00242C36">
            <w:pPr>
              <w:jc w:val="center"/>
              <w:rPr>
                <w:rFonts w:ascii="Calibri" w:hAnsi="Calibri"/>
                <w:b/>
                <w:bCs/>
                <w:color w:val="000000"/>
                <w:sz w:val="20"/>
                <w:szCs w:val="20"/>
              </w:rPr>
            </w:pPr>
            <w:r w:rsidRPr="00F825B0">
              <w:rPr>
                <w:rFonts w:ascii="Calibri" w:hAnsi="Calibri"/>
                <w:b/>
                <w:bCs/>
                <w:color w:val="000000"/>
                <w:sz w:val="20"/>
                <w:szCs w:val="20"/>
              </w:rPr>
              <w:t>2009</w:t>
            </w:r>
          </w:p>
        </w:tc>
        <w:tc>
          <w:tcPr>
            <w:tcW w:w="1285" w:type="dxa"/>
            <w:tcBorders>
              <w:top w:val="single" w:sz="8" w:space="0" w:color="auto"/>
              <w:left w:val="single" w:sz="8" w:space="0" w:color="auto"/>
              <w:bottom w:val="single" w:sz="8" w:space="0" w:color="auto"/>
              <w:right w:val="single" w:sz="8" w:space="0" w:color="auto"/>
            </w:tcBorders>
            <w:vAlign w:val="center"/>
          </w:tcPr>
          <w:p w:rsidR="00242C36" w:rsidRPr="00F825B0" w:rsidRDefault="00242C36" w:rsidP="00242C36">
            <w:pPr>
              <w:jc w:val="center"/>
              <w:rPr>
                <w:rFonts w:ascii="Calibri" w:hAnsi="Calibri"/>
                <w:b/>
                <w:bCs/>
                <w:color w:val="000000"/>
                <w:sz w:val="20"/>
                <w:szCs w:val="20"/>
              </w:rPr>
            </w:pPr>
            <w:r w:rsidRPr="00F825B0">
              <w:rPr>
                <w:rFonts w:ascii="Calibri" w:hAnsi="Calibri"/>
                <w:b/>
                <w:bCs/>
                <w:color w:val="000000"/>
                <w:sz w:val="20"/>
                <w:szCs w:val="20"/>
              </w:rPr>
              <w:t>2010</w:t>
            </w:r>
          </w:p>
        </w:tc>
        <w:tc>
          <w:tcPr>
            <w:tcW w:w="1285" w:type="dxa"/>
            <w:tcBorders>
              <w:top w:val="single" w:sz="8" w:space="0" w:color="auto"/>
              <w:left w:val="single" w:sz="8" w:space="0" w:color="auto"/>
              <w:bottom w:val="single" w:sz="8" w:space="0" w:color="auto"/>
              <w:right w:val="single" w:sz="8" w:space="0" w:color="auto"/>
            </w:tcBorders>
            <w:vAlign w:val="center"/>
          </w:tcPr>
          <w:p w:rsidR="00242C36" w:rsidRPr="00F825B0" w:rsidRDefault="00242C36" w:rsidP="00242C36">
            <w:pPr>
              <w:jc w:val="center"/>
              <w:rPr>
                <w:rFonts w:ascii="Calibri" w:hAnsi="Calibri"/>
                <w:b/>
                <w:bCs/>
                <w:color w:val="000000"/>
                <w:sz w:val="20"/>
                <w:szCs w:val="20"/>
              </w:rPr>
            </w:pPr>
            <w:r w:rsidRPr="00F825B0">
              <w:rPr>
                <w:rFonts w:ascii="Calibri" w:hAnsi="Calibri"/>
                <w:b/>
                <w:bCs/>
                <w:color w:val="000000"/>
                <w:sz w:val="20"/>
                <w:szCs w:val="20"/>
              </w:rPr>
              <w:t>2011</w:t>
            </w:r>
          </w:p>
        </w:tc>
        <w:tc>
          <w:tcPr>
            <w:tcW w:w="1285" w:type="dxa"/>
            <w:tcBorders>
              <w:top w:val="single" w:sz="8" w:space="0" w:color="auto"/>
              <w:left w:val="single" w:sz="8" w:space="0" w:color="auto"/>
              <w:bottom w:val="single" w:sz="8" w:space="0" w:color="auto"/>
              <w:right w:val="single" w:sz="8" w:space="0" w:color="auto"/>
            </w:tcBorders>
            <w:vAlign w:val="center"/>
          </w:tcPr>
          <w:p w:rsidR="00242C36" w:rsidRPr="00F825B0" w:rsidRDefault="00242C36" w:rsidP="00242C36">
            <w:pPr>
              <w:jc w:val="center"/>
              <w:rPr>
                <w:rFonts w:ascii="Calibri" w:hAnsi="Calibri"/>
                <w:b/>
                <w:bCs/>
                <w:color w:val="000000"/>
                <w:sz w:val="20"/>
                <w:szCs w:val="20"/>
              </w:rPr>
            </w:pPr>
            <w:r w:rsidRPr="00F825B0">
              <w:rPr>
                <w:rFonts w:ascii="Calibri" w:hAnsi="Calibri"/>
                <w:b/>
                <w:bCs/>
                <w:color w:val="000000"/>
                <w:sz w:val="20"/>
                <w:szCs w:val="20"/>
              </w:rPr>
              <w:t>2012</w:t>
            </w:r>
          </w:p>
        </w:tc>
      </w:tr>
      <w:tr w:rsidR="00242C36" w:rsidRPr="00F825B0" w:rsidTr="00242C36">
        <w:trPr>
          <w:trHeight w:val="227"/>
        </w:trPr>
        <w:tc>
          <w:tcPr>
            <w:tcW w:w="2647" w:type="dxa"/>
            <w:tcBorders>
              <w:top w:val="single" w:sz="8" w:space="0" w:color="auto"/>
              <w:left w:val="single" w:sz="8" w:space="0" w:color="auto"/>
              <w:bottom w:val="single" w:sz="8" w:space="0" w:color="auto"/>
              <w:right w:val="single" w:sz="8" w:space="0" w:color="auto"/>
            </w:tcBorders>
            <w:vAlign w:val="bottom"/>
          </w:tcPr>
          <w:p w:rsidR="00242C36" w:rsidRPr="00F825B0" w:rsidRDefault="00242C36" w:rsidP="00242C36">
            <w:pPr>
              <w:rPr>
                <w:rFonts w:ascii="Calibri" w:hAnsi="Calibri"/>
                <w:color w:val="000000"/>
                <w:sz w:val="20"/>
                <w:szCs w:val="20"/>
              </w:rPr>
            </w:pPr>
            <w:r w:rsidRPr="00F825B0">
              <w:rPr>
                <w:rFonts w:ascii="Calibri" w:hAnsi="Calibri"/>
                <w:color w:val="000000"/>
                <w:sz w:val="20"/>
                <w:szCs w:val="20"/>
              </w:rPr>
              <w:t>Základné vzdelanie</w:t>
            </w:r>
          </w:p>
        </w:tc>
        <w:tc>
          <w:tcPr>
            <w:tcW w:w="1285" w:type="dxa"/>
            <w:tcBorders>
              <w:top w:val="single" w:sz="8" w:space="0" w:color="auto"/>
              <w:left w:val="single" w:sz="8" w:space="0" w:color="auto"/>
              <w:bottom w:val="single" w:sz="8" w:space="0" w:color="auto"/>
              <w:right w:val="single" w:sz="8" w:space="0" w:color="auto"/>
            </w:tcBorders>
            <w:vAlign w:val="bottom"/>
          </w:tcPr>
          <w:p w:rsidR="00242C36" w:rsidRPr="00F825B0" w:rsidRDefault="00242C36" w:rsidP="00242C36">
            <w:pPr>
              <w:ind w:right="113"/>
              <w:jc w:val="right"/>
              <w:rPr>
                <w:rFonts w:ascii="Calibri" w:hAnsi="Calibri"/>
                <w:color w:val="000000"/>
                <w:sz w:val="20"/>
                <w:szCs w:val="20"/>
              </w:rPr>
            </w:pPr>
            <w:r w:rsidRPr="00F825B0">
              <w:rPr>
                <w:rFonts w:ascii="Calibri" w:hAnsi="Calibri"/>
                <w:color w:val="000000"/>
                <w:sz w:val="20"/>
                <w:szCs w:val="20"/>
              </w:rPr>
              <w:t>6,40%</w:t>
            </w:r>
          </w:p>
        </w:tc>
        <w:tc>
          <w:tcPr>
            <w:tcW w:w="1285" w:type="dxa"/>
            <w:tcBorders>
              <w:top w:val="single" w:sz="8" w:space="0" w:color="auto"/>
              <w:left w:val="single" w:sz="8" w:space="0" w:color="auto"/>
              <w:bottom w:val="single" w:sz="8" w:space="0" w:color="auto"/>
              <w:right w:val="single" w:sz="8" w:space="0" w:color="auto"/>
            </w:tcBorders>
            <w:vAlign w:val="bottom"/>
          </w:tcPr>
          <w:p w:rsidR="00242C36" w:rsidRPr="00F825B0" w:rsidRDefault="00242C36" w:rsidP="00242C36">
            <w:pPr>
              <w:ind w:right="113"/>
              <w:jc w:val="right"/>
              <w:rPr>
                <w:rFonts w:ascii="Calibri" w:hAnsi="Calibri"/>
                <w:color w:val="000000"/>
                <w:sz w:val="20"/>
                <w:szCs w:val="20"/>
              </w:rPr>
            </w:pPr>
            <w:r w:rsidRPr="00F825B0">
              <w:rPr>
                <w:rFonts w:ascii="Calibri" w:hAnsi="Calibri"/>
                <w:color w:val="000000"/>
                <w:sz w:val="20"/>
                <w:szCs w:val="20"/>
              </w:rPr>
              <w:t>4,50%</w:t>
            </w:r>
          </w:p>
        </w:tc>
        <w:tc>
          <w:tcPr>
            <w:tcW w:w="1285" w:type="dxa"/>
            <w:tcBorders>
              <w:top w:val="single" w:sz="8" w:space="0" w:color="auto"/>
              <w:left w:val="single" w:sz="8" w:space="0" w:color="auto"/>
              <w:bottom w:val="single" w:sz="8" w:space="0" w:color="auto"/>
              <w:right w:val="single" w:sz="8" w:space="0" w:color="auto"/>
            </w:tcBorders>
            <w:vAlign w:val="bottom"/>
          </w:tcPr>
          <w:p w:rsidR="00242C36" w:rsidRPr="00F825B0" w:rsidRDefault="00242C36" w:rsidP="00242C36">
            <w:pPr>
              <w:ind w:right="113"/>
              <w:jc w:val="right"/>
              <w:rPr>
                <w:rFonts w:ascii="Calibri" w:hAnsi="Calibri"/>
                <w:color w:val="000000"/>
                <w:sz w:val="20"/>
                <w:szCs w:val="20"/>
              </w:rPr>
            </w:pPr>
            <w:r w:rsidRPr="00F825B0">
              <w:rPr>
                <w:rFonts w:ascii="Calibri" w:hAnsi="Calibri"/>
                <w:color w:val="000000"/>
                <w:sz w:val="20"/>
                <w:szCs w:val="20"/>
              </w:rPr>
              <w:t>5,00%</w:t>
            </w:r>
          </w:p>
        </w:tc>
        <w:tc>
          <w:tcPr>
            <w:tcW w:w="1285" w:type="dxa"/>
            <w:tcBorders>
              <w:top w:val="single" w:sz="8" w:space="0" w:color="auto"/>
              <w:left w:val="single" w:sz="8" w:space="0" w:color="auto"/>
              <w:bottom w:val="single" w:sz="8" w:space="0" w:color="auto"/>
              <w:right w:val="single" w:sz="8" w:space="0" w:color="auto"/>
            </w:tcBorders>
            <w:vAlign w:val="bottom"/>
          </w:tcPr>
          <w:p w:rsidR="00242C36" w:rsidRPr="00F825B0" w:rsidRDefault="00242C36" w:rsidP="00242C36">
            <w:pPr>
              <w:ind w:right="113"/>
              <w:jc w:val="right"/>
              <w:rPr>
                <w:rFonts w:ascii="Calibri" w:hAnsi="Calibri"/>
                <w:color w:val="000000"/>
                <w:sz w:val="20"/>
                <w:szCs w:val="20"/>
              </w:rPr>
            </w:pPr>
            <w:r w:rsidRPr="00F825B0">
              <w:rPr>
                <w:rFonts w:ascii="Calibri" w:hAnsi="Calibri"/>
                <w:color w:val="000000"/>
                <w:sz w:val="20"/>
                <w:szCs w:val="20"/>
              </w:rPr>
              <w:t>5,90%</w:t>
            </w:r>
          </w:p>
        </w:tc>
        <w:tc>
          <w:tcPr>
            <w:tcW w:w="1285" w:type="dxa"/>
            <w:tcBorders>
              <w:top w:val="single" w:sz="8" w:space="0" w:color="auto"/>
              <w:left w:val="single" w:sz="8" w:space="0" w:color="auto"/>
              <w:bottom w:val="single" w:sz="8" w:space="0" w:color="auto"/>
              <w:right w:val="single" w:sz="8" w:space="0" w:color="auto"/>
            </w:tcBorders>
            <w:vAlign w:val="bottom"/>
          </w:tcPr>
          <w:p w:rsidR="00242C36" w:rsidRPr="00F825B0" w:rsidRDefault="00242C36" w:rsidP="00242C36">
            <w:pPr>
              <w:ind w:right="113"/>
              <w:jc w:val="right"/>
              <w:rPr>
                <w:rFonts w:ascii="Calibri" w:hAnsi="Calibri"/>
                <w:color w:val="000000"/>
                <w:sz w:val="20"/>
                <w:szCs w:val="20"/>
              </w:rPr>
            </w:pPr>
            <w:r w:rsidRPr="00F825B0">
              <w:rPr>
                <w:rFonts w:ascii="Calibri" w:hAnsi="Calibri"/>
                <w:color w:val="000000"/>
                <w:sz w:val="20"/>
                <w:szCs w:val="20"/>
              </w:rPr>
              <w:t>5,20%</w:t>
            </w:r>
          </w:p>
        </w:tc>
      </w:tr>
      <w:tr w:rsidR="00242C36" w:rsidRPr="00F825B0" w:rsidTr="00242C36">
        <w:trPr>
          <w:trHeight w:val="227"/>
        </w:trPr>
        <w:tc>
          <w:tcPr>
            <w:tcW w:w="2647" w:type="dxa"/>
            <w:tcBorders>
              <w:top w:val="single" w:sz="8" w:space="0" w:color="auto"/>
              <w:left w:val="single" w:sz="8" w:space="0" w:color="auto"/>
              <w:bottom w:val="single" w:sz="8" w:space="0" w:color="auto"/>
              <w:right w:val="single" w:sz="8" w:space="0" w:color="auto"/>
            </w:tcBorders>
            <w:vAlign w:val="bottom"/>
          </w:tcPr>
          <w:p w:rsidR="00242C36" w:rsidRPr="00F825B0" w:rsidRDefault="00242C36" w:rsidP="00242C36">
            <w:pPr>
              <w:rPr>
                <w:rFonts w:ascii="Calibri" w:hAnsi="Calibri"/>
                <w:color w:val="000000"/>
                <w:sz w:val="20"/>
                <w:szCs w:val="20"/>
              </w:rPr>
            </w:pPr>
            <w:r w:rsidRPr="00F825B0">
              <w:rPr>
                <w:rFonts w:ascii="Calibri" w:hAnsi="Calibri"/>
                <w:color w:val="000000"/>
                <w:sz w:val="20"/>
                <w:szCs w:val="20"/>
              </w:rPr>
              <w:t>Učňovské vzdelanie</w:t>
            </w:r>
          </w:p>
        </w:tc>
        <w:tc>
          <w:tcPr>
            <w:tcW w:w="1285" w:type="dxa"/>
            <w:tcBorders>
              <w:top w:val="single" w:sz="8" w:space="0" w:color="auto"/>
              <w:left w:val="single" w:sz="8" w:space="0" w:color="auto"/>
              <w:bottom w:val="single" w:sz="8" w:space="0" w:color="auto"/>
              <w:right w:val="single" w:sz="8" w:space="0" w:color="auto"/>
            </w:tcBorders>
            <w:vAlign w:val="bottom"/>
          </w:tcPr>
          <w:p w:rsidR="00242C36" w:rsidRPr="00F825B0" w:rsidRDefault="00242C36" w:rsidP="00242C36">
            <w:pPr>
              <w:ind w:right="113"/>
              <w:jc w:val="right"/>
              <w:rPr>
                <w:rFonts w:ascii="Calibri" w:hAnsi="Calibri"/>
                <w:color w:val="000000"/>
                <w:sz w:val="20"/>
                <w:szCs w:val="20"/>
              </w:rPr>
            </w:pPr>
            <w:r w:rsidRPr="00F825B0">
              <w:rPr>
                <w:rFonts w:ascii="Calibri" w:hAnsi="Calibri"/>
                <w:color w:val="000000"/>
                <w:sz w:val="20"/>
                <w:szCs w:val="20"/>
              </w:rPr>
              <w:t>46,50%</w:t>
            </w:r>
          </w:p>
        </w:tc>
        <w:tc>
          <w:tcPr>
            <w:tcW w:w="1285" w:type="dxa"/>
            <w:tcBorders>
              <w:top w:val="single" w:sz="8" w:space="0" w:color="auto"/>
              <w:left w:val="single" w:sz="8" w:space="0" w:color="auto"/>
              <w:bottom w:val="single" w:sz="8" w:space="0" w:color="auto"/>
              <w:right w:val="single" w:sz="8" w:space="0" w:color="auto"/>
            </w:tcBorders>
            <w:vAlign w:val="bottom"/>
          </w:tcPr>
          <w:p w:rsidR="00242C36" w:rsidRPr="00F825B0" w:rsidRDefault="00242C36" w:rsidP="00242C36">
            <w:pPr>
              <w:ind w:right="113"/>
              <w:jc w:val="right"/>
              <w:rPr>
                <w:rFonts w:ascii="Calibri" w:hAnsi="Calibri"/>
                <w:color w:val="000000"/>
                <w:sz w:val="20"/>
                <w:szCs w:val="20"/>
              </w:rPr>
            </w:pPr>
            <w:r w:rsidRPr="00F825B0">
              <w:rPr>
                <w:rFonts w:ascii="Calibri" w:hAnsi="Calibri"/>
                <w:color w:val="000000"/>
                <w:sz w:val="20"/>
                <w:szCs w:val="20"/>
              </w:rPr>
              <w:t>47,50%</w:t>
            </w:r>
          </w:p>
        </w:tc>
        <w:tc>
          <w:tcPr>
            <w:tcW w:w="1285" w:type="dxa"/>
            <w:tcBorders>
              <w:top w:val="single" w:sz="8" w:space="0" w:color="auto"/>
              <w:left w:val="single" w:sz="8" w:space="0" w:color="auto"/>
              <w:bottom w:val="single" w:sz="8" w:space="0" w:color="auto"/>
              <w:right w:val="single" w:sz="8" w:space="0" w:color="auto"/>
            </w:tcBorders>
            <w:vAlign w:val="bottom"/>
          </w:tcPr>
          <w:p w:rsidR="00242C36" w:rsidRPr="00F825B0" w:rsidRDefault="00242C36" w:rsidP="00242C36">
            <w:pPr>
              <w:ind w:right="113"/>
              <w:jc w:val="right"/>
              <w:rPr>
                <w:rFonts w:ascii="Calibri" w:hAnsi="Calibri"/>
                <w:color w:val="000000"/>
                <w:sz w:val="20"/>
                <w:szCs w:val="20"/>
              </w:rPr>
            </w:pPr>
            <w:r w:rsidRPr="00F825B0">
              <w:rPr>
                <w:rFonts w:ascii="Calibri" w:hAnsi="Calibri"/>
                <w:color w:val="000000"/>
                <w:sz w:val="20"/>
                <w:szCs w:val="20"/>
              </w:rPr>
              <w:t>47,00%</w:t>
            </w:r>
          </w:p>
        </w:tc>
        <w:tc>
          <w:tcPr>
            <w:tcW w:w="1285" w:type="dxa"/>
            <w:tcBorders>
              <w:top w:val="single" w:sz="8" w:space="0" w:color="auto"/>
              <w:left w:val="single" w:sz="8" w:space="0" w:color="auto"/>
              <w:bottom w:val="single" w:sz="8" w:space="0" w:color="auto"/>
              <w:right w:val="single" w:sz="8" w:space="0" w:color="auto"/>
            </w:tcBorders>
            <w:vAlign w:val="bottom"/>
          </w:tcPr>
          <w:p w:rsidR="00242C36" w:rsidRPr="00F825B0" w:rsidRDefault="00242C36" w:rsidP="00242C36">
            <w:pPr>
              <w:ind w:right="113"/>
              <w:jc w:val="right"/>
              <w:rPr>
                <w:rFonts w:ascii="Calibri" w:hAnsi="Calibri"/>
                <w:color w:val="000000"/>
                <w:sz w:val="20"/>
                <w:szCs w:val="20"/>
              </w:rPr>
            </w:pPr>
            <w:r w:rsidRPr="00F825B0">
              <w:rPr>
                <w:rFonts w:ascii="Calibri" w:hAnsi="Calibri"/>
                <w:color w:val="000000"/>
                <w:sz w:val="20"/>
                <w:szCs w:val="20"/>
              </w:rPr>
              <w:t>40,70%</w:t>
            </w:r>
          </w:p>
        </w:tc>
        <w:tc>
          <w:tcPr>
            <w:tcW w:w="1285" w:type="dxa"/>
            <w:tcBorders>
              <w:top w:val="single" w:sz="8" w:space="0" w:color="auto"/>
              <w:left w:val="single" w:sz="8" w:space="0" w:color="auto"/>
              <w:bottom w:val="single" w:sz="8" w:space="0" w:color="auto"/>
              <w:right w:val="single" w:sz="8" w:space="0" w:color="auto"/>
            </w:tcBorders>
            <w:vAlign w:val="bottom"/>
          </w:tcPr>
          <w:p w:rsidR="00242C36" w:rsidRPr="00F825B0" w:rsidRDefault="00242C36" w:rsidP="00242C36">
            <w:pPr>
              <w:ind w:right="113"/>
              <w:jc w:val="right"/>
              <w:rPr>
                <w:rFonts w:ascii="Calibri" w:hAnsi="Calibri"/>
                <w:color w:val="000000"/>
                <w:sz w:val="20"/>
                <w:szCs w:val="20"/>
              </w:rPr>
            </w:pPr>
            <w:r w:rsidRPr="00F825B0">
              <w:rPr>
                <w:rFonts w:ascii="Calibri" w:hAnsi="Calibri"/>
                <w:color w:val="000000"/>
                <w:sz w:val="20"/>
                <w:szCs w:val="20"/>
              </w:rPr>
              <w:t>42,50%</w:t>
            </w:r>
          </w:p>
        </w:tc>
      </w:tr>
      <w:tr w:rsidR="00242C36" w:rsidRPr="00F825B0" w:rsidTr="00242C36">
        <w:trPr>
          <w:trHeight w:val="227"/>
        </w:trPr>
        <w:tc>
          <w:tcPr>
            <w:tcW w:w="2647" w:type="dxa"/>
            <w:tcBorders>
              <w:top w:val="single" w:sz="8" w:space="0" w:color="auto"/>
              <w:left w:val="single" w:sz="8" w:space="0" w:color="auto"/>
              <w:bottom w:val="single" w:sz="8" w:space="0" w:color="auto"/>
              <w:right w:val="single" w:sz="8" w:space="0" w:color="auto"/>
            </w:tcBorders>
            <w:vAlign w:val="bottom"/>
          </w:tcPr>
          <w:p w:rsidR="00242C36" w:rsidRPr="00F825B0" w:rsidRDefault="00242C36" w:rsidP="00242C36">
            <w:pPr>
              <w:rPr>
                <w:rFonts w:ascii="Calibri" w:hAnsi="Calibri"/>
                <w:color w:val="000000"/>
                <w:sz w:val="20"/>
                <w:szCs w:val="20"/>
              </w:rPr>
            </w:pPr>
            <w:r w:rsidRPr="00F825B0">
              <w:rPr>
                <w:rFonts w:ascii="Calibri" w:hAnsi="Calibri"/>
                <w:color w:val="000000"/>
                <w:sz w:val="20"/>
                <w:szCs w:val="20"/>
              </w:rPr>
              <w:t>Stredné vzdelanie</w:t>
            </w:r>
          </w:p>
        </w:tc>
        <w:tc>
          <w:tcPr>
            <w:tcW w:w="1285" w:type="dxa"/>
            <w:tcBorders>
              <w:top w:val="single" w:sz="8" w:space="0" w:color="auto"/>
              <w:left w:val="single" w:sz="8" w:space="0" w:color="auto"/>
              <w:bottom w:val="single" w:sz="8" w:space="0" w:color="auto"/>
              <w:right w:val="single" w:sz="8" w:space="0" w:color="auto"/>
            </w:tcBorders>
            <w:vAlign w:val="bottom"/>
          </w:tcPr>
          <w:p w:rsidR="00242C36" w:rsidRPr="00F825B0" w:rsidRDefault="00242C36" w:rsidP="00242C36">
            <w:pPr>
              <w:ind w:right="113"/>
              <w:jc w:val="right"/>
              <w:rPr>
                <w:rFonts w:ascii="Calibri" w:hAnsi="Calibri"/>
                <w:color w:val="000000"/>
                <w:sz w:val="20"/>
                <w:szCs w:val="20"/>
              </w:rPr>
            </w:pPr>
            <w:r w:rsidRPr="00F825B0">
              <w:rPr>
                <w:rFonts w:ascii="Calibri" w:hAnsi="Calibri"/>
                <w:color w:val="000000"/>
                <w:sz w:val="20"/>
                <w:szCs w:val="20"/>
              </w:rPr>
              <w:t>41,70%</w:t>
            </w:r>
          </w:p>
        </w:tc>
        <w:tc>
          <w:tcPr>
            <w:tcW w:w="1285" w:type="dxa"/>
            <w:tcBorders>
              <w:top w:val="single" w:sz="8" w:space="0" w:color="auto"/>
              <w:left w:val="single" w:sz="8" w:space="0" w:color="auto"/>
              <w:bottom w:val="single" w:sz="8" w:space="0" w:color="auto"/>
              <w:right w:val="single" w:sz="8" w:space="0" w:color="auto"/>
            </w:tcBorders>
            <w:vAlign w:val="bottom"/>
          </w:tcPr>
          <w:p w:rsidR="00242C36" w:rsidRPr="00F825B0" w:rsidRDefault="00242C36" w:rsidP="00242C36">
            <w:pPr>
              <w:ind w:right="113"/>
              <w:jc w:val="right"/>
              <w:rPr>
                <w:rFonts w:ascii="Calibri" w:hAnsi="Calibri"/>
                <w:color w:val="000000"/>
                <w:sz w:val="20"/>
                <w:szCs w:val="20"/>
              </w:rPr>
            </w:pPr>
            <w:r w:rsidRPr="00F825B0">
              <w:rPr>
                <w:rFonts w:ascii="Calibri" w:hAnsi="Calibri"/>
                <w:color w:val="000000"/>
                <w:sz w:val="20"/>
                <w:szCs w:val="20"/>
              </w:rPr>
              <w:t>42,00%</w:t>
            </w:r>
          </w:p>
        </w:tc>
        <w:tc>
          <w:tcPr>
            <w:tcW w:w="1285" w:type="dxa"/>
            <w:tcBorders>
              <w:top w:val="single" w:sz="8" w:space="0" w:color="auto"/>
              <w:left w:val="single" w:sz="8" w:space="0" w:color="auto"/>
              <w:bottom w:val="single" w:sz="8" w:space="0" w:color="auto"/>
              <w:right w:val="single" w:sz="8" w:space="0" w:color="auto"/>
            </w:tcBorders>
            <w:vAlign w:val="bottom"/>
          </w:tcPr>
          <w:p w:rsidR="00242C36" w:rsidRPr="00F825B0" w:rsidRDefault="00242C36" w:rsidP="00242C36">
            <w:pPr>
              <w:ind w:right="113"/>
              <w:jc w:val="right"/>
              <w:rPr>
                <w:rFonts w:ascii="Calibri" w:hAnsi="Calibri"/>
                <w:color w:val="000000"/>
                <w:sz w:val="20"/>
                <w:szCs w:val="20"/>
              </w:rPr>
            </w:pPr>
            <w:r w:rsidRPr="00F825B0">
              <w:rPr>
                <w:rFonts w:ascii="Calibri" w:hAnsi="Calibri"/>
                <w:color w:val="000000"/>
                <w:sz w:val="20"/>
                <w:szCs w:val="20"/>
              </w:rPr>
              <w:t>42,00%</w:t>
            </w:r>
          </w:p>
        </w:tc>
        <w:tc>
          <w:tcPr>
            <w:tcW w:w="1285" w:type="dxa"/>
            <w:tcBorders>
              <w:top w:val="single" w:sz="8" w:space="0" w:color="auto"/>
              <w:left w:val="single" w:sz="8" w:space="0" w:color="auto"/>
              <w:bottom w:val="single" w:sz="8" w:space="0" w:color="auto"/>
              <w:right w:val="single" w:sz="8" w:space="0" w:color="auto"/>
            </w:tcBorders>
            <w:vAlign w:val="bottom"/>
          </w:tcPr>
          <w:p w:rsidR="00242C36" w:rsidRPr="00F825B0" w:rsidRDefault="00242C36" w:rsidP="00242C36">
            <w:pPr>
              <w:ind w:right="113"/>
              <w:jc w:val="right"/>
              <w:rPr>
                <w:rFonts w:ascii="Calibri" w:hAnsi="Calibri"/>
                <w:color w:val="000000"/>
                <w:sz w:val="20"/>
                <w:szCs w:val="20"/>
              </w:rPr>
            </w:pPr>
            <w:r w:rsidRPr="00F825B0">
              <w:rPr>
                <w:rFonts w:ascii="Calibri" w:hAnsi="Calibri"/>
                <w:color w:val="000000"/>
                <w:sz w:val="20"/>
                <w:szCs w:val="20"/>
              </w:rPr>
              <w:t>43,50%</w:t>
            </w:r>
          </w:p>
        </w:tc>
        <w:tc>
          <w:tcPr>
            <w:tcW w:w="1285" w:type="dxa"/>
            <w:tcBorders>
              <w:top w:val="single" w:sz="8" w:space="0" w:color="auto"/>
              <w:left w:val="single" w:sz="8" w:space="0" w:color="auto"/>
              <w:bottom w:val="single" w:sz="8" w:space="0" w:color="auto"/>
              <w:right w:val="single" w:sz="8" w:space="0" w:color="auto"/>
            </w:tcBorders>
            <w:vAlign w:val="bottom"/>
          </w:tcPr>
          <w:p w:rsidR="00242C36" w:rsidRPr="00F825B0" w:rsidRDefault="00242C36" w:rsidP="00242C36">
            <w:pPr>
              <w:ind w:right="113"/>
              <w:jc w:val="right"/>
              <w:rPr>
                <w:rFonts w:ascii="Calibri" w:hAnsi="Calibri"/>
                <w:color w:val="000000"/>
                <w:sz w:val="20"/>
                <w:szCs w:val="20"/>
              </w:rPr>
            </w:pPr>
            <w:r w:rsidRPr="00F825B0">
              <w:rPr>
                <w:rFonts w:ascii="Calibri" w:hAnsi="Calibri"/>
                <w:color w:val="000000"/>
                <w:sz w:val="20"/>
                <w:szCs w:val="20"/>
              </w:rPr>
              <w:t>44,10%</w:t>
            </w:r>
          </w:p>
        </w:tc>
      </w:tr>
      <w:tr w:rsidR="00242C36" w:rsidRPr="00F825B0" w:rsidTr="00242C36">
        <w:trPr>
          <w:trHeight w:val="227"/>
        </w:trPr>
        <w:tc>
          <w:tcPr>
            <w:tcW w:w="2647" w:type="dxa"/>
            <w:tcBorders>
              <w:top w:val="single" w:sz="8" w:space="0" w:color="auto"/>
              <w:left w:val="single" w:sz="8" w:space="0" w:color="auto"/>
              <w:bottom w:val="single" w:sz="8" w:space="0" w:color="auto"/>
              <w:right w:val="single" w:sz="8" w:space="0" w:color="auto"/>
            </w:tcBorders>
            <w:vAlign w:val="bottom"/>
          </w:tcPr>
          <w:p w:rsidR="00242C36" w:rsidRPr="00F825B0" w:rsidRDefault="00242C36" w:rsidP="00242C36">
            <w:pPr>
              <w:rPr>
                <w:rFonts w:ascii="Calibri" w:hAnsi="Calibri"/>
                <w:color w:val="000000"/>
                <w:sz w:val="20"/>
                <w:szCs w:val="20"/>
              </w:rPr>
            </w:pPr>
            <w:r w:rsidRPr="00F825B0">
              <w:rPr>
                <w:rFonts w:ascii="Calibri" w:hAnsi="Calibri"/>
                <w:color w:val="000000"/>
                <w:sz w:val="20"/>
                <w:szCs w:val="20"/>
              </w:rPr>
              <w:t>Vysokoškolské vzdelanie</w:t>
            </w:r>
          </w:p>
        </w:tc>
        <w:tc>
          <w:tcPr>
            <w:tcW w:w="1285" w:type="dxa"/>
            <w:tcBorders>
              <w:top w:val="single" w:sz="8" w:space="0" w:color="auto"/>
              <w:left w:val="single" w:sz="8" w:space="0" w:color="auto"/>
              <w:bottom w:val="single" w:sz="8" w:space="0" w:color="auto"/>
              <w:right w:val="single" w:sz="8" w:space="0" w:color="auto"/>
            </w:tcBorders>
            <w:vAlign w:val="bottom"/>
          </w:tcPr>
          <w:p w:rsidR="00242C36" w:rsidRPr="00F825B0" w:rsidRDefault="00242C36" w:rsidP="00242C36">
            <w:pPr>
              <w:ind w:right="113"/>
              <w:jc w:val="right"/>
              <w:rPr>
                <w:rFonts w:ascii="Calibri" w:hAnsi="Calibri"/>
                <w:color w:val="000000"/>
                <w:sz w:val="20"/>
                <w:szCs w:val="20"/>
              </w:rPr>
            </w:pPr>
            <w:r w:rsidRPr="00F825B0">
              <w:rPr>
                <w:rFonts w:ascii="Calibri" w:hAnsi="Calibri"/>
                <w:color w:val="000000"/>
                <w:sz w:val="20"/>
                <w:szCs w:val="20"/>
              </w:rPr>
              <w:t>5,40%</w:t>
            </w:r>
          </w:p>
        </w:tc>
        <w:tc>
          <w:tcPr>
            <w:tcW w:w="1285" w:type="dxa"/>
            <w:tcBorders>
              <w:top w:val="single" w:sz="8" w:space="0" w:color="auto"/>
              <w:left w:val="single" w:sz="8" w:space="0" w:color="auto"/>
              <w:bottom w:val="single" w:sz="8" w:space="0" w:color="auto"/>
              <w:right w:val="single" w:sz="8" w:space="0" w:color="auto"/>
            </w:tcBorders>
            <w:vAlign w:val="bottom"/>
          </w:tcPr>
          <w:p w:rsidR="00242C36" w:rsidRPr="00F825B0" w:rsidRDefault="00242C36" w:rsidP="00242C36">
            <w:pPr>
              <w:ind w:right="113"/>
              <w:jc w:val="right"/>
              <w:rPr>
                <w:rFonts w:ascii="Calibri" w:hAnsi="Calibri"/>
                <w:color w:val="000000"/>
                <w:sz w:val="20"/>
                <w:szCs w:val="20"/>
              </w:rPr>
            </w:pPr>
            <w:r w:rsidRPr="00F825B0">
              <w:rPr>
                <w:rFonts w:ascii="Calibri" w:hAnsi="Calibri"/>
                <w:color w:val="000000"/>
                <w:sz w:val="20"/>
                <w:szCs w:val="20"/>
              </w:rPr>
              <w:t>6,00%</w:t>
            </w:r>
          </w:p>
        </w:tc>
        <w:tc>
          <w:tcPr>
            <w:tcW w:w="1285" w:type="dxa"/>
            <w:tcBorders>
              <w:top w:val="single" w:sz="8" w:space="0" w:color="auto"/>
              <w:left w:val="single" w:sz="8" w:space="0" w:color="auto"/>
              <w:bottom w:val="single" w:sz="8" w:space="0" w:color="auto"/>
              <w:right w:val="single" w:sz="8" w:space="0" w:color="auto"/>
            </w:tcBorders>
            <w:vAlign w:val="bottom"/>
          </w:tcPr>
          <w:p w:rsidR="00242C36" w:rsidRPr="00F825B0" w:rsidRDefault="00242C36" w:rsidP="00242C36">
            <w:pPr>
              <w:ind w:right="113"/>
              <w:jc w:val="right"/>
              <w:rPr>
                <w:rFonts w:ascii="Calibri" w:hAnsi="Calibri"/>
                <w:color w:val="000000"/>
                <w:sz w:val="20"/>
                <w:szCs w:val="20"/>
              </w:rPr>
            </w:pPr>
            <w:r w:rsidRPr="00F825B0">
              <w:rPr>
                <w:rFonts w:ascii="Calibri" w:hAnsi="Calibri"/>
                <w:color w:val="000000"/>
                <w:sz w:val="20"/>
                <w:szCs w:val="20"/>
              </w:rPr>
              <w:t>6,00%</w:t>
            </w:r>
          </w:p>
        </w:tc>
        <w:tc>
          <w:tcPr>
            <w:tcW w:w="1285" w:type="dxa"/>
            <w:tcBorders>
              <w:top w:val="single" w:sz="8" w:space="0" w:color="auto"/>
              <w:left w:val="single" w:sz="8" w:space="0" w:color="auto"/>
              <w:bottom w:val="single" w:sz="8" w:space="0" w:color="auto"/>
              <w:right w:val="single" w:sz="8" w:space="0" w:color="auto"/>
            </w:tcBorders>
            <w:vAlign w:val="bottom"/>
          </w:tcPr>
          <w:p w:rsidR="00242C36" w:rsidRPr="00F825B0" w:rsidRDefault="00242C36" w:rsidP="00242C36">
            <w:pPr>
              <w:ind w:right="113"/>
              <w:jc w:val="right"/>
              <w:rPr>
                <w:rFonts w:ascii="Calibri" w:hAnsi="Calibri"/>
                <w:color w:val="000000"/>
                <w:sz w:val="20"/>
                <w:szCs w:val="20"/>
              </w:rPr>
            </w:pPr>
            <w:r w:rsidRPr="00F825B0">
              <w:rPr>
                <w:rFonts w:ascii="Calibri" w:hAnsi="Calibri"/>
                <w:color w:val="000000"/>
                <w:sz w:val="20"/>
                <w:szCs w:val="20"/>
              </w:rPr>
              <w:t>10,20%</w:t>
            </w:r>
          </w:p>
        </w:tc>
        <w:tc>
          <w:tcPr>
            <w:tcW w:w="1285" w:type="dxa"/>
            <w:tcBorders>
              <w:top w:val="single" w:sz="8" w:space="0" w:color="auto"/>
              <w:left w:val="single" w:sz="8" w:space="0" w:color="auto"/>
              <w:bottom w:val="single" w:sz="8" w:space="0" w:color="auto"/>
              <w:right w:val="single" w:sz="8" w:space="0" w:color="auto"/>
            </w:tcBorders>
            <w:vAlign w:val="bottom"/>
          </w:tcPr>
          <w:p w:rsidR="00242C36" w:rsidRPr="00F825B0" w:rsidRDefault="00242C36" w:rsidP="00242C36">
            <w:pPr>
              <w:ind w:right="113"/>
              <w:jc w:val="right"/>
              <w:rPr>
                <w:rFonts w:ascii="Calibri" w:hAnsi="Calibri"/>
                <w:color w:val="000000"/>
                <w:sz w:val="20"/>
                <w:szCs w:val="20"/>
              </w:rPr>
            </w:pPr>
            <w:r w:rsidRPr="00F825B0">
              <w:rPr>
                <w:rFonts w:ascii="Calibri" w:hAnsi="Calibri"/>
                <w:color w:val="000000"/>
                <w:sz w:val="20"/>
                <w:szCs w:val="20"/>
              </w:rPr>
              <w:t>8,40%</w:t>
            </w:r>
          </w:p>
        </w:tc>
      </w:tr>
    </w:tbl>
    <w:p w:rsidR="00242C36" w:rsidRDefault="00242C36" w:rsidP="00242C36">
      <w:pPr>
        <w:keepNext/>
        <w:rPr>
          <w:rFonts w:ascii="Calibri" w:hAnsi="Calibri"/>
          <w:sz w:val="20"/>
          <w:szCs w:val="20"/>
          <w:lang w:eastAsia="ar-SA"/>
        </w:rPr>
      </w:pPr>
      <w:r w:rsidRPr="00F825B0">
        <w:rPr>
          <w:rFonts w:ascii="Calibri" w:hAnsi="Calibri"/>
          <w:sz w:val="20"/>
          <w:szCs w:val="20"/>
          <w:lang w:eastAsia="ar-SA"/>
        </w:rPr>
        <w:t xml:space="preserve">Zdroj: ŠÚ SR, vypracoval </w:t>
      </w:r>
      <w:r>
        <w:rPr>
          <w:rFonts w:ascii="Calibri" w:hAnsi="Calibri"/>
          <w:sz w:val="20"/>
          <w:szCs w:val="20"/>
          <w:lang w:eastAsia="ar-SA"/>
        </w:rPr>
        <w:t>NPPC-</w:t>
      </w:r>
      <w:r w:rsidRPr="00F825B0">
        <w:rPr>
          <w:rFonts w:ascii="Calibri" w:hAnsi="Calibri"/>
          <w:sz w:val="20"/>
          <w:szCs w:val="20"/>
          <w:lang w:eastAsia="ar-SA"/>
        </w:rPr>
        <w:t>VUEPP</w:t>
      </w:r>
    </w:p>
    <w:p w:rsidR="00E32F57" w:rsidRPr="00F825B0" w:rsidRDefault="00E32F57" w:rsidP="00242C36">
      <w:pPr>
        <w:keepNext/>
        <w:rPr>
          <w:rFonts w:ascii="Calibri" w:hAnsi="Calibri"/>
          <w:sz w:val="20"/>
          <w:szCs w:val="20"/>
          <w:lang w:eastAsia="ar-SA"/>
        </w:rPr>
      </w:pPr>
    </w:p>
    <w:p w:rsidR="00242C36" w:rsidRDefault="00242C36" w:rsidP="00242C36">
      <w:pPr>
        <w:pBdr>
          <w:bar w:val="single" w:sz="6" w:color="808080"/>
        </w:pBdr>
        <w:spacing w:after="120"/>
        <w:rPr>
          <w:rFonts w:ascii="Calibri" w:eastAsia="Calibri" w:hAnsi="Calibri"/>
          <w:szCs w:val="22"/>
          <w:lang w:eastAsia="en-US"/>
        </w:rPr>
      </w:pPr>
      <w:r w:rsidRPr="00E43137">
        <w:rPr>
          <w:rFonts w:ascii="Calibri" w:eastAsia="Calibri" w:hAnsi="Calibri"/>
          <w:szCs w:val="22"/>
          <w:lang w:eastAsia="en-US"/>
        </w:rPr>
        <w:t>Priemerná mzda v potravinárstve (výroba potravín a nápojov spolu) v roku 2012 dosiahla úroveň 725 €, čo je viac ako v poľnohospodárstve o 32,0 %. Mzdová parita potravinárskej výroby voči priemeru NH dosiahla  90,1%.</w:t>
      </w:r>
    </w:p>
    <w:p w:rsidR="00242C36" w:rsidRPr="00E43137" w:rsidRDefault="00242C36" w:rsidP="00242C36">
      <w:pPr>
        <w:rPr>
          <w:rFonts w:ascii="Calibri" w:hAnsi="Calibri" w:cs="Tahoma"/>
          <w:b/>
          <w:bCs/>
          <w:szCs w:val="22"/>
        </w:rPr>
      </w:pPr>
      <w:r w:rsidRPr="00E43137">
        <w:rPr>
          <w:rFonts w:ascii="Calibri" w:hAnsi="Calibri" w:cs="Tahoma"/>
          <w:b/>
          <w:bCs/>
          <w:szCs w:val="22"/>
        </w:rPr>
        <w:t>Výrobné kapacity v potravinárskom priemysle</w:t>
      </w:r>
    </w:p>
    <w:p w:rsidR="00242C36" w:rsidRPr="009B6C51" w:rsidRDefault="00242C36" w:rsidP="00242C36">
      <w:pPr>
        <w:rPr>
          <w:rFonts w:ascii="Calibri" w:hAnsi="Calibri" w:cs="Tahoma"/>
          <w:bCs/>
          <w:szCs w:val="22"/>
        </w:rPr>
      </w:pPr>
      <w:r w:rsidRPr="00505442">
        <w:rPr>
          <w:rFonts w:ascii="Calibri" w:hAnsi="Calibri" w:cs="Tahoma"/>
          <w:bCs/>
          <w:szCs w:val="22"/>
        </w:rPr>
        <w:t>Kapacity v potravinárskom priemysle nie sú plne  využívané, ich využitie v roku 2012 (</w:t>
      </w:r>
      <w:r w:rsidRPr="00505442">
        <w:rPr>
          <w:rFonts w:ascii="Calibri" w:hAnsi="Calibri"/>
          <w:szCs w:val="22"/>
        </w:rPr>
        <w:t xml:space="preserve">Správa o poľnohospodárstve a potravinárstve za rok 2012) </w:t>
      </w:r>
      <w:r w:rsidRPr="00505442">
        <w:rPr>
          <w:rFonts w:ascii="Calibri" w:hAnsi="Calibri" w:cs="Tahoma"/>
          <w:bCs/>
          <w:szCs w:val="22"/>
        </w:rPr>
        <w:t>bolo pri jednotlivých komoditách   nasledovné:</w:t>
      </w:r>
    </w:p>
    <w:p w:rsidR="00242C36" w:rsidRDefault="00242C36" w:rsidP="00CE203B">
      <w:pPr>
        <w:pStyle w:val="Pta"/>
        <w:numPr>
          <w:ilvl w:val="0"/>
          <w:numId w:val="346"/>
        </w:numPr>
        <w:rPr>
          <w:rFonts w:ascii="Calibri" w:hAnsi="Calibri"/>
        </w:rPr>
      </w:pPr>
      <w:r w:rsidRPr="00505442">
        <w:rPr>
          <w:rFonts w:ascii="Calibri" w:hAnsi="Calibri"/>
        </w:rPr>
        <w:t>v intervale 100,00  – 90,00 %: výroba sladu, kvasenej kapusty,</w:t>
      </w:r>
    </w:p>
    <w:p w:rsidR="00242C36" w:rsidRDefault="00242C36" w:rsidP="00CE203B">
      <w:pPr>
        <w:numPr>
          <w:ilvl w:val="0"/>
          <w:numId w:val="346"/>
        </w:numPr>
        <w:rPr>
          <w:rFonts w:ascii="Calibri" w:hAnsi="Calibri"/>
          <w:szCs w:val="22"/>
        </w:rPr>
      </w:pPr>
      <w:r w:rsidRPr="00505442">
        <w:rPr>
          <w:rFonts w:ascii="Calibri" w:hAnsi="Calibri"/>
          <w:szCs w:val="22"/>
        </w:rPr>
        <w:t>v intervale 89,99 – 80,00 %</w:t>
      </w:r>
      <w:r w:rsidRPr="00505442">
        <w:rPr>
          <w:rStyle w:val="Odkaznapoznmkupodiarou"/>
          <w:rFonts w:ascii="Calibri" w:hAnsi="Calibri"/>
          <w:szCs w:val="22"/>
        </w:rPr>
        <w:footnoteReference w:id="7"/>
      </w:r>
      <w:r w:rsidRPr="00505442">
        <w:rPr>
          <w:rFonts w:ascii="Calibri" w:hAnsi="Calibri"/>
          <w:szCs w:val="22"/>
        </w:rPr>
        <w:t xml:space="preserve"> </w:t>
      </w:r>
    </w:p>
    <w:p w:rsidR="00242C36" w:rsidRDefault="00242C36" w:rsidP="00CE203B">
      <w:pPr>
        <w:numPr>
          <w:ilvl w:val="0"/>
          <w:numId w:val="346"/>
        </w:numPr>
        <w:rPr>
          <w:rFonts w:ascii="Calibri" w:hAnsi="Calibri"/>
          <w:szCs w:val="22"/>
        </w:rPr>
      </w:pPr>
      <w:r w:rsidRPr="00505442">
        <w:rPr>
          <w:rFonts w:ascii="Calibri" w:hAnsi="Calibri"/>
          <w:szCs w:val="22"/>
        </w:rPr>
        <w:t xml:space="preserve">v intervale 79,99 – 70,00 %: výroba hydinových výrobkov, zomelku pšenice, nečokoládových cukroviniek, jatočnej hydiny, </w:t>
      </w:r>
    </w:p>
    <w:p w:rsidR="00242C36" w:rsidRDefault="00242C36" w:rsidP="00CE203B">
      <w:pPr>
        <w:numPr>
          <w:ilvl w:val="0"/>
          <w:numId w:val="346"/>
        </w:numPr>
        <w:rPr>
          <w:rFonts w:ascii="Calibri" w:hAnsi="Calibri"/>
          <w:szCs w:val="22"/>
        </w:rPr>
      </w:pPr>
      <w:r w:rsidRPr="00505442">
        <w:rPr>
          <w:rFonts w:ascii="Calibri" w:hAnsi="Calibri"/>
          <w:szCs w:val="22"/>
        </w:rPr>
        <w:t>v intervale 69,99 – 60,00 %: výroba rafinovaného liehu, mäsových výrobkov, cestovín, čokoládových cukroviniek a čokolády, prírodných a ostatných syrov,</w:t>
      </w:r>
    </w:p>
    <w:p w:rsidR="00242C36" w:rsidRDefault="00242C36" w:rsidP="00CE203B">
      <w:pPr>
        <w:numPr>
          <w:ilvl w:val="0"/>
          <w:numId w:val="346"/>
        </w:numPr>
        <w:rPr>
          <w:rFonts w:ascii="Calibri" w:hAnsi="Calibri"/>
          <w:szCs w:val="22"/>
        </w:rPr>
      </w:pPr>
      <w:r w:rsidRPr="00505442">
        <w:rPr>
          <w:rFonts w:ascii="Calibri" w:hAnsi="Calibri"/>
          <w:szCs w:val="22"/>
        </w:rPr>
        <w:t xml:space="preserve">v intervale 59,99 </w:t>
      </w:r>
      <w:r w:rsidRPr="00505442">
        <w:rPr>
          <w:rFonts w:ascii="Calibri" w:hAnsi="Calibri"/>
          <w:szCs w:val="22"/>
        </w:rPr>
        <w:noBreakHyphen/>
        <w:t xml:space="preserve"> 50,00 %: spracovanie mlieka, výroba nealkoholických sladených sýtených nápojov, výroba piva, výroba stolovej minerálnej vody, čerstvého pečiva,</w:t>
      </w:r>
    </w:p>
    <w:p w:rsidR="00242C36" w:rsidRDefault="00242C36" w:rsidP="00CE203B">
      <w:pPr>
        <w:pStyle w:val="Pta"/>
        <w:numPr>
          <w:ilvl w:val="0"/>
          <w:numId w:val="346"/>
        </w:numPr>
        <w:rPr>
          <w:rFonts w:ascii="Calibri" w:hAnsi="Calibri"/>
        </w:rPr>
      </w:pPr>
      <w:r w:rsidRPr="00505442">
        <w:rPr>
          <w:rFonts w:ascii="Calibri" w:hAnsi="Calibri"/>
        </w:rPr>
        <w:t>pod 50 %:  výroba sušeného mlieka (49 %), konzumného mlieka (46 %), tavených syrov (46 %), výroba sterilizovanej zeleniny vrátane sterilizovaných uhoriek (45 %), výroba hroznového vína</w:t>
      </w:r>
      <w:r w:rsidRPr="00505442">
        <w:rPr>
          <w:rFonts w:ascii="Calibri" w:hAnsi="Calibri"/>
        </w:rPr>
        <w:lastRenderedPageBreak/>
        <w:t xml:space="preserve"> (41 %), výroba chleba (41 %), liehovín (36 %), kyslomliečnych výrobkov vrátane jogurtov (35 %), sterilizovaných kompótov (34 %), výroba octu (34 %), jatočných ošípaných (34 %), mliekarenského masla (27 %), zomelku raže (26 %) a jatočného hovädzieho dobytka (23 %).</w:t>
      </w:r>
    </w:p>
    <w:p w:rsidR="00242C36" w:rsidRDefault="00242C36" w:rsidP="00242C36">
      <w:pPr>
        <w:rPr>
          <w:rFonts w:ascii="Calibri" w:eastAsia="Calibri" w:hAnsi="Calibri"/>
          <w:b/>
          <w:szCs w:val="22"/>
          <w:lang w:eastAsia="en-US"/>
        </w:rPr>
      </w:pPr>
    </w:p>
    <w:p w:rsidR="00242C36" w:rsidRDefault="00242C36" w:rsidP="00242C36">
      <w:pPr>
        <w:rPr>
          <w:rFonts w:ascii="Calibri" w:eastAsia="Calibri" w:hAnsi="Calibri"/>
          <w:b/>
          <w:szCs w:val="22"/>
          <w:lang w:eastAsia="en-US"/>
        </w:rPr>
      </w:pPr>
    </w:p>
    <w:p w:rsidR="00242C36" w:rsidRPr="00BD7551" w:rsidRDefault="00242C36" w:rsidP="00242C36">
      <w:pPr>
        <w:pBdr>
          <w:bar w:val="single" w:sz="6" w:color="808080"/>
        </w:pBdr>
        <w:spacing w:after="120"/>
        <w:rPr>
          <w:rFonts w:ascii="Calibri" w:eastAsia="Calibri" w:hAnsi="Calibri"/>
          <w:b/>
          <w:szCs w:val="22"/>
          <w:lang w:eastAsia="en-US"/>
        </w:rPr>
      </w:pPr>
      <w:r w:rsidRPr="00BD7551">
        <w:rPr>
          <w:rFonts w:ascii="Calibri" w:eastAsia="Calibri" w:hAnsi="Calibri"/>
          <w:b/>
          <w:szCs w:val="22"/>
          <w:lang w:eastAsia="en-US"/>
        </w:rPr>
        <w:t>Zahraničná obchodná výmena</w:t>
      </w:r>
    </w:p>
    <w:p w:rsidR="00242C36" w:rsidRPr="00FD63FF" w:rsidRDefault="00242C36" w:rsidP="00242C36">
      <w:pPr>
        <w:pBdr>
          <w:bar w:val="single" w:sz="6" w:color="808080"/>
        </w:pBdr>
        <w:spacing w:after="120"/>
        <w:rPr>
          <w:rFonts w:ascii="Calibri" w:eastAsia="Calibri" w:hAnsi="Calibri"/>
          <w:color w:val="4F81BD" w:themeColor="accent1"/>
          <w:szCs w:val="22"/>
          <w:lang w:eastAsia="en-US"/>
        </w:rPr>
      </w:pPr>
      <w:r w:rsidRPr="00434CEE">
        <w:rPr>
          <w:rFonts w:ascii="Calibri" w:eastAsia="Calibri" w:hAnsi="Calibri"/>
          <w:szCs w:val="22"/>
          <w:lang w:eastAsia="en-US"/>
        </w:rPr>
        <w:t xml:space="preserve">Na celkovom agropotravinárskom exporte sa neustále znižuje podiel výrobkov s vyššou pridanou hodnotou a rastie podiel základných poľnohospodárskych surovín s nízkou pridanou hodnotou. Pokým v roku 2002 na poľnohospodárske suroviny pripadalo len 25,0 % hodnoty celkového exportu, v roku 2011 ich podiel dosiahol až 34,8 %. </w:t>
      </w:r>
      <w:r w:rsidRPr="00505442">
        <w:rPr>
          <w:rFonts w:ascii="Calibri" w:eastAsia="Calibri" w:hAnsi="Calibri"/>
          <w:szCs w:val="22"/>
          <w:lang w:eastAsia="en-US"/>
        </w:rPr>
        <w:t>Export sa orientuje hlavne na krajiny EÚ, do tretích krajín exportujeme  len 3,8% agropotravinárskych produktov (PSCI 13).</w:t>
      </w:r>
    </w:p>
    <w:p w:rsidR="00242C36" w:rsidRPr="00BD7551" w:rsidRDefault="00E32F57" w:rsidP="00242C36">
      <w:pPr>
        <w:keepNext/>
        <w:rPr>
          <w:rFonts w:ascii="Calibri" w:hAnsi="Calibri"/>
          <w:b/>
          <w:szCs w:val="22"/>
        </w:rPr>
      </w:pPr>
      <w:r>
        <w:rPr>
          <w:rFonts w:ascii="Calibri" w:hAnsi="Calibri"/>
          <w:b/>
          <w:szCs w:val="22"/>
        </w:rPr>
        <w:t xml:space="preserve">Tabuľka 30: </w:t>
      </w:r>
      <w:r w:rsidR="00242C36" w:rsidRPr="00BD7551">
        <w:rPr>
          <w:rFonts w:ascii="Calibri" w:hAnsi="Calibri"/>
          <w:b/>
          <w:szCs w:val="22"/>
        </w:rPr>
        <w:t xml:space="preserve">Vývoj zahraničného agropotravinárskeho obchodu </w:t>
      </w:r>
      <w:r>
        <w:rPr>
          <w:rFonts w:ascii="Calibri" w:hAnsi="Calibri"/>
          <w:b/>
          <w:szCs w:val="22"/>
        </w:rPr>
        <w:t>v mil. €</w:t>
      </w:r>
      <w:r>
        <w:rPr>
          <w:rFonts w:ascii="Calibri" w:hAnsi="Calibri"/>
          <w:b/>
          <w:szCs w:val="22"/>
        </w:rPr>
        <w:tab/>
      </w:r>
      <w:r>
        <w:rPr>
          <w:rFonts w:ascii="Calibri" w:hAnsi="Calibri"/>
          <w:b/>
          <w:szCs w:val="22"/>
        </w:rPr>
        <w:tab/>
      </w:r>
      <w:r>
        <w:rPr>
          <w:rFonts w:ascii="Calibri" w:hAnsi="Calibri"/>
          <w:b/>
          <w:szCs w:val="22"/>
        </w:rPr>
        <w:tab/>
      </w:r>
      <w:r w:rsidR="00242C36" w:rsidRPr="00BD7551">
        <w:rPr>
          <w:rFonts w:ascii="Calibri" w:hAnsi="Calibri"/>
          <w:b/>
          <w:szCs w:val="22"/>
        </w:rPr>
        <w:t xml:space="preserve">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21"/>
        <w:gridCol w:w="1293"/>
        <w:gridCol w:w="1293"/>
        <w:gridCol w:w="1293"/>
        <w:gridCol w:w="2088"/>
      </w:tblGrid>
      <w:tr w:rsidR="00242C36" w:rsidRPr="00E43137" w:rsidTr="00242C36">
        <w:trPr>
          <w:trHeight w:hRule="exact" w:val="284"/>
        </w:trPr>
        <w:tc>
          <w:tcPr>
            <w:tcW w:w="1788" w:type="pct"/>
            <w:shd w:val="clear" w:color="auto" w:fill="auto"/>
            <w:noWrap/>
            <w:hideMark/>
          </w:tcPr>
          <w:p w:rsidR="00242C36" w:rsidRPr="00E43137" w:rsidRDefault="00242C36" w:rsidP="00242C36">
            <w:pPr>
              <w:keepNext/>
              <w:rPr>
                <w:rFonts w:ascii="Calibri" w:hAnsi="Calibri"/>
                <w:bCs/>
                <w:color w:val="000000"/>
                <w:sz w:val="20"/>
                <w:szCs w:val="20"/>
              </w:rPr>
            </w:pPr>
            <w:r w:rsidRPr="00E43137">
              <w:rPr>
                <w:rFonts w:ascii="Calibri" w:hAnsi="Calibri"/>
                <w:bCs/>
                <w:color w:val="000000"/>
                <w:sz w:val="20"/>
                <w:szCs w:val="20"/>
              </w:rPr>
              <w:t> </w:t>
            </w:r>
          </w:p>
        </w:tc>
        <w:tc>
          <w:tcPr>
            <w:tcW w:w="696" w:type="pct"/>
            <w:shd w:val="clear" w:color="auto" w:fill="auto"/>
            <w:noWrap/>
            <w:hideMark/>
          </w:tcPr>
          <w:p w:rsidR="00242C36" w:rsidRPr="00E43137" w:rsidRDefault="00242C36" w:rsidP="00242C36">
            <w:pPr>
              <w:keepNext/>
              <w:rPr>
                <w:rFonts w:ascii="Calibri" w:hAnsi="Calibri"/>
                <w:bCs/>
                <w:color w:val="000000"/>
                <w:sz w:val="20"/>
                <w:szCs w:val="20"/>
              </w:rPr>
            </w:pPr>
            <w:r w:rsidRPr="00E43137">
              <w:rPr>
                <w:rFonts w:ascii="Calibri" w:hAnsi="Calibri"/>
                <w:bCs/>
                <w:color w:val="000000"/>
                <w:sz w:val="20"/>
                <w:szCs w:val="20"/>
              </w:rPr>
              <w:t> </w:t>
            </w:r>
          </w:p>
        </w:tc>
        <w:tc>
          <w:tcPr>
            <w:tcW w:w="696" w:type="pct"/>
            <w:shd w:val="clear" w:color="auto" w:fill="auto"/>
            <w:noWrap/>
            <w:hideMark/>
          </w:tcPr>
          <w:p w:rsidR="00242C36" w:rsidRPr="00E43137" w:rsidRDefault="00242C36" w:rsidP="00242C36">
            <w:pPr>
              <w:keepNext/>
              <w:jc w:val="center"/>
              <w:rPr>
                <w:rFonts w:ascii="Calibri" w:hAnsi="Calibri"/>
                <w:bCs/>
                <w:color w:val="000000"/>
                <w:sz w:val="20"/>
                <w:szCs w:val="20"/>
              </w:rPr>
            </w:pPr>
            <w:r w:rsidRPr="00E43137">
              <w:rPr>
                <w:rFonts w:ascii="Calibri" w:hAnsi="Calibri"/>
                <w:bCs/>
                <w:color w:val="000000"/>
                <w:sz w:val="20"/>
                <w:szCs w:val="20"/>
              </w:rPr>
              <w:t>2011</w:t>
            </w:r>
          </w:p>
        </w:tc>
        <w:tc>
          <w:tcPr>
            <w:tcW w:w="696" w:type="pct"/>
            <w:shd w:val="clear" w:color="auto" w:fill="auto"/>
            <w:noWrap/>
            <w:hideMark/>
          </w:tcPr>
          <w:p w:rsidR="00242C36" w:rsidRPr="00E43137" w:rsidRDefault="00242C36" w:rsidP="00242C36">
            <w:pPr>
              <w:keepNext/>
              <w:jc w:val="center"/>
              <w:rPr>
                <w:rFonts w:ascii="Calibri" w:hAnsi="Calibri"/>
                <w:bCs/>
                <w:color w:val="000000"/>
                <w:sz w:val="20"/>
                <w:szCs w:val="20"/>
              </w:rPr>
            </w:pPr>
            <w:r w:rsidRPr="00E43137">
              <w:rPr>
                <w:rFonts w:ascii="Calibri" w:hAnsi="Calibri"/>
                <w:bCs/>
                <w:color w:val="000000"/>
                <w:sz w:val="20"/>
                <w:szCs w:val="20"/>
              </w:rPr>
              <w:t>2012</w:t>
            </w:r>
            <w:r w:rsidRPr="00E43137">
              <w:rPr>
                <w:rFonts w:ascii="Calibri" w:hAnsi="Calibri"/>
                <w:bCs/>
                <w:color w:val="000000"/>
                <w:sz w:val="20"/>
                <w:szCs w:val="20"/>
                <w:vertAlign w:val="superscript"/>
              </w:rPr>
              <w:t>1)</w:t>
            </w:r>
          </w:p>
        </w:tc>
        <w:tc>
          <w:tcPr>
            <w:tcW w:w="1124" w:type="pct"/>
            <w:shd w:val="clear" w:color="auto" w:fill="auto"/>
            <w:noWrap/>
            <w:hideMark/>
          </w:tcPr>
          <w:p w:rsidR="00242C36" w:rsidRPr="00E43137" w:rsidRDefault="00242C36" w:rsidP="00242C36">
            <w:pPr>
              <w:keepNext/>
              <w:jc w:val="center"/>
              <w:rPr>
                <w:rFonts w:ascii="Calibri" w:hAnsi="Calibri"/>
                <w:bCs/>
                <w:color w:val="000000"/>
                <w:sz w:val="20"/>
                <w:szCs w:val="20"/>
              </w:rPr>
            </w:pPr>
            <w:r w:rsidRPr="00E43137">
              <w:rPr>
                <w:rFonts w:ascii="Calibri" w:hAnsi="Calibri"/>
                <w:bCs/>
                <w:color w:val="000000"/>
                <w:sz w:val="20"/>
                <w:szCs w:val="20"/>
              </w:rPr>
              <w:t>Index 2012/2011</w:t>
            </w:r>
          </w:p>
        </w:tc>
      </w:tr>
      <w:tr w:rsidR="00242C36" w:rsidRPr="00E43137" w:rsidTr="00242C36">
        <w:trPr>
          <w:trHeight w:val="284"/>
        </w:trPr>
        <w:tc>
          <w:tcPr>
            <w:tcW w:w="1788" w:type="pct"/>
            <w:shd w:val="clear" w:color="auto" w:fill="auto"/>
            <w:noWrap/>
            <w:hideMark/>
          </w:tcPr>
          <w:p w:rsidR="00242C36" w:rsidRPr="00E43137" w:rsidRDefault="00242C36" w:rsidP="00242C36">
            <w:pPr>
              <w:rPr>
                <w:rFonts w:ascii="Calibri" w:hAnsi="Calibri"/>
                <w:bCs/>
                <w:sz w:val="20"/>
                <w:szCs w:val="20"/>
              </w:rPr>
            </w:pPr>
            <w:r w:rsidRPr="00E43137">
              <w:rPr>
                <w:rFonts w:ascii="Calibri" w:hAnsi="Calibri"/>
                <w:bCs/>
                <w:sz w:val="20"/>
                <w:szCs w:val="20"/>
              </w:rPr>
              <w:t xml:space="preserve"> Agropotravinársky sektor</w:t>
            </w:r>
          </w:p>
        </w:tc>
        <w:tc>
          <w:tcPr>
            <w:tcW w:w="696" w:type="pct"/>
            <w:shd w:val="clear" w:color="auto" w:fill="auto"/>
            <w:noWrap/>
            <w:hideMark/>
          </w:tcPr>
          <w:p w:rsidR="00242C36" w:rsidRPr="00E43137" w:rsidRDefault="00242C36" w:rsidP="00242C36">
            <w:pPr>
              <w:jc w:val="center"/>
              <w:rPr>
                <w:rFonts w:ascii="Calibri" w:hAnsi="Calibri"/>
                <w:sz w:val="20"/>
                <w:szCs w:val="20"/>
              </w:rPr>
            </w:pPr>
            <w:r w:rsidRPr="00E43137">
              <w:rPr>
                <w:rFonts w:ascii="Calibri" w:hAnsi="Calibri"/>
                <w:sz w:val="20"/>
                <w:szCs w:val="20"/>
              </w:rPr>
              <w:t>Vývoz</w:t>
            </w:r>
          </w:p>
        </w:tc>
        <w:tc>
          <w:tcPr>
            <w:tcW w:w="696" w:type="pct"/>
            <w:shd w:val="clear" w:color="auto" w:fill="auto"/>
            <w:noWrap/>
            <w:vAlign w:val="bottom"/>
            <w:hideMark/>
          </w:tcPr>
          <w:p w:rsidR="00242C36" w:rsidRPr="00E43137" w:rsidRDefault="00242C36" w:rsidP="00242C36">
            <w:pPr>
              <w:jc w:val="right"/>
              <w:rPr>
                <w:rFonts w:ascii="Calibri" w:hAnsi="Calibri"/>
                <w:bCs/>
                <w:sz w:val="20"/>
                <w:szCs w:val="20"/>
              </w:rPr>
            </w:pPr>
            <w:r w:rsidRPr="00E43137">
              <w:rPr>
                <w:rFonts w:ascii="Calibri" w:hAnsi="Calibri"/>
                <w:bCs/>
                <w:sz w:val="20"/>
                <w:szCs w:val="20"/>
              </w:rPr>
              <w:t>2 919</w:t>
            </w:r>
          </w:p>
        </w:tc>
        <w:tc>
          <w:tcPr>
            <w:tcW w:w="696" w:type="pct"/>
            <w:shd w:val="clear" w:color="auto" w:fill="auto"/>
            <w:noWrap/>
            <w:vAlign w:val="bottom"/>
            <w:hideMark/>
          </w:tcPr>
          <w:p w:rsidR="00242C36" w:rsidRPr="00E43137" w:rsidRDefault="00242C36" w:rsidP="00242C36">
            <w:pPr>
              <w:jc w:val="right"/>
              <w:rPr>
                <w:rFonts w:ascii="Calibri" w:hAnsi="Calibri"/>
                <w:bCs/>
                <w:sz w:val="20"/>
                <w:szCs w:val="20"/>
              </w:rPr>
            </w:pPr>
            <w:r w:rsidRPr="00E43137">
              <w:rPr>
                <w:rFonts w:ascii="Calibri" w:hAnsi="Calibri"/>
                <w:bCs/>
                <w:sz w:val="20"/>
                <w:szCs w:val="20"/>
              </w:rPr>
              <w:t>3 773</w:t>
            </w:r>
          </w:p>
        </w:tc>
        <w:tc>
          <w:tcPr>
            <w:tcW w:w="1124" w:type="pct"/>
            <w:shd w:val="clear" w:color="auto" w:fill="auto"/>
            <w:noWrap/>
            <w:vAlign w:val="bottom"/>
            <w:hideMark/>
          </w:tcPr>
          <w:p w:rsidR="00242C36" w:rsidRPr="00E43137" w:rsidRDefault="00242C36" w:rsidP="00242C36">
            <w:pPr>
              <w:jc w:val="center"/>
              <w:rPr>
                <w:rFonts w:ascii="Calibri" w:hAnsi="Calibri"/>
                <w:bCs/>
                <w:sz w:val="20"/>
                <w:szCs w:val="20"/>
              </w:rPr>
            </w:pPr>
            <w:r w:rsidRPr="00E43137">
              <w:rPr>
                <w:rFonts w:ascii="Calibri" w:hAnsi="Calibri"/>
                <w:bCs/>
                <w:sz w:val="20"/>
                <w:szCs w:val="20"/>
              </w:rPr>
              <w:t>129,3</w:t>
            </w:r>
          </w:p>
        </w:tc>
      </w:tr>
      <w:tr w:rsidR="00242C36" w:rsidRPr="00E43137" w:rsidTr="00242C36">
        <w:trPr>
          <w:trHeight w:val="284"/>
        </w:trPr>
        <w:tc>
          <w:tcPr>
            <w:tcW w:w="1788" w:type="pct"/>
            <w:shd w:val="clear" w:color="auto" w:fill="auto"/>
            <w:noWrap/>
            <w:hideMark/>
          </w:tcPr>
          <w:p w:rsidR="00242C36" w:rsidRPr="00E43137" w:rsidRDefault="00242C36" w:rsidP="00242C36">
            <w:pPr>
              <w:rPr>
                <w:rFonts w:ascii="Calibri" w:hAnsi="Calibri"/>
                <w:bCs/>
                <w:sz w:val="20"/>
                <w:szCs w:val="20"/>
              </w:rPr>
            </w:pPr>
            <w:r w:rsidRPr="00E43137">
              <w:rPr>
                <w:rFonts w:ascii="Calibri" w:hAnsi="Calibri"/>
                <w:bCs/>
                <w:sz w:val="20"/>
                <w:szCs w:val="20"/>
              </w:rPr>
              <w:t xml:space="preserve"> za SR spolu</w:t>
            </w:r>
          </w:p>
        </w:tc>
        <w:tc>
          <w:tcPr>
            <w:tcW w:w="696" w:type="pct"/>
            <w:shd w:val="clear" w:color="auto" w:fill="auto"/>
            <w:noWrap/>
            <w:hideMark/>
          </w:tcPr>
          <w:p w:rsidR="00242C36" w:rsidRPr="00E43137" w:rsidRDefault="00242C36" w:rsidP="00242C36">
            <w:pPr>
              <w:jc w:val="center"/>
              <w:rPr>
                <w:rFonts w:ascii="Calibri" w:hAnsi="Calibri"/>
                <w:sz w:val="20"/>
                <w:szCs w:val="20"/>
              </w:rPr>
            </w:pPr>
            <w:r w:rsidRPr="00E43137">
              <w:rPr>
                <w:rFonts w:ascii="Calibri" w:hAnsi="Calibri"/>
                <w:sz w:val="20"/>
                <w:szCs w:val="20"/>
              </w:rPr>
              <w:t>Dovoz</w:t>
            </w:r>
          </w:p>
        </w:tc>
        <w:tc>
          <w:tcPr>
            <w:tcW w:w="696" w:type="pct"/>
            <w:shd w:val="clear" w:color="auto" w:fill="auto"/>
            <w:noWrap/>
            <w:vAlign w:val="bottom"/>
            <w:hideMark/>
          </w:tcPr>
          <w:p w:rsidR="00242C36" w:rsidRPr="00E43137" w:rsidRDefault="00242C36" w:rsidP="00242C36">
            <w:pPr>
              <w:jc w:val="right"/>
              <w:rPr>
                <w:rFonts w:ascii="Calibri" w:hAnsi="Calibri"/>
                <w:bCs/>
                <w:sz w:val="20"/>
                <w:szCs w:val="20"/>
              </w:rPr>
            </w:pPr>
            <w:r w:rsidRPr="00E43137">
              <w:rPr>
                <w:rFonts w:ascii="Calibri" w:hAnsi="Calibri"/>
                <w:bCs/>
                <w:sz w:val="20"/>
                <w:szCs w:val="20"/>
              </w:rPr>
              <w:t>3 723</w:t>
            </w:r>
          </w:p>
        </w:tc>
        <w:tc>
          <w:tcPr>
            <w:tcW w:w="696" w:type="pct"/>
            <w:shd w:val="clear" w:color="auto" w:fill="auto"/>
            <w:noWrap/>
            <w:vAlign w:val="bottom"/>
            <w:hideMark/>
          </w:tcPr>
          <w:p w:rsidR="00242C36" w:rsidRPr="00E43137" w:rsidRDefault="00242C36" w:rsidP="00242C36">
            <w:pPr>
              <w:jc w:val="right"/>
              <w:rPr>
                <w:rFonts w:ascii="Calibri" w:hAnsi="Calibri"/>
                <w:bCs/>
                <w:sz w:val="20"/>
                <w:szCs w:val="20"/>
              </w:rPr>
            </w:pPr>
            <w:r w:rsidRPr="00E43137">
              <w:rPr>
                <w:rFonts w:ascii="Calibri" w:hAnsi="Calibri"/>
                <w:bCs/>
                <w:sz w:val="20"/>
                <w:szCs w:val="20"/>
              </w:rPr>
              <w:t>4 183</w:t>
            </w:r>
          </w:p>
        </w:tc>
        <w:tc>
          <w:tcPr>
            <w:tcW w:w="1124" w:type="pct"/>
            <w:shd w:val="clear" w:color="auto" w:fill="auto"/>
            <w:noWrap/>
            <w:vAlign w:val="bottom"/>
            <w:hideMark/>
          </w:tcPr>
          <w:p w:rsidR="00242C36" w:rsidRPr="00E43137" w:rsidRDefault="00242C36" w:rsidP="00242C36">
            <w:pPr>
              <w:jc w:val="center"/>
              <w:rPr>
                <w:rFonts w:ascii="Calibri" w:hAnsi="Calibri"/>
                <w:bCs/>
                <w:sz w:val="20"/>
                <w:szCs w:val="20"/>
              </w:rPr>
            </w:pPr>
            <w:r w:rsidRPr="00E43137">
              <w:rPr>
                <w:rFonts w:ascii="Calibri" w:hAnsi="Calibri"/>
                <w:bCs/>
                <w:sz w:val="20"/>
                <w:szCs w:val="20"/>
              </w:rPr>
              <w:t>112,3</w:t>
            </w:r>
          </w:p>
        </w:tc>
      </w:tr>
      <w:tr w:rsidR="00242C36" w:rsidRPr="00E43137" w:rsidTr="00242C36">
        <w:trPr>
          <w:trHeight w:val="284"/>
        </w:trPr>
        <w:tc>
          <w:tcPr>
            <w:tcW w:w="1788" w:type="pct"/>
            <w:shd w:val="clear" w:color="auto" w:fill="auto"/>
            <w:noWrap/>
            <w:hideMark/>
          </w:tcPr>
          <w:p w:rsidR="00242C36" w:rsidRPr="00E43137" w:rsidRDefault="00242C36" w:rsidP="00242C36">
            <w:pPr>
              <w:rPr>
                <w:rFonts w:ascii="Calibri" w:hAnsi="Calibri"/>
                <w:bCs/>
                <w:sz w:val="20"/>
                <w:szCs w:val="20"/>
              </w:rPr>
            </w:pPr>
            <w:r w:rsidRPr="00E43137">
              <w:rPr>
                <w:rFonts w:ascii="Calibri" w:hAnsi="Calibri"/>
                <w:bCs/>
                <w:sz w:val="20"/>
                <w:szCs w:val="20"/>
              </w:rPr>
              <w:t> </w:t>
            </w:r>
          </w:p>
        </w:tc>
        <w:tc>
          <w:tcPr>
            <w:tcW w:w="696" w:type="pct"/>
            <w:shd w:val="clear" w:color="auto" w:fill="auto"/>
            <w:noWrap/>
            <w:hideMark/>
          </w:tcPr>
          <w:p w:rsidR="00242C36" w:rsidRPr="00E43137" w:rsidRDefault="00242C36" w:rsidP="00242C36">
            <w:pPr>
              <w:jc w:val="center"/>
              <w:rPr>
                <w:rFonts w:ascii="Calibri" w:hAnsi="Calibri"/>
                <w:sz w:val="20"/>
                <w:szCs w:val="20"/>
              </w:rPr>
            </w:pPr>
            <w:r w:rsidRPr="00E43137">
              <w:rPr>
                <w:rFonts w:ascii="Calibri" w:hAnsi="Calibri"/>
                <w:sz w:val="20"/>
                <w:szCs w:val="20"/>
              </w:rPr>
              <w:t>Saldo</w:t>
            </w:r>
          </w:p>
        </w:tc>
        <w:tc>
          <w:tcPr>
            <w:tcW w:w="696" w:type="pct"/>
            <w:shd w:val="clear" w:color="auto" w:fill="auto"/>
            <w:noWrap/>
            <w:vAlign w:val="bottom"/>
            <w:hideMark/>
          </w:tcPr>
          <w:p w:rsidR="00242C36" w:rsidRPr="00E43137" w:rsidRDefault="00242C36" w:rsidP="00242C36">
            <w:pPr>
              <w:jc w:val="right"/>
              <w:rPr>
                <w:rFonts w:ascii="Calibri" w:hAnsi="Calibri"/>
                <w:bCs/>
                <w:sz w:val="20"/>
                <w:szCs w:val="20"/>
              </w:rPr>
            </w:pPr>
            <w:r w:rsidRPr="00E43137">
              <w:rPr>
                <w:rFonts w:ascii="Calibri" w:hAnsi="Calibri"/>
                <w:bCs/>
                <w:sz w:val="20"/>
                <w:szCs w:val="20"/>
              </w:rPr>
              <w:t>-805</w:t>
            </w:r>
          </w:p>
        </w:tc>
        <w:tc>
          <w:tcPr>
            <w:tcW w:w="696" w:type="pct"/>
            <w:shd w:val="clear" w:color="auto" w:fill="auto"/>
            <w:noWrap/>
            <w:vAlign w:val="bottom"/>
            <w:hideMark/>
          </w:tcPr>
          <w:p w:rsidR="00242C36" w:rsidRPr="00E43137" w:rsidRDefault="00242C36" w:rsidP="00242C36">
            <w:pPr>
              <w:jc w:val="right"/>
              <w:rPr>
                <w:rFonts w:ascii="Calibri" w:hAnsi="Calibri"/>
                <w:bCs/>
                <w:sz w:val="20"/>
                <w:szCs w:val="20"/>
              </w:rPr>
            </w:pPr>
            <w:r w:rsidRPr="00E43137">
              <w:rPr>
                <w:rFonts w:ascii="Calibri" w:hAnsi="Calibri"/>
                <w:bCs/>
                <w:sz w:val="20"/>
                <w:szCs w:val="20"/>
              </w:rPr>
              <w:t>-409</w:t>
            </w:r>
          </w:p>
        </w:tc>
        <w:tc>
          <w:tcPr>
            <w:tcW w:w="1124" w:type="pct"/>
            <w:shd w:val="clear" w:color="auto" w:fill="auto"/>
            <w:noWrap/>
            <w:vAlign w:val="bottom"/>
            <w:hideMark/>
          </w:tcPr>
          <w:p w:rsidR="00242C36" w:rsidRPr="00E43137" w:rsidRDefault="00242C36" w:rsidP="00242C36">
            <w:pPr>
              <w:jc w:val="center"/>
              <w:rPr>
                <w:rFonts w:ascii="Calibri" w:hAnsi="Calibri"/>
                <w:bCs/>
                <w:sz w:val="20"/>
                <w:szCs w:val="20"/>
              </w:rPr>
            </w:pPr>
            <w:r w:rsidRPr="00E43137">
              <w:rPr>
                <w:rFonts w:ascii="Calibri" w:hAnsi="Calibri"/>
                <w:bCs/>
                <w:sz w:val="20"/>
                <w:szCs w:val="20"/>
              </w:rPr>
              <w:t>50,8</w:t>
            </w:r>
          </w:p>
        </w:tc>
      </w:tr>
    </w:tbl>
    <w:p w:rsidR="00242C36" w:rsidRPr="00237C82" w:rsidRDefault="00242C36" w:rsidP="00242C36">
      <w:pPr>
        <w:rPr>
          <w:rFonts w:ascii="Calibri" w:hAnsi="Calibri"/>
          <w:sz w:val="20"/>
          <w:szCs w:val="20"/>
        </w:rPr>
      </w:pPr>
      <w:r w:rsidRPr="00237C82">
        <w:rPr>
          <w:rFonts w:ascii="Calibri" w:hAnsi="Calibri"/>
          <w:sz w:val="20"/>
          <w:szCs w:val="20"/>
          <w:vertAlign w:val="superscript"/>
        </w:rPr>
        <w:t>1)</w:t>
      </w:r>
      <w:r w:rsidRPr="00237C82">
        <w:rPr>
          <w:rFonts w:ascii="Calibri" w:hAnsi="Calibri"/>
          <w:sz w:val="20"/>
          <w:szCs w:val="20"/>
        </w:rPr>
        <w:t xml:space="preserve">  Predbežné údaje (apríl 2012)</w:t>
      </w:r>
    </w:p>
    <w:p w:rsidR="00242C36" w:rsidRDefault="00242C36" w:rsidP="00242C36">
      <w:pPr>
        <w:rPr>
          <w:rFonts w:ascii="Calibri" w:hAnsi="Calibri"/>
          <w:sz w:val="20"/>
          <w:szCs w:val="20"/>
        </w:rPr>
      </w:pPr>
      <w:r w:rsidRPr="00237C82">
        <w:rPr>
          <w:rFonts w:ascii="Calibri" w:hAnsi="Calibri"/>
          <w:sz w:val="20"/>
          <w:szCs w:val="20"/>
        </w:rPr>
        <w:t>Prameň: Štatistický úrad SR</w:t>
      </w:r>
    </w:p>
    <w:p w:rsidR="00E32F57" w:rsidRPr="00237C82" w:rsidRDefault="00E32F57" w:rsidP="00242C36">
      <w:pPr>
        <w:rPr>
          <w:rFonts w:ascii="Calibri" w:hAnsi="Calibri"/>
          <w:sz w:val="20"/>
          <w:szCs w:val="20"/>
        </w:rPr>
      </w:pPr>
    </w:p>
    <w:p w:rsidR="00242C36" w:rsidRPr="00E43137" w:rsidRDefault="00242C36" w:rsidP="00242C36">
      <w:pPr>
        <w:pBdr>
          <w:bar w:val="single" w:sz="6" w:color="808080"/>
        </w:pBdr>
        <w:rPr>
          <w:rFonts w:ascii="Calibri" w:eastAsia="Calibri" w:hAnsi="Calibri"/>
          <w:szCs w:val="22"/>
          <w:lang w:eastAsia="en-US"/>
        </w:rPr>
      </w:pPr>
      <w:r w:rsidRPr="00E43137">
        <w:rPr>
          <w:rFonts w:ascii="Calibri" w:eastAsia="Calibri" w:hAnsi="Calibri"/>
          <w:szCs w:val="22"/>
          <w:lang w:eastAsia="en-US"/>
        </w:rPr>
        <w:t>Na komoditnej úrovni sa konkurenčná schopnosť slovenského poľnohospodárstva zhoršuje. Pokým v roku 2002 agropotravinárske výrobky spadajúce do 75 položiek colného sadzobníka vykazovalo komparatívnu výhodu, v roku 2011 bolo položiek vykazujúcich komparatívnu výhodu už len 51.</w:t>
      </w:r>
    </w:p>
    <w:p w:rsidR="00242C36" w:rsidRDefault="00242C36" w:rsidP="00242C36">
      <w:pPr>
        <w:pBdr>
          <w:bar w:val="single" w:sz="6" w:color="808080"/>
        </w:pBdr>
        <w:spacing w:before="120"/>
        <w:rPr>
          <w:rFonts w:ascii="Calibri" w:eastAsia="Calibri" w:hAnsi="Calibri"/>
          <w:szCs w:val="22"/>
          <w:lang w:eastAsia="en-US"/>
        </w:rPr>
      </w:pPr>
      <w:r w:rsidRPr="00505442">
        <w:rPr>
          <w:rFonts w:ascii="Calibri" w:eastAsia="Calibri" w:hAnsi="Calibri"/>
          <w:szCs w:val="22"/>
          <w:lang w:eastAsia="en-US"/>
        </w:rPr>
        <w:t>V priemere rokov 2002-2011 sme na zahraničných trhoch vykazovali konkurenčnú</w:t>
      </w:r>
      <w:r w:rsidRPr="00505442">
        <w:rPr>
          <w:rFonts w:ascii="Calibri" w:eastAsia="Calibri" w:hAnsi="Calibri"/>
          <w:b/>
          <w:bCs/>
          <w:szCs w:val="22"/>
          <w:lang w:eastAsia="en-US"/>
        </w:rPr>
        <w:t xml:space="preserve"> </w:t>
      </w:r>
      <w:r w:rsidRPr="00505442">
        <w:rPr>
          <w:rFonts w:ascii="Calibri" w:eastAsia="Calibri" w:hAnsi="Calibri"/>
          <w:szCs w:val="22"/>
          <w:lang w:eastAsia="en-US"/>
        </w:rPr>
        <w:t>schopnosť hlavne</w:t>
      </w:r>
      <w:r>
        <w:rPr>
          <w:rFonts w:ascii="Calibri" w:eastAsia="Calibri" w:hAnsi="Calibri"/>
          <w:color w:val="4F81BD" w:themeColor="accent1"/>
          <w:szCs w:val="22"/>
          <w:lang w:eastAsia="en-US"/>
        </w:rPr>
        <w:t xml:space="preserve"> </w:t>
      </w:r>
      <w:r w:rsidRPr="00E43137">
        <w:rPr>
          <w:rFonts w:ascii="Calibri" w:eastAsia="Calibri" w:hAnsi="Calibri"/>
          <w:szCs w:val="22"/>
          <w:lang w:eastAsia="en-US"/>
        </w:rPr>
        <w:t xml:space="preserve"> u živého hovädzieho dobytka, ovčieho mäsa, tekutého mlieka, syrov, vtáčích vajec, pšenice, jačmeňa, kukurice, pšeničnej múky, sladu, škrobov, repky, slnečnice, ostatných cukroch, polievok, pričom je zrejmé, že išlo väčšinou o výrobky s nižšou pridanou hodnotou, čo svedčí o nízkej konkurencieschopnosti výrobkov potravinárskeho priemyslu na medzinárodných trhoch.</w:t>
      </w:r>
    </w:p>
    <w:p w:rsidR="00242C36" w:rsidRPr="007861E3" w:rsidRDefault="00242C36" w:rsidP="00242C36">
      <w:pPr>
        <w:spacing w:before="120"/>
        <w:rPr>
          <w:rFonts w:ascii="Calibri" w:hAnsi="Calibri"/>
          <w:szCs w:val="22"/>
        </w:rPr>
      </w:pPr>
      <w:r w:rsidRPr="00505442">
        <w:rPr>
          <w:rFonts w:ascii="Calibri" w:hAnsi="Calibri"/>
          <w:szCs w:val="22"/>
        </w:rPr>
        <w:t xml:space="preserve">Najväčší finančný objem kladného salda obchodnej bilancie bol v posledných rokoch zaznamenaný pri olejninách (repka, slnečnica), obilninách (kukurica, pšenica, jačmeň), živom hovädzom dobytku, mlieku a vtáčích vajciach s tendenciou rastu exportu.  V budúcnosti bude nutné odliv domácich surovín zo Slovenska zastaviť a podporiť ich spracovanie v domácom potravinárskom priemysle. </w:t>
      </w:r>
    </w:p>
    <w:p w:rsidR="00242C36" w:rsidRPr="00BF6D54" w:rsidRDefault="00242C36" w:rsidP="00242C36">
      <w:pPr>
        <w:rPr>
          <w:color w:val="FF0000"/>
        </w:rPr>
      </w:pPr>
    </w:p>
    <w:p w:rsidR="00242C36" w:rsidRPr="00237C82" w:rsidRDefault="00242C36" w:rsidP="00242C36">
      <w:pPr>
        <w:widowControl w:val="0"/>
        <w:rPr>
          <w:rFonts w:ascii="Calibri" w:hAnsi="Calibri"/>
          <w:b/>
          <w:szCs w:val="22"/>
        </w:rPr>
      </w:pPr>
      <w:r>
        <w:rPr>
          <w:rFonts w:ascii="Calibri" w:hAnsi="Calibri"/>
          <w:b/>
          <w:szCs w:val="22"/>
        </w:rPr>
        <w:t>P</w:t>
      </w:r>
      <w:r w:rsidRPr="00237C82">
        <w:rPr>
          <w:rFonts w:ascii="Calibri" w:hAnsi="Calibri"/>
          <w:b/>
          <w:szCs w:val="22"/>
        </w:rPr>
        <w:t>odiel slovenských výrobkov na domácich trhoch</w:t>
      </w:r>
    </w:p>
    <w:p w:rsidR="00242C36" w:rsidRPr="007861E3" w:rsidRDefault="00242C36" w:rsidP="00242C36">
      <w:pPr>
        <w:widowControl w:val="0"/>
        <w:rPr>
          <w:rFonts w:ascii="Calibri" w:hAnsi="Calibri"/>
          <w:szCs w:val="22"/>
        </w:rPr>
      </w:pPr>
      <w:r w:rsidRPr="00505442">
        <w:rPr>
          <w:rFonts w:ascii="Calibri" w:hAnsi="Calibri"/>
          <w:szCs w:val="22"/>
        </w:rPr>
        <w:t>Celkový podiel domácich poľnohospodárskych  a potravinárskych  produktov v obchodnej sieti SR je v súčasnosti nízky a  činí 49,1% (PSCI 12). Pokiaľ sa zameriame len na  potravinárske výrobky, v  období rokov 2004-2012 ich podiel na domácom trhu klesol zo 67,6% na 40,5%. Na slovenskom trhu majú najvyššie zastúpenie produkty pivovarnícko-sladovníckeho (82,9%), mliekarenského (66,0%), škrobárenského (59,0%), nápojového (49,8%) a vinárskeho priemyslu (49,0%). V sledovanom období veľmi dramaticky (o viac ako 40 p.b.) klesol podiel výrobkov mäsového, hydinárskeho, mlynského a cukrovarníckeho priemyslu.</w:t>
      </w:r>
    </w:p>
    <w:p w:rsidR="00242C36" w:rsidRPr="00E90071" w:rsidRDefault="00E32F57" w:rsidP="00242C36">
      <w:pPr>
        <w:keepNext/>
        <w:rPr>
          <w:b/>
          <w:szCs w:val="22"/>
        </w:rPr>
      </w:pPr>
      <w:r>
        <w:rPr>
          <w:b/>
          <w:szCs w:val="22"/>
        </w:rPr>
        <w:t xml:space="preserve">Tabuľka 31: </w:t>
      </w:r>
      <w:r w:rsidR="00242C36" w:rsidRPr="00E90071">
        <w:rPr>
          <w:b/>
          <w:szCs w:val="22"/>
        </w:rPr>
        <w:t>Podiel slovenských  potravinárskych výrobkov na domácom trhu (%)</w:t>
      </w:r>
    </w:p>
    <w:p w:rsidR="00242C36" w:rsidRPr="00C32822" w:rsidRDefault="00242C36" w:rsidP="00242C36">
      <w:pPr>
        <w:keepNext/>
        <w:rPr>
          <w:color w:val="FF0000"/>
          <w:szCs w:val="22"/>
        </w:rPr>
      </w:pPr>
      <w:r w:rsidRPr="00C32822">
        <w:rPr>
          <w:noProof/>
          <w:color w:val="FF0000"/>
          <w:szCs w:val="22"/>
        </w:rPr>
        <w:drawing>
          <wp:inline distT="0" distB="0" distL="0" distR="0" wp14:anchorId="178CEED0" wp14:editId="14B263BA">
            <wp:extent cx="5749925" cy="2962910"/>
            <wp:effectExtent l="0" t="0" r="0" b="0"/>
            <wp:docPr id="24" name="Obrázo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ok 2"/>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749925" cy="2962910"/>
                    </a:xfrm>
                    <a:prstGeom prst="rect">
                      <a:avLst/>
                    </a:prstGeom>
                    <a:noFill/>
                    <a:ln>
                      <a:noFill/>
                    </a:ln>
                  </pic:spPr>
                </pic:pic>
              </a:graphicData>
            </a:graphic>
          </wp:inline>
        </w:drawing>
      </w:r>
    </w:p>
    <w:p w:rsidR="00242C36" w:rsidRDefault="00242C36" w:rsidP="00242C36">
      <w:pPr>
        <w:keepNext/>
        <w:rPr>
          <w:sz w:val="20"/>
          <w:szCs w:val="20"/>
        </w:rPr>
      </w:pPr>
      <w:r w:rsidRPr="00275C9C">
        <w:rPr>
          <w:sz w:val="20"/>
          <w:szCs w:val="20"/>
        </w:rPr>
        <w:t>Prameň: Potrav (MPRV SR), vlastné výpočty</w:t>
      </w:r>
    </w:p>
    <w:p w:rsidR="00E32F57" w:rsidRPr="00275C9C" w:rsidRDefault="00E32F57" w:rsidP="00242C36">
      <w:pPr>
        <w:keepNext/>
        <w:rPr>
          <w:sz w:val="20"/>
          <w:szCs w:val="20"/>
        </w:rPr>
      </w:pPr>
    </w:p>
    <w:p w:rsidR="00242C36" w:rsidRPr="00275C9C" w:rsidRDefault="00242C36" w:rsidP="00242C36">
      <w:pPr>
        <w:pBdr>
          <w:bar w:val="single" w:sz="6" w:color="808080"/>
        </w:pBdr>
        <w:spacing w:after="120"/>
        <w:rPr>
          <w:rFonts w:eastAsia="Calibri" w:cs="Arial"/>
          <w:szCs w:val="22"/>
          <w:lang w:eastAsia="en-US"/>
        </w:rPr>
      </w:pPr>
      <w:r w:rsidRPr="00275C9C">
        <w:rPr>
          <w:rFonts w:eastAsia="Calibri" w:cs="Arial"/>
          <w:szCs w:val="22"/>
          <w:lang w:eastAsia="en-US"/>
        </w:rPr>
        <w:t xml:space="preserve">Dôvody uvedeného  stavu spočívajú v liberalizácii trhu EÚ, koncentrácii maloobchodnej siete a pretrvávajúcom dopyte po výrobkoch v nižších cenových reláciách. </w:t>
      </w:r>
      <w:r w:rsidRPr="00275C9C">
        <w:rPr>
          <w:rFonts w:ascii="Calibri" w:hAnsi="Calibri" w:cs="Arial"/>
          <w:szCs w:val="22"/>
        </w:rPr>
        <w:t>Po vstupe do EÚ sa zvyšuje intenzita dovozu konkurenčných  potravín na Slovensko</w:t>
      </w:r>
      <w:r>
        <w:rPr>
          <w:rFonts w:ascii="Calibri" w:hAnsi="Calibri" w:cs="Arial"/>
          <w:szCs w:val="22"/>
        </w:rPr>
        <w:t>,</w:t>
      </w:r>
      <w:r w:rsidRPr="00CF2C1A">
        <w:rPr>
          <w:rFonts w:ascii="Calibri" w:hAnsi="Calibri" w:cs="Arial"/>
          <w:szCs w:val="22"/>
        </w:rPr>
        <w:t xml:space="preserve"> </w:t>
      </w:r>
      <w:r w:rsidRPr="00275C9C">
        <w:rPr>
          <w:rFonts w:cs="Arial"/>
          <w:szCs w:val="22"/>
        </w:rPr>
        <w:t xml:space="preserve">čo síce na jednej strane motivuje výrobcov vyrábať čo najefektívnejšie a poskytuje im možnosť rozšírenia odbytu vrátane vstupu na zahraničný trh a vysoký štandard predaja ich produktov, avšak tlak na znižovanie cien spôsobuje pokles výkonnosti agropotravinárskeho sektora a rastúci podiel potravinárskych komodít na celkovom agropotravinárskom dovoze, ktorý v roku 2012 činil 77,4%. Daný stav výrazne ovplyvňuje aj </w:t>
      </w:r>
      <w:r w:rsidRPr="00275C9C">
        <w:rPr>
          <w:rFonts w:eastAsia="Calibri" w:cs="Arial"/>
          <w:szCs w:val="22"/>
          <w:lang w:eastAsia="en-US"/>
        </w:rPr>
        <w:t xml:space="preserve">slabší patriotizmus slovenského spotrebiteľa, ktorý vzhľadom na výšku svojich príjmov preferuje potraviny v nižších cenových reláciách bez ohľadu na ich provenienciu a uspokojí sa so štandardnou kvalitou. </w:t>
      </w:r>
    </w:p>
    <w:p w:rsidR="00242C36" w:rsidRPr="00275C9C" w:rsidRDefault="00242C36" w:rsidP="00366F96">
      <w:pPr>
        <w:widowControl w:val="0"/>
        <w:spacing w:after="120"/>
        <w:rPr>
          <w:rFonts w:ascii="Calibri" w:hAnsi="Calibri"/>
          <w:szCs w:val="22"/>
        </w:rPr>
      </w:pPr>
      <w:r w:rsidRPr="00275C9C">
        <w:rPr>
          <w:rFonts w:ascii="Calibri" w:hAnsi="Calibri"/>
          <w:szCs w:val="22"/>
        </w:rPr>
        <w:t>Cez obchodné reťazce sa realizuje 85% slovenskej produkcie, ktoré vyžadujú permanentnú inováciu výrobkov. Výrobcovia potravín  by sa mali viac orientovať na diferenciáciu svojich výrobkov napr. zavádzaním inovácií, investíciami do marketingu a značky, alebo špecializáciou a využívaním trhových medzier. Jedine silná diferenciácia v očiach spotrebiteľov im na dnešnom náročnom maloobchodnom trhu môže priniesť úspech. Z analýzy potravinárskeho priemyslu SR (vykonanej VÚEPP) vyplynulo, že okrem vyššie uvedeného k najväčším príležitostiam a výzvam pre slovenský potravinársky priemysel v budúcnosti patrí:</w:t>
      </w:r>
    </w:p>
    <w:p w:rsidR="00242C36" w:rsidRPr="00275C9C" w:rsidRDefault="00242C36" w:rsidP="00366F96">
      <w:pPr>
        <w:widowControl w:val="0"/>
        <w:numPr>
          <w:ilvl w:val="0"/>
          <w:numId w:val="8"/>
        </w:numPr>
        <w:spacing w:after="120"/>
        <w:rPr>
          <w:rFonts w:ascii="Calibri" w:hAnsi="Calibri"/>
          <w:szCs w:val="22"/>
        </w:rPr>
      </w:pPr>
      <w:r w:rsidRPr="00275C9C">
        <w:rPr>
          <w:rFonts w:ascii="Calibri" w:hAnsi="Calibri"/>
          <w:szCs w:val="22"/>
        </w:rPr>
        <w:t>stimulácia rastu pridanej hodnoty v potravinárskych odboroch prostredníctvom zvyšovania  ekonomickej efektívnosti  a predajnej výkonnosti;</w:t>
      </w:r>
    </w:p>
    <w:p w:rsidR="00242C36" w:rsidRPr="00275C9C" w:rsidRDefault="00242C36" w:rsidP="00366F96">
      <w:pPr>
        <w:widowControl w:val="0"/>
        <w:numPr>
          <w:ilvl w:val="0"/>
          <w:numId w:val="8"/>
        </w:numPr>
        <w:ind w:hanging="357"/>
        <w:rPr>
          <w:rFonts w:ascii="Calibri" w:hAnsi="Calibri"/>
          <w:szCs w:val="22"/>
        </w:rPr>
      </w:pPr>
      <w:r w:rsidRPr="00275C9C">
        <w:rPr>
          <w:rFonts w:ascii="Calibri" w:hAnsi="Calibri"/>
          <w:szCs w:val="22"/>
        </w:rPr>
        <w:t>zvýšenie podnikových výdajov na výskum a vývoj:</w:t>
      </w:r>
    </w:p>
    <w:p w:rsidR="00242C36" w:rsidRPr="00275C9C" w:rsidRDefault="00242C36" w:rsidP="00366F96">
      <w:pPr>
        <w:widowControl w:val="0"/>
        <w:numPr>
          <w:ilvl w:val="0"/>
          <w:numId w:val="9"/>
        </w:numPr>
        <w:ind w:left="1418" w:hanging="357"/>
        <w:rPr>
          <w:rFonts w:ascii="Calibri" w:hAnsi="Calibri"/>
          <w:szCs w:val="22"/>
        </w:rPr>
      </w:pPr>
      <w:r w:rsidRPr="00275C9C">
        <w:rPr>
          <w:rFonts w:ascii="Calibri" w:hAnsi="Calibri"/>
          <w:szCs w:val="22"/>
        </w:rPr>
        <w:t>rozvoj marketingových stratégií,</w:t>
      </w:r>
    </w:p>
    <w:p w:rsidR="00242C36" w:rsidRPr="00275C9C" w:rsidRDefault="00242C36" w:rsidP="00366F96">
      <w:pPr>
        <w:widowControl w:val="0"/>
        <w:numPr>
          <w:ilvl w:val="0"/>
          <w:numId w:val="9"/>
        </w:numPr>
        <w:ind w:left="1418" w:hanging="357"/>
        <w:rPr>
          <w:rFonts w:ascii="Calibri" w:hAnsi="Calibri"/>
          <w:szCs w:val="22"/>
        </w:rPr>
      </w:pPr>
      <w:r w:rsidRPr="00275C9C">
        <w:rPr>
          <w:rFonts w:ascii="Calibri" w:hAnsi="Calibri"/>
          <w:szCs w:val="22"/>
        </w:rPr>
        <w:t>zlepšenie štruktúry  produkcie v prospech moderných spotrebných trendov,</w:t>
      </w:r>
    </w:p>
    <w:p w:rsidR="00242C36" w:rsidRPr="00275C9C" w:rsidRDefault="00242C36" w:rsidP="00366F96">
      <w:pPr>
        <w:widowControl w:val="0"/>
        <w:numPr>
          <w:ilvl w:val="0"/>
          <w:numId w:val="9"/>
        </w:numPr>
        <w:spacing w:after="120"/>
        <w:ind w:left="1418"/>
        <w:rPr>
          <w:rFonts w:ascii="Calibri" w:hAnsi="Calibri"/>
          <w:szCs w:val="22"/>
        </w:rPr>
      </w:pPr>
      <w:r w:rsidRPr="00275C9C">
        <w:rPr>
          <w:rFonts w:ascii="Calibri" w:hAnsi="Calibri"/>
          <w:szCs w:val="22"/>
        </w:rPr>
        <w:t>rozšírenie portfólia výroby a jej sortimentu, vývoj nových, špeciálnych    inovovaných  produktov vrátane biovýrobkov;</w:t>
      </w:r>
    </w:p>
    <w:p w:rsidR="00242C36" w:rsidRPr="00275C9C" w:rsidRDefault="00242C36" w:rsidP="00366F96">
      <w:pPr>
        <w:widowControl w:val="0"/>
        <w:numPr>
          <w:ilvl w:val="0"/>
          <w:numId w:val="8"/>
        </w:numPr>
        <w:spacing w:after="120"/>
        <w:rPr>
          <w:rFonts w:ascii="Calibri" w:hAnsi="Calibri"/>
          <w:szCs w:val="22"/>
        </w:rPr>
      </w:pPr>
      <w:r w:rsidRPr="00275C9C">
        <w:rPr>
          <w:rFonts w:ascii="Calibri" w:hAnsi="Calibri"/>
          <w:szCs w:val="22"/>
        </w:rPr>
        <w:t>rozvoj malých a stredných podnikov, ktoré sú nositeľmi regionálnej diferenciácie výrobkov, t.</w:t>
      </w:r>
      <w:r>
        <w:rPr>
          <w:rFonts w:ascii="Calibri" w:hAnsi="Calibri"/>
          <w:szCs w:val="22"/>
        </w:rPr>
        <w:t> </w:t>
      </w:r>
      <w:r w:rsidRPr="00275C9C">
        <w:rPr>
          <w:rFonts w:ascii="Calibri" w:hAnsi="Calibri"/>
          <w:szCs w:val="22"/>
        </w:rPr>
        <w:t>j. miestnych špecialít; rozvoj regionálnych značiek;</w:t>
      </w:r>
    </w:p>
    <w:p w:rsidR="00242C36" w:rsidRPr="00275C9C" w:rsidRDefault="00242C36" w:rsidP="00366F96">
      <w:pPr>
        <w:widowControl w:val="0"/>
        <w:numPr>
          <w:ilvl w:val="0"/>
          <w:numId w:val="8"/>
        </w:numPr>
        <w:spacing w:after="120"/>
        <w:rPr>
          <w:rFonts w:ascii="Calibri" w:hAnsi="Calibri"/>
          <w:szCs w:val="22"/>
        </w:rPr>
      </w:pPr>
      <w:r w:rsidRPr="00275C9C">
        <w:rPr>
          <w:rFonts w:ascii="Calibri" w:hAnsi="Calibri"/>
          <w:szCs w:val="22"/>
        </w:rPr>
        <w:t xml:space="preserve">vyššia špecializácia výroby vo veľkých podnikoch, profitovanie z výnosov z rozsahu; </w:t>
      </w:r>
    </w:p>
    <w:p w:rsidR="00242C36" w:rsidRPr="00275C9C" w:rsidRDefault="00242C36" w:rsidP="00317BFF">
      <w:pPr>
        <w:widowControl w:val="0"/>
        <w:numPr>
          <w:ilvl w:val="0"/>
          <w:numId w:val="8"/>
        </w:numPr>
        <w:rPr>
          <w:rFonts w:ascii="Calibri" w:hAnsi="Calibri"/>
          <w:szCs w:val="22"/>
        </w:rPr>
      </w:pPr>
      <w:r w:rsidRPr="00275C9C">
        <w:rPr>
          <w:rFonts w:ascii="Calibri" w:hAnsi="Calibri"/>
          <w:szCs w:val="22"/>
        </w:rPr>
        <w:t xml:space="preserve">zvýšenie exportu produktov s vysokou pridanou hodnotou a čiastočné vytlačenie zahraničnej produkcie z domáceho trhu. </w:t>
      </w:r>
    </w:p>
    <w:p w:rsidR="00E32F57" w:rsidRDefault="00E32F57" w:rsidP="00242C36">
      <w:pPr>
        <w:widowControl w:val="0"/>
        <w:ind w:left="360"/>
        <w:rPr>
          <w:rFonts w:ascii="Calibri" w:hAnsi="Calibri"/>
          <w:szCs w:val="22"/>
        </w:rPr>
      </w:pPr>
    </w:p>
    <w:p w:rsidR="00242C36" w:rsidRPr="00275C9C" w:rsidRDefault="00242C36" w:rsidP="00242C36">
      <w:pPr>
        <w:widowControl w:val="0"/>
        <w:ind w:left="360"/>
        <w:rPr>
          <w:rFonts w:ascii="Calibri" w:hAnsi="Calibri"/>
          <w:szCs w:val="22"/>
        </w:rPr>
      </w:pPr>
      <w:r w:rsidRPr="001237D4">
        <w:rPr>
          <w:rFonts w:ascii="Calibri" w:hAnsi="Calibri"/>
          <w:szCs w:val="22"/>
        </w:rPr>
        <w:t xml:space="preserve">Predpokladom k naplneniu k uvedených príležitostí je okrem iného aj </w:t>
      </w:r>
      <w:r w:rsidRPr="00275C9C">
        <w:rPr>
          <w:rFonts w:ascii="Calibri" w:hAnsi="Calibri"/>
          <w:szCs w:val="22"/>
        </w:rPr>
        <w:t>poskytovanie  dostatočnej úrovne podpôr z národných zdrojov a fondov EÚ</w:t>
      </w:r>
      <w:r>
        <w:rPr>
          <w:rFonts w:ascii="Calibri" w:hAnsi="Calibri"/>
          <w:szCs w:val="22"/>
        </w:rPr>
        <w:t xml:space="preserve"> za účelom</w:t>
      </w:r>
      <w:r w:rsidRPr="00275C9C">
        <w:rPr>
          <w:rFonts w:ascii="Calibri" w:hAnsi="Calibri"/>
          <w:szCs w:val="22"/>
        </w:rPr>
        <w:t>:</w:t>
      </w:r>
    </w:p>
    <w:p w:rsidR="00242C36" w:rsidRPr="00275C9C" w:rsidRDefault="00242C36" w:rsidP="00317BFF">
      <w:pPr>
        <w:widowControl w:val="0"/>
        <w:numPr>
          <w:ilvl w:val="0"/>
          <w:numId w:val="10"/>
        </w:numPr>
        <w:rPr>
          <w:rFonts w:ascii="Calibri" w:hAnsi="Calibri"/>
          <w:szCs w:val="22"/>
        </w:rPr>
      </w:pPr>
      <w:r w:rsidRPr="00275C9C">
        <w:rPr>
          <w:rFonts w:ascii="Calibri" w:hAnsi="Calibri"/>
          <w:szCs w:val="22"/>
        </w:rPr>
        <w:t>stimuláci</w:t>
      </w:r>
      <w:r>
        <w:rPr>
          <w:rFonts w:ascii="Calibri" w:hAnsi="Calibri"/>
          <w:szCs w:val="22"/>
        </w:rPr>
        <w:t>e</w:t>
      </w:r>
      <w:r w:rsidRPr="00275C9C">
        <w:rPr>
          <w:rFonts w:ascii="Calibri" w:hAnsi="Calibri"/>
          <w:szCs w:val="22"/>
        </w:rPr>
        <w:t xml:space="preserve"> domáceho dopytu (pôsobenie na patriotizmus spotrebiteľa za účelom nákupu potravín slovenskej proveniencie – pomoc zo strany štátu na osvetu), vytlačeni</w:t>
      </w:r>
      <w:r>
        <w:rPr>
          <w:rFonts w:ascii="Calibri" w:hAnsi="Calibri"/>
          <w:szCs w:val="22"/>
        </w:rPr>
        <w:t>a</w:t>
      </w:r>
      <w:r w:rsidRPr="00275C9C">
        <w:rPr>
          <w:rFonts w:ascii="Calibri" w:hAnsi="Calibri"/>
          <w:szCs w:val="22"/>
        </w:rPr>
        <w:t xml:space="preserve"> menej kvalitných zahraničných produktov z domáceho trhu;</w:t>
      </w:r>
    </w:p>
    <w:p w:rsidR="00242C36" w:rsidRPr="00275C9C" w:rsidRDefault="00242C36" w:rsidP="00317BFF">
      <w:pPr>
        <w:widowControl w:val="0"/>
        <w:numPr>
          <w:ilvl w:val="0"/>
          <w:numId w:val="10"/>
        </w:numPr>
        <w:rPr>
          <w:rFonts w:ascii="Calibri" w:hAnsi="Calibri"/>
          <w:szCs w:val="22"/>
        </w:rPr>
      </w:pPr>
      <w:r w:rsidRPr="00275C9C">
        <w:rPr>
          <w:rFonts w:ascii="Calibri" w:hAnsi="Calibri"/>
          <w:szCs w:val="22"/>
        </w:rPr>
        <w:t>aktívn</w:t>
      </w:r>
      <w:r>
        <w:rPr>
          <w:rFonts w:ascii="Calibri" w:hAnsi="Calibri"/>
          <w:szCs w:val="22"/>
        </w:rPr>
        <w:t>ej</w:t>
      </w:r>
      <w:r w:rsidRPr="00275C9C">
        <w:rPr>
          <w:rFonts w:ascii="Calibri" w:hAnsi="Calibri"/>
          <w:szCs w:val="22"/>
        </w:rPr>
        <w:t xml:space="preserve"> propagáci</w:t>
      </w:r>
      <w:r>
        <w:rPr>
          <w:rFonts w:ascii="Calibri" w:hAnsi="Calibri"/>
          <w:szCs w:val="22"/>
        </w:rPr>
        <w:t>e</w:t>
      </w:r>
      <w:r w:rsidRPr="00275C9C">
        <w:rPr>
          <w:rFonts w:ascii="Calibri" w:hAnsi="Calibri"/>
          <w:szCs w:val="22"/>
        </w:rPr>
        <w:t xml:space="preserve"> produktov potravinárskeho priemyslu v zahraničí</w:t>
      </w:r>
      <w:r>
        <w:rPr>
          <w:rFonts w:ascii="Calibri" w:hAnsi="Calibri"/>
          <w:szCs w:val="22"/>
        </w:rPr>
        <w:t xml:space="preserve"> -</w:t>
      </w:r>
      <w:r w:rsidRPr="00275C9C">
        <w:rPr>
          <w:rFonts w:ascii="Calibri" w:hAnsi="Calibri"/>
          <w:szCs w:val="22"/>
        </w:rPr>
        <w:t xml:space="preserve"> účas</w:t>
      </w:r>
      <w:r>
        <w:rPr>
          <w:rFonts w:ascii="Calibri" w:hAnsi="Calibri"/>
          <w:szCs w:val="22"/>
        </w:rPr>
        <w:t>ť</w:t>
      </w:r>
      <w:r w:rsidRPr="00275C9C">
        <w:rPr>
          <w:rFonts w:ascii="Calibri" w:hAnsi="Calibri"/>
          <w:szCs w:val="22"/>
        </w:rPr>
        <w:t xml:space="preserve"> na veľtrhoch a výstavách, vývoz</w:t>
      </w:r>
      <w:r>
        <w:rPr>
          <w:rFonts w:ascii="Calibri" w:hAnsi="Calibri"/>
          <w:szCs w:val="22"/>
        </w:rPr>
        <w:t xml:space="preserve"> </w:t>
      </w:r>
      <w:r w:rsidRPr="00275C9C">
        <w:rPr>
          <w:rFonts w:ascii="Calibri" w:hAnsi="Calibri"/>
          <w:szCs w:val="22"/>
        </w:rPr>
        <w:t>do krajín EÚ a tretích krajín,</w:t>
      </w:r>
    </w:p>
    <w:p w:rsidR="00242C36" w:rsidRPr="00275C9C" w:rsidRDefault="00242C36" w:rsidP="00317BFF">
      <w:pPr>
        <w:widowControl w:val="0"/>
        <w:numPr>
          <w:ilvl w:val="0"/>
          <w:numId w:val="10"/>
        </w:numPr>
        <w:rPr>
          <w:rFonts w:ascii="Calibri" w:hAnsi="Calibri"/>
          <w:szCs w:val="22"/>
        </w:rPr>
      </w:pPr>
      <w:r w:rsidRPr="00275C9C">
        <w:rPr>
          <w:rFonts w:ascii="Calibri" w:hAnsi="Calibri"/>
          <w:szCs w:val="22"/>
        </w:rPr>
        <w:t>podpor</w:t>
      </w:r>
      <w:r>
        <w:rPr>
          <w:rFonts w:ascii="Calibri" w:hAnsi="Calibri"/>
          <w:szCs w:val="22"/>
        </w:rPr>
        <w:t>y</w:t>
      </w:r>
      <w:r w:rsidRPr="00275C9C">
        <w:rPr>
          <w:rFonts w:ascii="Calibri" w:hAnsi="Calibri"/>
          <w:szCs w:val="22"/>
        </w:rPr>
        <w:t xml:space="preserve"> rozvoja malých a stredných podnikov,</w:t>
      </w:r>
    </w:p>
    <w:p w:rsidR="00242C36" w:rsidRPr="00275C9C" w:rsidRDefault="00242C36" w:rsidP="00317BFF">
      <w:pPr>
        <w:widowControl w:val="0"/>
        <w:numPr>
          <w:ilvl w:val="0"/>
          <w:numId w:val="10"/>
        </w:numPr>
        <w:rPr>
          <w:rFonts w:ascii="Calibri" w:hAnsi="Calibri"/>
          <w:szCs w:val="22"/>
        </w:rPr>
      </w:pPr>
      <w:r w:rsidRPr="00275C9C">
        <w:rPr>
          <w:rFonts w:ascii="Calibri" w:hAnsi="Calibri"/>
          <w:szCs w:val="22"/>
        </w:rPr>
        <w:t>podpor</w:t>
      </w:r>
      <w:r>
        <w:rPr>
          <w:rFonts w:ascii="Calibri" w:hAnsi="Calibri"/>
          <w:szCs w:val="22"/>
        </w:rPr>
        <w:t>y</w:t>
      </w:r>
      <w:r w:rsidRPr="00275C9C">
        <w:rPr>
          <w:rFonts w:ascii="Calibri" w:hAnsi="Calibri"/>
          <w:szCs w:val="22"/>
        </w:rPr>
        <w:t xml:space="preserve"> investovania do moderných strojov a technologických zariadení; </w:t>
      </w:r>
    </w:p>
    <w:p w:rsidR="00242C36" w:rsidRPr="00275C9C" w:rsidRDefault="00242C36" w:rsidP="00317BFF">
      <w:pPr>
        <w:widowControl w:val="0"/>
        <w:numPr>
          <w:ilvl w:val="0"/>
          <w:numId w:val="10"/>
        </w:numPr>
        <w:rPr>
          <w:rFonts w:ascii="Calibri" w:hAnsi="Calibri"/>
          <w:szCs w:val="22"/>
        </w:rPr>
      </w:pPr>
      <w:r w:rsidRPr="00275C9C">
        <w:rPr>
          <w:rFonts w:ascii="Calibri" w:hAnsi="Calibri"/>
          <w:szCs w:val="22"/>
        </w:rPr>
        <w:t>aktívn</w:t>
      </w:r>
      <w:r>
        <w:rPr>
          <w:rFonts w:ascii="Calibri" w:hAnsi="Calibri"/>
          <w:szCs w:val="22"/>
        </w:rPr>
        <w:t>ej</w:t>
      </w:r>
      <w:r w:rsidRPr="00275C9C">
        <w:rPr>
          <w:rFonts w:ascii="Calibri" w:hAnsi="Calibri"/>
          <w:szCs w:val="22"/>
        </w:rPr>
        <w:t xml:space="preserve"> ochran</w:t>
      </w:r>
      <w:r>
        <w:rPr>
          <w:rFonts w:ascii="Calibri" w:hAnsi="Calibri"/>
          <w:szCs w:val="22"/>
        </w:rPr>
        <w:t>y</w:t>
      </w:r>
      <w:r w:rsidRPr="00275C9C">
        <w:rPr>
          <w:rFonts w:ascii="Calibri" w:hAnsi="Calibri"/>
          <w:szCs w:val="22"/>
        </w:rPr>
        <w:t xml:space="preserve"> štátu  pred dovozmi nekvalitných a bezpečnosť ohrozujúcich potravín nespĺňajúcich požadované štandardy EÚ.</w:t>
      </w:r>
    </w:p>
    <w:p w:rsidR="00242C36" w:rsidRDefault="00242C36" w:rsidP="00242C36">
      <w:pPr>
        <w:keepNext/>
        <w:contextualSpacing/>
        <w:rPr>
          <w:rFonts w:ascii="Calibri" w:hAnsi="Calibri"/>
          <w:strike/>
          <w:color w:val="BFBFBF" w:themeColor="background1" w:themeShade="BF"/>
          <w:szCs w:val="22"/>
        </w:rPr>
      </w:pPr>
    </w:p>
    <w:p w:rsidR="00242C36" w:rsidRPr="007861E3" w:rsidRDefault="00242C36" w:rsidP="00242C36">
      <w:pPr>
        <w:keepNext/>
        <w:contextualSpacing/>
        <w:rPr>
          <w:rFonts w:ascii="Calibri" w:hAnsi="Calibri"/>
          <w:b/>
          <w:szCs w:val="22"/>
        </w:rPr>
      </w:pPr>
      <w:r w:rsidRPr="00505442">
        <w:rPr>
          <w:rFonts w:ascii="Calibri" w:hAnsi="Calibri"/>
          <w:b/>
          <w:szCs w:val="22"/>
        </w:rPr>
        <w:t>Rastový potenciál potravinárskych odborov</w:t>
      </w:r>
    </w:p>
    <w:p w:rsidR="00242C36" w:rsidRDefault="00242C36" w:rsidP="00242C36">
      <w:pPr>
        <w:keepNext/>
        <w:contextualSpacing/>
        <w:rPr>
          <w:szCs w:val="22"/>
        </w:rPr>
      </w:pPr>
      <w:r w:rsidRPr="00505442">
        <w:rPr>
          <w:rFonts w:ascii="Calibri" w:hAnsi="Calibri"/>
          <w:szCs w:val="22"/>
        </w:rPr>
        <w:t>V budúcnosti bude  nutné podporovať odbory,  ktoré spracovávajú prvotné agrárne suroviny a prispievajú k základnej výžive domáceho obyvateľstva. V prvom rade ide o </w:t>
      </w:r>
      <w:r w:rsidRPr="00505442">
        <w:rPr>
          <w:rFonts w:ascii="Calibri" w:hAnsi="Calibri"/>
          <w:b/>
          <w:szCs w:val="22"/>
        </w:rPr>
        <w:t xml:space="preserve">mlynský, mäsový, mliekarenský, hydinársky, tukový a konzervárenský priemysel. </w:t>
      </w:r>
      <w:r w:rsidRPr="00505442">
        <w:rPr>
          <w:rFonts w:ascii="Calibri" w:hAnsi="Calibri"/>
          <w:szCs w:val="22"/>
        </w:rPr>
        <w:t xml:space="preserve">Tieto odbory disponujú značným rastovým potenciálom najmä vzhľadom na dostatok kvalitných  domácich agrárnych  surovín. Tieto sa na jednej strane exportujú a  na druhej strane sa k nám vracajú vo forme spracovaných potravín zo zahraničia. </w:t>
      </w:r>
      <w:r w:rsidRPr="00505442">
        <w:rPr>
          <w:szCs w:val="22"/>
        </w:rPr>
        <w:t xml:space="preserve">Alarmujúcim je fakt, že </w:t>
      </w:r>
      <w:r w:rsidRPr="00505442">
        <w:rPr>
          <w:szCs w:val="22"/>
          <w:u w:val="single"/>
        </w:rPr>
        <w:t>v súčasnosti sa v SR spracováva len 65% domácej agrárnej produkcie, pričom cieľom do roku 2020 je 80%</w:t>
      </w:r>
      <w:r w:rsidRPr="00505442">
        <w:rPr>
          <w:szCs w:val="22"/>
        </w:rPr>
        <w:t xml:space="preserve"> (</w:t>
      </w:r>
      <w:r w:rsidRPr="00505442">
        <w:rPr>
          <w:b/>
          <w:szCs w:val="22"/>
        </w:rPr>
        <w:t>PSCI 11).</w:t>
      </w:r>
      <w:r w:rsidRPr="00505442">
        <w:rPr>
          <w:szCs w:val="22"/>
        </w:rPr>
        <w:t xml:space="preserve"> Okrem uvedených odborov je nutné zo strategických dôvodov podporiť </w:t>
      </w:r>
      <w:r w:rsidRPr="00505442">
        <w:rPr>
          <w:b/>
          <w:szCs w:val="22"/>
        </w:rPr>
        <w:t xml:space="preserve">pekárenský priemysel, </w:t>
      </w:r>
      <w:r w:rsidRPr="00505442">
        <w:rPr>
          <w:szCs w:val="22"/>
        </w:rPr>
        <w:t xml:space="preserve">ktorého základnou surovinou je múka domácej proveniencie. Výsledkom  dotačnej podpory by mal  byť rast domácej produkcie  potravinárskych výrobkov, produkcia inovovaných výrobkov s vyššou pridanou hodnotou,  zvyšovanie ich podielu v domácej maloobchodnej sieti, zastavenie exportu </w:t>
      </w:r>
      <w:r>
        <w:rPr>
          <w:szCs w:val="22"/>
        </w:rPr>
        <w:t xml:space="preserve">agrárnych surovín a nadmerného </w:t>
      </w:r>
      <w:r w:rsidRPr="00505442">
        <w:rPr>
          <w:szCs w:val="22"/>
        </w:rPr>
        <w:t xml:space="preserve">dovozu potravín zo zahraničia a zvýšenie zamestnanosti v uvedených  potravinárskych odboroch. </w:t>
      </w:r>
    </w:p>
    <w:p w:rsidR="00E32F57" w:rsidRDefault="00E32F57" w:rsidP="00242C36">
      <w:pPr>
        <w:autoSpaceDE w:val="0"/>
        <w:autoSpaceDN w:val="0"/>
        <w:adjustRightInd w:val="0"/>
        <w:rPr>
          <w:rFonts w:eastAsiaTheme="minorHAnsi"/>
          <w:szCs w:val="22"/>
          <w:lang w:eastAsia="en-US"/>
        </w:rPr>
      </w:pPr>
    </w:p>
    <w:p w:rsidR="00242C36" w:rsidRPr="00760931" w:rsidRDefault="00242C36" w:rsidP="00242C36">
      <w:pPr>
        <w:autoSpaceDE w:val="0"/>
        <w:autoSpaceDN w:val="0"/>
        <w:adjustRightInd w:val="0"/>
        <w:rPr>
          <w:rFonts w:eastAsiaTheme="minorHAnsi"/>
          <w:szCs w:val="22"/>
          <w:lang w:eastAsia="en-US"/>
        </w:rPr>
      </w:pPr>
      <w:r w:rsidRPr="00760931">
        <w:rPr>
          <w:rFonts w:eastAsiaTheme="minorHAnsi"/>
          <w:szCs w:val="22"/>
          <w:lang w:eastAsia="en-US"/>
        </w:rPr>
        <w:t xml:space="preserve">Pri opatrení 1.2 Pridávanie hodnoty do poľnohospodárskych produktov a produktov lesného hospodárstva (kód opatrenia 123) </w:t>
      </w:r>
      <w:r>
        <w:rPr>
          <w:rFonts w:eastAsiaTheme="minorHAnsi"/>
          <w:szCs w:val="22"/>
          <w:lang w:eastAsia="en-US"/>
        </w:rPr>
        <w:t xml:space="preserve">PRV SR 2007 – 2013 je nasledovné </w:t>
      </w:r>
      <w:r w:rsidRPr="00760931">
        <w:rPr>
          <w:rFonts w:eastAsiaTheme="minorHAnsi"/>
          <w:szCs w:val="22"/>
          <w:lang w:eastAsia="en-US"/>
        </w:rPr>
        <w:t>členenie za potravinárstvo podľa prevažujúceho</w:t>
      </w:r>
      <w:r>
        <w:rPr>
          <w:rFonts w:eastAsiaTheme="minorHAnsi"/>
          <w:szCs w:val="22"/>
          <w:lang w:eastAsia="en-US"/>
        </w:rPr>
        <w:t xml:space="preserve"> sektorového zamerania projektu </w:t>
      </w:r>
      <w:r w:rsidRPr="00760931">
        <w:rPr>
          <w:rFonts w:eastAsiaTheme="minorHAnsi"/>
          <w:szCs w:val="22"/>
          <w:lang w:eastAsia="en-US"/>
        </w:rPr>
        <w:t>k 31.12.2013 za podporené projek</w:t>
      </w:r>
      <w:r>
        <w:rPr>
          <w:rFonts w:eastAsiaTheme="minorHAnsi"/>
          <w:szCs w:val="22"/>
          <w:lang w:eastAsia="en-US"/>
        </w:rPr>
        <w:t xml:space="preserve">ty (t. j. vyplatená min. 1platba: </w:t>
      </w:r>
    </w:p>
    <w:p w:rsidR="00242C36" w:rsidRDefault="00242C36" w:rsidP="00242C36">
      <w:pPr>
        <w:keepNext/>
        <w:contextualSpacing/>
        <w:rPr>
          <w:rFonts w:ascii="Calibri" w:hAnsi="Calibri"/>
          <w:color w:val="000000" w:themeColor="text1"/>
          <w:szCs w:val="22"/>
          <w:highlight w:val="yellow"/>
        </w:rPr>
      </w:pPr>
      <w:r w:rsidRPr="00760931">
        <w:rPr>
          <w:rFonts w:ascii="Calibri" w:hAnsi="Calibri"/>
          <w:noProof/>
          <w:color w:val="000000" w:themeColor="text1"/>
          <w:szCs w:val="22"/>
        </w:rPr>
        <w:drawing>
          <wp:inline distT="0" distB="0" distL="0" distR="0" wp14:anchorId="1AA898F6" wp14:editId="5100C64B">
            <wp:extent cx="4895850" cy="3171825"/>
            <wp:effectExtent l="19050" t="0" r="0" b="0"/>
            <wp:docPr id="7" name="Obrázo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cstate="print"/>
                    <a:srcRect/>
                    <a:stretch>
                      <a:fillRect/>
                    </a:stretch>
                  </pic:blipFill>
                  <pic:spPr bwMode="auto">
                    <a:xfrm>
                      <a:off x="0" y="0"/>
                      <a:ext cx="4895850" cy="3171825"/>
                    </a:xfrm>
                    <a:prstGeom prst="rect">
                      <a:avLst/>
                    </a:prstGeom>
                    <a:noFill/>
                    <a:ln w="9525">
                      <a:noFill/>
                      <a:miter lim="800000"/>
                      <a:headEnd/>
                      <a:tailEnd/>
                    </a:ln>
                  </pic:spPr>
                </pic:pic>
              </a:graphicData>
            </a:graphic>
          </wp:inline>
        </w:drawing>
      </w:r>
    </w:p>
    <w:p w:rsidR="00242C36" w:rsidRPr="00760931" w:rsidRDefault="00242C36" w:rsidP="00242C36">
      <w:pPr>
        <w:keepNext/>
        <w:contextualSpacing/>
        <w:rPr>
          <w:rFonts w:ascii="Calibri" w:hAnsi="Calibri"/>
          <w:color w:val="000000" w:themeColor="text1"/>
          <w:sz w:val="20"/>
          <w:szCs w:val="20"/>
        </w:rPr>
      </w:pPr>
      <w:r w:rsidRPr="00760931">
        <w:rPr>
          <w:rFonts w:ascii="Calibri" w:hAnsi="Calibri"/>
          <w:color w:val="000000" w:themeColor="text1"/>
          <w:sz w:val="20"/>
          <w:szCs w:val="20"/>
        </w:rPr>
        <w:t>Zdroj: PPA</w:t>
      </w:r>
    </w:p>
    <w:p w:rsidR="00242C36" w:rsidRDefault="00242C36" w:rsidP="00242C36">
      <w:pPr>
        <w:keepNext/>
        <w:contextualSpacing/>
        <w:rPr>
          <w:rFonts w:ascii="Calibri" w:hAnsi="Calibri"/>
          <w:color w:val="000000" w:themeColor="text1"/>
          <w:szCs w:val="22"/>
          <w:highlight w:val="yellow"/>
        </w:rPr>
      </w:pPr>
    </w:p>
    <w:p w:rsidR="00242C36" w:rsidRPr="00E43137" w:rsidRDefault="00242C36" w:rsidP="00242C36">
      <w:pPr>
        <w:keepNext/>
        <w:keepLines/>
        <w:pBdr>
          <w:bar w:val="single" w:sz="6" w:color="808080"/>
        </w:pBdr>
        <w:spacing w:after="120"/>
        <w:outlineLvl w:val="1"/>
        <w:rPr>
          <w:rFonts w:ascii="Calibri" w:hAnsi="Calibri"/>
          <w:b/>
          <w:bCs/>
          <w:szCs w:val="22"/>
        </w:rPr>
      </w:pPr>
      <w:r w:rsidRPr="00E43137">
        <w:rPr>
          <w:rFonts w:ascii="Calibri" w:hAnsi="Calibri"/>
          <w:b/>
          <w:bCs/>
          <w:szCs w:val="22"/>
        </w:rPr>
        <w:t>Kvalita produkcie</w:t>
      </w:r>
    </w:p>
    <w:p w:rsidR="00242C36" w:rsidRPr="004C127D" w:rsidRDefault="00242C36" w:rsidP="00242C36">
      <w:pPr>
        <w:rPr>
          <w:rFonts w:ascii="Calibri" w:hAnsi="Calibri"/>
        </w:rPr>
      </w:pPr>
      <w:r w:rsidRPr="004C127D">
        <w:rPr>
          <w:rFonts w:ascii="Calibri" w:hAnsi="Calibri"/>
        </w:rPr>
        <w:t xml:space="preserve">Medzi </w:t>
      </w:r>
      <w:r w:rsidRPr="004C127D">
        <w:rPr>
          <w:rFonts w:ascii="Calibri" w:hAnsi="Calibri"/>
          <w:b/>
        </w:rPr>
        <w:t>priority Slovenskej republiky a EÚ</w:t>
      </w:r>
      <w:r w:rsidRPr="004C127D">
        <w:rPr>
          <w:rFonts w:ascii="Calibri" w:hAnsi="Calibri"/>
        </w:rPr>
        <w:t xml:space="preserve"> patrí i zabezpečenie ochrany zdravia a spotrebiteľa z hľadiska bezpečnosti potravín. Kompetentné kontrolné orgány všetkých členských štátov EÚ každoročne monitorujú, kontrolujú a  overujú, či prevádzkovatelia  plnia príslušné požiadavky pre bezpečnosť potravín na všetkých stupňoch výroby, spracovania, distribúcie a predaja potravín konečnému spotrebiteľovi. Úradná kontrola potravín je nástroj na presadzovanie a uplatňovanie potravinového práva upraveného národnou, ale i európskou legislatívou. </w:t>
      </w:r>
    </w:p>
    <w:p w:rsidR="00242C36" w:rsidRPr="004C127D" w:rsidRDefault="00242C36" w:rsidP="00242C36">
      <w:pPr>
        <w:rPr>
          <w:rFonts w:ascii="Calibri" w:hAnsi="Calibri"/>
          <w:b/>
        </w:rPr>
      </w:pPr>
    </w:p>
    <w:p w:rsidR="00242C36" w:rsidRPr="004C127D" w:rsidRDefault="00242C36" w:rsidP="00242C36">
      <w:pPr>
        <w:rPr>
          <w:rFonts w:ascii="Calibri" w:hAnsi="Calibri"/>
          <w:b/>
        </w:rPr>
      </w:pPr>
      <w:r>
        <w:rPr>
          <w:rFonts w:ascii="Calibri" w:hAnsi="Calibri"/>
          <w:b/>
        </w:rPr>
        <w:t>Značka kvality SK</w:t>
      </w:r>
    </w:p>
    <w:p w:rsidR="00242C36" w:rsidRPr="00CB7F52" w:rsidRDefault="00242C36" w:rsidP="00242C36">
      <w:pPr>
        <w:pBdr>
          <w:bar w:val="single" w:sz="6" w:color="808080"/>
        </w:pBdr>
        <w:spacing w:before="120"/>
        <w:rPr>
          <w:rFonts w:ascii="Calibri" w:eastAsia="Calibri" w:hAnsi="Calibri"/>
          <w:szCs w:val="22"/>
          <w:lang w:eastAsia="en-US"/>
        </w:rPr>
      </w:pPr>
      <w:r w:rsidRPr="00E43137">
        <w:rPr>
          <w:rFonts w:ascii="Calibri" w:eastAsia="Calibri" w:hAnsi="Calibri" w:cs="Calibri"/>
          <w:szCs w:val="22"/>
        </w:rPr>
        <w:t xml:space="preserve">V roku 2004 vznikol Národný program podpory poľnohospodárskych  produktov a potravín </w:t>
      </w:r>
      <w:r w:rsidRPr="00E43137">
        <w:rPr>
          <w:rFonts w:ascii="Calibri" w:eastAsia="Calibri" w:hAnsi="Calibri" w:cs="Calibri"/>
          <w:i/>
          <w:iCs/>
          <w:szCs w:val="22"/>
        </w:rPr>
        <w:t xml:space="preserve">Značka kvality SK </w:t>
      </w:r>
      <w:r w:rsidRPr="00E43137">
        <w:rPr>
          <w:rFonts w:ascii="Calibri" w:eastAsia="Calibri" w:hAnsi="Calibri" w:cs="Calibri"/>
          <w:szCs w:val="22"/>
        </w:rPr>
        <w:t xml:space="preserve">na podporu spotreby domácej potravinovej produkcie v rozrastajúcom sa konkurenčnom prostredí po vstupe Slovenska do EÚ. Prioritou programu od začiatku bolo zviditeľniť domáce kvalitné </w:t>
      </w:r>
      <w:r w:rsidRPr="00CB7F52">
        <w:rPr>
          <w:rFonts w:ascii="Calibri" w:eastAsia="Calibri" w:hAnsi="Calibri"/>
          <w:szCs w:val="22"/>
          <w:lang w:eastAsia="en-US"/>
        </w:rPr>
        <w:t>výrobky a posilniť tak ich konkurencieschopnosť na domácom trhu. Gestorom udeľovania značky je MPRV SR, odborným garantom udeľovania značky je Štátna veterinárna a potravinová správa Slovenskej republiky (ŠVPS SR).</w:t>
      </w:r>
    </w:p>
    <w:p w:rsidR="00242C36" w:rsidRPr="00CB7F52" w:rsidRDefault="00242C36" w:rsidP="00242C36">
      <w:pPr>
        <w:pBdr>
          <w:bar w:val="single" w:sz="6" w:color="808080"/>
        </w:pBdr>
        <w:spacing w:before="120"/>
        <w:rPr>
          <w:rFonts w:ascii="Calibri" w:eastAsia="Calibri" w:hAnsi="Calibri"/>
          <w:szCs w:val="22"/>
          <w:lang w:eastAsia="en-US"/>
        </w:rPr>
      </w:pPr>
      <w:r w:rsidRPr="00CB7F52">
        <w:rPr>
          <w:rFonts w:ascii="Calibri" w:eastAsia="Calibri" w:hAnsi="Calibri"/>
          <w:szCs w:val="22"/>
          <w:lang w:eastAsia="en-US"/>
        </w:rPr>
        <w:t>Podľa informácií MPRV SR z januára 2014 má v súčasnosti právo používať označenie Značka kvality SK spolu 88 výrobcov</w:t>
      </w:r>
      <w:r>
        <w:rPr>
          <w:rFonts w:ascii="Calibri" w:eastAsia="Calibri" w:hAnsi="Calibri"/>
          <w:szCs w:val="22"/>
          <w:lang w:eastAsia="en-US"/>
        </w:rPr>
        <w:t xml:space="preserve"> (r. 2012, PSCI 5)</w:t>
      </w:r>
      <w:r w:rsidRPr="00CB7F52">
        <w:rPr>
          <w:rFonts w:ascii="Calibri" w:eastAsia="Calibri" w:hAnsi="Calibri"/>
          <w:szCs w:val="22"/>
          <w:lang w:eastAsia="en-US"/>
        </w:rPr>
        <w:t xml:space="preserve"> pre vyše 660 slovenských potravinárskych výrobkov. Cieľom je podporiť spotrebu produkcie domácich výrobcov potravín—75% suroviny pochádza zo Slovenska a všetky fázy výrobného procesu sa robia v SR. Produkty, ktoré majú nadštandardnú kvalitu a prevyšujú porovnateľné produkty na trhu, môžu získať Značku kvality SK GOLD. Takto označené výrobky produkuje v súčasnosti (január 2014) 55 výrobcov.</w:t>
      </w:r>
      <w:r>
        <w:rPr>
          <w:rFonts w:ascii="Calibri" w:eastAsia="Calibri" w:hAnsi="Calibri"/>
          <w:szCs w:val="22"/>
          <w:lang w:eastAsia="en-US"/>
        </w:rPr>
        <w:t xml:space="preserve"> Počet registrovaných značiek – zaručená tradičná špecialita je 7 (PSCI 6). Počet registrovaných značiek – chránené označenie pôvodu je tiež 7 (PSCI 7).</w:t>
      </w:r>
    </w:p>
    <w:p w:rsidR="00242C36" w:rsidRPr="00CB7F52" w:rsidRDefault="00242C36" w:rsidP="00242C36">
      <w:pPr>
        <w:pBdr>
          <w:bar w:val="single" w:sz="6" w:color="808080"/>
        </w:pBdr>
        <w:spacing w:before="120"/>
        <w:rPr>
          <w:rFonts w:ascii="Calibri" w:eastAsia="Calibri" w:hAnsi="Calibri"/>
          <w:szCs w:val="22"/>
          <w:lang w:eastAsia="en-US"/>
        </w:rPr>
      </w:pPr>
      <w:r w:rsidRPr="00CB7F52">
        <w:rPr>
          <w:rFonts w:ascii="Calibri" w:eastAsia="Calibri" w:hAnsi="Calibri"/>
          <w:szCs w:val="22"/>
          <w:lang w:eastAsia="en-US"/>
        </w:rPr>
        <w:t>K ďalším podmienkam patrí dodržanie deklarovaného technologického postupu a parametre uvedené v technickej dokumentácii musia byť doložené protokolom o skúškach vystaveným akreditovaným laboratóriom. Splnenie kritérií na udelenie značky posúdi komisia. Ak komisia odporučí výrobok na udelenie značky, minister pôdohospodárstva a rozvoja vidieka  Slovenskej republiky udelí značku  vydaním rozhodnutia. Po udelení značky ministerstvo rozhodnutie zverejní  na internetovej stránke (</w:t>
      </w:r>
      <w:hyperlink r:id="rId23" w:history="1">
        <w:r w:rsidRPr="00CB7F52">
          <w:rPr>
            <w:rFonts w:ascii="Calibri" w:eastAsia="Calibri" w:hAnsi="Calibri"/>
            <w:szCs w:val="22"/>
            <w:lang w:eastAsia="en-US"/>
          </w:rPr>
          <w:t>www.znackakvality.sk</w:t>
        </w:r>
      </w:hyperlink>
      <w:r w:rsidRPr="00CB7F52">
        <w:rPr>
          <w:rFonts w:ascii="Calibri" w:eastAsia="Calibri" w:hAnsi="Calibri"/>
          <w:szCs w:val="22"/>
          <w:lang w:eastAsia="en-US"/>
        </w:rPr>
        <w:t>).</w:t>
      </w:r>
    </w:p>
    <w:p w:rsidR="00242C36" w:rsidRPr="00CB7F52" w:rsidRDefault="00242C36" w:rsidP="00242C36">
      <w:pPr>
        <w:pBdr>
          <w:bar w:val="single" w:sz="6" w:color="808080"/>
        </w:pBdr>
        <w:spacing w:before="120"/>
        <w:rPr>
          <w:rFonts w:ascii="Calibri" w:eastAsia="Calibri" w:hAnsi="Calibri"/>
          <w:szCs w:val="22"/>
          <w:lang w:eastAsia="en-US"/>
        </w:rPr>
      </w:pPr>
      <w:r w:rsidRPr="00CB7F52">
        <w:rPr>
          <w:rFonts w:ascii="Calibri" w:eastAsia="Calibri" w:hAnsi="Calibri"/>
          <w:szCs w:val="22"/>
          <w:lang w:eastAsia="en-US"/>
        </w:rPr>
        <w:t>Výrobky, ktoré majú nadštandardné kvalitatívne vlastnosti, t.j. svojimi kvalitatívnymi parametrami výrazne prevýšia im podobné výrobky na trhu, na základe odborného posúdenia a na odporúčanie  komisie získajú Značku kvality SK GOLD. Parametrami deklarujúcimi kvalitu môže byť napríklad obsah biologicky cenných látok, ako sú: antioxidanty, vitamíny, esenciálne mastné kyseliny, stopové prvky, znížená energetická hodnota, znížený obsah soli, probiotický charakter výrobku, znížený obsah prídavných látok (chemické konzervačné látky, stabilizátory, zahusťovadlá a iné), spracovanie umožňujúce zachovanie biologicky cenných prírodných zložiek, tradičná receptúra a technológia výroby, ďalšie kvalitatívne charakteristiky.</w:t>
      </w:r>
    </w:p>
    <w:p w:rsidR="00242C36" w:rsidRPr="00CB7F52" w:rsidRDefault="00242C36" w:rsidP="00242C36">
      <w:pPr>
        <w:pBdr>
          <w:bar w:val="single" w:sz="6" w:color="808080"/>
        </w:pBdr>
        <w:spacing w:before="120"/>
        <w:rPr>
          <w:rFonts w:ascii="Calibri" w:eastAsia="Calibri" w:hAnsi="Calibri"/>
          <w:szCs w:val="22"/>
          <w:lang w:eastAsia="en-US"/>
        </w:rPr>
      </w:pPr>
      <w:r w:rsidRPr="00CB7F52">
        <w:rPr>
          <w:rFonts w:ascii="Calibri" w:eastAsia="Calibri" w:hAnsi="Calibri"/>
          <w:szCs w:val="22"/>
          <w:lang w:eastAsia="en-US"/>
        </w:rPr>
        <w:t>Spotrebitelia vyhľadávaním a rozoznávaním loga značky na potravinách dostávajú komplexné informácie o všetkých výrobkoch s logom Značky kvality SK, tiež záruku, že nakupujú kvalitné slovenské produkty, ktoré spĺňajú všetky kritéria podľa zásad značky za dodržania  národnej legislatívy, ale aj legislatívy EÚ, za dodržania výrobcom deklarovaného technologického postupu počas celého výrobného procesu, pričom sú pravidelne kontrolované orgánmi Štátnej veterinárnej a potravinovej správy SR.</w:t>
      </w:r>
    </w:p>
    <w:p w:rsidR="00242C36" w:rsidRPr="00CB7F52" w:rsidRDefault="00242C36" w:rsidP="00242C36">
      <w:pPr>
        <w:pBdr>
          <w:bar w:val="single" w:sz="6" w:color="808080"/>
        </w:pBdr>
        <w:spacing w:before="120"/>
        <w:rPr>
          <w:rFonts w:ascii="Calibri" w:eastAsia="Calibri" w:hAnsi="Calibri"/>
          <w:szCs w:val="22"/>
          <w:lang w:eastAsia="en-US"/>
        </w:rPr>
      </w:pPr>
      <w:r w:rsidRPr="00CB7F52">
        <w:rPr>
          <w:rFonts w:ascii="Calibri" w:eastAsia="Calibri" w:hAnsi="Calibri"/>
          <w:szCs w:val="22"/>
          <w:lang w:eastAsia="en-US"/>
        </w:rPr>
        <w:t>Spoločná propagácia poľnohospodárskych výrobkov a potravín prebieha prostredníctvom webového portálu značky kvality a stránky na sociálnej sieti, kde sa jednotliví výrobcovia prezentujú. Rezort touto cestou okrem iného vysvetľuje ciele Značky kvality SK a pomáha producentom, ktorí sa chcú o značku uchádzať.</w:t>
      </w:r>
    </w:p>
    <w:p w:rsidR="00242C36" w:rsidRPr="00C51010" w:rsidRDefault="00242C36" w:rsidP="00242C36">
      <w:pPr>
        <w:pBdr>
          <w:bar w:val="single" w:sz="6" w:color="808080"/>
        </w:pBdr>
        <w:spacing w:before="120"/>
        <w:rPr>
          <w:bCs/>
          <w:szCs w:val="22"/>
        </w:rPr>
      </w:pPr>
      <w:r w:rsidRPr="00CB7F52">
        <w:rPr>
          <w:rFonts w:ascii="Calibri" w:eastAsia="Calibri" w:hAnsi="Calibri"/>
          <w:szCs w:val="22"/>
          <w:lang w:eastAsia="en-US"/>
        </w:rPr>
        <w:t xml:space="preserve">Príloha </w:t>
      </w:r>
      <w:r>
        <w:rPr>
          <w:rFonts w:ascii="Calibri" w:eastAsia="Calibri" w:hAnsi="Calibri"/>
          <w:szCs w:val="22"/>
          <w:lang w:eastAsia="en-US"/>
        </w:rPr>
        <w:t>4</w:t>
      </w:r>
      <w:r w:rsidRPr="00CB7F52">
        <w:rPr>
          <w:rFonts w:ascii="Calibri" w:eastAsia="Calibri" w:hAnsi="Calibri"/>
          <w:szCs w:val="22"/>
          <w:lang w:eastAsia="en-US"/>
        </w:rPr>
        <w:t xml:space="preserve"> a) uvádza</w:t>
      </w:r>
      <w:r>
        <w:rPr>
          <w:rFonts w:ascii="Calibri" w:eastAsia="Calibri" w:hAnsi="Calibri" w:cs="Calibri"/>
          <w:szCs w:val="22"/>
        </w:rPr>
        <w:t xml:space="preserve"> </w:t>
      </w:r>
      <w:r w:rsidRPr="00503E56">
        <w:rPr>
          <w:bCs/>
          <w:color w:val="000000"/>
          <w:szCs w:val="22"/>
        </w:rPr>
        <w:t>Zoznam výrobkov v Slovenskej republike ako zaručené tradičné špeciality (ZTŠ) podľa hlavy III nariadenia EP a Rady (EÚ) č. 1151/2012 z 21. novembra 2012 o systémoch kvality pre poľnohospodárske výrobky a potraviny.</w:t>
      </w:r>
      <w:r>
        <w:rPr>
          <w:b/>
          <w:bCs/>
          <w:color w:val="000000"/>
          <w:szCs w:val="22"/>
        </w:rPr>
        <w:t xml:space="preserve"> </w:t>
      </w:r>
      <w:r w:rsidRPr="00503E56">
        <w:rPr>
          <w:bCs/>
          <w:color w:val="000000"/>
          <w:szCs w:val="22"/>
        </w:rPr>
        <w:t>Príloha</w:t>
      </w:r>
      <w:r>
        <w:rPr>
          <w:b/>
          <w:bCs/>
          <w:color w:val="000000"/>
          <w:szCs w:val="22"/>
        </w:rPr>
        <w:t xml:space="preserve"> </w:t>
      </w:r>
      <w:r>
        <w:rPr>
          <w:rFonts w:ascii="Calibri" w:eastAsia="Calibri" w:hAnsi="Calibri" w:cs="Calibri"/>
          <w:szCs w:val="22"/>
        </w:rPr>
        <w:t xml:space="preserve">4 b) obsahuje </w:t>
      </w:r>
      <w:r w:rsidRPr="00503E56">
        <w:rPr>
          <w:bCs/>
          <w:szCs w:val="22"/>
        </w:rPr>
        <w:t>Zoznam výrobkov v Slovenskej republike ako chránené označenie pôvodu a chránené zemepisné označenie (CHOP, CHZO) podľa hlavy II nariadenia EP a Rady (EÚ) č. 1151/2012 z 21. novembra 2012 o systémoch kvality pre poľnohospodárske výrobky a potraviny.</w:t>
      </w:r>
    </w:p>
    <w:p w:rsidR="00242C36" w:rsidRDefault="00242C36" w:rsidP="00242C36">
      <w:pPr>
        <w:rPr>
          <w:rFonts w:ascii="Calibri" w:hAnsi="Calibri"/>
          <w:b/>
          <w:szCs w:val="22"/>
        </w:rPr>
      </w:pPr>
    </w:p>
    <w:p w:rsidR="00242C36" w:rsidRPr="00E43137" w:rsidRDefault="00242C36" w:rsidP="00242C36">
      <w:pPr>
        <w:rPr>
          <w:rFonts w:ascii="Calibri" w:hAnsi="Calibri"/>
          <w:b/>
          <w:szCs w:val="22"/>
        </w:rPr>
      </w:pPr>
      <w:r w:rsidRPr="00E43137">
        <w:rPr>
          <w:rFonts w:ascii="Calibri" w:hAnsi="Calibri"/>
          <w:b/>
          <w:szCs w:val="22"/>
        </w:rPr>
        <w:t>Vertikálna integrácia</w:t>
      </w:r>
    </w:p>
    <w:p w:rsidR="00242C36" w:rsidRPr="00881DBF" w:rsidRDefault="00242C36" w:rsidP="00242C36">
      <w:pPr>
        <w:spacing w:before="120"/>
        <w:rPr>
          <w:rFonts w:ascii="Calibri" w:hAnsi="Calibri"/>
          <w:szCs w:val="22"/>
        </w:rPr>
      </w:pPr>
      <w:r w:rsidRPr="00505442">
        <w:rPr>
          <w:rFonts w:ascii="Calibri" w:hAnsi="Calibri"/>
          <w:szCs w:val="22"/>
        </w:rPr>
        <w:t xml:space="preserve">Z prieskumnej sondy, ktorú tvorili dominantní výrobcovia základných agropotravinárskych komodít vyplynulo, že na Slovensku existujú značné rezervy vo vertikálnej integrácii medzi prvovýrobou, spracovateľmi a obchodom, aj keď ojedinele niektoré farmy majú </w:t>
      </w:r>
      <w:r w:rsidRPr="00505442">
        <w:rPr>
          <w:rFonts w:ascii="Calibri" w:hAnsi="Calibri"/>
          <w:b/>
          <w:szCs w:val="22"/>
        </w:rPr>
        <w:t>majetkové prepojenia</w:t>
      </w:r>
      <w:r w:rsidRPr="00505442">
        <w:rPr>
          <w:rFonts w:ascii="Calibri" w:hAnsi="Calibri"/>
          <w:szCs w:val="22"/>
        </w:rPr>
        <w:t xml:space="preserve"> na spracovateľský priemysel, resp. sú jeho súčasťou. Taktiež niektoré spracovateľské podniky disponujú maloobchodnými prevádzkami a prepojením na prvovýrobu, výrobu kŕmnych zmesí alebo výrobu vstupov.  Dôvodom daného stavu je najmä nedostatočná finančná situácia prvovýrobcov, ktorá  spôsobila, že nedošlo k ich kapitálovému prepojeniu so spracovateľmi. Odhaduje sa,  </w:t>
      </w:r>
      <w:r w:rsidRPr="00505442">
        <w:rPr>
          <w:rFonts w:ascii="Calibri" w:eastAsia="Calibri" w:hAnsi="Calibri"/>
          <w:szCs w:val="22"/>
          <w:lang w:eastAsia="en-US"/>
        </w:rPr>
        <w:t xml:space="preserve">že na Slovensku má majetkové prepojenie  na nadväzujúci článok potravinovej vertikály približne 25% pestovateľov olejnín, 15% pestovateľov obilnín a menej ako  8% chovateľov hovädzieho dobytka  a ošípaných. </w:t>
      </w:r>
      <w:r w:rsidRPr="00505442">
        <w:rPr>
          <w:rFonts w:ascii="Calibri" w:hAnsi="Calibri"/>
          <w:szCs w:val="22"/>
        </w:rPr>
        <w:t xml:space="preserve">V potravinárskom sektore  operujú aj koncerny s prepojením na iné odvetvia (napr. mlyny - výroba pekárenských a cukrárenských výrobkov a cestovín). </w:t>
      </w:r>
      <w:r w:rsidRPr="00505442">
        <w:rPr>
          <w:rFonts w:ascii="Calibri" w:hAnsi="Calibri"/>
          <w:szCs w:val="22"/>
          <w:u w:val="single"/>
        </w:rPr>
        <w:t>Nadnárodné obchodné  reťazce</w:t>
      </w:r>
      <w:r w:rsidRPr="00505442">
        <w:rPr>
          <w:rFonts w:ascii="Calibri" w:hAnsi="Calibri"/>
          <w:szCs w:val="22"/>
        </w:rPr>
        <w:t xml:space="preserve"> v súčasnosti tendencie k majetkovej integrácii s prvovýrobou alebo  spracovateľským priemyslom  na Slovensku neprejavujú.</w:t>
      </w:r>
    </w:p>
    <w:p w:rsidR="00242C36" w:rsidRPr="00881DBF" w:rsidRDefault="00242C36" w:rsidP="00242C36">
      <w:pPr>
        <w:spacing w:before="120"/>
        <w:rPr>
          <w:rFonts w:ascii="Calibri" w:hAnsi="Calibri"/>
          <w:szCs w:val="22"/>
        </w:rPr>
      </w:pPr>
      <w:r w:rsidRPr="00505442">
        <w:rPr>
          <w:rFonts w:ascii="Calibri" w:hAnsi="Calibri"/>
          <w:szCs w:val="22"/>
        </w:rPr>
        <w:t xml:space="preserve">Vzťahy  medzi jednotlivými účastníkmi sledovanej potravinovej vertikály sú dojednávané </w:t>
      </w:r>
      <w:r w:rsidRPr="00505442">
        <w:rPr>
          <w:rFonts w:ascii="Calibri" w:hAnsi="Calibri"/>
          <w:b/>
          <w:szCs w:val="22"/>
        </w:rPr>
        <w:t>zmluvne</w:t>
      </w:r>
      <w:r w:rsidRPr="00505442">
        <w:rPr>
          <w:rFonts w:ascii="Calibri" w:hAnsi="Calibri"/>
          <w:szCs w:val="22"/>
        </w:rPr>
        <w:t>, a to medzi farmármi a spracovateľmi   zväčša na 1 rok (vo vertikále mlieka ide  aj o zmluvy 5-ročné). Spracovatelia rastlinných komodít (hlavne výrobcovia liehu a sladu) by uvítali zmluvy na dlhšie obdobie s cieľom si zabezpečiť dostatočné množstvo suroviny v požadovanej kvalite. Splnenie všeobecných štandardov kvality je samozrejmosťou, pričom niektorí výrobcovia si uplatňujú aj vlastné špecifické štandardy na kvalitu suroviny. Dojednávané ceny a množstvá v zmluvných vzťahoch sú závislé od ponuky a dopytu a diktované väčšinou spracovateľom vo vzťahu k prvovýrobcom a obchodom vo vzťahu k spracovateľom.  Tieto sa  upresňujú podľa aktuálnej situácie na trhu.</w:t>
      </w:r>
    </w:p>
    <w:p w:rsidR="00242C36" w:rsidRPr="00881DBF" w:rsidRDefault="00242C36" w:rsidP="00242C36">
      <w:pPr>
        <w:spacing w:before="120"/>
        <w:rPr>
          <w:rFonts w:ascii="Calibri" w:hAnsi="Calibri"/>
          <w:szCs w:val="22"/>
        </w:rPr>
      </w:pPr>
      <w:r w:rsidRPr="00505442">
        <w:rPr>
          <w:rFonts w:ascii="Calibri" w:hAnsi="Calibri"/>
          <w:szCs w:val="22"/>
        </w:rPr>
        <w:t xml:space="preserve">Na prvom stupni potravinovej vertikály existujú viaceré </w:t>
      </w:r>
      <w:r w:rsidRPr="00505442">
        <w:rPr>
          <w:rFonts w:ascii="Calibri" w:hAnsi="Calibri"/>
          <w:b/>
          <w:szCs w:val="22"/>
        </w:rPr>
        <w:t>programy pomoci</w:t>
      </w:r>
      <w:r w:rsidRPr="00505442">
        <w:rPr>
          <w:rFonts w:ascii="Calibri" w:hAnsi="Calibri"/>
          <w:szCs w:val="22"/>
        </w:rPr>
        <w:t xml:space="preserve"> pre farmárov zo strany spracovateľov, pričom ide  hlavne o podporu so vzťahom k nákupu vstupov, skladovaniu a zvyšovaniu</w:t>
      </w:r>
      <w:r w:rsidRPr="00505442">
        <w:rPr>
          <w:rFonts w:ascii="Calibri" w:hAnsi="Calibri"/>
          <w:szCs w:val="22"/>
        </w:rPr>
        <w:lastRenderedPageBreak/>
        <w:t xml:space="preserve"> produkcie a kvality agrárnych komodít,  získavania úverov a investičného poradenstva. Tieto programy čiastočne fungujú najmä pri obilninách a olejninách, pri živočíšnych komoditách je situácia nepriaznivá. </w:t>
      </w:r>
    </w:p>
    <w:p w:rsidR="00242C36" w:rsidRDefault="00242C36" w:rsidP="00242C36">
      <w:pPr>
        <w:pStyle w:val="Textbody"/>
        <w:rPr>
          <w:rFonts w:ascii="Calibri" w:hAnsi="Calibri" w:cs="Times New Roman"/>
          <w:szCs w:val="22"/>
        </w:rPr>
      </w:pPr>
    </w:p>
    <w:p w:rsidR="00242C36" w:rsidRPr="00881DBF" w:rsidRDefault="00242C36" w:rsidP="00242C36">
      <w:pPr>
        <w:pStyle w:val="Textbody"/>
        <w:rPr>
          <w:rFonts w:ascii="Calibri" w:hAnsi="Calibri" w:cs="Times New Roman"/>
          <w:szCs w:val="22"/>
        </w:rPr>
      </w:pPr>
      <w:r w:rsidRPr="00505442">
        <w:rPr>
          <w:rFonts w:ascii="Calibri" w:hAnsi="Calibri" w:cs="Times New Roman"/>
          <w:szCs w:val="22"/>
        </w:rPr>
        <w:t xml:space="preserve">Čo sa týka </w:t>
      </w:r>
      <w:r w:rsidRPr="00505442">
        <w:rPr>
          <w:rFonts w:ascii="Calibri" w:hAnsi="Calibri" w:cs="Times New Roman"/>
          <w:b/>
          <w:szCs w:val="22"/>
        </w:rPr>
        <w:t xml:space="preserve"> krátkych dodávateľských  reťazcov,</w:t>
      </w:r>
      <w:r w:rsidRPr="00505442">
        <w:rPr>
          <w:rFonts w:ascii="Calibri" w:hAnsi="Calibri" w:cs="Times New Roman"/>
          <w:szCs w:val="22"/>
        </w:rPr>
        <w:t xml:space="preserve"> v súčasnosti sa </w:t>
      </w:r>
    </w:p>
    <w:p w:rsidR="00242C36" w:rsidRPr="00881DBF" w:rsidRDefault="00242C36" w:rsidP="00CE203B">
      <w:pPr>
        <w:pStyle w:val="Textbody"/>
        <w:numPr>
          <w:ilvl w:val="0"/>
          <w:numId w:val="347"/>
        </w:numPr>
        <w:rPr>
          <w:rFonts w:ascii="Calibri" w:hAnsi="Calibri" w:cs="Times New Roman"/>
          <w:szCs w:val="22"/>
        </w:rPr>
      </w:pPr>
      <w:r w:rsidRPr="00505442">
        <w:rPr>
          <w:rFonts w:ascii="Calibri" w:hAnsi="Calibri" w:cs="Times New Roman"/>
          <w:szCs w:val="22"/>
          <w:u w:val="single"/>
        </w:rPr>
        <w:t>priamo z farmy predáva</w:t>
      </w:r>
      <w:r w:rsidRPr="00505442">
        <w:rPr>
          <w:rFonts w:ascii="Calibri" w:hAnsi="Calibri" w:cs="Times New Roman"/>
          <w:szCs w:val="22"/>
        </w:rPr>
        <w:t xml:space="preserve"> len  3% agrárnej produkcie (PSCI 10). Cieľom do roku 2020 je 7%. Dôvodom tohto nízkeho podielu je najmä nedostatok finančných stimulov pre vybudovanie spracovateľských prevádzok na farmách (pre živočíšne komodity bitúnky, výrobne mäsových a </w:t>
      </w:r>
      <w:r w:rsidR="00E32F57" w:rsidRPr="00505442">
        <w:rPr>
          <w:rFonts w:ascii="Calibri" w:hAnsi="Calibri" w:cs="Times New Roman"/>
          <w:szCs w:val="22"/>
        </w:rPr>
        <w:t>mliekarenských</w:t>
      </w:r>
      <w:r w:rsidRPr="00505442">
        <w:rPr>
          <w:rFonts w:ascii="Calibri" w:hAnsi="Calibri" w:cs="Times New Roman"/>
          <w:szCs w:val="22"/>
        </w:rPr>
        <w:t xml:space="preserve"> produktov, pre ovocie, zeleninu a zemiaky moderné skladovacie priestory a  baliace linky). </w:t>
      </w:r>
    </w:p>
    <w:p w:rsidR="00242C36" w:rsidRPr="00881DBF" w:rsidRDefault="00242C36" w:rsidP="00CE203B">
      <w:pPr>
        <w:pStyle w:val="Textbody"/>
        <w:numPr>
          <w:ilvl w:val="0"/>
          <w:numId w:val="347"/>
        </w:numPr>
        <w:rPr>
          <w:rFonts w:ascii="Calibri" w:hAnsi="Calibri" w:cs="Times New Roman"/>
          <w:szCs w:val="22"/>
        </w:rPr>
      </w:pPr>
      <w:r w:rsidRPr="00505442">
        <w:rPr>
          <w:rFonts w:ascii="Calibri" w:hAnsi="Calibri" w:cs="Times New Roman"/>
          <w:szCs w:val="22"/>
        </w:rPr>
        <w:t xml:space="preserve">Z  hľadiska realizácie domácej produkcie sa zvyšuje význam </w:t>
      </w:r>
      <w:r w:rsidRPr="00505442">
        <w:rPr>
          <w:rFonts w:ascii="Calibri" w:hAnsi="Calibri" w:cs="Times New Roman"/>
          <w:szCs w:val="22"/>
          <w:u w:val="single"/>
        </w:rPr>
        <w:t>regionálnych farmárskych trhov</w:t>
      </w:r>
      <w:r w:rsidRPr="00505442">
        <w:rPr>
          <w:rFonts w:ascii="Calibri" w:hAnsi="Calibri" w:cs="Times New Roman"/>
          <w:szCs w:val="22"/>
        </w:rPr>
        <w:t>, kde sa koncentruje dopyt a ponuka. Sú dôležité nielen z hľadiska odbytu štandardnej produkcie, ale  aj z hľadiska predaja  regionálnych a miestnych špecialít. Na Slovensku je v súčasnosti funkčných len 5 farmárskych trhov (PSCI 9). Optimálne by bolo, keby sa  do roku 2020 ich počet zvýšil na  15.   Dôvodom ich nízkeho počtu je nedostatok finančných stimulov pre ich vybudovanie,  prevádzku a marketing. Propagácia slovenských produktov priamo z farmy by sa mala posilniť, nakoľko na Slovensku rastie záujem  o bezpečné potraviny, t.j. čerstvé produkty vysokej kvality a domácej proveniencie.</w:t>
      </w:r>
    </w:p>
    <w:p w:rsidR="00E43137" w:rsidRPr="00E43137" w:rsidRDefault="00E43137" w:rsidP="00242C36">
      <w:pPr>
        <w:pBdr>
          <w:bar w:val="single" w:sz="6" w:color="808080"/>
        </w:pBdr>
        <w:spacing w:after="120"/>
        <w:rPr>
          <w:rFonts w:ascii="Calibri" w:eastAsia="Calibri" w:hAnsi="Calibri"/>
          <w:szCs w:val="22"/>
          <w:lang w:eastAsia="en-US"/>
        </w:rPr>
      </w:pPr>
    </w:p>
    <w:p w:rsidR="00E43137" w:rsidRPr="00E43137" w:rsidRDefault="00DA395B" w:rsidP="003A38EB">
      <w:pPr>
        <w:keepNext/>
        <w:keepLines/>
        <w:pBdr>
          <w:bar w:val="single" w:sz="6" w:color="808080"/>
        </w:pBdr>
        <w:outlineLvl w:val="1"/>
        <w:rPr>
          <w:rFonts w:ascii="Calibri" w:hAnsi="Calibri"/>
          <w:b/>
          <w:bCs/>
          <w:szCs w:val="22"/>
        </w:rPr>
      </w:pPr>
      <w:r>
        <w:rPr>
          <w:rFonts w:ascii="Calibri" w:hAnsi="Calibri"/>
          <w:b/>
          <w:bCs/>
          <w:szCs w:val="22"/>
        </w:rPr>
        <w:t xml:space="preserve">4.1.1.4 </w:t>
      </w:r>
      <w:r w:rsidRPr="00E43137">
        <w:rPr>
          <w:rFonts w:ascii="Calibri" w:hAnsi="Calibri"/>
          <w:b/>
          <w:bCs/>
          <w:szCs w:val="22"/>
        </w:rPr>
        <w:t>LESNÉ HOSPODÁRSTVO (LH)</w:t>
      </w:r>
    </w:p>
    <w:p w:rsidR="00242C36" w:rsidRPr="00E43137" w:rsidRDefault="00242C36" w:rsidP="00242C36">
      <w:pPr>
        <w:pBdr>
          <w:bar w:val="single" w:sz="6" w:color="808080"/>
        </w:pBdr>
        <w:spacing w:after="120"/>
        <w:rPr>
          <w:rFonts w:ascii="Calibri" w:eastAsia="Calibri" w:hAnsi="Calibri"/>
          <w:szCs w:val="22"/>
          <w:lang w:eastAsia="en-US"/>
        </w:rPr>
      </w:pPr>
      <w:r w:rsidRPr="00E43137">
        <w:rPr>
          <w:rFonts w:ascii="Calibri" w:eastAsia="Calibri" w:hAnsi="Calibri"/>
          <w:szCs w:val="22"/>
          <w:lang w:eastAsia="en-US"/>
        </w:rPr>
        <w:t xml:space="preserve">Výmera lesných pozemkov v SR v roku 2012 bola 2 012 414 ha, z toho porastovej pôdy 1 940 300 ha. Lesnatosť dosiahla 41 %. V lesoch Slovenska prevládajú z hľadiska drevinovej skladby dreviny listnaté 60,7 %. Dreviny ihličnaté tvoria 39,3 %. Najväčšie zastúpenie má buk (32,2 %), smrek (24,9 %), dub (10,6 %) a borovica (6,9 %). </w:t>
      </w:r>
    </w:p>
    <w:p w:rsidR="00242C36" w:rsidRPr="00E43137" w:rsidRDefault="00242C36" w:rsidP="00242C36">
      <w:pPr>
        <w:pBdr>
          <w:bar w:val="single" w:sz="6" w:color="808080"/>
        </w:pBdr>
        <w:spacing w:after="120"/>
        <w:rPr>
          <w:rFonts w:ascii="Calibri" w:eastAsia="Calibri" w:hAnsi="Calibri"/>
          <w:szCs w:val="22"/>
          <w:lang w:eastAsia="en-US"/>
        </w:rPr>
      </w:pPr>
      <w:r w:rsidRPr="00E43137">
        <w:rPr>
          <w:rFonts w:ascii="Calibri" w:eastAsia="Calibri" w:hAnsi="Calibri"/>
          <w:szCs w:val="22"/>
          <w:lang w:eastAsia="en-US"/>
        </w:rPr>
        <w:t>Zásoba dreva v lesných porastoch má rastúcu tendenciu a v roku 2012 dosiahla 472,18 mil. m</w:t>
      </w:r>
      <w:r w:rsidRPr="00E43137">
        <w:rPr>
          <w:rFonts w:ascii="Calibri" w:eastAsia="Calibri" w:hAnsi="Calibri"/>
          <w:szCs w:val="22"/>
          <w:vertAlign w:val="superscript"/>
          <w:lang w:eastAsia="en-US"/>
        </w:rPr>
        <w:t>3</w:t>
      </w:r>
      <w:r w:rsidRPr="00E43137">
        <w:rPr>
          <w:rFonts w:ascii="Calibri" w:eastAsia="Calibri" w:hAnsi="Calibri"/>
          <w:szCs w:val="22"/>
          <w:lang w:eastAsia="en-US"/>
        </w:rPr>
        <w:t xml:space="preserve"> hrubiny bez kôry, čo je o 6,11 mil. m</w:t>
      </w:r>
      <w:r w:rsidRPr="00E43137">
        <w:rPr>
          <w:rFonts w:ascii="Calibri" w:eastAsia="Calibri" w:hAnsi="Calibri"/>
          <w:szCs w:val="22"/>
          <w:vertAlign w:val="superscript"/>
          <w:lang w:eastAsia="en-US"/>
        </w:rPr>
        <w:t>3</w:t>
      </w:r>
      <w:r w:rsidRPr="00E43137">
        <w:rPr>
          <w:rFonts w:ascii="Calibri" w:eastAsia="Calibri" w:hAnsi="Calibri"/>
          <w:szCs w:val="22"/>
          <w:lang w:eastAsia="en-US"/>
        </w:rPr>
        <w:t xml:space="preserve"> viac ako v roku 2011. Priemerná zásoba dreva  je 243  m</w:t>
      </w:r>
      <w:r w:rsidRPr="00E43137">
        <w:rPr>
          <w:rFonts w:ascii="Calibri" w:eastAsia="Calibri" w:hAnsi="Calibri"/>
          <w:szCs w:val="22"/>
          <w:vertAlign w:val="superscript"/>
          <w:lang w:eastAsia="en-US"/>
        </w:rPr>
        <w:t>3</w:t>
      </w:r>
      <w:r w:rsidRPr="00E43137">
        <w:rPr>
          <w:rFonts w:ascii="Calibri" w:eastAsia="Calibri" w:hAnsi="Calibri"/>
          <w:szCs w:val="22"/>
          <w:lang w:eastAsia="en-US"/>
        </w:rPr>
        <w:t>/ha porastovej pôdy.</w:t>
      </w:r>
    </w:p>
    <w:p w:rsidR="003E263A" w:rsidRDefault="00242C36" w:rsidP="00242C36">
      <w:pPr>
        <w:pBdr>
          <w:bar w:val="single" w:sz="6" w:color="808080"/>
        </w:pBdr>
        <w:spacing w:after="120"/>
        <w:rPr>
          <w:rFonts w:ascii="Calibri" w:eastAsia="Calibri" w:hAnsi="Calibri"/>
          <w:szCs w:val="22"/>
          <w:lang w:eastAsia="en-US"/>
        </w:rPr>
      </w:pPr>
      <w:r w:rsidRPr="00E43137">
        <w:rPr>
          <w:rFonts w:ascii="Calibri" w:eastAsia="Calibri" w:hAnsi="Calibri"/>
          <w:szCs w:val="22"/>
          <w:lang w:eastAsia="en-US"/>
        </w:rPr>
        <w:t xml:space="preserve">V r. 2012 dosiahla výmera lesov využiteľných pre produkciu dreva (FAWS - forests available for wood supply, </w:t>
      </w:r>
      <w:r w:rsidRPr="00D0533A">
        <w:rPr>
          <w:rFonts w:ascii="Calibri" w:eastAsia="Calibri" w:hAnsi="Calibri"/>
          <w:b/>
          <w:szCs w:val="22"/>
          <w:lang w:eastAsia="en-US"/>
        </w:rPr>
        <w:t>CCI 29</w:t>
      </w:r>
      <w:r w:rsidRPr="00E43137">
        <w:rPr>
          <w:rFonts w:ascii="Calibri" w:eastAsia="Calibri" w:hAnsi="Calibri"/>
          <w:szCs w:val="22"/>
          <w:lang w:eastAsia="en-US"/>
        </w:rPr>
        <w:t xml:space="preserve">) 1 784,53 tis. ha. V podmienkach SR ide o hospodárske lesy, lesy osobitného určenia a ochranné lesy (viď nasl. graf). Za sledované obdobie 2007 až 2012 vzrástla o </w:t>
      </w:r>
      <w:smartTag w:uri="urn:schemas-microsoft-com:office:smarttags" w:element="metricconverter">
        <w:smartTagPr>
          <w:attr w:name="ProductID" w:val="17 840 ha"/>
        </w:smartTagPr>
        <w:r w:rsidRPr="00E43137">
          <w:rPr>
            <w:rFonts w:ascii="Calibri" w:eastAsia="Calibri" w:hAnsi="Calibri"/>
            <w:szCs w:val="22"/>
            <w:lang w:eastAsia="en-US"/>
          </w:rPr>
          <w:t>17 840 ha</w:t>
        </w:r>
      </w:smartTag>
      <w:r w:rsidRPr="00E43137">
        <w:rPr>
          <w:rFonts w:ascii="Calibri" w:eastAsia="Calibri" w:hAnsi="Calibri"/>
          <w:szCs w:val="22"/>
          <w:lang w:eastAsia="en-US"/>
        </w:rPr>
        <w:t xml:space="preserve">, čo predstavuje priemerný ročný nárast o </w:t>
      </w:r>
      <w:smartTag w:uri="urn:schemas-microsoft-com:office:smarttags" w:element="metricconverter">
        <w:smartTagPr>
          <w:attr w:name="ProductID" w:val="2 973 ha"/>
        </w:smartTagPr>
        <w:r w:rsidRPr="00E43137">
          <w:rPr>
            <w:rFonts w:ascii="Calibri" w:eastAsia="Calibri" w:hAnsi="Calibri"/>
            <w:szCs w:val="22"/>
            <w:lang w:eastAsia="en-US"/>
          </w:rPr>
          <w:t>2 973 ha</w:t>
        </w:r>
      </w:smartTag>
      <w:r w:rsidRPr="00E43137">
        <w:rPr>
          <w:rFonts w:ascii="Calibri" w:eastAsia="Calibri" w:hAnsi="Calibri"/>
          <w:szCs w:val="22"/>
          <w:lang w:eastAsia="en-US"/>
        </w:rPr>
        <w:t xml:space="preserve"> lesa. Celková výmera lesov sa zvýšila za obdobie rokov 2007 - 2012 o </w:t>
      </w:r>
      <w:smartTag w:uri="urn:schemas-microsoft-com:office:smarttags" w:element="metricconverter">
        <w:smartTagPr>
          <w:attr w:name="ProductID" w:val="7 360 ha"/>
        </w:smartTagPr>
        <w:r w:rsidRPr="00E43137">
          <w:rPr>
            <w:rFonts w:ascii="Calibri" w:eastAsia="Calibri" w:hAnsi="Calibri"/>
            <w:szCs w:val="22"/>
            <w:lang w:eastAsia="en-US"/>
          </w:rPr>
          <w:t>7 360 ha</w:t>
        </w:r>
      </w:smartTag>
      <w:r w:rsidRPr="00E43137">
        <w:rPr>
          <w:rFonts w:ascii="Calibri" w:eastAsia="Calibri" w:hAnsi="Calibri"/>
          <w:szCs w:val="22"/>
          <w:lang w:eastAsia="en-US"/>
        </w:rPr>
        <w:t xml:space="preserve">, t. j. priemerný ročný nárast cca </w:t>
      </w:r>
      <w:smartTag w:uri="urn:schemas-microsoft-com:office:smarttags" w:element="metricconverter">
        <w:smartTagPr>
          <w:attr w:name="ProductID" w:val="1 227 ha"/>
        </w:smartTagPr>
        <w:r w:rsidRPr="00E43137">
          <w:rPr>
            <w:rFonts w:ascii="Calibri" w:eastAsia="Calibri" w:hAnsi="Calibri"/>
            <w:szCs w:val="22"/>
            <w:lang w:eastAsia="en-US"/>
          </w:rPr>
          <w:t>1 227 ha</w:t>
        </w:r>
      </w:smartTag>
      <w:r w:rsidRPr="00E43137">
        <w:rPr>
          <w:rFonts w:ascii="Calibri" w:eastAsia="Calibri" w:hAnsi="Calibri"/>
          <w:szCs w:val="22"/>
          <w:lang w:eastAsia="en-US"/>
        </w:rPr>
        <w:t xml:space="preserve"> lesa.</w:t>
      </w:r>
      <w:r w:rsidRPr="00E43137">
        <w:rPr>
          <w:rFonts w:ascii="Calibri" w:eastAsia="Calibri" w:hAnsi="Calibri"/>
          <w:szCs w:val="22"/>
          <w:lang w:eastAsia="en-US"/>
        </w:rPr>
        <w:tab/>
      </w:r>
      <w:r w:rsidRPr="00E43137">
        <w:rPr>
          <w:rFonts w:ascii="Calibri" w:eastAsia="Calibri" w:hAnsi="Calibri"/>
          <w:szCs w:val="22"/>
          <w:lang w:eastAsia="en-US"/>
        </w:rPr>
        <w:tab/>
      </w:r>
      <w:r w:rsidR="00E43137" w:rsidRPr="00E43137">
        <w:rPr>
          <w:rFonts w:ascii="Calibri" w:eastAsia="Calibri" w:hAnsi="Calibri"/>
          <w:szCs w:val="22"/>
          <w:lang w:eastAsia="en-US"/>
        </w:rPr>
        <w:tab/>
      </w:r>
      <w:r w:rsidR="00E43137" w:rsidRPr="00E43137">
        <w:rPr>
          <w:rFonts w:ascii="Calibri" w:eastAsia="Calibri" w:hAnsi="Calibri"/>
          <w:szCs w:val="22"/>
          <w:lang w:eastAsia="en-US"/>
        </w:rPr>
        <w:tab/>
      </w:r>
      <w:r w:rsidR="00E43137" w:rsidRPr="00E43137">
        <w:rPr>
          <w:rFonts w:ascii="Calibri" w:eastAsia="Calibri" w:hAnsi="Calibri"/>
          <w:szCs w:val="22"/>
          <w:lang w:eastAsia="en-US"/>
        </w:rPr>
        <w:tab/>
      </w:r>
      <w:r w:rsidR="00E43137" w:rsidRPr="00E43137">
        <w:rPr>
          <w:rFonts w:ascii="Calibri" w:eastAsia="Calibri" w:hAnsi="Calibri"/>
          <w:szCs w:val="22"/>
          <w:lang w:eastAsia="en-US"/>
        </w:rPr>
        <w:tab/>
      </w:r>
      <w:r w:rsidR="00E43137" w:rsidRPr="00E43137">
        <w:rPr>
          <w:rFonts w:ascii="Calibri" w:eastAsia="Calibri" w:hAnsi="Calibri"/>
          <w:szCs w:val="22"/>
          <w:lang w:eastAsia="en-US"/>
        </w:rPr>
        <w:tab/>
      </w:r>
    </w:p>
    <w:p w:rsidR="003E263A" w:rsidRDefault="003E263A" w:rsidP="008676F9">
      <w:pPr>
        <w:pBdr>
          <w:bar w:val="single" w:sz="6" w:color="808080"/>
        </w:pBdr>
        <w:spacing w:after="120"/>
        <w:rPr>
          <w:rFonts w:ascii="Calibri" w:eastAsia="Calibri" w:hAnsi="Calibri"/>
          <w:szCs w:val="22"/>
          <w:lang w:eastAsia="en-US"/>
        </w:rPr>
      </w:pPr>
      <w:r>
        <w:rPr>
          <w:noProof/>
        </w:rPr>
        <w:drawing>
          <wp:anchor distT="0" distB="0" distL="114300" distR="114300" simplePos="0" relativeHeight="251654144" behindDoc="1" locked="0" layoutInCell="1" allowOverlap="1" wp14:anchorId="25C41C8A" wp14:editId="6F87A62F">
            <wp:simplePos x="0" y="0"/>
            <wp:positionH relativeFrom="column">
              <wp:posOffset>52705</wp:posOffset>
            </wp:positionH>
            <wp:positionV relativeFrom="paragraph">
              <wp:posOffset>34925</wp:posOffset>
            </wp:positionV>
            <wp:extent cx="2984500" cy="2495550"/>
            <wp:effectExtent l="0" t="0" r="0" b="0"/>
            <wp:wrapTight wrapText="bothSides">
              <wp:wrapPolygon edited="0">
                <wp:start x="0" y="0"/>
                <wp:lineTo x="0" y="21435"/>
                <wp:lineTo x="21232" y="21435"/>
                <wp:lineTo x="21232" y="0"/>
                <wp:lineTo x="0" y="0"/>
              </wp:wrapPolygon>
            </wp:wrapTight>
            <wp:docPr id="72" name="Obrázo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ok 6"/>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984500" cy="2495550"/>
                    </a:xfrm>
                    <a:prstGeom prst="rect">
                      <a:avLst/>
                    </a:prstGeom>
                    <a:noFill/>
                    <a:ln>
                      <a:noFill/>
                    </a:ln>
                  </pic:spPr>
                </pic:pic>
              </a:graphicData>
            </a:graphic>
          </wp:anchor>
        </w:drawing>
      </w:r>
    </w:p>
    <w:p w:rsidR="003E263A" w:rsidRDefault="003E263A" w:rsidP="008676F9">
      <w:pPr>
        <w:pBdr>
          <w:bar w:val="single" w:sz="6" w:color="808080"/>
        </w:pBdr>
        <w:spacing w:after="120"/>
        <w:rPr>
          <w:rFonts w:ascii="Calibri" w:eastAsia="Calibri" w:hAnsi="Calibri"/>
          <w:szCs w:val="22"/>
          <w:lang w:eastAsia="en-US"/>
        </w:rPr>
      </w:pPr>
    </w:p>
    <w:p w:rsidR="003E263A" w:rsidRDefault="003E263A" w:rsidP="008676F9">
      <w:pPr>
        <w:pBdr>
          <w:bar w:val="single" w:sz="6" w:color="808080"/>
        </w:pBdr>
        <w:spacing w:after="120"/>
        <w:rPr>
          <w:rFonts w:ascii="Calibri" w:eastAsia="Calibri" w:hAnsi="Calibri"/>
          <w:szCs w:val="22"/>
          <w:lang w:eastAsia="en-US"/>
        </w:rPr>
      </w:pPr>
    </w:p>
    <w:p w:rsidR="003E263A" w:rsidRDefault="003E263A" w:rsidP="008676F9">
      <w:pPr>
        <w:pBdr>
          <w:bar w:val="single" w:sz="6" w:color="808080"/>
        </w:pBdr>
        <w:spacing w:after="120"/>
        <w:rPr>
          <w:rFonts w:ascii="Calibri" w:eastAsia="Calibri" w:hAnsi="Calibri"/>
          <w:szCs w:val="22"/>
          <w:lang w:eastAsia="en-US"/>
        </w:rPr>
      </w:pPr>
    </w:p>
    <w:p w:rsidR="003E263A" w:rsidRDefault="003E263A" w:rsidP="008676F9">
      <w:pPr>
        <w:pBdr>
          <w:bar w:val="single" w:sz="6" w:color="808080"/>
        </w:pBdr>
        <w:spacing w:after="120"/>
        <w:rPr>
          <w:rFonts w:ascii="Calibri" w:hAnsi="Calibri"/>
          <w:i/>
          <w:iCs/>
          <w:sz w:val="18"/>
          <w:szCs w:val="20"/>
        </w:rPr>
      </w:pPr>
    </w:p>
    <w:p w:rsidR="003E263A" w:rsidRDefault="003E263A" w:rsidP="008676F9">
      <w:pPr>
        <w:pBdr>
          <w:bar w:val="single" w:sz="6" w:color="808080"/>
        </w:pBdr>
        <w:spacing w:after="120"/>
        <w:rPr>
          <w:rFonts w:ascii="Calibri" w:hAnsi="Calibri"/>
          <w:i/>
          <w:iCs/>
          <w:sz w:val="18"/>
          <w:szCs w:val="20"/>
        </w:rPr>
      </w:pPr>
    </w:p>
    <w:p w:rsidR="003E263A" w:rsidRDefault="003E263A" w:rsidP="008676F9">
      <w:pPr>
        <w:pBdr>
          <w:bar w:val="single" w:sz="6" w:color="808080"/>
        </w:pBdr>
        <w:spacing w:after="120"/>
        <w:rPr>
          <w:rFonts w:ascii="Calibri" w:hAnsi="Calibri"/>
          <w:i/>
          <w:iCs/>
          <w:sz w:val="18"/>
          <w:szCs w:val="20"/>
        </w:rPr>
      </w:pPr>
    </w:p>
    <w:p w:rsidR="003E263A" w:rsidRDefault="003E263A" w:rsidP="008676F9">
      <w:pPr>
        <w:pBdr>
          <w:bar w:val="single" w:sz="6" w:color="808080"/>
        </w:pBdr>
        <w:spacing w:after="120"/>
        <w:rPr>
          <w:rFonts w:ascii="Calibri" w:hAnsi="Calibri"/>
          <w:i/>
          <w:iCs/>
          <w:sz w:val="18"/>
          <w:szCs w:val="20"/>
        </w:rPr>
      </w:pPr>
    </w:p>
    <w:p w:rsidR="003E263A" w:rsidRDefault="003E263A" w:rsidP="008676F9">
      <w:pPr>
        <w:pBdr>
          <w:bar w:val="single" w:sz="6" w:color="808080"/>
        </w:pBdr>
        <w:spacing w:after="120"/>
        <w:rPr>
          <w:rFonts w:ascii="Calibri" w:hAnsi="Calibri"/>
          <w:i/>
          <w:iCs/>
          <w:sz w:val="18"/>
          <w:szCs w:val="20"/>
        </w:rPr>
      </w:pPr>
    </w:p>
    <w:p w:rsidR="003E263A" w:rsidRDefault="003E263A" w:rsidP="008676F9">
      <w:pPr>
        <w:pBdr>
          <w:bar w:val="single" w:sz="6" w:color="808080"/>
        </w:pBdr>
        <w:spacing w:after="120"/>
        <w:rPr>
          <w:rFonts w:ascii="Calibri" w:hAnsi="Calibri"/>
          <w:i/>
          <w:iCs/>
          <w:sz w:val="18"/>
          <w:szCs w:val="20"/>
        </w:rPr>
      </w:pPr>
    </w:p>
    <w:p w:rsidR="003E263A" w:rsidRDefault="003E263A" w:rsidP="008676F9">
      <w:pPr>
        <w:pBdr>
          <w:bar w:val="single" w:sz="6" w:color="808080"/>
        </w:pBdr>
        <w:spacing w:after="120"/>
        <w:rPr>
          <w:rFonts w:ascii="Calibri" w:hAnsi="Calibri"/>
          <w:i/>
          <w:iCs/>
          <w:sz w:val="18"/>
          <w:szCs w:val="20"/>
        </w:rPr>
      </w:pPr>
    </w:p>
    <w:p w:rsidR="003E263A" w:rsidRDefault="003E263A" w:rsidP="008676F9">
      <w:pPr>
        <w:pBdr>
          <w:bar w:val="single" w:sz="6" w:color="808080"/>
        </w:pBdr>
        <w:spacing w:after="120"/>
        <w:rPr>
          <w:rFonts w:ascii="Calibri" w:hAnsi="Calibri"/>
          <w:i/>
          <w:iCs/>
          <w:sz w:val="18"/>
          <w:szCs w:val="20"/>
        </w:rPr>
      </w:pPr>
    </w:p>
    <w:p w:rsidR="00E43137" w:rsidRDefault="00E43137" w:rsidP="008676F9">
      <w:pPr>
        <w:pBdr>
          <w:bar w:val="single" w:sz="6" w:color="808080"/>
        </w:pBdr>
        <w:spacing w:after="120"/>
        <w:rPr>
          <w:rFonts w:ascii="Calibri" w:hAnsi="Calibri"/>
          <w:i/>
          <w:iCs/>
          <w:sz w:val="18"/>
          <w:szCs w:val="20"/>
        </w:rPr>
      </w:pPr>
      <w:r w:rsidRPr="00E43137">
        <w:rPr>
          <w:rFonts w:ascii="Calibri" w:hAnsi="Calibri"/>
          <w:i/>
          <w:iCs/>
          <w:sz w:val="18"/>
          <w:szCs w:val="20"/>
        </w:rPr>
        <w:t>Zdroj: NLC-ÚLZI Zvolen Súhrnné informácie o stave lesov SR, 2013</w:t>
      </w:r>
    </w:p>
    <w:p w:rsidR="003E263A" w:rsidRPr="00E43137" w:rsidRDefault="003E263A" w:rsidP="008676F9">
      <w:pPr>
        <w:pBdr>
          <w:bar w:val="single" w:sz="6" w:color="808080"/>
        </w:pBdr>
        <w:spacing w:after="120"/>
        <w:rPr>
          <w:rFonts w:ascii="Calibri" w:hAnsi="Calibri"/>
          <w:i/>
          <w:iCs/>
          <w:sz w:val="18"/>
          <w:szCs w:val="20"/>
        </w:rPr>
      </w:pPr>
    </w:p>
    <w:p w:rsidR="00242C36" w:rsidRPr="00E43137" w:rsidRDefault="00242C36" w:rsidP="00242C36">
      <w:pPr>
        <w:pBdr>
          <w:bar w:val="single" w:sz="6" w:color="808080"/>
        </w:pBdr>
        <w:spacing w:after="120"/>
        <w:rPr>
          <w:rFonts w:ascii="Calibri" w:eastAsia="Calibri" w:hAnsi="Calibri"/>
          <w:szCs w:val="22"/>
          <w:lang w:eastAsia="en-US"/>
        </w:rPr>
      </w:pPr>
      <w:r w:rsidRPr="00E43137">
        <w:rPr>
          <w:rFonts w:ascii="Calibri" w:eastAsia="Calibri" w:hAnsi="Calibri"/>
          <w:szCs w:val="22"/>
          <w:lang w:eastAsia="en-US"/>
        </w:rPr>
        <w:t xml:space="preserve">Štátne lesné podniky </w:t>
      </w:r>
      <w:r>
        <w:rPr>
          <w:rFonts w:ascii="Calibri" w:eastAsia="Calibri" w:hAnsi="Calibri"/>
          <w:szCs w:val="22"/>
          <w:lang w:eastAsia="en-US"/>
        </w:rPr>
        <w:t xml:space="preserve">spravujú </w:t>
      </w:r>
      <w:r w:rsidRPr="00E43137">
        <w:rPr>
          <w:rFonts w:ascii="Calibri" w:eastAsia="Calibri" w:hAnsi="Calibri"/>
          <w:szCs w:val="22"/>
          <w:lang w:eastAsia="en-US"/>
        </w:rPr>
        <w:t>najviac lesn</w:t>
      </w:r>
      <w:r>
        <w:rPr>
          <w:rFonts w:ascii="Calibri" w:eastAsia="Calibri" w:hAnsi="Calibri"/>
          <w:szCs w:val="22"/>
          <w:lang w:eastAsia="en-US"/>
        </w:rPr>
        <w:t xml:space="preserve">ých pozemkov </w:t>
      </w:r>
      <w:r w:rsidRPr="00E43137">
        <w:rPr>
          <w:rFonts w:ascii="Calibri" w:eastAsia="Calibri" w:hAnsi="Calibri"/>
          <w:szCs w:val="22"/>
          <w:lang w:eastAsia="en-US"/>
        </w:rPr>
        <w:t>na Slovensku, cca 785 tis. ha</w:t>
      </w:r>
      <w:r>
        <w:rPr>
          <w:rFonts w:ascii="Calibri" w:eastAsia="Calibri" w:hAnsi="Calibri"/>
          <w:szCs w:val="22"/>
          <w:lang w:eastAsia="en-US"/>
        </w:rPr>
        <w:t>. Vlastníkom týchto pozemkov je Slovenská republika</w:t>
      </w:r>
      <w:r w:rsidRPr="00E43137">
        <w:rPr>
          <w:rFonts w:ascii="Calibri" w:eastAsia="Calibri" w:hAnsi="Calibri"/>
          <w:szCs w:val="22"/>
          <w:lang w:eastAsia="en-US"/>
        </w:rPr>
        <w:t xml:space="preserve">. </w:t>
      </w:r>
      <w:r>
        <w:rPr>
          <w:rFonts w:ascii="Calibri" w:eastAsia="Calibri" w:hAnsi="Calibri"/>
          <w:szCs w:val="22"/>
          <w:lang w:eastAsia="en-US"/>
        </w:rPr>
        <w:t xml:space="preserve">Vrátane </w:t>
      </w:r>
      <w:r w:rsidRPr="00E43137">
        <w:rPr>
          <w:rFonts w:ascii="Calibri" w:eastAsia="Calibri" w:hAnsi="Calibri"/>
          <w:szCs w:val="22"/>
          <w:lang w:eastAsia="en-US"/>
        </w:rPr>
        <w:t xml:space="preserve"> neodovzdaných lesných pozemkov obhospodarujú</w:t>
      </w:r>
      <w:r>
        <w:rPr>
          <w:rFonts w:ascii="Calibri" w:eastAsia="Calibri" w:hAnsi="Calibri"/>
          <w:szCs w:val="22"/>
          <w:lang w:eastAsia="en-US"/>
        </w:rPr>
        <w:t xml:space="preserve"> spolu</w:t>
      </w:r>
      <w:r w:rsidRPr="00E43137">
        <w:rPr>
          <w:rFonts w:ascii="Calibri" w:eastAsia="Calibri" w:hAnsi="Calibri"/>
          <w:szCs w:val="22"/>
          <w:lang w:eastAsia="en-US"/>
        </w:rPr>
        <w:t xml:space="preserve"> až 1 060 tis. ha lesa, čo predstavuje 54,59 %. </w:t>
      </w:r>
    </w:p>
    <w:p w:rsidR="00242C36" w:rsidRPr="00E43137" w:rsidRDefault="00242C36" w:rsidP="00242C36">
      <w:pPr>
        <w:pBdr>
          <w:bar w:val="single" w:sz="6" w:color="808080"/>
        </w:pBdr>
        <w:spacing w:after="120"/>
        <w:rPr>
          <w:rFonts w:ascii="Calibri" w:eastAsia="Calibri" w:hAnsi="Calibri"/>
          <w:szCs w:val="22"/>
          <w:lang w:eastAsia="en-US"/>
        </w:rPr>
      </w:pPr>
      <w:r w:rsidRPr="00E43137">
        <w:rPr>
          <w:rFonts w:ascii="Calibri" w:eastAsia="Calibri" w:hAnsi="Calibri"/>
          <w:szCs w:val="22"/>
          <w:lang w:eastAsia="en-US"/>
        </w:rPr>
        <w:t xml:space="preserve">Ostatné verejné lesné podniky (lesy patriace mestám, obciam a miestnym samosprávam) vlastnia zhruba 180 tis. ha porastovej pôdy, čo predstavuje 9,3 % z celkovej výmery, zatiaľ čo v ich obhospodarovaní je 167 tis. ha porastovej pôdy. </w:t>
      </w:r>
    </w:p>
    <w:p w:rsidR="00242C36" w:rsidRPr="00E43137" w:rsidRDefault="00242C36" w:rsidP="00242C36">
      <w:pPr>
        <w:pBdr>
          <w:bar w:val="single" w:sz="6" w:color="808080"/>
        </w:pBdr>
        <w:rPr>
          <w:rFonts w:ascii="Calibri" w:eastAsia="Calibri" w:hAnsi="Calibri"/>
          <w:szCs w:val="22"/>
          <w:lang w:eastAsia="en-US"/>
        </w:rPr>
      </w:pPr>
      <w:r w:rsidRPr="00E43137">
        <w:rPr>
          <w:rFonts w:ascii="Calibri" w:eastAsia="Calibri" w:hAnsi="Calibri"/>
          <w:szCs w:val="22"/>
          <w:lang w:eastAsia="en-US"/>
        </w:rPr>
        <w:t xml:space="preserve">Súkromné lesné podniky vlastnia cca 726 tis. ha porastovej pôdy, čo predstavuje 37 % z celkovej výmery porastovej pôdy. V ich obhospodarovaní je však len </w:t>
      </w:r>
      <w:smartTag w:uri="urn:schemas-microsoft-com:office:smarttags" w:element="metricconverter">
        <w:smartTagPr>
          <w:attr w:name="ProductID" w:val="713 570 ha"/>
        </w:smartTagPr>
        <w:r w:rsidRPr="00E43137">
          <w:rPr>
            <w:rFonts w:ascii="Calibri" w:eastAsia="Calibri" w:hAnsi="Calibri"/>
            <w:szCs w:val="22"/>
            <w:lang w:eastAsia="en-US"/>
          </w:rPr>
          <w:t>713 570 ha</w:t>
        </w:r>
      </w:smartTag>
      <w:r w:rsidRPr="00E43137">
        <w:rPr>
          <w:rFonts w:ascii="Calibri" w:eastAsia="Calibri" w:hAnsi="Calibri"/>
          <w:szCs w:val="22"/>
          <w:lang w:eastAsia="en-US"/>
        </w:rPr>
        <w:t xml:space="preserve"> porastovej pôdy. Rozdiely sú spôsobené neodovzdaním všetkých lesov ich pôvodným vlastníkom, keďže reštitučný proces sa ešte neukončil. Neodovzdané lesy obhospodarujú štátne lesné podniky.</w:t>
      </w:r>
    </w:p>
    <w:p w:rsidR="00242C36" w:rsidRPr="00E43137" w:rsidRDefault="00242C36" w:rsidP="00242C36">
      <w:pPr>
        <w:pBdr>
          <w:bar w:val="single" w:sz="6" w:color="808080"/>
        </w:pBdr>
        <w:spacing w:before="120" w:after="120"/>
        <w:rPr>
          <w:rFonts w:ascii="Calibri" w:eastAsia="Calibri" w:hAnsi="Calibri"/>
          <w:szCs w:val="22"/>
          <w:lang w:eastAsia="en-US"/>
        </w:rPr>
      </w:pPr>
      <w:r w:rsidRPr="00E43137">
        <w:rPr>
          <w:rFonts w:ascii="Calibri" w:eastAsia="Calibri" w:hAnsi="Calibri"/>
          <w:szCs w:val="22"/>
          <w:lang w:eastAsia="en-US"/>
        </w:rPr>
        <w:t>V roku 2012 bolo v lesnom hospodárstve zamestnaných 20,3 tis. osôb, t. j. 0,9 % z celkového počtu zamestnaných osôb podľa hospodárskej činnosti v SR (2 329 tis. osôb, CCI 13).  Vďaka čiastočnému oživeniu výroby v lesnom hospodárstve sa zamestnanosť v lesnom hospodárstve v roku 2012 mierne zvýšila (o 1,6%).</w:t>
      </w:r>
    </w:p>
    <w:p w:rsidR="00242C36" w:rsidRPr="00E43137" w:rsidRDefault="00242C36" w:rsidP="00242C36">
      <w:pPr>
        <w:pBdr>
          <w:bar w:val="single" w:sz="6" w:color="808080"/>
        </w:pBdr>
        <w:spacing w:after="120"/>
        <w:rPr>
          <w:rFonts w:ascii="Calibri" w:eastAsia="Calibri" w:hAnsi="Calibri"/>
          <w:szCs w:val="22"/>
          <w:lang w:eastAsia="en-US"/>
        </w:rPr>
      </w:pPr>
      <w:r w:rsidRPr="00E43137">
        <w:rPr>
          <w:rFonts w:ascii="Calibri" w:eastAsia="Calibri" w:hAnsi="Calibri"/>
          <w:szCs w:val="22"/>
          <w:lang w:eastAsia="en-US"/>
        </w:rPr>
        <w:t>V rámci LH prevláda stredoškolsky vzdelaná pracovná sila (cca 80 %), pričom podiel mužov a žien na celkovom počte zamestnancov v r. 2012 bol v pomere takmer 9 : 3. Podiel vysokoškolsky vzdelaných zamestnancov dosahuje spolu 12,9 %.</w:t>
      </w:r>
    </w:p>
    <w:p w:rsidR="00242C36" w:rsidRPr="00E43137" w:rsidRDefault="00242C36" w:rsidP="00242C36">
      <w:pPr>
        <w:pBdr>
          <w:bar w:val="single" w:sz="6" w:color="808080"/>
        </w:pBdr>
        <w:spacing w:after="120"/>
        <w:rPr>
          <w:rFonts w:ascii="Calibri" w:eastAsia="Calibri" w:hAnsi="Calibri"/>
          <w:szCs w:val="22"/>
          <w:lang w:eastAsia="en-US"/>
        </w:rPr>
      </w:pPr>
      <w:r w:rsidRPr="00E43137">
        <w:rPr>
          <w:rFonts w:ascii="Calibri" w:eastAsia="Calibri" w:hAnsi="Calibri"/>
          <w:szCs w:val="22"/>
          <w:lang w:eastAsia="en-US"/>
        </w:rPr>
        <w:t>Lesné hospodárstvo sa vyznačuje veľkou závislosťou na tržbách z ťažby dreva, kde v roku 2012 tento podiel tvoril až 80% z celkových tržieb a výnosov v LH (Zelená správa 2012), preto bude potrebné vytvárať podmienky na podporu diverzifikácii výroby v LH. Ide hlavne o ponuku nových tovarov a služieb (napr. vidiecky cestový ruch, poľovníctvo, lesná pedagogika, atď.). Okrem samotného zvýšenia príjmu lesníckych subjektov, bude to mať pozitívny vplyv na udržanie/zvýšenie zamestnanosti vo vidieckom priestore.</w:t>
      </w:r>
    </w:p>
    <w:p w:rsidR="00242C36" w:rsidRPr="00E43137" w:rsidRDefault="00242C36" w:rsidP="00242C36">
      <w:pPr>
        <w:pBdr>
          <w:bar w:val="single" w:sz="6" w:color="808080"/>
        </w:pBdr>
        <w:spacing w:after="120"/>
        <w:rPr>
          <w:rFonts w:ascii="Calibri" w:eastAsia="Calibri" w:hAnsi="Calibri"/>
          <w:szCs w:val="22"/>
          <w:lang w:eastAsia="en-US"/>
        </w:rPr>
      </w:pPr>
      <w:r w:rsidRPr="00E43137">
        <w:rPr>
          <w:rFonts w:ascii="Calibri" w:eastAsia="Calibri" w:hAnsi="Calibri"/>
          <w:szCs w:val="22"/>
          <w:lang w:eastAsia="en-US"/>
        </w:rPr>
        <w:t xml:space="preserve">Základom obhospodarovania lesov je racionálne sprístupnenie lesnou dopravnou sieťou. Na optimálne sprístupnenie lesov chýba v rámci lesov Slovenska dobudovať ešte asi 3 000 – 5 000 km lesných ciest, čo znamená, že v sprístupňovaní lesov predstavuje najvyššiu prioritu lesného hospodárstva. </w:t>
      </w:r>
    </w:p>
    <w:p w:rsidR="00242C36" w:rsidRPr="00E43137" w:rsidRDefault="00242C36" w:rsidP="00242C36">
      <w:pPr>
        <w:pBdr>
          <w:bar w:val="single" w:sz="6" w:color="808080"/>
        </w:pBdr>
        <w:spacing w:after="120"/>
        <w:rPr>
          <w:rFonts w:ascii="Calibri" w:eastAsia="Calibri" w:hAnsi="Calibri"/>
          <w:szCs w:val="22"/>
          <w:lang w:eastAsia="en-US"/>
        </w:rPr>
      </w:pPr>
      <w:r w:rsidRPr="00E43137">
        <w:rPr>
          <w:rFonts w:ascii="Calibri" w:eastAsia="Calibri" w:hAnsi="Calibri"/>
          <w:szCs w:val="22"/>
          <w:lang w:eastAsia="en-US"/>
        </w:rPr>
        <w:t xml:space="preserve">Nedobudované lesné cesty sťažujú prístup a práce pri obhospodarovaní lesov a rovnako negatívne ovplyvňujú prevenciu a hasenie lesných požiarov. V súčasnosti absentuje systematická údržba a komplexná starostlivosť o vybudované lesné cesty a účelové komunikácie, a len sporadicky sa odstraňujú havarijné stavy na jednotlivých cestách, vzniknuté po živelných pohromách, najmä po povodniach a svahových zosuvoch.  </w:t>
      </w:r>
    </w:p>
    <w:p w:rsidR="00242C36" w:rsidRPr="00E43137" w:rsidRDefault="00242C36" w:rsidP="00242C36">
      <w:pPr>
        <w:pBdr>
          <w:bar w:val="single" w:sz="6" w:color="808080"/>
        </w:pBdr>
        <w:spacing w:after="120"/>
        <w:rPr>
          <w:rFonts w:ascii="Calibri" w:eastAsia="Calibri" w:hAnsi="Calibri"/>
          <w:szCs w:val="22"/>
          <w:lang w:eastAsia="en-US"/>
        </w:rPr>
      </w:pPr>
      <w:r w:rsidRPr="00E43137">
        <w:rPr>
          <w:rFonts w:ascii="Calibri" w:eastAsia="Calibri" w:hAnsi="Calibri"/>
          <w:szCs w:val="22"/>
          <w:lang w:eastAsia="en-US"/>
        </w:rPr>
        <w:t>Pri sprístupňovaní horských lesov sa odporúča postupovať diferencovane, podľa kategórií lesov s tým, že v hospodárskych lesoch sa uvažuje s hustotou lesných ciest 20–25 m.ha-1 a pre ochranné lesy sa odporúča hustota 7–14 m.ha-1 lesných ciest. Celkovo na Slovensku nedostatočné sprístupnenie lesov, výrazne znemožňuje ich trvalo</w:t>
      </w:r>
      <w:r>
        <w:rPr>
          <w:rFonts w:ascii="Calibri" w:eastAsia="Calibri" w:hAnsi="Calibri"/>
          <w:szCs w:val="22"/>
          <w:lang w:eastAsia="en-US"/>
        </w:rPr>
        <w:t xml:space="preserve"> </w:t>
      </w:r>
      <w:r w:rsidRPr="00E43137">
        <w:rPr>
          <w:rFonts w:ascii="Calibri" w:eastAsia="Calibri" w:hAnsi="Calibri"/>
          <w:szCs w:val="22"/>
          <w:lang w:eastAsia="en-US"/>
        </w:rPr>
        <w:t>udržateľné obhospodarovanie z pohľadu ekonomického, environmentálneho a sociálneho. V</w:t>
      </w:r>
      <w:r>
        <w:rPr>
          <w:rFonts w:ascii="Calibri" w:eastAsia="Calibri" w:hAnsi="Calibri"/>
          <w:szCs w:val="22"/>
          <w:lang w:eastAsia="en-US"/>
        </w:rPr>
        <w:t> nasledovnej</w:t>
      </w:r>
      <w:r w:rsidRPr="00E43137">
        <w:rPr>
          <w:rFonts w:ascii="Calibri" w:eastAsia="Calibri" w:hAnsi="Calibri"/>
          <w:szCs w:val="22"/>
          <w:lang w:eastAsia="en-US"/>
        </w:rPr>
        <w:t xml:space="preserve"> tabu</w:t>
      </w:r>
      <w:r>
        <w:rPr>
          <w:rFonts w:ascii="Calibri" w:eastAsia="Calibri" w:hAnsi="Calibri"/>
          <w:szCs w:val="22"/>
          <w:lang w:eastAsia="en-US"/>
        </w:rPr>
        <w:t>ľke</w:t>
      </w:r>
      <w:r w:rsidRPr="00E43137">
        <w:rPr>
          <w:rFonts w:ascii="Calibri" w:eastAsia="Calibri" w:hAnsi="Calibri"/>
          <w:szCs w:val="22"/>
          <w:lang w:eastAsia="en-US"/>
        </w:rPr>
        <w:t xml:space="preserve"> je na porovnanie uvedená hustota lesnej dopravnej siete na Slovensku a v okolitých krajinách s podobnými ekologickými podmienkami.</w:t>
      </w:r>
    </w:p>
    <w:p w:rsidR="00242C36" w:rsidRDefault="00E32F57" w:rsidP="00242C36">
      <w:pPr>
        <w:pBdr>
          <w:bar w:val="single" w:sz="6" w:color="808080"/>
        </w:pBdr>
        <w:spacing w:after="120"/>
        <w:rPr>
          <w:rFonts w:ascii="Calibri" w:eastAsia="Calibri" w:hAnsi="Calibri"/>
          <w:b/>
          <w:szCs w:val="22"/>
          <w:lang w:eastAsia="en-US"/>
        </w:rPr>
      </w:pPr>
      <w:r>
        <w:rPr>
          <w:rFonts w:ascii="Calibri" w:eastAsia="Calibri" w:hAnsi="Calibri"/>
          <w:b/>
          <w:szCs w:val="22"/>
          <w:lang w:eastAsia="en-US"/>
        </w:rPr>
        <w:t xml:space="preserve">Tabuľka 32: </w:t>
      </w:r>
      <w:r w:rsidR="00242C36" w:rsidRPr="00371B20">
        <w:rPr>
          <w:rFonts w:ascii="Calibri" w:eastAsia="Calibri" w:hAnsi="Calibri"/>
          <w:b/>
          <w:szCs w:val="22"/>
          <w:lang w:eastAsia="en-US"/>
        </w:rPr>
        <w:t>Hustota lesnej dopravnej siete (bežné metre/ha) v SR a vo vybraných krajinách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16"/>
        <w:gridCol w:w="1316"/>
        <w:gridCol w:w="1316"/>
        <w:gridCol w:w="1316"/>
        <w:gridCol w:w="1081"/>
        <w:gridCol w:w="1418"/>
        <w:gridCol w:w="1449"/>
      </w:tblGrid>
      <w:tr w:rsidR="00242C36" w:rsidRPr="00E43137" w:rsidTr="00242C36">
        <w:trPr>
          <w:trHeight w:val="284"/>
        </w:trPr>
        <w:tc>
          <w:tcPr>
            <w:tcW w:w="1316" w:type="dxa"/>
            <w:tcBorders>
              <w:top w:val="single" w:sz="4" w:space="0" w:color="auto"/>
              <w:left w:val="single" w:sz="4" w:space="0" w:color="auto"/>
              <w:bottom w:val="single" w:sz="4" w:space="0" w:color="auto"/>
              <w:right w:val="single" w:sz="4" w:space="0" w:color="auto"/>
            </w:tcBorders>
          </w:tcPr>
          <w:p w:rsidR="00242C36" w:rsidRPr="00A137AE" w:rsidRDefault="00242C36" w:rsidP="00242C36">
            <w:pPr>
              <w:rPr>
                <w:rFonts w:eastAsia="Calibri"/>
                <w:sz w:val="20"/>
                <w:szCs w:val="20"/>
                <w:lang w:eastAsia="en-US"/>
              </w:rPr>
            </w:pPr>
          </w:p>
        </w:tc>
        <w:tc>
          <w:tcPr>
            <w:tcW w:w="7896" w:type="dxa"/>
            <w:gridSpan w:val="6"/>
            <w:tcBorders>
              <w:top w:val="single" w:sz="4" w:space="0" w:color="auto"/>
              <w:left w:val="single" w:sz="4" w:space="0" w:color="auto"/>
              <w:bottom w:val="single" w:sz="4" w:space="0" w:color="auto"/>
              <w:right w:val="single" w:sz="4" w:space="0" w:color="auto"/>
            </w:tcBorders>
          </w:tcPr>
          <w:p w:rsidR="00242C36" w:rsidRPr="00A137AE" w:rsidRDefault="00242C36" w:rsidP="00242C36">
            <w:pPr>
              <w:jc w:val="center"/>
              <w:rPr>
                <w:rFonts w:eastAsia="Calibri"/>
                <w:sz w:val="20"/>
                <w:szCs w:val="20"/>
                <w:lang w:eastAsia="en-US"/>
              </w:rPr>
            </w:pPr>
            <w:r w:rsidRPr="00A137AE">
              <w:rPr>
                <w:rFonts w:eastAsia="Calibri"/>
                <w:sz w:val="20"/>
                <w:szCs w:val="20"/>
                <w:lang w:eastAsia="en-US"/>
              </w:rPr>
              <w:t>Hustota v bm/ha</w:t>
            </w:r>
          </w:p>
        </w:tc>
      </w:tr>
      <w:tr w:rsidR="00242C36" w:rsidRPr="00E43137" w:rsidTr="00242C36">
        <w:trPr>
          <w:trHeight w:val="284"/>
        </w:trPr>
        <w:tc>
          <w:tcPr>
            <w:tcW w:w="1316" w:type="dxa"/>
          </w:tcPr>
          <w:p w:rsidR="00242C36" w:rsidRPr="00E43137" w:rsidRDefault="00242C36" w:rsidP="00242C36">
            <w:pPr>
              <w:rPr>
                <w:rFonts w:ascii="Calibri" w:eastAsia="Calibri" w:hAnsi="Calibri"/>
                <w:lang w:eastAsia="en-US"/>
              </w:rPr>
            </w:pPr>
          </w:p>
        </w:tc>
        <w:tc>
          <w:tcPr>
            <w:tcW w:w="1316" w:type="dxa"/>
          </w:tcPr>
          <w:p w:rsidR="00242C36" w:rsidRPr="00E43137" w:rsidRDefault="00242C36" w:rsidP="00242C36">
            <w:pPr>
              <w:rPr>
                <w:rFonts w:ascii="Calibri" w:eastAsia="Calibri" w:hAnsi="Calibri"/>
                <w:lang w:eastAsia="en-US"/>
              </w:rPr>
            </w:pPr>
            <w:r w:rsidRPr="00E43137">
              <w:rPr>
                <w:rFonts w:ascii="Calibri" w:eastAsia="Calibri" w:hAnsi="Calibri"/>
                <w:szCs w:val="22"/>
                <w:lang w:eastAsia="en-US"/>
              </w:rPr>
              <w:t>ČR</w:t>
            </w:r>
          </w:p>
        </w:tc>
        <w:tc>
          <w:tcPr>
            <w:tcW w:w="1316" w:type="dxa"/>
          </w:tcPr>
          <w:p w:rsidR="00242C36" w:rsidRPr="00E43137" w:rsidRDefault="00242C36" w:rsidP="00242C36">
            <w:pPr>
              <w:rPr>
                <w:rFonts w:ascii="Calibri" w:eastAsia="Calibri" w:hAnsi="Calibri"/>
                <w:lang w:eastAsia="en-US"/>
              </w:rPr>
            </w:pPr>
            <w:r w:rsidRPr="00E43137">
              <w:rPr>
                <w:rFonts w:ascii="Calibri" w:eastAsia="Calibri" w:hAnsi="Calibri"/>
                <w:szCs w:val="22"/>
                <w:lang w:eastAsia="en-US"/>
              </w:rPr>
              <w:t>SR</w:t>
            </w:r>
          </w:p>
        </w:tc>
        <w:tc>
          <w:tcPr>
            <w:tcW w:w="1316" w:type="dxa"/>
          </w:tcPr>
          <w:p w:rsidR="00242C36" w:rsidRPr="00E43137" w:rsidRDefault="00242C36" w:rsidP="00242C36">
            <w:pPr>
              <w:rPr>
                <w:rFonts w:ascii="Calibri" w:eastAsia="Calibri" w:hAnsi="Calibri"/>
                <w:lang w:eastAsia="en-US"/>
              </w:rPr>
            </w:pPr>
            <w:r w:rsidRPr="00E43137">
              <w:rPr>
                <w:rFonts w:ascii="Calibri" w:eastAsia="Calibri" w:hAnsi="Calibri"/>
                <w:szCs w:val="22"/>
                <w:lang w:eastAsia="en-US"/>
              </w:rPr>
              <w:t>Švajčiarsko</w:t>
            </w:r>
          </w:p>
        </w:tc>
        <w:tc>
          <w:tcPr>
            <w:tcW w:w="1081" w:type="dxa"/>
          </w:tcPr>
          <w:p w:rsidR="00242C36" w:rsidRPr="00E43137" w:rsidRDefault="00242C36" w:rsidP="00242C36">
            <w:pPr>
              <w:rPr>
                <w:rFonts w:ascii="Calibri" w:eastAsia="Calibri" w:hAnsi="Calibri"/>
                <w:lang w:eastAsia="en-US"/>
              </w:rPr>
            </w:pPr>
            <w:r w:rsidRPr="00E43137">
              <w:rPr>
                <w:rFonts w:ascii="Calibri" w:eastAsia="Calibri" w:hAnsi="Calibri"/>
                <w:szCs w:val="22"/>
                <w:lang w:eastAsia="en-US"/>
              </w:rPr>
              <w:t>Rakúsko</w:t>
            </w:r>
          </w:p>
        </w:tc>
        <w:tc>
          <w:tcPr>
            <w:tcW w:w="1418" w:type="dxa"/>
          </w:tcPr>
          <w:p w:rsidR="00242C36" w:rsidRPr="00E43137" w:rsidRDefault="00242C36" w:rsidP="00242C36">
            <w:pPr>
              <w:rPr>
                <w:rFonts w:ascii="Calibri" w:eastAsia="Calibri" w:hAnsi="Calibri"/>
                <w:lang w:eastAsia="en-US"/>
              </w:rPr>
            </w:pPr>
            <w:r w:rsidRPr="00E43137">
              <w:rPr>
                <w:rFonts w:ascii="Calibri" w:eastAsia="Calibri" w:hAnsi="Calibri"/>
                <w:szCs w:val="22"/>
                <w:lang w:eastAsia="en-US"/>
              </w:rPr>
              <w:t>Nemecko I*</w:t>
            </w:r>
          </w:p>
        </w:tc>
        <w:tc>
          <w:tcPr>
            <w:tcW w:w="1449" w:type="dxa"/>
          </w:tcPr>
          <w:p w:rsidR="00242C36" w:rsidRPr="00E43137" w:rsidRDefault="00242C36" w:rsidP="00242C36">
            <w:pPr>
              <w:rPr>
                <w:rFonts w:ascii="Calibri" w:eastAsia="Calibri" w:hAnsi="Calibri"/>
                <w:lang w:eastAsia="en-US"/>
              </w:rPr>
            </w:pPr>
            <w:r w:rsidRPr="00E43137">
              <w:rPr>
                <w:rFonts w:ascii="Calibri" w:eastAsia="Calibri" w:hAnsi="Calibri"/>
                <w:szCs w:val="22"/>
                <w:lang w:eastAsia="en-US"/>
              </w:rPr>
              <w:t>Nemecko II*</w:t>
            </w:r>
          </w:p>
        </w:tc>
      </w:tr>
      <w:tr w:rsidR="00242C36" w:rsidRPr="00E43137" w:rsidTr="00242C36">
        <w:trPr>
          <w:trHeight w:val="284"/>
        </w:trPr>
        <w:tc>
          <w:tcPr>
            <w:tcW w:w="1316" w:type="dxa"/>
          </w:tcPr>
          <w:p w:rsidR="00242C36" w:rsidRPr="00E43137" w:rsidRDefault="00242C36" w:rsidP="00242C36">
            <w:pPr>
              <w:rPr>
                <w:rFonts w:ascii="Calibri" w:eastAsia="Calibri" w:hAnsi="Calibri"/>
                <w:lang w:eastAsia="en-US"/>
              </w:rPr>
            </w:pPr>
            <w:r w:rsidRPr="00E43137">
              <w:rPr>
                <w:rFonts w:ascii="Calibri" w:eastAsia="Calibri" w:hAnsi="Calibri"/>
                <w:szCs w:val="22"/>
                <w:lang w:eastAsia="en-US"/>
              </w:rPr>
              <w:t>1L</w:t>
            </w:r>
          </w:p>
        </w:tc>
        <w:tc>
          <w:tcPr>
            <w:tcW w:w="1316" w:type="dxa"/>
          </w:tcPr>
          <w:p w:rsidR="00242C36" w:rsidRPr="00E43137" w:rsidRDefault="00242C36" w:rsidP="00242C36">
            <w:pPr>
              <w:rPr>
                <w:rFonts w:ascii="Calibri" w:eastAsia="Calibri" w:hAnsi="Calibri"/>
                <w:lang w:eastAsia="en-US"/>
              </w:rPr>
            </w:pPr>
            <w:r w:rsidRPr="00E43137">
              <w:rPr>
                <w:rFonts w:ascii="Calibri" w:eastAsia="Calibri" w:hAnsi="Calibri"/>
                <w:szCs w:val="22"/>
                <w:lang w:eastAsia="en-US"/>
              </w:rPr>
              <w:t>4,6</w:t>
            </w:r>
          </w:p>
        </w:tc>
        <w:tc>
          <w:tcPr>
            <w:tcW w:w="1316" w:type="dxa"/>
          </w:tcPr>
          <w:p w:rsidR="00242C36" w:rsidRPr="00E43137" w:rsidRDefault="00242C36" w:rsidP="00242C36">
            <w:pPr>
              <w:rPr>
                <w:rFonts w:ascii="Calibri" w:eastAsia="Calibri" w:hAnsi="Calibri"/>
                <w:lang w:eastAsia="en-US"/>
              </w:rPr>
            </w:pPr>
            <w:r w:rsidRPr="00E43137">
              <w:rPr>
                <w:rFonts w:ascii="Calibri" w:eastAsia="Calibri" w:hAnsi="Calibri"/>
                <w:szCs w:val="22"/>
                <w:lang w:eastAsia="en-US"/>
              </w:rPr>
              <w:t>3,2</w:t>
            </w:r>
          </w:p>
        </w:tc>
        <w:tc>
          <w:tcPr>
            <w:tcW w:w="1316" w:type="dxa"/>
            <w:vMerge w:val="restart"/>
          </w:tcPr>
          <w:p w:rsidR="00242C36" w:rsidRPr="00E43137" w:rsidRDefault="00242C36" w:rsidP="00242C36">
            <w:pPr>
              <w:rPr>
                <w:rFonts w:ascii="Calibri" w:eastAsia="Calibri" w:hAnsi="Calibri"/>
                <w:lang w:eastAsia="en-US"/>
              </w:rPr>
            </w:pPr>
            <w:r w:rsidRPr="00E43137">
              <w:rPr>
                <w:rFonts w:ascii="Calibri" w:eastAsia="Calibri" w:hAnsi="Calibri"/>
                <w:szCs w:val="22"/>
                <w:lang w:eastAsia="en-US"/>
              </w:rPr>
              <w:t>26,2</w:t>
            </w:r>
          </w:p>
        </w:tc>
        <w:tc>
          <w:tcPr>
            <w:tcW w:w="1081" w:type="dxa"/>
            <w:vMerge w:val="restart"/>
          </w:tcPr>
          <w:p w:rsidR="00242C36" w:rsidRPr="00E43137" w:rsidRDefault="00242C36" w:rsidP="00242C36">
            <w:pPr>
              <w:rPr>
                <w:rFonts w:ascii="Calibri" w:eastAsia="Calibri" w:hAnsi="Calibri"/>
                <w:lang w:eastAsia="en-US"/>
              </w:rPr>
            </w:pPr>
            <w:r w:rsidRPr="00E43137">
              <w:rPr>
                <w:rFonts w:ascii="Calibri" w:eastAsia="Calibri" w:hAnsi="Calibri"/>
                <w:szCs w:val="22"/>
                <w:lang w:eastAsia="en-US"/>
              </w:rPr>
              <w:t>35,4</w:t>
            </w:r>
          </w:p>
        </w:tc>
        <w:tc>
          <w:tcPr>
            <w:tcW w:w="1418" w:type="dxa"/>
            <w:vMerge w:val="restart"/>
          </w:tcPr>
          <w:p w:rsidR="00242C36" w:rsidRPr="00E43137" w:rsidRDefault="00242C36" w:rsidP="00242C36">
            <w:pPr>
              <w:rPr>
                <w:rFonts w:ascii="Calibri" w:eastAsia="Calibri" w:hAnsi="Calibri"/>
                <w:lang w:eastAsia="en-US"/>
              </w:rPr>
            </w:pPr>
            <w:r w:rsidRPr="00E43137">
              <w:rPr>
                <w:rFonts w:ascii="Calibri" w:eastAsia="Calibri" w:hAnsi="Calibri"/>
                <w:szCs w:val="22"/>
                <w:lang w:eastAsia="en-US"/>
              </w:rPr>
              <w:t>54,4</w:t>
            </w:r>
          </w:p>
        </w:tc>
        <w:tc>
          <w:tcPr>
            <w:tcW w:w="1449" w:type="dxa"/>
          </w:tcPr>
          <w:p w:rsidR="00242C36" w:rsidRPr="00E43137" w:rsidRDefault="00242C36" w:rsidP="00242C36">
            <w:pPr>
              <w:rPr>
                <w:rFonts w:ascii="Calibri" w:eastAsia="Calibri" w:hAnsi="Calibri"/>
                <w:lang w:eastAsia="en-US"/>
              </w:rPr>
            </w:pPr>
            <w:r w:rsidRPr="00E43137">
              <w:rPr>
                <w:rFonts w:ascii="Calibri" w:eastAsia="Calibri" w:hAnsi="Calibri"/>
                <w:szCs w:val="22"/>
                <w:lang w:eastAsia="en-US"/>
              </w:rPr>
              <w:t>18</w:t>
            </w:r>
          </w:p>
        </w:tc>
      </w:tr>
      <w:tr w:rsidR="00242C36" w:rsidRPr="00E43137" w:rsidTr="00242C36">
        <w:trPr>
          <w:trHeight w:val="284"/>
        </w:trPr>
        <w:tc>
          <w:tcPr>
            <w:tcW w:w="1316" w:type="dxa"/>
          </w:tcPr>
          <w:p w:rsidR="00242C36" w:rsidRPr="00E43137" w:rsidRDefault="00242C36" w:rsidP="00242C36">
            <w:pPr>
              <w:rPr>
                <w:rFonts w:ascii="Calibri" w:eastAsia="Calibri" w:hAnsi="Calibri"/>
                <w:lang w:eastAsia="en-US"/>
              </w:rPr>
            </w:pPr>
            <w:r w:rsidRPr="00E43137">
              <w:rPr>
                <w:rFonts w:ascii="Calibri" w:eastAsia="Calibri" w:hAnsi="Calibri"/>
                <w:szCs w:val="22"/>
                <w:lang w:eastAsia="en-US"/>
              </w:rPr>
              <w:t>2L</w:t>
            </w:r>
          </w:p>
        </w:tc>
        <w:tc>
          <w:tcPr>
            <w:tcW w:w="1316" w:type="dxa"/>
          </w:tcPr>
          <w:p w:rsidR="00242C36" w:rsidRPr="00E43137" w:rsidRDefault="00242C36" w:rsidP="00242C36">
            <w:pPr>
              <w:rPr>
                <w:rFonts w:ascii="Calibri" w:eastAsia="Calibri" w:hAnsi="Calibri"/>
                <w:lang w:eastAsia="en-US"/>
              </w:rPr>
            </w:pPr>
            <w:r w:rsidRPr="00E43137">
              <w:rPr>
                <w:rFonts w:ascii="Calibri" w:eastAsia="Calibri" w:hAnsi="Calibri"/>
                <w:szCs w:val="22"/>
                <w:lang w:eastAsia="en-US"/>
              </w:rPr>
              <w:t>9,5</w:t>
            </w:r>
          </w:p>
        </w:tc>
        <w:tc>
          <w:tcPr>
            <w:tcW w:w="1316" w:type="dxa"/>
          </w:tcPr>
          <w:p w:rsidR="00242C36" w:rsidRPr="00E43137" w:rsidRDefault="00242C36" w:rsidP="00242C36">
            <w:pPr>
              <w:rPr>
                <w:rFonts w:ascii="Calibri" w:eastAsia="Calibri" w:hAnsi="Calibri"/>
                <w:lang w:eastAsia="en-US"/>
              </w:rPr>
            </w:pPr>
            <w:r w:rsidRPr="00E43137">
              <w:rPr>
                <w:rFonts w:ascii="Calibri" w:eastAsia="Calibri" w:hAnsi="Calibri"/>
                <w:szCs w:val="22"/>
                <w:lang w:eastAsia="en-US"/>
              </w:rPr>
              <w:t>7,4</w:t>
            </w:r>
          </w:p>
        </w:tc>
        <w:tc>
          <w:tcPr>
            <w:tcW w:w="1316" w:type="dxa"/>
            <w:vMerge/>
          </w:tcPr>
          <w:p w:rsidR="00242C36" w:rsidRPr="00E43137" w:rsidRDefault="00242C36" w:rsidP="00242C36">
            <w:pPr>
              <w:rPr>
                <w:rFonts w:ascii="Calibri" w:eastAsia="Calibri" w:hAnsi="Calibri"/>
                <w:lang w:eastAsia="en-US"/>
              </w:rPr>
            </w:pPr>
          </w:p>
        </w:tc>
        <w:tc>
          <w:tcPr>
            <w:tcW w:w="1081" w:type="dxa"/>
            <w:vMerge/>
          </w:tcPr>
          <w:p w:rsidR="00242C36" w:rsidRPr="00E43137" w:rsidRDefault="00242C36" w:rsidP="00242C36">
            <w:pPr>
              <w:rPr>
                <w:rFonts w:ascii="Calibri" w:eastAsia="Calibri" w:hAnsi="Calibri"/>
                <w:lang w:eastAsia="en-US"/>
              </w:rPr>
            </w:pPr>
          </w:p>
        </w:tc>
        <w:tc>
          <w:tcPr>
            <w:tcW w:w="1418" w:type="dxa"/>
            <w:vMerge/>
          </w:tcPr>
          <w:p w:rsidR="00242C36" w:rsidRPr="00E43137" w:rsidRDefault="00242C36" w:rsidP="00242C36">
            <w:pPr>
              <w:rPr>
                <w:rFonts w:ascii="Calibri" w:eastAsia="Calibri" w:hAnsi="Calibri"/>
                <w:lang w:eastAsia="en-US"/>
              </w:rPr>
            </w:pPr>
          </w:p>
        </w:tc>
        <w:tc>
          <w:tcPr>
            <w:tcW w:w="1449" w:type="dxa"/>
          </w:tcPr>
          <w:p w:rsidR="00242C36" w:rsidRPr="00E43137" w:rsidRDefault="00242C36" w:rsidP="00242C36">
            <w:pPr>
              <w:rPr>
                <w:rFonts w:ascii="Calibri" w:eastAsia="Calibri" w:hAnsi="Calibri"/>
                <w:lang w:eastAsia="en-US"/>
              </w:rPr>
            </w:pPr>
            <w:r w:rsidRPr="00E43137">
              <w:rPr>
                <w:rFonts w:ascii="Calibri" w:eastAsia="Calibri" w:hAnsi="Calibri"/>
                <w:szCs w:val="22"/>
                <w:lang w:eastAsia="en-US"/>
              </w:rPr>
              <w:t>10,5</w:t>
            </w:r>
          </w:p>
        </w:tc>
      </w:tr>
      <w:tr w:rsidR="00242C36" w:rsidRPr="00E43137" w:rsidTr="00242C36">
        <w:trPr>
          <w:trHeight w:val="284"/>
        </w:trPr>
        <w:tc>
          <w:tcPr>
            <w:tcW w:w="1316" w:type="dxa"/>
          </w:tcPr>
          <w:p w:rsidR="00242C36" w:rsidRPr="00E43137" w:rsidRDefault="00242C36" w:rsidP="00242C36">
            <w:pPr>
              <w:rPr>
                <w:rFonts w:ascii="Calibri" w:eastAsia="Calibri" w:hAnsi="Calibri"/>
                <w:lang w:eastAsia="en-US"/>
              </w:rPr>
            </w:pPr>
            <w:r w:rsidRPr="00E43137">
              <w:rPr>
                <w:rFonts w:ascii="Calibri" w:eastAsia="Calibri" w:hAnsi="Calibri"/>
                <w:szCs w:val="22"/>
                <w:lang w:eastAsia="en-US"/>
              </w:rPr>
              <w:t>Spolu 1L+2L</w:t>
            </w:r>
          </w:p>
        </w:tc>
        <w:tc>
          <w:tcPr>
            <w:tcW w:w="1316" w:type="dxa"/>
          </w:tcPr>
          <w:p w:rsidR="00242C36" w:rsidRPr="00E43137" w:rsidRDefault="00242C36" w:rsidP="00242C36">
            <w:pPr>
              <w:rPr>
                <w:rFonts w:ascii="Calibri" w:eastAsia="Calibri" w:hAnsi="Calibri"/>
                <w:lang w:eastAsia="en-US"/>
              </w:rPr>
            </w:pPr>
            <w:r w:rsidRPr="00E43137">
              <w:rPr>
                <w:rFonts w:ascii="Calibri" w:eastAsia="Calibri" w:hAnsi="Calibri"/>
                <w:szCs w:val="22"/>
                <w:lang w:eastAsia="en-US"/>
              </w:rPr>
              <w:t>14,1</w:t>
            </w:r>
          </w:p>
        </w:tc>
        <w:tc>
          <w:tcPr>
            <w:tcW w:w="1316" w:type="dxa"/>
          </w:tcPr>
          <w:p w:rsidR="00242C36" w:rsidRPr="00E43137" w:rsidRDefault="00242C36" w:rsidP="00242C36">
            <w:pPr>
              <w:rPr>
                <w:rFonts w:ascii="Calibri" w:eastAsia="Calibri" w:hAnsi="Calibri"/>
                <w:lang w:eastAsia="en-US"/>
              </w:rPr>
            </w:pPr>
            <w:r w:rsidRPr="00E43137">
              <w:rPr>
                <w:rFonts w:ascii="Calibri" w:eastAsia="Calibri" w:hAnsi="Calibri"/>
                <w:szCs w:val="22"/>
                <w:lang w:eastAsia="en-US"/>
              </w:rPr>
              <w:t>10,6</w:t>
            </w:r>
          </w:p>
        </w:tc>
        <w:tc>
          <w:tcPr>
            <w:tcW w:w="1316" w:type="dxa"/>
          </w:tcPr>
          <w:p w:rsidR="00242C36" w:rsidRPr="00E43137" w:rsidRDefault="00242C36" w:rsidP="00242C36">
            <w:pPr>
              <w:rPr>
                <w:rFonts w:ascii="Calibri" w:eastAsia="Calibri" w:hAnsi="Calibri"/>
                <w:lang w:eastAsia="en-US"/>
              </w:rPr>
            </w:pPr>
            <w:r w:rsidRPr="00E43137">
              <w:rPr>
                <w:rFonts w:ascii="Calibri" w:eastAsia="Calibri" w:hAnsi="Calibri"/>
                <w:szCs w:val="22"/>
                <w:lang w:eastAsia="en-US"/>
              </w:rPr>
              <w:t>26,2</w:t>
            </w:r>
          </w:p>
        </w:tc>
        <w:tc>
          <w:tcPr>
            <w:tcW w:w="1081" w:type="dxa"/>
          </w:tcPr>
          <w:p w:rsidR="00242C36" w:rsidRPr="00E43137" w:rsidRDefault="00242C36" w:rsidP="00242C36">
            <w:pPr>
              <w:rPr>
                <w:rFonts w:ascii="Calibri" w:eastAsia="Calibri" w:hAnsi="Calibri"/>
                <w:lang w:eastAsia="en-US"/>
              </w:rPr>
            </w:pPr>
            <w:r w:rsidRPr="00E43137">
              <w:rPr>
                <w:rFonts w:ascii="Calibri" w:eastAsia="Calibri" w:hAnsi="Calibri"/>
                <w:szCs w:val="22"/>
                <w:lang w:eastAsia="en-US"/>
              </w:rPr>
              <w:t>35,4</w:t>
            </w:r>
          </w:p>
        </w:tc>
        <w:tc>
          <w:tcPr>
            <w:tcW w:w="1418" w:type="dxa"/>
          </w:tcPr>
          <w:p w:rsidR="00242C36" w:rsidRPr="00E43137" w:rsidRDefault="00242C36" w:rsidP="00242C36">
            <w:pPr>
              <w:rPr>
                <w:rFonts w:ascii="Calibri" w:eastAsia="Calibri" w:hAnsi="Calibri"/>
                <w:lang w:eastAsia="en-US"/>
              </w:rPr>
            </w:pPr>
            <w:r w:rsidRPr="00E43137">
              <w:rPr>
                <w:rFonts w:ascii="Calibri" w:eastAsia="Calibri" w:hAnsi="Calibri"/>
                <w:szCs w:val="22"/>
                <w:lang w:eastAsia="en-US"/>
              </w:rPr>
              <w:t>54,4</w:t>
            </w:r>
          </w:p>
        </w:tc>
        <w:tc>
          <w:tcPr>
            <w:tcW w:w="1449" w:type="dxa"/>
          </w:tcPr>
          <w:p w:rsidR="00242C36" w:rsidRPr="00E43137" w:rsidRDefault="00242C36" w:rsidP="00242C36">
            <w:pPr>
              <w:rPr>
                <w:rFonts w:ascii="Calibri" w:eastAsia="Calibri" w:hAnsi="Calibri"/>
                <w:lang w:eastAsia="en-US"/>
              </w:rPr>
            </w:pPr>
            <w:r w:rsidRPr="00E43137">
              <w:rPr>
                <w:rFonts w:ascii="Calibri" w:eastAsia="Calibri" w:hAnsi="Calibri"/>
                <w:szCs w:val="22"/>
                <w:lang w:eastAsia="en-US"/>
              </w:rPr>
              <w:t>28,5</w:t>
            </w:r>
          </w:p>
        </w:tc>
      </w:tr>
    </w:tbl>
    <w:p w:rsidR="00242C36" w:rsidRPr="00FC2C72" w:rsidRDefault="00242C36" w:rsidP="00242C36">
      <w:pPr>
        <w:pBdr>
          <w:bar w:val="single" w:sz="6" w:color="808080"/>
        </w:pBdr>
        <w:spacing w:after="120"/>
        <w:rPr>
          <w:rFonts w:ascii="Calibri" w:eastAsia="Calibri" w:hAnsi="Calibri"/>
          <w:sz w:val="20"/>
          <w:szCs w:val="20"/>
          <w:lang w:eastAsia="en-US"/>
        </w:rPr>
      </w:pPr>
      <w:r w:rsidRPr="00FC2C72">
        <w:rPr>
          <w:rFonts w:ascii="Calibri" w:eastAsia="Calibri" w:hAnsi="Calibri"/>
          <w:sz w:val="20"/>
          <w:szCs w:val="20"/>
          <w:lang w:eastAsia="en-US"/>
        </w:rPr>
        <w:t>*Nemecko I – staré spolkové krajiny, Nemecko II- nové spolkové krajiny</w:t>
      </w:r>
    </w:p>
    <w:p w:rsidR="00242C36" w:rsidRDefault="00242C36" w:rsidP="00242C36">
      <w:pPr>
        <w:pBdr>
          <w:bar w:val="single" w:sz="6" w:color="808080"/>
        </w:pBdr>
        <w:spacing w:after="120"/>
        <w:rPr>
          <w:rFonts w:ascii="Calibri" w:eastAsia="Calibri" w:hAnsi="Calibri"/>
          <w:szCs w:val="22"/>
          <w:lang w:eastAsia="en-US"/>
        </w:rPr>
      </w:pPr>
      <w:r w:rsidRPr="00E43137">
        <w:rPr>
          <w:rFonts w:ascii="Calibri" w:eastAsia="Calibri" w:hAnsi="Calibri"/>
          <w:szCs w:val="22"/>
          <w:lang w:eastAsia="en-US"/>
        </w:rPr>
        <w:t xml:space="preserve">V programovom období 2007–2013 bola prevažná časť verejných zdrojov v lesníctve použitá na výstavbu infraštruktúry—lesných ciest. V rámci investícií do hmotného majetku je aj v budúcnosti možné z EPFRV podporovať infraštruktúru potrebnú pre rozvoj lesného hospodárstva a prevenciu proti šíreniu požiarov. Približovanie dreva je z hľadiska zabezpečenia výkonov dôležitá hospodárska činnosť, ktorá tvorí približne 28% priamych nákladov na ťažbu a významne ovplyvňuje kalkuláciu nákladov na výkony. V roku 2012 hustota sprístupnenia lesov dopravnou sieťou vzrástla oproti predchádzajúcemu roku len nepatrne (o 0,1 m/ha). Celková dĺžka lesnej dopravnej siete bola </w:t>
      </w:r>
      <w:smartTag w:uri="urn:schemas-microsoft-com:office:smarttags" w:element="metricconverter">
        <w:smartTagPr>
          <w:attr w:name="ProductID" w:val="40ﾠ740 km"/>
        </w:smartTagPr>
        <w:r w:rsidRPr="00E43137">
          <w:rPr>
            <w:rFonts w:ascii="Calibri" w:eastAsia="Calibri" w:hAnsi="Calibri"/>
            <w:szCs w:val="22"/>
            <w:lang w:eastAsia="en-US"/>
          </w:rPr>
          <w:t>40 740 km</w:t>
        </w:r>
      </w:smartTag>
      <w:r w:rsidRPr="00E43137">
        <w:rPr>
          <w:rFonts w:ascii="Calibri" w:eastAsia="Calibri" w:hAnsi="Calibri"/>
          <w:szCs w:val="22"/>
          <w:lang w:eastAsia="en-US"/>
        </w:rPr>
        <w:t xml:space="preserve"> (Správa o lesnom hospodárstve v Slovenskej republike za rok 2012). </w:t>
      </w:r>
    </w:p>
    <w:p w:rsidR="00242C36" w:rsidRPr="00CE0B15" w:rsidRDefault="00242C36" w:rsidP="00242C36">
      <w:pPr>
        <w:rPr>
          <w:b/>
        </w:rPr>
      </w:pPr>
      <w:r>
        <w:rPr>
          <w:rFonts w:ascii="Calibri" w:eastAsia="Calibri" w:hAnsi="Calibri"/>
          <w:szCs w:val="22"/>
          <w:lang w:eastAsia="en-US"/>
        </w:rPr>
        <w:t xml:space="preserve">Časť týkajúca </w:t>
      </w:r>
      <w:r w:rsidRPr="00CE0B15">
        <w:rPr>
          <w:rFonts w:ascii="Calibri" w:eastAsia="Calibri" w:hAnsi="Calibri"/>
          <w:szCs w:val="22"/>
          <w:lang w:eastAsia="en-US"/>
        </w:rPr>
        <w:t xml:space="preserve">sa </w:t>
      </w:r>
      <w:r>
        <w:rPr>
          <w:rFonts w:ascii="Calibri" w:eastAsia="Calibri" w:hAnsi="Calibri"/>
          <w:szCs w:val="22"/>
          <w:lang w:eastAsia="en-US"/>
        </w:rPr>
        <w:t xml:space="preserve">významu lesa, </w:t>
      </w:r>
      <w:r w:rsidRPr="00CE0B15">
        <w:rPr>
          <w:rFonts w:ascii="Calibri" w:eastAsia="Calibri" w:hAnsi="Calibri"/>
          <w:szCs w:val="22"/>
          <w:lang w:eastAsia="en-US"/>
        </w:rPr>
        <w:t>v</w:t>
      </w:r>
      <w:r w:rsidRPr="00CE0B15">
        <w:t xml:space="preserve">ýziev, potrieb, nedostatkov </w:t>
      </w:r>
      <w:r>
        <w:rPr>
          <w:rFonts w:ascii="Calibri" w:eastAsia="Calibri" w:hAnsi="Calibri"/>
          <w:szCs w:val="22"/>
          <w:lang w:eastAsia="en-US"/>
        </w:rPr>
        <w:t xml:space="preserve">najmä </w:t>
      </w:r>
      <w:r w:rsidRPr="00CE0B15">
        <w:t>v ochrane lesa</w:t>
      </w:r>
      <w:r>
        <w:rPr>
          <w:rFonts w:ascii="Calibri" w:eastAsia="Calibri" w:hAnsi="Calibri"/>
          <w:szCs w:val="22"/>
          <w:lang w:eastAsia="en-US"/>
        </w:rPr>
        <w:t xml:space="preserve"> je uvedená v časti </w:t>
      </w:r>
      <w:r w:rsidRPr="00E43137">
        <w:rPr>
          <w:rFonts w:ascii="Calibri" w:hAnsi="Calibri"/>
          <w:b/>
          <w:bCs/>
          <w:kern w:val="32"/>
          <w:szCs w:val="22"/>
          <w:u w:val="single"/>
          <w:lang w:eastAsia="en-US"/>
        </w:rPr>
        <w:t>Situácia v životnom prostredí vo väzbe na pôdohospodárstvo</w:t>
      </w:r>
      <w:r>
        <w:rPr>
          <w:rFonts w:ascii="Calibri" w:hAnsi="Calibri"/>
          <w:b/>
          <w:bCs/>
          <w:kern w:val="32"/>
          <w:szCs w:val="22"/>
          <w:u w:val="single"/>
          <w:lang w:eastAsia="en-US"/>
        </w:rPr>
        <w:t>, Chránené lesy.</w:t>
      </w:r>
    </w:p>
    <w:p w:rsidR="00242C36" w:rsidRPr="00E43137" w:rsidRDefault="00242C36" w:rsidP="00242C36">
      <w:pPr>
        <w:pBdr>
          <w:bar w:val="single" w:sz="6" w:color="808080"/>
        </w:pBdr>
        <w:spacing w:after="120"/>
        <w:rPr>
          <w:rFonts w:ascii="Calibri" w:eastAsia="Calibri" w:hAnsi="Calibri"/>
          <w:szCs w:val="22"/>
          <w:lang w:eastAsia="en-US"/>
        </w:rPr>
      </w:pPr>
    </w:p>
    <w:p w:rsidR="00242C36" w:rsidRPr="00E43137" w:rsidRDefault="00242C36" w:rsidP="00242C36">
      <w:pPr>
        <w:pBdr>
          <w:bar w:val="single" w:sz="6" w:color="808080"/>
        </w:pBdr>
        <w:spacing w:after="120"/>
        <w:rPr>
          <w:rFonts w:ascii="Calibri" w:eastAsia="Calibri" w:hAnsi="Calibri"/>
          <w:b/>
          <w:szCs w:val="22"/>
          <w:lang w:eastAsia="en-US"/>
        </w:rPr>
      </w:pPr>
      <w:r w:rsidRPr="00E43137">
        <w:rPr>
          <w:rFonts w:ascii="Calibri" w:eastAsia="Calibri" w:hAnsi="Calibri"/>
          <w:b/>
          <w:szCs w:val="22"/>
          <w:lang w:eastAsia="en-US"/>
        </w:rPr>
        <w:t>Ekonomická situácia v lesníctve</w:t>
      </w:r>
    </w:p>
    <w:p w:rsidR="00242C36" w:rsidRPr="00E43137" w:rsidRDefault="00242C36" w:rsidP="00242C36">
      <w:pPr>
        <w:pBdr>
          <w:bar w:val="single" w:sz="6" w:color="808080"/>
        </w:pBdr>
        <w:spacing w:after="120"/>
        <w:rPr>
          <w:rFonts w:ascii="Calibri" w:eastAsia="Calibri" w:hAnsi="Calibri"/>
          <w:szCs w:val="22"/>
          <w:lang w:eastAsia="en-US"/>
        </w:rPr>
      </w:pPr>
      <w:r w:rsidRPr="00E43137">
        <w:rPr>
          <w:rFonts w:ascii="Calibri" w:eastAsia="Calibri" w:hAnsi="Calibri"/>
          <w:szCs w:val="22"/>
          <w:lang w:eastAsia="en-US"/>
        </w:rPr>
        <w:t xml:space="preserve">Produktivita práce v lesnom hospodárstve, vyčíslená z hrubej pridanej hodnoty na osobu dosiahla v priemere za roky 2008-2010 sumu </w:t>
      </w:r>
      <w:r w:rsidRPr="00E43137">
        <w:rPr>
          <w:rFonts w:ascii="Calibri" w:eastAsia="Calibri" w:hAnsi="Calibri"/>
          <w:b/>
          <w:szCs w:val="22"/>
          <w:lang w:eastAsia="en-US"/>
        </w:rPr>
        <w:t>23 264,5 EUR/osobu</w:t>
      </w:r>
      <w:r w:rsidRPr="00E43137">
        <w:rPr>
          <w:rFonts w:ascii="Calibri" w:eastAsia="Calibri" w:hAnsi="Calibri"/>
          <w:szCs w:val="22"/>
          <w:lang w:eastAsia="en-US"/>
        </w:rPr>
        <w:t xml:space="preserve"> (</w:t>
      </w:r>
      <w:r w:rsidRPr="00A12190">
        <w:rPr>
          <w:rFonts w:ascii="Calibri" w:eastAsia="Calibri" w:hAnsi="Calibri"/>
          <w:b/>
          <w:szCs w:val="22"/>
          <w:lang w:eastAsia="en-US"/>
        </w:rPr>
        <w:t>CCI 15</w:t>
      </w:r>
      <w:r w:rsidRPr="00E43137">
        <w:rPr>
          <w:rFonts w:ascii="Calibri" w:eastAsia="Calibri" w:hAnsi="Calibri"/>
          <w:szCs w:val="22"/>
          <w:lang w:eastAsia="en-US"/>
        </w:rPr>
        <w:t>).</w:t>
      </w:r>
    </w:p>
    <w:p w:rsidR="00242C36" w:rsidRDefault="00242C36" w:rsidP="00242C36">
      <w:pPr>
        <w:pBdr>
          <w:bar w:val="single" w:sz="6" w:color="808080"/>
        </w:pBdr>
        <w:spacing w:after="120"/>
        <w:rPr>
          <w:rFonts w:ascii="Calibri" w:eastAsia="Calibri" w:hAnsi="Calibri"/>
          <w:szCs w:val="22"/>
          <w:lang w:eastAsia="en-US"/>
        </w:rPr>
      </w:pPr>
      <w:r w:rsidRPr="00E43137">
        <w:rPr>
          <w:rFonts w:ascii="Calibri" w:eastAsia="Calibri" w:hAnsi="Calibri"/>
          <w:szCs w:val="22"/>
          <w:lang w:eastAsia="en-US"/>
        </w:rPr>
        <w:t xml:space="preserve">Podľa výsledkov súhrnného ekonomického lesníckeho účtu (IEEAF) za rok 2012 dosiahla konečná produkcia odvetvia LH hodnotu 489 mil. EUR. Hrubá pridaná hodnota odvetvia bola v uvedenom roku približne 241 mil. EUR, čistá pridaná hodnota 214 mil. EUR. </w:t>
      </w:r>
    </w:p>
    <w:p w:rsidR="00242C36" w:rsidRPr="00031933" w:rsidRDefault="00242C36" w:rsidP="00242C36">
      <w:pPr>
        <w:rPr>
          <w:szCs w:val="22"/>
        </w:rPr>
      </w:pPr>
      <w:r>
        <w:rPr>
          <w:szCs w:val="22"/>
        </w:rPr>
        <w:t>Podiel lesníctva na HDP bol</w:t>
      </w:r>
      <w:r w:rsidRPr="00031933">
        <w:rPr>
          <w:szCs w:val="22"/>
        </w:rPr>
        <w:t xml:space="preserve"> 0,33 % v roku 2009</w:t>
      </w:r>
      <w:r>
        <w:rPr>
          <w:szCs w:val="22"/>
        </w:rPr>
        <w:t xml:space="preserve"> (zdroj: NLC)</w:t>
      </w:r>
      <w:r w:rsidRPr="00031933">
        <w:rPr>
          <w:szCs w:val="22"/>
        </w:rPr>
        <w:t>.</w:t>
      </w:r>
      <w:r>
        <w:rPr>
          <w:szCs w:val="22"/>
        </w:rPr>
        <w:t xml:space="preserve"> (Od roku 2009 sa tento ukazovateľ v rámci lesníctva nesleduje.)</w:t>
      </w:r>
    </w:p>
    <w:p w:rsidR="00242C36" w:rsidRPr="00E43137" w:rsidRDefault="00242C36" w:rsidP="00242C36">
      <w:pPr>
        <w:pBdr>
          <w:bar w:val="single" w:sz="6" w:color="808080"/>
        </w:pBdr>
        <w:spacing w:after="120"/>
        <w:rPr>
          <w:rFonts w:ascii="Calibri" w:eastAsia="Calibri" w:hAnsi="Calibri"/>
          <w:szCs w:val="22"/>
          <w:lang w:eastAsia="en-US"/>
        </w:rPr>
      </w:pPr>
      <w:r w:rsidRPr="00E43137">
        <w:rPr>
          <w:rFonts w:ascii="Calibri" w:eastAsia="Calibri" w:hAnsi="Calibri"/>
          <w:szCs w:val="22"/>
          <w:lang w:eastAsia="en-US"/>
        </w:rPr>
        <w:t>Až 80 % tržieb a výnosov LH tvoria tržby za predaj dreva. Tržby a  výnosy LH v roku 2012 v  porovnaní s rokom 2011 klesli o 9,2 %  najmä z dôvodu poklesu tržieb za drevo o 9,6 %. Ostatné tržby a výnosy klesli o 7,4 %. Pokles tržieb za drevo sa vo väčšej miere prejavil u neštátnych subjektov - až o 12,6 %, u štátnych organizácií o 6,7 %. Pokles tržieb bol spôsobený poklesom dodávok dreva o 1 025 tis. m</w:t>
      </w:r>
      <w:r w:rsidRPr="00E43137">
        <w:rPr>
          <w:rFonts w:ascii="Calibri" w:eastAsia="Calibri" w:hAnsi="Calibri"/>
          <w:szCs w:val="22"/>
          <w:vertAlign w:val="superscript"/>
          <w:lang w:eastAsia="en-US"/>
        </w:rPr>
        <w:t>3</w:t>
      </w:r>
      <w:r w:rsidRPr="00E43137">
        <w:rPr>
          <w:rFonts w:ascii="Calibri" w:eastAsia="Calibri" w:hAnsi="Calibri"/>
          <w:szCs w:val="22"/>
          <w:lang w:eastAsia="en-US"/>
        </w:rPr>
        <w:t xml:space="preserve"> (o 11,2 %), pričom priemerné speňaženie dreva stúplo o 0,88 EUR/m</w:t>
      </w:r>
      <w:r w:rsidRPr="00E43137">
        <w:rPr>
          <w:rFonts w:ascii="Calibri" w:eastAsia="Calibri" w:hAnsi="Calibri"/>
          <w:szCs w:val="22"/>
          <w:vertAlign w:val="superscript"/>
          <w:lang w:eastAsia="en-US"/>
        </w:rPr>
        <w:t>3</w:t>
      </w:r>
      <w:r w:rsidRPr="00E43137">
        <w:rPr>
          <w:rFonts w:ascii="Calibri" w:eastAsia="Calibri" w:hAnsi="Calibri"/>
          <w:szCs w:val="22"/>
          <w:lang w:eastAsia="en-US"/>
        </w:rPr>
        <w:t>.</w:t>
      </w:r>
    </w:p>
    <w:p w:rsidR="00242C36" w:rsidRPr="00E43137" w:rsidRDefault="00242C36" w:rsidP="00242C36">
      <w:pPr>
        <w:pBdr>
          <w:bar w:val="single" w:sz="6" w:color="808080"/>
        </w:pBdr>
        <w:spacing w:after="120"/>
        <w:rPr>
          <w:rFonts w:ascii="Calibri" w:eastAsia="Calibri" w:hAnsi="Calibri"/>
          <w:szCs w:val="22"/>
          <w:lang w:eastAsia="en-US"/>
        </w:rPr>
      </w:pPr>
      <w:r w:rsidRPr="00E43137">
        <w:rPr>
          <w:rFonts w:ascii="Calibri" w:eastAsia="Calibri" w:hAnsi="Calibri"/>
          <w:szCs w:val="22"/>
          <w:lang w:eastAsia="en-US"/>
        </w:rPr>
        <w:t xml:space="preserve">V kalkulačnom členení nákladov, náklady lesníckych činností v roku 2012 (pestovná a ťažbová činnosť) predstavovali 52,1 % z celkových nákladov, ostatné náklady (obslužné činnosti) mali podiel 24,7 % a režijné náklady 23,2 %.  </w:t>
      </w:r>
    </w:p>
    <w:p w:rsidR="00242C36" w:rsidRPr="00E43137" w:rsidRDefault="00242C36" w:rsidP="00242C36">
      <w:pPr>
        <w:pBdr>
          <w:bar w:val="single" w:sz="6" w:color="808080"/>
        </w:pBdr>
        <w:spacing w:after="120"/>
        <w:rPr>
          <w:rFonts w:ascii="Calibri" w:eastAsia="Calibri" w:hAnsi="Calibri"/>
          <w:szCs w:val="22"/>
          <w:lang w:eastAsia="en-US"/>
        </w:rPr>
      </w:pPr>
      <w:r w:rsidRPr="00E43137">
        <w:rPr>
          <w:rFonts w:ascii="Calibri" w:eastAsia="Calibri" w:hAnsi="Calibri"/>
          <w:szCs w:val="22"/>
          <w:lang w:eastAsia="en-US"/>
        </w:rPr>
        <w:t>V roku 2012</w:t>
      </w:r>
      <w:r>
        <w:rPr>
          <w:rFonts w:ascii="Calibri" w:eastAsia="Calibri" w:hAnsi="Calibri"/>
          <w:szCs w:val="22"/>
          <w:lang w:eastAsia="en-US"/>
        </w:rPr>
        <w:t xml:space="preserve"> </w:t>
      </w:r>
      <w:r w:rsidRPr="00F94617">
        <w:rPr>
          <w:rFonts w:ascii="Calibri" w:eastAsia="Calibri" w:hAnsi="Calibri"/>
          <w:szCs w:val="22"/>
          <w:lang w:eastAsia="en-US"/>
        </w:rPr>
        <w:t>subjekty lesného hospodárstva vykázali kumulatívny výsledok hospodárenia na úrovni</w:t>
      </w:r>
      <w:r w:rsidRPr="00E43137">
        <w:rPr>
          <w:rFonts w:ascii="Calibri" w:eastAsia="Calibri" w:hAnsi="Calibri"/>
          <w:szCs w:val="22"/>
          <w:lang w:eastAsia="en-US"/>
        </w:rPr>
        <w:t xml:space="preserve"> 39,6 mil. EUR. Pokles hospodárskeho výsledku v štátnych ako aj v neštátnych lesných podnikoch v porovnaní s rokom 2011 (48,41 mil. EUR, o približne 18 %) je spôsobený poklesom ťažieb dreva a tým aj dodávok dreva. </w:t>
      </w:r>
    </w:p>
    <w:p w:rsidR="00242C36" w:rsidRDefault="00242C36" w:rsidP="00242C36">
      <w:pPr>
        <w:pBdr>
          <w:bar w:val="single" w:sz="6" w:color="808080"/>
        </w:pBdr>
        <w:spacing w:after="120"/>
        <w:rPr>
          <w:rFonts w:ascii="Calibri" w:eastAsia="Calibri" w:hAnsi="Calibri"/>
          <w:szCs w:val="22"/>
          <w:lang w:eastAsia="en-US"/>
        </w:rPr>
      </w:pPr>
      <w:r w:rsidRPr="00E43137">
        <w:rPr>
          <w:rFonts w:ascii="Calibri" w:eastAsia="Calibri" w:hAnsi="Calibri"/>
          <w:szCs w:val="22"/>
          <w:lang w:eastAsia="en-US"/>
        </w:rPr>
        <w:t>V r. 2012 boli v lesnom hospodárstve zaznamenané známky oživenia najmä vďaka  zvýšeniu objemu výkonov lesníckych činností. Súčasne mierne stúpla priemerná mesačná mzda, v porovnaní s rokom 2011</w:t>
      </w:r>
      <w:r>
        <w:rPr>
          <w:rFonts w:ascii="Calibri" w:eastAsia="Calibri" w:hAnsi="Calibri"/>
          <w:szCs w:val="22"/>
          <w:lang w:eastAsia="en-US"/>
        </w:rPr>
        <w:t>, a to</w:t>
      </w:r>
      <w:r w:rsidRPr="00E43137">
        <w:rPr>
          <w:rFonts w:ascii="Calibri" w:eastAsia="Calibri" w:hAnsi="Calibri"/>
          <w:szCs w:val="22"/>
          <w:lang w:eastAsia="en-US"/>
        </w:rPr>
        <w:t xml:space="preserve"> o 1,2%.</w:t>
      </w:r>
    </w:p>
    <w:p w:rsidR="00242C36" w:rsidRDefault="00242C36" w:rsidP="00242C36">
      <w:pPr>
        <w:autoSpaceDE w:val="0"/>
        <w:autoSpaceDN w:val="0"/>
        <w:adjustRightInd w:val="0"/>
        <w:rPr>
          <w:rFonts w:ascii="Calibri" w:eastAsiaTheme="minorHAnsi" w:hAnsi="Calibri" w:cs="TimesNewRomanPSMT"/>
          <w:szCs w:val="22"/>
          <w:lang w:eastAsia="en-US"/>
        </w:rPr>
      </w:pPr>
      <w:r w:rsidRPr="00505442">
        <w:rPr>
          <w:rFonts w:ascii="Calibri" w:eastAsiaTheme="minorHAnsi" w:hAnsi="Calibri" w:cs="TimesNewRomanPSMT"/>
          <w:szCs w:val="22"/>
          <w:lang w:eastAsia="en-US"/>
        </w:rPr>
        <w:t>V LH bolo</w:t>
      </w:r>
      <w:r>
        <w:rPr>
          <w:rFonts w:ascii="Calibri" w:eastAsiaTheme="minorHAnsi" w:hAnsi="Calibri" w:cs="TimesNewRomanPSMT"/>
          <w:szCs w:val="22"/>
          <w:lang w:eastAsia="en-US"/>
        </w:rPr>
        <w:t xml:space="preserve"> </w:t>
      </w:r>
      <w:r w:rsidRPr="00505442">
        <w:rPr>
          <w:rFonts w:ascii="Calibri" w:eastAsiaTheme="minorHAnsi" w:hAnsi="Calibri" w:cs="TimesNewRomanPSMT"/>
          <w:szCs w:val="22"/>
          <w:lang w:eastAsia="en-US"/>
        </w:rPr>
        <w:t>zamestnan</w:t>
      </w:r>
      <w:r>
        <w:rPr>
          <w:rFonts w:ascii="Calibri" w:eastAsiaTheme="minorHAnsi" w:hAnsi="Calibri" w:cs="TimesNewRomanPSMT"/>
          <w:szCs w:val="22"/>
          <w:lang w:eastAsia="en-US"/>
        </w:rPr>
        <w:t>ý</w:t>
      </w:r>
      <w:r w:rsidRPr="00505442">
        <w:rPr>
          <w:rFonts w:ascii="Calibri" w:eastAsiaTheme="minorHAnsi" w:hAnsi="Calibri" w:cs="TimesNewRomanPSMT"/>
          <w:szCs w:val="22"/>
          <w:lang w:eastAsia="en-US"/>
        </w:rPr>
        <w:t>ch 11,6 tis. os</w:t>
      </w:r>
      <w:r>
        <w:rPr>
          <w:rFonts w:ascii="Calibri" w:eastAsiaTheme="minorHAnsi" w:hAnsi="Calibri" w:cs="TimesNewRomanPSMT"/>
          <w:szCs w:val="22"/>
          <w:lang w:eastAsia="en-US"/>
        </w:rPr>
        <w:t>ô</w:t>
      </w:r>
      <w:r w:rsidRPr="00505442">
        <w:rPr>
          <w:rFonts w:ascii="Calibri" w:eastAsiaTheme="minorHAnsi" w:hAnsi="Calibri" w:cs="TimesNewRomanPSMT"/>
          <w:szCs w:val="22"/>
          <w:lang w:eastAsia="en-US"/>
        </w:rPr>
        <w:t>b (rok 2012), z toho v prevažnej miere osoby so stredoškolsk</w:t>
      </w:r>
      <w:r>
        <w:rPr>
          <w:rFonts w:ascii="Calibri" w:eastAsiaTheme="minorHAnsi" w:hAnsi="Calibri" w:cs="TimesNewRomanPSMT"/>
          <w:szCs w:val="22"/>
          <w:lang w:eastAsia="en-US"/>
        </w:rPr>
        <w:t>ý</w:t>
      </w:r>
      <w:r w:rsidRPr="00505442">
        <w:rPr>
          <w:rFonts w:ascii="Calibri" w:eastAsiaTheme="minorHAnsi" w:hAnsi="Calibri" w:cs="TimesNewRomanPSMT"/>
          <w:szCs w:val="22"/>
          <w:lang w:eastAsia="en-US"/>
        </w:rPr>
        <w:t>m</w:t>
      </w:r>
    </w:p>
    <w:p w:rsidR="00242C36" w:rsidRDefault="00242C36" w:rsidP="00242C36">
      <w:pPr>
        <w:pBdr>
          <w:bar w:val="single" w:sz="6" w:color="808080"/>
        </w:pBdr>
        <w:spacing w:after="120"/>
        <w:rPr>
          <w:rFonts w:ascii="Calibri" w:eastAsiaTheme="minorHAnsi" w:hAnsi="Calibri" w:cs="TimesNewRomanPSMT"/>
          <w:szCs w:val="22"/>
          <w:lang w:eastAsia="en-US"/>
        </w:rPr>
      </w:pPr>
      <w:r>
        <w:rPr>
          <w:rFonts w:ascii="Calibri" w:eastAsiaTheme="minorHAnsi" w:hAnsi="Calibri" w:cs="TimesNewRomanPSMT"/>
          <w:szCs w:val="22"/>
          <w:lang w:eastAsia="en-US"/>
        </w:rPr>
        <w:t>v</w:t>
      </w:r>
      <w:r w:rsidRPr="00505442">
        <w:rPr>
          <w:rFonts w:ascii="Calibri" w:eastAsiaTheme="minorHAnsi" w:hAnsi="Calibri" w:cs="TimesNewRomanPSMT"/>
          <w:szCs w:val="22"/>
          <w:lang w:eastAsia="en-US"/>
        </w:rPr>
        <w:t>zdelan</w:t>
      </w:r>
      <w:r>
        <w:rPr>
          <w:rFonts w:ascii="Calibri" w:eastAsiaTheme="minorHAnsi" w:hAnsi="Calibri" w:cs="TimesNewRomanPSMT"/>
          <w:szCs w:val="22"/>
          <w:lang w:eastAsia="en-US"/>
        </w:rPr>
        <w:t>í</w:t>
      </w:r>
      <w:r w:rsidRPr="00505442">
        <w:rPr>
          <w:rFonts w:ascii="Calibri" w:eastAsiaTheme="minorHAnsi" w:hAnsi="Calibri" w:cs="TimesNewRomanPSMT"/>
          <w:szCs w:val="22"/>
          <w:lang w:eastAsia="en-US"/>
        </w:rPr>
        <w:t>m</w:t>
      </w:r>
      <w:r>
        <w:rPr>
          <w:rFonts w:ascii="Calibri" w:eastAsiaTheme="minorHAnsi" w:hAnsi="Calibri" w:cs="TimesNewRomanPSMT"/>
          <w:szCs w:val="22"/>
          <w:lang w:eastAsia="en-US"/>
        </w:rPr>
        <w:t xml:space="preserve"> (NLC – LVÚ Zvolen).</w:t>
      </w:r>
    </w:p>
    <w:p w:rsidR="00242C36" w:rsidRPr="00C51010" w:rsidRDefault="00242C36" w:rsidP="00242C36">
      <w:pPr>
        <w:shd w:val="clear" w:color="auto" w:fill="FFFFFF"/>
        <w:rPr>
          <w:rFonts w:ascii="Calibri" w:hAnsi="Calibri"/>
          <w:b/>
          <w:bCs/>
          <w:szCs w:val="22"/>
        </w:rPr>
      </w:pPr>
      <w:r w:rsidRPr="00C51010">
        <w:rPr>
          <w:rFonts w:ascii="Calibri" w:hAnsi="Calibri"/>
          <w:b/>
          <w:bCs/>
          <w:szCs w:val="22"/>
        </w:rPr>
        <w:t>Vzdelanostná úroveň v lesníctve</w:t>
      </w:r>
    </w:p>
    <w:p w:rsidR="00242C36" w:rsidRPr="00C51010" w:rsidRDefault="00242C36" w:rsidP="00242C36">
      <w:pPr>
        <w:shd w:val="clear" w:color="auto" w:fill="FFFFFF"/>
        <w:rPr>
          <w:rFonts w:ascii="Calibri" w:hAnsi="Calibri"/>
          <w:bCs/>
          <w:szCs w:val="22"/>
        </w:rPr>
      </w:pPr>
      <w:r w:rsidRPr="00C51010">
        <w:rPr>
          <w:rFonts w:ascii="Calibri" w:hAnsi="Calibri"/>
          <w:bCs/>
          <w:szCs w:val="22"/>
        </w:rPr>
        <w:t xml:space="preserve">V rámci LH prevláda stredoškolsky vzdelaná pracovná sila (76-82%), pričom mužské pohlavie bolo na celkovom počte zamestnancov v r. 2012 zastúpené v pomere cca takmer 9 : 3, čo naznačuje výraznú maskulináciu tohto odvetvia.  Podiel vysokoškolsky vzdelaných zamestnancov dosahuje spolu 12,9 %. </w:t>
      </w:r>
    </w:p>
    <w:p w:rsidR="00242C36" w:rsidRPr="00C51010" w:rsidRDefault="00242C36" w:rsidP="00242C36"/>
    <w:p w:rsidR="00242C36" w:rsidRPr="00C51010" w:rsidRDefault="00E32F57" w:rsidP="00242C36">
      <w:pPr>
        <w:keepNext/>
        <w:rPr>
          <w:rFonts w:ascii="Calibri" w:hAnsi="Calibri"/>
          <w:b/>
          <w:szCs w:val="22"/>
          <w:lang w:eastAsia="ar-SA"/>
        </w:rPr>
      </w:pPr>
      <w:r>
        <w:rPr>
          <w:rFonts w:ascii="Calibri" w:hAnsi="Calibri" w:cs="Calibri"/>
          <w:b/>
          <w:szCs w:val="22"/>
          <w:lang w:eastAsia="ar-SA"/>
        </w:rPr>
        <w:t xml:space="preserve">Tabuľka 33: </w:t>
      </w:r>
      <w:r w:rsidR="00242C36" w:rsidRPr="00C51010">
        <w:rPr>
          <w:rFonts w:ascii="Calibri" w:hAnsi="Calibri" w:cs="Calibri"/>
          <w:b/>
          <w:szCs w:val="22"/>
          <w:lang w:eastAsia="ar-SA"/>
        </w:rPr>
        <w:t>Štruktúra zamestnancov LH podľa vzdelania a pohlavia v tis. osôb</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298"/>
        <w:gridCol w:w="402"/>
        <w:gridCol w:w="837"/>
        <w:gridCol w:w="837"/>
        <w:gridCol w:w="837"/>
        <w:gridCol w:w="837"/>
        <w:gridCol w:w="837"/>
        <w:gridCol w:w="832"/>
        <w:gridCol w:w="822"/>
        <w:gridCol w:w="821"/>
        <w:gridCol w:w="819"/>
      </w:tblGrid>
      <w:tr w:rsidR="00242C36" w:rsidRPr="00C51010" w:rsidTr="00242C36">
        <w:trPr>
          <w:cantSplit/>
          <w:trHeight w:val="227"/>
        </w:trPr>
        <w:tc>
          <w:tcPr>
            <w:tcW w:w="926" w:type="pct"/>
            <w:gridSpan w:val="2"/>
            <w:vMerge w:val="restart"/>
            <w:tcMar>
              <w:top w:w="15" w:type="dxa"/>
              <w:left w:w="15" w:type="dxa"/>
              <w:bottom w:w="0" w:type="dxa"/>
              <w:right w:w="15" w:type="dxa"/>
            </w:tcMar>
            <w:vAlign w:val="center"/>
          </w:tcPr>
          <w:p w:rsidR="00242C36" w:rsidRPr="00C51010" w:rsidRDefault="00242C36" w:rsidP="00242C36">
            <w:pPr>
              <w:spacing w:line="227" w:lineRule="atLeast"/>
              <w:jc w:val="center"/>
              <w:rPr>
                <w:rFonts w:ascii="Calibri" w:hAnsi="Calibri"/>
                <w:sz w:val="18"/>
                <w:szCs w:val="18"/>
              </w:rPr>
            </w:pPr>
            <w:r w:rsidRPr="00C51010">
              <w:rPr>
                <w:rFonts w:ascii="Calibri" w:hAnsi="Calibri"/>
                <w:b/>
                <w:bCs/>
                <w:sz w:val="18"/>
                <w:szCs w:val="18"/>
              </w:rPr>
              <w:t>Vzdelanie</w:t>
            </w:r>
          </w:p>
        </w:tc>
        <w:tc>
          <w:tcPr>
            <w:tcW w:w="1368" w:type="pct"/>
            <w:gridSpan w:val="3"/>
            <w:tcMar>
              <w:top w:w="15" w:type="dxa"/>
              <w:left w:w="15" w:type="dxa"/>
              <w:bottom w:w="0" w:type="dxa"/>
              <w:right w:w="15" w:type="dxa"/>
            </w:tcMar>
          </w:tcPr>
          <w:p w:rsidR="00242C36" w:rsidRPr="00C51010" w:rsidRDefault="00242C36" w:rsidP="00242C36">
            <w:pPr>
              <w:spacing w:line="227" w:lineRule="atLeast"/>
              <w:jc w:val="center"/>
              <w:rPr>
                <w:rFonts w:ascii="Calibri" w:hAnsi="Calibri"/>
                <w:sz w:val="18"/>
                <w:szCs w:val="18"/>
              </w:rPr>
            </w:pPr>
            <w:r w:rsidRPr="00C51010">
              <w:rPr>
                <w:rFonts w:ascii="Calibri" w:hAnsi="Calibri"/>
                <w:b/>
                <w:bCs/>
                <w:sz w:val="18"/>
                <w:szCs w:val="18"/>
              </w:rPr>
              <w:t>2010</w:t>
            </w:r>
          </w:p>
        </w:tc>
        <w:tc>
          <w:tcPr>
            <w:tcW w:w="1365" w:type="pct"/>
            <w:gridSpan w:val="3"/>
          </w:tcPr>
          <w:p w:rsidR="00242C36" w:rsidRPr="00C51010" w:rsidRDefault="00242C36" w:rsidP="00242C36">
            <w:pPr>
              <w:spacing w:line="227" w:lineRule="atLeast"/>
              <w:jc w:val="center"/>
              <w:rPr>
                <w:rFonts w:ascii="Calibri" w:hAnsi="Calibri"/>
                <w:b/>
                <w:bCs/>
                <w:sz w:val="18"/>
                <w:szCs w:val="18"/>
              </w:rPr>
            </w:pPr>
            <w:r w:rsidRPr="00C51010">
              <w:rPr>
                <w:rFonts w:ascii="Calibri" w:hAnsi="Calibri"/>
                <w:b/>
                <w:bCs/>
                <w:sz w:val="18"/>
                <w:szCs w:val="18"/>
              </w:rPr>
              <w:t>2011</w:t>
            </w:r>
          </w:p>
        </w:tc>
        <w:tc>
          <w:tcPr>
            <w:tcW w:w="1341" w:type="pct"/>
            <w:gridSpan w:val="3"/>
          </w:tcPr>
          <w:p w:rsidR="00242C36" w:rsidRPr="00C51010" w:rsidRDefault="00242C36" w:rsidP="00242C36">
            <w:pPr>
              <w:spacing w:line="227" w:lineRule="atLeast"/>
              <w:jc w:val="center"/>
              <w:rPr>
                <w:rFonts w:ascii="Calibri" w:hAnsi="Calibri"/>
                <w:b/>
                <w:bCs/>
                <w:sz w:val="18"/>
                <w:szCs w:val="18"/>
              </w:rPr>
            </w:pPr>
            <w:r w:rsidRPr="00C51010">
              <w:rPr>
                <w:rFonts w:ascii="Calibri" w:hAnsi="Calibri"/>
                <w:b/>
                <w:bCs/>
                <w:sz w:val="18"/>
                <w:szCs w:val="18"/>
              </w:rPr>
              <w:t>2012</w:t>
            </w:r>
          </w:p>
        </w:tc>
      </w:tr>
      <w:tr w:rsidR="00242C36" w:rsidRPr="00C51010" w:rsidTr="00242C36">
        <w:trPr>
          <w:cantSplit/>
          <w:trHeight w:val="227"/>
        </w:trPr>
        <w:tc>
          <w:tcPr>
            <w:tcW w:w="926" w:type="pct"/>
            <w:gridSpan w:val="2"/>
            <w:vMerge/>
            <w:vAlign w:val="center"/>
          </w:tcPr>
          <w:p w:rsidR="00242C36" w:rsidRPr="00C51010" w:rsidRDefault="00242C36" w:rsidP="00242C36">
            <w:pPr>
              <w:spacing w:line="227" w:lineRule="atLeast"/>
              <w:jc w:val="center"/>
              <w:rPr>
                <w:rFonts w:ascii="Calibri" w:hAnsi="Calibri"/>
                <w:sz w:val="18"/>
                <w:szCs w:val="18"/>
              </w:rPr>
            </w:pPr>
          </w:p>
        </w:tc>
        <w:tc>
          <w:tcPr>
            <w:tcW w:w="456" w:type="pct"/>
            <w:tcMar>
              <w:top w:w="15" w:type="dxa"/>
              <w:left w:w="15" w:type="dxa"/>
              <w:bottom w:w="0" w:type="dxa"/>
              <w:right w:w="15" w:type="dxa"/>
            </w:tcMar>
          </w:tcPr>
          <w:p w:rsidR="00242C36" w:rsidRPr="00C51010" w:rsidRDefault="00242C36" w:rsidP="00242C36">
            <w:pPr>
              <w:spacing w:line="227" w:lineRule="atLeast"/>
              <w:jc w:val="center"/>
              <w:rPr>
                <w:rFonts w:ascii="Calibri" w:hAnsi="Calibri"/>
                <w:sz w:val="18"/>
                <w:szCs w:val="18"/>
              </w:rPr>
            </w:pPr>
            <w:r w:rsidRPr="00C51010">
              <w:rPr>
                <w:rFonts w:ascii="Calibri" w:hAnsi="Calibri"/>
                <w:b/>
                <w:bCs/>
                <w:sz w:val="18"/>
                <w:szCs w:val="18"/>
              </w:rPr>
              <w:t>spolu</w:t>
            </w:r>
          </w:p>
        </w:tc>
        <w:tc>
          <w:tcPr>
            <w:tcW w:w="456" w:type="pct"/>
            <w:tcMar>
              <w:top w:w="15" w:type="dxa"/>
              <w:left w:w="15" w:type="dxa"/>
              <w:bottom w:w="0" w:type="dxa"/>
              <w:right w:w="15" w:type="dxa"/>
            </w:tcMar>
          </w:tcPr>
          <w:p w:rsidR="00242C36" w:rsidRPr="00C51010" w:rsidRDefault="00242C36" w:rsidP="00242C36">
            <w:pPr>
              <w:spacing w:line="227" w:lineRule="atLeast"/>
              <w:jc w:val="center"/>
              <w:rPr>
                <w:rFonts w:ascii="Calibri" w:hAnsi="Calibri"/>
                <w:sz w:val="18"/>
                <w:szCs w:val="18"/>
              </w:rPr>
            </w:pPr>
            <w:r w:rsidRPr="00C51010">
              <w:rPr>
                <w:rFonts w:ascii="Calibri" w:hAnsi="Calibri"/>
                <w:b/>
                <w:bCs/>
                <w:sz w:val="18"/>
                <w:szCs w:val="18"/>
              </w:rPr>
              <w:t xml:space="preserve">ženy </w:t>
            </w:r>
          </w:p>
        </w:tc>
        <w:tc>
          <w:tcPr>
            <w:tcW w:w="456" w:type="pct"/>
            <w:tcMar>
              <w:top w:w="15" w:type="dxa"/>
              <w:left w:w="15" w:type="dxa"/>
              <w:bottom w:w="0" w:type="dxa"/>
              <w:right w:w="15" w:type="dxa"/>
            </w:tcMar>
          </w:tcPr>
          <w:p w:rsidR="00242C36" w:rsidRPr="00C51010" w:rsidRDefault="00242C36" w:rsidP="00242C36">
            <w:pPr>
              <w:spacing w:line="227" w:lineRule="atLeast"/>
              <w:jc w:val="center"/>
              <w:rPr>
                <w:rFonts w:ascii="Calibri" w:hAnsi="Calibri"/>
                <w:sz w:val="18"/>
                <w:szCs w:val="18"/>
              </w:rPr>
            </w:pPr>
            <w:r w:rsidRPr="00C51010">
              <w:rPr>
                <w:rFonts w:ascii="Calibri" w:hAnsi="Calibri"/>
                <w:b/>
                <w:bCs/>
                <w:sz w:val="18"/>
                <w:szCs w:val="18"/>
              </w:rPr>
              <w:t>muži</w:t>
            </w:r>
          </w:p>
        </w:tc>
        <w:tc>
          <w:tcPr>
            <w:tcW w:w="456" w:type="pct"/>
          </w:tcPr>
          <w:p w:rsidR="00242C36" w:rsidRPr="00C51010" w:rsidRDefault="00242C36" w:rsidP="00242C36">
            <w:pPr>
              <w:spacing w:line="227" w:lineRule="atLeast"/>
              <w:jc w:val="center"/>
              <w:rPr>
                <w:rFonts w:ascii="Calibri" w:hAnsi="Calibri"/>
                <w:sz w:val="18"/>
                <w:szCs w:val="18"/>
              </w:rPr>
            </w:pPr>
            <w:r w:rsidRPr="00C51010">
              <w:rPr>
                <w:rFonts w:ascii="Calibri" w:hAnsi="Calibri"/>
                <w:b/>
                <w:bCs/>
                <w:sz w:val="18"/>
                <w:szCs w:val="18"/>
              </w:rPr>
              <w:t>spolu</w:t>
            </w:r>
          </w:p>
        </w:tc>
        <w:tc>
          <w:tcPr>
            <w:tcW w:w="456" w:type="pct"/>
          </w:tcPr>
          <w:p w:rsidR="00242C36" w:rsidRPr="00C51010" w:rsidRDefault="00242C36" w:rsidP="00242C36">
            <w:pPr>
              <w:spacing w:line="227" w:lineRule="atLeast"/>
              <w:jc w:val="center"/>
              <w:rPr>
                <w:rFonts w:ascii="Calibri" w:hAnsi="Calibri"/>
                <w:sz w:val="18"/>
                <w:szCs w:val="18"/>
              </w:rPr>
            </w:pPr>
            <w:r w:rsidRPr="00C51010">
              <w:rPr>
                <w:rFonts w:ascii="Calibri" w:hAnsi="Calibri"/>
                <w:b/>
                <w:bCs/>
                <w:sz w:val="18"/>
                <w:szCs w:val="18"/>
              </w:rPr>
              <w:t xml:space="preserve">ženy </w:t>
            </w:r>
          </w:p>
        </w:tc>
        <w:tc>
          <w:tcPr>
            <w:tcW w:w="453" w:type="pct"/>
          </w:tcPr>
          <w:p w:rsidR="00242C36" w:rsidRPr="00C51010" w:rsidRDefault="00242C36" w:rsidP="00242C36">
            <w:pPr>
              <w:spacing w:line="227" w:lineRule="atLeast"/>
              <w:jc w:val="center"/>
              <w:rPr>
                <w:rFonts w:ascii="Calibri" w:hAnsi="Calibri"/>
                <w:sz w:val="18"/>
                <w:szCs w:val="18"/>
              </w:rPr>
            </w:pPr>
            <w:r w:rsidRPr="00C51010">
              <w:rPr>
                <w:rFonts w:ascii="Calibri" w:hAnsi="Calibri"/>
                <w:b/>
                <w:bCs/>
                <w:sz w:val="18"/>
                <w:szCs w:val="18"/>
              </w:rPr>
              <w:t>muži</w:t>
            </w:r>
          </w:p>
        </w:tc>
        <w:tc>
          <w:tcPr>
            <w:tcW w:w="448" w:type="pct"/>
          </w:tcPr>
          <w:p w:rsidR="00242C36" w:rsidRPr="00C51010" w:rsidRDefault="00242C36" w:rsidP="00242C36">
            <w:pPr>
              <w:spacing w:line="227" w:lineRule="atLeast"/>
              <w:jc w:val="center"/>
              <w:rPr>
                <w:rFonts w:ascii="Calibri" w:hAnsi="Calibri"/>
                <w:sz w:val="18"/>
                <w:szCs w:val="18"/>
              </w:rPr>
            </w:pPr>
            <w:r w:rsidRPr="00C51010">
              <w:rPr>
                <w:rFonts w:ascii="Calibri" w:hAnsi="Calibri"/>
                <w:b/>
                <w:bCs/>
                <w:sz w:val="18"/>
                <w:szCs w:val="18"/>
              </w:rPr>
              <w:t>spolu</w:t>
            </w:r>
          </w:p>
        </w:tc>
        <w:tc>
          <w:tcPr>
            <w:tcW w:w="447" w:type="pct"/>
          </w:tcPr>
          <w:p w:rsidR="00242C36" w:rsidRPr="00C51010" w:rsidRDefault="00242C36" w:rsidP="00242C36">
            <w:pPr>
              <w:spacing w:line="227" w:lineRule="atLeast"/>
              <w:jc w:val="center"/>
              <w:rPr>
                <w:rFonts w:ascii="Calibri" w:hAnsi="Calibri"/>
                <w:sz w:val="18"/>
                <w:szCs w:val="18"/>
              </w:rPr>
            </w:pPr>
            <w:r w:rsidRPr="00C51010">
              <w:rPr>
                <w:rFonts w:ascii="Calibri" w:hAnsi="Calibri"/>
                <w:b/>
                <w:bCs/>
                <w:sz w:val="18"/>
                <w:szCs w:val="18"/>
              </w:rPr>
              <w:t xml:space="preserve">ženy </w:t>
            </w:r>
          </w:p>
        </w:tc>
        <w:tc>
          <w:tcPr>
            <w:tcW w:w="446" w:type="pct"/>
          </w:tcPr>
          <w:p w:rsidR="00242C36" w:rsidRPr="00C51010" w:rsidRDefault="00242C36" w:rsidP="00242C36">
            <w:pPr>
              <w:spacing w:line="227" w:lineRule="atLeast"/>
              <w:jc w:val="center"/>
              <w:rPr>
                <w:rFonts w:ascii="Calibri" w:hAnsi="Calibri"/>
                <w:sz w:val="18"/>
                <w:szCs w:val="18"/>
              </w:rPr>
            </w:pPr>
            <w:r w:rsidRPr="00C51010">
              <w:rPr>
                <w:rFonts w:ascii="Calibri" w:hAnsi="Calibri"/>
                <w:b/>
                <w:bCs/>
                <w:sz w:val="18"/>
                <w:szCs w:val="18"/>
              </w:rPr>
              <w:t>muži</w:t>
            </w:r>
          </w:p>
        </w:tc>
      </w:tr>
      <w:tr w:rsidR="00242C36" w:rsidRPr="00C51010" w:rsidTr="00242C36">
        <w:trPr>
          <w:trHeight w:val="227"/>
        </w:trPr>
        <w:tc>
          <w:tcPr>
            <w:tcW w:w="707" w:type="pct"/>
            <w:vMerge w:val="restart"/>
            <w:tcMar>
              <w:top w:w="15" w:type="dxa"/>
              <w:left w:w="15" w:type="dxa"/>
              <w:bottom w:w="0" w:type="dxa"/>
              <w:right w:w="15" w:type="dxa"/>
            </w:tcMar>
            <w:vAlign w:val="center"/>
          </w:tcPr>
          <w:p w:rsidR="00242C36" w:rsidRPr="00C51010" w:rsidRDefault="00242C36" w:rsidP="00242C36">
            <w:pPr>
              <w:spacing w:line="227" w:lineRule="atLeast"/>
              <w:rPr>
                <w:rFonts w:ascii="Calibri" w:hAnsi="Calibri"/>
                <w:sz w:val="18"/>
                <w:szCs w:val="18"/>
              </w:rPr>
            </w:pPr>
            <w:r w:rsidRPr="00C51010">
              <w:rPr>
                <w:rFonts w:ascii="Calibri" w:hAnsi="Calibri"/>
                <w:sz w:val="18"/>
                <w:szCs w:val="18"/>
              </w:rPr>
              <w:t xml:space="preserve">Základné </w:t>
            </w:r>
          </w:p>
        </w:tc>
        <w:tc>
          <w:tcPr>
            <w:tcW w:w="219" w:type="pct"/>
            <w:tcMar>
              <w:top w:w="15" w:type="dxa"/>
              <w:left w:w="15" w:type="dxa"/>
              <w:bottom w:w="0" w:type="dxa"/>
              <w:right w:w="15" w:type="dxa"/>
            </w:tcMar>
            <w:vAlign w:val="center"/>
          </w:tcPr>
          <w:p w:rsidR="00242C36" w:rsidRPr="00C51010" w:rsidRDefault="00242C36" w:rsidP="00242C36">
            <w:pPr>
              <w:ind w:right="104"/>
              <w:jc w:val="center"/>
              <w:rPr>
                <w:rFonts w:ascii="Calibri" w:hAnsi="Calibri"/>
                <w:sz w:val="18"/>
                <w:szCs w:val="18"/>
              </w:rPr>
            </w:pPr>
            <w:r w:rsidRPr="00C51010">
              <w:rPr>
                <w:rFonts w:ascii="Calibri" w:hAnsi="Calibri"/>
                <w:sz w:val="18"/>
                <w:szCs w:val="18"/>
              </w:rPr>
              <w:t>tis.</w:t>
            </w:r>
          </w:p>
        </w:tc>
        <w:tc>
          <w:tcPr>
            <w:tcW w:w="456" w:type="pct"/>
            <w:tcMar>
              <w:top w:w="15" w:type="dxa"/>
              <w:left w:w="15" w:type="dxa"/>
              <w:bottom w:w="0" w:type="dxa"/>
              <w:right w:w="15" w:type="dxa"/>
            </w:tcMar>
            <w:vAlign w:val="center"/>
          </w:tcPr>
          <w:p w:rsidR="00242C36" w:rsidRPr="00C51010" w:rsidRDefault="00242C36" w:rsidP="00242C36">
            <w:pPr>
              <w:ind w:right="104"/>
              <w:jc w:val="right"/>
              <w:rPr>
                <w:rFonts w:ascii="Calibri" w:hAnsi="Calibri"/>
                <w:sz w:val="18"/>
                <w:szCs w:val="18"/>
              </w:rPr>
            </w:pPr>
            <w:r w:rsidRPr="00C51010">
              <w:rPr>
                <w:rFonts w:ascii="Calibri" w:hAnsi="Calibri"/>
                <w:sz w:val="18"/>
                <w:szCs w:val="18"/>
              </w:rPr>
              <w:t>1,3</w:t>
            </w:r>
          </w:p>
        </w:tc>
        <w:tc>
          <w:tcPr>
            <w:tcW w:w="456" w:type="pct"/>
            <w:tcMar>
              <w:top w:w="15" w:type="dxa"/>
              <w:left w:w="15" w:type="dxa"/>
              <w:bottom w:w="0" w:type="dxa"/>
              <w:right w:w="15" w:type="dxa"/>
            </w:tcMar>
            <w:vAlign w:val="center"/>
          </w:tcPr>
          <w:p w:rsidR="00242C36" w:rsidRPr="00C51010" w:rsidRDefault="00242C36" w:rsidP="00242C36">
            <w:pPr>
              <w:ind w:right="104"/>
              <w:jc w:val="right"/>
              <w:rPr>
                <w:rFonts w:ascii="Calibri" w:hAnsi="Calibri"/>
                <w:sz w:val="18"/>
                <w:szCs w:val="18"/>
              </w:rPr>
            </w:pPr>
            <w:r w:rsidRPr="00C51010">
              <w:rPr>
                <w:rFonts w:ascii="Calibri" w:hAnsi="Calibri"/>
                <w:sz w:val="18"/>
                <w:szCs w:val="18"/>
              </w:rPr>
              <w:t>0,6</w:t>
            </w:r>
          </w:p>
        </w:tc>
        <w:tc>
          <w:tcPr>
            <w:tcW w:w="456" w:type="pct"/>
            <w:tcMar>
              <w:top w:w="15" w:type="dxa"/>
              <w:left w:w="15" w:type="dxa"/>
              <w:bottom w:w="0" w:type="dxa"/>
              <w:right w:w="15" w:type="dxa"/>
            </w:tcMar>
            <w:vAlign w:val="center"/>
          </w:tcPr>
          <w:p w:rsidR="00242C36" w:rsidRPr="00C51010" w:rsidRDefault="00242C36" w:rsidP="00242C36">
            <w:pPr>
              <w:ind w:right="104"/>
              <w:jc w:val="right"/>
              <w:rPr>
                <w:rFonts w:ascii="Calibri" w:hAnsi="Calibri"/>
                <w:sz w:val="18"/>
                <w:szCs w:val="18"/>
              </w:rPr>
            </w:pPr>
            <w:r w:rsidRPr="00C51010">
              <w:rPr>
                <w:rFonts w:ascii="Calibri" w:hAnsi="Calibri"/>
                <w:sz w:val="18"/>
                <w:szCs w:val="18"/>
              </w:rPr>
              <w:t>0,7</w:t>
            </w:r>
          </w:p>
        </w:tc>
        <w:tc>
          <w:tcPr>
            <w:tcW w:w="456" w:type="pct"/>
            <w:vAlign w:val="center"/>
          </w:tcPr>
          <w:p w:rsidR="00242C36" w:rsidRPr="00C51010" w:rsidRDefault="00242C36" w:rsidP="00242C36">
            <w:pPr>
              <w:ind w:right="104"/>
              <w:jc w:val="right"/>
              <w:rPr>
                <w:rFonts w:ascii="Calibri" w:hAnsi="Calibri"/>
                <w:sz w:val="18"/>
                <w:szCs w:val="18"/>
              </w:rPr>
            </w:pPr>
            <w:r w:rsidRPr="00C51010">
              <w:rPr>
                <w:rFonts w:ascii="Calibri" w:hAnsi="Calibri"/>
                <w:sz w:val="18"/>
                <w:szCs w:val="18"/>
              </w:rPr>
              <w:t>0,5</w:t>
            </w:r>
          </w:p>
        </w:tc>
        <w:tc>
          <w:tcPr>
            <w:tcW w:w="456" w:type="pct"/>
            <w:vAlign w:val="center"/>
          </w:tcPr>
          <w:p w:rsidR="00242C36" w:rsidRPr="00C51010" w:rsidRDefault="00242C36" w:rsidP="00242C36">
            <w:pPr>
              <w:ind w:right="104"/>
              <w:jc w:val="right"/>
              <w:rPr>
                <w:rFonts w:ascii="Calibri" w:hAnsi="Calibri"/>
                <w:sz w:val="18"/>
                <w:szCs w:val="18"/>
              </w:rPr>
            </w:pPr>
            <w:r w:rsidRPr="00C51010">
              <w:rPr>
                <w:rFonts w:ascii="Calibri" w:hAnsi="Calibri"/>
                <w:sz w:val="18"/>
                <w:szCs w:val="18"/>
              </w:rPr>
              <w:t>0,2</w:t>
            </w:r>
          </w:p>
        </w:tc>
        <w:tc>
          <w:tcPr>
            <w:tcW w:w="453" w:type="pct"/>
            <w:vAlign w:val="center"/>
          </w:tcPr>
          <w:p w:rsidR="00242C36" w:rsidRPr="00C51010" w:rsidRDefault="00242C36" w:rsidP="00242C36">
            <w:pPr>
              <w:ind w:right="104"/>
              <w:jc w:val="right"/>
              <w:rPr>
                <w:rFonts w:ascii="Calibri" w:hAnsi="Calibri"/>
                <w:sz w:val="18"/>
                <w:szCs w:val="18"/>
              </w:rPr>
            </w:pPr>
            <w:r w:rsidRPr="00C51010">
              <w:rPr>
                <w:rFonts w:ascii="Calibri" w:hAnsi="Calibri"/>
                <w:sz w:val="18"/>
                <w:szCs w:val="18"/>
              </w:rPr>
              <w:t>0,3</w:t>
            </w:r>
          </w:p>
        </w:tc>
        <w:tc>
          <w:tcPr>
            <w:tcW w:w="448" w:type="pct"/>
          </w:tcPr>
          <w:p w:rsidR="00242C36" w:rsidRPr="00C51010" w:rsidRDefault="00242C36" w:rsidP="00242C36">
            <w:pPr>
              <w:ind w:right="104"/>
              <w:jc w:val="right"/>
              <w:rPr>
                <w:rFonts w:ascii="Calibri" w:hAnsi="Calibri"/>
                <w:sz w:val="18"/>
                <w:szCs w:val="18"/>
              </w:rPr>
            </w:pPr>
            <w:r w:rsidRPr="00C51010">
              <w:rPr>
                <w:rFonts w:ascii="Calibri" w:hAnsi="Calibri"/>
                <w:sz w:val="18"/>
                <w:szCs w:val="18"/>
              </w:rPr>
              <w:t>0,6</w:t>
            </w:r>
          </w:p>
        </w:tc>
        <w:tc>
          <w:tcPr>
            <w:tcW w:w="447" w:type="pct"/>
          </w:tcPr>
          <w:p w:rsidR="00242C36" w:rsidRPr="00C51010" w:rsidRDefault="00242C36" w:rsidP="00242C36">
            <w:pPr>
              <w:ind w:right="104"/>
              <w:jc w:val="right"/>
              <w:rPr>
                <w:rFonts w:ascii="Calibri" w:hAnsi="Calibri"/>
                <w:sz w:val="18"/>
                <w:szCs w:val="18"/>
              </w:rPr>
            </w:pPr>
            <w:r w:rsidRPr="00C51010">
              <w:rPr>
                <w:rFonts w:ascii="Calibri" w:hAnsi="Calibri"/>
                <w:sz w:val="18"/>
                <w:szCs w:val="18"/>
              </w:rPr>
              <w:t>0,6</w:t>
            </w:r>
          </w:p>
        </w:tc>
        <w:tc>
          <w:tcPr>
            <w:tcW w:w="446" w:type="pct"/>
          </w:tcPr>
          <w:p w:rsidR="00242C36" w:rsidRPr="00C51010" w:rsidRDefault="00242C36" w:rsidP="00242C36">
            <w:pPr>
              <w:ind w:right="104"/>
              <w:jc w:val="right"/>
              <w:rPr>
                <w:rFonts w:ascii="Calibri" w:hAnsi="Calibri"/>
                <w:sz w:val="18"/>
                <w:szCs w:val="18"/>
              </w:rPr>
            </w:pPr>
            <w:r w:rsidRPr="00C51010">
              <w:rPr>
                <w:rFonts w:ascii="Calibri" w:hAnsi="Calibri"/>
                <w:sz w:val="18"/>
                <w:szCs w:val="18"/>
              </w:rPr>
              <w:t>--</w:t>
            </w:r>
          </w:p>
        </w:tc>
      </w:tr>
      <w:tr w:rsidR="00242C36" w:rsidRPr="00C51010" w:rsidTr="00242C36">
        <w:trPr>
          <w:trHeight w:val="227"/>
        </w:trPr>
        <w:tc>
          <w:tcPr>
            <w:tcW w:w="707" w:type="pct"/>
            <w:vMerge/>
            <w:tcMar>
              <w:top w:w="15" w:type="dxa"/>
              <w:left w:w="15" w:type="dxa"/>
              <w:bottom w:w="0" w:type="dxa"/>
              <w:right w:w="15" w:type="dxa"/>
            </w:tcMar>
            <w:vAlign w:val="center"/>
          </w:tcPr>
          <w:p w:rsidR="00242C36" w:rsidRPr="00C51010" w:rsidRDefault="00242C36" w:rsidP="00242C36">
            <w:pPr>
              <w:spacing w:line="227" w:lineRule="atLeast"/>
              <w:rPr>
                <w:rFonts w:ascii="Calibri" w:hAnsi="Calibri"/>
                <w:sz w:val="18"/>
                <w:szCs w:val="18"/>
              </w:rPr>
            </w:pPr>
          </w:p>
        </w:tc>
        <w:tc>
          <w:tcPr>
            <w:tcW w:w="219" w:type="pct"/>
            <w:tcMar>
              <w:top w:w="15" w:type="dxa"/>
              <w:left w:w="15" w:type="dxa"/>
              <w:bottom w:w="0" w:type="dxa"/>
              <w:right w:w="15" w:type="dxa"/>
            </w:tcMar>
            <w:vAlign w:val="center"/>
          </w:tcPr>
          <w:p w:rsidR="00242C36" w:rsidRPr="00C51010" w:rsidRDefault="00242C36" w:rsidP="00242C36">
            <w:pPr>
              <w:ind w:right="96"/>
              <w:jc w:val="center"/>
              <w:rPr>
                <w:rFonts w:ascii="Calibri" w:hAnsi="Calibri"/>
                <w:sz w:val="18"/>
                <w:szCs w:val="18"/>
              </w:rPr>
            </w:pPr>
            <w:r w:rsidRPr="00C51010">
              <w:rPr>
                <w:rFonts w:ascii="Calibri" w:hAnsi="Calibri"/>
                <w:sz w:val="18"/>
                <w:szCs w:val="18"/>
              </w:rPr>
              <w:t>%</w:t>
            </w:r>
          </w:p>
        </w:tc>
        <w:tc>
          <w:tcPr>
            <w:tcW w:w="456" w:type="pct"/>
            <w:tcMar>
              <w:top w:w="15" w:type="dxa"/>
              <w:left w:w="15" w:type="dxa"/>
              <w:bottom w:w="0" w:type="dxa"/>
              <w:right w:w="15" w:type="dxa"/>
            </w:tcMar>
            <w:vAlign w:val="center"/>
          </w:tcPr>
          <w:p w:rsidR="00242C36" w:rsidRPr="00C51010" w:rsidRDefault="00242C36" w:rsidP="00242C36">
            <w:pPr>
              <w:ind w:right="96"/>
              <w:jc w:val="right"/>
              <w:rPr>
                <w:rFonts w:ascii="Calibri" w:hAnsi="Calibri"/>
                <w:sz w:val="18"/>
                <w:szCs w:val="18"/>
              </w:rPr>
            </w:pPr>
            <w:r w:rsidRPr="00C51010">
              <w:rPr>
                <w:rFonts w:ascii="Calibri" w:hAnsi="Calibri"/>
                <w:sz w:val="18"/>
                <w:szCs w:val="18"/>
              </w:rPr>
              <w:t>12,9</w:t>
            </w:r>
          </w:p>
        </w:tc>
        <w:tc>
          <w:tcPr>
            <w:tcW w:w="456" w:type="pct"/>
            <w:tcMar>
              <w:top w:w="15" w:type="dxa"/>
              <w:left w:w="15" w:type="dxa"/>
              <w:bottom w:w="0" w:type="dxa"/>
              <w:right w:w="15" w:type="dxa"/>
            </w:tcMar>
            <w:vAlign w:val="center"/>
          </w:tcPr>
          <w:p w:rsidR="00242C36" w:rsidRPr="00C51010" w:rsidRDefault="00242C36" w:rsidP="00242C36">
            <w:pPr>
              <w:ind w:right="96"/>
              <w:jc w:val="right"/>
              <w:rPr>
                <w:rFonts w:ascii="Calibri" w:hAnsi="Calibri"/>
                <w:sz w:val="18"/>
                <w:szCs w:val="18"/>
              </w:rPr>
            </w:pPr>
            <w:r w:rsidRPr="00C51010">
              <w:rPr>
                <w:rFonts w:ascii="Calibri" w:hAnsi="Calibri"/>
                <w:sz w:val="18"/>
                <w:szCs w:val="18"/>
              </w:rPr>
              <w:t>30,0</w:t>
            </w:r>
          </w:p>
        </w:tc>
        <w:tc>
          <w:tcPr>
            <w:tcW w:w="456" w:type="pct"/>
            <w:tcMar>
              <w:top w:w="15" w:type="dxa"/>
              <w:left w:w="15" w:type="dxa"/>
              <w:bottom w:w="0" w:type="dxa"/>
              <w:right w:w="15" w:type="dxa"/>
            </w:tcMar>
            <w:vAlign w:val="center"/>
          </w:tcPr>
          <w:p w:rsidR="00242C36" w:rsidRPr="00C51010" w:rsidRDefault="00242C36" w:rsidP="00242C36">
            <w:pPr>
              <w:ind w:right="96"/>
              <w:jc w:val="right"/>
              <w:rPr>
                <w:rFonts w:ascii="Calibri" w:hAnsi="Calibri"/>
                <w:sz w:val="18"/>
                <w:szCs w:val="18"/>
              </w:rPr>
            </w:pPr>
            <w:r w:rsidRPr="00C51010">
              <w:rPr>
                <w:rFonts w:ascii="Calibri" w:hAnsi="Calibri"/>
                <w:sz w:val="18"/>
                <w:szCs w:val="18"/>
              </w:rPr>
              <w:t>8,6</w:t>
            </w:r>
          </w:p>
        </w:tc>
        <w:tc>
          <w:tcPr>
            <w:tcW w:w="456" w:type="pct"/>
            <w:vAlign w:val="center"/>
          </w:tcPr>
          <w:p w:rsidR="00242C36" w:rsidRPr="00C51010" w:rsidRDefault="00242C36" w:rsidP="00242C36">
            <w:pPr>
              <w:ind w:right="96"/>
              <w:jc w:val="right"/>
              <w:rPr>
                <w:rFonts w:ascii="Calibri" w:hAnsi="Calibri"/>
                <w:sz w:val="18"/>
                <w:szCs w:val="18"/>
              </w:rPr>
            </w:pPr>
            <w:r w:rsidRPr="00C51010">
              <w:rPr>
                <w:rFonts w:ascii="Calibri" w:hAnsi="Calibri"/>
                <w:sz w:val="18"/>
                <w:szCs w:val="18"/>
              </w:rPr>
              <w:t>5</w:t>
            </w:r>
          </w:p>
        </w:tc>
        <w:tc>
          <w:tcPr>
            <w:tcW w:w="456" w:type="pct"/>
            <w:vAlign w:val="center"/>
          </w:tcPr>
          <w:p w:rsidR="00242C36" w:rsidRPr="00C51010" w:rsidRDefault="00242C36" w:rsidP="00242C36">
            <w:pPr>
              <w:ind w:right="96"/>
              <w:jc w:val="right"/>
              <w:rPr>
                <w:rFonts w:ascii="Calibri" w:hAnsi="Calibri"/>
                <w:sz w:val="18"/>
                <w:szCs w:val="18"/>
              </w:rPr>
            </w:pPr>
            <w:r w:rsidRPr="00C51010">
              <w:rPr>
                <w:rFonts w:ascii="Calibri" w:hAnsi="Calibri"/>
                <w:sz w:val="18"/>
                <w:szCs w:val="18"/>
              </w:rPr>
              <w:t>20</w:t>
            </w:r>
          </w:p>
        </w:tc>
        <w:tc>
          <w:tcPr>
            <w:tcW w:w="453" w:type="pct"/>
            <w:vAlign w:val="center"/>
          </w:tcPr>
          <w:p w:rsidR="00242C36" w:rsidRPr="00C51010" w:rsidRDefault="00242C36" w:rsidP="00242C36">
            <w:pPr>
              <w:ind w:right="96"/>
              <w:jc w:val="right"/>
              <w:rPr>
                <w:rFonts w:ascii="Calibri" w:hAnsi="Calibri"/>
                <w:sz w:val="18"/>
                <w:szCs w:val="18"/>
              </w:rPr>
            </w:pPr>
            <w:r w:rsidRPr="00C51010">
              <w:rPr>
                <w:rFonts w:ascii="Calibri" w:hAnsi="Calibri"/>
                <w:sz w:val="18"/>
                <w:szCs w:val="18"/>
              </w:rPr>
              <w:t>3,3</w:t>
            </w:r>
          </w:p>
        </w:tc>
        <w:tc>
          <w:tcPr>
            <w:tcW w:w="448" w:type="pct"/>
          </w:tcPr>
          <w:p w:rsidR="00242C36" w:rsidRPr="00C51010" w:rsidRDefault="00242C36" w:rsidP="00242C36">
            <w:pPr>
              <w:ind w:right="96"/>
              <w:jc w:val="right"/>
              <w:rPr>
                <w:rFonts w:ascii="Calibri" w:hAnsi="Calibri"/>
                <w:sz w:val="18"/>
                <w:szCs w:val="18"/>
              </w:rPr>
            </w:pPr>
            <w:r w:rsidRPr="00C51010">
              <w:rPr>
                <w:rFonts w:ascii="Calibri" w:hAnsi="Calibri"/>
                <w:sz w:val="18"/>
                <w:szCs w:val="18"/>
              </w:rPr>
              <w:t>5,2</w:t>
            </w:r>
          </w:p>
        </w:tc>
        <w:tc>
          <w:tcPr>
            <w:tcW w:w="447" w:type="pct"/>
          </w:tcPr>
          <w:p w:rsidR="00242C36" w:rsidRPr="00C51010" w:rsidRDefault="00242C36" w:rsidP="00242C36">
            <w:pPr>
              <w:ind w:right="96"/>
              <w:jc w:val="right"/>
              <w:rPr>
                <w:rFonts w:ascii="Calibri" w:hAnsi="Calibri"/>
                <w:sz w:val="18"/>
                <w:szCs w:val="18"/>
              </w:rPr>
            </w:pPr>
            <w:r w:rsidRPr="00C51010">
              <w:rPr>
                <w:rFonts w:ascii="Calibri" w:hAnsi="Calibri"/>
                <w:sz w:val="18"/>
                <w:szCs w:val="18"/>
              </w:rPr>
              <w:t>5,2</w:t>
            </w:r>
          </w:p>
        </w:tc>
        <w:tc>
          <w:tcPr>
            <w:tcW w:w="446" w:type="pct"/>
          </w:tcPr>
          <w:p w:rsidR="00242C36" w:rsidRPr="00C51010" w:rsidRDefault="00242C36" w:rsidP="00242C36">
            <w:pPr>
              <w:ind w:right="96"/>
              <w:jc w:val="right"/>
              <w:rPr>
                <w:rFonts w:ascii="Calibri" w:hAnsi="Calibri"/>
                <w:sz w:val="18"/>
                <w:szCs w:val="18"/>
              </w:rPr>
            </w:pPr>
            <w:r w:rsidRPr="00C51010">
              <w:rPr>
                <w:rFonts w:ascii="Calibri" w:hAnsi="Calibri"/>
                <w:sz w:val="18"/>
                <w:szCs w:val="18"/>
              </w:rPr>
              <w:t>--</w:t>
            </w:r>
          </w:p>
        </w:tc>
      </w:tr>
      <w:tr w:rsidR="00242C36" w:rsidRPr="00C51010" w:rsidTr="00242C36">
        <w:trPr>
          <w:trHeight w:val="227"/>
        </w:trPr>
        <w:tc>
          <w:tcPr>
            <w:tcW w:w="707" w:type="pct"/>
            <w:vMerge w:val="restart"/>
            <w:tcMar>
              <w:top w:w="15" w:type="dxa"/>
              <w:left w:w="15" w:type="dxa"/>
              <w:bottom w:w="0" w:type="dxa"/>
              <w:right w:w="15" w:type="dxa"/>
            </w:tcMar>
            <w:vAlign w:val="center"/>
          </w:tcPr>
          <w:p w:rsidR="00242C36" w:rsidRPr="00C51010" w:rsidRDefault="00242C36" w:rsidP="00242C36">
            <w:pPr>
              <w:spacing w:line="227" w:lineRule="atLeast"/>
              <w:rPr>
                <w:rFonts w:ascii="Calibri" w:hAnsi="Calibri"/>
                <w:sz w:val="18"/>
                <w:szCs w:val="18"/>
              </w:rPr>
            </w:pPr>
            <w:r w:rsidRPr="00C51010">
              <w:rPr>
                <w:rFonts w:ascii="Calibri" w:hAnsi="Calibri"/>
                <w:sz w:val="18"/>
                <w:szCs w:val="18"/>
              </w:rPr>
              <w:t>Stredoškolské</w:t>
            </w:r>
          </w:p>
        </w:tc>
        <w:tc>
          <w:tcPr>
            <w:tcW w:w="219" w:type="pct"/>
            <w:tcMar>
              <w:top w:w="15" w:type="dxa"/>
              <w:left w:w="15" w:type="dxa"/>
              <w:bottom w:w="0" w:type="dxa"/>
              <w:right w:w="15" w:type="dxa"/>
            </w:tcMar>
            <w:vAlign w:val="center"/>
          </w:tcPr>
          <w:p w:rsidR="00242C36" w:rsidRPr="00C51010" w:rsidRDefault="00242C36" w:rsidP="00242C36">
            <w:pPr>
              <w:ind w:right="104"/>
              <w:jc w:val="center"/>
              <w:rPr>
                <w:rFonts w:ascii="Calibri" w:hAnsi="Calibri"/>
                <w:sz w:val="18"/>
                <w:szCs w:val="18"/>
              </w:rPr>
            </w:pPr>
            <w:r w:rsidRPr="00C51010">
              <w:rPr>
                <w:rFonts w:ascii="Calibri" w:hAnsi="Calibri"/>
                <w:sz w:val="18"/>
                <w:szCs w:val="18"/>
              </w:rPr>
              <w:t>tis.</w:t>
            </w:r>
          </w:p>
        </w:tc>
        <w:tc>
          <w:tcPr>
            <w:tcW w:w="456" w:type="pct"/>
            <w:tcMar>
              <w:top w:w="15" w:type="dxa"/>
              <w:left w:w="15" w:type="dxa"/>
              <w:bottom w:w="0" w:type="dxa"/>
              <w:right w:w="15" w:type="dxa"/>
            </w:tcMar>
            <w:vAlign w:val="center"/>
          </w:tcPr>
          <w:p w:rsidR="00242C36" w:rsidRPr="00C51010" w:rsidRDefault="00242C36" w:rsidP="00242C36">
            <w:pPr>
              <w:ind w:right="104"/>
              <w:jc w:val="right"/>
              <w:rPr>
                <w:rFonts w:ascii="Calibri" w:hAnsi="Calibri"/>
                <w:sz w:val="18"/>
                <w:szCs w:val="18"/>
              </w:rPr>
            </w:pPr>
            <w:r w:rsidRPr="00C51010">
              <w:rPr>
                <w:rFonts w:ascii="Calibri" w:hAnsi="Calibri"/>
                <w:sz w:val="18"/>
                <w:szCs w:val="18"/>
              </w:rPr>
              <w:t>7,7</w:t>
            </w:r>
          </w:p>
        </w:tc>
        <w:tc>
          <w:tcPr>
            <w:tcW w:w="456" w:type="pct"/>
            <w:tcMar>
              <w:top w:w="15" w:type="dxa"/>
              <w:left w:w="15" w:type="dxa"/>
              <w:bottom w:w="0" w:type="dxa"/>
              <w:right w:w="15" w:type="dxa"/>
            </w:tcMar>
            <w:vAlign w:val="center"/>
          </w:tcPr>
          <w:p w:rsidR="00242C36" w:rsidRPr="00C51010" w:rsidRDefault="00242C36" w:rsidP="00242C36">
            <w:pPr>
              <w:ind w:right="104"/>
              <w:jc w:val="right"/>
              <w:rPr>
                <w:rFonts w:ascii="Calibri" w:hAnsi="Calibri"/>
                <w:sz w:val="18"/>
                <w:szCs w:val="18"/>
              </w:rPr>
            </w:pPr>
            <w:r w:rsidRPr="00C51010">
              <w:rPr>
                <w:rFonts w:ascii="Calibri" w:hAnsi="Calibri"/>
                <w:sz w:val="18"/>
                <w:szCs w:val="18"/>
              </w:rPr>
              <w:t>1,1</w:t>
            </w:r>
          </w:p>
        </w:tc>
        <w:tc>
          <w:tcPr>
            <w:tcW w:w="456" w:type="pct"/>
            <w:tcMar>
              <w:top w:w="15" w:type="dxa"/>
              <w:left w:w="15" w:type="dxa"/>
              <w:bottom w:w="0" w:type="dxa"/>
              <w:right w:w="15" w:type="dxa"/>
            </w:tcMar>
            <w:vAlign w:val="center"/>
          </w:tcPr>
          <w:p w:rsidR="00242C36" w:rsidRPr="00C51010" w:rsidRDefault="00242C36" w:rsidP="00242C36">
            <w:pPr>
              <w:ind w:right="104"/>
              <w:jc w:val="right"/>
              <w:rPr>
                <w:rFonts w:ascii="Calibri" w:hAnsi="Calibri"/>
                <w:sz w:val="18"/>
                <w:szCs w:val="18"/>
              </w:rPr>
            </w:pPr>
            <w:r w:rsidRPr="00C51010">
              <w:rPr>
                <w:rFonts w:ascii="Calibri" w:hAnsi="Calibri"/>
                <w:sz w:val="18"/>
                <w:szCs w:val="18"/>
              </w:rPr>
              <w:t>6,6</w:t>
            </w:r>
          </w:p>
        </w:tc>
        <w:tc>
          <w:tcPr>
            <w:tcW w:w="456" w:type="pct"/>
            <w:vAlign w:val="center"/>
          </w:tcPr>
          <w:p w:rsidR="00242C36" w:rsidRPr="00C51010" w:rsidRDefault="00242C36" w:rsidP="00242C36">
            <w:pPr>
              <w:ind w:right="104"/>
              <w:jc w:val="right"/>
              <w:rPr>
                <w:rFonts w:ascii="Calibri" w:hAnsi="Calibri"/>
                <w:sz w:val="18"/>
                <w:szCs w:val="18"/>
              </w:rPr>
            </w:pPr>
            <w:r w:rsidRPr="00C51010">
              <w:rPr>
                <w:rFonts w:ascii="Calibri" w:hAnsi="Calibri"/>
                <w:sz w:val="18"/>
                <w:szCs w:val="18"/>
              </w:rPr>
              <w:t>7,9</w:t>
            </w:r>
          </w:p>
        </w:tc>
        <w:tc>
          <w:tcPr>
            <w:tcW w:w="456" w:type="pct"/>
            <w:vAlign w:val="center"/>
          </w:tcPr>
          <w:p w:rsidR="00242C36" w:rsidRPr="00C51010" w:rsidRDefault="00242C36" w:rsidP="00242C36">
            <w:pPr>
              <w:ind w:right="104"/>
              <w:jc w:val="right"/>
              <w:rPr>
                <w:rFonts w:ascii="Calibri" w:hAnsi="Calibri"/>
                <w:sz w:val="18"/>
                <w:szCs w:val="18"/>
              </w:rPr>
            </w:pPr>
            <w:r w:rsidRPr="00C51010">
              <w:rPr>
                <w:rFonts w:ascii="Calibri" w:hAnsi="Calibri"/>
                <w:sz w:val="18"/>
                <w:szCs w:val="18"/>
              </w:rPr>
              <w:t>0,6</w:t>
            </w:r>
          </w:p>
        </w:tc>
        <w:tc>
          <w:tcPr>
            <w:tcW w:w="453" w:type="pct"/>
            <w:vAlign w:val="center"/>
          </w:tcPr>
          <w:p w:rsidR="00242C36" w:rsidRPr="00C51010" w:rsidRDefault="00242C36" w:rsidP="00242C36">
            <w:pPr>
              <w:ind w:right="104"/>
              <w:jc w:val="right"/>
              <w:rPr>
                <w:rFonts w:ascii="Calibri" w:hAnsi="Calibri"/>
                <w:sz w:val="18"/>
                <w:szCs w:val="18"/>
              </w:rPr>
            </w:pPr>
            <w:r w:rsidRPr="00C51010">
              <w:rPr>
                <w:rFonts w:ascii="Calibri" w:hAnsi="Calibri"/>
                <w:sz w:val="18"/>
                <w:szCs w:val="18"/>
              </w:rPr>
              <w:t>7,3</w:t>
            </w:r>
          </w:p>
        </w:tc>
        <w:tc>
          <w:tcPr>
            <w:tcW w:w="448" w:type="pct"/>
          </w:tcPr>
          <w:p w:rsidR="00242C36" w:rsidRPr="00C51010" w:rsidRDefault="00242C36" w:rsidP="00242C36">
            <w:pPr>
              <w:ind w:right="104"/>
              <w:jc w:val="right"/>
              <w:rPr>
                <w:rFonts w:ascii="Calibri" w:hAnsi="Calibri"/>
                <w:sz w:val="18"/>
                <w:szCs w:val="18"/>
              </w:rPr>
            </w:pPr>
            <w:r w:rsidRPr="00C51010">
              <w:rPr>
                <w:rFonts w:ascii="Calibri" w:hAnsi="Calibri"/>
                <w:sz w:val="18"/>
                <w:szCs w:val="18"/>
              </w:rPr>
              <w:t>9,5</w:t>
            </w:r>
          </w:p>
        </w:tc>
        <w:tc>
          <w:tcPr>
            <w:tcW w:w="447" w:type="pct"/>
          </w:tcPr>
          <w:p w:rsidR="00242C36" w:rsidRPr="00C51010" w:rsidRDefault="00242C36" w:rsidP="00242C36">
            <w:pPr>
              <w:ind w:right="104"/>
              <w:jc w:val="right"/>
              <w:rPr>
                <w:rFonts w:ascii="Calibri" w:hAnsi="Calibri"/>
                <w:sz w:val="18"/>
                <w:szCs w:val="18"/>
              </w:rPr>
            </w:pPr>
            <w:r w:rsidRPr="00C51010">
              <w:rPr>
                <w:rFonts w:ascii="Calibri" w:hAnsi="Calibri"/>
                <w:sz w:val="18"/>
                <w:szCs w:val="18"/>
              </w:rPr>
              <w:t>2,1</w:t>
            </w:r>
          </w:p>
        </w:tc>
        <w:tc>
          <w:tcPr>
            <w:tcW w:w="446" w:type="pct"/>
          </w:tcPr>
          <w:p w:rsidR="00242C36" w:rsidRPr="00C51010" w:rsidRDefault="00242C36" w:rsidP="00242C36">
            <w:pPr>
              <w:ind w:right="104"/>
              <w:jc w:val="right"/>
              <w:rPr>
                <w:rFonts w:ascii="Calibri" w:hAnsi="Calibri"/>
                <w:sz w:val="18"/>
                <w:szCs w:val="18"/>
              </w:rPr>
            </w:pPr>
            <w:r w:rsidRPr="00C51010">
              <w:rPr>
                <w:rFonts w:ascii="Calibri" w:hAnsi="Calibri"/>
                <w:sz w:val="18"/>
                <w:szCs w:val="18"/>
              </w:rPr>
              <w:t>7,4</w:t>
            </w:r>
          </w:p>
        </w:tc>
      </w:tr>
      <w:tr w:rsidR="00242C36" w:rsidRPr="00C51010" w:rsidTr="00242C36">
        <w:trPr>
          <w:trHeight w:val="227"/>
        </w:trPr>
        <w:tc>
          <w:tcPr>
            <w:tcW w:w="707" w:type="pct"/>
            <w:vMerge/>
            <w:tcMar>
              <w:top w:w="15" w:type="dxa"/>
              <w:left w:w="15" w:type="dxa"/>
              <w:bottom w:w="0" w:type="dxa"/>
              <w:right w:w="15" w:type="dxa"/>
            </w:tcMar>
            <w:vAlign w:val="center"/>
          </w:tcPr>
          <w:p w:rsidR="00242C36" w:rsidRPr="00C51010" w:rsidRDefault="00242C36" w:rsidP="00242C36">
            <w:pPr>
              <w:spacing w:line="227" w:lineRule="atLeast"/>
              <w:rPr>
                <w:rFonts w:ascii="Calibri" w:hAnsi="Calibri"/>
                <w:sz w:val="18"/>
                <w:szCs w:val="18"/>
              </w:rPr>
            </w:pPr>
          </w:p>
        </w:tc>
        <w:tc>
          <w:tcPr>
            <w:tcW w:w="219" w:type="pct"/>
            <w:tcMar>
              <w:top w:w="15" w:type="dxa"/>
              <w:left w:w="15" w:type="dxa"/>
              <w:bottom w:w="0" w:type="dxa"/>
              <w:right w:w="15" w:type="dxa"/>
            </w:tcMar>
            <w:vAlign w:val="center"/>
          </w:tcPr>
          <w:p w:rsidR="00242C36" w:rsidRPr="00C51010" w:rsidRDefault="00242C36" w:rsidP="00242C36">
            <w:pPr>
              <w:ind w:right="96"/>
              <w:jc w:val="center"/>
              <w:rPr>
                <w:rFonts w:ascii="Calibri" w:hAnsi="Calibri"/>
                <w:sz w:val="18"/>
                <w:szCs w:val="18"/>
              </w:rPr>
            </w:pPr>
            <w:r w:rsidRPr="00C51010">
              <w:rPr>
                <w:rFonts w:ascii="Calibri" w:hAnsi="Calibri"/>
                <w:sz w:val="18"/>
                <w:szCs w:val="18"/>
              </w:rPr>
              <w:t>%</w:t>
            </w:r>
          </w:p>
        </w:tc>
        <w:tc>
          <w:tcPr>
            <w:tcW w:w="456" w:type="pct"/>
            <w:tcMar>
              <w:top w:w="15" w:type="dxa"/>
              <w:left w:w="15" w:type="dxa"/>
              <w:bottom w:w="0" w:type="dxa"/>
              <w:right w:w="15" w:type="dxa"/>
            </w:tcMar>
            <w:vAlign w:val="center"/>
          </w:tcPr>
          <w:p w:rsidR="00242C36" w:rsidRPr="00C51010" w:rsidRDefault="00242C36" w:rsidP="00242C36">
            <w:pPr>
              <w:ind w:right="96"/>
              <w:jc w:val="right"/>
              <w:rPr>
                <w:rFonts w:ascii="Calibri" w:hAnsi="Calibri"/>
                <w:sz w:val="18"/>
                <w:szCs w:val="18"/>
              </w:rPr>
            </w:pPr>
            <w:r w:rsidRPr="00C51010">
              <w:rPr>
                <w:rFonts w:ascii="Calibri" w:hAnsi="Calibri"/>
                <w:sz w:val="18"/>
                <w:szCs w:val="18"/>
              </w:rPr>
              <w:t>76,2</w:t>
            </w:r>
          </w:p>
        </w:tc>
        <w:tc>
          <w:tcPr>
            <w:tcW w:w="456" w:type="pct"/>
            <w:tcMar>
              <w:top w:w="15" w:type="dxa"/>
              <w:left w:w="15" w:type="dxa"/>
              <w:bottom w:w="0" w:type="dxa"/>
              <w:right w:w="15" w:type="dxa"/>
            </w:tcMar>
            <w:vAlign w:val="center"/>
          </w:tcPr>
          <w:p w:rsidR="00242C36" w:rsidRPr="00C51010" w:rsidRDefault="00242C36" w:rsidP="00242C36">
            <w:pPr>
              <w:ind w:right="96"/>
              <w:jc w:val="right"/>
              <w:rPr>
                <w:rFonts w:ascii="Calibri" w:hAnsi="Calibri"/>
                <w:sz w:val="18"/>
                <w:szCs w:val="18"/>
              </w:rPr>
            </w:pPr>
            <w:r w:rsidRPr="00C51010">
              <w:rPr>
                <w:rFonts w:ascii="Calibri" w:hAnsi="Calibri"/>
                <w:sz w:val="18"/>
                <w:szCs w:val="18"/>
              </w:rPr>
              <w:t>55,0</w:t>
            </w:r>
          </w:p>
        </w:tc>
        <w:tc>
          <w:tcPr>
            <w:tcW w:w="456" w:type="pct"/>
            <w:tcMar>
              <w:top w:w="15" w:type="dxa"/>
              <w:left w:w="15" w:type="dxa"/>
              <w:bottom w:w="0" w:type="dxa"/>
              <w:right w:w="15" w:type="dxa"/>
            </w:tcMar>
            <w:vAlign w:val="center"/>
          </w:tcPr>
          <w:p w:rsidR="00242C36" w:rsidRPr="00C51010" w:rsidRDefault="00242C36" w:rsidP="00242C36">
            <w:pPr>
              <w:ind w:right="96"/>
              <w:jc w:val="right"/>
              <w:rPr>
                <w:rFonts w:ascii="Calibri" w:hAnsi="Calibri"/>
                <w:sz w:val="18"/>
                <w:szCs w:val="18"/>
              </w:rPr>
            </w:pPr>
            <w:r w:rsidRPr="00C51010">
              <w:rPr>
                <w:rFonts w:ascii="Calibri" w:hAnsi="Calibri"/>
                <w:sz w:val="18"/>
                <w:szCs w:val="18"/>
              </w:rPr>
              <w:t>81,5</w:t>
            </w:r>
          </w:p>
        </w:tc>
        <w:tc>
          <w:tcPr>
            <w:tcW w:w="456" w:type="pct"/>
            <w:vAlign w:val="center"/>
          </w:tcPr>
          <w:p w:rsidR="00242C36" w:rsidRPr="00C51010" w:rsidRDefault="00242C36" w:rsidP="00242C36">
            <w:pPr>
              <w:ind w:right="96"/>
              <w:jc w:val="right"/>
              <w:rPr>
                <w:rFonts w:ascii="Calibri" w:hAnsi="Calibri"/>
                <w:sz w:val="18"/>
                <w:szCs w:val="18"/>
              </w:rPr>
            </w:pPr>
            <w:r w:rsidRPr="00C51010">
              <w:rPr>
                <w:rFonts w:ascii="Calibri" w:hAnsi="Calibri"/>
                <w:sz w:val="18"/>
                <w:szCs w:val="18"/>
              </w:rPr>
              <w:t>79</w:t>
            </w:r>
          </w:p>
        </w:tc>
        <w:tc>
          <w:tcPr>
            <w:tcW w:w="456" w:type="pct"/>
            <w:vAlign w:val="center"/>
          </w:tcPr>
          <w:p w:rsidR="00242C36" w:rsidRPr="00C51010" w:rsidRDefault="00242C36" w:rsidP="00242C36">
            <w:pPr>
              <w:ind w:right="96"/>
              <w:jc w:val="right"/>
              <w:rPr>
                <w:rFonts w:ascii="Calibri" w:hAnsi="Calibri"/>
                <w:sz w:val="18"/>
                <w:szCs w:val="18"/>
              </w:rPr>
            </w:pPr>
            <w:r w:rsidRPr="00C51010">
              <w:rPr>
                <w:rFonts w:ascii="Calibri" w:hAnsi="Calibri"/>
                <w:sz w:val="18"/>
                <w:szCs w:val="18"/>
              </w:rPr>
              <w:t>60</w:t>
            </w:r>
          </w:p>
        </w:tc>
        <w:tc>
          <w:tcPr>
            <w:tcW w:w="453" w:type="pct"/>
            <w:vAlign w:val="center"/>
          </w:tcPr>
          <w:p w:rsidR="00242C36" w:rsidRPr="00C51010" w:rsidRDefault="00242C36" w:rsidP="00242C36">
            <w:pPr>
              <w:ind w:right="96"/>
              <w:jc w:val="right"/>
              <w:rPr>
                <w:rFonts w:ascii="Calibri" w:hAnsi="Calibri"/>
                <w:sz w:val="18"/>
                <w:szCs w:val="18"/>
              </w:rPr>
            </w:pPr>
            <w:r w:rsidRPr="00C51010">
              <w:rPr>
                <w:rFonts w:ascii="Calibri" w:hAnsi="Calibri"/>
                <w:sz w:val="18"/>
                <w:szCs w:val="18"/>
              </w:rPr>
              <w:t>81,1</w:t>
            </w:r>
          </w:p>
        </w:tc>
        <w:tc>
          <w:tcPr>
            <w:tcW w:w="448" w:type="pct"/>
          </w:tcPr>
          <w:p w:rsidR="00242C36" w:rsidRPr="00C51010" w:rsidRDefault="00242C36" w:rsidP="00242C36">
            <w:pPr>
              <w:ind w:right="96"/>
              <w:jc w:val="right"/>
              <w:rPr>
                <w:rFonts w:ascii="Calibri" w:hAnsi="Calibri"/>
                <w:sz w:val="18"/>
                <w:szCs w:val="18"/>
              </w:rPr>
            </w:pPr>
            <w:r w:rsidRPr="00C51010">
              <w:rPr>
                <w:rFonts w:ascii="Calibri" w:hAnsi="Calibri"/>
                <w:sz w:val="18"/>
                <w:szCs w:val="18"/>
              </w:rPr>
              <w:t>81,9</w:t>
            </w:r>
          </w:p>
        </w:tc>
        <w:tc>
          <w:tcPr>
            <w:tcW w:w="447" w:type="pct"/>
          </w:tcPr>
          <w:p w:rsidR="00242C36" w:rsidRPr="00C51010" w:rsidRDefault="00242C36" w:rsidP="00242C36">
            <w:pPr>
              <w:ind w:right="96"/>
              <w:jc w:val="right"/>
              <w:rPr>
                <w:rFonts w:ascii="Calibri" w:hAnsi="Calibri"/>
                <w:sz w:val="18"/>
                <w:szCs w:val="18"/>
              </w:rPr>
            </w:pPr>
            <w:r w:rsidRPr="00C51010">
              <w:rPr>
                <w:rFonts w:ascii="Calibri" w:hAnsi="Calibri"/>
                <w:sz w:val="18"/>
                <w:szCs w:val="18"/>
              </w:rPr>
              <w:t>18,1</w:t>
            </w:r>
          </w:p>
        </w:tc>
        <w:tc>
          <w:tcPr>
            <w:tcW w:w="446" w:type="pct"/>
          </w:tcPr>
          <w:p w:rsidR="00242C36" w:rsidRPr="00C51010" w:rsidRDefault="00242C36" w:rsidP="00242C36">
            <w:pPr>
              <w:ind w:right="96"/>
              <w:jc w:val="right"/>
              <w:rPr>
                <w:rFonts w:ascii="Calibri" w:hAnsi="Calibri"/>
                <w:sz w:val="18"/>
                <w:szCs w:val="18"/>
              </w:rPr>
            </w:pPr>
            <w:r w:rsidRPr="00C51010">
              <w:rPr>
                <w:rFonts w:ascii="Calibri" w:hAnsi="Calibri"/>
                <w:sz w:val="18"/>
                <w:szCs w:val="18"/>
              </w:rPr>
              <w:t>63,8</w:t>
            </w:r>
          </w:p>
        </w:tc>
      </w:tr>
      <w:tr w:rsidR="00242C36" w:rsidRPr="00C51010" w:rsidTr="00242C36">
        <w:trPr>
          <w:trHeight w:val="227"/>
        </w:trPr>
        <w:tc>
          <w:tcPr>
            <w:tcW w:w="707" w:type="pct"/>
            <w:vMerge w:val="restart"/>
            <w:tcMar>
              <w:top w:w="15" w:type="dxa"/>
              <w:left w:w="15" w:type="dxa"/>
              <w:bottom w:w="0" w:type="dxa"/>
              <w:right w:w="15" w:type="dxa"/>
            </w:tcMar>
            <w:vAlign w:val="center"/>
          </w:tcPr>
          <w:p w:rsidR="00242C36" w:rsidRPr="00C51010" w:rsidRDefault="00242C36" w:rsidP="00242C36">
            <w:pPr>
              <w:spacing w:line="227" w:lineRule="atLeast"/>
              <w:rPr>
                <w:rFonts w:ascii="Calibri" w:hAnsi="Calibri"/>
                <w:sz w:val="18"/>
                <w:szCs w:val="18"/>
              </w:rPr>
            </w:pPr>
            <w:r w:rsidRPr="00C51010">
              <w:rPr>
                <w:rFonts w:ascii="Calibri" w:hAnsi="Calibri"/>
                <w:sz w:val="18"/>
                <w:szCs w:val="18"/>
              </w:rPr>
              <w:t>Vysokoškolské</w:t>
            </w:r>
          </w:p>
        </w:tc>
        <w:tc>
          <w:tcPr>
            <w:tcW w:w="219" w:type="pct"/>
            <w:tcMar>
              <w:top w:w="15" w:type="dxa"/>
              <w:left w:w="15" w:type="dxa"/>
              <w:bottom w:w="0" w:type="dxa"/>
              <w:right w:w="15" w:type="dxa"/>
            </w:tcMar>
            <w:vAlign w:val="center"/>
          </w:tcPr>
          <w:p w:rsidR="00242C36" w:rsidRPr="00C51010" w:rsidRDefault="00242C36" w:rsidP="00242C36">
            <w:pPr>
              <w:ind w:right="104"/>
              <w:jc w:val="center"/>
              <w:rPr>
                <w:rFonts w:ascii="Calibri" w:hAnsi="Calibri"/>
                <w:sz w:val="18"/>
                <w:szCs w:val="18"/>
              </w:rPr>
            </w:pPr>
            <w:r w:rsidRPr="00C51010">
              <w:rPr>
                <w:rFonts w:ascii="Calibri" w:hAnsi="Calibri"/>
                <w:sz w:val="18"/>
                <w:szCs w:val="18"/>
              </w:rPr>
              <w:t>tis.</w:t>
            </w:r>
          </w:p>
        </w:tc>
        <w:tc>
          <w:tcPr>
            <w:tcW w:w="456" w:type="pct"/>
            <w:tcMar>
              <w:top w:w="15" w:type="dxa"/>
              <w:left w:w="15" w:type="dxa"/>
              <w:bottom w:w="0" w:type="dxa"/>
              <w:right w:w="15" w:type="dxa"/>
            </w:tcMar>
            <w:vAlign w:val="center"/>
          </w:tcPr>
          <w:p w:rsidR="00242C36" w:rsidRPr="00C51010" w:rsidRDefault="00242C36" w:rsidP="00242C36">
            <w:pPr>
              <w:ind w:right="104"/>
              <w:jc w:val="right"/>
              <w:rPr>
                <w:rFonts w:ascii="Calibri" w:hAnsi="Calibri"/>
                <w:sz w:val="18"/>
                <w:szCs w:val="18"/>
              </w:rPr>
            </w:pPr>
            <w:r w:rsidRPr="00C51010">
              <w:rPr>
                <w:rFonts w:ascii="Calibri" w:hAnsi="Calibri"/>
                <w:sz w:val="18"/>
                <w:szCs w:val="18"/>
              </w:rPr>
              <w:t>1,1</w:t>
            </w:r>
          </w:p>
        </w:tc>
        <w:tc>
          <w:tcPr>
            <w:tcW w:w="456" w:type="pct"/>
            <w:tcMar>
              <w:top w:w="15" w:type="dxa"/>
              <w:left w:w="15" w:type="dxa"/>
              <w:bottom w:w="0" w:type="dxa"/>
              <w:right w:w="15" w:type="dxa"/>
            </w:tcMar>
            <w:vAlign w:val="center"/>
          </w:tcPr>
          <w:p w:rsidR="00242C36" w:rsidRPr="00C51010" w:rsidRDefault="00242C36" w:rsidP="00242C36">
            <w:pPr>
              <w:ind w:right="104"/>
              <w:jc w:val="right"/>
              <w:rPr>
                <w:rFonts w:ascii="Calibri" w:hAnsi="Calibri"/>
                <w:sz w:val="18"/>
                <w:szCs w:val="18"/>
              </w:rPr>
            </w:pPr>
            <w:r w:rsidRPr="00C51010">
              <w:rPr>
                <w:rFonts w:ascii="Calibri" w:hAnsi="Calibri"/>
                <w:sz w:val="18"/>
                <w:szCs w:val="18"/>
              </w:rPr>
              <w:t>0,3</w:t>
            </w:r>
          </w:p>
        </w:tc>
        <w:tc>
          <w:tcPr>
            <w:tcW w:w="456" w:type="pct"/>
            <w:tcMar>
              <w:top w:w="15" w:type="dxa"/>
              <w:left w:w="15" w:type="dxa"/>
              <w:bottom w:w="0" w:type="dxa"/>
              <w:right w:w="15" w:type="dxa"/>
            </w:tcMar>
            <w:vAlign w:val="center"/>
          </w:tcPr>
          <w:p w:rsidR="00242C36" w:rsidRPr="00C51010" w:rsidRDefault="00242C36" w:rsidP="00242C36">
            <w:pPr>
              <w:ind w:right="104"/>
              <w:jc w:val="right"/>
              <w:rPr>
                <w:rFonts w:ascii="Calibri" w:hAnsi="Calibri"/>
                <w:sz w:val="18"/>
                <w:szCs w:val="18"/>
              </w:rPr>
            </w:pPr>
            <w:r w:rsidRPr="00C51010">
              <w:rPr>
                <w:rFonts w:ascii="Calibri" w:hAnsi="Calibri"/>
                <w:sz w:val="18"/>
                <w:szCs w:val="18"/>
              </w:rPr>
              <w:t>0,8</w:t>
            </w:r>
          </w:p>
        </w:tc>
        <w:tc>
          <w:tcPr>
            <w:tcW w:w="456" w:type="pct"/>
            <w:vAlign w:val="center"/>
          </w:tcPr>
          <w:p w:rsidR="00242C36" w:rsidRPr="00C51010" w:rsidRDefault="00242C36" w:rsidP="00242C36">
            <w:pPr>
              <w:ind w:right="104"/>
              <w:jc w:val="right"/>
              <w:rPr>
                <w:rFonts w:ascii="Calibri" w:hAnsi="Calibri"/>
                <w:sz w:val="18"/>
                <w:szCs w:val="18"/>
              </w:rPr>
            </w:pPr>
            <w:r w:rsidRPr="00C51010">
              <w:rPr>
                <w:rFonts w:ascii="Calibri" w:hAnsi="Calibri"/>
                <w:sz w:val="18"/>
                <w:szCs w:val="18"/>
              </w:rPr>
              <w:t>1,6</w:t>
            </w:r>
          </w:p>
        </w:tc>
        <w:tc>
          <w:tcPr>
            <w:tcW w:w="456" w:type="pct"/>
            <w:vAlign w:val="center"/>
          </w:tcPr>
          <w:p w:rsidR="00242C36" w:rsidRPr="00C51010" w:rsidRDefault="00242C36" w:rsidP="00242C36">
            <w:pPr>
              <w:ind w:right="104"/>
              <w:jc w:val="right"/>
              <w:rPr>
                <w:rFonts w:ascii="Calibri" w:hAnsi="Calibri"/>
                <w:sz w:val="18"/>
                <w:szCs w:val="18"/>
              </w:rPr>
            </w:pPr>
            <w:r w:rsidRPr="00C51010">
              <w:rPr>
                <w:rFonts w:ascii="Calibri" w:hAnsi="Calibri"/>
                <w:sz w:val="18"/>
                <w:szCs w:val="18"/>
              </w:rPr>
              <w:t>0,2</w:t>
            </w:r>
          </w:p>
        </w:tc>
        <w:tc>
          <w:tcPr>
            <w:tcW w:w="453" w:type="pct"/>
            <w:vAlign w:val="center"/>
          </w:tcPr>
          <w:p w:rsidR="00242C36" w:rsidRPr="00C51010" w:rsidRDefault="00242C36" w:rsidP="00242C36">
            <w:pPr>
              <w:ind w:right="104"/>
              <w:jc w:val="right"/>
              <w:rPr>
                <w:rFonts w:ascii="Calibri" w:hAnsi="Calibri"/>
                <w:sz w:val="18"/>
                <w:szCs w:val="18"/>
              </w:rPr>
            </w:pPr>
            <w:r w:rsidRPr="00C51010">
              <w:rPr>
                <w:rFonts w:ascii="Calibri" w:hAnsi="Calibri"/>
                <w:sz w:val="18"/>
                <w:szCs w:val="18"/>
              </w:rPr>
              <w:t>1,4</w:t>
            </w:r>
          </w:p>
        </w:tc>
        <w:tc>
          <w:tcPr>
            <w:tcW w:w="448" w:type="pct"/>
          </w:tcPr>
          <w:p w:rsidR="00242C36" w:rsidRPr="00C51010" w:rsidRDefault="00242C36" w:rsidP="00242C36">
            <w:pPr>
              <w:ind w:right="104"/>
              <w:jc w:val="right"/>
              <w:rPr>
                <w:rFonts w:ascii="Calibri" w:hAnsi="Calibri"/>
                <w:sz w:val="18"/>
                <w:szCs w:val="18"/>
              </w:rPr>
            </w:pPr>
            <w:r w:rsidRPr="00C51010">
              <w:rPr>
                <w:rFonts w:ascii="Calibri" w:hAnsi="Calibri"/>
                <w:sz w:val="18"/>
                <w:szCs w:val="18"/>
              </w:rPr>
              <w:t>1,5</w:t>
            </w:r>
          </w:p>
        </w:tc>
        <w:tc>
          <w:tcPr>
            <w:tcW w:w="447" w:type="pct"/>
          </w:tcPr>
          <w:p w:rsidR="00242C36" w:rsidRPr="00C51010" w:rsidRDefault="00242C36" w:rsidP="00242C36">
            <w:pPr>
              <w:ind w:right="104"/>
              <w:jc w:val="right"/>
              <w:rPr>
                <w:rFonts w:ascii="Calibri" w:hAnsi="Calibri"/>
                <w:sz w:val="18"/>
                <w:szCs w:val="18"/>
              </w:rPr>
            </w:pPr>
            <w:r w:rsidRPr="00C51010">
              <w:rPr>
                <w:rFonts w:ascii="Calibri" w:hAnsi="Calibri"/>
                <w:sz w:val="18"/>
                <w:szCs w:val="18"/>
              </w:rPr>
              <w:t>0,2</w:t>
            </w:r>
          </w:p>
        </w:tc>
        <w:tc>
          <w:tcPr>
            <w:tcW w:w="446" w:type="pct"/>
          </w:tcPr>
          <w:p w:rsidR="00242C36" w:rsidRPr="00C51010" w:rsidRDefault="00242C36" w:rsidP="00242C36">
            <w:pPr>
              <w:ind w:right="104"/>
              <w:jc w:val="right"/>
              <w:rPr>
                <w:rFonts w:ascii="Calibri" w:hAnsi="Calibri"/>
                <w:sz w:val="18"/>
                <w:szCs w:val="18"/>
              </w:rPr>
            </w:pPr>
            <w:r w:rsidRPr="00C51010">
              <w:rPr>
                <w:rFonts w:ascii="Calibri" w:hAnsi="Calibri"/>
                <w:sz w:val="18"/>
                <w:szCs w:val="18"/>
              </w:rPr>
              <w:t>1,3</w:t>
            </w:r>
          </w:p>
        </w:tc>
      </w:tr>
      <w:tr w:rsidR="00242C36" w:rsidRPr="00C51010" w:rsidTr="00242C36">
        <w:trPr>
          <w:trHeight w:val="227"/>
        </w:trPr>
        <w:tc>
          <w:tcPr>
            <w:tcW w:w="707" w:type="pct"/>
            <w:vMerge/>
            <w:tcMar>
              <w:top w:w="15" w:type="dxa"/>
              <w:left w:w="15" w:type="dxa"/>
              <w:bottom w:w="0" w:type="dxa"/>
              <w:right w:w="15" w:type="dxa"/>
            </w:tcMar>
          </w:tcPr>
          <w:p w:rsidR="00242C36" w:rsidRPr="00C51010" w:rsidRDefault="00242C36" w:rsidP="00242C36">
            <w:pPr>
              <w:spacing w:line="227" w:lineRule="atLeast"/>
              <w:jc w:val="center"/>
              <w:rPr>
                <w:rFonts w:ascii="Calibri" w:hAnsi="Calibri"/>
                <w:sz w:val="18"/>
                <w:szCs w:val="18"/>
              </w:rPr>
            </w:pPr>
          </w:p>
        </w:tc>
        <w:tc>
          <w:tcPr>
            <w:tcW w:w="219" w:type="pct"/>
            <w:tcMar>
              <w:top w:w="15" w:type="dxa"/>
              <w:left w:w="15" w:type="dxa"/>
              <w:bottom w:w="0" w:type="dxa"/>
              <w:right w:w="15" w:type="dxa"/>
            </w:tcMar>
            <w:vAlign w:val="center"/>
          </w:tcPr>
          <w:p w:rsidR="00242C36" w:rsidRPr="00C51010" w:rsidRDefault="00242C36" w:rsidP="00242C36">
            <w:pPr>
              <w:ind w:right="96"/>
              <w:jc w:val="center"/>
              <w:rPr>
                <w:rFonts w:ascii="Calibri" w:hAnsi="Calibri"/>
                <w:sz w:val="18"/>
                <w:szCs w:val="18"/>
              </w:rPr>
            </w:pPr>
            <w:r w:rsidRPr="00C51010">
              <w:rPr>
                <w:rFonts w:ascii="Calibri" w:hAnsi="Calibri"/>
                <w:sz w:val="18"/>
                <w:szCs w:val="18"/>
              </w:rPr>
              <w:t>%</w:t>
            </w:r>
          </w:p>
        </w:tc>
        <w:tc>
          <w:tcPr>
            <w:tcW w:w="456" w:type="pct"/>
            <w:tcMar>
              <w:top w:w="15" w:type="dxa"/>
              <w:left w:w="15" w:type="dxa"/>
              <w:bottom w:w="0" w:type="dxa"/>
              <w:right w:w="15" w:type="dxa"/>
            </w:tcMar>
            <w:vAlign w:val="center"/>
          </w:tcPr>
          <w:p w:rsidR="00242C36" w:rsidRPr="00C51010" w:rsidRDefault="00242C36" w:rsidP="00242C36">
            <w:pPr>
              <w:ind w:right="96"/>
              <w:jc w:val="right"/>
              <w:rPr>
                <w:rFonts w:ascii="Calibri" w:hAnsi="Calibri"/>
                <w:sz w:val="18"/>
                <w:szCs w:val="18"/>
              </w:rPr>
            </w:pPr>
            <w:r w:rsidRPr="00C51010">
              <w:rPr>
                <w:rFonts w:ascii="Calibri" w:hAnsi="Calibri"/>
                <w:sz w:val="18"/>
                <w:szCs w:val="18"/>
              </w:rPr>
              <w:t>10,9</w:t>
            </w:r>
          </w:p>
        </w:tc>
        <w:tc>
          <w:tcPr>
            <w:tcW w:w="456" w:type="pct"/>
            <w:tcMar>
              <w:top w:w="15" w:type="dxa"/>
              <w:left w:w="15" w:type="dxa"/>
              <w:bottom w:w="0" w:type="dxa"/>
              <w:right w:w="15" w:type="dxa"/>
            </w:tcMar>
            <w:vAlign w:val="center"/>
          </w:tcPr>
          <w:p w:rsidR="00242C36" w:rsidRPr="00C51010" w:rsidRDefault="00242C36" w:rsidP="00242C36">
            <w:pPr>
              <w:ind w:right="96"/>
              <w:jc w:val="right"/>
              <w:rPr>
                <w:rFonts w:ascii="Calibri" w:hAnsi="Calibri"/>
                <w:sz w:val="18"/>
                <w:szCs w:val="18"/>
              </w:rPr>
            </w:pPr>
            <w:r w:rsidRPr="00C51010">
              <w:rPr>
                <w:rFonts w:ascii="Calibri" w:hAnsi="Calibri"/>
                <w:sz w:val="18"/>
                <w:szCs w:val="18"/>
              </w:rPr>
              <w:t>15,0</w:t>
            </w:r>
          </w:p>
        </w:tc>
        <w:tc>
          <w:tcPr>
            <w:tcW w:w="456" w:type="pct"/>
            <w:tcMar>
              <w:top w:w="15" w:type="dxa"/>
              <w:left w:w="15" w:type="dxa"/>
              <w:bottom w:w="0" w:type="dxa"/>
              <w:right w:w="15" w:type="dxa"/>
            </w:tcMar>
            <w:vAlign w:val="center"/>
          </w:tcPr>
          <w:p w:rsidR="00242C36" w:rsidRPr="00C51010" w:rsidRDefault="00242C36" w:rsidP="00242C36">
            <w:pPr>
              <w:ind w:right="96"/>
              <w:jc w:val="right"/>
              <w:rPr>
                <w:rFonts w:ascii="Calibri" w:hAnsi="Calibri"/>
                <w:sz w:val="18"/>
                <w:szCs w:val="18"/>
              </w:rPr>
            </w:pPr>
            <w:r w:rsidRPr="00C51010">
              <w:rPr>
                <w:rFonts w:ascii="Calibri" w:hAnsi="Calibri"/>
                <w:sz w:val="18"/>
                <w:szCs w:val="18"/>
              </w:rPr>
              <w:t>9,9</w:t>
            </w:r>
          </w:p>
        </w:tc>
        <w:tc>
          <w:tcPr>
            <w:tcW w:w="456" w:type="pct"/>
            <w:vAlign w:val="center"/>
          </w:tcPr>
          <w:p w:rsidR="00242C36" w:rsidRPr="00C51010" w:rsidRDefault="00242C36" w:rsidP="00242C36">
            <w:pPr>
              <w:ind w:right="96"/>
              <w:jc w:val="right"/>
              <w:rPr>
                <w:rFonts w:ascii="Calibri" w:hAnsi="Calibri"/>
                <w:sz w:val="18"/>
                <w:szCs w:val="18"/>
              </w:rPr>
            </w:pPr>
            <w:r w:rsidRPr="00C51010">
              <w:rPr>
                <w:rFonts w:ascii="Calibri" w:hAnsi="Calibri"/>
                <w:sz w:val="18"/>
                <w:szCs w:val="18"/>
              </w:rPr>
              <w:t>16</w:t>
            </w:r>
          </w:p>
        </w:tc>
        <w:tc>
          <w:tcPr>
            <w:tcW w:w="456" w:type="pct"/>
            <w:vAlign w:val="center"/>
          </w:tcPr>
          <w:p w:rsidR="00242C36" w:rsidRPr="00C51010" w:rsidRDefault="00242C36" w:rsidP="00242C36">
            <w:pPr>
              <w:ind w:right="96"/>
              <w:jc w:val="right"/>
              <w:rPr>
                <w:rFonts w:ascii="Calibri" w:hAnsi="Calibri"/>
                <w:sz w:val="18"/>
                <w:szCs w:val="18"/>
              </w:rPr>
            </w:pPr>
            <w:r w:rsidRPr="00C51010">
              <w:rPr>
                <w:rFonts w:ascii="Calibri" w:hAnsi="Calibri"/>
                <w:sz w:val="18"/>
                <w:szCs w:val="18"/>
              </w:rPr>
              <w:t>20</w:t>
            </w:r>
          </w:p>
        </w:tc>
        <w:tc>
          <w:tcPr>
            <w:tcW w:w="453" w:type="pct"/>
            <w:vAlign w:val="center"/>
          </w:tcPr>
          <w:p w:rsidR="00242C36" w:rsidRPr="00C51010" w:rsidRDefault="00242C36" w:rsidP="00242C36">
            <w:pPr>
              <w:ind w:right="96"/>
              <w:jc w:val="right"/>
              <w:rPr>
                <w:rFonts w:ascii="Calibri" w:hAnsi="Calibri"/>
                <w:sz w:val="18"/>
                <w:szCs w:val="18"/>
              </w:rPr>
            </w:pPr>
            <w:r w:rsidRPr="00C51010">
              <w:rPr>
                <w:rFonts w:ascii="Calibri" w:hAnsi="Calibri"/>
                <w:sz w:val="18"/>
                <w:szCs w:val="18"/>
              </w:rPr>
              <w:t>15,6</w:t>
            </w:r>
          </w:p>
        </w:tc>
        <w:tc>
          <w:tcPr>
            <w:tcW w:w="448" w:type="pct"/>
          </w:tcPr>
          <w:p w:rsidR="00242C36" w:rsidRPr="00C51010" w:rsidRDefault="00242C36" w:rsidP="00242C36">
            <w:pPr>
              <w:ind w:right="96"/>
              <w:jc w:val="right"/>
              <w:rPr>
                <w:rFonts w:ascii="Calibri" w:hAnsi="Calibri"/>
                <w:sz w:val="18"/>
                <w:szCs w:val="18"/>
              </w:rPr>
            </w:pPr>
            <w:r w:rsidRPr="00C51010">
              <w:rPr>
                <w:rFonts w:ascii="Calibri" w:hAnsi="Calibri"/>
                <w:sz w:val="18"/>
                <w:szCs w:val="18"/>
              </w:rPr>
              <w:t>12,9</w:t>
            </w:r>
          </w:p>
        </w:tc>
        <w:tc>
          <w:tcPr>
            <w:tcW w:w="447" w:type="pct"/>
          </w:tcPr>
          <w:p w:rsidR="00242C36" w:rsidRPr="00C51010" w:rsidRDefault="00242C36" w:rsidP="00242C36">
            <w:pPr>
              <w:ind w:right="96"/>
              <w:jc w:val="right"/>
              <w:rPr>
                <w:rFonts w:ascii="Calibri" w:hAnsi="Calibri"/>
                <w:sz w:val="18"/>
                <w:szCs w:val="18"/>
              </w:rPr>
            </w:pPr>
            <w:r w:rsidRPr="00C51010">
              <w:rPr>
                <w:rFonts w:ascii="Calibri" w:hAnsi="Calibri"/>
                <w:sz w:val="18"/>
                <w:szCs w:val="18"/>
              </w:rPr>
              <w:t>1,7</w:t>
            </w:r>
          </w:p>
        </w:tc>
        <w:tc>
          <w:tcPr>
            <w:tcW w:w="446" w:type="pct"/>
          </w:tcPr>
          <w:p w:rsidR="00242C36" w:rsidRPr="00C51010" w:rsidRDefault="00242C36" w:rsidP="00242C36">
            <w:pPr>
              <w:ind w:right="96"/>
              <w:jc w:val="right"/>
              <w:rPr>
                <w:rFonts w:ascii="Calibri" w:hAnsi="Calibri"/>
                <w:sz w:val="18"/>
                <w:szCs w:val="18"/>
              </w:rPr>
            </w:pPr>
            <w:r w:rsidRPr="00C51010">
              <w:rPr>
                <w:rFonts w:ascii="Calibri" w:hAnsi="Calibri"/>
                <w:sz w:val="18"/>
                <w:szCs w:val="18"/>
              </w:rPr>
              <w:t>11,2</w:t>
            </w:r>
          </w:p>
        </w:tc>
      </w:tr>
      <w:tr w:rsidR="00242C36" w:rsidRPr="00C51010" w:rsidTr="00242C36">
        <w:trPr>
          <w:trHeight w:val="227"/>
        </w:trPr>
        <w:tc>
          <w:tcPr>
            <w:tcW w:w="707" w:type="pct"/>
            <w:tcMar>
              <w:top w:w="15" w:type="dxa"/>
              <w:left w:w="15" w:type="dxa"/>
              <w:bottom w:w="0" w:type="dxa"/>
              <w:right w:w="15" w:type="dxa"/>
            </w:tcMar>
          </w:tcPr>
          <w:p w:rsidR="00242C36" w:rsidRPr="00C51010" w:rsidRDefault="00242C36" w:rsidP="00242C36">
            <w:pPr>
              <w:spacing w:line="227" w:lineRule="atLeast"/>
              <w:jc w:val="center"/>
              <w:rPr>
                <w:rFonts w:ascii="Calibri" w:hAnsi="Calibri"/>
                <w:b/>
                <w:sz w:val="18"/>
                <w:szCs w:val="18"/>
              </w:rPr>
            </w:pPr>
            <w:r w:rsidRPr="00C51010">
              <w:rPr>
                <w:rFonts w:ascii="Calibri" w:hAnsi="Calibri"/>
                <w:b/>
                <w:sz w:val="18"/>
                <w:szCs w:val="18"/>
              </w:rPr>
              <w:t>Spolu</w:t>
            </w:r>
          </w:p>
        </w:tc>
        <w:tc>
          <w:tcPr>
            <w:tcW w:w="219" w:type="pct"/>
            <w:tcMar>
              <w:top w:w="15" w:type="dxa"/>
              <w:left w:w="15" w:type="dxa"/>
              <w:bottom w:w="0" w:type="dxa"/>
              <w:right w:w="15" w:type="dxa"/>
            </w:tcMar>
            <w:vAlign w:val="center"/>
          </w:tcPr>
          <w:p w:rsidR="00242C36" w:rsidRPr="00C51010" w:rsidRDefault="00242C36" w:rsidP="00242C36">
            <w:pPr>
              <w:ind w:right="96"/>
              <w:jc w:val="center"/>
              <w:rPr>
                <w:rFonts w:ascii="Calibri" w:hAnsi="Calibri"/>
                <w:b/>
                <w:sz w:val="18"/>
                <w:szCs w:val="18"/>
              </w:rPr>
            </w:pPr>
            <w:r w:rsidRPr="00C51010">
              <w:rPr>
                <w:rFonts w:ascii="Calibri" w:hAnsi="Calibri"/>
                <w:b/>
                <w:sz w:val="18"/>
                <w:szCs w:val="18"/>
              </w:rPr>
              <w:t>tis</w:t>
            </w:r>
          </w:p>
        </w:tc>
        <w:tc>
          <w:tcPr>
            <w:tcW w:w="456" w:type="pct"/>
            <w:tcMar>
              <w:top w:w="15" w:type="dxa"/>
              <w:left w:w="15" w:type="dxa"/>
              <w:bottom w:w="0" w:type="dxa"/>
              <w:right w:w="15" w:type="dxa"/>
            </w:tcMar>
            <w:vAlign w:val="center"/>
          </w:tcPr>
          <w:p w:rsidR="00242C36" w:rsidRPr="00C51010" w:rsidRDefault="00242C36" w:rsidP="00242C36">
            <w:pPr>
              <w:ind w:right="96"/>
              <w:jc w:val="right"/>
              <w:rPr>
                <w:rFonts w:ascii="Calibri" w:hAnsi="Calibri"/>
                <w:b/>
                <w:sz w:val="18"/>
                <w:szCs w:val="18"/>
              </w:rPr>
            </w:pPr>
            <w:r w:rsidRPr="00C51010">
              <w:rPr>
                <w:rFonts w:ascii="Calibri" w:hAnsi="Calibri"/>
                <w:b/>
                <w:sz w:val="18"/>
                <w:szCs w:val="18"/>
              </w:rPr>
              <w:t>10,1</w:t>
            </w:r>
          </w:p>
        </w:tc>
        <w:tc>
          <w:tcPr>
            <w:tcW w:w="456" w:type="pct"/>
            <w:tcMar>
              <w:top w:w="15" w:type="dxa"/>
              <w:left w:w="15" w:type="dxa"/>
              <w:bottom w:w="0" w:type="dxa"/>
              <w:right w:w="15" w:type="dxa"/>
            </w:tcMar>
            <w:vAlign w:val="center"/>
          </w:tcPr>
          <w:p w:rsidR="00242C36" w:rsidRPr="00C51010" w:rsidRDefault="00242C36" w:rsidP="00242C36">
            <w:pPr>
              <w:ind w:right="96"/>
              <w:jc w:val="right"/>
              <w:rPr>
                <w:rFonts w:ascii="Calibri" w:hAnsi="Calibri"/>
                <w:b/>
                <w:sz w:val="18"/>
                <w:szCs w:val="18"/>
              </w:rPr>
            </w:pPr>
            <w:r w:rsidRPr="00C51010">
              <w:rPr>
                <w:rFonts w:ascii="Calibri" w:hAnsi="Calibri"/>
                <w:b/>
                <w:sz w:val="18"/>
                <w:szCs w:val="18"/>
              </w:rPr>
              <w:t>2,0</w:t>
            </w:r>
          </w:p>
        </w:tc>
        <w:tc>
          <w:tcPr>
            <w:tcW w:w="456" w:type="pct"/>
            <w:tcMar>
              <w:top w:w="15" w:type="dxa"/>
              <w:left w:w="15" w:type="dxa"/>
              <w:bottom w:w="0" w:type="dxa"/>
              <w:right w:w="15" w:type="dxa"/>
            </w:tcMar>
            <w:vAlign w:val="center"/>
          </w:tcPr>
          <w:p w:rsidR="00242C36" w:rsidRPr="00C51010" w:rsidRDefault="00242C36" w:rsidP="00242C36">
            <w:pPr>
              <w:ind w:right="96"/>
              <w:jc w:val="right"/>
              <w:rPr>
                <w:rFonts w:ascii="Calibri" w:hAnsi="Calibri"/>
                <w:b/>
                <w:sz w:val="18"/>
                <w:szCs w:val="18"/>
              </w:rPr>
            </w:pPr>
            <w:r w:rsidRPr="00C51010">
              <w:rPr>
                <w:rFonts w:ascii="Calibri" w:hAnsi="Calibri"/>
                <w:b/>
                <w:sz w:val="18"/>
                <w:szCs w:val="18"/>
              </w:rPr>
              <w:t>8,1</w:t>
            </w:r>
          </w:p>
        </w:tc>
        <w:tc>
          <w:tcPr>
            <w:tcW w:w="456" w:type="pct"/>
            <w:vAlign w:val="center"/>
          </w:tcPr>
          <w:p w:rsidR="00242C36" w:rsidRPr="00C51010" w:rsidRDefault="00242C36" w:rsidP="00242C36">
            <w:pPr>
              <w:ind w:right="96"/>
              <w:jc w:val="right"/>
              <w:rPr>
                <w:rFonts w:ascii="Calibri" w:hAnsi="Calibri"/>
                <w:b/>
                <w:sz w:val="18"/>
                <w:szCs w:val="18"/>
              </w:rPr>
            </w:pPr>
            <w:r w:rsidRPr="00C51010">
              <w:rPr>
                <w:rFonts w:ascii="Calibri" w:hAnsi="Calibri"/>
                <w:b/>
                <w:sz w:val="18"/>
                <w:szCs w:val="18"/>
              </w:rPr>
              <w:t>10,0</w:t>
            </w:r>
          </w:p>
        </w:tc>
        <w:tc>
          <w:tcPr>
            <w:tcW w:w="456" w:type="pct"/>
            <w:vAlign w:val="center"/>
          </w:tcPr>
          <w:p w:rsidR="00242C36" w:rsidRPr="00C51010" w:rsidRDefault="00242C36" w:rsidP="00242C36">
            <w:pPr>
              <w:ind w:right="96"/>
              <w:jc w:val="right"/>
              <w:rPr>
                <w:rFonts w:ascii="Calibri" w:hAnsi="Calibri"/>
                <w:b/>
                <w:sz w:val="18"/>
                <w:szCs w:val="18"/>
              </w:rPr>
            </w:pPr>
            <w:r w:rsidRPr="00C51010">
              <w:rPr>
                <w:rFonts w:ascii="Calibri" w:hAnsi="Calibri"/>
                <w:b/>
                <w:sz w:val="18"/>
                <w:szCs w:val="18"/>
              </w:rPr>
              <w:t>1,0</w:t>
            </w:r>
          </w:p>
        </w:tc>
        <w:tc>
          <w:tcPr>
            <w:tcW w:w="453" w:type="pct"/>
            <w:vAlign w:val="center"/>
          </w:tcPr>
          <w:p w:rsidR="00242C36" w:rsidRPr="00C51010" w:rsidRDefault="00242C36" w:rsidP="00242C36">
            <w:pPr>
              <w:ind w:right="96"/>
              <w:jc w:val="right"/>
              <w:rPr>
                <w:rFonts w:ascii="Calibri" w:hAnsi="Calibri"/>
                <w:b/>
                <w:sz w:val="18"/>
                <w:szCs w:val="18"/>
              </w:rPr>
            </w:pPr>
            <w:r w:rsidRPr="00C51010">
              <w:rPr>
                <w:rFonts w:ascii="Calibri" w:hAnsi="Calibri"/>
                <w:b/>
                <w:sz w:val="18"/>
                <w:szCs w:val="18"/>
              </w:rPr>
              <w:t>9,0</w:t>
            </w:r>
          </w:p>
        </w:tc>
        <w:tc>
          <w:tcPr>
            <w:tcW w:w="448" w:type="pct"/>
          </w:tcPr>
          <w:p w:rsidR="00242C36" w:rsidRPr="00C51010" w:rsidRDefault="00242C36" w:rsidP="00242C36">
            <w:pPr>
              <w:ind w:right="96"/>
              <w:jc w:val="right"/>
              <w:rPr>
                <w:rFonts w:ascii="Calibri" w:hAnsi="Calibri"/>
                <w:b/>
                <w:sz w:val="18"/>
                <w:szCs w:val="18"/>
              </w:rPr>
            </w:pPr>
            <w:r w:rsidRPr="00C51010">
              <w:rPr>
                <w:rFonts w:ascii="Calibri" w:hAnsi="Calibri"/>
                <w:b/>
                <w:sz w:val="18"/>
                <w:szCs w:val="18"/>
              </w:rPr>
              <w:t>11,6</w:t>
            </w:r>
          </w:p>
        </w:tc>
        <w:tc>
          <w:tcPr>
            <w:tcW w:w="447" w:type="pct"/>
          </w:tcPr>
          <w:p w:rsidR="00242C36" w:rsidRPr="00C51010" w:rsidRDefault="00242C36" w:rsidP="00242C36">
            <w:pPr>
              <w:ind w:right="96"/>
              <w:jc w:val="right"/>
              <w:rPr>
                <w:rFonts w:ascii="Calibri" w:hAnsi="Calibri"/>
                <w:b/>
                <w:sz w:val="18"/>
                <w:szCs w:val="18"/>
              </w:rPr>
            </w:pPr>
            <w:r w:rsidRPr="00C51010">
              <w:rPr>
                <w:rFonts w:ascii="Calibri" w:hAnsi="Calibri"/>
                <w:b/>
                <w:sz w:val="18"/>
                <w:szCs w:val="18"/>
              </w:rPr>
              <w:t>2,9</w:t>
            </w:r>
          </w:p>
        </w:tc>
        <w:tc>
          <w:tcPr>
            <w:tcW w:w="446" w:type="pct"/>
          </w:tcPr>
          <w:p w:rsidR="00242C36" w:rsidRPr="00C51010" w:rsidRDefault="00242C36" w:rsidP="00242C36">
            <w:pPr>
              <w:ind w:right="96"/>
              <w:jc w:val="right"/>
              <w:rPr>
                <w:rFonts w:ascii="Calibri" w:hAnsi="Calibri"/>
                <w:b/>
                <w:sz w:val="18"/>
                <w:szCs w:val="18"/>
              </w:rPr>
            </w:pPr>
            <w:r w:rsidRPr="00C51010">
              <w:rPr>
                <w:rFonts w:ascii="Calibri" w:hAnsi="Calibri"/>
                <w:b/>
                <w:sz w:val="18"/>
                <w:szCs w:val="18"/>
              </w:rPr>
              <w:t>8,7</w:t>
            </w:r>
          </w:p>
        </w:tc>
      </w:tr>
    </w:tbl>
    <w:p w:rsidR="00242C36" w:rsidRPr="00E43137" w:rsidRDefault="00242C36" w:rsidP="00242C36">
      <w:pPr>
        <w:shd w:val="clear" w:color="auto" w:fill="FFFFFF"/>
        <w:rPr>
          <w:rFonts w:ascii="Calibri" w:hAnsi="Calibri"/>
          <w:sz w:val="20"/>
          <w:szCs w:val="22"/>
        </w:rPr>
      </w:pPr>
      <w:r w:rsidRPr="00C51010">
        <w:rPr>
          <w:rFonts w:ascii="Calibri" w:hAnsi="Calibri"/>
          <w:iCs/>
          <w:sz w:val="20"/>
          <w:szCs w:val="22"/>
        </w:rPr>
        <w:t xml:space="preserve">Zdroj: ŠÚ SR </w:t>
      </w:r>
      <w:r w:rsidRPr="00C51010">
        <w:rPr>
          <w:rFonts w:ascii="Calibri" w:hAnsi="Calibri"/>
          <w:iCs/>
          <w:sz w:val="20"/>
          <w:szCs w:val="22"/>
        </w:rPr>
        <w:tab/>
      </w:r>
      <w:r w:rsidRPr="00C51010">
        <w:rPr>
          <w:rFonts w:ascii="Calibri" w:hAnsi="Calibri"/>
          <w:sz w:val="20"/>
          <w:szCs w:val="22"/>
        </w:rPr>
        <w:t>Vypracoval: NLC – LVÚ Zvolen</w:t>
      </w:r>
    </w:p>
    <w:p w:rsidR="00242C36" w:rsidRPr="00E43137" w:rsidRDefault="00242C36" w:rsidP="00242C36">
      <w:pPr>
        <w:pBdr>
          <w:bar w:val="single" w:sz="6" w:color="808080"/>
        </w:pBdr>
        <w:spacing w:after="120"/>
        <w:rPr>
          <w:rFonts w:ascii="Calibri" w:eastAsia="Calibri" w:hAnsi="Calibri"/>
          <w:szCs w:val="22"/>
          <w:lang w:eastAsia="en-US"/>
        </w:rPr>
      </w:pPr>
    </w:p>
    <w:p w:rsidR="00242C36" w:rsidRDefault="00242C36" w:rsidP="00242C36">
      <w:pPr>
        <w:pBdr>
          <w:bar w:val="single" w:sz="6" w:color="808080"/>
        </w:pBdr>
        <w:rPr>
          <w:rFonts w:ascii="Calibri" w:hAnsi="Calibri"/>
          <w:bCs/>
          <w:kern w:val="32"/>
          <w:szCs w:val="22"/>
          <w:lang w:eastAsia="en-US"/>
        </w:rPr>
      </w:pPr>
      <w:r w:rsidRPr="00E43137">
        <w:rPr>
          <w:rFonts w:ascii="Calibri" w:eastAsia="Calibri" w:hAnsi="Calibri"/>
          <w:szCs w:val="22"/>
          <w:lang w:eastAsia="en-US"/>
        </w:rPr>
        <w:t xml:space="preserve">Priemerná mzda v lesnom hospodárstve v roku 2012 dosiahla úroveň 860 € (zahŕňa hlavne technicko-hospodárskych pracovníkov lesných podnikov, nie je v nej započítaná priemerná mzda zamestnancov dodávateľských firiem – </w:t>
      </w:r>
      <w:r w:rsidRPr="00F57BCD">
        <w:rPr>
          <w:rFonts w:ascii="Calibri" w:eastAsia="Calibri" w:hAnsi="Calibri"/>
          <w:szCs w:val="22"/>
          <w:lang w:eastAsia="en-US"/>
        </w:rPr>
        <w:t>prevažne robotníci). Mzdová parita lesného hospodárstva voči priemeru NH dosiahla 106,8 %.</w:t>
      </w:r>
      <w:r w:rsidRPr="00F57BCD">
        <w:rPr>
          <w:rFonts w:ascii="Calibri" w:hAnsi="Calibri"/>
          <w:bCs/>
          <w:kern w:val="32"/>
          <w:szCs w:val="22"/>
          <w:lang w:eastAsia="en-US"/>
        </w:rPr>
        <w:t xml:space="preserve">Ukazovatele </w:t>
      </w:r>
      <w:r w:rsidRPr="00F57BCD">
        <w:rPr>
          <w:rFonts w:ascii="Calibri" w:eastAsia="Calibri" w:hAnsi="Calibri"/>
          <w:szCs w:val="22"/>
          <w:lang w:eastAsia="en-US"/>
        </w:rPr>
        <w:t>súhrnného ekonomického lesníckeho účtu</w:t>
      </w:r>
      <w:r w:rsidRPr="00F57BCD">
        <w:rPr>
          <w:rFonts w:ascii="Calibri" w:hAnsi="Calibri"/>
          <w:bCs/>
          <w:kern w:val="32"/>
          <w:szCs w:val="22"/>
          <w:lang w:eastAsia="en-US"/>
        </w:rPr>
        <w:t xml:space="preserve"> poukazujú na pretrvávajúcu disparitu cien materiálnych a mzdových vstupov a výstupov lesnej výroby, ktorú sa nedarí v požadovanej miere kompenzovať v cene finálnej produkcie ani hľadaním iných zdrojov financovania LH. Výsledky kapitálového účtu poukazujú stále na nedostatočné zdroje na obnovu investičného majetku, hlavne mechanizačných prostriedkov, ktoré obmedzujú realizáciu nevyhnutných technicko-ekonomických, ale aj ekologických opatrení a následne ovplyvnením nákladovosti výrobného procesu.</w:t>
      </w:r>
    </w:p>
    <w:p w:rsidR="00242C36" w:rsidRDefault="00242C36" w:rsidP="00CE4F5A">
      <w:pPr>
        <w:keepNext/>
        <w:pBdr>
          <w:bar w:val="single" w:sz="6" w:color="808080"/>
        </w:pBdr>
        <w:outlineLvl w:val="0"/>
        <w:rPr>
          <w:rFonts w:ascii="Calibri" w:hAnsi="Calibri"/>
          <w:b/>
          <w:bCs/>
          <w:kern w:val="32"/>
          <w:szCs w:val="22"/>
          <w:u w:val="single"/>
          <w:lang w:eastAsia="en-US"/>
        </w:rPr>
      </w:pPr>
    </w:p>
    <w:p w:rsidR="00E43137" w:rsidRPr="00E43137" w:rsidRDefault="00242C36" w:rsidP="00CE4F5A">
      <w:pPr>
        <w:keepNext/>
        <w:pBdr>
          <w:bar w:val="single" w:sz="6" w:color="808080"/>
        </w:pBdr>
        <w:outlineLvl w:val="0"/>
        <w:rPr>
          <w:rFonts w:ascii="Calibri" w:hAnsi="Calibri"/>
          <w:b/>
          <w:bCs/>
          <w:kern w:val="32"/>
          <w:szCs w:val="22"/>
          <w:u w:val="single"/>
          <w:lang w:eastAsia="en-US"/>
        </w:rPr>
      </w:pPr>
      <w:r>
        <w:rPr>
          <w:rFonts w:ascii="Calibri" w:hAnsi="Calibri"/>
          <w:b/>
          <w:bCs/>
          <w:kern w:val="32"/>
          <w:szCs w:val="22"/>
          <w:u w:val="single"/>
          <w:lang w:eastAsia="en-US"/>
        </w:rPr>
        <w:t xml:space="preserve">4.1.1.5 </w:t>
      </w:r>
      <w:r w:rsidRPr="00E43137">
        <w:rPr>
          <w:rFonts w:ascii="Calibri" w:hAnsi="Calibri"/>
          <w:b/>
          <w:bCs/>
          <w:kern w:val="32"/>
          <w:szCs w:val="22"/>
          <w:u w:val="single"/>
          <w:lang w:eastAsia="en-US"/>
        </w:rPr>
        <w:t>SITUÁCIA V ŽIVOTNOM PROSTREDÍ VO VÄZBE NA PÔDOHOSPODÁRSTVO</w:t>
      </w:r>
    </w:p>
    <w:p w:rsidR="00242C36" w:rsidRPr="00BD4BA8" w:rsidRDefault="00242C36" w:rsidP="00242C36">
      <w:pPr>
        <w:keepNext/>
        <w:keepLines/>
        <w:pBdr>
          <w:bar w:val="single" w:sz="6" w:color="808080"/>
        </w:pBdr>
        <w:outlineLvl w:val="1"/>
        <w:rPr>
          <w:rFonts w:cs="Tahoma"/>
          <w:szCs w:val="22"/>
        </w:rPr>
      </w:pPr>
      <w:r w:rsidRPr="00BD4BA8">
        <w:rPr>
          <w:rStyle w:val="Siln"/>
          <w:rFonts w:cs="Tahoma"/>
          <w:szCs w:val="22"/>
        </w:rPr>
        <w:t>Životné prostredie</w:t>
      </w:r>
      <w:r w:rsidRPr="00BD4BA8">
        <w:rPr>
          <w:rFonts w:cs="Tahoma"/>
          <w:szCs w:val="22"/>
        </w:rPr>
        <w:t xml:space="preserve"> vytvára prirodzené podmienky existencie organizmov, vrátane človeka a </w:t>
      </w:r>
      <w:r>
        <w:rPr>
          <w:rFonts w:cs="Tahoma"/>
          <w:szCs w:val="22"/>
        </w:rPr>
        <w:t>dáva</w:t>
      </w:r>
      <w:r w:rsidRPr="00BD4BA8">
        <w:rPr>
          <w:rFonts w:cs="Tahoma"/>
          <w:szCs w:val="22"/>
        </w:rPr>
        <w:t xml:space="preserve"> predpoklad </w:t>
      </w:r>
      <w:r>
        <w:rPr>
          <w:rFonts w:cs="Tahoma"/>
          <w:szCs w:val="22"/>
        </w:rPr>
        <w:t>pre ich</w:t>
      </w:r>
      <w:r w:rsidRPr="00BD4BA8">
        <w:rPr>
          <w:rFonts w:cs="Tahoma"/>
          <w:szCs w:val="22"/>
        </w:rPr>
        <w:t xml:space="preserve"> </w:t>
      </w:r>
      <w:r w:rsidR="00F37247" w:rsidRPr="00BD4BA8">
        <w:rPr>
          <w:rFonts w:cs="Tahoma"/>
          <w:szCs w:val="22"/>
        </w:rPr>
        <w:t>ďalší</w:t>
      </w:r>
      <w:r w:rsidRPr="00BD4BA8">
        <w:rPr>
          <w:rFonts w:cs="Tahoma"/>
          <w:szCs w:val="22"/>
        </w:rPr>
        <w:t xml:space="preserve"> vývoj. Jeho zložkami sú najmä </w:t>
      </w:r>
      <w:r w:rsidRPr="00BD4BA8">
        <w:rPr>
          <w:rStyle w:val="Siln"/>
          <w:rFonts w:cs="Tahoma"/>
          <w:szCs w:val="22"/>
        </w:rPr>
        <w:t>ovzdušie</w:t>
      </w:r>
      <w:r w:rsidRPr="00BD4BA8">
        <w:rPr>
          <w:rFonts w:cs="Tahoma"/>
          <w:szCs w:val="22"/>
        </w:rPr>
        <w:t xml:space="preserve">, </w:t>
      </w:r>
      <w:r w:rsidRPr="00BD4BA8">
        <w:rPr>
          <w:rStyle w:val="Siln"/>
          <w:rFonts w:cs="Tahoma"/>
          <w:szCs w:val="22"/>
        </w:rPr>
        <w:t>voda, horniny, pôda a organizmy.</w:t>
      </w:r>
      <w:r w:rsidRPr="00BD4BA8">
        <w:rPr>
          <w:rFonts w:cs="Tahoma"/>
          <w:szCs w:val="22"/>
        </w:rPr>
        <w:t xml:space="preserve"> </w:t>
      </w:r>
    </w:p>
    <w:p w:rsidR="00242C36" w:rsidRDefault="00242C36" w:rsidP="00242C36">
      <w:pPr>
        <w:rPr>
          <w:b/>
          <w:szCs w:val="22"/>
        </w:rPr>
      </w:pPr>
    </w:p>
    <w:p w:rsidR="00242C36" w:rsidRDefault="00242C36" w:rsidP="00242C36">
      <w:pPr>
        <w:rPr>
          <w:b/>
          <w:szCs w:val="22"/>
        </w:rPr>
      </w:pPr>
      <w:r>
        <w:rPr>
          <w:b/>
          <w:szCs w:val="22"/>
        </w:rPr>
        <w:t xml:space="preserve">Charakteristika hlavných zložiek životného prostredia v SR </w:t>
      </w:r>
    </w:p>
    <w:p w:rsidR="00242C36" w:rsidRDefault="00242C36" w:rsidP="00242C36">
      <w:pPr>
        <w:rPr>
          <w:rFonts w:cs="Tahoma"/>
          <w:szCs w:val="22"/>
        </w:rPr>
      </w:pPr>
      <w:r w:rsidRPr="00C113CD">
        <w:rPr>
          <w:szCs w:val="22"/>
        </w:rPr>
        <w:t>(</w:t>
      </w:r>
      <w:r>
        <w:rPr>
          <w:szCs w:val="22"/>
        </w:rPr>
        <w:t xml:space="preserve">podľa </w:t>
      </w:r>
      <w:r w:rsidRPr="00BD4BA8">
        <w:rPr>
          <w:rFonts w:cs="Tahoma"/>
          <w:szCs w:val="22"/>
        </w:rPr>
        <w:t>Správ</w:t>
      </w:r>
      <w:r>
        <w:rPr>
          <w:rFonts w:cs="Tahoma"/>
          <w:szCs w:val="22"/>
        </w:rPr>
        <w:t>y</w:t>
      </w:r>
      <w:r w:rsidRPr="00BD4BA8">
        <w:rPr>
          <w:rFonts w:cs="Tahoma"/>
          <w:szCs w:val="22"/>
        </w:rPr>
        <w:t xml:space="preserve"> o stave životného prostredia SR v r. 2012, MŽP SR, SAŽP)</w:t>
      </w:r>
    </w:p>
    <w:p w:rsidR="00E32F57" w:rsidRDefault="00E32F57" w:rsidP="00242C36">
      <w:pPr>
        <w:rPr>
          <w:b/>
          <w:szCs w:val="22"/>
        </w:rPr>
      </w:pPr>
    </w:p>
    <w:p w:rsidR="00242C36" w:rsidRPr="00BD4BA8" w:rsidRDefault="00242C36" w:rsidP="00242C36">
      <w:pPr>
        <w:rPr>
          <w:b/>
          <w:szCs w:val="22"/>
        </w:rPr>
      </w:pPr>
      <w:r w:rsidRPr="00BD4BA8">
        <w:rPr>
          <w:b/>
          <w:szCs w:val="22"/>
        </w:rPr>
        <w:t>Ovzdušie</w:t>
      </w:r>
    </w:p>
    <w:p w:rsidR="00242C36" w:rsidRPr="00BD4BA8" w:rsidRDefault="00242C36" w:rsidP="00242C36">
      <w:pPr>
        <w:rPr>
          <w:szCs w:val="22"/>
        </w:rPr>
      </w:pPr>
      <w:r w:rsidRPr="00BD4BA8">
        <w:rPr>
          <w:szCs w:val="22"/>
        </w:rPr>
        <w:t>Emisie základných znečisťujúcich látok (tuhé znečisťujúce látky (TZL), SO</w:t>
      </w:r>
      <w:r w:rsidRPr="00BD4BA8">
        <w:rPr>
          <w:szCs w:val="22"/>
          <w:vertAlign w:val="subscript"/>
        </w:rPr>
        <w:t>2</w:t>
      </w:r>
      <w:r w:rsidRPr="00BD4BA8">
        <w:rPr>
          <w:szCs w:val="22"/>
        </w:rPr>
        <w:t>, NO</w:t>
      </w:r>
      <w:r w:rsidRPr="00BD4BA8">
        <w:rPr>
          <w:szCs w:val="22"/>
          <w:vertAlign w:val="subscript"/>
        </w:rPr>
        <w:t>X</w:t>
      </w:r>
      <w:r w:rsidRPr="00BD4BA8">
        <w:rPr>
          <w:szCs w:val="22"/>
        </w:rPr>
        <w:t>, CO) v dlhodobom horizonte (1993-2011) poklesli, avšak rýchlosť poklesu sa po roku 2000 výrazne spomalila. Pretrváva dlhodobý trend poklesu emisií amoniaku.</w:t>
      </w:r>
    </w:p>
    <w:p w:rsidR="00242C36" w:rsidRPr="00BD4BA8" w:rsidRDefault="00242C36" w:rsidP="00242C36">
      <w:pPr>
        <w:rPr>
          <w:szCs w:val="22"/>
        </w:rPr>
      </w:pPr>
      <w:r w:rsidRPr="00BD4BA8">
        <w:rPr>
          <w:szCs w:val="22"/>
        </w:rPr>
        <w:t xml:space="preserve">Emisie nemetánových prchavých organických látok (NMVOC) v dlhodobom horizonte (1993 - 2000) trvalo klesali. Po roku 2000 nastal mierny nárast emisií, následne sa ich objem udržuje zhruba na rovnakej úrovni s miernymi výkyvmi v jednotlivých rokoch. V období 1993 - 2000 takisto poklesli aj emisie perzistentných organických látok (POPs). Porovnaním rokov 2000 a 2012 došlo k poklesu emisií PCDD/PCDF a k nárastu emisií PCB a  PAH. </w:t>
      </w:r>
    </w:p>
    <w:p w:rsidR="00242C36" w:rsidRPr="00BD4BA8" w:rsidRDefault="00242C36" w:rsidP="00DA395B">
      <w:pPr>
        <w:pBdr>
          <w:bar w:val="single" w:sz="6" w:color="808080"/>
        </w:pBdr>
        <w:spacing w:after="120"/>
        <w:rPr>
          <w:szCs w:val="22"/>
        </w:rPr>
      </w:pPr>
      <w:r w:rsidRPr="00BD4BA8">
        <w:rPr>
          <w:szCs w:val="22"/>
        </w:rPr>
        <w:t>Masívne zníženie národných emisií prekurzorov ozónu za posledné roky neprinieslo zníženie koncentrácií prízemného ozónu na území Slovenska. Niektoré charakteristiky koncentrácií prízemného ozónu v roku 2012 zotrvali na relatívne vysokej úrovni z predchádzajúcich rokov. Celkový atmosférický ozón bol pod dlhodobým priemerom s odchýlkou 5,4 % pod týmto priemerom, poklesla celková suma denných dávok ultrafialového erytémového žiarenia.</w:t>
      </w:r>
    </w:p>
    <w:p w:rsidR="00242C36" w:rsidRPr="00BD4BA8" w:rsidRDefault="00242C36" w:rsidP="00242C36">
      <w:pPr>
        <w:rPr>
          <w:szCs w:val="22"/>
        </w:rPr>
      </w:pPr>
    </w:p>
    <w:p w:rsidR="00242C36" w:rsidRPr="00BD4BA8" w:rsidRDefault="00242C36" w:rsidP="00242C36">
      <w:pPr>
        <w:rPr>
          <w:b/>
          <w:szCs w:val="22"/>
        </w:rPr>
      </w:pPr>
      <w:r w:rsidRPr="00BD4BA8">
        <w:rPr>
          <w:b/>
          <w:szCs w:val="22"/>
        </w:rPr>
        <w:t>Voda</w:t>
      </w:r>
    </w:p>
    <w:p w:rsidR="00242C36" w:rsidRPr="00BD4BA8" w:rsidRDefault="00242C36" w:rsidP="00242C36">
      <w:pPr>
        <w:rPr>
          <w:szCs w:val="22"/>
        </w:rPr>
      </w:pPr>
      <w:r w:rsidRPr="00BD4BA8">
        <w:rPr>
          <w:szCs w:val="22"/>
        </w:rPr>
        <w:t>Odbery povrchovej vody po roku 1995 zaznamenali významný pokles. V roku 2012 odbery predstavovali 59,7 % z odberov v roku 1995. Odbery podzemných vôd tiež zaznamenali po roku 1995 pokles, ale od roku 2000 majú vyrovnaný charakter s minimálnymi nárastmi a poklesmi. V roku 2012 odbery predstavovali 41,6 % z odberov v roku 1995. Od roku 1994 zaznamenal objem vypúšťaných odpadových vôd do povrchových vôd klesajúci trend. V roku 2012 klesla produkcia odpadových vôd oproti roku 1994 o 47,2 %. Kvalita povrchových vôd v roku 2012 vo všetkých monitorovaných miestach splnila limity pre vybrané všeobecné ukazovatele a ukazovatele rádioaktivity. Prekračované limity boli hlavne pre syntetické a nesyntetické látky, hydrobiologické a mikrobiologické ukazovatele a dusitanový dusík. Monitorovanie chemického stavu podzemných vôd v roku 2012 prebiehalo v rámci základného monitorovania (171 objektov) a prevádzkového monitorovania (295 objektov).</w:t>
      </w:r>
      <w:r w:rsidRPr="00BD4BA8">
        <w:rPr>
          <w:szCs w:val="22"/>
        </w:rPr>
        <w:lastRenderedPageBreak/>
        <w:t xml:space="preserve"> U oboch typov monitorovania boli zaznamenané prekročenia stanovených limitov znečistenia. Kvalita pitnej vody v SR dlhodobo vykazuje vysokú úroveň. V roku 2012 podiel analýz pitnej vody vyhovujúcich limitom dosiahol hodnotu 99,67 %. Počet obyvateľov zásobovaných vodou z verejných vodovodov v roku 2012 dosiahol 87,0 %. Touto hodnotou SR zaostáva za susednými štátmi. Napojenie obyvateľstva na verejné kanalizácie výrazne zaostáva za vodovodmi. V roku 1993 bolo napojených na verejné kanalizácie 51,5 % obyvateľov a v roku 2012 to bolo 62,4 %. Táto úroveň je porovnateľná s Maďarskom a Poľskom, ale výrazne nižšia ako v Česku a Rakúsku.</w:t>
      </w:r>
    </w:p>
    <w:p w:rsidR="00242C36" w:rsidRDefault="00242C36" w:rsidP="00242C36">
      <w:pPr>
        <w:rPr>
          <w:b/>
          <w:szCs w:val="22"/>
        </w:rPr>
      </w:pPr>
    </w:p>
    <w:p w:rsidR="00242C36" w:rsidRPr="00BD4BA8" w:rsidRDefault="00242C36" w:rsidP="00242C36">
      <w:pPr>
        <w:rPr>
          <w:szCs w:val="22"/>
        </w:rPr>
      </w:pPr>
      <w:r w:rsidRPr="00BD4BA8">
        <w:rPr>
          <w:b/>
          <w:szCs w:val="22"/>
        </w:rPr>
        <w:t>Pôda</w:t>
      </w:r>
    </w:p>
    <w:p w:rsidR="00242C36" w:rsidRPr="00BD4BA8" w:rsidRDefault="00242C36" w:rsidP="00242C36">
      <w:pPr>
        <w:rPr>
          <w:szCs w:val="22"/>
        </w:rPr>
      </w:pPr>
      <w:r w:rsidRPr="00BD4BA8">
        <w:rPr>
          <w:szCs w:val="22"/>
        </w:rPr>
        <w:t xml:space="preserve">Koncentrácie rizikových prvkov v poľnohospodárskych pôdach Slovenska sú prevažne podlimitné. Zaznamenaný bol len zvýšený obsah kadmia a olova v niektorých fluvizemiach, najmä na dolných tokoch riek. V súčasnosti, v dôsledku klimatických zmien a intenzívnych zmien vo využívaní pôdy sa zásoba organického uhlíka v pôdach (POC) pomerne rýchlo mení. Priemerné hodnoty obsahu organického uhlíka v orničnom horizonte orných pôd (OP) rovnakých pôdnych typov sú podstatne nižšie ako na trvalých trávnych porastoch (TTP), čo je výsledkom dlhodobého intenzívneho obrábania OP. Najvyššou hodnotou POC disponujú čiernice a najnižšou pseudogleje a hnedozeme. </w:t>
      </w:r>
    </w:p>
    <w:p w:rsidR="00242C36" w:rsidRPr="00BD4BA8" w:rsidRDefault="00242C36" w:rsidP="00242C36">
      <w:pPr>
        <w:rPr>
          <w:szCs w:val="22"/>
        </w:rPr>
      </w:pPr>
    </w:p>
    <w:p w:rsidR="00242C36" w:rsidRPr="00BD4BA8" w:rsidRDefault="00242C36" w:rsidP="00242C36">
      <w:pPr>
        <w:rPr>
          <w:b/>
          <w:szCs w:val="22"/>
        </w:rPr>
      </w:pPr>
      <w:r w:rsidRPr="00BD4BA8">
        <w:rPr>
          <w:b/>
          <w:szCs w:val="22"/>
        </w:rPr>
        <w:t>Biodiverzita</w:t>
      </w:r>
    </w:p>
    <w:p w:rsidR="00242C36" w:rsidRPr="00BD4BA8" w:rsidRDefault="00242C36" w:rsidP="00242C36">
      <w:pPr>
        <w:rPr>
          <w:szCs w:val="22"/>
        </w:rPr>
      </w:pPr>
      <w:r w:rsidRPr="00BD4BA8">
        <w:rPr>
          <w:szCs w:val="22"/>
        </w:rPr>
        <w:t xml:space="preserve">V roku 2001 bol vydaný dodnes platný červený zoznam rastlín, podľa ktorého je v rôznych kategóriách ohrozenosti 3 057 taxónov rastlín, t.j. celkovo 24,2 %. Z toho ohrozenosť nižších rastlín predstavuje 17,6 % a ohrozenosť vyšších rastlín činí 42,6 %. </w:t>
      </w:r>
    </w:p>
    <w:p w:rsidR="00242C36" w:rsidRPr="00BD4BA8" w:rsidRDefault="00242C36" w:rsidP="00242C36">
      <w:pPr>
        <w:rPr>
          <w:szCs w:val="22"/>
        </w:rPr>
      </w:pPr>
      <w:r w:rsidRPr="00BD4BA8">
        <w:rPr>
          <w:szCs w:val="22"/>
        </w:rPr>
        <w:t>Z voľne žijúcich živočíchov je ohrozených 2 058 druhov bezstavovcov (8,5 %) a 257 druhov stavovcov (60,9 %). V roku 2012 sa začala príprava červených zoznamov ohrozených biotopov, druhov rastlín a živočíchov v celom karpatskom regióne.</w:t>
      </w:r>
    </w:p>
    <w:p w:rsidR="00242C36" w:rsidRPr="00BD4BA8" w:rsidRDefault="00242C36" w:rsidP="00242C36">
      <w:pPr>
        <w:rPr>
          <w:szCs w:val="22"/>
        </w:rPr>
      </w:pPr>
      <w:r w:rsidRPr="00BD4BA8">
        <w:rPr>
          <w:szCs w:val="22"/>
        </w:rPr>
        <w:t>V súčasnosti je na území SR spolu 1 128 chránených území národnej sústavy s rozlohou 1 142 151 ha, čo tvorí  23,3 % rozlohy SR. V roku 2012 sa stav vo „veľkoplošných“ CHÚ nezmenil, pri tzv. „maloplošných“ CHÚ došlo celkovo k nárastu o 14 území (t.j. o 3 578 ha, resp. 0,07 % z rozlohy SR).</w:t>
      </w:r>
    </w:p>
    <w:p w:rsidR="00242C36" w:rsidRPr="00A80237" w:rsidRDefault="00242C36" w:rsidP="00242C36">
      <w:pPr>
        <w:keepNext/>
        <w:pBdr>
          <w:bar w:val="single" w:sz="6" w:color="808080"/>
        </w:pBdr>
        <w:spacing w:after="60"/>
        <w:outlineLvl w:val="0"/>
        <w:rPr>
          <w:rFonts w:ascii="Calibri" w:hAnsi="Calibri"/>
          <w:i/>
          <w:szCs w:val="22"/>
        </w:rPr>
      </w:pPr>
      <w:r w:rsidRPr="00A80237">
        <w:rPr>
          <w:rFonts w:ascii="Calibri" w:hAnsi="Calibri"/>
          <w:b/>
          <w:bCs/>
          <w:kern w:val="32"/>
          <w:szCs w:val="22"/>
          <w:lang w:eastAsia="en-US"/>
        </w:rPr>
        <w:t>S</w:t>
      </w:r>
      <w:r w:rsidRPr="00A80237">
        <w:rPr>
          <w:rFonts w:ascii="Calibri" w:hAnsi="Calibri"/>
          <w:b/>
          <w:szCs w:val="22"/>
        </w:rPr>
        <w:t>poločné kontextuálne ukazovatele 31-45</w:t>
      </w:r>
      <w:r w:rsidRPr="00A80237">
        <w:rPr>
          <w:rFonts w:ascii="Calibri" w:hAnsi="Calibri"/>
          <w:szCs w:val="22"/>
        </w:rPr>
        <w:t xml:space="preserve"> </w:t>
      </w:r>
      <w:r w:rsidRPr="00A80237">
        <w:rPr>
          <w:rFonts w:ascii="Calibri" w:hAnsi="Calibri"/>
          <w:i/>
          <w:szCs w:val="22"/>
        </w:rPr>
        <w:t>(</w:t>
      </w:r>
      <w:r w:rsidRPr="00A80237">
        <w:rPr>
          <w:rFonts w:ascii="Calibri" w:eastAsia="Calibri" w:hAnsi="Calibri"/>
          <w:i/>
          <w:iCs/>
          <w:szCs w:val="22"/>
          <w:lang w:eastAsia="en-US"/>
        </w:rPr>
        <w:t>CCI 2014–2020: Analytická tabuľka, júl 2013 – príloha 1)</w:t>
      </w:r>
    </w:p>
    <w:p w:rsidR="00242C36" w:rsidRDefault="00242C36" w:rsidP="00242C36">
      <w:pPr>
        <w:keepNext/>
        <w:keepLines/>
        <w:pBdr>
          <w:bar w:val="single" w:sz="6" w:color="808080"/>
        </w:pBdr>
        <w:spacing w:after="120"/>
        <w:outlineLvl w:val="1"/>
        <w:rPr>
          <w:rFonts w:ascii="Calibri" w:hAnsi="Calibri"/>
          <w:b/>
          <w:bCs/>
          <w:szCs w:val="22"/>
        </w:rPr>
      </w:pPr>
    </w:p>
    <w:p w:rsidR="00242C36" w:rsidRPr="00E43137" w:rsidRDefault="00242C36" w:rsidP="00242C36">
      <w:pPr>
        <w:keepNext/>
        <w:keepLines/>
        <w:pBdr>
          <w:bar w:val="single" w:sz="6" w:color="808080"/>
        </w:pBdr>
        <w:spacing w:after="120"/>
        <w:outlineLvl w:val="1"/>
        <w:rPr>
          <w:rFonts w:ascii="Calibri" w:hAnsi="Calibri"/>
          <w:b/>
          <w:bCs/>
          <w:szCs w:val="22"/>
        </w:rPr>
      </w:pPr>
      <w:r>
        <w:rPr>
          <w:rFonts w:ascii="Calibri" w:hAnsi="Calibri"/>
          <w:b/>
          <w:bCs/>
          <w:szCs w:val="22"/>
        </w:rPr>
        <w:t>Krajinná pokrývka</w:t>
      </w:r>
    </w:p>
    <w:p w:rsidR="00242C36" w:rsidRPr="00E43137" w:rsidRDefault="00242C36" w:rsidP="00242C36">
      <w:pPr>
        <w:pBdr>
          <w:bar w:val="single" w:sz="6" w:color="808080"/>
        </w:pBdr>
        <w:spacing w:after="120"/>
        <w:rPr>
          <w:rFonts w:ascii="Calibri" w:eastAsia="Calibri" w:hAnsi="Calibri"/>
          <w:szCs w:val="22"/>
          <w:lang w:eastAsia="en-US"/>
        </w:rPr>
      </w:pPr>
      <w:r w:rsidRPr="00E43137">
        <w:rPr>
          <w:rFonts w:ascii="Calibri" w:eastAsia="Calibri" w:hAnsi="Calibri"/>
          <w:szCs w:val="22"/>
          <w:lang w:eastAsia="en-US"/>
        </w:rPr>
        <w:t xml:space="preserve">Podľa údajov </w:t>
      </w:r>
      <w:r>
        <w:rPr>
          <w:rFonts w:ascii="Calibri" w:eastAsia="Calibri" w:hAnsi="Calibri"/>
          <w:szCs w:val="22"/>
          <w:lang w:eastAsia="en-US"/>
        </w:rPr>
        <w:t xml:space="preserve">Corine </w:t>
      </w:r>
      <w:r w:rsidRPr="00E43137">
        <w:rPr>
          <w:rFonts w:ascii="Calibri" w:eastAsia="Calibri" w:hAnsi="Calibri"/>
          <w:szCs w:val="22"/>
          <w:lang w:eastAsia="en-US"/>
        </w:rPr>
        <w:t>Land Cover (2006) je podiel poľnohospodárskej</w:t>
      </w:r>
      <w:r>
        <w:rPr>
          <w:rFonts w:ascii="Calibri" w:eastAsia="Calibri" w:hAnsi="Calibri"/>
          <w:szCs w:val="22"/>
          <w:lang w:eastAsia="en-US"/>
        </w:rPr>
        <w:t xml:space="preserve"> pôdy 48,3 % a lesnej pôdy 40,2 </w:t>
      </w:r>
      <w:r w:rsidRPr="00E43137">
        <w:rPr>
          <w:rFonts w:ascii="Calibri" w:eastAsia="Calibri" w:hAnsi="Calibri"/>
          <w:szCs w:val="22"/>
          <w:lang w:eastAsia="en-US"/>
        </w:rPr>
        <w:t>% z celkovej rozlohy SR</w:t>
      </w:r>
      <w:r>
        <w:rPr>
          <w:rFonts w:ascii="Calibri" w:eastAsia="Calibri" w:hAnsi="Calibri"/>
          <w:szCs w:val="22"/>
          <w:lang w:eastAsia="en-US"/>
        </w:rPr>
        <w:t xml:space="preserve"> (</w:t>
      </w:r>
      <w:r w:rsidRPr="00B75D0F">
        <w:rPr>
          <w:rFonts w:ascii="Calibri" w:eastAsia="Calibri" w:hAnsi="Calibri"/>
          <w:b/>
          <w:szCs w:val="22"/>
          <w:lang w:eastAsia="en-US"/>
        </w:rPr>
        <w:t>CCI 31</w:t>
      </w:r>
      <w:r>
        <w:rPr>
          <w:rFonts w:ascii="Calibri" w:eastAsia="Calibri" w:hAnsi="Calibri"/>
          <w:szCs w:val="22"/>
          <w:lang w:eastAsia="en-US"/>
        </w:rPr>
        <w:t>)</w:t>
      </w:r>
      <w:r w:rsidRPr="00E43137">
        <w:rPr>
          <w:rFonts w:ascii="Calibri" w:eastAsia="Calibri" w:hAnsi="Calibri"/>
          <w:szCs w:val="22"/>
          <w:lang w:eastAsia="en-US"/>
        </w:rPr>
        <w:t>. Orná pôda zaberá 34,21 % z rozlohy SR,  prírodná pôda a prírodné lúky si zachovali zhodne po 0,6 % rozlohy, umelé plochy predstavujú 5,5 %, prechodné zalesnené územia 4,2</w:t>
      </w:r>
      <w:r>
        <w:rPr>
          <w:rFonts w:ascii="Calibri" w:eastAsia="Calibri" w:hAnsi="Calibri"/>
          <w:szCs w:val="22"/>
          <w:lang w:eastAsia="en-US"/>
        </w:rPr>
        <w:t> </w:t>
      </w:r>
      <w:r w:rsidRPr="00E43137">
        <w:rPr>
          <w:rFonts w:ascii="Calibri" w:eastAsia="Calibri" w:hAnsi="Calibri"/>
          <w:szCs w:val="22"/>
          <w:lang w:eastAsia="en-US"/>
        </w:rPr>
        <w:t>% a ostatné plochy 0,6 % rozlohy SR.</w:t>
      </w:r>
      <w:r>
        <w:rPr>
          <w:rFonts w:ascii="Calibri" w:eastAsia="Calibri" w:hAnsi="Calibri"/>
          <w:szCs w:val="22"/>
          <w:lang w:eastAsia="en-US"/>
        </w:rPr>
        <w:t xml:space="preserve"> </w:t>
      </w:r>
    </w:p>
    <w:p w:rsidR="00242C36" w:rsidRPr="009E475F" w:rsidRDefault="00242C36" w:rsidP="00242C36">
      <w:pPr>
        <w:keepNext/>
        <w:keepLines/>
        <w:pBdr>
          <w:bar w:val="single" w:sz="6" w:color="808080"/>
        </w:pBdr>
        <w:spacing w:after="120"/>
        <w:outlineLvl w:val="1"/>
        <w:rPr>
          <w:rFonts w:ascii="Calibri" w:hAnsi="Calibri"/>
          <w:bCs/>
          <w:szCs w:val="22"/>
        </w:rPr>
      </w:pPr>
      <w:r w:rsidRPr="009E475F">
        <w:rPr>
          <w:rFonts w:ascii="Calibri" w:hAnsi="Calibri"/>
          <w:bCs/>
          <w:szCs w:val="22"/>
        </w:rPr>
        <w:t>Podľa údajov ŠÚ SR (Výkaz Poľ. 18-01, 2013, zberové plochy) ladom ležiaca pôda v SR predstavuje</w:t>
      </w:r>
      <w:r>
        <w:rPr>
          <w:rFonts w:ascii="Calibri" w:hAnsi="Calibri"/>
          <w:bCs/>
          <w:szCs w:val="22"/>
        </w:rPr>
        <w:t xml:space="preserve"> v r. 2013 </w:t>
      </w:r>
      <w:r w:rsidRPr="009E475F">
        <w:rPr>
          <w:rFonts w:ascii="Calibri" w:hAnsi="Calibri"/>
          <w:bCs/>
          <w:szCs w:val="22"/>
        </w:rPr>
        <w:t xml:space="preserve"> 0,65% (12 803 ha), nevyužívaná poľnohospodárska pôda 0,92 % (18 008 ha), t. j. spolu 1,57% (30 811 ha) – pôda, ktorá je neobhospodarovaná. (Z celkovej výmery 1</w:t>
      </w:r>
      <w:r>
        <w:rPr>
          <w:rFonts w:ascii="Calibri" w:hAnsi="Calibri"/>
          <w:bCs/>
          <w:szCs w:val="22"/>
        </w:rPr>
        <w:t> </w:t>
      </w:r>
      <w:r w:rsidRPr="009E475F">
        <w:rPr>
          <w:rFonts w:ascii="Calibri" w:hAnsi="Calibri"/>
          <w:bCs/>
          <w:szCs w:val="22"/>
        </w:rPr>
        <w:t>959</w:t>
      </w:r>
      <w:r>
        <w:rPr>
          <w:rFonts w:ascii="Calibri" w:hAnsi="Calibri"/>
          <w:bCs/>
          <w:szCs w:val="22"/>
        </w:rPr>
        <w:t> </w:t>
      </w:r>
      <w:r w:rsidRPr="009E475F">
        <w:rPr>
          <w:rFonts w:ascii="Calibri" w:hAnsi="Calibri"/>
          <w:bCs/>
          <w:szCs w:val="22"/>
        </w:rPr>
        <w:t>642 ha poľnohospodárskej pôdy evidovanej ŠÚ SR ako zberové plochy.)</w:t>
      </w:r>
    </w:p>
    <w:p w:rsidR="00242C36" w:rsidRPr="00E43137" w:rsidRDefault="00242C36" w:rsidP="00242C36">
      <w:pPr>
        <w:keepNext/>
        <w:keepLines/>
        <w:pBdr>
          <w:bar w:val="single" w:sz="6" w:color="808080"/>
        </w:pBdr>
        <w:spacing w:after="120"/>
        <w:outlineLvl w:val="1"/>
        <w:rPr>
          <w:rFonts w:ascii="Calibri" w:hAnsi="Calibri"/>
          <w:b/>
          <w:bCs/>
          <w:szCs w:val="22"/>
        </w:rPr>
      </w:pPr>
      <w:r w:rsidRPr="00E43137">
        <w:rPr>
          <w:rFonts w:ascii="Calibri" w:hAnsi="Calibri"/>
          <w:b/>
          <w:bCs/>
          <w:szCs w:val="22"/>
        </w:rPr>
        <w:t>Územia s prírodnými obmedzeniami (LFA)</w:t>
      </w:r>
    </w:p>
    <w:p w:rsidR="00242C36" w:rsidRPr="00F94617" w:rsidRDefault="00242C36" w:rsidP="00242C36">
      <w:pPr>
        <w:pBdr>
          <w:bar w:val="single" w:sz="6" w:color="808080"/>
        </w:pBdr>
        <w:rPr>
          <w:rFonts w:ascii="Calibri" w:eastAsia="Calibri" w:hAnsi="Calibri"/>
          <w:szCs w:val="22"/>
          <w:lang w:eastAsia="en-US"/>
        </w:rPr>
      </w:pPr>
      <w:r w:rsidRPr="00F94617">
        <w:rPr>
          <w:rFonts w:ascii="Calibri" w:eastAsia="Calibri" w:hAnsi="Calibri"/>
          <w:szCs w:val="22"/>
          <w:lang w:eastAsia="en-US"/>
        </w:rPr>
        <w:t>Slovensko je prevažne hornatá krajina s vysokým podielom málo produkčných pôd a zastúpením pôd, ktoré majú špecifické znevýhodnenia ako zamokrené pôdy, piesčité pôdy alebo skeletnaté pôdy. LFA predstavujú výmeru 1 225 764 ha, t. j. 50 % poľnohospodárskeho pôdneho fondu. Pokračujúca poľnohospodárska činnosť v horších prírodných podmienkach je základným predpokladom udržania osídlenia týchto oblastí s prijateľnými príjmami vidieckeho obyvateľstva v takom rozsahu, aby plnila svoje krajinotvorné, environmentálne a sociálne funkcie pri dodržiavaní stanovených podmienok.</w:t>
      </w:r>
    </w:p>
    <w:p w:rsidR="00242C36" w:rsidRDefault="00242C36" w:rsidP="00242C36">
      <w:pPr>
        <w:spacing w:before="100" w:beforeAutospacing="1" w:after="100" w:afterAutospacing="1"/>
        <w:rPr>
          <w:rFonts w:ascii="Calibri" w:hAnsi="Calibri"/>
          <w:szCs w:val="22"/>
        </w:rPr>
      </w:pPr>
      <w:r w:rsidRPr="00FD5F57">
        <w:rPr>
          <w:rFonts w:ascii="Calibri" w:hAnsi="Calibri"/>
          <w:szCs w:val="22"/>
        </w:rPr>
        <w:t>V r. 2012 boli poskytnuté vyrovnávacie príspevky na 1 168 020 ha, v porovnaní s predchádzajúcim rokom došlo k nárastu výmery podporenej pôdy. Rast podporenej pôdy v znevýhodnených oblastiach bol najvyšší v postupovom období, keď ešte poľnohospodári nedostatočne využívali možnosti</w:t>
      </w:r>
      <w:r w:rsidRPr="00FD5F57">
        <w:rPr>
          <w:rFonts w:ascii="Calibri" w:hAnsi="Calibri"/>
          <w:szCs w:val="22"/>
        </w:rPr>
        <w:lastRenderedPageBreak/>
        <w:t xml:space="preserve"> financovania. Ďalšou príčinou bol nezáujem farmárov s malými plochami pôdy, uplatňovaný systém minimálnej veľkosti jednej parcely.</w:t>
      </w:r>
      <w:r>
        <w:rPr>
          <w:rFonts w:ascii="Calibri" w:hAnsi="Calibri"/>
          <w:szCs w:val="22"/>
        </w:rPr>
        <w:t xml:space="preserve"> </w:t>
      </w:r>
    </w:p>
    <w:p w:rsidR="00242C36" w:rsidRPr="0070041B" w:rsidRDefault="00242C36" w:rsidP="00242C36">
      <w:pPr>
        <w:spacing w:before="100" w:beforeAutospacing="1" w:after="100" w:afterAutospacing="1"/>
        <w:rPr>
          <w:rFonts w:ascii="Calibri" w:hAnsi="Calibri"/>
          <w:szCs w:val="22"/>
          <w:highlight w:val="yellow"/>
        </w:rPr>
      </w:pPr>
      <w:r w:rsidRPr="0070041B">
        <w:rPr>
          <w:rFonts w:ascii="Calibri" w:hAnsi="Calibri"/>
          <w:szCs w:val="22"/>
        </w:rPr>
        <w:t xml:space="preserve">Keďže výmera podporenej plochy rastie a ešte nedosiahla vynegociovanú výmeru LFA, v SR je problém upúšťania podporovanej pôdy v rámci LFA okrajovou záležitosťou. Problémom je skôr rozsiahla výmera pôvodných TTP mimo LPIS, osobitne v horských oblastiach, ktorá je z dôvodu dlhodobej nedostatočnej starostlivosti zarastená náletom drevín a burín, čím tieto plochy postupne prestali byť obhospodarované a dochádza na nich k rozvratu pôvodných prírodných trávnych ekosystémov. </w:t>
      </w:r>
    </w:p>
    <w:p w:rsidR="00242C36" w:rsidRPr="00FD5F57" w:rsidRDefault="00E32F57" w:rsidP="00242C36">
      <w:pPr>
        <w:pStyle w:val="normlnneodsaden"/>
        <w:spacing w:before="0" w:beforeAutospacing="0" w:after="0" w:afterAutospacing="0"/>
        <w:rPr>
          <w:rFonts w:ascii="Calibri" w:hAnsi="Calibri"/>
          <w:b/>
          <w:sz w:val="22"/>
          <w:szCs w:val="22"/>
        </w:rPr>
      </w:pPr>
      <w:r>
        <w:rPr>
          <w:rFonts w:ascii="Calibri" w:hAnsi="Calibri"/>
          <w:b/>
          <w:sz w:val="22"/>
          <w:szCs w:val="22"/>
        </w:rPr>
        <w:t xml:space="preserve">Tabuľka 34: </w:t>
      </w:r>
      <w:r w:rsidR="00242C36" w:rsidRPr="00FD5F57">
        <w:rPr>
          <w:rFonts w:ascii="Calibri" w:hAnsi="Calibri"/>
          <w:b/>
          <w:sz w:val="22"/>
          <w:szCs w:val="22"/>
        </w:rPr>
        <w:t>Výmera pôdy, na ktorú bol vyplatený vyrovnávací príspevok (ha)</w:t>
      </w:r>
      <w:r w:rsidR="00242C36" w:rsidRPr="00FD5F57">
        <w:rPr>
          <w:rFonts w:ascii="Calibri" w:hAnsi="Calibri"/>
          <w:b/>
          <w:sz w:val="22"/>
          <w:szCs w:val="22"/>
        </w:rPr>
        <w:tab/>
      </w:r>
    </w:p>
    <w:tbl>
      <w:tblPr>
        <w:tblW w:w="93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8"/>
        <w:gridCol w:w="1016"/>
        <w:gridCol w:w="1016"/>
        <w:gridCol w:w="1016"/>
        <w:gridCol w:w="1016"/>
        <w:gridCol w:w="1028"/>
        <w:gridCol w:w="1016"/>
      </w:tblGrid>
      <w:tr w:rsidR="00242C36" w:rsidRPr="00FD5F57" w:rsidTr="00242C36">
        <w:trPr>
          <w:trHeight w:val="255"/>
          <w:jc w:val="center"/>
        </w:trPr>
        <w:tc>
          <w:tcPr>
            <w:tcW w:w="3288" w:type="dxa"/>
            <w:tcBorders>
              <w:top w:val="single" w:sz="4" w:space="0" w:color="auto"/>
              <w:left w:val="single" w:sz="4" w:space="0" w:color="auto"/>
              <w:bottom w:val="single" w:sz="4" w:space="0" w:color="auto"/>
              <w:right w:val="single" w:sz="4" w:space="0" w:color="auto"/>
            </w:tcBorders>
            <w:noWrap/>
            <w:vAlign w:val="center"/>
            <w:hideMark/>
          </w:tcPr>
          <w:p w:rsidR="00242C36" w:rsidRPr="00FD5F57" w:rsidRDefault="00242C36" w:rsidP="00242C36">
            <w:pPr>
              <w:pStyle w:val="tlnormlnyneodsadentunvavo"/>
              <w:spacing w:before="0" w:beforeAutospacing="0" w:after="0" w:afterAutospacing="0"/>
              <w:rPr>
                <w:rFonts w:ascii="Calibri" w:hAnsi="Calibri"/>
                <w:sz w:val="20"/>
                <w:szCs w:val="20"/>
              </w:rPr>
            </w:pPr>
            <w:r w:rsidRPr="00FD5F57">
              <w:rPr>
                <w:rFonts w:ascii="Calibri" w:hAnsi="Calibri"/>
                <w:sz w:val="20"/>
                <w:szCs w:val="20"/>
              </w:rPr>
              <w:t>Typ oblasti</w:t>
            </w:r>
          </w:p>
        </w:tc>
        <w:tc>
          <w:tcPr>
            <w:tcW w:w="1016" w:type="dxa"/>
            <w:tcBorders>
              <w:top w:val="single" w:sz="4" w:space="0" w:color="auto"/>
              <w:left w:val="single" w:sz="4" w:space="0" w:color="auto"/>
              <w:bottom w:val="single" w:sz="4" w:space="0" w:color="auto"/>
              <w:right w:val="single" w:sz="4" w:space="0" w:color="auto"/>
            </w:tcBorders>
            <w:noWrap/>
            <w:vAlign w:val="center"/>
            <w:hideMark/>
          </w:tcPr>
          <w:p w:rsidR="00242C36" w:rsidRPr="00FD5F57" w:rsidRDefault="00242C36" w:rsidP="00242C36">
            <w:pPr>
              <w:pStyle w:val="normlnyneodsadentunnastred0"/>
              <w:spacing w:before="0" w:beforeAutospacing="0" w:after="0" w:afterAutospacing="0"/>
              <w:rPr>
                <w:rFonts w:ascii="Calibri" w:hAnsi="Calibri"/>
                <w:sz w:val="20"/>
                <w:szCs w:val="20"/>
              </w:rPr>
            </w:pPr>
            <w:r w:rsidRPr="00FD5F57">
              <w:rPr>
                <w:rFonts w:ascii="Calibri" w:hAnsi="Calibri"/>
                <w:sz w:val="20"/>
                <w:szCs w:val="20"/>
              </w:rPr>
              <w:t>2007</w:t>
            </w:r>
          </w:p>
        </w:tc>
        <w:tc>
          <w:tcPr>
            <w:tcW w:w="1016" w:type="dxa"/>
            <w:tcBorders>
              <w:top w:val="single" w:sz="4" w:space="0" w:color="auto"/>
              <w:left w:val="single" w:sz="4" w:space="0" w:color="auto"/>
              <w:bottom w:val="single" w:sz="4" w:space="0" w:color="auto"/>
              <w:right w:val="single" w:sz="4" w:space="0" w:color="auto"/>
            </w:tcBorders>
            <w:noWrap/>
            <w:vAlign w:val="center"/>
            <w:hideMark/>
          </w:tcPr>
          <w:p w:rsidR="00242C36" w:rsidRPr="00FD5F57" w:rsidRDefault="00242C36" w:rsidP="00242C36">
            <w:pPr>
              <w:pStyle w:val="normlnyneodsadentunnastred0"/>
              <w:spacing w:before="0" w:beforeAutospacing="0" w:after="0" w:afterAutospacing="0"/>
              <w:rPr>
                <w:rFonts w:ascii="Calibri" w:hAnsi="Calibri"/>
                <w:sz w:val="20"/>
                <w:szCs w:val="20"/>
              </w:rPr>
            </w:pPr>
            <w:r w:rsidRPr="00FD5F57">
              <w:rPr>
                <w:rFonts w:ascii="Calibri" w:hAnsi="Calibri"/>
                <w:sz w:val="20"/>
                <w:szCs w:val="20"/>
              </w:rPr>
              <w:t>2008</w:t>
            </w:r>
          </w:p>
        </w:tc>
        <w:tc>
          <w:tcPr>
            <w:tcW w:w="1016" w:type="dxa"/>
            <w:tcBorders>
              <w:top w:val="single" w:sz="4" w:space="0" w:color="auto"/>
              <w:left w:val="single" w:sz="4" w:space="0" w:color="auto"/>
              <w:bottom w:val="single" w:sz="4" w:space="0" w:color="auto"/>
              <w:right w:val="single" w:sz="4" w:space="0" w:color="auto"/>
            </w:tcBorders>
            <w:noWrap/>
            <w:vAlign w:val="center"/>
            <w:hideMark/>
          </w:tcPr>
          <w:p w:rsidR="00242C36" w:rsidRPr="00FD5F57" w:rsidRDefault="00242C36" w:rsidP="00242C36">
            <w:pPr>
              <w:pStyle w:val="normlnyneodsadentunnastred0"/>
              <w:spacing w:before="0" w:beforeAutospacing="0" w:after="0" w:afterAutospacing="0"/>
              <w:rPr>
                <w:rFonts w:ascii="Calibri" w:hAnsi="Calibri"/>
                <w:sz w:val="20"/>
                <w:szCs w:val="20"/>
              </w:rPr>
            </w:pPr>
            <w:r w:rsidRPr="00FD5F57">
              <w:rPr>
                <w:rFonts w:ascii="Calibri" w:hAnsi="Calibri"/>
                <w:sz w:val="20"/>
                <w:szCs w:val="20"/>
              </w:rPr>
              <w:t>2009</w:t>
            </w:r>
          </w:p>
        </w:tc>
        <w:tc>
          <w:tcPr>
            <w:tcW w:w="1016" w:type="dxa"/>
            <w:tcBorders>
              <w:top w:val="single" w:sz="4" w:space="0" w:color="auto"/>
              <w:left w:val="single" w:sz="4" w:space="0" w:color="auto"/>
              <w:bottom w:val="single" w:sz="4" w:space="0" w:color="auto"/>
              <w:right w:val="single" w:sz="4" w:space="0" w:color="auto"/>
            </w:tcBorders>
            <w:noWrap/>
            <w:vAlign w:val="center"/>
            <w:hideMark/>
          </w:tcPr>
          <w:p w:rsidR="00242C36" w:rsidRPr="00FD5F57" w:rsidRDefault="00242C36" w:rsidP="00242C36">
            <w:pPr>
              <w:pStyle w:val="normlnyneodsadentunnastred0"/>
              <w:spacing w:before="0" w:beforeAutospacing="0" w:after="0" w:afterAutospacing="0"/>
              <w:rPr>
                <w:rFonts w:ascii="Calibri" w:hAnsi="Calibri"/>
                <w:sz w:val="20"/>
                <w:szCs w:val="20"/>
              </w:rPr>
            </w:pPr>
            <w:r w:rsidRPr="00FD5F57">
              <w:rPr>
                <w:rFonts w:ascii="Calibri" w:hAnsi="Calibri"/>
                <w:sz w:val="20"/>
                <w:szCs w:val="20"/>
              </w:rPr>
              <w:t>2010</w:t>
            </w:r>
          </w:p>
        </w:tc>
        <w:tc>
          <w:tcPr>
            <w:tcW w:w="1028" w:type="dxa"/>
            <w:tcBorders>
              <w:top w:val="single" w:sz="4" w:space="0" w:color="auto"/>
              <w:left w:val="single" w:sz="4" w:space="0" w:color="auto"/>
              <w:bottom w:val="single" w:sz="4" w:space="0" w:color="auto"/>
              <w:right w:val="single" w:sz="4" w:space="0" w:color="auto"/>
            </w:tcBorders>
            <w:noWrap/>
            <w:vAlign w:val="center"/>
            <w:hideMark/>
          </w:tcPr>
          <w:p w:rsidR="00242C36" w:rsidRPr="00FD5F57" w:rsidRDefault="00242C36" w:rsidP="00242C36">
            <w:pPr>
              <w:pStyle w:val="normlnyneodsadentunnastred0"/>
              <w:spacing w:before="0" w:beforeAutospacing="0" w:after="0" w:afterAutospacing="0"/>
              <w:rPr>
                <w:rFonts w:ascii="Calibri" w:hAnsi="Calibri"/>
                <w:sz w:val="20"/>
                <w:szCs w:val="20"/>
              </w:rPr>
            </w:pPr>
            <w:r w:rsidRPr="00FD5F57">
              <w:rPr>
                <w:rFonts w:ascii="Calibri" w:hAnsi="Calibri"/>
                <w:sz w:val="20"/>
                <w:szCs w:val="20"/>
              </w:rPr>
              <w:t>2011</w:t>
            </w:r>
          </w:p>
        </w:tc>
        <w:tc>
          <w:tcPr>
            <w:tcW w:w="1016" w:type="dxa"/>
            <w:tcBorders>
              <w:top w:val="single" w:sz="4" w:space="0" w:color="auto"/>
              <w:left w:val="single" w:sz="4" w:space="0" w:color="auto"/>
              <w:bottom w:val="single" w:sz="4" w:space="0" w:color="auto"/>
              <w:right w:val="single" w:sz="4" w:space="0" w:color="auto"/>
            </w:tcBorders>
            <w:hideMark/>
          </w:tcPr>
          <w:p w:rsidR="00242C36" w:rsidRPr="00FD5F57" w:rsidRDefault="00242C36" w:rsidP="00242C36">
            <w:pPr>
              <w:pStyle w:val="normlnyneodsadentunnastred0"/>
              <w:spacing w:before="0" w:beforeAutospacing="0" w:after="0" w:afterAutospacing="0"/>
              <w:rPr>
                <w:rFonts w:ascii="Calibri" w:hAnsi="Calibri"/>
                <w:sz w:val="20"/>
                <w:szCs w:val="20"/>
              </w:rPr>
            </w:pPr>
            <w:r w:rsidRPr="00FD5F57">
              <w:rPr>
                <w:rFonts w:ascii="Calibri" w:hAnsi="Calibri"/>
                <w:sz w:val="20"/>
                <w:szCs w:val="20"/>
              </w:rPr>
              <w:t xml:space="preserve">2012 </w:t>
            </w:r>
          </w:p>
        </w:tc>
      </w:tr>
      <w:tr w:rsidR="00242C36" w:rsidRPr="00FD5F57" w:rsidTr="00242C36">
        <w:trPr>
          <w:trHeight w:val="255"/>
          <w:jc w:val="center"/>
        </w:trPr>
        <w:tc>
          <w:tcPr>
            <w:tcW w:w="3288" w:type="dxa"/>
            <w:tcBorders>
              <w:top w:val="single" w:sz="4" w:space="0" w:color="auto"/>
              <w:left w:val="single" w:sz="4" w:space="0" w:color="auto"/>
              <w:bottom w:val="single" w:sz="4" w:space="0" w:color="auto"/>
              <w:right w:val="single" w:sz="4" w:space="0" w:color="auto"/>
            </w:tcBorders>
            <w:noWrap/>
            <w:vAlign w:val="center"/>
            <w:hideMark/>
          </w:tcPr>
          <w:p w:rsidR="00242C36" w:rsidRPr="00FD5F57" w:rsidRDefault="00242C36" w:rsidP="00242C36">
            <w:pPr>
              <w:pStyle w:val="normlnyneodsadenvavostab0"/>
              <w:spacing w:before="0" w:beforeAutospacing="0" w:after="0" w:afterAutospacing="0"/>
              <w:rPr>
                <w:rFonts w:ascii="Calibri" w:hAnsi="Calibri"/>
                <w:sz w:val="20"/>
                <w:szCs w:val="20"/>
              </w:rPr>
            </w:pPr>
            <w:r w:rsidRPr="00FD5F57">
              <w:rPr>
                <w:rFonts w:ascii="Calibri" w:hAnsi="Calibri"/>
                <w:sz w:val="20"/>
                <w:szCs w:val="20"/>
              </w:rPr>
              <w:t>Horské oblasti</w:t>
            </w:r>
          </w:p>
        </w:tc>
        <w:tc>
          <w:tcPr>
            <w:tcW w:w="1016" w:type="dxa"/>
            <w:tcBorders>
              <w:top w:val="single" w:sz="4" w:space="0" w:color="auto"/>
              <w:left w:val="single" w:sz="4" w:space="0" w:color="auto"/>
              <w:bottom w:val="single" w:sz="4" w:space="0" w:color="auto"/>
              <w:right w:val="single" w:sz="4" w:space="0" w:color="auto"/>
            </w:tcBorders>
            <w:noWrap/>
            <w:vAlign w:val="center"/>
            <w:hideMark/>
          </w:tcPr>
          <w:p w:rsidR="00242C36" w:rsidRPr="00FD5F57" w:rsidRDefault="00242C36" w:rsidP="00242C36">
            <w:pPr>
              <w:pStyle w:val="normlnyneodsadenvpravo"/>
              <w:spacing w:before="0" w:beforeAutospacing="0" w:after="0" w:afterAutospacing="0"/>
              <w:rPr>
                <w:rFonts w:ascii="Calibri" w:hAnsi="Calibri"/>
                <w:sz w:val="20"/>
                <w:szCs w:val="20"/>
              </w:rPr>
            </w:pPr>
            <w:r w:rsidRPr="00FD5F57">
              <w:rPr>
                <w:rFonts w:ascii="Calibri" w:hAnsi="Calibri"/>
                <w:sz w:val="20"/>
                <w:szCs w:val="20"/>
              </w:rPr>
              <w:t>439 966</w:t>
            </w:r>
          </w:p>
        </w:tc>
        <w:tc>
          <w:tcPr>
            <w:tcW w:w="1016" w:type="dxa"/>
            <w:tcBorders>
              <w:top w:val="single" w:sz="4" w:space="0" w:color="auto"/>
              <w:left w:val="single" w:sz="4" w:space="0" w:color="auto"/>
              <w:bottom w:val="single" w:sz="4" w:space="0" w:color="auto"/>
              <w:right w:val="single" w:sz="4" w:space="0" w:color="auto"/>
            </w:tcBorders>
            <w:noWrap/>
            <w:vAlign w:val="center"/>
            <w:hideMark/>
          </w:tcPr>
          <w:p w:rsidR="00242C36" w:rsidRPr="00FD5F57" w:rsidRDefault="00242C36" w:rsidP="00242C36">
            <w:pPr>
              <w:pStyle w:val="normlnyneodsadenvpravo"/>
              <w:spacing w:before="0" w:beforeAutospacing="0" w:after="0" w:afterAutospacing="0"/>
              <w:rPr>
                <w:rFonts w:ascii="Calibri" w:hAnsi="Calibri"/>
                <w:sz w:val="20"/>
                <w:szCs w:val="20"/>
              </w:rPr>
            </w:pPr>
            <w:r w:rsidRPr="00FD5F57">
              <w:rPr>
                <w:rFonts w:ascii="Calibri" w:hAnsi="Calibri"/>
                <w:sz w:val="20"/>
                <w:szCs w:val="20"/>
              </w:rPr>
              <w:t>444 821</w:t>
            </w:r>
          </w:p>
        </w:tc>
        <w:tc>
          <w:tcPr>
            <w:tcW w:w="1016" w:type="dxa"/>
            <w:tcBorders>
              <w:top w:val="single" w:sz="4" w:space="0" w:color="auto"/>
              <w:left w:val="single" w:sz="4" w:space="0" w:color="auto"/>
              <w:bottom w:val="single" w:sz="4" w:space="0" w:color="auto"/>
              <w:right w:val="single" w:sz="4" w:space="0" w:color="auto"/>
            </w:tcBorders>
            <w:noWrap/>
            <w:vAlign w:val="center"/>
            <w:hideMark/>
          </w:tcPr>
          <w:p w:rsidR="00242C36" w:rsidRPr="00FD5F57" w:rsidRDefault="00242C36" w:rsidP="00242C36">
            <w:pPr>
              <w:pStyle w:val="normlnyneodsadenvpravo"/>
              <w:spacing w:before="0" w:beforeAutospacing="0" w:after="0" w:afterAutospacing="0"/>
              <w:rPr>
                <w:rFonts w:ascii="Calibri" w:hAnsi="Calibri"/>
                <w:sz w:val="20"/>
                <w:szCs w:val="20"/>
              </w:rPr>
            </w:pPr>
            <w:r w:rsidRPr="00FD5F57">
              <w:rPr>
                <w:rFonts w:ascii="Calibri" w:hAnsi="Calibri"/>
                <w:sz w:val="20"/>
                <w:szCs w:val="20"/>
              </w:rPr>
              <w:t>461 288</w:t>
            </w:r>
          </w:p>
        </w:tc>
        <w:tc>
          <w:tcPr>
            <w:tcW w:w="1016" w:type="dxa"/>
            <w:tcBorders>
              <w:top w:val="single" w:sz="4" w:space="0" w:color="auto"/>
              <w:left w:val="single" w:sz="4" w:space="0" w:color="auto"/>
              <w:bottom w:val="single" w:sz="4" w:space="0" w:color="auto"/>
              <w:right w:val="single" w:sz="4" w:space="0" w:color="auto"/>
            </w:tcBorders>
            <w:noWrap/>
            <w:vAlign w:val="center"/>
            <w:hideMark/>
          </w:tcPr>
          <w:p w:rsidR="00242C36" w:rsidRPr="00FD5F57" w:rsidRDefault="00242C36" w:rsidP="00242C36">
            <w:pPr>
              <w:pStyle w:val="normlnyneodsadenvpravo"/>
              <w:spacing w:before="0" w:beforeAutospacing="0" w:after="0" w:afterAutospacing="0"/>
              <w:rPr>
                <w:rFonts w:ascii="Calibri" w:hAnsi="Calibri"/>
                <w:sz w:val="20"/>
                <w:szCs w:val="20"/>
              </w:rPr>
            </w:pPr>
            <w:r w:rsidRPr="00FD5F57">
              <w:rPr>
                <w:rFonts w:ascii="Calibri" w:hAnsi="Calibri"/>
                <w:sz w:val="20"/>
                <w:szCs w:val="20"/>
              </w:rPr>
              <w:t>458 135</w:t>
            </w:r>
          </w:p>
        </w:tc>
        <w:tc>
          <w:tcPr>
            <w:tcW w:w="1028" w:type="dxa"/>
            <w:tcBorders>
              <w:top w:val="single" w:sz="4" w:space="0" w:color="auto"/>
              <w:left w:val="single" w:sz="4" w:space="0" w:color="auto"/>
              <w:bottom w:val="single" w:sz="4" w:space="0" w:color="auto"/>
              <w:right w:val="single" w:sz="4" w:space="0" w:color="auto"/>
            </w:tcBorders>
            <w:noWrap/>
            <w:vAlign w:val="center"/>
            <w:hideMark/>
          </w:tcPr>
          <w:p w:rsidR="00242C36" w:rsidRPr="00FD5F57" w:rsidRDefault="00242C36" w:rsidP="00242C36">
            <w:pPr>
              <w:pStyle w:val="normlnyneodsadenvpravo"/>
              <w:spacing w:before="0" w:beforeAutospacing="0" w:after="0" w:afterAutospacing="0"/>
              <w:rPr>
                <w:rFonts w:ascii="Calibri" w:hAnsi="Calibri"/>
                <w:sz w:val="20"/>
                <w:szCs w:val="20"/>
              </w:rPr>
            </w:pPr>
            <w:r w:rsidRPr="00FD5F57">
              <w:rPr>
                <w:rFonts w:ascii="Calibri" w:hAnsi="Calibri"/>
                <w:sz w:val="20"/>
                <w:szCs w:val="20"/>
              </w:rPr>
              <w:t>454 356</w:t>
            </w:r>
          </w:p>
        </w:tc>
        <w:tc>
          <w:tcPr>
            <w:tcW w:w="1016" w:type="dxa"/>
            <w:tcBorders>
              <w:top w:val="single" w:sz="4" w:space="0" w:color="auto"/>
              <w:left w:val="single" w:sz="4" w:space="0" w:color="auto"/>
              <w:bottom w:val="single" w:sz="4" w:space="0" w:color="auto"/>
              <w:right w:val="single" w:sz="4" w:space="0" w:color="auto"/>
            </w:tcBorders>
            <w:vAlign w:val="center"/>
            <w:hideMark/>
          </w:tcPr>
          <w:p w:rsidR="00242C36" w:rsidRPr="00FD5F57" w:rsidRDefault="00242C36" w:rsidP="00242C36">
            <w:pPr>
              <w:pStyle w:val="normlnyneodsadenvpravo"/>
              <w:spacing w:before="0" w:beforeAutospacing="0" w:after="0" w:afterAutospacing="0"/>
              <w:rPr>
                <w:rFonts w:ascii="Calibri" w:hAnsi="Calibri"/>
                <w:sz w:val="20"/>
                <w:szCs w:val="20"/>
              </w:rPr>
            </w:pPr>
            <w:r w:rsidRPr="00FD5F57">
              <w:rPr>
                <w:rFonts w:ascii="Calibri" w:hAnsi="Calibri"/>
                <w:sz w:val="20"/>
                <w:szCs w:val="20"/>
              </w:rPr>
              <w:t>457 247</w:t>
            </w:r>
          </w:p>
        </w:tc>
      </w:tr>
      <w:tr w:rsidR="00242C36" w:rsidRPr="00FD5F57" w:rsidTr="00242C36">
        <w:trPr>
          <w:trHeight w:val="255"/>
          <w:jc w:val="center"/>
        </w:trPr>
        <w:tc>
          <w:tcPr>
            <w:tcW w:w="3288" w:type="dxa"/>
            <w:tcBorders>
              <w:top w:val="single" w:sz="4" w:space="0" w:color="auto"/>
              <w:left w:val="single" w:sz="4" w:space="0" w:color="auto"/>
              <w:bottom w:val="single" w:sz="4" w:space="0" w:color="auto"/>
              <w:right w:val="single" w:sz="4" w:space="0" w:color="auto"/>
            </w:tcBorders>
            <w:noWrap/>
            <w:vAlign w:val="center"/>
            <w:hideMark/>
          </w:tcPr>
          <w:p w:rsidR="00242C36" w:rsidRPr="00FD5F57" w:rsidRDefault="00242C36" w:rsidP="00242C36">
            <w:pPr>
              <w:pStyle w:val="normlnyneodsadenvavostab0"/>
              <w:spacing w:before="0" w:beforeAutospacing="0" w:after="0" w:afterAutospacing="0"/>
              <w:rPr>
                <w:rFonts w:ascii="Calibri" w:hAnsi="Calibri"/>
                <w:sz w:val="20"/>
                <w:szCs w:val="20"/>
              </w:rPr>
            </w:pPr>
            <w:r w:rsidRPr="00FD5F57">
              <w:rPr>
                <w:rFonts w:ascii="Calibri" w:hAnsi="Calibri"/>
                <w:sz w:val="20"/>
                <w:szCs w:val="20"/>
              </w:rPr>
              <w:t>Ostatné znevýhodnené oblasti</w:t>
            </w:r>
          </w:p>
        </w:tc>
        <w:tc>
          <w:tcPr>
            <w:tcW w:w="1016" w:type="dxa"/>
            <w:tcBorders>
              <w:top w:val="single" w:sz="4" w:space="0" w:color="auto"/>
              <w:left w:val="single" w:sz="4" w:space="0" w:color="auto"/>
              <w:bottom w:val="single" w:sz="4" w:space="0" w:color="auto"/>
              <w:right w:val="single" w:sz="4" w:space="0" w:color="auto"/>
            </w:tcBorders>
            <w:noWrap/>
            <w:vAlign w:val="center"/>
            <w:hideMark/>
          </w:tcPr>
          <w:p w:rsidR="00242C36" w:rsidRPr="00FD5F57" w:rsidRDefault="00242C36" w:rsidP="00242C36">
            <w:pPr>
              <w:pStyle w:val="normlnyneodsadenvpravo"/>
              <w:spacing w:before="0" w:beforeAutospacing="0" w:after="0" w:afterAutospacing="0"/>
              <w:rPr>
                <w:rFonts w:ascii="Calibri" w:hAnsi="Calibri"/>
                <w:sz w:val="20"/>
                <w:szCs w:val="20"/>
              </w:rPr>
            </w:pPr>
            <w:r w:rsidRPr="00FD5F57">
              <w:rPr>
                <w:rFonts w:ascii="Calibri" w:hAnsi="Calibri"/>
                <w:sz w:val="20"/>
                <w:szCs w:val="20"/>
              </w:rPr>
              <w:t>376 148</w:t>
            </w:r>
          </w:p>
        </w:tc>
        <w:tc>
          <w:tcPr>
            <w:tcW w:w="1016" w:type="dxa"/>
            <w:tcBorders>
              <w:top w:val="single" w:sz="4" w:space="0" w:color="auto"/>
              <w:left w:val="single" w:sz="4" w:space="0" w:color="auto"/>
              <w:bottom w:val="single" w:sz="4" w:space="0" w:color="auto"/>
              <w:right w:val="single" w:sz="4" w:space="0" w:color="auto"/>
            </w:tcBorders>
            <w:noWrap/>
            <w:vAlign w:val="center"/>
            <w:hideMark/>
          </w:tcPr>
          <w:p w:rsidR="00242C36" w:rsidRPr="00FD5F57" w:rsidRDefault="00242C36" w:rsidP="00242C36">
            <w:pPr>
              <w:pStyle w:val="normlnyneodsadenvpravo"/>
              <w:spacing w:before="0" w:beforeAutospacing="0" w:after="0" w:afterAutospacing="0"/>
              <w:rPr>
                <w:rFonts w:ascii="Calibri" w:hAnsi="Calibri"/>
                <w:sz w:val="20"/>
                <w:szCs w:val="20"/>
              </w:rPr>
            </w:pPr>
            <w:r w:rsidRPr="00FD5F57">
              <w:rPr>
                <w:rFonts w:ascii="Calibri" w:hAnsi="Calibri"/>
                <w:sz w:val="20"/>
                <w:szCs w:val="20"/>
              </w:rPr>
              <w:t>380 730</w:t>
            </w:r>
          </w:p>
        </w:tc>
        <w:tc>
          <w:tcPr>
            <w:tcW w:w="1016" w:type="dxa"/>
            <w:tcBorders>
              <w:top w:val="single" w:sz="4" w:space="0" w:color="auto"/>
              <w:left w:val="single" w:sz="4" w:space="0" w:color="auto"/>
              <w:bottom w:val="single" w:sz="4" w:space="0" w:color="auto"/>
              <w:right w:val="single" w:sz="4" w:space="0" w:color="auto"/>
            </w:tcBorders>
            <w:noWrap/>
            <w:vAlign w:val="center"/>
            <w:hideMark/>
          </w:tcPr>
          <w:p w:rsidR="00242C36" w:rsidRPr="00FD5F57" w:rsidRDefault="00242C36" w:rsidP="00242C36">
            <w:pPr>
              <w:pStyle w:val="normlnyneodsadenvpravo"/>
              <w:spacing w:before="0" w:beforeAutospacing="0" w:after="0" w:afterAutospacing="0"/>
              <w:rPr>
                <w:rFonts w:ascii="Calibri" w:hAnsi="Calibri"/>
                <w:sz w:val="20"/>
                <w:szCs w:val="20"/>
              </w:rPr>
            </w:pPr>
            <w:r w:rsidRPr="00FD5F57">
              <w:rPr>
                <w:rFonts w:ascii="Calibri" w:hAnsi="Calibri"/>
                <w:sz w:val="20"/>
                <w:szCs w:val="20"/>
              </w:rPr>
              <w:t>373 969</w:t>
            </w:r>
          </w:p>
        </w:tc>
        <w:tc>
          <w:tcPr>
            <w:tcW w:w="1016" w:type="dxa"/>
            <w:tcBorders>
              <w:top w:val="single" w:sz="4" w:space="0" w:color="auto"/>
              <w:left w:val="single" w:sz="4" w:space="0" w:color="auto"/>
              <w:bottom w:val="single" w:sz="4" w:space="0" w:color="auto"/>
              <w:right w:val="single" w:sz="4" w:space="0" w:color="auto"/>
            </w:tcBorders>
            <w:noWrap/>
            <w:vAlign w:val="center"/>
            <w:hideMark/>
          </w:tcPr>
          <w:p w:rsidR="00242C36" w:rsidRPr="00FD5F57" w:rsidRDefault="00242C36" w:rsidP="00242C36">
            <w:pPr>
              <w:pStyle w:val="normlnyneodsadenvpravo"/>
              <w:spacing w:before="0" w:beforeAutospacing="0" w:after="0" w:afterAutospacing="0"/>
              <w:rPr>
                <w:rFonts w:ascii="Calibri" w:hAnsi="Calibri"/>
                <w:sz w:val="20"/>
                <w:szCs w:val="20"/>
              </w:rPr>
            </w:pPr>
            <w:r w:rsidRPr="00FD5F57">
              <w:rPr>
                <w:rFonts w:ascii="Calibri" w:hAnsi="Calibri"/>
                <w:sz w:val="20"/>
                <w:szCs w:val="20"/>
              </w:rPr>
              <w:t>374 225</w:t>
            </w:r>
          </w:p>
        </w:tc>
        <w:tc>
          <w:tcPr>
            <w:tcW w:w="1028" w:type="dxa"/>
            <w:tcBorders>
              <w:top w:val="single" w:sz="4" w:space="0" w:color="auto"/>
              <w:left w:val="single" w:sz="4" w:space="0" w:color="auto"/>
              <w:bottom w:val="single" w:sz="4" w:space="0" w:color="auto"/>
              <w:right w:val="single" w:sz="4" w:space="0" w:color="auto"/>
            </w:tcBorders>
            <w:noWrap/>
            <w:vAlign w:val="center"/>
            <w:hideMark/>
          </w:tcPr>
          <w:p w:rsidR="00242C36" w:rsidRPr="00FD5F57" w:rsidRDefault="00242C36" w:rsidP="00242C36">
            <w:pPr>
              <w:pStyle w:val="normlnyneodsadenvpravo"/>
              <w:spacing w:before="0" w:beforeAutospacing="0" w:after="0" w:afterAutospacing="0"/>
              <w:rPr>
                <w:rFonts w:ascii="Calibri" w:hAnsi="Calibri"/>
                <w:sz w:val="20"/>
                <w:szCs w:val="20"/>
              </w:rPr>
            </w:pPr>
            <w:r w:rsidRPr="00FD5F57">
              <w:rPr>
                <w:rFonts w:ascii="Calibri" w:hAnsi="Calibri"/>
                <w:sz w:val="20"/>
                <w:szCs w:val="20"/>
              </w:rPr>
              <w:t>372 667</w:t>
            </w:r>
          </w:p>
        </w:tc>
        <w:tc>
          <w:tcPr>
            <w:tcW w:w="1016" w:type="dxa"/>
            <w:tcBorders>
              <w:top w:val="single" w:sz="4" w:space="0" w:color="auto"/>
              <w:left w:val="single" w:sz="4" w:space="0" w:color="auto"/>
              <w:bottom w:val="single" w:sz="4" w:space="0" w:color="auto"/>
              <w:right w:val="single" w:sz="4" w:space="0" w:color="auto"/>
            </w:tcBorders>
            <w:vAlign w:val="center"/>
            <w:hideMark/>
          </w:tcPr>
          <w:p w:rsidR="00242C36" w:rsidRPr="00FD5F57" w:rsidRDefault="00242C36" w:rsidP="00242C36">
            <w:pPr>
              <w:pStyle w:val="normlnyneodsadenvpravo"/>
              <w:spacing w:before="0" w:beforeAutospacing="0" w:after="0" w:afterAutospacing="0"/>
              <w:rPr>
                <w:rFonts w:ascii="Calibri" w:hAnsi="Calibri"/>
                <w:sz w:val="20"/>
                <w:szCs w:val="20"/>
              </w:rPr>
            </w:pPr>
            <w:r w:rsidRPr="00FD5F57">
              <w:rPr>
                <w:rFonts w:ascii="Calibri" w:hAnsi="Calibri"/>
                <w:sz w:val="20"/>
                <w:szCs w:val="20"/>
              </w:rPr>
              <w:t>375 430</w:t>
            </w:r>
          </w:p>
        </w:tc>
      </w:tr>
      <w:tr w:rsidR="00242C36" w:rsidRPr="00FD5F57" w:rsidTr="00242C36">
        <w:trPr>
          <w:trHeight w:val="255"/>
          <w:jc w:val="center"/>
        </w:trPr>
        <w:tc>
          <w:tcPr>
            <w:tcW w:w="3288" w:type="dxa"/>
            <w:tcBorders>
              <w:top w:val="single" w:sz="4" w:space="0" w:color="auto"/>
              <w:left w:val="single" w:sz="4" w:space="0" w:color="auto"/>
              <w:bottom w:val="single" w:sz="4" w:space="0" w:color="auto"/>
              <w:right w:val="single" w:sz="4" w:space="0" w:color="auto"/>
            </w:tcBorders>
            <w:noWrap/>
            <w:vAlign w:val="center"/>
            <w:hideMark/>
          </w:tcPr>
          <w:p w:rsidR="00242C36" w:rsidRPr="00FD5F57" w:rsidRDefault="00242C36" w:rsidP="00242C36">
            <w:pPr>
              <w:pStyle w:val="normlnyneodsadenvavostab0"/>
              <w:spacing w:before="0" w:beforeAutospacing="0" w:after="0" w:afterAutospacing="0"/>
              <w:rPr>
                <w:rFonts w:ascii="Calibri" w:hAnsi="Calibri"/>
                <w:sz w:val="20"/>
                <w:szCs w:val="20"/>
              </w:rPr>
            </w:pPr>
            <w:r w:rsidRPr="00FD5F57">
              <w:rPr>
                <w:rFonts w:ascii="Calibri" w:hAnsi="Calibri"/>
                <w:sz w:val="20"/>
                <w:szCs w:val="20"/>
              </w:rPr>
              <w:t>Oblasti so špecifickými nevýhodami</w:t>
            </w:r>
          </w:p>
        </w:tc>
        <w:tc>
          <w:tcPr>
            <w:tcW w:w="1016" w:type="dxa"/>
            <w:tcBorders>
              <w:top w:val="single" w:sz="4" w:space="0" w:color="auto"/>
              <w:left w:val="single" w:sz="4" w:space="0" w:color="auto"/>
              <w:bottom w:val="single" w:sz="4" w:space="0" w:color="auto"/>
              <w:right w:val="single" w:sz="4" w:space="0" w:color="auto"/>
            </w:tcBorders>
            <w:noWrap/>
            <w:vAlign w:val="center"/>
            <w:hideMark/>
          </w:tcPr>
          <w:p w:rsidR="00242C36" w:rsidRPr="00FD5F57" w:rsidRDefault="00242C36" w:rsidP="00242C36">
            <w:pPr>
              <w:pStyle w:val="normlnyneodsadenvpravo"/>
              <w:spacing w:before="0" w:beforeAutospacing="0" w:after="0" w:afterAutospacing="0"/>
              <w:rPr>
                <w:rFonts w:ascii="Calibri" w:hAnsi="Calibri"/>
                <w:sz w:val="20"/>
                <w:szCs w:val="20"/>
              </w:rPr>
            </w:pPr>
            <w:r w:rsidRPr="00FD5F57">
              <w:rPr>
                <w:rFonts w:ascii="Calibri" w:hAnsi="Calibri"/>
                <w:sz w:val="20"/>
                <w:szCs w:val="20"/>
              </w:rPr>
              <w:t>334 756</w:t>
            </w:r>
          </w:p>
        </w:tc>
        <w:tc>
          <w:tcPr>
            <w:tcW w:w="1016" w:type="dxa"/>
            <w:tcBorders>
              <w:top w:val="single" w:sz="4" w:space="0" w:color="auto"/>
              <w:left w:val="single" w:sz="4" w:space="0" w:color="auto"/>
              <w:bottom w:val="single" w:sz="4" w:space="0" w:color="auto"/>
              <w:right w:val="single" w:sz="4" w:space="0" w:color="auto"/>
            </w:tcBorders>
            <w:noWrap/>
            <w:vAlign w:val="center"/>
            <w:hideMark/>
          </w:tcPr>
          <w:p w:rsidR="00242C36" w:rsidRPr="00FD5F57" w:rsidRDefault="00242C36" w:rsidP="00242C36">
            <w:pPr>
              <w:pStyle w:val="normlnyneodsadenvpravo"/>
              <w:spacing w:before="0" w:beforeAutospacing="0" w:after="0" w:afterAutospacing="0"/>
              <w:rPr>
                <w:rFonts w:ascii="Calibri" w:hAnsi="Calibri"/>
                <w:sz w:val="20"/>
                <w:szCs w:val="20"/>
              </w:rPr>
            </w:pPr>
            <w:r w:rsidRPr="00FD5F57">
              <w:rPr>
                <w:rFonts w:ascii="Calibri" w:hAnsi="Calibri"/>
                <w:sz w:val="20"/>
                <w:szCs w:val="20"/>
              </w:rPr>
              <w:t>337 776</w:t>
            </w:r>
          </w:p>
        </w:tc>
        <w:tc>
          <w:tcPr>
            <w:tcW w:w="1016" w:type="dxa"/>
            <w:tcBorders>
              <w:top w:val="single" w:sz="4" w:space="0" w:color="auto"/>
              <w:left w:val="single" w:sz="4" w:space="0" w:color="auto"/>
              <w:bottom w:val="single" w:sz="4" w:space="0" w:color="auto"/>
              <w:right w:val="single" w:sz="4" w:space="0" w:color="auto"/>
            </w:tcBorders>
            <w:noWrap/>
            <w:vAlign w:val="center"/>
            <w:hideMark/>
          </w:tcPr>
          <w:p w:rsidR="00242C36" w:rsidRPr="00FD5F57" w:rsidRDefault="00242C36" w:rsidP="00242C36">
            <w:pPr>
              <w:pStyle w:val="normlnyneodsadenvpravo"/>
              <w:spacing w:before="0" w:beforeAutospacing="0" w:after="0" w:afterAutospacing="0"/>
              <w:rPr>
                <w:rFonts w:ascii="Calibri" w:hAnsi="Calibri"/>
                <w:sz w:val="20"/>
                <w:szCs w:val="20"/>
              </w:rPr>
            </w:pPr>
            <w:r w:rsidRPr="00FD5F57">
              <w:rPr>
                <w:rFonts w:ascii="Calibri" w:hAnsi="Calibri"/>
                <w:sz w:val="20"/>
                <w:szCs w:val="20"/>
              </w:rPr>
              <w:t>335 440</w:t>
            </w:r>
          </w:p>
        </w:tc>
        <w:tc>
          <w:tcPr>
            <w:tcW w:w="1016" w:type="dxa"/>
            <w:tcBorders>
              <w:top w:val="single" w:sz="4" w:space="0" w:color="auto"/>
              <w:left w:val="single" w:sz="4" w:space="0" w:color="auto"/>
              <w:bottom w:val="single" w:sz="4" w:space="0" w:color="auto"/>
              <w:right w:val="single" w:sz="4" w:space="0" w:color="auto"/>
            </w:tcBorders>
            <w:noWrap/>
            <w:vAlign w:val="center"/>
            <w:hideMark/>
          </w:tcPr>
          <w:p w:rsidR="00242C36" w:rsidRPr="00FD5F57" w:rsidRDefault="00242C36" w:rsidP="00242C36">
            <w:pPr>
              <w:pStyle w:val="normlnyneodsadenvpravo"/>
              <w:spacing w:before="0" w:beforeAutospacing="0" w:after="0" w:afterAutospacing="0"/>
              <w:rPr>
                <w:rFonts w:ascii="Calibri" w:hAnsi="Calibri"/>
                <w:sz w:val="20"/>
                <w:szCs w:val="20"/>
              </w:rPr>
            </w:pPr>
            <w:r w:rsidRPr="00FD5F57">
              <w:rPr>
                <w:rFonts w:ascii="Calibri" w:hAnsi="Calibri"/>
                <w:sz w:val="20"/>
                <w:szCs w:val="20"/>
              </w:rPr>
              <w:t>335 175</w:t>
            </w:r>
          </w:p>
        </w:tc>
        <w:tc>
          <w:tcPr>
            <w:tcW w:w="1028" w:type="dxa"/>
            <w:tcBorders>
              <w:top w:val="single" w:sz="4" w:space="0" w:color="auto"/>
              <w:left w:val="single" w:sz="4" w:space="0" w:color="auto"/>
              <w:bottom w:val="single" w:sz="4" w:space="0" w:color="auto"/>
              <w:right w:val="single" w:sz="4" w:space="0" w:color="auto"/>
            </w:tcBorders>
            <w:noWrap/>
            <w:vAlign w:val="center"/>
            <w:hideMark/>
          </w:tcPr>
          <w:p w:rsidR="00242C36" w:rsidRPr="00FD5F57" w:rsidRDefault="00242C36" w:rsidP="00242C36">
            <w:pPr>
              <w:pStyle w:val="normlnyneodsadenvpravo"/>
              <w:spacing w:before="0" w:beforeAutospacing="0" w:after="0" w:afterAutospacing="0"/>
              <w:rPr>
                <w:rFonts w:ascii="Calibri" w:hAnsi="Calibri"/>
                <w:sz w:val="20"/>
                <w:szCs w:val="20"/>
              </w:rPr>
            </w:pPr>
            <w:r w:rsidRPr="00FD5F57">
              <w:rPr>
                <w:rFonts w:ascii="Calibri" w:hAnsi="Calibri"/>
                <w:sz w:val="20"/>
                <w:szCs w:val="20"/>
              </w:rPr>
              <w:t>335 692</w:t>
            </w:r>
          </w:p>
        </w:tc>
        <w:tc>
          <w:tcPr>
            <w:tcW w:w="1016" w:type="dxa"/>
            <w:tcBorders>
              <w:top w:val="single" w:sz="4" w:space="0" w:color="auto"/>
              <w:left w:val="single" w:sz="4" w:space="0" w:color="auto"/>
              <w:bottom w:val="single" w:sz="4" w:space="0" w:color="auto"/>
              <w:right w:val="single" w:sz="4" w:space="0" w:color="auto"/>
            </w:tcBorders>
            <w:vAlign w:val="center"/>
            <w:hideMark/>
          </w:tcPr>
          <w:p w:rsidR="00242C36" w:rsidRPr="00FD5F57" w:rsidRDefault="00242C36" w:rsidP="00242C36">
            <w:pPr>
              <w:pStyle w:val="normlnyneodsadenvpravo"/>
              <w:spacing w:before="0" w:beforeAutospacing="0" w:after="0" w:afterAutospacing="0"/>
              <w:rPr>
                <w:rFonts w:ascii="Calibri" w:hAnsi="Calibri"/>
                <w:sz w:val="20"/>
                <w:szCs w:val="20"/>
              </w:rPr>
            </w:pPr>
            <w:r w:rsidRPr="00FD5F57">
              <w:rPr>
                <w:rFonts w:ascii="Calibri" w:hAnsi="Calibri"/>
                <w:sz w:val="20"/>
                <w:szCs w:val="20"/>
              </w:rPr>
              <w:t>335 343</w:t>
            </w:r>
          </w:p>
        </w:tc>
      </w:tr>
      <w:tr w:rsidR="00242C36" w:rsidRPr="00FD5F57" w:rsidTr="00242C36">
        <w:trPr>
          <w:trHeight w:val="255"/>
          <w:jc w:val="center"/>
        </w:trPr>
        <w:tc>
          <w:tcPr>
            <w:tcW w:w="3288" w:type="dxa"/>
            <w:tcBorders>
              <w:top w:val="single" w:sz="4" w:space="0" w:color="auto"/>
              <w:left w:val="single" w:sz="4" w:space="0" w:color="auto"/>
              <w:bottom w:val="single" w:sz="4" w:space="0" w:color="auto"/>
              <w:right w:val="single" w:sz="4" w:space="0" w:color="auto"/>
            </w:tcBorders>
            <w:noWrap/>
            <w:vAlign w:val="center"/>
            <w:hideMark/>
          </w:tcPr>
          <w:p w:rsidR="00242C36" w:rsidRPr="00FD5F57" w:rsidRDefault="00242C36" w:rsidP="00242C36">
            <w:pPr>
              <w:pStyle w:val="normlnyneodsadenvavostab0"/>
              <w:spacing w:before="0" w:beforeAutospacing="0" w:after="0" w:afterAutospacing="0"/>
              <w:rPr>
                <w:rFonts w:ascii="Calibri" w:hAnsi="Calibri"/>
                <w:sz w:val="20"/>
                <w:szCs w:val="20"/>
              </w:rPr>
            </w:pPr>
            <w:r w:rsidRPr="00FD5F57">
              <w:rPr>
                <w:rFonts w:ascii="Calibri" w:hAnsi="Calibri"/>
                <w:sz w:val="20"/>
                <w:szCs w:val="20"/>
              </w:rPr>
              <w:t>Celkom LFA</w:t>
            </w:r>
          </w:p>
        </w:tc>
        <w:tc>
          <w:tcPr>
            <w:tcW w:w="1016" w:type="dxa"/>
            <w:tcBorders>
              <w:top w:val="single" w:sz="4" w:space="0" w:color="auto"/>
              <w:left w:val="single" w:sz="4" w:space="0" w:color="auto"/>
              <w:bottom w:val="single" w:sz="4" w:space="0" w:color="auto"/>
              <w:right w:val="single" w:sz="4" w:space="0" w:color="auto"/>
            </w:tcBorders>
            <w:noWrap/>
            <w:vAlign w:val="center"/>
            <w:hideMark/>
          </w:tcPr>
          <w:p w:rsidR="00242C36" w:rsidRPr="00FD5F57" w:rsidRDefault="00242C36" w:rsidP="00242C36">
            <w:pPr>
              <w:pStyle w:val="normlnyneodsadenvpravo"/>
              <w:spacing w:before="0" w:beforeAutospacing="0" w:after="0" w:afterAutospacing="0"/>
              <w:rPr>
                <w:rFonts w:ascii="Calibri" w:hAnsi="Calibri"/>
                <w:sz w:val="20"/>
                <w:szCs w:val="20"/>
              </w:rPr>
            </w:pPr>
            <w:r w:rsidRPr="00FD5F57">
              <w:rPr>
                <w:rFonts w:ascii="Calibri" w:hAnsi="Calibri"/>
                <w:sz w:val="20"/>
                <w:szCs w:val="20"/>
              </w:rPr>
              <w:t>1 150 870</w:t>
            </w:r>
          </w:p>
        </w:tc>
        <w:tc>
          <w:tcPr>
            <w:tcW w:w="1016" w:type="dxa"/>
            <w:tcBorders>
              <w:top w:val="single" w:sz="4" w:space="0" w:color="auto"/>
              <w:left w:val="single" w:sz="4" w:space="0" w:color="auto"/>
              <w:bottom w:val="single" w:sz="4" w:space="0" w:color="auto"/>
              <w:right w:val="single" w:sz="4" w:space="0" w:color="auto"/>
            </w:tcBorders>
            <w:noWrap/>
            <w:vAlign w:val="center"/>
            <w:hideMark/>
          </w:tcPr>
          <w:p w:rsidR="00242C36" w:rsidRPr="00FD5F57" w:rsidRDefault="00242C36" w:rsidP="00242C36">
            <w:pPr>
              <w:pStyle w:val="normlnyneodsadenvpravo"/>
              <w:spacing w:before="0" w:beforeAutospacing="0" w:after="0" w:afterAutospacing="0"/>
              <w:rPr>
                <w:rFonts w:ascii="Calibri" w:hAnsi="Calibri"/>
                <w:sz w:val="20"/>
                <w:szCs w:val="20"/>
              </w:rPr>
            </w:pPr>
            <w:r w:rsidRPr="00FD5F57">
              <w:rPr>
                <w:rFonts w:ascii="Calibri" w:hAnsi="Calibri"/>
                <w:sz w:val="20"/>
                <w:szCs w:val="20"/>
              </w:rPr>
              <w:t>1 163 327</w:t>
            </w:r>
          </w:p>
        </w:tc>
        <w:tc>
          <w:tcPr>
            <w:tcW w:w="1016" w:type="dxa"/>
            <w:tcBorders>
              <w:top w:val="single" w:sz="4" w:space="0" w:color="auto"/>
              <w:left w:val="single" w:sz="4" w:space="0" w:color="auto"/>
              <w:bottom w:val="single" w:sz="4" w:space="0" w:color="auto"/>
              <w:right w:val="single" w:sz="4" w:space="0" w:color="auto"/>
            </w:tcBorders>
            <w:noWrap/>
            <w:vAlign w:val="center"/>
            <w:hideMark/>
          </w:tcPr>
          <w:p w:rsidR="00242C36" w:rsidRPr="00FD5F57" w:rsidRDefault="00242C36" w:rsidP="00242C36">
            <w:pPr>
              <w:pStyle w:val="normlnyneodsadenvpravo"/>
              <w:spacing w:before="0" w:beforeAutospacing="0" w:after="0" w:afterAutospacing="0"/>
              <w:rPr>
                <w:rFonts w:ascii="Calibri" w:hAnsi="Calibri"/>
                <w:sz w:val="20"/>
                <w:szCs w:val="20"/>
              </w:rPr>
            </w:pPr>
            <w:r w:rsidRPr="00FD5F57">
              <w:rPr>
                <w:rFonts w:ascii="Calibri" w:hAnsi="Calibri"/>
                <w:sz w:val="20"/>
                <w:szCs w:val="20"/>
              </w:rPr>
              <w:t>1 170 696</w:t>
            </w:r>
          </w:p>
        </w:tc>
        <w:tc>
          <w:tcPr>
            <w:tcW w:w="1016" w:type="dxa"/>
            <w:tcBorders>
              <w:top w:val="single" w:sz="4" w:space="0" w:color="auto"/>
              <w:left w:val="single" w:sz="4" w:space="0" w:color="auto"/>
              <w:bottom w:val="single" w:sz="4" w:space="0" w:color="auto"/>
              <w:right w:val="single" w:sz="4" w:space="0" w:color="auto"/>
            </w:tcBorders>
            <w:noWrap/>
            <w:vAlign w:val="center"/>
            <w:hideMark/>
          </w:tcPr>
          <w:p w:rsidR="00242C36" w:rsidRPr="00FD5F57" w:rsidRDefault="00242C36" w:rsidP="00242C36">
            <w:pPr>
              <w:pStyle w:val="normlnyneodsadenvpravo"/>
              <w:spacing w:before="0" w:beforeAutospacing="0" w:after="0" w:afterAutospacing="0"/>
              <w:rPr>
                <w:rFonts w:ascii="Calibri" w:hAnsi="Calibri"/>
                <w:sz w:val="20"/>
                <w:szCs w:val="20"/>
              </w:rPr>
            </w:pPr>
            <w:r w:rsidRPr="00FD5F57">
              <w:rPr>
                <w:rFonts w:ascii="Calibri" w:hAnsi="Calibri"/>
                <w:sz w:val="20"/>
                <w:szCs w:val="20"/>
              </w:rPr>
              <w:t>1 167 535</w:t>
            </w:r>
          </w:p>
        </w:tc>
        <w:tc>
          <w:tcPr>
            <w:tcW w:w="1028" w:type="dxa"/>
            <w:tcBorders>
              <w:top w:val="single" w:sz="4" w:space="0" w:color="auto"/>
              <w:left w:val="single" w:sz="4" w:space="0" w:color="auto"/>
              <w:bottom w:val="single" w:sz="4" w:space="0" w:color="auto"/>
              <w:right w:val="single" w:sz="4" w:space="0" w:color="auto"/>
            </w:tcBorders>
            <w:noWrap/>
            <w:vAlign w:val="center"/>
            <w:hideMark/>
          </w:tcPr>
          <w:p w:rsidR="00242C36" w:rsidRPr="00FD5F57" w:rsidRDefault="00242C36" w:rsidP="00242C36">
            <w:pPr>
              <w:pStyle w:val="normlnyneodsadenvpravo"/>
              <w:spacing w:before="0" w:beforeAutospacing="0" w:after="0" w:afterAutospacing="0"/>
              <w:rPr>
                <w:rFonts w:ascii="Calibri" w:hAnsi="Calibri"/>
                <w:sz w:val="20"/>
                <w:szCs w:val="20"/>
              </w:rPr>
            </w:pPr>
            <w:r w:rsidRPr="00FD5F57">
              <w:rPr>
                <w:rFonts w:ascii="Calibri" w:hAnsi="Calibri"/>
                <w:sz w:val="20"/>
                <w:szCs w:val="20"/>
              </w:rPr>
              <w:t>1 162 714</w:t>
            </w:r>
          </w:p>
        </w:tc>
        <w:tc>
          <w:tcPr>
            <w:tcW w:w="1016" w:type="dxa"/>
            <w:tcBorders>
              <w:top w:val="single" w:sz="4" w:space="0" w:color="auto"/>
              <w:left w:val="single" w:sz="4" w:space="0" w:color="auto"/>
              <w:bottom w:val="single" w:sz="4" w:space="0" w:color="auto"/>
              <w:right w:val="single" w:sz="4" w:space="0" w:color="auto"/>
            </w:tcBorders>
            <w:vAlign w:val="center"/>
            <w:hideMark/>
          </w:tcPr>
          <w:p w:rsidR="00242C36" w:rsidRPr="00FD5F57" w:rsidRDefault="00242C36" w:rsidP="00242C36">
            <w:pPr>
              <w:pStyle w:val="normlnyneodsadenvpravo"/>
              <w:spacing w:before="0" w:beforeAutospacing="0" w:after="0" w:afterAutospacing="0"/>
              <w:rPr>
                <w:rFonts w:ascii="Calibri" w:hAnsi="Calibri"/>
                <w:sz w:val="20"/>
                <w:szCs w:val="20"/>
              </w:rPr>
            </w:pPr>
            <w:r w:rsidRPr="00FD5F57">
              <w:rPr>
                <w:rFonts w:ascii="Calibri" w:hAnsi="Calibri"/>
                <w:sz w:val="20"/>
                <w:szCs w:val="20"/>
              </w:rPr>
              <w:t>1 168 020</w:t>
            </w:r>
          </w:p>
        </w:tc>
      </w:tr>
    </w:tbl>
    <w:p w:rsidR="00242C36" w:rsidRPr="00FD5F57" w:rsidRDefault="00242C36" w:rsidP="00242C36">
      <w:pPr>
        <w:pStyle w:val="prame"/>
        <w:spacing w:before="0" w:beforeAutospacing="0" w:after="0" w:afterAutospacing="0"/>
        <w:rPr>
          <w:rFonts w:ascii="Calibri" w:hAnsi="Calibri"/>
          <w:sz w:val="20"/>
          <w:szCs w:val="20"/>
        </w:rPr>
      </w:pPr>
      <w:r w:rsidRPr="00FD5F57">
        <w:rPr>
          <w:rFonts w:ascii="Calibri" w:hAnsi="Calibri"/>
          <w:sz w:val="20"/>
          <w:szCs w:val="20"/>
        </w:rPr>
        <w:t xml:space="preserve">Prameň: PPA </w:t>
      </w:r>
    </w:p>
    <w:p w:rsidR="00242C36" w:rsidRDefault="00242C36" w:rsidP="00242C36">
      <w:pPr>
        <w:pBdr>
          <w:bar w:val="single" w:sz="6" w:color="808080"/>
        </w:pBdr>
        <w:rPr>
          <w:rFonts w:ascii="Calibri" w:eastAsia="Calibri" w:hAnsi="Calibri"/>
          <w:b/>
          <w:bCs/>
          <w:szCs w:val="22"/>
          <w:lang w:val="en-GB" w:eastAsia="en-US"/>
        </w:rPr>
      </w:pPr>
    </w:p>
    <w:p w:rsidR="00242C36" w:rsidRPr="00E43137" w:rsidRDefault="00242C36" w:rsidP="00242C36">
      <w:pPr>
        <w:pBdr>
          <w:bar w:val="single" w:sz="6" w:color="808080"/>
        </w:pBdr>
        <w:rPr>
          <w:rFonts w:ascii="Calibri" w:eastAsia="Calibri" w:hAnsi="Calibri"/>
          <w:szCs w:val="22"/>
          <w:lang w:eastAsia="en-US"/>
        </w:rPr>
      </w:pPr>
      <w:r w:rsidRPr="00E43137">
        <w:rPr>
          <w:rFonts w:ascii="Calibri" w:eastAsia="Calibri" w:hAnsi="Calibri"/>
          <w:szCs w:val="22"/>
          <w:lang w:eastAsia="en-US"/>
        </w:rPr>
        <w:t>Podľa klasifikácie platnej od r. 200</w:t>
      </w:r>
      <w:r>
        <w:rPr>
          <w:rFonts w:ascii="Calibri" w:eastAsia="Calibri" w:hAnsi="Calibri"/>
          <w:szCs w:val="22"/>
          <w:lang w:eastAsia="en-US"/>
        </w:rPr>
        <w:t>4</w:t>
      </w:r>
      <w:r w:rsidRPr="00E43137">
        <w:rPr>
          <w:rFonts w:ascii="Calibri" w:eastAsia="Calibri" w:hAnsi="Calibri"/>
          <w:szCs w:val="22"/>
          <w:lang w:eastAsia="en-US"/>
        </w:rPr>
        <w:t xml:space="preserve"> má SR 61,3 % podiel </w:t>
      </w:r>
      <w:r>
        <w:rPr>
          <w:rFonts w:ascii="Calibri" w:eastAsia="Calibri" w:hAnsi="Calibri"/>
          <w:szCs w:val="22"/>
          <w:lang w:eastAsia="en-US"/>
        </w:rPr>
        <w:t xml:space="preserve">LPIS </w:t>
      </w:r>
      <w:r w:rsidRPr="00E43137">
        <w:rPr>
          <w:rFonts w:ascii="Calibri" w:eastAsia="Calibri" w:hAnsi="Calibri"/>
          <w:szCs w:val="22"/>
          <w:lang w:eastAsia="en-US"/>
        </w:rPr>
        <w:t>znevýhodnených území, z toho 24 % horských, 19,8 % ostatných a 17,5 % špecificky znevýhodnených území (</w:t>
      </w:r>
      <w:r w:rsidRPr="00B558EE">
        <w:rPr>
          <w:rFonts w:ascii="Calibri" w:eastAsia="Calibri" w:hAnsi="Calibri"/>
          <w:b/>
          <w:szCs w:val="22"/>
          <w:lang w:eastAsia="en-US"/>
        </w:rPr>
        <w:t>CCI 32</w:t>
      </w:r>
      <w:r w:rsidRPr="00E43137">
        <w:rPr>
          <w:rFonts w:ascii="Calibri" w:eastAsia="Calibri" w:hAnsi="Calibri"/>
          <w:szCs w:val="22"/>
          <w:lang w:eastAsia="en-US"/>
        </w:rPr>
        <w:t>).</w:t>
      </w:r>
    </w:p>
    <w:p w:rsidR="00242C36" w:rsidRDefault="00242C36" w:rsidP="00242C36">
      <w:pPr>
        <w:pBdr>
          <w:bar w:val="single" w:sz="6" w:color="808080"/>
        </w:pBdr>
        <w:rPr>
          <w:rFonts w:ascii="Calibri" w:eastAsia="Calibri" w:hAnsi="Calibri"/>
          <w:b/>
          <w:bCs/>
          <w:szCs w:val="22"/>
          <w:lang w:val="en-GB" w:eastAsia="en-US"/>
        </w:rPr>
      </w:pPr>
    </w:p>
    <w:p w:rsidR="00242C36" w:rsidRPr="00DA395B" w:rsidRDefault="00E32F57" w:rsidP="00242C36">
      <w:pPr>
        <w:pBdr>
          <w:bar w:val="single" w:sz="6" w:color="808080"/>
        </w:pBdr>
        <w:rPr>
          <w:rFonts w:ascii="Calibri" w:eastAsia="Calibri" w:hAnsi="Calibri"/>
          <w:szCs w:val="22"/>
          <w:lang w:eastAsia="en-US"/>
        </w:rPr>
      </w:pPr>
      <w:r>
        <w:rPr>
          <w:rFonts w:ascii="Calibri" w:eastAsia="Calibri" w:hAnsi="Calibri"/>
          <w:b/>
          <w:bCs/>
          <w:szCs w:val="22"/>
          <w:lang w:eastAsia="en-US"/>
        </w:rPr>
        <w:t xml:space="preserve">Tabuľka 35: </w:t>
      </w:r>
      <w:r w:rsidR="00242C36" w:rsidRPr="00DA395B">
        <w:rPr>
          <w:rFonts w:ascii="Calibri" w:eastAsia="Calibri" w:hAnsi="Calibri"/>
          <w:b/>
          <w:bCs/>
          <w:szCs w:val="22"/>
          <w:lang w:eastAsia="en-US"/>
        </w:rPr>
        <w:t>Súhrnný prehľad LFA: vyrokovaná výmera</w:t>
      </w:r>
    </w:p>
    <w:tbl>
      <w:tblP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668"/>
        <w:gridCol w:w="2551"/>
        <w:gridCol w:w="2552"/>
        <w:gridCol w:w="2301"/>
      </w:tblGrid>
      <w:tr w:rsidR="00242C36" w:rsidRPr="00DA395B" w:rsidTr="00242C36">
        <w:tc>
          <w:tcPr>
            <w:tcW w:w="1668" w:type="dxa"/>
            <w:shd w:val="clear" w:color="auto" w:fill="FFFF00"/>
          </w:tcPr>
          <w:p w:rsidR="00242C36" w:rsidRPr="00DA395B" w:rsidRDefault="00242C36" w:rsidP="00242C36">
            <w:pPr>
              <w:pBdr>
                <w:bar w:val="single" w:sz="6" w:color="808080"/>
              </w:pBdr>
              <w:rPr>
                <w:rFonts w:ascii="Calibri" w:eastAsia="Calibri" w:hAnsi="Calibri"/>
                <w:b/>
                <w:bCs/>
                <w:sz w:val="20"/>
                <w:szCs w:val="20"/>
                <w:lang w:eastAsia="en-US"/>
              </w:rPr>
            </w:pPr>
          </w:p>
        </w:tc>
        <w:tc>
          <w:tcPr>
            <w:tcW w:w="2551" w:type="dxa"/>
            <w:shd w:val="clear" w:color="auto" w:fill="FFFF00"/>
          </w:tcPr>
          <w:p w:rsidR="00242C36" w:rsidRPr="00DA395B" w:rsidRDefault="00242C36" w:rsidP="00242C36">
            <w:pPr>
              <w:pBdr>
                <w:bar w:val="single" w:sz="6" w:color="808080"/>
              </w:pBdr>
              <w:jc w:val="center"/>
              <w:rPr>
                <w:rFonts w:ascii="Calibri" w:eastAsia="Calibri" w:hAnsi="Calibri"/>
                <w:b/>
                <w:bCs/>
                <w:sz w:val="20"/>
                <w:szCs w:val="20"/>
                <w:lang w:eastAsia="en-US"/>
              </w:rPr>
            </w:pPr>
            <w:r w:rsidRPr="00DA395B">
              <w:rPr>
                <w:rFonts w:ascii="Calibri" w:eastAsia="Calibri" w:hAnsi="Calibri"/>
                <w:b/>
                <w:bCs/>
                <w:sz w:val="20"/>
                <w:szCs w:val="20"/>
                <w:lang w:eastAsia="en-US"/>
              </w:rPr>
              <w:t>LFA SR</w:t>
            </w:r>
          </w:p>
        </w:tc>
        <w:tc>
          <w:tcPr>
            <w:tcW w:w="2552" w:type="dxa"/>
            <w:shd w:val="clear" w:color="auto" w:fill="FFFF00"/>
          </w:tcPr>
          <w:p w:rsidR="00242C36" w:rsidRPr="00DA395B" w:rsidRDefault="00242C36" w:rsidP="00242C36">
            <w:pPr>
              <w:pBdr>
                <w:bar w:val="single" w:sz="6" w:color="808080"/>
              </w:pBdr>
              <w:jc w:val="center"/>
              <w:rPr>
                <w:rFonts w:ascii="Calibri" w:eastAsia="Calibri" w:hAnsi="Calibri"/>
                <w:b/>
                <w:bCs/>
                <w:sz w:val="20"/>
                <w:szCs w:val="20"/>
                <w:lang w:eastAsia="en-US"/>
              </w:rPr>
            </w:pPr>
            <w:r w:rsidRPr="00DA395B">
              <w:rPr>
                <w:rFonts w:ascii="Calibri" w:eastAsia="Calibri" w:hAnsi="Calibri"/>
                <w:b/>
                <w:bCs/>
                <w:sz w:val="20"/>
                <w:szCs w:val="20"/>
                <w:lang w:eastAsia="en-US"/>
              </w:rPr>
              <w:t>Menej rozvinuté regióny</w:t>
            </w:r>
          </w:p>
        </w:tc>
        <w:tc>
          <w:tcPr>
            <w:tcW w:w="2301" w:type="dxa"/>
            <w:shd w:val="clear" w:color="auto" w:fill="FFFF00"/>
          </w:tcPr>
          <w:p w:rsidR="00242C36" w:rsidRPr="00DA395B" w:rsidRDefault="00242C36" w:rsidP="00242C36">
            <w:pPr>
              <w:pBdr>
                <w:bar w:val="single" w:sz="6" w:color="808080"/>
              </w:pBdr>
              <w:jc w:val="center"/>
              <w:rPr>
                <w:rFonts w:ascii="Calibri" w:eastAsia="Calibri" w:hAnsi="Calibri"/>
                <w:b/>
                <w:bCs/>
                <w:sz w:val="20"/>
                <w:szCs w:val="20"/>
                <w:lang w:eastAsia="en-US"/>
              </w:rPr>
            </w:pPr>
            <w:r w:rsidRPr="00DA395B">
              <w:rPr>
                <w:rFonts w:ascii="Calibri" w:eastAsia="Calibri" w:hAnsi="Calibri"/>
                <w:b/>
                <w:bCs/>
                <w:sz w:val="20"/>
                <w:szCs w:val="20"/>
                <w:lang w:eastAsia="en-US"/>
              </w:rPr>
              <w:t>Ostatné oblasti</w:t>
            </w:r>
          </w:p>
        </w:tc>
      </w:tr>
      <w:tr w:rsidR="00242C36" w:rsidRPr="00DA395B" w:rsidTr="00242C36">
        <w:trPr>
          <w:trHeight w:val="547"/>
        </w:trPr>
        <w:tc>
          <w:tcPr>
            <w:tcW w:w="1668" w:type="dxa"/>
            <w:shd w:val="clear" w:color="auto" w:fill="FFFF00"/>
          </w:tcPr>
          <w:p w:rsidR="00242C36" w:rsidRPr="00DA395B" w:rsidRDefault="00242C36" w:rsidP="00242C36">
            <w:pPr>
              <w:pBdr>
                <w:bar w:val="single" w:sz="6" w:color="808080"/>
              </w:pBdr>
              <w:rPr>
                <w:rFonts w:ascii="Calibri" w:eastAsia="Calibri" w:hAnsi="Calibri"/>
                <w:b/>
                <w:bCs/>
                <w:sz w:val="20"/>
                <w:szCs w:val="20"/>
                <w:lang w:eastAsia="en-US"/>
              </w:rPr>
            </w:pPr>
            <w:r w:rsidRPr="00DA395B">
              <w:rPr>
                <w:rFonts w:ascii="Calibri" w:eastAsia="Calibri" w:hAnsi="Calibri"/>
                <w:b/>
                <w:bCs/>
                <w:sz w:val="20"/>
                <w:szCs w:val="20"/>
                <w:lang w:eastAsia="en-US"/>
              </w:rPr>
              <w:t>Kategória znevýhodnenia</w:t>
            </w:r>
          </w:p>
        </w:tc>
        <w:tc>
          <w:tcPr>
            <w:tcW w:w="2551" w:type="dxa"/>
            <w:shd w:val="clear" w:color="auto" w:fill="FFFF00"/>
          </w:tcPr>
          <w:p w:rsidR="00242C36" w:rsidRPr="00DA395B" w:rsidRDefault="00242C36" w:rsidP="00242C36">
            <w:pPr>
              <w:pBdr>
                <w:bar w:val="single" w:sz="6" w:color="808080"/>
              </w:pBdr>
              <w:jc w:val="center"/>
              <w:rPr>
                <w:rFonts w:ascii="Calibri" w:eastAsia="Calibri" w:hAnsi="Calibri"/>
                <w:sz w:val="20"/>
                <w:szCs w:val="20"/>
                <w:lang w:eastAsia="en-US"/>
              </w:rPr>
            </w:pPr>
            <w:r w:rsidRPr="00DA395B">
              <w:rPr>
                <w:rFonts w:ascii="Calibri" w:eastAsia="Calibri" w:hAnsi="Calibri"/>
                <w:sz w:val="20"/>
                <w:szCs w:val="20"/>
                <w:lang w:eastAsia="en-US"/>
              </w:rPr>
              <w:t>ha</w:t>
            </w:r>
          </w:p>
        </w:tc>
        <w:tc>
          <w:tcPr>
            <w:tcW w:w="2552" w:type="dxa"/>
            <w:shd w:val="clear" w:color="auto" w:fill="FFFF00"/>
          </w:tcPr>
          <w:p w:rsidR="00242C36" w:rsidRPr="00DA395B" w:rsidRDefault="00242C36" w:rsidP="00242C36">
            <w:pPr>
              <w:pBdr>
                <w:bar w:val="single" w:sz="6" w:color="808080"/>
              </w:pBdr>
              <w:jc w:val="center"/>
              <w:rPr>
                <w:rFonts w:ascii="Calibri" w:eastAsia="Calibri" w:hAnsi="Calibri"/>
                <w:sz w:val="20"/>
                <w:szCs w:val="20"/>
                <w:lang w:eastAsia="en-US"/>
              </w:rPr>
            </w:pPr>
            <w:r w:rsidRPr="00DA395B">
              <w:rPr>
                <w:rFonts w:ascii="Calibri" w:eastAsia="Calibri" w:hAnsi="Calibri"/>
                <w:sz w:val="20"/>
                <w:szCs w:val="20"/>
                <w:lang w:eastAsia="en-US"/>
              </w:rPr>
              <w:t>ha</w:t>
            </w:r>
          </w:p>
        </w:tc>
        <w:tc>
          <w:tcPr>
            <w:tcW w:w="2301" w:type="dxa"/>
            <w:shd w:val="clear" w:color="auto" w:fill="FFFF00"/>
          </w:tcPr>
          <w:p w:rsidR="00242C36" w:rsidRPr="00DA395B" w:rsidRDefault="00242C36" w:rsidP="00242C36">
            <w:pPr>
              <w:pBdr>
                <w:bar w:val="single" w:sz="6" w:color="808080"/>
              </w:pBdr>
              <w:jc w:val="center"/>
              <w:rPr>
                <w:rFonts w:ascii="Calibri" w:eastAsia="Calibri" w:hAnsi="Calibri"/>
                <w:sz w:val="20"/>
                <w:szCs w:val="20"/>
                <w:lang w:eastAsia="en-US"/>
              </w:rPr>
            </w:pPr>
            <w:r w:rsidRPr="00DA395B">
              <w:rPr>
                <w:rFonts w:ascii="Calibri" w:eastAsia="Calibri" w:hAnsi="Calibri"/>
                <w:sz w:val="20"/>
                <w:szCs w:val="20"/>
                <w:lang w:eastAsia="en-US"/>
              </w:rPr>
              <w:t>ha</w:t>
            </w:r>
          </w:p>
        </w:tc>
      </w:tr>
      <w:tr w:rsidR="00242C36" w:rsidRPr="00DA395B" w:rsidTr="00242C36">
        <w:trPr>
          <w:trHeight w:val="416"/>
        </w:trPr>
        <w:tc>
          <w:tcPr>
            <w:tcW w:w="1668" w:type="dxa"/>
          </w:tcPr>
          <w:p w:rsidR="00242C36" w:rsidRPr="00DA395B" w:rsidRDefault="00242C36" w:rsidP="00242C36">
            <w:pPr>
              <w:pBdr>
                <w:bar w:val="single" w:sz="6" w:color="808080"/>
              </w:pBdr>
              <w:rPr>
                <w:rFonts w:ascii="Calibri" w:eastAsia="Calibri" w:hAnsi="Calibri"/>
                <w:b/>
                <w:bCs/>
                <w:sz w:val="20"/>
                <w:szCs w:val="20"/>
                <w:lang w:eastAsia="en-US"/>
              </w:rPr>
            </w:pPr>
            <w:r w:rsidRPr="00DA395B">
              <w:rPr>
                <w:rFonts w:ascii="Calibri" w:eastAsia="Calibri" w:hAnsi="Calibri"/>
                <w:b/>
                <w:bCs/>
                <w:sz w:val="20"/>
                <w:szCs w:val="20"/>
                <w:lang w:eastAsia="en-US"/>
              </w:rPr>
              <w:t>Horské oblasti</w:t>
            </w:r>
          </w:p>
        </w:tc>
        <w:tc>
          <w:tcPr>
            <w:tcW w:w="2551" w:type="dxa"/>
          </w:tcPr>
          <w:p w:rsidR="00242C36" w:rsidRPr="00DA395B" w:rsidRDefault="00242C36" w:rsidP="00242C36">
            <w:pPr>
              <w:pBdr>
                <w:bar w:val="single" w:sz="6" w:color="808080"/>
              </w:pBdr>
              <w:jc w:val="center"/>
              <w:rPr>
                <w:rFonts w:ascii="Calibri" w:eastAsia="Calibri" w:hAnsi="Calibri"/>
                <w:sz w:val="20"/>
                <w:szCs w:val="20"/>
                <w:lang w:eastAsia="en-US"/>
              </w:rPr>
            </w:pPr>
            <w:r w:rsidRPr="00DA395B">
              <w:rPr>
                <w:rFonts w:ascii="Calibri" w:eastAsia="Calibri" w:hAnsi="Calibri"/>
                <w:sz w:val="20"/>
                <w:szCs w:val="20"/>
                <w:lang w:eastAsia="en-US"/>
              </w:rPr>
              <w:t>486 594</w:t>
            </w:r>
          </w:p>
        </w:tc>
        <w:tc>
          <w:tcPr>
            <w:tcW w:w="2552" w:type="dxa"/>
          </w:tcPr>
          <w:p w:rsidR="00242C36" w:rsidRPr="00DA395B" w:rsidRDefault="00242C36" w:rsidP="00242C36">
            <w:pPr>
              <w:pBdr>
                <w:bar w:val="single" w:sz="6" w:color="808080"/>
              </w:pBdr>
              <w:jc w:val="center"/>
              <w:rPr>
                <w:rFonts w:ascii="Calibri" w:eastAsia="Calibri" w:hAnsi="Calibri"/>
                <w:sz w:val="20"/>
                <w:szCs w:val="20"/>
                <w:lang w:eastAsia="en-US"/>
              </w:rPr>
            </w:pPr>
            <w:r w:rsidRPr="00DA395B">
              <w:rPr>
                <w:rFonts w:ascii="Calibri" w:eastAsia="Calibri" w:hAnsi="Calibri"/>
                <w:sz w:val="20"/>
                <w:szCs w:val="20"/>
                <w:lang w:eastAsia="en-US"/>
              </w:rPr>
              <w:t>486 594</w:t>
            </w:r>
          </w:p>
        </w:tc>
        <w:tc>
          <w:tcPr>
            <w:tcW w:w="2301" w:type="dxa"/>
          </w:tcPr>
          <w:p w:rsidR="00242C36" w:rsidRPr="00DA395B" w:rsidRDefault="00242C36" w:rsidP="00242C36">
            <w:pPr>
              <w:pBdr>
                <w:bar w:val="single" w:sz="6" w:color="808080"/>
              </w:pBdr>
              <w:jc w:val="center"/>
              <w:rPr>
                <w:rFonts w:ascii="Calibri" w:eastAsia="Calibri" w:hAnsi="Calibri"/>
                <w:sz w:val="20"/>
                <w:szCs w:val="20"/>
                <w:lang w:eastAsia="en-US"/>
              </w:rPr>
            </w:pPr>
            <w:r w:rsidRPr="00DA395B">
              <w:rPr>
                <w:rFonts w:ascii="Calibri" w:eastAsia="Calibri" w:hAnsi="Calibri"/>
                <w:sz w:val="20"/>
                <w:szCs w:val="20"/>
                <w:lang w:eastAsia="en-US"/>
              </w:rPr>
              <w:t>0</w:t>
            </w:r>
          </w:p>
        </w:tc>
      </w:tr>
      <w:tr w:rsidR="00242C36" w:rsidRPr="00DA395B" w:rsidTr="00242C36">
        <w:tc>
          <w:tcPr>
            <w:tcW w:w="1668" w:type="dxa"/>
          </w:tcPr>
          <w:p w:rsidR="00242C36" w:rsidRPr="00DA395B" w:rsidRDefault="00242C36" w:rsidP="00242C36">
            <w:pPr>
              <w:pBdr>
                <w:bar w:val="single" w:sz="6" w:color="808080"/>
              </w:pBdr>
              <w:rPr>
                <w:rFonts w:ascii="Calibri" w:eastAsia="Calibri" w:hAnsi="Calibri"/>
                <w:b/>
                <w:bCs/>
                <w:sz w:val="20"/>
                <w:szCs w:val="20"/>
                <w:lang w:eastAsia="en-US"/>
              </w:rPr>
            </w:pPr>
            <w:r w:rsidRPr="00DA395B">
              <w:rPr>
                <w:rFonts w:ascii="Calibri" w:eastAsia="Calibri" w:hAnsi="Calibri"/>
                <w:b/>
                <w:bCs/>
                <w:sz w:val="20"/>
                <w:szCs w:val="20"/>
                <w:lang w:eastAsia="en-US"/>
              </w:rPr>
              <w:t>Ostatné znevýhodnené</w:t>
            </w:r>
          </w:p>
        </w:tc>
        <w:tc>
          <w:tcPr>
            <w:tcW w:w="2551" w:type="dxa"/>
          </w:tcPr>
          <w:p w:rsidR="00242C36" w:rsidRPr="00DA395B" w:rsidRDefault="00242C36" w:rsidP="00242C36">
            <w:pPr>
              <w:pBdr>
                <w:bar w:val="single" w:sz="6" w:color="808080"/>
              </w:pBdr>
              <w:jc w:val="center"/>
              <w:rPr>
                <w:rFonts w:ascii="Calibri" w:eastAsia="Calibri" w:hAnsi="Calibri"/>
                <w:sz w:val="20"/>
                <w:szCs w:val="20"/>
                <w:lang w:eastAsia="en-US"/>
              </w:rPr>
            </w:pPr>
            <w:r w:rsidRPr="00DA395B">
              <w:rPr>
                <w:rFonts w:ascii="Calibri" w:eastAsia="Calibri" w:hAnsi="Calibri"/>
                <w:sz w:val="20"/>
                <w:szCs w:val="20"/>
                <w:lang w:eastAsia="en-US"/>
              </w:rPr>
              <w:t>390 966</w:t>
            </w:r>
          </w:p>
        </w:tc>
        <w:tc>
          <w:tcPr>
            <w:tcW w:w="2552" w:type="dxa"/>
          </w:tcPr>
          <w:p w:rsidR="00242C36" w:rsidRPr="00DA395B" w:rsidRDefault="00242C36" w:rsidP="00242C36">
            <w:pPr>
              <w:pBdr>
                <w:bar w:val="single" w:sz="6" w:color="808080"/>
              </w:pBdr>
              <w:jc w:val="center"/>
              <w:rPr>
                <w:rFonts w:ascii="Calibri" w:eastAsia="Calibri" w:hAnsi="Calibri"/>
                <w:sz w:val="20"/>
                <w:szCs w:val="20"/>
                <w:lang w:eastAsia="en-US"/>
              </w:rPr>
            </w:pPr>
            <w:r w:rsidRPr="00DA395B">
              <w:rPr>
                <w:rFonts w:ascii="Calibri" w:eastAsia="Calibri" w:hAnsi="Calibri"/>
                <w:sz w:val="20"/>
                <w:szCs w:val="20"/>
                <w:lang w:eastAsia="en-US"/>
              </w:rPr>
              <w:t>363 992</w:t>
            </w:r>
          </w:p>
        </w:tc>
        <w:tc>
          <w:tcPr>
            <w:tcW w:w="2301" w:type="dxa"/>
          </w:tcPr>
          <w:p w:rsidR="00242C36" w:rsidRPr="00DA395B" w:rsidRDefault="00242C36" w:rsidP="00242C36">
            <w:pPr>
              <w:pBdr>
                <w:bar w:val="single" w:sz="6" w:color="808080"/>
              </w:pBdr>
              <w:jc w:val="center"/>
              <w:rPr>
                <w:rFonts w:ascii="Calibri" w:eastAsia="Calibri" w:hAnsi="Calibri"/>
                <w:sz w:val="20"/>
                <w:szCs w:val="20"/>
                <w:lang w:eastAsia="en-US"/>
              </w:rPr>
            </w:pPr>
            <w:r w:rsidRPr="00DA395B">
              <w:rPr>
                <w:rFonts w:ascii="Calibri" w:eastAsia="Calibri" w:hAnsi="Calibri"/>
                <w:sz w:val="20"/>
                <w:szCs w:val="20"/>
                <w:lang w:eastAsia="en-US"/>
              </w:rPr>
              <w:t>26 974</w:t>
            </w:r>
          </w:p>
        </w:tc>
      </w:tr>
      <w:tr w:rsidR="00242C36" w:rsidRPr="00DA395B" w:rsidTr="00242C36">
        <w:tc>
          <w:tcPr>
            <w:tcW w:w="1668" w:type="dxa"/>
          </w:tcPr>
          <w:p w:rsidR="00242C36" w:rsidRPr="00DA395B" w:rsidRDefault="00242C36" w:rsidP="00242C36">
            <w:pPr>
              <w:pBdr>
                <w:bar w:val="single" w:sz="6" w:color="808080"/>
              </w:pBdr>
              <w:rPr>
                <w:rFonts w:ascii="Calibri" w:eastAsia="Calibri" w:hAnsi="Calibri"/>
                <w:b/>
                <w:bCs/>
                <w:sz w:val="20"/>
                <w:szCs w:val="20"/>
                <w:lang w:eastAsia="en-US"/>
              </w:rPr>
            </w:pPr>
            <w:r w:rsidRPr="00DA395B">
              <w:rPr>
                <w:rFonts w:ascii="Calibri" w:eastAsia="Calibri" w:hAnsi="Calibri"/>
                <w:b/>
                <w:bCs/>
                <w:sz w:val="20"/>
                <w:szCs w:val="20"/>
                <w:lang w:eastAsia="en-US"/>
              </w:rPr>
              <w:t>Špecificky  znevýhodnené</w:t>
            </w:r>
          </w:p>
        </w:tc>
        <w:tc>
          <w:tcPr>
            <w:tcW w:w="2551" w:type="dxa"/>
          </w:tcPr>
          <w:p w:rsidR="00242C36" w:rsidRPr="00DA395B" w:rsidRDefault="00242C36" w:rsidP="00242C36">
            <w:pPr>
              <w:pBdr>
                <w:bar w:val="single" w:sz="6" w:color="808080"/>
              </w:pBdr>
              <w:jc w:val="center"/>
              <w:rPr>
                <w:rFonts w:ascii="Calibri" w:eastAsia="Calibri" w:hAnsi="Calibri"/>
                <w:sz w:val="20"/>
                <w:szCs w:val="20"/>
                <w:lang w:eastAsia="en-US"/>
              </w:rPr>
            </w:pPr>
            <w:r w:rsidRPr="00DA395B">
              <w:rPr>
                <w:rFonts w:ascii="Calibri" w:eastAsia="Calibri" w:hAnsi="Calibri"/>
                <w:sz w:val="20"/>
                <w:szCs w:val="20"/>
                <w:lang w:eastAsia="en-US"/>
              </w:rPr>
              <w:t>348 203</w:t>
            </w:r>
          </w:p>
        </w:tc>
        <w:tc>
          <w:tcPr>
            <w:tcW w:w="2552" w:type="dxa"/>
          </w:tcPr>
          <w:p w:rsidR="00242C36" w:rsidRPr="00DA395B" w:rsidRDefault="00242C36" w:rsidP="00242C36">
            <w:pPr>
              <w:pBdr>
                <w:bar w:val="single" w:sz="6" w:color="808080"/>
              </w:pBdr>
              <w:jc w:val="center"/>
              <w:rPr>
                <w:rFonts w:ascii="Calibri" w:eastAsia="Calibri" w:hAnsi="Calibri"/>
                <w:sz w:val="20"/>
                <w:szCs w:val="20"/>
                <w:lang w:eastAsia="en-US"/>
              </w:rPr>
            </w:pPr>
            <w:r w:rsidRPr="00DA395B">
              <w:rPr>
                <w:rFonts w:ascii="Calibri" w:eastAsia="Calibri" w:hAnsi="Calibri"/>
                <w:sz w:val="20"/>
                <w:szCs w:val="20"/>
                <w:lang w:eastAsia="en-US"/>
              </w:rPr>
              <w:t>341 529</w:t>
            </w:r>
          </w:p>
        </w:tc>
        <w:tc>
          <w:tcPr>
            <w:tcW w:w="2301" w:type="dxa"/>
          </w:tcPr>
          <w:p w:rsidR="00242C36" w:rsidRPr="00DA395B" w:rsidRDefault="00242C36" w:rsidP="00242C36">
            <w:pPr>
              <w:pBdr>
                <w:bar w:val="single" w:sz="6" w:color="808080"/>
              </w:pBdr>
              <w:jc w:val="center"/>
              <w:rPr>
                <w:rFonts w:ascii="Calibri" w:eastAsia="Calibri" w:hAnsi="Calibri"/>
                <w:sz w:val="20"/>
                <w:szCs w:val="20"/>
                <w:lang w:eastAsia="en-US"/>
              </w:rPr>
            </w:pPr>
            <w:r w:rsidRPr="00DA395B">
              <w:rPr>
                <w:rFonts w:ascii="Calibri" w:eastAsia="Calibri" w:hAnsi="Calibri"/>
                <w:sz w:val="20"/>
                <w:szCs w:val="20"/>
                <w:lang w:eastAsia="en-US"/>
              </w:rPr>
              <w:t>6 674</w:t>
            </w:r>
          </w:p>
        </w:tc>
      </w:tr>
      <w:tr w:rsidR="00242C36" w:rsidRPr="00DA395B" w:rsidTr="00242C36">
        <w:tc>
          <w:tcPr>
            <w:tcW w:w="1668" w:type="dxa"/>
          </w:tcPr>
          <w:p w:rsidR="00242C36" w:rsidRPr="00DA395B" w:rsidRDefault="00242C36" w:rsidP="00242C36">
            <w:pPr>
              <w:pBdr>
                <w:bar w:val="single" w:sz="6" w:color="808080"/>
              </w:pBdr>
              <w:rPr>
                <w:rFonts w:ascii="Calibri" w:eastAsia="Calibri" w:hAnsi="Calibri"/>
                <w:b/>
                <w:bCs/>
                <w:sz w:val="20"/>
                <w:szCs w:val="20"/>
                <w:lang w:eastAsia="en-US"/>
              </w:rPr>
            </w:pPr>
            <w:r w:rsidRPr="00DA395B">
              <w:rPr>
                <w:rFonts w:ascii="Calibri" w:eastAsia="Calibri" w:hAnsi="Calibri"/>
                <w:b/>
                <w:bCs/>
                <w:sz w:val="20"/>
                <w:szCs w:val="20"/>
                <w:lang w:eastAsia="en-US"/>
              </w:rPr>
              <w:t>LFA spolu</w:t>
            </w:r>
          </w:p>
        </w:tc>
        <w:tc>
          <w:tcPr>
            <w:tcW w:w="2551" w:type="dxa"/>
          </w:tcPr>
          <w:p w:rsidR="00242C36" w:rsidRPr="00DA395B" w:rsidRDefault="00242C36" w:rsidP="00242C36">
            <w:pPr>
              <w:pBdr>
                <w:bar w:val="single" w:sz="6" w:color="808080"/>
              </w:pBdr>
              <w:jc w:val="center"/>
              <w:rPr>
                <w:rFonts w:ascii="Calibri" w:eastAsia="Calibri" w:hAnsi="Calibri"/>
                <w:b/>
                <w:bCs/>
                <w:sz w:val="20"/>
                <w:szCs w:val="20"/>
                <w:lang w:eastAsia="en-US"/>
              </w:rPr>
            </w:pPr>
            <w:r w:rsidRPr="00DA395B">
              <w:rPr>
                <w:rFonts w:ascii="Calibri" w:eastAsia="Calibri" w:hAnsi="Calibri"/>
                <w:b/>
                <w:bCs/>
                <w:sz w:val="20"/>
                <w:szCs w:val="20"/>
                <w:lang w:eastAsia="en-US"/>
              </w:rPr>
              <w:t>1 225 764</w:t>
            </w:r>
          </w:p>
        </w:tc>
        <w:tc>
          <w:tcPr>
            <w:tcW w:w="2552" w:type="dxa"/>
          </w:tcPr>
          <w:p w:rsidR="00242C36" w:rsidRPr="00DA395B" w:rsidRDefault="00242C36" w:rsidP="00242C36">
            <w:pPr>
              <w:pBdr>
                <w:bar w:val="single" w:sz="6" w:color="808080"/>
              </w:pBdr>
              <w:jc w:val="center"/>
              <w:rPr>
                <w:rFonts w:ascii="Calibri" w:eastAsia="Calibri" w:hAnsi="Calibri"/>
                <w:b/>
                <w:bCs/>
                <w:sz w:val="20"/>
                <w:szCs w:val="20"/>
                <w:lang w:eastAsia="en-US"/>
              </w:rPr>
            </w:pPr>
            <w:r w:rsidRPr="00DA395B">
              <w:rPr>
                <w:rFonts w:ascii="Calibri" w:eastAsia="Calibri" w:hAnsi="Calibri"/>
                <w:b/>
                <w:bCs/>
                <w:sz w:val="20"/>
                <w:szCs w:val="20"/>
                <w:lang w:eastAsia="en-US"/>
              </w:rPr>
              <w:t>1 192 115</w:t>
            </w:r>
          </w:p>
        </w:tc>
        <w:tc>
          <w:tcPr>
            <w:tcW w:w="2301" w:type="dxa"/>
          </w:tcPr>
          <w:p w:rsidR="00242C36" w:rsidRPr="00DA395B" w:rsidRDefault="00242C36" w:rsidP="00242C36">
            <w:pPr>
              <w:pBdr>
                <w:bar w:val="single" w:sz="6" w:color="808080"/>
              </w:pBdr>
              <w:jc w:val="center"/>
              <w:rPr>
                <w:rFonts w:ascii="Calibri" w:eastAsia="Calibri" w:hAnsi="Calibri"/>
                <w:b/>
                <w:bCs/>
                <w:sz w:val="20"/>
                <w:szCs w:val="20"/>
                <w:lang w:eastAsia="en-US"/>
              </w:rPr>
            </w:pPr>
            <w:r w:rsidRPr="00DA395B">
              <w:rPr>
                <w:rFonts w:ascii="Calibri" w:eastAsia="Calibri" w:hAnsi="Calibri"/>
                <w:b/>
                <w:bCs/>
                <w:sz w:val="20"/>
                <w:szCs w:val="20"/>
                <w:lang w:eastAsia="en-US"/>
              </w:rPr>
              <w:t>33 648</w:t>
            </w:r>
          </w:p>
        </w:tc>
      </w:tr>
    </w:tbl>
    <w:p w:rsidR="00242C36" w:rsidRPr="00DA395B" w:rsidRDefault="00242C36" w:rsidP="00242C36">
      <w:pPr>
        <w:pBdr>
          <w:bar w:val="single" w:sz="6" w:color="808080"/>
        </w:pBdr>
        <w:rPr>
          <w:rFonts w:ascii="Calibri" w:eastAsia="Calibri" w:hAnsi="Calibri"/>
          <w:iCs/>
          <w:sz w:val="20"/>
          <w:szCs w:val="20"/>
          <w:lang w:eastAsia="en-US"/>
        </w:rPr>
      </w:pPr>
      <w:r w:rsidRPr="00DA395B">
        <w:rPr>
          <w:rFonts w:ascii="Calibri" w:eastAsia="Calibri" w:hAnsi="Calibri"/>
          <w:iCs/>
          <w:sz w:val="20"/>
          <w:szCs w:val="20"/>
          <w:lang w:eastAsia="en-US"/>
        </w:rPr>
        <w:t>Zdroj: PRV SR 2007-2013</w:t>
      </w:r>
    </w:p>
    <w:p w:rsidR="00242C36" w:rsidRPr="00DA395B" w:rsidRDefault="00242C36" w:rsidP="00242C36">
      <w:pPr>
        <w:pBdr>
          <w:bar w:val="single" w:sz="6" w:color="808080"/>
        </w:pBdr>
        <w:rPr>
          <w:rFonts w:ascii="Calibri" w:eastAsia="Calibri" w:hAnsi="Calibri"/>
          <w:iCs/>
          <w:sz w:val="20"/>
          <w:szCs w:val="20"/>
          <w:lang w:eastAsia="en-US"/>
        </w:rPr>
      </w:pPr>
      <w:r w:rsidRPr="00DA395B">
        <w:rPr>
          <w:rFonts w:ascii="Calibri" w:eastAsia="Calibri" w:hAnsi="Calibri"/>
          <w:iCs/>
          <w:sz w:val="20"/>
          <w:szCs w:val="20"/>
          <w:lang w:eastAsia="en-US"/>
        </w:rPr>
        <w:t>V súlade s článkami 31 a  32 nariadenia EPaR č.1305/2013 budú od roku 2018 stanovené nové oblasti s prírodnými alebo inými osobitnými obmedzeniami.</w:t>
      </w:r>
    </w:p>
    <w:p w:rsidR="00242C36" w:rsidRPr="00F94617" w:rsidRDefault="00242C36" w:rsidP="00242C36">
      <w:pPr>
        <w:pBdr>
          <w:bar w:val="single" w:sz="6" w:color="808080"/>
        </w:pBdr>
        <w:rPr>
          <w:rFonts w:ascii="Calibri" w:eastAsia="Calibri" w:hAnsi="Calibri"/>
          <w:szCs w:val="22"/>
          <w:lang w:val="en-GB" w:eastAsia="en-US"/>
        </w:rPr>
      </w:pPr>
    </w:p>
    <w:p w:rsidR="00242C36" w:rsidRPr="00E43137" w:rsidRDefault="00242C36" w:rsidP="00242C36">
      <w:pPr>
        <w:pBdr>
          <w:bar w:val="single" w:sz="6" w:color="808080"/>
        </w:pBdr>
        <w:spacing w:after="120"/>
        <w:rPr>
          <w:rFonts w:ascii="Calibri" w:eastAsia="Calibri" w:hAnsi="Calibri"/>
          <w:szCs w:val="22"/>
          <w:lang w:eastAsia="en-US"/>
        </w:rPr>
      </w:pPr>
      <w:r w:rsidRPr="00E43137">
        <w:rPr>
          <w:rFonts w:ascii="Calibri" w:eastAsia="Calibri" w:hAnsi="Calibri"/>
          <w:szCs w:val="22"/>
          <w:lang w:eastAsia="en-US"/>
        </w:rPr>
        <w:t xml:space="preserve">Poľnohospodárstvo v LFA sa prispôsobuje zhoršeným prírodným podmienkam. Prejavuje sa to už na úrovni zornenia, keď podiel ornej pôdy v LFA je hlboko pod úrovňou produkčných oblastí. V horských oblastiach dosahuje iba 34%. Smerom k lepším prírodným podmienkam sa zvyšuje a v oblastiach so špecifickými nevýhodami predstavuje 80%. </w:t>
      </w:r>
    </w:p>
    <w:p w:rsidR="00242C36" w:rsidRPr="00E43137" w:rsidRDefault="00E32F57" w:rsidP="00242C36">
      <w:pPr>
        <w:pBdr>
          <w:bar w:val="single" w:sz="6" w:color="808080"/>
        </w:pBdr>
        <w:spacing w:after="120"/>
        <w:rPr>
          <w:rFonts w:ascii="Calibri" w:eastAsia="Calibri" w:hAnsi="Calibri"/>
          <w:b/>
          <w:bCs/>
          <w:szCs w:val="22"/>
          <w:lang w:eastAsia="en-US"/>
        </w:rPr>
      </w:pPr>
      <w:r>
        <w:rPr>
          <w:rFonts w:ascii="Calibri" w:eastAsia="Calibri" w:hAnsi="Calibri"/>
          <w:b/>
          <w:bCs/>
          <w:szCs w:val="22"/>
          <w:lang w:eastAsia="en-US"/>
        </w:rPr>
        <w:t xml:space="preserve">Tabuľka 36: </w:t>
      </w:r>
      <w:r w:rsidR="00242C36" w:rsidRPr="00E43137">
        <w:rPr>
          <w:rFonts w:ascii="Calibri" w:eastAsia="Calibri" w:hAnsi="Calibri"/>
          <w:b/>
          <w:bCs/>
          <w:szCs w:val="22"/>
          <w:lang w:eastAsia="en-US"/>
        </w:rPr>
        <w:t>Využitie pôdy v LFA</w:t>
      </w:r>
    </w:p>
    <w:tbl>
      <w:tblPr>
        <w:tblW w:w="90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42"/>
        <w:gridCol w:w="1331"/>
        <w:gridCol w:w="1492"/>
        <w:gridCol w:w="1440"/>
        <w:gridCol w:w="1260"/>
      </w:tblGrid>
      <w:tr w:rsidR="00242C36" w:rsidRPr="00F06B5E" w:rsidTr="00242C36">
        <w:trPr>
          <w:trHeight w:val="163"/>
          <w:jc w:val="center"/>
        </w:trPr>
        <w:tc>
          <w:tcPr>
            <w:tcW w:w="3542" w:type="dxa"/>
            <w:vAlign w:val="center"/>
          </w:tcPr>
          <w:p w:rsidR="00242C36" w:rsidRPr="00F06B5E" w:rsidRDefault="00242C36" w:rsidP="00242C36">
            <w:pPr>
              <w:pBdr>
                <w:bar w:val="single" w:sz="6" w:color="808080"/>
              </w:pBdr>
              <w:spacing w:after="120"/>
              <w:rPr>
                <w:rFonts w:ascii="Calibri" w:eastAsia="Calibri" w:hAnsi="Calibri"/>
                <w:b/>
                <w:bCs/>
                <w:i/>
                <w:sz w:val="20"/>
                <w:szCs w:val="20"/>
                <w:lang w:eastAsia="en-US"/>
              </w:rPr>
            </w:pPr>
            <w:r w:rsidRPr="00F06B5E">
              <w:rPr>
                <w:rFonts w:ascii="Calibri" w:eastAsia="Calibri" w:hAnsi="Calibri"/>
                <w:b/>
                <w:bCs/>
                <w:i/>
                <w:sz w:val="20"/>
                <w:szCs w:val="20"/>
                <w:lang w:eastAsia="en-US"/>
              </w:rPr>
              <w:t>Ukazovateľ</w:t>
            </w:r>
          </w:p>
        </w:tc>
        <w:tc>
          <w:tcPr>
            <w:tcW w:w="1331" w:type="dxa"/>
            <w:vAlign w:val="center"/>
          </w:tcPr>
          <w:p w:rsidR="00242C36" w:rsidRPr="00F06B5E" w:rsidRDefault="00242C36" w:rsidP="00242C36">
            <w:pPr>
              <w:pBdr>
                <w:bar w:val="single" w:sz="6" w:color="808080"/>
              </w:pBdr>
              <w:spacing w:after="120"/>
              <w:rPr>
                <w:rFonts w:ascii="Calibri" w:eastAsia="Calibri" w:hAnsi="Calibri"/>
                <w:b/>
                <w:bCs/>
                <w:i/>
                <w:sz w:val="20"/>
                <w:szCs w:val="20"/>
                <w:lang w:eastAsia="en-US"/>
              </w:rPr>
            </w:pPr>
            <w:r w:rsidRPr="00E407A3">
              <w:rPr>
                <w:rFonts w:ascii="Calibri" w:eastAsia="Calibri" w:hAnsi="Calibri"/>
                <w:b/>
                <w:bCs/>
                <w:i/>
                <w:sz w:val="20"/>
                <w:szCs w:val="20"/>
                <w:lang w:eastAsia="en-US"/>
              </w:rPr>
              <w:t>Horské oblasti</w:t>
            </w:r>
          </w:p>
        </w:tc>
        <w:tc>
          <w:tcPr>
            <w:tcW w:w="1492" w:type="dxa"/>
            <w:vAlign w:val="center"/>
          </w:tcPr>
          <w:p w:rsidR="00242C36" w:rsidRPr="00F06B5E" w:rsidRDefault="00242C36" w:rsidP="00242C36">
            <w:pPr>
              <w:pBdr>
                <w:bar w:val="single" w:sz="6" w:color="808080"/>
              </w:pBdr>
              <w:spacing w:after="120"/>
              <w:rPr>
                <w:rFonts w:ascii="Calibri" w:eastAsia="Calibri" w:hAnsi="Calibri"/>
                <w:b/>
                <w:bCs/>
                <w:i/>
                <w:sz w:val="20"/>
                <w:szCs w:val="20"/>
                <w:lang w:eastAsia="en-US"/>
              </w:rPr>
            </w:pPr>
            <w:r w:rsidRPr="00E407A3">
              <w:rPr>
                <w:rFonts w:ascii="Calibri" w:eastAsia="Calibri" w:hAnsi="Calibri"/>
                <w:b/>
                <w:bCs/>
                <w:i/>
                <w:sz w:val="20"/>
                <w:szCs w:val="20"/>
                <w:lang w:eastAsia="en-US"/>
              </w:rPr>
              <w:t>Ostatné znevýhodnené oblasti</w:t>
            </w:r>
          </w:p>
        </w:tc>
        <w:tc>
          <w:tcPr>
            <w:tcW w:w="1440" w:type="dxa"/>
            <w:vAlign w:val="center"/>
          </w:tcPr>
          <w:p w:rsidR="00242C36" w:rsidRPr="00F06B5E" w:rsidRDefault="00242C36" w:rsidP="00242C36">
            <w:pPr>
              <w:pBdr>
                <w:bar w:val="single" w:sz="6" w:color="808080"/>
              </w:pBdr>
              <w:spacing w:after="120"/>
              <w:rPr>
                <w:rFonts w:ascii="Calibri" w:eastAsia="Calibri" w:hAnsi="Calibri"/>
                <w:b/>
                <w:bCs/>
                <w:i/>
                <w:sz w:val="20"/>
                <w:szCs w:val="20"/>
                <w:lang w:eastAsia="en-US"/>
              </w:rPr>
            </w:pPr>
            <w:r w:rsidRPr="00E407A3">
              <w:rPr>
                <w:rFonts w:ascii="Calibri" w:eastAsia="Calibri" w:hAnsi="Calibri"/>
                <w:b/>
                <w:bCs/>
                <w:i/>
                <w:sz w:val="20"/>
                <w:szCs w:val="20"/>
                <w:lang w:eastAsia="en-US"/>
              </w:rPr>
              <w:t>Oblasti so špecifickými nevýhodami</w:t>
            </w:r>
          </w:p>
        </w:tc>
        <w:tc>
          <w:tcPr>
            <w:tcW w:w="1260" w:type="dxa"/>
            <w:vAlign w:val="center"/>
          </w:tcPr>
          <w:p w:rsidR="00242C36" w:rsidRPr="00F06B5E" w:rsidRDefault="00242C36" w:rsidP="00242C36">
            <w:pPr>
              <w:pBdr>
                <w:bar w:val="single" w:sz="6" w:color="808080"/>
              </w:pBdr>
              <w:spacing w:after="120"/>
              <w:rPr>
                <w:rFonts w:ascii="Calibri" w:eastAsia="Calibri" w:hAnsi="Calibri"/>
                <w:b/>
                <w:bCs/>
                <w:i/>
                <w:sz w:val="20"/>
                <w:szCs w:val="20"/>
                <w:lang w:eastAsia="en-US"/>
              </w:rPr>
            </w:pPr>
            <w:r w:rsidRPr="00E407A3">
              <w:rPr>
                <w:rFonts w:ascii="Calibri" w:eastAsia="Calibri" w:hAnsi="Calibri"/>
                <w:b/>
                <w:bCs/>
                <w:i/>
                <w:sz w:val="20"/>
                <w:szCs w:val="20"/>
                <w:lang w:eastAsia="en-US"/>
              </w:rPr>
              <w:t>Produkčné oblasti</w:t>
            </w:r>
          </w:p>
        </w:tc>
      </w:tr>
      <w:tr w:rsidR="00242C36" w:rsidRPr="00F06B5E" w:rsidTr="00242C36">
        <w:trPr>
          <w:trHeight w:val="163"/>
          <w:jc w:val="center"/>
        </w:trPr>
        <w:tc>
          <w:tcPr>
            <w:tcW w:w="3542" w:type="dxa"/>
            <w:vAlign w:val="center"/>
          </w:tcPr>
          <w:p w:rsidR="00242C36" w:rsidRPr="00F06B5E" w:rsidRDefault="00242C36" w:rsidP="00242C36">
            <w:pPr>
              <w:pBdr>
                <w:bar w:val="single" w:sz="6" w:color="808080"/>
              </w:pBdr>
              <w:spacing w:after="120"/>
              <w:rPr>
                <w:rFonts w:ascii="Calibri" w:eastAsia="Calibri" w:hAnsi="Calibri"/>
                <w:b/>
                <w:bCs/>
                <w:sz w:val="20"/>
                <w:szCs w:val="20"/>
                <w:lang w:eastAsia="en-US"/>
              </w:rPr>
            </w:pPr>
            <w:r w:rsidRPr="00E407A3">
              <w:rPr>
                <w:rFonts w:ascii="Calibri" w:eastAsia="Calibri" w:hAnsi="Calibri"/>
                <w:b/>
                <w:bCs/>
                <w:sz w:val="20"/>
                <w:szCs w:val="20"/>
                <w:lang w:eastAsia="en-US"/>
              </w:rPr>
              <w:t>Poľnohospodárska pôda</w:t>
            </w:r>
          </w:p>
        </w:tc>
        <w:tc>
          <w:tcPr>
            <w:tcW w:w="1331" w:type="dxa"/>
            <w:vAlign w:val="center"/>
          </w:tcPr>
          <w:p w:rsidR="00242C36" w:rsidRPr="00F06B5E" w:rsidRDefault="00242C36" w:rsidP="00242C36">
            <w:pPr>
              <w:pBdr>
                <w:bar w:val="single" w:sz="6" w:color="808080"/>
              </w:pBdr>
              <w:spacing w:after="120"/>
              <w:rPr>
                <w:rFonts w:ascii="Calibri" w:eastAsia="Calibri" w:hAnsi="Calibri"/>
                <w:sz w:val="20"/>
                <w:szCs w:val="20"/>
                <w:lang w:eastAsia="en-US"/>
              </w:rPr>
            </w:pPr>
            <w:r w:rsidRPr="00E407A3">
              <w:rPr>
                <w:rFonts w:ascii="Calibri" w:eastAsia="Calibri" w:hAnsi="Calibri"/>
                <w:sz w:val="20"/>
                <w:szCs w:val="20"/>
                <w:lang w:eastAsia="en-US"/>
              </w:rPr>
              <w:t>100,00%</w:t>
            </w:r>
          </w:p>
        </w:tc>
        <w:tc>
          <w:tcPr>
            <w:tcW w:w="1492" w:type="dxa"/>
            <w:vAlign w:val="center"/>
          </w:tcPr>
          <w:p w:rsidR="00242C36" w:rsidRPr="00F06B5E" w:rsidRDefault="00242C36" w:rsidP="00242C36">
            <w:pPr>
              <w:pBdr>
                <w:bar w:val="single" w:sz="6" w:color="808080"/>
              </w:pBdr>
              <w:spacing w:after="120"/>
              <w:rPr>
                <w:rFonts w:ascii="Calibri" w:eastAsia="Calibri" w:hAnsi="Calibri"/>
                <w:sz w:val="20"/>
                <w:szCs w:val="20"/>
                <w:lang w:eastAsia="en-US"/>
              </w:rPr>
            </w:pPr>
            <w:r w:rsidRPr="00E407A3">
              <w:rPr>
                <w:rFonts w:ascii="Calibri" w:eastAsia="Calibri" w:hAnsi="Calibri"/>
                <w:sz w:val="20"/>
                <w:szCs w:val="20"/>
                <w:lang w:eastAsia="en-US"/>
              </w:rPr>
              <w:t>100,00%</w:t>
            </w:r>
          </w:p>
        </w:tc>
        <w:tc>
          <w:tcPr>
            <w:tcW w:w="1440" w:type="dxa"/>
            <w:vAlign w:val="center"/>
          </w:tcPr>
          <w:p w:rsidR="00242C36" w:rsidRPr="00F06B5E" w:rsidRDefault="00242C36" w:rsidP="00242C36">
            <w:pPr>
              <w:pBdr>
                <w:bar w:val="single" w:sz="6" w:color="808080"/>
              </w:pBdr>
              <w:spacing w:after="120"/>
              <w:rPr>
                <w:rFonts w:ascii="Calibri" w:eastAsia="Calibri" w:hAnsi="Calibri"/>
                <w:sz w:val="20"/>
                <w:szCs w:val="20"/>
                <w:lang w:eastAsia="en-US"/>
              </w:rPr>
            </w:pPr>
            <w:r w:rsidRPr="00E407A3">
              <w:rPr>
                <w:rFonts w:ascii="Calibri" w:eastAsia="Calibri" w:hAnsi="Calibri"/>
                <w:sz w:val="20"/>
                <w:szCs w:val="20"/>
                <w:lang w:eastAsia="en-US"/>
              </w:rPr>
              <w:t>100,00%</w:t>
            </w:r>
          </w:p>
        </w:tc>
        <w:tc>
          <w:tcPr>
            <w:tcW w:w="1260" w:type="dxa"/>
            <w:vAlign w:val="center"/>
          </w:tcPr>
          <w:p w:rsidR="00242C36" w:rsidRPr="00F06B5E" w:rsidRDefault="00242C36" w:rsidP="00242C36">
            <w:pPr>
              <w:pBdr>
                <w:bar w:val="single" w:sz="6" w:color="808080"/>
              </w:pBdr>
              <w:spacing w:after="120"/>
              <w:rPr>
                <w:rFonts w:ascii="Calibri" w:eastAsia="Calibri" w:hAnsi="Calibri"/>
                <w:sz w:val="20"/>
                <w:szCs w:val="20"/>
                <w:lang w:eastAsia="en-US"/>
              </w:rPr>
            </w:pPr>
            <w:r w:rsidRPr="00E407A3">
              <w:rPr>
                <w:rFonts w:ascii="Calibri" w:eastAsia="Calibri" w:hAnsi="Calibri"/>
                <w:sz w:val="20"/>
                <w:szCs w:val="20"/>
                <w:lang w:eastAsia="en-US"/>
              </w:rPr>
              <w:t>100,00%</w:t>
            </w:r>
          </w:p>
        </w:tc>
      </w:tr>
      <w:tr w:rsidR="00242C36" w:rsidRPr="00F06B5E" w:rsidTr="00242C36">
        <w:trPr>
          <w:trHeight w:val="163"/>
          <w:jc w:val="center"/>
        </w:trPr>
        <w:tc>
          <w:tcPr>
            <w:tcW w:w="3542" w:type="dxa"/>
            <w:vAlign w:val="center"/>
          </w:tcPr>
          <w:p w:rsidR="00242C36" w:rsidRPr="00F06B5E" w:rsidRDefault="00242C36" w:rsidP="00242C36">
            <w:pPr>
              <w:pBdr>
                <w:bar w:val="single" w:sz="6" w:color="808080"/>
              </w:pBdr>
              <w:spacing w:after="120"/>
              <w:rPr>
                <w:rFonts w:ascii="Calibri" w:eastAsia="Calibri" w:hAnsi="Calibri"/>
                <w:b/>
                <w:bCs/>
                <w:sz w:val="20"/>
                <w:szCs w:val="20"/>
                <w:lang w:eastAsia="en-US"/>
              </w:rPr>
            </w:pPr>
            <w:r w:rsidRPr="00E407A3">
              <w:rPr>
                <w:rFonts w:ascii="Calibri" w:eastAsia="Calibri" w:hAnsi="Calibri"/>
                <w:b/>
                <w:bCs/>
                <w:sz w:val="20"/>
                <w:szCs w:val="20"/>
                <w:lang w:eastAsia="en-US"/>
              </w:rPr>
              <w:t xml:space="preserve">   orná pôda</w:t>
            </w:r>
          </w:p>
        </w:tc>
        <w:tc>
          <w:tcPr>
            <w:tcW w:w="1331" w:type="dxa"/>
            <w:vAlign w:val="center"/>
          </w:tcPr>
          <w:p w:rsidR="00242C36" w:rsidRPr="00F06B5E" w:rsidRDefault="00242C36" w:rsidP="00242C36">
            <w:pPr>
              <w:pBdr>
                <w:bar w:val="single" w:sz="6" w:color="808080"/>
              </w:pBdr>
              <w:spacing w:after="120"/>
              <w:rPr>
                <w:rFonts w:ascii="Calibri" w:eastAsia="Calibri" w:hAnsi="Calibri"/>
                <w:sz w:val="20"/>
                <w:szCs w:val="20"/>
                <w:lang w:eastAsia="en-US"/>
              </w:rPr>
            </w:pPr>
            <w:r w:rsidRPr="00E407A3">
              <w:rPr>
                <w:rFonts w:ascii="Calibri" w:eastAsia="Calibri" w:hAnsi="Calibri"/>
                <w:sz w:val="20"/>
                <w:szCs w:val="20"/>
                <w:lang w:eastAsia="en-US"/>
              </w:rPr>
              <w:t>34,46%</w:t>
            </w:r>
          </w:p>
        </w:tc>
        <w:tc>
          <w:tcPr>
            <w:tcW w:w="1492" w:type="dxa"/>
            <w:vAlign w:val="center"/>
          </w:tcPr>
          <w:p w:rsidR="00242C36" w:rsidRPr="00F06B5E" w:rsidRDefault="00242C36" w:rsidP="00242C36">
            <w:pPr>
              <w:pBdr>
                <w:bar w:val="single" w:sz="6" w:color="808080"/>
              </w:pBdr>
              <w:spacing w:after="120"/>
              <w:rPr>
                <w:rFonts w:ascii="Calibri" w:eastAsia="Calibri" w:hAnsi="Calibri"/>
                <w:sz w:val="20"/>
                <w:szCs w:val="20"/>
                <w:lang w:eastAsia="en-US"/>
              </w:rPr>
            </w:pPr>
            <w:r w:rsidRPr="00E407A3">
              <w:rPr>
                <w:rFonts w:ascii="Calibri" w:eastAsia="Calibri" w:hAnsi="Calibri"/>
                <w:sz w:val="20"/>
                <w:szCs w:val="20"/>
                <w:lang w:eastAsia="en-US"/>
              </w:rPr>
              <w:t>63,77%</w:t>
            </w:r>
          </w:p>
        </w:tc>
        <w:tc>
          <w:tcPr>
            <w:tcW w:w="1440" w:type="dxa"/>
            <w:vAlign w:val="center"/>
          </w:tcPr>
          <w:p w:rsidR="00242C36" w:rsidRPr="00F06B5E" w:rsidRDefault="00242C36" w:rsidP="00242C36">
            <w:pPr>
              <w:pBdr>
                <w:bar w:val="single" w:sz="6" w:color="808080"/>
              </w:pBdr>
              <w:spacing w:after="120"/>
              <w:rPr>
                <w:rFonts w:ascii="Calibri" w:eastAsia="Calibri" w:hAnsi="Calibri"/>
                <w:sz w:val="20"/>
                <w:szCs w:val="20"/>
                <w:lang w:eastAsia="en-US"/>
              </w:rPr>
            </w:pPr>
            <w:r w:rsidRPr="00E407A3">
              <w:rPr>
                <w:rFonts w:ascii="Calibri" w:eastAsia="Calibri" w:hAnsi="Calibri"/>
                <w:sz w:val="20"/>
                <w:szCs w:val="20"/>
                <w:lang w:eastAsia="en-US"/>
              </w:rPr>
              <w:t>80,14%</w:t>
            </w:r>
          </w:p>
        </w:tc>
        <w:tc>
          <w:tcPr>
            <w:tcW w:w="1260" w:type="dxa"/>
            <w:vAlign w:val="center"/>
          </w:tcPr>
          <w:p w:rsidR="00242C36" w:rsidRPr="00F06B5E" w:rsidRDefault="00242C36" w:rsidP="00242C36">
            <w:pPr>
              <w:pBdr>
                <w:bar w:val="single" w:sz="6" w:color="808080"/>
              </w:pBdr>
              <w:spacing w:after="120"/>
              <w:rPr>
                <w:rFonts w:ascii="Calibri" w:eastAsia="Calibri" w:hAnsi="Calibri"/>
                <w:sz w:val="20"/>
                <w:szCs w:val="20"/>
                <w:lang w:eastAsia="en-US"/>
              </w:rPr>
            </w:pPr>
            <w:r w:rsidRPr="00E407A3">
              <w:rPr>
                <w:rFonts w:ascii="Calibri" w:eastAsia="Calibri" w:hAnsi="Calibri"/>
                <w:sz w:val="20"/>
                <w:szCs w:val="20"/>
                <w:lang w:eastAsia="en-US"/>
              </w:rPr>
              <w:t>98,54%</w:t>
            </w:r>
          </w:p>
        </w:tc>
      </w:tr>
      <w:tr w:rsidR="00242C36" w:rsidRPr="00F06B5E" w:rsidTr="00242C36">
        <w:trPr>
          <w:trHeight w:val="163"/>
          <w:jc w:val="center"/>
        </w:trPr>
        <w:tc>
          <w:tcPr>
            <w:tcW w:w="3542" w:type="dxa"/>
            <w:vAlign w:val="center"/>
          </w:tcPr>
          <w:p w:rsidR="00242C36" w:rsidRPr="00F06B5E" w:rsidRDefault="00242C36" w:rsidP="00242C36">
            <w:pPr>
              <w:pBdr>
                <w:bar w:val="single" w:sz="6" w:color="808080"/>
              </w:pBdr>
              <w:spacing w:after="120"/>
              <w:rPr>
                <w:rFonts w:ascii="Calibri" w:eastAsia="Calibri" w:hAnsi="Calibri"/>
                <w:b/>
                <w:bCs/>
                <w:sz w:val="20"/>
                <w:szCs w:val="20"/>
                <w:lang w:eastAsia="en-US"/>
              </w:rPr>
            </w:pPr>
            <w:r w:rsidRPr="00E407A3">
              <w:rPr>
                <w:rFonts w:ascii="Calibri" w:eastAsia="Calibri" w:hAnsi="Calibri"/>
                <w:b/>
                <w:bCs/>
                <w:sz w:val="20"/>
                <w:szCs w:val="20"/>
                <w:lang w:eastAsia="en-US"/>
              </w:rPr>
              <w:t xml:space="preserve">   lúky a pasienky</w:t>
            </w:r>
          </w:p>
        </w:tc>
        <w:tc>
          <w:tcPr>
            <w:tcW w:w="1331" w:type="dxa"/>
            <w:vAlign w:val="center"/>
          </w:tcPr>
          <w:p w:rsidR="00242C36" w:rsidRPr="00F06B5E" w:rsidRDefault="00242C36" w:rsidP="00242C36">
            <w:pPr>
              <w:pBdr>
                <w:bar w:val="single" w:sz="6" w:color="808080"/>
              </w:pBdr>
              <w:spacing w:after="120"/>
              <w:rPr>
                <w:rFonts w:ascii="Calibri" w:eastAsia="Calibri" w:hAnsi="Calibri"/>
                <w:sz w:val="20"/>
                <w:szCs w:val="20"/>
                <w:lang w:eastAsia="en-US"/>
              </w:rPr>
            </w:pPr>
            <w:r w:rsidRPr="00E407A3">
              <w:rPr>
                <w:rFonts w:ascii="Calibri" w:eastAsia="Calibri" w:hAnsi="Calibri"/>
                <w:sz w:val="20"/>
                <w:szCs w:val="20"/>
                <w:lang w:eastAsia="en-US"/>
              </w:rPr>
              <w:t>65,54%</w:t>
            </w:r>
          </w:p>
        </w:tc>
        <w:tc>
          <w:tcPr>
            <w:tcW w:w="1492" w:type="dxa"/>
            <w:vAlign w:val="center"/>
          </w:tcPr>
          <w:p w:rsidR="00242C36" w:rsidRPr="00F06B5E" w:rsidRDefault="00242C36" w:rsidP="00242C36">
            <w:pPr>
              <w:pBdr>
                <w:bar w:val="single" w:sz="6" w:color="808080"/>
              </w:pBdr>
              <w:spacing w:after="120"/>
              <w:rPr>
                <w:rFonts w:ascii="Calibri" w:eastAsia="Calibri" w:hAnsi="Calibri"/>
                <w:sz w:val="20"/>
                <w:szCs w:val="20"/>
                <w:lang w:eastAsia="en-US"/>
              </w:rPr>
            </w:pPr>
            <w:r w:rsidRPr="00E407A3">
              <w:rPr>
                <w:rFonts w:ascii="Calibri" w:eastAsia="Calibri" w:hAnsi="Calibri"/>
                <w:sz w:val="20"/>
                <w:szCs w:val="20"/>
                <w:lang w:eastAsia="en-US"/>
              </w:rPr>
              <w:t>36,23%</w:t>
            </w:r>
          </w:p>
        </w:tc>
        <w:tc>
          <w:tcPr>
            <w:tcW w:w="1440" w:type="dxa"/>
            <w:vAlign w:val="center"/>
          </w:tcPr>
          <w:p w:rsidR="00242C36" w:rsidRPr="00F06B5E" w:rsidRDefault="00242C36" w:rsidP="00242C36">
            <w:pPr>
              <w:pBdr>
                <w:bar w:val="single" w:sz="6" w:color="808080"/>
              </w:pBdr>
              <w:spacing w:after="120"/>
              <w:rPr>
                <w:rFonts w:ascii="Calibri" w:eastAsia="Calibri" w:hAnsi="Calibri"/>
                <w:sz w:val="20"/>
                <w:szCs w:val="20"/>
                <w:lang w:eastAsia="en-US"/>
              </w:rPr>
            </w:pPr>
            <w:r w:rsidRPr="00E407A3">
              <w:rPr>
                <w:rFonts w:ascii="Calibri" w:eastAsia="Calibri" w:hAnsi="Calibri"/>
                <w:sz w:val="20"/>
                <w:szCs w:val="20"/>
                <w:lang w:eastAsia="en-US"/>
              </w:rPr>
              <w:t>19,87%</w:t>
            </w:r>
          </w:p>
        </w:tc>
        <w:tc>
          <w:tcPr>
            <w:tcW w:w="1260" w:type="dxa"/>
            <w:vAlign w:val="center"/>
          </w:tcPr>
          <w:p w:rsidR="00242C36" w:rsidRPr="00F06B5E" w:rsidRDefault="00242C36" w:rsidP="00242C36">
            <w:pPr>
              <w:pBdr>
                <w:bar w:val="single" w:sz="6" w:color="808080"/>
              </w:pBdr>
              <w:spacing w:after="120"/>
              <w:rPr>
                <w:rFonts w:ascii="Calibri" w:eastAsia="Calibri" w:hAnsi="Calibri"/>
                <w:sz w:val="20"/>
                <w:szCs w:val="20"/>
                <w:lang w:eastAsia="en-US"/>
              </w:rPr>
            </w:pPr>
            <w:r w:rsidRPr="00E407A3">
              <w:rPr>
                <w:rFonts w:ascii="Calibri" w:eastAsia="Calibri" w:hAnsi="Calibri"/>
                <w:sz w:val="20"/>
                <w:szCs w:val="20"/>
                <w:lang w:eastAsia="en-US"/>
              </w:rPr>
              <w:t>1,46%</w:t>
            </w:r>
          </w:p>
        </w:tc>
      </w:tr>
    </w:tbl>
    <w:p w:rsidR="00242C36" w:rsidRPr="00113FC3" w:rsidRDefault="00242C36" w:rsidP="00242C36">
      <w:pPr>
        <w:pBdr>
          <w:bar w:val="single" w:sz="6" w:color="808080"/>
        </w:pBdr>
        <w:spacing w:after="120"/>
        <w:rPr>
          <w:rFonts w:ascii="Calibri" w:eastAsia="Calibri" w:hAnsi="Calibri"/>
          <w:sz w:val="20"/>
          <w:szCs w:val="22"/>
          <w:lang w:eastAsia="en-US"/>
        </w:rPr>
      </w:pPr>
      <w:r w:rsidRPr="00113FC3">
        <w:rPr>
          <w:rFonts w:ascii="Calibri" w:eastAsia="Calibri" w:hAnsi="Calibri"/>
          <w:sz w:val="20"/>
          <w:szCs w:val="22"/>
          <w:lang w:eastAsia="en-US"/>
        </w:rPr>
        <w:t>Zdroj: Informačné listy CD MPRV SR 2012, VÚEPP Bratislava</w:t>
      </w:r>
    </w:p>
    <w:p w:rsidR="00242C36" w:rsidRPr="00E43137" w:rsidRDefault="00242C36" w:rsidP="00242C36">
      <w:pPr>
        <w:pBdr>
          <w:bar w:val="single" w:sz="6" w:color="808080"/>
        </w:pBdr>
        <w:spacing w:after="120"/>
        <w:rPr>
          <w:rFonts w:ascii="Calibri" w:eastAsia="Calibri" w:hAnsi="Calibri"/>
          <w:szCs w:val="22"/>
          <w:lang w:eastAsia="en-US"/>
        </w:rPr>
      </w:pPr>
      <w:r w:rsidRPr="00E43137">
        <w:rPr>
          <w:rFonts w:ascii="Calibri" w:eastAsia="Calibri" w:hAnsi="Calibri"/>
          <w:szCs w:val="22"/>
          <w:lang w:eastAsia="en-US"/>
        </w:rPr>
        <w:t>Úrody obilnín v znevýhodnených oblastiach sú vplyvom menej priaznivých pôdnych a klimatických podmienok o 25% nižšie ako v produkčných oblastiach.</w:t>
      </w:r>
    </w:p>
    <w:p w:rsidR="00242C36" w:rsidRPr="00E43137" w:rsidRDefault="00E32F57" w:rsidP="00242C36">
      <w:pPr>
        <w:pBdr>
          <w:bar w:val="single" w:sz="6" w:color="808080"/>
        </w:pBdr>
        <w:spacing w:after="120"/>
        <w:rPr>
          <w:rFonts w:ascii="Calibri" w:eastAsia="Calibri" w:hAnsi="Calibri"/>
          <w:b/>
          <w:bCs/>
          <w:szCs w:val="22"/>
          <w:lang w:eastAsia="en-US"/>
        </w:rPr>
      </w:pPr>
      <w:r>
        <w:rPr>
          <w:rFonts w:ascii="Calibri" w:eastAsia="Calibri" w:hAnsi="Calibri"/>
          <w:b/>
          <w:bCs/>
          <w:szCs w:val="22"/>
          <w:lang w:eastAsia="en-US"/>
        </w:rPr>
        <w:t xml:space="preserve">Tabuľka 37: </w:t>
      </w:r>
      <w:r w:rsidR="00242C36" w:rsidRPr="00E43137">
        <w:rPr>
          <w:rFonts w:ascii="Calibri" w:eastAsia="Calibri" w:hAnsi="Calibri"/>
          <w:b/>
          <w:bCs/>
          <w:szCs w:val="22"/>
          <w:lang w:eastAsia="en-US"/>
        </w:rPr>
        <w:t>Hektárové úrody obilnín v LFA (t/ha)</w:t>
      </w:r>
    </w:p>
    <w:tbl>
      <w:tblPr>
        <w:tblW w:w="90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28"/>
        <w:gridCol w:w="907"/>
        <w:gridCol w:w="907"/>
        <w:gridCol w:w="907"/>
        <w:gridCol w:w="907"/>
        <w:gridCol w:w="907"/>
        <w:gridCol w:w="907"/>
      </w:tblGrid>
      <w:tr w:rsidR="00242C36" w:rsidRPr="00E43137" w:rsidTr="00242C36">
        <w:trPr>
          <w:trHeight w:val="163"/>
          <w:jc w:val="center"/>
        </w:trPr>
        <w:tc>
          <w:tcPr>
            <w:tcW w:w="3628" w:type="dxa"/>
            <w:vAlign w:val="center"/>
          </w:tcPr>
          <w:p w:rsidR="00242C36" w:rsidRPr="00F06B5E" w:rsidRDefault="00242C36" w:rsidP="00242C36">
            <w:pPr>
              <w:pBdr>
                <w:bar w:val="single" w:sz="6" w:color="808080"/>
              </w:pBdr>
              <w:spacing w:after="120"/>
              <w:rPr>
                <w:rFonts w:ascii="Calibri" w:eastAsia="Calibri" w:hAnsi="Calibri"/>
                <w:b/>
                <w:bCs/>
                <w:i/>
                <w:sz w:val="20"/>
                <w:szCs w:val="20"/>
                <w:lang w:eastAsia="en-US"/>
              </w:rPr>
            </w:pPr>
            <w:r w:rsidRPr="00F06B5E">
              <w:rPr>
                <w:rFonts w:ascii="Calibri" w:eastAsia="Calibri" w:hAnsi="Calibri"/>
                <w:b/>
                <w:bCs/>
                <w:i/>
                <w:sz w:val="20"/>
                <w:szCs w:val="20"/>
                <w:lang w:eastAsia="en-US"/>
              </w:rPr>
              <w:t>Typ LFA</w:t>
            </w:r>
          </w:p>
        </w:tc>
        <w:tc>
          <w:tcPr>
            <w:tcW w:w="907" w:type="dxa"/>
          </w:tcPr>
          <w:p w:rsidR="00242C36" w:rsidRPr="00F06B5E" w:rsidRDefault="00242C36" w:rsidP="00242C36">
            <w:pPr>
              <w:pBdr>
                <w:bar w:val="single" w:sz="6" w:color="808080"/>
              </w:pBdr>
              <w:spacing w:after="120"/>
              <w:rPr>
                <w:rFonts w:ascii="Calibri" w:eastAsia="Calibri" w:hAnsi="Calibri"/>
                <w:b/>
                <w:bCs/>
                <w:i/>
                <w:sz w:val="20"/>
                <w:szCs w:val="20"/>
                <w:lang w:eastAsia="en-US"/>
              </w:rPr>
            </w:pPr>
            <w:r w:rsidRPr="00F06B5E">
              <w:rPr>
                <w:rFonts w:ascii="Calibri" w:eastAsia="Calibri" w:hAnsi="Calibri"/>
                <w:b/>
                <w:bCs/>
                <w:i/>
                <w:sz w:val="20"/>
                <w:szCs w:val="20"/>
                <w:lang w:eastAsia="en-US"/>
              </w:rPr>
              <w:t>2007</w:t>
            </w:r>
          </w:p>
        </w:tc>
        <w:tc>
          <w:tcPr>
            <w:tcW w:w="907" w:type="dxa"/>
          </w:tcPr>
          <w:p w:rsidR="00242C36" w:rsidRPr="00F06B5E" w:rsidRDefault="00242C36" w:rsidP="00242C36">
            <w:pPr>
              <w:pBdr>
                <w:bar w:val="single" w:sz="6" w:color="808080"/>
              </w:pBdr>
              <w:spacing w:after="120"/>
              <w:rPr>
                <w:rFonts w:ascii="Calibri" w:eastAsia="Calibri" w:hAnsi="Calibri"/>
                <w:b/>
                <w:bCs/>
                <w:i/>
                <w:sz w:val="20"/>
                <w:szCs w:val="20"/>
                <w:lang w:eastAsia="en-US"/>
              </w:rPr>
            </w:pPr>
            <w:r w:rsidRPr="00F06B5E">
              <w:rPr>
                <w:rFonts w:ascii="Calibri" w:eastAsia="Calibri" w:hAnsi="Calibri"/>
                <w:b/>
                <w:bCs/>
                <w:i/>
                <w:sz w:val="20"/>
                <w:szCs w:val="20"/>
                <w:lang w:eastAsia="en-US"/>
              </w:rPr>
              <w:t>2008</w:t>
            </w:r>
          </w:p>
        </w:tc>
        <w:tc>
          <w:tcPr>
            <w:tcW w:w="907" w:type="dxa"/>
          </w:tcPr>
          <w:p w:rsidR="00242C36" w:rsidRPr="00F06B5E" w:rsidRDefault="00242C36" w:rsidP="00242C36">
            <w:pPr>
              <w:pBdr>
                <w:bar w:val="single" w:sz="6" w:color="808080"/>
              </w:pBdr>
              <w:spacing w:after="120"/>
              <w:rPr>
                <w:rFonts w:ascii="Calibri" w:eastAsia="Calibri" w:hAnsi="Calibri"/>
                <w:b/>
                <w:bCs/>
                <w:i/>
                <w:sz w:val="20"/>
                <w:szCs w:val="20"/>
                <w:lang w:eastAsia="en-US"/>
              </w:rPr>
            </w:pPr>
            <w:r w:rsidRPr="00F06B5E">
              <w:rPr>
                <w:rFonts w:ascii="Calibri" w:eastAsia="Calibri" w:hAnsi="Calibri"/>
                <w:b/>
                <w:bCs/>
                <w:i/>
                <w:sz w:val="20"/>
                <w:szCs w:val="20"/>
                <w:lang w:eastAsia="en-US"/>
              </w:rPr>
              <w:t>2009</w:t>
            </w:r>
          </w:p>
        </w:tc>
        <w:tc>
          <w:tcPr>
            <w:tcW w:w="907" w:type="dxa"/>
          </w:tcPr>
          <w:p w:rsidR="00242C36" w:rsidRPr="00F06B5E" w:rsidRDefault="00242C36" w:rsidP="00242C36">
            <w:pPr>
              <w:pBdr>
                <w:bar w:val="single" w:sz="6" w:color="808080"/>
              </w:pBdr>
              <w:spacing w:after="120"/>
              <w:rPr>
                <w:rFonts w:ascii="Calibri" w:eastAsia="Calibri" w:hAnsi="Calibri"/>
                <w:b/>
                <w:bCs/>
                <w:i/>
                <w:sz w:val="20"/>
                <w:szCs w:val="20"/>
                <w:lang w:eastAsia="en-US"/>
              </w:rPr>
            </w:pPr>
            <w:r w:rsidRPr="00F06B5E">
              <w:rPr>
                <w:rFonts w:ascii="Calibri" w:eastAsia="Calibri" w:hAnsi="Calibri"/>
                <w:b/>
                <w:bCs/>
                <w:i/>
                <w:sz w:val="20"/>
                <w:szCs w:val="20"/>
                <w:lang w:eastAsia="en-US"/>
              </w:rPr>
              <w:t>2010</w:t>
            </w:r>
          </w:p>
        </w:tc>
        <w:tc>
          <w:tcPr>
            <w:tcW w:w="907" w:type="dxa"/>
          </w:tcPr>
          <w:p w:rsidR="00242C36" w:rsidRPr="00F06B5E" w:rsidRDefault="00242C36" w:rsidP="00242C36">
            <w:pPr>
              <w:pBdr>
                <w:bar w:val="single" w:sz="6" w:color="808080"/>
              </w:pBdr>
              <w:spacing w:after="120"/>
              <w:rPr>
                <w:rFonts w:ascii="Calibri" w:eastAsia="Calibri" w:hAnsi="Calibri"/>
                <w:b/>
                <w:bCs/>
                <w:i/>
                <w:sz w:val="20"/>
                <w:szCs w:val="20"/>
                <w:lang w:eastAsia="en-US"/>
              </w:rPr>
            </w:pPr>
            <w:r w:rsidRPr="00F06B5E">
              <w:rPr>
                <w:rFonts w:ascii="Calibri" w:eastAsia="Calibri" w:hAnsi="Calibri"/>
                <w:b/>
                <w:bCs/>
                <w:i/>
                <w:sz w:val="20"/>
                <w:szCs w:val="20"/>
                <w:lang w:eastAsia="en-US"/>
              </w:rPr>
              <w:t>2011</w:t>
            </w:r>
          </w:p>
        </w:tc>
        <w:tc>
          <w:tcPr>
            <w:tcW w:w="907" w:type="dxa"/>
          </w:tcPr>
          <w:p w:rsidR="00242C36" w:rsidRPr="00F06B5E" w:rsidRDefault="00242C36" w:rsidP="00242C36">
            <w:pPr>
              <w:pBdr>
                <w:bar w:val="single" w:sz="6" w:color="808080"/>
              </w:pBdr>
              <w:spacing w:after="120"/>
              <w:rPr>
                <w:rFonts w:ascii="Calibri" w:eastAsia="Calibri" w:hAnsi="Calibri"/>
                <w:b/>
                <w:bCs/>
                <w:i/>
                <w:sz w:val="20"/>
                <w:szCs w:val="20"/>
                <w:lang w:eastAsia="en-US"/>
              </w:rPr>
            </w:pPr>
            <w:r w:rsidRPr="00F06B5E">
              <w:rPr>
                <w:rFonts w:ascii="Calibri" w:eastAsia="Calibri" w:hAnsi="Calibri"/>
                <w:b/>
                <w:bCs/>
                <w:i/>
                <w:sz w:val="20"/>
                <w:szCs w:val="20"/>
                <w:lang w:eastAsia="en-US"/>
              </w:rPr>
              <w:t>2012</w:t>
            </w:r>
          </w:p>
        </w:tc>
      </w:tr>
      <w:tr w:rsidR="00242C36" w:rsidRPr="00E43137" w:rsidTr="00242C36">
        <w:trPr>
          <w:trHeight w:val="163"/>
          <w:jc w:val="center"/>
        </w:trPr>
        <w:tc>
          <w:tcPr>
            <w:tcW w:w="3628" w:type="dxa"/>
            <w:vAlign w:val="center"/>
          </w:tcPr>
          <w:p w:rsidR="00242C36" w:rsidRPr="00F06B5E" w:rsidRDefault="00242C36" w:rsidP="00242C36">
            <w:pPr>
              <w:pBdr>
                <w:bar w:val="single" w:sz="6" w:color="808080"/>
              </w:pBdr>
              <w:spacing w:after="120"/>
              <w:rPr>
                <w:rFonts w:ascii="Calibri" w:eastAsia="Calibri" w:hAnsi="Calibri"/>
                <w:b/>
                <w:bCs/>
                <w:sz w:val="20"/>
                <w:szCs w:val="20"/>
                <w:lang w:eastAsia="en-US"/>
              </w:rPr>
            </w:pPr>
            <w:r w:rsidRPr="00F06B5E">
              <w:rPr>
                <w:rFonts w:ascii="Calibri" w:eastAsia="Calibri" w:hAnsi="Calibri"/>
                <w:b/>
                <w:bCs/>
                <w:sz w:val="20"/>
                <w:szCs w:val="20"/>
                <w:lang w:eastAsia="en-US"/>
              </w:rPr>
              <w:t>Horské oblasti</w:t>
            </w:r>
          </w:p>
        </w:tc>
        <w:tc>
          <w:tcPr>
            <w:tcW w:w="907" w:type="dxa"/>
            <w:vAlign w:val="center"/>
          </w:tcPr>
          <w:p w:rsidR="00242C36" w:rsidRPr="00F06B5E" w:rsidRDefault="00242C36" w:rsidP="00242C36">
            <w:pPr>
              <w:pBdr>
                <w:bar w:val="single" w:sz="6" w:color="808080"/>
              </w:pBdr>
              <w:spacing w:after="120"/>
              <w:rPr>
                <w:rFonts w:ascii="Calibri" w:eastAsia="Calibri" w:hAnsi="Calibri"/>
                <w:sz w:val="20"/>
                <w:szCs w:val="20"/>
                <w:lang w:eastAsia="en-US"/>
              </w:rPr>
            </w:pPr>
            <w:r w:rsidRPr="00F06B5E">
              <w:rPr>
                <w:rFonts w:ascii="Calibri" w:eastAsia="Calibri" w:hAnsi="Calibri"/>
                <w:sz w:val="20"/>
                <w:szCs w:val="20"/>
                <w:lang w:eastAsia="en-US"/>
              </w:rPr>
              <w:t>3,19</w:t>
            </w:r>
          </w:p>
        </w:tc>
        <w:tc>
          <w:tcPr>
            <w:tcW w:w="907" w:type="dxa"/>
            <w:vAlign w:val="center"/>
          </w:tcPr>
          <w:p w:rsidR="00242C36" w:rsidRPr="00F06B5E" w:rsidRDefault="00242C36" w:rsidP="00242C36">
            <w:pPr>
              <w:pBdr>
                <w:bar w:val="single" w:sz="6" w:color="808080"/>
              </w:pBdr>
              <w:spacing w:after="120"/>
              <w:rPr>
                <w:rFonts w:ascii="Calibri" w:eastAsia="Calibri" w:hAnsi="Calibri"/>
                <w:sz w:val="20"/>
                <w:szCs w:val="20"/>
                <w:lang w:eastAsia="en-US"/>
              </w:rPr>
            </w:pPr>
            <w:r w:rsidRPr="00F06B5E">
              <w:rPr>
                <w:rFonts w:ascii="Calibri" w:eastAsia="Calibri" w:hAnsi="Calibri"/>
                <w:sz w:val="20"/>
                <w:szCs w:val="20"/>
                <w:lang w:eastAsia="en-US"/>
              </w:rPr>
              <w:t>3,93</w:t>
            </w:r>
          </w:p>
        </w:tc>
        <w:tc>
          <w:tcPr>
            <w:tcW w:w="907" w:type="dxa"/>
            <w:vAlign w:val="center"/>
          </w:tcPr>
          <w:p w:rsidR="00242C36" w:rsidRPr="00F06B5E" w:rsidRDefault="00242C36" w:rsidP="00242C36">
            <w:pPr>
              <w:pBdr>
                <w:bar w:val="single" w:sz="6" w:color="808080"/>
              </w:pBdr>
              <w:spacing w:after="120"/>
              <w:rPr>
                <w:rFonts w:ascii="Calibri" w:eastAsia="Calibri" w:hAnsi="Calibri"/>
                <w:sz w:val="20"/>
                <w:szCs w:val="20"/>
                <w:lang w:eastAsia="en-US"/>
              </w:rPr>
            </w:pPr>
            <w:r w:rsidRPr="00F06B5E">
              <w:rPr>
                <w:rFonts w:ascii="Calibri" w:eastAsia="Calibri" w:hAnsi="Calibri"/>
                <w:sz w:val="20"/>
                <w:szCs w:val="20"/>
                <w:lang w:eastAsia="en-US"/>
              </w:rPr>
              <w:t>3,53</w:t>
            </w:r>
          </w:p>
        </w:tc>
        <w:tc>
          <w:tcPr>
            <w:tcW w:w="907" w:type="dxa"/>
            <w:vAlign w:val="center"/>
          </w:tcPr>
          <w:p w:rsidR="00242C36" w:rsidRPr="00F06B5E" w:rsidRDefault="00242C36" w:rsidP="00242C36">
            <w:pPr>
              <w:pBdr>
                <w:bar w:val="single" w:sz="6" w:color="808080"/>
              </w:pBdr>
              <w:spacing w:after="120"/>
              <w:rPr>
                <w:rFonts w:ascii="Calibri" w:eastAsia="Calibri" w:hAnsi="Calibri"/>
                <w:sz w:val="20"/>
                <w:szCs w:val="20"/>
                <w:lang w:eastAsia="en-US"/>
              </w:rPr>
            </w:pPr>
            <w:r w:rsidRPr="00F06B5E">
              <w:rPr>
                <w:rFonts w:ascii="Calibri" w:eastAsia="Calibri" w:hAnsi="Calibri"/>
                <w:sz w:val="20"/>
                <w:szCs w:val="20"/>
                <w:lang w:eastAsia="en-US"/>
              </w:rPr>
              <w:t>2,63</w:t>
            </w:r>
          </w:p>
        </w:tc>
        <w:tc>
          <w:tcPr>
            <w:tcW w:w="907" w:type="dxa"/>
            <w:vAlign w:val="center"/>
          </w:tcPr>
          <w:p w:rsidR="00242C36" w:rsidRPr="00F06B5E" w:rsidRDefault="00242C36" w:rsidP="00242C36">
            <w:pPr>
              <w:pBdr>
                <w:bar w:val="single" w:sz="6" w:color="808080"/>
              </w:pBdr>
              <w:spacing w:after="120"/>
              <w:rPr>
                <w:rFonts w:ascii="Calibri" w:eastAsia="Calibri" w:hAnsi="Calibri"/>
                <w:sz w:val="20"/>
                <w:szCs w:val="20"/>
                <w:lang w:eastAsia="en-US"/>
              </w:rPr>
            </w:pPr>
            <w:r w:rsidRPr="00F06B5E">
              <w:rPr>
                <w:rFonts w:ascii="Calibri" w:eastAsia="Calibri" w:hAnsi="Calibri"/>
                <w:sz w:val="20"/>
                <w:szCs w:val="20"/>
                <w:lang w:eastAsia="en-US"/>
              </w:rPr>
              <w:t>3,71</w:t>
            </w:r>
          </w:p>
        </w:tc>
        <w:tc>
          <w:tcPr>
            <w:tcW w:w="907" w:type="dxa"/>
            <w:vAlign w:val="center"/>
          </w:tcPr>
          <w:p w:rsidR="00242C36" w:rsidRPr="00F06B5E" w:rsidRDefault="00242C36" w:rsidP="00242C36">
            <w:pPr>
              <w:pBdr>
                <w:bar w:val="single" w:sz="6" w:color="808080"/>
              </w:pBdr>
              <w:spacing w:after="120"/>
              <w:rPr>
                <w:rFonts w:ascii="Calibri" w:eastAsia="Calibri" w:hAnsi="Calibri"/>
                <w:sz w:val="20"/>
                <w:szCs w:val="20"/>
                <w:lang w:eastAsia="en-US"/>
              </w:rPr>
            </w:pPr>
            <w:r w:rsidRPr="00F06B5E">
              <w:rPr>
                <w:rFonts w:ascii="Calibri" w:eastAsia="Calibri" w:hAnsi="Calibri"/>
                <w:sz w:val="20"/>
                <w:szCs w:val="20"/>
                <w:lang w:eastAsia="en-US"/>
              </w:rPr>
              <w:t>3,56</w:t>
            </w:r>
          </w:p>
        </w:tc>
      </w:tr>
      <w:tr w:rsidR="00242C36" w:rsidRPr="00E43137" w:rsidTr="00242C36">
        <w:trPr>
          <w:trHeight w:val="163"/>
          <w:jc w:val="center"/>
        </w:trPr>
        <w:tc>
          <w:tcPr>
            <w:tcW w:w="3628" w:type="dxa"/>
            <w:vAlign w:val="center"/>
          </w:tcPr>
          <w:p w:rsidR="00242C36" w:rsidRPr="00F06B5E" w:rsidRDefault="00242C36" w:rsidP="00242C36">
            <w:pPr>
              <w:pBdr>
                <w:bar w:val="single" w:sz="6" w:color="808080"/>
              </w:pBdr>
              <w:spacing w:after="120"/>
              <w:rPr>
                <w:rFonts w:ascii="Calibri" w:eastAsia="Calibri" w:hAnsi="Calibri"/>
                <w:b/>
                <w:bCs/>
                <w:sz w:val="20"/>
                <w:szCs w:val="20"/>
                <w:lang w:eastAsia="en-US"/>
              </w:rPr>
            </w:pPr>
            <w:r w:rsidRPr="00F06B5E">
              <w:rPr>
                <w:rFonts w:ascii="Calibri" w:eastAsia="Calibri" w:hAnsi="Calibri"/>
                <w:b/>
                <w:bCs/>
                <w:sz w:val="20"/>
                <w:szCs w:val="20"/>
                <w:lang w:eastAsia="en-US"/>
              </w:rPr>
              <w:t>Ostatné znevýhodnené oblasti</w:t>
            </w:r>
          </w:p>
        </w:tc>
        <w:tc>
          <w:tcPr>
            <w:tcW w:w="907" w:type="dxa"/>
            <w:vAlign w:val="center"/>
          </w:tcPr>
          <w:p w:rsidR="00242C36" w:rsidRPr="00F06B5E" w:rsidRDefault="00242C36" w:rsidP="00242C36">
            <w:pPr>
              <w:pBdr>
                <w:bar w:val="single" w:sz="6" w:color="808080"/>
              </w:pBdr>
              <w:spacing w:after="120"/>
              <w:rPr>
                <w:rFonts w:ascii="Calibri" w:eastAsia="Calibri" w:hAnsi="Calibri"/>
                <w:sz w:val="20"/>
                <w:szCs w:val="20"/>
                <w:lang w:eastAsia="en-US"/>
              </w:rPr>
            </w:pPr>
            <w:r w:rsidRPr="00F06B5E">
              <w:rPr>
                <w:rFonts w:ascii="Calibri" w:eastAsia="Calibri" w:hAnsi="Calibri"/>
                <w:sz w:val="20"/>
                <w:szCs w:val="20"/>
                <w:lang w:eastAsia="en-US"/>
              </w:rPr>
              <w:t>3,06</w:t>
            </w:r>
          </w:p>
        </w:tc>
        <w:tc>
          <w:tcPr>
            <w:tcW w:w="907" w:type="dxa"/>
            <w:vAlign w:val="center"/>
          </w:tcPr>
          <w:p w:rsidR="00242C36" w:rsidRPr="00F06B5E" w:rsidRDefault="00242C36" w:rsidP="00242C36">
            <w:pPr>
              <w:pBdr>
                <w:bar w:val="single" w:sz="6" w:color="808080"/>
              </w:pBdr>
              <w:spacing w:after="120"/>
              <w:rPr>
                <w:rFonts w:ascii="Calibri" w:eastAsia="Calibri" w:hAnsi="Calibri"/>
                <w:sz w:val="20"/>
                <w:szCs w:val="20"/>
                <w:lang w:eastAsia="en-US"/>
              </w:rPr>
            </w:pPr>
            <w:r w:rsidRPr="00F06B5E">
              <w:rPr>
                <w:rFonts w:ascii="Calibri" w:eastAsia="Calibri" w:hAnsi="Calibri"/>
                <w:sz w:val="20"/>
                <w:szCs w:val="20"/>
                <w:lang w:eastAsia="en-US"/>
              </w:rPr>
              <w:t>4,34</w:t>
            </w:r>
          </w:p>
        </w:tc>
        <w:tc>
          <w:tcPr>
            <w:tcW w:w="907" w:type="dxa"/>
            <w:vAlign w:val="center"/>
          </w:tcPr>
          <w:p w:rsidR="00242C36" w:rsidRPr="00F06B5E" w:rsidRDefault="00242C36" w:rsidP="00242C36">
            <w:pPr>
              <w:pBdr>
                <w:bar w:val="single" w:sz="6" w:color="808080"/>
              </w:pBdr>
              <w:spacing w:after="120"/>
              <w:rPr>
                <w:rFonts w:ascii="Calibri" w:eastAsia="Calibri" w:hAnsi="Calibri"/>
                <w:sz w:val="20"/>
                <w:szCs w:val="20"/>
                <w:lang w:eastAsia="en-US"/>
              </w:rPr>
            </w:pPr>
            <w:r w:rsidRPr="00F06B5E">
              <w:rPr>
                <w:rFonts w:ascii="Calibri" w:eastAsia="Calibri" w:hAnsi="Calibri"/>
                <w:sz w:val="20"/>
                <w:szCs w:val="20"/>
                <w:lang w:eastAsia="en-US"/>
              </w:rPr>
              <w:t>3,52</w:t>
            </w:r>
          </w:p>
        </w:tc>
        <w:tc>
          <w:tcPr>
            <w:tcW w:w="907" w:type="dxa"/>
            <w:vAlign w:val="center"/>
          </w:tcPr>
          <w:p w:rsidR="00242C36" w:rsidRPr="00F06B5E" w:rsidRDefault="00242C36" w:rsidP="00242C36">
            <w:pPr>
              <w:pBdr>
                <w:bar w:val="single" w:sz="6" w:color="808080"/>
              </w:pBdr>
              <w:spacing w:after="120"/>
              <w:rPr>
                <w:rFonts w:ascii="Calibri" w:eastAsia="Calibri" w:hAnsi="Calibri"/>
                <w:sz w:val="20"/>
                <w:szCs w:val="20"/>
                <w:lang w:eastAsia="en-US"/>
              </w:rPr>
            </w:pPr>
            <w:r w:rsidRPr="00F06B5E">
              <w:rPr>
                <w:rFonts w:ascii="Calibri" w:eastAsia="Calibri" w:hAnsi="Calibri"/>
                <w:sz w:val="20"/>
                <w:szCs w:val="20"/>
                <w:lang w:eastAsia="en-US"/>
              </w:rPr>
              <w:t>2,97</w:t>
            </w:r>
          </w:p>
        </w:tc>
        <w:tc>
          <w:tcPr>
            <w:tcW w:w="907" w:type="dxa"/>
            <w:vAlign w:val="center"/>
          </w:tcPr>
          <w:p w:rsidR="00242C36" w:rsidRPr="00F06B5E" w:rsidRDefault="00242C36" w:rsidP="00242C36">
            <w:pPr>
              <w:pBdr>
                <w:bar w:val="single" w:sz="6" w:color="808080"/>
              </w:pBdr>
              <w:spacing w:after="120"/>
              <w:rPr>
                <w:rFonts w:ascii="Calibri" w:eastAsia="Calibri" w:hAnsi="Calibri"/>
                <w:sz w:val="20"/>
                <w:szCs w:val="20"/>
                <w:lang w:eastAsia="en-US"/>
              </w:rPr>
            </w:pPr>
            <w:r w:rsidRPr="00F06B5E">
              <w:rPr>
                <w:rFonts w:ascii="Calibri" w:eastAsia="Calibri" w:hAnsi="Calibri"/>
                <w:sz w:val="20"/>
                <w:szCs w:val="20"/>
                <w:lang w:eastAsia="en-US"/>
              </w:rPr>
              <w:t>4,05</w:t>
            </w:r>
          </w:p>
        </w:tc>
        <w:tc>
          <w:tcPr>
            <w:tcW w:w="907" w:type="dxa"/>
            <w:vAlign w:val="center"/>
          </w:tcPr>
          <w:p w:rsidR="00242C36" w:rsidRPr="00F06B5E" w:rsidRDefault="00242C36" w:rsidP="00242C36">
            <w:pPr>
              <w:pBdr>
                <w:bar w:val="single" w:sz="6" w:color="808080"/>
              </w:pBdr>
              <w:spacing w:after="120"/>
              <w:rPr>
                <w:rFonts w:ascii="Calibri" w:eastAsia="Calibri" w:hAnsi="Calibri"/>
                <w:sz w:val="20"/>
                <w:szCs w:val="20"/>
                <w:lang w:eastAsia="en-US"/>
              </w:rPr>
            </w:pPr>
            <w:r w:rsidRPr="00F06B5E">
              <w:rPr>
                <w:rFonts w:ascii="Calibri" w:eastAsia="Calibri" w:hAnsi="Calibri"/>
                <w:sz w:val="20"/>
                <w:szCs w:val="20"/>
                <w:lang w:eastAsia="en-US"/>
              </w:rPr>
              <w:t>3,65</w:t>
            </w:r>
          </w:p>
        </w:tc>
      </w:tr>
      <w:tr w:rsidR="00242C36" w:rsidRPr="00E43137" w:rsidTr="00242C36">
        <w:trPr>
          <w:trHeight w:val="163"/>
          <w:jc w:val="center"/>
        </w:trPr>
        <w:tc>
          <w:tcPr>
            <w:tcW w:w="3628" w:type="dxa"/>
            <w:vAlign w:val="center"/>
          </w:tcPr>
          <w:p w:rsidR="00242C36" w:rsidRPr="00F06B5E" w:rsidRDefault="00242C36" w:rsidP="00242C36">
            <w:pPr>
              <w:pBdr>
                <w:bar w:val="single" w:sz="6" w:color="808080"/>
              </w:pBdr>
              <w:spacing w:after="120"/>
              <w:rPr>
                <w:rFonts w:ascii="Calibri" w:eastAsia="Calibri" w:hAnsi="Calibri"/>
                <w:b/>
                <w:bCs/>
                <w:sz w:val="20"/>
                <w:szCs w:val="20"/>
                <w:lang w:eastAsia="en-US"/>
              </w:rPr>
            </w:pPr>
            <w:r w:rsidRPr="00F06B5E">
              <w:rPr>
                <w:rFonts w:ascii="Calibri" w:eastAsia="Calibri" w:hAnsi="Calibri"/>
                <w:b/>
                <w:bCs/>
                <w:sz w:val="20"/>
                <w:szCs w:val="20"/>
                <w:lang w:eastAsia="en-US"/>
              </w:rPr>
              <w:t>Oblasti so špecifickými nevýhodami</w:t>
            </w:r>
          </w:p>
        </w:tc>
        <w:tc>
          <w:tcPr>
            <w:tcW w:w="907" w:type="dxa"/>
            <w:vAlign w:val="center"/>
          </w:tcPr>
          <w:p w:rsidR="00242C36" w:rsidRPr="00F06B5E" w:rsidRDefault="00242C36" w:rsidP="00242C36">
            <w:pPr>
              <w:pBdr>
                <w:bar w:val="single" w:sz="6" w:color="808080"/>
              </w:pBdr>
              <w:spacing w:after="120"/>
              <w:rPr>
                <w:rFonts w:ascii="Calibri" w:eastAsia="Calibri" w:hAnsi="Calibri"/>
                <w:sz w:val="20"/>
                <w:szCs w:val="20"/>
                <w:lang w:eastAsia="en-US"/>
              </w:rPr>
            </w:pPr>
            <w:r w:rsidRPr="00F06B5E">
              <w:rPr>
                <w:rFonts w:ascii="Calibri" w:eastAsia="Calibri" w:hAnsi="Calibri"/>
                <w:sz w:val="20"/>
                <w:szCs w:val="20"/>
                <w:lang w:eastAsia="en-US"/>
              </w:rPr>
              <w:t>3,45</w:t>
            </w:r>
          </w:p>
        </w:tc>
        <w:tc>
          <w:tcPr>
            <w:tcW w:w="907" w:type="dxa"/>
            <w:vAlign w:val="center"/>
          </w:tcPr>
          <w:p w:rsidR="00242C36" w:rsidRPr="00F06B5E" w:rsidRDefault="00242C36" w:rsidP="00242C36">
            <w:pPr>
              <w:pBdr>
                <w:bar w:val="single" w:sz="6" w:color="808080"/>
              </w:pBdr>
              <w:spacing w:after="120"/>
              <w:rPr>
                <w:rFonts w:ascii="Calibri" w:eastAsia="Calibri" w:hAnsi="Calibri"/>
                <w:sz w:val="20"/>
                <w:szCs w:val="20"/>
                <w:lang w:eastAsia="en-US"/>
              </w:rPr>
            </w:pPr>
            <w:r w:rsidRPr="00F06B5E">
              <w:rPr>
                <w:rFonts w:ascii="Calibri" w:eastAsia="Calibri" w:hAnsi="Calibri"/>
                <w:sz w:val="20"/>
                <w:szCs w:val="20"/>
                <w:lang w:eastAsia="en-US"/>
              </w:rPr>
              <w:t>4,80</w:t>
            </w:r>
          </w:p>
        </w:tc>
        <w:tc>
          <w:tcPr>
            <w:tcW w:w="907" w:type="dxa"/>
            <w:vAlign w:val="center"/>
          </w:tcPr>
          <w:p w:rsidR="00242C36" w:rsidRPr="00F06B5E" w:rsidRDefault="00242C36" w:rsidP="00242C36">
            <w:pPr>
              <w:pBdr>
                <w:bar w:val="single" w:sz="6" w:color="808080"/>
              </w:pBdr>
              <w:spacing w:after="120"/>
              <w:rPr>
                <w:rFonts w:ascii="Calibri" w:eastAsia="Calibri" w:hAnsi="Calibri"/>
                <w:sz w:val="20"/>
                <w:szCs w:val="20"/>
                <w:lang w:eastAsia="en-US"/>
              </w:rPr>
            </w:pPr>
            <w:r w:rsidRPr="00F06B5E">
              <w:rPr>
                <w:rFonts w:ascii="Calibri" w:eastAsia="Calibri" w:hAnsi="Calibri"/>
                <w:sz w:val="20"/>
                <w:szCs w:val="20"/>
                <w:lang w:eastAsia="en-US"/>
              </w:rPr>
              <w:t>4,11</w:t>
            </w:r>
          </w:p>
        </w:tc>
        <w:tc>
          <w:tcPr>
            <w:tcW w:w="907" w:type="dxa"/>
            <w:vAlign w:val="center"/>
          </w:tcPr>
          <w:p w:rsidR="00242C36" w:rsidRPr="00F06B5E" w:rsidRDefault="00242C36" w:rsidP="00242C36">
            <w:pPr>
              <w:pBdr>
                <w:bar w:val="single" w:sz="6" w:color="808080"/>
              </w:pBdr>
              <w:spacing w:after="120"/>
              <w:rPr>
                <w:rFonts w:ascii="Calibri" w:eastAsia="Calibri" w:hAnsi="Calibri"/>
                <w:sz w:val="20"/>
                <w:szCs w:val="20"/>
                <w:lang w:eastAsia="en-US"/>
              </w:rPr>
            </w:pPr>
            <w:r w:rsidRPr="00F06B5E">
              <w:rPr>
                <w:rFonts w:ascii="Calibri" w:eastAsia="Calibri" w:hAnsi="Calibri"/>
                <w:sz w:val="20"/>
                <w:szCs w:val="20"/>
                <w:lang w:eastAsia="en-US"/>
              </w:rPr>
              <w:t>3,10</w:t>
            </w:r>
          </w:p>
        </w:tc>
        <w:tc>
          <w:tcPr>
            <w:tcW w:w="907" w:type="dxa"/>
            <w:vAlign w:val="center"/>
          </w:tcPr>
          <w:p w:rsidR="00242C36" w:rsidRPr="00F06B5E" w:rsidRDefault="00242C36" w:rsidP="00242C36">
            <w:pPr>
              <w:pBdr>
                <w:bar w:val="single" w:sz="6" w:color="808080"/>
              </w:pBdr>
              <w:spacing w:after="120"/>
              <w:rPr>
                <w:rFonts w:ascii="Calibri" w:eastAsia="Calibri" w:hAnsi="Calibri"/>
                <w:sz w:val="20"/>
                <w:szCs w:val="20"/>
                <w:lang w:eastAsia="en-US"/>
              </w:rPr>
            </w:pPr>
            <w:r w:rsidRPr="00F06B5E">
              <w:rPr>
                <w:rFonts w:ascii="Calibri" w:eastAsia="Calibri" w:hAnsi="Calibri"/>
                <w:sz w:val="20"/>
                <w:szCs w:val="20"/>
                <w:lang w:eastAsia="en-US"/>
              </w:rPr>
              <w:t>4,36</w:t>
            </w:r>
          </w:p>
        </w:tc>
        <w:tc>
          <w:tcPr>
            <w:tcW w:w="907" w:type="dxa"/>
            <w:vAlign w:val="center"/>
          </w:tcPr>
          <w:p w:rsidR="00242C36" w:rsidRPr="00F06B5E" w:rsidRDefault="00242C36" w:rsidP="00242C36">
            <w:pPr>
              <w:pBdr>
                <w:bar w:val="single" w:sz="6" w:color="808080"/>
              </w:pBdr>
              <w:spacing w:after="120"/>
              <w:rPr>
                <w:rFonts w:ascii="Calibri" w:eastAsia="Calibri" w:hAnsi="Calibri"/>
                <w:sz w:val="20"/>
                <w:szCs w:val="20"/>
                <w:lang w:eastAsia="en-US"/>
              </w:rPr>
            </w:pPr>
            <w:r w:rsidRPr="00F06B5E">
              <w:rPr>
                <w:rFonts w:ascii="Calibri" w:eastAsia="Calibri" w:hAnsi="Calibri"/>
                <w:sz w:val="20"/>
                <w:szCs w:val="20"/>
                <w:lang w:eastAsia="en-US"/>
              </w:rPr>
              <w:t>3,82</w:t>
            </w:r>
          </w:p>
        </w:tc>
      </w:tr>
      <w:tr w:rsidR="00242C36" w:rsidRPr="00E43137" w:rsidTr="00242C36">
        <w:trPr>
          <w:trHeight w:val="163"/>
          <w:jc w:val="center"/>
        </w:trPr>
        <w:tc>
          <w:tcPr>
            <w:tcW w:w="3628" w:type="dxa"/>
            <w:vAlign w:val="center"/>
          </w:tcPr>
          <w:p w:rsidR="00242C36" w:rsidRPr="00F06B5E" w:rsidRDefault="00242C36" w:rsidP="00242C36">
            <w:pPr>
              <w:pBdr>
                <w:bar w:val="single" w:sz="6" w:color="808080"/>
              </w:pBdr>
              <w:spacing w:after="120"/>
              <w:rPr>
                <w:rFonts w:ascii="Calibri" w:eastAsia="Calibri" w:hAnsi="Calibri"/>
                <w:b/>
                <w:bCs/>
                <w:sz w:val="20"/>
                <w:szCs w:val="20"/>
                <w:lang w:eastAsia="en-US"/>
              </w:rPr>
            </w:pPr>
            <w:r w:rsidRPr="00F06B5E">
              <w:rPr>
                <w:rFonts w:ascii="Calibri" w:eastAsia="Calibri" w:hAnsi="Calibri"/>
                <w:b/>
                <w:bCs/>
                <w:sz w:val="20"/>
                <w:szCs w:val="20"/>
                <w:lang w:eastAsia="en-US"/>
              </w:rPr>
              <w:t>Produkčné oblasti</w:t>
            </w:r>
          </w:p>
        </w:tc>
        <w:tc>
          <w:tcPr>
            <w:tcW w:w="907" w:type="dxa"/>
            <w:vAlign w:val="center"/>
          </w:tcPr>
          <w:p w:rsidR="00242C36" w:rsidRPr="00F06B5E" w:rsidRDefault="00242C36" w:rsidP="00242C36">
            <w:pPr>
              <w:pBdr>
                <w:bar w:val="single" w:sz="6" w:color="808080"/>
              </w:pBdr>
              <w:spacing w:after="120"/>
              <w:rPr>
                <w:rFonts w:ascii="Calibri" w:eastAsia="Calibri" w:hAnsi="Calibri"/>
                <w:sz w:val="20"/>
                <w:szCs w:val="20"/>
                <w:lang w:eastAsia="en-US"/>
              </w:rPr>
            </w:pPr>
            <w:r w:rsidRPr="00F06B5E">
              <w:rPr>
                <w:rFonts w:ascii="Calibri" w:eastAsia="Calibri" w:hAnsi="Calibri"/>
                <w:sz w:val="20"/>
                <w:szCs w:val="20"/>
                <w:lang w:eastAsia="en-US"/>
              </w:rPr>
              <w:t>4,06</w:t>
            </w:r>
          </w:p>
        </w:tc>
        <w:tc>
          <w:tcPr>
            <w:tcW w:w="907" w:type="dxa"/>
            <w:vAlign w:val="center"/>
          </w:tcPr>
          <w:p w:rsidR="00242C36" w:rsidRPr="00F06B5E" w:rsidRDefault="00242C36" w:rsidP="00242C36">
            <w:pPr>
              <w:pBdr>
                <w:bar w:val="single" w:sz="6" w:color="808080"/>
              </w:pBdr>
              <w:spacing w:after="120"/>
              <w:rPr>
                <w:rFonts w:ascii="Calibri" w:eastAsia="Calibri" w:hAnsi="Calibri"/>
                <w:sz w:val="20"/>
                <w:szCs w:val="20"/>
                <w:lang w:eastAsia="en-US"/>
              </w:rPr>
            </w:pPr>
            <w:r w:rsidRPr="00F06B5E">
              <w:rPr>
                <w:rFonts w:ascii="Calibri" w:eastAsia="Calibri" w:hAnsi="Calibri"/>
                <w:sz w:val="20"/>
                <w:szCs w:val="20"/>
                <w:lang w:eastAsia="en-US"/>
              </w:rPr>
              <w:t>6,23</w:t>
            </w:r>
          </w:p>
        </w:tc>
        <w:tc>
          <w:tcPr>
            <w:tcW w:w="907" w:type="dxa"/>
            <w:vAlign w:val="center"/>
          </w:tcPr>
          <w:p w:rsidR="00242C36" w:rsidRPr="00F06B5E" w:rsidRDefault="00242C36" w:rsidP="00242C36">
            <w:pPr>
              <w:pBdr>
                <w:bar w:val="single" w:sz="6" w:color="808080"/>
              </w:pBdr>
              <w:spacing w:after="120"/>
              <w:rPr>
                <w:rFonts w:ascii="Calibri" w:eastAsia="Calibri" w:hAnsi="Calibri"/>
                <w:sz w:val="20"/>
                <w:szCs w:val="20"/>
                <w:lang w:eastAsia="en-US"/>
              </w:rPr>
            </w:pPr>
            <w:r w:rsidRPr="00F06B5E">
              <w:rPr>
                <w:rFonts w:ascii="Calibri" w:eastAsia="Calibri" w:hAnsi="Calibri"/>
                <w:sz w:val="20"/>
                <w:szCs w:val="20"/>
                <w:lang w:eastAsia="en-US"/>
              </w:rPr>
              <w:t>5,19</w:t>
            </w:r>
          </w:p>
        </w:tc>
        <w:tc>
          <w:tcPr>
            <w:tcW w:w="907" w:type="dxa"/>
            <w:vAlign w:val="center"/>
          </w:tcPr>
          <w:p w:rsidR="00242C36" w:rsidRPr="00F06B5E" w:rsidRDefault="00242C36" w:rsidP="00242C36">
            <w:pPr>
              <w:pBdr>
                <w:bar w:val="single" w:sz="6" w:color="808080"/>
              </w:pBdr>
              <w:spacing w:after="120"/>
              <w:rPr>
                <w:rFonts w:ascii="Calibri" w:eastAsia="Calibri" w:hAnsi="Calibri"/>
                <w:sz w:val="20"/>
                <w:szCs w:val="20"/>
                <w:lang w:eastAsia="en-US"/>
              </w:rPr>
            </w:pPr>
            <w:r w:rsidRPr="00F06B5E">
              <w:rPr>
                <w:rFonts w:ascii="Calibri" w:eastAsia="Calibri" w:hAnsi="Calibri"/>
                <w:sz w:val="20"/>
                <w:szCs w:val="20"/>
                <w:lang w:eastAsia="en-US"/>
              </w:rPr>
              <w:t>4,57</w:t>
            </w:r>
          </w:p>
        </w:tc>
        <w:tc>
          <w:tcPr>
            <w:tcW w:w="907" w:type="dxa"/>
            <w:vAlign w:val="center"/>
          </w:tcPr>
          <w:p w:rsidR="00242C36" w:rsidRPr="00F06B5E" w:rsidRDefault="00242C36" w:rsidP="00242C36">
            <w:pPr>
              <w:pBdr>
                <w:bar w:val="single" w:sz="6" w:color="808080"/>
              </w:pBdr>
              <w:spacing w:after="120"/>
              <w:rPr>
                <w:rFonts w:ascii="Calibri" w:eastAsia="Calibri" w:hAnsi="Calibri"/>
                <w:sz w:val="20"/>
                <w:szCs w:val="20"/>
                <w:lang w:eastAsia="en-US"/>
              </w:rPr>
            </w:pPr>
            <w:r w:rsidRPr="00F06B5E">
              <w:rPr>
                <w:rFonts w:ascii="Calibri" w:eastAsia="Calibri" w:hAnsi="Calibri"/>
                <w:sz w:val="20"/>
                <w:szCs w:val="20"/>
                <w:lang w:eastAsia="en-US"/>
              </w:rPr>
              <w:t>6,08</w:t>
            </w:r>
          </w:p>
        </w:tc>
        <w:tc>
          <w:tcPr>
            <w:tcW w:w="907" w:type="dxa"/>
            <w:vAlign w:val="center"/>
          </w:tcPr>
          <w:p w:rsidR="00242C36" w:rsidRPr="00F06B5E" w:rsidRDefault="00242C36" w:rsidP="00242C36">
            <w:pPr>
              <w:pBdr>
                <w:bar w:val="single" w:sz="6" w:color="808080"/>
              </w:pBdr>
              <w:spacing w:after="120"/>
              <w:rPr>
                <w:rFonts w:ascii="Calibri" w:eastAsia="Calibri" w:hAnsi="Calibri"/>
                <w:sz w:val="20"/>
                <w:szCs w:val="20"/>
                <w:lang w:eastAsia="en-US"/>
              </w:rPr>
            </w:pPr>
            <w:r w:rsidRPr="00F06B5E">
              <w:rPr>
                <w:rFonts w:ascii="Calibri" w:eastAsia="Calibri" w:hAnsi="Calibri"/>
                <w:sz w:val="20"/>
                <w:szCs w:val="20"/>
                <w:lang w:eastAsia="en-US"/>
              </w:rPr>
              <w:t>4,13</w:t>
            </w:r>
          </w:p>
        </w:tc>
      </w:tr>
    </w:tbl>
    <w:p w:rsidR="00242C36" w:rsidRPr="00113FC3" w:rsidRDefault="00242C36" w:rsidP="00242C36">
      <w:pPr>
        <w:pBdr>
          <w:bar w:val="single" w:sz="6" w:color="808080"/>
        </w:pBdr>
        <w:spacing w:after="120"/>
        <w:rPr>
          <w:rFonts w:ascii="Calibri" w:eastAsia="Calibri" w:hAnsi="Calibri"/>
          <w:sz w:val="20"/>
          <w:szCs w:val="22"/>
          <w:lang w:eastAsia="en-US"/>
        </w:rPr>
      </w:pPr>
      <w:r w:rsidRPr="00113FC3">
        <w:rPr>
          <w:rFonts w:ascii="Calibri" w:eastAsia="Calibri" w:hAnsi="Calibri"/>
          <w:sz w:val="20"/>
          <w:szCs w:val="22"/>
          <w:lang w:eastAsia="en-US"/>
        </w:rPr>
        <w:t>Zdroj: Informačné listy CD MPRV SR, VÚEPP Bratislava</w:t>
      </w:r>
    </w:p>
    <w:p w:rsidR="00242C36" w:rsidRPr="00E43137" w:rsidRDefault="00242C36" w:rsidP="00242C36">
      <w:pPr>
        <w:pBdr>
          <w:bar w:val="single" w:sz="6" w:color="808080"/>
        </w:pBdr>
        <w:spacing w:after="120"/>
        <w:rPr>
          <w:rFonts w:ascii="Calibri" w:eastAsia="Calibri" w:hAnsi="Calibri"/>
          <w:szCs w:val="22"/>
          <w:lang w:eastAsia="en-US"/>
        </w:rPr>
      </w:pPr>
      <w:r w:rsidRPr="00E43137">
        <w:rPr>
          <w:rFonts w:ascii="Calibri" w:eastAsia="Calibri" w:hAnsi="Calibri"/>
          <w:szCs w:val="22"/>
          <w:lang w:eastAsia="en-US"/>
        </w:rPr>
        <w:t xml:space="preserve">Pre znevýhodnené oblasti Slovenska je charakteristický chov hovädzieho dobytka, oviec a okrajovo aj chov kôz. </w:t>
      </w:r>
    </w:p>
    <w:p w:rsidR="00242C36" w:rsidRPr="00E43137" w:rsidRDefault="00242C36" w:rsidP="00242C36">
      <w:pPr>
        <w:pBdr>
          <w:bar w:val="single" w:sz="6" w:color="808080"/>
        </w:pBdr>
        <w:spacing w:after="120"/>
        <w:rPr>
          <w:rFonts w:ascii="Calibri" w:eastAsia="Calibri" w:hAnsi="Calibri"/>
          <w:szCs w:val="22"/>
          <w:lang w:eastAsia="en-US"/>
        </w:rPr>
      </w:pPr>
      <w:r w:rsidRPr="00E43137">
        <w:rPr>
          <w:rFonts w:ascii="Calibri" w:eastAsia="Calibri" w:hAnsi="Calibri"/>
          <w:szCs w:val="22"/>
          <w:lang w:eastAsia="en-US"/>
        </w:rPr>
        <w:t xml:space="preserve">V chove hovädzieho dobytka došlo v roku 2012 prvýkrát od r. 2007 k rastu počtu zvierat. Mierny rast stavu HD v r. 2012 bol zaznamenaný v horských a ostatných znevýhodnených oblastiach. V oblastiach so špecifickými nevýhodami a v produkčných oblastiach stavy HD klesli. Stavy dojníc sa znížili tak v znevýhodnených ako aj v produkčných oblastiach, ale stavy dojčiacich kráv rástli iba v znevýhodnených oblastiach, aj keď v produkčných oblastiach sú ich stavy minimálne. Napriek tomu tento vývoj musíme hodnotiť pozitívne nakoľko do r. 2011 stav HD neustále klesal s výnimkou mierneho zvyšovania počtu dojčiacich kráv. V produkčných oblastiach sa </w:t>
      </w:r>
      <w:r w:rsidRPr="00E43137">
        <w:rPr>
          <w:rFonts w:ascii="Calibri" w:eastAsia="Calibri" w:hAnsi="Calibri"/>
          <w:b/>
          <w:szCs w:val="22"/>
          <w:lang w:eastAsia="en-US"/>
        </w:rPr>
        <w:t>počet VDJ/ha od r. 2007</w:t>
      </w:r>
      <w:r w:rsidRPr="00E43137">
        <w:rPr>
          <w:rFonts w:ascii="Calibri" w:eastAsia="Calibri" w:hAnsi="Calibri"/>
          <w:szCs w:val="22"/>
          <w:lang w:eastAsia="en-US"/>
        </w:rPr>
        <w:t xml:space="preserve"> znížil o 20%, </w:t>
      </w:r>
      <w:r w:rsidRPr="00E43137">
        <w:rPr>
          <w:rFonts w:ascii="Calibri" w:eastAsia="Calibri" w:hAnsi="Calibri"/>
          <w:b/>
          <w:szCs w:val="22"/>
          <w:lang w:eastAsia="en-US"/>
        </w:rPr>
        <w:t>v znevýhodnených oblastiach klesol iba o 5%.</w:t>
      </w:r>
      <w:r w:rsidRPr="00E43137">
        <w:rPr>
          <w:rFonts w:ascii="Calibri" w:eastAsia="Calibri" w:hAnsi="Calibri"/>
          <w:szCs w:val="22"/>
          <w:lang w:eastAsia="en-US"/>
        </w:rPr>
        <w:t xml:space="preserve"> Tento pokles prebiehal v LFA na úkor znižovania stavu dojníc. Na druhej strane sa podiel dojčiacich kráv zvýšil v r. 2012 na 48% v horských a 67% v ostatných znevýhodnených oblastiach, ktoré využívajú trvalé trávne porasty na pasenie zvierat a tým prispievajú k udržiavaniu rázu poľnohospodárskej krajiny. V r. 2007 bol ich podiel iba 30%-ný. </w:t>
      </w:r>
    </w:p>
    <w:p w:rsidR="00242C36" w:rsidRPr="00E43137" w:rsidRDefault="00242C36" w:rsidP="00242C36">
      <w:pPr>
        <w:pBdr>
          <w:bar w:val="single" w:sz="6" w:color="808080"/>
        </w:pBdr>
        <w:spacing w:after="120"/>
        <w:rPr>
          <w:rFonts w:ascii="Calibri" w:eastAsia="Calibri" w:hAnsi="Calibri"/>
          <w:szCs w:val="22"/>
          <w:lang w:eastAsia="en-US"/>
        </w:rPr>
      </w:pPr>
      <w:r w:rsidRPr="00E43137">
        <w:rPr>
          <w:rFonts w:ascii="Calibri" w:eastAsia="Calibri" w:hAnsi="Calibri"/>
          <w:szCs w:val="22"/>
          <w:lang w:eastAsia="en-US"/>
        </w:rPr>
        <w:t xml:space="preserve">V posledných dvoch rokoch sa začala v horských oblastiach napriek znižovaniu počtu kráv zvyšovať ich úžitkovosť. Kým v r. 2007 bola priemerná úžitkovosť v horských oblastiach o 27% nižšia ako v produkčných oblastiach, v r. 2012 už dosiahla </w:t>
      </w:r>
      <w:r w:rsidRPr="00E43137">
        <w:rPr>
          <w:rFonts w:ascii="Calibri" w:eastAsia="Calibri" w:hAnsi="Calibri"/>
          <w:b/>
          <w:szCs w:val="22"/>
          <w:lang w:eastAsia="en-US"/>
        </w:rPr>
        <w:t>85% úroveň úžitkovosti produkčných oblastí</w:t>
      </w:r>
      <w:r w:rsidRPr="00E43137">
        <w:rPr>
          <w:rFonts w:ascii="Calibri" w:eastAsia="Calibri" w:hAnsi="Calibri"/>
          <w:szCs w:val="22"/>
          <w:lang w:eastAsia="en-US"/>
        </w:rPr>
        <w:t>. V ostatných typoch znevýhodnených oblastí dochádza iba k malým zmenám v dojnosti kráv.</w:t>
      </w:r>
    </w:p>
    <w:p w:rsidR="00242C36" w:rsidRPr="00E43137" w:rsidRDefault="00E32F57" w:rsidP="00242C36">
      <w:pPr>
        <w:pBdr>
          <w:bar w:val="single" w:sz="6" w:color="808080"/>
        </w:pBdr>
        <w:spacing w:after="120"/>
        <w:rPr>
          <w:rFonts w:ascii="Calibri" w:eastAsia="Calibri" w:hAnsi="Calibri"/>
          <w:b/>
          <w:bCs/>
          <w:szCs w:val="22"/>
          <w:lang w:eastAsia="en-US"/>
        </w:rPr>
      </w:pPr>
      <w:r>
        <w:rPr>
          <w:rFonts w:ascii="Calibri" w:eastAsia="Calibri" w:hAnsi="Calibri"/>
          <w:b/>
          <w:bCs/>
          <w:szCs w:val="22"/>
          <w:lang w:eastAsia="en-US"/>
        </w:rPr>
        <w:t xml:space="preserve">Tabuľka 38: </w:t>
      </w:r>
      <w:r w:rsidR="00242C36" w:rsidRPr="00E43137">
        <w:rPr>
          <w:rFonts w:ascii="Calibri" w:eastAsia="Calibri" w:hAnsi="Calibri"/>
          <w:b/>
          <w:bCs/>
          <w:szCs w:val="22"/>
          <w:lang w:eastAsia="en-US"/>
        </w:rPr>
        <w:t>Počet zvierat a úžitkovosť v chovoch hovädzieho dobytka v LFA</w:t>
      </w:r>
    </w:p>
    <w:tbl>
      <w:tblPr>
        <w:tblW w:w="91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08"/>
        <w:gridCol w:w="1184"/>
        <w:gridCol w:w="1361"/>
        <w:gridCol w:w="1621"/>
        <w:gridCol w:w="1619"/>
        <w:gridCol w:w="1440"/>
      </w:tblGrid>
      <w:tr w:rsidR="00242C36" w:rsidRPr="0042247C" w:rsidTr="00242C36">
        <w:trPr>
          <w:trHeight w:val="653"/>
          <w:jc w:val="center"/>
        </w:trPr>
        <w:tc>
          <w:tcPr>
            <w:tcW w:w="1908" w:type="dxa"/>
            <w:vAlign w:val="center"/>
          </w:tcPr>
          <w:p w:rsidR="00242C36" w:rsidRPr="0042247C" w:rsidRDefault="00242C36" w:rsidP="00242C36">
            <w:pPr>
              <w:pBdr>
                <w:bar w:val="single" w:sz="6" w:color="808080"/>
              </w:pBdr>
              <w:spacing w:after="120"/>
              <w:rPr>
                <w:rFonts w:ascii="Calibri" w:eastAsia="Calibri" w:hAnsi="Calibri"/>
                <w:b/>
                <w:bCs/>
                <w:i/>
                <w:sz w:val="20"/>
                <w:szCs w:val="20"/>
                <w:lang w:eastAsia="en-US"/>
              </w:rPr>
            </w:pPr>
            <w:r w:rsidRPr="0042247C">
              <w:rPr>
                <w:rFonts w:ascii="Calibri" w:eastAsia="Calibri" w:hAnsi="Calibri"/>
                <w:b/>
                <w:bCs/>
                <w:i/>
                <w:sz w:val="20"/>
                <w:szCs w:val="20"/>
                <w:lang w:eastAsia="en-US"/>
              </w:rPr>
              <w:t>Ukazovateľ</w:t>
            </w:r>
          </w:p>
        </w:tc>
        <w:tc>
          <w:tcPr>
            <w:tcW w:w="1184" w:type="dxa"/>
            <w:vAlign w:val="center"/>
          </w:tcPr>
          <w:p w:rsidR="00242C36" w:rsidRPr="0042247C" w:rsidRDefault="00242C36" w:rsidP="00242C36">
            <w:pPr>
              <w:pBdr>
                <w:bar w:val="single" w:sz="6" w:color="808080"/>
              </w:pBdr>
              <w:spacing w:after="120"/>
              <w:rPr>
                <w:rFonts w:ascii="Calibri" w:eastAsia="Calibri" w:hAnsi="Calibri"/>
                <w:b/>
                <w:bCs/>
                <w:i/>
                <w:sz w:val="20"/>
                <w:szCs w:val="20"/>
                <w:lang w:eastAsia="en-US"/>
              </w:rPr>
            </w:pPr>
            <w:r w:rsidRPr="0042247C">
              <w:rPr>
                <w:rFonts w:ascii="Calibri" w:eastAsia="Calibri" w:hAnsi="Calibri"/>
                <w:b/>
                <w:bCs/>
                <w:i/>
                <w:sz w:val="20"/>
                <w:szCs w:val="20"/>
                <w:lang w:eastAsia="en-US"/>
              </w:rPr>
              <w:t>M. J.</w:t>
            </w:r>
          </w:p>
        </w:tc>
        <w:tc>
          <w:tcPr>
            <w:tcW w:w="1361" w:type="dxa"/>
            <w:vAlign w:val="center"/>
          </w:tcPr>
          <w:p w:rsidR="00242C36" w:rsidRPr="0042247C" w:rsidRDefault="00242C36" w:rsidP="00242C36">
            <w:pPr>
              <w:pBdr>
                <w:bar w:val="single" w:sz="6" w:color="808080"/>
              </w:pBdr>
              <w:spacing w:after="120"/>
              <w:rPr>
                <w:rFonts w:ascii="Calibri" w:eastAsia="Calibri" w:hAnsi="Calibri"/>
                <w:b/>
                <w:bCs/>
                <w:i/>
                <w:sz w:val="20"/>
                <w:szCs w:val="20"/>
                <w:lang w:eastAsia="en-US"/>
              </w:rPr>
            </w:pPr>
            <w:r w:rsidRPr="0042247C">
              <w:rPr>
                <w:rFonts w:ascii="Calibri" w:eastAsia="Calibri" w:hAnsi="Calibri"/>
                <w:b/>
                <w:bCs/>
                <w:i/>
                <w:sz w:val="20"/>
                <w:szCs w:val="20"/>
                <w:lang w:eastAsia="en-US"/>
              </w:rPr>
              <w:t>Horské oblasti</w:t>
            </w:r>
          </w:p>
        </w:tc>
        <w:tc>
          <w:tcPr>
            <w:tcW w:w="1621" w:type="dxa"/>
            <w:vAlign w:val="center"/>
          </w:tcPr>
          <w:p w:rsidR="00242C36" w:rsidRPr="0042247C" w:rsidRDefault="00242C36" w:rsidP="00242C36">
            <w:pPr>
              <w:pBdr>
                <w:bar w:val="single" w:sz="6" w:color="808080"/>
              </w:pBdr>
              <w:spacing w:after="120"/>
              <w:rPr>
                <w:rFonts w:ascii="Calibri" w:eastAsia="Calibri" w:hAnsi="Calibri"/>
                <w:b/>
                <w:bCs/>
                <w:i/>
                <w:sz w:val="20"/>
                <w:szCs w:val="20"/>
                <w:lang w:eastAsia="en-US"/>
              </w:rPr>
            </w:pPr>
            <w:r w:rsidRPr="0042247C">
              <w:rPr>
                <w:rFonts w:ascii="Calibri" w:eastAsia="Calibri" w:hAnsi="Calibri"/>
                <w:b/>
                <w:bCs/>
                <w:i/>
                <w:sz w:val="20"/>
                <w:szCs w:val="20"/>
                <w:lang w:eastAsia="en-US"/>
              </w:rPr>
              <w:t>Ostatné znevýhodnené oblasti</w:t>
            </w:r>
          </w:p>
        </w:tc>
        <w:tc>
          <w:tcPr>
            <w:tcW w:w="1619" w:type="dxa"/>
            <w:vAlign w:val="center"/>
          </w:tcPr>
          <w:p w:rsidR="00242C36" w:rsidRPr="0042247C" w:rsidRDefault="00242C36" w:rsidP="00242C36">
            <w:pPr>
              <w:pBdr>
                <w:bar w:val="single" w:sz="6" w:color="808080"/>
              </w:pBdr>
              <w:spacing w:after="120"/>
              <w:rPr>
                <w:rFonts w:ascii="Calibri" w:eastAsia="Calibri" w:hAnsi="Calibri"/>
                <w:b/>
                <w:bCs/>
                <w:i/>
                <w:sz w:val="20"/>
                <w:szCs w:val="20"/>
                <w:lang w:eastAsia="en-US"/>
              </w:rPr>
            </w:pPr>
            <w:r w:rsidRPr="0042247C">
              <w:rPr>
                <w:rFonts w:ascii="Calibri" w:eastAsia="Calibri" w:hAnsi="Calibri"/>
                <w:b/>
                <w:bCs/>
                <w:i/>
                <w:sz w:val="20"/>
                <w:szCs w:val="20"/>
                <w:lang w:eastAsia="en-US"/>
              </w:rPr>
              <w:t>Oblasti so špecifickými nevýhodami</w:t>
            </w:r>
          </w:p>
        </w:tc>
        <w:tc>
          <w:tcPr>
            <w:tcW w:w="1440" w:type="dxa"/>
            <w:vAlign w:val="center"/>
          </w:tcPr>
          <w:p w:rsidR="00242C36" w:rsidRPr="0042247C" w:rsidRDefault="00242C36" w:rsidP="00242C36">
            <w:pPr>
              <w:pBdr>
                <w:bar w:val="single" w:sz="6" w:color="808080"/>
              </w:pBdr>
              <w:spacing w:after="120"/>
              <w:rPr>
                <w:rFonts w:ascii="Calibri" w:eastAsia="Calibri" w:hAnsi="Calibri"/>
                <w:b/>
                <w:bCs/>
                <w:i/>
                <w:sz w:val="20"/>
                <w:szCs w:val="20"/>
                <w:lang w:eastAsia="en-US"/>
              </w:rPr>
            </w:pPr>
            <w:r w:rsidRPr="0042247C">
              <w:rPr>
                <w:rFonts w:ascii="Calibri" w:eastAsia="Calibri" w:hAnsi="Calibri"/>
                <w:b/>
                <w:bCs/>
                <w:i/>
                <w:sz w:val="20"/>
                <w:szCs w:val="20"/>
                <w:lang w:eastAsia="en-US"/>
              </w:rPr>
              <w:t>Produkčné oblasti</w:t>
            </w:r>
          </w:p>
        </w:tc>
      </w:tr>
      <w:tr w:rsidR="00242C36" w:rsidRPr="0042247C" w:rsidTr="00242C36">
        <w:trPr>
          <w:trHeight w:val="163"/>
          <w:jc w:val="center"/>
        </w:trPr>
        <w:tc>
          <w:tcPr>
            <w:tcW w:w="1908" w:type="dxa"/>
            <w:vAlign w:val="center"/>
          </w:tcPr>
          <w:p w:rsidR="00242C36" w:rsidRPr="0042247C" w:rsidRDefault="00242C36" w:rsidP="00242C36">
            <w:pPr>
              <w:pBdr>
                <w:bar w:val="single" w:sz="6" w:color="808080"/>
              </w:pBdr>
              <w:spacing w:after="120"/>
              <w:rPr>
                <w:rFonts w:ascii="Calibri" w:eastAsia="Calibri" w:hAnsi="Calibri"/>
                <w:b/>
                <w:bCs/>
                <w:sz w:val="20"/>
                <w:szCs w:val="20"/>
                <w:lang w:eastAsia="en-US"/>
              </w:rPr>
            </w:pPr>
            <w:r w:rsidRPr="0042247C">
              <w:rPr>
                <w:rFonts w:ascii="Calibri" w:eastAsia="Calibri" w:hAnsi="Calibri"/>
                <w:b/>
                <w:bCs/>
                <w:sz w:val="20"/>
                <w:szCs w:val="20"/>
                <w:lang w:eastAsia="en-US"/>
              </w:rPr>
              <w:t>HD spolu</w:t>
            </w:r>
          </w:p>
        </w:tc>
        <w:tc>
          <w:tcPr>
            <w:tcW w:w="1184" w:type="dxa"/>
            <w:vAlign w:val="center"/>
          </w:tcPr>
          <w:p w:rsidR="00242C36" w:rsidRPr="0042247C" w:rsidRDefault="00242C36" w:rsidP="00242C36">
            <w:pPr>
              <w:pBdr>
                <w:bar w:val="single" w:sz="6" w:color="808080"/>
              </w:pBdr>
              <w:spacing w:after="120"/>
              <w:rPr>
                <w:rFonts w:ascii="Calibri" w:eastAsia="Calibri" w:hAnsi="Calibri"/>
                <w:sz w:val="20"/>
                <w:szCs w:val="20"/>
                <w:lang w:eastAsia="en-US"/>
              </w:rPr>
            </w:pPr>
            <w:r w:rsidRPr="0042247C">
              <w:rPr>
                <w:rFonts w:ascii="Calibri" w:eastAsia="Calibri" w:hAnsi="Calibri"/>
                <w:sz w:val="20"/>
                <w:szCs w:val="20"/>
                <w:lang w:eastAsia="en-US"/>
              </w:rPr>
              <w:t>VDJ/ha</w:t>
            </w:r>
          </w:p>
        </w:tc>
        <w:tc>
          <w:tcPr>
            <w:tcW w:w="1361" w:type="dxa"/>
            <w:vAlign w:val="center"/>
          </w:tcPr>
          <w:p w:rsidR="00242C36" w:rsidRPr="0042247C" w:rsidRDefault="00242C36" w:rsidP="00242C36">
            <w:pPr>
              <w:pBdr>
                <w:bar w:val="single" w:sz="6" w:color="808080"/>
              </w:pBdr>
              <w:spacing w:after="120"/>
              <w:rPr>
                <w:rFonts w:ascii="Calibri" w:eastAsia="Calibri" w:hAnsi="Calibri"/>
                <w:sz w:val="20"/>
                <w:szCs w:val="20"/>
                <w:lang w:eastAsia="en-US"/>
              </w:rPr>
            </w:pPr>
            <w:r w:rsidRPr="0042247C">
              <w:rPr>
                <w:rFonts w:ascii="Calibri" w:eastAsia="Calibri" w:hAnsi="Calibri"/>
                <w:sz w:val="20"/>
                <w:szCs w:val="20"/>
                <w:lang w:eastAsia="en-US"/>
              </w:rPr>
              <w:t>0,279</w:t>
            </w:r>
          </w:p>
        </w:tc>
        <w:tc>
          <w:tcPr>
            <w:tcW w:w="1621" w:type="dxa"/>
            <w:vAlign w:val="center"/>
          </w:tcPr>
          <w:p w:rsidR="00242C36" w:rsidRPr="0042247C" w:rsidRDefault="00242C36" w:rsidP="00242C36">
            <w:pPr>
              <w:pBdr>
                <w:bar w:val="single" w:sz="6" w:color="808080"/>
              </w:pBdr>
              <w:spacing w:after="120"/>
              <w:rPr>
                <w:rFonts w:ascii="Calibri" w:eastAsia="Calibri" w:hAnsi="Calibri"/>
                <w:sz w:val="20"/>
                <w:szCs w:val="20"/>
                <w:lang w:eastAsia="en-US"/>
              </w:rPr>
            </w:pPr>
            <w:r w:rsidRPr="0042247C">
              <w:rPr>
                <w:rFonts w:ascii="Calibri" w:eastAsia="Calibri" w:hAnsi="Calibri"/>
                <w:sz w:val="20"/>
                <w:szCs w:val="20"/>
                <w:lang w:eastAsia="en-US"/>
              </w:rPr>
              <w:t>0,215</w:t>
            </w:r>
          </w:p>
        </w:tc>
        <w:tc>
          <w:tcPr>
            <w:tcW w:w="1619" w:type="dxa"/>
            <w:vAlign w:val="center"/>
          </w:tcPr>
          <w:p w:rsidR="00242C36" w:rsidRPr="0042247C" w:rsidRDefault="00242C36" w:rsidP="00242C36">
            <w:pPr>
              <w:pBdr>
                <w:bar w:val="single" w:sz="6" w:color="808080"/>
              </w:pBdr>
              <w:spacing w:after="120"/>
              <w:rPr>
                <w:rFonts w:ascii="Calibri" w:eastAsia="Calibri" w:hAnsi="Calibri"/>
                <w:sz w:val="20"/>
                <w:szCs w:val="20"/>
                <w:lang w:eastAsia="en-US"/>
              </w:rPr>
            </w:pPr>
            <w:r w:rsidRPr="0042247C">
              <w:rPr>
                <w:rFonts w:ascii="Calibri" w:eastAsia="Calibri" w:hAnsi="Calibri"/>
                <w:sz w:val="20"/>
                <w:szCs w:val="20"/>
                <w:lang w:eastAsia="en-US"/>
              </w:rPr>
              <w:t>0,185</w:t>
            </w:r>
          </w:p>
        </w:tc>
        <w:tc>
          <w:tcPr>
            <w:tcW w:w="1440" w:type="dxa"/>
            <w:vAlign w:val="center"/>
          </w:tcPr>
          <w:p w:rsidR="00242C36" w:rsidRPr="0042247C" w:rsidRDefault="00242C36" w:rsidP="00242C36">
            <w:pPr>
              <w:pBdr>
                <w:bar w:val="single" w:sz="6" w:color="808080"/>
              </w:pBdr>
              <w:spacing w:after="120"/>
              <w:rPr>
                <w:rFonts w:ascii="Calibri" w:eastAsia="Calibri" w:hAnsi="Calibri"/>
                <w:sz w:val="20"/>
                <w:szCs w:val="20"/>
                <w:lang w:eastAsia="en-US"/>
              </w:rPr>
            </w:pPr>
            <w:r w:rsidRPr="0042247C">
              <w:rPr>
                <w:rFonts w:ascii="Calibri" w:eastAsia="Calibri" w:hAnsi="Calibri"/>
                <w:sz w:val="20"/>
                <w:szCs w:val="20"/>
                <w:lang w:eastAsia="en-US"/>
              </w:rPr>
              <w:t>0,178</w:t>
            </w:r>
          </w:p>
        </w:tc>
      </w:tr>
      <w:tr w:rsidR="00242C36" w:rsidRPr="0042247C" w:rsidTr="00242C36">
        <w:trPr>
          <w:trHeight w:val="163"/>
          <w:jc w:val="center"/>
        </w:trPr>
        <w:tc>
          <w:tcPr>
            <w:tcW w:w="1908" w:type="dxa"/>
            <w:vAlign w:val="center"/>
          </w:tcPr>
          <w:p w:rsidR="00242C36" w:rsidRPr="0042247C" w:rsidRDefault="00242C36" w:rsidP="00242C36">
            <w:pPr>
              <w:pBdr>
                <w:bar w:val="single" w:sz="6" w:color="808080"/>
              </w:pBdr>
              <w:spacing w:after="120"/>
              <w:rPr>
                <w:rFonts w:ascii="Calibri" w:eastAsia="Calibri" w:hAnsi="Calibri"/>
                <w:b/>
                <w:bCs/>
                <w:sz w:val="20"/>
                <w:szCs w:val="20"/>
                <w:lang w:eastAsia="en-US"/>
              </w:rPr>
            </w:pPr>
            <w:r w:rsidRPr="0042247C">
              <w:rPr>
                <w:rFonts w:ascii="Calibri" w:eastAsia="Calibri" w:hAnsi="Calibri"/>
                <w:b/>
                <w:bCs/>
                <w:sz w:val="20"/>
                <w:szCs w:val="20"/>
                <w:lang w:eastAsia="en-US"/>
              </w:rPr>
              <w:t>Dojnice</w:t>
            </w:r>
          </w:p>
        </w:tc>
        <w:tc>
          <w:tcPr>
            <w:tcW w:w="1184" w:type="dxa"/>
          </w:tcPr>
          <w:p w:rsidR="00242C36" w:rsidRPr="0042247C" w:rsidRDefault="00242C36" w:rsidP="00242C36">
            <w:pPr>
              <w:pBdr>
                <w:bar w:val="single" w:sz="6" w:color="808080"/>
              </w:pBdr>
              <w:spacing w:after="120"/>
              <w:rPr>
                <w:rFonts w:ascii="Calibri" w:eastAsia="Calibri" w:hAnsi="Calibri"/>
                <w:sz w:val="20"/>
                <w:szCs w:val="20"/>
                <w:lang w:eastAsia="en-US"/>
              </w:rPr>
            </w:pPr>
            <w:r w:rsidRPr="0042247C">
              <w:rPr>
                <w:rFonts w:ascii="Calibri" w:eastAsia="Calibri" w:hAnsi="Calibri"/>
                <w:sz w:val="20"/>
                <w:szCs w:val="20"/>
                <w:lang w:eastAsia="en-US"/>
              </w:rPr>
              <w:t>VDJ/ha</w:t>
            </w:r>
          </w:p>
        </w:tc>
        <w:tc>
          <w:tcPr>
            <w:tcW w:w="1361" w:type="dxa"/>
            <w:vAlign w:val="center"/>
          </w:tcPr>
          <w:p w:rsidR="00242C36" w:rsidRPr="0042247C" w:rsidRDefault="00242C36" w:rsidP="00242C36">
            <w:pPr>
              <w:pBdr>
                <w:bar w:val="single" w:sz="6" w:color="808080"/>
              </w:pBdr>
              <w:spacing w:after="120"/>
              <w:rPr>
                <w:rFonts w:ascii="Calibri" w:eastAsia="Calibri" w:hAnsi="Calibri"/>
                <w:sz w:val="20"/>
                <w:szCs w:val="20"/>
                <w:lang w:eastAsia="en-US"/>
              </w:rPr>
            </w:pPr>
            <w:r w:rsidRPr="0042247C">
              <w:rPr>
                <w:rFonts w:ascii="Calibri" w:eastAsia="Calibri" w:hAnsi="Calibri"/>
                <w:sz w:val="20"/>
                <w:szCs w:val="20"/>
                <w:lang w:eastAsia="en-US"/>
              </w:rPr>
              <w:t>0,111</w:t>
            </w:r>
          </w:p>
        </w:tc>
        <w:tc>
          <w:tcPr>
            <w:tcW w:w="1621" w:type="dxa"/>
            <w:vAlign w:val="center"/>
          </w:tcPr>
          <w:p w:rsidR="00242C36" w:rsidRPr="0042247C" w:rsidRDefault="00242C36" w:rsidP="00242C36">
            <w:pPr>
              <w:pBdr>
                <w:bar w:val="single" w:sz="6" w:color="808080"/>
              </w:pBdr>
              <w:spacing w:after="120"/>
              <w:rPr>
                <w:rFonts w:ascii="Calibri" w:eastAsia="Calibri" w:hAnsi="Calibri"/>
                <w:sz w:val="20"/>
                <w:szCs w:val="20"/>
                <w:lang w:eastAsia="en-US"/>
              </w:rPr>
            </w:pPr>
            <w:r w:rsidRPr="0042247C">
              <w:rPr>
                <w:rFonts w:ascii="Calibri" w:eastAsia="Calibri" w:hAnsi="Calibri"/>
                <w:sz w:val="20"/>
                <w:szCs w:val="20"/>
                <w:lang w:eastAsia="en-US"/>
              </w:rPr>
              <w:t>0,076</w:t>
            </w:r>
          </w:p>
        </w:tc>
        <w:tc>
          <w:tcPr>
            <w:tcW w:w="1619" w:type="dxa"/>
            <w:vAlign w:val="center"/>
          </w:tcPr>
          <w:p w:rsidR="00242C36" w:rsidRPr="0042247C" w:rsidRDefault="00242C36" w:rsidP="00242C36">
            <w:pPr>
              <w:pBdr>
                <w:bar w:val="single" w:sz="6" w:color="808080"/>
              </w:pBdr>
              <w:spacing w:after="120"/>
              <w:rPr>
                <w:rFonts w:ascii="Calibri" w:eastAsia="Calibri" w:hAnsi="Calibri"/>
                <w:sz w:val="20"/>
                <w:szCs w:val="20"/>
                <w:lang w:eastAsia="en-US"/>
              </w:rPr>
            </w:pPr>
            <w:r w:rsidRPr="0042247C">
              <w:rPr>
                <w:rFonts w:ascii="Calibri" w:eastAsia="Calibri" w:hAnsi="Calibri"/>
                <w:sz w:val="20"/>
                <w:szCs w:val="20"/>
                <w:lang w:eastAsia="en-US"/>
              </w:rPr>
              <w:t>0,074</w:t>
            </w:r>
          </w:p>
        </w:tc>
        <w:tc>
          <w:tcPr>
            <w:tcW w:w="1440" w:type="dxa"/>
            <w:vAlign w:val="center"/>
          </w:tcPr>
          <w:p w:rsidR="00242C36" w:rsidRPr="0042247C" w:rsidRDefault="00242C36" w:rsidP="00242C36">
            <w:pPr>
              <w:pBdr>
                <w:bar w:val="single" w:sz="6" w:color="808080"/>
              </w:pBdr>
              <w:spacing w:after="120"/>
              <w:rPr>
                <w:rFonts w:ascii="Calibri" w:eastAsia="Calibri" w:hAnsi="Calibri"/>
                <w:sz w:val="20"/>
                <w:szCs w:val="20"/>
                <w:lang w:eastAsia="en-US"/>
              </w:rPr>
            </w:pPr>
            <w:r w:rsidRPr="0042247C">
              <w:rPr>
                <w:rFonts w:ascii="Calibri" w:eastAsia="Calibri" w:hAnsi="Calibri"/>
                <w:sz w:val="20"/>
                <w:szCs w:val="20"/>
                <w:lang w:eastAsia="en-US"/>
              </w:rPr>
              <w:t>0,094</w:t>
            </w:r>
          </w:p>
        </w:tc>
      </w:tr>
      <w:tr w:rsidR="00242C36" w:rsidRPr="0042247C" w:rsidTr="00242C36">
        <w:trPr>
          <w:trHeight w:val="163"/>
          <w:jc w:val="center"/>
        </w:trPr>
        <w:tc>
          <w:tcPr>
            <w:tcW w:w="1908" w:type="dxa"/>
            <w:vAlign w:val="center"/>
          </w:tcPr>
          <w:p w:rsidR="00242C36" w:rsidRPr="0042247C" w:rsidRDefault="00242C36" w:rsidP="00242C36">
            <w:pPr>
              <w:pBdr>
                <w:bar w:val="single" w:sz="6" w:color="808080"/>
              </w:pBdr>
              <w:spacing w:after="120"/>
              <w:rPr>
                <w:rFonts w:ascii="Calibri" w:eastAsia="Calibri" w:hAnsi="Calibri"/>
                <w:b/>
                <w:bCs/>
                <w:sz w:val="20"/>
                <w:szCs w:val="20"/>
                <w:lang w:eastAsia="en-US"/>
              </w:rPr>
            </w:pPr>
            <w:r w:rsidRPr="0042247C">
              <w:rPr>
                <w:rFonts w:ascii="Calibri" w:eastAsia="Calibri" w:hAnsi="Calibri"/>
                <w:b/>
                <w:bCs/>
                <w:sz w:val="20"/>
                <w:szCs w:val="20"/>
                <w:lang w:eastAsia="en-US"/>
              </w:rPr>
              <w:t>Dojčiace kravy</w:t>
            </w:r>
          </w:p>
        </w:tc>
        <w:tc>
          <w:tcPr>
            <w:tcW w:w="1184" w:type="dxa"/>
          </w:tcPr>
          <w:p w:rsidR="00242C36" w:rsidRPr="0042247C" w:rsidRDefault="00242C36" w:rsidP="00242C36">
            <w:pPr>
              <w:pBdr>
                <w:bar w:val="single" w:sz="6" w:color="808080"/>
              </w:pBdr>
              <w:spacing w:after="120"/>
              <w:rPr>
                <w:rFonts w:ascii="Calibri" w:eastAsia="Calibri" w:hAnsi="Calibri"/>
                <w:sz w:val="20"/>
                <w:szCs w:val="20"/>
                <w:lang w:eastAsia="en-US"/>
              </w:rPr>
            </w:pPr>
            <w:r w:rsidRPr="0042247C">
              <w:rPr>
                <w:rFonts w:ascii="Calibri" w:eastAsia="Calibri" w:hAnsi="Calibri"/>
                <w:sz w:val="20"/>
                <w:szCs w:val="20"/>
                <w:lang w:eastAsia="en-US"/>
              </w:rPr>
              <w:t>VDJ/ha</w:t>
            </w:r>
          </w:p>
        </w:tc>
        <w:tc>
          <w:tcPr>
            <w:tcW w:w="1361" w:type="dxa"/>
            <w:vAlign w:val="center"/>
          </w:tcPr>
          <w:p w:rsidR="00242C36" w:rsidRPr="0042247C" w:rsidRDefault="00242C36" w:rsidP="00242C36">
            <w:pPr>
              <w:pBdr>
                <w:bar w:val="single" w:sz="6" w:color="808080"/>
              </w:pBdr>
              <w:spacing w:after="120"/>
              <w:rPr>
                <w:rFonts w:ascii="Calibri" w:eastAsia="Calibri" w:hAnsi="Calibri"/>
                <w:sz w:val="20"/>
                <w:szCs w:val="20"/>
                <w:lang w:eastAsia="en-US"/>
              </w:rPr>
            </w:pPr>
            <w:r w:rsidRPr="0042247C">
              <w:rPr>
                <w:rFonts w:ascii="Calibri" w:eastAsia="Calibri" w:hAnsi="Calibri"/>
                <w:sz w:val="20"/>
                <w:szCs w:val="20"/>
                <w:lang w:eastAsia="en-US"/>
              </w:rPr>
              <w:t>0,053</w:t>
            </w:r>
          </w:p>
        </w:tc>
        <w:tc>
          <w:tcPr>
            <w:tcW w:w="1621" w:type="dxa"/>
            <w:vAlign w:val="center"/>
          </w:tcPr>
          <w:p w:rsidR="00242C36" w:rsidRPr="0042247C" w:rsidRDefault="00242C36" w:rsidP="00242C36">
            <w:pPr>
              <w:pBdr>
                <w:bar w:val="single" w:sz="6" w:color="808080"/>
              </w:pBdr>
              <w:spacing w:after="120"/>
              <w:rPr>
                <w:rFonts w:ascii="Calibri" w:eastAsia="Calibri" w:hAnsi="Calibri"/>
                <w:sz w:val="20"/>
                <w:szCs w:val="20"/>
                <w:lang w:eastAsia="en-US"/>
              </w:rPr>
            </w:pPr>
            <w:r w:rsidRPr="0042247C">
              <w:rPr>
                <w:rFonts w:ascii="Calibri" w:eastAsia="Calibri" w:hAnsi="Calibri"/>
                <w:sz w:val="20"/>
                <w:szCs w:val="20"/>
                <w:lang w:eastAsia="en-US"/>
              </w:rPr>
              <w:t>0,051</w:t>
            </w:r>
          </w:p>
        </w:tc>
        <w:tc>
          <w:tcPr>
            <w:tcW w:w="1619" w:type="dxa"/>
            <w:vAlign w:val="center"/>
          </w:tcPr>
          <w:p w:rsidR="00242C36" w:rsidRPr="0042247C" w:rsidRDefault="00242C36" w:rsidP="00242C36">
            <w:pPr>
              <w:pBdr>
                <w:bar w:val="single" w:sz="6" w:color="808080"/>
              </w:pBdr>
              <w:spacing w:after="120"/>
              <w:rPr>
                <w:rFonts w:ascii="Calibri" w:eastAsia="Calibri" w:hAnsi="Calibri"/>
                <w:sz w:val="20"/>
                <w:szCs w:val="20"/>
                <w:lang w:eastAsia="en-US"/>
              </w:rPr>
            </w:pPr>
            <w:r w:rsidRPr="0042247C">
              <w:rPr>
                <w:rFonts w:ascii="Calibri" w:eastAsia="Calibri" w:hAnsi="Calibri"/>
                <w:sz w:val="20"/>
                <w:szCs w:val="20"/>
                <w:lang w:eastAsia="en-US"/>
              </w:rPr>
              <w:t>0,023</w:t>
            </w:r>
          </w:p>
        </w:tc>
        <w:tc>
          <w:tcPr>
            <w:tcW w:w="1440" w:type="dxa"/>
            <w:vAlign w:val="center"/>
          </w:tcPr>
          <w:p w:rsidR="00242C36" w:rsidRPr="0042247C" w:rsidRDefault="00242C36" w:rsidP="00242C36">
            <w:pPr>
              <w:pBdr>
                <w:bar w:val="single" w:sz="6" w:color="808080"/>
              </w:pBdr>
              <w:spacing w:after="120"/>
              <w:rPr>
                <w:rFonts w:ascii="Calibri" w:eastAsia="Calibri" w:hAnsi="Calibri"/>
                <w:sz w:val="20"/>
                <w:szCs w:val="20"/>
                <w:lang w:eastAsia="en-US"/>
              </w:rPr>
            </w:pPr>
            <w:r w:rsidRPr="0042247C">
              <w:rPr>
                <w:rFonts w:ascii="Calibri" w:eastAsia="Calibri" w:hAnsi="Calibri"/>
                <w:sz w:val="20"/>
                <w:szCs w:val="20"/>
                <w:lang w:eastAsia="en-US"/>
              </w:rPr>
              <w:t>0,002</w:t>
            </w:r>
          </w:p>
        </w:tc>
      </w:tr>
      <w:tr w:rsidR="00242C36" w:rsidRPr="0042247C" w:rsidTr="00242C36">
        <w:trPr>
          <w:trHeight w:val="163"/>
          <w:jc w:val="center"/>
        </w:trPr>
        <w:tc>
          <w:tcPr>
            <w:tcW w:w="1908" w:type="dxa"/>
            <w:vAlign w:val="center"/>
          </w:tcPr>
          <w:p w:rsidR="00242C36" w:rsidRPr="0042247C" w:rsidRDefault="00242C36" w:rsidP="00242C36">
            <w:pPr>
              <w:pBdr>
                <w:bar w:val="single" w:sz="6" w:color="808080"/>
              </w:pBdr>
              <w:spacing w:after="120"/>
              <w:rPr>
                <w:rFonts w:ascii="Calibri" w:eastAsia="Calibri" w:hAnsi="Calibri"/>
                <w:b/>
                <w:bCs/>
                <w:sz w:val="20"/>
                <w:szCs w:val="20"/>
                <w:lang w:eastAsia="en-US"/>
              </w:rPr>
            </w:pPr>
            <w:r w:rsidRPr="0042247C">
              <w:rPr>
                <w:rFonts w:ascii="Calibri" w:eastAsia="Calibri" w:hAnsi="Calibri"/>
                <w:b/>
                <w:bCs/>
                <w:sz w:val="20"/>
                <w:szCs w:val="20"/>
                <w:lang w:eastAsia="en-US"/>
              </w:rPr>
              <w:t>Ročná dojnosť</w:t>
            </w:r>
          </w:p>
        </w:tc>
        <w:tc>
          <w:tcPr>
            <w:tcW w:w="1184" w:type="dxa"/>
            <w:vAlign w:val="center"/>
          </w:tcPr>
          <w:p w:rsidR="00242C36" w:rsidRPr="0042247C" w:rsidRDefault="00242C36" w:rsidP="00242C36">
            <w:pPr>
              <w:pBdr>
                <w:bar w:val="single" w:sz="6" w:color="808080"/>
              </w:pBdr>
              <w:spacing w:after="120"/>
              <w:rPr>
                <w:rFonts w:ascii="Calibri" w:eastAsia="Calibri" w:hAnsi="Calibri"/>
                <w:sz w:val="20"/>
                <w:szCs w:val="20"/>
                <w:lang w:eastAsia="en-US"/>
              </w:rPr>
            </w:pPr>
            <w:r w:rsidRPr="0042247C">
              <w:rPr>
                <w:rFonts w:ascii="Calibri" w:eastAsia="Calibri" w:hAnsi="Calibri"/>
                <w:sz w:val="20"/>
                <w:szCs w:val="20"/>
                <w:lang w:eastAsia="en-US"/>
              </w:rPr>
              <w:t>kg/dojnicu</w:t>
            </w:r>
          </w:p>
        </w:tc>
        <w:tc>
          <w:tcPr>
            <w:tcW w:w="1361" w:type="dxa"/>
            <w:vAlign w:val="center"/>
          </w:tcPr>
          <w:p w:rsidR="00242C36" w:rsidRPr="0042247C" w:rsidRDefault="00242C36" w:rsidP="00242C36">
            <w:pPr>
              <w:pBdr>
                <w:bar w:val="single" w:sz="6" w:color="808080"/>
              </w:pBdr>
              <w:spacing w:after="120"/>
              <w:rPr>
                <w:rFonts w:ascii="Calibri" w:eastAsia="Calibri" w:hAnsi="Calibri"/>
                <w:sz w:val="20"/>
                <w:szCs w:val="20"/>
                <w:lang w:eastAsia="en-US"/>
              </w:rPr>
            </w:pPr>
            <w:r w:rsidRPr="0042247C">
              <w:rPr>
                <w:rFonts w:ascii="Calibri" w:eastAsia="Calibri" w:hAnsi="Calibri"/>
                <w:sz w:val="20"/>
                <w:szCs w:val="20"/>
                <w:lang w:eastAsia="en-US"/>
              </w:rPr>
              <w:t>6 306</w:t>
            </w:r>
          </w:p>
        </w:tc>
        <w:tc>
          <w:tcPr>
            <w:tcW w:w="1621" w:type="dxa"/>
            <w:vAlign w:val="center"/>
          </w:tcPr>
          <w:p w:rsidR="00242C36" w:rsidRPr="0042247C" w:rsidRDefault="00242C36" w:rsidP="00242C36">
            <w:pPr>
              <w:pBdr>
                <w:bar w:val="single" w:sz="6" w:color="808080"/>
              </w:pBdr>
              <w:spacing w:after="120"/>
              <w:rPr>
                <w:rFonts w:ascii="Calibri" w:eastAsia="Calibri" w:hAnsi="Calibri"/>
                <w:sz w:val="20"/>
                <w:szCs w:val="20"/>
                <w:lang w:eastAsia="en-US"/>
              </w:rPr>
            </w:pPr>
            <w:r w:rsidRPr="0042247C">
              <w:rPr>
                <w:rFonts w:ascii="Calibri" w:eastAsia="Calibri" w:hAnsi="Calibri"/>
                <w:sz w:val="20"/>
                <w:szCs w:val="20"/>
                <w:lang w:eastAsia="en-US"/>
              </w:rPr>
              <w:t>5 734</w:t>
            </w:r>
          </w:p>
        </w:tc>
        <w:tc>
          <w:tcPr>
            <w:tcW w:w="1619" w:type="dxa"/>
            <w:vAlign w:val="center"/>
          </w:tcPr>
          <w:p w:rsidR="00242C36" w:rsidRPr="0042247C" w:rsidRDefault="00242C36" w:rsidP="00242C36">
            <w:pPr>
              <w:pBdr>
                <w:bar w:val="single" w:sz="6" w:color="808080"/>
              </w:pBdr>
              <w:spacing w:after="120"/>
              <w:rPr>
                <w:rFonts w:ascii="Calibri" w:eastAsia="Calibri" w:hAnsi="Calibri"/>
                <w:sz w:val="20"/>
                <w:szCs w:val="20"/>
                <w:lang w:eastAsia="en-US"/>
              </w:rPr>
            </w:pPr>
            <w:r w:rsidRPr="0042247C">
              <w:rPr>
                <w:rFonts w:ascii="Calibri" w:eastAsia="Calibri" w:hAnsi="Calibri"/>
                <w:sz w:val="20"/>
                <w:szCs w:val="20"/>
                <w:lang w:eastAsia="en-US"/>
              </w:rPr>
              <w:t>5 997</w:t>
            </w:r>
          </w:p>
        </w:tc>
        <w:tc>
          <w:tcPr>
            <w:tcW w:w="1440" w:type="dxa"/>
            <w:vAlign w:val="center"/>
          </w:tcPr>
          <w:p w:rsidR="00242C36" w:rsidRPr="0042247C" w:rsidRDefault="00242C36" w:rsidP="00242C36">
            <w:pPr>
              <w:pBdr>
                <w:bar w:val="single" w:sz="6" w:color="808080"/>
              </w:pBdr>
              <w:spacing w:after="120"/>
              <w:rPr>
                <w:rFonts w:ascii="Calibri" w:eastAsia="Calibri" w:hAnsi="Calibri"/>
                <w:sz w:val="20"/>
                <w:szCs w:val="20"/>
                <w:lang w:eastAsia="en-US"/>
              </w:rPr>
            </w:pPr>
            <w:r w:rsidRPr="0042247C">
              <w:rPr>
                <w:rFonts w:ascii="Calibri" w:eastAsia="Calibri" w:hAnsi="Calibri"/>
                <w:sz w:val="20"/>
                <w:szCs w:val="20"/>
                <w:lang w:eastAsia="en-US"/>
              </w:rPr>
              <w:t>7 459</w:t>
            </w:r>
          </w:p>
        </w:tc>
      </w:tr>
    </w:tbl>
    <w:p w:rsidR="00242C36" w:rsidRPr="00113FC3" w:rsidRDefault="00242C36" w:rsidP="00242C36">
      <w:pPr>
        <w:pBdr>
          <w:bar w:val="single" w:sz="6" w:color="808080"/>
        </w:pBdr>
        <w:spacing w:after="120"/>
        <w:rPr>
          <w:rFonts w:ascii="Calibri" w:eastAsia="Calibri" w:hAnsi="Calibri"/>
          <w:sz w:val="20"/>
          <w:szCs w:val="22"/>
          <w:lang w:eastAsia="en-US"/>
        </w:rPr>
      </w:pPr>
      <w:r w:rsidRPr="00113FC3">
        <w:rPr>
          <w:rFonts w:ascii="Calibri" w:eastAsia="Calibri" w:hAnsi="Calibri"/>
          <w:sz w:val="20"/>
          <w:szCs w:val="22"/>
          <w:lang w:eastAsia="en-US"/>
        </w:rPr>
        <w:t>Zdroj: Informačné listy CD MPRV SR 2012, VÚEPP Bratislava</w:t>
      </w:r>
    </w:p>
    <w:p w:rsidR="00242C36" w:rsidRPr="00E43137" w:rsidRDefault="00242C36" w:rsidP="00242C36">
      <w:pPr>
        <w:pBdr>
          <w:bar w:val="single" w:sz="6" w:color="808080"/>
        </w:pBdr>
        <w:spacing w:after="120"/>
        <w:rPr>
          <w:rFonts w:ascii="Calibri" w:eastAsia="Calibri" w:hAnsi="Calibri"/>
          <w:szCs w:val="22"/>
          <w:lang w:eastAsia="en-US"/>
        </w:rPr>
      </w:pPr>
      <w:r w:rsidRPr="00E43137">
        <w:rPr>
          <w:rFonts w:ascii="Calibri" w:eastAsia="Calibri" w:hAnsi="Calibri"/>
          <w:szCs w:val="22"/>
          <w:lang w:eastAsia="en-US"/>
        </w:rPr>
        <w:t>Ďalším významným odvetvím živočíšnej výroby v LFA je chov oviec. Chov oviec je typický pre severné Slovensko s vysokým zastúpením trvalých trávnych porastov, ktoré umožňujú pasenie. Tieto regióny sú prevažne zaradené do horských oblastí a ostatných znevýhodnených oblastí. Najviac sa zvýšil počet zvierat od r. 2007 v oblastiach so špecifickými nevýhodami (25%), čo je pozitívne, pretože tieto oblasti majú v rámci LFA najnižší počet zvierat na hektár. K rastu došlo aj v ostatných typoch LFA, avšak zaťaženie pôdy zvieratami je najvyššie v horských oblastiach. Negatívom je, že produkcia ovčieho mlieka na jednu bahnicu ako aj väčšina ukazovateľov plodnosti a úžitkovosti bahníc sa medziročne v porovnaní s r. 2007 mierne zhoršila. Chov oviec patrí napriek tomu k najstabilnejším odvetviam živočíšnej výroby, kde nedochádza k žiadnym výrazným výkyvom a kontinuálne sa zvyšuje počet zvierat.</w:t>
      </w:r>
    </w:p>
    <w:p w:rsidR="00242C36" w:rsidRPr="00E43137" w:rsidRDefault="00E32F57" w:rsidP="00242C36">
      <w:pPr>
        <w:pBdr>
          <w:bar w:val="single" w:sz="6" w:color="808080"/>
        </w:pBdr>
        <w:spacing w:after="120"/>
        <w:rPr>
          <w:rFonts w:ascii="Calibri" w:eastAsia="Calibri" w:hAnsi="Calibri"/>
          <w:b/>
          <w:bCs/>
          <w:szCs w:val="22"/>
          <w:lang w:eastAsia="en-US"/>
        </w:rPr>
      </w:pPr>
      <w:r>
        <w:rPr>
          <w:rFonts w:ascii="Calibri" w:eastAsia="Calibri" w:hAnsi="Calibri"/>
          <w:b/>
          <w:bCs/>
          <w:szCs w:val="22"/>
          <w:lang w:eastAsia="en-US"/>
        </w:rPr>
        <w:t xml:space="preserve">Tabuľka 39: </w:t>
      </w:r>
      <w:r w:rsidR="00242C36" w:rsidRPr="00E43137">
        <w:rPr>
          <w:rFonts w:ascii="Calibri" w:eastAsia="Calibri" w:hAnsi="Calibri"/>
          <w:b/>
          <w:bCs/>
          <w:szCs w:val="22"/>
          <w:lang w:eastAsia="en-US"/>
        </w:rPr>
        <w:t>Vývoj počtu zvierat v chovoch oviec a kôz v LFA</w:t>
      </w:r>
    </w:p>
    <w:tbl>
      <w:tblPr>
        <w:tblW w:w="9093" w:type="dxa"/>
        <w:jc w:val="center"/>
        <w:tblInd w:w="1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2"/>
        <w:gridCol w:w="1271"/>
        <w:gridCol w:w="1369"/>
        <w:gridCol w:w="1495"/>
        <w:gridCol w:w="1377"/>
        <w:gridCol w:w="1319"/>
      </w:tblGrid>
      <w:tr w:rsidR="00242C36" w:rsidRPr="0042247C" w:rsidTr="00242C36">
        <w:trPr>
          <w:trHeight w:val="163"/>
          <w:jc w:val="center"/>
        </w:trPr>
        <w:tc>
          <w:tcPr>
            <w:tcW w:w="2262" w:type="dxa"/>
            <w:vAlign w:val="center"/>
          </w:tcPr>
          <w:p w:rsidR="00242C36" w:rsidRPr="0042247C" w:rsidRDefault="00242C36" w:rsidP="00242C36">
            <w:pPr>
              <w:pBdr>
                <w:bar w:val="single" w:sz="6" w:color="808080"/>
              </w:pBdr>
              <w:spacing w:after="120"/>
              <w:rPr>
                <w:rFonts w:ascii="Calibri" w:eastAsia="Calibri" w:hAnsi="Calibri"/>
                <w:b/>
                <w:bCs/>
                <w:i/>
                <w:sz w:val="20"/>
                <w:szCs w:val="20"/>
                <w:lang w:eastAsia="en-US"/>
              </w:rPr>
            </w:pPr>
            <w:r w:rsidRPr="0042247C">
              <w:rPr>
                <w:rFonts w:ascii="Calibri" w:eastAsia="Calibri" w:hAnsi="Calibri"/>
                <w:b/>
                <w:bCs/>
                <w:i/>
                <w:sz w:val="20"/>
                <w:szCs w:val="20"/>
                <w:lang w:eastAsia="en-US"/>
              </w:rPr>
              <w:t>Ukazovateľ</w:t>
            </w:r>
          </w:p>
        </w:tc>
        <w:tc>
          <w:tcPr>
            <w:tcW w:w="1271" w:type="dxa"/>
            <w:vAlign w:val="center"/>
          </w:tcPr>
          <w:p w:rsidR="00242C36" w:rsidRPr="0042247C" w:rsidRDefault="00242C36" w:rsidP="00242C36">
            <w:pPr>
              <w:pBdr>
                <w:bar w:val="single" w:sz="6" w:color="808080"/>
              </w:pBdr>
              <w:spacing w:after="120"/>
              <w:rPr>
                <w:rFonts w:ascii="Calibri" w:eastAsia="Calibri" w:hAnsi="Calibri"/>
                <w:b/>
                <w:bCs/>
                <w:i/>
                <w:sz w:val="20"/>
                <w:szCs w:val="20"/>
                <w:lang w:eastAsia="en-US"/>
              </w:rPr>
            </w:pPr>
            <w:r w:rsidRPr="0042247C">
              <w:rPr>
                <w:rFonts w:ascii="Calibri" w:eastAsia="Calibri" w:hAnsi="Calibri"/>
                <w:b/>
                <w:bCs/>
                <w:i/>
                <w:sz w:val="20"/>
                <w:szCs w:val="20"/>
                <w:lang w:eastAsia="en-US"/>
              </w:rPr>
              <w:t>M. J.</w:t>
            </w:r>
          </w:p>
        </w:tc>
        <w:tc>
          <w:tcPr>
            <w:tcW w:w="1369" w:type="dxa"/>
            <w:vAlign w:val="center"/>
          </w:tcPr>
          <w:p w:rsidR="00242C36" w:rsidRPr="0042247C" w:rsidRDefault="00242C36" w:rsidP="00242C36">
            <w:pPr>
              <w:pBdr>
                <w:bar w:val="single" w:sz="6" w:color="808080"/>
              </w:pBdr>
              <w:spacing w:after="120"/>
              <w:rPr>
                <w:rFonts w:ascii="Calibri" w:eastAsia="Calibri" w:hAnsi="Calibri"/>
                <w:b/>
                <w:bCs/>
                <w:i/>
                <w:sz w:val="20"/>
                <w:szCs w:val="20"/>
                <w:lang w:eastAsia="en-US"/>
              </w:rPr>
            </w:pPr>
            <w:r w:rsidRPr="0042247C">
              <w:rPr>
                <w:rFonts w:ascii="Calibri" w:eastAsia="Calibri" w:hAnsi="Calibri"/>
                <w:b/>
                <w:bCs/>
                <w:i/>
                <w:sz w:val="20"/>
                <w:szCs w:val="20"/>
                <w:lang w:eastAsia="en-US"/>
              </w:rPr>
              <w:t>Horské oblasti</w:t>
            </w:r>
          </w:p>
        </w:tc>
        <w:tc>
          <w:tcPr>
            <w:tcW w:w="1495" w:type="dxa"/>
            <w:vAlign w:val="center"/>
          </w:tcPr>
          <w:p w:rsidR="00242C36" w:rsidRPr="0042247C" w:rsidRDefault="00242C36" w:rsidP="00242C36">
            <w:pPr>
              <w:pBdr>
                <w:bar w:val="single" w:sz="6" w:color="808080"/>
              </w:pBdr>
              <w:spacing w:after="120"/>
              <w:rPr>
                <w:rFonts w:ascii="Calibri" w:eastAsia="Calibri" w:hAnsi="Calibri"/>
                <w:b/>
                <w:bCs/>
                <w:i/>
                <w:sz w:val="20"/>
                <w:szCs w:val="20"/>
                <w:lang w:eastAsia="en-US"/>
              </w:rPr>
            </w:pPr>
            <w:r w:rsidRPr="0042247C">
              <w:rPr>
                <w:rFonts w:ascii="Calibri" w:eastAsia="Calibri" w:hAnsi="Calibri"/>
                <w:b/>
                <w:bCs/>
                <w:i/>
                <w:sz w:val="20"/>
                <w:szCs w:val="20"/>
                <w:lang w:eastAsia="en-US"/>
              </w:rPr>
              <w:t>Ostatné znevýhodnené oblasti</w:t>
            </w:r>
          </w:p>
        </w:tc>
        <w:tc>
          <w:tcPr>
            <w:tcW w:w="1377" w:type="dxa"/>
            <w:vAlign w:val="center"/>
          </w:tcPr>
          <w:p w:rsidR="00242C36" w:rsidRPr="0042247C" w:rsidRDefault="00242C36" w:rsidP="00242C36">
            <w:pPr>
              <w:pBdr>
                <w:bar w:val="single" w:sz="6" w:color="808080"/>
              </w:pBdr>
              <w:spacing w:after="120"/>
              <w:rPr>
                <w:rFonts w:ascii="Calibri" w:eastAsia="Calibri" w:hAnsi="Calibri"/>
                <w:b/>
                <w:bCs/>
                <w:i/>
                <w:sz w:val="20"/>
                <w:szCs w:val="20"/>
                <w:lang w:eastAsia="en-US"/>
              </w:rPr>
            </w:pPr>
            <w:r w:rsidRPr="0042247C">
              <w:rPr>
                <w:rFonts w:ascii="Calibri" w:eastAsia="Calibri" w:hAnsi="Calibri"/>
                <w:b/>
                <w:bCs/>
                <w:i/>
                <w:sz w:val="20"/>
                <w:szCs w:val="20"/>
                <w:lang w:eastAsia="en-US"/>
              </w:rPr>
              <w:t>Oblasti so špecifickými nevýhodami</w:t>
            </w:r>
          </w:p>
        </w:tc>
        <w:tc>
          <w:tcPr>
            <w:tcW w:w="1319" w:type="dxa"/>
            <w:vAlign w:val="center"/>
          </w:tcPr>
          <w:p w:rsidR="00242C36" w:rsidRPr="0042247C" w:rsidRDefault="00242C36" w:rsidP="00242C36">
            <w:pPr>
              <w:pBdr>
                <w:bar w:val="single" w:sz="6" w:color="808080"/>
              </w:pBdr>
              <w:spacing w:after="120"/>
              <w:rPr>
                <w:rFonts w:ascii="Calibri" w:eastAsia="Calibri" w:hAnsi="Calibri"/>
                <w:b/>
                <w:bCs/>
                <w:i/>
                <w:sz w:val="20"/>
                <w:szCs w:val="20"/>
                <w:lang w:eastAsia="en-US"/>
              </w:rPr>
            </w:pPr>
            <w:r w:rsidRPr="0042247C">
              <w:rPr>
                <w:rFonts w:ascii="Calibri" w:eastAsia="Calibri" w:hAnsi="Calibri"/>
                <w:b/>
                <w:bCs/>
                <w:i/>
                <w:sz w:val="20"/>
                <w:szCs w:val="20"/>
                <w:lang w:eastAsia="en-US"/>
              </w:rPr>
              <w:t>Produkčné oblasti</w:t>
            </w:r>
          </w:p>
        </w:tc>
      </w:tr>
      <w:tr w:rsidR="00242C36" w:rsidRPr="0042247C" w:rsidTr="00242C36">
        <w:trPr>
          <w:trHeight w:val="163"/>
          <w:jc w:val="center"/>
        </w:trPr>
        <w:tc>
          <w:tcPr>
            <w:tcW w:w="2262" w:type="dxa"/>
            <w:vAlign w:val="center"/>
          </w:tcPr>
          <w:p w:rsidR="00242C36" w:rsidRPr="0042247C" w:rsidRDefault="00242C36" w:rsidP="00242C36">
            <w:pPr>
              <w:pBdr>
                <w:bar w:val="single" w:sz="6" w:color="808080"/>
              </w:pBdr>
              <w:spacing w:after="120"/>
              <w:rPr>
                <w:rFonts w:ascii="Calibri" w:eastAsia="Calibri" w:hAnsi="Calibri"/>
                <w:b/>
                <w:bCs/>
                <w:sz w:val="20"/>
                <w:szCs w:val="20"/>
                <w:lang w:eastAsia="en-US"/>
              </w:rPr>
            </w:pPr>
            <w:r w:rsidRPr="0042247C">
              <w:rPr>
                <w:rFonts w:ascii="Calibri" w:eastAsia="Calibri" w:hAnsi="Calibri"/>
                <w:b/>
                <w:bCs/>
                <w:sz w:val="20"/>
                <w:szCs w:val="20"/>
                <w:lang w:eastAsia="en-US"/>
              </w:rPr>
              <w:t>Ovce</w:t>
            </w:r>
          </w:p>
        </w:tc>
        <w:tc>
          <w:tcPr>
            <w:tcW w:w="1271" w:type="dxa"/>
          </w:tcPr>
          <w:p w:rsidR="00242C36" w:rsidRPr="0042247C" w:rsidRDefault="00242C36" w:rsidP="00242C36">
            <w:pPr>
              <w:pBdr>
                <w:bar w:val="single" w:sz="6" w:color="808080"/>
              </w:pBdr>
              <w:spacing w:after="120"/>
              <w:rPr>
                <w:rFonts w:ascii="Calibri" w:eastAsia="Calibri" w:hAnsi="Calibri"/>
                <w:sz w:val="20"/>
                <w:szCs w:val="20"/>
                <w:lang w:eastAsia="en-US"/>
              </w:rPr>
            </w:pPr>
            <w:r w:rsidRPr="0042247C">
              <w:rPr>
                <w:rFonts w:ascii="Calibri" w:eastAsia="Calibri" w:hAnsi="Calibri"/>
                <w:sz w:val="20"/>
                <w:szCs w:val="20"/>
                <w:lang w:eastAsia="en-US"/>
              </w:rPr>
              <w:t>VDJ/ha</w:t>
            </w:r>
          </w:p>
        </w:tc>
        <w:tc>
          <w:tcPr>
            <w:tcW w:w="1369" w:type="dxa"/>
            <w:vAlign w:val="center"/>
          </w:tcPr>
          <w:p w:rsidR="00242C36" w:rsidRPr="0042247C" w:rsidRDefault="00242C36" w:rsidP="00242C36">
            <w:pPr>
              <w:pBdr>
                <w:bar w:val="single" w:sz="6" w:color="808080"/>
              </w:pBdr>
              <w:spacing w:after="120"/>
              <w:rPr>
                <w:rFonts w:ascii="Calibri" w:eastAsia="Calibri" w:hAnsi="Calibri"/>
                <w:sz w:val="20"/>
                <w:szCs w:val="20"/>
                <w:lang w:eastAsia="en-US"/>
              </w:rPr>
            </w:pPr>
            <w:r w:rsidRPr="0042247C">
              <w:rPr>
                <w:rFonts w:ascii="Calibri" w:eastAsia="Calibri" w:hAnsi="Calibri"/>
                <w:sz w:val="20"/>
                <w:szCs w:val="20"/>
                <w:lang w:eastAsia="en-US"/>
              </w:rPr>
              <w:t>0,407</w:t>
            </w:r>
          </w:p>
        </w:tc>
        <w:tc>
          <w:tcPr>
            <w:tcW w:w="1495" w:type="dxa"/>
            <w:vAlign w:val="center"/>
          </w:tcPr>
          <w:p w:rsidR="00242C36" w:rsidRPr="0042247C" w:rsidRDefault="00242C36" w:rsidP="00242C36">
            <w:pPr>
              <w:pBdr>
                <w:bar w:val="single" w:sz="6" w:color="808080"/>
              </w:pBdr>
              <w:spacing w:after="120"/>
              <w:rPr>
                <w:rFonts w:ascii="Calibri" w:eastAsia="Calibri" w:hAnsi="Calibri"/>
                <w:sz w:val="20"/>
                <w:szCs w:val="20"/>
                <w:lang w:eastAsia="en-US"/>
              </w:rPr>
            </w:pPr>
            <w:r w:rsidRPr="0042247C">
              <w:rPr>
                <w:rFonts w:ascii="Calibri" w:eastAsia="Calibri" w:hAnsi="Calibri"/>
                <w:sz w:val="20"/>
                <w:szCs w:val="20"/>
                <w:lang w:eastAsia="en-US"/>
              </w:rPr>
              <w:t>0,130</w:t>
            </w:r>
          </w:p>
        </w:tc>
        <w:tc>
          <w:tcPr>
            <w:tcW w:w="1377" w:type="dxa"/>
            <w:vAlign w:val="center"/>
          </w:tcPr>
          <w:p w:rsidR="00242C36" w:rsidRPr="0042247C" w:rsidRDefault="00242C36" w:rsidP="00242C36">
            <w:pPr>
              <w:pBdr>
                <w:bar w:val="single" w:sz="6" w:color="808080"/>
              </w:pBdr>
              <w:spacing w:after="120"/>
              <w:rPr>
                <w:rFonts w:ascii="Calibri" w:eastAsia="Calibri" w:hAnsi="Calibri"/>
                <w:sz w:val="20"/>
                <w:szCs w:val="20"/>
                <w:lang w:eastAsia="en-US"/>
              </w:rPr>
            </w:pPr>
            <w:r w:rsidRPr="0042247C">
              <w:rPr>
                <w:rFonts w:ascii="Calibri" w:eastAsia="Calibri" w:hAnsi="Calibri"/>
                <w:sz w:val="20"/>
                <w:szCs w:val="20"/>
                <w:lang w:eastAsia="en-US"/>
              </w:rPr>
              <w:t>0,102</w:t>
            </w:r>
          </w:p>
        </w:tc>
        <w:tc>
          <w:tcPr>
            <w:tcW w:w="1319" w:type="dxa"/>
            <w:vAlign w:val="center"/>
          </w:tcPr>
          <w:p w:rsidR="00242C36" w:rsidRPr="0042247C" w:rsidRDefault="00242C36" w:rsidP="00242C36">
            <w:pPr>
              <w:pBdr>
                <w:bar w:val="single" w:sz="6" w:color="808080"/>
              </w:pBdr>
              <w:spacing w:after="120"/>
              <w:rPr>
                <w:rFonts w:ascii="Calibri" w:eastAsia="Calibri" w:hAnsi="Calibri"/>
                <w:sz w:val="20"/>
                <w:szCs w:val="20"/>
                <w:lang w:eastAsia="en-US"/>
              </w:rPr>
            </w:pPr>
            <w:r w:rsidRPr="0042247C">
              <w:rPr>
                <w:rFonts w:ascii="Calibri" w:eastAsia="Calibri" w:hAnsi="Calibri"/>
                <w:sz w:val="20"/>
                <w:szCs w:val="20"/>
                <w:lang w:eastAsia="en-US"/>
              </w:rPr>
              <w:t>0,007</w:t>
            </w:r>
          </w:p>
        </w:tc>
      </w:tr>
      <w:tr w:rsidR="00242C36" w:rsidRPr="0042247C" w:rsidTr="00242C36">
        <w:trPr>
          <w:trHeight w:val="163"/>
          <w:jc w:val="center"/>
        </w:trPr>
        <w:tc>
          <w:tcPr>
            <w:tcW w:w="2262" w:type="dxa"/>
            <w:vAlign w:val="center"/>
          </w:tcPr>
          <w:p w:rsidR="00242C36" w:rsidRPr="0042247C" w:rsidRDefault="00242C36" w:rsidP="00242C36">
            <w:pPr>
              <w:pBdr>
                <w:bar w:val="single" w:sz="6" w:color="808080"/>
              </w:pBdr>
              <w:spacing w:after="120"/>
              <w:rPr>
                <w:rFonts w:ascii="Calibri" w:eastAsia="Calibri" w:hAnsi="Calibri"/>
                <w:b/>
                <w:bCs/>
                <w:sz w:val="20"/>
                <w:szCs w:val="20"/>
                <w:lang w:eastAsia="en-US"/>
              </w:rPr>
            </w:pPr>
            <w:r w:rsidRPr="0042247C">
              <w:rPr>
                <w:rFonts w:ascii="Calibri" w:eastAsia="Calibri" w:hAnsi="Calibri"/>
                <w:b/>
                <w:bCs/>
                <w:sz w:val="20"/>
                <w:szCs w:val="20"/>
                <w:lang w:eastAsia="en-US"/>
              </w:rPr>
              <w:t xml:space="preserve">   z toho bahnice dojné</w:t>
            </w:r>
          </w:p>
        </w:tc>
        <w:tc>
          <w:tcPr>
            <w:tcW w:w="1271" w:type="dxa"/>
          </w:tcPr>
          <w:p w:rsidR="00242C36" w:rsidRPr="0042247C" w:rsidRDefault="00242C36" w:rsidP="00242C36">
            <w:pPr>
              <w:pBdr>
                <w:bar w:val="single" w:sz="6" w:color="808080"/>
              </w:pBdr>
              <w:spacing w:after="120"/>
              <w:rPr>
                <w:rFonts w:ascii="Calibri" w:eastAsia="Calibri" w:hAnsi="Calibri"/>
                <w:sz w:val="20"/>
                <w:szCs w:val="20"/>
                <w:lang w:eastAsia="en-US"/>
              </w:rPr>
            </w:pPr>
            <w:r w:rsidRPr="0042247C">
              <w:rPr>
                <w:rFonts w:ascii="Calibri" w:eastAsia="Calibri" w:hAnsi="Calibri"/>
                <w:sz w:val="20"/>
                <w:szCs w:val="20"/>
                <w:lang w:eastAsia="en-US"/>
              </w:rPr>
              <w:t>VDJ/ha</w:t>
            </w:r>
          </w:p>
        </w:tc>
        <w:tc>
          <w:tcPr>
            <w:tcW w:w="1369" w:type="dxa"/>
            <w:vAlign w:val="center"/>
          </w:tcPr>
          <w:p w:rsidR="00242C36" w:rsidRPr="0042247C" w:rsidRDefault="00242C36" w:rsidP="00242C36">
            <w:pPr>
              <w:pBdr>
                <w:bar w:val="single" w:sz="6" w:color="808080"/>
              </w:pBdr>
              <w:spacing w:after="120"/>
              <w:rPr>
                <w:rFonts w:ascii="Calibri" w:eastAsia="Calibri" w:hAnsi="Calibri"/>
                <w:sz w:val="20"/>
                <w:szCs w:val="20"/>
                <w:lang w:eastAsia="en-US"/>
              </w:rPr>
            </w:pPr>
            <w:r w:rsidRPr="0042247C">
              <w:rPr>
                <w:rFonts w:ascii="Calibri" w:eastAsia="Calibri" w:hAnsi="Calibri"/>
                <w:sz w:val="20"/>
                <w:szCs w:val="20"/>
                <w:lang w:eastAsia="en-US"/>
              </w:rPr>
              <w:t>0,177</w:t>
            </w:r>
          </w:p>
        </w:tc>
        <w:tc>
          <w:tcPr>
            <w:tcW w:w="1495" w:type="dxa"/>
            <w:vAlign w:val="center"/>
          </w:tcPr>
          <w:p w:rsidR="00242C36" w:rsidRPr="0042247C" w:rsidRDefault="00242C36" w:rsidP="00242C36">
            <w:pPr>
              <w:pBdr>
                <w:bar w:val="single" w:sz="6" w:color="808080"/>
              </w:pBdr>
              <w:spacing w:after="120"/>
              <w:rPr>
                <w:rFonts w:ascii="Calibri" w:eastAsia="Calibri" w:hAnsi="Calibri"/>
                <w:sz w:val="20"/>
                <w:szCs w:val="20"/>
                <w:lang w:eastAsia="en-US"/>
              </w:rPr>
            </w:pPr>
            <w:r w:rsidRPr="0042247C">
              <w:rPr>
                <w:rFonts w:ascii="Calibri" w:eastAsia="Calibri" w:hAnsi="Calibri"/>
                <w:sz w:val="20"/>
                <w:szCs w:val="20"/>
                <w:lang w:eastAsia="en-US"/>
              </w:rPr>
              <w:t>0,058</w:t>
            </w:r>
          </w:p>
        </w:tc>
        <w:tc>
          <w:tcPr>
            <w:tcW w:w="1377" w:type="dxa"/>
            <w:vAlign w:val="center"/>
          </w:tcPr>
          <w:p w:rsidR="00242C36" w:rsidRPr="0042247C" w:rsidRDefault="00242C36" w:rsidP="00242C36">
            <w:pPr>
              <w:pBdr>
                <w:bar w:val="single" w:sz="6" w:color="808080"/>
              </w:pBdr>
              <w:spacing w:after="120"/>
              <w:rPr>
                <w:rFonts w:ascii="Calibri" w:eastAsia="Calibri" w:hAnsi="Calibri"/>
                <w:sz w:val="20"/>
                <w:szCs w:val="20"/>
                <w:lang w:eastAsia="en-US"/>
              </w:rPr>
            </w:pPr>
            <w:r w:rsidRPr="0042247C">
              <w:rPr>
                <w:rFonts w:ascii="Calibri" w:eastAsia="Calibri" w:hAnsi="Calibri"/>
                <w:sz w:val="20"/>
                <w:szCs w:val="20"/>
                <w:lang w:eastAsia="en-US"/>
              </w:rPr>
              <w:t>0,028</w:t>
            </w:r>
          </w:p>
        </w:tc>
        <w:tc>
          <w:tcPr>
            <w:tcW w:w="1319" w:type="dxa"/>
            <w:vAlign w:val="center"/>
          </w:tcPr>
          <w:p w:rsidR="00242C36" w:rsidRPr="0042247C" w:rsidRDefault="00242C36" w:rsidP="00242C36">
            <w:pPr>
              <w:pBdr>
                <w:bar w:val="single" w:sz="6" w:color="808080"/>
              </w:pBdr>
              <w:spacing w:after="120"/>
              <w:rPr>
                <w:rFonts w:ascii="Calibri" w:eastAsia="Calibri" w:hAnsi="Calibri"/>
                <w:sz w:val="20"/>
                <w:szCs w:val="20"/>
                <w:lang w:eastAsia="en-US"/>
              </w:rPr>
            </w:pPr>
            <w:r w:rsidRPr="0042247C">
              <w:rPr>
                <w:rFonts w:ascii="Calibri" w:eastAsia="Calibri" w:hAnsi="Calibri"/>
                <w:sz w:val="20"/>
                <w:szCs w:val="20"/>
                <w:lang w:eastAsia="en-US"/>
              </w:rPr>
              <w:t>0,001</w:t>
            </w:r>
          </w:p>
        </w:tc>
      </w:tr>
      <w:tr w:rsidR="00242C36" w:rsidRPr="0042247C" w:rsidTr="00242C36">
        <w:trPr>
          <w:trHeight w:val="163"/>
          <w:jc w:val="center"/>
        </w:trPr>
        <w:tc>
          <w:tcPr>
            <w:tcW w:w="2262" w:type="dxa"/>
            <w:vAlign w:val="center"/>
          </w:tcPr>
          <w:p w:rsidR="00242C36" w:rsidRPr="0042247C" w:rsidRDefault="00242C36" w:rsidP="00242C36">
            <w:pPr>
              <w:pBdr>
                <w:bar w:val="single" w:sz="6" w:color="808080"/>
              </w:pBdr>
              <w:spacing w:after="120"/>
              <w:rPr>
                <w:rFonts w:ascii="Calibri" w:eastAsia="Calibri" w:hAnsi="Calibri"/>
                <w:b/>
                <w:bCs/>
                <w:sz w:val="20"/>
                <w:szCs w:val="20"/>
                <w:lang w:eastAsia="en-US"/>
              </w:rPr>
            </w:pPr>
            <w:r w:rsidRPr="0042247C">
              <w:rPr>
                <w:rFonts w:ascii="Calibri" w:eastAsia="Calibri" w:hAnsi="Calibri"/>
                <w:b/>
                <w:bCs/>
                <w:sz w:val="20"/>
                <w:szCs w:val="20"/>
                <w:lang w:eastAsia="en-US"/>
              </w:rPr>
              <w:t>Ročná dojnosť</w:t>
            </w:r>
          </w:p>
        </w:tc>
        <w:tc>
          <w:tcPr>
            <w:tcW w:w="1271" w:type="dxa"/>
            <w:vAlign w:val="center"/>
          </w:tcPr>
          <w:p w:rsidR="00242C36" w:rsidRPr="0042247C" w:rsidRDefault="00242C36" w:rsidP="00242C36">
            <w:pPr>
              <w:pBdr>
                <w:bar w:val="single" w:sz="6" w:color="808080"/>
              </w:pBdr>
              <w:spacing w:after="120"/>
              <w:rPr>
                <w:rFonts w:ascii="Calibri" w:eastAsia="Calibri" w:hAnsi="Calibri"/>
                <w:sz w:val="20"/>
                <w:szCs w:val="20"/>
                <w:lang w:eastAsia="en-US"/>
              </w:rPr>
            </w:pPr>
            <w:r w:rsidRPr="0042247C">
              <w:rPr>
                <w:rFonts w:ascii="Calibri" w:eastAsia="Calibri" w:hAnsi="Calibri"/>
                <w:sz w:val="20"/>
                <w:szCs w:val="20"/>
                <w:lang w:eastAsia="en-US"/>
              </w:rPr>
              <w:t>l/bahnicu</w:t>
            </w:r>
          </w:p>
        </w:tc>
        <w:tc>
          <w:tcPr>
            <w:tcW w:w="1369" w:type="dxa"/>
            <w:vAlign w:val="center"/>
          </w:tcPr>
          <w:p w:rsidR="00242C36" w:rsidRPr="0042247C" w:rsidRDefault="00242C36" w:rsidP="00242C36">
            <w:pPr>
              <w:pBdr>
                <w:bar w:val="single" w:sz="6" w:color="808080"/>
              </w:pBdr>
              <w:spacing w:after="120"/>
              <w:rPr>
                <w:rFonts w:ascii="Calibri" w:eastAsia="Calibri" w:hAnsi="Calibri"/>
                <w:sz w:val="20"/>
                <w:szCs w:val="20"/>
                <w:lang w:eastAsia="en-US"/>
              </w:rPr>
            </w:pPr>
            <w:r w:rsidRPr="0042247C">
              <w:rPr>
                <w:rFonts w:ascii="Calibri" w:eastAsia="Calibri" w:hAnsi="Calibri"/>
                <w:sz w:val="20"/>
                <w:szCs w:val="20"/>
                <w:lang w:eastAsia="en-US"/>
              </w:rPr>
              <w:t>80,81</w:t>
            </w:r>
          </w:p>
        </w:tc>
        <w:tc>
          <w:tcPr>
            <w:tcW w:w="1495" w:type="dxa"/>
            <w:vAlign w:val="center"/>
          </w:tcPr>
          <w:p w:rsidR="00242C36" w:rsidRPr="0042247C" w:rsidRDefault="00242C36" w:rsidP="00242C36">
            <w:pPr>
              <w:pBdr>
                <w:bar w:val="single" w:sz="6" w:color="808080"/>
              </w:pBdr>
              <w:spacing w:after="120"/>
              <w:rPr>
                <w:rFonts w:ascii="Calibri" w:eastAsia="Calibri" w:hAnsi="Calibri"/>
                <w:sz w:val="20"/>
                <w:szCs w:val="20"/>
                <w:lang w:eastAsia="en-US"/>
              </w:rPr>
            </w:pPr>
            <w:r w:rsidRPr="0042247C">
              <w:rPr>
                <w:rFonts w:ascii="Calibri" w:eastAsia="Calibri" w:hAnsi="Calibri"/>
                <w:sz w:val="20"/>
                <w:szCs w:val="20"/>
                <w:lang w:eastAsia="en-US"/>
              </w:rPr>
              <w:t>54,72</w:t>
            </w:r>
          </w:p>
        </w:tc>
        <w:tc>
          <w:tcPr>
            <w:tcW w:w="1377" w:type="dxa"/>
            <w:vAlign w:val="center"/>
          </w:tcPr>
          <w:p w:rsidR="00242C36" w:rsidRPr="0042247C" w:rsidRDefault="00242C36" w:rsidP="00242C36">
            <w:pPr>
              <w:pBdr>
                <w:bar w:val="single" w:sz="6" w:color="808080"/>
              </w:pBdr>
              <w:spacing w:after="120"/>
              <w:rPr>
                <w:rFonts w:ascii="Calibri" w:eastAsia="Calibri" w:hAnsi="Calibri"/>
                <w:sz w:val="20"/>
                <w:szCs w:val="20"/>
                <w:lang w:eastAsia="en-US"/>
              </w:rPr>
            </w:pPr>
            <w:r w:rsidRPr="0042247C">
              <w:rPr>
                <w:rFonts w:ascii="Calibri" w:eastAsia="Calibri" w:hAnsi="Calibri"/>
                <w:sz w:val="20"/>
                <w:szCs w:val="20"/>
                <w:lang w:eastAsia="en-US"/>
              </w:rPr>
              <w:t>82,32</w:t>
            </w:r>
          </w:p>
        </w:tc>
        <w:tc>
          <w:tcPr>
            <w:tcW w:w="1319" w:type="dxa"/>
            <w:vAlign w:val="center"/>
          </w:tcPr>
          <w:p w:rsidR="00242C36" w:rsidRPr="0042247C" w:rsidRDefault="00242C36" w:rsidP="00242C36">
            <w:pPr>
              <w:pBdr>
                <w:bar w:val="single" w:sz="6" w:color="808080"/>
              </w:pBdr>
              <w:spacing w:after="120"/>
              <w:rPr>
                <w:rFonts w:ascii="Calibri" w:eastAsia="Calibri" w:hAnsi="Calibri"/>
                <w:sz w:val="20"/>
                <w:szCs w:val="20"/>
                <w:lang w:eastAsia="en-US"/>
              </w:rPr>
            </w:pPr>
            <w:r w:rsidRPr="0042247C">
              <w:rPr>
                <w:rFonts w:ascii="Calibri" w:eastAsia="Calibri" w:hAnsi="Calibri"/>
                <w:sz w:val="20"/>
                <w:szCs w:val="20"/>
                <w:lang w:eastAsia="en-US"/>
              </w:rPr>
              <w:t>49,59</w:t>
            </w:r>
          </w:p>
        </w:tc>
      </w:tr>
    </w:tbl>
    <w:p w:rsidR="00242C36" w:rsidRPr="00113FC3" w:rsidRDefault="00242C36" w:rsidP="00242C36">
      <w:pPr>
        <w:pBdr>
          <w:bar w:val="single" w:sz="6" w:color="808080"/>
        </w:pBdr>
        <w:spacing w:after="120"/>
        <w:rPr>
          <w:rFonts w:ascii="Calibri" w:eastAsia="Calibri" w:hAnsi="Calibri"/>
          <w:sz w:val="20"/>
          <w:szCs w:val="22"/>
          <w:lang w:eastAsia="en-US"/>
        </w:rPr>
      </w:pPr>
      <w:r w:rsidRPr="00113FC3">
        <w:rPr>
          <w:rFonts w:ascii="Calibri" w:eastAsia="Calibri" w:hAnsi="Calibri"/>
          <w:sz w:val="20"/>
          <w:szCs w:val="22"/>
          <w:lang w:eastAsia="en-US"/>
        </w:rPr>
        <w:t>Zdroj: Informačné listy CD MPRV SR 2012, VÚEPP Bratislava</w:t>
      </w:r>
    </w:p>
    <w:p w:rsidR="00242C36" w:rsidRDefault="00242C36" w:rsidP="00242C36">
      <w:pPr>
        <w:pBdr>
          <w:bar w:val="single" w:sz="6" w:color="808080"/>
        </w:pBdr>
        <w:spacing w:after="120"/>
        <w:rPr>
          <w:rFonts w:ascii="Calibri" w:eastAsia="Calibri" w:hAnsi="Calibri"/>
          <w:szCs w:val="22"/>
          <w:lang w:eastAsia="en-US"/>
        </w:rPr>
      </w:pPr>
      <w:r w:rsidRPr="00E43137">
        <w:rPr>
          <w:rFonts w:ascii="Calibri" w:eastAsia="Calibri" w:hAnsi="Calibri"/>
          <w:szCs w:val="22"/>
          <w:lang w:eastAsia="en-US"/>
        </w:rPr>
        <w:t xml:space="preserve">V znevýhodnených oblastiach v porovnaní s produkčnými oblasťami došlo od roku 2007 k nižšiemu úbytku pracovných síl. Nižší úbytok bol zaznamenaný predovšetkým v regiónoch tradične závislých na poľnohospodárskej činnosti s nižšou úrovňou priemyselnej výroby, kde dosahovala agrárna zamestnanosť viac ako 10%. Ide o regióny s vysokou mierou nezamestnanosti a s nemožnosťou zamestnať sa v iných odvetviach národného hospodárstva. </w:t>
      </w:r>
    </w:p>
    <w:p w:rsidR="00242C36" w:rsidRPr="00E43137" w:rsidRDefault="00E32F57" w:rsidP="00242C36">
      <w:pPr>
        <w:pBdr>
          <w:bar w:val="single" w:sz="6" w:color="808080"/>
        </w:pBdr>
        <w:spacing w:after="120"/>
        <w:rPr>
          <w:rFonts w:ascii="Calibri" w:eastAsia="Calibri" w:hAnsi="Calibri"/>
          <w:b/>
          <w:bCs/>
          <w:szCs w:val="22"/>
          <w:lang w:eastAsia="en-US"/>
        </w:rPr>
      </w:pPr>
      <w:r>
        <w:rPr>
          <w:rFonts w:ascii="Calibri" w:eastAsia="Calibri" w:hAnsi="Calibri"/>
          <w:b/>
          <w:bCs/>
          <w:szCs w:val="22"/>
          <w:lang w:eastAsia="en-US"/>
        </w:rPr>
        <w:t xml:space="preserve">Tabuľka 40: </w:t>
      </w:r>
      <w:r w:rsidR="00242C36" w:rsidRPr="00E43137">
        <w:rPr>
          <w:rFonts w:ascii="Calibri" w:eastAsia="Calibri" w:hAnsi="Calibri"/>
          <w:b/>
          <w:bCs/>
          <w:szCs w:val="22"/>
          <w:lang w:eastAsia="en-US"/>
        </w:rPr>
        <w:t>Počet pracujúcich na 100 ha p.p. v LFA</w:t>
      </w:r>
    </w:p>
    <w:tbl>
      <w:tblPr>
        <w:tblW w:w="90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979"/>
        <w:gridCol w:w="789"/>
        <w:gridCol w:w="822"/>
        <w:gridCol w:w="861"/>
        <w:gridCol w:w="871"/>
        <w:gridCol w:w="926"/>
        <w:gridCol w:w="823"/>
      </w:tblGrid>
      <w:tr w:rsidR="00242C36" w:rsidRPr="0042247C" w:rsidTr="00242C36">
        <w:trPr>
          <w:trHeight w:val="247"/>
          <w:jc w:val="center"/>
        </w:trPr>
        <w:tc>
          <w:tcPr>
            <w:tcW w:w="3979" w:type="dxa"/>
            <w:vAlign w:val="center"/>
          </w:tcPr>
          <w:p w:rsidR="00242C36" w:rsidRPr="0042247C" w:rsidRDefault="00242C36" w:rsidP="00242C36">
            <w:pPr>
              <w:pBdr>
                <w:bar w:val="single" w:sz="6" w:color="808080"/>
              </w:pBdr>
              <w:spacing w:after="120"/>
              <w:rPr>
                <w:rFonts w:ascii="Calibri" w:eastAsia="Calibri" w:hAnsi="Calibri"/>
                <w:b/>
                <w:bCs/>
                <w:i/>
                <w:sz w:val="20"/>
                <w:szCs w:val="20"/>
                <w:lang w:eastAsia="en-US"/>
              </w:rPr>
            </w:pPr>
            <w:r w:rsidRPr="0042247C">
              <w:rPr>
                <w:rFonts w:ascii="Calibri" w:eastAsia="Calibri" w:hAnsi="Calibri"/>
                <w:b/>
                <w:bCs/>
                <w:i/>
                <w:sz w:val="20"/>
                <w:szCs w:val="20"/>
                <w:lang w:eastAsia="en-US"/>
              </w:rPr>
              <w:t>Typ LFA</w:t>
            </w:r>
          </w:p>
        </w:tc>
        <w:tc>
          <w:tcPr>
            <w:tcW w:w="789" w:type="dxa"/>
            <w:vAlign w:val="center"/>
          </w:tcPr>
          <w:p w:rsidR="00242C36" w:rsidRPr="0042247C" w:rsidRDefault="00242C36" w:rsidP="00242C36">
            <w:pPr>
              <w:pBdr>
                <w:bar w:val="single" w:sz="6" w:color="808080"/>
              </w:pBdr>
              <w:spacing w:after="120"/>
              <w:rPr>
                <w:rFonts w:ascii="Calibri" w:eastAsia="Calibri" w:hAnsi="Calibri"/>
                <w:b/>
                <w:bCs/>
                <w:i/>
                <w:sz w:val="20"/>
                <w:szCs w:val="20"/>
                <w:lang w:eastAsia="en-US"/>
              </w:rPr>
            </w:pPr>
            <w:r w:rsidRPr="0042247C">
              <w:rPr>
                <w:rFonts w:ascii="Calibri" w:eastAsia="Calibri" w:hAnsi="Calibri"/>
                <w:b/>
                <w:bCs/>
                <w:i/>
                <w:sz w:val="20"/>
                <w:szCs w:val="20"/>
                <w:lang w:eastAsia="en-US"/>
              </w:rPr>
              <w:t>2007</w:t>
            </w:r>
          </w:p>
        </w:tc>
        <w:tc>
          <w:tcPr>
            <w:tcW w:w="822" w:type="dxa"/>
            <w:vAlign w:val="center"/>
          </w:tcPr>
          <w:p w:rsidR="00242C36" w:rsidRPr="0042247C" w:rsidRDefault="00242C36" w:rsidP="00242C36">
            <w:pPr>
              <w:pBdr>
                <w:bar w:val="single" w:sz="6" w:color="808080"/>
              </w:pBdr>
              <w:spacing w:after="120"/>
              <w:rPr>
                <w:rFonts w:ascii="Calibri" w:eastAsia="Calibri" w:hAnsi="Calibri"/>
                <w:b/>
                <w:bCs/>
                <w:i/>
                <w:sz w:val="20"/>
                <w:szCs w:val="20"/>
                <w:lang w:eastAsia="en-US"/>
              </w:rPr>
            </w:pPr>
            <w:r w:rsidRPr="0042247C">
              <w:rPr>
                <w:rFonts w:ascii="Calibri" w:eastAsia="Calibri" w:hAnsi="Calibri"/>
                <w:b/>
                <w:bCs/>
                <w:i/>
                <w:sz w:val="20"/>
                <w:szCs w:val="20"/>
                <w:lang w:eastAsia="en-US"/>
              </w:rPr>
              <w:t>2008</w:t>
            </w:r>
          </w:p>
        </w:tc>
        <w:tc>
          <w:tcPr>
            <w:tcW w:w="861" w:type="dxa"/>
            <w:vAlign w:val="center"/>
          </w:tcPr>
          <w:p w:rsidR="00242C36" w:rsidRPr="0042247C" w:rsidRDefault="00242C36" w:rsidP="00242C36">
            <w:pPr>
              <w:pBdr>
                <w:bar w:val="single" w:sz="6" w:color="808080"/>
              </w:pBdr>
              <w:spacing w:after="120"/>
              <w:rPr>
                <w:rFonts w:ascii="Calibri" w:eastAsia="Calibri" w:hAnsi="Calibri"/>
                <w:b/>
                <w:bCs/>
                <w:i/>
                <w:sz w:val="20"/>
                <w:szCs w:val="20"/>
                <w:lang w:eastAsia="en-US"/>
              </w:rPr>
            </w:pPr>
            <w:r w:rsidRPr="0042247C">
              <w:rPr>
                <w:rFonts w:ascii="Calibri" w:eastAsia="Calibri" w:hAnsi="Calibri"/>
                <w:b/>
                <w:bCs/>
                <w:i/>
                <w:sz w:val="20"/>
                <w:szCs w:val="20"/>
                <w:lang w:eastAsia="en-US"/>
              </w:rPr>
              <w:t>2009</w:t>
            </w:r>
          </w:p>
        </w:tc>
        <w:tc>
          <w:tcPr>
            <w:tcW w:w="871" w:type="dxa"/>
          </w:tcPr>
          <w:p w:rsidR="00242C36" w:rsidRPr="0042247C" w:rsidRDefault="00242C36" w:rsidP="00242C36">
            <w:pPr>
              <w:pBdr>
                <w:bar w:val="single" w:sz="6" w:color="808080"/>
              </w:pBdr>
              <w:spacing w:after="120"/>
              <w:rPr>
                <w:rFonts w:ascii="Calibri" w:eastAsia="Calibri" w:hAnsi="Calibri"/>
                <w:b/>
                <w:bCs/>
                <w:i/>
                <w:sz w:val="20"/>
                <w:szCs w:val="20"/>
                <w:lang w:eastAsia="en-US"/>
              </w:rPr>
            </w:pPr>
            <w:r w:rsidRPr="0042247C">
              <w:rPr>
                <w:rFonts w:ascii="Calibri" w:eastAsia="Calibri" w:hAnsi="Calibri"/>
                <w:b/>
                <w:bCs/>
                <w:i/>
                <w:sz w:val="20"/>
                <w:szCs w:val="20"/>
                <w:lang w:eastAsia="en-US"/>
              </w:rPr>
              <w:t>2010</w:t>
            </w:r>
          </w:p>
        </w:tc>
        <w:tc>
          <w:tcPr>
            <w:tcW w:w="926" w:type="dxa"/>
          </w:tcPr>
          <w:p w:rsidR="00242C36" w:rsidRPr="0042247C" w:rsidRDefault="00242C36" w:rsidP="00242C36">
            <w:pPr>
              <w:pBdr>
                <w:bar w:val="single" w:sz="6" w:color="808080"/>
              </w:pBdr>
              <w:spacing w:after="120"/>
              <w:rPr>
                <w:rFonts w:ascii="Calibri" w:eastAsia="Calibri" w:hAnsi="Calibri"/>
                <w:b/>
                <w:bCs/>
                <w:i/>
                <w:sz w:val="20"/>
                <w:szCs w:val="20"/>
                <w:lang w:eastAsia="en-US"/>
              </w:rPr>
            </w:pPr>
            <w:r w:rsidRPr="0042247C">
              <w:rPr>
                <w:rFonts w:ascii="Calibri" w:eastAsia="Calibri" w:hAnsi="Calibri"/>
                <w:b/>
                <w:bCs/>
                <w:i/>
                <w:sz w:val="20"/>
                <w:szCs w:val="20"/>
                <w:lang w:eastAsia="en-US"/>
              </w:rPr>
              <w:t>2011</w:t>
            </w:r>
          </w:p>
        </w:tc>
        <w:tc>
          <w:tcPr>
            <w:tcW w:w="823" w:type="dxa"/>
          </w:tcPr>
          <w:p w:rsidR="00242C36" w:rsidRPr="0042247C" w:rsidRDefault="00242C36" w:rsidP="00242C36">
            <w:pPr>
              <w:pBdr>
                <w:bar w:val="single" w:sz="6" w:color="808080"/>
              </w:pBdr>
              <w:spacing w:after="120"/>
              <w:rPr>
                <w:rFonts w:ascii="Calibri" w:eastAsia="Calibri" w:hAnsi="Calibri"/>
                <w:b/>
                <w:bCs/>
                <w:i/>
                <w:sz w:val="20"/>
                <w:szCs w:val="20"/>
                <w:lang w:eastAsia="en-US"/>
              </w:rPr>
            </w:pPr>
            <w:r w:rsidRPr="0042247C">
              <w:rPr>
                <w:rFonts w:ascii="Calibri" w:eastAsia="Calibri" w:hAnsi="Calibri"/>
                <w:b/>
                <w:bCs/>
                <w:i/>
                <w:sz w:val="20"/>
                <w:szCs w:val="20"/>
                <w:lang w:eastAsia="en-US"/>
              </w:rPr>
              <w:t xml:space="preserve">2012 </w:t>
            </w:r>
          </w:p>
        </w:tc>
      </w:tr>
      <w:tr w:rsidR="00242C36" w:rsidRPr="0042247C" w:rsidTr="00242C36">
        <w:trPr>
          <w:trHeight w:val="247"/>
          <w:jc w:val="center"/>
        </w:trPr>
        <w:tc>
          <w:tcPr>
            <w:tcW w:w="3979" w:type="dxa"/>
            <w:vAlign w:val="center"/>
          </w:tcPr>
          <w:p w:rsidR="00242C36" w:rsidRPr="0042247C" w:rsidRDefault="00242C36" w:rsidP="00242C36">
            <w:pPr>
              <w:pBdr>
                <w:bar w:val="single" w:sz="6" w:color="808080"/>
              </w:pBdr>
              <w:spacing w:after="120"/>
              <w:rPr>
                <w:rFonts w:ascii="Calibri" w:eastAsia="Calibri" w:hAnsi="Calibri"/>
                <w:b/>
                <w:bCs/>
                <w:sz w:val="20"/>
                <w:szCs w:val="20"/>
                <w:lang w:eastAsia="en-US"/>
              </w:rPr>
            </w:pPr>
            <w:r w:rsidRPr="0042247C">
              <w:rPr>
                <w:rFonts w:ascii="Calibri" w:eastAsia="Calibri" w:hAnsi="Calibri"/>
                <w:b/>
                <w:bCs/>
                <w:sz w:val="20"/>
                <w:szCs w:val="20"/>
                <w:lang w:eastAsia="en-US"/>
              </w:rPr>
              <w:t>Horské oblasti</w:t>
            </w:r>
          </w:p>
        </w:tc>
        <w:tc>
          <w:tcPr>
            <w:tcW w:w="789" w:type="dxa"/>
            <w:vAlign w:val="center"/>
          </w:tcPr>
          <w:p w:rsidR="00242C36" w:rsidRPr="0042247C" w:rsidRDefault="00242C36" w:rsidP="00242C36">
            <w:pPr>
              <w:pBdr>
                <w:bar w:val="single" w:sz="6" w:color="808080"/>
              </w:pBdr>
              <w:spacing w:after="120"/>
              <w:rPr>
                <w:rFonts w:ascii="Calibri" w:eastAsia="Calibri" w:hAnsi="Calibri"/>
                <w:sz w:val="20"/>
                <w:szCs w:val="20"/>
                <w:lang w:eastAsia="en-US"/>
              </w:rPr>
            </w:pPr>
            <w:r w:rsidRPr="0042247C">
              <w:rPr>
                <w:rFonts w:ascii="Calibri" w:eastAsia="Calibri" w:hAnsi="Calibri"/>
                <w:sz w:val="20"/>
                <w:szCs w:val="20"/>
                <w:lang w:eastAsia="en-US"/>
              </w:rPr>
              <w:t>3,76</w:t>
            </w:r>
          </w:p>
        </w:tc>
        <w:tc>
          <w:tcPr>
            <w:tcW w:w="822" w:type="dxa"/>
            <w:vAlign w:val="center"/>
          </w:tcPr>
          <w:p w:rsidR="00242C36" w:rsidRPr="0042247C" w:rsidRDefault="00242C36" w:rsidP="00242C36">
            <w:pPr>
              <w:pBdr>
                <w:bar w:val="single" w:sz="6" w:color="808080"/>
              </w:pBdr>
              <w:spacing w:after="120"/>
              <w:rPr>
                <w:rFonts w:ascii="Calibri" w:eastAsia="Calibri" w:hAnsi="Calibri"/>
                <w:sz w:val="20"/>
                <w:szCs w:val="20"/>
                <w:lang w:eastAsia="en-US"/>
              </w:rPr>
            </w:pPr>
            <w:r w:rsidRPr="0042247C">
              <w:rPr>
                <w:rFonts w:ascii="Calibri" w:eastAsia="Calibri" w:hAnsi="Calibri"/>
                <w:sz w:val="20"/>
                <w:szCs w:val="20"/>
                <w:lang w:eastAsia="en-US"/>
              </w:rPr>
              <w:t>3,57</w:t>
            </w:r>
          </w:p>
        </w:tc>
        <w:tc>
          <w:tcPr>
            <w:tcW w:w="861" w:type="dxa"/>
            <w:vAlign w:val="center"/>
          </w:tcPr>
          <w:p w:rsidR="00242C36" w:rsidRPr="0042247C" w:rsidRDefault="00242C36" w:rsidP="00242C36">
            <w:pPr>
              <w:pBdr>
                <w:bar w:val="single" w:sz="6" w:color="808080"/>
              </w:pBdr>
              <w:spacing w:after="120"/>
              <w:rPr>
                <w:rFonts w:ascii="Calibri" w:eastAsia="Calibri" w:hAnsi="Calibri"/>
                <w:sz w:val="20"/>
                <w:szCs w:val="20"/>
                <w:lang w:eastAsia="en-US"/>
              </w:rPr>
            </w:pPr>
            <w:r w:rsidRPr="0042247C">
              <w:rPr>
                <w:rFonts w:ascii="Calibri" w:eastAsia="Calibri" w:hAnsi="Calibri"/>
                <w:sz w:val="20"/>
                <w:szCs w:val="20"/>
                <w:lang w:eastAsia="en-US"/>
              </w:rPr>
              <w:t>3,17</w:t>
            </w:r>
          </w:p>
        </w:tc>
        <w:tc>
          <w:tcPr>
            <w:tcW w:w="871" w:type="dxa"/>
            <w:vAlign w:val="center"/>
          </w:tcPr>
          <w:p w:rsidR="00242C36" w:rsidRPr="0042247C" w:rsidRDefault="00242C36" w:rsidP="00242C36">
            <w:pPr>
              <w:pBdr>
                <w:bar w:val="single" w:sz="6" w:color="808080"/>
              </w:pBdr>
              <w:spacing w:after="120"/>
              <w:rPr>
                <w:rFonts w:ascii="Calibri" w:eastAsia="Calibri" w:hAnsi="Calibri"/>
                <w:sz w:val="20"/>
                <w:szCs w:val="20"/>
                <w:lang w:eastAsia="en-US"/>
              </w:rPr>
            </w:pPr>
            <w:r w:rsidRPr="0042247C">
              <w:rPr>
                <w:rFonts w:ascii="Calibri" w:eastAsia="Calibri" w:hAnsi="Calibri"/>
                <w:sz w:val="20"/>
                <w:szCs w:val="20"/>
                <w:lang w:eastAsia="en-US"/>
              </w:rPr>
              <w:t>3,19</w:t>
            </w:r>
          </w:p>
        </w:tc>
        <w:tc>
          <w:tcPr>
            <w:tcW w:w="926" w:type="dxa"/>
            <w:vAlign w:val="center"/>
          </w:tcPr>
          <w:p w:rsidR="00242C36" w:rsidRPr="0042247C" w:rsidRDefault="00242C36" w:rsidP="00242C36">
            <w:pPr>
              <w:pBdr>
                <w:bar w:val="single" w:sz="6" w:color="808080"/>
              </w:pBdr>
              <w:spacing w:after="120"/>
              <w:rPr>
                <w:rFonts w:ascii="Calibri" w:eastAsia="Calibri" w:hAnsi="Calibri"/>
                <w:sz w:val="20"/>
                <w:szCs w:val="20"/>
                <w:lang w:eastAsia="en-US"/>
              </w:rPr>
            </w:pPr>
            <w:r w:rsidRPr="0042247C">
              <w:rPr>
                <w:rFonts w:ascii="Calibri" w:eastAsia="Calibri" w:hAnsi="Calibri"/>
                <w:sz w:val="20"/>
                <w:szCs w:val="20"/>
                <w:lang w:eastAsia="en-US"/>
              </w:rPr>
              <w:t>3,04</w:t>
            </w:r>
          </w:p>
        </w:tc>
        <w:tc>
          <w:tcPr>
            <w:tcW w:w="823" w:type="dxa"/>
            <w:vAlign w:val="center"/>
          </w:tcPr>
          <w:p w:rsidR="00242C36" w:rsidRPr="0042247C" w:rsidRDefault="00242C36" w:rsidP="00242C36">
            <w:pPr>
              <w:pBdr>
                <w:bar w:val="single" w:sz="6" w:color="808080"/>
              </w:pBdr>
              <w:spacing w:after="120"/>
              <w:rPr>
                <w:rFonts w:ascii="Calibri" w:eastAsia="Calibri" w:hAnsi="Calibri"/>
                <w:sz w:val="20"/>
                <w:szCs w:val="20"/>
                <w:lang w:eastAsia="en-US"/>
              </w:rPr>
            </w:pPr>
            <w:r w:rsidRPr="0042247C">
              <w:rPr>
                <w:rFonts w:ascii="Calibri" w:eastAsia="Calibri" w:hAnsi="Calibri"/>
                <w:sz w:val="20"/>
                <w:szCs w:val="20"/>
                <w:lang w:eastAsia="en-US"/>
              </w:rPr>
              <w:t>2,76</w:t>
            </w:r>
          </w:p>
        </w:tc>
      </w:tr>
      <w:tr w:rsidR="00242C36" w:rsidRPr="0042247C" w:rsidTr="00242C36">
        <w:trPr>
          <w:trHeight w:val="247"/>
          <w:jc w:val="center"/>
        </w:trPr>
        <w:tc>
          <w:tcPr>
            <w:tcW w:w="3979" w:type="dxa"/>
            <w:vAlign w:val="center"/>
          </w:tcPr>
          <w:p w:rsidR="00242C36" w:rsidRPr="0042247C" w:rsidRDefault="00242C36" w:rsidP="00242C36">
            <w:pPr>
              <w:pBdr>
                <w:bar w:val="single" w:sz="6" w:color="808080"/>
              </w:pBdr>
              <w:spacing w:after="120"/>
              <w:rPr>
                <w:rFonts w:ascii="Calibri" w:eastAsia="Calibri" w:hAnsi="Calibri"/>
                <w:b/>
                <w:bCs/>
                <w:sz w:val="20"/>
                <w:szCs w:val="20"/>
                <w:lang w:eastAsia="en-US"/>
              </w:rPr>
            </w:pPr>
            <w:r w:rsidRPr="0042247C">
              <w:rPr>
                <w:rFonts w:ascii="Calibri" w:eastAsia="Calibri" w:hAnsi="Calibri"/>
                <w:b/>
                <w:bCs/>
                <w:sz w:val="20"/>
                <w:szCs w:val="20"/>
                <w:lang w:eastAsia="en-US"/>
              </w:rPr>
              <w:t>Ostatné znevýhodnené oblasti</w:t>
            </w:r>
          </w:p>
        </w:tc>
        <w:tc>
          <w:tcPr>
            <w:tcW w:w="789" w:type="dxa"/>
            <w:vAlign w:val="center"/>
          </w:tcPr>
          <w:p w:rsidR="00242C36" w:rsidRPr="0042247C" w:rsidRDefault="00242C36" w:rsidP="00242C36">
            <w:pPr>
              <w:pBdr>
                <w:bar w:val="single" w:sz="6" w:color="808080"/>
              </w:pBdr>
              <w:spacing w:after="120"/>
              <w:rPr>
                <w:rFonts w:ascii="Calibri" w:eastAsia="Calibri" w:hAnsi="Calibri"/>
                <w:sz w:val="20"/>
                <w:szCs w:val="20"/>
                <w:lang w:eastAsia="en-US"/>
              </w:rPr>
            </w:pPr>
            <w:r w:rsidRPr="0042247C">
              <w:rPr>
                <w:rFonts w:ascii="Calibri" w:eastAsia="Calibri" w:hAnsi="Calibri"/>
                <w:sz w:val="20"/>
                <w:szCs w:val="20"/>
                <w:lang w:eastAsia="en-US"/>
              </w:rPr>
              <w:t>3,05</w:t>
            </w:r>
          </w:p>
        </w:tc>
        <w:tc>
          <w:tcPr>
            <w:tcW w:w="822" w:type="dxa"/>
            <w:vAlign w:val="center"/>
          </w:tcPr>
          <w:p w:rsidR="00242C36" w:rsidRPr="0042247C" w:rsidRDefault="00242C36" w:rsidP="00242C36">
            <w:pPr>
              <w:pBdr>
                <w:bar w:val="single" w:sz="6" w:color="808080"/>
              </w:pBdr>
              <w:spacing w:after="120"/>
              <w:rPr>
                <w:rFonts w:ascii="Calibri" w:eastAsia="Calibri" w:hAnsi="Calibri"/>
                <w:sz w:val="20"/>
                <w:szCs w:val="20"/>
                <w:lang w:eastAsia="en-US"/>
              </w:rPr>
            </w:pPr>
            <w:r w:rsidRPr="0042247C">
              <w:rPr>
                <w:rFonts w:ascii="Calibri" w:eastAsia="Calibri" w:hAnsi="Calibri"/>
                <w:sz w:val="20"/>
                <w:szCs w:val="20"/>
                <w:lang w:eastAsia="en-US"/>
              </w:rPr>
              <w:t>3,13</w:t>
            </w:r>
          </w:p>
        </w:tc>
        <w:tc>
          <w:tcPr>
            <w:tcW w:w="861" w:type="dxa"/>
            <w:vAlign w:val="center"/>
          </w:tcPr>
          <w:p w:rsidR="00242C36" w:rsidRPr="0042247C" w:rsidRDefault="00242C36" w:rsidP="00242C36">
            <w:pPr>
              <w:pBdr>
                <w:bar w:val="single" w:sz="6" w:color="808080"/>
              </w:pBdr>
              <w:spacing w:after="120"/>
              <w:rPr>
                <w:rFonts w:ascii="Calibri" w:eastAsia="Calibri" w:hAnsi="Calibri"/>
                <w:sz w:val="20"/>
                <w:szCs w:val="20"/>
                <w:lang w:eastAsia="en-US"/>
              </w:rPr>
            </w:pPr>
            <w:r w:rsidRPr="0042247C">
              <w:rPr>
                <w:rFonts w:ascii="Calibri" w:eastAsia="Calibri" w:hAnsi="Calibri"/>
                <w:sz w:val="20"/>
                <w:szCs w:val="20"/>
                <w:lang w:eastAsia="en-US"/>
              </w:rPr>
              <w:t>2,74</w:t>
            </w:r>
          </w:p>
        </w:tc>
        <w:tc>
          <w:tcPr>
            <w:tcW w:w="871" w:type="dxa"/>
            <w:vAlign w:val="center"/>
          </w:tcPr>
          <w:p w:rsidR="00242C36" w:rsidRPr="0042247C" w:rsidRDefault="00242C36" w:rsidP="00242C36">
            <w:pPr>
              <w:pBdr>
                <w:bar w:val="single" w:sz="6" w:color="808080"/>
              </w:pBdr>
              <w:spacing w:after="120"/>
              <w:rPr>
                <w:rFonts w:ascii="Calibri" w:eastAsia="Calibri" w:hAnsi="Calibri"/>
                <w:sz w:val="20"/>
                <w:szCs w:val="20"/>
                <w:lang w:eastAsia="en-US"/>
              </w:rPr>
            </w:pPr>
            <w:r w:rsidRPr="0042247C">
              <w:rPr>
                <w:rFonts w:ascii="Calibri" w:eastAsia="Calibri" w:hAnsi="Calibri"/>
                <w:sz w:val="20"/>
                <w:szCs w:val="20"/>
                <w:lang w:eastAsia="en-US"/>
              </w:rPr>
              <w:t>2,59</w:t>
            </w:r>
          </w:p>
        </w:tc>
        <w:tc>
          <w:tcPr>
            <w:tcW w:w="926" w:type="dxa"/>
            <w:vAlign w:val="center"/>
          </w:tcPr>
          <w:p w:rsidR="00242C36" w:rsidRPr="0042247C" w:rsidRDefault="00242C36" w:rsidP="00242C36">
            <w:pPr>
              <w:pBdr>
                <w:bar w:val="single" w:sz="6" w:color="808080"/>
              </w:pBdr>
              <w:spacing w:after="120"/>
              <w:rPr>
                <w:rFonts w:ascii="Calibri" w:eastAsia="Calibri" w:hAnsi="Calibri"/>
                <w:sz w:val="20"/>
                <w:szCs w:val="20"/>
                <w:lang w:eastAsia="en-US"/>
              </w:rPr>
            </w:pPr>
            <w:r w:rsidRPr="0042247C">
              <w:rPr>
                <w:rFonts w:ascii="Calibri" w:eastAsia="Calibri" w:hAnsi="Calibri"/>
                <w:sz w:val="20"/>
                <w:szCs w:val="20"/>
                <w:lang w:eastAsia="en-US"/>
              </w:rPr>
              <w:t>2,47</w:t>
            </w:r>
          </w:p>
        </w:tc>
        <w:tc>
          <w:tcPr>
            <w:tcW w:w="823" w:type="dxa"/>
            <w:vAlign w:val="center"/>
          </w:tcPr>
          <w:p w:rsidR="00242C36" w:rsidRPr="0042247C" w:rsidRDefault="00242C36" w:rsidP="00242C36">
            <w:pPr>
              <w:pBdr>
                <w:bar w:val="single" w:sz="6" w:color="808080"/>
              </w:pBdr>
              <w:spacing w:after="120"/>
              <w:rPr>
                <w:rFonts w:ascii="Calibri" w:eastAsia="Calibri" w:hAnsi="Calibri"/>
                <w:sz w:val="20"/>
                <w:szCs w:val="20"/>
                <w:lang w:eastAsia="en-US"/>
              </w:rPr>
            </w:pPr>
            <w:r w:rsidRPr="0042247C">
              <w:rPr>
                <w:rFonts w:ascii="Calibri" w:eastAsia="Calibri" w:hAnsi="Calibri"/>
                <w:sz w:val="20"/>
                <w:szCs w:val="20"/>
                <w:lang w:eastAsia="en-US"/>
              </w:rPr>
              <w:t>2,38</w:t>
            </w:r>
          </w:p>
        </w:tc>
      </w:tr>
      <w:tr w:rsidR="00242C36" w:rsidRPr="0042247C" w:rsidTr="00242C36">
        <w:trPr>
          <w:trHeight w:val="247"/>
          <w:jc w:val="center"/>
        </w:trPr>
        <w:tc>
          <w:tcPr>
            <w:tcW w:w="3979" w:type="dxa"/>
            <w:vAlign w:val="center"/>
          </w:tcPr>
          <w:p w:rsidR="00242C36" w:rsidRPr="0042247C" w:rsidRDefault="00242C36" w:rsidP="00242C36">
            <w:pPr>
              <w:pBdr>
                <w:bar w:val="single" w:sz="6" w:color="808080"/>
              </w:pBdr>
              <w:spacing w:after="120"/>
              <w:rPr>
                <w:rFonts w:ascii="Calibri" w:eastAsia="Calibri" w:hAnsi="Calibri"/>
                <w:b/>
                <w:bCs/>
                <w:sz w:val="20"/>
                <w:szCs w:val="20"/>
                <w:lang w:eastAsia="en-US"/>
              </w:rPr>
            </w:pPr>
            <w:r w:rsidRPr="0042247C">
              <w:rPr>
                <w:rFonts w:ascii="Calibri" w:eastAsia="Calibri" w:hAnsi="Calibri"/>
                <w:b/>
                <w:bCs/>
                <w:sz w:val="20"/>
                <w:szCs w:val="20"/>
                <w:lang w:eastAsia="en-US"/>
              </w:rPr>
              <w:t>Oblasti so špecifickými nevýhodami</w:t>
            </w:r>
          </w:p>
        </w:tc>
        <w:tc>
          <w:tcPr>
            <w:tcW w:w="789" w:type="dxa"/>
            <w:vAlign w:val="center"/>
          </w:tcPr>
          <w:p w:rsidR="00242C36" w:rsidRPr="0042247C" w:rsidRDefault="00242C36" w:rsidP="00242C36">
            <w:pPr>
              <w:pBdr>
                <w:bar w:val="single" w:sz="6" w:color="808080"/>
              </w:pBdr>
              <w:spacing w:after="120"/>
              <w:rPr>
                <w:rFonts w:ascii="Calibri" w:eastAsia="Calibri" w:hAnsi="Calibri"/>
                <w:sz w:val="20"/>
                <w:szCs w:val="20"/>
                <w:lang w:eastAsia="en-US"/>
              </w:rPr>
            </w:pPr>
            <w:r w:rsidRPr="0042247C">
              <w:rPr>
                <w:rFonts w:ascii="Calibri" w:eastAsia="Calibri" w:hAnsi="Calibri"/>
                <w:sz w:val="20"/>
                <w:szCs w:val="20"/>
                <w:lang w:eastAsia="en-US"/>
              </w:rPr>
              <w:t>2,99</w:t>
            </w:r>
          </w:p>
        </w:tc>
        <w:tc>
          <w:tcPr>
            <w:tcW w:w="822" w:type="dxa"/>
            <w:vAlign w:val="center"/>
          </w:tcPr>
          <w:p w:rsidR="00242C36" w:rsidRPr="0042247C" w:rsidRDefault="00242C36" w:rsidP="00242C36">
            <w:pPr>
              <w:pBdr>
                <w:bar w:val="single" w:sz="6" w:color="808080"/>
              </w:pBdr>
              <w:spacing w:after="120"/>
              <w:rPr>
                <w:rFonts w:ascii="Calibri" w:eastAsia="Calibri" w:hAnsi="Calibri"/>
                <w:sz w:val="20"/>
                <w:szCs w:val="20"/>
                <w:lang w:eastAsia="en-US"/>
              </w:rPr>
            </w:pPr>
            <w:r w:rsidRPr="0042247C">
              <w:rPr>
                <w:rFonts w:ascii="Calibri" w:eastAsia="Calibri" w:hAnsi="Calibri"/>
                <w:sz w:val="20"/>
                <w:szCs w:val="20"/>
                <w:lang w:eastAsia="en-US"/>
              </w:rPr>
              <w:t>2,83</w:t>
            </w:r>
          </w:p>
        </w:tc>
        <w:tc>
          <w:tcPr>
            <w:tcW w:w="861" w:type="dxa"/>
            <w:vAlign w:val="center"/>
          </w:tcPr>
          <w:p w:rsidR="00242C36" w:rsidRPr="0042247C" w:rsidRDefault="00242C36" w:rsidP="00242C36">
            <w:pPr>
              <w:pBdr>
                <w:bar w:val="single" w:sz="6" w:color="808080"/>
              </w:pBdr>
              <w:spacing w:after="120"/>
              <w:rPr>
                <w:rFonts w:ascii="Calibri" w:eastAsia="Calibri" w:hAnsi="Calibri"/>
                <w:sz w:val="20"/>
                <w:szCs w:val="20"/>
                <w:lang w:eastAsia="en-US"/>
              </w:rPr>
            </w:pPr>
            <w:r w:rsidRPr="0042247C">
              <w:rPr>
                <w:rFonts w:ascii="Calibri" w:eastAsia="Calibri" w:hAnsi="Calibri"/>
                <w:sz w:val="20"/>
                <w:szCs w:val="20"/>
                <w:lang w:eastAsia="en-US"/>
              </w:rPr>
              <w:t>2,48</w:t>
            </w:r>
          </w:p>
        </w:tc>
        <w:tc>
          <w:tcPr>
            <w:tcW w:w="871" w:type="dxa"/>
            <w:vAlign w:val="center"/>
          </w:tcPr>
          <w:p w:rsidR="00242C36" w:rsidRPr="0042247C" w:rsidRDefault="00242C36" w:rsidP="00242C36">
            <w:pPr>
              <w:pBdr>
                <w:bar w:val="single" w:sz="6" w:color="808080"/>
              </w:pBdr>
              <w:spacing w:after="120"/>
              <w:rPr>
                <w:rFonts w:ascii="Calibri" w:eastAsia="Calibri" w:hAnsi="Calibri"/>
                <w:sz w:val="20"/>
                <w:szCs w:val="20"/>
                <w:lang w:eastAsia="en-US"/>
              </w:rPr>
            </w:pPr>
            <w:r w:rsidRPr="0042247C">
              <w:rPr>
                <w:rFonts w:ascii="Calibri" w:eastAsia="Calibri" w:hAnsi="Calibri"/>
                <w:sz w:val="20"/>
                <w:szCs w:val="20"/>
                <w:lang w:eastAsia="en-US"/>
              </w:rPr>
              <w:t>2,37</w:t>
            </w:r>
          </w:p>
        </w:tc>
        <w:tc>
          <w:tcPr>
            <w:tcW w:w="926" w:type="dxa"/>
            <w:vAlign w:val="center"/>
          </w:tcPr>
          <w:p w:rsidR="00242C36" w:rsidRPr="0042247C" w:rsidRDefault="00242C36" w:rsidP="00242C36">
            <w:pPr>
              <w:pBdr>
                <w:bar w:val="single" w:sz="6" w:color="808080"/>
              </w:pBdr>
              <w:spacing w:after="120"/>
              <w:rPr>
                <w:rFonts w:ascii="Calibri" w:eastAsia="Calibri" w:hAnsi="Calibri"/>
                <w:sz w:val="20"/>
                <w:szCs w:val="20"/>
                <w:lang w:eastAsia="en-US"/>
              </w:rPr>
            </w:pPr>
            <w:r w:rsidRPr="0042247C">
              <w:rPr>
                <w:rFonts w:ascii="Calibri" w:eastAsia="Calibri" w:hAnsi="Calibri"/>
                <w:sz w:val="20"/>
                <w:szCs w:val="20"/>
                <w:lang w:eastAsia="en-US"/>
              </w:rPr>
              <w:t>2,17</w:t>
            </w:r>
          </w:p>
        </w:tc>
        <w:tc>
          <w:tcPr>
            <w:tcW w:w="823" w:type="dxa"/>
            <w:vAlign w:val="center"/>
          </w:tcPr>
          <w:p w:rsidR="00242C36" w:rsidRPr="0042247C" w:rsidRDefault="00242C36" w:rsidP="00242C36">
            <w:pPr>
              <w:pBdr>
                <w:bar w:val="single" w:sz="6" w:color="808080"/>
              </w:pBdr>
              <w:spacing w:after="120"/>
              <w:rPr>
                <w:rFonts w:ascii="Calibri" w:eastAsia="Calibri" w:hAnsi="Calibri"/>
                <w:sz w:val="20"/>
                <w:szCs w:val="20"/>
                <w:lang w:eastAsia="en-US"/>
              </w:rPr>
            </w:pPr>
            <w:r w:rsidRPr="0042247C">
              <w:rPr>
                <w:rFonts w:ascii="Calibri" w:eastAsia="Calibri" w:hAnsi="Calibri"/>
                <w:sz w:val="20"/>
                <w:szCs w:val="20"/>
                <w:lang w:eastAsia="en-US"/>
              </w:rPr>
              <w:t>2,09</w:t>
            </w:r>
          </w:p>
        </w:tc>
      </w:tr>
      <w:tr w:rsidR="00242C36" w:rsidRPr="0042247C" w:rsidTr="00242C36">
        <w:trPr>
          <w:trHeight w:val="247"/>
          <w:jc w:val="center"/>
        </w:trPr>
        <w:tc>
          <w:tcPr>
            <w:tcW w:w="3979" w:type="dxa"/>
            <w:vAlign w:val="center"/>
          </w:tcPr>
          <w:p w:rsidR="00242C36" w:rsidRPr="0042247C" w:rsidRDefault="00242C36" w:rsidP="00242C36">
            <w:pPr>
              <w:pBdr>
                <w:bar w:val="single" w:sz="6" w:color="808080"/>
              </w:pBdr>
              <w:spacing w:after="120"/>
              <w:rPr>
                <w:rFonts w:ascii="Calibri" w:eastAsia="Calibri" w:hAnsi="Calibri"/>
                <w:b/>
                <w:bCs/>
                <w:sz w:val="20"/>
                <w:szCs w:val="20"/>
                <w:lang w:eastAsia="en-US"/>
              </w:rPr>
            </w:pPr>
            <w:r w:rsidRPr="0042247C">
              <w:rPr>
                <w:rFonts w:ascii="Calibri" w:eastAsia="Calibri" w:hAnsi="Calibri"/>
                <w:b/>
                <w:bCs/>
                <w:sz w:val="20"/>
                <w:szCs w:val="20"/>
                <w:lang w:eastAsia="en-US"/>
              </w:rPr>
              <w:t>Produkčné oblasti</w:t>
            </w:r>
          </w:p>
        </w:tc>
        <w:tc>
          <w:tcPr>
            <w:tcW w:w="789" w:type="dxa"/>
            <w:vAlign w:val="center"/>
          </w:tcPr>
          <w:p w:rsidR="00242C36" w:rsidRPr="0042247C" w:rsidRDefault="00242C36" w:rsidP="00242C36">
            <w:pPr>
              <w:pBdr>
                <w:bar w:val="single" w:sz="6" w:color="808080"/>
              </w:pBdr>
              <w:spacing w:after="120"/>
              <w:rPr>
                <w:rFonts w:ascii="Calibri" w:eastAsia="Calibri" w:hAnsi="Calibri"/>
                <w:sz w:val="20"/>
                <w:szCs w:val="20"/>
                <w:lang w:eastAsia="en-US"/>
              </w:rPr>
            </w:pPr>
            <w:r w:rsidRPr="0042247C">
              <w:rPr>
                <w:rFonts w:ascii="Calibri" w:eastAsia="Calibri" w:hAnsi="Calibri"/>
                <w:sz w:val="20"/>
                <w:szCs w:val="20"/>
                <w:lang w:eastAsia="en-US"/>
              </w:rPr>
              <w:t>3,71</w:t>
            </w:r>
          </w:p>
        </w:tc>
        <w:tc>
          <w:tcPr>
            <w:tcW w:w="822" w:type="dxa"/>
            <w:vAlign w:val="center"/>
          </w:tcPr>
          <w:p w:rsidR="00242C36" w:rsidRPr="0042247C" w:rsidRDefault="00242C36" w:rsidP="00242C36">
            <w:pPr>
              <w:pBdr>
                <w:bar w:val="single" w:sz="6" w:color="808080"/>
              </w:pBdr>
              <w:spacing w:after="120"/>
              <w:rPr>
                <w:rFonts w:ascii="Calibri" w:eastAsia="Calibri" w:hAnsi="Calibri"/>
                <w:sz w:val="20"/>
                <w:szCs w:val="20"/>
                <w:lang w:eastAsia="en-US"/>
              </w:rPr>
            </w:pPr>
            <w:r w:rsidRPr="0042247C">
              <w:rPr>
                <w:rFonts w:ascii="Calibri" w:eastAsia="Calibri" w:hAnsi="Calibri"/>
                <w:sz w:val="20"/>
                <w:szCs w:val="20"/>
                <w:lang w:eastAsia="en-US"/>
              </w:rPr>
              <w:t>3,47</w:t>
            </w:r>
          </w:p>
        </w:tc>
        <w:tc>
          <w:tcPr>
            <w:tcW w:w="861" w:type="dxa"/>
            <w:vAlign w:val="center"/>
          </w:tcPr>
          <w:p w:rsidR="00242C36" w:rsidRPr="0042247C" w:rsidRDefault="00242C36" w:rsidP="00242C36">
            <w:pPr>
              <w:pBdr>
                <w:bar w:val="single" w:sz="6" w:color="808080"/>
              </w:pBdr>
              <w:spacing w:after="120"/>
              <w:rPr>
                <w:rFonts w:ascii="Calibri" w:eastAsia="Calibri" w:hAnsi="Calibri"/>
                <w:sz w:val="20"/>
                <w:szCs w:val="20"/>
                <w:lang w:eastAsia="en-US"/>
              </w:rPr>
            </w:pPr>
            <w:r w:rsidRPr="0042247C">
              <w:rPr>
                <w:rFonts w:ascii="Calibri" w:eastAsia="Calibri" w:hAnsi="Calibri"/>
                <w:sz w:val="20"/>
                <w:szCs w:val="20"/>
                <w:lang w:eastAsia="en-US"/>
              </w:rPr>
              <w:t>3,18</w:t>
            </w:r>
          </w:p>
        </w:tc>
        <w:tc>
          <w:tcPr>
            <w:tcW w:w="871" w:type="dxa"/>
            <w:vAlign w:val="center"/>
          </w:tcPr>
          <w:p w:rsidR="00242C36" w:rsidRPr="0042247C" w:rsidRDefault="00242C36" w:rsidP="00242C36">
            <w:pPr>
              <w:pBdr>
                <w:bar w:val="single" w:sz="6" w:color="808080"/>
              </w:pBdr>
              <w:spacing w:after="120"/>
              <w:rPr>
                <w:rFonts w:ascii="Calibri" w:eastAsia="Calibri" w:hAnsi="Calibri"/>
                <w:sz w:val="20"/>
                <w:szCs w:val="20"/>
                <w:lang w:eastAsia="en-US"/>
              </w:rPr>
            </w:pPr>
            <w:r w:rsidRPr="0042247C">
              <w:rPr>
                <w:rFonts w:ascii="Calibri" w:eastAsia="Calibri" w:hAnsi="Calibri"/>
                <w:sz w:val="20"/>
                <w:szCs w:val="20"/>
                <w:lang w:eastAsia="en-US"/>
              </w:rPr>
              <w:t>2,91</w:t>
            </w:r>
          </w:p>
        </w:tc>
        <w:tc>
          <w:tcPr>
            <w:tcW w:w="926" w:type="dxa"/>
            <w:vAlign w:val="center"/>
          </w:tcPr>
          <w:p w:rsidR="00242C36" w:rsidRPr="0042247C" w:rsidRDefault="00242C36" w:rsidP="00242C36">
            <w:pPr>
              <w:pBdr>
                <w:bar w:val="single" w:sz="6" w:color="808080"/>
              </w:pBdr>
              <w:spacing w:after="120"/>
              <w:rPr>
                <w:rFonts w:ascii="Calibri" w:eastAsia="Calibri" w:hAnsi="Calibri"/>
                <w:sz w:val="20"/>
                <w:szCs w:val="20"/>
                <w:lang w:eastAsia="en-US"/>
              </w:rPr>
            </w:pPr>
            <w:r w:rsidRPr="0042247C">
              <w:rPr>
                <w:rFonts w:ascii="Calibri" w:eastAsia="Calibri" w:hAnsi="Calibri"/>
                <w:sz w:val="20"/>
                <w:szCs w:val="20"/>
                <w:lang w:eastAsia="en-US"/>
              </w:rPr>
              <w:t>2,75</w:t>
            </w:r>
          </w:p>
        </w:tc>
        <w:tc>
          <w:tcPr>
            <w:tcW w:w="823" w:type="dxa"/>
            <w:vAlign w:val="center"/>
          </w:tcPr>
          <w:p w:rsidR="00242C36" w:rsidRPr="0042247C" w:rsidRDefault="00242C36" w:rsidP="00242C36">
            <w:pPr>
              <w:pBdr>
                <w:bar w:val="single" w:sz="6" w:color="808080"/>
              </w:pBdr>
              <w:spacing w:after="120"/>
              <w:rPr>
                <w:rFonts w:ascii="Calibri" w:eastAsia="Calibri" w:hAnsi="Calibri"/>
                <w:sz w:val="20"/>
                <w:szCs w:val="20"/>
                <w:lang w:eastAsia="en-US"/>
              </w:rPr>
            </w:pPr>
            <w:r w:rsidRPr="0042247C">
              <w:rPr>
                <w:rFonts w:ascii="Calibri" w:eastAsia="Calibri" w:hAnsi="Calibri"/>
                <w:sz w:val="20"/>
                <w:szCs w:val="20"/>
                <w:lang w:eastAsia="en-US"/>
              </w:rPr>
              <w:t>2,68</w:t>
            </w:r>
          </w:p>
        </w:tc>
      </w:tr>
    </w:tbl>
    <w:p w:rsidR="00242C36" w:rsidRPr="00113FC3" w:rsidRDefault="00242C36" w:rsidP="00242C36">
      <w:pPr>
        <w:pBdr>
          <w:bar w:val="single" w:sz="6" w:color="808080"/>
        </w:pBdr>
        <w:spacing w:after="120"/>
        <w:rPr>
          <w:rFonts w:ascii="Calibri" w:eastAsia="Calibri" w:hAnsi="Calibri"/>
          <w:sz w:val="20"/>
          <w:szCs w:val="22"/>
          <w:lang w:eastAsia="en-US"/>
        </w:rPr>
      </w:pPr>
      <w:r w:rsidRPr="00113FC3">
        <w:rPr>
          <w:rFonts w:ascii="Calibri" w:eastAsia="Calibri" w:hAnsi="Calibri"/>
          <w:sz w:val="20"/>
          <w:szCs w:val="22"/>
          <w:lang w:eastAsia="en-US"/>
        </w:rPr>
        <w:t>Zdroj: Informačné listy CD MPRV SR, VÚEPP Bratislava</w:t>
      </w:r>
    </w:p>
    <w:p w:rsidR="00242C36" w:rsidRPr="00E43137" w:rsidRDefault="00242C36" w:rsidP="00242C36">
      <w:pPr>
        <w:pBdr>
          <w:bar w:val="single" w:sz="6" w:color="808080"/>
        </w:pBdr>
        <w:spacing w:after="120"/>
        <w:rPr>
          <w:rFonts w:ascii="Calibri" w:eastAsia="Calibri" w:hAnsi="Calibri"/>
          <w:szCs w:val="22"/>
          <w:lang w:eastAsia="en-US"/>
        </w:rPr>
      </w:pPr>
      <w:r w:rsidRPr="00E43137">
        <w:rPr>
          <w:rFonts w:ascii="Calibri" w:eastAsia="Calibri" w:hAnsi="Calibri"/>
          <w:szCs w:val="22"/>
          <w:lang w:eastAsia="en-US"/>
        </w:rPr>
        <w:t xml:space="preserve">Úroveň miezd v poľnohospodárstve sa od r. 2007 pohybovala v intervale 72-75% voči priemeru národného hospodárstva. V r. 2012 dosahovala v LFA 86% produkčných oblastí. </w:t>
      </w:r>
    </w:p>
    <w:p w:rsidR="00242C36" w:rsidRPr="00E43137" w:rsidRDefault="00E32F57" w:rsidP="00242C36">
      <w:pPr>
        <w:pBdr>
          <w:bar w:val="single" w:sz="6" w:color="808080"/>
        </w:pBdr>
        <w:spacing w:after="120"/>
        <w:rPr>
          <w:rFonts w:ascii="Calibri" w:eastAsia="Calibri" w:hAnsi="Calibri"/>
          <w:b/>
          <w:bCs/>
          <w:szCs w:val="22"/>
          <w:lang w:eastAsia="en-US"/>
        </w:rPr>
      </w:pPr>
      <w:r>
        <w:rPr>
          <w:rFonts w:ascii="Calibri" w:eastAsia="Calibri" w:hAnsi="Calibri"/>
          <w:b/>
          <w:bCs/>
          <w:szCs w:val="22"/>
          <w:lang w:eastAsia="en-US"/>
        </w:rPr>
        <w:t xml:space="preserve">Tabuľka 41: </w:t>
      </w:r>
      <w:r w:rsidR="00242C36" w:rsidRPr="00E43137">
        <w:rPr>
          <w:rFonts w:ascii="Calibri" w:eastAsia="Calibri" w:hAnsi="Calibri"/>
          <w:b/>
          <w:bCs/>
          <w:szCs w:val="22"/>
          <w:lang w:eastAsia="en-US"/>
        </w:rPr>
        <w:t>Úroveň miezd v znevýhodnených oblastiach (EUR)</w:t>
      </w:r>
    </w:p>
    <w:tbl>
      <w:tblPr>
        <w:tblW w:w="90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67"/>
        <w:gridCol w:w="992"/>
        <w:gridCol w:w="921"/>
        <w:gridCol w:w="918"/>
        <w:gridCol w:w="916"/>
        <w:gridCol w:w="919"/>
        <w:gridCol w:w="879"/>
      </w:tblGrid>
      <w:tr w:rsidR="00242C36" w:rsidRPr="0042247C" w:rsidTr="00242C36">
        <w:trPr>
          <w:jc w:val="center"/>
        </w:trPr>
        <w:tc>
          <w:tcPr>
            <w:tcW w:w="3467" w:type="dxa"/>
          </w:tcPr>
          <w:p w:rsidR="00242C36" w:rsidRPr="0042247C" w:rsidRDefault="00242C36" w:rsidP="00242C36">
            <w:pPr>
              <w:pBdr>
                <w:bar w:val="single" w:sz="6" w:color="808080"/>
              </w:pBdr>
              <w:spacing w:after="120"/>
              <w:rPr>
                <w:rFonts w:ascii="Calibri" w:eastAsia="Calibri" w:hAnsi="Calibri"/>
                <w:b/>
                <w:bCs/>
                <w:i/>
                <w:sz w:val="20"/>
                <w:szCs w:val="20"/>
                <w:lang w:eastAsia="en-US"/>
              </w:rPr>
            </w:pPr>
            <w:r w:rsidRPr="0042247C">
              <w:rPr>
                <w:rFonts w:ascii="Calibri" w:eastAsia="Calibri" w:hAnsi="Calibri"/>
                <w:b/>
                <w:bCs/>
                <w:i/>
                <w:sz w:val="20"/>
                <w:szCs w:val="20"/>
                <w:lang w:eastAsia="en-US"/>
              </w:rPr>
              <w:t>Typ LFA</w:t>
            </w:r>
          </w:p>
        </w:tc>
        <w:tc>
          <w:tcPr>
            <w:tcW w:w="992" w:type="dxa"/>
            <w:vAlign w:val="center"/>
          </w:tcPr>
          <w:p w:rsidR="00242C36" w:rsidRPr="0042247C" w:rsidRDefault="00242C36" w:rsidP="00242C36">
            <w:pPr>
              <w:pBdr>
                <w:bar w:val="single" w:sz="6" w:color="808080"/>
              </w:pBdr>
              <w:spacing w:after="120"/>
              <w:rPr>
                <w:rFonts w:ascii="Calibri" w:eastAsia="Calibri" w:hAnsi="Calibri"/>
                <w:b/>
                <w:bCs/>
                <w:i/>
                <w:sz w:val="20"/>
                <w:szCs w:val="20"/>
                <w:lang w:eastAsia="en-US"/>
              </w:rPr>
            </w:pPr>
            <w:r w:rsidRPr="0042247C">
              <w:rPr>
                <w:rFonts w:ascii="Calibri" w:eastAsia="Calibri" w:hAnsi="Calibri"/>
                <w:b/>
                <w:bCs/>
                <w:i/>
                <w:sz w:val="20"/>
                <w:szCs w:val="20"/>
                <w:lang w:eastAsia="en-US"/>
              </w:rPr>
              <w:t>2007</w:t>
            </w:r>
          </w:p>
        </w:tc>
        <w:tc>
          <w:tcPr>
            <w:tcW w:w="921" w:type="dxa"/>
            <w:vAlign w:val="center"/>
          </w:tcPr>
          <w:p w:rsidR="00242C36" w:rsidRPr="0042247C" w:rsidRDefault="00242C36" w:rsidP="00242C36">
            <w:pPr>
              <w:pBdr>
                <w:bar w:val="single" w:sz="6" w:color="808080"/>
              </w:pBdr>
              <w:spacing w:after="120"/>
              <w:rPr>
                <w:rFonts w:ascii="Calibri" w:eastAsia="Calibri" w:hAnsi="Calibri"/>
                <w:b/>
                <w:bCs/>
                <w:i/>
                <w:sz w:val="20"/>
                <w:szCs w:val="20"/>
                <w:lang w:eastAsia="en-US"/>
              </w:rPr>
            </w:pPr>
            <w:r w:rsidRPr="0042247C">
              <w:rPr>
                <w:rFonts w:ascii="Calibri" w:eastAsia="Calibri" w:hAnsi="Calibri"/>
                <w:b/>
                <w:bCs/>
                <w:i/>
                <w:sz w:val="20"/>
                <w:szCs w:val="20"/>
                <w:lang w:eastAsia="en-US"/>
              </w:rPr>
              <w:t>2008</w:t>
            </w:r>
          </w:p>
        </w:tc>
        <w:tc>
          <w:tcPr>
            <w:tcW w:w="918" w:type="dxa"/>
            <w:vAlign w:val="center"/>
          </w:tcPr>
          <w:p w:rsidR="00242C36" w:rsidRPr="0042247C" w:rsidRDefault="00242C36" w:rsidP="00242C36">
            <w:pPr>
              <w:pBdr>
                <w:bar w:val="single" w:sz="6" w:color="808080"/>
              </w:pBdr>
              <w:spacing w:after="120"/>
              <w:rPr>
                <w:rFonts w:ascii="Calibri" w:eastAsia="Calibri" w:hAnsi="Calibri"/>
                <w:b/>
                <w:bCs/>
                <w:i/>
                <w:sz w:val="20"/>
                <w:szCs w:val="20"/>
                <w:lang w:eastAsia="en-US"/>
              </w:rPr>
            </w:pPr>
            <w:r w:rsidRPr="0042247C">
              <w:rPr>
                <w:rFonts w:ascii="Calibri" w:eastAsia="Calibri" w:hAnsi="Calibri"/>
                <w:b/>
                <w:bCs/>
                <w:i/>
                <w:sz w:val="20"/>
                <w:szCs w:val="20"/>
                <w:lang w:eastAsia="en-US"/>
              </w:rPr>
              <w:t>2009</w:t>
            </w:r>
          </w:p>
        </w:tc>
        <w:tc>
          <w:tcPr>
            <w:tcW w:w="916" w:type="dxa"/>
          </w:tcPr>
          <w:p w:rsidR="00242C36" w:rsidRPr="0042247C" w:rsidRDefault="00242C36" w:rsidP="00242C36">
            <w:pPr>
              <w:pBdr>
                <w:bar w:val="single" w:sz="6" w:color="808080"/>
              </w:pBdr>
              <w:spacing w:after="120"/>
              <w:rPr>
                <w:rFonts w:ascii="Calibri" w:eastAsia="Calibri" w:hAnsi="Calibri"/>
                <w:b/>
                <w:bCs/>
                <w:i/>
                <w:sz w:val="20"/>
                <w:szCs w:val="20"/>
                <w:lang w:eastAsia="en-US"/>
              </w:rPr>
            </w:pPr>
            <w:r w:rsidRPr="0042247C">
              <w:rPr>
                <w:rFonts w:ascii="Calibri" w:eastAsia="Calibri" w:hAnsi="Calibri"/>
                <w:b/>
                <w:bCs/>
                <w:i/>
                <w:sz w:val="20"/>
                <w:szCs w:val="20"/>
                <w:lang w:eastAsia="en-US"/>
              </w:rPr>
              <w:t>2010</w:t>
            </w:r>
          </w:p>
        </w:tc>
        <w:tc>
          <w:tcPr>
            <w:tcW w:w="919" w:type="dxa"/>
          </w:tcPr>
          <w:p w:rsidR="00242C36" w:rsidRPr="0042247C" w:rsidRDefault="00242C36" w:rsidP="00242C36">
            <w:pPr>
              <w:pBdr>
                <w:bar w:val="single" w:sz="6" w:color="808080"/>
              </w:pBdr>
              <w:spacing w:after="120"/>
              <w:rPr>
                <w:rFonts w:ascii="Calibri" w:eastAsia="Calibri" w:hAnsi="Calibri"/>
                <w:b/>
                <w:bCs/>
                <w:i/>
                <w:sz w:val="20"/>
                <w:szCs w:val="20"/>
                <w:lang w:eastAsia="en-US"/>
              </w:rPr>
            </w:pPr>
            <w:r w:rsidRPr="0042247C">
              <w:rPr>
                <w:rFonts w:ascii="Calibri" w:eastAsia="Calibri" w:hAnsi="Calibri"/>
                <w:b/>
                <w:bCs/>
                <w:i/>
                <w:sz w:val="20"/>
                <w:szCs w:val="20"/>
                <w:lang w:eastAsia="en-US"/>
              </w:rPr>
              <w:t>2011</w:t>
            </w:r>
          </w:p>
        </w:tc>
        <w:tc>
          <w:tcPr>
            <w:tcW w:w="879" w:type="dxa"/>
          </w:tcPr>
          <w:p w:rsidR="00242C36" w:rsidRPr="0042247C" w:rsidRDefault="00242C36" w:rsidP="00242C36">
            <w:pPr>
              <w:pBdr>
                <w:bar w:val="single" w:sz="6" w:color="808080"/>
              </w:pBdr>
              <w:spacing w:after="120"/>
              <w:rPr>
                <w:rFonts w:ascii="Calibri" w:eastAsia="Calibri" w:hAnsi="Calibri"/>
                <w:b/>
                <w:bCs/>
                <w:i/>
                <w:sz w:val="20"/>
                <w:szCs w:val="20"/>
                <w:lang w:eastAsia="en-US"/>
              </w:rPr>
            </w:pPr>
            <w:r w:rsidRPr="0042247C">
              <w:rPr>
                <w:rFonts w:ascii="Calibri" w:eastAsia="Calibri" w:hAnsi="Calibri"/>
                <w:b/>
                <w:bCs/>
                <w:i/>
                <w:sz w:val="20"/>
                <w:szCs w:val="20"/>
                <w:lang w:eastAsia="en-US"/>
              </w:rPr>
              <w:t xml:space="preserve">2012 </w:t>
            </w:r>
          </w:p>
        </w:tc>
      </w:tr>
      <w:tr w:rsidR="00242C36" w:rsidRPr="0042247C" w:rsidTr="00242C36">
        <w:trPr>
          <w:jc w:val="center"/>
        </w:trPr>
        <w:tc>
          <w:tcPr>
            <w:tcW w:w="3467" w:type="dxa"/>
          </w:tcPr>
          <w:p w:rsidR="00242C36" w:rsidRPr="0042247C" w:rsidRDefault="00242C36" w:rsidP="00242C36">
            <w:pPr>
              <w:pBdr>
                <w:bar w:val="single" w:sz="6" w:color="808080"/>
              </w:pBdr>
              <w:spacing w:after="120"/>
              <w:rPr>
                <w:rFonts w:ascii="Calibri" w:eastAsia="Calibri" w:hAnsi="Calibri"/>
                <w:b/>
                <w:bCs/>
                <w:sz w:val="20"/>
                <w:szCs w:val="20"/>
                <w:lang w:eastAsia="en-US"/>
              </w:rPr>
            </w:pPr>
            <w:r w:rsidRPr="0042247C">
              <w:rPr>
                <w:rFonts w:ascii="Calibri" w:eastAsia="Calibri" w:hAnsi="Calibri"/>
                <w:b/>
                <w:bCs/>
                <w:sz w:val="20"/>
                <w:szCs w:val="20"/>
                <w:lang w:eastAsia="en-US"/>
              </w:rPr>
              <w:t>Horské oblasti</w:t>
            </w:r>
          </w:p>
        </w:tc>
        <w:tc>
          <w:tcPr>
            <w:tcW w:w="992" w:type="dxa"/>
            <w:vAlign w:val="center"/>
          </w:tcPr>
          <w:p w:rsidR="00242C36" w:rsidRPr="0042247C" w:rsidRDefault="00242C36" w:rsidP="00242C36">
            <w:pPr>
              <w:pBdr>
                <w:bar w:val="single" w:sz="6" w:color="808080"/>
              </w:pBdr>
              <w:spacing w:after="120"/>
              <w:rPr>
                <w:rFonts w:ascii="Calibri" w:eastAsia="Calibri" w:hAnsi="Calibri"/>
                <w:sz w:val="20"/>
                <w:szCs w:val="20"/>
                <w:lang w:eastAsia="en-US"/>
              </w:rPr>
            </w:pPr>
            <w:r w:rsidRPr="0042247C">
              <w:rPr>
                <w:rFonts w:ascii="Calibri" w:eastAsia="Calibri" w:hAnsi="Calibri"/>
                <w:sz w:val="20"/>
                <w:szCs w:val="20"/>
                <w:lang w:eastAsia="en-US"/>
              </w:rPr>
              <w:t>514</w:t>
            </w:r>
          </w:p>
        </w:tc>
        <w:tc>
          <w:tcPr>
            <w:tcW w:w="921" w:type="dxa"/>
            <w:vAlign w:val="center"/>
          </w:tcPr>
          <w:p w:rsidR="00242C36" w:rsidRPr="0042247C" w:rsidRDefault="00242C36" w:rsidP="00242C36">
            <w:pPr>
              <w:pBdr>
                <w:bar w:val="single" w:sz="6" w:color="808080"/>
              </w:pBdr>
              <w:spacing w:after="120"/>
              <w:rPr>
                <w:rFonts w:ascii="Calibri" w:eastAsia="Calibri" w:hAnsi="Calibri"/>
                <w:sz w:val="20"/>
                <w:szCs w:val="20"/>
                <w:lang w:eastAsia="en-US"/>
              </w:rPr>
            </w:pPr>
            <w:r w:rsidRPr="0042247C">
              <w:rPr>
                <w:rFonts w:ascii="Calibri" w:eastAsia="Calibri" w:hAnsi="Calibri"/>
                <w:sz w:val="20"/>
                <w:szCs w:val="20"/>
                <w:lang w:eastAsia="en-US"/>
              </w:rPr>
              <w:t>549</w:t>
            </w:r>
          </w:p>
        </w:tc>
        <w:tc>
          <w:tcPr>
            <w:tcW w:w="918" w:type="dxa"/>
            <w:vAlign w:val="center"/>
          </w:tcPr>
          <w:p w:rsidR="00242C36" w:rsidRPr="0042247C" w:rsidRDefault="00242C36" w:rsidP="00242C36">
            <w:pPr>
              <w:pBdr>
                <w:bar w:val="single" w:sz="6" w:color="808080"/>
              </w:pBdr>
              <w:spacing w:after="120"/>
              <w:rPr>
                <w:rFonts w:ascii="Calibri" w:eastAsia="Calibri" w:hAnsi="Calibri"/>
                <w:sz w:val="20"/>
                <w:szCs w:val="20"/>
                <w:lang w:eastAsia="en-US"/>
              </w:rPr>
            </w:pPr>
            <w:r w:rsidRPr="0042247C">
              <w:rPr>
                <w:rFonts w:ascii="Calibri" w:eastAsia="Calibri" w:hAnsi="Calibri"/>
                <w:sz w:val="20"/>
                <w:szCs w:val="20"/>
                <w:lang w:eastAsia="en-US"/>
              </w:rPr>
              <w:t>546</w:t>
            </w:r>
          </w:p>
        </w:tc>
        <w:tc>
          <w:tcPr>
            <w:tcW w:w="916" w:type="dxa"/>
            <w:vAlign w:val="center"/>
          </w:tcPr>
          <w:p w:rsidR="00242C36" w:rsidRPr="0042247C" w:rsidRDefault="00242C36" w:rsidP="00242C36">
            <w:pPr>
              <w:pBdr>
                <w:bar w:val="single" w:sz="6" w:color="808080"/>
              </w:pBdr>
              <w:spacing w:after="120"/>
              <w:rPr>
                <w:rFonts w:ascii="Calibri" w:eastAsia="Calibri" w:hAnsi="Calibri"/>
                <w:sz w:val="20"/>
                <w:szCs w:val="20"/>
                <w:lang w:eastAsia="en-US"/>
              </w:rPr>
            </w:pPr>
            <w:r w:rsidRPr="0042247C">
              <w:rPr>
                <w:rFonts w:ascii="Calibri" w:eastAsia="Calibri" w:hAnsi="Calibri"/>
                <w:sz w:val="20"/>
                <w:szCs w:val="20"/>
                <w:lang w:eastAsia="en-US"/>
              </w:rPr>
              <w:t>575</w:t>
            </w:r>
          </w:p>
        </w:tc>
        <w:tc>
          <w:tcPr>
            <w:tcW w:w="919" w:type="dxa"/>
            <w:vAlign w:val="center"/>
          </w:tcPr>
          <w:p w:rsidR="00242C36" w:rsidRPr="0042247C" w:rsidRDefault="00242C36" w:rsidP="00242C36">
            <w:pPr>
              <w:pBdr>
                <w:bar w:val="single" w:sz="6" w:color="808080"/>
              </w:pBdr>
              <w:spacing w:after="120"/>
              <w:rPr>
                <w:rFonts w:ascii="Calibri" w:eastAsia="Calibri" w:hAnsi="Calibri"/>
                <w:sz w:val="20"/>
                <w:szCs w:val="20"/>
                <w:lang w:eastAsia="en-US"/>
              </w:rPr>
            </w:pPr>
            <w:r w:rsidRPr="0042247C">
              <w:rPr>
                <w:rFonts w:ascii="Calibri" w:eastAsia="Calibri" w:hAnsi="Calibri"/>
                <w:sz w:val="20"/>
                <w:szCs w:val="20"/>
                <w:lang w:eastAsia="en-US"/>
              </w:rPr>
              <w:t>616</w:t>
            </w:r>
          </w:p>
        </w:tc>
        <w:tc>
          <w:tcPr>
            <w:tcW w:w="879" w:type="dxa"/>
            <w:vAlign w:val="center"/>
          </w:tcPr>
          <w:p w:rsidR="00242C36" w:rsidRPr="0042247C" w:rsidRDefault="00242C36" w:rsidP="00242C36">
            <w:pPr>
              <w:pBdr>
                <w:bar w:val="single" w:sz="6" w:color="808080"/>
              </w:pBdr>
              <w:spacing w:after="120"/>
              <w:rPr>
                <w:rFonts w:ascii="Calibri" w:eastAsia="Calibri" w:hAnsi="Calibri"/>
                <w:sz w:val="20"/>
                <w:szCs w:val="20"/>
                <w:lang w:eastAsia="en-US"/>
              </w:rPr>
            </w:pPr>
            <w:r w:rsidRPr="0042247C">
              <w:rPr>
                <w:rFonts w:ascii="Calibri" w:eastAsia="Calibri" w:hAnsi="Calibri"/>
                <w:sz w:val="20"/>
                <w:szCs w:val="20"/>
                <w:lang w:eastAsia="en-US"/>
              </w:rPr>
              <w:t>635</w:t>
            </w:r>
          </w:p>
        </w:tc>
      </w:tr>
      <w:tr w:rsidR="00242C36" w:rsidRPr="0042247C" w:rsidTr="00242C36">
        <w:trPr>
          <w:jc w:val="center"/>
        </w:trPr>
        <w:tc>
          <w:tcPr>
            <w:tcW w:w="3467" w:type="dxa"/>
          </w:tcPr>
          <w:p w:rsidR="00242C36" w:rsidRPr="0042247C" w:rsidRDefault="00242C36" w:rsidP="00242C36">
            <w:pPr>
              <w:pBdr>
                <w:bar w:val="single" w:sz="6" w:color="808080"/>
              </w:pBdr>
              <w:spacing w:after="120"/>
              <w:rPr>
                <w:rFonts w:ascii="Calibri" w:eastAsia="Calibri" w:hAnsi="Calibri"/>
                <w:b/>
                <w:bCs/>
                <w:sz w:val="20"/>
                <w:szCs w:val="20"/>
                <w:lang w:eastAsia="en-US"/>
              </w:rPr>
            </w:pPr>
            <w:r w:rsidRPr="0042247C">
              <w:rPr>
                <w:rFonts w:ascii="Calibri" w:eastAsia="Calibri" w:hAnsi="Calibri"/>
                <w:b/>
                <w:bCs/>
                <w:sz w:val="20"/>
                <w:szCs w:val="20"/>
                <w:lang w:eastAsia="en-US"/>
              </w:rPr>
              <w:t>Ostatné znevýhodnené oblasti</w:t>
            </w:r>
          </w:p>
        </w:tc>
        <w:tc>
          <w:tcPr>
            <w:tcW w:w="992" w:type="dxa"/>
            <w:vAlign w:val="center"/>
          </w:tcPr>
          <w:p w:rsidR="00242C36" w:rsidRPr="0042247C" w:rsidRDefault="00242C36" w:rsidP="00242C36">
            <w:pPr>
              <w:pBdr>
                <w:bar w:val="single" w:sz="6" w:color="808080"/>
              </w:pBdr>
              <w:spacing w:after="120"/>
              <w:rPr>
                <w:rFonts w:ascii="Calibri" w:eastAsia="Calibri" w:hAnsi="Calibri"/>
                <w:sz w:val="20"/>
                <w:szCs w:val="20"/>
                <w:lang w:eastAsia="en-US"/>
              </w:rPr>
            </w:pPr>
            <w:r w:rsidRPr="0042247C">
              <w:rPr>
                <w:rFonts w:ascii="Calibri" w:eastAsia="Calibri" w:hAnsi="Calibri"/>
                <w:sz w:val="20"/>
                <w:szCs w:val="20"/>
                <w:lang w:eastAsia="en-US"/>
              </w:rPr>
              <w:t>503</w:t>
            </w:r>
          </w:p>
        </w:tc>
        <w:tc>
          <w:tcPr>
            <w:tcW w:w="921" w:type="dxa"/>
            <w:vAlign w:val="center"/>
          </w:tcPr>
          <w:p w:rsidR="00242C36" w:rsidRPr="0042247C" w:rsidRDefault="00242C36" w:rsidP="00242C36">
            <w:pPr>
              <w:pBdr>
                <w:bar w:val="single" w:sz="6" w:color="808080"/>
              </w:pBdr>
              <w:spacing w:after="120"/>
              <w:rPr>
                <w:rFonts w:ascii="Calibri" w:eastAsia="Calibri" w:hAnsi="Calibri"/>
                <w:sz w:val="20"/>
                <w:szCs w:val="20"/>
                <w:lang w:eastAsia="en-US"/>
              </w:rPr>
            </w:pPr>
            <w:r w:rsidRPr="0042247C">
              <w:rPr>
                <w:rFonts w:ascii="Calibri" w:eastAsia="Calibri" w:hAnsi="Calibri"/>
                <w:sz w:val="20"/>
                <w:szCs w:val="20"/>
                <w:lang w:eastAsia="en-US"/>
              </w:rPr>
              <w:t>564</w:t>
            </w:r>
          </w:p>
        </w:tc>
        <w:tc>
          <w:tcPr>
            <w:tcW w:w="918" w:type="dxa"/>
            <w:vAlign w:val="center"/>
          </w:tcPr>
          <w:p w:rsidR="00242C36" w:rsidRPr="0042247C" w:rsidRDefault="00242C36" w:rsidP="00242C36">
            <w:pPr>
              <w:pBdr>
                <w:bar w:val="single" w:sz="6" w:color="808080"/>
              </w:pBdr>
              <w:spacing w:after="120"/>
              <w:rPr>
                <w:rFonts w:ascii="Calibri" w:eastAsia="Calibri" w:hAnsi="Calibri"/>
                <w:sz w:val="20"/>
                <w:szCs w:val="20"/>
                <w:lang w:eastAsia="en-US"/>
              </w:rPr>
            </w:pPr>
            <w:r w:rsidRPr="0042247C">
              <w:rPr>
                <w:rFonts w:ascii="Calibri" w:eastAsia="Calibri" w:hAnsi="Calibri"/>
                <w:sz w:val="20"/>
                <w:szCs w:val="20"/>
                <w:lang w:eastAsia="en-US"/>
              </w:rPr>
              <w:t>545</w:t>
            </w:r>
          </w:p>
        </w:tc>
        <w:tc>
          <w:tcPr>
            <w:tcW w:w="916" w:type="dxa"/>
            <w:vAlign w:val="center"/>
          </w:tcPr>
          <w:p w:rsidR="00242C36" w:rsidRPr="0042247C" w:rsidRDefault="00242C36" w:rsidP="00242C36">
            <w:pPr>
              <w:pBdr>
                <w:bar w:val="single" w:sz="6" w:color="808080"/>
              </w:pBdr>
              <w:spacing w:after="120"/>
              <w:rPr>
                <w:rFonts w:ascii="Calibri" w:eastAsia="Calibri" w:hAnsi="Calibri"/>
                <w:sz w:val="20"/>
                <w:szCs w:val="20"/>
                <w:lang w:eastAsia="en-US"/>
              </w:rPr>
            </w:pPr>
            <w:r w:rsidRPr="0042247C">
              <w:rPr>
                <w:rFonts w:ascii="Calibri" w:eastAsia="Calibri" w:hAnsi="Calibri"/>
                <w:sz w:val="20"/>
                <w:szCs w:val="20"/>
                <w:lang w:eastAsia="en-US"/>
              </w:rPr>
              <w:t>591</w:t>
            </w:r>
          </w:p>
        </w:tc>
        <w:tc>
          <w:tcPr>
            <w:tcW w:w="919" w:type="dxa"/>
            <w:vAlign w:val="center"/>
          </w:tcPr>
          <w:p w:rsidR="00242C36" w:rsidRPr="0042247C" w:rsidRDefault="00242C36" w:rsidP="00242C36">
            <w:pPr>
              <w:pBdr>
                <w:bar w:val="single" w:sz="6" w:color="808080"/>
              </w:pBdr>
              <w:spacing w:after="120"/>
              <w:rPr>
                <w:rFonts w:ascii="Calibri" w:eastAsia="Calibri" w:hAnsi="Calibri"/>
                <w:sz w:val="20"/>
                <w:szCs w:val="20"/>
                <w:lang w:eastAsia="en-US"/>
              </w:rPr>
            </w:pPr>
            <w:r w:rsidRPr="0042247C">
              <w:rPr>
                <w:rFonts w:ascii="Calibri" w:eastAsia="Calibri" w:hAnsi="Calibri"/>
                <w:sz w:val="20"/>
                <w:szCs w:val="20"/>
                <w:lang w:eastAsia="en-US"/>
              </w:rPr>
              <w:t>627</w:t>
            </w:r>
          </w:p>
        </w:tc>
        <w:tc>
          <w:tcPr>
            <w:tcW w:w="879" w:type="dxa"/>
            <w:vAlign w:val="center"/>
          </w:tcPr>
          <w:p w:rsidR="00242C36" w:rsidRPr="0042247C" w:rsidRDefault="00242C36" w:rsidP="00242C36">
            <w:pPr>
              <w:pBdr>
                <w:bar w:val="single" w:sz="6" w:color="808080"/>
              </w:pBdr>
              <w:spacing w:after="120"/>
              <w:rPr>
                <w:rFonts w:ascii="Calibri" w:eastAsia="Calibri" w:hAnsi="Calibri"/>
                <w:sz w:val="20"/>
                <w:szCs w:val="20"/>
                <w:lang w:eastAsia="en-US"/>
              </w:rPr>
            </w:pPr>
            <w:r w:rsidRPr="0042247C">
              <w:rPr>
                <w:rFonts w:ascii="Calibri" w:eastAsia="Calibri" w:hAnsi="Calibri"/>
                <w:sz w:val="20"/>
                <w:szCs w:val="20"/>
                <w:lang w:eastAsia="en-US"/>
              </w:rPr>
              <w:t>668</w:t>
            </w:r>
          </w:p>
        </w:tc>
      </w:tr>
      <w:tr w:rsidR="00242C36" w:rsidRPr="0042247C" w:rsidTr="00242C36">
        <w:trPr>
          <w:jc w:val="center"/>
        </w:trPr>
        <w:tc>
          <w:tcPr>
            <w:tcW w:w="3467" w:type="dxa"/>
          </w:tcPr>
          <w:p w:rsidR="00242C36" w:rsidRPr="0042247C" w:rsidRDefault="00242C36" w:rsidP="00242C36">
            <w:pPr>
              <w:pBdr>
                <w:bar w:val="single" w:sz="6" w:color="808080"/>
              </w:pBdr>
              <w:rPr>
                <w:rFonts w:ascii="Calibri" w:eastAsia="Calibri" w:hAnsi="Calibri"/>
                <w:b/>
                <w:bCs/>
                <w:sz w:val="20"/>
                <w:szCs w:val="20"/>
                <w:lang w:eastAsia="en-US"/>
              </w:rPr>
            </w:pPr>
            <w:r w:rsidRPr="0042247C">
              <w:rPr>
                <w:rFonts w:ascii="Calibri" w:eastAsia="Calibri" w:hAnsi="Calibri"/>
                <w:b/>
                <w:bCs/>
                <w:sz w:val="20"/>
                <w:szCs w:val="20"/>
                <w:lang w:eastAsia="en-US"/>
              </w:rPr>
              <w:t>Oblasti so špecifickými</w:t>
            </w:r>
          </w:p>
          <w:p w:rsidR="00242C36" w:rsidRPr="0042247C" w:rsidRDefault="00242C36" w:rsidP="00242C36">
            <w:pPr>
              <w:pBdr>
                <w:bar w:val="single" w:sz="6" w:color="808080"/>
              </w:pBdr>
              <w:rPr>
                <w:rFonts w:ascii="Calibri" w:eastAsia="Calibri" w:hAnsi="Calibri"/>
                <w:b/>
                <w:bCs/>
                <w:sz w:val="20"/>
                <w:szCs w:val="20"/>
                <w:lang w:eastAsia="en-US"/>
              </w:rPr>
            </w:pPr>
            <w:r w:rsidRPr="0042247C">
              <w:rPr>
                <w:rFonts w:ascii="Calibri" w:eastAsia="Calibri" w:hAnsi="Calibri"/>
                <w:b/>
                <w:bCs/>
                <w:sz w:val="20"/>
                <w:szCs w:val="20"/>
                <w:lang w:eastAsia="en-US"/>
              </w:rPr>
              <w:t>nevýhodami</w:t>
            </w:r>
          </w:p>
        </w:tc>
        <w:tc>
          <w:tcPr>
            <w:tcW w:w="992" w:type="dxa"/>
            <w:vAlign w:val="center"/>
          </w:tcPr>
          <w:p w:rsidR="00242C36" w:rsidRPr="0042247C" w:rsidRDefault="00242C36" w:rsidP="00242C36">
            <w:pPr>
              <w:pBdr>
                <w:bar w:val="single" w:sz="6" w:color="808080"/>
              </w:pBdr>
              <w:spacing w:after="120"/>
              <w:rPr>
                <w:rFonts w:ascii="Calibri" w:eastAsia="Calibri" w:hAnsi="Calibri"/>
                <w:sz w:val="20"/>
                <w:szCs w:val="20"/>
                <w:lang w:eastAsia="en-US"/>
              </w:rPr>
            </w:pPr>
            <w:r w:rsidRPr="0042247C">
              <w:rPr>
                <w:rFonts w:ascii="Calibri" w:eastAsia="Calibri" w:hAnsi="Calibri"/>
                <w:sz w:val="20"/>
                <w:szCs w:val="20"/>
                <w:lang w:eastAsia="en-US"/>
              </w:rPr>
              <w:t>530</w:t>
            </w:r>
          </w:p>
        </w:tc>
        <w:tc>
          <w:tcPr>
            <w:tcW w:w="921" w:type="dxa"/>
            <w:vAlign w:val="center"/>
          </w:tcPr>
          <w:p w:rsidR="00242C36" w:rsidRPr="0042247C" w:rsidRDefault="00242C36" w:rsidP="00242C36">
            <w:pPr>
              <w:pBdr>
                <w:bar w:val="single" w:sz="6" w:color="808080"/>
              </w:pBdr>
              <w:spacing w:after="120"/>
              <w:rPr>
                <w:rFonts w:ascii="Calibri" w:eastAsia="Calibri" w:hAnsi="Calibri"/>
                <w:sz w:val="20"/>
                <w:szCs w:val="20"/>
                <w:lang w:eastAsia="en-US"/>
              </w:rPr>
            </w:pPr>
            <w:r w:rsidRPr="0042247C">
              <w:rPr>
                <w:rFonts w:ascii="Calibri" w:eastAsia="Calibri" w:hAnsi="Calibri"/>
                <w:sz w:val="20"/>
                <w:szCs w:val="20"/>
                <w:lang w:eastAsia="en-US"/>
              </w:rPr>
              <w:t>562</w:t>
            </w:r>
          </w:p>
        </w:tc>
        <w:tc>
          <w:tcPr>
            <w:tcW w:w="918" w:type="dxa"/>
            <w:vAlign w:val="center"/>
          </w:tcPr>
          <w:p w:rsidR="00242C36" w:rsidRPr="0042247C" w:rsidRDefault="00242C36" w:rsidP="00242C36">
            <w:pPr>
              <w:pBdr>
                <w:bar w:val="single" w:sz="6" w:color="808080"/>
              </w:pBdr>
              <w:spacing w:after="120"/>
              <w:rPr>
                <w:rFonts w:ascii="Calibri" w:eastAsia="Calibri" w:hAnsi="Calibri"/>
                <w:sz w:val="20"/>
                <w:szCs w:val="20"/>
                <w:lang w:eastAsia="en-US"/>
              </w:rPr>
            </w:pPr>
            <w:r w:rsidRPr="0042247C">
              <w:rPr>
                <w:rFonts w:ascii="Calibri" w:eastAsia="Calibri" w:hAnsi="Calibri"/>
                <w:sz w:val="20"/>
                <w:szCs w:val="20"/>
                <w:lang w:eastAsia="en-US"/>
              </w:rPr>
              <w:t>577</w:t>
            </w:r>
          </w:p>
        </w:tc>
        <w:tc>
          <w:tcPr>
            <w:tcW w:w="916" w:type="dxa"/>
            <w:vAlign w:val="center"/>
          </w:tcPr>
          <w:p w:rsidR="00242C36" w:rsidRPr="0042247C" w:rsidRDefault="00242C36" w:rsidP="00242C36">
            <w:pPr>
              <w:pBdr>
                <w:bar w:val="single" w:sz="6" w:color="808080"/>
              </w:pBdr>
              <w:spacing w:after="120"/>
              <w:rPr>
                <w:rFonts w:ascii="Calibri" w:eastAsia="Calibri" w:hAnsi="Calibri"/>
                <w:sz w:val="20"/>
                <w:szCs w:val="20"/>
                <w:lang w:eastAsia="en-US"/>
              </w:rPr>
            </w:pPr>
            <w:r w:rsidRPr="0042247C">
              <w:rPr>
                <w:rFonts w:ascii="Calibri" w:eastAsia="Calibri" w:hAnsi="Calibri"/>
                <w:sz w:val="20"/>
                <w:szCs w:val="20"/>
                <w:lang w:eastAsia="en-US"/>
              </w:rPr>
              <w:t>599</w:t>
            </w:r>
          </w:p>
        </w:tc>
        <w:tc>
          <w:tcPr>
            <w:tcW w:w="919" w:type="dxa"/>
            <w:vAlign w:val="center"/>
          </w:tcPr>
          <w:p w:rsidR="00242C36" w:rsidRPr="0042247C" w:rsidRDefault="00242C36" w:rsidP="00242C36">
            <w:pPr>
              <w:pBdr>
                <w:bar w:val="single" w:sz="6" w:color="808080"/>
              </w:pBdr>
              <w:spacing w:after="120"/>
              <w:rPr>
                <w:rFonts w:ascii="Calibri" w:eastAsia="Calibri" w:hAnsi="Calibri"/>
                <w:sz w:val="20"/>
                <w:szCs w:val="20"/>
                <w:lang w:eastAsia="en-US"/>
              </w:rPr>
            </w:pPr>
            <w:r w:rsidRPr="0042247C">
              <w:rPr>
                <w:rFonts w:ascii="Calibri" w:eastAsia="Calibri" w:hAnsi="Calibri"/>
                <w:sz w:val="20"/>
                <w:szCs w:val="20"/>
                <w:lang w:eastAsia="en-US"/>
              </w:rPr>
              <w:t>652</w:t>
            </w:r>
          </w:p>
        </w:tc>
        <w:tc>
          <w:tcPr>
            <w:tcW w:w="879" w:type="dxa"/>
            <w:vAlign w:val="center"/>
          </w:tcPr>
          <w:p w:rsidR="00242C36" w:rsidRPr="0042247C" w:rsidRDefault="00242C36" w:rsidP="00242C36">
            <w:pPr>
              <w:pBdr>
                <w:bar w:val="single" w:sz="6" w:color="808080"/>
              </w:pBdr>
              <w:spacing w:after="120"/>
              <w:rPr>
                <w:rFonts w:ascii="Calibri" w:eastAsia="Calibri" w:hAnsi="Calibri"/>
                <w:sz w:val="20"/>
                <w:szCs w:val="20"/>
                <w:lang w:eastAsia="en-US"/>
              </w:rPr>
            </w:pPr>
            <w:r w:rsidRPr="0042247C">
              <w:rPr>
                <w:rFonts w:ascii="Calibri" w:eastAsia="Calibri" w:hAnsi="Calibri"/>
                <w:sz w:val="20"/>
                <w:szCs w:val="20"/>
                <w:lang w:eastAsia="en-US"/>
              </w:rPr>
              <w:t>688</w:t>
            </w:r>
          </w:p>
        </w:tc>
      </w:tr>
      <w:tr w:rsidR="00242C36" w:rsidRPr="0042247C" w:rsidTr="00242C36">
        <w:trPr>
          <w:jc w:val="center"/>
        </w:trPr>
        <w:tc>
          <w:tcPr>
            <w:tcW w:w="3467" w:type="dxa"/>
          </w:tcPr>
          <w:p w:rsidR="00242C36" w:rsidRPr="0042247C" w:rsidRDefault="00242C36" w:rsidP="00242C36">
            <w:pPr>
              <w:pBdr>
                <w:bar w:val="single" w:sz="6" w:color="808080"/>
              </w:pBdr>
              <w:spacing w:after="120"/>
              <w:rPr>
                <w:rFonts w:ascii="Calibri" w:eastAsia="Calibri" w:hAnsi="Calibri"/>
                <w:b/>
                <w:bCs/>
                <w:sz w:val="20"/>
                <w:szCs w:val="20"/>
                <w:lang w:eastAsia="en-US"/>
              </w:rPr>
            </w:pPr>
            <w:r w:rsidRPr="0042247C">
              <w:rPr>
                <w:rFonts w:ascii="Calibri" w:eastAsia="Calibri" w:hAnsi="Calibri"/>
                <w:b/>
                <w:bCs/>
                <w:sz w:val="20"/>
                <w:szCs w:val="20"/>
                <w:lang w:eastAsia="en-US"/>
              </w:rPr>
              <w:t>Produkčné oblasti</w:t>
            </w:r>
          </w:p>
        </w:tc>
        <w:tc>
          <w:tcPr>
            <w:tcW w:w="992" w:type="dxa"/>
            <w:vAlign w:val="center"/>
          </w:tcPr>
          <w:p w:rsidR="00242C36" w:rsidRPr="0042247C" w:rsidRDefault="00242C36" w:rsidP="00242C36">
            <w:pPr>
              <w:pBdr>
                <w:bar w:val="single" w:sz="6" w:color="808080"/>
              </w:pBdr>
              <w:spacing w:after="120"/>
              <w:rPr>
                <w:rFonts w:ascii="Calibri" w:eastAsia="Calibri" w:hAnsi="Calibri"/>
                <w:sz w:val="20"/>
                <w:szCs w:val="20"/>
                <w:lang w:eastAsia="en-US"/>
              </w:rPr>
            </w:pPr>
            <w:r w:rsidRPr="0042247C">
              <w:rPr>
                <w:rFonts w:ascii="Calibri" w:eastAsia="Calibri" w:hAnsi="Calibri"/>
                <w:sz w:val="20"/>
                <w:szCs w:val="20"/>
                <w:lang w:eastAsia="en-US"/>
              </w:rPr>
              <w:t>587</w:t>
            </w:r>
          </w:p>
        </w:tc>
        <w:tc>
          <w:tcPr>
            <w:tcW w:w="921" w:type="dxa"/>
            <w:vAlign w:val="center"/>
          </w:tcPr>
          <w:p w:rsidR="00242C36" w:rsidRPr="0042247C" w:rsidRDefault="00242C36" w:rsidP="00242C36">
            <w:pPr>
              <w:pBdr>
                <w:bar w:val="single" w:sz="6" w:color="808080"/>
              </w:pBdr>
              <w:spacing w:after="120"/>
              <w:rPr>
                <w:rFonts w:ascii="Calibri" w:eastAsia="Calibri" w:hAnsi="Calibri"/>
                <w:sz w:val="20"/>
                <w:szCs w:val="20"/>
                <w:lang w:eastAsia="en-US"/>
              </w:rPr>
            </w:pPr>
            <w:r w:rsidRPr="0042247C">
              <w:rPr>
                <w:rFonts w:ascii="Calibri" w:eastAsia="Calibri" w:hAnsi="Calibri"/>
                <w:sz w:val="20"/>
                <w:szCs w:val="20"/>
                <w:lang w:eastAsia="en-US"/>
              </w:rPr>
              <w:t>640</w:t>
            </w:r>
          </w:p>
        </w:tc>
        <w:tc>
          <w:tcPr>
            <w:tcW w:w="918" w:type="dxa"/>
            <w:vAlign w:val="center"/>
          </w:tcPr>
          <w:p w:rsidR="00242C36" w:rsidRPr="0042247C" w:rsidRDefault="00242C36" w:rsidP="00242C36">
            <w:pPr>
              <w:pBdr>
                <w:bar w:val="single" w:sz="6" w:color="808080"/>
              </w:pBdr>
              <w:spacing w:after="120"/>
              <w:rPr>
                <w:rFonts w:ascii="Calibri" w:eastAsia="Calibri" w:hAnsi="Calibri"/>
                <w:sz w:val="20"/>
                <w:szCs w:val="20"/>
                <w:lang w:eastAsia="en-US"/>
              </w:rPr>
            </w:pPr>
            <w:r w:rsidRPr="0042247C">
              <w:rPr>
                <w:rFonts w:ascii="Calibri" w:eastAsia="Calibri" w:hAnsi="Calibri"/>
                <w:sz w:val="20"/>
                <w:szCs w:val="20"/>
                <w:lang w:eastAsia="en-US"/>
              </w:rPr>
              <w:t>641</w:t>
            </w:r>
          </w:p>
        </w:tc>
        <w:tc>
          <w:tcPr>
            <w:tcW w:w="916" w:type="dxa"/>
            <w:vAlign w:val="center"/>
          </w:tcPr>
          <w:p w:rsidR="00242C36" w:rsidRPr="0042247C" w:rsidRDefault="00242C36" w:rsidP="00242C36">
            <w:pPr>
              <w:pBdr>
                <w:bar w:val="single" w:sz="6" w:color="808080"/>
              </w:pBdr>
              <w:spacing w:after="120"/>
              <w:rPr>
                <w:rFonts w:ascii="Calibri" w:eastAsia="Calibri" w:hAnsi="Calibri"/>
                <w:sz w:val="20"/>
                <w:szCs w:val="20"/>
                <w:lang w:eastAsia="en-US"/>
              </w:rPr>
            </w:pPr>
            <w:r w:rsidRPr="0042247C">
              <w:rPr>
                <w:rFonts w:ascii="Calibri" w:eastAsia="Calibri" w:hAnsi="Calibri"/>
                <w:sz w:val="20"/>
                <w:szCs w:val="20"/>
                <w:lang w:eastAsia="en-US"/>
              </w:rPr>
              <w:t>667</w:t>
            </w:r>
          </w:p>
        </w:tc>
        <w:tc>
          <w:tcPr>
            <w:tcW w:w="919" w:type="dxa"/>
            <w:vAlign w:val="center"/>
          </w:tcPr>
          <w:p w:rsidR="00242C36" w:rsidRPr="0042247C" w:rsidRDefault="00242C36" w:rsidP="00242C36">
            <w:pPr>
              <w:pBdr>
                <w:bar w:val="single" w:sz="6" w:color="808080"/>
              </w:pBdr>
              <w:spacing w:after="120"/>
              <w:rPr>
                <w:rFonts w:ascii="Calibri" w:eastAsia="Calibri" w:hAnsi="Calibri"/>
                <w:sz w:val="20"/>
                <w:szCs w:val="20"/>
                <w:lang w:eastAsia="en-US"/>
              </w:rPr>
            </w:pPr>
            <w:r w:rsidRPr="0042247C">
              <w:rPr>
                <w:rFonts w:ascii="Calibri" w:eastAsia="Calibri" w:hAnsi="Calibri"/>
                <w:sz w:val="20"/>
                <w:szCs w:val="20"/>
                <w:lang w:eastAsia="en-US"/>
              </w:rPr>
              <w:t>749</w:t>
            </w:r>
          </w:p>
        </w:tc>
        <w:tc>
          <w:tcPr>
            <w:tcW w:w="879" w:type="dxa"/>
            <w:vAlign w:val="center"/>
          </w:tcPr>
          <w:p w:rsidR="00242C36" w:rsidRPr="0042247C" w:rsidRDefault="00242C36" w:rsidP="00242C36">
            <w:pPr>
              <w:pBdr>
                <w:bar w:val="single" w:sz="6" w:color="808080"/>
              </w:pBdr>
              <w:spacing w:after="120"/>
              <w:rPr>
                <w:rFonts w:ascii="Calibri" w:eastAsia="Calibri" w:hAnsi="Calibri"/>
                <w:sz w:val="20"/>
                <w:szCs w:val="20"/>
                <w:lang w:eastAsia="en-US"/>
              </w:rPr>
            </w:pPr>
            <w:r w:rsidRPr="0042247C">
              <w:rPr>
                <w:rFonts w:ascii="Calibri" w:eastAsia="Calibri" w:hAnsi="Calibri"/>
                <w:sz w:val="20"/>
                <w:szCs w:val="20"/>
                <w:lang w:eastAsia="en-US"/>
              </w:rPr>
              <w:t>768</w:t>
            </w:r>
          </w:p>
        </w:tc>
      </w:tr>
    </w:tbl>
    <w:p w:rsidR="00242C36" w:rsidRPr="00113FC3" w:rsidRDefault="00242C36" w:rsidP="00242C36">
      <w:pPr>
        <w:pBdr>
          <w:bar w:val="single" w:sz="6" w:color="808080"/>
        </w:pBdr>
        <w:spacing w:after="120"/>
        <w:rPr>
          <w:rFonts w:ascii="Calibri" w:eastAsia="Calibri" w:hAnsi="Calibri"/>
          <w:sz w:val="20"/>
          <w:szCs w:val="22"/>
          <w:lang w:eastAsia="en-US"/>
        </w:rPr>
      </w:pPr>
      <w:r w:rsidRPr="00113FC3">
        <w:rPr>
          <w:rFonts w:ascii="Calibri" w:eastAsia="Calibri" w:hAnsi="Calibri"/>
          <w:sz w:val="20"/>
          <w:szCs w:val="22"/>
          <w:lang w:eastAsia="en-US"/>
        </w:rPr>
        <w:t>Zdroj: Informačné listy CD MPRV SR, VÚEPP Bratislava</w:t>
      </w:r>
    </w:p>
    <w:p w:rsidR="00242C36" w:rsidRDefault="00242C36" w:rsidP="00242C36">
      <w:pPr>
        <w:pBdr>
          <w:bar w:val="single" w:sz="6" w:color="808080"/>
        </w:pBdr>
        <w:spacing w:after="120"/>
        <w:rPr>
          <w:rFonts w:ascii="Calibri" w:eastAsia="Calibri" w:hAnsi="Calibri"/>
          <w:szCs w:val="22"/>
          <w:lang w:eastAsia="en-US"/>
        </w:rPr>
      </w:pPr>
      <w:r w:rsidRPr="00E43137">
        <w:rPr>
          <w:rFonts w:ascii="Calibri" w:eastAsia="Calibri" w:hAnsi="Calibri"/>
          <w:szCs w:val="22"/>
          <w:lang w:eastAsia="en-US"/>
        </w:rPr>
        <w:t xml:space="preserve">Priemerné náklady na hektár poľnohospodárskej pôdy v r. 2012 v znevýhodnených </w:t>
      </w:r>
      <w:r>
        <w:rPr>
          <w:rFonts w:ascii="Calibri" w:eastAsia="Calibri" w:hAnsi="Calibri"/>
          <w:szCs w:val="22"/>
          <w:lang w:eastAsia="en-US"/>
        </w:rPr>
        <w:t xml:space="preserve">oblastiach </w:t>
      </w:r>
      <w:r w:rsidRPr="00E43137">
        <w:rPr>
          <w:rFonts w:ascii="Calibri" w:eastAsia="Calibri" w:hAnsi="Calibri"/>
          <w:szCs w:val="22"/>
          <w:lang w:eastAsia="en-US"/>
        </w:rPr>
        <w:t xml:space="preserve">dosiahli 1 327 EUR/ha, v produkčných oblastiach sa pohybovali na úrovni 2 159 EUR/ha. Tým sa úroveň nákladov v LFA znížila na 61% produkčných oblastí, keď v r. 2007 predstavovala 66% produkčných oblastí. Zníženie úrovne nákladov v znevýhodnených oblastiach v porovnaní s produkčnými oblasťami spôsobil pomalší rast nákladov v LFA (10%) ako v produkčných oblastiach (17%). </w:t>
      </w:r>
    </w:p>
    <w:p w:rsidR="00242C36" w:rsidRPr="00E43137" w:rsidRDefault="00E32F57" w:rsidP="00242C36">
      <w:pPr>
        <w:pBdr>
          <w:bar w:val="single" w:sz="6" w:color="808080"/>
        </w:pBdr>
        <w:spacing w:after="120"/>
        <w:rPr>
          <w:rFonts w:ascii="Calibri" w:eastAsia="Calibri" w:hAnsi="Calibri"/>
          <w:b/>
          <w:bCs/>
          <w:szCs w:val="22"/>
          <w:lang w:eastAsia="en-US"/>
        </w:rPr>
      </w:pPr>
      <w:r>
        <w:rPr>
          <w:rFonts w:ascii="Calibri" w:eastAsia="Calibri" w:hAnsi="Calibri"/>
          <w:b/>
          <w:bCs/>
          <w:szCs w:val="22"/>
          <w:lang w:eastAsia="en-US"/>
        </w:rPr>
        <w:t xml:space="preserve">Tabuľka 42: </w:t>
      </w:r>
      <w:r w:rsidR="00242C36" w:rsidRPr="00E43137">
        <w:rPr>
          <w:rFonts w:ascii="Calibri" w:eastAsia="Calibri" w:hAnsi="Calibri"/>
          <w:b/>
          <w:bCs/>
          <w:szCs w:val="22"/>
          <w:lang w:eastAsia="en-US"/>
        </w:rPr>
        <w:t>Vývoj nákladov v LFA (EUR/ha)</w:t>
      </w:r>
    </w:p>
    <w:tbl>
      <w:tblPr>
        <w:tblW w:w="90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28"/>
        <w:gridCol w:w="907"/>
        <w:gridCol w:w="907"/>
        <w:gridCol w:w="907"/>
        <w:gridCol w:w="907"/>
        <w:gridCol w:w="907"/>
        <w:gridCol w:w="907"/>
      </w:tblGrid>
      <w:tr w:rsidR="00242C36" w:rsidRPr="0042247C" w:rsidTr="00242C36">
        <w:trPr>
          <w:trHeight w:val="163"/>
          <w:jc w:val="center"/>
        </w:trPr>
        <w:tc>
          <w:tcPr>
            <w:tcW w:w="3628" w:type="dxa"/>
            <w:vAlign w:val="center"/>
          </w:tcPr>
          <w:p w:rsidR="00242C36" w:rsidRPr="0042247C" w:rsidRDefault="00242C36" w:rsidP="00242C36">
            <w:pPr>
              <w:pBdr>
                <w:bar w:val="single" w:sz="6" w:color="808080"/>
              </w:pBdr>
              <w:spacing w:after="120"/>
              <w:rPr>
                <w:rFonts w:ascii="Calibri" w:eastAsia="Calibri" w:hAnsi="Calibri"/>
                <w:b/>
                <w:bCs/>
                <w:i/>
                <w:sz w:val="20"/>
                <w:szCs w:val="20"/>
                <w:lang w:eastAsia="en-US"/>
              </w:rPr>
            </w:pPr>
            <w:r w:rsidRPr="0042247C">
              <w:rPr>
                <w:rFonts w:ascii="Calibri" w:eastAsia="Calibri" w:hAnsi="Calibri"/>
                <w:b/>
                <w:bCs/>
                <w:i/>
                <w:sz w:val="20"/>
                <w:szCs w:val="20"/>
                <w:lang w:eastAsia="en-US"/>
              </w:rPr>
              <w:t>Typ LFA</w:t>
            </w:r>
          </w:p>
        </w:tc>
        <w:tc>
          <w:tcPr>
            <w:tcW w:w="907" w:type="dxa"/>
          </w:tcPr>
          <w:p w:rsidR="00242C36" w:rsidRPr="0042247C" w:rsidRDefault="00242C36" w:rsidP="00242C36">
            <w:pPr>
              <w:pBdr>
                <w:bar w:val="single" w:sz="6" w:color="808080"/>
              </w:pBdr>
              <w:spacing w:after="120"/>
              <w:rPr>
                <w:rFonts w:ascii="Calibri" w:eastAsia="Calibri" w:hAnsi="Calibri"/>
                <w:b/>
                <w:bCs/>
                <w:i/>
                <w:sz w:val="20"/>
                <w:szCs w:val="20"/>
                <w:lang w:eastAsia="en-US"/>
              </w:rPr>
            </w:pPr>
            <w:r w:rsidRPr="0042247C">
              <w:rPr>
                <w:rFonts w:ascii="Calibri" w:eastAsia="Calibri" w:hAnsi="Calibri"/>
                <w:b/>
                <w:bCs/>
                <w:i/>
                <w:sz w:val="20"/>
                <w:szCs w:val="20"/>
                <w:lang w:eastAsia="en-US"/>
              </w:rPr>
              <w:t>2007</w:t>
            </w:r>
          </w:p>
        </w:tc>
        <w:tc>
          <w:tcPr>
            <w:tcW w:w="907" w:type="dxa"/>
          </w:tcPr>
          <w:p w:rsidR="00242C36" w:rsidRPr="0042247C" w:rsidRDefault="00242C36" w:rsidP="00242C36">
            <w:pPr>
              <w:pBdr>
                <w:bar w:val="single" w:sz="6" w:color="808080"/>
              </w:pBdr>
              <w:spacing w:after="120"/>
              <w:rPr>
                <w:rFonts w:ascii="Calibri" w:eastAsia="Calibri" w:hAnsi="Calibri"/>
                <w:b/>
                <w:bCs/>
                <w:i/>
                <w:sz w:val="20"/>
                <w:szCs w:val="20"/>
                <w:lang w:eastAsia="en-US"/>
              </w:rPr>
            </w:pPr>
            <w:r w:rsidRPr="0042247C">
              <w:rPr>
                <w:rFonts w:ascii="Calibri" w:eastAsia="Calibri" w:hAnsi="Calibri"/>
                <w:b/>
                <w:bCs/>
                <w:i/>
                <w:sz w:val="20"/>
                <w:szCs w:val="20"/>
                <w:lang w:eastAsia="en-US"/>
              </w:rPr>
              <w:t>2008</w:t>
            </w:r>
          </w:p>
        </w:tc>
        <w:tc>
          <w:tcPr>
            <w:tcW w:w="907" w:type="dxa"/>
          </w:tcPr>
          <w:p w:rsidR="00242C36" w:rsidRPr="0042247C" w:rsidRDefault="00242C36" w:rsidP="00242C36">
            <w:pPr>
              <w:pBdr>
                <w:bar w:val="single" w:sz="6" w:color="808080"/>
              </w:pBdr>
              <w:spacing w:after="120"/>
              <w:rPr>
                <w:rFonts w:ascii="Calibri" w:eastAsia="Calibri" w:hAnsi="Calibri"/>
                <w:b/>
                <w:bCs/>
                <w:i/>
                <w:sz w:val="20"/>
                <w:szCs w:val="20"/>
                <w:lang w:eastAsia="en-US"/>
              </w:rPr>
            </w:pPr>
            <w:r w:rsidRPr="0042247C">
              <w:rPr>
                <w:rFonts w:ascii="Calibri" w:eastAsia="Calibri" w:hAnsi="Calibri"/>
                <w:b/>
                <w:bCs/>
                <w:i/>
                <w:sz w:val="20"/>
                <w:szCs w:val="20"/>
                <w:lang w:eastAsia="en-US"/>
              </w:rPr>
              <w:t>2009</w:t>
            </w:r>
          </w:p>
        </w:tc>
        <w:tc>
          <w:tcPr>
            <w:tcW w:w="907" w:type="dxa"/>
          </w:tcPr>
          <w:p w:rsidR="00242C36" w:rsidRPr="0042247C" w:rsidRDefault="00242C36" w:rsidP="00242C36">
            <w:pPr>
              <w:pBdr>
                <w:bar w:val="single" w:sz="6" w:color="808080"/>
              </w:pBdr>
              <w:spacing w:after="120"/>
              <w:rPr>
                <w:rFonts w:ascii="Calibri" w:eastAsia="Calibri" w:hAnsi="Calibri"/>
                <w:b/>
                <w:bCs/>
                <w:i/>
                <w:sz w:val="20"/>
                <w:szCs w:val="20"/>
                <w:lang w:eastAsia="en-US"/>
              </w:rPr>
            </w:pPr>
            <w:r w:rsidRPr="0042247C">
              <w:rPr>
                <w:rFonts w:ascii="Calibri" w:eastAsia="Calibri" w:hAnsi="Calibri"/>
                <w:b/>
                <w:bCs/>
                <w:i/>
                <w:sz w:val="20"/>
                <w:szCs w:val="20"/>
                <w:lang w:eastAsia="en-US"/>
              </w:rPr>
              <w:t>2010</w:t>
            </w:r>
          </w:p>
        </w:tc>
        <w:tc>
          <w:tcPr>
            <w:tcW w:w="907" w:type="dxa"/>
          </w:tcPr>
          <w:p w:rsidR="00242C36" w:rsidRPr="0042247C" w:rsidRDefault="00242C36" w:rsidP="00242C36">
            <w:pPr>
              <w:pBdr>
                <w:bar w:val="single" w:sz="6" w:color="808080"/>
              </w:pBdr>
              <w:spacing w:after="120"/>
              <w:rPr>
                <w:rFonts w:ascii="Calibri" w:eastAsia="Calibri" w:hAnsi="Calibri"/>
                <w:b/>
                <w:bCs/>
                <w:i/>
                <w:sz w:val="20"/>
                <w:szCs w:val="20"/>
                <w:lang w:eastAsia="en-US"/>
              </w:rPr>
            </w:pPr>
            <w:r w:rsidRPr="0042247C">
              <w:rPr>
                <w:rFonts w:ascii="Calibri" w:eastAsia="Calibri" w:hAnsi="Calibri"/>
                <w:b/>
                <w:bCs/>
                <w:i/>
                <w:sz w:val="20"/>
                <w:szCs w:val="20"/>
                <w:lang w:eastAsia="en-US"/>
              </w:rPr>
              <w:t>2011</w:t>
            </w:r>
          </w:p>
        </w:tc>
        <w:tc>
          <w:tcPr>
            <w:tcW w:w="907" w:type="dxa"/>
          </w:tcPr>
          <w:p w:rsidR="00242C36" w:rsidRPr="0042247C" w:rsidRDefault="00242C36" w:rsidP="00242C36">
            <w:pPr>
              <w:pBdr>
                <w:bar w:val="single" w:sz="6" w:color="808080"/>
              </w:pBdr>
              <w:spacing w:after="120"/>
              <w:rPr>
                <w:rFonts w:ascii="Calibri" w:eastAsia="Calibri" w:hAnsi="Calibri"/>
                <w:b/>
                <w:bCs/>
                <w:i/>
                <w:sz w:val="20"/>
                <w:szCs w:val="20"/>
                <w:lang w:eastAsia="en-US"/>
              </w:rPr>
            </w:pPr>
            <w:r w:rsidRPr="0042247C">
              <w:rPr>
                <w:rFonts w:ascii="Calibri" w:eastAsia="Calibri" w:hAnsi="Calibri"/>
                <w:b/>
                <w:bCs/>
                <w:i/>
                <w:sz w:val="20"/>
                <w:szCs w:val="20"/>
                <w:lang w:eastAsia="en-US"/>
              </w:rPr>
              <w:t>2012</w:t>
            </w:r>
          </w:p>
        </w:tc>
      </w:tr>
      <w:tr w:rsidR="00242C36" w:rsidRPr="0042247C" w:rsidTr="00242C36">
        <w:trPr>
          <w:trHeight w:val="163"/>
          <w:jc w:val="center"/>
        </w:trPr>
        <w:tc>
          <w:tcPr>
            <w:tcW w:w="3628" w:type="dxa"/>
            <w:vAlign w:val="center"/>
          </w:tcPr>
          <w:p w:rsidR="00242C36" w:rsidRPr="0042247C" w:rsidRDefault="00242C36" w:rsidP="00242C36">
            <w:pPr>
              <w:pBdr>
                <w:bar w:val="single" w:sz="6" w:color="808080"/>
              </w:pBdr>
              <w:spacing w:after="120"/>
              <w:rPr>
                <w:rFonts w:ascii="Calibri" w:eastAsia="Calibri" w:hAnsi="Calibri"/>
                <w:b/>
                <w:bCs/>
                <w:sz w:val="20"/>
                <w:szCs w:val="20"/>
                <w:lang w:eastAsia="en-US"/>
              </w:rPr>
            </w:pPr>
            <w:r w:rsidRPr="0042247C">
              <w:rPr>
                <w:rFonts w:ascii="Calibri" w:eastAsia="Calibri" w:hAnsi="Calibri"/>
                <w:b/>
                <w:bCs/>
                <w:sz w:val="20"/>
                <w:szCs w:val="20"/>
                <w:lang w:eastAsia="en-US"/>
              </w:rPr>
              <w:t>Horské oblasti</w:t>
            </w:r>
          </w:p>
        </w:tc>
        <w:tc>
          <w:tcPr>
            <w:tcW w:w="907" w:type="dxa"/>
            <w:vAlign w:val="center"/>
          </w:tcPr>
          <w:p w:rsidR="00242C36" w:rsidRPr="0042247C" w:rsidRDefault="00242C36" w:rsidP="00242C36">
            <w:pPr>
              <w:pBdr>
                <w:bar w:val="single" w:sz="6" w:color="808080"/>
              </w:pBdr>
              <w:spacing w:after="120"/>
              <w:rPr>
                <w:rFonts w:ascii="Calibri" w:eastAsia="Calibri" w:hAnsi="Calibri"/>
                <w:sz w:val="20"/>
                <w:szCs w:val="20"/>
                <w:lang w:eastAsia="en-US"/>
              </w:rPr>
            </w:pPr>
            <w:r w:rsidRPr="0042247C">
              <w:rPr>
                <w:rFonts w:ascii="Calibri" w:eastAsia="Calibri" w:hAnsi="Calibri"/>
                <w:sz w:val="20"/>
                <w:szCs w:val="20"/>
                <w:lang w:eastAsia="en-US"/>
              </w:rPr>
              <w:t>1 108</w:t>
            </w:r>
          </w:p>
        </w:tc>
        <w:tc>
          <w:tcPr>
            <w:tcW w:w="907" w:type="dxa"/>
            <w:vAlign w:val="center"/>
          </w:tcPr>
          <w:p w:rsidR="00242C36" w:rsidRPr="0042247C" w:rsidRDefault="00242C36" w:rsidP="00242C36">
            <w:pPr>
              <w:pBdr>
                <w:bar w:val="single" w:sz="6" w:color="808080"/>
              </w:pBdr>
              <w:spacing w:after="120"/>
              <w:rPr>
                <w:rFonts w:ascii="Calibri" w:eastAsia="Calibri" w:hAnsi="Calibri"/>
                <w:sz w:val="20"/>
                <w:szCs w:val="20"/>
                <w:lang w:eastAsia="en-US"/>
              </w:rPr>
            </w:pPr>
            <w:r w:rsidRPr="0042247C">
              <w:rPr>
                <w:rFonts w:ascii="Calibri" w:eastAsia="Calibri" w:hAnsi="Calibri"/>
                <w:sz w:val="20"/>
                <w:szCs w:val="20"/>
                <w:lang w:eastAsia="en-US"/>
              </w:rPr>
              <w:t>1 119</w:t>
            </w:r>
          </w:p>
        </w:tc>
        <w:tc>
          <w:tcPr>
            <w:tcW w:w="907" w:type="dxa"/>
            <w:vAlign w:val="center"/>
          </w:tcPr>
          <w:p w:rsidR="00242C36" w:rsidRPr="0042247C" w:rsidRDefault="00242C36" w:rsidP="00242C36">
            <w:pPr>
              <w:pBdr>
                <w:bar w:val="single" w:sz="6" w:color="808080"/>
              </w:pBdr>
              <w:spacing w:after="120"/>
              <w:rPr>
                <w:rFonts w:ascii="Calibri" w:eastAsia="Calibri" w:hAnsi="Calibri"/>
                <w:sz w:val="20"/>
                <w:szCs w:val="20"/>
                <w:lang w:eastAsia="en-US"/>
              </w:rPr>
            </w:pPr>
            <w:r w:rsidRPr="0042247C">
              <w:rPr>
                <w:rFonts w:ascii="Calibri" w:eastAsia="Calibri" w:hAnsi="Calibri"/>
                <w:sz w:val="20"/>
                <w:szCs w:val="20"/>
                <w:lang w:eastAsia="en-US"/>
              </w:rPr>
              <w:t>970</w:t>
            </w:r>
          </w:p>
        </w:tc>
        <w:tc>
          <w:tcPr>
            <w:tcW w:w="907" w:type="dxa"/>
            <w:vAlign w:val="center"/>
          </w:tcPr>
          <w:p w:rsidR="00242C36" w:rsidRPr="0042247C" w:rsidRDefault="00242C36" w:rsidP="00242C36">
            <w:pPr>
              <w:pBdr>
                <w:bar w:val="single" w:sz="6" w:color="808080"/>
              </w:pBdr>
              <w:spacing w:after="120"/>
              <w:rPr>
                <w:rFonts w:ascii="Calibri" w:eastAsia="Calibri" w:hAnsi="Calibri"/>
                <w:sz w:val="20"/>
                <w:szCs w:val="20"/>
                <w:lang w:eastAsia="en-US"/>
              </w:rPr>
            </w:pPr>
            <w:r w:rsidRPr="0042247C">
              <w:rPr>
                <w:rFonts w:ascii="Calibri" w:eastAsia="Calibri" w:hAnsi="Calibri"/>
                <w:sz w:val="20"/>
                <w:szCs w:val="20"/>
                <w:lang w:eastAsia="en-US"/>
              </w:rPr>
              <w:t>1 060</w:t>
            </w:r>
          </w:p>
        </w:tc>
        <w:tc>
          <w:tcPr>
            <w:tcW w:w="907" w:type="dxa"/>
            <w:vAlign w:val="center"/>
          </w:tcPr>
          <w:p w:rsidR="00242C36" w:rsidRPr="0042247C" w:rsidRDefault="00242C36" w:rsidP="00242C36">
            <w:pPr>
              <w:pBdr>
                <w:bar w:val="single" w:sz="6" w:color="808080"/>
              </w:pBdr>
              <w:spacing w:after="120"/>
              <w:rPr>
                <w:rFonts w:ascii="Calibri" w:eastAsia="Calibri" w:hAnsi="Calibri"/>
                <w:sz w:val="20"/>
                <w:szCs w:val="20"/>
                <w:lang w:eastAsia="en-US"/>
              </w:rPr>
            </w:pPr>
            <w:r w:rsidRPr="0042247C">
              <w:rPr>
                <w:rFonts w:ascii="Calibri" w:eastAsia="Calibri" w:hAnsi="Calibri"/>
                <w:sz w:val="20"/>
                <w:szCs w:val="20"/>
                <w:lang w:eastAsia="en-US"/>
              </w:rPr>
              <w:t>1 237</w:t>
            </w:r>
          </w:p>
        </w:tc>
        <w:tc>
          <w:tcPr>
            <w:tcW w:w="907" w:type="dxa"/>
            <w:vAlign w:val="center"/>
          </w:tcPr>
          <w:p w:rsidR="00242C36" w:rsidRPr="0042247C" w:rsidRDefault="00242C36" w:rsidP="00242C36">
            <w:pPr>
              <w:pBdr>
                <w:bar w:val="single" w:sz="6" w:color="808080"/>
              </w:pBdr>
              <w:spacing w:after="120"/>
              <w:rPr>
                <w:rFonts w:ascii="Calibri" w:eastAsia="Calibri" w:hAnsi="Calibri"/>
                <w:sz w:val="20"/>
                <w:szCs w:val="20"/>
                <w:lang w:eastAsia="en-US"/>
              </w:rPr>
            </w:pPr>
            <w:r w:rsidRPr="0042247C">
              <w:rPr>
                <w:rFonts w:ascii="Calibri" w:eastAsia="Calibri" w:hAnsi="Calibri"/>
                <w:sz w:val="20"/>
                <w:szCs w:val="20"/>
                <w:lang w:eastAsia="en-US"/>
              </w:rPr>
              <w:t>1 103</w:t>
            </w:r>
          </w:p>
        </w:tc>
      </w:tr>
      <w:tr w:rsidR="00242C36" w:rsidRPr="0042247C" w:rsidTr="00242C36">
        <w:trPr>
          <w:trHeight w:val="163"/>
          <w:jc w:val="center"/>
        </w:trPr>
        <w:tc>
          <w:tcPr>
            <w:tcW w:w="3628" w:type="dxa"/>
            <w:vAlign w:val="center"/>
          </w:tcPr>
          <w:p w:rsidR="00242C36" w:rsidRPr="0042247C" w:rsidRDefault="00242C36" w:rsidP="00242C36">
            <w:pPr>
              <w:pBdr>
                <w:bar w:val="single" w:sz="6" w:color="808080"/>
              </w:pBdr>
              <w:spacing w:after="120"/>
              <w:rPr>
                <w:rFonts w:ascii="Calibri" w:eastAsia="Calibri" w:hAnsi="Calibri"/>
                <w:b/>
                <w:bCs/>
                <w:sz w:val="20"/>
                <w:szCs w:val="20"/>
                <w:lang w:eastAsia="en-US"/>
              </w:rPr>
            </w:pPr>
            <w:r w:rsidRPr="0042247C">
              <w:rPr>
                <w:rFonts w:ascii="Calibri" w:eastAsia="Calibri" w:hAnsi="Calibri"/>
                <w:b/>
                <w:bCs/>
                <w:sz w:val="20"/>
                <w:szCs w:val="20"/>
                <w:lang w:eastAsia="en-US"/>
              </w:rPr>
              <w:t>Ostatné znevýhodnené oblasti</w:t>
            </w:r>
          </w:p>
        </w:tc>
        <w:tc>
          <w:tcPr>
            <w:tcW w:w="907" w:type="dxa"/>
            <w:vAlign w:val="center"/>
          </w:tcPr>
          <w:p w:rsidR="00242C36" w:rsidRPr="0042247C" w:rsidRDefault="00242C36" w:rsidP="00242C36">
            <w:pPr>
              <w:pBdr>
                <w:bar w:val="single" w:sz="6" w:color="808080"/>
              </w:pBdr>
              <w:spacing w:after="120"/>
              <w:rPr>
                <w:rFonts w:ascii="Calibri" w:eastAsia="Calibri" w:hAnsi="Calibri"/>
                <w:sz w:val="20"/>
                <w:szCs w:val="20"/>
                <w:lang w:eastAsia="en-US"/>
              </w:rPr>
            </w:pPr>
            <w:r w:rsidRPr="0042247C">
              <w:rPr>
                <w:rFonts w:ascii="Calibri" w:eastAsia="Calibri" w:hAnsi="Calibri"/>
                <w:sz w:val="20"/>
                <w:szCs w:val="20"/>
                <w:lang w:eastAsia="en-US"/>
              </w:rPr>
              <w:t>1 147</w:t>
            </w:r>
          </w:p>
        </w:tc>
        <w:tc>
          <w:tcPr>
            <w:tcW w:w="907" w:type="dxa"/>
            <w:vAlign w:val="center"/>
          </w:tcPr>
          <w:p w:rsidR="00242C36" w:rsidRPr="0042247C" w:rsidRDefault="00242C36" w:rsidP="00242C36">
            <w:pPr>
              <w:pBdr>
                <w:bar w:val="single" w:sz="6" w:color="808080"/>
              </w:pBdr>
              <w:spacing w:after="120"/>
              <w:rPr>
                <w:rFonts w:ascii="Calibri" w:eastAsia="Calibri" w:hAnsi="Calibri"/>
                <w:sz w:val="20"/>
                <w:szCs w:val="20"/>
                <w:lang w:eastAsia="en-US"/>
              </w:rPr>
            </w:pPr>
            <w:r w:rsidRPr="0042247C">
              <w:rPr>
                <w:rFonts w:ascii="Calibri" w:eastAsia="Calibri" w:hAnsi="Calibri"/>
                <w:sz w:val="20"/>
                <w:szCs w:val="20"/>
                <w:lang w:eastAsia="en-US"/>
              </w:rPr>
              <w:t>1 357</w:t>
            </w:r>
          </w:p>
        </w:tc>
        <w:tc>
          <w:tcPr>
            <w:tcW w:w="907" w:type="dxa"/>
            <w:vAlign w:val="center"/>
          </w:tcPr>
          <w:p w:rsidR="00242C36" w:rsidRPr="0042247C" w:rsidRDefault="00242C36" w:rsidP="00242C36">
            <w:pPr>
              <w:pBdr>
                <w:bar w:val="single" w:sz="6" w:color="808080"/>
              </w:pBdr>
              <w:spacing w:after="120"/>
              <w:rPr>
                <w:rFonts w:ascii="Calibri" w:eastAsia="Calibri" w:hAnsi="Calibri"/>
                <w:sz w:val="20"/>
                <w:szCs w:val="20"/>
                <w:lang w:eastAsia="en-US"/>
              </w:rPr>
            </w:pPr>
            <w:r w:rsidRPr="0042247C">
              <w:rPr>
                <w:rFonts w:ascii="Calibri" w:eastAsia="Calibri" w:hAnsi="Calibri"/>
                <w:sz w:val="20"/>
                <w:szCs w:val="20"/>
                <w:lang w:eastAsia="en-US"/>
              </w:rPr>
              <w:t>1 181</w:t>
            </w:r>
          </w:p>
        </w:tc>
        <w:tc>
          <w:tcPr>
            <w:tcW w:w="907" w:type="dxa"/>
            <w:vAlign w:val="center"/>
          </w:tcPr>
          <w:p w:rsidR="00242C36" w:rsidRPr="0042247C" w:rsidRDefault="00242C36" w:rsidP="00242C36">
            <w:pPr>
              <w:pBdr>
                <w:bar w:val="single" w:sz="6" w:color="808080"/>
              </w:pBdr>
              <w:spacing w:after="120"/>
              <w:rPr>
                <w:rFonts w:ascii="Calibri" w:eastAsia="Calibri" w:hAnsi="Calibri"/>
                <w:sz w:val="20"/>
                <w:szCs w:val="20"/>
                <w:lang w:eastAsia="en-US"/>
              </w:rPr>
            </w:pPr>
            <w:r w:rsidRPr="0042247C">
              <w:rPr>
                <w:rFonts w:ascii="Calibri" w:eastAsia="Calibri" w:hAnsi="Calibri"/>
                <w:sz w:val="20"/>
                <w:szCs w:val="20"/>
                <w:lang w:eastAsia="en-US"/>
              </w:rPr>
              <w:t>1 202</w:t>
            </w:r>
          </w:p>
        </w:tc>
        <w:tc>
          <w:tcPr>
            <w:tcW w:w="907" w:type="dxa"/>
            <w:vAlign w:val="center"/>
          </w:tcPr>
          <w:p w:rsidR="00242C36" w:rsidRPr="0042247C" w:rsidRDefault="00242C36" w:rsidP="00242C36">
            <w:pPr>
              <w:pBdr>
                <w:bar w:val="single" w:sz="6" w:color="808080"/>
              </w:pBdr>
              <w:spacing w:after="120"/>
              <w:rPr>
                <w:rFonts w:ascii="Calibri" w:eastAsia="Calibri" w:hAnsi="Calibri"/>
                <w:sz w:val="20"/>
                <w:szCs w:val="20"/>
                <w:lang w:eastAsia="en-US"/>
              </w:rPr>
            </w:pPr>
            <w:r w:rsidRPr="0042247C">
              <w:rPr>
                <w:rFonts w:ascii="Calibri" w:eastAsia="Calibri" w:hAnsi="Calibri"/>
                <w:sz w:val="20"/>
                <w:szCs w:val="20"/>
                <w:lang w:eastAsia="en-US"/>
              </w:rPr>
              <w:t>1 336</w:t>
            </w:r>
          </w:p>
        </w:tc>
        <w:tc>
          <w:tcPr>
            <w:tcW w:w="907" w:type="dxa"/>
            <w:vAlign w:val="center"/>
          </w:tcPr>
          <w:p w:rsidR="00242C36" w:rsidRPr="0042247C" w:rsidRDefault="00242C36" w:rsidP="00242C36">
            <w:pPr>
              <w:pBdr>
                <w:bar w:val="single" w:sz="6" w:color="808080"/>
              </w:pBdr>
              <w:spacing w:after="120"/>
              <w:rPr>
                <w:rFonts w:ascii="Calibri" w:eastAsia="Calibri" w:hAnsi="Calibri"/>
                <w:sz w:val="20"/>
                <w:szCs w:val="20"/>
                <w:lang w:eastAsia="en-US"/>
              </w:rPr>
            </w:pPr>
            <w:r w:rsidRPr="0042247C">
              <w:rPr>
                <w:rFonts w:ascii="Calibri" w:eastAsia="Calibri" w:hAnsi="Calibri"/>
                <w:sz w:val="20"/>
                <w:szCs w:val="20"/>
                <w:lang w:eastAsia="en-US"/>
              </w:rPr>
              <w:t>1 373</w:t>
            </w:r>
          </w:p>
        </w:tc>
      </w:tr>
      <w:tr w:rsidR="00242C36" w:rsidRPr="0042247C" w:rsidTr="00242C36">
        <w:trPr>
          <w:trHeight w:val="163"/>
          <w:jc w:val="center"/>
        </w:trPr>
        <w:tc>
          <w:tcPr>
            <w:tcW w:w="3628" w:type="dxa"/>
            <w:vAlign w:val="center"/>
          </w:tcPr>
          <w:p w:rsidR="00242C36" w:rsidRPr="0042247C" w:rsidRDefault="00242C36" w:rsidP="00242C36">
            <w:pPr>
              <w:pBdr>
                <w:bar w:val="single" w:sz="6" w:color="808080"/>
              </w:pBdr>
              <w:spacing w:after="120"/>
              <w:rPr>
                <w:rFonts w:ascii="Calibri" w:eastAsia="Calibri" w:hAnsi="Calibri"/>
                <w:b/>
                <w:bCs/>
                <w:sz w:val="20"/>
                <w:szCs w:val="20"/>
                <w:lang w:eastAsia="en-US"/>
              </w:rPr>
            </w:pPr>
            <w:r w:rsidRPr="0042247C">
              <w:rPr>
                <w:rFonts w:ascii="Calibri" w:eastAsia="Calibri" w:hAnsi="Calibri"/>
                <w:b/>
                <w:bCs/>
                <w:sz w:val="20"/>
                <w:szCs w:val="20"/>
                <w:lang w:eastAsia="en-US"/>
              </w:rPr>
              <w:t>Oblasti so špecifickými nevýhodami</w:t>
            </w:r>
          </w:p>
        </w:tc>
        <w:tc>
          <w:tcPr>
            <w:tcW w:w="907" w:type="dxa"/>
            <w:vAlign w:val="center"/>
          </w:tcPr>
          <w:p w:rsidR="00242C36" w:rsidRPr="0042247C" w:rsidRDefault="00242C36" w:rsidP="00242C36">
            <w:pPr>
              <w:pBdr>
                <w:bar w:val="single" w:sz="6" w:color="808080"/>
              </w:pBdr>
              <w:spacing w:after="120"/>
              <w:rPr>
                <w:rFonts w:ascii="Calibri" w:eastAsia="Calibri" w:hAnsi="Calibri"/>
                <w:sz w:val="20"/>
                <w:szCs w:val="20"/>
                <w:lang w:eastAsia="en-US"/>
              </w:rPr>
            </w:pPr>
            <w:r w:rsidRPr="0042247C">
              <w:rPr>
                <w:rFonts w:ascii="Calibri" w:eastAsia="Calibri" w:hAnsi="Calibri"/>
                <w:sz w:val="20"/>
                <w:szCs w:val="20"/>
                <w:lang w:eastAsia="en-US"/>
              </w:rPr>
              <w:t>1 350</w:t>
            </w:r>
          </w:p>
        </w:tc>
        <w:tc>
          <w:tcPr>
            <w:tcW w:w="907" w:type="dxa"/>
            <w:vAlign w:val="center"/>
          </w:tcPr>
          <w:p w:rsidR="00242C36" w:rsidRPr="0042247C" w:rsidRDefault="00242C36" w:rsidP="00242C36">
            <w:pPr>
              <w:pBdr>
                <w:bar w:val="single" w:sz="6" w:color="808080"/>
              </w:pBdr>
              <w:spacing w:after="120"/>
              <w:rPr>
                <w:rFonts w:ascii="Calibri" w:eastAsia="Calibri" w:hAnsi="Calibri"/>
                <w:sz w:val="20"/>
                <w:szCs w:val="20"/>
                <w:lang w:eastAsia="en-US"/>
              </w:rPr>
            </w:pPr>
            <w:r w:rsidRPr="0042247C">
              <w:rPr>
                <w:rFonts w:ascii="Calibri" w:eastAsia="Calibri" w:hAnsi="Calibri"/>
                <w:sz w:val="20"/>
                <w:szCs w:val="20"/>
                <w:lang w:eastAsia="en-US"/>
              </w:rPr>
              <w:t>1 436</w:t>
            </w:r>
          </w:p>
        </w:tc>
        <w:tc>
          <w:tcPr>
            <w:tcW w:w="907" w:type="dxa"/>
            <w:vAlign w:val="center"/>
          </w:tcPr>
          <w:p w:rsidR="00242C36" w:rsidRPr="0042247C" w:rsidRDefault="00242C36" w:rsidP="00242C36">
            <w:pPr>
              <w:pBdr>
                <w:bar w:val="single" w:sz="6" w:color="808080"/>
              </w:pBdr>
              <w:spacing w:after="120"/>
              <w:rPr>
                <w:rFonts w:ascii="Calibri" w:eastAsia="Calibri" w:hAnsi="Calibri"/>
                <w:sz w:val="20"/>
                <w:szCs w:val="20"/>
                <w:lang w:eastAsia="en-US"/>
              </w:rPr>
            </w:pPr>
            <w:r w:rsidRPr="0042247C">
              <w:rPr>
                <w:rFonts w:ascii="Calibri" w:eastAsia="Calibri" w:hAnsi="Calibri"/>
                <w:sz w:val="20"/>
                <w:szCs w:val="20"/>
                <w:lang w:eastAsia="en-US"/>
              </w:rPr>
              <w:t>1 260</w:t>
            </w:r>
          </w:p>
        </w:tc>
        <w:tc>
          <w:tcPr>
            <w:tcW w:w="907" w:type="dxa"/>
            <w:vAlign w:val="center"/>
          </w:tcPr>
          <w:p w:rsidR="00242C36" w:rsidRPr="0042247C" w:rsidRDefault="00242C36" w:rsidP="00242C36">
            <w:pPr>
              <w:pBdr>
                <w:bar w:val="single" w:sz="6" w:color="808080"/>
              </w:pBdr>
              <w:spacing w:after="120"/>
              <w:rPr>
                <w:rFonts w:ascii="Calibri" w:eastAsia="Calibri" w:hAnsi="Calibri"/>
                <w:sz w:val="20"/>
                <w:szCs w:val="20"/>
                <w:lang w:eastAsia="en-US"/>
              </w:rPr>
            </w:pPr>
            <w:r w:rsidRPr="0042247C">
              <w:rPr>
                <w:rFonts w:ascii="Calibri" w:eastAsia="Calibri" w:hAnsi="Calibri"/>
                <w:sz w:val="20"/>
                <w:szCs w:val="20"/>
                <w:lang w:eastAsia="en-US"/>
              </w:rPr>
              <w:t>1 319</w:t>
            </w:r>
          </w:p>
        </w:tc>
        <w:tc>
          <w:tcPr>
            <w:tcW w:w="907" w:type="dxa"/>
            <w:vAlign w:val="center"/>
          </w:tcPr>
          <w:p w:rsidR="00242C36" w:rsidRPr="0042247C" w:rsidRDefault="00242C36" w:rsidP="00242C36">
            <w:pPr>
              <w:pBdr>
                <w:bar w:val="single" w:sz="6" w:color="808080"/>
              </w:pBdr>
              <w:spacing w:after="120"/>
              <w:rPr>
                <w:rFonts w:ascii="Calibri" w:eastAsia="Calibri" w:hAnsi="Calibri"/>
                <w:sz w:val="20"/>
                <w:szCs w:val="20"/>
                <w:lang w:eastAsia="en-US"/>
              </w:rPr>
            </w:pPr>
            <w:r w:rsidRPr="0042247C">
              <w:rPr>
                <w:rFonts w:ascii="Calibri" w:eastAsia="Calibri" w:hAnsi="Calibri"/>
                <w:sz w:val="20"/>
                <w:szCs w:val="20"/>
                <w:lang w:eastAsia="en-US"/>
              </w:rPr>
              <w:t>1 415</w:t>
            </w:r>
          </w:p>
        </w:tc>
        <w:tc>
          <w:tcPr>
            <w:tcW w:w="907" w:type="dxa"/>
            <w:vAlign w:val="center"/>
          </w:tcPr>
          <w:p w:rsidR="00242C36" w:rsidRPr="0042247C" w:rsidRDefault="00242C36" w:rsidP="00242C36">
            <w:pPr>
              <w:pBdr>
                <w:bar w:val="single" w:sz="6" w:color="808080"/>
              </w:pBdr>
              <w:spacing w:after="120"/>
              <w:rPr>
                <w:rFonts w:ascii="Calibri" w:eastAsia="Calibri" w:hAnsi="Calibri"/>
                <w:sz w:val="20"/>
                <w:szCs w:val="20"/>
                <w:lang w:eastAsia="en-US"/>
              </w:rPr>
            </w:pPr>
            <w:r w:rsidRPr="0042247C">
              <w:rPr>
                <w:rFonts w:ascii="Calibri" w:eastAsia="Calibri" w:hAnsi="Calibri"/>
                <w:sz w:val="20"/>
                <w:szCs w:val="20"/>
                <w:lang w:eastAsia="en-US"/>
              </w:rPr>
              <w:t>1 532</w:t>
            </w:r>
          </w:p>
        </w:tc>
      </w:tr>
      <w:tr w:rsidR="00242C36" w:rsidRPr="0042247C" w:rsidTr="00242C36">
        <w:trPr>
          <w:trHeight w:val="163"/>
          <w:jc w:val="center"/>
        </w:trPr>
        <w:tc>
          <w:tcPr>
            <w:tcW w:w="3628" w:type="dxa"/>
            <w:vAlign w:val="center"/>
          </w:tcPr>
          <w:p w:rsidR="00242C36" w:rsidRPr="0042247C" w:rsidRDefault="00242C36" w:rsidP="00242C36">
            <w:pPr>
              <w:pBdr>
                <w:bar w:val="single" w:sz="6" w:color="808080"/>
              </w:pBdr>
              <w:spacing w:after="120"/>
              <w:rPr>
                <w:rFonts w:ascii="Calibri" w:eastAsia="Calibri" w:hAnsi="Calibri"/>
                <w:b/>
                <w:bCs/>
                <w:sz w:val="20"/>
                <w:szCs w:val="20"/>
                <w:lang w:eastAsia="en-US"/>
              </w:rPr>
            </w:pPr>
            <w:r w:rsidRPr="0042247C">
              <w:rPr>
                <w:rFonts w:ascii="Calibri" w:eastAsia="Calibri" w:hAnsi="Calibri"/>
                <w:b/>
                <w:bCs/>
                <w:sz w:val="20"/>
                <w:szCs w:val="20"/>
                <w:lang w:eastAsia="en-US"/>
              </w:rPr>
              <w:t>Produkčné oblasti</w:t>
            </w:r>
          </w:p>
        </w:tc>
        <w:tc>
          <w:tcPr>
            <w:tcW w:w="907" w:type="dxa"/>
            <w:vAlign w:val="center"/>
          </w:tcPr>
          <w:p w:rsidR="00242C36" w:rsidRPr="0042247C" w:rsidRDefault="00242C36" w:rsidP="00242C36">
            <w:pPr>
              <w:pBdr>
                <w:bar w:val="single" w:sz="6" w:color="808080"/>
              </w:pBdr>
              <w:spacing w:after="120"/>
              <w:rPr>
                <w:rFonts w:ascii="Calibri" w:eastAsia="Calibri" w:hAnsi="Calibri"/>
                <w:sz w:val="20"/>
                <w:szCs w:val="20"/>
                <w:lang w:eastAsia="en-US"/>
              </w:rPr>
            </w:pPr>
            <w:r w:rsidRPr="0042247C">
              <w:rPr>
                <w:rFonts w:ascii="Calibri" w:eastAsia="Calibri" w:hAnsi="Calibri"/>
                <w:sz w:val="20"/>
                <w:szCs w:val="20"/>
                <w:lang w:eastAsia="en-US"/>
              </w:rPr>
              <w:t>1 843</w:t>
            </w:r>
          </w:p>
        </w:tc>
        <w:tc>
          <w:tcPr>
            <w:tcW w:w="907" w:type="dxa"/>
            <w:vAlign w:val="center"/>
          </w:tcPr>
          <w:p w:rsidR="00242C36" w:rsidRPr="0042247C" w:rsidRDefault="00242C36" w:rsidP="00242C36">
            <w:pPr>
              <w:pBdr>
                <w:bar w:val="single" w:sz="6" w:color="808080"/>
              </w:pBdr>
              <w:spacing w:after="120"/>
              <w:rPr>
                <w:rFonts w:ascii="Calibri" w:eastAsia="Calibri" w:hAnsi="Calibri"/>
                <w:sz w:val="20"/>
                <w:szCs w:val="20"/>
                <w:lang w:eastAsia="en-US"/>
              </w:rPr>
            </w:pPr>
            <w:r w:rsidRPr="0042247C">
              <w:rPr>
                <w:rFonts w:ascii="Calibri" w:eastAsia="Calibri" w:hAnsi="Calibri"/>
                <w:sz w:val="20"/>
                <w:szCs w:val="20"/>
                <w:lang w:eastAsia="en-US"/>
              </w:rPr>
              <w:t>2 052</w:t>
            </w:r>
          </w:p>
        </w:tc>
        <w:tc>
          <w:tcPr>
            <w:tcW w:w="907" w:type="dxa"/>
            <w:vAlign w:val="center"/>
          </w:tcPr>
          <w:p w:rsidR="00242C36" w:rsidRPr="0042247C" w:rsidRDefault="00242C36" w:rsidP="00242C36">
            <w:pPr>
              <w:pBdr>
                <w:bar w:val="single" w:sz="6" w:color="808080"/>
              </w:pBdr>
              <w:spacing w:after="120"/>
              <w:rPr>
                <w:rFonts w:ascii="Calibri" w:eastAsia="Calibri" w:hAnsi="Calibri"/>
                <w:sz w:val="20"/>
                <w:szCs w:val="20"/>
                <w:lang w:eastAsia="en-US"/>
              </w:rPr>
            </w:pPr>
            <w:r w:rsidRPr="0042247C">
              <w:rPr>
                <w:rFonts w:ascii="Calibri" w:eastAsia="Calibri" w:hAnsi="Calibri"/>
                <w:sz w:val="20"/>
                <w:szCs w:val="20"/>
                <w:lang w:eastAsia="en-US"/>
              </w:rPr>
              <w:t>1 810</w:t>
            </w:r>
          </w:p>
        </w:tc>
        <w:tc>
          <w:tcPr>
            <w:tcW w:w="907" w:type="dxa"/>
            <w:vAlign w:val="center"/>
          </w:tcPr>
          <w:p w:rsidR="00242C36" w:rsidRPr="0042247C" w:rsidRDefault="00242C36" w:rsidP="00242C36">
            <w:pPr>
              <w:pBdr>
                <w:bar w:val="single" w:sz="6" w:color="808080"/>
              </w:pBdr>
              <w:spacing w:after="120"/>
              <w:rPr>
                <w:rFonts w:ascii="Calibri" w:eastAsia="Calibri" w:hAnsi="Calibri"/>
                <w:sz w:val="20"/>
                <w:szCs w:val="20"/>
                <w:lang w:eastAsia="en-US"/>
              </w:rPr>
            </w:pPr>
            <w:r w:rsidRPr="0042247C">
              <w:rPr>
                <w:rFonts w:ascii="Calibri" w:eastAsia="Calibri" w:hAnsi="Calibri"/>
                <w:sz w:val="20"/>
                <w:szCs w:val="20"/>
                <w:lang w:eastAsia="en-US"/>
              </w:rPr>
              <w:t>1 793</w:t>
            </w:r>
          </w:p>
        </w:tc>
        <w:tc>
          <w:tcPr>
            <w:tcW w:w="907" w:type="dxa"/>
            <w:vAlign w:val="center"/>
          </w:tcPr>
          <w:p w:rsidR="00242C36" w:rsidRPr="0042247C" w:rsidRDefault="00242C36" w:rsidP="00242C36">
            <w:pPr>
              <w:pBdr>
                <w:bar w:val="single" w:sz="6" w:color="808080"/>
              </w:pBdr>
              <w:spacing w:after="120"/>
              <w:rPr>
                <w:rFonts w:ascii="Calibri" w:eastAsia="Calibri" w:hAnsi="Calibri"/>
                <w:sz w:val="20"/>
                <w:szCs w:val="20"/>
                <w:lang w:eastAsia="en-US"/>
              </w:rPr>
            </w:pPr>
            <w:r w:rsidRPr="0042247C">
              <w:rPr>
                <w:rFonts w:ascii="Calibri" w:eastAsia="Calibri" w:hAnsi="Calibri"/>
                <w:sz w:val="20"/>
                <w:szCs w:val="20"/>
                <w:lang w:eastAsia="en-US"/>
              </w:rPr>
              <w:t>2 094</w:t>
            </w:r>
          </w:p>
        </w:tc>
        <w:tc>
          <w:tcPr>
            <w:tcW w:w="907" w:type="dxa"/>
            <w:vAlign w:val="center"/>
          </w:tcPr>
          <w:p w:rsidR="00242C36" w:rsidRPr="0042247C" w:rsidRDefault="00242C36" w:rsidP="00242C36">
            <w:pPr>
              <w:pBdr>
                <w:bar w:val="single" w:sz="6" w:color="808080"/>
              </w:pBdr>
              <w:spacing w:after="120"/>
              <w:rPr>
                <w:rFonts w:ascii="Calibri" w:eastAsia="Calibri" w:hAnsi="Calibri"/>
                <w:sz w:val="20"/>
                <w:szCs w:val="20"/>
                <w:lang w:eastAsia="en-US"/>
              </w:rPr>
            </w:pPr>
            <w:r w:rsidRPr="0042247C">
              <w:rPr>
                <w:rFonts w:ascii="Calibri" w:eastAsia="Calibri" w:hAnsi="Calibri"/>
                <w:sz w:val="20"/>
                <w:szCs w:val="20"/>
                <w:lang w:eastAsia="en-US"/>
              </w:rPr>
              <w:t>2 159</w:t>
            </w:r>
          </w:p>
        </w:tc>
      </w:tr>
    </w:tbl>
    <w:p w:rsidR="00242C36" w:rsidRPr="00113FC3" w:rsidRDefault="00242C36" w:rsidP="00242C36">
      <w:pPr>
        <w:pBdr>
          <w:bar w:val="single" w:sz="6" w:color="808080"/>
        </w:pBdr>
        <w:spacing w:after="120"/>
        <w:rPr>
          <w:rFonts w:ascii="Calibri" w:eastAsia="Calibri" w:hAnsi="Calibri"/>
          <w:sz w:val="20"/>
          <w:szCs w:val="22"/>
          <w:lang w:eastAsia="en-US"/>
        </w:rPr>
      </w:pPr>
      <w:r w:rsidRPr="00113FC3">
        <w:rPr>
          <w:rFonts w:ascii="Calibri" w:eastAsia="Calibri" w:hAnsi="Calibri"/>
          <w:sz w:val="20"/>
          <w:szCs w:val="22"/>
          <w:lang w:eastAsia="en-US"/>
        </w:rPr>
        <w:t xml:space="preserve">Zdroj: Informačné listy CD MPRV SR, </w:t>
      </w:r>
      <w:r>
        <w:rPr>
          <w:rFonts w:ascii="Calibri" w:eastAsia="Calibri" w:hAnsi="Calibri"/>
          <w:sz w:val="20"/>
          <w:szCs w:val="22"/>
          <w:lang w:eastAsia="en-US"/>
        </w:rPr>
        <w:t>NPPC-</w:t>
      </w:r>
      <w:r w:rsidRPr="00113FC3">
        <w:rPr>
          <w:rFonts w:ascii="Calibri" w:eastAsia="Calibri" w:hAnsi="Calibri"/>
          <w:sz w:val="20"/>
          <w:szCs w:val="22"/>
          <w:lang w:eastAsia="en-US"/>
        </w:rPr>
        <w:t>VÚEPP Bratislava</w:t>
      </w:r>
    </w:p>
    <w:p w:rsidR="00242C36" w:rsidRPr="00E43137" w:rsidRDefault="00242C36" w:rsidP="00242C36">
      <w:pPr>
        <w:pBdr>
          <w:bar w:val="single" w:sz="6" w:color="808080"/>
        </w:pBdr>
        <w:spacing w:after="120"/>
        <w:rPr>
          <w:rFonts w:ascii="Calibri" w:eastAsia="Calibri" w:hAnsi="Calibri"/>
          <w:szCs w:val="22"/>
          <w:lang w:eastAsia="en-US"/>
        </w:rPr>
      </w:pPr>
      <w:r w:rsidRPr="00E43137">
        <w:rPr>
          <w:rFonts w:ascii="Calibri" w:eastAsia="Calibri" w:hAnsi="Calibri"/>
          <w:szCs w:val="22"/>
          <w:lang w:eastAsia="en-US"/>
        </w:rPr>
        <w:t>Na raste nákladov sa podieľal predovšetkým rast cien pohonných hmôt, rast nákladov na osivá a rast odpisov. Náklady spojené so živočíšnou výrobou rástli pomalšie.</w:t>
      </w:r>
    </w:p>
    <w:p w:rsidR="00242C36" w:rsidRDefault="00242C36" w:rsidP="00242C36">
      <w:pPr>
        <w:pBdr>
          <w:bar w:val="single" w:sz="6" w:color="808080"/>
        </w:pBdr>
        <w:spacing w:after="120"/>
        <w:rPr>
          <w:rFonts w:ascii="Calibri" w:eastAsia="Calibri" w:hAnsi="Calibri"/>
          <w:szCs w:val="22"/>
          <w:lang w:eastAsia="en-US"/>
        </w:rPr>
      </w:pPr>
      <w:r w:rsidRPr="00E43137">
        <w:rPr>
          <w:rFonts w:ascii="Calibri" w:eastAsia="Calibri" w:hAnsi="Calibri"/>
          <w:szCs w:val="22"/>
          <w:lang w:eastAsia="en-US"/>
        </w:rPr>
        <w:t xml:space="preserve">Vývoj výnosov v závislosti na prírodných podmienkach mal odlišný priebeh. </w:t>
      </w:r>
      <w:r w:rsidRPr="00DB2F3C">
        <w:rPr>
          <w:rFonts w:ascii="Calibri" w:eastAsia="Calibri" w:hAnsi="Calibri"/>
          <w:szCs w:val="22"/>
          <w:lang w:eastAsia="en-US"/>
        </w:rPr>
        <w:t>Celkové výnosy v LFA sa v r. 2012 v porovnaní s r. 2007 zvýšili iba o 7%, pričom v horských oblastiach klesli. V produkčných oblastiach vzrástli výnosy v r. 2007-2012 o 16%.</w:t>
      </w:r>
      <w:r w:rsidRPr="00E43137">
        <w:rPr>
          <w:rFonts w:ascii="Calibri" w:eastAsia="Calibri" w:hAnsi="Calibri"/>
          <w:szCs w:val="22"/>
          <w:lang w:eastAsia="en-US"/>
        </w:rPr>
        <w:t xml:space="preserve"> Vývoj výnosov </w:t>
      </w:r>
      <w:r>
        <w:rPr>
          <w:rFonts w:ascii="Calibri" w:eastAsia="Calibri" w:hAnsi="Calibri"/>
          <w:szCs w:val="22"/>
          <w:lang w:eastAsia="en-US"/>
        </w:rPr>
        <w:t xml:space="preserve">v LFA </w:t>
      </w:r>
      <w:r w:rsidRPr="00E43137">
        <w:rPr>
          <w:rFonts w:ascii="Calibri" w:eastAsia="Calibri" w:hAnsi="Calibri"/>
          <w:szCs w:val="22"/>
          <w:lang w:eastAsia="en-US"/>
        </w:rPr>
        <w:t xml:space="preserve">pozitívne ovplyvnil rast </w:t>
      </w:r>
      <w:r>
        <w:rPr>
          <w:rFonts w:ascii="Calibri" w:eastAsia="Calibri" w:hAnsi="Calibri"/>
          <w:szCs w:val="22"/>
          <w:lang w:eastAsia="en-US"/>
        </w:rPr>
        <w:t>tržieb za vlastné výrobky sa služby, ktorý bol vyšší ako rast výnosov (9%). Tržby</w:t>
      </w:r>
      <w:r w:rsidRPr="00E43137">
        <w:rPr>
          <w:rFonts w:ascii="Calibri" w:eastAsia="Calibri" w:hAnsi="Calibri"/>
          <w:szCs w:val="22"/>
          <w:lang w:eastAsia="en-US"/>
        </w:rPr>
        <w:t xml:space="preserve"> za predaj výrobkov rastlinnej výroby </w:t>
      </w:r>
      <w:r w:rsidRPr="00DB2F3C">
        <w:rPr>
          <w:rFonts w:ascii="Calibri" w:eastAsia="Calibri" w:hAnsi="Calibri"/>
          <w:szCs w:val="22"/>
          <w:lang w:eastAsia="en-US"/>
        </w:rPr>
        <w:t>v prepočte na hektár pôdy sa zvyšoval</w:t>
      </w:r>
      <w:r>
        <w:rPr>
          <w:rFonts w:ascii="Calibri" w:eastAsia="Calibri" w:hAnsi="Calibri"/>
          <w:szCs w:val="22"/>
          <w:lang w:eastAsia="en-US"/>
        </w:rPr>
        <w:t>i</w:t>
      </w:r>
      <w:r w:rsidRPr="00DB2F3C">
        <w:rPr>
          <w:rFonts w:ascii="Calibri" w:eastAsia="Calibri" w:hAnsi="Calibri"/>
          <w:szCs w:val="22"/>
          <w:lang w:eastAsia="en-US"/>
        </w:rPr>
        <w:t xml:space="preserve"> so zv</w:t>
      </w:r>
      <w:r>
        <w:rPr>
          <w:rFonts w:ascii="Calibri" w:eastAsia="Calibri" w:hAnsi="Calibri"/>
          <w:szCs w:val="22"/>
          <w:lang w:eastAsia="en-US"/>
        </w:rPr>
        <w:t>äčšuj</w:t>
      </w:r>
      <w:r w:rsidRPr="00DB2F3C">
        <w:rPr>
          <w:rFonts w:ascii="Calibri" w:eastAsia="Calibri" w:hAnsi="Calibri"/>
          <w:szCs w:val="22"/>
          <w:lang w:eastAsia="en-US"/>
        </w:rPr>
        <w:t>úcim sa podielom rastlinnej výroby.</w:t>
      </w:r>
    </w:p>
    <w:p w:rsidR="00242C36" w:rsidRPr="00E43137" w:rsidRDefault="00242C36" w:rsidP="00242C36">
      <w:pPr>
        <w:pBdr>
          <w:bar w:val="single" w:sz="6" w:color="808080"/>
        </w:pBdr>
        <w:spacing w:after="120"/>
        <w:rPr>
          <w:rFonts w:ascii="Calibri" w:eastAsia="Calibri" w:hAnsi="Calibri"/>
          <w:szCs w:val="22"/>
          <w:lang w:eastAsia="en-US"/>
        </w:rPr>
      </w:pPr>
      <w:r w:rsidRPr="00E43137">
        <w:rPr>
          <w:rFonts w:ascii="Calibri" w:eastAsia="Calibri" w:hAnsi="Calibri"/>
          <w:szCs w:val="22"/>
          <w:lang w:eastAsia="en-US"/>
        </w:rPr>
        <w:t>Tržby zo živočíšnej výroby sa vyvíjali negatívne vo všetkých typoch oblastí, čo súvisí s negatívnym vývojom počtu zvierat. Najviac klesli tržby zo ŽV v produkčných oblastiach (-34%), v LFA klesli iba o 13% aj napriek vyššiemu podielu živočíšnej výroby v LFA (45%) oproti produkčným oblastiam (25%). V horských oblastiach je podiel živočíšnej výroby až 70%-ný.</w:t>
      </w:r>
    </w:p>
    <w:p w:rsidR="00242C36" w:rsidRPr="00E43137" w:rsidRDefault="00E32F57" w:rsidP="00242C36">
      <w:pPr>
        <w:pBdr>
          <w:bar w:val="single" w:sz="6" w:color="808080"/>
        </w:pBdr>
        <w:spacing w:after="120"/>
        <w:rPr>
          <w:rFonts w:ascii="Calibri" w:eastAsia="Calibri" w:hAnsi="Calibri"/>
          <w:b/>
          <w:bCs/>
          <w:szCs w:val="22"/>
          <w:lang w:eastAsia="en-US"/>
        </w:rPr>
      </w:pPr>
      <w:r>
        <w:rPr>
          <w:rFonts w:ascii="Calibri" w:eastAsia="Calibri" w:hAnsi="Calibri"/>
          <w:b/>
          <w:bCs/>
          <w:szCs w:val="22"/>
          <w:lang w:eastAsia="en-US"/>
        </w:rPr>
        <w:t xml:space="preserve">Tabuľka 43: </w:t>
      </w:r>
      <w:r w:rsidR="00242C36" w:rsidRPr="00E43137">
        <w:rPr>
          <w:rFonts w:ascii="Calibri" w:eastAsia="Calibri" w:hAnsi="Calibri"/>
          <w:b/>
          <w:bCs/>
          <w:szCs w:val="22"/>
          <w:lang w:eastAsia="en-US"/>
        </w:rPr>
        <w:t>Vývoj výnosov v LFA (EUR/ha)</w:t>
      </w:r>
    </w:p>
    <w:tbl>
      <w:tblPr>
        <w:tblW w:w="90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28"/>
        <w:gridCol w:w="907"/>
        <w:gridCol w:w="907"/>
        <w:gridCol w:w="907"/>
        <w:gridCol w:w="907"/>
        <w:gridCol w:w="907"/>
        <w:gridCol w:w="907"/>
      </w:tblGrid>
      <w:tr w:rsidR="00242C36" w:rsidRPr="0042247C" w:rsidTr="00242C36">
        <w:trPr>
          <w:trHeight w:val="163"/>
          <w:jc w:val="center"/>
        </w:trPr>
        <w:tc>
          <w:tcPr>
            <w:tcW w:w="3628" w:type="dxa"/>
            <w:vAlign w:val="center"/>
          </w:tcPr>
          <w:p w:rsidR="00242C36" w:rsidRPr="0042247C" w:rsidRDefault="00242C36" w:rsidP="00242C36">
            <w:pPr>
              <w:pBdr>
                <w:bar w:val="single" w:sz="6" w:color="808080"/>
              </w:pBdr>
              <w:spacing w:after="120"/>
              <w:rPr>
                <w:rFonts w:ascii="Calibri" w:eastAsia="Calibri" w:hAnsi="Calibri"/>
                <w:b/>
                <w:bCs/>
                <w:i/>
                <w:sz w:val="20"/>
                <w:szCs w:val="20"/>
                <w:lang w:eastAsia="en-US"/>
              </w:rPr>
            </w:pPr>
            <w:r w:rsidRPr="0042247C">
              <w:rPr>
                <w:rFonts w:ascii="Calibri" w:eastAsia="Calibri" w:hAnsi="Calibri"/>
                <w:b/>
                <w:bCs/>
                <w:i/>
                <w:sz w:val="20"/>
                <w:szCs w:val="20"/>
                <w:lang w:eastAsia="en-US"/>
              </w:rPr>
              <w:t>Typ LFA</w:t>
            </w:r>
          </w:p>
        </w:tc>
        <w:tc>
          <w:tcPr>
            <w:tcW w:w="907" w:type="dxa"/>
          </w:tcPr>
          <w:p w:rsidR="00242C36" w:rsidRPr="0042247C" w:rsidRDefault="00242C36" w:rsidP="00242C36">
            <w:pPr>
              <w:pBdr>
                <w:bar w:val="single" w:sz="6" w:color="808080"/>
              </w:pBdr>
              <w:spacing w:after="120"/>
              <w:rPr>
                <w:rFonts w:ascii="Calibri" w:eastAsia="Calibri" w:hAnsi="Calibri"/>
                <w:b/>
                <w:bCs/>
                <w:i/>
                <w:sz w:val="20"/>
                <w:szCs w:val="20"/>
                <w:lang w:eastAsia="en-US"/>
              </w:rPr>
            </w:pPr>
            <w:r w:rsidRPr="0042247C">
              <w:rPr>
                <w:rFonts w:ascii="Calibri" w:eastAsia="Calibri" w:hAnsi="Calibri"/>
                <w:b/>
                <w:bCs/>
                <w:i/>
                <w:sz w:val="20"/>
                <w:szCs w:val="20"/>
                <w:lang w:eastAsia="en-US"/>
              </w:rPr>
              <w:t>2007</w:t>
            </w:r>
          </w:p>
        </w:tc>
        <w:tc>
          <w:tcPr>
            <w:tcW w:w="907" w:type="dxa"/>
          </w:tcPr>
          <w:p w:rsidR="00242C36" w:rsidRPr="0042247C" w:rsidRDefault="00242C36" w:rsidP="00242C36">
            <w:pPr>
              <w:pBdr>
                <w:bar w:val="single" w:sz="6" w:color="808080"/>
              </w:pBdr>
              <w:spacing w:after="120"/>
              <w:rPr>
                <w:rFonts w:ascii="Calibri" w:eastAsia="Calibri" w:hAnsi="Calibri"/>
                <w:b/>
                <w:bCs/>
                <w:i/>
                <w:sz w:val="20"/>
                <w:szCs w:val="20"/>
                <w:lang w:eastAsia="en-US"/>
              </w:rPr>
            </w:pPr>
            <w:r w:rsidRPr="0042247C">
              <w:rPr>
                <w:rFonts w:ascii="Calibri" w:eastAsia="Calibri" w:hAnsi="Calibri"/>
                <w:b/>
                <w:bCs/>
                <w:i/>
                <w:sz w:val="20"/>
                <w:szCs w:val="20"/>
                <w:lang w:eastAsia="en-US"/>
              </w:rPr>
              <w:t>2008</w:t>
            </w:r>
          </w:p>
        </w:tc>
        <w:tc>
          <w:tcPr>
            <w:tcW w:w="907" w:type="dxa"/>
          </w:tcPr>
          <w:p w:rsidR="00242C36" w:rsidRPr="0042247C" w:rsidRDefault="00242C36" w:rsidP="00242C36">
            <w:pPr>
              <w:pBdr>
                <w:bar w:val="single" w:sz="6" w:color="808080"/>
              </w:pBdr>
              <w:spacing w:after="120"/>
              <w:rPr>
                <w:rFonts w:ascii="Calibri" w:eastAsia="Calibri" w:hAnsi="Calibri"/>
                <w:b/>
                <w:bCs/>
                <w:i/>
                <w:sz w:val="20"/>
                <w:szCs w:val="20"/>
                <w:lang w:eastAsia="en-US"/>
              </w:rPr>
            </w:pPr>
            <w:r w:rsidRPr="0042247C">
              <w:rPr>
                <w:rFonts w:ascii="Calibri" w:eastAsia="Calibri" w:hAnsi="Calibri"/>
                <w:b/>
                <w:bCs/>
                <w:i/>
                <w:sz w:val="20"/>
                <w:szCs w:val="20"/>
                <w:lang w:eastAsia="en-US"/>
              </w:rPr>
              <w:t>2009</w:t>
            </w:r>
          </w:p>
        </w:tc>
        <w:tc>
          <w:tcPr>
            <w:tcW w:w="907" w:type="dxa"/>
          </w:tcPr>
          <w:p w:rsidR="00242C36" w:rsidRPr="0042247C" w:rsidRDefault="00242C36" w:rsidP="00242C36">
            <w:pPr>
              <w:pBdr>
                <w:bar w:val="single" w:sz="6" w:color="808080"/>
              </w:pBdr>
              <w:spacing w:after="120"/>
              <w:rPr>
                <w:rFonts w:ascii="Calibri" w:eastAsia="Calibri" w:hAnsi="Calibri"/>
                <w:b/>
                <w:bCs/>
                <w:i/>
                <w:sz w:val="20"/>
                <w:szCs w:val="20"/>
                <w:lang w:eastAsia="en-US"/>
              </w:rPr>
            </w:pPr>
            <w:r w:rsidRPr="0042247C">
              <w:rPr>
                <w:rFonts w:ascii="Calibri" w:eastAsia="Calibri" w:hAnsi="Calibri"/>
                <w:b/>
                <w:bCs/>
                <w:i/>
                <w:sz w:val="20"/>
                <w:szCs w:val="20"/>
                <w:lang w:eastAsia="en-US"/>
              </w:rPr>
              <w:t>2010</w:t>
            </w:r>
          </w:p>
        </w:tc>
        <w:tc>
          <w:tcPr>
            <w:tcW w:w="907" w:type="dxa"/>
          </w:tcPr>
          <w:p w:rsidR="00242C36" w:rsidRPr="0042247C" w:rsidRDefault="00242C36" w:rsidP="00242C36">
            <w:pPr>
              <w:pBdr>
                <w:bar w:val="single" w:sz="6" w:color="808080"/>
              </w:pBdr>
              <w:spacing w:after="120"/>
              <w:rPr>
                <w:rFonts w:ascii="Calibri" w:eastAsia="Calibri" w:hAnsi="Calibri"/>
                <w:b/>
                <w:bCs/>
                <w:i/>
                <w:sz w:val="20"/>
                <w:szCs w:val="20"/>
                <w:lang w:eastAsia="en-US"/>
              </w:rPr>
            </w:pPr>
            <w:r w:rsidRPr="0042247C">
              <w:rPr>
                <w:rFonts w:ascii="Calibri" w:eastAsia="Calibri" w:hAnsi="Calibri"/>
                <w:b/>
                <w:bCs/>
                <w:i/>
                <w:sz w:val="20"/>
                <w:szCs w:val="20"/>
                <w:lang w:eastAsia="en-US"/>
              </w:rPr>
              <w:t>2011</w:t>
            </w:r>
          </w:p>
        </w:tc>
        <w:tc>
          <w:tcPr>
            <w:tcW w:w="907" w:type="dxa"/>
          </w:tcPr>
          <w:p w:rsidR="00242C36" w:rsidRPr="0042247C" w:rsidRDefault="00242C36" w:rsidP="00242C36">
            <w:pPr>
              <w:pBdr>
                <w:bar w:val="single" w:sz="6" w:color="808080"/>
              </w:pBdr>
              <w:spacing w:after="120"/>
              <w:rPr>
                <w:rFonts w:ascii="Calibri" w:eastAsia="Calibri" w:hAnsi="Calibri"/>
                <w:b/>
                <w:bCs/>
                <w:i/>
                <w:sz w:val="20"/>
                <w:szCs w:val="20"/>
                <w:lang w:eastAsia="en-US"/>
              </w:rPr>
            </w:pPr>
            <w:r w:rsidRPr="0042247C">
              <w:rPr>
                <w:rFonts w:ascii="Calibri" w:eastAsia="Calibri" w:hAnsi="Calibri"/>
                <w:b/>
                <w:bCs/>
                <w:i/>
                <w:sz w:val="20"/>
                <w:szCs w:val="20"/>
                <w:lang w:eastAsia="en-US"/>
              </w:rPr>
              <w:t>2012</w:t>
            </w:r>
          </w:p>
        </w:tc>
      </w:tr>
      <w:tr w:rsidR="00242C36" w:rsidRPr="0042247C" w:rsidTr="00242C36">
        <w:trPr>
          <w:trHeight w:val="163"/>
          <w:jc w:val="center"/>
        </w:trPr>
        <w:tc>
          <w:tcPr>
            <w:tcW w:w="3628" w:type="dxa"/>
            <w:vAlign w:val="center"/>
          </w:tcPr>
          <w:p w:rsidR="00242C36" w:rsidRPr="0042247C" w:rsidRDefault="00242C36" w:rsidP="00242C36">
            <w:pPr>
              <w:pBdr>
                <w:bar w:val="single" w:sz="6" w:color="808080"/>
              </w:pBdr>
              <w:spacing w:after="120"/>
              <w:rPr>
                <w:rFonts w:ascii="Calibri" w:eastAsia="Calibri" w:hAnsi="Calibri"/>
                <w:b/>
                <w:bCs/>
                <w:sz w:val="20"/>
                <w:szCs w:val="20"/>
                <w:lang w:eastAsia="en-US"/>
              </w:rPr>
            </w:pPr>
            <w:r w:rsidRPr="0042247C">
              <w:rPr>
                <w:rFonts w:ascii="Calibri" w:eastAsia="Calibri" w:hAnsi="Calibri"/>
                <w:b/>
                <w:bCs/>
                <w:sz w:val="20"/>
                <w:szCs w:val="20"/>
                <w:lang w:eastAsia="en-US"/>
              </w:rPr>
              <w:t>Horské oblasti</w:t>
            </w:r>
          </w:p>
        </w:tc>
        <w:tc>
          <w:tcPr>
            <w:tcW w:w="907" w:type="dxa"/>
            <w:vAlign w:val="center"/>
          </w:tcPr>
          <w:p w:rsidR="00242C36" w:rsidRPr="0042247C" w:rsidRDefault="00242C36" w:rsidP="00242C36">
            <w:pPr>
              <w:pBdr>
                <w:bar w:val="single" w:sz="6" w:color="808080"/>
              </w:pBdr>
              <w:spacing w:after="120"/>
              <w:rPr>
                <w:rFonts w:ascii="Calibri" w:eastAsia="Calibri" w:hAnsi="Calibri"/>
                <w:sz w:val="20"/>
                <w:szCs w:val="20"/>
                <w:lang w:eastAsia="en-US"/>
              </w:rPr>
            </w:pPr>
            <w:r w:rsidRPr="0042247C">
              <w:rPr>
                <w:rFonts w:ascii="Calibri" w:eastAsia="Calibri" w:hAnsi="Calibri"/>
                <w:sz w:val="20"/>
                <w:szCs w:val="20"/>
                <w:lang w:eastAsia="en-US"/>
              </w:rPr>
              <w:t>1 149</w:t>
            </w:r>
          </w:p>
        </w:tc>
        <w:tc>
          <w:tcPr>
            <w:tcW w:w="907" w:type="dxa"/>
            <w:vAlign w:val="center"/>
          </w:tcPr>
          <w:p w:rsidR="00242C36" w:rsidRPr="0042247C" w:rsidRDefault="00242C36" w:rsidP="00242C36">
            <w:pPr>
              <w:pBdr>
                <w:bar w:val="single" w:sz="6" w:color="808080"/>
              </w:pBdr>
              <w:spacing w:after="120"/>
              <w:rPr>
                <w:rFonts w:ascii="Calibri" w:eastAsia="Calibri" w:hAnsi="Calibri"/>
                <w:sz w:val="20"/>
                <w:szCs w:val="20"/>
                <w:lang w:eastAsia="en-US"/>
              </w:rPr>
            </w:pPr>
            <w:r w:rsidRPr="0042247C">
              <w:rPr>
                <w:rFonts w:ascii="Calibri" w:eastAsia="Calibri" w:hAnsi="Calibri"/>
                <w:sz w:val="20"/>
                <w:szCs w:val="20"/>
                <w:lang w:eastAsia="en-US"/>
              </w:rPr>
              <w:t>1 143</w:t>
            </w:r>
          </w:p>
        </w:tc>
        <w:tc>
          <w:tcPr>
            <w:tcW w:w="907" w:type="dxa"/>
            <w:vAlign w:val="center"/>
          </w:tcPr>
          <w:p w:rsidR="00242C36" w:rsidRPr="0042247C" w:rsidRDefault="00242C36" w:rsidP="00242C36">
            <w:pPr>
              <w:pBdr>
                <w:bar w:val="single" w:sz="6" w:color="808080"/>
              </w:pBdr>
              <w:spacing w:after="120"/>
              <w:rPr>
                <w:rFonts w:ascii="Calibri" w:eastAsia="Calibri" w:hAnsi="Calibri"/>
                <w:sz w:val="20"/>
                <w:szCs w:val="20"/>
                <w:lang w:eastAsia="en-US"/>
              </w:rPr>
            </w:pPr>
            <w:r w:rsidRPr="0042247C">
              <w:rPr>
                <w:rFonts w:ascii="Calibri" w:eastAsia="Calibri" w:hAnsi="Calibri"/>
                <w:sz w:val="20"/>
                <w:szCs w:val="20"/>
                <w:lang w:eastAsia="en-US"/>
              </w:rPr>
              <w:t>972</w:t>
            </w:r>
          </w:p>
        </w:tc>
        <w:tc>
          <w:tcPr>
            <w:tcW w:w="907" w:type="dxa"/>
            <w:vAlign w:val="center"/>
          </w:tcPr>
          <w:p w:rsidR="00242C36" w:rsidRPr="0042247C" w:rsidRDefault="00242C36" w:rsidP="00242C36">
            <w:pPr>
              <w:pBdr>
                <w:bar w:val="single" w:sz="6" w:color="808080"/>
              </w:pBdr>
              <w:spacing w:after="120"/>
              <w:rPr>
                <w:rFonts w:ascii="Calibri" w:eastAsia="Calibri" w:hAnsi="Calibri"/>
                <w:sz w:val="20"/>
                <w:szCs w:val="20"/>
                <w:lang w:eastAsia="en-US"/>
              </w:rPr>
            </w:pPr>
            <w:r w:rsidRPr="0042247C">
              <w:rPr>
                <w:rFonts w:ascii="Calibri" w:eastAsia="Calibri" w:hAnsi="Calibri"/>
                <w:sz w:val="20"/>
                <w:szCs w:val="20"/>
                <w:lang w:eastAsia="en-US"/>
              </w:rPr>
              <w:t>1 064</w:t>
            </w:r>
          </w:p>
        </w:tc>
        <w:tc>
          <w:tcPr>
            <w:tcW w:w="907" w:type="dxa"/>
            <w:vAlign w:val="center"/>
          </w:tcPr>
          <w:p w:rsidR="00242C36" w:rsidRPr="0042247C" w:rsidRDefault="00242C36" w:rsidP="00242C36">
            <w:pPr>
              <w:pBdr>
                <w:bar w:val="single" w:sz="6" w:color="808080"/>
              </w:pBdr>
              <w:spacing w:after="120"/>
              <w:rPr>
                <w:rFonts w:ascii="Calibri" w:eastAsia="Calibri" w:hAnsi="Calibri"/>
                <w:sz w:val="20"/>
                <w:szCs w:val="20"/>
                <w:lang w:eastAsia="en-US"/>
              </w:rPr>
            </w:pPr>
            <w:r w:rsidRPr="0042247C">
              <w:rPr>
                <w:rFonts w:ascii="Calibri" w:eastAsia="Calibri" w:hAnsi="Calibri"/>
                <w:sz w:val="20"/>
                <w:szCs w:val="20"/>
                <w:lang w:eastAsia="en-US"/>
              </w:rPr>
              <w:t>1 222</w:t>
            </w:r>
          </w:p>
        </w:tc>
        <w:tc>
          <w:tcPr>
            <w:tcW w:w="907" w:type="dxa"/>
            <w:vAlign w:val="center"/>
          </w:tcPr>
          <w:p w:rsidR="00242C36" w:rsidRPr="0042247C" w:rsidRDefault="00242C36" w:rsidP="00242C36">
            <w:pPr>
              <w:pBdr>
                <w:bar w:val="single" w:sz="6" w:color="808080"/>
              </w:pBdr>
              <w:spacing w:after="120"/>
              <w:rPr>
                <w:rFonts w:ascii="Calibri" w:eastAsia="Calibri" w:hAnsi="Calibri"/>
                <w:sz w:val="20"/>
                <w:szCs w:val="20"/>
                <w:lang w:eastAsia="en-US"/>
              </w:rPr>
            </w:pPr>
            <w:r w:rsidRPr="0042247C">
              <w:rPr>
                <w:rFonts w:ascii="Calibri" w:eastAsia="Calibri" w:hAnsi="Calibri"/>
                <w:sz w:val="20"/>
                <w:szCs w:val="20"/>
                <w:lang w:eastAsia="en-US"/>
              </w:rPr>
              <w:t>1 085</w:t>
            </w:r>
          </w:p>
        </w:tc>
      </w:tr>
      <w:tr w:rsidR="00242C36" w:rsidRPr="0042247C" w:rsidTr="00242C36">
        <w:trPr>
          <w:trHeight w:val="163"/>
          <w:jc w:val="center"/>
        </w:trPr>
        <w:tc>
          <w:tcPr>
            <w:tcW w:w="3628" w:type="dxa"/>
            <w:vAlign w:val="center"/>
          </w:tcPr>
          <w:p w:rsidR="00242C36" w:rsidRPr="0042247C" w:rsidRDefault="00242C36" w:rsidP="00242C36">
            <w:pPr>
              <w:pBdr>
                <w:bar w:val="single" w:sz="6" w:color="808080"/>
              </w:pBdr>
              <w:spacing w:after="120"/>
              <w:rPr>
                <w:rFonts w:ascii="Calibri" w:eastAsia="Calibri" w:hAnsi="Calibri"/>
                <w:b/>
                <w:bCs/>
                <w:sz w:val="20"/>
                <w:szCs w:val="20"/>
                <w:lang w:eastAsia="en-US"/>
              </w:rPr>
            </w:pPr>
            <w:r w:rsidRPr="0042247C">
              <w:rPr>
                <w:rFonts w:ascii="Calibri" w:eastAsia="Calibri" w:hAnsi="Calibri"/>
                <w:b/>
                <w:bCs/>
                <w:sz w:val="20"/>
                <w:szCs w:val="20"/>
                <w:lang w:eastAsia="en-US"/>
              </w:rPr>
              <w:t>Ostatné znevýhodnené oblasti</w:t>
            </w:r>
          </w:p>
        </w:tc>
        <w:tc>
          <w:tcPr>
            <w:tcW w:w="907" w:type="dxa"/>
            <w:vAlign w:val="center"/>
          </w:tcPr>
          <w:p w:rsidR="00242C36" w:rsidRPr="0042247C" w:rsidRDefault="00242C36" w:rsidP="00242C36">
            <w:pPr>
              <w:pBdr>
                <w:bar w:val="single" w:sz="6" w:color="808080"/>
              </w:pBdr>
              <w:spacing w:after="120"/>
              <w:rPr>
                <w:rFonts w:ascii="Calibri" w:eastAsia="Calibri" w:hAnsi="Calibri"/>
                <w:sz w:val="20"/>
                <w:szCs w:val="20"/>
                <w:lang w:eastAsia="en-US"/>
              </w:rPr>
            </w:pPr>
            <w:r w:rsidRPr="0042247C">
              <w:rPr>
                <w:rFonts w:ascii="Calibri" w:eastAsia="Calibri" w:hAnsi="Calibri"/>
                <w:sz w:val="20"/>
                <w:szCs w:val="20"/>
                <w:lang w:eastAsia="en-US"/>
              </w:rPr>
              <w:t>1 196</w:t>
            </w:r>
          </w:p>
        </w:tc>
        <w:tc>
          <w:tcPr>
            <w:tcW w:w="907" w:type="dxa"/>
            <w:vAlign w:val="center"/>
          </w:tcPr>
          <w:p w:rsidR="00242C36" w:rsidRPr="0042247C" w:rsidRDefault="00242C36" w:rsidP="00242C36">
            <w:pPr>
              <w:pBdr>
                <w:bar w:val="single" w:sz="6" w:color="808080"/>
              </w:pBdr>
              <w:spacing w:after="120"/>
              <w:rPr>
                <w:rFonts w:ascii="Calibri" w:eastAsia="Calibri" w:hAnsi="Calibri"/>
                <w:sz w:val="20"/>
                <w:szCs w:val="20"/>
                <w:lang w:eastAsia="en-US"/>
              </w:rPr>
            </w:pPr>
            <w:r w:rsidRPr="0042247C">
              <w:rPr>
                <w:rFonts w:ascii="Calibri" w:eastAsia="Calibri" w:hAnsi="Calibri"/>
                <w:sz w:val="20"/>
                <w:szCs w:val="20"/>
                <w:lang w:eastAsia="en-US"/>
              </w:rPr>
              <w:t>1 400</w:t>
            </w:r>
          </w:p>
        </w:tc>
        <w:tc>
          <w:tcPr>
            <w:tcW w:w="907" w:type="dxa"/>
            <w:vAlign w:val="center"/>
          </w:tcPr>
          <w:p w:rsidR="00242C36" w:rsidRPr="0042247C" w:rsidRDefault="00242C36" w:rsidP="00242C36">
            <w:pPr>
              <w:pBdr>
                <w:bar w:val="single" w:sz="6" w:color="808080"/>
              </w:pBdr>
              <w:spacing w:after="120"/>
              <w:rPr>
                <w:rFonts w:ascii="Calibri" w:eastAsia="Calibri" w:hAnsi="Calibri"/>
                <w:sz w:val="20"/>
                <w:szCs w:val="20"/>
                <w:lang w:eastAsia="en-US"/>
              </w:rPr>
            </w:pPr>
            <w:r w:rsidRPr="0042247C">
              <w:rPr>
                <w:rFonts w:ascii="Calibri" w:eastAsia="Calibri" w:hAnsi="Calibri"/>
                <w:sz w:val="20"/>
                <w:szCs w:val="20"/>
                <w:lang w:eastAsia="en-US"/>
              </w:rPr>
              <w:t>1 174</w:t>
            </w:r>
          </w:p>
        </w:tc>
        <w:tc>
          <w:tcPr>
            <w:tcW w:w="907" w:type="dxa"/>
            <w:vAlign w:val="center"/>
          </w:tcPr>
          <w:p w:rsidR="00242C36" w:rsidRPr="0042247C" w:rsidRDefault="00242C36" w:rsidP="00242C36">
            <w:pPr>
              <w:pBdr>
                <w:bar w:val="single" w:sz="6" w:color="808080"/>
              </w:pBdr>
              <w:spacing w:after="120"/>
              <w:rPr>
                <w:rFonts w:ascii="Calibri" w:eastAsia="Calibri" w:hAnsi="Calibri"/>
                <w:sz w:val="20"/>
                <w:szCs w:val="20"/>
                <w:lang w:eastAsia="en-US"/>
              </w:rPr>
            </w:pPr>
            <w:r w:rsidRPr="0042247C">
              <w:rPr>
                <w:rFonts w:ascii="Calibri" w:eastAsia="Calibri" w:hAnsi="Calibri"/>
                <w:sz w:val="20"/>
                <w:szCs w:val="20"/>
                <w:lang w:eastAsia="en-US"/>
              </w:rPr>
              <w:t>1 194</w:t>
            </w:r>
          </w:p>
        </w:tc>
        <w:tc>
          <w:tcPr>
            <w:tcW w:w="907" w:type="dxa"/>
            <w:vAlign w:val="center"/>
          </w:tcPr>
          <w:p w:rsidR="00242C36" w:rsidRPr="0042247C" w:rsidRDefault="00242C36" w:rsidP="00242C36">
            <w:pPr>
              <w:pBdr>
                <w:bar w:val="single" w:sz="6" w:color="808080"/>
              </w:pBdr>
              <w:spacing w:after="120"/>
              <w:rPr>
                <w:rFonts w:ascii="Calibri" w:eastAsia="Calibri" w:hAnsi="Calibri"/>
                <w:sz w:val="20"/>
                <w:szCs w:val="20"/>
                <w:lang w:eastAsia="en-US"/>
              </w:rPr>
            </w:pPr>
            <w:r w:rsidRPr="0042247C">
              <w:rPr>
                <w:rFonts w:ascii="Calibri" w:eastAsia="Calibri" w:hAnsi="Calibri"/>
                <w:sz w:val="20"/>
                <w:szCs w:val="20"/>
                <w:lang w:eastAsia="en-US"/>
              </w:rPr>
              <w:t>1 347</w:t>
            </w:r>
          </w:p>
        </w:tc>
        <w:tc>
          <w:tcPr>
            <w:tcW w:w="907" w:type="dxa"/>
            <w:vAlign w:val="center"/>
          </w:tcPr>
          <w:p w:rsidR="00242C36" w:rsidRPr="0042247C" w:rsidRDefault="00242C36" w:rsidP="00242C36">
            <w:pPr>
              <w:pBdr>
                <w:bar w:val="single" w:sz="6" w:color="808080"/>
              </w:pBdr>
              <w:spacing w:after="120"/>
              <w:rPr>
                <w:rFonts w:ascii="Calibri" w:eastAsia="Calibri" w:hAnsi="Calibri"/>
                <w:sz w:val="20"/>
                <w:szCs w:val="20"/>
                <w:lang w:eastAsia="en-US"/>
              </w:rPr>
            </w:pPr>
            <w:r w:rsidRPr="0042247C">
              <w:rPr>
                <w:rFonts w:ascii="Calibri" w:eastAsia="Calibri" w:hAnsi="Calibri"/>
                <w:sz w:val="20"/>
                <w:szCs w:val="20"/>
                <w:lang w:eastAsia="en-US"/>
              </w:rPr>
              <w:t>1 375</w:t>
            </w:r>
          </w:p>
        </w:tc>
      </w:tr>
      <w:tr w:rsidR="00242C36" w:rsidRPr="0042247C" w:rsidTr="00242C36">
        <w:trPr>
          <w:trHeight w:val="163"/>
          <w:jc w:val="center"/>
        </w:trPr>
        <w:tc>
          <w:tcPr>
            <w:tcW w:w="3628" w:type="dxa"/>
            <w:vAlign w:val="center"/>
          </w:tcPr>
          <w:p w:rsidR="00242C36" w:rsidRPr="0042247C" w:rsidRDefault="00242C36" w:rsidP="00242C36">
            <w:pPr>
              <w:pBdr>
                <w:bar w:val="single" w:sz="6" w:color="808080"/>
              </w:pBdr>
              <w:spacing w:after="120"/>
              <w:rPr>
                <w:rFonts w:ascii="Calibri" w:eastAsia="Calibri" w:hAnsi="Calibri"/>
                <w:b/>
                <w:bCs/>
                <w:sz w:val="20"/>
                <w:szCs w:val="20"/>
                <w:lang w:eastAsia="en-US"/>
              </w:rPr>
            </w:pPr>
            <w:r w:rsidRPr="0042247C">
              <w:rPr>
                <w:rFonts w:ascii="Calibri" w:eastAsia="Calibri" w:hAnsi="Calibri"/>
                <w:b/>
                <w:bCs/>
                <w:sz w:val="20"/>
                <w:szCs w:val="20"/>
                <w:lang w:eastAsia="en-US"/>
              </w:rPr>
              <w:t>Oblasti so špecifickými nevýhodami</w:t>
            </w:r>
          </w:p>
        </w:tc>
        <w:tc>
          <w:tcPr>
            <w:tcW w:w="907" w:type="dxa"/>
            <w:vAlign w:val="center"/>
          </w:tcPr>
          <w:p w:rsidR="00242C36" w:rsidRPr="0042247C" w:rsidRDefault="00242C36" w:rsidP="00242C36">
            <w:pPr>
              <w:pBdr>
                <w:bar w:val="single" w:sz="6" w:color="808080"/>
              </w:pBdr>
              <w:spacing w:after="120"/>
              <w:rPr>
                <w:rFonts w:ascii="Calibri" w:eastAsia="Calibri" w:hAnsi="Calibri"/>
                <w:sz w:val="20"/>
                <w:szCs w:val="20"/>
                <w:lang w:eastAsia="en-US"/>
              </w:rPr>
            </w:pPr>
            <w:r w:rsidRPr="0042247C">
              <w:rPr>
                <w:rFonts w:ascii="Calibri" w:eastAsia="Calibri" w:hAnsi="Calibri"/>
                <w:sz w:val="20"/>
                <w:szCs w:val="20"/>
                <w:lang w:eastAsia="en-US"/>
              </w:rPr>
              <w:t>1 383</w:t>
            </w:r>
          </w:p>
        </w:tc>
        <w:tc>
          <w:tcPr>
            <w:tcW w:w="907" w:type="dxa"/>
            <w:vAlign w:val="center"/>
          </w:tcPr>
          <w:p w:rsidR="00242C36" w:rsidRPr="0042247C" w:rsidRDefault="00242C36" w:rsidP="00242C36">
            <w:pPr>
              <w:pBdr>
                <w:bar w:val="single" w:sz="6" w:color="808080"/>
              </w:pBdr>
              <w:spacing w:after="120"/>
              <w:rPr>
                <w:rFonts w:ascii="Calibri" w:eastAsia="Calibri" w:hAnsi="Calibri"/>
                <w:sz w:val="20"/>
                <w:szCs w:val="20"/>
                <w:lang w:eastAsia="en-US"/>
              </w:rPr>
            </w:pPr>
            <w:r w:rsidRPr="0042247C">
              <w:rPr>
                <w:rFonts w:ascii="Calibri" w:eastAsia="Calibri" w:hAnsi="Calibri"/>
                <w:sz w:val="20"/>
                <w:szCs w:val="20"/>
                <w:lang w:eastAsia="en-US"/>
              </w:rPr>
              <w:t>1 460</w:t>
            </w:r>
          </w:p>
        </w:tc>
        <w:tc>
          <w:tcPr>
            <w:tcW w:w="907" w:type="dxa"/>
            <w:vAlign w:val="center"/>
          </w:tcPr>
          <w:p w:rsidR="00242C36" w:rsidRPr="0042247C" w:rsidRDefault="00242C36" w:rsidP="00242C36">
            <w:pPr>
              <w:pBdr>
                <w:bar w:val="single" w:sz="6" w:color="808080"/>
              </w:pBdr>
              <w:spacing w:after="120"/>
              <w:rPr>
                <w:rFonts w:ascii="Calibri" w:eastAsia="Calibri" w:hAnsi="Calibri"/>
                <w:sz w:val="20"/>
                <w:szCs w:val="20"/>
                <w:lang w:eastAsia="en-US"/>
              </w:rPr>
            </w:pPr>
            <w:r w:rsidRPr="0042247C">
              <w:rPr>
                <w:rFonts w:ascii="Calibri" w:eastAsia="Calibri" w:hAnsi="Calibri"/>
                <w:sz w:val="20"/>
                <w:szCs w:val="20"/>
                <w:lang w:eastAsia="en-US"/>
              </w:rPr>
              <w:t>1 215</w:t>
            </w:r>
          </w:p>
        </w:tc>
        <w:tc>
          <w:tcPr>
            <w:tcW w:w="907" w:type="dxa"/>
            <w:vAlign w:val="center"/>
          </w:tcPr>
          <w:p w:rsidR="00242C36" w:rsidRPr="0042247C" w:rsidRDefault="00242C36" w:rsidP="00242C36">
            <w:pPr>
              <w:pBdr>
                <w:bar w:val="single" w:sz="6" w:color="808080"/>
              </w:pBdr>
              <w:spacing w:after="120"/>
              <w:rPr>
                <w:rFonts w:ascii="Calibri" w:eastAsia="Calibri" w:hAnsi="Calibri"/>
                <w:sz w:val="20"/>
                <w:szCs w:val="20"/>
                <w:lang w:eastAsia="en-US"/>
              </w:rPr>
            </w:pPr>
            <w:r w:rsidRPr="0042247C">
              <w:rPr>
                <w:rFonts w:ascii="Calibri" w:eastAsia="Calibri" w:hAnsi="Calibri"/>
                <w:sz w:val="20"/>
                <w:szCs w:val="20"/>
                <w:lang w:eastAsia="en-US"/>
              </w:rPr>
              <w:t>1 312</w:t>
            </w:r>
          </w:p>
        </w:tc>
        <w:tc>
          <w:tcPr>
            <w:tcW w:w="907" w:type="dxa"/>
            <w:vAlign w:val="center"/>
          </w:tcPr>
          <w:p w:rsidR="00242C36" w:rsidRPr="0042247C" w:rsidRDefault="00242C36" w:rsidP="00242C36">
            <w:pPr>
              <w:pBdr>
                <w:bar w:val="single" w:sz="6" w:color="808080"/>
              </w:pBdr>
              <w:spacing w:after="120"/>
              <w:rPr>
                <w:rFonts w:ascii="Calibri" w:eastAsia="Calibri" w:hAnsi="Calibri"/>
                <w:sz w:val="20"/>
                <w:szCs w:val="20"/>
                <w:lang w:eastAsia="en-US"/>
              </w:rPr>
            </w:pPr>
            <w:r w:rsidRPr="0042247C">
              <w:rPr>
                <w:rFonts w:ascii="Calibri" w:eastAsia="Calibri" w:hAnsi="Calibri"/>
                <w:sz w:val="20"/>
                <w:szCs w:val="20"/>
                <w:lang w:eastAsia="en-US"/>
              </w:rPr>
              <w:t>1 445</w:t>
            </w:r>
          </w:p>
        </w:tc>
        <w:tc>
          <w:tcPr>
            <w:tcW w:w="907" w:type="dxa"/>
            <w:vAlign w:val="center"/>
          </w:tcPr>
          <w:p w:rsidR="00242C36" w:rsidRPr="0042247C" w:rsidRDefault="00242C36" w:rsidP="00242C36">
            <w:pPr>
              <w:pBdr>
                <w:bar w:val="single" w:sz="6" w:color="808080"/>
              </w:pBdr>
              <w:spacing w:after="120"/>
              <w:rPr>
                <w:rFonts w:ascii="Calibri" w:eastAsia="Calibri" w:hAnsi="Calibri"/>
                <w:sz w:val="20"/>
                <w:szCs w:val="20"/>
                <w:lang w:eastAsia="en-US"/>
              </w:rPr>
            </w:pPr>
            <w:r w:rsidRPr="0042247C">
              <w:rPr>
                <w:rFonts w:ascii="Calibri" w:eastAsia="Calibri" w:hAnsi="Calibri"/>
                <w:sz w:val="20"/>
                <w:szCs w:val="20"/>
                <w:lang w:eastAsia="en-US"/>
              </w:rPr>
              <w:t>1 575</w:t>
            </w:r>
          </w:p>
        </w:tc>
      </w:tr>
      <w:tr w:rsidR="00242C36" w:rsidRPr="0042247C" w:rsidTr="00242C36">
        <w:trPr>
          <w:trHeight w:val="163"/>
          <w:jc w:val="center"/>
        </w:trPr>
        <w:tc>
          <w:tcPr>
            <w:tcW w:w="3628" w:type="dxa"/>
            <w:vAlign w:val="center"/>
          </w:tcPr>
          <w:p w:rsidR="00242C36" w:rsidRPr="0042247C" w:rsidRDefault="00242C36" w:rsidP="00242C36">
            <w:pPr>
              <w:pBdr>
                <w:bar w:val="single" w:sz="6" w:color="808080"/>
              </w:pBdr>
              <w:spacing w:after="120"/>
              <w:rPr>
                <w:rFonts w:ascii="Calibri" w:eastAsia="Calibri" w:hAnsi="Calibri"/>
                <w:b/>
                <w:bCs/>
                <w:sz w:val="20"/>
                <w:szCs w:val="20"/>
                <w:lang w:eastAsia="en-US"/>
              </w:rPr>
            </w:pPr>
            <w:r w:rsidRPr="0042247C">
              <w:rPr>
                <w:rFonts w:ascii="Calibri" w:eastAsia="Calibri" w:hAnsi="Calibri"/>
                <w:b/>
                <w:bCs/>
                <w:sz w:val="20"/>
                <w:szCs w:val="20"/>
                <w:lang w:eastAsia="en-US"/>
              </w:rPr>
              <w:t>Produkčné oblasti</w:t>
            </w:r>
          </w:p>
        </w:tc>
        <w:tc>
          <w:tcPr>
            <w:tcW w:w="907" w:type="dxa"/>
            <w:vAlign w:val="center"/>
          </w:tcPr>
          <w:p w:rsidR="00242C36" w:rsidRPr="0042247C" w:rsidRDefault="00242C36" w:rsidP="00242C36">
            <w:pPr>
              <w:pBdr>
                <w:bar w:val="single" w:sz="6" w:color="808080"/>
              </w:pBdr>
              <w:spacing w:after="120"/>
              <w:rPr>
                <w:rFonts w:ascii="Calibri" w:eastAsia="Calibri" w:hAnsi="Calibri"/>
                <w:sz w:val="20"/>
                <w:szCs w:val="20"/>
                <w:lang w:eastAsia="en-US"/>
              </w:rPr>
            </w:pPr>
            <w:r w:rsidRPr="0042247C">
              <w:rPr>
                <w:rFonts w:ascii="Calibri" w:eastAsia="Calibri" w:hAnsi="Calibri"/>
                <w:sz w:val="20"/>
                <w:szCs w:val="20"/>
                <w:lang w:eastAsia="en-US"/>
              </w:rPr>
              <w:t>1 925</w:t>
            </w:r>
          </w:p>
        </w:tc>
        <w:tc>
          <w:tcPr>
            <w:tcW w:w="907" w:type="dxa"/>
            <w:vAlign w:val="center"/>
          </w:tcPr>
          <w:p w:rsidR="00242C36" w:rsidRPr="0042247C" w:rsidRDefault="00242C36" w:rsidP="00242C36">
            <w:pPr>
              <w:pBdr>
                <w:bar w:val="single" w:sz="6" w:color="808080"/>
              </w:pBdr>
              <w:spacing w:after="120"/>
              <w:rPr>
                <w:rFonts w:ascii="Calibri" w:eastAsia="Calibri" w:hAnsi="Calibri"/>
                <w:sz w:val="20"/>
                <w:szCs w:val="20"/>
                <w:lang w:eastAsia="en-US"/>
              </w:rPr>
            </w:pPr>
            <w:r w:rsidRPr="0042247C">
              <w:rPr>
                <w:rFonts w:ascii="Calibri" w:eastAsia="Calibri" w:hAnsi="Calibri"/>
                <w:sz w:val="20"/>
                <w:szCs w:val="20"/>
                <w:lang w:eastAsia="en-US"/>
              </w:rPr>
              <w:t>2 124</w:t>
            </w:r>
          </w:p>
        </w:tc>
        <w:tc>
          <w:tcPr>
            <w:tcW w:w="907" w:type="dxa"/>
            <w:vAlign w:val="center"/>
          </w:tcPr>
          <w:p w:rsidR="00242C36" w:rsidRPr="0042247C" w:rsidRDefault="00242C36" w:rsidP="00242C36">
            <w:pPr>
              <w:pBdr>
                <w:bar w:val="single" w:sz="6" w:color="808080"/>
              </w:pBdr>
              <w:spacing w:after="120"/>
              <w:rPr>
                <w:rFonts w:ascii="Calibri" w:eastAsia="Calibri" w:hAnsi="Calibri"/>
                <w:sz w:val="20"/>
                <w:szCs w:val="20"/>
                <w:lang w:eastAsia="en-US"/>
              </w:rPr>
            </w:pPr>
            <w:r w:rsidRPr="0042247C">
              <w:rPr>
                <w:rFonts w:ascii="Calibri" w:eastAsia="Calibri" w:hAnsi="Calibri"/>
                <w:sz w:val="20"/>
                <w:szCs w:val="20"/>
                <w:lang w:eastAsia="en-US"/>
              </w:rPr>
              <w:t>1 699</w:t>
            </w:r>
          </w:p>
        </w:tc>
        <w:tc>
          <w:tcPr>
            <w:tcW w:w="907" w:type="dxa"/>
            <w:vAlign w:val="center"/>
          </w:tcPr>
          <w:p w:rsidR="00242C36" w:rsidRPr="0042247C" w:rsidRDefault="00242C36" w:rsidP="00242C36">
            <w:pPr>
              <w:pBdr>
                <w:bar w:val="single" w:sz="6" w:color="808080"/>
              </w:pBdr>
              <w:spacing w:after="120"/>
              <w:rPr>
                <w:rFonts w:ascii="Calibri" w:eastAsia="Calibri" w:hAnsi="Calibri"/>
                <w:sz w:val="20"/>
                <w:szCs w:val="20"/>
                <w:lang w:eastAsia="en-US"/>
              </w:rPr>
            </w:pPr>
            <w:r w:rsidRPr="0042247C">
              <w:rPr>
                <w:rFonts w:ascii="Calibri" w:eastAsia="Calibri" w:hAnsi="Calibri"/>
                <w:sz w:val="20"/>
                <w:szCs w:val="20"/>
                <w:lang w:eastAsia="en-US"/>
              </w:rPr>
              <w:t>1 801</w:t>
            </w:r>
          </w:p>
        </w:tc>
        <w:tc>
          <w:tcPr>
            <w:tcW w:w="907" w:type="dxa"/>
            <w:vAlign w:val="center"/>
          </w:tcPr>
          <w:p w:rsidR="00242C36" w:rsidRPr="0042247C" w:rsidRDefault="00242C36" w:rsidP="00242C36">
            <w:pPr>
              <w:pBdr>
                <w:bar w:val="single" w:sz="6" w:color="808080"/>
              </w:pBdr>
              <w:spacing w:after="120"/>
              <w:rPr>
                <w:rFonts w:ascii="Calibri" w:eastAsia="Calibri" w:hAnsi="Calibri"/>
                <w:sz w:val="20"/>
                <w:szCs w:val="20"/>
                <w:lang w:eastAsia="en-US"/>
              </w:rPr>
            </w:pPr>
            <w:r w:rsidRPr="0042247C">
              <w:rPr>
                <w:rFonts w:ascii="Calibri" w:eastAsia="Calibri" w:hAnsi="Calibri"/>
                <w:sz w:val="20"/>
                <w:szCs w:val="20"/>
                <w:lang w:eastAsia="en-US"/>
              </w:rPr>
              <w:t>2 266</w:t>
            </w:r>
          </w:p>
        </w:tc>
        <w:tc>
          <w:tcPr>
            <w:tcW w:w="907" w:type="dxa"/>
            <w:vAlign w:val="center"/>
          </w:tcPr>
          <w:p w:rsidR="00242C36" w:rsidRPr="0042247C" w:rsidRDefault="00242C36" w:rsidP="00242C36">
            <w:pPr>
              <w:pBdr>
                <w:bar w:val="single" w:sz="6" w:color="808080"/>
              </w:pBdr>
              <w:spacing w:after="120"/>
              <w:rPr>
                <w:rFonts w:ascii="Calibri" w:eastAsia="Calibri" w:hAnsi="Calibri"/>
                <w:sz w:val="20"/>
                <w:szCs w:val="20"/>
                <w:lang w:eastAsia="en-US"/>
              </w:rPr>
            </w:pPr>
            <w:r w:rsidRPr="0042247C">
              <w:rPr>
                <w:rFonts w:ascii="Calibri" w:eastAsia="Calibri" w:hAnsi="Calibri"/>
                <w:sz w:val="20"/>
                <w:szCs w:val="20"/>
                <w:lang w:eastAsia="en-US"/>
              </w:rPr>
              <w:t>2 233</w:t>
            </w:r>
          </w:p>
        </w:tc>
      </w:tr>
    </w:tbl>
    <w:p w:rsidR="00242C36" w:rsidRPr="00113FC3" w:rsidRDefault="00242C36" w:rsidP="00242C36">
      <w:pPr>
        <w:pBdr>
          <w:bar w:val="single" w:sz="6" w:color="808080"/>
        </w:pBdr>
        <w:spacing w:after="120"/>
        <w:rPr>
          <w:rFonts w:ascii="Calibri" w:eastAsia="Calibri" w:hAnsi="Calibri"/>
          <w:sz w:val="20"/>
          <w:szCs w:val="22"/>
          <w:lang w:eastAsia="en-US"/>
        </w:rPr>
      </w:pPr>
      <w:r w:rsidRPr="00113FC3">
        <w:rPr>
          <w:rFonts w:ascii="Calibri" w:eastAsia="Calibri" w:hAnsi="Calibri"/>
          <w:sz w:val="20"/>
          <w:szCs w:val="22"/>
          <w:lang w:eastAsia="en-US"/>
        </w:rPr>
        <w:t xml:space="preserve">Zdroj: Informačné listy CD MPRV SR, </w:t>
      </w:r>
      <w:r>
        <w:rPr>
          <w:rFonts w:ascii="Calibri" w:eastAsia="Calibri" w:hAnsi="Calibri"/>
          <w:sz w:val="20"/>
          <w:szCs w:val="22"/>
          <w:lang w:eastAsia="en-US"/>
        </w:rPr>
        <w:t>NPPC-</w:t>
      </w:r>
      <w:r w:rsidRPr="00113FC3">
        <w:rPr>
          <w:rFonts w:ascii="Calibri" w:eastAsia="Calibri" w:hAnsi="Calibri"/>
          <w:sz w:val="20"/>
          <w:szCs w:val="22"/>
          <w:lang w:eastAsia="en-US"/>
        </w:rPr>
        <w:t>VÚEPP Bratislava</w:t>
      </w:r>
    </w:p>
    <w:p w:rsidR="00242C36" w:rsidRPr="00E43137" w:rsidRDefault="00242C36" w:rsidP="00242C36">
      <w:pPr>
        <w:pBdr>
          <w:bar w:val="single" w:sz="6" w:color="808080"/>
        </w:pBdr>
        <w:spacing w:after="120"/>
        <w:rPr>
          <w:rFonts w:ascii="Calibri" w:eastAsia="Calibri" w:hAnsi="Calibri"/>
          <w:szCs w:val="22"/>
          <w:lang w:eastAsia="en-US"/>
        </w:rPr>
      </w:pPr>
      <w:r w:rsidRPr="00E43137">
        <w:rPr>
          <w:rFonts w:ascii="Calibri" w:eastAsia="Calibri" w:hAnsi="Calibri"/>
          <w:szCs w:val="22"/>
          <w:lang w:eastAsia="en-US"/>
        </w:rPr>
        <w:t xml:space="preserve">Vývoj úrovne bežných dotácií bol v znevýhodnených oblastiach za obdobie r. 2007-2012 záporný, s poklesom o 6%, čo súvisí so znížením podpory znevýhodnených oblastí v r. 2011-2012 o 19%. Podpora za znevýhodnené prírodné podmienky sa podieľa na bežných dotáciách 30%-tami v horských oblastiach, 22%-tami v ostatných znevýhodnených oblastiach a 16%-tami v oblastiach so špecifickými nevýhodami. Za rovnaké obdobie došlo v produkčných oblastiach k rastu bežných dotácií v prepočte na hektár pôdy o 12%. Pritom bežné podpory tvoria v horských oblastiach až 30% výnosov, kým v produkčných iba 10%. Na vývoji bežných dotácií sa negatívne podpísalo aj zníženie podpory živočíšnej výroby, ktoré sa dotklo predovšetkým znevýhodnených oblastí. </w:t>
      </w:r>
    </w:p>
    <w:p w:rsidR="00242C36" w:rsidRDefault="00242C36" w:rsidP="00242C36">
      <w:pPr>
        <w:pBdr>
          <w:bar w:val="single" w:sz="6" w:color="808080"/>
        </w:pBdr>
        <w:spacing w:after="120"/>
        <w:rPr>
          <w:rFonts w:ascii="Calibri" w:eastAsia="Calibri" w:hAnsi="Calibri"/>
          <w:szCs w:val="22"/>
          <w:lang w:eastAsia="en-US"/>
        </w:rPr>
      </w:pPr>
      <w:r w:rsidRPr="001266E5">
        <w:rPr>
          <w:rFonts w:ascii="Calibri" w:eastAsia="Calibri" w:hAnsi="Calibri"/>
          <w:szCs w:val="22"/>
          <w:lang w:eastAsia="en-US"/>
        </w:rPr>
        <w:t>V r. 2012 iba horské oblasti dosiahli záporný hospodársky výsledok. Ostatné typy LFA vykázali zisk podobne ako produkčné oblasti. Od vypuknutia hospodárskej krízy v horských oblastiach výsledok hospodárenia stále klesá, kým ostatné typy LFA zaznamenali rast podobne ako produkčné oblasti. Najpriaznivejšia je situácia v oblastiach so špecifickými nevýhodami, kde sa dosiahol najvyšší hospodársky výsledok zo všetkých typov LFA. Štruktúra výroby je t</w:t>
      </w:r>
      <w:r>
        <w:rPr>
          <w:rFonts w:ascii="Calibri" w:eastAsia="Calibri" w:hAnsi="Calibri"/>
          <w:szCs w:val="22"/>
          <w:lang w:eastAsia="en-US"/>
        </w:rPr>
        <w:t>am</w:t>
      </w:r>
      <w:r w:rsidRPr="001266E5">
        <w:rPr>
          <w:rFonts w:ascii="Calibri" w:eastAsia="Calibri" w:hAnsi="Calibri"/>
          <w:szCs w:val="22"/>
          <w:lang w:eastAsia="en-US"/>
        </w:rPr>
        <w:t xml:space="preserve"> podobná ako v produkčných oblastiach, aj keď intenzita nedosahuje rovnakú úroveň. Klesajúca podpora </w:t>
      </w:r>
      <w:r>
        <w:rPr>
          <w:rFonts w:ascii="Calibri" w:eastAsia="Calibri" w:hAnsi="Calibri"/>
          <w:szCs w:val="22"/>
          <w:lang w:eastAsia="en-US"/>
        </w:rPr>
        <w:t>znevýhodnených oblastí</w:t>
      </w:r>
      <w:r w:rsidRPr="001266E5">
        <w:rPr>
          <w:rFonts w:ascii="Calibri" w:eastAsia="Calibri" w:hAnsi="Calibri"/>
          <w:szCs w:val="22"/>
          <w:lang w:eastAsia="en-US"/>
        </w:rPr>
        <w:t xml:space="preserve"> a výpadok podpory živočíšnej výroby, ktorá má najvýznamnejšie zastúpenie práve v horských oblastiach sa negatívne podpísala aj na výsledku hospodárenia. </w:t>
      </w:r>
    </w:p>
    <w:p w:rsidR="00242C36" w:rsidRDefault="00E32F57" w:rsidP="00242C36">
      <w:pPr>
        <w:pBdr>
          <w:bar w:val="single" w:sz="6" w:color="808080"/>
        </w:pBdr>
        <w:spacing w:after="120"/>
        <w:rPr>
          <w:rFonts w:ascii="Calibri" w:eastAsia="Calibri" w:hAnsi="Calibri"/>
          <w:szCs w:val="22"/>
          <w:lang w:eastAsia="en-US"/>
        </w:rPr>
      </w:pPr>
      <w:r>
        <w:rPr>
          <w:rFonts w:ascii="Calibri" w:eastAsia="Calibri" w:hAnsi="Calibri"/>
          <w:b/>
          <w:bCs/>
          <w:szCs w:val="22"/>
          <w:lang w:eastAsia="en-US"/>
        </w:rPr>
        <w:t xml:space="preserve">Tabuľka 44: </w:t>
      </w:r>
      <w:r w:rsidR="00242C36">
        <w:rPr>
          <w:rFonts w:ascii="Calibri" w:eastAsia="Calibri" w:hAnsi="Calibri"/>
          <w:b/>
          <w:bCs/>
          <w:szCs w:val="22"/>
          <w:lang w:eastAsia="en-US"/>
        </w:rPr>
        <w:t>Vývoj h</w:t>
      </w:r>
      <w:r w:rsidR="00242C36" w:rsidRPr="001266E5">
        <w:rPr>
          <w:rFonts w:ascii="Calibri" w:eastAsia="Calibri" w:hAnsi="Calibri"/>
          <w:b/>
          <w:bCs/>
          <w:szCs w:val="22"/>
          <w:lang w:eastAsia="en-US"/>
        </w:rPr>
        <w:t>ospodársk</w:t>
      </w:r>
      <w:r w:rsidR="00242C36">
        <w:rPr>
          <w:rFonts w:ascii="Calibri" w:eastAsia="Calibri" w:hAnsi="Calibri"/>
          <w:b/>
          <w:bCs/>
          <w:szCs w:val="22"/>
          <w:lang w:eastAsia="en-US"/>
        </w:rPr>
        <w:t>eho</w:t>
      </w:r>
      <w:r w:rsidR="00242C36" w:rsidRPr="001266E5">
        <w:rPr>
          <w:rFonts w:ascii="Calibri" w:eastAsia="Calibri" w:hAnsi="Calibri"/>
          <w:b/>
          <w:bCs/>
          <w:szCs w:val="22"/>
          <w:lang w:eastAsia="en-US"/>
        </w:rPr>
        <w:t xml:space="preserve"> výsledk</w:t>
      </w:r>
      <w:r w:rsidR="00242C36">
        <w:rPr>
          <w:rFonts w:ascii="Calibri" w:eastAsia="Calibri" w:hAnsi="Calibri"/>
          <w:b/>
          <w:bCs/>
          <w:szCs w:val="22"/>
          <w:lang w:eastAsia="en-US"/>
        </w:rPr>
        <w:t>u</w:t>
      </w:r>
      <w:r w:rsidR="00242C36" w:rsidRPr="001266E5">
        <w:rPr>
          <w:rFonts w:ascii="Calibri" w:eastAsia="Calibri" w:hAnsi="Calibri"/>
          <w:b/>
          <w:bCs/>
          <w:szCs w:val="22"/>
          <w:lang w:eastAsia="en-US"/>
        </w:rPr>
        <w:t xml:space="preserve"> </w:t>
      </w:r>
      <w:r w:rsidR="00242C36">
        <w:rPr>
          <w:rFonts w:ascii="Calibri" w:eastAsia="Calibri" w:hAnsi="Calibri"/>
          <w:b/>
          <w:bCs/>
          <w:szCs w:val="22"/>
          <w:lang w:eastAsia="en-US"/>
        </w:rPr>
        <w:t>v LFA (Eur/ha)</w:t>
      </w:r>
    </w:p>
    <w:tbl>
      <w:tblPr>
        <w:tblW w:w="90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28"/>
        <w:gridCol w:w="907"/>
        <w:gridCol w:w="907"/>
        <w:gridCol w:w="907"/>
        <w:gridCol w:w="907"/>
        <w:gridCol w:w="907"/>
        <w:gridCol w:w="907"/>
      </w:tblGrid>
      <w:tr w:rsidR="00242C36" w:rsidRPr="0042247C" w:rsidTr="00242C36">
        <w:trPr>
          <w:trHeight w:val="163"/>
          <w:jc w:val="center"/>
        </w:trPr>
        <w:tc>
          <w:tcPr>
            <w:tcW w:w="3628" w:type="dxa"/>
            <w:vAlign w:val="center"/>
          </w:tcPr>
          <w:p w:rsidR="00242C36" w:rsidRPr="0042247C" w:rsidRDefault="00242C36" w:rsidP="00242C36">
            <w:pPr>
              <w:pBdr>
                <w:bar w:val="single" w:sz="6" w:color="808080"/>
              </w:pBdr>
              <w:spacing w:after="120"/>
              <w:rPr>
                <w:rFonts w:ascii="Calibri" w:eastAsia="Calibri" w:hAnsi="Calibri"/>
                <w:b/>
                <w:bCs/>
                <w:i/>
                <w:sz w:val="20"/>
                <w:szCs w:val="20"/>
                <w:lang w:eastAsia="en-US"/>
              </w:rPr>
            </w:pPr>
            <w:r w:rsidRPr="0042247C">
              <w:rPr>
                <w:rFonts w:ascii="Calibri" w:eastAsia="Calibri" w:hAnsi="Calibri"/>
                <w:b/>
                <w:bCs/>
                <w:i/>
                <w:sz w:val="20"/>
                <w:szCs w:val="20"/>
                <w:lang w:eastAsia="en-US"/>
              </w:rPr>
              <w:t>Typ LFA</w:t>
            </w:r>
          </w:p>
        </w:tc>
        <w:tc>
          <w:tcPr>
            <w:tcW w:w="907" w:type="dxa"/>
          </w:tcPr>
          <w:p w:rsidR="00242C36" w:rsidRPr="0042247C" w:rsidRDefault="00242C36" w:rsidP="00242C36">
            <w:pPr>
              <w:pBdr>
                <w:bar w:val="single" w:sz="6" w:color="808080"/>
              </w:pBdr>
              <w:spacing w:after="120"/>
              <w:rPr>
                <w:rFonts w:ascii="Calibri" w:eastAsia="Calibri" w:hAnsi="Calibri"/>
                <w:b/>
                <w:bCs/>
                <w:i/>
                <w:sz w:val="20"/>
                <w:szCs w:val="20"/>
                <w:lang w:eastAsia="en-US"/>
              </w:rPr>
            </w:pPr>
            <w:r w:rsidRPr="0042247C">
              <w:rPr>
                <w:rFonts w:ascii="Calibri" w:eastAsia="Calibri" w:hAnsi="Calibri"/>
                <w:b/>
                <w:bCs/>
                <w:i/>
                <w:sz w:val="20"/>
                <w:szCs w:val="20"/>
                <w:lang w:eastAsia="en-US"/>
              </w:rPr>
              <w:t>2007</w:t>
            </w:r>
          </w:p>
        </w:tc>
        <w:tc>
          <w:tcPr>
            <w:tcW w:w="907" w:type="dxa"/>
          </w:tcPr>
          <w:p w:rsidR="00242C36" w:rsidRPr="0042247C" w:rsidRDefault="00242C36" w:rsidP="00242C36">
            <w:pPr>
              <w:pBdr>
                <w:bar w:val="single" w:sz="6" w:color="808080"/>
              </w:pBdr>
              <w:spacing w:after="120"/>
              <w:rPr>
                <w:rFonts w:ascii="Calibri" w:eastAsia="Calibri" w:hAnsi="Calibri"/>
                <w:b/>
                <w:bCs/>
                <w:i/>
                <w:sz w:val="20"/>
                <w:szCs w:val="20"/>
                <w:lang w:eastAsia="en-US"/>
              </w:rPr>
            </w:pPr>
            <w:r w:rsidRPr="0042247C">
              <w:rPr>
                <w:rFonts w:ascii="Calibri" w:eastAsia="Calibri" w:hAnsi="Calibri"/>
                <w:b/>
                <w:bCs/>
                <w:i/>
                <w:sz w:val="20"/>
                <w:szCs w:val="20"/>
                <w:lang w:eastAsia="en-US"/>
              </w:rPr>
              <w:t>2008</w:t>
            </w:r>
          </w:p>
        </w:tc>
        <w:tc>
          <w:tcPr>
            <w:tcW w:w="907" w:type="dxa"/>
          </w:tcPr>
          <w:p w:rsidR="00242C36" w:rsidRPr="0042247C" w:rsidRDefault="00242C36" w:rsidP="00242C36">
            <w:pPr>
              <w:pBdr>
                <w:bar w:val="single" w:sz="6" w:color="808080"/>
              </w:pBdr>
              <w:spacing w:after="120"/>
              <w:rPr>
                <w:rFonts w:ascii="Calibri" w:eastAsia="Calibri" w:hAnsi="Calibri"/>
                <w:b/>
                <w:bCs/>
                <w:i/>
                <w:sz w:val="20"/>
                <w:szCs w:val="20"/>
                <w:lang w:eastAsia="en-US"/>
              </w:rPr>
            </w:pPr>
            <w:r w:rsidRPr="0042247C">
              <w:rPr>
                <w:rFonts w:ascii="Calibri" w:eastAsia="Calibri" w:hAnsi="Calibri"/>
                <w:b/>
                <w:bCs/>
                <w:i/>
                <w:sz w:val="20"/>
                <w:szCs w:val="20"/>
                <w:lang w:eastAsia="en-US"/>
              </w:rPr>
              <w:t>2009</w:t>
            </w:r>
          </w:p>
        </w:tc>
        <w:tc>
          <w:tcPr>
            <w:tcW w:w="907" w:type="dxa"/>
          </w:tcPr>
          <w:p w:rsidR="00242C36" w:rsidRPr="0042247C" w:rsidRDefault="00242C36" w:rsidP="00242C36">
            <w:pPr>
              <w:pBdr>
                <w:bar w:val="single" w:sz="6" w:color="808080"/>
              </w:pBdr>
              <w:spacing w:after="120"/>
              <w:rPr>
                <w:rFonts w:ascii="Calibri" w:eastAsia="Calibri" w:hAnsi="Calibri"/>
                <w:b/>
                <w:bCs/>
                <w:i/>
                <w:sz w:val="20"/>
                <w:szCs w:val="20"/>
                <w:lang w:eastAsia="en-US"/>
              </w:rPr>
            </w:pPr>
            <w:r w:rsidRPr="0042247C">
              <w:rPr>
                <w:rFonts w:ascii="Calibri" w:eastAsia="Calibri" w:hAnsi="Calibri"/>
                <w:b/>
                <w:bCs/>
                <w:i/>
                <w:sz w:val="20"/>
                <w:szCs w:val="20"/>
                <w:lang w:eastAsia="en-US"/>
              </w:rPr>
              <w:t>2010</w:t>
            </w:r>
          </w:p>
        </w:tc>
        <w:tc>
          <w:tcPr>
            <w:tcW w:w="907" w:type="dxa"/>
          </w:tcPr>
          <w:p w:rsidR="00242C36" w:rsidRPr="0042247C" w:rsidRDefault="00242C36" w:rsidP="00242C36">
            <w:pPr>
              <w:pBdr>
                <w:bar w:val="single" w:sz="6" w:color="808080"/>
              </w:pBdr>
              <w:spacing w:after="120"/>
              <w:rPr>
                <w:rFonts w:ascii="Calibri" w:eastAsia="Calibri" w:hAnsi="Calibri"/>
                <w:b/>
                <w:bCs/>
                <w:i/>
                <w:sz w:val="20"/>
                <w:szCs w:val="20"/>
                <w:lang w:eastAsia="en-US"/>
              </w:rPr>
            </w:pPr>
            <w:r w:rsidRPr="0042247C">
              <w:rPr>
                <w:rFonts w:ascii="Calibri" w:eastAsia="Calibri" w:hAnsi="Calibri"/>
                <w:b/>
                <w:bCs/>
                <w:i/>
                <w:sz w:val="20"/>
                <w:szCs w:val="20"/>
                <w:lang w:eastAsia="en-US"/>
              </w:rPr>
              <w:t>2011</w:t>
            </w:r>
          </w:p>
        </w:tc>
        <w:tc>
          <w:tcPr>
            <w:tcW w:w="907" w:type="dxa"/>
          </w:tcPr>
          <w:p w:rsidR="00242C36" w:rsidRPr="0042247C" w:rsidRDefault="00242C36" w:rsidP="00242C36">
            <w:pPr>
              <w:pBdr>
                <w:bar w:val="single" w:sz="6" w:color="808080"/>
              </w:pBdr>
              <w:spacing w:after="120"/>
              <w:rPr>
                <w:rFonts w:ascii="Calibri" w:eastAsia="Calibri" w:hAnsi="Calibri"/>
                <w:b/>
                <w:bCs/>
                <w:i/>
                <w:sz w:val="20"/>
                <w:szCs w:val="20"/>
                <w:lang w:eastAsia="en-US"/>
              </w:rPr>
            </w:pPr>
            <w:r w:rsidRPr="0042247C">
              <w:rPr>
                <w:rFonts w:ascii="Calibri" w:eastAsia="Calibri" w:hAnsi="Calibri"/>
                <w:b/>
                <w:bCs/>
                <w:i/>
                <w:sz w:val="20"/>
                <w:szCs w:val="20"/>
                <w:lang w:eastAsia="en-US"/>
              </w:rPr>
              <w:t>2012</w:t>
            </w:r>
          </w:p>
        </w:tc>
      </w:tr>
      <w:tr w:rsidR="00242C36" w:rsidRPr="0042247C" w:rsidTr="00242C36">
        <w:trPr>
          <w:trHeight w:val="163"/>
          <w:jc w:val="center"/>
        </w:trPr>
        <w:tc>
          <w:tcPr>
            <w:tcW w:w="3628" w:type="dxa"/>
            <w:vAlign w:val="center"/>
          </w:tcPr>
          <w:p w:rsidR="00242C36" w:rsidRPr="0042247C" w:rsidRDefault="00242C36" w:rsidP="00242C36">
            <w:pPr>
              <w:pBdr>
                <w:bar w:val="single" w:sz="6" w:color="808080"/>
              </w:pBdr>
              <w:spacing w:after="120"/>
              <w:rPr>
                <w:rFonts w:ascii="Calibri" w:eastAsia="Calibri" w:hAnsi="Calibri"/>
                <w:b/>
                <w:bCs/>
                <w:sz w:val="20"/>
                <w:szCs w:val="20"/>
                <w:lang w:eastAsia="en-US"/>
              </w:rPr>
            </w:pPr>
            <w:r w:rsidRPr="0042247C">
              <w:rPr>
                <w:rFonts w:ascii="Calibri" w:eastAsia="Calibri" w:hAnsi="Calibri"/>
                <w:b/>
                <w:bCs/>
                <w:sz w:val="20"/>
                <w:szCs w:val="20"/>
                <w:lang w:eastAsia="en-US"/>
              </w:rPr>
              <w:t>Horské oblasti</w:t>
            </w:r>
          </w:p>
        </w:tc>
        <w:tc>
          <w:tcPr>
            <w:tcW w:w="907" w:type="dxa"/>
            <w:vAlign w:val="bottom"/>
          </w:tcPr>
          <w:p w:rsidR="00242C36" w:rsidRPr="0042247C" w:rsidRDefault="00242C36" w:rsidP="00242C36">
            <w:pPr>
              <w:pBdr>
                <w:bar w:val="single" w:sz="6" w:color="808080"/>
              </w:pBdr>
              <w:spacing w:after="120"/>
              <w:rPr>
                <w:rFonts w:ascii="Calibri" w:eastAsia="Calibri" w:hAnsi="Calibri"/>
                <w:sz w:val="20"/>
                <w:szCs w:val="20"/>
                <w:lang w:eastAsia="en-US"/>
              </w:rPr>
            </w:pPr>
            <w:r w:rsidRPr="0042247C">
              <w:rPr>
                <w:rFonts w:ascii="Calibri" w:eastAsia="Calibri" w:hAnsi="Calibri"/>
                <w:sz w:val="20"/>
                <w:szCs w:val="20"/>
                <w:lang w:eastAsia="en-US"/>
              </w:rPr>
              <w:t>42</w:t>
            </w:r>
          </w:p>
        </w:tc>
        <w:tc>
          <w:tcPr>
            <w:tcW w:w="907" w:type="dxa"/>
            <w:vAlign w:val="bottom"/>
          </w:tcPr>
          <w:p w:rsidR="00242C36" w:rsidRPr="0042247C" w:rsidRDefault="00242C36" w:rsidP="00242C36">
            <w:pPr>
              <w:pBdr>
                <w:bar w:val="single" w:sz="6" w:color="808080"/>
              </w:pBdr>
              <w:spacing w:after="120"/>
              <w:rPr>
                <w:rFonts w:ascii="Calibri" w:eastAsia="Calibri" w:hAnsi="Calibri"/>
                <w:sz w:val="20"/>
                <w:szCs w:val="20"/>
                <w:lang w:eastAsia="en-US"/>
              </w:rPr>
            </w:pPr>
            <w:r w:rsidRPr="0042247C">
              <w:rPr>
                <w:rFonts w:ascii="Calibri" w:eastAsia="Calibri" w:hAnsi="Calibri"/>
                <w:sz w:val="20"/>
                <w:szCs w:val="20"/>
                <w:lang w:eastAsia="en-US"/>
              </w:rPr>
              <w:t>24</w:t>
            </w:r>
          </w:p>
        </w:tc>
        <w:tc>
          <w:tcPr>
            <w:tcW w:w="907" w:type="dxa"/>
            <w:vAlign w:val="bottom"/>
          </w:tcPr>
          <w:p w:rsidR="00242C36" w:rsidRPr="0042247C" w:rsidRDefault="00242C36" w:rsidP="00242C36">
            <w:pPr>
              <w:pBdr>
                <w:bar w:val="single" w:sz="6" w:color="808080"/>
              </w:pBdr>
              <w:spacing w:after="120"/>
              <w:rPr>
                <w:rFonts w:ascii="Calibri" w:eastAsia="Calibri" w:hAnsi="Calibri"/>
                <w:sz w:val="20"/>
                <w:szCs w:val="20"/>
                <w:lang w:eastAsia="en-US"/>
              </w:rPr>
            </w:pPr>
            <w:r w:rsidRPr="0042247C">
              <w:rPr>
                <w:rFonts w:ascii="Calibri" w:eastAsia="Calibri" w:hAnsi="Calibri"/>
                <w:sz w:val="20"/>
                <w:szCs w:val="20"/>
                <w:lang w:eastAsia="en-US"/>
              </w:rPr>
              <w:t>2</w:t>
            </w:r>
          </w:p>
        </w:tc>
        <w:tc>
          <w:tcPr>
            <w:tcW w:w="907" w:type="dxa"/>
            <w:vAlign w:val="bottom"/>
          </w:tcPr>
          <w:p w:rsidR="00242C36" w:rsidRPr="0042247C" w:rsidRDefault="00242C36" w:rsidP="00242C36">
            <w:pPr>
              <w:pBdr>
                <w:bar w:val="single" w:sz="6" w:color="808080"/>
              </w:pBdr>
              <w:spacing w:after="120"/>
              <w:rPr>
                <w:rFonts w:ascii="Calibri" w:eastAsia="Calibri" w:hAnsi="Calibri"/>
                <w:sz w:val="20"/>
                <w:szCs w:val="20"/>
                <w:lang w:eastAsia="en-US"/>
              </w:rPr>
            </w:pPr>
            <w:r w:rsidRPr="0042247C">
              <w:rPr>
                <w:rFonts w:ascii="Calibri" w:eastAsia="Calibri" w:hAnsi="Calibri"/>
                <w:sz w:val="20"/>
                <w:szCs w:val="20"/>
                <w:lang w:eastAsia="en-US"/>
              </w:rPr>
              <w:t>5</w:t>
            </w:r>
          </w:p>
        </w:tc>
        <w:tc>
          <w:tcPr>
            <w:tcW w:w="907" w:type="dxa"/>
            <w:vAlign w:val="bottom"/>
          </w:tcPr>
          <w:p w:rsidR="00242C36" w:rsidRPr="0042247C" w:rsidRDefault="00242C36" w:rsidP="00242C36">
            <w:pPr>
              <w:pBdr>
                <w:bar w:val="single" w:sz="6" w:color="808080"/>
              </w:pBdr>
              <w:spacing w:after="120"/>
              <w:rPr>
                <w:rFonts w:ascii="Calibri" w:eastAsia="Calibri" w:hAnsi="Calibri"/>
                <w:sz w:val="20"/>
                <w:szCs w:val="20"/>
                <w:lang w:eastAsia="en-US"/>
              </w:rPr>
            </w:pPr>
            <w:r w:rsidRPr="0042247C">
              <w:rPr>
                <w:rFonts w:ascii="Calibri" w:eastAsia="Calibri" w:hAnsi="Calibri"/>
                <w:sz w:val="20"/>
                <w:szCs w:val="20"/>
                <w:lang w:eastAsia="en-US"/>
              </w:rPr>
              <w:t>-15</w:t>
            </w:r>
          </w:p>
        </w:tc>
        <w:tc>
          <w:tcPr>
            <w:tcW w:w="907" w:type="dxa"/>
            <w:vAlign w:val="bottom"/>
          </w:tcPr>
          <w:p w:rsidR="00242C36" w:rsidRPr="0042247C" w:rsidRDefault="00242C36" w:rsidP="00242C36">
            <w:pPr>
              <w:pBdr>
                <w:bar w:val="single" w:sz="6" w:color="808080"/>
              </w:pBdr>
              <w:spacing w:after="120"/>
              <w:rPr>
                <w:rFonts w:ascii="Calibri" w:eastAsia="Calibri" w:hAnsi="Calibri"/>
                <w:sz w:val="20"/>
                <w:szCs w:val="20"/>
                <w:lang w:eastAsia="en-US"/>
              </w:rPr>
            </w:pPr>
            <w:r w:rsidRPr="0042247C">
              <w:rPr>
                <w:rFonts w:ascii="Calibri" w:eastAsia="Calibri" w:hAnsi="Calibri"/>
                <w:sz w:val="20"/>
                <w:szCs w:val="20"/>
                <w:lang w:eastAsia="en-US"/>
              </w:rPr>
              <w:t>-18</w:t>
            </w:r>
          </w:p>
        </w:tc>
      </w:tr>
      <w:tr w:rsidR="00242C36" w:rsidRPr="0042247C" w:rsidTr="00242C36">
        <w:trPr>
          <w:trHeight w:val="163"/>
          <w:jc w:val="center"/>
        </w:trPr>
        <w:tc>
          <w:tcPr>
            <w:tcW w:w="3628" w:type="dxa"/>
            <w:vAlign w:val="center"/>
          </w:tcPr>
          <w:p w:rsidR="00242C36" w:rsidRPr="0042247C" w:rsidRDefault="00242C36" w:rsidP="00242C36">
            <w:pPr>
              <w:pBdr>
                <w:bar w:val="single" w:sz="6" w:color="808080"/>
              </w:pBdr>
              <w:spacing w:after="120"/>
              <w:rPr>
                <w:rFonts w:ascii="Calibri" w:eastAsia="Calibri" w:hAnsi="Calibri"/>
                <w:b/>
                <w:bCs/>
                <w:sz w:val="20"/>
                <w:szCs w:val="20"/>
                <w:lang w:eastAsia="en-US"/>
              </w:rPr>
            </w:pPr>
            <w:r w:rsidRPr="0042247C">
              <w:rPr>
                <w:rFonts w:ascii="Calibri" w:eastAsia="Calibri" w:hAnsi="Calibri"/>
                <w:b/>
                <w:bCs/>
                <w:sz w:val="20"/>
                <w:szCs w:val="20"/>
                <w:lang w:eastAsia="en-US"/>
              </w:rPr>
              <w:t>Ostatné znevýhodnené oblasti</w:t>
            </w:r>
          </w:p>
        </w:tc>
        <w:tc>
          <w:tcPr>
            <w:tcW w:w="907" w:type="dxa"/>
            <w:vAlign w:val="bottom"/>
          </w:tcPr>
          <w:p w:rsidR="00242C36" w:rsidRPr="0042247C" w:rsidRDefault="00242C36" w:rsidP="00242C36">
            <w:pPr>
              <w:pBdr>
                <w:bar w:val="single" w:sz="6" w:color="808080"/>
              </w:pBdr>
              <w:spacing w:after="120"/>
              <w:rPr>
                <w:rFonts w:ascii="Calibri" w:eastAsia="Calibri" w:hAnsi="Calibri"/>
                <w:sz w:val="20"/>
                <w:szCs w:val="20"/>
                <w:lang w:eastAsia="en-US"/>
              </w:rPr>
            </w:pPr>
            <w:r w:rsidRPr="0042247C">
              <w:rPr>
                <w:rFonts w:ascii="Calibri" w:eastAsia="Calibri" w:hAnsi="Calibri"/>
                <w:sz w:val="20"/>
                <w:szCs w:val="20"/>
                <w:lang w:eastAsia="en-US"/>
              </w:rPr>
              <w:t>49</w:t>
            </w:r>
          </w:p>
        </w:tc>
        <w:tc>
          <w:tcPr>
            <w:tcW w:w="907" w:type="dxa"/>
            <w:vAlign w:val="bottom"/>
          </w:tcPr>
          <w:p w:rsidR="00242C36" w:rsidRPr="0042247C" w:rsidRDefault="00242C36" w:rsidP="00242C36">
            <w:pPr>
              <w:pBdr>
                <w:bar w:val="single" w:sz="6" w:color="808080"/>
              </w:pBdr>
              <w:spacing w:after="120"/>
              <w:rPr>
                <w:rFonts w:ascii="Calibri" w:eastAsia="Calibri" w:hAnsi="Calibri"/>
                <w:sz w:val="20"/>
                <w:szCs w:val="20"/>
                <w:lang w:eastAsia="en-US"/>
              </w:rPr>
            </w:pPr>
            <w:r w:rsidRPr="0042247C">
              <w:rPr>
                <w:rFonts w:ascii="Calibri" w:eastAsia="Calibri" w:hAnsi="Calibri"/>
                <w:sz w:val="20"/>
                <w:szCs w:val="20"/>
                <w:lang w:eastAsia="en-US"/>
              </w:rPr>
              <w:t>43</w:t>
            </w:r>
          </w:p>
        </w:tc>
        <w:tc>
          <w:tcPr>
            <w:tcW w:w="907" w:type="dxa"/>
            <w:vAlign w:val="bottom"/>
          </w:tcPr>
          <w:p w:rsidR="00242C36" w:rsidRPr="0042247C" w:rsidRDefault="00242C36" w:rsidP="00242C36">
            <w:pPr>
              <w:pBdr>
                <w:bar w:val="single" w:sz="6" w:color="808080"/>
              </w:pBdr>
              <w:spacing w:after="120"/>
              <w:rPr>
                <w:rFonts w:ascii="Calibri" w:eastAsia="Calibri" w:hAnsi="Calibri"/>
                <w:sz w:val="20"/>
                <w:szCs w:val="20"/>
                <w:lang w:eastAsia="en-US"/>
              </w:rPr>
            </w:pPr>
            <w:r w:rsidRPr="0042247C">
              <w:rPr>
                <w:rFonts w:ascii="Calibri" w:eastAsia="Calibri" w:hAnsi="Calibri"/>
                <w:sz w:val="20"/>
                <w:szCs w:val="20"/>
                <w:lang w:eastAsia="en-US"/>
              </w:rPr>
              <w:t>-7</w:t>
            </w:r>
          </w:p>
        </w:tc>
        <w:tc>
          <w:tcPr>
            <w:tcW w:w="907" w:type="dxa"/>
            <w:vAlign w:val="bottom"/>
          </w:tcPr>
          <w:p w:rsidR="00242C36" w:rsidRPr="0042247C" w:rsidRDefault="00242C36" w:rsidP="00242C36">
            <w:pPr>
              <w:pBdr>
                <w:bar w:val="single" w:sz="6" w:color="808080"/>
              </w:pBdr>
              <w:spacing w:after="120"/>
              <w:rPr>
                <w:rFonts w:ascii="Calibri" w:eastAsia="Calibri" w:hAnsi="Calibri"/>
                <w:sz w:val="20"/>
                <w:szCs w:val="20"/>
                <w:lang w:eastAsia="en-US"/>
              </w:rPr>
            </w:pPr>
            <w:r w:rsidRPr="0042247C">
              <w:rPr>
                <w:rFonts w:ascii="Calibri" w:eastAsia="Calibri" w:hAnsi="Calibri"/>
                <w:sz w:val="20"/>
                <w:szCs w:val="20"/>
                <w:lang w:eastAsia="en-US"/>
              </w:rPr>
              <w:t>-8</w:t>
            </w:r>
          </w:p>
        </w:tc>
        <w:tc>
          <w:tcPr>
            <w:tcW w:w="907" w:type="dxa"/>
            <w:vAlign w:val="bottom"/>
          </w:tcPr>
          <w:p w:rsidR="00242C36" w:rsidRPr="0042247C" w:rsidRDefault="00242C36" w:rsidP="00242C36">
            <w:pPr>
              <w:pBdr>
                <w:bar w:val="single" w:sz="6" w:color="808080"/>
              </w:pBdr>
              <w:spacing w:after="120"/>
              <w:rPr>
                <w:rFonts w:ascii="Calibri" w:eastAsia="Calibri" w:hAnsi="Calibri"/>
                <w:sz w:val="20"/>
                <w:szCs w:val="20"/>
                <w:lang w:eastAsia="en-US"/>
              </w:rPr>
            </w:pPr>
            <w:r w:rsidRPr="0042247C">
              <w:rPr>
                <w:rFonts w:ascii="Calibri" w:eastAsia="Calibri" w:hAnsi="Calibri"/>
                <w:sz w:val="20"/>
                <w:szCs w:val="20"/>
                <w:lang w:eastAsia="en-US"/>
              </w:rPr>
              <w:t>11</w:t>
            </w:r>
          </w:p>
        </w:tc>
        <w:tc>
          <w:tcPr>
            <w:tcW w:w="907" w:type="dxa"/>
            <w:vAlign w:val="bottom"/>
          </w:tcPr>
          <w:p w:rsidR="00242C36" w:rsidRPr="0042247C" w:rsidRDefault="00242C36" w:rsidP="00242C36">
            <w:pPr>
              <w:pBdr>
                <w:bar w:val="single" w:sz="6" w:color="808080"/>
              </w:pBdr>
              <w:spacing w:after="120"/>
              <w:rPr>
                <w:rFonts w:ascii="Calibri" w:eastAsia="Calibri" w:hAnsi="Calibri"/>
                <w:sz w:val="20"/>
                <w:szCs w:val="20"/>
                <w:lang w:eastAsia="en-US"/>
              </w:rPr>
            </w:pPr>
            <w:r w:rsidRPr="0042247C">
              <w:rPr>
                <w:rFonts w:ascii="Calibri" w:eastAsia="Calibri" w:hAnsi="Calibri"/>
                <w:sz w:val="20"/>
                <w:szCs w:val="20"/>
                <w:lang w:eastAsia="en-US"/>
              </w:rPr>
              <w:t>1</w:t>
            </w:r>
          </w:p>
        </w:tc>
      </w:tr>
      <w:tr w:rsidR="00242C36" w:rsidRPr="0042247C" w:rsidTr="00242C36">
        <w:trPr>
          <w:trHeight w:val="163"/>
          <w:jc w:val="center"/>
        </w:trPr>
        <w:tc>
          <w:tcPr>
            <w:tcW w:w="3628" w:type="dxa"/>
            <w:vAlign w:val="center"/>
          </w:tcPr>
          <w:p w:rsidR="00242C36" w:rsidRPr="0042247C" w:rsidRDefault="00242C36" w:rsidP="00242C36">
            <w:pPr>
              <w:pBdr>
                <w:bar w:val="single" w:sz="6" w:color="808080"/>
              </w:pBdr>
              <w:spacing w:after="120"/>
              <w:rPr>
                <w:rFonts w:ascii="Calibri" w:eastAsia="Calibri" w:hAnsi="Calibri"/>
                <w:b/>
                <w:bCs/>
                <w:sz w:val="20"/>
                <w:szCs w:val="20"/>
                <w:lang w:eastAsia="en-US"/>
              </w:rPr>
            </w:pPr>
            <w:r w:rsidRPr="0042247C">
              <w:rPr>
                <w:rFonts w:ascii="Calibri" w:eastAsia="Calibri" w:hAnsi="Calibri"/>
                <w:b/>
                <w:bCs/>
                <w:sz w:val="20"/>
                <w:szCs w:val="20"/>
                <w:lang w:eastAsia="en-US"/>
              </w:rPr>
              <w:t>Oblasti so špecifickými nevýhodami</w:t>
            </w:r>
          </w:p>
        </w:tc>
        <w:tc>
          <w:tcPr>
            <w:tcW w:w="907" w:type="dxa"/>
            <w:vAlign w:val="bottom"/>
          </w:tcPr>
          <w:p w:rsidR="00242C36" w:rsidRPr="0042247C" w:rsidRDefault="00242C36" w:rsidP="00242C36">
            <w:pPr>
              <w:pBdr>
                <w:bar w:val="single" w:sz="6" w:color="808080"/>
              </w:pBdr>
              <w:spacing w:after="120"/>
              <w:rPr>
                <w:rFonts w:ascii="Calibri" w:eastAsia="Calibri" w:hAnsi="Calibri"/>
                <w:sz w:val="20"/>
                <w:szCs w:val="20"/>
                <w:lang w:eastAsia="en-US"/>
              </w:rPr>
            </w:pPr>
            <w:r w:rsidRPr="0042247C">
              <w:rPr>
                <w:rFonts w:ascii="Calibri" w:eastAsia="Calibri" w:hAnsi="Calibri"/>
                <w:sz w:val="20"/>
                <w:szCs w:val="20"/>
                <w:lang w:eastAsia="en-US"/>
              </w:rPr>
              <w:t>34</w:t>
            </w:r>
          </w:p>
        </w:tc>
        <w:tc>
          <w:tcPr>
            <w:tcW w:w="907" w:type="dxa"/>
            <w:vAlign w:val="bottom"/>
          </w:tcPr>
          <w:p w:rsidR="00242C36" w:rsidRPr="0042247C" w:rsidRDefault="00242C36" w:rsidP="00242C36">
            <w:pPr>
              <w:pBdr>
                <w:bar w:val="single" w:sz="6" w:color="808080"/>
              </w:pBdr>
              <w:spacing w:after="120"/>
              <w:rPr>
                <w:rFonts w:ascii="Calibri" w:eastAsia="Calibri" w:hAnsi="Calibri"/>
                <w:sz w:val="20"/>
                <w:szCs w:val="20"/>
                <w:lang w:eastAsia="en-US"/>
              </w:rPr>
            </w:pPr>
            <w:r w:rsidRPr="0042247C">
              <w:rPr>
                <w:rFonts w:ascii="Calibri" w:eastAsia="Calibri" w:hAnsi="Calibri"/>
                <w:sz w:val="20"/>
                <w:szCs w:val="20"/>
                <w:lang w:eastAsia="en-US"/>
              </w:rPr>
              <w:t>24</w:t>
            </w:r>
          </w:p>
        </w:tc>
        <w:tc>
          <w:tcPr>
            <w:tcW w:w="907" w:type="dxa"/>
            <w:vAlign w:val="bottom"/>
          </w:tcPr>
          <w:p w:rsidR="00242C36" w:rsidRPr="0042247C" w:rsidRDefault="00242C36" w:rsidP="00242C36">
            <w:pPr>
              <w:pBdr>
                <w:bar w:val="single" w:sz="6" w:color="808080"/>
              </w:pBdr>
              <w:spacing w:after="120"/>
              <w:rPr>
                <w:rFonts w:ascii="Calibri" w:eastAsia="Calibri" w:hAnsi="Calibri"/>
                <w:sz w:val="20"/>
                <w:szCs w:val="20"/>
                <w:lang w:eastAsia="en-US"/>
              </w:rPr>
            </w:pPr>
            <w:r w:rsidRPr="0042247C">
              <w:rPr>
                <w:rFonts w:ascii="Calibri" w:eastAsia="Calibri" w:hAnsi="Calibri"/>
                <w:sz w:val="20"/>
                <w:szCs w:val="20"/>
                <w:lang w:eastAsia="en-US"/>
              </w:rPr>
              <w:t>-45</w:t>
            </w:r>
          </w:p>
        </w:tc>
        <w:tc>
          <w:tcPr>
            <w:tcW w:w="907" w:type="dxa"/>
            <w:vAlign w:val="bottom"/>
          </w:tcPr>
          <w:p w:rsidR="00242C36" w:rsidRPr="0042247C" w:rsidRDefault="00242C36" w:rsidP="00242C36">
            <w:pPr>
              <w:pBdr>
                <w:bar w:val="single" w:sz="6" w:color="808080"/>
              </w:pBdr>
              <w:spacing w:after="120"/>
              <w:rPr>
                <w:rFonts w:ascii="Calibri" w:eastAsia="Calibri" w:hAnsi="Calibri"/>
                <w:sz w:val="20"/>
                <w:szCs w:val="20"/>
                <w:lang w:eastAsia="en-US"/>
              </w:rPr>
            </w:pPr>
            <w:r w:rsidRPr="0042247C">
              <w:rPr>
                <w:rFonts w:ascii="Calibri" w:eastAsia="Calibri" w:hAnsi="Calibri"/>
                <w:sz w:val="20"/>
                <w:szCs w:val="20"/>
                <w:lang w:eastAsia="en-US"/>
              </w:rPr>
              <w:t>-7</w:t>
            </w:r>
          </w:p>
        </w:tc>
        <w:tc>
          <w:tcPr>
            <w:tcW w:w="907" w:type="dxa"/>
            <w:vAlign w:val="bottom"/>
          </w:tcPr>
          <w:p w:rsidR="00242C36" w:rsidRPr="0042247C" w:rsidRDefault="00242C36" w:rsidP="00242C36">
            <w:pPr>
              <w:pBdr>
                <w:bar w:val="single" w:sz="6" w:color="808080"/>
              </w:pBdr>
              <w:spacing w:after="120"/>
              <w:rPr>
                <w:rFonts w:ascii="Calibri" w:eastAsia="Calibri" w:hAnsi="Calibri"/>
                <w:sz w:val="20"/>
                <w:szCs w:val="20"/>
                <w:lang w:eastAsia="en-US"/>
              </w:rPr>
            </w:pPr>
            <w:r w:rsidRPr="0042247C">
              <w:rPr>
                <w:rFonts w:ascii="Calibri" w:eastAsia="Calibri" w:hAnsi="Calibri"/>
                <w:sz w:val="20"/>
                <w:szCs w:val="20"/>
                <w:lang w:eastAsia="en-US"/>
              </w:rPr>
              <w:t>30</w:t>
            </w:r>
          </w:p>
        </w:tc>
        <w:tc>
          <w:tcPr>
            <w:tcW w:w="907" w:type="dxa"/>
            <w:vAlign w:val="bottom"/>
          </w:tcPr>
          <w:p w:rsidR="00242C36" w:rsidRPr="0042247C" w:rsidRDefault="00242C36" w:rsidP="00242C36">
            <w:pPr>
              <w:pBdr>
                <w:bar w:val="single" w:sz="6" w:color="808080"/>
              </w:pBdr>
              <w:spacing w:after="120"/>
              <w:rPr>
                <w:rFonts w:ascii="Calibri" w:eastAsia="Calibri" w:hAnsi="Calibri"/>
                <w:sz w:val="20"/>
                <w:szCs w:val="20"/>
                <w:lang w:eastAsia="en-US"/>
              </w:rPr>
            </w:pPr>
            <w:r w:rsidRPr="0042247C">
              <w:rPr>
                <w:rFonts w:ascii="Calibri" w:eastAsia="Calibri" w:hAnsi="Calibri"/>
                <w:sz w:val="20"/>
                <w:szCs w:val="20"/>
                <w:lang w:eastAsia="en-US"/>
              </w:rPr>
              <w:t>44</w:t>
            </w:r>
          </w:p>
        </w:tc>
      </w:tr>
      <w:tr w:rsidR="00242C36" w:rsidRPr="0042247C" w:rsidTr="00242C36">
        <w:trPr>
          <w:trHeight w:val="163"/>
          <w:jc w:val="center"/>
        </w:trPr>
        <w:tc>
          <w:tcPr>
            <w:tcW w:w="3628" w:type="dxa"/>
            <w:vAlign w:val="center"/>
          </w:tcPr>
          <w:p w:rsidR="00242C36" w:rsidRPr="0042247C" w:rsidRDefault="00242C36" w:rsidP="00242C36">
            <w:pPr>
              <w:pBdr>
                <w:bar w:val="single" w:sz="6" w:color="808080"/>
              </w:pBdr>
              <w:spacing w:after="120"/>
              <w:rPr>
                <w:rFonts w:ascii="Calibri" w:eastAsia="Calibri" w:hAnsi="Calibri"/>
                <w:b/>
                <w:bCs/>
                <w:sz w:val="20"/>
                <w:szCs w:val="20"/>
                <w:lang w:eastAsia="en-US"/>
              </w:rPr>
            </w:pPr>
            <w:r w:rsidRPr="0042247C">
              <w:rPr>
                <w:rFonts w:ascii="Calibri" w:eastAsia="Calibri" w:hAnsi="Calibri"/>
                <w:b/>
                <w:bCs/>
                <w:sz w:val="20"/>
                <w:szCs w:val="20"/>
                <w:lang w:eastAsia="en-US"/>
              </w:rPr>
              <w:t>Produkčné oblasti</w:t>
            </w:r>
          </w:p>
        </w:tc>
        <w:tc>
          <w:tcPr>
            <w:tcW w:w="907" w:type="dxa"/>
            <w:vAlign w:val="bottom"/>
          </w:tcPr>
          <w:p w:rsidR="00242C36" w:rsidRPr="0042247C" w:rsidRDefault="00242C36" w:rsidP="00242C36">
            <w:pPr>
              <w:pBdr>
                <w:bar w:val="single" w:sz="6" w:color="808080"/>
              </w:pBdr>
              <w:spacing w:after="120"/>
              <w:rPr>
                <w:rFonts w:ascii="Calibri" w:eastAsia="Calibri" w:hAnsi="Calibri"/>
                <w:sz w:val="20"/>
                <w:szCs w:val="20"/>
                <w:lang w:eastAsia="en-US"/>
              </w:rPr>
            </w:pPr>
            <w:r w:rsidRPr="0042247C">
              <w:rPr>
                <w:rFonts w:ascii="Calibri" w:eastAsia="Calibri" w:hAnsi="Calibri"/>
                <w:sz w:val="20"/>
                <w:szCs w:val="20"/>
                <w:lang w:eastAsia="en-US"/>
              </w:rPr>
              <w:t>83</w:t>
            </w:r>
          </w:p>
        </w:tc>
        <w:tc>
          <w:tcPr>
            <w:tcW w:w="907" w:type="dxa"/>
            <w:vAlign w:val="bottom"/>
          </w:tcPr>
          <w:p w:rsidR="00242C36" w:rsidRPr="0042247C" w:rsidRDefault="00242C36" w:rsidP="00242C36">
            <w:pPr>
              <w:pBdr>
                <w:bar w:val="single" w:sz="6" w:color="808080"/>
              </w:pBdr>
              <w:spacing w:after="120"/>
              <w:rPr>
                <w:rFonts w:ascii="Calibri" w:eastAsia="Calibri" w:hAnsi="Calibri"/>
                <w:sz w:val="20"/>
                <w:szCs w:val="20"/>
                <w:lang w:eastAsia="en-US"/>
              </w:rPr>
            </w:pPr>
            <w:r w:rsidRPr="0042247C">
              <w:rPr>
                <w:rFonts w:ascii="Calibri" w:eastAsia="Calibri" w:hAnsi="Calibri"/>
                <w:sz w:val="20"/>
                <w:szCs w:val="20"/>
                <w:lang w:eastAsia="en-US"/>
              </w:rPr>
              <w:t>72</w:t>
            </w:r>
          </w:p>
        </w:tc>
        <w:tc>
          <w:tcPr>
            <w:tcW w:w="907" w:type="dxa"/>
            <w:vAlign w:val="bottom"/>
          </w:tcPr>
          <w:p w:rsidR="00242C36" w:rsidRPr="0042247C" w:rsidRDefault="00242C36" w:rsidP="00242C36">
            <w:pPr>
              <w:pBdr>
                <w:bar w:val="single" w:sz="6" w:color="808080"/>
              </w:pBdr>
              <w:spacing w:after="120"/>
              <w:rPr>
                <w:rFonts w:ascii="Calibri" w:eastAsia="Calibri" w:hAnsi="Calibri"/>
                <w:sz w:val="20"/>
                <w:szCs w:val="20"/>
                <w:lang w:eastAsia="en-US"/>
              </w:rPr>
            </w:pPr>
            <w:r w:rsidRPr="0042247C">
              <w:rPr>
                <w:rFonts w:ascii="Calibri" w:eastAsia="Calibri" w:hAnsi="Calibri"/>
                <w:sz w:val="20"/>
                <w:szCs w:val="20"/>
                <w:lang w:eastAsia="en-US"/>
              </w:rPr>
              <w:t>-111</w:t>
            </w:r>
          </w:p>
        </w:tc>
        <w:tc>
          <w:tcPr>
            <w:tcW w:w="907" w:type="dxa"/>
            <w:vAlign w:val="bottom"/>
          </w:tcPr>
          <w:p w:rsidR="00242C36" w:rsidRPr="0042247C" w:rsidRDefault="00242C36" w:rsidP="00242C36">
            <w:pPr>
              <w:pBdr>
                <w:bar w:val="single" w:sz="6" w:color="808080"/>
              </w:pBdr>
              <w:spacing w:after="120"/>
              <w:rPr>
                <w:rFonts w:ascii="Calibri" w:eastAsia="Calibri" w:hAnsi="Calibri"/>
                <w:sz w:val="20"/>
                <w:szCs w:val="20"/>
                <w:lang w:eastAsia="en-US"/>
              </w:rPr>
            </w:pPr>
            <w:r w:rsidRPr="0042247C">
              <w:rPr>
                <w:rFonts w:ascii="Calibri" w:eastAsia="Calibri" w:hAnsi="Calibri"/>
                <w:sz w:val="20"/>
                <w:szCs w:val="20"/>
                <w:lang w:eastAsia="en-US"/>
              </w:rPr>
              <w:t>8</w:t>
            </w:r>
          </w:p>
        </w:tc>
        <w:tc>
          <w:tcPr>
            <w:tcW w:w="907" w:type="dxa"/>
            <w:vAlign w:val="bottom"/>
          </w:tcPr>
          <w:p w:rsidR="00242C36" w:rsidRPr="0042247C" w:rsidRDefault="00242C36" w:rsidP="00242C36">
            <w:pPr>
              <w:pBdr>
                <w:bar w:val="single" w:sz="6" w:color="808080"/>
              </w:pBdr>
              <w:spacing w:after="120"/>
              <w:rPr>
                <w:rFonts w:ascii="Calibri" w:eastAsia="Calibri" w:hAnsi="Calibri"/>
                <w:sz w:val="20"/>
                <w:szCs w:val="20"/>
                <w:lang w:eastAsia="en-US"/>
              </w:rPr>
            </w:pPr>
            <w:r w:rsidRPr="0042247C">
              <w:rPr>
                <w:rFonts w:ascii="Calibri" w:eastAsia="Calibri" w:hAnsi="Calibri"/>
                <w:sz w:val="20"/>
                <w:szCs w:val="20"/>
                <w:lang w:eastAsia="en-US"/>
              </w:rPr>
              <w:t>172</w:t>
            </w:r>
          </w:p>
        </w:tc>
        <w:tc>
          <w:tcPr>
            <w:tcW w:w="907" w:type="dxa"/>
            <w:vAlign w:val="bottom"/>
          </w:tcPr>
          <w:p w:rsidR="00242C36" w:rsidRPr="0042247C" w:rsidRDefault="00242C36" w:rsidP="00242C36">
            <w:pPr>
              <w:pBdr>
                <w:bar w:val="single" w:sz="6" w:color="808080"/>
              </w:pBdr>
              <w:spacing w:after="120"/>
              <w:rPr>
                <w:rFonts w:ascii="Calibri" w:eastAsia="Calibri" w:hAnsi="Calibri"/>
                <w:sz w:val="20"/>
                <w:szCs w:val="20"/>
                <w:lang w:eastAsia="en-US"/>
              </w:rPr>
            </w:pPr>
            <w:r w:rsidRPr="0042247C">
              <w:rPr>
                <w:rFonts w:ascii="Calibri" w:eastAsia="Calibri" w:hAnsi="Calibri"/>
                <w:sz w:val="20"/>
                <w:szCs w:val="20"/>
                <w:lang w:eastAsia="en-US"/>
              </w:rPr>
              <w:t>74</w:t>
            </w:r>
          </w:p>
        </w:tc>
      </w:tr>
    </w:tbl>
    <w:p w:rsidR="00242C36" w:rsidRPr="00113FC3" w:rsidRDefault="00242C36" w:rsidP="00242C36">
      <w:pPr>
        <w:pBdr>
          <w:bar w:val="single" w:sz="6" w:color="808080"/>
        </w:pBdr>
        <w:spacing w:after="120"/>
        <w:rPr>
          <w:rFonts w:ascii="Calibri" w:eastAsia="Calibri" w:hAnsi="Calibri"/>
          <w:sz w:val="20"/>
          <w:szCs w:val="22"/>
          <w:lang w:eastAsia="en-US"/>
        </w:rPr>
      </w:pPr>
      <w:r w:rsidRPr="00113FC3">
        <w:rPr>
          <w:rFonts w:ascii="Calibri" w:eastAsia="Calibri" w:hAnsi="Calibri"/>
          <w:sz w:val="20"/>
          <w:szCs w:val="22"/>
          <w:lang w:eastAsia="en-US"/>
        </w:rPr>
        <w:t xml:space="preserve">Zdroj: Informačné listy CD MPRV SR, </w:t>
      </w:r>
      <w:r>
        <w:rPr>
          <w:rFonts w:ascii="Calibri" w:eastAsia="Calibri" w:hAnsi="Calibri"/>
          <w:sz w:val="20"/>
          <w:szCs w:val="22"/>
          <w:lang w:eastAsia="en-US"/>
        </w:rPr>
        <w:t>NPPC-</w:t>
      </w:r>
      <w:r w:rsidRPr="00113FC3">
        <w:rPr>
          <w:rFonts w:ascii="Calibri" w:eastAsia="Calibri" w:hAnsi="Calibri"/>
          <w:sz w:val="20"/>
          <w:szCs w:val="22"/>
          <w:lang w:eastAsia="en-US"/>
        </w:rPr>
        <w:t>VÚEPP Bratislava</w:t>
      </w:r>
    </w:p>
    <w:p w:rsidR="00242C36" w:rsidRDefault="00242C36" w:rsidP="00242C36">
      <w:pPr>
        <w:pBdr>
          <w:bar w:val="single" w:sz="6" w:color="808080"/>
        </w:pBdr>
        <w:spacing w:after="120"/>
        <w:rPr>
          <w:rFonts w:ascii="Calibri" w:eastAsia="Calibri" w:hAnsi="Calibri"/>
          <w:szCs w:val="22"/>
          <w:lang w:eastAsia="en-US"/>
        </w:rPr>
      </w:pPr>
      <w:r w:rsidRPr="00DB2F3C">
        <w:rPr>
          <w:rFonts w:ascii="Calibri" w:eastAsia="Calibri" w:hAnsi="Calibri"/>
          <w:szCs w:val="22"/>
          <w:lang w:eastAsia="en-US"/>
        </w:rPr>
        <w:t xml:space="preserve">Z analýzy nákladov a výnosov vyplýva, že hospodárenie v znevýhodnených oblastiach je na hranici efektívnosti. Zatiaľ čo v horských a ostatných znevýhodnených oblastiach je problematické ju dosiahnuť, oblasti so špecifickými nevýhodami sa držia tesne nad hranicou efektívnosti. </w:t>
      </w:r>
      <w:r w:rsidRPr="00E43137">
        <w:rPr>
          <w:rFonts w:ascii="Calibri" w:eastAsia="Calibri" w:hAnsi="Calibri"/>
          <w:szCs w:val="22"/>
          <w:lang w:eastAsia="en-US"/>
        </w:rPr>
        <w:t xml:space="preserve">Na vývoj efektívnosti hospodárenia </w:t>
      </w:r>
      <w:r>
        <w:rPr>
          <w:rFonts w:ascii="Calibri" w:eastAsia="Calibri" w:hAnsi="Calibri"/>
          <w:szCs w:val="22"/>
          <w:lang w:eastAsia="en-US"/>
        </w:rPr>
        <w:t xml:space="preserve">v LFA </w:t>
      </w:r>
      <w:r w:rsidRPr="00E43137">
        <w:rPr>
          <w:rFonts w:ascii="Calibri" w:eastAsia="Calibri" w:hAnsi="Calibri"/>
          <w:szCs w:val="22"/>
          <w:lang w:eastAsia="en-US"/>
        </w:rPr>
        <w:t xml:space="preserve">vplýval negatívne vyšší rast nákladov ako výnosov. </w:t>
      </w:r>
    </w:p>
    <w:p w:rsidR="00242C36" w:rsidRDefault="00242C36" w:rsidP="00242C36">
      <w:pPr>
        <w:pBdr>
          <w:bar w:val="single" w:sz="6" w:color="808080"/>
        </w:pBdr>
        <w:spacing w:after="120"/>
        <w:rPr>
          <w:rFonts w:ascii="Calibri" w:eastAsia="Calibri" w:hAnsi="Calibri"/>
          <w:szCs w:val="22"/>
          <w:lang w:eastAsia="en-US"/>
        </w:rPr>
      </w:pPr>
      <w:r>
        <w:rPr>
          <w:rFonts w:ascii="Calibri" w:eastAsia="Calibri" w:hAnsi="Calibri"/>
          <w:szCs w:val="22"/>
          <w:lang w:eastAsia="en-US"/>
        </w:rPr>
        <w:t>Nepriaznivý vývoj hospodárskeho výsledku a nižšia úroveň nákladov a tržieb ovplyvnená nižšou intenzitou výroby v LFA sa prejavuje v nižšej r</w:t>
      </w:r>
      <w:r w:rsidRPr="00E43137">
        <w:rPr>
          <w:rFonts w:ascii="Calibri" w:eastAsia="Calibri" w:hAnsi="Calibri"/>
          <w:szCs w:val="22"/>
          <w:lang w:eastAsia="en-US"/>
        </w:rPr>
        <w:t>entabilit</w:t>
      </w:r>
      <w:r>
        <w:rPr>
          <w:rFonts w:ascii="Calibri" w:eastAsia="Calibri" w:hAnsi="Calibri"/>
          <w:szCs w:val="22"/>
          <w:lang w:eastAsia="en-US"/>
        </w:rPr>
        <w:t>e výroby. Rentabilita nákladov</w:t>
      </w:r>
      <w:r w:rsidRPr="00E43137">
        <w:rPr>
          <w:rFonts w:ascii="Calibri" w:eastAsia="Calibri" w:hAnsi="Calibri"/>
          <w:szCs w:val="22"/>
          <w:lang w:eastAsia="en-US"/>
        </w:rPr>
        <w:t xml:space="preserve"> v znevýhodnených oblastiach </w:t>
      </w:r>
      <w:r>
        <w:rPr>
          <w:rFonts w:ascii="Calibri" w:eastAsia="Calibri" w:hAnsi="Calibri"/>
          <w:szCs w:val="22"/>
          <w:lang w:eastAsia="en-US"/>
        </w:rPr>
        <w:t xml:space="preserve">dosahuje 60% </w:t>
      </w:r>
      <w:r w:rsidRPr="00E43137">
        <w:rPr>
          <w:rFonts w:ascii="Calibri" w:eastAsia="Calibri" w:hAnsi="Calibri"/>
          <w:szCs w:val="22"/>
          <w:lang w:eastAsia="en-US"/>
        </w:rPr>
        <w:t>produkčných oblast</w:t>
      </w:r>
      <w:r>
        <w:rPr>
          <w:rFonts w:ascii="Calibri" w:eastAsia="Calibri" w:hAnsi="Calibri"/>
          <w:szCs w:val="22"/>
          <w:lang w:eastAsia="en-US"/>
        </w:rPr>
        <w:t>í a rentabilita tržieb 75% produkčných oblastí</w:t>
      </w:r>
      <w:r w:rsidRPr="00E43137">
        <w:rPr>
          <w:rFonts w:ascii="Calibri" w:eastAsia="Calibri" w:hAnsi="Calibri"/>
          <w:szCs w:val="22"/>
          <w:lang w:eastAsia="en-US"/>
        </w:rPr>
        <w:t xml:space="preserve">. </w:t>
      </w:r>
    </w:p>
    <w:p w:rsidR="00242C36" w:rsidRPr="00E43137" w:rsidRDefault="00E32F57" w:rsidP="00242C36">
      <w:pPr>
        <w:pBdr>
          <w:bar w:val="single" w:sz="6" w:color="808080"/>
        </w:pBdr>
        <w:spacing w:after="120"/>
        <w:rPr>
          <w:rFonts w:ascii="Calibri" w:eastAsia="Calibri" w:hAnsi="Calibri"/>
          <w:b/>
          <w:bCs/>
          <w:szCs w:val="22"/>
          <w:lang w:eastAsia="en-US"/>
        </w:rPr>
      </w:pPr>
      <w:r>
        <w:rPr>
          <w:rFonts w:ascii="Calibri" w:eastAsia="Calibri" w:hAnsi="Calibri"/>
          <w:b/>
          <w:bCs/>
          <w:szCs w:val="22"/>
          <w:lang w:eastAsia="en-US"/>
        </w:rPr>
        <w:t xml:space="preserve">Tabuľka 45: </w:t>
      </w:r>
      <w:r w:rsidR="00242C36">
        <w:rPr>
          <w:rFonts w:ascii="Calibri" w:eastAsia="Calibri" w:hAnsi="Calibri"/>
          <w:b/>
          <w:bCs/>
          <w:szCs w:val="22"/>
          <w:lang w:eastAsia="en-US"/>
        </w:rPr>
        <w:t>U</w:t>
      </w:r>
      <w:r w:rsidR="00242C36" w:rsidRPr="00E43137">
        <w:rPr>
          <w:rFonts w:ascii="Calibri" w:eastAsia="Calibri" w:hAnsi="Calibri"/>
          <w:b/>
          <w:bCs/>
          <w:szCs w:val="22"/>
          <w:lang w:eastAsia="en-US"/>
        </w:rPr>
        <w:t xml:space="preserve">kazovatele efektívnosti </w:t>
      </w:r>
      <w:r w:rsidR="00242C36">
        <w:rPr>
          <w:rFonts w:ascii="Calibri" w:eastAsia="Calibri" w:hAnsi="Calibri"/>
          <w:b/>
          <w:bCs/>
          <w:szCs w:val="22"/>
          <w:lang w:eastAsia="en-US"/>
        </w:rPr>
        <w:t xml:space="preserve"> a rentability výroby </w:t>
      </w:r>
      <w:r w:rsidR="00242C36" w:rsidRPr="00E43137">
        <w:rPr>
          <w:rFonts w:ascii="Calibri" w:eastAsia="Calibri" w:hAnsi="Calibri"/>
          <w:b/>
          <w:bCs/>
          <w:szCs w:val="22"/>
          <w:lang w:eastAsia="en-US"/>
        </w:rPr>
        <w:t>v LFA (EUR/ha)</w:t>
      </w:r>
    </w:p>
    <w:tbl>
      <w:tblPr>
        <w:tblW w:w="90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89"/>
        <w:gridCol w:w="1367"/>
        <w:gridCol w:w="1344"/>
        <w:gridCol w:w="1406"/>
        <w:gridCol w:w="1187"/>
      </w:tblGrid>
      <w:tr w:rsidR="00242C36" w:rsidRPr="00C23A67" w:rsidTr="00242C36">
        <w:trPr>
          <w:trHeight w:val="163"/>
          <w:jc w:val="center"/>
        </w:trPr>
        <w:tc>
          <w:tcPr>
            <w:tcW w:w="3789" w:type="dxa"/>
            <w:vAlign w:val="center"/>
          </w:tcPr>
          <w:p w:rsidR="00242C36" w:rsidRPr="00C23A67" w:rsidRDefault="00242C36" w:rsidP="00242C36">
            <w:pPr>
              <w:pBdr>
                <w:bar w:val="single" w:sz="6" w:color="808080"/>
              </w:pBdr>
              <w:spacing w:after="120"/>
              <w:rPr>
                <w:rFonts w:ascii="Calibri" w:eastAsia="Calibri" w:hAnsi="Calibri"/>
                <w:b/>
                <w:bCs/>
                <w:i/>
                <w:sz w:val="20"/>
                <w:szCs w:val="20"/>
                <w:lang w:eastAsia="en-US"/>
              </w:rPr>
            </w:pPr>
            <w:r w:rsidRPr="00C23A67">
              <w:rPr>
                <w:rFonts w:ascii="Calibri" w:eastAsia="Calibri" w:hAnsi="Calibri"/>
                <w:b/>
                <w:bCs/>
                <w:i/>
                <w:sz w:val="20"/>
                <w:szCs w:val="20"/>
                <w:lang w:eastAsia="en-US"/>
              </w:rPr>
              <w:t>Ukazovateľ</w:t>
            </w:r>
          </w:p>
        </w:tc>
        <w:tc>
          <w:tcPr>
            <w:tcW w:w="1367" w:type="dxa"/>
            <w:vAlign w:val="center"/>
          </w:tcPr>
          <w:p w:rsidR="00242C36" w:rsidRPr="00C23A67" w:rsidRDefault="00242C36" w:rsidP="00242C36">
            <w:pPr>
              <w:pBdr>
                <w:bar w:val="single" w:sz="6" w:color="808080"/>
              </w:pBdr>
              <w:spacing w:after="120"/>
              <w:rPr>
                <w:rFonts w:ascii="Calibri" w:eastAsia="Calibri" w:hAnsi="Calibri"/>
                <w:b/>
                <w:bCs/>
                <w:i/>
                <w:sz w:val="20"/>
                <w:szCs w:val="20"/>
                <w:lang w:eastAsia="en-US"/>
              </w:rPr>
            </w:pPr>
            <w:r w:rsidRPr="00C23A67">
              <w:rPr>
                <w:rFonts w:ascii="Calibri" w:eastAsia="Calibri" w:hAnsi="Calibri"/>
                <w:b/>
                <w:bCs/>
                <w:i/>
                <w:sz w:val="20"/>
                <w:szCs w:val="20"/>
                <w:lang w:eastAsia="en-US"/>
              </w:rPr>
              <w:t>Horské oblasti</w:t>
            </w:r>
          </w:p>
        </w:tc>
        <w:tc>
          <w:tcPr>
            <w:tcW w:w="1344" w:type="dxa"/>
            <w:vAlign w:val="center"/>
          </w:tcPr>
          <w:p w:rsidR="00242C36" w:rsidRPr="00C23A67" w:rsidRDefault="00242C36" w:rsidP="00242C36">
            <w:pPr>
              <w:pBdr>
                <w:bar w:val="single" w:sz="6" w:color="808080"/>
              </w:pBdr>
              <w:spacing w:after="120"/>
              <w:rPr>
                <w:rFonts w:ascii="Calibri" w:eastAsia="Calibri" w:hAnsi="Calibri"/>
                <w:b/>
                <w:bCs/>
                <w:i/>
                <w:sz w:val="20"/>
                <w:szCs w:val="20"/>
                <w:lang w:eastAsia="en-US"/>
              </w:rPr>
            </w:pPr>
            <w:r w:rsidRPr="00C23A67">
              <w:rPr>
                <w:rFonts w:ascii="Calibri" w:eastAsia="Calibri" w:hAnsi="Calibri"/>
                <w:b/>
                <w:bCs/>
                <w:i/>
                <w:sz w:val="20"/>
                <w:szCs w:val="20"/>
                <w:lang w:eastAsia="en-US"/>
              </w:rPr>
              <w:t>Ostatné znevýhodne-né oblasti</w:t>
            </w:r>
          </w:p>
        </w:tc>
        <w:tc>
          <w:tcPr>
            <w:tcW w:w="1406" w:type="dxa"/>
            <w:vAlign w:val="center"/>
          </w:tcPr>
          <w:p w:rsidR="00242C36" w:rsidRPr="00C23A67" w:rsidRDefault="00242C36" w:rsidP="00242C36">
            <w:pPr>
              <w:pBdr>
                <w:bar w:val="single" w:sz="6" w:color="808080"/>
              </w:pBdr>
              <w:spacing w:after="120"/>
              <w:rPr>
                <w:rFonts w:ascii="Calibri" w:eastAsia="Calibri" w:hAnsi="Calibri"/>
                <w:b/>
                <w:bCs/>
                <w:i/>
                <w:sz w:val="20"/>
                <w:szCs w:val="20"/>
                <w:lang w:eastAsia="en-US"/>
              </w:rPr>
            </w:pPr>
            <w:r w:rsidRPr="00C23A67">
              <w:rPr>
                <w:rFonts w:ascii="Calibri" w:eastAsia="Calibri" w:hAnsi="Calibri"/>
                <w:b/>
                <w:bCs/>
                <w:i/>
                <w:sz w:val="20"/>
                <w:szCs w:val="20"/>
                <w:lang w:eastAsia="en-US"/>
              </w:rPr>
              <w:t>Oblasti so špecifickými nevýhodami</w:t>
            </w:r>
          </w:p>
        </w:tc>
        <w:tc>
          <w:tcPr>
            <w:tcW w:w="1187" w:type="dxa"/>
            <w:vAlign w:val="center"/>
          </w:tcPr>
          <w:p w:rsidR="00242C36" w:rsidRPr="00C23A67" w:rsidRDefault="00242C36" w:rsidP="00242C36">
            <w:pPr>
              <w:pBdr>
                <w:bar w:val="single" w:sz="6" w:color="808080"/>
              </w:pBdr>
              <w:spacing w:after="120"/>
              <w:rPr>
                <w:rFonts w:ascii="Calibri" w:eastAsia="Calibri" w:hAnsi="Calibri"/>
                <w:b/>
                <w:bCs/>
                <w:i/>
                <w:sz w:val="20"/>
                <w:szCs w:val="20"/>
                <w:lang w:eastAsia="en-US"/>
              </w:rPr>
            </w:pPr>
            <w:r w:rsidRPr="00C23A67">
              <w:rPr>
                <w:rFonts w:ascii="Calibri" w:eastAsia="Calibri" w:hAnsi="Calibri"/>
                <w:b/>
                <w:bCs/>
                <w:i/>
                <w:sz w:val="20"/>
                <w:szCs w:val="20"/>
                <w:lang w:eastAsia="en-US"/>
              </w:rPr>
              <w:t>Produkčné oblasti</w:t>
            </w:r>
          </w:p>
        </w:tc>
      </w:tr>
      <w:tr w:rsidR="00242C36" w:rsidRPr="00C23A67" w:rsidTr="00242C36">
        <w:trPr>
          <w:trHeight w:val="163"/>
          <w:jc w:val="center"/>
        </w:trPr>
        <w:tc>
          <w:tcPr>
            <w:tcW w:w="3789" w:type="dxa"/>
            <w:vAlign w:val="center"/>
          </w:tcPr>
          <w:p w:rsidR="00242C36" w:rsidRPr="00C23A67" w:rsidRDefault="00242C36" w:rsidP="00242C36">
            <w:pPr>
              <w:pBdr>
                <w:bar w:val="single" w:sz="6" w:color="808080"/>
              </w:pBdr>
              <w:spacing w:after="120"/>
              <w:rPr>
                <w:rFonts w:ascii="Calibri" w:eastAsia="Calibri" w:hAnsi="Calibri"/>
                <w:b/>
                <w:bCs/>
                <w:sz w:val="20"/>
                <w:szCs w:val="20"/>
                <w:lang w:eastAsia="en-US"/>
              </w:rPr>
            </w:pPr>
            <w:r w:rsidRPr="00C23A67">
              <w:rPr>
                <w:rFonts w:ascii="Calibri" w:eastAsia="Calibri" w:hAnsi="Calibri"/>
                <w:b/>
                <w:bCs/>
                <w:sz w:val="20"/>
                <w:szCs w:val="20"/>
                <w:lang w:eastAsia="en-US"/>
              </w:rPr>
              <w:t>efektívnosť hospodárenia</w:t>
            </w:r>
          </w:p>
        </w:tc>
        <w:tc>
          <w:tcPr>
            <w:tcW w:w="1367" w:type="dxa"/>
            <w:vAlign w:val="center"/>
          </w:tcPr>
          <w:p w:rsidR="00242C36" w:rsidRPr="00C23A67" w:rsidRDefault="00242C36" w:rsidP="00242C36">
            <w:pPr>
              <w:pBdr>
                <w:bar w:val="single" w:sz="6" w:color="808080"/>
              </w:pBdr>
              <w:spacing w:after="120"/>
              <w:rPr>
                <w:rFonts w:ascii="Calibri" w:eastAsia="Calibri" w:hAnsi="Calibri"/>
                <w:sz w:val="20"/>
                <w:szCs w:val="20"/>
                <w:lang w:eastAsia="en-US"/>
              </w:rPr>
            </w:pPr>
            <w:r w:rsidRPr="00C23A67">
              <w:rPr>
                <w:rFonts w:ascii="Calibri" w:eastAsia="Calibri" w:hAnsi="Calibri"/>
                <w:sz w:val="20"/>
                <w:szCs w:val="20"/>
                <w:lang w:eastAsia="en-US"/>
              </w:rPr>
              <w:t>0,98</w:t>
            </w:r>
          </w:p>
        </w:tc>
        <w:tc>
          <w:tcPr>
            <w:tcW w:w="1344" w:type="dxa"/>
            <w:vAlign w:val="center"/>
          </w:tcPr>
          <w:p w:rsidR="00242C36" w:rsidRPr="00C23A67" w:rsidRDefault="00242C36" w:rsidP="00242C36">
            <w:pPr>
              <w:pBdr>
                <w:bar w:val="single" w:sz="6" w:color="808080"/>
              </w:pBdr>
              <w:spacing w:after="120"/>
              <w:rPr>
                <w:rFonts w:ascii="Calibri" w:eastAsia="Calibri" w:hAnsi="Calibri"/>
                <w:sz w:val="20"/>
                <w:szCs w:val="20"/>
                <w:lang w:eastAsia="en-US"/>
              </w:rPr>
            </w:pPr>
            <w:r w:rsidRPr="00C23A67">
              <w:rPr>
                <w:rFonts w:ascii="Calibri" w:eastAsia="Calibri" w:hAnsi="Calibri"/>
                <w:sz w:val="20"/>
                <w:szCs w:val="20"/>
                <w:lang w:eastAsia="en-US"/>
              </w:rPr>
              <w:t>1,00</w:t>
            </w:r>
          </w:p>
        </w:tc>
        <w:tc>
          <w:tcPr>
            <w:tcW w:w="1406" w:type="dxa"/>
            <w:vAlign w:val="center"/>
          </w:tcPr>
          <w:p w:rsidR="00242C36" w:rsidRPr="00C23A67" w:rsidRDefault="00242C36" w:rsidP="00242C36">
            <w:pPr>
              <w:pBdr>
                <w:bar w:val="single" w:sz="6" w:color="808080"/>
              </w:pBdr>
              <w:spacing w:after="120"/>
              <w:rPr>
                <w:rFonts w:ascii="Calibri" w:eastAsia="Calibri" w:hAnsi="Calibri"/>
                <w:sz w:val="20"/>
                <w:szCs w:val="20"/>
                <w:lang w:eastAsia="en-US"/>
              </w:rPr>
            </w:pPr>
            <w:r w:rsidRPr="00C23A67">
              <w:rPr>
                <w:rFonts w:ascii="Calibri" w:eastAsia="Calibri" w:hAnsi="Calibri"/>
                <w:sz w:val="20"/>
                <w:szCs w:val="20"/>
                <w:lang w:eastAsia="en-US"/>
              </w:rPr>
              <w:t>1,03</w:t>
            </w:r>
          </w:p>
        </w:tc>
        <w:tc>
          <w:tcPr>
            <w:tcW w:w="1187" w:type="dxa"/>
            <w:vAlign w:val="center"/>
          </w:tcPr>
          <w:p w:rsidR="00242C36" w:rsidRPr="00C23A67" w:rsidRDefault="00242C36" w:rsidP="00242C36">
            <w:pPr>
              <w:pBdr>
                <w:bar w:val="single" w:sz="6" w:color="808080"/>
              </w:pBdr>
              <w:spacing w:after="120"/>
              <w:rPr>
                <w:rFonts w:ascii="Calibri" w:eastAsia="Calibri" w:hAnsi="Calibri"/>
                <w:sz w:val="20"/>
                <w:szCs w:val="20"/>
                <w:lang w:eastAsia="en-US"/>
              </w:rPr>
            </w:pPr>
            <w:r w:rsidRPr="00C23A67">
              <w:rPr>
                <w:rFonts w:ascii="Calibri" w:eastAsia="Calibri" w:hAnsi="Calibri"/>
                <w:sz w:val="20"/>
                <w:szCs w:val="20"/>
                <w:lang w:eastAsia="en-US"/>
              </w:rPr>
              <w:t>1,03</w:t>
            </w:r>
          </w:p>
        </w:tc>
      </w:tr>
      <w:tr w:rsidR="00242C36" w:rsidRPr="00C23A67" w:rsidTr="00242C36">
        <w:trPr>
          <w:trHeight w:val="163"/>
          <w:jc w:val="center"/>
        </w:trPr>
        <w:tc>
          <w:tcPr>
            <w:tcW w:w="3789" w:type="dxa"/>
            <w:vAlign w:val="center"/>
          </w:tcPr>
          <w:p w:rsidR="00242C36" w:rsidRPr="00C23A67" w:rsidRDefault="00242C36" w:rsidP="00242C36">
            <w:pPr>
              <w:pBdr>
                <w:bar w:val="single" w:sz="6" w:color="808080"/>
              </w:pBdr>
              <w:spacing w:after="120"/>
              <w:rPr>
                <w:rFonts w:ascii="Calibri" w:eastAsia="Calibri" w:hAnsi="Calibri"/>
                <w:b/>
                <w:bCs/>
                <w:sz w:val="20"/>
                <w:szCs w:val="20"/>
                <w:lang w:eastAsia="en-US"/>
              </w:rPr>
            </w:pPr>
            <w:r w:rsidRPr="00C23A67">
              <w:rPr>
                <w:rFonts w:ascii="Calibri" w:eastAsia="Calibri" w:hAnsi="Calibri"/>
                <w:b/>
                <w:bCs/>
                <w:sz w:val="20"/>
                <w:szCs w:val="20"/>
                <w:lang w:eastAsia="en-US"/>
              </w:rPr>
              <w:t>rentabilita nákladov</w:t>
            </w:r>
          </w:p>
        </w:tc>
        <w:tc>
          <w:tcPr>
            <w:tcW w:w="1367" w:type="dxa"/>
            <w:vAlign w:val="center"/>
          </w:tcPr>
          <w:p w:rsidR="00242C36" w:rsidRPr="00C23A67" w:rsidRDefault="00242C36" w:rsidP="00242C36">
            <w:pPr>
              <w:pBdr>
                <w:bar w:val="single" w:sz="6" w:color="808080"/>
              </w:pBdr>
              <w:spacing w:after="120"/>
              <w:rPr>
                <w:rFonts w:ascii="Calibri" w:eastAsia="Calibri" w:hAnsi="Calibri"/>
                <w:sz w:val="20"/>
                <w:szCs w:val="20"/>
                <w:lang w:eastAsia="en-US"/>
              </w:rPr>
            </w:pPr>
            <w:r w:rsidRPr="00C23A67">
              <w:rPr>
                <w:rFonts w:ascii="Calibri" w:eastAsia="Calibri" w:hAnsi="Calibri"/>
                <w:sz w:val="20"/>
                <w:szCs w:val="20"/>
                <w:lang w:eastAsia="en-US"/>
              </w:rPr>
              <w:t>-0,06</w:t>
            </w:r>
          </w:p>
        </w:tc>
        <w:tc>
          <w:tcPr>
            <w:tcW w:w="1344" w:type="dxa"/>
            <w:vAlign w:val="center"/>
          </w:tcPr>
          <w:p w:rsidR="00242C36" w:rsidRPr="00C23A67" w:rsidRDefault="00242C36" w:rsidP="00242C36">
            <w:pPr>
              <w:pBdr>
                <w:bar w:val="single" w:sz="6" w:color="808080"/>
              </w:pBdr>
              <w:spacing w:after="120"/>
              <w:rPr>
                <w:rFonts w:ascii="Calibri" w:eastAsia="Calibri" w:hAnsi="Calibri"/>
                <w:sz w:val="20"/>
                <w:szCs w:val="20"/>
                <w:lang w:eastAsia="en-US"/>
              </w:rPr>
            </w:pPr>
            <w:r w:rsidRPr="00C23A67">
              <w:rPr>
                <w:rFonts w:ascii="Calibri" w:eastAsia="Calibri" w:hAnsi="Calibri"/>
                <w:sz w:val="20"/>
                <w:szCs w:val="20"/>
                <w:lang w:eastAsia="en-US"/>
              </w:rPr>
              <w:t>1,83</w:t>
            </w:r>
          </w:p>
        </w:tc>
        <w:tc>
          <w:tcPr>
            <w:tcW w:w="1406" w:type="dxa"/>
            <w:vAlign w:val="center"/>
          </w:tcPr>
          <w:p w:rsidR="00242C36" w:rsidRPr="00C23A67" w:rsidRDefault="00242C36" w:rsidP="00242C36">
            <w:pPr>
              <w:pBdr>
                <w:bar w:val="single" w:sz="6" w:color="808080"/>
              </w:pBdr>
              <w:spacing w:after="120"/>
              <w:rPr>
                <w:rFonts w:ascii="Calibri" w:eastAsia="Calibri" w:hAnsi="Calibri"/>
                <w:sz w:val="20"/>
                <w:szCs w:val="20"/>
                <w:lang w:eastAsia="en-US"/>
              </w:rPr>
            </w:pPr>
            <w:r w:rsidRPr="00C23A67">
              <w:rPr>
                <w:rFonts w:ascii="Calibri" w:eastAsia="Calibri" w:hAnsi="Calibri"/>
                <w:sz w:val="20"/>
                <w:szCs w:val="20"/>
                <w:lang w:eastAsia="en-US"/>
              </w:rPr>
              <w:t>4,55</w:t>
            </w:r>
          </w:p>
        </w:tc>
        <w:tc>
          <w:tcPr>
            <w:tcW w:w="1187" w:type="dxa"/>
            <w:vAlign w:val="center"/>
          </w:tcPr>
          <w:p w:rsidR="00242C36" w:rsidRPr="00C23A67" w:rsidRDefault="00242C36" w:rsidP="00242C36">
            <w:pPr>
              <w:pBdr>
                <w:bar w:val="single" w:sz="6" w:color="808080"/>
              </w:pBdr>
              <w:spacing w:after="120"/>
              <w:rPr>
                <w:rFonts w:ascii="Calibri" w:eastAsia="Calibri" w:hAnsi="Calibri"/>
                <w:sz w:val="20"/>
                <w:szCs w:val="20"/>
                <w:lang w:eastAsia="en-US"/>
              </w:rPr>
            </w:pPr>
            <w:r w:rsidRPr="00C23A67">
              <w:rPr>
                <w:rFonts w:ascii="Calibri" w:eastAsia="Calibri" w:hAnsi="Calibri"/>
                <w:sz w:val="20"/>
                <w:szCs w:val="20"/>
                <w:lang w:eastAsia="en-US"/>
              </w:rPr>
              <w:t>4,43</w:t>
            </w:r>
          </w:p>
        </w:tc>
      </w:tr>
      <w:tr w:rsidR="00242C36" w:rsidRPr="00C23A67" w:rsidTr="00242C36">
        <w:trPr>
          <w:trHeight w:val="163"/>
          <w:jc w:val="center"/>
        </w:trPr>
        <w:tc>
          <w:tcPr>
            <w:tcW w:w="3789" w:type="dxa"/>
            <w:vAlign w:val="center"/>
          </w:tcPr>
          <w:p w:rsidR="00242C36" w:rsidRPr="00C23A67" w:rsidRDefault="00242C36" w:rsidP="00242C36">
            <w:pPr>
              <w:pBdr>
                <w:bar w:val="single" w:sz="6" w:color="808080"/>
              </w:pBdr>
              <w:spacing w:after="120"/>
              <w:rPr>
                <w:rFonts w:ascii="Calibri" w:eastAsia="Calibri" w:hAnsi="Calibri"/>
                <w:b/>
                <w:bCs/>
                <w:sz w:val="20"/>
                <w:szCs w:val="20"/>
                <w:lang w:eastAsia="en-US"/>
              </w:rPr>
            </w:pPr>
            <w:r w:rsidRPr="00C23A67">
              <w:rPr>
                <w:rFonts w:ascii="Calibri" w:eastAsia="Calibri" w:hAnsi="Calibri"/>
                <w:b/>
                <w:bCs/>
                <w:sz w:val="20"/>
                <w:szCs w:val="20"/>
                <w:lang w:eastAsia="en-US"/>
              </w:rPr>
              <w:t>rentabilita tržieb</w:t>
            </w:r>
          </w:p>
        </w:tc>
        <w:tc>
          <w:tcPr>
            <w:tcW w:w="1367" w:type="dxa"/>
            <w:vAlign w:val="center"/>
          </w:tcPr>
          <w:p w:rsidR="00242C36" w:rsidRPr="00C23A67" w:rsidRDefault="00242C36" w:rsidP="00242C36">
            <w:pPr>
              <w:pBdr>
                <w:bar w:val="single" w:sz="6" w:color="808080"/>
              </w:pBdr>
              <w:spacing w:after="120"/>
              <w:rPr>
                <w:rFonts w:ascii="Calibri" w:eastAsia="Calibri" w:hAnsi="Calibri"/>
                <w:sz w:val="20"/>
                <w:szCs w:val="20"/>
                <w:lang w:eastAsia="en-US"/>
              </w:rPr>
            </w:pPr>
            <w:r w:rsidRPr="00C23A67">
              <w:rPr>
                <w:rFonts w:ascii="Calibri" w:eastAsia="Calibri" w:hAnsi="Calibri"/>
                <w:sz w:val="20"/>
                <w:szCs w:val="20"/>
                <w:lang w:eastAsia="en-US"/>
              </w:rPr>
              <w:t>-0,12</w:t>
            </w:r>
          </w:p>
        </w:tc>
        <w:tc>
          <w:tcPr>
            <w:tcW w:w="1344" w:type="dxa"/>
            <w:vAlign w:val="center"/>
          </w:tcPr>
          <w:p w:rsidR="00242C36" w:rsidRPr="00C23A67" w:rsidRDefault="00242C36" w:rsidP="00242C36">
            <w:pPr>
              <w:pBdr>
                <w:bar w:val="single" w:sz="6" w:color="808080"/>
              </w:pBdr>
              <w:spacing w:after="120"/>
              <w:rPr>
                <w:rFonts w:ascii="Calibri" w:eastAsia="Calibri" w:hAnsi="Calibri"/>
                <w:sz w:val="20"/>
                <w:szCs w:val="20"/>
                <w:lang w:eastAsia="en-US"/>
              </w:rPr>
            </w:pPr>
            <w:r w:rsidRPr="00C23A67">
              <w:rPr>
                <w:rFonts w:ascii="Calibri" w:eastAsia="Calibri" w:hAnsi="Calibri"/>
                <w:sz w:val="20"/>
                <w:szCs w:val="20"/>
                <w:lang w:eastAsia="en-US"/>
              </w:rPr>
              <w:t>2,96</w:t>
            </w:r>
          </w:p>
        </w:tc>
        <w:tc>
          <w:tcPr>
            <w:tcW w:w="1406" w:type="dxa"/>
            <w:vAlign w:val="center"/>
          </w:tcPr>
          <w:p w:rsidR="00242C36" w:rsidRPr="00C23A67" w:rsidRDefault="00242C36" w:rsidP="00242C36">
            <w:pPr>
              <w:pBdr>
                <w:bar w:val="single" w:sz="6" w:color="808080"/>
              </w:pBdr>
              <w:spacing w:after="120"/>
              <w:rPr>
                <w:rFonts w:ascii="Calibri" w:eastAsia="Calibri" w:hAnsi="Calibri"/>
                <w:sz w:val="20"/>
                <w:szCs w:val="20"/>
                <w:lang w:eastAsia="en-US"/>
              </w:rPr>
            </w:pPr>
            <w:r w:rsidRPr="00C23A67">
              <w:rPr>
                <w:rFonts w:ascii="Calibri" w:eastAsia="Calibri" w:hAnsi="Calibri"/>
                <w:sz w:val="20"/>
                <w:szCs w:val="20"/>
                <w:lang w:eastAsia="en-US"/>
              </w:rPr>
              <w:t>7,45</w:t>
            </w:r>
          </w:p>
        </w:tc>
        <w:tc>
          <w:tcPr>
            <w:tcW w:w="1187" w:type="dxa"/>
            <w:vAlign w:val="center"/>
          </w:tcPr>
          <w:p w:rsidR="00242C36" w:rsidRPr="00C23A67" w:rsidRDefault="00242C36" w:rsidP="00242C36">
            <w:pPr>
              <w:pBdr>
                <w:bar w:val="single" w:sz="6" w:color="808080"/>
              </w:pBdr>
              <w:spacing w:after="120"/>
              <w:rPr>
                <w:rFonts w:ascii="Calibri" w:eastAsia="Calibri" w:hAnsi="Calibri"/>
                <w:sz w:val="20"/>
                <w:szCs w:val="20"/>
                <w:lang w:eastAsia="en-US"/>
              </w:rPr>
            </w:pPr>
            <w:r w:rsidRPr="00C23A67">
              <w:rPr>
                <w:rFonts w:ascii="Calibri" w:eastAsia="Calibri" w:hAnsi="Calibri"/>
                <w:sz w:val="20"/>
                <w:szCs w:val="20"/>
                <w:lang w:eastAsia="en-US"/>
              </w:rPr>
              <w:t>6,54</w:t>
            </w:r>
          </w:p>
        </w:tc>
      </w:tr>
    </w:tbl>
    <w:p w:rsidR="00242C36" w:rsidRPr="00113FC3" w:rsidRDefault="00242C36" w:rsidP="00242C36">
      <w:pPr>
        <w:pBdr>
          <w:bar w:val="single" w:sz="6" w:color="808080"/>
        </w:pBdr>
        <w:spacing w:after="120"/>
        <w:rPr>
          <w:rFonts w:ascii="Calibri" w:eastAsia="Calibri" w:hAnsi="Calibri"/>
          <w:sz w:val="20"/>
          <w:szCs w:val="22"/>
          <w:lang w:eastAsia="en-US"/>
        </w:rPr>
      </w:pPr>
      <w:r w:rsidRPr="00113FC3">
        <w:rPr>
          <w:rFonts w:ascii="Calibri" w:eastAsia="Calibri" w:hAnsi="Calibri"/>
          <w:sz w:val="20"/>
          <w:szCs w:val="22"/>
          <w:lang w:eastAsia="en-US"/>
        </w:rPr>
        <w:t xml:space="preserve">Zdroj: Informačné listy CD MPRV SR 2012, </w:t>
      </w:r>
      <w:r>
        <w:rPr>
          <w:rFonts w:ascii="Calibri" w:eastAsia="Calibri" w:hAnsi="Calibri"/>
          <w:sz w:val="20"/>
          <w:szCs w:val="22"/>
          <w:lang w:eastAsia="en-US"/>
        </w:rPr>
        <w:t>NPPC-</w:t>
      </w:r>
      <w:r w:rsidRPr="00113FC3">
        <w:rPr>
          <w:rFonts w:ascii="Calibri" w:eastAsia="Calibri" w:hAnsi="Calibri"/>
          <w:sz w:val="20"/>
          <w:szCs w:val="22"/>
          <w:lang w:eastAsia="en-US"/>
        </w:rPr>
        <w:t>VÚEPP Bratislava</w:t>
      </w:r>
    </w:p>
    <w:p w:rsidR="00242C36" w:rsidRPr="00FD5F57" w:rsidRDefault="00242C36" w:rsidP="00242C36">
      <w:pPr>
        <w:spacing w:before="100" w:beforeAutospacing="1" w:after="100" w:afterAutospacing="1"/>
        <w:rPr>
          <w:rFonts w:ascii="Calibri" w:hAnsi="Calibri"/>
          <w:szCs w:val="22"/>
        </w:rPr>
      </w:pPr>
      <w:r w:rsidRPr="00E43137">
        <w:rPr>
          <w:rFonts w:ascii="Calibri" w:eastAsia="Calibri" w:hAnsi="Calibri"/>
          <w:szCs w:val="22"/>
          <w:lang w:eastAsia="en-US"/>
        </w:rPr>
        <w:t>Aj keď efektívnosť vynaložených vkladov je spravidla v horších prírodných podmienkach nižšia, aj v takýchto podmienkach je možné dosahovať pozitívne hospodárske výsledky a tým efektívne využiť danosti prírodného prostredia. K tomu významne napomáhajú vyrovnávacie príspevky (platby LFA), ktorých cieľom je zachovať hospodárenie aj v týchto podmienkach, zachovať ráz poľnohospodárskej krajiny a v neposlednom rade udržiavať pôdu v dobrom poľnohospodárskom a environmentálnom stave (GAEC), čím sa podporujú systémy hospodárenia šetrné k životnému prostrediu</w:t>
      </w:r>
      <w:r>
        <w:rPr>
          <w:rFonts w:ascii="Calibri" w:eastAsia="Calibri" w:hAnsi="Calibri"/>
          <w:szCs w:val="22"/>
          <w:lang w:eastAsia="en-US"/>
        </w:rPr>
        <w:t xml:space="preserve"> a predchádza sa opúšťaniu pôdy.</w:t>
      </w:r>
      <w:r w:rsidRPr="00E43137">
        <w:rPr>
          <w:rFonts w:ascii="Calibri" w:eastAsia="Calibri" w:hAnsi="Calibri"/>
          <w:szCs w:val="22"/>
          <w:lang w:eastAsia="en-US"/>
        </w:rPr>
        <w:t xml:space="preserve"> </w:t>
      </w:r>
      <w:r>
        <w:rPr>
          <w:rFonts w:ascii="Calibri" w:hAnsi="Calibri"/>
          <w:szCs w:val="22"/>
        </w:rPr>
        <w:t>Keďže výmera podporenej plochy v LFA rastie, v SR nehrozí opúšťanie podporenej pôdy v rámci LFA.</w:t>
      </w:r>
    </w:p>
    <w:p w:rsidR="00242C36" w:rsidRPr="00C51010" w:rsidRDefault="00242C36" w:rsidP="00242C36">
      <w:pPr>
        <w:pBdr>
          <w:bar w:val="single" w:sz="6" w:color="808080"/>
        </w:pBdr>
        <w:rPr>
          <w:rFonts w:ascii="Calibri" w:eastAsia="Calibri" w:hAnsi="Calibri"/>
          <w:b/>
          <w:bCs/>
          <w:iCs/>
          <w:szCs w:val="22"/>
          <w:lang w:eastAsia="en-US"/>
        </w:rPr>
      </w:pPr>
      <w:r w:rsidRPr="00C51010">
        <w:rPr>
          <w:rFonts w:ascii="Calibri" w:eastAsia="Calibri" w:hAnsi="Calibri"/>
          <w:b/>
          <w:bCs/>
          <w:iCs/>
          <w:szCs w:val="22"/>
          <w:lang w:eastAsia="en-US"/>
        </w:rPr>
        <w:t>Intenzita hospodárenia</w:t>
      </w:r>
    </w:p>
    <w:p w:rsidR="00242C36" w:rsidRDefault="00242C36" w:rsidP="00366F96">
      <w:pPr>
        <w:pBdr>
          <w:bar w:val="single" w:sz="6" w:color="808080"/>
        </w:pBdr>
        <w:spacing w:after="120"/>
        <w:rPr>
          <w:rFonts w:ascii="Calibri" w:eastAsia="Calibri" w:hAnsi="Calibri"/>
          <w:bCs/>
          <w:iCs/>
          <w:szCs w:val="22"/>
          <w:lang w:eastAsia="en-US"/>
        </w:rPr>
      </w:pPr>
      <w:r>
        <w:rPr>
          <w:rFonts w:ascii="Calibri" w:eastAsia="Calibri" w:hAnsi="Calibri"/>
          <w:bCs/>
          <w:iCs/>
          <w:szCs w:val="22"/>
          <w:lang w:eastAsia="en-US"/>
        </w:rPr>
        <w:t>Z h</w:t>
      </w:r>
      <w:r w:rsidRPr="00DE032F">
        <w:rPr>
          <w:rFonts w:ascii="Calibri" w:eastAsia="Calibri" w:hAnsi="Calibri"/>
          <w:bCs/>
          <w:iCs/>
          <w:szCs w:val="22"/>
          <w:lang w:eastAsia="en-US"/>
        </w:rPr>
        <w:t xml:space="preserve">odnôt </w:t>
      </w:r>
      <w:r w:rsidRPr="00B558EE">
        <w:rPr>
          <w:rFonts w:ascii="Calibri" w:eastAsia="Calibri" w:hAnsi="Calibri"/>
          <w:b/>
          <w:bCs/>
          <w:iCs/>
          <w:szCs w:val="22"/>
          <w:lang w:eastAsia="en-US"/>
        </w:rPr>
        <w:t>CCI 33</w:t>
      </w:r>
      <w:r>
        <w:rPr>
          <w:rFonts w:ascii="Calibri" w:eastAsia="Calibri" w:hAnsi="Calibri"/>
          <w:bCs/>
          <w:iCs/>
          <w:szCs w:val="22"/>
          <w:lang w:eastAsia="en-US"/>
        </w:rPr>
        <w:t xml:space="preserve"> vyplýva, že 49,3% územia SR vykazuje nízku intenzitu hospodárenia na pôde, 45,5% strednú a 5,2% vysokú intenzitu. </w:t>
      </w:r>
    </w:p>
    <w:p w:rsidR="00242C36" w:rsidRPr="00400EB5" w:rsidRDefault="00242C36" w:rsidP="00242C36">
      <w:pPr>
        <w:pBdr>
          <w:bar w:val="single" w:sz="6" w:color="808080"/>
        </w:pBdr>
        <w:spacing w:after="120"/>
        <w:outlineLvl w:val="1"/>
        <w:rPr>
          <w:rFonts w:ascii="Calibri" w:hAnsi="Calibri"/>
          <w:bCs/>
          <w:szCs w:val="22"/>
        </w:rPr>
      </w:pPr>
      <w:r w:rsidRPr="00400EB5">
        <w:rPr>
          <w:rFonts w:ascii="Calibri" w:hAnsi="Calibri"/>
          <w:bCs/>
          <w:szCs w:val="22"/>
        </w:rPr>
        <w:t>Môžeme predpokladať, že tento podiel nízkej intenzity hospodárenia, ktorý v r. 2007 dosiahol 49,3% z celkovej UAA, by mohol v r. 2010 presiahnuť nadpolovičnú úroveň (50%) a to z dôvodu klesajúcej produkčnej výkonnosti a krízových situácií v r. 2008 a 2009. To sa odrazilo aj na slovenskom poľnohospodárstve. Vyšší podiel pasienkov v r. 2010 by dosiahol pomerne vysokú vysokú úroveň UAA, čo súvisí aj predpokladaným nárastom podielu nízkej intenzite hospodárenia aj vzhľadam na nenáročnosť pracovnej sily, k čomu prispel aj greening, opatrenia osi 2 PRV SR 2007 – 2013 (AEP, napr. ekologické poľnohospodárstvo), zavádzanie ekologických prvkov v poľnohospodárskej krajine a pod.</w:t>
      </w:r>
    </w:p>
    <w:p w:rsidR="00242C36" w:rsidRPr="00E43137" w:rsidRDefault="00242C36" w:rsidP="00242C36">
      <w:pPr>
        <w:pBdr>
          <w:bar w:val="single" w:sz="6" w:color="808080"/>
        </w:pBdr>
        <w:spacing w:after="120"/>
        <w:outlineLvl w:val="1"/>
        <w:rPr>
          <w:rFonts w:ascii="Calibri" w:hAnsi="Calibri"/>
          <w:b/>
          <w:bCs/>
          <w:szCs w:val="22"/>
        </w:rPr>
      </w:pPr>
      <w:r w:rsidRPr="00E43137">
        <w:rPr>
          <w:rFonts w:ascii="Calibri" w:hAnsi="Calibri"/>
          <w:b/>
          <w:bCs/>
          <w:szCs w:val="22"/>
        </w:rPr>
        <w:t xml:space="preserve">Zachovanie biodiverzity </w:t>
      </w:r>
    </w:p>
    <w:p w:rsidR="00242C36" w:rsidRPr="006E5012" w:rsidRDefault="00242C36" w:rsidP="00242C36">
      <w:pPr>
        <w:pBdr>
          <w:bar w:val="single" w:sz="6" w:color="808080"/>
        </w:pBdr>
        <w:spacing w:after="120"/>
        <w:outlineLvl w:val="1"/>
        <w:rPr>
          <w:rFonts w:ascii="Calibri" w:hAnsi="Calibri"/>
          <w:bCs/>
          <w:szCs w:val="22"/>
        </w:rPr>
      </w:pPr>
      <w:r w:rsidRPr="006E5012">
        <w:rPr>
          <w:rFonts w:ascii="Calibri" w:hAnsi="Calibri"/>
          <w:bCs/>
          <w:szCs w:val="22"/>
        </w:rPr>
        <w:t>Z  hodnotenia stavu biotopov a druhov európskeho významu podľa článku 17 Smernice Rady 92/43/EHS o ochrane prirodzených biotopov, voľne žijúcich živočíchov a voľne rastúcich rastlín vyplýva, že len 16 % druhov a 29 % biotopov je v SR v priaznivom stave ochrany, ostatné druhy a biotopy sú buď v nepriaznivom alebo neznámom stave.</w:t>
      </w:r>
    </w:p>
    <w:p w:rsidR="00242C36" w:rsidRDefault="00242C36" w:rsidP="00242C36">
      <w:pPr>
        <w:pBdr>
          <w:bar w:val="single" w:sz="6" w:color="808080"/>
        </w:pBdr>
        <w:spacing w:after="120"/>
        <w:outlineLvl w:val="1"/>
        <w:rPr>
          <w:rFonts w:ascii="Calibri" w:hAnsi="Calibri"/>
          <w:b/>
          <w:bCs/>
          <w:szCs w:val="22"/>
        </w:rPr>
      </w:pPr>
      <w:r w:rsidRPr="006E5012">
        <w:rPr>
          <w:rFonts w:ascii="Calibri" w:hAnsi="Calibri"/>
          <w:bCs/>
          <w:szCs w:val="22"/>
        </w:rPr>
        <w:t>Aktualizovaná národná stratégia ochrany biodiverzity do roku 2020 prijatá vládou SR, priamo vychádza zo Strategického plánu ochrany biodiverzity 2011 – 2020 dohovoru o biodiverzite, stanovuje aktuálne ciele ochrany biodiverzity v SR v súvislosti so stavom a trendmi biodiverzity v SR, v rámci EÚ, ale aj na globálnej úrovni a reflektuje národné a medzinárodné záväzky SR.</w:t>
      </w:r>
      <w:r>
        <w:rPr>
          <w:rFonts w:ascii="Calibri" w:hAnsi="Calibri"/>
          <w:bCs/>
          <w:szCs w:val="22"/>
        </w:rPr>
        <w:t xml:space="preserve"> </w:t>
      </w:r>
    </w:p>
    <w:p w:rsidR="00242C36" w:rsidRDefault="00242C36" w:rsidP="00242C36">
      <w:pPr>
        <w:keepNext/>
        <w:keepLines/>
        <w:pBdr>
          <w:bar w:val="single" w:sz="6" w:color="808080"/>
        </w:pBdr>
        <w:spacing w:after="120"/>
        <w:outlineLvl w:val="1"/>
        <w:rPr>
          <w:rFonts w:ascii="Calibri" w:eastAsia="Calibri" w:hAnsi="Calibri"/>
          <w:szCs w:val="22"/>
          <w:lang w:eastAsia="en-US"/>
        </w:rPr>
      </w:pPr>
      <w:r>
        <w:rPr>
          <w:rFonts w:ascii="Calibri" w:hAnsi="Calibri"/>
          <w:b/>
          <w:bCs/>
          <w:szCs w:val="22"/>
        </w:rPr>
        <w:t>V rámci ukazovateľa v</w:t>
      </w:r>
      <w:r w:rsidRPr="00E43137">
        <w:rPr>
          <w:rFonts w:ascii="Calibri" w:hAnsi="Calibri"/>
          <w:b/>
          <w:bCs/>
          <w:szCs w:val="22"/>
        </w:rPr>
        <w:t>táky v poľnohospodárskej krajine</w:t>
      </w:r>
      <w:r>
        <w:rPr>
          <w:rFonts w:ascii="Calibri" w:hAnsi="Calibri"/>
          <w:b/>
          <w:bCs/>
          <w:szCs w:val="22"/>
        </w:rPr>
        <w:t xml:space="preserve">, </w:t>
      </w:r>
      <w:r w:rsidRPr="00E43137">
        <w:rPr>
          <w:rFonts w:ascii="Calibri" w:eastAsia="Calibri" w:hAnsi="Calibri"/>
          <w:szCs w:val="22"/>
          <w:lang w:eastAsia="en-US"/>
        </w:rPr>
        <w:t xml:space="preserve">SOS/BirdLife Slovensko každoročne monitoruje a vyhodnocuje Index populačného trendu vybraných druhov vtákov v poľnohospodárskej krajine. V rámci hodnotenia bežných druhov vtáctva poľnohospodárskej krajiny bolo vybratých podľa medzinárodnej klasifikácie zohľadňujúc slovenské špecifiká 24 druhov vtákov. </w:t>
      </w:r>
    </w:p>
    <w:p w:rsidR="00242C36" w:rsidRPr="00871A18" w:rsidRDefault="00242C36" w:rsidP="00242C36">
      <w:pPr>
        <w:pBdr>
          <w:bar w:val="single" w:sz="6" w:color="808080"/>
        </w:pBdr>
        <w:rPr>
          <w:rFonts w:ascii="Calibri" w:eastAsia="Calibri" w:hAnsi="Calibri"/>
          <w:szCs w:val="22"/>
          <w:lang w:eastAsia="en-US"/>
        </w:rPr>
      </w:pPr>
      <w:r w:rsidRPr="00E43137">
        <w:rPr>
          <w:rFonts w:ascii="Calibri" w:eastAsia="Calibri" w:hAnsi="Calibri"/>
          <w:szCs w:val="22"/>
          <w:lang w:eastAsia="en-US"/>
        </w:rPr>
        <w:t>Pri prepočte indexu zmeny podľa sledovaných rokov 2005 až 2009 (viď nasledovná tabuľka) tak na národnej úrovni vychádza od r. 2006 mierny nárast  početnosti vybraných druhov o 8 %, treba však vziať do úvahy, že r. 2006 bol v hniezdnom období daždivý, čo sa odzrkadlilo aj v početnosti vtáctva (SO</w:t>
      </w:r>
      <w:r>
        <w:rPr>
          <w:rFonts w:ascii="Calibri" w:eastAsia="Calibri" w:hAnsi="Calibri"/>
          <w:szCs w:val="22"/>
          <w:lang w:eastAsia="en-US"/>
        </w:rPr>
        <w:t>S</w:t>
      </w:r>
      <w:r w:rsidRPr="00E43137">
        <w:rPr>
          <w:rFonts w:ascii="Calibri" w:eastAsia="Calibri" w:hAnsi="Calibri"/>
          <w:szCs w:val="22"/>
          <w:lang w:eastAsia="en-US"/>
        </w:rPr>
        <w:t>/BirdLife Slovensko).</w:t>
      </w:r>
      <w:r>
        <w:rPr>
          <w:rFonts w:ascii="Calibri" w:eastAsia="Calibri" w:hAnsi="Calibri"/>
          <w:szCs w:val="22"/>
          <w:lang w:eastAsia="en-US"/>
        </w:rPr>
        <w:t xml:space="preserve"> Ako uvádza tabuľka, v posledných rokoch má tento index klesajúcu tendenciu.</w:t>
      </w:r>
      <w:r w:rsidRPr="00E43137">
        <w:rPr>
          <w:rFonts w:ascii="Calibri" w:eastAsia="Calibri" w:hAnsi="Calibri"/>
          <w:szCs w:val="22"/>
          <w:lang w:eastAsia="en-US"/>
        </w:rPr>
        <w:t xml:space="preserve"> </w:t>
      </w:r>
      <w:r w:rsidRPr="00127C78">
        <w:rPr>
          <w:rFonts w:cs="Calibri"/>
          <w:szCs w:val="22"/>
        </w:rPr>
        <w:t>Podľa CCI 35 v SR Index populácie vtákov v poľnohospodárskej krajine poklesol v období 2005-2012 o</w:t>
      </w:r>
      <w:r>
        <w:rPr>
          <w:rFonts w:cs="Calibri"/>
          <w:szCs w:val="22"/>
        </w:rPr>
        <w:t xml:space="preserve"> cca </w:t>
      </w:r>
      <w:r w:rsidRPr="00127C78">
        <w:rPr>
          <w:rFonts w:cs="Calibri"/>
          <w:szCs w:val="22"/>
        </w:rPr>
        <w:t>10%</w:t>
      </w:r>
      <w:r>
        <w:rPr>
          <w:rFonts w:cs="Calibri"/>
          <w:szCs w:val="22"/>
        </w:rPr>
        <w:t>. V r. 2012 dosiahol hodnotu 89,95% (SOS/BirdLife Slovensko).</w:t>
      </w:r>
    </w:p>
    <w:p w:rsidR="00242C36" w:rsidRPr="00E43137" w:rsidRDefault="00242C36" w:rsidP="00242C36">
      <w:pPr>
        <w:pBdr>
          <w:bar w:val="single" w:sz="6" w:color="808080"/>
        </w:pBdr>
        <w:rPr>
          <w:rFonts w:ascii="Calibri" w:eastAsia="Calibri" w:hAnsi="Calibri"/>
          <w:szCs w:val="22"/>
          <w:lang w:eastAsia="en-US"/>
        </w:rPr>
      </w:pPr>
    </w:p>
    <w:p w:rsidR="00242C36" w:rsidRDefault="00E32F57" w:rsidP="00242C36">
      <w:pPr>
        <w:keepNext/>
        <w:spacing w:after="120"/>
        <w:rPr>
          <w:rFonts w:ascii="Calibri" w:hAnsi="Calibri"/>
          <w:i/>
          <w:snapToGrid w:val="0"/>
          <w:szCs w:val="22"/>
          <w:lang w:eastAsia="cs-CZ"/>
        </w:rPr>
      </w:pPr>
      <w:r>
        <w:rPr>
          <w:rFonts w:ascii="Calibri" w:hAnsi="Calibri"/>
          <w:i/>
          <w:snapToGrid w:val="0"/>
          <w:szCs w:val="22"/>
          <w:lang w:eastAsia="cs-CZ"/>
        </w:rPr>
        <w:t xml:space="preserve">Tabuľka 46: </w:t>
      </w:r>
      <w:r w:rsidR="00242C36" w:rsidRPr="00E43137">
        <w:rPr>
          <w:rFonts w:ascii="Calibri" w:hAnsi="Calibri"/>
          <w:i/>
          <w:snapToGrid w:val="0"/>
          <w:szCs w:val="22"/>
          <w:lang w:eastAsia="cs-CZ"/>
        </w:rPr>
        <w:t xml:space="preserve">Index zmeny početnosti vybraných druhov vtáctva </w:t>
      </w:r>
      <w:r w:rsidR="00242C36" w:rsidRPr="00E43137">
        <w:rPr>
          <w:rFonts w:ascii="Calibri" w:hAnsi="Calibri"/>
          <w:i/>
          <w:szCs w:val="22"/>
          <w:lang w:eastAsia="en-US"/>
        </w:rPr>
        <w:t>poľnohospodárskej</w:t>
      </w:r>
      <w:r w:rsidR="00242C36" w:rsidRPr="00E43137">
        <w:rPr>
          <w:rFonts w:ascii="Calibri" w:hAnsi="Calibri"/>
          <w:i/>
          <w:snapToGrid w:val="0"/>
          <w:szCs w:val="22"/>
          <w:lang w:eastAsia="cs-CZ"/>
        </w:rPr>
        <w:t xml:space="preserve"> krajiny</w:t>
      </w:r>
      <w:r w:rsidR="00242C36">
        <w:rPr>
          <w:rFonts w:ascii="Calibri" w:hAnsi="Calibri"/>
          <w:i/>
          <w:snapToGrid w:val="0"/>
          <w:szCs w:val="22"/>
          <w:lang w:eastAsia="cs-CZ"/>
        </w:rPr>
        <w:t xml:space="preserve"> </w:t>
      </w:r>
      <w:r w:rsidR="00242C36">
        <w:rPr>
          <w:rFonts w:ascii="Calibri" w:eastAsia="Calibri" w:hAnsi="Calibri"/>
          <w:szCs w:val="22"/>
          <w:lang w:eastAsia="en-US"/>
        </w:rPr>
        <w:t>(</w:t>
      </w:r>
      <w:r w:rsidR="00242C36" w:rsidRPr="00C66CB0">
        <w:rPr>
          <w:rFonts w:ascii="Calibri" w:eastAsia="Calibri" w:hAnsi="Calibri"/>
          <w:b/>
          <w:szCs w:val="22"/>
          <w:lang w:eastAsia="en-US"/>
        </w:rPr>
        <w:t>CCI 35</w:t>
      </w:r>
      <w:r w:rsidR="00242C36">
        <w:rPr>
          <w:rFonts w:ascii="Calibri" w:eastAsia="Calibri" w:hAnsi="Calibri"/>
          <w:szCs w:val="22"/>
          <w:lang w:eastAsia="en-US"/>
        </w:rPr>
        <w:t>)</w:t>
      </w:r>
    </w:p>
    <w:tbl>
      <w:tblPr>
        <w:tblW w:w="8697"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561"/>
        <w:gridCol w:w="892"/>
        <w:gridCol w:w="892"/>
        <w:gridCol w:w="892"/>
        <w:gridCol w:w="892"/>
        <w:gridCol w:w="892"/>
        <w:gridCol w:w="892"/>
        <w:gridCol w:w="892"/>
        <w:gridCol w:w="892"/>
      </w:tblGrid>
      <w:tr w:rsidR="00242C36" w:rsidRPr="00FC6257" w:rsidTr="00242C36">
        <w:trPr>
          <w:trHeight w:val="292"/>
        </w:trPr>
        <w:tc>
          <w:tcPr>
            <w:tcW w:w="1561" w:type="dxa"/>
            <w:shd w:val="clear" w:color="auto" w:fill="auto"/>
            <w:noWrap/>
            <w:vAlign w:val="bottom"/>
            <w:hideMark/>
          </w:tcPr>
          <w:p w:rsidR="00242C36" w:rsidRPr="00FC6257" w:rsidRDefault="00242C36" w:rsidP="00242C36">
            <w:pPr>
              <w:rPr>
                <w:b/>
                <w:bCs/>
                <w:color w:val="000000"/>
                <w:sz w:val="20"/>
                <w:szCs w:val="20"/>
              </w:rPr>
            </w:pPr>
            <w:r w:rsidRPr="00FC6257">
              <w:rPr>
                <w:b/>
                <w:bCs/>
                <w:color w:val="000000"/>
                <w:sz w:val="20"/>
                <w:szCs w:val="20"/>
              </w:rPr>
              <w:t>Rok</w:t>
            </w:r>
          </w:p>
        </w:tc>
        <w:tc>
          <w:tcPr>
            <w:tcW w:w="892" w:type="dxa"/>
            <w:shd w:val="clear" w:color="auto" w:fill="auto"/>
            <w:noWrap/>
            <w:vAlign w:val="bottom"/>
            <w:hideMark/>
          </w:tcPr>
          <w:p w:rsidR="00242C36" w:rsidRPr="00FC6257" w:rsidRDefault="00242C36" w:rsidP="00242C36">
            <w:pPr>
              <w:jc w:val="center"/>
              <w:rPr>
                <w:b/>
                <w:bCs/>
                <w:color w:val="000000"/>
                <w:sz w:val="20"/>
                <w:szCs w:val="20"/>
              </w:rPr>
            </w:pPr>
            <w:r w:rsidRPr="00FC6257">
              <w:rPr>
                <w:b/>
                <w:bCs/>
                <w:color w:val="000000"/>
                <w:sz w:val="20"/>
                <w:szCs w:val="20"/>
              </w:rPr>
              <w:t>2005</w:t>
            </w:r>
          </w:p>
        </w:tc>
        <w:tc>
          <w:tcPr>
            <w:tcW w:w="892" w:type="dxa"/>
            <w:shd w:val="clear" w:color="auto" w:fill="auto"/>
            <w:noWrap/>
            <w:vAlign w:val="bottom"/>
            <w:hideMark/>
          </w:tcPr>
          <w:p w:rsidR="00242C36" w:rsidRPr="00FC6257" w:rsidRDefault="00242C36" w:rsidP="00242C36">
            <w:pPr>
              <w:jc w:val="center"/>
              <w:rPr>
                <w:b/>
                <w:bCs/>
                <w:color w:val="000000"/>
                <w:sz w:val="20"/>
                <w:szCs w:val="20"/>
              </w:rPr>
            </w:pPr>
            <w:r w:rsidRPr="00FC6257">
              <w:rPr>
                <w:b/>
                <w:bCs/>
                <w:color w:val="000000"/>
                <w:sz w:val="20"/>
                <w:szCs w:val="20"/>
              </w:rPr>
              <w:t>2006</w:t>
            </w:r>
          </w:p>
        </w:tc>
        <w:tc>
          <w:tcPr>
            <w:tcW w:w="892" w:type="dxa"/>
            <w:shd w:val="clear" w:color="auto" w:fill="auto"/>
            <w:noWrap/>
            <w:vAlign w:val="bottom"/>
            <w:hideMark/>
          </w:tcPr>
          <w:p w:rsidR="00242C36" w:rsidRPr="00FC6257" w:rsidRDefault="00242C36" w:rsidP="00242C36">
            <w:pPr>
              <w:jc w:val="center"/>
              <w:rPr>
                <w:b/>
                <w:bCs/>
                <w:color w:val="000000"/>
                <w:sz w:val="20"/>
                <w:szCs w:val="20"/>
              </w:rPr>
            </w:pPr>
            <w:r w:rsidRPr="00FC6257">
              <w:rPr>
                <w:b/>
                <w:bCs/>
                <w:color w:val="000000"/>
                <w:sz w:val="20"/>
                <w:szCs w:val="20"/>
              </w:rPr>
              <w:t>2007</w:t>
            </w:r>
          </w:p>
        </w:tc>
        <w:tc>
          <w:tcPr>
            <w:tcW w:w="892" w:type="dxa"/>
            <w:shd w:val="clear" w:color="auto" w:fill="auto"/>
            <w:noWrap/>
            <w:vAlign w:val="bottom"/>
            <w:hideMark/>
          </w:tcPr>
          <w:p w:rsidR="00242C36" w:rsidRPr="00FC6257" w:rsidRDefault="00242C36" w:rsidP="00242C36">
            <w:pPr>
              <w:jc w:val="center"/>
              <w:rPr>
                <w:b/>
                <w:bCs/>
                <w:color w:val="000000"/>
                <w:sz w:val="20"/>
                <w:szCs w:val="20"/>
              </w:rPr>
            </w:pPr>
            <w:r w:rsidRPr="00FC6257">
              <w:rPr>
                <w:b/>
                <w:bCs/>
                <w:color w:val="000000"/>
                <w:sz w:val="20"/>
                <w:szCs w:val="20"/>
              </w:rPr>
              <w:t>2008</w:t>
            </w:r>
          </w:p>
        </w:tc>
        <w:tc>
          <w:tcPr>
            <w:tcW w:w="892" w:type="dxa"/>
            <w:shd w:val="clear" w:color="auto" w:fill="auto"/>
            <w:noWrap/>
            <w:vAlign w:val="bottom"/>
            <w:hideMark/>
          </w:tcPr>
          <w:p w:rsidR="00242C36" w:rsidRPr="00FC6257" w:rsidRDefault="00242C36" w:rsidP="00242C36">
            <w:pPr>
              <w:jc w:val="center"/>
              <w:rPr>
                <w:b/>
                <w:bCs/>
                <w:color w:val="000000"/>
                <w:sz w:val="20"/>
                <w:szCs w:val="20"/>
              </w:rPr>
            </w:pPr>
            <w:r w:rsidRPr="00FC6257">
              <w:rPr>
                <w:b/>
                <w:bCs/>
                <w:color w:val="000000"/>
                <w:sz w:val="20"/>
                <w:szCs w:val="20"/>
              </w:rPr>
              <w:t>2009</w:t>
            </w:r>
          </w:p>
        </w:tc>
        <w:tc>
          <w:tcPr>
            <w:tcW w:w="892" w:type="dxa"/>
            <w:shd w:val="clear" w:color="auto" w:fill="auto"/>
            <w:noWrap/>
            <w:vAlign w:val="bottom"/>
            <w:hideMark/>
          </w:tcPr>
          <w:p w:rsidR="00242C36" w:rsidRPr="00FC6257" w:rsidRDefault="00242C36" w:rsidP="00242C36">
            <w:pPr>
              <w:jc w:val="center"/>
              <w:rPr>
                <w:b/>
                <w:bCs/>
                <w:color w:val="000000"/>
                <w:sz w:val="20"/>
                <w:szCs w:val="20"/>
              </w:rPr>
            </w:pPr>
            <w:r w:rsidRPr="00FC6257">
              <w:rPr>
                <w:b/>
                <w:bCs/>
                <w:color w:val="000000"/>
                <w:sz w:val="20"/>
                <w:szCs w:val="20"/>
              </w:rPr>
              <w:t>2010</w:t>
            </w:r>
          </w:p>
        </w:tc>
        <w:tc>
          <w:tcPr>
            <w:tcW w:w="892" w:type="dxa"/>
            <w:shd w:val="clear" w:color="auto" w:fill="auto"/>
            <w:noWrap/>
            <w:vAlign w:val="bottom"/>
            <w:hideMark/>
          </w:tcPr>
          <w:p w:rsidR="00242C36" w:rsidRPr="00FC6257" w:rsidRDefault="00242C36" w:rsidP="00242C36">
            <w:pPr>
              <w:jc w:val="center"/>
              <w:rPr>
                <w:b/>
                <w:bCs/>
                <w:color w:val="000000"/>
                <w:sz w:val="20"/>
                <w:szCs w:val="20"/>
              </w:rPr>
            </w:pPr>
            <w:r w:rsidRPr="00FC6257">
              <w:rPr>
                <w:b/>
                <w:bCs/>
                <w:color w:val="000000"/>
                <w:sz w:val="20"/>
                <w:szCs w:val="20"/>
              </w:rPr>
              <w:t>2011</w:t>
            </w:r>
          </w:p>
        </w:tc>
        <w:tc>
          <w:tcPr>
            <w:tcW w:w="892" w:type="dxa"/>
            <w:shd w:val="clear" w:color="auto" w:fill="auto"/>
            <w:noWrap/>
            <w:vAlign w:val="bottom"/>
            <w:hideMark/>
          </w:tcPr>
          <w:p w:rsidR="00242C36" w:rsidRPr="00FC6257" w:rsidRDefault="00242C36" w:rsidP="00242C36">
            <w:pPr>
              <w:jc w:val="center"/>
              <w:rPr>
                <w:b/>
                <w:bCs/>
                <w:color w:val="000000"/>
                <w:sz w:val="20"/>
                <w:szCs w:val="20"/>
              </w:rPr>
            </w:pPr>
            <w:r w:rsidRPr="00FC6257">
              <w:rPr>
                <w:b/>
                <w:bCs/>
                <w:color w:val="000000"/>
                <w:sz w:val="20"/>
                <w:szCs w:val="20"/>
              </w:rPr>
              <w:t>2012</w:t>
            </w:r>
          </w:p>
        </w:tc>
      </w:tr>
      <w:tr w:rsidR="00242C36" w:rsidRPr="00FC6257" w:rsidTr="00242C36">
        <w:trPr>
          <w:trHeight w:val="292"/>
        </w:trPr>
        <w:tc>
          <w:tcPr>
            <w:tcW w:w="1561" w:type="dxa"/>
            <w:shd w:val="clear" w:color="auto" w:fill="auto"/>
            <w:noWrap/>
            <w:vAlign w:val="bottom"/>
            <w:hideMark/>
          </w:tcPr>
          <w:p w:rsidR="00242C36" w:rsidRPr="00FC6257" w:rsidRDefault="00242C36" w:rsidP="00242C36">
            <w:pPr>
              <w:jc w:val="center"/>
              <w:rPr>
                <w:color w:val="000000"/>
                <w:sz w:val="20"/>
                <w:szCs w:val="20"/>
              </w:rPr>
            </w:pPr>
            <w:r w:rsidRPr="00FC6257">
              <w:rPr>
                <w:color w:val="000000"/>
                <w:sz w:val="20"/>
                <w:szCs w:val="20"/>
              </w:rPr>
              <w:t>FBI</w:t>
            </w:r>
          </w:p>
        </w:tc>
        <w:tc>
          <w:tcPr>
            <w:tcW w:w="892" w:type="dxa"/>
            <w:shd w:val="clear" w:color="auto" w:fill="auto"/>
            <w:noWrap/>
            <w:vAlign w:val="bottom"/>
            <w:hideMark/>
          </w:tcPr>
          <w:p w:rsidR="00242C36" w:rsidRPr="00FC6257" w:rsidRDefault="00242C36" w:rsidP="00242C36">
            <w:pPr>
              <w:jc w:val="center"/>
              <w:rPr>
                <w:color w:val="000000"/>
                <w:sz w:val="20"/>
                <w:szCs w:val="20"/>
              </w:rPr>
            </w:pPr>
            <w:r w:rsidRPr="00FC6257">
              <w:rPr>
                <w:color w:val="000000"/>
                <w:sz w:val="20"/>
                <w:szCs w:val="20"/>
              </w:rPr>
              <w:t>1,0000</w:t>
            </w:r>
          </w:p>
        </w:tc>
        <w:tc>
          <w:tcPr>
            <w:tcW w:w="892" w:type="dxa"/>
            <w:shd w:val="clear" w:color="auto" w:fill="auto"/>
            <w:noWrap/>
            <w:vAlign w:val="bottom"/>
            <w:hideMark/>
          </w:tcPr>
          <w:p w:rsidR="00242C36" w:rsidRPr="00FC6257" w:rsidRDefault="00242C36" w:rsidP="00242C36">
            <w:pPr>
              <w:jc w:val="center"/>
              <w:rPr>
                <w:color w:val="000000"/>
                <w:sz w:val="20"/>
                <w:szCs w:val="20"/>
              </w:rPr>
            </w:pPr>
            <w:r w:rsidRPr="00FC6257">
              <w:rPr>
                <w:color w:val="000000"/>
                <w:sz w:val="20"/>
                <w:szCs w:val="20"/>
              </w:rPr>
              <w:t>0,9882</w:t>
            </w:r>
          </w:p>
        </w:tc>
        <w:tc>
          <w:tcPr>
            <w:tcW w:w="892" w:type="dxa"/>
            <w:shd w:val="clear" w:color="auto" w:fill="auto"/>
            <w:noWrap/>
            <w:vAlign w:val="bottom"/>
            <w:hideMark/>
          </w:tcPr>
          <w:p w:rsidR="00242C36" w:rsidRPr="00FC6257" w:rsidRDefault="00242C36" w:rsidP="00242C36">
            <w:pPr>
              <w:jc w:val="center"/>
              <w:rPr>
                <w:color w:val="000000"/>
                <w:sz w:val="20"/>
                <w:szCs w:val="20"/>
              </w:rPr>
            </w:pPr>
            <w:r w:rsidRPr="00FC6257">
              <w:rPr>
                <w:color w:val="000000"/>
                <w:sz w:val="20"/>
                <w:szCs w:val="20"/>
              </w:rPr>
              <w:t>1,0273</w:t>
            </w:r>
          </w:p>
        </w:tc>
        <w:tc>
          <w:tcPr>
            <w:tcW w:w="892" w:type="dxa"/>
            <w:shd w:val="clear" w:color="auto" w:fill="auto"/>
            <w:noWrap/>
            <w:vAlign w:val="bottom"/>
            <w:hideMark/>
          </w:tcPr>
          <w:p w:rsidR="00242C36" w:rsidRPr="00FC6257" w:rsidRDefault="00242C36" w:rsidP="00242C36">
            <w:pPr>
              <w:jc w:val="center"/>
              <w:rPr>
                <w:color w:val="000000"/>
                <w:sz w:val="20"/>
                <w:szCs w:val="20"/>
              </w:rPr>
            </w:pPr>
            <w:r w:rsidRPr="00FC6257">
              <w:rPr>
                <w:color w:val="000000"/>
                <w:sz w:val="20"/>
                <w:szCs w:val="20"/>
              </w:rPr>
              <w:t>1,0269</w:t>
            </w:r>
          </w:p>
        </w:tc>
        <w:tc>
          <w:tcPr>
            <w:tcW w:w="892" w:type="dxa"/>
            <w:shd w:val="clear" w:color="auto" w:fill="auto"/>
            <w:noWrap/>
            <w:vAlign w:val="bottom"/>
            <w:hideMark/>
          </w:tcPr>
          <w:p w:rsidR="00242C36" w:rsidRPr="00FC6257" w:rsidRDefault="00242C36" w:rsidP="00242C36">
            <w:pPr>
              <w:jc w:val="center"/>
              <w:rPr>
                <w:color w:val="000000"/>
                <w:sz w:val="20"/>
                <w:szCs w:val="20"/>
              </w:rPr>
            </w:pPr>
            <w:r w:rsidRPr="00FC6257">
              <w:rPr>
                <w:color w:val="000000"/>
                <w:sz w:val="20"/>
                <w:szCs w:val="20"/>
              </w:rPr>
              <w:t>1,0891</w:t>
            </w:r>
          </w:p>
        </w:tc>
        <w:tc>
          <w:tcPr>
            <w:tcW w:w="892" w:type="dxa"/>
            <w:shd w:val="clear" w:color="auto" w:fill="auto"/>
            <w:noWrap/>
            <w:vAlign w:val="bottom"/>
            <w:hideMark/>
          </w:tcPr>
          <w:p w:rsidR="00242C36" w:rsidRPr="00FC6257" w:rsidRDefault="00242C36" w:rsidP="00242C36">
            <w:pPr>
              <w:jc w:val="center"/>
              <w:rPr>
                <w:color w:val="000000"/>
                <w:sz w:val="20"/>
                <w:szCs w:val="20"/>
              </w:rPr>
            </w:pPr>
            <w:r w:rsidRPr="00FC6257">
              <w:rPr>
                <w:color w:val="000000"/>
                <w:sz w:val="20"/>
                <w:szCs w:val="20"/>
              </w:rPr>
              <w:t>0,9823</w:t>
            </w:r>
          </w:p>
        </w:tc>
        <w:tc>
          <w:tcPr>
            <w:tcW w:w="892" w:type="dxa"/>
            <w:shd w:val="clear" w:color="auto" w:fill="auto"/>
            <w:noWrap/>
            <w:vAlign w:val="bottom"/>
            <w:hideMark/>
          </w:tcPr>
          <w:p w:rsidR="00242C36" w:rsidRPr="00FC6257" w:rsidRDefault="00242C36" w:rsidP="00242C36">
            <w:pPr>
              <w:jc w:val="center"/>
              <w:rPr>
                <w:color w:val="000000"/>
                <w:sz w:val="20"/>
                <w:szCs w:val="20"/>
              </w:rPr>
            </w:pPr>
            <w:r w:rsidRPr="00FC6257">
              <w:rPr>
                <w:color w:val="000000"/>
                <w:sz w:val="20"/>
                <w:szCs w:val="20"/>
              </w:rPr>
              <w:t>0,9402</w:t>
            </w:r>
          </w:p>
        </w:tc>
        <w:tc>
          <w:tcPr>
            <w:tcW w:w="892" w:type="dxa"/>
            <w:shd w:val="clear" w:color="auto" w:fill="auto"/>
            <w:noWrap/>
            <w:vAlign w:val="bottom"/>
            <w:hideMark/>
          </w:tcPr>
          <w:p w:rsidR="00242C36" w:rsidRPr="00FC6257" w:rsidRDefault="00242C36" w:rsidP="00242C36">
            <w:pPr>
              <w:jc w:val="center"/>
              <w:rPr>
                <w:color w:val="000000"/>
                <w:sz w:val="20"/>
                <w:szCs w:val="20"/>
              </w:rPr>
            </w:pPr>
            <w:r w:rsidRPr="00FC6257">
              <w:rPr>
                <w:color w:val="000000"/>
                <w:sz w:val="20"/>
                <w:szCs w:val="20"/>
              </w:rPr>
              <w:t>0,8995</w:t>
            </w:r>
          </w:p>
        </w:tc>
      </w:tr>
      <w:tr w:rsidR="00242C36" w:rsidRPr="00FC6257" w:rsidTr="00242C36">
        <w:trPr>
          <w:trHeight w:val="292"/>
        </w:trPr>
        <w:tc>
          <w:tcPr>
            <w:tcW w:w="1561" w:type="dxa"/>
            <w:shd w:val="clear" w:color="auto" w:fill="auto"/>
            <w:noWrap/>
            <w:vAlign w:val="bottom"/>
            <w:hideMark/>
          </w:tcPr>
          <w:p w:rsidR="00242C36" w:rsidRPr="00FC6257" w:rsidRDefault="00242C36" w:rsidP="00242C36">
            <w:pPr>
              <w:rPr>
                <w:b/>
                <w:bCs/>
                <w:color w:val="000000"/>
                <w:sz w:val="20"/>
                <w:szCs w:val="20"/>
              </w:rPr>
            </w:pPr>
            <w:r w:rsidRPr="00FC6257">
              <w:rPr>
                <w:b/>
                <w:bCs/>
                <w:color w:val="000000"/>
                <w:sz w:val="20"/>
                <w:szCs w:val="20"/>
              </w:rPr>
              <w:t>Farmland BirdIndex</w:t>
            </w:r>
          </w:p>
        </w:tc>
        <w:tc>
          <w:tcPr>
            <w:tcW w:w="892" w:type="dxa"/>
            <w:shd w:val="clear" w:color="auto" w:fill="auto"/>
            <w:noWrap/>
            <w:vAlign w:val="bottom"/>
            <w:hideMark/>
          </w:tcPr>
          <w:p w:rsidR="00242C36" w:rsidRPr="00FC6257" w:rsidRDefault="00242C36" w:rsidP="00242C36">
            <w:pPr>
              <w:jc w:val="center"/>
              <w:rPr>
                <w:b/>
                <w:bCs/>
                <w:color w:val="000000"/>
                <w:sz w:val="20"/>
                <w:szCs w:val="20"/>
              </w:rPr>
            </w:pPr>
            <w:r w:rsidRPr="00FC6257">
              <w:rPr>
                <w:b/>
                <w:bCs/>
                <w:color w:val="000000"/>
                <w:sz w:val="20"/>
                <w:szCs w:val="20"/>
              </w:rPr>
              <w:t>100%</w:t>
            </w:r>
          </w:p>
        </w:tc>
        <w:tc>
          <w:tcPr>
            <w:tcW w:w="892" w:type="dxa"/>
            <w:shd w:val="clear" w:color="auto" w:fill="auto"/>
            <w:noWrap/>
            <w:vAlign w:val="bottom"/>
            <w:hideMark/>
          </w:tcPr>
          <w:p w:rsidR="00242C36" w:rsidRPr="00FC6257" w:rsidRDefault="00242C36" w:rsidP="00242C36">
            <w:pPr>
              <w:jc w:val="center"/>
              <w:rPr>
                <w:b/>
                <w:bCs/>
                <w:color w:val="000000"/>
                <w:sz w:val="20"/>
                <w:szCs w:val="20"/>
              </w:rPr>
            </w:pPr>
            <w:r w:rsidRPr="00FC6257">
              <w:rPr>
                <w:b/>
                <w:bCs/>
                <w:color w:val="000000"/>
                <w:sz w:val="20"/>
                <w:szCs w:val="20"/>
              </w:rPr>
              <w:t>98,82%</w:t>
            </w:r>
          </w:p>
        </w:tc>
        <w:tc>
          <w:tcPr>
            <w:tcW w:w="892" w:type="dxa"/>
            <w:shd w:val="clear" w:color="auto" w:fill="auto"/>
            <w:noWrap/>
            <w:vAlign w:val="bottom"/>
            <w:hideMark/>
          </w:tcPr>
          <w:p w:rsidR="00242C36" w:rsidRPr="00FC6257" w:rsidRDefault="00242C36" w:rsidP="00242C36">
            <w:pPr>
              <w:jc w:val="center"/>
              <w:rPr>
                <w:b/>
                <w:bCs/>
                <w:color w:val="000000"/>
                <w:sz w:val="20"/>
                <w:szCs w:val="20"/>
              </w:rPr>
            </w:pPr>
            <w:r w:rsidRPr="00FC6257">
              <w:rPr>
                <w:b/>
                <w:bCs/>
                <w:color w:val="000000"/>
                <w:sz w:val="20"/>
                <w:szCs w:val="20"/>
              </w:rPr>
              <w:t>102,73%</w:t>
            </w:r>
          </w:p>
        </w:tc>
        <w:tc>
          <w:tcPr>
            <w:tcW w:w="892" w:type="dxa"/>
            <w:shd w:val="clear" w:color="auto" w:fill="auto"/>
            <w:noWrap/>
            <w:vAlign w:val="bottom"/>
            <w:hideMark/>
          </w:tcPr>
          <w:p w:rsidR="00242C36" w:rsidRPr="00FC6257" w:rsidRDefault="00242C36" w:rsidP="00242C36">
            <w:pPr>
              <w:jc w:val="center"/>
              <w:rPr>
                <w:b/>
                <w:bCs/>
                <w:color w:val="000000"/>
                <w:sz w:val="20"/>
                <w:szCs w:val="20"/>
              </w:rPr>
            </w:pPr>
            <w:r w:rsidRPr="00FC6257">
              <w:rPr>
                <w:b/>
                <w:bCs/>
                <w:color w:val="000000"/>
                <w:sz w:val="20"/>
                <w:szCs w:val="20"/>
              </w:rPr>
              <w:t>102,69%</w:t>
            </w:r>
          </w:p>
        </w:tc>
        <w:tc>
          <w:tcPr>
            <w:tcW w:w="892" w:type="dxa"/>
            <w:shd w:val="clear" w:color="auto" w:fill="auto"/>
            <w:noWrap/>
            <w:vAlign w:val="bottom"/>
            <w:hideMark/>
          </w:tcPr>
          <w:p w:rsidR="00242C36" w:rsidRPr="00FC6257" w:rsidRDefault="00242C36" w:rsidP="00242C36">
            <w:pPr>
              <w:jc w:val="center"/>
              <w:rPr>
                <w:b/>
                <w:bCs/>
                <w:color w:val="000000"/>
                <w:sz w:val="20"/>
                <w:szCs w:val="20"/>
              </w:rPr>
            </w:pPr>
            <w:r w:rsidRPr="00FC6257">
              <w:rPr>
                <w:b/>
                <w:bCs/>
                <w:color w:val="000000"/>
                <w:sz w:val="20"/>
                <w:szCs w:val="20"/>
              </w:rPr>
              <w:t>108,91%</w:t>
            </w:r>
          </w:p>
        </w:tc>
        <w:tc>
          <w:tcPr>
            <w:tcW w:w="892" w:type="dxa"/>
            <w:shd w:val="clear" w:color="auto" w:fill="auto"/>
            <w:noWrap/>
            <w:vAlign w:val="bottom"/>
            <w:hideMark/>
          </w:tcPr>
          <w:p w:rsidR="00242C36" w:rsidRPr="00FC6257" w:rsidRDefault="00242C36" w:rsidP="00242C36">
            <w:pPr>
              <w:jc w:val="center"/>
              <w:rPr>
                <w:b/>
                <w:bCs/>
                <w:color w:val="000000"/>
                <w:sz w:val="20"/>
                <w:szCs w:val="20"/>
              </w:rPr>
            </w:pPr>
            <w:r w:rsidRPr="00FC6257">
              <w:rPr>
                <w:b/>
                <w:bCs/>
                <w:color w:val="000000"/>
                <w:sz w:val="20"/>
                <w:szCs w:val="20"/>
              </w:rPr>
              <w:t>98,23%</w:t>
            </w:r>
          </w:p>
        </w:tc>
        <w:tc>
          <w:tcPr>
            <w:tcW w:w="892" w:type="dxa"/>
            <w:shd w:val="clear" w:color="auto" w:fill="auto"/>
            <w:noWrap/>
            <w:vAlign w:val="bottom"/>
            <w:hideMark/>
          </w:tcPr>
          <w:p w:rsidR="00242C36" w:rsidRPr="00FC6257" w:rsidRDefault="00242C36" w:rsidP="00242C36">
            <w:pPr>
              <w:jc w:val="center"/>
              <w:rPr>
                <w:b/>
                <w:bCs/>
                <w:color w:val="000000"/>
                <w:sz w:val="20"/>
                <w:szCs w:val="20"/>
              </w:rPr>
            </w:pPr>
            <w:r w:rsidRPr="00FC6257">
              <w:rPr>
                <w:b/>
                <w:bCs/>
                <w:color w:val="000000"/>
                <w:sz w:val="20"/>
                <w:szCs w:val="20"/>
              </w:rPr>
              <w:t>94,02%</w:t>
            </w:r>
          </w:p>
        </w:tc>
        <w:tc>
          <w:tcPr>
            <w:tcW w:w="892" w:type="dxa"/>
            <w:shd w:val="clear" w:color="auto" w:fill="auto"/>
            <w:noWrap/>
            <w:vAlign w:val="bottom"/>
            <w:hideMark/>
          </w:tcPr>
          <w:p w:rsidR="00242C36" w:rsidRPr="00FC6257" w:rsidRDefault="00242C36" w:rsidP="00242C36">
            <w:pPr>
              <w:jc w:val="center"/>
              <w:rPr>
                <w:b/>
                <w:bCs/>
                <w:color w:val="000000"/>
                <w:sz w:val="20"/>
                <w:szCs w:val="20"/>
              </w:rPr>
            </w:pPr>
            <w:r w:rsidRPr="00FC6257">
              <w:rPr>
                <w:b/>
                <w:bCs/>
                <w:color w:val="000000"/>
                <w:sz w:val="20"/>
                <w:szCs w:val="20"/>
              </w:rPr>
              <w:t>89,95%</w:t>
            </w:r>
          </w:p>
        </w:tc>
      </w:tr>
    </w:tbl>
    <w:p w:rsidR="00242C36" w:rsidRPr="00113FC3" w:rsidRDefault="00242C36" w:rsidP="00242C36">
      <w:pPr>
        <w:spacing w:after="200"/>
        <w:contextualSpacing/>
        <w:rPr>
          <w:rFonts w:ascii="Calibri" w:eastAsia="Calibri" w:hAnsi="Calibri"/>
          <w:bCs/>
          <w:color w:val="000000"/>
          <w:szCs w:val="20"/>
          <w:vertAlign w:val="superscript"/>
        </w:rPr>
      </w:pPr>
      <w:r w:rsidRPr="00113FC3">
        <w:rPr>
          <w:rFonts w:ascii="Calibri" w:eastAsia="Calibri" w:hAnsi="Calibri"/>
          <w:color w:val="000000"/>
          <w:sz w:val="20"/>
          <w:szCs w:val="18"/>
        </w:rPr>
        <w:t>Zdroj: SOS/Birdlife Slovensko</w:t>
      </w:r>
    </w:p>
    <w:p w:rsidR="00242C36" w:rsidRDefault="00242C36" w:rsidP="00242C36">
      <w:pPr>
        <w:pBdr>
          <w:bar w:val="single" w:sz="6" w:color="808080"/>
        </w:pBdr>
        <w:rPr>
          <w:rFonts w:ascii="Calibri" w:eastAsia="Calibri" w:hAnsi="Calibri"/>
          <w:szCs w:val="22"/>
          <w:lang w:eastAsia="en-US"/>
        </w:rPr>
      </w:pPr>
    </w:p>
    <w:p w:rsidR="00242C36" w:rsidRPr="00970E8F" w:rsidRDefault="00242C36" w:rsidP="00242C36">
      <w:pPr>
        <w:pBdr>
          <w:bar w:val="single" w:sz="6" w:color="808080"/>
        </w:pBdr>
        <w:rPr>
          <w:rFonts w:ascii="Calibri" w:eastAsia="Calibri" w:hAnsi="Calibri"/>
          <w:szCs w:val="22"/>
          <w:lang w:eastAsia="en-US"/>
        </w:rPr>
      </w:pPr>
      <w:r w:rsidRPr="008A451B">
        <w:rPr>
          <w:rFonts w:ascii="Calibri" w:eastAsia="Calibri" w:hAnsi="Calibri"/>
          <w:szCs w:val="22"/>
          <w:lang w:eastAsia="en-US"/>
        </w:rPr>
        <w:t xml:space="preserve">Pri súhrnnom hodnotení početnosti 24 druhov poľnohospodárskych druhov vtáctva </w:t>
      </w:r>
      <w:r>
        <w:rPr>
          <w:rFonts w:ascii="Calibri" w:eastAsia="Calibri" w:hAnsi="Calibri"/>
          <w:szCs w:val="22"/>
          <w:lang w:eastAsia="en-US"/>
        </w:rPr>
        <w:t xml:space="preserve">je </w:t>
      </w:r>
      <w:r w:rsidRPr="008A451B">
        <w:rPr>
          <w:rFonts w:ascii="Calibri" w:eastAsia="Calibri" w:hAnsi="Calibri"/>
          <w:szCs w:val="22"/>
          <w:lang w:eastAsia="en-US"/>
        </w:rPr>
        <w:t xml:space="preserve">zatiaľ situácia </w:t>
      </w:r>
      <w:r>
        <w:rPr>
          <w:rFonts w:ascii="Calibri" w:eastAsia="Calibri" w:hAnsi="Calibri"/>
          <w:szCs w:val="22"/>
          <w:lang w:eastAsia="en-US"/>
        </w:rPr>
        <w:t>v SR</w:t>
      </w:r>
      <w:r w:rsidRPr="008A451B">
        <w:rPr>
          <w:rFonts w:ascii="Calibri" w:eastAsia="Calibri" w:hAnsi="Calibri"/>
          <w:szCs w:val="22"/>
          <w:lang w:eastAsia="en-US"/>
        </w:rPr>
        <w:t xml:space="preserve"> pozitívnejšia  ako  v krajinách  západnej  Európy.  Do  roku  2009  bol zaznamenaný celkový nárast početnosti </w:t>
      </w:r>
      <w:r>
        <w:rPr>
          <w:rFonts w:ascii="Calibri" w:eastAsia="Calibri" w:hAnsi="Calibri"/>
          <w:szCs w:val="22"/>
          <w:lang w:eastAsia="en-US"/>
        </w:rPr>
        <w:t xml:space="preserve">sledovaných </w:t>
      </w:r>
      <w:r w:rsidRPr="008A451B">
        <w:rPr>
          <w:rFonts w:ascii="Calibri" w:eastAsia="Calibri" w:hAnsi="Calibri"/>
          <w:szCs w:val="22"/>
          <w:lang w:eastAsia="en-US"/>
        </w:rPr>
        <w:t xml:space="preserve">druhov o takmer 9 %, </w:t>
      </w:r>
      <w:r w:rsidRPr="004748CB">
        <w:rPr>
          <w:rFonts w:ascii="Calibri" w:eastAsia="Calibri" w:hAnsi="Calibri"/>
          <w:szCs w:val="22"/>
          <w:lang w:eastAsia="en-US"/>
        </w:rPr>
        <w:t xml:space="preserve">kým </w:t>
      </w:r>
      <w:r>
        <w:rPr>
          <w:rFonts w:ascii="Calibri" w:eastAsia="Calibri" w:hAnsi="Calibri"/>
          <w:szCs w:val="22"/>
          <w:lang w:eastAsia="en-US"/>
        </w:rPr>
        <w:t xml:space="preserve">v nasledujúcich rokoch 2010 – 2012 </w:t>
      </w:r>
      <w:r w:rsidRPr="004748CB">
        <w:rPr>
          <w:rFonts w:ascii="Calibri" w:eastAsia="Calibri" w:hAnsi="Calibri"/>
          <w:szCs w:val="22"/>
          <w:lang w:eastAsia="en-US"/>
        </w:rPr>
        <w:t xml:space="preserve"> klesol na úroveň </w:t>
      </w:r>
      <w:r>
        <w:rPr>
          <w:rFonts w:ascii="Calibri" w:eastAsia="Calibri" w:hAnsi="Calibri"/>
          <w:szCs w:val="22"/>
          <w:lang w:eastAsia="en-US"/>
        </w:rPr>
        <w:t xml:space="preserve">cca </w:t>
      </w:r>
      <w:r w:rsidRPr="004748CB">
        <w:rPr>
          <w:rFonts w:ascii="Calibri" w:eastAsia="Calibri" w:hAnsi="Calibri"/>
          <w:szCs w:val="22"/>
          <w:lang w:eastAsia="en-US"/>
        </w:rPr>
        <w:t>o 10 % nižšiu ako bol počet zaznamenaný v roku 2005</w:t>
      </w:r>
      <w:r>
        <w:rPr>
          <w:rFonts w:ascii="Calibri" w:eastAsia="Calibri" w:hAnsi="Calibri"/>
          <w:szCs w:val="22"/>
          <w:lang w:eastAsia="en-US"/>
        </w:rPr>
        <w:t>.</w:t>
      </w:r>
      <w:r w:rsidRPr="004748CB">
        <w:rPr>
          <w:rFonts w:ascii="Calibri" w:eastAsia="Calibri" w:hAnsi="Calibri"/>
          <w:szCs w:val="22"/>
          <w:lang w:eastAsia="en-US"/>
        </w:rPr>
        <w:t xml:space="preserve"> </w:t>
      </w:r>
      <w:r w:rsidRPr="00970E8F">
        <w:rPr>
          <w:rFonts w:ascii="Calibri" w:hAnsi="Calibri" w:cs="Calibri"/>
          <w:szCs w:val="22"/>
        </w:rPr>
        <w:t>Kontinuálny pokles niektorých poľnohospodárskych druhov uvedených vyššie ako aj nepriaznivý až kritický stav ďalších druhov poľnohospodárskej krajiny (napr. drop fúzatý, krakľa belasá, strakoš červenochrbtý) naznačuje, že druhy poľnohospodárskej krajiny patria medzi zraniteľnejšie a pri nevhodnom využívaní krajiny môže situácia vyzerať obdobne ako je to známe zo západnej Európy. S cieľom zabrániť zhoršovaniu trendu vtáčích populácií je potrebne v novom programovacom období pokračovať v podpore hospodárenia smerujúceho k ochrane biotopov vybraných druhov vtákov prostredníctvom agro-environmentálneho opatrenia.</w:t>
      </w:r>
    </w:p>
    <w:p w:rsidR="00242C36" w:rsidRDefault="00242C36" w:rsidP="00242C36">
      <w:pPr>
        <w:pBdr>
          <w:bar w:val="single" w:sz="6" w:color="808080"/>
        </w:pBdr>
        <w:rPr>
          <w:rFonts w:ascii="Calibri" w:eastAsia="Calibri" w:hAnsi="Calibri"/>
          <w:szCs w:val="22"/>
          <w:highlight w:val="yellow"/>
          <w:lang w:eastAsia="en-US"/>
        </w:rPr>
      </w:pPr>
    </w:p>
    <w:p w:rsidR="00242C36" w:rsidRDefault="00242C36" w:rsidP="00242C36">
      <w:pPr>
        <w:pBdr>
          <w:bar w:val="single" w:sz="6" w:color="808080"/>
        </w:pBdr>
        <w:rPr>
          <w:rFonts w:ascii="Calibri" w:eastAsia="Calibri" w:hAnsi="Calibri"/>
          <w:szCs w:val="22"/>
          <w:lang w:eastAsia="en-US"/>
        </w:rPr>
      </w:pPr>
      <w:r w:rsidRPr="003B0A38">
        <w:rPr>
          <w:rFonts w:ascii="Calibri" w:eastAsia="Calibri" w:hAnsi="Calibri"/>
          <w:noProof/>
          <w:szCs w:val="22"/>
        </w:rPr>
        <w:drawing>
          <wp:inline distT="0" distB="0" distL="0" distR="0" wp14:anchorId="41FF40ED" wp14:editId="786A94A4">
            <wp:extent cx="5760720" cy="3728821"/>
            <wp:effectExtent l="19050" t="0" r="0" b="0"/>
            <wp:docPr id="10" name="Obrázo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 cstate="print"/>
                    <a:srcRect/>
                    <a:stretch>
                      <a:fillRect/>
                    </a:stretch>
                  </pic:blipFill>
                  <pic:spPr bwMode="auto">
                    <a:xfrm>
                      <a:off x="0" y="0"/>
                      <a:ext cx="5760720" cy="3728821"/>
                    </a:xfrm>
                    <a:prstGeom prst="rect">
                      <a:avLst/>
                    </a:prstGeom>
                    <a:noFill/>
                    <a:ln w="9525">
                      <a:noFill/>
                      <a:miter lim="800000"/>
                      <a:headEnd/>
                      <a:tailEnd/>
                    </a:ln>
                  </pic:spPr>
                </pic:pic>
              </a:graphicData>
            </a:graphic>
          </wp:inline>
        </w:drawing>
      </w:r>
    </w:p>
    <w:p w:rsidR="00242C36" w:rsidRPr="00113FC3" w:rsidRDefault="00242C36" w:rsidP="00242C36">
      <w:pPr>
        <w:pBdr>
          <w:bar w:val="single" w:sz="6" w:color="808080"/>
        </w:pBdr>
        <w:rPr>
          <w:rFonts w:ascii="Calibri" w:eastAsia="Calibri" w:hAnsi="Calibri"/>
          <w:sz w:val="20"/>
          <w:szCs w:val="22"/>
          <w:lang w:eastAsia="en-US"/>
        </w:rPr>
      </w:pPr>
      <w:r w:rsidRPr="00113FC3">
        <w:rPr>
          <w:rFonts w:ascii="Calibri" w:eastAsia="Calibri" w:hAnsi="Calibri"/>
          <w:sz w:val="20"/>
          <w:szCs w:val="22"/>
          <w:lang w:eastAsia="en-US"/>
        </w:rPr>
        <w:t>Zdroj: SOS/Birdlife Slovensko, „Výsledky zo sčítania bežných druhov na Slovensku - vyhodnotenie trendov v rokoch 2005 – 2012“</w:t>
      </w:r>
    </w:p>
    <w:p w:rsidR="00242C36" w:rsidRDefault="00242C36" w:rsidP="00242C36">
      <w:pPr>
        <w:pBdr>
          <w:bar w:val="single" w:sz="6" w:color="808080"/>
        </w:pBdr>
        <w:rPr>
          <w:rFonts w:ascii="Calibri" w:eastAsia="Calibri" w:hAnsi="Calibri"/>
          <w:szCs w:val="22"/>
          <w:lang w:eastAsia="en-US"/>
        </w:rPr>
      </w:pPr>
    </w:p>
    <w:p w:rsidR="00242C36" w:rsidRPr="0040784E" w:rsidRDefault="00242C36" w:rsidP="00242C36">
      <w:pPr>
        <w:pBdr>
          <w:bar w:val="single" w:sz="6" w:color="808080"/>
        </w:pBdr>
        <w:rPr>
          <w:rFonts w:eastAsia="Calibri"/>
          <w:szCs w:val="22"/>
          <w:lang w:eastAsia="en-US"/>
        </w:rPr>
      </w:pPr>
      <w:r w:rsidRPr="00AB6944">
        <w:rPr>
          <w:rFonts w:ascii="Calibri" w:eastAsia="Calibri" w:hAnsi="Calibri"/>
          <w:szCs w:val="22"/>
          <w:lang w:eastAsia="en-US"/>
        </w:rPr>
        <w:t xml:space="preserve">Pri ukazovateli </w:t>
      </w:r>
      <w:r>
        <w:rPr>
          <w:rFonts w:ascii="Calibri" w:eastAsia="Calibri" w:hAnsi="Calibri"/>
          <w:b/>
          <w:szCs w:val="22"/>
          <w:lang w:eastAsia="en-US"/>
        </w:rPr>
        <w:t>v</w:t>
      </w:r>
      <w:r w:rsidRPr="00415016">
        <w:rPr>
          <w:rFonts w:ascii="Calibri" w:eastAsia="Calibri" w:hAnsi="Calibri"/>
          <w:b/>
          <w:szCs w:val="22"/>
          <w:lang w:eastAsia="en-US"/>
        </w:rPr>
        <w:t>táky v lesnej krajine</w:t>
      </w:r>
      <w:r>
        <w:rPr>
          <w:rFonts w:ascii="Calibri" w:eastAsia="Calibri" w:hAnsi="Calibri"/>
          <w:b/>
          <w:szCs w:val="22"/>
          <w:lang w:eastAsia="en-US"/>
        </w:rPr>
        <w:t xml:space="preserve"> </w:t>
      </w:r>
      <w:r w:rsidRPr="00AB6944">
        <w:rPr>
          <w:rFonts w:ascii="Calibri" w:eastAsia="Calibri" w:hAnsi="Calibri"/>
          <w:szCs w:val="22"/>
          <w:lang w:eastAsia="en-US"/>
        </w:rPr>
        <w:t>z</w:t>
      </w:r>
      <w:r w:rsidRPr="00415016">
        <w:rPr>
          <w:rFonts w:cs="Times-Roman"/>
          <w:szCs w:val="22"/>
        </w:rPr>
        <w:t xml:space="preserve"> Výsledkov zo sčítania bežných druhov na Slovensku (SOS/BirdLife Slovensko) tiež vyplynulo, že v prípade lesných druhov vtáctva </w:t>
      </w:r>
      <w:r w:rsidR="00E32F57" w:rsidRPr="00415016">
        <w:rPr>
          <w:rFonts w:cs="Times-Roman"/>
          <w:szCs w:val="22"/>
        </w:rPr>
        <w:t>po</w:t>
      </w:r>
      <w:r w:rsidR="00E32F57" w:rsidRPr="00415016">
        <w:rPr>
          <w:rFonts w:cs="TTE5t00"/>
          <w:szCs w:val="22"/>
        </w:rPr>
        <w:t>č</w:t>
      </w:r>
      <w:r w:rsidR="00E32F57" w:rsidRPr="00415016">
        <w:rPr>
          <w:rFonts w:cs="Times-Roman"/>
          <w:szCs w:val="22"/>
        </w:rPr>
        <w:t>etnos</w:t>
      </w:r>
      <w:r w:rsidR="00E32F57" w:rsidRPr="00415016">
        <w:rPr>
          <w:rFonts w:cs="TTE5t00"/>
          <w:szCs w:val="22"/>
        </w:rPr>
        <w:t>ť</w:t>
      </w:r>
      <w:r w:rsidRPr="00415016">
        <w:rPr>
          <w:rFonts w:cs="TTE5t00"/>
          <w:szCs w:val="22"/>
        </w:rPr>
        <w:t xml:space="preserve"> </w:t>
      </w:r>
      <w:r w:rsidRPr="00415016">
        <w:rPr>
          <w:rFonts w:cs="Times-Roman"/>
          <w:szCs w:val="22"/>
        </w:rPr>
        <w:t>27 bežných druhov klesá kontinuálne od</w:t>
      </w:r>
      <w:r>
        <w:rPr>
          <w:rFonts w:cs="Times-Roman"/>
          <w:szCs w:val="22"/>
        </w:rPr>
        <w:t xml:space="preserve"> </w:t>
      </w:r>
      <w:r w:rsidRPr="00415016">
        <w:rPr>
          <w:rFonts w:cs="Times-Roman"/>
          <w:szCs w:val="22"/>
        </w:rPr>
        <w:t xml:space="preserve">roku 2005 </w:t>
      </w:r>
      <w:r>
        <w:rPr>
          <w:rFonts w:cs="Times-Roman"/>
          <w:szCs w:val="22"/>
        </w:rPr>
        <w:t xml:space="preserve">až do r. 2012 </w:t>
      </w:r>
      <w:r w:rsidRPr="00415016">
        <w:rPr>
          <w:rFonts w:cs="Times-Roman"/>
          <w:szCs w:val="22"/>
        </w:rPr>
        <w:t xml:space="preserve">v priemere o viac ako 3 % </w:t>
      </w:r>
      <w:r w:rsidR="00E32F57" w:rsidRPr="00415016">
        <w:rPr>
          <w:rFonts w:cs="Times-Roman"/>
          <w:szCs w:val="22"/>
        </w:rPr>
        <w:t>ro</w:t>
      </w:r>
      <w:r w:rsidR="00E32F57" w:rsidRPr="00415016">
        <w:rPr>
          <w:rFonts w:cs="TTE5t00"/>
          <w:szCs w:val="22"/>
        </w:rPr>
        <w:t>č</w:t>
      </w:r>
      <w:r w:rsidR="00E32F57" w:rsidRPr="00415016">
        <w:rPr>
          <w:rFonts w:cs="Times-Roman"/>
          <w:szCs w:val="22"/>
        </w:rPr>
        <w:t>ne</w:t>
      </w:r>
      <w:r w:rsidRPr="00415016">
        <w:rPr>
          <w:rFonts w:cs="Times-Roman"/>
          <w:szCs w:val="22"/>
        </w:rPr>
        <w:t xml:space="preserve">. Tento </w:t>
      </w:r>
      <w:r>
        <w:rPr>
          <w:rFonts w:cs="Times-Roman"/>
          <w:szCs w:val="22"/>
        </w:rPr>
        <w:t>klesajúci trend</w:t>
      </w:r>
      <w:r w:rsidRPr="00415016">
        <w:rPr>
          <w:rFonts w:cs="Times-Roman"/>
          <w:szCs w:val="22"/>
        </w:rPr>
        <w:t xml:space="preserve"> je však predovšetkým spôsobený</w:t>
      </w:r>
      <w:r>
        <w:rPr>
          <w:rFonts w:cs="Times-Roman"/>
          <w:szCs w:val="22"/>
        </w:rPr>
        <w:t xml:space="preserve"> </w:t>
      </w:r>
      <w:r w:rsidRPr="00415016">
        <w:rPr>
          <w:rFonts w:cs="Times-Roman"/>
          <w:szCs w:val="22"/>
        </w:rPr>
        <w:t>výrazným prepadom po</w:t>
      </w:r>
      <w:r>
        <w:rPr>
          <w:rFonts w:cs="TTE5t00"/>
          <w:szCs w:val="22"/>
        </w:rPr>
        <w:t>č</w:t>
      </w:r>
      <w:r w:rsidRPr="00415016">
        <w:rPr>
          <w:rFonts w:cs="Times-Roman"/>
          <w:szCs w:val="22"/>
        </w:rPr>
        <w:t xml:space="preserve">etnosti niektorých z hodnotených druhov, </w:t>
      </w:r>
      <w:r w:rsidR="00E32F57" w:rsidRPr="00415016">
        <w:rPr>
          <w:rFonts w:cs="Times-Roman"/>
          <w:szCs w:val="22"/>
        </w:rPr>
        <w:t>ke</w:t>
      </w:r>
      <w:r w:rsidR="00E32F57" w:rsidRPr="00415016">
        <w:rPr>
          <w:rFonts w:cs="TTE5t00"/>
          <w:szCs w:val="22"/>
        </w:rPr>
        <w:t>ď</w:t>
      </w:r>
      <w:r w:rsidR="00E32F57" w:rsidRPr="00415016">
        <w:rPr>
          <w:rFonts w:cs="Times-Roman"/>
          <w:szCs w:val="22"/>
        </w:rPr>
        <w:t>že</w:t>
      </w:r>
      <w:r w:rsidRPr="00415016">
        <w:rPr>
          <w:rFonts w:cs="Times-Roman"/>
          <w:szCs w:val="22"/>
        </w:rPr>
        <w:t xml:space="preserve"> po</w:t>
      </w:r>
      <w:r>
        <w:rPr>
          <w:rFonts w:cs="Times-Roman"/>
          <w:szCs w:val="22"/>
        </w:rPr>
        <w:t>č</w:t>
      </w:r>
      <w:r w:rsidRPr="00415016">
        <w:rPr>
          <w:rFonts w:cs="Times-Roman"/>
          <w:szCs w:val="22"/>
        </w:rPr>
        <w:t>et druhov</w:t>
      </w:r>
      <w:r>
        <w:rPr>
          <w:rFonts w:cs="Times-Roman"/>
          <w:szCs w:val="22"/>
        </w:rPr>
        <w:t xml:space="preserve"> </w:t>
      </w:r>
      <w:r w:rsidRPr="00415016">
        <w:rPr>
          <w:rFonts w:cs="Times-Roman"/>
          <w:szCs w:val="22"/>
        </w:rPr>
        <w:t>s rastúcou po</w:t>
      </w:r>
      <w:r>
        <w:rPr>
          <w:rFonts w:cs="Times-Roman"/>
          <w:szCs w:val="22"/>
        </w:rPr>
        <w:t>č</w:t>
      </w:r>
      <w:r w:rsidRPr="00415016">
        <w:rPr>
          <w:rFonts w:cs="Times-Roman"/>
          <w:szCs w:val="22"/>
        </w:rPr>
        <w:t>etnos</w:t>
      </w:r>
      <w:r>
        <w:rPr>
          <w:rFonts w:cs="TTE5t00"/>
          <w:szCs w:val="22"/>
        </w:rPr>
        <w:t>ť</w:t>
      </w:r>
      <w:r w:rsidRPr="00415016">
        <w:rPr>
          <w:rFonts w:cs="Times-Roman"/>
          <w:szCs w:val="22"/>
        </w:rPr>
        <w:t xml:space="preserve">ou medzi lesnými </w:t>
      </w:r>
      <w:r>
        <w:rPr>
          <w:rFonts w:cs="Times-Roman"/>
          <w:szCs w:val="22"/>
        </w:rPr>
        <w:t xml:space="preserve">druhmi </w:t>
      </w:r>
      <w:r w:rsidRPr="00415016">
        <w:rPr>
          <w:rFonts w:cs="Times-Roman"/>
          <w:szCs w:val="22"/>
        </w:rPr>
        <w:t>bol 15, t.</w:t>
      </w:r>
      <w:r>
        <w:rPr>
          <w:rFonts w:cs="Times-Roman"/>
          <w:szCs w:val="22"/>
        </w:rPr>
        <w:t xml:space="preserve"> </w:t>
      </w:r>
      <w:r w:rsidRPr="00415016">
        <w:rPr>
          <w:rFonts w:cs="Times-Roman"/>
          <w:szCs w:val="22"/>
        </w:rPr>
        <w:t>j. viac ako polovica</w:t>
      </w:r>
      <w:r>
        <w:rPr>
          <w:rFonts w:cs="Times-Roman"/>
          <w:szCs w:val="22"/>
        </w:rPr>
        <w:t xml:space="preserve"> </w:t>
      </w:r>
      <w:r w:rsidRPr="00415016">
        <w:rPr>
          <w:rFonts w:cs="Times-Roman"/>
          <w:szCs w:val="22"/>
        </w:rPr>
        <w:t>z hodnotených.</w:t>
      </w:r>
    </w:p>
    <w:p w:rsidR="00242C36" w:rsidRDefault="00242C36" w:rsidP="00242C36">
      <w:pPr>
        <w:pBdr>
          <w:bar w:val="single" w:sz="6" w:color="808080"/>
        </w:pBdr>
        <w:rPr>
          <w:rFonts w:ascii="Calibri" w:eastAsia="Calibri" w:hAnsi="Calibri"/>
          <w:szCs w:val="22"/>
          <w:lang w:eastAsia="en-US"/>
        </w:rPr>
      </w:pPr>
    </w:p>
    <w:p w:rsidR="00242C36" w:rsidRDefault="00242C36" w:rsidP="00242C36">
      <w:pPr>
        <w:pBdr>
          <w:bar w:val="single" w:sz="6" w:color="808080"/>
        </w:pBdr>
        <w:rPr>
          <w:rFonts w:ascii="Calibri" w:eastAsia="Calibri" w:hAnsi="Calibri"/>
          <w:szCs w:val="22"/>
          <w:lang w:eastAsia="en-US"/>
        </w:rPr>
      </w:pPr>
    </w:p>
    <w:p w:rsidR="00242C36" w:rsidRDefault="00242C36" w:rsidP="00242C36">
      <w:pPr>
        <w:pBdr>
          <w:bar w:val="single" w:sz="6" w:color="808080"/>
        </w:pBdr>
        <w:rPr>
          <w:rFonts w:ascii="Calibri" w:eastAsia="Calibri" w:hAnsi="Calibri"/>
          <w:szCs w:val="22"/>
          <w:lang w:eastAsia="en-US"/>
        </w:rPr>
      </w:pPr>
      <w:r w:rsidRPr="003B0A38">
        <w:rPr>
          <w:rFonts w:ascii="Calibri" w:eastAsia="Calibri" w:hAnsi="Calibri"/>
          <w:noProof/>
          <w:szCs w:val="22"/>
        </w:rPr>
        <w:drawing>
          <wp:inline distT="0" distB="0" distL="0" distR="0" wp14:anchorId="2BD561E6" wp14:editId="34197405">
            <wp:extent cx="5760720" cy="3728821"/>
            <wp:effectExtent l="19050" t="0" r="0" b="0"/>
            <wp:docPr id="11" name="Obrázo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cstate="print"/>
                    <a:srcRect/>
                    <a:stretch>
                      <a:fillRect/>
                    </a:stretch>
                  </pic:blipFill>
                  <pic:spPr bwMode="auto">
                    <a:xfrm>
                      <a:off x="0" y="0"/>
                      <a:ext cx="5760720" cy="3728821"/>
                    </a:xfrm>
                    <a:prstGeom prst="rect">
                      <a:avLst/>
                    </a:prstGeom>
                    <a:noFill/>
                    <a:ln w="9525">
                      <a:noFill/>
                      <a:miter lim="800000"/>
                      <a:headEnd/>
                      <a:tailEnd/>
                    </a:ln>
                  </pic:spPr>
                </pic:pic>
              </a:graphicData>
            </a:graphic>
          </wp:inline>
        </w:drawing>
      </w:r>
    </w:p>
    <w:p w:rsidR="00242C36" w:rsidRPr="00113FC3" w:rsidRDefault="00242C36" w:rsidP="00242C36">
      <w:pPr>
        <w:pBdr>
          <w:bar w:val="single" w:sz="6" w:color="808080"/>
        </w:pBdr>
        <w:rPr>
          <w:rFonts w:ascii="Calibri" w:eastAsia="Calibri" w:hAnsi="Calibri"/>
          <w:sz w:val="20"/>
          <w:szCs w:val="22"/>
          <w:lang w:eastAsia="en-US"/>
        </w:rPr>
      </w:pPr>
      <w:r w:rsidRPr="00113FC3">
        <w:rPr>
          <w:rFonts w:ascii="Calibri" w:eastAsia="Calibri" w:hAnsi="Calibri"/>
          <w:sz w:val="20"/>
          <w:szCs w:val="22"/>
          <w:lang w:eastAsia="en-US"/>
        </w:rPr>
        <w:t>Zdroj: SOS/Birdlife Slovensko, „Výsledky zo sčítania bežných druhov na Slovensku - vyhodnotenie trendov v rokoch 2005 – 2012“</w:t>
      </w:r>
    </w:p>
    <w:p w:rsidR="00242C36" w:rsidRDefault="00242C36" w:rsidP="00242C36">
      <w:pPr>
        <w:pBdr>
          <w:bar w:val="single" w:sz="6" w:color="808080"/>
        </w:pBdr>
        <w:rPr>
          <w:rFonts w:ascii="Calibri" w:eastAsia="Calibri" w:hAnsi="Calibri"/>
          <w:szCs w:val="22"/>
          <w:lang w:eastAsia="en-US"/>
        </w:rPr>
      </w:pPr>
    </w:p>
    <w:tbl>
      <w:tblPr>
        <w:tblW w:w="8742" w:type="dxa"/>
        <w:tblInd w:w="55" w:type="dxa"/>
        <w:tblCellMar>
          <w:left w:w="70" w:type="dxa"/>
          <w:right w:w="70" w:type="dxa"/>
        </w:tblCellMar>
        <w:tblLook w:val="04A0" w:firstRow="1" w:lastRow="0" w:firstColumn="1" w:lastColumn="0" w:noHBand="0" w:noVBand="1"/>
      </w:tblPr>
      <w:tblGrid>
        <w:gridCol w:w="1374"/>
        <w:gridCol w:w="891"/>
        <w:gridCol w:w="931"/>
        <w:gridCol w:w="931"/>
        <w:gridCol w:w="931"/>
        <w:gridCol w:w="891"/>
        <w:gridCol w:w="931"/>
        <w:gridCol w:w="931"/>
        <w:gridCol w:w="931"/>
      </w:tblGrid>
      <w:tr w:rsidR="00242C36" w:rsidRPr="0081143D" w:rsidTr="00242C36">
        <w:trPr>
          <w:trHeight w:val="291"/>
        </w:trPr>
        <w:tc>
          <w:tcPr>
            <w:tcW w:w="1374" w:type="dxa"/>
            <w:tcBorders>
              <w:top w:val="single" w:sz="8" w:space="0" w:color="auto"/>
              <w:left w:val="single" w:sz="8" w:space="0" w:color="auto"/>
              <w:bottom w:val="nil"/>
              <w:right w:val="single" w:sz="8" w:space="0" w:color="auto"/>
            </w:tcBorders>
            <w:shd w:val="clear" w:color="auto" w:fill="auto"/>
            <w:noWrap/>
            <w:vAlign w:val="bottom"/>
            <w:hideMark/>
          </w:tcPr>
          <w:p w:rsidR="00242C36" w:rsidRPr="0081143D" w:rsidRDefault="00242C36" w:rsidP="00242C36">
            <w:pPr>
              <w:rPr>
                <w:rFonts w:ascii="Calibri" w:hAnsi="Calibri"/>
                <w:b/>
                <w:bCs/>
                <w:color w:val="000000"/>
                <w:sz w:val="18"/>
                <w:szCs w:val="18"/>
              </w:rPr>
            </w:pPr>
            <w:r w:rsidRPr="0081143D">
              <w:rPr>
                <w:rFonts w:ascii="Calibri" w:hAnsi="Calibri"/>
                <w:b/>
                <w:bCs/>
                <w:color w:val="000000"/>
                <w:sz w:val="18"/>
                <w:szCs w:val="18"/>
              </w:rPr>
              <w:t>Druh</w:t>
            </w:r>
          </w:p>
        </w:tc>
        <w:tc>
          <w:tcPr>
            <w:tcW w:w="891" w:type="dxa"/>
            <w:tcBorders>
              <w:top w:val="single" w:sz="8" w:space="0" w:color="auto"/>
              <w:left w:val="nil"/>
              <w:bottom w:val="nil"/>
              <w:right w:val="single" w:sz="8" w:space="0" w:color="auto"/>
            </w:tcBorders>
            <w:shd w:val="clear" w:color="auto" w:fill="auto"/>
            <w:noWrap/>
            <w:vAlign w:val="bottom"/>
            <w:hideMark/>
          </w:tcPr>
          <w:p w:rsidR="00242C36" w:rsidRPr="0081143D" w:rsidRDefault="00242C36" w:rsidP="00242C36">
            <w:pPr>
              <w:jc w:val="center"/>
              <w:rPr>
                <w:rFonts w:ascii="Calibri" w:hAnsi="Calibri"/>
                <w:b/>
                <w:bCs/>
                <w:color w:val="000000"/>
                <w:sz w:val="18"/>
                <w:szCs w:val="18"/>
              </w:rPr>
            </w:pPr>
            <w:r w:rsidRPr="0081143D">
              <w:rPr>
                <w:rFonts w:ascii="Calibri" w:hAnsi="Calibri"/>
                <w:b/>
                <w:bCs/>
                <w:color w:val="000000"/>
                <w:sz w:val="18"/>
                <w:szCs w:val="18"/>
              </w:rPr>
              <w:t>2005</w:t>
            </w:r>
          </w:p>
        </w:tc>
        <w:tc>
          <w:tcPr>
            <w:tcW w:w="931" w:type="dxa"/>
            <w:tcBorders>
              <w:top w:val="single" w:sz="8" w:space="0" w:color="auto"/>
              <w:left w:val="nil"/>
              <w:bottom w:val="nil"/>
              <w:right w:val="single" w:sz="8" w:space="0" w:color="auto"/>
            </w:tcBorders>
            <w:shd w:val="clear" w:color="auto" w:fill="auto"/>
            <w:noWrap/>
            <w:vAlign w:val="bottom"/>
            <w:hideMark/>
          </w:tcPr>
          <w:p w:rsidR="00242C36" w:rsidRPr="0081143D" w:rsidRDefault="00242C36" w:rsidP="00242C36">
            <w:pPr>
              <w:jc w:val="center"/>
              <w:rPr>
                <w:rFonts w:ascii="Calibri" w:hAnsi="Calibri"/>
                <w:b/>
                <w:bCs/>
                <w:color w:val="000000"/>
                <w:sz w:val="18"/>
                <w:szCs w:val="18"/>
              </w:rPr>
            </w:pPr>
            <w:r w:rsidRPr="0081143D">
              <w:rPr>
                <w:rFonts w:ascii="Calibri" w:hAnsi="Calibri"/>
                <w:b/>
                <w:bCs/>
                <w:color w:val="000000"/>
                <w:sz w:val="18"/>
                <w:szCs w:val="18"/>
              </w:rPr>
              <w:t>2006</w:t>
            </w:r>
          </w:p>
        </w:tc>
        <w:tc>
          <w:tcPr>
            <w:tcW w:w="931" w:type="dxa"/>
            <w:tcBorders>
              <w:top w:val="single" w:sz="8" w:space="0" w:color="auto"/>
              <w:left w:val="nil"/>
              <w:bottom w:val="nil"/>
              <w:right w:val="single" w:sz="8" w:space="0" w:color="auto"/>
            </w:tcBorders>
            <w:shd w:val="clear" w:color="auto" w:fill="auto"/>
            <w:noWrap/>
            <w:vAlign w:val="bottom"/>
            <w:hideMark/>
          </w:tcPr>
          <w:p w:rsidR="00242C36" w:rsidRPr="0081143D" w:rsidRDefault="00242C36" w:rsidP="00242C36">
            <w:pPr>
              <w:jc w:val="center"/>
              <w:rPr>
                <w:rFonts w:ascii="Calibri" w:hAnsi="Calibri"/>
                <w:b/>
                <w:bCs/>
                <w:color w:val="000000"/>
                <w:sz w:val="18"/>
                <w:szCs w:val="18"/>
              </w:rPr>
            </w:pPr>
            <w:r w:rsidRPr="0081143D">
              <w:rPr>
                <w:rFonts w:ascii="Calibri" w:hAnsi="Calibri"/>
                <w:b/>
                <w:bCs/>
                <w:color w:val="000000"/>
                <w:sz w:val="18"/>
                <w:szCs w:val="18"/>
              </w:rPr>
              <w:t>2007</w:t>
            </w:r>
          </w:p>
        </w:tc>
        <w:tc>
          <w:tcPr>
            <w:tcW w:w="931" w:type="dxa"/>
            <w:tcBorders>
              <w:top w:val="single" w:sz="8" w:space="0" w:color="auto"/>
              <w:left w:val="nil"/>
              <w:bottom w:val="nil"/>
              <w:right w:val="single" w:sz="8" w:space="0" w:color="auto"/>
            </w:tcBorders>
            <w:shd w:val="clear" w:color="auto" w:fill="auto"/>
            <w:noWrap/>
            <w:vAlign w:val="bottom"/>
            <w:hideMark/>
          </w:tcPr>
          <w:p w:rsidR="00242C36" w:rsidRPr="0081143D" w:rsidRDefault="00242C36" w:rsidP="00242C36">
            <w:pPr>
              <w:jc w:val="center"/>
              <w:rPr>
                <w:rFonts w:ascii="Calibri" w:hAnsi="Calibri"/>
                <w:b/>
                <w:bCs/>
                <w:color w:val="000000"/>
                <w:sz w:val="18"/>
                <w:szCs w:val="18"/>
              </w:rPr>
            </w:pPr>
            <w:r w:rsidRPr="0081143D">
              <w:rPr>
                <w:rFonts w:ascii="Calibri" w:hAnsi="Calibri"/>
                <w:b/>
                <w:bCs/>
                <w:color w:val="000000"/>
                <w:sz w:val="18"/>
                <w:szCs w:val="18"/>
              </w:rPr>
              <w:t>2008</w:t>
            </w:r>
          </w:p>
        </w:tc>
        <w:tc>
          <w:tcPr>
            <w:tcW w:w="891" w:type="dxa"/>
            <w:tcBorders>
              <w:top w:val="single" w:sz="8" w:space="0" w:color="auto"/>
              <w:left w:val="nil"/>
              <w:bottom w:val="nil"/>
              <w:right w:val="single" w:sz="8" w:space="0" w:color="auto"/>
            </w:tcBorders>
            <w:shd w:val="clear" w:color="auto" w:fill="auto"/>
            <w:noWrap/>
            <w:vAlign w:val="bottom"/>
            <w:hideMark/>
          </w:tcPr>
          <w:p w:rsidR="00242C36" w:rsidRPr="0081143D" w:rsidRDefault="00242C36" w:rsidP="00242C36">
            <w:pPr>
              <w:jc w:val="center"/>
              <w:rPr>
                <w:rFonts w:ascii="Calibri" w:hAnsi="Calibri"/>
                <w:b/>
                <w:bCs/>
                <w:color w:val="000000"/>
                <w:sz w:val="18"/>
                <w:szCs w:val="18"/>
              </w:rPr>
            </w:pPr>
            <w:r w:rsidRPr="0081143D">
              <w:rPr>
                <w:rFonts w:ascii="Calibri" w:hAnsi="Calibri"/>
                <w:b/>
                <w:bCs/>
                <w:color w:val="000000"/>
                <w:sz w:val="18"/>
                <w:szCs w:val="18"/>
              </w:rPr>
              <w:t>2009</w:t>
            </w:r>
          </w:p>
        </w:tc>
        <w:tc>
          <w:tcPr>
            <w:tcW w:w="931" w:type="dxa"/>
            <w:tcBorders>
              <w:top w:val="single" w:sz="8" w:space="0" w:color="auto"/>
              <w:left w:val="nil"/>
              <w:bottom w:val="nil"/>
              <w:right w:val="single" w:sz="8" w:space="0" w:color="auto"/>
            </w:tcBorders>
            <w:shd w:val="clear" w:color="auto" w:fill="auto"/>
            <w:noWrap/>
            <w:vAlign w:val="bottom"/>
            <w:hideMark/>
          </w:tcPr>
          <w:p w:rsidR="00242C36" w:rsidRPr="0081143D" w:rsidRDefault="00242C36" w:rsidP="00242C36">
            <w:pPr>
              <w:jc w:val="center"/>
              <w:rPr>
                <w:rFonts w:ascii="Calibri" w:hAnsi="Calibri"/>
                <w:b/>
                <w:bCs/>
                <w:color w:val="000000"/>
                <w:sz w:val="18"/>
                <w:szCs w:val="18"/>
              </w:rPr>
            </w:pPr>
            <w:r w:rsidRPr="0081143D">
              <w:rPr>
                <w:rFonts w:ascii="Calibri" w:hAnsi="Calibri"/>
                <w:b/>
                <w:bCs/>
                <w:color w:val="000000"/>
                <w:sz w:val="18"/>
                <w:szCs w:val="18"/>
              </w:rPr>
              <w:t>2010</w:t>
            </w:r>
          </w:p>
        </w:tc>
        <w:tc>
          <w:tcPr>
            <w:tcW w:w="931" w:type="dxa"/>
            <w:tcBorders>
              <w:top w:val="single" w:sz="8" w:space="0" w:color="auto"/>
              <w:left w:val="nil"/>
              <w:bottom w:val="nil"/>
              <w:right w:val="single" w:sz="8" w:space="0" w:color="auto"/>
            </w:tcBorders>
            <w:shd w:val="clear" w:color="auto" w:fill="auto"/>
            <w:noWrap/>
            <w:vAlign w:val="bottom"/>
            <w:hideMark/>
          </w:tcPr>
          <w:p w:rsidR="00242C36" w:rsidRPr="0081143D" w:rsidRDefault="00242C36" w:rsidP="00242C36">
            <w:pPr>
              <w:jc w:val="center"/>
              <w:rPr>
                <w:rFonts w:ascii="Calibri" w:hAnsi="Calibri"/>
                <w:b/>
                <w:bCs/>
                <w:color w:val="000000"/>
                <w:sz w:val="18"/>
                <w:szCs w:val="18"/>
              </w:rPr>
            </w:pPr>
            <w:r w:rsidRPr="0081143D">
              <w:rPr>
                <w:rFonts w:ascii="Calibri" w:hAnsi="Calibri"/>
                <w:b/>
                <w:bCs/>
                <w:color w:val="000000"/>
                <w:sz w:val="18"/>
                <w:szCs w:val="18"/>
              </w:rPr>
              <w:t>2011</w:t>
            </w:r>
          </w:p>
        </w:tc>
        <w:tc>
          <w:tcPr>
            <w:tcW w:w="931" w:type="dxa"/>
            <w:tcBorders>
              <w:top w:val="single" w:sz="8" w:space="0" w:color="auto"/>
              <w:left w:val="nil"/>
              <w:bottom w:val="nil"/>
              <w:right w:val="single" w:sz="8" w:space="0" w:color="auto"/>
            </w:tcBorders>
            <w:shd w:val="clear" w:color="auto" w:fill="auto"/>
            <w:noWrap/>
            <w:vAlign w:val="bottom"/>
            <w:hideMark/>
          </w:tcPr>
          <w:p w:rsidR="00242C36" w:rsidRPr="0081143D" w:rsidRDefault="00242C36" w:rsidP="00242C36">
            <w:pPr>
              <w:jc w:val="center"/>
              <w:rPr>
                <w:rFonts w:ascii="Calibri" w:hAnsi="Calibri"/>
                <w:b/>
                <w:bCs/>
                <w:color w:val="000000"/>
                <w:sz w:val="18"/>
                <w:szCs w:val="18"/>
              </w:rPr>
            </w:pPr>
            <w:r w:rsidRPr="0081143D">
              <w:rPr>
                <w:rFonts w:ascii="Calibri" w:hAnsi="Calibri"/>
                <w:b/>
                <w:bCs/>
                <w:color w:val="000000"/>
                <w:sz w:val="18"/>
                <w:szCs w:val="18"/>
              </w:rPr>
              <w:t>2012</w:t>
            </w:r>
          </w:p>
        </w:tc>
      </w:tr>
      <w:tr w:rsidR="00242C36" w:rsidRPr="0081143D" w:rsidTr="00242C36">
        <w:trPr>
          <w:trHeight w:val="291"/>
        </w:trPr>
        <w:tc>
          <w:tcPr>
            <w:tcW w:w="1374"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rsidR="00242C36" w:rsidRPr="0081143D" w:rsidRDefault="00242C36" w:rsidP="00242C36">
            <w:pPr>
              <w:rPr>
                <w:rFonts w:ascii="Calibri" w:hAnsi="Calibri"/>
                <w:b/>
                <w:bCs/>
                <w:color w:val="000000"/>
                <w:sz w:val="18"/>
                <w:szCs w:val="18"/>
              </w:rPr>
            </w:pPr>
            <w:r w:rsidRPr="0081143D">
              <w:rPr>
                <w:rFonts w:ascii="Calibri" w:hAnsi="Calibri"/>
                <w:b/>
                <w:bCs/>
                <w:color w:val="000000"/>
                <w:sz w:val="18"/>
                <w:szCs w:val="18"/>
              </w:rPr>
              <w:t>Forest bird index</w:t>
            </w:r>
          </w:p>
        </w:tc>
        <w:tc>
          <w:tcPr>
            <w:tcW w:w="891" w:type="dxa"/>
            <w:tcBorders>
              <w:top w:val="single" w:sz="8" w:space="0" w:color="auto"/>
              <w:left w:val="nil"/>
              <w:bottom w:val="single" w:sz="8" w:space="0" w:color="auto"/>
              <w:right w:val="single" w:sz="8" w:space="0" w:color="auto"/>
            </w:tcBorders>
            <w:shd w:val="clear" w:color="auto" w:fill="auto"/>
            <w:noWrap/>
            <w:vAlign w:val="bottom"/>
            <w:hideMark/>
          </w:tcPr>
          <w:p w:rsidR="00242C36" w:rsidRPr="0081143D" w:rsidRDefault="00242C36" w:rsidP="00242C36">
            <w:pPr>
              <w:jc w:val="center"/>
              <w:rPr>
                <w:rFonts w:ascii="Calibri" w:hAnsi="Calibri"/>
                <w:bCs/>
                <w:color w:val="000000"/>
                <w:sz w:val="18"/>
                <w:szCs w:val="18"/>
              </w:rPr>
            </w:pPr>
            <w:r w:rsidRPr="0081143D">
              <w:rPr>
                <w:rFonts w:ascii="Calibri" w:hAnsi="Calibri"/>
                <w:bCs/>
                <w:color w:val="000000"/>
                <w:sz w:val="18"/>
                <w:szCs w:val="18"/>
              </w:rPr>
              <w:t>1</w:t>
            </w:r>
          </w:p>
        </w:tc>
        <w:tc>
          <w:tcPr>
            <w:tcW w:w="931" w:type="dxa"/>
            <w:tcBorders>
              <w:top w:val="single" w:sz="8" w:space="0" w:color="auto"/>
              <w:left w:val="nil"/>
              <w:bottom w:val="single" w:sz="8" w:space="0" w:color="auto"/>
              <w:right w:val="single" w:sz="8" w:space="0" w:color="auto"/>
            </w:tcBorders>
            <w:shd w:val="clear" w:color="auto" w:fill="auto"/>
            <w:noWrap/>
            <w:vAlign w:val="bottom"/>
            <w:hideMark/>
          </w:tcPr>
          <w:p w:rsidR="00242C36" w:rsidRPr="0081143D" w:rsidRDefault="00242C36" w:rsidP="00242C36">
            <w:pPr>
              <w:jc w:val="center"/>
              <w:rPr>
                <w:rFonts w:ascii="Calibri" w:hAnsi="Calibri"/>
                <w:bCs/>
                <w:color w:val="000000"/>
                <w:sz w:val="18"/>
                <w:szCs w:val="18"/>
              </w:rPr>
            </w:pPr>
            <w:r w:rsidRPr="0081143D">
              <w:rPr>
                <w:rFonts w:ascii="Calibri" w:hAnsi="Calibri"/>
                <w:bCs/>
                <w:color w:val="000000"/>
                <w:sz w:val="18"/>
                <w:szCs w:val="18"/>
              </w:rPr>
              <w:t>0,8114585</w:t>
            </w:r>
          </w:p>
        </w:tc>
        <w:tc>
          <w:tcPr>
            <w:tcW w:w="931" w:type="dxa"/>
            <w:tcBorders>
              <w:top w:val="single" w:sz="8" w:space="0" w:color="auto"/>
              <w:left w:val="nil"/>
              <w:bottom w:val="single" w:sz="8" w:space="0" w:color="auto"/>
              <w:right w:val="single" w:sz="8" w:space="0" w:color="auto"/>
            </w:tcBorders>
            <w:shd w:val="clear" w:color="auto" w:fill="auto"/>
            <w:noWrap/>
            <w:vAlign w:val="bottom"/>
            <w:hideMark/>
          </w:tcPr>
          <w:p w:rsidR="00242C36" w:rsidRPr="0081143D" w:rsidRDefault="00242C36" w:rsidP="00242C36">
            <w:pPr>
              <w:jc w:val="center"/>
              <w:rPr>
                <w:rFonts w:ascii="Calibri" w:hAnsi="Calibri"/>
                <w:bCs/>
                <w:color w:val="000000"/>
                <w:sz w:val="18"/>
                <w:szCs w:val="18"/>
              </w:rPr>
            </w:pPr>
            <w:r w:rsidRPr="0081143D">
              <w:rPr>
                <w:rFonts w:ascii="Calibri" w:hAnsi="Calibri"/>
                <w:bCs/>
                <w:color w:val="000000"/>
                <w:sz w:val="18"/>
                <w:szCs w:val="18"/>
              </w:rPr>
              <w:t>0,8579995</w:t>
            </w:r>
          </w:p>
        </w:tc>
        <w:tc>
          <w:tcPr>
            <w:tcW w:w="931" w:type="dxa"/>
            <w:tcBorders>
              <w:top w:val="single" w:sz="8" w:space="0" w:color="auto"/>
              <w:left w:val="nil"/>
              <w:bottom w:val="single" w:sz="8" w:space="0" w:color="auto"/>
              <w:right w:val="single" w:sz="8" w:space="0" w:color="auto"/>
            </w:tcBorders>
            <w:shd w:val="clear" w:color="auto" w:fill="auto"/>
            <w:noWrap/>
            <w:vAlign w:val="bottom"/>
            <w:hideMark/>
          </w:tcPr>
          <w:p w:rsidR="00242C36" w:rsidRPr="0081143D" w:rsidRDefault="00242C36" w:rsidP="00242C36">
            <w:pPr>
              <w:jc w:val="center"/>
              <w:rPr>
                <w:rFonts w:ascii="Calibri" w:hAnsi="Calibri"/>
                <w:bCs/>
                <w:color w:val="000000"/>
                <w:sz w:val="18"/>
                <w:szCs w:val="18"/>
              </w:rPr>
            </w:pPr>
            <w:r w:rsidRPr="0081143D">
              <w:rPr>
                <w:rFonts w:ascii="Calibri" w:hAnsi="Calibri"/>
                <w:bCs/>
                <w:color w:val="000000"/>
                <w:sz w:val="18"/>
                <w:szCs w:val="18"/>
              </w:rPr>
              <w:t>0,8652671</w:t>
            </w:r>
          </w:p>
        </w:tc>
        <w:tc>
          <w:tcPr>
            <w:tcW w:w="891" w:type="dxa"/>
            <w:tcBorders>
              <w:top w:val="single" w:sz="8" w:space="0" w:color="auto"/>
              <w:left w:val="nil"/>
              <w:bottom w:val="single" w:sz="8" w:space="0" w:color="auto"/>
              <w:right w:val="single" w:sz="8" w:space="0" w:color="auto"/>
            </w:tcBorders>
            <w:shd w:val="clear" w:color="auto" w:fill="auto"/>
            <w:noWrap/>
            <w:vAlign w:val="bottom"/>
            <w:hideMark/>
          </w:tcPr>
          <w:p w:rsidR="00242C36" w:rsidRPr="0081143D" w:rsidRDefault="00242C36" w:rsidP="00242C36">
            <w:pPr>
              <w:jc w:val="center"/>
              <w:rPr>
                <w:rFonts w:ascii="Calibri" w:hAnsi="Calibri"/>
                <w:bCs/>
                <w:color w:val="000000"/>
                <w:sz w:val="18"/>
                <w:szCs w:val="18"/>
              </w:rPr>
            </w:pPr>
            <w:r w:rsidRPr="0081143D">
              <w:rPr>
                <w:rFonts w:ascii="Calibri" w:hAnsi="Calibri"/>
                <w:bCs/>
                <w:color w:val="000000"/>
                <w:sz w:val="18"/>
                <w:szCs w:val="18"/>
              </w:rPr>
              <w:t>0,815034</w:t>
            </w:r>
          </w:p>
        </w:tc>
        <w:tc>
          <w:tcPr>
            <w:tcW w:w="931" w:type="dxa"/>
            <w:tcBorders>
              <w:top w:val="single" w:sz="8" w:space="0" w:color="auto"/>
              <w:left w:val="nil"/>
              <w:bottom w:val="single" w:sz="8" w:space="0" w:color="auto"/>
              <w:right w:val="single" w:sz="8" w:space="0" w:color="auto"/>
            </w:tcBorders>
            <w:shd w:val="clear" w:color="auto" w:fill="auto"/>
            <w:noWrap/>
            <w:vAlign w:val="bottom"/>
            <w:hideMark/>
          </w:tcPr>
          <w:p w:rsidR="00242C36" w:rsidRPr="0081143D" w:rsidRDefault="00242C36" w:rsidP="00242C36">
            <w:pPr>
              <w:jc w:val="center"/>
              <w:rPr>
                <w:rFonts w:ascii="Calibri" w:hAnsi="Calibri"/>
                <w:bCs/>
                <w:color w:val="000000"/>
                <w:sz w:val="18"/>
                <w:szCs w:val="18"/>
              </w:rPr>
            </w:pPr>
            <w:r w:rsidRPr="0081143D">
              <w:rPr>
                <w:rFonts w:ascii="Calibri" w:hAnsi="Calibri"/>
                <w:bCs/>
                <w:color w:val="000000"/>
                <w:sz w:val="18"/>
                <w:szCs w:val="18"/>
              </w:rPr>
              <w:t>0,7447053</w:t>
            </w:r>
          </w:p>
        </w:tc>
        <w:tc>
          <w:tcPr>
            <w:tcW w:w="931" w:type="dxa"/>
            <w:tcBorders>
              <w:top w:val="single" w:sz="8" w:space="0" w:color="auto"/>
              <w:left w:val="nil"/>
              <w:bottom w:val="single" w:sz="8" w:space="0" w:color="auto"/>
              <w:right w:val="single" w:sz="8" w:space="0" w:color="auto"/>
            </w:tcBorders>
            <w:shd w:val="clear" w:color="auto" w:fill="auto"/>
            <w:noWrap/>
            <w:vAlign w:val="bottom"/>
            <w:hideMark/>
          </w:tcPr>
          <w:p w:rsidR="00242C36" w:rsidRPr="0081143D" w:rsidRDefault="00242C36" w:rsidP="00242C36">
            <w:pPr>
              <w:jc w:val="center"/>
              <w:rPr>
                <w:rFonts w:ascii="Calibri" w:hAnsi="Calibri"/>
                <w:bCs/>
                <w:color w:val="000000"/>
                <w:sz w:val="18"/>
                <w:szCs w:val="18"/>
              </w:rPr>
            </w:pPr>
            <w:r w:rsidRPr="0081143D">
              <w:rPr>
                <w:rFonts w:ascii="Calibri" w:hAnsi="Calibri"/>
                <w:bCs/>
                <w:color w:val="000000"/>
                <w:sz w:val="18"/>
                <w:szCs w:val="18"/>
              </w:rPr>
              <w:t>0,7852141</w:t>
            </w:r>
          </w:p>
        </w:tc>
        <w:tc>
          <w:tcPr>
            <w:tcW w:w="931" w:type="dxa"/>
            <w:tcBorders>
              <w:top w:val="single" w:sz="8" w:space="0" w:color="auto"/>
              <w:left w:val="nil"/>
              <w:bottom w:val="single" w:sz="8" w:space="0" w:color="auto"/>
              <w:right w:val="single" w:sz="8" w:space="0" w:color="auto"/>
            </w:tcBorders>
            <w:shd w:val="clear" w:color="auto" w:fill="auto"/>
            <w:noWrap/>
            <w:vAlign w:val="bottom"/>
            <w:hideMark/>
          </w:tcPr>
          <w:p w:rsidR="00242C36" w:rsidRPr="0081143D" w:rsidRDefault="00242C36" w:rsidP="00242C36">
            <w:pPr>
              <w:jc w:val="center"/>
              <w:rPr>
                <w:rFonts w:ascii="Calibri" w:hAnsi="Calibri"/>
                <w:bCs/>
                <w:color w:val="000000"/>
                <w:sz w:val="18"/>
                <w:szCs w:val="18"/>
              </w:rPr>
            </w:pPr>
            <w:r w:rsidRPr="0081143D">
              <w:rPr>
                <w:rFonts w:ascii="Calibri" w:hAnsi="Calibri"/>
                <w:bCs/>
                <w:color w:val="000000"/>
                <w:sz w:val="18"/>
                <w:szCs w:val="18"/>
              </w:rPr>
              <w:t>0,7383936</w:t>
            </w:r>
          </w:p>
        </w:tc>
      </w:tr>
      <w:tr w:rsidR="00242C36" w:rsidRPr="0081143D" w:rsidTr="00242C36">
        <w:trPr>
          <w:trHeight w:val="291"/>
        </w:trPr>
        <w:tc>
          <w:tcPr>
            <w:tcW w:w="1374" w:type="dxa"/>
            <w:tcBorders>
              <w:top w:val="nil"/>
              <w:left w:val="single" w:sz="8" w:space="0" w:color="auto"/>
              <w:bottom w:val="single" w:sz="8" w:space="0" w:color="auto"/>
              <w:right w:val="single" w:sz="8" w:space="0" w:color="auto"/>
            </w:tcBorders>
            <w:shd w:val="clear" w:color="auto" w:fill="auto"/>
            <w:noWrap/>
            <w:vAlign w:val="bottom"/>
            <w:hideMark/>
          </w:tcPr>
          <w:p w:rsidR="00242C36" w:rsidRPr="0081143D" w:rsidRDefault="00242C36" w:rsidP="00242C36">
            <w:pPr>
              <w:rPr>
                <w:rFonts w:ascii="Calibri" w:hAnsi="Calibri"/>
                <w:b/>
                <w:bCs/>
                <w:color w:val="000000"/>
                <w:sz w:val="18"/>
                <w:szCs w:val="18"/>
              </w:rPr>
            </w:pPr>
            <w:r w:rsidRPr="0081143D">
              <w:rPr>
                <w:rFonts w:ascii="Calibri" w:hAnsi="Calibri"/>
                <w:b/>
                <w:bCs/>
                <w:color w:val="000000"/>
                <w:sz w:val="18"/>
                <w:szCs w:val="18"/>
              </w:rPr>
              <w:t>Forest BirdIndex</w:t>
            </w:r>
          </w:p>
        </w:tc>
        <w:tc>
          <w:tcPr>
            <w:tcW w:w="891" w:type="dxa"/>
            <w:tcBorders>
              <w:top w:val="nil"/>
              <w:left w:val="nil"/>
              <w:bottom w:val="single" w:sz="8" w:space="0" w:color="auto"/>
              <w:right w:val="single" w:sz="8" w:space="0" w:color="auto"/>
            </w:tcBorders>
            <w:shd w:val="clear" w:color="auto" w:fill="auto"/>
            <w:noWrap/>
            <w:vAlign w:val="bottom"/>
            <w:hideMark/>
          </w:tcPr>
          <w:p w:rsidR="00242C36" w:rsidRPr="0081143D" w:rsidRDefault="00242C36" w:rsidP="00242C36">
            <w:pPr>
              <w:jc w:val="center"/>
              <w:rPr>
                <w:rFonts w:ascii="Calibri" w:hAnsi="Calibri"/>
                <w:bCs/>
                <w:color w:val="000000"/>
                <w:sz w:val="18"/>
                <w:szCs w:val="18"/>
              </w:rPr>
            </w:pPr>
            <w:r w:rsidRPr="0081143D">
              <w:rPr>
                <w:rFonts w:ascii="Calibri" w:hAnsi="Calibri"/>
                <w:bCs/>
                <w:color w:val="000000"/>
                <w:sz w:val="18"/>
                <w:szCs w:val="18"/>
              </w:rPr>
              <w:t>100%</w:t>
            </w:r>
          </w:p>
        </w:tc>
        <w:tc>
          <w:tcPr>
            <w:tcW w:w="931" w:type="dxa"/>
            <w:tcBorders>
              <w:top w:val="nil"/>
              <w:left w:val="nil"/>
              <w:bottom w:val="single" w:sz="8" w:space="0" w:color="auto"/>
              <w:right w:val="single" w:sz="8" w:space="0" w:color="auto"/>
            </w:tcBorders>
            <w:shd w:val="clear" w:color="auto" w:fill="auto"/>
            <w:noWrap/>
            <w:vAlign w:val="bottom"/>
            <w:hideMark/>
          </w:tcPr>
          <w:p w:rsidR="00242C36" w:rsidRPr="0081143D" w:rsidRDefault="00242C36" w:rsidP="00242C36">
            <w:pPr>
              <w:jc w:val="center"/>
              <w:rPr>
                <w:rFonts w:ascii="Calibri" w:hAnsi="Calibri"/>
                <w:bCs/>
                <w:color w:val="000000"/>
                <w:sz w:val="18"/>
                <w:szCs w:val="18"/>
              </w:rPr>
            </w:pPr>
            <w:r w:rsidRPr="0081143D">
              <w:rPr>
                <w:rFonts w:ascii="Calibri" w:hAnsi="Calibri"/>
                <w:bCs/>
                <w:color w:val="000000"/>
                <w:sz w:val="18"/>
                <w:szCs w:val="18"/>
              </w:rPr>
              <w:t>81,14%</w:t>
            </w:r>
          </w:p>
        </w:tc>
        <w:tc>
          <w:tcPr>
            <w:tcW w:w="931" w:type="dxa"/>
            <w:tcBorders>
              <w:top w:val="nil"/>
              <w:left w:val="nil"/>
              <w:bottom w:val="single" w:sz="8" w:space="0" w:color="auto"/>
              <w:right w:val="single" w:sz="8" w:space="0" w:color="auto"/>
            </w:tcBorders>
            <w:shd w:val="clear" w:color="auto" w:fill="auto"/>
            <w:noWrap/>
            <w:vAlign w:val="bottom"/>
            <w:hideMark/>
          </w:tcPr>
          <w:p w:rsidR="00242C36" w:rsidRPr="0081143D" w:rsidRDefault="00242C36" w:rsidP="00242C36">
            <w:pPr>
              <w:jc w:val="center"/>
              <w:rPr>
                <w:rFonts w:ascii="Calibri" w:hAnsi="Calibri"/>
                <w:bCs/>
                <w:color w:val="000000"/>
                <w:sz w:val="18"/>
                <w:szCs w:val="18"/>
              </w:rPr>
            </w:pPr>
            <w:r w:rsidRPr="0081143D">
              <w:rPr>
                <w:rFonts w:ascii="Calibri" w:hAnsi="Calibri"/>
                <w:bCs/>
                <w:color w:val="000000"/>
                <w:sz w:val="18"/>
                <w:szCs w:val="18"/>
              </w:rPr>
              <w:t>85,80%</w:t>
            </w:r>
          </w:p>
        </w:tc>
        <w:tc>
          <w:tcPr>
            <w:tcW w:w="931" w:type="dxa"/>
            <w:tcBorders>
              <w:top w:val="nil"/>
              <w:left w:val="nil"/>
              <w:bottom w:val="single" w:sz="8" w:space="0" w:color="auto"/>
              <w:right w:val="single" w:sz="8" w:space="0" w:color="auto"/>
            </w:tcBorders>
            <w:shd w:val="clear" w:color="auto" w:fill="auto"/>
            <w:noWrap/>
            <w:vAlign w:val="bottom"/>
            <w:hideMark/>
          </w:tcPr>
          <w:p w:rsidR="00242C36" w:rsidRPr="0081143D" w:rsidRDefault="00242C36" w:rsidP="00242C36">
            <w:pPr>
              <w:jc w:val="center"/>
              <w:rPr>
                <w:rFonts w:ascii="Calibri" w:hAnsi="Calibri"/>
                <w:bCs/>
                <w:color w:val="000000"/>
                <w:sz w:val="18"/>
                <w:szCs w:val="18"/>
              </w:rPr>
            </w:pPr>
            <w:r w:rsidRPr="0081143D">
              <w:rPr>
                <w:rFonts w:ascii="Calibri" w:hAnsi="Calibri"/>
                <w:bCs/>
                <w:color w:val="000000"/>
                <w:sz w:val="18"/>
                <w:szCs w:val="18"/>
              </w:rPr>
              <w:t>86,53%</w:t>
            </w:r>
          </w:p>
        </w:tc>
        <w:tc>
          <w:tcPr>
            <w:tcW w:w="891" w:type="dxa"/>
            <w:tcBorders>
              <w:top w:val="nil"/>
              <w:left w:val="nil"/>
              <w:bottom w:val="single" w:sz="8" w:space="0" w:color="auto"/>
              <w:right w:val="single" w:sz="8" w:space="0" w:color="auto"/>
            </w:tcBorders>
            <w:shd w:val="clear" w:color="auto" w:fill="auto"/>
            <w:noWrap/>
            <w:vAlign w:val="bottom"/>
            <w:hideMark/>
          </w:tcPr>
          <w:p w:rsidR="00242C36" w:rsidRPr="0081143D" w:rsidRDefault="00242C36" w:rsidP="00242C36">
            <w:pPr>
              <w:jc w:val="center"/>
              <w:rPr>
                <w:rFonts w:ascii="Calibri" w:hAnsi="Calibri"/>
                <w:bCs/>
                <w:color w:val="000000"/>
                <w:sz w:val="18"/>
                <w:szCs w:val="18"/>
              </w:rPr>
            </w:pPr>
            <w:r w:rsidRPr="0081143D">
              <w:rPr>
                <w:rFonts w:ascii="Calibri" w:hAnsi="Calibri"/>
                <w:bCs/>
                <w:color w:val="000000"/>
                <w:sz w:val="18"/>
                <w:szCs w:val="18"/>
              </w:rPr>
              <w:t>81,50%</w:t>
            </w:r>
          </w:p>
        </w:tc>
        <w:tc>
          <w:tcPr>
            <w:tcW w:w="931" w:type="dxa"/>
            <w:tcBorders>
              <w:top w:val="nil"/>
              <w:left w:val="nil"/>
              <w:bottom w:val="single" w:sz="8" w:space="0" w:color="auto"/>
              <w:right w:val="single" w:sz="8" w:space="0" w:color="auto"/>
            </w:tcBorders>
            <w:shd w:val="clear" w:color="auto" w:fill="auto"/>
            <w:noWrap/>
            <w:vAlign w:val="bottom"/>
            <w:hideMark/>
          </w:tcPr>
          <w:p w:rsidR="00242C36" w:rsidRPr="0081143D" w:rsidRDefault="00242C36" w:rsidP="00242C36">
            <w:pPr>
              <w:jc w:val="center"/>
              <w:rPr>
                <w:rFonts w:ascii="Calibri" w:hAnsi="Calibri"/>
                <w:bCs/>
                <w:color w:val="000000"/>
                <w:sz w:val="18"/>
                <w:szCs w:val="18"/>
              </w:rPr>
            </w:pPr>
            <w:r w:rsidRPr="0081143D">
              <w:rPr>
                <w:rFonts w:ascii="Calibri" w:hAnsi="Calibri"/>
                <w:bCs/>
                <w:color w:val="000000"/>
                <w:sz w:val="18"/>
                <w:szCs w:val="18"/>
              </w:rPr>
              <w:t>74,47%</w:t>
            </w:r>
          </w:p>
        </w:tc>
        <w:tc>
          <w:tcPr>
            <w:tcW w:w="931" w:type="dxa"/>
            <w:tcBorders>
              <w:top w:val="nil"/>
              <w:left w:val="nil"/>
              <w:bottom w:val="single" w:sz="8" w:space="0" w:color="auto"/>
              <w:right w:val="single" w:sz="8" w:space="0" w:color="auto"/>
            </w:tcBorders>
            <w:shd w:val="clear" w:color="auto" w:fill="auto"/>
            <w:noWrap/>
            <w:vAlign w:val="bottom"/>
            <w:hideMark/>
          </w:tcPr>
          <w:p w:rsidR="00242C36" w:rsidRPr="0081143D" w:rsidRDefault="00242C36" w:rsidP="00242C36">
            <w:pPr>
              <w:jc w:val="center"/>
              <w:rPr>
                <w:rFonts w:ascii="Calibri" w:hAnsi="Calibri"/>
                <w:bCs/>
                <w:color w:val="000000"/>
                <w:sz w:val="18"/>
                <w:szCs w:val="18"/>
              </w:rPr>
            </w:pPr>
            <w:r w:rsidRPr="0081143D">
              <w:rPr>
                <w:rFonts w:ascii="Calibri" w:hAnsi="Calibri"/>
                <w:bCs/>
                <w:color w:val="000000"/>
                <w:sz w:val="18"/>
                <w:szCs w:val="18"/>
              </w:rPr>
              <w:t>78,52%</w:t>
            </w:r>
          </w:p>
        </w:tc>
        <w:tc>
          <w:tcPr>
            <w:tcW w:w="931" w:type="dxa"/>
            <w:tcBorders>
              <w:top w:val="nil"/>
              <w:left w:val="nil"/>
              <w:bottom w:val="single" w:sz="8" w:space="0" w:color="auto"/>
              <w:right w:val="single" w:sz="8" w:space="0" w:color="auto"/>
            </w:tcBorders>
            <w:shd w:val="clear" w:color="auto" w:fill="auto"/>
            <w:noWrap/>
            <w:vAlign w:val="bottom"/>
            <w:hideMark/>
          </w:tcPr>
          <w:p w:rsidR="00242C36" w:rsidRPr="0081143D" w:rsidRDefault="00242C36" w:rsidP="00242C36">
            <w:pPr>
              <w:jc w:val="center"/>
              <w:rPr>
                <w:rFonts w:ascii="Calibri" w:hAnsi="Calibri"/>
                <w:bCs/>
                <w:color w:val="000000"/>
                <w:sz w:val="18"/>
                <w:szCs w:val="18"/>
              </w:rPr>
            </w:pPr>
            <w:r w:rsidRPr="0081143D">
              <w:rPr>
                <w:rFonts w:ascii="Calibri" w:hAnsi="Calibri"/>
                <w:bCs/>
                <w:color w:val="000000"/>
                <w:sz w:val="18"/>
                <w:szCs w:val="18"/>
              </w:rPr>
              <w:t>73,84%</w:t>
            </w:r>
          </w:p>
        </w:tc>
      </w:tr>
    </w:tbl>
    <w:p w:rsidR="00242C36" w:rsidRDefault="00242C36" w:rsidP="00242C36">
      <w:pPr>
        <w:pBdr>
          <w:bar w:val="single" w:sz="6" w:color="808080"/>
        </w:pBdr>
        <w:rPr>
          <w:rFonts w:ascii="Calibri" w:eastAsia="Calibri" w:hAnsi="Calibri"/>
          <w:szCs w:val="22"/>
          <w:lang w:eastAsia="en-US"/>
        </w:rPr>
      </w:pPr>
    </w:p>
    <w:p w:rsidR="00242C36" w:rsidRDefault="00242C36" w:rsidP="00242C36">
      <w:pPr>
        <w:pBdr>
          <w:bar w:val="single" w:sz="6" w:color="808080"/>
        </w:pBdr>
        <w:rPr>
          <w:rFonts w:ascii="Calibri" w:eastAsia="Calibri" w:hAnsi="Calibri"/>
          <w:color w:val="000000"/>
          <w:sz w:val="20"/>
          <w:szCs w:val="18"/>
        </w:rPr>
      </w:pPr>
      <w:r w:rsidRPr="00113FC3">
        <w:rPr>
          <w:rFonts w:ascii="Calibri" w:eastAsia="Calibri" w:hAnsi="Calibri"/>
          <w:color w:val="000000"/>
          <w:sz w:val="20"/>
          <w:szCs w:val="18"/>
        </w:rPr>
        <w:t>Zdroj: SOS/Birdlife Slovensko</w:t>
      </w:r>
    </w:p>
    <w:p w:rsidR="00242C36" w:rsidRDefault="00242C36" w:rsidP="00242C36">
      <w:pPr>
        <w:pBdr>
          <w:bar w:val="single" w:sz="6" w:color="808080"/>
        </w:pBdr>
        <w:rPr>
          <w:rFonts w:ascii="Calibri" w:eastAsia="Calibri" w:hAnsi="Calibri"/>
          <w:szCs w:val="22"/>
          <w:lang w:eastAsia="en-US"/>
        </w:rPr>
      </w:pPr>
    </w:p>
    <w:p w:rsidR="00242C36" w:rsidRPr="000A74B8" w:rsidRDefault="00242C36" w:rsidP="00242C36">
      <w:pPr>
        <w:pBdr>
          <w:bar w:val="single" w:sz="6" w:color="808080"/>
        </w:pBdr>
        <w:spacing w:after="120"/>
        <w:rPr>
          <w:rFonts w:ascii="Calibri" w:eastAsia="Calibri" w:hAnsi="Calibri"/>
          <w:bCs/>
          <w:szCs w:val="22"/>
          <w:lang w:eastAsia="en-US"/>
        </w:rPr>
      </w:pPr>
      <w:r w:rsidRPr="00AE2279">
        <w:rPr>
          <w:rFonts w:ascii="Calibri" w:hAnsi="Calibri"/>
          <w:szCs w:val="22"/>
        </w:rPr>
        <w:t>Pre zachovanie resp. dosiahnutie priaznivého stavu biotopov a druhov európskeho významu členské štáty vymedzujú</w:t>
      </w:r>
      <w:r w:rsidRPr="000A74B8">
        <w:rPr>
          <w:rFonts w:ascii="Calibri" w:eastAsia="Calibri" w:hAnsi="Calibri"/>
          <w:bCs/>
          <w:szCs w:val="22"/>
          <w:lang w:eastAsia="en-US"/>
        </w:rPr>
        <w:t xml:space="preserve"> </w:t>
      </w:r>
      <w:r>
        <w:rPr>
          <w:rFonts w:ascii="Calibri" w:eastAsia="Calibri" w:hAnsi="Calibri"/>
          <w:bCs/>
          <w:szCs w:val="22"/>
          <w:lang w:eastAsia="en-US"/>
        </w:rPr>
        <w:t>ú</w:t>
      </w:r>
      <w:r w:rsidRPr="000A74B8">
        <w:rPr>
          <w:rFonts w:ascii="Calibri" w:eastAsia="Calibri" w:hAnsi="Calibri"/>
          <w:bCs/>
          <w:szCs w:val="22"/>
          <w:lang w:eastAsia="en-US"/>
        </w:rPr>
        <w:t>zemia v rámci siete</w:t>
      </w:r>
      <w:r>
        <w:rPr>
          <w:rFonts w:ascii="Calibri" w:eastAsia="Calibri" w:hAnsi="Calibri"/>
          <w:b/>
          <w:bCs/>
          <w:szCs w:val="22"/>
          <w:lang w:eastAsia="en-US"/>
        </w:rPr>
        <w:t xml:space="preserve"> </w:t>
      </w:r>
      <w:r w:rsidRPr="006E5012">
        <w:rPr>
          <w:rFonts w:ascii="Calibri" w:eastAsia="Calibri" w:hAnsi="Calibri"/>
          <w:b/>
          <w:bCs/>
          <w:szCs w:val="22"/>
          <w:lang w:eastAsia="en-US"/>
        </w:rPr>
        <w:t>NATURA 2000 –</w:t>
      </w:r>
      <w:r>
        <w:rPr>
          <w:rFonts w:ascii="Calibri" w:eastAsia="Calibri" w:hAnsi="Calibri"/>
          <w:b/>
          <w:bCs/>
          <w:szCs w:val="22"/>
          <w:lang w:eastAsia="en-US"/>
        </w:rPr>
        <w:t xml:space="preserve"> </w:t>
      </w:r>
      <w:r>
        <w:rPr>
          <w:rFonts w:ascii="Calibri" w:eastAsia="Calibri" w:hAnsi="Calibri"/>
          <w:bCs/>
          <w:szCs w:val="22"/>
          <w:lang w:eastAsia="en-US"/>
        </w:rPr>
        <w:t>sú čl</w:t>
      </w:r>
      <w:r w:rsidRPr="000A74B8">
        <w:rPr>
          <w:rFonts w:ascii="Calibri" w:eastAsia="Calibri" w:hAnsi="Calibri"/>
          <w:bCs/>
          <w:szCs w:val="22"/>
          <w:lang w:eastAsia="en-US"/>
        </w:rPr>
        <w:t>e</w:t>
      </w:r>
      <w:r>
        <w:rPr>
          <w:rFonts w:ascii="Calibri" w:eastAsia="Calibri" w:hAnsi="Calibri"/>
          <w:bCs/>
          <w:szCs w:val="22"/>
          <w:lang w:eastAsia="en-US"/>
        </w:rPr>
        <w:t>nené</w:t>
      </w:r>
      <w:r w:rsidRPr="000A74B8">
        <w:rPr>
          <w:rFonts w:ascii="Calibri" w:eastAsia="Calibri" w:hAnsi="Calibri"/>
          <w:bCs/>
          <w:szCs w:val="22"/>
          <w:lang w:eastAsia="en-US"/>
        </w:rPr>
        <w:t xml:space="preserve"> na</w:t>
      </w:r>
      <w:r>
        <w:rPr>
          <w:rFonts w:ascii="Calibri" w:eastAsia="Calibri" w:hAnsi="Calibri"/>
          <w:bCs/>
          <w:szCs w:val="22"/>
          <w:lang w:eastAsia="en-US"/>
        </w:rPr>
        <w:t>:</w:t>
      </w:r>
    </w:p>
    <w:p w:rsidR="00242C36" w:rsidRPr="006E5012" w:rsidRDefault="00242C36" w:rsidP="00242C36">
      <w:pPr>
        <w:pBdr>
          <w:bar w:val="single" w:sz="6" w:color="808080"/>
        </w:pBdr>
        <w:spacing w:after="120"/>
        <w:rPr>
          <w:rFonts w:ascii="Calibri" w:eastAsia="Calibri" w:hAnsi="Calibri"/>
          <w:szCs w:val="22"/>
          <w:lang w:eastAsia="en-US"/>
        </w:rPr>
      </w:pPr>
      <w:r>
        <w:rPr>
          <w:rFonts w:ascii="Calibri" w:eastAsia="Calibri" w:hAnsi="Calibri"/>
          <w:noProof/>
          <w:szCs w:val="22"/>
        </w:rPr>
        <w:drawing>
          <wp:inline distT="0" distB="0" distL="0" distR="0" wp14:anchorId="4F84B7E3" wp14:editId="318F51AA">
            <wp:extent cx="133350" cy="88900"/>
            <wp:effectExtent l="19050" t="0" r="0" b="0"/>
            <wp:docPr id="40" name="obrázek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27" cstate="print"/>
                    <a:srcRect/>
                    <a:stretch>
                      <a:fillRect/>
                    </a:stretch>
                  </pic:blipFill>
                  <pic:spPr bwMode="auto">
                    <a:xfrm>
                      <a:off x="0" y="0"/>
                      <a:ext cx="133350" cy="88900"/>
                    </a:xfrm>
                    <a:prstGeom prst="rect">
                      <a:avLst/>
                    </a:prstGeom>
                    <a:noFill/>
                    <a:ln w="9525">
                      <a:noFill/>
                      <a:miter lim="800000"/>
                      <a:headEnd/>
                      <a:tailEnd/>
                    </a:ln>
                  </pic:spPr>
                </pic:pic>
              </a:graphicData>
            </a:graphic>
          </wp:inline>
        </w:drawing>
      </w:r>
      <w:r w:rsidRPr="006E5012">
        <w:rPr>
          <w:rFonts w:ascii="Calibri" w:eastAsia="Calibri" w:hAnsi="Calibri"/>
          <w:szCs w:val="22"/>
          <w:lang w:eastAsia="en-US"/>
        </w:rPr>
        <w:t xml:space="preserve"> osobitne chránené územia (Special Protection Areas, </w:t>
      </w:r>
      <w:r w:rsidRPr="006E5012">
        <w:rPr>
          <w:rFonts w:ascii="Calibri" w:eastAsia="Calibri" w:hAnsi="Calibri"/>
          <w:b/>
          <w:bCs/>
          <w:szCs w:val="22"/>
          <w:lang w:eastAsia="en-US"/>
        </w:rPr>
        <w:t>SPA</w:t>
      </w:r>
      <w:r w:rsidRPr="006E5012">
        <w:rPr>
          <w:rFonts w:ascii="Calibri" w:eastAsia="Calibri" w:hAnsi="Calibri"/>
          <w:szCs w:val="22"/>
          <w:lang w:eastAsia="en-US"/>
        </w:rPr>
        <w:t>) - na základe smernice o</w:t>
      </w:r>
      <w:r>
        <w:rPr>
          <w:rFonts w:ascii="Calibri" w:eastAsia="Calibri" w:hAnsi="Calibri"/>
          <w:szCs w:val="22"/>
          <w:lang w:eastAsia="en-US"/>
        </w:rPr>
        <w:t> </w:t>
      </w:r>
      <w:r w:rsidRPr="006E5012">
        <w:rPr>
          <w:rFonts w:ascii="Calibri" w:eastAsia="Calibri" w:hAnsi="Calibri"/>
          <w:szCs w:val="22"/>
          <w:lang w:eastAsia="en-US"/>
        </w:rPr>
        <w:t xml:space="preserve">vtákoch - v národnej legislatíve: </w:t>
      </w:r>
      <w:r w:rsidRPr="006E5012">
        <w:rPr>
          <w:rFonts w:ascii="Calibri" w:eastAsia="Calibri" w:hAnsi="Calibri"/>
          <w:b/>
          <w:bCs/>
          <w:szCs w:val="22"/>
          <w:lang w:eastAsia="en-US"/>
        </w:rPr>
        <w:t>chránené vtáčie územia</w:t>
      </w:r>
      <w:r>
        <w:rPr>
          <w:rFonts w:ascii="Calibri" w:eastAsia="Calibri" w:hAnsi="Calibri"/>
          <w:b/>
          <w:bCs/>
          <w:szCs w:val="22"/>
          <w:lang w:eastAsia="en-US"/>
        </w:rPr>
        <w:t xml:space="preserve"> - CHVÚ</w:t>
      </w:r>
    </w:p>
    <w:p w:rsidR="00242C36" w:rsidRPr="00944753" w:rsidRDefault="00242C36" w:rsidP="00CE203B">
      <w:pPr>
        <w:pStyle w:val="Odsekzoznamu"/>
        <w:numPr>
          <w:ilvl w:val="0"/>
          <w:numId w:val="349"/>
        </w:numPr>
        <w:pBdr>
          <w:bar w:val="single" w:sz="6" w:color="808080"/>
        </w:pBdr>
        <w:spacing w:after="120"/>
        <w:rPr>
          <w:rFonts w:ascii="Calibri" w:eastAsia="Calibri" w:hAnsi="Calibri"/>
          <w:szCs w:val="22"/>
          <w:lang w:eastAsia="en-US"/>
        </w:rPr>
      </w:pPr>
      <w:r w:rsidRPr="00944753">
        <w:rPr>
          <w:rFonts w:ascii="Calibri" w:eastAsia="Calibri" w:hAnsi="Calibri"/>
          <w:szCs w:val="22"/>
          <w:lang w:eastAsia="en-US"/>
        </w:rPr>
        <w:t xml:space="preserve">osobitné územia ochrany (Special Areas of Conservation, </w:t>
      </w:r>
      <w:r w:rsidRPr="00944753">
        <w:rPr>
          <w:rFonts w:ascii="Calibri" w:eastAsia="Calibri" w:hAnsi="Calibri"/>
          <w:b/>
          <w:bCs/>
          <w:szCs w:val="22"/>
          <w:lang w:eastAsia="en-US"/>
        </w:rPr>
        <w:t>SAC</w:t>
      </w:r>
      <w:r w:rsidRPr="00944753">
        <w:rPr>
          <w:rFonts w:ascii="Calibri" w:eastAsia="Calibri" w:hAnsi="Calibri"/>
          <w:szCs w:val="22"/>
          <w:lang w:eastAsia="en-US"/>
        </w:rPr>
        <w:t xml:space="preserve">) - na základe smernice o biotopoch - v národnej legislatíve: </w:t>
      </w:r>
      <w:r w:rsidRPr="00944753">
        <w:rPr>
          <w:rFonts w:ascii="Calibri" w:eastAsia="Calibri" w:hAnsi="Calibri"/>
          <w:b/>
          <w:bCs/>
          <w:szCs w:val="22"/>
          <w:lang w:eastAsia="en-US"/>
        </w:rPr>
        <w:t>územia európskeho významu - ÚEV</w:t>
      </w:r>
      <w:r w:rsidRPr="00944753">
        <w:rPr>
          <w:rFonts w:ascii="Calibri" w:eastAsia="Calibri" w:hAnsi="Calibri"/>
          <w:szCs w:val="22"/>
          <w:lang w:eastAsia="en-US"/>
        </w:rPr>
        <w:t xml:space="preserve"> </w:t>
      </w:r>
    </w:p>
    <w:p w:rsidR="00242C36" w:rsidRPr="00944753" w:rsidRDefault="00242C36" w:rsidP="00242C36">
      <w:pPr>
        <w:pBdr>
          <w:bar w:val="single" w:sz="6" w:color="808080"/>
        </w:pBdr>
        <w:spacing w:after="120"/>
        <w:rPr>
          <w:rFonts w:eastAsia="Calibri"/>
          <w:szCs w:val="22"/>
          <w:lang w:eastAsia="en-US"/>
        </w:rPr>
      </w:pPr>
      <w:r w:rsidRPr="00944753">
        <w:rPr>
          <w:szCs w:val="22"/>
        </w:rPr>
        <w:t>V r. 2007-2012 došlo k zlepšeniu poznania biotopov a druhov, čo bolo hlavným dôvodom nárastu podielu biotopov a druhov v priaznivom stave (20 % resp. 38 %).</w:t>
      </w:r>
    </w:p>
    <w:p w:rsidR="00242C36" w:rsidRPr="00E32F57" w:rsidRDefault="00E32F57" w:rsidP="00242C36">
      <w:pPr>
        <w:pBdr>
          <w:bar w:val="single" w:sz="6" w:color="808080"/>
        </w:pBdr>
        <w:spacing w:after="120"/>
        <w:rPr>
          <w:rFonts w:ascii="Calibri" w:eastAsia="Calibri" w:hAnsi="Calibri"/>
          <w:b/>
          <w:szCs w:val="22"/>
          <w:lang w:eastAsia="en-US"/>
        </w:rPr>
      </w:pPr>
      <w:r>
        <w:rPr>
          <w:rFonts w:ascii="Calibri" w:eastAsia="Calibri" w:hAnsi="Calibri"/>
          <w:b/>
          <w:szCs w:val="22"/>
          <w:lang w:eastAsia="en-US"/>
        </w:rPr>
        <w:t xml:space="preserve">Tabuľka 47: </w:t>
      </w:r>
      <w:r w:rsidR="00242C36" w:rsidRPr="00C23A67">
        <w:rPr>
          <w:rFonts w:ascii="Calibri" w:eastAsia="Calibri" w:hAnsi="Calibri"/>
          <w:b/>
          <w:szCs w:val="22"/>
          <w:lang w:eastAsia="en-US"/>
        </w:rPr>
        <w:t xml:space="preserve">Výmera </w:t>
      </w:r>
      <w:r w:rsidR="00242C36" w:rsidRPr="00E32F57">
        <w:rPr>
          <w:rFonts w:ascii="Calibri" w:eastAsia="Calibri" w:hAnsi="Calibri"/>
          <w:b/>
          <w:szCs w:val="22"/>
          <w:lang w:eastAsia="en-US"/>
        </w:rPr>
        <w:t>poľnohospodárskej (PP) a lesnej pozemkov (LP) v územiach NATURA 2000</w:t>
      </w:r>
    </w:p>
    <w:tbl>
      <w:tblPr>
        <w:tblW w:w="8980"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1260"/>
        <w:gridCol w:w="700"/>
        <w:gridCol w:w="1559"/>
        <w:gridCol w:w="1620"/>
        <w:gridCol w:w="900"/>
        <w:gridCol w:w="1980"/>
        <w:gridCol w:w="961"/>
      </w:tblGrid>
      <w:tr w:rsidR="00242C36" w:rsidRPr="00E32F57" w:rsidTr="00242C36">
        <w:trPr>
          <w:trHeight w:val="300"/>
        </w:trPr>
        <w:tc>
          <w:tcPr>
            <w:tcW w:w="1260" w:type="dxa"/>
            <w:tcBorders>
              <w:top w:val="single" w:sz="4" w:space="0" w:color="auto"/>
              <w:left w:val="single" w:sz="4" w:space="0" w:color="auto"/>
              <w:bottom w:val="single" w:sz="4" w:space="0" w:color="auto"/>
              <w:right w:val="single" w:sz="4" w:space="0" w:color="auto"/>
            </w:tcBorders>
            <w:vAlign w:val="center"/>
          </w:tcPr>
          <w:p w:rsidR="00242C36" w:rsidRPr="00E32F57" w:rsidRDefault="00242C36" w:rsidP="00242C36">
            <w:pPr>
              <w:pBdr>
                <w:bar w:val="single" w:sz="6" w:color="808080"/>
              </w:pBdr>
              <w:spacing w:after="120"/>
              <w:rPr>
                <w:rFonts w:ascii="Calibri" w:eastAsia="Calibri" w:hAnsi="Calibri"/>
                <w:sz w:val="20"/>
                <w:szCs w:val="20"/>
                <w:lang w:eastAsia="en-US"/>
              </w:rPr>
            </w:pPr>
            <w:r w:rsidRPr="00E32F57">
              <w:rPr>
                <w:rFonts w:ascii="Calibri" w:eastAsia="Calibri" w:hAnsi="Calibri"/>
                <w:sz w:val="20"/>
                <w:szCs w:val="20"/>
                <w:lang w:eastAsia="en-US"/>
              </w:rPr>
              <w:t>Natura 2000</w:t>
            </w:r>
          </w:p>
        </w:tc>
        <w:tc>
          <w:tcPr>
            <w:tcW w:w="700" w:type="dxa"/>
            <w:tcBorders>
              <w:top w:val="single" w:sz="4" w:space="0" w:color="auto"/>
              <w:left w:val="single" w:sz="4" w:space="0" w:color="auto"/>
              <w:bottom w:val="single" w:sz="4" w:space="0" w:color="auto"/>
              <w:right w:val="single" w:sz="4" w:space="0" w:color="auto"/>
            </w:tcBorders>
            <w:vAlign w:val="center"/>
          </w:tcPr>
          <w:p w:rsidR="00242C36" w:rsidRPr="00E32F57" w:rsidRDefault="00242C36" w:rsidP="00242C36">
            <w:pPr>
              <w:pBdr>
                <w:bar w:val="single" w:sz="6" w:color="808080"/>
              </w:pBdr>
              <w:spacing w:after="120"/>
              <w:rPr>
                <w:rFonts w:ascii="Calibri" w:eastAsia="Calibri" w:hAnsi="Calibri"/>
                <w:sz w:val="20"/>
                <w:szCs w:val="20"/>
                <w:lang w:eastAsia="en-US"/>
              </w:rPr>
            </w:pPr>
            <w:r w:rsidRPr="00E32F57">
              <w:rPr>
                <w:rFonts w:ascii="Calibri" w:eastAsia="Calibri" w:hAnsi="Calibri"/>
                <w:sz w:val="20"/>
                <w:szCs w:val="20"/>
                <w:lang w:eastAsia="en-US"/>
              </w:rPr>
              <w:t>Počet</w:t>
            </w:r>
          </w:p>
        </w:tc>
        <w:tc>
          <w:tcPr>
            <w:tcW w:w="1559" w:type="dxa"/>
            <w:tcBorders>
              <w:top w:val="single" w:sz="4" w:space="0" w:color="auto"/>
              <w:left w:val="single" w:sz="4" w:space="0" w:color="auto"/>
              <w:bottom w:val="single" w:sz="4" w:space="0" w:color="auto"/>
              <w:right w:val="single" w:sz="4" w:space="0" w:color="auto"/>
            </w:tcBorders>
            <w:vAlign w:val="center"/>
          </w:tcPr>
          <w:p w:rsidR="00242C36" w:rsidRPr="00E32F57" w:rsidRDefault="00242C36" w:rsidP="00242C36">
            <w:pPr>
              <w:pBdr>
                <w:bar w:val="single" w:sz="6" w:color="808080"/>
              </w:pBdr>
              <w:spacing w:after="120"/>
              <w:rPr>
                <w:rFonts w:ascii="Calibri" w:eastAsia="Calibri" w:hAnsi="Calibri"/>
                <w:sz w:val="20"/>
                <w:szCs w:val="20"/>
                <w:lang w:eastAsia="en-US"/>
              </w:rPr>
            </w:pPr>
            <w:r w:rsidRPr="00E32F57">
              <w:rPr>
                <w:rFonts w:ascii="Calibri" w:eastAsia="Calibri" w:hAnsi="Calibri"/>
                <w:sz w:val="20"/>
                <w:szCs w:val="20"/>
                <w:lang w:eastAsia="en-US"/>
              </w:rPr>
              <w:t>Rozloha (ha)</w:t>
            </w:r>
          </w:p>
        </w:tc>
        <w:tc>
          <w:tcPr>
            <w:tcW w:w="1620" w:type="dxa"/>
            <w:tcBorders>
              <w:top w:val="single" w:sz="4" w:space="0" w:color="auto"/>
              <w:left w:val="single" w:sz="4" w:space="0" w:color="auto"/>
              <w:bottom w:val="single" w:sz="4" w:space="0" w:color="auto"/>
              <w:right w:val="single" w:sz="4" w:space="0" w:color="auto"/>
            </w:tcBorders>
            <w:vAlign w:val="center"/>
          </w:tcPr>
          <w:p w:rsidR="00242C36" w:rsidRPr="00E32F57" w:rsidRDefault="00242C36" w:rsidP="00242C36">
            <w:pPr>
              <w:pBdr>
                <w:bar w:val="single" w:sz="6" w:color="808080"/>
              </w:pBdr>
              <w:spacing w:after="120"/>
              <w:rPr>
                <w:rFonts w:ascii="Calibri" w:eastAsia="Calibri" w:hAnsi="Calibri"/>
                <w:sz w:val="20"/>
                <w:szCs w:val="20"/>
                <w:lang w:eastAsia="en-US"/>
              </w:rPr>
            </w:pPr>
            <w:r w:rsidRPr="00E32F57">
              <w:rPr>
                <w:rFonts w:ascii="Calibri" w:eastAsia="Calibri" w:hAnsi="Calibri"/>
                <w:sz w:val="20"/>
                <w:szCs w:val="20"/>
                <w:lang w:eastAsia="en-US"/>
              </w:rPr>
              <w:t>Rozloha PP (ha)</w:t>
            </w:r>
          </w:p>
        </w:tc>
        <w:tc>
          <w:tcPr>
            <w:tcW w:w="900" w:type="dxa"/>
            <w:tcBorders>
              <w:top w:val="single" w:sz="4" w:space="0" w:color="auto"/>
              <w:left w:val="single" w:sz="4" w:space="0" w:color="auto"/>
              <w:bottom w:val="single" w:sz="4" w:space="0" w:color="auto"/>
              <w:right w:val="single" w:sz="4" w:space="0" w:color="auto"/>
            </w:tcBorders>
            <w:vAlign w:val="center"/>
          </w:tcPr>
          <w:p w:rsidR="00242C36" w:rsidRPr="00E32F57" w:rsidRDefault="00242C36" w:rsidP="00242C36">
            <w:pPr>
              <w:pBdr>
                <w:bar w:val="single" w:sz="6" w:color="808080"/>
              </w:pBdr>
              <w:spacing w:after="120"/>
              <w:rPr>
                <w:rFonts w:ascii="Calibri" w:eastAsia="Calibri" w:hAnsi="Calibri"/>
                <w:sz w:val="20"/>
                <w:szCs w:val="20"/>
                <w:lang w:eastAsia="en-US"/>
              </w:rPr>
            </w:pPr>
            <w:r w:rsidRPr="00E32F57">
              <w:rPr>
                <w:rFonts w:ascii="Calibri" w:eastAsia="Calibri" w:hAnsi="Calibri"/>
                <w:sz w:val="20"/>
                <w:szCs w:val="20"/>
                <w:lang w:eastAsia="en-US"/>
              </w:rPr>
              <w:t>Podiel PP (%)</w:t>
            </w:r>
          </w:p>
        </w:tc>
        <w:tc>
          <w:tcPr>
            <w:tcW w:w="1980" w:type="dxa"/>
            <w:tcBorders>
              <w:top w:val="single" w:sz="4" w:space="0" w:color="auto"/>
              <w:left w:val="single" w:sz="4" w:space="0" w:color="auto"/>
              <w:bottom w:val="single" w:sz="4" w:space="0" w:color="auto"/>
              <w:right w:val="single" w:sz="4" w:space="0" w:color="auto"/>
            </w:tcBorders>
            <w:vAlign w:val="center"/>
          </w:tcPr>
          <w:p w:rsidR="00242C36" w:rsidRPr="00E32F57" w:rsidRDefault="00242C36" w:rsidP="00242C36">
            <w:pPr>
              <w:pBdr>
                <w:bar w:val="single" w:sz="6" w:color="808080"/>
              </w:pBdr>
              <w:spacing w:after="120"/>
              <w:rPr>
                <w:rFonts w:ascii="Calibri" w:eastAsia="Calibri" w:hAnsi="Calibri"/>
                <w:sz w:val="20"/>
                <w:szCs w:val="20"/>
                <w:lang w:eastAsia="en-US"/>
              </w:rPr>
            </w:pPr>
            <w:r w:rsidRPr="00E32F57">
              <w:rPr>
                <w:rFonts w:ascii="Calibri" w:eastAsia="Calibri" w:hAnsi="Calibri"/>
                <w:sz w:val="20"/>
                <w:szCs w:val="20"/>
                <w:lang w:eastAsia="en-US"/>
              </w:rPr>
              <w:t>Rozloha LP (ha)</w:t>
            </w:r>
          </w:p>
        </w:tc>
        <w:tc>
          <w:tcPr>
            <w:tcW w:w="961" w:type="dxa"/>
            <w:tcBorders>
              <w:top w:val="single" w:sz="4" w:space="0" w:color="auto"/>
              <w:left w:val="single" w:sz="4" w:space="0" w:color="auto"/>
              <w:bottom w:val="single" w:sz="4" w:space="0" w:color="auto"/>
              <w:right w:val="single" w:sz="4" w:space="0" w:color="auto"/>
            </w:tcBorders>
            <w:vAlign w:val="center"/>
          </w:tcPr>
          <w:p w:rsidR="00242C36" w:rsidRPr="00E32F57" w:rsidRDefault="00242C36" w:rsidP="00242C36">
            <w:pPr>
              <w:pBdr>
                <w:bar w:val="single" w:sz="6" w:color="808080"/>
              </w:pBdr>
              <w:spacing w:after="120"/>
              <w:rPr>
                <w:rFonts w:ascii="Calibri" w:eastAsia="Calibri" w:hAnsi="Calibri"/>
                <w:sz w:val="20"/>
                <w:szCs w:val="20"/>
                <w:lang w:eastAsia="en-US"/>
              </w:rPr>
            </w:pPr>
            <w:r w:rsidRPr="00E32F57">
              <w:rPr>
                <w:rFonts w:ascii="Calibri" w:eastAsia="Calibri" w:hAnsi="Calibri"/>
                <w:sz w:val="20"/>
                <w:szCs w:val="20"/>
                <w:lang w:eastAsia="en-US"/>
              </w:rPr>
              <w:t>Podiel   LP (%)</w:t>
            </w:r>
          </w:p>
        </w:tc>
      </w:tr>
      <w:tr w:rsidR="00242C36" w:rsidRPr="00E32F57" w:rsidTr="00242C36">
        <w:trPr>
          <w:trHeight w:val="417"/>
        </w:trPr>
        <w:tc>
          <w:tcPr>
            <w:tcW w:w="1260" w:type="dxa"/>
            <w:tcBorders>
              <w:top w:val="single" w:sz="4" w:space="0" w:color="auto"/>
              <w:left w:val="single" w:sz="4" w:space="0" w:color="auto"/>
              <w:bottom w:val="single" w:sz="4" w:space="0" w:color="auto"/>
              <w:right w:val="single" w:sz="4" w:space="0" w:color="auto"/>
            </w:tcBorders>
            <w:vAlign w:val="center"/>
          </w:tcPr>
          <w:p w:rsidR="00242C36" w:rsidRPr="00E32F57" w:rsidRDefault="00242C36" w:rsidP="00242C36">
            <w:pPr>
              <w:pBdr>
                <w:bar w:val="single" w:sz="6" w:color="808080"/>
              </w:pBdr>
              <w:spacing w:after="120"/>
              <w:rPr>
                <w:rFonts w:ascii="Calibri" w:eastAsia="Calibri" w:hAnsi="Calibri"/>
                <w:sz w:val="20"/>
                <w:szCs w:val="20"/>
                <w:lang w:eastAsia="en-US"/>
              </w:rPr>
            </w:pPr>
            <w:r w:rsidRPr="00E32F57">
              <w:rPr>
                <w:rFonts w:ascii="Calibri" w:eastAsia="Calibri" w:hAnsi="Calibri"/>
                <w:sz w:val="20"/>
                <w:szCs w:val="20"/>
                <w:lang w:eastAsia="en-US"/>
              </w:rPr>
              <w:t>CHVÚ</w:t>
            </w:r>
          </w:p>
        </w:tc>
        <w:tc>
          <w:tcPr>
            <w:tcW w:w="700" w:type="dxa"/>
            <w:tcBorders>
              <w:top w:val="single" w:sz="4" w:space="0" w:color="auto"/>
              <w:left w:val="single" w:sz="4" w:space="0" w:color="auto"/>
              <w:bottom w:val="single" w:sz="4" w:space="0" w:color="auto"/>
              <w:right w:val="single" w:sz="4" w:space="0" w:color="auto"/>
            </w:tcBorders>
            <w:vAlign w:val="center"/>
          </w:tcPr>
          <w:p w:rsidR="00242C36" w:rsidRPr="00E32F57" w:rsidRDefault="00242C36" w:rsidP="00242C36">
            <w:pPr>
              <w:pBdr>
                <w:bar w:val="single" w:sz="6" w:color="808080"/>
              </w:pBdr>
              <w:spacing w:after="120"/>
              <w:rPr>
                <w:rFonts w:ascii="Calibri" w:eastAsia="Calibri" w:hAnsi="Calibri"/>
                <w:sz w:val="20"/>
                <w:szCs w:val="20"/>
                <w:lang w:eastAsia="en-US"/>
              </w:rPr>
            </w:pPr>
            <w:r w:rsidRPr="00E32F57">
              <w:rPr>
                <w:rFonts w:ascii="Calibri" w:eastAsia="Calibri" w:hAnsi="Calibri"/>
                <w:sz w:val="20"/>
                <w:szCs w:val="20"/>
                <w:lang w:eastAsia="en-US"/>
              </w:rPr>
              <w:t>41</w:t>
            </w:r>
          </w:p>
        </w:tc>
        <w:tc>
          <w:tcPr>
            <w:tcW w:w="1559" w:type="dxa"/>
            <w:tcBorders>
              <w:top w:val="single" w:sz="4" w:space="0" w:color="auto"/>
              <w:left w:val="single" w:sz="4" w:space="0" w:color="auto"/>
              <w:bottom w:val="single" w:sz="4" w:space="0" w:color="auto"/>
              <w:right w:val="single" w:sz="4" w:space="0" w:color="auto"/>
            </w:tcBorders>
            <w:vAlign w:val="center"/>
          </w:tcPr>
          <w:p w:rsidR="00242C36" w:rsidRPr="00E32F57" w:rsidRDefault="00242C36" w:rsidP="00242C36">
            <w:pPr>
              <w:pBdr>
                <w:bar w:val="single" w:sz="6" w:color="808080"/>
              </w:pBdr>
              <w:spacing w:after="120"/>
              <w:rPr>
                <w:rFonts w:ascii="Calibri" w:eastAsia="Calibri" w:hAnsi="Calibri"/>
                <w:sz w:val="20"/>
                <w:szCs w:val="20"/>
                <w:lang w:eastAsia="en-US"/>
              </w:rPr>
            </w:pPr>
            <w:r w:rsidRPr="00E32F57">
              <w:rPr>
                <w:rFonts w:ascii="Calibri" w:eastAsia="Calibri" w:hAnsi="Calibri"/>
                <w:sz w:val="20"/>
                <w:szCs w:val="20"/>
                <w:lang w:eastAsia="en-US"/>
              </w:rPr>
              <w:t>1 282 811</w:t>
            </w:r>
          </w:p>
        </w:tc>
        <w:tc>
          <w:tcPr>
            <w:tcW w:w="1620" w:type="dxa"/>
            <w:tcBorders>
              <w:top w:val="single" w:sz="4" w:space="0" w:color="auto"/>
              <w:left w:val="single" w:sz="4" w:space="0" w:color="auto"/>
              <w:bottom w:val="single" w:sz="4" w:space="0" w:color="auto"/>
              <w:right w:val="single" w:sz="4" w:space="0" w:color="auto"/>
            </w:tcBorders>
            <w:vAlign w:val="center"/>
          </w:tcPr>
          <w:p w:rsidR="00242C36" w:rsidRPr="00E32F57" w:rsidRDefault="00242C36" w:rsidP="00242C36">
            <w:pPr>
              <w:pBdr>
                <w:bar w:val="single" w:sz="6" w:color="808080"/>
              </w:pBdr>
              <w:spacing w:after="120"/>
              <w:rPr>
                <w:rFonts w:ascii="Calibri" w:eastAsia="Calibri" w:hAnsi="Calibri"/>
                <w:sz w:val="20"/>
                <w:szCs w:val="20"/>
                <w:lang w:eastAsia="en-US"/>
              </w:rPr>
            </w:pPr>
            <w:r w:rsidRPr="00E32F57">
              <w:rPr>
                <w:rFonts w:ascii="Calibri" w:eastAsia="Calibri" w:hAnsi="Calibri"/>
                <w:sz w:val="20"/>
                <w:szCs w:val="20"/>
                <w:lang w:eastAsia="en-US"/>
              </w:rPr>
              <w:t>365 102</w:t>
            </w:r>
          </w:p>
        </w:tc>
        <w:tc>
          <w:tcPr>
            <w:tcW w:w="900" w:type="dxa"/>
            <w:tcBorders>
              <w:top w:val="single" w:sz="4" w:space="0" w:color="auto"/>
              <w:left w:val="single" w:sz="4" w:space="0" w:color="auto"/>
              <w:bottom w:val="single" w:sz="4" w:space="0" w:color="auto"/>
              <w:right w:val="single" w:sz="4" w:space="0" w:color="auto"/>
            </w:tcBorders>
            <w:vAlign w:val="center"/>
          </w:tcPr>
          <w:p w:rsidR="00242C36" w:rsidRPr="00E32F57" w:rsidRDefault="00242C36" w:rsidP="00242C36">
            <w:pPr>
              <w:pBdr>
                <w:bar w:val="single" w:sz="6" w:color="808080"/>
              </w:pBdr>
              <w:spacing w:after="120"/>
              <w:rPr>
                <w:rFonts w:ascii="Calibri" w:eastAsia="Calibri" w:hAnsi="Calibri"/>
                <w:sz w:val="20"/>
                <w:szCs w:val="20"/>
                <w:lang w:eastAsia="en-US"/>
              </w:rPr>
            </w:pPr>
            <w:r w:rsidRPr="00E32F57">
              <w:rPr>
                <w:rFonts w:ascii="Calibri" w:eastAsia="Calibri" w:hAnsi="Calibri"/>
                <w:sz w:val="20"/>
                <w:szCs w:val="20"/>
                <w:lang w:eastAsia="en-US"/>
              </w:rPr>
              <w:t>28,4</w:t>
            </w:r>
          </w:p>
        </w:tc>
        <w:tc>
          <w:tcPr>
            <w:tcW w:w="1980" w:type="dxa"/>
            <w:tcBorders>
              <w:top w:val="single" w:sz="4" w:space="0" w:color="auto"/>
              <w:left w:val="single" w:sz="4" w:space="0" w:color="auto"/>
              <w:bottom w:val="single" w:sz="4" w:space="0" w:color="auto"/>
              <w:right w:val="single" w:sz="4" w:space="0" w:color="auto"/>
            </w:tcBorders>
            <w:vAlign w:val="center"/>
          </w:tcPr>
          <w:p w:rsidR="00242C36" w:rsidRPr="00E32F57" w:rsidRDefault="00242C36" w:rsidP="00242C36">
            <w:pPr>
              <w:pBdr>
                <w:bar w:val="single" w:sz="6" w:color="808080"/>
              </w:pBdr>
              <w:spacing w:after="120"/>
              <w:rPr>
                <w:rFonts w:ascii="Calibri" w:eastAsia="Calibri" w:hAnsi="Calibri"/>
                <w:sz w:val="20"/>
                <w:szCs w:val="20"/>
                <w:lang w:eastAsia="en-US"/>
              </w:rPr>
            </w:pPr>
            <w:r w:rsidRPr="00E32F57">
              <w:rPr>
                <w:rFonts w:ascii="Calibri" w:eastAsia="Calibri" w:hAnsi="Calibri"/>
                <w:sz w:val="20"/>
                <w:szCs w:val="20"/>
                <w:lang w:eastAsia="en-US"/>
              </w:rPr>
              <w:t>828 110</w:t>
            </w:r>
          </w:p>
        </w:tc>
        <w:tc>
          <w:tcPr>
            <w:tcW w:w="961" w:type="dxa"/>
            <w:tcBorders>
              <w:top w:val="single" w:sz="4" w:space="0" w:color="auto"/>
              <w:left w:val="single" w:sz="4" w:space="0" w:color="auto"/>
              <w:bottom w:val="single" w:sz="4" w:space="0" w:color="auto"/>
              <w:right w:val="single" w:sz="4" w:space="0" w:color="auto"/>
            </w:tcBorders>
            <w:vAlign w:val="center"/>
          </w:tcPr>
          <w:p w:rsidR="00242C36" w:rsidRPr="00E32F57" w:rsidRDefault="00242C36" w:rsidP="00242C36">
            <w:pPr>
              <w:pBdr>
                <w:bar w:val="single" w:sz="6" w:color="808080"/>
              </w:pBdr>
              <w:spacing w:after="120"/>
              <w:rPr>
                <w:rFonts w:ascii="Calibri" w:eastAsia="Calibri" w:hAnsi="Calibri"/>
                <w:sz w:val="20"/>
                <w:szCs w:val="20"/>
                <w:lang w:eastAsia="en-US"/>
              </w:rPr>
            </w:pPr>
            <w:r w:rsidRPr="00E32F57">
              <w:rPr>
                <w:rFonts w:ascii="Calibri" w:eastAsia="Calibri" w:hAnsi="Calibri"/>
                <w:sz w:val="20"/>
                <w:szCs w:val="20"/>
                <w:lang w:eastAsia="en-US"/>
              </w:rPr>
              <w:t>64,3</w:t>
            </w:r>
          </w:p>
        </w:tc>
      </w:tr>
      <w:tr w:rsidR="00242C36" w:rsidRPr="00E32F57" w:rsidTr="00242C36">
        <w:trPr>
          <w:trHeight w:val="343"/>
        </w:trPr>
        <w:tc>
          <w:tcPr>
            <w:tcW w:w="1260" w:type="dxa"/>
            <w:tcBorders>
              <w:top w:val="single" w:sz="4" w:space="0" w:color="auto"/>
              <w:left w:val="single" w:sz="4" w:space="0" w:color="auto"/>
              <w:bottom w:val="single" w:sz="4" w:space="0" w:color="auto"/>
              <w:right w:val="single" w:sz="4" w:space="0" w:color="auto"/>
            </w:tcBorders>
            <w:vAlign w:val="center"/>
          </w:tcPr>
          <w:p w:rsidR="00242C36" w:rsidRPr="00E32F57" w:rsidRDefault="00242C36" w:rsidP="00242C36">
            <w:pPr>
              <w:pBdr>
                <w:bar w:val="single" w:sz="6" w:color="808080"/>
              </w:pBdr>
              <w:spacing w:after="120"/>
              <w:rPr>
                <w:rFonts w:ascii="Calibri" w:eastAsia="Calibri" w:hAnsi="Calibri"/>
                <w:sz w:val="20"/>
                <w:szCs w:val="20"/>
                <w:lang w:eastAsia="en-US"/>
              </w:rPr>
            </w:pPr>
            <w:r w:rsidRPr="00E32F57">
              <w:rPr>
                <w:rFonts w:ascii="Calibri" w:eastAsia="Calibri" w:hAnsi="Calibri"/>
                <w:sz w:val="20"/>
                <w:szCs w:val="20"/>
                <w:lang w:eastAsia="en-US"/>
              </w:rPr>
              <w:t>ÚEV</w:t>
            </w:r>
          </w:p>
        </w:tc>
        <w:tc>
          <w:tcPr>
            <w:tcW w:w="700" w:type="dxa"/>
            <w:tcBorders>
              <w:top w:val="single" w:sz="4" w:space="0" w:color="auto"/>
              <w:left w:val="single" w:sz="4" w:space="0" w:color="auto"/>
              <w:bottom w:val="single" w:sz="4" w:space="0" w:color="auto"/>
              <w:right w:val="single" w:sz="4" w:space="0" w:color="auto"/>
            </w:tcBorders>
            <w:vAlign w:val="center"/>
          </w:tcPr>
          <w:p w:rsidR="00242C36" w:rsidRPr="00E32F57" w:rsidRDefault="00242C36" w:rsidP="00242C36">
            <w:pPr>
              <w:pBdr>
                <w:bar w:val="single" w:sz="6" w:color="808080"/>
              </w:pBdr>
              <w:spacing w:after="120"/>
              <w:rPr>
                <w:rFonts w:ascii="Calibri" w:eastAsia="Calibri" w:hAnsi="Calibri"/>
                <w:sz w:val="20"/>
                <w:szCs w:val="20"/>
                <w:lang w:eastAsia="en-US"/>
              </w:rPr>
            </w:pPr>
            <w:r w:rsidRPr="00E32F57">
              <w:rPr>
                <w:rFonts w:ascii="Calibri" w:eastAsia="Calibri" w:hAnsi="Calibri"/>
                <w:sz w:val="20"/>
                <w:szCs w:val="20"/>
                <w:lang w:eastAsia="en-US"/>
              </w:rPr>
              <w:t>473</w:t>
            </w:r>
          </w:p>
        </w:tc>
        <w:tc>
          <w:tcPr>
            <w:tcW w:w="1559" w:type="dxa"/>
            <w:tcBorders>
              <w:top w:val="single" w:sz="4" w:space="0" w:color="auto"/>
              <w:left w:val="single" w:sz="4" w:space="0" w:color="auto"/>
              <w:bottom w:val="single" w:sz="4" w:space="0" w:color="auto"/>
              <w:right w:val="single" w:sz="4" w:space="0" w:color="auto"/>
            </w:tcBorders>
            <w:vAlign w:val="center"/>
          </w:tcPr>
          <w:p w:rsidR="00242C36" w:rsidRPr="00E32F57" w:rsidRDefault="00242C36" w:rsidP="00242C36">
            <w:pPr>
              <w:pBdr>
                <w:bar w:val="single" w:sz="6" w:color="808080"/>
              </w:pBdr>
              <w:spacing w:after="120"/>
              <w:rPr>
                <w:rFonts w:ascii="Calibri" w:eastAsia="Calibri" w:hAnsi="Calibri"/>
                <w:sz w:val="20"/>
                <w:szCs w:val="20"/>
                <w:lang w:eastAsia="en-US"/>
              </w:rPr>
            </w:pPr>
            <w:r w:rsidRPr="00E32F57">
              <w:rPr>
                <w:rFonts w:ascii="Calibri" w:eastAsia="Calibri" w:hAnsi="Calibri"/>
                <w:sz w:val="20"/>
                <w:szCs w:val="20"/>
                <w:lang w:eastAsia="en-US"/>
              </w:rPr>
              <w:t>584 353</w:t>
            </w:r>
          </w:p>
        </w:tc>
        <w:tc>
          <w:tcPr>
            <w:tcW w:w="1620" w:type="dxa"/>
            <w:tcBorders>
              <w:top w:val="single" w:sz="4" w:space="0" w:color="auto"/>
              <w:left w:val="single" w:sz="4" w:space="0" w:color="auto"/>
              <w:bottom w:val="single" w:sz="4" w:space="0" w:color="auto"/>
              <w:right w:val="single" w:sz="4" w:space="0" w:color="auto"/>
            </w:tcBorders>
            <w:vAlign w:val="center"/>
          </w:tcPr>
          <w:p w:rsidR="00242C36" w:rsidRPr="00E32F57" w:rsidRDefault="00242C36" w:rsidP="00242C36">
            <w:pPr>
              <w:pBdr>
                <w:bar w:val="single" w:sz="6" w:color="808080"/>
              </w:pBdr>
              <w:spacing w:after="120"/>
              <w:rPr>
                <w:rFonts w:ascii="Calibri" w:eastAsia="Calibri" w:hAnsi="Calibri"/>
                <w:sz w:val="20"/>
                <w:szCs w:val="20"/>
                <w:lang w:eastAsia="en-US"/>
              </w:rPr>
            </w:pPr>
            <w:r w:rsidRPr="00E32F57">
              <w:rPr>
                <w:rFonts w:ascii="Calibri" w:eastAsia="Calibri" w:hAnsi="Calibri"/>
                <w:sz w:val="20"/>
                <w:szCs w:val="20"/>
                <w:lang w:eastAsia="en-US"/>
              </w:rPr>
              <w:t>58 640</w:t>
            </w:r>
          </w:p>
        </w:tc>
        <w:tc>
          <w:tcPr>
            <w:tcW w:w="900" w:type="dxa"/>
            <w:tcBorders>
              <w:top w:val="single" w:sz="4" w:space="0" w:color="auto"/>
              <w:left w:val="single" w:sz="4" w:space="0" w:color="auto"/>
              <w:bottom w:val="single" w:sz="4" w:space="0" w:color="auto"/>
              <w:right w:val="single" w:sz="4" w:space="0" w:color="auto"/>
            </w:tcBorders>
            <w:vAlign w:val="center"/>
          </w:tcPr>
          <w:p w:rsidR="00242C36" w:rsidRPr="00E32F57" w:rsidRDefault="00242C36" w:rsidP="00242C36">
            <w:pPr>
              <w:pBdr>
                <w:bar w:val="single" w:sz="6" w:color="808080"/>
              </w:pBdr>
              <w:spacing w:after="120"/>
              <w:rPr>
                <w:rFonts w:ascii="Calibri" w:eastAsia="Calibri" w:hAnsi="Calibri"/>
                <w:sz w:val="20"/>
                <w:szCs w:val="20"/>
                <w:lang w:eastAsia="en-US"/>
              </w:rPr>
            </w:pPr>
            <w:r w:rsidRPr="00E32F57">
              <w:rPr>
                <w:rFonts w:ascii="Calibri" w:eastAsia="Calibri" w:hAnsi="Calibri"/>
                <w:sz w:val="20"/>
                <w:szCs w:val="20"/>
                <w:lang w:eastAsia="en-US"/>
              </w:rPr>
              <w:t>10,0</w:t>
            </w:r>
          </w:p>
        </w:tc>
        <w:tc>
          <w:tcPr>
            <w:tcW w:w="1980" w:type="dxa"/>
            <w:tcBorders>
              <w:top w:val="single" w:sz="4" w:space="0" w:color="auto"/>
              <w:left w:val="single" w:sz="4" w:space="0" w:color="auto"/>
              <w:bottom w:val="single" w:sz="4" w:space="0" w:color="auto"/>
              <w:right w:val="single" w:sz="4" w:space="0" w:color="auto"/>
            </w:tcBorders>
            <w:vAlign w:val="center"/>
          </w:tcPr>
          <w:p w:rsidR="00242C36" w:rsidRPr="00E32F57" w:rsidRDefault="00242C36" w:rsidP="00242C36">
            <w:pPr>
              <w:pBdr>
                <w:bar w:val="single" w:sz="6" w:color="808080"/>
              </w:pBdr>
              <w:spacing w:after="120"/>
              <w:rPr>
                <w:rFonts w:ascii="Calibri" w:eastAsia="Calibri" w:hAnsi="Calibri"/>
                <w:sz w:val="20"/>
                <w:szCs w:val="20"/>
                <w:lang w:eastAsia="en-US"/>
              </w:rPr>
            </w:pPr>
            <w:r w:rsidRPr="00E32F57">
              <w:rPr>
                <w:rFonts w:ascii="Calibri" w:eastAsia="Calibri" w:hAnsi="Calibri"/>
                <w:sz w:val="20"/>
                <w:szCs w:val="20"/>
                <w:lang w:eastAsia="en-US"/>
              </w:rPr>
              <w:t>503 926</w:t>
            </w:r>
          </w:p>
        </w:tc>
        <w:tc>
          <w:tcPr>
            <w:tcW w:w="961" w:type="dxa"/>
            <w:tcBorders>
              <w:top w:val="single" w:sz="4" w:space="0" w:color="auto"/>
              <w:left w:val="single" w:sz="4" w:space="0" w:color="auto"/>
              <w:bottom w:val="single" w:sz="4" w:space="0" w:color="auto"/>
              <w:right w:val="single" w:sz="4" w:space="0" w:color="auto"/>
            </w:tcBorders>
            <w:vAlign w:val="center"/>
          </w:tcPr>
          <w:p w:rsidR="00242C36" w:rsidRPr="00E32F57" w:rsidRDefault="00242C36" w:rsidP="00242C36">
            <w:pPr>
              <w:pBdr>
                <w:bar w:val="single" w:sz="6" w:color="808080"/>
              </w:pBdr>
              <w:spacing w:after="120"/>
              <w:rPr>
                <w:rFonts w:ascii="Calibri" w:eastAsia="Calibri" w:hAnsi="Calibri"/>
                <w:sz w:val="20"/>
                <w:szCs w:val="20"/>
                <w:lang w:eastAsia="en-US"/>
              </w:rPr>
            </w:pPr>
            <w:r w:rsidRPr="00E32F57">
              <w:rPr>
                <w:rFonts w:ascii="Calibri" w:eastAsia="Calibri" w:hAnsi="Calibri"/>
                <w:sz w:val="20"/>
                <w:szCs w:val="20"/>
                <w:lang w:eastAsia="en-US"/>
              </w:rPr>
              <w:t>86,2</w:t>
            </w:r>
          </w:p>
        </w:tc>
      </w:tr>
    </w:tbl>
    <w:p w:rsidR="00242C36" w:rsidRPr="00E32F57" w:rsidRDefault="00242C36" w:rsidP="00242C36">
      <w:pPr>
        <w:pBdr>
          <w:bar w:val="single" w:sz="6" w:color="808080"/>
        </w:pBdr>
        <w:spacing w:after="120"/>
        <w:rPr>
          <w:rFonts w:ascii="Calibri" w:eastAsia="Calibri" w:hAnsi="Calibri"/>
          <w:iCs/>
          <w:sz w:val="20"/>
          <w:szCs w:val="20"/>
          <w:lang w:eastAsia="en-US"/>
        </w:rPr>
      </w:pPr>
      <w:r w:rsidRPr="00E32F57">
        <w:rPr>
          <w:rFonts w:ascii="Calibri" w:eastAsia="Calibri" w:hAnsi="Calibri"/>
          <w:iCs/>
          <w:sz w:val="20"/>
          <w:szCs w:val="20"/>
          <w:lang w:eastAsia="en-US"/>
        </w:rPr>
        <w:t>Zdroj:  Správa o stave životného prostredia SR v roku 2012 (MŽP SR)</w:t>
      </w:r>
    </w:p>
    <w:p w:rsidR="00242C36" w:rsidRPr="00E32F57" w:rsidRDefault="00242C36" w:rsidP="00242C36">
      <w:pPr>
        <w:pBdr>
          <w:bar w:val="single" w:sz="6" w:color="808080"/>
        </w:pBdr>
        <w:spacing w:after="120"/>
        <w:rPr>
          <w:rFonts w:ascii="Calibri" w:hAnsi="Calibri" w:cs="Arial"/>
          <w:szCs w:val="22"/>
        </w:rPr>
      </w:pPr>
      <w:r w:rsidRPr="00E32F57">
        <w:rPr>
          <w:rFonts w:ascii="Calibri" w:hAnsi="Calibri"/>
          <w:bCs/>
          <w:szCs w:val="22"/>
        </w:rPr>
        <w:t xml:space="preserve">Plochy Natura 2000 z územia SR (r. 2011, CCI 34) dosiahli podiel 29,6%. </w:t>
      </w:r>
      <w:r w:rsidRPr="00E32F57">
        <w:rPr>
          <w:rFonts w:ascii="Calibri" w:hAnsi="Calibri" w:cs="Arial"/>
          <w:szCs w:val="22"/>
        </w:rPr>
        <w:t>Podiel Natura 2000 z UAA (využitej poľn. pôdy) (vrátane prírodných TTP) bol 16,0% a ich podiel z celkových lesných oblastí bol 46,5%.</w:t>
      </w:r>
    </w:p>
    <w:p w:rsidR="00242C36" w:rsidRPr="00E32F57" w:rsidRDefault="00242C36" w:rsidP="00242C36">
      <w:pPr>
        <w:pBdr>
          <w:bar w:val="single" w:sz="6" w:color="808080"/>
        </w:pBdr>
        <w:spacing w:after="120"/>
        <w:rPr>
          <w:rFonts w:ascii="Calibri" w:hAnsi="Calibri"/>
          <w:bCs/>
          <w:szCs w:val="22"/>
        </w:rPr>
      </w:pPr>
      <w:r w:rsidRPr="00E32F57">
        <w:rPr>
          <w:rFonts w:ascii="Calibri" w:hAnsi="Calibri"/>
          <w:bCs/>
          <w:szCs w:val="22"/>
        </w:rPr>
        <w:t>V snahe o zdokonalenie koordinácie a spoločné nadrezortné plánovanie činností v územiach Natura 2000 (CHVÚ a ÚEV) bude v rámci SR definovaný Rámec prioritných opatrení (</w:t>
      </w:r>
      <w:r w:rsidRPr="00E32F57">
        <w:rPr>
          <w:rFonts w:ascii="Calibri" w:hAnsi="Calibri"/>
          <w:b/>
          <w:bCs/>
          <w:szCs w:val="22"/>
        </w:rPr>
        <w:t>Prioritised Action Framework</w:t>
      </w:r>
      <w:r w:rsidRPr="00E32F57">
        <w:rPr>
          <w:rFonts w:ascii="Calibri" w:hAnsi="Calibri"/>
          <w:bCs/>
          <w:szCs w:val="22"/>
        </w:rPr>
        <w:t>) v súlade s čl. 8 horizontálneho nariadenia. Tento rámec zadefinuje hlavné smery, výzvy pretrvávajúce problémy v ÚEV a zároveň spôsob, metódy práce a zdroje ako ich integrovanou podporou viacerých fondov EÚ eliminovať.</w:t>
      </w:r>
    </w:p>
    <w:p w:rsidR="00B85197" w:rsidRPr="00E32F57" w:rsidRDefault="00B85197" w:rsidP="00A03F52">
      <w:pPr>
        <w:pBdr>
          <w:bar w:val="single" w:sz="6" w:color="808080"/>
        </w:pBdr>
        <w:ind w:left="567" w:hanging="567"/>
        <w:rPr>
          <w:rFonts w:ascii="Calibri" w:eastAsia="Calibri" w:hAnsi="Calibri"/>
          <w:i/>
          <w:sz w:val="20"/>
          <w:szCs w:val="22"/>
          <w:lang w:eastAsia="en-US"/>
        </w:rPr>
      </w:pPr>
    </w:p>
    <w:p w:rsidR="00A03F52" w:rsidRPr="00E32F57" w:rsidRDefault="00A03F52" w:rsidP="00A03F52">
      <w:pPr>
        <w:keepNext/>
        <w:keepLines/>
        <w:pBdr>
          <w:bar w:val="single" w:sz="6" w:color="808080"/>
        </w:pBdr>
        <w:outlineLvl w:val="1"/>
        <w:rPr>
          <w:rFonts w:ascii="Calibri" w:hAnsi="Calibri"/>
          <w:b/>
          <w:bCs/>
          <w:szCs w:val="22"/>
        </w:rPr>
      </w:pPr>
      <w:r w:rsidRPr="00E32F57">
        <w:rPr>
          <w:rFonts w:ascii="Calibri" w:hAnsi="Calibri"/>
          <w:b/>
          <w:bCs/>
          <w:szCs w:val="22"/>
        </w:rPr>
        <w:t>Chránené územia SR</w:t>
      </w:r>
    </w:p>
    <w:p w:rsidR="00242C36" w:rsidRPr="00E32F57" w:rsidRDefault="00242C36" w:rsidP="00242C36">
      <w:pPr>
        <w:keepNext/>
        <w:keepLines/>
        <w:pBdr>
          <w:bar w:val="single" w:sz="6" w:color="808080"/>
        </w:pBdr>
        <w:spacing w:after="120"/>
        <w:outlineLvl w:val="1"/>
        <w:rPr>
          <w:rFonts w:ascii="Calibri" w:hAnsi="Calibri"/>
          <w:bCs/>
          <w:szCs w:val="22"/>
        </w:rPr>
      </w:pPr>
      <w:r w:rsidRPr="00E32F57">
        <w:rPr>
          <w:rFonts w:ascii="Calibri" w:hAnsi="Calibri"/>
          <w:szCs w:val="22"/>
        </w:rPr>
        <w:t>Zákon č. 543/2002 Z. z. o ochrane prírody a krajiny upravuje kategórie chránených území (CHÚ) a podmienky ich ochrany. Novelou zákona bola od r. 2014 doplnená kategória „obecné chránené územia“ a spresnené „územia medzinárodného významu.</w:t>
      </w:r>
    </w:p>
    <w:p w:rsidR="00242C36" w:rsidRPr="00E32F57" w:rsidRDefault="00E32F57" w:rsidP="00242C36">
      <w:pPr>
        <w:keepNext/>
        <w:keepLines/>
        <w:pBdr>
          <w:bar w:val="single" w:sz="6" w:color="808080"/>
        </w:pBdr>
        <w:spacing w:after="120"/>
        <w:outlineLvl w:val="1"/>
        <w:rPr>
          <w:rFonts w:ascii="Calibri" w:hAnsi="Calibri"/>
          <w:b/>
          <w:bCs/>
          <w:szCs w:val="22"/>
        </w:rPr>
      </w:pPr>
      <w:r>
        <w:rPr>
          <w:rFonts w:ascii="Calibri" w:hAnsi="Calibri"/>
          <w:b/>
          <w:bCs/>
          <w:szCs w:val="22"/>
        </w:rPr>
        <w:t xml:space="preserve">Tabuľka 48: </w:t>
      </w:r>
      <w:r w:rsidR="00242C36" w:rsidRPr="00E32F57">
        <w:rPr>
          <w:rFonts w:ascii="Calibri" w:hAnsi="Calibri"/>
          <w:b/>
          <w:bCs/>
          <w:szCs w:val="22"/>
        </w:rPr>
        <w:t>Prehľad chránených území v SR podľa kategórií</w:t>
      </w:r>
    </w:p>
    <w:tbl>
      <w:tblPr>
        <w:tblW w:w="92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20"/>
        <w:gridCol w:w="784"/>
        <w:gridCol w:w="1842"/>
        <w:gridCol w:w="2096"/>
        <w:gridCol w:w="1278"/>
      </w:tblGrid>
      <w:tr w:rsidR="00242C36" w:rsidRPr="00E32F57" w:rsidTr="00242C36">
        <w:trPr>
          <w:trHeight w:val="665"/>
        </w:trPr>
        <w:tc>
          <w:tcPr>
            <w:tcW w:w="3220" w:type="dxa"/>
            <w:tcBorders>
              <w:top w:val="single" w:sz="4" w:space="0" w:color="auto"/>
              <w:left w:val="single" w:sz="4" w:space="0" w:color="auto"/>
              <w:bottom w:val="single" w:sz="4" w:space="0" w:color="auto"/>
              <w:right w:val="single" w:sz="4" w:space="0" w:color="auto"/>
            </w:tcBorders>
            <w:vAlign w:val="center"/>
          </w:tcPr>
          <w:p w:rsidR="00242C36" w:rsidRPr="00E32F57" w:rsidRDefault="00242C36" w:rsidP="00242C36">
            <w:pPr>
              <w:keepNext/>
              <w:keepLines/>
              <w:pBdr>
                <w:bar w:val="single" w:sz="6" w:color="808080"/>
              </w:pBdr>
              <w:spacing w:after="120"/>
              <w:outlineLvl w:val="1"/>
              <w:rPr>
                <w:rFonts w:ascii="Calibri" w:hAnsi="Calibri"/>
                <w:b/>
                <w:bCs/>
                <w:sz w:val="20"/>
                <w:szCs w:val="20"/>
              </w:rPr>
            </w:pPr>
            <w:r w:rsidRPr="00E32F57">
              <w:rPr>
                <w:rFonts w:ascii="Calibri" w:hAnsi="Calibri"/>
                <w:b/>
                <w:bCs/>
                <w:sz w:val="20"/>
                <w:szCs w:val="20"/>
              </w:rPr>
              <w:t>Kategória</w:t>
            </w:r>
          </w:p>
        </w:tc>
        <w:tc>
          <w:tcPr>
            <w:tcW w:w="784" w:type="dxa"/>
            <w:tcBorders>
              <w:top w:val="single" w:sz="4" w:space="0" w:color="auto"/>
              <w:left w:val="single" w:sz="4" w:space="0" w:color="auto"/>
              <w:bottom w:val="single" w:sz="4" w:space="0" w:color="auto"/>
              <w:right w:val="single" w:sz="4" w:space="0" w:color="auto"/>
            </w:tcBorders>
            <w:vAlign w:val="center"/>
          </w:tcPr>
          <w:p w:rsidR="00242C36" w:rsidRPr="00E32F57" w:rsidRDefault="00242C36" w:rsidP="00242C36">
            <w:pPr>
              <w:keepNext/>
              <w:keepLines/>
              <w:pBdr>
                <w:bar w:val="single" w:sz="6" w:color="808080"/>
              </w:pBdr>
              <w:spacing w:after="120"/>
              <w:outlineLvl w:val="1"/>
              <w:rPr>
                <w:rFonts w:ascii="Calibri" w:hAnsi="Calibri"/>
                <w:b/>
                <w:bCs/>
                <w:sz w:val="20"/>
                <w:szCs w:val="20"/>
              </w:rPr>
            </w:pPr>
            <w:r w:rsidRPr="00E32F57">
              <w:rPr>
                <w:rFonts w:ascii="Calibri" w:hAnsi="Calibri"/>
                <w:b/>
                <w:bCs/>
                <w:sz w:val="20"/>
                <w:szCs w:val="20"/>
              </w:rPr>
              <w:t>Počet</w:t>
            </w:r>
          </w:p>
        </w:tc>
        <w:tc>
          <w:tcPr>
            <w:tcW w:w="1842" w:type="dxa"/>
            <w:tcBorders>
              <w:top w:val="single" w:sz="4" w:space="0" w:color="auto"/>
              <w:left w:val="single" w:sz="4" w:space="0" w:color="auto"/>
              <w:bottom w:val="single" w:sz="4" w:space="0" w:color="auto"/>
              <w:right w:val="single" w:sz="4" w:space="0" w:color="auto"/>
            </w:tcBorders>
            <w:vAlign w:val="center"/>
          </w:tcPr>
          <w:p w:rsidR="00242C36" w:rsidRPr="00E32F57" w:rsidRDefault="00242C36" w:rsidP="00242C36">
            <w:pPr>
              <w:keepNext/>
              <w:keepLines/>
              <w:pBdr>
                <w:bar w:val="single" w:sz="6" w:color="808080"/>
              </w:pBdr>
              <w:spacing w:after="120"/>
              <w:outlineLvl w:val="1"/>
              <w:rPr>
                <w:rFonts w:ascii="Calibri" w:hAnsi="Calibri"/>
                <w:b/>
                <w:bCs/>
                <w:sz w:val="20"/>
                <w:szCs w:val="20"/>
              </w:rPr>
            </w:pPr>
            <w:r w:rsidRPr="00E32F57">
              <w:rPr>
                <w:rFonts w:ascii="Calibri" w:hAnsi="Calibri"/>
                <w:b/>
                <w:bCs/>
                <w:sz w:val="20"/>
                <w:szCs w:val="20"/>
              </w:rPr>
              <w:t>Výmera chránených území (CHÚ) v ha</w:t>
            </w:r>
          </w:p>
        </w:tc>
        <w:tc>
          <w:tcPr>
            <w:tcW w:w="2096" w:type="dxa"/>
            <w:tcBorders>
              <w:top w:val="single" w:sz="4" w:space="0" w:color="auto"/>
              <w:left w:val="single" w:sz="4" w:space="0" w:color="auto"/>
              <w:bottom w:val="single" w:sz="4" w:space="0" w:color="auto"/>
              <w:right w:val="single" w:sz="4" w:space="0" w:color="auto"/>
            </w:tcBorders>
            <w:vAlign w:val="center"/>
          </w:tcPr>
          <w:p w:rsidR="00242C36" w:rsidRPr="00E32F57" w:rsidRDefault="00242C36" w:rsidP="00242C36">
            <w:pPr>
              <w:keepNext/>
              <w:keepLines/>
              <w:pBdr>
                <w:bar w:val="single" w:sz="6" w:color="808080"/>
              </w:pBdr>
              <w:spacing w:after="120"/>
              <w:outlineLvl w:val="1"/>
              <w:rPr>
                <w:rFonts w:ascii="Calibri" w:hAnsi="Calibri"/>
                <w:b/>
                <w:bCs/>
                <w:sz w:val="20"/>
                <w:szCs w:val="20"/>
              </w:rPr>
            </w:pPr>
            <w:r w:rsidRPr="00E32F57">
              <w:rPr>
                <w:rFonts w:ascii="Calibri" w:hAnsi="Calibri"/>
                <w:b/>
                <w:bCs/>
                <w:sz w:val="20"/>
                <w:szCs w:val="20"/>
              </w:rPr>
              <w:t>Výmera ochranných pásiem (OP) v ha</w:t>
            </w:r>
          </w:p>
        </w:tc>
        <w:tc>
          <w:tcPr>
            <w:tcW w:w="1278" w:type="dxa"/>
            <w:tcBorders>
              <w:top w:val="single" w:sz="4" w:space="0" w:color="auto"/>
              <w:left w:val="single" w:sz="4" w:space="0" w:color="auto"/>
              <w:bottom w:val="single" w:sz="4" w:space="0" w:color="auto"/>
              <w:right w:val="single" w:sz="4" w:space="0" w:color="auto"/>
            </w:tcBorders>
            <w:vAlign w:val="center"/>
          </w:tcPr>
          <w:p w:rsidR="00242C36" w:rsidRPr="00E32F57" w:rsidRDefault="00242C36" w:rsidP="00242C36">
            <w:pPr>
              <w:keepNext/>
              <w:keepLines/>
              <w:pBdr>
                <w:bar w:val="single" w:sz="6" w:color="808080"/>
              </w:pBdr>
              <w:spacing w:after="120"/>
              <w:outlineLvl w:val="1"/>
              <w:rPr>
                <w:rFonts w:ascii="Calibri" w:hAnsi="Calibri"/>
                <w:b/>
                <w:bCs/>
                <w:sz w:val="20"/>
                <w:szCs w:val="20"/>
              </w:rPr>
            </w:pPr>
            <w:r w:rsidRPr="00E32F57">
              <w:rPr>
                <w:rFonts w:ascii="Calibri" w:hAnsi="Calibri"/>
                <w:b/>
                <w:bCs/>
                <w:sz w:val="20"/>
                <w:szCs w:val="20"/>
              </w:rPr>
              <w:t>% z rozlohy SR</w:t>
            </w:r>
          </w:p>
        </w:tc>
      </w:tr>
      <w:tr w:rsidR="00242C36" w:rsidRPr="00E32F57" w:rsidTr="00242C36">
        <w:tc>
          <w:tcPr>
            <w:tcW w:w="3220" w:type="dxa"/>
            <w:tcBorders>
              <w:top w:val="single" w:sz="4" w:space="0" w:color="auto"/>
              <w:left w:val="single" w:sz="4" w:space="0" w:color="auto"/>
              <w:bottom w:val="single" w:sz="4" w:space="0" w:color="auto"/>
              <w:right w:val="single" w:sz="4" w:space="0" w:color="auto"/>
            </w:tcBorders>
          </w:tcPr>
          <w:p w:rsidR="00242C36" w:rsidRPr="00E32F57" w:rsidRDefault="00242C36" w:rsidP="00242C36">
            <w:pPr>
              <w:keepNext/>
              <w:keepLines/>
              <w:pBdr>
                <w:bar w:val="single" w:sz="6" w:color="808080"/>
              </w:pBdr>
              <w:spacing w:after="120"/>
              <w:outlineLvl w:val="1"/>
              <w:rPr>
                <w:rFonts w:ascii="Calibri" w:hAnsi="Calibri"/>
                <w:bCs/>
                <w:sz w:val="20"/>
                <w:szCs w:val="20"/>
              </w:rPr>
            </w:pPr>
            <w:r w:rsidRPr="00E32F57">
              <w:rPr>
                <w:rFonts w:ascii="Calibri" w:hAnsi="Calibri"/>
                <w:bCs/>
                <w:sz w:val="20"/>
                <w:szCs w:val="20"/>
              </w:rPr>
              <w:t>Chránené krajinné oblasti (CHKO)</w:t>
            </w:r>
          </w:p>
        </w:tc>
        <w:tc>
          <w:tcPr>
            <w:tcW w:w="784" w:type="dxa"/>
            <w:tcBorders>
              <w:top w:val="single" w:sz="4" w:space="0" w:color="auto"/>
              <w:left w:val="single" w:sz="4" w:space="0" w:color="auto"/>
              <w:bottom w:val="single" w:sz="4" w:space="0" w:color="auto"/>
              <w:right w:val="single" w:sz="4" w:space="0" w:color="auto"/>
            </w:tcBorders>
          </w:tcPr>
          <w:p w:rsidR="00242C36" w:rsidRPr="00E32F57" w:rsidRDefault="00242C36" w:rsidP="00242C36">
            <w:pPr>
              <w:keepNext/>
              <w:keepLines/>
              <w:pBdr>
                <w:bar w:val="single" w:sz="6" w:color="808080"/>
              </w:pBdr>
              <w:spacing w:after="120"/>
              <w:jc w:val="center"/>
              <w:outlineLvl w:val="1"/>
              <w:rPr>
                <w:rFonts w:ascii="Calibri" w:hAnsi="Calibri"/>
                <w:bCs/>
                <w:sz w:val="20"/>
                <w:szCs w:val="20"/>
              </w:rPr>
            </w:pPr>
            <w:r w:rsidRPr="00E32F57">
              <w:rPr>
                <w:rFonts w:ascii="Calibri" w:hAnsi="Calibri"/>
                <w:bCs/>
                <w:sz w:val="20"/>
                <w:szCs w:val="20"/>
              </w:rPr>
              <w:t>14</w:t>
            </w:r>
          </w:p>
        </w:tc>
        <w:tc>
          <w:tcPr>
            <w:tcW w:w="1842" w:type="dxa"/>
            <w:tcBorders>
              <w:top w:val="single" w:sz="4" w:space="0" w:color="auto"/>
              <w:left w:val="single" w:sz="4" w:space="0" w:color="auto"/>
              <w:bottom w:val="single" w:sz="4" w:space="0" w:color="auto"/>
              <w:right w:val="single" w:sz="4" w:space="0" w:color="auto"/>
            </w:tcBorders>
          </w:tcPr>
          <w:p w:rsidR="00242C36" w:rsidRPr="00E32F57" w:rsidRDefault="00242C36" w:rsidP="00242C36">
            <w:pPr>
              <w:keepNext/>
              <w:keepLines/>
              <w:pBdr>
                <w:bar w:val="single" w:sz="6" w:color="808080"/>
              </w:pBdr>
              <w:spacing w:after="120"/>
              <w:jc w:val="center"/>
              <w:outlineLvl w:val="1"/>
              <w:rPr>
                <w:rFonts w:ascii="Calibri" w:hAnsi="Calibri"/>
                <w:bCs/>
                <w:sz w:val="20"/>
                <w:szCs w:val="20"/>
              </w:rPr>
            </w:pPr>
            <w:r w:rsidRPr="00E32F57">
              <w:rPr>
                <w:rFonts w:ascii="Calibri" w:hAnsi="Calibri"/>
                <w:bCs/>
                <w:sz w:val="20"/>
                <w:szCs w:val="20"/>
              </w:rPr>
              <w:t>522 579</w:t>
            </w:r>
          </w:p>
        </w:tc>
        <w:tc>
          <w:tcPr>
            <w:tcW w:w="2096" w:type="dxa"/>
            <w:tcBorders>
              <w:top w:val="single" w:sz="4" w:space="0" w:color="auto"/>
              <w:left w:val="single" w:sz="4" w:space="0" w:color="auto"/>
              <w:bottom w:val="single" w:sz="4" w:space="0" w:color="auto"/>
              <w:right w:val="single" w:sz="4" w:space="0" w:color="auto"/>
            </w:tcBorders>
          </w:tcPr>
          <w:p w:rsidR="00242C36" w:rsidRPr="00E32F57" w:rsidRDefault="00242C36" w:rsidP="00242C36">
            <w:pPr>
              <w:keepNext/>
              <w:keepLines/>
              <w:pBdr>
                <w:bar w:val="single" w:sz="6" w:color="808080"/>
              </w:pBdr>
              <w:spacing w:after="120"/>
              <w:jc w:val="center"/>
              <w:outlineLvl w:val="1"/>
              <w:rPr>
                <w:rFonts w:ascii="Calibri" w:hAnsi="Calibri"/>
                <w:bCs/>
                <w:sz w:val="20"/>
                <w:szCs w:val="20"/>
              </w:rPr>
            </w:pPr>
            <w:r w:rsidRPr="00E32F57">
              <w:rPr>
                <w:rFonts w:ascii="Calibri" w:hAnsi="Calibri"/>
                <w:bCs/>
                <w:sz w:val="20"/>
                <w:szCs w:val="20"/>
              </w:rPr>
              <w:t>-</w:t>
            </w:r>
          </w:p>
        </w:tc>
        <w:tc>
          <w:tcPr>
            <w:tcW w:w="1278" w:type="dxa"/>
            <w:tcBorders>
              <w:top w:val="single" w:sz="4" w:space="0" w:color="auto"/>
              <w:left w:val="single" w:sz="4" w:space="0" w:color="auto"/>
              <w:bottom w:val="single" w:sz="4" w:space="0" w:color="auto"/>
              <w:right w:val="single" w:sz="4" w:space="0" w:color="auto"/>
            </w:tcBorders>
          </w:tcPr>
          <w:p w:rsidR="00242C36" w:rsidRPr="00E32F57" w:rsidRDefault="00242C36" w:rsidP="00242C36">
            <w:pPr>
              <w:keepNext/>
              <w:keepLines/>
              <w:pBdr>
                <w:bar w:val="single" w:sz="6" w:color="808080"/>
              </w:pBdr>
              <w:spacing w:after="120"/>
              <w:jc w:val="center"/>
              <w:outlineLvl w:val="1"/>
              <w:rPr>
                <w:rFonts w:ascii="Calibri" w:hAnsi="Calibri"/>
                <w:bCs/>
                <w:sz w:val="20"/>
                <w:szCs w:val="20"/>
              </w:rPr>
            </w:pPr>
            <w:r w:rsidRPr="00E32F57">
              <w:rPr>
                <w:rFonts w:ascii="Calibri" w:hAnsi="Calibri"/>
                <w:bCs/>
                <w:sz w:val="20"/>
                <w:szCs w:val="20"/>
              </w:rPr>
              <w:t>10,66</w:t>
            </w:r>
          </w:p>
        </w:tc>
      </w:tr>
      <w:tr w:rsidR="00242C36" w:rsidRPr="00E32F57" w:rsidTr="00242C36">
        <w:tc>
          <w:tcPr>
            <w:tcW w:w="3220" w:type="dxa"/>
            <w:tcBorders>
              <w:top w:val="single" w:sz="4" w:space="0" w:color="auto"/>
              <w:left w:val="single" w:sz="4" w:space="0" w:color="auto"/>
              <w:bottom w:val="single" w:sz="4" w:space="0" w:color="auto"/>
              <w:right w:val="single" w:sz="4" w:space="0" w:color="auto"/>
            </w:tcBorders>
          </w:tcPr>
          <w:p w:rsidR="00242C36" w:rsidRPr="00E32F57" w:rsidRDefault="00242C36" w:rsidP="00242C36">
            <w:pPr>
              <w:keepNext/>
              <w:keepLines/>
              <w:pBdr>
                <w:bar w:val="single" w:sz="6" w:color="808080"/>
              </w:pBdr>
              <w:spacing w:after="120"/>
              <w:outlineLvl w:val="1"/>
              <w:rPr>
                <w:rFonts w:ascii="Calibri" w:hAnsi="Calibri"/>
                <w:bCs/>
                <w:sz w:val="20"/>
                <w:szCs w:val="20"/>
              </w:rPr>
            </w:pPr>
            <w:r w:rsidRPr="00E32F57">
              <w:rPr>
                <w:rFonts w:ascii="Calibri" w:hAnsi="Calibri"/>
                <w:bCs/>
                <w:sz w:val="20"/>
                <w:szCs w:val="20"/>
              </w:rPr>
              <w:t>Národné parky (NP)</w:t>
            </w:r>
          </w:p>
        </w:tc>
        <w:tc>
          <w:tcPr>
            <w:tcW w:w="784" w:type="dxa"/>
            <w:tcBorders>
              <w:top w:val="single" w:sz="4" w:space="0" w:color="auto"/>
              <w:left w:val="single" w:sz="4" w:space="0" w:color="auto"/>
              <w:bottom w:val="single" w:sz="4" w:space="0" w:color="auto"/>
              <w:right w:val="single" w:sz="4" w:space="0" w:color="auto"/>
            </w:tcBorders>
          </w:tcPr>
          <w:p w:rsidR="00242C36" w:rsidRPr="00E32F57" w:rsidRDefault="00242C36" w:rsidP="00242C36">
            <w:pPr>
              <w:keepNext/>
              <w:keepLines/>
              <w:pBdr>
                <w:bar w:val="single" w:sz="6" w:color="808080"/>
              </w:pBdr>
              <w:spacing w:after="120"/>
              <w:jc w:val="center"/>
              <w:outlineLvl w:val="1"/>
              <w:rPr>
                <w:rFonts w:ascii="Calibri" w:hAnsi="Calibri"/>
                <w:bCs/>
                <w:sz w:val="20"/>
                <w:szCs w:val="20"/>
              </w:rPr>
            </w:pPr>
            <w:r w:rsidRPr="00E32F57">
              <w:rPr>
                <w:rFonts w:ascii="Calibri" w:hAnsi="Calibri"/>
                <w:bCs/>
                <w:sz w:val="20"/>
                <w:szCs w:val="20"/>
              </w:rPr>
              <w:t>9</w:t>
            </w:r>
          </w:p>
        </w:tc>
        <w:tc>
          <w:tcPr>
            <w:tcW w:w="1842" w:type="dxa"/>
            <w:tcBorders>
              <w:top w:val="single" w:sz="4" w:space="0" w:color="auto"/>
              <w:left w:val="single" w:sz="4" w:space="0" w:color="auto"/>
              <w:bottom w:val="single" w:sz="4" w:space="0" w:color="auto"/>
              <w:right w:val="single" w:sz="4" w:space="0" w:color="auto"/>
            </w:tcBorders>
          </w:tcPr>
          <w:p w:rsidR="00242C36" w:rsidRPr="00E32F57" w:rsidRDefault="00242C36" w:rsidP="00242C36">
            <w:pPr>
              <w:keepNext/>
              <w:keepLines/>
              <w:pBdr>
                <w:bar w:val="single" w:sz="6" w:color="808080"/>
              </w:pBdr>
              <w:spacing w:after="120"/>
              <w:jc w:val="center"/>
              <w:outlineLvl w:val="1"/>
              <w:rPr>
                <w:rFonts w:ascii="Calibri" w:hAnsi="Calibri"/>
                <w:bCs/>
                <w:sz w:val="20"/>
                <w:szCs w:val="20"/>
              </w:rPr>
            </w:pPr>
            <w:r w:rsidRPr="00E32F57">
              <w:rPr>
                <w:rFonts w:ascii="Calibri" w:hAnsi="Calibri"/>
                <w:bCs/>
                <w:sz w:val="20"/>
                <w:szCs w:val="20"/>
              </w:rPr>
              <w:t>317 890</w:t>
            </w:r>
          </w:p>
        </w:tc>
        <w:tc>
          <w:tcPr>
            <w:tcW w:w="2096" w:type="dxa"/>
            <w:tcBorders>
              <w:top w:val="single" w:sz="4" w:space="0" w:color="auto"/>
              <w:left w:val="single" w:sz="4" w:space="0" w:color="auto"/>
              <w:bottom w:val="single" w:sz="4" w:space="0" w:color="auto"/>
              <w:right w:val="single" w:sz="4" w:space="0" w:color="auto"/>
            </w:tcBorders>
          </w:tcPr>
          <w:p w:rsidR="00242C36" w:rsidRPr="00E32F57" w:rsidRDefault="00242C36" w:rsidP="00242C36">
            <w:pPr>
              <w:keepNext/>
              <w:keepLines/>
              <w:pBdr>
                <w:bar w:val="single" w:sz="6" w:color="808080"/>
              </w:pBdr>
              <w:spacing w:after="120"/>
              <w:jc w:val="center"/>
              <w:outlineLvl w:val="1"/>
              <w:rPr>
                <w:rFonts w:ascii="Calibri" w:hAnsi="Calibri"/>
                <w:bCs/>
                <w:sz w:val="20"/>
                <w:szCs w:val="20"/>
              </w:rPr>
            </w:pPr>
            <w:r w:rsidRPr="00E32F57">
              <w:rPr>
                <w:rFonts w:ascii="Calibri" w:hAnsi="Calibri"/>
                <w:bCs/>
                <w:sz w:val="20"/>
                <w:szCs w:val="20"/>
              </w:rPr>
              <w:t>270 128</w:t>
            </w:r>
          </w:p>
        </w:tc>
        <w:tc>
          <w:tcPr>
            <w:tcW w:w="1278" w:type="dxa"/>
            <w:tcBorders>
              <w:top w:val="single" w:sz="4" w:space="0" w:color="auto"/>
              <w:left w:val="single" w:sz="4" w:space="0" w:color="auto"/>
              <w:bottom w:val="single" w:sz="4" w:space="0" w:color="auto"/>
              <w:right w:val="single" w:sz="4" w:space="0" w:color="auto"/>
            </w:tcBorders>
          </w:tcPr>
          <w:p w:rsidR="00242C36" w:rsidRPr="00E32F57" w:rsidRDefault="00242C36" w:rsidP="00242C36">
            <w:pPr>
              <w:keepNext/>
              <w:keepLines/>
              <w:pBdr>
                <w:bar w:val="single" w:sz="6" w:color="808080"/>
              </w:pBdr>
              <w:spacing w:after="120"/>
              <w:jc w:val="center"/>
              <w:outlineLvl w:val="1"/>
              <w:rPr>
                <w:rFonts w:ascii="Calibri" w:hAnsi="Calibri"/>
                <w:bCs/>
                <w:sz w:val="20"/>
                <w:szCs w:val="20"/>
              </w:rPr>
            </w:pPr>
            <w:r w:rsidRPr="00E32F57">
              <w:rPr>
                <w:rFonts w:ascii="Calibri" w:hAnsi="Calibri"/>
                <w:bCs/>
                <w:sz w:val="20"/>
                <w:szCs w:val="20"/>
              </w:rPr>
              <w:t>11,99</w:t>
            </w:r>
          </w:p>
        </w:tc>
      </w:tr>
      <w:tr w:rsidR="00242C36" w:rsidRPr="00E32F57" w:rsidTr="00242C36">
        <w:tc>
          <w:tcPr>
            <w:tcW w:w="3220" w:type="dxa"/>
            <w:tcBorders>
              <w:top w:val="single" w:sz="4" w:space="0" w:color="auto"/>
              <w:left w:val="single" w:sz="4" w:space="0" w:color="auto"/>
              <w:bottom w:val="single" w:sz="4" w:space="0" w:color="auto"/>
              <w:right w:val="single" w:sz="4" w:space="0" w:color="auto"/>
            </w:tcBorders>
          </w:tcPr>
          <w:p w:rsidR="00242C36" w:rsidRPr="00E32F57" w:rsidRDefault="00242C36" w:rsidP="00242C36">
            <w:pPr>
              <w:keepNext/>
              <w:keepLines/>
              <w:pBdr>
                <w:bar w:val="single" w:sz="6" w:color="808080"/>
              </w:pBdr>
              <w:spacing w:after="120"/>
              <w:outlineLvl w:val="1"/>
              <w:rPr>
                <w:rFonts w:ascii="Calibri" w:hAnsi="Calibri"/>
                <w:bCs/>
                <w:sz w:val="20"/>
                <w:szCs w:val="20"/>
              </w:rPr>
            </w:pPr>
            <w:r w:rsidRPr="00E32F57">
              <w:rPr>
                <w:rFonts w:ascii="Calibri" w:hAnsi="Calibri"/>
                <w:bCs/>
                <w:sz w:val="20"/>
                <w:szCs w:val="20"/>
              </w:rPr>
              <w:t>Chránené areály (CHA)</w:t>
            </w:r>
          </w:p>
        </w:tc>
        <w:tc>
          <w:tcPr>
            <w:tcW w:w="784" w:type="dxa"/>
            <w:tcBorders>
              <w:top w:val="single" w:sz="4" w:space="0" w:color="auto"/>
              <w:left w:val="single" w:sz="4" w:space="0" w:color="auto"/>
              <w:bottom w:val="single" w:sz="4" w:space="0" w:color="auto"/>
              <w:right w:val="single" w:sz="4" w:space="0" w:color="auto"/>
            </w:tcBorders>
          </w:tcPr>
          <w:p w:rsidR="00242C36" w:rsidRPr="00E32F57" w:rsidRDefault="00242C36" w:rsidP="00242C36">
            <w:pPr>
              <w:keepNext/>
              <w:keepLines/>
              <w:pBdr>
                <w:bar w:val="single" w:sz="6" w:color="808080"/>
              </w:pBdr>
              <w:spacing w:after="120"/>
              <w:jc w:val="center"/>
              <w:outlineLvl w:val="1"/>
              <w:rPr>
                <w:rFonts w:ascii="Calibri" w:hAnsi="Calibri"/>
                <w:bCs/>
                <w:sz w:val="20"/>
                <w:szCs w:val="20"/>
              </w:rPr>
            </w:pPr>
            <w:r w:rsidRPr="00E32F57">
              <w:rPr>
                <w:rFonts w:ascii="Calibri" w:hAnsi="Calibri"/>
                <w:bCs/>
                <w:sz w:val="20"/>
                <w:szCs w:val="20"/>
              </w:rPr>
              <w:t>173</w:t>
            </w:r>
          </w:p>
        </w:tc>
        <w:tc>
          <w:tcPr>
            <w:tcW w:w="1842" w:type="dxa"/>
            <w:tcBorders>
              <w:top w:val="single" w:sz="4" w:space="0" w:color="auto"/>
              <w:left w:val="single" w:sz="4" w:space="0" w:color="auto"/>
              <w:bottom w:val="single" w:sz="4" w:space="0" w:color="auto"/>
              <w:right w:val="single" w:sz="4" w:space="0" w:color="auto"/>
            </w:tcBorders>
          </w:tcPr>
          <w:p w:rsidR="00242C36" w:rsidRPr="00E32F57" w:rsidRDefault="00242C36" w:rsidP="00242C36">
            <w:pPr>
              <w:keepNext/>
              <w:keepLines/>
              <w:pBdr>
                <w:bar w:val="single" w:sz="6" w:color="808080"/>
              </w:pBdr>
              <w:spacing w:after="120"/>
              <w:jc w:val="center"/>
              <w:outlineLvl w:val="1"/>
              <w:rPr>
                <w:rFonts w:ascii="Calibri" w:hAnsi="Calibri"/>
                <w:bCs/>
                <w:sz w:val="20"/>
                <w:szCs w:val="20"/>
              </w:rPr>
            </w:pPr>
            <w:r w:rsidRPr="00E32F57">
              <w:rPr>
                <w:rFonts w:ascii="Calibri" w:hAnsi="Calibri"/>
                <w:bCs/>
                <w:sz w:val="20"/>
                <w:szCs w:val="20"/>
              </w:rPr>
              <w:t>11 023</w:t>
            </w:r>
          </w:p>
        </w:tc>
        <w:tc>
          <w:tcPr>
            <w:tcW w:w="2096" w:type="dxa"/>
            <w:tcBorders>
              <w:top w:val="single" w:sz="4" w:space="0" w:color="auto"/>
              <w:left w:val="single" w:sz="4" w:space="0" w:color="auto"/>
              <w:bottom w:val="single" w:sz="4" w:space="0" w:color="auto"/>
              <w:right w:val="single" w:sz="4" w:space="0" w:color="auto"/>
            </w:tcBorders>
          </w:tcPr>
          <w:p w:rsidR="00242C36" w:rsidRPr="00E32F57" w:rsidRDefault="00242C36" w:rsidP="00242C36">
            <w:pPr>
              <w:keepNext/>
              <w:keepLines/>
              <w:pBdr>
                <w:bar w:val="single" w:sz="6" w:color="808080"/>
              </w:pBdr>
              <w:spacing w:after="120"/>
              <w:jc w:val="center"/>
              <w:outlineLvl w:val="1"/>
              <w:rPr>
                <w:rFonts w:ascii="Calibri" w:hAnsi="Calibri"/>
                <w:bCs/>
                <w:sz w:val="20"/>
                <w:szCs w:val="20"/>
              </w:rPr>
            </w:pPr>
            <w:r w:rsidRPr="00E32F57">
              <w:rPr>
                <w:rFonts w:ascii="Calibri" w:hAnsi="Calibri"/>
                <w:bCs/>
                <w:sz w:val="20"/>
                <w:szCs w:val="20"/>
              </w:rPr>
              <w:t>2 425</w:t>
            </w:r>
          </w:p>
        </w:tc>
        <w:tc>
          <w:tcPr>
            <w:tcW w:w="1278" w:type="dxa"/>
            <w:tcBorders>
              <w:top w:val="single" w:sz="4" w:space="0" w:color="auto"/>
              <w:left w:val="single" w:sz="4" w:space="0" w:color="auto"/>
              <w:bottom w:val="single" w:sz="4" w:space="0" w:color="auto"/>
              <w:right w:val="single" w:sz="4" w:space="0" w:color="auto"/>
            </w:tcBorders>
          </w:tcPr>
          <w:p w:rsidR="00242C36" w:rsidRPr="00E32F57" w:rsidRDefault="00242C36" w:rsidP="00242C36">
            <w:pPr>
              <w:keepNext/>
              <w:keepLines/>
              <w:pBdr>
                <w:bar w:val="single" w:sz="6" w:color="808080"/>
              </w:pBdr>
              <w:spacing w:after="120"/>
              <w:jc w:val="center"/>
              <w:outlineLvl w:val="1"/>
              <w:rPr>
                <w:rFonts w:ascii="Calibri" w:hAnsi="Calibri"/>
                <w:bCs/>
                <w:sz w:val="20"/>
                <w:szCs w:val="20"/>
              </w:rPr>
            </w:pPr>
            <w:r w:rsidRPr="00E32F57">
              <w:rPr>
                <w:rFonts w:ascii="Calibri" w:hAnsi="Calibri"/>
                <w:bCs/>
                <w:sz w:val="20"/>
                <w:szCs w:val="20"/>
              </w:rPr>
              <w:t>0,27</w:t>
            </w:r>
          </w:p>
        </w:tc>
      </w:tr>
      <w:tr w:rsidR="00242C36" w:rsidRPr="00E32F57" w:rsidTr="00242C36">
        <w:tc>
          <w:tcPr>
            <w:tcW w:w="3220" w:type="dxa"/>
            <w:tcBorders>
              <w:top w:val="single" w:sz="4" w:space="0" w:color="auto"/>
              <w:left w:val="single" w:sz="4" w:space="0" w:color="auto"/>
              <w:bottom w:val="single" w:sz="4" w:space="0" w:color="auto"/>
              <w:right w:val="single" w:sz="4" w:space="0" w:color="auto"/>
            </w:tcBorders>
          </w:tcPr>
          <w:p w:rsidR="00242C36" w:rsidRPr="00E32F57" w:rsidRDefault="00242C36" w:rsidP="00242C36">
            <w:pPr>
              <w:keepNext/>
              <w:keepLines/>
              <w:pBdr>
                <w:bar w:val="single" w:sz="6" w:color="808080"/>
              </w:pBdr>
              <w:spacing w:after="120"/>
              <w:outlineLvl w:val="1"/>
              <w:rPr>
                <w:rFonts w:ascii="Calibri" w:hAnsi="Calibri"/>
                <w:bCs/>
                <w:sz w:val="20"/>
                <w:szCs w:val="20"/>
              </w:rPr>
            </w:pPr>
            <w:r w:rsidRPr="00E32F57">
              <w:rPr>
                <w:rFonts w:ascii="Calibri" w:hAnsi="Calibri"/>
                <w:bCs/>
                <w:sz w:val="20"/>
                <w:szCs w:val="20"/>
              </w:rPr>
              <w:t>Prírodné rezervácie (PR)</w:t>
            </w:r>
          </w:p>
        </w:tc>
        <w:tc>
          <w:tcPr>
            <w:tcW w:w="784" w:type="dxa"/>
            <w:tcBorders>
              <w:top w:val="single" w:sz="4" w:space="0" w:color="auto"/>
              <w:left w:val="single" w:sz="4" w:space="0" w:color="auto"/>
              <w:bottom w:val="single" w:sz="4" w:space="0" w:color="auto"/>
              <w:right w:val="single" w:sz="4" w:space="0" w:color="auto"/>
            </w:tcBorders>
          </w:tcPr>
          <w:p w:rsidR="00242C36" w:rsidRPr="00E32F57" w:rsidRDefault="00242C36" w:rsidP="00242C36">
            <w:pPr>
              <w:keepNext/>
              <w:keepLines/>
              <w:pBdr>
                <w:bar w:val="single" w:sz="6" w:color="808080"/>
              </w:pBdr>
              <w:spacing w:after="120"/>
              <w:jc w:val="center"/>
              <w:outlineLvl w:val="1"/>
              <w:rPr>
                <w:rFonts w:ascii="Calibri" w:hAnsi="Calibri"/>
                <w:bCs/>
                <w:sz w:val="20"/>
                <w:szCs w:val="20"/>
              </w:rPr>
            </w:pPr>
            <w:r w:rsidRPr="00E32F57">
              <w:rPr>
                <w:rFonts w:ascii="Calibri" w:hAnsi="Calibri"/>
                <w:bCs/>
                <w:sz w:val="20"/>
                <w:szCs w:val="20"/>
              </w:rPr>
              <w:t>392</w:t>
            </w:r>
          </w:p>
        </w:tc>
        <w:tc>
          <w:tcPr>
            <w:tcW w:w="1842" w:type="dxa"/>
            <w:tcBorders>
              <w:top w:val="single" w:sz="4" w:space="0" w:color="auto"/>
              <w:left w:val="single" w:sz="4" w:space="0" w:color="auto"/>
              <w:bottom w:val="single" w:sz="4" w:space="0" w:color="auto"/>
              <w:right w:val="single" w:sz="4" w:space="0" w:color="auto"/>
            </w:tcBorders>
          </w:tcPr>
          <w:p w:rsidR="00242C36" w:rsidRPr="00E32F57" w:rsidRDefault="00242C36" w:rsidP="00242C36">
            <w:pPr>
              <w:keepNext/>
              <w:keepLines/>
              <w:pBdr>
                <w:bar w:val="single" w:sz="6" w:color="808080"/>
              </w:pBdr>
              <w:spacing w:after="120"/>
              <w:jc w:val="center"/>
              <w:outlineLvl w:val="1"/>
              <w:rPr>
                <w:rFonts w:ascii="Calibri" w:hAnsi="Calibri"/>
                <w:bCs/>
                <w:sz w:val="20"/>
                <w:szCs w:val="20"/>
              </w:rPr>
            </w:pPr>
            <w:r w:rsidRPr="00E32F57">
              <w:rPr>
                <w:rFonts w:ascii="Calibri" w:hAnsi="Calibri"/>
                <w:bCs/>
                <w:sz w:val="20"/>
                <w:szCs w:val="20"/>
              </w:rPr>
              <w:t>14 246</w:t>
            </w:r>
          </w:p>
        </w:tc>
        <w:tc>
          <w:tcPr>
            <w:tcW w:w="2096" w:type="dxa"/>
            <w:tcBorders>
              <w:top w:val="single" w:sz="4" w:space="0" w:color="auto"/>
              <w:left w:val="single" w:sz="4" w:space="0" w:color="auto"/>
              <w:bottom w:val="single" w:sz="4" w:space="0" w:color="auto"/>
              <w:right w:val="single" w:sz="4" w:space="0" w:color="auto"/>
            </w:tcBorders>
          </w:tcPr>
          <w:p w:rsidR="00242C36" w:rsidRPr="00E32F57" w:rsidRDefault="00242C36" w:rsidP="00242C36">
            <w:pPr>
              <w:keepNext/>
              <w:keepLines/>
              <w:pBdr>
                <w:bar w:val="single" w:sz="6" w:color="808080"/>
              </w:pBdr>
              <w:spacing w:after="120"/>
              <w:jc w:val="center"/>
              <w:outlineLvl w:val="1"/>
              <w:rPr>
                <w:rFonts w:ascii="Calibri" w:hAnsi="Calibri"/>
                <w:bCs/>
                <w:sz w:val="20"/>
                <w:szCs w:val="20"/>
              </w:rPr>
            </w:pPr>
            <w:r w:rsidRPr="00E32F57">
              <w:rPr>
                <w:rFonts w:ascii="Calibri" w:hAnsi="Calibri"/>
                <w:bCs/>
                <w:sz w:val="20"/>
                <w:szCs w:val="20"/>
              </w:rPr>
              <w:t>301</w:t>
            </w:r>
          </w:p>
        </w:tc>
        <w:tc>
          <w:tcPr>
            <w:tcW w:w="1278" w:type="dxa"/>
            <w:tcBorders>
              <w:top w:val="single" w:sz="4" w:space="0" w:color="auto"/>
              <w:left w:val="single" w:sz="4" w:space="0" w:color="auto"/>
              <w:bottom w:val="single" w:sz="4" w:space="0" w:color="auto"/>
              <w:right w:val="single" w:sz="4" w:space="0" w:color="auto"/>
            </w:tcBorders>
          </w:tcPr>
          <w:p w:rsidR="00242C36" w:rsidRPr="00E32F57" w:rsidRDefault="00242C36" w:rsidP="00242C36">
            <w:pPr>
              <w:keepNext/>
              <w:keepLines/>
              <w:pBdr>
                <w:bar w:val="single" w:sz="6" w:color="808080"/>
              </w:pBdr>
              <w:spacing w:after="120"/>
              <w:jc w:val="center"/>
              <w:outlineLvl w:val="1"/>
              <w:rPr>
                <w:rFonts w:ascii="Calibri" w:hAnsi="Calibri"/>
                <w:bCs/>
                <w:sz w:val="20"/>
                <w:szCs w:val="20"/>
              </w:rPr>
            </w:pPr>
            <w:r w:rsidRPr="00E32F57">
              <w:rPr>
                <w:rFonts w:ascii="Calibri" w:hAnsi="Calibri"/>
                <w:bCs/>
                <w:sz w:val="20"/>
                <w:szCs w:val="20"/>
              </w:rPr>
              <w:t>0,30</w:t>
            </w:r>
          </w:p>
        </w:tc>
      </w:tr>
      <w:tr w:rsidR="00242C36" w:rsidRPr="00E32F57" w:rsidTr="00242C36">
        <w:tc>
          <w:tcPr>
            <w:tcW w:w="3220" w:type="dxa"/>
            <w:tcBorders>
              <w:top w:val="single" w:sz="4" w:space="0" w:color="auto"/>
              <w:left w:val="single" w:sz="4" w:space="0" w:color="auto"/>
              <w:bottom w:val="single" w:sz="4" w:space="0" w:color="auto"/>
              <w:right w:val="single" w:sz="4" w:space="0" w:color="auto"/>
            </w:tcBorders>
          </w:tcPr>
          <w:p w:rsidR="00242C36" w:rsidRPr="00E32F57" w:rsidRDefault="00242C36" w:rsidP="00242C36">
            <w:pPr>
              <w:keepNext/>
              <w:keepLines/>
              <w:pBdr>
                <w:bar w:val="single" w:sz="6" w:color="808080"/>
              </w:pBdr>
              <w:spacing w:after="120"/>
              <w:outlineLvl w:val="1"/>
              <w:rPr>
                <w:rFonts w:ascii="Calibri" w:hAnsi="Calibri"/>
                <w:bCs/>
                <w:sz w:val="20"/>
                <w:szCs w:val="20"/>
              </w:rPr>
            </w:pPr>
            <w:r w:rsidRPr="00E32F57">
              <w:rPr>
                <w:rFonts w:ascii="Calibri" w:hAnsi="Calibri"/>
                <w:bCs/>
                <w:sz w:val="20"/>
                <w:szCs w:val="20"/>
              </w:rPr>
              <w:t>Národné prírodné rezervácie (NPR)</w:t>
            </w:r>
          </w:p>
        </w:tc>
        <w:tc>
          <w:tcPr>
            <w:tcW w:w="784" w:type="dxa"/>
            <w:tcBorders>
              <w:top w:val="single" w:sz="4" w:space="0" w:color="auto"/>
              <w:left w:val="single" w:sz="4" w:space="0" w:color="auto"/>
              <w:bottom w:val="single" w:sz="4" w:space="0" w:color="auto"/>
              <w:right w:val="single" w:sz="4" w:space="0" w:color="auto"/>
            </w:tcBorders>
          </w:tcPr>
          <w:p w:rsidR="00242C36" w:rsidRPr="00E32F57" w:rsidRDefault="00242C36" w:rsidP="00242C36">
            <w:pPr>
              <w:keepNext/>
              <w:keepLines/>
              <w:pBdr>
                <w:bar w:val="single" w:sz="6" w:color="808080"/>
              </w:pBdr>
              <w:spacing w:after="120"/>
              <w:jc w:val="center"/>
              <w:outlineLvl w:val="1"/>
              <w:rPr>
                <w:rFonts w:ascii="Calibri" w:hAnsi="Calibri"/>
                <w:bCs/>
                <w:sz w:val="20"/>
                <w:szCs w:val="20"/>
              </w:rPr>
            </w:pPr>
            <w:r w:rsidRPr="00E32F57">
              <w:rPr>
                <w:rFonts w:ascii="Calibri" w:hAnsi="Calibri"/>
                <w:bCs/>
                <w:sz w:val="20"/>
                <w:szCs w:val="20"/>
              </w:rPr>
              <w:t>219</w:t>
            </w:r>
          </w:p>
        </w:tc>
        <w:tc>
          <w:tcPr>
            <w:tcW w:w="1842" w:type="dxa"/>
            <w:tcBorders>
              <w:top w:val="single" w:sz="4" w:space="0" w:color="auto"/>
              <w:left w:val="single" w:sz="4" w:space="0" w:color="auto"/>
              <w:bottom w:val="single" w:sz="4" w:space="0" w:color="auto"/>
              <w:right w:val="single" w:sz="4" w:space="0" w:color="auto"/>
            </w:tcBorders>
          </w:tcPr>
          <w:p w:rsidR="00242C36" w:rsidRPr="00E32F57" w:rsidRDefault="00242C36" w:rsidP="00242C36">
            <w:pPr>
              <w:keepNext/>
              <w:keepLines/>
              <w:pBdr>
                <w:bar w:val="single" w:sz="6" w:color="808080"/>
              </w:pBdr>
              <w:spacing w:after="120"/>
              <w:jc w:val="center"/>
              <w:outlineLvl w:val="1"/>
              <w:rPr>
                <w:rFonts w:ascii="Calibri" w:hAnsi="Calibri"/>
                <w:bCs/>
                <w:sz w:val="20"/>
                <w:szCs w:val="20"/>
              </w:rPr>
            </w:pPr>
            <w:r w:rsidRPr="00E32F57">
              <w:rPr>
                <w:rFonts w:ascii="Calibri" w:hAnsi="Calibri"/>
                <w:bCs/>
                <w:sz w:val="20"/>
                <w:szCs w:val="20"/>
              </w:rPr>
              <w:t>84 189</w:t>
            </w:r>
          </w:p>
        </w:tc>
        <w:tc>
          <w:tcPr>
            <w:tcW w:w="2096" w:type="dxa"/>
            <w:tcBorders>
              <w:top w:val="single" w:sz="4" w:space="0" w:color="auto"/>
              <w:left w:val="single" w:sz="4" w:space="0" w:color="auto"/>
              <w:bottom w:val="single" w:sz="4" w:space="0" w:color="auto"/>
              <w:right w:val="single" w:sz="4" w:space="0" w:color="auto"/>
            </w:tcBorders>
          </w:tcPr>
          <w:p w:rsidR="00242C36" w:rsidRPr="00E32F57" w:rsidRDefault="00242C36" w:rsidP="00242C36">
            <w:pPr>
              <w:keepNext/>
              <w:keepLines/>
              <w:pBdr>
                <w:bar w:val="single" w:sz="6" w:color="808080"/>
              </w:pBdr>
              <w:spacing w:after="120"/>
              <w:jc w:val="center"/>
              <w:outlineLvl w:val="1"/>
              <w:rPr>
                <w:rFonts w:ascii="Calibri" w:hAnsi="Calibri"/>
                <w:bCs/>
                <w:sz w:val="20"/>
                <w:szCs w:val="20"/>
              </w:rPr>
            </w:pPr>
            <w:r w:rsidRPr="00E32F57">
              <w:rPr>
                <w:rFonts w:ascii="Calibri" w:hAnsi="Calibri"/>
                <w:bCs/>
                <w:sz w:val="20"/>
                <w:szCs w:val="20"/>
              </w:rPr>
              <w:t>2 239</w:t>
            </w:r>
          </w:p>
        </w:tc>
        <w:tc>
          <w:tcPr>
            <w:tcW w:w="1278" w:type="dxa"/>
            <w:tcBorders>
              <w:top w:val="single" w:sz="4" w:space="0" w:color="auto"/>
              <w:left w:val="single" w:sz="4" w:space="0" w:color="auto"/>
              <w:bottom w:val="single" w:sz="4" w:space="0" w:color="auto"/>
              <w:right w:val="single" w:sz="4" w:space="0" w:color="auto"/>
            </w:tcBorders>
          </w:tcPr>
          <w:p w:rsidR="00242C36" w:rsidRPr="00E32F57" w:rsidRDefault="00242C36" w:rsidP="00242C36">
            <w:pPr>
              <w:keepNext/>
              <w:keepLines/>
              <w:pBdr>
                <w:bar w:val="single" w:sz="6" w:color="808080"/>
              </w:pBdr>
              <w:spacing w:after="120"/>
              <w:jc w:val="center"/>
              <w:outlineLvl w:val="1"/>
              <w:rPr>
                <w:rFonts w:ascii="Calibri" w:hAnsi="Calibri"/>
                <w:bCs/>
                <w:sz w:val="20"/>
                <w:szCs w:val="20"/>
              </w:rPr>
            </w:pPr>
            <w:r w:rsidRPr="00E32F57">
              <w:rPr>
                <w:rFonts w:ascii="Calibri" w:hAnsi="Calibri"/>
                <w:bCs/>
                <w:sz w:val="20"/>
                <w:szCs w:val="20"/>
              </w:rPr>
              <w:t>1,76</w:t>
            </w:r>
          </w:p>
        </w:tc>
      </w:tr>
      <w:tr w:rsidR="00242C36" w:rsidRPr="00E32F57" w:rsidTr="00242C36">
        <w:tc>
          <w:tcPr>
            <w:tcW w:w="3220" w:type="dxa"/>
            <w:tcBorders>
              <w:top w:val="single" w:sz="4" w:space="0" w:color="auto"/>
              <w:left w:val="single" w:sz="4" w:space="0" w:color="auto"/>
              <w:bottom w:val="single" w:sz="4" w:space="0" w:color="auto"/>
              <w:right w:val="single" w:sz="4" w:space="0" w:color="auto"/>
            </w:tcBorders>
          </w:tcPr>
          <w:p w:rsidR="00242C36" w:rsidRPr="00E32F57" w:rsidRDefault="00242C36" w:rsidP="00242C36">
            <w:pPr>
              <w:keepNext/>
              <w:keepLines/>
              <w:pBdr>
                <w:bar w:val="single" w:sz="6" w:color="808080"/>
              </w:pBdr>
              <w:spacing w:after="120"/>
              <w:outlineLvl w:val="1"/>
              <w:rPr>
                <w:rFonts w:ascii="Calibri" w:hAnsi="Calibri"/>
                <w:bCs/>
                <w:sz w:val="20"/>
                <w:szCs w:val="20"/>
              </w:rPr>
            </w:pPr>
            <w:r w:rsidRPr="00E32F57">
              <w:rPr>
                <w:rFonts w:ascii="Calibri" w:hAnsi="Calibri"/>
                <w:bCs/>
                <w:sz w:val="20"/>
                <w:szCs w:val="20"/>
              </w:rPr>
              <w:t>Prírodné pamiatky (PP)</w:t>
            </w:r>
          </w:p>
        </w:tc>
        <w:tc>
          <w:tcPr>
            <w:tcW w:w="784" w:type="dxa"/>
            <w:tcBorders>
              <w:top w:val="single" w:sz="4" w:space="0" w:color="auto"/>
              <w:left w:val="single" w:sz="4" w:space="0" w:color="auto"/>
              <w:bottom w:val="single" w:sz="4" w:space="0" w:color="auto"/>
              <w:right w:val="single" w:sz="4" w:space="0" w:color="auto"/>
            </w:tcBorders>
          </w:tcPr>
          <w:p w:rsidR="00242C36" w:rsidRPr="00E32F57" w:rsidRDefault="00242C36" w:rsidP="00242C36">
            <w:pPr>
              <w:keepNext/>
              <w:keepLines/>
              <w:pBdr>
                <w:bar w:val="single" w:sz="6" w:color="808080"/>
              </w:pBdr>
              <w:spacing w:after="120"/>
              <w:jc w:val="center"/>
              <w:outlineLvl w:val="1"/>
              <w:rPr>
                <w:rFonts w:ascii="Calibri" w:hAnsi="Calibri"/>
                <w:bCs/>
                <w:sz w:val="20"/>
                <w:szCs w:val="20"/>
              </w:rPr>
            </w:pPr>
            <w:r w:rsidRPr="00E32F57">
              <w:rPr>
                <w:rFonts w:ascii="Calibri" w:hAnsi="Calibri"/>
                <w:bCs/>
                <w:sz w:val="20"/>
                <w:szCs w:val="20"/>
              </w:rPr>
              <w:t>260</w:t>
            </w:r>
          </w:p>
        </w:tc>
        <w:tc>
          <w:tcPr>
            <w:tcW w:w="1842" w:type="dxa"/>
            <w:tcBorders>
              <w:top w:val="single" w:sz="4" w:space="0" w:color="auto"/>
              <w:left w:val="single" w:sz="4" w:space="0" w:color="auto"/>
              <w:bottom w:val="single" w:sz="4" w:space="0" w:color="auto"/>
              <w:right w:val="single" w:sz="4" w:space="0" w:color="auto"/>
            </w:tcBorders>
          </w:tcPr>
          <w:p w:rsidR="00242C36" w:rsidRPr="00E32F57" w:rsidRDefault="00242C36" w:rsidP="00242C36">
            <w:pPr>
              <w:keepNext/>
              <w:keepLines/>
              <w:pBdr>
                <w:bar w:val="single" w:sz="6" w:color="808080"/>
              </w:pBdr>
              <w:spacing w:after="120"/>
              <w:jc w:val="center"/>
              <w:outlineLvl w:val="1"/>
              <w:rPr>
                <w:rFonts w:ascii="Calibri" w:hAnsi="Calibri"/>
                <w:bCs/>
                <w:sz w:val="20"/>
                <w:szCs w:val="20"/>
              </w:rPr>
            </w:pPr>
            <w:r w:rsidRPr="00E32F57">
              <w:rPr>
                <w:rFonts w:ascii="Calibri" w:hAnsi="Calibri"/>
                <w:bCs/>
                <w:sz w:val="20"/>
                <w:szCs w:val="20"/>
              </w:rPr>
              <w:t>1 586</w:t>
            </w:r>
          </w:p>
        </w:tc>
        <w:tc>
          <w:tcPr>
            <w:tcW w:w="2096" w:type="dxa"/>
            <w:tcBorders>
              <w:top w:val="single" w:sz="4" w:space="0" w:color="auto"/>
              <w:left w:val="single" w:sz="4" w:space="0" w:color="auto"/>
              <w:bottom w:val="single" w:sz="4" w:space="0" w:color="auto"/>
              <w:right w:val="single" w:sz="4" w:space="0" w:color="auto"/>
            </w:tcBorders>
          </w:tcPr>
          <w:p w:rsidR="00242C36" w:rsidRPr="00E32F57" w:rsidRDefault="00242C36" w:rsidP="00242C36">
            <w:pPr>
              <w:keepNext/>
              <w:keepLines/>
              <w:pBdr>
                <w:bar w:val="single" w:sz="6" w:color="808080"/>
              </w:pBdr>
              <w:spacing w:after="120"/>
              <w:jc w:val="center"/>
              <w:outlineLvl w:val="1"/>
              <w:rPr>
                <w:rFonts w:ascii="Calibri" w:hAnsi="Calibri"/>
                <w:bCs/>
                <w:sz w:val="20"/>
                <w:szCs w:val="20"/>
              </w:rPr>
            </w:pPr>
            <w:r w:rsidRPr="00E32F57">
              <w:rPr>
                <w:rFonts w:ascii="Calibri" w:hAnsi="Calibri"/>
                <w:bCs/>
                <w:sz w:val="20"/>
                <w:szCs w:val="20"/>
              </w:rPr>
              <w:t>499</w:t>
            </w:r>
          </w:p>
        </w:tc>
        <w:tc>
          <w:tcPr>
            <w:tcW w:w="1278" w:type="dxa"/>
            <w:tcBorders>
              <w:top w:val="single" w:sz="4" w:space="0" w:color="auto"/>
              <w:left w:val="single" w:sz="4" w:space="0" w:color="auto"/>
              <w:bottom w:val="single" w:sz="4" w:space="0" w:color="auto"/>
              <w:right w:val="single" w:sz="4" w:space="0" w:color="auto"/>
            </w:tcBorders>
          </w:tcPr>
          <w:p w:rsidR="00242C36" w:rsidRPr="00E32F57" w:rsidRDefault="00242C36" w:rsidP="00242C36">
            <w:pPr>
              <w:keepNext/>
              <w:keepLines/>
              <w:pBdr>
                <w:bar w:val="single" w:sz="6" w:color="808080"/>
              </w:pBdr>
              <w:spacing w:after="120"/>
              <w:jc w:val="center"/>
              <w:outlineLvl w:val="1"/>
              <w:rPr>
                <w:rFonts w:ascii="Calibri" w:hAnsi="Calibri"/>
                <w:bCs/>
                <w:sz w:val="20"/>
                <w:szCs w:val="20"/>
              </w:rPr>
            </w:pPr>
            <w:r w:rsidRPr="00E32F57">
              <w:rPr>
                <w:rFonts w:ascii="Calibri" w:hAnsi="Calibri"/>
                <w:bCs/>
                <w:sz w:val="20"/>
                <w:szCs w:val="20"/>
              </w:rPr>
              <w:t>0,05</w:t>
            </w:r>
          </w:p>
        </w:tc>
      </w:tr>
      <w:tr w:rsidR="00242C36" w:rsidRPr="00E32F57" w:rsidTr="00242C36">
        <w:tc>
          <w:tcPr>
            <w:tcW w:w="3220" w:type="dxa"/>
            <w:tcBorders>
              <w:top w:val="single" w:sz="4" w:space="0" w:color="auto"/>
              <w:left w:val="single" w:sz="4" w:space="0" w:color="auto"/>
              <w:bottom w:val="single" w:sz="4" w:space="0" w:color="auto"/>
              <w:right w:val="single" w:sz="4" w:space="0" w:color="auto"/>
            </w:tcBorders>
          </w:tcPr>
          <w:p w:rsidR="00242C36" w:rsidRPr="00E32F57" w:rsidRDefault="00242C36" w:rsidP="00242C36">
            <w:pPr>
              <w:keepNext/>
              <w:keepLines/>
              <w:pBdr>
                <w:bar w:val="single" w:sz="6" w:color="808080"/>
              </w:pBdr>
              <w:spacing w:after="120"/>
              <w:outlineLvl w:val="1"/>
              <w:rPr>
                <w:rFonts w:ascii="Calibri" w:hAnsi="Calibri"/>
                <w:bCs/>
                <w:sz w:val="20"/>
                <w:szCs w:val="20"/>
              </w:rPr>
            </w:pPr>
            <w:r w:rsidRPr="00E32F57">
              <w:rPr>
                <w:rFonts w:ascii="Calibri" w:hAnsi="Calibri"/>
                <w:bCs/>
                <w:sz w:val="20"/>
                <w:szCs w:val="20"/>
              </w:rPr>
              <w:t>Národné prírodné pamiatky (NPP)</w:t>
            </w:r>
          </w:p>
        </w:tc>
        <w:tc>
          <w:tcPr>
            <w:tcW w:w="784" w:type="dxa"/>
            <w:tcBorders>
              <w:top w:val="single" w:sz="4" w:space="0" w:color="auto"/>
              <w:left w:val="single" w:sz="4" w:space="0" w:color="auto"/>
              <w:bottom w:val="single" w:sz="4" w:space="0" w:color="auto"/>
              <w:right w:val="single" w:sz="4" w:space="0" w:color="auto"/>
            </w:tcBorders>
          </w:tcPr>
          <w:p w:rsidR="00242C36" w:rsidRPr="00E32F57" w:rsidRDefault="00242C36" w:rsidP="00242C36">
            <w:pPr>
              <w:keepNext/>
              <w:keepLines/>
              <w:pBdr>
                <w:bar w:val="single" w:sz="6" w:color="808080"/>
              </w:pBdr>
              <w:spacing w:after="120"/>
              <w:jc w:val="center"/>
              <w:outlineLvl w:val="1"/>
              <w:rPr>
                <w:rFonts w:ascii="Calibri" w:hAnsi="Calibri"/>
                <w:bCs/>
                <w:sz w:val="20"/>
                <w:szCs w:val="20"/>
              </w:rPr>
            </w:pPr>
            <w:r w:rsidRPr="00E32F57">
              <w:rPr>
                <w:rFonts w:ascii="Calibri" w:hAnsi="Calibri"/>
                <w:bCs/>
                <w:sz w:val="20"/>
                <w:szCs w:val="20"/>
              </w:rPr>
              <w:t>61</w:t>
            </w:r>
          </w:p>
        </w:tc>
        <w:tc>
          <w:tcPr>
            <w:tcW w:w="1842" w:type="dxa"/>
            <w:tcBorders>
              <w:top w:val="single" w:sz="4" w:space="0" w:color="auto"/>
              <w:left w:val="single" w:sz="4" w:space="0" w:color="auto"/>
              <w:bottom w:val="single" w:sz="4" w:space="0" w:color="auto"/>
              <w:right w:val="single" w:sz="4" w:space="0" w:color="auto"/>
            </w:tcBorders>
          </w:tcPr>
          <w:p w:rsidR="00242C36" w:rsidRPr="00E32F57" w:rsidRDefault="00242C36" w:rsidP="00242C36">
            <w:pPr>
              <w:keepNext/>
              <w:keepLines/>
              <w:pBdr>
                <w:bar w:val="single" w:sz="6" w:color="808080"/>
              </w:pBdr>
              <w:spacing w:after="120"/>
              <w:jc w:val="center"/>
              <w:outlineLvl w:val="1"/>
              <w:rPr>
                <w:rFonts w:ascii="Calibri" w:hAnsi="Calibri"/>
                <w:bCs/>
                <w:sz w:val="20"/>
                <w:szCs w:val="20"/>
              </w:rPr>
            </w:pPr>
            <w:r w:rsidRPr="00E32F57">
              <w:rPr>
                <w:rFonts w:ascii="Calibri" w:hAnsi="Calibri"/>
                <w:bCs/>
                <w:sz w:val="20"/>
                <w:szCs w:val="20"/>
              </w:rPr>
              <w:t>59</w:t>
            </w:r>
          </w:p>
        </w:tc>
        <w:tc>
          <w:tcPr>
            <w:tcW w:w="2096" w:type="dxa"/>
            <w:tcBorders>
              <w:top w:val="single" w:sz="4" w:space="0" w:color="auto"/>
              <w:left w:val="single" w:sz="4" w:space="0" w:color="auto"/>
              <w:bottom w:val="single" w:sz="4" w:space="0" w:color="auto"/>
              <w:right w:val="single" w:sz="4" w:space="0" w:color="auto"/>
            </w:tcBorders>
          </w:tcPr>
          <w:p w:rsidR="00242C36" w:rsidRPr="00E32F57" w:rsidRDefault="00242C36" w:rsidP="00242C36">
            <w:pPr>
              <w:keepNext/>
              <w:keepLines/>
              <w:pBdr>
                <w:bar w:val="single" w:sz="6" w:color="808080"/>
              </w:pBdr>
              <w:spacing w:after="120"/>
              <w:jc w:val="center"/>
              <w:outlineLvl w:val="1"/>
              <w:rPr>
                <w:rFonts w:ascii="Calibri" w:hAnsi="Calibri"/>
                <w:bCs/>
                <w:sz w:val="20"/>
                <w:szCs w:val="20"/>
              </w:rPr>
            </w:pPr>
            <w:r w:rsidRPr="00E32F57">
              <w:rPr>
                <w:rFonts w:ascii="Calibri" w:hAnsi="Calibri"/>
                <w:bCs/>
                <w:sz w:val="20"/>
                <w:szCs w:val="20"/>
              </w:rPr>
              <w:t>3 082</w:t>
            </w:r>
          </w:p>
        </w:tc>
        <w:tc>
          <w:tcPr>
            <w:tcW w:w="1278" w:type="dxa"/>
            <w:tcBorders>
              <w:top w:val="single" w:sz="4" w:space="0" w:color="auto"/>
              <w:left w:val="single" w:sz="4" w:space="0" w:color="auto"/>
              <w:bottom w:val="single" w:sz="4" w:space="0" w:color="auto"/>
              <w:right w:val="single" w:sz="4" w:space="0" w:color="auto"/>
            </w:tcBorders>
          </w:tcPr>
          <w:p w:rsidR="00242C36" w:rsidRPr="00E32F57" w:rsidRDefault="00242C36" w:rsidP="00242C36">
            <w:pPr>
              <w:keepNext/>
              <w:keepLines/>
              <w:pBdr>
                <w:bar w:val="single" w:sz="6" w:color="808080"/>
              </w:pBdr>
              <w:spacing w:after="120"/>
              <w:jc w:val="center"/>
              <w:outlineLvl w:val="1"/>
              <w:rPr>
                <w:rFonts w:ascii="Calibri" w:hAnsi="Calibri"/>
                <w:bCs/>
                <w:sz w:val="20"/>
                <w:szCs w:val="20"/>
              </w:rPr>
            </w:pPr>
            <w:r w:rsidRPr="00E32F57">
              <w:rPr>
                <w:rFonts w:ascii="Calibri" w:hAnsi="Calibri"/>
                <w:bCs/>
                <w:sz w:val="20"/>
                <w:szCs w:val="20"/>
              </w:rPr>
              <w:t>0,06</w:t>
            </w:r>
          </w:p>
        </w:tc>
      </w:tr>
      <w:tr w:rsidR="00242C36" w:rsidRPr="00E32F57" w:rsidTr="00242C36">
        <w:tc>
          <w:tcPr>
            <w:tcW w:w="3220" w:type="dxa"/>
            <w:tcBorders>
              <w:top w:val="single" w:sz="4" w:space="0" w:color="auto"/>
              <w:left w:val="single" w:sz="4" w:space="0" w:color="auto"/>
              <w:bottom w:val="single" w:sz="4" w:space="0" w:color="auto"/>
              <w:right w:val="single" w:sz="4" w:space="0" w:color="auto"/>
            </w:tcBorders>
            <w:vAlign w:val="center"/>
          </w:tcPr>
          <w:p w:rsidR="00242C36" w:rsidRPr="00E32F57" w:rsidRDefault="00242C36" w:rsidP="00242C36">
            <w:pPr>
              <w:keepNext/>
              <w:keepLines/>
              <w:pBdr>
                <w:bar w:val="single" w:sz="6" w:color="808080"/>
              </w:pBdr>
              <w:spacing w:after="120"/>
              <w:outlineLvl w:val="1"/>
              <w:rPr>
                <w:rFonts w:ascii="Calibri" w:hAnsi="Calibri"/>
                <w:bCs/>
                <w:sz w:val="20"/>
                <w:szCs w:val="20"/>
              </w:rPr>
            </w:pPr>
            <w:r w:rsidRPr="00E32F57">
              <w:rPr>
                <w:rFonts w:ascii="Calibri" w:hAnsi="Calibri"/>
                <w:bCs/>
                <w:sz w:val="20"/>
                <w:szCs w:val="20"/>
              </w:rPr>
              <w:t>Chránené krajinné prvky (CHKP)</w:t>
            </w:r>
          </w:p>
        </w:tc>
        <w:tc>
          <w:tcPr>
            <w:tcW w:w="784" w:type="dxa"/>
            <w:tcBorders>
              <w:top w:val="single" w:sz="4" w:space="0" w:color="auto"/>
              <w:left w:val="single" w:sz="4" w:space="0" w:color="auto"/>
              <w:bottom w:val="single" w:sz="4" w:space="0" w:color="auto"/>
              <w:right w:val="single" w:sz="4" w:space="0" w:color="auto"/>
            </w:tcBorders>
            <w:vAlign w:val="center"/>
          </w:tcPr>
          <w:p w:rsidR="00242C36" w:rsidRPr="00E32F57" w:rsidRDefault="00242C36" w:rsidP="00242C36">
            <w:pPr>
              <w:keepNext/>
              <w:keepLines/>
              <w:pBdr>
                <w:bar w:val="single" w:sz="6" w:color="808080"/>
              </w:pBdr>
              <w:spacing w:after="120"/>
              <w:jc w:val="center"/>
              <w:outlineLvl w:val="1"/>
              <w:rPr>
                <w:rFonts w:ascii="Calibri" w:hAnsi="Calibri"/>
                <w:bCs/>
                <w:sz w:val="20"/>
                <w:szCs w:val="20"/>
              </w:rPr>
            </w:pPr>
            <w:r w:rsidRPr="00E32F57">
              <w:rPr>
                <w:rFonts w:ascii="Calibri" w:hAnsi="Calibri"/>
                <w:bCs/>
                <w:sz w:val="20"/>
                <w:szCs w:val="20"/>
              </w:rPr>
              <w:t>1</w:t>
            </w:r>
          </w:p>
        </w:tc>
        <w:tc>
          <w:tcPr>
            <w:tcW w:w="1842" w:type="dxa"/>
            <w:tcBorders>
              <w:top w:val="single" w:sz="4" w:space="0" w:color="auto"/>
              <w:left w:val="single" w:sz="4" w:space="0" w:color="auto"/>
              <w:bottom w:val="single" w:sz="4" w:space="0" w:color="auto"/>
              <w:right w:val="single" w:sz="4" w:space="0" w:color="auto"/>
            </w:tcBorders>
            <w:vAlign w:val="center"/>
          </w:tcPr>
          <w:p w:rsidR="00242C36" w:rsidRPr="00E32F57" w:rsidRDefault="00242C36" w:rsidP="00242C36">
            <w:pPr>
              <w:keepNext/>
              <w:keepLines/>
              <w:pBdr>
                <w:bar w:val="single" w:sz="6" w:color="808080"/>
              </w:pBdr>
              <w:spacing w:after="120"/>
              <w:jc w:val="center"/>
              <w:outlineLvl w:val="1"/>
              <w:rPr>
                <w:rFonts w:ascii="Calibri" w:hAnsi="Calibri"/>
                <w:bCs/>
                <w:sz w:val="20"/>
                <w:szCs w:val="20"/>
              </w:rPr>
            </w:pPr>
            <w:r w:rsidRPr="00E32F57">
              <w:rPr>
                <w:rFonts w:ascii="Calibri" w:hAnsi="Calibri"/>
                <w:bCs/>
                <w:sz w:val="20"/>
                <w:szCs w:val="20"/>
              </w:rPr>
              <w:t>3</w:t>
            </w:r>
          </w:p>
        </w:tc>
        <w:tc>
          <w:tcPr>
            <w:tcW w:w="2096" w:type="dxa"/>
            <w:tcBorders>
              <w:top w:val="single" w:sz="4" w:space="0" w:color="auto"/>
              <w:left w:val="single" w:sz="4" w:space="0" w:color="auto"/>
              <w:bottom w:val="single" w:sz="4" w:space="0" w:color="auto"/>
              <w:right w:val="single" w:sz="4" w:space="0" w:color="auto"/>
            </w:tcBorders>
            <w:vAlign w:val="center"/>
          </w:tcPr>
          <w:p w:rsidR="00242C36" w:rsidRPr="00E32F57" w:rsidRDefault="00242C36" w:rsidP="00242C36">
            <w:pPr>
              <w:keepNext/>
              <w:keepLines/>
              <w:pBdr>
                <w:bar w:val="single" w:sz="6" w:color="808080"/>
              </w:pBdr>
              <w:spacing w:after="120"/>
              <w:jc w:val="center"/>
              <w:outlineLvl w:val="1"/>
              <w:rPr>
                <w:rFonts w:ascii="Calibri" w:hAnsi="Calibri"/>
                <w:bCs/>
                <w:sz w:val="20"/>
                <w:szCs w:val="20"/>
              </w:rPr>
            </w:pPr>
            <w:r w:rsidRPr="00E32F57">
              <w:rPr>
                <w:rFonts w:ascii="Calibri" w:hAnsi="Calibri"/>
                <w:bCs/>
                <w:sz w:val="20"/>
                <w:szCs w:val="20"/>
              </w:rPr>
              <w:t>-</w:t>
            </w:r>
          </w:p>
        </w:tc>
        <w:tc>
          <w:tcPr>
            <w:tcW w:w="1278" w:type="dxa"/>
            <w:tcBorders>
              <w:top w:val="single" w:sz="4" w:space="0" w:color="auto"/>
              <w:left w:val="single" w:sz="4" w:space="0" w:color="auto"/>
              <w:bottom w:val="single" w:sz="4" w:space="0" w:color="auto"/>
              <w:right w:val="single" w:sz="4" w:space="0" w:color="auto"/>
            </w:tcBorders>
            <w:vAlign w:val="center"/>
          </w:tcPr>
          <w:p w:rsidR="00242C36" w:rsidRPr="00E32F57" w:rsidRDefault="00242C36" w:rsidP="00242C36">
            <w:pPr>
              <w:keepNext/>
              <w:keepLines/>
              <w:pBdr>
                <w:bar w:val="single" w:sz="6" w:color="808080"/>
              </w:pBdr>
              <w:spacing w:after="120"/>
              <w:jc w:val="center"/>
              <w:outlineLvl w:val="1"/>
              <w:rPr>
                <w:rFonts w:ascii="Calibri" w:hAnsi="Calibri"/>
                <w:bCs/>
                <w:sz w:val="20"/>
                <w:szCs w:val="20"/>
              </w:rPr>
            </w:pPr>
            <w:r w:rsidRPr="00E32F57">
              <w:rPr>
                <w:rFonts w:ascii="Calibri" w:hAnsi="Calibri"/>
                <w:bCs/>
                <w:sz w:val="20"/>
                <w:szCs w:val="20"/>
              </w:rPr>
              <w:t>0,00</w:t>
            </w:r>
          </w:p>
        </w:tc>
      </w:tr>
      <w:tr w:rsidR="00242C36" w:rsidRPr="00E32F57" w:rsidTr="00242C36">
        <w:tc>
          <w:tcPr>
            <w:tcW w:w="3220" w:type="dxa"/>
            <w:tcBorders>
              <w:top w:val="single" w:sz="4" w:space="0" w:color="auto"/>
              <w:left w:val="single" w:sz="4" w:space="0" w:color="auto"/>
              <w:bottom w:val="single" w:sz="4" w:space="0" w:color="auto"/>
              <w:right w:val="single" w:sz="4" w:space="0" w:color="auto"/>
            </w:tcBorders>
            <w:vAlign w:val="center"/>
          </w:tcPr>
          <w:p w:rsidR="00242C36" w:rsidRPr="00E32F57" w:rsidRDefault="00242C36" w:rsidP="00242C36">
            <w:pPr>
              <w:keepNext/>
              <w:keepLines/>
              <w:pBdr>
                <w:bar w:val="single" w:sz="6" w:color="808080"/>
              </w:pBdr>
              <w:spacing w:after="120"/>
              <w:outlineLvl w:val="1"/>
              <w:rPr>
                <w:rFonts w:ascii="Calibri" w:hAnsi="Calibri"/>
                <w:bCs/>
                <w:sz w:val="20"/>
                <w:szCs w:val="20"/>
              </w:rPr>
            </w:pPr>
            <w:r w:rsidRPr="00E32F57">
              <w:rPr>
                <w:rFonts w:ascii="Calibri" w:hAnsi="Calibri"/>
                <w:bCs/>
                <w:sz w:val="20"/>
                <w:szCs w:val="20"/>
              </w:rPr>
              <w:t>Spolu</w:t>
            </w:r>
          </w:p>
        </w:tc>
        <w:tc>
          <w:tcPr>
            <w:tcW w:w="784" w:type="dxa"/>
            <w:tcBorders>
              <w:top w:val="single" w:sz="4" w:space="0" w:color="auto"/>
              <w:left w:val="single" w:sz="4" w:space="0" w:color="auto"/>
              <w:bottom w:val="single" w:sz="4" w:space="0" w:color="auto"/>
              <w:right w:val="single" w:sz="4" w:space="0" w:color="auto"/>
            </w:tcBorders>
            <w:vAlign w:val="center"/>
          </w:tcPr>
          <w:p w:rsidR="00242C36" w:rsidRPr="00E32F57" w:rsidRDefault="00242C36" w:rsidP="00242C36">
            <w:pPr>
              <w:keepNext/>
              <w:keepLines/>
              <w:pBdr>
                <w:bar w:val="single" w:sz="6" w:color="808080"/>
              </w:pBdr>
              <w:spacing w:after="120"/>
              <w:jc w:val="center"/>
              <w:outlineLvl w:val="1"/>
              <w:rPr>
                <w:rFonts w:ascii="Calibri" w:hAnsi="Calibri"/>
                <w:bCs/>
                <w:sz w:val="20"/>
                <w:szCs w:val="20"/>
              </w:rPr>
            </w:pPr>
            <w:r w:rsidRPr="00E32F57">
              <w:rPr>
                <w:rFonts w:ascii="Calibri" w:hAnsi="Calibri"/>
                <w:bCs/>
                <w:sz w:val="20"/>
                <w:szCs w:val="20"/>
              </w:rPr>
              <w:t>1 129</w:t>
            </w:r>
          </w:p>
        </w:tc>
        <w:tc>
          <w:tcPr>
            <w:tcW w:w="1842" w:type="dxa"/>
            <w:tcBorders>
              <w:top w:val="single" w:sz="4" w:space="0" w:color="auto"/>
              <w:left w:val="single" w:sz="4" w:space="0" w:color="auto"/>
              <w:bottom w:val="single" w:sz="4" w:space="0" w:color="auto"/>
              <w:right w:val="single" w:sz="4" w:space="0" w:color="auto"/>
            </w:tcBorders>
            <w:vAlign w:val="center"/>
          </w:tcPr>
          <w:p w:rsidR="00242C36" w:rsidRPr="00E32F57" w:rsidRDefault="00242C36" w:rsidP="00242C36">
            <w:pPr>
              <w:keepNext/>
              <w:keepLines/>
              <w:pBdr>
                <w:bar w:val="single" w:sz="6" w:color="808080"/>
              </w:pBdr>
              <w:spacing w:after="120"/>
              <w:jc w:val="center"/>
              <w:outlineLvl w:val="1"/>
              <w:rPr>
                <w:rFonts w:ascii="Calibri" w:hAnsi="Calibri"/>
                <w:bCs/>
                <w:sz w:val="20"/>
                <w:szCs w:val="20"/>
              </w:rPr>
            </w:pPr>
            <w:r w:rsidRPr="00E32F57">
              <w:rPr>
                <w:rFonts w:ascii="Calibri" w:hAnsi="Calibri"/>
                <w:bCs/>
                <w:sz w:val="20"/>
                <w:szCs w:val="20"/>
              </w:rPr>
              <w:t>951 575</w:t>
            </w:r>
          </w:p>
        </w:tc>
        <w:tc>
          <w:tcPr>
            <w:tcW w:w="2096" w:type="dxa"/>
            <w:tcBorders>
              <w:top w:val="single" w:sz="4" w:space="0" w:color="auto"/>
              <w:left w:val="single" w:sz="4" w:space="0" w:color="auto"/>
              <w:bottom w:val="single" w:sz="4" w:space="0" w:color="auto"/>
              <w:right w:val="single" w:sz="4" w:space="0" w:color="auto"/>
            </w:tcBorders>
            <w:vAlign w:val="center"/>
          </w:tcPr>
          <w:p w:rsidR="00242C36" w:rsidRPr="00E32F57" w:rsidRDefault="00242C36" w:rsidP="00242C36">
            <w:pPr>
              <w:keepNext/>
              <w:keepLines/>
              <w:pBdr>
                <w:bar w:val="single" w:sz="6" w:color="808080"/>
              </w:pBdr>
              <w:spacing w:after="120"/>
              <w:jc w:val="center"/>
              <w:outlineLvl w:val="1"/>
              <w:rPr>
                <w:rFonts w:ascii="Calibri" w:hAnsi="Calibri"/>
                <w:bCs/>
                <w:sz w:val="20"/>
                <w:szCs w:val="20"/>
              </w:rPr>
            </w:pPr>
            <w:r w:rsidRPr="00E32F57">
              <w:rPr>
                <w:rFonts w:ascii="Calibri" w:hAnsi="Calibri"/>
                <w:bCs/>
                <w:sz w:val="20"/>
                <w:szCs w:val="20"/>
              </w:rPr>
              <w:t>278 674</w:t>
            </w:r>
          </w:p>
        </w:tc>
        <w:tc>
          <w:tcPr>
            <w:tcW w:w="1278" w:type="dxa"/>
            <w:tcBorders>
              <w:top w:val="single" w:sz="4" w:space="0" w:color="auto"/>
              <w:left w:val="single" w:sz="4" w:space="0" w:color="auto"/>
              <w:bottom w:val="single" w:sz="4" w:space="0" w:color="auto"/>
              <w:right w:val="single" w:sz="4" w:space="0" w:color="auto"/>
            </w:tcBorders>
            <w:vAlign w:val="center"/>
          </w:tcPr>
          <w:p w:rsidR="00242C36" w:rsidRPr="00E32F57" w:rsidRDefault="00242C36" w:rsidP="00242C36">
            <w:pPr>
              <w:keepNext/>
              <w:keepLines/>
              <w:pBdr>
                <w:bar w:val="single" w:sz="6" w:color="808080"/>
              </w:pBdr>
              <w:spacing w:after="120"/>
              <w:jc w:val="center"/>
              <w:outlineLvl w:val="1"/>
              <w:rPr>
                <w:rFonts w:ascii="Calibri" w:hAnsi="Calibri"/>
                <w:bCs/>
                <w:sz w:val="20"/>
                <w:szCs w:val="20"/>
              </w:rPr>
            </w:pPr>
            <w:r w:rsidRPr="00E32F57">
              <w:rPr>
                <w:rFonts w:ascii="Calibri" w:hAnsi="Calibri"/>
                <w:bCs/>
                <w:sz w:val="20"/>
                <w:szCs w:val="20"/>
              </w:rPr>
              <w:t>25,09</w:t>
            </w:r>
          </w:p>
        </w:tc>
      </w:tr>
    </w:tbl>
    <w:p w:rsidR="00242C36" w:rsidRPr="00E32F57" w:rsidRDefault="00242C36" w:rsidP="00242C36">
      <w:pPr>
        <w:keepNext/>
        <w:keepLines/>
        <w:pBdr>
          <w:bar w:val="single" w:sz="6" w:color="808080"/>
        </w:pBdr>
        <w:spacing w:after="120"/>
        <w:outlineLvl w:val="1"/>
        <w:rPr>
          <w:rFonts w:ascii="Calibri" w:hAnsi="Calibri"/>
          <w:bCs/>
          <w:iCs/>
          <w:sz w:val="20"/>
          <w:szCs w:val="22"/>
        </w:rPr>
      </w:pPr>
      <w:r w:rsidRPr="00E32F57">
        <w:rPr>
          <w:rFonts w:ascii="Calibri" w:hAnsi="Calibri"/>
          <w:bCs/>
          <w:iCs/>
          <w:sz w:val="20"/>
          <w:szCs w:val="22"/>
        </w:rPr>
        <w:t>Zdroj:  Správa o stave životného prostredia SR v roku 2012 (MŽP SR)</w:t>
      </w:r>
    </w:p>
    <w:p w:rsidR="00242C36" w:rsidRPr="00E32F57" w:rsidRDefault="00242C36" w:rsidP="00242C36">
      <w:pPr>
        <w:keepNext/>
        <w:keepLines/>
        <w:pBdr>
          <w:bar w:val="single" w:sz="6" w:color="808080"/>
        </w:pBdr>
        <w:spacing w:after="120"/>
        <w:outlineLvl w:val="1"/>
        <w:rPr>
          <w:rFonts w:ascii="Calibri" w:hAnsi="Calibri"/>
          <w:b/>
          <w:bCs/>
          <w:szCs w:val="22"/>
        </w:rPr>
      </w:pPr>
    </w:p>
    <w:p w:rsidR="00242C36" w:rsidRPr="00E32F57" w:rsidRDefault="00E32F57" w:rsidP="00242C36">
      <w:pPr>
        <w:keepNext/>
        <w:keepLines/>
        <w:pBdr>
          <w:bar w:val="single" w:sz="6" w:color="808080"/>
        </w:pBdr>
        <w:spacing w:after="120"/>
        <w:outlineLvl w:val="1"/>
        <w:rPr>
          <w:rFonts w:ascii="Calibri" w:hAnsi="Calibri"/>
          <w:b/>
          <w:bCs/>
          <w:szCs w:val="22"/>
        </w:rPr>
      </w:pPr>
      <w:r>
        <w:rPr>
          <w:rFonts w:ascii="Calibri" w:hAnsi="Calibri"/>
          <w:b/>
          <w:bCs/>
          <w:szCs w:val="22"/>
        </w:rPr>
        <w:t xml:space="preserve">Tabuľka 49: </w:t>
      </w:r>
      <w:r w:rsidR="00242C36" w:rsidRPr="00E32F57">
        <w:rPr>
          <w:rFonts w:ascii="Calibri" w:hAnsi="Calibri"/>
          <w:b/>
          <w:bCs/>
          <w:szCs w:val="22"/>
        </w:rPr>
        <w:t>Poľnohospodárska pôda (PP) a lesné pozemky (LP) v chránených územiach</w:t>
      </w:r>
    </w:p>
    <w:tbl>
      <w:tblPr>
        <w:tblW w:w="9180"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1080"/>
        <w:gridCol w:w="2880"/>
        <w:gridCol w:w="900"/>
        <w:gridCol w:w="3420"/>
        <w:gridCol w:w="900"/>
      </w:tblGrid>
      <w:tr w:rsidR="00242C36" w:rsidRPr="00E32F57" w:rsidTr="00242C36">
        <w:trPr>
          <w:trHeight w:val="315"/>
        </w:trPr>
        <w:tc>
          <w:tcPr>
            <w:tcW w:w="1080" w:type="dxa"/>
            <w:tcBorders>
              <w:top w:val="single" w:sz="4" w:space="0" w:color="auto"/>
              <w:left w:val="single" w:sz="4" w:space="0" w:color="auto"/>
              <w:bottom w:val="single" w:sz="4" w:space="0" w:color="auto"/>
              <w:right w:val="single" w:sz="4" w:space="0" w:color="auto"/>
            </w:tcBorders>
            <w:vAlign w:val="center"/>
          </w:tcPr>
          <w:p w:rsidR="00242C36" w:rsidRPr="00E32F57" w:rsidRDefault="00242C36" w:rsidP="00242C36">
            <w:pPr>
              <w:keepNext/>
              <w:keepLines/>
              <w:pBdr>
                <w:bar w:val="single" w:sz="6" w:color="808080"/>
              </w:pBdr>
              <w:spacing w:after="120"/>
              <w:outlineLvl w:val="1"/>
              <w:rPr>
                <w:rFonts w:ascii="Calibri" w:hAnsi="Calibri"/>
                <w:b/>
                <w:bCs/>
                <w:sz w:val="20"/>
                <w:szCs w:val="20"/>
              </w:rPr>
            </w:pPr>
          </w:p>
        </w:tc>
        <w:tc>
          <w:tcPr>
            <w:tcW w:w="2880" w:type="dxa"/>
            <w:tcBorders>
              <w:top w:val="single" w:sz="4" w:space="0" w:color="auto"/>
              <w:left w:val="single" w:sz="4" w:space="0" w:color="auto"/>
              <w:bottom w:val="single" w:sz="4" w:space="0" w:color="auto"/>
              <w:right w:val="single" w:sz="4" w:space="0" w:color="auto"/>
            </w:tcBorders>
            <w:vAlign w:val="center"/>
          </w:tcPr>
          <w:p w:rsidR="00242C36" w:rsidRPr="00E32F57" w:rsidRDefault="00242C36" w:rsidP="00242C36">
            <w:pPr>
              <w:keepNext/>
              <w:keepLines/>
              <w:pBdr>
                <w:bar w:val="single" w:sz="6" w:color="808080"/>
              </w:pBdr>
              <w:spacing w:after="120"/>
              <w:outlineLvl w:val="1"/>
              <w:rPr>
                <w:rFonts w:ascii="Calibri" w:hAnsi="Calibri"/>
                <w:b/>
                <w:bCs/>
                <w:sz w:val="20"/>
                <w:szCs w:val="20"/>
              </w:rPr>
            </w:pPr>
            <w:r w:rsidRPr="00E32F57">
              <w:rPr>
                <w:rFonts w:ascii="Calibri" w:hAnsi="Calibri"/>
                <w:b/>
                <w:bCs/>
                <w:sz w:val="20"/>
                <w:szCs w:val="20"/>
              </w:rPr>
              <w:t>Výmera PP v CHÚ (ha)</w:t>
            </w:r>
          </w:p>
        </w:tc>
        <w:tc>
          <w:tcPr>
            <w:tcW w:w="900" w:type="dxa"/>
            <w:tcBorders>
              <w:top w:val="single" w:sz="4" w:space="0" w:color="auto"/>
              <w:left w:val="single" w:sz="4" w:space="0" w:color="auto"/>
              <w:bottom w:val="single" w:sz="4" w:space="0" w:color="auto"/>
              <w:right w:val="single" w:sz="4" w:space="0" w:color="auto"/>
            </w:tcBorders>
            <w:vAlign w:val="center"/>
          </w:tcPr>
          <w:p w:rsidR="00242C36" w:rsidRPr="00E32F57" w:rsidRDefault="00242C36" w:rsidP="00242C36">
            <w:pPr>
              <w:keepNext/>
              <w:keepLines/>
              <w:pBdr>
                <w:bar w:val="single" w:sz="6" w:color="808080"/>
              </w:pBdr>
              <w:spacing w:after="120"/>
              <w:outlineLvl w:val="1"/>
              <w:rPr>
                <w:rFonts w:ascii="Calibri" w:hAnsi="Calibri"/>
                <w:b/>
                <w:bCs/>
                <w:sz w:val="20"/>
                <w:szCs w:val="20"/>
              </w:rPr>
            </w:pPr>
            <w:r w:rsidRPr="00E32F57">
              <w:rPr>
                <w:rFonts w:ascii="Calibri" w:hAnsi="Calibri"/>
                <w:b/>
                <w:bCs/>
                <w:sz w:val="20"/>
                <w:szCs w:val="20"/>
              </w:rPr>
              <w:t>%</w:t>
            </w:r>
          </w:p>
        </w:tc>
        <w:tc>
          <w:tcPr>
            <w:tcW w:w="3420" w:type="dxa"/>
            <w:tcBorders>
              <w:top w:val="single" w:sz="4" w:space="0" w:color="auto"/>
              <w:left w:val="single" w:sz="4" w:space="0" w:color="auto"/>
              <w:bottom w:val="single" w:sz="4" w:space="0" w:color="auto"/>
              <w:right w:val="single" w:sz="4" w:space="0" w:color="auto"/>
            </w:tcBorders>
            <w:vAlign w:val="center"/>
          </w:tcPr>
          <w:p w:rsidR="00242C36" w:rsidRPr="00E32F57" w:rsidRDefault="00242C36" w:rsidP="00242C36">
            <w:pPr>
              <w:keepNext/>
              <w:keepLines/>
              <w:pBdr>
                <w:bar w:val="single" w:sz="6" w:color="808080"/>
              </w:pBdr>
              <w:spacing w:after="120"/>
              <w:outlineLvl w:val="1"/>
              <w:rPr>
                <w:rFonts w:ascii="Calibri" w:hAnsi="Calibri"/>
                <w:b/>
                <w:bCs/>
                <w:sz w:val="20"/>
                <w:szCs w:val="20"/>
              </w:rPr>
            </w:pPr>
            <w:r w:rsidRPr="00E32F57">
              <w:rPr>
                <w:rFonts w:ascii="Calibri" w:hAnsi="Calibri"/>
                <w:b/>
                <w:bCs/>
                <w:sz w:val="20"/>
                <w:szCs w:val="20"/>
              </w:rPr>
              <w:t>Výmera LP v CHÚ (ha)</w:t>
            </w:r>
          </w:p>
        </w:tc>
        <w:tc>
          <w:tcPr>
            <w:tcW w:w="900" w:type="dxa"/>
            <w:tcBorders>
              <w:top w:val="single" w:sz="4" w:space="0" w:color="auto"/>
              <w:left w:val="single" w:sz="4" w:space="0" w:color="auto"/>
              <w:bottom w:val="single" w:sz="4" w:space="0" w:color="auto"/>
              <w:right w:val="single" w:sz="4" w:space="0" w:color="auto"/>
            </w:tcBorders>
            <w:vAlign w:val="center"/>
          </w:tcPr>
          <w:p w:rsidR="00242C36" w:rsidRPr="00E32F57" w:rsidRDefault="00242C36" w:rsidP="00242C36">
            <w:pPr>
              <w:keepNext/>
              <w:keepLines/>
              <w:pBdr>
                <w:bar w:val="single" w:sz="6" w:color="808080"/>
              </w:pBdr>
              <w:spacing w:after="120"/>
              <w:outlineLvl w:val="1"/>
              <w:rPr>
                <w:rFonts w:ascii="Calibri" w:hAnsi="Calibri"/>
                <w:b/>
                <w:bCs/>
                <w:sz w:val="20"/>
                <w:szCs w:val="20"/>
              </w:rPr>
            </w:pPr>
            <w:r w:rsidRPr="00E32F57">
              <w:rPr>
                <w:rFonts w:ascii="Calibri" w:hAnsi="Calibri"/>
                <w:b/>
                <w:bCs/>
                <w:sz w:val="20"/>
                <w:szCs w:val="20"/>
              </w:rPr>
              <w:t>%</w:t>
            </w:r>
          </w:p>
        </w:tc>
      </w:tr>
      <w:tr w:rsidR="00242C36" w:rsidRPr="00C23A67" w:rsidTr="00242C36">
        <w:trPr>
          <w:trHeight w:val="210"/>
        </w:trPr>
        <w:tc>
          <w:tcPr>
            <w:tcW w:w="1080" w:type="dxa"/>
            <w:tcBorders>
              <w:top w:val="single" w:sz="4" w:space="0" w:color="auto"/>
              <w:left w:val="single" w:sz="4" w:space="0" w:color="auto"/>
              <w:bottom w:val="single" w:sz="4" w:space="0" w:color="auto"/>
              <w:right w:val="single" w:sz="4" w:space="0" w:color="auto"/>
            </w:tcBorders>
            <w:vAlign w:val="center"/>
          </w:tcPr>
          <w:p w:rsidR="00242C36" w:rsidRPr="00C23A67" w:rsidRDefault="00242C36" w:rsidP="00242C36">
            <w:pPr>
              <w:keepNext/>
              <w:keepLines/>
              <w:pBdr>
                <w:bar w:val="single" w:sz="6" w:color="808080"/>
              </w:pBdr>
              <w:spacing w:after="120"/>
              <w:outlineLvl w:val="1"/>
              <w:rPr>
                <w:rFonts w:ascii="Calibri" w:hAnsi="Calibri"/>
                <w:b/>
                <w:bCs/>
                <w:sz w:val="20"/>
                <w:szCs w:val="20"/>
                <w:lang w:val="en-GB"/>
              </w:rPr>
            </w:pPr>
            <w:r w:rsidRPr="00C23A67">
              <w:rPr>
                <w:rFonts w:ascii="Calibri" w:hAnsi="Calibri"/>
                <w:b/>
                <w:bCs/>
                <w:sz w:val="20"/>
                <w:szCs w:val="20"/>
                <w:lang w:val="en-GB"/>
              </w:rPr>
              <w:t>2012</w:t>
            </w:r>
          </w:p>
        </w:tc>
        <w:tc>
          <w:tcPr>
            <w:tcW w:w="2880" w:type="dxa"/>
            <w:tcBorders>
              <w:top w:val="single" w:sz="4" w:space="0" w:color="auto"/>
              <w:left w:val="single" w:sz="4" w:space="0" w:color="auto"/>
              <w:bottom w:val="single" w:sz="4" w:space="0" w:color="auto"/>
              <w:right w:val="single" w:sz="4" w:space="0" w:color="auto"/>
            </w:tcBorders>
            <w:vAlign w:val="center"/>
          </w:tcPr>
          <w:p w:rsidR="00242C36" w:rsidRPr="00C23A67" w:rsidRDefault="00242C36" w:rsidP="00242C36">
            <w:pPr>
              <w:keepNext/>
              <w:keepLines/>
              <w:pBdr>
                <w:bar w:val="single" w:sz="6" w:color="808080"/>
              </w:pBdr>
              <w:spacing w:after="120"/>
              <w:outlineLvl w:val="1"/>
              <w:rPr>
                <w:rFonts w:ascii="Calibri" w:hAnsi="Calibri"/>
                <w:b/>
                <w:bCs/>
                <w:sz w:val="20"/>
                <w:szCs w:val="20"/>
                <w:lang w:val="en-GB"/>
              </w:rPr>
            </w:pPr>
            <w:r w:rsidRPr="00C23A67">
              <w:rPr>
                <w:rFonts w:ascii="Calibri" w:hAnsi="Calibri"/>
                <w:b/>
                <w:bCs/>
                <w:sz w:val="20"/>
                <w:szCs w:val="20"/>
                <w:lang w:val="en-GB"/>
              </w:rPr>
              <w:t>187 190</w:t>
            </w:r>
          </w:p>
        </w:tc>
        <w:tc>
          <w:tcPr>
            <w:tcW w:w="900" w:type="dxa"/>
            <w:tcBorders>
              <w:top w:val="single" w:sz="4" w:space="0" w:color="auto"/>
              <w:left w:val="single" w:sz="4" w:space="0" w:color="auto"/>
              <w:bottom w:val="single" w:sz="4" w:space="0" w:color="auto"/>
              <w:right w:val="single" w:sz="4" w:space="0" w:color="auto"/>
            </w:tcBorders>
            <w:vAlign w:val="center"/>
          </w:tcPr>
          <w:p w:rsidR="00242C36" w:rsidRPr="00C23A67" w:rsidRDefault="00242C36" w:rsidP="00242C36">
            <w:pPr>
              <w:keepNext/>
              <w:keepLines/>
              <w:pBdr>
                <w:bar w:val="single" w:sz="6" w:color="808080"/>
              </w:pBdr>
              <w:spacing w:after="120"/>
              <w:outlineLvl w:val="1"/>
              <w:rPr>
                <w:rFonts w:ascii="Calibri" w:hAnsi="Calibri"/>
                <w:b/>
                <w:bCs/>
                <w:sz w:val="20"/>
                <w:szCs w:val="20"/>
                <w:lang w:val="en-GB"/>
              </w:rPr>
            </w:pPr>
            <w:r w:rsidRPr="00C23A67">
              <w:rPr>
                <w:rFonts w:ascii="Calibri" w:hAnsi="Calibri"/>
                <w:b/>
                <w:bCs/>
                <w:sz w:val="20"/>
                <w:szCs w:val="20"/>
                <w:lang w:val="en-GB"/>
              </w:rPr>
              <w:t>16,4</w:t>
            </w:r>
          </w:p>
        </w:tc>
        <w:tc>
          <w:tcPr>
            <w:tcW w:w="3420" w:type="dxa"/>
            <w:tcBorders>
              <w:top w:val="single" w:sz="4" w:space="0" w:color="auto"/>
              <w:left w:val="single" w:sz="4" w:space="0" w:color="auto"/>
              <w:bottom w:val="single" w:sz="4" w:space="0" w:color="auto"/>
              <w:right w:val="single" w:sz="4" w:space="0" w:color="auto"/>
            </w:tcBorders>
            <w:vAlign w:val="center"/>
          </w:tcPr>
          <w:p w:rsidR="00242C36" w:rsidRPr="00C23A67" w:rsidRDefault="00242C36" w:rsidP="00242C36">
            <w:pPr>
              <w:keepNext/>
              <w:keepLines/>
              <w:pBdr>
                <w:bar w:val="single" w:sz="6" w:color="808080"/>
              </w:pBdr>
              <w:spacing w:after="120"/>
              <w:outlineLvl w:val="1"/>
              <w:rPr>
                <w:rFonts w:ascii="Calibri" w:hAnsi="Calibri"/>
                <w:b/>
                <w:bCs/>
                <w:sz w:val="20"/>
                <w:szCs w:val="20"/>
                <w:lang w:val="en-GB"/>
              </w:rPr>
            </w:pPr>
            <w:r w:rsidRPr="00C23A67">
              <w:rPr>
                <w:rFonts w:ascii="Calibri" w:hAnsi="Calibri"/>
                <w:b/>
                <w:bCs/>
                <w:sz w:val="20"/>
                <w:szCs w:val="20"/>
                <w:lang w:val="en-GB"/>
              </w:rPr>
              <w:t>830 330</w:t>
            </w:r>
          </w:p>
        </w:tc>
        <w:tc>
          <w:tcPr>
            <w:tcW w:w="900" w:type="dxa"/>
            <w:tcBorders>
              <w:top w:val="single" w:sz="4" w:space="0" w:color="auto"/>
              <w:left w:val="single" w:sz="4" w:space="0" w:color="auto"/>
              <w:bottom w:val="single" w:sz="4" w:space="0" w:color="auto"/>
              <w:right w:val="single" w:sz="4" w:space="0" w:color="auto"/>
            </w:tcBorders>
            <w:vAlign w:val="center"/>
          </w:tcPr>
          <w:p w:rsidR="00242C36" w:rsidRPr="00C23A67" w:rsidRDefault="00242C36" w:rsidP="00242C36">
            <w:pPr>
              <w:keepNext/>
              <w:keepLines/>
              <w:pBdr>
                <w:bar w:val="single" w:sz="6" w:color="808080"/>
              </w:pBdr>
              <w:spacing w:after="120"/>
              <w:outlineLvl w:val="1"/>
              <w:rPr>
                <w:rFonts w:ascii="Calibri" w:hAnsi="Calibri"/>
                <w:b/>
                <w:bCs/>
                <w:sz w:val="20"/>
                <w:szCs w:val="20"/>
                <w:lang w:val="en-GB"/>
              </w:rPr>
            </w:pPr>
            <w:r w:rsidRPr="00C23A67">
              <w:rPr>
                <w:rFonts w:ascii="Calibri" w:hAnsi="Calibri"/>
                <w:b/>
                <w:bCs/>
                <w:sz w:val="20"/>
                <w:szCs w:val="20"/>
                <w:lang w:val="en-GB"/>
              </w:rPr>
              <w:t>72,7</w:t>
            </w:r>
          </w:p>
        </w:tc>
      </w:tr>
    </w:tbl>
    <w:p w:rsidR="00242C36" w:rsidRPr="00C23A67" w:rsidRDefault="00242C36" w:rsidP="00242C36">
      <w:pPr>
        <w:keepNext/>
        <w:keepLines/>
        <w:pBdr>
          <w:bar w:val="single" w:sz="6" w:color="808080"/>
        </w:pBdr>
        <w:spacing w:after="120"/>
        <w:outlineLvl w:val="1"/>
        <w:rPr>
          <w:rFonts w:ascii="Calibri" w:hAnsi="Calibri"/>
          <w:bCs/>
          <w:iCs/>
          <w:sz w:val="20"/>
          <w:szCs w:val="22"/>
          <w:lang w:val="pt-BR"/>
        </w:rPr>
      </w:pPr>
      <w:r w:rsidRPr="00C23A67">
        <w:rPr>
          <w:rFonts w:ascii="Calibri" w:hAnsi="Calibri"/>
          <w:bCs/>
          <w:iCs/>
          <w:sz w:val="20"/>
          <w:szCs w:val="22"/>
          <w:lang w:val="pt-BR"/>
        </w:rPr>
        <w:t>Zdroj:  Správa o stave životného prostredia SR v roku 2012 (MŽP SR)</w:t>
      </w:r>
    </w:p>
    <w:p w:rsidR="00242C36" w:rsidRDefault="00242C36" w:rsidP="00242C36">
      <w:pPr>
        <w:keepNext/>
        <w:keepLines/>
        <w:pBdr>
          <w:bar w:val="single" w:sz="6" w:color="808080"/>
        </w:pBdr>
        <w:spacing w:after="120"/>
        <w:outlineLvl w:val="1"/>
        <w:rPr>
          <w:rFonts w:ascii="Calibri" w:hAnsi="Calibri"/>
          <w:b/>
          <w:bCs/>
          <w:szCs w:val="22"/>
        </w:rPr>
      </w:pPr>
    </w:p>
    <w:p w:rsidR="00242C36" w:rsidRPr="001007B4" w:rsidRDefault="00242C36" w:rsidP="00242C36">
      <w:pPr>
        <w:keepNext/>
        <w:keepLines/>
        <w:pBdr>
          <w:bar w:val="single" w:sz="6" w:color="808080"/>
        </w:pBdr>
        <w:spacing w:after="120"/>
        <w:outlineLvl w:val="1"/>
        <w:rPr>
          <w:rFonts w:eastAsia="Calibri"/>
          <w:szCs w:val="22"/>
          <w:lang w:eastAsia="en-US"/>
        </w:rPr>
      </w:pPr>
      <w:r w:rsidRPr="00C93559">
        <w:rPr>
          <w:b/>
          <w:bCs/>
          <w:szCs w:val="22"/>
        </w:rPr>
        <w:t>Územia s vysokou prírodnou hodnotou (HNV)</w:t>
      </w:r>
      <w:r w:rsidRPr="00C93559">
        <w:rPr>
          <w:color w:val="FF0000"/>
          <w:szCs w:val="22"/>
        </w:rPr>
        <w:t xml:space="preserve"> </w:t>
      </w:r>
      <w:r w:rsidRPr="001007B4">
        <w:rPr>
          <w:szCs w:val="22"/>
        </w:rPr>
        <w:t>(</w:t>
      </w:r>
      <w:r w:rsidRPr="001007B4">
        <w:rPr>
          <w:b/>
          <w:szCs w:val="22"/>
        </w:rPr>
        <w:t>CCI 37</w:t>
      </w:r>
      <w:r w:rsidRPr="001007B4">
        <w:rPr>
          <w:szCs w:val="22"/>
        </w:rPr>
        <w:t>)</w:t>
      </w:r>
      <w:r>
        <w:rPr>
          <w:szCs w:val="22"/>
        </w:rPr>
        <w:t xml:space="preserve"> sa členia v SR nasledovne:</w:t>
      </w:r>
    </w:p>
    <w:p w:rsidR="00242C36" w:rsidRPr="00C93559" w:rsidRDefault="00242C36" w:rsidP="00242C36">
      <w:pPr>
        <w:pStyle w:val="tlText2VlastnfarbaRGB31"/>
        <w:spacing w:after="120" w:line="240" w:lineRule="auto"/>
        <w:rPr>
          <w:b/>
          <w:color w:val="auto"/>
        </w:rPr>
      </w:pPr>
      <w:r w:rsidRPr="00C93559">
        <w:rPr>
          <w:b/>
          <w:color w:val="auto"/>
        </w:rPr>
        <w:t xml:space="preserve">HNV v poľnohospodárskej krajine </w:t>
      </w:r>
    </w:p>
    <w:p w:rsidR="00242C36" w:rsidRPr="00C93559" w:rsidRDefault="00242C36" w:rsidP="00242C36">
      <w:pPr>
        <w:pStyle w:val="tlText2VlastnfarbaRGB31"/>
        <w:spacing w:after="120" w:line="240" w:lineRule="auto"/>
        <w:jc w:val="left"/>
        <w:rPr>
          <w:color w:val="auto"/>
        </w:rPr>
      </w:pPr>
      <w:r w:rsidRPr="00C93559">
        <w:rPr>
          <w:b/>
          <w:color w:val="auto"/>
        </w:rPr>
        <w:t>Typ 1</w:t>
      </w:r>
      <w:r w:rsidRPr="00C93559">
        <w:rPr>
          <w:color w:val="auto"/>
        </w:rPr>
        <w:t xml:space="preserve"> – poľnohospodárska pôda s vysokým podielom poloprírodnej vegetácie (prírodné a poloprírodné trvalé trávne porasty)</w:t>
      </w:r>
    </w:p>
    <w:p w:rsidR="00242C36" w:rsidRPr="00C93559" w:rsidRDefault="00242C36" w:rsidP="00242C36">
      <w:pPr>
        <w:pStyle w:val="tlText2VlastnfarbaRGB31"/>
        <w:spacing w:after="120" w:line="240" w:lineRule="auto"/>
        <w:rPr>
          <w:color w:val="auto"/>
        </w:rPr>
      </w:pPr>
      <w:r w:rsidRPr="00C93559">
        <w:rPr>
          <w:b/>
          <w:color w:val="auto"/>
        </w:rPr>
        <w:t>Typ 2</w:t>
      </w:r>
      <w:r w:rsidRPr="00C93559">
        <w:rPr>
          <w:color w:val="auto"/>
        </w:rPr>
        <w:t xml:space="preserve"> – tradičná  poľnohospodárska krajina  (mozaiková poľnohospodárska krajina s nízkou intenzitou využívania)</w:t>
      </w:r>
    </w:p>
    <w:p w:rsidR="00242C36" w:rsidRPr="00C93559" w:rsidRDefault="00242C36" w:rsidP="00242C36">
      <w:pPr>
        <w:pStyle w:val="tlText2VlastnfarbaRGB31"/>
        <w:spacing w:after="120" w:line="240" w:lineRule="auto"/>
        <w:rPr>
          <w:color w:val="auto"/>
        </w:rPr>
      </w:pPr>
      <w:r w:rsidRPr="00C93559">
        <w:rPr>
          <w:b/>
          <w:color w:val="auto"/>
        </w:rPr>
        <w:t>Typ 3</w:t>
      </w:r>
      <w:r w:rsidRPr="00C93559">
        <w:rPr>
          <w:color w:val="auto"/>
        </w:rPr>
        <w:t xml:space="preserve"> -  orná pôda v územiach NATURA 2000</w:t>
      </w:r>
    </w:p>
    <w:tbl>
      <w:tblPr>
        <w:tblpPr w:leftFromText="141" w:rightFromText="141" w:vertAnchor="text" w:tblpX="21" w:tblpY="16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15"/>
        <w:gridCol w:w="1777"/>
        <w:gridCol w:w="1125"/>
        <w:gridCol w:w="2040"/>
        <w:gridCol w:w="2129"/>
      </w:tblGrid>
      <w:tr w:rsidR="00242C36" w:rsidRPr="00C93559" w:rsidTr="00242C36">
        <w:trPr>
          <w:trHeight w:val="735"/>
        </w:trPr>
        <w:tc>
          <w:tcPr>
            <w:tcW w:w="2215" w:type="dxa"/>
            <w:tcBorders>
              <w:top w:val="single" w:sz="4" w:space="0" w:color="auto"/>
              <w:left w:val="single" w:sz="4" w:space="0" w:color="auto"/>
              <w:bottom w:val="single" w:sz="4" w:space="0" w:color="auto"/>
              <w:right w:val="single" w:sz="4" w:space="0" w:color="auto"/>
            </w:tcBorders>
          </w:tcPr>
          <w:p w:rsidR="00242C36" w:rsidRPr="00C93559" w:rsidRDefault="00242C36" w:rsidP="00242C36">
            <w:pPr>
              <w:pStyle w:val="tlText2VlastnfarbaRGB31"/>
              <w:spacing w:after="120" w:line="240" w:lineRule="auto"/>
              <w:rPr>
                <w:rFonts w:cs="Calibri"/>
                <w:b/>
                <w:color w:val="auto"/>
                <w:sz w:val="20"/>
              </w:rPr>
            </w:pPr>
            <w:r w:rsidRPr="00C93559">
              <w:rPr>
                <w:rFonts w:cs="Calibri"/>
                <w:b/>
                <w:color w:val="auto"/>
                <w:sz w:val="20"/>
              </w:rPr>
              <w:t>Typ HNV</w:t>
            </w:r>
          </w:p>
        </w:tc>
        <w:tc>
          <w:tcPr>
            <w:tcW w:w="1701" w:type="dxa"/>
            <w:tcBorders>
              <w:top w:val="single" w:sz="4" w:space="0" w:color="auto"/>
              <w:left w:val="single" w:sz="4" w:space="0" w:color="auto"/>
              <w:bottom w:val="single" w:sz="4" w:space="0" w:color="auto"/>
              <w:right w:val="single" w:sz="4" w:space="0" w:color="auto"/>
            </w:tcBorders>
          </w:tcPr>
          <w:p w:rsidR="00242C36" w:rsidRPr="00C93559" w:rsidRDefault="00242C36" w:rsidP="00242C36">
            <w:pPr>
              <w:pStyle w:val="tlText2VlastnfarbaRGB31"/>
              <w:spacing w:after="120" w:line="240" w:lineRule="auto"/>
              <w:rPr>
                <w:rFonts w:cs="Calibri"/>
                <w:b/>
                <w:color w:val="auto"/>
                <w:sz w:val="20"/>
              </w:rPr>
            </w:pPr>
            <w:r>
              <w:rPr>
                <w:rFonts w:cs="Calibri"/>
                <w:b/>
                <w:color w:val="auto"/>
                <w:sz w:val="20"/>
              </w:rPr>
              <w:t>Ukazovateľ</w:t>
            </w:r>
          </w:p>
        </w:tc>
        <w:tc>
          <w:tcPr>
            <w:tcW w:w="1125" w:type="dxa"/>
            <w:tcBorders>
              <w:top w:val="single" w:sz="4" w:space="0" w:color="auto"/>
              <w:left w:val="single" w:sz="4" w:space="0" w:color="auto"/>
              <w:bottom w:val="single" w:sz="4" w:space="0" w:color="auto"/>
              <w:right w:val="single" w:sz="4" w:space="0" w:color="auto"/>
            </w:tcBorders>
          </w:tcPr>
          <w:p w:rsidR="00242C36" w:rsidRPr="00C93559" w:rsidRDefault="00242C36" w:rsidP="00242C36">
            <w:pPr>
              <w:pStyle w:val="tlText2VlastnfarbaRGB31"/>
              <w:spacing w:after="120" w:line="240" w:lineRule="auto"/>
              <w:jc w:val="center"/>
              <w:rPr>
                <w:rFonts w:cs="Calibri"/>
                <w:b/>
                <w:color w:val="auto"/>
                <w:sz w:val="20"/>
              </w:rPr>
            </w:pPr>
            <w:r w:rsidRPr="00C93559">
              <w:rPr>
                <w:rFonts w:cs="Calibri"/>
                <w:b/>
                <w:color w:val="auto"/>
                <w:sz w:val="20"/>
              </w:rPr>
              <w:t>Rozloha UAA (ha)</w:t>
            </w:r>
          </w:p>
        </w:tc>
        <w:tc>
          <w:tcPr>
            <w:tcW w:w="2040" w:type="dxa"/>
            <w:tcBorders>
              <w:top w:val="single" w:sz="4" w:space="0" w:color="auto"/>
              <w:left w:val="single" w:sz="4" w:space="0" w:color="auto"/>
              <w:bottom w:val="single" w:sz="4" w:space="0" w:color="auto"/>
              <w:right w:val="single" w:sz="4" w:space="0" w:color="auto"/>
            </w:tcBorders>
          </w:tcPr>
          <w:p w:rsidR="00242C36" w:rsidRPr="00C93559" w:rsidRDefault="00242C36" w:rsidP="00242C36">
            <w:pPr>
              <w:pStyle w:val="tlText2VlastnfarbaRGB31"/>
              <w:spacing w:after="120" w:line="240" w:lineRule="auto"/>
              <w:rPr>
                <w:rFonts w:cs="Calibri"/>
                <w:b/>
                <w:color w:val="auto"/>
                <w:sz w:val="20"/>
              </w:rPr>
            </w:pPr>
            <w:r w:rsidRPr="00C93559">
              <w:rPr>
                <w:rFonts w:cs="Calibri"/>
                <w:b/>
                <w:color w:val="auto"/>
                <w:sz w:val="20"/>
              </w:rPr>
              <w:t>Databáza</w:t>
            </w:r>
          </w:p>
        </w:tc>
        <w:tc>
          <w:tcPr>
            <w:tcW w:w="2129" w:type="dxa"/>
            <w:tcBorders>
              <w:top w:val="single" w:sz="4" w:space="0" w:color="auto"/>
              <w:left w:val="single" w:sz="4" w:space="0" w:color="auto"/>
              <w:bottom w:val="single" w:sz="4" w:space="0" w:color="auto"/>
              <w:right w:val="single" w:sz="4" w:space="0" w:color="auto"/>
            </w:tcBorders>
          </w:tcPr>
          <w:p w:rsidR="00242C36" w:rsidRPr="00C93559" w:rsidRDefault="00242C36" w:rsidP="00242C36">
            <w:pPr>
              <w:pStyle w:val="tlText2VlastnfarbaRGB31"/>
              <w:spacing w:after="120" w:line="240" w:lineRule="auto"/>
              <w:rPr>
                <w:rFonts w:cs="Calibri"/>
                <w:b/>
                <w:color w:val="auto"/>
                <w:sz w:val="20"/>
              </w:rPr>
            </w:pPr>
            <w:r w:rsidRPr="00C93559">
              <w:rPr>
                <w:rFonts w:cs="Calibri"/>
                <w:b/>
                <w:color w:val="auto"/>
                <w:sz w:val="20"/>
              </w:rPr>
              <w:t>Monitoring</w:t>
            </w:r>
          </w:p>
        </w:tc>
      </w:tr>
      <w:tr w:rsidR="00242C36" w:rsidRPr="00C93559" w:rsidTr="00242C36">
        <w:trPr>
          <w:trHeight w:val="540"/>
        </w:trPr>
        <w:tc>
          <w:tcPr>
            <w:tcW w:w="2215" w:type="dxa"/>
            <w:tcBorders>
              <w:top w:val="single" w:sz="4" w:space="0" w:color="auto"/>
              <w:left w:val="single" w:sz="4" w:space="0" w:color="auto"/>
              <w:bottom w:val="single" w:sz="4" w:space="0" w:color="auto"/>
              <w:right w:val="single" w:sz="4" w:space="0" w:color="auto"/>
            </w:tcBorders>
          </w:tcPr>
          <w:p w:rsidR="00242C36" w:rsidRPr="00C93559" w:rsidRDefault="00242C36" w:rsidP="00242C36">
            <w:pPr>
              <w:pStyle w:val="tlText2VlastnfarbaRGB31"/>
              <w:spacing w:after="120" w:line="240" w:lineRule="auto"/>
              <w:jc w:val="left"/>
              <w:rPr>
                <w:rFonts w:cs="Calibri"/>
                <w:b/>
                <w:color w:val="auto"/>
                <w:sz w:val="20"/>
              </w:rPr>
            </w:pPr>
            <w:r w:rsidRPr="00C93559">
              <w:rPr>
                <w:rFonts w:cs="Calibri"/>
                <w:b/>
                <w:color w:val="auto"/>
                <w:sz w:val="20"/>
              </w:rPr>
              <w:t xml:space="preserve">Typ 1  </w:t>
            </w:r>
          </w:p>
          <w:p w:rsidR="00242C36" w:rsidRPr="00C93559" w:rsidRDefault="00242C36" w:rsidP="00242C36">
            <w:pPr>
              <w:pStyle w:val="tlText2VlastnfarbaRGB31"/>
              <w:spacing w:after="120" w:line="240" w:lineRule="auto"/>
              <w:jc w:val="left"/>
              <w:rPr>
                <w:rFonts w:cs="Calibri"/>
                <w:color w:val="auto"/>
                <w:sz w:val="20"/>
              </w:rPr>
            </w:pPr>
            <w:r w:rsidRPr="00C93559">
              <w:rPr>
                <w:rFonts w:cs="Calibri"/>
                <w:color w:val="auto"/>
                <w:sz w:val="20"/>
              </w:rPr>
              <w:t>Prírodné a poloprírodné trvalé trávne porasty</w:t>
            </w:r>
          </w:p>
        </w:tc>
        <w:tc>
          <w:tcPr>
            <w:tcW w:w="1701" w:type="dxa"/>
            <w:tcBorders>
              <w:top w:val="single" w:sz="4" w:space="0" w:color="auto"/>
              <w:left w:val="single" w:sz="4" w:space="0" w:color="auto"/>
              <w:bottom w:val="single" w:sz="4" w:space="0" w:color="auto"/>
              <w:right w:val="single" w:sz="4" w:space="0" w:color="auto"/>
            </w:tcBorders>
          </w:tcPr>
          <w:p w:rsidR="00242C36" w:rsidRPr="00C93559" w:rsidRDefault="00242C36" w:rsidP="00242C36">
            <w:pPr>
              <w:pStyle w:val="tlText2VlastnfarbaRGB31"/>
              <w:spacing w:after="120" w:line="240" w:lineRule="auto"/>
              <w:jc w:val="left"/>
              <w:rPr>
                <w:rFonts w:cs="Calibri"/>
                <w:color w:val="auto"/>
                <w:sz w:val="20"/>
              </w:rPr>
            </w:pPr>
            <w:r w:rsidRPr="00C93559">
              <w:rPr>
                <w:rStyle w:val="hps"/>
                <w:rFonts w:cs="Calibri"/>
                <w:color w:val="auto"/>
                <w:sz w:val="20"/>
              </w:rPr>
              <w:t>Hodnota</w:t>
            </w:r>
            <w:r w:rsidRPr="00C93559">
              <w:rPr>
                <w:rFonts w:cs="Calibri"/>
                <w:color w:val="auto"/>
                <w:sz w:val="20"/>
              </w:rPr>
              <w:t xml:space="preserve"> </w:t>
            </w:r>
            <w:r w:rsidRPr="00C93559">
              <w:rPr>
                <w:rStyle w:val="hps"/>
                <w:rFonts w:cs="Calibri"/>
                <w:color w:val="auto"/>
                <w:sz w:val="20"/>
              </w:rPr>
              <w:t>biodiverzity</w:t>
            </w:r>
            <w:r w:rsidRPr="00C93559">
              <w:rPr>
                <w:rFonts w:cs="Calibri"/>
                <w:color w:val="auto"/>
                <w:sz w:val="20"/>
              </w:rPr>
              <w:t xml:space="preserve"> </w:t>
            </w:r>
            <w:r w:rsidRPr="00C93559">
              <w:rPr>
                <w:rStyle w:val="hps"/>
                <w:rFonts w:cs="Calibri"/>
                <w:color w:val="auto"/>
                <w:sz w:val="20"/>
              </w:rPr>
              <w:t>stanovená</w:t>
            </w:r>
            <w:r w:rsidRPr="00C93559">
              <w:rPr>
                <w:rFonts w:cs="Calibri"/>
                <w:color w:val="auto"/>
                <w:sz w:val="20"/>
              </w:rPr>
              <w:t xml:space="preserve"> </w:t>
            </w:r>
            <w:r w:rsidRPr="00C93559">
              <w:rPr>
                <w:rStyle w:val="hps"/>
                <w:rFonts w:cs="Calibri"/>
                <w:color w:val="auto"/>
                <w:sz w:val="20"/>
              </w:rPr>
              <w:t>podľa</w:t>
            </w:r>
            <w:r w:rsidRPr="00C93559">
              <w:rPr>
                <w:rFonts w:cs="Calibri"/>
                <w:color w:val="auto"/>
                <w:sz w:val="20"/>
              </w:rPr>
              <w:t xml:space="preserve"> </w:t>
            </w:r>
            <w:r w:rsidRPr="00C93559">
              <w:rPr>
                <w:rStyle w:val="hps"/>
                <w:rFonts w:cs="Calibri"/>
                <w:color w:val="auto"/>
                <w:sz w:val="20"/>
              </w:rPr>
              <w:t>diagnostických</w:t>
            </w:r>
            <w:r w:rsidRPr="00C93559">
              <w:rPr>
                <w:rFonts w:cs="Calibri"/>
                <w:color w:val="auto"/>
                <w:sz w:val="20"/>
              </w:rPr>
              <w:t xml:space="preserve"> </w:t>
            </w:r>
            <w:r w:rsidRPr="00C93559">
              <w:rPr>
                <w:rStyle w:val="hps"/>
                <w:rFonts w:cs="Calibri"/>
                <w:color w:val="auto"/>
                <w:sz w:val="20"/>
              </w:rPr>
              <w:t>druhov typu</w:t>
            </w:r>
            <w:r w:rsidRPr="00C93559">
              <w:rPr>
                <w:rFonts w:cs="Calibri"/>
                <w:color w:val="auto"/>
                <w:sz w:val="20"/>
              </w:rPr>
              <w:t xml:space="preserve"> </w:t>
            </w:r>
            <w:r w:rsidRPr="00C93559">
              <w:rPr>
                <w:rStyle w:val="hps"/>
                <w:rFonts w:cs="Calibri"/>
                <w:color w:val="auto"/>
                <w:sz w:val="20"/>
              </w:rPr>
              <w:t>biotopu</w:t>
            </w:r>
            <w:r w:rsidRPr="00C93559">
              <w:rPr>
                <w:rFonts w:cs="Calibri"/>
                <w:color w:val="auto"/>
                <w:sz w:val="20"/>
              </w:rPr>
              <w:t xml:space="preserve"> </w:t>
            </w:r>
          </w:p>
        </w:tc>
        <w:tc>
          <w:tcPr>
            <w:tcW w:w="1125" w:type="dxa"/>
            <w:tcBorders>
              <w:top w:val="single" w:sz="4" w:space="0" w:color="auto"/>
              <w:left w:val="single" w:sz="4" w:space="0" w:color="auto"/>
              <w:bottom w:val="single" w:sz="4" w:space="0" w:color="auto"/>
              <w:right w:val="single" w:sz="4" w:space="0" w:color="auto"/>
            </w:tcBorders>
          </w:tcPr>
          <w:p w:rsidR="00242C36" w:rsidRPr="00C93559" w:rsidRDefault="00242C36" w:rsidP="00242C36">
            <w:pPr>
              <w:pStyle w:val="tlText2VlastnfarbaRGB31"/>
              <w:spacing w:after="120" w:line="240" w:lineRule="auto"/>
              <w:jc w:val="center"/>
              <w:rPr>
                <w:rFonts w:cs="Calibri"/>
                <w:color w:val="auto"/>
                <w:sz w:val="20"/>
              </w:rPr>
            </w:pPr>
            <w:r w:rsidRPr="00C93559">
              <w:rPr>
                <w:rFonts w:cs="Calibri"/>
                <w:color w:val="auto"/>
                <w:sz w:val="20"/>
              </w:rPr>
              <w:t>320 000</w:t>
            </w:r>
          </w:p>
        </w:tc>
        <w:tc>
          <w:tcPr>
            <w:tcW w:w="2040" w:type="dxa"/>
            <w:tcBorders>
              <w:top w:val="single" w:sz="4" w:space="0" w:color="auto"/>
              <w:left w:val="single" w:sz="4" w:space="0" w:color="auto"/>
              <w:bottom w:val="single" w:sz="4" w:space="0" w:color="auto"/>
              <w:right w:val="single" w:sz="4" w:space="0" w:color="auto"/>
            </w:tcBorders>
          </w:tcPr>
          <w:p w:rsidR="00242C36" w:rsidRPr="00C93559" w:rsidRDefault="00242C36" w:rsidP="00242C36">
            <w:pPr>
              <w:pStyle w:val="tlText2VlastnfarbaRGB31"/>
              <w:spacing w:after="120" w:line="240" w:lineRule="auto"/>
              <w:jc w:val="left"/>
              <w:rPr>
                <w:rFonts w:cs="Calibri"/>
                <w:color w:val="auto"/>
                <w:sz w:val="20"/>
              </w:rPr>
            </w:pPr>
            <w:r w:rsidRPr="00C93559">
              <w:rPr>
                <w:rFonts w:cs="Calibri"/>
                <w:color w:val="auto"/>
                <w:sz w:val="20"/>
              </w:rPr>
              <w:t xml:space="preserve">Národný zoznam             17 subtypov  biotopov prírodných a poloprírodných trvalých trávnych porastov </w:t>
            </w:r>
          </w:p>
          <w:p w:rsidR="00242C36" w:rsidRPr="00C93559" w:rsidRDefault="00242C36" w:rsidP="00242C36">
            <w:pPr>
              <w:pStyle w:val="tlText2VlastnfarbaRGB31"/>
              <w:spacing w:after="120" w:line="240" w:lineRule="auto"/>
              <w:jc w:val="left"/>
              <w:rPr>
                <w:rFonts w:cs="Calibri"/>
                <w:color w:val="auto"/>
                <w:sz w:val="20"/>
              </w:rPr>
            </w:pPr>
            <w:r w:rsidRPr="00C93559">
              <w:rPr>
                <w:rFonts w:cs="Calibri"/>
                <w:color w:val="auto"/>
                <w:sz w:val="20"/>
              </w:rPr>
              <w:t>(National Grassland Inventory - Daphne – inštitút  aplikovanej ekológie)</w:t>
            </w:r>
          </w:p>
        </w:tc>
        <w:tc>
          <w:tcPr>
            <w:tcW w:w="2129" w:type="dxa"/>
            <w:tcBorders>
              <w:top w:val="single" w:sz="4" w:space="0" w:color="auto"/>
              <w:left w:val="single" w:sz="4" w:space="0" w:color="auto"/>
              <w:bottom w:val="single" w:sz="4" w:space="0" w:color="auto"/>
              <w:right w:val="single" w:sz="4" w:space="0" w:color="auto"/>
            </w:tcBorders>
          </w:tcPr>
          <w:p w:rsidR="00242C36" w:rsidRPr="00C93559" w:rsidRDefault="00242C36" w:rsidP="00242C36">
            <w:pPr>
              <w:pStyle w:val="tlText2VlastnfarbaRGB31"/>
              <w:spacing w:after="120" w:line="240" w:lineRule="auto"/>
              <w:jc w:val="left"/>
              <w:rPr>
                <w:rFonts w:cs="Calibri"/>
                <w:color w:val="auto"/>
                <w:sz w:val="20"/>
              </w:rPr>
            </w:pPr>
            <w:r w:rsidRPr="00C93559">
              <w:rPr>
                <w:rFonts w:cs="Calibri"/>
                <w:color w:val="auto"/>
                <w:sz w:val="20"/>
              </w:rPr>
              <w:t>Mapovanie stavu v stanovených  x ročných cykloch. (Daphne – inštitút  aplikovanej ekológie)</w:t>
            </w:r>
          </w:p>
        </w:tc>
      </w:tr>
      <w:tr w:rsidR="00242C36" w:rsidRPr="00C93559" w:rsidTr="00242C36">
        <w:trPr>
          <w:trHeight w:val="525"/>
        </w:trPr>
        <w:tc>
          <w:tcPr>
            <w:tcW w:w="2215" w:type="dxa"/>
            <w:tcBorders>
              <w:top w:val="single" w:sz="4" w:space="0" w:color="auto"/>
              <w:left w:val="single" w:sz="4" w:space="0" w:color="auto"/>
              <w:bottom w:val="single" w:sz="4" w:space="0" w:color="auto"/>
              <w:right w:val="single" w:sz="4" w:space="0" w:color="auto"/>
            </w:tcBorders>
          </w:tcPr>
          <w:p w:rsidR="00242C36" w:rsidRPr="00C93559" w:rsidRDefault="00242C36" w:rsidP="00242C36">
            <w:pPr>
              <w:pStyle w:val="tlText2VlastnfarbaRGB31"/>
              <w:spacing w:after="120" w:line="240" w:lineRule="auto"/>
              <w:jc w:val="left"/>
              <w:rPr>
                <w:rFonts w:ascii="Arial" w:hAnsi="Arial" w:cs="Arial"/>
                <w:b/>
                <w:color w:val="auto"/>
                <w:sz w:val="20"/>
              </w:rPr>
            </w:pPr>
            <w:r w:rsidRPr="00C93559">
              <w:rPr>
                <w:rFonts w:cs="Calibri"/>
                <w:b/>
                <w:color w:val="auto"/>
                <w:sz w:val="20"/>
              </w:rPr>
              <w:t xml:space="preserve">Typ 2 </w:t>
            </w:r>
            <w:r w:rsidRPr="00C93559">
              <w:rPr>
                <w:rFonts w:ascii="Arial" w:hAnsi="Arial" w:cs="Arial"/>
                <w:b/>
                <w:color w:val="auto"/>
                <w:sz w:val="20"/>
              </w:rPr>
              <w:t xml:space="preserve"> </w:t>
            </w:r>
          </w:p>
          <w:p w:rsidR="00242C36" w:rsidRPr="00C93559" w:rsidRDefault="00242C36" w:rsidP="00242C36">
            <w:pPr>
              <w:pStyle w:val="tlText2VlastnfarbaRGB31"/>
              <w:spacing w:after="120" w:line="240" w:lineRule="auto"/>
              <w:jc w:val="left"/>
              <w:rPr>
                <w:rStyle w:val="hps"/>
                <w:rFonts w:cs="Calibri"/>
                <w:color w:val="auto"/>
                <w:sz w:val="20"/>
              </w:rPr>
            </w:pPr>
            <w:r w:rsidRPr="00C93559">
              <w:rPr>
                <w:rStyle w:val="hps"/>
                <w:rFonts w:cs="Calibri"/>
                <w:color w:val="auto"/>
                <w:sz w:val="20"/>
              </w:rPr>
              <w:t>Tradičná</w:t>
            </w:r>
            <w:r w:rsidRPr="00C93559">
              <w:rPr>
                <w:rFonts w:cs="Calibri"/>
                <w:color w:val="auto"/>
                <w:sz w:val="20"/>
              </w:rPr>
              <w:t xml:space="preserve"> </w:t>
            </w:r>
            <w:r w:rsidRPr="00C93559">
              <w:rPr>
                <w:rStyle w:val="hps"/>
                <w:rFonts w:cs="Calibri"/>
                <w:color w:val="auto"/>
                <w:sz w:val="20"/>
              </w:rPr>
              <w:t>poľnohospodárska krajina s</w:t>
            </w:r>
            <w:r w:rsidRPr="00C93559">
              <w:rPr>
                <w:rFonts w:cs="Calibri"/>
                <w:color w:val="auto"/>
                <w:sz w:val="20"/>
              </w:rPr>
              <w:t xml:space="preserve"> </w:t>
            </w:r>
            <w:r w:rsidRPr="00C93559">
              <w:rPr>
                <w:rStyle w:val="hps"/>
                <w:rFonts w:cs="Calibri"/>
                <w:color w:val="auto"/>
                <w:sz w:val="20"/>
              </w:rPr>
              <w:t>rozptýleným osídlením.</w:t>
            </w:r>
          </w:p>
          <w:p w:rsidR="00242C36" w:rsidRPr="00C93559" w:rsidRDefault="00242C36" w:rsidP="00242C36">
            <w:pPr>
              <w:pStyle w:val="tlText2VlastnfarbaRGB31"/>
              <w:spacing w:after="120" w:line="240" w:lineRule="auto"/>
              <w:jc w:val="left"/>
              <w:rPr>
                <w:rFonts w:cs="Calibri"/>
                <w:color w:val="auto"/>
                <w:sz w:val="20"/>
              </w:rPr>
            </w:pPr>
            <w:r w:rsidRPr="00C93559">
              <w:rPr>
                <w:rStyle w:val="hps"/>
                <w:rFonts w:cs="Calibri"/>
                <w:color w:val="auto"/>
                <w:sz w:val="20"/>
              </w:rPr>
              <w:t>Tradičná</w:t>
            </w:r>
            <w:r w:rsidRPr="00C93559">
              <w:rPr>
                <w:rFonts w:cs="Calibri"/>
                <w:color w:val="auto"/>
                <w:sz w:val="20"/>
              </w:rPr>
              <w:t xml:space="preserve"> </w:t>
            </w:r>
            <w:r w:rsidRPr="00C93559">
              <w:rPr>
                <w:rStyle w:val="hps"/>
                <w:rFonts w:cs="Calibri"/>
                <w:color w:val="auto"/>
                <w:sz w:val="20"/>
              </w:rPr>
              <w:t>poľnohospodárska krajina</w:t>
            </w:r>
            <w:r w:rsidRPr="00C93559">
              <w:rPr>
                <w:rFonts w:cs="Calibri"/>
                <w:color w:val="auto"/>
                <w:sz w:val="20"/>
              </w:rPr>
              <w:t xml:space="preserve"> </w:t>
            </w:r>
            <w:r w:rsidRPr="00C93559">
              <w:rPr>
                <w:rStyle w:val="hps"/>
                <w:rFonts w:cs="Calibri"/>
                <w:color w:val="auto"/>
                <w:sz w:val="20"/>
              </w:rPr>
              <w:t>ornej</w:t>
            </w:r>
            <w:r w:rsidRPr="00C93559">
              <w:rPr>
                <w:rFonts w:cs="Calibri"/>
                <w:color w:val="auto"/>
                <w:sz w:val="20"/>
              </w:rPr>
              <w:t xml:space="preserve"> </w:t>
            </w:r>
            <w:r w:rsidRPr="00C93559">
              <w:rPr>
                <w:rStyle w:val="hps"/>
                <w:rFonts w:cs="Calibri"/>
                <w:color w:val="auto"/>
                <w:sz w:val="20"/>
              </w:rPr>
              <w:t>pôdy</w:t>
            </w:r>
            <w:r w:rsidRPr="00C93559">
              <w:rPr>
                <w:rFonts w:cs="Calibri"/>
                <w:color w:val="auto"/>
                <w:sz w:val="20"/>
              </w:rPr>
              <w:t xml:space="preserve">, trávnych porastov, </w:t>
            </w:r>
            <w:r w:rsidRPr="00C93559">
              <w:rPr>
                <w:rStyle w:val="hps"/>
                <w:rFonts w:cs="Calibri"/>
                <w:color w:val="auto"/>
                <w:sz w:val="20"/>
              </w:rPr>
              <w:t>sadov</w:t>
            </w:r>
            <w:r w:rsidRPr="00C93559">
              <w:rPr>
                <w:rFonts w:cs="Calibri"/>
                <w:color w:val="auto"/>
                <w:sz w:val="20"/>
              </w:rPr>
              <w:t>, viníc</w:t>
            </w:r>
          </w:p>
        </w:tc>
        <w:tc>
          <w:tcPr>
            <w:tcW w:w="1701" w:type="dxa"/>
            <w:tcBorders>
              <w:top w:val="single" w:sz="4" w:space="0" w:color="auto"/>
              <w:left w:val="single" w:sz="4" w:space="0" w:color="auto"/>
              <w:bottom w:val="single" w:sz="4" w:space="0" w:color="auto"/>
              <w:right w:val="single" w:sz="4" w:space="0" w:color="auto"/>
            </w:tcBorders>
          </w:tcPr>
          <w:p w:rsidR="00242C36" w:rsidRPr="00C93559" w:rsidRDefault="00242C36" w:rsidP="00242C36">
            <w:pPr>
              <w:pStyle w:val="tlText2VlastnfarbaRGB31"/>
              <w:spacing w:after="120" w:line="240" w:lineRule="auto"/>
              <w:jc w:val="left"/>
              <w:rPr>
                <w:rFonts w:cs="Calibri"/>
                <w:color w:val="auto"/>
                <w:sz w:val="20"/>
              </w:rPr>
            </w:pPr>
            <w:r w:rsidRPr="00C93559">
              <w:rPr>
                <w:rStyle w:val="hps"/>
                <w:rFonts w:cs="Calibri"/>
                <w:color w:val="auto"/>
                <w:sz w:val="20"/>
              </w:rPr>
              <w:t>Prítomnosť</w:t>
            </w:r>
            <w:r w:rsidRPr="00C93559">
              <w:rPr>
                <w:rFonts w:cs="Calibri"/>
                <w:color w:val="auto"/>
                <w:sz w:val="20"/>
              </w:rPr>
              <w:t xml:space="preserve"> </w:t>
            </w:r>
            <w:r w:rsidRPr="00C93559">
              <w:rPr>
                <w:rStyle w:val="hps"/>
                <w:rFonts w:cs="Calibri"/>
                <w:color w:val="auto"/>
                <w:sz w:val="20"/>
              </w:rPr>
              <w:t xml:space="preserve">mozaikovej </w:t>
            </w:r>
            <w:r w:rsidRPr="00C93559">
              <w:rPr>
                <w:rFonts w:cs="Calibri"/>
                <w:color w:val="auto"/>
                <w:sz w:val="20"/>
              </w:rPr>
              <w:t xml:space="preserve"> </w:t>
            </w:r>
            <w:r w:rsidRPr="00C93559">
              <w:rPr>
                <w:rStyle w:val="hps"/>
                <w:rFonts w:cs="Calibri"/>
                <w:color w:val="auto"/>
                <w:sz w:val="20"/>
              </w:rPr>
              <w:t>štruktúry</w:t>
            </w:r>
            <w:r w:rsidRPr="00C93559">
              <w:rPr>
                <w:rFonts w:cs="Calibri"/>
                <w:color w:val="auto"/>
                <w:sz w:val="20"/>
              </w:rPr>
              <w:t xml:space="preserve"> </w:t>
            </w:r>
            <w:r w:rsidRPr="00C93559">
              <w:rPr>
                <w:rStyle w:val="hpsatn"/>
                <w:rFonts w:cs="Calibri"/>
                <w:color w:val="auto"/>
                <w:sz w:val="20"/>
              </w:rPr>
              <w:t>(</w:t>
            </w:r>
            <w:r w:rsidRPr="00C93559">
              <w:rPr>
                <w:rFonts w:cs="Calibri"/>
                <w:color w:val="auto"/>
                <w:sz w:val="20"/>
              </w:rPr>
              <w:t xml:space="preserve">malé </w:t>
            </w:r>
            <w:r w:rsidRPr="00C93559">
              <w:rPr>
                <w:rStyle w:val="hps"/>
                <w:rFonts w:cs="Calibri"/>
                <w:color w:val="auto"/>
                <w:sz w:val="20"/>
              </w:rPr>
              <w:t>polia)</w:t>
            </w:r>
            <w:r w:rsidRPr="00C93559">
              <w:rPr>
                <w:rFonts w:cs="Calibri"/>
                <w:color w:val="auto"/>
                <w:sz w:val="20"/>
              </w:rPr>
              <w:t xml:space="preserve">, </w:t>
            </w:r>
            <w:r w:rsidRPr="00C93559">
              <w:rPr>
                <w:rStyle w:val="hps"/>
                <w:rFonts w:cs="Calibri"/>
                <w:color w:val="auto"/>
                <w:sz w:val="20"/>
              </w:rPr>
              <w:t>v</w:t>
            </w:r>
            <w:r w:rsidRPr="00C93559">
              <w:rPr>
                <w:rFonts w:cs="Calibri"/>
                <w:color w:val="auto"/>
                <w:sz w:val="20"/>
              </w:rPr>
              <w:t xml:space="preserve"> </w:t>
            </w:r>
            <w:r w:rsidRPr="00C93559">
              <w:rPr>
                <w:rStyle w:val="hps"/>
                <w:rFonts w:cs="Calibri"/>
                <w:color w:val="auto"/>
                <w:sz w:val="20"/>
              </w:rPr>
              <w:t>blízkosti</w:t>
            </w:r>
            <w:r w:rsidRPr="00C93559">
              <w:rPr>
                <w:rFonts w:cs="Calibri"/>
                <w:color w:val="auto"/>
                <w:sz w:val="20"/>
              </w:rPr>
              <w:t xml:space="preserve"> </w:t>
            </w:r>
            <w:r w:rsidRPr="00C93559">
              <w:rPr>
                <w:rStyle w:val="hps"/>
                <w:rFonts w:cs="Calibri"/>
                <w:color w:val="auto"/>
                <w:sz w:val="20"/>
              </w:rPr>
              <w:t>rozptýleného</w:t>
            </w:r>
            <w:r w:rsidRPr="00C93559">
              <w:rPr>
                <w:rFonts w:cs="Calibri"/>
                <w:color w:val="auto"/>
                <w:sz w:val="20"/>
              </w:rPr>
              <w:t xml:space="preserve"> </w:t>
            </w:r>
            <w:r w:rsidRPr="00C93559">
              <w:rPr>
                <w:rStyle w:val="hps"/>
                <w:rFonts w:cs="Calibri"/>
                <w:color w:val="auto"/>
                <w:sz w:val="20"/>
              </w:rPr>
              <w:t>osídlenia</w:t>
            </w:r>
            <w:r w:rsidRPr="00C93559">
              <w:rPr>
                <w:rFonts w:cs="Calibri"/>
                <w:color w:val="auto"/>
                <w:sz w:val="20"/>
              </w:rPr>
              <w:t xml:space="preserve">. </w:t>
            </w:r>
            <w:r w:rsidRPr="00C93559">
              <w:rPr>
                <w:rFonts w:cs="Calibri"/>
                <w:color w:val="auto"/>
                <w:sz w:val="20"/>
              </w:rPr>
              <w:br/>
            </w:r>
            <w:r w:rsidRPr="00C93559">
              <w:rPr>
                <w:rStyle w:val="hps"/>
                <w:rFonts w:cs="Calibri"/>
                <w:color w:val="auto"/>
                <w:sz w:val="20"/>
              </w:rPr>
              <w:t>Prítomnosť</w:t>
            </w:r>
            <w:r w:rsidRPr="00C93559">
              <w:rPr>
                <w:rFonts w:cs="Calibri"/>
                <w:color w:val="auto"/>
                <w:sz w:val="20"/>
              </w:rPr>
              <w:t xml:space="preserve"> </w:t>
            </w:r>
            <w:r w:rsidRPr="00C93559">
              <w:rPr>
                <w:rStyle w:val="hps"/>
                <w:rFonts w:cs="Calibri"/>
                <w:color w:val="auto"/>
                <w:sz w:val="20"/>
              </w:rPr>
              <w:t>hodnotných</w:t>
            </w:r>
            <w:r w:rsidRPr="00C93559">
              <w:rPr>
                <w:rFonts w:cs="Calibri"/>
                <w:color w:val="auto"/>
                <w:sz w:val="20"/>
              </w:rPr>
              <w:t xml:space="preserve"> </w:t>
            </w:r>
            <w:r w:rsidRPr="00C93559">
              <w:rPr>
                <w:rStyle w:val="hps"/>
                <w:rFonts w:cs="Calibri"/>
                <w:color w:val="auto"/>
                <w:sz w:val="20"/>
              </w:rPr>
              <w:t>krajinných</w:t>
            </w:r>
            <w:r w:rsidRPr="00C93559">
              <w:rPr>
                <w:rFonts w:cs="Calibri"/>
                <w:color w:val="auto"/>
                <w:sz w:val="20"/>
              </w:rPr>
              <w:t xml:space="preserve"> </w:t>
            </w:r>
            <w:r w:rsidRPr="00C93559">
              <w:rPr>
                <w:rStyle w:val="hps"/>
                <w:rFonts w:cs="Calibri"/>
                <w:color w:val="auto"/>
                <w:sz w:val="20"/>
              </w:rPr>
              <w:t>prvkov</w:t>
            </w:r>
            <w:r w:rsidRPr="00C93559">
              <w:rPr>
                <w:rFonts w:cs="Calibri"/>
                <w:color w:val="auto"/>
                <w:sz w:val="20"/>
              </w:rPr>
              <w:t xml:space="preserve"> a realizácia tradičných postupov</w:t>
            </w:r>
          </w:p>
        </w:tc>
        <w:tc>
          <w:tcPr>
            <w:tcW w:w="1125" w:type="dxa"/>
            <w:tcBorders>
              <w:top w:val="single" w:sz="4" w:space="0" w:color="auto"/>
              <w:left w:val="single" w:sz="4" w:space="0" w:color="auto"/>
              <w:bottom w:val="single" w:sz="4" w:space="0" w:color="auto"/>
              <w:right w:val="single" w:sz="4" w:space="0" w:color="auto"/>
            </w:tcBorders>
          </w:tcPr>
          <w:p w:rsidR="00242C36" w:rsidRPr="00C93559" w:rsidRDefault="00242C36" w:rsidP="00242C36">
            <w:pPr>
              <w:pStyle w:val="tlText2VlastnfarbaRGB31"/>
              <w:spacing w:after="120" w:line="240" w:lineRule="auto"/>
              <w:jc w:val="center"/>
              <w:rPr>
                <w:rFonts w:cs="Calibri"/>
                <w:color w:val="auto"/>
                <w:sz w:val="20"/>
              </w:rPr>
            </w:pPr>
            <w:r w:rsidRPr="00C93559">
              <w:rPr>
                <w:rFonts w:cs="Calibri"/>
                <w:color w:val="auto"/>
                <w:sz w:val="20"/>
              </w:rPr>
              <w:t>33 934</w:t>
            </w:r>
          </w:p>
        </w:tc>
        <w:tc>
          <w:tcPr>
            <w:tcW w:w="2040" w:type="dxa"/>
            <w:tcBorders>
              <w:top w:val="single" w:sz="4" w:space="0" w:color="auto"/>
              <w:left w:val="single" w:sz="4" w:space="0" w:color="auto"/>
              <w:bottom w:val="single" w:sz="4" w:space="0" w:color="auto"/>
              <w:right w:val="single" w:sz="4" w:space="0" w:color="auto"/>
            </w:tcBorders>
          </w:tcPr>
          <w:p w:rsidR="00242C36" w:rsidRPr="00C93559" w:rsidRDefault="00242C36" w:rsidP="00242C36">
            <w:pPr>
              <w:pStyle w:val="tlText2VlastnfarbaRGB31"/>
              <w:spacing w:after="120" w:line="240" w:lineRule="auto"/>
              <w:jc w:val="left"/>
              <w:rPr>
                <w:rFonts w:cs="Calibri"/>
                <w:color w:val="auto"/>
                <w:sz w:val="20"/>
              </w:rPr>
            </w:pPr>
            <w:r w:rsidRPr="00C93559">
              <w:rPr>
                <w:rFonts w:cs="Calibri"/>
                <w:color w:val="auto"/>
                <w:sz w:val="20"/>
              </w:rPr>
              <w:t>Národný zoznam 4 typov mozaikového poľnohospodárstva</w:t>
            </w:r>
          </w:p>
          <w:p w:rsidR="00242C36" w:rsidRPr="00C93559" w:rsidRDefault="00242C36" w:rsidP="00242C36">
            <w:pPr>
              <w:pStyle w:val="tlText2VlastnfarbaRGB31"/>
              <w:spacing w:after="120" w:line="240" w:lineRule="auto"/>
              <w:jc w:val="left"/>
              <w:rPr>
                <w:rFonts w:cs="Calibri"/>
                <w:color w:val="auto"/>
                <w:sz w:val="20"/>
              </w:rPr>
            </w:pPr>
            <w:r w:rsidRPr="00C93559">
              <w:rPr>
                <w:rFonts w:cs="Calibri"/>
                <w:color w:val="auto"/>
                <w:sz w:val="20"/>
              </w:rPr>
              <w:t>(National traditional agricultural mosaics Inventory – Ústav krajinnej ekológie Slovenskej akadémie vied)</w:t>
            </w:r>
          </w:p>
        </w:tc>
        <w:tc>
          <w:tcPr>
            <w:tcW w:w="2129" w:type="dxa"/>
            <w:tcBorders>
              <w:top w:val="single" w:sz="4" w:space="0" w:color="auto"/>
              <w:left w:val="single" w:sz="4" w:space="0" w:color="auto"/>
              <w:bottom w:val="single" w:sz="4" w:space="0" w:color="auto"/>
              <w:right w:val="single" w:sz="4" w:space="0" w:color="auto"/>
            </w:tcBorders>
          </w:tcPr>
          <w:p w:rsidR="00242C36" w:rsidRPr="00C93559" w:rsidRDefault="00242C36" w:rsidP="00242C36">
            <w:pPr>
              <w:pStyle w:val="tlText2VlastnfarbaRGB31"/>
              <w:spacing w:after="120" w:line="240" w:lineRule="auto"/>
              <w:jc w:val="left"/>
              <w:rPr>
                <w:rFonts w:cs="Calibri"/>
                <w:color w:val="auto"/>
                <w:sz w:val="20"/>
              </w:rPr>
            </w:pPr>
            <w:r w:rsidRPr="00C93559">
              <w:rPr>
                <w:rFonts w:cs="Calibri"/>
                <w:color w:val="auto"/>
                <w:sz w:val="20"/>
              </w:rPr>
              <w:t>Základné mapovanie v rokoch 2009-2011        (Ústav krajinnej ekológie Slovenskej akadémie vied)</w:t>
            </w:r>
          </w:p>
        </w:tc>
      </w:tr>
      <w:tr w:rsidR="00242C36" w:rsidRPr="00C93559" w:rsidTr="00242C36">
        <w:trPr>
          <w:trHeight w:val="675"/>
        </w:trPr>
        <w:tc>
          <w:tcPr>
            <w:tcW w:w="2215" w:type="dxa"/>
            <w:tcBorders>
              <w:top w:val="single" w:sz="4" w:space="0" w:color="auto"/>
              <w:left w:val="single" w:sz="4" w:space="0" w:color="auto"/>
              <w:bottom w:val="single" w:sz="4" w:space="0" w:color="auto"/>
              <w:right w:val="single" w:sz="4" w:space="0" w:color="auto"/>
            </w:tcBorders>
          </w:tcPr>
          <w:p w:rsidR="00242C36" w:rsidRPr="00C93559" w:rsidRDefault="00242C36" w:rsidP="00242C36">
            <w:pPr>
              <w:pStyle w:val="tlText2VlastnfarbaRGB31"/>
              <w:spacing w:after="120" w:line="240" w:lineRule="auto"/>
              <w:rPr>
                <w:rFonts w:cs="Calibri"/>
                <w:b/>
                <w:color w:val="auto"/>
                <w:sz w:val="20"/>
              </w:rPr>
            </w:pPr>
            <w:r w:rsidRPr="00C93559">
              <w:rPr>
                <w:rFonts w:cs="Calibri"/>
                <w:b/>
                <w:color w:val="auto"/>
                <w:sz w:val="20"/>
              </w:rPr>
              <w:t xml:space="preserve">Typ 3 </w:t>
            </w:r>
          </w:p>
          <w:p w:rsidR="00242C36" w:rsidRPr="00C93559" w:rsidRDefault="00242C36" w:rsidP="00242C36">
            <w:pPr>
              <w:pStyle w:val="tlText2VlastnfarbaRGB31"/>
              <w:spacing w:after="120" w:line="240" w:lineRule="auto"/>
              <w:rPr>
                <w:rFonts w:cs="Calibri"/>
                <w:color w:val="auto"/>
                <w:sz w:val="20"/>
              </w:rPr>
            </w:pPr>
            <w:r w:rsidRPr="00C93559">
              <w:rPr>
                <w:rFonts w:cs="Calibri"/>
                <w:color w:val="auto"/>
                <w:sz w:val="20"/>
              </w:rPr>
              <w:t>Orná pôda v územiach NATURA 2000</w:t>
            </w:r>
          </w:p>
        </w:tc>
        <w:tc>
          <w:tcPr>
            <w:tcW w:w="1701" w:type="dxa"/>
            <w:tcBorders>
              <w:top w:val="single" w:sz="4" w:space="0" w:color="auto"/>
              <w:left w:val="single" w:sz="4" w:space="0" w:color="auto"/>
              <w:bottom w:val="single" w:sz="4" w:space="0" w:color="auto"/>
              <w:right w:val="single" w:sz="4" w:space="0" w:color="auto"/>
            </w:tcBorders>
          </w:tcPr>
          <w:p w:rsidR="00242C36" w:rsidRPr="00C93559" w:rsidRDefault="00242C36" w:rsidP="00242C36">
            <w:pPr>
              <w:pStyle w:val="tlText2VlastnfarbaRGB31"/>
              <w:spacing w:after="120" w:line="240" w:lineRule="auto"/>
              <w:jc w:val="left"/>
              <w:rPr>
                <w:rFonts w:cs="Calibri"/>
                <w:color w:val="auto"/>
                <w:sz w:val="20"/>
              </w:rPr>
            </w:pPr>
            <w:r w:rsidRPr="00C93559">
              <w:rPr>
                <w:rFonts w:cs="Calibri"/>
                <w:color w:val="auto"/>
                <w:sz w:val="20"/>
              </w:rPr>
              <w:t>Index populačného trendu vybraných druhov vtákov v poľnohospodárskej krajine</w:t>
            </w:r>
          </w:p>
        </w:tc>
        <w:tc>
          <w:tcPr>
            <w:tcW w:w="1125" w:type="dxa"/>
            <w:tcBorders>
              <w:top w:val="single" w:sz="4" w:space="0" w:color="auto"/>
              <w:left w:val="single" w:sz="4" w:space="0" w:color="auto"/>
              <w:bottom w:val="single" w:sz="4" w:space="0" w:color="auto"/>
              <w:right w:val="single" w:sz="4" w:space="0" w:color="auto"/>
            </w:tcBorders>
          </w:tcPr>
          <w:p w:rsidR="00242C36" w:rsidRPr="00C93559" w:rsidRDefault="00242C36" w:rsidP="00242C36">
            <w:pPr>
              <w:pStyle w:val="tlText2VlastnfarbaRGB31"/>
              <w:spacing w:after="120" w:line="240" w:lineRule="auto"/>
              <w:jc w:val="center"/>
              <w:rPr>
                <w:rFonts w:cs="Calibri"/>
                <w:color w:val="auto"/>
                <w:sz w:val="20"/>
              </w:rPr>
            </w:pPr>
            <w:r w:rsidRPr="00C93559">
              <w:rPr>
                <w:rFonts w:cs="Calibri"/>
                <w:color w:val="auto"/>
                <w:sz w:val="20"/>
              </w:rPr>
              <w:t xml:space="preserve">308 000 </w:t>
            </w:r>
          </w:p>
          <w:p w:rsidR="00242C36" w:rsidRPr="00C93559" w:rsidRDefault="00242C36" w:rsidP="00242C36">
            <w:pPr>
              <w:pStyle w:val="tlText2VlastnfarbaRGB31"/>
              <w:spacing w:after="120" w:line="240" w:lineRule="auto"/>
              <w:jc w:val="center"/>
              <w:rPr>
                <w:rFonts w:cs="Calibri"/>
                <w:color w:val="auto"/>
                <w:sz w:val="20"/>
              </w:rPr>
            </w:pPr>
            <w:r w:rsidRPr="00C93559">
              <w:rPr>
                <w:rFonts w:cs="Calibri"/>
                <w:color w:val="auto"/>
                <w:sz w:val="20"/>
              </w:rPr>
              <w:t>(292 000 ha v SPAs,          46 000 ha v SACs)</w:t>
            </w:r>
          </w:p>
        </w:tc>
        <w:tc>
          <w:tcPr>
            <w:tcW w:w="2040" w:type="dxa"/>
            <w:tcBorders>
              <w:top w:val="single" w:sz="4" w:space="0" w:color="auto"/>
              <w:left w:val="single" w:sz="4" w:space="0" w:color="auto"/>
              <w:bottom w:val="single" w:sz="4" w:space="0" w:color="auto"/>
              <w:right w:val="single" w:sz="4" w:space="0" w:color="auto"/>
            </w:tcBorders>
          </w:tcPr>
          <w:p w:rsidR="00242C36" w:rsidRPr="00C93559" w:rsidRDefault="00242C36" w:rsidP="00242C36">
            <w:pPr>
              <w:pStyle w:val="tlText2VlastnfarbaRGB31"/>
              <w:spacing w:after="120" w:line="240" w:lineRule="auto"/>
              <w:jc w:val="left"/>
              <w:rPr>
                <w:rFonts w:cs="Calibri"/>
                <w:color w:val="auto"/>
                <w:sz w:val="20"/>
              </w:rPr>
            </w:pPr>
            <w:r w:rsidRPr="00C93559">
              <w:rPr>
                <w:rFonts w:cs="Calibri"/>
                <w:color w:val="auto"/>
                <w:sz w:val="20"/>
              </w:rPr>
              <w:t>Zoznam  výskytu vybraných druhov vtákov (SOS/BirdLife Slovensko)</w:t>
            </w:r>
          </w:p>
        </w:tc>
        <w:tc>
          <w:tcPr>
            <w:tcW w:w="2129" w:type="dxa"/>
            <w:tcBorders>
              <w:top w:val="single" w:sz="4" w:space="0" w:color="auto"/>
              <w:left w:val="single" w:sz="4" w:space="0" w:color="auto"/>
              <w:bottom w:val="single" w:sz="4" w:space="0" w:color="auto"/>
              <w:right w:val="single" w:sz="4" w:space="0" w:color="auto"/>
            </w:tcBorders>
          </w:tcPr>
          <w:p w:rsidR="00242C36" w:rsidRPr="00C93559" w:rsidRDefault="00242C36" w:rsidP="00242C36">
            <w:pPr>
              <w:pStyle w:val="tlText2VlastnfarbaRGB31"/>
              <w:spacing w:after="120" w:line="240" w:lineRule="auto"/>
              <w:jc w:val="left"/>
              <w:rPr>
                <w:rFonts w:cs="Calibri"/>
                <w:color w:val="auto"/>
                <w:sz w:val="20"/>
              </w:rPr>
            </w:pPr>
            <w:r w:rsidRPr="00C93559">
              <w:rPr>
                <w:rFonts w:cs="Calibri"/>
                <w:color w:val="auto"/>
                <w:sz w:val="20"/>
              </w:rPr>
              <w:t>Ročné mapovanie a vyhodnocovanie  Indexu populačného trendu vybraných druhov vtákov v poľnohospodárskej krajine (SOS/BirdLife Slovensko)</w:t>
            </w:r>
          </w:p>
        </w:tc>
      </w:tr>
      <w:tr w:rsidR="00242C36" w:rsidRPr="00C93559" w:rsidTr="00242C36">
        <w:trPr>
          <w:trHeight w:val="675"/>
        </w:trPr>
        <w:tc>
          <w:tcPr>
            <w:tcW w:w="2215" w:type="dxa"/>
            <w:tcBorders>
              <w:top w:val="single" w:sz="4" w:space="0" w:color="auto"/>
              <w:left w:val="single" w:sz="4" w:space="0" w:color="auto"/>
              <w:bottom w:val="single" w:sz="4" w:space="0" w:color="auto"/>
              <w:right w:val="single" w:sz="4" w:space="0" w:color="auto"/>
            </w:tcBorders>
          </w:tcPr>
          <w:p w:rsidR="00242C36" w:rsidRPr="00C93559" w:rsidRDefault="00242C36" w:rsidP="00242C36">
            <w:pPr>
              <w:pStyle w:val="tlText2VlastnfarbaRGB31"/>
              <w:spacing w:after="120" w:line="240" w:lineRule="auto"/>
              <w:jc w:val="left"/>
              <w:rPr>
                <w:rFonts w:cs="Calibri"/>
                <w:b/>
                <w:bCs/>
                <w:color w:val="auto"/>
                <w:sz w:val="20"/>
              </w:rPr>
            </w:pPr>
            <w:r w:rsidRPr="00C93559">
              <w:rPr>
                <w:rFonts w:cs="Calibri"/>
                <w:b/>
                <w:bCs/>
                <w:color w:val="auto"/>
                <w:sz w:val="20"/>
              </w:rPr>
              <w:t>Spolu HNV na poľnohospodárskej pôde</w:t>
            </w:r>
            <w:r>
              <w:rPr>
                <w:rFonts w:cs="Calibri"/>
                <w:b/>
                <w:bCs/>
                <w:color w:val="auto"/>
                <w:sz w:val="20"/>
              </w:rPr>
              <w:t xml:space="preserve"> </w:t>
            </w:r>
          </w:p>
        </w:tc>
        <w:tc>
          <w:tcPr>
            <w:tcW w:w="1701" w:type="dxa"/>
            <w:tcBorders>
              <w:top w:val="single" w:sz="4" w:space="0" w:color="auto"/>
              <w:left w:val="single" w:sz="4" w:space="0" w:color="auto"/>
              <w:bottom w:val="single" w:sz="4" w:space="0" w:color="auto"/>
              <w:right w:val="single" w:sz="4" w:space="0" w:color="auto"/>
            </w:tcBorders>
          </w:tcPr>
          <w:p w:rsidR="00242C36" w:rsidRPr="00C93559" w:rsidRDefault="00242C36" w:rsidP="00242C36">
            <w:pPr>
              <w:pStyle w:val="tlText2VlastnfarbaRGB31"/>
              <w:spacing w:after="120" w:line="240" w:lineRule="auto"/>
              <w:jc w:val="left"/>
              <w:rPr>
                <w:rFonts w:cs="Calibri"/>
                <w:color w:val="auto"/>
                <w:sz w:val="20"/>
              </w:rPr>
            </w:pPr>
          </w:p>
        </w:tc>
        <w:tc>
          <w:tcPr>
            <w:tcW w:w="1125" w:type="dxa"/>
            <w:tcBorders>
              <w:top w:val="single" w:sz="4" w:space="0" w:color="auto"/>
              <w:left w:val="single" w:sz="4" w:space="0" w:color="auto"/>
              <w:bottom w:val="single" w:sz="4" w:space="0" w:color="auto"/>
              <w:right w:val="single" w:sz="4" w:space="0" w:color="auto"/>
            </w:tcBorders>
          </w:tcPr>
          <w:p w:rsidR="00242C36" w:rsidRDefault="00242C36" w:rsidP="00242C36">
            <w:pPr>
              <w:pStyle w:val="tlText2VlastnfarbaRGB31"/>
              <w:spacing w:after="120" w:line="240" w:lineRule="auto"/>
              <w:jc w:val="center"/>
              <w:rPr>
                <w:rFonts w:cs="Calibri"/>
                <w:b/>
                <w:bCs/>
                <w:color w:val="auto"/>
                <w:sz w:val="20"/>
              </w:rPr>
            </w:pPr>
            <w:r w:rsidRPr="00C93559">
              <w:rPr>
                <w:rFonts w:cs="Calibri"/>
                <w:b/>
                <w:bCs/>
                <w:color w:val="auto"/>
                <w:sz w:val="20"/>
              </w:rPr>
              <w:t>661</w:t>
            </w:r>
            <w:r>
              <w:rPr>
                <w:rFonts w:cs="Calibri"/>
                <w:b/>
                <w:bCs/>
                <w:color w:val="auto"/>
                <w:sz w:val="20"/>
              </w:rPr>
              <w:t> </w:t>
            </w:r>
            <w:r w:rsidRPr="00C93559">
              <w:rPr>
                <w:rFonts w:cs="Calibri"/>
                <w:b/>
                <w:bCs/>
                <w:color w:val="auto"/>
                <w:sz w:val="20"/>
              </w:rPr>
              <w:t>934</w:t>
            </w:r>
          </w:p>
          <w:p w:rsidR="00242C36" w:rsidRPr="003E2AD2" w:rsidRDefault="00242C36" w:rsidP="00242C36">
            <w:pPr>
              <w:pStyle w:val="tlText2VlastnfarbaRGB31"/>
              <w:spacing w:after="120" w:line="240" w:lineRule="auto"/>
              <w:jc w:val="center"/>
              <w:rPr>
                <w:rFonts w:cs="Calibri"/>
                <w:bCs/>
                <w:color w:val="auto"/>
                <w:sz w:val="20"/>
              </w:rPr>
            </w:pPr>
            <w:r w:rsidRPr="003E2AD2">
              <w:rPr>
                <w:rFonts w:cs="Calibri"/>
                <w:bCs/>
                <w:color w:val="auto"/>
                <w:sz w:val="20"/>
              </w:rPr>
              <w:t>(</w:t>
            </w:r>
            <w:r>
              <w:rPr>
                <w:rFonts w:cs="Calibri"/>
                <w:bCs/>
                <w:color w:val="auto"/>
                <w:sz w:val="20"/>
              </w:rPr>
              <w:t xml:space="preserve">cca </w:t>
            </w:r>
            <w:r w:rsidRPr="003E2AD2">
              <w:rPr>
                <w:rFonts w:cs="Calibri"/>
                <w:bCs/>
                <w:color w:val="auto"/>
                <w:sz w:val="20"/>
              </w:rPr>
              <w:t>34% z UAA v r. 2012)</w:t>
            </w:r>
          </w:p>
        </w:tc>
        <w:tc>
          <w:tcPr>
            <w:tcW w:w="2040" w:type="dxa"/>
            <w:tcBorders>
              <w:top w:val="single" w:sz="4" w:space="0" w:color="auto"/>
              <w:left w:val="single" w:sz="4" w:space="0" w:color="auto"/>
              <w:bottom w:val="single" w:sz="4" w:space="0" w:color="auto"/>
              <w:right w:val="single" w:sz="4" w:space="0" w:color="auto"/>
            </w:tcBorders>
          </w:tcPr>
          <w:p w:rsidR="00242C36" w:rsidRPr="00C93559" w:rsidRDefault="00242C36" w:rsidP="00242C36">
            <w:pPr>
              <w:pStyle w:val="tlText2VlastnfarbaRGB31"/>
              <w:spacing w:after="120" w:line="240" w:lineRule="auto"/>
              <w:jc w:val="left"/>
              <w:rPr>
                <w:rFonts w:cs="Calibri"/>
                <w:color w:val="auto"/>
                <w:sz w:val="20"/>
              </w:rPr>
            </w:pPr>
          </w:p>
        </w:tc>
        <w:tc>
          <w:tcPr>
            <w:tcW w:w="2129" w:type="dxa"/>
            <w:tcBorders>
              <w:top w:val="single" w:sz="4" w:space="0" w:color="auto"/>
              <w:left w:val="single" w:sz="4" w:space="0" w:color="auto"/>
              <w:bottom w:val="single" w:sz="4" w:space="0" w:color="auto"/>
              <w:right w:val="single" w:sz="4" w:space="0" w:color="auto"/>
            </w:tcBorders>
          </w:tcPr>
          <w:p w:rsidR="00242C36" w:rsidRPr="00C93559" w:rsidRDefault="00242C36" w:rsidP="00242C36">
            <w:pPr>
              <w:pStyle w:val="tlText2VlastnfarbaRGB31"/>
              <w:spacing w:after="120" w:line="240" w:lineRule="auto"/>
              <w:jc w:val="left"/>
              <w:rPr>
                <w:rFonts w:cs="Calibri"/>
                <w:color w:val="auto"/>
                <w:sz w:val="20"/>
              </w:rPr>
            </w:pPr>
          </w:p>
        </w:tc>
      </w:tr>
    </w:tbl>
    <w:p w:rsidR="00242C36" w:rsidRPr="00C93559" w:rsidRDefault="00242C36" w:rsidP="00242C36">
      <w:pPr>
        <w:pStyle w:val="tlText2VlastnfarbaRGB31"/>
        <w:spacing w:after="120" w:line="240" w:lineRule="auto"/>
        <w:rPr>
          <w:color w:val="auto"/>
        </w:rPr>
      </w:pPr>
    </w:p>
    <w:p w:rsidR="00242C36" w:rsidRPr="00C93559" w:rsidRDefault="00242C36" w:rsidP="00242C36">
      <w:pPr>
        <w:pStyle w:val="tlText2VlastnfarbaRGB31"/>
        <w:spacing w:after="120" w:line="240" w:lineRule="auto"/>
        <w:rPr>
          <w:b/>
          <w:color w:val="auto"/>
        </w:rPr>
      </w:pPr>
      <w:r w:rsidRPr="00C93559">
        <w:rPr>
          <w:b/>
          <w:color w:val="auto"/>
        </w:rPr>
        <w:t>HNV v  lesoch</w:t>
      </w:r>
    </w:p>
    <w:p w:rsidR="00242C36" w:rsidRPr="00C93559" w:rsidRDefault="00242C36" w:rsidP="00242C36">
      <w:pPr>
        <w:pStyle w:val="tlText2VlastnfarbaRGB31"/>
        <w:spacing w:after="120" w:line="240" w:lineRule="auto"/>
        <w:rPr>
          <w:color w:val="auto"/>
        </w:rPr>
      </w:pPr>
      <w:r w:rsidRPr="002264B3">
        <w:rPr>
          <w:b/>
          <w:color w:val="auto"/>
        </w:rPr>
        <w:t>Typ 1</w:t>
      </w:r>
      <w:r w:rsidRPr="00C93559">
        <w:rPr>
          <w:color w:val="auto"/>
        </w:rPr>
        <w:t xml:space="preserve"> – prírodné a poloprírodné lesy (neplantážne lesy s prirodzenou štruktúrou, zložením, ktoré sú alebo boli upravené antropogénnymi činnosťami – lesy s dlhodobou históriou spavovania)</w:t>
      </w:r>
    </w:p>
    <w:p w:rsidR="00242C36" w:rsidRPr="00C93559" w:rsidRDefault="00242C36" w:rsidP="00242C36">
      <w:pPr>
        <w:pStyle w:val="tlText2VlastnfarbaRGB31"/>
        <w:spacing w:after="120" w:line="240" w:lineRule="auto"/>
        <w:rPr>
          <w:color w:val="auto"/>
        </w:rPr>
      </w:pPr>
      <w:r w:rsidRPr="002264B3">
        <w:rPr>
          <w:b/>
          <w:color w:val="auto"/>
        </w:rPr>
        <w:t>Typ 2</w:t>
      </w:r>
      <w:r w:rsidRPr="00C93559">
        <w:rPr>
          <w:color w:val="auto"/>
        </w:rPr>
        <w:t xml:space="preserve"> -  prirodzene sa vyvíja</w:t>
      </w:r>
      <w:r>
        <w:rPr>
          <w:color w:val="auto"/>
        </w:rPr>
        <w:t>j</w:t>
      </w:r>
      <w:r w:rsidRPr="00C93559">
        <w:rPr>
          <w:color w:val="auto"/>
        </w:rPr>
        <w:t>úce lesy (lesy, ktorých zloženie a funkcia sa tvarovali dynamicky bez narušenia prírodných režimov a bez podstatného antropogénného vplyvu počas dlhého obdobia)</w:t>
      </w:r>
    </w:p>
    <w:tbl>
      <w:tblPr>
        <w:tblpPr w:leftFromText="141" w:rightFromText="141" w:vertAnchor="text" w:tblpX="21" w:tblpY="16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05"/>
        <w:gridCol w:w="1770"/>
        <w:gridCol w:w="1124"/>
        <w:gridCol w:w="2030"/>
        <w:gridCol w:w="2159"/>
      </w:tblGrid>
      <w:tr w:rsidR="00242C36" w:rsidRPr="002264B3" w:rsidTr="00242C36">
        <w:trPr>
          <w:trHeight w:val="735"/>
        </w:trPr>
        <w:tc>
          <w:tcPr>
            <w:tcW w:w="2215" w:type="dxa"/>
            <w:tcBorders>
              <w:top w:val="single" w:sz="4" w:space="0" w:color="auto"/>
              <w:left w:val="single" w:sz="4" w:space="0" w:color="auto"/>
              <w:bottom w:val="single" w:sz="4" w:space="0" w:color="auto"/>
              <w:right w:val="single" w:sz="4" w:space="0" w:color="auto"/>
            </w:tcBorders>
          </w:tcPr>
          <w:p w:rsidR="00242C36" w:rsidRPr="002264B3" w:rsidRDefault="00242C36" w:rsidP="00242C36">
            <w:pPr>
              <w:pStyle w:val="tlText2VlastnfarbaRGB31"/>
              <w:spacing w:after="120" w:line="240" w:lineRule="auto"/>
              <w:rPr>
                <w:rFonts w:cs="Calibri"/>
                <w:b/>
                <w:color w:val="auto"/>
                <w:sz w:val="20"/>
              </w:rPr>
            </w:pPr>
            <w:r w:rsidRPr="002264B3">
              <w:rPr>
                <w:rFonts w:cs="Calibri"/>
                <w:b/>
                <w:color w:val="auto"/>
                <w:sz w:val="20"/>
              </w:rPr>
              <w:t>Typ HNV</w:t>
            </w:r>
          </w:p>
        </w:tc>
        <w:tc>
          <w:tcPr>
            <w:tcW w:w="1777" w:type="dxa"/>
            <w:tcBorders>
              <w:top w:val="single" w:sz="4" w:space="0" w:color="auto"/>
              <w:left w:val="single" w:sz="4" w:space="0" w:color="auto"/>
              <w:bottom w:val="single" w:sz="4" w:space="0" w:color="auto"/>
              <w:right w:val="single" w:sz="4" w:space="0" w:color="auto"/>
            </w:tcBorders>
          </w:tcPr>
          <w:p w:rsidR="00242C36" w:rsidRPr="002264B3" w:rsidRDefault="00242C36" w:rsidP="00242C36">
            <w:pPr>
              <w:pStyle w:val="tlText2VlastnfarbaRGB31"/>
              <w:spacing w:after="120" w:line="240" w:lineRule="auto"/>
              <w:rPr>
                <w:rFonts w:cs="Calibri"/>
                <w:b/>
                <w:color w:val="auto"/>
                <w:sz w:val="20"/>
              </w:rPr>
            </w:pPr>
            <w:r w:rsidRPr="002264B3">
              <w:rPr>
                <w:rFonts w:cs="Calibri"/>
                <w:b/>
                <w:color w:val="auto"/>
                <w:sz w:val="20"/>
              </w:rPr>
              <w:t>Indikátor</w:t>
            </w:r>
          </w:p>
        </w:tc>
        <w:tc>
          <w:tcPr>
            <w:tcW w:w="1125" w:type="dxa"/>
            <w:tcBorders>
              <w:top w:val="single" w:sz="4" w:space="0" w:color="auto"/>
              <w:left w:val="single" w:sz="4" w:space="0" w:color="auto"/>
              <w:bottom w:val="single" w:sz="4" w:space="0" w:color="auto"/>
              <w:right w:val="single" w:sz="4" w:space="0" w:color="auto"/>
            </w:tcBorders>
          </w:tcPr>
          <w:p w:rsidR="00242C36" w:rsidRPr="002264B3" w:rsidRDefault="00242C36" w:rsidP="00242C36">
            <w:pPr>
              <w:pStyle w:val="tlText2VlastnfarbaRGB31"/>
              <w:spacing w:after="120" w:line="240" w:lineRule="auto"/>
              <w:jc w:val="center"/>
              <w:rPr>
                <w:rFonts w:cs="Calibri"/>
                <w:b/>
                <w:color w:val="auto"/>
                <w:sz w:val="20"/>
              </w:rPr>
            </w:pPr>
            <w:r w:rsidRPr="002264B3">
              <w:rPr>
                <w:rFonts w:cs="Calibri"/>
                <w:b/>
                <w:color w:val="auto"/>
                <w:sz w:val="20"/>
              </w:rPr>
              <w:t>Rozloha (ha)</w:t>
            </w:r>
          </w:p>
        </w:tc>
        <w:tc>
          <w:tcPr>
            <w:tcW w:w="2040" w:type="dxa"/>
            <w:tcBorders>
              <w:top w:val="single" w:sz="4" w:space="0" w:color="auto"/>
              <w:left w:val="single" w:sz="4" w:space="0" w:color="auto"/>
              <w:bottom w:val="single" w:sz="4" w:space="0" w:color="auto"/>
              <w:right w:val="single" w:sz="4" w:space="0" w:color="auto"/>
            </w:tcBorders>
          </w:tcPr>
          <w:p w:rsidR="00242C36" w:rsidRPr="002264B3" w:rsidRDefault="00242C36" w:rsidP="00242C36">
            <w:pPr>
              <w:pStyle w:val="tlText2VlastnfarbaRGB31"/>
              <w:spacing w:after="120" w:line="240" w:lineRule="auto"/>
              <w:rPr>
                <w:rFonts w:cs="Calibri"/>
                <w:b/>
                <w:color w:val="auto"/>
                <w:sz w:val="20"/>
              </w:rPr>
            </w:pPr>
            <w:r w:rsidRPr="002264B3">
              <w:rPr>
                <w:rFonts w:cs="Calibri"/>
                <w:b/>
                <w:color w:val="auto"/>
                <w:sz w:val="20"/>
              </w:rPr>
              <w:t>Databáza</w:t>
            </w:r>
          </w:p>
        </w:tc>
        <w:tc>
          <w:tcPr>
            <w:tcW w:w="2129" w:type="dxa"/>
            <w:tcBorders>
              <w:top w:val="single" w:sz="4" w:space="0" w:color="auto"/>
              <w:left w:val="single" w:sz="4" w:space="0" w:color="auto"/>
              <w:bottom w:val="single" w:sz="4" w:space="0" w:color="auto"/>
              <w:right w:val="single" w:sz="4" w:space="0" w:color="auto"/>
            </w:tcBorders>
          </w:tcPr>
          <w:p w:rsidR="00242C36" w:rsidRPr="002264B3" w:rsidRDefault="00242C36" w:rsidP="00242C36">
            <w:pPr>
              <w:pStyle w:val="tlText2VlastnfarbaRGB31"/>
              <w:spacing w:after="120" w:line="240" w:lineRule="auto"/>
              <w:rPr>
                <w:rFonts w:cs="Calibri"/>
                <w:b/>
                <w:color w:val="auto"/>
                <w:sz w:val="20"/>
              </w:rPr>
            </w:pPr>
            <w:r w:rsidRPr="002264B3">
              <w:rPr>
                <w:rFonts w:cs="Calibri"/>
                <w:b/>
                <w:color w:val="auto"/>
                <w:sz w:val="20"/>
              </w:rPr>
              <w:t>Monitoring</w:t>
            </w:r>
          </w:p>
        </w:tc>
      </w:tr>
      <w:tr w:rsidR="00242C36" w:rsidRPr="002264B3" w:rsidTr="00242C36">
        <w:trPr>
          <w:trHeight w:val="540"/>
        </w:trPr>
        <w:tc>
          <w:tcPr>
            <w:tcW w:w="2215" w:type="dxa"/>
            <w:tcBorders>
              <w:top w:val="single" w:sz="4" w:space="0" w:color="auto"/>
              <w:left w:val="single" w:sz="4" w:space="0" w:color="auto"/>
              <w:bottom w:val="single" w:sz="4" w:space="0" w:color="auto"/>
              <w:right w:val="single" w:sz="4" w:space="0" w:color="auto"/>
            </w:tcBorders>
          </w:tcPr>
          <w:p w:rsidR="00242C36" w:rsidRPr="002264B3" w:rsidRDefault="00242C36" w:rsidP="00242C36">
            <w:pPr>
              <w:pStyle w:val="tlText2VlastnfarbaRGB31"/>
              <w:spacing w:after="120" w:line="240" w:lineRule="auto"/>
              <w:jc w:val="left"/>
              <w:rPr>
                <w:rFonts w:cs="Calibri"/>
                <w:b/>
                <w:color w:val="auto"/>
                <w:sz w:val="20"/>
              </w:rPr>
            </w:pPr>
            <w:r w:rsidRPr="002264B3">
              <w:rPr>
                <w:rFonts w:cs="Calibri"/>
                <w:b/>
                <w:color w:val="auto"/>
                <w:sz w:val="20"/>
              </w:rPr>
              <w:t xml:space="preserve">Typ 1  </w:t>
            </w:r>
          </w:p>
          <w:p w:rsidR="00242C36" w:rsidRPr="002264B3" w:rsidRDefault="00242C36" w:rsidP="00242C36">
            <w:pPr>
              <w:pStyle w:val="tlText2VlastnfarbaRGB31"/>
              <w:spacing w:after="120" w:line="240" w:lineRule="auto"/>
              <w:jc w:val="left"/>
              <w:rPr>
                <w:rFonts w:cs="Calibri"/>
                <w:color w:val="auto"/>
                <w:sz w:val="20"/>
              </w:rPr>
            </w:pPr>
            <w:r w:rsidRPr="002264B3">
              <w:rPr>
                <w:rFonts w:cs="Calibri"/>
                <w:color w:val="auto"/>
                <w:sz w:val="20"/>
              </w:rPr>
              <w:t>Prírodné a poloprírodné lesy</w:t>
            </w:r>
          </w:p>
          <w:p w:rsidR="00242C36" w:rsidRPr="002264B3" w:rsidRDefault="00242C36" w:rsidP="00242C36">
            <w:pPr>
              <w:pStyle w:val="tlText2VlastnfarbaRGB31"/>
              <w:spacing w:after="120" w:line="240" w:lineRule="auto"/>
              <w:jc w:val="left"/>
              <w:rPr>
                <w:rFonts w:cs="Calibri"/>
                <w:color w:val="auto"/>
                <w:sz w:val="20"/>
              </w:rPr>
            </w:pPr>
            <w:r w:rsidRPr="002264B3">
              <w:rPr>
                <w:rFonts w:cs="Calibri"/>
                <w:color w:val="auto"/>
                <w:sz w:val="20"/>
              </w:rPr>
              <w:t>Z toho:</w:t>
            </w:r>
          </w:p>
          <w:p w:rsidR="00242C36" w:rsidRPr="002264B3" w:rsidRDefault="00242C36" w:rsidP="00CE203B">
            <w:pPr>
              <w:pStyle w:val="tlText2VlastnfarbaRGB31"/>
              <w:numPr>
                <w:ilvl w:val="0"/>
                <w:numId w:val="315"/>
              </w:numPr>
              <w:spacing w:after="120" w:line="240" w:lineRule="auto"/>
              <w:jc w:val="left"/>
              <w:rPr>
                <w:rFonts w:cs="Calibri"/>
                <w:color w:val="auto"/>
                <w:sz w:val="20"/>
              </w:rPr>
            </w:pPr>
            <w:r w:rsidRPr="002264B3">
              <w:rPr>
                <w:rFonts w:cs="Calibri"/>
                <w:color w:val="auto"/>
                <w:sz w:val="20"/>
              </w:rPr>
              <w:t>v územiach Natura 2000</w:t>
            </w:r>
          </w:p>
          <w:p w:rsidR="00242C36" w:rsidRPr="002264B3" w:rsidRDefault="00242C36" w:rsidP="00CE203B">
            <w:pPr>
              <w:pStyle w:val="tlText2VlastnfarbaRGB31"/>
              <w:numPr>
                <w:ilvl w:val="0"/>
                <w:numId w:val="315"/>
              </w:numPr>
              <w:spacing w:after="120" w:line="240" w:lineRule="auto"/>
              <w:jc w:val="left"/>
              <w:rPr>
                <w:rFonts w:cs="Calibri"/>
                <w:color w:val="auto"/>
                <w:sz w:val="20"/>
              </w:rPr>
            </w:pPr>
            <w:r w:rsidRPr="002264B3">
              <w:rPr>
                <w:rFonts w:cs="Calibri"/>
                <w:color w:val="auto"/>
                <w:sz w:val="20"/>
              </w:rPr>
              <w:t>mimo území Natura 2000</w:t>
            </w:r>
          </w:p>
        </w:tc>
        <w:tc>
          <w:tcPr>
            <w:tcW w:w="1777" w:type="dxa"/>
            <w:tcBorders>
              <w:top w:val="single" w:sz="4" w:space="0" w:color="auto"/>
              <w:left w:val="single" w:sz="4" w:space="0" w:color="auto"/>
              <w:bottom w:val="single" w:sz="4" w:space="0" w:color="auto"/>
              <w:right w:val="single" w:sz="4" w:space="0" w:color="auto"/>
            </w:tcBorders>
          </w:tcPr>
          <w:p w:rsidR="00242C36" w:rsidRPr="002264B3" w:rsidRDefault="00242C36" w:rsidP="00242C36">
            <w:pPr>
              <w:pStyle w:val="tlText2VlastnfarbaRGB31"/>
              <w:spacing w:after="120" w:line="240" w:lineRule="auto"/>
              <w:jc w:val="left"/>
              <w:rPr>
                <w:rStyle w:val="hps"/>
                <w:rFonts w:cs="Calibri"/>
                <w:color w:val="auto"/>
                <w:sz w:val="20"/>
              </w:rPr>
            </w:pPr>
            <w:r w:rsidRPr="002264B3">
              <w:rPr>
                <w:rStyle w:val="hps"/>
                <w:rFonts w:cs="Calibri"/>
                <w:color w:val="auto"/>
                <w:sz w:val="20"/>
              </w:rPr>
              <w:t>Nepôvodné druhy stromov (výmera)</w:t>
            </w:r>
          </w:p>
          <w:p w:rsidR="00242C36" w:rsidRPr="002264B3" w:rsidRDefault="00242C36" w:rsidP="00242C36">
            <w:pPr>
              <w:pStyle w:val="tlText2VlastnfarbaRGB31"/>
              <w:spacing w:after="120" w:line="240" w:lineRule="auto"/>
              <w:jc w:val="left"/>
              <w:rPr>
                <w:rStyle w:val="hps"/>
                <w:rFonts w:cs="Calibri"/>
                <w:color w:val="auto"/>
                <w:sz w:val="20"/>
              </w:rPr>
            </w:pPr>
            <w:r w:rsidRPr="002264B3">
              <w:rPr>
                <w:rStyle w:val="hps"/>
                <w:rFonts w:cs="Calibri"/>
                <w:color w:val="auto"/>
                <w:sz w:val="20"/>
              </w:rPr>
              <w:t>Obnova lesov</w:t>
            </w:r>
            <w:r w:rsidRPr="002264B3">
              <w:rPr>
                <w:rStyle w:val="hps"/>
                <w:rFonts w:cs="Calibri"/>
                <w:color w:val="auto"/>
                <w:sz w:val="20"/>
              </w:rPr>
              <w:lastRenderedPageBreak/>
              <w:t xml:space="preserve"> (prirodzená alebo výsadbou)</w:t>
            </w:r>
          </w:p>
          <w:p w:rsidR="00242C36" w:rsidRPr="002264B3" w:rsidRDefault="00242C36" w:rsidP="00242C36">
            <w:pPr>
              <w:pStyle w:val="tlText2VlastnfarbaRGB31"/>
              <w:spacing w:after="120" w:line="240" w:lineRule="auto"/>
              <w:jc w:val="left"/>
              <w:rPr>
                <w:rStyle w:val="hps"/>
                <w:rFonts w:cs="Calibri"/>
                <w:color w:val="auto"/>
                <w:sz w:val="20"/>
              </w:rPr>
            </w:pPr>
            <w:r w:rsidRPr="002264B3">
              <w:rPr>
                <w:rStyle w:val="hps"/>
                <w:rFonts w:cs="Calibri"/>
                <w:color w:val="auto"/>
                <w:sz w:val="20"/>
              </w:rPr>
              <w:t>Chránené lesy (stupeň ochrany)</w:t>
            </w:r>
          </w:p>
          <w:p w:rsidR="00242C36" w:rsidRPr="002264B3" w:rsidRDefault="00242C36" w:rsidP="00242C36">
            <w:pPr>
              <w:pStyle w:val="tlText2VlastnfarbaRGB31"/>
              <w:spacing w:after="120" w:line="240" w:lineRule="auto"/>
              <w:jc w:val="left"/>
              <w:rPr>
                <w:rFonts w:cs="Calibri"/>
                <w:color w:val="auto"/>
                <w:sz w:val="20"/>
              </w:rPr>
            </w:pPr>
            <w:r w:rsidRPr="002264B3">
              <w:rPr>
                <w:rStyle w:val="hps"/>
                <w:rFonts w:cs="Calibri"/>
                <w:color w:val="auto"/>
                <w:sz w:val="20"/>
              </w:rPr>
              <w:t xml:space="preserve">Skladba drevín  (lesný typ, výmera) </w:t>
            </w:r>
            <w:r w:rsidRPr="002264B3">
              <w:rPr>
                <w:rFonts w:cs="Calibri"/>
                <w:color w:val="auto"/>
                <w:sz w:val="20"/>
              </w:rPr>
              <w:t xml:space="preserve"> </w:t>
            </w:r>
          </w:p>
        </w:tc>
        <w:tc>
          <w:tcPr>
            <w:tcW w:w="1125" w:type="dxa"/>
            <w:tcBorders>
              <w:top w:val="single" w:sz="4" w:space="0" w:color="auto"/>
              <w:left w:val="single" w:sz="4" w:space="0" w:color="auto"/>
              <w:bottom w:val="single" w:sz="4" w:space="0" w:color="auto"/>
              <w:right w:val="single" w:sz="4" w:space="0" w:color="auto"/>
            </w:tcBorders>
          </w:tcPr>
          <w:p w:rsidR="00242C36" w:rsidRPr="002264B3" w:rsidRDefault="00242C36" w:rsidP="00242C36">
            <w:pPr>
              <w:pStyle w:val="tlText2VlastnfarbaRGB31"/>
              <w:spacing w:after="120" w:line="240" w:lineRule="auto"/>
              <w:jc w:val="center"/>
              <w:rPr>
                <w:rFonts w:cs="Calibri"/>
                <w:color w:val="auto"/>
                <w:sz w:val="20"/>
              </w:rPr>
            </w:pPr>
            <w:r w:rsidRPr="002264B3">
              <w:rPr>
                <w:rFonts w:cs="Calibri"/>
                <w:color w:val="auto"/>
                <w:sz w:val="20"/>
              </w:rPr>
              <w:t>1 888 804</w:t>
            </w:r>
          </w:p>
          <w:p w:rsidR="00242C36" w:rsidRPr="002264B3" w:rsidRDefault="00242C36" w:rsidP="00242C36">
            <w:pPr>
              <w:pStyle w:val="tlText2VlastnfarbaRGB31"/>
              <w:spacing w:after="120" w:line="240" w:lineRule="auto"/>
              <w:jc w:val="center"/>
              <w:rPr>
                <w:rFonts w:cs="Calibri"/>
                <w:color w:val="auto"/>
                <w:sz w:val="20"/>
              </w:rPr>
            </w:pPr>
          </w:p>
        </w:tc>
        <w:tc>
          <w:tcPr>
            <w:tcW w:w="2040" w:type="dxa"/>
            <w:tcBorders>
              <w:top w:val="single" w:sz="4" w:space="0" w:color="auto"/>
              <w:left w:val="single" w:sz="4" w:space="0" w:color="auto"/>
              <w:bottom w:val="single" w:sz="4" w:space="0" w:color="auto"/>
              <w:right w:val="single" w:sz="4" w:space="0" w:color="auto"/>
            </w:tcBorders>
          </w:tcPr>
          <w:p w:rsidR="00242C36" w:rsidRPr="002264B3" w:rsidRDefault="00242C36" w:rsidP="00242C36">
            <w:pPr>
              <w:pStyle w:val="Normlnywebov"/>
              <w:rPr>
                <w:rFonts w:ascii="Calibri" w:hAnsi="Calibri" w:cs="Calibri"/>
                <w:sz w:val="20"/>
                <w:szCs w:val="20"/>
              </w:rPr>
            </w:pPr>
            <w:r w:rsidRPr="002264B3">
              <w:rPr>
                <w:rFonts w:ascii="Calibri" w:hAnsi="Calibri" w:cs="Calibri"/>
                <w:sz w:val="20"/>
                <w:szCs w:val="20"/>
              </w:rPr>
              <w:t xml:space="preserve">Informačný systém lesného hospodárstva </w:t>
            </w:r>
            <w:r w:rsidRPr="002264B3">
              <w:rPr>
                <w:rFonts w:ascii="Calibri" w:hAnsi="Calibri" w:cs="Calibri"/>
                <w:sz w:val="20"/>
                <w:szCs w:val="20"/>
              </w:rPr>
              <w:lastRenderedPageBreak/>
              <w:t xml:space="preserve"> (NLC Zvolen)</w:t>
            </w:r>
          </w:p>
          <w:p w:rsidR="00242C36" w:rsidRPr="002264B3" w:rsidRDefault="00242C36" w:rsidP="00242C36">
            <w:pPr>
              <w:pStyle w:val="tlText2VlastnfarbaRGB31"/>
              <w:spacing w:after="120" w:line="240" w:lineRule="auto"/>
              <w:jc w:val="left"/>
              <w:rPr>
                <w:rFonts w:cs="Calibri"/>
                <w:color w:val="auto"/>
                <w:sz w:val="20"/>
              </w:rPr>
            </w:pPr>
            <w:r w:rsidRPr="002264B3">
              <w:rPr>
                <w:rFonts w:cs="Calibri"/>
                <w:color w:val="auto"/>
                <w:sz w:val="20"/>
              </w:rPr>
              <w:t>Monitoring území NATURA 2000 (Štátna ochrana prírody SR)</w:t>
            </w:r>
          </w:p>
        </w:tc>
        <w:tc>
          <w:tcPr>
            <w:tcW w:w="2129" w:type="dxa"/>
            <w:tcBorders>
              <w:top w:val="single" w:sz="4" w:space="0" w:color="auto"/>
              <w:left w:val="single" w:sz="4" w:space="0" w:color="auto"/>
              <w:bottom w:val="single" w:sz="4" w:space="0" w:color="auto"/>
              <w:right w:val="single" w:sz="4" w:space="0" w:color="auto"/>
            </w:tcBorders>
          </w:tcPr>
          <w:p w:rsidR="00242C36" w:rsidRPr="002264B3" w:rsidRDefault="00242C36" w:rsidP="00242C36">
            <w:pPr>
              <w:pStyle w:val="tlText2VlastnfarbaRGB31"/>
              <w:spacing w:after="120" w:line="240" w:lineRule="auto"/>
              <w:jc w:val="left"/>
              <w:rPr>
                <w:rFonts w:cs="Calibri"/>
                <w:color w:val="auto"/>
                <w:sz w:val="20"/>
              </w:rPr>
            </w:pPr>
            <w:r w:rsidRPr="002264B3">
              <w:rPr>
                <w:rFonts w:cs="Calibri"/>
                <w:color w:val="auto"/>
                <w:sz w:val="20"/>
              </w:rPr>
              <w:t>Mapovanie stavu v stanovených   ročných cykloch. (NLC Zvolen)</w:t>
            </w:r>
          </w:p>
          <w:p w:rsidR="00242C36" w:rsidRPr="002264B3" w:rsidRDefault="00242C36" w:rsidP="00242C36">
            <w:pPr>
              <w:pStyle w:val="tlText2VlastnfarbaRGB31"/>
              <w:spacing w:after="120" w:line="240" w:lineRule="auto"/>
              <w:jc w:val="left"/>
              <w:rPr>
                <w:rFonts w:cs="Calibri"/>
                <w:color w:val="auto"/>
                <w:sz w:val="20"/>
              </w:rPr>
            </w:pPr>
            <w:r w:rsidRPr="002264B3">
              <w:rPr>
                <w:rFonts w:cs="Calibri"/>
                <w:color w:val="auto"/>
                <w:sz w:val="20"/>
              </w:rPr>
              <w:t>(ŠOP SR)</w:t>
            </w:r>
          </w:p>
        </w:tc>
      </w:tr>
      <w:tr w:rsidR="00242C36" w:rsidRPr="002264B3" w:rsidTr="00242C36">
        <w:trPr>
          <w:trHeight w:val="525"/>
        </w:trPr>
        <w:tc>
          <w:tcPr>
            <w:tcW w:w="2215" w:type="dxa"/>
            <w:tcBorders>
              <w:top w:val="single" w:sz="4" w:space="0" w:color="auto"/>
              <w:left w:val="single" w:sz="4" w:space="0" w:color="auto"/>
              <w:bottom w:val="single" w:sz="4" w:space="0" w:color="auto"/>
              <w:right w:val="single" w:sz="4" w:space="0" w:color="auto"/>
            </w:tcBorders>
          </w:tcPr>
          <w:p w:rsidR="00242C36" w:rsidRPr="002264B3" w:rsidRDefault="00242C36" w:rsidP="00242C36">
            <w:pPr>
              <w:pStyle w:val="tlText2VlastnfarbaRGB31"/>
              <w:spacing w:after="120" w:line="240" w:lineRule="auto"/>
              <w:jc w:val="left"/>
              <w:rPr>
                <w:rFonts w:ascii="Arial" w:hAnsi="Arial" w:cs="Arial"/>
                <w:b/>
                <w:color w:val="auto"/>
                <w:sz w:val="20"/>
              </w:rPr>
            </w:pPr>
            <w:r w:rsidRPr="002264B3">
              <w:rPr>
                <w:rFonts w:cs="Calibri"/>
                <w:b/>
                <w:color w:val="auto"/>
                <w:sz w:val="20"/>
              </w:rPr>
              <w:t xml:space="preserve">Typ 2 </w:t>
            </w:r>
            <w:r w:rsidRPr="002264B3">
              <w:rPr>
                <w:rFonts w:ascii="Arial" w:hAnsi="Arial" w:cs="Arial"/>
                <w:b/>
                <w:color w:val="auto"/>
                <w:sz w:val="20"/>
              </w:rPr>
              <w:t xml:space="preserve"> </w:t>
            </w:r>
          </w:p>
          <w:p w:rsidR="00242C36" w:rsidRPr="002264B3" w:rsidRDefault="00242C36" w:rsidP="00242C36">
            <w:pPr>
              <w:pStyle w:val="tlText2VlastnfarbaRGB31"/>
              <w:spacing w:after="120" w:line="240" w:lineRule="auto"/>
              <w:jc w:val="left"/>
              <w:rPr>
                <w:rFonts w:cs="Calibri"/>
                <w:color w:val="auto"/>
                <w:sz w:val="20"/>
              </w:rPr>
            </w:pPr>
            <w:r w:rsidRPr="002264B3">
              <w:rPr>
                <w:rFonts w:cs="Calibri"/>
                <w:color w:val="auto"/>
                <w:sz w:val="20"/>
              </w:rPr>
              <w:t xml:space="preserve">Prirodzene sa </w:t>
            </w:r>
            <w:r w:rsidR="008F198F" w:rsidRPr="002264B3">
              <w:rPr>
                <w:rFonts w:cs="Calibri"/>
                <w:color w:val="auto"/>
                <w:sz w:val="20"/>
              </w:rPr>
              <w:t>vyvíjajúce</w:t>
            </w:r>
            <w:r w:rsidRPr="002264B3">
              <w:rPr>
                <w:rFonts w:cs="Calibri"/>
                <w:color w:val="auto"/>
                <w:sz w:val="20"/>
              </w:rPr>
              <w:t xml:space="preserve"> lesy (pralesy)</w:t>
            </w:r>
          </w:p>
        </w:tc>
        <w:tc>
          <w:tcPr>
            <w:tcW w:w="1777" w:type="dxa"/>
            <w:tcBorders>
              <w:top w:val="single" w:sz="4" w:space="0" w:color="auto"/>
              <w:left w:val="single" w:sz="4" w:space="0" w:color="auto"/>
              <w:bottom w:val="single" w:sz="4" w:space="0" w:color="auto"/>
              <w:right w:val="single" w:sz="4" w:space="0" w:color="auto"/>
            </w:tcBorders>
          </w:tcPr>
          <w:p w:rsidR="00242C36" w:rsidRPr="002264B3" w:rsidRDefault="00242C36" w:rsidP="00242C36">
            <w:pPr>
              <w:pStyle w:val="tlText2VlastnfarbaRGB31"/>
              <w:spacing w:after="120" w:line="240" w:lineRule="auto"/>
              <w:jc w:val="left"/>
              <w:rPr>
                <w:rStyle w:val="hps"/>
                <w:rFonts w:cs="Calibri"/>
                <w:color w:val="auto"/>
                <w:sz w:val="20"/>
              </w:rPr>
            </w:pPr>
            <w:r w:rsidRPr="002264B3">
              <w:rPr>
                <w:rStyle w:val="hps"/>
                <w:rFonts w:cs="Calibri"/>
                <w:color w:val="auto"/>
                <w:sz w:val="20"/>
              </w:rPr>
              <w:t>Objem stojaceho a ležiaceho mŕtveho dreva.</w:t>
            </w:r>
          </w:p>
          <w:p w:rsidR="00242C36" w:rsidRPr="002264B3" w:rsidRDefault="00242C36" w:rsidP="00242C36">
            <w:pPr>
              <w:pStyle w:val="tlText2VlastnfarbaRGB31"/>
              <w:spacing w:after="120" w:line="240" w:lineRule="auto"/>
              <w:jc w:val="left"/>
              <w:rPr>
                <w:rStyle w:val="hps"/>
                <w:rFonts w:cs="Calibri"/>
                <w:color w:val="auto"/>
                <w:sz w:val="20"/>
              </w:rPr>
            </w:pPr>
            <w:r w:rsidRPr="002264B3">
              <w:rPr>
                <w:rStyle w:val="hps"/>
                <w:rFonts w:cs="Calibri"/>
                <w:color w:val="auto"/>
                <w:sz w:val="20"/>
              </w:rPr>
              <w:t>Hustota hrubých stromov.</w:t>
            </w:r>
          </w:p>
          <w:p w:rsidR="00242C36" w:rsidRPr="002264B3" w:rsidRDefault="00242C36" w:rsidP="00242C36">
            <w:pPr>
              <w:pStyle w:val="tlText2VlastnfarbaRGB31"/>
              <w:spacing w:after="120" w:line="240" w:lineRule="auto"/>
              <w:jc w:val="left"/>
              <w:rPr>
                <w:rFonts w:cs="Calibri"/>
                <w:color w:val="auto"/>
                <w:sz w:val="20"/>
              </w:rPr>
            </w:pPr>
            <w:r w:rsidRPr="002264B3">
              <w:rPr>
                <w:rStyle w:val="hps"/>
                <w:rFonts w:cs="Calibri"/>
                <w:color w:val="auto"/>
                <w:sz w:val="20"/>
              </w:rPr>
              <w:t>Miera fragmentácie v čase (vývojový cyklus)</w:t>
            </w:r>
          </w:p>
        </w:tc>
        <w:tc>
          <w:tcPr>
            <w:tcW w:w="1125" w:type="dxa"/>
            <w:tcBorders>
              <w:top w:val="single" w:sz="4" w:space="0" w:color="auto"/>
              <w:left w:val="single" w:sz="4" w:space="0" w:color="auto"/>
              <w:bottom w:val="single" w:sz="4" w:space="0" w:color="auto"/>
              <w:right w:val="single" w:sz="4" w:space="0" w:color="auto"/>
            </w:tcBorders>
          </w:tcPr>
          <w:p w:rsidR="00242C36" w:rsidRPr="002264B3" w:rsidRDefault="00242C36" w:rsidP="00242C36">
            <w:pPr>
              <w:pStyle w:val="tlText2VlastnfarbaRGB31"/>
              <w:spacing w:after="120" w:line="240" w:lineRule="auto"/>
              <w:jc w:val="center"/>
              <w:rPr>
                <w:rFonts w:cs="Calibri"/>
                <w:color w:val="auto"/>
                <w:sz w:val="20"/>
              </w:rPr>
            </w:pPr>
            <w:r w:rsidRPr="002264B3">
              <w:rPr>
                <w:rFonts w:cs="Calibri"/>
                <w:color w:val="auto"/>
                <w:sz w:val="20"/>
              </w:rPr>
              <w:t>10 104</w:t>
            </w:r>
          </w:p>
        </w:tc>
        <w:tc>
          <w:tcPr>
            <w:tcW w:w="2040" w:type="dxa"/>
            <w:tcBorders>
              <w:top w:val="single" w:sz="4" w:space="0" w:color="auto"/>
              <w:left w:val="single" w:sz="4" w:space="0" w:color="auto"/>
              <w:bottom w:val="single" w:sz="4" w:space="0" w:color="auto"/>
              <w:right w:val="single" w:sz="4" w:space="0" w:color="auto"/>
            </w:tcBorders>
            <w:shd w:val="clear" w:color="auto" w:fill="auto"/>
          </w:tcPr>
          <w:p w:rsidR="00242C36" w:rsidRPr="00712A15" w:rsidRDefault="00242C36" w:rsidP="00242C36">
            <w:pPr>
              <w:pStyle w:val="tlText2VlastnfarbaRGB31"/>
              <w:spacing w:after="120" w:line="240" w:lineRule="auto"/>
              <w:jc w:val="left"/>
              <w:rPr>
                <w:rFonts w:cs="Calibri"/>
                <w:color w:val="auto"/>
                <w:sz w:val="20"/>
              </w:rPr>
            </w:pPr>
            <w:r w:rsidRPr="00712A15">
              <w:rPr>
                <w:rFonts w:cs="Calibri"/>
                <w:color w:val="auto"/>
                <w:sz w:val="20"/>
              </w:rPr>
              <w:t xml:space="preserve">Základné mapovanie projekt </w:t>
            </w:r>
            <w:r w:rsidRPr="00712A15">
              <w:rPr>
                <w:rFonts w:cs="Calibri"/>
                <w:color w:val="auto"/>
                <w:szCs w:val="22"/>
              </w:rPr>
              <w:t xml:space="preserve"> </w:t>
            </w:r>
            <w:r w:rsidRPr="00712A15">
              <w:rPr>
                <w:rFonts w:cs="Calibri"/>
                <w:color w:val="auto"/>
                <w:sz w:val="20"/>
              </w:rPr>
              <w:t>Poznávame a chránime pralesy Slovenska (Prales o.z.)</w:t>
            </w:r>
          </w:p>
        </w:tc>
        <w:tc>
          <w:tcPr>
            <w:tcW w:w="2129" w:type="dxa"/>
            <w:tcBorders>
              <w:top w:val="single" w:sz="4" w:space="0" w:color="auto"/>
              <w:left w:val="single" w:sz="4" w:space="0" w:color="auto"/>
              <w:bottom w:val="single" w:sz="4" w:space="0" w:color="auto"/>
              <w:right w:val="single" w:sz="4" w:space="0" w:color="auto"/>
            </w:tcBorders>
          </w:tcPr>
          <w:p w:rsidR="00242C36" w:rsidRPr="002264B3" w:rsidRDefault="00242C36" w:rsidP="00242C36">
            <w:pPr>
              <w:pStyle w:val="tlText2VlastnfarbaRGB31"/>
              <w:spacing w:after="120" w:line="240" w:lineRule="auto"/>
              <w:jc w:val="left"/>
              <w:rPr>
                <w:rFonts w:cs="Calibri"/>
                <w:color w:val="auto"/>
                <w:sz w:val="20"/>
              </w:rPr>
            </w:pPr>
            <w:r w:rsidRPr="002264B3">
              <w:rPr>
                <w:rFonts w:cs="Calibri"/>
                <w:color w:val="auto"/>
                <w:sz w:val="20"/>
              </w:rPr>
              <w:t xml:space="preserve">Mapovanie stavu v stanovených  x ročných cykloch </w:t>
            </w:r>
          </w:p>
          <w:p w:rsidR="00242C36" w:rsidRPr="002264B3" w:rsidRDefault="00242C36" w:rsidP="00242C36">
            <w:pPr>
              <w:pStyle w:val="tlText2VlastnfarbaRGB31"/>
              <w:spacing w:after="120" w:line="240" w:lineRule="auto"/>
              <w:jc w:val="left"/>
              <w:rPr>
                <w:rFonts w:cs="Calibri"/>
                <w:color w:val="auto"/>
                <w:sz w:val="20"/>
              </w:rPr>
            </w:pPr>
            <w:r w:rsidRPr="002264B3">
              <w:rPr>
                <w:rFonts w:cs="Calibri"/>
                <w:color w:val="auto"/>
                <w:sz w:val="20"/>
              </w:rPr>
              <w:t>(poverená organizácia)</w:t>
            </w:r>
          </w:p>
        </w:tc>
      </w:tr>
      <w:tr w:rsidR="00242C36" w:rsidRPr="002264B3" w:rsidTr="00242C36">
        <w:trPr>
          <w:trHeight w:val="675"/>
        </w:trPr>
        <w:tc>
          <w:tcPr>
            <w:tcW w:w="2215" w:type="dxa"/>
            <w:tcBorders>
              <w:top w:val="single" w:sz="4" w:space="0" w:color="auto"/>
              <w:left w:val="single" w:sz="4" w:space="0" w:color="auto"/>
              <w:bottom w:val="single" w:sz="4" w:space="0" w:color="auto"/>
              <w:right w:val="single" w:sz="4" w:space="0" w:color="auto"/>
            </w:tcBorders>
          </w:tcPr>
          <w:p w:rsidR="00242C36" w:rsidRPr="002264B3" w:rsidRDefault="00242C36" w:rsidP="00242C36">
            <w:pPr>
              <w:pStyle w:val="tlText2VlastnfarbaRGB31"/>
              <w:spacing w:after="120" w:line="240" w:lineRule="auto"/>
              <w:jc w:val="left"/>
              <w:rPr>
                <w:rFonts w:cs="Calibri"/>
                <w:b/>
                <w:bCs/>
                <w:color w:val="auto"/>
                <w:sz w:val="20"/>
              </w:rPr>
            </w:pPr>
            <w:r w:rsidRPr="002264B3">
              <w:rPr>
                <w:rFonts w:cs="Calibri"/>
                <w:b/>
                <w:bCs/>
                <w:color w:val="auto"/>
                <w:sz w:val="20"/>
              </w:rPr>
              <w:t>Spolu HNV na lesných  pozemkoch</w:t>
            </w:r>
          </w:p>
        </w:tc>
        <w:tc>
          <w:tcPr>
            <w:tcW w:w="1777" w:type="dxa"/>
            <w:tcBorders>
              <w:top w:val="single" w:sz="4" w:space="0" w:color="auto"/>
              <w:left w:val="single" w:sz="4" w:space="0" w:color="auto"/>
              <w:bottom w:val="single" w:sz="4" w:space="0" w:color="auto"/>
              <w:right w:val="single" w:sz="4" w:space="0" w:color="auto"/>
            </w:tcBorders>
          </w:tcPr>
          <w:p w:rsidR="00242C36" w:rsidRPr="002264B3" w:rsidRDefault="00242C36" w:rsidP="00242C36">
            <w:pPr>
              <w:pStyle w:val="tlText2VlastnfarbaRGB31"/>
              <w:spacing w:after="120" w:line="240" w:lineRule="auto"/>
              <w:jc w:val="left"/>
              <w:rPr>
                <w:rFonts w:cs="Calibri"/>
                <w:color w:val="auto"/>
                <w:sz w:val="20"/>
              </w:rPr>
            </w:pPr>
          </w:p>
        </w:tc>
        <w:tc>
          <w:tcPr>
            <w:tcW w:w="1125" w:type="dxa"/>
            <w:tcBorders>
              <w:top w:val="single" w:sz="4" w:space="0" w:color="auto"/>
              <w:left w:val="single" w:sz="4" w:space="0" w:color="auto"/>
              <w:bottom w:val="single" w:sz="4" w:space="0" w:color="auto"/>
              <w:right w:val="single" w:sz="4" w:space="0" w:color="auto"/>
            </w:tcBorders>
          </w:tcPr>
          <w:p w:rsidR="00242C36" w:rsidRPr="002264B3" w:rsidRDefault="00242C36" w:rsidP="00242C36">
            <w:pPr>
              <w:pStyle w:val="tlText2VlastnfarbaRGB31"/>
              <w:spacing w:after="120" w:line="240" w:lineRule="auto"/>
              <w:jc w:val="center"/>
              <w:rPr>
                <w:rFonts w:cs="Calibri"/>
                <w:b/>
                <w:bCs/>
                <w:color w:val="auto"/>
                <w:sz w:val="20"/>
              </w:rPr>
            </w:pPr>
            <w:r w:rsidRPr="002264B3">
              <w:rPr>
                <w:rFonts w:cs="Calibri"/>
                <w:b/>
                <w:bCs/>
                <w:color w:val="auto"/>
                <w:sz w:val="20"/>
              </w:rPr>
              <w:t>1 898 908</w:t>
            </w:r>
          </w:p>
        </w:tc>
        <w:tc>
          <w:tcPr>
            <w:tcW w:w="2040" w:type="dxa"/>
            <w:tcBorders>
              <w:top w:val="single" w:sz="4" w:space="0" w:color="auto"/>
              <w:left w:val="single" w:sz="4" w:space="0" w:color="auto"/>
              <w:bottom w:val="single" w:sz="4" w:space="0" w:color="auto"/>
              <w:right w:val="single" w:sz="4" w:space="0" w:color="auto"/>
            </w:tcBorders>
          </w:tcPr>
          <w:p w:rsidR="00242C36" w:rsidRPr="002264B3" w:rsidRDefault="00242C36" w:rsidP="00242C36">
            <w:pPr>
              <w:pStyle w:val="tlText2VlastnfarbaRGB31"/>
              <w:spacing w:after="120" w:line="240" w:lineRule="auto"/>
              <w:jc w:val="left"/>
              <w:rPr>
                <w:rFonts w:cs="Calibri"/>
                <w:color w:val="auto"/>
                <w:sz w:val="20"/>
              </w:rPr>
            </w:pPr>
          </w:p>
        </w:tc>
        <w:tc>
          <w:tcPr>
            <w:tcW w:w="2129" w:type="dxa"/>
            <w:tcBorders>
              <w:top w:val="single" w:sz="4" w:space="0" w:color="auto"/>
              <w:left w:val="single" w:sz="4" w:space="0" w:color="auto"/>
              <w:bottom w:val="single" w:sz="4" w:space="0" w:color="auto"/>
              <w:right w:val="single" w:sz="4" w:space="0" w:color="auto"/>
            </w:tcBorders>
          </w:tcPr>
          <w:p w:rsidR="00242C36" w:rsidRPr="002264B3" w:rsidRDefault="00242C36" w:rsidP="00242C36">
            <w:pPr>
              <w:pStyle w:val="tlText2VlastnfarbaRGB31"/>
              <w:spacing w:after="120" w:line="240" w:lineRule="auto"/>
              <w:jc w:val="left"/>
              <w:rPr>
                <w:rFonts w:cs="Calibri"/>
                <w:color w:val="auto"/>
                <w:sz w:val="20"/>
              </w:rPr>
            </w:pPr>
          </w:p>
        </w:tc>
      </w:tr>
    </w:tbl>
    <w:p w:rsidR="00242C36" w:rsidRPr="00E43137" w:rsidRDefault="00242C36" w:rsidP="00242C36">
      <w:pPr>
        <w:pBdr>
          <w:bar w:val="single" w:sz="6" w:color="808080"/>
        </w:pBdr>
        <w:rPr>
          <w:rFonts w:ascii="Calibri" w:eastAsia="Calibri" w:hAnsi="Calibri"/>
          <w:szCs w:val="22"/>
          <w:lang w:eastAsia="en-US"/>
        </w:rPr>
      </w:pPr>
    </w:p>
    <w:p w:rsidR="00242C36" w:rsidRDefault="00242C36" w:rsidP="00242C36">
      <w:pPr>
        <w:keepNext/>
        <w:keepLines/>
        <w:pBdr>
          <w:bar w:val="single" w:sz="6" w:color="808080"/>
        </w:pBdr>
        <w:spacing w:after="120"/>
        <w:outlineLvl w:val="1"/>
        <w:rPr>
          <w:rFonts w:ascii="Calibri" w:hAnsi="Calibri"/>
          <w:b/>
          <w:bCs/>
          <w:szCs w:val="22"/>
        </w:rPr>
      </w:pPr>
      <w:r w:rsidRPr="0074455E">
        <w:rPr>
          <w:rFonts w:ascii="Calibri" w:hAnsi="Calibri"/>
          <w:bCs/>
          <w:szCs w:val="22"/>
        </w:rPr>
        <w:t>V rámci</w:t>
      </w:r>
      <w:r w:rsidRPr="0074455E">
        <w:rPr>
          <w:rFonts w:ascii="Calibri" w:hAnsi="Calibri"/>
          <w:b/>
          <w:bCs/>
          <w:szCs w:val="22"/>
        </w:rPr>
        <w:t xml:space="preserve"> ochrany biodiverzity – biotopy TTP (CCI 36) </w:t>
      </w:r>
      <w:r w:rsidRPr="0074455E">
        <w:rPr>
          <w:rFonts w:ascii="Calibri" w:hAnsi="Calibri"/>
          <w:bCs/>
          <w:szCs w:val="22"/>
        </w:rPr>
        <w:t xml:space="preserve">podľa dostupných údajov v období 2001-2006 z hodnotených biotopov bol podiel  priaznivých biotopov 13,0%, nepriaznivých – nedostatočných 69,5%, nepriaznivých – zlých 8,7% a neznámych 8,7%. </w:t>
      </w:r>
    </w:p>
    <w:p w:rsidR="00242C36" w:rsidRPr="00E43137" w:rsidRDefault="00242C36" w:rsidP="00242C36">
      <w:pPr>
        <w:keepNext/>
        <w:keepLines/>
        <w:pBdr>
          <w:bar w:val="single" w:sz="6" w:color="808080"/>
        </w:pBdr>
        <w:spacing w:after="120"/>
        <w:outlineLvl w:val="1"/>
        <w:rPr>
          <w:rFonts w:ascii="Calibri" w:eastAsia="Calibri" w:hAnsi="Calibri"/>
          <w:szCs w:val="22"/>
          <w:lang w:eastAsia="en-US"/>
        </w:rPr>
      </w:pPr>
      <w:r w:rsidRPr="00E43137">
        <w:rPr>
          <w:rFonts w:ascii="Calibri" w:hAnsi="Calibri"/>
          <w:b/>
          <w:bCs/>
          <w:szCs w:val="22"/>
        </w:rPr>
        <w:t xml:space="preserve">Chránené lesy </w:t>
      </w:r>
      <w:r w:rsidRPr="00E43137">
        <w:rPr>
          <w:rFonts w:ascii="Calibri" w:eastAsia="Calibri" w:hAnsi="Calibri"/>
          <w:szCs w:val="22"/>
          <w:lang w:eastAsia="en-US"/>
        </w:rPr>
        <w:t xml:space="preserve">(% lesných pozemkov a nelesnej drevinovej vegetácie chránenej pre zachovanie biodiverzity, krajiny a špecifických prírodných zložiek – MCPFE 4.9, triedy 1.1, 1.2, </w:t>
      </w:r>
      <w:smartTag w:uri="urn:schemas-microsoft-com:office:smarttags" w:element="metricconverter">
        <w:smartTagPr>
          <w:attr w:name="ProductID" w:val="1.3 a"/>
        </w:smartTagPr>
        <w:r w:rsidRPr="00E43137">
          <w:rPr>
            <w:rFonts w:ascii="Calibri" w:eastAsia="Calibri" w:hAnsi="Calibri"/>
            <w:szCs w:val="22"/>
            <w:lang w:eastAsia="en-US"/>
          </w:rPr>
          <w:t>1.3 a</w:t>
        </w:r>
      </w:smartTag>
      <w:r w:rsidRPr="00E43137">
        <w:rPr>
          <w:rFonts w:ascii="Calibri" w:eastAsia="Calibri" w:hAnsi="Calibri"/>
          <w:szCs w:val="22"/>
          <w:lang w:eastAsia="en-US"/>
        </w:rPr>
        <w:t xml:space="preserve"> 2) </w:t>
      </w:r>
      <w:r>
        <w:rPr>
          <w:rFonts w:ascii="Calibri" w:eastAsia="Calibri" w:hAnsi="Calibri"/>
          <w:szCs w:val="22"/>
          <w:lang w:eastAsia="en-US"/>
        </w:rPr>
        <w:t>– podľa dostupných údajov SR n</w:t>
      </w:r>
      <w:r w:rsidRPr="00E43137">
        <w:rPr>
          <w:rFonts w:ascii="Calibri" w:eastAsia="Calibri" w:hAnsi="Calibri"/>
          <w:szCs w:val="22"/>
          <w:lang w:eastAsia="en-US"/>
        </w:rPr>
        <w:t>amerané hodnoty sú nasledovné:</w:t>
      </w:r>
    </w:p>
    <w:p w:rsidR="00242C36" w:rsidRPr="00D26E63" w:rsidRDefault="008F198F" w:rsidP="008F198F">
      <w:pPr>
        <w:pStyle w:val="Popis"/>
        <w:ind w:left="1134" w:hanging="1134"/>
        <w:jc w:val="left"/>
        <w:rPr>
          <w:b/>
          <w:i w:val="0"/>
          <w:sz w:val="22"/>
          <w:szCs w:val="22"/>
        </w:rPr>
      </w:pPr>
      <w:r>
        <w:rPr>
          <w:b/>
          <w:i w:val="0"/>
          <w:sz w:val="22"/>
          <w:szCs w:val="22"/>
        </w:rPr>
        <w:t xml:space="preserve">Tabuľka 50: </w:t>
      </w:r>
      <w:r w:rsidR="00242C36" w:rsidRPr="00D26E63">
        <w:rPr>
          <w:b/>
          <w:i w:val="0"/>
          <w:sz w:val="22"/>
          <w:szCs w:val="22"/>
        </w:rPr>
        <w:t>Výmera a percento chránených lesov podľa tried MCPFE, na základe ich identifikácie so stupňami ochrany prírody (SOP) podľa národnej legislatívy</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99"/>
        <w:gridCol w:w="810"/>
        <w:gridCol w:w="1133"/>
        <w:gridCol w:w="1057"/>
        <w:gridCol w:w="1059"/>
        <w:gridCol w:w="1057"/>
        <w:gridCol w:w="1059"/>
        <w:gridCol w:w="1057"/>
        <w:gridCol w:w="1057"/>
      </w:tblGrid>
      <w:tr w:rsidR="00242C36" w:rsidRPr="00D26E63" w:rsidTr="00242C36">
        <w:trPr>
          <w:trHeight w:val="284"/>
        </w:trPr>
        <w:tc>
          <w:tcPr>
            <w:tcW w:w="538" w:type="pct"/>
            <w:vAlign w:val="center"/>
          </w:tcPr>
          <w:p w:rsidR="00242C36" w:rsidRPr="00D26E63" w:rsidRDefault="00242C36" w:rsidP="00242C36">
            <w:pPr>
              <w:jc w:val="center"/>
              <w:rPr>
                <w:b/>
                <w:sz w:val="20"/>
                <w:szCs w:val="20"/>
              </w:rPr>
            </w:pPr>
            <w:r w:rsidRPr="00D26E63">
              <w:rPr>
                <w:b/>
                <w:sz w:val="20"/>
                <w:szCs w:val="20"/>
              </w:rPr>
              <w:t>MCPFE trieda</w:t>
            </w:r>
          </w:p>
        </w:tc>
        <w:tc>
          <w:tcPr>
            <w:tcW w:w="436" w:type="pct"/>
            <w:vAlign w:val="center"/>
          </w:tcPr>
          <w:p w:rsidR="00242C36" w:rsidRPr="00D26E63" w:rsidRDefault="00242C36" w:rsidP="00242C36">
            <w:pPr>
              <w:jc w:val="center"/>
              <w:rPr>
                <w:b/>
                <w:sz w:val="20"/>
                <w:szCs w:val="20"/>
              </w:rPr>
            </w:pPr>
            <w:r w:rsidRPr="00D26E63">
              <w:rPr>
                <w:b/>
                <w:sz w:val="20"/>
                <w:szCs w:val="20"/>
              </w:rPr>
              <w:t>SOP</w:t>
            </w:r>
          </w:p>
        </w:tc>
        <w:tc>
          <w:tcPr>
            <w:tcW w:w="610" w:type="pct"/>
            <w:vAlign w:val="center"/>
          </w:tcPr>
          <w:p w:rsidR="00242C36" w:rsidRPr="00D26E63" w:rsidRDefault="00242C36" w:rsidP="00242C36">
            <w:pPr>
              <w:jc w:val="center"/>
              <w:rPr>
                <w:b/>
                <w:sz w:val="20"/>
                <w:szCs w:val="20"/>
              </w:rPr>
            </w:pPr>
            <w:r w:rsidRPr="00D26E63">
              <w:rPr>
                <w:b/>
                <w:sz w:val="20"/>
                <w:szCs w:val="20"/>
              </w:rPr>
              <w:t>Lesné pozemky</w:t>
            </w:r>
          </w:p>
        </w:tc>
        <w:tc>
          <w:tcPr>
            <w:tcW w:w="569" w:type="pct"/>
            <w:vAlign w:val="center"/>
          </w:tcPr>
          <w:p w:rsidR="00242C36" w:rsidRPr="00D26E63" w:rsidRDefault="00242C36" w:rsidP="00242C36">
            <w:pPr>
              <w:jc w:val="center"/>
              <w:rPr>
                <w:b/>
                <w:sz w:val="20"/>
                <w:szCs w:val="20"/>
              </w:rPr>
            </w:pPr>
            <w:r w:rsidRPr="00D26E63">
              <w:rPr>
                <w:b/>
                <w:sz w:val="20"/>
                <w:szCs w:val="20"/>
              </w:rPr>
              <w:t>2007</w:t>
            </w:r>
          </w:p>
        </w:tc>
        <w:tc>
          <w:tcPr>
            <w:tcW w:w="570" w:type="pct"/>
            <w:vAlign w:val="center"/>
          </w:tcPr>
          <w:p w:rsidR="00242C36" w:rsidRPr="00D26E63" w:rsidRDefault="00242C36" w:rsidP="00242C36">
            <w:pPr>
              <w:jc w:val="center"/>
              <w:rPr>
                <w:b/>
                <w:sz w:val="20"/>
                <w:szCs w:val="20"/>
              </w:rPr>
            </w:pPr>
            <w:r w:rsidRPr="00D26E63">
              <w:rPr>
                <w:b/>
                <w:sz w:val="20"/>
                <w:szCs w:val="20"/>
              </w:rPr>
              <w:t>2008</w:t>
            </w:r>
          </w:p>
        </w:tc>
        <w:tc>
          <w:tcPr>
            <w:tcW w:w="569" w:type="pct"/>
            <w:vAlign w:val="center"/>
          </w:tcPr>
          <w:p w:rsidR="00242C36" w:rsidRPr="00D26E63" w:rsidRDefault="00242C36" w:rsidP="00242C36">
            <w:pPr>
              <w:jc w:val="center"/>
              <w:rPr>
                <w:b/>
                <w:sz w:val="20"/>
                <w:szCs w:val="20"/>
              </w:rPr>
            </w:pPr>
            <w:r w:rsidRPr="00D26E63">
              <w:rPr>
                <w:b/>
                <w:sz w:val="20"/>
                <w:szCs w:val="20"/>
              </w:rPr>
              <w:t>2009</w:t>
            </w:r>
          </w:p>
        </w:tc>
        <w:tc>
          <w:tcPr>
            <w:tcW w:w="570" w:type="pct"/>
            <w:vAlign w:val="center"/>
          </w:tcPr>
          <w:p w:rsidR="00242C36" w:rsidRPr="00D26E63" w:rsidRDefault="00242C36" w:rsidP="00242C36">
            <w:pPr>
              <w:jc w:val="center"/>
              <w:rPr>
                <w:b/>
                <w:sz w:val="20"/>
                <w:szCs w:val="20"/>
              </w:rPr>
            </w:pPr>
            <w:r w:rsidRPr="00D26E63">
              <w:rPr>
                <w:b/>
                <w:sz w:val="20"/>
                <w:szCs w:val="20"/>
              </w:rPr>
              <w:t>2010</w:t>
            </w:r>
          </w:p>
        </w:tc>
        <w:tc>
          <w:tcPr>
            <w:tcW w:w="569" w:type="pct"/>
            <w:vAlign w:val="center"/>
          </w:tcPr>
          <w:p w:rsidR="00242C36" w:rsidRPr="00D26E63" w:rsidRDefault="00242C36" w:rsidP="00242C36">
            <w:pPr>
              <w:jc w:val="center"/>
              <w:rPr>
                <w:b/>
                <w:sz w:val="20"/>
                <w:szCs w:val="20"/>
              </w:rPr>
            </w:pPr>
            <w:r w:rsidRPr="00D26E63">
              <w:rPr>
                <w:b/>
                <w:sz w:val="20"/>
                <w:szCs w:val="20"/>
              </w:rPr>
              <w:t>2011</w:t>
            </w:r>
          </w:p>
        </w:tc>
        <w:tc>
          <w:tcPr>
            <w:tcW w:w="570" w:type="pct"/>
            <w:vAlign w:val="center"/>
          </w:tcPr>
          <w:p w:rsidR="00242C36" w:rsidRPr="00D26E63" w:rsidRDefault="00242C36" w:rsidP="00242C36">
            <w:pPr>
              <w:jc w:val="center"/>
              <w:rPr>
                <w:b/>
                <w:sz w:val="20"/>
                <w:szCs w:val="20"/>
              </w:rPr>
            </w:pPr>
            <w:r w:rsidRPr="00D26E63">
              <w:rPr>
                <w:b/>
                <w:sz w:val="20"/>
                <w:szCs w:val="20"/>
              </w:rPr>
              <w:t>2012</w:t>
            </w:r>
          </w:p>
        </w:tc>
      </w:tr>
      <w:tr w:rsidR="00242C36" w:rsidRPr="00D26E63" w:rsidTr="00242C36">
        <w:trPr>
          <w:trHeight w:val="284"/>
        </w:trPr>
        <w:tc>
          <w:tcPr>
            <w:tcW w:w="538" w:type="pct"/>
            <w:vMerge w:val="restart"/>
            <w:vAlign w:val="center"/>
          </w:tcPr>
          <w:p w:rsidR="00242C36" w:rsidRPr="00D26E63" w:rsidRDefault="00242C36" w:rsidP="00242C36">
            <w:pPr>
              <w:jc w:val="center"/>
              <w:rPr>
                <w:sz w:val="20"/>
                <w:szCs w:val="20"/>
              </w:rPr>
            </w:pPr>
            <w:r w:rsidRPr="00D26E63">
              <w:rPr>
                <w:sz w:val="20"/>
                <w:szCs w:val="20"/>
              </w:rPr>
              <w:t>1.1 + 1.2</w:t>
            </w:r>
          </w:p>
        </w:tc>
        <w:tc>
          <w:tcPr>
            <w:tcW w:w="436" w:type="pct"/>
            <w:vMerge w:val="restart"/>
            <w:vAlign w:val="center"/>
          </w:tcPr>
          <w:p w:rsidR="00242C36" w:rsidRPr="00D26E63" w:rsidRDefault="00242C36" w:rsidP="00242C36">
            <w:pPr>
              <w:jc w:val="center"/>
              <w:rPr>
                <w:sz w:val="20"/>
                <w:szCs w:val="20"/>
              </w:rPr>
            </w:pPr>
            <w:r w:rsidRPr="00D26E63">
              <w:rPr>
                <w:sz w:val="20"/>
                <w:szCs w:val="20"/>
              </w:rPr>
              <w:t>5</w:t>
            </w:r>
          </w:p>
        </w:tc>
        <w:tc>
          <w:tcPr>
            <w:tcW w:w="610" w:type="pct"/>
            <w:vAlign w:val="center"/>
          </w:tcPr>
          <w:p w:rsidR="00242C36" w:rsidRPr="00D26E63" w:rsidRDefault="00242C36" w:rsidP="00242C36">
            <w:pPr>
              <w:jc w:val="center"/>
              <w:rPr>
                <w:sz w:val="20"/>
                <w:szCs w:val="20"/>
              </w:rPr>
            </w:pPr>
            <w:r w:rsidRPr="00D26E63">
              <w:rPr>
                <w:sz w:val="20"/>
                <w:szCs w:val="20"/>
              </w:rPr>
              <w:t>ha</w:t>
            </w:r>
          </w:p>
        </w:tc>
        <w:tc>
          <w:tcPr>
            <w:tcW w:w="569" w:type="pct"/>
            <w:vAlign w:val="center"/>
          </w:tcPr>
          <w:p w:rsidR="00242C36" w:rsidRPr="00D26E63" w:rsidRDefault="00242C36" w:rsidP="00242C36">
            <w:pPr>
              <w:jc w:val="center"/>
              <w:rPr>
                <w:sz w:val="20"/>
                <w:szCs w:val="20"/>
              </w:rPr>
            </w:pPr>
            <w:r w:rsidRPr="00D26E63">
              <w:rPr>
                <w:sz w:val="20"/>
                <w:szCs w:val="20"/>
              </w:rPr>
              <w:t>71 338</w:t>
            </w:r>
          </w:p>
        </w:tc>
        <w:tc>
          <w:tcPr>
            <w:tcW w:w="570" w:type="pct"/>
            <w:vAlign w:val="center"/>
          </w:tcPr>
          <w:p w:rsidR="00242C36" w:rsidRPr="00D26E63" w:rsidRDefault="00242C36" w:rsidP="00242C36">
            <w:pPr>
              <w:jc w:val="center"/>
              <w:rPr>
                <w:sz w:val="20"/>
                <w:szCs w:val="20"/>
              </w:rPr>
            </w:pPr>
            <w:r w:rsidRPr="00D26E63">
              <w:rPr>
                <w:sz w:val="20"/>
                <w:szCs w:val="20"/>
              </w:rPr>
              <w:t>71 344</w:t>
            </w:r>
          </w:p>
        </w:tc>
        <w:tc>
          <w:tcPr>
            <w:tcW w:w="569" w:type="pct"/>
            <w:vAlign w:val="center"/>
          </w:tcPr>
          <w:p w:rsidR="00242C36" w:rsidRPr="00D26E63" w:rsidRDefault="00242C36" w:rsidP="00242C36">
            <w:pPr>
              <w:jc w:val="center"/>
              <w:rPr>
                <w:sz w:val="20"/>
                <w:szCs w:val="20"/>
              </w:rPr>
            </w:pPr>
            <w:r w:rsidRPr="00D26E63">
              <w:rPr>
                <w:sz w:val="20"/>
                <w:szCs w:val="20"/>
              </w:rPr>
              <w:t>71 013</w:t>
            </w:r>
          </w:p>
        </w:tc>
        <w:tc>
          <w:tcPr>
            <w:tcW w:w="570" w:type="pct"/>
            <w:vAlign w:val="center"/>
          </w:tcPr>
          <w:p w:rsidR="00242C36" w:rsidRPr="00D26E63" w:rsidRDefault="00242C36" w:rsidP="00242C36">
            <w:pPr>
              <w:jc w:val="center"/>
              <w:rPr>
                <w:sz w:val="20"/>
                <w:szCs w:val="20"/>
              </w:rPr>
            </w:pPr>
            <w:r w:rsidRPr="00D26E63">
              <w:rPr>
                <w:sz w:val="20"/>
                <w:szCs w:val="20"/>
              </w:rPr>
              <w:t>71 023</w:t>
            </w:r>
          </w:p>
        </w:tc>
        <w:tc>
          <w:tcPr>
            <w:tcW w:w="569" w:type="pct"/>
            <w:vAlign w:val="center"/>
          </w:tcPr>
          <w:p w:rsidR="00242C36" w:rsidRPr="00D26E63" w:rsidRDefault="00242C36" w:rsidP="00242C36">
            <w:pPr>
              <w:jc w:val="center"/>
              <w:rPr>
                <w:sz w:val="20"/>
                <w:szCs w:val="20"/>
              </w:rPr>
            </w:pPr>
            <w:r w:rsidRPr="00D26E63">
              <w:rPr>
                <w:sz w:val="20"/>
                <w:szCs w:val="20"/>
              </w:rPr>
              <w:t>79 509</w:t>
            </w:r>
          </w:p>
        </w:tc>
        <w:tc>
          <w:tcPr>
            <w:tcW w:w="570" w:type="pct"/>
            <w:vAlign w:val="center"/>
          </w:tcPr>
          <w:p w:rsidR="00242C36" w:rsidRPr="00D26E63" w:rsidRDefault="00242C36" w:rsidP="00242C36">
            <w:pPr>
              <w:jc w:val="center"/>
              <w:rPr>
                <w:b/>
                <w:sz w:val="20"/>
                <w:szCs w:val="20"/>
              </w:rPr>
            </w:pPr>
            <w:r w:rsidRPr="00D26E63">
              <w:rPr>
                <w:sz w:val="20"/>
                <w:szCs w:val="20"/>
              </w:rPr>
              <w:t>70 820</w:t>
            </w:r>
          </w:p>
        </w:tc>
      </w:tr>
      <w:tr w:rsidR="00242C36" w:rsidRPr="00D26E63" w:rsidTr="00242C36">
        <w:trPr>
          <w:trHeight w:val="284"/>
        </w:trPr>
        <w:tc>
          <w:tcPr>
            <w:tcW w:w="538" w:type="pct"/>
            <w:vMerge/>
            <w:vAlign w:val="center"/>
          </w:tcPr>
          <w:p w:rsidR="00242C36" w:rsidRPr="00D26E63" w:rsidRDefault="00242C36" w:rsidP="00242C36">
            <w:pPr>
              <w:jc w:val="center"/>
              <w:rPr>
                <w:sz w:val="20"/>
                <w:szCs w:val="20"/>
              </w:rPr>
            </w:pPr>
          </w:p>
        </w:tc>
        <w:tc>
          <w:tcPr>
            <w:tcW w:w="436" w:type="pct"/>
            <w:vMerge/>
            <w:vAlign w:val="center"/>
          </w:tcPr>
          <w:p w:rsidR="00242C36" w:rsidRPr="00D26E63" w:rsidRDefault="00242C36" w:rsidP="00242C36">
            <w:pPr>
              <w:jc w:val="center"/>
              <w:rPr>
                <w:sz w:val="20"/>
                <w:szCs w:val="20"/>
              </w:rPr>
            </w:pPr>
          </w:p>
        </w:tc>
        <w:tc>
          <w:tcPr>
            <w:tcW w:w="610" w:type="pct"/>
            <w:vAlign w:val="center"/>
          </w:tcPr>
          <w:p w:rsidR="00242C36" w:rsidRPr="00D26E63" w:rsidRDefault="00242C36" w:rsidP="00242C36">
            <w:pPr>
              <w:jc w:val="center"/>
              <w:rPr>
                <w:sz w:val="20"/>
                <w:szCs w:val="20"/>
              </w:rPr>
            </w:pPr>
            <w:r w:rsidRPr="00D26E63">
              <w:rPr>
                <w:sz w:val="20"/>
                <w:szCs w:val="20"/>
              </w:rPr>
              <w:t>%</w:t>
            </w:r>
          </w:p>
        </w:tc>
        <w:tc>
          <w:tcPr>
            <w:tcW w:w="569" w:type="pct"/>
          </w:tcPr>
          <w:p w:rsidR="00242C36" w:rsidRPr="00D26E63" w:rsidRDefault="00242C36" w:rsidP="00242C36">
            <w:pPr>
              <w:jc w:val="center"/>
              <w:rPr>
                <w:sz w:val="20"/>
                <w:szCs w:val="20"/>
              </w:rPr>
            </w:pPr>
            <w:r w:rsidRPr="00D26E63">
              <w:rPr>
                <w:sz w:val="20"/>
                <w:szCs w:val="20"/>
              </w:rPr>
              <w:t>3,56</w:t>
            </w:r>
          </w:p>
        </w:tc>
        <w:tc>
          <w:tcPr>
            <w:tcW w:w="570" w:type="pct"/>
          </w:tcPr>
          <w:p w:rsidR="00242C36" w:rsidRPr="00D26E63" w:rsidRDefault="00242C36" w:rsidP="00242C36">
            <w:pPr>
              <w:jc w:val="center"/>
              <w:rPr>
                <w:sz w:val="20"/>
                <w:szCs w:val="20"/>
              </w:rPr>
            </w:pPr>
            <w:r w:rsidRPr="00D26E63">
              <w:rPr>
                <w:sz w:val="20"/>
                <w:szCs w:val="20"/>
              </w:rPr>
              <w:t>3,55</w:t>
            </w:r>
          </w:p>
        </w:tc>
        <w:tc>
          <w:tcPr>
            <w:tcW w:w="569" w:type="pct"/>
          </w:tcPr>
          <w:p w:rsidR="00242C36" w:rsidRPr="00D26E63" w:rsidRDefault="00242C36" w:rsidP="00242C36">
            <w:pPr>
              <w:jc w:val="center"/>
              <w:rPr>
                <w:sz w:val="20"/>
                <w:szCs w:val="20"/>
              </w:rPr>
            </w:pPr>
            <w:r w:rsidRPr="00D26E63">
              <w:rPr>
                <w:sz w:val="20"/>
                <w:szCs w:val="20"/>
              </w:rPr>
              <w:t>3,53</w:t>
            </w:r>
          </w:p>
        </w:tc>
        <w:tc>
          <w:tcPr>
            <w:tcW w:w="570" w:type="pct"/>
          </w:tcPr>
          <w:p w:rsidR="00242C36" w:rsidRPr="00D26E63" w:rsidRDefault="00242C36" w:rsidP="00242C36">
            <w:pPr>
              <w:jc w:val="center"/>
              <w:rPr>
                <w:sz w:val="20"/>
                <w:szCs w:val="20"/>
              </w:rPr>
            </w:pPr>
            <w:r w:rsidRPr="00D26E63">
              <w:rPr>
                <w:sz w:val="20"/>
                <w:szCs w:val="20"/>
              </w:rPr>
              <w:t>3,53</w:t>
            </w:r>
          </w:p>
        </w:tc>
        <w:tc>
          <w:tcPr>
            <w:tcW w:w="569" w:type="pct"/>
          </w:tcPr>
          <w:p w:rsidR="00242C36" w:rsidRPr="00D26E63" w:rsidRDefault="00242C36" w:rsidP="00242C36">
            <w:pPr>
              <w:jc w:val="center"/>
              <w:rPr>
                <w:sz w:val="20"/>
                <w:szCs w:val="20"/>
              </w:rPr>
            </w:pPr>
            <w:r w:rsidRPr="00D26E63">
              <w:rPr>
                <w:sz w:val="20"/>
                <w:szCs w:val="20"/>
              </w:rPr>
              <w:t>3,95</w:t>
            </w:r>
          </w:p>
        </w:tc>
        <w:tc>
          <w:tcPr>
            <w:tcW w:w="570" w:type="pct"/>
            <w:vAlign w:val="center"/>
          </w:tcPr>
          <w:p w:rsidR="00242C36" w:rsidRPr="00D26E63" w:rsidRDefault="00242C36" w:rsidP="00242C36">
            <w:pPr>
              <w:jc w:val="center"/>
              <w:rPr>
                <w:b/>
                <w:sz w:val="20"/>
                <w:szCs w:val="20"/>
              </w:rPr>
            </w:pPr>
            <w:r w:rsidRPr="00D26E63">
              <w:rPr>
                <w:b/>
                <w:sz w:val="20"/>
                <w:szCs w:val="20"/>
              </w:rPr>
              <w:t>3,65</w:t>
            </w:r>
          </w:p>
        </w:tc>
      </w:tr>
      <w:tr w:rsidR="00242C36" w:rsidRPr="00D26E63" w:rsidTr="00242C36">
        <w:trPr>
          <w:trHeight w:val="284"/>
        </w:trPr>
        <w:tc>
          <w:tcPr>
            <w:tcW w:w="538" w:type="pct"/>
            <w:vMerge w:val="restart"/>
            <w:vAlign w:val="center"/>
          </w:tcPr>
          <w:p w:rsidR="00242C36" w:rsidRPr="00D26E63" w:rsidRDefault="00242C36" w:rsidP="00242C36">
            <w:pPr>
              <w:jc w:val="center"/>
              <w:rPr>
                <w:sz w:val="20"/>
                <w:szCs w:val="20"/>
              </w:rPr>
            </w:pPr>
            <w:r w:rsidRPr="00D26E63">
              <w:rPr>
                <w:sz w:val="20"/>
                <w:szCs w:val="20"/>
              </w:rPr>
              <w:t>1.3</w:t>
            </w:r>
          </w:p>
        </w:tc>
        <w:tc>
          <w:tcPr>
            <w:tcW w:w="436" w:type="pct"/>
            <w:vMerge w:val="restart"/>
            <w:vAlign w:val="center"/>
          </w:tcPr>
          <w:p w:rsidR="00242C36" w:rsidRPr="00D26E63" w:rsidRDefault="00242C36" w:rsidP="00242C36">
            <w:pPr>
              <w:jc w:val="center"/>
              <w:rPr>
                <w:sz w:val="20"/>
                <w:szCs w:val="20"/>
              </w:rPr>
            </w:pPr>
            <w:r w:rsidRPr="00D26E63">
              <w:rPr>
                <w:sz w:val="20"/>
                <w:szCs w:val="20"/>
              </w:rPr>
              <w:t>-</w:t>
            </w:r>
          </w:p>
        </w:tc>
        <w:tc>
          <w:tcPr>
            <w:tcW w:w="610" w:type="pct"/>
            <w:vAlign w:val="center"/>
          </w:tcPr>
          <w:p w:rsidR="00242C36" w:rsidRPr="00D26E63" w:rsidRDefault="00242C36" w:rsidP="00242C36">
            <w:pPr>
              <w:jc w:val="center"/>
              <w:rPr>
                <w:sz w:val="20"/>
                <w:szCs w:val="20"/>
              </w:rPr>
            </w:pPr>
            <w:r w:rsidRPr="00D26E63">
              <w:rPr>
                <w:sz w:val="20"/>
                <w:szCs w:val="20"/>
              </w:rPr>
              <w:t>ha</w:t>
            </w:r>
          </w:p>
        </w:tc>
        <w:tc>
          <w:tcPr>
            <w:tcW w:w="569" w:type="pct"/>
            <w:vAlign w:val="center"/>
          </w:tcPr>
          <w:p w:rsidR="00242C36" w:rsidRPr="00D26E63" w:rsidRDefault="00242C36" w:rsidP="00242C36">
            <w:pPr>
              <w:jc w:val="center"/>
              <w:rPr>
                <w:sz w:val="20"/>
                <w:szCs w:val="20"/>
              </w:rPr>
            </w:pPr>
            <w:r w:rsidRPr="00D26E63">
              <w:rPr>
                <w:sz w:val="20"/>
                <w:szCs w:val="20"/>
              </w:rPr>
              <w:t>0</w:t>
            </w:r>
          </w:p>
        </w:tc>
        <w:tc>
          <w:tcPr>
            <w:tcW w:w="570" w:type="pct"/>
            <w:vAlign w:val="center"/>
          </w:tcPr>
          <w:p w:rsidR="00242C36" w:rsidRPr="00D26E63" w:rsidRDefault="00242C36" w:rsidP="00242C36">
            <w:pPr>
              <w:jc w:val="center"/>
              <w:rPr>
                <w:sz w:val="20"/>
                <w:szCs w:val="20"/>
              </w:rPr>
            </w:pPr>
            <w:r w:rsidRPr="00D26E63">
              <w:rPr>
                <w:sz w:val="20"/>
                <w:szCs w:val="20"/>
              </w:rPr>
              <w:t>0</w:t>
            </w:r>
          </w:p>
        </w:tc>
        <w:tc>
          <w:tcPr>
            <w:tcW w:w="569" w:type="pct"/>
            <w:vAlign w:val="center"/>
          </w:tcPr>
          <w:p w:rsidR="00242C36" w:rsidRPr="00D26E63" w:rsidRDefault="00242C36" w:rsidP="00242C36">
            <w:pPr>
              <w:jc w:val="center"/>
              <w:rPr>
                <w:sz w:val="20"/>
                <w:szCs w:val="20"/>
              </w:rPr>
            </w:pPr>
            <w:r w:rsidRPr="00D26E63">
              <w:rPr>
                <w:sz w:val="20"/>
                <w:szCs w:val="20"/>
              </w:rPr>
              <w:t>0</w:t>
            </w:r>
          </w:p>
        </w:tc>
        <w:tc>
          <w:tcPr>
            <w:tcW w:w="570" w:type="pct"/>
            <w:vAlign w:val="center"/>
          </w:tcPr>
          <w:p w:rsidR="00242C36" w:rsidRPr="00D26E63" w:rsidRDefault="00242C36" w:rsidP="00242C36">
            <w:pPr>
              <w:jc w:val="center"/>
              <w:rPr>
                <w:sz w:val="20"/>
                <w:szCs w:val="20"/>
              </w:rPr>
            </w:pPr>
            <w:r w:rsidRPr="00D26E63">
              <w:rPr>
                <w:sz w:val="20"/>
                <w:szCs w:val="20"/>
              </w:rPr>
              <w:t>0</w:t>
            </w:r>
          </w:p>
        </w:tc>
        <w:tc>
          <w:tcPr>
            <w:tcW w:w="569" w:type="pct"/>
            <w:vAlign w:val="center"/>
          </w:tcPr>
          <w:p w:rsidR="00242C36" w:rsidRPr="00D26E63" w:rsidRDefault="00242C36" w:rsidP="00242C36">
            <w:pPr>
              <w:jc w:val="center"/>
              <w:rPr>
                <w:sz w:val="20"/>
                <w:szCs w:val="20"/>
              </w:rPr>
            </w:pPr>
            <w:r w:rsidRPr="00D26E63">
              <w:rPr>
                <w:sz w:val="20"/>
                <w:szCs w:val="20"/>
              </w:rPr>
              <w:t>0</w:t>
            </w:r>
          </w:p>
        </w:tc>
        <w:tc>
          <w:tcPr>
            <w:tcW w:w="570" w:type="pct"/>
            <w:vAlign w:val="center"/>
          </w:tcPr>
          <w:p w:rsidR="00242C36" w:rsidRPr="00D26E63" w:rsidRDefault="00242C36" w:rsidP="00242C36">
            <w:pPr>
              <w:jc w:val="center"/>
              <w:rPr>
                <w:b/>
                <w:sz w:val="20"/>
                <w:szCs w:val="20"/>
              </w:rPr>
            </w:pPr>
            <w:r w:rsidRPr="00D26E63">
              <w:rPr>
                <w:b/>
                <w:sz w:val="20"/>
                <w:szCs w:val="20"/>
              </w:rPr>
              <w:t>0</w:t>
            </w:r>
          </w:p>
        </w:tc>
      </w:tr>
      <w:tr w:rsidR="00242C36" w:rsidRPr="00D26E63" w:rsidTr="00242C36">
        <w:trPr>
          <w:trHeight w:val="284"/>
        </w:trPr>
        <w:tc>
          <w:tcPr>
            <w:tcW w:w="538" w:type="pct"/>
            <w:vMerge/>
            <w:vAlign w:val="center"/>
          </w:tcPr>
          <w:p w:rsidR="00242C36" w:rsidRPr="00D26E63" w:rsidRDefault="00242C36" w:rsidP="00242C36">
            <w:pPr>
              <w:jc w:val="center"/>
              <w:rPr>
                <w:sz w:val="20"/>
                <w:szCs w:val="20"/>
              </w:rPr>
            </w:pPr>
          </w:p>
        </w:tc>
        <w:tc>
          <w:tcPr>
            <w:tcW w:w="436" w:type="pct"/>
            <w:vMerge/>
            <w:vAlign w:val="center"/>
          </w:tcPr>
          <w:p w:rsidR="00242C36" w:rsidRPr="00D26E63" w:rsidRDefault="00242C36" w:rsidP="00242C36">
            <w:pPr>
              <w:jc w:val="center"/>
              <w:rPr>
                <w:sz w:val="20"/>
                <w:szCs w:val="20"/>
              </w:rPr>
            </w:pPr>
          </w:p>
        </w:tc>
        <w:tc>
          <w:tcPr>
            <w:tcW w:w="610" w:type="pct"/>
            <w:vAlign w:val="center"/>
          </w:tcPr>
          <w:p w:rsidR="00242C36" w:rsidRPr="00D26E63" w:rsidRDefault="00242C36" w:rsidP="00242C36">
            <w:pPr>
              <w:jc w:val="center"/>
              <w:rPr>
                <w:sz w:val="20"/>
                <w:szCs w:val="20"/>
              </w:rPr>
            </w:pPr>
            <w:r w:rsidRPr="00D26E63">
              <w:rPr>
                <w:sz w:val="20"/>
                <w:szCs w:val="20"/>
              </w:rPr>
              <w:t>%</w:t>
            </w:r>
          </w:p>
        </w:tc>
        <w:tc>
          <w:tcPr>
            <w:tcW w:w="569" w:type="pct"/>
            <w:vAlign w:val="center"/>
          </w:tcPr>
          <w:p w:rsidR="00242C36" w:rsidRPr="00D26E63" w:rsidRDefault="00242C36" w:rsidP="00242C36">
            <w:pPr>
              <w:jc w:val="center"/>
              <w:rPr>
                <w:sz w:val="20"/>
                <w:szCs w:val="20"/>
              </w:rPr>
            </w:pPr>
            <w:r w:rsidRPr="00D26E63">
              <w:rPr>
                <w:sz w:val="20"/>
                <w:szCs w:val="20"/>
              </w:rPr>
              <w:t>0</w:t>
            </w:r>
          </w:p>
        </w:tc>
        <w:tc>
          <w:tcPr>
            <w:tcW w:w="570" w:type="pct"/>
            <w:vAlign w:val="center"/>
          </w:tcPr>
          <w:p w:rsidR="00242C36" w:rsidRPr="00D26E63" w:rsidRDefault="00242C36" w:rsidP="00242C36">
            <w:pPr>
              <w:jc w:val="center"/>
              <w:rPr>
                <w:sz w:val="20"/>
                <w:szCs w:val="20"/>
              </w:rPr>
            </w:pPr>
            <w:r w:rsidRPr="00D26E63">
              <w:rPr>
                <w:sz w:val="20"/>
                <w:szCs w:val="20"/>
              </w:rPr>
              <w:t>0</w:t>
            </w:r>
          </w:p>
        </w:tc>
        <w:tc>
          <w:tcPr>
            <w:tcW w:w="569" w:type="pct"/>
            <w:vAlign w:val="center"/>
          </w:tcPr>
          <w:p w:rsidR="00242C36" w:rsidRPr="00D26E63" w:rsidRDefault="00242C36" w:rsidP="00242C36">
            <w:pPr>
              <w:jc w:val="center"/>
              <w:rPr>
                <w:sz w:val="20"/>
                <w:szCs w:val="20"/>
              </w:rPr>
            </w:pPr>
            <w:r w:rsidRPr="00D26E63">
              <w:rPr>
                <w:sz w:val="20"/>
                <w:szCs w:val="20"/>
              </w:rPr>
              <w:t>0</w:t>
            </w:r>
          </w:p>
        </w:tc>
        <w:tc>
          <w:tcPr>
            <w:tcW w:w="570" w:type="pct"/>
            <w:vAlign w:val="center"/>
          </w:tcPr>
          <w:p w:rsidR="00242C36" w:rsidRPr="00D26E63" w:rsidRDefault="00242C36" w:rsidP="00242C36">
            <w:pPr>
              <w:jc w:val="center"/>
              <w:rPr>
                <w:sz w:val="20"/>
                <w:szCs w:val="20"/>
              </w:rPr>
            </w:pPr>
            <w:r w:rsidRPr="00D26E63">
              <w:rPr>
                <w:sz w:val="20"/>
                <w:szCs w:val="20"/>
              </w:rPr>
              <w:t>0</w:t>
            </w:r>
          </w:p>
        </w:tc>
        <w:tc>
          <w:tcPr>
            <w:tcW w:w="569" w:type="pct"/>
            <w:vAlign w:val="center"/>
          </w:tcPr>
          <w:p w:rsidR="00242C36" w:rsidRPr="00D26E63" w:rsidRDefault="00242C36" w:rsidP="00242C36">
            <w:pPr>
              <w:jc w:val="center"/>
              <w:rPr>
                <w:sz w:val="20"/>
                <w:szCs w:val="20"/>
              </w:rPr>
            </w:pPr>
            <w:r w:rsidRPr="00D26E63">
              <w:rPr>
                <w:sz w:val="20"/>
                <w:szCs w:val="20"/>
              </w:rPr>
              <w:t>0</w:t>
            </w:r>
          </w:p>
        </w:tc>
        <w:tc>
          <w:tcPr>
            <w:tcW w:w="570" w:type="pct"/>
            <w:vAlign w:val="center"/>
          </w:tcPr>
          <w:p w:rsidR="00242C36" w:rsidRPr="00D26E63" w:rsidRDefault="00242C36" w:rsidP="00242C36">
            <w:pPr>
              <w:jc w:val="center"/>
              <w:rPr>
                <w:b/>
                <w:sz w:val="20"/>
                <w:szCs w:val="20"/>
              </w:rPr>
            </w:pPr>
            <w:r w:rsidRPr="00D26E63">
              <w:rPr>
                <w:b/>
                <w:sz w:val="20"/>
                <w:szCs w:val="20"/>
              </w:rPr>
              <w:t>0</w:t>
            </w:r>
          </w:p>
        </w:tc>
      </w:tr>
      <w:tr w:rsidR="00242C36" w:rsidRPr="00D26E63" w:rsidTr="00242C36">
        <w:trPr>
          <w:trHeight w:val="284"/>
        </w:trPr>
        <w:tc>
          <w:tcPr>
            <w:tcW w:w="538" w:type="pct"/>
            <w:vMerge w:val="restart"/>
            <w:vAlign w:val="center"/>
          </w:tcPr>
          <w:p w:rsidR="00242C36" w:rsidRPr="00D26E63" w:rsidRDefault="00242C36" w:rsidP="00242C36">
            <w:pPr>
              <w:jc w:val="center"/>
              <w:rPr>
                <w:sz w:val="20"/>
                <w:szCs w:val="20"/>
              </w:rPr>
            </w:pPr>
            <w:r w:rsidRPr="00D26E63">
              <w:rPr>
                <w:sz w:val="20"/>
                <w:szCs w:val="20"/>
              </w:rPr>
              <w:t>2</w:t>
            </w:r>
          </w:p>
        </w:tc>
        <w:tc>
          <w:tcPr>
            <w:tcW w:w="436" w:type="pct"/>
            <w:vMerge w:val="restart"/>
            <w:vAlign w:val="center"/>
          </w:tcPr>
          <w:p w:rsidR="00242C36" w:rsidRPr="00D26E63" w:rsidRDefault="00242C36" w:rsidP="00242C36">
            <w:pPr>
              <w:jc w:val="center"/>
              <w:rPr>
                <w:sz w:val="20"/>
                <w:szCs w:val="20"/>
              </w:rPr>
            </w:pPr>
            <w:r w:rsidRPr="00D26E63">
              <w:rPr>
                <w:sz w:val="20"/>
                <w:szCs w:val="20"/>
              </w:rPr>
              <w:t>4, 3, 2</w:t>
            </w:r>
          </w:p>
        </w:tc>
        <w:tc>
          <w:tcPr>
            <w:tcW w:w="610" w:type="pct"/>
            <w:vAlign w:val="center"/>
          </w:tcPr>
          <w:p w:rsidR="00242C36" w:rsidRPr="00D26E63" w:rsidRDefault="00242C36" w:rsidP="00242C36">
            <w:pPr>
              <w:jc w:val="center"/>
              <w:rPr>
                <w:sz w:val="20"/>
                <w:szCs w:val="20"/>
              </w:rPr>
            </w:pPr>
            <w:r w:rsidRPr="00D26E63">
              <w:rPr>
                <w:sz w:val="20"/>
                <w:szCs w:val="20"/>
              </w:rPr>
              <w:t>ha</w:t>
            </w:r>
          </w:p>
        </w:tc>
        <w:tc>
          <w:tcPr>
            <w:tcW w:w="569" w:type="pct"/>
            <w:vAlign w:val="center"/>
          </w:tcPr>
          <w:p w:rsidR="00242C36" w:rsidRPr="00D26E63" w:rsidRDefault="00242C36" w:rsidP="00242C36">
            <w:pPr>
              <w:jc w:val="center"/>
              <w:rPr>
                <w:sz w:val="20"/>
                <w:szCs w:val="20"/>
              </w:rPr>
            </w:pPr>
            <w:r w:rsidRPr="00D26E63">
              <w:rPr>
                <w:sz w:val="20"/>
                <w:szCs w:val="20"/>
              </w:rPr>
              <w:t>774 926</w:t>
            </w:r>
          </w:p>
        </w:tc>
        <w:tc>
          <w:tcPr>
            <w:tcW w:w="570" w:type="pct"/>
            <w:vAlign w:val="center"/>
          </w:tcPr>
          <w:p w:rsidR="00242C36" w:rsidRPr="00D26E63" w:rsidRDefault="00242C36" w:rsidP="00242C36">
            <w:pPr>
              <w:jc w:val="center"/>
              <w:rPr>
                <w:sz w:val="20"/>
                <w:szCs w:val="20"/>
              </w:rPr>
            </w:pPr>
            <w:r w:rsidRPr="00D26E63">
              <w:rPr>
                <w:sz w:val="20"/>
                <w:szCs w:val="20"/>
              </w:rPr>
              <w:t>775 192</w:t>
            </w:r>
          </w:p>
        </w:tc>
        <w:tc>
          <w:tcPr>
            <w:tcW w:w="569" w:type="pct"/>
            <w:vAlign w:val="center"/>
          </w:tcPr>
          <w:p w:rsidR="00242C36" w:rsidRPr="00D26E63" w:rsidRDefault="00242C36" w:rsidP="00242C36">
            <w:pPr>
              <w:jc w:val="center"/>
              <w:rPr>
                <w:sz w:val="20"/>
                <w:szCs w:val="20"/>
              </w:rPr>
            </w:pPr>
            <w:r w:rsidRPr="00D26E63">
              <w:rPr>
                <w:sz w:val="20"/>
                <w:szCs w:val="20"/>
              </w:rPr>
              <w:t>774 475</w:t>
            </w:r>
          </w:p>
        </w:tc>
        <w:tc>
          <w:tcPr>
            <w:tcW w:w="570" w:type="pct"/>
            <w:vAlign w:val="center"/>
          </w:tcPr>
          <w:p w:rsidR="00242C36" w:rsidRPr="00D26E63" w:rsidRDefault="00242C36" w:rsidP="00242C36">
            <w:pPr>
              <w:jc w:val="center"/>
              <w:rPr>
                <w:sz w:val="20"/>
                <w:szCs w:val="20"/>
              </w:rPr>
            </w:pPr>
            <w:r w:rsidRPr="00D26E63">
              <w:rPr>
                <w:sz w:val="20"/>
                <w:szCs w:val="20"/>
              </w:rPr>
              <w:t>774 587</w:t>
            </w:r>
          </w:p>
        </w:tc>
        <w:tc>
          <w:tcPr>
            <w:tcW w:w="569" w:type="pct"/>
            <w:vAlign w:val="center"/>
          </w:tcPr>
          <w:p w:rsidR="00242C36" w:rsidRPr="00D26E63" w:rsidRDefault="00242C36" w:rsidP="00242C36">
            <w:pPr>
              <w:jc w:val="center"/>
              <w:rPr>
                <w:sz w:val="20"/>
                <w:szCs w:val="20"/>
              </w:rPr>
            </w:pPr>
            <w:r w:rsidRPr="00D26E63">
              <w:rPr>
                <w:sz w:val="20"/>
                <w:szCs w:val="20"/>
              </w:rPr>
              <w:t>770 750</w:t>
            </w:r>
          </w:p>
        </w:tc>
        <w:tc>
          <w:tcPr>
            <w:tcW w:w="570" w:type="pct"/>
            <w:vAlign w:val="center"/>
          </w:tcPr>
          <w:p w:rsidR="00242C36" w:rsidRPr="00D26E63" w:rsidRDefault="00242C36" w:rsidP="00242C36">
            <w:pPr>
              <w:jc w:val="center"/>
              <w:rPr>
                <w:b/>
                <w:sz w:val="20"/>
                <w:szCs w:val="20"/>
              </w:rPr>
            </w:pPr>
            <w:r w:rsidRPr="00D26E63">
              <w:rPr>
                <w:b/>
                <w:sz w:val="20"/>
                <w:szCs w:val="20"/>
              </w:rPr>
              <w:t>782 853</w:t>
            </w:r>
          </w:p>
        </w:tc>
      </w:tr>
      <w:tr w:rsidR="00242C36" w:rsidRPr="00D26E63" w:rsidTr="00242C36">
        <w:trPr>
          <w:trHeight w:val="284"/>
        </w:trPr>
        <w:tc>
          <w:tcPr>
            <w:tcW w:w="538" w:type="pct"/>
            <w:vMerge/>
            <w:vAlign w:val="center"/>
          </w:tcPr>
          <w:p w:rsidR="00242C36" w:rsidRPr="00D26E63" w:rsidRDefault="00242C36" w:rsidP="00242C36">
            <w:pPr>
              <w:jc w:val="center"/>
              <w:rPr>
                <w:sz w:val="20"/>
                <w:szCs w:val="20"/>
              </w:rPr>
            </w:pPr>
          </w:p>
        </w:tc>
        <w:tc>
          <w:tcPr>
            <w:tcW w:w="436" w:type="pct"/>
            <w:vMerge/>
            <w:vAlign w:val="center"/>
          </w:tcPr>
          <w:p w:rsidR="00242C36" w:rsidRPr="00D26E63" w:rsidRDefault="00242C36" w:rsidP="00242C36">
            <w:pPr>
              <w:jc w:val="center"/>
              <w:rPr>
                <w:sz w:val="20"/>
                <w:szCs w:val="20"/>
              </w:rPr>
            </w:pPr>
          </w:p>
        </w:tc>
        <w:tc>
          <w:tcPr>
            <w:tcW w:w="610" w:type="pct"/>
            <w:vAlign w:val="center"/>
          </w:tcPr>
          <w:p w:rsidR="00242C36" w:rsidRPr="00D26E63" w:rsidRDefault="00242C36" w:rsidP="00242C36">
            <w:pPr>
              <w:jc w:val="center"/>
              <w:rPr>
                <w:sz w:val="20"/>
                <w:szCs w:val="20"/>
              </w:rPr>
            </w:pPr>
            <w:r w:rsidRPr="00D26E63">
              <w:rPr>
                <w:sz w:val="20"/>
                <w:szCs w:val="20"/>
              </w:rPr>
              <w:t>%</w:t>
            </w:r>
          </w:p>
        </w:tc>
        <w:tc>
          <w:tcPr>
            <w:tcW w:w="569" w:type="pct"/>
            <w:vAlign w:val="center"/>
          </w:tcPr>
          <w:p w:rsidR="00242C36" w:rsidRPr="00D26E63" w:rsidRDefault="00242C36" w:rsidP="00242C36">
            <w:pPr>
              <w:jc w:val="center"/>
              <w:rPr>
                <w:sz w:val="20"/>
                <w:szCs w:val="20"/>
              </w:rPr>
            </w:pPr>
            <w:r w:rsidRPr="00D26E63">
              <w:rPr>
                <w:sz w:val="20"/>
                <w:szCs w:val="20"/>
              </w:rPr>
              <w:t>38,62</w:t>
            </w:r>
          </w:p>
        </w:tc>
        <w:tc>
          <w:tcPr>
            <w:tcW w:w="570" w:type="pct"/>
            <w:vAlign w:val="center"/>
          </w:tcPr>
          <w:p w:rsidR="00242C36" w:rsidRPr="00D26E63" w:rsidRDefault="00242C36" w:rsidP="00242C36">
            <w:pPr>
              <w:jc w:val="center"/>
              <w:rPr>
                <w:sz w:val="20"/>
                <w:szCs w:val="20"/>
              </w:rPr>
            </w:pPr>
            <w:r w:rsidRPr="00D26E63">
              <w:rPr>
                <w:sz w:val="20"/>
                <w:szCs w:val="20"/>
              </w:rPr>
              <w:t>38,62</w:t>
            </w:r>
          </w:p>
        </w:tc>
        <w:tc>
          <w:tcPr>
            <w:tcW w:w="569" w:type="pct"/>
            <w:vAlign w:val="center"/>
          </w:tcPr>
          <w:p w:rsidR="00242C36" w:rsidRPr="00D26E63" w:rsidRDefault="00242C36" w:rsidP="00242C36">
            <w:pPr>
              <w:jc w:val="center"/>
              <w:rPr>
                <w:sz w:val="20"/>
                <w:szCs w:val="20"/>
              </w:rPr>
            </w:pPr>
            <w:r w:rsidRPr="00D26E63">
              <w:rPr>
                <w:sz w:val="20"/>
                <w:szCs w:val="20"/>
              </w:rPr>
              <w:t>38,55</w:t>
            </w:r>
          </w:p>
        </w:tc>
        <w:tc>
          <w:tcPr>
            <w:tcW w:w="570" w:type="pct"/>
            <w:vAlign w:val="center"/>
          </w:tcPr>
          <w:p w:rsidR="00242C36" w:rsidRPr="00D26E63" w:rsidRDefault="00242C36" w:rsidP="00242C36">
            <w:pPr>
              <w:jc w:val="center"/>
              <w:rPr>
                <w:sz w:val="20"/>
                <w:szCs w:val="20"/>
              </w:rPr>
            </w:pPr>
            <w:r w:rsidRPr="00D26E63">
              <w:rPr>
                <w:sz w:val="20"/>
                <w:szCs w:val="20"/>
              </w:rPr>
              <w:t>38,52</w:t>
            </w:r>
          </w:p>
        </w:tc>
        <w:tc>
          <w:tcPr>
            <w:tcW w:w="569" w:type="pct"/>
            <w:vAlign w:val="center"/>
          </w:tcPr>
          <w:p w:rsidR="00242C36" w:rsidRPr="00D26E63" w:rsidRDefault="00242C36" w:rsidP="00242C36">
            <w:pPr>
              <w:jc w:val="center"/>
              <w:rPr>
                <w:sz w:val="20"/>
                <w:szCs w:val="20"/>
              </w:rPr>
            </w:pPr>
            <w:r w:rsidRPr="00D26E63">
              <w:rPr>
                <w:sz w:val="20"/>
                <w:szCs w:val="20"/>
              </w:rPr>
              <w:t>38,32</w:t>
            </w:r>
          </w:p>
        </w:tc>
        <w:tc>
          <w:tcPr>
            <w:tcW w:w="570" w:type="pct"/>
            <w:vAlign w:val="center"/>
          </w:tcPr>
          <w:p w:rsidR="00242C36" w:rsidRPr="00D26E63" w:rsidRDefault="00242C36" w:rsidP="00242C36">
            <w:pPr>
              <w:jc w:val="center"/>
              <w:rPr>
                <w:b/>
                <w:sz w:val="20"/>
                <w:szCs w:val="20"/>
              </w:rPr>
            </w:pPr>
            <w:r w:rsidRPr="00D26E63">
              <w:rPr>
                <w:b/>
                <w:sz w:val="20"/>
                <w:szCs w:val="20"/>
              </w:rPr>
              <w:t>40,3</w:t>
            </w:r>
          </w:p>
        </w:tc>
      </w:tr>
    </w:tbl>
    <w:p w:rsidR="00242C36" w:rsidRPr="00D26E63" w:rsidRDefault="00242C36" w:rsidP="00242C36">
      <w:r w:rsidRPr="00D26E63">
        <w:rPr>
          <w:iCs/>
          <w:sz w:val="20"/>
        </w:rPr>
        <w:t>Zdroj: NLC Zvolen, databáza o lesoch SR 2007 – 2012.</w:t>
      </w:r>
    </w:p>
    <w:p w:rsidR="00242C36" w:rsidRDefault="00242C36" w:rsidP="00242C36">
      <w:pPr>
        <w:pBdr>
          <w:bar w:val="single" w:sz="6" w:color="808080"/>
        </w:pBdr>
        <w:spacing w:after="120"/>
        <w:rPr>
          <w:rFonts w:ascii="Calibri" w:eastAsia="Calibri" w:hAnsi="Calibri"/>
          <w:szCs w:val="22"/>
          <w:lang w:eastAsia="en-US"/>
        </w:rPr>
      </w:pPr>
    </w:p>
    <w:p w:rsidR="00242C36" w:rsidRPr="00E16CE0" w:rsidRDefault="00242C36" w:rsidP="00242C36">
      <w:pPr>
        <w:rPr>
          <w:szCs w:val="22"/>
        </w:rPr>
      </w:pPr>
      <w:r w:rsidRPr="00E16CE0">
        <w:rPr>
          <w:rFonts w:ascii="Calibri" w:hAnsi="Calibri"/>
          <w:szCs w:val="22"/>
        </w:rPr>
        <w:t xml:space="preserve">Hodnoty CCI 38 z r. 2011 sú neaktuálne a preto sme vo vyššie uvedenej tabuľke uviedli presnejšie hodnoty z vlastných  meraní </w:t>
      </w:r>
      <w:r w:rsidRPr="00E16CE0">
        <w:rPr>
          <w:iCs/>
          <w:szCs w:val="22"/>
        </w:rPr>
        <w:t>NLC Zvolen, databáza o lesoch SR 2007 – 2012</w:t>
      </w:r>
      <w:r w:rsidRPr="00E16CE0">
        <w:rPr>
          <w:rFonts w:ascii="Calibri" w:hAnsi="Calibri"/>
          <w:szCs w:val="22"/>
        </w:rPr>
        <w:t>.</w:t>
      </w:r>
    </w:p>
    <w:p w:rsidR="00242C36" w:rsidRPr="00E16CE0" w:rsidRDefault="00242C36" w:rsidP="00242C36">
      <w:pPr>
        <w:pBdr>
          <w:bar w:val="single" w:sz="6" w:color="808080"/>
        </w:pBdr>
        <w:spacing w:after="120"/>
        <w:rPr>
          <w:rFonts w:ascii="Calibri" w:eastAsia="Calibri" w:hAnsi="Calibri"/>
          <w:szCs w:val="22"/>
          <w:lang w:eastAsia="en-US"/>
        </w:rPr>
      </w:pPr>
      <w:r w:rsidRPr="00E16CE0">
        <w:rPr>
          <w:rFonts w:ascii="Calibri" w:eastAsia="Calibri" w:hAnsi="Calibri"/>
          <w:szCs w:val="22"/>
          <w:lang w:eastAsia="en-US"/>
        </w:rPr>
        <w:t xml:space="preserve">Slovenská legislatíva ochrany prírody nie je s triedami MCPFE celkom kompatibilná. Jednotlivé  chránené územia sú zaradené do jedného z piatich stupňov ochrany. Najprísnejší, piaty stupeň ochrany je viac-menej stotožniteľný s MCPFE triedou 1.1, pre ktorú Smernica MCPFE pre hodnotenie chránených a ochranných lesov a ostatných zalesnených pozemkov v Európe vyžaduje „obmedzený prístup verejnosti“, ktorý je charakterizovaný najmä neexistenciou udržiavaných ciest a potrebou vydávania povolení pre vstup. </w:t>
      </w:r>
    </w:p>
    <w:p w:rsidR="00242C36" w:rsidRPr="00E16CE0" w:rsidRDefault="00242C36" w:rsidP="00242C36">
      <w:pPr>
        <w:pBdr>
          <w:bar w:val="single" w:sz="6" w:color="808080"/>
        </w:pBdr>
        <w:rPr>
          <w:rFonts w:ascii="Calibri" w:eastAsia="Calibri" w:hAnsi="Calibri"/>
          <w:szCs w:val="22"/>
          <w:lang w:eastAsia="en-US"/>
        </w:rPr>
      </w:pPr>
      <w:r w:rsidRPr="00E16CE0">
        <w:rPr>
          <w:rFonts w:ascii="Calibri" w:eastAsia="Calibri" w:hAnsi="Calibri"/>
          <w:szCs w:val="22"/>
          <w:lang w:eastAsia="en-US"/>
        </w:rPr>
        <w:t xml:space="preserve">Štvrtý stupeň ochrany sa využíva jednak na ochranu prostredníctvom aktívneho manažmentu, jednak na umožnenie minimálnych zásahov, v určitých prípadoch (kalamity) však neumožňuje vylúčiť ani zásahy intenzívne. Nemožno ho teda stotožniť s MCPFE kategóriou 1.2, ale len s kategóriou 2. </w:t>
      </w:r>
    </w:p>
    <w:p w:rsidR="00242C36" w:rsidRPr="00E16CE0" w:rsidRDefault="00242C36" w:rsidP="00242C36">
      <w:pPr>
        <w:rPr>
          <w:szCs w:val="22"/>
          <w:lang w:eastAsia="ar-SA"/>
        </w:rPr>
      </w:pPr>
    </w:p>
    <w:p w:rsidR="00242C36" w:rsidRPr="00E16CE0" w:rsidRDefault="00242C36" w:rsidP="00242C36">
      <w:pPr>
        <w:pStyle w:val="NadpisCalibri115"/>
        <w:jc w:val="both"/>
        <w:rPr>
          <w:b w:val="0"/>
          <w:bCs/>
          <w:sz w:val="22"/>
          <w:szCs w:val="22"/>
          <w:u w:val="none"/>
        </w:rPr>
      </w:pPr>
      <w:r w:rsidRPr="00E16CE0">
        <w:rPr>
          <w:b w:val="0"/>
          <w:bCs/>
          <w:sz w:val="22"/>
          <w:szCs w:val="22"/>
          <w:u w:val="none"/>
        </w:rPr>
        <w:t>V rámci PRV SR 2007-2013, opatrenia 2.1 Obnova potenciálu lesného hospodárstva a zavedenie preventívnych opatrení (kód opatrenia 226) boli nasledovné počty projektov, podporovaná výmera a objem investícii podľa typu opatrenia a podľa druhu činnosti, ako uvádzajú tieto tabuľky:</w:t>
      </w:r>
    </w:p>
    <w:p w:rsidR="00242C36" w:rsidRPr="000F2044" w:rsidRDefault="00242C36" w:rsidP="00242C36">
      <w:pPr>
        <w:rPr>
          <w:lang w:eastAsia="ar-SA"/>
        </w:rPr>
      </w:pPr>
    </w:p>
    <w:p w:rsidR="00242C36" w:rsidRPr="00E16CE0" w:rsidRDefault="008F198F" w:rsidP="00242C36">
      <w:pPr>
        <w:keepNext/>
        <w:rPr>
          <w:rStyle w:val="PopisChar"/>
          <w:rFonts w:asciiTheme="minorHAnsi" w:hAnsiTheme="minorHAnsi"/>
          <w:b/>
          <w:i w:val="0"/>
          <w:sz w:val="20"/>
          <w:szCs w:val="20"/>
        </w:rPr>
      </w:pPr>
      <w:r>
        <w:rPr>
          <w:rStyle w:val="PopisChar"/>
          <w:rFonts w:asciiTheme="minorHAnsi" w:hAnsiTheme="minorHAnsi"/>
          <w:b/>
          <w:i w:val="0"/>
          <w:sz w:val="20"/>
          <w:szCs w:val="20"/>
        </w:rPr>
        <w:t xml:space="preserve">Tabuľka 51: </w:t>
      </w:r>
      <w:r w:rsidR="00242C36" w:rsidRPr="00E16CE0">
        <w:rPr>
          <w:rStyle w:val="PopisChar"/>
          <w:rFonts w:asciiTheme="minorHAnsi" w:hAnsiTheme="minorHAnsi"/>
          <w:b/>
          <w:i w:val="0"/>
          <w:sz w:val="20"/>
          <w:szCs w:val="20"/>
        </w:rPr>
        <w:t>Počty projektov, podporovaná výmera a objem investícií podľa typu opatrenia</w:t>
      </w:r>
    </w:p>
    <w:tbl>
      <w:tblPr>
        <w:tblW w:w="9923"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1"/>
        <w:gridCol w:w="1127"/>
        <w:gridCol w:w="756"/>
        <w:gridCol w:w="1236"/>
        <w:gridCol w:w="992"/>
        <w:gridCol w:w="992"/>
        <w:gridCol w:w="1077"/>
        <w:gridCol w:w="908"/>
        <w:gridCol w:w="992"/>
        <w:gridCol w:w="992"/>
      </w:tblGrid>
      <w:tr w:rsidR="00242C36" w:rsidRPr="005D1E2C" w:rsidTr="00242C36">
        <w:trPr>
          <w:cantSplit/>
        </w:trPr>
        <w:tc>
          <w:tcPr>
            <w:tcW w:w="851" w:type="dxa"/>
            <w:vMerge w:val="restart"/>
            <w:shd w:val="clear" w:color="auto" w:fill="F3F3F3"/>
            <w:vAlign w:val="center"/>
          </w:tcPr>
          <w:p w:rsidR="00242C36" w:rsidRPr="005D1E2C" w:rsidRDefault="00242C36" w:rsidP="00242C36">
            <w:pPr>
              <w:rPr>
                <w:b/>
                <w:sz w:val="16"/>
              </w:rPr>
            </w:pPr>
            <w:r w:rsidRPr="005D1E2C">
              <w:rPr>
                <w:b/>
                <w:sz w:val="16"/>
              </w:rPr>
              <w:t>Druh opatr.</w:t>
            </w:r>
          </w:p>
        </w:tc>
        <w:tc>
          <w:tcPr>
            <w:tcW w:w="1127" w:type="dxa"/>
            <w:vMerge w:val="restart"/>
            <w:shd w:val="clear" w:color="auto" w:fill="F3F3F3"/>
            <w:vAlign w:val="center"/>
          </w:tcPr>
          <w:p w:rsidR="00242C36" w:rsidRPr="005D1E2C" w:rsidRDefault="00242C36" w:rsidP="00242C36">
            <w:pPr>
              <w:rPr>
                <w:b/>
                <w:sz w:val="16"/>
              </w:rPr>
            </w:pPr>
            <w:r w:rsidRPr="005D1E2C">
              <w:rPr>
                <w:b/>
                <w:sz w:val="16"/>
              </w:rPr>
              <w:t>Subtyp činnosti</w:t>
            </w:r>
          </w:p>
        </w:tc>
        <w:tc>
          <w:tcPr>
            <w:tcW w:w="756" w:type="dxa"/>
            <w:vMerge w:val="restart"/>
            <w:shd w:val="clear" w:color="auto" w:fill="F3F3F3"/>
            <w:vAlign w:val="center"/>
          </w:tcPr>
          <w:p w:rsidR="00242C36" w:rsidRPr="005D1E2C" w:rsidRDefault="00242C36" w:rsidP="00242C36">
            <w:pPr>
              <w:rPr>
                <w:b/>
                <w:sz w:val="16"/>
              </w:rPr>
            </w:pPr>
            <w:r w:rsidRPr="005D1E2C">
              <w:rPr>
                <w:b/>
                <w:sz w:val="16"/>
              </w:rPr>
              <w:t>Počet schvál. žiadostí</w:t>
            </w:r>
          </w:p>
        </w:tc>
        <w:tc>
          <w:tcPr>
            <w:tcW w:w="1236" w:type="dxa"/>
            <w:vMerge w:val="restart"/>
            <w:shd w:val="clear" w:color="auto" w:fill="F3F3F3"/>
            <w:vAlign w:val="center"/>
          </w:tcPr>
          <w:p w:rsidR="00242C36" w:rsidRPr="005D1E2C" w:rsidRDefault="00242C36" w:rsidP="00242C36">
            <w:pPr>
              <w:rPr>
                <w:b/>
                <w:sz w:val="16"/>
              </w:rPr>
            </w:pPr>
            <w:r w:rsidRPr="005D1E2C">
              <w:rPr>
                <w:b/>
                <w:sz w:val="16"/>
              </w:rPr>
              <w:t>Počet opatr. na kt. bola pos-kytnutá pomoc</w:t>
            </w:r>
          </w:p>
        </w:tc>
        <w:tc>
          <w:tcPr>
            <w:tcW w:w="3061" w:type="dxa"/>
            <w:gridSpan w:val="3"/>
            <w:shd w:val="clear" w:color="auto" w:fill="F3F3F3"/>
            <w:vAlign w:val="center"/>
          </w:tcPr>
          <w:p w:rsidR="00242C36" w:rsidRPr="005D1E2C" w:rsidRDefault="00242C36" w:rsidP="00242C36">
            <w:pPr>
              <w:jc w:val="center"/>
              <w:rPr>
                <w:b/>
                <w:sz w:val="16"/>
              </w:rPr>
            </w:pPr>
            <w:r w:rsidRPr="005D1E2C">
              <w:rPr>
                <w:b/>
                <w:sz w:val="16"/>
              </w:rPr>
              <w:t>Podporená plocha poškodených lesov (ha)</w:t>
            </w:r>
          </w:p>
        </w:tc>
        <w:tc>
          <w:tcPr>
            <w:tcW w:w="2892" w:type="dxa"/>
            <w:gridSpan w:val="3"/>
            <w:shd w:val="clear" w:color="auto" w:fill="F3F3F3"/>
            <w:vAlign w:val="center"/>
          </w:tcPr>
          <w:p w:rsidR="00242C36" w:rsidRPr="005D1E2C" w:rsidRDefault="00242C36" w:rsidP="00242C36">
            <w:pPr>
              <w:jc w:val="center"/>
              <w:rPr>
                <w:b/>
                <w:sz w:val="16"/>
              </w:rPr>
            </w:pPr>
            <w:r w:rsidRPr="005D1E2C">
              <w:rPr>
                <w:b/>
                <w:sz w:val="16"/>
              </w:rPr>
              <w:t>Celkový objem investícií (tis. EUR)</w:t>
            </w:r>
          </w:p>
        </w:tc>
      </w:tr>
      <w:tr w:rsidR="00242C36" w:rsidRPr="005D1E2C" w:rsidTr="00242C36">
        <w:trPr>
          <w:cantSplit/>
        </w:trPr>
        <w:tc>
          <w:tcPr>
            <w:tcW w:w="851" w:type="dxa"/>
            <w:vMerge/>
            <w:vAlign w:val="center"/>
          </w:tcPr>
          <w:p w:rsidR="00242C36" w:rsidRPr="005D1E2C" w:rsidRDefault="00242C36" w:rsidP="00242C36">
            <w:pPr>
              <w:rPr>
                <w:sz w:val="16"/>
              </w:rPr>
            </w:pPr>
          </w:p>
        </w:tc>
        <w:tc>
          <w:tcPr>
            <w:tcW w:w="1127" w:type="dxa"/>
            <w:vMerge/>
            <w:vAlign w:val="center"/>
          </w:tcPr>
          <w:p w:rsidR="00242C36" w:rsidRPr="005D1E2C" w:rsidRDefault="00242C36" w:rsidP="00242C36">
            <w:pPr>
              <w:rPr>
                <w:sz w:val="16"/>
              </w:rPr>
            </w:pPr>
          </w:p>
        </w:tc>
        <w:tc>
          <w:tcPr>
            <w:tcW w:w="756" w:type="dxa"/>
            <w:vMerge/>
            <w:vAlign w:val="center"/>
          </w:tcPr>
          <w:p w:rsidR="00242C36" w:rsidRPr="005D1E2C" w:rsidRDefault="00242C36" w:rsidP="00242C36">
            <w:pPr>
              <w:rPr>
                <w:sz w:val="16"/>
              </w:rPr>
            </w:pPr>
          </w:p>
        </w:tc>
        <w:tc>
          <w:tcPr>
            <w:tcW w:w="1236" w:type="dxa"/>
            <w:vMerge/>
            <w:vAlign w:val="center"/>
          </w:tcPr>
          <w:p w:rsidR="00242C36" w:rsidRPr="005D1E2C" w:rsidRDefault="00242C36" w:rsidP="00242C36">
            <w:pPr>
              <w:rPr>
                <w:sz w:val="16"/>
              </w:rPr>
            </w:pPr>
          </w:p>
        </w:tc>
        <w:tc>
          <w:tcPr>
            <w:tcW w:w="992" w:type="dxa"/>
            <w:shd w:val="clear" w:color="auto" w:fill="F2F2F2"/>
            <w:vAlign w:val="center"/>
          </w:tcPr>
          <w:p w:rsidR="00242C36" w:rsidRPr="005D1E2C" w:rsidRDefault="00242C36" w:rsidP="00242C36">
            <w:pPr>
              <w:rPr>
                <w:sz w:val="16"/>
              </w:rPr>
            </w:pPr>
            <w:r w:rsidRPr="005D1E2C">
              <w:rPr>
                <w:sz w:val="16"/>
              </w:rPr>
              <w:t>Súkromní vlastníci</w:t>
            </w:r>
          </w:p>
        </w:tc>
        <w:tc>
          <w:tcPr>
            <w:tcW w:w="992" w:type="dxa"/>
            <w:shd w:val="clear" w:color="auto" w:fill="F2F2F2"/>
            <w:vAlign w:val="center"/>
          </w:tcPr>
          <w:p w:rsidR="00242C36" w:rsidRPr="005D1E2C" w:rsidRDefault="00242C36" w:rsidP="00242C36">
            <w:pPr>
              <w:rPr>
                <w:sz w:val="16"/>
              </w:rPr>
            </w:pPr>
            <w:r w:rsidRPr="005D1E2C">
              <w:rPr>
                <w:sz w:val="16"/>
              </w:rPr>
              <w:t>Verejní vlastníci</w:t>
            </w:r>
          </w:p>
        </w:tc>
        <w:tc>
          <w:tcPr>
            <w:tcW w:w="1077" w:type="dxa"/>
            <w:shd w:val="clear" w:color="auto" w:fill="F2F2F2"/>
            <w:vAlign w:val="center"/>
          </w:tcPr>
          <w:p w:rsidR="00242C36" w:rsidRPr="005D1E2C" w:rsidRDefault="00242C36" w:rsidP="00242C36">
            <w:pPr>
              <w:rPr>
                <w:sz w:val="16"/>
              </w:rPr>
            </w:pPr>
            <w:r w:rsidRPr="005D1E2C">
              <w:rPr>
                <w:sz w:val="16"/>
              </w:rPr>
              <w:t>SPOLU</w:t>
            </w:r>
          </w:p>
        </w:tc>
        <w:tc>
          <w:tcPr>
            <w:tcW w:w="908" w:type="dxa"/>
            <w:shd w:val="clear" w:color="auto" w:fill="F2F2F2"/>
            <w:vAlign w:val="center"/>
          </w:tcPr>
          <w:p w:rsidR="00242C36" w:rsidRPr="005D1E2C" w:rsidRDefault="00242C36" w:rsidP="00242C36">
            <w:pPr>
              <w:rPr>
                <w:sz w:val="16"/>
              </w:rPr>
            </w:pPr>
            <w:r w:rsidRPr="005D1E2C">
              <w:rPr>
                <w:sz w:val="16"/>
              </w:rPr>
              <w:t>Súkromní vlastníci</w:t>
            </w:r>
          </w:p>
        </w:tc>
        <w:tc>
          <w:tcPr>
            <w:tcW w:w="992" w:type="dxa"/>
            <w:shd w:val="clear" w:color="auto" w:fill="F2F2F2"/>
            <w:vAlign w:val="center"/>
          </w:tcPr>
          <w:p w:rsidR="00242C36" w:rsidRPr="005D1E2C" w:rsidRDefault="00242C36" w:rsidP="00242C36">
            <w:pPr>
              <w:rPr>
                <w:sz w:val="16"/>
              </w:rPr>
            </w:pPr>
            <w:r w:rsidRPr="005D1E2C">
              <w:rPr>
                <w:sz w:val="16"/>
              </w:rPr>
              <w:t>Verejní vlastníci</w:t>
            </w:r>
          </w:p>
        </w:tc>
        <w:tc>
          <w:tcPr>
            <w:tcW w:w="992" w:type="dxa"/>
            <w:shd w:val="clear" w:color="auto" w:fill="F2F2F2"/>
            <w:vAlign w:val="center"/>
          </w:tcPr>
          <w:p w:rsidR="00242C36" w:rsidRPr="005D1E2C" w:rsidRDefault="00242C36" w:rsidP="00242C36">
            <w:pPr>
              <w:rPr>
                <w:sz w:val="16"/>
              </w:rPr>
            </w:pPr>
            <w:r w:rsidRPr="005D1E2C">
              <w:rPr>
                <w:sz w:val="16"/>
              </w:rPr>
              <w:t>SPOLU</w:t>
            </w:r>
          </w:p>
        </w:tc>
      </w:tr>
      <w:tr w:rsidR="00242C36" w:rsidRPr="005D1E2C" w:rsidTr="00242C36">
        <w:trPr>
          <w:cantSplit/>
        </w:trPr>
        <w:tc>
          <w:tcPr>
            <w:tcW w:w="851" w:type="dxa"/>
            <w:vMerge w:val="restart"/>
            <w:vAlign w:val="center"/>
          </w:tcPr>
          <w:p w:rsidR="00242C36" w:rsidRPr="005D1E2C" w:rsidRDefault="00242C36" w:rsidP="00242C36">
            <w:pPr>
              <w:rPr>
                <w:sz w:val="16"/>
              </w:rPr>
            </w:pPr>
            <w:r w:rsidRPr="005D1E2C">
              <w:rPr>
                <w:sz w:val="16"/>
              </w:rPr>
              <w:t>Prevencia</w:t>
            </w:r>
          </w:p>
        </w:tc>
        <w:tc>
          <w:tcPr>
            <w:tcW w:w="1127" w:type="dxa"/>
            <w:vAlign w:val="center"/>
          </w:tcPr>
          <w:p w:rsidR="00242C36" w:rsidRPr="005D1E2C" w:rsidRDefault="00242C36" w:rsidP="00242C36">
            <w:pPr>
              <w:rPr>
                <w:sz w:val="16"/>
              </w:rPr>
            </w:pPr>
            <w:r w:rsidRPr="005D1E2C">
              <w:rPr>
                <w:sz w:val="16"/>
              </w:rPr>
              <w:t>po požiari</w:t>
            </w:r>
          </w:p>
        </w:tc>
        <w:tc>
          <w:tcPr>
            <w:tcW w:w="756" w:type="dxa"/>
            <w:vAlign w:val="bottom"/>
          </w:tcPr>
          <w:p w:rsidR="00242C36" w:rsidRPr="005D1E2C" w:rsidRDefault="00242C36" w:rsidP="00242C36">
            <w:pPr>
              <w:jc w:val="center"/>
              <w:rPr>
                <w:sz w:val="16"/>
              </w:rPr>
            </w:pPr>
            <w:r w:rsidRPr="005D1E2C">
              <w:rPr>
                <w:sz w:val="16"/>
              </w:rPr>
              <w:t>-</w:t>
            </w:r>
          </w:p>
        </w:tc>
        <w:tc>
          <w:tcPr>
            <w:tcW w:w="1236" w:type="dxa"/>
            <w:vAlign w:val="bottom"/>
          </w:tcPr>
          <w:p w:rsidR="00242C36" w:rsidRPr="005D1E2C" w:rsidRDefault="00242C36" w:rsidP="00242C36">
            <w:pPr>
              <w:jc w:val="center"/>
              <w:rPr>
                <w:sz w:val="16"/>
              </w:rPr>
            </w:pPr>
            <w:r w:rsidRPr="005D1E2C">
              <w:rPr>
                <w:sz w:val="16"/>
                <w:szCs w:val="16"/>
              </w:rPr>
              <w:t>178</w:t>
            </w:r>
          </w:p>
        </w:tc>
        <w:tc>
          <w:tcPr>
            <w:tcW w:w="992" w:type="dxa"/>
            <w:vAlign w:val="bottom"/>
          </w:tcPr>
          <w:p w:rsidR="00242C36" w:rsidRPr="005D1E2C" w:rsidRDefault="00242C36" w:rsidP="00242C36">
            <w:pPr>
              <w:jc w:val="right"/>
              <w:rPr>
                <w:sz w:val="16"/>
              </w:rPr>
            </w:pPr>
            <w:r w:rsidRPr="005D1E2C">
              <w:rPr>
                <w:sz w:val="16"/>
                <w:szCs w:val="16"/>
              </w:rPr>
              <w:t>46 937,00</w:t>
            </w:r>
          </w:p>
        </w:tc>
        <w:tc>
          <w:tcPr>
            <w:tcW w:w="992" w:type="dxa"/>
            <w:vAlign w:val="bottom"/>
          </w:tcPr>
          <w:p w:rsidR="00242C36" w:rsidRPr="005D1E2C" w:rsidRDefault="00242C36" w:rsidP="00242C36">
            <w:pPr>
              <w:jc w:val="right"/>
              <w:rPr>
                <w:sz w:val="16"/>
              </w:rPr>
            </w:pPr>
            <w:r w:rsidRPr="005D1E2C">
              <w:rPr>
                <w:sz w:val="16"/>
                <w:szCs w:val="16"/>
              </w:rPr>
              <w:t>127 726,24</w:t>
            </w:r>
          </w:p>
        </w:tc>
        <w:tc>
          <w:tcPr>
            <w:tcW w:w="1077" w:type="dxa"/>
            <w:vAlign w:val="bottom"/>
          </w:tcPr>
          <w:p w:rsidR="00242C36" w:rsidRPr="005D1E2C" w:rsidRDefault="00242C36" w:rsidP="00242C36">
            <w:pPr>
              <w:jc w:val="right"/>
              <w:rPr>
                <w:sz w:val="16"/>
              </w:rPr>
            </w:pPr>
            <w:r w:rsidRPr="005D1E2C">
              <w:rPr>
                <w:sz w:val="16"/>
                <w:szCs w:val="16"/>
              </w:rPr>
              <w:t>174 663,24</w:t>
            </w:r>
          </w:p>
        </w:tc>
        <w:tc>
          <w:tcPr>
            <w:tcW w:w="908" w:type="dxa"/>
            <w:vAlign w:val="bottom"/>
          </w:tcPr>
          <w:p w:rsidR="00242C36" w:rsidRPr="005D1E2C" w:rsidRDefault="00242C36" w:rsidP="00242C36">
            <w:pPr>
              <w:jc w:val="right"/>
              <w:rPr>
                <w:sz w:val="16"/>
              </w:rPr>
            </w:pPr>
            <w:r w:rsidRPr="005D1E2C">
              <w:rPr>
                <w:sz w:val="16"/>
                <w:szCs w:val="16"/>
              </w:rPr>
              <w:t>34 609,05</w:t>
            </w:r>
          </w:p>
        </w:tc>
        <w:tc>
          <w:tcPr>
            <w:tcW w:w="992" w:type="dxa"/>
            <w:vAlign w:val="bottom"/>
          </w:tcPr>
          <w:p w:rsidR="00242C36" w:rsidRPr="005D1E2C" w:rsidRDefault="00242C36" w:rsidP="00242C36">
            <w:pPr>
              <w:jc w:val="right"/>
              <w:rPr>
                <w:sz w:val="16"/>
              </w:rPr>
            </w:pPr>
            <w:r w:rsidRPr="005D1E2C">
              <w:rPr>
                <w:sz w:val="16"/>
                <w:szCs w:val="16"/>
              </w:rPr>
              <w:t>37 734,62</w:t>
            </w:r>
          </w:p>
        </w:tc>
        <w:tc>
          <w:tcPr>
            <w:tcW w:w="992" w:type="dxa"/>
            <w:vAlign w:val="bottom"/>
          </w:tcPr>
          <w:p w:rsidR="00242C36" w:rsidRPr="005D1E2C" w:rsidRDefault="00242C36" w:rsidP="00242C36">
            <w:pPr>
              <w:jc w:val="right"/>
              <w:rPr>
                <w:sz w:val="16"/>
              </w:rPr>
            </w:pPr>
            <w:r w:rsidRPr="005D1E2C">
              <w:rPr>
                <w:sz w:val="16"/>
                <w:szCs w:val="16"/>
              </w:rPr>
              <w:t>72 343,67</w:t>
            </w:r>
          </w:p>
        </w:tc>
      </w:tr>
      <w:tr w:rsidR="00242C36" w:rsidRPr="005D1E2C" w:rsidTr="00242C36">
        <w:trPr>
          <w:cantSplit/>
        </w:trPr>
        <w:tc>
          <w:tcPr>
            <w:tcW w:w="851" w:type="dxa"/>
            <w:vMerge/>
            <w:vAlign w:val="center"/>
          </w:tcPr>
          <w:p w:rsidR="00242C36" w:rsidRPr="005D1E2C" w:rsidRDefault="00242C36" w:rsidP="00242C36">
            <w:pPr>
              <w:rPr>
                <w:sz w:val="16"/>
              </w:rPr>
            </w:pPr>
          </w:p>
        </w:tc>
        <w:tc>
          <w:tcPr>
            <w:tcW w:w="1127" w:type="dxa"/>
            <w:vAlign w:val="center"/>
          </w:tcPr>
          <w:p w:rsidR="00242C36" w:rsidRPr="005D1E2C" w:rsidRDefault="00242C36" w:rsidP="00242C36">
            <w:pPr>
              <w:rPr>
                <w:sz w:val="16"/>
              </w:rPr>
            </w:pPr>
            <w:r w:rsidRPr="005D1E2C">
              <w:rPr>
                <w:sz w:val="16"/>
              </w:rPr>
              <w:t>po prírodn. katastrofe</w:t>
            </w:r>
          </w:p>
        </w:tc>
        <w:tc>
          <w:tcPr>
            <w:tcW w:w="756" w:type="dxa"/>
            <w:vAlign w:val="bottom"/>
          </w:tcPr>
          <w:p w:rsidR="00242C36" w:rsidRPr="005D1E2C" w:rsidRDefault="00242C36" w:rsidP="00242C36">
            <w:pPr>
              <w:jc w:val="center"/>
              <w:rPr>
                <w:sz w:val="16"/>
              </w:rPr>
            </w:pPr>
            <w:r w:rsidRPr="005D1E2C">
              <w:rPr>
                <w:sz w:val="16"/>
              </w:rPr>
              <w:t>-</w:t>
            </w:r>
          </w:p>
        </w:tc>
        <w:tc>
          <w:tcPr>
            <w:tcW w:w="1236" w:type="dxa"/>
            <w:vAlign w:val="bottom"/>
          </w:tcPr>
          <w:p w:rsidR="00242C36" w:rsidRPr="005D1E2C" w:rsidRDefault="00242C36" w:rsidP="00242C36">
            <w:pPr>
              <w:jc w:val="center"/>
              <w:rPr>
                <w:sz w:val="16"/>
              </w:rPr>
            </w:pPr>
            <w:r w:rsidRPr="005D1E2C">
              <w:rPr>
                <w:sz w:val="16"/>
              </w:rPr>
              <w:t>1</w:t>
            </w:r>
          </w:p>
        </w:tc>
        <w:tc>
          <w:tcPr>
            <w:tcW w:w="992" w:type="dxa"/>
            <w:vAlign w:val="bottom"/>
          </w:tcPr>
          <w:p w:rsidR="00242C36" w:rsidRPr="005D1E2C" w:rsidRDefault="00242C36" w:rsidP="00242C36">
            <w:pPr>
              <w:jc w:val="right"/>
              <w:rPr>
                <w:sz w:val="16"/>
              </w:rPr>
            </w:pPr>
            <w:r w:rsidRPr="005D1E2C">
              <w:rPr>
                <w:sz w:val="16"/>
              </w:rPr>
              <w:t>368,</w:t>
            </w:r>
            <w:r w:rsidRPr="005D1E2C">
              <w:rPr>
                <w:sz w:val="16"/>
                <w:szCs w:val="16"/>
              </w:rPr>
              <w:t>10</w:t>
            </w:r>
          </w:p>
        </w:tc>
        <w:tc>
          <w:tcPr>
            <w:tcW w:w="992" w:type="dxa"/>
            <w:vAlign w:val="bottom"/>
          </w:tcPr>
          <w:p w:rsidR="00242C36" w:rsidRPr="005D1E2C" w:rsidRDefault="00242C36" w:rsidP="00242C36">
            <w:pPr>
              <w:jc w:val="right"/>
              <w:rPr>
                <w:sz w:val="16"/>
              </w:rPr>
            </w:pPr>
            <w:r w:rsidRPr="005D1E2C">
              <w:rPr>
                <w:sz w:val="16"/>
              </w:rPr>
              <w:t>0,00</w:t>
            </w:r>
          </w:p>
        </w:tc>
        <w:tc>
          <w:tcPr>
            <w:tcW w:w="1077" w:type="dxa"/>
            <w:vAlign w:val="bottom"/>
          </w:tcPr>
          <w:p w:rsidR="00242C36" w:rsidRPr="005D1E2C" w:rsidRDefault="00242C36" w:rsidP="00242C36">
            <w:pPr>
              <w:jc w:val="right"/>
              <w:rPr>
                <w:sz w:val="16"/>
              </w:rPr>
            </w:pPr>
            <w:r w:rsidRPr="005D1E2C">
              <w:rPr>
                <w:sz w:val="16"/>
              </w:rPr>
              <w:t>368,1</w:t>
            </w:r>
          </w:p>
        </w:tc>
        <w:tc>
          <w:tcPr>
            <w:tcW w:w="908" w:type="dxa"/>
            <w:vAlign w:val="bottom"/>
          </w:tcPr>
          <w:p w:rsidR="00242C36" w:rsidRPr="005D1E2C" w:rsidRDefault="00242C36" w:rsidP="00242C36">
            <w:pPr>
              <w:jc w:val="right"/>
              <w:rPr>
                <w:sz w:val="16"/>
              </w:rPr>
            </w:pPr>
            <w:r w:rsidRPr="005D1E2C">
              <w:rPr>
                <w:sz w:val="16"/>
              </w:rPr>
              <w:t>360,</w:t>
            </w:r>
            <w:r w:rsidRPr="005D1E2C">
              <w:rPr>
                <w:sz w:val="16"/>
                <w:szCs w:val="16"/>
              </w:rPr>
              <w:t>51</w:t>
            </w:r>
          </w:p>
        </w:tc>
        <w:tc>
          <w:tcPr>
            <w:tcW w:w="992" w:type="dxa"/>
            <w:vAlign w:val="bottom"/>
          </w:tcPr>
          <w:p w:rsidR="00242C36" w:rsidRPr="005D1E2C" w:rsidRDefault="00242C36" w:rsidP="00242C36">
            <w:pPr>
              <w:jc w:val="right"/>
              <w:rPr>
                <w:sz w:val="16"/>
              </w:rPr>
            </w:pPr>
            <w:r w:rsidRPr="005D1E2C">
              <w:rPr>
                <w:sz w:val="16"/>
              </w:rPr>
              <w:t>0,00</w:t>
            </w:r>
          </w:p>
        </w:tc>
        <w:tc>
          <w:tcPr>
            <w:tcW w:w="992" w:type="dxa"/>
            <w:vAlign w:val="bottom"/>
          </w:tcPr>
          <w:p w:rsidR="00242C36" w:rsidRPr="005D1E2C" w:rsidRDefault="00242C36" w:rsidP="00242C36">
            <w:pPr>
              <w:jc w:val="right"/>
              <w:rPr>
                <w:sz w:val="16"/>
              </w:rPr>
            </w:pPr>
            <w:r w:rsidRPr="005D1E2C">
              <w:rPr>
                <w:sz w:val="16"/>
              </w:rPr>
              <w:t>360,51</w:t>
            </w:r>
          </w:p>
        </w:tc>
      </w:tr>
      <w:tr w:rsidR="00242C36" w:rsidRPr="005D1E2C" w:rsidTr="00242C36">
        <w:trPr>
          <w:cantSplit/>
        </w:trPr>
        <w:tc>
          <w:tcPr>
            <w:tcW w:w="851" w:type="dxa"/>
            <w:vMerge w:val="restart"/>
            <w:vAlign w:val="center"/>
          </w:tcPr>
          <w:p w:rsidR="00242C36" w:rsidRPr="005D1E2C" w:rsidRDefault="00242C36" w:rsidP="00242C36">
            <w:pPr>
              <w:rPr>
                <w:sz w:val="16"/>
              </w:rPr>
            </w:pPr>
            <w:r w:rsidRPr="005D1E2C">
              <w:rPr>
                <w:sz w:val="16"/>
              </w:rPr>
              <w:t>Obnova</w:t>
            </w:r>
          </w:p>
        </w:tc>
        <w:tc>
          <w:tcPr>
            <w:tcW w:w="1127" w:type="dxa"/>
            <w:vAlign w:val="center"/>
          </w:tcPr>
          <w:p w:rsidR="00242C36" w:rsidRPr="005D1E2C" w:rsidRDefault="00242C36" w:rsidP="00242C36">
            <w:pPr>
              <w:rPr>
                <w:sz w:val="16"/>
              </w:rPr>
            </w:pPr>
            <w:r w:rsidRPr="005D1E2C">
              <w:rPr>
                <w:sz w:val="16"/>
              </w:rPr>
              <w:t>po požiari</w:t>
            </w:r>
          </w:p>
        </w:tc>
        <w:tc>
          <w:tcPr>
            <w:tcW w:w="756" w:type="dxa"/>
            <w:vAlign w:val="bottom"/>
          </w:tcPr>
          <w:p w:rsidR="00242C36" w:rsidRPr="005D1E2C" w:rsidRDefault="00242C36" w:rsidP="00242C36">
            <w:pPr>
              <w:jc w:val="center"/>
              <w:rPr>
                <w:sz w:val="16"/>
              </w:rPr>
            </w:pPr>
            <w:r w:rsidRPr="005D1E2C">
              <w:rPr>
                <w:sz w:val="16"/>
              </w:rPr>
              <w:t>-</w:t>
            </w:r>
          </w:p>
        </w:tc>
        <w:tc>
          <w:tcPr>
            <w:tcW w:w="1236" w:type="dxa"/>
            <w:vAlign w:val="bottom"/>
          </w:tcPr>
          <w:p w:rsidR="00242C36" w:rsidRPr="005D1E2C" w:rsidRDefault="00242C36" w:rsidP="00242C36">
            <w:pPr>
              <w:jc w:val="center"/>
              <w:rPr>
                <w:sz w:val="16"/>
              </w:rPr>
            </w:pPr>
            <w:r w:rsidRPr="005D1E2C">
              <w:rPr>
                <w:sz w:val="16"/>
              </w:rPr>
              <w:t>0</w:t>
            </w:r>
          </w:p>
        </w:tc>
        <w:tc>
          <w:tcPr>
            <w:tcW w:w="992" w:type="dxa"/>
            <w:vAlign w:val="bottom"/>
          </w:tcPr>
          <w:p w:rsidR="00242C36" w:rsidRPr="005D1E2C" w:rsidRDefault="00242C36" w:rsidP="00242C36">
            <w:pPr>
              <w:jc w:val="right"/>
              <w:rPr>
                <w:sz w:val="16"/>
              </w:rPr>
            </w:pPr>
            <w:r w:rsidRPr="005D1E2C">
              <w:rPr>
                <w:sz w:val="16"/>
              </w:rPr>
              <w:t>0,00</w:t>
            </w:r>
          </w:p>
        </w:tc>
        <w:tc>
          <w:tcPr>
            <w:tcW w:w="992" w:type="dxa"/>
            <w:vAlign w:val="bottom"/>
          </w:tcPr>
          <w:p w:rsidR="00242C36" w:rsidRPr="005D1E2C" w:rsidRDefault="00242C36" w:rsidP="00242C36">
            <w:pPr>
              <w:jc w:val="right"/>
              <w:rPr>
                <w:sz w:val="16"/>
              </w:rPr>
            </w:pPr>
            <w:r w:rsidRPr="005D1E2C">
              <w:rPr>
                <w:sz w:val="16"/>
              </w:rPr>
              <w:t>0,00</w:t>
            </w:r>
          </w:p>
        </w:tc>
        <w:tc>
          <w:tcPr>
            <w:tcW w:w="1077" w:type="dxa"/>
            <w:vAlign w:val="bottom"/>
          </w:tcPr>
          <w:p w:rsidR="00242C36" w:rsidRPr="005D1E2C" w:rsidRDefault="00242C36" w:rsidP="00242C36">
            <w:pPr>
              <w:jc w:val="right"/>
              <w:rPr>
                <w:sz w:val="16"/>
              </w:rPr>
            </w:pPr>
            <w:r w:rsidRPr="005D1E2C">
              <w:rPr>
                <w:sz w:val="16"/>
              </w:rPr>
              <w:t>0,00</w:t>
            </w:r>
          </w:p>
        </w:tc>
        <w:tc>
          <w:tcPr>
            <w:tcW w:w="908" w:type="dxa"/>
            <w:vAlign w:val="bottom"/>
          </w:tcPr>
          <w:p w:rsidR="00242C36" w:rsidRPr="005D1E2C" w:rsidRDefault="00242C36" w:rsidP="00242C36">
            <w:pPr>
              <w:jc w:val="right"/>
              <w:rPr>
                <w:sz w:val="16"/>
              </w:rPr>
            </w:pPr>
            <w:r w:rsidRPr="005D1E2C">
              <w:rPr>
                <w:sz w:val="16"/>
              </w:rPr>
              <w:t>0,00</w:t>
            </w:r>
          </w:p>
        </w:tc>
        <w:tc>
          <w:tcPr>
            <w:tcW w:w="992" w:type="dxa"/>
            <w:vAlign w:val="bottom"/>
          </w:tcPr>
          <w:p w:rsidR="00242C36" w:rsidRPr="005D1E2C" w:rsidRDefault="00242C36" w:rsidP="00242C36">
            <w:pPr>
              <w:jc w:val="right"/>
              <w:rPr>
                <w:sz w:val="16"/>
              </w:rPr>
            </w:pPr>
            <w:r w:rsidRPr="005D1E2C">
              <w:rPr>
                <w:sz w:val="16"/>
              </w:rPr>
              <w:t>0,00</w:t>
            </w:r>
          </w:p>
        </w:tc>
        <w:tc>
          <w:tcPr>
            <w:tcW w:w="992" w:type="dxa"/>
            <w:vAlign w:val="bottom"/>
          </w:tcPr>
          <w:p w:rsidR="00242C36" w:rsidRPr="005D1E2C" w:rsidRDefault="00242C36" w:rsidP="00242C36">
            <w:pPr>
              <w:jc w:val="right"/>
              <w:rPr>
                <w:sz w:val="16"/>
              </w:rPr>
            </w:pPr>
            <w:r w:rsidRPr="005D1E2C">
              <w:rPr>
                <w:sz w:val="16"/>
              </w:rPr>
              <w:t>0,00</w:t>
            </w:r>
          </w:p>
        </w:tc>
      </w:tr>
      <w:tr w:rsidR="00242C36" w:rsidRPr="005D1E2C" w:rsidTr="00242C36">
        <w:trPr>
          <w:cantSplit/>
          <w:trHeight w:val="340"/>
        </w:trPr>
        <w:tc>
          <w:tcPr>
            <w:tcW w:w="851" w:type="dxa"/>
            <w:vMerge/>
            <w:vAlign w:val="center"/>
          </w:tcPr>
          <w:p w:rsidR="00242C36" w:rsidRPr="005D1E2C" w:rsidRDefault="00242C36" w:rsidP="00242C36">
            <w:pPr>
              <w:rPr>
                <w:sz w:val="16"/>
              </w:rPr>
            </w:pPr>
          </w:p>
        </w:tc>
        <w:tc>
          <w:tcPr>
            <w:tcW w:w="1127" w:type="dxa"/>
            <w:vAlign w:val="center"/>
          </w:tcPr>
          <w:p w:rsidR="00242C36" w:rsidRPr="005D1E2C" w:rsidRDefault="00242C36" w:rsidP="00242C36">
            <w:pPr>
              <w:rPr>
                <w:sz w:val="16"/>
              </w:rPr>
            </w:pPr>
            <w:r w:rsidRPr="005D1E2C">
              <w:rPr>
                <w:sz w:val="16"/>
              </w:rPr>
              <w:t>po prírodn. katastrofe</w:t>
            </w:r>
          </w:p>
        </w:tc>
        <w:tc>
          <w:tcPr>
            <w:tcW w:w="756" w:type="dxa"/>
            <w:vAlign w:val="bottom"/>
          </w:tcPr>
          <w:p w:rsidR="00242C36" w:rsidRPr="005D1E2C" w:rsidRDefault="00242C36" w:rsidP="00242C36">
            <w:pPr>
              <w:jc w:val="center"/>
              <w:rPr>
                <w:sz w:val="16"/>
              </w:rPr>
            </w:pPr>
            <w:r w:rsidRPr="005D1E2C">
              <w:rPr>
                <w:sz w:val="16"/>
              </w:rPr>
              <w:t>-</w:t>
            </w:r>
          </w:p>
        </w:tc>
        <w:tc>
          <w:tcPr>
            <w:tcW w:w="1236" w:type="dxa"/>
            <w:vAlign w:val="bottom"/>
          </w:tcPr>
          <w:p w:rsidR="00242C36" w:rsidRPr="005D1E2C" w:rsidRDefault="00242C36" w:rsidP="00242C36">
            <w:pPr>
              <w:jc w:val="center"/>
              <w:rPr>
                <w:sz w:val="16"/>
              </w:rPr>
            </w:pPr>
            <w:r w:rsidRPr="005D1E2C">
              <w:rPr>
                <w:sz w:val="16"/>
                <w:szCs w:val="16"/>
              </w:rPr>
              <w:t>186</w:t>
            </w:r>
          </w:p>
        </w:tc>
        <w:tc>
          <w:tcPr>
            <w:tcW w:w="992" w:type="dxa"/>
            <w:vAlign w:val="bottom"/>
          </w:tcPr>
          <w:p w:rsidR="00242C36" w:rsidRPr="005D1E2C" w:rsidRDefault="00242C36" w:rsidP="00242C36">
            <w:pPr>
              <w:jc w:val="right"/>
              <w:rPr>
                <w:sz w:val="16"/>
              </w:rPr>
            </w:pPr>
            <w:r w:rsidRPr="005D1E2C">
              <w:rPr>
                <w:sz w:val="16"/>
                <w:szCs w:val="16"/>
              </w:rPr>
              <w:t>12 835,56</w:t>
            </w:r>
          </w:p>
        </w:tc>
        <w:tc>
          <w:tcPr>
            <w:tcW w:w="992" w:type="dxa"/>
            <w:vAlign w:val="bottom"/>
          </w:tcPr>
          <w:p w:rsidR="00242C36" w:rsidRPr="005D1E2C" w:rsidRDefault="00242C36" w:rsidP="00242C36">
            <w:pPr>
              <w:jc w:val="right"/>
              <w:rPr>
                <w:sz w:val="16"/>
              </w:rPr>
            </w:pPr>
            <w:r w:rsidRPr="005D1E2C">
              <w:rPr>
                <w:sz w:val="16"/>
              </w:rPr>
              <w:t>125</w:t>
            </w:r>
            <w:r w:rsidRPr="005D1E2C">
              <w:rPr>
                <w:sz w:val="16"/>
                <w:szCs w:val="16"/>
              </w:rPr>
              <w:t> 954,93</w:t>
            </w:r>
          </w:p>
        </w:tc>
        <w:tc>
          <w:tcPr>
            <w:tcW w:w="1077" w:type="dxa"/>
            <w:vAlign w:val="bottom"/>
          </w:tcPr>
          <w:p w:rsidR="00242C36" w:rsidRPr="005D1E2C" w:rsidRDefault="00242C36" w:rsidP="00242C36">
            <w:pPr>
              <w:jc w:val="right"/>
              <w:rPr>
                <w:sz w:val="16"/>
              </w:rPr>
            </w:pPr>
            <w:r w:rsidRPr="005D1E2C">
              <w:rPr>
                <w:sz w:val="16"/>
                <w:szCs w:val="16"/>
              </w:rPr>
              <w:t>138 790,49</w:t>
            </w:r>
          </w:p>
        </w:tc>
        <w:tc>
          <w:tcPr>
            <w:tcW w:w="908" w:type="dxa"/>
            <w:vAlign w:val="bottom"/>
          </w:tcPr>
          <w:p w:rsidR="00242C36" w:rsidRPr="005D1E2C" w:rsidRDefault="00242C36" w:rsidP="00242C36">
            <w:pPr>
              <w:jc w:val="right"/>
              <w:rPr>
                <w:sz w:val="16"/>
              </w:rPr>
            </w:pPr>
            <w:r w:rsidRPr="005D1E2C">
              <w:rPr>
                <w:sz w:val="16"/>
                <w:szCs w:val="16"/>
              </w:rPr>
              <w:t>11 482,38</w:t>
            </w:r>
          </w:p>
        </w:tc>
        <w:tc>
          <w:tcPr>
            <w:tcW w:w="992" w:type="dxa"/>
            <w:vAlign w:val="bottom"/>
          </w:tcPr>
          <w:p w:rsidR="00242C36" w:rsidRPr="005D1E2C" w:rsidRDefault="00242C36" w:rsidP="00242C36">
            <w:pPr>
              <w:jc w:val="right"/>
              <w:rPr>
                <w:sz w:val="16"/>
              </w:rPr>
            </w:pPr>
            <w:r w:rsidRPr="005D1E2C">
              <w:rPr>
                <w:sz w:val="16"/>
                <w:szCs w:val="16"/>
              </w:rPr>
              <w:t>31 915,37</w:t>
            </w:r>
          </w:p>
        </w:tc>
        <w:tc>
          <w:tcPr>
            <w:tcW w:w="992" w:type="dxa"/>
            <w:vAlign w:val="bottom"/>
          </w:tcPr>
          <w:p w:rsidR="00242C36" w:rsidRPr="005D1E2C" w:rsidRDefault="00242C36" w:rsidP="00242C36">
            <w:pPr>
              <w:jc w:val="right"/>
              <w:rPr>
                <w:sz w:val="16"/>
              </w:rPr>
            </w:pPr>
            <w:r w:rsidRPr="005D1E2C">
              <w:rPr>
                <w:sz w:val="16"/>
                <w:szCs w:val="16"/>
              </w:rPr>
              <w:t>43 397,75</w:t>
            </w:r>
          </w:p>
        </w:tc>
      </w:tr>
      <w:tr w:rsidR="00242C36" w:rsidRPr="005D1E2C" w:rsidTr="00242C36">
        <w:trPr>
          <w:cantSplit/>
        </w:trPr>
        <w:tc>
          <w:tcPr>
            <w:tcW w:w="1978" w:type="dxa"/>
            <w:gridSpan w:val="2"/>
            <w:shd w:val="clear" w:color="auto" w:fill="F2F2F2"/>
            <w:vAlign w:val="center"/>
          </w:tcPr>
          <w:p w:rsidR="00242C36" w:rsidRPr="005D1E2C" w:rsidRDefault="00242C36" w:rsidP="00242C36">
            <w:pPr>
              <w:rPr>
                <w:b/>
                <w:sz w:val="16"/>
              </w:rPr>
            </w:pPr>
            <w:r w:rsidRPr="005D1E2C">
              <w:rPr>
                <w:b/>
                <w:sz w:val="16"/>
              </w:rPr>
              <w:t>SPOLU</w:t>
            </w:r>
          </w:p>
        </w:tc>
        <w:tc>
          <w:tcPr>
            <w:tcW w:w="756" w:type="dxa"/>
            <w:shd w:val="clear" w:color="auto" w:fill="F2F2F2"/>
            <w:vAlign w:val="bottom"/>
          </w:tcPr>
          <w:p w:rsidR="00242C36" w:rsidRPr="005D1E2C" w:rsidRDefault="00242C36" w:rsidP="00242C36">
            <w:pPr>
              <w:jc w:val="center"/>
              <w:rPr>
                <w:b/>
                <w:sz w:val="16"/>
              </w:rPr>
            </w:pPr>
            <w:r w:rsidRPr="005D1E2C">
              <w:rPr>
                <w:b/>
                <w:sz w:val="16"/>
              </w:rPr>
              <w:t>377</w:t>
            </w:r>
          </w:p>
        </w:tc>
        <w:tc>
          <w:tcPr>
            <w:tcW w:w="1236" w:type="dxa"/>
            <w:shd w:val="clear" w:color="auto" w:fill="F2F2F2"/>
            <w:vAlign w:val="bottom"/>
          </w:tcPr>
          <w:p w:rsidR="00242C36" w:rsidRPr="005D1E2C" w:rsidRDefault="00242C36" w:rsidP="00242C36">
            <w:pPr>
              <w:jc w:val="center"/>
              <w:rPr>
                <w:b/>
                <w:sz w:val="16"/>
              </w:rPr>
            </w:pPr>
            <w:r w:rsidRPr="005D1E2C">
              <w:rPr>
                <w:b/>
                <w:sz w:val="16"/>
                <w:szCs w:val="16"/>
              </w:rPr>
              <w:t>365</w:t>
            </w:r>
          </w:p>
        </w:tc>
        <w:tc>
          <w:tcPr>
            <w:tcW w:w="992" w:type="dxa"/>
            <w:shd w:val="clear" w:color="auto" w:fill="F2F2F2"/>
            <w:vAlign w:val="bottom"/>
          </w:tcPr>
          <w:p w:rsidR="00242C36" w:rsidRPr="005D1E2C" w:rsidRDefault="00242C36" w:rsidP="00242C36">
            <w:pPr>
              <w:jc w:val="right"/>
              <w:rPr>
                <w:b/>
                <w:sz w:val="16"/>
              </w:rPr>
            </w:pPr>
            <w:r w:rsidRPr="005D1E2C">
              <w:rPr>
                <w:b/>
                <w:sz w:val="16"/>
                <w:szCs w:val="16"/>
              </w:rPr>
              <w:t>60 140,66</w:t>
            </w:r>
          </w:p>
        </w:tc>
        <w:tc>
          <w:tcPr>
            <w:tcW w:w="992" w:type="dxa"/>
            <w:shd w:val="clear" w:color="auto" w:fill="F2F2F2"/>
            <w:vAlign w:val="bottom"/>
          </w:tcPr>
          <w:p w:rsidR="00242C36" w:rsidRPr="005D1E2C" w:rsidRDefault="00242C36" w:rsidP="00242C36">
            <w:pPr>
              <w:jc w:val="right"/>
              <w:rPr>
                <w:b/>
                <w:sz w:val="16"/>
              </w:rPr>
            </w:pPr>
            <w:r w:rsidRPr="005D1E2C">
              <w:rPr>
                <w:b/>
                <w:sz w:val="16"/>
                <w:szCs w:val="16"/>
              </w:rPr>
              <w:t>253 681,17</w:t>
            </w:r>
          </w:p>
        </w:tc>
        <w:tc>
          <w:tcPr>
            <w:tcW w:w="1077" w:type="dxa"/>
            <w:shd w:val="clear" w:color="auto" w:fill="F2F2F2"/>
            <w:vAlign w:val="bottom"/>
          </w:tcPr>
          <w:p w:rsidR="00242C36" w:rsidRPr="005D1E2C" w:rsidRDefault="00242C36" w:rsidP="00242C36">
            <w:pPr>
              <w:jc w:val="right"/>
              <w:rPr>
                <w:b/>
                <w:sz w:val="16"/>
              </w:rPr>
            </w:pPr>
            <w:r w:rsidRPr="005D1E2C">
              <w:rPr>
                <w:b/>
                <w:sz w:val="16"/>
                <w:szCs w:val="16"/>
              </w:rPr>
              <w:t>313 821,83</w:t>
            </w:r>
          </w:p>
        </w:tc>
        <w:tc>
          <w:tcPr>
            <w:tcW w:w="908" w:type="dxa"/>
            <w:shd w:val="clear" w:color="auto" w:fill="F2F2F2"/>
            <w:vAlign w:val="bottom"/>
          </w:tcPr>
          <w:p w:rsidR="00242C36" w:rsidRPr="005D1E2C" w:rsidRDefault="00242C36" w:rsidP="00242C36">
            <w:pPr>
              <w:jc w:val="right"/>
              <w:rPr>
                <w:b/>
                <w:sz w:val="16"/>
              </w:rPr>
            </w:pPr>
            <w:r w:rsidRPr="005D1E2C">
              <w:rPr>
                <w:b/>
                <w:sz w:val="16"/>
                <w:szCs w:val="16"/>
              </w:rPr>
              <w:t>46 451,93</w:t>
            </w:r>
          </w:p>
        </w:tc>
        <w:tc>
          <w:tcPr>
            <w:tcW w:w="992" w:type="dxa"/>
            <w:shd w:val="clear" w:color="auto" w:fill="F2F2F2"/>
            <w:vAlign w:val="bottom"/>
          </w:tcPr>
          <w:p w:rsidR="00242C36" w:rsidRPr="005D1E2C" w:rsidRDefault="00242C36" w:rsidP="00242C36">
            <w:pPr>
              <w:jc w:val="right"/>
              <w:rPr>
                <w:b/>
                <w:sz w:val="16"/>
              </w:rPr>
            </w:pPr>
            <w:r w:rsidRPr="005D1E2C">
              <w:rPr>
                <w:b/>
                <w:sz w:val="16"/>
                <w:szCs w:val="16"/>
              </w:rPr>
              <w:t>69 650,00</w:t>
            </w:r>
          </w:p>
        </w:tc>
        <w:tc>
          <w:tcPr>
            <w:tcW w:w="992" w:type="dxa"/>
            <w:shd w:val="clear" w:color="auto" w:fill="F2F2F2"/>
            <w:vAlign w:val="bottom"/>
          </w:tcPr>
          <w:p w:rsidR="00242C36" w:rsidRPr="005D1E2C" w:rsidRDefault="00242C36" w:rsidP="00242C36">
            <w:pPr>
              <w:jc w:val="right"/>
              <w:rPr>
                <w:b/>
                <w:sz w:val="16"/>
              </w:rPr>
            </w:pPr>
            <w:r w:rsidRPr="005D1E2C">
              <w:rPr>
                <w:b/>
                <w:sz w:val="16"/>
                <w:szCs w:val="16"/>
              </w:rPr>
              <w:t>116 101,93</w:t>
            </w:r>
          </w:p>
        </w:tc>
      </w:tr>
    </w:tbl>
    <w:p w:rsidR="00242C36" w:rsidRPr="005D1E2C" w:rsidRDefault="00242C36" w:rsidP="00242C36">
      <w:pPr>
        <w:rPr>
          <w:sz w:val="20"/>
        </w:rPr>
      </w:pPr>
      <w:r w:rsidRPr="005D1E2C">
        <w:rPr>
          <w:sz w:val="20"/>
        </w:rPr>
        <w:t>Zdroj: PPA</w:t>
      </w:r>
      <w:r>
        <w:rPr>
          <w:sz w:val="20"/>
        </w:rPr>
        <w:t>, VS o pokroku k PRV SR 2007-2013 za rok 2012.</w:t>
      </w:r>
    </w:p>
    <w:p w:rsidR="00242C36" w:rsidRPr="005D1E2C" w:rsidRDefault="00242C36" w:rsidP="00242C36"/>
    <w:p w:rsidR="00242C36" w:rsidRPr="00E16CE0" w:rsidRDefault="00242C36" w:rsidP="00242C36">
      <w:pPr>
        <w:rPr>
          <w:szCs w:val="22"/>
        </w:rPr>
      </w:pPr>
      <w:r w:rsidRPr="00E16CE0">
        <w:rPr>
          <w:szCs w:val="22"/>
        </w:rPr>
        <w:t xml:space="preserve">Celková podporená plocha poškodených lesov činila </w:t>
      </w:r>
      <w:smartTag w:uri="urn:schemas-microsoft-com:office:smarttags" w:element="metricconverter">
        <w:smartTagPr>
          <w:attr w:name="ProductID" w:val="313ﾠ821,83 ha"/>
        </w:smartTagPr>
        <w:r w:rsidRPr="00E16CE0">
          <w:rPr>
            <w:szCs w:val="22"/>
          </w:rPr>
          <w:t>313 821,83 ha</w:t>
        </w:r>
      </w:smartTag>
      <w:r w:rsidRPr="00E16CE0">
        <w:rPr>
          <w:szCs w:val="22"/>
        </w:rPr>
        <w:t>. Podporené projekty sa koncentrovali na prevenciu po požiari (</w:t>
      </w:r>
      <w:smartTag w:uri="urn:schemas-microsoft-com:office:smarttags" w:element="metricconverter">
        <w:smartTagPr>
          <w:attr w:name="ProductID" w:val="174ﾠ663,24 ha"/>
        </w:smartTagPr>
        <w:r w:rsidRPr="00E16CE0">
          <w:rPr>
            <w:szCs w:val="22"/>
          </w:rPr>
          <w:t>174 663,24 ha</w:t>
        </w:r>
      </w:smartTag>
      <w:r w:rsidRPr="00E16CE0">
        <w:rPr>
          <w:szCs w:val="22"/>
        </w:rPr>
        <w:t xml:space="preserve"> lesov) a obnovu lesných porastov po prírodnej katastrofe (</w:t>
      </w:r>
      <w:smartTag w:uri="urn:schemas-microsoft-com:office:smarttags" w:element="metricconverter">
        <w:smartTagPr>
          <w:attr w:name="ProductID" w:val="138ﾠ790,49 ha"/>
        </w:smartTagPr>
        <w:r w:rsidRPr="00E16CE0">
          <w:rPr>
            <w:szCs w:val="22"/>
          </w:rPr>
          <w:t>138 790,49 ha</w:t>
        </w:r>
      </w:smartTag>
      <w:r w:rsidRPr="00E16CE0">
        <w:rPr>
          <w:szCs w:val="22"/>
        </w:rPr>
        <w:t xml:space="preserve">). </w:t>
      </w:r>
    </w:p>
    <w:p w:rsidR="00242C36" w:rsidRPr="005D1E2C" w:rsidRDefault="00242C36" w:rsidP="00242C36">
      <w:pPr>
        <w:keepNext/>
      </w:pPr>
    </w:p>
    <w:p w:rsidR="00242C36" w:rsidRPr="00465472" w:rsidRDefault="008F198F" w:rsidP="00242C36">
      <w:pPr>
        <w:keepNext/>
        <w:rPr>
          <w:rStyle w:val="PopisChar"/>
          <w:rFonts w:asciiTheme="minorHAnsi" w:hAnsiTheme="minorHAnsi"/>
          <w:b/>
          <w:i w:val="0"/>
          <w:sz w:val="20"/>
          <w:szCs w:val="20"/>
        </w:rPr>
      </w:pPr>
      <w:r>
        <w:rPr>
          <w:rStyle w:val="PopisChar"/>
          <w:rFonts w:asciiTheme="minorHAnsi" w:hAnsiTheme="minorHAnsi"/>
          <w:b/>
          <w:i w:val="0"/>
          <w:sz w:val="20"/>
          <w:szCs w:val="20"/>
        </w:rPr>
        <w:t xml:space="preserve">Tabuľka 52: </w:t>
      </w:r>
      <w:r w:rsidR="00242C36" w:rsidRPr="00465472">
        <w:rPr>
          <w:rStyle w:val="PopisChar"/>
          <w:rFonts w:asciiTheme="minorHAnsi" w:hAnsiTheme="minorHAnsi"/>
          <w:b/>
          <w:i w:val="0"/>
          <w:sz w:val="20"/>
          <w:szCs w:val="20"/>
        </w:rPr>
        <w:t>Počty projektov, podporovaná výmera a objem investícií podľa druhu činnosti</w:t>
      </w:r>
    </w:p>
    <w:tbl>
      <w:tblPr>
        <w:tblW w:w="907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8"/>
        <w:gridCol w:w="1276"/>
        <w:gridCol w:w="1063"/>
        <w:gridCol w:w="1064"/>
        <w:gridCol w:w="1017"/>
        <w:gridCol w:w="46"/>
        <w:gridCol w:w="1064"/>
        <w:gridCol w:w="1063"/>
        <w:gridCol w:w="1064"/>
      </w:tblGrid>
      <w:tr w:rsidR="00242C36" w:rsidRPr="005D1E2C" w:rsidTr="00242C36">
        <w:trPr>
          <w:cantSplit/>
        </w:trPr>
        <w:tc>
          <w:tcPr>
            <w:tcW w:w="1418" w:type="dxa"/>
            <w:vMerge w:val="restart"/>
            <w:shd w:val="clear" w:color="auto" w:fill="F3F3F3"/>
            <w:vAlign w:val="center"/>
          </w:tcPr>
          <w:p w:rsidR="00242C36" w:rsidRPr="005D1E2C" w:rsidRDefault="00242C36" w:rsidP="00242C36">
            <w:pPr>
              <w:jc w:val="center"/>
              <w:rPr>
                <w:b/>
                <w:sz w:val="16"/>
              </w:rPr>
            </w:pPr>
            <w:r w:rsidRPr="005D1E2C">
              <w:rPr>
                <w:b/>
                <w:sz w:val="16"/>
              </w:rPr>
              <w:t>Druh zásahu</w:t>
            </w:r>
          </w:p>
        </w:tc>
        <w:tc>
          <w:tcPr>
            <w:tcW w:w="1276" w:type="dxa"/>
            <w:vMerge w:val="restart"/>
            <w:shd w:val="clear" w:color="auto" w:fill="F3F3F3"/>
            <w:vAlign w:val="center"/>
          </w:tcPr>
          <w:p w:rsidR="00242C36" w:rsidRPr="005D1E2C" w:rsidRDefault="00242C36" w:rsidP="00242C36">
            <w:pPr>
              <w:jc w:val="center"/>
              <w:rPr>
                <w:b/>
                <w:sz w:val="16"/>
              </w:rPr>
            </w:pPr>
            <w:r w:rsidRPr="005D1E2C">
              <w:rPr>
                <w:b/>
                <w:sz w:val="16"/>
              </w:rPr>
              <w:t>Poč. opatrení, na kt.bola pos-kytnutá pomoc</w:t>
            </w:r>
          </w:p>
        </w:tc>
        <w:tc>
          <w:tcPr>
            <w:tcW w:w="3144" w:type="dxa"/>
            <w:gridSpan w:val="3"/>
            <w:shd w:val="clear" w:color="auto" w:fill="F2F2F2"/>
            <w:vAlign w:val="center"/>
          </w:tcPr>
          <w:p w:rsidR="00242C36" w:rsidRPr="005D1E2C" w:rsidRDefault="00242C36" w:rsidP="00242C36">
            <w:pPr>
              <w:jc w:val="center"/>
              <w:rPr>
                <w:b/>
                <w:sz w:val="16"/>
              </w:rPr>
            </w:pPr>
            <w:r w:rsidRPr="005D1E2C">
              <w:rPr>
                <w:b/>
                <w:sz w:val="16"/>
              </w:rPr>
              <w:t>Podporená plocha poškodených lesov (ha)</w:t>
            </w:r>
          </w:p>
        </w:tc>
        <w:tc>
          <w:tcPr>
            <w:tcW w:w="3237" w:type="dxa"/>
            <w:gridSpan w:val="4"/>
            <w:shd w:val="clear" w:color="auto" w:fill="F2F2F2"/>
            <w:vAlign w:val="center"/>
          </w:tcPr>
          <w:p w:rsidR="00242C36" w:rsidRPr="005D1E2C" w:rsidRDefault="00242C36" w:rsidP="00242C36">
            <w:pPr>
              <w:jc w:val="center"/>
              <w:rPr>
                <w:b/>
                <w:sz w:val="16"/>
              </w:rPr>
            </w:pPr>
            <w:r w:rsidRPr="005D1E2C">
              <w:rPr>
                <w:b/>
                <w:sz w:val="16"/>
              </w:rPr>
              <w:t>Celkový objem investícií (tis. EUR)</w:t>
            </w:r>
          </w:p>
        </w:tc>
      </w:tr>
      <w:tr w:rsidR="00242C36" w:rsidRPr="005D1E2C" w:rsidTr="00242C36">
        <w:trPr>
          <w:cantSplit/>
        </w:trPr>
        <w:tc>
          <w:tcPr>
            <w:tcW w:w="1418" w:type="dxa"/>
            <w:vMerge/>
            <w:vAlign w:val="center"/>
          </w:tcPr>
          <w:p w:rsidR="00242C36" w:rsidRPr="005D1E2C" w:rsidRDefault="00242C36" w:rsidP="00242C36">
            <w:pPr>
              <w:jc w:val="center"/>
              <w:rPr>
                <w:sz w:val="16"/>
              </w:rPr>
            </w:pPr>
          </w:p>
        </w:tc>
        <w:tc>
          <w:tcPr>
            <w:tcW w:w="1276" w:type="dxa"/>
            <w:vMerge/>
            <w:vAlign w:val="center"/>
          </w:tcPr>
          <w:p w:rsidR="00242C36" w:rsidRPr="005D1E2C" w:rsidRDefault="00242C36" w:rsidP="00242C36">
            <w:pPr>
              <w:jc w:val="center"/>
              <w:rPr>
                <w:sz w:val="16"/>
              </w:rPr>
            </w:pPr>
          </w:p>
        </w:tc>
        <w:tc>
          <w:tcPr>
            <w:tcW w:w="1063" w:type="dxa"/>
            <w:shd w:val="clear" w:color="auto" w:fill="F2F2F2"/>
            <w:vAlign w:val="center"/>
          </w:tcPr>
          <w:p w:rsidR="00242C36" w:rsidRPr="005D1E2C" w:rsidRDefault="00242C36" w:rsidP="00242C36">
            <w:pPr>
              <w:jc w:val="center"/>
              <w:rPr>
                <w:sz w:val="16"/>
              </w:rPr>
            </w:pPr>
            <w:r w:rsidRPr="005D1E2C">
              <w:rPr>
                <w:sz w:val="16"/>
              </w:rPr>
              <w:t>Súkromní vlastníci</w:t>
            </w:r>
          </w:p>
        </w:tc>
        <w:tc>
          <w:tcPr>
            <w:tcW w:w="1064" w:type="dxa"/>
            <w:shd w:val="clear" w:color="auto" w:fill="F2F2F2"/>
            <w:vAlign w:val="center"/>
          </w:tcPr>
          <w:p w:rsidR="00242C36" w:rsidRPr="005D1E2C" w:rsidRDefault="00242C36" w:rsidP="00242C36">
            <w:pPr>
              <w:jc w:val="center"/>
              <w:rPr>
                <w:sz w:val="16"/>
              </w:rPr>
            </w:pPr>
            <w:r w:rsidRPr="005D1E2C">
              <w:rPr>
                <w:sz w:val="16"/>
              </w:rPr>
              <w:t>Verejní vlastníci</w:t>
            </w:r>
          </w:p>
        </w:tc>
        <w:tc>
          <w:tcPr>
            <w:tcW w:w="1063" w:type="dxa"/>
            <w:gridSpan w:val="2"/>
            <w:shd w:val="clear" w:color="auto" w:fill="F2F2F2"/>
            <w:vAlign w:val="center"/>
          </w:tcPr>
          <w:p w:rsidR="00242C36" w:rsidRPr="005D1E2C" w:rsidRDefault="00242C36" w:rsidP="00242C36">
            <w:pPr>
              <w:jc w:val="center"/>
              <w:rPr>
                <w:sz w:val="16"/>
              </w:rPr>
            </w:pPr>
            <w:r w:rsidRPr="005D1E2C">
              <w:rPr>
                <w:sz w:val="16"/>
              </w:rPr>
              <w:t>SPOLU</w:t>
            </w:r>
          </w:p>
        </w:tc>
        <w:tc>
          <w:tcPr>
            <w:tcW w:w="1064" w:type="dxa"/>
            <w:shd w:val="clear" w:color="auto" w:fill="F2F2F2"/>
            <w:vAlign w:val="center"/>
          </w:tcPr>
          <w:p w:rsidR="00242C36" w:rsidRPr="005D1E2C" w:rsidRDefault="00242C36" w:rsidP="00242C36">
            <w:pPr>
              <w:jc w:val="center"/>
              <w:rPr>
                <w:sz w:val="16"/>
              </w:rPr>
            </w:pPr>
            <w:r w:rsidRPr="005D1E2C">
              <w:rPr>
                <w:sz w:val="16"/>
              </w:rPr>
              <w:t>Súkromní vlastníci</w:t>
            </w:r>
          </w:p>
        </w:tc>
        <w:tc>
          <w:tcPr>
            <w:tcW w:w="1063" w:type="dxa"/>
            <w:shd w:val="clear" w:color="auto" w:fill="F2F2F2"/>
            <w:vAlign w:val="center"/>
          </w:tcPr>
          <w:p w:rsidR="00242C36" w:rsidRPr="005D1E2C" w:rsidRDefault="00242C36" w:rsidP="00242C36">
            <w:pPr>
              <w:jc w:val="center"/>
              <w:rPr>
                <w:sz w:val="16"/>
              </w:rPr>
            </w:pPr>
            <w:r w:rsidRPr="005D1E2C">
              <w:rPr>
                <w:sz w:val="16"/>
              </w:rPr>
              <w:t>Verejní vlastníci</w:t>
            </w:r>
          </w:p>
        </w:tc>
        <w:tc>
          <w:tcPr>
            <w:tcW w:w="1064" w:type="dxa"/>
            <w:shd w:val="clear" w:color="auto" w:fill="F2F2F2"/>
            <w:vAlign w:val="center"/>
          </w:tcPr>
          <w:p w:rsidR="00242C36" w:rsidRPr="005D1E2C" w:rsidRDefault="00242C36" w:rsidP="00242C36">
            <w:pPr>
              <w:jc w:val="center"/>
              <w:rPr>
                <w:sz w:val="16"/>
              </w:rPr>
            </w:pPr>
            <w:r w:rsidRPr="005D1E2C">
              <w:rPr>
                <w:sz w:val="16"/>
              </w:rPr>
              <w:t>SPOLU</w:t>
            </w:r>
          </w:p>
        </w:tc>
      </w:tr>
      <w:tr w:rsidR="00242C36" w:rsidRPr="005D1E2C" w:rsidTr="00242C36">
        <w:trPr>
          <w:cantSplit/>
        </w:trPr>
        <w:tc>
          <w:tcPr>
            <w:tcW w:w="1418" w:type="dxa"/>
            <w:vAlign w:val="center"/>
          </w:tcPr>
          <w:p w:rsidR="00242C36" w:rsidRPr="005D1E2C" w:rsidRDefault="00242C36" w:rsidP="00242C36">
            <w:pPr>
              <w:rPr>
                <w:sz w:val="16"/>
              </w:rPr>
            </w:pPr>
            <w:r w:rsidRPr="005D1E2C">
              <w:rPr>
                <w:sz w:val="16"/>
              </w:rPr>
              <w:t>Infraštruktúra</w:t>
            </w:r>
          </w:p>
        </w:tc>
        <w:tc>
          <w:tcPr>
            <w:tcW w:w="1276" w:type="dxa"/>
            <w:vAlign w:val="center"/>
          </w:tcPr>
          <w:p w:rsidR="00242C36" w:rsidRPr="005D1E2C" w:rsidRDefault="00242C36" w:rsidP="00242C36">
            <w:pPr>
              <w:jc w:val="center"/>
              <w:rPr>
                <w:sz w:val="16"/>
              </w:rPr>
            </w:pPr>
            <w:r w:rsidRPr="005D1E2C">
              <w:rPr>
                <w:sz w:val="16"/>
                <w:szCs w:val="16"/>
              </w:rPr>
              <w:t>177</w:t>
            </w:r>
          </w:p>
        </w:tc>
        <w:tc>
          <w:tcPr>
            <w:tcW w:w="1063" w:type="dxa"/>
            <w:vAlign w:val="center"/>
          </w:tcPr>
          <w:p w:rsidR="00242C36" w:rsidRPr="005D1E2C" w:rsidRDefault="00242C36" w:rsidP="00242C36">
            <w:pPr>
              <w:jc w:val="right"/>
              <w:rPr>
                <w:sz w:val="16"/>
              </w:rPr>
            </w:pPr>
            <w:r w:rsidRPr="005D1E2C">
              <w:rPr>
                <w:sz w:val="16"/>
                <w:szCs w:val="16"/>
              </w:rPr>
              <w:t>45 844,41</w:t>
            </w:r>
          </w:p>
        </w:tc>
        <w:tc>
          <w:tcPr>
            <w:tcW w:w="1064" w:type="dxa"/>
            <w:vAlign w:val="center"/>
          </w:tcPr>
          <w:p w:rsidR="00242C36" w:rsidRPr="005D1E2C" w:rsidRDefault="00242C36" w:rsidP="00242C36">
            <w:pPr>
              <w:jc w:val="right"/>
              <w:rPr>
                <w:sz w:val="16"/>
              </w:rPr>
            </w:pPr>
            <w:r w:rsidRPr="005D1E2C">
              <w:rPr>
                <w:sz w:val="16"/>
                <w:szCs w:val="16"/>
              </w:rPr>
              <w:t>127 331,87</w:t>
            </w:r>
          </w:p>
        </w:tc>
        <w:tc>
          <w:tcPr>
            <w:tcW w:w="1063" w:type="dxa"/>
            <w:gridSpan w:val="2"/>
            <w:vAlign w:val="center"/>
          </w:tcPr>
          <w:p w:rsidR="00242C36" w:rsidRPr="005D1E2C" w:rsidRDefault="00242C36" w:rsidP="00242C36">
            <w:pPr>
              <w:jc w:val="right"/>
              <w:rPr>
                <w:sz w:val="16"/>
              </w:rPr>
            </w:pPr>
            <w:r w:rsidRPr="005D1E2C">
              <w:rPr>
                <w:sz w:val="16"/>
                <w:szCs w:val="16"/>
              </w:rPr>
              <w:t>173 176,28</w:t>
            </w:r>
          </w:p>
        </w:tc>
        <w:tc>
          <w:tcPr>
            <w:tcW w:w="1064" w:type="dxa"/>
            <w:vAlign w:val="center"/>
          </w:tcPr>
          <w:p w:rsidR="00242C36" w:rsidRPr="005D1E2C" w:rsidRDefault="00242C36" w:rsidP="00242C36">
            <w:pPr>
              <w:jc w:val="right"/>
              <w:rPr>
                <w:sz w:val="16"/>
              </w:rPr>
            </w:pPr>
            <w:r w:rsidRPr="005D1E2C">
              <w:rPr>
                <w:sz w:val="16"/>
                <w:szCs w:val="16"/>
              </w:rPr>
              <w:t>33 893,28</w:t>
            </w:r>
          </w:p>
        </w:tc>
        <w:tc>
          <w:tcPr>
            <w:tcW w:w="1063" w:type="dxa"/>
            <w:vAlign w:val="center"/>
          </w:tcPr>
          <w:p w:rsidR="00242C36" w:rsidRPr="005D1E2C" w:rsidRDefault="00242C36" w:rsidP="00242C36">
            <w:pPr>
              <w:jc w:val="right"/>
              <w:rPr>
                <w:sz w:val="16"/>
              </w:rPr>
            </w:pPr>
            <w:r w:rsidRPr="005D1E2C">
              <w:rPr>
                <w:sz w:val="16"/>
                <w:szCs w:val="16"/>
              </w:rPr>
              <w:t>37 229,65</w:t>
            </w:r>
          </w:p>
        </w:tc>
        <w:tc>
          <w:tcPr>
            <w:tcW w:w="1064" w:type="dxa"/>
            <w:vAlign w:val="center"/>
          </w:tcPr>
          <w:p w:rsidR="00242C36" w:rsidRPr="005D1E2C" w:rsidRDefault="00242C36" w:rsidP="00242C36">
            <w:pPr>
              <w:jc w:val="right"/>
              <w:rPr>
                <w:sz w:val="16"/>
              </w:rPr>
            </w:pPr>
            <w:r w:rsidRPr="005D1E2C">
              <w:rPr>
                <w:sz w:val="16"/>
                <w:szCs w:val="16"/>
              </w:rPr>
              <w:t>71 122,93</w:t>
            </w:r>
          </w:p>
        </w:tc>
      </w:tr>
      <w:tr w:rsidR="00242C36" w:rsidRPr="005D1E2C" w:rsidTr="00242C36">
        <w:trPr>
          <w:cantSplit/>
        </w:trPr>
        <w:tc>
          <w:tcPr>
            <w:tcW w:w="1418" w:type="dxa"/>
            <w:vAlign w:val="center"/>
          </w:tcPr>
          <w:p w:rsidR="00242C36" w:rsidRPr="005D1E2C" w:rsidRDefault="00242C36" w:rsidP="00242C36">
            <w:pPr>
              <w:rPr>
                <w:sz w:val="16"/>
              </w:rPr>
            </w:pPr>
            <w:r w:rsidRPr="005D1E2C">
              <w:rPr>
                <w:sz w:val="16"/>
              </w:rPr>
              <w:t>Obnova porastu</w:t>
            </w:r>
          </w:p>
        </w:tc>
        <w:tc>
          <w:tcPr>
            <w:tcW w:w="1276" w:type="dxa"/>
            <w:vAlign w:val="center"/>
          </w:tcPr>
          <w:p w:rsidR="00242C36" w:rsidRPr="005D1E2C" w:rsidRDefault="00242C36" w:rsidP="00242C36">
            <w:pPr>
              <w:jc w:val="center"/>
              <w:rPr>
                <w:sz w:val="16"/>
              </w:rPr>
            </w:pPr>
            <w:r w:rsidRPr="005D1E2C">
              <w:rPr>
                <w:sz w:val="16"/>
                <w:szCs w:val="16"/>
              </w:rPr>
              <w:t>12</w:t>
            </w:r>
          </w:p>
        </w:tc>
        <w:tc>
          <w:tcPr>
            <w:tcW w:w="1063" w:type="dxa"/>
            <w:vAlign w:val="center"/>
          </w:tcPr>
          <w:p w:rsidR="00242C36" w:rsidRPr="005D1E2C" w:rsidRDefault="00242C36" w:rsidP="00242C36">
            <w:pPr>
              <w:jc w:val="right"/>
              <w:rPr>
                <w:sz w:val="16"/>
              </w:rPr>
            </w:pPr>
            <w:r w:rsidRPr="005D1E2C">
              <w:rPr>
                <w:sz w:val="16"/>
                <w:szCs w:val="16"/>
              </w:rPr>
              <w:t>2 448,13</w:t>
            </w:r>
          </w:p>
        </w:tc>
        <w:tc>
          <w:tcPr>
            <w:tcW w:w="1064" w:type="dxa"/>
            <w:vAlign w:val="center"/>
          </w:tcPr>
          <w:p w:rsidR="00242C36" w:rsidRPr="005D1E2C" w:rsidRDefault="00242C36" w:rsidP="00242C36">
            <w:pPr>
              <w:jc w:val="right"/>
              <w:rPr>
                <w:sz w:val="16"/>
              </w:rPr>
            </w:pPr>
            <w:r w:rsidRPr="005D1E2C">
              <w:rPr>
                <w:sz w:val="16"/>
              </w:rPr>
              <w:t>2</w:t>
            </w:r>
            <w:r w:rsidRPr="005D1E2C">
              <w:rPr>
                <w:sz w:val="16"/>
                <w:szCs w:val="16"/>
              </w:rPr>
              <w:t> 177,65</w:t>
            </w:r>
          </w:p>
        </w:tc>
        <w:tc>
          <w:tcPr>
            <w:tcW w:w="1063" w:type="dxa"/>
            <w:gridSpan w:val="2"/>
            <w:vAlign w:val="center"/>
          </w:tcPr>
          <w:p w:rsidR="00242C36" w:rsidRPr="005D1E2C" w:rsidRDefault="00242C36" w:rsidP="00242C36">
            <w:pPr>
              <w:jc w:val="right"/>
              <w:rPr>
                <w:sz w:val="16"/>
              </w:rPr>
            </w:pPr>
            <w:r w:rsidRPr="005D1E2C">
              <w:rPr>
                <w:sz w:val="16"/>
                <w:szCs w:val="16"/>
              </w:rPr>
              <w:t>4 625,78</w:t>
            </w:r>
          </w:p>
        </w:tc>
        <w:tc>
          <w:tcPr>
            <w:tcW w:w="1064" w:type="dxa"/>
            <w:vAlign w:val="center"/>
          </w:tcPr>
          <w:p w:rsidR="00242C36" w:rsidRPr="005D1E2C" w:rsidRDefault="00242C36" w:rsidP="00242C36">
            <w:pPr>
              <w:jc w:val="right"/>
              <w:rPr>
                <w:sz w:val="16"/>
              </w:rPr>
            </w:pPr>
            <w:r w:rsidRPr="005D1E2C">
              <w:rPr>
                <w:sz w:val="16"/>
              </w:rPr>
              <w:t>1</w:t>
            </w:r>
            <w:r w:rsidRPr="005D1E2C">
              <w:rPr>
                <w:sz w:val="16"/>
                <w:szCs w:val="16"/>
              </w:rPr>
              <w:t> 689,54</w:t>
            </w:r>
          </w:p>
        </w:tc>
        <w:tc>
          <w:tcPr>
            <w:tcW w:w="1063" w:type="dxa"/>
            <w:vAlign w:val="center"/>
          </w:tcPr>
          <w:p w:rsidR="00242C36" w:rsidRPr="005D1E2C" w:rsidRDefault="00242C36" w:rsidP="00242C36">
            <w:pPr>
              <w:jc w:val="right"/>
              <w:rPr>
                <w:sz w:val="16"/>
              </w:rPr>
            </w:pPr>
            <w:r w:rsidRPr="005D1E2C">
              <w:rPr>
                <w:sz w:val="16"/>
                <w:szCs w:val="16"/>
              </w:rPr>
              <w:t>739,52</w:t>
            </w:r>
          </w:p>
        </w:tc>
        <w:tc>
          <w:tcPr>
            <w:tcW w:w="1064" w:type="dxa"/>
            <w:vAlign w:val="center"/>
          </w:tcPr>
          <w:p w:rsidR="00242C36" w:rsidRPr="005D1E2C" w:rsidRDefault="00242C36" w:rsidP="00242C36">
            <w:pPr>
              <w:jc w:val="right"/>
              <w:rPr>
                <w:sz w:val="16"/>
              </w:rPr>
            </w:pPr>
            <w:r w:rsidRPr="005D1E2C">
              <w:rPr>
                <w:sz w:val="16"/>
              </w:rPr>
              <w:t>2</w:t>
            </w:r>
            <w:r w:rsidRPr="005D1E2C">
              <w:rPr>
                <w:sz w:val="16"/>
                <w:szCs w:val="16"/>
              </w:rPr>
              <w:t> 429,06</w:t>
            </w:r>
          </w:p>
        </w:tc>
      </w:tr>
      <w:tr w:rsidR="00242C36" w:rsidRPr="005D1E2C" w:rsidTr="00242C36">
        <w:trPr>
          <w:cantSplit/>
        </w:trPr>
        <w:tc>
          <w:tcPr>
            <w:tcW w:w="1418" w:type="dxa"/>
            <w:vAlign w:val="center"/>
          </w:tcPr>
          <w:p w:rsidR="00242C36" w:rsidRPr="005D1E2C" w:rsidRDefault="00242C36" w:rsidP="00242C36">
            <w:pPr>
              <w:rPr>
                <w:sz w:val="16"/>
              </w:rPr>
            </w:pPr>
            <w:r w:rsidRPr="005D1E2C">
              <w:rPr>
                <w:sz w:val="16"/>
              </w:rPr>
              <w:t>Iné investície do obnovy les. hosp.</w:t>
            </w:r>
          </w:p>
        </w:tc>
        <w:tc>
          <w:tcPr>
            <w:tcW w:w="1276" w:type="dxa"/>
            <w:vAlign w:val="center"/>
          </w:tcPr>
          <w:p w:rsidR="00242C36" w:rsidRPr="005D1E2C" w:rsidRDefault="00242C36" w:rsidP="00242C36">
            <w:pPr>
              <w:jc w:val="center"/>
              <w:rPr>
                <w:sz w:val="16"/>
              </w:rPr>
            </w:pPr>
            <w:r w:rsidRPr="005D1E2C">
              <w:rPr>
                <w:sz w:val="16"/>
                <w:szCs w:val="16"/>
              </w:rPr>
              <w:t>175</w:t>
            </w:r>
          </w:p>
        </w:tc>
        <w:tc>
          <w:tcPr>
            <w:tcW w:w="1063" w:type="dxa"/>
            <w:vAlign w:val="center"/>
          </w:tcPr>
          <w:p w:rsidR="00242C36" w:rsidRPr="005D1E2C" w:rsidRDefault="00242C36" w:rsidP="00242C36">
            <w:pPr>
              <w:jc w:val="right"/>
              <w:rPr>
                <w:sz w:val="16"/>
              </w:rPr>
            </w:pPr>
            <w:r w:rsidRPr="005D1E2C">
              <w:rPr>
                <w:sz w:val="16"/>
                <w:szCs w:val="16"/>
              </w:rPr>
              <w:t>10 387,43</w:t>
            </w:r>
          </w:p>
        </w:tc>
        <w:tc>
          <w:tcPr>
            <w:tcW w:w="1064" w:type="dxa"/>
            <w:vAlign w:val="center"/>
          </w:tcPr>
          <w:p w:rsidR="00242C36" w:rsidRPr="005D1E2C" w:rsidRDefault="00242C36" w:rsidP="00242C36">
            <w:pPr>
              <w:jc w:val="right"/>
              <w:rPr>
                <w:sz w:val="16"/>
              </w:rPr>
            </w:pPr>
            <w:r w:rsidRPr="005D1E2C">
              <w:rPr>
                <w:sz w:val="16"/>
                <w:szCs w:val="16"/>
              </w:rPr>
              <w:t>124 171,65</w:t>
            </w:r>
          </w:p>
        </w:tc>
        <w:tc>
          <w:tcPr>
            <w:tcW w:w="1063" w:type="dxa"/>
            <w:gridSpan w:val="2"/>
            <w:vAlign w:val="center"/>
          </w:tcPr>
          <w:p w:rsidR="00242C36" w:rsidRPr="005D1E2C" w:rsidRDefault="00242C36" w:rsidP="00242C36">
            <w:pPr>
              <w:jc w:val="right"/>
              <w:rPr>
                <w:sz w:val="16"/>
              </w:rPr>
            </w:pPr>
            <w:r w:rsidRPr="005D1E2C">
              <w:rPr>
                <w:sz w:val="16"/>
                <w:szCs w:val="16"/>
              </w:rPr>
              <w:t>134 559,08</w:t>
            </w:r>
          </w:p>
        </w:tc>
        <w:tc>
          <w:tcPr>
            <w:tcW w:w="1064" w:type="dxa"/>
            <w:vAlign w:val="center"/>
          </w:tcPr>
          <w:p w:rsidR="00242C36" w:rsidRPr="005D1E2C" w:rsidRDefault="00242C36" w:rsidP="00242C36">
            <w:pPr>
              <w:jc w:val="right"/>
              <w:rPr>
                <w:sz w:val="16"/>
              </w:rPr>
            </w:pPr>
            <w:r w:rsidRPr="005D1E2C">
              <w:rPr>
                <w:sz w:val="16"/>
                <w:szCs w:val="16"/>
              </w:rPr>
              <w:t>10 497,68</w:t>
            </w:r>
          </w:p>
        </w:tc>
        <w:tc>
          <w:tcPr>
            <w:tcW w:w="1063" w:type="dxa"/>
            <w:vAlign w:val="center"/>
          </w:tcPr>
          <w:p w:rsidR="00242C36" w:rsidRPr="005D1E2C" w:rsidRDefault="00242C36" w:rsidP="00242C36">
            <w:pPr>
              <w:jc w:val="right"/>
              <w:rPr>
                <w:sz w:val="16"/>
              </w:rPr>
            </w:pPr>
            <w:r w:rsidRPr="005D1E2C">
              <w:rPr>
                <w:sz w:val="16"/>
                <w:szCs w:val="16"/>
              </w:rPr>
              <w:t>31 680,83</w:t>
            </w:r>
          </w:p>
        </w:tc>
        <w:tc>
          <w:tcPr>
            <w:tcW w:w="1064" w:type="dxa"/>
            <w:vAlign w:val="center"/>
          </w:tcPr>
          <w:p w:rsidR="00242C36" w:rsidRPr="005D1E2C" w:rsidRDefault="00242C36" w:rsidP="00242C36">
            <w:pPr>
              <w:jc w:val="right"/>
              <w:rPr>
                <w:sz w:val="16"/>
              </w:rPr>
            </w:pPr>
            <w:r w:rsidRPr="005D1E2C">
              <w:rPr>
                <w:sz w:val="16"/>
                <w:szCs w:val="16"/>
              </w:rPr>
              <w:t>42 178,51</w:t>
            </w:r>
          </w:p>
        </w:tc>
      </w:tr>
      <w:tr w:rsidR="00242C36" w:rsidRPr="005D1E2C" w:rsidTr="00242C36">
        <w:trPr>
          <w:cantSplit/>
        </w:trPr>
        <w:tc>
          <w:tcPr>
            <w:tcW w:w="1418" w:type="dxa"/>
            <w:vAlign w:val="center"/>
          </w:tcPr>
          <w:p w:rsidR="00242C36" w:rsidRPr="005D1E2C" w:rsidRDefault="00242C36" w:rsidP="00242C36">
            <w:pPr>
              <w:rPr>
                <w:sz w:val="16"/>
              </w:rPr>
            </w:pPr>
            <w:r w:rsidRPr="005D1E2C">
              <w:rPr>
                <w:sz w:val="16"/>
              </w:rPr>
              <w:t>Iné preventívne opatrenia</w:t>
            </w:r>
          </w:p>
        </w:tc>
        <w:tc>
          <w:tcPr>
            <w:tcW w:w="1276" w:type="dxa"/>
            <w:vAlign w:val="center"/>
          </w:tcPr>
          <w:p w:rsidR="00242C36" w:rsidRPr="005D1E2C" w:rsidRDefault="00242C36" w:rsidP="00242C36">
            <w:pPr>
              <w:jc w:val="center"/>
              <w:rPr>
                <w:sz w:val="16"/>
              </w:rPr>
            </w:pPr>
            <w:r w:rsidRPr="005D1E2C">
              <w:rPr>
                <w:sz w:val="16"/>
                <w:szCs w:val="16"/>
              </w:rPr>
              <w:t>1</w:t>
            </w:r>
          </w:p>
        </w:tc>
        <w:tc>
          <w:tcPr>
            <w:tcW w:w="1063" w:type="dxa"/>
            <w:vAlign w:val="center"/>
          </w:tcPr>
          <w:p w:rsidR="00242C36" w:rsidRPr="005D1E2C" w:rsidRDefault="00242C36" w:rsidP="00242C36">
            <w:pPr>
              <w:jc w:val="right"/>
              <w:rPr>
                <w:sz w:val="16"/>
              </w:rPr>
            </w:pPr>
            <w:r w:rsidRPr="005D1E2C">
              <w:rPr>
                <w:sz w:val="16"/>
                <w:szCs w:val="16"/>
              </w:rPr>
              <w:t>1 460,69</w:t>
            </w:r>
          </w:p>
        </w:tc>
        <w:tc>
          <w:tcPr>
            <w:tcW w:w="1064" w:type="dxa"/>
            <w:vAlign w:val="center"/>
          </w:tcPr>
          <w:p w:rsidR="00242C36" w:rsidRPr="005D1E2C" w:rsidRDefault="00242C36" w:rsidP="00242C36">
            <w:pPr>
              <w:jc w:val="right"/>
              <w:rPr>
                <w:sz w:val="16"/>
              </w:rPr>
            </w:pPr>
            <w:r w:rsidRPr="005D1E2C">
              <w:rPr>
                <w:sz w:val="16"/>
              </w:rPr>
              <w:t>0</w:t>
            </w:r>
          </w:p>
        </w:tc>
        <w:tc>
          <w:tcPr>
            <w:tcW w:w="1063" w:type="dxa"/>
            <w:gridSpan w:val="2"/>
            <w:vAlign w:val="center"/>
          </w:tcPr>
          <w:p w:rsidR="00242C36" w:rsidRPr="005D1E2C" w:rsidRDefault="00242C36" w:rsidP="00242C36">
            <w:pPr>
              <w:jc w:val="right"/>
              <w:rPr>
                <w:sz w:val="16"/>
              </w:rPr>
            </w:pPr>
            <w:r w:rsidRPr="005D1E2C">
              <w:rPr>
                <w:sz w:val="16"/>
                <w:szCs w:val="16"/>
              </w:rPr>
              <w:t>1 460,69</w:t>
            </w:r>
          </w:p>
        </w:tc>
        <w:tc>
          <w:tcPr>
            <w:tcW w:w="1064" w:type="dxa"/>
            <w:vAlign w:val="center"/>
          </w:tcPr>
          <w:p w:rsidR="00242C36" w:rsidRPr="005D1E2C" w:rsidRDefault="00242C36" w:rsidP="00242C36">
            <w:pPr>
              <w:jc w:val="right"/>
              <w:rPr>
                <w:sz w:val="16"/>
              </w:rPr>
            </w:pPr>
            <w:r w:rsidRPr="005D1E2C">
              <w:rPr>
                <w:sz w:val="16"/>
                <w:szCs w:val="16"/>
              </w:rPr>
              <w:t>371,44</w:t>
            </w:r>
          </w:p>
        </w:tc>
        <w:tc>
          <w:tcPr>
            <w:tcW w:w="1063" w:type="dxa"/>
            <w:vAlign w:val="center"/>
          </w:tcPr>
          <w:p w:rsidR="00242C36" w:rsidRPr="005D1E2C" w:rsidRDefault="00242C36" w:rsidP="00242C36">
            <w:pPr>
              <w:jc w:val="right"/>
              <w:rPr>
                <w:sz w:val="16"/>
              </w:rPr>
            </w:pPr>
            <w:r w:rsidRPr="005D1E2C">
              <w:rPr>
                <w:sz w:val="16"/>
              </w:rPr>
              <w:t>0</w:t>
            </w:r>
          </w:p>
        </w:tc>
        <w:tc>
          <w:tcPr>
            <w:tcW w:w="1064" w:type="dxa"/>
            <w:vAlign w:val="center"/>
          </w:tcPr>
          <w:p w:rsidR="00242C36" w:rsidRPr="005D1E2C" w:rsidRDefault="00242C36" w:rsidP="00242C36">
            <w:pPr>
              <w:jc w:val="right"/>
              <w:rPr>
                <w:sz w:val="16"/>
              </w:rPr>
            </w:pPr>
            <w:r w:rsidRPr="005D1E2C">
              <w:rPr>
                <w:sz w:val="16"/>
                <w:szCs w:val="16"/>
              </w:rPr>
              <w:t>371,44</w:t>
            </w:r>
          </w:p>
        </w:tc>
      </w:tr>
      <w:tr w:rsidR="00242C36" w:rsidRPr="005D1E2C" w:rsidTr="00242C36">
        <w:trPr>
          <w:cantSplit/>
        </w:trPr>
        <w:tc>
          <w:tcPr>
            <w:tcW w:w="1418" w:type="dxa"/>
            <w:shd w:val="clear" w:color="auto" w:fill="F2F2F2"/>
            <w:vAlign w:val="center"/>
          </w:tcPr>
          <w:p w:rsidR="00242C36" w:rsidRPr="005D1E2C" w:rsidRDefault="00242C36" w:rsidP="00242C36">
            <w:pPr>
              <w:rPr>
                <w:b/>
                <w:sz w:val="18"/>
              </w:rPr>
            </w:pPr>
            <w:r w:rsidRPr="005D1E2C">
              <w:rPr>
                <w:b/>
                <w:sz w:val="18"/>
              </w:rPr>
              <w:t>SPOLU</w:t>
            </w:r>
          </w:p>
        </w:tc>
        <w:tc>
          <w:tcPr>
            <w:tcW w:w="1276" w:type="dxa"/>
            <w:shd w:val="clear" w:color="auto" w:fill="F2F2F2"/>
            <w:vAlign w:val="center"/>
          </w:tcPr>
          <w:p w:rsidR="00242C36" w:rsidRPr="005D1E2C" w:rsidRDefault="00242C36" w:rsidP="00242C36">
            <w:pPr>
              <w:jc w:val="center"/>
              <w:rPr>
                <w:b/>
                <w:sz w:val="18"/>
              </w:rPr>
            </w:pPr>
            <w:r w:rsidRPr="005D1E2C">
              <w:rPr>
                <w:b/>
                <w:sz w:val="18"/>
                <w:szCs w:val="16"/>
              </w:rPr>
              <w:t>365</w:t>
            </w:r>
          </w:p>
        </w:tc>
        <w:tc>
          <w:tcPr>
            <w:tcW w:w="1063" w:type="dxa"/>
            <w:shd w:val="clear" w:color="auto" w:fill="F2F2F2"/>
            <w:vAlign w:val="center"/>
          </w:tcPr>
          <w:p w:rsidR="00242C36" w:rsidRPr="005D1E2C" w:rsidRDefault="00242C36" w:rsidP="00242C36">
            <w:pPr>
              <w:jc w:val="right"/>
              <w:rPr>
                <w:b/>
                <w:sz w:val="18"/>
              </w:rPr>
            </w:pPr>
            <w:r w:rsidRPr="005D1E2C">
              <w:rPr>
                <w:b/>
                <w:sz w:val="18"/>
                <w:szCs w:val="16"/>
              </w:rPr>
              <w:t>60 140,66</w:t>
            </w:r>
          </w:p>
        </w:tc>
        <w:tc>
          <w:tcPr>
            <w:tcW w:w="1064" w:type="dxa"/>
            <w:shd w:val="clear" w:color="auto" w:fill="F2F2F2"/>
            <w:vAlign w:val="center"/>
          </w:tcPr>
          <w:p w:rsidR="00242C36" w:rsidRPr="005D1E2C" w:rsidRDefault="00242C36" w:rsidP="00242C36">
            <w:pPr>
              <w:jc w:val="right"/>
              <w:rPr>
                <w:b/>
                <w:sz w:val="18"/>
              </w:rPr>
            </w:pPr>
            <w:r w:rsidRPr="005D1E2C">
              <w:rPr>
                <w:b/>
                <w:sz w:val="18"/>
                <w:szCs w:val="16"/>
              </w:rPr>
              <w:t>253 681,17</w:t>
            </w:r>
          </w:p>
        </w:tc>
        <w:tc>
          <w:tcPr>
            <w:tcW w:w="1063" w:type="dxa"/>
            <w:gridSpan w:val="2"/>
            <w:shd w:val="clear" w:color="auto" w:fill="F2F2F2"/>
            <w:vAlign w:val="center"/>
          </w:tcPr>
          <w:p w:rsidR="00242C36" w:rsidRPr="005D1E2C" w:rsidRDefault="00242C36" w:rsidP="00242C36">
            <w:pPr>
              <w:jc w:val="right"/>
              <w:rPr>
                <w:b/>
                <w:sz w:val="18"/>
              </w:rPr>
            </w:pPr>
            <w:r w:rsidRPr="005D1E2C">
              <w:rPr>
                <w:b/>
                <w:sz w:val="18"/>
                <w:szCs w:val="16"/>
              </w:rPr>
              <w:t>313 821,83</w:t>
            </w:r>
          </w:p>
        </w:tc>
        <w:tc>
          <w:tcPr>
            <w:tcW w:w="1064" w:type="dxa"/>
            <w:shd w:val="clear" w:color="auto" w:fill="F2F2F2"/>
            <w:vAlign w:val="center"/>
          </w:tcPr>
          <w:p w:rsidR="00242C36" w:rsidRPr="005D1E2C" w:rsidRDefault="00242C36" w:rsidP="00242C36">
            <w:pPr>
              <w:jc w:val="right"/>
              <w:rPr>
                <w:b/>
                <w:sz w:val="18"/>
              </w:rPr>
            </w:pPr>
            <w:r w:rsidRPr="005D1E2C">
              <w:rPr>
                <w:b/>
                <w:sz w:val="18"/>
                <w:szCs w:val="16"/>
              </w:rPr>
              <w:t>46 451,93</w:t>
            </w:r>
          </w:p>
        </w:tc>
        <w:tc>
          <w:tcPr>
            <w:tcW w:w="1063" w:type="dxa"/>
            <w:shd w:val="clear" w:color="auto" w:fill="F2F2F2"/>
            <w:vAlign w:val="center"/>
          </w:tcPr>
          <w:p w:rsidR="00242C36" w:rsidRPr="005D1E2C" w:rsidRDefault="00242C36" w:rsidP="00242C36">
            <w:pPr>
              <w:jc w:val="right"/>
              <w:rPr>
                <w:b/>
                <w:sz w:val="18"/>
              </w:rPr>
            </w:pPr>
            <w:r w:rsidRPr="005D1E2C">
              <w:rPr>
                <w:b/>
                <w:sz w:val="18"/>
                <w:szCs w:val="16"/>
              </w:rPr>
              <w:t>69 650,00</w:t>
            </w:r>
          </w:p>
        </w:tc>
        <w:tc>
          <w:tcPr>
            <w:tcW w:w="1064" w:type="dxa"/>
            <w:shd w:val="clear" w:color="auto" w:fill="F2F2F2"/>
            <w:vAlign w:val="center"/>
          </w:tcPr>
          <w:p w:rsidR="00242C36" w:rsidRPr="005D1E2C" w:rsidRDefault="00242C36" w:rsidP="00242C36">
            <w:pPr>
              <w:jc w:val="right"/>
              <w:rPr>
                <w:b/>
                <w:sz w:val="18"/>
              </w:rPr>
            </w:pPr>
            <w:r w:rsidRPr="005D1E2C">
              <w:rPr>
                <w:b/>
                <w:sz w:val="18"/>
                <w:szCs w:val="16"/>
              </w:rPr>
              <w:t>116 101,93</w:t>
            </w:r>
          </w:p>
        </w:tc>
      </w:tr>
    </w:tbl>
    <w:p w:rsidR="00242C36" w:rsidRPr="005D1E2C" w:rsidRDefault="00242C36" w:rsidP="00242C36">
      <w:pPr>
        <w:rPr>
          <w:sz w:val="20"/>
        </w:rPr>
      </w:pPr>
      <w:r w:rsidRPr="005D1E2C">
        <w:rPr>
          <w:sz w:val="20"/>
        </w:rPr>
        <w:t>Zdroj: PPA</w:t>
      </w:r>
      <w:r>
        <w:rPr>
          <w:sz w:val="20"/>
        </w:rPr>
        <w:t>, VS o pokroku k PRV SR 2007-2013 za rok 2012.</w:t>
      </w:r>
    </w:p>
    <w:p w:rsidR="00242C36" w:rsidRPr="005D1E2C" w:rsidRDefault="00242C36" w:rsidP="00242C36"/>
    <w:p w:rsidR="00242C36" w:rsidRPr="00E16CE0" w:rsidRDefault="00242C36" w:rsidP="00242C36">
      <w:pPr>
        <w:rPr>
          <w:szCs w:val="22"/>
        </w:rPr>
      </w:pPr>
      <w:r w:rsidRPr="00E16CE0">
        <w:rPr>
          <w:szCs w:val="22"/>
        </w:rPr>
        <w:t>Z celkového počtu opatrení, na ktoré bola poskytnutá pomoc, 49 % opatrení sa orientovalo na lesnú infraštruktúru (137,1 tis. ha) a takmer rovnaký podiel (48 %) sa koncentroval na iné investície do obnovy lesných hospodárstiev (128,4 tis. ha).</w:t>
      </w:r>
    </w:p>
    <w:p w:rsidR="00242C36" w:rsidRDefault="00242C36" w:rsidP="00242C36">
      <w:pPr>
        <w:rPr>
          <w:b/>
        </w:rPr>
      </w:pPr>
    </w:p>
    <w:p w:rsidR="00242C36" w:rsidRPr="000C6C81" w:rsidRDefault="00242C36" w:rsidP="00242C36">
      <w:pPr>
        <w:rPr>
          <w:b/>
          <w:szCs w:val="22"/>
        </w:rPr>
      </w:pPr>
      <w:r w:rsidRPr="000C6C81">
        <w:rPr>
          <w:b/>
          <w:szCs w:val="22"/>
        </w:rPr>
        <w:t>Význam lesa, výzvy, potreby, nedostatky v ochrane lesa</w:t>
      </w:r>
    </w:p>
    <w:p w:rsidR="00242C36" w:rsidRPr="00E43137" w:rsidRDefault="00242C36" w:rsidP="00242C36">
      <w:pPr>
        <w:pBdr>
          <w:bar w:val="single" w:sz="6" w:color="808080"/>
        </w:pBdr>
        <w:spacing w:after="120"/>
        <w:rPr>
          <w:rFonts w:ascii="Calibri" w:eastAsia="Calibri" w:hAnsi="Calibri"/>
          <w:szCs w:val="22"/>
          <w:lang w:eastAsia="en-US"/>
        </w:rPr>
      </w:pPr>
      <w:r w:rsidRPr="00E43137">
        <w:rPr>
          <w:rFonts w:ascii="Calibri" w:eastAsia="Calibri" w:hAnsi="Calibri"/>
          <w:szCs w:val="22"/>
          <w:lang w:eastAsia="en-US"/>
        </w:rPr>
        <w:t xml:space="preserve">Lesy sú </w:t>
      </w:r>
      <w:r w:rsidRPr="00E43137">
        <w:rPr>
          <w:rFonts w:ascii="Calibri" w:eastAsia="Calibri" w:hAnsi="Calibri"/>
          <w:b/>
          <w:bCs/>
          <w:szCs w:val="22"/>
          <w:lang w:eastAsia="en-US"/>
        </w:rPr>
        <w:t>nezastupiteľné predovšetkým v procese sekvestrácie CO</w:t>
      </w:r>
      <w:r w:rsidRPr="00E43137">
        <w:rPr>
          <w:rFonts w:ascii="Calibri" w:eastAsia="Calibri" w:hAnsi="Calibri"/>
          <w:b/>
          <w:bCs/>
          <w:szCs w:val="22"/>
          <w:vertAlign w:val="subscript"/>
          <w:lang w:eastAsia="en-US"/>
        </w:rPr>
        <w:t>2 ,</w:t>
      </w:r>
      <w:r w:rsidRPr="00E43137">
        <w:rPr>
          <w:rFonts w:ascii="Calibri" w:eastAsia="Calibri" w:hAnsi="Calibri"/>
          <w:szCs w:val="22"/>
          <w:lang w:eastAsia="en-US"/>
        </w:rPr>
        <w:t xml:space="preserve">kde ich potenciál ukladania uhlíka vysoko prekračuje potenciál pestovania poľnohospodárskych plodín. Celková zásoba uhlíka v drevnej biomase dosiahla v r.2011 </w:t>
      </w:r>
      <w:r w:rsidRPr="00E43137">
        <w:rPr>
          <w:rFonts w:ascii="Calibri" w:eastAsia="Calibri" w:hAnsi="Calibri"/>
          <w:b/>
          <w:bCs/>
          <w:szCs w:val="22"/>
          <w:lang w:eastAsia="en-US"/>
        </w:rPr>
        <w:t xml:space="preserve">227,9 mil. ton </w:t>
      </w:r>
      <w:r w:rsidRPr="00E43137">
        <w:rPr>
          <w:rFonts w:ascii="Calibri" w:eastAsia="Calibri" w:hAnsi="Calibri"/>
          <w:szCs w:val="22"/>
          <w:lang w:eastAsia="en-US"/>
        </w:rPr>
        <w:t xml:space="preserve">uhlíka a za r.2005-2011 má </w:t>
      </w:r>
      <w:r w:rsidRPr="00E43137">
        <w:rPr>
          <w:rFonts w:ascii="Calibri" w:eastAsia="Calibri" w:hAnsi="Calibri"/>
          <w:b/>
          <w:bCs/>
          <w:szCs w:val="22"/>
          <w:lang w:eastAsia="en-US"/>
        </w:rPr>
        <w:t>mierne rastúci trend</w:t>
      </w:r>
      <w:r w:rsidRPr="00E43137">
        <w:rPr>
          <w:rFonts w:ascii="Calibri" w:eastAsia="Calibri" w:hAnsi="Calibri"/>
          <w:szCs w:val="22"/>
          <w:lang w:eastAsia="en-US"/>
        </w:rPr>
        <w:t xml:space="preserve"> najmä v dôsledku zvyšovania zásob drevnej hmoty (analýzy prioritných oblastí 4C a 5D).</w:t>
      </w:r>
    </w:p>
    <w:p w:rsidR="00242C36" w:rsidRPr="00E43137" w:rsidRDefault="00242C36" w:rsidP="00242C36">
      <w:pPr>
        <w:pBdr>
          <w:bar w:val="single" w:sz="6" w:color="808080"/>
        </w:pBdr>
        <w:rPr>
          <w:rFonts w:ascii="Calibri" w:eastAsia="Calibri" w:hAnsi="Calibri"/>
          <w:szCs w:val="22"/>
          <w:lang w:eastAsia="en-US"/>
        </w:rPr>
      </w:pPr>
      <w:r w:rsidRPr="00E43137">
        <w:rPr>
          <w:rFonts w:ascii="Calibri" w:eastAsia="Calibri" w:hAnsi="Calibri"/>
          <w:szCs w:val="22"/>
          <w:lang w:eastAsia="en-US"/>
        </w:rPr>
        <w:t xml:space="preserve">S ohľadom na klimatickú zmenu a adaptáciu je žiaduce ďalšie posilnenie sekvestrácie, ktoré sa dosiahne predovšetkým zlepšenou </w:t>
      </w:r>
      <w:r w:rsidRPr="00E43137">
        <w:rPr>
          <w:rFonts w:ascii="Calibri" w:eastAsia="Calibri" w:hAnsi="Calibri"/>
          <w:b/>
          <w:szCs w:val="22"/>
          <w:lang w:eastAsia="en-US"/>
        </w:rPr>
        <w:t>starostlivosťou o zdravotný stav lesov</w:t>
      </w:r>
      <w:r w:rsidRPr="00E43137">
        <w:rPr>
          <w:rFonts w:ascii="Calibri" w:eastAsia="Calibri" w:hAnsi="Calibri"/>
          <w:szCs w:val="22"/>
          <w:lang w:eastAsia="en-US"/>
        </w:rPr>
        <w:t xml:space="preserve"> a </w:t>
      </w:r>
      <w:r w:rsidRPr="00E43137">
        <w:rPr>
          <w:rFonts w:ascii="Calibri" w:eastAsia="Calibri" w:hAnsi="Calibri"/>
          <w:b/>
          <w:bCs/>
          <w:szCs w:val="22"/>
          <w:lang w:eastAsia="en-US"/>
        </w:rPr>
        <w:t>systematickou obnovou lesa.</w:t>
      </w:r>
      <w:r w:rsidRPr="00E43137">
        <w:rPr>
          <w:rFonts w:ascii="Calibri" w:eastAsia="Calibri" w:hAnsi="Calibri"/>
          <w:szCs w:val="22"/>
          <w:lang w:eastAsia="en-US"/>
        </w:rPr>
        <w:t xml:space="preserve"> Rezervy sú v oblasti </w:t>
      </w:r>
      <w:r w:rsidRPr="00E43137">
        <w:rPr>
          <w:rFonts w:ascii="Calibri" w:eastAsia="Calibri" w:hAnsi="Calibri"/>
          <w:b/>
          <w:bCs/>
          <w:szCs w:val="22"/>
          <w:lang w:eastAsia="en-US"/>
        </w:rPr>
        <w:t>zušľachťovania lesov</w:t>
      </w:r>
      <w:r w:rsidRPr="00E43137">
        <w:rPr>
          <w:rFonts w:ascii="Calibri" w:eastAsia="Calibri" w:hAnsi="Calibri"/>
          <w:szCs w:val="22"/>
          <w:lang w:eastAsia="en-US"/>
        </w:rPr>
        <w:t xml:space="preserve"> s nízkou hospodárskou a prírodnou hodnotou. Zmenou ich drevinového zloženia a tvaru na les “vysoký” sa zvýši sekvestrácia, zlepší ich prírodná </w:t>
      </w:r>
      <w:r>
        <w:rPr>
          <w:rFonts w:ascii="Calibri" w:eastAsia="Calibri" w:hAnsi="Calibri"/>
          <w:szCs w:val="22"/>
          <w:lang w:eastAsia="en-US"/>
        </w:rPr>
        <w:t>aj</w:t>
      </w:r>
      <w:r w:rsidRPr="00E43137">
        <w:rPr>
          <w:rFonts w:ascii="Calibri" w:eastAsia="Calibri" w:hAnsi="Calibri"/>
          <w:szCs w:val="22"/>
          <w:lang w:eastAsia="en-US"/>
        </w:rPr>
        <w:t xml:space="preserve"> ekologická hodnota a v budúcnosti aj kvalita v nich ťaženého dreva, ktoré je významným obnoviteľným zdrojom energie a dôležitou surovinou 3. tisícročia.</w:t>
      </w:r>
    </w:p>
    <w:p w:rsidR="00242C36" w:rsidRPr="00E43137" w:rsidRDefault="00242C36" w:rsidP="00242C36">
      <w:pPr>
        <w:pBdr>
          <w:bar w:val="single" w:sz="6" w:color="808080"/>
        </w:pBdr>
        <w:spacing w:before="120"/>
        <w:rPr>
          <w:rFonts w:ascii="Calibri" w:eastAsia="Calibri" w:hAnsi="Calibri"/>
          <w:szCs w:val="22"/>
          <w:lang w:eastAsia="en-US"/>
        </w:rPr>
      </w:pPr>
      <w:r w:rsidRPr="00E43137">
        <w:rPr>
          <w:rFonts w:ascii="Calibri" w:eastAsia="Calibri" w:hAnsi="Calibri"/>
          <w:szCs w:val="22"/>
          <w:lang w:eastAsia="en-US"/>
        </w:rPr>
        <w:t>Lesná biomasa vrátane odpadov vznikajúcich pri jej spracovaní je z hľadiska využiteľného potenciálu najvýznamnejším obnoviteľným zdrojom energie na Slovensku. Napriek rastúcemu trendu je miera a efektívnosť využívania lesnej biomasy na energetické využitie nedostatočná a ďaleko zaostáva  za potenciálnymi možnosťami.</w:t>
      </w:r>
    </w:p>
    <w:p w:rsidR="00242C36" w:rsidRPr="00E43137" w:rsidRDefault="00242C36" w:rsidP="00242C36">
      <w:pPr>
        <w:pBdr>
          <w:bar w:val="single" w:sz="6" w:color="808080"/>
        </w:pBdr>
        <w:spacing w:before="120"/>
        <w:rPr>
          <w:rFonts w:ascii="Calibri" w:eastAsia="Calibri" w:hAnsi="Calibri"/>
          <w:szCs w:val="22"/>
          <w:lang w:eastAsia="en-US"/>
        </w:rPr>
      </w:pPr>
      <w:r w:rsidRPr="00E43137">
        <w:rPr>
          <w:rFonts w:ascii="Calibri" w:eastAsia="Calibri" w:hAnsi="Calibri"/>
          <w:szCs w:val="22"/>
          <w:lang w:eastAsia="en-US"/>
        </w:rPr>
        <w:t>Na ťažbu dreva nadväzuje viacero priemyselných odvetví (drevospracujúci, výroba celulózy a papiera, stavebný, výroba energie a tepla a i.), ktoré majú potenciál významne podporiť ekonomický rast</w:t>
      </w:r>
      <w:r w:rsidRPr="00E43137">
        <w:rPr>
          <w:rFonts w:ascii="Calibri" w:eastAsia="Calibri" w:hAnsi="Calibri"/>
          <w:szCs w:val="22"/>
          <w:lang w:eastAsia="en-US"/>
        </w:rPr>
        <w:lastRenderedPageBreak/>
        <w:t xml:space="preserve"> a zamestnanosť, osobitne v zaostávajúcich vidieckych oblastiach Slovenska s obmedzenými ekonomickými príležitosťami.</w:t>
      </w:r>
    </w:p>
    <w:p w:rsidR="00242C36" w:rsidRPr="00E43137" w:rsidRDefault="00242C36" w:rsidP="00242C36">
      <w:pPr>
        <w:pBdr>
          <w:bar w:val="single" w:sz="6" w:color="808080"/>
        </w:pBdr>
        <w:spacing w:before="120" w:after="120"/>
        <w:rPr>
          <w:rFonts w:ascii="Calibri" w:eastAsia="Calibri" w:hAnsi="Calibri"/>
          <w:szCs w:val="22"/>
          <w:lang w:eastAsia="en-US"/>
        </w:rPr>
      </w:pPr>
      <w:r w:rsidRPr="00E43137">
        <w:rPr>
          <w:rFonts w:ascii="Calibri" w:eastAsia="Calibri" w:hAnsi="Calibri"/>
          <w:szCs w:val="22"/>
          <w:lang w:eastAsia="en-US"/>
        </w:rPr>
        <w:t xml:space="preserve">V rokoch 2003 až 2013 sa výška náhodných ťažieb na Slovensku pohybovala od 40 do 66 % z celkových ťažieb. Túto náhodnú ťažbu ovplyvnili predovšetkým významnejšie kalamitné udalosti (vietor a následne biologické škodlivý činitele). Najviac poškodzovanou drevinou bol v tomto období smrek. Z hľadiska regiónov sú najviac poškodzované lesy v Žilinskom, Prešovskom, Banskobystrickom a Košickom kraji. V súčasnosti je potrebné riešiť problematiku ochrany mladých porastov založených na holinách po rozsiahlych kalamitách. </w:t>
      </w:r>
    </w:p>
    <w:p w:rsidR="00242C36" w:rsidRPr="00E43137" w:rsidRDefault="00242C36" w:rsidP="00242C36">
      <w:pPr>
        <w:pBdr>
          <w:bar w:val="single" w:sz="6" w:color="808080"/>
        </w:pBdr>
        <w:spacing w:after="120"/>
        <w:rPr>
          <w:rFonts w:ascii="Calibri" w:eastAsia="Calibri" w:hAnsi="Calibri"/>
          <w:szCs w:val="22"/>
          <w:lang w:eastAsia="en-US"/>
        </w:rPr>
      </w:pPr>
      <w:r w:rsidRPr="00E43137">
        <w:rPr>
          <w:rFonts w:ascii="Calibri" w:eastAsia="Calibri" w:hAnsi="Calibri"/>
          <w:szCs w:val="22"/>
          <w:lang w:eastAsia="en-US"/>
        </w:rPr>
        <w:t>Ďalším významným problém</w:t>
      </w:r>
      <w:r>
        <w:rPr>
          <w:rFonts w:ascii="Calibri" w:eastAsia="Calibri" w:hAnsi="Calibri"/>
          <w:szCs w:val="22"/>
          <w:lang w:eastAsia="en-US"/>
        </w:rPr>
        <w:t>om</w:t>
      </w:r>
      <w:r w:rsidRPr="00E43137">
        <w:rPr>
          <w:rFonts w:ascii="Calibri" w:eastAsia="Calibri" w:hAnsi="Calibri"/>
          <w:szCs w:val="22"/>
          <w:lang w:eastAsia="en-US"/>
        </w:rPr>
        <w:t xml:space="preserve"> v prevencii a ochrane lesa predstavujú invázne organizmy. Kvôli voľnému pohybu tovarov, služieb a osôb v rámci EÚ je šírenie nepôvodných organizmov podstatne jednoduchšie. V priebehu posledných 20 rokoch sa na naše územie rozšíril napr. lykožrút severský na smreku, ploskáčik pagaštanový, Pulvinaria regalis na lipách, Chalara fraxinea na jaseňoch, Coleotechnites piceaella na smrekoch, atď. Je takmer isté, že do 10 rokov k nám pribudnú ďalšie organizmy, ktoré nie sú pôvodné v Európe, ale už sa Európou šíria. Ide napr. o Anoplophora glabripennis – fúzač na listnáčoch, Agrilus planipennis – krasoň na jaseňoch, Bursaphelenchus xylophilus – háďatko na boroviciach, aj ostatných ihličnanoch, Dryocosmus kuriphilus, Phytophthora spp., atď.  P</w:t>
      </w:r>
      <w:r w:rsidRPr="00E43137">
        <w:rPr>
          <w:rFonts w:ascii="Calibri" w:eastAsia="Calibri" w:hAnsi="Calibri"/>
          <w:bCs/>
          <w:szCs w:val="22"/>
          <w:lang w:eastAsia="en-US"/>
        </w:rPr>
        <w:t>opis zdravotného stavu lesov SR je uvedený v podrobnej analýze k priorite 4 RV.</w:t>
      </w:r>
    </w:p>
    <w:p w:rsidR="00242C36" w:rsidRDefault="00242C36" w:rsidP="00242C36">
      <w:pPr>
        <w:spacing w:after="120"/>
        <w:rPr>
          <w:rFonts w:ascii="Calibri" w:eastAsia="Calibri" w:hAnsi="Calibri"/>
          <w:szCs w:val="22"/>
          <w:lang w:eastAsia="en-US"/>
        </w:rPr>
      </w:pPr>
      <w:r w:rsidRPr="00E43137">
        <w:rPr>
          <w:rFonts w:ascii="Calibri" w:eastAsia="Calibri" w:hAnsi="Calibri"/>
          <w:szCs w:val="22"/>
          <w:lang w:eastAsia="en-US"/>
        </w:rPr>
        <w:t xml:space="preserve">Na dosiahnutie zlepšenia odolnosti lesných ekosystémov (napr. pôdoochranná funkcia lesa) je potrebné aktívne podporovať umelú obnovu lesa v ochranných lesoch, ktoré stratili schopnosť prirodzenej obnovy lesa. Potrebné je venovať sa ochrane lesných genetických  zdrojov kvalitného lesného reprodukčného materiálu v dlhšom časovom horizonte prostredníctvom adekvátnej starostlivosti o uznané zdroje, génové základne, semenné porasty a v banku semien lesných drevín. </w:t>
      </w:r>
    </w:p>
    <w:p w:rsidR="00242C36" w:rsidRPr="00B06FD9" w:rsidRDefault="00242C36" w:rsidP="00242C36">
      <w:pPr>
        <w:spacing w:after="120"/>
        <w:rPr>
          <w:rFonts w:ascii="Calibri" w:eastAsia="Calibri" w:hAnsi="Calibri"/>
          <w:szCs w:val="22"/>
          <w:lang w:eastAsia="en-US"/>
        </w:rPr>
      </w:pPr>
      <w:r w:rsidRPr="00B06FD9">
        <w:rPr>
          <w:rFonts w:ascii="Calibri" w:hAnsi="Calibri"/>
          <w:szCs w:val="22"/>
        </w:rPr>
        <w:t>Ďalej je potrebné zamerať sa na rekonštrukciu smrekových porastov, ktoré podliehajú rozpadajúcej tendencii vplyvom klimatických zmien a to najmä rozširujúcim sa škodcom pôsobiacich najmä na týchto drevinách.</w:t>
      </w:r>
    </w:p>
    <w:p w:rsidR="00242C36" w:rsidRPr="00E43137" w:rsidRDefault="00242C36" w:rsidP="00242C36">
      <w:pPr>
        <w:pBdr>
          <w:bar w:val="single" w:sz="6" w:color="808080"/>
        </w:pBdr>
        <w:spacing w:after="120"/>
        <w:rPr>
          <w:rFonts w:ascii="Calibri" w:eastAsia="Calibri" w:hAnsi="Calibri"/>
          <w:szCs w:val="22"/>
          <w:lang w:eastAsia="en-US"/>
        </w:rPr>
      </w:pPr>
      <w:r w:rsidRPr="00E43137">
        <w:rPr>
          <w:rFonts w:ascii="Calibri" w:eastAsia="Calibri" w:hAnsi="Calibri"/>
          <w:szCs w:val="22"/>
          <w:lang w:eastAsia="en-US"/>
        </w:rPr>
        <w:t>Dĺžka vodných tokov na Slovensku je 61,1 tis. km, z toho v správe štátnych organizácií LH je takmer 19 tis. km drobných vodných tokov (DVT), ktoré pretekajú nie len lesom, ale aj intravilánom obcí a poľnohospodárskou krajinou. Dĺžka spravovaných DVT na lesných pozemkoch je 13 538,05 km, mimo lesných pozemkov 4 224,39 km a v intraviláne obcí 1 226,42 km. Z prostriedkov na opravu a údržbu sa veľká väčšina využíva na odstraňovanie následkov povodní. Investičné akcie určene najmä na ochranu pred povodňami sú realizovane len vo veľmi obmedzenom rozsahu v rámci finančných možnosti organizácií</w:t>
      </w:r>
      <w:r>
        <w:rPr>
          <w:rFonts w:ascii="Calibri" w:eastAsia="Calibri" w:hAnsi="Calibri"/>
          <w:szCs w:val="22"/>
          <w:lang w:eastAsia="en-US"/>
        </w:rPr>
        <w:t>.</w:t>
      </w:r>
      <w:r w:rsidRPr="00E43137">
        <w:rPr>
          <w:rFonts w:ascii="Calibri" w:eastAsia="Calibri" w:hAnsi="Calibri"/>
          <w:szCs w:val="22"/>
          <w:lang w:eastAsia="en-US"/>
        </w:rPr>
        <w:t xml:space="preserve"> </w:t>
      </w:r>
    </w:p>
    <w:p w:rsidR="00242C36" w:rsidRPr="00E43137" w:rsidRDefault="00242C36" w:rsidP="00242C36">
      <w:pPr>
        <w:pBdr>
          <w:bar w:val="single" w:sz="6" w:color="808080"/>
        </w:pBdr>
        <w:spacing w:after="120"/>
        <w:rPr>
          <w:rFonts w:ascii="Calibri" w:eastAsia="Calibri" w:hAnsi="Calibri"/>
          <w:szCs w:val="22"/>
          <w:lang w:eastAsia="en-US"/>
        </w:rPr>
      </w:pPr>
      <w:r w:rsidRPr="00E43137">
        <w:rPr>
          <w:rFonts w:ascii="Calibri" w:eastAsia="Calibri" w:hAnsi="Calibri"/>
          <w:szCs w:val="22"/>
          <w:lang w:eastAsia="en-US"/>
        </w:rPr>
        <w:t>Súčasný stav v oblasti prevencie a boja proti požiarom lesných plôch je nedostatočný. Na jednej strane síce existuje základný monitorovací systém, využívajúci i služby leteckého monitoringu, na druhej strane však absentuje komplexné riešenie prevencie a prognózovania vývoja už vypuknutých požiarov v lesoch SR.</w:t>
      </w:r>
    </w:p>
    <w:p w:rsidR="00242C36" w:rsidRPr="00E43137" w:rsidRDefault="00242C36" w:rsidP="00242C36">
      <w:pPr>
        <w:pBdr>
          <w:bar w:val="single" w:sz="6" w:color="808080"/>
        </w:pBdr>
        <w:spacing w:after="120"/>
        <w:rPr>
          <w:rFonts w:ascii="Calibri" w:eastAsia="Calibri" w:hAnsi="Calibri"/>
          <w:szCs w:val="22"/>
          <w:lang w:eastAsia="en-US"/>
        </w:rPr>
      </w:pPr>
      <w:r w:rsidRPr="00E43137">
        <w:rPr>
          <w:rFonts w:ascii="Calibri" w:eastAsia="Calibri" w:hAnsi="Calibri"/>
          <w:szCs w:val="22"/>
          <w:lang w:eastAsia="en-US"/>
        </w:rPr>
        <w:t>Neexistuje žiadna komplexná mapa dostupnosti lesných plôch a jednotlivých území lesa rozličnou hasiacou technikou. Nie je vytvorená vhodná databáza jednotlivých staníc HaZZ a ich vybavenosti vzhľadom na potreby hasenia lesných požiarov.</w:t>
      </w:r>
    </w:p>
    <w:p w:rsidR="00242C36" w:rsidRPr="00E43137" w:rsidRDefault="00242C36" w:rsidP="00242C36">
      <w:pPr>
        <w:pBdr>
          <w:bar w:val="single" w:sz="6" w:color="808080"/>
        </w:pBdr>
        <w:spacing w:after="120"/>
        <w:rPr>
          <w:rFonts w:ascii="Calibri" w:eastAsia="Calibri" w:hAnsi="Calibri"/>
          <w:szCs w:val="22"/>
          <w:lang w:eastAsia="en-US"/>
        </w:rPr>
      </w:pPr>
      <w:r w:rsidRPr="00E43137">
        <w:rPr>
          <w:rFonts w:ascii="Calibri" w:eastAsia="Calibri" w:hAnsi="Calibri"/>
          <w:szCs w:val="22"/>
          <w:lang w:eastAsia="en-US"/>
        </w:rPr>
        <w:t>Určovanie indexov požiarovosti a následné vyhlasovanie rizík požiarov pre vybrané lesné lokality nedostatočne reflektuje meteorologické zmeny</w:t>
      </w:r>
      <w:r>
        <w:rPr>
          <w:rFonts w:ascii="Calibri" w:eastAsia="Calibri" w:hAnsi="Calibri"/>
          <w:szCs w:val="22"/>
          <w:lang w:eastAsia="en-US"/>
        </w:rPr>
        <w:t>.</w:t>
      </w:r>
    </w:p>
    <w:p w:rsidR="00242C36" w:rsidRDefault="00242C36" w:rsidP="00242C36">
      <w:pPr>
        <w:pBdr>
          <w:bar w:val="single" w:sz="6" w:color="808080"/>
        </w:pBdr>
        <w:spacing w:after="120"/>
        <w:rPr>
          <w:rFonts w:ascii="Calibri" w:hAnsi="Calibri"/>
          <w:b/>
          <w:bCs/>
          <w:szCs w:val="22"/>
        </w:rPr>
      </w:pPr>
      <w:r w:rsidRPr="00E43137">
        <w:rPr>
          <w:rFonts w:ascii="Calibri" w:eastAsia="Calibri" w:hAnsi="Calibri"/>
          <w:szCs w:val="22"/>
          <w:lang w:eastAsia="en-US"/>
        </w:rPr>
        <w:t>Pre zabezpečenie trvalo udržateľného obhospodarovania lesov je nevyhnutná podpora celoživotného vzdelávania a poradenstva pre obhospodarovateľov a užívateľov lesov, a tým prispievať k zavádzaniu inovatívnych postupov do lesného hospodárstva. Veľká výmera lesov na Slovensku sa nachádza v sústave NATURA 2000 (takmer 50%), a preto je potrebné podporovať efektívne prepojenie lesného hospodárstva s výskumom, a tým prispieť k navrhnutiu ekonomicky a environmentálne vhodnejších postupov riadenia lesníckych podnikov</w:t>
      </w:r>
      <w:r>
        <w:rPr>
          <w:rFonts w:ascii="Calibri" w:eastAsia="Calibri" w:hAnsi="Calibri"/>
          <w:szCs w:val="22"/>
          <w:lang w:eastAsia="en-US"/>
        </w:rPr>
        <w:t>.</w:t>
      </w:r>
    </w:p>
    <w:p w:rsidR="00E43137" w:rsidRPr="00E43137" w:rsidRDefault="00E43137" w:rsidP="003B11BD">
      <w:pPr>
        <w:keepNext/>
        <w:keepLines/>
        <w:pBdr>
          <w:bar w:val="single" w:sz="6" w:color="808080"/>
        </w:pBdr>
        <w:outlineLvl w:val="1"/>
        <w:rPr>
          <w:rFonts w:ascii="Calibri" w:hAnsi="Calibri"/>
          <w:b/>
          <w:bCs/>
          <w:szCs w:val="22"/>
        </w:rPr>
      </w:pPr>
      <w:r w:rsidRPr="00E43137">
        <w:rPr>
          <w:rFonts w:ascii="Calibri" w:hAnsi="Calibri"/>
          <w:b/>
          <w:bCs/>
          <w:szCs w:val="22"/>
        </w:rPr>
        <w:t>Kvalita vody</w:t>
      </w:r>
    </w:p>
    <w:p w:rsidR="00242C36" w:rsidRPr="001033E9" w:rsidRDefault="00242C36" w:rsidP="00242C36">
      <w:pPr>
        <w:pStyle w:val="Normlnywebov"/>
        <w:spacing w:before="0" w:beforeAutospacing="0" w:after="0" w:afterAutospacing="0"/>
        <w:rPr>
          <w:rFonts w:ascii="Calibri" w:hAnsi="Calibri"/>
          <w:szCs w:val="22"/>
        </w:rPr>
      </w:pPr>
      <w:r w:rsidRPr="001033E9">
        <w:rPr>
          <w:rFonts w:ascii="Calibri" w:hAnsi="Calibri"/>
          <w:b/>
          <w:szCs w:val="22"/>
        </w:rPr>
        <w:t>Žitný ostrov</w:t>
      </w:r>
      <w:r w:rsidRPr="001033E9">
        <w:rPr>
          <w:rFonts w:ascii="Calibri" w:hAnsi="Calibri"/>
          <w:szCs w:val="22"/>
        </w:rPr>
        <w:t xml:space="preserve"> </w:t>
      </w:r>
      <w:r>
        <w:rPr>
          <w:rFonts w:ascii="Calibri" w:hAnsi="Calibri"/>
          <w:szCs w:val="22"/>
        </w:rPr>
        <w:t xml:space="preserve">(najúrodnejšia nížina na juhozápade SR) </w:t>
      </w:r>
      <w:r w:rsidRPr="001033E9">
        <w:rPr>
          <w:rFonts w:ascii="Calibri" w:hAnsi="Calibri"/>
          <w:szCs w:val="22"/>
        </w:rPr>
        <w:t xml:space="preserve">je </w:t>
      </w:r>
      <w:r>
        <w:rPr>
          <w:rFonts w:ascii="Calibri" w:hAnsi="Calibri"/>
          <w:szCs w:val="22"/>
        </w:rPr>
        <w:t xml:space="preserve">významná </w:t>
      </w:r>
      <w:r w:rsidRPr="001033E9">
        <w:rPr>
          <w:rFonts w:ascii="Calibri" w:hAnsi="Calibri"/>
          <w:szCs w:val="22"/>
        </w:rPr>
        <w:t>zásobár</w:t>
      </w:r>
      <w:r>
        <w:rPr>
          <w:rFonts w:ascii="Calibri" w:hAnsi="Calibri"/>
          <w:szCs w:val="22"/>
        </w:rPr>
        <w:t>e</w:t>
      </w:r>
      <w:r w:rsidRPr="001033E9">
        <w:rPr>
          <w:rFonts w:ascii="Calibri" w:hAnsi="Calibri"/>
          <w:szCs w:val="22"/>
        </w:rPr>
        <w:t>ň podzemných vôd a</w:t>
      </w:r>
      <w:r>
        <w:rPr>
          <w:rFonts w:ascii="Calibri" w:hAnsi="Calibri"/>
          <w:szCs w:val="22"/>
        </w:rPr>
        <w:t xml:space="preserve"> zároveň patrí k </w:t>
      </w:r>
      <w:r w:rsidRPr="001033E9">
        <w:rPr>
          <w:rFonts w:ascii="Calibri" w:hAnsi="Calibri"/>
          <w:szCs w:val="22"/>
        </w:rPr>
        <w:t>najúrodnejší</w:t>
      </w:r>
      <w:r>
        <w:rPr>
          <w:rFonts w:ascii="Calibri" w:hAnsi="Calibri"/>
          <w:szCs w:val="22"/>
        </w:rPr>
        <w:t>m</w:t>
      </w:r>
      <w:r w:rsidRPr="001033E9">
        <w:rPr>
          <w:rFonts w:ascii="Calibri" w:hAnsi="Calibri"/>
          <w:szCs w:val="22"/>
        </w:rPr>
        <w:t xml:space="preserve"> poľnohospodársky</w:t>
      </w:r>
      <w:r>
        <w:rPr>
          <w:rFonts w:ascii="Calibri" w:hAnsi="Calibri"/>
          <w:szCs w:val="22"/>
        </w:rPr>
        <w:t>m</w:t>
      </w:r>
      <w:r w:rsidRPr="001033E9">
        <w:rPr>
          <w:rFonts w:ascii="Calibri" w:hAnsi="Calibri"/>
          <w:szCs w:val="22"/>
        </w:rPr>
        <w:t xml:space="preserve"> oblast</w:t>
      </w:r>
      <w:r>
        <w:rPr>
          <w:rFonts w:ascii="Calibri" w:hAnsi="Calibri"/>
          <w:szCs w:val="22"/>
        </w:rPr>
        <w:t>i</w:t>
      </w:r>
      <w:r w:rsidRPr="001033E9">
        <w:rPr>
          <w:rFonts w:ascii="Calibri" w:hAnsi="Calibri"/>
          <w:szCs w:val="22"/>
        </w:rPr>
        <w:t>a</w:t>
      </w:r>
      <w:r>
        <w:rPr>
          <w:rFonts w:ascii="Calibri" w:hAnsi="Calibri"/>
          <w:szCs w:val="22"/>
        </w:rPr>
        <w:t>m</w:t>
      </w:r>
      <w:r w:rsidRPr="001033E9">
        <w:rPr>
          <w:rFonts w:ascii="Calibri" w:hAnsi="Calibri"/>
          <w:szCs w:val="22"/>
        </w:rPr>
        <w:t xml:space="preserve">. </w:t>
      </w:r>
      <w:r>
        <w:rPr>
          <w:rFonts w:ascii="Calibri" w:hAnsi="Calibri"/>
          <w:szCs w:val="22"/>
        </w:rPr>
        <w:t>Sú tu</w:t>
      </w:r>
      <w:r w:rsidRPr="001033E9">
        <w:rPr>
          <w:rFonts w:ascii="Calibri" w:hAnsi="Calibri"/>
          <w:szCs w:val="22"/>
        </w:rPr>
        <w:t xml:space="preserve"> rôzne druhy </w:t>
      </w:r>
      <w:r>
        <w:rPr>
          <w:rFonts w:ascii="Calibri" w:hAnsi="Calibri"/>
          <w:szCs w:val="22"/>
        </w:rPr>
        <w:t xml:space="preserve">úrodných </w:t>
      </w:r>
      <w:r w:rsidRPr="001033E9">
        <w:rPr>
          <w:rFonts w:ascii="Calibri" w:hAnsi="Calibri"/>
          <w:szCs w:val="22"/>
        </w:rPr>
        <w:t>pôd</w:t>
      </w:r>
      <w:r>
        <w:rPr>
          <w:rFonts w:ascii="Calibri" w:hAnsi="Calibri"/>
          <w:szCs w:val="22"/>
        </w:rPr>
        <w:t xml:space="preserve"> (najmä černozeme, hnedozeme, lužné pôdy, rašelinová pôda, s</w:t>
      </w:r>
      <w:r w:rsidRPr="001033E9">
        <w:rPr>
          <w:rFonts w:ascii="Calibri" w:hAnsi="Calibri"/>
          <w:szCs w:val="22"/>
        </w:rPr>
        <w:t>laniská a</w:t>
      </w:r>
      <w:r>
        <w:rPr>
          <w:rFonts w:ascii="Calibri" w:hAnsi="Calibri"/>
          <w:szCs w:val="22"/>
        </w:rPr>
        <w:t> </w:t>
      </w:r>
      <w:r w:rsidRPr="001033E9">
        <w:rPr>
          <w:rFonts w:ascii="Calibri" w:hAnsi="Calibri"/>
          <w:szCs w:val="22"/>
        </w:rPr>
        <w:t>slance</w:t>
      </w:r>
      <w:r>
        <w:rPr>
          <w:rFonts w:ascii="Calibri" w:hAnsi="Calibri"/>
          <w:szCs w:val="22"/>
        </w:rPr>
        <w:t>, nivné pôdy).</w:t>
      </w:r>
    </w:p>
    <w:p w:rsidR="00242C36" w:rsidRDefault="00242C36" w:rsidP="00242C36">
      <w:pPr>
        <w:keepNext/>
        <w:keepLines/>
        <w:pBdr>
          <w:bar w:val="single" w:sz="6" w:color="808080"/>
        </w:pBdr>
        <w:spacing w:after="120"/>
        <w:outlineLvl w:val="1"/>
        <w:rPr>
          <w:rFonts w:cs="Arial"/>
          <w:szCs w:val="22"/>
        </w:rPr>
      </w:pPr>
      <w:r>
        <w:rPr>
          <w:rFonts w:cs="Arial"/>
          <w:szCs w:val="22"/>
        </w:rPr>
        <w:t>Podľa Správy o stave ŽP v SR v roku 2012 (MŽP SR, SAŽP)</w:t>
      </w:r>
      <w:r w:rsidRPr="00A6322E">
        <w:rPr>
          <w:rFonts w:cs="Arial"/>
          <w:szCs w:val="22"/>
        </w:rPr>
        <w:t xml:space="preserve"> </w:t>
      </w:r>
      <w:r>
        <w:rPr>
          <w:rFonts w:cs="Arial"/>
          <w:szCs w:val="22"/>
        </w:rPr>
        <w:t>o</w:t>
      </w:r>
      <w:r w:rsidRPr="00A6322E">
        <w:rPr>
          <w:rFonts w:cs="Arial"/>
          <w:szCs w:val="22"/>
        </w:rPr>
        <w:t xml:space="preserve">blasť Žitného ostrova </w:t>
      </w:r>
      <w:r>
        <w:rPr>
          <w:rFonts w:cs="Arial"/>
          <w:szCs w:val="22"/>
        </w:rPr>
        <w:t>je</w:t>
      </w:r>
      <w:r w:rsidRPr="00A6322E">
        <w:rPr>
          <w:rFonts w:cs="Arial"/>
          <w:szCs w:val="22"/>
        </w:rPr>
        <w:t xml:space="preserve"> dôležit</w:t>
      </w:r>
      <w:r>
        <w:rPr>
          <w:rFonts w:cs="Arial"/>
          <w:szCs w:val="22"/>
        </w:rPr>
        <w:t>á</w:t>
      </w:r>
      <w:r w:rsidRPr="00A6322E">
        <w:rPr>
          <w:rFonts w:cs="Arial"/>
          <w:szCs w:val="22"/>
        </w:rPr>
        <w:t xml:space="preserve">, </w:t>
      </w:r>
      <w:r>
        <w:rPr>
          <w:rFonts w:cs="Arial"/>
          <w:szCs w:val="22"/>
        </w:rPr>
        <w:t>pretože</w:t>
      </w:r>
      <w:r w:rsidRPr="00A6322E">
        <w:rPr>
          <w:rFonts w:cs="Arial"/>
          <w:szCs w:val="22"/>
        </w:rPr>
        <w:t xml:space="preserve"> predstavuje zásobáreň pitnej vody pre naše územie.</w:t>
      </w:r>
    </w:p>
    <w:p w:rsidR="00242C36" w:rsidRPr="00DC51E7" w:rsidRDefault="00242C36" w:rsidP="00242C36">
      <w:pPr>
        <w:pBdr>
          <w:bar w:val="single" w:sz="6" w:color="808080"/>
        </w:pBdr>
        <w:spacing w:after="120"/>
        <w:rPr>
          <w:rFonts w:ascii="Calibri" w:eastAsia="Calibri" w:hAnsi="Calibri"/>
          <w:szCs w:val="22"/>
          <w:lang w:eastAsia="en-US"/>
        </w:rPr>
      </w:pPr>
      <w:r w:rsidRPr="00DC51E7">
        <w:rPr>
          <w:rFonts w:ascii="Calibri" w:eastAsia="Calibri" w:hAnsi="Calibri"/>
          <w:szCs w:val="22"/>
          <w:lang w:eastAsia="en-US"/>
        </w:rPr>
        <w:t xml:space="preserve">Prijatie zákona o vodách v roku 2004 zharmonizovalo slovenskú legislatívu v oblasti vôd s Rámcovou smernicou EÚ o vodách a zaviedlo prístup založený na povodiach riek. Boli ustanovené dve hlavné </w:t>
      </w:r>
      <w:r>
        <w:rPr>
          <w:rFonts w:ascii="Calibri" w:eastAsia="Calibri" w:hAnsi="Calibri"/>
          <w:szCs w:val="22"/>
          <w:lang w:eastAsia="en-US"/>
        </w:rPr>
        <w:t xml:space="preserve">povodia – Dunaj a Visla. </w:t>
      </w:r>
      <w:r w:rsidRPr="00DC51E7">
        <w:rPr>
          <w:rFonts w:ascii="Calibri" w:eastAsia="Calibri" w:hAnsi="Calibri"/>
          <w:szCs w:val="22"/>
          <w:lang w:eastAsia="en-US"/>
        </w:rPr>
        <w:t>Ďalej bolo vytvorených desať podriadených povodí – Dunaj, Morava, Váh, Hron, Ipeľ, Slaná, Bodrog, Hornád a Bodva v dunajskom povodí a Dunajec-Poprad v povodí Visly.</w:t>
      </w:r>
    </w:p>
    <w:p w:rsidR="00242C36" w:rsidRDefault="00242C36" w:rsidP="00242C36">
      <w:pPr>
        <w:pBdr>
          <w:bar w:val="single" w:sz="6" w:color="808080"/>
        </w:pBdr>
        <w:spacing w:after="120"/>
        <w:rPr>
          <w:rFonts w:ascii="Calibri" w:eastAsia="Calibri" w:hAnsi="Calibri"/>
          <w:szCs w:val="22"/>
          <w:lang w:eastAsia="en-US"/>
        </w:rPr>
      </w:pPr>
      <w:r w:rsidRPr="00DC51E7">
        <w:rPr>
          <w:rFonts w:ascii="Calibri" w:eastAsia="Calibri" w:hAnsi="Calibri"/>
          <w:szCs w:val="22"/>
          <w:lang w:eastAsia="en-US"/>
        </w:rPr>
        <w:t>Plány manažmentu boli vypracované v roku 2009 pre</w:t>
      </w:r>
      <w:r>
        <w:rPr>
          <w:rFonts w:ascii="Calibri" w:eastAsia="Calibri" w:hAnsi="Calibri"/>
          <w:szCs w:val="22"/>
          <w:lang w:eastAsia="en-US"/>
        </w:rPr>
        <w:t xml:space="preserve"> </w:t>
      </w:r>
      <w:r w:rsidRPr="00DC51E7">
        <w:rPr>
          <w:rFonts w:ascii="Calibri" w:eastAsia="Calibri" w:hAnsi="Calibri"/>
          <w:szCs w:val="22"/>
          <w:lang w:eastAsia="en-US"/>
        </w:rPr>
        <w:t>všetky podriadené povodia.</w:t>
      </w:r>
      <w:r>
        <w:rPr>
          <w:rFonts w:ascii="Calibri" w:eastAsia="Calibri" w:hAnsi="Calibri"/>
          <w:szCs w:val="22"/>
          <w:lang w:eastAsia="en-US"/>
        </w:rPr>
        <w:t xml:space="preserve"> </w:t>
      </w:r>
      <w:r w:rsidRPr="00DC51E7">
        <w:rPr>
          <w:rFonts w:ascii="Calibri" w:eastAsia="Calibri" w:hAnsi="Calibri"/>
          <w:szCs w:val="22"/>
          <w:lang w:eastAsia="en-US"/>
        </w:rPr>
        <w:t>Vypracovanie plánov manažmentov povodí zahŕňalo posúdenie vplyvu ľudskej činnosti na útvary povrchových a podzemných vôd a vykonanie ekonomickej analýzy využívan</w:t>
      </w:r>
      <w:r>
        <w:rPr>
          <w:rFonts w:ascii="Calibri" w:eastAsia="Calibri" w:hAnsi="Calibri"/>
          <w:szCs w:val="22"/>
          <w:lang w:eastAsia="en-US"/>
        </w:rPr>
        <w:t>ia vôd</w:t>
      </w:r>
      <w:r w:rsidRPr="00DC51E7">
        <w:rPr>
          <w:rFonts w:ascii="Calibri" w:eastAsia="Calibri" w:hAnsi="Calibri"/>
          <w:szCs w:val="22"/>
          <w:lang w:eastAsia="en-US"/>
        </w:rPr>
        <w:t>, vytvorenie programov monitoringu povrchových a podzemných vôd a definovanie stavu chránených území a vypracovanie programov oparení (2009). Návrhy plánov boli finalizované v roku 2009 a stali sa predmetom rozsiahlych konzultácií so zai</w:t>
      </w:r>
      <w:r>
        <w:rPr>
          <w:rFonts w:ascii="Calibri" w:eastAsia="Calibri" w:hAnsi="Calibri"/>
          <w:szCs w:val="22"/>
          <w:lang w:eastAsia="en-US"/>
        </w:rPr>
        <w:t>nteresovanými subjektmi</w:t>
      </w:r>
      <w:r w:rsidRPr="00DC51E7">
        <w:rPr>
          <w:rFonts w:ascii="Calibri" w:eastAsia="Calibri" w:hAnsi="Calibri"/>
          <w:szCs w:val="22"/>
          <w:lang w:eastAsia="en-US"/>
        </w:rPr>
        <w:t xml:space="preserve">. Proces bol ukončený prijatím Vodného plánu Slovenskej republiky v roku 2010. </w:t>
      </w:r>
      <w:r>
        <w:rPr>
          <w:rFonts w:ascii="Calibri" w:eastAsia="Calibri" w:hAnsi="Calibri"/>
          <w:szCs w:val="22"/>
          <w:lang w:eastAsia="en-US"/>
        </w:rPr>
        <w:t xml:space="preserve">Opatrenia definované v plánoch </w:t>
      </w:r>
      <w:r w:rsidRPr="00DC51E7">
        <w:rPr>
          <w:rFonts w:ascii="Calibri" w:eastAsia="Calibri" w:hAnsi="Calibri"/>
          <w:szCs w:val="22"/>
          <w:lang w:eastAsia="en-US"/>
        </w:rPr>
        <w:t>sa postupne implementujú</w:t>
      </w:r>
      <w:r>
        <w:rPr>
          <w:rFonts w:ascii="Calibri" w:eastAsia="Calibri" w:hAnsi="Calibri"/>
          <w:szCs w:val="22"/>
          <w:lang w:eastAsia="en-US"/>
        </w:rPr>
        <w:t>, o</w:t>
      </w:r>
      <w:r w:rsidRPr="00DC51E7">
        <w:rPr>
          <w:rFonts w:ascii="Calibri" w:eastAsia="Calibri" w:hAnsi="Calibri"/>
          <w:szCs w:val="22"/>
          <w:lang w:eastAsia="en-US"/>
        </w:rPr>
        <w:t>čakáva sa, že pokrok v dosahovaní cieľov sa bude hodnotiť v šesťročných cykloch (2015, 2021 a 2027), pričom plány manažmentov povodí sa budú aktualizovať podľa potreby.</w:t>
      </w:r>
    </w:p>
    <w:p w:rsidR="00242C36" w:rsidRPr="006E51D4" w:rsidRDefault="00242C36" w:rsidP="00242C36">
      <w:pPr>
        <w:pBdr>
          <w:bar w:val="single" w:sz="6" w:color="808080"/>
        </w:pBdr>
        <w:spacing w:after="120"/>
        <w:rPr>
          <w:rFonts w:ascii="Calibri" w:eastAsia="Calibri" w:hAnsi="Calibri"/>
          <w:szCs w:val="22"/>
          <w:lang w:eastAsia="en-US"/>
        </w:rPr>
      </w:pPr>
      <w:r w:rsidRPr="00E43137">
        <w:rPr>
          <w:rFonts w:ascii="Calibri" w:eastAsia="Calibri" w:hAnsi="Calibri"/>
          <w:szCs w:val="22"/>
          <w:lang w:eastAsia="en-US"/>
        </w:rPr>
        <w:t>Podľa pozičného dokumentu EK znečistenie vody stále predstavuje výzvu a hrozí, že približne polovica vodných plôch nesplní cieľ dosiahnuť dobrý stav vôd, vyplývajúci z Rámcovej smernice EÚ o vode, do roku 2015, pričom je však potrebné zdôrazniť, že hlavný podiel na znečistení vôd má priemysel, doprava a komunálna sféra, vplyv poľnohospodárstva je okrajový</w:t>
      </w:r>
      <w:r>
        <w:rPr>
          <w:rFonts w:ascii="Calibri" w:eastAsia="Calibri" w:hAnsi="Calibri"/>
          <w:szCs w:val="22"/>
          <w:lang w:eastAsia="en-US"/>
        </w:rPr>
        <w:t xml:space="preserve"> </w:t>
      </w:r>
      <w:r w:rsidRPr="00420BE5">
        <w:rPr>
          <w:rFonts w:ascii="Calibri" w:eastAsia="Calibri" w:hAnsi="Calibri"/>
          <w:szCs w:val="22"/>
          <w:lang w:eastAsia="en-US"/>
        </w:rPr>
        <w:t>v</w:t>
      </w:r>
      <w:r w:rsidRPr="00420BE5">
        <w:rPr>
          <w:rFonts w:ascii="Calibri" w:hAnsi="Calibri"/>
          <w:szCs w:val="22"/>
        </w:rPr>
        <w:t> porovnaní s ostatnými zdrojmi znečistenia vôd v SR</w:t>
      </w:r>
      <w:r w:rsidRPr="00420BE5">
        <w:rPr>
          <w:rFonts w:ascii="Calibri" w:eastAsia="Calibri" w:hAnsi="Calibri"/>
          <w:szCs w:val="22"/>
          <w:lang w:eastAsia="en-US"/>
        </w:rPr>
        <w:t>.</w:t>
      </w:r>
      <w:r w:rsidRPr="006E51D4">
        <w:rPr>
          <w:rFonts w:ascii="Calibri" w:eastAsia="Calibri" w:hAnsi="Calibri"/>
          <w:szCs w:val="22"/>
          <w:lang w:eastAsia="en-US"/>
        </w:rPr>
        <w:t xml:space="preserve"> </w:t>
      </w:r>
    </w:p>
    <w:p w:rsidR="00242C36" w:rsidRPr="00E43137" w:rsidRDefault="00242C36" w:rsidP="00242C36">
      <w:pPr>
        <w:pBdr>
          <w:bar w:val="single" w:sz="6" w:color="808080"/>
        </w:pBdr>
        <w:spacing w:after="120"/>
        <w:rPr>
          <w:rFonts w:ascii="Calibri" w:eastAsia="Calibri" w:hAnsi="Calibri"/>
          <w:szCs w:val="22"/>
          <w:lang w:eastAsia="en-US"/>
        </w:rPr>
      </w:pPr>
      <w:r w:rsidRPr="00E43137">
        <w:rPr>
          <w:rFonts w:ascii="Calibri" w:eastAsia="Calibri" w:hAnsi="Calibri"/>
          <w:szCs w:val="22"/>
          <w:lang w:eastAsia="en-US"/>
        </w:rPr>
        <w:t xml:space="preserve">Problematika znižovania znečistenia dusíkatými látkami je riešená samostatne v rámci implementácie Dusičnanovej smernice (Kódex správnej poľnohospodárskej praxe vo vzťahu k ochrane vodných zdrojov a Vyhláška MP SR 199/2008 Z.z., ktorou sa ustanovuje Program poľnohospodárskych činností vo vyhlásených zraniteľných oblastiach). V rámci SR predstavuje výmera zraniteľných území cca 29,8 % z celkovej výmery p.p., lokalizovaných prevažne na juhozápade a juhovýchode krajiny (v súčasnej dobe prebieha vyhodnotenie opatrení a návrh na zníženie zraniteľných oblastí z pôvodných 1520 na 1263 (VÚVH 2012). </w:t>
      </w:r>
    </w:p>
    <w:p w:rsidR="00242C36" w:rsidRPr="00E43137" w:rsidRDefault="00242C36" w:rsidP="00242C36">
      <w:pPr>
        <w:pBdr>
          <w:bar w:val="single" w:sz="6" w:color="808080"/>
        </w:pBdr>
        <w:spacing w:after="120"/>
        <w:rPr>
          <w:rFonts w:ascii="Calibri" w:hAnsi="Calibri"/>
          <w:szCs w:val="22"/>
          <w:lang w:eastAsia="en-US"/>
        </w:rPr>
      </w:pPr>
      <w:r w:rsidRPr="003B3517">
        <w:rPr>
          <w:rFonts w:ascii="Calibri" w:hAnsi="Calibri"/>
          <w:szCs w:val="22"/>
          <w:lang w:eastAsia="en-US"/>
        </w:rPr>
        <w:t>Na základe výsledkov analýz štátneho  monitoringu kvality podzemných vôd z SHMÚ (obdobie 1996 - 2011) a monitoringu kvality vody vo vodných zdrojoch vodárenských spoločností (obdobie 2004 - 2011). V rámci celého</w:t>
      </w:r>
      <w:r w:rsidRPr="00E43137">
        <w:rPr>
          <w:rFonts w:ascii="Calibri" w:hAnsi="Calibri"/>
          <w:szCs w:val="22"/>
          <w:lang w:eastAsia="en-US"/>
        </w:rPr>
        <w:t xml:space="preserve"> územia SR vykazovalo 57,42 % hodnotených objektov stabilný trend  vývoja  obsahu  dusičnanov  v  podzemných  vodách  a  25,43  %  klesajúci  trend. </w:t>
      </w:r>
      <w:r w:rsidRPr="00E43137">
        <w:rPr>
          <w:rFonts w:ascii="Calibri" w:hAnsi="Calibri"/>
          <w:b/>
          <w:bCs/>
          <w:szCs w:val="22"/>
          <w:lang w:eastAsia="en-US"/>
        </w:rPr>
        <w:t>Rastúci trend vývoja koncentrácií NO</w:t>
      </w:r>
      <w:r w:rsidRPr="006E51D4">
        <w:rPr>
          <w:rFonts w:ascii="Calibri" w:hAnsi="Calibri"/>
          <w:b/>
          <w:bCs/>
          <w:szCs w:val="22"/>
          <w:vertAlign w:val="subscript"/>
          <w:lang w:eastAsia="en-US"/>
        </w:rPr>
        <w:t>3</w:t>
      </w:r>
      <w:r w:rsidRPr="00E43137">
        <w:rPr>
          <w:rFonts w:ascii="Calibri" w:hAnsi="Calibri"/>
          <w:b/>
          <w:bCs/>
          <w:szCs w:val="22"/>
          <w:lang w:eastAsia="en-US"/>
        </w:rPr>
        <w:t xml:space="preserve"> bol zaznamenaný len u 17,5 % objektov</w:t>
      </w:r>
      <w:r w:rsidRPr="00E43137">
        <w:rPr>
          <w:rFonts w:ascii="Calibri" w:hAnsi="Calibri"/>
          <w:szCs w:val="22"/>
          <w:lang w:eastAsia="en-US"/>
        </w:rPr>
        <w:t>.</w:t>
      </w:r>
    </w:p>
    <w:p w:rsidR="00242C36" w:rsidRDefault="00242C36" w:rsidP="00242C36">
      <w:pPr>
        <w:pBdr>
          <w:bar w:val="single" w:sz="6" w:color="808080"/>
        </w:pBdr>
        <w:spacing w:after="120"/>
        <w:rPr>
          <w:rFonts w:ascii="Calibri" w:eastAsia="Calibri" w:hAnsi="Calibri"/>
          <w:szCs w:val="22"/>
          <w:lang w:eastAsia="en-US"/>
        </w:rPr>
      </w:pPr>
      <w:r w:rsidRPr="004D5210">
        <w:rPr>
          <w:rFonts w:ascii="Calibri" w:eastAsia="Calibri" w:hAnsi="Calibri"/>
          <w:szCs w:val="22"/>
          <w:lang w:eastAsia="en-US"/>
        </w:rPr>
        <w:t xml:space="preserve">Z pohľadu kvality povrchových vôd vykazuje 70 % riek dobrý ekologický stav a 90 </w:t>
      </w:r>
      <w:r>
        <w:rPr>
          <w:rFonts w:ascii="Calibri" w:eastAsia="Calibri" w:hAnsi="Calibri"/>
          <w:szCs w:val="22"/>
          <w:lang w:eastAsia="en-US"/>
        </w:rPr>
        <w:t>% riek dobrý chemický stav vody (Správa o stave ŽP v SR za rok 2012).</w:t>
      </w:r>
    </w:p>
    <w:p w:rsidR="00242C36" w:rsidRPr="00E43137" w:rsidRDefault="00242C36" w:rsidP="00242C36">
      <w:pPr>
        <w:pBdr>
          <w:bar w:val="single" w:sz="6" w:color="808080"/>
        </w:pBdr>
        <w:spacing w:after="120"/>
        <w:rPr>
          <w:rFonts w:ascii="Calibri" w:eastAsia="Calibri" w:hAnsi="Calibri"/>
          <w:szCs w:val="22"/>
          <w:lang w:eastAsia="en-US"/>
        </w:rPr>
      </w:pPr>
      <w:r w:rsidRPr="00E43137">
        <w:rPr>
          <w:rFonts w:ascii="Calibri" w:eastAsia="Calibri" w:hAnsi="Calibri"/>
          <w:szCs w:val="22"/>
          <w:lang w:eastAsia="en-US"/>
        </w:rPr>
        <w:t xml:space="preserve">Kontamináciu podzemnej a povrchovej vody dusičnanmi a inými znečisťujúcimi látkami spôsobuje najmä intenzívne hospodárenie na pôde a chovné zariadenia. Slovensko s určitými problémami uplatňuje na 33% svojho územia akčný program </w:t>
      </w:r>
      <w:r w:rsidRPr="00E43137">
        <w:rPr>
          <w:rFonts w:ascii="Calibri" w:eastAsia="MS Mincho" w:hAnsi="Calibri" w:cs="Arial"/>
          <w:szCs w:val="22"/>
          <w:lang w:eastAsia="en-US"/>
        </w:rPr>
        <w:t xml:space="preserve">(Program poľnohospodárskych činností vo vyhlásených zraniteľných oblastiach) </w:t>
      </w:r>
      <w:r w:rsidRPr="00E43137">
        <w:rPr>
          <w:rFonts w:ascii="Calibri" w:eastAsia="Calibri" w:hAnsi="Calibri"/>
          <w:szCs w:val="22"/>
          <w:lang w:eastAsia="en-US"/>
        </w:rPr>
        <w:t xml:space="preserve"> v zmysle smernice EÚ o dusičnanoch</w:t>
      </w:r>
      <w:r w:rsidRPr="00E43137">
        <w:rPr>
          <w:rFonts w:ascii="Calibri" w:eastAsia="Calibri" w:hAnsi="Calibri"/>
          <w:szCs w:val="22"/>
          <w:vertAlign w:val="superscript"/>
          <w:lang w:eastAsia="en-US"/>
        </w:rPr>
        <w:footnoteReference w:id="8"/>
      </w:r>
      <w:r w:rsidRPr="00E43137">
        <w:rPr>
          <w:rFonts w:ascii="Calibri" w:eastAsia="Calibri" w:hAnsi="Calibri"/>
          <w:szCs w:val="22"/>
          <w:lang w:eastAsia="en-US"/>
        </w:rPr>
        <w:t>.</w:t>
      </w:r>
    </w:p>
    <w:p w:rsidR="00242C36" w:rsidRPr="00E43137" w:rsidRDefault="00242C36" w:rsidP="00242C36">
      <w:pPr>
        <w:pBdr>
          <w:bar w:val="single" w:sz="6" w:color="808080"/>
        </w:pBdr>
        <w:rPr>
          <w:rFonts w:ascii="Calibri" w:eastAsia="Calibri" w:hAnsi="Calibri"/>
          <w:szCs w:val="22"/>
          <w:lang w:eastAsia="en-US"/>
        </w:rPr>
      </w:pPr>
      <w:r w:rsidRPr="00E43137">
        <w:rPr>
          <w:rFonts w:ascii="Calibri" w:eastAsia="Calibri" w:hAnsi="Calibri"/>
          <w:szCs w:val="22"/>
          <w:lang w:eastAsia="en-US"/>
        </w:rPr>
        <w:t>Najnovší dostupný údaj o trende v koncentrácii dusičnanov vo vodách je za rok 2010 (Štatistická správa DG AGRI o rozvoji vidieka v EÚ, december 2012 21: Kvalita vody – znečistenie nitrátmi a pesticídmi):</w:t>
      </w:r>
    </w:p>
    <w:tbl>
      <w:tblPr>
        <w:tblW w:w="0" w:type="auto"/>
        <w:jc w:val="center"/>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Look w:val="00A0" w:firstRow="1" w:lastRow="0" w:firstColumn="1" w:lastColumn="0" w:noHBand="0" w:noVBand="0"/>
      </w:tblPr>
      <w:tblGrid>
        <w:gridCol w:w="2190"/>
        <w:gridCol w:w="2429"/>
        <w:gridCol w:w="2428"/>
        <w:gridCol w:w="2241"/>
      </w:tblGrid>
      <w:tr w:rsidR="00242C36" w:rsidRPr="00E43137" w:rsidTr="00242C36">
        <w:trPr>
          <w:cantSplit/>
          <w:jc w:val="center"/>
        </w:trPr>
        <w:tc>
          <w:tcPr>
            <w:tcW w:w="2190" w:type="dxa"/>
            <w:tcBorders>
              <w:top w:val="single" w:sz="4" w:space="0" w:color="5B9BD5"/>
              <w:left w:val="single" w:sz="4" w:space="0" w:color="5B9BD5"/>
              <w:bottom w:val="single" w:sz="4" w:space="0" w:color="5B9BD5"/>
              <w:right w:val="nil"/>
            </w:tcBorders>
            <w:shd w:val="clear" w:color="auto" w:fill="5B9BD5"/>
          </w:tcPr>
          <w:p w:rsidR="00242C36" w:rsidRPr="00E43137" w:rsidRDefault="00242C36" w:rsidP="00242C36">
            <w:pPr>
              <w:ind w:left="-124"/>
              <w:contextualSpacing/>
              <w:jc w:val="center"/>
              <w:rPr>
                <w:rFonts w:ascii="Calibri" w:hAnsi="Calibri"/>
                <w:b/>
                <w:bCs/>
                <w:i/>
                <w:color w:val="FFFFFF"/>
                <w:sz w:val="20"/>
                <w:szCs w:val="20"/>
                <w:lang w:eastAsia="en-US"/>
              </w:rPr>
            </w:pPr>
            <w:r w:rsidRPr="00E43137">
              <w:rPr>
                <w:rFonts w:ascii="Calibri" w:eastAsia="Calibri" w:hAnsi="Calibri" w:cs="Calibri"/>
                <w:b/>
                <w:bCs/>
                <w:i/>
                <w:iCs/>
                <w:color w:val="FFFFFF"/>
                <w:sz w:val="20"/>
                <w:szCs w:val="20"/>
                <w:lang w:eastAsia="en-US"/>
              </w:rPr>
              <w:t>Koncentrácie nitrátov v povrchových vodách,  meranie: (NO3-N mg/l,</w:t>
            </w:r>
          </w:p>
          <w:p w:rsidR="00242C36" w:rsidRPr="00E43137" w:rsidRDefault="00242C36" w:rsidP="00242C36">
            <w:pPr>
              <w:ind w:left="-124"/>
              <w:contextualSpacing/>
              <w:jc w:val="center"/>
              <w:rPr>
                <w:rFonts w:ascii="Calibri" w:hAnsi="Calibri"/>
                <w:b/>
                <w:bCs/>
                <w:i/>
                <w:color w:val="FFFFFF"/>
                <w:sz w:val="20"/>
                <w:szCs w:val="20"/>
                <w:lang w:eastAsia="en-US"/>
              </w:rPr>
            </w:pPr>
            <w:r w:rsidRPr="00E43137">
              <w:rPr>
                <w:rFonts w:ascii="Calibri" w:eastAsia="Calibri" w:hAnsi="Calibri" w:cs="Calibri"/>
                <w:b/>
                <w:bCs/>
                <w:i/>
                <w:iCs/>
                <w:color w:val="FFFFFF"/>
                <w:sz w:val="20"/>
                <w:szCs w:val="20"/>
                <w:lang w:eastAsia="en-US"/>
              </w:rPr>
              <w:t>1992-1994=100)*</w:t>
            </w:r>
          </w:p>
        </w:tc>
        <w:tc>
          <w:tcPr>
            <w:tcW w:w="2429" w:type="dxa"/>
            <w:tcBorders>
              <w:top w:val="single" w:sz="4" w:space="0" w:color="5B9BD5"/>
              <w:left w:val="nil"/>
              <w:bottom w:val="single" w:sz="4" w:space="0" w:color="5B9BD5"/>
              <w:right w:val="nil"/>
            </w:tcBorders>
            <w:shd w:val="clear" w:color="auto" w:fill="5B9BD5"/>
          </w:tcPr>
          <w:p w:rsidR="00242C36" w:rsidRPr="00E43137" w:rsidRDefault="00242C36" w:rsidP="00242C36">
            <w:pPr>
              <w:ind w:left="-124"/>
              <w:contextualSpacing/>
              <w:jc w:val="center"/>
              <w:rPr>
                <w:rFonts w:ascii="Calibri" w:hAnsi="Calibri"/>
                <w:b/>
                <w:bCs/>
                <w:i/>
                <w:color w:val="FFFFFF"/>
                <w:sz w:val="20"/>
                <w:szCs w:val="20"/>
                <w:lang w:eastAsia="en-US"/>
              </w:rPr>
            </w:pPr>
            <w:r w:rsidRPr="00E43137">
              <w:rPr>
                <w:rFonts w:ascii="Calibri" w:eastAsia="Calibri" w:hAnsi="Calibri" w:cs="Calibri"/>
                <w:b/>
                <w:bCs/>
                <w:i/>
                <w:iCs/>
                <w:color w:val="FFFFFF"/>
                <w:sz w:val="20"/>
                <w:szCs w:val="20"/>
                <w:lang w:eastAsia="en-US"/>
              </w:rPr>
              <w:t>Trendy v koncentráciách nitrátov v povrchových vodách, meranie: (NO3-N mg/l 1992-1994=100)**</w:t>
            </w:r>
          </w:p>
        </w:tc>
        <w:tc>
          <w:tcPr>
            <w:tcW w:w="2428" w:type="dxa"/>
            <w:tcBorders>
              <w:top w:val="single" w:sz="4" w:space="0" w:color="5B9BD5"/>
              <w:left w:val="nil"/>
              <w:bottom w:val="single" w:sz="4" w:space="0" w:color="5B9BD5"/>
              <w:right w:val="nil"/>
            </w:tcBorders>
            <w:shd w:val="clear" w:color="auto" w:fill="5B9BD5"/>
          </w:tcPr>
          <w:p w:rsidR="00242C36" w:rsidRPr="00E43137" w:rsidRDefault="00242C36" w:rsidP="00242C36">
            <w:pPr>
              <w:ind w:left="-124"/>
              <w:contextualSpacing/>
              <w:jc w:val="center"/>
              <w:rPr>
                <w:rFonts w:ascii="Calibri" w:hAnsi="Calibri"/>
                <w:b/>
                <w:bCs/>
                <w:i/>
                <w:color w:val="FFFFFF"/>
                <w:sz w:val="20"/>
                <w:szCs w:val="20"/>
                <w:lang w:eastAsia="en-US"/>
              </w:rPr>
            </w:pPr>
            <w:r w:rsidRPr="00E43137">
              <w:rPr>
                <w:rFonts w:ascii="Calibri" w:eastAsia="Calibri" w:hAnsi="Calibri" w:cs="Calibri"/>
                <w:b/>
                <w:bCs/>
                <w:i/>
                <w:iCs/>
                <w:color w:val="FFFFFF"/>
                <w:sz w:val="20"/>
                <w:szCs w:val="20"/>
                <w:lang w:eastAsia="en-US"/>
              </w:rPr>
              <w:t>Koncentrácie nitrátov v podzemných vodách, meranie: (NO3, mg/l)*</w:t>
            </w:r>
          </w:p>
        </w:tc>
        <w:tc>
          <w:tcPr>
            <w:tcW w:w="2241" w:type="dxa"/>
            <w:tcBorders>
              <w:top w:val="single" w:sz="4" w:space="0" w:color="5B9BD5"/>
              <w:left w:val="nil"/>
              <w:bottom w:val="single" w:sz="4" w:space="0" w:color="5B9BD5"/>
              <w:right w:val="single" w:sz="4" w:space="0" w:color="5B9BD5"/>
            </w:tcBorders>
            <w:shd w:val="clear" w:color="auto" w:fill="5B9BD5"/>
          </w:tcPr>
          <w:p w:rsidR="00242C36" w:rsidRPr="00E43137" w:rsidRDefault="00242C36" w:rsidP="00242C36">
            <w:pPr>
              <w:ind w:left="-124"/>
              <w:contextualSpacing/>
              <w:jc w:val="center"/>
              <w:rPr>
                <w:rFonts w:ascii="Calibri" w:hAnsi="Calibri"/>
                <w:b/>
                <w:bCs/>
                <w:i/>
                <w:color w:val="FFFFFF"/>
                <w:sz w:val="20"/>
                <w:szCs w:val="20"/>
                <w:lang w:eastAsia="en-US"/>
              </w:rPr>
            </w:pPr>
            <w:r w:rsidRPr="00E43137">
              <w:rPr>
                <w:rFonts w:ascii="Calibri" w:eastAsia="Calibri" w:hAnsi="Calibri" w:cs="Calibri"/>
                <w:b/>
                <w:bCs/>
                <w:i/>
                <w:iCs/>
                <w:color w:val="FFFFFF"/>
                <w:sz w:val="20"/>
                <w:szCs w:val="20"/>
                <w:lang w:eastAsia="en-US"/>
              </w:rPr>
              <w:t>Trendy v koncentráciách nitrátov v podzemných vodách, meranie: (NO3 mg/l, 1992-1994=100)**</w:t>
            </w:r>
          </w:p>
        </w:tc>
      </w:tr>
      <w:tr w:rsidR="00242C36" w:rsidRPr="00E43137" w:rsidTr="00242C36">
        <w:trPr>
          <w:jc w:val="center"/>
        </w:trPr>
        <w:tc>
          <w:tcPr>
            <w:tcW w:w="2190" w:type="dxa"/>
            <w:shd w:val="clear" w:color="auto" w:fill="DEEAF6"/>
          </w:tcPr>
          <w:p w:rsidR="00242C36" w:rsidRPr="00E43137" w:rsidRDefault="00242C36" w:rsidP="00242C36">
            <w:pPr>
              <w:widowControl w:val="0"/>
              <w:tabs>
                <w:tab w:val="num" w:pos="0"/>
              </w:tabs>
              <w:jc w:val="center"/>
              <w:rPr>
                <w:rFonts w:ascii="Calibri" w:hAnsi="Calibri"/>
                <w:b/>
                <w:bCs/>
                <w:sz w:val="20"/>
                <w:szCs w:val="20"/>
                <w:lang w:eastAsia="en-US"/>
              </w:rPr>
            </w:pPr>
            <w:r w:rsidRPr="00E43137">
              <w:rPr>
                <w:rFonts w:ascii="Calibri" w:eastAsia="Calibri" w:hAnsi="Calibri" w:cs="Calibri"/>
                <w:b/>
                <w:bCs/>
                <w:sz w:val="20"/>
                <w:szCs w:val="20"/>
                <w:lang w:eastAsia="en-US"/>
              </w:rPr>
              <w:t>2010</w:t>
            </w:r>
          </w:p>
        </w:tc>
        <w:tc>
          <w:tcPr>
            <w:tcW w:w="2429" w:type="dxa"/>
            <w:shd w:val="clear" w:color="auto" w:fill="DEEAF6"/>
          </w:tcPr>
          <w:p w:rsidR="00242C36" w:rsidRPr="00E43137" w:rsidRDefault="00242C36" w:rsidP="00242C36">
            <w:pPr>
              <w:widowControl w:val="0"/>
              <w:tabs>
                <w:tab w:val="num" w:pos="0"/>
              </w:tabs>
              <w:jc w:val="center"/>
              <w:rPr>
                <w:rFonts w:ascii="Calibri" w:hAnsi="Calibri"/>
                <w:sz w:val="20"/>
                <w:szCs w:val="20"/>
                <w:lang w:eastAsia="en-US"/>
              </w:rPr>
            </w:pPr>
            <w:r w:rsidRPr="00E43137">
              <w:rPr>
                <w:rFonts w:ascii="Calibri" w:eastAsia="Calibri" w:hAnsi="Calibri" w:cs="Calibri"/>
                <w:sz w:val="20"/>
                <w:szCs w:val="20"/>
                <w:lang w:eastAsia="en-US"/>
              </w:rPr>
              <w:t>2008-2010</w:t>
            </w:r>
          </w:p>
        </w:tc>
        <w:tc>
          <w:tcPr>
            <w:tcW w:w="2428" w:type="dxa"/>
            <w:shd w:val="clear" w:color="auto" w:fill="DEEAF6"/>
          </w:tcPr>
          <w:p w:rsidR="00242C36" w:rsidRPr="00E43137" w:rsidRDefault="00242C36" w:rsidP="00242C36">
            <w:pPr>
              <w:widowControl w:val="0"/>
              <w:tabs>
                <w:tab w:val="num" w:pos="0"/>
              </w:tabs>
              <w:jc w:val="center"/>
              <w:rPr>
                <w:rFonts w:ascii="Calibri" w:hAnsi="Calibri"/>
                <w:sz w:val="20"/>
                <w:szCs w:val="20"/>
                <w:lang w:eastAsia="en-US"/>
              </w:rPr>
            </w:pPr>
            <w:r w:rsidRPr="00E43137">
              <w:rPr>
                <w:rFonts w:ascii="Calibri" w:eastAsia="Calibri" w:hAnsi="Calibri" w:cs="Calibri"/>
                <w:sz w:val="20"/>
                <w:szCs w:val="20"/>
                <w:lang w:eastAsia="en-US"/>
              </w:rPr>
              <w:t>2010</w:t>
            </w:r>
          </w:p>
        </w:tc>
        <w:tc>
          <w:tcPr>
            <w:tcW w:w="2241" w:type="dxa"/>
            <w:shd w:val="clear" w:color="auto" w:fill="DEEAF6"/>
          </w:tcPr>
          <w:p w:rsidR="00242C36" w:rsidRPr="00E43137" w:rsidRDefault="00242C36" w:rsidP="00242C36">
            <w:pPr>
              <w:widowControl w:val="0"/>
              <w:tabs>
                <w:tab w:val="num" w:pos="0"/>
              </w:tabs>
              <w:jc w:val="center"/>
              <w:rPr>
                <w:rFonts w:ascii="Calibri" w:hAnsi="Calibri"/>
                <w:sz w:val="20"/>
                <w:szCs w:val="20"/>
                <w:lang w:eastAsia="en-US"/>
              </w:rPr>
            </w:pPr>
            <w:r w:rsidRPr="00E43137">
              <w:rPr>
                <w:rFonts w:ascii="Calibri" w:eastAsia="Calibri" w:hAnsi="Calibri" w:cs="Calibri"/>
                <w:sz w:val="20"/>
                <w:szCs w:val="20"/>
                <w:lang w:eastAsia="en-US"/>
              </w:rPr>
              <w:t>2008-2010</w:t>
            </w:r>
          </w:p>
        </w:tc>
      </w:tr>
      <w:tr w:rsidR="00242C36" w:rsidRPr="00E43137" w:rsidTr="00242C36">
        <w:trPr>
          <w:jc w:val="center"/>
        </w:trPr>
        <w:tc>
          <w:tcPr>
            <w:tcW w:w="2190" w:type="dxa"/>
          </w:tcPr>
          <w:p w:rsidR="00242C36" w:rsidRPr="00E43137" w:rsidRDefault="00242C36" w:rsidP="00242C36">
            <w:pPr>
              <w:widowControl w:val="0"/>
              <w:tabs>
                <w:tab w:val="num" w:pos="0"/>
              </w:tabs>
              <w:jc w:val="center"/>
              <w:rPr>
                <w:rFonts w:ascii="Calibri" w:hAnsi="Calibri"/>
                <w:b/>
                <w:bCs/>
                <w:sz w:val="20"/>
                <w:szCs w:val="20"/>
                <w:lang w:eastAsia="en-US"/>
              </w:rPr>
            </w:pPr>
            <w:r w:rsidRPr="00E43137">
              <w:rPr>
                <w:rFonts w:ascii="Calibri" w:eastAsia="Calibri" w:hAnsi="Calibri" w:cs="Calibri"/>
                <w:b/>
                <w:bCs/>
                <w:sz w:val="20"/>
                <w:szCs w:val="20"/>
                <w:lang w:eastAsia="en-US"/>
              </w:rPr>
              <w:t>mg/l NO3-NO</w:t>
            </w:r>
          </w:p>
        </w:tc>
        <w:tc>
          <w:tcPr>
            <w:tcW w:w="2429" w:type="dxa"/>
            <w:shd w:val="clear" w:color="auto" w:fill="DEEAF6"/>
          </w:tcPr>
          <w:p w:rsidR="00242C36" w:rsidRPr="00E43137" w:rsidRDefault="00242C36" w:rsidP="00242C36">
            <w:pPr>
              <w:widowControl w:val="0"/>
              <w:tabs>
                <w:tab w:val="num" w:pos="0"/>
              </w:tabs>
              <w:jc w:val="center"/>
              <w:rPr>
                <w:rFonts w:ascii="Calibri" w:hAnsi="Calibri"/>
                <w:sz w:val="20"/>
                <w:szCs w:val="20"/>
                <w:lang w:eastAsia="en-US"/>
              </w:rPr>
            </w:pPr>
            <w:r w:rsidRPr="00E43137">
              <w:rPr>
                <w:rFonts w:ascii="Calibri" w:eastAsia="Calibri" w:hAnsi="Calibri" w:cs="Calibri"/>
                <w:sz w:val="20"/>
                <w:szCs w:val="20"/>
                <w:lang w:eastAsia="en-US"/>
              </w:rPr>
              <w:t>mg/l, 1992-1994=100</w:t>
            </w:r>
          </w:p>
        </w:tc>
        <w:tc>
          <w:tcPr>
            <w:tcW w:w="2428" w:type="dxa"/>
          </w:tcPr>
          <w:p w:rsidR="00242C36" w:rsidRPr="00E43137" w:rsidRDefault="00242C36" w:rsidP="00242C36">
            <w:pPr>
              <w:widowControl w:val="0"/>
              <w:tabs>
                <w:tab w:val="num" w:pos="0"/>
              </w:tabs>
              <w:jc w:val="center"/>
              <w:rPr>
                <w:rFonts w:ascii="Calibri" w:hAnsi="Calibri"/>
                <w:sz w:val="20"/>
                <w:szCs w:val="20"/>
                <w:lang w:eastAsia="en-US"/>
              </w:rPr>
            </w:pPr>
            <w:r w:rsidRPr="00E43137">
              <w:rPr>
                <w:rFonts w:ascii="Calibri" w:eastAsia="Calibri" w:hAnsi="Calibri" w:cs="Calibri"/>
                <w:sz w:val="20"/>
                <w:szCs w:val="20"/>
                <w:lang w:eastAsia="en-US"/>
              </w:rPr>
              <w:t>mg/l NO3-N</w:t>
            </w:r>
          </w:p>
        </w:tc>
        <w:tc>
          <w:tcPr>
            <w:tcW w:w="2241" w:type="dxa"/>
            <w:shd w:val="clear" w:color="auto" w:fill="DEEAF6"/>
          </w:tcPr>
          <w:p w:rsidR="00242C36" w:rsidRPr="00E43137" w:rsidRDefault="00242C36" w:rsidP="00242C36">
            <w:pPr>
              <w:widowControl w:val="0"/>
              <w:tabs>
                <w:tab w:val="num" w:pos="0"/>
              </w:tabs>
              <w:jc w:val="center"/>
              <w:rPr>
                <w:rFonts w:ascii="Calibri" w:hAnsi="Calibri"/>
                <w:sz w:val="20"/>
                <w:szCs w:val="20"/>
                <w:lang w:eastAsia="en-US"/>
              </w:rPr>
            </w:pPr>
            <w:r w:rsidRPr="00E43137">
              <w:rPr>
                <w:rFonts w:ascii="Calibri" w:eastAsia="Calibri" w:hAnsi="Calibri" w:cs="Calibri"/>
                <w:sz w:val="20"/>
                <w:szCs w:val="20"/>
                <w:lang w:eastAsia="en-US"/>
              </w:rPr>
              <w:t xml:space="preserve">mg/l, 1992-1994=100 </w:t>
            </w:r>
          </w:p>
        </w:tc>
      </w:tr>
      <w:tr w:rsidR="00242C36" w:rsidRPr="00E43137" w:rsidTr="00242C36">
        <w:trPr>
          <w:jc w:val="center"/>
        </w:trPr>
        <w:tc>
          <w:tcPr>
            <w:tcW w:w="2190" w:type="dxa"/>
            <w:shd w:val="clear" w:color="auto" w:fill="DEEAF6"/>
          </w:tcPr>
          <w:p w:rsidR="00242C36" w:rsidRPr="00E43137" w:rsidRDefault="00242C36" w:rsidP="00242C36">
            <w:pPr>
              <w:widowControl w:val="0"/>
              <w:tabs>
                <w:tab w:val="num" w:pos="0"/>
              </w:tabs>
              <w:jc w:val="center"/>
              <w:rPr>
                <w:rFonts w:ascii="Calibri" w:hAnsi="Calibri"/>
                <w:b/>
                <w:bCs/>
                <w:sz w:val="20"/>
                <w:szCs w:val="20"/>
                <w:lang w:eastAsia="en-US"/>
              </w:rPr>
            </w:pPr>
            <w:r w:rsidRPr="00E43137">
              <w:rPr>
                <w:rFonts w:ascii="Calibri" w:eastAsia="Calibri" w:hAnsi="Calibri" w:cs="Calibri"/>
                <w:b/>
                <w:bCs/>
                <w:sz w:val="20"/>
                <w:szCs w:val="20"/>
                <w:lang w:eastAsia="en-US"/>
              </w:rPr>
              <w:t>2,1</w:t>
            </w:r>
          </w:p>
        </w:tc>
        <w:tc>
          <w:tcPr>
            <w:tcW w:w="2429" w:type="dxa"/>
            <w:shd w:val="clear" w:color="auto" w:fill="DEEAF6"/>
          </w:tcPr>
          <w:p w:rsidR="00242C36" w:rsidRPr="00E43137" w:rsidRDefault="00242C36" w:rsidP="00242C36">
            <w:pPr>
              <w:widowControl w:val="0"/>
              <w:tabs>
                <w:tab w:val="num" w:pos="0"/>
              </w:tabs>
              <w:jc w:val="center"/>
              <w:rPr>
                <w:rFonts w:ascii="Calibri" w:hAnsi="Calibri"/>
                <w:sz w:val="20"/>
                <w:szCs w:val="20"/>
                <w:lang w:eastAsia="en-US"/>
              </w:rPr>
            </w:pPr>
            <w:r w:rsidRPr="00E43137">
              <w:rPr>
                <w:rFonts w:ascii="Calibri" w:eastAsia="Calibri" w:hAnsi="Calibri" w:cs="Calibri"/>
                <w:sz w:val="20"/>
                <w:szCs w:val="20"/>
                <w:lang w:eastAsia="en-US"/>
              </w:rPr>
              <w:t>83,8</w:t>
            </w:r>
          </w:p>
        </w:tc>
        <w:tc>
          <w:tcPr>
            <w:tcW w:w="2428" w:type="dxa"/>
            <w:shd w:val="clear" w:color="auto" w:fill="DEEAF6"/>
          </w:tcPr>
          <w:p w:rsidR="00242C36" w:rsidRPr="00E43137" w:rsidRDefault="00242C36" w:rsidP="00242C36">
            <w:pPr>
              <w:widowControl w:val="0"/>
              <w:tabs>
                <w:tab w:val="num" w:pos="0"/>
              </w:tabs>
              <w:jc w:val="center"/>
              <w:rPr>
                <w:rFonts w:ascii="Calibri" w:hAnsi="Calibri"/>
                <w:sz w:val="20"/>
                <w:szCs w:val="20"/>
                <w:lang w:eastAsia="en-US"/>
              </w:rPr>
            </w:pPr>
            <w:r w:rsidRPr="00E43137">
              <w:rPr>
                <w:rFonts w:ascii="Calibri" w:eastAsia="Calibri" w:hAnsi="Calibri" w:cs="Calibri"/>
                <w:sz w:val="20"/>
                <w:szCs w:val="20"/>
                <w:lang w:eastAsia="en-US"/>
              </w:rPr>
              <w:t>23,1</w:t>
            </w:r>
          </w:p>
        </w:tc>
        <w:tc>
          <w:tcPr>
            <w:tcW w:w="2241" w:type="dxa"/>
            <w:shd w:val="clear" w:color="auto" w:fill="DEEAF6"/>
          </w:tcPr>
          <w:p w:rsidR="00242C36" w:rsidRPr="00E43137" w:rsidRDefault="00242C36" w:rsidP="00242C36">
            <w:pPr>
              <w:widowControl w:val="0"/>
              <w:tabs>
                <w:tab w:val="num" w:pos="0"/>
              </w:tabs>
              <w:jc w:val="center"/>
              <w:rPr>
                <w:rFonts w:ascii="Calibri" w:hAnsi="Calibri"/>
                <w:sz w:val="20"/>
                <w:szCs w:val="20"/>
                <w:lang w:eastAsia="en-US"/>
              </w:rPr>
            </w:pPr>
            <w:r w:rsidRPr="00E43137">
              <w:rPr>
                <w:rFonts w:ascii="Calibri" w:eastAsia="Calibri" w:hAnsi="Calibri" w:cs="Calibri"/>
                <w:sz w:val="20"/>
                <w:szCs w:val="20"/>
                <w:lang w:eastAsia="en-US"/>
              </w:rPr>
              <w:t>111,9</w:t>
            </w:r>
          </w:p>
        </w:tc>
      </w:tr>
    </w:tbl>
    <w:p w:rsidR="00242C36" w:rsidRDefault="00242C36" w:rsidP="00CC6591">
      <w:pPr>
        <w:rPr>
          <w:rFonts w:ascii="Calibri" w:eastAsia="Calibri" w:hAnsi="Calibri"/>
          <w:sz w:val="20"/>
          <w:szCs w:val="20"/>
          <w:lang w:eastAsia="en-US"/>
        </w:rPr>
      </w:pPr>
      <w:r>
        <w:rPr>
          <w:rFonts w:ascii="Calibri" w:eastAsia="Calibri" w:hAnsi="Calibri"/>
          <w:sz w:val="20"/>
          <w:szCs w:val="20"/>
          <w:lang w:eastAsia="en-US"/>
        </w:rPr>
        <w:t>Okrem používania hnojív ovplyvňuje chemický stav vôd aj používanie pesticídov. Nasledovná tabuľka ukazuje, že používanie pesticídov v SR za sledovaných 5 rokov je ustálené, s miernym nárastom aplikácie herbicídov.</w:t>
      </w:r>
    </w:p>
    <w:p w:rsidR="00242C36" w:rsidRPr="00E43137" w:rsidRDefault="00242C36" w:rsidP="00CC6591">
      <w:pPr>
        <w:rPr>
          <w:rFonts w:ascii="Calibri" w:eastAsia="Calibri" w:hAnsi="Calibri"/>
          <w:color w:val="1F497D"/>
          <w:szCs w:val="20"/>
          <w:lang w:eastAsia="en-US"/>
        </w:rPr>
      </w:pPr>
    </w:p>
    <w:p w:rsidR="00242C36" w:rsidRPr="00E43137" w:rsidRDefault="008F198F" w:rsidP="00242C36">
      <w:pPr>
        <w:spacing w:line="288" w:lineRule="auto"/>
        <w:rPr>
          <w:rFonts w:ascii="Calibri" w:eastAsia="Calibri" w:hAnsi="Calibri"/>
          <w:sz w:val="20"/>
          <w:szCs w:val="20"/>
          <w:lang w:eastAsia="en-US"/>
        </w:rPr>
      </w:pPr>
      <w:r>
        <w:rPr>
          <w:rFonts w:ascii="Calibri" w:eastAsia="Calibri" w:hAnsi="Calibri"/>
          <w:sz w:val="20"/>
          <w:szCs w:val="20"/>
          <w:lang w:eastAsia="en-US"/>
        </w:rPr>
        <w:t xml:space="preserve">Tabuľka 53: </w:t>
      </w:r>
      <w:r w:rsidR="00242C36" w:rsidRPr="00E43137">
        <w:rPr>
          <w:rFonts w:ascii="Calibri" w:eastAsia="Calibri" w:hAnsi="Calibri"/>
          <w:sz w:val="20"/>
          <w:szCs w:val="20"/>
          <w:lang w:eastAsia="en-US"/>
        </w:rPr>
        <w:t>Spotreba prípravkov na ochranu rastlín podľa skupín FAO (v kg, resp. l.)</w:t>
      </w:r>
    </w:p>
    <w:tbl>
      <w:tblPr>
        <w:tblW w:w="0" w:type="auto"/>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Look w:val="04A0" w:firstRow="1" w:lastRow="0" w:firstColumn="1" w:lastColumn="0" w:noHBand="0" w:noVBand="1"/>
      </w:tblPr>
      <w:tblGrid>
        <w:gridCol w:w="1535"/>
        <w:gridCol w:w="1535"/>
        <w:gridCol w:w="1535"/>
        <w:gridCol w:w="1535"/>
        <w:gridCol w:w="1535"/>
        <w:gridCol w:w="1535"/>
      </w:tblGrid>
      <w:tr w:rsidR="00242C36" w:rsidRPr="00E43137" w:rsidTr="00242C36">
        <w:tc>
          <w:tcPr>
            <w:tcW w:w="1535" w:type="dxa"/>
            <w:tcBorders>
              <w:top w:val="single" w:sz="4" w:space="0" w:color="5B9BD5"/>
              <w:left w:val="single" w:sz="4" w:space="0" w:color="5B9BD5"/>
              <w:bottom w:val="single" w:sz="4" w:space="0" w:color="5B9BD5"/>
              <w:right w:val="nil"/>
            </w:tcBorders>
            <w:shd w:val="clear" w:color="auto" w:fill="5B9BD5"/>
          </w:tcPr>
          <w:p w:rsidR="00242C36" w:rsidRPr="00E43137" w:rsidRDefault="00242C36" w:rsidP="00242C36">
            <w:pPr>
              <w:contextualSpacing/>
              <w:rPr>
                <w:rFonts w:ascii="Calibri" w:eastAsia="Calibri" w:hAnsi="Calibri"/>
                <w:b/>
                <w:bCs/>
                <w:i/>
                <w:color w:val="FFFFFF"/>
                <w:sz w:val="20"/>
                <w:szCs w:val="20"/>
                <w:lang w:eastAsia="en-US"/>
              </w:rPr>
            </w:pPr>
          </w:p>
        </w:tc>
        <w:tc>
          <w:tcPr>
            <w:tcW w:w="1535" w:type="dxa"/>
            <w:tcBorders>
              <w:top w:val="single" w:sz="4" w:space="0" w:color="5B9BD5"/>
              <w:left w:val="nil"/>
              <w:bottom w:val="single" w:sz="4" w:space="0" w:color="5B9BD5"/>
              <w:right w:val="nil"/>
            </w:tcBorders>
            <w:shd w:val="clear" w:color="auto" w:fill="5B9BD5"/>
          </w:tcPr>
          <w:p w:rsidR="00242C36" w:rsidRPr="00E43137" w:rsidRDefault="00242C36" w:rsidP="00242C36">
            <w:pPr>
              <w:contextualSpacing/>
              <w:jc w:val="center"/>
              <w:rPr>
                <w:rFonts w:ascii="Calibri" w:eastAsia="Calibri" w:hAnsi="Calibri"/>
                <w:b/>
                <w:bCs/>
                <w:i/>
                <w:color w:val="FFFFFF"/>
                <w:sz w:val="20"/>
                <w:szCs w:val="20"/>
                <w:lang w:eastAsia="en-US"/>
              </w:rPr>
            </w:pPr>
            <w:r w:rsidRPr="00E43137">
              <w:rPr>
                <w:rFonts w:ascii="Calibri" w:eastAsia="Calibri" w:hAnsi="Calibri"/>
                <w:b/>
                <w:bCs/>
                <w:i/>
                <w:color w:val="FFFFFF"/>
                <w:sz w:val="20"/>
                <w:szCs w:val="20"/>
                <w:lang w:eastAsia="en-US"/>
              </w:rPr>
              <w:t>2008</w:t>
            </w:r>
          </w:p>
        </w:tc>
        <w:tc>
          <w:tcPr>
            <w:tcW w:w="1535" w:type="dxa"/>
            <w:tcBorders>
              <w:top w:val="single" w:sz="4" w:space="0" w:color="5B9BD5"/>
              <w:left w:val="nil"/>
              <w:bottom w:val="single" w:sz="4" w:space="0" w:color="5B9BD5"/>
              <w:right w:val="nil"/>
            </w:tcBorders>
            <w:shd w:val="clear" w:color="auto" w:fill="5B9BD5"/>
          </w:tcPr>
          <w:p w:rsidR="00242C36" w:rsidRPr="00E43137" w:rsidRDefault="00242C36" w:rsidP="00242C36">
            <w:pPr>
              <w:contextualSpacing/>
              <w:jc w:val="center"/>
              <w:rPr>
                <w:rFonts w:ascii="Calibri" w:eastAsia="Calibri" w:hAnsi="Calibri"/>
                <w:b/>
                <w:bCs/>
                <w:i/>
                <w:color w:val="FFFFFF"/>
                <w:sz w:val="20"/>
                <w:szCs w:val="20"/>
                <w:lang w:eastAsia="en-US"/>
              </w:rPr>
            </w:pPr>
            <w:r w:rsidRPr="00E43137">
              <w:rPr>
                <w:rFonts w:ascii="Calibri" w:eastAsia="Calibri" w:hAnsi="Calibri"/>
                <w:b/>
                <w:bCs/>
                <w:i/>
                <w:color w:val="FFFFFF"/>
                <w:sz w:val="20"/>
                <w:szCs w:val="20"/>
                <w:lang w:eastAsia="en-US"/>
              </w:rPr>
              <w:t>2009</w:t>
            </w:r>
          </w:p>
        </w:tc>
        <w:tc>
          <w:tcPr>
            <w:tcW w:w="1535" w:type="dxa"/>
            <w:tcBorders>
              <w:top w:val="single" w:sz="4" w:space="0" w:color="5B9BD5"/>
              <w:left w:val="nil"/>
              <w:bottom w:val="single" w:sz="4" w:space="0" w:color="5B9BD5"/>
              <w:right w:val="nil"/>
            </w:tcBorders>
            <w:shd w:val="clear" w:color="auto" w:fill="5B9BD5"/>
          </w:tcPr>
          <w:p w:rsidR="00242C36" w:rsidRPr="00E43137" w:rsidRDefault="00242C36" w:rsidP="00242C36">
            <w:pPr>
              <w:contextualSpacing/>
              <w:jc w:val="center"/>
              <w:rPr>
                <w:rFonts w:ascii="Calibri" w:eastAsia="Calibri" w:hAnsi="Calibri"/>
                <w:b/>
                <w:bCs/>
                <w:i/>
                <w:color w:val="FFFFFF"/>
                <w:sz w:val="20"/>
                <w:szCs w:val="20"/>
                <w:lang w:eastAsia="en-US"/>
              </w:rPr>
            </w:pPr>
            <w:r w:rsidRPr="00E43137">
              <w:rPr>
                <w:rFonts w:ascii="Calibri" w:eastAsia="Calibri" w:hAnsi="Calibri"/>
                <w:b/>
                <w:bCs/>
                <w:i/>
                <w:color w:val="FFFFFF"/>
                <w:sz w:val="20"/>
                <w:szCs w:val="20"/>
                <w:lang w:eastAsia="en-US"/>
              </w:rPr>
              <w:t>2010</w:t>
            </w:r>
          </w:p>
        </w:tc>
        <w:tc>
          <w:tcPr>
            <w:tcW w:w="1535" w:type="dxa"/>
            <w:tcBorders>
              <w:top w:val="single" w:sz="4" w:space="0" w:color="5B9BD5"/>
              <w:left w:val="nil"/>
              <w:bottom w:val="single" w:sz="4" w:space="0" w:color="5B9BD5"/>
              <w:right w:val="nil"/>
            </w:tcBorders>
            <w:shd w:val="clear" w:color="auto" w:fill="5B9BD5"/>
          </w:tcPr>
          <w:p w:rsidR="00242C36" w:rsidRPr="00E43137" w:rsidRDefault="00242C36" w:rsidP="00242C36">
            <w:pPr>
              <w:contextualSpacing/>
              <w:jc w:val="center"/>
              <w:rPr>
                <w:rFonts w:ascii="Calibri" w:eastAsia="Calibri" w:hAnsi="Calibri"/>
                <w:b/>
                <w:bCs/>
                <w:i/>
                <w:color w:val="FFFFFF"/>
                <w:sz w:val="20"/>
                <w:szCs w:val="20"/>
                <w:lang w:eastAsia="en-US"/>
              </w:rPr>
            </w:pPr>
            <w:r w:rsidRPr="00E43137">
              <w:rPr>
                <w:rFonts w:ascii="Calibri" w:eastAsia="Calibri" w:hAnsi="Calibri"/>
                <w:b/>
                <w:bCs/>
                <w:i/>
                <w:color w:val="FFFFFF"/>
                <w:sz w:val="20"/>
                <w:szCs w:val="20"/>
                <w:lang w:eastAsia="en-US"/>
              </w:rPr>
              <w:t>2011</w:t>
            </w:r>
          </w:p>
        </w:tc>
        <w:tc>
          <w:tcPr>
            <w:tcW w:w="1535" w:type="dxa"/>
            <w:tcBorders>
              <w:top w:val="single" w:sz="4" w:space="0" w:color="5B9BD5"/>
              <w:left w:val="nil"/>
              <w:bottom w:val="single" w:sz="4" w:space="0" w:color="5B9BD5"/>
              <w:right w:val="single" w:sz="4" w:space="0" w:color="5B9BD5"/>
            </w:tcBorders>
            <w:shd w:val="clear" w:color="auto" w:fill="5B9BD5"/>
          </w:tcPr>
          <w:p w:rsidR="00242C36" w:rsidRPr="00E43137" w:rsidRDefault="00242C36" w:rsidP="00242C36">
            <w:pPr>
              <w:contextualSpacing/>
              <w:jc w:val="center"/>
              <w:rPr>
                <w:rFonts w:ascii="Calibri" w:eastAsia="Calibri" w:hAnsi="Calibri"/>
                <w:b/>
                <w:bCs/>
                <w:i/>
                <w:color w:val="FFFFFF"/>
                <w:sz w:val="20"/>
                <w:szCs w:val="20"/>
                <w:lang w:eastAsia="en-US"/>
              </w:rPr>
            </w:pPr>
            <w:r w:rsidRPr="00E43137">
              <w:rPr>
                <w:rFonts w:ascii="Calibri" w:eastAsia="Calibri" w:hAnsi="Calibri"/>
                <w:b/>
                <w:bCs/>
                <w:i/>
                <w:color w:val="FFFFFF"/>
                <w:sz w:val="20"/>
                <w:szCs w:val="20"/>
                <w:lang w:eastAsia="en-US"/>
              </w:rPr>
              <w:t>2012</w:t>
            </w:r>
          </w:p>
        </w:tc>
      </w:tr>
      <w:tr w:rsidR="00242C36" w:rsidRPr="00E43137" w:rsidTr="00242C36">
        <w:tc>
          <w:tcPr>
            <w:tcW w:w="1535" w:type="dxa"/>
            <w:shd w:val="clear" w:color="auto" w:fill="DEEAF6"/>
          </w:tcPr>
          <w:p w:rsidR="00242C36" w:rsidRPr="00E43137" w:rsidRDefault="00242C36" w:rsidP="00242C36">
            <w:pPr>
              <w:contextualSpacing/>
              <w:rPr>
                <w:rFonts w:ascii="Calibri" w:eastAsia="Calibri" w:hAnsi="Calibri"/>
                <w:b/>
                <w:bCs/>
                <w:i/>
                <w:sz w:val="20"/>
                <w:szCs w:val="20"/>
                <w:lang w:eastAsia="en-US"/>
              </w:rPr>
            </w:pPr>
            <w:r w:rsidRPr="00E43137">
              <w:rPr>
                <w:rFonts w:ascii="Calibri" w:eastAsia="Calibri" w:hAnsi="Calibri"/>
                <w:b/>
                <w:bCs/>
                <w:i/>
                <w:sz w:val="20"/>
                <w:szCs w:val="20"/>
                <w:lang w:eastAsia="en-US"/>
              </w:rPr>
              <w:t>INSEKTICÍDY</w:t>
            </w:r>
          </w:p>
        </w:tc>
        <w:tc>
          <w:tcPr>
            <w:tcW w:w="1535" w:type="dxa"/>
            <w:shd w:val="clear" w:color="auto" w:fill="DEEAF6"/>
          </w:tcPr>
          <w:p w:rsidR="00242C36" w:rsidRPr="00E43137" w:rsidRDefault="00242C36" w:rsidP="00242C36">
            <w:pPr>
              <w:contextualSpacing/>
              <w:jc w:val="right"/>
              <w:rPr>
                <w:rFonts w:ascii="Calibri" w:eastAsia="Calibri" w:hAnsi="Calibri"/>
                <w:i/>
                <w:sz w:val="20"/>
                <w:szCs w:val="20"/>
                <w:lang w:eastAsia="en-US"/>
              </w:rPr>
            </w:pPr>
            <w:r w:rsidRPr="00E43137">
              <w:rPr>
                <w:rFonts w:ascii="Calibri" w:eastAsia="Calibri" w:hAnsi="Calibri"/>
                <w:i/>
                <w:sz w:val="20"/>
                <w:szCs w:val="20"/>
                <w:lang w:eastAsia="en-US"/>
              </w:rPr>
              <w:t>297 740</w:t>
            </w:r>
          </w:p>
        </w:tc>
        <w:tc>
          <w:tcPr>
            <w:tcW w:w="1535" w:type="dxa"/>
            <w:shd w:val="clear" w:color="auto" w:fill="DEEAF6"/>
          </w:tcPr>
          <w:p w:rsidR="00242C36" w:rsidRPr="00E43137" w:rsidRDefault="00242C36" w:rsidP="00242C36">
            <w:pPr>
              <w:contextualSpacing/>
              <w:jc w:val="right"/>
              <w:rPr>
                <w:rFonts w:ascii="Calibri" w:eastAsia="Calibri" w:hAnsi="Calibri"/>
                <w:i/>
                <w:sz w:val="20"/>
                <w:szCs w:val="20"/>
                <w:lang w:eastAsia="en-US"/>
              </w:rPr>
            </w:pPr>
            <w:r w:rsidRPr="00E43137">
              <w:rPr>
                <w:rFonts w:ascii="Calibri" w:eastAsia="Calibri" w:hAnsi="Calibri"/>
                <w:i/>
                <w:sz w:val="20"/>
                <w:szCs w:val="20"/>
                <w:lang w:eastAsia="en-US"/>
              </w:rPr>
              <w:t>389 158</w:t>
            </w:r>
          </w:p>
        </w:tc>
        <w:tc>
          <w:tcPr>
            <w:tcW w:w="1535" w:type="dxa"/>
            <w:shd w:val="clear" w:color="auto" w:fill="DEEAF6"/>
          </w:tcPr>
          <w:p w:rsidR="00242C36" w:rsidRPr="00E43137" w:rsidRDefault="00242C36" w:rsidP="00242C36">
            <w:pPr>
              <w:contextualSpacing/>
              <w:jc w:val="right"/>
              <w:rPr>
                <w:rFonts w:ascii="Calibri" w:eastAsia="Calibri" w:hAnsi="Calibri"/>
                <w:i/>
                <w:sz w:val="20"/>
                <w:szCs w:val="20"/>
                <w:lang w:eastAsia="en-US"/>
              </w:rPr>
            </w:pPr>
            <w:r w:rsidRPr="00E43137">
              <w:rPr>
                <w:rFonts w:ascii="Calibri" w:eastAsia="Calibri" w:hAnsi="Calibri"/>
                <w:i/>
                <w:sz w:val="20"/>
                <w:szCs w:val="20"/>
                <w:lang w:eastAsia="en-US"/>
              </w:rPr>
              <w:t>334 057</w:t>
            </w:r>
          </w:p>
        </w:tc>
        <w:tc>
          <w:tcPr>
            <w:tcW w:w="1535" w:type="dxa"/>
            <w:shd w:val="clear" w:color="auto" w:fill="DEEAF6"/>
          </w:tcPr>
          <w:p w:rsidR="00242C36" w:rsidRPr="00E43137" w:rsidRDefault="00242C36" w:rsidP="00242C36">
            <w:pPr>
              <w:contextualSpacing/>
              <w:jc w:val="right"/>
              <w:rPr>
                <w:rFonts w:ascii="Calibri" w:eastAsia="Calibri" w:hAnsi="Calibri"/>
                <w:i/>
                <w:sz w:val="20"/>
                <w:szCs w:val="20"/>
                <w:lang w:eastAsia="en-US"/>
              </w:rPr>
            </w:pPr>
            <w:r w:rsidRPr="00E43137">
              <w:rPr>
                <w:rFonts w:ascii="Calibri" w:eastAsia="Calibri" w:hAnsi="Calibri"/>
                <w:i/>
                <w:sz w:val="20"/>
                <w:szCs w:val="20"/>
                <w:lang w:eastAsia="en-US"/>
              </w:rPr>
              <w:t>196 005</w:t>
            </w:r>
          </w:p>
        </w:tc>
        <w:tc>
          <w:tcPr>
            <w:tcW w:w="1535" w:type="dxa"/>
            <w:shd w:val="clear" w:color="auto" w:fill="DEEAF6"/>
          </w:tcPr>
          <w:p w:rsidR="00242C36" w:rsidRPr="00E43137" w:rsidRDefault="00242C36" w:rsidP="00242C36">
            <w:pPr>
              <w:contextualSpacing/>
              <w:jc w:val="right"/>
              <w:rPr>
                <w:rFonts w:ascii="Calibri" w:eastAsia="Calibri" w:hAnsi="Calibri"/>
                <w:i/>
                <w:sz w:val="20"/>
                <w:szCs w:val="20"/>
                <w:lang w:eastAsia="en-US"/>
              </w:rPr>
            </w:pPr>
            <w:r w:rsidRPr="00E43137">
              <w:rPr>
                <w:rFonts w:ascii="Calibri" w:eastAsia="Calibri" w:hAnsi="Calibri"/>
                <w:i/>
                <w:sz w:val="20"/>
                <w:szCs w:val="20"/>
                <w:lang w:eastAsia="en-US"/>
              </w:rPr>
              <w:t>214 121</w:t>
            </w:r>
          </w:p>
        </w:tc>
      </w:tr>
      <w:tr w:rsidR="00242C36" w:rsidRPr="00E43137" w:rsidTr="00242C36">
        <w:tc>
          <w:tcPr>
            <w:tcW w:w="1535" w:type="dxa"/>
          </w:tcPr>
          <w:p w:rsidR="00242C36" w:rsidRPr="00E43137" w:rsidRDefault="00242C36" w:rsidP="00242C36">
            <w:pPr>
              <w:contextualSpacing/>
              <w:rPr>
                <w:rFonts w:ascii="Calibri" w:eastAsia="Calibri" w:hAnsi="Calibri"/>
                <w:b/>
                <w:bCs/>
                <w:i/>
                <w:sz w:val="20"/>
                <w:szCs w:val="20"/>
                <w:lang w:eastAsia="en-US"/>
              </w:rPr>
            </w:pPr>
            <w:r w:rsidRPr="00E43137">
              <w:rPr>
                <w:rFonts w:ascii="Calibri" w:eastAsia="Calibri" w:hAnsi="Calibri"/>
                <w:b/>
                <w:bCs/>
                <w:i/>
                <w:sz w:val="20"/>
                <w:szCs w:val="20"/>
                <w:lang w:eastAsia="en-US"/>
              </w:rPr>
              <w:t>HERBICÍDY</w:t>
            </w:r>
          </w:p>
        </w:tc>
        <w:tc>
          <w:tcPr>
            <w:tcW w:w="1535" w:type="dxa"/>
          </w:tcPr>
          <w:p w:rsidR="00242C36" w:rsidRPr="00E43137" w:rsidRDefault="00242C36" w:rsidP="00242C36">
            <w:pPr>
              <w:contextualSpacing/>
              <w:jc w:val="right"/>
              <w:rPr>
                <w:rFonts w:ascii="Calibri" w:eastAsia="Calibri" w:hAnsi="Calibri"/>
                <w:i/>
                <w:sz w:val="20"/>
                <w:szCs w:val="20"/>
                <w:lang w:eastAsia="en-US"/>
              </w:rPr>
            </w:pPr>
            <w:r w:rsidRPr="00E43137">
              <w:rPr>
                <w:rFonts w:ascii="Calibri" w:eastAsia="Calibri" w:hAnsi="Calibri"/>
                <w:i/>
                <w:sz w:val="20"/>
                <w:szCs w:val="20"/>
                <w:lang w:eastAsia="en-US"/>
              </w:rPr>
              <w:t>1 991 200</w:t>
            </w:r>
          </w:p>
        </w:tc>
        <w:tc>
          <w:tcPr>
            <w:tcW w:w="1535" w:type="dxa"/>
          </w:tcPr>
          <w:p w:rsidR="00242C36" w:rsidRPr="00E43137" w:rsidRDefault="00242C36" w:rsidP="00242C36">
            <w:pPr>
              <w:contextualSpacing/>
              <w:jc w:val="right"/>
              <w:rPr>
                <w:rFonts w:ascii="Calibri" w:eastAsia="Calibri" w:hAnsi="Calibri"/>
                <w:i/>
                <w:sz w:val="20"/>
                <w:szCs w:val="20"/>
                <w:lang w:eastAsia="en-US"/>
              </w:rPr>
            </w:pPr>
            <w:r w:rsidRPr="00E43137">
              <w:rPr>
                <w:rFonts w:ascii="Calibri" w:eastAsia="Calibri" w:hAnsi="Calibri"/>
                <w:i/>
                <w:sz w:val="20"/>
                <w:szCs w:val="20"/>
                <w:lang w:eastAsia="en-US"/>
              </w:rPr>
              <w:t>2 346 840</w:t>
            </w:r>
          </w:p>
        </w:tc>
        <w:tc>
          <w:tcPr>
            <w:tcW w:w="1535" w:type="dxa"/>
          </w:tcPr>
          <w:p w:rsidR="00242C36" w:rsidRPr="00E43137" w:rsidRDefault="00242C36" w:rsidP="00242C36">
            <w:pPr>
              <w:contextualSpacing/>
              <w:jc w:val="right"/>
              <w:rPr>
                <w:rFonts w:ascii="Calibri" w:eastAsia="Calibri" w:hAnsi="Calibri"/>
                <w:i/>
                <w:sz w:val="20"/>
                <w:szCs w:val="20"/>
                <w:lang w:eastAsia="en-US"/>
              </w:rPr>
            </w:pPr>
            <w:r w:rsidRPr="00E43137">
              <w:rPr>
                <w:rFonts w:ascii="Calibri" w:eastAsia="Calibri" w:hAnsi="Calibri"/>
                <w:i/>
                <w:sz w:val="20"/>
                <w:szCs w:val="20"/>
                <w:lang w:eastAsia="en-US"/>
              </w:rPr>
              <w:t>2 350 472</w:t>
            </w:r>
          </w:p>
        </w:tc>
        <w:tc>
          <w:tcPr>
            <w:tcW w:w="1535" w:type="dxa"/>
          </w:tcPr>
          <w:p w:rsidR="00242C36" w:rsidRPr="00E43137" w:rsidRDefault="00242C36" w:rsidP="00242C36">
            <w:pPr>
              <w:contextualSpacing/>
              <w:jc w:val="right"/>
              <w:rPr>
                <w:rFonts w:ascii="Calibri" w:eastAsia="Calibri" w:hAnsi="Calibri"/>
                <w:i/>
                <w:sz w:val="20"/>
                <w:szCs w:val="20"/>
                <w:lang w:eastAsia="en-US"/>
              </w:rPr>
            </w:pPr>
            <w:r w:rsidRPr="00E43137">
              <w:rPr>
                <w:rFonts w:ascii="Calibri" w:eastAsia="Calibri" w:hAnsi="Calibri"/>
                <w:i/>
                <w:sz w:val="20"/>
                <w:szCs w:val="20"/>
                <w:lang w:eastAsia="en-US"/>
              </w:rPr>
              <w:t>2 092 060</w:t>
            </w:r>
          </w:p>
        </w:tc>
        <w:tc>
          <w:tcPr>
            <w:tcW w:w="1535" w:type="dxa"/>
          </w:tcPr>
          <w:p w:rsidR="00242C36" w:rsidRPr="00E43137" w:rsidRDefault="00242C36" w:rsidP="00242C36">
            <w:pPr>
              <w:contextualSpacing/>
              <w:jc w:val="right"/>
              <w:rPr>
                <w:rFonts w:ascii="Calibri" w:eastAsia="Calibri" w:hAnsi="Calibri"/>
                <w:i/>
                <w:sz w:val="20"/>
                <w:szCs w:val="20"/>
                <w:lang w:eastAsia="en-US"/>
              </w:rPr>
            </w:pPr>
            <w:r w:rsidRPr="00E43137">
              <w:rPr>
                <w:rFonts w:ascii="Calibri" w:eastAsia="Calibri" w:hAnsi="Calibri"/>
                <w:i/>
                <w:sz w:val="20"/>
                <w:szCs w:val="20"/>
                <w:lang w:eastAsia="en-US"/>
              </w:rPr>
              <w:t>2 393 789</w:t>
            </w:r>
          </w:p>
        </w:tc>
      </w:tr>
      <w:tr w:rsidR="00242C36" w:rsidRPr="00E43137" w:rsidTr="00242C36">
        <w:tc>
          <w:tcPr>
            <w:tcW w:w="1535" w:type="dxa"/>
            <w:shd w:val="clear" w:color="auto" w:fill="DEEAF6"/>
          </w:tcPr>
          <w:p w:rsidR="00242C36" w:rsidRPr="00E43137" w:rsidRDefault="00242C36" w:rsidP="00242C36">
            <w:pPr>
              <w:contextualSpacing/>
              <w:rPr>
                <w:rFonts w:ascii="Calibri" w:eastAsia="Calibri" w:hAnsi="Calibri"/>
                <w:b/>
                <w:bCs/>
                <w:i/>
                <w:sz w:val="20"/>
                <w:szCs w:val="20"/>
                <w:lang w:eastAsia="en-US"/>
              </w:rPr>
            </w:pPr>
            <w:r w:rsidRPr="00E43137">
              <w:rPr>
                <w:rFonts w:ascii="Calibri" w:eastAsia="Calibri" w:hAnsi="Calibri"/>
                <w:b/>
                <w:bCs/>
                <w:i/>
                <w:sz w:val="20"/>
                <w:szCs w:val="20"/>
                <w:lang w:eastAsia="en-US"/>
              </w:rPr>
              <w:t>FUNGICÍDY</w:t>
            </w:r>
          </w:p>
        </w:tc>
        <w:tc>
          <w:tcPr>
            <w:tcW w:w="1535" w:type="dxa"/>
            <w:shd w:val="clear" w:color="auto" w:fill="DEEAF6"/>
          </w:tcPr>
          <w:p w:rsidR="00242C36" w:rsidRPr="00E43137" w:rsidRDefault="00242C36" w:rsidP="00242C36">
            <w:pPr>
              <w:contextualSpacing/>
              <w:jc w:val="right"/>
              <w:rPr>
                <w:rFonts w:ascii="Calibri" w:eastAsia="Calibri" w:hAnsi="Calibri"/>
                <w:i/>
                <w:sz w:val="20"/>
                <w:szCs w:val="20"/>
                <w:lang w:eastAsia="en-US"/>
              </w:rPr>
            </w:pPr>
            <w:r w:rsidRPr="00E43137">
              <w:rPr>
                <w:rFonts w:ascii="Calibri" w:eastAsia="Calibri" w:hAnsi="Calibri"/>
                <w:i/>
                <w:sz w:val="20"/>
                <w:szCs w:val="20"/>
                <w:lang w:eastAsia="en-US"/>
              </w:rPr>
              <w:t>887 241</w:t>
            </w:r>
          </w:p>
        </w:tc>
        <w:tc>
          <w:tcPr>
            <w:tcW w:w="1535" w:type="dxa"/>
            <w:shd w:val="clear" w:color="auto" w:fill="DEEAF6"/>
          </w:tcPr>
          <w:p w:rsidR="00242C36" w:rsidRPr="00E43137" w:rsidRDefault="00242C36" w:rsidP="00242C36">
            <w:pPr>
              <w:contextualSpacing/>
              <w:jc w:val="right"/>
              <w:rPr>
                <w:rFonts w:ascii="Calibri" w:eastAsia="Calibri" w:hAnsi="Calibri"/>
                <w:i/>
                <w:sz w:val="20"/>
                <w:szCs w:val="20"/>
                <w:lang w:eastAsia="en-US"/>
              </w:rPr>
            </w:pPr>
            <w:r w:rsidRPr="00E43137">
              <w:rPr>
                <w:rFonts w:ascii="Calibri" w:eastAsia="Calibri" w:hAnsi="Calibri"/>
                <w:i/>
                <w:sz w:val="20"/>
                <w:szCs w:val="20"/>
                <w:lang w:eastAsia="en-US"/>
              </w:rPr>
              <w:t>574 198</w:t>
            </w:r>
          </w:p>
        </w:tc>
        <w:tc>
          <w:tcPr>
            <w:tcW w:w="1535" w:type="dxa"/>
            <w:shd w:val="clear" w:color="auto" w:fill="DEEAF6"/>
          </w:tcPr>
          <w:p w:rsidR="00242C36" w:rsidRPr="00E43137" w:rsidRDefault="00242C36" w:rsidP="00242C36">
            <w:pPr>
              <w:contextualSpacing/>
              <w:jc w:val="right"/>
              <w:rPr>
                <w:rFonts w:ascii="Calibri" w:eastAsia="Calibri" w:hAnsi="Calibri"/>
                <w:i/>
                <w:sz w:val="20"/>
                <w:szCs w:val="20"/>
                <w:lang w:eastAsia="en-US"/>
              </w:rPr>
            </w:pPr>
            <w:r w:rsidRPr="00E43137">
              <w:rPr>
                <w:rFonts w:ascii="Calibri" w:eastAsia="Calibri" w:hAnsi="Calibri"/>
                <w:i/>
                <w:sz w:val="20"/>
                <w:szCs w:val="20"/>
                <w:lang w:eastAsia="en-US"/>
              </w:rPr>
              <w:t>1 272 110</w:t>
            </w:r>
          </w:p>
        </w:tc>
        <w:tc>
          <w:tcPr>
            <w:tcW w:w="1535" w:type="dxa"/>
            <w:shd w:val="clear" w:color="auto" w:fill="DEEAF6"/>
          </w:tcPr>
          <w:p w:rsidR="00242C36" w:rsidRPr="00E43137" w:rsidRDefault="00242C36" w:rsidP="00242C36">
            <w:pPr>
              <w:contextualSpacing/>
              <w:jc w:val="right"/>
              <w:rPr>
                <w:rFonts w:ascii="Calibri" w:eastAsia="Calibri" w:hAnsi="Calibri"/>
                <w:i/>
                <w:sz w:val="20"/>
                <w:szCs w:val="20"/>
                <w:lang w:eastAsia="en-US"/>
              </w:rPr>
            </w:pPr>
            <w:r w:rsidRPr="00E43137">
              <w:rPr>
                <w:rFonts w:ascii="Calibri" w:eastAsia="Calibri" w:hAnsi="Calibri"/>
                <w:i/>
                <w:sz w:val="20"/>
                <w:szCs w:val="20"/>
                <w:lang w:eastAsia="en-US"/>
              </w:rPr>
              <w:t>729 629</w:t>
            </w:r>
          </w:p>
        </w:tc>
        <w:tc>
          <w:tcPr>
            <w:tcW w:w="1535" w:type="dxa"/>
            <w:shd w:val="clear" w:color="auto" w:fill="DEEAF6"/>
          </w:tcPr>
          <w:p w:rsidR="00242C36" w:rsidRPr="00E43137" w:rsidRDefault="00242C36" w:rsidP="00242C36">
            <w:pPr>
              <w:contextualSpacing/>
              <w:jc w:val="right"/>
              <w:rPr>
                <w:rFonts w:ascii="Calibri" w:eastAsia="Calibri" w:hAnsi="Calibri"/>
                <w:i/>
                <w:sz w:val="20"/>
                <w:szCs w:val="20"/>
                <w:lang w:eastAsia="en-US"/>
              </w:rPr>
            </w:pPr>
            <w:r w:rsidRPr="00E43137">
              <w:rPr>
                <w:rFonts w:ascii="Calibri" w:eastAsia="Calibri" w:hAnsi="Calibri"/>
                <w:i/>
                <w:sz w:val="20"/>
                <w:szCs w:val="20"/>
                <w:lang w:eastAsia="en-US"/>
              </w:rPr>
              <w:t>712 359</w:t>
            </w:r>
          </w:p>
        </w:tc>
      </w:tr>
      <w:tr w:rsidR="00242C36" w:rsidRPr="00E43137" w:rsidTr="00242C36">
        <w:tc>
          <w:tcPr>
            <w:tcW w:w="1535" w:type="dxa"/>
          </w:tcPr>
          <w:p w:rsidR="00242C36" w:rsidRPr="00E43137" w:rsidRDefault="00242C36" w:rsidP="00242C36">
            <w:pPr>
              <w:contextualSpacing/>
              <w:rPr>
                <w:rFonts w:ascii="Calibri" w:eastAsia="Calibri" w:hAnsi="Calibri"/>
                <w:b/>
                <w:bCs/>
                <w:i/>
                <w:sz w:val="20"/>
                <w:szCs w:val="20"/>
                <w:lang w:eastAsia="en-US"/>
              </w:rPr>
            </w:pPr>
            <w:r w:rsidRPr="00E43137">
              <w:rPr>
                <w:rFonts w:ascii="Calibri" w:eastAsia="Calibri" w:hAnsi="Calibri"/>
                <w:b/>
                <w:bCs/>
                <w:i/>
                <w:sz w:val="20"/>
                <w:szCs w:val="20"/>
                <w:lang w:eastAsia="en-US"/>
              </w:rPr>
              <w:t>OSTATNÉ</w:t>
            </w:r>
          </w:p>
        </w:tc>
        <w:tc>
          <w:tcPr>
            <w:tcW w:w="1535" w:type="dxa"/>
          </w:tcPr>
          <w:p w:rsidR="00242C36" w:rsidRPr="00E43137" w:rsidRDefault="00242C36" w:rsidP="00242C36">
            <w:pPr>
              <w:jc w:val="right"/>
              <w:rPr>
                <w:rFonts w:ascii="Calibri" w:hAnsi="Calibri"/>
                <w:i/>
                <w:iCs/>
                <w:sz w:val="20"/>
                <w:szCs w:val="20"/>
                <w:lang w:eastAsia="en-US"/>
              </w:rPr>
            </w:pPr>
            <w:r w:rsidRPr="00E43137">
              <w:rPr>
                <w:rFonts w:ascii="Calibri" w:eastAsia="Calibri" w:hAnsi="Calibri" w:cs="Calibri"/>
                <w:i/>
                <w:iCs/>
                <w:sz w:val="20"/>
                <w:szCs w:val="20"/>
                <w:lang w:eastAsia="en-US"/>
              </w:rPr>
              <w:t>657 552</w:t>
            </w:r>
          </w:p>
        </w:tc>
        <w:tc>
          <w:tcPr>
            <w:tcW w:w="1535" w:type="dxa"/>
          </w:tcPr>
          <w:p w:rsidR="00242C36" w:rsidRPr="00E43137" w:rsidRDefault="00242C36" w:rsidP="00242C36">
            <w:pPr>
              <w:jc w:val="right"/>
              <w:rPr>
                <w:rFonts w:ascii="Calibri" w:hAnsi="Calibri"/>
                <w:i/>
                <w:iCs/>
                <w:sz w:val="20"/>
                <w:szCs w:val="20"/>
                <w:lang w:eastAsia="en-US"/>
              </w:rPr>
            </w:pPr>
            <w:r w:rsidRPr="00E43137">
              <w:rPr>
                <w:rFonts w:ascii="Calibri" w:eastAsia="Calibri" w:hAnsi="Calibri" w:cs="Calibri"/>
                <w:i/>
                <w:iCs/>
                <w:sz w:val="20"/>
                <w:szCs w:val="20"/>
                <w:lang w:eastAsia="en-US"/>
              </w:rPr>
              <w:t>556 866</w:t>
            </w:r>
          </w:p>
        </w:tc>
        <w:tc>
          <w:tcPr>
            <w:tcW w:w="1535" w:type="dxa"/>
          </w:tcPr>
          <w:p w:rsidR="00242C36" w:rsidRPr="00E43137" w:rsidRDefault="00242C36" w:rsidP="00242C36">
            <w:pPr>
              <w:jc w:val="right"/>
              <w:rPr>
                <w:rFonts w:ascii="Calibri" w:hAnsi="Calibri"/>
                <w:i/>
                <w:iCs/>
                <w:sz w:val="20"/>
                <w:szCs w:val="20"/>
                <w:lang w:eastAsia="en-US"/>
              </w:rPr>
            </w:pPr>
            <w:r w:rsidRPr="00E43137">
              <w:rPr>
                <w:rFonts w:ascii="Calibri" w:eastAsia="Calibri" w:hAnsi="Calibri" w:cs="Calibri"/>
                <w:i/>
                <w:iCs/>
                <w:sz w:val="20"/>
                <w:szCs w:val="20"/>
                <w:lang w:eastAsia="en-US"/>
              </w:rPr>
              <w:t>450 786</w:t>
            </w:r>
          </w:p>
        </w:tc>
        <w:tc>
          <w:tcPr>
            <w:tcW w:w="1535" w:type="dxa"/>
          </w:tcPr>
          <w:p w:rsidR="00242C36" w:rsidRPr="00E43137" w:rsidRDefault="00242C36" w:rsidP="00242C36">
            <w:pPr>
              <w:jc w:val="right"/>
              <w:rPr>
                <w:rFonts w:ascii="Calibri" w:hAnsi="Calibri"/>
                <w:i/>
                <w:iCs/>
                <w:sz w:val="20"/>
                <w:szCs w:val="20"/>
                <w:lang w:eastAsia="en-US"/>
              </w:rPr>
            </w:pPr>
            <w:r w:rsidRPr="00E43137">
              <w:rPr>
                <w:rFonts w:ascii="Calibri" w:eastAsia="Calibri" w:hAnsi="Calibri" w:cs="Calibri"/>
                <w:i/>
                <w:iCs/>
                <w:sz w:val="20"/>
                <w:szCs w:val="20"/>
                <w:lang w:eastAsia="en-US"/>
              </w:rPr>
              <w:t>535 066</w:t>
            </w:r>
          </w:p>
        </w:tc>
        <w:tc>
          <w:tcPr>
            <w:tcW w:w="1535" w:type="dxa"/>
          </w:tcPr>
          <w:p w:rsidR="00242C36" w:rsidRPr="00E43137" w:rsidRDefault="00242C36" w:rsidP="00242C36">
            <w:pPr>
              <w:jc w:val="right"/>
              <w:rPr>
                <w:rFonts w:ascii="Calibri" w:hAnsi="Calibri"/>
                <w:i/>
                <w:iCs/>
                <w:sz w:val="20"/>
                <w:szCs w:val="20"/>
                <w:lang w:eastAsia="en-US"/>
              </w:rPr>
            </w:pPr>
            <w:r w:rsidRPr="00E43137">
              <w:rPr>
                <w:rFonts w:ascii="Calibri" w:eastAsia="Calibri" w:hAnsi="Calibri" w:cs="Calibri"/>
                <w:i/>
                <w:iCs/>
                <w:sz w:val="20"/>
                <w:szCs w:val="20"/>
                <w:lang w:eastAsia="en-US"/>
              </w:rPr>
              <w:t>622 750</w:t>
            </w:r>
          </w:p>
        </w:tc>
      </w:tr>
      <w:tr w:rsidR="00242C36" w:rsidRPr="00E43137" w:rsidTr="00242C36">
        <w:tc>
          <w:tcPr>
            <w:tcW w:w="1535" w:type="dxa"/>
            <w:shd w:val="clear" w:color="auto" w:fill="DEEAF6"/>
          </w:tcPr>
          <w:p w:rsidR="00242C36" w:rsidRPr="00E43137" w:rsidRDefault="00242C36" w:rsidP="00242C36">
            <w:pPr>
              <w:contextualSpacing/>
              <w:rPr>
                <w:rFonts w:ascii="Calibri" w:eastAsia="Calibri" w:hAnsi="Calibri"/>
                <w:b/>
                <w:bCs/>
                <w:i/>
                <w:sz w:val="20"/>
                <w:szCs w:val="20"/>
                <w:lang w:eastAsia="en-US"/>
              </w:rPr>
            </w:pPr>
            <w:r w:rsidRPr="00E43137">
              <w:rPr>
                <w:rFonts w:ascii="Calibri" w:eastAsia="Calibri" w:hAnsi="Calibri"/>
                <w:b/>
                <w:bCs/>
                <w:i/>
                <w:sz w:val="20"/>
                <w:szCs w:val="20"/>
                <w:lang w:eastAsia="en-US"/>
              </w:rPr>
              <w:t>SPOLU:</w:t>
            </w:r>
          </w:p>
        </w:tc>
        <w:tc>
          <w:tcPr>
            <w:tcW w:w="1535" w:type="dxa"/>
            <w:shd w:val="clear" w:color="auto" w:fill="DEEAF6"/>
          </w:tcPr>
          <w:p w:rsidR="00242C36" w:rsidRPr="00E43137" w:rsidRDefault="00242C36" w:rsidP="00242C36">
            <w:pPr>
              <w:contextualSpacing/>
              <w:jc w:val="right"/>
              <w:rPr>
                <w:rFonts w:ascii="Calibri" w:eastAsia="Calibri" w:hAnsi="Calibri"/>
                <w:b/>
                <w:i/>
                <w:sz w:val="20"/>
                <w:szCs w:val="20"/>
                <w:lang w:eastAsia="en-US"/>
              </w:rPr>
            </w:pPr>
            <w:r w:rsidRPr="00E43137">
              <w:rPr>
                <w:rFonts w:ascii="Calibri" w:eastAsia="Calibri" w:hAnsi="Calibri"/>
                <w:b/>
                <w:bCs/>
                <w:i/>
                <w:sz w:val="20"/>
                <w:szCs w:val="20"/>
                <w:lang w:eastAsia="en-US"/>
              </w:rPr>
              <w:t>3 833 733</w:t>
            </w:r>
          </w:p>
        </w:tc>
        <w:tc>
          <w:tcPr>
            <w:tcW w:w="1535" w:type="dxa"/>
            <w:shd w:val="clear" w:color="auto" w:fill="DEEAF6"/>
          </w:tcPr>
          <w:p w:rsidR="00242C36" w:rsidRPr="00E43137" w:rsidRDefault="00242C36" w:rsidP="00242C36">
            <w:pPr>
              <w:contextualSpacing/>
              <w:jc w:val="right"/>
              <w:rPr>
                <w:rFonts w:ascii="Calibri" w:eastAsia="Calibri" w:hAnsi="Calibri"/>
                <w:b/>
                <w:i/>
                <w:sz w:val="20"/>
                <w:szCs w:val="20"/>
                <w:lang w:eastAsia="en-US"/>
              </w:rPr>
            </w:pPr>
            <w:r w:rsidRPr="00E43137">
              <w:rPr>
                <w:rFonts w:ascii="Calibri" w:eastAsia="Calibri" w:hAnsi="Calibri"/>
                <w:b/>
                <w:bCs/>
                <w:i/>
                <w:sz w:val="20"/>
                <w:szCs w:val="20"/>
                <w:lang w:eastAsia="en-US"/>
              </w:rPr>
              <w:t>3 867 062</w:t>
            </w:r>
          </w:p>
        </w:tc>
        <w:tc>
          <w:tcPr>
            <w:tcW w:w="1535" w:type="dxa"/>
            <w:shd w:val="clear" w:color="auto" w:fill="DEEAF6"/>
          </w:tcPr>
          <w:p w:rsidR="00242C36" w:rsidRPr="00E43137" w:rsidRDefault="00242C36" w:rsidP="00242C36">
            <w:pPr>
              <w:contextualSpacing/>
              <w:jc w:val="right"/>
              <w:rPr>
                <w:rFonts w:ascii="Calibri" w:eastAsia="Calibri" w:hAnsi="Calibri"/>
                <w:b/>
                <w:i/>
                <w:sz w:val="20"/>
                <w:szCs w:val="20"/>
                <w:lang w:eastAsia="en-US"/>
              </w:rPr>
            </w:pPr>
            <w:r w:rsidRPr="00E43137">
              <w:rPr>
                <w:rFonts w:ascii="Calibri" w:eastAsia="Calibri" w:hAnsi="Calibri"/>
                <w:b/>
                <w:bCs/>
                <w:i/>
                <w:sz w:val="20"/>
                <w:szCs w:val="20"/>
                <w:lang w:eastAsia="en-US"/>
              </w:rPr>
              <w:t>4 407 425</w:t>
            </w:r>
          </w:p>
        </w:tc>
        <w:tc>
          <w:tcPr>
            <w:tcW w:w="1535" w:type="dxa"/>
            <w:shd w:val="clear" w:color="auto" w:fill="DEEAF6"/>
          </w:tcPr>
          <w:p w:rsidR="00242C36" w:rsidRPr="00E43137" w:rsidRDefault="00242C36" w:rsidP="00242C36">
            <w:pPr>
              <w:contextualSpacing/>
              <w:jc w:val="right"/>
              <w:rPr>
                <w:rFonts w:ascii="Calibri" w:eastAsia="Calibri" w:hAnsi="Calibri"/>
                <w:b/>
                <w:i/>
                <w:sz w:val="20"/>
                <w:szCs w:val="20"/>
                <w:lang w:eastAsia="en-US"/>
              </w:rPr>
            </w:pPr>
            <w:r w:rsidRPr="00E43137">
              <w:rPr>
                <w:rFonts w:ascii="Calibri" w:eastAsia="Calibri" w:hAnsi="Calibri"/>
                <w:b/>
                <w:bCs/>
                <w:i/>
                <w:sz w:val="20"/>
                <w:szCs w:val="20"/>
                <w:lang w:eastAsia="en-US"/>
              </w:rPr>
              <w:t>3 552 760</w:t>
            </w:r>
          </w:p>
        </w:tc>
        <w:tc>
          <w:tcPr>
            <w:tcW w:w="1535" w:type="dxa"/>
            <w:shd w:val="clear" w:color="auto" w:fill="DEEAF6"/>
          </w:tcPr>
          <w:p w:rsidR="00242C36" w:rsidRPr="00E43137" w:rsidRDefault="00242C36" w:rsidP="00242C36">
            <w:pPr>
              <w:contextualSpacing/>
              <w:jc w:val="right"/>
              <w:rPr>
                <w:rFonts w:ascii="Calibri" w:eastAsia="Calibri" w:hAnsi="Calibri"/>
                <w:b/>
                <w:i/>
                <w:sz w:val="20"/>
                <w:szCs w:val="20"/>
                <w:lang w:eastAsia="en-US"/>
              </w:rPr>
            </w:pPr>
            <w:r w:rsidRPr="00E43137">
              <w:rPr>
                <w:rFonts w:ascii="Calibri" w:eastAsia="Calibri" w:hAnsi="Calibri"/>
                <w:b/>
                <w:bCs/>
                <w:i/>
                <w:sz w:val="20"/>
                <w:szCs w:val="20"/>
                <w:lang w:eastAsia="en-US"/>
              </w:rPr>
              <w:t>3 943 019</w:t>
            </w:r>
          </w:p>
        </w:tc>
      </w:tr>
    </w:tbl>
    <w:p w:rsidR="00242C36" w:rsidRPr="00E43137" w:rsidRDefault="00242C36" w:rsidP="00242C36">
      <w:pPr>
        <w:spacing w:after="200"/>
        <w:contextualSpacing/>
        <w:rPr>
          <w:rFonts w:ascii="Calibri" w:eastAsia="Calibri" w:hAnsi="Calibri"/>
          <w:i/>
          <w:sz w:val="20"/>
          <w:szCs w:val="20"/>
          <w:lang w:eastAsia="en-US"/>
        </w:rPr>
      </w:pPr>
      <w:r w:rsidRPr="00E43137">
        <w:rPr>
          <w:rFonts w:ascii="Calibri" w:eastAsia="Calibri" w:hAnsi="Calibri"/>
          <w:i/>
          <w:sz w:val="20"/>
          <w:szCs w:val="20"/>
          <w:lang w:eastAsia="en-US"/>
        </w:rPr>
        <w:t>Zdroj: ÚKSÚP</w:t>
      </w:r>
    </w:p>
    <w:p w:rsidR="008F198F" w:rsidRDefault="008F198F" w:rsidP="00242C36">
      <w:pPr>
        <w:pBdr>
          <w:bar w:val="single" w:sz="6" w:color="808080"/>
        </w:pBdr>
        <w:rPr>
          <w:rFonts w:ascii="Calibri" w:eastAsia="Calibri" w:hAnsi="Calibri"/>
          <w:szCs w:val="22"/>
          <w:lang w:eastAsia="en-US"/>
        </w:rPr>
      </w:pPr>
    </w:p>
    <w:p w:rsidR="00242C36" w:rsidRPr="00E43137" w:rsidRDefault="00242C36" w:rsidP="00242C36">
      <w:pPr>
        <w:pBdr>
          <w:bar w:val="single" w:sz="6" w:color="808080"/>
        </w:pBdr>
        <w:rPr>
          <w:rFonts w:ascii="Calibri" w:eastAsia="Calibri" w:hAnsi="Calibri"/>
          <w:szCs w:val="22"/>
          <w:lang w:eastAsia="en-US"/>
        </w:rPr>
      </w:pPr>
      <w:r w:rsidRPr="00E43137">
        <w:rPr>
          <w:rFonts w:ascii="Calibri" w:eastAsia="Calibri" w:hAnsi="Calibri"/>
          <w:szCs w:val="22"/>
          <w:lang w:eastAsia="en-US"/>
        </w:rPr>
        <w:t xml:space="preserve">V posledných rokoch je v SR celkový trend obsahu dusičnanov v podzemných a povrchových vodách klesajúci. Prispievajú k tomu aj opatrenia osi 2 PRV SR 2007-2013 (najmä AEO, ktorého súčasťou sú  schémy integrovanej ochrany rastlín, zatrávnenie, protierózne opatrenia a ekologické poľnohospodárstvo), najmä tým, že v podporených oblastiach dochádza k redukcii používania hnojív a pesticídov, čo prispieva k zníženiu prenosu kontaminantov.  </w:t>
      </w:r>
    </w:p>
    <w:p w:rsidR="00242C36" w:rsidRPr="00D36D2C" w:rsidRDefault="00242C36" w:rsidP="00242C36">
      <w:pPr>
        <w:pBdr>
          <w:bar w:val="single" w:sz="6" w:color="808080"/>
        </w:pBdr>
        <w:rPr>
          <w:rFonts w:eastAsia="Calibri"/>
          <w:szCs w:val="22"/>
          <w:lang w:eastAsia="en-US"/>
        </w:rPr>
      </w:pPr>
      <w:r w:rsidRPr="00D36D2C">
        <w:rPr>
          <w:rFonts w:eastAsia="Calibri"/>
          <w:szCs w:val="22"/>
          <w:lang w:eastAsia="en-US"/>
        </w:rPr>
        <w:t>V období 2006-2009 (priem. hodnoty) podľa dostupných údajov o </w:t>
      </w:r>
      <w:r w:rsidRPr="00D36D2C">
        <w:rPr>
          <w:rFonts w:eastAsia="Calibri"/>
          <w:b/>
          <w:szCs w:val="22"/>
          <w:lang w:eastAsia="en-US"/>
        </w:rPr>
        <w:t>kvalite vody</w:t>
      </w:r>
      <w:r w:rsidRPr="00D36D2C">
        <w:rPr>
          <w:rFonts w:eastAsia="Calibri"/>
          <w:szCs w:val="22"/>
          <w:lang w:eastAsia="en-US"/>
        </w:rPr>
        <w:t xml:space="preserve"> (CCI 40) p</w:t>
      </w:r>
      <w:r w:rsidRPr="00D36D2C">
        <w:rPr>
          <w:rFonts w:cs="Arial"/>
          <w:bCs/>
          <w:szCs w:val="22"/>
        </w:rPr>
        <w:t>otenciálny nadbytok dusíka na p.p.</w:t>
      </w:r>
      <w:r w:rsidRPr="00D36D2C">
        <w:rPr>
          <w:rFonts w:cs="Arial"/>
          <w:b/>
          <w:bCs/>
          <w:szCs w:val="22"/>
        </w:rPr>
        <w:t xml:space="preserve"> </w:t>
      </w:r>
      <w:r w:rsidRPr="00D36D2C">
        <w:rPr>
          <w:rFonts w:cs="Arial"/>
          <w:bCs/>
          <w:szCs w:val="22"/>
        </w:rPr>
        <w:t>predstavoval 38,5 kg N/ha/rok a potenciálny nadbytok fosforu na p.p. -1,3kg P/ha/rok.</w:t>
      </w:r>
    </w:p>
    <w:p w:rsidR="00242C36" w:rsidRPr="00D36D2C" w:rsidRDefault="00242C36" w:rsidP="00242C36">
      <w:pPr>
        <w:pBdr>
          <w:bar w:val="single" w:sz="6" w:color="808080"/>
        </w:pBdr>
        <w:rPr>
          <w:rFonts w:cs="Arial"/>
          <w:bCs/>
          <w:szCs w:val="22"/>
        </w:rPr>
      </w:pPr>
      <w:r w:rsidRPr="00D36D2C">
        <w:rPr>
          <w:rFonts w:cs="Arial"/>
          <w:bCs/>
          <w:szCs w:val="22"/>
        </w:rPr>
        <w:t>Dusičnany v sladkej vode – povrchová voda: s vysokou kvalitou boli namerané v 43,3% monitorovacíh miestach, so strednou kvalitou v 56,6% monitorovacích miestach a s nízkou kvalitou neboli namerané.</w:t>
      </w:r>
    </w:p>
    <w:p w:rsidR="00242C36" w:rsidRPr="00D36D2C" w:rsidRDefault="00242C36" w:rsidP="00242C36">
      <w:pPr>
        <w:pBdr>
          <w:bar w:val="single" w:sz="6" w:color="808080"/>
        </w:pBdr>
        <w:rPr>
          <w:rFonts w:eastAsia="Calibri"/>
          <w:szCs w:val="22"/>
          <w:highlight w:val="yellow"/>
          <w:lang w:eastAsia="en-US"/>
        </w:rPr>
      </w:pPr>
      <w:r w:rsidRPr="00D36D2C">
        <w:rPr>
          <w:rFonts w:cs="Arial"/>
          <w:bCs/>
          <w:szCs w:val="22"/>
        </w:rPr>
        <w:t xml:space="preserve">Dusičnany v sladkej vode - podzemná voda: s vysokou kvalitou boli namerané v 77,2% </w:t>
      </w:r>
      <w:r w:rsidR="00366F96" w:rsidRPr="00D36D2C">
        <w:rPr>
          <w:rFonts w:cs="Arial"/>
          <w:bCs/>
          <w:szCs w:val="22"/>
        </w:rPr>
        <w:t>monitorovacích</w:t>
      </w:r>
      <w:r w:rsidRPr="00D36D2C">
        <w:rPr>
          <w:rFonts w:cs="Arial"/>
          <w:bCs/>
          <w:szCs w:val="22"/>
        </w:rPr>
        <w:t xml:space="preserve"> miestach, so strednou kvalitou v 13,0% monitorovacích miestach a s nízkou kvalitou v 9,8% monitorovacích miestach.</w:t>
      </w:r>
    </w:p>
    <w:p w:rsidR="00242C36" w:rsidRPr="00E43137" w:rsidRDefault="00242C36" w:rsidP="00242C36">
      <w:pPr>
        <w:pBdr>
          <w:bar w:val="single" w:sz="6" w:color="808080"/>
        </w:pBdr>
        <w:rPr>
          <w:rFonts w:ascii="Calibri" w:eastAsia="Calibri" w:hAnsi="Calibri"/>
          <w:szCs w:val="22"/>
          <w:lang w:eastAsia="en-US"/>
        </w:rPr>
      </w:pPr>
    </w:p>
    <w:p w:rsidR="00242C36" w:rsidRPr="00E43137" w:rsidRDefault="00242C36" w:rsidP="00242C36">
      <w:pPr>
        <w:tabs>
          <w:tab w:val="left" w:pos="1060"/>
        </w:tabs>
        <w:rPr>
          <w:rFonts w:ascii="Calibri" w:hAnsi="Calibri"/>
          <w:b/>
          <w:bCs/>
          <w:szCs w:val="22"/>
        </w:rPr>
      </w:pPr>
      <w:r w:rsidRPr="00E43137">
        <w:rPr>
          <w:rFonts w:ascii="Calibri" w:hAnsi="Calibri"/>
          <w:b/>
          <w:bCs/>
          <w:szCs w:val="22"/>
        </w:rPr>
        <w:t>Kvalita a chemický stav pôd</w:t>
      </w:r>
    </w:p>
    <w:p w:rsidR="00242C36" w:rsidRPr="00E43137" w:rsidRDefault="00242C36" w:rsidP="00242C36">
      <w:pPr>
        <w:tabs>
          <w:tab w:val="left" w:pos="1060"/>
        </w:tabs>
        <w:rPr>
          <w:rFonts w:ascii="Calibri" w:hAnsi="Calibri"/>
          <w:bCs/>
          <w:szCs w:val="22"/>
        </w:rPr>
      </w:pPr>
      <w:r w:rsidRPr="00E43137">
        <w:rPr>
          <w:rFonts w:ascii="Calibri" w:hAnsi="Calibri"/>
          <w:bCs/>
          <w:szCs w:val="22"/>
        </w:rPr>
        <w:t>Kvalita a produkčný potenciál pôdy sú ovplyvňované systémami hospodárenia na pôde, pričom negatívne naň pôsobí najmä postupujúca degradácia pôd (erózia, zhutnenie, deficit živín, strata humusu a mikrobiálnej aktivity, kontaminácia, acidifikácia a i.) a dopady klimatickej zmeny (deficit vody v pôde). Škody spôsobené degradáciou možno odhadnúť na niekoľko stoviek mil. EUR ročne (strata ornice, zníženie úrod, zanášanie tokov, škody na majetku, vyššia potreba zavlažovania a hnojenia na dosiahnutie adekvátnej úrody, atď.).</w:t>
      </w:r>
    </w:p>
    <w:p w:rsidR="00242C36" w:rsidRPr="00E43137" w:rsidRDefault="00242C36" w:rsidP="00242C36">
      <w:pPr>
        <w:tabs>
          <w:tab w:val="left" w:pos="1060"/>
        </w:tabs>
        <w:rPr>
          <w:rFonts w:ascii="Calibri" w:hAnsi="Calibri"/>
          <w:b/>
          <w:bCs/>
          <w:szCs w:val="22"/>
        </w:rPr>
      </w:pPr>
    </w:p>
    <w:p w:rsidR="00242C36" w:rsidRDefault="00242C36" w:rsidP="00242C36">
      <w:pPr>
        <w:tabs>
          <w:tab w:val="left" w:pos="1060"/>
        </w:tabs>
        <w:rPr>
          <w:rFonts w:ascii="Calibri" w:hAnsi="Calibri"/>
          <w:bCs/>
          <w:szCs w:val="22"/>
        </w:rPr>
      </w:pPr>
      <w:r w:rsidRPr="00E43137">
        <w:rPr>
          <w:rFonts w:ascii="Calibri" w:hAnsi="Calibri"/>
          <w:b/>
          <w:bCs/>
          <w:szCs w:val="22"/>
        </w:rPr>
        <w:t>Bilancia dusíka</w:t>
      </w:r>
      <w:r w:rsidRPr="00E43137">
        <w:rPr>
          <w:rFonts w:ascii="Calibri" w:hAnsi="Calibri"/>
          <w:bCs/>
          <w:szCs w:val="22"/>
        </w:rPr>
        <w:t xml:space="preserve"> poskytuje odhad možného prebytku dusíka v poľnohospodárskej pôde (kg/ha) na základe štatistických informácií o množstve aplikovaných minerálnych hnojív, produkcie organických hnojív, obsahu dusíka v pôde, atmosférickej depozície dusíkatých látok, semien a výsadbového materiálu a množstve zozbieraných plodín a krmovín. Údaje sú zhromažďované v súlade s príručkou národnej bilancie dusíka podľa OECD</w:t>
      </w:r>
      <w:r w:rsidR="00366F96">
        <w:rPr>
          <w:rFonts w:ascii="Calibri" w:hAnsi="Calibri"/>
          <w:bCs/>
          <w:szCs w:val="22"/>
        </w:rPr>
        <w:t>/</w:t>
      </w:r>
      <w:r w:rsidRPr="00E43137">
        <w:rPr>
          <w:rFonts w:ascii="Calibri" w:hAnsi="Calibri"/>
          <w:bCs/>
          <w:szCs w:val="22"/>
        </w:rPr>
        <w:t xml:space="preserve">Eurostat. Podobná metodika platí aj pre hrubú bilanciu fosforu. </w:t>
      </w:r>
    </w:p>
    <w:p w:rsidR="008F198F" w:rsidRDefault="008F198F" w:rsidP="00242C36">
      <w:pPr>
        <w:tabs>
          <w:tab w:val="left" w:pos="1060"/>
        </w:tabs>
        <w:rPr>
          <w:rFonts w:ascii="Calibri" w:hAnsi="Calibri"/>
          <w:bCs/>
          <w:szCs w:val="22"/>
        </w:rPr>
      </w:pPr>
    </w:p>
    <w:p w:rsidR="00242C36" w:rsidRPr="00E43137" w:rsidRDefault="00242C36" w:rsidP="00242C36">
      <w:pPr>
        <w:pBdr>
          <w:bar w:val="single" w:sz="6" w:color="808080"/>
        </w:pBdr>
        <w:rPr>
          <w:rFonts w:ascii="Calibri" w:eastAsia="Calibri" w:hAnsi="Calibri"/>
          <w:b/>
          <w:szCs w:val="22"/>
          <w:lang w:eastAsia="en-US"/>
        </w:rPr>
      </w:pPr>
      <w:r w:rsidRPr="00E43137">
        <w:rPr>
          <w:rFonts w:ascii="Calibri" w:eastAsia="Calibri" w:hAnsi="Calibri"/>
          <w:b/>
          <w:szCs w:val="22"/>
          <w:lang w:eastAsia="en-US"/>
        </w:rPr>
        <w:t xml:space="preserve"> </w:t>
      </w:r>
      <w:r w:rsidR="008F198F">
        <w:rPr>
          <w:rFonts w:ascii="Calibri" w:eastAsia="Calibri" w:hAnsi="Calibri"/>
          <w:b/>
          <w:szCs w:val="22"/>
          <w:lang w:eastAsia="en-US"/>
        </w:rPr>
        <w:t>Tabuľka 54:</w:t>
      </w:r>
      <w:r w:rsidRPr="00E43137">
        <w:rPr>
          <w:rFonts w:ascii="Calibri" w:eastAsia="Calibri" w:hAnsi="Calibri"/>
          <w:b/>
          <w:szCs w:val="22"/>
          <w:lang w:eastAsia="en-US"/>
        </w:rPr>
        <w:t xml:space="preserve"> Bilancia dusíka v SR za roky 2007-2011</w:t>
      </w:r>
    </w:p>
    <w:tbl>
      <w:tblPr>
        <w:tblW w:w="8902" w:type="dxa"/>
        <w:tblInd w:w="70" w:type="dxa"/>
        <w:tblCellMar>
          <w:left w:w="70" w:type="dxa"/>
          <w:right w:w="70" w:type="dxa"/>
        </w:tblCellMar>
        <w:tblLook w:val="0000" w:firstRow="0" w:lastRow="0" w:firstColumn="0" w:lastColumn="0" w:noHBand="0" w:noVBand="0"/>
      </w:tblPr>
      <w:tblGrid>
        <w:gridCol w:w="2782"/>
        <w:gridCol w:w="1260"/>
        <w:gridCol w:w="1260"/>
        <w:gridCol w:w="1260"/>
        <w:gridCol w:w="1260"/>
        <w:gridCol w:w="1080"/>
      </w:tblGrid>
      <w:tr w:rsidR="00242C36" w:rsidRPr="00E43137" w:rsidTr="00242C36">
        <w:trPr>
          <w:trHeight w:val="255"/>
        </w:trPr>
        <w:tc>
          <w:tcPr>
            <w:tcW w:w="2782" w:type="dxa"/>
            <w:tcBorders>
              <w:top w:val="single" w:sz="4" w:space="0" w:color="auto"/>
              <w:left w:val="single" w:sz="4" w:space="0" w:color="auto"/>
              <w:bottom w:val="single" w:sz="4" w:space="0" w:color="auto"/>
              <w:right w:val="single" w:sz="4" w:space="0" w:color="auto"/>
            </w:tcBorders>
            <w:noWrap/>
            <w:vAlign w:val="bottom"/>
          </w:tcPr>
          <w:p w:rsidR="00242C36" w:rsidRPr="00F57BCD" w:rsidRDefault="00242C36" w:rsidP="00242C36">
            <w:pPr>
              <w:pBdr>
                <w:bar w:val="single" w:sz="6" w:color="808080"/>
              </w:pBdr>
              <w:rPr>
                <w:rFonts w:ascii="Calibri" w:eastAsia="Calibri" w:hAnsi="Calibri"/>
                <w:sz w:val="20"/>
                <w:szCs w:val="20"/>
                <w:lang w:eastAsia="en-US"/>
              </w:rPr>
            </w:pPr>
            <w:r w:rsidRPr="00F57BCD">
              <w:rPr>
                <w:rFonts w:ascii="Calibri" w:eastAsia="Calibri" w:hAnsi="Calibri"/>
                <w:sz w:val="20"/>
                <w:szCs w:val="20"/>
                <w:lang w:eastAsia="en-US"/>
              </w:rPr>
              <w:t> </w:t>
            </w:r>
          </w:p>
        </w:tc>
        <w:tc>
          <w:tcPr>
            <w:tcW w:w="1260" w:type="dxa"/>
            <w:tcBorders>
              <w:top w:val="single" w:sz="4" w:space="0" w:color="auto"/>
              <w:left w:val="nil"/>
              <w:bottom w:val="single" w:sz="4" w:space="0" w:color="auto"/>
              <w:right w:val="single" w:sz="4" w:space="0" w:color="auto"/>
            </w:tcBorders>
            <w:noWrap/>
            <w:vAlign w:val="bottom"/>
          </w:tcPr>
          <w:p w:rsidR="00242C36" w:rsidRPr="00F57BCD" w:rsidRDefault="00242C36" w:rsidP="00242C36">
            <w:pPr>
              <w:pBdr>
                <w:bar w:val="single" w:sz="6" w:color="808080"/>
              </w:pBdr>
              <w:rPr>
                <w:rFonts w:ascii="Calibri" w:eastAsia="Calibri" w:hAnsi="Calibri"/>
                <w:sz w:val="20"/>
                <w:szCs w:val="20"/>
                <w:lang w:eastAsia="en-US"/>
              </w:rPr>
            </w:pPr>
            <w:r w:rsidRPr="00F57BCD">
              <w:rPr>
                <w:rFonts w:ascii="Calibri" w:eastAsia="Calibri" w:hAnsi="Calibri"/>
                <w:sz w:val="20"/>
                <w:szCs w:val="20"/>
                <w:lang w:eastAsia="en-US"/>
              </w:rPr>
              <w:t>2007</w:t>
            </w:r>
          </w:p>
        </w:tc>
        <w:tc>
          <w:tcPr>
            <w:tcW w:w="1260" w:type="dxa"/>
            <w:tcBorders>
              <w:top w:val="single" w:sz="4" w:space="0" w:color="auto"/>
              <w:left w:val="nil"/>
              <w:bottom w:val="single" w:sz="4" w:space="0" w:color="auto"/>
              <w:right w:val="single" w:sz="4" w:space="0" w:color="auto"/>
            </w:tcBorders>
            <w:vAlign w:val="bottom"/>
          </w:tcPr>
          <w:p w:rsidR="00242C36" w:rsidRPr="00F57BCD" w:rsidRDefault="00242C36" w:rsidP="00242C36">
            <w:pPr>
              <w:pBdr>
                <w:bar w:val="single" w:sz="6" w:color="808080"/>
              </w:pBdr>
              <w:rPr>
                <w:rFonts w:ascii="Calibri" w:eastAsia="Calibri" w:hAnsi="Calibri"/>
                <w:sz w:val="20"/>
                <w:szCs w:val="20"/>
                <w:lang w:eastAsia="en-US"/>
              </w:rPr>
            </w:pPr>
            <w:r w:rsidRPr="00F57BCD">
              <w:rPr>
                <w:rFonts w:ascii="Calibri" w:eastAsia="Calibri" w:hAnsi="Calibri"/>
                <w:sz w:val="20"/>
                <w:szCs w:val="20"/>
                <w:lang w:eastAsia="en-US"/>
              </w:rPr>
              <w:t>2008</w:t>
            </w:r>
          </w:p>
        </w:tc>
        <w:tc>
          <w:tcPr>
            <w:tcW w:w="1260" w:type="dxa"/>
            <w:tcBorders>
              <w:top w:val="single" w:sz="4" w:space="0" w:color="auto"/>
              <w:left w:val="nil"/>
              <w:bottom w:val="single" w:sz="4" w:space="0" w:color="auto"/>
              <w:right w:val="single" w:sz="4" w:space="0" w:color="auto"/>
            </w:tcBorders>
            <w:vAlign w:val="bottom"/>
          </w:tcPr>
          <w:p w:rsidR="00242C36" w:rsidRPr="00F57BCD" w:rsidRDefault="00242C36" w:rsidP="00242C36">
            <w:pPr>
              <w:pBdr>
                <w:bar w:val="single" w:sz="6" w:color="808080"/>
              </w:pBdr>
              <w:rPr>
                <w:rFonts w:ascii="Calibri" w:eastAsia="Calibri" w:hAnsi="Calibri"/>
                <w:sz w:val="20"/>
                <w:szCs w:val="20"/>
                <w:lang w:eastAsia="en-US"/>
              </w:rPr>
            </w:pPr>
            <w:r w:rsidRPr="00F57BCD">
              <w:rPr>
                <w:rFonts w:ascii="Calibri" w:eastAsia="Calibri" w:hAnsi="Calibri"/>
                <w:sz w:val="20"/>
                <w:szCs w:val="20"/>
                <w:lang w:eastAsia="en-US"/>
              </w:rPr>
              <w:t>2009</w:t>
            </w:r>
          </w:p>
        </w:tc>
        <w:tc>
          <w:tcPr>
            <w:tcW w:w="1260" w:type="dxa"/>
            <w:tcBorders>
              <w:top w:val="single" w:sz="4" w:space="0" w:color="auto"/>
              <w:left w:val="single" w:sz="4" w:space="0" w:color="auto"/>
              <w:bottom w:val="single" w:sz="4" w:space="0" w:color="auto"/>
              <w:right w:val="single" w:sz="4" w:space="0" w:color="auto"/>
            </w:tcBorders>
            <w:vAlign w:val="bottom"/>
          </w:tcPr>
          <w:p w:rsidR="00242C36" w:rsidRPr="00F57BCD" w:rsidRDefault="00242C36" w:rsidP="00242C36">
            <w:pPr>
              <w:pBdr>
                <w:bar w:val="single" w:sz="6" w:color="808080"/>
              </w:pBdr>
              <w:rPr>
                <w:rFonts w:ascii="Calibri" w:eastAsia="Calibri" w:hAnsi="Calibri"/>
                <w:sz w:val="20"/>
                <w:szCs w:val="20"/>
                <w:lang w:eastAsia="en-US"/>
              </w:rPr>
            </w:pPr>
            <w:r w:rsidRPr="00F57BCD">
              <w:rPr>
                <w:rFonts w:ascii="Calibri" w:eastAsia="Calibri" w:hAnsi="Calibri"/>
                <w:sz w:val="20"/>
                <w:szCs w:val="20"/>
                <w:lang w:eastAsia="en-US"/>
              </w:rPr>
              <w:t>2010</w:t>
            </w:r>
          </w:p>
        </w:tc>
        <w:tc>
          <w:tcPr>
            <w:tcW w:w="1080" w:type="dxa"/>
            <w:tcBorders>
              <w:top w:val="single" w:sz="4" w:space="0" w:color="auto"/>
              <w:left w:val="single" w:sz="4" w:space="0" w:color="auto"/>
              <w:bottom w:val="single" w:sz="4" w:space="0" w:color="auto"/>
              <w:right w:val="single" w:sz="4" w:space="0" w:color="auto"/>
            </w:tcBorders>
            <w:vAlign w:val="bottom"/>
          </w:tcPr>
          <w:p w:rsidR="00242C36" w:rsidRPr="00F57BCD" w:rsidRDefault="00242C36" w:rsidP="00242C36">
            <w:pPr>
              <w:pBdr>
                <w:bar w:val="single" w:sz="6" w:color="808080"/>
              </w:pBdr>
              <w:rPr>
                <w:rFonts w:ascii="Calibri" w:eastAsia="Calibri" w:hAnsi="Calibri"/>
                <w:sz w:val="20"/>
                <w:szCs w:val="20"/>
                <w:lang w:eastAsia="en-US"/>
              </w:rPr>
            </w:pPr>
            <w:r w:rsidRPr="00F57BCD">
              <w:rPr>
                <w:rFonts w:ascii="Calibri" w:eastAsia="Calibri" w:hAnsi="Calibri"/>
                <w:sz w:val="20"/>
                <w:szCs w:val="20"/>
                <w:lang w:eastAsia="en-US"/>
              </w:rPr>
              <w:t>2011</w:t>
            </w:r>
          </w:p>
        </w:tc>
      </w:tr>
      <w:tr w:rsidR="00242C36" w:rsidRPr="00E43137" w:rsidTr="00242C36">
        <w:trPr>
          <w:trHeight w:val="255"/>
        </w:trPr>
        <w:tc>
          <w:tcPr>
            <w:tcW w:w="2782" w:type="dxa"/>
            <w:tcBorders>
              <w:top w:val="nil"/>
              <w:left w:val="single" w:sz="4" w:space="0" w:color="auto"/>
              <w:bottom w:val="single" w:sz="4" w:space="0" w:color="auto"/>
              <w:right w:val="single" w:sz="4" w:space="0" w:color="auto"/>
            </w:tcBorders>
            <w:noWrap/>
            <w:vAlign w:val="bottom"/>
          </w:tcPr>
          <w:p w:rsidR="00242C36" w:rsidRPr="00F57BCD" w:rsidRDefault="00242C36" w:rsidP="00242C36">
            <w:pPr>
              <w:pBdr>
                <w:bar w:val="single" w:sz="6" w:color="808080"/>
              </w:pBdr>
              <w:rPr>
                <w:rFonts w:ascii="Calibri" w:eastAsia="Calibri" w:hAnsi="Calibri"/>
                <w:sz w:val="20"/>
                <w:szCs w:val="20"/>
                <w:lang w:eastAsia="en-US"/>
              </w:rPr>
            </w:pPr>
            <w:r w:rsidRPr="00F57BCD">
              <w:rPr>
                <w:rFonts w:ascii="Calibri" w:eastAsia="Calibri" w:hAnsi="Calibri"/>
                <w:sz w:val="20"/>
                <w:szCs w:val="20"/>
                <w:lang w:eastAsia="en-US"/>
              </w:rPr>
              <w:t> Vstupy dusíka (t)</w:t>
            </w:r>
          </w:p>
        </w:tc>
        <w:tc>
          <w:tcPr>
            <w:tcW w:w="1260" w:type="dxa"/>
            <w:tcBorders>
              <w:top w:val="nil"/>
              <w:left w:val="nil"/>
              <w:bottom w:val="single" w:sz="4" w:space="0" w:color="auto"/>
              <w:right w:val="single" w:sz="4" w:space="0" w:color="auto"/>
            </w:tcBorders>
            <w:noWrap/>
            <w:vAlign w:val="bottom"/>
          </w:tcPr>
          <w:p w:rsidR="00242C36" w:rsidRPr="00F57BCD" w:rsidRDefault="00242C36" w:rsidP="00242C36">
            <w:pPr>
              <w:pBdr>
                <w:bar w:val="single" w:sz="6" w:color="808080"/>
              </w:pBdr>
              <w:rPr>
                <w:rFonts w:ascii="Calibri" w:eastAsia="Calibri" w:hAnsi="Calibri"/>
                <w:sz w:val="20"/>
                <w:szCs w:val="20"/>
                <w:lang w:eastAsia="en-US"/>
              </w:rPr>
            </w:pPr>
            <w:r w:rsidRPr="00F57BCD">
              <w:rPr>
                <w:rFonts w:ascii="Calibri" w:eastAsia="Calibri" w:hAnsi="Calibri"/>
                <w:sz w:val="20"/>
                <w:szCs w:val="20"/>
                <w:lang w:eastAsia="en-US"/>
              </w:rPr>
              <w:t>223 699</w:t>
            </w:r>
          </w:p>
        </w:tc>
        <w:tc>
          <w:tcPr>
            <w:tcW w:w="1260" w:type="dxa"/>
            <w:tcBorders>
              <w:top w:val="nil"/>
              <w:left w:val="nil"/>
              <w:bottom w:val="single" w:sz="4" w:space="0" w:color="auto"/>
              <w:right w:val="single" w:sz="4" w:space="0" w:color="auto"/>
            </w:tcBorders>
            <w:vAlign w:val="bottom"/>
          </w:tcPr>
          <w:p w:rsidR="00242C36" w:rsidRPr="00F57BCD" w:rsidRDefault="00242C36" w:rsidP="00242C36">
            <w:pPr>
              <w:pBdr>
                <w:bar w:val="single" w:sz="6" w:color="808080"/>
              </w:pBdr>
              <w:rPr>
                <w:rFonts w:ascii="Calibri" w:eastAsia="Calibri" w:hAnsi="Calibri"/>
                <w:sz w:val="20"/>
                <w:szCs w:val="20"/>
                <w:lang w:eastAsia="en-US"/>
              </w:rPr>
            </w:pPr>
            <w:r w:rsidRPr="00F57BCD">
              <w:rPr>
                <w:rFonts w:ascii="Calibri" w:eastAsia="Calibri" w:hAnsi="Calibri"/>
                <w:sz w:val="20"/>
                <w:szCs w:val="20"/>
                <w:lang w:eastAsia="en-US"/>
              </w:rPr>
              <w:t>217 559</w:t>
            </w:r>
          </w:p>
        </w:tc>
        <w:tc>
          <w:tcPr>
            <w:tcW w:w="1260" w:type="dxa"/>
            <w:tcBorders>
              <w:top w:val="nil"/>
              <w:left w:val="nil"/>
              <w:bottom w:val="single" w:sz="4" w:space="0" w:color="auto"/>
              <w:right w:val="single" w:sz="4" w:space="0" w:color="auto"/>
            </w:tcBorders>
            <w:vAlign w:val="bottom"/>
          </w:tcPr>
          <w:p w:rsidR="00242C36" w:rsidRPr="00F57BCD" w:rsidRDefault="00242C36" w:rsidP="00242C36">
            <w:pPr>
              <w:pBdr>
                <w:bar w:val="single" w:sz="6" w:color="808080"/>
              </w:pBdr>
              <w:rPr>
                <w:rFonts w:ascii="Calibri" w:eastAsia="Calibri" w:hAnsi="Calibri"/>
                <w:sz w:val="20"/>
                <w:szCs w:val="20"/>
                <w:lang w:eastAsia="en-US"/>
              </w:rPr>
            </w:pPr>
            <w:r w:rsidRPr="00F57BCD">
              <w:rPr>
                <w:rFonts w:ascii="Calibri" w:eastAsia="Calibri" w:hAnsi="Calibri"/>
                <w:sz w:val="20"/>
                <w:szCs w:val="20"/>
                <w:lang w:eastAsia="en-US"/>
              </w:rPr>
              <w:t>207 263</w:t>
            </w:r>
          </w:p>
        </w:tc>
        <w:tc>
          <w:tcPr>
            <w:tcW w:w="1260" w:type="dxa"/>
            <w:tcBorders>
              <w:top w:val="single" w:sz="4" w:space="0" w:color="auto"/>
              <w:left w:val="single" w:sz="4" w:space="0" w:color="auto"/>
              <w:bottom w:val="single" w:sz="4" w:space="0" w:color="auto"/>
              <w:right w:val="single" w:sz="4" w:space="0" w:color="auto"/>
            </w:tcBorders>
            <w:vAlign w:val="bottom"/>
          </w:tcPr>
          <w:p w:rsidR="00242C36" w:rsidRPr="00F57BCD" w:rsidRDefault="00242C36" w:rsidP="00242C36">
            <w:pPr>
              <w:pBdr>
                <w:bar w:val="single" w:sz="6" w:color="808080"/>
              </w:pBdr>
              <w:rPr>
                <w:rFonts w:ascii="Calibri" w:eastAsia="Calibri" w:hAnsi="Calibri"/>
                <w:sz w:val="20"/>
                <w:szCs w:val="20"/>
                <w:lang w:eastAsia="en-US"/>
              </w:rPr>
            </w:pPr>
            <w:r w:rsidRPr="00F57BCD">
              <w:rPr>
                <w:rFonts w:ascii="Calibri" w:eastAsia="Calibri" w:hAnsi="Calibri"/>
                <w:sz w:val="20"/>
                <w:szCs w:val="20"/>
                <w:lang w:eastAsia="en-US"/>
              </w:rPr>
              <w:t>214 811</w:t>
            </w:r>
          </w:p>
        </w:tc>
        <w:tc>
          <w:tcPr>
            <w:tcW w:w="1080" w:type="dxa"/>
            <w:tcBorders>
              <w:top w:val="nil"/>
              <w:left w:val="single" w:sz="4" w:space="0" w:color="auto"/>
              <w:bottom w:val="single" w:sz="4" w:space="0" w:color="auto"/>
              <w:right w:val="single" w:sz="4" w:space="0" w:color="auto"/>
            </w:tcBorders>
            <w:vAlign w:val="bottom"/>
          </w:tcPr>
          <w:p w:rsidR="00242C36" w:rsidRPr="00F57BCD" w:rsidRDefault="00242C36" w:rsidP="00242C36">
            <w:pPr>
              <w:pBdr>
                <w:bar w:val="single" w:sz="6" w:color="808080"/>
              </w:pBdr>
              <w:rPr>
                <w:rFonts w:ascii="Calibri" w:eastAsia="Calibri" w:hAnsi="Calibri"/>
                <w:sz w:val="20"/>
                <w:szCs w:val="20"/>
                <w:lang w:eastAsia="en-US"/>
              </w:rPr>
            </w:pPr>
            <w:r w:rsidRPr="00F57BCD">
              <w:rPr>
                <w:rFonts w:ascii="Calibri" w:eastAsia="Calibri" w:hAnsi="Calibri"/>
                <w:sz w:val="20"/>
                <w:szCs w:val="20"/>
                <w:lang w:eastAsia="en-US"/>
              </w:rPr>
              <w:t>219 177</w:t>
            </w:r>
          </w:p>
        </w:tc>
      </w:tr>
      <w:tr w:rsidR="00242C36" w:rsidRPr="00E43137" w:rsidTr="00242C36">
        <w:trPr>
          <w:trHeight w:val="255"/>
        </w:trPr>
        <w:tc>
          <w:tcPr>
            <w:tcW w:w="2782" w:type="dxa"/>
            <w:tcBorders>
              <w:top w:val="nil"/>
              <w:left w:val="single" w:sz="4" w:space="0" w:color="auto"/>
              <w:bottom w:val="single" w:sz="4" w:space="0" w:color="auto"/>
              <w:right w:val="single" w:sz="4" w:space="0" w:color="auto"/>
            </w:tcBorders>
            <w:noWrap/>
            <w:vAlign w:val="bottom"/>
          </w:tcPr>
          <w:p w:rsidR="00242C36" w:rsidRPr="00F57BCD" w:rsidRDefault="00242C36" w:rsidP="00242C36">
            <w:pPr>
              <w:pBdr>
                <w:bar w:val="single" w:sz="6" w:color="808080"/>
              </w:pBdr>
              <w:rPr>
                <w:rFonts w:ascii="Calibri" w:eastAsia="Calibri" w:hAnsi="Calibri"/>
                <w:sz w:val="20"/>
                <w:szCs w:val="20"/>
                <w:lang w:eastAsia="en-US"/>
              </w:rPr>
            </w:pPr>
            <w:r w:rsidRPr="00F57BCD">
              <w:rPr>
                <w:rFonts w:ascii="Calibri" w:eastAsia="Calibri" w:hAnsi="Calibri"/>
                <w:sz w:val="20"/>
                <w:szCs w:val="20"/>
                <w:lang w:eastAsia="en-US"/>
              </w:rPr>
              <w:t> Výstupy dusíka (t)</w:t>
            </w:r>
          </w:p>
        </w:tc>
        <w:tc>
          <w:tcPr>
            <w:tcW w:w="1260" w:type="dxa"/>
            <w:tcBorders>
              <w:top w:val="nil"/>
              <w:left w:val="nil"/>
              <w:bottom w:val="single" w:sz="4" w:space="0" w:color="auto"/>
              <w:right w:val="single" w:sz="4" w:space="0" w:color="auto"/>
            </w:tcBorders>
            <w:noWrap/>
            <w:vAlign w:val="bottom"/>
          </w:tcPr>
          <w:p w:rsidR="00242C36" w:rsidRPr="00F57BCD" w:rsidRDefault="00242C36" w:rsidP="00242C36">
            <w:pPr>
              <w:pBdr>
                <w:bar w:val="single" w:sz="6" w:color="808080"/>
              </w:pBdr>
              <w:rPr>
                <w:rFonts w:ascii="Calibri" w:eastAsia="Calibri" w:hAnsi="Calibri"/>
                <w:sz w:val="20"/>
                <w:szCs w:val="20"/>
                <w:lang w:eastAsia="en-US"/>
              </w:rPr>
            </w:pPr>
            <w:r w:rsidRPr="00F57BCD">
              <w:rPr>
                <w:rFonts w:ascii="Calibri" w:eastAsia="Calibri" w:hAnsi="Calibri"/>
                <w:sz w:val="20"/>
                <w:szCs w:val="20"/>
                <w:lang w:eastAsia="en-US"/>
              </w:rPr>
              <w:t>102 980</w:t>
            </w:r>
          </w:p>
        </w:tc>
        <w:tc>
          <w:tcPr>
            <w:tcW w:w="1260" w:type="dxa"/>
            <w:tcBorders>
              <w:top w:val="nil"/>
              <w:left w:val="nil"/>
              <w:bottom w:val="single" w:sz="4" w:space="0" w:color="auto"/>
              <w:right w:val="single" w:sz="4" w:space="0" w:color="auto"/>
            </w:tcBorders>
            <w:vAlign w:val="bottom"/>
          </w:tcPr>
          <w:p w:rsidR="00242C36" w:rsidRPr="00F57BCD" w:rsidRDefault="00242C36" w:rsidP="00242C36">
            <w:pPr>
              <w:pBdr>
                <w:bar w:val="single" w:sz="6" w:color="808080"/>
              </w:pBdr>
              <w:rPr>
                <w:rFonts w:ascii="Calibri" w:eastAsia="Calibri" w:hAnsi="Calibri"/>
                <w:sz w:val="20"/>
                <w:szCs w:val="20"/>
                <w:lang w:eastAsia="en-US"/>
              </w:rPr>
            </w:pPr>
            <w:r w:rsidRPr="00F57BCD">
              <w:rPr>
                <w:rFonts w:ascii="Calibri" w:eastAsia="Calibri" w:hAnsi="Calibri"/>
                <w:sz w:val="20"/>
                <w:szCs w:val="20"/>
                <w:lang w:eastAsia="en-US"/>
              </w:rPr>
              <w:t>138 869</w:t>
            </w:r>
          </w:p>
        </w:tc>
        <w:tc>
          <w:tcPr>
            <w:tcW w:w="1260" w:type="dxa"/>
            <w:tcBorders>
              <w:top w:val="nil"/>
              <w:left w:val="nil"/>
              <w:bottom w:val="single" w:sz="4" w:space="0" w:color="auto"/>
              <w:right w:val="single" w:sz="4" w:space="0" w:color="auto"/>
            </w:tcBorders>
            <w:vAlign w:val="bottom"/>
          </w:tcPr>
          <w:p w:rsidR="00242C36" w:rsidRPr="00F57BCD" w:rsidRDefault="00242C36" w:rsidP="00242C36">
            <w:pPr>
              <w:pBdr>
                <w:bar w:val="single" w:sz="6" w:color="808080"/>
              </w:pBdr>
              <w:rPr>
                <w:rFonts w:ascii="Calibri" w:eastAsia="Calibri" w:hAnsi="Calibri"/>
                <w:sz w:val="20"/>
                <w:szCs w:val="20"/>
                <w:lang w:eastAsia="en-US"/>
              </w:rPr>
            </w:pPr>
            <w:r w:rsidRPr="00F57BCD">
              <w:rPr>
                <w:rFonts w:ascii="Calibri" w:eastAsia="Calibri" w:hAnsi="Calibri"/>
                <w:sz w:val="20"/>
                <w:szCs w:val="20"/>
                <w:lang w:eastAsia="en-US"/>
              </w:rPr>
              <w:t>117 416</w:t>
            </w:r>
          </w:p>
        </w:tc>
        <w:tc>
          <w:tcPr>
            <w:tcW w:w="1260" w:type="dxa"/>
            <w:tcBorders>
              <w:top w:val="single" w:sz="4" w:space="0" w:color="auto"/>
              <w:left w:val="single" w:sz="4" w:space="0" w:color="auto"/>
              <w:bottom w:val="single" w:sz="4" w:space="0" w:color="auto"/>
              <w:right w:val="single" w:sz="4" w:space="0" w:color="auto"/>
            </w:tcBorders>
            <w:vAlign w:val="bottom"/>
          </w:tcPr>
          <w:p w:rsidR="00242C36" w:rsidRPr="00F57BCD" w:rsidRDefault="00242C36" w:rsidP="00242C36">
            <w:pPr>
              <w:pBdr>
                <w:bar w:val="single" w:sz="6" w:color="808080"/>
              </w:pBdr>
              <w:rPr>
                <w:rFonts w:ascii="Calibri" w:eastAsia="Calibri" w:hAnsi="Calibri"/>
                <w:sz w:val="20"/>
                <w:szCs w:val="20"/>
                <w:lang w:eastAsia="en-US"/>
              </w:rPr>
            </w:pPr>
            <w:r w:rsidRPr="00F57BCD">
              <w:rPr>
                <w:rFonts w:ascii="Calibri" w:eastAsia="Calibri" w:hAnsi="Calibri"/>
                <w:sz w:val="20"/>
                <w:szCs w:val="20"/>
                <w:lang w:eastAsia="en-US"/>
              </w:rPr>
              <w:t>103 733</w:t>
            </w:r>
          </w:p>
        </w:tc>
        <w:tc>
          <w:tcPr>
            <w:tcW w:w="1080" w:type="dxa"/>
            <w:tcBorders>
              <w:top w:val="nil"/>
              <w:left w:val="single" w:sz="4" w:space="0" w:color="auto"/>
              <w:bottom w:val="single" w:sz="4" w:space="0" w:color="auto"/>
              <w:right w:val="single" w:sz="4" w:space="0" w:color="auto"/>
            </w:tcBorders>
            <w:vAlign w:val="bottom"/>
          </w:tcPr>
          <w:p w:rsidR="00242C36" w:rsidRPr="00F57BCD" w:rsidRDefault="00242C36" w:rsidP="00242C36">
            <w:pPr>
              <w:pBdr>
                <w:bar w:val="single" w:sz="6" w:color="808080"/>
              </w:pBdr>
              <w:rPr>
                <w:rFonts w:ascii="Calibri" w:eastAsia="Calibri" w:hAnsi="Calibri"/>
                <w:sz w:val="20"/>
                <w:szCs w:val="20"/>
                <w:lang w:eastAsia="en-US"/>
              </w:rPr>
            </w:pPr>
            <w:r w:rsidRPr="00F57BCD">
              <w:rPr>
                <w:rFonts w:ascii="Calibri" w:eastAsia="Calibri" w:hAnsi="Calibri"/>
                <w:sz w:val="20"/>
                <w:szCs w:val="20"/>
                <w:lang w:eastAsia="en-US"/>
              </w:rPr>
              <w:t>130 953</w:t>
            </w:r>
          </w:p>
        </w:tc>
      </w:tr>
      <w:tr w:rsidR="00242C36" w:rsidRPr="00E43137" w:rsidTr="00242C36">
        <w:trPr>
          <w:trHeight w:val="255"/>
        </w:trPr>
        <w:tc>
          <w:tcPr>
            <w:tcW w:w="2782" w:type="dxa"/>
            <w:tcBorders>
              <w:top w:val="nil"/>
              <w:left w:val="single" w:sz="4" w:space="0" w:color="auto"/>
              <w:bottom w:val="single" w:sz="4" w:space="0" w:color="auto"/>
              <w:right w:val="single" w:sz="4" w:space="0" w:color="auto"/>
            </w:tcBorders>
            <w:noWrap/>
            <w:vAlign w:val="bottom"/>
          </w:tcPr>
          <w:p w:rsidR="00242C36" w:rsidRPr="00F57BCD" w:rsidRDefault="00242C36" w:rsidP="00242C36">
            <w:pPr>
              <w:pBdr>
                <w:bar w:val="single" w:sz="6" w:color="808080"/>
              </w:pBdr>
              <w:rPr>
                <w:rFonts w:ascii="Calibri" w:eastAsia="Calibri" w:hAnsi="Calibri"/>
                <w:sz w:val="20"/>
                <w:szCs w:val="20"/>
                <w:lang w:eastAsia="en-US"/>
              </w:rPr>
            </w:pPr>
            <w:r w:rsidRPr="00F57BCD">
              <w:rPr>
                <w:rFonts w:ascii="Calibri" w:eastAsia="Calibri" w:hAnsi="Calibri"/>
                <w:sz w:val="20"/>
                <w:szCs w:val="20"/>
                <w:lang w:eastAsia="en-US"/>
              </w:rPr>
              <w:t> Bilancia dusíka (kg N.ha-1)</w:t>
            </w:r>
          </w:p>
        </w:tc>
        <w:tc>
          <w:tcPr>
            <w:tcW w:w="1260" w:type="dxa"/>
            <w:tcBorders>
              <w:top w:val="nil"/>
              <w:left w:val="nil"/>
              <w:bottom w:val="single" w:sz="4" w:space="0" w:color="auto"/>
              <w:right w:val="single" w:sz="4" w:space="0" w:color="auto"/>
            </w:tcBorders>
            <w:noWrap/>
            <w:vAlign w:val="bottom"/>
          </w:tcPr>
          <w:p w:rsidR="00242C36" w:rsidRPr="00F57BCD" w:rsidRDefault="00242C36" w:rsidP="00242C36">
            <w:pPr>
              <w:pBdr>
                <w:bar w:val="single" w:sz="6" w:color="808080"/>
              </w:pBdr>
              <w:rPr>
                <w:rFonts w:ascii="Calibri" w:eastAsia="Calibri" w:hAnsi="Calibri"/>
                <w:sz w:val="20"/>
                <w:szCs w:val="20"/>
                <w:lang w:eastAsia="en-US"/>
              </w:rPr>
            </w:pPr>
            <w:r w:rsidRPr="00F57BCD">
              <w:rPr>
                <w:rFonts w:ascii="Calibri" w:eastAsia="Calibri" w:hAnsi="Calibri"/>
                <w:sz w:val="20"/>
                <w:szCs w:val="20"/>
                <w:lang w:eastAsia="en-US"/>
              </w:rPr>
              <w:t>+49,7</w:t>
            </w:r>
          </w:p>
        </w:tc>
        <w:tc>
          <w:tcPr>
            <w:tcW w:w="1260" w:type="dxa"/>
            <w:tcBorders>
              <w:top w:val="nil"/>
              <w:left w:val="nil"/>
              <w:bottom w:val="single" w:sz="4" w:space="0" w:color="auto"/>
              <w:right w:val="single" w:sz="4" w:space="0" w:color="auto"/>
            </w:tcBorders>
            <w:vAlign w:val="bottom"/>
          </w:tcPr>
          <w:p w:rsidR="00242C36" w:rsidRPr="00F57BCD" w:rsidRDefault="00242C36" w:rsidP="00242C36">
            <w:pPr>
              <w:pBdr>
                <w:bar w:val="single" w:sz="6" w:color="808080"/>
              </w:pBdr>
              <w:rPr>
                <w:rFonts w:ascii="Calibri" w:eastAsia="Calibri" w:hAnsi="Calibri"/>
                <w:sz w:val="20"/>
                <w:szCs w:val="20"/>
                <w:lang w:eastAsia="en-US"/>
              </w:rPr>
            </w:pPr>
            <w:r w:rsidRPr="00F57BCD">
              <w:rPr>
                <w:rFonts w:ascii="Calibri" w:eastAsia="Calibri" w:hAnsi="Calibri"/>
                <w:sz w:val="20"/>
                <w:szCs w:val="20"/>
                <w:lang w:eastAsia="en-US"/>
              </w:rPr>
              <w:t>+33,7</w:t>
            </w:r>
          </w:p>
        </w:tc>
        <w:tc>
          <w:tcPr>
            <w:tcW w:w="1260" w:type="dxa"/>
            <w:tcBorders>
              <w:top w:val="nil"/>
              <w:left w:val="nil"/>
              <w:bottom w:val="single" w:sz="4" w:space="0" w:color="auto"/>
              <w:right w:val="single" w:sz="4" w:space="0" w:color="auto"/>
            </w:tcBorders>
            <w:vAlign w:val="bottom"/>
          </w:tcPr>
          <w:p w:rsidR="00242C36" w:rsidRPr="00F57BCD" w:rsidRDefault="00242C36" w:rsidP="00242C36">
            <w:pPr>
              <w:pBdr>
                <w:bar w:val="single" w:sz="6" w:color="808080"/>
              </w:pBdr>
              <w:rPr>
                <w:rFonts w:ascii="Calibri" w:eastAsia="Calibri" w:hAnsi="Calibri"/>
                <w:sz w:val="20"/>
                <w:szCs w:val="20"/>
                <w:lang w:eastAsia="en-US"/>
              </w:rPr>
            </w:pPr>
            <w:r w:rsidRPr="00F57BCD">
              <w:rPr>
                <w:rFonts w:ascii="Calibri" w:eastAsia="Calibri" w:hAnsi="Calibri"/>
                <w:sz w:val="20"/>
                <w:szCs w:val="20"/>
                <w:lang w:eastAsia="en-US"/>
              </w:rPr>
              <w:t>+37,2</w:t>
            </w:r>
          </w:p>
        </w:tc>
        <w:tc>
          <w:tcPr>
            <w:tcW w:w="1260" w:type="dxa"/>
            <w:tcBorders>
              <w:top w:val="single" w:sz="4" w:space="0" w:color="auto"/>
              <w:left w:val="single" w:sz="4" w:space="0" w:color="auto"/>
              <w:bottom w:val="single" w:sz="4" w:space="0" w:color="auto"/>
              <w:right w:val="single" w:sz="4" w:space="0" w:color="auto"/>
            </w:tcBorders>
            <w:vAlign w:val="bottom"/>
          </w:tcPr>
          <w:p w:rsidR="00242C36" w:rsidRPr="00F57BCD" w:rsidRDefault="00242C36" w:rsidP="00242C36">
            <w:pPr>
              <w:pBdr>
                <w:bar w:val="single" w:sz="6" w:color="808080"/>
              </w:pBdr>
              <w:rPr>
                <w:rFonts w:ascii="Calibri" w:eastAsia="Calibri" w:hAnsi="Calibri"/>
                <w:sz w:val="20"/>
                <w:szCs w:val="20"/>
                <w:lang w:eastAsia="en-US"/>
              </w:rPr>
            </w:pPr>
            <w:r w:rsidRPr="00F57BCD">
              <w:rPr>
                <w:rFonts w:ascii="Calibri" w:eastAsia="Calibri" w:hAnsi="Calibri"/>
                <w:sz w:val="20"/>
                <w:szCs w:val="20"/>
                <w:lang w:eastAsia="en-US"/>
              </w:rPr>
              <w:t>+46,0</w:t>
            </w:r>
          </w:p>
        </w:tc>
        <w:tc>
          <w:tcPr>
            <w:tcW w:w="1080" w:type="dxa"/>
            <w:tcBorders>
              <w:top w:val="nil"/>
              <w:left w:val="single" w:sz="4" w:space="0" w:color="auto"/>
              <w:bottom w:val="single" w:sz="4" w:space="0" w:color="auto"/>
              <w:right w:val="single" w:sz="4" w:space="0" w:color="auto"/>
            </w:tcBorders>
            <w:vAlign w:val="bottom"/>
          </w:tcPr>
          <w:p w:rsidR="00242C36" w:rsidRPr="00F57BCD" w:rsidRDefault="00242C36" w:rsidP="00242C36">
            <w:pPr>
              <w:pBdr>
                <w:bar w:val="single" w:sz="6" w:color="808080"/>
              </w:pBdr>
              <w:rPr>
                <w:rFonts w:ascii="Calibri" w:eastAsia="Calibri" w:hAnsi="Calibri"/>
                <w:sz w:val="20"/>
                <w:szCs w:val="20"/>
                <w:lang w:eastAsia="en-US"/>
              </w:rPr>
            </w:pPr>
            <w:r w:rsidRPr="00F57BCD">
              <w:rPr>
                <w:rFonts w:ascii="Calibri" w:eastAsia="Calibri" w:hAnsi="Calibri"/>
                <w:sz w:val="20"/>
                <w:szCs w:val="20"/>
                <w:lang w:eastAsia="en-US"/>
              </w:rPr>
              <w:t>+36,6</w:t>
            </w:r>
          </w:p>
        </w:tc>
      </w:tr>
    </w:tbl>
    <w:p w:rsidR="00242C36" w:rsidRPr="00E43137" w:rsidRDefault="008F198F" w:rsidP="00242C36">
      <w:pPr>
        <w:pBdr>
          <w:bar w:val="single" w:sz="6" w:color="808080"/>
        </w:pBdr>
        <w:rPr>
          <w:rFonts w:ascii="Calibri" w:eastAsia="Calibri" w:hAnsi="Calibri"/>
          <w:b/>
          <w:szCs w:val="22"/>
          <w:lang w:eastAsia="en-US"/>
        </w:rPr>
      </w:pPr>
      <w:r>
        <w:rPr>
          <w:rFonts w:ascii="Calibri" w:eastAsia="Calibri" w:hAnsi="Calibri"/>
          <w:b/>
          <w:szCs w:val="22"/>
          <w:lang w:eastAsia="en-US"/>
        </w:rPr>
        <w:t>Tabuľka 55:</w:t>
      </w:r>
      <w:r w:rsidR="00242C36" w:rsidRPr="00E43137">
        <w:rPr>
          <w:rFonts w:ascii="Calibri" w:eastAsia="Calibri" w:hAnsi="Calibri"/>
          <w:b/>
          <w:szCs w:val="22"/>
          <w:lang w:eastAsia="en-US"/>
        </w:rPr>
        <w:t xml:space="preserve">  Bilancia fosforu v SR za roky 2007-2011</w:t>
      </w:r>
    </w:p>
    <w:tbl>
      <w:tblPr>
        <w:tblW w:w="8902" w:type="dxa"/>
        <w:tblInd w:w="70" w:type="dxa"/>
        <w:tblCellMar>
          <w:left w:w="70" w:type="dxa"/>
          <w:right w:w="70" w:type="dxa"/>
        </w:tblCellMar>
        <w:tblLook w:val="0000" w:firstRow="0" w:lastRow="0" w:firstColumn="0" w:lastColumn="0" w:noHBand="0" w:noVBand="0"/>
      </w:tblPr>
      <w:tblGrid>
        <w:gridCol w:w="2977"/>
        <w:gridCol w:w="1065"/>
        <w:gridCol w:w="1260"/>
        <w:gridCol w:w="1260"/>
        <w:gridCol w:w="1260"/>
        <w:gridCol w:w="1080"/>
      </w:tblGrid>
      <w:tr w:rsidR="00242C36" w:rsidRPr="00E43137" w:rsidTr="00242C36">
        <w:trPr>
          <w:trHeight w:val="255"/>
        </w:trPr>
        <w:tc>
          <w:tcPr>
            <w:tcW w:w="2977" w:type="dxa"/>
            <w:tcBorders>
              <w:top w:val="single" w:sz="4" w:space="0" w:color="auto"/>
              <w:left w:val="single" w:sz="4" w:space="0" w:color="auto"/>
              <w:bottom w:val="single" w:sz="4" w:space="0" w:color="auto"/>
              <w:right w:val="single" w:sz="4" w:space="0" w:color="auto"/>
            </w:tcBorders>
            <w:noWrap/>
            <w:vAlign w:val="bottom"/>
          </w:tcPr>
          <w:p w:rsidR="00242C36" w:rsidRPr="00F57BCD" w:rsidRDefault="00242C36" w:rsidP="00242C36">
            <w:pPr>
              <w:pBdr>
                <w:bar w:val="single" w:sz="6" w:color="808080"/>
              </w:pBdr>
              <w:rPr>
                <w:rFonts w:ascii="Calibri" w:eastAsia="Calibri" w:hAnsi="Calibri"/>
                <w:sz w:val="20"/>
                <w:szCs w:val="20"/>
                <w:lang w:eastAsia="en-US"/>
              </w:rPr>
            </w:pPr>
            <w:r w:rsidRPr="00F57BCD">
              <w:rPr>
                <w:rFonts w:ascii="Calibri" w:eastAsia="Calibri" w:hAnsi="Calibri"/>
                <w:sz w:val="20"/>
                <w:szCs w:val="20"/>
                <w:lang w:eastAsia="en-US"/>
              </w:rPr>
              <w:t> </w:t>
            </w:r>
          </w:p>
        </w:tc>
        <w:tc>
          <w:tcPr>
            <w:tcW w:w="1065" w:type="dxa"/>
            <w:tcBorders>
              <w:top w:val="single" w:sz="4" w:space="0" w:color="auto"/>
              <w:left w:val="nil"/>
              <w:bottom w:val="single" w:sz="4" w:space="0" w:color="auto"/>
              <w:right w:val="single" w:sz="4" w:space="0" w:color="auto"/>
            </w:tcBorders>
            <w:noWrap/>
            <w:vAlign w:val="bottom"/>
          </w:tcPr>
          <w:p w:rsidR="00242C36" w:rsidRPr="00F57BCD" w:rsidRDefault="00242C36" w:rsidP="00242C36">
            <w:pPr>
              <w:pBdr>
                <w:bar w:val="single" w:sz="6" w:color="808080"/>
              </w:pBdr>
              <w:rPr>
                <w:rFonts w:ascii="Calibri" w:eastAsia="Calibri" w:hAnsi="Calibri"/>
                <w:sz w:val="20"/>
                <w:szCs w:val="20"/>
                <w:lang w:eastAsia="en-US"/>
              </w:rPr>
            </w:pPr>
            <w:r w:rsidRPr="00F57BCD">
              <w:rPr>
                <w:rFonts w:ascii="Calibri" w:eastAsia="Calibri" w:hAnsi="Calibri"/>
                <w:sz w:val="20"/>
                <w:szCs w:val="20"/>
                <w:lang w:eastAsia="en-US"/>
              </w:rPr>
              <w:t>2007</w:t>
            </w:r>
          </w:p>
        </w:tc>
        <w:tc>
          <w:tcPr>
            <w:tcW w:w="1260" w:type="dxa"/>
            <w:tcBorders>
              <w:top w:val="single" w:sz="4" w:space="0" w:color="auto"/>
              <w:left w:val="nil"/>
              <w:bottom w:val="single" w:sz="4" w:space="0" w:color="auto"/>
              <w:right w:val="single" w:sz="4" w:space="0" w:color="auto"/>
            </w:tcBorders>
            <w:vAlign w:val="bottom"/>
          </w:tcPr>
          <w:p w:rsidR="00242C36" w:rsidRPr="00F57BCD" w:rsidRDefault="00242C36" w:rsidP="00242C36">
            <w:pPr>
              <w:pBdr>
                <w:bar w:val="single" w:sz="6" w:color="808080"/>
              </w:pBdr>
              <w:rPr>
                <w:rFonts w:ascii="Calibri" w:eastAsia="Calibri" w:hAnsi="Calibri"/>
                <w:sz w:val="20"/>
                <w:szCs w:val="20"/>
                <w:lang w:eastAsia="en-US"/>
              </w:rPr>
            </w:pPr>
            <w:r w:rsidRPr="00F57BCD">
              <w:rPr>
                <w:rFonts w:ascii="Calibri" w:eastAsia="Calibri" w:hAnsi="Calibri"/>
                <w:sz w:val="20"/>
                <w:szCs w:val="20"/>
                <w:lang w:eastAsia="en-US"/>
              </w:rPr>
              <w:t>2008</w:t>
            </w:r>
          </w:p>
        </w:tc>
        <w:tc>
          <w:tcPr>
            <w:tcW w:w="1260" w:type="dxa"/>
            <w:tcBorders>
              <w:top w:val="single" w:sz="4" w:space="0" w:color="auto"/>
              <w:left w:val="nil"/>
              <w:bottom w:val="single" w:sz="4" w:space="0" w:color="auto"/>
              <w:right w:val="single" w:sz="4" w:space="0" w:color="auto"/>
            </w:tcBorders>
            <w:vAlign w:val="bottom"/>
          </w:tcPr>
          <w:p w:rsidR="00242C36" w:rsidRPr="00F57BCD" w:rsidRDefault="00242C36" w:rsidP="00242C36">
            <w:pPr>
              <w:pBdr>
                <w:bar w:val="single" w:sz="6" w:color="808080"/>
              </w:pBdr>
              <w:rPr>
                <w:rFonts w:ascii="Calibri" w:eastAsia="Calibri" w:hAnsi="Calibri"/>
                <w:sz w:val="20"/>
                <w:szCs w:val="20"/>
                <w:lang w:eastAsia="en-US"/>
              </w:rPr>
            </w:pPr>
            <w:r w:rsidRPr="00F57BCD">
              <w:rPr>
                <w:rFonts w:ascii="Calibri" w:eastAsia="Calibri" w:hAnsi="Calibri"/>
                <w:sz w:val="20"/>
                <w:szCs w:val="20"/>
                <w:lang w:eastAsia="en-US"/>
              </w:rPr>
              <w:t>2009</w:t>
            </w:r>
          </w:p>
        </w:tc>
        <w:tc>
          <w:tcPr>
            <w:tcW w:w="1260" w:type="dxa"/>
            <w:tcBorders>
              <w:top w:val="single" w:sz="4" w:space="0" w:color="auto"/>
              <w:left w:val="single" w:sz="4" w:space="0" w:color="auto"/>
              <w:bottom w:val="single" w:sz="4" w:space="0" w:color="auto"/>
              <w:right w:val="single" w:sz="4" w:space="0" w:color="auto"/>
            </w:tcBorders>
            <w:vAlign w:val="bottom"/>
          </w:tcPr>
          <w:p w:rsidR="00242C36" w:rsidRPr="00F57BCD" w:rsidRDefault="00242C36" w:rsidP="00242C36">
            <w:pPr>
              <w:pBdr>
                <w:bar w:val="single" w:sz="6" w:color="808080"/>
              </w:pBdr>
              <w:rPr>
                <w:rFonts w:ascii="Calibri" w:eastAsia="Calibri" w:hAnsi="Calibri"/>
                <w:sz w:val="20"/>
                <w:szCs w:val="20"/>
                <w:lang w:eastAsia="en-US"/>
              </w:rPr>
            </w:pPr>
            <w:r w:rsidRPr="00F57BCD">
              <w:rPr>
                <w:rFonts w:ascii="Calibri" w:eastAsia="Calibri" w:hAnsi="Calibri"/>
                <w:sz w:val="20"/>
                <w:szCs w:val="20"/>
                <w:lang w:eastAsia="en-US"/>
              </w:rPr>
              <w:t>2010</w:t>
            </w:r>
          </w:p>
        </w:tc>
        <w:tc>
          <w:tcPr>
            <w:tcW w:w="1080" w:type="dxa"/>
            <w:tcBorders>
              <w:top w:val="single" w:sz="4" w:space="0" w:color="auto"/>
              <w:left w:val="single" w:sz="4" w:space="0" w:color="auto"/>
              <w:bottom w:val="single" w:sz="4" w:space="0" w:color="auto"/>
              <w:right w:val="single" w:sz="4" w:space="0" w:color="auto"/>
            </w:tcBorders>
            <w:vAlign w:val="bottom"/>
          </w:tcPr>
          <w:p w:rsidR="00242C36" w:rsidRPr="00F57BCD" w:rsidRDefault="00242C36" w:rsidP="00242C36">
            <w:pPr>
              <w:pBdr>
                <w:bar w:val="single" w:sz="6" w:color="808080"/>
              </w:pBdr>
              <w:rPr>
                <w:rFonts w:ascii="Calibri" w:eastAsia="Calibri" w:hAnsi="Calibri"/>
                <w:sz w:val="20"/>
                <w:szCs w:val="20"/>
                <w:lang w:eastAsia="en-US"/>
              </w:rPr>
            </w:pPr>
            <w:r w:rsidRPr="00F57BCD">
              <w:rPr>
                <w:rFonts w:ascii="Calibri" w:eastAsia="Calibri" w:hAnsi="Calibri"/>
                <w:sz w:val="20"/>
                <w:szCs w:val="20"/>
                <w:lang w:eastAsia="en-US"/>
              </w:rPr>
              <w:t>2011</w:t>
            </w:r>
          </w:p>
        </w:tc>
      </w:tr>
      <w:tr w:rsidR="00242C36" w:rsidRPr="00E43137" w:rsidTr="00242C36">
        <w:trPr>
          <w:trHeight w:val="255"/>
        </w:trPr>
        <w:tc>
          <w:tcPr>
            <w:tcW w:w="2977" w:type="dxa"/>
            <w:tcBorders>
              <w:top w:val="nil"/>
              <w:left w:val="single" w:sz="4" w:space="0" w:color="auto"/>
              <w:bottom w:val="single" w:sz="4" w:space="0" w:color="auto"/>
              <w:right w:val="single" w:sz="4" w:space="0" w:color="auto"/>
            </w:tcBorders>
            <w:noWrap/>
            <w:vAlign w:val="bottom"/>
          </w:tcPr>
          <w:p w:rsidR="00242C36" w:rsidRPr="00F57BCD" w:rsidRDefault="00242C36" w:rsidP="00242C36">
            <w:pPr>
              <w:pBdr>
                <w:bar w:val="single" w:sz="6" w:color="808080"/>
              </w:pBdr>
              <w:rPr>
                <w:rFonts w:ascii="Calibri" w:eastAsia="Calibri" w:hAnsi="Calibri"/>
                <w:sz w:val="20"/>
                <w:szCs w:val="20"/>
                <w:lang w:eastAsia="en-US"/>
              </w:rPr>
            </w:pPr>
            <w:r w:rsidRPr="00F57BCD">
              <w:rPr>
                <w:rFonts w:ascii="Calibri" w:eastAsia="Calibri" w:hAnsi="Calibri"/>
                <w:sz w:val="20"/>
                <w:szCs w:val="20"/>
                <w:lang w:eastAsia="en-US"/>
              </w:rPr>
              <w:t>Vstupy fosforu (t)</w:t>
            </w:r>
          </w:p>
        </w:tc>
        <w:tc>
          <w:tcPr>
            <w:tcW w:w="1065" w:type="dxa"/>
            <w:tcBorders>
              <w:top w:val="nil"/>
              <w:left w:val="nil"/>
              <w:bottom w:val="single" w:sz="4" w:space="0" w:color="auto"/>
              <w:right w:val="single" w:sz="4" w:space="0" w:color="auto"/>
            </w:tcBorders>
            <w:noWrap/>
            <w:vAlign w:val="bottom"/>
          </w:tcPr>
          <w:p w:rsidR="00242C36" w:rsidRPr="00F57BCD" w:rsidRDefault="00242C36" w:rsidP="00242C36">
            <w:pPr>
              <w:pBdr>
                <w:bar w:val="single" w:sz="6" w:color="808080"/>
              </w:pBdr>
              <w:rPr>
                <w:rFonts w:ascii="Calibri" w:eastAsia="Calibri" w:hAnsi="Calibri"/>
                <w:sz w:val="20"/>
                <w:szCs w:val="20"/>
                <w:lang w:eastAsia="en-US"/>
              </w:rPr>
            </w:pPr>
            <w:r w:rsidRPr="00F57BCD">
              <w:rPr>
                <w:rFonts w:ascii="Calibri" w:eastAsia="Calibri" w:hAnsi="Calibri"/>
                <w:sz w:val="20"/>
                <w:szCs w:val="20"/>
                <w:lang w:eastAsia="en-US"/>
              </w:rPr>
              <w:t>21 400</w:t>
            </w:r>
          </w:p>
        </w:tc>
        <w:tc>
          <w:tcPr>
            <w:tcW w:w="1260" w:type="dxa"/>
            <w:tcBorders>
              <w:top w:val="nil"/>
              <w:left w:val="nil"/>
              <w:bottom w:val="single" w:sz="4" w:space="0" w:color="auto"/>
              <w:right w:val="single" w:sz="4" w:space="0" w:color="auto"/>
            </w:tcBorders>
            <w:vAlign w:val="bottom"/>
          </w:tcPr>
          <w:p w:rsidR="00242C36" w:rsidRPr="00F57BCD" w:rsidRDefault="00242C36" w:rsidP="00242C36">
            <w:pPr>
              <w:pBdr>
                <w:bar w:val="single" w:sz="6" w:color="808080"/>
              </w:pBdr>
              <w:rPr>
                <w:rFonts w:ascii="Calibri" w:eastAsia="Calibri" w:hAnsi="Calibri"/>
                <w:sz w:val="20"/>
                <w:szCs w:val="20"/>
                <w:lang w:eastAsia="en-US"/>
              </w:rPr>
            </w:pPr>
            <w:r w:rsidRPr="00F57BCD">
              <w:rPr>
                <w:rFonts w:ascii="Calibri" w:eastAsia="Calibri" w:hAnsi="Calibri"/>
                <w:sz w:val="20"/>
                <w:szCs w:val="20"/>
                <w:lang w:eastAsia="en-US"/>
              </w:rPr>
              <w:t>19 891</w:t>
            </w:r>
          </w:p>
        </w:tc>
        <w:tc>
          <w:tcPr>
            <w:tcW w:w="1260" w:type="dxa"/>
            <w:tcBorders>
              <w:top w:val="nil"/>
              <w:left w:val="nil"/>
              <w:bottom w:val="single" w:sz="4" w:space="0" w:color="auto"/>
              <w:right w:val="single" w:sz="4" w:space="0" w:color="auto"/>
            </w:tcBorders>
            <w:vAlign w:val="bottom"/>
          </w:tcPr>
          <w:p w:rsidR="00242C36" w:rsidRPr="00F57BCD" w:rsidRDefault="00242C36" w:rsidP="00242C36">
            <w:pPr>
              <w:pBdr>
                <w:bar w:val="single" w:sz="6" w:color="808080"/>
              </w:pBdr>
              <w:rPr>
                <w:rFonts w:ascii="Calibri" w:eastAsia="Calibri" w:hAnsi="Calibri"/>
                <w:sz w:val="20"/>
                <w:szCs w:val="20"/>
                <w:lang w:eastAsia="en-US"/>
              </w:rPr>
            </w:pPr>
            <w:r w:rsidRPr="00F57BCD">
              <w:rPr>
                <w:rFonts w:ascii="Calibri" w:eastAsia="Calibri" w:hAnsi="Calibri"/>
                <w:sz w:val="20"/>
                <w:szCs w:val="20"/>
                <w:lang w:eastAsia="en-US"/>
              </w:rPr>
              <w:t>18 241</w:t>
            </w:r>
          </w:p>
        </w:tc>
        <w:tc>
          <w:tcPr>
            <w:tcW w:w="1260" w:type="dxa"/>
            <w:tcBorders>
              <w:top w:val="single" w:sz="4" w:space="0" w:color="auto"/>
              <w:left w:val="single" w:sz="4" w:space="0" w:color="auto"/>
              <w:bottom w:val="single" w:sz="4" w:space="0" w:color="auto"/>
              <w:right w:val="single" w:sz="4" w:space="0" w:color="auto"/>
            </w:tcBorders>
            <w:vAlign w:val="bottom"/>
          </w:tcPr>
          <w:p w:rsidR="00242C36" w:rsidRPr="00F57BCD" w:rsidRDefault="00242C36" w:rsidP="00242C36">
            <w:pPr>
              <w:pBdr>
                <w:bar w:val="single" w:sz="6" w:color="808080"/>
              </w:pBdr>
              <w:rPr>
                <w:rFonts w:ascii="Calibri" w:eastAsia="Calibri" w:hAnsi="Calibri"/>
                <w:sz w:val="20"/>
                <w:szCs w:val="20"/>
                <w:lang w:eastAsia="en-US"/>
              </w:rPr>
            </w:pPr>
            <w:r w:rsidRPr="00F57BCD">
              <w:rPr>
                <w:rFonts w:ascii="Calibri" w:eastAsia="Calibri" w:hAnsi="Calibri"/>
                <w:sz w:val="20"/>
                <w:szCs w:val="20"/>
                <w:lang w:eastAsia="en-US"/>
              </w:rPr>
              <w:t>16 957</w:t>
            </w:r>
          </w:p>
        </w:tc>
        <w:tc>
          <w:tcPr>
            <w:tcW w:w="1080" w:type="dxa"/>
            <w:tcBorders>
              <w:top w:val="nil"/>
              <w:left w:val="single" w:sz="4" w:space="0" w:color="auto"/>
              <w:bottom w:val="single" w:sz="4" w:space="0" w:color="auto"/>
              <w:right w:val="single" w:sz="4" w:space="0" w:color="auto"/>
            </w:tcBorders>
            <w:vAlign w:val="bottom"/>
          </w:tcPr>
          <w:p w:rsidR="00242C36" w:rsidRPr="00F57BCD" w:rsidRDefault="00242C36" w:rsidP="00242C36">
            <w:pPr>
              <w:pBdr>
                <w:bar w:val="single" w:sz="6" w:color="808080"/>
              </w:pBdr>
              <w:rPr>
                <w:rFonts w:ascii="Calibri" w:eastAsia="Calibri" w:hAnsi="Calibri"/>
                <w:sz w:val="20"/>
                <w:szCs w:val="20"/>
                <w:lang w:eastAsia="en-US"/>
              </w:rPr>
            </w:pPr>
            <w:r w:rsidRPr="00F57BCD">
              <w:rPr>
                <w:rFonts w:ascii="Calibri" w:eastAsia="Calibri" w:hAnsi="Calibri"/>
                <w:sz w:val="20"/>
                <w:szCs w:val="20"/>
                <w:lang w:eastAsia="en-US"/>
              </w:rPr>
              <w:t>17 663</w:t>
            </w:r>
          </w:p>
        </w:tc>
      </w:tr>
      <w:tr w:rsidR="00242C36" w:rsidRPr="00E43137" w:rsidTr="00242C36">
        <w:trPr>
          <w:trHeight w:val="255"/>
        </w:trPr>
        <w:tc>
          <w:tcPr>
            <w:tcW w:w="2977" w:type="dxa"/>
            <w:tcBorders>
              <w:top w:val="nil"/>
              <w:left w:val="single" w:sz="4" w:space="0" w:color="auto"/>
              <w:bottom w:val="single" w:sz="4" w:space="0" w:color="auto"/>
              <w:right w:val="single" w:sz="4" w:space="0" w:color="auto"/>
            </w:tcBorders>
            <w:noWrap/>
            <w:vAlign w:val="bottom"/>
          </w:tcPr>
          <w:p w:rsidR="00242C36" w:rsidRPr="00F57BCD" w:rsidRDefault="00242C36" w:rsidP="00242C36">
            <w:pPr>
              <w:pBdr>
                <w:bar w:val="single" w:sz="6" w:color="808080"/>
              </w:pBdr>
              <w:rPr>
                <w:rFonts w:ascii="Calibri" w:eastAsia="Calibri" w:hAnsi="Calibri"/>
                <w:sz w:val="20"/>
                <w:szCs w:val="20"/>
                <w:lang w:eastAsia="en-US"/>
              </w:rPr>
            </w:pPr>
            <w:r w:rsidRPr="00F57BCD">
              <w:rPr>
                <w:rFonts w:ascii="Calibri" w:eastAsia="Calibri" w:hAnsi="Calibri"/>
                <w:sz w:val="20"/>
                <w:szCs w:val="20"/>
                <w:lang w:eastAsia="en-US"/>
              </w:rPr>
              <w:t>Výstupy fosforu (t)</w:t>
            </w:r>
          </w:p>
        </w:tc>
        <w:tc>
          <w:tcPr>
            <w:tcW w:w="1065" w:type="dxa"/>
            <w:tcBorders>
              <w:top w:val="nil"/>
              <w:left w:val="nil"/>
              <w:bottom w:val="single" w:sz="4" w:space="0" w:color="auto"/>
              <w:right w:val="single" w:sz="4" w:space="0" w:color="auto"/>
            </w:tcBorders>
            <w:noWrap/>
            <w:vAlign w:val="bottom"/>
          </w:tcPr>
          <w:p w:rsidR="00242C36" w:rsidRPr="00F57BCD" w:rsidRDefault="00242C36" w:rsidP="00242C36">
            <w:pPr>
              <w:pBdr>
                <w:bar w:val="single" w:sz="6" w:color="808080"/>
              </w:pBdr>
              <w:rPr>
                <w:rFonts w:ascii="Calibri" w:eastAsia="Calibri" w:hAnsi="Calibri"/>
                <w:sz w:val="20"/>
                <w:szCs w:val="20"/>
                <w:lang w:eastAsia="en-US"/>
              </w:rPr>
            </w:pPr>
            <w:r w:rsidRPr="00F57BCD">
              <w:rPr>
                <w:rFonts w:ascii="Calibri" w:eastAsia="Calibri" w:hAnsi="Calibri"/>
                <w:sz w:val="20"/>
                <w:szCs w:val="20"/>
                <w:lang w:eastAsia="en-US"/>
              </w:rPr>
              <w:t>18 205</w:t>
            </w:r>
          </w:p>
        </w:tc>
        <w:tc>
          <w:tcPr>
            <w:tcW w:w="1260" w:type="dxa"/>
            <w:tcBorders>
              <w:top w:val="nil"/>
              <w:left w:val="nil"/>
              <w:bottom w:val="single" w:sz="4" w:space="0" w:color="auto"/>
              <w:right w:val="single" w:sz="4" w:space="0" w:color="auto"/>
            </w:tcBorders>
            <w:vAlign w:val="bottom"/>
          </w:tcPr>
          <w:p w:rsidR="00242C36" w:rsidRPr="00F57BCD" w:rsidRDefault="00242C36" w:rsidP="00242C36">
            <w:pPr>
              <w:pBdr>
                <w:bar w:val="single" w:sz="6" w:color="808080"/>
              </w:pBdr>
              <w:rPr>
                <w:rFonts w:ascii="Calibri" w:eastAsia="Calibri" w:hAnsi="Calibri"/>
                <w:sz w:val="20"/>
                <w:szCs w:val="20"/>
                <w:lang w:eastAsia="en-US"/>
              </w:rPr>
            </w:pPr>
            <w:r w:rsidRPr="00F57BCD">
              <w:rPr>
                <w:rFonts w:ascii="Calibri" w:eastAsia="Calibri" w:hAnsi="Calibri"/>
                <w:sz w:val="20"/>
                <w:szCs w:val="20"/>
                <w:lang w:eastAsia="en-US"/>
              </w:rPr>
              <w:t>24 744</w:t>
            </w:r>
          </w:p>
        </w:tc>
        <w:tc>
          <w:tcPr>
            <w:tcW w:w="1260" w:type="dxa"/>
            <w:tcBorders>
              <w:top w:val="nil"/>
              <w:left w:val="nil"/>
              <w:bottom w:val="single" w:sz="4" w:space="0" w:color="auto"/>
              <w:right w:val="single" w:sz="4" w:space="0" w:color="auto"/>
            </w:tcBorders>
            <w:vAlign w:val="bottom"/>
          </w:tcPr>
          <w:p w:rsidR="00242C36" w:rsidRPr="00F57BCD" w:rsidRDefault="00242C36" w:rsidP="00242C36">
            <w:pPr>
              <w:pBdr>
                <w:bar w:val="single" w:sz="6" w:color="808080"/>
              </w:pBdr>
              <w:rPr>
                <w:rFonts w:ascii="Calibri" w:eastAsia="Calibri" w:hAnsi="Calibri"/>
                <w:sz w:val="20"/>
                <w:szCs w:val="20"/>
                <w:lang w:eastAsia="en-US"/>
              </w:rPr>
            </w:pPr>
            <w:r w:rsidRPr="00F57BCD">
              <w:rPr>
                <w:rFonts w:ascii="Calibri" w:eastAsia="Calibri" w:hAnsi="Calibri"/>
                <w:sz w:val="20"/>
                <w:szCs w:val="20"/>
                <w:lang w:eastAsia="en-US"/>
              </w:rPr>
              <w:t>21 175</w:t>
            </w:r>
          </w:p>
        </w:tc>
        <w:tc>
          <w:tcPr>
            <w:tcW w:w="1260" w:type="dxa"/>
            <w:tcBorders>
              <w:top w:val="single" w:sz="4" w:space="0" w:color="auto"/>
              <w:left w:val="single" w:sz="4" w:space="0" w:color="auto"/>
              <w:bottom w:val="single" w:sz="4" w:space="0" w:color="auto"/>
              <w:right w:val="single" w:sz="4" w:space="0" w:color="auto"/>
            </w:tcBorders>
            <w:vAlign w:val="bottom"/>
          </w:tcPr>
          <w:p w:rsidR="00242C36" w:rsidRPr="00F57BCD" w:rsidRDefault="00242C36" w:rsidP="00242C36">
            <w:pPr>
              <w:pBdr>
                <w:bar w:val="single" w:sz="6" w:color="808080"/>
              </w:pBdr>
              <w:rPr>
                <w:rFonts w:ascii="Calibri" w:eastAsia="Calibri" w:hAnsi="Calibri"/>
                <w:sz w:val="20"/>
                <w:szCs w:val="20"/>
                <w:lang w:eastAsia="en-US"/>
              </w:rPr>
            </w:pPr>
            <w:r w:rsidRPr="00F57BCD">
              <w:rPr>
                <w:rFonts w:ascii="Calibri" w:eastAsia="Calibri" w:hAnsi="Calibri"/>
                <w:sz w:val="20"/>
                <w:szCs w:val="20"/>
                <w:lang w:eastAsia="en-US"/>
              </w:rPr>
              <w:t>17 720</w:t>
            </w:r>
          </w:p>
        </w:tc>
        <w:tc>
          <w:tcPr>
            <w:tcW w:w="1080" w:type="dxa"/>
            <w:tcBorders>
              <w:top w:val="nil"/>
              <w:left w:val="single" w:sz="4" w:space="0" w:color="auto"/>
              <w:bottom w:val="single" w:sz="4" w:space="0" w:color="auto"/>
              <w:right w:val="single" w:sz="4" w:space="0" w:color="auto"/>
            </w:tcBorders>
            <w:vAlign w:val="bottom"/>
          </w:tcPr>
          <w:p w:rsidR="00242C36" w:rsidRPr="00F57BCD" w:rsidRDefault="00242C36" w:rsidP="00242C36">
            <w:pPr>
              <w:pBdr>
                <w:bar w:val="single" w:sz="6" w:color="808080"/>
              </w:pBdr>
              <w:rPr>
                <w:rFonts w:ascii="Calibri" w:eastAsia="Calibri" w:hAnsi="Calibri"/>
                <w:sz w:val="20"/>
                <w:szCs w:val="20"/>
                <w:lang w:eastAsia="en-US"/>
              </w:rPr>
            </w:pPr>
            <w:r w:rsidRPr="00F57BCD">
              <w:rPr>
                <w:rFonts w:ascii="Calibri" w:eastAsia="Calibri" w:hAnsi="Calibri"/>
                <w:sz w:val="20"/>
                <w:szCs w:val="20"/>
                <w:lang w:eastAsia="en-US"/>
              </w:rPr>
              <w:t>22 943</w:t>
            </w:r>
          </w:p>
        </w:tc>
      </w:tr>
      <w:tr w:rsidR="00242C36" w:rsidRPr="00E43137" w:rsidTr="00242C36">
        <w:trPr>
          <w:trHeight w:val="255"/>
        </w:trPr>
        <w:tc>
          <w:tcPr>
            <w:tcW w:w="2977" w:type="dxa"/>
            <w:tcBorders>
              <w:top w:val="nil"/>
              <w:left w:val="single" w:sz="4" w:space="0" w:color="auto"/>
              <w:bottom w:val="single" w:sz="4" w:space="0" w:color="auto"/>
              <w:right w:val="single" w:sz="4" w:space="0" w:color="auto"/>
            </w:tcBorders>
            <w:noWrap/>
            <w:vAlign w:val="bottom"/>
          </w:tcPr>
          <w:p w:rsidR="00242C36" w:rsidRPr="00F57BCD" w:rsidRDefault="00242C36" w:rsidP="00242C36">
            <w:pPr>
              <w:pBdr>
                <w:bar w:val="single" w:sz="6" w:color="808080"/>
              </w:pBdr>
              <w:rPr>
                <w:rFonts w:ascii="Calibri" w:eastAsia="Calibri" w:hAnsi="Calibri"/>
                <w:sz w:val="20"/>
                <w:szCs w:val="20"/>
                <w:lang w:eastAsia="en-US"/>
              </w:rPr>
            </w:pPr>
            <w:r w:rsidRPr="00F57BCD">
              <w:rPr>
                <w:rFonts w:ascii="Calibri" w:eastAsia="Calibri" w:hAnsi="Calibri"/>
                <w:sz w:val="20"/>
                <w:szCs w:val="20"/>
                <w:lang w:eastAsia="en-US"/>
              </w:rPr>
              <w:t>Bilancia fosforu (kg P2O5.ha-1)</w:t>
            </w:r>
          </w:p>
        </w:tc>
        <w:tc>
          <w:tcPr>
            <w:tcW w:w="1065" w:type="dxa"/>
            <w:tcBorders>
              <w:top w:val="nil"/>
              <w:left w:val="nil"/>
              <w:bottom w:val="single" w:sz="4" w:space="0" w:color="auto"/>
              <w:right w:val="single" w:sz="4" w:space="0" w:color="auto"/>
            </w:tcBorders>
            <w:noWrap/>
            <w:vAlign w:val="bottom"/>
          </w:tcPr>
          <w:p w:rsidR="00242C36" w:rsidRPr="00F57BCD" w:rsidRDefault="00242C36" w:rsidP="00242C36">
            <w:pPr>
              <w:pBdr>
                <w:bar w:val="single" w:sz="6" w:color="808080"/>
              </w:pBdr>
              <w:rPr>
                <w:rFonts w:ascii="Calibri" w:eastAsia="Calibri" w:hAnsi="Calibri"/>
                <w:sz w:val="20"/>
                <w:szCs w:val="20"/>
                <w:lang w:eastAsia="en-US"/>
              </w:rPr>
            </w:pPr>
            <w:r w:rsidRPr="00F57BCD">
              <w:rPr>
                <w:rFonts w:ascii="Calibri" w:eastAsia="Calibri" w:hAnsi="Calibri"/>
                <w:sz w:val="20"/>
                <w:szCs w:val="20"/>
                <w:lang w:eastAsia="en-US"/>
              </w:rPr>
              <w:t>+1,3</w:t>
            </w:r>
          </w:p>
        </w:tc>
        <w:tc>
          <w:tcPr>
            <w:tcW w:w="1260" w:type="dxa"/>
            <w:tcBorders>
              <w:top w:val="nil"/>
              <w:left w:val="nil"/>
              <w:bottom w:val="single" w:sz="4" w:space="0" w:color="auto"/>
              <w:right w:val="single" w:sz="4" w:space="0" w:color="auto"/>
            </w:tcBorders>
            <w:vAlign w:val="bottom"/>
          </w:tcPr>
          <w:p w:rsidR="00242C36" w:rsidRPr="00F57BCD" w:rsidRDefault="00242C36" w:rsidP="00242C36">
            <w:pPr>
              <w:pBdr>
                <w:bar w:val="single" w:sz="6" w:color="808080"/>
              </w:pBdr>
              <w:rPr>
                <w:rFonts w:ascii="Calibri" w:eastAsia="Calibri" w:hAnsi="Calibri"/>
                <w:sz w:val="20"/>
                <w:szCs w:val="20"/>
                <w:lang w:eastAsia="en-US"/>
              </w:rPr>
            </w:pPr>
            <w:r w:rsidRPr="00F57BCD">
              <w:rPr>
                <w:rFonts w:ascii="Calibri" w:eastAsia="Calibri" w:hAnsi="Calibri"/>
                <w:sz w:val="20"/>
                <w:szCs w:val="20"/>
                <w:lang w:eastAsia="en-US"/>
              </w:rPr>
              <w:t>-2,0</w:t>
            </w:r>
          </w:p>
        </w:tc>
        <w:tc>
          <w:tcPr>
            <w:tcW w:w="1260" w:type="dxa"/>
            <w:tcBorders>
              <w:top w:val="nil"/>
              <w:left w:val="nil"/>
              <w:bottom w:val="single" w:sz="4" w:space="0" w:color="auto"/>
              <w:right w:val="single" w:sz="4" w:space="0" w:color="auto"/>
            </w:tcBorders>
            <w:vAlign w:val="bottom"/>
          </w:tcPr>
          <w:p w:rsidR="00242C36" w:rsidRPr="00F57BCD" w:rsidRDefault="00242C36" w:rsidP="00242C36">
            <w:pPr>
              <w:pBdr>
                <w:bar w:val="single" w:sz="6" w:color="808080"/>
              </w:pBdr>
              <w:rPr>
                <w:rFonts w:ascii="Calibri" w:eastAsia="Calibri" w:hAnsi="Calibri"/>
                <w:sz w:val="20"/>
                <w:szCs w:val="20"/>
                <w:lang w:eastAsia="en-US"/>
              </w:rPr>
            </w:pPr>
            <w:r w:rsidRPr="00F57BCD">
              <w:rPr>
                <w:rFonts w:ascii="Calibri" w:eastAsia="Calibri" w:hAnsi="Calibri"/>
                <w:sz w:val="20"/>
                <w:szCs w:val="20"/>
                <w:lang w:eastAsia="en-US"/>
              </w:rPr>
              <w:t>-1,2</w:t>
            </w:r>
          </w:p>
        </w:tc>
        <w:tc>
          <w:tcPr>
            <w:tcW w:w="1260" w:type="dxa"/>
            <w:tcBorders>
              <w:top w:val="single" w:sz="4" w:space="0" w:color="auto"/>
              <w:left w:val="single" w:sz="4" w:space="0" w:color="auto"/>
              <w:bottom w:val="single" w:sz="4" w:space="0" w:color="auto"/>
              <w:right w:val="single" w:sz="4" w:space="0" w:color="auto"/>
            </w:tcBorders>
            <w:vAlign w:val="bottom"/>
          </w:tcPr>
          <w:p w:rsidR="00242C36" w:rsidRPr="00F57BCD" w:rsidRDefault="00242C36" w:rsidP="00242C36">
            <w:pPr>
              <w:pBdr>
                <w:bar w:val="single" w:sz="6" w:color="808080"/>
              </w:pBdr>
              <w:rPr>
                <w:rFonts w:ascii="Calibri" w:eastAsia="Calibri" w:hAnsi="Calibri"/>
                <w:sz w:val="20"/>
                <w:szCs w:val="20"/>
                <w:lang w:eastAsia="en-US"/>
              </w:rPr>
            </w:pPr>
            <w:r w:rsidRPr="00F57BCD">
              <w:rPr>
                <w:rFonts w:ascii="Calibri" w:eastAsia="Calibri" w:hAnsi="Calibri"/>
                <w:sz w:val="20"/>
                <w:szCs w:val="20"/>
                <w:lang w:eastAsia="en-US"/>
              </w:rPr>
              <w:t>-0,3</w:t>
            </w:r>
          </w:p>
        </w:tc>
        <w:tc>
          <w:tcPr>
            <w:tcW w:w="1080" w:type="dxa"/>
            <w:tcBorders>
              <w:top w:val="nil"/>
              <w:left w:val="single" w:sz="4" w:space="0" w:color="auto"/>
              <w:bottom w:val="single" w:sz="4" w:space="0" w:color="auto"/>
              <w:right w:val="single" w:sz="4" w:space="0" w:color="auto"/>
            </w:tcBorders>
            <w:vAlign w:val="bottom"/>
          </w:tcPr>
          <w:p w:rsidR="00242C36" w:rsidRPr="00F57BCD" w:rsidRDefault="00242C36" w:rsidP="00242C36">
            <w:pPr>
              <w:pBdr>
                <w:bar w:val="single" w:sz="6" w:color="808080"/>
              </w:pBdr>
              <w:rPr>
                <w:rFonts w:ascii="Calibri" w:eastAsia="Calibri" w:hAnsi="Calibri"/>
                <w:sz w:val="20"/>
                <w:szCs w:val="20"/>
                <w:lang w:eastAsia="en-US"/>
              </w:rPr>
            </w:pPr>
            <w:r w:rsidRPr="00F57BCD">
              <w:rPr>
                <w:rFonts w:ascii="Calibri" w:eastAsia="Calibri" w:hAnsi="Calibri"/>
                <w:sz w:val="20"/>
                <w:szCs w:val="20"/>
                <w:lang w:eastAsia="en-US"/>
              </w:rPr>
              <w:t>-2,2</w:t>
            </w:r>
          </w:p>
        </w:tc>
      </w:tr>
    </w:tbl>
    <w:p w:rsidR="00242C36" w:rsidRDefault="00242C36" w:rsidP="00242C36">
      <w:pPr>
        <w:pBdr>
          <w:bar w:val="single" w:sz="6" w:color="808080"/>
        </w:pBdr>
        <w:rPr>
          <w:rFonts w:ascii="Calibri" w:eastAsia="Calibri" w:hAnsi="Calibri"/>
          <w:szCs w:val="22"/>
          <w:lang w:eastAsia="en-US"/>
        </w:rPr>
      </w:pPr>
    </w:p>
    <w:p w:rsidR="00242C36" w:rsidRPr="00E43137" w:rsidRDefault="00242C36" w:rsidP="00242C36">
      <w:pPr>
        <w:pBdr>
          <w:bar w:val="single" w:sz="6" w:color="808080"/>
        </w:pBdr>
        <w:spacing w:after="120"/>
        <w:rPr>
          <w:rFonts w:ascii="Calibri" w:eastAsia="Calibri" w:hAnsi="Calibri"/>
          <w:szCs w:val="22"/>
          <w:lang w:eastAsia="en-US"/>
        </w:rPr>
      </w:pPr>
      <w:r w:rsidRPr="00E43137">
        <w:rPr>
          <w:rFonts w:ascii="Calibri" w:eastAsia="Calibri" w:hAnsi="Calibri"/>
          <w:szCs w:val="22"/>
          <w:lang w:eastAsia="en-US"/>
        </w:rPr>
        <w:t xml:space="preserve">Priemerné hodnoty hrubej bilancie dusíka a fosforu v poľnohospodárskej pôde sú pomerne ustálené, v porovnaní s obdobím rokov 1990 – 2008, kedy zaznamenali výrazne klesajúcu tendenciu, vplyvom poklesu spotreby priemyselných hnojív a stavov hospodárskych zvierat v dôsledku transformácie poľnohospodárstva a s tým spojeným útlmom poľnohospodárskej produkcie. </w:t>
      </w:r>
    </w:p>
    <w:p w:rsidR="00242C36" w:rsidRPr="002932C0" w:rsidRDefault="00242C36" w:rsidP="00242C36">
      <w:pPr>
        <w:keepNext/>
        <w:keepLines/>
        <w:pBdr>
          <w:bar w:val="single" w:sz="6" w:color="808080"/>
        </w:pBdr>
        <w:spacing w:after="120"/>
        <w:outlineLvl w:val="1"/>
        <w:rPr>
          <w:b/>
          <w:bCs/>
          <w:szCs w:val="22"/>
        </w:rPr>
      </w:pPr>
      <w:r w:rsidRPr="00E43137">
        <w:rPr>
          <w:rFonts w:ascii="Calibri" w:eastAsia="Calibri" w:hAnsi="Calibri"/>
          <w:szCs w:val="22"/>
          <w:lang w:eastAsia="en-US"/>
        </w:rPr>
        <w:t>Z </w:t>
      </w:r>
      <w:r w:rsidRPr="002932C0">
        <w:rPr>
          <w:rFonts w:eastAsia="Calibri"/>
          <w:szCs w:val="22"/>
          <w:lang w:eastAsia="en-US"/>
        </w:rPr>
        <w:t>environmentálneho hľadiska bilanciu dusíka aj fosforu možno hodnotiť pozitívne. Z produkčného hľadiska najmä negatívna bilancia fosforu neprispieva k stabilizácii úrod poľnohospodárskych plodín.</w:t>
      </w:r>
      <w:r w:rsidRPr="002932C0">
        <w:rPr>
          <w:b/>
          <w:bCs/>
          <w:szCs w:val="22"/>
        </w:rPr>
        <w:t xml:space="preserve"> </w:t>
      </w:r>
    </w:p>
    <w:p w:rsidR="00242C36" w:rsidRDefault="00242C36" w:rsidP="00242C36">
      <w:pPr>
        <w:autoSpaceDE w:val="0"/>
        <w:autoSpaceDN w:val="0"/>
        <w:adjustRightInd w:val="0"/>
        <w:rPr>
          <w:rFonts w:eastAsiaTheme="minorHAnsi"/>
          <w:b/>
          <w:bCs/>
          <w:szCs w:val="22"/>
          <w:lang w:eastAsia="en-US"/>
        </w:rPr>
      </w:pPr>
    </w:p>
    <w:p w:rsidR="00242C36" w:rsidRPr="002932C0" w:rsidRDefault="00242C36" w:rsidP="00366F96">
      <w:pPr>
        <w:autoSpaceDE w:val="0"/>
        <w:autoSpaceDN w:val="0"/>
        <w:adjustRightInd w:val="0"/>
        <w:spacing w:after="120"/>
        <w:rPr>
          <w:rFonts w:eastAsiaTheme="minorHAnsi"/>
          <w:szCs w:val="22"/>
          <w:lang w:eastAsia="en-US"/>
        </w:rPr>
      </w:pPr>
      <w:r w:rsidRPr="002932C0">
        <w:rPr>
          <w:rFonts w:eastAsiaTheme="minorHAnsi"/>
          <w:b/>
          <w:bCs/>
          <w:szCs w:val="22"/>
          <w:lang w:eastAsia="en-US"/>
        </w:rPr>
        <w:t>Acidifikácia</w:t>
      </w:r>
      <w:r w:rsidRPr="002932C0">
        <w:rPr>
          <w:rFonts w:eastAsiaTheme="minorHAnsi"/>
          <w:szCs w:val="22"/>
          <w:lang w:eastAsia="en-US"/>
        </w:rPr>
        <w:t>, ako proces okyslenia pôdy, predstavuje jeden zo závažných procesov chemickej degradácie pôd. V zmysle platnej domácej legislatívy je každý vlastník poľnohospodárskej pôdy povinný vykonávať vhodné agrotechnické opatrenia zamerané na zachovanie kvality pôdy a ochranu pred jej poškodením.</w:t>
      </w:r>
    </w:p>
    <w:p w:rsidR="00242C36" w:rsidRPr="002932C0" w:rsidRDefault="00242C36" w:rsidP="00366F96">
      <w:pPr>
        <w:autoSpaceDE w:val="0"/>
        <w:autoSpaceDN w:val="0"/>
        <w:adjustRightInd w:val="0"/>
        <w:spacing w:after="120"/>
        <w:rPr>
          <w:rFonts w:eastAsiaTheme="minorHAnsi"/>
          <w:szCs w:val="22"/>
          <w:lang w:eastAsia="en-US"/>
        </w:rPr>
      </w:pPr>
      <w:r w:rsidRPr="002932C0">
        <w:rPr>
          <w:rFonts w:eastAsiaTheme="minorHAnsi"/>
          <w:szCs w:val="22"/>
          <w:lang w:eastAsia="en-US"/>
        </w:rPr>
        <w:t>Výsledky čiastkového monitorovacieho systému-Pôda poukázali na výraznejšie acidifikačné tendencie najmä na kambizemiach a pseudoglejoch, kde je možné aj naďalej predpokladať, a to pri obmedzení agrotechnických opatrení zameraných na optimalizáciu hodnôt pôdnej reakcie, pomalý pokles pôdnej reakcie pôd na prirodzene kyslejších substrátoch. Acidifikačné trendy u pôd s hodnotou pôdnej reakcie v slabo kyslej oblasti sa perspektívne môžu odraziť v zhoršení hygienického stavu životného prostredia vo zvýšenom prieniku rôznorodých polutantov predovšetkým ťažkých kovov a hliníka do potravinového reťazca. Degradačný proces acidifikácie pôd je determinovaný priamymi (hodnota pôdnej reakcie a pomer ekvivalentných množstiev výmenných katiónov Al3+/Ca2+) a nepriamymi indikátormi.</w:t>
      </w:r>
    </w:p>
    <w:p w:rsidR="00242C36" w:rsidRDefault="00242C36" w:rsidP="00242C36">
      <w:pPr>
        <w:autoSpaceDE w:val="0"/>
        <w:autoSpaceDN w:val="0"/>
        <w:adjustRightInd w:val="0"/>
        <w:rPr>
          <w:rFonts w:eastAsiaTheme="minorHAnsi"/>
          <w:szCs w:val="22"/>
          <w:lang w:eastAsia="en-US"/>
        </w:rPr>
      </w:pPr>
      <w:r w:rsidRPr="002932C0">
        <w:rPr>
          <w:rFonts w:eastAsiaTheme="minorHAnsi"/>
          <w:szCs w:val="22"/>
          <w:lang w:eastAsia="en-US"/>
        </w:rPr>
        <w:t>Vývoj hodnoty pH pôdy indikuje od IX. cyklu agrochemického skúšania pôd (1990 – 1994) pozvoľný trend acidifikácie poľnohospodárskej pôdy, kde v súčasnosti už takmer štvrtina poľnohospodárskej pôdy má hodnotu pH pod 5,5.</w:t>
      </w:r>
    </w:p>
    <w:p w:rsidR="00242C36" w:rsidRPr="002932C0" w:rsidRDefault="00242C36" w:rsidP="00242C36">
      <w:pPr>
        <w:autoSpaceDE w:val="0"/>
        <w:autoSpaceDN w:val="0"/>
        <w:adjustRightInd w:val="0"/>
        <w:rPr>
          <w:rFonts w:eastAsiaTheme="minorHAnsi"/>
          <w:szCs w:val="22"/>
          <w:lang w:eastAsia="en-US"/>
        </w:rPr>
      </w:pPr>
    </w:p>
    <w:p w:rsidR="00242C36" w:rsidRPr="002932C0" w:rsidRDefault="00242C36" w:rsidP="00242C36">
      <w:pPr>
        <w:autoSpaceDE w:val="0"/>
        <w:autoSpaceDN w:val="0"/>
        <w:adjustRightInd w:val="0"/>
        <w:rPr>
          <w:rFonts w:eastAsiaTheme="minorHAnsi"/>
          <w:szCs w:val="22"/>
          <w:lang w:eastAsia="en-US"/>
        </w:rPr>
      </w:pPr>
      <w:r w:rsidRPr="002932C0">
        <w:rPr>
          <w:rFonts w:eastAsiaTheme="minorHAnsi"/>
          <w:b/>
          <w:bCs/>
          <w:szCs w:val="22"/>
          <w:lang w:eastAsia="en-US"/>
        </w:rPr>
        <w:t xml:space="preserve">Výsledky agrochemického skúšania pôd Slovenska za roky 2006-2011 (v % podiele výmery) </w:t>
      </w:r>
    </w:p>
    <w:tbl>
      <w:tblPr>
        <w:tblW w:w="9299" w:type="dxa"/>
        <w:tblBorders>
          <w:top w:val="single" w:sz="4" w:space="0" w:color="A6A6A6"/>
          <w:left w:val="single" w:sz="4" w:space="0" w:color="A6A6A6"/>
          <w:bottom w:val="single" w:sz="4" w:space="0" w:color="A6A6A6"/>
          <w:right w:val="single" w:sz="4" w:space="0" w:color="A6A6A6"/>
          <w:insideH w:val="single" w:sz="4" w:space="0" w:color="A6A6A6"/>
          <w:insideV w:val="single" w:sz="4" w:space="0" w:color="A6A6A6"/>
        </w:tblBorders>
        <w:tblLayout w:type="fixed"/>
        <w:tblCellMar>
          <w:left w:w="0" w:type="dxa"/>
          <w:right w:w="0" w:type="dxa"/>
        </w:tblCellMar>
        <w:tblLook w:val="0000" w:firstRow="0" w:lastRow="0" w:firstColumn="0" w:lastColumn="0" w:noHBand="0" w:noVBand="0"/>
      </w:tblPr>
      <w:tblGrid>
        <w:gridCol w:w="984"/>
        <w:gridCol w:w="984"/>
        <w:gridCol w:w="984"/>
        <w:gridCol w:w="997"/>
        <w:gridCol w:w="998"/>
        <w:gridCol w:w="723"/>
        <w:gridCol w:w="723"/>
        <w:gridCol w:w="724"/>
        <w:gridCol w:w="723"/>
        <w:gridCol w:w="723"/>
        <w:gridCol w:w="736"/>
      </w:tblGrid>
      <w:tr w:rsidR="00242C36" w:rsidRPr="002932C0" w:rsidTr="00242C36">
        <w:trPr>
          <w:trHeight w:val="279"/>
        </w:trPr>
        <w:tc>
          <w:tcPr>
            <w:tcW w:w="984" w:type="dxa"/>
            <w:vMerge w:val="restart"/>
            <w:vAlign w:val="center"/>
          </w:tcPr>
          <w:p w:rsidR="00242C36" w:rsidRPr="002932C0" w:rsidRDefault="00242C36" w:rsidP="00242C36">
            <w:pPr>
              <w:autoSpaceDE w:val="0"/>
              <w:autoSpaceDN w:val="0"/>
              <w:adjustRightInd w:val="0"/>
              <w:jc w:val="center"/>
              <w:rPr>
                <w:rFonts w:eastAsiaTheme="minorHAnsi"/>
                <w:sz w:val="20"/>
                <w:szCs w:val="20"/>
                <w:lang w:eastAsia="en-US"/>
              </w:rPr>
            </w:pPr>
            <w:r w:rsidRPr="002932C0">
              <w:rPr>
                <w:rFonts w:eastAsiaTheme="minorHAnsi"/>
                <w:b/>
                <w:bCs/>
                <w:sz w:val="20"/>
                <w:szCs w:val="20"/>
                <w:lang w:eastAsia="en-US"/>
              </w:rPr>
              <w:t>Druh</w:t>
            </w:r>
          </w:p>
          <w:p w:rsidR="00242C36" w:rsidRPr="002932C0" w:rsidRDefault="00242C36" w:rsidP="00242C36">
            <w:pPr>
              <w:autoSpaceDE w:val="0"/>
              <w:autoSpaceDN w:val="0"/>
              <w:adjustRightInd w:val="0"/>
              <w:jc w:val="center"/>
              <w:rPr>
                <w:rFonts w:eastAsiaTheme="minorHAnsi"/>
                <w:sz w:val="20"/>
                <w:szCs w:val="20"/>
                <w:lang w:eastAsia="en-US"/>
              </w:rPr>
            </w:pPr>
            <w:r w:rsidRPr="002932C0">
              <w:rPr>
                <w:rFonts w:eastAsiaTheme="minorHAnsi"/>
                <w:b/>
                <w:bCs/>
                <w:sz w:val="20"/>
                <w:szCs w:val="20"/>
                <w:lang w:eastAsia="en-US"/>
              </w:rPr>
              <w:t>pôdy</w:t>
            </w:r>
          </w:p>
        </w:tc>
        <w:tc>
          <w:tcPr>
            <w:tcW w:w="3963" w:type="dxa"/>
            <w:gridSpan w:val="4"/>
            <w:vMerge w:val="restart"/>
            <w:vAlign w:val="center"/>
          </w:tcPr>
          <w:p w:rsidR="00242C36" w:rsidRPr="002932C0" w:rsidRDefault="00242C36" w:rsidP="00242C36">
            <w:pPr>
              <w:autoSpaceDE w:val="0"/>
              <w:autoSpaceDN w:val="0"/>
              <w:adjustRightInd w:val="0"/>
              <w:jc w:val="center"/>
              <w:rPr>
                <w:rFonts w:eastAsiaTheme="minorHAnsi"/>
                <w:sz w:val="20"/>
                <w:szCs w:val="20"/>
                <w:lang w:eastAsia="en-US"/>
              </w:rPr>
            </w:pPr>
            <w:r w:rsidRPr="002932C0">
              <w:rPr>
                <w:rFonts w:eastAsiaTheme="minorHAnsi"/>
                <w:b/>
                <w:bCs/>
                <w:sz w:val="20"/>
                <w:szCs w:val="20"/>
                <w:lang w:eastAsia="en-US"/>
              </w:rPr>
              <w:t>Pôdna reakcia (pH)</w:t>
            </w:r>
          </w:p>
        </w:tc>
        <w:tc>
          <w:tcPr>
            <w:tcW w:w="4350" w:type="dxa"/>
            <w:gridSpan w:val="6"/>
            <w:vAlign w:val="center"/>
          </w:tcPr>
          <w:p w:rsidR="00242C36" w:rsidRPr="002932C0" w:rsidRDefault="00242C36" w:rsidP="00242C36">
            <w:pPr>
              <w:autoSpaceDE w:val="0"/>
              <w:autoSpaceDN w:val="0"/>
              <w:adjustRightInd w:val="0"/>
              <w:jc w:val="center"/>
              <w:rPr>
                <w:rFonts w:eastAsiaTheme="minorHAnsi"/>
                <w:sz w:val="20"/>
                <w:szCs w:val="20"/>
                <w:lang w:eastAsia="en-US"/>
              </w:rPr>
            </w:pPr>
            <w:r w:rsidRPr="002932C0">
              <w:rPr>
                <w:rFonts w:eastAsiaTheme="minorHAnsi"/>
                <w:b/>
                <w:bCs/>
                <w:sz w:val="20"/>
                <w:szCs w:val="20"/>
                <w:lang w:eastAsia="en-US"/>
              </w:rPr>
              <w:t>Obsah prístupných živín v pôde</w:t>
            </w:r>
          </w:p>
        </w:tc>
      </w:tr>
      <w:tr w:rsidR="00242C36" w:rsidRPr="002932C0" w:rsidTr="00242C36">
        <w:trPr>
          <w:trHeight w:val="167"/>
        </w:trPr>
        <w:tc>
          <w:tcPr>
            <w:tcW w:w="984" w:type="dxa"/>
            <w:vMerge/>
            <w:vAlign w:val="center"/>
          </w:tcPr>
          <w:p w:rsidR="00242C36" w:rsidRPr="002932C0" w:rsidRDefault="00242C36" w:rsidP="00242C36">
            <w:pPr>
              <w:autoSpaceDE w:val="0"/>
              <w:autoSpaceDN w:val="0"/>
              <w:adjustRightInd w:val="0"/>
              <w:rPr>
                <w:rFonts w:eastAsiaTheme="minorHAnsi"/>
                <w:sz w:val="20"/>
                <w:szCs w:val="20"/>
                <w:lang w:eastAsia="en-US"/>
              </w:rPr>
            </w:pPr>
          </w:p>
        </w:tc>
        <w:tc>
          <w:tcPr>
            <w:tcW w:w="3963" w:type="dxa"/>
            <w:gridSpan w:val="4"/>
            <w:vMerge/>
            <w:vAlign w:val="center"/>
          </w:tcPr>
          <w:p w:rsidR="00242C36" w:rsidRPr="002932C0" w:rsidRDefault="00242C36" w:rsidP="00242C36">
            <w:pPr>
              <w:autoSpaceDE w:val="0"/>
              <w:autoSpaceDN w:val="0"/>
              <w:adjustRightInd w:val="0"/>
              <w:rPr>
                <w:rFonts w:eastAsiaTheme="minorHAnsi"/>
                <w:sz w:val="20"/>
                <w:szCs w:val="20"/>
                <w:lang w:eastAsia="en-US"/>
              </w:rPr>
            </w:pPr>
          </w:p>
        </w:tc>
        <w:tc>
          <w:tcPr>
            <w:tcW w:w="2169" w:type="dxa"/>
            <w:gridSpan w:val="3"/>
            <w:vAlign w:val="center"/>
          </w:tcPr>
          <w:p w:rsidR="00242C36" w:rsidRPr="002932C0" w:rsidRDefault="00242C36" w:rsidP="00242C36">
            <w:pPr>
              <w:autoSpaceDE w:val="0"/>
              <w:autoSpaceDN w:val="0"/>
              <w:adjustRightInd w:val="0"/>
              <w:jc w:val="center"/>
              <w:rPr>
                <w:rFonts w:eastAsiaTheme="minorHAnsi"/>
                <w:sz w:val="20"/>
                <w:szCs w:val="20"/>
                <w:lang w:eastAsia="en-US"/>
              </w:rPr>
            </w:pPr>
            <w:r w:rsidRPr="002932C0">
              <w:rPr>
                <w:rFonts w:eastAsiaTheme="minorHAnsi"/>
                <w:b/>
                <w:bCs/>
                <w:sz w:val="20"/>
                <w:szCs w:val="20"/>
                <w:lang w:eastAsia="en-US"/>
              </w:rPr>
              <w:t>Fosfor (P)</w:t>
            </w:r>
          </w:p>
        </w:tc>
        <w:tc>
          <w:tcPr>
            <w:tcW w:w="2182" w:type="dxa"/>
            <w:gridSpan w:val="3"/>
            <w:vAlign w:val="center"/>
          </w:tcPr>
          <w:p w:rsidR="00242C36" w:rsidRPr="002932C0" w:rsidRDefault="00242C36" w:rsidP="00242C36">
            <w:pPr>
              <w:autoSpaceDE w:val="0"/>
              <w:autoSpaceDN w:val="0"/>
              <w:adjustRightInd w:val="0"/>
              <w:jc w:val="center"/>
              <w:rPr>
                <w:rFonts w:eastAsiaTheme="minorHAnsi"/>
                <w:sz w:val="20"/>
                <w:szCs w:val="20"/>
                <w:lang w:eastAsia="en-US"/>
              </w:rPr>
            </w:pPr>
            <w:r w:rsidRPr="002932C0">
              <w:rPr>
                <w:rFonts w:eastAsiaTheme="minorHAnsi"/>
                <w:b/>
                <w:bCs/>
                <w:sz w:val="20"/>
                <w:szCs w:val="20"/>
                <w:lang w:eastAsia="en-US"/>
              </w:rPr>
              <w:t>Draslík (K)</w:t>
            </w:r>
          </w:p>
        </w:tc>
      </w:tr>
      <w:tr w:rsidR="00242C36" w:rsidRPr="002932C0" w:rsidTr="00242C36">
        <w:trPr>
          <w:trHeight w:val="279"/>
        </w:trPr>
        <w:tc>
          <w:tcPr>
            <w:tcW w:w="984" w:type="dxa"/>
            <w:vAlign w:val="center"/>
          </w:tcPr>
          <w:p w:rsidR="00242C36" w:rsidRPr="002932C0" w:rsidRDefault="00242C36" w:rsidP="00242C36">
            <w:pPr>
              <w:autoSpaceDE w:val="0"/>
              <w:autoSpaceDN w:val="0"/>
              <w:adjustRightInd w:val="0"/>
              <w:jc w:val="center"/>
              <w:rPr>
                <w:rFonts w:eastAsiaTheme="minorHAnsi"/>
                <w:sz w:val="20"/>
                <w:szCs w:val="20"/>
                <w:lang w:eastAsia="en-US"/>
              </w:rPr>
            </w:pPr>
          </w:p>
        </w:tc>
        <w:tc>
          <w:tcPr>
            <w:tcW w:w="984" w:type="dxa"/>
            <w:vAlign w:val="center"/>
          </w:tcPr>
          <w:p w:rsidR="00242C36" w:rsidRPr="002932C0" w:rsidRDefault="00242C36" w:rsidP="00242C36">
            <w:pPr>
              <w:autoSpaceDE w:val="0"/>
              <w:autoSpaceDN w:val="0"/>
              <w:adjustRightInd w:val="0"/>
              <w:jc w:val="center"/>
              <w:rPr>
                <w:rFonts w:eastAsiaTheme="minorHAnsi"/>
                <w:sz w:val="20"/>
                <w:szCs w:val="20"/>
                <w:lang w:eastAsia="en-US"/>
              </w:rPr>
            </w:pPr>
            <w:r w:rsidRPr="002932C0">
              <w:rPr>
                <w:rFonts w:eastAsiaTheme="minorHAnsi"/>
                <w:sz w:val="20"/>
                <w:szCs w:val="20"/>
                <w:lang w:eastAsia="en-US"/>
              </w:rPr>
              <w:t>kyslá</w:t>
            </w:r>
          </w:p>
        </w:tc>
        <w:tc>
          <w:tcPr>
            <w:tcW w:w="984" w:type="dxa"/>
            <w:vAlign w:val="center"/>
          </w:tcPr>
          <w:p w:rsidR="00242C36" w:rsidRPr="002932C0" w:rsidRDefault="00242C36" w:rsidP="00242C36">
            <w:pPr>
              <w:autoSpaceDE w:val="0"/>
              <w:autoSpaceDN w:val="0"/>
              <w:adjustRightInd w:val="0"/>
              <w:jc w:val="center"/>
              <w:rPr>
                <w:rFonts w:eastAsiaTheme="minorHAnsi"/>
                <w:sz w:val="20"/>
                <w:szCs w:val="20"/>
                <w:lang w:eastAsia="en-US"/>
              </w:rPr>
            </w:pPr>
            <w:r w:rsidRPr="002932C0">
              <w:rPr>
                <w:rFonts w:eastAsiaTheme="minorHAnsi"/>
                <w:sz w:val="20"/>
                <w:szCs w:val="20"/>
                <w:lang w:eastAsia="en-US"/>
              </w:rPr>
              <w:t>slabo kyslá</w:t>
            </w:r>
          </w:p>
        </w:tc>
        <w:tc>
          <w:tcPr>
            <w:tcW w:w="997" w:type="dxa"/>
            <w:vAlign w:val="center"/>
          </w:tcPr>
          <w:p w:rsidR="00242C36" w:rsidRPr="002932C0" w:rsidRDefault="00242C36" w:rsidP="00242C36">
            <w:pPr>
              <w:autoSpaceDE w:val="0"/>
              <w:autoSpaceDN w:val="0"/>
              <w:adjustRightInd w:val="0"/>
              <w:jc w:val="center"/>
              <w:rPr>
                <w:rFonts w:eastAsiaTheme="minorHAnsi"/>
                <w:sz w:val="20"/>
                <w:szCs w:val="20"/>
                <w:lang w:eastAsia="en-US"/>
              </w:rPr>
            </w:pPr>
            <w:r w:rsidRPr="002932C0">
              <w:rPr>
                <w:rFonts w:eastAsiaTheme="minorHAnsi"/>
                <w:sz w:val="20"/>
                <w:szCs w:val="20"/>
                <w:lang w:eastAsia="en-US"/>
              </w:rPr>
              <w:t>neutral.</w:t>
            </w:r>
          </w:p>
        </w:tc>
        <w:tc>
          <w:tcPr>
            <w:tcW w:w="998" w:type="dxa"/>
            <w:vAlign w:val="center"/>
          </w:tcPr>
          <w:p w:rsidR="00242C36" w:rsidRPr="002932C0" w:rsidRDefault="00242C36" w:rsidP="00242C36">
            <w:pPr>
              <w:autoSpaceDE w:val="0"/>
              <w:autoSpaceDN w:val="0"/>
              <w:adjustRightInd w:val="0"/>
              <w:jc w:val="center"/>
              <w:rPr>
                <w:rFonts w:eastAsiaTheme="minorHAnsi"/>
                <w:sz w:val="20"/>
                <w:szCs w:val="20"/>
                <w:lang w:eastAsia="en-US"/>
              </w:rPr>
            </w:pPr>
            <w:r w:rsidRPr="002932C0">
              <w:rPr>
                <w:rFonts w:eastAsiaTheme="minorHAnsi"/>
                <w:sz w:val="20"/>
                <w:szCs w:val="20"/>
                <w:lang w:eastAsia="en-US"/>
              </w:rPr>
              <w:t>alkalická</w:t>
            </w:r>
          </w:p>
        </w:tc>
        <w:tc>
          <w:tcPr>
            <w:tcW w:w="723" w:type="dxa"/>
            <w:vAlign w:val="center"/>
          </w:tcPr>
          <w:p w:rsidR="00242C36" w:rsidRPr="002932C0" w:rsidRDefault="00242C36" w:rsidP="00242C36">
            <w:pPr>
              <w:autoSpaceDE w:val="0"/>
              <w:autoSpaceDN w:val="0"/>
              <w:adjustRightInd w:val="0"/>
              <w:jc w:val="center"/>
              <w:rPr>
                <w:rFonts w:eastAsiaTheme="minorHAnsi"/>
                <w:sz w:val="20"/>
                <w:szCs w:val="20"/>
                <w:lang w:eastAsia="en-US"/>
              </w:rPr>
            </w:pPr>
            <w:r w:rsidRPr="002932C0">
              <w:rPr>
                <w:rFonts w:eastAsiaTheme="minorHAnsi"/>
                <w:sz w:val="20"/>
                <w:szCs w:val="20"/>
                <w:lang w:eastAsia="en-US"/>
              </w:rPr>
              <w:t>Nízky</w:t>
            </w:r>
          </w:p>
        </w:tc>
        <w:tc>
          <w:tcPr>
            <w:tcW w:w="723" w:type="dxa"/>
            <w:vAlign w:val="center"/>
          </w:tcPr>
          <w:p w:rsidR="00242C36" w:rsidRPr="002932C0" w:rsidRDefault="00242C36" w:rsidP="00242C36">
            <w:pPr>
              <w:autoSpaceDE w:val="0"/>
              <w:autoSpaceDN w:val="0"/>
              <w:adjustRightInd w:val="0"/>
              <w:jc w:val="center"/>
              <w:rPr>
                <w:rFonts w:eastAsiaTheme="minorHAnsi"/>
                <w:sz w:val="20"/>
                <w:szCs w:val="20"/>
                <w:lang w:eastAsia="en-US"/>
              </w:rPr>
            </w:pPr>
            <w:r w:rsidRPr="002932C0">
              <w:rPr>
                <w:rFonts w:eastAsiaTheme="minorHAnsi"/>
                <w:sz w:val="20"/>
                <w:szCs w:val="20"/>
                <w:lang w:eastAsia="en-US"/>
              </w:rPr>
              <w:t>Stred.</w:t>
            </w:r>
          </w:p>
        </w:tc>
        <w:tc>
          <w:tcPr>
            <w:tcW w:w="724" w:type="dxa"/>
            <w:vAlign w:val="center"/>
          </w:tcPr>
          <w:p w:rsidR="00242C36" w:rsidRPr="002932C0" w:rsidRDefault="00242C36" w:rsidP="00242C36">
            <w:pPr>
              <w:autoSpaceDE w:val="0"/>
              <w:autoSpaceDN w:val="0"/>
              <w:adjustRightInd w:val="0"/>
              <w:jc w:val="center"/>
              <w:rPr>
                <w:rFonts w:eastAsiaTheme="minorHAnsi"/>
                <w:sz w:val="20"/>
                <w:szCs w:val="20"/>
                <w:lang w:eastAsia="en-US"/>
              </w:rPr>
            </w:pPr>
            <w:r w:rsidRPr="002932C0">
              <w:rPr>
                <w:rFonts w:eastAsiaTheme="minorHAnsi"/>
                <w:sz w:val="20"/>
                <w:szCs w:val="20"/>
                <w:lang w:eastAsia="en-US"/>
              </w:rPr>
              <w:t>Dobrý</w:t>
            </w:r>
          </w:p>
        </w:tc>
        <w:tc>
          <w:tcPr>
            <w:tcW w:w="723" w:type="dxa"/>
            <w:vAlign w:val="center"/>
          </w:tcPr>
          <w:p w:rsidR="00242C36" w:rsidRPr="002932C0" w:rsidRDefault="00242C36" w:rsidP="00242C36">
            <w:pPr>
              <w:autoSpaceDE w:val="0"/>
              <w:autoSpaceDN w:val="0"/>
              <w:adjustRightInd w:val="0"/>
              <w:jc w:val="center"/>
              <w:rPr>
                <w:rFonts w:eastAsiaTheme="minorHAnsi"/>
                <w:sz w:val="20"/>
                <w:szCs w:val="20"/>
                <w:lang w:eastAsia="en-US"/>
              </w:rPr>
            </w:pPr>
            <w:r w:rsidRPr="002932C0">
              <w:rPr>
                <w:rFonts w:eastAsiaTheme="minorHAnsi"/>
                <w:sz w:val="20"/>
                <w:szCs w:val="20"/>
                <w:lang w:eastAsia="en-US"/>
              </w:rPr>
              <w:t>Nízky</w:t>
            </w:r>
          </w:p>
        </w:tc>
        <w:tc>
          <w:tcPr>
            <w:tcW w:w="723" w:type="dxa"/>
            <w:vAlign w:val="center"/>
          </w:tcPr>
          <w:p w:rsidR="00242C36" w:rsidRPr="002932C0" w:rsidRDefault="00242C36" w:rsidP="00242C36">
            <w:pPr>
              <w:autoSpaceDE w:val="0"/>
              <w:autoSpaceDN w:val="0"/>
              <w:adjustRightInd w:val="0"/>
              <w:jc w:val="center"/>
              <w:rPr>
                <w:rFonts w:eastAsiaTheme="minorHAnsi"/>
                <w:sz w:val="20"/>
                <w:szCs w:val="20"/>
                <w:lang w:eastAsia="en-US"/>
              </w:rPr>
            </w:pPr>
            <w:r w:rsidRPr="002932C0">
              <w:rPr>
                <w:rFonts w:eastAsiaTheme="minorHAnsi"/>
                <w:sz w:val="20"/>
                <w:szCs w:val="20"/>
                <w:lang w:eastAsia="en-US"/>
              </w:rPr>
              <w:t>Stred.</w:t>
            </w:r>
          </w:p>
        </w:tc>
        <w:tc>
          <w:tcPr>
            <w:tcW w:w="736" w:type="dxa"/>
            <w:vAlign w:val="center"/>
          </w:tcPr>
          <w:p w:rsidR="00242C36" w:rsidRPr="002932C0" w:rsidRDefault="00242C36" w:rsidP="00242C36">
            <w:pPr>
              <w:autoSpaceDE w:val="0"/>
              <w:autoSpaceDN w:val="0"/>
              <w:adjustRightInd w:val="0"/>
              <w:jc w:val="center"/>
              <w:rPr>
                <w:rFonts w:eastAsiaTheme="minorHAnsi"/>
                <w:sz w:val="20"/>
                <w:szCs w:val="20"/>
                <w:lang w:eastAsia="en-US"/>
              </w:rPr>
            </w:pPr>
            <w:r w:rsidRPr="002932C0">
              <w:rPr>
                <w:rFonts w:eastAsiaTheme="minorHAnsi"/>
                <w:sz w:val="20"/>
                <w:szCs w:val="20"/>
                <w:lang w:eastAsia="en-US"/>
              </w:rPr>
              <w:t>Dobrý</w:t>
            </w:r>
          </w:p>
        </w:tc>
      </w:tr>
      <w:tr w:rsidR="00242C36" w:rsidRPr="002932C0" w:rsidTr="00242C36">
        <w:trPr>
          <w:trHeight w:val="279"/>
        </w:trPr>
        <w:tc>
          <w:tcPr>
            <w:tcW w:w="984" w:type="dxa"/>
            <w:vAlign w:val="center"/>
          </w:tcPr>
          <w:p w:rsidR="00242C36" w:rsidRPr="002932C0" w:rsidRDefault="00242C36" w:rsidP="00242C36">
            <w:pPr>
              <w:autoSpaceDE w:val="0"/>
              <w:autoSpaceDN w:val="0"/>
              <w:adjustRightInd w:val="0"/>
              <w:jc w:val="center"/>
              <w:rPr>
                <w:rFonts w:eastAsiaTheme="minorHAnsi"/>
                <w:sz w:val="20"/>
                <w:szCs w:val="20"/>
                <w:lang w:eastAsia="en-US"/>
              </w:rPr>
            </w:pPr>
            <w:r w:rsidRPr="002932C0">
              <w:rPr>
                <w:rFonts w:eastAsiaTheme="minorHAnsi"/>
                <w:b/>
                <w:bCs/>
                <w:sz w:val="20"/>
                <w:szCs w:val="20"/>
                <w:lang w:eastAsia="en-US"/>
              </w:rPr>
              <w:t>orná p.</w:t>
            </w:r>
          </w:p>
        </w:tc>
        <w:tc>
          <w:tcPr>
            <w:tcW w:w="984" w:type="dxa"/>
            <w:vAlign w:val="bottom"/>
          </w:tcPr>
          <w:p w:rsidR="00242C36" w:rsidRPr="002932C0" w:rsidRDefault="00242C36" w:rsidP="00242C36">
            <w:pPr>
              <w:autoSpaceDE w:val="0"/>
              <w:autoSpaceDN w:val="0"/>
              <w:adjustRightInd w:val="0"/>
              <w:jc w:val="right"/>
              <w:rPr>
                <w:rFonts w:eastAsiaTheme="minorHAnsi"/>
                <w:sz w:val="20"/>
                <w:szCs w:val="20"/>
                <w:lang w:eastAsia="en-US"/>
              </w:rPr>
            </w:pPr>
            <w:r w:rsidRPr="002932C0">
              <w:rPr>
                <w:rFonts w:eastAsiaTheme="minorHAnsi"/>
                <w:sz w:val="20"/>
                <w:szCs w:val="20"/>
                <w:lang w:eastAsia="en-US"/>
              </w:rPr>
              <w:t>12,8</w:t>
            </w:r>
          </w:p>
        </w:tc>
        <w:tc>
          <w:tcPr>
            <w:tcW w:w="984" w:type="dxa"/>
            <w:vAlign w:val="bottom"/>
          </w:tcPr>
          <w:p w:rsidR="00242C36" w:rsidRPr="002932C0" w:rsidRDefault="00242C36" w:rsidP="00242C36">
            <w:pPr>
              <w:autoSpaceDE w:val="0"/>
              <w:autoSpaceDN w:val="0"/>
              <w:adjustRightInd w:val="0"/>
              <w:jc w:val="right"/>
              <w:rPr>
                <w:rFonts w:eastAsiaTheme="minorHAnsi"/>
                <w:sz w:val="20"/>
                <w:szCs w:val="20"/>
                <w:lang w:eastAsia="en-US"/>
              </w:rPr>
            </w:pPr>
            <w:r w:rsidRPr="002932C0">
              <w:rPr>
                <w:rFonts w:eastAsiaTheme="minorHAnsi"/>
                <w:sz w:val="20"/>
                <w:szCs w:val="20"/>
                <w:lang w:eastAsia="en-US"/>
              </w:rPr>
              <w:t>37,1</w:t>
            </w:r>
          </w:p>
        </w:tc>
        <w:tc>
          <w:tcPr>
            <w:tcW w:w="997" w:type="dxa"/>
            <w:vAlign w:val="bottom"/>
          </w:tcPr>
          <w:p w:rsidR="00242C36" w:rsidRPr="002932C0" w:rsidRDefault="00242C36" w:rsidP="00242C36">
            <w:pPr>
              <w:autoSpaceDE w:val="0"/>
              <w:autoSpaceDN w:val="0"/>
              <w:adjustRightInd w:val="0"/>
              <w:jc w:val="right"/>
              <w:rPr>
                <w:rFonts w:eastAsiaTheme="minorHAnsi"/>
                <w:sz w:val="20"/>
                <w:szCs w:val="20"/>
                <w:lang w:eastAsia="en-US"/>
              </w:rPr>
            </w:pPr>
            <w:r w:rsidRPr="002932C0">
              <w:rPr>
                <w:rFonts w:eastAsiaTheme="minorHAnsi"/>
                <w:sz w:val="20"/>
                <w:szCs w:val="20"/>
                <w:lang w:eastAsia="en-US"/>
              </w:rPr>
              <w:t>26,5</w:t>
            </w:r>
          </w:p>
        </w:tc>
        <w:tc>
          <w:tcPr>
            <w:tcW w:w="998" w:type="dxa"/>
            <w:vAlign w:val="bottom"/>
          </w:tcPr>
          <w:p w:rsidR="00242C36" w:rsidRPr="002932C0" w:rsidRDefault="00242C36" w:rsidP="00242C36">
            <w:pPr>
              <w:autoSpaceDE w:val="0"/>
              <w:autoSpaceDN w:val="0"/>
              <w:adjustRightInd w:val="0"/>
              <w:jc w:val="right"/>
              <w:rPr>
                <w:rFonts w:eastAsiaTheme="minorHAnsi"/>
                <w:sz w:val="20"/>
                <w:szCs w:val="20"/>
                <w:lang w:eastAsia="en-US"/>
              </w:rPr>
            </w:pPr>
            <w:r w:rsidRPr="002932C0">
              <w:rPr>
                <w:rFonts w:eastAsiaTheme="minorHAnsi"/>
                <w:sz w:val="20"/>
                <w:szCs w:val="20"/>
                <w:lang w:eastAsia="en-US"/>
              </w:rPr>
              <w:t>23,6</w:t>
            </w:r>
          </w:p>
        </w:tc>
        <w:tc>
          <w:tcPr>
            <w:tcW w:w="723" w:type="dxa"/>
            <w:vAlign w:val="bottom"/>
          </w:tcPr>
          <w:p w:rsidR="00242C36" w:rsidRPr="002932C0" w:rsidRDefault="00242C36" w:rsidP="00242C36">
            <w:pPr>
              <w:autoSpaceDE w:val="0"/>
              <w:autoSpaceDN w:val="0"/>
              <w:adjustRightInd w:val="0"/>
              <w:jc w:val="right"/>
              <w:rPr>
                <w:rFonts w:eastAsiaTheme="minorHAnsi"/>
                <w:sz w:val="20"/>
                <w:szCs w:val="20"/>
                <w:lang w:eastAsia="en-US"/>
              </w:rPr>
            </w:pPr>
            <w:r w:rsidRPr="002932C0">
              <w:rPr>
                <w:rFonts w:eastAsiaTheme="minorHAnsi"/>
                <w:sz w:val="20"/>
                <w:szCs w:val="20"/>
                <w:lang w:eastAsia="en-US"/>
              </w:rPr>
              <w:t>37,7</w:t>
            </w:r>
          </w:p>
        </w:tc>
        <w:tc>
          <w:tcPr>
            <w:tcW w:w="723" w:type="dxa"/>
            <w:vAlign w:val="bottom"/>
          </w:tcPr>
          <w:p w:rsidR="00242C36" w:rsidRPr="002932C0" w:rsidRDefault="00242C36" w:rsidP="00242C36">
            <w:pPr>
              <w:autoSpaceDE w:val="0"/>
              <w:autoSpaceDN w:val="0"/>
              <w:adjustRightInd w:val="0"/>
              <w:jc w:val="right"/>
              <w:rPr>
                <w:rFonts w:eastAsiaTheme="minorHAnsi"/>
                <w:sz w:val="20"/>
                <w:szCs w:val="20"/>
                <w:lang w:eastAsia="en-US"/>
              </w:rPr>
            </w:pPr>
            <w:r w:rsidRPr="002932C0">
              <w:rPr>
                <w:rFonts w:eastAsiaTheme="minorHAnsi"/>
                <w:sz w:val="20"/>
                <w:szCs w:val="20"/>
                <w:lang w:eastAsia="en-US"/>
              </w:rPr>
              <w:t>36,1</w:t>
            </w:r>
          </w:p>
        </w:tc>
        <w:tc>
          <w:tcPr>
            <w:tcW w:w="724" w:type="dxa"/>
            <w:vAlign w:val="bottom"/>
          </w:tcPr>
          <w:p w:rsidR="00242C36" w:rsidRPr="002932C0" w:rsidRDefault="00242C36" w:rsidP="00242C36">
            <w:pPr>
              <w:autoSpaceDE w:val="0"/>
              <w:autoSpaceDN w:val="0"/>
              <w:adjustRightInd w:val="0"/>
              <w:jc w:val="right"/>
              <w:rPr>
                <w:rFonts w:eastAsiaTheme="minorHAnsi"/>
                <w:sz w:val="20"/>
                <w:szCs w:val="20"/>
                <w:lang w:eastAsia="en-US"/>
              </w:rPr>
            </w:pPr>
            <w:r w:rsidRPr="002932C0">
              <w:rPr>
                <w:rFonts w:eastAsiaTheme="minorHAnsi"/>
                <w:sz w:val="20"/>
                <w:szCs w:val="20"/>
                <w:lang w:eastAsia="en-US"/>
              </w:rPr>
              <w:t>26,2</w:t>
            </w:r>
          </w:p>
        </w:tc>
        <w:tc>
          <w:tcPr>
            <w:tcW w:w="723" w:type="dxa"/>
            <w:vAlign w:val="bottom"/>
          </w:tcPr>
          <w:p w:rsidR="00242C36" w:rsidRPr="002932C0" w:rsidRDefault="00242C36" w:rsidP="00242C36">
            <w:pPr>
              <w:autoSpaceDE w:val="0"/>
              <w:autoSpaceDN w:val="0"/>
              <w:adjustRightInd w:val="0"/>
              <w:jc w:val="right"/>
              <w:rPr>
                <w:rFonts w:eastAsiaTheme="minorHAnsi"/>
                <w:sz w:val="20"/>
                <w:szCs w:val="20"/>
                <w:lang w:eastAsia="en-US"/>
              </w:rPr>
            </w:pPr>
            <w:r w:rsidRPr="002932C0">
              <w:rPr>
                <w:rFonts w:eastAsiaTheme="minorHAnsi"/>
                <w:sz w:val="20"/>
                <w:szCs w:val="20"/>
                <w:lang w:eastAsia="en-US"/>
              </w:rPr>
              <w:t>12,5</w:t>
            </w:r>
          </w:p>
        </w:tc>
        <w:tc>
          <w:tcPr>
            <w:tcW w:w="723" w:type="dxa"/>
            <w:vAlign w:val="bottom"/>
          </w:tcPr>
          <w:p w:rsidR="00242C36" w:rsidRPr="002932C0" w:rsidRDefault="00242C36" w:rsidP="00242C36">
            <w:pPr>
              <w:autoSpaceDE w:val="0"/>
              <w:autoSpaceDN w:val="0"/>
              <w:adjustRightInd w:val="0"/>
              <w:jc w:val="right"/>
              <w:rPr>
                <w:rFonts w:eastAsiaTheme="minorHAnsi"/>
                <w:sz w:val="20"/>
                <w:szCs w:val="20"/>
                <w:lang w:eastAsia="en-US"/>
              </w:rPr>
            </w:pPr>
            <w:r w:rsidRPr="002932C0">
              <w:rPr>
                <w:rFonts w:eastAsiaTheme="minorHAnsi"/>
                <w:sz w:val="20"/>
                <w:szCs w:val="20"/>
                <w:lang w:eastAsia="en-US"/>
              </w:rPr>
              <w:t>32,4</w:t>
            </w:r>
          </w:p>
        </w:tc>
        <w:tc>
          <w:tcPr>
            <w:tcW w:w="736" w:type="dxa"/>
            <w:vAlign w:val="bottom"/>
          </w:tcPr>
          <w:p w:rsidR="00242C36" w:rsidRPr="002932C0" w:rsidRDefault="00242C36" w:rsidP="00242C36">
            <w:pPr>
              <w:autoSpaceDE w:val="0"/>
              <w:autoSpaceDN w:val="0"/>
              <w:adjustRightInd w:val="0"/>
              <w:jc w:val="right"/>
              <w:rPr>
                <w:rFonts w:eastAsiaTheme="minorHAnsi"/>
                <w:sz w:val="20"/>
                <w:szCs w:val="20"/>
                <w:lang w:eastAsia="en-US"/>
              </w:rPr>
            </w:pPr>
            <w:r w:rsidRPr="002932C0">
              <w:rPr>
                <w:rFonts w:eastAsiaTheme="minorHAnsi"/>
                <w:sz w:val="20"/>
                <w:szCs w:val="20"/>
                <w:lang w:eastAsia="en-US"/>
              </w:rPr>
              <w:t>55,1</w:t>
            </w:r>
          </w:p>
        </w:tc>
      </w:tr>
      <w:tr w:rsidR="00242C36" w:rsidRPr="002932C0" w:rsidTr="00242C36">
        <w:trPr>
          <w:trHeight w:val="279"/>
        </w:trPr>
        <w:tc>
          <w:tcPr>
            <w:tcW w:w="984" w:type="dxa"/>
            <w:vAlign w:val="center"/>
          </w:tcPr>
          <w:p w:rsidR="00242C36" w:rsidRPr="002932C0" w:rsidRDefault="00242C36" w:rsidP="00242C36">
            <w:pPr>
              <w:autoSpaceDE w:val="0"/>
              <w:autoSpaceDN w:val="0"/>
              <w:adjustRightInd w:val="0"/>
              <w:jc w:val="center"/>
              <w:rPr>
                <w:rFonts w:eastAsiaTheme="minorHAnsi"/>
                <w:sz w:val="20"/>
                <w:szCs w:val="20"/>
                <w:lang w:eastAsia="en-US"/>
              </w:rPr>
            </w:pPr>
            <w:r w:rsidRPr="002932C0">
              <w:rPr>
                <w:rFonts w:eastAsiaTheme="minorHAnsi"/>
                <w:b/>
                <w:bCs/>
                <w:sz w:val="20"/>
                <w:szCs w:val="20"/>
                <w:lang w:eastAsia="en-US"/>
              </w:rPr>
              <w:t>poľn. p.</w:t>
            </w:r>
          </w:p>
        </w:tc>
        <w:tc>
          <w:tcPr>
            <w:tcW w:w="984" w:type="dxa"/>
            <w:vAlign w:val="bottom"/>
          </w:tcPr>
          <w:p w:rsidR="00242C36" w:rsidRPr="002932C0" w:rsidRDefault="00242C36" w:rsidP="00242C36">
            <w:pPr>
              <w:autoSpaceDE w:val="0"/>
              <w:autoSpaceDN w:val="0"/>
              <w:adjustRightInd w:val="0"/>
              <w:jc w:val="right"/>
              <w:rPr>
                <w:rFonts w:eastAsiaTheme="minorHAnsi"/>
                <w:sz w:val="20"/>
                <w:szCs w:val="20"/>
                <w:lang w:eastAsia="en-US"/>
              </w:rPr>
            </w:pPr>
            <w:r w:rsidRPr="002932C0">
              <w:rPr>
                <w:rFonts w:eastAsiaTheme="minorHAnsi"/>
                <w:sz w:val="20"/>
                <w:szCs w:val="20"/>
                <w:lang w:eastAsia="en-US"/>
              </w:rPr>
              <w:t>23,4</w:t>
            </w:r>
          </w:p>
        </w:tc>
        <w:tc>
          <w:tcPr>
            <w:tcW w:w="984" w:type="dxa"/>
            <w:vAlign w:val="bottom"/>
          </w:tcPr>
          <w:p w:rsidR="00242C36" w:rsidRPr="002932C0" w:rsidRDefault="00242C36" w:rsidP="00242C36">
            <w:pPr>
              <w:autoSpaceDE w:val="0"/>
              <w:autoSpaceDN w:val="0"/>
              <w:adjustRightInd w:val="0"/>
              <w:jc w:val="right"/>
              <w:rPr>
                <w:rFonts w:eastAsiaTheme="minorHAnsi"/>
                <w:sz w:val="20"/>
                <w:szCs w:val="20"/>
                <w:lang w:eastAsia="en-US"/>
              </w:rPr>
            </w:pPr>
            <w:r w:rsidRPr="002932C0">
              <w:rPr>
                <w:rFonts w:eastAsiaTheme="minorHAnsi"/>
                <w:sz w:val="20"/>
                <w:szCs w:val="20"/>
                <w:lang w:eastAsia="en-US"/>
              </w:rPr>
              <w:t>35,2</w:t>
            </w:r>
          </w:p>
        </w:tc>
        <w:tc>
          <w:tcPr>
            <w:tcW w:w="997" w:type="dxa"/>
            <w:vAlign w:val="bottom"/>
          </w:tcPr>
          <w:p w:rsidR="00242C36" w:rsidRPr="002932C0" w:rsidRDefault="00242C36" w:rsidP="00242C36">
            <w:pPr>
              <w:autoSpaceDE w:val="0"/>
              <w:autoSpaceDN w:val="0"/>
              <w:adjustRightInd w:val="0"/>
              <w:jc w:val="right"/>
              <w:rPr>
                <w:rFonts w:eastAsiaTheme="minorHAnsi"/>
                <w:sz w:val="20"/>
                <w:szCs w:val="20"/>
                <w:lang w:eastAsia="en-US"/>
              </w:rPr>
            </w:pPr>
            <w:r w:rsidRPr="002932C0">
              <w:rPr>
                <w:rFonts w:eastAsiaTheme="minorHAnsi"/>
                <w:sz w:val="20"/>
                <w:szCs w:val="20"/>
                <w:lang w:eastAsia="en-US"/>
              </w:rPr>
              <w:t>23,4</w:t>
            </w:r>
          </w:p>
        </w:tc>
        <w:tc>
          <w:tcPr>
            <w:tcW w:w="998" w:type="dxa"/>
            <w:vAlign w:val="bottom"/>
          </w:tcPr>
          <w:p w:rsidR="00242C36" w:rsidRPr="002932C0" w:rsidRDefault="00242C36" w:rsidP="00242C36">
            <w:pPr>
              <w:autoSpaceDE w:val="0"/>
              <w:autoSpaceDN w:val="0"/>
              <w:adjustRightInd w:val="0"/>
              <w:jc w:val="right"/>
              <w:rPr>
                <w:rFonts w:eastAsiaTheme="minorHAnsi"/>
                <w:sz w:val="20"/>
                <w:szCs w:val="20"/>
                <w:lang w:eastAsia="en-US"/>
              </w:rPr>
            </w:pPr>
            <w:r w:rsidRPr="002932C0">
              <w:rPr>
                <w:rFonts w:eastAsiaTheme="minorHAnsi"/>
                <w:sz w:val="20"/>
                <w:szCs w:val="20"/>
                <w:lang w:eastAsia="en-US"/>
              </w:rPr>
              <w:t>18</w:t>
            </w:r>
          </w:p>
        </w:tc>
        <w:tc>
          <w:tcPr>
            <w:tcW w:w="723" w:type="dxa"/>
            <w:vAlign w:val="bottom"/>
          </w:tcPr>
          <w:p w:rsidR="00242C36" w:rsidRPr="002932C0" w:rsidRDefault="00242C36" w:rsidP="00242C36">
            <w:pPr>
              <w:autoSpaceDE w:val="0"/>
              <w:autoSpaceDN w:val="0"/>
              <w:adjustRightInd w:val="0"/>
              <w:jc w:val="right"/>
              <w:rPr>
                <w:rFonts w:eastAsiaTheme="minorHAnsi"/>
                <w:sz w:val="20"/>
                <w:szCs w:val="20"/>
                <w:lang w:eastAsia="en-US"/>
              </w:rPr>
            </w:pPr>
            <w:r w:rsidRPr="002932C0">
              <w:rPr>
                <w:rFonts w:eastAsiaTheme="minorHAnsi"/>
                <w:sz w:val="20"/>
                <w:szCs w:val="20"/>
                <w:lang w:eastAsia="en-US"/>
              </w:rPr>
              <w:t>42,2</w:t>
            </w:r>
          </w:p>
        </w:tc>
        <w:tc>
          <w:tcPr>
            <w:tcW w:w="723" w:type="dxa"/>
            <w:vAlign w:val="bottom"/>
          </w:tcPr>
          <w:p w:rsidR="00242C36" w:rsidRPr="002932C0" w:rsidRDefault="00242C36" w:rsidP="00242C36">
            <w:pPr>
              <w:autoSpaceDE w:val="0"/>
              <w:autoSpaceDN w:val="0"/>
              <w:adjustRightInd w:val="0"/>
              <w:jc w:val="right"/>
              <w:rPr>
                <w:rFonts w:eastAsiaTheme="minorHAnsi"/>
                <w:sz w:val="20"/>
                <w:szCs w:val="20"/>
                <w:lang w:eastAsia="en-US"/>
              </w:rPr>
            </w:pPr>
            <w:r w:rsidRPr="002932C0">
              <w:rPr>
                <w:rFonts w:eastAsiaTheme="minorHAnsi"/>
                <w:sz w:val="20"/>
                <w:szCs w:val="20"/>
                <w:lang w:eastAsia="en-US"/>
              </w:rPr>
              <w:t>33,2</w:t>
            </w:r>
          </w:p>
        </w:tc>
        <w:tc>
          <w:tcPr>
            <w:tcW w:w="724" w:type="dxa"/>
            <w:vAlign w:val="bottom"/>
          </w:tcPr>
          <w:p w:rsidR="00242C36" w:rsidRPr="002932C0" w:rsidRDefault="00242C36" w:rsidP="00242C36">
            <w:pPr>
              <w:autoSpaceDE w:val="0"/>
              <w:autoSpaceDN w:val="0"/>
              <w:adjustRightInd w:val="0"/>
              <w:jc w:val="right"/>
              <w:rPr>
                <w:rFonts w:eastAsiaTheme="minorHAnsi"/>
                <w:sz w:val="20"/>
                <w:szCs w:val="20"/>
                <w:lang w:eastAsia="en-US"/>
              </w:rPr>
            </w:pPr>
            <w:r w:rsidRPr="002932C0">
              <w:rPr>
                <w:rFonts w:eastAsiaTheme="minorHAnsi"/>
                <w:sz w:val="20"/>
                <w:szCs w:val="20"/>
                <w:lang w:eastAsia="en-US"/>
              </w:rPr>
              <w:t>24,7</w:t>
            </w:r>
          </w:p>
        </w:tc>
        <w:tc>
          <w:tcPr>
            <w:tcW w:w="723" w:type="dxa"/>
            <w:vAlign w:val="bottom"/>
          </w:tcPr>
          <w:p w:rsidR="00242C36" w:rsidRPr="002932C0" w:rsidRDefault="00242C36" w:rsidP="00242C36">
            <w:pPr>
              <w:autoSpaceDE w:val="0"/>
              <w:autoSpaceDN w:val="0"/>
              <w:adjustRightInd w:val="0"/>
              <w:jc w:val="right"/>
              <w:rPr>
                <w:rFonts w:eastAsiaTheme="minorHAnsi"/>
                <w:sz w:val="20"/>
                <w:szCs w:val="20"/>
                <w:lang w:eastAsia="en-US"/>
              </w:rPr>
            </w:pPr>
            <w:r w:rsidRPr="002932C0">
              <w:rPr>
                <w:rFonts w:eastAsiaTheme="minorHAnsi"/>
                <w:sz w:val="20"/>
                <w:szCs w:val="20"/>
                <w:lang w:eastAsia="en-US"/>
              </w:rPr>
              <w:t>16,4</w:t>
            </w:r>
          </w:p>
        </w:tc>
        <w:tc>
          <w:tcPr>
            <w:tcW w:w="723" w:type="dxa"/>
            <w:vAlign w:val="bottom"/>
          </w:tcPr>
          <w:p w:rsidR="00242C36" w:rsidRPr="002932C0" w:rsidRDefault="00242C36" w:rsidP="00242C36">
            <w:pPr>
              <w:autoSpaceDE w:val="0"/>
              <w:autoSpaceDN w:val="0"/>
              <w:adjustRightInd w:val="0"/>
              <w:jc w:val="right"/>
              <w:rPr>
                <w:rFonts w:eastAsiaTheme="minorHAnsi"/>
                <w:sz w:val="20"/>
                <w:szCs w:val="20"/>
                <w:lang w:eastAsia="en-US"/>
              </w:rPr>
            </w:pPr>
            <w:r w:rsidRPr="002932C0">
              <w:rPr>
                <w:rFonts w:eastAsiaTheme="minorHAnsi"/>
                <w:sz w:val="20"/>
                <w:szCs w:val="20"/>
                <w:lang w:eastAsia="en-US"/>
              </w:rPr>
              <w:t>30,8</w:t>
            </w:r>
          </w:p>
        </w:tc>
        <w:tc>
          <w:tcPr>
            <w:tcW w:w="736" w:type="dxa"/>
            <w:vAlign w:val="bottom"/>
          </w:tcPr>
          <w:p w:rsidR="00242C36" w:rsidRPr="002932C0" w:rsidRDefault="00242C36" w:rsidP="00242C36">
            <w:pPr>
              <w:autoSpaceDE w:val="0"/>
              <w:autoSpaceDN w:val="0"/>
              <w:adjustRightInd w:val="0"/>
              <w:jc w:val="right"/>
              <w:rPr>
                <w:rFonts w:eastAsiaTheme="minorHAnsi"/>
                <w:sz w:val="20"/>
                <w:szCs w:val="20"/>
                <w:lang w:eastAsia="en-US"/>
              </w:rPr>
            </w:pPr>
            <w:r w:rsidRPr="002932C0">
              <w:rPr>
                <w:rFonts w:eastAsiaTheme="minorHAnsi"/>
                <w:sz w:val="20"/>
                <w:szCs w:val="20"/>
                <w:lang w:eastAsia="en-US"/>
              </w:rPr>
              <w:t>52,9</w:t>
            </w:r>
          </w:p>
        </w:tc>
      </w:tr>
    </w:tbl>
    <w:p w:rsidR="00242C36" w:rsidRPr="002932C0" w:rsidRDefault="00242C36" w:rsidP="00242C36">
      <w:pPr>
        <w:autoSpaceDE w:val="0"/>
        <w:autoSpaceDN w:val="0"/>
        <w:adjustRightInd w:val="0"/>
        <w:rPr>
          <w:rFonts w:eastAsiaTheme="minorHAnsi"/>
          <w:sz w:val="20"/>
          <w:szCs w:val="20"/>
          <w:lang w:eastAsia="en-US"/>
        </w:rPr>
      </w:pPr>
      <w:r w:rsidRPr="002932C0">
        <w:rPr>
          <w:rFonts w:eastAsiaTheme="minorHAnsi"/>
          <w:sz w:val="20"/>
          <w:szCs w:val="20"/>
          <w:lang w:eastAsia="en-US"/>
        </w:rPr>
        <w:t>Zdroj: ÚKSÚP, XII Cyklus ASP</w:t>
      </w:r>
    </w:p>
    <w:p w:rsidR="00242C36" w:rsidRDefault="00242C36" w:rsidP="00242C36">
      <w:pPr>
        <w:autoSpaceDE w:val="0"/>
        <w:autoSpaceDN w:val="0"/>
        <w:adjustRightInd w:val="0"/>
        <w:rPr>
          <w:rFonts w:eastAsiaTheme="minorHAnsi"/>
          <w:szCs w:val="22"/>
          <w:lang w:eastAsia="en-US"/>
        </w:rPr>
      </w:pPr>
    </w:p>
    <w:p w:rsidR="00242C36" w:rsidRPr="002932C0" w:rsidRDefault="00242C36" w:rsidP="00242C36">
      <w:pPr>
        <w:autoSpaceDE w:val="0"/>
        <w:autoSpaceDN w:val="0"/>
        <w:adjustRightInd w:val="0"/>
        <w:rPr>
          <w:rFonts w:eastAsiaTheme="minorHAnsi"/>
          <w:szCs w:val="22"/>
          <w:lang w:eastAsia="en-US"/>
        </w:rPr>
      </w:pPr>
      <w:r w:rsidRPr="002932C0">
        <w:rPr>
          <w:rFonts w:eastAsiaTheme="minorHAnsi"/>
          <w:szCs w:val="22"/>
          <w:lang w:eastAsia="en-US"/>
        </w:rPr>
        <w:t>Podľa prepočtu z údajov o výmere zo štatistickej ročenky vychádza, že v SR máme 180 762ha ornej pôdy a 565 186 ha poľnohospodárskej pôdy kyslej, s pH pod 5,5.</w:t>
      </w:r>
    </w:p>
    <w:p w:rsidR="00242C36" w:rsidRPr="002932C0" w:rsidRDefault="00242C36" w:rsidP="00242C36">
      <w:pPr>
        <w:autoSpaceDE w:val="0"/>
        <w:autoSpaceDN w:val="0"/>
        <w:adjustRightInd w:val="0"/>
        <w:rPr>
          <w:rFonts w:eastAsiaTheme="minorHAnsi"/>
          <w:szCs w:val="22"/>
          <w:lang w:eastAsia="en-US"/>
        </w:rPr>
      </w:pPr>
      <w:r w:rsidRPr="002932C0">
        <w:rPr>
          <w:rFonts w:eastAsiaTheme="minorHAnsi"/>
          <w:b/>
          <w:bCs/>
          <w:szCs w:val="22"/>
          <w:lang w:eastAsia="en-US"/>
        </w:rPr>
        <w:t>Organická hmota v pôde</w:t>
      </w:r>
    </w:p>
    <w:p w:rsidR="00242C36" w:rsidRDefault="00242C36" w:rsidP="00366F96">
      <w:pPr>
        <w:autoSpaceDE w:val="0"/>
        <w:autoSpaceDN w:val="0"/>
        <w:adjustRightInd w:val="0"/>
        <w:spacing w:after="120"/>
        <w:rPr>
          <w:rFonts w:eastAsiaTheme="minorHAnsi"/>
          <w:szCs w:val="22"/>
          <w:lang w:eastAsia="en-US"/>
        </w:rPr>
      </w:pPr>
      <w:r w:rsidRPr="002932C0">
        <w:rPr>
          <w:rFonts w:eastAsiaTheme="minorHAnsi"/>
          <w:szCs w:val="22"/>
          <w:lang w:eastAsia="en-US"/>
        </w:rPr>
        <w:t xml:space="preserve">Ak je obhospodarovanie pôdy nevyhovujúce podporuje degradáciu pôd, ktorá spôsobuje značné škody. Popri zhutnení, okyslení a erózii je sprievodným znakom degradácie pôd je aj strata pôdnej organickej hmoty a s tým súvisiace zhoršenie biologickej aktivity a vodného režimu pôdy. Ako reprezentatívny indikátor na vyjadrenie kvality pôdy bol Európskou komisiou zvolený obsah organického uhlíka v pôde. Pozičný dokument EK odporúča SR podporovať opatrenia na ochranu pôdy pred eróziou, zhutňovaním, zasoľovaním a stratou organických látok. </w:t>
      </w:r>
    </w:p>
    <w:p w:rsidR="00242C36" w:rsidRDefault="00242C36" w:rsidP="00366F96">
      <w:pPr>
        <w:autoSpaceDE w:val="0"/>
        <w:autoSpaceDN w:val="0"/>
        <w:adjustRightInd w:val="0"/>
        <w:spacing w:after="120"/>
        <w:rPr>
          <w:rFonts w:eastAsiaTheme="minorHAnsi"/>
          <w:szCs w:val="22"/>
          <w:lang w:eastAsia="en-US"/>
        </w:rPr>
      </w:pPr>
      <w:r w:rsidRPr="002932C0">
        <w:rPr>
          <w:rFonts w:eastAsiaTheme="minorHAnsi"/>
          <w:szCs w:val="22"/>
          <w:lang w:eastAsia="en-US"/>
        </w:rPr>
        <w:t xml:space="preserve">V roku 2009 celkový odhad </w:t>
      </w:r>
      <w:r w:rsidRPr="002932C0">
        <w:rPr>
          <w:rFonts w:eastAsiaTheme="minorHAnsi"/>
          <w:b/>
          <w:bCs/>
          <w:szCs w:val="22"/>
          <w:lang w:eastAsia="en-US"/>
        </w:rPr>
        <w:t>obsahu organického uhlíka</w:t>
      </w:r>
      <w:r w:rsidRPr="002932C0">
        <w:rPr>
          <w:rFonts w:eastAsiaTheme="minorHAnsi"/>
          <w:szCs w:val="22"/>
          <w:lang w:eastAsia="en-US"/>
        </w:rPr>
        <w:t xml:space="preserve"> (CCI 41) dosiahol 24,1745 mega ton a stredný obsah organického uhlíka 11,3 g.kg</w:t>
      </w:r>
      <w:r w:rsidRPr="002932C0">
        <w:rPr>
          <w:rFonts w:eastAsiaTheme="minorHAnsi"/>
          <w:szCs w:val="22"/>
          <w:vertAlign w:val="superscript"/>
          <w:lang w:eastAsia="en-US"/>
        </w:rPr>
        <w:t>-1</w:t>
      </w:r>
      <w:r w:rsidRPr="002932C0">
        <w:rPr>
          <w:rFonts w:eastAsiaTheme="minorHAnsi"/>
          <w:szCs w:val="22"/>
          <w:lang w:eastAsia="en-US"/>
        </w:rPr>
        <w:t>.</w:t>
      </w:r>
    </w:p>
    <w:p w:rsidR="00242C36" w:rsidRDefault="00242C36" w:rsidP="00366F96">
      <w:pPr>
        <w:autoSpaceDE w:val="0"/>
        <w:autoSpaceDN w:val="0"/>
        <w:adjustRightInd w:val="0"/>
        <w:spacing w:after="120"/>
        <w:rPr>
          <w:rFonts w:eastAsiaTheme="minorHAnsi"/>
          <w:szCs w:val="22"/>
          <w:lang w:eastAsia="en-US"/>
        </w:rPr>
      </w:pPr>
      <w:r w:rsidRPr="002932C0">
        <w:rPr>
          <w:rFonts w:eastAsiaTheme="minorHAnsi"/>
          <w:szCs w:val="22"/>
          <w:lang w:eastAsia="en-US"/>
        </w:rPr>
        <w:t>V priemere za SR 83,4% poľnohospodárskej pôdy evidovanej v Registri pôdy (VÚPOP) má stredný až vysoký obsah organického uhlíka (nad 1,8%), zvyšných 16,6% pôd má obsah organického uhlíka nižší ako 1,8%.</w:t>
      </w:r>
    </w:p>
    <w:p w:rsidR="00242C36" w:rsidRPr="002932C0" w:rsidRDefault="00242C36" w:rsidP="00242C36">
      <w:pPr>
        <w:autoSpaceDE w:val="0"/>
        <w:autoSpaceDN w:val="0"/>
        <w:adjustRightInd w:val="0"/>
        <w:rPr>
          <w:rFonts w:eastAsiaTheme="minorHAnsi"/>
          <w:szCs w:val="22"/>
          <w:lang w:eastAsia="en-US"/>
        </w:rPr>
      </w:pPr>
      <w:r w:rsidRPr="002932C0">
        <w:rPr>
          <w:rFonts w:eastAsiaTheme="minorHAnsi"/>
          <w:szCs w:val="22"/>
          <w:lang w:eastAsia="en-US"/>
        </w:rPr>
        <w:t>Priemerný obsah organického uhlíka (VÚPOP) na všetkých poľnohospodársky využívaných pôdnych typoch pohybuje v úzkom rozmedzí 1-2 %. Hodnoty POC na trvalých trávnych porastoch (TTP) sú podstatne vyššie. Nižšie hodnoty POC na OP v porovnaní s TTP sú dôsledkom narušenia prirodzenej rovnováhy dlhodobým intenzívnym obrábaním pôdy.</w:t>
      </w:r>
      <w:r w:rsidRPr="002932C0">
        <w:rPr>
          <w:rFonts w:eastAsiaTheme="minorHAnsi"/>
          <w:b/>
          <w:bCs/>
          <w:szCs w:val="22"/>
          <w:lang w:eastAsia="en-US"/>
        </w:rPr>
        <w:t xml:space="preserve"> </w:t>
      </w:r>
    </w:p>
    <w:p w:rsidR="00242C36" w:rsidRDefault="00242C36" w:rsidP="00242C36">
      <w:pPr>
        <w:keepNext/>
        <w:keepLines/>
        <w:pBdr>
          <w:bar w:val="single" w:sz="6" w:color="808080"/>
        </w:pBdr>
        <w:spacing w:after="120"/>
        <w:outlineLvl w:val="1"/>
        <w:rPr>
          <w:rFonts w:ascii="Calibri" w:hAnsi="Calibri"/>
          <w:b/>
          <w:bCs/>
          <w:szCs w:val="22"/>
        </w:rPr>
      </w:pPr>
    </w:p>
    <w:p w:rsidR="00242C36" w:rsidRPr="00E43137" w:rsidRDefault="00242C36" w:rsidP="00242C36">
      <w:pPr>
        <w:keepNext/>
        <w:keepLines/>
        <w:pBdr>
          <w:bar w:val="single" w:sz="6" w:color="808080"/>
        </w:pBdr>
        <w:spacing w:after="120"/>
        <w:outlineLvl w:val="1"/>
        <w:rPr>
          <w:rFonts w:ascii="Calibri" w:hAnsi="Calibri"/>
          <w:b/>
          <w:bCs/>
          <w:szCs w:val="22"/>
        </w:rPr>
      </w:pPr>
      <w:r w:rsidRPr="00E43137">
        <w:rPr>
          <w:rFonts w:ascii="Calibri" w:hAnsi="Calibri"/>
          <w:b/>
          <w:bCs/>
          <w:szCs w:val="22"/>
        </w:rPr>
        <w:t>Pôdna erózia</w:t>
      </w:r>
      <w:r>
        <w:rPr>
          <w:rFonts w:ascii="Calibri" w:hAnsi="Calibri"/>
          <w:b/>
          <w:bCs/>
          <w:szCs w:val="22"/>
        </w:rPr>
        <w:t xml:space="preserve"> </w:t>
      </w:r>
    </w:p>
    <w:p w:rsidR="00242C36" w:rsidRPr="00E43137" w:rsidRDefault="00242C36" w:rsidP="00242C36">
      <w:pPr>
        <w:pBdr>
          <w:bar w:val="single" w:sz="6" w:color="808080"/>
        </w:pBdr>
        <w:spacing w:after="120"/>
        <w:rPr>
          <w:rFonts w:ascii="Calibri" w:eastAsia="Calibri" w:hAnsi="Calibri"/>
          <w:szCs w:val="22"/>
          <w:lang w:eastAsia="en-US"/>
        </w:rPr>
      </w:pPr>
      <w:r w:rsidRPr="00E43137">
        <w:rPr>
          <w:rFonts w:ascii="Calibri" w:eastAsia="Calibri" w:hAnsi="Calibri"/>
          <w:szCs w:val="22"/>
          <w:lang w:eastAsia="en-US"/>
        </w:rPr>
        <w:t>Nevyhovujúce obhospodarovanie pôdy spôsobuje degradáciu pôd, ktorá spôsobuje každoročne značné škody, osobitne erózia (vodná a veterná). Škody možno odhadnúť na niekoľko stoviek mil. EUR ročne (strata ornice, zníženie úrod, zanášanie tokov, škody na majetku, vyššia potreba zavlažovania a hnojenia na dosiahnutie adekvátnej úrody, atď.).</w:t>
      </w:r>
    </w:p>
    <w:p w:rsidR="00242C36" w:rsidRDefault="00242C36" w:rsidP="00242C36">
      <w:pPr>
        <w:rPr>
          <w:rFonts w:ascii="Calibri" w:hAnsi="Calibri"/>
          <w:szCs w:val="22"/>
        </w:rPr>
      </w:pPr>
      <w:r w:rsidRPr="00BD21DD">
        <w:rPr>
          <w:rFonts w:ascii="Calibri" w:hAnsi="Calibri"/>
          <w:color w:val="000000"/>
          <w:szCs w:val="22"/>
        </w:rPr>
        <w:t xml:space="preserve">Podrobnejšiu klasifikáciu pôd ohrozených </w:t>
      </w:r>
      <w:r w:rsidRPr="004F4AB0">
        <w:rPr>
          <w:rFonts w:ascii="Calibri" w:hAnsi="Calibri"/>
          <w:b/>
          <w:color w:val="000000"/>
          <w:szCs w:val="22"/>
        </w:rPr>
        <w:t>vodnou eróziou</w:t>
      </w:r>
      <w:r w:rsidRPr="00BD21DD">
        <w:rPr>
          <w:rFonts w:ascii="Calibri" w:hAnsi="Calibri"/>
          <w:color w:val="000000"/>
          <w:szCs w:val="22"/>
        </w:rPr>
        <w:t xml:space="preserve"> uvádza nasledovná tabuľka.</w:t>
      </w:r>
      <w:r>
        <w:rPr>
          <w:rFonts w:ascii="Calibri" w:hAnsi="Calibri"/>
          <w:color w:val="000000"/>
          <w:szCs w:val="22"/>
        </w:rPr>
        <w:t xml:space="preserve"> </w:t>
      </w:r>
      <w:r w:rsidRPr="00C51010">
        <w:rPr>
          <w:rFonts w:ascii="Calibri" w:hAnsi="Calibri"/>
          <w:szCs w:val="22"/>
        </w:rPr>
        <w:t>Hodnoty CCI 42 z r. 2006/07 sú neaktuálne a preto uvádzame presnejšie hodnoty z vlastných  meraní NPPC-VÚPOP.</w:t>
      </w:r>
    </w:p>
    <w:p w:rsidR="008F198F" w:rsidRPr="00BD21DD" w:rsidRDefault="008F198F" w:rsidP="00242C36">
      <w:pPr>
        <w:rPr>
          <w:rFonts w:ascii="Calibri" w:hAnsi="Calibri"/>
          <w:color w:val="000000"/>
          <w:szCs w:val="22"/>
        </w:rPr>
      </w:pPr>
    </w:p>
    <w:p w:rsidR="00242C36" w:rsidRPr="00BD21DD" w:rsidRDefault="008F198F" w:rsidP="00242C36">
      <w:pPr>
        <w:keepNext/>
        <w:spacing w:after="120"/>
        <w:rPr>
          <w:rFonts w:ascii="Calibri" w:hAnsi="Calibri"/>
          <w:b/>
          <w:color w:val="000000"/>
          <w:szCs w:val="22"/>
        </w:rPr>
      </w:pPr>
      <w:r>
        <w:rPr>
          <w:rFonts w:ascii="Calibri" w:hAnsi="Calibri"/>
          <w:b/>
          <w:iCs/>
          <w:color w:val="000000"/>
          <w:szCs w:val="22"/>
        </w:rPr>
        <w:t xml:space="preserve">Tabuľka 56: </w:t>
      </w:r>
      <w:r w:rsidR="00242C36" w:rsidRPr="00BD21DD">
        <w:rPr>
          <w:rFonts w:ascii="Calibri" w:hAnsi="Calibri"/>
          <w:b/>
          <w:iCs/>
          <w:color w:val="000000"/>
          <w:szCs w:val="22"/>
        </w:rPr>
        <w:t xml:space="preserve">Percentuálne zastúpenie kategórií erodovanosti pôd na území SR </w:t>
      </w:r>
    </w:p>
    <w:tbl>
      <w:tblPr>
        <w:tblW w:w="8942" w:type="dxa"/>
        <w:tblInd w:w="108" w:type="dxa"/>
        <w:tblCellMar>
          <w:left w:w="0" w:type="dxa"/>
          <w:right w:w="0" w:type="dxa"/>
        </w:tblCellMar>
        <w:tblLook w:val="00A0" w:firstRow="1" w:lastRow="0" w:firstColumn="1" w:lastColumn="0" w:noHBand="0" w:noVBand="0"/>
      </w:tblPr>
      <w:tblGrid>
        <w:gridCol w:w="1853"/>
        <w:gridCol w:w="1485"/>
        <w:gridCol w:w="907"/>
        <w:gridCol w:w="908"/>
        <w:gridCol w:w="710"/>
        <w:gridCol w:w="908"/>
        <w:gridCol w:w="777"/>
        <w:gridCol w:w="740"/>
        <w:gridCol w:w="654"/>
      </w:tblGrid>
      <w:tr w:rsidR="00242C36" w:rsidRPr="00BD21DD" w:rsidTr="00242C36">
        <w:trPr>
          <w:trHeight w:val="46"/>
        </w:trPr>
        <w:tc>
          <w:tcPr>
            <w:tcW w:w="1853" w:type="dxa"/>
            <w:vMerge w:val="restart"/>
            <w:tcBorders>
              <w:top w:val="single" w:sz="8" w:space="0" w:color="FFFFFF"/>
              <w:left w:val="single" w:sz="8" w:space="0" w:color="FFFFFF"/>
              <w:bottom w:val="single" w:sz="8" w:space="0" w:color="FFFFFF"/>
              <w:right w:val="nil"/>
            </w:tcBorders>
            <w:shd w:val="clear" w:color="auto" w:fill="5B9BD5"/>
            <w:noWrap/>
            <w:tcMar>
              <w:top w:w="0" w:type="dxa"/>
              <w:left w:w="108" w:type="dxa"/>
              <w:bottom w:w="0" w:type="dxa"/>
              <w:right w:w="108" w:type="dxa"/>
            </w:tcMar>
          </w:tcPr>
          <w:p w:rsidR="00242C36" w:rsidRPr="00BD21DD" w:rsidRDefault="00242C36" w:rsidP="00242C36">
            <w:pPr>
              <w:spacing w:line="56" w:lineRule="atLeast"/>
              <w:jc w:val="center"/>
              <w:rPr>
                <w:rFonts w:ascii="Calibri" w:hAnsi="Calibri"/>
                <w:color w:val="000000"/>
                <w:sz w:val="20"/>
                <w:szCs w:val="20"/>
              </w:rPr>
            </w:pPr>
            <w:r w:rsidRPr="00BD21DD">
              <w:rPr>
                <w:rFonts w:ascii="Calibri" w:hAnsi="Calibri"/>
                <w:b/>
                <w:bCs/>
                <w:iCs/>
                <w:color w:val="000000"/>
                <w:sz w:val="20"/>
                <w:szCs w:val="20"/>
              </w:rPr>
              <w:t>Kategória erodovanosti</w:t>
            </w:r>
          </w:p>
        </w:tc>
        <w:tc>
          <w:tcPr>
            <w:tcW w:w="1485" w:type="dxa"/>
            <w:vMerge w:val="restart"/>
            <w:tcBorders>
              <w:top w:val="single" w:sz="8" w:space="0" w:color="FFFFFF"/>
              <w:left w:val="nil"/>
              <w:bottom w:val="single" w:sz="8" w:space="0" w:color="FFFFFF"/>
              <w:right w:val="nil"/>
            </w:tcBorders>
            <w:shd w:val="clear" w:color="auto" w:fill="5B9BD5"/>
            <w:noWrap/>
            <w:tcMar>
              <w:top w:w="0" w:type="dxa"/>
              <w:left w:w="108" w:type="dxa"/>
              <w:bottom w:w="0" w:type="dxa"/>
              <w:right w:w="108" w:type="dxa"/>
            </w:tcMar>
          </w:tcPr>
          <w:p w:rsidR="00242C36" w:rsidRPr="00BD21DD" w:rsidRDefault="00242C36" w:rsidP="00242C36">
            <w:pPr>
              <w:spacing w:line="56" w:lineRule="atLeast"/>
              <w:jc w:val="center"/>
              <w:rPr>
                <w:rFonts w:ascii="Calibri" w:hAnsi="Calibri"/>
                <w:color w:val="000000"/>
                <w:sz w:val="20"/>
                <w:szCs w:val="20"/>
              </w:rPr>
            </w:pPr>
            <w:r w:rsidRPr="00BD21DD">
              <w:rPr>
                <w:rFonts w:ascii="Calibri" w:hAnsi="Calibri"/>
                <w:b/>
                <w:bCs/>
                <w:iCs/>
                <w:color w:val="000000"/>
                <w:sz w:val="20"/>
                <w:szCs w:val="20"/>
              </w:rPr>
              <w:t>Priemerná ročná strata pôdy</w:t>
            </w:r>
          </w:p>
        </w:tc>
        <w:tc>
          <w:tcPr>
            <w:tcW w:w="5603" w:type="dxa"/>
            <w:gridSpan w:val="7"/>
            <w:tcBorders>
              <w:top w:val="single" w:sz="8" w:space="0" w:color="FFFFFF"/>
              <w:left w:val="nil"/>
              <w:bottom w:val="single" w:sz="8" w:space="0" w:color="FFFFFF"/>
              <w:right w:val="single" w:sz="8" w:space="0" w:color="FFFFFF"/>
            </w:tcBorders>
            <w:shd w:val="clear" w:color="auto" w:fill="5B9BD5"/>
            <w:tcMar>
              <w:top w:w="0" w:type="dxa"/>
              <w:left w:w="108" w:type="dxa"/>
              <w:bottom w:w="0" w:type="dxa"/>
              <w:right w:w="108" w:type="dxa"/>
            </w:tcMar>
          </w:tcPr>
          <w:p w:rsidR="00242C36" w:rsidRPr="00BD21DD" w:rsidRDefault="00242C36" w:rsidP="00242C36">
            <w:pPr>
              <w:spacing w:line="45" w:lineRule="atLeast"/>
              <w:jc w:val="center"/>
              <w:rPr>
                <w:rFonts w:ascii="Calibri" w:hAnsi="Calibri"/>
                <w:b/>
                <w:bCs/>
                <w:iCs/>
                <w:color w:val="000000"/>
                <w:sz w:val="20"/>
                <w:szCs w:val="20"/>
              </w:rPr>
            </w:pPr>
            <w:r w:rsidRPr="00BD21DD">
              <w:rPr>
                <w:rFonts w:ascii="Calibri" w:hAnsi="Calibri"/>
                <w:b/>
                <w:bCs/>
                <w:iCs/>
                <w:color w:val="000000"/>
                <w:sz w:val="20"/>
                <w:szCs w:val="20"/>
              </w:rPr>
              <w:t>Zastúpenie kategórií erodovanosti vypočítané z celkovej výmery LPIS v jednotlivých rokoch 2007 - 2011 (%)</w:t>
            </w:r>
          </w:p>
        </w:tc>
      </w:tr>
      <w:tr w:rsidR="00242C36" w:rsidRPr="00BD21DD" w:rsidTr="00242C36">
        <w:trPr>
          <w:trHeight w:val="46"/>
        </w:trPr>
        <w:tc>
          <w:tcPr>
            <w:tcW w:w="0" w:type="auto"/>
            <w:vMerge/>
            <w:tcBorders>
              <w:top w:val="single" w:sz="8" w:space="0" w:color="FFFFFF"/>
              <w:left w:val="single" w:sz="8" w:space="0" w:color="FFFFFF"/>
              <w:bottom w:val="single" w:sz="8" w:space="0" w:color="FFFFFF"/>
              <w:right w:val="nil"/>
            </w:tcBorders>
            <w:vAlign w:val="center"/>
          </w:tcPr>
          <w:p w:rsidR="00242C36" w:rsidRPr="00BD21DD" w:rsidRDefault="00242C36" w:rsidP="00242C36">
            <w:pPr>
              <w:rPr>
                <w:rFonts w:ascii="Calibri" w:hAnsi="Calibri"/>
                <w:color w:val="000000"/>
                <w:sz w:val="20"/>
                <w:szCs w:val="20"/>
              </w:rPr>
            </w:pPr>
          </w:p>
        </w:tc>
        <w:tc>
          <w:tcPr>
            <w:tcW w:w="1485" w:type="dxa"/>
            <w:vMerge/>
            <w:tcBorders>
              <w:top w:val="single" w:sz="8" w:space="0" w:color="FFFFFF"/>
              <w:left w:val="nil"/>
              <w:bottom w:val="single" w:sz="8" w:space="0" w:color="FFFFFF"/>
              <w:right w:val="nil"/>
            </w:tcBorders>
            <w:vAlign w:val="center"/>
          </w:tcPr>
          <w:p w:rsidR="00242C36" w:rsidRPr="00BD21DD" w:rsidRDefault="00242C36" w:rsidP="00242C36">
            <w:pPr>
              <w:rPr>
                <w:rFonts w:ascii="Calibri" w:hAnsi="Calibri"/>
                <w:color w:val="000000"/>
                <w:sz w:val="20"/>
                <w:szCs w:val="20"/>
              </w:rPr>
            </w:pPr>
          </w:p>
        </w:tc>
        <w:tc>
          <w:tcPr>
            <w:tcW w:w="907" w:type="dxa"/>
            <w:tcBorders>
              <w:top w:val="nil"/>
              <w:left w:val="single" w:sz="8" w:space="0" w:color="FFFFFF"/>
              <w:bottom w:val="single" w:sz="8" w:space="0" w:color="FFFFFF"/>
              <w:right w:val="single" w:sz="8" w:space="0" w:color="FFFFFF"/>
            </w:tcBorders>
            <w:shd w:val="clear" w:color="auto" w:fill="BDD6EE"/>
            <w:noWrap/>
            <w:tcMar>
              <w:top w:w="0" w:type="dxa"/>
              <w:left w:w="108" w:type="dxa"/>
              <w:bottom w:w="0" w:type="dxa"/>
              <w:right w:w="108" w:type="dxa"/>
            </w:tcMar>
          </w:tcPr>
          <w:p w:rsidR="00242C36" w:rsidRPr="00BD21DD" w:rsidRDefault="00242C36" w:rsidP="00242C36">
            <w:pPr>
              <w:spacing w:line="45" w:lineRule="atLeast"/>
              <w:jc w:val="center"/>
              <w:rPr>
                <w:rFonts w:ascii="Calibri" w:hAnsi="Calibri"/>
                <w:color w:val="000000"/>
                <w:sz w:val="20"/>
                <w:szCs w:val="20"/>
              </w:rPr>
            </w:pPr>
            <w:r w:rsidRPr="00BD21DD">
              <w:rPr>
                <w:rFonts w:ascii="Calibri" w:hAnsi="Calibri"/>
                <w:iCs/>
                <w:color w:val="000000"/>
                <w:sz w:val="20"/>
                <w:szCs w:val="20"/>
              </w:rPr>
              <w:t>2007</w:t>
            </w:r>
          </w:p>
        </w:tc>
        <w:tc>
          <w:tcPr>
            <w:tcW w:w="908" w:type="dxa"/>
            <w:tcBorders>
              <w:top w:val="nil"/>
              <w:left w:val="nil"/>
              <w:bottom w:val="single" w:sz="8" w:space="0" w:color="FFFFFF"/>
              <w:right w:val="single" w:sz="8" w:space="0" w:color="FFFFFF"/>
            </w:tcBorders>
            <w:shd w:val="clear" w:color="auto" w:fill="BDD6EE"/>
            <w:noWrap/>
            <w:tcMar>
              <w:top w:w="0" w:type="dxa"/>
              <w:left w:w="108" w:type="dxa"/>
              <w:bottom w:w="0" w:type="dxa"/>
              <w:right w:w="108" w:type="dxa"/>
            </w:tcMar>
          </w:tcPr>
          <w:p w:rsidR="00242C36" w:rsidRPr="00BD21DD" w:rsidRDefault="00242C36" w:rsidP="00242C36">
            <w:pPr>
              <w:spacing w:line="45" w:lineRule="atLeast"/>
              <w:jc w:val="center"/>
              <w:rPr>
                <w:rFonts w:ascii="Calibri" w:hAnsi="Calibri"/>
                <w:color w:val="000000"/>
                <w:sz w:val="20"/>
                <w:szCs w:val="20"/>
              </w:rPr>
            </w:pPr>
            <w:r w:rsidRPr="00BD21DD">
              <w:rPr>
                <w:rFonts w:ascii="Calibri" w:hAnsi="Calibri"/>
                <w:iCs/>
                <w:color w:val="000000"/>
                <w:sz w:val="20"/>
                <w:szCs w:val="20"/>
              </w:rPr>
              <w:t>2008</w:t>
            </w:r>
          </w:p>
        </w:tc>
        <w:tc>
          <w:tcPr>
            <w:tcW w:w="710" w:type="dxa"/>
            <w:tcBorders>
              <w:top w:val="nil"/>
              <w:left w:val="nil"/>
              <w:bottom w:val="single" w:sz="8" w:space="0" w:color="FFFFFF"/>
              <w:right w:val="single" w:sz="8" w:space="0" w:color="FFFFFF"/>
            </w:tcBorders>
            <w:shd w:val="clear" w:color="auto" w:fill="BDD6EE"/>
            <w:noWrap/>
            <w:tcMar>
              <w:top w:w="0" w:type="dxa"/>
              <w:left w:w="108" w:type="dxa"/>
              <w:bottom w:w="0" w:type="dxa"/>
              <w:right w:w="108" w:type="dxa"/>
            </w:tcMar>
          </w:tcPr>
          <w:p w:rsidR="00242C36" w:rsidRPr="00BD21DD" w:rsidRDefault="00242C36" w:rsidP="00242C36">
            <w:pPr>
              <w:spacing w:line="45" w:lineRule="atLeast"/>
              <w:jc w:val="center"/>
              <w:rPr>
                <w:rFonts w:ascii="Calibri" w:hAnsi="Calibri"/>
                <w:color w:val="000000"/>
                <w:sz w:val="20"/>
                <w:szCs w:val="20"/>
              </w:rPr>
            </w:pPr>
            <w:r w:rsidRPr="00BD21DD">
              <w:rPr>
                <w:rFonts w:ascii="Calibri" w:hAnsi="Calibri"/>
                <w:iCs/>
                <w:color w:val="000000"/>
                <w:sz w:val="20"/>
                <w:szCs w:val="20"/>
              </w:rPr>
              <w:t>2009</w:t>
            </w:r>
          </w:p>
        </w:tc>
        <w:tc>
          <w:tcPr>
            <w:tcW w:w="908" w:type="dxa"/>
            <w:tcBorders>
              <w:top w:val="nil"/>
              <w:left w:val="nil"/>
              <w:bottom w:val="single" w:sz="8" w:space="0" w:color="FFFFFF"/>
              <w:right w:val="single" w:sz="8" w:space="0" w:color="FFFFFF"/>
            </w:tcBorders>
            <w:shd w:val="clear" w:color="auto" w:fill="BDD6EE"/>
            <w:noWrap/>
            <w:tcMar>
              <w:top w:w="0" w:type="dxa"/>
              <w:left w:w="108" w:type="dxa"/>
              <w:bottom w:w="0" w:type="dxa"/>
              <w:right w:w="108" w:type="dxa"/>
            </w:tcMar>
          </w:tcPr>
          <w:p w:rsidR="00242C36" w:rsidRPr="00BD21DD" w:rsidRDefault="00242C36" w:rsidP="00242C36">
            <w:pPr>
              <w:spacing w:line="45" w:lineRule="atLeast"/>
              <w:jc w:val="center"/>
              <w:rPr>
                <w:rFonts w:ascii="Calibri" w:hAnsi="Calibri"/>
                <w:color w:val="000000"/>
                <w:sz w:val="20"/>
                <w:szCs w:val="20"/>
              </w:rPr>
            </w:pPr>
            <w:r w:rsidRPr="00BD21DD">
              <w:rPr>
                <w:rFonts w:ascii="Calibri" w:hAnsi="Calibri"/>
                <w:iCs/>
                <w:color w:val="000000"/>
                <w:sz w:val="20"/>
                <w:szCs w:val="20"/>
              </w:rPr>
              <w:t>2010</w:t>
            </w:r>
          </w:p>
        </w:tc>
        <w:tc>
          <w:tcPr>
            <w:tcW w:w="777" w:type="dxa"/>
            <w:tcBorders>
              <w:top w:val="nil"/>
              <w:left w:val="nil"/>
              <w:bottom w:val="single" w:sz="8" w:space="0" w:color="FFFFFF"/>
              <w:right w:val="single" w:sz="8" w:space="0" w:color="FFFFFF"/>
            </w:tcBorders>
            <w:shd w:val="clear" w:color="auto" w:fill="BDD6EE"/>
            <w:noWrap/>
            <w:tcMar>
              <w:top w:w="0" w:type="dxa"/>
              <w:left w:w="108" w:type="dxa"/>
              <w:bottom w:w="0" w:type="dxa"/>
              <w:right w:w="108" w:type="dxa"/>
            </w:tcMar>
          </w:tcPr>
          <w:p w:rsidR="00242C36" w:rsidRPr="00BD21DD" w:rsidRDefault="00242C36" w:rsidP="00242C36">
            <w:pPr>
              <w:spacing w:line="45" w:lineRule="atLeast"/>
              <w:jc w:val="center"/>
              <w:rPr>
                <w:rFonts w:ascii="Calibri" w:hAnsi="Calibri"/>
                <w:color w:val="000000"/>
                <w:sz w:val="20"/>
                <w:szCs w:val="20"/>
              </w:rPr>
            </w:pPr>
            <w:r w:rsidRPr="00BD21DD">
              <w:rPr>
                <w:rFonts w:ascii="Calibri" w:hAnsi="Calibri"/>
                <w:iCs/>
                <w:color w:val="000000"/>
                <w:sz w:val="20"/>
                <w:szCs w:val="20"/>
              </w:rPr>
              <w:t>2011</w:t>
            </w:r>
          </w:p>
        </w:tc>
        <w:tc>
          <w:tcPr>
            <w:tcW w:w="740" w:type="dxa"/>
            <w:tcBorders>
              <w:top w:val="nil"/>
              <w:left w:val="nil"/>
              <w:bottom w:val="single" w:sz="8" w:space="0" w:color="FFFFFF"/>
              <w:right w:val="single" w:sz="4" w:space="0" w:color="FFFFFF"/>
            </w:tcBorders>
            <w:shd w:val="clear" w:color="auto" w:fill="BDD6EE"/>
          </w:tcPr>
          <w:p w:rsidR="00242C36" w:rsidRPr="00C51010" w:rsidRDefault="00242C36" w:rsidP="00242C36">
            <w:pPr>
              <w:spacing w:line="45" w:lineRule="atLeast"/>
              <w:jc w:val="center"/>
              <w:rPr>
                <w:rFonts w:ascii="Calibri" w:hAnsi="Calibri"/>
                <w:iCs/>
                <w:sz w:val="20"/>
                <w:szCs w:val="20"/>
              </w:rPr>
            </w:pPr>
            <w:r w:rsidRPr="00C51010">
              <w:rPr>
                <w:rFonts w:ascii="Calibri" w:hAnsi="Calibri"/>
                <w:iCs/>
                <w:sz w:val="20"/>
                <w:szCs w:val="20"/>
              </w:rPr>
              <w:t>2012</w:t>
            </w:r>
          </w:p>
        </w:tc>
        <w:tc>
          <w:tcPr>
            <w:tcW w:w="654" w:type="dxa"/>
            <w:tcBorders>
              <w:top w:val="nil"/>
              <w:left w:val="single" w:sz="4" w:space="0" w:color="FFFFFF"/>
              <w:bottom w:val="single" w:sz="8" w:space="0" w:color="FFFFFF"/>
              <w:right w:val="single" w:sz="8" w:space="0" w:color="FFFFFF"/>
            </w:tcBorders>
            <w:shd w:val="clear" w:color="auto" w:fill="BDD6EE"/>
          </w:tcPr>
          <w:p w:rsidR="00242C36" w:rsidRPr="00C51010" w:rsidRDefault="00242C36" w:rsidP="00242C36">
            <w:pPr>
              <w:spacing w:line="45" w:lineRule="atLeast"/>
              <w:jc w:val="center"/>
              <w:rPr>
                <w:rFonts w:ascii="Calibri" w:hAnsi="Calibri"/>
                <w:iCs/>
                <w:sz w:val="20"/>
                <w:szCs w:val="20"/>
              </w:rPr>
            </w:pPr>
            <w:r w:rsidRPr="00C51010">
              <w:rPr>
                <w:rFonts w:ascii="Calibri" w:hAnsi="Calibri"/>
                <w:iCs/>
                <w:sz w:val="20"/>
                <w:szCs w:val="20"/>
              </w:rPr>
              <w:t>2013</w:t>
            </w:r>
          </w:p>
        </w:tc>
      </w:tr>
      <w:tr w:rsidR="00242C36" w:rsidRPr="00BD21DD" w:rsidTr="00242C36">
        <w:trPr>
          <w:trHeight w:val="60"/>
        </w:trPr>
        <w:tc>
          <w:tcPr>
            <w:tcW w:w="1853" w:type="dxa"/>
            <w:tcBorders>
              <w:top w:val="nil"/>
              <w:left w:val="single" w:sz="8" w:space="0" w:color="FFFFFF"/>
              <w:bottom w:val="single" w:sz="8" w:space="0" w:color="FFFFFF"/>
              <w:right w:val="single" w:sz="8" w:space="0" w:color="FFFFFF"/>
            </w:tcBorders>
            <w:shd w:val="clear" w:color="auto" w:fill="5B9BD5"/>
            <w:noWrap/>
            <w:tcMar>
              <w:top w:w="0" w:type="dxa"/>
              <w:left w:w="108" w:type="dxa"/>
              <w:bottom w:w="0" w:type="dxa"/>
              <w:right w:w="108" w:type="dxa"/>
            </w:tcMar>
          </w:tcPr>
          <w:p w:rsidR="00242C36" w:rsidRPr="00BD21DD" w:rsidRDefault="00242C36" w:rsidP="00242C36">
            <w:pPr>
              <w:spacing w:line="45" w:lineRule="atLeast"/>
              <w:jc w:val="center"/>
              <w:rPr>
                <w:rFonts w:ascii="Calibri" w:hAnsi="Calibri"/>
                <w:color w:val="000000"/>
                <w:sz w:val="20"/>
                <w:szCs w:val="20"/>
              </w:rPr>
            </w:pPr>
            <w:r w:rsidRPr="00BD21DD">
              <w:rPr>
                <w:rFonts w:ascii="Calibri" w:hAnsi="Calibri"/>
                <w:b/>
                <w:bCs/>
                <w:color w:val="000000"/>
                <w:sz w:val="20"/>
                <w:szCs w:val="20"/>
              </w:rPr>
              <w:t>Žiadna alebo nízka</w:t>
            </w:r>
          </w:p>
        </w:tc>
        <w:tc>
          <w:tcPr>
            <w:tcW w:w="1485" w:type="dxa"/>
            <w:tcBorders>
              <w:top w:val="nil"/>
              <w:left w:val="nil"/>
              <w:bottom w:val="single" w:sz="8" w:space="0" w:color="FFFFFF"/>
              <w:right w:val="single" w:sz="8" w:space="0" w:color="FFFFFF"/>
            </w:tcBorders>
            <w:shd w:val="clear" w:color="auto" w:fill="BDD6EE"/>
            <w:noWrap/>
            <w:tcMar>
              <w:top w:w="0" w:type="dxa"/>
              <w:left w:w="108" w:type="dxa"/>
              <w:bottom w:w="0" w:type="dxa"/>
              <w:right w:w="108" w:type="dxa"/>
            </w:tcMar>
          </w:tcPr>
          <w:p w:rsidR="00242C36" w:rsidRPr="00BD21DD" w:rsidRDefault="00242C36" w:rsidP="00242C36">
            <w:pPr>
              <w:spacing w:line="45" w:lineRule="atLeast"/>
              <w:jc w:val="center"/>
              <w:rPr>
                <w:rFonts w:ascii="Calibri" w:hAnsi="Calibri"/>
                <w:color w:val="000000"/>
                <w:sz w:val="20"/>
                <w:szCs w:val="20"/>
              </w:rPr>
            </w:pPr>
            <w:r w:rsidRPr="00BD21DD">
              <w:rPr>
                <w:rFonts w:ascii="Calibri" w:hAnsi="Calibri"/>
                <w:color w:val="000000"/>
                <w:sz w:val="20"/>
                <w:szCs w:val="20"/>
              </w:rPr>
              <w:t>0 - 4 t/ha/rok</w:t>
            </w:r>
          </w:p>
        </w:tc>
        <w:tc>
          <w:tcPr>
            <w:tcW w:w="907" w:type="dxa"/>
            <w:tcBorders>
              <w:top w:val="nil"/>
              <w:left w:val="nil"/>
              <w:bottom w:val="single" w:sz="8" w:space="0" w:color="FFFFFF"/>
              <w:right w:val="single" w:sz="8" w:space="0" w:color="FFFFFF"/>
            </w:tcBorders>
            <w:shd w:val="clear" w:color="auto" w:fill="DEEAF6"/>
            <w:noWrap/>
            <w:tcMar>
              <w:top w:w="0" w:type="dxa"/>
              <w:left w:w="108" w:type="dxa"/>
              <w:bottom w:w="0" w:type="dxa"/>
              <w:right w:w="108" w:type="dxa"/>
            </w:tcMar>
          </w:tcPr>
          <w:p w:rsidR="00242C36" w:rsidRPr="00BD21DD" w:rsidRDefault="00242C36" w:rsidP="00242C36">
            <w:pPr>
              <w:spacing w:line="45" w:lineRule="atLeast"/>
              <w:jc w:val="center"/>
              <w:rPr>
                <w:rFonts w:ascii="Calibri" w:hAnsi="Calibri"/>
                <w:color w:val="000000"/>
                <w:sz w:val="20"/>
                <w:szCs w:val="20"/>
              </w:rPr>
            </w:pPr>
            <w:r w:rsidRPr="00BD21DD">
              <w:rPr>
                <w:rFonts w:ascii="Calibri" w:hAnsi="Calibri"/>
                <w:color w:val="000000"/>
                <w:sz w:val="20"/>
                <w:szCs w:val="20"/>
              </w:rPr>
              <w:t>60,19</w:t>
            </w:r>
          </w:p>
        </w:tc>
        <w:tc>
          <w:tcPr>
            <w:tcW w:w="908" w:type="dxa"/>
            <w:tcBorders>
              <w:top w:val="nil"/>
              <w:left w:val="nil"/>
              <w:bottom w:val="single" w:sz="8" w:space="0" w:color="FFFFFF"/>
              <w:right w:val="single" w:sz="8" w:space="0" w:color="FFFFFF"/>
            </w:tcBorders>
            <w:shd w:val="clear" w:color="auto" w:fill="BDD6EE"/>
            <w:noWrap/>
            <w:tcMar>
              <w:top w:w="0" w:type="dxa"/>
              <w:left w:w="108" w:type="dxa"/>
              <w:bottom w:w="0" w:type="dxa"/>
              <w:right w:w="108" w:type="dxa"/>
            </w:tcMar>
          </w:tcPr>
          <w:p w:rsidR="00242C36" w:rsidRPr="00BD21DD" w:rsidRDefault="00242C36" w:rsidP="00242C36">
            <w:pPr>
              <w:spacing w:line="45" w:lineRule="atLeast"/>
              <w:jc w:val="center"/>
              <w:rPr>
                <w:rFonts w:ascii="Calibri" w:hAnsi="Calibri"/>
                <w:color w:val="000000"/>
                <w:sz w:val="20"/>
                <w:szCs w:val="20"/>
              </w:rPr>
            </w:pPr>
            <w:r w:rsidRPr="00BD21DD">
              <w:rPr>
                <w:rFonts w:ascii="Calibri" w:hAnsi="Calibri"/>
                <w:color w:val="000000"/>
                <w:sz w:val="20"/>
                <w:szCs w:val="20"/>
              </w:rPr>
              <w:t>60,24</w:t>
            </w:r>
          </w:p>
        </w:tc>
        <w:tc>
          <w:tcPr>
            <w:tcW w:w="710" w:type="dxa"/>
            <w:tcBorders>
              <w:top w:val="nil"/>
              <w:left w:val="nil"/>
              <w:bottom w:val="single" w:sz="8" w:space="0" w:color="FFFFFF"/>
              <w:right w:val="single" w:sz="8" w:space="0" w:color="FFFFFF"/>
            </w:tcBorders>
            <w:shd w:val="clear" w:color="auto" w:fill="DEEAF6"/>
            <w:noWrap/>
            <w:tcMar>
              <w:top w:w="0" w:type="dxa"/>
              <w:left w:w="108" w:type="dxa"/>
              <w:bottom w:w="0" w:type="dxa"/>
              <w:right w:w="108" w:type="dxa"/>
            </w:tcMar>
          </w:tcPr>
          <w:p w:rsidR="00242C36" w:rsidRPr="00BD21DD" w:rsidRDefault="00242C36" w:rsidP="00242C36">
            <w:pPr>
              <w:spacing w:line="45" w:lineRule="atLeast"/>
              <w:jc w:val="center"/>
              <w:rPr>
                <w:rFonts w:ascii="Calibri" w:hAnsi="Calibri"/>
                <w:color w:val="000000"/>
                <w:sz w:val="20"/>
                <w:szCs w:val="20"/>
              </w:rPr>
            </w:pPr>
            <w:r w:rsidRPr="00BD21DD">
              <w:rPr>
                <w:rFonts w:ascii="Calibri" w:hAnsi="Calibri"/>
                <w:color w:val="000000"/>
                <w:sz w:val="20"/>
                <w:szCs w:val="20"/>
              </w:rPr>
              <w:t>60,26</w:t>
            </w:r>
          </w:p>
        </w:tc>
        <w:tc>
          <w:tcPr>
            <w:tcW w:w="908" w:type="dxa"/>
            <w:tcBorders>
              <w:top w:val="nil"/>
              <w:left w:val="nil"/>
              <w:bottom w:val="single" w:sz="8" w:space="0" w:color="FFFFFF"/>
              <w:right w:val="single" w:sz="8" w:space="0" w:color="FFFFFF"/>
            </w:tcBorders>
            <w:shd w:val="clear" w:color="auto" w:fill="BDD6EE"/>
            <w:noWrap/>
            <w:tcMar>
              <w:top w:w="0" w:type="dxa"/>
              <w:left w:w="108" w:type="dxa"/>
              <w:bottom w:w="0" w:type="dxa"/>
              <w:right w:w="108" w:type="dxa"/>
            </w:tcMar>
          </w:tcPr>
          <w:p w:rsidR="00242C36" w:rsidRPr="00BD21DD" w:rsidRDefault="00242C36" w:rsidP="00242C36">
            <w:pPr>
              <w:spacing w:line="45" w:lineRule="atLeast"/>
              <w:jc w:val="center"/>
              <w:rPr>
                <w:rFonts w:ascii="Calibri" w:hAnsi="Calibri"/>
                <w:color w:val="000000"/>
                <w:sz w:val="20"/>
                <w:szCs w:val="20"/>
              </w:rPr>
            </w:pPr>
            <w:r w:rsidRPr="00BD21DD">
              <w:rPr>
                <w:rFonts w:ascii="Calibri" w:hAnsi="Calibri"/>
                <w:color w:val="000000"/>
                <w:sz w:val="20"/>
                <w:szCs w:val="20"/>
              </w:rPr>
              <w:t>60,22</w:t>
            </w:r>
          </w:p>
        </w:tc>
        <w:tc>
          <w:tcPr>
            <w:tcW w:w="777" w:type="dxa"/>
            <w:tcBorders>
              <w:top w:val="nil"/>
              <w:left w:val="nil"/>
              <w:bottom w:val="single" w:sz="8" w:space="0" w:color="FFFFFF"/>
              <w:right w:val="single" w:sz="8" w:space="0" w:color="FFFFFF"/>
            </w:tcBorders>
            <w:shd w:val="clear" w:color="auto" w:fill="DEEAF6"/>
            <w:noWrap/>
            <w:tcMar>
              <w:top w:w="0" w:type="dxa"/>
              <w:left w:w="108" w:type="dxa"/>
              <w:bottom w:w="0" w:type="dxa"/>
              <w:right w:w="108" w:type="dxa"/>
            </w:tcMar>
          </w:tcPr>
          <w:p w:rsidR="00242C36" w:rsidRPr="00BD21DD" w:rsidRDefault="00242C36" w:rsidP="00242C36">
            <w:pPr>
              <w:spacing w:line="45" w:lineRule="atLeast"/>
              <w:jc w:val="center"/>
              <w:rPr>
                <w:rFonts w:ascii="Calibri" w:hAnsi="Calibri"/>
                <w:color w:val="000000"/>
                <w:sz w:val="20"/>
                <w:szCs w:val="20"/>
              </w:rPr>
            </w:pPr>
            <w:r w:rsidRPr="00BD21DD">
              <w:rPr>
                <w:rFonts w:ascii="Calibri" w:hAnsi="Calibri"/>
                <w:color w:val="000000"/>
                <w:sz w:val="20"/>
                <w:szCs w:val="20"/>
              </w:rPr>
              <w:t>60,24</w:t>
            </w:r>
          </w:p>
        </w:tc>
        <w:tc>
          <w:tcPr>
            <w:tcW w:w="740" w:type="dxa"/>
            <w:tcBorders>
              <w:top w:val="nil"/>
              <w:left w:val="nil"/>
              <w:bottom w:val="single" w:sz="8" w:space="0" w:color="FFFFFF"/>
              <w:right w:val="single" w:sz="4" w:space="0" w:color="FFFFFF"/>
            </w:tcBorders>
            <w:shd w:val="clear" w:color="auto" w:fill="DEEAF6"/>
            <w:vAlign w:val="bottom"/>
          </w:tcPr>
          <w:p w:rsidR="00242C36" w:rsidRPr="00C51010" w:rsidRDefault="00242C36" w:rsidP="00242C36">
            <w:pPr>
              <w:jc w:val="center"/>
              <w:rPr>
                <w:rFonts w:ascii="Calibri" w:hAnsi="Calibri"/>
                <w:sz w:val="20"/>
                <w:szCs w:val="20"/>
              </w:rPr>
            </w:pPr>
            <w:r w:rsidRPr="00C51010">
              <w:rPr>
                <w:rFonts w:ascii="Calibri" w:hAnsi="Calibri"/>
                <w:sz w:val="20"/>
                <w:szCs w:val="20"/>
              </w:rPr>
              <w:t>60,38</w:t>
            </w:r>
          </w:p>
        </w:tc>
        <w:tc>
          <w:tcPr>
            <w:tcW w:w="654" w:type="dxa"/>
            <w:tcBorders>
              <w:top w:val="nil"/>
              <w:left w:val="single" w:sz="4" w:space="0" w:color="FFFFFF"/>
              <w:bottom w:val="single" w:sz="8" w:space="0" w:color="FFFFFF"/>
              <w:right w:val="single" w:sz="8" w:space="0" w:color="FFFFFF"/>
            </w:tcBorders>
            <w:shd w:val="clear" w:color="auto" w:fill="DEEAF6"/>
            <w:vAlign w:val="bottom"/>
          </w:tcPr>
          <w:p w:rsidR="00242C36" w:rsidRPr="00C51010" w:rsidRDefault="00242C36" w:rsidP="00242C36">
            <w:pPr>
              <w:jc w:val="center"/>
              <w:rPr>
                <w:rFonts w:ascii="Calibri" w:hAnsi="Calibri"/>
                <w:sz w:val="20"/>
                <w:szCs w:val="20"/>
              </w:rPr>
            </w:pPr>
            <w:r w:rsidRPr="00C51010">
              <w:rPr>
                <w:rFonts w:ascii="Calibri" w:hAnsi="Calibri"/>
                <w:sz w:val="20"/>
                <w:szCs w:val="20"/>
              </w:rPr>
              <w:t>60,85</w:t>
            </w:r>
          </w:p>
        </w:tc>
      </w:tr>
      <w:tr w:rsidR="00242C36" w:rsidRPr="00BD21DD" w:rsidTr="00242C36">
        <w:trPr>
          <w:trHeight w:val="46"/>
        </w:trPr>
        <w:tc>
          <w:tcPr>
            <w:tcW w:w="1853" w:type="dxa"/>
            <w:tcBorders>
              <w:top w:val="nil"/>
              <w:left w:val="single" w:sz="8" w:space="0" w:color="FFFFFF"/>
              <w:bottom w:val="single" w:sz="8" w:space="0" w:color="FFFFFF"/>
              <w:right w:val="single" w:sz="8" w:space="0" w:color="FFFFFF"/>
            </w:tcBorders>
            <w:shd w:val="clear" w:color="auto" w:fill="5B9BD5"/>
            <w:noWrap/>
            <w:tcMar>
              <w:top w:w="0" w:type="dxa"/>
              <w:left w:w="108" w:type="dxa"/>
              <w:bottom w:w="0" w:type="dxa"/>
              <w:right w:w="108" w:type="dxa"/>
            </w:tcMar>
          </w:tcPr>
          <w:p w:rsidR="00242C36" w:rsidRPr="00BD21DD" w:rsidRDefault="00242C36" w:rsidP="00242C36">
            <w:pPr>
              <w:spacing w:line="45" w:lineRule="atLeast"/>
              <w:jc w:val="center"/>
              <w:rPr>
                <w:rFonts w:ascii="Calibri" w:hAnsi="Calibri"/>
                <w:color w:val="000000"/>
                <w:sz w:val="20"/>
                <w:szCs w:val="20"/>
              </w:rPr>
            </w:pPr>
            <w:r w:rsidRPr="00BD21DD">
              <w:rPr>
                <w:rFonts w:ascii="Calibri" w:hAnsi="Calibri"/>
                <w:b/>
                <w:bCs/>
                <w:color w:val="000000"/>
                <w:sz w:val="20"/>
                <w:szCs w:val="20"/>
              </w:rPr>
              <w:t>Stredná</w:t>
            </w:r>
          </w:p>
        </w:tc>
        <w:tc>
          <w:tcPr>
            <w:tcW w:w="1485" w:type="dxa"/>
            <w:tcBorders>
              <w:top w:val="nil"/>
              <w:left w:val="nil"/>
              <w:bottom w:val="single" w:sz="8" w:space="0" w:color="FFFFFF"/>
              <w:right w:val="single" w:sz="8" w:space="0" w:color="FFFFFF"/>
            </w:tcBorders>
            <w:shd w:val="clear" w:color="auto" w:fill="BDD6EE"/>
            <w:noWrap/>
            <w:tcMar>
              <w:top w:w="0" w:type="dxa"/>
              <w:left w:w="108" w:type="dxa"/>
              <w:bottom w:w="0" w:type="dxa"/>
              <w:right w:w="108" w:type="dxa"/>
            </w:tcMar>
          </w:tcPr>
          <w:p w:rsidR="00242C36" w:rsidRPr="00BD21DD" w:rsidRDefault="00242C36" w:rsidP="00242C36">
            <w:pPr>
              <w:spacing w:line="45" w:lineRule="atLeast"/>
              <w:jc w:val="center"/>
              <w:rPr>
                <w:rFonts w:ascii="Calibri" w:hAnsi="Calibri"/>
                <w:color w:val="000000"/>
                <w:sz w:val="20"/>
                <w:szCs w:val="20"/>
              </w:rPr>
            </w:pPr>
            <w:r w:rsidRPr="00BD21DD">
              <w:rPr>
                <w:rFonts w:ascii="Calibri" w:hAnsi="Calibri"/>
                <w:color w:val="000000"/>
                <w:sz w:val="20"/>
                <w:szCs w:val="20"/>
              </w:rPr>
              <w:t>4 - 10 t/ha/rok</w:t>
            </w:r>
          </w:p>
        </w:tc>
        <w:tc>
          <w:tcPr>
            <w:tcW w:w="907" w:type="dxa"/>
            <w:tcBorders>
              <w:top w:val="nil"/>
              <w:left w:val="nil"/>
              <w:bottom w:val="single" w:sz="8" w:space="0" w:color="FFFFFF"/>
              <w:right w:val="single" w:sz="8" w:space="0" w:color="FFFFFF"/>
            </w:tcBorders>
            <w:shd w:val="clear" w:color="auto" w:fill="BDD6EE"/>
            <w:noWrap/>
            <w:tcMar>
              <w:top w:w="0" w:type="dxa"/>
              <w:left w:w="108" w:type="dxa"/>
              <w:bottom w:w="0" w:type="dxa"/>
              <w:right w:w="108" w:type="dxa"/>
            </w:tcMar>
          </w:tcPr>
          <w:p w:rsidR="00242C36" w:rsidRPr="00BD21DD" w:rsidRDefault="00242C36" w:rsidP="00242C36">
            <w:pPr>
              <w:spacing w:line="45" w:lineRule="atLeast"/>
              <w:jc w:val="center"/>
              <w:rPr>
                <w:rFonts w:ascii="Calibri" w:hAnsi="Calibri"/>
                <w:color w:val="000000"/>
                <w:sz w:val="20"/>
                <w:szCs w:val="20"/>
              </w:rPr>
            </w:pPr>
            <w:r w:rsidRPr="00BD21DD">
              <w:rPr>
                <w:rFonts w:ascii="Calibri" w:hAnsi="Calibri"/>
                <w:color w:val="000000"/>
                <w:sz w:val="20"/>
                <w:szCs w:val="20"/>
              </w:rPr>
              <w:t>10,18</w:t>
            </w:r>
          </w:p>
        </w:tc>
        <w:tc>
          <w:tcPr>
            <w:tcW w:w="908" w:type="dxa"/>
            <w:tcBorders>
              <w:top w:val="nil"/>
              <w:left w:val="nil"/>
              <w:bottom w:val="single" w:sz="8" w:space="0" w:color="FFFFFF"/>
              <w:right w:val="single" w:sz="8" w:space="0" w:color="FFFFFF"/>
            </w:tcBorders>
            <w:shd w:val="clear" w:color="auto" w:fill="BDD6EE"/>
            <w:noWrap/>
            <w:tcMar>
              <w:top w:w="0" w:type="dxa"/>
              <w:left w:w="108" w:type="dxa"/>
              <w:bottom w:w="0" w:type="dxa"/>
              <w:right w:w="108" w:type="dxa"/>
            </w:tcMar>
          </w:tcPr>
          <w:p w:rsidR="00242C36" w:rsidRPr="00BD21DD" w:rsidRDefault="00242C36" w:rsidP="00242C36">
            <w:pPr>
              <w:spacing w:line="45" w:lineRule="atLeast"/>
              <w:jc w:val="center"/>
              <w:rPr>
                <w:rFonts w:ascii="Calibri" w:hAnsi="Calibri"/>
                <w:color w:val="000000"/>
                <w:sz w:val="20"/>
                <w:szCs w:val="20"/>
              </w:rPr>
            </w:pPr>
            <w:r w:rsidRPr="00BD21DD">
              <w:rPr>
                <w:rFonts w:ascii="Calibri" w:hAnsi="Calibri"/>
                <w:color w:val="000000"/>
                <w:sz w:val="20"/>
                <w:szCs w:val="20"/>
              </w:rPr>
              <w:t>10,19</w:t>
            </w:r>
          </w:p>
        </w:tc>
        <w:tc>
          <w:tcPr>
            <w:tcW w:w="710" w:type="dxa"/>
            <w:tcBorders>
              <w:top w:val="nil"/>
              <w:left w:val="nil"/>
              <w:bottom w:val="single" w:sz="8" w:space="0" w:color="FFFFFF"/>
              <w:right w:val="single" w:sz="8" w:space="0" w:color="FFFFFF"/>
            </w:tcBorders>
            <w:shd w:val="clear" w:color="auto" w:fill="BDD6EE"/>
            <w:noWrap/>
            <w:tcMar>
              <w:top w:w="0" w:type="dxa"/>
              <w:left w:w="108" w:type="dxa"/>
              <w:bottom w:w="0" w:type="dxa"/>
              <w:right w:w="108" w:type="dxa"/>
            </w:tcMar>
          </w:tcPr>
          <w:p w:rsidR="00242C36" w:rsidRPr="00BD21DD" w:rsidRDefault="00242C36" w:rsidP="00242C36">
            <w:pPr>
              <w:spacing w:line="45" w:lineRule="atLeast"/>
              <w:jc w:val="center"/>
              <w:rPr>
                <w:rFonts w:ascii="Calibri" w:hAnsi="Calibri"/>
                <w:color w:val="000000"/>
                <w:sz w:val="20"/>
                <w:szCs w:val="20"/>
              </w:rPr>
            </w:pPr>
            <w:r w:rsidRPr="00BD21DD">
              <w:rPr>
                <w:rFonts w:ascii="Calibri" w:hAnsi="Calibri"/>
                <w:color w:val="000000"/>
                <w:sz w:val="20"/>
                <w:szCs w:val="20"/>
              </w:rPr>
              <w:t>10,21</w:t>
            </w:r>
          </w:p>
        </w:tc>
        <w:tc>
          <w:tcPr>
            <w:tcW w:w="908" w:type="dxa"/>
            <w:tcBorders>
              <w:top w:val="nil"/>
              <w:left w:val="nil"/>
              <w:bottom w:val="single" w:sz="8" w:space="0" w:color="FFFFFF"/>
              <w:right w:val="single" w:sz="8" w:space="0" w:color="FFFFFF"/>
            </w:tcBorders>
            <w:shd w:val="clear" w:color="auto" w:fill="BDD6EE"/>
            <w:noWrap/>
            <w:tcMar>
              <w:top w:w="0" w:type="dxa"/>
              <w:left w:w="108" w:type="dxa"/>
              <w:bottom w:w="0" w:type="dxa"/>
              <w:right w:w="108" w:type="dxa"/>
            </w:tcMar>
          </w:tcPr>
          <w:p w:rsidR="00242C36" w:rsidRPr="00BD21DD" w:rsidRDefault="00242C36" w:rsidP="00242C36">
            <w:pPr>
              <w:spacing w:line="45" w:lineRule="atLeast"/>
              <w:jc w:val="center"/>
              <w:rPr>
                <w:rFonts w:ascii="Calibri" w:hAnsi="Calibri"/>
                <w:color w:val="000000"/>
                <w:sz w:val="20"/>
                <w:szCs w:val="20"/>
              </w:rPr>
            </w:pPr>
            <w:r w:rsidRPr="00BD21DD">
              <w:rPr>
                <w:rFonts w:ascii="Calibri" w:hAnsi="Calibri"/>
                <w:color w:val="000000"/>
                <w:sz w:val="20"/>
                <w:szCs w:val="20"/>
              </w:rPr>
              <w:t>10,21</w:t>
            </w:r>
          </w:p>
        </w:tc>
        <w:tc>
          <w:tcPr>
            <w:tcW w:w="777" w:type="dxa"/>
            <w:tcBorders>
              <w:top w:val="nil"/>
              <w:left w:val="nil"/>
              <w:bottom w:val="single" w:sz="8" w:space="0" w:color="FFFFFF"/>
              <w:right w:val="single" w:sz="8" w:space="0" w:color="FFFFFF"/>
            </w:tcBorders>
            <w:shd w:val="clear" w:color="auto" w:fill="BDD6EE"/>
            <w:noWrap/>
            <w:tcMar>
              <w:top w:w="0" w:type="dxa"/>
              <w:left w:w="108" w:type="dxa"/>
              <w:bottom w:w="0" w:type="dxa"/>
              <w:right w:w="108" w:type="dxa"/>
            </w:tcMar>
          </w:tcPr>
          <w:p w:rsidR="00242C36" w:rsidRPr="00BD21DD" w:rsidRDefault="00242C36" w:rsidP="00242C36">
            <w:pPr>
              <w:spacing w:line="45" w:lineRule="atLeast"/>
              <w:jc w:val="center"/>
              <w:rPr>
                <w:rFonts w:ascii="Calibri" w:hAnsi="Calibri"/>
                <w:color w:val="000000"/>
                <w:sz w:val="20"/>
                <w:szCs w:val="20"/>
              </w:rPr>
            </w:pPr>
            <w:r w:rsidRPr="00BD21DD">
              <w:rPr>
                <w:rFonts w:ascii="Calibri" w:hAnsi="Calibri"/>
                <w:color w:val="000000"/>
                <w:sz w:val="20"/>
                <w:szCs w:val="20"/>
              </w:rPr>
              <w:t>10,22</w:t>
            </w:r>
          </w:p>
        </w:tc>
        <w:tc>
          <w:tcPr>
            <w:tcW w:w="740" w:type="dxa"/>
            <w:tcBorders>
              <w:top w:val="nil"/>
              <w:left w:val="nil"/>
              <w:bottom w:val="single" w:sz="8" w:space="0" w:color="FFFFFF"/>
              <w:right w:val="single" w:sz="4" w:space="0" w:color="FFFFFF"/>
            </w:tcBorders>
            <w:shd w:val="clear" w:color="auto" w:fill="BDD6EE"/>
            <w:vAlign w:val="bottom"/>
          </w:tcPr>
          <w:p w:rsidR="00242C36" w:rsidRPr="00C51010" w:rsidRDefault="00242C36" w:rsidP="00242C36">
            <w:pPr>
              <w:jc w:val="center"/>
              <w:rPr>
                <w:rFonts w:ascii="Calibri" w:hAnsi="Calibri"/>
                <w:sz w:val="20"/>
                <w:szCs w:val="20"/>
              </w:rPr>
            </w:pPr>
            <w:r w:rsidRPr="00C51010">
              <w:rPr>
                <w:rFonts w:ascii="Calibri" w:hAnsi="Calibri"/>
                <w:sz w:val="20"/>
                <w:szCs w:val="20"/>
              </w:rPr>
              <w:t>10,24</w:t>
            </w:r>
          </w:p>
        </w:tc>
        <w:tc>
          <w:tcPr>
            <w:tcW w:w="654" w:type="dxa"/>
            <w:tcBorders>
              <w:top w:val="nil"/>
              <w:left w:val="single" w:sz="4" w:space="0" w:color="FFFFFF"/>
              <w:bottom w:val="single" w:sz="8" w:space="0" w:color="FFFFFF"/>
              <w:right w:val="single" w:sz="8" w:space="0" w:color="FFFFFF"/>
            </w:tcBorders>
            <w:shd w:val="clear" w:color="auto" w:fill="BDD6EE"/>
            <w:vAlign w:val="bottom"/>
          </w:tcPr>
          <w:p w:rsidR="00242C36" w:rsidRPr="00C51010" w:rsidRDefault="00242C36" w:rsidP="00242C36">
            <w:pPr>
              <w:jc w:val="center"/>
              <w:rPr>
                <w:rFonts w:ascii="Calibri" w:hAnsi="Calibri"/>
                <w:sz w:val="20"/>
                <w:szCs w:val="20"/>
              </w:rPr>
            </w:pPr>
            <w:r w:rsidRPr="00C51010">
              <w:rPr>
                <w:rFonts w:ascii="Calibri" w:hAnsi="Calibri"/>
                <w:sz w:val="20"/>
                <w:szCs w:val="20"/>
              </w:rPr>
              <w:t>10,32</w:t>
            </w:r>
          </w:p>
        </w:tc>
      </w:tr>
      <w:tr w:rsidR="00242C36" w:rsidRPr="00BD21DD" w:rsidTr="00242C36">
        <w:trPr>
          <w:trHeight w:val="46"/>
        </w:trPr>
        <w:tc>
          <w:tcPr>
            <w:tcW w:w="1853" w:type="dxa"/>
            <w:tcBorders>
              <w:top w:val="nil"/>
              <w:left w:val="single" w:sz="8" w:space="0" w:color="FFFFFF"/>
              <w:bottom w:val="single" w:sz="8" w:space="0" w:color="FFFFFF"/>
              <w:right w:val="single" w:sz="8" w:space="0" w:color="FFFFFF"/>
            </w:tcBorders>
            <w:shd w:val="clear" w:color="auto" w:fill="5B9BD5"/>
            <w:noWrap/>
            <w:tcMar>
              <w:top w:w="0" w:type="dxa"/>
              <w:left w:w="108" w:type="dxa"/>
              <w:bottom w:w="0" w:type="dxa"/>
              <w:right w:w="108" w:type="dxa"/>
            </w:tcMar>
          </w:tcPr>
          <w:p w:rsidR="00242C36" w:rsidRPr="00BD21DD" w:rsidRDefault="00242C36" w:rsidP="00242C36">
            <w:pPr>
              <w:spacing w:line="45" w:lineRule="atLeast"/>
              <w:jc w:val="center"/>
              <w:rPr>
                <w:rFonts w:ascii="Calibri" w:hAnsi="Calibri"/>
                <w:color w:val="000000"/>
                <w:sz w:val="20"/>
                <w:szCs w:val="20"/>
              </w:rPr>
            </w:pPr>
            <w:r w:rsidRPr="00BD21DD">
              <w:rPr>
                <w:rFonts w:ascii="Calibri" w:hAnsi="Calibri"/>
                <w:b/>
                <w:bCs/>
                <w:color w:val="000000"/>
                <w:sz w:val="20"/>
                <w:szCs w:val="20"/>
              </w:rPr>
              <w:t>Vysoká</w:t>
            </w:r>
          </w:p>
        </w:tc>
        <w:tc>
          <w:tcPr>
            <w:tcW w:w="1485" w:type="dxa"/>
            <w:tcBorders>
              <w:top w:val="nil"/>
              <w:left w:val="nil"/>
              <w:bottom w:val="single" w:sz="8" w:space="0" w:color="FFFFFF"/>
              <w:right w:val="single" w:sz="8" w:space="0" w:color="FFFFFF"/>
            </w:tcBorders>
            <w:shd w:val="clear" w:color="auto" w:fill="BDD6EE"/>
            <w:noWrap/>
            <w:tcMar>
              <w:top w:w="0" w:type="dxa"/>
              <w:left w:w="108" w:type="dxa"/>
              <w:bottom w:w="0" w:type="dxa"/>
              <w:right w:w="108" w:type="dxa"/>
            </w:tcMar>
          </w:tcPr>
          <w:p w:rsidR="00242C36" w:rsidRPr="00BD21DD" w:rsidRDefault="00242C36" w:rsidP="00242C36">
            <w:pPr>
              <w:spacing w:line="45" w:lineRule="atLeast"/>
              <w:jc w:val="center"/>
              <w:rPr>
                <w:rFonts w:ascii="Calibri" w:hAnsi="Calibri"/>
                <w:color w:val="000000"/>
                <w:sz w:val="20"/>
                <w:szCs w:val="20"/>
              </w:rPr>
            </w:pPr>
            <w:r w:rsidRPr="00BD21DD">
              <w:rPr>
                <w:rFonts w:ascii="Calibri" w:hAnsi="Calibri"/>
                <w:color w:val="000000"/>
                <w:sz w:val="20"/>
                <w:szCs w:val="20"/>
              </w:rPr>
              <w:t>10 - 30 t/ha/rok</w:t>
            </w:r>
          </w:p>
        </w:tc>
        <w:tc>
          <w:tcPr>
            <w:tcW w:w="907" w:type="dxa"/>
            <w:tcBorders>
              <w:top w:val="nil"/>
              <w:left w:val="nil"/>
              <w:bottom w:val="single" w:sz="8" w:space="0" w:color="FFFFFF"/>
              <w:right w:val="single" w:sz="8" w:space="0" w:color="FFFFFF"/>
            </w:tcBorders>
            <w:shd w:val="clear" w:color="auto" w:fill="DEEAF6"/>
            <w:noWrap/>
            <w:tcMar>
              <w:top w:w="0" w:type="dxa"/>
              <w:left w:w="108" w:type="dxa"/>
              <w:bottom w:w="0" w:type="dxa"/>
              <w:right w:w="108" w:type="dxa"/>
            </w:tcMar>
          </w:tcPr>
          <w:p w:rsidR="00242C36" w:rsidRPr="00BD21DD" w:rsidRDefault="00242C36" w:rsidP="00242C36">
            <w:pPr>
              <w:spacing w:line="45" w:lineRule="atLeast"/>
              <w:jc w:val="center"/>
              <w:rPr>
                <w:rFonts w:ascii="Calibri" w:hAnsi="Calibri"/>
                <w:color w:val="000000"/>
                <w:sz w:val="20"/>
                <w:szCs w:val="20"/>
              </w:rPr>
            </w:pPr>
            <w:r w:rsidRPr="00BD21DD">
              <w:rPr>
                <w:rFonts w:ascii="Calibri" w:hAnsi="Calibri"/>
                <w:color w:val="000000"/>
                <w:sz w:val="20"/>
                <w:szCs w:val="20"/>
              </w:rPr>
              <w:t>14,78</w:t>
            </w:r>
          </w:p>
        </w:tc>
        <w:tc>
          <w:tcPr>
            <w:tcW w:w="908" w:type="dxa"/>
            <w:tcBorders>
              <w:top w:val="nil"/>
              <w:left w:val="nil"/>
              <w:bottom w:val="single" w:sz="8" w:space="0" w:color="FFFFFF"/>
              <w:right w:val="single" w:sz="8" w:space="0" w:color="FFFFFF"/>
            </w:tcBorders>
            <w:shd w:val="clear" w:color="auto" w:fill="BDD6EE"/>
            <w:noWrap/>
            <w:tcMar>
              <w:top w:w="0" w:type="dxa"/>
              <w:left w:w="108" w:type="dxa"/>
              <w:bottom w:w="0" w:type="dxa"/>
              <w:right w:w="108" w:type="dxa"/>
            </w:tcMar>
          </w:tcPr>
          <w:p w:rsidR="00242C36" w:rsidRPr="00BD21DD" w:rsidRDefault="00242C36" w:rsidP="00242C36">
            <w:pPr>
              <w:spacing w:line="45" w:lineRule="atLeast"/>
              <w:jc w:val="center"/>
              <w:rPr>
                <w:rFonts w:ascii="Calibri" w:hAnsi="Calibri"/>
                <w:color w:val="000000"/>
                <w:sz w:val="20"/>
                <w:szCs w:val="20"/>
              </w:rPr>
            </w:pPr>
            <w:r w:rsidRPr="00BD21DD">
              <w:rPr>
                <w:rFonts w:ascii="Calibri" w:hAnsi="Calibri"/>
                <w:color w:val="000000"/>
                <w:sz w:val="20"/>
                <w:szCs w:val="20"/>
              </w:rPr>
              <w:t>14,79</w:t>
            </w:r>
          </w:p>
        </w:tc>
        <w:tc>
          <w:tcPr>
            <w:tcW w:w="710" w:type="dxa"/>
            <w:tcBorders>
              <w:top w:val="nil"/>
              <w:left w:val="nil"/>
              <w:bottom w:val="single" w:sz="8" w:space="0" w:color="FFFFFF"/>
              <w:right w:val="single" w:sz="8" w:space="0" w:color="FFFFFF"/>
            </w:tcBorders>
            <w:shd w:val="clear" w:color="auto" w:fill="DEEAF6"/>
            <w:noWrap/>
            <w:tcMar>
              <w:top w:w="0" w:type="dxa"/>
              <w:left w:w="108" w:type="dxa"/>
              <w:bottom w:w="0" w:type="dxa"/>
              <w:right w:w="108" w:type="dxa"/>
            </w:tcMar>
          </w:tcPr>
          <w:p w:rsidR="00242C36" w:rsidRPr="00BD21DD" w:rsidRDefault="00242C36" w:rsidP="00242C36">
            <w:pPr>
              <w:spacing w:line="45" w:lineRule="atLeast"/>
              <w:jc w:val="center"/>
              <w:rPr>
                <w:rFonts w:ascii="Calibri" w:hAnsi="Calibri"/>
                <w:color w:val="000000"/>
                <w:sz w:val="20"/>
                <w:szCs w:val="20"/>
              </w:rPr>
            </w:pPr>
            <w:r w:rsidRPr="00BD21DD">
              <w:rPr>
                <w:rFonts w:ascii="Calibri" w:hAnsi="Calibri"/>
                <w:color w:val="000000"/>
                <w:sz w:val="20"/>
                <w:szCs w:val="20"/>
              </w:rPr>
              <w:t>14,80</w:t>
            </w:r>
          </w:p>
        </w:tc>
        <w:tc>
          <w:tcPr>
            <w:tcW w:w="908" w:type="dxa"/>
            <w:tcBorders>
              <w:top w:val="nil"/>
              <w:left w:val="nil"/>
              <w:bottom w:val="single" w:sz="8" w:space="0" w:color="FFFFFF"/>
              <w:right w:val="single" w:sz="8" w:space="0" w:color="FFFFFF"/>
            </w:tcBorders>
            <w:shd w:val="clear" w:color="auto" w:fill="BDD6EE"/>
            <w:noWrap/>
            <w:tcMar>
              <w:top w:w="0" w:type="dxa"/>
              <w:left w:w="108" w:type="dxa"/>
              <w:bottom w:w="0" w:type="dxa"/>
              <w:right w:w="108" w:type="dxa"/>
            </w:tcMar>
          </w:tcPr>
          <w:p w:rsidR="00242C36" w:rsidRPr="00BD21DD" w:rsidRDefault="00242C36" w:rsidP="00242C36">
            <w:pPr>
              <w:spacing w:line="45" w:lineRule="atLeast"/>
              <w:jc w:val="center"/>
              <w:rPr>
                <w:rFonts w:ascii="Calibri" w:hAnsi="Calibri"/>
                <w:color w:val="000000"/>
                <w:sz w:val="20"/>
                <w:szCs w:val="20"/>
              </w:rPr>
            </w:pPr>
            <w:r w:rsidRPr="00BD21DD">
              <w:rPr>
                <w:rFonts w:ascii="Calibri" w:hAnsi="Calibri"/>
                <w:color w:val="000000"/>
                <w:sz w:val="20"/>
                <w:szCs w:val="20"/>
              </w:rPr>
              <w:t>14,81</w:t>
            </w:r>
          </w:p>
        </w:tc>
        <w:tc>
          <w:tcPr>
            <w:tcW w:w="777" w:type="dxa"/>
            <w:tcBorders>
              <w:top w:val="nil"/>
              <w:left w:val="nil"/>
              <w:bottom w:val="single" w:sz="8" w:space="0" w:color="FFFFFF"/>
              <w:right w:val="single" w:sz="8" w:space="0" w:color="FFFFFF"/>
            </w:tcBorders>
            <w:shd w:val="clear" w:color="auto" w:fill="DEEAF6"/>
            <w:noWrap/>
            <w:tcMar>
              <w:top w:w="0" w:type="dxa"/>
              <w:left w:w="108" w:type="dxa"/>
              <w:bottom w:w="0" w:type="dxa"/>
              <w:right w:w="108" w:type="dxa"/>
            </w:tcMar>
          </w:tcPr>
          <w:p w:rsidR="00242C36" w:rsidRPr="00BD21DD" w:rsidRDefault="00242C36" w:rsidP="00242C36">
            <w:pPr>
              <w:spacing w:line="45" w:lineRule="atLeast"/>
              <w:jc w:val="center"/>
              <w:rPr>
                <w:rFonts w:ascii="Calibri" w:hAnsi="Calibri"/>
                <w:color w:val="000000"/>
                <w:sz w:val="20"/>
                <w:szCs w:val="20"/>
              </w:rPr>
            </w:pPr>
            <w:r w:rsidRPr="00BD21DD">
              <w:rPr>
                <w:rFonts w:ascii="Calibri" w:hAnsi="Calibri"/>
                <w:color w:val="000000"/>
                <w:sz w:val="20"/>
                <w:szCs w:val="20"/>
              </w:rPr>
              <w:t>14,82</w:t>
            </w:r>
          </w:p>
        </w:tc>
        <w:tc>
          <w:tcPr>
            <w:tcW w:w="740" w:type="dxa"/>
            <w:tcBorders>
              <w:top w:val="nil"/>
              <w:left w:val="nil"/>
              <w:bottom w:val="single" w:sz="8" w:space="0" w:color="FFFFFF"/>
              <w:right w:val="single" w:sz="4" w:space="0" w:color="FFFFFF"/>
            </w:tcBorders>
            <w:shd w:val="clear" w:color="auto" w:fill="DEEAF6"/>
            <w:vAlign w:val="bottom"/>
          </w:tcPr>
          <w:p w:rsidR="00242C36" w:rsidRPr="00C51010" w:rsidRDefault="00242C36" w:rsidP="00242C36">
            <w:pPr>
              <w:jc w:val="center"/>
              <w:rPr>
                <w:rFonts w:ascii="Calibri" w:hAnsi="Calibri"/>
                <w:sz w:val="20"/>
                <w:szCs w:val="20"/>
              </w:rPr>
            </w:pPr>
            <w:r w:rsidRPr="00C51010">
              <w:rPr>
                <w:rFonts w:ascii="Calibri" w:hAnsi="Calibri"/>
                <w:sz w:val="20"/>
                <w:szCs w:val="20"/>
              </w:rPr>
              <w:t>14,82</w:t>
            </w:r>
          </w:p>
        </w:tc>
        <w:tc>
          <w:tcPr>
            <w:tcW w:w="654" w:type="dxa"/>
            <w:tcBorders>
              <w:top w:val="nil"/>
              <w:left w:val="single" w:sz="4" w:space="0" w:color="FFFFFF"/>
              <w:bottom w:val="single" w:sz="8" w:space="0" w:color="FFFFFF"/>
              <w:right w:val="single" w:sz="8" w:space="0" w:color="FFFFFF"/>
            </w:tcBorders>
            <w:shd w:val="clear" w:color="auto" w:fill="DEEAF6"/>
            <w:vAlign w:val="bottom"/>
          </w:tcPr>
          <w:p w:rsidR="00242C36" w:rsidRPr="00C51010" w:rsidRDefault="00242C36" w:rsidP="00242C36">
            <w:pPr>
              <w:jc w:val="center"/>
              <w:rPr>
                <w:rFonts w:ascii="Calibri" w:hAnsi="Calibri"/>
                <w:sz w:val="20"/>
                <w:szCs w:val="20"/>
              </w:rPr>
            </w:pPr>
            <w:r w:rsidRPr="00C51010">
              <w:rPr>
                <w:rFonts w:ascii="Calibri" w:hAnsi="Calibri"/>
                <w:sz w:val="20"/>
                <w:szCs w:val="20"/>
              </w:rPr>
              <w:t>14,79</w:t>
            </w:r>
          </w:p>
        </w:tc>
      </w:tr>
      <w:tr w:rsidR="00242C36" w:rsidRPr="00BD21DD" w:rsidTr="00242C36">
        <w:trPr>
          <w:trHeight w:val="46"/>
        </w:trPr>
        <w:tc>
          <w:tcPr>
            <w:tcW w:w="1853" w:type="dxa"/>
            <w:tcBorders>
              <w:top w:val="nil"/>
              <w:left w:val="single" w:sz="8" w:space="0" w:color="FFFFFF"/>
              <w:bottom w:val="single" w:sz="8" w:space="0" w:color="FFFFFF"/>
              <w:right w:val="single" w:sz="8" w:space="0" w:color="FFFFFF"/>
            </w:tcBorders>
            <w:shd w:val="clear" w:color="auto" w:fill="5B9BD5"/>
            <w:noWrap/>
            <w:tcMar>
              <w:top w:w="0" w:type="dxa"/>
              <w:left w:w="108" w:type="dxa"/>
              <w:bottom w:w="0" w:type="dxa"/>
              <w:right w:w="108" w:type="dxa"/>
            </w:tcMar>
          </w:tcPr>
          <w:p w:rsidR="00242C36" w:rsidRPr="00BD21DD" w:rsidRDefault="00242C36" w:rsidP="00242C36">
            <w:pPr>
              <w:spacing w:line="45" w:lineRule="atLeast"/>
              <w:jc w:val="center"/>
              <w:rPr>
                <w:rFonts w:ascii="Calibri" w:hAnsi="Calibri"/>
                <w:color w:val="000000"/>
                <w:sz w:val="20"/>
                <w:szCs w:val="20"/>
              </w:rPr>
            </w:pPr>
            <w:r w:rsidRPr="00BD21DD">
              <w:rPr>
                <w:rFonts w:ascii="Calibri" w:hAnsi="Calibri"/>
                <w:b/>
                <w:bCs/>
                <w:color w:val="000000"/>
                <w:sz w:val="20"/>
                <w:szCs w:val="20"/>
              </w:rPr>
              <w:t>Extrémna</w:t>
            </w:r>
          </w:p>
        </w:tc>
        <w:tc>
          <w:tcPr>
            <w:tcW w:w="1485" w:type="dxa"/>
            <w:tcBorders>
              <w:top w:val="nil"/>
              <w:left w:val="nil"/>
              <w:bottom w:val="single" w:sz="8" w:space="0" w:color="FFFFFF"/>
              <w:right w:val="single" w:sz="8" w:space="0" w:color="FFFFFF"/>
            </w:tcBorders>
            <w:shd w:val="clear" w:color="auto" w:fill="BDD6EE"/>
            <w:noWrap/>
            <w:tcMar>
              <w:top w:w="0" w:type="dxa"/>
              <w:left w:w="108" w:type="dxa"/>
              <w:bottom w:w="0" w:type="dxa"/>
              <w:right w:w="108" w:type="dxa"/>
            </w:tcMar>
          </w:tcPr>
          <w:p w:rsidR="00242C36" w:rsidRPr="00BD21DD" w:rsidRDefault="00242C36" w:rsidP="00242C36">
            <w:pPr>
              <w:spacing w:line="45" w:lineRule="atLeast"/>
              <w:jc w:val="center"/>
              <w:rPr>
                <w:rFonts w:ascii="Calibri" w:hAnsi="Calibri"/>
                <w:color w:val="000000"/>
                <w:sz w:val="20"/>
                <w:szCs w:val="20"/>
              </w:rPr>
            </w:pPr>
            <w:r w:rsidRPr="00BD21DD">
              <w:rPr>
                <w:rFonts w:ascii="Calibri" w:hAnsi="Calibri"/>
                <w:color w:val="000000"/>
                <w:sz w:val="20"/>
                <w:szCs w:val="20"/>
              </w:rPr>
              <w:t>&gt; 30 t/ha/rok</w:t>
            </w:r>
          </w:p>
        </w:tc>
        <w:tc>
          <w:tcPr>
            <w:tcW w:w="907" w:type="dxa"/>
            <w:tcBorders>
              <w:top w:val="nil"/>
              <w:left w:val="nil"/>
              <w:bottom w:val="single" w:sz="8" w:space="0" w:color="FFFFFF"/>
              <w:right w:val="single" w:sz="8" w:space="0" w:color="FFFFFF"/>
            </w:tcBorders>
            <w:shd w:val="clear" w:color="auto" w:fill="BDD6EE"/>
            <w:noWrap/>
            <w:tcMar>
              <w:top w:w="0" w:type="dxa"/>
              <w:left w:w="108" w:type="dxa"/>
              <w:bottom w:w="0" w:type="dxa"/>
              <w:right w:w="108" w:type="dxa"/>
            </w:tcMar>
          </w:tcPr>
          <w:p w:rsidR="00242C36" w:rsidRPr="00BD21DD" w:rsidRDefault="00242C36" w:rsidP="00242C36">
            <w:pPr>
              <w:spacing w:line="45" w:lineRule="atLeast"/>
              <w:jc w:val="center"/>
              <w:rPr>
                <w:rFonts w:ascii="Calibri" w:hAnsi="Calibri"/>
                <w:color w:val="000000"/>
                <w:sz w:val="20"/>
                <w:szCs w:val="20"/>
              </w:rPr>
            </w:pPr>
            <w:r w:rsidRPr="00BD21DD">
              <w:rPr>
                <w:rFonts w:ascii="Calibri" w:hAnsi="Calibri"/>
                <w:color w:val="000000"/>
                <w:sz w:val="20"/>
                <w:szCs w:val="20"/>
              </w:rPr>
              <w:t>14,76</w:t>
            </w:r>
          </w:p>
        </w:tc>
        <w:tc>
          <w:tcPr>
            <w:tcW w:w="908" w:type="dxa"/>
            <w:tcBorders>
              <w:top w:val="nil"/>
              <w:left w:val="nil"/>
              <w:bottom w:val="single" w:sz="8" w:space="0" w:color="FFFFFF"/>
              <w:right w:val="single" w:sz="8" w:space="0" w:color="FFFFFF"/>
            </w:tcBorders>
            <w:shd w:val="clear" w:color="auto" w:fill="BDD6EE"/>
            <w:noWrap/>
            <w:tcMar>
              <w:top w:w="0" w:type="dxa"/>
              <w:left w:w="108" w:type="dxa"/>
              <w:bottom w:w="0" w:type="dxa"/>
              <w:right w:w="108" w:type="dxa"/>
            </w:tcMar>
          </w:tcPr>
          <w:p w:rsidR="00242C36" w:rsidRPr="00BD21DD" w:rsidRDefault="00242C36" w:rsidP="00242C36">
            <w:pPr>
              <w:spacing w:line="45" w:lineRule="atLeast"/>
              <w:jc w:val="center"/>
              <w:rPr>
                <w:rFonts w:ascii="Calibri" w:hAnsi="Calibri"/>
                <w:color w:val="000000"/>
                <w:sz w:val="20"/>
                <w:szCs w:val="20"/>
              </w:rPr>
            </w:pPr>
            <w:r w:rsidRPr="00BD21DD">
              <w:rPr>
                <w:rFonts w:ascii="Calibri" w:hAnsi="Calibri"/>
                <w:color w:val="000000"/>
                <w:sz w:val="20"/>
                <w:szCs w:val="20"/>
              </w:rPr>
              <w:t>14,74</w:t>
            </w:r>
          </w:p>
        </w:tc>
        <w:tc>
          <w:tcPr>
            <w:tcW w:w="710" w:type="dxa"/>
            <w:tcBorders>
              <w:top w:val="nil"/>
              <w:left w:val="nil"/>
              <w:bottom w:val="single" w:sz="8" w:space="0" w:color="FFFFFF"/>
              <w:right w:val="single" w:sz="8" w:space="0" w:color="FFFFFF"/>
            </w:tcBorders>
            <w:shd w:val="clear" w:color="auto" w:fill="BDD6EE"/>
            <w:noWrap/>
            <w:tcMar>
              <w:top w:w="0" w:type="dxa"/>
              <w:left w:w="108" w:type="dxa"/>
              <w:bottom w:w="0" w:type="dxa"/>
              <w:right w:w="108" w:type="dxa"/>
            </w:tcMar>
          </w:tcPr>
          <w:p w:rsidR="00242C36" w:rsidRPr="00BD21DD" w:rsidRDefault="00242C36" w:rsidP="00242C36">
            <w:pPr>
              <w:spacing w:line="45" w:lineRule="atLeast"/>
              <w:jc w:val="center"/>
              <w:rPr>
                <w:rFonts w:ascii="Calibri" w:hAnsi="Calibri"/>
                <w:color w:val="000000"/>
                <w:sz w:val="20"/>
                <w:szCs w:val="20"/>
              </w:rPr>
            </w:pPr>
            <w:r w:rsidRPr="00BD21DD">
              <w:rPr>
                <w:rFonts w:ascii="Calibri" w:hAnsi="Calibri"/>
                <w:color w:val="000000"/>
                <w:sz w:val="20"/>
                <w:szCs w:val="20"/>
              </w:rPr>
              <w:t>14,69</w:t>
            </w:r>
          </w:p>
        </w:tc>
        <w:tc>
          <w:tcPr>
            <w:tcW w:w="908" w:type="dxa"/>
            <w:tcBorders>
              <w:top w:val="nil"/>
              <w:left w:val="nil"/>
              <w:bottom w:val="single" w:sz="8" w:space="0" w:color="FFFFFF"/>
              <w:right w:val="single" w:sz="8" w:space="0" w:color="FFFFFF"/>
            </w:tcBorders>
            <w:shd w:val="clear" w:color="auto" w:fill="BDD6EE"/>
            <w:noWrap/>
            <w:tcMar>
              <w:top w:w="0" w:type="dxa"/>
              <w:left w:w="108" w:type="dxa"/>
              <w:bottom w:w="0" w:type="dxa"/>
              <w:right w:w="108" w:type="dxa"/>
            </w:tcMar>
          </w:tcPr>
          <w:p w:rsidR="00242C36" w:rsidRPr="00BD21DD" w:rsidRDefault="00242C36" w:rsidP="00242C36">
            <w:pPr>
              <w:spacing w:line="45" w:lineRule="atLeast"/>
              <w:jc w:val="center"/>
              <w:rPr>
                <w:rFonts w:ascii="Calibri" w:hAnsi="Calibri"/>
                <w:color w:val="000000"/>
                <w:sz w:val="20"/>
                <w:szCs w:val="20"/>
              </w:rPr>
            </w:pPr>
            <w:r w:rsidRPr="00BD21DD">
              <w:rPr>
                <w:rFonts w:ascii="Calibri" w:hAnsi="Calibri"/>
                <w:color w:val="000000"/>
                <w:sz w:val="20"/>
                <w:szCs w:val="20"/>
              </w:rPr>
              <w:t>14,71</w:t>
            </w:r>
          </w:p>
        </w:tc>
        <w:tc>
          <w:tcPr>
            <w:tcW w:w="777" w:type="dxa"/>
            <w:tcBorders>
              <w:top w:val="nil"/>
              <w:left w:val="nil"/>
              <w:bottom w:val="single" w:sz="8" w:space="0" w:color="FFFFFF"/>
              <w:right w:val="single" w:sz="8" w:space="0" w:color="FFFFFF"/>
            </w:tcBorders>
            <w:shd w:val="clear" w:color="auto" w:fill="BDD6EE"/>
            <w:noWrap/>
            <w:tcMar>
              <w:top w:w="0" w:type="dxa"/>
              <w:left w:w="108" w:type="dxa"/>
              <w:bottom w:w="0" w:type="dxa"/>
              <w:right w:w="108" w:type="dxa"/>
            </w:tcMar>
          </w:tcPr>
          <w:p w:rsidR="00242C36" w:rsidRPr="00BD21DD" w:rsidRDefault="00242C36" w:rsidP="00242C36">
            <w:pPr>
              <w:spacing w:line="45" w:lineRule="atLeast"/>
              <w:jc w:val="center"/>
              <w:rPr>
                <w:rFonts w:ascii="Calibri" w:hAnsi="Calibri"/>
                <w:color w:val="000000"/>
                <w:sz w:val="20"/>
                <w:szCs w:val="20"/>
              </w:rPr>
            </w:pPr>
            <w:r w:rsidRPr="00BD21DD">
              <w:rPr>
                <w:rFonts w:ascii="Calibri" w:hAnsi="Calibri"/>
                <w:color w:val="000000"/>
                <w:sz w:val="20"/>
                <w:szCs w:val="20"/>
              </w:rPr>
              <w:t>14,68</w:t>
            </w:r>
          </w:p>
        </w:tc>
        <w:tc>
          <w:tcPr>
            <w:tcW w:w="740" w:type="dxa"/>
            <w:tcBorders>
              <w:top w:val="nil"/>
              <w:left w:val="nil"/>
              <w:bottom w:val="single" w:sz="8" w:space="0" w:color="FFFFFF"/>
              <w:right w:val="single" w:sz="4" w:space="0" w:color="FFFFFF"/>
            </w:tcBorders>
            <w:shd w:val="clear" w:color="auto" w:fill="BDD6EE"/>
            <w:vAlign w:val="bottom"/>
          </w:tcPr>
          <w:p w:rsidR="00242C36" w:rsidRPr="00C51010" w:rsidRDefault="00242C36" w:rsidP="00242C36">
            <w:pPr>
              <w:jc w:val="center"/>
              <w:rPr>
                <w:rFonts w:ascii="Calibri" w:hAnsi="Calibri"/>
                <w:sz w:val="20"/>
                <w:szCs w:val="20"/>
              </w:rPr>
            </w:pPr>
            <w:r w:rsidRPr="00C51010">
              <w:rPr>
                <w:rFonts w:ascii="Calibri" w:hAnsi="Calibri"/>
                <w:sz w:val="20"/>
                <w:szCs w:val="20"/>
              </w:rPr>
              <w:t>14,55</w:t>
            </w:r>
          </w:p>
        </w:tc>
        <w:tc>
          <w:tcPr>
            <w:tcW w:w="654" w:type="dxa"/>
            <w:tcBorders>
              <w:top w:val="nil"/>
              <w:left w:val="single" w:sz="4" w:space="0" w:color="FFFFFF"/>
              <w:bottom w:val="single" w:sz="8" w:space="0" w:color="FFFFFF"/>
              <w:right w:val="single" w:sz="8" w:space="0" w:color="FFFFFF"/>
            </w:tcBorders>
            <w:shd w:val="clear" w:color="auto" w:fill="BDD6EE"/>
            <w:vAlign w:val="bottom"/>
          </w:tcPr>
          <w:p w:rsidR="00242C36" w:rsidRPr="00C51010" w:rsidRDefault="00242C36" w:rsidP="00242C36">
            <w:pPr>
              <w:jc w:val="center"/>
              <w:rPr>
                <w:rFonts w:ascii="Calibri" w:hAnsi="Calibri"/>
                <w:sz w:val="20"/>
                <w:szCs w:val="20"/>
              </w:rPr>
            </w:pPr>
            <w:r w:rsidRPr="00C51010">
              <w:rPr>
                <w:rFonts w:ascii="Calibri" w:hAnsi="Calibri"/>
                <w:sz w:val="20"/>
                <w:szCs w:val="20"/>
              </w:rPr>
              <w:t>14,04</w:t>
            </w:r>
          </w:p>
        </w:tc>
      </w:tr>
    </w:tbl>
    <w:p w:rsidR="00242C36" w:rsidRPr="00BD21DD" w:rsidRDefault="00242C36" w:rsidP="00242C36">
      <w:pPr>
        <w:rPr>
          <w:rFonts w:ascii="Calibri" w:hAnsi="Calibri"/>
          <w:color w:val="000000"/>
          <w:sz w:val="20"/>
          <w:szCs w:val="20"/>
        </w:rPr>
      </w:pPr>
      <w:r w:rsidRPr="00BD21DD">
        <w:rPr>
          <w:rFonts w:ascii="Calibri" w:hAnsi="Calibri"/>
          <w:color w:val="000000"/>
          <w:sz w:val="20"/>
          <w:szCs w:val="20"/>
        </w:rPr>
        <w:t xml:space="preserve">Zdroj: </w:t>
      </w:r>
      <w:r>
        <w:rPr>
          <w:rFonts w:ascii="Calibri" w:hAnsi="Calibri"/>
          <w:color w:val="000000"/>
          <w:sz w:val="20"/>
          <w:szCs w:val="20"/>
        </w:rPr>
        <w:t>NPPC-</w:t>
      </w:r>
      <w:r w:rsidRPr="00BD21DD">
        <w:rPr>
          <w:rFonts w:ascii="Calibri" w:hAnsi="Calibri"/>
          <w:color w:val="000000"/>
          <w:sz w:val="20"/>
          <w:szCs w:val="20"/>
        </w:rPr>
        <w:t>VÚPOP</w:t>
      </w:r>
    </w:p>
    <w:p w:rsidR="00242C36" w:rsidRPr="00E43137" w:rsidRDefault="00242C36" w:rsidP="00242C36">
      <w:pPr>
        <w:keepNext/>
        <w:keepLines/>
        <w:pBdr>
          <w:bar w:val="single" w:sz="6" w:color="808080"/>
        </w:pBdr>
        <w:spacing w:after="120"/>
        <w:outlineLvl w:val="1"/>
        <w:rPr>
          <w:rFonts w:ascii="Calibri" w:hAnsi="Calibri"/>
          <w:b/>
          <w:bCs/>
          <w:szCs w:val="22"/>
        </w:rPr>
      </w:pPr>
    </w:p>
    <w:p w:rsidR="00242C36" w:rsidRDefault="00242C36" w:rsidP="00242C36">
      <w:pPr>
        <w:pBdr>
          <w:bar w:val="single" w:sz="6" w:color="808080"/>
        </w:pBdr>
        <w:rPr>
          <w:rFonts w:ascii="Calibri" w:eastAsia="Calibri" w:hAnsi="Calibri"/>
          <w:szCs w:val="22"/>
          <w:lang w:eastAsia="en-US"/>
        </w:rPr>
      </w:pPr>
      <w:r w:rsidRPr="00024C57">
        <w:rPr>
          <w:rFonts w:ascii="Calibri" w:eastAsia="Calibri" w:hAnsi="Calibri"/>
          <w:b/>
          <w:szCs w:val="22"/>
          <w:lang w:eastAsia="en-US"/>
        </w:rPr>
        <w:t>Zhutnenie po</w:t>
      </w:r>
      <w:r w:rsidRPr="00024C57">
        <w:rPr>
          <w:rFonts w:ascii="Calibri" w:eastAsia="Calibri" w:hAnsi="Calibri" w:hint="eastAsia"/>
          <w:b/>
          <w:szCs w:val="22"/>
          <w:lang w:eastAsia="en-US"/>
        </w:rPr>
        <w:t>ľ</w:t>
      </w:r>
      <w:r w:rsidRPr="00024C57">
        <w:rPr>
          <w:rFonts w:ascii="Calibri" w:eastAsia="Calibri" w:hAnsi="Calibri"/>
          <w:b/>
          <w:szCs w:val="22"/>
          <w:lang w:eastAsia="en-US"/>
        </w:rPr>
        <w:t>nohospodárskej pôdy</w:t>
      </w:r>
      <w:r w:rsidRPr="00E43137">
        <w:rPr>
          <w:rFonts w:ascii="Calibri" w:eastAsia="Calibri" w:hAnsi="Calibri"/>
          <w:szCs w:val="22"/>
          <w:lang w:eastAsia="en-US"/>
        </w:rPr>
        <w:t xml:space="preserve"> </w:t>
      </w:r>
    </w:p>
    <w:p w:rsidR="00242C36" w:rsidRPr="00792CDE" w:rsidRDefault="00242C36" w:rsidP="00242C36">
      <w:pPr>
        <w:rPr>
          <w:szCs w:val="22"/>
        </w:rPr>
      </w:pPr>
      <w:r w:rsidRPr="00792CDE">
        <w:rPr>
          <w:szCs w:val="22"/>
        </w:rPr>
        <w:t>Zhutnenie pôdy je významný proces degradácie pôdy, ktorý ovplyvň</w:t>
      </w:r>
      <w:r>
        <w:rPr>
          <w:szCs w:val="22"/>
        </w:rPr>
        <w:t xml:space="preserve">uje produkčnú funkciu pôdy, ale </w:t>
      </w:r>
      <w:r w:rsidRPr="00792CDE">
        <w:rPr>
          <w:szCs w:val="22"/>
        </w:rPr>
        <w:t>aj jej náchylnosť na iné degradačné procesy pôdy a krajiny (erózia pôdy, záplavy).</w:t>
      </w:r>
    </w:p>
    <w:p w:rsidR="00242C36" w:rsidRPr="00E43137" w:rsidRDefault="00242C36" w:rsidP="00242C36">
      <w:pPr>
        <w:pBdr>
          <w:bar w:val="single" w:sz="6" w:color="808080"/>
        </w:pBdr>
        <w:rPr>
          <w:rFonts w:ascii="Calibri" w:eastAsia="Calibri" w:hAnsi="Calibri"/>
          <w:szCs w:val="22"/>
          <w:lang w:eastAsia="en-US"/>
        </w:rPr>
      </w:pPr>
      <w:r w:rsidRPr="00E43137">
        <w:rPr>
          <w:rFonts w:ascii="Calibri" w:eastAsia="Calibri" w:hAnsi="Calibri"/>
          <w:szCs w:val="22"/>
          <w:lang w:eastAsia="en-US"/>
        </w:rPr>
        <w:t>Stav objemovej hmotnosti pôd v rámci ornice, v ktorej sa nachádza preva</w:t>
      </w:r>
      <w:r w:rsidRPr="00E43137">
        <w:rPr>
          <w:rFonts w:ascii="Calibri" w:eastAsia="Calibri" w:hAnsi="Calibri" w:hint="eastAsia"/>
          <w:szCs w:val="22"/>
          <w:lang w:eastAsia="en-US"/>
        </w:rPr>
        <w:t>ž</w:t>
      </w:r>
      <w:r w:rsidRPr="00E43137">
        <w:rPr>
          <w:rFonts w:ascii="Calibri" w:eastAsia="Calibri" w:hAnsi="Calibri"/>
          <w:szCs w:val="22"/>
          <w:lang w:eastAsia="en-US"/>
        </w:rPr>
        <w:t xml:space="preserve">ná </w:t>
      </w:r>
      <w:r w:rsidRPr="00E43137">
        <w:rPr>
          <w:rFonts w:ascii="Calibri" w:eastAsia="Calibri" w:hAnsi="Calibri" w:hint="eastAsia"/>
          <w:szCs w:val="22"/>
          <w:lang w:eastAsia="en-US"/>
        </w:rPr>
        <w:t>č</w:t>
      </w:r>
      <w:r w:rsidRPr="00E43137">
        <w:rPr>
          <w:rFonts w:ascii="Calibri" w:eastAsia="Calibri" w:hAnsi="Calibri"/>
          <w:szCs w:val="22"/>
          <w:lang w:eastAsia="en-US"/>
        </w:rPr>
        <w:t>as</w:t>
      </w:r>
      <w:r w:rsidRPr="00E43137">
        <w:rPr>
          <w:rFonts w:ascii="Calibri" w:eastAsia="Calibri" w:hAnsi="Calibri" w:hint="eastAsia"/>
          <w:szCs w:val="22"/>
          <w:lang w:eastAsia="en-US"/>
        </w:rPr>
        <w:t>ť</w:t>
      </w:r>
      <w:r w:rsidRPr="00E43137">
        <w:rPr>
          <w:rFonts w:ascii="Calibri" w:eastAsia="Calibri" w:hAnsi="Calibri"/>
          <w:szCs w:val="22"/>
          <w:lang w:eastAsia="en-US"/>
        </w:rPr>
        <w:t xml:space="preserve"> kore</w:t>
      </w:r>
      <w:r w:rsidRPr="00E43137">
        <w:rPr>
          <w:rFonts w:ascii="Calibri" w:eastAsia="Calibri" w:hAnsi="Calibri" w:hint="eastAsia"/>
          <w:szCs w:val="22"/>
          <w:lang w:eastAsia="en-US"/>
        </w:rPr>
        <w:t>ň</w:t>
      </w:r>
      <w:r w:rsidRPr="00E43137">
        <w:rPr>
          <w:rFonts w:ascii="Calibri" w:eastAsia="Calibri" w:hAnsi="Calibri"/>
          <w:szCs w:val="22"/>
          <w:lang w:eastAsia="en-US"/>
        </w:rPr>
        <w:t xml:space="preserve">ového systému rastlín, na základe údajov z </w:t>
      </w:r>
      <w:r w:rsidRPr="00E43137">
        <w:rPr>
          <w:rFonts w:ascii="Calibri" w:eastAsia="Calibri" w:hAnsi="Calibri" w:hint="eastAsia"/>
          <w:szCs w:val="22"/>
          <w:lang w:eastAsia="en-US"/>
        </w:rPr>
        <w:t>Č</w:t>
      </w:r>
      <w:r w:rsidRPr="00E43137">
        <w:rPr>
          <w:rFonts w:ascii="Calibri" w:eastAsia="Calibri" w:hAnsi="Calibri"/>
          <w:szCs w:val="22"/>
          <w:lang w:eastAsia="en-US"/>
        </w:rPr>
        <w:t>MS-Pôda zobrazuje nasledovná mapa.</w:t>
      </w:r>
    </w:p>
    <w:p w:rsidR="00242C36" w:rsidRPr="00E43137" w:rsidRDefault="00242C36" w:rsidP="00242C36">
      <w:pPr>
        <w:pBdr>
          <w:bar w:val="single" w:sz="6" w:color="808080"/>
        </w:pBdr>
        <w:rPr>
          <w:rFonts w:ascii="Calibri" w:eastAsia="Calibri" w:hAnsi="Calibri"/>
          <w:i/>
          <w:szCs w:val="22"/>
          <w:lang w:eastAsia="en-US"/>
        </w:rPr>
      </w:pPr>
    </w:p>
    <w:p w:rsidR="00B4269F" w:rsidRDefault="00B4269F" w:rsidP="008676F9">
      <w:pPr>
        <w:pBdr>
          <w:bar w:val="single" w:sz="6" w:color="808080"/>
        </w:pBdr>
        <w:rPr>
          <w:rFonts w:ascii="Calibri" w:eastAsia="Calibri" w:hAnsi="Calibri"/>
          <w:i/>
          <w:szCs w:val="22"/>
          <w:lang w:eastAsia="en-US"/>
        </w:rPr>
        <w:sectPr w:rsidR="00B4269F" w:rsidSect="009748BF">
          <w:headerReference w:type="default" r:id="rId28"/>
          <w:footerReference w:type="default" r:id="rId29"/>
          <w:footerReference w:type="first" r:id="rId30"/>
          <w:pgSz w:w="11906" w:h="16838"/>
          <w:pgMar w:top="1417" w:right="1417" w:bottom="1417" w:left="1417" w:header="708" w:footer="708" w:gutter="0"/>
          <w:pgNumType w:start="0"/>
          <w:cols w:space="708"/>
          <w:titlePg/>
          <w:docGrid w:linePitch="360"/>
        </w:sectPr>
      </w:pPr>
    </w:p>
    <w:p w:rsidR="00E43137" w:rsidRPr="00E43137" w:rsidRDefault="00E43137" w:rsidP="008676F9">
      <w:pPr>
        <w:pBdr>
          <w:bar w:val="single" w:sz="6" w:color="808080"/>
        </w:pBdr>
        <w:rPr>
          <w:rFonts w:ascii="Calibri" w:eastAsia="Calibri" w:hAnsi="Calibri"/>
          <w:i/>
          <w:sz w:val="20"/>
          <w:szCs w:val="22"/>
          <w:lang w:eastAsia="en-US"/>
        </w:rPr>
      </w:pPr>
      <w:r w:rsidRPr="00E43137">
        <w:rPr>
          <w:rFonts w:ascii="Calibri" w:eastAsia="Calibri" w:hAnsi="Calibri"/>
          <w:i/>
          <w:szCs w:val="22"/>
          <w:lang w:eastAsia="en-US"/>
        </w:rPr>
        <w:t>Stav objemovej hmotnosti pôd SR pod</w:t>
      </w:r>
      <w:r w:rsidRPr="00E43137">
        <w:rPr>
          <w:rFonts w:ascii="Calibri" w:eastAsia="Calibri" w:hAnsi="Calibri" w:hint="eastAsia"/>
          <w:i/>
          <w:szCs w:val="22"/>
          <w:lang w:eastAsia="en-US"/>
        </w:rPr>
        <w:t>ľ</w:t>
      </w:r>
      <w:r w:rsidRPr="00E43137">
        <w:rPr>
          <w:rFonts w:ascii="Calibri" w:eastAsia="Calibri" w:hAnsi="Calibri"/>
          <w:i/>
          <w:szCs w:val="22"/>
          <w:lang w:eastAsia="en-US"/>
        </w:rPr>
        <w:t>a údajov posledného ukon</w:t>
      </w:r>
      <w:r w:rsidRPr="00E43137">
        <w:rPr>
          <w:rFonts w:ascii="Calibri" w:eastAsia="Calibri" w:hAnsi="Calibri" w:hint="eastAsia"/>
          <w:i/>
          <w:szCs w:val="22"/>
          <w:lang w:eastAsia="en-US"/>
        </w:rPr>
        <w:t>č</w:t>
      </w:r>
      <w:r w:rsidRPr="00E43137">
        <w:rPr>
          <w:rFonts w:ascii="Calibri" w:eastAsia="Calibri" w:hAnsi="Calibri"/>
          <w:i/>
          <w:szCs w:val="22"/>
          <w:lang w:eastAsia="en-US"/>
        </w:rPr>
        <w:t xml:space="preserve">eného odberového cyklu monitoringu pôd </w:t>
      </w:r>
      <w:r w:rsidRPr="00E43137">
        <w:rPr>
          <w:rFonts w:ascii="Calibri" w:eastAsia="Calibri" w:hAnsi="Calibri" w:hint="eastAsia"/>
          <w:i/>
          <w:szCs w:val="22"/>
          <w:lang w:eastAsia="en-US"/>
        </w:rPr>
        <w:t>–</w:t>
      </w:r>
      <w:r w:rsidRPr="00E43137">
        <w:rPr>
          <w:rFonts w:ascii="Calibri" w:eastAsia="Calibri" w:hAnsi="Calibri"/>
          <w:i/>
          <w:szCs w:val="22"/>
          <w:lang w:eastAsia="en-US"/>
        </w:rPr>
        <w:t xml:space="preserve"> ornica</w:t>
      </w:r>
      <w:r w:rsidRPr="00E43137">
        <w:rPr>
          <w:rFonts w:ascii="Calibri" w:eastAsia="Calibri" w:hAnsi="Calibri"/>
          <w:i/>
          <w:szCs w:val="22"/>
          <w:lang w:eastAsia="en-US"/>
        </w:rPr>
        <w:tab/>
      </w:r>
      <w:r w:rsidRPr="00E43137">
        <w:rPr>
          <w:rFonts w:ascii="Calibri" w:eastAsia="Calibri" w:hAnsi="Calibri"/>
          <w:i/>
          <w:szCs w:val="22"/>
          <w:lang w:eastAsia="en-US"/>
        </w:rPr>
        <w:tab/>
      </w:r>
      <w:r w:rsidRPr="00E43137">
        <w:rPr>
          <w:rFonts w:ascii="Calibri" w:eastAsia="Calibri" w:hAnsi="Calibri"/>
          <w:i/>
          <w:szCs w:val="22"/>
          <w:lang w:eastAsia="en-US"/>
        </w:rPr>
        <w:tab/>
      </w:r>
      <w:r w:rsidRPr="00E43137">
        <w:rPr>
          <w:rFonts w:ascii="Calibri" w:eastAsia="Calibri" w:hAnsi="Calibri"/>
          <w:i/>
          <w:szCs w:val="22"/>
          <w:lang w:eastAsia="en-US"/>
        </w:rPr>
        <w:tab/>
      </w:r>
      <w:r w:rsidRPr="00E43137">
        <w:rPr>
          <w:rFonts w:ascii="Calibri" w:eastAsia="Calibri" w:hAnsi="Calibri"/>
          <w:i/>
          <w:szCs w:val="22"/>
          <w:lang w:eastAsia="en-US"/>
        </w:rPr>
        <w:tab/>
      </w:r>
      <w:r w:rsidRPr="00E43137">
        <w:rPr>
          <w:rFonts w:ascii="Calibri" w:eastAsia="Calibri" w:hAnsi="Calibri"/>
          <w:i/>
          <w:szCs w:val="22"/>
          <w:lang w:eastAsia="en-US"/>
        </w:rPr>
        <w:tab/>
      </w:r>
      <w:r w:rsidRPr="00E43137">
        <w:rPr>
          <w:rFonts w:ascii="Calibri" w:eastAsia="Calibri" w:hAnsi="Calibri"/>
          <w:i/>
          <w:szCs w:val="22"/>
          <w:lang w:eastAsia="en-US"/>
        </w:rPr>
        <w:tab/>
      </w:r>
      <w:r w:rsidRPr="00E43137">
        <w:rPr>
          <w:rFonts w:ascii="Calibri" w:eastAsia="Calibri" w:hAnsi="Calibri"/>
          <w:i/>
          <w:szCs w:val="22"/>
          <w:lang w:eastAsia="en-US"/>
        </w:rPr>
        <w:tab/>
      </w:r>
      <w:r w:rsidRPr="00E43137">
        <w:rPr>
          <w:rFonts w:ascii="Calibri" w:eastAsia="Calibri" w:hAnsi="Calibri"/>
          <w:i/>
          <w:szCs w:val="22"/>
          <w:lang w:eastAsia="en-US"/>
        </w:rPr>
        <w:tab/>
      </w:r>
      <w:r w:rsidR="00B4269F" w:rsidRPr="003C04C8">
        <w:rPr>
          <w:rFonts w:ascii="Calibri" w:eastAsia="Calibri" w:hAnsi="Calibri"/>
          <w:i/>
          <w:noProof/>
          <w:szCs w:val="22"/>
        </w:rPr>
        <w:drawing>
          <wp:inline distT="0" distB="0" distL="0" distR="0" wp14:anchorId="623CA432" wp14:editId="4B741045">
            <wp:extent cx="8877300" cy="4733925"/>
            <wp:effectExtent l="19050" t="0" r="0" b="0"/>
            <wp:docPr id="6" name="obráze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20"/>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8894118" cy="4742893"/>
                    </a:xfrm>
                    <a:prstGeom prst="rect">
                      <a:avLst/>
                    </a:prstGeom>
                    <a:noFill/>
                    <a:ln>
                      <a:noFill/>
                    </a:ln>
                  </pic:spPr>
                </pic:pic>
              </a:graphicData>
            </a:graphic>
          </wp:inline>
        </w:drawing>
      </w:r>
    </w:p>
    <w:p w:rsidR="00E43137" w:rsidRPr="00E43137" w:rsidRDefault="00E43137" w:rsidP="008676F9">
      <w:pPr>
        <w:pBdr>
          <w:bar w:val="single" w:sz="6" w:color="808080"/>
        </w:pBdr>
        <w:rPr>
          <w:rFonts w:ascii="Calibri" w:eastAsia="Calibri" w:hAnsi="Calibri"/>
          <w:i/>
          <w:sz w:val="20"/>
          <w:szCs w:val="22"/>
          <w:lang w:eastAsia="en-US"/>
        </w:rPr>
      </w:pPr>
    </w:p>
    <w:p w:rsidR="00E43137" w:rsidRPr="00E43137" w:rsidRDefault="00E43137" w:rsidP="008676F9">
      <w:pPr>
        <w:pBdr>
          <w:bar w:val="single" w:sz="6" w:color="808080"/>
        </w:pBdr>
        <w:rPr>
          <w:rFonts w:ascii="Calibri" w:eastAsia="Calibri" w:hAnsi="Calibri"/>
          <w:b/>
        </w:rPr>
      </w:pPr>
      <w:r w:rsidRPr="00E43137">
        <w:rPr>
          <w:rFonts w:ascii="Calibri" w:eastAsia="Calibri" w:hAnsi="Calibri"/>
          <w:i/>
          <w:sz w:val="20"/>
          <w:szCs w:val="22"/>
          <w:lang w:eastAsia="en-US"/>
        </w:rPr>
        <w:t>Zdroj: VÚPOP, Správa o stave ŽP za r. 2011, MŽP SR</w:t>
      </w:r>
      <w:r w:rsidRPr="00E43137">
        <w:rPr>
          <w:rFonts w:ascii="Calibri" w:hAnsi="Calibri"/>
          <w:b/>
          <w:bCs/>
          <w:szCs w:val="22"/>
        </w:rPr>
        <w:t xml:space="preserve"> </w:t>
      </w:r>
    </w:p>
    <w:p w:rsidR="00B4269F" w:rsidRDefault="00B4269F" w:rsidP="008676F9">
      <w:pPr>
        <w:pBdr>
          <w:bar w:val="single" w:sz="6" w:color="808080"/>
        </w:pBdr>
        <w:rPr>
          <w:rFonts w:ascii="Calibri" w:eastAsia="Calibri" w:hAnsi="Calibri"/>
          <w:b/>
        </w:rPr>
        <w:sectPr w:rsidR="00B4269F" w:rsidSect="00B4269F">
          <w:pgSz w:w="16838" w:h="11906" w:orient="landscape"/>
          <w:pgMar w:top="1417" w:right="1417" w:bottom="1417" w:left="1417" w:header="708" w:footer="708" w:gutter="0"/>
          <w:cols w:space="708"/>
          <w:docGrid w:linePitch="360"/>
        </w:sectPr>
      </w:pPr>
    </w:p>
    <w:p w:rsidR="00242C36" w:rsidRDefault="00242C36" w:rsidP="00242C36">
      <w:pPr>
        <w:rPr>
          <w:szCs w:val="22"/>
        </w:rPr>
      </w:pPr>
      <w:bookmarkStart w:id="19" w:name="_Toc359414556"/>
      <w:bookmarkStart w:id="20" w:name="_Toc360202470"/>
      <w:bookmarkStart w:id="21" w:name="_Toc352684218"/>
      <w:bookmarkStart w:id="22" w:name="_Toc352684274"/>
      <w:bookmarkStart w:id="23" w:name="_Toc352753509"/>
      <w:bookmarkStart w:id="24" w:name="_Toc359414558"/>
      <w:bookmarkStart w:id="25" w:name="_Toc360202472"/>
      <w:r w:rsidRPr="00792CDE">
        <w:rPr>
          <w:b/>
          <w:szCs w:val="22"/>
        </w:rPr>
        <w:t>Náchylnosť pôdy na zhutnenie</w:t>
      </w:r>
      <w:r w:rsidRPr="00792CDE">
        <w:rPr>
          <w:szCs w:val="22"/>
        </w:rPr>
        <w:t xml:space="preserve"> môže byť podmienená primárne alebo sekundárne. Primárne hutnenie je podmienené genetickými vlastnosťami pôdy. Trpia ním všetky ťažké pôdy (ílovitohlinité, ílovité, íly)</w:t>
      </w:r>
      <w:r>
        <w:rPr>
          <w:szCs w:val="22"/>
        </w:rPr>
        <w:t xml:space="preserve"> </w:t>
      </w:r>
      <w:r w:rsidRPr="00792CDE">
        <w:rPr>
          <w:szCs w:val="22"/>
        </w:rPr>
        <w:t>ako aj pôdy s mramorovanými a iluviálnymi luvickými horizontmi (pseudogleje, luvizeme). Sekundárne (technogénne) zhutnenie je spôsobené činnosťou človeka, a to priamo - vplyvom tlaku</w:t>
      </w:r>
      <w:r>
        <w:rPr>
          <w:szCs w:val="22"/>
        </w:rPr>
        <w:t xml:space="preserve"> </w:t>
      </w:r>
      <w:r w:rsidRPr="00792CDE">
        <w:rPr>
          <w:szCs w:val="22"/>
        </w:rPr>
        <w:t xml:space="preserve">kolies poľnohospodárskych mechanizmov, alebo nepriamo – znižovaním odolnosti pôd voči </w:t>
      </w:r>
      <w:r>
        <w:rPr>
          <w:szCs w:val="22"/>
        </w:rPr>
        <w:t xml:space="preserve"> </w:t>
      </w:r>
      <w:r w:rsidRPr="00792CDE">
        <w:rPr>
          <w:szCs w:val="22"/>
        </w:rPr>
        <w:t>hutneniu</w:t>
      </w:r>
      <w:r>
        <w:rPr>
          <w:szCs w:val="22"/>
        </w:rPr>
        <w:t xml:space="preserve"> </w:t>
      </w:r>
      <w:r w:rsidRPr="00792CDE">
        <w:rPr>
          <w:szCs w:val="22"/>
        </w:rPr>
        <w:t xml:space="preserve">nesprávnym hospodárením (nedostatočným organickým hnojením, nevhodným sortimentom hnojív, nedodržiavaním biologicky vyvážených osevných postupov, spôsobov a podmienok </w:t>
      </w:r>
      <w:r>
        <w:rPr>
          <w:szCs w:val="22"/>
        </w:rPr>
        <w:t>o</w:t>
      </w:r>
      <w:r w:rsidRPr="00792CDE">
        <w:rPr>
          <w:szCs w:val="22"/>
        </w:rPr>
        <w:t>bhospodarovania, a pod.).</w:t>
      </w:r>
    </w:p>
    <w:p w:rsidR="00242C36" w:rsidRDefault="00242C36" w:rsidP="00242C36">
      <w:pPr>
        <w:rPr>
          <w:szCs w:val="22"/>
        </w:rPr>
      </w:pPr>
      <w:r w:rsidRPr="00792CDE">
        <w:rPr>
          <w:szCs w:val="22"/>
        </w:rPr>
        <w:t xml:space="preserve"> (</w:t>
      </w:r>
      <w:hyperlink r:id="rId32" w:history="1">
        <w:r w:rsidRPr="00792CDE">
          <w:rPr>
            <w:rStyle w:val="Hypertextovprepojenie"/>
            <w:szCs w:val="22"/>
          </w:rPr>
          <w:t>http://www.podnemapy.sk/portal/verejnost/kompakcia/kompakcia.aspx</w:t>
        </w:r>
      </w:hyperlink>
      <w:r w:rsidRPr="00792CDE">
        <w:rPr>
          <w:szCs w:val="22"/>
        </w:rPr>
        <w:t>)</w:t>
      </w:r>
    </w:p>
    <w:p w:rsidR="008F198F" w:rsidRPr="00792CDE" w:rsidRDefault="008F198F" w:rsidP="00242C36">
      <w:pPr>
        <w:rPr>
          <w:szCs w:val="22"/>
        </w:rPr>
      </w:pPr>
    </w:p>
    <w:p w:rsidR="00242C36" w:rsidRPr="00792CDE" w:rsidRDefault="008F198F" w:rsidP="00242C36">
      <w:pPr>
        <w:rPr>
          <w:b/>
          <w:szCs w:val="22"/>
        </w:rPr>
      </w:pPr>
      <w:r>
        <w:rPr>
          <w:b/>
          <w:szCs w:val="22"/>
        </w:rPr>
        <w:t xml:space="preserve">Tabuľka 57: </w:t>
      </w:r>
      <w:r w:rsidR="00242C36" w:rsidRPr="00792CDE">
        <w:rPr>
          <w:b/>
          <w:szCs w:val="22"/>
        </w:rPr>
        <w:t>Náchylnosť na kompakciu podľa kultúr v LPIS 2014</w:t>
      </w:r>
    </w:p>
    <w:tbl>
      <w:tblPr>
        <w:tblW w:w="9654" w:type="dxa"/>
        <w:tblInd w:w="55" w:type="dxa"/>
        <w:tblCellMar>
          <w:left w:w="70" w:type="dxa"/>
          <w:right w:w="70" w:type="dxa"/>
        </w:tblCellMar>
        <w:tblLook w:val="04A0" w:firstRow="1" w:lastRow="0" w:firstColumn="1" w:lastColumn="0" w:noHBand="0" w:noVBand="1"/>
      </w:tblPr>
      <w:tblGrid>
        <w:gridCol w:w="1575"/>
        <w:gridCol w:w="1199"/>
        <w:gridCol w:w="1352"/>
        <w:gridCol w:w="992"/>
        <w:gridCol w:w="993"/>
        <w:gridCol w:w="1417"/>
        <w:gridCol w:w="2126"/>
      </w:tblGrid>
      <w:tr w:rsidR="00242C36" w:rsidRPr="00792CDE" w:rsidTr="00242C36">
        <w:trPr>
          <w:trHeight w:val="300"/>
        </w:trPr>
        <w:tc>
          <w:tcPr>
            <w:tcW w:w="15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42C36" w:rsidRPr="00792CDE" w:rsidRDefault="00242C36" w:rsidP="00242C36">
            <w:pPr>
              <w:rPr>
                <w:b/>
                <w:bCs/>
                <w:color w:val="000000"/>
              </w:rPr>
            </w:pPr>
            <w:r w:rsidRPr="00792CDE">
              <w:rPr>
                <w:b/>
                <w:bCs/>
                <w:color w:val="000000"/>
                <w:szCs w:val="22"/>
              </w:rPr>
              <w:t>Náchylnosť na kompakciu</w:t>
            </w:r>
          </w:p>
        </w:tc>
        <w:tc>
          <w:tcPr>
            <w:tcW w:w="1199" w:type="dxa"/>
            <w:tcBorders>
              <w:top w:val="single" w:sz="4" w:space="0" w:color="auto"/>
              <w:left w:val="nil"/>
              <w:bottom w:val="single" w:sz="4" w:space="0" w:color="auto"/>
              <w:right w:val="single" w:sz="4" w:space="0" w:color="auto"/>
            </w:tcBorders>
            <w:shd w:val="clear" w:color="auto" w:fill="auto"/>
            <w:noWrap/>
            <w:vAlign w:val="bottom"/>
            <w:hideMark/>
          </w:tcPr>
          <w:p w:rsidR="00242C36" w:rsidRPr="00792CDE" w:rsidRDefault="00242C36" w:rsidP="00242C36">
            <w:pPr>
              <w:jc w:val="center"/>
              <w:rPr>
                <w:b/>
                <w:bCs/>
                <w:color w:val="000000"/>
              </w:rPr>
            </w:pPr>
            <w:r w:rsidRPr="00792CDE">
              <w:rPr>
                <w:b/>
                <w:bCs/>
                <w:color w:val="000000"/>
                <w:szCs w:val="22"/>
              </w:rPr>
              <w:t>orné pôdy</w:t>
            </w:r>
          </w:p>
        </w:tc>
        <w:tc>
          <w:tcPr>
            <w:tcW w:w="1352" w:type="dxa"/>
            <w:tcBorders>
              <w:top w:val="single" w:sz="4" w:space="0" w:color="auto"/>
              <w:left w:val="nil"/>
              <w:bottom w:val="single" w:sz="4" w:space="0" w:color="auto"/>
              <w:right w:val="single" w:sz="4" w:space="0" w:color="auto"/>
            </w:tcBorders>
            <w:shd w:val="clear" w:color="auto" w:fill="auto"/>
            <w:noWrap/>
            <w:vAlign w:val="bottom"/>
            <w:hideMark/>
          </w:tcPr>
          <w:p w:rsidR="00242C36" w:rsidRPr="00792CDE" w:rsidRDefault="00242C36" w:rsidP="00242C36">
            <w:pPr>
              <w:jc w:val="center"/>
              <w:rPr>
                <w:b/>
                <w:bCs/>
                <w:color w:val="000000"/>
              </w:rPr>
            </w:pPr>
            <w:r w:rsidRPr="00792CDE">
              <w:rPr>
                <w:b/>
                <w:bCs/>
                <w:color w:val="000000"/>
                <w:szCs w:val="22"/>
              </w:rPr>
              <w:t>chmeľnice</w:t>
            </w:r>
          </w:p>
        </w:tc>
        <w:tc>
          <w:tcPr>
            <w:tcW w:w="992" w:type="dxa"/>
            <w:tcBorders>
              <w:top w:val="single" w:sz="4" w:space="0" w:color="auto"/>
              <w:left w:val="nil"/>
              <w:bottom w:val="single" w:sz="4" w:space="0" w:color="auto"/>
              <w:right w:val="single" w:sz="4" w:space="0" w:color="auto"/>
            </w:tcBorders>
            <w:shd w:val="clear" w:color="auto" w:fill="auto"/>
            <w:noWrap/>
            <w:vAlign w:val="bottom"/>
            <w:hideMark/>
          </w:tcPr>
          <w:p w:rsidR="00242C36" w:rsidRPr="00792CDE" w:rsidRDefault="00242C36" w:rsidP="00242C36">
            <w:pPr>
              <w:jc w:val="center"/>
              <w:rPr>
                <w:b/>
                <w:bCs/>
                <w:color w:val="000000"/>
              </w:rPr>
            </w:pPr>
            <w:r w:rsidRPr="00792CDE">
              <w:rPr>
                <w:b/>
                <w:bCs/>
                <w:color w:val="000000"/>
                <w:szCs w:val="22"/>
              </w:rPr>
              <w:t>vinice</w:t>
            </w:r>
          </w:p>
        </w:tc>
        <w:tc>
          <w:tcPr>
            <w:tcW w:w="993" w:type="dxa"/>
            <w:tcBorders>
              <w:top w:val="single" w:sz="4" w:space="0" w:color="auto"/>
              <w:left w:val="nil"/>
              <w:bottom w:val="single" w:sz="4" w:space="0" w:color="auto"/>
              <w:right w:val="single" w:sz="4" w:space="0" w:color="auto"/>
            </w:tcBorders>
            <w:shd w:val="clear" w:color="auto" w:fill="auto"/>
            <w:noWrap/>
            <w:vAlign w:val="bottom"/>
            <w:hideMark/>
          </w:tcPr>
          <w:p w:rsidR="00242C36" w:rsidRPr="00792CDE" w:rsidRDefault="00242C36" w:rsidP="00242C36">
            <w:pPr>
              <w:jc w:val="center"/>
              <w:rPr>
                <w:b/>
                <w:bCs/>
                <w:color w:val="000000"/>
              </w:rPr>
            </w:pPr>
            <w:r w:rsidRPr="00792CDE">
              <w:rPr>
                <w:b/>
                <w:bCs/>
                <w:color w:val="000000"/>
                <w:szCs w:val="22"/>
              </w:rPr>
              <w:t>záhrady</w:t>
            </w:r>
          </w:p>
        </w:tc>
        <w:tc>
          <w:tcPr>
            <w:tcW w:w="1417" w:type="dxa"/>
            <w:tcBorders>
              <w:top w:val="single" w:sz="4" w:space="0" w:color="auto"/>
              <w:left w:val="nil"/>
              <w:bottom w:val="single" w:sz="4" w:space="0" w:color="auto"/>
              <w:right w:val="single" w:sz="4" w:space="0" w:color="auto"/>
            </w:tcBorders>
            <w:shd w:val="clear" w:color="auto" w:fill="auto"/>
            <w:noWrap/>
            <w:vAlign w:val="bottom"/>
            <w:hideMark/>
          </w:tcPr>
          <w:p w:rsidR="00242C36" w:rsidRPr="00792CDE" w:rsidRDefault="00242C36" w:rsidP="00242C36">
            <w:pPr>
              <w:jc w:val="center"/>
              <w:rPr>
                <w:b/>
                <w:bCs/>
                <w:color w:val="000000"/>
              </w:rPr>
            </w:pPr>
            <w:r w:rsidRPr="00792CDE">
              <w:rPr>
                <w:b/>
                <w:bCs/>
                <w:color w:val="000000"/>
                <w:szCs w:val="22"/>
              </w:rPr>
              <w:t>ovocné sady</w:t>
            </w:r>
          </w:p>
        </w:tc>
        <w:tc>
          <w:tcPr>
            <w:tcW w:w="2126" w:type="dxa"/>
            <w:tcBorders>
              <w:top w:val="single" w:sz="4" w:space="0" w:color="auto"/>
              <w:left w:val="nil"/>
              <w:bottom w:val="single" w:sz="4" w:space="0" w:color="auto"/>
              <w:right w:val="single" w:sz="4" w:space="0" w:color="auto"/>
            </w:tcBorders>
            <w:shd w:val="clear" w:color="auto" w:fill="auto"/>
            <w:noWrap/>
            <w:vAlign w:val="bottom"/>
            <w:hideMark/>
          </w:tcPr>
          <w:p w:rsidR="00242C36" w:rsidRPr="00792CDE" w:rsidRDefault="00242C36" w:rsidP="00242C36">
            <w:pPr>
              <w:jc w:val="center"/>
              <w:rPr>
                <w:b/>
                <w:bCs/>
                <w:color w:val="000000"/>
              </w:rPr>
            </w:pPr>
            <w:r w:rsidRPr="00792CDE">
              <w:rPr>
                <w:b/>
                <w:bCs/>
                <w:color w:val="000000"/>
                <w:szCs w:val="22"/>
              </w:rPr>
              <w:t>trvalé trávne porasty</w:t>
            </w:r>
          </w:p>
        </w:tc>
      </w:tr>
      <w:tr w:rsidR="00242C36" w:rsidRPr="00792CDE" w:rsidTr="00242C36">
        <w:trPr>
          <w:trHeight w:val="300"/>
        </w:trPr>
        <w:tc>
          <w:tcPr>
            <w:tcW w:w="1575" w:type="dxa"/>
            <w:tcBorders>
              <w:top w:val="nil"/>
              <w:left w:val="single" w:sz="4" w:space="0" w:color="auto"/>
              <w:bottom w:val="single" w:sz="4" w:space="0" w:color="auto"/>
              <w:right w:val="single" w:sz="4" w:space="0" w:color="auto"/>
            </w:tcBorders>
            <w:shd w:val="clear" w:color="auto" w:fill="auto"/>
            <w:noWrap/>
            <w:vAlign w:val="bottom"/>
            <w:hideMark/>
          </w:tcPr>
          <w:p w:rsidR="00242C36" w:rsidRPr="00792CDE" w:rsidRDefault="00242C36" w:rsidP="00242C36">
            <w:pPr>
              <w:rPr>
                <w:b/>
                <w:bCs/>
                <w:color w:val="000000"/>
              </w:rPr>
            </w:pPr>
            <w:r w:rsidRPr="00792CDE">
              <w:rPr>
                <w:b/>
                <w:bCs/>
                <w:color w:val="000000"/>
                <w:szCs w:val="22"/>
              </w:rPr>
              <w:t>primárna</w:t>
            </w:r>
          </w:p>
        </w:tc>
        <w:tc>
          <w:tcPr>
            <w:tcW w:w="1199" w:type="dxa"/>
            <w:tcBorders>
              <w:top w:val="nil"/>
              <w:left w:val="nil"/>
              <w:bottom w:val="single" w:sz="4" w:space="0" w:color="auto"/>
              <w:right w:val="single" w:sz="4" w:space="0" w:color="auto"/>
            </w:tcBorders>
            <w:shd w:val="clear" w:color="auto" w:fill="auto"/>
            <w:noWrap/>
            <w:vAlign w:val="bottom"/>
            <w:hideMark/>
          </w:tcPr>
          <w:p w:rsidR="00242C36" w:rsidRPr="00792CDE" w:rsidRDefault="00242C36" w:rsidP="00242C36">
            <w:pPr>
              <w:jc w:val="center"/>
              <w:rPr>
                <w:color w:val="000000"/>
              </w:rPr>
            </w:pPr>
            <w:r w:rsidRPr="00792CDE">
              <w:rPr>
                <w:color w:val="000000"/>
                <w:szCs w:val="22"/>
              </w:rPr>
              <w:t>309157,18</w:t>
            </w:r>
          </w:p>
        </w:tc>
        <w:tc>
          <w:tcPr>
            <w:tcW w:w="1352" w:type="dxa"/>
            <w:tcBorders>
              <w:top w:val="nil"/>
              <w:left w:val="nil"/>
              <w:bottom w:val="single" w:sz="4" w:space="0" w:color="auto"/>
              <w:right w:val="single" w:sz="4" w:space="0" w:color="auto"/>
            </w:tcBorders>
            <w:shd w:val="clear" w:color="auto" w:fill="auto"/>
            <w:noWrap/>
            <w:vAlign w:val="bottom"/>
            <w:hideMark/>
          </w:tcPr>
          <w:p w:rsidR="00242C36" w:rsidRPr="00792CDE" w:rsidRDefault="00242C36" w:rsidP="00242C36">
            <w:pPr>
              <w:jc w:val="center"/>
              <w:rPr>
                <w:color w:val="000000"/>
              </w:rPr>
            </w:pPr>
            <w:r w:rsidRPr="00792CDE">
              <w:rPr>
                <w:color w:val="000000"/>
                <w:szCs w:val="22"/>
              </w:rPr>
              <w:t>37,96</w:t>
            </w:r>
          </w:p>
        </w:tc>
        <w:tc>
          <w:tcPr>
            <w:tcW w:w="992" w:type="dxa"/>
            <w:tcBorders>
              <w:top w:val="nil"/>
              <w:left w:val="nil"/>
              <w:bottom w:val="single" w:sz="4" w:space="0" w:color="auto"/>
              <w:right w:val="single" w:sz="4" w:space="0" w:color="auto"/>
            </w:tcBorders>
            <w:shd w:val="clear" w:color="auto" w:fill="auto"/>
            <w:noWrap/>
            <w:vAlign w:val="bottom"/>
            <w:hideMark/>
          </w:tcPr>
          <w:p w:rsidR="00242C36" w:rsidRPr="00792CDE" w:rsidRDefault="00242C36" w:rsidP="00242C36">
            <w:pPr>
              <w:jc w:val="center"/>
              <w:rPr>
                <w:color w:val="000000"/>
              </w:rPr>
            </w:pPr>
            <w:r w:rsidRPr="00792CDE">
              <w:rPr>
                <w:color w:val="000000"/>
                <w:szCs w:val="22"/>
              </w:rPr>
              <w:t>1639,37</w:t>
            </w:r>
          </w:p>
        </w:tc>
        <w:tc>
          <w:tcPr>
            <w:tcW w:w="993" w:type="dxa"/>
            <w:tcBorders>
              <w:top w:val="nil"/>
              <w:left w:val="nil"/>
              <w:bottom w:val="single" w:sz="4" w:space="0" w:color="auto"/>
              <w:right w:val="single" w:sz="4" w:space="0" w:color="auto"/>
            </w:tcBorders>
            <w:shd w:val="clear" w:color="auto" w:fill="auto"/>
            <w:noWrap/>
            <w:vAlign w:val="bottom"/>
            <w:hideMark/>
          </w:tcPr>
          <w:p w:rsidR="00242C36" w:rsidRPr="00792CDE" w:rsidRDefault="00242C36" w:rsidP="00242C36">
            <w:pPr>
              <w:jc w:val="center"/>
              <w:rPr>
                <w:color w:val="000000"/>
              </w:rPr>
            </w:pPr>
            <w:r w:rsidRPr="00792CDE">
              <w:rPr>
                <w:color w:val="000000"/>
                <w:szCs w:val="22"/>
              </w:rPr>
              <w:t>130,59</w:t>
            </w:r>
          </w:p>
        </w:tc>
        <w:tc>
          <w:tcPr>
            <w:tcW w:w="1417" w:type="dxa"/>
            <w:tcBorders>
              <w:top w:val="nil"/>
              <w:left w:val="nil"/>
              <w:bottom w:val="single" w:sz="4" w:space="0" w:color="auto"/>
              <w:right w:val="single" w:sz="4" w:space="0" w:color="auto"/>
            </w:tcBorders>
            <w:shd w:val="clear" w:color="auto" w:fill="auto"/>
            <w:noWrap/>
            <w:vAlign w:val="bottom"/>
            <w:hideMark/>
          </w:tcPr>
          <w:p w:rsidR="00242C36" w:rsidRPr="00792CDE" w:rsidRDefault="00242C36" w:rsidP="00242C36">
            <w:pPr>
              <w:jc w:val="center"/>
              <w:rPr>
                <w:color w:val="000000"/>
              </w:rPr>
            </w:pPr>
            <w:r w:rsidRPr="00792CDE">
              <w:rPr>
                <w:color w:val="000000"/>
                <w:szCs w:val="22"/>
              </w:rPr>
              <w:t>1433,52</w:t>
            </w:r>
          </w:p>
        </w:tc>
        <w:tc>
          <w:tcPr>
            <w:tcW w:w="2126" w:type="dxa"/>
            <w:tcBorders>
              <w:top w:val="nil"/>
              <w:left w:val="nil"/>
              <w:bottom w:val="single" w:sz="4" w:space="0" w:color="auto"/>
              <w:right w:val="single" w:sz="4" w:space="0" w:color="auto"/>
            </w:tcBorders>
            <w:shd w:val="clear" w:color="auto" w:fill="auto"/>
            <w:noWrap/>
            <w:vAlign w:val="bottom"/>
            <w:hideMark/>
          </w:tcPr>
          <w:p w:rsidR="00242C36" w:rsidRPr="00792CDE" w:rsidRDefault="00242C36" w:rsidP="00242C36">
            <w:pPr>
              <w:jc w:val="center"/>
              <w:rPr>
                <w:color w:val="000000"/>
              </w:rPr>
            </w:pPr>
            <w:r w:rsidRPr="00792CDE">
              <w:rPr>
                <w:color w:val="000000"/>
                <w:szCs w:val="22"/>
              </w:rPr>
              <w:t>99393,25</w:t>
            </w:r>
          </w:p>
        </w:tc>
      </w:tr>
      <w:tr w:rsidR="00242C36" w:rsidRPr="00792CDE" w:rsidTr="00242C36">
        <w:trPr>
          <w:trHeight w:val="300"/>
        </w:trPr>
        <w:tc>
          <w:tcPr>
            <w:tcW w:w="1575" w:type="dxa"/>
            <w:tcBorders>
              <w:top w:val="nil"/>
              <w:left w:val="single" w:sz="4" w:space="0" w:color="auto"/>
              <w:bottom w:val="single" w:sz="4" w:space="0" w:color="auto"/>
              <w:right w:val="single" w:sz="4" w:space="0" w:color="auto"/>
            </w:tcBorders>
            <w:shd w:val="clear" w:color="auto" w:fill="auto"/>
            <w:noWrap/>
            <w:vAlign w:val="bottom"/>
            <w:hideMark/>
          </w:tcPr>
          <w:p w:rsidR="00242C36" w:rsidRPr="00792CDE" w:rsidRDefault="00242C36" w:rsidP="00242C36">
            <w:pPr>
              <w:rPr>
                <w:b/>
                <w:bCs/>
                <w:color w:val="000000"/>
              </w:rPr>
            </w:pPr>
            <w:r w:rsidRPr="00792CDE">
              <w:rPr>
                <w:b/>
                <w:bCs/>
                <w:color w:val="000000"/>
                <w:szCs w:val="22"/>
              </w:rPr>
              <w:t>primárna + sekundárna</w:t>
            </w:r>
          </w:p>
        </w:tc>
        <w:tc>
          <w:tcPr>
            <w:tcW w:w="1199" w:type="dxa"/>
            <w:tcBorders>
              <w:top w:val="nil"/>
              <w:left w:val="nil"/>
              <w:bottom w:val="single" w:sz="4" w:space="0" w:color="auto"/>
              <w:right w:val="single" w:sz="4" w:space="0" w:color="auto"/>
            </w:tcBorders>
            <w:shd w:val="clear" w:color="auto" w:fill="auto"/>
            <w:noWrap/>
            <w:vAlign w:val="bottom"/>
            <w:hideMark/>
          </w:tcPr>
          <w:p w:rsidR="00242C36" w:rsidRPr="00792CDE" w:rsidRDefault="00242C36" w:rsidP="00242C36">
            <w:pPr>
              <w:jc w:val="center"/>
              <w:rPr>
                <w:color w:val="000000"/>
              </w:rPr>
            </w:pPr>
            <w:r w:rsidRPr="00792CDE">
              <w:rPr>
                <w:color w:val="000000"/>
                <w:szCs w:val="22"/>
              </w:rPr>
              <w:t>369256,47</w:t>
            </w:r>
          </w:p>
        </w:tc>
        <w:tc>
          <w:tcPr>
            <w:tcW w:w="1352" w:type="dxa"/>
            <w:tcBorders>
              <w:top w:val="nil"/>
              <w:left w:val="nil"/>
              <w:bottom w:val="single" w:sz="4" w:space="0" w:color="auto"/>
              <w:right w:val="single" w:sz="4" w:space="0" w:color="auto"/>
            </w:tcBorders>
            <w:shd w:val="clear" w:color="auto" w:fill="auto"/>
            <w:noWrap/>
            <w:vAlign w:val="bottom"/>
            <w:hideMark/>
          </w:tcPr>
          <w:p w:rsidR="00242C36" w:rsidRPr="00792CDE" w:rsidRDefault="00242C36" w:rsidP="00242C36">
            <w:pPr>
              <w:jc w:val="center"/>
              <w:rPr>
                <w:color w:val="000000"/>
              </w:rPr>
            </w:pPr>
            <w:r w:rsidRPr="00792CDE">
              <w:rPr>
                <w:color w:val="000000"/>
                <w:szCs w:val="22"/>
              </w:rPr>
              <w:t>125,32</w:t>
            </w:r>
          </w:p>
        </w:tc>
        <w:tc>
          <w:tcPr>
            <w:tcW w:w="992" w:type="dxa"/>
            <w:tcBorders>
              <w:top w:val="nil"/>
              <w:left w:val="nil"/>
              <w:bottom w:val="single" w:sz="4" w:space="0" w:color="auto"/>
              <w:right w:val="single" w:sz="4" w:space="0" w:color="auto"/>
            </w:tcBorders>
            <w:shd w:val="clear" w:color="auto" w:fill="auto"/>
            <w:noWrap/>
            <w:vAlign w:val="bottom"/>
            <w:hideMark/>
          </w:tcPr>
          <w:p w:rsidR="00242C36" w:rsidRPr="00792CDE" w:rsidRDefault="00242C36" w:rsidP="00242C36">
            <w:pPr>
              <w:jc w:val="center"/>
              <w:rPr>
                <w:color w:val="000000"/>
              </w:rPr>
            </w:pPr>
            <w:r w:rsidRPr="00792CDE">
              <w:rPr>
                <w:color w:val="000000"/>
                <w:szCs w:val="22"/>
              </w:rPr>
              <w:t>2829,93</w:t>
            </w:r>
          </w:p>
        </w:tc>
        <w:tc>
          <w:tcPr>
            <w:tcW w:w="993" w:type="dxa"/>
            <w:tcBorders>
              <w:top w:val="nil"/>
              <w:left w:val="nil"/>
              <w:bottom w:val="single" w:sz="4" w:space="0" w:color="auto"/>
              <w:right w:val="single" w:sz="4" w:space="0" w:color="auto"/>
            </w:tcBorders>
            <w:shd w:val="clear" w:color="auto" w:fill="auto"/>
            <w:noWrap/>
            <w:vAlign w:val="bottom"/>
            <w:hideMark/>
          </w:tcPr>
          <w:p w:rsidR="00242C36" w:rsidRPr="00792CDE" w:rsidRDefault="00242C36" w:rsidP="00242C36">
            <w:pPr>
              <w:jc w:val="center"/>
              <w:rPr>
                <w:color w:val="000000"/>
              </w:rPr>
            </w:pPr>
            <w:r w:rsidRPr="00792CDE">
              <w:rPr>
                <w:color w:val="000000"/>
                <w:szCs w:val="22"/>
              </w:rPr>
              <w:t>128,75</w:t>
            </w:r>
          </w:p>
        </w:tc>
        <w:tc>
          <w:tcPr>
            <w:tcW w:w="1417" w:type="dxa"/>
            <w:tcBorders>
              <w:top w:val="nil"/>
              <w:left w:val="nil"/>
              <w:bottom w:val="single" w:sz="4" w:space="0" w:color="auto"/>
              <w:right w:val="single" w:sz="4" w:space="0" w:color="auto"/>
            </w:tcBorders>
            <w:shd w:val="clear" w:color="auto" w:fill="auto"/>
            <w:noWrap/>
            <w:vAlign w:val="bottom"/>
            <w:hideMark/>
          </w:tcPr>
          <w:p w:rsidR="00242C36" w:rsidRPr="00792CDE" w:rsidRDefault="00242C36" w:rsidP="00242C36">
            <w:pPr>
              <w:jc w:val="center"/>
              <w:rPr>
                <w:color w:val="000000"/>
              </w:rPr>
            </w:pPr>
            <w:r w:rsidRPr="00792CDE">
              <w:rPr>
                <w:color w:val="000000"/>
                <w:szCs w:val="22"/>
              </w:rPr>
              <w:t>2082,83</w:t>
            </w:r>
          </w:p>
        </w:tc>
        <w:tc>
          <w:tcPr>
            <w:tcW w:w="2126" w:type="dxa"/>
            <w:tcBorders>
              <w:top w:val="nil"/>
              <w:left w:val="nil"/>
              <w:bottom w:val="single" w:sz="4" w:space="0" w:color="auto"/>
              <w:right w:val="single" w:sz="4" w:space="0" w:color="auto"/>
            </w:tcBorders>
            <w:shd w:val="clear" w:color="auto" w:fill="auto"/>
            <w:noWrap/>
            <w:vAlign w:val="bottom"/>
            <w:hideMark/>
          </w:tcPr>
          <w:p w:rsidR="00242C36" w:rsidRPr="00792CDE" w:rsidRDefault="00242C36" w:rsidP="00242C36">
            <w:pPr>
              <w:jc w:val="center"/>
              <w:rPr>
                <w:color w:val="000000"/>
              </w:rPr>
            </w:pPr>
            <w:r w:rsidRPr="00792CDE">
              <w:rPr>
                <w:color w:val="000000"/>
                <w:szCs w:val="22"/>
              </w:rPr>
              <w:t>6438,74</w:t>
            </w:r>
          </w:p>
        </w:tc>
      </w:tr>
      <w:tr w:rsidR="00242C36" w:rsidRPr="00792CDE" w:rsidTr="00242C36">
        <w:trPr>
          <w:trHeight w:val="300"/>
        </w:trPr>
        <w:tc>
          <w:tcPr>
            <w:tcW w:w="1575" w:type="dxa"/>
            <w:tcBorders>
              <w:top w:val="nil"/>
              <w:left w:val="single" w:sz="4" w:space="0" w:color="auto"/>
              <w:bottom w:val="single" w:sz="4" w:space="0" w:color="auto"/>
              <w:right w:val="single" w:sz="4" w:space="0" w:color="auto"/>
            </w:tcBorders>
            <w:shd w:val="clear" w:color="auto" w:fill="auto"/>
            <w:noWrap/>
            <w:vAlign w:val="bottom"/>
            <w:hideMark/>
          </w:tcPr>
          <w:p w:rsidR="00242C36" w:rsidRPr="00792CDE" w:rsidRDefault="00242C36" w:rsidP="00242C36">
            <w:pPr>
              <w:rPr>
                <w:b/>
                <w:bCs/>
                <w:color w:val="000000"/>
              </w:rPr>
            </w:pPr>
            <w:r w:rsidRPr="00792CDE">
              <w:rPr>
                <w:b/>
                <w:bCs/>
                <w:color w:val="000000"/>
                <w:szCs w:val="22"/>
              </w:rPr>
              <w:t>sekundárna</w:t>
            </w:r>
          </w:p>
        </w:tc>
        <w:tc>
          <w:tcPr>
            <w:tcW w:w="1199" w:type="dxa"/>
            <w:tcBorders>
              <w:top w:val="nil"/>
              <w:left w:val="nil"/>
              <w:bottom w:val="single" w:sz="4" w:space="0" w:color="auto"/>
              <w:right w:val="single" w:sz="4" w:space="0" w:color="auto"/>
            </w:tcBorders>
            <w:shd w:val="clear" w:color="auto" w:fill="auto"/>
            <w:noWrap/>
            <w:vAlign w:val="bottom"/>
            <w:hideMark/>
          </w:tcPr>
          <w:p w:rsidR="00242C36" w:rsidRPr="00792CDE" w:rsidRDefault="00242C36" w:rsidP="00242C36">
            <w:pPr>
              <w:jc w:val="center"/>
              <w:rPr>
                <w:color w:val="000000"/>
              </w:rPr>
            </w:pPr>
            <w:r w:rsidRPr="00792CDE">
              <w:rPr>
                <w:color w:val="000000"/>
                <w:szCs w:val="22"/>
              </w:rPr>
              <w:t>285294,71</w:t>
            </w:r>
          </w:p>
        </w:tc>
        <w:tc>
          <w:tcPr>
            <w:tcW w:w="1352" w:type="dxa"/>
            <w:tcBorders>
              <w:top w:val="nil"/>
              <w:left w:val="nil"/>
              <w:bottom w:val="single" w:sz="4" w:space="0" w:color="auto"/>
              <w:right w:val="single" w:sz="4" w:space="0" w:color="auto"/>
            </w:tcBorders>
            <w:shd w:val="clear" w:color="auto" w:fill="auto"/>
            <w:noWrap/>
            <w:vAlign w:val="bottom"/>
            <w:hideMark/>
          </w:tcPr>
          <w:p w:rsidR="00242C36" w:rsidRPr="00792CDE" w:rsidRDefault="00242C36" w:rsidP="00242C36">
            <w:pPr>
              <w:jc w:val="center"/>
              <w:rPr>
                <w:color w:val="000000"/>
              </w:rPr>
            </w:pPr>
            <w:r w:rsidRPr="00792CDE">
              <w:rPr>
                <w:color w:val="000000"/>
                <w:szCs w:val="22"/>
              </w:rPr>
              <w:t>208,43</w:t>
            </w:r>
          </w:p>
        </w:tc>
        <w:tc>
          <w:tcPr>
            <w:tcW w:w="992" w:type="dxa"/>
            <w:tcBorders>
              <w:top w:val="nil"/>
              <w:left w:val="nil"/>
              <w:bottom w:val="single" w:sz="4" w:space="0" w:color="auto"/>
              <w:right w:val="single" w:sz="4" w:space="0" w:color="auto"/>
            </w:tcBorders>
            <w:shd w:val="clear" w:color="auto" w:fill="auto"/>
            <w:noWrap/>
            <w:vAlign w:val="bottom"/>
            <w:hideMark/>
          </w:tcPr>
          <w:p w:rsidR="00242C36" w:rsidRPr="00792CDE" w:rsidRDefault="00242C36" w:rsidP="00242C36">
            <w:pPr>
              <w:jc w:val="center"/>
              <w:rPr>
                <w:color w:val="000000"/>
              </w:rPr>
            </w:pPr>
            <w:r w:rsidRPr="00792CDE">
              <w:rPr>
                <w:color w:val="000000"/>
                <w:szCs w:val="22"/>
              </w:rPr>
              <w:t>1853,50</w:t>
            </w:r>
          </w:p>
        </w:tc>
        <w:tc>
          <w:tcPr>
            <w:tcW w:w="993" w:type="dxa"/>
            <w:tcBorders>
              <w:top w:val="nil"/>
              <w:left w:val="nil"/>
              <w:bottom w:val="single" w:sz="4" w:space="0" w:color="auto"/>
              <w:right w:val="single" w:sz="4" w:space="0" w:color="auto"/>
            </w:tcBorders>
            <w:shd w:val="clear" w:color="auto" w:fill="auto"/>
            <w:noWrap/>
            <w:vAlign w:val="bottom"/>
            <w:hideMark/>
          </w:tcPr>
          <w:p w:rsidR="00242C36" w:rsidRPr="00792CDE" w:rsidRDefault="00242C36" w:rsidP="00242C36">
            <w:pPr>
              <w:jc w:val="center"/>
              <w:rPr>
                <w:color w:val="000000"/>
              </w:rPr>
            </w:pPr>
            <w:r w:rsidRPr="00792CDE">
              <w:rPr>
                <w:color w:val="000000"/>
                <w:szCs w:val="22"/>
              </w:rPr>
              <w:t>168,15</w:t>
            </w:r>
          </w:p>
        </w:tc>
        <w:tc>
          <w:tcPr>
            <w:tcW w:w="1417" w:type="dxa"/>
            <w:tcBorders>
              <w:top w:val="nil"/>
              <w:left w:val="nil"/>
              <w:bottom w:val="single" w:sz="4" w:space="0" w:color="auto"/>
              <w:right w:val="single" w:sz="4" w:space="0" w:color="auto"/>
            </w:tcBorders>
            <w:shd w:val="clear" w:color="auto" w:fill="auto"/>
            <w:noWrap/>
            <w:vAlign w:val="bottom"/>
            <w:hideMark/>
          </w:tcPr>
          <w:p w:rsidR="00242C36" w:rsidRPr="00792CDE" w:rsidRDefault="00242C36" w:rsidP="00242C36">
            <w:pPr>
              <w:jc w:val="center"/>
              <w:rPr>
                <w:color w:val="000000"/>
              </w:rPr>
            </w:pPr>
            <w:r w:rsidRPr="00792CDE">
              <w:rPr>
                <w:color w:val="000000"/>
                <w:szCs w:val="22"/>
              </w:rPr>
              <w:t>2018,65</w:t>
            </w:r>
          </w:p>
        </w:tc>
        <w:tc>
          <w:tcPr>
            <w:tcW w:w="2126" w:type="dxa"/>
            <w:tcBorders>
              <w:top w:val="nil"/>
              <w:left w:val="nil"/>
              <w:bottom w:val="single" w:sz="4" w:space="0" w:color="auto"/>
              <w:right w:val="single" w:sz="4" w:space="0" w:color="auto"/>
            </w:tcBorders>
            <w:shd w:val="clear" w:color="auto" w:fill="auto"/>
            <w:noWrap/>
            <w:vAlign w:val="bottom"/>
            <w:hideMark/>
          </w:tcPr>
          <w:p w:rsidR="00242C36" w:rsidRPr="00792CDE" w:rsidRDefault="00242C36" w:rsidP="00242C36">
            <w:pPr>
              <w:jc w:val="center"/>
              <w:rPr>
                <w:color w:val="000000"/>
              </w:rPr>
            </w:pPr>
            <w:r w:rsidRPr="00792CDE">
              <w:rPr>
                <w:color w:val="000000"/>
                <w:szCs w:val="22"/>
              </w:rPr>
              <w:t>77551,32</w:t>
            </w:r>
          </w:p>
        </w:tc>
      </w:tr>
      <w:tr w:rsidR="00242C36" w:rsidRPr="00792CDE" w:rsidTr="00242C36">
        <w:trPr>
          <w:trHeight w:val="300"/>
        </w:trPr>
        <w:tc>
          <w:tcPr>
            <w:tcW w:w="1575" w:type="dxa"/>
            <w:tcBorders>
              <w:top w:val="nil"/>
              <w:left w:val="single" w:sz="4" w:space="0" w:color="auto"/>
              <w:bottom w:val="single" w:sz="4" w:space="0" w:color="auto"/>
              <w:right w:val="single" w:sz="4" w:space="0" w:color="auto"/>
            </w:tcBorders>
            <w:shd w:val="clear" w:color="auto" w:fill="auto"/>
            <w:noWrap/>
            <w:vAlign w:val="bottom"/>
            <w:hideMark/>
          </w:tcPr>
          <w:p w:rsidR="00242C36" w:rsidRPr="00792CDE" w:rsidRDefault="00242C36" w:rsidP="00242C36">
            <w:pPr>
              <w:rPr>
                <w:b/>
                <w:bCs/>
                <w:color w:val="000000"/>
              </w:rPr>
            </w:pPr>
            <w:r w:rsidRPr="00792CDE">
              <w:rPr>
                <w:b/>
                <w:bCs/>
                <w:color w:val="000000"/>
                <w:szCs w:val="22"/>
              </w:rPr>
              <w:t>Celkový súčet</w:t>
            </w:r>
          </w:p>
        </w:tc>
        <w:tc>
          <w:tcPr>
            <w:tcW w:w="1199" w:type="dxa"/>
            <w:tcBorders>
              <w:top w:val="nil"/>
              <w:left w:val="nil"/>
              <w:bottom w:val="single" w:sz="4" w:space="0" w:color="auto"/>
              <w:right w:val="single" w:sz="4" w:space="0" w:color="auto"/>
            </w:tcBorders>
            <w:shd w:val="clear" w:color="auto" w:fill="auto"/>
            <w:noWrap/>
            <w:vAlign w:val="bottom"/>
            <w:hideMark/>
          </w:tcPr>
          <w:p w:rsidR="00242C36" w:rsidRPr="00792CDE" w:rsidRDefault="00242C36" w:rsidP="00242C36">
            <w:pPr>
              <w:jc w:val="center"/>
              <w:rPr>
                <w:color w:val="000000"/>
              </w:rPr>
            </w:pPr>
            <w:r w:rsidRPr="00792CDE">
              <w:rPr>
                <w:color w:val="000000"/>
                <w:szCs w:val="22"/>
              </w:rPr>
              <w:t>1358162,63</w:t>
            </w:r>
          </w:p>
        </w:tc>
        <w:tc>
          <w:tcPr>
            <w:tcW w:w="1352" w:type="dxa"/>
            <w:tcBorders>
              <w:top w:val="nil"/>
              <w:left w:val="nil"/>
              <w:bottom w:val="single" w:sz="4" w:space="0" w:color="auto"/>
              <w:right w:val="single" w:sz="4" w:space="0" w:color="auto"/>
            </w:tcBorders>
            <w:shd w:val="clear" w:color="auto" w:fill="auto"/>
            <w:noWrap/>
            <w:vAlign w:val="bottom"/>
            <w:hideMark/>
          </w:tcPr>
          <w:p w:rsidR="00242C36" w:rsidRPr="00792CDE" w:rsidRDefault="00242C36" w:rsidP="00242C36">
            <w:pPr>
              <w:jc w:val="center"/>
              <w:rPr>
                <w:color w:val="000000"/>
              </w:rPr>
            </w:pPr>
            <w:r w:rsidRPr="00792CDE">
              <w:rPr>
                <w:color w:val="000000"/>
                <w:szCs w:val="22"/>
              </w:rPr>
              <w:t>491,03</w:t>
            </w:r>
          </w:p>
        </w:tc>
        <w:tc>
          <w:tcPr>
            <w:tcW w:w="992" w:type="dxa"/>
            <w:tcBorders>
              <w:top w:val="nil"/>
              <w:left w:val="nil"/>
              <w:bottom w:val="single" w:sz="4" w:space="0" w:color="auto"/>
              <w:right w:val="single" w:sz="4" w:space="0" w:color="auto"/>
            </w:tcBorders>
            <w:shd w:val="clear" w:color="auto" w:fill="auto"/>
            <w:noWrap/>
            <w:vAlign w:val="bottom"/>
            <w:hideMark/>
          </w:tcPr>
          <w:p w:rsidR="00242C36" w:rsidRPr="00792CDE" w:rsidRDefault="00242C36" w:rsidP="00242C36">
            <w:pPr>
              <w:jc w:val="center"/>
              <w:rPr>
                <w:color w:val="000000"/>
              </w:rPr>
            </w:pPr>
            <w:r w:rsidRPr="00792CDE">
              <w:rPr>
                <w:color w:val="000000"/>
                <w:szCs w:val="22"/>
              </w:rPr>
              <w:t>16319,78</w:t>
            </w:r>
          </w:p>
        </w:tc>
        <w:tc>
          <w:tcPr>
            <w:tcW w:w="993" w:type="dxa"/>
            <w:tcBorders>
              <w:top w:val="nil"/>
              <w:left w:val="nil"/>
              <w:bottom w:val="single" w:sz="4" w:space="0" w:color="auto"/>
              <w:right w:val="single" w:sz="4" w:space="0" w:color="auto"/>
            </w:tcBorders>
            <w:shd w:val="clear" w:color="auto" w:fill="auto"/>
            <w:noWrap/>
            <w:vAlign w:val="bottom"/>
            <w:hideMark/>
          </w:tcPr>
          <w:p w:rsidR="00242C36" w:rsidRPr="00792CDE" w:rsidRDefault="00242C36" w:rsidP="00242C36">
            <w:pPr>
              <w:jc w:val="center"/>
              <w:rPr>
                <w:color w:val="000000"/>
              </w:rPr>
            </w:pPr>
            <w:r w:rsidRPr="00792CDE">
              <w:rPr>
                <w:color w:val="000000"/>
                <w:szCs w:val="22"/>
              </w:rPr>
              <w:t>876,93</w:t>
            </w:r>
          </w:p>
        </w:tc>
        <w:tc>
          <w:tcPr>
            <w:tcW w:w="1417" w:type="dxa"/>
            <w:tcBorders>
              <w:top w:val="nil"/>
              <w:left w:val="nil"/>
              <w:bottom w:val="single" w:sz="4" w:space="0" w:color="auto"/>
              <w:right w:val="single" w:sz="4" w:space="0" w:color="auto"/>
            </w:tcBorders>
            <w:shd w:val="clear" w:color="auto" w:fill="auto"/>
            <w:noWrap/>
            <w:vAlign w:val="bottom"/>
            <w:hideMark/>
          </w:tcPr>
          <w:p w:rsidR="00242C36" w:rsidRPr="00792CDE" w:rsidRDefault="00242C36" w:rsidP="00242C36">
            <w:pPr>
              <w:jc w:val="center"/>
              <w:rPr>
                <w:color w:val="000000"/>
              </w:rPr>
            </w:pPr>
            <w:r w:rsidRPr="00792CDE">
              <w:rPr>
                <w:color w:val="000000"/>
                <w:szCs w:val="22"/>
              </w:rPr>
              <w:t>9012,33</w:t>
            </w:r>
          </w:p>
        </w:tc>
        <w:tc>
          <w:tcPr>
            <w:tcW w:w="2126" w:type="dxa"/>
            <w:tcBorders>
              <w:top w:val="nil"/>
              <w:left w:val="nil"/>
              <w:bottom w:val="single" w:sz="4" w:space="0" w:color="auto"/>
              <w:right w:val="single" w:sz="4" w:space="0" w:color="auto"/>
            </w:tcBorders>
            <w:shd w:val="clear" w:color="auto" w:fill="auto"/>
            <w:noWrap/>
            <w:vAlign w:val="bottom"/>
            <w:hideMark/>
          </w:tcPr>
          <w:p w:rsidR="00242C36" w:rsidRPr="00792CDE" w:rsidRDefault="00242C36" w:rsidP="00242C36">
            <w:pPr>
              <w:jc w:val="center"/>
              <w:rPr>
                <w:color w:val="000000"/>
              </w:rPr>
            </w:pPr>
            <w:r w:rsidRPr="00792CDE">
              <w:rPr>
                <w:color w:val="000000"/>
                <w:szCs w:val="22"/>
              </w:rPr>
              <w:t>511383,01</w:t>
            </w:r>
          </w:p>
        </w:tc>
      </w:tr>
    </w:tbl>
    <w:p w:rsidR="00242C36" w:rsidRPr="002932C0" w:rsidRDefault="00242C36" w:rsidP="00242C36">
      <w:pPr>
        <w:rPr>
          <w:sz w:val="20"/>
          <w:szCs w:val="20"/>
        </w:rPr>
      </w:pPr>
      <w:r w:rsidRPr="002932C0">
        <w:rPr>
          <w:sz w:val="20"/>
          <w:szCs w:val="20"/>
        </w:rPr>
        <w:t>Zdroj: NPPC-VÚPOP</w:t>
      </w:r>
    </w:p>
    <w:p w:rsidR="00242C36" w:rsidRPr="00792CDE" w:rsidRDefault="00242C36" w:rsidP="00242C36">
      <w:pPr>
        <w:pBdr>
          <w:bar w:val="single" w:sz="6" w:color="808080"/>
        </w:pBdr>
        <w:spacing w:after="120"/>
        <w:outlineLvl w:val="1"/>
        <w:rPr>
          <w:b/>
          <w:bCs/>
          <w:szCs w:val="22"/>
        </w:rPr>
      </w:pPr>
    </w:p>
    <w:p w:rsidR="00242C36" w:rsidRDefault="00242C36" w:rsidP="00242C36">
      <w:pPr>
        <w:pBdr>
          <w:bar w:val="single" w:sz="6" w:color="808080"/>
        </w:pBdr>
        <w:spacing w:after="120"/>
        <w:outlineLvl w:val="1"/>
        <w:rPr>
          <w:rFonts w:ascii="Calibri" w:hAnsi="Calibri"/>
          <w:b/>
          <w:bCs/>
          <w:szCs w:val="22"/>
        </w:rPr>
      </w:pPr>
      <w:r w:rsidRPr="00E43137">
        <w:rPr>
          <w:rFonts w:ascii="Calibri" w:hAnsi="Calibri"/>
          <w:b/>
          <w:bCs/>
          <w:szCs w:val="22"/>
        </w:rPr>
        <w:t>Klimatická zmena a</w:t>
      </w:r>
      <w:r>
        <w:rPr>
          <w:rFonts w:ascii="Calibri" w:hAnsi="Calibri"/>
          <w:b/>
          <w:bCs/>
          <w:szCs w:val="22"/>
        </w:rPr>
        <w:t> </w:t>
      </w:r>
      <w:r w:rsidRPr="00E43137">
        <w:rPr>
          <w:rFonts w:ascii="Calibri" w:hAnsi="Calibri"/>
          <w:b/>
          <w:bCs/>
          <w:szCs w:val="22"/>
        </w:rPr>
        <w:t>poľnohospodárstvo</w:t>
      </w:r>
    </w:p>
    <w:p w:rsidR="00242C36" w:rsidRPr="00E43137" w:rsidRDefault="00242C36" w:rsidP="00242C36">
      <w:pPr>
        <w:pBdr>
          <w:bar w:val="single" w:sz="6" w:color="808080"/>
        </w:pBdr>
        <w:spacing w:after="120"/>
        <w:outlineLvl w:val="1"/>
        <w:rPr>
          <w:rFonts w:ascii="Calibri" w:hAnsi="Calibri"/>
          <w:bCs/>
          <w:szCs w:val="22"/>
        </w:rPr>
      </w:pPr>
      <w:r w:rsidRPr="00E43137">
        <w:rPr>
          <w:rFonts w:ascii="Calibri" w:hAnsi="Calibri"/>
          <w:bCs/>
          <w:szCs w:val="22"/>
        </w:rPr>
        <w:t xml:space="preserve">Z porovnania dlhodobého </w:t>
      </w:r>
      <w:r w:rsidRPr="00E43137">
        <w:rPr>
          <w:rFonts w:ascii="Calibri" w:hAnsi="Calibri" w:hint="eastAsia"/>
          <w:bCs/>
          <w:szCs w:val="22"/>
        </w:rPr>
        <w:t>č</w:t>
      </w:r>
      <w:r w:rsidRPr="00E43137">
        <w:rPr>
          <w:rFonts w:ascii="Calibri" w:hAnsi="Calibri"/>
          <w:bCs/>
          <w:szCs w:val="22"/>
        </w:rPr>
        <w:t>asového horizontu (od roku 1881) do</w:t>
      </w:r>
      <w:r w:rsidRPr="00E43137">
        <w:rPr>
          <w:rFonts w:ascii="Calibri" w:hAnsi="Calibri" w:hint="eastAsia"/>
          <w:bCs/>
          <w:szCs w:val="22"/>
        </w:rPr>
        <w:t>š</w:t>
      </w:r>
      <w:r w:rsidRPr="00E43137">
        <w:rPr>
          <w:rFonts w:ascii="Calibri" w:hAnsi="Calibri"/>
          <w:bCs/>
          <w:szCs w:val="22"/>
        </w:rPr>
        <w:t>lo na území SR k rastu priemernej ro</w:t>
      </w:r>
      <w:r w:rsidRPr="00E43137">
        <w:rPr>
          <w:rFonts w:ascii="Calibri" w:hAnsi="Calibri" w:hint="eastAsia"/>
          <w:bCs/>
          <w:szCs w:val="22"/>
        </w:rPr>
        <w:t>č</w:t>
      </w:r>
      <w:r w:rsidRPr="00E43137">
        <w:rPr>
          <w:rFonts w:ascii="Calibri" w:hAnsi="Calibri"/>
          <w:bCs/>
          <w:szCs w:val="22"/>
        </w:rPr>
        <w:t>nej teploty, poklesu ro</w:t>
      </w:r>
      <w:r w:rsidRPr="00E43137">
        <w:rPr>
          <w:rFonts w:ascii="Calibri" w:hAnsi="Calibri" w:hint="eastAsia"/>
          <w:bCs/>
          <w:szCs w:val="22"/>
        </w:rPr>
        <w:t>č</w:t>
      </w:r>
      <w:r w:rsidRPr="00E43137">
        <w:rPr>
          <w:rFonts w:ascii="Calibri" w:hAnsi="Calibri"/>
          <w:bCs/>
          <w:szCs w:val="22"/>
        </w:rPr>
        <w:t>ných úhrnov zrá</w:t>
      </w:r>
      <w:r w:rsidRPr="00E43137">
        <w:rPr>
          <w:rFonts w:ascii="Calibri" w:hAnsi="Calibri" w:hint="eastAsia"/>
          <w:bCs/>
          <w:szCs w:val="22"/>
        </w:rPr>
        <w:t>ž</w:t>
      </w:r>
      <w:r w:rsidRPr="00E43137">
        <w:rPr>
          <w:rFonts w:ascii="Calibri" w:hAnsi="Calibri"/>
          <w:bCs/>
          <w:szCs w:val="22"/>
        </w:rPr>
        <w:t>ok (výnimka rok 2010 mimoriadne vlhký), poklesu relatívnej vlhkosti, poklesu vlhkosti pôdy a výrazne narastá premenlivos</w:t>
      </w:r>
      <w:r w:rsidRPr="00E43137">
        <w:rPr>
          <w:rFonts w:ascii="Calibri" w:hAnsi="Calibri" w:hint="eastAsia"/>
          <w:bCs/>
          <w:szCs w:val="22"/>
        </w:rPr>
        <w:t>ť</w:t>
      </w:r>
      <w:r w:rsidRPr="00E43137">
        <w:rPr>
          <w:rFonts w:ascii="Calibri" w:hAnsi="Calibri"/>
          <w:bCs/>
          <w:szCs w:val="22"/>
        </w:rPr>
        <w:t xml:space="preserve"> po</w:t>
      </w:r>
      <w:r w:rsidRPr="00E43137">
        <w:rPr>
          <w:rFonts w:ascii="Calibri" w:hAnsi="Calibri" w:hint="eastAsia"/>
          <w:bCs/>
          <w:szCs w:val="22"/>
        </w:rPr>
        <w:t>č</w:t>
      </w:r>
      <w:r w:rsidRPr="00E43137">
        <w:rPr>
          <w:rFonts w:ascii="Calibri" w:hAnsi="Calibri"/>
          <w:bCs/>
          <w:szCs w:val="22"/>
        </w:rPr>
        <w:t>asia s výskytom pomerne dlho trvajúceho sucha a na druhej strane extrémnych prívalových zrá</w:t>
      </w:r>
      <w:r w:rsidRPr="00E43137">
        <w:rPr>
          <w:rFonts w:ascii="Calibri" w:hAnsi="Calibri" w:hint="eastAsia"/>
          <w:bCs/>
          <w:szCs w:val="22"/>
        </w:rPr>
        <w:t>ž</w:t>
      </w:r>
      <w:r w:rsidRPr="00E43137">
        <w:rPr>
          <w:rFonts w:ascii="Calibri" w:hAnsi="Calibri"/>
          <w:bCs/>
          <w:szCs w:val="22"/>
        </w:rPr>
        <w:t>ok.</w:t>
      </w:r>
    </w:p>
    <w:p w:rsidR="00242C36" w:rsidRPr="00E43137" w:rsidRDefault="00242C36" w:rsidP="00242C36">
      <w:pPr>
        <w:pBdr>
          <w:bar w:val="single" w:sz="6" w:color="808080"/>
        </w:pBdr>
        <w:spacing w:after="120"/>
        <w:outlineLvl w:val="1"/>
        <w:rPr>
          <w:rFonts w:ascii="Calibri" w:hAnsi="Calibri"/>
          <w:bCs/>
          <w:szCs w:val="22"/>
        </w:rPr>
      </w:pPr>
      <w:r w:rsidRPr="00E43137">
        <w:rPr>
          <w:rFonts w:ascii="Calibri" w:hAnsi="Calibri"/>
          <w:bCs/>
          <w:szCs w:val="22"/>
        </w:rPr>
        <w:t>Z meraní prezentovaných v aktuálnej národnej komunikácii SR v zmysle Rámcovej dohody OSN o </w:t>
      </w:r>
      <w:r>
        <w:rPr>
          <w:rFonts w:ascii="Calibri" w:hAnsi="Calibri"/>
          <w:bCs/>
          <w:szCs w:val="22"/>
        </w:rPr>
        <w:t>zmene klímy</w:t>
      </w:r>
      <w:r w:rsidRPr="00E43137">
        <w:rPr>
          <w:rFonts w:ascii="Calibri" w:hAnsi="Calibri"/>
          <w:bCs/>
          <w:szCs w:val="22"/>
        </w:rPr>
        <w:t xml:space="preserve"> a Kjótskom protokole (THE SIXTH NATIONAL COMMUNICATION OF THE SLOVAK REPUBLIC ON CLIMATE CHANGE, </w:t>
      </w:r>
      <w:r>
        <w:rPr>
          <w:rFonts w:ascii="Calibri" w:hAnsi="Calibri"/>
          <w:bCs/>
          <w:szCs w:val="22"/>
        </w:rPr>
        <w:t>u</w:t>
      </w:r>
      <w:r w:rsidRPr="00E43137">
        <w:rPr>
          <w:rFonts w:ascii="Calibri" w:hAnsi="Calibri"/>
          <w:bCs/>
          <w:szCs w:val="22"/>
        </w:rPr>
        <w:t>nder the United Nations Framework Convention on Climate Change and Kyoto Protocol</w:t>
      </w:r>
      <w:r>
        <w:rPr>
          <w:rFonts w:ascii="Calibri" w:hAnsi="Calibri"/>
          <w:bCs/>
          <w:szCs w:val="22"/>
        </w:rPr>
        <w:t>/ Šiesta národná správa Slovenskej republiky o zmene klímy, na základe Rámcového dohovoru OSN o zmene klímy a Kjótskeho protokolu (dohovor)</w:t>
      </w:r>
      <w:r w:rsidRPr="00E43137">
        <w:rPr>
          <w:rFonts w:ascii="Calibri" w:hAnsi="Calibri"/>
          <w:bCs/>
          <w:szCs w:val="22"/>
        </w:rPr>
        <w:t>), ktoré každoročne predkladá MŽP SR a SHM</w:t>
      </w:r>
      <w:r>
        <w:rPr>
          <w:rFonts w:ascii="Calibri" w:hAnsi="Calibri"/>
          <w:bCs/>
          <w:szCs w:val="22"/>
        </w:rPr>
        <w:t>Ú</w:t>
      </w:r>
      <w:r w:rsidRPr="00E43137">
        <w:rPr>
          <w:rFonts w:ascii="Calibri" w:hAnsi="Calibri"/>
          <w:bCs/>
          <w:szCs w:val="22"/>
        </w:rPr>
        <w:t>, sa očakáva vplyv zmeny klímy na poľnohospodársku výrobu v mnohých ohľadoch. Rôzne indikátory ukazujú na možné dôsledky, ktoré sa už teraz vyskytujú a trend, ktorý je pokračujúci. Jedným z najdôležitejších ukazovateľov, pomocou ktorého môžeme vyjadriť možné dopady na poľnohospodárstvo je index sucha  vyjadrený ako podiel Eo/P (kde Eo je potenciálna evapotranspirácia a P sú zrážky) na území SR. Eo/P predstavuje vzťah medzi energiou v povrchovej vrstve atmosféry a vodou v danej oblasti. Eo/P&gt; 1 charakterizuje arídne oblasti, zatiaľ čo Eo/P &lt;0,3 predstavuje vlhké prostredie Ruskej Tajgy.</w:t>
      </w:r>
    </w:p>
    <w:p w:rsidR="00242C36" w:rsidRPr="00E43137" w:rsidRDefault="00242C36" w:rsidP="00242C36">
      <w:pPr>
        <w:pBdr>
          <w:bar w:val="single" w:sz="6" w:color="808080"/>
        </w:pBdr>
        <w:spacing w:after="120"/>
        <w:outlineLvl w:val="1"/>
        <w:rPr>
          <w:rFonts w:ascii="Calibri" w:hAnsi="Calibri"/>
          <w:bCs/>
          <w:szCs w:val="22"/>
        </w:rPr>
      </w:pPr>
      <w:r w:rsidRPr="00E43137">
        <w:rPr>
          <w:rFonts w:ascii="Calibri" w:hAnsi="Calibri"/>
          <w:bCs/>
          <w:szCs w:val="22"/>
        </w:rPr>
        <w:t>Hodnota Eo/P pre Hurbanovo, ktoré zastupuje poľnohospodársky najproduktívnejšiu časť Slovenska, ukázala spolu s ďalšími nížinnými lokalitami za posledných 60 rokov rastúci trend indexu asi o 0,3 , pričom od 1970 hodnota indexu neklesla pod 1,0 . To znamená rastúce sucho v nížinných oblastiach Slovenska. Na druhej strane, v horských oblastiach dochádza k poklesu indexu sucha (Eo/P). Je to dôsledkom skutočnosti, že zvýšené zrážky sú schopné kompenzovať zvýšený príkon energie na vysočinách a horských oblastiach, zatiaľ čo mierny pokles zrážok a zvýšenie dodávok energie v povrchovej vrstve atmosféry otvára medzeru, ktorá má za následok rast vyprahnutosti v nížinných oblastiach.</w:t>
      </w:r>
    </w:p>
    <w:p w:rsidR="00242C36" w:rsidRDefault="00242C36" w:rsidP="00242C36">
      <w:pPr>
        <w:pBdr>
          <w:bar w:val="single" w:sz="6" w:color="808080"/>
        </w:pBdr>
        <w:spacing w:after="120"/>
        <w:outlineLvl w:val="1"/>
        <w:rPr>
          <w:rFonts w:ascii="Calibri" w:hAnsi="Calibri"/>
          <w:bCs/>
          <w:i/>
          <w:szCs w:val="22"/>
        </w:rPr>
      </w:pPr>
    </w:p>
    <w:p w:rsidR="00242C36" w:rsidRDefault="00242C36" w:rsidP="00242C36">
      <w:pPr>
        <w:pBdr>
          <w:bar w:val="single" w:sz="6" w:color="808080"/>
        </w:pBdr>
        <w:spacing w:after="120"/>
        <w:outlineLvl w:val="1"/>
        <w:rPr>
          <w:rFonts w:ascii="Calibri" w:hAnsi="Calibri"/>
          <w:bCs/>
          <w:i/>
          <w:szCs w:val="22"/>
        </w:rPr>
      </w:pPr>
    </w:p>
    <w:p w:rsidR="00242C36" w:rsidRDefault="00242C36" w:rsidP="00242C36">
      <w:pPr>
        <w:pBdr>
          <w:bar w:val="single" w:sz="6" w:color="808080"/>
        </w:pBdr>
        <w:spacing w:after="120"/>
        <w:outlineLvl w:val="1"/>
        <w:rPr>
          <w:rFonts w:ascii="Calibri" w:hAnsi="Calibri"/>
          <w:bCs/>
          <w:i/>
          <w:szCs w:val="22"/>
        </w:rPr>
      </w:pPr>
    </w:p>
    <w:p w:rsidR="00242C36" w:rsidRPr="00E43137" w:rsidRDefault="00242C36" w:rsidP="00242C36">
      <w:pPr>
        <w:pBdr>
          <w:bar w:val="single" w:sz="6" w:color="808080"/>
        </w:pBdr>
        <w:spacing w:after="120"/>
        <w:outlineLvl w:val="1"/>
        <w:rPr>
          <w:rFonts w:ascii="Calibri" w:hAnsi="Calibri"/>
          <w:bCs/>
          <w:i/>
          <w:szCs w:val="22"/>
        </w:rPr>
      </w:pPr>
      <w:r w:rsidRPr="00E43137">
        <w:rPr>
          <w:rFonts w:ascii="Calibri" w:hAnsi="Calibri"/>
          <w:bCs/>
          <w:i/>
          <w:szCs w:val="22"/>
        </w:rPr>
        <w:t>Index sucha Eo/P  v horských oblastiach (Oravská Lesná – 780 m n.m.) a na nížinách (Hurbanovo – 115 m n.m.) v období 1951-2010</w:t>
      </w:r>
    </w:p>
    <w:p w:rsidR="00242C36" w:rsidRPr="00E43137" w:rsidRDefault="00242C36" w:rsidP="00242C36">
      <w:pPr>
        <w:pBdr>
          <w:bar w:val="single" w:sz="6" w:color="808080"/>
        </w:pBdr>
        <w:spacing w:after="120"/>
        <w:outlineLvl w:val="1"/>
        <w:rPr>
          <w:rFonts w:ascii="Calibri" w:hAnsi="Calibri"/>
          <w:bCs/>
          <w:i/>
          <w:szCs w:val="22"/>
        </w:rPr>
      </w:pPr>
      <w:r>
        <w:rPr>
          <w:noProof/>
        </w:rPr>
        <w:drawing>
          <wp:anchor distT="0" distB="0" distL="114300" distR="114300" simplePos="0" relativeHeight="251662336" behindDoc="1" locked="0" layoutInCell="1" allowOverlap="1" wp14:anchorId="3EA0F571" wp14:editId="3FF4C9BE">
            <wp:simplePos x="0" y="0"/>
            <wp:positionH relativeFrom="column">
              <wp:posOffset>2954655</wp:posOffset>
            </wp:positionH>
            <wp:positionV relativeFrom="paragraph">
              <wp:posOffset>31115</wp:posOffset>
            </wp:positionV>
            <wp:extent cx="2773045" cy="1663700"/>
            <wp:effectExtent l="0" t="0" r="8255" b="0"/>
            <wp:wrapNone/>
            <wp:docPr id="36" name="obráze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7"/>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773045" cy="1663700"/>
                    </a:xfrm>
                    <a:prstGeom prst="rect">
                      <a:avLst/>
                    </a:prstGeom>
                    <a:noFill/>
                    <a:ln>
                      <a:noFill/>
                    </a:ln>
                  </pic:spPr>
                </pic:pic>
              </a:graphicData>
            </a:graphic>
          </wp:anchor>
        </w:drawing>
      </w:r>
      <w:r>
        <w:rPr>
          <w:noProof/>
        </w:rPr>
        <w:drawing>
          <wp:anchor distT="0" distB="0" distL="114300" distR="114300" simplePos="0" relativeHeight="251660288" behindDoc="1" locked="0" layoutInCell="1" allowOverlap="1" wp14:anchorId="2CEC41C3" wp14:editId="7EA3911B">
            <wp:simplePos x="0" y="0"/>
            <wp:positionH relativeFrom="column">
              <wp:posOffset>1905</wp:posOffset>
            </wp:positionH>
            <wp:positionV relativeFrom="paragraph">
              <wp:posOffset>31115</wp:posOffset>
            </wp:positionV>
            <wp:extent cx="2787650" cy="1651000"/>
            <wp:effectExtent l="0" t="0" r="0" b="6350"/>
            <wp:wrapNone/>
            <wp:docPr id="37" name="obráze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6"/>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787650" cy="1651000"/>
                    </a:xfrm>
                    <a:prstGeom prst="rect">
                      <a:avLst/>
                    </a:prstGeom>
                    <a:noFill/>
                    <a:ln>
                      <a:noFill/>
                    </a:ln>
                  </pic:spPr>
                </pic:pic>
              </a:graphicData>
            </a:graphic>
          </wp:anchor>
        </w:drawing>
      </w:r>
    </w:p>
    <w:p w:rsidR="00242C36" w:rsidRPr="00E43137" w:rsidRDefault="00242C36" w:rsidP="00242C36">
      <w:pPr>
        <w:pBdr>
          <w:bar w:val="single" w:sz="6" w:color="808080"/>
        </w:pBdr>
        <w:spacing w:after="120"/>
        <w:outlineLvl w:val="1"/>
        <w:rPr>
          <w:rFonts w:ascii="Calibri" w:hAnsi="Calibri"/>
          <w:bCs/>
          <w:i/>
          <w:szCs w:val="22"/>
        </w:rPr>
      </w:pPr>
    </w:p>
    <w:p w:rsidR="00242C36" w:rsidRPr="00E43137" w:rsidRDefault="00242C36" w:rsidP="00242C36">
      <w:pPr>
        <w:pBdr>
          <w:bar w:val="single" w:sz="6" w:color="808080"/>
        </w:pBdr>
        <w:spacing w:after="120"/>
        <w:outlineLvl w:val="1"/>
        <w:rPr>
          <w:rFonts w:ascii="Calibri" w:hAnsi="Calibri"/>
          <w:bCs/>
          <w:i/>
          <w:szCs w:val="22"/>
        </w:rPr>
      </w:pPr>
    </w:p>
    <w:p w:rsidR="00242C36" w:rsidRPr="00E43137" w:rsidRDefault="00242C36" w:rsidP="00242C36">
      <w:pPr>
        <w:pBdr>
          <w:bar w:val="single" w:sz="6" w:color="808080"/>
        </w:pBdr>
        <w:spacing w:after="120"/>
        <w:outlineLvl w:val="1"/>
        <w:rPr>
          <w:rFonts w:ascii="Calibri" w:hAnsi="Calibri"/>
          <w:bCs/>
          <w:i/>
          <w:szCs w:val="22"/>
        </w:rPr>
      </w:pPr>
    </w:p>
    <w:p w:rsidR="00242C36" w:rsidRPr="00E43137" w:rsidRDefault="00242C36" w:rsidP="00242C36">
      <w:pPr>
        <w:pBdr>
          <w:bar w:val="single" w:sz="6" w:color="808080"/>
        </w:pBdr>
        <w:spacing w:after="120"/>
        <w:outlineLvl w:val="1"/>
        <w:rPr>
          <w:rFonts w:ascii="Calibri" w:hAnsi="Calibri"/>
          <w:bCs/>
          <w:i/>
          <w:szCs w:val="22"/>
        </w:rPr>
      </w:pPr>
    </w:p>
    <w:p w:rsidR="00242C36" w:rsidRPr="00E43137" w:rsidRDefault="00242C36" w:rsidP="00242C36">
      <w:pPr>
        <w:pBdr>
          <w:bar w:val="single" w:sz="6" w:color="808080"/>
        </w:pBdr>
        <w:spacing w:after="120"/>
        <w:outlineLvl w:val="1"/>
        <w:rPr>
          <w:rFonts w:ascii="Calibri" w:hAnsi="Calibri"/>
          <w:bCs/>
          <w:i/>
          <w:szCs w:val="22"/>
        </w:rPr>
      </w:pPr>
    </w:p>
    <w:p w:rsidR="00242C36" w:rsidRDefault="00242C36" w:rsidP="00242C36">
      <w:pPr>
        <w:pBdr>
          <w:bar w:val="single" w:sz="6" w:color="808080"/>
        </w:pBdr>
        <w:spacing w:after="120"/>
        <w:outlineLvl w:val="1"/>
        <w:rPr>
          <w:rFonts w:ascii="Calibri" w:hAnsi="Calibri"/>
          <w:bCs/>
          <w:szCs w:val="22"/>
        </w:rPr>
      </w:pPr>
    </w:p>
    <w:p w:rsidR="00242C36" w:rsidRPr="00F6722D" w:rsidRDefault="00242C36" w:rsidP="00242C36">
      <w:pPr>
        <w:pBdr>
          <w:bar w:val="single" w:sz="6" w:color="808080"/>
        </w:pBdr>
        <w:spacing w:after="120"/>
        <w:outlineLvl w:val="1"/>
        <w:rPr>
          <w:rFonts w:ascii="Calibri" w:hAnsi="Calibri"/>
          <w:bCs/>
          <w:szCs w:val="22"/>
        </w:rPr>
      </w:pPr>
      <w:r w:rsidRPr="00E43137">
        <w:rPr>
          <w:rFonts w:ascii="Calibri" w:hAnsi="Calibri"/>
          <w:bCs/>
          <w:szCs w:val="22"/>
        </w:rPr>
        <w:t>Proces zvyšovania vlhkosti v horských oblastiach je menej presvedčivý ako proces zvyšovania sucha na nížinách, ale aj to ukazuje rozdielne trendy indexu sucha (Eo/P) v rámci regiónov SR.</w:t>
      </w:r>
      <w:r w:rsidRPr="00E43137">
        <w:rPr>
          <w:rFonts w:ascii="Calibri" w:hAnsi="Calibri"/>
          <w:bCs/>
          <w:szCs w:val="22"/>
        </w:rPr>
        <w:br/>
        <w:t>Rastúca teplota je dobre vyjadrená v trendoch teploty vzduchu, avšak, rastúce teplota hornej časti pôdy ukazuje na jej 1,5-2,0 °C  zvýšenie za posledných 50 rokov (viď nasledovný obr.).</w:t>
      </w:r>
    </w:p>
    <w:p w:rsidR="00242C36" w:rsidRPr="00E43137" w:rsidRDefault="00242C36" w:rsidP="00242C36">
      <w:pPr>
        <w:pBdr>
          <w:bar w:val="single" w:sz="6" w:color="808080"/>
        </w:pBdr>
        <w:spacing w:after="120"/>
        <w:outlineLvl w:val="1"/>
        <w:rPr>
          <w:rFonts w:ascii="Calibri" w:hAnsi="Calibri"/>
          <w:bCs/>
          <w:i/>
          <w:szCs w:val="22"/>
        </w:rPr>
      </w:pPr>
      <w:r w:rsidRPr="00E43137">
        <w:rPr>
          <w:rFonts w:ascii="Calibri" w:hAnsi="Calibri"/>
          <w:bCs/>
          <w:i/>
          <w:szCs w:val="22"/>
        </w:rPr>
        <w:t>Vývoj teploty pôdy na nížinách (Kráľová pri Senci – 124 m n.m.) a v horských oblastiach (Liptovský Hrádok – 640 m n.m.) v období 1961-2010</w:t>
      </w:r>
    </w:p>
    <w:p w:rsidR="00242C36" w:rsidRPr="00E43137" w:rsidRDefault="00242C36" w:rsidP="00242C36">
      <w:pPr>
        <w:pBdr>
          <w:bar w:val="single" w:sz="6" w:color="808080"/>
        </w:pBdr>
        <w:spacing w:after="120"/>
        <w:outlineLvl w:val="1"/>
        <w:rPr>
          <w:rFonts w:ascii="Calibri" w:hAnsi="Calibri"/>
          <w:bCs/>
          <w:i/>
          <w:szCs w:val="22"/>
        </w:rPr>
      </w:pPr>
      <w:r>
        <w:rPr>
          <w:noProof/>
        </w:rPr>
        <w:drawing>
          <wp:anchor distT="0" distB="0" distL="114300" distR="114300" simplePos="0" relativeHeight="251658240" behindDoc="1" locked="0" layoutInCell="1" allowOverlap="1" wp14:anchorId="6402ACA5" wp14:editId="55A62F40">
            <wp:simplePos x="0" y="0"/>
            <wp:positionH relativeFrom="column">
              <wp:posOffset>2929255</wp:posOffset>
            </wp:positionH>
            <wp:positionV relativeFrom="paragraph">
              <wp:posOffset>1905</wp:posOffset>
            </wp:positionV>
            <wp:extent cx="2772410" cy="1739900"/>
            <wp:effectExtent l="0" t="0" r="8890" b="0"/>
            <wp:wrapNone/>
            <wp:docPr id="38" name="obráze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4"/>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772410" cy="1739900"/>
                    </a:xfrm>
                    <a:prstGeom prst="rect">
                      <a:avLst/>
                    </a:prstGeom>
                    <a:noFill/>
                    <a:ln>
                      <a:noFill/>
                    </a:ln>
                  </pic:spPr>
                </pic:pic>
              </a:graphicData>
            </a:graphic>
          </wp:anchor>
        </w:drawing>
      </w:r>
      <w:r>
        <w:rPr>
          <w:noProof/>
        </w:rPr>
        <w:drawing>
          <wp:anchor distT="0" distB="0" distL="114300" distR="114300" simplePos="0" relativeHeight="251656192" behindDoc="1" locked="0" layoutInCell="1" allowOverlap="1" wp14:anchorId="636F8702" wp14:editId="489B52FC">
            <wp:simplePos x="0" y="0"/>
            <wp:positionH relativeFrom="column">
              <wp:posOffset>1270</wp:posOffset>
            </wp:positionH>
            <wp:positionV relativeFrom="paragraph">
              <wp:posOffset>1905</wp:posOffset>
            </wp:positionV>
            <wp:extent cx="2781300" cy="1746250"/>
            <wp:effectExtent l="0" t="0" r="0" b="6350"/>
            <wp:wrapNone/>
            <wp:docPr id="39" name="obráze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3"/>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781300" cy="1746250"/>
                    </a:xfrm>
                    <a:prstGeom prst="rect">
                      <a:avLst/>
                    </a:prstGeom>
                    <a:noFill/>
                    <a:ln>
                      <a:noFill/>
                    </a:ln>
                  </pic:spPr>
                </pic:pic>
              </a:graphicData>
            </a:graphic>
          </wp:anchor>
        </w:drawing>
      </w:r>
    </w:p>
    <w:p w:rsidR="00242C36" w:rsidRPr="00E43137" w:rsidRDefault="00242C36" w:rsidP="00242C36">
      <w:pPr>
        <w:pBdr>
          <w:bar w:val="single" w:sz="6" w:color="808080"/>
        </w:pBdr>
        <w:spacing w:after="120"/>
        <w:outlineLvl w:val="1"/>
        <w:rPr>
          <w:rFonts w:ascii="Calibri" w:hAnsi="Calibri"/>
          <w:bCs/>
          <w:i/>
          <w:szCs w:val="22"/>
        </w:rPr>
      </w:pPr>
    </w:p>
    <w:p w:rsidR="00242C36" w:rsidRPr="00E43137" w:rsidRDefault="00242C36" w:rsidP="00242C36">
      <w:pPr>
        <w:pBdr>
          <w:bar w:val="single" w:sz="6" w:color="808080"/>
        </w:pBdr>
        <w:spacing w:after="120"/>
        <w:outlineLvl w:val="1"/>
        <w:rPr>
          <w:rFonts w:ascii="Calibri" w:hAnsi="Calibri"/>
          <w:bCs/>
          <w:i/>
          <w:szCs w:val="22"/>
        </w:rPr>
      </w:pPr>
    </w:p>
    <w:p w:rsidR="00242C36" w:rsidRPr="00E43137" w:rsidRDefault="00242C36" w:rsidP="00242C36">
      <w:pPr>
        <w:pBdr>
          <w:bar w:val="single" w:sz="6" w:color="808080"/>
        </w:pBdr>
        <w:spacing w:after="120"/>
        <w:outlineLvl w:val="1"/>
        <w:rPr>
          <w:rFonts w:ascii="Calibri" w:hAnsi="Calibri"/>
          <w:bCs/>
          <w:i/>
          <w:szCs w:val="22"/>
        </w:rPr>
      </w:pPr>
    </w:p>
    <w:p w:rsidR="00242C36" w:rsidRDefault="00242C36" w:rsidP="00242C36">
      <w:pPr>
        <w:pBdr>
          <w:bar w:val="single" w:sz="6" w:color="808080"/>
        </w:pBdr>
        <w:outlineLvl w:val="1"/>
        <w:rPr>
          <w:rFonts w:ascii="Calibri" w:hAnsi="Calibri"/>
          <w:bCs/>
          <w:szCs w:val="22"/>
        </w:rPr>
      </w:pPr>
    </w:p>
    <w:p w:rsidR="00242C36" w:rsidRDefault="00242C36" w:rsidP="00242C36">
      <w:pPr>
        <w:pBdr>
          <w:bar w:val="single" w:sz="6" w:color="808080"/>
        </w:pBdr>
        <w:outlineLvl w:val="1"/>
        <w:rPr>
          <w:rFonts w:ascii="Calibri" w:hAnsi="Calibri"/>
          <w:bCs/>
          <w:szCs w:val="22"/>
        </w:rPr>
      </w:pPr>
    </w:p>
    <w:p w:rsidR="00242C36" w:rsidRDefault="00242C36" w:rsidP="00242C36">
      <w:pPr>
        <w:pBdr>
          <w:bar w:val="single" w:sz="6" w:color="808080"/>
        </w:pBdr>
        <w:outlineLvl w:val="1"/>
        <w:rPr>
          <w:rFonts w:ascii="Calibri" w:hAnsi="Calibri"/>
          <w:bCs/>
          <w:szCs w:val="22"/>
        </w:rPr>
      </w:pPr>
    </w:p>
    <w:p w:rsidR="00242C36" w:rsidRDefault="00242C36" w:rsidP="00242C36">
      <w:pPr>
        <w:pBdr>
          <w:bar w:val="single" w:sz="6" w:color="808080"/>
        </w:pBdr>
        <w:outlineLvl w:val="1"/>
        <w:rPr>
          <w:rFonts w:ascii="Calibri" w:hAnsi="Calibri"/>
          <w:bCs/>
          <w:szCs w:val="22"/>
        </w:rPr>
      </w:pPr>
    </w:p>
    <w:p w:rsidR="00242C36" w:rsidRDefault="00242C36" w:rsidP="00242C36">
      <w:pPr>
        <w:pBdr>
          <w:bar w:val="single" w:sz="6" w:color="808080"/>
        </w:pBdr>
        <w:outlineLvl w:val="1"/>
        <w:rPr>
          <w:rFonts w:ascii="Calibri" w:hAnsi="Calibri"/>
          <w:bCs/>
          <w:szCs w:val="22"/>
        </w:rPr>
      </w:pPr>
    </w:p>
    <w:p w:rsidR="00242C36" w:rsidRPr="00E43137" w:rsidRDefault="00242C36" w:rsidP="00242C36">
      <w:pPr>
        <w:pBdr>
          <w:bar w:val="single" w:sz="6" w:color="808080"/>
        </w:pBdr>
        <w:outlineLvl w:val="1"/>
        <w:rPr>
          <w:rFonts w:ascii="Calibri" w:hAnsi="Calibri"/>
          <w:bCs/>
          <w:szCs w:val="22"/>
        </w:rPr>
      </w:pPr>
      <w:r w:rsidRPr="00E43137">
        <w:rPr>
          <w:rFonts w:ascii="Calibri" w:hAnsi="Calibri"/>
          <w:bCs/>
          <w:szCs w:val="22"/>
        </w:rPr>
        <w:t>Rastúca teploty, rovnako ako vyššie dokumentované zmeny niektorých bioklimatických parametrov, prinášajú protikladné účinky. Rastlinná výroba môže ťažiť z teplejšieho podnebia a vyššieho obsahu CO2 v atmosfére, ale rastúca intenzita i frekvencie sucha,  záplavy a vlny horúčav by eliminovali tieto výhody.</w:t>
      </w:r>
    </w:p>
    <w:p w:rsidR="00242C36" w:rsidRPr="00E43137" w:rsidRDefault="00242C36" w:rsidP="00242C36">
      <w:pPr>
        <w:pBdr>
          <w:bar w:val="single" w:sz="6" w:color="808080"/>
        </w:pBdr>
        <w:outlineLvl w:val="1"/>
        <w:rPr>
          <w:rFonts w:ascii="Calibri" w:hAnsi="Calibri"/>
          <w:bCs/>
          <w:szCs w:val="22"/>
        </w:rPr>
      </w:pPr>
    </w:p>
    <w:p w:rsidR="00242C36" w:rsidRPr="00E43137" w:rsidRDefault="00242C36" w:rsidP="00242C36">
      <w:pPr>
        <w:pBdr>
          <w:bar w:val="single" w:sz="6" w:color="808080"/>
        </w:pBdr>
        <w:outlineLvl w:val="1"/>
        <w:rPr>
          <w:rFonts w:ascii="Calibri" w:hAnsi="Calibri"/>
          <w:bCs/>
          <w:szCs w:val="22"/>
        </w:rPr>
      </w:pPr>
      <w:r w:rsidRPr="00E43137">
        <w:rPr>
          <w:rFonts w:ascii="Calibri" w:hAnsi="Calibri"/>
          <w:bCs/>
          <w:szCs w:val="22"/>
        </w:rPr>
        <w:t>Nie však všetky plodiny sú schopné ťažiť z rastúcej teploty a vyššej koncentrácie CO2 v atmosfére a globálna zmena klímy môže zmeniť niektoré oblasti Slovenska na nevhodné pre pestovanie niektorých plodín.</w:t>
      </w:r>
    </w:p>
    <w:p w:rsidR="00242C36" w:rsidRPr="00E43137" w:rsidRDefault="00242C36" w:rsidP="00242C36">
      <w:pPr>
        <w:pBdr>
          <w:bar w:val="single" w:sz="6" w:color="808080"/>
        </w:pBdr>
        <w:outlineLvl w:val="1"/>
        <w:rPr>
          <w:rFonts w:ascii="Calibri" w:hAnsi="Calibri"/>
          <w:bCs/>
          <w:szCs w:val="22"/>
        </w:rPr>
      </w:pPr>
      <w:r w:rsidRPr="00E43137">
        <w:rPr>
          <w:rFonts w:ascii="Calibri" w:hAnsi="Calibri"/>
          <w:bCs/>
          <w:szCs w:val="22"/>
        </w:rPr>
        <w:t>Podľa vyššie zmienenej správy, nasledovné faktory globálnej zmeny klímy sa dotýkajú a poľnohospodárskej výrobu na Slovensku:</w:t>
      </w:r>
    </w:p>
    <w:p w:rsidR="00242C36" w:rsidRPr="00E43137" w:rsidRDefault="00242C36" w:rsidP="00242C36">
      <w:pPr>
        <w:pBdr>
          <w:bar w:val="single" w:sz="6" w:color="808080"/>
        </w:pBdr>
        <w:outlineLvl w:val="1"/>
        <w:rPr>
          <w:rFonts w:ascii="Calibri" w:hAnsi="Calibri"/>
          <w:bCs/>
          <w:szCs w:val="22"/>
        </w:rPr>
      </w:pPr>
      <w:r w:rsidRPr="00E43137">
        <w:rPr>
          <w:rFonts w:ascii="Calibri" w:hAnsi="Calibri"/>
          <w:bCs/>
          <w:szCs w:val="22"/>
        </w:rPr>
        <w:t>● rastúca priemerná teplota vzduchu,</w:t>
      </w:r>
    </w:p>
    <w:p w:rsidR="00242C36" w:rsidRPr="00E43137" w:rsidRDefault="00242C36" w:rsidP="00242C36">
      <w:pPr>
        <w:pBdr>
          <w:bar w:val="single" w:sz="6" w:color="808080"/>
        </w:pBdr>
        <w:outlineLvl w:val="1"/>
        <w:rPr>
          <w:rFonts w:ascii="Calibri" w:hAnsi="Calibri"/>
          <w:bCs/>
          <w:szCs w:val="22"/>
        </w:rPr>
      </w:pPr>
      <w:r w:rsidRPr="00E43137">
        <w:rPr>
          <w:rFonts w:ascii="Calibri" w:hAnsi="Calibri"/>
          <w:bCs/>
          <w:szCs w:val="22"/>
        </w:rPr>
        <w:t>● zmeny v priestorovom rozložení zrážok, rovnako ako v ich intenzity,</w:t>
      </w:r>
    </w:p>
    <w:p w:rsidR="00242C36" w:rsidRPr="00E43137" w:rsidRDefault="00242C36" w:rsidP="00242C36">
      <w:pPr>
        <w:pBdr>
          <w:bar w:val="single" w:sz="6" w:color="808080"/>
        </w:pBdr>
        <w:outlineLvl w:val="1"/>
        <w:rPr>
          <w:rFonts w:ascii="Calibri" w:hAnsi="Calibri"/>
          <w:bCs/>
          <w:szCs w:val="22"/>
        </w:rPr>
      </w:pPr>
      <w:r w:rsidRPr="00E43137">
        <w:rPr>
          <w:rFonts w:ascii="Calibri" w:hAnsi="Calibri"/>
          <w:bCs/>
          <w:szCs w:val="22"/>
        </w:rPr>
        <w:t>● rastúca koncentrácia atmosférického CO2,</w:t>
      </w:r>
    </w:p>
    <w:p w:rsidR="00242C36" w:rsidRPr="00E43137" w:rsidRDefault="00242C36" w:rsidP="00242C36">
      <w:pPr>
        <w:pBdr>
          <w:bar w:val="single" w:sz="6" w:color="808080"/>
        </w:pBdr>
        <w:outlineLvl w:val="1"/>
        <w:rPr>
          <w:rFonts w:ascii="Calibri" w:hAnsi="Calibri"/>
          <w:bCs/>
          <w:szCs w:val="22"/>
        </w:rPr>
      </w:pPr>
      <w:r w:rsidRPr="00E43137">
        <w:rPr>
          <w:rFonts w:ascii="Calibri" w:hAnsi="Calibri"/>
          <w:bCs/>
          <w:szCs w:val="22"/>
        </w:rPr>
        <w:t>● znečistenie ovzdušia ( napr. troposférický ozón, PM 2.5 a PM 10),</w:t>
      </w:r>
    </w:p>
    <w:p w:rsidR="00242C36" w:rsidRPr="00E43137" w:rsidRDefault="00242C36" w:rsidP="00242C36">
      <w:pPr>
        <w:pBdr>
          <w:bar w:val="single" w:sz="6" w:color="808080"/>
        </w:pBdr>
        <w:outlineLvl w:val="1"/>
        <w:rPr>
          <w:rFonts w:ascii="Calibri" w:hAnsi="Calibri"/>
          <w:bCs/>
          <w:szCs w:val="22"/>
        </w:rPr>
      </w:pPr>
      <w:r w:rsidRPr="00E43137">
        <w:rPr>
          <w:rFonts w:ascii="Calibri" w:hAnsi="Calibri"/>
          <w:bCs/>
          <w:szCs w:val="22"/>
        </w:rPr>
        <w:t>● zmena premenlivosti klímy a extrémnych javov .</w:t>
      </w:r>
    </w:p>
    <w:p w:rsidR="00242C36" w:rsidRPr="00E43137" w:rsidRDefault="00242C36" w:rsidP="00242C36">
      <w:pPr>
        <w:pBdr>
          <w:bar w:val="single" w:sz="6" w:color="808080"/>
        </w:pBdr>
        <w:outlineLvl w:val="1"/>
        <w:rPr>
          <w:rFonts w:ascii="Calibri" w:hAnsi="Calibri"/>
          <w:bCs/>
          <w:szCs w:val="22"/>
        </w:rPr>
      </w:pPr>
    </w:p>
    <w:p w:rsidR="00242C36" w:rsidRPr="00E43137" w:rsidRDefault="00242C36" w:rsidP="00242C36">
      <w:pPr>
        <w:pBdr>
          <w:bar w:val="single" w:sz="6" w:color="808080"/>
        </w:pBdr>
        <w:outlineLvl w:val="1"/>
        <w:rPr>
          <w:rFonts w:ascii="Calibri" w:hAnsi="Calibri"/>
          <w:bCs/>
          <w:szCs w:val="22"/>
        </w:rPr>
      </w:pPr>
      <w:r w:rsidRPr="00E43137">
        <w:rPr>
          <w:rFonts w:ascii="Calibri" w:hAnsi="Calibri"/>
          <w:bCs/>
          <w:szCs w:val="22"/>
        </w:rPr>
        <w:t xml:space="preserve">Jedným z najdôležitejších bioklimatických parametrov ovplyvňujúcich produkciu plodín, a to ako v poľnohospodárstve tak i lesníctve, je </w:t>
      </w:r>
      <w:r w:rsidRPr="00E43137">
        <w:rPr>
          <w:rFonts w:ascii="Calibri" w:hAnsi="Calibri"/>
          <w:b/>
          <w:bCs/>
          <w:szCs w:val="22"/>
        </w:rPr>
        <w:t>doba trvania veľkého vegetačného obdobia</w:t>
      </w:r>
      <w:r w:rsidRPr="00E43137">
        <w:rPr>
          <w:rFonts w:ascii="Calibri" w:hAnsi="Calibri"/>
          <w:bCs/>
          <w:szCs w:val="22"/>
        </w:rPr>
        <w:t>, t.j. obdobia s priemernou dennou teplotou ≥ 5,0°C.</w:t>
      </w:r>
    </w:p>
    <w:p w:rsidR="00242C36" w:rsidRPr="00E43137" w:rsidRDefault="00242C36" w:rsidP="00366F96">
      <w:pPr>
        <w:pBdr>
          <w:bar w:val="single" w:sz="6" w:color="808080"/>
        </w:pBdr>
        <w:spacing w:after="120"/>
        <w:outlineLvl w:val="1"/>
        <w:rPr>
          <w:rFonts w:ascii="Calibri" w:hAnsi="Calibri"/>
          <w:bCs/>
          <w:szCs w:val="22"/>
        </w:rPr>
      </w:pPr>
      <w:r w:rsidRPr="00E43137">
        <w:rPr>
          <w:rFonts w:ascii="Calibri" w:hAnsi="Calibri"/>
          <w:bCs/>
          <w:szCs w:val="22"/>
        </w:rPr>
        <w:t>Vzostup priemernej teploty vzduchu obvykle predĺži vegetačné obdobie, ale v oblastiach s relatívne studenou jarou to znamená aj skorší začiatok vegetácie a hrozbu studených vĺn počas generatívnych fáz vegetačného cyklu.</w:t>
      </w:r>
    </w:p>
    <w:p w:rsidR="00242C36" w:rsidRPr="00E43137" w:rsidRDefault="00242C36" w:rsidP="00242C36">
      <w:pPr>
        <w:pBdr>
          <w:bar w:val="single" w:sz="6" w:color="808080"/>
        </w:pBdr>
        <w:outlineLvl w:val="1"/>
        <w:rPr>
          <w:rFonts w:ascii="Calibri" w:hAnsi="Calibri"/>
          <w:bCs/>
          <w:szCs w:val="22"/>
        </w:rPr>
      </w:pPr>
      <w:r w:rsidRPr="00E43137">
        <w:rPr>
          <w:rFonts w:ascii="Calibri" w:hAnsi="Calibri"/>
          <w:bCs/>
          <w:szCs w:val="22"/>
        </w:rPr>
        <w:t>Realizovaná projekcia na základe analýzy časovej rady ukázala, že v extrémnych rokoch sa môže veľké vegetačné obdobie v najjužnejších oblastiach Slovenska predĺžiť až do zimného obdobia. To môže mať nepriaznivý vplyv na prezimovanie niektorých plodín, najmä niektorých ovocných stromov.</w:t>
      </w:r>
    </w:p>
    <w:p w:rsidR="00242C36" w:rsidRPr="00E43137" w:rsidRDefault="00242C36" w:rsidP="00242C36">
      <w:pPr>
        <w:pBdr>
          <w:bar w:val="single" w:sz="6" w:color="808080"/>
        </w:pBdr>
        <w:outlineLvl w:val="1"/>
        <w:rPr>
          <w:rFonts w:ascii="Calibri" w:hAnsi="Calibri"/>
          <w:bCs/>
          <w:szCs w:val="22"/>
        </w:rPr>
      </w:pPr>
    </w:p>
    <w:p w:rsidR="00242C36" w:rsidRPr="00E43137" w:rsidRDefault="00242C36" w:rsidP="00242C36">
      <w:pPr>
        <w:pBdr>
          <w:bar w:val="single" w:sz="6" w:color="808080"/>
        </w:pBdr>
        <w:outlineLvl w:val="1"/>
        <w:rPr>
          <w:rFonts w:ascii="Calibri" w:hAnsi="Calibri"/>
          <w:bCs/>
          <w:szCs w:val="22"/>
        </w:rPr>
      </w:pPr>
      <w:r w:rsidRPr="00E43137">
        <w:rPr>
          <w:rFonts w:ascii="Calibri" w:hAnsi="Calibri"/>
          <w:bCs/>
          <w:szCs w:val="22"/>
        </w:rPr>
        <w:t xml:space="preserve">Nedávno vykonané merania, ako aj všeobecné odporúčania pre agrotechnické opatrenia uvádzajú </w:t>
      </w:r>
      <w:r w:rsidRPr="00E43137">
        <w:rPr>
          <w:rFonts w:ascii="Calibri" w:hAnsi="Calibri"/>
          <w:bCs/>
          <w:szCs w:val="22"/>
        </w:rPr>
        <w:br/>
        <w:t xml:space="preserve">niektoré </w:t>
      </w:r>
      <w:r w:rsidRPr="00E43137">
        <w:rPr>
          <w:rFonts w:ascii="Calibri" w:hAnsi="Calibri"/>
          <w:b/>
          <w:bCs/>
          <w:szCs w:val="22"/>
        </w:rPr>
        <w:t>účinné adaptačné opatrenia</w:t>
      </w:r>
      <w:r w:rsidRPr="00E43137">
        <w:rPr>
          <w:rFonts w:ascii="Calibri" w:hAnsi="Calibri"/>
          <w:bCs/>
          <w:szCs w:val="22"/>
        </w:rPr>
        <w:t xml:space="preserve"> na prispôsobenie poľnohospodárskej výroby súčasným a budúcim podmienkam: </w:t>
      </w:r>
    </w:p>
    <w:p w:rsidR="00242C36" w:rsidRPr="00E43137" w:rsidRDefault="00242C36" w:rsidP="00242C36">
      <w:pPr>
        <w:pBdr>
          <w:bar w:val="single" w:sz="6" w:color="808080"/>
        </w:pBdr>
        <w:outlineLvl w:val="1"/>
        <w:rPr>
          <w:rFonts w:ascii="Calibri" w:hAnsi="Calibri"/>
          <w:bCs/>
          <w:szCs w:val="22"/>
        </w:rPr>
      </w:pPr>
      <w:r w:rsidRPr="00E43137">
        <w:rPr>
          <w:rFonts w:ascii="Calibri" w:hAnsi="Calibri"/>
          <w:bCs/>
          <w:szCs w:val="22"/>
        </w:rPr>
        <w:br/>
        <w:t>1. zmena štruktúry pestovaných plodín na Slovensku</w:t>
      </w:r>
    </w:p>
    <w:p w:rsidR="00242C36" w:rsidRPr="00E43137" w:rsidRDefault="00242C36" w:rsidP="00242C36">
      <w:pPr>
        <w:pBdr>
          <w:bar w:val="single" w:sz="6" w:color="808080"/>
        </w:pBdr>
        <w:outlineLvl w:val="1"/>
        <w:rPr>
          <w:rFonts w:ascii="Calibri" w:hAnsi="Calibri"/>
          <w:bCs/>
          <w:szCs w:val="22"/>
        </w:rPr>
      </w:pPr>
      <w:r w:rsidRPr="00E43137">
        <w:rPr>
          <w:rFonts w:ascii="Calibri" w:hAnsi="Calibri"/>
          <w:bCs/>
          <w:szCs w:val="22"/>
        </w:rPr>
        <w:t>2. zmena štruktúry odrôd</w:t>
      </w:r>
    </w:p>
    <w:p w:rsidR="00242C36" w:rsidRPr="00E43137" w:rsidRDefault="00242C36" w:rsidP="00242C36">
      <w:pPr>
        <w:pBdr>
          <w:bar w:val="single" w:sz="6" w:color="808080"/>
        </w:pBdr>
        <w:outlineLvl w:val="1"/>
        <w:rPr>
          <w:rFonts w:ascii="Calibri" w:hAnsi="Calibri"/>
          <w:bCs/>
          <w:szCs w:val="22"/>
        </w:rPr>
      </w:pPr>
      <w:r w:rsidRPr="00E43137">
        <w:rPr>
          <w:rFonts w:ascii="Calibri" w:hAnsi="Calibri"/>
          <w:bCs/>
          <w:szCs w:val="22"/>
        </w:rPr>
        <w:t xml:space="preserve">3. prispôsobenie agrotechnických termínov (najmä sejby) zmeneným agro-klimatickým podmienkam </w:t>
      </w:r>
      <w:r w:rsidRPr="00E43137">
        <w:rPr>
          <w:rFonts w:ascii="Calibri" w:hAnsi="Calibri"/>
          <w:bCs/>
          <w:szCs w:val="22"/>
        </w:rPr>
        <w:br/>
        <w:t xml:space="preserve">4. podpora výstavby zavlažovacích systémov a zabezpečenie dostatočného množstva závlahovej vody, v spolupráci so sektorom vodohospodárstva. </w:t>
      </w:r>
    </w:p>
    <w:p w:rsidR="00242C36" w:rsidRPr="00E43137" w:rsidRDefault="00242C36" w:rsidP="00242C36">
      <w:pPr>
        <w:pBdr>
          <w:bar w:val="single" w:sz="6" w:color="808080"/>
        </w:pBdr>
        <w:outlineLvl w:val="1"/>
        <w:rPr>
          <w:rFonts w:ascii="Calibri" w:hAnsi="Calibri"/>
          <w:bCs/>
          <w:szCs w:val="22"/>
        </w:rPr>
      </w:pPr>
    </w:p>
    <w:p w:rsidR="00242C36" w:rsidRDefault="00242C36" w:rsidP="00242C36">
      <w:pPr>
        <w:pBdr>
          <w:bar w:val="single" w:sz="6" w:color="808080"/>
        </w:pBdr>
        <w:outlineLvl w:val="1"/>
        <w:rPr>
          <w:rFonts w:ascii="Calibri" w:hAnsi="Calibri"/>
          <w:bCs/>
          <w:szCs w:val="22"/>
        </w:rPr>
      </w:pPr>
      <w:r w:rsidRPr="00E43137">
        <w:rPr>
          <w:rFonts w:ascii="Calibri" w:hAnsi="Calibri"/>
          <w:bCs/>
          <w:szCs w:val="22"/>
        </w:rPr>
        <w:t>Uplatňovanie vyššie uvedených opatrení budú musieť byť selektívne a prinesie v rôznych regiónoch rôzne výsledky.</w:t>
      </w:r>
    </w:p>
    <w:p w:rsidR="00242C36" w:rsidRDefault="00242C36" w:rsidP="00242C36">
      <w:pPr>
        <w:pBdr>
          <w:bar w:val="single" w:sz="6" w:color="808080"/>
        </w:pBdr>
        <w:outlineLvl w:val="1"/>
        <w:rPr>
          <w:rFonts w:ascii="Calibri" w:hAnsi="Calibri"/>
          <w:bCs/>
          <w:szCs w:val="22"/>
        </w:rPr>
      </w:pPr>
    </w:p>
    <w:p w:rsidR="00242C36" w:rsidRPr="00E43137" w:rsidRDefault="00242C36" w:rsidP="00242C36">
      <w:pPr>
        <w:keepNext/>
        <w:keepLines/>
        <w:pBdr>
          <w:bar w:val="single" w:sz="6" w:color="808080"/>
        </w:pBdr>
        <w:spacing w:after="120"/>
        <w:outlineLvl w:val="1"/>
        <w:rPr>
          <w:rFonts w:ascii="Calibri" w:hAnsi="Calibri"/>
          <w:b/>
          <w:bCs/>
          <w:szCs w:val="22"/>
        </w:rPr>
      </w:pPr>
      <w:r w:rsidRPr="00E43137">
        <w:rPr>
          <w:rFonts w:ascii="Calibri" w:hAnsi="Calibri"/>
          <w:b/>
          <w:bCs/>
          <w:szCs w:val="22"/>
        </w:rPr>
        <w:t>Produkcia obnoviteľných zdrojov energie z poľnohospodárstva a lesníctva</w:t>
      </w:r>
    </w:p>
    <w:p w:rsidR="00242C36" w:rsidRPr="00E43137" w:rsidRDefault="00242C36" w:rsidP="00242C36">
      <w:pPr>
        <w:pBdr>
          <w:bar w:val="single" w:sz="6" w:color="808080"/>
        </w:pBdr>
        <w:spacing w:after="120"/>
        <w:rPr>
          <w:rFonts w:ascii="Calibri" w:eastAsia="Calibri" w:hAnsi="Calibri"/>
          <w:szCs w:val="22"/>
          <w:lang w:eastAsia="en-US"/>
        </w:rPr>
      </w:pPr>
      <w:r w:rsidRPr="00E43137">
        <w:rPr>
          <w:rFonts w:ascii="Calibri" w:eastAsia="Calibri" w:hAnsi="Calibri"/>
          <w:szCs w:val="22"/>
          <w:lang w:eastAsia="en-US"/>
        </w:rPr>
        <w:t xml:space="preserve">Potenciál OZE na Slovensku je značný, ale zatiaľ je využívaný len z cca 30% (Akčný plán využívania biomasy na roky 2008-2013). Najväčší podiel z potenciálu OZE predstavuje biomasa (42%). </w:t>
      </w:r>
      <w:r w:rsidRPr="00E43137">
        <w:rPr>
          <w:rFonts w:ascii="Calibri" w:eastAsia="Calibri" w:hAnsi="Calibri"/>
          <w:b/>
          <w:szCs w:val="22"/>
          <w:lang w:eastAsia="en-US"/>
        </w:rPr>
        <w:t xml:space="preserve">Celkový potenciál biomasy za SR dosahuje ročne v energetickom vyjadrení 147 PJ </w:t>
      </w:r>
      <w:r w:rsidRPr="00E43137">
        <w:rPr>
          <w:rFonts w:ascii="Calibri" w:eastAsia="Calibri" w:hAnsi="Calibri"/>
          <w:szCs w:val="22"/>
          <w:lang w:eastAsia="en-US"/>
        </w:rPr>
        <w:t>(PetaJoule).</w:t>
      </w:r>
    </w:p>
    <w:p w:rsidR="00242C36" w:rsidRPr="00E43137" w:rsidRDefault="00242C36" w:rsidP="00242C36">
      <w:pPr>
        <w:pBdr>
          <w:bar w:val="single" w:sz="6" w:color="808080"/>
        </w:pBdr>
        <w:spacing w:after="120"/>
        <w:rPr>
          <w:rFonts w:ascii="Calibri" w:eastAsia="Calibri" w:hAnsi="Calibri"/>
          <w:szCs w:val="22"/>
          <w:lang w:eastAsia="en-US"/>
        </w:rPr>
      </w:pPr>
      <w:r w:rsidRPr="00E43137">
        <w:rPr>
          <w:rFonts w:ascii="Calibri" w:eastAsia="Calibri" w:hAnsi="Calibri"/>
          <w:szCs w:val="22"/>
          <w:lang w:eastAsia="en-US"/>
        </w:rPr>
        <w:t xml:space="preserve">Celková produkcia obnoviteľnej energie z </w:t>
      </w:r>
      <w:r w:rsidRPr="00E43137">
        <w:rPr>
          <w:rFonts w:ascii="Calibri" w:eastAsia="Calibri" w:hAnsi="Calibri"/>
          <w:b/>
          <w:bCs/>
          <w:szCs w:val="22"/>
          <w:lang w:eastAsia="en-US"/>
        </w:rPr>
        <w:t>poľnohospodárstva</w:t>
      </w:r>
      <w:r w:rsidRPr="00E43137">
        <w:rPr>
          <w:rFonts w:ascii="Calibri" w:eastAsia="Calibri" w:hAnsi="Calibri"/>
          <w:szCs w:val="22"/>
          <w:lang w:eastAsia="en-US"/>
        </w:rPr>
        <w:t xml:space="preserve"> dosiahla v r. 2010 úroveň 143,3 Ktoe (10,2% z celkovej produkcie OZE v SR, CCI43), čo je v porovnaní s rokom 2007 nárast o 260%. </w:t>
      </w:r>
    </w:p>
    <w:p w:rsidR="00242C36" w:rsidRPr="008F2790" w:rsidRDefault="00242C36" w:rsidP="00242C36">
      <w:pPr>
        <w:pBdr>
          <w:bar w:val="single" w:sz="6" w:color="808080"/>
        </w:pBdr>
        <w:spacing w:after="120"/>
        <w:rPr>
          <w:rFonts w:ascii="Calibri" w:eastAsia="Calibri" w:hAnsi="Calibri"/>
          <w:szCs w:val="22"/>
          <w:lang w:eastAsia="en-US"/>
        </w:rPr>
      </w:pPr>
      <w:r w:rsidRPr="00E43137">
        <w:rPr>
          <w:rFonts w:ascii="Calibri" w:eastAsia="Calibri" w:hAnsi="Calibri"/>
          <w:szCs w:val="22"/>
          <w:lang w:eastAsia="en-US"/>
        </w:rPr>
        <w:t xml:space="preserve">V rokoch 2007-2011 sa produkcia bionafty na Slovensku takmer zdvojnásobila, výroba bioetanolu sa zvýšila viac ako štvornásobne (433%). </w:t>
      </w:r>
      <w:r w:rsidRPr="008F2790">
        <w:rPr>
          <w:rFonts w:ascii="Calibri" w:hAnsi="Calibri"/>
          <w:szCs w:val="22"/>
        </w:rPr>
        <w:t>V súčasnosti obsah biopalív v benzíne a nafte na Slovensku predstavuje 4% objemu. Ročne sa u nás vyprodukuje 130 tisíc m</w:t>
      </w:r>
      <w:r w:rsidRPr="008F2790">
        <w:rPr>
          <w:rFonts w:ascii="Calibri" w:hAnsi="Calibri"/>
          <w:szCs w:val="22"/>
          <w:vertAlign w:val="superscript"/>
        </w:rPr>
        <w:t>3</w:t>
      </w:r>
      <w:r w:rsidRPr="008F2790">
        <w:rPr>
          <w:rFonts w:ascii="Calibri" w:hAnsi="Calibri"/>
          <w:szCs w:val="22"/>
        </w:rPr>
        <w:t xml:space="preserve"> bioetanolu a 100 tisíc ton biodieselu. (Združenia pre výrobu a využitie biopalív na Slovensku).</w:t>
      </w:r>
    </w:p>
    <w:p w:rsidR="00242C36" w:rsidRPr="00E43137" w:rsidRDefault="00242C36" w:rsidP="00242C36">
      <w:pPr>
        <w:pBdr>
          <w:bar w:val="single" w:sz="6" w:color="808080"/>
        </w:pBdr>
        <w:spacing w:after="120"/>
        <w:rPr>
          <w:rFonts w:ascii="Calibri" w:eastAsia="Calibri" w:hAnsi="Calibri"/>
          <w:szCs w:val="22"/>
          <w:lang w:eastAsia="en-US"/>
        </w:rPr>
      </w:pPr>
      <w:r w:rsidRPr="00E43137">
        <w:rPr>
          <w:rFonts w:ascii="Calibri" w:eastAsia="Calibri" w:hAnsi="Calibri"/>
          <w:szCs w:val="22"/>
          <w:lang w:eastAsia="en-US"/>
        </w:rPr>
        <w:t xml:space="preserve">Produkcia obnoviteľnej energie z lesníctva vo forme drevnej biomasy dosiahla v r. 2010 740 Ktoe (až 52,7% z celkovej produkcie OZE v SR, </w:t>
      </w:r>
      <w:r w:rsidRPr="00A87A15">
        <w:rPr>
          <w:rFonts w:ascii="Calibri" w:eastAsia="Calibri" w:hAnsi="Calibri"/>
          <w:b/>
          <w:szCs w:val="22"/>
          <w:lang w:eastAsia="en-US"/>
        </w:rPr>
        <w:t>CCI43</w:t>
      </w:r>
      <w:r w:rsidRPr="00E43137">
        <w:rPr>
          <w:rFonts w:ascii="Calibri" w:eastAsia="Calibri" w:hAnsi="Calibri"/>
          <w:szCs w:val="22"/>
          <w:lang w:eastAsia="en-US"/>
        </w:rPr>
        <w:t>). V porovnaní s rokom 2007 došlo k zvýšeniu produkcie obnoviteľnej energie z lesníctva (vo forme výroby elektriny a tepla) o 53% (EurObserv´ER, údaje za rok 2011 nie sú dostupné).</w:t>
      </w:r>
    </w:p>
    <w:p w:rsidR="00242C36" w:rsidRPr="00E43137" w:rsidRDefault="00242C36" w:rsidP="00242C36">
      <w:pPr>
        <w:pBdr>
          <w:bar w:val="single" w:sz="6" w:color="808080"/>
        </w:pBdr>
        <w:spacing w:after="120"/>
        <w:rPr>
          <w:rFonts w:ascii="Calibri" w:eastAsia="Calibri" w:hAnsi="Calibri"/>
          <w:szCs w:val="22"/>
          <w:lang w:eastAsia="en-US"/>
        </w:rPr>
      </w:pPr>
      <w:r w:rsidRPr="00E43137">
        <w:rPr>
          <w:rFonts w:ascii="Calibri" w:eastAsia="Calibri" w:hAnsi="Calibri"/>
          <w:szCs w:val="22"/>
          <w:lang w:eastAsia="en-US"/>
        </w:rPr>
        <w:t xml:space="preserve">K najviac pestovaným plodinám na energetické účely v rokoch 2007–2011 patrili </w:t>
      </w:r>
      <w:r w:rsidRPr="00E43137">
        <w:rPr>
          <w:rFonts w:ascii="Calibri" w:eastAsia="Calibri" w:hAnsi="Calibri"/>
          <w:b/>
          <w:bCs/>
          <w:szCs w:val="22"/>
          <w:lang w:eastAsia="en-US"/>
        </w:rPr>
        <w:t>repka olejná</w:t>
      </w:r>
      <w:r w:rsidRPr="00E43137">
        <w:rPr>
          <w:rFonts w:ascii="Calibri" w:eastAsia="Calibri" w:hAnsi="Calibri"/>
          <w:szCs w:val="22"/>
          <w:lang w:eastAsia="en-US"/>
        </w:rPr>
        <w:t xml:space="preserve"> a </w:t>
      </w:r>
      <w:r w:rsidRPr="00E43137">
        <w:rPr>
          <w:rFonts w:ascii="Calibri" w:eastAsia="Calibri" w:hAnsi="Calibri"/>
          <w:b/>
          <w:bCs/>
          <w:szCs w:val="22"/>
          <w:lang w:eastAsia="en-US"/>
        </w:rPr>
        <w:t>kukurica na zrno</w:t>
      </w:r>
      <w:r w:rsidRPr="00E43137">
        <w:rPr>
          <w:rFonts w:ascii="Calibri" w:eastAsia="Calibri" w:hAnsi="Calibri"/>
          <w:szCs w:val="22"/>
          <w:lang w:eastAsia="en-US"/>
        </w:rPr>
        <w:t xml:space="preserve"> uplatňované predovšetkým pri výrobe biopalív. </w:t>
      </w:r>
    </w:p>
    <w:p w:rsidR="00242C36" w:rsidRPr="00E43137" w:rsidRDefault="00242C36" w:rsidP="00366F96">
      <w:pPr>
        <w:pBdr>
          <w:bar w:val="single" w:sz="6" w:color="808080"/>
        </w:pBdr>
        <w:spacing w:after="120"/>
        <w:rPr>
          <w:rFonts w:ascii="Calibri" w:eastAsia="Calibri" w:hAnsi="Calibri"/>
          <w:szCs w:val="22"/>
          <w:lang w:eastAsia="en-US"/>
        </w:rPr>
      </w:pPr>
      <w:r w:rsidRPr="00E43137">
        <w:rPr>
          <w:rFonts w:ascii="Calibri" w:eastAsia="Calibri" w:hAnsi="Calibri"/>
          <w:szCs w:val="22"/>
          <w:lang w:eastAsia="en-US"/>
        </w:rPr>
        <w:t>Od roku 2010 sa podpora pre producentov energetických plodín neposkytuje. Z celkovej výmery poľnohospodárskej pôdy SR tvoria výmery rýchlorastúcich drevín zanedbateľnú časť. V roku 2007 výmera rýchlorastúcich drevín  predstavovala 0,018% využitej poľnohospodárskej pôdy (</w:t>
      </w:r>
      <w:smartTag w:uri="urn:schemas-microsoft-com:office:smarttags" w:element="metricconverter">
        <w:smartTagPr>
          <w:attr w:name="ProductID" w:val="350 ha"/>
        </w:smartTagPr>
        <w:r w:rsidRPr="00E43137">
          <w:rPr>
            <w:rFonts w:ascii="Calibri" w:eastAsia="Calibri" w:hAnsi="Calibri"/>
            <w:szCs w:val="22"/>
            <w:lang w:eastAsia="en-US"/>
          </w:rPr>
          <w:t>350 ha</w:t>
        </w:r>
      </w:smartTag>
      <w:r w:rsidRPr="00E43137">
        <w:rPr>
          <w:rFonts w:ascii="Calibri" w:eastAsia="Calibri" w:hAnsi="Calibri"/>
          <w:szCs w:val="22"/>
          <w:lang w:eastAsia="en-US"/>
        </w:rPr>
        <w:t>), v roku 2011 len 0,003% využitej poľnohospodárskej pôdy (</w:t>
      </w:r>
      <w:smartTag w:uri="urn:schemas-microsoft-com:office:smarttags" w:element="metricconverter">
        <w:smartTagPr>
          <w:attr w:name="ProductID" w:val="66 ha"/>
        </w:smartTagPr>
        <w:r w:rsidRPr="00E43137">
          <w:rPr>
            <w:rFonts w:ascii="Calibri" w:eastAsia="Calibri" w:hAnsi="Calibri"/>
            <w:szCs w:val="22"/>
            <w:lang w:eastAsia="en-US"/>
          </w:rPr>
          <w:t>66 ha</w:t>
        </w:r>
      </w:smartTag>
      <w:r w:rsidRPr="00E43137">
        <w:rPr>
          <w:rFonts w:ascii="Calibri" w:eastAsia="Calibri" w:hAnsi="Calibri"/>
          <w:szCs w:val="22"/>
          <w:lang w:eastAsia="en-US"/>
        </w:rPr>
        <w:t>).</w:t>
      </w:r>
      <w:r>
        <w:rPr>
          <w:rFonts w:ascii="Calibri" w:eastAsia="Calibri" w:hAnsi="Calibri"/>
          <w:szCs w:val="22"/>
          <w:lang w:eastAsia="en-US"/>
        </w:rPr>
        <w:t xml:space="preserve"> </w:t>
      </w:r>
      <w:r w:rsidRPr="008F2790">
        <w:rPr>
          <w:color w:val="222222"/>
          <w:szCs w:val="22"/>
        </w:rPr>
        <w:t>Centrálny register plôch porastov rýchlorastúcich drevín za rok 2012 evidoval výmeru 240 ha RRD (0,012% z využitej poľnohospodárskej pôdy).</w:t>
      </w:r>
    </w:p>
    <w:p w:rsidR="00242C36" w:rsidRPr="00E43137" w:rsidRDefault="00242C36" w:rsidP="00242C36">
      <w:pPr>
        <w:pBdr>
          <w:bar w:val="single" w:sz="6" w:color="808080"/>
        </w:pBdr>
        <w:rPr>
          <w:rFonts w:ascii="Calibri" w:eastAsia="Calibri" w:hAnsi="Calibri"/>
          <w:szCs w:val="22"/>
          <w:lang w:eastAsia="en-US"/>
        </w:rPr>
      </w:pPr>
      <w:r w:rsidRPr="00E43137">
        <w:rPr>
          <w:rFonts w:ascii="Calibri" w:eastAsia="Calibri" w:hAnsi="Calibri"/>
          <w:szCs w:val="22"/>
          <w:lang w:eastAsia="en-US"/>
        </w:rPr>
        <w:t xml:space="preserve">K  efektívnemu využitiu biomasy, predovšetkým odpadovej, patrí </w:t>
      </w:r>
      <w:r w:rsidRPr="00E43137">
        <w:rPr>
          <w:rFonts w:ascii="Calibri" w:eastAsia="Calibri" w:hAnsi="Calibri"/>
          <w:b/>
          <w:szCs w:val="22"/>
          <w:lang w:eastAsia="en-US"/>
        </w:rPr>
        <w:t>prevádzkovanie bioplynových staníc</w:t>
      </w:r>
      <w:r w:rsidRPr="00E43137">
        <w:rPr>
          <w:rFonts w:ascii="Calibri" w:eastAsia="Calibri" w:hAnsi="Calibri"/>
          <w:szCs w:val="22"/>
          <w:lang w:eastAsia="en-US"/>
        </w:rPr>
        <w:t xml:space="preserve"> (BPS). Ich výstavba však na Slovensku napreduje pomalšie ako sa pôvodne plánovalo. Na Slovensku sa počítalo s každoročnou výstavbou 15 BPS s priemerným výkonom 500 KW elektrickej energie, pričom do konca roku 2013 malo pribudnúť asi 105 BPS</w:t>
      </w:r>
      <w:r w:rsidRPr="00185424">
        <w:rPr>
          <w:rFonts w:eastAsia="Calibri"/>
          <w:szCs w:val="22"/>
          <w:lang w:eastAsia="en-US"/>
        </w:rPr>
        <w:t xml:space="preserve">. </w:t>
      </w:r>
      <w:r w:rsidRPr="00185424">
        <w:rPr>
          <w:color w:val="000000"/>
          <w:szCs w:val="22"/>
        </w:rPr>
        <w:t>Na základe zatiaľ neúplných údajov z ÚRSO bolo k</w:t>
      </w:r>
      <w:r w:rsidRPr="00185424">
        <w:rPr>
          <w:bCs/>
          <w:szCs w:val="22"/>
        </w:rPr>
        <w:t>u koncu roka 2013 inštalovaných cca 75 BPS</w:t>
      </w:r>
      <w:r w:rsidRPr="00185424">
        <w:rPr>
          <w:color w:val="222222"/>
          <w:szCs w:val="22"/>
        </w:rPr>
        <w:t xml:space="preserve"> s celkovým výkonom 75,35 MW.</w:t>
      </w:r>
      <w:r w:rsidRPr="00185424">
        <w:rPr>
          <w:rFonts w:eastAsia="Calibri"/>
          <w:szCs w:val="22"/>
          <w:lang w:eastAsia="en-US"/>
        </w:rPr>
        <w:t xml:space="preserve"> Jednou z príčin pomalšieho napredovania výstavby BPS je aj</w:t>
      </w:r>
      <w:r w:rsidRPr="00185424">
        <w:rPr>
          <w:rFonts w:ascii="Calibri" w:eastAsia="Calibri" w:hAnsi="Calibri"/>
          <w:szCs w:val="22"/>
          <w:lang w:eastAsia="en-US"/>
        </w:rPr>
        <w:t xml:space="preserve"> nedostatok</w:t>
      </w:r>
      <w:r w:rsidRPr="00E43137">
        <w:rPr>
          <w:rFonts w:ascii="Calibri" w:eastAsia="Calibri" w:hAnsi="Calibri"/>
          <w:szCs w:val="22"/>
          <w:lang w:eastAsia="en-US"/>
        </w:rPr>
        <w:t xml:space="preserve"> finančných prostriedkov. </w:t>
      </w:r>
    </w:p>
    <w:p w:rsidR="00242C36" w:rsidRPr="00E43137" w:rsidRDefault="00242C36" w:rsidP="00366F96">
      <w:pPr>
        <w:pBdr>
          <w:bar w:val="single" w:sz="6" w:color="808080"/>
        </w:pBdr>
        <w:spacing w:after="120"/>
        <w:rPr>
          <w:rFonts w:ascii="Calibri" w:eastAsia="Calibri" w:hAnsi="Calibri"/>
          <w:szCs w:val="22"/>
          <w:lang w:eastAsia="en-US"/>
        </w:rPr>
      </w:pPr>
      <w:r w:rsidRPr="00E43137">
        <w:rPr>
          <w:rFonts w:ascii="Calibri" w:eastAsia="Calibri" w:hAnsi="Calibri"/>
          <w:szCs w:val="22"/>
          <w:lang w:eastAsia="en-US"/>
        </w:rPr>
        <w:t xml:space="preserve">V BPS by mala byť prednostne spracovávaná odpadová biomasa živočíšneho pôvodu. Vzhľadom na súčasný disponibilný materiál zo živočíšnej výroby by bolo možné na Slovensku vybudovať až 280 BPS.  </w:t>
      </w:r>
    </w:p>
    <w:p w:rsidR="00242C36" w:rsidRPr="00E43137" w:rsidRDefault="00242C36" w:rsidP="00366F96">
      <w:pPr>
        <w:pBdr>
          <w:bar w:val="single" w:sz="6" w:color="808080"/>
        </w:pBdr>
        <w:spacing w:after="120"/>
        <w:rPr>
          <w:rFonts w:ascii="Calibri" w:eastAsia="Calibri" w:hAnsi="Calibri"/>
          <w:szCs w:val="22"/>
          <w:lang w:eastAsia="en-US"/>
        </w:rPr>
      </w:pPr>
      <w:r w:rsidRPr="00E43137">
        <w:rPr>
          <w:rFonts w:ascii="Calibri" w:eastAsia="Calibri" w:hAnsi="Calibri"/>
          <w:szCs w:val="22"/>
          <w:lang w:eastAsia="en-US"/>
        </w:rPr>
        <w:t xml:space="preserve">V rámci PRV 2007-2013 v opatrení </w:t>
      </w:r>
      <w:r w:rsidRPr="00E43137">
        <w:rPr>
          <w:rFonts w:ascii="Calibri" w:eastAsia="Calibri" w:hAnsi="Calibri"/>
          <w:bCs/>
          <w:szCs w:val="22"/>
          <w:lang w:eastAsia="en-US"/>
        </w:rPr>
        <w:t>Diverzifikácia smerom k nepoľnohospodárskym činnostiam bola podporená doplnková výroba nepoľnohospodárskeho charakteru, vrátane využívania OZE</w:t>
      </w:r>
      <w:r w:rsidRPr="00E43137">
        <w:rPr>
          <w:rFonts w:ascii="Calibri" w:eastAsia="Calibri" w:hAnsi="Calibri"/>
          <w:szCs w:val="22"/>
          <w:lang w:eastAsia="en-US"/>
        </w:rPr>
        <w:t xml:space="preserve"> a schválených bolo </w:t>
      </w:r>
      <w:r w:rsidRPr="00E43137">
        <w:rPr>
          <w:rFonts w:ascii="Calibri" w:eastAsia="Calibri" w:hAnsi="Calibri"/>
          <w:b/>
          <w:szCs w:val="22"/>
          <w:lang w:eastAsia="en-US"/>
        </w:rPr>
        <w:t>24 projektov na výstavbu bioplynových staníc</w:t>
      </w:r>
      <w:r w:rsidRPr="00E43137">
        <w:rPr>
          <w:rFonts w:ascii="Calibri" w:eastAsia="Calibri" w:hAnsi="Calibri"/>
          <w:szCs w:val="22"/>
          <w:lang w:eastAsia="en-US"/>
        </w:rPr>
        <w:t xml:space="preserve"> (BPS). </w:t>
      </w:r>
    </w:p>
    <w:p w:rsidR="00242C36" w:rsidRPr="00E43137" w:rsidRDefault="00242C36" w:rsidP="00366F96">
      <w:pPr>
        <w:pBdr>
          <w:bar w:val="single" w:sz="6" w:color="808080"/>
        </w:pBdr>
        <w:spacing w:after="120"/>
        <w:rPr>
          <w:rFonts w:ascii="Calibri" w:eastAsia="Calibri" w:hAnsi="Calibri"/>
          <w:szCs w:val="22"/>
          <w:lang w:eastAsia="en-US"/>
        </w:rPr>
      </w:pPr>
      <w:r w:rsidRPr="00E43137">
        <w:rPr>
          <w:rFonts w:ascii="Calibri" w:eastAsia="Calibri" w:hAnsi="Calibri"/>
          <w:szCs w:val="22"/>
          <w:lang w:eastAsia="en-US"/>
        </w:rPr>
        <w:t xml:space="preserve">V máji 2011 prijatý zákon č.136/2011 Z.z., </w:t>
      </w:r>
      <w:r w:rsidRPr="00E43137">
        <w:rPr>
          <w:rFonts w:ascii="Calibri" w:eastAsia="Calibri" w:hAnsi="Calibri"/>
          <w:bCs/>
          <w:szCs w:val="22"/>
          <w:lang w:eastAsia="en-US"/>
        </w:rPr>
        <w:t xml:space="preserve">ktorým </w:t>
      </w:r>
      <w:r w:rsidRPr="00E43137">
        <w:rPr>
          <w:rFonts w:ascii="Calibri" w:eastAsia="Calibri" w:hAnsi="Calibri"/>
          <w:szCs w:val="22"/>
          <w:lang w:eastAsia="en-US"/>
        </w:rPr>
        <w:t xml:space="preserve">sa mení a dopĺňa zákon č. 309/2009 Z. z. o podpore obnoviteľných zdrojov energie a vysoko účinnej kombinovanej výroby. V tomto zákone je zakotvená aj podpora produkcie biometánu. </w:t>
      </w:r>
    </w:p>
    <w:p w:rsidR="00242C36" w:rsidRPr="00E43137" w:rsidRDefault="00242C36" w:rsidP="00242C36">
      <w:pPr>
        <w:pBdr>
          <w:bar w:val="single" w:sz="6" w:color="808080"/>
        </w:pBdr>
        <w:rPr>
          <w:rFonts w:ascii="Calibri" w:hAnsi="Calibri"/>
        </w:rPr>
      </w:pPr>
      <w:r>
        <w:rPr>
          <w:rFonts w:ascii="Calibri" w:eastAsia="Calibri" w:hAnsi="Calibri"/>
          <w:szCs w:val="22"/>
          <w:lang w:eastAsia="en-US"/>
        </w:rPr>
        <w:t>P</w:t>
      </w:r>
      <w:r w:rsidRPr="00E43137">
        <w:rPr>
          <w:rFonts w:ascii="Calibri" w:eastAsia="Calibri" w:hAnsi="Calibri"/>
          <w:szCs w:val="22"/>
          <w:lang w:eastAsia="en-US"/>
        </w:rPr>
        <w:t xml:space="preserve">rijatie zákona č.309/2009 Z.z. </w:t>
      </w:r>
      <w:r w:rsidRPr="00E43137">
        <w:rPr>
          <w:rFonts w:ascii="Calibri" w:eastAsia="Calibri" w:hAnsi="Calibri"/>
          <w:i/>
          <w:iCs/>
          <w:szCs w:val="22"/>
          <w:lang w:eastAsia="en-US"/>
        </w:rPr>
        <w:t>o podpore obnoviteľných zdrojov energie a vysoko účinnej kombinovanej výroby a o zmene a doplnení niektorých zákonov</w:t>
      </w:r>
      <w:r>
        <w:rPr>
          <w:rFonts w:ascii="Calibri" w:eastAsia="Calibri" w:hAnsi="Calibri"/>
          <w:iCs/>
          <w:szCs w:val="22"/>
          <w:lang w:eastAsia="en-US"/>
        </w:rPr>
        <w:t xml:space="preserve"> </w:t>
      </w:r>
      <w:r w:rsidRPr="00E43137">
        <w:rPr>
          <w:rFonts w:ascii="Calibri" w:eastAsia="Calibri" w:hAnsi="Calibri"/>
          <w:i/>
          <w:iCs/>
          <w:szCs w:val="22"/>
          <w:lang w:eastAsia="en-US"/>
        </w:rPr>
        <w:t xml:space="preserve"> </w:t>
      </w:r>
      <w:r w:rsidRPr="00E43137">
        <w:rPr>
          <w:rFonts w:ascii="Calibri" w:eastAsia="Calibri" w:hAnsi="Calibri"/>
          <w:szCs w:val="22"/>
          <w:lang w:eastAsia="en-US"/>
        </w:rPr>
        <w:t>napomohlo k zlepšeniu fungovania trhu s elektrinou v oblasti obnoviteľných zdrojov energie a vytvoreniu stabilného podnikateľského prostredia. Prijatý zákon tiež zabezpečil dlhodobú garanciu výkupných cien na 15 rokov a zvýhodnil výstavbu malých zariadení, ktoré využívajú lokálne obnoviteľné zdroje energie. V tejto súvislosti vzrástol aj záujem o budovanie menších BPS.</w:t>
      </w:r>
    </w:p>
    <w:p w:rsidR="00242C36" w:rsidRDefault="00242C36" w:rsidP="00242C36">
      <w:pPr>
        <w:keepNext/>
        <w:keepLines/>
        <w:pBdr>
          <w:bar w:val="single" w:sz="6" w:color="808080"/>
        </w:pBdr>
        <w:spacing w:after="120"/>
        <w:outlineLvl w:val="1"/>
        <w:rPr>
          <w:rFonts w:ascii="Calibri" w:hAnsi="Calibri"/>
          <w:b/>
          <w:bCs/>
          <w:szCs w:val="22"/>
        </w:rPr>
      </w:pPr>
    </w:p>
    <w:p w:rsidR="00242C36" w:rsidRPr="00E43137" w:rsidRDefault="00242C36" w:rsidP="00242C36">
      <w:pPr>
        <w:keepNext/>
        <w:keepLines/>
        <w:pBdr>
          <w:bar w:val="single" w:sz="6" w:color="808080"/>
        </w:pBdr>
        <w:spacing w:after="120"/>
        <w:outlineLvl w:val="1"/>
        <w:rPr>
          <w:rFonts w:ascii="Calibri" w:hAnsi="Calibri"/>
          <w:b/>
          <w:bCs/>
          <w:szCs w:val="22"/>
        </w:rPr>
      </w:pPr>
      <w:r w:rsidRPr="00E43137">
        <w:rPr>
          <w:rFonts w:ascii="Calibri" w:hAnsi="Calibri"/>
          <w:b/>
          <w:bCs/>
          <w:szCs w:val="22"/>
        </w:rPr>
        <w:t>Využitie energie v poľnohospodárstve, lesníctve a potravinárstve</w:t>
      </w:r>
    </w:p>
    <w:p w:rsidR="00242C36" w:rsidRPr="001F01DD" w:rsidRDefault="00242C36" w:rsidP="00366F96">
      <w:pPr>
        <w:autoSpaceDE w:val="0"/>
        <w:autoSpaceDN w:val="0"/>
        <w:adjustRightInd w:val="0"/>
        <w:spacing w:after="120"/>
        <w:rPr>
          <w:rFonts w:cs="Arial Narrow"/>
          <w:szCs w:val="22"/>
        </w:rPr>
      </w:pPr>
      <w:r w:rsidRPr="001F01DD">
        <w:rPr>
          <w:szCs w:val="22"/>
        </w:rPr>
        <w:t xml:space="preserve">Na plnenie v súčasnosti navrhovaných ambicióznych cieľov EÚ do roku 2030 SR nebudú stačiť redukcie emisií skleníkových plynov v ETS. </w:t>
      </w:r>
      <w:r w:rsidRPr="001F01DD">
        <w:rPr>
          <w:rFonts w:cs="Arial Narrow"/>
          <w:szCs w:val="22"/>
        </w:rPr>
        <w:t xml:space="preserve">Od roku 2013 má SR podľa Národného programu reforiem Slovenskej republiky 2013 (apríl 2013, MF SR) presne stanovenú emisnú trajektóriu do roku 2020 aj pre sektory mimo schémy obchodovania s ročnou cieľovou hodnotou vypustených emisií. Na jej plnenie bude nevyhnutné realizovať významné redukčné opatrenia aj v ďalších sektoroch, najmä dopravy, poľnohospodárstva a budov. Prehľad redukčného potenciálu rôznych opatrení a odhadovaných nákladov na ich realizáciu bude obsahovať Nízko-uhlíková stratégia rozvoja do roku 2030 vrátane dopadovej štúdie. </w:t>
      </w:r>
    </w:p>
    <w:p w:rsidR="00242C36" w:rsidRPr="001F01DD" w:rsidRDefault="00242C36" w:rsidP="00242C36">
      <w:pPr>
        <w:autoSpaceDE w:val="0"/>
        <w:autoSpaceDN w:val="0"/>
        <w:adjustRightInd w:val="0"/>
        <w:rPr>
          <w:rFonts w:cs="Arial Narrow"/>
          <w:szCs w:val="22"/>
        </w:rPr>
      </w:pPr>
      <w:r w:rsidRPr="001F01DD">
        <w:rPr>
          <w:rFonts w:cs="Arial Narrow"/>
          <w:szCs w:val="22"/>
        </w:rPr>
        <w:t xml:space="preserve">Slovensko implementuje smernicu EÚ o energetickej efektívnosti, ktorá podľa Národného programu reforiem Slovenskej republiky 2013 a 2014 (MF SR) má </w:t>
      </w:r>
      <w:r>
        <w:rPr>
          <w:rFonts w:cs="Arial Narrow"/>
          <w:szCs w:val="22"/>
        </w:rPr>
        <w:t xml:space="preserve">za </w:t>
      </w:r>
      <w:r w:rsidRPr="001F01DD">
        <w:rPr>
          <w:rFonts w:cs="Arial Narrow"/>
          <w:szCs w:val="22"/>
        </w:rPr>
        <w:t xml:space="preserve">cieľ dosiahnuť do roku 2020 zníženie primárnej spotreby energie o 20 %. Úspora sa bude týkať všetkých oblastí spotreby energie, vrátane premeny, prenosu a distribúcie energie. </w:t>
      </w:r>
    </w:p>
    <w:p w:rsidR="00242C36" w:rsidRPr="008F198F" w:rsidRDefault="00242C36" w:rsidP="00242C36">
      <w:pPr>
        <w:autoSpaceDE w:val="0"/>
        <w:autoSpaceDN w:val="0"/>
        <w:adjustRightInd w:val="0"/>
        <w:rPr>
          <w:rFonts w:ascii="Arial Narrow,Bold" w:hAnsi="Arial Narrow,Bold" w:cs="Arial Narrow,Bold"/>
          <w:b/>
          <w:bCs/>
          <w:color w:val="FFFFFF"/>
          <w:sz w:val="18"/>
          <w:szCs w:val="18"/>
        </w:rPr>
      </w:pPr>
      <w:r>
        <w:rPr>
          <w:rFonts w:ascii="Arial Narrow,Bold" w:hAnsi="Arial Narrow,Bold" w:cs="Arial Narrow,Bold"/>
          <w:b/>
          <w:bCs/>
          <w:color w:val="FFFFFF"/>
          <w:sz w:val="18"/>
          <w:szCs w:val="18"/>
        </w:rPr>
        <w:t xml:space="preserve"> </w:t>
      </w:r>
      <w:r w:rsidRPr="001E3BEA">
        <w:rPr>
          <w:rFonts w:cs="Arial Narrow,Bold"/>
          <w:b/>
          <w:bCs/>
          <w:color w:val="FFFFFF"/>
          <w:szCs w:val="22"/>
        </w:rPr>
        <w:t>indikatívne ciele energetickej efektívnosti SR</w:t>
      </w:r>
    </w:p>
    <w:tbl>
      <w:tblPr>
        <w:tblStyle w:val="Mriekatabuky"/>
        <w:tblW w:w="0" w:type="auto"/>
        <w:tblLook w:val="04A0" w:firstRow="1" w:lastRow="0" w:firstColumn="1" w:lastColumn="0" w:noHBand="0" w:noVBand="1"/>
      </w:tblPr>
      <w:tblGrid>
        <w:gridCol w:w="6912"/>
        <w:gridCol w:w="2195"/>
      </w:tblGrid>
      <w:tr w:rsidR="00242C36" w:rsidRPr="001E3BEA" w:rsidTr="00CC6591">
        <w:trPr>
          <w:trHeight w:val="351"/>
        </w:trPr>
        <w:tc>
          <w:tcPr>
            <w:tcW w:w="6912" w:type="dxa"/>
            <w:tcBorders>
              <w:bottom w:val="dotted" w:sz="4" w:space="0" w:color="auto"/>
            </w:tcBorders>
            <w:vAlign w:val="center"/>
          </w:tcPr>
          <w:p w:rsidR="00242C36" w:rsidRPr="001E3BEA" w:rsidRDefault="00242C36" w:rsidP="00CC6591">
            <w:pPr>
              <w:autoSpaceDE w:val="0"/>
              <w:autoSpaceDN w:val="0"/>
              <w:adjustRightInd w:val="0"/>
              <w:jc w:val="left"/>
              <w:rPr>
                <w:rFonts w:cs="Arial Narrow,Bold"/>
                <w:bCs/>
                <w:color w:val="FFFFFF"/>
                <w:sz w:val="18"/>
                <w:szCs w:val="18"/>
              </w:rPr>
            </w:pPr>
            <w:r w:rsidRPr="001E3BEA">
              <w:rPr>
                <w:rFonts w:cs="Arial Narrow,Bold"/>
                <w:bCs/>
                <w:color w:val="000000"/>
                <w:sz w:val="18"/>
                <w:szCs w:val="18"/>
              </w:rPr>
              <w:t xml:space="preserve">Úspory energie vyjadrené v konečnej spotrebe energie za obdobie rokov 2014 </w:t>
            </w:r>
            <w:r w:rsidRPr="001E3BEA">
              <w:rPr>
                <w:rFonts w:cs="Arial Narrow"/>
                <w:color w:val="000000"/>
                <w:sz w:val="18"/>
                <w:szCs w:val="18"/>
              </w:rPr>
              <w:t xml:space="preserve">– </w:t>
            </w:r>
            <w:r w:rsidRPr="001E3BEA">
              <w:rPr>
                <w:rFonts w:cs="Arial Narrow,Bold"/>
                <w:bCs/>
                <w:color w:val="000000"/>
                <w:sz w:val="18"/>
                <w:szCs w:val="18"/>
              </w:rPr>
              <w:t>2020</w:t>
            </w:r>
          </w:p>
        </w:tc>
        <w:tc>
          <w:tcPr>
            <w:tcW w:w="2195" w:type="dxa"/>
            <w:tcBorders>
              <w:bottom w:val="dotted" w:sz="4" w:space="0" w:color="auto"/>
            </w:tcBorders>
            <w:vAlign w:val="center"/>
          </w:tcPr>
          <w:p w:rsidR="00242C36" w:rsidRPr="001E3BEA" w:rsidRDefault="00242C36" w:rsidP="00CC6591">
            <w:pPr>
              <w:autoSpaceDE w:val="0"/>
              <w:autoSpaceDN w:val="0"/>
              <w:adjustRightInd w:val="0"/>
              <w:jc w:val="left"/>
              <w:rPr>
                <w:rFonts w:cs="Arial Narrow"/>
                <w:color w:val="000000"/>
                <w:sz w:val="18"/>
                <w:szCs w:val="18"/>
              </w:rPr>
            </w:pPr>
            <w:r w:rsidRPr="001E3BEA">
              <w:rPr>
                <w:rFonts w:cs="Arial Narrow"/>
                <w:color w:val="000000"/>
                <w:sz w:val="18"/>
                <w:szCs w:val="18"/>
              </w:rPr>
              <w:t>130,69 PJ (3,12 Mtoe)</w:t>
            </w:r>
          </w:p>
          <w:p w:rsidR="00242C36" w:rsidRPr="001E3BEA" w:rsidRDefault="00242C36" w:rsidP="00CC6591">
            <w:pPr>
              <w:autoSpaceDE w:val="0"/>
              <w:autoSpaceDN w:val="0"/>
              <w:adjustRightInd w:val="0"/>
              <w:jc w:val="left"/>
              <w:rPr>
                <w:rFonts w:cs="Arial Narrow,Bold"/>
                <w:bCs/>
                <w:color w:val="FFFFFF"/>
                <w:sz w:val="18"/>
                <w:szCs w:val="18"/>
              </w:rPr>
            </w:pPr>
          </w:p>
        </w:tc>
      </w:tr>
      <w:tr w:rsidR="00242C36" w:rsidRPr="001E3BEA" w:rsidTr="00CC6591">
        <w:trPr>
          <w:trHeight w:val="366"/>
        </w:trPr>
        <w:tc>
          <w:tcPr>
            <w:tcW w:w="6912" w:type="dxa"/>
            <w:tcBorders>
              <w:top w:val="dotted" w:sz="4" w:space="0" w:color="auto"/>
              <w:bottom w:val="single" w:sz="4" w:space="0" w:color="auto"/>
            </w:tcBorders>
            <w:vAlign w:val="center"/>
          </w:tcPr>
          <w:p w:rsidR="00242C36" w:rsidRPr="001E3BEA" w:rsidRDefault="00242C36" w:rsidP="00CC6591">
            <w:pPr>
              <w:autoSpaceDE w:val="0"/>
              <w:autoSpaceDN w:val="0"/>
              <w:adjustRightInd w:val="0"/>
              <w:jc w:val="left"/>
              <w:rPr>
                <w:rFonts w:cs="Arial Narrow,Bold"/>
                <w:bCs/>
                <w:color w:val="000000"/>
                <w:sz w:val="18"/>
                <w:szCs w:val="18"/>
              </w:rPr>
            </w:pPr>
            <w:r w:rsidRPr="001E3BEA">
              <w:rPr>
                <w:rFonts w:cs="Arial Narrow,Bold"/>
                <w:bCs/>
                <w:color w:val="000000"/>
                <w:sz w:val="18"/>
                <w:szCs w:val="18"/>
              </w:rPr>
              <w:t>Cieľ energetickej efektívnosti vyjadrený v absolútnej hodnote konečnej spotreby</w:t>
            </w:r>
          </w:p>
          <w:p w:rsidR="00242C36" w:rsidRPr="001E3BEA" w:rsidRDefault="00242C36" w:rsidP="00CC6591">
            <w:pPr>
              <w:autoSpaceDE w:val="0"/>
              <w:autoSpaceDN w:val="0"/>
              <w:adjustRightInd w:val="0"/>
              <w:jc w:val="left"/>
              <w:rPr>
                <w:rFonts w:cs="Arial Narrow,Bold"/>
                <w:bCs/>
                <w:color w:val="000000"/>
                <w:sz w:val="18"/>
                <w:szCs w:val="18"/>
              </w:rPr>
            </w:pPr>
            <w:r w:rsidRPr="001E3BEA">
              <w:rPr>
                <w:rFonts w:cs="Arial Narrow,Bold"/>
                <w:bCs/>
                <w:color w:val="000000"/>
                <w:sz w:val="18"/>
                <w:szCs w:val="18"/>
              </w:rPr>
              <w:t>energie v roku 2020</w:t>
            </w:r>
          </w:p>
        </w:tc>
        <w:tc>
          <w:tcPr>
            <w:tcW w:w="2195" w:type="dxa"/>
            <w:tcBorders>
              <w:top w:val="dotted" w:sz="4" w:space="0" w:color="auto"/>
              <w:bottom w:val="single" w:sz="4" w:space="0" w:color="auto"/>
            </w:tcBorders>
            <w:vAlign w:val="center"/>
          </w:tcPr>
          <w:p w:rsidR="00242C36" w:rsidRPr="001E3BEA" w:rsidRDefault="00242C36" w:rsidP="00CC6591">
            <w:pPr>
              <w:autoSpaceDE w:val="0"/>
              <w:autoSpaceDN w:val="0"/>
              <w:adjustRightInd w:val="0"/>
              <w:jc w:val="left"/>
              <w:rPr>
                <w:rFonts w:cs="Arial Narrow"/>
                <w:color w:val="000000"/>
                <w:sz w:val="18"/>
                <w:szCs w:val="18"/>
              </w:rPr>
            </w:pPr>
            <w:r w:rsidRPr="001E3BEA">
              <w:rPr>
                <w:rFonts w:cs="Arial Narrow"/>
                <w:color w:val="000000"/>
                <w:sz w:val="18"/>
                <w:szCs w:val="18"/>
              </w:rPr>
              <w:t>435,09 PJ (10,39 Mtoe)</w:t>
            </w:r>
          </w:p>
          <w:p w:rsidR="00242C36" w:rsidRPr="001E3BEA" w:rsidRDefault="00242C36" w:rsidP="00CC6591">
            <w:pPr>
              <w:autoSpaceDE w:val="0"/>
              <w:autoSpaceDN w:val="0"/>
              <w:adjustRightInd w:val="0"/>
              <w:jc w:val="left"/>
              <w:rPr>
                <w:rFonts w:cs="Arial Narrow,Bold"/>
                <w:bCs/>
                <w:color w:val="FFFFFF"/>
                <w:sz w:val="18"/>
                <w:szCs w:val="18"/>
              </w:rPr>
            </w:pPr>
          </w:p>
        </w:tc>
      </w:tr>
      <w:tr w:rsidR="00242C36" w:rsidRPr="001E3BEA" w:rsidTr="00CC6591">
        <w:trPr>
          <w:trHeight w:val="351"/>
        </w:trPr>
        <w:tc>
          <w:tcPr>
            <w:tcW w:w="6912" w:type="dxa"/>
            <w:tcBorders>
              <w:bottom w:val="dotted" w:sz="4" w:space="0" w:color="auto"/>
            </w:tcBorders>
            <w:vAlign w:val="center"/>
          </w:tcPr>
          <w:p w:rsidR="00242C36" w:rsidRPr="001E3BEA" w:rsidRDefault="00242C36" w:rsidP="00CC6591">
            <w:pPr>
              <w:autoSpaceDE w:val="0"/>
              <w:autoSpaceDN w:val="0"/>
              <w:adjustRightInd w:val="0"/>
              <w:jc w:val="left"/>
              <w:rPr>
                <w:rFonts w:cs="Arial Narrow,Bold"/>
                <w:bCs/>
                <w:color w:val="000000"/>
                <w:sz w:val="18"/>
                <w:szCs w:val="18"/>
              </w:rPr>
            </w:pPr>
            <w:r w:rsidRPr="001E3BEA">
              <w:rPr>
                <w:rFonts w:cs="Arial Narrow,Bold"/>
                <w:bCs/>
                <w:color w:val="000000"/>
                <w:sz w:val="18"/>
                <w:szCs w:val="18"/>
              </w:rPr>
              <w:t>Cieľ energetickej efektívnosti vyjadrený v absolútnej hodnote primárnej spotreby</w:t>
            </w:r>
          </w:p>
          <w:p w:rsidR="00242C36" w:rsidRPr="001E3BEA" w:rsidRDefault="00242C36" w:rsidP="00CC6591">
            <w:pPr>
              <w:autoSpaceDE w:val="0"/>
              <w:autoSpaceDN w:val="0"/>
              <w:adjustRightInd w:val="0"/>
              <w:jc w:val="left"/>
              <w:rPr>
                <w:rFonts w:cs="Arial Narrow,Bold"/>
                <w:bCs/>
                <w:color w:val="000000"/>
                <w:sz w:val="18"/>
                <w:szCs w:val="18"/>
              </w:rPr>
            </w:pPr>
            <w:r w:rsidRPr="001E3BEA">
              <w:rPr>
                <w:rFonts w:cs="Arial Narrow,Bold"/>
                <w:bCs/>
                <w:color w:val="000000"/>
                <w:sz w:val="18"/>
                <w:szCs w:val="18"/>
              </w:rPr>
              <w:t>energie v roku 2020</w:t>
            </w:r>
          </w:p>
        </w:tc>
        <w:tc>
          <w:tcPr>
            <w:tcW w:w="2195" w:type="dxa"/>
            <w:tcBorders>
              <w:bottom w:val="dotted" w:sz="4" w:space="0" w:color="auto"/>
            </w:tcBorders>
            <w:vAlign w:val="center"/>
          </w:tcPr>
          <w:p w:rsidR="00242C36" w:rsidRPr="001E3BEA" w:rsidRDefault="00242C36" w:rsidP="00CC6591">
            <w:pPr>
              <w:autoSpaceDE w:val="0"/>
              <w:autoSpaceDN w:val="0"/>
              <w:adjustRightInd w:val="0"/>
              <w:jc w:val="left"/>
              <w:rPr>
                <w:rFonts w:cs="Arial Narrow"/>
                <w:color w:val="000000"/>
                <w:sz w:val="18"/>
                <w:szCs w:val="18"/>
              </w:rPr>
            </w:pPr>
            <w:r w:rsidRPr="001E3BEA">
              <w:rPr>
                <w:rFonts w:cs="Arial Narrow"/>
                <w:color w:val="000000"/>
                <w:sz w:val="18"/>
                <w:szCs w:val="18"/>
              </w:rPr>
              <w:t>680,62 PJ (16,2 Mtoe)</w:t>
            </w:r>
          </w:p>
          <w:p w:rsidR="00242C36" w:rsidRPr="001E3BEA" w:rsidRDefault="00242C36" w:rsidP="00CC6591">
            <w:pPr>
              <w:autoSpaceDE w:val="0"/>
              <w:autoSpaceDN w:val="0"/>
              <w:adjustRightInd w:val="0"/>
              <w:jc w:val="left"/>
              <w:rPr>
                <w:rFonts w:cs="Arial Narrow,Bold"/>
                <w:bCs/>
                <w:color w:val="FFFFFF"/>
                <w:sz w:val="18"/>
                <w:szCs w:val="18"/>
              </w:rPr>
            </w:pPr>
          </w:p>
        </w:tc>
      </w:tr>
      <w:tr w:rsidR="00242C36" w:rsidRPr="001E3BEA" w:rsidTr="00CC6591">
        <w:trPr>
          <w:trHeight w:val="227"/>
        </w:trPr>
        <w:tc>
          <w:tcPr>
            <w:tcW w:w="6912" w:type="dxa"/>
            <w:tcBorders>
              <w:top w:val="dotted" w:sz="4" w:space="0" w:color="auto"/>
            </w:tcBorders>
            <w:vAlign w:val="center"/>
          </w:tcPr>
          <w:p w:rsidR="00242C36" w:rsidRPr="001E3BEA" w:rsidRDefault="00242C36" w:rsidP="00CC6591">
            <w:pPr>
              <w:autoSpaceDE w:val="0"/>
              <w:autoSpaceDN w:val="0"/>
              <w:adjustRightInd w:val="0"/>
              <w:jc w:val="left"/>
              <w:rPr>
                <w:rFonts w:cs="Arial Narrow,Bold"/>
                <w:bCs/>
                <w:color w:val="FFFFFF"/>
                <w:sz w:val="18"/>
                <w:szCs w:val="18"/>
              </w:rPr>
            </w:pPr>
            <w:r w:rsidRPr="001E3BEA">
              <w:rPr>
                <w:rFonts w:cs="Arial Narrow,Bold"/>
                <w:bCs/>
                <w:color w:val="000000"/>
                <w:sz w:val="18"/>
                <w:szCs w:val="18"/>
              </w:rPr>
              <w:t>Cieľ energetickej efektívnosti v % vyjadrený vo forme konečnej spotreby energie</w:t>
            </w:r>
          </w:p>
        </w:tc>
        <w:tc>
          <w:tcPr>
            <w:tcW w:w="2195" w:type="dxa"/>
            <w:tcBorders>
              <w:top w:val="dotted" w:sz="4" w:space="0" w:color="auto"/>
            </w:tcBorders>
            <w:vAlign w:val="center"/>
          </w:tcPr>
          <w:p w:rsidR="00242C36" w:rsidRPr="001E3BEA" w:rsidRDefault="00242C36" w:rsidP="00CC6591">
            <w:pPr>
              <w:autoSpaceDE w:val="0"/>
              <w:autoSpaceDN w:val="0"/>
              <w:adjustRightInd w:val="0"/>
              <w:jc w:val="left"/>
              <w:rPr>
                <w:rFonts w:cs="Arial Narrow"/>
                <w:color w:val="000000"/>
                <w:sz w:val="18"/>
                <w:szCs w:val="18"/>
              </w:rPr>
            </w:pPr>
            <w:r w:rsidRPr="001E3BEA">
              <w:rPr>
                <w:rFonts w:cs="Arial Narrow"/>
                <w:color w:val="000000"/>
                <w:sz w:val="18"/>
                <w:szCs w:val="18"/>
              </w:rPr>
              <w:t>23 % (3,12 Mtoe)</w:t>
            </w:r>
          </w:p>
          <w:p w:rsidR="00242C36" w:rsidRPr="001E3BEA" w:rsidRDefault="00242C36" w:rsidP="00CC6591">
            <w:pPr>
              <w:autoSpaceDE w:val="0"/>
              <w:autoSpaceDN w:val="0"/>
              <w:adjustRightInd w:val="0"/>
              <w:jc w:val="left"/>
              <w:rPr>
                <w:rFonts w:cs="Arial Narrow,Bold"/>
                <w:bCs/>
                <w:color w:val="FFFFFF"/>
                <w:sz w:val="18"/>
                <w:szCs w:val="18"/>
              </w:rPr>
            </w:pPr>
          </w:p>
        </w:tc>
      </w:tr>
      <w:tr w:rsidR="00242C36" w:rsidRPr="001E3BEA" w:rsidTr="00CC6591">
        <w:trPr>
          <w:trHeight w:val="364"/>
        </w:trPr>
        <w:tc>
          <w:tcPr>
            <w:tcW w:w="6912" w:type="dxa"/>
            <w:vAlign w:val="center"/>
          </w:tcPr>
          <w:p w:rsidR="00242C36" w:rsidRPr="001E3BEA" w:rsidRDefault="00242C36" w:rsidP="00CC6591">
            <w:pPr>
              <w:autoSpaceDE w:val="0"/>
              <w:autoSpaceDN w:val="0"/>
              <w:adjustRightInd w:val="0"/>
              <w:jc w:val="left"/>
              <w:rPr>
                <w:rFonts w:cs="Arial Narrow,Bold"/>
                <w:bCs/>
                <w:color w:val="FFFFFF"/>
                <w:sz w:val="18"/>
                <w:szCs w:val="18"/>
              </w:rPr>
            </w:pPr>
            <w:r w:rsidRPr="001E3BEA">
              <w:rPr>
                <w:rFonts w:cs="Arial Narrow,Bold"/>
                <w:bCs/>
                <w:color w:val="000000"/>
                <w:sz w:val="18"/>
                <w:szCs w:val="18"/>
              </w:rPr>
              <w:t>Cieľ energetickej efektívnosti v % vyjadrený vo forme primárnej spotreby energie</w:t>
            </w:r>
          </w:p>
        </w:tc>
        <w:tc>
          <w:tcPr>
            <w:tcW w:w="2195" w:type="dxa"/>
            <w:vAlign w:val="center"/>
          </w:tcPr>
          <w:p w:rsidR="00242C36" w:rsidRPr="001E3BEA" w:rsidRDefault="00242C36" w:rsidP="00CC6591">
            <w:pPr>
              <w:autoSpaceDE w:val="0"/>
              <w:autoSpaceDN w:val="0"/>
              <w:adjustRightInd w:val="0"/>
              <w:jc w:val="left"/>
              <w:rPr>
                <w:rFonts w:eastAsia="MS Mincho" w:cs="Arial"/>
                <w:szCs w:val="22"/>
                <w:lang w:eastAsia="en-US"/>
              </w:rPr>
            </w:pPr>
            <w:r w:rsidRPr="001E3BEA">
              <w:rPr>
                <w:rFonts w:cs="Arial Narrow"/>
                <w:color w:val="000000"/>
                <w:sz w:val="18"/>
                <w:szCs w:val="18"/>
              </w:rPr>
              <w:t>20 % (4,07 Mtoe)</w:t>
            </w:r>
          </w:p>
          <w:p w:rsidR="00242C36" w:rsidRPr="001E3BEA" w:rsidRDefault="00242C36" w:rsidP="00CC6591">
            <w:pPr>
              <w:autoSpaceDE w:val="0"/>
              <w:autoSpaceDN w:val="0"/>
              <w:adjustRightInd w:val="0"/>
              <w:jc w:val="left"/>
              <w:rPr>
                <w:rFonts w:cs="Arial Narrow,Bold"/>
                <w:bCs/>
                <w:color w:val="FFFFFF"/>
                <w:sz w:val="18"/>
                <w:szCs w:val="18"/>
              </w:rPr>
            </w:pPr>
          </w:p>
        </w:tc>
      </w:tr>
    </w:tbl>
    <w:p w:rsidR="00242C36" w:rsidRPr="00791C7A" w:rsidRDefault="00242C36" w:rsidP="00242C36">
      <w:pPr>
        <w:autoSpaceDE w:val="0"/>
        <w:autoSpaceDN w:val="0"/>
        <w:adjustRightInd w:val="0"/>
        <w:rPr>
          <w:rFonts w:cs="Arial Narrow,Bold"/>
          <w:bCs/>
          <w:color w:val="FFFFFF"/>
          <w:sz w:val="20"/>
          <w:szCs w:val="20"/>
        </w:rPr>
      </w:pPr>
      <w:r w:rsidRPr="00791C7A">
        <w:rPr>
          <w:rFonts w:cs="Arial Narrow,Bold"/>
          <w:bCs/>
          <w:color w:val="FFFFFF"/>
          <w:sz w:val="20"/>
          <w:szCs w:val="20"/>
        </w:rPr>
        <w:t xml:space="preserve">Zdroj: </w:t>
      </w:r>
      <w:r w:rsidRPr="00791C7A">
        <w:rPr>
          <w:rFonts w:cs="Arial Narrow"/>
          <w:sz w:val="20"/>
          <w:szCs w:val="20"/>
        </w:rPr>
        <w:t>Národný program reforiem Slovenskej republiky 2013 (apríl 2013, MF SR), s. 19.</w:t>
      </w:r>
    </w:p>
    <w:p w:rsidR="00242C36" w:rsidRDefault="00242C36" w:rsidP="00242C36">
      <w:pPr>
        <w:autoSpaceDE w:val="0"/>
        <w:autoSpaceDN w:val="0"/>
        <w:adjustRightInd w:val="0"/>
        <w:rPr>
          <w:rFonts w:ascii="Arial Narrow,Bold" w:hAnsi="Arial Narrow,Bold" w:cs="Arial Narrow,Bold"/>
          <w:b/>
          <w:bCs/>
          <w:color w:val="FFFFFF"/>
          <w:sz w:val="18"/>
          <w:szCs w:val="18"/>
        </w:rPr>
      </w:pPr>
    </w:p>
    <w:p w:rsidR="00242C36" w:rsidRPr="00E43137" w:rsidRDefault="00242C36" w:rsidP="00242C36">
      <w:pPr>
        <w:pBdr>
          <w:bar w:val="single" w:sz="6" w:color="808080"/>
        </w:pBdr>
        <w:spacing w:after="120"/>
        <w:rPr>
          <w:rFonts w:ascii="Calibri" w:eastAsia="Calibri" w:hAnsi="Calibri"/>
          <w:szCs w:val="22"/>
        </w:rPr>
      </w:pPr>
      <w:r w:rsidRPr="00E43137">
        <w:rPr>
          <w:rFonts w:ascii="Calibri" w:eastAsia="Calibri" w:hAnsi="Calibri"/>
          <w:szCs w:val="22"/>
          <w:lang w:eastAsia="en-US"/>
        </w:rPr>
        <w:t>Podľa údajov r. 2011 bolo v poľnohospodárstve a</w:t>
      </w:r>
      <w:r>
        <w:rPr>
          <w:rFonts w:ascii="Calibri" w:eastAsia="Calibri" w:hAnsi="Calibri"/>
          <w:szCs w:val="22"/>
          <w:lang w:eastAsia="en-US"/>
        </w:rPr>
        <w:t> </w:t>
      </w:r>
      <w:r w:rsidRPr="00E43137">
        <w:rPr>
          <w:rFonts w:ascii="Calibri" w:eastAsia="Calibri" w:hAnsi="Calibri"/>
          <w:szCs w:val="22"/>
          <w:lang w:eastAsia="en-US"/>
        </w:rPr>
        <w:t>lesníctve</w:t>
      </w:r>
      <w:r>
        <w:rPr>
          <w:rFonts w:ascii="Calibri" w:eastAsia="Calibri" w:hAnsi="Calibri"/>
          <w:szCs w:val="22"/>
          <w:lang w:eastAsia="en-US"/>
        </w:rPr>
        <w:t xml:space="preserve"> (CCI 44)</w:t>
      </w:r>
      <w:r w:rsidRPr="00E43137">
        <w:rPr>
          <w:rFonts w:ascii="Calibri" w:eastAsia="Calibri" w:hAnsi="Calibri"/>
          <w:szCs w:val="22"/>
          <w:lang w:eastAsia="en-US"/>
        </w:rPr>
        <w:t xml:space="preserve"> využitých 157 kToe energie, čo v prepočte na 1 ha využívanej p.p. znamená spotrebu 40,6 kg olejového ekvivalentu. V potravinárstve bola spotrebovaná energia 121 kToe. </w:t>
      </w:r>
      <w:r w:rsidRPr="00E43137">
        <w:rPr>
          <w:rFonts w:ascii="Calibri" w:eastAsia="Calibri" w:hAnsi="Calibri"/>
          <w:szCs w:val="22"/>
        </w:rPr>
        <w:t>Z hľadiska energetického využitia môžeme biomasu rozdeliť do troch základných skupín:</w:t>
      </w:r>
    </w:p>
    <w:p w:rsidR="00242C36" w:rsidRPr="00E43137" w:rsidRDefault="00242C36" w:rsidP="00366F96">
      <w:pPr>
        <w:numPr>
          <w:ilvl w:val="0"/>
          <w:numId w:val="5"/>
        </w:numPr>
        <w:pBdr>
          <w:bar w:val="single" w:sz="6" w:color="808080"/>
        </w:pBdr>
        <w:ind w:left="714" w:hanging="357"/>
        <w:rPr>
          <w:rFonts w:ascii="Calibri" w:eastAsia="Calibri" w:hAnsi="Calibri"/>
          <w:szCs w:val="22"/>
          <w:lang w:eastAsia="en-US"/>
        </w:rPr>
      </w:pPr>
      <w:r w:rsidRPr="00E43137">
        <w:rPr>
          <w:rFonts w:ascii="Calibri" w:eastAsia="Calibri" w:hAnsi="Calibri"/>
          <w:szCs w:val="22"/>
          <w:lang w:eastAsia="en-US"/>
        </w:rPr>
        <w:t>biomasa vhodná na spaľovanie</w:t>
      </w:r>
    </w:p>
    <w:p w:rsidR="00242C36" w:rsidRPr="00E43137" w:rsidRDefault="00242C36" w:rsidP="00366F96">
      <w:pPr>
        <w:numPr>
          <w:ilvl w:val="0"/>
          <w:numId w:val="5"/>
        </w:numPr>
        <w:pBdr>
          <w:bar w:val="single" w:sz="6" w:color="808080"/>
        </w:pBdr>
        <w:ind w:left="714" w:hanging="357"/>
        <w:rPr>
          <w:rFonts w:ascii="Calibri" w:eastAsia="Calibri" w:hAnsi="Calibri"/>
          <w:szCs w:val="22"/>
          <w:lang w:eastAsia="en-US"/>
        </w:rPr>
      </w:pPr>
      <w:r w:rsidRPr="00E43137">
        <w:rPr>
          <w:rFonts w:ascii="Calibri" w:eastAsia="Calibri" w:hAnsi="Calibri"/>
          <w:szCs w:val="22"/>
          <w:lang w:eastAsia="en-US"/>
        </w:rPr>
        <w:t>biomasa vhodná na výrobu biopalív (biomazív)</w:t>
      </w:r>
    </w:p>
    <w:p w:rsidR="00242C36" w:rsidRPr="00E43137" w:rsidRDefault="00242C36" w:rsidP="00242C36">
      <w:pPr>
        <w:numPr>
          <w:ilvl w:val="0"/>
          <w:numId w:val="5"/>
        </w:numPr>
        <w:pBdr>
          <w:bar w:val="single" w:sz="6" w:color="808080"/>
        </w:pBdr>
        <w:spacing w:after="120"/>
        <w:rPr>
          <w:rFonts w:ascii="Calibri" w:eastAsia="Calibri" w:hAnsi="Calibri"/>
          <w:szCs w:val="22"/>
          <w:lang w:eastAsia="en-US"/>
        </w:rPr>
      </w:pPr>
      <w:r w:rsidRPr="00E43137">
        <w:rPr>
          <w:rFonts w:ascii="Calibri" w:eastAsia="Calibri" w:hAnsi="Calibri"/>
          <w:szCs w:val="22"/>
          <w:lang w:eastAsia="en-US"/>
        </w:rPr>
        <w:t>biomasa vhodná na výrobu bioplynu</w:t>
      </w:r>
    </w:p>
    <w:p w:rsidR="00242C36" w:rsidRPr="00A230EA" w:rsidRDefault="008F198F" w:rsidP="008F198F">
      <w:pPr>
        <w:keepNext/>
        <w:pBdr>
          <w:bar w:val="single" w:sz="6" w:color="808080"/>
        </w:pBdr>
        <w:spacing w:after="120"/>
        <w:ind w:left="1134" w:hanging="1134"/>
        <w:rPr>
          <w:rFonts w:ascii="Calibri" w:hAnsi="Calibri"/>
          <w:b/>
          <w:szCs w:val="22"/>
          <w:lang w:eastAsia="en-US"/>
        </w:rPr>
      </w:pPr>
      <w:r>
        <w:rPr>
          <w:rFonts w:ascii="Calibri" w:hAnsi="Calibri"/>
          <w:b/>
          <w:szCs w:val="22"/>
          <w:lang w:eastAsia="en-US"/>
        </w:rPr>
        <w:t xml:space="preserve">Tabuľka 58: </w:t>
      </w:r>
      <w:r w:rsidR="00242C36" w:rsidRPr="00A230EA">
        <w:rPr>
          <w:rFonts w:ascii="Calibri" w:hAnsi="Calibri"/>
          <w:b/>
          <w:szCs w:val="22"/>
          <w:lang w:eastAsia="en-US"/>
        </w:rPr>
        <w:t>Vývoj produkcie obnoviteľnej energie z poľnohospodárstva a lesníctva v rokoch 2007-2011 v SR (v Ktoe)</w:t>
      </w:r>
    </w:p>
    <w:tbl>
      <w:tblPr>
        <w:tblW w:w="9232"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0A0" w:firstRow="1" w:lastRow="0" w:firstColumn="1" w:lastColumn="0" w:noHBand="0" w:noVBand="0"/>
      </w:tblPr>
      <w:tblGrid>
        <w:gridCol w:w="4129"/>
        <w:gridCol w:w="1036"/>
        <w:gridCol w:w="1090"/>
        <w:gridCol w:w="993"/>
        <w:gridCol w:w="992"/>
        <w:gridCol w:w="992"/>
      </w:tblGrid>
      <w:tr w:rsidR="00242C36" w:rsidRPr="00E43137" w:rsidTr="00242C36">
        <w:trPr>
          <w:trHeight w:val="57"/>
        </w:trPr>
        <w:tc>
          <w:tcPr>
            <w:tcW w:w="4129" w:type="dxa"/>
            <w:tcBorders>
              <w:top w:val="single" w:sz="4" w:space="0" w:color="FFFFFF"/>
              <w:left w:val="single" w:sz="4" w:space="0" w:color="FFFFFF"/>
              <w:right w:val="nil"/>
            </w:tcBorders>
            <w:shd w:val="clear" w:color="auto" w:fill="5B9BD5"/>
            <w:noWrap/>
          </w:tcPr>
          <w:p w:rsidR="00242C36" w:rsidRPr="00E43137" w:rsidRDefault="00242C36" w:rsidP="00242C36">
            <w:pPr>
              <w:rPr>
                <w:rFonts w:ascii="Calibri" w:hAnsi="Calibri"/>
                <w:b/>
                <w:bCs/>
                <w:color w:val="FFFFFF"/>
                <w:szCs w:val="20"/>
                <w:lang w:eastAsia="en-US"/>
              </w:rPr>
            </w:pPr>
            <w:r w:rsidRPr="00E43137">
              <w:rPr>
                <w:rFonts w:ascii="Calibri" w:eastAsia="Calibri" w:hAnsi="Calibri" w:cs="Calibri"/>
                <w:b/>
                <w:bCs/>
                <w:color w:val="FFFFFF"/>
                <w:szCs w:val="20"/>
                <w:lang w:eastAsia="en-US"/>
              </w:rPr>
              <w:t>Druh biomasy</w:t>
            </w:r>
          </w:p>
        </w:tc>
        <w:tc>
          <w:tcPr>
            <w:tcW w:w="1036" w:type="dxa"/>
            <w:tcBorders>
              <w:top w:val="single" w:sz="4" w:space="0" w:color="FFFFFF"/>
              <w:left w:val="nil"/>
              <w:right w:val="nil"/>
            </w:tcBorders>
            <w:shd w:val="clear" w:color="auto" w:fill="5B9BD5"/>
            <w:noWrap/>
          </w:tcPr>
          <w:p w:rsidR="00242C36" w:rsidRPr="00E43137" w:rsidRDefault="00242C36" w:rsidP="00242C36">
            <w:pPr>
              <w:jc w:val="center"/>
              <w:rPr>
                <w:rFonts w:ascii="Calibri" w:hAnsi="Calibri"/>
                <w:b/>
                <w:bCs/>
                <w:color w:val="FFFFFF"/>
                <w:szCs w:val="20"/>
                <w:lang w:eastAsia="en-US"/>
              </w:rPr>
            </w:pPr>
            <w:r w:rsidRPr="00E43137">
              <w:rPr>
                <w:rFonts w:ascii="Calibri" w:eastAsia="Calibri" w:hAnsi="Calibri" w:cs="Calibri"/>
                <w:b/>
                <w:bCs/>
                <w:color w:val="FFFFFF"/>
                <w:szCs w:val="20"/>
                <w:lang w:eastAsia="en-US"/>
              </w:rPr>
              <w:t>2007</w:t>
            </w:r>
          </w:p>
        </w:tc>
        <w:tc>
          <w:tcPr>
            <w:tcW w:w="1090" w:type="dxa"/>
            <w:tcBorders>
              <w:top w:val="single" w:sz="4" w:space="0" w:color="FFFFFF"/>
              <w:left w:val="nil"/>
              <w:right w:val="nil"/>
            </w:tcBorders>
            <w:shd w:val="clear" w:color="auto" w:fill="5B9BD5"/>
            <w:noWrap/>
          </w:tcPr>
          <w:p w:rsidR="00242C36" w:rsidRPr="00E43137" w:rsidRDefault="00242C36" w:rsidP="00242C36">
            <w:pPr>
              <w:jc w:val="center"/>
              <w:rPr>
                <w:rFonts w:ascii="Calibri" w:hAnsi="Calibri"/>
                <w:b/>
                <w:bCs/>
                <w:color w:val="FFFFFF"/>
                <w:szCs w:val="20"/>
                <w:lang w:eastAsia="en-US"/>
              </w:rPr>
            </w:pPr>
            <w:r w:rsidRPr="00E43137">
              <w:rPr>
                <w:rFonts w:ascii="Calibri" w:eastAsia="Calibri" w:hAnsi="Calibri" w:cs="Calibri"/>
                <w:b/>
                <w:bCs/>
                <w:color w:val="FFFFFF"/>
                <w:szCs w:val="20"/>
                <w:lang w:eastAsia="en-US"/>
              </w:rPr>
              <w:t>2008</w:t>
            </w:r>
          </w:p>
        </w:tc>
        <w:tc>
          <w:tcPr>
            <w:tcW w:w="993" w:type="dxa"/>
            <w:tcBorders>
              <w:top w:val="single" w:sz="4" w:space="0" w:color="FFFFFF"/>
              <w:left w:val="nil"/>
              <w:right w:val="nil"/>
            </w:tcBorders>
            <w:shd w:val="clear" w:color="auto" w:fill="5B9BD5"/>
            <w:noWrap/>
          </w:tcPr>
          <w:p w:rsidR="00242C36" w:rsidRPr="00E43137" w:rsidRDefault="00242C36" w:rsidP="00242C36">
            <w:pPr>
              <w:jc w:val="center"/>
              <w:rPr>
                <w:rFonts w:ascii="Calibri" w:hAnsi="Calibri"/>
                <w:b/>
                <w:bCs/>
                <w:color w:val="FFFFFF"/>
                <w:szCs w:val="20"/>
                <w:lang w:eastAsia="en-US"/>
              </w:rPr>
            </w:pPr>
            <w:r w:rsidRPr="00E43137">
              <w:rPr>
                <w:rFonts w:ascii="Calibri" w:eastAsia="Calibri" w:hAnsi="Calibri" w:cs="Calibri"/>
                <w:b/>
                <w:bCs/>
                <w:color w:val="FFFFFF"/>
                <w:szCs w:val="20"/>
                <w:lang w:eastAsia="en-US"/>
              </w:rPr>
              <w:t>2009</w:t>
            </w:r>
          </w:p>
        </w:tc>
        <w:tc>
          <w:tcPr>
            <w:tcW w:w="992" w:type="dxa"/>
            <w:tcBorders>
              <w:top w:val="single" w:sz="4" w:space="0" w:color="FFFFFF"/>
              <w:left w:val="nil"/>
              <w:right w:val="nil"/>
            </w:tcBorders>
            <w:shd w:val="clear" w:color="auto" w:fill="5B9BD5"/>
            <w:noWrap/>
          </w:tcPr>
          <w:p w:rsidR="00242C36" w:rsidRPr="00E43137" w:rsidRDefault="00242C36" w:rsidP="00242C36">
            <w:pPr>
              <w:jc w:val="center"/>
              <w:rPr>
                <w:rFonts w:ascii="Calibri" w:hAnsi="Calibri"/>
                <w:b/>
                <w:bCs/>
                <w:color w:val="FFFFFF"/>
                <w:szCs w:val="20"/>
                <w:lang w:eastAsia="en-US"/>
              </w:rPr>
            </w:pPr>
            <w:r w:rsidRPr="00E43137">
              <w:rPr>
                <w:rFonts w:ascii="Calibri" w:eastAsia="Calibri" w:hAnsi="Calibri" w:cs="Calibri"/>
                <w:b/>
                <w:bCs/>
                <w:color w:val="FFFFFF"/>
                <w:szCs w:val="20"/>
                <w:lang w:eastAsia="en-US"/>
              </w:rPr>
              <w:t>2010</w:t>
            </w:r>
          </w:p>
        </w:tc>
        <w:tc>
          <w:tcPr>
            <w:tcW w:w="992" w:type="dxa"/>
            <w:tcBorders>
              <w:top w:val="single" w:sz="4" w:space="0" w:color="FFFFFF"/>
              <w:left w:val="nil"/>
              <w:right w:val="single" w:sz="4" w:space="0" w:color="FFFFFF"/>
            </w:tcBorders>
            <w:shd w:val="clear" w:color="auto" w:fill="5B9BD5"/>
            <w:noWrap/>
          </w:tcPr>
          <w:p w:rsidR="00242C36" w:rsidRPr="00E43137" w:rsidRDefault="00242C36" w:rsidP="00242C36">
            <w:pPr>
              <w:jc w:val="center"/>
              <w:rPr>
                <w:rFonts w:ascii="Calibri" w:hAnsi="Calibri"/>
                <w:b/>
                <w:bCs/>
                <w:color w:val="FFFFFF"/>
                <w:szCs w:val="20"/>
                <w:lang w:eastAsia="en-US"/>
              </w:rPr>
            </w:pPr>
            <w:r w:rsidRPr="00E43137">
              <w:rPr>
                <w:rFonts w:ascii="Calibri" w:eastAsia="Calibri" w:hAnsi="Calibri" w:cs="Calibri"/>
                <w:b/>
                <w:bCs/>
                <w:color w:val="FFFFFF"/>
                <w:szCs w:val="20"/>
                <w:lang w:eastAsia="en-US"/>
              </w:rPr>
              <w:t>2011</w:t>
            </w:r>
          </w:p>
        </w:tc>
      </w:tr>
      <w:tr w:rsidR="00242C36" w:rsidRPr="00E43137" w:rsidTr="00242C36">
        <w:trPr>
          <w:trHeight w:val="57"/>
        </w:trPr>
        <w:tc>
          <w:tcPr>
            <w:tcW w:w="4129" w:type="dxa"/>
            <w:tcBorders>
              <w:left w:val="single" w:sz="4" w:space="0" w:color="FFFFFF"/>
            </w:tcBorders>
            <w:shd w:val="clear" w:color="auto" w:fill="5B9BD5"/>
            <w:noWrap/>
          </w:tcPr>
          <w:p w:rsidR="00242C36" w:rsidRPr="00E43137" w:rsidRDefault="00242C36" w:rsidP="00242C36">
            <w:pPr>
              <w:rPr>
                <w:rFonts w:ascii="Calibri" w:hAnsi="Calibri"/>
                <w:b/>
                <w:bCs/>
                <w:color w:val="FFFFFF"/>
                <w:szCs w:val="20"/>
                <w:lang w:eastAsia="en-US"/>
              </w:rPr>
            </w:pPr>
            <w:r w:rsidRPr="00E43137">
              <w:rPr>
                <w:rFonts w:ascii="Calibri" w:eastAsia="Calibri" w:hAnsi="Calibri" w:cs="Calibri"/>
                <w:b/>
                <w:bCs/>
                <w:color w:val="FFFFFF"/>
                <w:szCs w:val="20"/>
                <w:lang w:eastAsia="en-US"/>
              </w:rPr>
              <w:t>bionafta (ktoe)</w:t>
            </w:r>
          </w:p>
        </w:tc>
        <w:tc>
          <w:tcPr>
            <w:tcW w:w="1036" w:type="dxa"/>
            <w:shd w:val="clear" w:color="auto" w:fill="BDD6EE"/>
            <w:noWrap/>
          </w:tcPr>
          <w:p w:rsidR="00242C36" w:rsidRPr="00E43137" w:rsidRDefault="00242C36" w:rsidP="00242C36">
            <w:pPr>
              <w:jc w:val="right"/>
              <w:rPr>
                <w:rFonts w:ascii="Calibri" w:hAnsi="Calibri"/>
                <w:szCs w:val="20"/>
                <w:lang w:eastAsia="en-US"/>
              </w:rPr>
            </w:pPr>
            <w:r w:rsidRPr="00E43137">
              <w:rPr>
                <w:rFonts w:ascii="Calibri" w:eastAsia="Calibri" w:hAnsi="Calibri" w:cs="Calibri"/>
                <w:szCs w:val="20"/>
                <w:lang w:eastAsia="en-US"/>
              </w:rPr>
              <w:t>40,65</w:t>
            </w:r>
          </w:p>
        </w:tc>
        <w:tc>
          <w:tcPr>
            <w:tcW w:w="1090" w:type="dxa"/>
            <w:shd w:val="clear" w:color="auto" w:fill="BDD6EE"/>
            <w:noWrap/>
          </w:tcPr>
          <w:p w:rsidR="00242C36" w:rsidRPr="00E43137" w:rsidRDefault="00242C36" w:rsidP="00242C36">
            <w:pPr>
              <w:jc w:val="right"/>
              <w:rPr>
                <w:rFonts w:ascii="Calibri" w:hAnsi="Calibri"/>
                <w:szCs w:val="20"/>
                <w:lang w:eastAsia="en-US"/>
              </w:rPr>
            </w:pPr>
            <w:r w:rsidRPr="00E43137">
              <w:rPr>
                <w:rFonts w:ascii="Calibri" w:eastAsia="Calibri" w:hAnsi="Calibri" w:cs="Calibri"/>
                <w:szCs w:val="20"/>
                <w:lang w:eastAsia="en-US"/>
              </w:rPr>
              <w:t>129,02</w:t>
            </w:r>
          </w:p>
        </w:tc>
        <w:tc>
          <w:tcPr>
            <w:tcW w:w="993" w:type="dxa"/>
            <w:shd w:val="clear" w:color="auto" w:fill="BDD6EE"/>
            <w:noWrap/>
          </w:tcPr>
          <w:p w:rsidR="00242C36" w:rsidRPr="00E43137" w:rsidRDefault="00242C36" w:rsidP="00242C36">
            <w:pPr>
              <w:jc w:val="right"/>
              <w:rPr>
                <w:rFonts w:ascii="Calibri" w:hAnsi="Calibri"/>
                <w:szCs w:val="20"/>
                <w:lang w:eastAsia="en-US"/>
              </w:rPr>
            </w:pPr>
            <w:r w:rsidRPr="00E43137">
              <w:rPr>
                <w:rFonts w:ascii="Calibri" w:eastAsia="Calibri" w:hAnsi="Calibri" w:cs="Calibri"/>
                <w:szCs w:val="20"/>
                <w:lang w:eastAsia="en-US"/>
              </w:rPr>
              <w:t>89,25</w:t>
            </w:r>
          </w:p>
        </w:tc>
        <w:tc>
          <w:tcPr>
            <w:tcW w:w="992" w:type="dxa"/>
            <w:shd w:val="clear" w:color="auto" w:fill="BDD6EE"/>
            <w:noWrap/>
          </w:tcPr>
          <w:p w:rsidR="00242C36" w:rsidRPr="00E43137" w:rsidRDefault="00242C36" w:rsidP="00242C36">
            <w:pPr>
              <w:jc w:val="right"/>
              <w:rPr>
                <w:rFonts w:ascii="Calibri" w:hAnsi="Calibri"/>
                <w:szCs w:val="20"/>
                <w:lang w:eastAsia="en-US"/>
              </w:rPr>
            </w:pPr>
            <w:r w:rsidRPr="00E43137">
              <w:rPr>
                <w:rFonts w:ascii="Calibri" w:eastAsia="Calibri" w:hAnsi="Calibri" w:cs="Calibri"/>
                <w:szCs w:val="20"/>
                <w:lang w:eastAsia="en-US"/>
              </w:rPr>
              <w:t>77,77</w:t>
            </w:r>
          </w:p>
        </w:tc>
        <w:tc>
          <w:tcPr>
            <w:tcW w:w="992" w:type="dxa"/>
            <w:shd w:val="clear" w:color="auto" w:fill="BDD6EE"/>
            <w:noWrap/>
          </w:tcPr>
          <w:p w:rsidR="00242C36" w:rsidRPr="00E43137" w:rsidRDefault="00242C36" w:rsidP="00242C36">
            <w:pPr>
              <w:jc w:val="right"/>
              <w:rPr>
                <w:rFonts w:ascii="Calibri" w:hAnsi="Calibri"/>
                <w:szCs w:val="20"/>
                <w:lang w:eastAsia="en-US"/>
              </w:rPr>
            </w:pPr>
            <w:r w:rsidRPr="00E43137">
              <w:rPr>
                <w:rFonts w:ascii="Calibri" w:eastAsia="Calibri" w:hAnsi="Calibri" w:cs="Calibri"/>
                <w:szCs w:val="20"/>
                <w:lang w:eastAsia="en-US"/>
              </w:rPr>
              <w:t>79,53*</w:t>
            </w:r>
          </w:p>
        </w:tc>
      </w:tr>
      <w:tr w:rsidR="00242C36" w:rsidRPr="00E43137" w:rsidTr="00242C36">
        <w:trPr>
          <w:trHeight w:val="57"/>
        </w:trPr>
        <w:tc>
          <w:tcPr>
            <w:tcW w:w="4129" w:type="dxa"/>
            <w:tcBorders>
              <w:left w:val="single" w:sz="4" w:space="0" w:color="FFFFFF"/>
            </w:tcBorders>
            <w:shd w:val="clear" w:color="auto" w:fill="5B9BD5"/>
            <w:noWrap/>
          </w:tcPr>
          <w:p w:rsidR="00242C36" w:rsidRPr="00E43137" w:rsidRDefault="00242C36" w:rsidP="00242C36">
            <w:pPr>
              <w:rPr>
                <w:rFonts w:ascii="Calibri" w:hAnsi="Calibri"/>
                <w:b/>
                <w:bCs/>
                <w:color w:val="FFFFFF"/>
                <w:szCs w:val="20"/>
                <w:lang w:eastAsia="en-US"/>
              </w:rPr>
            </w:pPr>
            <w:r w:rsidRPr="00E43137">
              <w:rPr>
                <w:rFonts w:ascii="Calibri" w:eastAsia="Calibri" w:hAnsi="Calibri" w:cs="Calibri"/>
                <w:b/>
                <w:bCs/>
                <w:color w:val="FFFFFF"/>
                <w:szCs w:val="20"/>
                <w:lang w:eastAsia="en-US"/>
              </w:rPr>
              <w:t>bioetanol (ktoe)</w:t>
            </w:r>
          </w:p>
        </w:tc>
        <w:tc>
          <w:tcPr>
            <w:tcW w:w="1036" w:type="dxa"/>
            <w:shd w:val="clear" w:color="auto" w:fill="BDD6EE"/>
            <w:noWrap/>
          </w:tcPr>
          <w:p w:rsidR="00242C36" w:rsidRPr="00E43137" w:rsidRDefault="00242C36" w:rsidP="00242C36">
            <w:pPr>
              <w:jc w:val="right"/>
              <w:rPr>
                <w:rFonts w:ascii="Calibri" w:hAnsi="Calibri"/>
                <w:szCs w:val="20"/>
                <w:lang w:eastAsia="en-US"/>
              </w:rPr>
            </w:pPr>
            <w:r w:rsidRPr="00E43137">
              <w:rPr>
                <w:rFonts w:ascii="Calibri" w:eastAsia="Calibri" w:hAnsi="Calibri" w:cs="Calibri"/>
                <w:szCs w:val="20"/>
                <w:lang w:eastAsia="en-US"/>
              </w:rPr>
              <w:t>15,05</w:t>
            </w:r>
          </w:p>
        </w:tc>
        <w:tc>
          <w:tcPr>
            <w:tcW w:w="1090" w:type="dxa"/>
            <w:shd w:val="clear" w:color="auto" w:fill="DEEAF6"/>
            <w:noWrap/>
          </w:tcPr>
          <w:p w:rsidR="00242C36" w:rsidRPr="00E43137" w:rsidRDefault="00242C36" w:rsidP="00242C36">
            <w:pPr>
              <w:jc w:val="right"/>
              <w:rPr>
                <w:rFonts w:ascii="Calibri" w:hAnsi="Calibri"/>
                <w:szCs w:val="20"/>
                <w:lang w:eastAsia="en-US"/>
              </w:rPr>
            </w:pPr>
            <w:r w:rsidRPr="00E43137">
              <w:rPr>
                <w:rFonts w:ascii="Calibri" w:eastAsia="Calibri" w:hAnsi="Calibri" w:cs="Calibri"/>
                <w:szCs w:val="20"/>
                <w:lang w:eastAsia="en-US"/>
              </w:rPr>
              <w:t>47,15</w:t>
            </w:r>
          </w:p>
        </w:tc>
        <w:tc>
          <w:tcPr>
            <w:tcW w:w="993" w:type="dxa"/>
            <w:shd w:val="clear" w:color="auto" w:fill="BDD6EE"/>
            <w:noWrap/>
          </w:tcPr>
          <w:p w:rsidR="00242C36" w:rsidRPr="00E43137" w:rsidRDefault="00242C36" w:rsidP="00242C36">
            <w:pPr>
              <w:jc w:val="right"/>
              <w:rPr>
                <w:rFonts w:ascii="Calibri" w:hAnsi="Calibri"/>
                <w:szCs w:val="20"/>
                <w:lang w:eastAsia="en-US"/>
              </w:rPr>
            </w:pPr>
            <w:r w:rsidRPr="00E43137">
              <w:rPr>
                <w:rFonts w:ascii="Calibri" w:eastAsia="Calibri" w:hAnsi="Calibri" w:cs="Calibri"/>
                <w:szCs w:val="20"/>
                <w:lang w:eastAsia="en-US"/>
              </w:rPr>
              <w:t>59,19</w:t>
            </w:r>
          </w:p>
        </w:tc>
        <w:tc>
          <w:tcPr>
            <w:tcW w:w="992" w:type="dxa"/>
            <w:shd w:val="clear" w:color="auto" w:fill="DEEAF6"/>
            <w:noWrap/>
          </w:tcPr>
          <w:p w:rsidR="00242C36" w:rsidRPr="00E43137" w:rsidRDefault="00242C36" w:rsidP="00242C36">
            <w:pPr>
              <w:jc w:val="right"/>
              <w:rPr>
                <w:rFonts w:ascii="Calibri" w:hAnsi="Calibri"/>
                <w:szCs w:val="20"/>
                <w:lang w:eastAsia="en-US"/>
              </w:rPr>
            </w:pPr>
            <w:r w:rsidRPr="00E43137">
              <w:rPr>
                <w:rFonts w:ascii="Calibri" w:eastAsia="Calibri" w:hAnsi="Calibri" w:cs="Calibri"/>
                <w:szCs w:val="20"/>
                <w:lang w:eastAsia="en-US"/>
              </w:rPr>
              <w:t>63,70</w:t>
            </w:r>
          </w:p>
        </w:tc>
        <w:tc>
          <w:tcPr>
            <w:tcW w:w="992" w:type="dxa"/>
            <w:shd w:val="clear" w:color="auto" w:fill="BDD6EE"/>
            <w:noWrap/>
          </w:tcPr>
          <w:p w:rsidR="00242C36" w:rsidRPr="00E43137" w:rsidRDefault="00242C36" w:rsidP="00242C36">
            <w:pPr>
              <w:jc w:val="right"/>
              <w:rPr>
                <w:rFonts w:ascii="Calibri" w:hAnsi="Calibri"/>
                <w:szCs w:val="20"/>
                <w:lang w:eastAsia="en-US"/>
              </w:rPr>
            </w:pPr>
            <w:r w:rsidRPr="00E43137">
              <w:rPr>
                <w:rFonts w:ascii="Calibri" w:eastAsia="Calibri" w:hAnsi="Calibri" w:cs="Calibri"/>
                <w:szCs w:val="20"/>
                <w:lang w:eastAsia="en-US"/>
              </w:rPr>
              <w:t>65,21</w:t>
            </w:r>
          </w:p>
        </w:tc>
      </w:tr>
      <w:tr w:rsidR="00242C36" w:rsidRPr="00E43137" w:rsidTr="00242C36">
        <w:trPr>
          <w:trHeight w:val="57"/>
        </w:trPr>
        <w:tc>
          <w:tcPr>
            <w:tcW w:w="4129" w:type="dxa"/>
            <w:tcBorders>
              <w:left w:val="single" w:sz="4" w:space="0" w:color="FFFFFF"/>
            </w:tcBorders>
            <w:shd w:val="clear" w:color="auto" w:fill="5B9BD5"/>
            <w:noWrap/>
          </w:tcPr>
          <w:p w:rsidR="00242C36" w:rsidRPr="00E43137" w:rsidRDefault="00242C36" w:rsidP="00242C36">
            <w:pPr>
              <w:rPr>
                <w:rFonts w:ascii="Calibri" w:hAnsi="Calibri"/>
                <w:b/>
                <w:bCs/>
                <w:color w:val="FFFFFF"/>
                <w:szCs w:val="20"/>
                <w:lang w:eastAsia="en-US"/>
              </w:rPr>
            </w:pPr>
            <w:r w:rsidRPr="00E43137">
              <w:rPr>
                <w:rFonts w:ascii="Calibri" w:eastAsia="Calibri" w:hAnsi="Calibri" w:cs="Calibri"/>
                <w:b/>
                <w:bCs/>
                <w:color w:val="FFFFFF"/>
                <w:szCs w:val="20"/>
                <w:lang w:eastAsia="en-US"/>
              </w:rPr>
              <w:t>biopaliva z poľnohospodárstva spolu (ktoe)</w:t>
            </w:r>
          </w:p>
        </w:tc>
        <w:tc>
          <w:tcPr>
            <w:tcW w:w="1036" w:type="dxa"/>
            <w:shd w:val="clear" w:color="auto" w:fill="BDD6EE"/>
            <w:noWrap/>
          </w:tcPr>
          <w:p w:rsidR="00242C36" w:rsidRPr="00E43137" w:rsidRDefault="00242C36" w:rsidP="00242C36">
            <w:pPr>
              <w:jc w:val="right"/>
              <w:rPr>
                <w:rFonts w:ascii="Calibri" w:hAnsi="Calibri"/>
                <w:b/>
                <w:szCs w:val="20"/>
                <w:lang w:eastAsia="en-US"/>
              </w:rPr>
            </w:pPr>
            <w:r w:rsidRPr="00E43137">
              <w:rPr>
                <w:rFonts w:ascii="Calibri" w:eastAsia="Calibri" w:hAnsi="Calibri" w:cs="Calibri"/>
                <w:b/>
                <w:bCs/>
                <w:szCs w:val="20"/>
                <w:lang w:eastAsia="en-US"/>
              </w:rPr>
              <w:t>55,70</w:t>
            </w:r>
          </w:p>
        </w:tc>
        <w:tc>
          <w:tcPr>
            <w:tcW w:w="1090" w:type="dxa"/>
            <w:shd w:val="clear" w:color="auto" w:fill="BDD6EE"/>
            <w:noWrap/>
          </w:tcPr>
          <w:p w:rsidR="00242C36" w:rsidRPr="00E43137" w:rsidRDefault="00242C36" w:rsidP="00242C36">
            <w:pPr>
              <w:jc w:val="right"/>
              <w:rPr>
                <w:rFonts w:ascii="Calibri" w:hAnsi="Calibri"/>
                <w:b/>
                <w:szCs w:val="20"/>
                <w:lang w:eastAsia="en-US"/>
              </w:rPr>
            </w:pPr>
            <w:r w:rsidRPr="00E43137">
              <w:rPr>
                <w:rFonts w:ascii="Calibri" w:eastAsia="Calibri" w:hAnsi="Calibri" w:cs="Calibri"/>
                <w:b/>
                <w:bCs/>
                <w:szCs w:val="20"/>
                <w:lang w:eastAsia="en-US"/>
              </w:rPr>
              <w:t>176,17</w:t>
            </w:r>
          </w:p>
        </w:tc>
        <w:tc>
          <w:tcPr>
            <w:tcW w:w="993" w:type="dxa"/>
            <w:shd w:val="clear" w:color="auto" w:fill="BDD6EE"/>
            <w:noWrap/>
          </w:tcPr>
          <w:p w:rsidR="00242C36" w:rsidRPr="00E43137" w:rsidRDefault="00242C36" w:rsidP="00242C36">
            <w:pPr>
              <w:jc w:val="right"/>
              <w:rPr>
                <w:rFonts w:ascii="Calibri" w:hAnsi="Calibri"/>
                <w:b/>
                <w:szCs w:val="20"/>
                <w:lang w:eastAsia="en-US"/>
              </w:rPr>
            </w:pPr>
            <w:r w:rsidRPr="00E43137">
              <w:rPr>
                <w:rFonts w:ascii="Calibri" w:eastAsia="Calibri" w:hAnsi="Calibri" w:cs="Calibri"/>
                <w:b/>
                <w:bCs/>
                <w:szCs w:val="20"/>
                <w:lang w:eastAsia="en-US"/>
              </w:rPr>
              <w:t>148,44</w:t>
            </w:r>
          </w:p>
        </w:tc>
        <w:tc>
          <w:tcPr>
            <w:tcW w:w="992" w:type="dxa"/>
            <w:shd w:val="clear" w:color="auto" w:fill="BDD6EE"/>
            <w:noWrap/>
          </w:tcPr>
          <w:p w:rsidR="00242C36" w:rsidRPr="00E43137" w:rsidRDefault="00242C36" w:rsidP="00242C36">
            <w:pPr>
              <w:jc w:val="right"/>
              <w:rPr>
                <w:rFonts w:ascii="Calibri" w:hAnsi="Calibri"/>
                <w:b/>
                <w:szCs w:val="20"/>
                <w:lang w:eastAsia="en-US"/>
              </w:rPr>
            </w:pPr>
            <w:r w:rsidRPr="00E43137">
              <w:rPr>
                <w:rFonts w:ascii="Calibri" w:eastAsia="Calibri" w:hAnsi="Calibri" w:cs="Calibri"/>
                <w:b/>
                <w:bCs/>
                <w:szCs w:val="20"/>
                <w:lang w:eastAsia="en-US"/>
              </w:rPr>
              <w:t>141,47</w:t>
            </w:r>
          </w:p>
        </w:tc>
        <w:tc>
          <w:tcPr>
            <w:tcW w:w="992" w:type="dxa"/>
            <w:shd w:val="clear" w:color="auto" w:fill="BDD6EE"/>
            <w:noWrap/>
          </w:tcPr>
          <w:p w:rsidR="00242C36" w:rsidRPr="00E43137" w:rsidRDefault="00242C36" w:rsidP="00242C36">
            <w:pPr>
              <w:jc w:val="right"/>
              <w:rPr>
                <w:rFonts w:ascii="Calibri" w:hAnsi="Calibri"/>
                <w:b/>
                <w:szCs w:val="20"/>
                <w:lang w:eastAsia="en-US"/>
              </w:rPr>
            </w:pPr>
            <w:r w:rsidRPr="00E43137">
              <w:rPr>
                <w:rFonts w:ascii="Calibri" w:eastAsia="Calibri" w:hAnsi="Calibri" w:cs="Calibri"/>
                <w:b/>
                <w:bCs/>
                <w:szCs w:val="20"/>
                <w:lang w:eastAsia="en-US"/>
              </w:rPr>
              <w:t>144,74</w:t>
            </w:r>
          </w:p>
        </w:tc>
      </w:tr>
      <w:tr w:rsidR="00242C36" w:rsidRPr="00E43137" w:rsidTr="00242C36">
        <w:trPr>
          <w:trHeight w:val="57"/>
        </w:trPr>
        <w:tc>
          <w:tcPr>
            <w:tcW w:w="4129" w:type="dxa"/>
            <w:tcBorders>
              <w:left w:val="single" w:sz="4" w:space="0" w:color="FFFFFF"/>
              <w:bottom w:val="single" w:sz="4" w:space="0" w:color="FFFFFF"/>
            </w:tcBorders>
            <w:shd w:val="clear" w:color="auto" w:fill="5B9BD5"/>
            <w:noWrap/>
          </w:tcPr>
          <w:p w:rsidR="00242C36" w:rsidRPr="00E43137" w:rsidRDefault="00242C36" w:rsidP="00242C36">
            <w:pPr>
              <w:rPr>
                <w:rFonts w:ascii="Calibri" w:hAnsi="Calibri"/>
                <w:b/>
                <w:bCs/>
                <w:color w:val="FFFFFF"/>
                <w:szCs w:val="20"/>
                <w:lang w:eastAsia="en-US"/>
              </w:rPr>
            </w:pPr>
            <w:r w:rsidRPr="00E43137">
              <w:rPr>
                <w:rFonts w:ascii="Calibri" w:eastAsia="Calibri" w:hAnsi="Calibri" w:cs="Calibri"/>
                <w:b/>
                <w:bCs/>
                <w:color w:val="FFFFFF"/>
                <w:szCs w:val="20"/>
                <w:lang w:eastAsia="en-US"/>
              </w:rPr>
              <w:t>drevná biomasa (ktoe)</w:t>
            </w:r>
          </w:p>
        </w:tc>
        <w:tc>
          <w:tcPr>
            <w:tcW w:w="1036" w:type="dxa"/>
            <w:shd w:val="clear" w:color="auto" w:fill="BDD6EE"/>
            <w:noWrap/>
          </w:tcPr>
          <w:p w:rsidR="00242C36" w:rsidRPr="00E43137" w:rsidRDefault="00242C36" w:rsidP="00242C36">
            <w:pPr>
              <w:jc w:val="right"/>
              <w:rPr>
                <w:rFonts w:ascii="Calibri" w:hAnsi="Calibri"/>
                <w:b/>
                <w:szCs w:val="20"/>
                <w:lang w:eastAsia="en-US"/>
              </w:rPr>
            </w:pPr>
            <w:r w:rsidRPr="00E43137">
              <w:rPr>
                <w:rFonts w:ascii="Calibri" w:eastAsia="Calibri" w:hAnsi="Calibri" w:cs="Calibri"/>
                <w:b/>
                <w:bCs/>
                <w:szCs w:val="20"/>
                <w:lang w:eastAsia="en-US"/>
              </w:rPr>
              <w:t>484,00</w:t>
            </w:r>
          </w:p>
        </w:tc>
        <w:tc>
          <w:tcPr>
            <w:tcW w:w="1090" w:type="dxa"/>
            <w:shd w:val="clear" w:color="auto" w:fill="DEEAF6"/>
            <w:noWrap/>
          </w:tcPr>
          <w:p w:rsidR="00242C36" w:rsidRPr="00E43137" w:rsidRDefault="00242C36" w:rsidP="00242C36">
            <w:pPr>
              <w:jc w:val="right"/>
              <w:rPr>
                <w:rFonts w:ascii="Calibri" w:hAnsi="Calibri"/>
                <w:b/>
                <w:szCs w:val="20"/>
                <w:lang w:eastAsia="en-US"/>
              </w:rPr>
            </w:pPr>
            <w:r w:rsidRPr="00E43137">
              <w:rPr>
                <w:rFonts w:ascii="Calibri" w:eastAsia="Calibri" w:hAnsi="Calibri" w:cs="Calibri"/>
                <w:b/>
                <w:bCs/>
                <w:szCs w:val="20"/>
                <w:lang w:eastAsia="en-US"/>
              </w:rPr>
              <w:t>502,00</w:t>
            </w:r>
          </w:p>
        </w:tc>
        <w:tc>
          <w:tcPr>
            <w:tcW w:w="993" w:type="dxa"/>
            <w:shd w:val="clear" w:color="auto" w:fill="BDD6EE"/>
            <w:noWrap/>
          </w:tcPr>
          <w:p w:rsidR="00242C36" w:rsidRPr="00E43137" w:rsidRDefault="00242C36" w:rsidP="00242C36">
            <w:pPr>
              <w:jc w:val="right"/>
              <w:rPr>
                <w:rFonts w:ascii="Calibri" w:hAnsi="Calibri"/>
                <w:b/>
                <w:szCs w:val="20"/>
                <w:lang w:eastAsia="en-US"/>
              </w:rPr>
            </w:pPr>
            <w:r w:rsidRPr="00E43137">
              <w:rPr>
                <w:rFonts w:ascii="Calibri" w:eastAsia="Calibri" w:hAnsi="Calibri" w:cs="Calibri"/>
                <w:b/>
                <w:bCs/>
                <w:szCs w:val="20"/>
                <w:lang w:eastAsia="en-US"/>
              </w:rPr>
              <w:t>647,00</w:t>
            </w:r>
          </w:p>
        </w:tc>
        <w:tc>
          <w:tcPr>
            <w:tcW w:w="992" w:type="dxa"/>
            <w:shd w:val="clear" w:color="auto" w:fill="DEEAF6"/>
            <w:noWrap/>
          </w:tcPr>
          <w:p w:rsidR="00242C36" w:rsidRPr="00E43137" w:rsidRDefault="00242C36" w:rsidP="00242C36">
            <w:pPr>
              <w:jc w:val="right"/>
              <w:rPr>
                <w:rFonts w:ascii="Calibri" w:hAnsi="Calibri"/>
                <w:b/>
                <w:szCs w:val="20"/>
                <w:lang w:eastAsia="en-US"/>
              </w:rPr>
            </w:pPr>
            <w:r w:rsidRPr="00E43137">
              <w:rPr>
                <w:rFonts w:ascii="Calibri" w:eastAsia="Calibri" w:hAnsi="Calibri" w:cs="Calibri"/>
                <w:b/>
                <w:bCs/>
                <w:szCs w:val="20"/>
                <w:lang w:eastAsia="en-US"/>
              </w:rPr>
              <w:t>740,00</w:t>
            </w:r>
          </w:p>
        </w:tc>
        <w:tc>
          <w:tcPr>
            <w:tcW w:w="992" w:type="dxa"/>
            <w:shd w:val="clear" w:color="auto" w:fill="BDD6EE"/>
            <w:noWrap/>
          </w:tcPr>
          <w:p w:rsidR="00242C36" w:rsidRPr="00E43137" w:rsidRDefault="00242C36" w:rsidP="00242C36">
            <w:pPr>
              <w:jc w:val="right"/>
              <w:rPr>
                <w:rFonts w:ascii="Calibri" w:hAnsi="Calibri"/>
                <w:b/>
                <w:szCs w:val="20"/>
                <w:lang w:eastAsia="en-US"/>
              </w:rPr>
            </w:pPr>
            <w:r w:rsidRPr="00E43137">
              <w:rPr>
                <w:rFonts w:ascii="Calibri" w:eastAsia="Calibri" w:hAnsi="Calibri" w:cs="Calibri"/>
                <w:b/>
                <w:bCs/>
                <w:szCs w:val="20"/>
                <w:lang w:eastAsia="en-US"/>
              </w:rPr>
              <w:t>n.a.</w:t>
            </w:r>
          </w:p>
        </w:tc>
      </w:tr>
    </w:tbl>
    <w:p w:rsidR="00242C36" w:rsidRPr="00A230EA" w:rsidRDefault="00242C36" w:rsidP="00242C36">
      <w:pPr>
        <w:spacing w:after="200"/>
        <w:contextualSpacing/>
        <w:rPr>
          <w:rFonts w:ascii="Calibri" w:eastAsia="Calibri" w:hAnsi="Calibri"/>
          <w:sz w:val="20"/>
          <w:szCs w:val="20"/>
          <w:lang w:eastAsia="en-US"/>
        </w:rPr>
      </w:pPr>
      <w:r w:rsidRPr="00A230EA">
        <w:rPr>
          <w:rFonts w:ascii="Calibri" w:eastAsia="Calibri" w:hAnsi="Calibri"/>
          <w:sz w:val="20"/>
          <w:szCs w:val="20"/>
          <w:lang w:eastAsia="en-US"/>
        </w:rPr>
        <w:t xml:space="preserve">Zdroj: EurObserv'ER, </w:t>
      </w:r>
    </w:p>
    <w:p w:rsidR="00242C36" w:rsidRPr="00A230EA" w:rsidRDefault="00242C36" w:rsidP="00242C36">
      <w:pPr>
        <w:spacing w:after="200"/>
        <w:contextualSpacing/>
        <w:rPr>
          <w:rFonts w:ascii="Calibri" w:eastAsia="Calibri" w:hAnsi="Calibri"/>
          <w:sz w:val="20"/>
          <w:szCs w:val="20"/>
          <w:lang w:eastAsia="en-US"/>
        </w:rPr>
      </w:pPr>
      <w:r w:rsidRPr="00A230EA">
        <w:rPr>
          <w:rFonts w:ascii="Calibri" w:eastAsia="Calibri" w:hAnsi="Calibri"/>
          <w:sz w:val="20"/>
          <w:szCs w:val="20"/>
          <w:lang w:eastAsia="en-US"/>
        </w:rPr>
        <w:t>Pozn. * odhad</w:t>
      </w:r>
    </w:p>
    <w:p w:rsidR="00242C36" w:rsidRDefault="00242C36" w:rsidP="00DA395B">
      <w:pPr>
        <w:pBdr>
          <w:bar w:val="single" w:sz="6" w:color="808080"/>
        </w:pBdr>
        <w:spacing w:after="120"/>
        <w:rPr>
          <w:rFonts w:ascii="Calibri" w:eastAsia="MS Mincho" w:hAnsi="Calibri" w:cs="Arial"/>
          <w:szCs w:val="22"/>
          <w:lang w:eastAsia="en-US"/>
        </w:rPr>
      </w:pPr>
    </w:p>
    <w:p w:rsidR="00242C36" w:rsidRPr="00C30AA6" w:rsidRDefault="00242C36" w:rsidP="00DA395B">
      <w:pPr>
        <w:rPr>
          <w:bCs/>
          <w:color w:val="222222"/>
          <w:szCs w:val="22"/>
        </w:rPr>
      </w:pPr>
      <w:r w:rsidRPr="00C30AA6">
        <w:rPr>
          <w:bCs/>
          <w:color w:val="222222"/>
          <w:szCs w:val="22"/>
        </w:rPr>
        <w:t>Sledovania Štatistického úradu v Bratislave ohľadne výroby energie z obnoviteľných zdrojov zaznamenávajú naďalej jej postupný nárast. Medziročné porovnanie ukazuje na vyšší nárast výroby tepla v porovnaní s výrobou elektriny a to predovšetkým výroby tepla z dreva a drevného odpadu a tiež z bioplynu z organických látok. Najvýraznejšie zvýšenie výroby elektriny bolo hlavne z ostatného bioplynu.</w:t>
      </w:r>
    </w:p>
    <w:p w:rsidR="00242C36" w:rsidRPr="00C30AA6" w:rsidRDefault="008F198F" w:rsidP="008F198F">
      <w:pPr>
        <w:spacing w:line="320" w:lineRule="exact"/>
        <w:rPr>
          <w:b/>
          <w:bCs/>
          <w:color w:val="222222"/>
          <w:sz w:val="20"/>
          <w:szCs w:val="20"/>
        </w:rPr>
      </w:pPr>
      <w:r>
        <w:rPr>
          <w:b/>
          <w:bCs/>
          <w:color w:val="222222"/>
          <w:sz w:val="20"/>
          <w:szCs w:val="20"/>
        </w:rPr>
        <w:t xml:space="preserve">Tabuľka 59: </w:t>
      </w:r>
      <w:r w:rsidR="00242C36" w:rsidRPr="00C30AA6">
        <w:rPr>
          <w:b/>
          <w:bCs/>
          <w:color w:val="222222"/>
          <w:sz w:val="20"/>
          <w:szCs w:val="20"/>
        </w:rPr>
        <w:t>Energia vyrobená z vybraných druhov obnoviteľných zdrojov</w:t>
      </w:r>
    </w:p>
    <w:tbl>
      <w:tblPr>
        <w:tblW w:w="4961" w:type="pct"/>
        <w:tblInd w:w="70" w:type="dxa"/>
        <w:tblCellMar>
          <w:left w:w="70" w:type="dxa"/>
          <w:right w:w="70" w:type="dxa"/>
        </w:tblCellMar>
        <w:tblLook w:val="04A0" w:firstRow="1" w:lastRow="0" w:firstColumn="1" w:lastColumn="0" w:noHBand="0" w:noVBand="1"/>
      </w:tblPr>
      <w:tblGrid>
        <w:gridCol w:w="2903"/>
        <w:gridCol w:w="1042"/>
        <w:gridCol w:w="1044"/>
        <w:gridCol w:w="1042"/>
        <w:gridCol w:w="1047"/>
        <w:gridCol w:w="1042"/>
        <w:gridCol w:w="1020"/>
      </w:tblGrid>
      <w:tr w:rsidR="00242C36" w:rsidRPr="00C30AA6" w:rsidTr="008F198F">
        <w:trPr>
          <w:trHeight w:val="300"/>
        </w:trPr>
        <w:tc>
          <w:tcPr>
            <w:tcW w:w="1588" w:type="pct"/>
            <w:vMerge w:val="restart"/>
            <w:tcBorders>
              <w:top w:val="single" w:sz="8" w:space="0" w:color="auto"/>
              <w:left w:val="single" w:sz="8" w:space="0" w:color="auto"/>
              <w:bottom w:val="single" w:sz="8" w:space="0" w:color="000000"/>
              <w:right w:val="single" w:sz="4" w:space="0" w:color="auto"/>
            </w:tcBorders>
            <w:shd w:val="clear" w:color="auto" w:fill="auto"/>
            <w:noWrap/>
            <w:vAlign w:val="bottom"/>
            <w:hideMark/>
          </w:tcPr>
          <w:p w:rsidR="00242C36" w:rsidRPr="00C30AA6" w:rsidRDefault="00242C36" w:rsidP="00242C36">
            <w:pPr>
              <w:rPr>
                <w:sz w:val="18"/>
                <w:szCs w:val="18"/>
              </w:rPr>
            </w:pPr>
            <w:r w:rsidRPr="00C30AA6">
              <w:rPr>
                <w:sz w:val="18"/>
                <w:szCs w:val="18"/>
              </w:rPr>
              <w:t>OZE</w:t>
            </w:r>
          </w:p>
        </w:tc>
        <w:tc>
          <w:tcPr>
            <w:tcW w:w="1141" w:type="pct"/>
            <w:gridSpan w:val="2"/>
            <w:tcBorders>
              <w:top w:val="single" w:sz="8" w:space="0" w:color="auto"/>
              <w:left w:val="nil"/>
              <w:bottom w:val="single" w:sz="4" w:space="0" w:color="auto"/>
              <w:right w:val="nil"/>
            </w:tcBorders>
            <w:shd w:val="clear" w:color="auto" w:fill="auto"/>
            <w:noWrap/>
            <w:vAlign w:val="bottom"/>
            <w:hideMark/>
          </w:tcPr>
          <w:p w:rsidR="00242C36" w:rsidRPr="00C30AA6" w:rsidRDefault="00242C36" w:rsidP="00242C36">
            <w:pPr>
              <w:jc w:val="center"/>
              <w:rPr>
                <w:sz w:val="18"/>
                <w:szCs w:val="18"/>
              </w:rPr>
            </w:pPr>
            <w:r w:rsidRPr="00C30AA6">
              <w:rPr>
                <w:sz w:val="18"/>
                <w:szCs w:val="18"/>
              </w:rPr>
              <w:t>2011</w:t>
            </w:r>
          </w:p>
        </w:tc>
        <w:tc>
          <w:tcPr>
            <w:tcW w:w="1143" w:type="pct"/>
            <w:gridSpan w:val="2"/>
            <w:tcBorders>
              <w:top w:val="single" w:sz="8" w:space="0" w:color="auto"/>
              <w:left w:val="single" w:sz="4" w:space="0" w:color="auto"/>
              <w:bottom w:val="single" w:sz="4" w:space="0" w:color="auto"/>
              <w:right w:val="nil"/>
            </w:tcBorders>
            <w:shd w:val="clear" w:color="auto" w:fill="auto"/>
            <w:noWrap/>
            <w:vAlign w:val="bottom"/>
            <w:hideMark/>
          </w:tcPr>
          <w:p w:rsidR="00242C36" w:rsidRPr="00C30AA6" w:rsidRDefault="00242C36" w:rsidP="00242C36">
            <w:pPr>
              <w:jc w:val="center"/>
              <w:rPr>
                <w:sz w:val="18"/>
                <w:szCs w:val="18"/>
              </w:rPr>
            </w:pPr>
            <w:r w:rsidRPr="00C30AA6">
              <w:rPr>
                <w:sz w:val="18"/>
                <w:szCs w:val="18"/>
              </w:rPr>
              <w:t>2012</w:t>
            </w:r>
          </w:p>
        </w:tc>
        <w:tc>
          <w:tcPr>
            <w:tcW w:w="570" w:type="pct"/>
            <w:tcBorders>
              <w:top w:val="single" w:sz="8" w:space="0" w:color="auto"/>
              <w:left w:val="single" w:sz="4" w:space="0" w:color="auto"/>
              <w:bottom w:val="nil"/>
              <w:right w:val="single" w:sz="4" w:space="0" w:color="auto"/>
            </w:tcBorders>
            <w:shd w:val="clear" w:color="auto" w:fill="auto"/>
            <w:noWrap/>
            <w:vAlign w:val="bottom"/>
            <w:hideMark/>
          </w:tcPr>
          <w:p w:rsidR="00242C36" w:rsidRPr="00C30AA6" w:rsidRDefault="00242C36" w:rsidP="00242C36">
            <w:pPr>
              <w:jc w:val="center"/>
              <w:rPr>
                <w:sz w:val="18"/>
                <w:szCs w:val="18"/>
              </w:rPr>
            </w:pPr>
            <w:r w:rsidRPr="00C30AA6">
              <w:rPr>
                <w:sz w:val="18"/>
                <w:szCs w:val="18"/>
              </w:rPr>
              <w:t>Elektrina</w:t>
            </w:r>
          </w:p>
        </w:tc>
        <w:tc>
          <w:tcPr>
            <w:tcW w:w="558" w:type="pct"/>
            <w:tcBorders>
              <w:top w:val="single" w:sz="8" w:space="0" w:color="auto"/>
              <w:left w:val="nil"/>
              <w:bottom w:val="nil"/>
              <w:right w:val="single" w:sz="8" w:space="0" w:color="auto"/>
            </w:tcBorders>
            <w:shd w:val="clear" w:color="auto" w:fill="auto"/>
            <w:noWrap/>
            <w:vAlign w:val="bottom"/>
            <w:hideMark/>
          </w:tcPr>
          <w:p w:rsidR="00242C36" w:rsidRPr="00C30AA6" w:rsidRDefault="00242C36" w:rsidP="00242C36">
            <w:pPr>
              <w:jc w:val="center"/>
              <w:rPr>
                <w:sz w:val="18"/>
                <w:szCs w:val="18"/>
              </w:rPr>
            </w:pPr>
            <w:r w:rsidRPr="00C30AA6">
              <w:rPr>
                <w:sz w:val="18"/>
                <w:szCs w:val="18"/>
              </w:rPr>
              <w:t>Teplo</w:t>
            </w:r>
          </w:p>
        </w:tc>
      </w:tr>
      <w:tr w:rsidR="00242C36" w:rsidRPr="00C30AA6" w:rsidTr="008F198F">
        <w:trPr>
          <w:trHeight w:val="540"/>
        </w:trPr>
        <w:tc>
          <w:tcPr>
            <w:tcW w:w="1588" w:type="pct"/>
            <w:vMerge/>
            <w:tcBorders>
              <w:top w:val="single" w:sz="8" w:space="0" w:color="auto"/>
              <w:left w:val="single" w:sz="8" w:space="0" w:color="auto"/>
              <w:bottom w:val="single" w:sz="8" w:space="0" w:color="000000"/>
              <w:right w:val="single" w:sz="4" w:space="0" w:color="auto"/>
            </w:tcBorders>
            <w:vAlign w:val="center"/>
            <w:hideMark/>
          </w:tcPr>
          <w:p w:rsidR="00242C36" w:rsidRPr="00C30AA6" w:rsidRDefault="00242C36" w:rsidP="00242C36">
            <w:pPr>
              <w:rPr>
                <w:sz w:val="18"/>
                <w:szCs w:val="18"/>
              </w:rPr>
            </w:pPr>
          </w:p>
        </w:tc>
        <w:tc>
          <w:tcPr>
            <w:tcW w:w="570" w:type="pct"/>
            <w:tcBorders>
              <w:top w:val="nil"/>
              <w:left w:val="nil"/>
              <w:bottom w:val="single" w:sz="8" w:space="0" w:color="auto"/>
              <w:right w:val="single" w:sz="4" w:space="0" w:color="auto"/>
            </w:tcBorders>
            <w:shd w:val="clear" w:color="auto" w:fill="auto"/>
            <w:vAlign w:val="bottom"/>
            <w:hideMark/>
          </w:tcPr>
          <w:p w:rsidR="00242C36" w:rsidRPr="00C30AA6" w:rsidRDefault="00242C36" w:rsidP="00242C36">
            <w:pPr>
              <w:jc w:val="center"/>
              <w:rPr>
                <w:sz w:val="18"/>
                <w:szCs w:val="18"/>
              </w:rPr>
            </w:pPr>
            <w:r w:rsidRPr="00C30AA6">
              <w:rPr>
                <w:sz w:val="18"/>
                <w:szCs w:val="18"/>
              </w:rPr>
              <w:t>Elektrina (GWh)</w:t>
            </w:r>
          </w:p>
        </w:tc>
        <w:tc>
          <w:tcPr>
            <w:tcW w:w="571" w:type="pct"/>
            <w:tcBorders>
              <w:top w:val="nil"/>
              <w:left w:val="nil"/>
              <w:bottom w:val="single" w:sz="8" w:space="0" w:color="auto"/>
              <w:right w:val="single" w:sz="4" w:space="0" w:color="auto"/>
            </w:tcBorders>
            <w:shd w:val="clear" w:color="auto" w:fill="auto"/>
            <w:vAlign w:val="bottom"/>
            <w:hideMark/>
          </w:tcPr>
          <w:p w:rsidR="00242C36" w:rsidRPr="00C30AA6" w:rsidRDefault="00242C36" w:rsidP="00242C36">
            <w:pPr>
              <w:jc w:val="center"/>
              <w:rPr>
                <w:sz w:val="18"/>
                <w:szCs w:val="18"/>
              </w:rPr>
            </w:pPr>
            <w:r w:rsidRPr="00C30AA6">
              <w:rPr>
                <w:sz w:val="18"/>
                <w:szCs w:val="18"/>
              </w:rPr>
              <w:t>Teplo        (TJ)</w:t>
            </w:r>
          </w:p>
        </w:tc>
        <w:tc>
          <w:tcPr>
            <w:tcW w:w="570" w:type="pct"/>
            <w:tcBorders>
              <w:top w:val="nil"/>
              <w:left w:val="nil"/>
              <w:bottom w:val="single" w:sz="8" w:space="0" w:color="auto"/>
              <w:right w:val="single" w:sz="4" w:space="0" w:color="auto"/>
            </w:tcBorders>
            <w:shd w:val="clear" w:color="auto" w:fill="auto"/>
            <w:vAlign w:val="bottom"/>
            <w:hideMark/>
          </w:tcPr>
          <w:p w:rsidR="00242C36" w:rsidRPr="00C30AA6" w:rsidRDefault="00242C36" w:rsidP="00242C36">
            <w:pPr>
              <w:jc w:val="center"/>
              <w:rPr>
                <w:sz w:val="18"/>
                <w:szCs w:val="18"/>
              </w:rPr>
            </w:pPr>
            <w:r w:rsidRPr="00C30AA6">
              <w:rPr>
                <w:sz w:val="18"/>
                <w:szCs w:val="18"/>
              </w:rPr>
              <w:t>Elektrina (GWh)</w:t>
            </w:r>
          </w:p>
        </w:tc>
        <w:tc>
          <w:tcPr>
            <w:tcW w:w="573" w:type="pct"/>
            <w:tcBorders>
              <w:top w:val="nil"/>
              <w:left w:val="nil"/>
              <w:bottom w:val="single" w:sz="8" w:space="0" w:color="auto"/>
              <w:right w:val="single" w:sz="4" w:space="0" w:color="auto"/>
            </w:tcBorders>
            <w:shd w:val="clear" w:color="auto" w:fill="auto"/>
            <w:vAlign w:val="bottom"/>
            <w:hideMark/>
          </w:tcPr>
          <w:p w:rsidR="00242C36" w:rsidRPr="00C30AA6" w:rsidRDefault="00242C36" w:rsidP="00242C36">
            <w:pPr>
              <w:jc w:val="center"/>
              <w:rPr>
                <w:sz w:val="18"/>
                <w:szCs w:val="18"/>
              </w:rPr>
            </w:pPr>
            <w:r w:rsidRPr="00C30AA6">
              <w:rPr>
                <w:sz w:val="18"/>
                <w:szCs w:val="18"/>
              </w:rPr>
              <w:t>Teplo        (TJ)</w:t>
            </w:r>
          </w:p>
        </w:tc>
        <w:tc>
          <w:tcPr>
            <w:tcW w:w="570" w:type="pct"/>
            <w:tcBorders>
              <w:top w:val="nil"/>
              <w:left w:val="nil"/>
              <w:bottom w:val="single" w:sz="8" w:space="0" w:color="auto"/>
              <w:right w:val="single" w:sz="4" w:space="0" w:color="auto"/>
            </w:tcBorders>
            <w:shd w:val="clear" w:color="auto" w:fill="auto"/>
            <w:vAlign w:val="bottom"/>
            <w:hideMark/>
          </w:tcPr>
          <w:p w:rsidR="00242C36" w:rsidRPr="00C30AA6" w:rsidRDefault="00242C36" w:rsidP="00242C36">
            <w:pPr>
              <w:jc w:val="center"/>
              <w:rPr>
                <w:sz w:val="18"/>
                <w:szCs w:val="18"/>
              </w:rPr>
            </w:pPr>
            <w:r w:rsidRPr="00C30AA6">
              <w:rPr>
                <w:sz w:val="18"/>
                <w:szCs w:val="18"/>
              </w:rPr>
              <w:t>Index 2012/11</w:t>
            </w:r>
          </w:p>
        </w:tc>
        <w:tc>
          <w:tcPr>
            <w:tcW w:w="558" w:type="pct"/>
            <w:tcBorders>
              <w:top w:val="nil"/>
              <w:left w:val="nil"/>
              <w:bottom w:val="single" w:sz="8" w:space="0" w:color="auto"/>
              <w:right w:val="single" w:sz="8" w:space="0" w:color="auto"/>
            </w:tcBorders>
            <w:shd w:val="clear" w:color="auto" w:fill="auto"/>
            <w:vAlign w:val="bottom"/>
            <w:hideMark/>
          </w:tcPr>
          <w:p w:rsidR="00242C36" w:rsidRPr="00C30AA6" w:rsidRDefault="00242C36" w:rsidP="00242C36">
            <w:pPr>
              <w:jc w:val="center"/>
              <w:rPr>
                <w:sz w:val="18"/>
                <w:szCs w:val="18"/>
              </w:rPr>
            </w:pPr>
            <w:r w:rsidRPr="00C30AA6">
              <w:rPr>
                <w:sz w:val="18"/>
                <w:szCs w:val="18"/>
              </w:rPr>
              <w:t>Index 2012/11</w:t>
            </w:r>
          </w:p>
        </w:tc>
      </w:tr>
      <w:tr w:rsidR="00242C36" w:rsidRPr="00C30AA6" w:rsidTr="00CC6591">
        <w:trPr>
          <w:trHeight w:val="480"/>
        </w:trPr>
        <w:tc>
          <w:tcPr>
            <w:tcW w:w="1588" w:type="pct"/>
            <w:tcBorders>
              <w:top w:val="nil"/>
              <w:left w:val="single" w:sz="8" w:space="0" w:color="auto"/>
              <w:bottom w:val="nil"/>
              <w:right w:val="nil"/>
            </w:tcBorders>
            <w:shd w:val="clear" w:color="auto" w:fill="auto"/>
            <w:noWrap/>
            <w:vAlign w:val="center"/>
            <w:hideMark/>
          </w:tcPr>
          <w:p w:rsidR="00242C36" w:rsidRPr="00C30AA6" w:rsidRDefault="00242C36" w:rsidP="00CC6591">
            <w:pPr>
              <w:jc w:val="left"/>
              <w:rPr>
                <w:sz w:val="18"/>
                <w:szCs w:val="18"/>
              </w:rPr>
            </w:pPr>
            <w:r w:rsidRPr="00C30AA6">
              <w:rPr>
                <w:sz w:val="18"/>
                <w:szCs w:val="18"/>
              </w:rPr>
              <w:t>Tuhý mestský odpad</w:t>
            </w:r>
          </w:p>
        </w:tc>
        <w:tc>
          <w:tcPr>
            <w:tcW w:w="570" w:type="pct"/>
            <w:tcBorders>
              <w:top w:val="nil"/>
              <w:left w:val="single" w:sz="4" w:space="0" w:color="auto"/>
              <w:bottom w:val="nil"/>
              <w:right w:val="single" w:sz="4" w:space="0" w:color="auto"/>
            </w:tcBorders>
            <w:shd w:val="clear" w:color="auto" w:fill="auto"/>
            <w:vAlign w:val="center"/>
            <w:hideMark/>
          </w:tcPr>
          <w:p w:rsidR="00242C36" w:rsidRPr="00C30AA6" w:rsidRDefault="00242C36" w:rsidP="00242C36">
            <w:pPr>
              <w:jc w:val="center"/>
              <w:rPr>
                <w:sz w:val="18"/>
                <w:szCs w:val="18"/>
              </w:rPr>
            </w:pPr>
            <w:r w:rsidRPr="00C30AA6">
              <w:rPr>
                <w:sz w:val="18"/>
                <w:szCs w:val="18"/>
              </w:rPr>
              <w:t>39</w:t>
            </w:r>
          </w:p>
        </w:tc>
        <w:tc>
          <w:tcPr>
            <w:tcW w:w="571" w:type="pct"/>
            <w:tcBorders>
              <w:top w:val="nil"/>
              <w:left w:val="nil"/>
              <w:bottom w:val="nil"/>
              <w:right w:val="single" w:sz="4" w:space="0" w:color="auto"/>
            </w:tcBorders>
            <w:shd w:val="clear" w:color="auto" w:fill="auto"/>
            <w:vAlign w:val="center"/>
            <w:hideMark/>
          </w:tcPr>
          <w:p w:rsidR="00242C36" w:rsidRPr="00C30AA6" w:rsidRDefault="00242C36" w:rsidP="00242C36">
            <w:pPr>
              <w:jc w:val="center"/>
              <w:rPr>
                <w:sz w:val="18"/>
                <w:szCs w:val="18"/>
              </w:rPr>
            </w:pPr>
            <w:r w:rsidRPr="00C30AA6">
              <w:rPr>
                <w:sz w:val="18"/>
                <w:szCs w:val="18"/>
              </w:rPr>
              <w:t>121</w:t>
            </w:r>
          </w:p>
        </w:tc>
        <w:tc>
          <w:tcPr>
            <w:tcW w:w="570" w:type="pct"/>
            <w:tcBorders>
              <w:top w:val="nil"/>
              <w:left w:val="nil"/>
              <w:bottom w:val="nil"/>
              <w:right w:val="single" w:sz="4" w:space="0" w:color="auto"/>
            </w:tcBorders>
            <w:shd w:val="clear" w:color="auto" w:fill="auto"/>
            <w:vAlign w:val="center"/>
            <w:hideMark/>
          </w:tcPr>
          <w:p w:rsidR="00242C36" w:rsidRPr="00C30AA6" w:rsidRDefault="00242C36" w:rsidP="00242C36">
            <w:pPr>
              <w:jc w:val="center"/>
              <w:rPr>
                <w:sz w:val="18"/>
                <w:szCs w:val="18"/>
              </w:rPr>
            </w:pPr>
            <w:r w:rsidRPr="00C30AA6">
              <w:rPr>
                <w:sz w:val="18"/>
                <w:szCs w:val="18"/>
              </w:rPr>
              <w:t>41</w:t>
            </w:r>
          </w:p>
        </w:tc>
        <w:tc>
          <w:tcPr>
            <w:tcW w:w="573" w:type="pct"/>
            <w:tcBorders>
              <w:top w:val="nil"/>
              <w:left w:val="nil"/>
              <w:bottom w:val="nil"/>
              <w:right w:val="single" w:sz="4" w:space="0" w:color="auto"/>
            </w:tcBorders>
            <w:shd w:val="clear" w:color="auto" w:fill="auto"/>
            <w:vAlign w:val="center"/>
            <w:hideMark/>
          </w:tcPr>
          <w:p w:rsidR="00242C36" w:rsidRPr="00C30AA6" w:rsidRDefault="00242C36" w:rsidP="00242C36">
            <w:pPr>
              <w:jc w:val="center"/>
              <w:rPr>
                <w:sz w:val="18"/>
                <w:szCs w:val="18"/>
              </w:rPr>
            </w:pPr>
            <w:r w:rsidRPr="00C30AA6">
              <w:rPr>
                <w:sz w:val="18"/>
                <w:szCs w:val="18"/>
              </w:rPr>
              <w:t>117</w:t>
            </w:r>
          </w:p>
        </w:tc>
        <w:tc>
          <w:tcPr>
            <w:tcW w:w="570" w:type="pct"/>
            <w:tcBorders>
              <w:top w:val="nil"/>
              <w:left w:val="nil"/>
              <w:bottom w:val="nil"/>
              <w:right w:val="single" w:sz="4" w:space="0" w:color="auto"/>
            </w:tcBorders>
            <w:shd w:val="clear" w:color="auto" w:fill="auto"/>
            <w:vAlign w:val="center"/>
            <w:hideMark/>
          </w:tcPr>
          <w:p w:rsidR="00242C36" w:rsidRPr="00C30AA6" w:rsidRDefault="00242C36" w:rsidP="00242C36">
            <w:pPr>
              <w:jc w:val="center"/>
              <w:rPr>
                <w:sz w:val="18"/>
                <w:szCs w:val="18"/>
              </w:rPr>
            </w:pPr>
            <w:r w:rsidRPr="00C30AA6">
              <w:rPr>
                <w:sz w:val="18"/>
                <w:szCs w:val="18"/>
              </w:rPr>
              <w:t>105,1</w:t>
            </w:r>
          </w:p>
        </w:tc>
        <w:tc>
          <w:tcPr>
            <w:tcW w:w="558" w:type="pct"/>
            <w:tcBorders>
              <w:top w:val="nil"/>
              <w:left w:val="nil"/>
              <w:bottom w:val="nil"/>
              <w:right w:val="single" w:sz="8" w:space="0" w:color="auto"/>
            </w:tcBorders>
            <w:shd w:val="clear" w:color="auto" w:fill="auto"/>
            <w:vAlign w:val="center"/>
            <w:hideMark/>
          </w:tcPr>
          <w:p w:rsidR="00242C36" w:rsidRPr="00C30AA6" w:rsidRDefault="00242C36" w:rsidP="00242C36">
            <w:pPr>
              <w:jc w:val="center"/>
              <w:rPr>
                <w:sz w:val="18"/>
                <w:szCs w:val="18"/>
              </w:rPr>
            </w:pPr>
            <w:r w:rsidRPr="00C30AA6">
              <w:rPr>
                <w:sz w:val="18"/>
                <w:szCs w:val="18"/>
              </w:rPr>
              <w:t>96,7</w:t>
            </w:r>
          </w:p>
        </w:tc>
      </w:tr>
      <w:tr w:rsidR="00242C36" w:rsidRPr="00C30AA6" w:rsidTr="00CC6591">
        <w:trPr>
          <w:trHeight w:val="480"/>
        </w:trPr>
        <w:tc>
          <w:tcPr>
            <w:tcW w:w="1588" w:type="pct"/>
            <w:tcBorders>
              <w:top w:val="nil"/>
              <w:left w:val="single" w:sz="8" w:space="0" w:color="auto"/>
              <w:bottom w:val="nil"/>
              <w:right w:val="nil"/>
            </w:tcBorders>
            <w:shd w:val="clear" w:color="auto" w:fill="auto"/>
            <w:vAlign w:val="center"/>
            <w:hideMark/>
          </w:tcPr>
          <w:p w:rsidR="00242C36" w:rsidRPr="00C30AA6" w:rsidRDefault="00242C36" w:rsidP="00CC6591">
            <w:pPr>
              <w:jc w:val="left"/>
              <w:rPr>
                <w:sz w:val="18"/>
                <w:szCs w:val="18"/>
              </w:rPr>
            </w:pPr>
            <w:r w:rsidRPr="00C30AA6">
              <w:rPr>
                <w:sz w:val="18"/>
                <w:szCs w:val="18"/>
              </w:rPr>
              <w:t>Drevo / drevný odpad /    ostatný tuhý odpad</w:t>
            </w:r>
          </w:p>
        </w:tc>
        <w:tc>
          <w:tcPr>
            <w:tcW w:w="570" w:type="pct"/>
            <w:tcBorders>
              <w:top w:val="nil"/>
              <w:left w:val="single" w:sz="4" w:space="0" w:color="auto"/>
              <w:bottom w:val="nil"/>
              <w:right w:val="single" w:sz="4" w:space="0" w:color="auto"/>
            </w:tcBorders>
            <w:shd w:val="clear" w:color="auto" w:fill="auto"/>
            <w:noWrap/>
            <w:vAlign w:val="center"/>
            <w:hideMark/>
          </w:tcPr>
          <w:p w:rsidR="00242C36" w:rsidRPr="00C30AA6" w:rsidRDefault="00242C36" w:rsidP="00242C36">
            <w:pPr>
              <w:jc w:val="center"/>
              <w:rPr>
                <w:sz w:val="18"/>
                <w:szCs w:val="18"/>
              </w:rPr>
            </w:pPr>
            <w:r w:rsidRPr="00C30AA6">
              <w:rPr>
                <w:sz w:val="18"/>
                <w:szCs w:val="18"/>
              </w:rPr>
              <w:t>682</w:t>
            </w:r>
          </w:p>
        </w:tc>
        <w:tc>
          <w:tcPr>
            <w:tcW w:w="571" w:type="pct"/>
            <w:tcBorders>
              <w:top w:val="nil"/>
              <w:left w:val="nil"/>
              <w:bottom w:val="nil"/>
              <w:right w:val="single" w:sz="4" w:space="0" w:color="auto"/>
            </w:tcBorders>
            <w:shd w:val="clear" w:color="auto" w:fill="auto"/>
            <w:noWrap/>
            <w:vAlign w:val="center"/>
            <w:hideMark/>
          </w:tcPr>
          <w:p w:rsidR="00242C36" w:rsidRPr="00C30AA6" w:rsidRDefault="00242C36" w:rsidP="00242C36">
            <w:pPr>
              <w:jc w:val="center"/>
              <w:rPr>
                <w:sz w:val="18"/>
                <w:szCs w:val="18"/>
              </w:rPr>
            </w:pPr>
            <w:r w:rsidRPr="00C30AA6">
              <w:rPr>
                <w:sz w:val="18"/>
                <w:szCs w:val="18"/>
              </w:rPr>
              <w:t>4 248</w:t>
            </w:r>
          </w:p>
        </w:tc>
        <w:tc>
          <w:tcPr>
            <w:tcW w:w="570" w:type="pct"/>
            <w:tcBorders>
              <w:top w:val="nil"/>
              <w:left w:val="nil"/>
              <w:bottom w:val="nil"/>
              <w:right w:val="single" w:sz="4" w:space="0" w:color="auto"/>
            </w:tcBorders>
            <w:shd w:val="clear" w:color="auto" w:fill="auto"/>
            <w:noWrap/>
            <w:vAlign w:val="center"/>
            <w:hideMark/>
          </w:tcPr>
          <w:p w:rsidR="00242C36" w:rsidRPr="00C30AA6" w:rsidRDefault="00242C36" w:rsidP="00242C36">
            <w:pPr>
              <w:jc w:val="center"/>
              <w:rPr>
                <w:sz w:val="18"/>
                <w:szCs w:val="18"/>
              </w:rPr>
            </w:pPr>
            <w:r w:rsidRPr="00C30AA6">
              <w:rPr>
                <w:sz w:val="18"/>
                <w:szCs w:val="18"/>
              </w:rPr>
              <w:t>724</w:t>
            </w:r>
          </w:p>
        </w:tc>
        <w:tc>
          <w:tcPr>
            <w:tcW w:w="573" w:type="pct"/>
            <w:tcBorders>
              <w:top w:val="nil"/>
              <w:left w:val="nil"/>
              <w:bottom w:val="nil"/>
              <w:right w:val="single" w:sz="4" w:space="0" w:color="auto"/>
            </w:tcBorders>
            <w:shd w:val="clear" w:color="auto" w:fill="auto"/>
            <w:noWrap/>
            <w:vAlign w:val="center"/>
            <w:hideMark/>
          </w:tcPr>
          <w:p w:rsidR="00242C36" w:rsidRPr="00C30AA6" w:rsidRDefault="00242C36" w:rsidP="00242C36">
            <w:pPr>
              <w:jc w:val="center"/>
              <w:rPr>
                <w:sz w:val="18"/>
                <w:szCs w:val="18"/>
              </w:rPr>
            </w:pPr>
            <w:r w:rsidRPr="00C30AA6">
              <w:rPr>
                <w:sz w:val="18"/>
                <w:szCs w:val="18"/>
              </w:rPr>
              <w:t>7 225</w:t>
            </w:r>
          </w:p>
        </w:tc>
        <w:tc>
          <w:tcPr>
            <w:tcW w:w="570" w:type="pct"/>
            <w:tcBorders>
              <w:top w:val="nil"/>
              <w:left w:val="nil"/>
              <w:bottom w:val="nil"/>
              <w:right w:val="single" w:sz="4" w:space="0" w:color="auto"/>
            </w:tcBorders>
            <w:shd w:val="clear" w:color="auto" w:fill="auto"/>
            <w:noWrap/>
            <w:vAlign w:val="center"/>
            <w:hideMark/>
          </w:tcPr>
          <w:p w:rsidR="00242C36" w:rsidRPr="00C30AA6" w:rsidRDefault="00242C36" w:rsidP="00242C36">
            <w:pPr>
              <w:jc w:val="center"/>
              <w:rPr>
                <w:sz w:val="18"/>
                <w:szCs w:val="18"/>
              </w:rPr>
            </w:pPr>
            <w:r w:rsidRPr="00C30AA6">
              <w:rPr>
                <w:sz w:val="18"/>
                <w:szCs w:val="18"/>
              </w:rPr>
              <w:t>106,2</w:t>
            </w:r>
          </w:p>
        </w:tc>
        <w:tc>
          <w:tcPr>
            <w:tcW w:w="558" w:type="pct"/>
            <w:tcBorders>
              <w:top w:val="nil"/>
              <w:left w:val="nil"/>
              <w:bottom w:val="nil"/>
              <w:right w:val="single" w:sz="8" w:space="0" w:color="auto"/>
            </w:tcBorders>
            <w:shd w:val="clear" w:color="auto" w:fill="auto"/>
            <w:noWrap/>
            <w:vAlign w:val="center"/>
            <w:hideMark/>
          </w:tcPr>
          <w:p w:rsidR="00242C36" w:rsidRPr="00C30AA6" w:rsidRDefault="00242C36" w:rsidP="00242C36">
            <w:pPr>
              <w:jc w:val="center"/>
              <w:rPr>
                <w:sz w:val="18"/>
                <w:szCs w:val="18"/>
              </w:rPr>
            </w:pPr>
            <w:r w:rsidRPr="00C30AA6">
              <w:rPr>
                <w:sz w:val="18"/>
                <w:szCs w:val="18"/>
              </w:rPr>
              <w:t>170,1</w:t>
            </w:r>
          </w:p>
        </w:tc>
      </w:tr>
      <w:tr w:rsidR="00242C36" w:rsidRPr="00C30AA6" w:rsidTr="00CC6591">
        <w:trPr>
          <w:trHeight w:val="480"/>
        </w:trPr>
        <w:tc>
          <w:tcPr>
            <w:tcW w:w="1588" w:type="pct"/>
            <w:tcBorders>
              <w:top w:val="nil"/>
              <w:left w:val="single" w:sz="8" w:space="0" w:color="auto"/>
              <w:bottom w:val="nil"/>
              <w:right w:val="nil"/>
            </w:tcBorders>
            <w:shd w:val="clear" w:color="auto" w:fill="auto"/>
            <w:vAlign w:val="center"/>
            <w:hideMark/>
          </w:tcPr>
          <w:p w:rsidR="00242C36" w:rsidRPr="00C30AA6" w:rsidRDefault="00242C36" w:rsidP="00CC6591">
            <w:pPr>
              <w:jc w:val="left"/>
              <w:rPr>
                <w:sz w:val="18"/>
                <w:szCs w:val="18"/>
              </w:rPr>
            </w:pPr>
            <w:r w:rsidRPr="00C30AA6">
              <w:rPr>
                <w:sz w:val="18"/>
                <w:szCs w:val="18"/>
              </w:rPr>
              <w:t>Bioplyn z organických látok</w:t>
            </w:r>
          </w:p>
        </w:tc>
        <w:tc>
          <w:tcPr>
            <w:tcW w:w="570" w:type="pct"/>
            <w:tcBorders>
              <w:top w:val="nil"/>
              <w:left w:val="single" w:sz="4" w:space="0" w:color="auto"/>
              <w:bottom w:val="nil"/>
              <w:right w:val="single" w:sz="4" w:space="0" w:color="auto"/>
            </w:tcBorders>
            <w:shd w:val="clear" w:color="auto" w:fill="auto"/>
            <w:noWrap/>
            <w:vAlign w:val="center"/>
            <w:hideMark/>
          </w:tcPr>
          <w:p w:rsidR="00242C36" w:rsidRPr="00C30AA6" w:rsidRDefault="00242C36" w:rsidP="00242C36">
            <w:pPr>
              <w:jc w:val="center"/>
              <w:rPr>
                <w:sz w:val="18"/>
                <w:szCs w:val="18"/>
              </w:rPr>
            </w:pPr>
            <w:r w:rsidRPr="00C30AA6">
              <w:rPr>
                <w:sz w:val="18"/>
                <w:szCs w:val="18"/>
              </w:rPr>
              <w:t>_</w:t>
            </w:r>
          </w:p>
        </w:tc>
        <w:tc>
          <w:tcPr>
            <w:tcW w:w="571" w:type="pct"/>
            <w:tcBorders>
              <w:top w:val="nil"/>
              <w:left w:val="nil"/>
              <w:bottom w:val="nil"/>
              <w:right w:val="single" w:sz="4" w:space="0" w:color="auto"/>
            </w:tcBorders>
            <w:shd w:val="clear" w:color="auto" w:fill="auto"/>
            <w:noWrap/>
            <w:vAlign w:val="center"/>
            <w:hideMark/>
          </w:tcPr>
          <w:p w:rsidR="00242C36" w:rsidRPr="00C30AA6" w:rsidRDefault="00242C36" w:rsidP="00242C36">
            <w:pPr>
              <w:jc w:val="center"/>
              <w:rPr>
                <w:sz w:val="18"/>
                <w:szCs w:val="18"/>
              </w:rPr>
            </w:pPr>
            <w:r w:rsidRPr="00C30AA6">
              <w:rPr>
                <w:sz w:val="18"/>
                <w:szCs w:val="18"/>
              </w:rPr>
              <w:t>1</w:t>
            </w:r>
          </w:p>
        </w:tc>
        <w:tc>
          <w:tcPr>
            <w:tcW w:w="570" w:type="pct"/>
            <w:tcBorders>
              <w:top w:val="nil"/>
              <w:left w:val="nil"/>
              <w:bottom w:val="nil"/>
              <w:right w:val="single" w:sz="4" w:space="0" w:color="auto"/>
            </w:tcBorders>
            <w:shd w:val="clear" w:color="auto" w:fill="auto"/>
            <w:noWrap/>
            <w:vAlign w:val="center"/>
            <w:hideMark/>
          </w:tcPr>
          <w:p w:rsidR="00242C36" w:rsidRPr="00C30AA6" w:rsidRDefault="00242C36" w:rsidP="00242C36">
            <w:pPr>
              <w:jc w:val="center"/>
              <w:rPr>
                <w:sz w:val="18"/>
                <w:szCs w:val="18"/>
              </w:rPr>
            </w:pPr>
            <w:r w:rsidRPr="00C30AA6">
              <w:rPr>
                <w:sz w:val="18"/>
                <w:szCs w:val="18"/>
              </w:rPr>
              <w:t>_</w:t>
            </w:r>
          </w:p>
        </w:tc>
        <w:tc>
          <w:tcPr>
            <w:tcW w:w="573" w:type="pct"/>
            <w:tcBorders>
              <w:top w:val="nil"/>
              <w:left w:val="nil"/>
              <w:bottom w:val="nil"/>
              <w:right w:val="single" w:sz="4" w:space="0" w:color="auto"/>
            </w:tcBorders>
            <w:shd w:val="clear" w:color="auto" w:fill="auto"/>
            <w:noWrap/>
            <w:vAlign w:val="center"/>
            <w:hideMark/>
          </w:tcPr>
          <w:p w:rsidR="00242C36" w:rsidRPr="00C30AA6" w:rsidRDefault="00242C36" w:rsidP="00242C36">
            <w:pPr>
              <w:jc w:val="center"/>
              <w:rPr>
                <w:sz w:val="18"/>
                <w:szCs w:val="18"/>
              </w:rPr>
            </w:pPr>
            <w:r w:rsidRPr="00C30AA6">
              <w:rPr>
                <w:sz w:val="18"/>
                <w:szCs w:val="18"/>
              </w:rPr>
              <w:t>2</w:t>
            </w:r>
          </w:p>
        </w:tc>
        <w:tc>
          <w:tcPr>
            <w:tcW w:w="570" w:type="pct"/>
            <w:tcBorders>
              <w:top w:val="nil"/>
              <w:left w:val="nil"/>
              <w:bottom w:val="nil"/>
              <w:right w:val="single" w:sz="4" w:space="0" w:color="auto"/>
            </w:tcBorders>
            <w:shd w:val="clear" w:color="auto" w:fill="auto"/>
            <w:noWrap/>
            <w:vAlign w:val="center"/>
            <w:hideMark/>
          </w:tcPr>
          <w:p w:rsidR="00242C36" w:rsidRPr="00C30AA6" w:rsidRDefault="00242C36" w:rsidP="00242C36">
            <w:pPr>
              <w:jc w:val="center"/>
              <w:rPr>
                <w:sz w:val="18"/>
                <w:szCs w:val="18"/>
              </w:rPr>
            </w:pPr>
            <w:r w:rsidRPr="00C30AA6">
              <w:rPr>
                <w:sz w:val="18"/>
                <w:szCs w:val="18"/>
              </w:rPr>
              <w:t>_</w:t>
            </w:r>
          </w:p>
        </w:tc>
        <w:tc>
          <w:tcPr>
            <w:tcW w:w="558" w:type="pct"/>
            <w:tcBorders>
              <w:top w:val="nil"/>
              <w:left w:val="nil"/>
              <w:bottom w:val="nil"/>
              <w:right w:val="single" w:sz="8" w:space="0" w:color="auto"/>
            </w:tcBorders>
            <w:shd w:val="clear" w:color="auto" w:fill="auto"/>
            <w:noWrap/>
            <w:vAlign w:val="center"/>
            <w:hideMark/>
          </w:tcPr>
          <w:p w:rsidR="00242C36" w:rsidRPr="00C30AA6" w:rsidRDefault="00242C36" w:rsidP="00242C36">
            <w:pPr>
              <w:jc w:val="center"/>
              <w:rPr>
                <w:sz w:val="18"/>
                <w:szCs w:val="18"/>
              </w:rPr>
            </w:pPr>
            <w:r w:rsidRPr="00C30AA6">
              <w:rPr>
                <w:sz w:val="18"/>
                <w:szCs w:val="18"/>
              </w:rPr>
              <w:t>200,0</w:t>
            </w:r>
          </w:p>
        </w:tc>
      </w:tr>
      <w:tr w:rsidR="00242C36" w:rsidRPr="00C30AA6" w:rsidTr="00CC6591">
        <w:trPr>
          <w:trHeight w:val="480"/>
        </w:trPr>
        <w:tc>
          <w:tcPr>
            <w:tcW w:w="1588" w:type="pct"/>
            <w:tcBorders>
              <w:top w:val="nil"/>
              <w:left w:val="single" w:sz="8" w:space="0" w:color="auto"/>
              <w:bottom w:val="nil"/>
              <w:right w:val="nil"/>
            </w:tcBorders>
            <w:shd w:val="clear" w:color="auto" w:fill="auto"/>
            <w:vAlign w:val="center"/>
            <w:hideMark/>
          </w:tcPr>
          <w:p w:rsidR="00242C36" w:rsidRPr="00C30AA6" w:rsidRDefault="00242C36" w:rsidP="00CC6591">
            <w:pPr>
              <w:jc w:val="left"/>
              <w:rPr>
                <w:sz w:val="18"/>
                <w:szCs w:val="18"/>
              </w:rPr>
            </w:pPr>
            <w:r w:rsidRPr="00C30AA6">
              <w:rPr>
                <w:sz w:val="18"/>
                <w:szCs w:val="18"/>
              </w:rPr>
              <w:t>Bioplyn z čističiek odpadových vôd</w:t>
            </w:r>
          </w:p>
        </w:tc>
        <w:tc>
          <w:tcPr>
            <w:tcW w:w="570" w:type="pct"/>
            <w:tcBorders>
              <w:top w:val="nil"/>
              <w:left w:val="single" w:sz="4" w:space="0" w:color="auto"/>
              <w:bottom w:val="nil"/>
              <w:right w:val="single" w:sz="4" w:space="0" w:color="auto"/>
            </w:tcBorders>
            <w:shd w:val="clear" w:color="auto" w:fill="auto"/>
            <w:noWrap/>
            <w:vAlign w:val="center"/>
            <w:hideMark/>
          </w:tcPr>
          <w:p w:rsidR="00242C36" w:rsidRPr="00C30AA6" w:rsidRDefault="00242C36" w:rsidP="00242C36">
            <w:pPr>
              <w:jc w:val="center"/>
              <w:rPr>
                <w:sz w:val="18"/>
                <w:szCs w:val="18"/>
              </w:rPr>
            </w:pPr>
            <w:r w:rsidRPr="00C30AA6">
              <w:rPr>
                <w:sz w:val="18"/>
                <w:szCs w:val="18"/>
              </w:rPr>
              <w:t>22</w:t>
            </w:r>
          </w:p>
        </w:tc>
        <w:tc>
          <w:tcPr>
            <w:tcW w:w="571" w:type="pct"/>
            <w:tcBorders>
              <w:top w:val="nil"/>
              <w:left w:val="nil"/>
              <w:bottom w:val="nil"/>
              <w:right w:val="single" w:sz="4" w:space="0" w:color="auto"/>
            </w:tcBorders>
            <w:shd w:val="clear" w:color="auto" w:fill="auto"/>
            <w:noWrap/>
            <w:vAlign w:val="center"/>
            <w:hideMark/>
          </w:tcPr>
          <w:p w:rsidR="00242C36" w:rsidRPr="00C30AA6" w:rsidRDefault="00242C36" w:rsidP="00242C36">
            <w:pPr>
              <w:jc w:val="center"/>
              <w:rPr>
                <w:sz w:val="18"/>
                <w:szCs w:val="18"/>
              </w:rPr>
            </w:pPr>
            <w:r w:rsidRPr="00C30AA6">
              <w:rPr>
                <w:sz w:val="18"/>
                <w:szCs w:val="18"/>
              </w:rPr>
              <w:t>17</w:t>
            </w:r>
          </w:p>
        </w:tc>
        <w:tc>
          <w:tcPr>
            <w:tcW w:w="570" w:type="pct"/>
            <w:tcBorders>
              <w:top w:val="nil"/>
              <w:left w:val="nil"/>
              <w:bottom w:val="nil"/>
              <w:right w:val="single" w:sz="4" w:space="0" w:color="auto"/>
            </w:tcBorders>
            <w:shd w:val="clear" w:color="auto" w:fill="auto"/>
            <w:noWrap/>
            <w:vAlign w:val="center"/>
            <w:hideMark/>
          </w:tcPr>
          <w:p w:rsidR="00242C36" w:rsidRPr="00C30AA6" w:rsidRDefault="00242C36" w:rsidP="00242C36">
            <w:pPr>
              <w:jc w:val="center"/>
              <w:rPr>
                <w:sz w:val="18"/>
                <w:szCs w:val="18"/>
              </w:rPr>
            </w:pPr>
            <w:r w:rsidRPr="00C30AA6">
              <w:rPr>
                <w:sz w:val="18"/>
                <w:szCs w:val="18"/>
              </w:rPr>
              <w:t>30</w:t>
            </w:r>
          </w:p>
        </w:tc>
        <w:tc>
          <w:tcPr>
            <w:tcW w:w="573" w:type="pct"/>
            <w:tcBorders>
              <w:top w:val="nil"/>
              <w:left w:val="nil"/>
              <w:bottom w:val="nil"/>
              <w:right w:val="single" w:sz="4" w:space="0" w:color="auto"/>
            </w:tcBorders>
            <w:shd w:val="clear" w:color="auto" w:fill="auto"/>
            <w:noWrap/>
            <w:vAlign w:val="center"/>
            <w:hideMark/>
          </w:tcPr>
          <w:p w:rsidR="00242C36" w:rsidRPr="00C30AA6" w:rsidRDefault="00242C36" w:rsidP="00242C36">
            <w:pPr>
              <w:jc w:val="center"/>
              <w:rPr>
                <w:sz w:val="18"/>
                <w:szCs w:val="18"/>
              </w:rPr>
            </w:pPr>
            <w:r w:rsidRPr="00C30AA6">
              <w:rPr>
                <w:sz w:val="18"/>
                <w:szCs w:val="18"/>
              </w:rPr>
              <w:t>10</w:t>
            </w:r>
          </w:p>
        </w:tc>
        <w:tc>
          <w:tcPr>
            <w:tcW w:w="570" w:type="pct"/>
            <w:tcBorders>
              <w:top w:val="nil"/>
              <w:left w:val="nil"/>
              <w:bottom w:val="nil"/>
              <w:right w:val="single" w:sz="4" w:space="0" w:color="auto"/>
            </w:tcBorders>
            <w:shd w:val="clear" w:color="auto" w:fill="auto"/>
            <w:noWrap/>
            <w:vAlign w:val="center"/>
            <w:hideMark/>
          </w:tcPr>
          <w:p w:rsidR="00242C36" w:rsidRPr="00C30AA6" w:rsidRDefault="00242C36" w:rsidP="00242C36">
            <w:pPr>
              <w:jc w:val="center"/>
              <w:rPr>
                <w:sz w:val="18"/>
                <w:szCs w:val="18"/>
              </w:rPr>
            </w:pPr>
            <w:r w:rsidRPr="00C30AA6">
              <w:rPr>
                <w:sz w:val="18"/>
                <w:szCs w:val="18"/>
              </w:rPr>
              <w:t>136,4</w:t>
            </w:r>
          </w:p>
        </w:tc>
        <w:tc>
          <w:tcPr>
            <w:tcW w:w="558" w:type="pct"/>
            <w:tcBorders>
              <w:top w:val="nil"/>
              <w:left w:val="nil"/>
              <w:bottom w:val="nil"/>
              <w:right w:val="single" w:sz="8" w:space="0" w:color="auto"/>
            </w:tcBorders>
            <w:shd w:val="clear" w:color="auto" w:fill="auto"/>
            <w:noWrap/>
            <w:vAlign w:val="center"/>
            <w:hideMark/>
          </w:tcPr>
          <w:p w:rsidR="00242C36" w:rsidRPr="00C30AA6" w:rsidRDefault="00242C36" w:rsidP="00242C36">
            <w:pPr>
              <w:jc w:val="center"/>
              <w:rPr>
                <w:sz w:val="18"/>
                <w:szCs w:val="18"/>
              </w:rPr>
            </w:pPr>
            <w:r w:rsidRPr="00C30AA6">
              <w:rPr>
                <w:sz w:val="18"/>
                <w:szCs w:val="18"/>
              </w:rPr>
              <w:t>58,8</w:t>
            </w:r>
          </w:p>
        </w:tc>
      </w:tr>
      <w:tr w:rsidR="00242C36" w:rsidRPr="00C30AA6" w:rsidTr="00CC6591">
        <w:trPr>
          <w:trHeight w:val="480"/>
        </w:trPr>
        <w:tc>
          <w:tcPr>
            <w:tcW w:w="1588" w:type="pct"/>
            <w:tcBorders>
              <w:top w:val="nil"/>
              <w:left w:val="single" w:sz="8" w:space="0" w:color="auto"/>
              <w:bottom w:val="single" w:sz="4" w:space="0" w:color="auto"/>
              <w:right w:val="nil"/>
            </w:tcBorders>
            <w:shd w:val="clear" w:color="auto" w:fill="auto"/>
            <w:vAlign w:val="center"/>
            <w:hideMark/>
          </w:tcPr>
          <w:p w:rsidR="00242C36" w:rsidRPr="00C30AA6" w:rsidRDefault="00242C36" w:rsidP="00CC6591">
            <w:pPr>
              <w:jc w:val="left"/>
              <w:rPr>
                <w:sz w:val="18"/>
                <w:szCs w:val="18"/>
              </w:rPr>
            </w:pPr>
            <w:r w:rsidRPr="00C30AA6">
              <w:rPr>
                <w:sz w:val="18"/>
                <w:szCs w:val="18"/>
              </w:rPr>
              <w:t>Ostatný bioplyn</w:t>
            </w:r>
          </w:p>
        </w:tc>
        <w:tc>
          <w:tcPr>
            <w:tcW w:w="570" w:type="pct"/>
            <w:tcBorders>
              <w:top w:val="nil"/>
              <w:left w:val="single" w:sz="4" w:space="0" w:color="auto"/>
              <w:bottom w:val="single" w:sz="4" w:space="0" w:color="auto"/>
              <w:right w:val="single" w:sz="4" w:space="0" w:color="auto"/>
            </w:tcBorders>
            <w:shd w:val="clear" w:color="auto" w:fill="auto"/>
            <w:noWrap/>
            <w:vAlign w:val="center"/>
            <w:hideMark/>
          </w:tcPr>
          <w:p w:rsidR="00242C36" w:rsidRPr="00C30AA6" w:rsidRDefault="00242C36" w:rsidP="00242C36">
            <w:pPr>
              <w:jc w:val="center"/>
              <w:rPr>
                <w:sz w:val="18"/>
                <w:szCs w:val="18"/>
              </w:rPr>
            </w:pPr>
            <w:r w:rsidRPr="00C30AA6">
              <w:rPr>
                <w:sz w:val="18"/>
                <w:szCs w:val="18"/>
              </w:rPr>
              <w:t>81</w:t>
            </w:r>
          </w:p>
        </w:tc>
        <w:tc>
          <w:tcPr>
            <w:tcW w:w="571" w:type="pct"/>
            <w:tcBorders>
              <w:top w:val="nil"/>
              <w:left w:val="nil"/>
              <w:bottom w:val="single" w:sz="4" w:space="0" w:color="auto"/>
              <w:right w:val="single" w:sz="4" w:space="0" w:color="auto"/>
            </w:tcBorders>
            <w:shd w:val="clear" w:color="auto" w:fill="auto"/>
            <w:noWrap/>
            <w:vAlign w:val="center"/>
            <w:hideMark/>
          </w:tcPr>
          <w:p w:rsidR="00242C36" w:rsidRPr="00C30AA6" w:rsidRDefault="00242C36" w:rsidP="00242C36">
            <w:pPr>
              <w:jc w:val="center"/>
              <w:rPr>
                <w:sz w:val="18"/>
                <w:szCs w:val="18"/>
              </w:rPr>
            </w:pPr>
            <w:r w:rsidRPr="00C30AA6">
              <w:rPr>
                <w:sz w:val="18"/>
                <w:szCs w:val="18"/>
              </w:rPr>
              <w:t>136</w:t>
            </w:r>
          </w:p>
        </w:tc>
        <w:tc>
          <w:tcPr>
            <w:tcW w:w="570" w:type="pct"/>
            <w:tcBorders>
              <w:top w:val="nil"/>
              <w:left w:val="nil"/>
              <w:bottom w:val="single" w:sz="4" w:space="0" w:color="auto"/>
              <w:right w:val="single" w:sz="4" w:space="0" w:color="auto"/>
            </w:tcBorders>
            <w:shd w:val="clear" w:color="auto" w:fill="auto"/>
            <w:noWrap/>
            <w:vAlign w:val="center"/>
            <w:hideMark/>
          </w:tcPr>
          <w:p w:rsidR="00242C36" w:rsidRPr="00C30AA6" w:rsidRDefault="00242C36" w:rsidP="00242C36">
            <w:pPr>
              <w:jc w:val="center"/>
              <w:rPr>
                <w:sz w:val="18"/>
                <w:szCs w:val="18"/>
              </w:rPr>
            </w:pPr>
            <w:r w:rsidRPr="00C30AA6">
              <w:rPr>
                <w:sz w:val="18"/>
                <w:szCs w:val="18"/>
              </w:rPr>
              <w:t>145</w:t>
            </w:r>
          </w:p>
        </w:tc>
        <w:tc>
          <w:tcPr>
            <w:tcW w:w="573" w:type="pct"/>
            <w:tcBorders>
              <w:top w:val="nil"/>
              <w:left w:val="nil"/>
              <w:bottom w:val="single" w:sz="4" w:space="0" w:color="auto"/>
              <w:right w:val="single" w:sz="4" w:space="0" w:color="auto"/>
            </w:tcBorders>
            <w:shd w:val="clear" w:color="auto" w:fill="auto"/>
            <w:noWrap/>
            <w:vAlign w:val="center"/>
            <w:hideMark/>
          </w:tcPr>
          <w:p w:rsidR="00242C36" w:rsidRPr="00C30AA6" w:rsidRDefault="00242C36" w:rsidP="00242C36">
            <w:pPr>
              <w:jc w:val="center"/>
              <w:rPr>
                <w:sz w:val="18"/>
                <w:szCs w:val="18"/>
              </w:rPr>
            </w:pPr>
            <w:r w:rsidRPr="00C30AA6">
              <w:rPr>
                <w:sz w:val="18"/>
                <w:szCs w:val="18"/>
              </w:rPr>
              <w:t>100</w:t>
            </w:r>
          </w:p>
        </w:tc>
        <w:tc>
          <w:tcPr>
            <w:tcW w:w="570" w:type="pct"/>
            <w:tcBorders>
              <w:top w:val="nil"/>
              <w:left w:val="nil"/>
              <w:bottom w:val="single" w:sz="4" w:space="0" w:color="auto"/>
              <w:right w:val="single" w:sz="4" w:space="0" w:color="auto"/>
            </w:tcBorders>
            <w:shd w:val="clear" w:color="auto" w:fill="auto"/>
            <w:noWrap/>
            <w:vAlign w:val="center"/>
            <w:hideMark/>
          </w:tcPr>
          <w:p w:rsidR="00242C36" w:rsidRPr="00C30AA6" w:rsidRDefault="00242C36" w:rsidP="00242C36">
            <w:pPr>
              <w:jc w:val="center"/>
              <w:rPr>
                <w:sz w:val="18"/>
                <w:szCs w:val="18"/>
              </w:rPr>
            </w:pPr>
            <w:r w:rsidRPr="00C30AA6">
              <w:rPr>
                <w:sz w:val="18"/>
                <w:szCs w:val="18"/>
              </w:rPr>
              <w:t>179,0</w:t>
            </w:r>
          </w:p>
        </w:tc>
        <w:tc>
          <w:tcPr>
            <w:tcW w:w="558" w:type="pct"/>
            <w:tcBorders>
              <w:top w:val="nil"/>
              <w:left w:val="nil"/>
              <w:bottom w:val="single" w:sz="4" w:space="0" w:color="auto"/>
              <w:right w:val="single" w:sz="8" w:space="0" w:color="auto"/>
            </w:tcBorders>
            <w:shd w:val="clear" w:color="auto" w:fill="auto"/>
            <w:noWrap/>
            <w:vAlign w:val="center"/>
            <w:hideMark/>
          </w:tcPr>
          <w:p w:rsidR="00242C36" w:rsidRPr="00C30AA6" w:rsidRDefault="00242C36" w:rsidP="00242C36">
            <w:pPr>
              <w:jc w:val="center"/>
              <w:rPr>
                <w:sz w:val="18"/>
                <w:szCs w:val="18"/>
              </w:rPr>
            </w:pPr>
            <w:r w:rsidRPr="00C30AA6">
              <w:rPr>
                <w:sz w:val="18"/>
                <w:szCs w:val="18"/>
              </w:rPr>
              <w:t>73,5</w:t>
            </w:r>
          </w:p>
        </w:tc>
      </w:tr>
      <w:tr w:rsidR="00242C36" w:rsidRPr="00C30AA6" w:rsidTr="008F198F">
        <w:trPr>
          <w:trHeight w:val="480"/>
        </w:trPr>
        <w:tc>
          <w:tcPr>
            <w:tcW w:w="1588" w:type="pct"/>
            <w:tcBorders>
              <w:top w:val="nil"/>
              <w:left w:val="single" w:sz="8" w:space="0" w:color="auto"/>
              <w:bottom w:val="single" w:sz="8" w:space="0" w:color="auto"/>
              <w:right w:val="nil"/>
            </w:tcBorders>
            <w:shd w:val="clear" w:color="auto" w:fill="auto"/>
            <w:vAlign w:val="center"/>
            <w:hideMark/>
          </w:tcPr>
          <w:p w:rsidR="00242C36" w:rsidRPr="00C30AA6" w:rsidRDefault="00242C36" w:rsidP="00242C36">
            <w:pPr>
              <w:rPr>
                <w:b/>
                <w:bCs/>
                <w:sz w:val="18"/>
                <w:szCs w:val="18"/>
              </w:rPr>
            </w:pPr>
            <w:r w:rsidRPr="00C30AA6">
              <w:rPr>
                <w:b/>
                <w:bCs/>
                <w:sz w:val="18"/>
                <w:szCs w:val="18"/>
              </w:rPr>
              <w:t>Spolu</w:t>
            </w:r>
          </w:p>
        </w:tc>
        <w:tc>
          <w:tcPr>
            <w:tcW w:w="570" w:type="pct"/>
            <w:tcBorders>
              <w:top w:val="nil"/>
              <w:left w:val="single" w:sz="4" w:space="0" w:color="auto"/>
              <w:bottom w:val="single" w:sz="8" w:space="0" w:color="auto"/>
              <w:right w:val="single" w:sz="4" w:space="0" w:color="auto"/>
            </w:tcBorders>
            <w:shd w:val="clear" w:color="auto" w:fill="auto"/>
            <w:noWrap/>
            <w:vAlign w:val="center"/>
            <w:hideMark/>
          </w:tcPr>
          <w:p w:rsidR="00242C36" w:rsidRPr="00C30AA6" w:rsidRDefault="00242C36" w:rsidP="00242C36">
            <w:pPr>
              <w:jc w:val="center"/>
              <w:rPr>
                <w:b/>
                <w:bCs/>
                <w:sz w:val="18"/>
                <w:szCs w:val="18"/>
              </w:rPr>
            </w:pPr>
            <w:r w:rsidRPr="00C30AA6">
              <w:rPr>
                <w:b/>
                <w:bCs/>
                <w:sz w:val="18"/>
                <w:szCs w:val="18"/>
              </w:rPr>
              <w:t>824</w:t>
            </w:r>
          </w:p>
        </w:tc>
        <w:tc>
          <w:tcPr>
            <w:tcW w:w="571" w:type="pct"/>
            <w:tcBorders>
              <w:top w:val="nil"/>
              <w:left w:val="nil"/>
              <w:bottom w:val="single" w:sz="8" w:space="0" w:color="auto"/>
              <w:right w:val="nil"/>
            </w:tcBorders>
            <w:shd w:val="clear" w:color="auto" w:fill="auto"/>
            <w:noWrap/>
            <w:vAlign w:val="center"/>
            <w:hideMark/>
          </w:tcPr>
          <w:p w:rsidR="00242C36" w:rsidRPr="00C30AA6" w:rsidRDefault="00242C36" w:rsidP="00242C36">
            <w:pPr>
              <w:jc w:val="center"/>
              <w:rPr>
                <w:b/>
                <w:bCs/>
                <w:sz w:val="18"/>
                <w:szCs w:val="18"/>
              </w:rPr>
            </w:pPr>
            <w:r w:rsidRPr="00C30AA6">
              <w:rPr>
                <w:b/>
                <w:bCs/>
                <w:sz w:val="18"/>
                <w:szCs w:val="18"/>
              </w:rPr>
              <w:t>4 523</w:t>
            </w:r>
          </w:p>
        </w:tc>
        <w:tc>
          <w:tcPr>
            <w:tcW w:w="570" w:type="pct"/>
            <w:tcBorders>
              <w:top w:val="nil"/>
              <w:left w:val="single" w:sz="4" w:space="0" w:color="auto"/>
              <w:bottom w:val="single" w:sz="8" w:space="0" w:color="auto"/>
              <w:right w:val="single" w:sz="4" w:space="0" w:color="auto"/>
            </w:tcBorders>
            <w:shd w:val="clear" w:color="auto" w:fill="auto"/>
            <w:noWrap/>
            <w:vAlign w:val="center"/>
            <w:hideMark/>
          </w:tcPr>
          <w:p w:rsidR="00242C36" w:rsidRPr="00C30AA6" w:rsidRDefault="00242C36" w:rsidP="00242C36">
            <w:pPr>
              <w:jc w:val="center"/>
              <w:rPr>
                <w:b/>
                <w:bCs/>
                <w:sz w:val="18"/>
                <w:szCs w:val="18"/>
              </w:rPr>
            </w:pPr>
            <w:r w:rsidRPr="00C30AA6">
              <w:rPr>
                <w:b/>
                <w:bCs/>
                <w:sz w:val="18"/>
                <w:szCs w:val="18"/>
              </w:rPr>
              <w:t>940</w:t>
            </w:r>
          </w:p>
        </w:tc>
        <w:tc>
          <w:tcPr>
            <w:tcW w:w="573" w:type="pct"/>
            <w:tcBorders>
              <w:top w:val="nil"/>
              <w:left w:val="nil"/>
              <w:bottom w:val="single" w:sz="8" w:space="0" w:color="auto"/>
              <w:right w:val="nil"/>
            </w:tcBorders>
            <w:shd w:val="clear" w:color="auto" w:fill="auto"/>
            <w:noWrap/>
            <w:vAlign w:val="center"/>
            <w:hideMark/>
          </w:tcPr>
          <w:p w:rsidR="00242C36" w:rsidRPr="00C30AA6" w:rsidRDefault="00242C36" w:rsidP="00242C36">
            <w:pPr>
              <w:jc w:val="center"/>
              <w:rPr>
                <w:b/>
                <w:bCs/>
                <w:sz w:val="18"/>
                <w:szCs w:val="18"/>
              </w:rPr>
            </w:pPr>
            <w:r w:rsidRPr="00C30AA6">
              <w:rPr>
                <w:b/>
                <w:bCs/>
                <w:sz w:val="18"/>
                <w:szCs w:val="18"/>
              </w:rPr>
              <w:t>7 454</w:t>
            </w:r>
          </w:p>
        </w:tc>
        <w:tc>
          <w:tcPr>
            <w:tcW w:w="570" w:type="pct"/>
            <w:tcBorders>
              <w:top w:val="nil"/>
              <w:left w:val="single" w:sz="4" w:space="0" w:color="auto"/>
              <w:bottom w:val="single" w:sz="8" w:space="0" w:color="auto"/>
              <w:right w:val="single" w:sz="4" w:space="0" w:color="auto"/>
            </w:tcBorders>
            <w:shd w:val="clear" w:color="auto" w:fill="auto"/>
            <w:noWrap/>
            <w:vAlign w:val="center"/>
            <w:hideMark/>
          </w:tcPr>
          <w:p w:rsidR="00242C36" w:rsidRPr="00C30AA6" w:rsidRDefault="00242C36" w:rsidP="00242C36">
            <w:pPr>
              <w:jc w:val="center"/>
              <w:rPr>
                <w:b/>
                <w:bCs/>
                <w:sz w:val="18"/>
                <w:szCs w:val="18"/>
              </w:rPr>
            </w:pPr>
            <w:r w:rsidRPr="00C30AA6">
              <w:rPr>
                <w:b/>
                <w:bCs/>
                <w:sz w:val="18"/>
                <w:szCs w:val="18"/>
              </w:rPr>
              <w:t>114,1</w:t>
            </w:r>
          </w:p>
        </w:tc>
        <w:tc>
          <w:tcPr>
            <w:tcW w:w="558" w:type="pct"/>
            <w:tcBorders>
              <w:top w:val="nil"/>
              <w:left w:val="nil"/>
              <w:bottom w:val="single" w:sz="8" w:space="0" w:color="auto"/>
              <w:right w:val="single" w:sz="8" w:space="0" w:color="auto"/>
            </w:tcBorders>
            <w:shd w:val="clear" w:color="auto" w:fill="auto"/>
            <w:noWrap/>
            <w:vAlign w:val="center"/>
            <w:hideMark/>
          </w:tcPr>
          <w:p w:rsidR="00242C36" w:rsidRPr="00C30AA6" w:rsidRDefault="00242C36" w:rsidP="00242C36">
            <w:pPr>
              <w:jc w:val="center"/>
              <w:rPr>
                <w:b/>
                <w:bCs/>
                <w:sz w:val="18"/>
                <w:szCs w:val="18"/>
              </w:rPr>
            </w:pPr>
            <w:r w:rsidRPr="00C30AA6">
              <w:rPr>
                <w:b/>
                <w:bCs/>
                <w:sz w:val="18"/>
                <w:szCs w:val="18"/>
              </w:rPr>
              <w:t>164,8</w:t>
            </w:r>
          </w:p>
        </w:tc>
      </w:tr>
    </w:tbl>
    <w:p w:rsidR="00242C36" w:rsidRPr="00C30AA6" w:rsidRDefault="00242C36" w:rsidP="00242C36">
      <w:pPr>
        <w:pStyle w:val="Zarkazkladnhotextu"/>
        <w:spacing w:after="0" w:line="240" w:lineRule="auto"/>
        <w:rPr>
          <w:rFonts w:asciiTheme="minorHAnsi" w:hAnsiTheme="minorHAnsi"/>
          <w:bCs/>
          <w:sz w:val="20"/>
          <w:szCs w:val="20"/>
        </w:rPr>
      </w:pPr>
      <w:r w:rsidRPr="00C30AA6">
        <w:rPr>
          <w:rFonts w:asciiTheme="minorHAnsi" w:hAnsiTheme="minorHAnsi"/>
          <w:bCs/>
          <w:sz w:val="20"/>
          <w:szCs w:val="20"/>
        </w:rPr>
        <w:t>Prameň: Štatistický úrad SR</w:t>
      </w:r>
      <w:r>
        <w:rPr>
          <w:rFonts w:asciiTheme="minorHAnsi" w:hAnsiTheme="minorHAnsi"/>
          <w:bCs/>
          <w:sz w:val="20"/>
          <w:szCs w:val="20"/>
        </w:rPr>
        <w:t xml:space="preserve">, </w:t>
      </w:r>
      <w:r w:rsidRPr="00C30AA6">
        <w:rPr>
          <w:rFonts w:asciiTheme="minorHAnsi" w:hAnsiTheme="minorHAnsi"/>
          <w:bCs/>
          <w:sz w:val="20"/>
          <w:szCs w:val="20"/>
        </w:rPr>
        <w:t>Vypracoval: VÚEPP</w:t>
      </w:r>
    </w:p>
    <w:p w:rsidR="00242C36" w:rsidRPr="00C30AA6" w:rsidRDefault="00242C36" w:rsidP="00242C36">
      <w:pPr>
        <w:pStyle w:val="Zarkazkladnhotextu"/>
        <w:spacing w:after="0" w:line="240" w:lineRule="auto"/>
        <w:rPr>
          <w:rFonts w:asciiTheme="minorHAnsi" w:hAnsiTheme="minorHAnsi"/>
          <w:bCs/>
          <w:i/>
        </w:rPr>
      </w:pPr>
    </w:p>
    <w:p w:rsidR="00242C36" w:rsidRPr="00E43137" w:rsidRDefault="00242C36" w:rsidP="00242C36">
      <w:pPr>
        <w:pBdr>
          <w:bar w:val="single" w:sz="6" w:color="808080"/>
        </w:pBdr>
        <w:spacing w:after="120"/>
        <w:rPr>
          <w:rFonts w:ascii="Calibri" w:hAnsi="Calibri"/>
          <w:szCs w:val="22"/>
          <w:lang w:eastAsia="en-US"/>
        </w:rPr>
      </w:pPr>
      <w:r w:rsidRPr="00E43137">
        <w:rPr>
          <w:rFonts w:ascii="Calibri" w:eastAsia="MS Mincho" w:hAnsi="Calibri" w:cs="Arial"/>
          <w:szCs w:val="22"/>
          <w:lang w:eastAsia="en-US"/>
        </w:rPr>
        <w:t>Podľa najnovšieho návrhu energetickej politiky SR (MH SR 2013) je možné v  pôdohospodárstve očakávať mierny pokles spotreby energie zavádzaním nových technológií a zvyšovaním podielu „samozásobovania“ energiou.</w:t>
      </w:r>
    </w:p>
    <w:p w:rsidR="008F198F" w:rsidRDefault="00242C36" w:rsidP="008F198F">
      <w:pPr>
        <w:pBdr>
          <w:bar w:val="single" w:sz="6" w:color="808080"/>
        </w:pBdr>
        <w:spacing w:after="120"/>
        <w:rPr>
          <w:rFonts w:ascii="Calibri" w:eastAsia="MS Mincho" w:hAnsi="Calibri" w:cs="Arial"/>
          <w:szCs w:val="22"/>
          <w:lang w:eastAsia="en-US"/>
        </w:rPr>
      </w:pPr>
      <w:r w:rsidRPr="00E43137">
        <w:rPr>
          <w:rFonts w:ascii="Calibri" w:eastAsia="MS Mincho" w:hAnsi="Calibri" w:cs="Arial"/>
          <w:szCs w:val="22"/>
          <w:lang w:eastAsia="en-US"/>
        </w:rPr>
        <w:t>Jedným z hlavných impulzov, ktoré by mohli viesť k splneniu cieľa, je vývoj a inštalácia nových technológií, ktoré prispejú k úsporám energie. Pri budúcom rozhodovaní o podpore takýchto investícií z verejných zdrojov je optimálne uplatniť princíp zeleného obstarávania.</w:t>
      </w:r>
    </w:p>
    <w:p w:rsidR="00242C36" w:rsidRPr="00E43137" w:rsidRDefault="00242C36" w:rsidP="008F198F">
      <w:pPr>
        <w:pBdr>
          <w:bar w:val="single" w:sz="6" w:color="808080"/>
        </w:pBdr>
        <w:spacing w:after="120"/>
        <w:rPr>
          <w:rFonts w:ascii="Calibri" w:hAnsi="Calibri"/>
          <w:bCs/>
          <w:szCs w:val="22"/>
        </w:rPr>
      </w:pPr>
      <w:r w:rsidRPr="00E43137">
        <w:rPr>
          <w:rFonts w:ascii="Calibri" w:hAnsi="Calibri"/>
          <w:bCs/>
          <w:szCs w:val="22"/>
        </w:rPr>
        <w:t xml:space="preserve">V kontexte Partnerskej dohody medzi SR a EÚ pre súčasné programovacie obdobie prijala vláda SR Akčný plán energetickej efektívnosti na roky 2011-2013. Podľa neho bude SR podporovať, aby pre všetkých koncových odberateľov boli k dispozícii kvalitné energetické audity, ktoré budú nákladovo efektívne, vrátane takýchto auditov pre malé a stredné podniky. </w:t>
      </w:r>
      <w:r w:rsidRPr="00B7604C">
        <w:rPr>
          <w:rFonts w:ascii="Calibri" w:hAnsi="Calibri" w:cs="Calibri"/>
          <w:szCs w:val="22"/>
        </w:rPr>
        <w:t>Pre veľké podniky bude povinnosť energetických auditov a ich pravidelná aktualizácia po</w:t>
      </w:r>
      <w:r>
        <w:rPr>
          <w:rFonts w:ascii="Calibri" w:hAnsi="Calibri" w:cs="Calibri"/>
          <w:szCs w:val="22"/>
        </w:rPr>
        <w:t xml:space="preserve"> štyroch rokoch samozrejmosťou.</w:t>
      </w:r>
      <w:r>
        <w:rPr>
          <w:rStyle w:val="Odkaznapoznmkupodiarou"/>
          <w:rFonts w:ascii="Calibri" w:hAnsi="Calibri" w:cs="Calibri"/>
          <w:szCs w:val="22"/>
        </w:rPr>
        <w:footnoteReference w:id="9"/>
      </w:r>
      <w:r w:rsidRPr="003303BC">
        <w:rPr>
          <w:rFonts w:cs="Calibri"/>
          <w:sz w:val="20"/>
          <w:szCs w:val="20"/>
        </w:rPr>
        <w:t> </w:t>
      </w:r>
      <w:r w:rsidRPr="00E43137">
        <w:rPr>
          <w:rFonts w:ascii="Calibri" w:hAnsi="Calibri"/>
          <w:bCs/>
          <w:szCs w:val="22"/>
        </w:rPr>
        <w:t>Povinnosť absolvovať energetický audit do konca roku 2011 sa týka všetkých priemyselných firiem na Slovensku s celoročnou spotrebou energie od 5 500 do 20 000 MWh, vrátane pôdohospodárov.  V ich prípade je</w:t>
      </w:r>
      <w:r w:rsidRPr="00E43137">
        <w:rPr>
          <w:rFonts w:ascii="Calibri" w:hAnsi="Calibri"/>
          <w:bCs/>
          <w:szCs w:val="22"/>
        </w:rPr>
        <w:lastRenderedPageBreak/>
        <w:t xml:space="preserve"> dolný limit stanovený na 2 500 MWh a horný limit na 10 000 MWh. Väčší spotrebitelia energie si musia podľa </w:t>
      </w:r>
      <w:hyperlink r:id="rId37" w:tooltip="zak_476_2008.pdf" w:history="1">
        <w:r w:rsidRPr="002643FD">
          <w:rPr>
            <w:rFonts w:ascii="Calibri" w:hAnsi="Calibri"/>
            <w:b/>
            <w:bCs/>
            <w:szCs w:val="22"/>
          </w:rPr>
          <w:t>zákona č. 476/2008 Z.z. o efektívnosti pri používaní energie</w:t>
        </w:r>
      </w:hyperlink>
      <w:r w:rsidRPr="00E43137">
        <w:rPr>
          <w:rFonts w:ascii="Calibri" w:hAnsi="Calibri"/>
          <w:bCs/>
          <w:szCs w:val="22"/>
        </w:rPr>
        <w:t xml:space="preserve"> dať vykonať energetický audit do konca roka 2013.</w:t>
      </w:r>
    </w:p>
    <w:p w:rsidR="00242C36" w:rsidRPr="00E43137" w:rsidRDefault="00242C36" w:rsidP="00242C36">
      <w:pPr>
        <w:pBdr>
          <w:bar w:val="single" w:sz="6" w:color="808080"/>
        </w:pBdr>
        <w:outlineLvl w:val="1"/>
        <w:rPr>
          <w:rFonts w:ascii="Calibri" w:hAnsi="Calibri"/>
          <w:bCs/>
          <w:szCs w:val="22"/>
        </w:rPr>
      </w:pPr>
    </w:p>
    <w:p w:rsidR="00242C36" w:rsidRPr="00E43137" w:rsidRDefault="00242C36" w:rsidP="00242C36">
      <w:pPr>
        <w:keepNext/>
        <w:keepLines/>
        <w:pBdr>
          <w:bar w:val="single" w:sz="6" w:color="808080"/>
        </w:pBdr>
        <w:spacing w:after="120"/>
        <w:outlineLvl w:val="1"/>
        <w:rPr>
          <w:rFonts w:ascii="Calibri" w:hAnsi="Calibri"/>
          <w:b/>
          <w:bCs/>
          <w:szCs w:val="22"/>
        </w:rPr>
      </w:pPr>
      <w:r w:rsidRPr="00E43137">
        <w:rPr>
          <w:rFonts w:ascii="Calibri" w:hAnsi="Calibri"/>
          <w:b/>
          <w:bCs/>
          <w:szCs w:val="22"/>
        </w:rPr>
        <w:t>Emisie skleníkových plynov a amoniaku</w:t>
      </w:r>
    </w:p>
    <w:p w:rsidR="00242C36" w:rsidRPr="00E43137" w:rsidRDefault="00242C36" w:rsidP="00242C36">
      <w:pPr>
        <w:pBdr>
          <w:bar w:val="single" w:sz="6" w:color="808080"/>
        </w:pBdr>
        <w:spacing w:after="120"/>
        <w:outlineLvl w:val="1"/>
        <w:rPr>
          <w:rFonts w:ascii="Calibri" w:hAnsi="Calibri"/>
          <w:bCs/>
          <w:szCs w:val="22"/>
        </w:rPr>
      </w:pPr>
      <w:r w:rsidRPr="00E43137">
        <w:rPr>
          <w:rFonts w:ascii="Calibri" w:hAnsi="Calibri"/>
          <w:bCs/>
          <w:szCs w:val="22"/>
        </w:rPr>
        <w:t>Z h</w:t>
      </w:r>
      <w:r w:rsidRPr="00E43137">
        <w:rPr>
          <w:rFonts w:ascii="Calibri" w:hAnsi="Calibri" w:hint="eastAsia"/>
          <w:bCs/>
          <w:szCs w:val="22"/>
        </w:rPr>
        <w:t>ľ</w:t>
      </w:r>
      <w:r w:rsidRPr="00E43137">
        <w:rPr>
          <w:rFonts w:ascii="Calibri" w:hAnsi="Calibri"/>
          <w:bCs/>
          <w:szCs w:val="22"/>
        </w:rPr>
        <w:t>adiska medzinárodných porovnaní SR dosahuje hodnoty pod priemerom krajín EU-27. Emisie skleníkových plynov v dlhodobej</w:t>
      </w:r>
      <w:r w:rsidRPr="00E43137">
        <w:rPr>
          <w:rFonts w:ascii="Calibri" w:hAnsi="Calibri" w:hint="eastAsia"/>
          <w:bCs/>
          <w:szCs w:val="22"/>
        </w:rPr>
        <w:t>š</w:t>
      </w:r>
      <w:r w:rsidRPr="00E43137">
        <w:rPr>
          <w:rFonts w:ascii="Calibri" w:hAnsi="Calibri"/>
          <w:bCs/>
          <w:szCs w:val="22"/>
        </w:rPr>
        <w:t xml:space="preserve">om </w:t>
      </w:r>
      <w:r w:rsidRPr="00E43137">
        <w:rPr>
          <w:rFonts w:ascii="Calibri" w:hAnsi="Calibri" w:hint="eastAsia"/>
          <w:bCs/>
          <w:szCs w:val="22"/>
        </w:rPr>
        <w:t>č</w:t>
      </w:r>
      <w:r w:rsidRPr="00E43137">
        <w:rPr>
          <w:rFonts w:ascii="Calibri" w:hAnsi="Calibri"/>
          <w:bCs/>
          <w:szCs w:val="22"/>
        </w:rPr>
        <w:t>asovom horizonte trvalo klesajú (v porovnaní roka 2010 oproti roku 1990 o 35,94 %). Je v</w:t>
      </w:r>
      <w:r w:rsidRPr="00E43137">
        <w:rPr>
          <w:rFonts w:ascii="Calibri" w:hAnsi="Calibri" w:hint="eastAsia"/>
          <w:bCs/>
          <w:szCs w:val="22"/>
        </w:rPr>
        <w:t>š</w:t>
      </w:r>
      <w:r w:rsidRPr="00E43137">
        <w:rPr>
          <w:rFonts w:ascii="Calibri" w:hAnsi="Calibri"/>
          <w:bCs/>
          <w:szCs w:val="22"/>
        </w:rPr>
        <w:t>ak nutné zdôrazni</w:t>
      </w:r>
      <w:r w:rsidRPr="00E43137">
        <w:rPr>
          <w:rFonts w:ascii="Calibri" w:hAnsi="Calibri" w:hint="eastAsia"/>
          <w:bCs/>
          <w:szCs w:val="22"/>
        </w:rPr>
        <w:t>ť</w:t>
      </w:r>
      <w:r w:rsidRPr="00E43137">
        <w:rPr>
          <w:rFonts w:ascii="Calibri" w:hAnsi="Calibri"/>
          <w:bCs/>
          <w:szCs w:val="22"/>
        </w:rPr>
        <w:t xml:space="preserve">, </w:t>
      </w:r>
      <w:r w:rsidRPr="00E43137">
        <w:rPr>
          <w:rFonts w:ascii="Calibri" w:hAnsi="Calibri" w:hint="eastAsia"/>
          <w:bCs/>
          <w:szCs w:val="22"/>
        </w:rPr>
        <w:t>ž</w:t>
      </w:r>
      <w:r w:rsidRPr="00E43137">
        <w:rPr>
          <w:rFonts w:ascii="Calibri" w:hAnsi="Calibri"/>
          <w:bCs/>
          <w:szCs w:val="22"/>
        </w:rPr>
        <w:t xml:space="preserve">e v priebehu rokov 1996 </w:t>
      </w:r>
      <w:r w:rsidRPr="00E43137">
        <w:rPr>
          <w:rFonts w:ascii="Calibri" w:hAnsi="Calibri" w:hint="eastAsia"/>
          <w:bCs/>
          <w:szCs w:val="22"/>
        </w:rPr>
        <w:t>–</w:t>
      </w:r>
      <w:r w:rsidRPr="00E43137">
        <w:rPr>
          <w:rFonts w:ascii="Calibri" w:hAnsi="Calibri"/>
          <w:bCs/>
          <w:szCs w:val="22"/>
        </w:rPr>
        <w:t xml:space="preserve"> 2008 boli emisie zhruba na rovnakej úrovni. V porovnaní s rokom 2009 emisie skleníkových plynov vzrástli o 4 %. Tento nárast bol spôsobený o</w:t>
      </w:r>
      <w:r w:rsidRPr="00E43137">
        <w:rPr>
          <w:rFonts w:ascii="Calibri" w:hAnsi="Calibri" w:hint="eastAsia"/>
          <w:bCs/>
          <w:szCs w:val="22"/>
        </w:rPr>
        <w:t>ž</w:t>
      </w:r>
      <w:r w:rsidRPr="00E43137">
        <w:rPr>
          <w:rFonts w:ascii="Calibri" w:hAnsi="Calibri"/>
          <w:bCs/>
          <w:szCs w:val="22"/>
        </w:rPr>
        <w:t>ivením hospodárstva SR po recesiou pozna</w:t>
      </w:r>
      <w:r w:rsidRPr="00E43137">
        <w:rPr>
          <w:rFonts w:ascii="Calibri" w:hAnsi="Calibri" w:hint="eastAsia"/>
          <w:bCs/>
          <w:szCs w:val="22"/>
        </w:rPr>
        <w:t>č</w:t>
      </w:r>
      <w:r w:rsidRPr="00E43137">
        <w:rPr>
          <w:rFonts w:ascii="Calibri" w:hAnsi="Calibri"/>
          <w:bCs/>
          <w:szCs w:val="22"/>
        </w:rPr>
        <w:t xml:space="preserve">ených rokoch 2008 </w:t>
      </w:r>
      <w:r w:rsidRPr="00E43137">
        <w:rPr>
          <w:rFonts w:ascii="Calibri" w:hAnsi="Calibri" w:hint="eastAsia"/>
          <w:bCs/>
          <w:szCs w:val="22"/>
        </w:rPr>
        <w:t>–</w:t>
      </w:r>
      <w:r w:rsidRPr="00E43137">
        <w:rPr>
          <w:rFonts w:ascii="Calibri" w:hAnsi="Calibri"/>
          <w:bCs/>
          <w:szCs w:val="22"/>
        </w:rPr>
        <w:t xml:space="preserve"> 2009. Aktuálne medzinárodné záväzky (Kjótsky protokol, klimaticko</w:t>
      </w:r>
      <w:r w:rsidRPr="00E43137">
        <w:rPr>
          <w:rFonts w:ascii="Calibri" w:hAnsi="Calibri" w:hint="eastAsia"/>
          <w:bCs/>
          <w:szCs w:val="22"/>
        </w:rPr>
        <w:t>–</w:t>
      </w:r>
      <w:r w:rsidRPr="00E43137">
        <w:rPr>
          <w:rFonts w:ascii="Calibri" w:hAnsi="Calibri"/>
          <w:bCs/>
          <w:szCs w:val="22"/>
        </w:rPr>
        <w:t>energetický balí</w:t>
      </w:r>
      <w:r w:rsidRPr="00E43137">
        <w:rPr>
          <w:rFonts w:ascii="Calibri" w:hAnsi="Calibri" w:hint="eastAsia"/>
          <w:bCs/>
          <w:szCs w:val="22"/>
        </w:rPr>
        <w:t>č</w:t>
      </w:r>
      <w:r w:rsidRPr="00E43137">
        <w:rPr>
          <w:rFonts w:ascii="Calibri" w:hAnsi="Calibri"/>
          <w:bCs/>
          <w:szCs w:val="22"/>
        </w:rPr>
        <w:t>ek EU) SR plní a je predpoklad ich plnenia aj v nasledujúcich rokoch.</w:t>
      </w:r>
    </w:p>
    <w:p w:rsidR="00242C36" w:rsidRPr="00E43137" w:rsidRDefault="00242C36" w:rsidP="00242C36">
      <w:pPr>
        <w:pBdr>
          <w:bar w:val="single" w:sz="6" w:color="808080"/>
        </w:pBdr>
        <w:spacing w:after="120"/>
        <w:rPr>
          <w:rFonts w:ascii="Calibri" w:eastAsia="Calibri" w:hAnsi="Calibri"/>
          <w:szCs w:val="22"/>
          <w:lang w:eastAsia="en-US"/>
        </w:rPr>
      </w:pPr>
      <w:r w:rsidRPr="00E43137">
        <w:rPr>
          <w:rFonts w:ascii="Calibri" w:eastAsia="Calibri" w:hAnsi="Calibri"/>
          <w:szCs w:val="22"/>
          <w:lang w:eastAsia="en-US"/>
        </w:rPr>
        <w:t>Celkové emisie z poľnohospodárstva SR v r. 2010 dosiahli 2 024 600 t ekvivalentu CO2. Podiel poľnohospodárstva (vrátane emisií z pôdy) na celkových čistých emisiách skleníkových plynov SR predstavuje 5,1 %. Množstvo do ovzdušia emitovaného amoniaku z poľnohospodárstva (r.2011) predstavuje 23 400 ton NH3  (</w:t>
      </w:r>
      <w:r w:rsidRPr="00702CA9">
        <w:rPr>
          <w:rFonts w:ascii="Calibri" w:eastAsia="Calibri" w:hAnsi="Calibri"/>
          <w:b/>
          <w:szCs w:val="22"/>
          <w:lang w:eastAsia="en-US"/>
        </w:rPr>
        <w:t>CCI 45</w:t>
      </w:r>
      <w:r w:rsidRPr="00E43137">
        <w:rPr>
          <w:rFonts w:ascii="Calibri" w:eastAsia="Calibri" w:hAnsi="Calibri"/>
          <w:szCs w:val="22"/>
          <w:lang w:eastAsia="en-US"/>
        </w:rPr>
        <w:t>). Z toho pochádza 4 600 ton NH3 z priemyselných hnojív a zvyšok z chovov hospodárskych zvierat, najviac z chovov HD (7 000 ton).</w:t>
      </w:r>
    </w:p>
    <w:p w:rsidR="00242C36" w:rsidRPr="00E43137" w:rsidRDefault="00242C36" w:rsidP="00242C36">
      <w:pPr>
        <w:pBdr>
          <w:bar w:val="single" w:sz="6" w:color="808080"/>
        </w:pBdr>
        <w:spacing w:after="120"/>
        <w:rPr>
          <w:rFonts w:ascii="Calibri" w:eastAsia="Calibri" w:hAnsi="Calibri"/>
          <w:szCs w:val="22"/>
          <w:lang w:eastAsia="en-US"/>
        </w:rPr>
      </w:pPr>
      <w:r w:rsidRPr="00E43137">
        <w:rPr>
          <w:rFonts w:ascii="Calibri" w:eastAsia="Calibri" w:hAnsi="Calibri"/>
          <w:szCs w:val="22"/>
          <w:lang w:eastAsia="en-US"/>
        </w:rPr>
        <w:t xml:space="preserve">Slovensko splnilo už v roku 2003 svoj emisný cieľ pre rok 2010 stanovený v Kodanskom protokole. Napriek očakávanému miernemu rastu v období po roku 2011, sú emisie stále len na tretinovej úrovni roku 1990. </w:t>
      </w:r>
    </w:p>
    <w:p w:rsidR="00242C36" w:rsidRPr="00E43137" w:rsidRDefault="00242C36" w:rsidP="00242C36">
      <w:pPr>
        <w:pBdr>
          <w:bar w:val="single" w:sz="6" w:color="808080"/>
        </w:pBdr>
        <w:rPr>
          <w:rFonts w:ascii="Calibri" w:eastAsia="Calibri" w:hAnsi="Calibri"/>
          <w:szCs w:val="22"/>
          <w:lang w:eastAsia="en-US"/>
        </w:rPr>
      </w:pPr>
      <w:r w:rsidRPr="00E43137">
        <w:rPr>
          <w:rFonts w:ascii="Calibri" w:eastAsia="Calibri" w:hAnsi="Calibri"/>
          <w:szCs w:val="22"/>
          <w:lang w:eastAsia="en-US"/>
        </w:rPr>
        <w:t xml:space="preserve">Od roku 2001 je možné hovoriť o pozitívnom vývoji  environmentálnej efektivity poľnohospodárstva vzhľadom na emisie skleníkových plynov. Tento pozitívny efekt spôsobený poklesom emisií z poľnohospodárstva je najmä dôsledkom zníženia stavov hospodárskych zvierat a úrovne hnojenia priemyselnými hnojivami. Podrobnosti o emisiách jednotlivých skleníkových plynov (CO2, N2O, NH4, CH4) sú uvedené v podrobnej analýze priority 5 RV. </w:t>
      </w:r>
    </w:p>
    <w:p w:rsidR="00242C36" w:rsidRPr="00E43137" w:rsidRDefault="00242C36" w:rsidP="00242C36"/>
    <w:p w:rsidR="00242C36" w:rsidRPr="00E43137" w:rsidRDefault="00242C36" w:rsidP="00242C36">
      <w:pPr>
        <w:keepNext/>
        <w:keepLines/>
        <w:pBdr>
          <w:bar w:val="single" w:sz="6" w:color="808080"/>
        </w:pBdr>
        <w:spacing w:after="120"/>
        <w:outlineLvl w:val="1"/>
        <w:rPr>
          <w:rFonts w:ascii="Calibri" w:hAnsi="Calibri"/>
          <w:b/>
          <w:bCs/>
          <w:szCs w:val="22"/>
        </w:rPr>
      </w:pPr>
      <w:r w:rsidRPr="00E43137">
        <w:rPr>
          <w:rFonts w:ascii="Calibri" w:hAnsi="Calibri"/>
          <w:b/>
          <w:bCs/>
          <w:szCs w:val="22"/>
        </w:rPr>
        <w:t>Spotreba vody v poľnohospodárstve</w:t>
      </w:r>
    </w:p>
    <w:p w:rsidR="00242C36" w:rsidRPr="00E43137" w:rsidRDefault="00242C36" w:rsidP="00242C36">
      <w:pPr>
        <w:pBdr>
          <w:bar w:val="single" w:sz="6" w:color="808080"/>
        </w:pBdr>
        <w:spacing w:after="120"/>
        <w:rPr>
          <w:rFonts w:ascii="Calibri" w:eastAsia="Calibri" w:hAnsi="Calibri"/>
          <w:szCs w:val="22"/>
          <w:lang w:eastAsia="en-US"/>
        </w:rPr>
      </w:pPr>
      <w:r w:rsidRPr="00E43137">
        <w:rPr>
          <w:rFonts w:ascii="Calibri" w:eastAsia="Calibri" w:hAnsi="Calibri"/>
          <w:szCs w:val="22"/>
          <w:lang w:eastAsia="en-US"/>
        </w:rPr>
        <w:t>V r. 2010 bolo využitie vody v poľnohospodárstve v objeme vyše 5,5 mil. m3 vody</w:t>
      </w:r>
      <w:r>
        <w:rPr>
          <w:rFonts w:ascii="Calibri" w:eastAsia="Calibri" w:hAnsi="Calibri"/>
          <w:szCs w:val="22"/>
          <w:lang w:eastAsia="en-US"/>
        </w:rPr>
        <w:t xml:space="preserve"> (</w:t>
      </w:r>
      <w:r w:rsidRPr="00AC4079">
        <w:rPr>
          <w:rFonts w:ascii="Calibri" w:eastAsia="Calibri" w:hAnsi="Calibri"/>
          <w:b/>
          <w:szCs w:val="22"/>
          <w:lang w:eastAsia="en-US"/>
        </w:rPr>
        <w:t>CCI 39</w:t>
      </w:r>
      <w:r>
        <w:rPr>
          <w:rFonts w:ascii="Calibri" w:eastAsia="Calibri" w:hAnsi="Calibri"/>
          <w:szCs w:val="22"/>
          <w:lang w:eastAsia="en-US"/>
        </w:rPr>
        <w:t>)</w:t>
      </w:r>
      <w:r w:rsidRPr="00E43137">
        <w:rPr>
          <w:rFonts w:ascii="Calibri" w:eastAsia="Calibri" w:hAnsi="Calibri"/>
          <w:szCs w:val="22"/>
          <w:lang w:eastAsia="en-US"/>
        </w:rPr>
        <w:t xml:space="preserve">. Odber vody pre poľnohospodárstvo z podzemných vôd predstavuje približne 3 % z celkových odberov. Z povrchových vôd v roku 2010 odbery predstavovali okolo 2 % a jednalo sa o závlahové vody. Závlahové systémy sú na poľnohospodárskej pôde SR vybudované na výmere 321 tisíc ha.  </w:t>
      </w:r>
    </w:p>
    <w:p w:rsidR="00242C36" w:rsidRPr="00E43137" w:rsidRDefault="00242C36" w:rsidP="00242C36">
      <w:pPr>
        <w:pBdr>
          <w:bar w:val="single" w:sz="6" w:color="808080"/>
        </w:pBdr>
        <w:spacing w:after="120"/>
        <w:rPr>
          <w:rFonts w:ascii="Calibri" w:eastAsia="Calibri" w:hAnsi="Calibri"/>
          <w:szCs w:val="22"/>
          <w:lang w:eastAsia="en-US"/>
        </w:rPr>
      </w:pPr>
      <w:r w:rsidRPr="00E43137">
        <w:rPr>
          <w:rFonts w:ascii="Calibri" w:eastAsia="Calibri" w:hAnsi="Calibri"/>
          <w:szCs w:val="22"/>
          <w:lang w:eastAsia="en-US"/>
        </w:rPr>
        <w:t>Za obdobie r. 2007–2011 sa výmera pôdy, na ktorej sa využívajú zavlažovacie zariadenia znížila z 1,3% na 0,7%, čo prestavuje pokles o takmer polovicu.  Aj to svedčí o urgentnej potrebe podpory investícií a ostatných stimulov na obstaranie moderných a efektívnych zavlažovacích systémov, ktorých širšie nasadenie v poľnohospodárskej prvovýrobe je žiaducim a účinným adaptačným opatrením v boji proti suchu.</w:t>
      </w:r>
    </w:p>
    <w:p w:rsidR="00242C36" w:rsidRDefault="00242C36" w:rsidP="00242C36">
      <w:pPr>
        <w:pBdr>
          <w:bar w:val="single" w:sz="6" w:color="808080"/>
        </w:pBdr>
        <w:rPr>
          <w:rFonts w:ascii="Calibri" w:eastAsia="Calibri" w:hAnsi="Calibri"/>
          <w:szCs w:val="22"/>
          <w:lang w:eastAsia="en-US"/>
        </w:rPr>
      </w:pPr>
    </w:p>
    <w:p w:rsidR="00242C36" w:rsidRPr="00F6722D" w:rsidRDefault="00242C36" w:rsidP="00242C36">
      <w:pPr>
        <w:pBdr>
          <w:bar w:val="single" w:sz="6" w:color="808080"/>
        </w:pBdr>
        <w:rPr>
          <w:rFonts w:ascii="Calibri" w:eastAsia="Calibri" w:hAnsi="Calibri"/>
          <w:b/>
          <w:szCs w:val="22"/>
          <w:lang w:eastAsia="en-US"/>
        </w:rPr>
      </w:pPr>
      <w:r w:rsidRPr="00F6722D">
        <w:rPr>
          <w:rFonts w:ascii="Calibri" w:eastAsia="Calibri" w:hAnsi="Calibri"/>
          <w:b/>
          <w:szCs w:val="22"/>
          <w:lang w:eastAsia="en-US"/>
        </w:rPr>
        <w:t>Z porovnania vykazovanej zavlažovanej plochy a spotreby vody na zavlažovanie (viď nasledovná tabuľka</w:t>
      </w:r>
      <w:r w:rsidR="008F198F">
        <w:rPr>
          <w:rFonts w:ascii="Calibri" w:eastAsia="Calibri" w:hAnsi="Calibri"/>
          <w:b/>
          <w:szCs w:val="22"/>
          <w:lang w:eastAsia="en-US"/>
        </w:rPr>
        <w:t xml:space="preserve"> 60</w:t>
      </w:r>
      <w:r w:rsidRPr="00F6722D">
        <w:rPr>
          <w:rFonts w:ascii="Calibri" w:eastAsia="Calibri" w:hAnsi="Calibri"/>
          <w:b/>
          <w:szCs w:val="22"/>
          <w:lang w:eastAsia="en-US"/>
        </w:rPr>
        <w:t>) je zrejmý výrazne klesajúci tre</w:t>
      </w:r>
      <w:r>
        <w:rPr>
          <w:rFonts w:ascii="Calibri" w:eastAsia="Calibri" w:hAnsi="Calibri"/>
          <w:b/>
          <w:szCs w:val="22"/>
          <w:lang w:eastAsia="en-US"/>
        </w:rPr>
        <w:t>nd, najmä v porovnaní s r. 2003</w:t>
      </w:r>
    </w:p>
    <w:tbl>
      <w:tblPr>
        <w:tblW w:w="0" w:type="auto"/>
        <w:tblInd w:w="108"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0A0" w:firstRow="1" w:lastRow="0" w:firstColumn="1" w:lastColumn="0" w:noHBand="0" w:noVBand="0"/>
      </w:tblPr>
      <w:tblGrid>
        <w:gridCol w:w="3686"/>
        <w:gridCol w:w="992"/>
        <w:gridCol w:w="851"/>
        <w:gridCol w:w="992"/>
        <w:gridCol w:w="992"/>
        <w:gridCol w:w="1276"/>
      </w:tblGrid>
      <w:tr w:rsidR="00242C36" w:rsidRPr="00E43137" w:rsidTr="00242C36">
        <w:tc>
          <w:tcPr>
            <w:tcW w:w="3686" w:type="dxa"/>
            <w:tcBorders>
              <w:top w:val="single" w:sz="4" w:space="0" w:color="FFFFFF"/>
              <w:left w:val="single" w:sz="4" w:space="0" w:color="FFFFFF"/>
              <w:right w:val="nil"/>
            </w:tcBorders>
            <w:shd w:val="clear" w:color="auto" w:fill="5B9BD5"/>
          </w:tcPr>
          <w:p w:rsidR="00242C36" w:rsidRPr="00E43137" w:rsidRDefault="00242C36" w:rsidP="00242C36">
            <w:pPr>
              <w:spacing w:after="120"/>
              <w:ind w:right="-66"/>
              <w:jc w:val="center"/>
              <w:rPr>
                <w:rFonts w:ascii="Calibri" w:hAnsi="Calibri"/>
                <w:b/>
                <w:bCs/>
                <w:i/>
                <w:color w:val="FFFFFF"/>
                <w:sz w:val="20"/>
                <w:szCs w:val="20"/>
                <w:lang w:eastAsia="en-US"/>
              </w:rPr>
            </w:pPr>
            <w:r w:rsidRPr="00E43137">
              <w:rPr>
                <w:rFonts w:ascii="Calibri" w:eastAsia="Calibri" w:hAnsi="Calibri" w:cs="Calibri"/>
                <w:b/>
                <w:bCs/>
                <w:i/>
                <w:iCs/>
                <w:color w:val="FFFFFF"/>
                <w:sz w:val="20"/>
                <w:szCs w:val="20"/>
                <w:lang w:eastAsia="en-US"/>
              </w:rPr>
              <w:t>Závlahová voda</w:t>
            </w:r>
          </w:p>
        </w:tc>
        <w:tc>
          <w:tcPr>
            <w:tcW w:w="992" w:type="dxa"/>
            <w:tcBorders>
              <w:top w:val="single" w:sz="4" w:space="0" w:color="FFFFFF"/>
              <w:left w:val="nil"/>
              <w:right w:val="nil"/>
            </w:tcBorders>
            <w:shd w:val="clear" w:color="auto" w:fill="5B9BD5"/>
          </w:tcPr>
          <w:p w:rsidR="00242C36" w:rsidRPr="00E43137" w:rsidRDefault="00242C36" w:rsidP="00242C36">
            <w:pPr>
              <w:spacing w:after="120"/>
              <w:ind w:right="-285"/>
              <w:jc w:val="center"/>
              <w:rPr>
                <w:rFonts w:ascii="Calibri" w:hAnsi="Calibri"/>
                <w:b/>
                <w:bCs/>
                <w:i/>
                <w:color w:val="FFFFFF"/>
                <w:sz w:val="20"/>
                <w:szCs w:val="20"/>
                <w:lang w:eastAsia="en-US"/>
              </w:rPr>
            </w:pPr>
            <w:r w:rsidRPr="00E43137">
              <w:rPr>
                <w:rFonts w:ascii="Calibri" w:eastAsia="Calibri" w:hAnsi="Calibri" w:cs="Calibri"/>
                <w:b/>
                <w:bCs/>
                <w:i/>
                <w:iCs/>
                <w:color w:val="FFFFFF"/>
                <w:sz w:val="20"/>
                <w:szCs w:val="20"/>
                <w:lang w:eastAsia="en-US"/>
              </w:rPr>
              <w:t>2003</w:t>
            </w:r>
          </w:p>
        </w:tc>
        <w:tc>
          <w:tcPr>
            <w:tcW w:w="851" w:type="dxa"/>
            <w:tcBorders>
              <w:top w:val="single" w:sz="4" w:space="0" w:color="FFFFFF"/>
              <w:left w:val="nil"/>
              <w:right w:val="nil"/>
            </w:tcBorders>
            <w:shd w:val="clear" w:color="auto" w:fill="5B9BD5"/>
          </w:tcPr>
          <w:p w:rsidR="00242C36" w:rsidRPr="00E43137" w:rsidRDefault="00242C36" w:rsidP="00242C36">
            <w:pPr>
              <w:spacing w:after="120"/>
              <w:ind w:right="-285"/>
              <w:jc w:val="center"/>
              <w:rPr>
                <w:rFonts w:ascii="Calibri" w:hAnsi="Calibri"/>
                <w:b/>
                <w:bCs/>
                <w:i/>
                <w:color w:val="FFFFFF"/>
                <w:sz w:val="20"/>
                <w:szCs w:val="20"/>
                <w:lang w:eastAsia="en-US"/>
              </w:rPr>
            </w:pPr>
            <w:r w:rsidRPr="00E43137">
              <w:rPr>
                <w:rFonts w:ascii="Calibri" w:eastAsia="Calibri" w:hAnsi="Calibri" w:cs="Calibri"/>
                <w:b/>
                <w:bCs/>
                <w:i/>
                <w:iCs/>
                <w:color w:val="FFFFFF"/>
                <w:sz w:val="20"/>
                <w:szCs w:val="20"/>
                <w:lang w:eastAsia="en-US"/>
              </w:rPr>
              <w:t>2006</w:t>
            </w:r>
          </w:p>
        </w:tc>
        <w:tc>
          <w:tcPr>
            <w:tcW w:w="992" w:type="dxa"/>
            <w:tcBorders>
              <w:top w:val="single" w:sz="4" w:space="0" w:color="FFFFFF"/>
              <w:left w:val="nil"/>
              <w:right w:val="nil"/>
            </w:tcBorders>
            <w:shd w:val="clear" w:color="auto" w:fill="5B9BD5"/>
          </w:tcPr>
          <w:p w:rsidR="00242C36" w:rsidRPr="00E43137" w:rsidRDefault="00242C36" w:rsidP="00242C36">
            <w:pPr>
              <w:spacing w:after="120"/>
              <w:ind w:right="-285"/>
              <w:jc w:val="center"/>
              <w:rPr>
                <w:rFonts w:ascii="Calibri" w:hAnsi="Calibri"/>
                <w:b/>
                <w:bCs/>
                <w:i/>
                <w:color w:val="FFFFFF"/>
                <w:sz w:val="20"/>
                <w:szCs w:val="20"/>
                <w:lang w:eastAsia="en-US"/>
              </w:rPr>
            </w:pPr>
            <w:r w:rsidRPr="00E43137">
              <w:rPr>
                <w:rFonts w:ascii="Calibri" w:eastAsia="Calibri" w:hAnsi="Calibri" w:cs="Calibri"/>
                <w:b/>
                <w:bCs/>
                <w:i/>
                <w:iCs/>
                <w:color w:val="FFFFFF"/>
                <w:sz w:val="20"/>
                <w:szCs w:val="20"/>
                <w:lang w:eastAsia="en-US"/>
              </w:rPr>
              <w:t>2009</w:t>
            </w:r>
          </w:p>
        </w:tc>
        <w:tc>
          <w:tcPr>
            <w:tcW w:w="992" w:type="dxa"/>
            <w:tcBorders>
              <w:top w:val="single" w:sz="4" w:space="0" w:color="FFFFFF"/>
              <w:left w:val="nil"/>
              <w:right w:val="nil"/>
            </w:tcBorders>
            <w:shd w:val="clear" w:color="auto" w:fill="5B9BD5"/>
          </w:tcPr>
          <w:p w:rsidR="00242C36" w:rsidRPr="00E43137" w:rsidRDefault="00242C36" w:rsidP="00242C36">
            <w:pPr>
              <w:spacing w:after="120"/>
              <w:ind w:right="-285"/>
              <w:jc w:val="center"/>
              <w:rPr>
                <w:rFonts w:ascii="Calibri" w:hAnsi="Calibri"/>
                <w:b/>
                <w:bCs/>
                <w:i/>
                <w:color w:val="FFFFFF"/>
                <w:sz w:val="20"/>
                <w:szCs w:val="20"/>
                <w:lang w:eastAsia="en-US"/>
              </w:rPr>
            </w:pPr>
            <w:r w:rsidRPr="00E43137">
              <w:rPr>
                <w:rFonts w:ascii="Calibri" w:eastAsia="Calibri" w:hAnsi="Calibri" w:cs="Calibri"/>
                <w:b/>
                <w:bCs/>
                <w:i/>
                <w:iCs/>
                <w:color w:val="FFFFFF"/>
                <w:sz w:val="20"/>
                <w:szCs w:val="20"/>
                <w:lang w:eastAsia="en-US"/>
              </w:rPr>
              <w:t>2010</w:t>
            </w:r>
          </w:p>
        </w:tc>
        <w:tc>
          <w:tcPr>
            <w:tcW w:w="1276" w:type="dxa"/>
            <w:tcBorders>
              <w:top w:val="single" w:sz="4" w:space="0" w:color="FFFFFF"/>
              <w:left w:val="nil"/>
              <w:right w:val="single" w:sz="4" w:space="0" w:color="FFFFFF"/>
            </w:tcBorders>
            <w:shd w:val="clear" w:color="auto" w:fill="5B9BD5"/>
          </w:tcPr>
          <w:p w:rsidR="00242C36" w:rsidRPr="00E43137" w:rsidRDefault="00242C36" w:rsidP="00242C36">
            <w:pPr>
              <w:spacing w:after="120"/>
              <w:ind w:right="-285"/>
              <w:jc w:val="center"/>
              <w:rPr>
                <w:rFonts w:ascii="Calibri" w:hAnsi="Calibri"/>
                <w:b/>
                <w:bCs/>
                <w:i/>
                <w:color w:val="FFFFFF"/>
                <w:sz w:val="20"/>
                <w:szCs w:val="20"/>
                <w:lang w:eastAsia="en-US"/>
              </w:rPr>
            </w:pPr>
            <w:r w:rsidRPr="00E43137">
              <w:rPr>
                <w:rFonts w:ascii="Calibri" w:eastAsia="Calibri" w:hAnsi="Calibri" w:cs="Calibri"/>
                <w:b/>
                <w:bCs/>
                <w:i/>
                <w:iCs/>
                <w:color w:val="FFFFFF"/>
                <w:sz w:val="20"/>
                <w:szCs w:val="20"/>
                <w:lang w:eastAsia="en-US"/>
              </w:rPr>
              <w:t>2011</w:t>
            </w:r>
          </w:p>
        </w:tc>
      </w:tr>
      <w:tr w:rsidR="00242C36" w:rsidRPr="00E43137" w:rsidTr="00242C36">
        <w:trPr>
          <w:trHeight w:val="391"/>
        </w:trPr>
        <w:tc>
          <w:tcPr>
            <w:tcW w:w="3686" w:type="dxa"/>
            <w:tcBorders>
              <w:left w:val="single" w:sz="4" w:space="0" w:color="FFFFFF"/>
            </w:tcBorders>
            <w:shd w:val="clear" w:color="auto" w:fill="5B9BD5"/>
          </w:tcPr>
          <w:p w:rsidR="00242C36" w:rsidRPr="00E43137" w:rsidRDefault="00242C36" w:rsidP="00242C36">
            <w:pPr>
              <w:spacing w:after="120"/>
              <w:ind w:right="-66"/>
              <w:rPr>
                <w:rFonts w:ascii="Calibri" w:hAnsi="Calibri"/>
                <w:b/>
                <w:bCs/>
                <w:color w:val="FFFFFF"/>
                <w:sz w:val="20"/>
                <w:szCs w:val="20"/>
                <w:lang w:eastAsia="en-US"/>
              </w:rPr>
            </w:pPr>
            <w:r w:rsidRPr="00E43137">
              <w:rPr>
                <w:rFonts w:ascii="Calibri" w:eastAsia="Calibri" w:hAnsi="Calibri" w:cs="Calibri"/>
                <w:b/>
                <w:bCs/>
                <w:color w:val="FFFFFF"/>
                <w:sz w:val="20"/>
                <w:szCs w:val="20"/>
                <w:lang w:eastAsia="en-US"/>
              </w:rPr>
              <w:t>Prenajatá plocha pod závlahami</w:t>
            </w:r>
          </w:p>
        </w:tc>
        <w:tc>
          <w:tcPr>
            <w:tcW w:w="992" w:type="dxa"/>
            <w:shd w:val="clear" w:color="auto" w:fill="BDD6EE"/>
          </w:tcPr>
          <w:p w:rsidR="00242C36" w:rsidRPr="00E43137" w:rsidRDefault="00242C36" w:rsidP="00242C36">
            <w:pPr>
              <w:spacing w:after="120"/>
              <w:ind w:right="-285"/>
              <w:jc w:val="center"/>
              <w:rPr>
                <w:rFonts w:ascii="Calibri" w:hAnsi="Calibri"/>
                <w:sz w:val="20"/>
                <w:szCs w:val="20"/>
                <w:lang w:eastAsia="en-US"/>
              </w:rPr>
            </w:pPr>
            <w:r w:rsidRPr="00E43137">
              <w:rPr>
                <w:rFonts w:ascii="Calibri" w:eastAsia="Calibri" w:hAnsi="Calibri" w:cs="Calibri"/>
                <w:sz w:val="20"/>
                <w:szCs w:val="20"/>
                <w:lang w:eastAsia="en-US"/>
              </w:rPr>
              <w:t>294 202</w:t>
            </w:r>
          </w:p>
        </w:tc>
        <w:tc>
          <w:tcPr>
            <w:tcW w:w="851" w:type="dxa"/>
            <w:shd w:val="clear" w:color="auto" w:fill="BDD6EE"/>
          </w:tcPr>
          <w:p w:rsidR="00242C36" w:rsidRPr="00E43137" w:rsidRDefault="00242C36" w:rsidP="00242C36">
            <w:pPr>
              <w:spacing w:after="120"/>
              <w:ind w:right="-285"/>
              <w:jc w:val="center"/>
              <w:rPr>
                <w:rFonts w:ascii="Calibri" w:hAnsi="Calibri"/>
                <w:sz w:val="20"/>
                <w:szCs w:val="20"/>
                <w:lang w:eastAsia="en-US"/>
              </w:rPr>
            </w:pPr>
            <w:r w:rsidRPr="00E43137">
              <w:rPr>
                <w:rFonts w:ascii="Calibri" w:eastAsia="Calibri" w:hAnsi="Calibri" w:cs="Calibri"/>
                <w:sz w:val="20"/>
                <w:szCs w:val="20"/>
                <w:lang w:eastAsia="en-US"/>
              </w:rPr>
              <w:t>196 749</w:t>
            </w:r>
          </w:p>
        </w:tc>
        <w:tc>
          <w:tcPr>
            <w:tcW w:w="992" w:type="dxa"/>
            <w:shd w:val="clear" w:color="auto" w:fill="BDD6EE"/>
          </w:tcPr>
          <w:p w:rsidR="00242C36" w:rsidRPr="00E43137" w:rsidRDefault="00242C36" w:rsidP="00242C36">
            <w:pPr>
              <w:spacing w:after="120"/>
              <w:ind w:right="-285"/>
              <w:jc w:val="center"/>
              <w:rPr>
                <w:rFonts w:ascii="Calibri" w:hAnsi="Calibri"/>
                <w:sz w:val="20"/>
                <w:szCs w:val="20"/>
                <w:lang w:eastAsia="en-US"/>
              </w:rPr>
            </w:pPr>
            <w:r w:rsidRPr="00E43137">
              <w:rPr>
                <w:rFonts w:ascii="Calibri" w:eastAsia="Calibri" w:hAnsi="Calibri" w:cs="Calibri"/>
                <w:sz w:val="20"/>
                <w:szCs w:val="20"/>
                <w:lang w:eastAsia="en-US"/>
              </w:rPr>
              <w:t>214 326</w:t>
            </w:r>
          </w:p>
        </w:tc>
        <w:tc>
          <w:tcPr>
            <w:tcW w:w="992" w:type="dxa"/>
            <w:shd w:val="clear" w:color="auto" w:fill="BDD6EE"/>
          </w:tcPr>
          <w:p w:rsidR="00242C36" w:rsidRPr="00E43137" w:rsidRDefault="00242C36" w:rsidP="00242C36">
            <w:pPr>
              <w:spacing w:after="120"/>
              <w:ind w:right="-285"/>
              <w:jc w:val="center"/>
              <w:rPr>
                <w:rFonts w:ascii="Calibri" w:hAnsi="Calibri"/>
                <w:sz w:val="20"/>
                <w:szCs w:val="20"/>
                <w:lang w:eastAsia="en-US"/>
              </w:rPr>
            </w:pPr>
            <w:r w:rsidRPr="00E43137">
              <w:rPr>
                <w:rFonts w:ascii="Calibri" w:eastAsia="Calibri" w:hAnsi="Calibri" w:cs="Calibri"/>
                <w:sz w:val="20"/>
                <w:szCs w:val="20"/>
                <w:lang w:eastAsia="en-US"/>
              </w:rPr>
              <w:t>214 326</w:t>
            </w:r>
          </w:p>
        </w:tc>
        <w:tc>
          <w:tcPr>
            <w:tcW w:w="1276" w:type="dxa"/>
            <w:shd w:val="clear" w:color="auto" w:fill="BDD6EE"/>
          </w:tcPr>
          <w:p w:rsidR="00242C36" w:rsidRPr="00E43137" w:rsidRDefault="00242C36" w:rsidP="00242C36">
            <w:pPr>
              <w:spacing w:after="120"/>
              <w:ind w:right="-285"/>
              <w:jc w:val="center"/>
              <w:rPr>
                <w:rFonts w:ascii="Calibri" w:hAnsi="Calibri"/>
                <w:sz w:val="20"/>
                <w:szCs w:val="20"/>
                <w:lang w:eastAsia="en-US"/>
              </w:rPr>
            </w:pPr>
            <w:r w:rsidRPr="00E43137">
              <w:rPr>
                <w:rFonts w:ascii="Calibri" w:eastAsia="Calibri" w:hAnsi="Calibri" w:cs="Calibri"/>
                <w:sz w:val="20"/>
                <w:szCs w:val="20"/>
                <w:lang w:eastAsia="en-US"/>
              </w:rPr>
              <w:t>194 215</w:t>
            </w:r>
          </w:p>
        </w:tc>
      </w:tr>
      <w:tr w:rsidR="00242C36" w:rsidRPr="00E43137" w:rsidTr="00242C36">
        <w:tc>
          <w:tcPr>
            <w:tcW w:w="3686" w:type="dxa"/>
            <w:tcBorders>
              <w:left w:val="single" w:sz="4" w:space="0" w:color="FFFFFF"/>
            </w:tcBorders>
            <w:shd w:val="clear" w:color="auto" w:fill="5B9BD5"/>
          </w:tcPr>
          <w:p w:rsidR="00242C36" w:rsidRPr="00E43137" w:rsidRDefault="00242C36" w:rsidP="00242C36">
            <w:pPr>
              <w:spacing w:after="120"/>
              <w:ind w:right="-66"/>
              <w:rPr>
                <w:rFonts w:ascii="Calibri" w:hAnsi="Calibri"/>
                <w:b/>
                <w:bCs/>
                <w:color w:val="FFFFFF"/>
                <w:sz w:val="20"/>
                <w:szCs w:val="20"/>
                <w:lang w:eastAsia="en-US"/>
              </w:rPr>
            </w:pPr>
            <w:r w:rsidRPr="00E43137">
              <w:rPr>
                <w:rFonts w:ascii="Calibri" w:eastAsia="Calibri" w:hAnsi="Calibri" w:cs="Calibri"/>
                <w:b/>
                <w:bCs/>
                <w:color w:val="FFFFFF"/>
                <w:sz w:val="20"/>
                <w:szCs w:val="20"/>
                <w:lang w:eastAsia="en-US"/>
              </w:rPr>
              <w:t>Celkový odber vody v</w:t>
            </w:r>
            <w:r>
              <w:rPr>
                <w:rFonts w:ascii="Calibri" w:eastAsia="Calibri" w:hAnsi="Calibri" w:cs="Calibri"/>
                <w:b/>
                <w:bCs/>
                <w:color w:val="FFFFFF"/>
                <w:sz w:val="20"/>
                <w:szCs w:val="20"/>
                <w:lang w:eastAsia="en-US"/>
              </w:rPr>
              <w:t> mil.</w:t>
            </w:r>
            <w:r w:rsidRPr="00E43137">
              <w:rPr>
                <w:rFonts w:ascii="Calibri" w:eastAsia="Calibri" w:hAnsi="Calibri" w:cs="Calibri"/>
                <w:b/>
                <w:bCs/>
                <w:color w:val="FFFFFF"/>
                <w:sz w:val="20"/>
                <w:szCs w:val="20"/>
                <w:lang w:eastAsia="en-US"/>
              </w:rPr>
              <w:t> m3</w:t>
            </w:r>
          </w:p>
        </w:tc>
        <w:tc>
          <w:tcPr>
            <w:tcW w:w="992" w:type="dxa"/>
            <w:shd w:val="clear" w:color="auto" w:fill="BDD6EE"/>
          </w:tcPr>
          <w:p w:rsidR="00242C36" w:rsidRPr="00E43137" w:rsidRDefault="00242C36" w:rsidP="00242C36">
            <w:pPr>
              <w:spacing w:after="120"/>
              <w:ind w:right="-285"/>
              <w:jc w:val="center"/>
              <w:rPr>
                <w:rFonts w:ascii="Calibri" w:hAnsi="Calibri"/>
                <w:sz w:val="20"/>
                <w:szCs w:val="20"/>
                <w:lang w:eastAsia="en-US"/>
              </w:rPr>
            </w:pPr>
            <w:r w:rsidRPr="00E43137">
              <w:rPr>
                <w:rFonts w:ascii="Calibri" w:eastAsia="Calibri" w:hAnsi="Calibri" w:cs="Calibri"/>
                <w:sz w:val="20"/>
                <w:szCs w:val="20"/>
                <w:lang w:eastAsia="en-US"/>
              </w:rPr>
              <w:t>74,157</w:t>
            </w:r>
          </w:p>
        </w:tc>
        <w:tc>
          <w:tcPr>
            <w:tcW w:w="851" w:type="dxa"/>
            <w:shd w:val="clear" w:color="auto" w:fill="DEEAF6"/>
          </w:tcPr>
          <w:p w:rsidR="00242C36" w:rsidRPr="00E43137" w:rsidRDefault="00242C36" w:rsidP="00242C36">
            <w:pPr>
              <w:spacing w:after="120"/>
              <w:ind w:right="-285"/>
              <w:jc w:val="center"/>
              <w:rPr>
                <w:rFonts w:ascii="Calibri" w:hAnsi="Calibri"/>
                <w:sz w:val="20"/>
                <w:szCs w:val="20"/>
                <w:lang w:eastAsia="en-US"/>
              </w:rPr>
            </w:pPr>
            <w:r w:rsidRPr="00E43137">
              <w:rPr>
                <w:rFonts w:ascii="Calibri" w:eastAsia="Calibri" w:hAnsi="Calibri" w:cs="Calibri"/>
                <w:sz w:val="20"/>
                <w:szCs w:val="20"/>
                <w:lang w:eastAsia="en-US"/>
              </w:rPr>
              <w:t>5,887</w:t>
            </w:r>
          </w:p>
        </w:tc>
        <w:tc>
          <w:tcPr>
            <w:tcW w:w="992" w:type="dxa"/>
            <w:shd w:val="clear" w:color="auto" w:fill="BDD6EE"/>
          </w:tcPr>
          <w:p w:rsidR="00242C36" w:rsidRPr="00E43137" w:rsidRDefault="00242C36" w:rsidP="00242C36">
            <w:pPr>
              <w:spacing w:after="120"/>
              <w:ind w:right="-285"/>
              <w:jc w:val="center"/>
              <w:rPr>
                <w:rFonts w:ascii="Calibri" w:hAnsi="Calibri"/>
                <w:sz w:val="20"/>
                <w:szCs w:val="20"/>
                <w:lang w:eastAsia="en-US"/>
              </w:rPr>
            </w:pPr>
            <w:r w:rsidRPr="00E43137">
              <w:rPr>
                <w:rFonts w:ascii="Calibri" w:eastAsia="Calibri" w:hAnsi="Calibri" w:cs="Calibri"/>
                <w:sz w:val="20"/>
                <w:szCs w:val="20"/>
                <w:lang w:eastAsia="en-US"/>
              </w:rPr>
              <w:t>14,007</w:t>
            </w:r>
          </w:p>
        </w:tc>
        <w:tc>
          <w:tcPr>
            <w:tcW w:w="992" w:type="dxa"/>
            <w:shd w:val="clear" w:color="auto" w:fill="DEEAF6"/>
          </w:tcPr>
          <w:p w:rsidR="00242C36" w:rsidRPr="00E43137" w:rsidRDefault="00242C36" w:rsidP="00242C36">
            <w:pPr>
              <w:spacing w:after="120"/>
              <w:ind w:right="-285"/>
              <w:jc w:val="center"/>
              <w:rPr>
                <w:rFonts w:ascii="Calibri" w:hAnsi="Calibri"/>
                <w:sz w:val="20"/>
                <w:szCs w:val="20"/>
                <w:lang w:eastAsia="en-US"/>
              </w:rPr>
            </w:pPr>
            <w:r w:rsidRPr="00E43137">
              <w:rPr>
                <w:rFonts w:ascii="Calibri" w:eastAsia="Calibri" w:hAnsi="Calibri" w:cs="Calibri"/>
                <w:sz w:val="20"/>
                <w:szCs w:val="20"/>
                <w:lang w:eastAsia="en-US"/>
              </w:rPr>
              <w:t>6,035</w:t>
            </w:r>
          </w:p>
        </w:tc>
        <w:tc>
          <w:tcPr>
            <w:tcW w:w="1276" w:type="dxa"/>
            <w:shd w:val="clear" w:color="auto" w:fill="BDD6EE"/>
          </w:tcPr>
          <w:p w:rsidR="00242C36" w:rsidRPr="00E43137" w:rsidRDefault="00242C36" w:rsidP="00242C36">
            <w:pPr>
              <w:spacing w:after="120"/>
              <w:ind w:right="-285"/>
              <w:jc w:val="center"/>
              <w:rPr>
                <w:rFonts w:ascii="Calibri" w:hAnsi="Calibri"/>
                <w:sz w:val="20"/>
                <w:szCs w:val="20"/>
                <w:lang w:eastAsia="en-US"/>
              </w:rPr>
            </w:pPr>
            <w:r w:rsidRPr="00E43137">
              <w:rPr>
                <w:rFonts w:ascii="Calibri" w:eastAsia="Calibri" w:hAnsi="Calibri" w:cs="Calibri"/>
                <w:sz w:val="20"/>
                <w:szCs w:val="20"/>
                <w:lang w:eastAsia="en-US"/>
              </w:rPr>
              <w:t>8,670</w:t>
            </w:r>
          </w:p>
        </w:tc>
      </w:tr>
      <w:tr w:rsidR="00242C36" w:rsidRPr="00E43137" w:rsidTr="00242C36">
        <w:tc>
          <w:tcPr>
            <w:tcW w:w="3686" w:type="dxa"/>
            <w:tcBorders>
              <w:left w:val="single" w:sz="4" w:space="0" w:color="FFFFFF"/>
              <w:bottom w:val="single" w:sz="4" w:space="0" w:color="FFFFFF"/>
            </w:tcBorders>
            <w:shd w:val="clear" w:color="auto" w:fill="5B9BD5"/>
          </w:tcPr>
          <w:p w:rsidR="00242C36" w:rsidRPr="00E43137" w:rsidRDefault="00242C36" w:rsidP="00242C36">
            <w:pPr>
              <w:spacing w:after="120"/>
              <w:ind w:right="-66"/>
              <w:rPr>
                <w:rFonts w:ascii="Calibri" w:hAnsi="Calibri"/>
                <w:b/>
                <w:bCs/>
                <w:color w:val="FFFFFF"/>
                <w:sz w:val="20"/>
                <w:szCs w:val="20"/>
                <w:lang w:eastAsia="en-US"/>
              </w:rPr>
            </w:pPr>
            <w:r w:rsidRPr="00E43137">
              <w:rPr>
                <w:rFonts w:ascii="Calibri" w:eastAsia="Calibri" w:hAnsi="Calibri" w:cs="Calibri"/>
                <w:b/>
                <w:bCs/>
                <w:color w:val="FFFFFF"/>
                <w:sz w:val="20"/>
                <w:szCs w:val="20"/>
                <w:lang w:eastAsia="en-US"/>
              </w:rPr>
              <w:t xml:space="preserve">Priemerne množstvo vody v m3 na </w:t>
            </w:r>
            <w:smartTag w:uri="urn:schemas-microsoft-com:office:smarttags" w:element="metricconverter">
              <w:smartTagPr>
                <w:attr w:name="ProductID" w:val="1 ha"/>
              </w:smartTagPr>
              <w:r w:rsidRPr="00E43137">
                <w:rPr>
                  <w:rFonts w:ascii="Calibri" w:eastAsia="Calibri" w:hAnsi="Calibri" w:cs="Calibri"/>
                  <w:b/>
                  <w:bCs/>
                  <w:color w:val="FFFFFF"/>
                  <w:sz w:val="20"/>
                  <w:szCs w:val="20"/>
                  <w:lang w:eastAsia="en-US"/>
                </w:rPr>
                <w:t>1 ha</w:t>
              </w:r>
            </w:smartTag>
          </w:p>
        </w:tc>
        <w:tc>
          <w:tcPr>
            <w:tcW w:w="992" w:type="dxa"/>
            <w:shd w:val="clear" w:color="auto" w:fill="BDD6EE"/>
          </w:tcPr>
          <w:p w:rsidR="00242C36" w:rsidRPr="00E43137" w:rsidRDefault="00242C36" w:rsidP="00242C36">
            <w:pPr>
              <w:spacing w:after="120"/>
              <w:ind w:right="-285"/>
              <w:jc w:val="center"/>
              <w:rPr>
                <w:rFonts w:ascii="Calibri" w:hAnsi="Calibri"/>
                <w:sz w:val="20"/>
                <w:szCs w:val="20"/>
                <w:lang w:eastAsia="en-US"/>
              </w:rPr>
            </w:pPr>
            <w:r w:rsidRPr="00E43137">
              <w:rPr>
                <w:rFonts w:ascii="Calibri" w:eastAsia="Calibri" w:hAnsi="Calibri" w:cs="Calibri"/>
                <w:sz w:val="20"/>
                <w:szCs w:val="20"/>
                <w:lang w:eastAsia="en-US"/>
              </w:rPr>
              <w:t>252</w:t>
            </w:r>
          </w:p>
        </w:tc>
        <w:tc>
          <w:tcPr>
            <w:tcW w:w="851" w:type="dxa"/>
            <w:shd w:val="clear" w:color="auto" w:fill="BDD6EE"/>
          </w:tcPr>
          <w:p w:rsidR="00242C36" w:rsidRPr="00E43137" w:rsidRDefault="00242C36" w:rsidP="00242C36">
            <w:pPr>
              <w:spacing w:after="120"/>
              <w:ind w:right="-285"/>
              <w:jc w:val="center"/>
              <w:rPr>
                <w:rFonts w:ascii="Calibri" w:hAnsi="Calibri"/>
                <w:sz w:val="20"/>
                <w:szCs w:val="20"/>
                <w:lang w:eastAsia="en-US"/>
              </w:rPr>
            </w:pPr>
            <w:r w:rsidRPr="00E43137">
              <w:rPr>
                <w:rFonts w:ascii="Calibri" w:eastAsia="Calibri" w:hAnsi="Calibri" w:cs="Calibri"/>
                <w:sz w:val="20"/>
                <w:szCs w:val="20"/>
                <w:lang w:eastAsia="en-US"/>
              </w:rPr>
              <w:t>29,9</w:t>
            </w:r>
          </w:p>
        </w:tc>
        <w:tc>
          <w:tcPr>
            <w:tcW w:w="992" w:type="dxa"/>
            <w:shd w:val="clear" w:color="auto" w:fill="BDD6EE"/>
          </w:tcPr>
          <w:p w:rsidR="00242C36" w:rsidRPr="00E43137" w:rsidRDefault="00242C36" w:rsidP="00242C36">
            <w:pPr>
              <w:spacing w:after="120"/>
              <w:ind w:right="-285"/>
              <w:jc w:val="center"/>
              <w:rPr>
                <w:rFonts w:ascii="Calibri" w:hAnsi="Calibri"/>
                <w:sz w:val="20"/>
                <w:szCs w:val="20"/>
                <w:lang w:eastAsia="en-US"/>
              </w:rPr>
            </w:pPr>
            <w:r w:rsidRPr="00E43137">
              <w:rPr>
                <w:rFonts w:ascii="Calibri" w:eastAsia="Calibri" w:hAnsi="Calibri" w:cs="Calibri"/>
                <w:sz w:val="20"/>
                <w:szCs w:val="20"/>
                <w:lang w:eastAsia="en-US"/>
              </w:rPr>
              <w:t>65,4</w:t>
            </w:r>
          </w:p>
        </w:tc>
        <w:tc>
          <w:tcPr>
            <w:tcW w:w="992" w:type="dxa"/>
            <w:shd w:val="clear" w:color="auto" w:fill="BDD6EE"/>
          </w:tcPr>
          <w:p w:rsidR="00242C36" w:rsidRPr="00E43137" w:rsidRDefault="00242C36" w:rsidP="00242C36">
            <w:pPr>
              <w:spacing w:after="120"/>
              <w:ind w:right="-285"/>
              <w:jc w:val="center"/>
              <w:rPr>
                <w:rFonts w:ascii="Calibri" w:hAnsi="Calibri"/>
                <w:sz w:val="20"/>
                <w:szCs w:val="20"/>
                <w:lang w:eastAsia="en-US"/>
              </w:rPr>
            </w:pPr>
            <w:r w:rsidRPr="00E43137">
              <w:rPr>
                <w:rFonts w:ascii="Calibri" w:eastAsia="Calibri" w:hAnsi="Calibri" w:cs="Calibri"/>
                <w:sz w:val="20"/>
                <w:szCs w:val="20"/>
                <w:lang w:eastAsia="en-US"/>
              </w:rPr>
              <w:t>29,2</w:t>
            </w:r>
          </w:p>
        </w:tc>
        <w:tc>
          <w:tcPr>
            <w:tcW w:w="1276" w:type="dxa"/>
            <w:shd w:val="clear" w:color="auto" w:fill="BDD6EE"/>
          </w:tcPr>
          <w:p w:rsidR="00242C36" w:rsidRPr="00E43137" w:rsidRDefault="00242C36" w:rsidP="00242C36">
            <w:pPr>
              <w:spacing w:after="120"/>
              <w:ind w:right="-285"/>
              <w:jc w:val="center"/>
              <w:rPr>
                <w:rFonts w:ascii="Calibri" w:hAnsi="Calibri"/>
                <w:sz w:val="20"/>
                <w:szCs w:val="20"/>
                <w:lang w:eastAsia="en-US"/>
              </w:rPr>
            </w:pPr>
            <w:r w:rsidRPr="00E43137">
              <w:rPr>
                <w:rFonts w:ascii="Calibri" w:eastAsia="Calibri" w:hAnsi="Calibri" w:cs="Calibri"/>
                <w:sz w:val="20"/>
                <w:szCs w:val="20"/>
                <w:lang w:eastAsia="en-US"/>
              </w:rPr>
              <w:t>44,64</w:t>
            </w:r>
          </w:p>
        </w:tc>
      </w:tr>
    </w:tbl>
    <w:p w:rsidR="00242C36" w:rsidRPr="00E43137" w:rsidRDefault="00242C36" w:rsidP="00242C36">
      <w:pPr>
        <w:pBdr>
          <w:bar w:val="single" w:sz="6" w:color="808080"/>
        </w:pBdr>
        <w:rPr>
          <w:rFonts w:ascii="Calibri" w:eastAsia="Calibri" w:hAnsi="Calibri"/>
          <w:szCs w:val="22"/>
          <w:lang w:eastAsia="en-US"/>
        </w:rPr>
      </w:pPr>
    </w:p>
    <w:p w:rsidR="00242C36" w:rsidRPr="00E43137" w:rsidRDefault="00242C36" w:rsidP="00242C36">
      <w:pPr>
        <w:pBdr>
          <w:bar w:val="single" w:sz="6" w:color="808080"/>
        </w:pBdr>
        <w:spacing w:after="120"/>
        <w:rPr>
          <w:rFonts w:ascii="Calibri" w:eastAsia="Calibri" w:hAnsi="Calibri"/>
          <w:szCs w:val="22"/>
          <w:lang w:eastAsia="en-US"/>
        </w:rPr>
      </w:pPr>
      <w:r w:rsidRPr="00E43137">
        <w:rPr>
          <w:rFonts w:ascii="Calibri" w:eastAsia="Calibri" w:hAnsi="Calibri"/>
          <w:szCs w:val="22"/>
          <w:lang w:eastAsia="en-US"/>
        </w:rPr>
        <w:t>Za posledných 5 rokov sa spotreba vody na zavlažovanie pohybuje v rozmedzí 6  - 14 mil. m</w:t>
      </w:r>
      <w:r w:rsidRPr="00E43137">
        <w:rPr>
          <w:rFonts w:ascii="Calibri" w:eastAsia="Calibri" w:hAnsi="Calibri"/>
          <w:szCs w:val="22"/>
          <w:vertAlign w:val="superscript"/>
          <w:lang w:eastAsia="en-US"/>
        </w:rPr>
        <w:t>3</w:t>
      </w:r>
      <w:r w:rsidRPr="00E43137">
        <w:rPr>
          <w:rFonts w:ascii="Calibri" w:eastAsia="Calibri" w:hAnsi="Calibri"/>
          <w:szCs w:val="22"/>
          <w:lang w:eastAsia="en-US"/>
        </w:rPr>
        <w:t xml:space="preserve">, resp. 29 – </w:t>
      </w:r>
      <w:smartTag w:uri="urn:schemas-microsoft-com:office:smarttags" w:element="metricconverter">
        <w:smartTagPr>
          <w:attr w:name="ProductID" w:val="65 m3"/>
        </w:smartTagPr>
        <w:r w:rsidRPr="00E43137">
          <w:rPr>
            <w:rFonts w:ascii="Calibri" w:eastAsia="Calibri" w:hAnsi="Calibri"/>
            <w:szCs w:val="22"/>
            <w:lang w:eastAsia="en-US"/>
          </w:rPr>
          <w:t>65 m</w:t>
        </w:r>
        <w:r w:rsidRPr="00E43137">
          <w:rPr>
            <w:rFonts w:ascii="Calibri" w:eastAsia="Calibri" w:hAnsi="Calibri"/>
            <w:szCs w:val="22"/>
            <w:vertAlign w:val="superscript"/>
            <w:lang w:eastAsia="en-US"/>
          </w:rPr>
          <w:t>3</w:t>
        </w:r>
      </w:smartTag>
      <w:r w:rsidRPr="00E43137">
        <w:rPr>
          <w:rFonts w:ascii="Calibri" w:eastAsia="Calibri" w:hAnsi="Calibri"/>
          <w:szCs w:val="22"/>
          <w:lang w:eastAsia="en-US"/>
        </w:rPr>
        <w:t xml:space="preserve"> v prepočte na </w:t>
      </w:r>
      <w:smartTag w:uri="urn:schemas-microsoft-com:office:smarttags" w:element="metricconverter">
        <w:smartTagPr>
          <w:attr w:name="ProductID" w:val="1 ha"/>
        </w:smartTagPr>
        <w:r w:rsidRPr="00E43137">
          <w:rPr>
            <w:rFonts w:ascii="Calibri" w:eastAsia="Calibri" w:hAnsi="Calibri"/>
            <w:szCs w:val="22"/>
            <w:lang w:eastAsia="en-US"/>
          </w:rPr>
          <w:t>1 ha</w:t>
        </w:r>
      </w:smartTag>
      <w:r w:rsidRPr="00E43137">
        <w:rPr>
          <w:rFonts w:ascii="Calibri" w:eastAsia="Calibri" w:hAnsi="Calibri"/>
          <w:szCs w:val="22"/>
          <w:lang w:eastAsia="en-US"/>
        </w:rPr>
        <w:t>, čo je alarmujúci stav vo využití závlah ako intenzifikačného faktora</w:t>
      </w:r>
      <w:r w:rsidRPr="00E43137">
        <w:rPr>
          <w:rFonts w:ascii="Calibri" w:eastAsia="Calibri" w:hAnsi="Calibri"/>
          <w:szCs w:val="22"/>
          <w:lang w:eastAsia="en-US"/>
        </w:rPr>
        <w:lastRenderedPageBreak/>
        <w:t xml:space="preserve"> s priamym dopadom na konkurencieschopnosť poľnohospodárskej prvovýroby. Jednou s príčin nízkeho záujmu podnikateľských subjektov o využívanie závlah sú aj nedoriešené správcovské a vlastnícke vzťahy k hydromelioračnému majetku. </w:t>
      </w:r>
    </w:p>
    <w:p w:rsidR="00242C36" w:rsidRPr="00E43137" w:rsidRDefault="00242C36" w:rsidP="00242C36">
      <w:pPr>
        <w:pBdr>
          <w:bar w:val="single" w:sz="6" w:color="808080"/>
        </w:pBdr>
        <w:rPr>
          <w:rFonts w:ascii="Calibri" w:eastAsia="Calibri" w:hAnsi="Calibri"/>
          <w:szCs w:val="22"/>
          <w:lang w:eastAsia="en-US"/>
        </w:rPr>
      </w:pPr>
      <w:r w:rsidRPr="00E43137">
        <w:rPr>
          <w:rFonts w:ascii="Calibri" w:eastAsia="Calibri" w:hAnsi="Calibri"/>
          <w:szCs w:val="22"/>
          <w:lang w:eastAsia="en-US"/>
        </w:rPr>
        <w:t>Hydrologická bilancia Slovenska zvládla v minulosti (90-te roky) bezproblémovo ročné spotreby závlahovej vody do 300 mil. m</w:t>
      </w:r>
      <w:r w:rsidRPr="00E43137">
        <w:rPr>
          <w:rFonts w:ascii="Calibri" w:eastAsia="Calibri" w:hAnsi="Calibri"/>
          <w:szCs w:val="22"/>
          <w:vertAlign w:val="superscript"/>
          <w:lang w:eastAsia="en-US"/>
        </w:rPr>
        <w:t>3</w:t>
      </w:r>
      <w:r w:rsidRPr="00E43137">
        <w:rPr>
          <w:rFonts w:ascii="Calibri" w:eastAsia="Calibri" w:hAnsi="Calibri"/>
          <w:szCs w:val="22"/>
          <w:lang w:eastAsia="en-US"/>
        </w:rPr>
        <w:t xml:space="preserve">. </w:t>
      </w:r>
    </w:p>
    <w:p w:rsidR="00242C36" w:rsidRDefault="00242C36">
      <w:pPr>
        <w:jc w:val="left"/>
        <w:rPr>
          <w:rFonts w:ascii="Calibri" w:hAnsi="Calibri"/>
          <w:b/>
          <w:bCs/>
          <w:szCs w:val="22"/>
        </w:rPr>
      </w:pPr>
      <w:r>
        <w:rPr>
          <w:rFonts w:ascii="Calibri" w:hAnsi="Calibri"/>
          <w:b/>
          <w:bCs/>
          <w:szCs w:val="22"/>
        </w:rPr>
        <w:br w:type="page"/>
      </w:r>
    </w:p>
    <w:p w:rsidR="00A71A12" w:rsidRPr="008F198F" w:rsidRDefault="00A71A12" w:rsidP="008F198F">
      <w:pPr>
        <w:pStyle w:val="Nadpis1"/>
        <w:keepNext w:val="0"/>
        <w:widowControl w:val="0"/>
        <w:jc w:val="left"/>
        <w:rPr>
          <w:rFonts w:asciiTheme="minorHAnsi" w:hAnsiTheme="minorHAnsi"/>
          <w:sz w:val="28"/>
          <w:szCs w:val="28"/>
        </w:rPr>
      </w:pPr>
      <w:bookmarkStart w:id="26" w:name="_Toc352684215"/>
      <w:bookmarkStart w:id="27" w:name="_Toc352684271"/>
      <w:bookmarkStart w:id="28" w:name="_Toc352753506"/>
      <w:bookmarkStart w:id="29" w:name="_Toc359414555"/>
      <w:bookmarkStart w:id="30" w:name="_Toc360202469"/>
      <w:bookmarkEnd w:id="19"/>
      <w:bookmarkEnd w:id="20"/>
      <w:bookmarkEnd w:id="21"/>
      <w:bookmarkEnd w:id="22"/>
      <w:bookmarkEnd w:id="23"/>
      <w:bookmarkEnd w:id="24"/>
      <w:bookmarkEnd w:id="25"/>
      <w:r w:rsidRPr="008F198F">
        <w:rPr>
          <w:rFonts w:asciiTheme="minorHAnsi" w:hAnsiTheme="minorHAnsi"/>
          <w:sz w:val="28"/>
          <w:szCs w:val="28"/>
        </w:rPr>
        <w:t>4.2 SWOT</w:t>
      </w:r>
    </w:p>
    <w:p w:rsidR="00A71A12" w:rsidRPr="004733E9" w:rsidRDefault="00A71A12" w:rsidP="00A71A12">
      <w:pPr>
        <w:pStyle w:val="Text2"/>
        <w:widowControl w:val="0"/>
        <w:pBdr>
          <w:top w:val="single" w:sz="4" w:space="1" w:color="auto"/>
          <w:left w:val="single" w:sz="4" w:space="4" w:color="auto"/>
          <w:bottom w:val="single" w:sz="4" w:space="1" w:color="auto"/>
          <w:right w:val="single" w:sz="4" w:space="4" w:color="auto"/>
        </w:pBdr>
        <w:shd w:val="clear" w:color="auto" w:fill="E5B8B7"/>
        <w:jc w:val="center"/>
        <w:rPr>
          <w:rFonts w:asciiTheme="minorHAnsi" w:hAnsiTheme="minorHAnsi"/>
          <w:b/>
          <w:strike/>
          <w:szCs w:val="22"/>
        </w:rPr>
      </w:pPr>
      <w:r>
        <w:rPr>
          <w:rFonts w:asciiTheme="minorHAnsi" w:hAnsiTheme="minorHAnsi"/>
          <w:b/>
          <w:szCs w:val="22"/>
          <w:lang w:val="sk-SK"/>
        </w:rPr>
        <w:t xml:space="preserve">4.2.1 </w:t>
      </w:r>
      <w:r w:rsidRPr="004733E9">
        <w:rPr>
          <w:rFonts w:asciiTheme="minorHAnsi" w:hAnsiTheme="minorHAnsi"/>
          <w:b/>
          <w:szCs w:val="22"/>
          <w:lang w:val="sk-SK"/>
        </w:rPr>
        <w:t>Strengths / Silné stránky</w:t>
      </w:r>
    </w:p>
    <w:p w:rsidR="005402A5" w:rsidRDefault="005402A5" w:rsidP="00D566CE">
      <w:pPr>
        <w:keepNext/>
        <w:pBdr>
          <w:bar w:val="single" w:sz="6" w:color="808080"/>
        </w:pBdr>
        <w:spacing w:after="60"/>
        <w:ind w:left="426" w:hanging="426"/>
        <w:outlineLvl w:val="0"/>
        <w:rPr>
          <w:rFonts w:ascii="Calibri" w:hAnsi="Calibri"/>
          <w:b/>
          <w:bCs/>
          <w:kern w:val="32"/>
          <w:szCs w:val="22"/>
          <w:u w:val="single"/>
          <w:lang w:eastAsia="en-US"/>
        </w:rPr>
      </w:pPr>
      <w:bookmarkStart w:id="31" w:name="_Toc352684216"/>
      <w:bookmarkStart w:id="32" w:name="_Toc352684272"/>
      <w:bookmarkStart w:id="33" w:name="_Toc352753507"/>
      <w:bookmarkEnd w:id="26"/>
      <w:bookmarkEnd w:id="27"/>
      <w:bookmarkEnd w:id="28"/>
      <w:bookmarkEnd w:id="29"/>
      <w:bookmarkEnd w:id="30"/>
    </w:p>
    <w:p w:rsidR="00D566CE" w:rsidRPr="00D566CE" w:rsidRDefault="00D566CE" w:rsidP="00D566CE">
      <w:pPr>
        <w:keepNext/>
        <w:pBdr>
          <w:bar w:val="single" w:sz="6" w:color="808080"/>
        </w:pBdr>
        <w:spacing w:after="60"/>
        <w:ind w:left="426" w:hanging="426"/>
        <w:outlineLvl w:val="0"/>
        <w:rPr>
          <w:rFonts w:ascii="Calibri" w:hAnsi="Calibri"/>
          <w:b/>
          <w:bCs/>
          <w:kern w:val="32"/>
          <w:szCs w:val="22"/>
          <w:u w:val="single"/>
          <w:lang w:eastAsia="en-US"/>
        </w:rPr>
      </w:pPr>
      <w:r w:rsidRPr="00E43137">
        <w:rPr>
          <w:rFonts w:ascii="Calibri" w:hAnsi="Calibri"/>
          <w:b/>
          <w:bCs/>
          <w:kern w:val="32"/>
          <w:szCs w:val="22"/>
          <w:u w:val="single"/>
          <w:lang w:eastAsia="en-US"/>
        </w:rPr>
        <w:t>Sociálno</w:t>
      </w:r>
      <w:r w:rsidRPr="00D566CE">
        <w:rPr>
          <w:rFonts w:ascii="Calibri" w:hAnsi="Calibri"/>
          <w:b/>
          <w:bCs/>
          <w:kern w:val="32"/>
          <w:szCs w:val="22"/>
          <w:u w:val="single"/>
          <w:lang w:eastAsia="en-US"/>
        </w:rPr>
        <w:t xml:space="preserve">-ekonomická situácia vo vidieckych oblastiach </w:t>
      </w:r>
    </w:p>
    <w:p w:rsidR="00D566CE" w:rsidRPr="00D566CE" w:rsidRDefault="00D566CE" w:rsidP="00D566CE">
      <w:pPr>
        <w:pStyle w:val="tlText2VlastnfarbaRGB31"/>
        <w:widowControl w:val="0"/>
        <w:numPr>
          <w:ilvl w:val="0"/>
          <w:numId w:val="322"/>
        </w:numPr>
        <w:spacing w:line="240" w:lineRule="auto"/>
        <w:ind w:left="540"/>
        <w:rPr>
          <w:rFonts w:asciiTheme="minorHAnsi" w:hAnsiTheme="minorHAnsi"/>
          <w:color w:val="auto"/>
          <w:szCs w:val="22"/>
        </w:rPr>
      </w:pPr>
      <w:r w:rsidRPr="00D566CE">
        <w:rPr>
          <w:rFonts w:asciiTheme="minorHAnsi" w:hAnsiTheme="minorHAnsi"/>
          <w:color w:val="auto"/>
          <w:szCs w:val="22"/>
        </w:rPr>
        <w:t>vysoký podiel obyvateľstva vo vidieckych a prechodných regiónoch (dostatok prac síl pre rozvoj pôdohospodárstva)</w:t>
      </w:r>
    </w:p>
    <w:p w:rsidR="00D566CE" w:rsidRPr="00D566CE" w:rsidRDefault="00D566CE" w:rsidP="00D566CE">
      <w:pPr>
        <w:pStyle w:val="tlText2VlastnfarbaRGB31"/>
        <w:widowControl w:val="0"/>
        <w:numPr>
          <w:ilvl w:val="0"/>
          <w:numId w:val="322"/>
        </w:numPr>
        <w:spacing w:line="240" w:lineRule="auto"/>
        <w:ind w:left="540"/>
        <w:rPr>
          <w:rFonts w:asciiTheme="minorHAnsi" w:hAnsiTheme="minorHAnsi"/>
          <w:color w:val="auto"/>
          <w:szCs w:val="22"/>
        </w:rPr>
      </w:pPr>
      <w:r w:rsidRPr="00D566CE">
        <w:rPr>
          <w:rFonts w:asciiTheme="minorHAnsi" w:hAnsiTheme="minorHAnsi"/>
          <w:color w:val="auto"/>
          <w:szCs w:val="22"/>
        </w:rPr>
        <w:t>rastúci trend v počte FO a PO podnikajúcich vo vidieckych oblastiach</w:t>
      </w:r>
    </w:p>
    <w:p w:rsidR="00D566CE" w:rsidRPr="00D566CE" w:rsidRDefault="00D566CE" w:rsidP="00D566CE">
      <w:pPr>
        <w:pStyle w:val="tlText2VlastnfarbaRGB31"/>
        <w:widowControl w:val="0"/>
        <w:numPr>
          <w:ilvl w:val="0"/>
          <w:numId w:val="322"/>
        </w:numPr>
        <w:spacing w:line="240" w:lineRule="auto"/>
        <w:ind w:left="540"/>
        <w:rPr>
          <w:rFonts w:asciiTheme="minorHAnsi" w:hAnsiTheme="minorHAnsi"/>
          <w:color w:val="auto"/>
          <w:szCs w:val="22"/>
        </w:rPr>
      </w:pPr>
      <w:r w:rsidRPr="00D566CE">
        <w:rPr>
          <w:rFonts w:asciiTheme="minorHAnsi" w:hAnsiTheme="minorHAnsi"/>
          <w:color w:val="auto"/>
          <w:szCs w:val="22"/>
        </w:rPr>
        <w:t>v rámci krajín EÚ 27 patrí SR medzi krajiny s najnižšou mierou rizika chudoby</w:t>
      </w:r>
    </w:p>
    <w:p w:rsidR="00D566CE" w:rsidRPr="00D566CE" w:rsidRDefault="00D566CE" w:rsidP="00D566CE">
      <w:pPr>
        <w:pStyle w:val="tlText2VlastnfarbaRGB31"/>
        <w:widowControl w:val="0"/>
        <w:numPr>
          <w:ilvl w:val="0"/>
          <w:numId w:val="322"/>
        </w:numPr>
        <w:spacing w:line="240" w:lineRule="auto"/>
        <w:ind w:left="540"/>
        <w:rPr>
          <w:rFonts w:asciiTheme="minorHAnsi" w:hAnsiTheme="minorHAnsi"/>
          <w:color w:val="auto"/>
          <w:szCs w:val="22"/>
        </w:rPr>
      </w:pPr>
      <w:r w:rsidRPr="00D566CE">
        <w:rPr>
          <w:rFonts w:asciiTheme="minorHAnsi" w:hAnsiTheme="minorHAnsi"/>
          <w:color w:val="auto"/>
          <w:szCs w:val="22"/>
        </w:rPr>
        <w:t>skúsenosti s uplatnením princípu „zdola-nahor“ v oblasti rozvoja obcí (LEADER) a fungujúce MAS</w:t>
      </w:r>
    </w:p>
    <w:p w:rsidR="00D566CE" w:rsidRPr="00D566CE" w:rsidRDefault="00D566CE" w:rsidP="00D566CE">
      <w:pPr>
        <w:pStyle w:val="tlText2VlastnfarbaRGB31"/>
        <w:widowControl w:val="0"/>
        <w:numPr>
          <w:ilvl w:val="0"/>
          <w:numId w:val="322"/>
        </w:numPr>
        <w:spacing w:line="240" w:lineRule="auto"/>
        <w:ind w:left="540"/>
        <w:rPr>
          <w:rFonts w:asciiTheme="minorHAnsi" w:hAnsiTheme="minorHAnsi"/>
          <w:color w:val="auto"/>
          <w:szCs w:val="22"/>
        </w:rPr>
      </w:pPr>
      <w:r w:rsidRPr="00D566CE">
        <w:rPr>
          <w:rFonts w:asciiTheme="minorHAnsi" w:hAnsiTheme="minorHAnsi"/>
          <w:color w:val="auto"/>
          <w:szCs w:val="22"/>
        </w:rPr>
        <w:t xml:space="preserve">dostatočná ubytovacia kapacita vo vidieckych oblastiach a potenciál pre rozvoj služieb v cestovnom ruchu </w:t>
      </w:r>
    </w:p>
    <w:p w:rsidR="00D566CE" w:rsidRPr="00D566CE" w:rsidRDefault="00D566CE" w:rsidP="00D566CE">
      <w:pPr>
        <w:keepNext/>
        <w:pBdr>
          <w:bar w:val="single" w:sz="6" w:color="808080"/>
        </w:pBdr>
        <w:spacing w:after="60"/>
        <w:ind w:left="426" w:hanging="426"/>
        <w:outlineLvl w:val="0"/>
        <w:rPr>
          <w:rFonts w:ascii="Calibri" w:hAnsi="Calibri"/>
          <w:b/>
          <w:bCs/>
          <w:kern w:val="32"/>
          <w:szCs w:val="22"/>
          <w:u w:val="single"/>
          <w:lang w:eastAsia="en-US"/>
        </w:rPr>
      </w:pPr>
    </w:p>
    <w:p w:rsidR="00D566CE" w:rsidRPr="00D566CE" w:rsidRDefault="00D566CE" w:rsidP="00D566CE">
      <w:pPr>
        <w:keepNext/>
        <w:pBdr>
          <w:bar w:val="single" w:sz="6" w:color="808080"/>
        </w:pBdr>
        <w:spacing w:after="60"/>
        <w:ind w:left="426" w:hanging="426"/>
        <w:outlineLvl w:val="0"/>
      </w:pPr>
      <w:r w:rsidRPr="00D566CE">
        <w:rPr>
          <w:rFonts w:ascii="Calibri" w:hAnsi="Calibri"/>
          <w:b/>
          <w:bCs/>
          <w:kern w:val="32"/>
          <w:szCs w:val="22"/>
          <w:u w:val="single"/>
          <w:lang w:eastAsia="en-US"/>
        </w:rPr>
        <w:t>Sektorová časť</w:t>
      </w:r>
    </w:p>
    <w:p w:rsidR="00D566CE" w:rsidRPr="00D566CE" w:rsidRDefault="00D566CE" w:rsidP="00D566CE">
      <w:pPr>
        <w:pStyle w:val="tlText2VlastnfarbaRGB31"/>
        <w:widowControl w:val="0"/>
        <w:numPr>
          <w:ilvl w:val="0"/>
          <w:numId w:val="322"/>
        </w:numPr>
        <w:spacing w:line="240" w:lineRule="auto"/>
        <w:ind w:left="540"/>
        <w:rPr>
          <w:rFonts w:asciiTheme="minorHAnsi" w:hAnsiTheme="minorHAnsi"/>
          <w:color w:val="auto"/>
          <w:szCs w:val="22"/>
        </w:rPr>
      </w:pPr>
      <w:r w:rsidRPr="00D566CE">
        <w:rPr>
          <w:rFonts w:asciiTheme="minorHAnsi" w:hAnsiTheme="minorHAnsi"/>
          <w:color w:val="auto"/>
          <w:szCs w:val="22"/>
        </w:rPr>
        <w:t>produkčný potenciál pre ekologické poľnohospodárstvo a ovocinárstvo</w:t>
      </w:r>
    </w:p>
    <w:p w:rsidR="00D566CE" w:rsidRPr="00D566CE" w:rsidRDefault="00D566CE" w:rsidP="00D566CE">
      <w:pPr>
        <w:pStyle w:val="tlText2VlastnfarbaRGB31"/>
        <w:widowControl w:val="0"/>
        <w:numPr>
          <w:ilvl w:val="0"/>
          <w:numId w:val="324"/>
        </w:numPr>
        <w:spacing w:line="240" w:lineRule="auto"/>
        <w:rPr>
          <w:rFonts w:asciiTheme="minorHAnsi" w:hAnsiTheme="minorHAnsi"/>
          <w:color w:val="auto"/>
          <w:szCs w:val="22"/>
        </w:rPr>
      </w:pPr>
      <w:r w:rsidRPr="00D566CE">
        <w:rPr>
          <w:rFonts w:asciiTheme="minorHAnsi" w:hAnsiTheme="minorHAnsi"/>
          <w:color w:val="auto"/>
          <w:szCs w:val="22"/>
        </w:rPr>
        <w:t xml:space="preserve">uplatnenie inovatívnych technológií výroby vo väčších poľnohospodárskych podnikoch </w:t>
      </w:r>
    </w:p>
    <w:p w:rsidR="00D566CE" w:rsidRPr="00D566CE" w:rsidRDefault="00D566CE" w:rsidP="00D566CE">
      <w:pPr>
        <w:pStyle w:val="tlText2VlastnfarbaRGB31"/>
        <w:widowControl w:val="0"/>
        <w:numPr>
          <w:ilvl w:val="0"/>
          <w:numId w:val="324"/>
        </w:numPr>
        <w:spacing w:line="240" w:lineRule="auto"/>
        <w:rPr>
          <w:rFonts w:asciiTheme="minorHAnsi" w:hAnsiTheme="minorHAnsi"/>
          <w:color w:val="auto"/>
          <w:szCs w:val="22"/>
        </w:rPr>
      </w:pPr>
      <w:r w:rsidRPr="00D566CE">
        <w:rPr>
          <w:rFonts w:asciiTheme="minorHAnsi" w:hAnsiTheme="minorHAnsi"/>
          <w:color w:val="auto"/>
          <w:szCs w:val="22"/>
        </w:rPr>
        <w:t>kvalitná produkcia poľnohospodárskej prvovýroby</w:t>
      </w:r>
    </w:p>
    <w:p w:rsidR="00D566CE" w:rsidRPr="00D566CE" w:rsidRDefault="00D566CE" w:rsidP="00D566CE">
      <w:pPr>
        <w:pStyle w:val="tlText2VlastnfarbaRGB31"/>
        <w:widowControl w:val="0"/>
        <w:numPr>
          <w:ilvl w:val="0"/>
          <w:numId w:val="324"/>
        </w:numPr>
        <w:spacing w:line="240" w:lineRule="auto"/>
        <w:rPr>
          <w:rFonts w:asciiTheme="minorHAnsi" w:hAnsiTheme="minorHAnsi"/>
          <w:color w:val="auto"/>
          <w:szCs w:val="22"/>
        </w:rPr>
      </w:pPr>
      <w:r w:rsidRPr="00D566CE">
        <w:rPr>
          <w:rFonts w:asciiTheme="minorHAnsi" w:hAnsiTheme="minorHAnsi"/>
          <w:color w:val="auto"/>
          <w:szCs w:val="22"/>
        </w:rPr>
        <w:t>konkurencieschopná výroba niektorých tradičných domácich komodít (obilniny, olejniny)</w:t>
      </w:r>
    </w:p>
    <w:p w:rsidR="00D566CE" w:rsidRPr="00D566CE" w:rsidRDefault="00D566CE" w:rsidP="00D566CE">
      <w:pPr>
        <w:pStyle w:val="tlText2VlastnfarbaRGB31"/>
        <w:widowControl w:val="0"/>
        <w:numPr>
          <w:ilvl w:val="0"/>
          <w:numId w:val="322"/>
        </w:numPr>
        <w:spacing w:line="240" w:lineRule="auto"/>
        <w:ind w:left="540"/>
        <w:rPr>
          <w:rFonts w:asciiTheme="minorHAnsi" w:hAnsiTheme="minorHAnsi"/>
          <w:color w:val="auto"/>
          <w:szCs w:val="22"/>
        </w:rPr>
      </w:pPr>
      <w:r w:rsidRPr="00D566CE">
        <w:rPr>
          <w:rFonts w:asciiTheme="minorHAnsi" w:hAnsiTheme="minorHAnsi"/>
          <w:color w:val="auto"/>
          <w:szCs w:val="22"/>
        </w:rPr>
        <w:t xml:space="preserve">podporované znevýhodnené územia (LFA) poskytujúce príležitosti pre rozvoj živočíšnej výroby </w:t>
      </w:r>
    </w:p>
    <w:p w:rsidR="00D566CE" w:rsidRPr="00D566CE" w:rsidRDefault="00D566CE" w:rsidP="00D566CE">
      <w:pPr>
        <w:pStyle w:val="tlText2VlastnfarbaRGB31"/>
        <w:widowControl w:val="0"/>
        <w:numPr>
          <w:ilvl w:val="0"/>
          <w:numId w:val="322"/>
        </w:numPr>
        <w:spacing w:line="240" w:lineRule="auto"/>
        <w:ind w:left="540"/>
        <w:rPr>
          <w:rFonts w:asciiTheme="minorHAnsi" w:hAnsiTheme="minorHAnsi"/>
          <w:color w:val="auto"/>
          <w:szCs w:val="22"/>
        </w:rPr>
      </w:pPr>
      <w:r w:rsidRPr="00D566CE">
        <w:rPr>
          <w:rFonts w:asciiTheme="minorHAnsi" w:hAnsiTheme="minorHAnsi"/>
          <w:color w:val="auto"/>
          <w:szCs w:val="22"/>
        </w:rPr>
        <w:t>existencia národného systému hodnotenia a uznávania kvality potravinárskych výrobkov (SK Gold) a zvyšujúci sa počet označených domácich produktov</w:t>
      </w:r>
    </w:p>
    <w:p w:rsidR="00D566CE" w:rsidRPr="00D566CE" w:rsidRDefault="00D566CE" w:rsidP="00D566CE">
      <w:pPr>
        <w:pStyle w:val="tlText2VlastnfarbaRGB31"/>
        <w:widowControl w:val="0"/>
        <w:numPr>
          <w:ilvl w:val="0"/>
          <w:numId w:val="322"/>
        </w:numPr>
        <w:spacing w:line="240" w:lineRule="auto"/>
        <w:ind w:left="540"/>
        <w:rPr>
          <w:rFonts w:asciiTheme="minorHAnsi" w:hAnsiTheme="minorHAnsi"/>
          <w:color w:val="auto"/>
          <w:szCs w:val="22"/>
        </w:rPr>
      </w:pPr>
      <w:r w:rsidRPr="00D566CE">
        <w:rPr>
          <w:rFonts w:asciiTheme="minorHAnsi" w:hAnsiTheme="minorHAnsi"/>
          <w:color w:val="auto"/>
          <w:szCs w:val="22"/>
        </w:rPr>
        <w:t>rastový potenciál vybraných odborov potravinárstva (mlynský, mäsový, mliekarenský, hydinársky, tukový)</w:t>
      </w:r>
    </w:p>
    <w:p w:rsidR="00D566CE" w:rsidRPr="00D566CE" w:rsidRDefault="00D566CE" w:rsidP="00D566CE">
      <w:pPr>
        <w:pStyle w:val="tlText2VlastnfarbaRGB31"/>
        <w:widowControl w:val="0"/>
        <w:numPr>
          <w:ilvl w:val="0"/>
          <w:numId w:val="322"/>
        </w:numPr>
        <w:spacing w:line="240" w:lineRule="auto"/>
        <w:ind w:left="540"/>
        <w:rPr>
          <w:rFonts w:asciiTheme="minorHAnsi" w:hAnsiTheme="minorHAnsi"/>
          <w:color w:val="auto"/>
          <w:szCs w:val="22"/>
        </w:rPr>
      </w:pPr>
      <w:r w:rsidRPr="00D566CE">
        <w:rPr>
          <w:rFonts w:asciiTheme="minorHAnsi" w:hAnsiTheme="minorHAnsi"/>
          <w:color w:val="auto"/>
          <w:szCs w:val="22"/>
        </w:rPr>
        <w:t>vysoká lesnatosť územia SR,  a  značný potenciál krajiny na produkciu dreva, biomasy a ostatných OZE (energetický potenciál biomasy predstavuje 147 PJ)</w:t>
      </w:r>
    </w:p>
    <w:p w:rsidR="00D566CE" w:rsidRPr="00D566CE" w:rsidRDefault="00D566CE" w:rsidP="00D566CE">
      <w:pPr>
        <w:pStyle w:val="tlText2VlastnfarbaRGB31"/>
        <w:widowControl w:val="0"/>
        <w:numPr>
          <w:ilvl w:val="0"/>
          <w:numId w:val="322"/>
        </w:numPr>
        <w:spacing w:line="240" w:lineRule="auto"/>
        <w:ind w:left="540"/>
        <w:rPr>
          <w:rFonts w:asciiTheme="minorHAnsi" w:hAnsiTheme="minorHAnsi"/>
          <w:color w:val="auto"/>
          <w:szCs w:val="22"/>
        </w:rPr>
      </w:pPr>
      <w:r w:rsidRPr="00D566CE">
        <w:rPr>
          <w:rFonts w:asciiTheme="minorHAnsi" w:hAnsiTheme="minorHAnsi"/>
          <w:color w:val="auto"/>
          <w:szCs w:val="22"/>
        </w:rPr>
        <w:t>bohaté prírodné a kultúrne dedičstvo a diverzita vidieckej krajiny (vysoký rekreačný a turistický potenciál)</w:t>
      </w:r>
    </w:p>
    <w:p w:rsidR="00D566CE" w:rsidRPr="00D566CE" w:rsidRDefault="00D566CE" w:rsidP="00D566CE">
      <w:pPr>
        <w:pStyle w:val="tlText2VlastnfarbaRGB31"/>
        <w:widowControl w:val="0"/>
        <w:numPr>
          <w:ilvl w:val="0"/>
          <w:numId w:val="322"/>
        </w:numPr>
        <w:spacing w:line="240" w:lineRule="auto"/>
        <w:ind w:left="540"/>
        <w:rPr>
          <w:rFonts w:asciiTheme="minorHAnsi" w:hAnsiTheme="minorHAnsi"/>
          <w:color w:val="auto"/>
          <w:szCs w:val="22"/>
        </w:rPr>
      </w:pPr>
      <w:r w:rsidRPr="00D566CE">
        <w:rPr>
          <w:rFonts w:asciiTheme="minorHAnsi" w:hAnsiTheme="minorHAnsi"/>
          <w:color w:val="auto"/>
          <w:szCs w:val="22"/>
        </w:rPr>
        <w:t>bohatá tradícia remeselnej výroby, domácich špecialít, uchovávanie zvykov a tradícií na vidieku</w:t>
      </w:r>
    </w:p>
    <w:p w:rsidR="00D566CE" w:rsidRPr="00D566CE" w:rsidRDefault="00D566CE" w:rsidP="00D566CE">
      <w:pPr>
        <w:pStyle w:val="tlText2VlastnfarbaRGB31"/>
        <w:widowControl w:val="0"/>
        <w:spacing w:line="240" w:lineRule="auto"/>
        <w:ind w:left="540"/>
        <w:rPr>
          <w:rFonts w:asciiTheme="minorHAnsi" w:hAnsiTheme="minorHAnsi"/>
          <w:color w:val="auto"/>
          <w:szCs w:val="22"/>
        </w:rPr>
      </w:pPr>
    </w:p>
    <w:p w:rsidR="00D566CE" w:rsidRPr="00D566CE" w:rsidRDefault="00D566CE" w:rsidP="00D566CE">
      <w:pPr>
        <w:keepNext/>
        <w:pBdr>
          <w:bar w:val="single" w:sz="6" w:color="808080"/>
        </w:pBdr>
        <w:spacing w:after="60"/>
        <w:ind w:left="426" w:hanging="426"/>
        <w:outlineLvl w:val="0"/>
        <w:rPr>
          <w:rFonts w:ascii="Calibri" w:hAnsi="Calibri"/>
          <w:b/>
          <w:bCs/>
          <w:kern w:val="32"/>
          <w:szCs w:val="22"/>
          <w:u w:val="single"/>
          <w:lang w:eastAsia="en-US"/>
        </w:rPr>
      </w:pPr>
      <w:r w:rsidRPr="00D566CE">
        <w:rPr>
          <w:rFonts w:ascii="Calibri" w:hAnsi="Calibri"/>
          <w:b/>
          <w:bCs/>
          <w:kern w:val="32"/>
          <w:szCs w:val="22"/>
          <w:u w:val="single"/>
          <w:lang w:eastAsia="en-US"/>
        </w:rPr>
        <w:t>Životné prostredie a klíma</w:t>
      </w:r>
    </w:p>
    <w:p w:rsidR="00D566CE" w:rsidRPr="00D566CE" w:rsidRDefault="00D566CE" w:rsidP="00D566CE">
      <w:pPr>
        <w:pStyle w:val="tlText2VlastnfarbaRGB31"/>
        <w:widowControl w:val="0"/>
        <w:numPr>
          <w:ilvl w:val="0"/>
          <w:numId w:val="324"/>
        </w:numPr>
        <w:spacing w:line="240" w:lineRule="auto"/>
        <w:rPr>
          <w:rFonts w:asciiTheme="minorHAnsi" w:hAnsiTheme="minorHAnsi"/>
          <w:color w:val="auto"/>
          <w:szCs w:val="22"/>
        </w:rPr>
      </w:pPr>
      <w:r w:rsidRPr="00D566CE">
        <w:rPr>
          <w:rFonts w:asciiTheme="minorHAnsi" w:hAnsiTheme="minorHAnsi"/>
          <w:color w:val="auto"/>
          <w:szCs w:val="22"/>
        </w:rPr>
        <w:t>nízka intenzita hospodárenia šetrná životnému prostrediu (znížené používanie agrochemických vstupov a nízka intenzita živočíšnej výroby)</w:t>
      </w:r>
    </w:p>
    <w:p w:rsidR="00D566CE" w:rsidRPr="00D566CE" w:rsidRDefault="00D566CE" w:rsidP="00D566CE">
      <w:pPr>
        <w:pStyle w:val="tlText2VlastnfarbaRGB31"/>
        <w:widowControl w:val="0"/>
        <w:numPr>
          <w:ilvl w:val="0"/>
          <w:numId w:val="324"/>
        </w:numPr>
        <w:spacing w:line="240" w:lineRule="auto"/>
        <w:rPr>
          <w:rFonts w:asciiTheme="minorHAnsi" w:hAnsiTheme="minorHAnsi"/>
          <w:color w:val="auto"/>
          <w:szCs w:val="22"/>
        </w:rPr>
      </w:pPr>
      <w:r w:rsidRPr="00D566CE">
        <w:rPr>
          <w:rFonts w:asciiTheme="minorHAnsi" w:hAnsiTheme="minorHAnsi"/>
          <w:color w:val="auto"/>
          <w:szCs w:val="22"/>
        </w:rPr>
        <w:t xml:space="preserve">väčší podiel území s vysokou prírodnou hodnotou a chránených území v SR </w:t>
      </w:r>
    </w:p>
    <w:p w:rsidR="00D566CE" w:rsidRPr="00D566CE" w:rsidRDefault="00D566CE" w:rsidP="00D566CE">
      <w:pPr>
        <w:pStyle w:val="tlText2VlastnfarbaRGB31"/>
        <w:widowControl w:val="0"/>
        <w:numPr>
          <w:ilvl w:val="0"/>
          <w:numId w:val="324"/>
        </w:numPr>
        <w:spacing w:line="240" w:lineRule="auto"/>
        <w:rPr>
          <w:rFonts w:asciiTheme="minorHAnsi" w:hAnsiTheme="minorHAnsi"/>
          <w:color w:val="auto"/>
          <w:szCs w:val="22"/>
        </w:rPr>
      </w:pPr>
      <w:r w:rsidRPr="00D566CE">
        <w:rPr>
          <w:rFonts w:asciiTheme="minorHAnsi" w:hAnsiTheme="minorHAnsi"/>
          <w:color w:val="auto"/>
          <w:szCs w:val="22"/>
        </w:rPr>
        <w:t xml:space="preserve">zachovaný vysoký výskyt a rozmanitosť chránených druhov živočíchov a rastlín a nižší pokles biodiverzity </w:t>
      </w:r>
    </w:p>
    <w:p w:rsidR="00D566CE" w:rsidRPr="00CB15C8" w:rsidRDefault="00D566CE" w:rsidP="00D566CE">
      <w:pPr>
        <w:pStyle w:val="tlText2VlastnfarbaRGB31"/>
        <w:widowControl w:val="0"/>
        <w:numPr>
          <w:ilvl w:val="0"/>
          <w:numId w:val="324"/>
        </w:numPr>
        <w:spacing w:line="240" w:lineRule="auto"/>
        <w:rPr>
          <w:rFonts w:asciiTheme="minorHAnsi" w:hAnsiTheme="minorHAnsi"/>
          <w:color w:val="auto"/>
          <w:szCs w:val="22"/>
        </w:rPr>
      </w:pPr>
      <w:r w:rsidRPr="00D566CE">
        <w:rPr>
          <w:rFonts w:asciiTheme="minorHAnsi" w:hAnsiTheme="minorHAnsi"/>
          <w:color w:val="auto"/>
          <w:szCs w:val="22"/>
        </w:rPr>
        <w:t>skúsenosti s implementáciou</w:t>
      </w:r>
      <w:r w:rsidRPr="004733E9">
        <w:rPr>
          <w:rFonts w:asciiTheme="minorHAnsi" w:hAnsiTheme="minorHAnsi"/>
          <w:color w:val="auto"/>
          <w:szCs w:val="22"/>
        </w:rPr>
        <w:t xml:space="preserve"> podpôr prispievajúcich k ochrane biodiverzity, pôdy, vody a klímy (agro-environmentálna podpora, ekologické poľnohospodárstvo a i.)</w:t>
      </w:r>
    </w:p>
    <w:p w:rsidR="00D566CE" w:rsidRDefault="00D566CE" w:rsidP="00D566CE">
      <w:pPr>
        <w:pStyle w:val="tlText2VlastnfarbaRGB31"/>
        <w:widowControl w:val="0"/>
        <w:numPr>
          <w:ilvl w:val="0"/>
          <w:numId w:val="324"/>
        </w:numPr>
        <w:spacing w:line="240" w:lineRule="auto"/>
        <w:rPr>
          <w:rFonts w:asciiTheme="minorHAnsi" w:hAnsiTheme="minorHAnsi"/>
          <w:color w:val="auto"/>
          <w:szCs w:val="22"/>
        </w:rPr>
      </w:pPr>
      <w:r>
        <w:rPr>
          <w:rFonts w:asciiTheme="minorHAnsi" w:hAnsiTheme="minorHAnsi"/>
          <w:color w:val="auto"/>
          <w:szCs w:val="22"/>
        </w:rPr>
        <w:t xml:space="preserve">prevažujúce extenzívne poľnohospodárstvo má významne nízky vplyv na znečistení vôd vo vidieckych oblastiach </w:t>
      </w:r>
    </w:p>
    <w:p w:rsidR="00D566CE" w:rsidRDefault="00D566CE" w:rsidP="00D566CE">
      <w:pPr>
        <w:pStyle w:val="tlText2VlastnfarbaRGB31"/>
        <w:widowControl w:val="0"/>
        <w:numPr>
          <w:ilvl w:val="0"/>
          <w:numId w:val="324"/>
        </w:numPr>
        <w:spacing w:line="240" w:lineRule="auto"/>
        <w:rPr>
          <w:rFonts w:asciiTheme="minorHAnsi" w:hAnsiTheme="minorHAnsi"/>
          <w:color w:val="auto"/>
          <w:szCs w:val="22"/>
        </w:rPr>
      </w:pPr>
      <w:r>
        <w:rPr>
          <w:rFonts w:asciiTheme="minorHAnsi" w:hAnsiTheme="minorHAnsi"/>
          <w:color w:val="auto"/>
          <w:szCs w:val="22"/>
        </w:rPr>
        <w:t xml:space="preserve">vysoká kvalita podzemnej vody </w:t>
      </w:r>
    </w:p>
    <w:p w:rsidR="00D566CE" w:rsidRDefault="00D566CE" w:rsidP="00D566CE">
      <w:pPr>
        <w:pStyle w:val="tlText2VlastnfarbaRGB31"/>
        <w:widowControl w:val="0"/>
        <w:numPr>
          <w:ilvl w:val="0"/>
          <w:numId w:val="324"/>
        </w:numPr>
        <w:spacing w:line="240" w:lineRule="auto"/>
        <w:rPr>
          <w:rFonts w:asciiTheme="minorHAnsi" w:hAnsiTheme="minorHAnsi"/>
          <w:color w:val="auto"/>
          <w:szCs w:val="22"/>
        </w:rPr>
      </w:pPr>
      <w:r>
        <w:rPr>
          <w:rFonts w:asciiTheme="minorHAnsi" w:hAnsiTheme="minorHAnsi"/>
          <w:color w:val="auto"/>
          <w:szCs w:val="22"/>
        </w:rPr>
        <w:t xml:space="preserve">pozitívna bilancia dusíka a fosforu v pôdach SR z environmentálneho hľadiska </w:t>
      </w:r>
    </w:p>
    <w:p w:rsidR="00D566CE" w:rsidRPr="00975965" w:rsidRDefault="00D566CE" w:rsidP="00D566CE">
      <w:pPr>
        <w:pStyle w:val="tlText2VlastnfarbaRGB31"/>
        <w:widowControl w:val="0"/>
        <w:numPr>
          <w:ilvl w:val="0"/>
          <w:numId w:val="324"/>
        </w:numPr>
        <w:spacing w:line="240" w:lineRule="auto"/>
        <w:rPr>
          <w:rFonts w:asciiTheme="minorHAnsi" w:hAnsiTheme="minorHAnsi"/>
          <w:color w:val="auto"/>
          <w:szCs w:val="22"/>
        </w:rPr>
      </w:pPr>
      <w:r w:rsidRPr="00975965">
        <w:rPr>
          <w:rFonts w:asciiTheme="minorHAnsi" w:hAnsiTheme="minorHAnsi"/>
          <w:color w:val="auto"/>
          <w:szCs w:val="22"/>
        </w:rPr>
        <w:t>vyšší obsah organického uhlíka v</w:t>
      </w:r>
      <w:r>
        <w:rPr>
          <w:rFonts w:asciiTheme="minorHAnsi" w:hAnsiTheme="minorHAnsi"/>
          <w:color w:val="auto"/>
          <w:szCs w:val="22"/>
        </w:rPr>
        <w:t> </w:t>
      </w:r>
      <w:r w:rsidRPr="00975965">
        <w:rPr>
          <w:rFonts w:asciiTheme="minorHAnsi" w:hAnsiTheme="minorHAnsi"/>
          <w:color w:val="auto"/>
          <w:szCs w:val="22"/>
        </w:rPr>
        <w:t>poľ</w:t>
      </w:r>
      <w:r>
        <w:rPr>
          <w:rFonts w:asciiTheme="minorHAnsi" w:hAnsiTheme="minorHAnsi"/>
          <w:color w:val="auto"/>
          <w:szCs w:val="22"/>
        </w:rPr>
        <w:t xml:space="preserve">nohospodárskych </w:t>
      </w:r>
      <w:r w:rsidRPr="00975965">
        <w:rPr>
          <w:rFonts w:asciiTheme="minorHAnsi" w:hAnsiTheme="minorHAnsi"/>
          <w:color w:val="auto"/>
          <w:szCs w:val="22"/>
        </w:rPr>
        <w:t>pôdach</w:t>
      </w:r>
    </w:p>
    <w:p w:rsidR="00D566CE" w:rsidRPr="00CB15C8" w:rsidRDefault="00D566CE" w:rsidP="00D566CE">
      <w:pPr>
        <w:pStyle w:val="tlText2VlastnfarbaRGB31"/>
        <w:widowControl w:val="0"/>
        <w:numPr>
          <w:ilvl w:val="0"/>
          <w:numId w:val="324"/>
        </w:numPr>
        <w:spacing w:line="240" w:lineRule="auto"/>
        <w:rPr>
          <w:rFonts w:asciiTheme="minorHAnsi" w:hAnsiTheme="minorHAnsi"/>
          <w:color w:val="auto"/>
          <w:szCs w:val="22"/>
        </w:rPr>
      </w:pPr>
      <w:r>
        <w:rPr>
          <w:rFonts w:asciiTheme="minorHAnsi" w:hAnsiTheme="minorHAnsi"/>
          <w:color w:val="auto"/>
          <w:szCs w:val="22"/>
        </w:rPr>
        <w:t>v</w:t>
      </w:r>
      <w:r w:rsidRPr="00CB15C8">
        <w:rPr>
          <w:rFonts w:asciiTheme="minorHAnsi" w:hAnsiTheme="minorHAnsi"/>
          <w:color w:val="auto"/>
          <w:szCs w:val="22"/>
        </w:rPr>
        <w:t>ysoká zásoba uhlíka v drevnej biomase v lesoch SR</w:t>
      </w:r>
    </w:p>
    <w:p w:rsidR="00D566CE" w:rsidRPr="00CB15C8" w:rsidRDefault="00D566CE" w:rsidP="00D566CE">
      <w:pPr>
        <w:pStyle w:val="tlText2VlastnfarbaRGB31"/>
        <w:widowControl w:val="0"/>
        <w:numPr>
          <w:ilvl w:val="0"/>
          <w:numId w:val="324"/>
        </w:numPr>
        <w:spacing w:line="240" w:lineRule="auto"/>
        <w:rPr>
          <w:rFonts w:asciiTheme="minorHAnsi" w:hAnsiTheme="minorHAnsi"/>
          <w:color w:val="auto"/>
          <w:szCs w:val="22"/>
        </w:rPr>
      </w:pPr>
      <w:r>
        <w:rPr>
          <w:rFonts w:asciiTheme="minorHAnsi" w:hAnsiTheme="minorHAnsi"/>
          <w:color w:val="auto"/>
          <w:szCs w:val="22"/>
        </w:rPr>
        <w:t>v</w:t>
      </w:r>
      <w:r w:rsidRPr="00CB15C8">
        <w:rPr>
          <w:rFonts w:asciiTheme="minorHAnsi" w:hAnsiTheme="minorHAnsi"/>
          <w:color w:val="auto"/>
          <w:szCs w:val="22"/>
        </w:rPr>
        <w:t>eľká výmera lesov v sústave NATURA 2000 (50%)</w:t>
      </w:r>
    </w:p>
    <w:p w:rsidR="00D566CE" w:rsidRDefault="00D566CE" w:rsidP="00D566CE">
      <w:pPr>
        <w:pStyle w:val="tlText2VlastnfarbaRGB31"/>
        <w:widowControl w:val="0"/>
        <w:numPr>
          <w:ilvl w:val="0"/>
          <w:numId w:val="324"/>
        </w:numPr>
        <w:spacing w:line="240" w:lineRule="auto"/>
        <w:rPr>
          <w:rFonts w:asciiTheme="minorHAnsi" w:hAnsiTheme="minorHAnsi"/>
          <w:color w:val="auto"/>
          <w:szCs w:val="22"/>
        </w:rPr>
      </w:pPr>
      <w:r>
        <w:rPr>
          <w:rFonts w:asciiTheme="minorHAnsi" w:hAnsiTheme="minorHAnsi"/>
          <w:color w:val="auto"/>
          <w:szCs w:val="22"/>
        </w:rPr>
        <w:t xml:space="preserve">veľmi nízky podiel poľnohospodárstva (vrátane emisií z pôdy) na celkových čistých emisiách skleníkových plynov SR  </w:t>
      </w:r>
    </w:p>
    <w:p w:rsidR="00D566CE" w:rsidRDefault="00D566CE" w:rsidP="00D566CE">
      <w:pPr>
        <w:pStyle w:val="tlText2VlastnfarbaRGB31"/>
        <w:widowControl w:val="0"/>
        <w:numPr>
          <w:ilvl w:val="0"/>
          <w:numId w:val="324"/>
        </w:numPr>
        <w:spacing w:line="240" w:lineRule="auto"/>
        <w:rPr>
          <w:rFonts w:asciiTheme="minorHAnsi" w:hAnsiTheme="minorHAnsi"/>
          <w:color w:val="auto"/>
          <w:szCs w:val="22"/>
        </w:rPr>
      </w:pPr>
      <w:r>
        <w:rPr>
          <w:rFonts w:asciiTheme="minorHAnsi" w:hAnsiTheme="minorHAnsi"/>
          <w:color w:val="auto"/>
          <w:szCs w:val="22"/>
        </w:rPr>
        <w:t xml:space="preserve">vysoký potenciál pre OZE a </w:t>
      </w:r>
      <w:r w:rsidRPr="004733E9">
        <w:rPr>
          <w:rFonts w:asciiTheme="minorHAnsi" w:hAnsiTheme="minorHAnsi"/>
          <w:color w:val="auto"/>
          <w:szCs w:val="22"/>
        </w:rPr>
        <w:t xml:space="preserve">skúsenosti s implementáciou podpôr na využívanie OZE (24 funkčných </w:t>
      </w:r>
      <w:r w:rsidR="005402A5">
        <w:rPr>
          <w:rFonts w:asciiTheme="minorHAnsi" w:hAnsiTheme="minorHAnsi"/>
          <w:color w:val="auto"/>
          <w:szCs w:val="22"/>
        </w:rPr>
        <w:t xml:space="preserve">bioplynových </w:t>
      </w:r>
      <w:r w:rsidRPr="004733E9">
        <w:rPr>
          <w:rFonts w:asciiTheme="minorHAnsi" w:hAnsiTheme="minorHAnsi"/>
          <w:color w:val="auto"/>
          <w:szCs w:val="22"/>
        </w:rPr>
        <w:t>staníc)</w:t>
      </w:r>
    </w:p>
    <w:p w:rsidR="00D566CE" w:rsidRDefault="00D566CE" w:rsidP="00D566CE">
      <w:pPr>
        <w:pStyle w:val="tlText2VlastnfarbaRGB31"/>
        <w:widowControl w:val="0"/>
        <w:spacing w:line="240" w:lineRule="auto"/>
        <w:ind w:left="539"/>
        <w:rPr>
          <w:rFonts w:asciiTheme="minorHAnsi" w:hAnsiTheme="minorHAnsi"/>
          <w:color w:val="auto"/>
          <w:szCs w:val="22"/>
        </w:rPr>
      </w:pPr>
      <w:r>
        <w:rPr>
          <w:rFonts w:asciiTheme="minorHAnsi" w:hAnsiTheme="minorHAnsi"/>
          <w:color w:val="auto"/>
          <w:szCs w:val="22"/>
        </w:rPr>
        <w:br w:type="page"/>
      </w:r>
    </w:p>
    <w:p w:rsidR="00A71A12" w:rsidRPr="004733E9" w:rsidRDefault="00A71A12" w:rsidP="00A71A12">
      <w:pPr>
        <w:pStyle w:val="Text2"/>
        <w:widowControl w:val="0"/>
        <w:pBdr>
          <w:top w:val="single" w:sz="4" w:space="1" w:color="auto"/>
          <w:left w:val="single" w:sz="4" w:space="4" w:color="auto"/>
          <w:bottom w:val="single" w:sz="4" w:space="1" w:color="auto"/>
          <w:right w:val="single" w:sz="4" w:space="4" w:color="auto"/>
        </w:pBdr>
        <w:shd w:val="clear" w:color="auto" w:fill="E5B8B7"/>
        <w:jc w:val="center"/>
        <w:rPr>
          <w:rFonts w:asciiTheme="minorHAnsi" w:hAnsiTheme="minorHAnsi"/>
          <w:b/>
          <w:szCs w:val="22"/>
          <w:lang w:val="sk-SK"/>
        </w:rPr>
      </w:pPr>
      <w:r>
        <w:rPr>
          <w:rFonts w:asciiTheme="minorHAnsi" w:hAnsiTheme="minorHAnsi"/>
          <w:b/>
          <w:szCs w:val="22"/>
          <w:lang w:val="sk-SK"/>
        </w:rPr>
        <w:t xml:space="preserve">4.2.2 </w:t>
      </w:r>
      <w:r w:rsidRPr="004733E9">
        <w:rPr>
          <w:rFonts w:asciiTheme="minorHAnsi" w:hAnsiTheme="minorHAnsi"/>
          <w:b/>
          <w:szCs w:val="22"/>
          <w:lang w:val="sk-SK"/>
        </w:rPr>
        <w:t>Weaknesses</w:t>
      </w:r>
      <w:bookmarkEnd w:id="31"/>
      <w:bookmarkEnd w:id="32"/>
      <w:bookmarkEnd w:id="33"/>
      <w:r w:rsidRPr="004733E9">
        <w:rPr>
          <w:rFonts w:asciiTheme="minorHAnsi" w:hAnsiTheme="minorHAnsi"/>
          <w:b/>
          <w:szCs w:val="22"/>
          <w:lang w:val="sk-SK"/>
        </w:rPr>
        <w:t xml:space="preserve"> / Slabé stránky</w:t>
      </w:r>
    </w:p>
    <w:p w:rsidR="00D566CE" w:rsidRDefault="00D566CE" w:rsidP="00D566CE">
      <w:pPr>
        <w:keepNext/>
        <w:pBdr>
          <w:bar w:val="single" w:sz="6" w:color="808080"/>
        </w:pBdr>
        <w:spacing w:after="60"/>
        <w:ind w:left="426" w:hanging="426"/>
        <w:outlineLvl w:val="0"/>
        <w:rPr>
          <w:rFonts w:ascii="Calibri" w:hAnsi="Calibri"/>
          <w:b/>
          <w:bCs/>
          <w:kern w:val="32"/>
          <w:szCs w:val="22"/>
          <w:u w:val="single"/>
          <w:lang w:eastAsia="en-US"/>
        </w:rPr>
      </w:pPr>
      <w:bookmarkStart w:id="34" w:name="_Toc352684217"/>
      <w:bookmarkStart w:id="35" w:name="_Toc352684273"/>
      <w:bookmarkStart w:id="36" w:name="_Toc352753508"/>
      <w:bookmarkStart w:id="37" w:name="_Toc359414557"/>
      <w:bookmarkStart w:id="38" w:name="_Toc360202471"/>
    </w:p>
    <w:p w:rsidR="00D566CE" w:rsidRPr="00D566CE" w:rsidRDefault="00D566CE" w:rsidP="00D566CE">
      <w:pPr>
        <w:keepNext/>
        <w:pBdr>
          <w:bar w:val="single" w:sz="6" w:color="808080"/>
        </w:pBdr>
        <w:spacing w:after="60"/>
        <w:ind w:left="426" w:hanging="426"/>
        <w:outlineLvl w:val="0"/>
        <w:rPr>
          <w:rFonts w:ascii="Calibri" w:hAnsi="Calibri"/>
          <w:b/>
          <w:bCs/>
          <w:kern w:val="32"/>
          <w:szCs w:val="22"/>
          <w:u w:val="single"/>
          <w:lang w:eastAsia="en-US"/>
        </w:rPr>
      </w:pPr>
      <w:r w:rsidRPr="00D566CE">
        <w:rPr>
          <w:rFonts w:ascii="Calibri" w:hAnsi="Calibri"/>
          <w:b/>
          <w:bCs/>
          <w:kern w:val="32"/>
          <w:szCs w:val="22"/>
          <w:u w:val="single"/>
          <w:lang w:eastAsia="en-US"/>
        </w:rPr>
        <w:t xml:space="preserve">Sociálno-ekonomická situácia vo vidieckych oblastiach </w:t>
      </w:r>
    </w:p>
    <w:p w:rsidR="00D566CE" w:rsidRPr="00D566CE" w:rsidRDefault="00D566CE" w:rsidP="00D566CE">
      <w:pPr>
        <w:pStyle w:val="tlText2VlastnfarbaRGB31"/>
        <w:widowControl w:val="0"/>
        <w:numPr>
          <w:ilvl w:val="0"/>
          <w:numId w:val="326"/>
        </w:numPr>
        <w:spacing w:line="240" w:lineRule="auto"/>
        <w:rPr>
          <w:rFonts w:asciiTheme="minorHAnsi" w:hAnsiTheme="minorHAnsi"/>
          <w:color w:val="auto"/>
          <w:szCs w:val="22"/>
        </w:rPr>
      </w:pPr>
      <w:r w:rsidRPr="00D566CE">
        <w:rPr>
          <w:rFonts w:asciiTheme="minorHAnsi" w:hAnsiTheme="minorHAnsi"/>
          <w:color w:val="auto"/>
          <w:szCs w:val="22"/>
        </w:rPr>
        <w:t>nepriaznivý vývoj sociálno-demografickej štruktúry vidieckeho obyvateľstva, priestorová asymetria v rozdelení obyvateľstva podľa dosiahnutého stupňa vzdelania</w:t>
      </w:r>
    </w:p>
    <w:p w:rsidR="00D566CE" w:rsidRPr="00D566CE" w:rsidRDefault="00D566CE" w:rsidP="00D566CE">
      <w:pPr>
        <w:pStyle w:val="tlText2VlastnfarbaRGB31"/>
        <w:widowControl w:val="0"/>
        <w:numPr>
          <w:ilvl w:val="0"/>
          <w:numId w:val="331"/>
        </w:numPr>
        <w:spacing w:line="240" w:lineRule="auto"/>
        <w:rPr>
          <w:rFonts w:asciiTheme="minorHAnsi" w:hAnsiTheme="minorHAnsi"/>
          <w:color w:val="auto"/>
          <w:szCs w:val="22"/>
        </w:rPr>
      </w:pPr>
      <w:r w:rsidRPr="00D566CE">
        <w:rPr>
          <w:rFonts w:asciiTheme="minorHAnsi" w:hAnsiTheme="minorHAnsi"/>
          <w:color w:val="auto"/>
          <w:szCs w:val="22"/>
        </w:rPr>
        <w:t>nedostatok pracovných príležitostí a vysoká nezamestnanosť vo vidieckych oblastiach v porovnaní s mestskými, najvyšší podiel dlhodobo nezamestnaných v rámci EÚ</w:t>
      </w:r>
    </w:p>
    <w:p w:rsidR="00D566CE" w:rsidRPr="00D566CE" w:rsidRDefault="00D566CE" w:rsidP="00D566CE">
      <w:pPr>
        <w:pStyle w:val="tlText2VlastnfarbaRGB31"/>
        <w:widowControl w:val="0"/>
        <w:numPr>
          <w:ilvl w:val="0"/>
          <w:numId w:val="331"/>
        </w:numPr>
        <w:spacing w:line="240" w:lineRule="auto"/>
        <w:rPr>
          <w:rFonts w:asciiTheme="minorHAnsi" w:hAnsiTheme="minorHAnsi"/>
          <w:color w:val="auto"/>
          <w:szCs w:val="22"/>
        </w:rPr>
      </w:pPr>
      <w:r w:rsidRPr="00D566CE">
        <w:rPr>
          <w:rFonts w:asciiTheme="minorHAnsi" w:hAnsiTheme="minorHAnsi"/>
          <w:color w:val="auto"/>
          <w:szCs w:val="22"/>
        </w:rPr>
        <w:t>nízka úroveň HDP na obyvateľa vo vidieckych oblastiach (iba 57,7% úrovne štátov EÚ 27)</w:t>
      </w:r>
    </w:p>
    <w:p w:rsidR="00D566CE" w:rsidRPr="00D566CE" w:rsidRDefault="00D566CE" w:rsidP="00D566CE">
      <w:pPr>
        <w:pStyle w:val="tlText2VlastnfarbaRGB31"/>
        <w:widowControl w:val="0"/>
        <w:numPr>
          <w:ilvl w:val="0"/>
          <w:numId w:val="331"/>
        </w:numPr>
        <w:spacing w:line="240" w:lineRule="auto"/>
        <w:rPr>
          <w:rFonts w:asciiTheme="minorHAnsi" w:hAnsiTheme="minorHAnsi"/>
          <w:color w:val="auto"/>
          <w:szCs w:val="22"/>
        </w:rPr>
      </w:pPr>
      <w:r w:rsidRPr="00D566CE">
        <w:rPr>
          <w:rFonts w:asciiTheme="minorHAnsi" w:hAnsiTheme="minorHAnsi"/>
          <w:color w:val="auto"/>
          <w:szCs w:val="22"/>
        </w:rPr>
        <w:t>nedostatočne vybudovaná infraštruktúra vo vidieckych oblastiach</w:t>
      </w:r>
    </w:p>
    <w:p w:rsidR="00D566CE" w:rsidRPr="00D566CE" w:rsidRDefault="00D566CE" w:rsidP="00D566CE">
      <w:pPr>
        <w:pStyle w:val="tlText2VlastnfarbaRGB31"/>
        <w:widowControl w:val="0"/>
        <w:numPr>
          <w:ilvl w:val="0"/>
          <w:numId w:val="331"/>
        </w:numPr>
        <w:spacing w:line="240" w:lineRule="auto"/>
        <w:rPr>
          <w:rFonts w:asciiTheme="minorHAnsi" w:hAnsiTheme="minorHAnsi"/>
          <w:color w:val="auto"/>
          <w:szCs w:val="22"/>
        </w:rPr>
      </w:pPr>
      <w:r w:rsidRPr="00D566CE">
        <w:rPr>
          <w:rFonts w:asciiTheme="minorHAnsi" w:hAnsiTheme="minorHAnsi"/>
          <w:color w:val="auto"/>
          <w:szCs w:val="22"/>
        </w:rPr>
        <w:t xml:space="preserve">nedostupnosť základných služieb resp. nízka diverzita ponúkaných miestnych služieb </w:t>
      </w:r>
    </w:p>
    <w:p w:rsidR="00D566CE" w:rsidRPr="00D566CE" w:rsidRDefault="00D566CE" w:rsidP="00D566CE">
      <w:pPr>
        <w:pStyle w:val="tlText2VlastnfarbaRGB31"/>
        <w:widowControl w:val="0"/>
        <w:numPr>
          <w:ilvl w:val="0"/>
          <w:numId w:val="331"/>
        </w:numPr>
        <w:spacing w:line="240" w:lineRule="auto"/>
        <w:rPr>
          <w:rFonts w:asciiTheme="minorHAnsi" w:hAnsiTheme="minorHAnsi"/>
          <w:color w:val="auto"/>
          <w:szCs w:val="22"/>
        </w:rPr>
      </w:pPr>
      <w:r w:rsidRPr="00D566CE">
        <w:rPr>
          <w:rFonts w:asciiTheme="minorHAnsi" w:hAnsiTheme="minorHAnsi"/>
          <w:color w:val="auto"/>
          <w:szCs w:val="22"/>
        </w:rPr>
        <w:t>nedostatočne využívaný potenciál obcí pre rozvoj vidieckeho cestovného ruchu v oblasti služieb</w:t>
      </w:r>
    </w:p>
    <w:p w:rsidR="00D566CE" w:rsidRPr="00D566CE" w:rsidRDefault="00D566CE" w:rsidP="00D566CE">
      <w:pPr>
        <w:pStyle w:val="tlText2VlastnfarbaRGB31"/>
        <w:widowControl w:val="0"/>
        <w:numPr>
          <w:ilvl w:val="0"/>
          <w:numId w:val="331"/>
        </w:numPr>
        <w:spacing w:line="240" w:lineRule="auto"/>
        <w:rPr>
          <w:rFonts w:asciiTheme="minorHAnsi" w:hAnsiTheme="minorHAnsi"/>
          <w:color w:val="auto"/>
          <w:szCs w:val="22"/>
        </w:rPr>
      </w:pPr>
      <w:r w:rsidRPr="00D566CE">
        <w:rPr>
          <w:rFonts w:asciiTheme="minorHAnsi" w:hAnsiTheme="minorHAnsi"/>
          <w:color w:val="auto"/>
          <w:szCs w:val="22"/>
        </w:rPr>
        <w:t xml:space="preserve">nízky podiel vidieckeho obyvateľstva pokrytý MAS </w:t>
      </w:r>
    </w:p>
    <w:p w:rsidR="00D566CE" w:rsidRPr="00D566CE" w:rsidRDefault="00D566CE" w:rsidP="00D566CE">
      <w:pPr>
        <w:pStyle w:val="tlText2VlastnfarbaRGB31"/>
        <w:widowControl w:val="0"/>
        <w:numPr>
          <w:ilvl w:val="0"/>
          <w:numId w:val="331"/>
        </w:numPr>
        <w:spacing w:line="240" w:lineRule="auto"/>
        <w:rPr>
          <w:rFonts w:asciiTheme="minorHAnsi" w:hAnsiTheme="minorHAnsi"/>
          <w:color w:val="auto"/>
          <w:szCs w:val="22"/>
        </w:rPr>
      </w:pPr>
      <w:r w:rsidRPr="00D566CE">
        <w:rPr>
          <w:rFonts w:asciiTheme="minorHAnsi" w:hAnsiTheme="minorHAnsi"/>
          <w:color w:val="auto"/>
          <w:szCs w:val="22"/>
        </w:rPr>
        <w:t>percento populácie SR využívajúce DSL je výrazne pod priemerom EÚ, nízka penetrácia mobilného širokopásmového internetového pripojenia</w:t>
      </w:r>
    </w:p>
    <w:p w:rsidR="00D566CE" w:rsidRPr="00D566CE" w:rsidRDefault="00D566CE" w:rsidP="00D566CE">
      <w:pPr>
        <w:pStyle w:val="tlText2VlastnfarbaRGB31"/>
        <w:widowControl w:val="0"/>
        <w:spacing w:line="240" w:lineRule="auto"/>
        <w:ind w:left="539"/>
        <w:rPr>
          <w:rFonts w:asciiTheme="minorHAnsi" w:hAnsiTheme="minorHAnsi"/>
          <w:color w:val="auto"/>
          <w:szCs w:val="22"/>
        </w:rPr>
      </w:pPr>
    </w:p>
    <w:p w:rsidR="00D566CE" w:rsidRPr="00D566CE" w:rsidRDefault="00D566CE" w:rsidP="00D566CE">
      <w:pPr>
        <w:keepNext/>
        <w:pBdr>
          <w:bar w:val="single" w:sz="6" w:color="808080"/>
        </w:pBdr>
        <w:spacing w:after="60"/>
        <w:ind w:left="426" w:hanging="426"/>
        <w:outlineLvl w:val="0"/>
      </w:pPr>
      <w:r w:rsidRPr="00D566CE">
        <w:rPr>
          <w:rFonts w:ascii="Calibri" w:hAnsi="Calibri"/>
          <w:b/>
          <w:bCs/>
          <w:kern w:val="32"/>
          <w:szCs w:val="22"/>
          <w:u w:val="single"/>
          <w:lang w:eastAsia="en-US"/>
        </w:rPr>
        <w:t>Sektorová časť</w:t>
      </w:r>
    </w:p>
    <w:p w:rsidR="00D566CE" w:rsidRPr="00D566CE" w:rsidRDefault="00D566CE" w:rsidP="00D566CE">
      <w:pPr>
        <w:pStyle w:val="tlText2VlastnfarbaRGB31"/>
        <w:widowControl w:val="0"/>
        <w:numPr>
          <w:ilvl w:val="0"/>
          <w:numId w:val="326"/>
        </w:numPr>
        <w:spacing w:line="240" w:lineRule="auto"/>
        <w:rPr>
          <w:rFonts w:asciiTheme="minorHAnsi" w:hAnsiTheme="minorHAnsi"/>
          <w:color w:val="auto"/>
          <w:szCs w:val="22"/>
        </w:rPr>
      </w:pPr>
      <w:r w:rsidRPr="00D566CE">
        <w:rPr>
          <w:rFonts w:asciiTheme="minorHAnsi" w:hAnsiTheme="minorHAnsi"/>
          <w:color w:val="auto"/>
          <w:szCs w:val="22"/>
        </w:rPr>
        <w:t xml:space="preserve">horšia veková pracovníkov v pôdohospodárstve, kde nedochádza k prirodzenej obnove pracovnej sily, klesá podiel farmárov do 35 rokov, priemerný vek pracovníkov v poľnohospodárstve je 45,9 roka, u žien je to 46,8 </w:t>
      </w:r>
    </w:p>
    <w:p w:rsidR="00D566CE" w:rsidRPr="00D566CE" w:rsidRDefault="00D566CE" w:rsidP="00D566CE">
      <w:pPr>
        <w:pStyle w:val="tlText2VlastnfarbaRGB31"/>
        <w:widowControl w:val="0"/>
        <w:numPr>
          <w:ilvl w:val="0"/>
          <w:numId w:val="326"/>
        </w:numPr>
        <w:spacing w:line="240" w:lineRule="auto"/>
        <w:rPr>
          <w:rFonts w:asciiTheme="minorHAnsi" w:hAnsiTheme="minorHAnsi"/>
          <w:color w:val="auto"/>
          <w:szCs w:val="22"/>
        </w:rPr>
      </w:pPr>
      <w:r w:rsidRPr="00D566CE">
        <w:rPr>
          <w:rFonts w:asciiTheme="minorHAnsi" w:hAnsiTheme="minorHAnsi"/>
          <w:color w:val="auto"/>
          <w:szCs w:val="22"/>
        </w:rPr>
        <w:t>najpočetnejšia skupina pracovníkov v poľnohospodárstve nad 50 rokov, nízky podiel riadiacich pracovníkov v poľnohospodárstve do 35 rokov (iba 7,1%)</w:t>
      </w:r>
    </w:p>
    <w:p w:rsidR="00D566CE" w:rsidRPr="00D566CE" w:rsidRDefault="00D566CE" w:rsidP="00D566CE">
      <w:pPr>
        <w:pStyle w:val="tlText2VlastnfarbaRGB31"/>
        <w:widowControl w:val="0"/>
        <w:numPr>
          <w:ilvl w:val="0"/>
          <w:numId w:val="326"/>
        </w:numPr>
        <w:spacing w:line="240" w:lineRule="auto"/>
        <w:rPr>
          <w:rFonts w:asciiTheme="minorHAnsi" w:hAnsiTheme="minorHAnsi"/>
          <w:color w:val="auto"/>
          <w:szCs w:val="22"/>
        </w:rPr>
      </w:pPr>
      <w:r w:rsidRPr="00D566CE">
        <w:rPr>
          <w:rFonts w:asciiTheme="minorHAnsi" w:hAnsiTheme="minorHAnsi"/>
          <w:color w:val="auto"/>
          <w:szCs w:val="22"/>
        </w:rPr>
        <w:t>nízky podiel pracovníkov vo vekovej skupine 25-64 r. zapojených do systému celoživotného vzdelávania (iba 3,1%), nízka kvalifikačná úroveň pracovníkov v poľnohospodárstve</w:t>
      </w:r>
    </w:p>
    <w:p w:rsidR="00D566CE" w:rsidRPr="00D566CE" w:rsidRDefault="00D566CE" w:rsidP="00D566CE">
      <w:pPr>
        <w:pStyle w:val="tlText2VlastnfarbaRGB31"/>
        <w:widowControl w:val="0"/>
        <w:numPr>
          <w:ilvl w:val="0"/>
          <w:numId w:val="326"/>
        </w:numPr>
        <w:spacing w:line="240" w:lineRule="auto"/>
        <w:rPr>
          <w:rFonts w:asciiTheme="minorHAnsi" w:hAnsiTheme="minorHAnsi"/>
          <w:color w:val="auto"/>
          <w:szCs w:val="22"/>
        </w:rPr>
      </w:pPr>
      <w:r w:rsidRPr="00D566CE">
        <w:rPr>
          <w:rFonts w:asciiTheme="minorHAnsi" w:hAnsiTheme="minorHAnsi"/>
          <w:color w:val="auto"/>
          <w:szCs w:val="22"/>
        </w:rPr>
        <w:t>klesajúci príspevok poľnohospodárstva k zamestnanosti, ku kvalite života na vidieku, likvidácia zariadení poľnohospodárskej prvovýroby a jej úpadok, opustené chátrajúce objekty živočíšnej výroby</w:t>
      </w:r>
    </w:p>
    <w:p w:rsidR="00D566CE" w:rsidRPr="00D566CE" w:rsidRDefault="00D566CE" w:rsidP="00D566CE">
      <w:pPr>
        <w:pStyle w:val="tlText2VlastnfarbaRGB31"/>
        <w:widowControl w:val="0"/>
        <w:numPr>
          <w:ilvl w:val="0"/>
          <w:numId w:val="326"/>
        </w:numPr>
        <w:spacing w:line="240" w:lineRule="auto"/>
        <w:rPr>
          <w:rFonts w:asciiTheme="minorHAnsi" w:hAnsiTheme="minorHAnsi"/>
          <w:color w:val="auto"/>
          <w:szCs w:val="22"/>
        </w:rPr>
      </w:pPr>
      <w:r w:rsidRPr="00D566CE">
        <w:rPr>
          <w:rFonts w:asciiTheme="minorHAnsi" w:hAnsiTheme="minorHAnsi"/>
          <w:color w:val="auto"/>
          <w:szCs w:val="22"/>
        </w:rPr>
        <w:t xml:space="preserve">nedostatočný transfer výsledkom aplikovaného výskumu do praxe, nedostatočne využívané poradenstvo </w:t>
      </w:r>
    </w:p>
    <w:p w:rsidR="00D566CE" w:rsidRPr="00D566CE" w:rsidRDefault="00D566CE" w:rsidP="00D566CE">
      <w:pPr>
        <w:pStyle w:val="tlText2VlastnfarbaRGB31"/>
        <w:widowControl w:val="0"/>
        <w:numPr>
          <w:ilvl w:val="0"/>
          <w:numId w:val="326"/>
        </w:numPr>
        <w:spacing w:line="240" w:lineRule="auto"/>
        <w:rPr>
          <w:rFonts w:asciiTheme="minorHAnsi" w:hAnsiTheme="minorHAnsi"/>
          <w:color w:val="auto"/>
          <w:szCs w:val="22"/>
        </w:rPr>
      </w:pPr>
      <w:r w:rsidRPr="00D566CE">
        <w:rPr>
          <w:rFonts w:asciiTheme="minorHAnsi" w:hAnsiTheme="minorHAnsi"/>
          <w:color w:val="auto"/>
          <w:szCs w:val="22"/>
        </w:rPr>
        <w:t>všeobecne nízka produktivita práce v poľnohospodárstve, potravinárstve a lesnom hospodárstve</w:t>
      </w:r>
    </w:p>
    <w:p w:rsidR="00D566CE" w:rsidRPr="005402A5" w:rsidRDefault="00D566CE" w:rsidP="00D566CE">
      <w:pPr>
        <w:pStyle w:val="tlText2VlastnfarbaRGB31"/>
        <w:widowControl w:val="0"/>
        <w:numPr>
          <w:ilvl w:val="0"/>
          <w:numId w:val="326"/>
        </w:numPr>
        <w:spacing w:line="240" w:lineRule="auto"/>
        <w:rPr>
          <w:rFonts w:asciiTheme="minorHAnsi" w:hAnsiTheme="minorHAnsi"/>
          <w:color w:val="auto"/>
          <w:szCs w:val="22"/>
        </w:rPr>
      </w:pPr>
      <w:r w:rsidRPr="005402A5">
        <w:rPr>
          <w:rFonts w:asciiTheme="minorHAnsi" w:hAnsiTheme="minorHAnsi"/>
          <w:color w:val="auto"/>
          <w:szCs w:val="22"/>
        </w:rPr>
        <w:t>nízka investičná aktivita u mikro a malých podnikov a minimálna účasť na trhu</w:t>
      </w:r>
    </w:p>
    <w:p w:rsidR="00D566CE" w:rsidRPr="00D566CE" w:rsidRDefault="00D566CE" w:rsidP="00D566CE">
      <w:pPr>
        <w:pStyle w:val="tlText2VlastnfarbaRGB31"/>
        <w:widowControl w:val="0"/>
        <w:numPr>
          <w:ilvl w:val="0"/>
          <w:numId w:val="326"/>
        </w:numPr>
        <w:spacing w:line="240" w:lineRule="auto"/>
        <w:rPr>
          <w:rFonts w:asciiTheme="minorHAnsi" w:hAnsiTheme="minorHAnsi"/>
          <w:color w:val="auto"/>
          <w:szCs w:val="22"/>
        </w:rPr>
      </w:pPr>
      <w:r w:rsidRPr="00D566CE">
        <w:rPr>
          <w:rFonts w:asciiTheme="minorHAnsi" w:hAnsiTheme="minorHAnsi"/>
          <w:color w:val="auto"/>
          <w:szCs w:val="22"/>
        </w:rPr>
        <w:t>nedostatočná diverzifikácia poľnohospodárskej produkcie a nepoľnohospodárskych aktivít</w:t>
      </w:r>
    </w:p>
    <w:p w:rsidR="00D566CE" w:rsidRPr="00D566CE" w:rsidRDefault="00D566CE" w:rsidP="00D566CE">
      <w:pPr>
        <w:pStyle w:val="tlText2VlastnfarbaRGB31"/>
        <w:widowControl w:val="0"/>
        <w:numPr>
          <w:ilvl w:val="0"/>
          <w:numId w:val="326"/>
        </w:numPr>
        <w:spacing w:line="240" w:lineRule="auto"/>
        <w:rPr>
          <w:rFonts w:asciiTheme="minorHAnsi" w:hAnsiTheme="minorHAnsi"/>
          <w:color w:val="auto"/>
          <w:szCs w:val="22"/>
        </w:rPr>
      </w:pPr>
      <w:r w:rsidRPr="00D566CE">
        <w:rPr>
          <w:rFonts w:asciiTheme="minorHAnsi" w:hAnsiTheme="minorHAnsi"/>
          <w:color w:val="auto"/>
          <w:szCs w:val="22"/>
        </w:rPr>
        <w:t xml:space="preserve">je podľa súčasnej klasifikácie (z r. 2005) znevýhodnených pre poľnohospodársku produkciu (LFA), z toho 24% horských (priemerný podiel LFA za EÚ-27 je 54,4%), v oblastiach LFA je aj napriek vhodným podmienkam (krmivová základňa TTP) nedostatočne rozvinutý chov dojníc </w:t>
      </w:r>
    </w:p>
    <w:p w:rsidR="00D566CE" w:rsidRPr="00D566CE" w:rsidRDefault="00D566CE" w:rsidP="00D566CE">
      <w:pPr>
        <w:pStyle w:val="tlText2VlastnfarbaRGB31"/>
        <w:widowControl w:val="0"/>
        <w:numPr>
          <w:ilvl w:val="0"/>
          <w:numId w:val="326"/>
        </w:numPr>
        <w:spacing w:line="240" w:lineRule="auto"/>
        <w:rPr>
          <w:rFonts w:asciiTheme="minorHAnsi" w:hAnsiTheme="minorHAnsi"/>
          <w:color w:val="auto"/>
          <w:szCs w:val="22"/>
        </w:rPr>
      </w:pPr>
      <w:r w:rsidRPr="00D566CE">
        <w:rPr>
          <w:rFonts w:asciiTheme="minorHAnsi" w:hAnsiTheme="minorHAnsi"/>
          <w:color w:val="auto"/>
          <w:szCs w:val="22"/>
        </w:rPr>
        <w:t>rozsiahla výmera pôvodných TTP mimo LPIS, osobitne v horských oblastiach (biele miesta)</w:t>
      </w:r>
    </w:p>
    <w:p w:rsidR="00D566CE" w:rsidRPr="00D566CE" w:rsidRDefault="00D566CE" w:rsidP="00D566CE">
      <w:pPr>
        <w:pStyle w:val="tlText2VlastnfarbaRGB31"/>
        <w:widowControl w:val="0"/>
        <w:numPr>
          <w:ilvl w:val="0"/>
          <w:numId w:val="326"/>
        </w:numPr>
        <w:spacing w:line="240" w:lineRule="auto"/>
        <w:rPr>
          <w:rFonts w:asciiTheme="minorHAnsi" w:hAnsiTheme="minorHAnsi"/>
          <w:color w:val="auto"/>
          <w:szCs w:val="22"/>
        </w:rPr>
      </w:pPr>
      <w:r w:rsidRPr="00D566CE">
        <w:rPr>
          <w:rFonts w:asciiTheme="minorHAnsi" w:hAnsiTheme="minorHAnsi"/>
          <w:color w:val="auto"/>
          <w:szCs w:val="22"/>
        </w:rPr>
        <w:t xml:space="preserve">zastaraná a neefektívna využívaná závlahová infraštruktúra v produkčných oblastiach ohrozovaných suchom, využívanie vody ako významného intenzifikačného faktora v rastlinnej výrobe je nedostatočné a neustále klesá </w:t>
      </w:r>
    </w:p>
    <w:p w:rsidR="00D566CE" w:rsidRPr="00D566CE" w:rsidRDefault="00D566CE" w:rsidP="00D566CE">
      <w:pPr>
        <w:pStyle w:val="tlText2VlastnfarbaRGB31"/>
        <w:widowControl w:val="0"/>
        <w:numPr>
          <w:ilvl w:val="0"/>
          <w:numId w:val="327"/>
        </w:numPr>
        <w:spacing w:line="240" w:lineRule="auto"/>
        <w:rPr>
          <w:rFonts w:asciiTheme="minorHAnsi" w:hAnsiTheme="minorHAnsi"/>
          <w:color w:val="auto"/>
          <w:szCs w:val="22"/>
        </w:rPr>
      </w:pPr>
      <w:r w:rsidRPr="00D566CE">
        <w:rPr>
          <w:rFonts w:asciiTheme="minorHAnsi" w:hAnsiTheme="minorHAnsi"/>
          <w:color w:val="auto"/>
          <w:szCs w:val="22"/>
        </w:rPr>
        <w:t>živočíšna výroba je u väčšiny podnikov stratová (osobitne chovy ošípaných a HD), stavy zvierat dlhodobo klesajú, prevláda jednoduchý export živých zvierat pred exportom spracovaných výrobkov, nízka pridaná hodnota v živočíšnej výrobe</w:t>
      </w:r>
    </w:p>
    <w:p w:rsidR="00D566CE" w:rsidRPr="00D566CE" w:rsidRDefault="00D566CE" w:rsidP="00D566CE">
      <w:pPr>
        <w:pStyle w:val="tlText2VlastnfarbaRGB31"/>
        <w:widowControl w:val="0"/>
        <w:numPr>
          <w:ilvl w:val="0"/>
          <w:numId w:val="327"/>
        </w:numPr>
        <w:spacing w:line="240" w:lineRule="auto"/>
        <w:rPr>
          <w:rFonts w:asciiTheme="minorHAnsi" w:hAnsiTheme="minorHAnsi"/>
          <w:color w:val="auto"/>
          <w:szCs w:val="22"/>
        </w:rPr>
      </w:pPr>
      <w:r w:rsidRPr="00D566CE">
        <w:rPr>
          <w:rFonts w:asciiTheme="minorHAnsi" w:hAnsiTheme="minorHAnsi"/>
          <w:color w:val="auto"/>
          <w:szCs w:val="22"/>
        </w:rPr>
        <w:t>nízky podiel hrubej pridanej hodnoty a nedostatočná reprodukcia výrobných činiteľov v poľnohospodárstve</w:t>
      </w:r>
    </w:p>
    <w:p w:rsidR="00D566CE" w:rsidRPr="00D566CE" w:rsidRDefault="00D566CE" w:rsidP="00D566CE">
      <w:pPr>
        <w:pStyle w:val="tlText2VlastnfarbaRGB31"/>
        <w:widowControl w:val="0"/>
        <w:numPr>
          <w:ilvl w:val="0"/>
          <w:numId w:val="327"/>
        </w:numPr>
        <w:spacing w:line="240" w:lineRule="auto"/>
        <w:rPr>
          <w:rFonts w:asciiTheme="minorHAnsi" w:hAnsiTheme="minorHAnsi"/>
          <w:color w:val="auto"/>
          <w:szCs w:val="22"/>
        </w:rPr>
      </w:pPr>
      <w:r w:rsidRPr="00D566CE">
        <w:rPr>
          <w:rFonts w:asciiTheme="minorHAnsi" w:hAnsiTheme="minorHAnsi"/>
          <w:color w:val="auto"/>
          <w:szCs w:val="22"/>
        </w:rPr>
        <w:t xml:space="preserve">výrazne nižšia životná úroveň pracujúcich v poľnohospodárstve oproti zamestnancom v iných odvetviach hospodárstva, </w:t>
      </w:r>
    </w:p>
    <w:p w:rsidR="00D566CE" w:rsidRPr="00D566CE" w:rsidRDefault="00D566CE" w:rsidP="00D566CE">
      <w:pPr>
        <w:pStyle w:val="tlText2VlastnfarbaRGB31"/>
        <w:widowControl w:val="0"/>
        <w:numPr>
          <w:ilvl w:val="0"/>
          <w:numId w:val="327"/>
        </w:numPr>
        <w:spacing w:line="240" w:lineRule="auto"/>
        <w:rPr>
          <w:rFonts w:asciiTheme="minorHAnsi" w:hAnsiTheme="minorHAnsi"/>
          <w:color w:val="auto"/>
          <w:szCs w:val="22"/>
        </w:rPr>
      </w:pPr>
      <w:r w:rsidRPr="00D566CE">
        <w:rPr>
          <w:rFonts w:asciiTheme="minorHAnsi" w:hAnsiTheme="minorHAnsi"/>
          <w:color w:val="auto"/>
          <w:szCs w:val="22"/>
        </w:rPr>
        <w:t>nedostatočná spolupráca medzi poľnohospodárskymi producentmi a ostatnými aktérmi potravinového reťazca (málo rozvinutá vertikálna spolupráca)</w:t>
      </w:r>
    </w:p>
    <w:p w:rsidR="00D566CE" w:rsidRPr="00D566CE" w:rsidRDefault="00D566CE" w:rsidP="00D566CE">
      <w:pPr>
        <w:pStyle w:val="tlText2VlastnfarbaRGB31"/>
        <w:widowControl w:val="0"/>
        <w:numPr>
          <w:ilvl w:val="0"/>
          <w:numId w:val="327"/>
        </w:numPr>
        <w:spacing w:line="240" w:lineRule="auto"/>
        <w:rPr>
          <w:rFonts w:asciiTheme="minorHAnsi" w:hAnsiTheme="minorHAnsi"/>
          <w:color w:val="auto"/>
          <w:szCs w:val="22"/>
        </w:rPr>
      </w:pPr>
      <w:r w:rsidRPr="00D566CE">
        <w:rPr>
          <w:rFonts w:asciiTheme="minorHAnsi" w:hAnsiTheme="minorHAnsi"/>
          <w:color w:val="auto"/>
          <w:szCs w:val="22"/>
        </w:rPr>
        <w:t>veľmi slabo rozvinuté krátke dodávateľské reťazce (iba 3 % poľ.</w:t>
      </w:r>
      <w:r w:rsidR="005402A5">
        <w:rPr>
          <w:rFonts w:asciiTheme="minorHAnsi" w:hAnsiTheme="minorHAnsi"/>
          <w:color w:val="auto"/>
          <w:szCs w:val="22"/>
        </w:rPr>
        <w:t xml:space="preserve"> </w:t>
      </w:r>
      <w:r w:rsidRPr="00D566CE">
        <w:rPr>
          <w:rFonts w:asciiTheme="minorHAnsi" w:hAnsiTheme="minorHAnsi"/>
          <w:color w:val="auto"/>
          <w:szCs w:val="22"/>
        </w:rPr>
        <w:t xml:space="preserve">produkcie sa predáva priamo z farmy) </w:t>
      </w:r>
    </w:p>
    <w:p w:rsidR="00D566CE" w:rsidRPr="00D566CE" w:rsidRDefault="00D566CE" w:rsidP="00D566CE">
      <w:pPr>
        <w:pStyle w:val="tlText2VlastnfarbaRGB31"/>
        <w:widowControl w:val="0"/>
        <w:numPr>
          <w:ilvl w:val="0"/>
          <w:numId w:val="327"/>
        </w:numPr>
        <w:spacing w:line="240" w:lineRule="auto"/>
        <w:rPr>
          <w:rFonts w:asciiTheme="minorHAnsi" w:hAnsiTheme="minorHAnsi"/>
          <w:color w:val="auto"/>
          <w:szCs w:val="22"/>
        </w:rPr>
      </w:pPr>
      <w:r w:rsidRPr="00D566CE">
        <w:rPr>
          <w:rFonts w:asciiTheme="minorHAnsi" w:hAnsiTheme="minorHAnsi"/>
          <w:color w:val="auto"/>
          <w:szCs w:val="22"/>
        </w:rPr>
        <w:t>nedostatočne rozvinutý trh s pôdou vplyvom historicky podmienenej extrémnej rozdrobenosti</w:t>
      </w:r>
      <w:r w:rsidRPr="00D566CE">
        <w:rPr>
          <w:rFonts w:asciiTheme="minorHAnsi" w:hAnsiTheme="minorHAnsi"/>
          <w:color w:val="auto"/>
          <w:szCs w:val="22"/>
        </w:rPr>
        <w:lastRenderedPageBreak/>
        <w:t xml:space="preserve"> vlastníctva pôdy, finančne a administratívne náročný a pomaly postupujúci systém realizácie pozemkových úprav</w:t>
      </w:r>
    </w:p>
    <w:p w:rsidR="00D566CE" w:rsidRPr="00D566CE" w:rsidRDefault="00D566CE" w:rsidP="00D566CE">
      <w:pPr>
        <w:pStyle w:val="tlText2VlastnfarbaRGB31"/>
        <w:widowControl w:val="0"/>
        <w:numPr>
          <w:ilvl w:val="0"/>
          <w:numId w:val="327"/>
        </w:numPr>
        <w:spacing w:line="240" w:lineRule="auto"/>
        <w:rPr>
          <w:rFonts w:asciiTheme="minorHAnsi" w:hAnsiTheme="minorHAnsi"/>
          <w:color w:val="auto"/>
          <w:szCs w:val="22"/>
        </w:rPr>
      </w:pPr>
      <w:r w:rsidRPr="00D566CE">
        <w:rPr>
          <w:rFonts w:asciiTheme="minorHAnsi" w:hAnsiTheme="minorHAnsi"/>
          <w:color w:val="auto"/>
          <w:szCs w:val="22"/>
        </w:rPr>
        <w:t>malý podiel produkcie obchodovanej prostredníctvom odbytových organizácií a v rámci domácich systémov kvality, väčšina odbytových organizácií výrobcov nie je majetkovo a finančne prepojených so spracovateľmi</w:t>
      </w:r>
    </w:p>
    <w:p w:rsidR="00D566CE" w:rsidRPr="00D566CE" w:rsidRDefault="00D566CE" w:rsidP="00D566CE">
      <w:pPr>
        <w:pStyle w:val="tlText2VlastnfarbaRGB31"/>
        <w:widowControl w:val="0"/>
        <w:numPr>
          <w:ilvl w:val="0"/>
          <w:numId w:val="327"/>
        </w:numPr>
        <w:spacing w:line="240" w:lineRule="auto"/>
        <w:rPr>
          <w:rFonts w:asciiTheme="minorHAnsi" w:hAnsiTheme="minorHAnsi"/>
          <w:color w:val="auto"/>
          <w:szCs w:val="22"/>
        </w:rPr>
      </w:pPr>
      <w:r w:rsidRPr="00D566CE">
        <w:rPr>
          <w:rFonts w:asciiTheme="minorHAnsi" w:hAnsiTheme="minorHAnsi"/>
          <w:color w:val="auto"/>
          <w:szCs w:val="22"/>
        </w:rPr>
        <w:t>chýbajúci fond na kompenzáciu škôd z nepoistených rizík</w:t>
      </w:r>
    </w:p>
    <w:p w:rsidR="00D566CE" w:rsidRPr="00D566CE" w:rsidRDefault="00D566CE" w:rsidP="00D566CE">
      <w:pPr>
        <w:pStyle w:val="tlText2VlastnfarbaRGB31"/>
        <w:widowControl w:val="0"/>
        <w:numPr>
          <w:ilvl w:val="0"/>
          <w:numId w:val="327"/>
        </w:numPr>
        <w:spacing w:line="240" w:lineRule="auto"/>
        <w:rPr>
          <w:rFonts w:asciiTheme="minorHAnsi" w:hAnsiTheme="minorHAnsi"/>
          <w:color w:val="auto"/>
          <w:szCs w:val="22"/>
        </w:rPr>
      </w:pPr>
      <w:r w:rsidRPr="00D566CE">
        <w:rPr>
          <w:rFonts w:asciiTheme="minorHAnsi" w:hAnsiTheme="minorHAnsi"/>
          <w:color w:val="auto"/>
          <w:szCs w:val="22"/>
        </w:rPr>
        <w:t xml:space="preserve">častí výskyt povodní na poľnohospodárskom území spôsobujúce vysoké škody, nedostatočná ochrana  </w:t>
      </w:r>
    </w:p>
    <w:p w:rsidR="00D566CE" w:rsidRPr="00D566CE" w:rsidRDefault="00D566CE" w:rsidP="00D566CE">
      <w:pPr>
        <w:pStyle w:val="tlText2VlastnfarbaRGB31"/>
        <w:widowControl w:val="0"/>
        <w:numPr>
          <w:ilvl w:val="0"/>
          <w:numId w:val="327"/>
        </w:numPr>
        <w:spacing w:line="240" w:lineRule="auto"/>
        <w:rPr>
          <w:rFonts w:asciiTheme="minorHAnsi" w:hAnsiTheme="minorHAnsi"/>
          <w:color w:val="auto"/>
          <w:szCs w:val="22"/>
        </w:rPr>
      </w:pPr>
      <w:r w:rsidRPr="00D566CE">
        <w:rPr>
          <w:rFonts w:asciiTheme="minorHAnsi" w:hAnsiTheme="minorHAnsi"/>
          <w:color w:val="auto"/>
          <w:szCs w:val="22"/>
        </w:rPr>
        <w:t>prevažujúci export poľnohospodárskych surovín s nízkou pridanou hodnotou</w:t>
      </w:r>
    </w:p>
    <w:p w:rsidR="00D566CE" w:rsidRPr="00D566CE" w:rsidRDefault="00D566CE" w:rsidP="00D566CE">
      <w:pPr>
        <w:pStyle w:val="tlText2VlastnfarbaRGB31"/>
        <w:widowControl w:val="0"/>
        <w:numPr>
          <w:ilvl w:val="0"/>
          <w:numId w:val="327"/>
        </w:numPr>
        <w:spacing w:line="240" w:lineRule="auto"/>
        <w:rPr>
          <w:rFonts w:asciiTheme="minorHAnsi" w:hAnsiTheme="minorHAnsi"/>
          <w:color w:val="auto"/>
          <w:szCs w:val="22"/>
        </w:rPr>
      </w:pPr>
      <w:r w:rsidRPr="00D566CE">
        <w:rPr>
          <w:rFonts w:asciiTheme="minorHAnsi" w:hAnsiTheme="minorHAnsi"/>
          <w:color w:val="auto"/>
          <w:szCs w:val="22"/>
        </w:rPr>
        <w:t>nízky podiel domácich poľnohospodárskych a potravinárskych produktov v obchodnej sieti SR (49%)</w:t>
      </w:r>
    </w:p>
    <w:p w:rsidR="00D566CE" w:rsidRPr="00D566CE" w:rsidRDefault="00D566CE" w:rsidP="00D566CE">
      <w:pPr>
        <w:pStyle w:val="tlText2VlastnfarbaRGB31"/>
        <w:widowControl w:val="0"/>
        <w:numPr>
          <w:ilvl w:val="0"/>
          <w:numId w:val="327"/>
        </w:numPr>
        <w:spacing w:line="240" w:lineRule="auto"/>
        <w:rPr>
          <w:rFonts w:asciiTheme="minorHAnsi" w:hAnsiTheme="minorHAnsi"/>
          <w:color w:val="auto"/>
          <w:szCs w:val="22"/>
        </w:rPr>
      </w:pPr>
      <w:r w:rsidRPr="00D566CE">
        <w:rPr>
          <w:rFonts w:asciiTheme="minorHAnsi" w:hAnsiTheme="minorHAnsi"/>
          <w:color w:val="auto"/>
          <w:szCs w:val="22"/>
        </w:rPr>
        <w:t>nedostatočné zavádzanie inovatívnych zariadení a postupov, výskumu, vývoja a marketingu v spracovaní poľnohospodárskej produkcie</w:t>
      </w:r>
    </w:p>
    <w:p w:rsidR="00D566CE" w:rsidRPr="00D566CE" w:rsidRDefault="00D566CE" w:rsidP="00D566CE">
      <w:pPr>
        <w:pStyle w:val="tlText2VlastnfarbaRGB31"/>
        <w:widowControl w:val="0"/>
        <w:numPr>
          <w:ilvl w:val="0"/>
          <w:numId w:val="327"/>
        </w:numPr>
        <w:spacing w:line="240" w:lineRule="auto"/>
        <w:rPr>
          <w:rFonts w:asciiTheme="minorHAnsi" w:hAnsiTheme="minorHAnsi"/>
          <w:color w:val="auto"/>
          <w:szCs w:val="22"/>
        </w:rPr>
      </w:pPr>
      <w:r w:rsidRPr="00D566CE">
        <w:rPr>
          <w:rFonts w:asciiTheme="minorHAnsi" w:hAnsiTheme="minorHAnsi"/>
          <w:color w:val="auto"/>
          <w:szCs w:val="22"/>
        </w:rPr>
        <w:t>nízky podiel spracovanej domácej poľnohospodárskej produkcie v potravinárstve SR (65%)</w:t>
      </w:r>
    </w:p>
    <w:p w:rsidR="00D566CE" w:rsidRPr="00D566CE" w:rsidRDefault="00D566CE" w:rsidP="00D566CE">
      <w:pPr>
        <w:pStyle w:val="tlText2VlastnfarbaRGB31"/>
        <w:widowControl w:val="0"/>
        <w:numPr>
          <w:ilvl w:val="0"/>
          <w:numId w:val="327"/>
        </w:numPr>
        <w:spacing w:line="240" w:lineRule="auto"/>
        <w:rPr>
          <w:rFonts w:asciiTheme="minorHAnsi" w:hAnsiTheme="minorHAnsi"/>
          <w:color w:val="auto"/>
          <w:szCs w:val="22"/>
        </w:rPr>
      </w:pPr>
      <w:r w:rsidRPr="00D566CE">
        <w:rPr>
          <w:rFonts w:asciiTheme="minorHAnsi" w:hAnsiTheme="minorHAnsi"/>
          <w:color w:val="auto"/>
          <w:szCs w:val="22"/>
        </w:rPr>
        <w:t xml:space="preserve">nedostatočné sprístupnenie lesov, chýbajúce lesné cesty pri obhospodarovaní lesov a zabezpečenia protipožiarnej ochrany </w:t>
      </w:r>
    </w:p>
    <w:p w:rsidR="00D566CE" w:rsidRPr="00D566CE" w:rsidRDefault="00D566CE" w:rsidP="00D566CE">
      <w:pPr>
        <w:pStyle w:val="tlText2VlastnfarbaRGB31"/>
        <w:widowControl w:val="0"/>
        <w:numPr>
          <w:ilvl w:val="0"/>
          <w:numId w:val="327"/>
        </w:numPr>
        <w:spacing w:line="240" w:lineRule="auto"/>
        <w:rPr>
          <w:rFonts w:asciiTheme="minorHAnsi" w:hAnsiTheme="minorHAnsi"/>
          <w:color w:val="auto"/>
          <w:szCs w:val="22"/>
        </w:rPr>
      </w:pPr>
      <w:r w:rsidRPr="00D566CE">
        <w:rPr>
          <w:rFonts w:asciiTheme="minorHAnsi" w:hAnsiTheme="minorHAnsi"/>
          <w:color w:val="auto"/>
          <w:szCs w:val="22"/>
        </w:rPr>
        <w:t xml:space="preserve">nedostatočná modernizácia mechanizmov a technológií v lesnom hospodárstve </w:t>
      </w:r>
    </w:p>
    <w:p w:rsidR="00D566CE" w:rsidRPr="00D566CE" w:rsidRDefault="00D566CE" w:rsidP="00D566CE">
      <w:pPr>
        <w:pStyle w:val="tlText2VlastnfarbaRGB31"/>
        <w:widowControl w:val="0"/>
        <w:spacing w:line="240" w:lineRule="auto"/>
        <w:ind w:left="539"/>
        <w:rPr>
          <w:rFonts w:asciiTheme="minorHAnsi" w:hAnsiTheme="minorHAnsi"/>
          <w:color w:val="auto"/>
          <w:szCs w:val="22"/>
        </w:rPr>
      </w:pPr>
    </w:p>
    <w:p w:rsidR="00D566CE" w:rsidRPr="00D566CE" w:rsidRDefault="00D566CE" w:rsidP="00D566CE">
      <w:pPr>
        <w:keepNext/>
        <w:pBdr>
          <w:bar w:val="single" w:sz="6" w:color="808080"/>
        </w:pBdr>
        <w:spacing w:after="60"/>
        <w:ind w:left="426" w:hanging="426"/>
        <w:outlineLvl w:val="0"/>
        <w:rPr>
          <w:rFonts w:ascii="Calibri" w:hAnsi="Calibri"/>
          <w:b/>
          <w:bCs/>
          <w:kern w:val="32"/>
          <w:szCs w:val="22"/>
          <w:u w:val="single"/>
          <w:lang w:eastAsia="en-US"/>
        </w:rPr>
      </w:pPr>
      <w:r w:rsidRPr="00D566CE">
        <w:rPr>
          <w:rFonts w:ascii="Calibri" w:hAnsi="Calibri"/>
          <w:b/>
          <w:bCs/>
          <w:kern w:val="32"/>
          <w:szCs w:val="22"/>
          <w:u w:val="single"/>
          <w:lang w:eastAsia="en-US"/>
        </w:rPr>
        <w:t>Životné prostredie a klíma</w:t>
      </w:r>
    </w:p>
    <w:p w:rsidR="00D566CE" w:rsidRPr="00D566CE" w:rsidRDefault="00D566CE" w:rsidP="00D566CE">
      <w:pPr>
        <w:pStyle w:val="tlText2VlastnfarbaRGB31"/>
        <w:widowControl w:val="0"/>
        <w:numPr>
          <w:ilvl w:val="0"/>
          <w:numId w:val="329"/>
        </w:numPr>
        <w:spacing w:line="240" w:lineRule="auto"/>
        <w:rPr>
          <w:rFonts w:asciiTheme="minorHAnsi" w:hAnsiTheme="minorHAnsi"/>
          <w:color w:val="auto"/>
          <w:szCs w:val="22"/>
        </w:rPr>
      </w:pPr>
      <w:r w:rsidRPr="00D566CE">
        <w:rPr>
          <w:rFonts w:asciiTheme="minorHAnsi" w:hAnsiTheme="minorHAnsi"/>
          <w:color w:val="auto"/>
          <w:szCs w:val="22"/>
        </w:rPr>
        <w:t xml:space="preserve">nevyhovujúce obhospodarovanie pôdy (napr. pomerne rozšírené veľkoplošné a „bi-kultúrne“ pestovanie poľných plodín), s negatívnymi dopadmi na kvalitu pôdy, pokračujúca degradácia pôd, ktorá spôsobuje každoročne značné škody, osobitne erózia, zhutnenie pôdy, strata pôdnej organickej hmoty a s tým súvisiace zhoršenie biologickej aktivity a vodného režimu pôdy. </w:t>
      </w:r>
    </w:p>
    <w:p w:rsidR="00D566CE" w:rsidRPr="00D566CE" w:rsidRDefault="00D566CE" w:rsidP="00D566CE">
      <w:pPr>
        <w:pStyle w:val="tlText2VlastnfarbaRGB31"/>
        <w:widowControl w:val="0"/>
        <w:numPr>
          <w:ilvl w:val="0"/>
          <w:numId w:val="329"/>
        </w:numPr>
        <w:spacing w:line="240" w:lineRule="auto"/>
        <w:rPr>
          <w:rFonts w:asciiTheme="minorHAnsi" w:hAnsiTheme="minorHAnsi"/>
          <w:color w:val="auto"/>
          <w:szCs w:val="22"/>
        </w:rPr>
      </w:pPr>
      <w:r w:rsidRPr="00D566CE">
        <w:rPr>
          <w:rFonts w:asciiTheme="minorHAnsi" w:hAnsiTheme="minorHAnsi"/>
          <w:color w:val="auto"/>
          <w:szCs w:val="22"/>
        </w:rPr>
        <w:t>v dôsledku obmedzenia hnojenia dochádza v úrodných rokoch k negatívnej bilancii živín, prevláda deficit živín v pôde, rozklad organickej hmoty – klesá úrodnosť pôdy</w:t>
      </w:r>
    </w:p>
    <w:p w:rsidR="00D566CE" w:rsidRPr="00D566CE" w:rsidRDefault="00D566CE" w:rsidP="00D566CE">
      <w:pPr>
        <w:pStyle w:val="tlText2VlastnfarbaRGB31"/>
        <w:widowControl w:val="0"/>
        <w:numPr>
          <w:ilvl w:val="0"/>
          <w:numId w:val="329"/>
        </w:numPr>
        <w:spacing w:line="240" w:lineRule="auto"/>
        <w:rPr>
          <w:rFonts w:asciiTheme="minorHAnsi" w:hAnsiTheme="minorHAnsi"/>
          <w:color w:val="auto"/>
          <w:szCs w:val="22"/>
        </w:rPr>
      </w:pPr>
      <w:r w:rsidRPr="00D566CE">
        <w:rPr>
          <w:rFonts w:asciiTheme="minorHAnsi" w:hAnsiTheme="minorHAnsi"/>
          <w:color w:val="auto"/>
          <w:szCs w:val="22"/>
        </w:rPr>
        <w:t xml:space="preserve">zarastanie  TTP náletmi drevín a trvalých burín a rozširovanie  inváznych  druhov rastlín spôsobuje pokles biodiverzity a rozvrat niektorých vzácnych ekosystémov v poľnohospodárskej krajine (nedostatočne obhospodarovaných je až 69,5% biotopov TP) </w:t>
      </w:r>
    </w:p>
    <w:p w:rsidR="00D566CE" w:rsidRPr="00D566CE" w:rsidRDefault="00D566CE" w:rsidP="00D566CE">
      <w:pPr>
        <w:pStyle w:val="tlText2VlastnfarbaRGB31"/>
        <w:widowControl w:val="0"/>
        <w:numPr>
          <w:ilvl w:val="0"/>
          <w:numId w:val="329"/>
        </w:numPr>
        <w:spacing w:line="240" w:lineRule="auto"/>
        <w:rPr>
          <w:rFonts w:asciiTheme="minorHAnsi" w:hAnsiTheme="minorHAnsi"/>
          <w:color w:val="auto"/>
          <w:szCs w:val="22"/>
        </w:rPr>
      </w:pPr>
      <w:r w:rsidRPr="00D566CE">
        <w:rPr>
          <w:rFonts w:asciiTheme="minorHAnsi" w:hAnsiTheme="minorHAnsi"/>
          <w:color w:val="auto"/>
          <w:szCs w:val="22"/>
        </w:rPr>
        <w:t xml:space="preserve">zlý zdravotný stav lesov, nedostatočná obnova lesa, deficit udržateľnej pestovateľskej činnosti a systematickej obnovy lesa, podpory zakmenenia lesných porastov </w:t>
      </w:r>
    </w:p>
    <w:p w:rsidR="00D566CE" w:rsidRPr="00D566CE" w:rsidRDefault="00D566CE" w:rsidP="00D566CE">
      <w:pPr>
        <w:pStyle w:val="tlText2VlastnfarbaRGB31"/>
        <w:widowControl w:val="0"/>
        <w:numPr>
          <w:ilvl w:val="0"/>
          <w:numId w:val="329"/>
        </w:numPr>
        <w:spacing w:line="240" w:lineRule="auto"/>
        <w:rPr>
          <w:rFonts w:asciiTheme="minorHAnsi" w:hAnsiTheme="minorHAnsi"/>
          <w:color w:val="auto"/>
          <w:szCs w:val="22"/>
        </w:rPr>
      </w:pPr>
      <w:r w:rsidRPr="00D566CE">
        <w:rPr>
          <w:rFonts w:asciiTheme="minorHAnsi" w:hAnsiTheme="minorHAnsi"/>
          <w:color w:val="auto"/>
          <w:szCs w:val="22"/>
        </w:rPr>
        <w:t xml:space="preserve">pretrvávajú rezervy v prevencii pred poškodzovaním lesných porastov (škodcovia, požiare, kalamity) </w:t>
      </w:r>
    </w:p>
    <w:p w:rsidR="00D566CE" w:rsidRPr="00D566CE" w:rsidRDefault="00D566CE" w:rsidP="00D566CE">
      <w:pPr>
        <w:pStyle w:val="tlText2VlastnfarbaRGB31"/>
        <w:widowControl w:val="0"/>
        <w:numPr>
          <w:ilvl w:val="0"/>
          <w:numId w:val="329"/>
        </w:numPr>
        <w:spacing w:line="240" w:lineRule="auto"/>
        <w:rPr>
          <w:rFonts w:asciiTheme="minorHAnsi" w:hAnsiTheme="minorHAnsi"/>
          <w:color w:val="auto"/>
          <w:szCs w:val="22"/>
        </w:rPr>
      </w:pPr>
      <w:r w:rsidRPr="00D566CE">
        <w:rPr>
          <w:rFonts w:asciiTheme="minorHAnsi" w:hAnsiTheme="minorHAnsi"/>
          <w:color w:val="auto"/>
          <w:szCs w:val="22"/>
        </w:rPr>
        <w:t xml:space="preserve">nedostatočné využívanie drevnej biomasy na produkciu OZE </w:t>
      </w:r>
    </w:p>
    <w:p w:rsidR="00D566CE" w:rsidRPr="00D566CE" w:rsidRDefault="00D566CE" w:rsidP="00D566CE">
      <w:pPr>
        <w:pStyle w:val="tlText2VlastnfarbaRGB31"/>
        <w:widowControl w:val="0"/>
        <w:numPr>
          <w:ilvl w:val="0"/>
          <w:numId w:val="329"/>
        </w:numPr>
        <w:spacing w:line="240" w:lineRule="auto"/>
        <w:rPr>
          <w:rFonts w:asciiTheme="minorHAnsi" w:hAnsiTheme="minorHAnsi"/>
          <w:color w:val="auto"/>
          <w:szCs w:val="22"/>
        </w:rPr>
      </w:pPr>
      <w:r w:rsidRPr="00D566CE">
        <w:rPr>
          <w:rFonts w:asciiTheme="minorHAnsi" w:hAnsiTheme="minorHAnsi"/>
          <w:color w:val="auto"/>
          <w:szCs w:val="22"/>
        </w:rPr>
        <w:t xml:space="preserve">nízka úroveň investícií do ochrany pred povodňami v lesoch, nedostatok vodozádržných zariadení, </w:t>
      </w:r>
    </w:p>
    <w:p w:rsidR="00D566CE" w:rsidRPr="00D566CE" w:rsidRDefault="00D566CE" w:rsidP="00D566CE">
      <w:pPr>
        <w:pStyle w:val="tlText2VlastnfarbaRGB31"/>
        <w:widowControl w:val="0"/>
        <w:numPr>
          <w:ilvl w:val="0"/>
          <w:numId w:val="330"/>
        </w:numPr>
        <w:spacing w:line="240" w:lineRule="auto"/>
        <w:rPr>
          <w:rFonts w:asciiTheme="minorHAnsi" w:hAnsiTheme="minorHAnsi"/>
          <w:color w:val="auto"/>
          <w:szCs w:val="22"/>
        </w:rPr>
      </w:pPr>
      <w:r w:rsidRPr="00D566CE">
        <w:rPr>
          <w:rFonts w:asciiTheme="minorHAnsi" w:hAnsiTheme="minorHAnsi"/>
          <w:color w:val="auto"/>
          <w:szCs w:val="22"/>
        </w:rPr>
        <w:t>značné rezervy v úsporách energií a energetickej efektívnosti v pôdohospodárstve (zateplenie budov, tepelné hospodárstvo, lepšie využívanie technologických a skladových kapacít, chýba špecifický systém energetického poradenstva pre poľnohospodárov, napriek modernizácii je podiel zastaraných strojov a technológií s nízkou energetickou efektívnosťou stále pomerne veľký)</w:t>
      </w:r>
    </w:p>
    <w:p w:rsidR="00D566CE" w:rsidRPr="00D566CE" w:rsidRDefault="00D566CE" w:rsidP="00D566CE">
      <w:pPr>
        <w:pStyle w:val="tlText2VlastnfarbaRGB31"/>
        <w:widowControl w:val="0"/>
        <w:spacing w:line="240" w:lineRule="auto"/>
        <w:ind w:left="539"/>
        <w:rPr>
          <w:rFonts w:asciiTheme="minorHAnsi" w:hAnsiTheme="minorHAnsi"/>
          <w:color w:val="auto"/>
          <w:szCs w:val="22"/>
        </w:rPr>
      </w:pPr>
      <w:r w:rsidRPr="00D566CE">
        <w:rPr>
          <w:rFonts w:asciiTheme="minorHAnsi" w:hAnsiTheme="minorHAnsi"/>
          <w:color w:val="auto"/>
          <w:szCs w:val="22"/>
        </w:rPr>
        <w:br w:type="page"/>
      </w:r>
    </w:p>
    <w:p w:rsidR="00A71A12" w:rsidRPr="004733E9" w:rsidRDefault="00A71A12" w:rsidP="00A71A12">
      <w:pPr>
        <w:pStyle w:val="Text2"/>
        <w:widowControl w:val="0"/>
        <w:pBdr>
          <w:top w:val="single" w:sz="4" w:space="1" w:color="auto"/>
          <w:left w:val="single" w:sz="4" w:space="4" w:color="auto"/>
          <w:bottom w:val="single" w:sz="4" w:space="1" w:color="auto"/>
          <w:right w:val="single" w:sz="4" w:space="4" w:color="auto"/>
        </w:pBdr>
        <w:shd w:val="clear" w:color="auto" w:fill="E5B8B7"/>
        <w:jc w:val="center"/>
        <w:rPr>
          <w:rFonts w:asciiTheme="minorHAnsi" w:hAnsiTheme="minorHAnsi"/>
          <w:b/>
          <w:szCs w:val="22"/>
          <w:lang w:val="sk-SK"/>
        </w:rPr>
      </w:pPr>
      <w:r>
        <w:rPr>
          <w:rFonts w:asciiTheme="minorHAnsi" w:hAnsiTheme="minorHAnsi"/>
          <w:b/>
          <w:szCs w:val="22"/>
          <w:lang w:val="sk-SK"/>
        </w:rPr>
        <w:t xml:space="preserve">4.2.3 </w:t>
      </w:r>
      <w:r w:rsidRPr="004733E9">
        <w:rPr>
          <w:rFonts w:asciiTheme="minorHAnsi" w:hAnsiTheme="minorHAnsi"/>
          <w:b/>
          <w:szCs w:val="22"/>
          <w:lang w:val="sk-SK"/>
        </w:rPr>
        <w:t>Opportunities</w:t>
      </w:r>
      <w:bookmarkEnd w:id="34"/>
      <w:bookmarkEnd w:id="35"/>
      <w:bookmarkEnd w:id="36"/>
      <w:bookmarkEnd w:id="37"/>
      <w:bookmarkEnd w:id="38"/>
      <w:r w:rsidRPr="004733E9">
        <w:rPr>
          <w:rFonts w:asciiTheme="minorHAnsi" w:hAnsiTheme="minorHAnsi"/>
          <w:b/>
          <w:szCs w:val="22"/>
          <w:lang w:val="sk-SK"/>
        </w:rPr>
        <w:t xml:space="preserve"> / Príležitosti</w:t>
      </w:r>
    </w:p>
    <w:p w:rsidR="005402A5" w:rsidRDefault="005402A5" w:rsidP="005402A5">
      <w:pPr>
        <w:keepNext/>
        <w:pBdr>
          <w:bar w:val="single" w:sz="6" w:color="808080"/>
        </w:pBdr>
        <w:spacing w:after="60"/>
        <w:ind w:left="426" w:hanging="426"/>
        <w:outlineLvl w:val="0"/>
        <w:rPr>
          <w:rFonts w:ascii="Calibri" w:hAnsi="Calibri"/>
          <w:b/>
          <w:bCs/>
          <w:kern w:val="32"/>
          <w:szCs w:val="22"/>
          <w:u w:val="single"/>
          <w:lang w:eastAsia="en-US"/>
        </w:rPr>
      </w:pPr>
    </w:p>
    <w:p w:rsidR="00D566CE" w:rsidRPr="005402A5" w:rsidRDefault="00D566CE" w:rsidP="005402A5">
      <w:pPr>
        <w:keepNext/>
        <w:pBdr>
          <w:bar w:val="single" w:sz="6" w:color="808080"/>
        </w:pBdr>
        <w:spacing w:after="60"/>
        <w:ind w:left="426" w:hanging="426"/>
        <w:outlineLvl w:val="0"/>
        <w:rPr>
          <w:rFonts w:ascii="Calibri" w:hAnsi="Calibri"/>
          <w:b/>
          <w:bCs/>
          <w:kern w:val="32"/>
          <w:szCs w:val="22"/>
          <w:u w:val="single"/>
          <w:lang w:eastAsia="en-US"/>
        </w:rPr>
      </w:pPr>
      <w:r w:rsidRPr="005402A5">
        <w:rPr>
          <w:rFonts w:ascii="Calibri" w:hAnsi="Calibri"/>
          <w:b/>
          <w:bCs/>
          <w:kern w:val="32"/>
          <w:szCs w:val="22"/>
          <w:u w:val="single"/>
          <w:lang w:eastAsia="en-US"/>
        </w:rPr>
        <w:t xml:space="preserve">Sociálno-ekonomická situácia vo vidieckych oblastiach </w:t>
      </w:r>
    </w:p>
    <w:p w:rsidR="00D566CE" w:rsidRPr="005402A5" w:rsidRDefault="00D566CE" w:rsidP="005402A5">
      <w:pPr>
        <w:pStyle w:val="tlText2VlastnfarbaRGB31"/>
        <w:widowControl w:val="0"/>
        <w:numPr>
          <w:ilvl w:val="0"/>
          <w:numId w:val="332"/>
        </w:numPr>
        <w:spacing w:line="240" w:lineRule="auto"/>
        <w:rPr>
          <w:rFonts w:asciiTheme="minorHAnsi" w:hAnsiTheme="minorHAnsi"/>
          <w:color w:val="auto"/>
          <w:szCs w:val="22"/>
        </w:rPr>
      </w:pPr>
      <w:r w:rsidRPr="005402A5">
        <w:rPr>
          <w:rFonts w:asciiTheme="minorHAnsi" w:hAnsiTheme="minorHAnsi"/>
          <w:color w:val="auto"/>
          <w:szCs w:val="22"/>
        </w:rPr>
        <w:t>realizáciou projektov spolupráce sa posilní prínos pôdohospodárskeho výskumu, zlepší  spolupráca VVZ s praxou a zvýši úroveň inovácií (napr. zníženie materiálovej náročnosti, zvýšenie obrátkovosti, úspora energií, nové/ inovované produkty a technológie, napr. nízkouhlíkové a ekologické technológie, lepšie zhodnocovanie vstupov). Takéto úsilie by okrem iného malo priniesť inovované a zlepšené potravinárske výrobky v súlade s potrebami a očakávaním spotrebiteľov, s pozitívnymi dopadmi na  zmenu stravovacích návykov, zdravý životný štýl a celkovú kvalitu života („aktívne starnutie“)</w:t>
      </w:r>
    </w:p>
    <w:p w:rsidR="00D566CE" w:rsidRPr="005402A5" w:rsidRDefault="00D566CE" w:rsidP="005402A5">
      <w:pPr>
        <w:pStyle w:val="tlText2VlastnfarbaRGB31"/>
        <w:widowControl w:val="0"/>
        <w:numPr>
          <w:ilvl w:val="0"/>
          <w:numId w:val="332"/>
        </w:numPr>
        <w:spacing w:line="240" w:lineRule="auto"/>
        <w:rPr>
          <w:rFonts w:asciiTheme="minorHAnsi" w:hAnsiTheme="minorHAnsi"/>
          <w:color w:val="auto"/>
          <w:szCs w:val="22"/>
        </w:rPr>
      </w:pPr>
      <w:r w:rsidRPr="005402A5">
        <w:rPr>
          <w:rFonts w:asciiTheme="minorHAnsi" w:hAnsiTheme="minorHAnsi"/>
          <w:color w:val="auto"/>
          <w:szCs w:val="22"/>
        </w:rPr>
        <w:t xml:space="preserve">rozvoj pôdohospodárskeho poradenského systému  a zefektívnenie transferu  vedomostí a zručností medzi výskumnou a výrobnou sférou, </w:t>
      </w:r>
    </w:p>
    <w:p w:rsidR="00D566CE" w:rsidRPr="005402A5" w:rsidRDefault="00D566CE" w:rsidP="005402A5">
      <w:pPr>
        <w:pStyle w:val="tlText2VlastnfarbaRGB31"/>
        <w:widowControl w:val="0"/>
        <w:numPr>
          <w:ilvl w:val="0"/>
          <w:numId w:val="332"/>
        </w:numPr>
        <w:spacing w:line="240" w:lineRule="auto"/>
        <w:rPr>
          <w:rFonts w:asciiTheme="minorHAnsi" w:hAnsiTheme="minorHAnsi"/>
          <w:color w:val="auto"/>
          <w:szCs w:val="22"/>
        </w:rPr>
      </w:pPr>
      <w:r w:rsidRPr="005402A5">
        <w:rPr>
          <w:rFonts w:asciiTheme="minorHAnsi" w:hAnsiTheme="minorHAnsi"/>
          <w:color w:val="auto"/>
          <w:szCs w:val="22"/>
        </w:rPr>
        <w:t>zlepšenie plánovania, koordinácie a kvality celoživotného vzdelávania, ktoré bude pružne reagovať na potreby zamestnávateľov v pôdohospodárstve a na vidieku, širšie využitie vzdelávacích centier na regionálnej úrovni pri poskytovaní celoživotného vzdelávania, širšie využívanie moderných informačných a komunikačných technológií v rámci vzdelávacích aktivít, zlepšenie materiálno-technického vybavenia vzdelávacích  centier</w:t>
      </w:r>
    </w:p>
    <w:p w:rsidR="00D566CE" w:rsidRPr="005402A5" w:rsidRDefault="00D566CE" w:rsidP="005402A5">
      <w:pPr>
        <w:pStyle w:val="tlText2VlastnfarbaRGB31"/>
        <w:widowControl w:val="0"/>
        <w:numPr>
          <w:ilvl w:val="0"/>
          <w:numId w:val="332"/>
        </w:numPr>
        <w:spacing w:line="240" w:lineRule="auto"/>
        <w:rPr>
          <w:rFonts w:asciiTheme="minorHAnsi" w:hAnsiTheme="minorHAnsi"/>
          <w:color w:val="auto"/>
          <w:szCs w:val="22"/>
        </w:rPr>
      </w:pPr>
      <w:r w:rsidRPr="005402A5">
        <w:rPr>
          <w:rFonts w:asciiTheme="minorHAnsi" w:hAnsiTheme="minorHAnsi"/>
          <w:color w:val="auto"/>
          <w:szCs w:val="22"/>
        </w:rPr>
        <w:t xml:space="preserve">širší rozvoj podnikateľskej činnosti na vidieku v radoch nepoľnohospodárov, zabezpečí nové pracovné príležitosti pre nezamestnaných a osobitne mladých ľudí, čím sa podporí ekonomický rast, </w:t>
      </w:r>
    </w:p>
    <w:p w:rsidR="00D566CE" w:rsidRPr="005402A5" w:rsidRDefault="00D566CE" w:rsidP="005402A5">
      <w:pPr>
        <w:pStyle w:val="tlText2VlastnfarbaRGB31"/>
        <w:widowControl w:val="0"/>
        <w:numPr>
          <w:ilvl w:val="0"/>
          <w:numId w:val="332"/>
        </w:numPr>
        <w:spacing w:line="240" w:lineRule="auto"/>
        <w:rPr>
          <w:rFonts w:asciiTheme="minorHAnsi" w:hAnsiTheme="minorHAnsi"/>
          <w:color w:val="auto"/>
          <w:szCs w:val="22"/>
        </w:rPr>
      </w:pPr>
      <w:r w:rsidRPr="005402A5">
        <w:rPr>
          <w:rFonts w:asciiTheme="minorHAnsi" w:hAnsiTheme="minorHAnsi"/>
          <w:color w:val="auto"/>
          <w:szCs w:val="22"/>
        </w:rPr>
        <w:t>zvyšovanie kvality života a príťažlivosti vidieka prostredníctvom obnovy a modernizácie technickej a sociálnej infraštruktúry obcí a podporou zachovania prírodného a kultúrno-historického dedičstva vidieka, ako aj prostredníctvom obhospodarovania pôdy praktikami priateľskými k životnému prostrediu (ekologické poľnohospodárstvo, agro a leso-environ</w:t>
      </w:r>
      <w:r w:rsidR="005402A5" w:rsidRPr="005402A5">
        <w:rPr>
          <w:rFonts w:asciiTheme="minorHAnsi" w:hAnsiTheme="minorHAnsi"/>
          <w:color w:val="auto"/>
          <w:szCs w:val="22"/>
        </w:rPr>
        <w:t>men</w:t>
      </w:r>
      <w:r w:rsidRPr="005402A5">
        <w:rPr>
          <w:rFonts w:asciiTheme="minorHAnsi" w:hAnsiTheme="minorHAnsi"/>
          <w:color w:val="auto"/>
          <w:szCs w:val="22"/>
        </w:rPr>
        <w:t>tálne opatrenia a pod.)</w:t>
      </w:r>
    </w:p>
    <w:p w:rsidR="00D566CE" w:rsidRPr="005402A5" w:rsidRDefault="00D566CE" w:rsidP="005402A5">
      <w:pPr>
        <w:pStyle w:val="tlText2VlastnfarbaRGB31"/>
        <w:widowControl w:val="0"/>
        <w:numPr>
          <w:ilvl w:val="0"/>
          <w:numId w:val="333"/>
        </w:numPr>
        <w:spacing w:line="240" w:lineRule="auto"/>
        <w:rPr>
          <w:rFonts w:asciiTheme="minorHAnsi" w:hAnsiTheme="minorHAnsi"/>
          <w:color w:val="auto"/>
          <w:szCs w:val="22"/>
        </w:rPr>
      </w:pPr>
      <w:r w:rsidRPr="005402A5">
        <w:rPr>
          <w:rFonts w:asciiTheme="minorHAnsi" w:hAnsiTheme="minorHAnsi"/>
          <w:color w:val="auto"/>
          <w:szCs w:val="22"/>
        </w:rPr>
        <w:t>využitie prírodných zdrojov a kultúrneho dedičstva pre udržateľný rozvoj vidieka</w:t>
      </w:r>
    </w:p>
    <w:p w:rsidR="00D566CE" w:rsidRPr="005402A5" w:rsidRDefault="00D566CE" w:rsidP="005402A5">
      <w:pPr>
        <w:pStyle w:val="tlText2VlastnfarbaRGB31"/>
        <w:widowControl w:val="0"/>
        <w:numPr>
          <w:ilvl w:val="0"/>
          <w:numId w:val="333"/>
        </w:numPr>
        <w:spacing w:line="240" w:lineRule="auto"/>
        <w:rPr>
          <w:rFonts w:asciiTheme="minorHAnsi" w:hAnsiTheme="minorHAnsi"/>
          <w:color w:val="auto"/>
          <w:szCs w:val="22"/>
        </w:rPr>
      </w:pPr>
      <w:r w:rsidRPr="005402A5">
        <w:rPr>
          <w:rFonts w:asciiTheme="minorHAnsi" w:hAnsiTheme="minorHAnsi"/>
          <w:color w:val="auto"/>
          <w:szCs w:val="22"/>
        </w:rPr>
        <w:t xml:space="preserve">zvýšený prílev turistov na vidiek a rastúci dopyt po sprievodných službách týkajúcich sa agroturistiky a rekreácie </w:t>
      </w:r>
    </w:p>
    <w:p w:rsidR="00D566CE" w:rsidRPr="005402A5" w:rsidRDefault="00D566CE" w:rsidP="005402A5">
      <w:pPr>
        <w:pStyle w:val="tlText2VlastnfarbaRGB31"/>
        <w:widowControl w:val="0"/>
        <w:numPr>
          <w:ilvl w:val="0"/>
          <w:numId w:val="334"/>
        </w:numPr>
        <w:spacing w:line="240" w:lineRule="auto"/>
        <w:rPr>
          <w:rFonts w:asciiTheme="minorHAnsi" w:hAnsiTheme="minorHAnsi"/>
          <w:color w:val="auto"/>
          <w:szCs w:val="22"/>
        </w:rPr>
      </w:pPr>
      <w:r w:rsidRPr="005402A5">
        <w:rPr>
          <w:rFonts w:asciiTheme="minorHAnsi" w:hAnsiTheme="minorHAnsi"/>
          <w:color w:val="auto"/>
          <w:szCs w:val="22"/>
        </w:rPr>
        <w:t>mobilizácia  a zvyšovanie zapojenia vidieckeho obyvateľstva vrátane podnikateľov  do tvorby verejno-súkromných partnerstiev a miestnych rozvojových stratégií, stimulácia rozvoja ľudského kapitálu na vidieku,  podpora vzdelanosti a kvalifikácie vidieckeho obyvateľstva</w:t>
      </w:r>
    </w:p>
    <w:p w:rsidR="00D566CE" w:rsidRPr="005402A5" w:rsidRDefault="00D566CE" w:rsidP="005402A5">
      <w:pPr>
        <w:pStyle w:val="tlText2VlastnfarbaRGB31"/>
        <w:widowControl w:val="0"/>
        <w:numPr>
          <w:ilvl w:val="0"/>
          <w:numId w:val="333"/>
        </w:numPr>
        <w:spacing w:line="240" w:lineRule="auto"/>
        <w:rPr>
          <w:rFonts w:asciiTheme="minorHAnsi" w:hAnsiTheme="minorHAnsi"/>
          <w:color w:val="auto"/>
          <w:szCs w:val="22"/>
        </w:rPr>
      </w:pPr>
      <w:r w:rsidRPr="005402A5">
        <w:rPr>
          <w:rFonts w:asciiTheme="minorHAnsi" w:hAnsiTheme="minorHAnsi"/>
          <w:color w:val="auto"/>
          <w:szCs w:val="22"/>
        </w:rPr>
        <w:t>rozvoj cezhraničnej a nadnárodnej spolupráce, spolupráca medzi miestnymi akčnými skupinami, zvýšený transfer poznatkov a dobrej praxe prostredníctvom takejto spolupráce</w:t>
      </w:r>
    </w:p>
    <w:p w:rsidR="00D566CE" w:rsidRPr="005402A5" w:rsidRDefault="00D566CE" w:rsidP="005402A5">
      <w:pPr>
        <w:pStyle w:val="tlText2VlastnfarbaRGB31"/>
        <w:widowControl w:val="0"/>
        <w:numPr>
          <w:ilvl w:val="0"/>
          <w:numId w:val="333"/>
        </w:numPr>
        <w:spacing w:line="240" w:lineRule="auto"/>
        <w:rPr>
          <w:rFonts w:asciiTheme="minorHAnsi" w:hAnsiTheme="minorHAnsi"/>
          <w:color w:val="auto"/>
          <w:szCs w:val="22"/>
        </w:rPr>
      </w:pPr>
      <w:r w:rsidRPr="005402A5">
        <w:rPr>
          <w:rFonts w:asciiTheme="minorHAnsi" w:hAnsiTheme="minorHAnsi"/>
          <w:color w:val="auto"/>
          <w:szCs w:val="22"/>
        </w:rPr>
        <w:t>NSRV sprostredkováva informácie o programe, podporuje spoluprácu a implementáciu programu</w:t>
      </w:r>
    </w:p>
    <w:p w:rsidR="00D566CE" w:rsidRPr="005402A5" w:rsidRDefault="00D566CE" w:rsidP="005402A5">
      <w:pPr>
        <w:pStyle w:val="tlText2VlastnfarbaRGB31"/>
        <w:widowControl w:val="0"/>
        <w:numPr>
          <w:ilvl w:val="0"/>
          <w:numId w:val="333"/>
        </w:numPr>
        <w:spacing w:line="240" w:lineRule="auto"/>
        <w:rPr>
          <w:rFonts w:asciiTheme="minorHAnsi" w:hAnsiTheme="minorHAnsi"/>
          <w:color w:val="auto"/>
          <w:szCs w:val="22"/>
        </w:rPr>
      </w:pPr>
      <w:r w:rsidRPr="005402A5">
        <w:rPr>
          <w:rFonts w:asciiTheme="minorHAnsi" w:hAnsiTheme="minorHAnsi"/>
          <w:color w:val="auto"/>
          <w:szCs w:val="22"/>
        </w:rPr>
        <w:t>rozvoj elektronických služieb vo vidieckych oblastiach</w:t>
      </w:r>
    </w:p>
    <w:p w:rsidR="00D566CE" w:rsidRPr="005402A5" w:rsidRDefault="00D566CE" w:rsidP="005402A5">
      <w:pPr>
        <w:pStyle w:val="tlText2VlastnfarbaRGB31"/>
        <w:widowControl w:val="0"/>
        <w:spacing w:line="240" w:lineRule="auto"/>
        <w:ind w:left="539"/>
        <w:rPr>
          <w:rFonts w:asciiTheme="minorHAnsi" w:hAnsiTheme="minorHAnsi"/>
          <w:color w:val="auto"/>
          <w:szCs w:val="22"/>
        </w:rPr>
      </w:pPr>
    </w:p>
    <w:p w:rsidR="00D566CE" w:rsidRPr="005402A5" w:rsidRDefault="005402A5" w:rsidP="005402A5">
      <w:pPr>
        <w:keepNext/>
        <w:pBdr>
          <w:bar w:val="single" w:sz="6" w:color="808080"/>
        </w:pBdr>
        <w:spacing w:after="60"/>
        <w:ind w:left="426" w:hanging="426"/>
        <w:outlineLvl w:val="0"/>
      </w:pPr>
      <w:r w:rsidRPr="005402A5">
        <w:rPr>
          <w:rFonts w:ascii="Calibri" w:hAnsi="Calibri"/>
          <w:b/>
          <w:bCs/>
          <w:kern w:val="32"/>
          <w:szCs w:val="22"/>
          <w:u w:val="single"/>
          <w:lang w:eastAsia="en-US"/>
        </w:rPr>
        <w:t>S</w:t>
      </w:r>
      <w:r w:rsidR="00D566CE" w:rsidRPr="005402A5">
        <w:rPr>
          <w:rFonts w:ascii="Calibri" w:hAnsi="Calibri"/>
          <w:b/>
          <w:bCs/>
          <w:kern w:val="32"/>
          <w:szCs w:val="22"/>
          <w:u w:val="single"/>
          <w:lang w:eastAsia="en-US"/>
        </w:rPr>
        <w:t>ektorová časť</w:t>
      </w:r>
    </w:p>
    <w:p w:rsidR="00D566CE" w:rsidRPr="005402A5" w:rsidRDefault="00D566CE" w:rsidP="005402A5">
      <w:pPr>
        <w:pStyle w:val="tlText2VlastnfarbaRGB31"/>
        <w:widowControl w:val="0"/>
        <w:numPr>
          <w:ilvl w:val="0"/>
          <w:numId w:val="333"/>
        </w:numPr>
        <w:spacing w:line="240" w:lineRule="auto"/>
        <w:rPr>
          <w:rFonts w:asciiTheme="minorHAnsi" w:hAnsiTheme="minorHAnsi"/>
          <w:color w:val="auto"/>
          <w:szCs w:val="22"/>
        </w:rPr>
      </w:pPr>
      <w:r w:rsidRPr="005402A5">
        <w:rPr>
          <w:rFonts w:asciiTheme="minorHAnsi" w:hAnsiTheme="minorHAnsi"/>
          <w:color w:val="auto"/>
          <w:szCs w:val="22"/>
        </w:rPr>
        <w:t>lepšie využívanie PPF a produkčného potenciálu pôdy (pôdoznalecký výskum potvrdzuje značnú rezervu pri zvýšení poľnohospodárskej produkcie lepším využitím a starostlivosťou o pôdu)</w:t>
      </w:r>
    </w:p>
    <w:p w:rsidR="00D566CE" w:rsidRPr="005402A5" w:rsidRDefault="00D566CE" w:rsidP="005402A5">
      <w:pPr>
        <w:pStyle w:val="tlText2VlastnfarbaRGB31"/>
        <w:widowControl w:val="0"/>
        <w:numPr>
          <w:ilvl w:val="0"/>
          <w:numId w:val="333"/>
        </w:numPr>
        <w:spacing w:line="240" w:lineRule="auto"/>
        <w:rPr>
          <w:rFonts w:asciiTheme="minorHAnsi" w:hAnsiTheme="minorHAnsi"/>
          <w:color w:val="auto"/>
          <w:szCs w:val="22"/>
        </w:rPr>
      </w:pPr>
      <w:r w:rsidRPr="005402A5">
        <w:rPr>
          <w:rFonts w:asciiTheme="minorHAnsi" w:hAnsiTheme="minorHAnsi"/>
          <w:color w:val="auto"/>
          <w:szCs w:val="22"/>
        </w:rPr>
        <w:t xml:space="preserve">zefektívnenie produkcie vďaka technologickému pokroku, špecializácii, územnému rozmiestneniu výroby a efektívnom využívaní závlah, </w:t>
      </w:r>
    </w:p>
    <w:p w:rsidR="00D566CE" w:rsidRPr="005402A5" w:rsidRDefault="00D566CE" w:rsidP="005402A5">
      <w:pPr>
        <w:pStyle w:val="tlText2VlastnfarbaRGB31"/>
        <w:widowControl w:val="0"/>
        <w:numPr>
          <w:ilvl w:val="0"/>
          <w:numId w:val="333"/>
        </w:numPr>
        <w:spacing w:line="240" w:lineRule="auto"/>
        <w:rPr>
          <w:rFonts w:asciiTheme="minorHAnsi" w:hAnsiTheme="minorHAnsi"/>
          <w:color w:val="auto"/>
          <w:szCs w:val="22"/>
        </w:rPr>
      </w:pPr>
      <w:r w:rsidRPr="005402A5">
        <w:rPr>
          <w:rFonts w:asciiTheme="minorHAnsi" w:hAnsiTheme="minorHAnsi"/>
          <w:color w:val="auto"/>
          <w:szCs w:val="22"/>
        </w:rPr>
        <w:t>rozvojom a modernizáciou lesnej infraštruktúry, zlepšením prístupnosti lesných pozemkov sa dosiahne úspora priamych nákladov na ťažbu a približovanie dreva</w:t>
      </w:r>
    </w:p>
    <w:p w:rsidR="00D566CE" w:rsidRPr="005402A5" w:rsidRDefault="00D566CE" w:rsidP="005402A5">
      <w:pPr>
        <w:pStyle w:val="tlText2VlastnfarbaRGB31"/>
        <w:widowControl w:val="0"/>
        <w:numPr>
          <w:ilvl w:val="0"/>
          <w:numId w:val="333"/>
        </w:numPr>
        <w:spacing w:line="240" w:lineRule="auto"/>
        <w:rPr>
          <w:rFonts w:asciiTheme="minorHAnsi" w:hAnsiTheme="minorHAnsi"/>
          <w:color w:val="auto"/>
          <w:szCs w:val="22"/>
        </w:rPr>
      </w:pPr>
      <w:r w:rsidRPr="005402A5">
        <w:rPr>
          <w:rFonts w:asciiTheme="minorHAnsi" w:hAnsiTheme="minorHAnsi"/>
          <w:color w:val="auto"/>
          <w:szCs w:val="22"/>
        </w:rPr>
        <w:t>podpora konsolidácie poľnohospodárstva formou vertikálnej integrácie, s prepojením prvovýroby na odbytové a spracovateľské organizácie, zvýšenie efektivity využívania výrobných kapacít, technológií a mechanizmov – vyššia efektivita fixného kapitálu</w:t>
      </w:r>
    </w:p>
    <w:p w:rsidR="00D566CE" w:rsidRPr="005402A5" w:rsidRDefault="00D566CE" w:rsidP="005402A5">
      <w:pPr>
        <w:pStyle w:val="tlText2VlastnfarbaRGB31"/>
        <w:widowControl w:val="0"/>
        <w:numPr>
          <w:ilvl w:val="0"/>
          <w:numId w:val="334"/>
        </w:numPr>
        <w:spacing w:line="240" w:lineRule="auto"/>
        <w:rPr>
          <w:rFonts w:asciiTheme="minorHAnsi" w:hAnsiTheme="minorHAnsi"/>
          <w:color w:val="auto"/>
          <w:szCs w:val="22"/>
        </w:rPr>
      </w:pPr>
      <w:r w:rsidRPr="005402A5">
        <w:rPr>
          <w:rFonts w:asciiTheme="minorHAnsi" w:hAnsiTheme="minorHAnsi"/>
          <w:color w:val="auto"/>
          <w:szCs w:val="22"/>
        </w:rPr>
        <w:t>zlepšenie spolupráce producentov cez OOV alebo projekty spolupráce (napr. odstránenie nedostatkov v logistike čo do množstva a časovania dodávok kvalitnej a homogénnej  suroviny, podpora marketingu)</w:t>
      </w:r>
    </w:p>
    <w:p w:rsidR="00D566CE" w:rsidRPr="005402A5" w:rsidRDefault="00D566CE" w:rsidP="005402A5">
      <w:pPr>
        <w:pStyle w:val="tlText2VlastnfarbaRGB31"/>
        <w:widowControl w:val="0"/>
        <w:numPr>
          <w:ilvl w:val="0"/>
          <w:numId w:val="334"/>
        </w:numPr>
        <w:spacing w:line="240" w:lineRule="auto"/>
        <w:rPr>
          <w:rFonts w:asciiTheme="minorHAnsi" w:hAnsiTheme="minorHAnsi"/>
          <w:color w:val="auto"/>
          <w:szCs w:val="22"/>
        </w:rPr>
      </w:pPr>
      <w:r w:rsidRPr="005402A5">
        <w:rPr>
          <w:rFonts w:asciiTheme="minorHAnsi" w:hAnsiTheme="minorHAnsi"/>
          <w:color w:val="auto"/>
          <w:szCs w:val="22"/>
        </w:rPr>
        <w:t>zvýšenie podielu domácej produkcie s vyššou pridanou hodnotou a s vyššou formou</w:t>
      </w:r>
      <w:r w:rsidRPr="005402A5">
        <w:rPr>
          <w:rFonts w:asciiTheme="minorHAnsi" w:hAnsiTheme="minorHAnsi"/>
          <w:color w:val="auto"/>
          <w:szCs w:val="22"/>
        </w:rPr>
        <w:lastRenderedPageBreak/>
        <w:t xml:space="preserve"> spracovania (polotovary, hotové výrobky), ako aj prostredníctvom vyššej kvality výrobkov,  inovatívnych výrobkov, regionálnych a miestnych špecialít, produktov ekologického poľnohospodárstva, produktov z chovov s nadštandardnými podmienkami AW a pod., čo prinesie zvýšenie príjmov a zamestnanosti na vidieku</w:t>
      </w:r>
    </w:p>
    <w:p w:rsidR="00D566CE" w:rsidRPr="005402A5" w:rsidRDefault="00D566CE" w:rsidP="005402A5">
      <w:pPr>
        <w:pStyle w:val="tlText2VlastnfarbaRGB31"/>
        <w:widowControl w:val="0"/>
        <w:numPr>
          <w:ilvl w:val="0"/>
          <w:numId w:val="334"/>
        </w:numPr>
        <w:spacing w:line="240" w:lineRule="auto"/>
        <w:rPr>
          <w:rFonts w:asciiTheme="minorHAnsi" w:hAnsiTheme="minorHAnsi"/>
          <w:color w:val="auto"/>
          <w:szCs w:val="22"/>
        </w:rPr>
      </w:pPr>
      <w:r w:rsidRPr="005402A5">
        <w:rPr>
          <w:rFonts w:asciiTheme="minorHAnsi" w:hAnsiTheme="minorHAnsi"/>
          <w:color w:val="auto"/>
          <w:szCs w:val="22"/>
        </w:rPr>
        <w:t>rozvoj priameho predaja, miestnych a regionálnych farmárskych trhov s väzbou na menších domácich producentov a spracovateľov</w:t>
      </w:r>
    </w:p>
    <w:p w:rsidR="00D566CE" w:rsidRPr="005402A5" w:rsidRDefault="00D566CE" w:rsidP="005402A5">
      <w:pPr>
        <w:pStyle w:val="tlText2VlastnfarbaRGB31"/>
        <w:widowControl w:val="0"/>
        <w:numPr>
          <w:ilvl w:val="0"/>
          <w:numId w:val="334"/>
        </w:numPr>
        <w:spacing w:line="240" w:lineRule="auto"/>
        <w:rPr>
          <w:rFonts w:asciiTheme="minorHAnsi" w:hAnsiTheme="minorHAnsi"/>
          <w:color w:val="auto"/>
          <w:szCs w:val="22"/>
        </w:rPr>
      </w:pPr>
      <w:r w:rsidRPr="005402A5">
        <w:rPr>
          <w:rFonts w:asciiTheme="minorHAnsi" w:hAnsiTheme="minorHAnsi"/>
          <w:color w:val="auto"/>
          <w:szCs w:val="22"/>
        </w:rPr>
        <w:t>vyššia diverzifikácia aktivít poľnohospodárskych a lesníckych subjektov (napr. činnosti  súvisiace so získavaním a spracovaním biomasy, agroturistika, predaj z  dvora, rozvoj rekreačných a relaxačných činností, služby)</w:t>
      </w:r>
    </w:p>
    <w:p w:rsidR="00D566CE" w:rsidRPr="005402A5" w:rsidRDefault="00D566CE" w:rsidP="005402A5">
      <w:pPr>
        <w:pStyle w:val="tlText2VlastnfarbaRGB31"/>
        <w:widowControl w:val="0"/>
        <w:numPr>
          <w:ilvl w:val="0"/>
          <w:numId w:val="334"/>
        </w:numPr>
        <w:spacing w:line="240" w:lineRule="auto"/>
        <w:rPr>
          <w:rFonts w:asciiTheme="minorHAnsi" w:hAnsiTheme="minorHAnsi"/>
          <w:color w:val="auto"/>
          <w:szCs w:val="22"/>
        </w:rPr>
      </w:pPr>
      <w:r w:rsidRPr="005402A5">
        <w:rPr>
          <w:rFonts w:asciiTheme="minorHAnsi" w:hAnsiTheme="minorHAnsi"/>
          <w:color w:val="auto"/>
          <w:szCs w:val="22"/>
        </w:rPr>
        <w:t>znižovanie strát v poľnohospodárstve použitím nástrojov manažmentu rizika (vytváranie vzájomných fondov)</w:t>
      </w:r>
    </w:p>
    <w:p w:rsidR="00D566CE" w:rsidRPr="005402A5" w:rsidRDefault="00D566CE" w:rsidP="005402A5">
      <w:pPr>
        <w:pStyle w:val="tlText2VlastnfarbaRGB31"/>
        <w:widowControl w:val="0"/>
        <w:numPr>
          <w:ilvl w:val="0"/>
          <w:numId w:val="334"/>
        </w:numPr>
        <w:spacing w:line="240" w:lineRule="auto"/>
        <w:rPr>
          <w:rFonts w:asciiTheme="minorHAnsi" w:hAnsiTheme="minorHAnsi"/>
          <w:color w:val="auto"/>
          <w:szCs w:val="22"/>
        </w:rPr>
      </w:pPr>
      <w:r w:rsidRPr="005402A5">
        <w:rPr>
          <w:rFonts w:asciiTheme="minorHAnsi" w:hAnsiTheme="minorHAnsi"/>
          <w:color w:val="auto"/>
          <w:szCs w:val="22"/>
        </w:rPr>
        <w:t>rozvoj trhu s pôdou, dostupnosť pôdy mladým farmárom</w:t>
      </w:r>
    </w:p>
    <w:p w:rsidR="00D566CE" w:rsidRPr="005402A5" w:rsidRDefault="00D566CE" w:rsidP="005402A5">
      <w:pPr>
        <w:pStyle w:val="tlText2VlastnfarbaRGB31"/>
        <w:widowControl w:val="0"/>
        <w:spacing w:line="240" w:lineRule="auto"/>
        <w:ind w:left="539"/>
        <w:rPr>
          <w:rFonts w:asciiTheme="minorHAnsi" w:hAnsiTheme="minorHAnsi"/>
          <w:color w:val="auto"/>
          <w:szCs w:val="22"/>
        </w:rPr>
      </w:pPr>
    </w:p>
    <w:p w:rsidR="00D566CE" w:rsidRPr="005402A5" w:rsidRDefault="00D566CE" w:rsidP="005402A5">
      <w:pPr>
        <w:keepNext/>
        <w:pBdr>
          <w:bar w:val="single" w:sz="6" w:color="808080"/>
        </w:pBdr>
        <w:spacing w:after="60"/>
        <w:ind w:left="426" w:hanging="426"/>
        <w:outlineLvl w:val="0"/>
        <w:rPr>
          <w:rFonts w:ascii="Calibri" w:hAnsi="Calibri"/>
          <w:b/>
          <w:bCs/>
          <w:kern w:val="32"/>
          <w:szCs w:val="22"/>
          <w:u w:val="single"/>
          <w:lang w:eastAsia="en-US"/>
        </w:rPr>
      </w:pPr>
      <w:r w:rsidRPr="005402A5">
        <w:rPr>
          <w:rFonts w:ascii="Calibri" w:hAnsi="Calibri"/>
          <w:b/>
          <w:bCs/>
          <w:kern w:val="32"/>
          <w:szCs w:val="22"/>
          <w:u w:val="single"/>
          <w:lang w:eastAsia="en-US"/>
        </w:rPr>
        <w:t>Životné prostredie a klíma</w:t>
      </w:r>
    </w:p>
    <w:p w:rsidR="00D566CE" w:rsidRPr="005402A5" w:rsidRDefault="00D566CE" w:rsidP="005402A5">
      <w:pPr>
        <w:pStyle w:val="tlText2VlastnfarbaRGB31"/>
        <w:widowControl w:val="0"/>
        <w:numPr>
          <w:ilvl w:val="0"/>
          <w:numId w:val="335"/>
        </w:numPr>
        <w:spacing w:line="240" w:lineRule="auto"/>
        <w:rPr>
          <w:rFonts w:asciiTheme="minorHAnsi" w:hAnsiTheme="minorHAnsi"/>
          <w:color w:val="auto"/>
          <w:szCs w:val="22"/>
        </w:rPr>
      </w:pPr>
      <w:r w:rsidRPr="005402A5">
        <w:rPr>
          <w:rFonts w:asciiTheme="minorHAnsi" w:hAnsiTheme="minorHAnsi"/>
          <w:color w:val="auto"/>
          <w:szCs w:val="22"/>
        </w:rPr>
        <w:t>účinnejšia podpora a ochrana biodiverzity (osobitne prostredníctvom vymedzenia území a systémov HNV, ich pravidelný monitoring a hodnotenie stavu, podpora zachovania a ochrany  krajinných prvkov (Ecological Focus Areas) v poľnohospodárskej krajine - prepojenie na I. pilier SPP)</w:t>
      </w:r>
    </w:p>
    <w:p w:rsidR="00D566CE" w:rsidRPr="005402A5" w:rsidRDefault="00D566CE" w:rsidP="005402A5">
      <w:pPr>
        <w:pStyle w:val="tlText2VlastnfarbaRGB31"/>
        <w:widowControl w:val="0"/>
        <w:numPr>
          <w:ilvl w:val="0"/>
          <w:numId w:val="335"/>
        </w:numPr>
        <w:spacing w:line="240" w:lineRule="auto"/>
        <w:rPr>
          <w:rFonts w:asciiTheme="minorHAnsi" w:hAnsiTheme="minorHAnsi"/>
          <w:color w:val="auto"/>
          <w:szCs w:val="22"/>
        </w:rPr>
      </w:pPr>
      <w:r w:rsidRPr="005402A5">
        <w:rPr>
          <w:rFonts w:asciiTheme="minorHAnsi" w:hAnsiTheme="minorHAnsi"/>
          <w:color w:val="auto"/>
          <w:szCs w:val="22"/>
        </w:rPr>
        <w:t>lepšia ochrana vodných zdrojov pred znečisťovaním z poľnohospodárstva, zvýšenie zadržiavania vody v krajine a ochrana pred lokálnymi záplavami, zvýšenie účinnosti využitia vody v poľnohospodárstve (modernizácia závlah, úsporné závlahové technológie, budovanie záchytných nádrží na dažďovú vodu, funkčné melioračné kanály)</w:t>
      </w:r>
    </w:p>
    <w:p w:rsidR="00D566CE" w:rsidRPr="005402A5" w:rsidRDefault="00D566CE" w:rsidP="005402A5">
      <w:pPr>
        <w:pStyle w:val="tlText2VlastnfarbaRGB31"/>
        <w:widowControl w:val="0"/>
        <w:numPr>
          <w:ilvl w:val="0"/>
          <w:numId w:val="335"/>
        </w:numPr>
        <w:spacing w:line="240" w:lineRule="auto"/>
        <w:rPr>
          <w:rFonts w:asciiTheme="minorHAnsi" w:hAnsiTheme="minorHAnsi"/>
          <w:color w:val="auto"/>
          <w:szCs w:val="22"/>
        </w:rPr>
      </w:pPr>
      <w:r w:rsidRPr="005402A5">
        <w:rPr>
          <w:rFonts w:asciiTheme="minorHAnsi" w:hAnsiTheme="minorHAnsi"/>
          <w:color w:val="auto"/>
          <w:szCs w:val="22"/>
        </w:rPr>
        <w:t>lepšia vzájomná koordinácia a komunikácia medzi ministerstvami a štátnymi orgánmi zainteresovanými v pôdnom hospodárstve a ochrane prírody</w:t>
      </w:r>
    </w:p>
    <w:p w:rsidR="00D566CE" w:rsidRPr="005402A5" w:rsidRDefault="00D566CE" w:rsidP="005402A5">
      <w:pPr>
        <w:pStyle w:val="tlText2VlastnfarbaRGB31"/>
        <w:widowControl w:val="0"/>
        <w:numPr>
          <w:ilvl w:val="0"/>
          <w:numId w:val="335"/>
        </w:numPr>
        <w:spacing w:line="240" w:lineRule="auto"/>
        <w:rPr>
          <w:rFonts w:asciiTheme="minorHAnsi" w:hAnsiTheme="minorHAnsi"/>
          <w:color w:val="auto"/>
          <w:szCs w:val="22"/>
        </w:rPr>
      </w:pPr>
      <w:r w:rsidRPr="005402A5">
        <w:rPr>
          <w:rFonts w:asciiTheme="minorHAnsi" w:hAnsiTheme="minorHAnsi"/>
          <w:color w:val="auto"/>
          <w:szCs w:val="22"/>
        </w:rPr>
        <w:t>účinnejšia ochrana pôd pred degradáciou (protierózne opatrenia, zníženie zhutnenia pôd, ochrana pred zakyslením, zvýšenie organickej hmoty v pôde, obmedzenie rozširovania inváznych druhov rastlín, ochrana pôd pred zamokrením a pod.)</w:t>
      </w:r>
    </w:p>
    <w:p w:rsidR="00D566CE" w:rsidRPr="005402A5" w:rsidRDefault="00D566CE" w:rsidP="005402A5">
      <w:pPr>
        <w:pStyle w:val="tlText2VlastnfarbaRGB31"/>
        <w:widowControl w:val="0"/>
        <w:numPr>
          <w:ilvl w:val="0"/>
          <w:numId w:val="335"/>
        </w:numPr>
        <w:spacing w:line="240" w:lineRule="auto"/>
        <w:rPr>
          <w:rFonts w:asciiTheme="minorHAnsi" w:hAnsiTheme="minorHAnsi"/>
          <w:color w:val="auto"/>
          <w:szCs w:val="22"/>
        </w:rPr>
      </w:pPr>
      <w:r w:rsidRPr="005402A5">
        <w:rPr>
          <w:rFonts w:asciiTheme="minorHAnsi" w:hAnsiTheme="minorHAnsi"/>
          <w:color w:val="auto"/>
          <w:szCs w:val="22"/>
        </w:rPr>
        <w:t xml:space="preserve">zdokonalenie systémov prevencie a zníženie negatívnych dopadov prírodných katastrof </w:t>
      </w:r>
    </w:p>
    <w:p w:rsidR="00D566CE" w:rsidRPr="005402A5" w:rsidRDefault="00D566CE" w:rsidP="005402A5">
      <w:pPr>
        <w:pStyle w:val="tlText2VlastnfarbaRGB31"/>
        <w:widowControl w:val="0"/>
        <w:numPr>
          <w:ilvl w:val="0"/>
          <w:numId w:val="335"/>
        </w:numPr>
        <w:spacing w:line="240" w:lineRule="auto"/>
        <w:rPr>
          <w:rFonts w:asciiTheme="minorHAnsi" w:hAnsiTheme="minorHAnsi"/>
          <w:color w:val="auto"/>
          <w:szCs w:val="22"/>
        </w:rPr>
      </w:pPr>
      <w:r w:rsidRPr="005402A5">
        <w:rPr>
          <w:rFonts w:asciiTheme="minorHAnsi" w:hAnsiTheme="minorHAnsi"/>
          <w:color w:val="auto"/>
          <w:szCs w:val="22"/>
        </w:rPr>
        <w:t>zníženie emisií oxidu dusného a metánu z poľnohospodárstva na jednotku produkcie</w:t>
      </w:r>
    </w:p>
    <w:p w:rsidR="00D566CE" w:rsidRPr="005402A5" w:rsidRDefault="00D566CE" w:rsidP="005402A5">
      <w:pPr>
        <w:pStyle w:val="tlText2VlastnfarbaRGB31"/>
        <w:widowControl w:val="0"/>
        <w:numPr>
          <w:ilvl w:val="0"/>
          <w:numId w:val="336"/>
        </w:numPr>
        <w:spacing w:line="240" w:lineRule="auto"/>
        <w:rPr>
          <w:rFonts w:asciiTheme="minorHAnsi" w:hAnsiTheme="minorHAnsi"/>
          <w:color w:val="auto"/>
          <w:szCs w:val="22"/>
        </w:rPr>
      </w:pPr>
      <w:r w:rsidRPr="005402A5">
        <w:rPr>
          <w:rFonts w:asciiTheme="minorHAnsi" w:hAnsiTheme="minorHAnsi"/>
          <w:color w:val="auto"/>
          <w:szCs w:val="22"/>
        </w:rPr>
        <w:t>nárast produkcie biomasy a ostatných OZE z poľnohospodárstva a lesníctva a ich využitie na výrobu energie a tepla, vyššia miera využívania odpadov pre produkciu energie (z rastlinnej a živočíšnej výroby, potravinárskeho priemyslu, domácností a iných, ktoré nekonkurujú potravinám a krmovinám),  pokračovanie výstavby bioplynových staníc a ďalších zariadení na spracovanie biomasy</w:t>
      </w:r>
    </w:p>
    <w:p w:rsidR="00D566CE" w:rsidRPr="005402A5" w:rsidRDefault="00D566CE" w:rsidP="005402A5">
      <w:pPr>
        <w:pStyle w:val="tlText2VlastnfarbaRGB31"/>
        <w:widowControl w:val="0"/>
        <w:numPr>
          <w:ilvl w:val="0"/>
          <w:numId w:val="336"/>
        </w:numPr>
        <w:spacing w:line="240" w:lineRule="auto"/>
        <w:rPr>
          <w:rFonts w:asciiTheme="minorHAnsi" w:hAnsiTheme="minorHAnsi"/>
          <w:color w:val="auto"/>
          <w:szCs w:val="22"/>
        </w:rPr>
      </w:pPr>
      <w:r w:rsidRPr="005402A5">
        <w:rPr>
          <w:rFonts w:asciiTheme="minorHAnsi" w:hAnsiTheme="minorHAnsi"/>
          <w:color w:val="auto"/>
          <w:szCs w:val="22"/>
        </w:rPr>
        <w:t>podpora sekvestrácie oxidu uhličitého v poľnohospodárstve a lesnom hospodárstve (starostlivosť o zdravotný stav lesov, systematická obnova poškodených lesov,   podpora biotopov TTP a i.)</w:t>
      </w:r>
    </w:p>
    <w:p w:rsidR="005402A5" w:rsidRDefault="005402A5" w:rsidP="00366F96">
      <w:pPr>
        <w:pStyle w:val="tlText2VlastnfarbaRGB31"/>
        <w:widowControl w:val="0"/>
        <w:ind w:left="539"/>
        <w:rPr>
          <w:rFonts w:asciiTheme="minorHAnsi" w:hAnsiTheme="minorHAnsi"/>
          <w:color w:val="auto"/>
          <w:szCs w:val="22"/>
        </w:rPr>
      </w:pPr>
      <w:r>
        <w:rPr>
          <w:rFonts w:asciiTheme="minorHAnsi" w:hAnsiTheme="minorHAnsi"/>
          <w:color w:val="auto"/>
          <w:szCs w:val="22"/>
        </w:rPr>
        <w:br w:type="page"/>
      </w:r>
    </w:p>
    <w:p w:rsidR="00A71A12" w:rsidRPr="004733E9" w:rsidRDefault="00A71A12" w:rsidP="00A71A12">
      <w:pPr>
        <w:pStyle w:val="Text2"/>
        <w:widowControl w:val="0"/>
        <w:pBdr>
          <w:top w:val="single" w:sz="4" w:space="1" w:color="auto"/>
          <w:left w:val="single" w:sz="4" w:space="4" w:color="auto"/>
          <w:bottom w:val="single" w:sz="4" w:space="1" w:color="auto"/>
          <w:right w:val="single" w:sz="4" w:space="4" w:color="auto"/>
        </w:pBdr>
        <w:shd w:val="clear" w:color="auto" w:fill="E5B8B7"/>
        <w:jc w:val="center"/>
        <w:rPr>
          <w:rFonts w:asciiTheme="minorHAnsi" w:hAnsiTheme="minorHAnsi"/>
          <w:b/>
          <w:szCs w:val="22"/>
          <w:lang w:val="sk-SK"/>
        </w:rPr>
      </w:pPr>
      <w:r>
        <w:rPr>
          <w:rFonts w:asciiTheme="minorHAnsi" w:hAnsiTheme="minorHAnsi"/>
          <w:b/>
          <w:szCs w:val="22"/>
          <w:lang w:val="sk-SK"/>
        </w:rPr>
        <w:t xml:space="preserve">4.2.4 </w:t>
      </w:r>
      <w:r w:rsidRPr="004733E9">
        <w:rPr>
          <w:rFonts w:asciiTheme="minorHAnsi" w:hAnsiTheme="minorHAnsi"/>
          <w:b/>
          <w:szCs w:val="22"/>
          <w:lang w:val="sk-SK"/>
        </w:rPr>
        <w:t>Threats / Ohrozenia</w:t>
      </w:r>
    </w:p>
    <w:p w:rsidR="005402A5" w:rsidRDefault="005402A5" w:rsidP="005402A5">
      <w:pPr>
        <w:keepNext/>
        <w:pBdr>
          <w:bar w:val="single" w:sz="6" w:color="808080"/>
        </w:pBdr>
        <w:spacing w:after="60"/>
        <w:ind w:left="426" w:hanging="426"/>
        <w:outlineLvl w:val="0"/>
        <w:rPr>
          <w:rFonts w:ascii="Calibri" w:hAnsi="Calibri"/>
          <w:b/>
          <w:bCs/>
          <w:kern w:val="32"/>
          <w:szCs w:val="22"/>
          <w:u w:val="single"/>
          <w:lang w:eastAsia="en-US"/>
        </w:rPr>
      </w:pPr>
    </w:p>
    <w:p w:rsidR="00D566CE" w:rsidRPr="00E43137" w:rsidRDefault="00D566CE" w:rsidP="005402A5">
      <w:pPr>
        <w:keepNext/>
        <w:pBdr>
          <w:bar w:val="single" w:sz="6" w:color="808080"/>
        </w:pBdr>
        <w:spacing w:after="60"/>
        <w:ind w:left="426" w:hanging="426"/>
        <w:outlineLvl w:val="0"/>
        <w:rPr>
          <w:rFonts w:ascii="Calibri" w:hAnsi="Calibri"/>
          <w:b/>
          <w:bCs/>
          <w:kern w:val="32"/>
          <w:szCs w:val="22"/>
          <w:u w:val="single"/>
          <w:lang w:eastAsia="en-US"/>
        </w:rPr>
      </w:pPr>
      <w:r w:rsidRPr="00E43137">
        <w:rPr>
          <w:rFonts w:ascii="Calibri" w:hAnsi="Calibri"/>
          <w:b/>
          <w:bCs/>
          <w:kern w:val="32"/>
          <w:szCs w:val="22"/>
          <w:u w:val="single"/>
          <w:lang w:eastAsia="en-US"/>
        </w:rPr>
        <w:t xml:space="preserve">Sociálno-ekonomická situácia </w:t>
      </w:r>
      <w:r>
        <w:rPr>
          <w:rFonts w:ascii="Calibri" w:hAnsi="Calibri"/>
          <w:b/>
          <w:bCs/>
          <w:kern w:val="32"/>
          <w:szCs w:val="22"/>
          <w:u w:val="single"/>
          <w:lang w:eastAsia="en-US"/>
        </w:rPr>
        <w:t xml:space="preserve">vo vidieckych oblastiach </w:t>
      </w:r>
    </w:p>
    <w:p w:rsidR="00D566CE" w:rsidRPr="004733E9" w:rsidRDefault="00D566CE" w:rsidP="005402A5">
      <w:pPr>
        <w:pStyle w:val="tlText2VlastnfarbaRGB31"/>
        <w:widowControl w:val="0"/>
        <w:numPr>
          <w:ilvl w:val="0"/>
          <w:numId w:val="337"/>
        </w:numPr>
        <w:spacing w:line="240" w:lineRule="auto"/>
        <w:rPr>
          <w:rFonts w:asciiTheme="minorHAnsi" w:hAnsiTheme="minorHAnsi"/>
          <w:color w:val="auto"/>
          <w:szCs w:val="22"/>
        </w:rPr>
      </w:pPr>
      <w:r w:rsidRPr="004733E9">
        <w:rPr>
          <w:rFonts w:asciiTheme="minorHAnsi" w:hAnsiTheme="minorHAnsi"/>
          <w:color w:val="auto"/>
          <w:szCs w:val="22"/>
        </w:rPr>
        <w:t xml:space="preserve">stagnujúci počet obyvateľov a podnikateľov na vidieku, prevaha starnúceho obyvateľstva, nezamestnaných a iných znevýhodnených skupín na vidieku a ich nízka kúpna sila </w:t>
      </w:r>
    </w:p>
    <w:p w:rsidR="00D566CE" w:rsidRPr="004733E9" w:rsidRDefault="00D566CE" w:rsidP="005402A5">
      <w:pPr>
        <w:pStyle w:val="tlText2VlastnfarbaRGB31"/>
        <w:widowControl w:val="0"/>
        <w:numPr>
          <w:ilvl w:val="0"/>
          <w:numId w:val="337"/>
        </w:numPr>
        <w:spacing w:line="240" w:lineRule="auto"/>
        <w:rPr>
          <w:rFonts w:asciiTheme="minorHAnsi" w:hAnsiTheme="minorHAnsi"/>
          <w:color w:val="auto"/>
          <w:szCs w:val="22"/>
        </w:rPr>
      </w:pPr>
      <w:r w:rsidRPr="004733E9">
        <w:rPr>
          <w:rFonts w:asciiTheme="minorHAnsi" w:hAnsiTheme="minorHAnsi"/>
          <w:color w:val="auto"/>
          <w:szCs w:val="22"/>
        </w:rPr>
        <w:t>vyľudňovanie a marginalizácia vidieckych oblastí, pokračovanie odchodu mladých ľudí do väčších miest, resp. zahraničia, kde mnohí pracujú ako nekvalifikovaní pracovníci v odvetviach pôdohospodárstva, nedostatočný záujem mladých o prácu v pôdohospodárstve, rezortnom výskume a poradenstve,</w:t>
      </w:r>
    </w:p>
    <w:p w:rsidR="00D566CE" w:rsidRPr="004733E9" w:rsidRDefault="00D566CE" w:rsidP="005402A5">
      <w:pPr>
        <w:pStyle w:val="tlText2VlastnfarbaRGB31"/>
        <w:widowControl w:val="0"/>
        <w:numPr>
          <w:ilvl w:val="0"/>
          <w:numId w:val="337"/>
        </w:numPr>
        <w:spacing w:line="240" w:lineRule="auto"/>
        <w:rPr>
          <w:rFonts w:asciiTheme="minorHAnsi" w:hAnsiTheme="minorHAnsi"/>
          <w:color w:val="auto"/>
          <w:szCs w:val="22"/>
        </w:rPr>
      </w:pPr>
      <w:r w:rsidRPr="004733E9">
        <w:rPr>
          <w:rFonts w:asciiTheme="minorHAnsi" w:hAnsiTheme="minorHAnsi"/>
          <w:color w:val="auto"/>
          <w:szCs w:val="22"/>
        </w:rPr>
        <w:t xml:space="preserve">pokračujúca stagnácia a útlm ekonomiky na vidieku, pokles reálnych príjmov obyvateľstva, sociálna izolovanosť odľahlých a malých vidieckych sídiel </w:t>
      </w:r>
    </w:p>
    <w:p w:rsidR="00D566CE" w:rsidRPr="004733E9" w:rsidRDefault="00D566CE" w:rsidP="005402A5">
      <w:pPr>
        <w:pStyle w:val="tlText2VlastnfarbaRGB31"/>
        <w:widowControl w:val="0"/>
        <w:numPr>
          <w:ilvl w:val="0"/>
          <w:numId w:val="337"/>
        </w:numPr>
        <w:spacing w:line="240" w:lineRule="auto"/>
        <w:rPr>
          <w:rFonts w:asciiTheme="minorHAnsi" w:hAnsiTheme="minorHAnsi"/>
          <w:color w:val="auto"/>
          <w:szCs w:val="22"/>
        </w:rPr>
      </w:pPr>
      <w:r w:rsidRPr="004733E9">
        <w:rPr>
          <w:rFonts w:asciiTheme="minorHAnsi" w:hAnsiTheme="minorHAnsi"/>
          <w:color w:val="auto"/>
          <w:szCs w:val="22"/>
        </w:rPr>
        <w:t>nepriaznivý vplyv ekonomickej stagnácie na zamestnanosť na vidieku, osobitne u mladých ľudí a nízko kvalifikovaných pracovníkov, strata pracovných miest z dôvodu reštrukturalizácie a nízkej produktivity poľnohospodárstva a lesníctva</w:t>
      </w:r>
    </w:p>
    <w:p w:rsidR="00D566CE" w:rsidRPr="004733E9" w:rsidRDefault="00D566CE" w:rsidP="005402A5">
      <w:pPr>
        <w:pStyle w:val="tlText2VlastnfarbaRGB31"/>
        <w:widowControl w:val="0"/>
        <w:numPr>
          <w:ilvl w:val="0"/>
          <w:numId w:val="337"/>
        </w:numPr>
        <w:spacing w:line="240" w:lineRule="auto"/>
        <w:rPr>
          <w:rFonts w:asciiTheme="minorHAnsi" w:hAnsiTheme="minorHAnsi"/>
          <w:color w:val="auto"/>
          <w:szCs w:val="22"/>
        </w:rPr>
      </w:pPr>
      <w:r w:rsidRPr="004733E9">
        <w:rPr>
          <w:rFonts w:asciiTheme="minorHAnsi" w:hAnsiTheme="minorHAnsi"/>
          <w:color w:val="auto"/>
          <w:szCs w:val="22"/>
        </w:rPr>
        <w:t>pokračujúce nevhodné ohodnotenie pôdohospodárskeho výskumu odtrhnutého od praxe, preceňovanie objemu publikovaných výsledkov pred reálnym transferom výsledkov do praxe</w:t>
      </w:r>
    </w:p>
    <w:p w:rsidR="00D566CE" w:rsidRPr="004733E9" w:rsidRDefault="00D566CE" w:rsidP="005402A5">
      <w:pPr>
        <w:pStyle w:val="tlText2VlastnfarbaRGB31"/>
        <w:widowControl w:val="0"/>
        <w:numPr>
          <w:ilvl w:val="0"/>
          <w:numId w:val="337"/>
        </w:numPr>
        <w:spacing w:line="240" w:lineRule="auto"/>
        <w:rPr>
          <w:rFonts w:asciiTheme="minorHAnsi" w:hAnsiTheme="minorHAnsi"/>
          <w:color w:val="auto"/>
          <w:szCs w:val="22"/>
        </w:rPr>
      </w:pPr>
      <w:r w:rsidRPr="004733E9">
        <w:rPr>
          <w:rFonts w:asciiTheme="minorHAnsi" w:hAnsiTheme="minorHAnsi"/>
          <w:color w:val="auto"/>
          <w:szCs w:val="22"/>
        </w:rPr>
        <w:t xml:space="preserve">zaostávanie v dostupnosti širokopásmového pripojenia vo vidieckych oblastiach a negatívny vplyv na rozširovanie nových informácií a služieb </w:t>
      </w:r>
    </w:p>
    <w:p w:rsidR="00D566CE" w:rsidRPr="004733E9" w:rsidRDefault="00D566CE" w:rsidP="005402A5">
      <w:pPr>
        <w:pStyle w:val="tlText2VlastnfarbaRGB31"/>
        <w:widowControl w:val="0"/>
        <w:numPr>
          <w:ilvl w:val="0"/>
          <w:numId w:val="337"/>
        </w:numPr>
        <w:spacing w:line="240" w:lineRule="auto"/>
        <w:rPr>
          <w:rFonts w:asciiTheme="minorHAnsi" w:hAnsiTheme="minorHAnsi"/>
          <w:color w:val="auto"/>
          <w:szCs w:val="22"/>
        </w:rPr>
      </w:pPr>
      <w:r w:rsidRPr="004733E9">
        <w:rPr>
          <w:rFonts w:asciiTheme="minorHAnsi" w:hAnsiTheme="minorHAnsi"/>
          <w:color w:val="auto"/>
          <w:szCs w:val="22"/>
        </w:rPr>
        <w:t xml:space="preserve">obmedzené  finančné prostriedky VÚC/samosprávy na obnovu resp. dobudovanie dopravnej infraštruktúry na vidieku </w:t>
      </w:r>
    </w:p>
    <w:p w:rsidR="00D566CE" w:rsidRDefault="00D566CE" w:rsidP="005402A5">
      <w:pPr>
        <w:pStyle w:val="tlText2VlastnfarbaRGB31"/>
        <w:widowControl w:val="0"/>
        <w:spacing w:line="240" w:lineRule="auto"/>
        <w:ind w:left="539"/>
        <w:rPr>
          <w:rFonts w:asciiTheme="minorHAnsi" w:hAnsiTheme="minorHAnsi"/>
          <w:color w:val="auto"/>
          <w:szCs w:val="22"/>
        </w:rPr>
      </w:pPr>
    </w:p>
    <w:p w:rsidR="00D566CE" w:rsidRPr="00975965" w:rsidRDefault="005402A5" w:rsidP="005402A5">
      <w:pPr>
        <w:keepNext/>
        <w:pBdr>
          <w:bar w:val="single" w:sz="6" w:color="808080"/>
        </w:pBdr>
        <w:spacing w:after="60"/>
        <w:ind w:left="426" w:hanging="426"/>
        <w:outlineLvl w:val="0"/>
      </w:pPr>
      <w:r>
        <w:rPr>
          <w:rFonts w:ascii="Calibri" w:hAnsi="Calibri"/>
          <w:b/>
          <w:bCs/>
          <w:kern w:val="32"/>
          <w:szCs w:val="22"/>
          <w:u w:val="single"/>
          <w:lang w:eastAsia="en-US"/>
        </w:rPr>
        <w:t>S</w:t>
      </w:r>
      <w:r w:rsidR="00D566CE" w:rsidRPr="00975965">
        <w:rPr>
          <w:rFonts w:ascii="Calibri" w:hAnsi="Calibri"/>
          <w:b/>
          <w:bCs/>
          <w:kern w:val="32"/>
          <w:szCs w:val="22"/>
          <w:u w:val="single"/>
          <w:lang w:eastAsia="en-US"/>
        </w:rPr>
        <w:t>ektorová časť</w:t>
      </w:r>
    </w:p>
    <w:p w:rsidR="00D566CE" w:rsidRPr="004733E9" w:rsidRDefault="00D566CE" w:rsidP="005402A5">
      <w:pPr>
        <w:pStyle w:val="tlText2VlastnfarbaRGB31"/>
        <w:widowControl w:val="0"/>
        <w:numPr>
          <w:ilvl w:val="0"/>
          <w:numId w:val="337"/>
        </w:numPr>
        <w:spacing w:line="240" w:lineRule="auto"/>
        <w:rPr>
          <w:rFonts w:asciiTheme="minorHAnsi" w:hAnsiTheme="minorHAnsi"/>
          <w:color w:val="auto"/>
          <w:szCs w:val="22"/>
        </w:rPr>
      </w:pPr>
      <w:r w:rsidRPr="004733E9">
        <w:rPr>
          <w:rFonts w:asciiTheme="minorHAnsi" w:hAnsiTheme="minorHAnsi"/>
          <w:color w:val="auto"/>
          <w:szCs w:val="22"/>
        </w:rPr>
        <w:t>nevyužitie identifikovaných príležitostí a neefektívna implementácia niektorých opatrení PRV</w:t>
      </w:r>
    </w:p>
    <w:p w:rsidR="00D566CE" w:rsidRPr="004733E9" w:rsidRDefault="00D566CE" w:rsidP="005402A5">
      <w:pPr>
        <w:pStyle w:val="tlText2VlastnfarbaRGB31"/>
        <w:widowControl w:val="0"/>
        <w:numPr>
          <w:ilvl w:val="0"/>
          <w:numId w:val="337"/>
        </w:numPr>
        <w:spacing w:line="240" w:lineRule="auto"/>
        <w:rPr>
          <w:rFonts w:asciiTheme="minorHAnsi" w:hAnsiTheme="minorHAnsi"/>
          <w:color w:val="auto"/>
          <w:szCs w:val="22"/>
        </w:rPr>
      </w:pPr>
      <w:r w:rsidRPr="004733E9">
        <w:rPr>
          <w:rFonts w:asciiTheme="minorHAnsi" w:hAnsiTheme="minorHAnsi"/>
          <w:color w:val="auto"/>
          <w:szCs w:val="22"/>
        </w:rPr>
        <w:t xml:space="preserve">systém podpôr nezávislých od produkcie nedostatočne stimuluje prvovýrobcov hľadať nové spôsoby intenzifikácie a efektívnosti výroby (pôdu obhospodarujú prioritne za účelom poberania dotácií), pokračovanie redukcie domácej živočíšnej výroby </w:t>
      </w:r>
    </w:p>
    <w:p w:rsidR="00D566CE" w:rsidRPr="004733E9" w:rsidRDefault="00D566CE" w:rsidP="005402A5">
      <w:pPr>
        <w:pStyle w:val="tlText2VlastnfarbaRGB31"/>
        <w:widowControl w:val="0"/>
        <w:numPr>
          <w:ilvl w:val="0"/>
          <w:numId w:val="337"/>
        </w:numPr>
        <w:spacing w:line="240" w:lineRule="auto"/>
        <w:rPr>
          <w:rFonts w:asciiTheme="minorHAnsi" w:hAnsiTheme="minorHAnsi"/>
          <w:color w:val="auto"/>
          <w:szCs w:val="22"/>
        </w:rPr>
      </w:pPr>
      <w:r w:rsidRPr="004733E9">
        <w:rPr>
          <w:rFonts w:asciiTheme="minorHAnsi" w:hAnsiTheme="minorHAnsi"/>
          <w:color w:val="auto"/>
          <w:szCs w:val="22"/>
        </w:rPr>
        <w:t>záujmy obchodných reťazcov a tlak na predajnú cenu výrobcov spôsobujú pokles rentability a ohrozujú samofinancovanie modernizácie podnikov</w:t>
      </w:r>
    </w:p>
    <w:p w:rsidR="00D566CE" w:rsidRDefault="00D566CE" w:rsidP="005402A5">
      <w:pPr>
        <w:pStyle w:val="tlText2VlastnfarbaRGB31"/>
        <w:widowControl w:val="0"/>
        <w:numPr>
          <w:ilvl w:val="0"/>
          <w:numId w:val="338"/>
        </w:numPr>
        <w:spacing w:line="240" w:lineRule="auto"/>
        <w:rPr>
          <w:rFonts w:asciiTheme="minorHAnsi" w:hAnsiTheme="minorHAnsi"/>
          <w:color w:val="auto"/>
          <w:szCs w:val="22"/>
        </w:rPr>
      </w:pPr>
      <w:r w:rsidRPr="004733E9">
        <w:rPr>
          <w:rFonts w:asciiTheme="minorHAnsi" w:hAnsiTheme="minorHAnsi"/>
          <w:color w:val="auto"/>
          <w:szCs w:val="22"/>
        </w:rPr>
        <w:t>pokles produkcie v dôsledku nízkej úrovne využitia výrobných faktorov (pôda, technológie, kvalifikovaná a manuálna práca), pokles pridanej hodnoty, bez inovácií a investícií do vybavenia a pracovnej sily sa môže životaschopnosť podnikov zhoršovať</w:t>
      </w:r>
    </w:p>
    <w:p w:rsidR="00D566CE" w:rsidRPr="004733E9" w:rsidRDefault="00D566CE" w:rsidP="005402A5">
      <w:pPr>
        <w:pStyle w:val="tlText2VlastnfarbaRGB31"/>
        <w:widowControl w:val="0"/>
        <w:numPr>
          <w:ilvl w:val="0"/>
          <w:numId w:val="338"/>
        </w:numPr>
        <w:spacing w:line="240" w:lineRule="auto"/>
        <w:rPr>
          <w:rFonts w:asciiTheme="minorHAnsi" w:hAnsiTheme="minorHAnsi"/>
          <w:color w:val="auto"/>
          <w:szCs w:val="22"/>
        </w:rPr>
      </w:pPr>
      <w:r w:rsidRPr="004733E9">
        <w:rPr>
          <w:rFonts w:asciiTheme="minorHAnsi" w:hAnsiTheme="minorHAnsi"/>
          <w:color w:val="auto"/>
          <w:szCs w:val="22"/>
        </w:rPr>
        <w:t>nedostatočná infraštruktúra na zavlažovanie, spoplatnenie spotreby vody na zavlažovanie, zníženie úrod a nedostatok krmovín/pastvy a pre ŽV, nútená zmena využívania pôdy, resp. ukončenie obrábania pôdy</w:t>
      </w:r>
    </w:p>
    <w:p w:rsidR="00D566CE" w:rsidRPr="004733E9" w:rsidRDefault="00D566CE" w:rsidP="005402A5">
      <w:pPr>
        <w:pStyle w:val="tlText2VlastnfarbaRGB31"/>
        <w:widowControl w:val="0"/>
        <w:numPr>
          <w:ilvl w:val="0"/>
          <w:numId w:val="338"/>
        </w:numPr>
        <w:spacing w:line="240" w:lineRule="auto"/>
        <w:rPr>
          <w:rFonts w:asciiTheme="minorHAnsi" w:hAnsiTheme="minorHAnsi"/>
          <w:color w:val="auto"/>
          <w:szCs w:val="22"/>
        </w:rPr>
      </w:pPr>
      <w:r w:rsidRPr="004733E9">
        <w:rPr>
          <w:rFonts w:asciiTheme="minorHAnsi" w:hAnsiTheme="minorHAnsi"/>
          <w:color w:val="auto"/>
          <w:szCs w:val="22"/>
        </w:rPr>
        <w:t>hrozba nedostatku finančných prostriedkov štátu na výplatu kompenzácií škôd vplyvom prírodných katastrof</w:t>
      </w:r>
    </w:p>
    <w:p w:rsidR="00D566CE" w:rsidRPr="004733E9" w:rsidRDefault="00D566CE" w:rsidP="005402A5">
      <w:pPr>
        <w:pStyle w:val="tlText2VlastnfarbaRGB31"/>
        <w:widowControl w:val="0"/>
        <w:numPr>
          <w:ilvl w:val="0"/>
          <w:numId w:val="338"/>
        </w:numPr>
        <w:spacing w:line="240" w:lineRule="auto"/>
        <w:rPr>
          <w:rFonts w:asciiTheme="minorHAnsi" w:hAnsiTheme="minorHAnsi"/>
          <w:color w:val="auto"/>
          <w:szCs w:val="22"/>
        </w:rPr>
      </w:pPr>
      <w:r w:rsidRPr="004733E9">
        <w:rPr>
          <w:rFonts w:asciiTheme="minorHAnsi" w:hAnsiTheme="minorHAnsi"/>
          <w:color w:val="auto"/>
          <w:szCs w:val="22"/>
        </w:rPr>
        <w:t>rastúce ceny pôdy, energií a ďalších vstupov do poľnohospodárskej prvovýroby a nízka schopnosť vytvoriť pridanú hodnotu vlastnou činnosťou, vysoké ceny potravín a uprednostňovanie dovezených lacných potravín nižšej kvality pred domácimi</w:t>
      </w:r>
    </w:p>
    <w:p w:rsidR="00D566CE" w:rsidRPr="004733E9" w:rsidRDefault="00D566CE" w:rsidP="005402A5">
      <w:pPr>
        <w:pStyle w:val="tlText2VlastnfarbaRGB31"/>
        <w:widowControl w:val="0"/>
        <w:numPr>
          <w:ilvl w:val="0"/>
          <w:numId w:val="338"/>
        </w:numPr>
        <w:spacing w:line="240" w:lineRule="auto"/>
        <w:rPr>
          <w:rFonts w:asciiTheme="minorHAnsi" w:hAnsiTheme="minorHAnsi"/>
          <w:color w:val="auto"/>
          <w:szCs w:val="22"/>
        </w:rPr>
      </w:pPr>
      <w:r w:rsidRPr="004733E9">
        <w:rPr>
          <w:rFonts w:asciiTheme="minorHAnsi" w:hAnsiTheme="minorHAnsi"/>
          <w:color w:val="auto"/>
          <w:szCs w:val="22"/>
        </w:rPr>
        <w:t>pokračovanie záberov kvalitnej poľnohospodárskej (ornej) pôdy pre výstavbu priemyselnej, bytovej a dopravnej infraštruktúry</w:t>
      </w:r>
    </w:p>
    <w:p w:rsidR="00D566CE" w:rsidRPr="004733E9" w:rsidRDefault="00D566CE" w:rsidP="005402A5">
      <w:pPr>
        <w:pStyle w:val="tlText2VlastnfarbaRGB31"/>
        <w:widowControl w:val="0"/>
        <w:numPr>
          <w:ilvl w:val="0"/>
          <w:numId w:val="338"/>
        </w:numPr>
        <w:spacing w:line="240" w:lineRule="auto"/>
        <w:rPr>
          <w:rFonts w:asciiTheme="minorHAnsi" w:hAnsiTheme="minorHAnsi"/>
          <w:color w:val="auto"/>
          <w:szCs w:val="22"/>
        </w:rPr>
      </w:pPr>
      <w:r w:rsidRPr="004733E9">
        <w:rPr>
          <w:rFonts w:asciiTheme="minorHAnsi" w:hAnsiTheme="minorHAnsi"/>
          <w:color w:val="auto"/>
          <w:szCs w:val="22"/>
        </w:rPr>
        <w:t>vysoká volatilita cien poľnohospodárskych komodít, vysoká konkurencia dovozov lacnejšej produkcie (komodít, najmä mäsa) z EÚ a z tretích krajín</w:t>
      </w:r>
    </w:p>
    <w:p w:rsidR="00D566CE" w:rsidRPr="004733E9" w:rsidRDefault="00D566CE" w:rsidP="005402A5">
      <w:pPr>
        <w:pStyle w:val="tlText2VlastnfarbaRGB31"/>
        <w:widowControl w:val="0"/>
        <w:numPr>
          <w:ilvl w:val="0"/>
          <w:numId w:val="338"/>
        </w:numPr>
        <w:spacing w:line="240" w:lineRule="auto"/>
        <w:rPr>
          <w:rFonts w:asciiTheme="minorHAnsi" w:hAnsiTheme="minorHAnsi"/>
          <w:color w:val="auto"/>
          <w:szCs w:val="22"/>
        </w:rPr>
      </w:pPr>
      <w:r w:rsidRPr="004733E9">
        <w:rPr>
          <w:rFonts w:asciiTheme="minorHAnsi" w:hAnsiTheme="minorHAnsi"/>
          <w:color w:val="auto"/>
          <w:szCs w:val="22"/>
        </w:rPr>
        <w:t>vlastníctvo rozhodujúcich kapacít potravinárskeho priemyslu zahraničnými vlastníkmi, ktorí si výskum a vývoj zabezpečujú v materskej krajine</w:t>
      </w:r>
    </w:p>
    <w:p w:rsidR="00D566CE" w:rsidRPr="004733E9" w:rsidRDefault="00D566CE" w:rsidP="005402A5">
      <w:pPr>
        <w:pStyle w:val="tlText2VlastnfarbaRGB31"/>
        <w:widowControl w:val="0"/>
        <w:numPr>
          <w:ilvl w:val="0"/>
          <w:numId w:val="338"/>
        </w:numPr>
        <w:spacing w:line="240" w:lineRule="auto"/>
        <w:rPr>
          <w:rFonts w:asciiTheme="minorHAnsi" w:hAnsiTheme="minorHAnsi"/>
          <w:color w:val="auto"/>
          <w:szCs w:val="22"/>
        </w:rPr>
      </w:pPr>
      <w:r w:rsidRPr="004733E9">
        <w:rPr>
          <w:rFonts w:asciiTheme="minorHAnsi" w:hAnsiTheme="minorHAnsi"/>
          <w:color w:val="auto"/>
          <w:szCs w:val="22"/>
        </w:rPr>
        <w:t>ďalšie sprísnenie podmienok legislatívy EÚ vyvolá zvýšenie nákladov na prevádzku a plnenie noriem (napr.  náklady na pohodu zvierat a i.)</w:t>
      </w:r>
    </w:p>
    <w:p w:rsidR="00D566CE" w:rsidRDefault="00D566CE" w:rsidP="005402A5">
      <w:pPr>
        <w:pStyle w:val="tlText2VlastnfarbaRGB31"/>
        <w:widowControl w:val="0"/>
        <w:spacing w:line="240" w:lineRule="auto"/>
        <w:ind w:left="539"/>
        <w:rPr>
          <w:rFonts w:asciiTheme="minorHAnsi" w:hAnsiTheme="minorHAnsi"/>
          <w:color w:val="auto"/>
          <w:szCs w:val="22"/>
        </w:rPr>
      </w:pPr>
    </w:p>
    <w:p w:rsidR="00D566CE" w:rsidRPr="00975965" w:rsidRDefault="00D566CE" w:rsidP="005402A5">
      <w:pPr>
        <w:keepNext/>
        <w:pBdr>
          <w:bar w:val="single" w:sz="6" w:color="808080"/>
        </w:pBdr>
        <w:spacing w:after="60"/>
        <w:ind w:left="426" w:hanging="426"/>
        <w:outlineLvl w:val="0"/>
        <w:rPr>
          <w:rFonts w:ascii="Calibri" w:hAnsi="Calibri"/>
          <w:b/>
          <w:bCs/>
          <w:kern w:val="32"/>
          <w:szCs w:val="22"/>
          <w:u w:val="single"/>
          <w:lang w:eastAsia="en-US"/>
        </w:rPr>
      </w:pPr>
      <w:r w:rsidRPr="00975965">
        <w:rPr>
          <w:rFonts w:ascii="Calibri" w:hAnsi="Calibri"/>
          <w:b/>
          <w:bCs/>
          <w:kern w:val="32"/>
          <w:szCs w:val="22"/>
          <w:u w:val="single"/>
          <w:lang w:eastAsia="en-US"/>
        </w:rPr>
        <w:t>Životné prostredie a klíma</w:t>
      </w:r>
    </w:p>
    <w:p w:rsidR="00D566CE" w:rsidRPr="004733E9" w:rsidRDefault="00D566CE" w:rsidP="005402A5">
      <w:pPr>
        <w:pStyle w:val="tlText2VlastnfarbaRGB31"/>
        <w:widowControl w:val="0"/>
        <w:numPr>
          <w:ilvl w:val="0"/>
          <w:numId w:val="338"/>
        </w:numPr>
        <w:spacing w:line="240" w:lineRule="auto"/>
        <w:rPr>
          <w:rFonts w:asciiTheme="minorHAnsi" w:hAnsiTheme="minorHAnsi"/>
          <w:color w:val="auto"/>
          <w:szCs w:val="22"/>
        </w:rPr>
      </w:pPr>
      <w:r w:rsidRPr="004733E9">
        <w:rPr>
          <w:rFonts w:asciiTheme="minorHAnsi" w:hAnsiTheme="minorHAnsi"/>
          <w:color w:val="auto"/>
          <w:szCs w:val="22"/>
        </w:rPr>
        <w:t>zmeny klímy sa prejavia skôr, alebo vo väčšom meradle ako sa predpokladalo nedostatočná</w:t>
      </w:r>
      <w:r w:rsidRPr="004733E9">
        <w:rPr>
          <w:rFonts w:asciiTheme="minorHAnsi" w:hAnsiTheme="minorHAnsi"/>
          <w:color w:val="auto"/>
          <w:szCs w:val="22"/>
        </w:rPr>
        <w:lastRenderedPageBreak/>
        <w:t xml:space="preserve"> vodozádržná kapacita a protipovodňová ochrana územia bude spôsobovať poškodenie biotopov povodňami, resp. suchom (deficit zrážok v hlavnom vegetačnom období, nedostatok vody na zavlažovanie, lokálne povodne, devastácia pôdy, znečistenie pitnej vody a i.), zvýšenie strát v rastlinnej výrobe vplyvom zhoršenia klimatických podmienok a náhlych výkyvov počasia (sucho, prudké búrky, krupobitie), zvýšenie výrobných nákladov bez adekvátneho nárastu predajnej ceny, resp. množstva alebo kvality produkcie</w:t>
      </w:r>
    </w:p>
    <w:p w:rsidR="00D566CE" w:rsidRDefault="00D566CE" w:rsidP="005402A5">
      <w:pPr>
        <w:pStyle w:val="tlText2VlastnfarbaRGB31"/>
        <w:widowControl w:val="0"/>
        <w:numPr>
          <w:ilvl w:val="0"/>
          <w:numId w:val="340"/>
        </w:numPr>
        <w:spacing w:line="240" w:lineRule="auto"/>
        <w:rPr>
          <w:rFonts w:asciiTheme="minorHAnsi" w:hAnsiTheme="minorHAnsi"/>
          <w:color w:val="auto"/>
          <w:szCs w:val="22"/>
        </w:rPr>
      </w:pPr>
      <w:r w:rsidRPr="00607F65">
        <w:rPr>
          <w:rFonts w:asciiTheme="minorHAnsi" w:hAnsiTheme="minorHAnsi"/>
          <w:color w:val="auto"/>
          <w:szCs w:val="22"/>
        </w:rPr>
        <w:t xml:space="preserve">pokračovanie poklesu biodiverzity a degradácie p.p. spojenej so znižovaním úrodnosti </w:t>
      </w:r>
    </w:p>
    <w:p w:rsidR="00D566CE" w:rsidRPr="00607F65" w:rsidRDefault="00D566CE" w:rsidP="005402A5">
      <w:pPr>
        <w:pStyle w:val="tlText2VlastnfarbaRGB31"/>
        <w:widowControl w:val="0"/>
        <w:numPr>
          <w:ilvl w:val="0"/>
          <w:numId w:val="340"/>
        </w:numPr>
        <w:spacing w:line="240" w:lineRule="auto"/>
        <w:rPr>
          <w:rFonts w:asciiTheme="minorHAnsi" w:hAnsiTheme="minorHAnsi"/>
          <w:color w:val="auto"/>
          <w:szCs w:val="22"/>
        </w:rPr>
      </w:pPr>
      <w:r w:rsidRPr="00607F65">
        <w:rPr>
          <w:rFonts w:asciiTheme="minorHAnsi" w:hAnsiTheme="minorHAnsi"/>
          <w:color w:val="auto"/>
          <w:szCs w:val="22"/>
        </w:rPr>
        <w:t>vysoké náklady štátu na ochranu a správu území Natura 2000 (výmera vyhlásených území  Natura 2000 (CHVÚ a ÚEV) v SR je podstatne vyššia ako v priemer EÚ, 29,6% celkovej rozlohy územia krajiny oproti 17,9 % priemeru EÚ-27)</w:t>
      </w:r>
    </w:p>
    <w:p w:rsidR="00D566CE" w:rsidRPr="004733E9" w:rsidRDefault="00D566CE" w:rsidP="005402A5">
      <w:pPr>
        <w:pStyle w:val="tlText2VlastnfarbaRGB31"/>
        <w:widowControl w:val="0"/>
        <w:numPr>
          <w:ilvl w:val="0"/>
          <w:numId w:val="340"/>
        </w:numPr>
        <w:spacing w:line="240" w:lineRule="auto"/>
        <w:rPr>
          <w:rFonts w:asciiTheme="minorHAnsi" w:hAnsiTheme="minorHAnsi"/>
          <w:color w:val="auto"/>
          <w:szCs w:val="22"/>
        </w:rPr>
      </w:pPr>
      <w:r w:rsidRPr="004733E9">
        <w:rPr>
          <w:rFonts w:asciiTheme="minorHAnsi" w:hAnsiTheme="minorHAnsi"/>
          <w:color w:val="auto"/>
          <w:szCs w:val="22"/>
        </w:rPr>
        <w:t>nedostatočný záujem poľnoh. a lesníckych subjektov o zachovanie hospodárenia v územiach Natura 2000 bez adekvátnej kompenzácie</w:t>
      </w:r>
    </w:p>
    <w:p w:rsidR="00D566CE" w:rsidRPr="004733E9" w:rsidRDefault="00D566CE" w:rsidP="005402A5">
      <w:pPr>
        <w:pStyle w:val="tlText2VlastnfarbaRGB31"/>
        <w:widowControl w:val="0"/>
        <w:numPr>
          <w:ilvl w:val="0"/>
          <w:numId w:val="341"/>
        </w:numPr>
        <w:spacing w:line="240" w:lineRule="auto"/>
        <w:rPr>
          <w:rFonts w:asciiTheme="minorHAnsi" w:hAnsiTheme="minorHAnsi"/>
          <w:color w:val="auto"/>
          <w:szCs w:val="22"/>
        </w:rPr>
      </w:pPr>
      <w:r w:rsidRPr="004733E9">
        <w:rPr>
          <w:rFonts w:asciiTheme="minorHAnsi" w:hAnsiTheme="minorHAnsi"/>
          <w:color w:val="auto"/>
          <w:szCs w:val="22"/>
        </w:rPr>
        <w:t xml:space="preserve">nedostatočná obnova a starostlivosť o lesy, kalamity, rozšírenie škodcov a celkové zhoršovanie zdravotného stavu lesných ekosystémov, vznik holín a následne pokles sekvestrácie a prírastku drevnej hmoty  </w:t>
      </w:r>
    </w:p>
    <w:p w:rsidR="00A71A12" w:rsidRPr="00D566CE" w:rsidRDefault="00D566CE" w:rsidP="005402A5">
      <w:pPr>
        <w:pStyle w:val="tlText2VlastnfarbaRGB31"/>
        <w:widowControl w:val="0"/>
        <w:numPr>
          <w:ilvl w:val="0"/>
          <w:numId w:val="341"/>
        </w:numPr>
        <w:spacing w:line="240" w:lineRule="auto"/>
        <w:rPr>
          <w:rFonts w:asciiTheme="minorHAnsi" w:hAnsiTheme="minorHAnsi"/>
          <w:color w:val="auto"/>
          <w:szCs w:val="22"/>
        </w:rPr>
      </w:pPr>
      <w:r w:rsidRPr="004733E9">
        <w:rPr>
          <w:rFonts w:asciiTheme="minorHAnsi" w:hAnsiTheme="minorHAnsi"/>
          <w:color w:val="auto"/>
          <w:szCs w:val="22"/>
        </w:rPr>
        <w:t>nedostatočný záujem poľnohospodárov a lesníkov o opatrenia na podporu znižovania emisií skleníkových plynov a sekvestrácie uhlíka</w:t>
      </w:r>
      <w:r w:rsidR="005402A5">
        <w:rPr>
          <w:rFonts w:asciiTheme="minorHAnsi" w:hAnsiTheme="minorHAnsi"/>
          <w:color w:val="auto"/>
          <w:szCs w:val="22"/>
        </w:rPr>
        <w:t>.</w:t>
      </w:r>
    </w:p>
    <w:p w:rsidR="00A71A12" w:rsidRDefault="00A71A12" w:rsidP="005402A5"/>
    <w:p w:rsidR="00A71A12" w:rsidRDefault="00A71A12" w:rsidP="005402A5"/>
    <w:p w:rsidR="00E43137" w:rsidRPr="00E43137" w:rsidRDefault="00E43137" w:rsidP="008676F9">
      <w:pPr>
        <w:keepNext/>
        <w:keepLines/>
        <w:pBdr>
          <w:bar w:val="single" w:sz="6" w:color="808080"/>
        </w:pBdr>
        <w:spacing w:after="120"/>
        <w:outlineLvl w:val="1"/>
        <w:rPr>
          <w:rFonts w:ascii="Calibri" w:hAnsi="Calibri"/>
          <w:b/>
          <w:bCs/>
          <w:szCs w:val="22"/>
        </w:rPr>
        <w:sectPr w:rsidR="00E43137" w:rsidRPr="00E43137" w:rsidSect="00B4269F">
          <w:pgSz w:w="11906" w:h="16838"/>
          <w:pgMar w:top="1417" w:right="1417" w:bottom="1417" w:left="1417" w:header="708" w:footer="708" w:gutter="0"/>
          <w:cols w:space="708"/>
          <w:docGrid w:linePitch="360"/>
        </w:sectPr>
      </w:pPr>
    </w:p>
    <w:p w:rsidR="00E43137" w:rsidRDefault="006F0121" w:rsidP="00AA30CA">
      <w:pPr>
        <w:pStyle w:val="Pod"/>
        <w:rPr>
          <w:rFonts w:eastAsia="Calibri"/>
          <w:lang w:eastAsia="en-US"/>
        </w:rPr>
      </w:pPr>
      <w:bookmarkStart w:id="39" w:name="_Toc387041293"/>
      <w:r>
        <w:rPr>
          <w:rFonts w:eastAsia="Calibri"/>
          <w:lang w:eastAsia="en-US"/>
        </w:rPr>
        <w:t xml:space="preserve">4. </w:t>
      </w:r>
      <w:r w:rsidR="00A71A12">
        <w:rPr>
          <w:rFonts w:eastAsia="Calibri"/>
          <w:lang w:eastAsia="en-US"/>
        </w:rPr>
        <w:t>3</w:t>
      </w:r>
      <w:r>
        <w:rPr>
          <w:rFonts w:eastAsia="Calibri"/>
          <w:lang w:eastAsia="en-US"/>
        </w:rPr>
        <w:t xml:space="preserve"> z</w:t>
      </w:r>
      <w:r w:rsidR="00E43137" w:rsidRPr="00E43137">
        <w:rPr>
          <w:rFonts w:eastAsia="Calibri"/>
          <w:lang w:eastAsia="en-US"/>
        </w:rPr>
        <w:t>dôvodnenie identifikovaných potrieb vyplývajúcich zo SWOT a podporných analýz pre prípravu PRV SR 2014-2020</w:t>
      </w:r>
      <w:bookmarkEnd w:id="39"/>
    </w:p>
    <w:tbl>
      <w:tblPr>
        <w:tblW w:w="14205" w:type="dxa"/>
        <w:tblCellMar>
          <w:left w:w="0" w:type="dxa"/>
          <w:right w:w="0" w:type="dxa"/>
        </w:tblCellMar>
        <w:tblLook w:val="04A0" w:firstRow="1" w:lastRow="0" w:firstColumn="1" w:lastColumn="0" w:noHBand="0" w:noVBand="1"/>
      </w:tblPr>
      <w:tblGrid>
        <w:gridCol w:w="2690"/>
        <w:gridCol w:w="1090"/>
        <w:gridCol w:w="10425"/>
      </w:tblGrid>
      <w:tr w:rsidR="009E238E" w:rsidRPr="004A7D83" w:rsidTr="009E238E">
        <w:trPr>
          <w:trHeight w:val="172"/>
          <w:tblHeader/>
        </w:trPr>
        <w:tc>
          <w:tcPr>
            <w:tcW w:w="2690" w:type="dxa"/>
            <w:tcBorders>
              <w:top w:val="single" w:sz="8" w:space="0" w:color="000000"/>
              <w:left w:val="single" w:sz="8" w:space="0" w:color="000000"/>
              <w:bottom w:val="single" w:sz="8" w:space="0" w:color="000000"/>
              <w:right w:val="single" w:sz="8" w:space="0" w:color="000000"/>
            </w:tcBorders>
            <w:shd w:val="clear" w:color="auto" w:fill="FFFF00"/>
            <w:tcMar>
              <w:top w:w="0" w:type="dxa"/>
              <w:left w:w="108" w:type="dxa"/>
              <w:bottom w:w="0" w:type="dxa"/>
              <w:right w:w="108" w:type="dxa"/>
            </w:tcMar>
            <w:hideMark/>
          </w:tcPr>
          <w:p w:rsidR="009E238E" w:rsidRPr="004A7D83" w:rsidRDefault="009E238E" w:rsidP="009E238E">
            <w:pPr>
              <w:jc w:val="left"/>
              <w:rPr>
                <w:rFonts w:ascii="Calibri" w:hAnsi="Calibri"/>
              </w:rPr>
            </w:pPr>
            <w:r w:rsidRPr="004A7D83">
              <w:rPr>
                <w:rFonts w:ascii="Calibri" w:hAnsi="Calibri"/>
                <w:b/>
                <w:bCs/>
                <w:sz w:val="20"/>
                <w:szCs w:val="20"/>
                <w:lang w:eastAsia="zh-CN"/>
              </w:rPr>
              <w:t>Identifikované potreby</w:t>
            </w:r>
          </w:p>
        </w:tc>
        <w:tc>
          <w:tcPr>
            <w:tcW w:w="1090" w:type="dxa"/>
            <w:tcBorders>
              <w:top w:val="single" w:sz="8" w:space="0" w:color="000000"/>
              <w:left w:val="nil"/>
              <w:bottom w:val="single" w:sz="8" w:space="0" w:color="000000"/>
              <w:right w:val="single" w:sz="8" w:space="0" w:color="000000"/>
            </w:tcBorders>
            <w:shd w:val="clear" w:color="auto" w:fill="FFFF00"/>
            <w:tcMar>
              <w:top w:w="0" w:type="dxa"/>
              <w:left w:w="108" w:type="dxa"/>
              <w:bottom w:w="0" w:type="dxa"/>
              <w:right w:w="108" w:type="dxa"/>
            </w:tcMar>
            <w:hideMark/>
          </w:tcPr>
          <w:p w:rsidR="009E238E" w:rsidRPr="004A7D83" w:rsidRDefault="009E238E" w:rsidP="009E238E">
            <w:pPr>
              <w:jc w:val="center"/>
              <w:rPr>
                <w:rFonts w:ascii="Calibri" w:hAnsi="Calibri"/>
              </w:rPr>
            </w:pPr>
            <w:r w:rsidRPr="004A7D83">
              <w:rPr>
                <w:rFonts w:ascii="Calibri" w:hAnsi="Calibri"/>
                <w:b/>
                <w:bCs/>
                <w:sz w:val="20"/>
                <w:szCs w:val="20"/>
                <w:lang w:eastAsia="zh-CN"/>
              </w:rPr>
              <w:t>Priorita</w:t>
            </w:r>
          </w:p>
        </w:tc>
        <w:tc>
          <w:tcPr>
            <w:tcW w:w="10425" w:type="dxa"/>
            <w:tcBorders>
              <w:top w:val="single" w:sz="8" w:space="0" w:color="000000"/>
              <w:left w:val="nil"/>
              <w:bottom w:val="single" w:sz="8" w:space="0" w:color="000000"/>
              <w:right w:val="single" w:sz="8" w:space="0" w:color="000000"/>
            </w:tcBorders>
            <w:shd w:val="clear" w:color="auto" w:fill="FFFF00"/>
            <w:tcMar>
              <w:top w:w="0" w:type="dxa"/>
              <w:left w:w="108" w:type="dxa"/>
              <w:bottom w:w="0" w:type="dxa"/>
              <w:right w:w="108" w:type="dxa"/>
            </w:tcMar>
            <w:hideMark/>
          </w:tcPr>
          <w:p w:rsidR="009E238E" w:rsidRPr="004A7D83" w:rsidRDefault="009E238E" w:rsidP="009E238E">
            <w:pPr>
              <w:spacing w:before="120" w:after="120"/>
              <w:jc w:val="center"/>
              <w:textAlignment w:val="baseline"/>
              <w:rPr>
                <w:rFonts w:ascii="Calibri" w:hAnsi="Calibri"/>
              </w:rPr>
            </w:pPr>
            <w:r w:rsidRPr="004A7D83">
              <w:rPr>
                <w:rFonts w:ascii="Calibri" w:hAnsi="Calibri"/>
                <w:b/>
                <w:bCs/>
                <w:sz w:val="20"/>
                <w:szCs w:val="20"/>
                <w:lang w:eastAsia="zh-CN"/>
              </w:rPr>
              <w:t>Zdôvodnenie (kontext)</w:t>
            </w:r>
          </w:p>
        </w:tc>
      </w:tr>
      <w:tr w:rsidR="009E238E" w:rsidRPr="004A7D83" w:rsidTr="009E238E">
        <w:trPr>
          <w:trHeight w:val="172"/>
        </w:trPr>
        <w:tc>
          <w:tcPr>
            <w:tcW w:w="2690" w:type="dxa"/>
            <w:tcBorders>
              <w:top w:val="nil"/>
              <w:left w:val="single" w:sz="8" w:space="0" w:color="000000"/>
              <w:bottom w:val="single" w:sz="8" w:space="0" w:color="auto"/>
              <w:right w:val="single" w:sz="8" w:space="0" w:color="000000"/>
            </w:tcBorders>
            <w:tcMar>
              <w:top w:w="0" w:type="dxa"/>
              <w:left w:w="108" w:type="dxa"/>
              <w:bottom w:w="0" w:type="dxa"/>
              <w:right w:w="108" w:type="dxa"/>
            </w:tcMar>
            <w:hideMark/>
          </w:tcPr>
          <w:p w:rsidR="009E238E" w:rsidRPr="004A7D83" w:rsidRDefault="009E238E" w:rsidP="00CE203B">
            <w:pPr>
              <w:numPr>
                <w:ilvl w:val="0"/>
                <w:numId w:val="343"/>
              </w:numPr>
              <w:spacing w:after="120"/>
              <w:ind w:left="284" w:hanging="284"/>
              <w:jc w:val="left"/>
              <w:textAlignment w:val="baseline"/>
              <w:rPr>
                <w:rFonts w:ascii="Calibri" w:hAnsi="Calibri"/>
              </w:rPr>
            </w:pPr>
            <w:r w:rsidRPr="004A7D83">
              <w:rPr>
                <w:rFonts w:ascii="Calibri" w:hAnsi="Calibri"/>
                <w:sz w:val="20"/>
                <w:szCs w:val="20"/>
              </w:rPr>
              <w:t>Posilnenie</w:t>
            </w:r>
            <w:r w:rsidRPr="004A7D83">
              <w:rPr>
                <w:rFonts w:ascii="Calibri" w:hAnsi="Calibri"/>
                <w:b/>
                <w:bCs/>
                <w:sz w:val="20"/>
                <w:szCs w:val="20"/>
              </w:rPr>
              <w:t xml:space="preserve"> </w:t>
            </w:r>
            <w:r w:rsidRPr="007A3491">
              <w:rPr>
                <w:rFonts w:ascii="Calibri" w:hAnsi="Calibri"/>
                <w:bCs/>
                <w:sz w:val="20"/>
                <w:szCs w:val="20"/>
              </w:rPr>
              <w:t>vedomostnej základne, inovačnej výkonnosti a spolupráce</w:t>
            </w:r>
            <w:r w:rsidRPr="004A7D83">
              <w:rPr>
                <w:rFonts w:ascii="Calibri" w:hAnsi="Calibri"/>
                <w:sz w:val="20"/>
                <w:szCs w:val="20"/>
              </w:rPr>
              <w:t xml:space="preserve"> poľnohospodárstva, potravinárstva a lesníctva, ktorá podporí vývoj nových produktov, postupov a technológií</w:t>
            </w:r>
          </w:p>
          <w:p w:rsidR="009E238E" w:rsidRPr="004A7D83" w:rsidRDefault="009E238E" w:rsidP="009E238E">
            <w:pPr>
              <w:spacing w:after="120"/>
              <w:ind w:left="284" w:hanging="284"/>
              <w:jc w:val="left"/>
              <w:rPr>
                <w:rFonts w:ascii="Calibri" w:hAnsi="Calibri"/>
              </w:rPr>
            </w:pPr>
            <w:r w:rsidRPr="004A7D83">
              <w:rPr>
                <w:rFonts w:ascii="Calibri" w:hAnsi="Calibri"/>
                <w:sz w:val="20"/>
                <w:szCs w:val="20"/>
              </w:rPr>
              <w:t> </w:t>
            </w:r>
          </w:p>
        </w:tc>
        <w:tc>
          <w:tcPr>
            <w:tcW w:w="1090" w:type="dxa"/>
            <w:tcBorders>
              <w:top w:val="nil"/>
              <w:left w:val="nil"/>
              <w:bottom w:val="single" w:sz="8" w:space="0" w:color="auto"/>
              <w:right w:val="single" w:sz="8" w:space="0" w:color="000000"/>
            </w:tcBorders>
            <w:tcMar>
              <w:top w:w="0" w:type="dxa"/>
              <w:left w:w="108" w:type="dxa"/>
              <w:bottom w:w="0" w:type="dxa"/>
              <w:right w:w="108" w:type="dxa"/>
            </w:tcMar>
            <w:hideMark/>
          </w:tcPr>
          <w:p w:rsidR="009E238E" w:rsidRDefault="009E238E" w:rsidP="009E238E">
            <w:pPr>
              <w:jc w:val="center"/>
              <w:rPr>
                <w:rFonts w:ascii="Calibri" w:hAnsi="Calibri"/>
                <w:sz w:val="20"/>
                <w:szCs w:val="20"/>
                <w:lang w:eastAsia="zh-CN"/>
              </w:rPr>
            </w:pPr>
            <w:r w:rsidRPr="004A7D83">
              <w:rPr>
                <w:rFonts w:ascii="Calibri" w:hAnsi="Calibri"/>
                <w:sz w:val="20"/>
                <w:szCs w:val="20"/>
                <w:lang w:eastAsia="zh-CN"/>
              </w:rPr>
              <w:t>1A</w:t>
            </w:r>
          </w:p>
          <w:p w:rsidR="009E238E" w:rsidRPr="004A7D83" w:rsidRDefault="009E238E" w:rsidP="009E238E">
            <w:pPr>
              <w:jc w:val="center"/>
              <w:rPr>
                <w:rFonts w:ascii="Calibri" w:hAnsi="Calibri"/>
              </w:rPr>
            </w:pPr>
            <w:r>
              <w:rPr>
                <w:rFonts w:ascii="Calibri" w:hAnsi="Calibri"/>
                <w:sz w:val="20"/>
                <w:szCs w:val="20"/>
                <w:lang w:eastAsia="zh-CN"/>
              </w:rPr>
              <w:t>Inovácie, ŽP, zmena klímy</w:t>
            </w:r>
          </w:p>
        </w:tc>
        <w:tc>
          <w:tcPr>
            <w:tcW w:w="10425" w:type="dxa"/>
            <w:tcBorders>
              <w:top w:val="nil"/>
              <w:left w:val="nil"/>
              <w:bottom w:val="single" w:sz="8" w:space="0" w:color="auto"/>
              <w:right w:val="single" w:sz="8" w:space="0" w:color="000000"/>
            </w:tcBorders>
            <w:tcMar>
              <w:top w:w="0" w:type="dxa"/>
              <w:left w:w="108" w:type="dxa"/>
              <w:bottom w:w="0" w:type="dxa"/>
              <w:right w:w="108" w:type="dxa"/>
            </w:tcMar>
            <w:hideMark/>
          </w:tcPr>
          <w:p w:rsidR="009E238E" w:rsidRPr="004A7D83" w:rsidRDefault="009E238E" w:rsidP="009E238E">
            <w:pPr>
              <w:spacing w:after="120"/>
              <w:rPr>
                <w:rFonts w:ascii="Calibri" w:hAnsi="Calibri"/>
              </w:rPr>
            </w:pPr>
            <w:r w:rsidRPr="004A7D83">
              <w:rPr>
                <w:rFonts w:ascii="Calibri" w:hAnsi="Calibri"/>
                <w:sz w:val="20"/>
                <w:szCs w:val="20"/>
              </w:rPr>
              <w:t>SR dosahuje  oproti priemeru EÚ-27 a EÚ-15 výrazne nižšiu produktivitu výrobných faktorov</w:t>
            </w:r>
            <w:r>
              <w:rPr>
                <w:rFonts w:ascii="Calibri" w:hAnsi="Calibri"/>
                <w:sz w:val="20"/>
                <w:szCs w:val="20"/>
              </w:rPr>
              <w:t>, e</w:t>
            </w:r>
            <w:r w:rsidRPr="004A7D83">
              <w:rPr>
                <w:rFonts w:ascii="Calibri" w:hAnsi="Calibri"/>
                <w:sz w:val="20"/>
                <w:szCs w:val="20"/>
              </w:rPr>
              <w:t>fekty jednoduchej reprodukcie strojov a technológií sú nedostatočné</w:t>
            </w:r>
            <w:r>
              <w:rPr>
                <w:rFonts w:ascii="Calibri" w:hAnsi="Calibri"/>
                <w:sz w:val="20"/>
                <w:szCs w:val="20"/>
              </w:rPr>
              <w:t>. Vedomostná základňa, z</w:t>
            </w:r>
            <w:r w:rsidRPr="004A7D83">
              <w:rPr>
                <w:rFonts w:ascii="Calibri" w:hAnsi="Calibri"/>
                <w:sz w:val="20"/>
                <w:szCs w:val="20"/>
              </w:rPr>
              <w:t xml:space="preserve">nalosti, skúsenosti a spolupráca </w:t>
            </w:r>
            <w:r>
              <w:rPr>
                <w:rFonts w:ascii="Calibri" w:hAnsi="Calibri"/>
                <w:sz w:val="20"/>
                <w:szCs w:val="20"/>
              </w:rPr>
              <w:t> </w:t>
            </w:r>
            <w:r w:rsidRPr="004A7D83">
              <w:rPr>
                <w:rFonts w:ascii="Calibri" w:hAnsi="Calibri"/>
                <w:sz w:val="20"/>
                <w:szCs w:val="20"/>
              </w:rPr>
              <w:t>výskum</w:t>
            </w:r>
            <w:r>
              <w:rPr>
                <w:rFonts w:ascii="Calibri" w:hAnsi="Calibri"/>
                <w:sz w:val="20"/>
                <w:szCs w:val="20"/>
              </w:rPr>
              <w:t>u s praxou</w:t>
            </w:r>
            <w:r w:rsidRPr="004A7D83">
              <w:rPr>
                <w:rFonts w:ascii="Calibri" w:hAnsi="Calibri"/>
                <w:sz w:val="20"/>
                <w:szCs w:val="20"/>
              </w:rPr>
              <w:t xml:space="preserve"> nie je na takej úrovni, aby bola dosahovaná vysoká ekonomická účinnosť a konkurencieschopnosť na jednotnom európskom trhu. Zhoršujúca sa veková štruktúra poľnohospodárskych pracovníkov </w:t>
            </w:r>
            <w:r>
              <w:rPr>
                <w:rFonts w:ascii="Calibri" w:hAnsi="Calibri"/>
                <w:sz w:val="20"/>
                <w:szCs w:val="20"/>
              </w:rPr>
              <w:t xml:space="preserve">a horšia vzdelanostná úroveň vidieka </w:t>
            </w:r>
            <w:r w:rsidRPr="004A7D83">
              <w:rPr>
                <w:rFonts w:ascii="Calibri" w:hAnsi="Calibri"/>
                <w:sz w:val="20"/>
                <w:szCs w:val="20"/>
              </w:rPr>
              <w:t>má významný vplyv na stagnáciu, resp. pokles kapacity  absorbovať najnovšie poznatky a inovovať.</w:t>
            </w:r>
          </w:p>
          <w:p w:rsidR="009E238E" w:rsidRPr="004A7D83" w:rsidRDefault="009E238E" w:rsidP="009E238E">
            <w:pPr>
              <w:spacing w:after="120"/>
              <w:rPr>
                <w:rFonts w:ascii="Calibri" w:hAnsi="Calibri"/>
              </w:rPr>
            </w:pPr>
            <w:r>
              <w:rPr>
                <w:rFonts w:ascii="Calibri" w:hAnsi="Calibri"/>
                <w:sz w:val="20"/>
                <w:szCs w:val="20"/>
              </w:rPr>
              <w:t xml:space="preserve">Výsledky </w:t>
            </w:r>
            <w:r w:rsidRPr="004A7D83">
              <w:rPr>
                <w:rFonts w:ascii="Calibri" w:hAnsi="Calibri"/>
                <w:sz w:val="20"/>
                <w:szCs w:val="20"/>
              </w:rPr>
              <w:t>vedecko-výskumn</w:t>
            </w:r>
            <w:r>
              <w:rPr>
                <w:rFonts w:ascii="Calibri" w:hAnsi="Calibri"/>
                <w:sz w:val="20"/>
                <w:szCs w:val="20"/>
              </w:rPr>
              <w:t>ých</w:t>
            </w:r>
            <w:r w:rsidRPr="004A7D83">
              <w:rPr>
                <w:rFonts w:ascii="Calibri" w:hAnsi="Calibri"/>
                <w:sz w:val="20"/>
                <w:szCs w:val="20"/>
              </w:rPr>
              <w:t xml:space="preserve"> prác, analýz financovan</w:t>
            </w:r>
            <w:r>
              <w:rPr>
                <w:rFonts w:ascii="Calibri" w:hAnsi="Calibri"/>
                <w:sz w:val="20"/>
                <w:szCs w:val="20"/>
              </w:rPr>
              <w:t>ých</w:t>
            </w:r>
            <w:r w:rsidRPr="004A7D83">
              <w:rPr>
                <w:rFonts w:ascii="Calibri" w:hAnsi="Calibri"/>
                <w:sz w:val="20"/>
                <w:szCs w:val="20"/>
              </w:rPr>
              <w:t xml:space="preserve"> z verejných zdrojov nie sú medzi </w:t>
            </w:r>
            <w:r>
              <w:rPr>
                <w:rFonts w:ascii="Calibri" w:hAnsi="Calibri"/>
                <w:sz w:val="20"/>
                <w:szCs w:val="20"/>
              </w:rPr>
              <w:t>ústavmi/ univerzitami zdieľané, nedostatočný transfer a využívanie vedeckých poznatkov znižuje konkurencieschopnosť</w:t>
            </w:r>
            <w:r w:rsidRPr="004A7D83">
              <w:rPr>
                <w:rFonts w:ascii="Calibri" w:hAnsi="Calibri"/>
                <w:sz w:val="20"/>
                <w:szCs w:val="20"/>
              </w:rPr>
              <w:t xml:space="preserve"> rezortnej VVZ.</w:t>
            </w:r>
            <w:r>
              <w:rPr>
                <w:rFonts w:ascii="Calibri" w:hAnsi="Calibri"/>
                <w:sz w:val="20"/>
                <w:szCs w:val="20"/>
              </w:rPr>
              <w:t xml:space="preserve"> Aj preto začiatkom </w:t>
            </w:r>
            <w:r w:rsidRPr="004A7D83">
              <w:rPr>
                <w:rFonts w:ascii="Calibri" w:hAnsi="Calibri"/>
                <w:sz w:val="20"/>
                <w:szCs w:val="20"/>
              </w:rPr>
              <w:t>roku 2014 došlo k</w:t>
            </w:r>
            <w:r>
              <w:rPr>
                <w:rFonts w:ascii="Calibri" w:hAnsi="Calibri"/>
                <w:sz w:val="20"/>
                <w:szCs w:val="20"/>
              </w:rPr>
              <w:t> </w:t>
            </w:r>
            <w:r w:rsidRPr="004A7D83">
              <w:rPr>
                <w:rFonts w:ascii="Calibri" w:hAnsi="Calibri"/>
                <w:sz w:val="20"/>
                <w:szCs w:val="20"/>
              </w:rPr>
              <w:t xml:space="preserve"> administratívnemu zlúčeniu výskumných ústavov v rámci VVZ pôdohospodárstva do jedného centra -</w:t>
            </w:r>
            <w:r>
              <w:rPr>
                <w:rFonts w:ascii="Calibri" w:hAnsi="Calibri"/>
                <w:sz w:val="20"/>
                <w:szCs w:val="20"/>
              </w:rPr>
              <w:t xml:space="preserve"> </w:t>
            </w:r>
            <w:r w:rsidRPr="004A7D83">
              <w:rPr>
                <w:rFonts w:ascii="Calibri" w:hAnsi="Calibri"/>
                <w:sz w:val="20"/>
                <w:szCs w:val="20"/>
              </w:rPr>
              <w:t xml:space="preserve">NPPC, čím sa vytvorili </w:t>
            </w:r>
            <w:r>
              <w:rPr>
                <w:rFonts w:ascii="Calibri" w:hAnsi="Calibri"/>
                <w:sz w:val="20"/>
                <w:szCs w:val="20"/>
              </w:rPr>
              <w:t xml:space="preserve">formálne </w:t>
            </w:r>
            <w:r w:rsidRPr="004A7D83">
              <w:rPr>
                <w:rFonts w:ascii="Calibri" w:hAnsi="Calibri"/>
                <w:sz w:val="20"/>
                <w:szCs w:val="20"/>
              </w:rPr>
              <w:t>predpoklady na zlepšenie vzájomnej spolupráce.</w:t>
            </w:r>
          </w:p>
          <w:p w:rsidR="009E238E" w:rsidRPr="004A7D83" w:rsidRDefault="009E238E" w:rsidP="009E238E">
            <w:pPr>
              <w:spacing w:after="120"/>
              <w:rPr>
                <w:rFonts w:ascii="Calibri" w:hAnsi="Calibri"/>
              </w:rPr>
            </w:pPr>
            <w:r w:rsidRPr="009E627F">
              <w:rPr>
                <w:rFonts w:ascii="Calibri" w:hAnsi="Calibri"/>
                <w:b/>
                <w:sz w:val="20"/>
                <w:szCs w:val="20"/>
              </w:rPr>
              <w:t>Posilňovať inovačnú kapacitu a spoluprácu aktérov</w:t>
            </w:r>
            <w:r w:rsidRPr="004A7D83">
              <w:rPr>
                <w:rFonts w:ascii="Calibri" w:hAnsi="Calibri"/>
                <w:sz w:val="20"/>
                <w:szCs w:val="20"/>
              </w:rPr>
              <w:t xml:space="preserve"> v rámci „znalostného trojuholníka“ odporúča SR aj pozičný dokument EK. Je dôležité zlepšiť kvalitu každého prvku „znalostného trojuholníka“—vzdelávanie-výskum-poradenstvo.</w:t>
            </w:r>
          </w:p>
          <w:p w:rsidR="009E238E" w:rsidRPr="004A7D83" w:rsidRDefault="009E238E" w:rsidP="009E238E">
            <w:pPr>
              <w:spacing w:after="120"/>
              <w:rPr>
                <w:rFonts w:ascii="Calibri" w:hAnsi="Calibri"/>
              </w:rPr>
            </w:pPr>
            <w:r w:rsidRPr="004A7D83">
              <w:rPr>
                <w:rFonts w:ascii="Calibri" w:hAnsi="Calibri"/>
                <w:sz w:val="20"/>
                <w:szCs w:val="20"/>
              </w:rPr>
              <w:t xml:space="preserve">Kritickou potrebou </w:t>
            </w:r>
            <w:r>
              <w:rPr>
                <w:rFonts w:ascii="Calibri" w:hAnsi="Calibri"/>
                <w:sz w:val="20"/>
                <w:szCs w:val="20"/>
              </w:rPr>
              <w:t xml:space="preserve">pre posilnenie vedomostnej základne pôdohospodárstva </w:t>
            </w:r>
            <w:r w:rsidRPr="004A7D83">
              <w:rPr>
                <w:rFonts w:ascii="Calibri" w:hAnsi="Calibri"/>
                <w:sz w:val="20"/>
                <w:szCs w:val="20"/>
              </w:rPr>
              <w:t xml:space="preserve">je </w:t>
            </w:r>
            <w:r w:rsidRPr="00101EED">
              <w:rPr>
                <w:rFonts w:ascii="Calibri" w:hAnsi="Calibri"/>
                <w:b/>
                <w:sz w:val="20"/>
                <w:szCs w:val="20"/>
              </w:rPr>
              <w:t>dôsledná koordinácia a revízia zamerania aplikovaného výskumu</w:t>
            </w:r>
            <w:r w:rsidRPr="004A7D83">
              <w:rPr>
                <w:rFonts w:ascii="Calibri" w:hAnsi="Calibri"/>
                <w:sz w:val="20"/>
                <w:szCs w:val="20"/>
              </w:rPr>
              <w:t xml:space="preserve"> na odvetvia s reálnou perspektívou uplatnenia výstupov v</w:t>
            </w:r>
            <w:r>
              <w:rPr>
                <w:rFonts w:ascii="Calibri" w:hAnsi="Calibri"/>
                <w:sz w:val="20"/>
                <w:szCs w:val="20"/>
              </w:rPr>
              <w:t> </w:t>
            </w:r>
            <w:r w:rsidRPr="004A7D83">
              <w:rPr>
                <w:rFonts w:ascii="Calibri" w:hAnsi="Calibri"/>
                <w:sz w:val="20"/>
                <w:szCs w:val="20"/>
              </w:rPr>
              <w:t>praxi</w:t>
            </w:r>
            <w:r>
              <w:rPr>
                <w:rFonts w:ascii="Calibri" w:hAnsi="Calibri"/>
                <w:sz w:val="20"/>
                <w:szCs w:val="20"/>
              </w:rPr>
              <w:t xml:space="preserve"> </w:t>
            </w:r>
            <w:r w:rsidRPr="004A7D83">
              <w:rPr>
                <w:rFonts w:ascii="Calibri" w:hAnsi="Calibri"/>
                <w:sz w:val="20"/>
                <w:szCs w:val="20"/>
              </w:rPr>
              <w:t xml:space="preserve"> (napr. rozvoj bio-ekonomiky, biotechnológií, energetickej efektívnosti výroby a pod.). Súčasne je potrebné hlbšie integrovať aktualizovať domácu inštitucionálnu základňu pôdohospodárskej VVZ</w:t>
            </w:r>
            <w:r>
              <w:rPr>
                <w:rFonts w:ascii="Calibri" w:hAnsi="Calibri"/>
                <w:sz w:val="20"/>
                <w:szCs w:val="20"/>
              </w:rPr>
              <w:t>,</w:t>
            </w:r>
            <w:r w:rsidRPr="004A7D83">
              <w:rPr>
                <w:rFonts w:ascii="Calibri" w:hAnsi="Calibri"/>
                <w:sz w:val="20"/>
                <w:szCs w:val="20"/>
              </w:rPr>
              <w:t xml:space="preserve"> podporovať jej spoluprácu </w:t>
            </w:r>
            <w:r>
              <w:rPr>
                <w:rFonts w:ascii="Calibri" w:hAnsi="Calibri"/>
                <w:sz w:val="20"/>
                <w:szCs w:val="20"/>
              </w:rPr>
              <w:t xml:space="preserve">so súkromným sektorom </w:t>
            </w:r>
            <w:r w:rsidRPr="004A7D83">
              <w:rPr>
                <w:rFonts w:ascii="Calibri" w:hAnsi="Calibri"/>
                <w:sz w:val="20"/>
                <w:szCs w:val="20"/>
              </w:rPr>
              <w:t>a prepojenie na štruktúry európskeho výskumného priestoru</w:t>
            </w:r>
            <w:r>
              <w:rPr>
                <w:rFonts w:ascii="Calibri" w:hAnsi="Calibri"/>
                <w:sz w:val="20"/>
                <w:szCs w:val="20"/>
              </w:rPr>
              <w:t>,</w:t>
            </w:r>
            <w:r w:rsidRPr="004A7D83">
              <w:rPr>
                <w:rFonts w:ascii="Calibri" w:hAnsi="Calibri"/>
                <w:sz w:val="20"/>
                <w:szCs w:val="20"/>
              </w:rPr>
              <w:t xml:space="preserve"> vrátane operačných skupín EIP.</w:t>
            </w:r>
          </w:p>
        </w:tc>
      </w:tr>
      <w:tr w:rsidR="009E238E" w:rsidRPr="004A7D83" w:rsidTr="009E238E">
        <w:trPr>
          <w:trHeight w:val="172"/>
        </w:trPr>
        <w:tc>
          <w:tcPr>
            <w:tcW w:w="269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9E238E" w:rsidRPr="004A7D83" w:rsidRDefault="009E238E" w:rsidP="00CE203B">
            <w:pPr>
              <w:numPr>
                <w:ilvl w:val="0"/>
                <w:numId w:val="343"/>
              </w:numPr>
              <w:spacing w:after="120"/>
              <w:ind w:left="284" w:hanging="284"/>
              <w:jc w:val="left"/>
              <w:textAlignment w:val="baseline"/>
              <w:rPr>
                <w:rFonts w:ascii="Calibri" w:hAnsi="Calibri"/>
              </w:rPr>
            </w:pPr>
            <w:r w:rsidRPr="004A7D83">
              <w:rPr>
                <w:rFonts w:ascii="Calibri" w:hAnsi="Calibri"/>
                <w:sz w:val="20"/>
                <w:szCs w:val="20"/>
              </w:rPr>
              <w:t>Posilnenie prepojenia poľnohospodárstva, potravinárstva a lesného hospodárstva s výskumom a inováciami a inštitucionálne posilnenie systému pôdohospodárskeho poradenstva</w:t>
            </w:r>
          </w:p>
        </w:tc>
        <w:tc>
          <w:tcPr>
            <w:tcW w:w="1090" w:type="dxa"/>
            <w:tcBorders>
              <w:top w:val="nil"/>
              <w:left w:val="nil"/>
              <w:bottom w:val="single" w:sz="8" w:space="0" w:color="auto"/>
              <w:right w:val="single" w:sz="8" w:space="0" w:color="auto"/>
            </w:tcBorders>
            <w:tcMar>
              <w:top w:w="0" w:type="dxa"/>
              <w:left w:w="108" w:type="dxa"/>
              <w:bottom w:w="0" w:type="dxa"/>
              <w:right w:w="108" w:type="dxa"/>
            </w:tcMar>
            <w:hideMark/>
          </w:tcPr>
          <w:p w:rsidR="009E238E" w:rsidRDefault="009E238E" w:rsidP="009E238E">
            <w:pPr>
              <w:spacing w:after="120"/>
              <w:jc w:val="center"/>
              <w:rPr>
                <w:rFonts w:ascii="Calibri" w:hAnsi="Calibri"/>
                <w:sz w:val="20"/>
                <w:szCs w:val="20"/>
              </w:rPr>
            </w:pPr>
            <w:r w:rsidRPr="004A7D83">
              <w:rPr>
                <w:rFonts w:ascii="Calibri" w:hAnsi="Calibri"/>
                <w:sz w:val="20"/>
                <w:szCs w:val="20"/>
              </w:rPr>
              <w:t>1B</w:t>
            </w:r>
          </w:p>
          <w:p w:rsidR="009E238E" w:rsidRPr="004A7D83" w:rsidRDefault="009E238E" w:rsidP="009E238E">
            <w:pPr>
              <w:spacing w:after="120"/>
              <w:jc w:val="center"/>
              <w:rPr>
                <w:rFonts w:ascii="Calibri" w:hAnsi="Calibri"/>
              </w:rPr>
            </w:pPr>
            <w:r>
              <w:rPr>
                <w:rFonts w:ascii="Calibri" w:hAnsi="Calibri"/>
                <w:sz w:val="20"/>
                <w:szCs w:val="20"/>
                <w:lang w:eastAsia="zh-CN"/>
              </w:rPr>
              <w:t>Inovácie, ŽP, zmena klímy</w:t>
            </w:r>
          </w:p>
        </w:tc>
        <w:tc>
          <w:tcPr>
            <w:tcW w:w="10425" w:type="dxa"/>
            <w:tcBorders>
              <w:top w:val="nil"/>
              <w:left w:val="nil"/>
              <w:bottom w:val="single" w:sz="8" w:space="0" w:color="auto"/>
              <w:right w:val="single" w:sz="8" w:space="0" w:color="auto"/>
            </w:tcBorders>
            <w:tcMar>
              <w:top w:w="0" w:type="dxa"/>
              <w:left w:w="108" w:type="dxa"/>
              <w:bottom w:w="0" w:type="dxa"/>
              <w:right w:w="108" w:type="dxa"/>
            </w:tcMar>
            <w:hideMark/>
          </w:tcPr>
          <w:p w:rsidR="009E238E" w:rsidRDefault="009E238E" w:rsidP="009E238E">
            <w:pPr>
              <w:spacing w:after="120"/>
              <w:rPr>
                <w:rFonts w:ascii="Calibri" w:hAnsi="Calibri"/>
                <w:sz w:val="20"/>
                <w:szCs w:val="20"/>
              </w:rPr>
            </w:pPr>
            <w:r w:rsidRPr="004A7D83">
              <w:rPr>
                <w:rFonts w:ascii="Calibri" w:hAnsi="Calibri"/>
                <w:sz w:val="20"/>
                <w:szCs w:val="20"/>
              </w:rPr>
              <w:t>Najúčinnejším nástrojom prepojenia pôdohospodárskej výroby s výskumom a inováciami je systém poradenstva</w:t>
            </w:r>
            <w:r>
              <w:rPr>
                <w:rFonts w:ascii="Calibri" w:hAnsi="Calibri"/>
                <w:sz w:val="20"/>
                <w:szCs w:val="20"/>
              </w:rPr>
              <w:t xml:space="preserve"> (FAS)</w:t>
            </w:r>
            <w:r w:rsidRPr="004A7D83">
              <w:rPr>
                <w:rFonts w:ascii="Calibri" w:hAnsi="Calibri"/>
                <w:sz w:val="20"/>
                <w:szCs w:val="20"/>
              </w:rPr>
              <w:t xml:space="preserve">. </w:t>
            </w:r>
            <w:r>
              <w:rPr>
                <w:rFonts w:ascii="Calibri" w:hAnsi="Calibri"/>
                <w:sz w:val="20"/>
                <w:szCs w:val="20"/>
              </w:rPr>
              <w:t xml:space="preserve">Stagnáciu </w:t>
            </w:r>
            <w:r w:rsidRPr="004A7D83">
              <w:rPr>
                <w:rFonts w:ascii="Calibri" w:hAnsi="Calibri"/>
                <w:sz w:val="20"/>
                <w:szCs w:val="20"/>
              </w:rPr>
              <w:t xml:space="preserve"> poľnohospodársk</w:t>
            </w:r>
            <w:r>
              <w:rPr>
                <w:rFonts w:ascii="Calibri" w:hAnsi="Calibri"/>
                <w:sz w:val="20"/>
                <w:szCs w:val="20"/>
              </w:rPr>
              <w:t>eho</w:t>
            </w:r>
            <w:r w:rsidRPr="004A7D83">
              <w:rPr>
                <w:rFonts w:ascii="Calibri" w:hAnsi="Calibri"/>
                <w:sz w:val="20"/>
                <w:szCs w:val="20"/>
              </w:rPr>
              <w:t xml:space="preserve"> poradenstv</w:t>
            </w:r>
            <w:r>
              <w:rPr>
                <w:rFonts w:ascii="Calibri" w:hAnsi="Calibri"/>
                <w:sz w:val="20"/>
                <w:szCs w:val="20"/>
              </w:rPr>
              <w:t>a</w:t>
            </w:r>
            <w:r w:rsidRPr="004A7D83">
              <w:rPr>
                <w:rFonts w:ascii="Calibri" w:hAnsi="Calibri"/>
                <w:sz w:val="20"/>
                <w:szCs w:val="20"/>
              </w:rPr>
              <w:t xml:space="preserve"> SR  sa nepodarilo oživiť ani implementáciou opatrenia 114 </w:t>
            </w:r>
            <w:r>
              <w:rPr>
                <w:rFonts w:ascii="Calibri" w:hAnsi="Calibri"/>
                <w:sz w:val="20"/>
                <w:szCs w:val="20"/>
              </w:rPr>
              <w:t>(</w:t>
            </w:r>
            <w:r w:rsidRPr="004A7D83">
              <w:rPr>
                <w:rFonts w:ascii="Calibri" w:hAnsi="Calibri"/>
                <w:sz w:val="20"/>
                <w:szCs w:val="20"/>
              </w:rPr>
              <w:t xml:space="preserve"> PRV SR 2007</w:t>
            </w:r>
            <w:r>
              <w:rPr>
                <w:rFonts w:ascii="Calibri" w:hAnsi="Calibri"/>
                <w:sz w:val="20"/>
                <w:szCs w:val="20"/>
              </w:rPr>
              <w:t>-</w:t>
            </w:r>
            <w:r w:rsidRPr="004A7D83">
              <w:rPr>
                <w:rFonts w:ascii="Calibri" w:hAnsi="Calibri"/>
                <w:sz w:val="20"/>
                <w:szCs w:val="20"/>
              </w:rPr>
              <w:t xml:space="preserve"> 2013</w:t>
            </w:r>
            <w:r>
              <w:rPr>
                <w:rFonts w:ascii="Calibri" w:hAnsi="Calibri"/>
                <w:sz w:val="20"/>
                <w:szCs w:val="20"/>
              </w:rPr>
              <w:t>)</w:t>
            </w:r>
            <w:r w:rsidRPr="004A7D83">
              <w:rPr>
                <w:rFonts w:ascii="Calibri" w:hAnsi="Calibri"/>
                <w:sz w:val="20"/>
                <w:szCs w:val="20"/>
              </w:rPr>
              <w:t xml:space="preserve">, kde sa do polovice r. 2013 realizovala iba jedna výzva. Záujem o obmedzený tematický záber poradenstva  bol  nízky. Jednou z príčin je, že v SR nie sú etablované profesionálne poradenské inštitúcie, ktoré sa  systematicky venujú </w:t>
            </w:r>
            <w:r w:rsidRPr="004A7D83">
              <w:rPr>
                <w:rFonts w:ascii="Calibri" w:hAnsi="Calibri"/>
                <w:b/>
                <w:bCs/>
                <w:sz w:val="20"/>
                <w:szCs w:val="20"/>
              </w:rPr>
              <w:t>transferu výsledkov aplikovaného výskumu do praxe</w:t>
            </w:r>
            <w:r w:rsidRPr="004A7D83">
              <w:rPr>
                <w:rFonts w:ascii="Calibri" w:hAnsi="Calibri"/>
                <w:sz w:val="20"/>
                <w:szCs w:val="20"/>
              </w:rPr>
              <w:t xml:space="preserve"> a ktoré by vytvárali dodatočnú pridanú hodnotu </w:t>
            </w:r>
            <w:r>
              <w:rPr>
                <w:rFonts w:ascii="Calibri" w:hAnsi="Calibri"/>
                <w:sz w:val="20"/>
                <w:szCs w:val="20"/>
              </w:rPr>
              <w:t xml:space="preserve"> FAS. Ten</w:t>
            </w:r>
            <w:r w:rsidRPr="004A7D83">
              <w:rPr>
                <w:rFonts w:ascii="Calibri" w:hAnsi="Calibri"/>
                <w:sz w:val="20"/>
                <w:szCs w:val="20"/>
              </w:rPr>
              <w:t xml:space="preserve"> je postavený na nezávislých subjekto</w:t>
            </w:r>
            <w:r>
              <w:rPr>
                <w:rFonts w:ascii="Calibri" w:hAnsi="Calibri"/>
                <w:sz w:val="20"/>
                <w:szCs w:val="20"/>
              </w:rPr>
              <w:t>ch</w:t>
            </w:r>
            <w:r w:rsidRPr="004A7D83">
              <w:rPr>
                <w:rFonts w:ascii="Calibri" w:hAnsi="Calibri"/>
                <w:sz w:val="20"/>
                <w:szCs w:val="20"/>
              </w:rPr>
              <w:t xml:space="preserve"> bez  koordinácie nástrojov a obsahu poradenstva.</w:t>
            </w:r>
            <w:r>
              <w:rPr>
                <w:rFonts w:ascii="Calibri" w:hAnsi="Calibri"/>
                <w:sz w:val="20"/>
                <w:szCs w:val="20"/>
              </w:rPr>
              <w:t xml:space="preserve"> </w:t>
            </w:r>
          </w:p>
          <w:p w:rsidR="009E238E" w:rsidRPr="004A7D83" w:rsidRDefault="009E238E" w:rsidP="009E238E">
            <w:pPr>
              <w:spacing w:after="120"/>
              <w:rPr>
                <w:rFonts w:ascii="Calibri" w:hAnsi="Calibri"/>
              </w:rPr>
            </w:pPr>
            <w:r w:rsidRPr="004A7D83">
              <w:rPr>
                <w:rFonts w:ascii="Calibri" w:hAnsi="Calibri"/>
                <w:sz w:val="20"/>
                <w:szCs w:val="20"/>
              </w:rPr>
              <w:t>V</w:t>
            </w:r>
            <w:r w:rsidRPr="004A7D83">
              <w:rPr>
                <w:rFonts w:ascii="Calibri" w:hAnsi="Calibri"/>
                <w:b/>
                <w:bCs/>
                <w:sz w:val="20"/>
                <w:szCs w:val="20"/>
              </w:rPr>
              <w:t xml:space="preserve"> </w:t>
            </w:r>
            <w:r w:rsidRPr="004A7D83">
              <w:rPr>
                <w:rFonts w:ascii="Calibri" w:hAnsi="Calibri"/>
                <w:sz w:val="20"/>
                <w:szCs w:val="20"/>
              </w:rPr>
              <w:t>súvislosti s reformou SPP sú očakávania od FAS vysoké. Mal by poskytovať farmárom výstupy týkajúce sa celého spektra tém</w:t>
            </w:r>
            <w:r>
              <w:rPr>
                <w:rFonts w:ascii="Calibri" w:hAnsi="Calibri"/>
                <w:sz w:val="20"/>
                <w:szCs w:val="20"/>
              </w:rPr>
              <w:t>,</w:t>
            </w:r>
            <w:r w:rsidRPr="004A7D83">
              <w:rPr>
                <w:rFonts w:ascii="Calibri" w:hAnsi="Calibri"/>
                <w:sz w:val="20"/>
                <w:szCs w:val="20"/>
              </w:rPr>
              <w:t xml:space="preserve"> od </w:t>
            </w:r>
            <w:r>
              <w:rPr>
                <w:rFonts w:ascii="Calibri" w:hAnsi="Calibri"/>
                <w:sz w:val="20"/>
                <w:szCs w:val="20"/>
              </w:rPr>
              <w:t xml:space="preserve">posilnenia </w:t>
            </w:r>
            <w:r w:rsidRPr="004A7D83">
              <w:rPr>
                <w:rFonts w:ascii="Calibri" w:hAnsi="Calibri"/>
                <w:sz w:val="20"/>
                <w:szCs w:val="20"/>
              </w:rPr>
              <w:t>konkurencieschopnosti</w:t>
            </w:r>
            <w:r>
              <w:rPr>
                <w:rFonts w:ascii="Calibri" w:hAnsi="Calibri"/>
                <w:sz w:val="20"/>
                <w:szCs w:val="20"/>
              </w:rPr>
              <w:t xml:space="preserve"> a </w:t>
            </w:r>
            <w:r w:rsidRPr="004A7D83">
              <w:rPr>
                <w:rFonts w:ascii="Calibri" w:hAnsi="Calibri"/>
                <w:sz w:val="20"/>
                <w:szCs w:val="20"/>
              </w:rPr>
              <w:t>inováci</w:t>
            </w:r>
            <w:r>
              <w:rPr>
                <w:rFonts w:ascii="Calibri" w:hAnsi="Calibri"/>
                <w:sz w:val="20"/>
                <w:szCs w:val="20"/>
              </w:rPr>
              <w:t>í</w:t>
            </w:r>
            <w:r w:rsidRPr="004A7D83">
              <w:rPr>
                <w:rFonts w:ascii="Calibri" w:hAnsi="Calibri"/>
                <w:sz w:val="20"/>
                <w:szCs w:val="20"/>
              </w:rPr>
              <w:t xml:space="preserve"> až po </w:t>
            </w:r>
            <w:r>
              <w:rPr>
                <w:rFonts w:ascii="Calibri" w:hAnsi="Calibri"/>
                <w:sz w:val="20"/>
                <w:szCs w:val="20"/>
              </w:rPr>
              <w:t xml:space="preserve">účinnejšiu ochranu </w:t>
            </w:r>
            <w:r w:rsidRPr="004A7D83">
              <w:rPr>
                <w:rFonts w:ascii="Calibri" w:hAnsi="Calibri"/>
                <w:sz w:val="20"/>
                <w:szCs w:val="20"/>
              </w:rPr>
              <w:t>ŽP a klímy. Posilnenie FAS by malo zaistiť, že</w:t>
            </w:r>
            <w:r>
              <w:rPr>
                <w:rFonts w:ascii="Calibri" w:hAnsi="Calibri"/>
                <w:sz w:val="20"/>
                <w:szCs w:val="20"/>
              </w:rPr>
              <w:t xml:space="preserve"> </w:t>
            </w:r>
            <w:r w:rsidRPr="004A7D83">
              <w:rPr>
                <w:rFonts w:ascii="Calibri" w:hAnsi="Calibri"/>
                <w:sz w:val="20"/>
                <w:szCs w:val="20"/>
              </w:rPr>
              <w:t xml:space="preserve">poradenstvo </w:t>
            </w:r>
            <w:r>
              <w:rPr>
                <w:rFonts w:ascii="Calibri" w:hAnsi="Calibri"/>
                <w:sz w:val="20"/>
                <w:szCs w:val="20"/>
              </w:rPr>
              <w:t xml:space="preserve">bude </w:t>
            </w:r>
            <w:r w:rsidRPr="004A7D83">
              <w:rPr>
                <w:rFonts w:ascii="Calibri" w:hAnsi="Calibri"/>
                <w:sz w:val="20"/>
                <w:szCs w:val="20"/>
              </w:rPr>
              <w:t>reflekt</w:t>
            </w:r>
            <w:r>
              <w:rPr>
                <w:rFonts w:ascii="Calibri" w:hAnsi="Calibri"/>
                <w:sz w:val="20"/>
                <w:szCs w:val="20"/>
              </w:rPr>
              <w:t>ovať</w:t>
            </w:r>
            <w:r w:rsidRPr="004A7D83">
              <w:rPr>
                <w:rFonts w:ascii="Calibri" w:hAnsi="Calibri"/>
                <w:sz w:val="20"/>
                <w:szCs w:val="20"/>
              </w:rPr>
              <w:t xml:space="preserve"> špecifickú situáciu na farme, pričom </w:t>
            </w:r>
            <w:r>
              <w:rPr>
                <w:rFonts w:ascii="Calibri" w:hAnsi="Calibri"/>
                <w:sz w:val="20"/>
                <w:szCs w:val="20"/>
              </w:rPr>
              <w:t>pri</w:t>
            </w:r>
            <w:r w:rsidRPr="004A7D83">
              <w:rPr>
                <w:rFonts w:ascii="Calibri" w:hAnsi="Calibri"/>
                <w:sz w:val="20"/>
                <w:szCs w:val="20"/>
              </w:rPr>
              <w:t xml:space="preserve"> prierezový</w:t>
            </w:r>
            <w:r>
              <w:rPr>
                <w:rFonts w:ascii="Calibri" w:hAnsi="Calibri"/>
                <w:sz w:val="20"/>
                <w:szCs w:val="20"/>
              </w:rPr>
              <w:t>ch</w:t>
            </w:r>
            <w:r w:rsidRPr="004A7D83">
              <w:rPr>
                <w:rFonts w:ascii="Calibri" w:hAnsi="Calibri"/>
                <w:sz w:val="20"/>
                <w:szCs w:val="20"/>
              </w:rPr>
              <w:t xml:space="preserve"> téma</w:t>
            </w:r>
            <w:r>
              <w:rPr>
                <w:rFonts w:ascii="Calibri" w:hAnsi="Calibri"/>
                <w:sz w:val="20"/>
                <w:szCs w:val="20"/>
              </w:rPr>
              <w:t>ch</w:t>
            </w:r>
            <w:r w:rsidRPr="004A7D83">
              <w:rPr>
                <w:rFonts w:ascii="Calibri" w:hAnsi="Calibri"/>
                <w:sz w:val="20"/>
                <w:szCs w:val="20"/>
              </w:rPr>
              <w:t xml:space="preserve"> ŽP a klímy, je </w:t>
            </w:r>
            <w:r>
              <w:rPr>
                <w:rFonts w:ascii="Calibri" w:hAnsi="Calibri"/>
                <w:sz w:val="20"/>
                <w:szCs w:val="20"/>
              </w:rPr>
              <w:t xml:space="preserve">treba </w:t>
            </w:r>
            <w:r w:rsidRPr="004A7D83">
              <w:rPr>
                <w:rFonts w:ascii="Calibri" w:hAnsi="Calibri"/>
                <w:sz w:val="20"/>
                <w:szCs w:val="20"/>
              </w:rPr>
              <w:t xml:space="preserve"> presadzovať </w:t>
            </w:r>
            <w:r w:rsidRPr="004A7D83">
              <w:rPr>
                <w:rFonts w:ascii="Calibri" w:hAnsi="Calibri"/>
                <w:b/>
                <w:bCs/>
                <w:sz w:val="20"/>
                <w:szCs w:val="20"/>
              </w:rPr>
              <w:t xml:space="preserve">ekosystémový manažment hospodárenia </w:t>
            </w:r>
            <w:r>
              <w:rPr>
                <w:rFonts w:ascii="Calibri" w:hAnsi="Calibri"/>
                <w:bCs/>
                <w:sz w:val="20"/>
                <w:szCs w:val="20"/>
              </w:rPr>
              <w:t>už</w:t>
            </w:r>
            <w:r w:rsidRPr="004E6E15">
              <w:rPr>
                <w:rFonts w:ascii="Calibri" w:hAnsi="Calibri"/>
                <w:sz w:val="20"/>
                <w:szCs w:val="20"/>
              </w:rPr>
              <w:t xml:space="preserve"> </w:t>
            </w:r>
            <w:r w:rsidRPr="004A7D83">
              <w:rPr>
                <w:rFonts w:ascii="Calibri" w:hAnsi="Calibri"/>
                <w:sz w:val="20"/>
                <w:szCs w:val="20"/>
              </w:rPr>
              <w:t>pri príprave poradcov</w:t>
            </w:r>
            <w:r>
              <w:rPr>
                <w:rFonts w:ascii="Calibri" w:hAnsi="Calibri"/>
                <w:sz w:val="20"/>
                <w:szCs w:val="20"/>
              </w:rPr>
              <w:t>,</w:t>
            </w:r>
            <w:r w:rsidRPr="004A7D83">
              <w:rPr>
                <w:rFonts w:ascii="Calibri" w:hAnsi="Calibri"/>
                <w:sz w:val="20"/>
                <w:szCs w:val="20"/>
              </w:rPr>
              <w:t xml:space="preserve"> t.j. navrhovať riešenia</w:t>
            </w:r>
            <w:r w:rsidRPr="004A7D83">
              <w:rPr>
                <w:rFonts w:ascii="Calibri" w:hAnsi="Calibri"/>
                <w:b/>
                <w:bCs/>
                <w:sz w:val="20"/>
                <w:szCs w:val="20"/>
              </w:rPr>
              <w:t xml:space="preserve"> </w:t>
            </w:r>
            <w:r w:rsidRPr="004A7D83">
              <w:rPr>
                <w:rFonts w:ascii="Calibri" w:hAnsi="Calibri"/>
                <w:sz w:val="20"/>
                <w:szCs w:val="20"/>
              </w:rPr>
              <w:t>v úzkom prepojení na konkrétny potenciál farmy/podniku s cieľom chrániť biodiverzitu, kvalitu vody, pôdy, zabrániť zmene klímy a podporiť adaptáciu.</w:t>
            </w:r>
          </w:p>
          <w:p w:rsidR="009E238E" w:rsidRPr="004A7D83" w:rsidRDefault="009E238E" w:rsidP="009E238E">
            <w:pPr>
              <w:spacing w:after="120"/>
              <w:rPr>
                <w:rFonts w:ascii="Calibri" w:hAnsi="Calibri"/>
              </w:rPr>
            </w:pPr>
            <w:r w:rsidRPr="004A7D83">
              <w:rPr>
                <w:rFonts w:ascii="Calibri" w:hAnsi="Calibri"/>
                <w:sz w:val="20"/>
                <w:szCs w:val="20"/>
              </w:rPr>
              <w:t xml:space="preserve">Rozhodujúcou zložkou </w:t>
            </w:r>
            <w:r>
              <w:rPr>
                <w:rFonts w:ascii="Calibri" w:hAnsi="Calibri"/>
                <w:sz w:val="20"/>
                <w:szCs w:val="20"/>
              </w:rPr>
              <w:t xml:space="preserve"> FAS</w:t>
            </w:r>
            <w:r w:rsidRPr="004A7D83">
              <w:rPr>
                <w:rFonts w:ascii="Calibri" w:hAnsi="Calibri"/>
                <w:sz w:val="20"/>
                <w:szCs w:val="20"/>
              </w:rPr>
              <w:t xml:space="preserve"> sú odborné ľudské kapacity - poradcovia, preto je nevyhnutné systematicky podporovať školenie</w:t>
            </w:r>
            <w:r w:rsidRPr="004A7D83">
              <w:rPr>
                <w:rFonts w:ascii="Calibri" w:hAnsi="Calibri"/>
                <w:sz w:val="20"/>
                <w:szCs w:val="20"/>
              </w:rPr>
              <w:lastRenderedPageBreak/>
              <w:t xml:space="preserve"> a certifikáciu poradcov, prípravu kvalitného  obsahu poradenstva podľa oblastí, ktoré špecifikuje čl.16 príslušného nariadenia</w:t>
            </w:r>
            <w:r>
              <w:rPr>
                <w:rFonts w:ascii="Calibri" w:hAnsi="Calibri"/>
                <w:sz w:val="20"/>
                <w:szCs w:val="20"/>
              </w:rPr>
              <w:t xml:space="preserve">.  Dôležitou súčasťou je vytvorenie systému hodnotenia práce poradcov, s využitím spätnej väzby obsluhovaných subjektov, čo prinesie reálny pohľad na dôležitosť jednotlivých oblastí poradenstva a nové témy, ktoré súčasná prax potrebuje. </w:t>
            </w:r>
          </w:p>
        </w:tc>
      </w:tr>
      <w:tr w:rsidR="009E238E" w:rsidRPr="004A7D83" w:rsidTr="009E238E">
        <w:trPr>
          <w:trHeight w:val="4887"/>
        </w:trPr>
        <w:tc>
          <w:tcPr>
            <w:tcW w:w="269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9E238E" w:rsidRPr="004A7D83" w:rsidRDefault="009E238E" w:rsidP="00CE203B">
            <w:pPr>
              <w:numPr>
                <w:ilvl w:val="0"/>
                <w:numId w:val="343"/>
              </w:numPr>
              <w:spacing w:after="120"/>
              <w:ind w:left="284" w:hanging="284"/>
              <w:jc w:val="left"/>
              <w:textAlignment w:val="baseline"/>
              <w:rPr>
                <w:rFonts w:ascii="Calibri" w:hAnsi="Calibri"/>
              </w:rPr>
            </w:pPr>
            <w:r w:rsidRPr="004A7D83">
              <w:rPr>
                <w:rFonts w:ascii="Calibri" w:hAnsi="Calibri"/>
                <w:sz w:val="20"/>
                <w:szCs w:val="20"/>
                <w:lang w:eastAsia="zh-CN"/>
              </w:rPr>
              <w:t>Podpora celoživotného vzdelávania poľnohospodárov, potravinárov a lesníkov</w:t>
            </w:r>
          </w:p>
        </w:tc>
        <w:tc>
          <w:tcPr>
            <w:tcW w:w="1090" w:type="dxa"/>
            <w:tcBorders>
              <w:top w:val="nil"/>
              <w:left w:val="nil"/>
              <w:bottom w:val="single" w:sz="8" w:space="0" w:color="000000"/>
              <w:right w:val="single" w:sz="8" w:space="0" w:color="000000"/>
            </w:tcBorders>
            <w:tcMar>
              <w:top w:w="0" w:type="dxa"/>
              <w:left w:w="108" w:type="dxa"/>
              <w:bottom w:w="0" w:type="dxa"/>
              <w:right w:w="108" w:type="dxa"/>
            </w:tcMar>
            <w:hideMark/>
          </w:tcPr>
          <w:p w:rsidR="009E238E" w:rsidRDefault="009E238E" w:rsidP="009E238E">
            <w:pPr>
              <w:spacing w:after="120"/>
              <w:jc w:val="center"/>
              <w:rPr>
                <w:rFonts w:ascii="Calibri" w:hAnsi="Calibri"/>
                <w:sz w:val="20"/>
                <w:szCs w:val="20"/>
              </w:rPr>
            </w:pPr>
            <w:r w:rsidRPr="004A7D83">
              <w:rPr>
                <w:rFonts w:ascii="Calibri" w:hAnsi="Calibri"/>
                <w:sz w:val="20"/>
                <w:szCs w:val="20"/>
              </w:rPr>
              <w:t>1C</w:t>
            </w:r>
          </w:p>
          <w:p w:rsidR="009E238E" w:rsidRPr="004A7D83" w:rsidRDefault="009E238E" w:rsidP="009E238E">
            <w:pPr>
              <w:spacing w:after="120"/>
              <w:jc w:val="center"/>
              <w:rPr>
                <w:rFonts w:ascii="Calibri" w:hAnsi="Calibri"/>
              </w:rPr>
            </w:pPr>
            <w:r>
              <w:rPr>
                <w:rFonts w:ascii="Calibri" w:hAnsi="Calibri"/>
                <w:sz w:val="20"/>
                <w:szCs w:val="20"/>
                <w:lang w:eastAsia="zh-CN"/>
              </w:rPr>
              <w:t>Inovácie, ŽP, zmena klímy</w:t>
            </w:r>
          </w:p>
        </w:tc>
        <w:tc>
          <w:tcPr>
            <w:tcW w:w="10425" w:type="dxa"/>
            <w:tcBorders>
              <w:top w:val="nil"/>
              <w:left w:val="nil"/>
              <w:bottom w:val="single" w:sz="8" w:space="0" w:color="000000"/>
              <w:right w:val="single" w:sz="8" w:space="0" w:color="000000"/>
            </w:tcBorders>
            <w:tcMar>
              <w:top w:w="0" w:type="dxa"/>
              <w:left w:w="108" w:type="dxa"/>
              <w:bottom w:w="0" w:type="dxa"/>
              <w:right w:w="108" w:type="dxa"/>
            </w:tcMar>
            <w:hideMark/>
          </w:tcPr>
          <w:p w:rsidR="009E238E" w:rsidRDefault="009E238E" w:rsidP="009E238E">
            <w:pPr>
              <w:spacing w:after="120"/>
              <w:rPr>
                <w:rFonts w:ascii="Calibri" w:hAnsi="Calibri"/>
                <w:b/>
                <w:bCs/>
                <w:sz w:val="20"/>
                <w:szCs w:val="20"/>
              </w:rPr>
            </w:pPr>
            <w:r w:rsidRPr="004A7D83">
              <w:rPr>
                <w:rFonts w:ascii="Calibri" w:hAnsi="Calibri"/>
                <w:sz w:val="20"/>
                <w:szCs w:val="20"/>
              </w:rPr>
              <w:t xml:space="preserve">Nevyhnutnou podmienkou inteligentného rastu je kvalitné školstvo </w:t>
            </w:r>
            <w:r w:rsidRPr="004A7D83">
              <w:rPr>
                <w:rFonts w:ascii="Calibri" w:hAnsi="Calibri"/>
                <w:b/>
                <w:bCs/>
                <w:sz w:val="20"/>
                <w:szCs w:val="20"/>
              </w:rPr>
              <w:t>a systém celoživotného vzdelávania.</w:t>
            </w:r>
          </w:p>
          <w:p w:rsidR="009E238E" w:rsidRPr="004A7D83" w:rsidRDefault="009E238E" w:rsidP="009E238E">
            <w:pPr>
              <w:spacing w:after="120"/>
              <w:rPr>
                <w:rFonts w:ascii="Calibri" w:hAnsi="Calibri"/>
              </w:rPr>
            </w:pPr>
            <w:r w:rsidRPr="004A7D83">
              <w:rPr>
                <w:rFonts w:ascii="Calibri" w:hAnsi="Calibri"/>
                <w:sz w:val="20"/>
                <w:szCs w:val="20"/>
              </w:rPr>
              <w:t xml:space="preserve">Úlohou MPRV SR je, aby v stratégii prezentovaný </w:t>
            </w:r>
            <w:r w:rsidRPr="004A7D83">
              <w:rPr>
                <w:rFonts w:ascii="Calibri" w:hAnsi="Calibri"/>
                <w:b/>
                <w:bCs/>
                <w:sz w:val="20"/>
                <w:szCs w:val="20"/>
              </w:rPr>
              <w:t>vedomostný trojuholník naozaj v praxi fungoval</w:t>
            </w:r>
            <w:r w:rsidRPr="004A7D83">
              <w:rPr>
                <w:rFonts w:ascii="Calibri" w:hAnsi="Calibri"/>
                <w:sz w:val="20"/>
                <w:szCs w:val="20"/>
              </w:rPr>
              <w:t xml:space="preserve">, t. j. </w:t>
            </w:r>
            <w:r w:rsidRPr="004A7D83">
              <w:rPr>
                <w:rFonts w:ascii="Calibri" w:hAnsi="Calibri"/>
                <w:b/>
                <w:bCs/>
                <w:sz w:val="20"/>
                <w:szCs w:val="20"/>
              </w:rPr>
              <w:t>bol navzájom inštitucionálne úzko prepojený a</w:t>
            </w:r>
            <w:r w:rsidRPr="004A7D83">
              <w:rPr>
                <w:rFonts w:ascii="Calibri" w:hAnsi="Calibri"/>
                <w:sz w:val="20"/>
                <w:szCs w:val="20"/>
              </w:rPr>
              <w:t xml:space="preserve"> </w:t>
            </w:r>
            <w:r w:rsidRPr="004A7D83">
              <w:rPr>
                <w:rFonts w:ascii="Calibri" w:hAnsi="Calibri"/>
                <w:b/>
                <w:bCs/>
                <w:sz w:val="20"/>
                <w:szCs w:val="20"/>
              </w:rPr>
              <w:t>dôsledne koordinovaný</w:t>
            </w:r>
            <w:r w:rsidRPr="004A7D83">
              <w:rPr>
                <w:rFonts w:ascii="Calibri" w:hAnsi="Calibri"/>
                <w:sz w:val="20"/>
                <w:szCs w:val="20"/>
              </w:rPr>
              <w:t>, čo v rámci SR dlhoročne predstav</w:t>
            </w:r>
            <w:r>
              <w:rPr>
                <w:rFonts w:ascii="Calibri" w:hAnsi="Calibri"/>
                <w:sz w:val="20"/>
                <w:szCs w:val="20"/>
              </w:rPr>
              <w:t>ovalo</w:t>
            </w:r>
            <w:r w:rsidRPr="004A7D83">
              <w:rPr>
                <w:rFonts w:ascii="Calibri" w:hAnsi="Calibri"/>
                <w:sz w:val="20"/>
                <w:szCs w:val="20"/>
              </w:rPr>
              <w:t xml:space="preserve"> slabú stránku. V súčasnosti MPRV SR do riadenia tohto systému nedostatočne zasahuje a jednotlivé systémové súčasti trojuholníka sa viac snažia o udržanie autonómie namiesto toho, aby preferovali užšiu integráciu, ktorá má potenciál zvýšenia efektivity.</w:t>
            </w:r>
          </w:p>
          <w:p w:rsidR="009E238E" w:rsidRPr="004A7D83" w:rsidRDefault="009E238E" w:rsidP="009E238E">
            <w:pPr>
              <w:spacing w:after="120"/>
              <w:rPr>
                <w:rFonts w:ascii="Calibri" w:hAnsi="Calibri"/>
              </w:rPr>
            </w:pPr>
            <w:r w:rsidRPr="004A7D83">
              <w:rPr>
                <w:rFonts w:ascii="Calibri" w:hAnsi="Calibri"/>
                <w:sz w:val="20"/>
                <w:szCs w:val="20"/>
              </w:rPr>
              <w:t>Počas implementácie PRV 2007-2013 nebol dostatočne nastavený mechanizmus kontroly kvality poradenstva a ďalšieho vzdelávania aj v prepojení na konkrétne ekonomické ukazovatele a výkonnosť subjektov /prijímateľov. Ako konštatuje záverečná správa strednodobého hodnotenia PRV SR 2007-2013, príspevok vzdelávacích opatrení (kód 111 a 331) na zlepšenie uplatnenia v praxi nebol jednoznačný.</w:t>
            </w:r>
          </w:p>
          <w:p w:rsidR="009E238E" w:rsidRPr="004A7D83" w:rsidRDefault="009E238E" w:rsidP="009E238E">
            <w:pPr>
              <w:spacing w:after="120"/>
              <w:rPr>
                <w:rFonts w:ascii="Calibri" w:hAnsi="Calibri"/>
              </w:rPr>
            </w:pPr>
            <w:r w:rsidRPr="004A7D83">
              <w:rPr>
                <w:rFonts w:ascii="Calibri" w:hAnsi="Calibri"/>
                <w:sz w:val="20"/>
                <w:szCs w:val="20"/>
              </w:rPr>
              <w:t>Kritickou podmienkou zlepšenia je podrobná analýza vzdelávacích potrieb so zainteresovaním zamestnávateľov (predvýber obsahového zamerania) a výber vzdelávacích inštitúcií, ktoré musia spĺňať podmienky kapacity kvalifikovaných zamestnancov/ lektorov a materiálno-technického zabezpečenia na základe určených kritérií.</w:t>
            </w:r>
          </w:p>
          <w:p w:rsidR="009E238E" w:rsidRPr="004A7D83" w:rsidRDefault="009E238E" w:rsidP="009E238E">
            <w:pPr>
              <w:spacing w:after="120"/>
              <w:rPr>
                <w:rFonts w:ascii="Calibri" w:hAnsi="Calibri"/>
              </w:rPr>
            </w:pPr>
            <w:r w:rsidRPr="004A7D83">
              <w:rPr>
                <w:rFonts w:ascii="Calibri" w:hAnsi="Calibri"/>
                <w:sz w:val="20"/>
                <w:szCs w:val="20"/>
              </w:rPr>
              <w:t>Zameranie školení orientovať špecificky na potreby výrob s vyššou pridanou hodnotou a kvalitou, ktoré posilnia konkurencieschopnosť poľnohospodárstva, spracovania potravín a lesníctva a podporia domáci trh prostredníctvom nových distribučných kanálov, krátkych reťazcov, regionálnych tržníc a pod. (vo väzbe na priority 2 a 3).</w:t>
            </w:r>
          </w:p>
          <w:p w:rsidR="009E238E" w:rsidRPr="004A7D83" w:rsidRDefault="009E238E" w:rsidP="009E238E">
            <w:pPr>
              <w:spacing w:after="120"/>
              <w:rPr>
                <w:rFonts w:ascii="Calibri" w:hAnsi="Calibri"/>
              </w:rPr>
            </w:pPr>
            <w:r w:rsidRPr="004A7D83">
              <w:rPr>
                <w:rFonts w:ascii="Calibri" w:hAnsi="Calibri"/>
                <w:sz w:val="20"/>
                <w:szCs w:val="20"/>
              </w:rPr>
              <w:t>Kľúčovými školiacimi centrami aj do budúceho obdobia zostávajú Agroinštitút Nitra pre oblasť poľnohospodárstva a NLC Zvolen pre oblasť lesníctva.</w:t>
            </w:r>
          </w:p>
        </w:tc>
      </w:tr>
      <w:tr w:rsidR="009E238E" w:rsidRPr="004A7D83" w:rsidTr="009E238E">
        <w:trPr>
          <w:trHeight w:val="172"/>
        </w:trPr>
        <w:tc>
          <w:tcPr>
            <w:tcW w:w="14205" w:type="dxa"/>
            <w:gridSpan w:val="3"/>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9E238E" w:rsidRPr="006217F9" w:rsidRDefault="009E238E" w:rsidP="009E238E">
            <w:pPr>
              <w:spacing w:after="120"/>
              <w:jc w:val="left"/>
              <w:rPr>
                <w:rFonts w:ascii="Calibri" w:hAnsi="Calibri"/>
                <w:i/>
                <w:iCs/>
              </w:rPr>
            </w:pPr>
            <w:r w:rsidRPr="004A7D83">
              <w:rPr>
                <w:rFonts w:ascii="Calibri" w:hAnsi="Calibri"/>
                <w:i/>
                <w:iCs/>
              </w:rPr>
              <w:t xml:space="preserve">Priorita 1 je prierezová a očakáva sa jej významný synergický vplyv na všetky ostatné prioritné oblasti, t.j. </w:t>
            </w:r>
            <w:r w:rsidRPr="004A7D83">
              <w:rPr>
                <w:rFonts w:ascii="Calibri" w:hAnsi="Calibri"/>
                <w:b/>
                <w:bCs/>
                <w:i/>
                <w:iCs/>
              </w:rPr>
              <w:t>pre všetky nasledovné potreby je nevyhnutné projektovať vhodné činnosti v rámci priority 1.</w:t>
            </w:r>
          </w:p>
        </w:tc>
      </w:tr>
      <w:tr w:rsidR="009E238E" w:rsidRPr="004A7D83" w:rsidTr="009E238E">
        <w:trPr>
          <w:trHeight w:val="172"/>
        </w:trPr>
        <w:tc>
          <w:tcPr>
            <w:tcW w:w="269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9E238E" w:rsidRPr="004A7D83" w:rsidRDefault="009E238E" w:rsidP="00CE203B">
            <w:pPr>
              <w:numPr>
                <w:ilvl w:val="0"/>
                <w:numId w:val="343"/>
              </w:numPr>
              <w:spacing w:after="120"/>
              <w:ind w:left="284" w:hanging="284"/>
              <w:jc w:val="left"/>
              <w:textAlignment w:val="baseline"/>
              <w:rPr>
                <w:rFonts w:ascii="Calibri" w:hAnsi="Calibri"/>
              </w:rPr>
            </w:pPr>
            <w:r w:rsidRPr="004A7D83">
              <w:rPr>
                <w:rFonts w:ascii="Calibri" w:hAnsi="Calibri"/>
                <w:sz w:val="20"/>
                <w:szCs w:val="20"/>
                <w:lang w:eastAsia="zh-CN"/>
              </w:rPr>
              <w:t xml:space="preserve">Zvýšiť efektivitu všetkých výrobných faktorov a dosiahnuť nárast pridanej hodnoty poľnohospodárskych podnikov </w:t>
            </w:r>
          </w:p>
        </w:tc>
        <w:tc>
          <w:tcPr>
            <w:tcW w:w="1090" w:type="dxa"/>
            <w:tcBorders>
              <w:top w:val="nil"/>
              <w:left w:val="nil"/>
              <w:bottom w:val="single" w:sz="8" w:space="0" w:color="000000"/>
              <w:right w:val="single" w:sz="8" w:space="0" w:color="000000"/>
            </w:tcBorders>
            <w:tcMar>
              <w:top w:w="0" w:type="dxa"/>
              <w:left w:w="108" w:type="dxa"/>
              <w:bottom w:w="0" w:type="dxa"/>
              <w:right w:w="108" w:type="dxa"/>
            </w:tcMar>
            <w:hideMark/>
          </w:tcPr>
          <w:p w:rsidR="009E238E" w:rsidRPr="004A7D83" w:rsidRDefault="009E238E" w:rsidP="009E238E">
            <w:pPr>
              <w:jc w:val="center"/>
              <w:rPr>
                <w:rFonts w:ascii="Calibri" w:hAnsi="Calibri"/>
              </w:rPr>
            </w:pPr>
            <w:r w:rsidRPr="004A7D83">
              <w:rPr>
                <w:rFonts w:ascii="Calibri" w:hAnsi="Calibri"/>
                <w:sz w:val="20"/>
                <w:szCs w:val="20"/>
                <w:lang w:eastAsia="zh-CN"/>
              </w:rPr>
              <w:t>2A, 3A, 6A</w:t>
            </w:r>
          </w:p>
          <w:p w:rsidR="009E238E" w:rsidRPr="004A7D83" w:rsidRDefault="009E238E" w:rsidP="009E238E">
            <w:pPr>
              <w:jc w:val="center"/>
              <w:rPr>
                <w:rFonts w:ascii="Calibri" w:hAnsi="Calibri"/>
              </w:rPr>
            </w:pPr>
            <w:r w:rsidRPr="004A7D83">
              <w:rPr>
                <w:rFonts w:ascii="Calibri" w:hAnsi="Calibri"/>
                <w:sz w:val="20"/>
                <w:szCs w:val="20"/>
                <w:lang w:eastAsia="zh-CN"/>
              </w:rPr>
              <w:t>Inovácie</w:t>
            </w:r>
          </w:p>
        </w:tc>
        <w:tc>
          <w:tcPr>
            <w:tcW w:w="10425" w:type="dxa"/>
            <w:tcBorders>
              <w:top w:val="nil"/>
              <w:left w:val="nil"/>
              <w:bottom w:val="single" w:sz="8" w:space="0" w:color="000000"/>
              <w:right w:val="single" w:sz="8" w:space="0" w:color="000000"/>
            </w:tcBorders>
            <w:tcMar>
              <w:top w:w="0" w:type="dxa"/>
              <w:left w:w="108" w:type="dxa"/>
              <w:bottom w:w="0" w:type="dxa"/>
              <w:right w:w="108" w:type="dxa"/>
            </w:tcMar>
            <w:hideMark/>
          </w:tcPr>
          <w:p w:rsidR="009E238E" w:rsidRPr="004A7D83" w:rsidRDefault="009E238E" w:rsidP="009E238E">
            <w:pPr>
              <w:rPr>
                <w:rFonts w:ascii="Calibri" w:hAnsi="Calibri"/>
              </w:rPr>
            </w:pPr>
            <w:r w:rsidRPr="004A7D83">
              <w:rPr>
                <w:rFonts w:ascii="Calibri" w:hAnsi="Calibri"/>
                <w:sz w:val="20"/>
                <w:szCs w:val="20"/>
                <w:lang w:eastAsia="zh-CN"/>
              </w:rPr>
              <w:t xml:space="preserve">Potreba reflektuje najmä na stratové hospodárenie podnikov a pokles produkcie rastlinnej, ale najmä živočíšnej výroby tak, ako to popisuje SWOT analýza. V snahe znížiť náklady dochádza k znižovaniu počtu pracovníkov a k ďalšiemu poklesu produkcie. Základom </w:t>
            </w:r>
            <w:r>
              <w:rPr>
                <w:rFonts w:ascii="Calibri" w:hAnsi="Calibri"/>
                <w:sz w:val="20"/>
                <w:szCs w:val="20"/>
                <w:lang w:eastAsia="zh-CN"/>
              </w:rPr>
              <w:t xml:space="preserve">musí byť </w:t>
            </w:r>
            <w:r w:rsidRPr="004A7D83">
              <w:rPr>
                <w:rFonts w:ascii="Calibri" w:hAnsi="Calibri"/>
                <w:sz w:val="20"/>
                <w:szCs w:val="20"/>
                <w:lang w:eastAsia="zh-CN"/>
              </w:rPr>
              <w:t xml:space="preserve"> reštrukturalizácia výroby </w:t>
            </w:r>
            <w:r>
              <w:rPr>
                <w:rFonts w:ascii="Calibri" w:hAnsi="Calibri"/>
                <w:sz w:val="20"/>
                <w:szCs w:val="20"/>
                <w:lang w:eastAsia="zh-CN"/>
              </w:rPr>
              <w:t xml:space="preserve">a jej </w:t>
            </w:r>
            <w:r w:rsidRPr="004A7D83">
              <w:rPr>
                <w:rFonts w:ascii="Calibri" w:hAnsi="Calibri"/>
                <w:sz w:val="20"/>
                <w:szCs w:val="20"/>
                <w:lang w:eastAsia="zh-CN"/>
              </w:rPr>
              <w:t>diverzifikácia, ktorá by mala viesť k úspore nákladov, modernizácii výrobných zariadení a k rozšíreniu zdrojov príjm</w:t>
            </w:r>
            <w:r>
              <w:rPr>
                <w:rFonts w:ascii="Calibri" w:hAnsi="Calibri"/>
                <w:sz w:val="20"/>
                <w:szCs w:val="20"/>
                <w:lang w:eastAsia="zh-CN"/>
              </w:rPr>
              <w:t>ov</w:t>
            </w:r>
            <w:r w:rsidRPr="004A7D83">
              <w:rPr>
                <w:rFonts w:ascii="Calibri" w:hAnsi="Calibri"/>
                <w:sz w:val="20"/>
                <w:szCs w:val="20"/>
                <w:lang w:eastAsia="zh-CN"/>
              </w:rPr>
              <w:t xml:space="preserve">. Toho, čo v súčasnosti dokážu podniky speňažiť (predať), je </w:t>
            </w:r>
            <w:r>
              <w:rPr>
                <w:rFonts w:ascii="Calibri" w:hAnsi="Calibri"/>
                <w:sz w:val="20"/>
                <w:szCs w:val="20"/>
                <w:lang w:eastAsia="zh-CN"/>
              </w:rPr>
              <w:t xml:space="preserve"> pomerne</w:t>
            </w:r>
            <w:r w:rsidRPr="004A7D83">
              <w:rPr>
                <w:rFonts w:ascii="Calibri" w:hAnsi="Calibri"/>
                <w:sz w:val="20"/>
                <w:szCs w:val="20"/>
                <w:lang w:eastAsia="zh-CN"/>
              </w:rPr>
              <w:t xml:space="preserve"> málo (nízke hektárové úrody, nízka intenzita chovov oproti EÚ); 30% príjmov tvoria prevádzkové podpory a vrátane priamych platieb.</w:t>
            </w:r>
          </w:p>
          <w:p w:rsidR="009E238E" w:rsidRDefault="009E238E" w:rsidP="009E238E">
            <w:pPr>
              <w:rPr>
                <w:rFonts w:ascii="Calibri" w:hAnsi="Calibri"/>
                <w:sz w:val="20"/>
                <w:szCs w:val="20"/>
                <w:lang w:eastAsia="zh-CN"/>
              </w:rPr>
            </w:pPr>
            <w:r w:rsidRPr="004A7D83">
              <w:rPr>
                <w:rFonts w:ascii="Calibri" w:hAnsi="Calibri"/>
                <w:sz w:val="20"/>
                <w:szCs w:val="20"/>
                <w:lang w:eastAsia="zh-CN"/>
              </w:rPr>
              <w:t xml:space="preserve">Je potrebné zvýšiť zapojenie práce do výrobného procesu a efektivitu vykonanej práce, napr. zlepšením strojného a materiálového vybavenia, lepším využívaním pôdy, diverzifikáciou výroby, inak hrozí pokles výroby a neudržanie pracovných miest. </w:t>
            </w:r>
            <w:r w:rsidRPr="00932188">
              <w:rPr>
                <w:rFonts w:ascii="Calibri" w:hAnsi="Calibri"/>
                <w:b/>
                <w:sz w:val="20"/>
                <w:szCs w:val="20"/>
                <w:lang w:eastAsia="zh-CN"/>
              </w:rPr>
              <w:t>Efektivita je meraná pridanou hodnotou, ktorá je vytvorená pôsobením výrobných faktorov</w:t>
            </w:r>
            <w:r w:rsidRPr="004A7D83">
              <w:rPr>
                <w:rFonts w:ascii="Calibri" w:hAnsi="Calibri"/>
                <w:sz w:val="20"/>
                <w:szCs w:val="20"/>
                <w:lang w:eastAsia="zh-CN"/>
              </w:rPr>
              <w:t xml:space="preserve">. </w:t>
            </w:r>
          </w:p>
          <w:p w:rsidR="009E238E" w:rsidRPr="000C1DE0" w:rsidRDefault="009E238E" w:rsidP="009E238E">
            <w:pPr>
              <w:rPr>
                <w:rFonts w:ascii="Calibri" w:hAnsi="Calibri"/>
                <w:sz w:val="20"/>
                <w:szCs w:val="20"/>
                <w:lang w:eastAsia="zh-CN"/>
              </w:rPr>
            </w:pPr>
            <w:r>
              <w:rPr>
                <w:rFonts w:ascii="Calibri" w:hAnsi="Calibri"/>
                <w:sz w:val="20"/>
                <w:szCs w:val="20"/>
                <w:lang w:eastAsia="zh-CN"/>
              </w:rPr>
              <w:t xml:space="preserve">Nárast efektivity poľnohospodárskej prvovýroby je možné dosiahnuť zvýšeným podielom spracovania produktov a ich marketingom, čo znamená pokročiť ďalej v procese integrácie poľnohospodárov do reťazca výroby potravín. V týchto procesoch  je žiaduca </w:t>
            </w:r>
            <w:r w:rsidRPr="004A7D83">
              <w:rPr>
                <w:rFonts w:ascii="Calibri" w:hAnsi="Calibri"/>
                <w:sz w:val="20"/>
                <w:szCs w:val="20"/>
                <w:lang w:eastAsia="zh-CN"/>
              </w:rPr>
              <w:t xml:space="preserve"> spolupráca pri zavádzaní nových produktov alebo postupov, stimulácia vývoja inovačných výrobkov, procesov a</w:t>
            </w:r>
            <w:r>
              <w:rPr>
                <w:rFonts w:ascii="Calibri" w:hAnsi="Calibri"/>
                <w:sz w:val="20"/>
                <w:szCs w:val="20"/>
                <w:lang w:eastAsia="zh-CN"/>
              </w:rPr>
              <w:t> </w:t>
            </w:r>
            <w:r w:rsidRPr="004A7D83">
              <w:rPr>
                <w:rFonts w:ascii="Calibri" w:hAnsi="Calibri"/>
                <w:sz w:val="20"/>
                <w:szCs w:val="20"/>
                <w:lang w:eastAsia="zh-CN"/>
              </w:rPr>
              <w:t>služieb. S tým súvisí aj poradenstvo a vzdelávanie pri tvorbe a realizácii podnikových stratégií a prechod k inovatívnym projektom.</w:t>
            </w:r>
            <w:r>
              <w:rPr>
                <w:rFonts w:ascii="Calibri" w:hAnsi="Calibri"/>
                <w:sz w:val="20"/>
                <w:szCs w:val="20"/>
                <w:lang w:eastAsia="zh-CN"/>
              </w:rPr>
              <w:t xml:space="preserve"> Potreba podporiť zvýšenie efektivity poľnohospodárskej výroby platí pre všetky typy podnikov. </w:t>
            </w:r>
          </w:p>
        </w:tc>
      </w:tr>
      <w:tr w:rsidR="009E238E" w:rsidRPr="004A7D83" w:rsidTr="009E238E">
        <w:trPr>
          <w:trHeight w:val="172"/>
        </w:trPr>
        <w:tc>
          <w:tcPr>
            <w:tcW w:w="269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9E238E" w:rsidRPr="004A7D83" w:rsidRDefault="009E238E" w:rsidP="00CE203B">
            <w:pPr>
              <w:numPr>
                <w:ilvl w:val="0"/>
                <w:numId w:val="343"/>
              </w:numPr>
              <w:spacing w:after="120"/>
              <w:ind w:left="284" w:hanging="284"/>
              <w:jc w:val="left"/>
              <w:textAlignment w:val="baseline"/>
              <w:rPr>
                <w:rFonts w:ascii="Calibri" w:hAnsi="Calibri"/>
              </w:rPr>
            </w:pPr>
            <w:r w:rsidRPr="004A7D83">
              <w:rPr>
                <w:rFonts w:ascii="Calibri" w:hAnsi="Calibri"/>
                <w:sz w:val="20"/>
                <w:szCs w:val="20"/>
                <w:lang w:eastAsia="zh-CN"/>
              </w:rPr>
              <w:t xml:space="preserve">Podporiť vstup do odvetvia pre mladých farmárov – vybavenie investičným majetkom, cielené poradenstvo, vytvorenie podmienok pre hospodárenie na pôde </w:t>
            </w:r>
          </w:p>
        </w:tc>
        <w:tc>
          <w:tcPr>
            <w:tcW w:w="1090" w:type="dxa"/>
            <w:tcBorders>
              <w:top w:val="nil"/>
              <w:left w:val="nil"/>
              <w:bottom w:val="single" w:sz="8" w:space="0" w:color="000000"/>
              <w:right w:val="single" w:sz="8" w:space="0" w:color="000000"/>
            </w:tcBorders>
            <w:tcMar>
              <w:top w:w="0" w:type="dxa"/>
              <w:left w:w="108" w:type="dxa"/>
              <w:bottom w:w="0" w:type="dxa"/>
              <w:right w:w="108" w:type="dxa"/>
            </w:tcMar>
            <w:hideMark/>
          </w:tcPr>
          <w:p w:rsidR="009E238E" w:rsidRPr="004A7D83" w:rsidRDefault="009E238E" w:rsidP="009E238E">
            <w:pPr>
              <w:jc w:val="center"/>
              <w:rPr>
                <w:rFonts w:ascii="Calibri" w:hAnsi="Calibri"/>
              </w:rPr>
            </w:pPr>
            <w:r w:rsidRPr="004A7D83">
              <w:rPr>
                <w:rFonts w:ascii="Calibri" w:hAnsi="Calibri"/>
                <w:sz w:val="20"/>
                <w:szCs w:val="20"/>
                <w:lang w:eastAsia="zh-CN"/>
              </w:rPr>
              <w:t>2B</w:t>
            </w:r>
          </w:p>
          <w:p w:rsidR="009E238E" w:rsidRPr="004A7D83" w:rsidRDefault="009E238E" w:rsidP="009E238E">
            <w:pPr>
              <w:jc w:val="center"/>
              <w:rPr>
                <w:rFonts w:ascii="Calibri" w:hAnsi="Calibri"/>
              </w:rPr>
            </w:pPr>
            <w:r w:rsidRPr="004A7D83">
              <w:rPr>
                <w:rFonts w:ascii="Calibri" w:hAnsi="Calibri"/>
                <w:sz w:val="20"/>
                <w:szCs w:val="20"/>
                <w:lang w:eastAsia="zh-CN"/>
              </w:rPr>
              <w:t>Inovácie</w:t>
            </w:r>
          </w:p>
        </w:tc>
        <w:tc>
          <w:tcPr>
            <w:tcW w:w="10425" w:type="dxa"/>
            <w:tcBorders>
              <w:top w:val="nil"/>
              <w:left w:val="nil"/>
              <w:bottom w:val="single" w:sz="8" w:space="0" w:color="000000"/>
              <w:right w:val="single" w:sz="8" w:space="0" w:color="000000"/>
            </w:tcBorders>
            <w:tcMar>
              <w:top w:w="0" w:type="dxa"/>
              <w:left w:w="108" w:type="dxa"/>
              <w:bottom w:w="0" w:type="dxa"/>
              <w:right w:w="108" w:type="dxa"/>
            </w:tcMar>
            <w:hideMark/>
          </w:tcPr>
          <w:p w:rsidR="009E238E" w:rsidRPr="006C6013" w:rsidRDefault="009E238E" w:rsidP="009E238E">
            <w:pPr>
              <w:autoSpaceDN w:val="0"/>
              <w:rPr>
                <w:rFonts w:ascii="Calibri" w:hAnsi="Calibri"/>
                <w:sz w:val="20"/>
                <w:szCs w:val="20"/>
                <w:lang w:eastAsia="zh-CN"/>
              </w:rPr>
            </w:pPr>
            <w:r w:rsidRPr="004A7D83">
              <w:rPr>
                <w:rFonts w:ascii="Calibri" w:hAnsi="Calibri"/>
                <w:sz w:val="20"/>
                <w:szCs w:val="20"/>
                <w:lang w:eastAsia="zh-CN"/>
              </w:rPr>
              <w:t xml:space="preserve">V oblasti generačnej obmeny </w:t>
            </w:r>
            <w:r>
              <w:rPr>
                <w:rFonts w:ascii="Calibri" w:hAnsi="Calibri"/>
                <w:sz w:val="20"/>
                <w:szCs w:val="20"/>
                <w:lang w:eastAsia="zh-CN"/>
              </w:rPr>
              <w:t xml:space="preserve">je potrebné stimulovať záujem mladých poľnohospodárov, alebo polosamozásobiteľov a </w:t>
            </w:r>
            <w:r w:rsidRPr="004A7D83">
              <w:rPr>
                <w:rFonts w:ascii="Calibri" w:hAnsi="Calibri"/>
                <w:sz w:val="20"/>
                <w:szCs w:val="20"/>
                <w:lang w:eastAsia="zh-CN"/>
              </w:rPr>
              <w:t>odstr</w:t>
            </w:r>
            <w:r>
              <w:rPr>
                <w:rFonts w:ascii="Calibri" w:hAnsi="Calibri"/>
                <w:sz w:val="20"/>
                <w:szCs w:val="20"/>
                <w:lang w:eastAsia="zh-CN"/>
              </w:rPr>
              <w:t>ániť</w:t>
            </w:r>
            <w:r w:rsidRPr="004A7D83">
              <w:rPr>
                <w:rFonts w:ascii="Calibri" w:hAnsi="Calibri"/>
                <w:sz w:val="20"/>
                <w:szCs w:val="20"/>
                <w:lang w:eastAsia="zh-CN"/>
              </w:rPr>
              <w:t xml:space="preserve"> bariéry </w:t>
            </w:r>
            <w:r>
              <w:rPr>
                <w:rFonts w:ascii="Calibri" w:hAnsi="Calibri"/>
                <w:sz w:val="20"/>
                <w:szCs w:val="20"/>
                <w:lang w:eastAsia="zh-CN"/>
              </w:rPr>
              <w:t xml:space="preserve">ich </w:t>
            </w:r>
            <w:r w:rsidRPr="004A7D83">
              <w:rPr>
                <w:rFonts w:ascii="Calibri" w:hAnsi="Calibri"/>
                <w:sz w:val="20"/>
                <w:szCs w:val="20"/>
                <w:lang w:eastAsia="zh-CN"/>
              </w:rPr>
              <w:t xml:space="preserve">vstupu </w:t>
            </w:r>
            <w:r>
              <w:rPr>
                <w:rFonts w:ascii="Calibri" w:hAnsi="Calibri"/>
                <w:sz w:val="20"/>
                <w:szCs w:val="20"/>
                <w:lang w:eastAsia="zh-CN"/>
              </w:rPr>
              <w:t>do odvetvia. Okrem iného mladí</w:t>
            </w:r>
            <w:r w:rsidRPr="004A7D83">
              <w:rPr>
                <w:rFonts w:ascii="Calibri" w:hAnsi="Calibri"/>
                <w:sz w:val="20"/>
                <w:szCs w:val="20"/>
                <w:lang w:eastAsia="zh-CN"/>
              </w:rPr>
              <w:t>, začínajúci farmár</w:t>
            </w:r>
            <w:r>
              <w:rPr>
                <w:rFonts w:ascii="Calibri" w:hAnsi="Calibri"/>
                <w:sz w:val="20"/>
                <w:szCs w:val="20"/>
                <w:lang w:eastAsia="zh-CN"/>
              </w:rPr>
              <w:t>i</w:t>
            </w:r>
            <w:r w:rsidRPr="004A7D83">
              <w:rPr>
                <w:rFonts w:ascii="Calibri" w:hAnsi="Calibri"/>
                <w:sz w:val="20"/>
                <w:szCs w:val="20"/>
                <w:lang w:eastAsia="zh-CN"/>
              </w:rPr>
              <w:t xml:space="preserve"> </w:t>
            </w:r>
            <w:r>
              <w:rPr>
                <w:rFonts w:ascii="Calibri" w:hAnsi="Calibri"/>
                <w:sz w:val="20"/>
                <w:szCs w:val="20"/>
                <w:lang w:eastAsia="zh-CN"/>
              </w:rPr>
              <w:t xml:space="preserve">a perspektívni polosamozásobitelia </w:t>
            </w:r>
            <w:r w:rsidRPr="004A7D83">
              <w:rPr>
                <w:rFonts w:ascii="Calibri" w:hAnsi="Calibri"/>
                <w:sz w:val="20"/>
                <w:szCs w:val="20"/>
                <w:lang w:eastAsia="zh-CN"/>
              </w:rPr>
              <w:t xml:space="preserve">majú </w:t>
            </w:r>
            <w:r>
              <w:rPr>
                <w:rFonts w:ascii="Calibri" w:hAnsi="Calibri"/>
                <w:sz w:val="20"/>
                <w:szCs w:val="20"/>
                <w:lang w:eastAsia="zh-CN"/>
              </w:rPr>
              <w:t>značný</w:t>
            </w:r>
            <w:r w:rsidRPr="004A7D83">
              <w:rPr>
                <w:rFonts w:ascii="Calibri" w:hAnsi="Calibri"/>
                <w:sz w:val="20"/>
                <w:szCs w:val="20"/>
                <w:lang w:eastAsia="zh-CN"/>
              </w:rPr>
              <w:t xml:space="preserve"> potenciál pre zavádzanie inovácií, nových spôsobov predaja a diverzifikácie aktivít</w:t>
            </w:r>
            <w:r>
              <w:rPr>
                <w:rFonts w:ascii="Calibri" w:hAnsi="Calibri"/>
                <w:sz w:val="20"/>
                <w:szCs w:val="20"/>
                <w:lang w:eastAsia="zh-CN"/>
              </w:rPr>
              <w:t xml:space="preserve">, </w:t>
            </w:r>
            <w:r w:rsidRPr="006C6013">
              <w:rPr>
                <w:rFonts w:ascii="Calibri" w:hAnsi="Calibri"/>
                <w:b/>
                <w:sz w:val="20"/>
                <w:szCs w:val="20"/>
                <w:lang w:eastAsia="zh-CN"/>
              </w:rPr>
              <w:t>s významnou orientáciou na miestne trhy</w:t>
            </w:r>
            <w:r>
              <w:rPr>
                <w:rFonts w:ascii="Calibri" w:hAnsi="Calibri"/>
                <w:sz w:val="20"/>
                <w:szCs w:val="20"/>
                <w:lang w:eastAsia="zh-CN"/>
              </w:rPr>
              <w:t>.</w:t>
            </w:r>
          </w:p>
          <w:p w:rsidR="009E238E" w:rsidRPr="004A7D83" w:rsidRDefault="009E238E" w:rsidP="009E238E">
            <w:pPr>
              <w:autoSpaceDN w:val="0"/>
              <w:spacing w:after="120"/>
              <w:rPr>
                <w:rFonts w:ascii="Calibri" w:hAnsi="Calibri"/>
                <w:lang w:eastAsia="zh-CN"/>
              </w:rPr>
            </w:pPr>
            <w:r w:rsidRPr="004A7D83">
              <w:rPr>
                <w:rFonts w:ascii="Calibri" w:hAnsi="Calibri"/>
                <w:sz w:val="20"/>
                <w:szCs w:val="20"/>
                <w:lang w:eastAsia="zh-CN"/>
              </w:rPr>
              <w:t>V poľnohospodárstve prevažujú podniky so starším manažmentom od 45 do 64 rokov. Podľa štrukturálneho zisťovania tieto podniky vyprodukujú 67% štandardného výstupu a zamestnávajú prevažnú časť pracovnej sily. Manažéri nad 64 rokov využívajú relatívne málo pracovnej sily a prevažnú časť produkcie sami spotrebujú (v domácnosti farmára,  v</w:t>
            </w:r>
            <w:r>
              <w:rPr>
                <w:rFonts w:ascii="Calibri" w:hAnsi="Calibri"/>
                <w:sz w:val="20"/>
                <w:szCs w:val="20"/>
                <w:lang w:eastAsia="zh-CN"/>
              </w:rPr>
              <w:t xml:space="preserve"> rámci širšej </w:t>
            </w:r>
            <w:r w:rsidRPr="004A7D83">
              <w:rPr>
                <w:rFonts w:ascii="Calibri" w:hAnsi="Calibri"/>
                <w:sz w:val="20"/>
                <w:szCs w:val="20"/>
                <w:lang w:eastAsia="zh-CN"/>
              </w:rPr>
              <w:t>rodin</w:t>
            </w:r>
            <w:r>
              <w:rPr>
                <w:rFonts w:ascii="Calibri" w:hAnsi="Calibri"/>
                <w:sz w:val="20"/>
                <w:szCs w:val="20"/>
                <w:lang w:eastAsia="zh-CN"/>
              </w:rPr>
              <w:t>y</w:t>
            </w:r>
            <w:r w:rsidRPr="004A7D83">
              <w:rPr>
                <w:rFonts w:ascii="Calibri" w:hAnsi="Calibri"/>
                <w:sz w:val="20"/>
                <w:szCs w:val="20"/>
                <w:lang w:eastAsia="zh-CN"/>
              </w:rPr>
              <w:t>, platba v naturáliách alebo výmena za iné tovary).</w:t>
            </w:r>
          </w:p>
          <w:p w:rsidR="009E238E" w:rsidRPr="004A7D83" w:rsidRDefault="009E238E" w:rsidP="009E238E">
            <w:pPr>
              <w:rPr>
                <w:rFonts w:ascii="Calibri" w:hAnsi="Calibri"/>
              </w:rPr>
            </w:pPr>
            <w:r w:rsidRPr="004A7D83">
              <w:rPr>
                <w:rFonts w:ascii="Calibri" w:hAnsi="Calibri"/>
                <w:sz w:val="20"/>
                <w:szCs w:val="20"/>
              </w:rPr>
              <w:t>Podpora by mala zároveň, v súlade s prioritou 3, zlepšiť prístup na lokálny trh podporených fariem. V roku 2014 sa vypracováva Koncepcia pre mladých a malých farmárov, ktorá by mala  deklarovať prístup farmárov k pôde  cez SPF a finančné benefity.</w:t>
            </w:r>
          </w:p>
        </w:tc>
      </w:tr>
      <w:tr w:rsidR="009E238E" w:rsidRPr="004A7D83" w:rsidTr="009E238E">
        <w:trPr>
          <w:trHeight w:val="172"/>
        </w:trPr>
        <w:tc>
          <w:tcPr>
            <w:tcW w:w="269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9E238E" w:rsidRPr="004A7D83" w:rsidRDefault="009E238E" w:rsidP="00CE203B">
            <w:pPr>
              <w:numPr>
                <w:ilvl w:val="0"/>
                <w:numId w:val="343"/>
              </w:numPr>
              <w:spacing w:after="120"/>
              <w:ind w:left="284" w:hanging="284"/>
              <w:jc w:val="left"/>
              <w:textAlignment w:val="baseline"/>
              <w:rPr>
                <w:rFonts w:ascii="Calibri" w:hAnsi="Calibri"/>
              </w:rPr>
            </w:pPr>
            <w:r w:rsidRPr="004A7D83">
              <w:rPr>
                <w:rFonts w:ascii="Calibri" w:hAnsi="Calibri"/>
                <w:sz w:val="20"/>
                <w:szCs w:val="20"/>
                <w:lang w:eastAsia="zh-CN"/>
              </w:rPr>
              <w:t>Podporovať hospodárenie na vlastnej pôde – usporiadanie vlastníctva a konsolidácia pôdy</w:t>
            </w:r>
          </w:p>
        </w:tc>
        <w:tc>
          <w:tcPr>
            <w:tcW w:w="1090" w:type="dxa"/>
            <w:tcBorders>
              <w:top w:val="nil"/>
              <w:left w:val="nil"/>
              <w:bottom w:val="single" w:sz="8" w:space="0" w:color="000000"/>
              <w:right w:val="single" w:sz="8" w:space="0" w:color="000000"/>
            </w:tcBorders>
            <w:tcMar>
              <w:top w:w="0" w:type="dxa"/>
              <w:left w:w="108" w:type="dxa"/>
              <w:bottom w:w="0" w:type="dxa"/>
              <w:right w:w="108" w:type="dxa"/>
            </w:tcMar>
            <w:hideMark/>
          </w:tcPr>
          <w:p w:rsidR="009E238E" w:rsidRDefault="009E238E" w:rsidP="009E238E">
            <w:pPr>
              <w:jc w:val="center"/>
              <w:rPr>
                <w:rFonts w:ascii="Calibri" w:hAnsi="Calibri"/>
                <w:sz w:val="20"/>
                <w:szCs w:val="20"/>
                <w:lang w:eastAsia="zh-CN"/>
              </w:rPr>
            </w:pPr>
            <w:r w:rsidRPr="004A7D83">
              <w:rPr>
                <w:rFonts w:ascii="Calibri" w:hAnsi="Calibri"/>
                <w:sz w:val="20"/>
                <w:szCs w:val="20"/>
                <w:lang w:eastAsia="zh-CN"/>
              </w:rPr>
              <w:t>2A, 2B</w:t>
            </w:r>
            <w:r>
              <w:rPr>
                <w:rFonts w:ascii="Calibri" w:hAnsi="Calibri"/>
                <w:sz w:val="20"/>
                <w:szCs w:val="20"/>
                <w:lang w:eastAsia="zh-CN"/>
              </w:rPr>
              <w:t>, 4A,B,C</w:t>
            </w:r>
          </w:p>
          <w:p w:rsidR="009E238E" w:rsidRPr="004A7D83" w:rsidRDefault="009E238E" w:rsidP="009E238E">
            <w:pPr>
              <w:jc w:val="center"/>
              <w:rPr>
                <w:rFonts w:ascii="Calibri" w:hAnsi="Calibri"/>
              </w:rPr>
            </w:pPr>
            <w:r>
              <w:rPr>
                <w:rFonts w:ascii="Calibri" w:hAnsi="Calibri"/>
                <w:sz w:val="20"/>
                <w:szCs w:val="20"/>
                <w:lang w:eastAsia="zh-CN"/>
              </w:rPr>
              <w:t>ŽP</w:t>
            </w:r>
          </w:p>
        </w:tc>
        <w:tc>
          <w:tcPr>
            <w:tcW w:w="10425" w:type="dxa"/>
            <w:tcBorders>
              <w:top w:val="nil"/>
              <w:left w:val="nil"/>
              <w:bottom w:val="single" w:sz="8" w:space="0" w:color="000000"/>
              <w:right w:val="single" w:sz="8" w:space="0" w:color="000000"/>
            </w:tcBorders>
            <w:tcMar>
              <w:top w:w="0" w:type="dxa"/>
              <w:left w:w="108" w:type="dxa"/>
              <w:bottom w:w="0" w:type="dxa"/>
              <w:right w:w="108" w:type="dxa"/>
            </w:tcMar>
            <w:hideMark/>
          </w:tcPr>
          <w:p w:rsidR="009E238E" w:rsidRPr="004A7D83" w:rsidRDefault="009E238E" w:rsidP="009E238E">
            <w:pPr>
              <w:autoSpaceDN w:val="0"/>
              <w:spacing w:after="120"/>
              <w:rPr>
                <w:rFonts w:ascii="Calibri" w:hAnsi="Calibri"/>
                <w:lang w:eastAsia="zh-CN"/>
              </w:rPr>
            </w:pPr>
            <w:r w:rsidRPr="004A7D83">
              <w:rPr>
                <w:rFonts w:ascii="Calibri" w:hAnsi="Calibri"/>
                <w:sz w:val="20"/>
                <w:szCs w:val="20"/>
                <w:lang w:eastAsia="zh-CN"/>
              </w:rPr>
              <w:t xml:space="preserve">Usporiadanie vlastníctva a konsolidácia pôdy zjednodušuje disponovanie s pozemkami a stimuluje trh s pôdou, vrátane zlepšenia jej dostupnosti pre potenciálnych záujemcov o hospodárenie na pôde. Prevažná časť poľnohospodárov hospodári na prenajatej pôde. Ohrozením je, ak majitelia prestanú pôdu prenajímať, napríklad vplyvom redistribučnej platby. </w:t>
            </w:r>
          </w:p>
          <w:p w:rsidR="009E238E" w:rsidRDefault="009E238E" w:rsidP="009E238E">
            <w:pPr>
              <w:autoSpaceDN w:val="0"/>
              <w:rPr>
                <w:rFonts w:ascii="Calibri" w:hAnsi="Calibri"/>
                <w:color w:val="000000"/>
                <w:sz w:val="20"/>
                <w:szCs w:val="20"/>
                <w:lang w:eastAsia="zh-CN"/>
              </w:rPr>
            </w:pPr>
            <w:r w:rsidRPr="004A7D83">
              <w:rPr>
                <w:rFonts w:ascii="Calibri" w:hAnsi="Calibri"/>
                <w:sz w:val="20"/>
                <w:szCs w:val="20"/>
                <w:lang w:eastAsia="zh-CN"/>
              </w:rPr>
              <w:t>Slovenská republika má 3 559 katastrálnych území, 1 katastrálne územie o priemernej výmere 1400 ha zodpovedá 1 projektu pozemkových úprav (PPÚ). Z celkového počtu katastrálnych území (k.ú.) je potrebné realizovať PPÚ v 2 433 k.ú.</w:t>
            </w:r>
            <w:r w:rsidRPr="004A7D83">
              <w:rPr>
                <w:rFonts w:ascii="Calibri" w:hAnsi="Calibri"/>
                <w:i/>
                <w:iCs/>
                <w:sz w:val="20"/>
                <w:szCs w:val="20"/>
                <w:lang w:eastAsia="zh-CN"/>
              </w:rPr>
              <w:t xml:space="preserve"> (prameň: MPRV SR, odbor pozemkový)</w:t>
            </w:r>
            <w:r w:rsidRPr="004A7D83">
              <w:rPr>
                <w:rFonts w:ascii="Calibri" w:hAnsi="Calibri"/>
                <w:sz w:val="20"/>
                <w:szCs w:val="20"/>
                <w:lang w:eastAsia="zh-CN"/>
              </w:rPr>
              <w:t xml:space="preserve">. Doterajšia realizácia PPÚ vo vybraných katastrálnych územiach SR je vyjadrená pomocou špecifických kontextuálnych ukazovateľov. Priemerný počet vlastníkov po konsolidácii by mal klesnúť o polovicu a sprístupnené by mali byť všetky parcely, kde sa PPÚ vykonajú. Pozemkové úpravy súčasne riešia nezrovnalosti v evidencii pozemkového vlastníctva, keď informačný systém LPIS registrujúci produkčné plochy </w:t>
            </w:r>
            <w:r w:rsidRPr="004A7D83">
              <w:rPr>
                <w:rFonts w:ascii="Calibri" w:hAnsi="Calibri"/>
                <w:color w:val="000000"/>
                <w:sz w:val="20"/>
                <w:szCs w:val="20"/>
                <w:lang w:eastAsia="zh-CN"/>
              </w:rPr>
              <w:t>jednotlivých obhospodarovateľov často nie je kompatibilný s databázou údajov katastra nehnuteľností a skutkovým stavom v teréne.</w:t>
            </w:r>
          </w:p>
          <w:p w:rsidR="009E238E" w:rsidRPr="00B90856" w:rsidRDefault="009E238E" w:rsidP="009E238E">
            <w:pPr>
              <w:autoSpaceDN w:val="0"/>
              <w:rPr>
                <w:rFonts w:ascii="Calibri" w:hAnsi="Calibri"/>
                <w:color w:val="000000"/>
                <w:sz w:val="20"/>
                <w:szCs w:val="20"/>
                <w:lang w:eastAsia="zh-CN"/>
              </w:rPr>
            </w:pPr>
            <w:r>
              <w:rPr>
                <w:rFonts w:ascii="Calibri" w:hAnsi="Calibri"/>
                <w:color w:val="000000"/>
                <w:sz w:val="20"/>
                <w:szCs w:val="20"/>
                <w:lang w:eastAsia="zh-CN"/>
              </w:rPr>
              <w:t xml:space="preserve">Okrem ekonomických prínosov je minimálne rovnako dôležitý prínos realizovaných pozemkových úprav v oblasti ochrany pôdy a </w:t>
            </w:r>
            <w:r w:rsidRPr="006217F9">
              <w:rPr>
                <w:rFonts w:ascii="Calibri" w:hAnsi="Calibri"/>
                <w:color w:val="000000"/>
                <w:sz w:val="20"/>
                <w:szCs w:val="20"/>
                <w:lang w:eastAsia="zh-CN"/>
              </w:rPr>
              <w:t>zachovanie ekosystémov, kde je evidentný ich silný prienik s cieľmi priority 4.</w:t>
            </w:r>
            <w:r w:rsidRPr="006C6013">
              <w:rPr>
                <w:rFonts w:ascii="Calibri" w:hAnsi="Calibri"/>
                <w:b/>
                <w:bCs/>
                <w:color w:val="000000"/>
                <w:sz w:val="20"/>
                <w:szCs w:val="20"/>
                <w:lang w:eastAsia="zh-CN"/>
              </w:rPr>
              <w:t> </w:t>
            </w:r>
          </w:p>
        </w:tc>
      </w:tr>
      <w:tr w:rsidR="009E238E" w:rsidRPr="004A7D83" w:rsidTr="009E238E">
        <w:trPr>
          <w:trHeight w:val="172"/>
        </w:trPr>
        <w:tc>
          <w:tcPr>
            <w:tcW w:w="269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9E238E" w:rsidRPr="004A7D83" w:rsidRDefault="009E238E" w:rsidP="00CE203B">
            <w:pPr>
              <w:numPr>
                <w:ilvl w:val="0"/>
                <w:numId w:val="343"/>
              </w:numPr>
              <w:spacing w:after="120"/>
              <w:ind w:left="284" w:hanging="284"/>
              <w:jc w:val="left"/>
              <w:textAlignment w:val="baseline"/>
              <w:rPr>
                <w:rFonts w:ascii="Calibri" w:hAnsi="Calibri"/>
              </w:rPr>
            </w:pPr>
            <w:r w:rsidRPr="004A7D83">
              <w:rPr>
                <w:rFonts w:ascii="Calibri" w:hAnsi="Calibri"/>
                <w:sz w:val="20"/>
                <w:szCs w:val="20"/>
                <w:lang w:eastAsia="zh-CN"/>
              </w:rPr>
              <w:t xml:space="preserve">Podpora predaja domácej produkcie </w:t>
            </w:r>
            <w:r>
              <w:rPr>
                <w:rFonts w:ascii="Calibri" w:hAnsi="Calibri"/>
                <w:sz w:val="20"/>
                <w:szCs w:val="20"/>
                <w:lang w:eastAsia="zh-CN"/>
              </w:rPr>
              <w:t xml:space="preserve">cez odbytové organizácie výrobcov a </w:t>
            </w:r>
            <w:r w:rsidRPr="004A7D83">
              <w:rPr>
                <w:rFonts w:ascii="Calibri" w:hAnsi="Calibri"/>
                <w:sz w:val="20"/>
                <w:szCs w:val="20"/>
                <w:lang w:eastAsia="zh-CN"/>
              </w:rPr>
              <w:t>rozvoj krátkych dodávateľských reťazcov</w:t>
            </w:r>
          </w:p>
        </w:tc>
        <w:tc>
          <w:tcPr>
            <w:tcW w:w="1090" w:type="dxa"/>
            <w:tcBorders>
              <w:top w:val="nil"/>
              <w:left w:val="nil"/>
              <w:bottom w:val="single" w:sz="8" w:space="0" w:color="000000"/>
              <w:right w:val="single" w:sz="8" w:space="0" w:color="000000"/>
            </w:tcBorders>
            <w:tcMar>
              <w:top w:w="0" w:type="dxa"/>
              <w:left w:w="108" w:type="dxa"/>
              <w:bottom w:w="0" w:type="dxa"/>
              <w:right w:w="108" w:type="dxa"/>
            </w:tcMar>
            <w:hideMark/>
          </w:tcPr>
          <w:p w:rsidR="009E238E" w:rsidRPr="004A7D83" w:rsidRDefault="009E238E" w:rsidP="009E238E">
            <w:pPr>
              <w:jc w:val="center"/>
              <w:rPr>
                <w:rFonts w:ascii="Calibri" w:hAnsi="Calibri"/>
              </w:rPr>
            </w:pPr>
            <w:r w:rsidRPr="004A7D83">
              <w:rPr>
                <w:rFonts w:ascii="Calibri" w:hAnsi="Calibri"/>
                <w:sz w:val="20"/>
                <w:szCs w:val="20"/>
                <w:lang w:eastAsia="zh-CN"/>
              </w:rPr>
              <w:t>3A, 2A, 6A, 6B</w:t>
            </w:r>
          </w:p>
          <w:p w:rsidR="009E238E" w:rsidRPr="004A7D83" w:rsidRDefault="009E238E" w:rsidP="009E238E">
            <w:pPr>
              <w:jc w:val="center"/>
              <w:rPr>
                <w:rFonts w:ascii="Calibri" w:hAnsi="Calibri"/>
              </w:rPr>
            </w:pPr>
            <w:r w:rsidRPr="004A7D83">
              <w:rPr>
                <w:rFonts w:ascii="Calibri" w:hAnsi="Calibri"/>
                <w:sz w:val="20"/>
                <w:szCs w:val="20"/>
                <w:lang w:eastAsia="zh-CN"/>
              </w:rPr>
              <w:t>Inovácie</w:t>
            </w:r>
          </w:p>
        </w:tc>
        <w:tc>
          <w:tcPr>
            <w:tcW w:w="10425" w:type="dxa"/>
            <w:tcBorders>
              <w:top w:val="nil"/>
              <w:left w:val="nil"/>
              <w:bottom w:val="single" w:sz="8" w:space="0" w:color="000000"/>
              <w:right w:val="single" w:sz="8" w:space="0" w:color="000000"/>
            </w:tcBorders>
            <w:tcMar>
              <w:top w:w="0" w:type="dxa"/>
              <w:left w:w="108" w:type="dxa"/>
              <w:bottom w:w="0" w:type="dxa"/>
              <w:right w:w="108" w:type="dxa"/>
            </w:tcMar>
            <w:hideMark/>
          </w:tcPr>
          <w:p w:rsidR="009E238E" w:rsidRPr="004A7D83" w:rsidRDefault="009E238E" w:rsidP="009E238E">
            <w:pPr>
              <w:autoSpaceDN w:val="0"/>
              <w:rPr>
                <w:rFonts w:ascii="Calibri" w:hAnsi="Calibri"/>
                <w:lang w:eastAsia="zh-CN"/>
              </w:rPr>
            </w:pPr>
            <w:r w:rsidRPr="004A7D83">
              <w:rPr>
                <w:rFonts w:ascii="Calibri" w:hAnsi="Calibri"/>
                <w:sz w:val="20"/>
                <w:szCs w:val="20"/>
                <w:lang w:eastAsia="zh-CN"/>
              </w:rPr>
              <w:t xml:space="preserve">Podľa  Eurostatu je zastúpenie slovenských potravín v obchodných reťazcoch na Slovensku </w:t>
            </w:r>
            <w:r>
              <w:rPr>
                <w:rFonts w:ascii="Calibri" w:hAnsi="Calibri"/>
                <w:sz w:val="20"/>
                <w:szCs w:val="20"/>
                <w:lang w:eastAsia="zh-CN"/>
              </w:rPr>
              <w:t xml:space="preserve">49,1% a dlhodobo </w:t>
            </w:r>
            <w:r w:rsidRPr="004A7D83">
              <w:rPr>
                <w:rFonts w:ascii="Calibri" w:hAnsi="Calibri"/>
                <w:sz w:val="20"/>
                <w:szCs w:val="20"/>
                <w:lang w:eastAsia="zh-CN"/>
              </w:rPr>
              <w:t xml:space="preserve"> pretrváva negatívny vývoj.</w:t>
            </w:r>
          </w:p>
          <w:p w:rsidR="009E238E" w:rsidRDefault="009E238E" w:rsidP="009E238E">
            <w:pPr>
              <w:autoSpaceDN w:val="0"/>
              <w:spacing w:after="120"/>
              <w:rPr>
                <w:rFonts w:ascii="Calibri" w:hAnsi="Calibri"/>
                <w:sz w:val="20"/>
                <w:szCs w:val="20"/>
                <w:lang w:eastAsia="zh-CN"/>
              </w:rPr>
            </w:pPr>
            <w:r w:rsidRPr="004A7D83">
              <w:rPr>
                <w:rFonts w:ascii="Calibri" w:hAnsi="Calibri"/>
                <w:sz w:val="20"/>
                <w:szCs w:val="20"/>
                <w:lang w:eastAsia="zh-CN"/>
              </w:rPr>
              <w:t>Pre  výrobcov potravín je kľúčové udržať si a zlepšiť pozíciu na domácom trhu, pričom z hľadiska realizácie domácej produkcie sa zvyšuje význam miestnych a regionálnych trhov, kde sa koncentruje ponuka a</w:t>
            </w:r>
            <w:r>
              <w:rPr>
                <w:rFonts w:ascii="Calibri" w:hAnsi="Calibri"/>
                <w:sz w:val="20"/>
                <w:szCs w:val="20"/>
                <w:lang w:eastAsia="zh-CN"/>
              </w:rPr>
              <w:t> </w:t>
            </w:r>
            <w:r w:rsidRPr="004A7D83">
              <w:rPr>
                <w:rFonts w:ascii="Calibri" w:hAnsi="Calibri"/>
                <w:sz w:val="20"/>
                <w:szCs w:val="20"/>
                <w:lang w:eastAsia="zh-CN"/>
              </w:rPr>
              <w:t>dopyt</w:t>
            </w:r>
            <w:r>
              <w:rPr>
                <w:rFonts w:ascii="Calibri" w:hAnsi="Calibri"/>
                <w:sz w:val="20"/>
                <w:szCs w:val="20"/>
                <w:lang w:eastAsia="zh-CN"/>
              </w:rPr>
              <w:t xml:space="preserve"> (</w:t>
            </w:r>
            <w:r w:rsidRPr="008145B1">
              <w:rPr>
                <w:rFonts w:ascii="Calibri" w:hAnsi="Calibri"/>
                <w:sz w:val="20"/>
                <w:szCs w:val="20"/>
                <w:lang w:eastAsia="zh-CN"/>
              </w:rPr>
              <w:t>v súčasnosti je v SR funkčných 5 farmárskych trhov, cieľ do r</w:t>
            </w:r>
            <w:r>
              <w:rPr>
                <w:rFonts w:ascii="Calibri" w:hAnsi="Calibri"/>
                <w:sz w:val="20"/>
                <w:szCs w:val="20"/>
                <w:lang w:eastAsia="zh-CN"/>
              </w:rPr>
              <w:t>.</w:t>
            </w:r>
            <w:r w:rsidRPr="008145B1">
              <w:rPr>
                <w:rFonts w:ascii="Calibri" w:hAnsi="Calibri"/>
                <w:sz w:val="20"/>
                <w:szCs w:val="20"/>
                <w:lang w:eastAsia="zh-CN"/>
              </w:rPr>
              <w:t xml:space="preserve"> 2020 je 15)</w:t>
            </w:r>
            <w:r w:rsidRPr="004A7D83">
              <w:rPr>
                <w:rFonts w:ascii="Calibri" w:hAnsi="Calibri"/>
                <w:sz w:val="20"/>
                <w:szCs w:val="20"/>
                <w:lang w:eastAsia="zh-CN"/>
              </w:rPr>
              <w:t xml:space="preserve">. </w:t>
            </w:r>
            <w:r>
              <w:rPr>
                <w:rFonts w:ascii="Calibri" w:hAnsi="Calibri"/>
                <w:sz w:val="20"/>
                <w:szCs w:val="20"/>
                <w:lang w:eastAsia="zh-CN"/>
              </w:rPr>
              <w:t xml:space="preserve">Uplatnením krátkych </w:t>
            </w:r>
            <w:r w:rsidR="00CC6591">
              <w:rPr>
                <w:rFonts w:ascii="Calibri" w:hAnsi="Calibri"/>
                <w:sz w:val="20"/>
                <w:szCs w:val="20"/>
                <w:lang w:eastAsia="zh-CN"/>
              </w:rPr>
              <w:t>dodávateľských</w:t>
            </w:r>
            <w:r>
              <w:rPr>
                <w:rFonts w:ascii="Calibri" w:hAnsi="Calibri"/>
                <w:sz w:val="20"/>
                <w:szCs w:val="20"/>
                <w:lang w:eastAsia="zh-CN"/>
              </w:rPr>
              <w:t xml:space="preserve"> reťazcov je možné redukovať náklady na obchod a distribúciu a významne podporiť príjmy prvovýrobcov, preto  sa naďalej odporúča </w:t>
            </w:r>
            <w:r w:rsidRPr="001450B4">
              <w:rPr>
                <w:rFonts w:ascii="Calibri" w:hAnsi="Calibri"/>
                <w:sz w:val="20"/>
                <w:szCs w:val="20"/>
                <w:lang w:eastAsia="zh-CN"/>
              </w:rPr>
              <w:t>podpora odbytu produkcie prostredníctvom priameho predaja z farmy (v súčasnosti sa priamo predáva 3% agrárnej produkc</w:t>
            </w:r>
            <w:r>
              <w:rPr>
                <w:rFonts w:ascii="Calibri" w:hAnsi="Calibri"/>
                <w:sz w:val="20"/>
                <w:szCs w:val="20"/>
                <w:lang w:eastAsia="zh-CN"/>
              </w:rPr>
              <w:t xml:space="preserve">ie, cieľ do r. 2020 je 7% ). Aj tu hrá významnú úlohu účinný marketing a </w:t>
            </w:r>
            <w:r w:rsidRPr="001450B4">
              <w:rPr>
                <w:rFonts w:ascii="Calibri" w:hAnsi="Calibri"/>
                <w:sz w:val="20"/>
                <w:szCs w:val="20"/>
                <w:lang w:eastAsia="zh-CN"/>
              </w:rPr>
              <w:t xml:space="preserve">propagácia </w:t>
            </w:r>
            <w:r>
              <w:rPr>
                <w:rFonts w:ascii="Calibri" w:hAnsi="Calibri"/>
                <w:sz w:val="20"/>
                <w:szCs w:val="20"/>
                <w:lang w:eastAsia="zh-CN"/>
              </w:rPr>
              <w:t xml:space="preserve">miestnych </w:t>
            </w:r>
            <w:r w:rsidRPr="001450B4">
              <w:rPr>
                <w:rFonts w:ascii="Calibri" w:hAnsi="Calibri"/>
                <w:sz w:val="20"/>
                <w:szCs w:val="20"/>
                <w:lang w:eastAsia="zh-CN"/>
              </w:rPr>
              <w:t xml:space="preserve">výrobkov na výstavách a v masovokomunikačných </w:t>
            </w:r>
            <w:r>
              <w:rPr>
                <w:rFonts w:ascii="Calibri" w:hAnsi="Calibri"/>
                <w:sz w:val="20"/>
                <w:szCs w:val="20"/>
                <w:lang w:eastAsia="zh-CN"/>
              </w:rPr>
              <w:t>médiách.</w:t>
            </w:r>
          </w:p>
          <w:p w:rsidR="009E238E" w:rsidRPr="004A7D83" w:rsidRDefault="009E238E" w:rsidP="009E238E">
            <w:pPr>
              <w:autoSpaceDN w:val="0"/>
              <w:spacing w:after="120"/>
              <w:rPr>
                <w:rFonts w:ascii="Calibri" w:hAnsi="Calibri"/>
                <w:lang w:eastAsia="zh-CN"/>
              </w:rPr>
            </w:pPr>
            <w:r w:rsidRPr="004A7D83">
              <w:rPr>
                <w:rFonts w:ascii="Calibri" w:hAnsi="Calibri"/>
                <w:sz w:val="20"/>
                <w:szCs w:val="20"/>
                <w:lang w:eastAsia="zh-CN"/>
              </w:rPr>
              <w:t xml:space="preserve">Súčasné </w:t>
            </w:r>
            <w:r>
              <w:rPr>
                <w:rFonts w:ascii="Calibri" w:hAnsi="Calibri"/>
                <w:sz w:val="20"/>
                <w:szCs w:val="20"/>
                <w:lang w:eastAsia="zh-CN"/>
              </w:rPr>
              <w:t>OOV</w:t>
            </w:r>
            <w:r w:rsidRPr="004A7D83">
              <w:rPr>
                <w:rFonts w:ascii="Calibri" w:hAnsi="Calibri"/>
                <w:sz w:val="20"/>
                <w:szCs w:val="20"/>
                <w:lang w:eastAsia="zh-CN"/>
              </w:rPr>
              <w:t xml:space="preserve"> zabezpečujú pre členov odbyt až do 100% ich produkcie, kontrolu kvality, vyjednávanie podmienok s  odberateľmi a pod., problémom je zabezpečenie prevádzky (administratíva, mzdy) týchto združení s právnou subjektivitou </w:t>
            </w:r>
            <w:r w:rsidRPr="004A7D83">
              <w:rPr>
                <w:rFonts w:ascii="Calibri" w:hAnsi="Calibri"/>
                <w:i/>
                <w:iCs/>
                <w:sz w:val="20"/>
                <w:szCs w:val="20"/>
                <w:lang w:eastAsia="zh-CN"/>
              </w:rPr>
              <w:t>(Strednodobé hodnotenie PRV)</w:t>
            </w:r>
            <w:r w:rsidRPr="004A7D83">
              <w:rPr>
                <w:rFonts w:ascii="Calibri" w:hAnsi="Calibri"/>
                <w:sz w:val="20"/>
                <w:szCs w:val="20"/>
                <w:lang w:eastAsia="zh-CN"/>
              </w:rPr>
              <w:t>. Potenciál rozvoja OOV je v zapojení väčšieho množstva producentov (v r</w:t>
            </w:r>
            <w:r>
              <w:rPr>
                <w:rFonts w:ascii="Calibri" w:hAnsi="Calibri"/>
                <w:sz w:val="20"/>
                <w:szCs w:val="20"/>
                <w:lang w:eastAsia="zh-CN"/>
              </w:rPr>
              <w:t>.</w:t>
            </w:r>
            <w:r w:rsidRPr="004A7D83">
              <w:rPr>
                <w:rFonts w:ascii="Calibri" w:hAnsi="Calibri"/>
                <w:sz w:val="20"/>
                <w:szCs w:val="20"/>
                <w:lang w:eastAsia="zh-CN"/>
              </w:rPr>
              <w:t xml:space="preserve"> 2005–2013 združovali OOV podľa PPA: 746 podnikov), </w:t>
            </w:r>
            <w:r>
              <w:rPr>
                <w:rFonts w:ascii="Calibri" w:hAnsi="Calibri"/>
                <w:sz w:val="20"/>
                <w:szCs w:val="20"/>
                <w:lang w:eastAsia="zh-CN"/>
              </w:rPr>
              <w:t xml:space="preserve">v </w:t>
            </w:r>
            <w:r w:rsidRPr="004A7D83">
              <w:rPr>
                <w:rFonts w:ascii="Calibri" w:hAnsi="Calibri"/>
                <w:sz w:val="20"/>
                <w:szCs w:val="20"/>
                <w:lang w:eastAsia="zh-CN"/>
              </w:rPr>
              <w:t>rozvoji skladovacích, spracovateľských a ďalších obchodných aktivít zameran</w:t>
            </w:r>
            <w:r>
              <w:rPr>
                <w:rFonts w:ascii="Calibri" w:hAnsi="Calibri"/>
                <w:sz w:val="20"/>
                <w:szCs w:val="20"/>
                <w:lang w:eastAsia="zh-CN"/>
              </w:rPr>
              <w:t xml:space="preserve">ých </w:t>
            </w:r>
            <w:r w:rsidRPr="004A7D83">
              <w:rPr>
                <w:rFonts w:ascii="Calibri" w:hAnsi="Calibri"/>
                <w:sz w:val="20"/>
                <w:szCs w:val="20"/>
                <w:lang w:eastAsia="zh-CN"/>
              </w:rPr>
              <w:t xml:space="preserve"> na inovácie a budovanie strategickej pozície s ohľadom na požiadavky trhu.</w:t>
            </w:r>
            <w:r>
              <w:rPr>
                <w:rFonts w:ascii="Calibri" w:hAnsi="Calibri"/>
                <w:sz w:val="20"/>
                <w:szCs w:val="20"/>
                <w:lang w:eastAsia="zh-CN"/>
              </w:rPr>
              <w:t xml:space="preserve"> Zároveň je potrebné sa poučiť zo skúseností s implementáciou op. 142 a dôslednejšie analyzovať optimálne nastavenie podmienok podpory a monitorovania OOV, aby nedochádzalo iba k administratívnej spolupráci, ale k reálnej integrácii výrobcov a rozvoju dodatočných aktivít (obchodných, marketingových a pod.), ktoré podporia rast pridanej hodnoty.</w:t>
            </w:r>
          </w:p>
        </w:tc>
      </w:tr>
      <w:tr w:rsidR="009E238E" w:rsidRPr="004A7D83" w:rsidTr="009E238E">
        <w:trPr>
          <w:trHeight w:val="172"/>
        </w:trPr>
        <w:tc>
          <w:tcPr>
            <w:tcW w:w="269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9E238E" w:rsidRPr="004A7D83" w:rsidRDefault="009E238E" w:rsidP="00CE203B">
            <w:pPr>
              <w:numPr>
                <w:ilvl w:val="0"/>
                <w:numId w:val="343"/>
              </w:numPr>
              <w:spacing w:after="120"/>
              <w:ind w:left="284" w:hanging="284"/>
              <w:jc w:val="left"/>
              <w:textAlignment w:val="baseline"/>
              <w:rPr>
                <w:rFonts w:ascii="Calibri" w:hAnsi="Calibri"/>
                <w:sz w:val="20"/>
                <w:szCs w:val="20"/>
                <w:lang w:eastAsia="zh-CN"/>
              </w:rPr>
            </w:pPr>
            <w:r>
              <w:rPr>
                <w:rFonts w:ascii="Calibri" w:hAnsi="Calibri"/>
                <w:sz w:val="20"/>
                <w:szCs w:val="20"/>
                <w:lang w:eastAsia="zh-CN"/>
              </w:rPr>
              <w:t>Rast pridanej hodnoty zvyšovaním kvality domácej poľnohospodárskej produkcie a stimuláciou živočíšnej výroby v chovoch AW</w:t>
            </w:r>
          </w:p>
        </w:tc>
        <w:tc>
          <w:tcPr>
            <w:tcW w:w="1090" w:type="dxa"/>
            <w:tcBorders>
              <w:top w:val="nil"/>
              <w:left w:val="nil"/>
              <w:bottom w:val="single" w:sz="8" w:space="0" w:color="000000"/>
              <w:right w:val="single" w:sz="8" w:space="0" w:color="000000"/>
            </w:tcBorders>
            <w:tcMar>
              <w:top w:w="0" w:type="dxa"/>
              <w:left w:w="108" w:type="dxa"/>
              <w:bottom w:w="0" w:type="dxa"/>
              <w:right w:w="108" w:type="dxa"/>
            </w:tcMar>
            <w:hideMark/>
          </w:tcPr>
          <w:p w:rsidR="009E238E" w:rsidRDefault="009E238E" w:rsidP="009E238E">
            <w:pPr>
              <w:jc w:val="center"/>
              <w:rPr>
                <w:rFonts w:ascii="Calibri" w:hAnsi="Calibri"/>
                <w:sz w:val="20"/>
                <w:szCs w:val="20"/>
                <w:lang w:eastAsia="zh-CN"/>
              </w:rPr>
            </w:pPr>
            <w:r>
              <w:rPr>
                <w:rFonts w:ascii="Calibri" w:hAnsi="Calibri"/>
                <w:sz w:val="20"/>
                <w:szCs w:val="20"/>
                <w:lang w:eastAsia="zh-CN"/>
              </w:rPr>
              <w:t>2A, 3A</w:t>
            </w:r>
          </w:p>
          <w:p w:rsidR="009E238E" w:rsidRDefault="009E238E" w:rsidP="009E238E">
            <w:pPr>
              <w:jc w:val="center"/>
              <w:rPr>
                <w:rFonts w:ascii="Calibri" w:hAnsi="Calibri"/>
                <w:sz w:val="20"/>
                <w:szCs w:val="20"/>
                <w:lang w:eastAsia="zh-CN"/>
              </w:rPr>
            </w:pPr>
            <w:r>
              <w:rPr>
                <w:rFonts w:ascii="Calibri" w:hAnsi="Calibri"/>
                <w:sz w:val="20"/>
                <w:szCs w:val="20"/>
                <w:lang w:eastAsia="zh-CN"/>
              </w:rPr>
              <w:t>dodatočne 6A, 6B</w:t>
            </w:r>
          </w:p>
          <w:p w:rsidR="009E238E" w:rsidRPr="004A7D83" w:rsidRDefault="009E238E" w:rsidP="009E238E">
            <w:pPr>
              <w:jc w:val="center"/>
              <w:rPr>
                <w:rFonts w:ascii="Calibri" w:hAnsi="Calibri"/>
                <w:sz w:val="20"/>
                <w:szCs w:val="20"/>
                <w:lang w:eastAsia="zh-CN"/>
              </w:rPr>
            </w:pPr>
            <w:r>
              <w:rPr>
                <w:rFonts w:ascii="Calibri" w:hAnsi="Calibri"/>
                <w:sz w:val="20"/>
                <w:szCs w:val="20"/>
                <w:lang w:eastAsia="zh-CN"/>
              </w:rPr>
              <w:t>Inovácie, zmena klímy</w:t>
            </w:r>
          </w:p>
        </w:tc>
        <w:tc>
          <w:tcPr>
            <w:tcW w:w="10425" w:type="dxa"/>
            <w:tcBorders>
              <w:top w:val="nil"/>
              <w:left w:val="nil"/>
              <w:bottom w:val="single" w:sz="8" w:space="0" w:color="000000"/>
              <w:right w:val="single" w:sz="8" w:space="0" w:color="000000"/>
            </w:tcBorders>
            <w:tcMar>
              <w:top w:w="0" w:type="dxa"/>
              <w:left w:w="108" w:type="dxa"/>
              <w:bottom w:w="0" w:type="dxa"/>
              <w:right w:w="108" w:type="dxa"/>
            </w:tcMar>
            <w:hideMark/>
          </w:tcPr>
          <w:p w:rsidR="009E238E" w:rsidRPr="001450B4" w:rsidRDefault="009E238E" w:rsidP="009E238E">
            <w:pPr>
              <w:autoSpaceDN w:val="0"/>
              <w:spacing w:after="120"/>
              <w:rPr>
                <w:rFonts w:ascii="Calibri" w:hAnsi="Calibri"/>
                <w:sz w:val="20"/>
                <w:szCs w:val="20"/>
                <w:lang w:eastAsia="zh-CN"/>
              </w:rPr>
            </w:pPr>
            <w:r>
              <w:rPr>
                <w:rFonts w:ascii="Calibri" w:hAnsi="Calibri"/>
                <w:sz w:val="20"/>
                <w:szCs w:val="20"/>
                <w:lang w:eastAsia="zh-CN"/>
              </w:rPr>
              <w:t xml:space="preserve">Je potrebné sa </w:t>
            </w:r>
            <w:r w:rsidRPr="00B90856">
              <w:rPr>
                <w:rFonts w:ascii="Calibri" w:hAnsi="Calibri"/>
                <w:b/>
                <w:sz w:val="20"/>
                <w:szCs w:val="20"/>
                <w:lang w:eastAsia="zh-CN"/>
              </w:rPr>
              <w:t>zamerať na zvýšenie podielu domácej produkcie s vyššou pridanou hodnotou</w:t>
            </w:r>
            <w:r>
              <w:rPr>
                <w:rFonts w:ascii="Calibri" w:hAnsi="Calibri"/>
                <w:sz w:val="20"/>
                <w:szCs w:val="20"/>
                <w:lang w:eastAsia="zh-CN"/>
              </w:rPr>
              <w:t xml:space="preserve"> </w:t>
            </w:r>
            <w:r w:rsidRPr="004A7D83">
              <w:rPr>
                <w:rFonts w:ascii="Calibri" w:hAnsi="Calibri"/>
                <w:sz w:val="20"/>
                <w:szCs w:val="20"/>
                <w:lang w:eastAsia="zh-CN"/>
              </w:rPr>
              <w:t xml:space="preserve"> prostredníctvom vyššej kvality výrobkov, inovácií, regionálnych a miestnych špecialít a pod.</w:t>
            </w:r>
            <w:r>
              <w:rPr>
                <w:rFonts w:ascii="Calibri" w:hAnsi="Calibri"/>
                <w:sz w:val="20"/>
                <w:szCs w:val="20"/>
                <w:lang w:eastAsia="zh-CN"/>
              </w:rPr>
              <w:t xml:space="preserve"> Na </w:t>
            </w:r>
            <w:r w:rsidRPr="001450B4">
              <w:rPr>
                <w:rFonts w:ascii="Calibri" w:hAnsi="Calibri"/>
                <w:sz w:val="20"/>
                <w:szCs w:val="20"/>
                <w:lang w:eastAsia="zh-CN"/>
              </w:rPr>
              <w:t xml:space="preserve"> zvýš</w:t>
            </w:r>
            <w:r>
              <w:rPr>
                <w:rFonts w:ascii="Calibri" w:hAnsi="Calibri"/>
                <w:sz w:val="20"/>
                <w:szCs w:val="20"/>
                <w:lang w:eastAsia="zh-CN"/>
              </w:rPr>
              <w:t>enie</w:t>
            </w:r>
            <w:r w:rsidRPr="001450B4">
              <w:rPr>
                <w:rFonts w:ascii="Calibri" w:hAnsi="Calibri"/>
                <w:sz w:val="20"/>
                <w:szCs w:val="20"/>
                <w:lang w:eastAsia="zh-CN"/>
              </w:rPr>
              <w:t xml:space="preserve"> podiel</w:t>
            </w:r>
            <w:r>
              <w:rPr>
                <w:rFonts w:ascii="Calibri" w:hAnsi="Calibri"/>
                <w:sz w:val="20"/>
                <w:szCs w:val="20"/>
                <w:lang w:eastAsia="zh-CN"/>
              </w:rPr>
              <w:t>u</w:t>
            </w:r>
            <w:r w:rsidRPr="001450B4">
              <w:rPr>
                <w:rFonts w:ascii="Calibri" w:hAnsi="Calibri"/>
                <w:sz w:val="20"/>
                <w:szCs w:val="20"/>
                <w:lang w:eastAsia="zh-CN"/>
              </w:rPr>
              <w:t xml:space="preserve"> </w:t>
            </w:r>
            <w:r>
              <w:rPr>
                <w:rFonts w:ascii="Calibri" w:hAnsi="Calibri"/>
                <w:sz w:val="20"/>
                <w:szCs w:val="20"/>
                <w:lang w:eastAsia="zh-CN"/>
              </w:rPr>
              <w:t xml:space="preserve">domácej </w:t>
            </w:r>
            <w:r w:rsidRPr="001450B4">
              <w:rPr>
                <w:rFonts w:ascii="Calibri" w:hAnsi="Calibri"/>
                <w:sz w:val="20"/>
                <w:szCs w:val="20"/>
                <w:lang w:eastAsia="zh-CN"/>
              </w:rPr>
              <w:t>produkcie na 75-80% do r</w:t>
            </w:r>
            <w:r>
              <w:rPr>
                <w:rFonts w:ascii="Calibri" w:hAnsi="Calibri"/>
                <w:sz w:val="20"/>
                <w:szCs w:val="20"/>
                <w:lang w:eastAsia="zh-CN"/>
              </w:rPr>
              <w:t>.</w:t>
            </w:r>
            <w:r w:rsidRPr="001450B4">
              <w:rPr>
                <w:rFonts w:ascii="Calibri" w:hAnsi="Calibri"/>
                <w:sz w:val="20"/>
                <w:szCs w:val="20"/>
                <w:lang w:eastAsia="zh-CN"/>
              </w:rPr>
              <w:t xml:space="preserve"> 2020 je nutné</w:t>
            </w:r>
            <w:r>
              <w:rPr>
                <w:rFonts w:ascii="Calibri" w:hAnsi="Calibri"/>
                <w:sz w:val="20"/>
                <w:szCs w:val="20"/>
                <w:lang w:eastAsia="zh-CN"/>
              </w:rPr>
              <w:t>:</w:t>
            </w:r>
          </w:p>
          <w:p w:rsidR="009E238E" w:rsidRDefault="009E238E" w:rsidP="009E238E">
            <w:pPr>
              <w:autoSpaceDN w:val="0"/>
              <w:rPr>
                <w:rFonts w:ascii="Calibri" w:hAnsi="Calibri"/>
                <w:sz w:val="20"/>
                <w:szCs w:val="20"/>
                <w:lang w:eastAsia="zh-CN"/>
              </w:rPr>
            </w:pPr>
            <w:r>
              <w:rPr>
                <w:rFonts w:ascii="Calibri" w:hAnsi="Calibri"/>
                <w:sz w:val="20"/>
                <w:szCs w:val="20"/>
                <w:u w:val="single"/>
                <w:lang w:eastAsia="zh-CN"/>
              </w:rPr>
              <w:t xml:space="preserve">- </w:t>
            </w:r>
            <w:r w:rsidRPr="003D2B38">
              <w:rPr>
                <w:rFonts w:ascii="Calibri" w:hAnsi="Calibri"/>
                <w:sz w:val="20"/>
                <w:szCs w:val="20"/>
                <w:u w:val="single"/>
                <w:lang w:eastAsia="zh-CN"/>
              </w:rPr>
              <w:t xml:space="preserve">zlepšenie </w:t>
            </w:r>
            <w:r w:rsidRPr="003D2B38">
              <w:rPr>
                <w:rFonts w:ascii="Calibri" w:hAnsi="Calibri"/>
                <w:b/>
                <w:sz w:val="20"/>
                <w:szCs w:val="20"/>
                <w:u w:val="single"/>
                <w:lang w:eastAsia="zh-CN"/>
              </w:rPr>
              <w:t xml:space="preserve">spracovania </w:t>
            </w:r>
            <w:r w:rsidRPr="003D2B38">
              <w:rPr>
                <w:rFonts w:ascii="Calibri" w:hAnsi="Calibri"/>
                <w:sz w:val="20"/>
                <w:szCs w:val="20"/>
                <w:u w:val="single"/>
                <w:lang w:eastAsia="zh-CN"/>
              </w:rPr>
              <w:t>(</w:t>
            </w:r>
            <w:r w:rsidRPr="003D2B38">
              <w:rPr>
                <w:rFonts w:ascii="Calibri" w:hAnsi="Calibri"/>
                <w:sz w:val="20"/>
                <w:szCs w:val="20"/>
                <w:lang w:eastAsia="zh-CN"/>
              </w:rPr>
              <w:t>zvýšenie efektivity výroby -  modernizácia strojov a zariadení,  nové technológie, zvýšenie spracovania miestnych surovín domácim priemyslom – dnes  sa  spracúva 65% domácej  produkcie, cieľ do r. 2020 je 80%)</w:t>
            </w:r>
          </w:p>
          <w:p w:rsidR="009E238E" w:rsidRPr="003D2B38" w:rsidRDefault="009E238E" w:rsidP="009E238E">
            <w:pPr>
              <w:autoSpaceDN w:val="0"/>
              <w:rPr>
                <w:rFonts w:ascii="Calibri" w:hAnsi="Calibri"/>
                <w:sz w:val="20"/>
                <w:szCs w:val="20"/>
                <w:lang w:eastAsia="zh-CN"/>
              </w:rPr>
            </w:pPr>
            <w:r>
              <w:rPr>
                <w:rFonts w:ascii="Calibri" w:hAnsi="Calibri"/>
                <w:sz w:val="20"/>
                <w:szCs w:val="20"/>
                <w:u w:val="single"/>
                <w:lang w:eastAsia="zh-CN"/>
              </w:rPr>
              <w:t xml:space="preserve">- </w:t>
            </w:r>
            <w:r w:rsidRPr="003D2B38">
              <w:rPr>
                <w:rFonts w:ascii="Calibri" w:hAnsi="Calibri"/>
                <w:sz w:val="20"/>
                <w:szCs w:val="20"/>
                <w:u w:val="single"/>
                <w:lang w:eastAsia="zh-CN"/>
              </w:rPr>
              <w:t>zvýšenie</w:t>
            </w:r>
            <w:r w:rsidRPr="003D2B38">
              <w:rPr>
                <w:rFonts w:ascii="Calibri" w:hAnsi="Calibri"/>
                <w:b/>
                <w:sz w:val="20"/>
                <w:szCs w:val="20"/>
                <w:u w:val="single"/>
                <w:lang w:eastAsia="zh-CN"/>
              </w:rPr>
              <w:t xml:space="preserve"> kvality</w:t>
            </w:r>
            <w:r w:rsidRPr="003D2B38">
              <w:rPr>
                <w:rFonts w:ascii="Calibri" w:hAnsi="Calibri"/>
                <w:sz w:val="20"/>
                <w:szCs w:val="20"/>
                <w:u w:val="single"/>
                <w:lang w:eastAsia="zh-CN"/>
              </w:rPr>
              <w:t xml:space="preserve"> </w:t>
            </w:r>
            <w:r w:rsidRPr="003D2B38">
              <w:rPr>
                <w:rFonts w:ascii="Calibri" w:hAnsi="Calibri"/>
                <w:sz w:val="20"/>
                <w:szCs w:val="20"/>
                <w:lang w:eastAsia="zh-CN"/>
              </w:rPr>
              <w:t xml:space="preserve">(zvyšovanie biologickej hodnoty výrobkov v súlade s  trendmi z oblasti zdravej výživy, spracovanie produktov ekologického poľn., podporenie súťaživosti medzi  výrobcami </w:t>
            </w:r>
            <w:r>
              <w:rPr>
                <w:rFonts w:ascii="Calibri" w:hAnsi="Calibri"/>
                <w:sz w:val="20"/>
                <w:szCs w:val="20"/>
                <w:lang w:eastAsia="zh-CN"/>
              </w:rPr>
              <w:t xml:space="preserve">o </w:t>
            </w:r>
            <w:r w:rsidRPr="003D2B38">
              <w:rPr>
                <w:rFonts w:ascii="Calibri" w:hAnsi="Calibri"/>
                <w:sz w:val="20"/>
                <w:szCs w:val="20"/>
                <w:lang w:eastAsia="zh-CN"/>
              </w:rPr>
              <w:t xml:space="preserve"> značku kvality (v  SR je registrovaných 514 značiek kvality, cieľ do r. 2020 je 700),  zavádzanie inovatívnych  technológií a receptúr)</w:t>
            </w:r>
          </w:p>
          <w:p w:rsidR="009E238E" w:rsidRPr="00E41FF6" w:rsidRDefault="009E238E" w:rsidP="009E238E">
            <w:pPr>
              <w:autoSpaceDN w:val="0"/>
              <w:rPr>
                <w:rFonts w:ascii="Calibri" w:hAnsi="Calibri"/>
                <w:lang w:eastAsia="zh-CN"/>
              </w:rPr>
            </w:pPr>
            <w:r>
              <w:rPr>
                <w:rFonts w:ascii="Calibri" w:hAnsi="Calibri"/>
                <w:sz w:val="20"/>
                <w:szCs w:val="20"/>
                <w:u w:val="single"/>
                <w:lang w:eastAsia="zh-CN"/>
              </w:rPr>
              <w:t xml:space="preserve">- </w:t>
            </w:r>
            <w:r w:rsidRPr="00E41FF6">
              <w:rPr>
                <w:rFonts w:ascii="Calibri" w:hAnsi="Calibri"/>
                <w:sz w:val="20"/>
                <w:szCs w:val="20"/>
                <w:u w:val="single"/>
                <w:lang w:eastAsia="zh-CN"/>
              </w:rPr>
              <w:t>skvalitnenie</w:t>
            </w:r>
            <w:r w:rsidRPr="00E41FF6">
              <w:rPr>
                <w:rFonts w:ascii="Calibri" w:hAnsi="Calibri"/>
                <w:b/>
                <w:sz w:val="20"/>
                <w:szCs w:val="20"/>
                <w:u w:val="single"/>
                <w:lang w:eastAsia="zh-CN"/>
              </w:rPr>
              <w:t xml:space="preserve"> marketing</w:t>
            </w:r>
            <w:r>
              <w:rPr>
                <w:rFonts w:ascii="Calibri" w:hAnsi="Calibri"/>
                <w:b/>
                <w:sz w:val="20"/>
                <w:szCs w:val="20"/>
                <w:u w:val="single"/>
                <w:lang w:eastAsia="zh-CN"/>
              </w:rPr>
              <w:t xml:space="preserve">u </w:t>
            </w:r>
            <w:r w:rsidRPr="00E41FF6">
              <w:rPr>
                <w:rFonts w:ascii="Calibri" w:hAnsi="Calibri"/>
                <w:sz w:val="20"/>
                <w:szCs w:val="20"/>
                <w:u w:val="single"/>
                <w:lang w:eastAsia="zh-CN"/>
              </w:rPr>
              <w:t>(</w:t>
            </w:r>
            <w:r w:rsidRPr="00E41FF6">
              <w:rPr>
                <w:rFonts w:ascii="Calibri" w:hAnsi="Calibri"/>
                <w:sz w:val="20"/>
                <w:szCs w:val="20"/>
                <w:lang w:eastAsia="zh-CN"/>
              </w:rPr>
              <w:t xml:space="preserve">úspešný marketing </w:t>
            </w:r>
            <w:r>
              <w:rPr>
                <w:rFonts w:ascii="Calibri" w:hAnsi="Calibri"/>
                <w:sz w:val="20"/>
                <w:szCs w:val="20"/>
                <w:lang w:eastAsia="zh-CN"/>
              </w:rPr>
              <w:t xml:space="preserve">súvisí </w:t>
            </w:r>
            <w:r w:rsidRPr="00E41FF6">
              <w:rPr>
                <w:rFonts w:ascii="Calibri" w:hAnsi="Calibri"/>
                <w:sz w:val="20"/>
                <w:szCs w:val="20"/>
                <w:lang w:eastAsia="zh-CN"/>
              </w:rPr>
              <w:t xml:space="preserve">aj </w:t>
            </w:r>
            <w:r>
              <w:rPr>
                <w:rFonts w:ascii="Calibri" w:hAnsi="Calibri"/>
                <w:sz w:val="20"/>
                <w:szCs w:val="20"/>
                <w:lang w:eastAsia="zh-CN"/>
              </w:rPr>
              <w:t xml:space="preserve">s </w:t>
            </w:r>
            <w:r w:rsidRPr="00E41FF6">
              <w:rPr>
                <w:rFonts w:ascii="Calibri" w:hAnsi="Calibri"/>
                <w:sz w:val="20"/>
                <w:szCs w:val="20"/>
                <w:lang w:eastAsia="zh-CN"/>
              </w:rPr>
              <w:t>označovan</w:t>
            </w:r>
            <w:r>
              <w:rPr>
                <w:rFonts w:ascii="Calibri" w:hAnsi="Calibri"/>
                <w:sz w:val="20"/>
                <w:szCs w:val="20"/>
                <w:lang w:eastAsia="zh-CN"/>
              </w:rPr>
              <w:t>ím</w:t>
            </w:r>
            <w:r w:rsidRPr="00E41FF6">
              <w:rPr>
                <w:rFonts w:ascii="Calibri" w:hAnsi="Calibri"/>
                <w:sz w:val="20"/>
                <w:szCs w:val="20"/>
                <w:lang w:eastAsia="zh-CN"/>
              </w:rPr>
              <w:t xml:space="preserve"> produktov odlišuj</w:t>
            </w:r>
            <w:r>
              <w:rPr>
                <w:rFonts w:ascii="Calibri" w:hAnsi="Calibri"/>
                <w:sz w:val="20"/>
                <w:szCs w:val="20"/>
                <w:lang w:eastAsia="zh-CN"/>
              </w:rPr>
              <w:t>úcim</w:t>
            </w:r>
            <w:r w:rsidRPr="00E41FF6">
              <w:rPr>
                <w:rFonts w:ascii="Calibri" w:hAnsi="Calibri"/>
                <w:sz w:val="20"/>
                <w:szCs w:val="20"/>
                <w:lang w:eastAsia="zh-CN"/>
              </w:rPr>
              <w:t xml:space="preserve"> nadštandardn</w:t>
            </w:r>
            <w:r>
              <w:rPr>
                <w:rFonts w:ascii="Calibri" w:hAnsi="Calibri"/>
                <w:sz w:val="20"/>
                <w:szCs w:val="20"/>
                <w:lang w:eastAsia="zh-CN"/>
              </w:rPr>
              <w:t>ú</w:t>
            </w:r>
            <w:r w:rsidRPr="00E41FF6">
              <w:rPr>
                <w:rFonts w:ascii="Calibri" w:hAnsi="Calibri"/>
                <w:sz w:val="20"/>
                <w:szCs w:val="20"/>
                <w:lang w:eastAsia="zh-CN"/>
              </w:rPr>
              <w:t xml:space="preserve"> kvalitu a</w:t>
            </w:r>
            <w:r>
              <w:rPr>
                <w:rFonts w:ascii="Calibri" w:hAnsi="Calibri"/>
                <w:sz w:val="20"/>
                <w:szCs w:val="20"/>
                <w:lang w:eastAsia="zh-CN"/>
              </w:rPr>
              <w:t xml:space="preserve"> garantujúcim </w:t>
            </w:r>
            <w:r w:rsidRPr="00E41FF6">
              <w:rPr>
                <w:rFonts w:ascii="Calibri" w:hAnsi="Calibri"/>
                <w:sz w:val="20"/>
                <w:szCs w:val="20"/>
                <w:lang w:eastAsia="zh-CN"/>
              </w:rPr>
              <w:t xml:space="preserve"> výrobn</w:t>
            </w:r>
            <w:r>
              <w:rPr>
                <w:rFonts w:ascii="Calibri" w:hAnsi="Calibri"/>
                <w:sz w:val="20"/>
                <w:szCs w:val="20"/>
                <w:lang w:eastAsia="zh-CN"/>
              </w:rPr>
              <w:t>é</w:t>
            </w:r>
            <w:r w:rsidRPr="00E41FF6">
              <w:rPr>
                <w:rFonts w:ascii="Calibri" w:hAnsi="Calibri"/>
                <w:sz w:val="20"/>
                <w:szCs w:val="20"/>
                <w:lang w:eastAsia="zh-CN"/>
              </w:rPr>
              <w:t xml:space="preserve"> postup</w:t>
            </w:r>
            <w:r>
              <w:rPr>
                <w:rFonts w:ascii="Calibri" w:hAnsi="Calibri"/>
                <w:sz w:val="20"/>
                <w:szCs w:val="20"/>
                <w:lang w:eastAsia="zh-CN"/>
              </w:rPr>
              <w:t>y</w:t>
            </w:r>
            <w:r w:rsidRPr="00E41FF6">
              <w:rPr>
                <w:rFonts w:ascii="Calibri" w:hAnsi="Calibri"/>
                <w:sz w:val="20"/>
                <w:szCs w:val="20"/>
                <w:lang w:eastAsia="zh-CN"/>
              </w:rPr>
              <w:t>,  surov</w:t>
            </w:r>
            <w:r>
              <w:rPr>
                <w:rFonts w:ascii="Calibri" w:hAnsi="Calibri"/>
                <w:sz w:val="20"/>
                <w:szCs w:val="20"/>
                <w:lang w:eastAsia="zh-CN"/>
              </w:rPr>
              <w:t>iny</w:t>
            </w:r>
            <w:r w:rsidRPr="00E41FF6">
              <w:rPr>
                <w:rFonts w:ascii="Calibri" w:hAnsi="Calibri"/>
                <w:sz w:val="20"/>
                <w:szCs w:val="20"/>
                <w:lang w:eastAsia="zh-CN"/>
              </w:rPr>
              <w:t xml:space="preserve"> a pod.</w:t>
            </w:r>
            <w:r>
              <w:rPr>
                <w:rFonts w:ascii="Calibri" w:hAnsi="Calibri"/>
                <w:sz w:val="20"/>
                <w:szCs w:val="20"/>
                <w:lang w:eastAsia="zh-CN"/>
              </w:rPr>
              <w:t>)</w:t>
            </w:r>
            <w:r w:rsidRPr="00E41FF6">
              <w:rPr>
                <w:rFonts w:ascii="Calibri" w:hAnsi="Calibri"/>
                <w:sz w:val="20"/>
                <w:szCs w:val="20"/>
                <w:lang w:eastAsia="zh-CN"/>
              </w:rPr>
              <w:t xml:space="preserve"> </w:t>
            </w:r>
          </w:p>
          <w:p w:rsidR="009E238E" w:rsidRPr="00B42E40" w:rsidRDefault="009E238E" w:rsidP="009E238E">
            <w:pPr>
              <w:autoSpaceDN w:val="0"/>
              <w:rPr>
                <w:rFonts w:ascii="Calibri" w:hAnsi="Calibri"/>
                <w:b/>
                <w:lang w:eastAsia="zh-CN"/>
              </w:rPr>
            </w:pPr>
            <w:r>
              <w:rPr>
                <w:rFonts w:ascii="Calibri" w:hAnsi="Calibri"/>
                <w:sz w:val="20"/>
                <w:szCs w:val="20"/>
                <w:lang w:eastAsia="zh-CN"/>
              </w:rPr>
              <w:t>Z</w:t>
            </w:r>
            <w:r w:rsidRPr="004A7D83">
              <w:rPr>
                <w:rFonts w:ascii="Calibri" w:hAnsi="Calibri"/>
                <w:sz w:val="20"/>
                <w:szCs w:val="20"/>
                <w:lang w:eastAsia="zh-CN"/>
              </w:rPr>
              <w:t>vyšovan</w:t>
            </w:r>
            <w:r>
              <w:rPr>
                <w:rFonts w:ascii="Calibri" w:hAnsi="Calibri"/>
                <w:sz w:val="20"/>
                <w:szCs w:val="20"/>
                <w:lang w:eastAsia="zh-CN"/>
              </w:rPr>
              <w:t>ie</w:t>
            </w:r>
            <w:r w:rsidRPr="004A7D83">
              <w:rPr>
                <w:rFonts w:ascii="Calibri" w:hAnsi="Calibri"/>
                <w:sz w:val="20"/>
                <w:szCs w:val="20"/>
                <w:lang w:eastAsia="zh-CN"/>
              </w:rPr>
              <w:t xml:space="preserve"> kvality </w:t>
            </w:r>
            <w:r>
              <w:rPr>
                <w:rFonts w:ascii="Calibri" w:hAnsi="Calibri"/>
                <w:sz w:val="20"/>
                <w:szCs w:val="20"/>
                <w:lang w:eastAsia="zh-CN"/>
              </w:rPr>
              <w:t xml:space="preserve"> musí začať na farmách ŽV, kde </w:t>
            </w:r>
            <w:r w:rsidRPr="004A7D83">
              <w:rPr>
                <w:rFonts w:ascii="Calibri" w:hAnsi="Calibri"/>
                <w:sz w:val="20"/>
                <w:szCs w:val="20"/>
                <w:lang w:eastAsia="zh-CN"/>
              </w:rPr>
              <w:t xml:space="preserve">súvisí </w:t>
            </w:r>
            <w:r>
              <w:rPr>
                <w:rFonts w:ascii="Calibri" w:hAnsi="Calibri"/>
                <w:sz w:val="20"/>
                <w:szCs w:val="20"/>
                <w:lang w:eastAsia="zh-CN"/>
              </w:rPr>
              <w:t xml:space="preserve">so </w:t>
            </w:r>
            <w:r w:rsidRPr="004A7D83">
              <w:rPr>
                <w:rFonts w:ascii="Calibri" w:hAnsi="Calibri"/>
                <w:sz w:val="20"/>
                <w:szCs w:val="20"/>
                <w:lang w:eastAsia="zh-CN"/>
              </w:rPr>
              <w:t xml:space="preserve"> zdravotn</w:t>
            </w:r>
            <w:r>
              <w:rPr>
                <w:rFonts w:ascii="Calibri" w:hAnsi="Calibri"/>
                <w:sz w:val="20"/>
                <w:szCs w:val="20"/>
                <w:lang w:eastAsia="zh-CN"/>
              </w:rPr>
              <w:t>ým</w:t>
            </w:r>
            <w:r w:rsidRPr="004A7D83">
              <w:rPr>
                <w:rFonts w:ascii="Calibri" w:hAnsi="Calibri"/>
                <w:sz w:val="20"/>
                <w:szCs w:val="20"/>
                <w:lang w:eastAsia="zh-CN"/>
              </w:rPr>
              <w:t xml:space="preserve"> stav</w:t>
            </w:r>
            <w:r>
              <w:rPr>
                <w:rFonts w:ascii="Calibri" w:hAnsi="Calibri"/>
                <w:sz w:val="20"/>
                <w:szCs w:val="20"/>
                <w:lang w:eastAsia="zh-CN"/>
              </w:rPr>
              <w:t>om</w:t>
            </w:r>
            <w:r w:rsidRPr="004A7D83">
              <w:rPr>
                <w:rFonts w:ascii="Calibri" w:hAnsi="Calibri"/>
                <w:sz w:val="20"/>
                <w:szCs w:val="20"/>
                <w:lang w:eastAsia="zh-CN"/>
              </w:rPr>
              <w:t xml:space="preserve"> chovov </w:t>
            </w:r>
            <w:r>
              <w:rPr>
                <w:rFonts w:ascii="Calibri" w:hAnsi="Calibri"/>
                <w:sz w:val="20"/>
                <w:szCs w:val="20"/>
                <w:lang w:eastAsia="zh-CN"/>
              </w:rPr>
              <w:t xml:space="preserve"> a AW zvierat</w:t>
            </w:r>
            <w:r w:rsidRPr="004A7D83">
              <w:rPr>
                <w:rFonts w:ascii="Calibri" w:hAnsi="Calibri"/>
                <w:sz w:val="20"/>
                <w:szCs w:val="20"/>
                <w:lang w:eastAsia="zh-CN"/>
              </w:rPr>
              <w:t>. Investície v súčasnosti dosahujú len kritickú  úroveň, bez ktorej by nebolo možné v</w:t>
            </w:r>
            <w:r>
              <w:rPr>
                <w:rFonts w:ascii="Calibri" w:hAnsi="Calibri"/>
                <w:sz w:val="20"/>
                <w:szCs w:val="20"/>
                <w:lang w:eastAsia="zh-CN"/>
              </w:rPr>
              <w:t xml:space="preserve"> ŽV</w:t>
            </w:r>
            <w:r w:rsidRPr="004A7D83">
              <w:rPr>
                <w:rFonts w:ascii="Calibri" w:hAnsi="Calibri"/>
                <w:sz w:val="20"/>
                <w:szCs w:val="20"/>
                <w:lang w:eastAsia="zh-CN"/>
              </w:rPr>
              <w:t xml:space="preserve"> pokračovať. Kompenzácia nákladov za  záväzok </w:t>
            </w:r>
            <w:r>
              <w:rPr>
                <w:rFonts w:ascii="Calibri" w:hAnsi="Calibri"/>
                <w:sz w:val="20"/>
                <w:szCs w:val="20"/>
                <w:lang w:eastAsia="zh-CN"/>
              </w:rPr>
              <w:t xml:space="preserve">AW </w:t>
            </w:r>
            <w:r w:rsidRPr="004A7D83">
              <w:rPr>
                <w:rFonts w:ascii="Calibri" w:hAnsi="Calibri"/>
                <w:sz w:val="20"/>
                <w:szCs w:val="20"/>
                <w:lang w:eastAsia="zh-CN"/>
              </w:rPr>
              <w:t xml:space="preserve"> </w:t>
            </w:r>
            <w:r>
              <w:rPr>
                <w:rFonts w:ascii="Calibri" w:hAnsi="Calibri"/>
                <w:sz w:val="20"/>
                <w:szCs w:val="20"/>
                <w:lang w:eastAsia="zh-CN"/>
              </w:rPr>
              <w:t xml:space="preserve">vo väčšine prípadov </w:t>
            </w:r>
            <w:r w:rsidRPr="004A7D83">
              <w:rPr>
                <w:rFonts w:ascii="Calibri" w:hAnsi="Calibri"/>
                <w:sz w:val="20"/>
                <w:szCs w:val="20"/>
                <w:lang w:eastAsia="zh-CN"/>
              </w:rPr>
              <w:t>zlepš</w:t>
            </w:r>
            <w:r>
              <w:rPr>
                <w:rFonts w:ascii="Calibri" w:hAnsi="Calibri"/>
                <w:sz w:val="20"/>
                <w:szCs w:val="20"/>
                <w:lang w:eastAsia="zh-CN"/>
              </w:rPr>
              <w:t>uje</w:t>
            </w:r>
            <w:r w:rsidRPr="004A7D83">
              <w:rPr>
                <w:rFonts w:ascii="Calibri" w:hAnsi="Calibri"/>
                <w:sz w:val="20"/>
                <w:szCs w:val="20"/>
                <w:lang w:eastAsia="zh-CN"/>
              </w:rPr>
              <w:t xml:space="preserve"> kvalitu  a</w:t>
            </w:r>
            <w:r>
              <w:rPr>
                <w:rFonts w:ascii="Calibri" w:hAnsi="Calibri"/>
                <w:sz w:val="20"/>
                <w:szCs w:val="20"/>
                <w:lang w:eastAsia="zh-CN"/>
              </w:rPr>
              <w:t xml:space="preserve"> pomáha </w:t>
            </w:r>
            <w:r w:rsidRPr="004A7D83">
              <w:rPr>
                <w:rFonts w:ascii="Calibri" w:hAnsi="Calibri"/>
                <w:sz w:val="20"/>
                <w:szCs w:val="20"/>
                <w:lang w:eastAsia="zh-CN"/>
              </w:rPr>
              <w:t xml:space="preserve"> zefektívniť chov zvierat</w:t>
            </w:r>
            <w:r>
              <w:rPr>
                <w:rFonts w:ascii="Calibri" w:hAnsi="Calibri"/>
                <w:sz w:val="20"/>
                <w:szCs w:val="20"/>
                <w:lang w:eastAsia="zh-CN"/>
              </w:rPr>
              <w:t xml:space="preserve">. </w:t>
            </w:r>
          </w:p>
          <w:p w:rsidR="009E238E" w:rsidRDefault="009E238E" w:rsidP="009E238E">
            <w:pPr>
              <w:autoSpaceDN w:val="0"/>
              <w:rPr>
                <w:rFonts w:ascii="Calibri" w:hAnsi="Calibri"/>
                <w:sz w:val="20"/>
                <w:szCs w:val="20"/>
                <w:lang w:eastAsia="zh-CN"/>
              </w:rPr>
            </w:pPr>
            <w:r w:rsidRPr="00C6223B">
              <w:rPr>
                <w:rFonts w:ascii="Calibri" w:hAnsi="Calibri"/>
                <w:sz w:val="20"/>
                <w:szCs w:val="20"/>
                <w:lang w:eastAsia="zh-CN"/>
              </w:rPr>
              <w:t xml:space="preserve">Zo SWOT vyplýva, že je  potrebné motivovať chovateľov k dodržiavaniu  podmienok </w:t>
            </w:r>
            <w:r>
              <w:rPr>
                <w:rFonts w:ascii="Calibri" w:hAnsi="Calibri"/>
                <w:sz w:val="20"/>
                <w:szCs w:val="20"/>
                <w:lang w:eastAsia="zh-CN"/>
              </w:rPr>
              <w:t>AW</w:t>
            </w:r>
            <w:r w:rsidRPr="00C6223B">
              <w:rPr>
                <w:rFonts w:ascii="Calibri" w:hAnsi="Calibri"/>
                <w:sz w:val="20"/>
                <w:szCs w:val="20"/>
                <w:lang w:eastAsia="zh-CN"/>
              </w:rPr>
              <w:t xml:space="preserve">, ktoré </w:t>
            </w:r>
            <w:r>
              <w:rPr>
                <w:rFonts w:ascii="Calibri" w:hAnsi="Calibri"/>
                <w:sz w:val="20"/>
                <w:szCs w:val="20"/>
                <w:lang w:eastAsia="zh-CN"/>
              </w:rPr>
              <w:t>sa stávajú</w:t>
            </w:r>
            <w:r w:rsidRPr="00C6223B">
              <w:rPr>
                <w:rFonts w:ascii="Calibri" w:hAnsi="Calibri"/>
                <w:sz w:val="20"/>
                <w:szCs w:val="20"/>
                <w:lang w:eastAsia="zh-CN"/>
              </w:rPr>
              <w:t xml:space="preserve"> </w:t>
            </w:r>
            <w:r>
              <w:rPr>
                <w:rFonts w:ascii="Calibri" w:hAnsi="Calibri"/>
                <w:sz w:val="20"/>
                <w:szCs w:val="20"/>
                <w:lang w:eastAsia="zh-CN"/>
              </w:rPr>
              <w:t xml:space="preserve">v SR </w:t>
            </w:r>
            <w:r w:rsidRPr="00546D29">
              <w:rPr>
                <w:rFonts w:ascii="Calibri" w:hAnsi="Calibri"/>
                <w:sz w:val="20"/>
                <w:szCs w:val="20"/>
                <w:lang w:eastAsia="zh-CN"/>
              </w:rPr>
              <w:t xml:space="preserve"> vecou verejného záujmu</w:t>
            </w:r>
            <w:r>
              <w:rPr>
                <w:rFonts w:ascii="Calibri" w:hAnsi="Calibri"/>
                <w:sz w:val="20"/>
                <w:szCs w:val="20"/>
                <w:lang w:eastAsia="zh-CN"/>
              </w:rPr>
              <w:t>:</w:t>
            </w:r>
          </w:p>
          <w:p w:rsidR="009E238E" w:rsidRDefault="009E238E" w:rsidP="009E238E">
            <w:pPr>
              <w:autoSpaceDN w:val="0"/>
              <w:rPr>
                <w:rFonts w:ascii="Calibri" w:hAnsi="Calibri"/>
                <w:sz w:val="20"/>
                <w:szCs w:val="20"/>
                <w:lang w:eastAsia="zh-CN"/>
              </w:rPr>
            </w:pPr>
            <w:r>
              <w:rPr>
                <w:rFonts w:ascii="Calibri" w:hAnsi="Calibri"/>
                <w:sz w:val="20"/>
                <w:szCs w:val="20"/>
                <w:lang w:eastAsia="zh-CN"/>
              </w:rPr>
              <w:t xml:space="preserve">- </w:t>
            </w:r>
            <w:r w:rsidRPr="00546D29">
              <w:rPr>
                <w:rFonts w:ascii="Calibri" w:hAnsi="Calibri"/>
                <w:sz w:val="20"/>
                <w:szCs w:val="20"/>
                <w:lang w:eastAsia="zh-CN"/>
              </w:rPr>
              <w:t>zv</w:t>
            </w:r>
            <w:r>
              <w:rPr>
                <w:rFonts w:ascii="Calibri" w:hAnsi="Calibri"/>
                <w:sz w:val="20"/>
                <w:szCs w:val="20"/>
                <w:lang w:eastAsia="zh-CN"/>
              </w:rPr>
              <w:t xml:space="preserve">ýšený </w:t>
            </w:r>
            <w:r w:rsidRPr="00546D29">
              <w:rPr>
                <w:rFonts w:ascii="Calibri" w:hAnsi="Calibri"/>
                <w:sz w:val="20"/>
                <w:szCs w:val="20"/>
                <w:lang w:eastAsia="zh-CN"/>
              </w:rPr>
              <w:t xml:space="preserve"> tlak organizácií</w:t>
            </w:r>
            <w:r>
              <w:rPr>
                <w:rFonts w:ascii="Calibri" w:hAnsi="Calibri"/>
                <w:sz w:val="20"/>
                <w:szCs w:val="20"/>
                <w:lang w:eastAsia="zh-CN"/>
              </w:rPr>
              <w:t>/</w:t>
            </w:r>
            <w:r w:rsidRPr="00546D29">
              <w:rPr>
                <w:rFonts w:ascii="Calibri" w:hAnsi="Calibri"/>
                <w:sz w:val="20"/>
                <w:szCs w:val="20"/>
                <w:lang w:eastAsia="zh-CN"/>
              </w:rPr>
              <w:t xml:space="preserve"> médií na riešenie </w:t>
            </w:r>
            <w:r>
              <w:rPr>
                <w:rFonts w:ascii="Calibri" w:hAnsi="Calibri"/>
                <w:sz w:val="20"/>
                <w:szCs w:val="20"/>
                <w:lang w:eastAsia="zh-CN"/>
              </w:rPr>
              <w:t>AW</w:t>
            </w:r>
            <w:r w:rsidRPr="00546D29">
              <w:rPr>
                <w:rFonts w:ascii="Calibri" w:hAnsi="Calibri"/>
                <w:sz w:val="20"/>
                <w:szCs w:val="20"/>
                <w:lang w:eastAsia="zh-CN"/>
              </w:rPr>
              <w:t xml:space="preserve"> a  sankcionovanie porušení </w:t>
            </w:r>
          </w:p>
          <w:p w:rsidR="009E238E" w:rsidRDefault="009E238E" w:rsidP="009E238E">
            <w:pPr>
              <w:autoSpaceDN w:val="0"/>
              <w:rPr>
                <w:rFonts w:ascii="Calibri" w:hAnsi="Calibri"/>
                <w:sz w:val="20"/>
                <w:szCs w:val="20"/>
                <w:lang w:eastAsia="zh-CN"/>
              </w:rPr>
            </w:pPr>
            <w:r>
              <w:rPr>
                <w:rFonts w:ascii="Calibri" w:hAnsi="Calibri"/>
                <w:sz w:val="20"/>
                <w:szCs w:val="20"/>
                <w:lang w:eastAsia="zh-CN"/>
              </w:rPr>
              <w:t xml:space="preserve">- zvýšený </w:t>
            </w:r>
            <w:r w:rsidRPr="00546D29">
              <w:rPr>
                <w:rFonts w:ascii="Calibri" w:hAnsi="Calibri"/>
                <w:sz w:val="20"/>
                <w:szCs w:val="20"/>
                <w:lang w:eastAsia="zh-CN"/>
              </w:rPr>
              <w:t>z</w:t>
            </w:r>
            <w:r>
              <w:rPr>
                <w:rFonts w:ascii="Calibri" w:hAnsi="Calibri"/>
                <w:sz w:val="20"/>
                <w:szCs w:val="20"/>
                <w:lang w:eastAsia="zh-CN"/>
              </w:rPr>
              <w:t xml:space="preserve">áujem </w:t>
            </w:r>
            <w:r w:rsidRPr="00546D29">
              <w:rPr>
                <w:rFonts w:ascii="Calibri" w:hAnsi="Calibri"/>
                <w:sz w:val="20"/>
                <w:szCs w:val="20"/>
                <w:lang w:eastAsia="zh-CN"/>
              </w:rPr>
              <w:t xml:space="preserve">o </w:t>
            </w:r>
            <w:r>
              <w:rPr>
                <w:rFonts w:ascii="Calibri" w:hAnsi="Calibri"/>
                <w:sz w:val="20"/>
                <w:szCs w:val="20"/>
                <w:lang w:eastAsia="zh-CN"/>
              </w:rPr>
              <w:t xml:space="preserve">výrobky osobitnej  kvality, </w:t>
            </w:r>
            <w:r w:rsidRPr="00546D29">
              <w:rPr>
                <w:rFonts w:ascii="Calibri" w:hAnsi="Calibri"/>
                <w:sz w:val="20"/>
                <w:szCs w:val="20"/>
                <w:lang w:eastAsia="zh-CN"/>
              </w:rPr>
              <w:t>vrátane znakov</w:t>
            </w:r>
            <w:r>
              <w:rPr>
                <w:rFonts w:ascii="Calibri" w:hAnsi="Calibri"/>
                <w:sz w:val="20"/>
                <w:szCs w:val="20"/>
                <w:lang w:eastAsia="zh-CN"/>
              </w:rPr>
              <w:t xml:space="preserve"> AW</w:t>
            </w:r>
            <w:r w:rsidRPr="00546D29">
              <w:rPr>
                <w:rFonts w:ascii="Calibri" w:hAnsi="Calibri"/>
                <w:sz w:val="20"/>
                <w:szCs w:val="20"/>
                <w:lang w:eastAsia="zh-CN"/>
              </w:rPr>
              <w:t xml:space="preserve"> </w:t>
            </w:r>
          </w:p>
          <w:p w:rsidR="009E238E" w:rsidRDefault="009E238E" w:rsidP="009E238E">
            <w:pPr>
              <w:autoSpaceDN w:val="0"/>
              <w:rPr>
                <w:rFonts w:ascii="Calibri" w:hAnsi="Calibri"/>
                <w:sz w:val="20"/>
                <w:szCs w:val="20"/>
                <w:lang w:eastAsia="zh-CN"/>
              </w:rPr>
            </w:pPr>
            <w:r>
              <w:rPr>
                <w:rFonts w:ascii="Calibri" w:hAnsi="Calibri"/>
                <w:sz w:val="20"/>
                <w:szCs w:val="20"/>
                <w:lang w:eastAsia="zh-CN"/>
              </w:rPr>
              <w:t>-</w:t>
            </w:r>
            <w:r w:rsidRPr="00546D29">
              <w:rPr>
                <w:rFonts w:ascii="Calibri" w:hAnsi="Calibri"/>
                <w:sz w:val="20"/>
                <w:szCs w:val="20"/>
                <w:lang w:eastAsia="zh-CN"/>
              </w:rPr>
              <w:t xml:space="preserve"> zv</w:t>
            </w:r>
            <w:r>
              <w:rPr>
                <w:rFonts w:ascii="Calibri" w:hAnsi="Calibri"/>
                <w:sz w:val="20"/>
                <w:szCs w:val="20"/>
                <w:lang w:eastAsia="zh-CN"/>
              </w:rPr>
              <w:t xml:space="preserve">ýšená </w:t>
            </w:r>
            <w:r w:rsidRPr="00546D29">
              <w:rPr>
                <w:rFonts w:ascii="Calibri" w:hAnsi="Calibri"/>
                <w:sz w:val="20"/>
                <w:szCs w:val="20"/>
                <w:lang w:eastAsia="zh-CN"/>
              </w:rPr>
              <w:t xml:space="preserve"> atraktívnos</w:t>
            </w:r>
            <w:r>
              <w:rPr>
                <w:rFonts w:ascii="Calibri" w:hAnsi="Calibri"/>
                <w:sz w:val="20"/>
                <w:szCs w:val="20"/>
                <w:lang w:eastAsia="zh-CN"/>
              </w:rPr>
              <w:t>ť</w:t>
            </w:r>
            <w:r w:rsidRPr="00546D29">
              <w:rPr>
                <w:rFonts w:ascii="Calibri" w:hAnsi="Calibri"/>
                <w:sz w:val="20"/>
                <w:szCs w:val="20"/>
                <w:lang w:eastAsia="zh-CN"/>
              </w:rPr>
              <w:t xml:space="preserve"> pre verejno</w:t>
            </w:r>
            <w:r>
              <w:rPr>
                <w:rFonts w:ascii="Calibri" w:hAnsi="Calibri"/>
                <w:sz w:val="20"/>
                <w:szCs w:val="20"/>
                <w:lang w:eastAsia="zh-CN"/>
              </w:rPr>
              <w:t xml:space="preserve">sť,  zlepšenie pozície pri </w:t>
            </w:r>
            <w:r w:rsidRPr="00546D29">
              <w:rPr>
                <w:rFonts w:ascii="Calibri" w:hAnsi="Calibri"/>
                <w:sz w:val="20"/>
                <w:szCs w:val="20"/>
                <w:lang w:eastAsia="zh-CN"/>
              </w:rPr>
              <w:t xml:space="preserve"> predaj</w:t>
            </w:r>
            <w:r>
              <w:rPr>
                <w:rFonts w:ascii="Calibri" w:hAnsi="Calibri"/>
                <w:sz w:val="20"/>
                <w:szCs w:val="20"/>
                <w:lang w:eastAsia="zh-CN"/>
              </w:rPr>
              <w:t>i</w:t>
            </w:r>
            <w:r w:rsidRPr="00546D29">
              <w:rPr>
                <w:rFonts w:ascii="Calibri" w:hAnsi="Calibri"/>
                <w:sz w:val="20"/>
                <w:szCs w:val="20"/>
                <w:lang w:eastAsia="zh-CN"/>
              </w:rPr>
              <w:t xml:space="preserve"> z dvora a agroturisti</w:t>
            </w:r>
            <w:r>
              <w:rPr>
                <w:rFonts w:ascii="Calibri" w:hAnsi="Calibri"/>
                <w:sz w:val="20"/>
                <w:szCs w:val="20"/>
                <w:lang w:eastAsia="zh-CN"/>
              </w:rPr>
              <w:t>ke</w:t>
            </w:r>
            <w:r w:rsidRPr="00546D29">
              <w:rPr>
                <w:rFonts w:ascii="Calibri" w:hAnsi="Calibri"/>
                <w:sz w:val="20"/>
                <w:szCs w:val="20"/>
                <w:lang w:eastAsia="zh-CN"/>
              </w:rPr>
              <w:t>.</w:t>
            </w:r>
          </w:p>
          <w:p w:rsidR="009E238E" w:rsidRPr="004A7D83" w:rsidRDefault="009E238E" w:rsidP="009E238E">
            <w:pPr>
              <w:autoSpaceDN w:val="0"/>
              <w:rPr>
                <w:rFonts w:ascii="Calibri" w:hAnsi="Calibri"/>
                <w:sz w:val="20"/>
                <w:szCs w:val="20"/>
                <w:lang w:eastAsia="zh-CN"/>
              </w:rPr>
            </w:pPr>
            <w:r>
              <w:rPr>
                <w:rFonts w:ascii="Calibri" w:hAnsi="Calibri"/>
                <w:sz w:val="20"/>
                <w:szCs w:val="20"/>
                <w:lang w:eastAsia="zh-CN"/>
              </w:rPr>
              <w:t xml:space="preserve">Prijatie záväzku AW </w:t>
            </w:r>
            <w:r w:rsidRPr="00546D29">
              <w:rPr>
                <w:rFonts w:ascii="Calibri" w:hAnsi="Calibri"/>
                <w:sz w:val="20"/>
                <w:szCs w:val="20"/>
                <w:lang w:eastAsia="zh-CN"/>
              </w:rPr>
              <w:t>vyžaduje zvýšené nároky</w:t>
            </w:r>
            <w:r>
              <w:rPr>
                <w:rFonts w:ascii="Calibri" w:hAnsi="Calibri"/>
                <w:sz w:val="20"/>
                <w:szCs w:val="20"/>
                <w:lang w:eastAsia="zh-CN"/>
              </w:rPr>
              <w:t xml:space="preserve"> </w:t>
            </w:r>
            <w:r w:rsidRPr="00546D29">
              <w:rPr>
                <w:rFonts w:ascii="Calibri" w:hAnsi="Calibri"/>
                <w:sz w:val="20"/>
                <w:szCs w:val="20"/>
                <w:lang w:eastAsia="zh-CN"/>
              </w:rPr>
              <w:t>na pracovné sily, čo podporuje zamestnanosť</w:t>
            </w:r>
            <w:r>
              <w:rPr>
                <w:rFonts w:ascii="Calibri" w:hAnsi="Calibri"/>
                <w:sz w:val="20"/>
                <w:szCs w:val="20"/>
                <w:lang w:eastAsia="zh-CN"/>
              </w:rPr>
              <w:t>.</w:t>
            </w:r>
          </w:p>
        </w:tc>
      </w:tr>
      <w:tr w:rsidR="009E238E" w:rsidRPr="004A7D83" w:rsidTr="009E238E">
        <w:trPr>
          <w:trHeight w:val="172"/>
        </w:trPr>
        <w:tc>
          <w:tcPr>
            <w:tcW w:w="269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9E238E" w:rsidRPr="004A7D83" w:rsidRDefault="009E238E" w:rsidP="00CE203B">
            <w:pPr>
              <w:numPr>
                <w:ilvl w:val="0"/>
                <w:numId w:val="343"/>
              </w:numPr>
              <w:spacing w:after="120"/>
              <w:ind w:left="426" w:hanging="426"/>
              <w:jc w:val="left"/>
              <w:textAlignment w:val="baseline"/>
              <w:rPr>
                <w:rFonts w:ascii="Calibri" w:hAnsi="Calibri"/>
              </w:rPr>
            </w:pPr>
            <w:r w:rsidRPr="004A7D83">
              <w:rPr>
                <w:rFonts w:ascii="Calibri" w:hAnsi="Calibri"/>
                <w:sz w:val="20"/>
                <w:szCs w:val="20"/>
                <w:lang w:eastAsia="zh-CN"/>
              </w:rPr>
              <w:t>Obnova produkčného potenciálu poľnohospodárskej pôdy a prevencia pred negatívnymi dôsledkami povodní</w:t>
            </w:r>
            <w:r>
              <w:rPr>
                <w:rFonts w:ascii="Calibri" w:hAnsi="Calibri"/>
                <w:sz w:val="20"/>
                <w:szCs w:val="20"/>
                <w:lang w:eastAsia="zh-CN"/>
              </w:rPr>
              <w:t>,</w:t>
            </w:r>
            <w:r w:rsidRPr="004A7D83">
              <w:rPr>
                <w:rFonts w:ascii="Calibri" w:hAnsi="Calibri"/>
                <w:sz w:val="20"/>
                <w:szCs w:val="20"/>
                <w:lang w:eastAsia="zh-CN"/>
              </w:rPr>
              <w:t xml:space="preserve"> s negatívnym dopadom na potenciál poľnohospodárskej výroby </w:t>
            </w:r>
          </w:p>
          <w:p w:rsidR="009E238E" w:rsidRPr="004A7D83" w:rsidRDefault="009E238E" w:rsidP="009E238E">
            <w:pPr>
              <w:ind w:left="426" w:hanging="426"/>
              <w:jc w:val="left"/>
              <w:textAlignment w:val="baseline"/>
              <w:rPr>
                <w:rFonts w:ascii="Calibri" w:hAnsi="Calibri"/>
              </w:rPr>
            </w:pPr>
            <w:r w:rsidRPr="004A7D83">
              <w:rPr>
                <w:rFonts w:ascii="Calibri" w:hAnsi="Calibri"/>
                <w:sz w:val="20"/>
                <w:szCs w:val="20"/>
                <w:lang w:eastAsia="zh-CN"/>
              </w:rPr>
              <w:t> </w:t>
            </w:r>
          </w:p>
        </w:tc>
        <w:tc>
          <w:tcPr>
            <w:tcW w:w="1090" w:type="dxa"/>
            <w:tcBorders>
              <w:top w:val="nil"/>
              <w:left w:val="nil"/>
              <w:bottom w:val="single" w:sz="8" w:space="0" w:color="000000"/>
              <w:right w:val="single" w:sz="8" w:space="0" w:color="000000"/>
            </w:tcBorders>
            <w:tcMar>
              <w:top w:w="0" w:type="dxa"/>
              <w:left w:w="108" w:type="dxa"/>
              <w:bottom w:w="0" w:type="dxa"/>
              <w:right w:w="108" w:type="dxa"/>
            </w:tcMar>
            <w:hideMark/>
          </w:tcPr>
          <w:p w:rsidR="009E238E" w:rsidRPr="00EB3065" w:rsidRDefault="009E238E" w:rsidP="009E238E">
            <w:pPr>
              <w:ind w:hanging="720"/>
              <w:jc w:val="center"/>
              <w:textAlignment w:val="baseline"/>
              <w:rPr>
                <w:rFonts w:ascii="Calibri" w:hAnsi="Calibri"/>
                <w:sz w:val="20"/>
                <w:szCs w:val="20"/>
              </w:rPr>
            </w:pPr>
            <w:r w:rsidRPr="00EB3065">
              <w:rPr>
                <w:rFonts w:ascii="Calibri" w:hAnsi="Calibri"/>
                <w:sz w:val="20"/>
                <w:szCs w:val="20"/>
                <w:lang w:eastAsia="zh-CN"/>
              </w:rPr>
              <w:t>3B,</w:t>
            </w:r>
          </w:p>
          <w:p w:rsidR="009E238E" w:rsidRPr="00EB3065" w:rsidRDefault="009E238E" w:rsidP="009E238E">
            <w:pPr>
              <w:ind w:hanging="44"/>
              <w:textAlignment w:val="baseline"/>
              <w:rPr>
                <w:rFonts w:ascii="Calibri" w:hAnsi="Calibri"/>
                <w:sz w:val="20"/>
                <w:szCs w:val="20"/>
                <w:lang w:eastAsia="zh-CN"/>
              </w:rPr>
            </w:pPr>
            <w:r w:rsidRPr="00EB3065">
              <w:rPr>
                <w:rFonts w:ascii="Calibri" w:hAnsi="Calibri"/>
                <w:sz w:val="20"/>
                <w:szCs w:val="20"/>
                <w:lang w:eastAsia="zh-CN"/>
              </w:rPr>
              <w:t>dodatočne</w:t>
            </w:r>
          </w:p>
          <w:p w:rsidR="009E238E" w:rsidRDefault="009E238E" w:rsidP="009E238E">
            <w:pPr>
              <w:ind w:hanging="44"/>
              <w:textAlignment w:val="baseline"/>
              <w:rPr>
                <w:rFonts w:ascii="Calibri" w:hAnsi="Calibri"/>
                <w:sz w:val="20"/>
                <w:szCs w:val="20"/>
              </w:rPr>
            </w:pPr>
            <w:r w:rsidRPr="00EB3065">
              <w:rPr>
                <w:rFonts w:ascii="Calibri" w:hAnsi="Calibri"/>
                <w:sz w:val="20"/>
                <w:szCs w:val="20"/>
              </w:rPr>
              <w:t>4B</w:t>
            </w:r>
            <w:r>
              <w:rPr>
                <w:rFonts w:ascii="Calibri" w:hAnsi="Calibri"/>
                <w:sz w:val="20"/>
                <w:szCs w:val="20"/>
              </w:rPr>
              <w:t>, 4C</w:t>
            </w:r>
          </w:p>
          <w:p w:rsidR="009E238E" w:rsidRPr="004A7D83" w:rsidRDefault="009E238E" w:rsidP="009E238E">
            <w:pPr>
              <w:ind w:hanging="44"/>
              <w:textAlignment w:val="baseline"/>
              <w:rPr>
                <w:rFonts w:ascii="Calibri" w:hAnsi="Calibri"/>
              </w:rPr>
            </w:pPr>
            <w:r>
              <w:rPr>
                <w:rFonts w:ascii="Calibri" w:hAnsi="Calibri"/>
                <w:sz w:val="20"/>
                <w:szCs w:val="20"/>
              </w:rPr>
              <w:t>ŽP, zmena klímy</w:t>
            </w:r>
          </w:p>
        </w:tc>
        <w:tc>
          <w:tcPr>
            <w:tcW w:w="10425" w:type="dxa"/>
            <w:tcBorders>
              <w:top w:val="nil"/>
              <w:left w:val="nil"/>
              <w:bottom w:val="single" w:sz="8" w:space="0" w:color="000000"/>
              <w:right w:val="single" w:sz="8" w:space="0" w:color="000000"/>
            </w:tcBorders>
            <w:tcMar>
              <w:top w:w="0" w:type="dxa"/>
              <w:left w:w="108" w:type="dxa"/>
              <w:bottom w:w="0" w:type="dxa"/>
              <w:right w:w="108" w:type="dxa"/>
            </w:tcMar>
            <w:hideMark/>
          </w:tcPr>
          <w:p w:rsidR="009E238E" w:rsidRPr="009E238E" w:rsidRDefault="009E238E" w:rsidP="009E238E">
            <w:pPr>
              <w:rPr>
                <w:rFonts w:ascii="Calibri" w:hAnsi="Calibri"/>
              </w:rPr>
            </w:pPr>
            <w:r w:rsidRPr="009E238E">
              <w:rPr>
                <w:rFonts w:ascii="Calibri" w:hAnsi="Calibri"/>
                <w:sz w:val="20"/>
                <w:szCs w:val="20"/>
              </w:rPr>
              <w:t>Na Slovensku v dôsledku škôd spôsobených nepriaznivým vplyvom počasia a chorôb a nákaz zvierat dochádza pravidelne k stratám produkcie. Následky nepoistiteľných rizík so škodami katastrofického rozsahu sú čiastočne eliminované len v intenciách dotačnej politiky. Príčiny problému je možné zhrnúť nasledovne:</w:t>
            </w:r>
          </w:p>
          <w:p w:rsidR="009E238E" w:rsidRPr="009E238E" w:rsidRDefault="009E238E" w:rsidP="009E238E">
            <w:pPr>
              <w:contextualSpacing/>
              <w:textAlignment w:val="baseline"/>
              <w:rPr>
                <w:rFonts w:ascii="Calibri" w:hAnsi="Calibri"/>
              </w:rPr>
            </w:pPr>
            <w:r w:rsidRPr="009E238E">
              <w:rPr>
                <w:rFonts w:ascii="Calibri" w:hAnsi="Calibri"/>
                <w:sz w:val="20"/>
                <w:szCs w:val="20"/>
              </w:rPr>
              <w:t>- Nemožnosť kompenzovať nižšie výnosy vyššou cenou, keďže SR je otvorená ekonomika závislá na okolitých trhoch.</w:t>
            </w:r>
          </w:p>
          <w:p w:rsidR="009E238E" w:rsidRPr="009E238E" w:rsidRDefault="009E238E" w:rsidP="009E238E">
            <w:pPr>
              <w:contextualSpacing/>
              <w:textAlignment w:val="baseline"/>
              <w:rPr>
                <w:rFonts w:ascii="Calibri" w:hAnsi="Calibri"/>
              </w:rPr>
            </w:pPr>
            <w:r w:rsidRPr="009E238E">
              <w:rPr>
                <w:rFonts w:ascii="Calibri" w:hAnsi="Calibri"/>
                <w:sz w:val="20"/>
                <w:szCs w:val="20"/>
              </w:rPr>
              <w:t>- Poistenie plodín a hospodárskych zvierat je relatívne drahé. Pre poistenie systematických rizík nie je poistný trh dostatočne rozvinutý.</w:t>
            </w:r>
          </w:p>
          <w:p w:rsidR="009E238E" w:rsidRPr="004A7D83" w:rsidRDefault="009E238E" w:rsidP="009E238E">
            <w:pPr>
              <w:spacing w:after="120"/>
              <w:contextualSpacing/>
              <w:textAlignment w:val="baseline"/>
              <w:rPr>
                <w:rFonts w:ascii="Calibri" w:hAnsi="Calibri"/>
              </w:rPr>
            </w:pPr>
            <w:r w:rsidRPr="009E238E">
              <w:rPr>
                <w:rFonts w:ascii="Calibri" w:hAnsi="Calibri"/>
                <w:sz w:val="20"/>
                <w:szCs w:val="20"/>
              </w:rPr>
              <w:t>- Doteraz bola malá politická podpora k vytvoreniu fondu nepoistiteľných rizík, ktorý by eliminoval ad hoc platby zo štátneho rozpočtu.</w:t>
            </w:r>
          </w:p>
          <w:p w:rsidR="009E238E" w:rsidRPr="004A7D83" w:rsidRDefault="009E238E" w:rsidP="009E238E">
            <w:pPr>
              <w:autoSpaceDN w:val="0"/>
              <w:rPr>
                <w:rFonts w:ascii="Calibri" w:hAnsi="Calibri"/>
                <w:lang w:eastAsia="zh-CN"/>
              </w:rPr>
            </w:pPr>
            <w:r w:rsidRPr="004A7D83">
              <w:rPr>
                <w:rFonts w:ascii="Calibri" w:hAnsi="Calibri"/>
                <w:sz w:val="20"/>
                <w:szCs w:val="20"/>
                <w:lang w:eastAsia="zh-CN"/>
              </w:rPr>
              <w:t>Medzi hlavné ohrozenia patria:</w:t>
            </w:r>
          </w:p>
          <w:p w:rsidR="009E238E" w:rsidRPr="004A7D83" w:rsidRDefault="009E238E" w:rsidP="009E238E">
            <w:pPr>
              <w:textAlignment w:val="baseline"/>
              <w:rPr>
                <w:rFonts w:ascii="Calibri" w:hAnsi="Calibri"/>
              </w:rPr>
            </w:pPr>
            <w:r>
              <w:rPr>
                <w:rFonts w:ascii="Calibri" w:hAnsi="Calibri"/>
                <w:sz w:val="20"/>
                <w:szCs w:val="20"/>
              </w:rPr>
              <w:t xml:space="preserve">- </w:t>
            </w:r>
            <w:r w:rsidRPr="004A7D83">
              <w:rPr>
                <w:rFonts w:ascii="Calibri" w:hAnsi="Calibri"/>
                <w:sz w:val="20"/>
                <w:szCs w:val="20"/>
              </w:rPr>
              <w:t>zvýšenie rizika extrémnych prejavov počasia, osobitne záplav, vplyvom pokračujúcich zmien klímy (sucho, prudké búrky, krupobitie</w:t>
            </w:r>
            <w:r>
              <w:rPr>
                <w:rFonts w:ascii="Calibri" w:hAnsi="Calibri"/>
                <w:sz w:val="20"/>
                <w:szCs w:val="20"/>
              </w:rPr>
              <w:t>, prívalové dažde</w:t>
            </w:r>
            <w:r w:rsidRPr="004A7D83">
              <w:rPr>
                <w:rFonts w:ascii="Calibri" w:hAnsi="Calibri"/>
                <w:sz w:val="20"/>
                <w:szCs w:val="20"/>
              </w:rPr>
              <w:t>) a z toho plynúci nedostatok domácich poľnohospodárskych komodít pre spracovanie v potravinárstve</w:t>
            </w:r>
          </w:p>
          <w:p w:rsidR="009E238E" w:rsidRPr="004A7D83" w:rsidRDefault="009E238E" w:rsidP="009E238E">
            <w:pPr>
              <w:spacing w:after="120"/>
              <w:textAlignment w:val="baseline"/>
              <w:rPr>
                <w:rFonts w:ascii="Calibri" w:hAnsi="Calibri"/>
              </w:rPr>
            </w:pPr>
            <w:r>
              <w:rPr>
                <w:rFonts w:ascii="Calibri" w:hAnsi="Calibri"/>
                <w:sz w:val="20"/>
                <w:szCs w:val="20"/>
              </w:rPr>
              <w:t xml:space="preserve">- </w:t>
            </w:r>
            <w:r w:rsidRPr="004A7D83">
              <w:rPr>
                <w:rFonts w:ascii="Calibri" w:hAnsi="Calibri"/>
                <w:sz w:val="20"/>
                <w:szCs w:val="20"/>
              </w:rPr>
              <w:t>hrozba nedostatku finančných prostriedkov štátu na výplatu kompenzácií škôd</w:t>
            </w:r>
            <w:r>
              <w:rPr>
                <w:rFonts w:ascii="Calibri" w:hAnsi="Calibri"/>
                <w:sz w:val="20"/>
                <w:szCs w:val="20"/>
              </w:rPr>
              <w:t xml:space="preserve"> spôsobených</w:t>
            </w:r>
            <w:r w:rsidRPr="004A7D83">
              <w:rPr>
                <w:rFonts w:ascii="Calibri" w:hAnsi="Calibri"/>
                <w:sz w:val="20"/>
                <w:szCs w:val="20"/>
              </w:rPr>
              <w:t xml:space="preserve"> vplyvom prírodných katastrof</w:t>
            </w:r>
          </w:p>
          <w:p w:rsidR="009E238E" w:rsidRPr="004A7D83" w:rsidRDefault="009E238E" w:rsidP="009E238E">
            <w:pPr>
              <w:autoSpaceDN w:val="0"/>
              <w:spacing w:after="120"/>
              <w:rPr>
                <w:rFonts w:ascii="Calibri" w:hAnsi="Calibri"/>
                <w:lang w:eastAsia="zh-CN"/>
              </w:rPr>
            </w:pPr>
            <w:r w:rsidRPr="004A7D83">
              <w:rPr>
                <w:rFonts w:ascii="Calibri" w:hAnsi="Calibri"/>
                <w:sz w:val="20"/>
                <w:szCs w:val="20"/>
                <w:lang w:eastAsia="zh-CN"/>
              </w:rPr>
              <w:t xml:space="preserve">Popri aktivitách rezortu MŽPSR, ktoré sa zameriavajú na ochranu územia pred záplavami (tzv. veľkou vodou) je </w:t>
            </w:r>
            <w:r>
              <w:rPr>
                <w:rFonts w:ascii="Calibri" w:hAnsi="Calibri"/>
                <w:sz w:val="20"/>
                <w:szCs w:val="20"/>
                <w:lang w:eastAsia="zh-CN"/>
              </w:rPr>
              <w:t xml:space="preserve">potrebné </w:t>
            </w:r>
            <w:r w:rsidRPr="004A7D83">
              <w:rPr>
                <w:rFonts w:ascii="Calibri" w:hAnsi="Calibri"/>
                <w:sz w:val="20"/>
                <w:szCs w:val="20"/>
                <w:lang w:eastAsia="zh-CN"/>
              </w:rPr>
              <w:t xml:space="preserve"> sa venovať aj opatreniam, ktoré zabezpečia </w:t>
            </w:r>
            <w:r>
              <w:rPr>
                <w:rFonts w:ascii="Calibri" w:hAnsi="Calibri"/>
                <w:sz w:val="20"/>
                <w:szCs w:val="20"/>
                <w:lang w:eastAsia="zh-CN"/>
              </w:rPr>
              <w:t xml:space="preserve">zachytávanie (retenciu) povrchových vôd a </w:t>
            </w:r>
            <w:r w:rsidRPr="004A7D83">
              <w:rPr>
                <w:rFonts w:ascii="Calibri" w:hAnsi="Calibri"/>
                <w:sz w:val="20"/>
                <w:szCs w:val="20"/>
                <w:lang w:eastAsia="zh-CN"/>
              </w:rPr>
              <w:t>odvedenie prebytočnej vody z poľnohospodárskej pôdy</w:t>
            </w:r>
            <w:r>
              <w:rPr>
                <w:rFonts w:ascii="Calibri" w:hAnsi="Calibri"/>
                <w:sz w:val="20"/>
                <w:szCs w:val="20"/>
                <w:lang w:eastAsia="zh-CN"/>
              </w:rPr>
              <w:t>, ktorá by inak znemožňovala alebo sťažovala ich optimálnu kultiváciu a obhospodarovanie</w:t>
            </w:r>
            <w:r w:rsidRPr="004A7D83">
              <w:rPr>
                <w:rFonts w:ascii="Calibri" w:hAnsi="Calibri"/>
                <w:sz w:val="20"/>
                <w:szCs w:val="20"/>
                <w:lang w:eastAsia="zh-CN"/>
              </w:rPr>
              <w:t xml:space="preserve">. </w:t>
            </w:r>
            <w:r>
              <w:rPr>
                <w:rFonts w:ascii="Calibri" w:hAnsi="Calibri"/>
                <w:sz w:val="20"/>
                <w:szCs w:val="20"/>
                <w:lang w:eastAsia="zh-CN"/>
              </w:rPr>
              <w:t xml:space="preserve">Možným </w:t>
            </w:r>
            <w:r w:rsidRPr="004A7D83">
              <w:rPr>
                <w:rFonts w:ascii="Calibri" w:hAnsi="Calibri"/>
                <w:sz w:val="20"/>
                <w:szCs w:val="20"/>
                <w:lang w:eastAsia="zh-CN"/>
              </w:rPr>
              <w:t xml:space="preserve"> riešením </w:t>
            </w:r>
            <w:r>
              <w:rPr>
                <w:rFonts w:ascii="Calibri" w:hAnsi="Calibri"/>
                <w:sz w:val="20"/>
                <w:szCs w:val="20"/>
                <w:lang w:eastAsia="zh-CN"/>
              </w:rPr>
              <w:t xml:space="preserve">je </w:t>
            </w:r>
            <w:r w:rsidRPr="004A7D83">
              <w:rPr>
                <w:rFonts w:ascii="Calibri" w:hAnsi="Calibri"/>
                <w:sz w:val="20"/>
                <w:szCs w:val="20"/>
                <w:lang w:eastAsia="zh-CN"/>
              </w:rPr>
              <w:t>rekonštrukcia a modernizácia existujúcich hydromelioračných a odvodňovacích systémov,</w:t>
            </w:r>
            <w:r>
              <w:rPr>
                <w:rFonts w:ascii="Calibri" w:hAnsi="Calibri"/>
                <w:sz w:val="20"/>
                <w:szCs w:val="20"/>
                <w:lang w:eastAsia="zh-CN"/>
              </w:rPr>
              <w:t xml:space="preserve"> čerpacích staníc,</w:t>
            </w:r>
            <w:r w:rsidRPr="004A7D83">
              <w:rPr>
                <w:rFonts w:ascii="Calibri" w:hAnsi="Calibri"/>
                <w:sz w:val="20"/>
                <w:szCs w:val="20"/>
                <w:lang w:eastAsia="zh-CN"/>
              </w:rPr>
              <w:t xml:space="preserve"> ochranných hrádzí, prehlbovanie zanesených korýt a pod.</w:t>
            </w:r>
            <w:r>
              <w:rPr>
                <w:rFonts w:ascii="Calibri" w:hAnsi="Calibri"/>
                <w:sz w:val="20"/>
                <w:szCs w:val="20"/>
                <w:lang w:eastAsia="zh-CN"/>
              </w:rPr>
              <w:t xml:space="preserve"> Novopripravená Koncepcia revitalizácie hydromelioračných sústav v tomto kontexte sleduje </w:t>
            </w:r>
            <w:r w:rsidRPr="00D55691">
              <w:rPr>
                <w:rFonts w:ascii="Calibri" w:hAnsi="Calibri"/>
                <w:sz w:val="20"/>
                <w:szCs w:val="20"/>
              </w:rPr>
              <w:t>ochranný efekt rekonštruovanej hydromelioračnej infraštruktúry pr</w:t>
            </w:r>
            <w:r>
              <w:rPr>
                <w:rFonts w:ascii="Calibri" w:hAnsi="Calibri"/>
                <w:sz w:val="20"/>
                <w:szCs w:val="20"/>
              </w:rPr>
              <w:t>oti</w:t>
            </w:r>
            <w:r w:rsidRPr="00D55691">
              <w:rPr>
                <w:rFonts w:ascii="Calibri" w:hAnsi="Calibri"/>
                <w:sz w:val="20"/>
                <w:szCs w:val="20"/>
              </w:rPr>
              <w:t xml:space="preserve"> zaplaven</w:t>
            </w:r>
            <w:r>
              <w:rPr>
                <w:rFonts w:ascii="Calibri" w:hAnsi="Calibri"/>
                <w:sz w:val="20"/>
                <w:szCs w:val="20"/>
              </w:rPr>
              <w:t>iu</w:t>
            </w:r>
            <w:r w:rsidRPr="00D55691">
              <w:rPr>
                <w:rFonts w:ascii="Calibri" w:hAnsi="Calibri"/>
                <w:sz w:val="20"/>
                <w:szCs w:val="20"/>
              </w:rPr>
              <w:t xml:space="preserve"> a zamokren</w:t>
            </w:r>
            <w:r>
              <w:rPr>
                <w:rFonts w:ascii="Calibri" w:hAnsi="Calibri"/>
                <w:sz w:val="20"/>
                <w:szCs w:val="20"/>
              </w:rPr>
              <w:t>iu</w:t>
            </w:r>
            <w:r w:rsidRPr="00D55691">
              <w:rPr>
                <w:rFonts w:ascii="Calibri" w:hAnsi="Calibri"/>
                <w:sz w:val="20"/>
                <w:szCs w:val="20"/>
              </w:rPr>
              <w:t xml:space="preserve"> poľnohospodárskej pôdy.</w:t>
            </w:r>
            <w:r w:rsidRPr="004A7D83">
              <w:rPr>
                <w:rFonts w:ascii="Calibri" w:hAnsi="Calibri"/>
                <w:sz w:val="20"/>
                <w:szCs w:val="20"/>
                <w:lang w:eastAsia="zh-CN"/>
              </w:rPr>
              <w:t xml:space="preserve"> </w:t>
            </w:r>
          </w:p>
          <w:p w:rsidR="009E238E" w:rsidRPr="004A7D83" w:rsidRDefault="009E238E" w:rsidP="009E238E">
            <w:pPr>
              <w:rPr>
                <w:rFonts w:ascii="Calibri" w:hAnsi="Calibri"/>
              </w:rPr>
            </w:pPr>
            <w:r>
              <w:rPr>
                <w:rFonts w:ascii="Calibri" w:hAnsi="Calibri"/>
                <w:sz w:val="20"/>
                <w:szCs w:val="20"/>
              </w:rPr>
              <w:t xml:space="preserve">Doplnkovým </w:t>
            </w:r>
            <w:r w:rsidRPr="004A7D83">
              <w:rPr>
                <w:rFonts w:ascii="Calibri" w:hAnsi="Calibri"/>
                <w:sz w:val="20"/>
                <w:szCs w:val="20"/>
              </w:rPr>
              <w:t xml:space="preserve"> riešením rizikovosti poľnohospodárskej výroby je  </w:t>
            </w:r>
            <w:r>
              <w:rPr>
                <w:rFonts w:ascii="Calibri" w:hAnsi="Calibri"/>
                <w:sz w:val="20"/>
                <w:szCs w:val="20"/>
              </w:rPr>
              <w:t>zriadenie</w:t>
            </w:r>
            <w:r w:rsidRPr="004A7D83">
              <w:rPr>
                <w:rFonts w:ascii="Calibri" w:hAnsi="Calibri"/>
                <w:sz w:val="20"/>
                <w:szCs w:val="20"/>
              </w:rPr>
              <w:t xml:space="preserve"> vzájomného fondu na krytie </w:t>
            </w:r>
            <w:r>
              <w:rPr>
                <w:rFonts w:ascii="Calibri" w:hAnsi="Calibri"/>
                <w:sz w:val="20"/>
                <w:szCs w:val="20"/>
              </w:rPr>
              <w:t xml:space="preserve"> nepoistiteľných </w:t>
            </w:r>
            <w:r w:rsidRPr="004A7D83">
              <w:rPr>
                <w:rFonts w:ascii="Calibri" w:hAnsi="Calibri"/>
                <w:sz w:val="20"/>
                <w:szCs w:val="20"/>
              </w:rPr>
              <w:t xml:space="preserve">rizík pod gesciou rezortu MPRV SR </w:t>
            </w:r>
            <w:r>
              <w:rPr>
                <w:rFonts w:ascii="Calibri" w:hAnsi="Calibri"/>
                <w:sz w:val="20"/>
                <w:szCs w:val="20"/>
              </w:rPr>
              <w:t>,</w:t>
            </w:r>
            <w:r w:rsidRPr="004A7D83">
              <w:rPr>
                <w:rFonts w:ascii="Calibri" w:hAnsi="Calibri"/>
                <w:sz w:val="20"/>
                <w:szCs w:val="20"/>
              </w:rPr>
              <w:t xml:space="preserve"> zo zdrojov podnikateľ</w:t>
            </w:r>
            <w:r>
              <w:rPr>
                <w:rFonts w:ascii="Calibri" w:hAnsi="Calibri"/>
                <w:sz w:val="20"/>
                <w:szCs w:val="20"/>
              </w:rPr>
              <w:t>ských subjektov</w:t>
            </w:r>
            <w:r w:rsidRPr="004A7D83">
              <w:rPr>
                <w:rFonts w:ascii="Calibri" w:hAnsi="Calibri"/>
                <w:sz w:val="20"/>
                <w:szCs w:val="20"/>
              </w:rPr>
              <w:t xml:space="preserve"> v poľnohospodárstve. Verejné prostriedky </w:t>
            </w:r>
            <w:r>
              <w:rPr>
                <w:rFonts w:ascii="Calibri" w:hAnsi="Calibri"/>
                <w:sz w:val="20"/>
                <w:szCs w:val="20"/>
              </w:rPr>
              <w:t>budú</w:t>
            </w:r>
            <w:r w:rsidRPr="004A7D83">
              <w:rPr>
                <w:rFonts w:ascii="Calibri" w:hAnsi="Calibri"/>
                <w:sz w:val="20"/>
                <w:szCs w:val="20"/>
              </w:rPr>
              <w:t xml:space="preserve"> použiteľné na úhradu oprávnených výdavkov v prípade kritických udalostí.</w:t>
            </w:r>
          </w:p>
        </w:tc>
      </w:tr>
      <w:tr w:rsidR="009E238E" w:rsidRPr="004A7D83" w:rsidTr="009E238E">
        <w:trPr>
          <w:trHeight w:val="172"/>
        </w:trPr>
        <w:tc>
          <w:tcPr>
            <w:tcW w:w="269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9E238E" w:rsidRPr="004A7D83" w:rsidRDefault="009E238E" w:rsidP="00CE203B">
            <w:pPr>
              <w:numPr>
                <w:ilvl w:val="0"/>
                <w:numId w:val="343"/>
              </w:numPr>
              <w:spacing w:after="120"/>
              <w:ind w:left="284" w:hanging="284"/>
              <w:jc w:val="left"/>
              <w:textAlignment w:val="baseline"/>
              <w:rPr>
                <w:rFonts w:ascii="Calibri" w:hAnsi="Calibri"/>
              </w:rPr>
            </w:pPr>
            <w:r>
              <w:rPr>
                <w:rFonts w:ascii="Calibri" w:hAnsi="Calibri"/>
                <w:sz w:val="20"/>
                <w:szCs w:val="20"/>
                <w:lang w:eastAsia="zh-CN"/>
              </w:rPr>
              <w:t>P</w:t>
            </w:r>
            <w:r w:rsidRPr="004A7D83">
              <w:rPr>
                <w:rFonts w:ascii="Calibri" w:hAnsi="Calibri"/>
                <w:sz w:val="20"/>
                <w:szCs w:val="20"/>
                <w:lang w:eastAsia="zh-CN"/>
              </w:rPr>
              <w:t>odpora udržateľného obhospodarovania lesov</w:t>
            </w:r>
            <w:r>
              <w:rPr>
                <w:rFonts w:ascii="Calibri" w:hAnsi="Calibri"/>
                <w:sz w:val="20"/>
                <w:szCs w:val="20"/>
                <w:lang w:eastAsia="zh-CN"/>
              </w:rPr>
              <w:t xml:space="preserve"> a zvýšenie ekonomickej hodnoty lesov</w:t>
            </w:r>
          </w:p>
        </w:tc>
        <w:tc>
          <w:tcPr>
            <w:tcW w:w="1090" w:type="dxa"/>
            <w:tcBorders>
              <w:top w:val="nil"/>
              <w:left w:val="nil"/>
              <w:bottom w:val="single" w:sz="8" w:space="0" w:color="000000"/>
              <w:right w:val="single" w:sz="8" w:space="0" w:color="000000"/>
            </w:tcBorders>
            <w:tcMar>
              <w:top w:w="0" w:type="dxa"/>
              <w:left w:w="108" w:type="dxa"/>
              <w:bottom w:w="0" w:type="dxa"/>
              <w:right w:w="108" w:type="dxa"/>
            </w:tcMar>
            <w:hideMark/>
          </w:tcPr>
          <w:p w:rsidR="009E238E" w:rsidRPr="004A7D83" w:rsidRDefault="009E238E" w:rsidP="009E238E">
            <w:pPr>
              <w:jc w:val="center"/>
              <w:rPr>
                <w:rFonts w:ascii="Calibri" w:hAnsi="Calibri"/>
              </w:rPr>
            </w:pPr>
            <w:r w:rsidRPr="004A7D83">
              <w:rPr>
                <w:rFonts w:ascii="Calibri" w:hAnsi="Calibri"/>
                <w:sz w:val="20"/>
                <w:szCs w:val="20"/>
                <w:lang w:eastAsia="zh-CN"/>
              </w:rPr>
              <w:t>2</w:t>
            </w:r>
            <w:r>
              <w:rPr>
                <w:rFonts w:ascii="Calibri" w:hAnsi="Calibri"/>
                <w:sz w:val="20"/>
                <w:szCs w:val="20"/>
                <w:lang w:eastAsia="zh-CN"/>
              </w:rPr>
              <w:t>C</w:t>
            </w:r>
          </w:p>
          <w:p w:rsidR="009E238E" w:rsidRPr="004A7D83" w:rsidRDefault="009E238E" w:rsidP="009E238E">
            <w:pPr>
              <w:spacing w:after="120"/>
              <w:jc w:val="center"/>
              <w:rPr>
                <w:rFonts w:ascii="Calibri" w:hAnsi="Calibri"/>
              </w:rPr>
            </w:pPr>
            <w:r w:rsidRPr="004A7D83">
              <w:rPr>
                <w:rFonts w:ascii="Calibri" w:hAnsi="Calibri"/>
                <w:sz w:val="20"/>
                <w:szCs w:val="20"/>
              </w:rPr>
              <w:t> </w:t>
            </w:r>
            <w:r w:rsidRPr="004A7D83">
              <w:rPr>
                <w:rFonts w:ascii="Calibri" w:hAnsi="Calibri"/>
                <w:sz w:val="20"/>
                <w:szCs w:val="20"/>
                <w:lang w:eastAsia="zh-CN"/>
              </w:rPr>
              <w:t>Inovácie</w:t>
            </w:r>
            <w:r>
              <w:rPr>
                <w:rFonts w:ascii="Calibri" w:hAnsi="Calibri"/>
                <w:sz w:val="20"/>
                <w:szCs w:val="20"/>
                <w:lang w:eastAsia="zh-CN"/>
              </w:rPr>
              <w:t>, ŽP</w:t>
            </w:r>
          </w:p>
        </w:tc>
        <w:tc>
          <w:tcPr>
            <w:tcW w:w="10425" w:type="dxa"/>
            <w:tcBorders>
              <w:top w:val="nil"/>
              <w:left w:val="nil"/>
              <w:bottom w:val="single" w:sz="8" w:space="0" w:color="000000"/>
              <w:right w:val="single" w:sz="8" w:space="0" w:color="000000"/>
            </w:tcBorders>
            <w:tcMar>
              <w:top w:w="0" w:type="dxa"/>
              <w:left w:w="108" w:type="dxa"/>
              <w:bottom w:w="0" w:type="dxa"/>
              <w:right w:w="108" w:type="dxa"/>
            </w:tcMar>
            <w:hideMark/>
          </w:tcPr>
          <w:p w:rsidR="009E238E" w:rsidRPr="004A7D83" w:rsidRDefault="009E238E" w:rsidP="009E238E">
            <w:pPr>
              <w:spacing w:after="120"/>
              <w:rPr>
                <w:rFonts w:ascii="Calibri" w:hAnsi="Calibri"/>
              </w:rPr>
            </w:pPr>
            <w:r w:rsidRPr="004A7D83">
              <w:rPr>
                <w:rFonts w:ascii="Calibri" w:hAnsi="Calibri"/>
                <w:sz w:val="20"/>
                <w:szCs w:val="20"/>
              </w:rPr>
              <w:t>Zlepšenie starostlivosti o lesy je čiastočne podmienené aj existenciou objektívne potrebnej infraštruktúry lesných ciest.</w:t>
            </w:r>
          </w:p>
          <w:p w:rsidR="009E238E" w:rsidRPr="004A7D83" w:rsidRDefault="009E238E" w:rsidP="009E238E">
            <w:pPr>
              <w:spacing w:after="120"/>
              <w:rPr>
                <w:rFonts w:ascii="Calibri" w:hAnsi="Calibri"/>
              </w:rPr>
            </w:pPr>
            <w:r w:rsidRPr="004A7D83">
              <w:rPr>
                <w:rFonts w:ascii="Calibri" w:hAnsi="Calibri"/>
                <w:sz w:val="20"/>
                <w:szCs w:val="20"/>
              </w:rPr>
              <w:t>Približovanie dreva je z hľadiska zabezpečenia výkonov dôležitá leso-hospodárska činnosť, ktorá tvorí približne 28% priamych nákladov na ťažbu a významne ovplyvňuje kalkuláciu nákladov na výkony. V roku 2012 hustota sprístupnenia lesov dopravnou sieťou vzrástla oproti predchádzajúcemu roku len nepatrne (o 0,1 m/ha). V roku 2012 bola hustota lesnej</w:t>
            </w:r>
            <w:r w:rsidRPr="004A7D83">
              <w:rPr>
                <w:rFonts w:ascii="Calibri" w:hAnsi="Calibri"/>
                <w:sz w:val="20"/>
                <w:szCs w:val="20"/>
              </w:rPr>
              <w:lastRenderedPageBreak/>
              <w:t xml:space="preserve"> dopravnej siete  v SR na úrovni 10,6 bm/ha (bežný meter na hektár). Celková dĺžka lesnej dopravnej siete bola 40 740 km. Jedná sa o lesné cesty kategórie 1L a 2L , ktoré môžu slúžiť pre odvoz dreva, prístup hasičskej techniky a technologických vozidiel.</w:t>
            </w:r>
            <w:r>
              <w:rPr>
                <w:rFonts w:ascii="Calibri" w:hAnsi="Calibri"/>
                <w:sz w:val="20"/>
                <w:szCs w:val="20"/>
              </w:rPr>
              <w:t xml:space="preserve"> Okrem toho je potrebné inovovať zastarané mechanizmy a technológiu v lesnom hospodárstve, ktorá zohráva dôležitú úlohu v tvorbe pridanej hodnote v LH ako aj má vplyv na ochranu životného prostredia. </w:t>
            </w:r>
          </w:p>
        </w:tc>
      </w:tr>
      <w:tr w:rsidR="009E238E" w:rsidRPr="004A7D83" w:rsidTr="009E238E">
        <w:trPr>
          <w:trHeight w:val="172"/>
        </w:trPr>
        <w:tc>
          <w:tcPr>
            <w:tcW w:w="269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9E238E" w:rsidRPr="004A7D83" w:rsidRDefault="009E238E" w:rsidP="00CE203B">
            <w:pPr>
              <w:numPr>
                <w:ilvl w:val="0"/>
                <w:numId w:val="343"/>
              </w:numPr>
              <w:spacing w:after="120"/>
              <w:ind w:left="426" w:hanging="426"/>
              <w:jc w:val="left"/>
              <w:textAlignment w:val="baseline"/>
              <w:rPr>
                <w:rFonts w:ascii="Calibri" w:hAnsi="Calibri"/>
              </w:rPr>
            </w:pPr>
            <w:r w:rsidRPr="004A7D83">
              <w:rPr>
                <w:rFonts w:ascii="Calibri" w:hAnsi="Calibri"/>
                <w:sz w:val="20"/>
                <w:szCs w:val="20"/>
                <w:lang w:eastAsia="zh-CN"/>
              </w:rPr>
              <w:t xml:space="preserve">Zachovanie biodiverzity a zvýšenie environmentálnej </w:t>
            </w:r>
            <w:r>
              <w:rPr>
                <w:rFonts w:ascii="Calibri" w:hAnsi="Calibri"/>
                <w:sz w:val="20"/>
                <w:szCs w:val="20"/>
                <w:lang w:eastAsia="zh-CN"/>
              </w:rPr>
              <w:t>výkonnosti</w:t>
            </w:r>
            <w:r w:rsidRPr="004A7D83">
              <w:rPr>
                <w:rFonts w:ascii="Calibri" w:hAnsi="Calibri"/>
                <w:sz w:val="20"/>
                <w:szCs w:val="20"/>
                <w:lang w:eastAsia="zh-CN"/>
              </w:rPr>
              <w:t xml:space="preserve"> podpôr na</w:t>
            </w:r>
            <w:r w:rsidRPr="004A7D83">
              <w:rPr>
                <w:rFonts w:ascii="Calibri" w:hAnsi="Calibri"/>
                <w:i/>
                <w:iCs/>
                <w:sz w:val="20"/>
                <w:szCs w:val="20"/>
                <w:lang w:eastAsia="zh-CN"/>
              </w:rPr>
              <w:t xml:space="preserve"> </w:t>
            </w:r>
            <w:r w:rsidRPr="004A7D83">
              <w:rPr>
                <w:rFonts w:ascii="Calibri" w:hAnsi="Calibri"/>
                <w:sz w:val="20"/>
                <w:szCs w:val="20"/>
                <w:lang w:eastAsia="zh-CN"/>
              </w:rPr>
              <w:t>ochranu biodiverzity</w:t>
            </w:r>
          </w:p>
        </w:tc>
        <w:tc>
          <w:tcPr>
            <w:tcW w:w="1090" w:type="dxa"/>
            <w:tcBorders>
              <w:top w:val="nil"/>
              <w:left w:val="nil"/>
              <w:bottom w:val="single" w:sz="8" w:space="0" w:color="000000"/>
              <w:right w:val="single" w:sz="8" w:space="0" w:color="000000"/>
            </w:tcBorders>
            <w:tcMar>
              <w:top w:w="0" w:type="dxa"/>
              <w:left w:w="108" w:type="dxa"/>
              <w:bottom w:w="0" w:type="dxa"/>
              <w:right w:w="108" w:type="dxa"/>
            </w:tcMar>
            <w:hideMark/>
          </w:tcPr>
          <w:p w:rsidR="009E238E" w:rsidRPr="004A7D83" w:rsidRDefault="009E238E" w:rsidP="009E238E">
            <w:pPr>
              <w:ind w:hanging="720"/>
              <w:jc w:val="center"/>
              <w:textAlignment w:val="baseline"/>
              <w:rPr>
                <w:rFonts w:ascii="Calibri" w:hAnsi="Calibri"/>
              </w:rPr>
            </w:pPr>
            <w:r w:rsidRPr="004A7D83">
              <w:rPr>
                <w:rFonts w:ascii="Calibri" w:hAnsi="Calibri"/>
                <w:sz w:val="20"/>
                <w:szCs w:val="20"/>
                <w:lang w:eastAsia="zh-CN"/>
              </w:rPr>
              <w:t>4A</w:t>
            </w:r>
          </w:p>
          <w:p w:rsidR="009E238E" w:rsidRPr="004A7D83" w:rsidRDefault="009E238E" w:rsidP="009E238E">
            <w:pPr>
              <w:ind w:hanging="720"/>
              <w:jc w:val="right"/>
              <w:textAlignment w:val="baseline"/>
              <w:rPr>
                <w:rFonts w:ascii="Calibri" w:hAnsi="Calibri"/>
              </w:rPr>
            </w:pPr>
            <w:r w:rsidRPr="004A7D83">
              <w:rPr>
                <w:rFonts w:ascii="Calibri" w:hAnsi="Calibri"/>
                <w:sz w:val="20"/>
                <w:szCs w:val="20"/>
                <w:lang w:eastAsia="zh-CN"/>
              </w:rPr>
              <w:t> </w:t>
            </w:r>
          </w:p>
          <w:p w:rsidR="009E238E" w:rsidRPr="004A7D83" w:rsidRDefault="009E238E" w:rsidP="009E238E">
            <w:pPr>
              <w:ind w:hanging="720"/>
              <w:jc w:val="center"/>
              <w:textAlignment w:val="baseline"/>
              <w:rPr>
                <w:rFonts w:ascii="Calibri" w:hAnsi="Calibri"/>
              </w:rPr>
            </w:pPr>
            <w:r>
              <w:rPr>
                <w:rFonts w:ascii="Calibri" w:hAnsi="Calibri"/>
                <w:sz w:val="20"/>
                <w:szCs w:val="20"/>
                <w:lang w:eastAsia="zh-CN"/>
              </w:rPr>
              <w:t xml:space="preserve">           </w:t>
            </w:r>
            <w:r w:rsidRPr="004A7D83">
              <w:rPr>
                <w:rFonts w:ascii="Calibri" w:hAnsi="Calibri"/>
                <w:sz w:val="20"/>
                <w:szCs w:val="20"/>
                <w:lang w:eastAsia="zh-CN"/>
              </w:rPr>
              <w:t xml:space="preserve">ŽP, </w:t>
            </w:r>
            <w:r>
              <w:rPr>
                <w:rFonts w:ascii="Calibri" w:hAnsi="Calibri"/>
                <w:sz w:val="20"/>
                <w:szCs w:val="20"/>
                <w:lang w:eastAsia="zh-CN"/>
              </w:rPr>
              <w:t>zmena k</w:t>
            </w:r>
            <w:r w:rsidRPr="004A7D83">
              <w:rPr>
                <w:rFonts w:ascii="Calibri" w:hAnsi="Calibri"/>
                <w:sz w:val="20"/>
                <w:szCs w:val="20"/>
                <w:lang w:eastAsia="zh-CN"/>
              </w:rPr>
              <w:t>lím</w:t>
            </w:r>
            <w:r>
              <w:rPr>
                <w:rFonts w:ascii="Calibri" w:hAnsi="Calibri"/>
                <w:sz w:val="20"/>
                <w:szCs w:val="20"/>
                <w:lang w:eastAsia="zh-CN"/>
              </w:rPr>
              <w:t>y</w:t>
            </w:r>
          </w:p>
          <w:p w:rsidR="009E238E" w:rsidRPr="004A7D83" w:rsidRDefault="009E238E" w:rsidP="009E238E">
            <w:pPr>
              <w:ind w:hanging="720"/>
              <w:jc w:val="right"/>
              <w:textAlignment w:val="baseline"/>
              <w:rPr>
                <w:rFonts w:ascii="Calibri" w:hAnsi="Calibri"/>
              </w:rPr>
            </w:pPr>
            <w:r w:rsidRPr="004A7D83">
              <w:rPr>
                <w:rFonts w:ascii="Calibri" w:hAnsi="Calibri"/>
                <w:sz w:val="20"/>
                <w:szCs w:val="20"/>
                <w:lang w:eastAsia="zh-CN"/>
              </w:rPr>
              <w:t> </w:t>
            </w:r>
          </w:p>
        </w:tc>
        <w:tc>
          <w:tcPr>
            <w:tcW w:w="10425" w:type="dxa"/>
            <w:tcBorders>
              <w:top w:val="nil"/>
              <w:left w:val="nil"/>
              <w:bottom w:val="single" w:sz="8" w:space="0" w:color="000000"/>
              <w:right w:val="single" w:sz="8" w:space="0" w:color="000000"/>
            </w:tcBorders>
            <w:tcMar>
              <w:top w:w="0" w:type="dxa"/>
              <w:left w:w="108" w:type="dxa"/>
              <w:bottom w:w="0" w:type="dxa"/>
              <w:right w:w="108" w:type="dxa"/>
            </w:tcMar>
            <w:hideMark/>
          </w:tcPr>
          <w:p w:rsidR="009E238E" w:rsidRPr="00A55DE2" w:rsidRDefault="009E238E" w:rsidP="009E238E">
            <w:pPr>
              <w:spacing w:after="120"/>
              <w:rPr>
                <w:rFonts w:ascii="Calibri" w:hAnsi="Calibri"/>
                <w:sz w:val="20"/>
                <w:szCs w:val="20"/>
              </w:rPr>
            </w:pPr>
            <w:r>
              <w:rPr>
                <w:rFonts w:ascii="Calibri" w:hAnsi="Calibri"/>
                <w:sz w:val="20"/>
                <w:szCs w:val="20"/>
              </w:rPr>
              <w:t xml:space="preserve">Podľa CCI 35 </w:t>
            </w:r>
            <w:r w:rsidRPr="00A55DE2">
              <w:rPr>
                <w:rFonts w:ascii="Calibri" w:hAnsi="Calibri"/>
                <w:sz w:val="20"/>
                <w:szCs w:val="20"/>
              </w:rPr>
              <w:t xml:space="preserve">Index populácie vtákov </w:t>
            </w:r>
            <w:r>
              <w:rPr>
                <w:rFonts w:ascii="Calibri" w:hAnsi="Calibri"/>
                <w:sz w:val="20"/>
                <w:szCs w:val="20"/>
              </w:rPr>
              <w:t xml:space="preserve">v SR </w:t>
            </w:r>
            <w:r w:rsidRPr="00A55DE2">
              <w:rPr>
                <w:rFonts w:ascii="Calibri" w:hAnsi="Calibri"/>
                <w:sz w:val="20"/>
                <w:szCs w:val="20"/>
              </w:rPr>
              <w:t>po</w:t>
            </w:r>
            <w:r>
              <w:rPr>
                <w:rFonts w:ascii="Calibri" w:hAnsi="Calibri"/>
                <w:sz w:val="20"/>
                <w:szCs w:val="20"/>
              </w:rPr>
              <w:t>klesol v období 2005-2012 o 10% a p</w:t>
            </w:r>
            <w:r w:rsidRPr="004A7D83">
              <w:rPr>
                <w:rFonts w:ascii="Calibri" w:hAnsi="Calibri"/>
                <w:sz w:val="20"/>
                <w:szCs w:val="20"/>
              </w:rPr>
              <w:t xml:space="preserve">odľa CCI 36 prevláda nízky stupeň zachovania biodiverzity prírodných TP, vhodne </w:t>
            </w:r>
            <w:r>
              <w:rPr>
                <w:rFonts w:ascii="Calibri" w:hAnsi="Calibri"/>
                <w:sz w:val="20"/>
                <w:szCs w:val="20"/>
              </w:rPr>
              <w:t xml:space="preserve">je </w:t>
            </w:r>
            <w:r w:rsidRPr="004A7D83">
              <w:rPr>
                <w:rFonts w:ascii="Calibri" w:hAnsi="Calibri"/>
                <w:sz w:val="20"/>
                <w:szCs w:val="20"/>
              </w:rPr>
              <w:t>obhospodarovaných  13%, nevhodne a zle  78,2%.</w:t>
            </w:r>
          </w:p>
          <w:p w:rsidR="009E238E" w:rsidRPr="004A7D83" w:rsidRDefault="009E238E" w:rsidP="009E238E">
            <w:pPr>
              <w:spacing w:after="120"/>
              <w:rPr>
                <w:rFonts w:ascii="Calibri" w:hAnsi="Calibri"/>
              </w:rPr>
            </w:pPr>
            <w:r w:rsidRPr="004A7D83">
              <w:rPr>
                <w:rFonts w:ascii="Calibri" w:hAnsi="Calibri"/>
                <w:sz w:val="20"/>
                <w:szCs w:val="20"/>
              </w:rPr>
              <w:t xml:space="preserve">Protiváhou je rastúca výmera pôdy s </w:t>
            </w:r>
            <w:r>
              <w:rPr>
                <w:rFonts w:ascii="Calibri" w:hAnsi="Calibri"/>
                <w:sz w:val="20"/>
                <w:szCs w:val="20"/>
              </w:rPr>
              <w:t>AEP</w:t>
            </w:r>
            <w:r w:rsidRPr="004A7D83">
              <w:rPr>
                <w:rFonts w:ascii="Calibri" w:hAnsi="Calibri"/>
                <w:sz w:val="20"/>
                <w:szCs w:val="20"/>
              </w:rPr>
              <w:t xml:space="preserve"> a </w:t>
            </w:r>
            <w:r>
              <w:rPr>
                <w:rFonts w:ascii="Calibri" w:hAnsi="Calibri"/>
                <w:sz w:val="20"/>
                <w:szCs w:val="20"/>
              </w:rPr>
              <w:t>EP</w:t>
            </w:r>
            <w:r w:rsidRPr="004A7D83">
              <w:rPr>
                <w:rFonts w:ascii="Calibri" w:hAnsi="Calibri"/>
                <w:sz w:val="20"/>
                <w:szCs w:val="20"/>
              </w:rPr>
              <w:t>, po r. 2014 aj  zavedenie greeningu a dôraz na ochranu krajinných prvkov (E</w:t>
            </w:r>
            <w:r>
              <w:rPr>
                <w:rFonts w:ascii="Calibri" w:hAnsi="Calibri"/>
                <w:sz w:val="20"/>
                <w:szCs w:val="20"/>
              </w:rPr>
              <w:t>FA</w:t>
            </w:r>
            <w:r w:rsidRPr="004A7D83">
              <w:rPr>
                <w:rFonts w:ascii="Calibri" w:hAnsi="Calibri"/>
                <w:sz w:val="20"/>
                <w:szCs w:val="20"/>
              </w:rPr>
              <w:t>).</w:t>
            </w:r>
          </w:p>
          <w:p w:rsidR="009E238E" w:rsidRDefault="009E238E" w:rsidP="009E238E">
            <w:pPr>
              <w:spacing w:after="120"/>
              <w:rPr>
                <w:rFonts w:ascii="Calibri" w:hAnsi="Calibri"/>
                <w:sz w:val="20"/>
                <w:szCs w:val="20"/>
              </w:rPr>
            </w:pPr>
            <w:r>
              <w:rPr>
                <w:rFonts w:ascii="Calibri" w:hAnsi="Calibri"/>
                <w:sz w:val="20"/>
                <w:szCs w:val="20"/>
              </w:rPr>
              <w:t>P</w:t>
            </w:r>
            <w:r w:rsidRPr="004A7D83">
              <w:rPr>
                <w:rFonts w:ascii="Calibri" w:hAnsi="Calibri"/>
                <w:sz w:val="20"/>
                <w:szCs w:val="20"/>
              </w:rPr>
              <w:t xml:space="preserve">re zachovanie biodiverzity </w:t>
            </w:r>
            <w:r>
              <w:rPr>
                <w:rFonts w:ascii="Calibri" w:hAnsi="Calibri"/>
                <w:sz w:val="20"/>
                <w:szCs w:val="20"/>
              </w:rPr>
              <w:t xml:space="preserve">je </w:t>
            </w:r>
            <w:r w:rsidRPr="004A7D83">
              <w:rPr>
                <w:rFonts w:ascii="Calibri" w:hAnsi="Calibri"/>
                <w:sz w:val="20"/>
                <w:szCs w:val="20"/>
              </w:rPr>
              <w:t xml:space="preserve">kľúčové </w:t>
            </w:r>
            <w:r w:rsidRPr="004A7D83">
              <w:rPr>
                <w:rFonts w:ascii="Calibri" w:hAnsi="Calibri"/>
                <w:b/>
                <w:bCs/>
                <w:sz w:val="20"/>
                <w:szCs w:val="20"/>
              </w:rPr>
              <w:t>dôsledné vymedzenie poľn</w:t>
            </w:r>
            <w:r>
              <w:rPr>
                <w:rFonts w:ascii="Calibri" w:hAnsi="Calibri"/>
                <w:b/>
                <w:bCs/>
                <w:sz w:val="20"/>
                <w:szCs w:val="20"/>
              </w:rPr>
              <w:t>.</w:t>
            </w:r>
            <w:r w:rsidRPr="004A7D83">
              <w:rPr>
                <w:rFonts w:ascii="Calibri" w:hAnsi="Calibri"/>
                <w:b/>
                <w:bCs/>
                <w:sz w:val="20"/>
                <w:szCs w:val="20"/>
              </w:rPr>
              <w:t xml:space="preserve"> a lesných území s vysokou prírodnou hodnotou</w:t>
            </w:r>
            <w:r w:rsidRPr="004A7D83">
              <w:rPr>
                <w:rFonts w:ascii="Calibri" w:hAnsi="Calibri"/>
                <w:sz w:val="20"/>
                <w:szCs w:val="20"/>
              </w:rPr>
              <w:t xml:space="preserve"> (HNV), ich ochrana, monitorovanie  a zvýšenie informovanosti o ich význame. Metodika definovan</w:t>
            </w:r>
            <w:r>
              <w:rPr>
                <w:rFonts w:ascii="Calibri" w:hAnsi="Calibri"/>
                <w:sz w:val="20"/>
                <w:szCs w:val="20"/>
              </w:rPr>
              <w:t>ia</w:t>
            </w:r>
            <w:r w:rsidRPr="004A7D83">
              <w:rPr>
                <w:rFonts w:ascii="Calibri" w:hAnsi="Calibri"/>
                <w:sz w:val="20"/>
                <w:szCs w:val="20"/>
              </w:rPr>
              <w:t xml:space="preserve"> HNV v SR je v štádiu finalizácie</w:t>
            </w:r>
            <w:r>
              <w:rPr>
                <w:rFonts w:ascii="Calibri" w:hAnsi="Calibri"/>
                <w:sz w:val="20"/>
                <w:szCs w:val="20"/>
              </w:rPr>
              <w:t>.</w:t>
            </w:r>
          </w:p>
          <w:p w:rsidR="009E238E" w:rsidRPr="004A7D83" w:rsidRDefault="009E238E" w:rsidP="009E238E">
            <w:pPr>
              <w:spacing w:after="120"/>
              <w:rPr>
                <w:rFonts w:ascii="Calibri" w:hAnsi="Calibri"/>
              </w:rPr>
            </w:pPr>
            <w:r w:rsidRPr="00A13692">
              <w:rPr>
                <w:rFonts w:ascii="Calibri" w:hAnsi="Calibri"/>
                <w:sz w:val="20"/>
                <w:szCs w:val="20"/>
              </w:rPr>
              <w:t>Príprava Aktualizovanej národnej stratégie ochrany biodiverzity do r</w:t>
            </w:r>
            <w:r>
              <w:rPr>
                <w:rFonts w:ascii="Calibri" w:hAnsi="Calibri"/>
                <w:sz w:val="20"/>
                <w:szCs w:val="20"/>
              </w:rPr>
              <w:t>.</w:t>
            </w:r>
            <w:r w:rsidRPr="00A13692">
              <w:rPr>
                <w:rFonts w:ascii="Calibri" w:hAnsi="Calibri"/>
                <w:sz w:val="20"/>
                <w:szCs w:val="20"/>
              </w:rPr>
              <w:t xml:space="preserve"> 2020“</w:t>
            </w:r>
            <w:r>
              <w:rPr>
                <w:rFonts w:ascii="Calibri" w:hAnsi="Calibri"/>
                <w:sz w:val="20"/>
                <w:szCs w:val="20"/>
              </w:rPr>
              <w:t xml:space="preserve"> (</w:t>
            </w:r>
            <w:r w:rsidRPr="00A13692">
              <w:rPr>
                <w:rFonts w:ascii="Calibri" w:hAnsi="Calibri"/>
                <w:sz w:val="20"/>
                <w:szCs w:val="20"/>
              </w:rPr>
              <w:t>uzneseni</w:t>
            </w:r>
            <w:r>
              <w:rPr>
                <w:rFonts w:ascii="Calibri" w:hAnsi="Calibri"/>
                <w:sz w:val="20"/>
                <w:szCs w:val="20"/>
              </w:rPr>
              <w:t>e</w:t>
            </w:r>
            <w:r w:rsidRPr="00A13692">
              <w:rPr>
                <w:rFonts w:ascii="Calibri" w:hAnsi="Calibri"/>
                <w:sz w:val="20"/>
                <w:szCs w:val="20"/>
              </w:rPr>
              <w:t xml:space="preserve"> vlády SR č. 8/2014</w:t>
            </w:r>
            <w:r>
              <w:rPr>
                <w:rFonts w:ascii="Calibri" w:hAnsi="Calibri"/>
                <w:sz w:val="20"/>
                <w:szCs w:val="20"/>
              </w:rPr>
              <w:t>)</w:t>
            </w:r>
            <w:r w:rsidRPr="004A7D83">
              <w:rPr>
                <w:rFonts w:ascii="Calibri" w:hAnsi="Calibri"/>
                <w:sz w:val="20"/>
                <w:szCs w:val="20"/>
              </w:rPr>
              <w:t>odhalil</w:t>
            </w:r>
            <w:r>
              <w:rPr>
                <w:rFonts w:ascii="Calibri" w:hAnsi="Calibri"/>
                <w:sz w:val="20"/>
                <w:szCs w:val="20"/>
              </w:rPr>
              <w:t>a</w:t>
            </w:r>
            <w:r w:rsidRPr="004A7D83">
              <w:rPr>
                <w:rFonts w:ascii="Calibri" w:hAnsi="Calibri"/>
                <w:sz w:val="20"/>
                <w:szCs w:val="20"/>
              </w:rPr>
              <w:t>, že tradičný prístup k ochrane biodiverzity, založený na izolovanej ochrane vybraných druhov a biotopov nie je dostatočne efektívny</w:t>
            </w:r>
            <w:r>
              <w:rPr>
                <w:rFonts w:ascii="Calibri" w:hAnsi="Calibri"/>
                <w:sz w:val="20"/>
                <w:szCs w:val="20"/>
              </w:rPr>
              <w:t xml:space="preserve">, preto v </w:t>
            </w:r>
            <w:r w:rsidRPr="004A7D83">
              <w:rPr>
                <w:rFonts w:ascii="Calibri" w:hAnsi="Calibri"/>
                <w:sz w:val="20"/>
                <w:szCs w:val="20"/>
              </w:rPr>
              <w:t xml:space="preserve"> PRV je  </w:t>
            </w:r>
            <w:r>
              <w:rPr>
                <w:rFonts w:ascii="Calibri" w:hAnsi="Calibri"/>
                <w:sz w:val="20"/>
                <w:szCs w:val="20"/>
              </w:rPr>
              <w:t>potrebné podporovať biotopy a druhy európskeho významu, vrátane území Natura 2000.</w:t>
            </w:r>
            <w:r w:rsidRPr="004A7D83">
              <w:rPr>
                <w:rFonts w:ascii="Calibri" w:hAnsi="Calibri"/>
                <w:sz w:val="20"/>
                <w:szCs w:val="20"/>
              </w:rPr>
              <w:t xml:space="preserve">. K tomu je </w:t>
            </w:r>
            <w:r>
              <w:rPr>
                <w:rFonts w:ascii="Calibri" w:hAnsi="Calibri"/>
                <w:sz w:val="20"/>
                <w:szCs w:val="20"/>
              </w:rPr>
              <w:t xml:space="preserve">treba </w:t>
            </w:r>
            <w:r w:rsidRPr="004A7D83">
              <w:rPr>
                <w:rFonts w:ascii="Calibri" w:hAnsi="Calibri"/>
                <w:sz w:val="20"/>
                <w:szCs w:val="20"/>
              </w:rPr>
              <w:t xml:space="preserve"> lepšie zacieliť aj aktiv</w:t>
            </w:r>
            <w:r>
              <w:rPr>
                <w:rFonts w:ascii="Calibri" w:hAnsi="Calibri"/>
                <w:sz w:val="20"/>
                <w:szCs w:val="20"/>
              </w:rPr>
              <w:t>ity</w:t>
            </w:r>
            <w:r w:rsidRPr="004A7D83">
              <w:rPr>
                <w:rFonts w:ascii="Calibri" w:hAnsi="Calibri"/>
                <w:sz w:val="20"/>
                <w:szCs w:val="20"/>
              </w:rPr>
              <w:t xml:space="preserve"> vzdelávania, poradenstva a šírenia dobrej praxe</w:t>
            </w:r>
            <w:r>
              <w:rPr>
                <w:rFonts w:ascii="Calibri" w:hAnsi="Calibri"/>
                <w:sz w:val="20"/>
                <w:szCs w:val="20"/>
              </w:rPr>
              <w:t xml:space="preserve"> (napr. ekosystémový manažment fariem)</w:t>
            </w:r>
            <w:r w:rsidRPr="004A7D83">
              <w:rPr>
                <w:rFonts w:ascii="Calibri" w:hAnsi="Calibri"/>
                <w:sz w:val="20"/>
                <w:szCs w:val="20"/>
              </w:rPr>
              <w:t>.</w:t>
            </w:r>
          </w:p>
          <w:p w:rsidR="009E238E" w:rsidRPr="004A7D83" w:rsidRDefault="009E238E" w:rsidP="009E238E">
            <w:pPr>
              <w:spacing w:after="120"/>
              <w:rPr>
                <w:rFonts w:ascii="Calibri" w:hAnsi="Calibri"/>
              </w:rPr>
            </w:pPr>
            <w:r w:rsidRPr="004A7D83">
              <w:rPr>
                <w:rFonts w:ascii="Calibri" w:hAnsi="Calibri"/>
                <w:sz w:val="20"/>
                <w:szCs w:val="20"/>
              </w:rPr>
              <w:t>K biodiverzit</w:t>
            </w:r>
            <w:r>
              <w:rPr>
                <w:rFonts w:ascii="Calibri" w:hAnsi="Calibri"/>
                <w:sz w:val="20"/>
                <w:szCs w:val="20"/>
              </w:rPr>
              <w:t>e</w:t>
            </w:r>
            <w:r w:rsidRPr="004A7D83">
              <w:rPr>
                <w:rFonts w:ascii="Calibri" w:hAnsi="Calibri"/>
                <w:sz w:val="20"/>
                <w:szCs w:val="20"/>
              </w:rPr>
              <w:t xml:space="preserve"> prispieva aj podpora LFA, </w:t>
            </w:r>
            <w:r>
              <w:rPr>
                <w:rFonts w:ascii="Calibri" w:hAnsi="Calibri"/>
                <w:sz w:val="20"/>
                <w:szCs w:val="20"/>
              </w:rPr>
              <w:t xml:space="preserve">ktorá </w:t>
            </w:r>
            <w:r w:rsidRPr="004A7D83">
              <w:rPr>
                <w:rFonts w:ascii="Calibri" w:hAnsi="Calibri"/>
                <w:sz w:val="20"/>
                <w:szCs w:val="20"/>
              </w:rPr>
              <w:t>zabezpečuje údržb</w:t>
            </w:r>
            <w:r>
              <w:rPr>
                <w:rFonts w:ascii="Calibri" w:hAnsi="Calibri"/>
                <w:sz w:val="20"/>
                <w:szCs w:val="20"/>
              </w:rPr>
              <w:t>u</w:t>
            </w:r>
            <w:r w:rsidRPr="004A7D83">
              <w:rPr>
                <w:rFonts w:ascii="Calibri" w:hAnsi="Calibri"/>
                <w:sz w:val="20"/>
                <w:szCs w:val="20"/>
              </w:rPr>
              <w:t xml:space="preserve"> krajiny. Až 60% plôch s </w:t>
            </w:r>
            <w:r>
              <w:rPr>
                <w:rFonts w:ascii="Calibri" w:hAnsi="Calibri"/>
                <w:sz w:val="20"/>
                <w:szCs w:val="20"/>
              </w:rPr>
              <w:t xml:space="preserve">AEP </w:t>
            </w:r>
            <w:r w:rsidRPr="004A7D83">
              <w:rPr>
                <w:rFonts w:ascii="Calibri" w:hAnsi="Calibri"/>
                <w:sz w:val="20"/>
                <w:szCs w:val="20"/>
              </w:rPr>
              <w:t xml:space="preserve">sa prekrýva s  LFA a obe </w:t>
            </w:r>
            <w:r w:rsidRPr="004A7D83">
              <w:rPr>
                <w:rFonts w:ascii="Calibri" w:hAnsi="Calibri"/>
                <w:b/>
                <w:bCs/>
                <w:sz w:val="20"/>
                <w:szCs w:val="20"/>
              </w:rPr>
              <w:t xml:space="preserve">synergicky prispievajú k biodiverzite. </w:t>
            </w:r>
            <w:r w:rsidRPr="004A7D83">
              <w:rPr>
                <w:rFonts w:ascii="Calibri" w:hAnsi="Calibri"/>
                <w:sz w:val="20"/>
                <w:szCs w:val="20"/>
              </w:rPr>
              <w:t xml:space="preserve">Túto pozitívnu synergiu je potrebné vo väčšej miere </w:t>
            </w:r>
            <w:r>
              <w:rPr>
                <w:rFonts w:ascii="Calibri" w:hAnsi="Calibri"/>
                <w:sz w:val="20"/>
                <w:szCs w:val="20"/>
              </w:rPr>
              <w:t xml:space="preserve">uplatniť </w:t>
            </w:r>
            <w:r w:rsidRPr="004A7D83">
              <w:rPr>
                <w:rFonts w:ascii="Calibri" w:hAnsi="Calibri"/>
                <w:sz w:val="20"/>
                <w:szCs w:val="20"/>
              </w:rPr>
              <w:t>aj v  PRV</w:t>
            </w:r>
            <w:r>
              <w:rPr>
                <w:rFonts w:ascii="Calibri" w:hAnsi="Calibri"/>
                <w:sz w:val="20"/>
                <w:szCs w:val="20"/>
              </w:rPr>
              <w:t xml:space="preserve">. Podobné odporúčanie je aj v hodnotení </w:t>
            </w:r>
            <w:r w:rsidRPr="00893E9A">
              <w:rPr>
                <w:rFonts w:ascii="Calibri" w:hAnsi="Calibri"/>
                <w:sz w:val="20"/>
                <w:szCs w:val="20"/>
              </w:rPr>
              <w:t>environmentáln</w:t>
            </w:r>
            <w:r>
              <w:rPr>
                <w:rFonts w:ascii="Calibri" w:hAnsi="Calibri"/>
                <w:sz w:val="20"/>
                <w:szCs w:val="20"/>
              </w:rPr>
              <w:t>ej</w:t>
            </w:r>
            <w:r w:rsidRPr="00893E9A">
              <w:rPr>
                <w:rFonts w:ascii="Calibri" w:hAnsi="Calibri"/>
                <w:sz w:val="20"/>
                <w:szCs w:val="20"/>
              </w:rPr>
              <w:t xml:space="preserve"> výkonnos</w:t>
            </w:r>
            <w:r>
              <w:rPr>
                <w:rFonts w:ascii="Calibri" w:hAnsi="Calibri"/>
                <w:sz w:val="20"/>
                <w:szCs w:val="20"/>
              </w:rPr>
              <w:t>ti</w:t>
            </w:r>
            <w:r w:rsidRPr="00893E9A">
              <w:rPr>
                <w:rFonts w:ascii="Calibri" w:hAnsi="Calibri"/>
                <w:sz w:val="20"/>
                <w:szCs w:val="20"/>
              </w:rPr>
              <w:t xml:space="preserve"> S</w:t>
            </w:r>
            <w:r>
              <w:rPr>
                <w:rFonts w:ascii="Calibri" w:hAnsi="Calibri"/>
                <w:sz w:val="20"/>
                <w:szCs w:val="20"/>
              </w:rPr>
              <w:t>R, OECD 2010.</w:t>
            </w:r>
          </w:p>
          <w:p w:rsidR="009E238E" w:rsidRPr="004A7D83" w:rsidRDefault="009E238E" w:rsidP="009E238E">
            <w:pPr>
              <w:spacing w:after="120"/>
              <w:ind w:left="34"/>
              <w:rPr>
                <w:rFonts w:ascii="Calibri" w:hAnsi="Calibri"/>
              </w:rPr>
            </w:pPr>
            <w:r>
              <w:rPr>
                <w:rFonts w:ascii="Calibri" w:hAnsi="Calibri"/>
                <w:sz w:val="20"/>
                <w:szCs w:val="20"/>
              </w:rPr>
              <w:t xml:space="preserve">V LH je </w:t>
            </w:r>
            <w:r w:rsidRPr="004A7D83">
              <w:rPr>
                <w:rFonts w:ascii="Calibri" w:hAnsi="Calibri"/>
                <w:sz w:val="20"/>
                <w:szCs w:val="20"/>
              </w:rPr>
              <w:t xml:space="preserve"> </w:t>
            </w:r>
            <w:r>
              <w:rPr>
                <w:rFonts w:ascii="Calibri" w:hAnsi="Calibri"/>
                <w:sz w:val="20"/>
                <w:szCs w:val="20"/>
              </w:rPr>
              <w:t xml:space="preserve">okrem spravovania HNV potreba </w:t>
            </w:r>
            <w:r w:rsidRPr="004A7D83">
              <w:rPr>
                <w:rFonts w:ascii="Calibri" w:hAnsi="Calibri"/>
                <w:sz w:val="20"/>
                <w:szCs w:val="20"/>
              </w:rPr>
              <w:t xml:space="preserve"> zlepš</w:t>
            </w:r>
            <w:r>
              <w:rPr>
                <w:rFonts w:ascii="Calibri" w:hAnsi="Calibri"/>
                <w:sz w:val="20"/>
                <w:szCs w:val="20"/>
              </w:rPr>
              <w:t xml:space="preserve">iť </w:t>
            </w:r>
            <w:r w:rsidRPr="004A7D83">
              <w:rPr>
                <w:rFonts w:ascii="Calibri" w:hAnsi="Calibri"/>
                <w:sz w:val="20"/>
                <w:szCs w:val="20"/>
              </w:rPr>
              <w:t xml:space="preserve"> zdravotn</w:t>
            </w:r>
            <w:r>
              <w:rPr>
                <w:rFonts w:ascii="Calibri" w:hAnsi="Calibri"/>
                <w:sz w:val="20"/>
                <w:szCs w:val="20"/>
              </w:rPr>
              <w:t>ý</w:t>
            </w:r>
            <w:r w:rsidRPr="004A7D83">
              <w:rPr>
                <w:rFonts w:ascii="Calibri" w:hAnsi="Calibri"/>
                <w:sz w:val="20"/>
                <w:szCs w:val="20"/>
              </w:rPr>
              <w:t xml:space="preserve"> stav </w:t>
            </w:r>
            <w:r>
              <w:rPr>
                <w:rFonts w:ascii="Calibri" w:hAnsi="Calibri"/>
                <w:sz w:val="20"/>
                <w:szCs w:val="20"/>
              </w:rPr>
              <w:t>a </w:t>
            </w:r>
            <w:r w:rsidRPr="004A7D83">
              <w:rPr>
                <w:rFonts w:ascii="Calibri" w:hAnsi="Calibri"/>
                <w:sz w:val="20"/>
                <w:szCs w:val="20"/>
              </w:rPr>
              <w:t>obnov</w:t>
            </w:r>
            <w:r>
              <w:rPr>
                <w:rFonts w:ascii="Calibri" w:hAnsi="Calibri"/>
                <w:sz w:val="20"/>
                <w:szCs w:val="20"/>
              </w:rPr>
              <w:t xml:space="preserve">u </w:t>
            </w:r>
            <w:r w:rsidRPr="004A7D83">
              <w:rPr>
                <w:rFonts w:ascii="Calibri" w:hAnsi="Calibri"/>
                <w:sz w:val="20"/>
                <w:szCs w:val="20"/>
              </w:rPr>
              <w:t>lesov a podpor</w:t>
            </w:r>
            <w:r>
              <w:rPr>
                <w:rFonts w:ascii="Calibri" w:hAnsi="Calibri"/>
                <w:sz w:val="20"/>
                <w:szCs w:val="20"/>
              </w:rPr>
              <w:t>iť</w:t>
            </w:r>
            <w:r w:rsidRPr="004A7D83">
              <w:rPr>
                <w:rFonts w:ascii="Calibri" w:hAnsi="Calibri"/>
                <w:sz w:val="20"/>
                <w:szCs w:val="20"/>
              </w:rPr>
              <w:t xml:space="preserve"> konverzi</w:t>
            </w:r>
            <w:r>
              <w:rPr>
                <w:rFonts w:ascii="Calibri" w:hAnsi="Calibri"/>
                <w:sz w:val="20"/>
                <w:szCs w:val="20"/>
              </w:rPr>
              <w:t>u</w:t>
            </w:r>
            <w:r w:rsidRPr="004A7D83">
              <w:rPr>
                <w:rFonts w:ascii="Calibri" w:hAnsi="Calibri"/>
                <w:sz w:val="20"/>
                <w:szCs w:val="20"/>
              </w:rPr>
              <w:t xml:space="preserve"> smrečín (vo vysokom stupni rozpadu)na lesy zmiešané</w:t>
            </w:r>
            <w:r>
              <w:rPr>
                <w:rFonts w:ascii="Calibri" w:hAnsi="Calibri"/>
                <w:sz w:val="20"/>
                <w:szCs w:val="20"/>
              </w:rPr>
              <w:t>.</w:t>
            </w:r>
            <w:r w:rsidRPr="004A7D83">
              <w:rPr>
                <w:rFonts w:ascii="Calibri" w:hAnsi="Calibri"/>
                <w:sz w:val="20"/>
                <w:szCs w:val="20"/>
              </w:rPr>
              <w:t xml:space="preserve"> V </w:t>
            </w:r>
            <w:r>
              <w:rPr>
                <w:rFonts w:ascii="Calibri" w:hAnsi="Calibri"/>
                <w:sz w:val="20"/>
                <w:szCs w:val="20"/>
              </w:rPr>
              <w:t>PD</w:t>
            </w:r>
            <w:r w:rsidRPr="004A7D83">
              <w:rPr>
                <w:rFonts w:ascii="Calibri" w:hAnsi="Calibri"/>
                <w:sz w:val="20"/>
                <w:szCs w:val="20"/>
              </w:rPr>
              <w:t xml:space="preserve"> EK odporúča integrovať zachovanie biodiverzity do plánov </w:t>
            </w:r>
            <w:r>
              <w:rPr>
                <w:rFonts w:ascii="Calibri" w:hAnsi="Calibri"/>
                <w:sz w:val="20"/>
                <w:szCs w:val="20"/>
              </w:rPr>
              <w:t>LH a</w:t>
            </w:r>
            <w:r w:rsidRPr="004A7D83">
              <w:rPr>
                <w:rFonts w:ascii="Calibri" w:hAnsi="Calibri"/>
                <w:sz w:val="20"/>
                <w:szCs w:val="20"/>
              </w:rPr>
              <w:t xml:space="preserve"> posilniť lesné ekosystémy zlepšením ich funkčnej a priestorovej prepojiteľnosti.</w:t>
            </w:r>
            <w:r>
              <w:rPr>
                <w:rFonts w:ascii="Calibri" w:hAnsi="Calibri"/>
                <w:sz w:val="20"/>
                <w:szCs w:val="20"/>
              </w:rPr>
              <w:t xml:space="preserve"> </w:t>
            </w:r>
            <w:r w:rsidRPr="003B20F7">
              <w:rPr>
                <w:sz w:val="20"/>
                <w:szCs w:val="20"/>
              </w:rPr>
              <w:t>Podstatné je, aby opatrenia PRV boli v súlade so záujmami ochrany prírody</w:t>
            </w:r>
            <w:r>
              <w:rPr>
                <w:sz w:val="20"/>
                <w:szCs w:val="20"/>
              </w:rPr>
              <w:t>.</w:t>
            </w:r>
          </w:p>
        </w:tc>
      </w:tr>
      <w:tr w:rsidR="009E238E" w:rsidRPr="004A7D83" w:rsidTr="009E238E">
        <w:trPr>
          <w:trHeight w:val="172"/>
        </w:trPr>
        <w:tc>
          <w:tcPr>
            <w:tcW w:w="269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9E238E" w:rsidRPr="004A7D83" w:rsidRDefault="009E238E" w:rsidP="00CE203B">
            <w:pPr>
              <w:numPr>
                <w:ilvl w:val="0"/>
                <w:numId w:val="343"/>
              </w:numPr>
              <w:spacing w:after="120"/>
              <w:ind w:left="284" w:hanging="284"/>
              <w:jc w:val="left"/>
              <w:textAlignment w:val="baseline"/>
              <w:rPr>
                <w:rFonts w:ascii="Calibri" w:hAnsi="Calibri"/>
              </w:rPr>
            </w:pPr>
            <w:r w:rsidRPr="004A7D83">
              <w:rPr>
                <w:rFonts w:ascii="Calibri" w:hAnsi="Calibri"/>
                <w:sz w:val="20"/>
                <w:szCs w:val="20"/>
                <w:lang w:eastAsia="zh-CN"/>
              </w:rPr>
              <w:t xml:space="preserve">Zachovanie kvality vôd a </w:t>
            </w:r>
            <w:r>
              <w:rPr>
                <w:rFonts w:ascii="Calibri" w:hAnsi="Calibri"/>
                <w:sz w:val="20"/>
                <w:szCs w:val="20"/>
                <w:lang w:eastAsia="zh-CN"/>
              </w:rPr>
              <w:t>z</w:t>
            </w:r>
            <w:r w:rsidRPr="00D55691">
              <w:rPr>
                <w:rFonts w:ascii="Calibri" w:hAnsi="Calibri"/>
                <w:sz w:val="20"/>
                <w:szCs w:val="20"/>
                <w:lang w:eastAsia="zh-CN"/>
              </w:rPr>
              <w:t>výšenie vodozádržnej kapacity územia</w:t>
            </w:r>
          </w:p>
        </w:tc>
        <w:tc>
          <w:tcPr>
            <w:tcW w:w="1090" w:type="dxa"/>
            <w:tcBorders>
              <w:top w:val="nil"/>
              <w:left w:val="nil"/>
              <w:bottom w:val="single" w:sz="8" w:space="0" w:color="000000"/>
              <w:right w:val="single" w:sz="8" w:space="0" w:color="000000"/>
            </w:tcBorders>
            <w:tcMar>
              <w:top w:w="0" w:type="dxa"/>
              <w:left w:w="108" w:type="dxa"/>
              <w:bottom w:w="0" w:type="dxa"/>
              <w:right w:w="108" w:type="dxa"/>
            </w:tcMar>
            <w:hideMark/>
          </w:tcPr>
          <w:p w:rsidR="009E238E" w:rsidRPr="004A7D83" w:rsidRDefault="009E238E" w:rsidP="009E238E">
            <w:pPr>
              <w:jc w:val="center"/>
              <w:rPr>
                <w:rFonts w:ascii="Calibri" w:hAnsi="Calibri"/>
              </w:rPr>
            </w:pPr>
            <w:r w:rsidRPr="004A7D83">
              <w:rPr>
                <w:rFonts w:ascii="Calibri" w:hAnsi="Calibri"/>
                <w:sz w:val="20"/>
                <w:szCs w:val="20"/>
                <w:lang w:eastAsia="zh-CN"/>
              </w:rPr>
              <w:t>4B, 4C</w:t>
            </w:r>
          </w:p>
          <w:p w:rsidR="009E238E" w:rsidRPr="004A7D83" w:rsidRDefault="009E238E" w:rsidP="009E238E">
            <w:pPr>
              <w:jc w:val="center"/>
              <w:rPr>
                <w:rFonts w:ascii="Calibri" w:hAnsi="Calibri"/>
              </w:rPr>
            </w:pPr>
            <w:r w:rsidRPr="004A7D83">
              <w:rPr>
                <w:rFonts w:ascii="Calibri" w:hAnsi="Calibri"/>
                <w:sz w:val="20"/>
                <w:szCs w:val="20"/>
                <w:lang w:eastAsia="zh-CN"/>
              </w:rPr>
              <w:t> 5A, 3B</w:t>
            </w:r>
          </w:p>
          <w:p w:rsidR="009E238E" w:rsidRPr="004A7D83" w:rsidRDefault="009E238E" w:rsidP="009E238E">
            <w:pPr>
              <w:jc w:val="center"/>
              <w:rPr>
                <w:rFonts w:ascii="Calibri" w:hAnsi="Calibri"/>
              </w:rPr>
            </w:pPr>
            <w:r w:rsidRPr="004A7D83">
              <w:rPr>
                <w:rFonts w:ascii="Calibri" w:hAnsi="Calibri"/>
                <w:sz w:val="20"/>
                <w:szCs w:val="20"/>
                <w:lang w:eastAsia="zh-CN"/>
              </w:rPr>
              <w:t>ŽP</w:t>
            </w:r>
          </w:p>
        </w:tc>
        <w:tc>
          <w:tcPr>
            <w:tcW w:w="10425" w:type="dxa"/>
            <w:tcBorders>
              <w:top w:val="nil"/>
              <w:left w:val="nil"/>
              <w:bottom w:val="single" w:sz="8" w:space="0" w:color="000000"/>
              <w:right w:val="single" w:sz="8" w:space="0" w:color="000000"/>
            </w:tcBorders>
            <w:tcMar>
              <w:top w:w="0" w:type="dxa"/>
              <w:left w:w="108" w:type="dxa"/>
              <w:bottom w:w="0" w:type="dxa"/>
              <w:right w:w="108" w:type="dxa"/>
            </w:tcMar>
            <w:hideMark/>
          </w:tcPr>
          <w:p w:rsidR="009E238E" w:rsidRPr="004A7D83" w:rsidRDefault="009E238E" w:rsidP="009E238E">
            <w:pPr>
              <w:rPr>
                <w:rFonts w:ascii="Calibri" w:hAnsi="Calibri"/>
              </w:rPr>
            </w:pPr>
            <w:r>
              <w:rPr>
                <w:rFonts w:ascii="Calibri" w:hAnsi="Calibri"/>
                <w:sz w:val="20"/>
                <w:szCs w:val="20"/>
              </w:rPr>
              <w:t xml:space="preserve">Z PD </w:t>
            </w:r>
            <w:r w:rsidRPr="004A7D83">
              <w:rPr>
                <w:rFonts w:ascii="Calibri" w:hAnsi="Calibri"/>
                <w:sz w:val="20"/>
                <w:szCs w:val="20"/>
              </w:rPr>
              <w:t xml:space="preserve">EK </w:t>
            </w:r>
            <w:r>
              <w:rPr>
                <w:rFonts w:ascii="Calibri" w:hAnsi="Calibri"/>
                <w:sz w:val="20"/>
                <w:szCs w:val="20"/>
              </w:rPr>
              <w:t xml:space="preserve">je </w:t>
            </w:r>
            <w:r w:rsidRPr="004A7D83">
              <w:rPr>
                <w:rFonts w:ascii="Calibri" w:hAnsi="Calibri"/>
                <w:sz w:val="20"/>
                <w:szCs w:val="20"/>
              </w:rPr>
              <w:t>znečistenie vody výzv</w:t>
            </w:r>
            <w:r>
              <w:rPr>
                <w:rFonts w:ascii="Calibri" w:hAnsi="Calibri"/>
                <w:sz w:val="20"/>
                <w:szCs w:val="20"/>
              </w:rPr>
              <w:t>o</w:t>
            </w:r>
            <w:r w:rsidRPr="004A7D83">
              <w:rPr>
                <w:rFonts w:ascii="Calibri" w:hAnsi="Calibri"/>
                <w:sz w:val="20"/>
                <w:szCs w:val="20"/>
              </w:rPr>
              <w:t xml:space="preserve">u a hrozí, že  polovica vodných plôch nesplní cieľ </w:t>
            </w:r>
            <w:r>
              <w:rPr>
                <w:rFonts w:ascii="Calibri" w:hAnsi="Calibri"/>
                <w:sz w:val="20"/>
                <w:szCs w:val="20"/>
              </w:rPr>
              <w:t>-</w:t>
            </w:r>
            <w:r w:rsidRPr="004A7D83">
              <w:rPr>
                <w:rFonts w:ascii="Calibri" w:hAnsi="Calibri"/>
                <w:sz w:val="20"/>
                <w:szCs w:val="20"/>
              </w:rPr>
              <w:t xml:space="preserve"> dobrý stav vôd do roku 2015, vyplývajúci z</w:t>
            </w:r>
            <w:r>
              <w:rPr>
                <w:rFonts w:ascii="Calibri" w:hAnsi="Calibri"/>
                <w:sz w:val="20"/>
                <w:szCs w:val="20"/>
              </w:rPr>
              <w:t> </w:t>
            </w:r>
            <w:r w:rsidRPr="004A7D83">
              <w:rPr>
                <w:rFonts w:ascii="Calibri" w:hAnsi="Calibri"/>
                <w:sz w:val="20"/>
                <w:szCs w:val="20"/>
              </w:rPr>
              <w:t>R</w:t>
            </w:r>
            <w:r>
              <w:rPr>
                <w:rFonts w:ascii="Calibri" w:hAnsi="Calibri"/>
                <w:sz w:val="20"/>
                <w:szCs w:val="20"/>
              </w:rPr>
              <w:t>S</w:t>
            </w:r>
            <w:r w:rsidRPr="004A7D83">
              <w:rPr>
                <w:rFonts w:ascii="Calibri" w:hAnsi="Calibri"/>
                <w:sz w:val="20"/>
                <w:szCs w:val="20"/>
              </w:rPr>
              <w:t xml:space="preserve"> o vode. </w:t>
            </w:r>
            <w:r>
              <w:rPr>
                <w:rFonts w:ascii="Calibri" w:hAnsi="Calibri"/>
                <w:sz w:val="20"/>
                <w:szCs w:val="20"/>
              </w:rPr>
              <w:t>K</w:t>
            </w:r>
            <w:r w:rsidRPr="004A7D83">
              <w:rPr>
                <w:rFonts w:ascii="Calibri" w:hAnsi="Calibri"/>
                <w:sz w:val="20"/>
                <w:szCs w:val="20"/>
              </w:rPr>
              <w:t xml:space="preserve">onštatované znečistenie pochádza </w:t>
            </w:r>
            <w:r>
              <w:rPr>
                <w:rFonts w:ascii="Calibri" w:hAnsi="Calibri"/>
                <w:sz w:val="20"/>
                <w:szCs w:val="20"/>
              </w:rPr>
              <w:t>najmä</w:t>
            </w:r>
            <w:r w:rsidRPr="004A7D83">
              <w:rPr>
                <w:rFonts w:ascii="Calibri" w:hAnsi="Calibri"/>
                <w:sz w:val="20"/>
                <w:szCs w:val="20"/>
              </w:rPr>
              <w:t xml:space="preserve"> z priemyslu a komunálnej sféry</w:t>
            </w:r>
            <w:r>
              <w:rPr>
                <w:rFonts w:ascii="Calibri" w:hAnsi="Calibri"/>
                <w:sz w:val="20"/>
                <w:szCs w:val="20"/>
              </w:rPr>
              <w:t>, p</w:t>
            </w:r>
            <w:r w:rsidRPr="004A7D83">
              <w:rPr>
                <w:rFonts w:ascii="Calibri" w:hAnsi="Calibri"/>
                <w:sz w:val="20"/>
                <w:szCs w:val="20"/>
              </w:rPr>
              <w:t xml:space="preserve">odiel poľnohospodárstva je </w:t>
            </w:r>
            <w:r w:rsidRPr="00D515BB">
              <w:rPr>
                <w:sz w:val="20"/>
                <w:szCs w:val="20"/>
              </w:rPr>
              <w:t>v porovnaní s os</w:t>
            </w:r>
            <w:r>
              <w:rPr>
                <w:sz w:val="20"/>
                <w:szCs w:val="20"/>
              </w:rPr>
              <w:t>tatnými zdrojmi okrajový</w:t>
            </w:r>
            <w:r w:rsidRPr="00D515BB">
              <w:rPr>
                <w:sz w:val="20"/>
                <w:szCs w:val="20"/>
              </w:rPr>
              <w:t>,</w:t>
            </w:r>
            <w:r>
              <w:rPr>
                <w:sz w:val="20"/>
                <w:szCs w:val="20"/>
              </w:rPr>
              <w:t xml:space="preserve"> avšak kľúčový pre znečistenie podzemných vôd</w:t>
            </w:r>
            <w:r w:rsidRPr="004A7D83">
              <w:rPr>
                <w:rFonts w:ascii="Calibri" w:hAnsi="Calibri"/>
                <w:sz w:val="20"/>
                <w:szCs w:val="20"/>
              </w:rPr>
              <w:t>.</w:t>
            </w:r>
          </w:p>
          <w:p w:rsidR="009E238E" w:rsidRPr="004A7D83" w:rsidRDefault="009E238E" w:rsidP="009E238E">
            <w:pPr>
              <w:rPr>
                <w:rFonts w:ascii="Calibri" w:hAnsi="Calibri"/>
              </w:rPr>
            </w:pPr>
            <w:r>
              <w:rPr>
                <w:rFonts w:ascii="Calibri" w:hAnsi="Calibri"/>
                <w:sz w:val="20"/>
                <w:szCs w:val="20"/>
              </w:rPr>
              <w:t>K</w:t>
            </w:r>
            <w:r w:rsidRPr="004A7D83">
              <w:rPr>
                <w:rFonts w:ascii="Calibri" w:hAnsi="Calibri"/>
                <w:sz w:val="20"/>
                <w:szCs w:val="20"/>
              </w:rPr>
              <w:t>ontamináciu v</w:t>
            </w:r>
            <w:r>
              <w:rPr>
                <w:rFonts w:ascii="Calibri" w:hAnsi="Calibri"/>
                <w:sz w:val="20"/>
                <w:szCs w:val="20"/>
              </w:rPr>
              <w:t>ôd</w:t>
            </w:r>
            <w:r w:rsidRPr="004A7D83">
              <w:rPr>
                <w:rFonts w:ascii="Calibri" w:hAnsi="Calibri"/>
                <w:sz w:val="20"/>
                <w:szCs w:val="20"/>
              </w:rPr>
              <w:t xml:space="preserve"> spôsobuje najmä intenzívne hospodárenie na pôde a chovné zariadenia. SR s problémami uplatňuje na 33% územia Akčný plán ochrany území ohrozených dusičnanmi (smernic</w:t>
            </w:r>
            <w:r>
              <w:rPr>
                <w:rFonts w:ascii="Calibri" w:hAnsi="Calibri"/>
                <w:sz w:val="20"/>
                <w:szCs w:val="20"/>
              </w:rPr>
              <w:t>a</w:t>
            </w:r>
            <w:r w:rsidRPr="004A7D83">
              <w:rPr>
                <w:rFonts w:ascii="Calibri" w:hAnsi="Calibri"/>
                <w:sz w:val="20"/>
                <w:szCs w:val="20"/>
              </w:rPr>
              <w:t xml:space="preserve"> EÚ </w:t>
            </w:r>
            <w:r w:rsidRPr="007462CB">
              <w:rPr>
                <w:rFonts w:ascii="Calibri" w:hAnsi="Calibri"/>
                <w:sz w:val="20"/>
                <w:szCs w:val="20"/>
              </w:rPr>
              <w:t>91/676/EHS).</w:t>
            </w:r>
            <w:r w:rsidRPr="004A7D83">
              <w:rPr>
                <w:rFonts w:ascii="Calibri" w:hAnsi="Calibri"/>
                <w:sz w:val="20"/>
                <w:szCs w:val="20"/>
              </w:rPr>
              <w:t xml:space="preserve"> Výmera zraniteľných oblastí je 2 232 810 ha, čo </w:t>
            </w:r>
            <w:r>
              <w:rPr>
                <w:rFonts w:ascii="Calibri" w:hAnsi="Calibri"/>
                <w:sz w:val="20"/>
                <w:szCs w:val="20"/>
              </w:rPr>
              <w:t>je</w:t>
            </w:r>
            <w:r w:rsidRPr="004A7D83">
              <w:rPr>
                <w:rFonts w:ascii="Calibri" w:hAnsi="Calibri"/>
                <w:sz w:val="20"/>
                <w:szCs w:val="20"/>
              </w:rPr>
              <w:t xml:space="preserve"> 45,53 % výmery SR</w:t>
            </w:r>
            <w:r>
              <w:rPr>
                <w:rFonts w:ascii="Calibri" w:hAnsi="Calibri"/>
                <w:sz w:val="20"/>
                <w:szCs w:val="20"/>
              </w:rPr>
              <w:t>.</w:t>
            </w:r>
          </w:p>
          <w:p w:rsidR="009E238E" w:rsidRPr="004A7D83" w:rsidRDefault="009E238E" w:rsidP="009E238E">
            <w:pPr>
              <w:rPr>
                <w:rFonts w:ascii="Calibri" w:hAnsi="Calibri"/>
              </w:rPr>
            </w:pPr>
            <w:r>
              <w:rPr>
                <w:rFonts w:ascii="Calibri" w:hAnsi="Calibri"/>
                <w:sz w:val="20"/>
                <w:szCs w:val="20"/>
              </w:rPr>
              <w:t xml:space="preserve">Na </w:t>
            </w:r>
            <w:r w:rsidRPr="004A7D83">
              <w:rPr>
                <w:rFonts w:ascii="Calibri" w:hAnsi="Calibri"/>
                <w:sz w:val="20"/>
                <w:szCs w:val="20"/>
              </w:rPr>
              <w:t>ustálen</w:t>
            </w:r>
            <w:r>
              <w:rPr>
                <w:rFonts w:ascii="Calibri" w:hAnsi="Calibri"/>
                <w:sz w:val="20"/>
                <w:szCs w:val="20"/>
              </w:rPr>
              <w:t xml:space="preserve">om </w:t>
            </w:r>
            <w:r w:rsidRPr="004A7D83">
              <w:rPr>
                <w:rFonts w:ascii="Calibri" w:hAnsi="Calibri"/>
                <w:sz w:val="20"/>
                <w:szCs w:val="20"/>
              </w:rPr>
              <w:t>trend</w:t>
            </w:r>
            <w:r>
              <w:rPr>
                <w:rFonts w:ascii="Calibri" w:hAnsi="Calibri"/>
                <w:sz w:val="20"/>
                <w:szCs w:val="20"/>
              </w:rPr>
              <w:t xml:space="preserve">e znečistenia vôd z poľnoh. </w:t>
            </w:r>
            <w:r w:rsidRPr="004A7D83">
              <w:rPr>
                <w:rFonts w:ascii="Calibri" w:hAnsi="Calibri"/>
                <w:sz w:val="20"/>
                <w:szCs w:val="20"/>
              </w:rPr>
              <w:t xml:space="preserve">sa pozitívne prejavuje účinok podpôr </w:t>
            </w:r>
            <w:r>
              <w:rPr>
                <w:rFonts w:ascii="Calibri" w:hAnsi="Calibri"/>
                <w:sz w:val="20"/>
                <w:szCs w:val="20"/>
              </w:rPr>
              <w:t>EP</w:t>
            </w:r>
            <w:r w:rsidRPr="004A7D83">
              <w:rPr>
                <w:rFonts w:ascii="Calibri" w:hAnsi="Calibri"/>
                <w:sz w:val="20"/>
                <w:szCs w:val="20"/>
              </w:rPr>
              <w:t xml:space="preserve">, </w:t>
            </w:r>
            <w:r>
              <w:rPr>
                <w:rFonts w:ascii="Calibri" w:hAnsi="Calibri"/>
                <w:sz w:val="20"/>
                <w:szCs w:val="20"/>
              </w:rPr>
              <w:t xml:space="preserve">AEP </w:t>
            </w:r>
            <w:r w:rsidRPr="004A7D83">
              <w:rPr>
                <w:rFonts w:ascii="Calibri" w:hAnsi="Calibri"/>
                <w:sz w:val="20"/>
                <w:szCs w:val="20"/>
              </w:rPr>
              <w:t xml:space="preserve">a </w:t>
            </w:r>
            <w:r>
              <w:rPr>
                <w:rFonts w:ascii="Calibri" w:hAnsi="Calibri"/>
                <w:sz w:val="20"/>
                <w:szCs w:val="20"/>
              </w:rPr>
              <w:t xml:space="preserve">ďalších </w:t>
            </w:r>
            <w:r w:rsidRPr="004A7D83">
              <w:rPr>
                <w:rFonts w:ascii="Calibri" w:hAnsi="Calibri"/>
                <w:b/>
                <w:bCs/>
                <w:sz w:val="20"/>
                <w:szCs w:val="20"/>
              </w:rPr>
              <w:t>udržateľných systémov hospodárenia</w:t>
            </w:r>
            <w:r>
              <w:rPr>
                <w:rFonts w:ascii="Calibri" w:hAnsi="Calibri"/>
                <w:b/>
                <w:bCs/>
                <w:sz w:val="20"/>
                <w:szCs w:val="20"/>
              </w:rPr>
              <w:t xml:space="preserve"> </w:t>
            </w:r>
            <w:r w:rsidRPr="004A7D83">
              <w:rPr>
                <w:rFonts w:ascii="Calibri" w:hAnsi="Calibri"/>
                <w:sz w:val="20"/>
                <w:szCs w:val="20"/>
              </w:rPr>
              <w:t>(presné hnojenie, integrovaná ochrana, zme</w:t>
            </w:r>
            <w:r>
              <w:rPr>
                <w:rFonts w:ascii="Calibri" w:hAnsi="Calibri"/>
                <w:sz w:val="20"/>
                <w:szCs w:val="20"/>
              </w:rPr>
              <w:t>ne</w:t>
            </w:r>
            <w:r w:rsidRPr="004A7D83">
              <w:rPr>
                <w:rFonts w:ascii="Calibri" w:hAnsi="Calibri"/>
                <w:sz w:val="20"/>
                <w:szCs w:val="20"/>
              </w:rPr>
              <w:t>n</w:t>
            </w:r>
            <w:r>
              <w:rPr>
                <w:rFonts w:ascii="Calibri" w:hAnsi="Calibri"/>
                <w:sz w:val="20"/>
                <w:szCs w:val="20"/>
              </w:rPr>
              <w:t>é</w:t>
            </w:r>
            <w:r w:rsidRPr="004A7D83">
              <w:rPr>
                <w:rFonts w:ascii="Calibri" w:hAnsi="Calibri"/>
                <w:sz w:val="20"/>
                <w:szCs w:val="20"/>
              </w:rPr>
              <w:t xml:space="preserve"> systém</w:t>
            </w:r>
            <w:r>
              <w:rPr>
                <w:rFonts w:ascii="Calibri" w:hAnsi="Calibri"/>
                <w:sz w:val="20"/>
                <w:szCs w:val="20"/>
              </w:rPr>
              <w:t>y</w:t>
            </w:r>
            <w:r w:rsidRPr="004A7D83">
              <w:rPr>
                <w:rFonts w:ascii="Calibri" w:hAnsi="Calibri"/>
                <w:sz w:val="20"/>
                <w:szCs w:val="20"/>
              </w:rPr>
              <w:t xml:space="preserve"> ustajnenia, bezpečné skladovanie a</w:t>
            </w:r>
            <w:r>
              <w:rPr>
                <w:rFonts w:ascii="Calibri" w:hAnsi="Calibri"/>
                <w:sz w:val="20"/>
                <w:szCs w:val="20"/>
              </w:rPr>
              <w:t xml:space="preserve"> </w:t>
            </w:r>
            <w:r w:rsidRPr="004A7D83">
              <w:rPr>
                <w:rFonts w:ascii="Calibri" w:hAnsi="Calibri"/>
                <w:sz w:val="20"/>
                <w:szCs w:val="20"/>
              </w:rPr>
              <w:t>aplikácia hnojív</w:t>
            </w:r>
            <w:r>
              <w:rPr>
                <w:rFonts w:ascii="Calibri" w:hAnsi="Calibri"/>
                <w:sz w:val="20"/>
                <w:szCs w:val="20"/>
              </w:rPr>
              <w:t>/</w:t>
            </w:r>
            <w:r w:rsidRPr="004A7D83">
              <w:rPr>
                <w:rFonts w:ascii="Calibri" w:hAnsi="Calibri"/>
                <w:sz w:val="20"/>
                <w:szCs w:val="20"/>
              </w:rPr>
              <w:t>pesticídov, d</w:t>
            </w:r>
            <w:r>
              <w:rPr>
                <w:rFonts w:ascii="Calibri" w:hAnsi="Calibri"/>
                <w:sz w:val="20"/>
                <w:szCs w:val="20"/>
              </w:rPr>
              <w:t>lhšie</w:t>
            </w:r>
            <w:r w:rsidRPr="004A7D83">
              <w:rPr>
                <w:rFonts w:ascii="Calibri" w:hAnsi="Calibri"/>
                <w:sz w:val="20"/>
                <w:szCs w:val="20"/>
              </w:rPr>
              <w:t xml:space="preserve"> obdobia rastlinného pokryvu</w:t>
            </w:r>
            <w:r>
              <w:rPr>
                <w:rFonts w:ascii="Calibri" w:hAnsi="Calibri"/>
                <w:sz w:val="20"/>
                <w:szCs w:val="20"/>
              </w:rPr>
              <w:t xml:space="preserve">, </w:t>
            </w:r>
            <w:r w:rsidRPr="00D515BB">
              <w:rPr>
                <w:rFonts w:cs="Calibri"/>
                <w:sz w:val="20"/>
                <w:szCs w:val="20"/>
              </w:rPr>
              <w:t>multifunkčn</w:t>
            </w:r>
            <w:r>
              <w:rPr>
                <w:rFonts w:cs="Calibri"/>
                <w:sz w:val="20"/>
                <w:szCs w:val="20"/>
              </w:rPr>
              <w:t>é</w:t>
            </w:r>
            <w:r w:rsidRPr="00D515BB">
              <w:rPr>
                <w:rFonts w:cs="Calibri"/>
                <w:sz w:val="20"/>
                <w:szCs w:val="20"/>
              </w:rPr>
              <w:t xml:space="preserve"> okrajov</w:t>
            </w:r>
            <w:r>
              <w:rPr>
                <w:rFonts w:cs="Calibri"/>
                <w:sz w:val="20"/>
                <w:szCs w:val="20"/>
              </w:rPr>
              <w:t>é</w:t>
            </w:r>
            <w:r w:rsidRPr="00D515BB">
              <w:rPr>
                <w:rFonts w:cs="Calibri"/>
                <w:sz w:val="20"/>
                <w:szCs w:val="20"/>
              </w:rPr>
              <w:t xml:space="preserve"> vegetatívn</w:t>
            </w:r>
            <w:r>
              <w:rPr>
                <w:rFonts w:cs="Calibri"/>
                <w:sz w:val="20"/>
                <w:szCs w:val="20"/>
              </w:rPr>
              <w:t>e</w:t>
            </w:r>
            <w:r w:rsidRPr="00D515BB">
              <w:rPr>
                <w:rFonts w:cs="Calibri"/>
                <w:sz w:val="20"/>
                <w:szCs w:val="20"/>
              </w:rPr>
              <w:t xml:space="preserve"> pás</w:t>
            </w:r>
            <w:r>
              <w:rPr>
                <w:rFonts w:cs="Calibri"/>
                <w:sz w:val="20"/>
                <w:szCs w:val="20"/>
              </w:rPr>
              <w:t>y</w:t>
            </w:r>
            <w:r w:rsidRPr="004A7D83">
              <w:rPr>
                <w:rFonts w:ascii="Calibri" w:hAnsi="Calibri"/>
                <w:sz w:val="20"/>
                <w:szCs w:val="20"/>
              </w:rPr>
              <w:t xml:space="preserve"> a </w:t>
            </w:r>
            <w:r>
              <w:rPr>
                <w:rFonts w:ascii="Calibri" w:hAnsi="Calibri"/>
                <w:sz w:val="20"/>
                <w:szCs w:val="20"/>
              </w:rPr>
              <w:t>i</w:t>
            </w:r>
            <w:r w:rsidRPr="004A7D83">
              <w:rPr>
                <w:rFonts w:ascii="Calibri" w:hAnsi="Calibri"/>
                <w:sz w:val="20"/>
                <w:szCs w:val="20"/>
              </w:rPr>
              <w:t>.).</w:t>
            </w:r>
          </w:p>
          <w:p w:rsidR="009E238E" w:rsidRDefault="009E238E" w:rsidP="009E238E">
            <w:pPr>
              <w:rPr>
                <w:rFonts w:ascii="Calibri" w:hAnsi="Calibri"/>
                <w:sz w:val="20"/>
                <w:szCs w:val="20"/>
              </w:rPr>
            </w:pPr>
            <w:r>
              <w:rPr>
                <w:rFonts w:ascii="Calibri" w:hAnsi="Calibri"/>
                <w:sz w:val="20"/>
                <w:szCs w:val="20"/>
              </w:rPr>
              <w:t>S</w:t>
            </w:r>
            <w:r w:rsidRPr="004A7D83">
              <w:rPr>
                <w:rFonts w:ascii="Calibri" w:hAnsi="Calibri"/>
                <w:sz w:val="20"/>
                <w:szCs w:val="20"/>
              </w:rPr>
              <w:t xml:space="preserve">úbežne </w:t>
            </w:r>
            <w:r>
              <w:rPr>
                <w:rFonts w:ascii="Calibri" w:hAnsi="Calibri"/>
                <w:sz w:val="20"/>
                <w:szCs w:val="20"/>
              </w:rPr>
              <w:t xml:space="preserve">je </w:t>
            </w:r>
            <w:r w:rsidRPr="004A7D83">
              <w:rPr>
                <w:rFonts w:ascii="Calibri" w:hAnsi="Calibri"/>
                <w:sz w:val="20"/>
                <w:szCs w:val="20"/>
              </w:rPr>
              <w:t xml:space="preserve">potrebné vzdelávanie, poradenstvo a šírenie dobrej praxe </w:t>
            </w:r>
            <w:r>
              <w:rPr>
                <w:rFonts w:ascii="Calibri" w:hAnsi="Calibri"/>
                <w:sz w:val="20"/>
                <w:szCs w:val="20"/>
              </w:rPr>
              <w:t xml:space="preserve">v </w:t>
            </w:r>
            <w:r w:rsidRPr="004A7D83">
              <w:rPr>
                <w:rFonts w:ascii="Calibri" w:hAnsi="Calibri"/>
                <w:sz w:val="20"/>
                <w:szCs w:val="20"/>
              </w:rPr>
              <w:t>hospodáren</w:t>
            </w:r>
            <w:r>
              <w:rPr>
                <w:rFonts w:ascii="Calibri" w:hAnsi="Calibri"/>
                <w:sz w:val="20"/>
                <w:szCs w:val="20"/>
              </w:rPr>
              <w:t>í</w:t>
            </w:r>
            <w:r w:rsidRPr="004A7D83">
              <w:rPr>
                <w:rFonts w:ascii="Calibri" w:hAnsi="Calibri"/>
                <w:sz w:val="20"/>
                <w:szCs w:val="20"/>
              </w:rPr>
              <w:t xml:space="preserve"> s vodou a pestovať povedomie zodpovednos</w:t>
            </w:r>
            <w:r>
              <w:rPr>
                <w:rFonts w:ascii="Calibri" w:hAnsi="Calibri"/>
                <w:sz w:val="20"/>
                <w:szCs w:val="20"/>
              </w:rPr>
              <w:t>ti</w:t>
            </w:r>
            <w:r w:rsidRPr="004A7D83">
              <w:rPr>
                <w:rFonts w:ascii="Calibri" w:hAnsi="Calibri"/>
                <w:sz w:val="20"/>
                <w:szCs w:val="20"/>
              </w:rPr>
              <w:t xml:space="preserve"> za kvalitu vôd.</w:t>
            </w:r>
          </w:p>
          <w:p w:rsidR="009E238E" w:rsidRPr="00D55691" w:rsidRDefault="009E238E" w:rsidP="009E238E">
            <w:pPr>
              <w:rPr>
                <w:rFonts w:ascii="Calibri" w:hAnsi="Calibri"/>
                <w:sz w:val="20"/>
                <w:szCs w:val="20"/>
              </w:rPr>
            </w:pPr>
            <w:r>
              <w:rPr>
                <w:rFonts w:ascii="Calibri" w:hAnsi="Calibri"/>
                <w:sz w:val="20"/>
                <w:szCs w:val="20"/>
              </w:rPr>
              <w:t>P</w:t>
            </w:r>
            <w:r w:rsidRPr="00D55691">
              <w:rPr>
                <w:rFonts w:ascii="Calibri" w:hAnsi="Calibri"/>
                <w:sz w:val="20"/>
                <w:szCs w:val="20"/>
              </w:rPr>
              <w:t>roblémom je nedostatočná vodozádržná kapacita a ochrana územia pred vznikom lokálnych povodní.</w:t>
            </w:r>
            <w:r>
              <w:rPr>
                <w:rFonts w:ascii="Calibri" w:hAnsi="Calibri"/>
                <w:sz w:val="20"/>
                <w:szCs w:val="20"/>
              </w:rPr>
              <w:t xml:space="preserve"> Z</w:t>
            </w:r>
            <w:r w:rsidRPr="00D515BB">
              <w:rPr>
                <w:rFonts w:ascii="Calibri" w:hAnsi="Calibri"/>
                <w:sz w:val="20"/>
                <w:szCs w:val="20"/>
              </w:rPr>
              <w:t>adržiavani</w:t>
            </w:r>
            <w:r>
              <w:rPr>
                <w:rFonts w:ascii="Calibri" w:hAnsi="Calibri"/>
                <w:sz w:val="20"/>
                <w:szCs w:val="20"/>
              </w:rPr>
              <w:t>e</w:t>
            </w:r>
            <w:r w:rsidRPr="00D515BB">
              <w:rPr>
                <w:rFonts w:ascii="Calibri" w:hAnsi="Calibri"/>
                <w:sz w:val="20"/>
                <w:szCs w:val="20"/>
              </w:rPr>
              <w:t xml:space="preserve"> vody v krajine by </w:t>
            </w:r>
            <w:r>
              <w:rPr>
                <w:rFonts w:ascii="Calibri" w:hAnsi="Calibri"/>
                <w:sz w:val="20"/>
                <w:szCs w:val="20"/>
              </w:rPr>
              <w:t xml:space="preserve">treba riešiť </w:t>
            </w:r>
            <w:r w:rsidRPr="00D515BB">
              <w:rPr>
                <w:rFonts w:ascii="Calibri" w:hAnsi="Calibri"/>
                <w:sz w:val="20"/>
                <w:szCs w:val="20"/>
              </w:rPr>
              <w:t>a</w:t>
            </w:r>
            <w:r>
              <w:rPr>
                <w:rFonts w:ascii="Calibri" w:hAnsi="Calibri"/>
                <w:sz w:val="20"/>
                <w:szCs w:val="20"/>
              </w:rPr>
              <w:t>j</w:t>
            </w:r>
            <w:r w:rsidRPr="00D515BB">
              <w:rPr>
                <w:rFonts w:ascii="Calibri" w:hAnsi="Calibri"/>
                <w:sz w:val="20"/>
                <w:szCs w:val="20"/>
              </w:rPr>
              <w:t xml:space="preserve"> cez iné </w:t>
            </w:r>
            <w:r>
              <w:rPr>
                <w:rFonts w:ascii="Calibri" w:hAnsi="Calibri"/>
                <w:sz w:val="20"/>
                <w:szCs w:val="20"/>
              </w:rPr>
              <w:t xml:space="preserve">programy, s cieľom </w:t>
            </w:r>
            <w:r w:rsidRPr="00D55691">
              <w:rPr>
                <w:rFonts w:ascii="Calibri" w:hAnsi="Calibri"/>
                <w:sz w:val="20"/>
                <w:szCs w:val="20"/>
              </w:rPr>
              <w:t>vytvor</w:t>
            </w:r>
            <w:r>
              <w:rPr>
                <w:rFonts w:ascii="Calibri" w:hAnsi="Calibri"/>
                <w:sz w:val="20"/>
                <w:szCs w:val="20"/>
              </w:rPr>
              <w:t xml:space="preserve">iť </w:t>
            </w:r>
            <w:r w:rsidRPr="00D55691">
              <w:rPr>
                <w:rFonts w:ascii="Calibri" w:hAnsi="Calibri"/>
                <w:sz w:val="20"/>
                <w:szCs w:val="20"/>
              </w:rPr>
              <w:t>vodozádržn</w:t>
            </w:r>
            <w:r>
              <w:rPr>
                <w:rFonts w:ascii="Calibri" w:hAnsi="Calibri"/>
                <w:sz w:val="20"/>
                <w:szCs w:val="20"/>
              </w:rPr>
              <w:t>é</w:t>
            </w:r>
            <w:r w:rsidRPr="00D55691">
              <w:rPr>
                <w:rFonts w:ascii="Calibri" w:hAnsi="Calibri"/>
                <w:sz w:val="20"/>
                <w:szCs w:val="20"/>
              </w:rPr>
              <w:t xml:space="preserve"> krajinn</w:t>
            </w:r>
            <w:r>
              <w:rPr>
                <w:rFonts w:ascii="Calibri" w:hAnsi="Calibri"/>
                <w:sz w:val="20"/>
                <w:szCs w:val="20"/>
              </w:rPr>
              <w:t xml:space="preserve">é </w:t>
            </w:r>
            <w:r w:rsidRPr="00D55691">
              <w:rPr>
                <w:rFonts w:ascii="Calibri" w:hAnsi="Calibri"/>
                <w:sz w:val="20"/>
                <w:szCs w:val="20"/>
              </w:rPr>
              <w:t>útvar</w:t>
            </w:r>
            <w:r>
              <w:rPr>
                <w:rFonts w:ascii="Calibri" w:hAnsi="Calibri"/>
                <w:sz w:val="20"/>
                <w:szCs w:val="20"/>
              </w:rPr>
              <w:t>y a </w:t>
            </w:r>
            <w:r w:rsidRPr="00D55691">
              <w:rPr>
                <w:rFonts w:ascii="Calibri" w:hAnsi="Calibri"/>
                <w:sz w:val="20"/>
                <w:szCs w:val="20"/>
              </w:rPr>
              <w:t>systém</w:t>
            </w:r>
            <w:r>
              <w:rPr>
                <w:rFonts w:ascii="Calibri" w:hAnsi="Calibri"/>
                <w:sz w:val="20"/>
                <w:szCs w:val="20"/>
              </w:rPr>
              <w:t xml:space="preserve">y </w:t>
            </w:r>
            <w:r w:rsidRPr="00D55691">
              <w:rPr>
                <w:rFonts w:ascii="Calibri" w:hAnsi="Calibri"/>
                <w:sz w:val="20"/>
                <w:szCs w:val="20"/>
              </w:rPr>
              <w:t xml:space="preserve">na spomaľovanie odtoku a </w:t>
            </w:r>
            <w:r>
              <w:rPr>
                <w:rFonts w:ascii="Calibri" w:hAnsi="Calibri"/>
                <w:sz w:val="20"/>
                <w:szCs w:val="20"/>
              </w:rPr>
              <w:t>podporu</w:t>
            </w:r>
            <w:r w:rsidRPr="00D55691">
              <w:rPr>
                <w:rFonts w:ascii="Calibri" w:hAnsi="Calibri"/>
                <w:sz w:val="20"/>
                <w:szCs w:val="20"/>
              </w:rPr>
              <w:t xml:space="preserve"> vsakovania</w:t>
            </w:r>
            <w:r>
              <w:rPr>
                <w:rFonts w:ascii="Calibri" w:hAnsi="Calibri"/>
                <w:sz w:val="20"/>
                <w:szCs w:val="20"/>
              </w:rPr>
              <w:t xml:space="preserve"> zrážkových vôd. </w:t>
            </w:r>
            <w:r w:rsidRPr="007916BD">
              <w:rPr>
                <w:rFonts w:ascii="Calibri" w:hAnsi="Calibri"/>
                <w:sz w:val="20"/>
                <w:szCs w:val="20"/>
              </w:rPr>
              <w:t xml:space="preserve">Koncepcia revitalizácie hydromelioračných sústav, </w:t>
            </w:r>
            <w:r>
              <w:rPr>
                <w:rFonts w:ascii="Calibri" w:hAnsi="Calibri"/>
                <w:sz w:val="20"/>
                <w:szCs w:val="20"/>
              </w:rPr>
              <w:t>d</w:t>
            </w:r>
            <w:r w:rsidRPr="007916BD">
              <w:rPr>
                <w:rFonts w:ascii="Calibri" w:hAnsi="Calibri"/>
                <w:sz w:val="20"/>
                <w:szCs w:val="20"/>
              </w:rPr>
              <w:t>efinuje dlhodobo udržateľn</w:t>
            </w:r>
            <w:r>
              <w:rPr>
                <w:rFonts w:ascii="Calibri" w:hAnsi="Calibri"/>
                <w:sz w:val="20"/>
                <w:szCs w:val="20"/>
              </w:rPr>
              <w:t>ú</w:t>
            </w:r>
            <w:r w:rsidRPr="007916BD" w:rsidDel="00A0755E">
              <w:rPr>
                <w:rFonts w:ascii="Calibri" w:hAnsi="Calibri"/>
                <w:sz w:val="20"/>
                <w:szCs w:val="20"/>
              </w:rPr>
              <w:t xml:space="preserve"> </w:t>
            </w:r>
            <w:r>
              <w:rPr>
                <w:rFonts w:ascii="Calibri" w:hAnsi="Calibri"/>
                <w:sz w:val="20"/>
                <w:szCs w:val="20"/>
              </w:rPr>
              <w:t>minimálnu</w:t>
            </w:r>
            <w:r w:rsidRPr="007916BD">
              <w:rPr>
                <w:rFonts w:ascii="Calibri" w:hAnsi="Calibri"/>
                <w:sz w:val="20"/>
                <w:szCs w:val="20"/>
              </w:rPr>
              <w:t xml:space="preserve"> sieť závlah a odvodnenia</w:t>
            </w:r>
            <w:r>
              <w:rPr>
                <w:rFonts w:ascii="Calibri" w:hAnsi="Calibri"/>
                <w:sz w:val="20"/>
                <w:szCs w:val="20"/>
              </w:rPr>
              <w:t xml:space="preserve">. </w:t>
            </w:r>
            <w:r w:rsidRPr="00D55691">
              <w:rPr>
                <w:rFonts w:ascii="Calibri" w:hAnsi="Calibri"/>
                <w:sz w:val="20"/>
                <w:szCs w:val="20"/>
              </w:rPr>
              <w:t>Reguláciou odtoku vnútorných vôd majú hydromelioračné kanály značný potenciál zadržiava</w:t>
            </w:r>
            <w:r>
              <w:rPr>
                <w:rFonts w:ascii="Calibri" w:hAnsi="Calibri"/>
                <w:sz w:val="20"/>
                <w:szCs w:val="20"/>
              </w:rPr>
              <w:t>ť</w:t>
            </w:r>
            <w:r w:rsidRPr="00D55691">
              <w:rPr>
                <w:rFonts w:ascii="Calibri" w:hAnsi="Calibri"/>
                <w:sz w:val="20"/>
                <w:szCs w:val="20"/>
              </w:rPr>
              <w:t xml:space="preserve"> vod</w:t>
            </w:r>
            <w:r>
              <w:rPr>
                <w:rFonts w:ascii="Calibri" w:hAnsi="Calibri"/>
                <w:sz w:val="20"/>
                <w:szCs w:val="20"/>
              </w:rPr>
              <w:t>u</w:t>
            </w:r>
            <w:r w:rsidRPr="00D55691">
              <w:rPr>
                <w:rFonts w:ascii="Calibri" w:hAnsi="Calibri"/>
                <w:sz w:val="20"/>
                <w:szCs w:val="20"/>
              </w:rPr>
              <w:t xml:space="preserve">, čím </w:t>
            </w:r>
            <w:r>
              <w:rPr>
                <w:rFonts w:ascii="Calibri" w:hAnsi="Calibri"/>
                <w:sz w:val="20"/>
                <w:szCs w:val="20"/>
              </w:rPr>
              <w:t> </w:t>
            </w:r>
            <w:r w:rsidRPr="00D55691">
              <w:rPr>
                <w:rFonts w:ascii="Calibri" w:hAnsi="Calibri"/>
                <w:sz w:val="20"/>
                <w:szCs w:val="20"/>
              </w:rPr>
              <w:t>z</w:t>
            </w:r>
            <w:r>
              <w:rPr>
                <w:rFonts w:ascii="Calibri" w:hAnsi="Calibri"/>
                <w:sz w:val="20"/>
                <w:szCs w:val="20"/>
              </w:rPr>
              <w:t xml:space="preserve">vyšujú </w:t>
            </w:r>
            <w:r w:rsidRPr="00D55691">
              <w:rPr>
                <w:rFonts w:ascii="Calibri" w:hAnsi="Calibri"/>
                <w:sz w:val="20"/>
                <w:szCs w:val="20"/>
              </w:rPr>
              <w:t>retenčn</w:t>
            </w:r>
            <w:r>
              <w:rPr>
                <w:rFonts w:ascii="Calibri" w:hAnsi="Calibri"/>
                <w:sz w:val="20"/>
                <w:szCs w:val="20"/>
              </w:rPr>
              <w:t>ú</w:t>
            </w:r>
            <w:r w:rsidRPr="00D55691">
              <w:rPr>
                <w:rFonts w:ascii="Calibri" w:hAnsi="Calibri"/>
                <w:sz w:val="20"/>
                <w:szCs w:val="20"/>
              </w:rPr>
              <w:t xml:space="preserve"> kapacit</w:t>
            </w:r>
            <w:r>
              <w:rPr>
                <w:rFonts w:ascii="Calibri" w:hAnsi="Calibri"/>
                <w:sz w:val="20"/>
                <w:szCs w:val="20"/>
              </w:rPr>
              <w:t xml:space="preserve">u </w:t>
            </w:r>
            <w:r w:rsidRPr="00D55691">
              <w:rPr>
                <w:rFonts w:ascii="Calibri" w:hAnsi="Calibri"/>
                <w:sz w:val="20"/>
                <w:szCs w:val="20"/>
              </w:rPr>
              <w:t>územia</w:t>
            </w:r>
            <w:r>
              <w:rPr>
                <w:rFonts w:ascii="Calibri" w:hAnsi="Calibri"/>
                <w:sz w:val="20"/>
                <w:szCs w:val="20"/>
              </w:rPr>
              <w:t xml:space="preserve">. </w:t>
            </w:r>
            <w:r w:rsidRPr="00D55691">
              <w:rPr>
                <w:rFonts w:ascii="Calibri" w:hAnsi="Calibri"/>
                <w:sz w:val="20"/>
                <w:szCs w:val="20"/>
              </w:rPr>
              <w:t xml:space="preserve"> </w:t>
            </w:r>
            <w:r>
              <w:rPr>
                <w:rFonts w:ascii="Calibri" w:hAnsi="Calibri"/>
                <w:sz w:val="20"/>
                <w:szCs w:val="20"/>
              </w:rPr>
              <w:t>Z</w:t>
            </w:r>
            <w:r w:rsidRPr="00D55691">
              <w:rPr>
                <w:rFonts w:ascii="Calibri" w:hAnsi="Calibri"/>
                <w:sz w:val="20"/>
                <w:szCs w:val="20"/>
              </w:rPr>
              <w:t xml:space="preserve">adržaná voda </w:t>
            </w:r>
            <w:r>
              <w:rPr>
                <w:rFonts w:ascii="Calibri" w:hAnsi="Calibri"/>
                <w:sz w:val="20"/>
                <w:szCs w:val="20"/>
              </w:rPr>
              <w:t xml:space="preserve">môže </w:t>
            </w:r>
            <w:r w:rsidRPr="00D55691">
              <w:rPr>
                <w:rFonts w:ascii="Calibri" w:hAnsi="Calibri"/>
                <w:sz w:val="20"/>
                <w:szCs w:val="20"/>
              </w:rPr>
              <w:t xml:space="preserve"> slúžiť ako alternatívny zdroj na lokálne zavlažovanie, č</w:t>
            </w:r>
            <w:r>
              <w:rPr>
                <w:rFonts w:ascii="Calibri" w:hAnsi="Calibri"/>
                <w:sz w:val="20"/>
                <w:szCs w:val="20"/>
              </w:rPr>
              <w:t xml:space="preserve">o </w:t>
            </w:r>
            <w:r w:rsidRPr="00D55691">
              <w:rPr>
                <w:rFonts w:ascii="Calibri" w:hAnsi="Calibri"/>
                <w:sz w:val="20"/>
                <w:szCs w:val="20"/>
              </w:rPr>
              <w:t>prispeje k adaptáci</w:t>
            </w:r>
            <w:r>
              <w:rPr>
                <w:rFonts w:ascii="Calibri" w:hAnsi="Calibri"/>
                <w:sz w:val="20"/>
                <w:szCs w:val="20"/>
              </w:rPr>
              <w:t>i</w:t>
            </w:r>
            <w:r w:rsidRPr="00D55691">
              <w:rPr>
                <w:rFonts w:ascii="Calibri" w:hAnsi="Calibri"/>
                <w:sz w:val="20"/>
                <w:szCs w:val="20"/>
              </w:rPr>
              <w:t xml:space="preserve"> na zmeny klímy a zvýši efektivitu využívania vody. </w:t>
            </w:r>
          </w:p>
        </w:tc>
      </w:tr>
      <w:tr w:rsidR="009E238E" w:rsidRPr="004A7D83" w:rsidTr="009E238E">
        <w:trPr>
          <w:trHeight w:val="172"/>
        </w:trPr>
        <w:tc>
          <w:tcPr>
            <w:tcW w:w="269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9E238E" w:rsidRPr="004A7D83" w:rsidRDefault="009E238E" w:rsidP="00CE203B">
            <w:pPr>
              <w:numPr>
                <w:ilvl w:val="0"/>
                <w:numId w:val="343"/>
              </w:numPr>
              <w:spacing w:after="120"/>
              <w:ind w:left="284" w:hanging="284"/>
              <w:jc w:val="left"/>
              <w:textAlignment w:val="baseline"/>
              <w:rPr>
                <w:rFonts w:ascii="Calibri" w:hAnsi="Calibri"/>
              </w:rPr>
            </w:pPr>
            <w:r>
              <w:rPr>
                <w:rFonts w:ascii="Calibri" w:hAnsi="Calibri"/>
                <w:sz w:val="20"/>
                <w:szCs w:val="20"/>
                <w:lang w:eastAsia="zh-CN"/>
              </w:rPr>
              <w:t>Z</w:t>
            </w:r>
            <w:r w:rsidRPr="004A7D83">
              <w:rPr>
                <w:rFonts w:ascii="Calibri" w:hAnsi="Calibri"/>
                <w:sz w:val="20"/>
                <w:szCs w:val="20"/>
                <w:lang w:eastAsia="zh-CN"/>
              </w:rPr>
              <w:t>abezpečenie ochrany pôdy pred degradáciou</w:t>
            </w:r>
          </w:p>
        </w:tc>
        <w:tc>
          <w:tcPr>
            <w:tcW w:w="1090" w:type="dxa"/>
            <w:tcBorders>
              <w:top w:val="nil"/>
              <w:left w:val="nil"/>
              <w:bottom w:val="single" w:sz="8" w:space="0" w:color="000000"/>
              <w:right w:val="single" w:sz="8" w:space="0" w:color="000000"/>
            </w:tcBorders>
            <w:tcMar>
              <w:top w:w="0" w:type="dxa"/>
              <w:left w:w="108" w:type="dxa"/>
              <w:bottom w:w="0" w:type="dxa"/>
              <w:right w:w="108" w:type="dxa"/>
            </w:tcMar>
            <w:hideMark/>
          </w:tcPr>
          <w:p w:rsidR="009E238E" w:rsidRDefault="009E238E" w:rsidP="009E238E">
            <w:pPr>
              <w:jc w:val="center"/>
              <w:rPr>
                <w:rFonts w:ascii="Calibri" w:hAnsi="Calibri"/>
                <w:sz w:val="20"/>
                <w:szCs w:val="20"/>
                <w:lang w:eastAsia="zh-CN"/>
              </w:rPr>
            </w:pPr>
            <w:r w:rsidRPr="004A7D83">
              <w:rPr>
                <w:rFonts w:ascii="Calibri" w:hAnsi="Calibri"/>
                <w:sz w:val="20"/>
                <w:szCs w:val="20"/>
                <w:lang w:eastAsia="zh-CN"/>
              </w:rPr>
              <w:t>4C, 4B, 5E, 2A</w:t>
            </w:r>
          </w:p>
          <w:p w:rsidR="009E238E" w:rsidRPr="000D2606" w:rsidRDefault="009E238E" w:rsidP="009E238E">
            <w:pPr>
              <w:jc w:val="center"/>
              <w:rPr>
                <w:rFonts w:ascii="Calibri" w:hAnsi="Calibri"/>
                <w:sz w:val="20"/>
              </w:rPr>
            </w:pPr>
            <w:r w:rsidRPr="000D2606">
              <w:rPr>
                <w:rFonts w:ascii="Calibri" w:hAnsi="Calibri"/>
                <w:sz w:val="20"/>
              </w:rPr>
              <w:t>ŽP, zmena klímy</w:t>
            </w:r>
          </w:p>
          <w:p w:rsidR="009E238E" w:rsidRPr="004A7D83" w:rsidRDefault="009E238E" w:rsidP="009E238E">
            <w:pPr>
              <w:jc w:val="center"/>
              <w:rPr>
                <w:rFonts w:ascii="Calibri" w:hAnsi="Calibri"/>
              </w:rPr>
            </w:pPr>
          </w:p>
        </w:tc>
        <w:tc>
          <w:tcPr>
            <w:tcW w:w="10425" w:type="dxa"/>
            <w:tcBorders>
              <w:top w:val="nil"/>
              <w:left w:val="nil"/>
              <w:bottom w:val="single" w:sz="8" w:space="0" w:color="000000"/>
              <w:right w:val="single" w:sz="8" w:space="0" w:color="000000"/>
            </w:tcBorders>
            <w:tcMar>
              <w:top w:w="0" w:type="dxa"/>
              <w:left w:w="108" w:type="dxa"/>
              <w:bottom w:w="0" w:type="dxa"/>
              <w:right w:w="108" w:type="dxa"/>
            </w:tcMar>
            <w:hideMark/>
          </w:tcPr>
          <w:p w:rsidR="009E238E" w:rsidRDefault="009E238E" w:rsidP="009E238E">
            <w:pPr>
              <w:rPr>
                <w:rFonts w:ascii="Calibri" w:hAnsi="Calibri"/>
                <w:sz w:val="20"/>
                <w:szCs w:val="20"/>
              </w:rPr>
            </w:pPr>
            <w:r w:rsidRPr="004A7D83">
              <w:rPr>
                <w:rFonts w:ascii="Calibri" w:hAnsi="Calibri"/>
                <w:sz w:val="20"/>
                <w:szCs w:val="20"/>
              </w:rPr>
              <w:t>P</w:t>
            </w:r>
            <w:r>
              <w:rPr>
                <w:rFonts w:ascii="Calibri" w:hAnsi="Calibri"/>
                <w:sz w:val="20"/>
                <w:szCs w:val="20"/>
              </w:rPr>
              <w:t xml:space="preserve">P </w:t>
            </w:r>
            <w:r w:rsidRPr="004A7D83">
              <w:rPr>
                <w:rFonts w:ascii="Calibri" w:hAnsi="Calibri"/>
                <w:sz w:val="20"/>
                <w:szCs w:val="20"/>
              </w:rPr>
              <w:t xml:space="preserve">EK odporúča podporovať ochranu pôdy pred eróziou, zhutňovaním, zasoľovaním a stratou organických látok. </w:t>
            </w:r>
          </w:p>
          <w:p w:rsidR="009E238E" w:rsidRDefault="009E238E" w:rsidP="009E238E">
            <w:pPr>
              <w:rPr>
                <w:rFonts w:ascii="Calibri" w:hAnsi="Calibri"/>
                <w:sz w:val="20"/>
                <w:szCs w:val="20"/>
              </w:rPr>
            </w:pPr>
            <w:r>
              <w:rPr>
                <w:rFonts w:ascii="Calibri" w:hAnsi="Calibri"/>
                <w:sz w:val="20"/>
                <w:szCs w:val="20"/>
              </w:rPr>
              <w:t>Obdobne, medzi  problémy poľnohospodárstva SR vo vzťahu k ŽP zaraďuje hodnotiaca správa OECD 2011, popri znečisťovaní vôd a poklesu biodiverzity nasledovné:</w:t>
            </w:r>
          </w:p>
          <w:p w:rsidR="009E238E" w:rsidRPr="00736EB5" w:rsidRDefault="009E238E" w:rsidP="009E238E">
            <w:pPr>
              <w:rPr>
                <w:sz w:val="20"/>
                <w:szCs w:val="20"/>
              </w:rPr>
            </w:pPr>
            <w:r>
              <w:rPr>
                <w:sz w:val="20"/>
                <w:szCs w:val="20"/>
              </w:rPr>
              <w:t xml:space="preserve">- </w:t>
            </w:r>
            <w:r w:rsidRPr="00736EB5">
              <w:rPr>
                <w:sz w:val="20"/>
                <w:szCs w:val="20"/>
              </w:rPr>
              <w:t xml:space="preserve">Eróziu , ktorá </w:t>
            </w:r>
            <w:r>
              <w:rPr>
                <w:sz w:val="20"/>
                <w:szCs w:val="20"/>
              </w:rPr>
              <w:t xml:space="preserve">je </w:t>
            </w:r>
            <w:r w:rsidRPr="00736EB5">
              <w:rPr>
                <w:sz w:val="20"/>
                <w:szCs w:val="20"/>
              </w:rPr>
              <w:t>spôsoben</w:t>
            </w:r>
            <w:r>
              <w:rPr>
                <w:sz w:val="20"/>
                <w:szCs w:val="20"/>
              </w:rPr>
              <w:t>á</w:t>
            </w:r>
            <w:r w:rsidRPr="00736EB5">
              <w:rPr>
                <w:sz w:val="20"/>
                <w:szCs w:val="20"/>
              </w:rPr>
              <w:t xml:space="preserve"> prevahou hornatej krajiny, ale tiež vysokým podielom ornej pôdy (70%). </w:t>
            </w:r>
            <w:r>
              <w:rPr>
                <w:sz w:val="20"/>
                <w:szCs w:val="20"/>
              </w:rPr>
              <w:t xml:space="preserve">Priamy </w:t>
            </w:r>
            <w:r w:rsidRPr="00736EB5">
              <w:rPr>
                <w:sz w:val="20"/>
                <w:szCs w:val="20"/>
              </w:rPr>
              <w:t>účin</w:t>
            </w:r>
            <w:r>
              <w:rPr>
                <w:sz w:val="20"/>
                <w:szCs w:val="20"/>
              </w:rPr>
              <w:t>o</w:t>
            </w:r>
            <w:r w:rsidRPr="00736EB5">
              <w:rPr>
                <w:sz w:val="20"/>
                <w:szCs w:val="20"/>
              </w:rPr>
              <w:t>k erózie je</w:t>
            </w:r>
            <w:r>
              <w:rPr>
                <w:sz w:val="20"/>
                <w:szCs w:val="20"/>
              </w:rPr>
              <w:t xml:space="preserve"> umocnený</w:t>
            </w:r>
            <w:r w:rsidRPr="00736EB5">
              <w:rPr>
                <w:sz w:val="20"/>
                <w:szCs w:val="20"/>
              </w:rPr>
              <w:t xml:space="preserve"> odtok</w:t>
            </w:r>
            <w:r>
              <w:rPr>
                <w:sz w:val="20"/>
                <w:szCs w:val="20"/>
              </w:rPr>
              <w:t>om</w:t>
            </w:r>
            <w:r w:rsidRPr="00736EB5">
              <w:rPr>
                <w:sz w:val="20"/>
                <w:szCs w:val="20"/>
              </w:rPr>
              <w:t xml:space="preserve"> pôdneho sedimentu narušujúci kapacitu vodných nádrží a riečne ekosystémy.</w:t>
            </w:r>
          </w:p>
          <w:p w:rsidR="009E238E" w:rsidRPr="00736EB5" w:rsidRDefault="009E238E" w:rsidP="009E238E">
            <w:pPr>
              <w:rPr>
                <w:sz w:val="20"/>
                <w:szCs w:val="20"/>
              </w:rPr>
            </w:pPr>
            <w:r>
              <w:rPr>
                <w:sz w:val="20"/>
                <w:szCs w:val="20"/>
              </w:rPr>
              <w:t>- Z</w:t>
            </w:r>
            <w:r w:rsidRPr="00736EB5">
              <w:rPr>
                <w:sz w:val="20"/>
                <w:szCs w:val="20"/>
              </w:rPr>
              <w:t>hutnen</w:t>
            </w:r>
            <w:r>
              <w:rPr>
                <w:sz w:val="20"/>
                <w:szCs w:val="20"/>
              </w:rPr>
              <w:t>ie pôd</w:t>
            </w:r>
            <w:r w:rsidRPr="00736EB5">
              <w:rPr>
                <w:sz w:val="20"/>
                <w:szCs w:val="20"/>
              </w:rPr>
              <w:t>, ktoré sa týkalo asi 8% p</w:t>
            </w:r>
            <w:r>
              <w:rPr>
                <w:sz w:val="20"/>
                <w:szCs w:val="20"/>
              </w:rPr>
              <w:t xml:space="preserve">.p., </w:t>
            </w:r>
            <w:r w:rsidRPr="00736EB5">
              <w:rPr>
                <w:sz w:val="20"/>
                <w:szCs w:val="20"/>
              </w:rPr>
              <w:t>na ďalších 19%, zhutnenie prebieha vďaka používaniu ťažkej techniky a</w:t>
            </w:r>
            <w:r>
              <w:rPr>
                <w:sz w:val="20"/>
                <w:szCs w:val="20"/>
              </w:rPr>
              <w:t> </w:t>
            </w:r>
            <w:r w:rsidRPr="00736EB5">
              <w:rPr>
                <w:sz w:val="20"/>
                <w:szCs w:val="20"/>
              </w:rPr>
              <w:t>nevhodn</w:t>
            </w:r>
            <w:r>
              <w:rPr>
                <w:sz w:val="20"/>
                <w:szCs w:val="20"/>
              </w:rPr>
              <w:t xml:space="preserve">ých </w:t>
            </w:r>
            <w:r w:rsidRPr="00736EB5">
              <w:rPr>
                <w:sz w:val="20"/>
                <w:szCs w:val="20"/>
              </w:rPr>
              <w:t>prakt</w:t>
            </w:r>
            <w:r>
              <w:rPr>
                <w:sz w:val="20"/>
                <w:szCs w:val="20"/>
              </w:rPr>
              <w:t>í</w:t>
            </w:r>
            <w:r w:rsidRPr="00736EB5">
              <w:rPr>
                <w:sz w:val="20"/>
                <w:szCs w:val="20"/>
              </w:rPr>
              <w:t>k.</w:t>
            </w:r>
          </w:p>
          <w:p w:rsidR="009E238E" w:rsidRPr="00736EB5" w:rsidRDefault="009E238E" w:rsidP="009E238E">
            <w:pPr>
              <w:rPr>
                <w:sz w:val="20"/>
                <w:szCs w:val="20"/>
              </w:rPr>
            </w:pPr>
            <w:r>
              <w:rPr>
                <w:sz w:val="20"/>
                <w:szCs w:val="20"/>
              </w:rPr>
              <w:t>- Vápnenie</w:t>
            </w:r>
            <w:r w:rsidRPr="00736EB5">
              <w:rPr>
                <w:sz w:val="20"/>
                <w:szCs w:val="20"/>
              </w:rPr>
              <w:t xml:space="preserve"> pôd </w:t>
            </w:r>
            <w:r>
              <w:rPr>
                <w:sz w:val="20"/>
                <w:szCs w:val="20"/>
              </w:rPr>
              <w:t xml:space="preserve">je </w:t>
            </w:r>
            <w:r w:rsidRPr="00736EB5">
              <w:rPr>
                <w:sz w:val="20"/>
                <w:szCs w:val="20"/>
              </w:rPr>
              <w:t xml:space="preserve">nedostatočné a podiel kyslej pôdy sa bude </w:t>
            </w:r>
            <w:r>
              <w:rPr>
                <w:sz w:val="20"/>
                <w:szCs w:val="20"/>
              </w:rPr>
              <w:t>rásť</w:t>
            </w:r>
            <w:r w:rsidRPr="00736EB5">
              <w:rPr>
                <w:sz w:val="20"/>
                <w:szCs w:val="20"/>
              </w:rPr>
              <w:t>.</w:t>
            </w:r>
          </w:p>
          <w:p w:rsidR="009E238E" w:rsidRPr="00736EB5" w:rsidRDefault="009E238E" w:rsidP="009E238E">
            <w:pPr>
              <w:rPr>
                <w:sz w:val="20"/>
                <w:szCs w:val="20"/>
              </w:rPr>
            </w:pPr>
            <w:r>
              <w:rPr>
                <w:sz w:val="20"/>
                <w:szCs w:val="20"/>
              </w:rPr>
              <w:t xml:space="preserve">- </w:t>
            </w:r>
            <w:r w:rsidRPr="00736EB5">
              <w:rPr>
                <w:sz w:val="20"/>
                <w:szCs w:val="20"/>
              </w:rPr>
              <w:t>Podmáčan</w:t>
            </w:r>
            <w:r>
              <w:rPr>
                <w:sz w:val="20"/>
                <w:szCs w:val="20"/>
              </w:rPr>
              <w:t>ie</w:t>
            </w:r>
            <w:r w:rsidRPr="00736EB5">
              <w:rPr>
                <w:sz w:val="20"/>
                <w:szCs w:val="20"/>
              </w:rPr>
              <w:t xml:space="preserve"> pôd</w:t>
            </w:r>
            <w:r>
              <w:rPr>
                <w:sz w:val="20"/>
                <w:szCs w:val="20"/>
              </w:rPr>
              <w:t xml:space="preserve">, </w:t>
            </w:r>
            <w:r w:rsidRPr="00736EB5">
              <w:rPr>
                <w:sz w:val="20"/>
                <w:szCs w:val="20"/>
              </w:rPr>
              <w:t>viac ako 20% p</w:t>
            </w:r>
            <w:r>
              <w:rPr>
                <w:sz w:val="20"/>
                <w:szCs w:val="20"/>
              </w:rPr>
              <w:t>.p.</w:t>
            </w:r>
            <w:r w:rsidRPr="00736EB5">
              <w:rPr>
                <w:sz w:val="20"/>
                <w:szCs w:val="20"/>
              </w:rPr>
              <w:t xml:space="preserve"> je trvalo ovplyvnených zamokrením, najmä z dôvodu vysokých hladín podzemnej vody a pôdnej štruktúry.</w:t>
            </w:r>
          </w:p>
          <w:p w:rsidR="009E238E" w:rsidRPr="004A7D83" w:rsidRDefault="009E238E" w:rsidP="009E238E">
            <w:pPr>
              <w:rPr>
                <w:rFonts w:ascii="Calibri" w:hAnsi="Calibri"/>
              </w:rPr>
            </w:pPr>
            <w:r w:rsidRPr="004A7D83">
              <w:rPr>
                <w:rFonts w:ascii="Calibri" w:hAnsi="Calibri"/>
                <w:sz w:val="20"/>
                <w:szCs w:val="20"/>
              </w:rPr>
              <w:t xml:space="preserve">Podľa </w:t>
            </w:r>
            <w:r>
              <w:rPr>
                <w:rFonts w:ascii="Calibri" w:hAnsi="Calibri"/>
                <w:sz w:val="20"/>
                <w:szCs w:val="20"/>
              </w:rPr>
              <w:t xml:space="preserve">aktuálnych údajov VÚPOP je takmer 30%  p.p. (LPIS) </w:t>
            </w:r>
            <w:r w:rsidRPr="004A7D83">
              <w:rPr>
                <w:rFonts w:ascii="Calibri" w:hAnsi="Calibri"/>
                <w:sz w:val="20"/>
                <w:szCs w:val="20"/>
              </w:rPr>
              <w:t xml:space="preserve"> ohrozenej silnou eróziou (</w:t>
            </w:r>
            <w:r>
              <w:rPr>
                <w:rFonts w:ascii="Calibri" w:hAnsi="Calibri"/>
                <w:sz w:val="20"/>
                <w:szCs w:val="20"/>
              </w:rPr>
              <w:t>nad</w:t>
            </w:r>
            <w:r w:rsidRPr="004A7D83">
              <w:rPr>
                <w:rFonts w:ascii="Calibri" w:hAnsi="Calibri"/>
                <w:sz w:val="20"/>
                <w:szCs w:val="20"/>
              </w:rPr>
              <w:t xml:space="preserve"> 1</w:t>
            </w:r>
            <w:r>
              <w:rPr>
                <w:rFonts w:ascii="Calibri" w:hAnsi="Calibri"/>
                <w:sz w:val="20"/>
                <w:szCs w:val="20"/>
              </w:rPr>
              <w:t>0</w:t>
            </w:r>
            <w:r w:rsidRPr="004A7D83">
              <w:rPr>
                <w:rFonts w:ascii="Calibri" w:hAnsi="Calibri"/>
                <w:sz w:val="20"/>
                <w:szCs w:val="20"/>
              </w:rPr>
              <w:t xml:space="preserve">t/ha/rok), z toho </w:t>
            </w:r>
            <w:r>
              <w:rPr>
                <w:rFonts w:ascii="Calibri" w:hAnsi="Calibri"/>
                <w:sz w:val="20"/>
                <w:szCs w:val="20"/>
              </w:rPr>
              <w:t>vyše 14%  extrémnou eróziou (nad 30</w:t>
            </w:r>
            <w:r w:rsidRPr="004A7D83">
              <w:rPr>
                <w:rFonts w:ascii="Calibri" w:hAnsi="Calibri"/>
                <w:sz w:val="20"/>
                <w:szCs w:val="20"/>
              </w:rPr>
              <w:t>t/ha/rok</w:t>
            </w:r>
            <w:r>
              <w:rPr>
                <w:rFonts w:ascii="Calibri" w:hAnsi="Calibri"/>
                <w:sz w:val="20"/>
                <w:szCs w:val="20"/>
              </w:rPr>
              <w:t>).</w:t>
            </w:r>
          </w:p>
          <w:p w:rsidR="009E238E" w:rsidRPr="004A7D83" w:rsidRDefault="009E238E" w:rsidP="009E238E">
            <w:pPr>
              <w:rPr>
                <w:rFonts w:ascii="Calibri" w:hAnsi="Calibri"/>
              </w:rPr>
            </w:pPr>
            <w:r>
              <w:rPr>
                <w:rFonts w:ascii="Calibri" w:hAnsi="Calibri"/>
                <w:sz w:val="20"/>
                <w:szCs w:val="20"/>
              </w:rPr>
              <w:t>M</w:t>
            </w:r>
            <w:r w:rsidRPr="004A7D83">
              <w:rPr>
                <w:rFonts w:ascii="Calibri" w:hAnsi="Calibri"/>
                <w:sz w:val="20"/>
                <w:szCs w:val="20"/>
              </w:rPr>
              <w:t>onitoring pôd SR uvádza</w:t>
            </w:r>
            <w:r>
              <w:rPr>
                <w:rFonts w:ascii="Calibri" w:hAnsi="Calibri"/>
                <w:sz w:val="20"/>
                <w:szCs w:val="20"/>
              </w:rPr>
              <w:t xml:space="preserve"> </w:t>
            </w:r>
            <w:r w:rsidRPr="004A7D83">
              <w:rPr>
                <w:rFonts w:ascii="Calibri" w:hAnsi="Calibri"/>
                <w:sz w:val="20"/>
                <w:szCs w:val="20"/>
              </w:rPr>
              <w:t>dlhodobo zvýšený podiel lokalít so zhutnenou podornicou</w:t>
            </w:r>
            <w:r>
              <w:rPr>
                <w:rFonts w:ascii="Calibri" w:hAnsi="Calibri"/>
                <w:sz w:val="20"/>
                <w:szCs w:val="20"/>
              </w:rPr>
              <w:t>, čo obmedzuje p</w:t>
            </w:r>
            <w:r w:rsidRPr="004A7D83">
              <w:rPr>
                <w:rFonts w:ascii="Calibri" w:hAnsi="Calibri"/>
                <w:sz w:val="20"/>
                <w:szCs w:val="20"/>
              </w:rPr>
              <w:t xml:space="preserve">otenciál pôdy pri zadržiavaní vody. Elimináciou zhutnenia  sa čiastočne eliminujú </w:t>
            </w:r>
            <w:r>
              <w:rPr>
                <w:rFonts w:ascii="Calibri" w:hAnsi="Calibri"/>
                <w:sz w:val="20"/>
                <w:szCs w:val="20"/>
              </w:rPr>
              <w:t xml:space="preserve">negatívne </w:t>
            </w:r>
            <w:r w:rsidRPr="004A7D83">
              <w:rPr>
                <w:rFonts w:ascii="Calibri" w:hAnsi="Calibri"/>
                <w:sz w:val="20"/>
                <w:szCs w:val="20"/>
              </w:rPr>
              <w:t>dôsledky klimatickej zmeny – lokálne záplavy, sucho a nedostatok vody na zavlažovanie, nízke úrody, nedostatok pastvy a</w:t>
            </w:r>
            <w:r>
              <w:rPr>
                <w:rFonts w:ascii="Calibri" w:hAnsi="Calibri"/>
                <w:sz w:val="20"/>
                <w:szCs w:val="20"/>
              </w:rPr>
              <w:t> </w:t>
            </w:r>
            <w:r w:rsidRPr="004A7D83">
              <w:rPr>
                <w:rFonts w:ascii="Calibri" w:hAnsi="Calibri"/>
                <w:sz w:val="20"/>
                <w:szCs w:val="20"/>
              </w:rPr>
              <w:t>krmovín</w:t>
            </w:r>
            <w:r>
              <w:rPr>
                <w:rFonts w:ascii="Calibri" w:hAnsi="Calibri"/>
                <w:sz w:val="20"/>
                <w:szCs w:val="20"/>
              </w:rPr>
              <w:t xml:space="preserve">, </w:t>
            </w:r>
            <w:r w:rsidRPr="004A7D83">
              <w:rPr>
                <w:rFonts w:ascii="Calibri" w:hAnsi="Calibri"/>
                <w:sz w:val="20"/>
                <w:szCs w:val="20"/>
              </w:rPr>
              <w:t xml:space="preserve">, vynútené zmeny využívania pôdy, až riziko pustnutia krajiny. </w:t>
            </w:r>
          </w:p>
          <w:p w:rsidR="009E238E" w:rsidRPr="004A7D83" w:rsidRDefault="009E238E" w:rsidP="009E238E">
            <w:pPr>
              <w:rPr>
                <w:rFonts w:ascii="Calibri" w:hAnsi="Calibri"/>
              </w:rPr>
            </w:pPr>
            <w:r>
              <w:rPr>
                <w:rFonts w:ascii="Calibri" w:hAnsi="Calibri"/>
                <w:sz w:val="20"/>
                <w:szCs w:val="20"/>
              </w:rPr>
              <w:t>Ďalším zistením</w:t>
            </w:r>
            <w:r w:rsidRPr="004A7D83">
              <w:rPr>
                <w:rFonts w:ascii="Calibri" w:hAnsi="Calibri"/>
                <w:sz w:val="20"/>
                <w:szCs w:val="20"/>
              </w:rPr>
              <w:t xml:space="preserve"> je pokles organického uhlíka (pôdnej organickej hmoty) na všetkých sledovaných orných pôdach. </w:t>
            </w:r>
          </w:p>
          <w:p w:rsidR="009E238E" w:rsidRPr="004A7D83" w:rsidRDefault="009E238E" w:rsidP="009E238E">
            <w:pPr>
              <w:rPr>
                <w:rFonts w:ascii="Calibri" w:hAnsi="Calibri"/>
              </w:rPr>
            </w:pPr>
            <w:r w:rsidRPr="004A7D83">
              <w:rPr>
                <w:rFonts w:ascii="Calibri" w:hAnsi="Calibri"/>
                <w:sz w:val="20"/>
                <w:szCs w:val="20"/>
              </w:rPr>
              <w:t>Zachovanie kvality pôdy je závislé aj od pokračovania poľnohospodárstva v LFA, kde platby zabraňujú opúšťaniu pôdy, marginalizácii a pustnutiu krajiny.</w:t>
            </w:r>
          </w:p>
          <w:p w:rsidR="009E238E" w:rsidRDefault="009E238E" w:rsidP="009E238E">
            <w:pPr>
              <w:rPr>
                <w:rFonts w:ascii="Calibri" w:hAnsi="Calibri"/>
              </w:rPr>
            </w:pPr>
            <w:r w:rsidRPr="004A7D83">
              <w:rPr>
                <w:rFonts w:ascii="Calibri" w:hAnsi="Calibri"/>
                <w:sz w:val="20"/>
                <w:szCs w:val="20"/>
              </w:rPr>
              <w:t>V LH sa prejavuje zvýšená erózia pôdy vplyvom ťažby a približovania dreva, vyjazdenie koľají a zhutnenie pôdy</w:t>
            </w:r>
            <w:r>
              <w:rPr>
                <w:rFonts w:ascii="Calibri" w:hAnsi="Calibri"/>
                <w:sz w:val="20"/>
                <w:szCs w:val="20"/>
              </w:rPr>
              <w:t>.</w:t>
            </w:r>
          </w:p>
        </w:tc>
      </w:tr>
      <w:tr w:rsidR="009E238E" w:rsidRPr="004A7D83" w:rsidTr="009E238E">
        <w:trPr>
          <w:trHeight w:val="172"/>
        </w:trPr>
        <w:tc>
          <w:tcPr>
            <w:tcW w:w="269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9E238E" w:rsidRPr="004A7D83" w:rsidRDefault="009E238E" w:rsidP="00CE203B">
            <w:pPr>
              <w:numPr>
                <w:ilvl w:val="0"/>
                <w:numId w:val="343"/>
              </w:numPr>
              <w:spacing w:after="120"/>
              <w:ind w:left="284" w:hanging="284"/>
              <w:jc w:val="left"/>
              <w:textAlignment w:val="baseline"/>
              <w:rPr>
                <w:rFonts w:ascii="Calibri" w:hAnsi="Calibri"/>
              </w:rPr>
            </w:pPr>
            <w:r w:rsidRPr="004A7D83">
              <w:rPr>
                <w:rFonts w:ascii="Calibri" w:hAnsi="Calibri"/>
                <w:sz w:val="20"/>
                <w:szCs w:val="20"/>
                <w:lang w:eastAsia="zh-CN"/>
              </w:rPr>
              <w:t xml:space="preserve">Zachovanie </w:t>
            </w:r>
            <w:r>
              <w:rPr>
                <w:rFonts w:ascii="Calibri" w:hAnsi="Calibri"/>
                <w:sz w:val="20"/>
                <w:szCs w:val="20"/>
                <w:lang w:eastAsia="zh-CN"/>
              </w:rPr>
              <w:t>p</w:t>
            </w:r>
            <w:r w:rsidRPr="004A7D83">
              <w:rPr>
                <w:rFonts w:ascii="Calibri" w:hAnsi="Calibri"/>
                <w:sz w:val="20"/>
                <w:szCs w:val="20"/>
                <w:lang w:eastAsia="zh-CN"/>
              </w:rPr>
              <w:t xml:space="preserve">oľnohospodárstva </w:t>
            </w:r>
            <w:r>
              <w:rPr>
                <w:rFonts w:ascii="Calibri" w:hAnsi="Calibri"/>
                <w:sz w:val="20"/>
                <w:szCs w:val="20"/>
                <w:lang w:eastAsia="zh-CN"/>
              </w:rPr>
              <w:br/>
            </w:r>
            <w:r w:rsidRPr="004A7D83">
              <w:rPr>
                <w:rFonts w:ascii="Calibri" w:hAnsi="Calibri"/>
                <w:sz w:val="20"/>
                <w:szCs w:val="20"/>
                <w:lang w:eastAsia="zh-CN"/>
              </w:rPr>
              <w:t>v menej priaznivých oblastiach</w:t>
            </w:r>
            <w:r>
              <w:rPr>
                <w:rFonts w:ascii="Calibri" w:hAnsi="Calibri"/>
                <w:sz w:val="20"/>
                <w:szCs w:val="20"/>
                <w:lang w:eastAsia="zh-CN"/>
              </w:rPr>
              <w:t xml:space="preserve">         </w:t>
            </w:r>
            <w:r w:rsidRPr="004A7D83">
              <w:rPr>
                <w:rFonts w:ascii="Calibri" w:hAnsi="Calibri"/>
                <w:sz w:val="20"/>
                <w:szCs w:val="20"/>
                <w:lang w:eastAsia="zh-CN"/>
              </w:rPr>
              <w:t xml:space="preserve"> a efektívne využívanie pôdneho fondu</w:t>
            </w:r>
            <w:r w:rsidRPr="004A7D83">
              <w:rPr>
                <w:rFonts w:ascii="Calibri" w:hAnsi="Calibri"/>
                <w:sz w:val="20"/>
                <w:szCs w:val="20"/>
                <w:lang w:eastAsia="zh-CN"/>
              </w:rPr>
              <w:lastRenderedPageBreak/>
              <w:t xml:space="preserve"> SR</w:t>
            </w:r>
          </w:p>
          <w:p w:rsidR="009E238E" w:rsidRPr="004A7D83" w:rsidRDefault="009E238E" w:rsidP="009E238E">
            <w:pPr>
              <w:spacing w:after="120"/>
              <w:ind w:left="720"/>
              <w:contextualSpacing/>
              <w:jc w:val="left"/>
              <w:rPr>
                <w:rFonts w:ascii="Calibri" w:hAnsi="Calibri"/>
              </w:rPr>
            </w:pPr>
            <w:r w:rsidRPr="004A7D83">
              <w:rPr>
                <w:rFonts w:ascii="Calibri" w:hAnsi="Calibri"/>
                <w:sz w:val="20"/>
                <w:szCs w:val="20"/>
              </w:rPr>
              <w:t> </w:t>
            </w:r>
          </w:p>
        </w:tc>
        <w:tc>
          <w:tcPr>
            <w:tcW w:w="1090" w:type="dxa"/>
            <w:tcBorders>
              <w:top w:val="nil"/>
              <w:left w:val="nil"/>
              <w:bottom w:val="single" w:sz="8" w:space="0" w:color="000000"/>
              <w:right w:val="single" w:sz="8" w:space="0" w:color="000000"/>
            </w:tcBorders>
            <w:tcMar>
              <w:top w:w="0" w:type="dxa"/>
              <w:left w:w="108" w:type="dxa"/>
              <w:bottom w:w="0" w:type="dxa"/>
              <w:right w:w="108" w:type="dxa"/>
            </w:tcMar>
            <w:hideMark/>
          </w:tcPr>
          <w:p w:rsidR="009E238E" w:rsidRDefault="009E238E" w:rsidP="009E238E">
            <w:pPr>
              <w:jc w:val="center"/>
              <w:rPr>
                <w:rFonts w:ascii="Calibri" w:hAnsi="Calibri"/>
                <w:sz w:val="20"/>
                <w:szCs w:val="20"/>
                <w:lang w:eastAsia="zh-CN"/>
              </w:rPr>
            </w:pPr>
            <w:r w:rsidRPr="004A7D83">
              <w:rPr>
                <w:rFonts w:ascii="Calibri" w:hAnsi="Calibri"/>
                <w:sz w:val="20"/>
                <w:szCs w:val="20"/>
                <w:lang w:eastAsia="zh-CN"/>
              </w:rPr>
              <w:t>4A, 4B, 4C,2A, 2B</w:t>
            </w:r>
          </w:p>
          <w:p w:rsidR="009E238E" w:rsidRPr="000D2606" w:rsidRDefault="009E238E" w:rsidP="009E238E">
            <w:pPr>
              <w:jc w:val="center"/>
              <w:rPr>
                <w:rFonts w:ascii="Calibri" w:hAnsi="Calibri"/>
                <w:sz w:val="20"/>
              </w:rPr>
            </w:pPr>
            <w:r w:rsidRPr="000D2606">
              <w:rPr>
                <w:rFonts w:ascii="Calibri" w:hAnsi="Calibri"/>
                <w:sz w:val="20"/>
              </w:rPr>
              <w:t>ŽP, zmena klímy</w:t>
            </w:r>
          </w:p>
          <w:p w:rsidR="009E238E" w:rsidRPr="004A7D83" w:rsidRDefault="009E238E" w:rsidP="009E238E">
            <w:pPr>
              <w:spacing w:after="120"/>
              <w:ind w:left="720"/>
              <w:contextualSpacing/>
              <w:jc w:val="center"/>
              <w:rPr>
                <w:rFonts w:ascii="Calibri" w:hAnsi="Calibri"/>
              </w:rPr>
            </w:pPr>
            <w:r w:rsidRPr="004A7D83">
              <w:rPr>
                <w:rFonts w:ascii="Calibri" w:hAnsi="Calibri"/>
                <w:sz w:val="20"/>
                <w:szCs w:val="20"/>
              </w:rPr>
              <w:t> </w:t>
            </w:r>
          </w:p>
        </w:tc>
        <w:tc>
          <w:tcPr>
            <w:tcW w:w="10425" w:type="dxa"/>
            <w:tcBorders>
              <w:top w:val="nil"/>
              <w:left w:val="nil"/>
              <w:bottom w:val="single" w:sz="8" w:space="0" w:color="000000"/>
              <w:right w:val="single" w:sz="8" w:space="0" w:color="000000"/>
            </w:tcBorders>
            <w:tcMar>
              <w:top w:w="0" w:type="dxa"/>
              <w:left w:w="108" w:type="dxa"/>
              <w:bottom w:w="0" w:type="dxa"/>
              <w:right w:w="108" w:type="dxa"/>
            </w:tcMar>
            <w:hideMark/>
          </w:tcPr>
          <w:p w:rsidR="009E238E" w:rsidRPr="004A7D83" w:rsidRDefault="009E238E" w:rsidP="009E238E">
            <w:pPr>
              <w:rPr>
                <w:rFonts w:ascii="Calibri" w:hAnsi="Calibri"/>
              </w:rPr>
            </w:pPr>
            <w:r w:rsidRPr="004A7D83">
              <w:rPr>
                <w:rFonts w:ascii="Calibri" w:hAnsi="Calibri"/>
                <w:sz w:val="20"/>
                <w:szCs w:val="20"/>
              </w:rPr>
              <w:t>Na zachovani</w:t>
            </w:r>
            <w:r>
              <w:rPr>
                <w:rFonts w:ascii="Calibri" w:hAnsi="Calibri"/>
                <w:sz w:val="20"/>
                <w:szCs w:val="20"/>
              </w:rPr>
              <w:t>e</w:t>
            </w:r>
            <w:r w:rsidRPr="004A7D83">
              <w:rPr>
                <w:rFonts w:ascii="Calibri" w:hAnsi="Calibri"/>
                <w:sz w:val="20"/>
                <w:szCs w:val="20"/>
              </w:rPr>
              <w:t xml:space="preserve"> poľnohospodárstva </w:t>
            </w:r>
            <w:r>
              <w:rPr>
                <w:rFonts w:ascii="Calibri" w:hAnsi="Calibri"/>
                <w:sz w:val="20"/>
                <w:szCs w:val="20"/>
              </w:rPr>
              <w:t xml:space="preserve">v LFA </w:t>
            </w:r>
            <w:r w:rsidRPr="004A7D83">
              <w:rPr>
                <w:rFonts w:ascii="Calibri" w:hAnsi="Calibri"/>
                <w:sz w:val="20"/>
                <w:szCs w:val="20"/>
              </w:rPr>
              <w:t xml:space="preserve"> SR dlhodobo vo veľkom rozsahu (cca 1,8 mil. ha) uplatňuje kompenzačné platby LFA. Podľa analýz VÚEPP tieto platby pomerne účinne kompenzujú z</w:t>
            </w:r>
            <w:r>
              <w:rPr>
                <w:rFonts w:ascii="Calibri" w:hAnsi="Calibri"/>
                <w:sz w:val="20"/>
                <w:szCs w:val="20"/>
              </w:rPr>
              <w:t>výšené</w:t>
            </w:r>
            <w:r w:rsidRPr="004A7D83">
              <w:rPr>
                <w:rFonts w:ascii="Calibri" w:hAnsi="Calibri"/>
                <w:sz w:val="20"/>
                <w:szCs w:val="20"/>
              </w:rPr>
              <w:t>  náklady  a umožňujú pokračovanie poľnohospodárs</w:t>
            </w:r>
            <w:r>
              <w:rPr>
                <w:rFonts w:ascii="Calibri" w:hAnsi="Calibri"/>
                <w:sz w:val="20"/>
                <w:szCs w:val="20"/>
              </w:rPr>
              <w:t>tva</w:t>
            </w:r>
            <w:r w:rsidRPr="004A7D83">
              <w:rPr>
                <w:rFonts w:ascii="Calibri" w:hAnsi="Calibri"/>
                <w:sz w:val="20"/>
                <w:szCs w:val="20"/>
              </w:rPr>
              <w:t>, čím  zabraňuj</w:t>
            </w:r>
            <w:r>
              <w:rPr>
                <w:rFonts w:ascii="Calibri" w:hAnsi="Calibri"/>
                <w:sz w:val="20"/>
                <w:szCs w:val="20"/>
              </w:rPr>
              <w:t>ú</w:t>
            </w:r>
            <w:r w:rsidRPr="004A7D83">
              <w:rPr>
                <w:rFonts w:ascii="Calibri" w:hAnsi="Calibri"/>
                <w:sz w:val="20"/>
                <w:szCs w:val="20"/>
              </w:rPr>
              <w:t xml:space="preserve"> opúšťaniu pôdy, marginalizácii a pustnutiu krajiny.</w:t>
            </w:r>
          </w:p>
          <w:p w:rsidR="009E238E" w:rsidRPr="004A7D83" w:rsidRDefault="009E238E" w:rsidP="009E238E">
            <w:pPr>
              <w:rPr>
                <w:rFonts w:ascii="Calibri" w:hAnsi="Calibri"/>
              </w:rPr>
            </w:pPr>
            <w:r>
              <w:rPr>
                <w:rFonts w:ascii="Calibri" w:hAnsi="Calibri"/>
                <w:sz w:val="20"/>
                <w:szCs w:val="20"/>
              </w:rPr>
              <w:t>H</w:t>
            </w:r>
            <w:r w:rsidRPr="004A7D83">
              <w:rPr>
                <w:rFonts w:ascii="Calibri" w:hAnsi="Calibri"/>
                <w:sz w:val="20"/>
                <w:szCs w:val="20"/>
              </w:rPr>
              <w:t xml:space="preserve">ospodárenie v LFA </w:t>
            </w:r>
            <w:r>
              <w:rPr>
                <w:rFonts w:ascii="Calibri" w:hAnsi="Calibri"/>
                <w:sz w:val="20"/>
                <w:szCs w:val="20"/>
              </w:rPr>
              <w:t xml:space="preserve">je </w:t>
            </w:r>
            <w:r w:rsidRPr="004A7D83">
              <w:rPr>
                <w:rFonts w:ascii="Calibri" w:hAnsi="Calibri"/>
                <w:sz w:val="20"/>
                <w:szCs w:val="20"/>
              </w:rPr>
              <w:t xml:space="preserve">na hranici ekonomickej efektívnosti. Zatiaľ čo v horských oblastiach je problematické ju dosiahnuť, ostatné typy LFA sa držia tesne nad hranicou efektívnosti. Podpora </w:t>
            </w:r>
            <w:r>
              <w:rPr>
                <w:rFonts w:ascii="Calibri" w:hAnsi="Calibri"/>
                <w:sz w:val="20"/>
                <w:szCs w:val="20"/>
              </w:rPr>
              <w:t xml:space="preserve">LFA </w:t>
            </w:r>
            <w:r w:rsidRPr="004A7D83">
              <w:rPr>
                <w:rFonts w:ascii="Calibri" w:hAnsi="Calibri"/>
                <w:sz w:val="20"/>
                <w:szCs w:val="20"/>
              </w:rPr>
              <w:t xml:space="preserve"> sa podieľa na bežných dotáciách 30%-tami v horských</w:t>
            </w:r>
            <w:r w:rsidRPr="004A7D83">
              <w:rPr>
                <w:rFonts w:ascii="Calibri" w:hAnsi="Calibri"/>
                <w:sz w:val="20"/>
                <w:szCs w:val="20"/>
              </w:rPr>
              <w:lastRenderedPageBreak/>
              <w:t xml:space="preserve"> oblastiach, 22%-tami v ostatných znevýhodnených oblastiach a 16%-tami v oblastiach so špecifickými nevýhodami. </w:t>
            </w:r>
          </w:p>
          <w:p w:rsidR="009E238E" w:rsidRPr="004A7D83" w:rsidRDefault="009E238E" w:rsidP="009E238E">
            <w:pPr>
              <w:rPr>
                <w:rFonts w:ascii="Calibri" w:hAnsi="Calibri"/>
              </w:rPr>
            </w:pPr>
            <w:r w:rsidRPr="004A7D83">
              <w:rPr>
                <w:rFonts w:ascii="Calibri" w:hAnsi="Calibri"/>
                <w:sz w:val="20"/>
                <w:szCs w:val="20"/>
              </w:rPr>
              <w:t xml:space="preserve">Pri porovnaní r. 2007 a 2011 na vývoj efektívnosti hospodárenia v LFA vplýval negatívne vyšší rast nákladov ako výnosov. Rentabilita nákladov je v </w:t>
            </w:r>
            <w:r>
              <w:rPr>
                <w:rFonts w:ascii="Calibri" w:hAnsi="Calibri"/>
                <w:sz w:val="20"/>
                <w:szCs w:val="20"/>
              </w:rPr>
              <w:t>LFA</w:t>
            </w:r>
            <w:r w:rsidRPr="004A7D83">
              <w:rPr>
                <w:rFonts w:ascii="Calibri" w:hAnsi="Calibri"/>
                <w:sz w:val="20"/>
                <w:szCs w:val="20"/>
              </w:rPr>
              <w:t xml:space="preserve"> takmer </w:t>
            </w:r>
            <w:r>
              <w:rPr>
                <w:rFonts w:ascii="Calibri" w:hAnsi="Calibri"/>
                <w:sz w:val="20"/>
                <w:szCs w:val="20"/>
              </w:rPr>
              <w:t xml:space="preserve">o </w:t>
            </w:r>
            <w:r w:rsidRPr="004A7D83">
              <w:rPr>
                <w:rFonts w:ascii="Calibri" w:hAnsi="Calibri"/>
                <w:sz w:val="20"/>
                <w:szCs w:val="20"/>
              </w:rPr>
              <w:t xml:space="preserve">polovicu nižšia ako v produkčných oblastiach. Pomalší rast tržieb ako nákladov v </w:t>
            </w:r>
            <w:r>
              <w:rPr>
                <w:rFonts w:ascii="Calibri" w:hAnsi="Calibri"/>
                <w:sz w:val="20"/>
                <w:szCs w:val="20"/>
              </w:rPr>
              <w:t>LFA</w:t>
            </w:r>
            <w:r w:rsidRPr="004A7D83">
              <w:rPr>
                <w:rFonts w:ascii="Calibri" w:hAnsi="Calibri"/>
                <w:sz w:val="20"/>
                <w:szCs w:val="20"/>
              </w:rPr>
              <w:t xml:space="preserve"> sa prejavil aj vo zvyšovaní potreby nákladov na 1 EUR tržieb. Na druhej strane vývoj tržieb bol priaznivý v produkčných oblastiach, čo sa pozitívne prejavilo v zníženej potrebe nákladov na získanie vyššieho objemu tržieb.</w:t>
            </w:r>
            <w:r>
              <w:rPr>
                <w:rFonts w:ascii="Calibri" w:hAnsi="Calibri"/>
                <w:sz w:val="20"/>
                <w:szCs w:val="20"/>
              </w:rPr>
              <w:t xml:space="preserve"> </w:t>
            </w:r>
            <w:r w:rsidRPr="004A7D83">
              <w:rPr>
                <w:rFonts w:ascii="Calibri" w:hAnsi="Calibri"/>
                <w:sz w:val="20"/>
                <w:szCs w:val="20"/>
              </w:rPr>
              <w:t>Úroveň miezd v r. 2012 dosahovala v LFA 86% produkčných oblastí.</w:t>
            </w:r>
          </w:p>
          <w:p w:rsidR="009E238E" w:rsidRPr="004A7D83" w:rsidRDefault="009E238E" w:rsidP="009E238E">
            <w:pPr>
              <w:rPr>
                <w:rFonts w:ascii="Calibri" w:hAnsi="Calibri"/>
              </w:rPr>
            </w:pPr>
            <w:r>
              <w:rPr>
                <w:rFonts w:ascii="Calibri" w:hAnsi="Calibri"/>
                <w:sz w:val="20"/>
                <w:szCs w:val="20"/>
              </w:rPr>
              <w:t xml:space="preserve">Značná </w:t>
            </w:r>
            <w:r w:rsidRPr="004A7D83">
              <w:rPr>
                <w:rFonts w:ascii="Calibri" w:hAnsi="Calibri"/>
                <w:sz w:val="20"/>
                <w:szCs w:val="20"/>
              </w:rPr>
              <w:t xml:space="preserve">výmera pôvodných TTP, osobitne v horských oblastiach, je z dôvodu dlhodobej nedostatočnej starostlivosti </w:t>
            </w:r>
            <w:r w:rsidRPr="004A7D83">
              <w:rPr>
                <w:rFonts w:ascii="Calibri" w:hAnsi="Calibri"/>
                <w:b/>
                <w:bCs/>
                <w:sz w:val="20"/>
                <w:szCs w:val="20"/>
              </w:rPr>
              <w:t>zarastená náletom drevín a burín</w:t>
            </w:r>
            <w:r w:rsidRPr="004A7D83">
              <w:rPr>
                <w:rFonts w:ascii="Calibri" w:hAnsi="Calibri"/>
                <w:sz w:val="20"/>
                <w:szCs w:val="20"/>
              </w:rPr>
              <w:t xml:space="preserve">, čím tieto plochy postupne prestali byť obhospodarované a dochádza na nich k rozvratu pôvodných prírodných trávnych ekosystémov (biele miesta mimo LPIS, </w:t>
            </w:r>
            <w:r>
              <w:rPr>
                <w:rFonts w:ascii="Calibri" w:hAnsi="Calibri"/>
                <w:sz w:val="20"/>
                <w:szCs w:val="20"/>
              </w:rPr>
              <w:t> </w:t>
            </w:r>
            <w:r w:rsidRPr="004A7D83">
              <w:rPr>
                <w:rFonts w:ascii="Calibri" w:hAnsi="Calibri"/>
                <w:sz w:val="20"/>
                <w:szCs w:val="20"/>
              </w:rPr>
              <w:t>250.000-350.000 ha).</w:t>
            </w:r>
            <w:r>
              <w:rPr>
                <w:rFonts w:ascii="Calibri" w:hAnsi="Calibri"/>
                <w:sz w:val="20"/>
                <w:szCs w:val="20"/>
              </w:rPr>
              <w:t xml:space="preserve"> </w:t>
            </w:r>
            <w:r w:rsidRPr="004A7D83">
              <w:rPr>
                <w:rFonts w:ascii="Calibri" w:hAnsi="Calibri"/>
                <w:sz w:val="20"/>
                <w:szCs w:val="20"/>
              </w:rPr>
              <w:t xml:space="preserve">V snahe o zvýšenie zamestnanosti a podpory podnikania na vidieku je žiaduce túto ľadom ležiacu pôdu zaradiť </w:t>
            </w:r>
            <w:r>
              <w:rPr>
                <w:rFonts w:ascii="Calibri" w:hAnsi="Calibri"/>
                <w:sz w:val="20"/>
                <w:szCs w:val="20"/>
              </w:rPr>
              <w:t xml:space="preserve">postupne </w:t>
            </w:r>
            <w:r w:rsidRPr="004A7D83">
              <w:rPr>
                <w:rFonts w:ascii="Calibri" w:hAnsi="Calibri"/>
                <w:sz w:val="20"/>
                <w:szCs w:val="20"/>
              </w:rPr>
              <w:t>späť do užívania ako poľnohospodársku, resp. lesnú pôdu</w:t>
            </w:r>
            <w:r>
              <w:rPr>
                <w:rFonts w:ascii="Calibri" w:hAnsi="Calibri"/>
                <w:sz w:val="20"/>
                <w:szCs w:val="20"/>
              </w:rPr>
              <w:t>, ktorej obhospodarovanie začne generovať dodatočný príjem</w:t>
            </w:r>
          </w:p>
        </w:tc>
      </w:tr>
      <w:tr w:rsidR="009E238E" w:rsidRPr="004A7D83" w:rsidTr="009E238E">
        <w:trPr>
          <w:trHeight w:val="172"/>
        </w:trPr>
        <w:tc>
          <w:tcPr>
            <w:tcW w:w="269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9E238E" w:rsidRPr="004A7D83" w:rsidRDefault="009E238E" w:rsidP="00CE203B">
            <w:pPr>
              <w:numPr>
                <w:ilvl w:val="0"/>
                <w:numId w:val="343"/>
              </w:numPr>
              <w:spacing w:after="120"/>
              <w:ind w:left="284" w:hanging="284"/>
              <w:jc w:val="left"/>
              <w:textAlignment w:val="baseline"/>
              <w:rPr>
                <w:rFonts w:ascii="Calibri" w:hAnsi="Calibri"/>
              </w:rPr>
            </w:pPr>
            <w:r w:rsidRPr="004A7D83">
              <w:rPr>
                <w:rFonts w:ascii="Calibri" w:hAnsi="Calibri"/>
                <w:sz w:val="20"/>
                <w:szCs w:val="20"/>
                <w:lang w:eastAsia="zh-CN"/>
              </w:rPr>
              <w:t xml:space="preserve">Zvýšiť energetickú efektívnosť </w:t>
            </w:r>
            <w:r>
              <w:rPr>
                <w:rFonts w:ascii="Calibri" w:hAnsi="Calibri"/>
                <w:sz w:val="20"/>
                <w:szCs w:val="20"/>
                <w:lang w:eastAsia="zh-CN"/>
              </w:rPr>
              <w:t>a z</w:t>
            </w:r>
            <w:r w:rsidRPr="00650B2B">
              <w:rPr>
                <w:rFonts w:ascii="Calibri" w:hAnsi="Calibri"/>
                <w:sz w:val="20"/>
                <w:szCs w:val="20"/>
                <w:lang w:eastAsia="zh-CN"/>
              </w:rPr>
              <w:t xml:space="preserve">výšenie podielu využívania </w:t>
            </w:r>
            <w:r>
              <w:rPr>
                <w:rFonts w:ascii="Calibri" w:hAnsi="Calibri"/>
                <w:sz w:val="20"/>
                <w:szCs w:val="20"/>
                <w:lang w:eastAsia="zh-CN"/>
              </w:rPr>
              <w:t>OZE</w:t>
            </w:r>
          </w:p>
        </w:tc>
        <w:tc>
          <w:tcPr>
            <w:tcW w:w="1090" w:type="dxa"/>
            <w:tcBorders>
              <w:top w:val="nil"/>
              <w:left w:val="nil"/>
              <w:bottom w:val="single" w:sz="8" w:space="0" w:color="000000"/>
              <w:right w:val="single" w:sz="8" w:space="0" w:color="000000"/>
            </w:tcBorders>
            <w:tcMar>
              <w:top w:w="0" w:type="dxa"/>
              <w:left w:w="108" w:type="dxa"/>
              <w:bottom w:w="0" w:type="dxa"/>
              <w:right w:w="108" w:type="dxa"/>
            </w:tcMar>
            <w:hideMark/>
          </w:tcPr>
          <w:p w:rsidR="009E238E" w:rsidRDefault="009E238E" w:rsidP="009E238E">
            <w:pPr>
              <w:jc w:val="center"/>
              <w:rPr>
                <w:rFonts w:ascii="Calibri" w:hAnsi="Calibri"/>
                <w:sz w:val="20"/>
                <w:szCs w:val="20"/>
                <w:lang w:eastAsia="zh-CN"/>
              </w:rPr>
            </w:pPr>
            <w:r w:rsidRPr="004A7D83">
              <w:rPr>
                <w:rFonts w:ascii="Calibri" w:hAnsi="Calibri"/>
                <w:sz w:val="20"/>
                <w:szCs w:val="20"/>
                <w:lang w:eastAsia="zh-CN"/>
              </w:rPr>
              <w:t>5B,</w:t>
            </w:r>
            <w:r>
              <w:rPr>
                <w:rFonts w:ascii="Calibri" w:hAnsi="Calibri"/>
                <w:sz w:val="20"/>
                <w:szCs w:val="20"/>
                <w:lang w:eastAsia="zh-CN"/>
              </w:rPr>
              <w:t xml:space="preserve"> 5C,</w:t>
            </w:r>
            <w:r w:rsidRPr="004A7D83">
              <w:rPr>
                <w:rFonts w:ascii="Calibri" w:hAnsi="Calibri"/>
                <w:sz w:val="20"/>
                <w:szCs w:val="20"/>
                <w:lang w:eastAsia="zh-CN"/>
              </w:rPr>
              <w:t xml:space="preserve"> 5D, 2A</w:t>
            </w:r>
            <w:r>
              <w:rPr>
                <w:rFonts w:ascii="Calibri" w:hAnsi="Calibri"/>
                <w:sz w:val="20"/>
                <w:szCs w:val="20"/>
                <w:lang w:eastAsia="zh-CN"/>
              </w:rPr>
              <w:t>, 6A</w:t>
            </w:r>
          </w:p>
          <w:p w:rsidR="009E238E" w:rsidRPr="004A7D83" w:rsidRDefault="009E238E" w:rsidP="009E238E">
            <w:pPr>
              <w:jc w:val="center"/>
              <w:rPr>
                <w:rFonts w:ascii="Calibri" w:hAnsi="Calibri"/>
              </w:rPr>
            </w:pPr>
            <w:r>
              <w:rPr>
                <w:rFonts w:ascii="Calibri" w:hAnsi="Calibri"/>
                <w:sz w:val="20"/>
                <w:szCs w:val="20"/>
                <w:lang w:eastAsia="zh-CN"/>
              </w:rPr>
              <w:t xml:space="preserve">Inovácie, </w:t>
            </w:r>
            <w:r w:rsidRPr="000D2606">
              <w:rPr>
                <w:rFonts w:ascii="Calibri" w:hAnsi="Calibri"/>
                <w:sz w:val="20"/>
              </w:rPr>
              <w:t>ŽP, zmena klímy</w:t>
            </w:r>
          </w:p>
        </w:tc>
        <w:tc>
          <w:tcPr>
            <w:tcW w:w="10425" w:type="dxa"/>
            <w:tcBorders>
              <w:top w:val="nil"/>
              <w:left w:val="nil"/>
              <w:bottom w:val="single" w:sz="8" w:space="0" w:color="000000"/>
              <w:right w:val="single" w:sz="8" w:space="0" w:color="000000"/>
            </w:tcBorders>
            <w:tcMar>
              <w:top w:w="0" w:type="dxa"/>
              <w:left w:w="108" w:type="dxa"/>
              <w:bottom w:w="0" w:type="dxa"/>
              <w:right w:w="108" w:type="dxa"/>
            </w:tcMar>
            <w:hideMark/>
          </w:tcPr>
          <w:p w:rsidR="009E238E" w:rsidRDefault="009E238E" w:rsidP="009E238E">
            <w:pPr>
              <w:rPr>
                <w:rFonts w:ascii="Calibri" w:hAnsi="Calibri"/>
                <w:sz w:val="20"/>
                <w:szCs w:val="20"/>
              </w:rPr>
            </w:pPr>
            <w:r w:rsidRPr="004A7D83">
              <w:rPr>
                <w:rFonts w:ascii="Calibri" w:hAnsi="Calibri"/>
                <w:sz w:val="20"/>
                <w:szCs w:val="20"/>
              </w:rPr>
              <w:t xml:space="preserve">Podľa </w:t>
            </w:r>
            <w:r>
              <w:rPr>
                <w:rFonts w:ascii="Calibri" w:hAnsi="Calibri"/>
                <w:sz w:val="20"/>
                <w:szCs w:val="20"/>
              </w:rPr>
              <w:t>PD</w:t>
            </w:r>
            <w:r w:rsidRPr="004A7D83">
              <w:rPr>
                <w:rFonts w:ascii="Calibri" w:hAnsi="Calibri"/>
                <w:sz w:val="20"/>
                <w:szCs w:val="20"/>
              </w:rPr>
              <w:t xml:space="preserve"> EK je S</w:t>
            </w:r>
            <w:r>
              <w:rPr>
                <w:rFonts w:ascii="Calibri" w:hAnsi="Calibri"/>
                <w:sz w:val="20"/>
                <w:szCs w:val="20"/>
              </w:rPr>
              <w:t>R</w:t>
            </w:r>
            <w:r w:rsidRPr="004A7D83">
              <w:rPr>
                <w:rFonts w:ascii="Calibri" w:hAnsi="Calibri"/>
                <w:sz w:val="20"/>
                <w:szCs w:val="20"/>
              </w:rPr>
              <w:t xml:space="preserve"> </w:t>
            </w:r>
            <w:r w:rsidRPr="004A7D83">
              <w:rPr>
                <w:rFonts w:ascii="Calibri" w:hAnsi="Calibri"/>
                <w:b/>
                <w:bCs/>
                <w:sz w:val="20"/>
                <w:szCs w:val="20"/>
              </w:rPr>
              <w:t xml:space="preserve">piatou energeticky najnáročnejšou krajinou EÚ. </w:t>
            </w:r>
            <w:r w:rsidRPr="004A7D83">
              <w:rPr>
                <w:rFonts w:ascii="Calibri" w:hAnsi="Calibri"/>
                <w:sz w:val="20"/>
                <w:szCs w:val="20"/>
              </w:rPr>
              <w:t>Môže za to predovšetkým</w:t>
            </w:r>
            <w:r w:rsidRPr="004A7D83">
              <w:rPr>
                <w:rFonts w:ascii="Calibri" w:hAnsi="Calibri"/>
                <w:b/>
                <w:bCs/>
                <w:sz w:val="20"/>
                <w:szCs w:val="20"/>
              </w:rPr>
              <w:t xml:space="preserve"> </w:t>
            </w:r>
            <w:r w:rsidRPr="004A7D83">
              <w:rPr>
                <w:rFonts w:ascii="Calibri" w:hAnsi="Calibri"/>
                <w:sz w:val="20"/>
                <w:szCs w:val="20"/>
              </w:rPr>
              <w:t>vysoká konečná spotreba energie v priemys</w:t>
            </w:r>
            <w:r>
              <w:rPr>
                <w:rFonts w:ascii="Calibri" w:hAnsi="Calibri"/>
                <w:sz w:val="20"/>
                <w:szCs w:val="20"/>
              </w:rPr>
              <w:t>le</w:t>
            </w:r>
            <w:r w:rsidRPr="004A7D83">
              <w:rPr>
                <w:rFonts w:ascii="Calibri" w:hAnsi="Calibri"/>
                <w:sz w:val="20"/>
                <w:szCs w:val="20"/>
              </w:rPr>
              <w:t xml:space="preserve"> (37,5% oproti priemeru EÚ 25,3%)</w:t>
            </w:r>
            <w:r>
              <w:rPr>
                <w:rFonts w:ascii="Calibri" w:hAnsi="Calibri"/>
                <w:sz w:val="20"/>
                <w:szCs w:val="20"/>
              </w:rPr>
              <w:t>.</w:t>
            </w:r>
          </w:p>
          <w:p w:rsidR="009E238E" w:rsidRPr="004A7D83" w:rsidRDefault="009E238E" w:rsidP="009E238E">
            <w:pPr>
              <w:rPr>
                <w:rFonts w:ascii="Calibri" w:hAnsi="Calibri"/>
              </w:rPr>
            </w:pPr>
            <w:r>
              <w:rPr>
                <w:rFonts w:ascii="Calibri" w:hAnsi="Calibri"/>
                <w:sz w:val="20"/>
                <w:szCs w:val="20"/>
              </w:rPr>
              <w:t>R</w:t>
            </w:r>
            <w:r w:rsidRPr="004A7D83">
              <w:rPr>
                <w:rFonts w:ascii="Calibri" w:hAnsi="Calibri"/>
                <w:sz w:val="20"/>
                <w:szCs w:val="20"/>
              </w:rPr>
              <w:t xml:space="preserve">ezervy v energetickej efektívnosti </w:t>
            </w:r>
            <w:r>
              <w:rPr>
                <w:rFonts w:ascii="Calibri" w:hAnsi="Calibri"/>
                <w:sz w:val="20"/>
                <w:szCs w:val="20"/>
              </w:rPr>
              <w:t xml:space="preserve">sú aj </w:t>
            </w:r>
            <w:r w:rsidRPr="004A7D83">
              <w:rPr>
                <w:rFonts w:ascii="Calibri" w:hAnsi="Calibri"/>
                <w:sz w:val="20"/>
                <w:szCs w:val="20"/>
              </w:rPr>
              <w:t>v pôdohospodárstve (tepelné</w:t>
            </w:r>
            <w:r>
              <w:rPr>
                <w:rFonts w:ascii="Calibri" w:hAnsi="Calibri"/>
                <w:sz w:val="20"/>
                <w:szCs w:val="20"/>
              </w:rPr>
              <w:t xml:space="preserve"> </w:t>
            </w:r>
            <w:r w:rsidRPr="004A7D83">
              <w:rPr>
                <w:rFonts w:ascii="Calibri" w:hAnsi="Calibri"/>
                <w:sz w:val="20"/>
                <w:szCs w:val="20"/>
              </w:rPr>
              <w:t>hospodárstvo, minimalizácia prejazdov, lepšie využívanie technologických a skladových kapacít, chýba systém energetického poradenstva pre poľnohospodárov zavedenie systému energetického auditu a i.).</w:t>
            </w:r>
          </w:p>
          <w:p w:rsidR="009E238E" w:rsidRDefault="009E238E" w:rsidP="009E238E">
            <w:pPr>
              <w:rPr>
                <w:rFonts w:ascii="Calibri" w:hAnsi="Calibri"/>
                <w:sz w:val="20"/>
                <w:szCs w:val="20"/>
              </w:rPr>
            </w:pPr>
            <w:r w:rsidRPr="004A7D83">
              <w:rPr>
                <w:rFonts w:ascii="Calibri" w:hAnsi="Calibri"/>
                <w:sz w:val="20"/>
                <w:szCs w:val="20"/>
              </w:rPr>
              <w:t xml:space="preserve">PRV </w:t>
            </w:r>
            <w:r>
              <w:rPr>
                <w:rFonts w:ascii="Calibri" w:hAnsi="Calibri"/>
                <w:sz w:val="20"/>
                <w:szCs w:val="20"/>
              </w:rPr>
              <w:t>má potenciál zvý</w:t>
            </w:r>
            <w:r w:rsidRPr="004A7D83">
              <w:rPr>
                <w:rFonts w:ascii="Calibri" w:hAnsi="Calibri"/>
                <w:sz w:val="20"/>
                <w:szCs w:val="20"/>
              </w:rPr>
              <w:t>š</w:t>
            </w:r>
            <w:r>
              <w:rPr>
                <w:rFonts w:ascii="Calibri" w:hAnsi="Calibri"/>
                <w:sz w:val="20"/>
                <w:szCs w:val="20"/>
              </w:rPr>
              <w:t>iť</w:t>
            </w:r>
            <w:r w:rsidRPr="004A7D83">
              <w:rPr>
                <w:rFonts w:ascii="Calibri" w:hAnsi="Calibri"/>
                <w:sz w:val="20"/>
                <w:szCs w:val="20"/>
              </w:rPr>
              <w:t xml:space="preserve"> energetick</w:t>
            </w:r>
            <w:r>
              <w:rPr>
                <w:rFonts w:ascii="Calibri" w:hAnsi="Calibri"/>
                <w:sz w:val="20"/>
                <w:szCs w:val="20"/>
              </w:rPr>
              <w:t>ú</w:t>
            </w:r>
            <w:r w:rsidRPr="004A7D83">
              <w:rPr>
                <w:rFonts w:ascii="Calibri" w:hAnsi="Calibri"/>
                <w:sz w:val="20"/>
                <w:szCs w:val="20"/>
              </w:rPr>
              <w:t xml:space="preserve"> účinnosť najmä modernizáciou zastaraných  strojov</w:t>
            </w:r>
            <w:r>
              <w:rPr>
                <w:rFonts w:ascii="Calibri" w:hAnsi="Calibri"/>
                <w:sz w:val="20"/>
                <w:szCs w:val="20"/>
              </w:rPr>
              <w:t>/</w:t>
            </w:r>
            <w:r w:rsidRPr="004A7D83">
              <w:rPr>
                <w:rFonts w:ascii="Calibri" w:hAnsi="Calibri"/>
                <w:sz w:val="20"/>
                <w:szCs w:val="20"/>
              </w:rPr>
              <w:t xml:space="preserve">technológií a obnovou budov. Tento proces je </w:t>
            </w:r>
            <w:r>
              <w:rPr>
                <w:rFonts w:ascii="Calibri" w:hAnsi="Calibri"/>
                <w:sz w:val="20"/>
                <w:szCs w:val="20"/>
              </w:rPr>
              <w:t>potrebné</w:t>
            </w:r>
            <w:r w:rsidRPr="004A7D83">
              <w:rPr>
                <w:rFonts w:ascii="Calibri" w:hAnsi="Calibri"/>
                <w:sz w:val="20"/>
                <w:szCs w:val="20"/>
              </w:rPr>
              <w:t xml:space="preserve"> posilniť uplatnením konceptu zeleného verejného obstarávania.</w:t>
            </w:r>
          </w:p>
          <w:p w:rsidR="009E238E" w:rsidRPr="00AA7C07" w:rsidRDefault="009E238E" w:rsidP="009E238E">
            <w:pPr>
              <w:rPr>
                <w:rFonts w:ascii="Calibri" w:hAnsi="Calibri"/>
                <w:sz w:val="20"/>
              </w:rPr>
            </w:pPr>
            <w:r w:rsidRPr="00AA7C07">
              <w:rPr>
                <w:rFonts w:ascii="Calibri" w:hAnsi="Calibri"/>
                <w:sz w:val="20"/>
              </w:rPr>
              <w:t>S</w:t>
            </w:r>
            <w:r>
              <w:rPr>
                <w:rFonts w:ascii="Calibri" w:hAnsi="Calibri"/>
                <w:sz w:val="20"/>
              </w:rPr>
              <w:t>R</w:t>
            </w:r>
            <w:r w:rsidRPr="00AA7C07">
              <w:rPr>
                <w:rFonts w:ascii="Calibri" w:hAnsi="Calibri"/>
                <w:sz w:val="20"/>
              </w:rPr>
              <w:t xml:space="preserve"> sa zaviazal</w:t>
            </w:r>
            <w:r>
              <w:rPr>
                <w:rFonts w:ascii="Calibri" w:hAnsi="Calibri"/>
                <w:sz w:val="20"/>
              </w:rPr>
              <w:t>a</w:t>
            </w:r>
            <w:r w:rsidRPr="00AA7C07">
              <w:rPr>
                <w:rFonts w:ascii="Calibri" w:hAnsi="Calibri"/>
                <w:sz w:val="20"/>
              </w:rPr>
              <w:t>, že do r</w:t>
            </w:r>
            <w:r>
              <w:rPr>
                <w:rFonts w:ascii="Calibri" w:hAnsi="Calibri"/>
                <w:sz w:val="20"/>
              </w:rPr>
              <w:t>.</w:t>
            </w:r>
            <w:r w:rsidRPr="00AA7C07">
              <w:rPr>
                <w:rFonts w:ascii="Calibri" w:hAnsi="Calibri"/>
                <w:sz w:val="20"/>
              </w:rPr>
              <w:t xml:space="preserve"> 2020 dosiahne </w:t>
            </w:r>
            <w:r w:rsidRPr="00AA7C07">
              <w:rPr>
                <w:rFonts w:ascii="Calibri" w:hAnsi="Calibri"/>
                <w:b/>
                <w:bCs/>
                <w:sz w:val="20"/>
              </w:rPr>
              <w:t>14 percentný podiel energie z</w:t>
            </w:r>
            <w:r>
              <w:rPr>
                <w:rFonts w:ascii="Calibri" w:hAnsi="Calibri"/>
                <w:b/>
                <w:bCs/>
                <w:sz w:val="20"/>
              </w:rPr>
              <w:t xml:space="preserve"> OZ </w:t>
            </w:r>
            <w:r w:rsidRPr="00AA7C07">
              <w:rPr>
                <w:rFonts w:ascii="Calibri" w:hAnsi="Calibri"/>
                <w:sz w:val="20"/>
              </w:rPr>
              <w:t>na hrubej konečnej spotrebe energie. V</w:t>
            </w:r>
            <w:r>
              <w:rPr>
                <w:rFonts w:ascii="Calibri" w:hAnsi="Calibri"/>
                <w:sz w:val="20"/>
              </w:rPr>
              <w:t> </w:t>
            </w:r>
            <w:r w:rsidRPr="00AA7C07">
              <w:rPr>
                <w:rFonts w:ascii="Calibri" w:hAnsi="Calibri"/>
                <w:sz w:val="20"/>
              </w:rPr>
              <w:t>r</w:t>
            </w:r>
            <w:r>
              <w:rPr>
                <w:rFonts w:ascii="Calibri" w:hAnsi="Calibri"/>
                <w:sz w:val="20"/>
              </w:rPr>
              <w:t>.</w:t>
            </w:r>
            <w:r w:rsidRPr="00AA7C07">
              <w:rPr>
                <w:rFonts w:ascii="Calibri" w:hAnsi="Calibri"/>
                <w:sz w:val="20"/>
              </w:rPr>
              <w:t xml:space="preserve">2010 podiel OZ, najmä vodnej energie a tuhej biomasy, dosiahol 9,8%, čo je pod priemerom EÚ (11,7%). </w:t>
            </w:r>
          </w:p>
          <w:p w:rsidR="009E238E" w:rsidRPr="00AA7C07" w:rsidRDefault="009E238E" w:rsidP="009E238E">
            <w:pPr>
              <w:rPr>
                <w:rFonts w:ascii="Calibri" w:hAnsi="Calibri"/>
                <w:sz w:val="20"/>
              </w:rPr>
            </w:pPr>
            <w:r w:rsidRPr="00AA7C07">
              <w:rPr>
                <w:rFonts w:ascii="Calibri" w:hAnsi="Calibri"/>
                <w:sz w:val="20"/>
              </w:rPr>
              <w:t xml:space="preserve">V súčasnosti iba 10,2 % z  produkcie OZE v SR pochádza z poľnohospodárstva (CCI 43). Na zlepšenie stavu je potrebné </w:t>
            </w:r>
            <w:r w:rsidRPr="00AA7C07">
              <w:rPr>
                <w:rFonts w:ascii="Calibri" w:hAnsi="Calibri"/>
                <w:b/>
                <w:bCs/>
                <w:sz w:val="20"/>
              </w:rPr>
              <w:t>mobilizovať súkromné invest</w:t>
            </w:r>
            <w:r>
              <w:rPr>
                <w:rFonts w:ascii="Calibri" w:hAnsi="Calibri"/>
                <w:b/>
                <w:bCs/>
                <w:sz w:val="20"/>
              </w:rPr>
              <w:t>ície</w:t>
            </w:r>
            <w:r w:rsidRPr="00AA7C07">
              <w:rPr>
                <w:rFonts w:ascii="Calibri" w:hAnsi="Calibri"/>
                <w:b/>
                <w:bCs/>
                <w:sz w:val="20"/>
              </w:rPr>
              <w:t xml:space="preserve"> do OZE</w:t>
            </w:r>
            <w:r w:rsidRPr="00AA7C07">
              <w:rPr>
                <w:rFonts w:ascii="Calibri" w:hAnsi="Calibri"/>
                <w:sz w:val="20"/>
              </w:rPr>
              <w:t>, predovšetkým vhodným nastavením podmienok podpôr.</w:t>
            </w:r>
          </w:p>
          <w:p w:rsidR="009E238E" w:rsidRPr="00AA7C07" w:rsidRDefault="009E238E" w:rsidP="009E238E">
            <w:pPr>
              <w:rPr>
                <w:rFonts w:ascii="Calibri" w:hAnsi="Calibri"/>
                <w:sz w:val="20"/>
              </w:rPr>
            </w:pPr>
            <w:r w:rsidRPr="00AA7C07">
              <w:rPr>
                <w:rFonts w:ascii="Calibri" w:hAnsi="Calibri"/>
                <w:sz w:val="20"/>
              </w:rPr>
              <w:t xml:space="preserve">Využívanie biomasy z pôdohospodárstva dosahuje iba </w:t>
            </w:r>
            <w:r w:rsidRPr="00AA7C07">
              <w:rPr>
                <w:rFonts w:ascii="Calibri" w:hAnsi="Calibri"/>
                <w:b/>
                <w:bCs/>
                <w:sz w:val="20"/>
              </w:rPr>
              <w:t>30 % z energetického potenciálu krajiny</w:t>
            </w:r>
            <w:r w:rsidRPr="00AA7C07">
              <w:rPr>
                <w:rFonts w:ascii="Calibri" w:hAnsi="Calibri"/>
                <w:sz w:val="20"/>
              </w:rPr>
              <w:t xml:space="preserve"> (Akčný plán využív</w:t>
            </w:r>
            <w:r>
              <w:rPr>
                <w:rFonts w:ascii="Calibri" w:hAnsi="Calibri"/>
                <w:sz w:val="20"/>
              </w:rPr>
              <w:t xml:space="preserve">ania biomasy na roky 2008-2013). </w:t>
            </w:r>
            <w:r w:rsidRPr="00AA7C07">
              <w:rPr>
                <w:rFonts w:ascii="Calibri" w:hAnsi="Calibri"/>
                <w:sz w:val="20"/>
              </w:rPr>
              <w:t xml:space="preserve">Nízka produkcia energie z obnoviteľných zdrojov v poľnohospodárstve (143,3 kToe, resp. 0,0756 kToe/1000ha p.p.) a v lesníctve (740 kToe, resp. 0,382 kToe /1000ha l. p.) r.2010, čo je výrazne pod priemerom EÚ-27 ( </w:t>
            </w:r>
            <w:r w:rsidRPr="00AA7C07">
              <w:rPr>
                <w:rFonts w:ascii="Calibri" w:hAnsi="Calibri"/>
                <w:b/>
                <w:bCs/>
                <w:sz w:val="20"/>
              </w:rPr>
              <w:t>0,102 kToe/1000ha p.p</w:t>
            </w:r>
            <w:r w:rsidRPr="00AA7C07">
              <w:rPr>
                <w:rFonts w:ascii="Calibri" w:hAnsi="Calibri"/>
                <w:sz w:val="20"/>
              </w:rPr>
              <w:t xml:space="preserve">., </w:t>
            </w:r>
            <w:r>
              <w:rPr>
                <w:rFonts w:ascii="Calibri" w:hAnsi="Calibri"/>
                <w:sz w:val="20"/>
              </w:rPr>
              <w:t>resp.</w:t>
            </w:r>
            <w:r w:rsidRPr="00AA7C07">
              <w:rPr>
                <w:rFonts w:ascii="Calibri" w:hAnsi="Calibri"/>
                <w:sz w:val="20"/>
              </w:rPr>
              <w:t xml:space="preserve"> </w:t>
            </w:r>
            <w:r w:rsidRPr="00AA7C07">
              <w:rPr>
                <w:rFonts w:ascii="Calibri" w:hAnsi="Calibri"/>
                <w:b/>
                <w:bCs/>
                <w:sz w:val="20"/>
              </w:rPr>
              <w:t>0,4556 kToe /1000ha l. p</w:t>
            </w:r>
            <w:r w:rsidRPr="00AA7C07">
              <w:rPr>
                <w:rFonts w:ascii="Calibri" w:hAnsi="Calibri"/>
                <w:sz w:val="20"/>
              </w:rPr>
              <w:t>.).</w:t>
            </w:r>
          </w:p>
          <w:p w:rsidR="009E238E" w:rsidRDefault="009E238E" w:rsidP="009E238E">
            <w:pPr>
              <w:rPr>
                <w:rFonts w:ascii="Calibri" w:hAnsi="Calibri"/>
                <w:sz w:val="20"/>
              </w:rPr>
            </w:pPr>
            <w:r>
              <w:rPr>
                <w:rFonts w:ascii="Calibri" w:hAnsi="Calibri"/>
                <w:sz w:val="20"/>
              </w:rPr>
              <w:t>V</w:t>
            </w:r>
            <w:r w:rsidRPr="00AA7C07">
              <w:rPr>
                <w:rFonts w:ascii="Calibri" w:hAnsi="Calibri"/>
                <w:sz w:val="20"/>
              </w:rPr>
              <w:t>ýmer</w:t>
            </w:r>
            <w:r>
              <w:rPr>
                <w:rFonts w:ascii="Calibri" w:hAnsi="Calibri"/>
                <w:sz w:val="20"/>
              </w:rPr>
              <w:t>a</w:t>
            </w:r>
            <w:r w:rsidRPr="00AA7C07">
              <w:rPr>
                <w:rFonts w:ascii="Calibri" w:hAnsi="Calibri"/>
                <w:sz w:val="20"/>
              </w:rPr>
              <w:t xml:space="preserve"> rýchlorastúcich drevín </w:t>
            </w:r>
            <w:r>
              <w:rPr>
                <w:rFonts w:ascii="Calibri" w:hAnsi="Calibri"/>
                <w:sz w:val="20"/>
              </w:rPr>
              <w:t xml:space="preserve">je </w:t>
            </w:r>
            <w:r w:rsidRPr="00AA7C07">
              <w:rPr>
                <w:rFonts w:ascii="Calibri" w:hAnsi="Calibri"/>
                <w:sz w:val="20"/>
              </w:rPr>
              <w:t>zanedbateľn</w:t>
            </w:r>
            <w:r>
              <w:rPr>
                <w:rFonts w:ascii="Calibri" w:hAnsi="Calibri"/>
                <w:sz w:val="20"/>
              </w:rPr>
              <w:t>á</w:t>
            </w:r>
            <w:r w:rsidRPr="00AA7C07">
              <w:rPr>
                <w:rFonts w:ascii="Calibri" w:hAnsi="Calibri"/>
                <w:sz w:val="20"/>
              </w:rPr>
              <w:t xml:space="preserve"> (v r</w:t>
            </w:r>
            <w:r>
              <w:rPr>
                <w:rFonts w:ascii="Calibri" w:hAnsi="Calibri"/>
                <w:sz w:val="20"/>
              </w:rPr>
              <w:t>.</w:t>
            </w:r>
            <w:r w:rsidRPr="00AA7C07">
              <w:rPr>
                <w:rFonts w:ascii="Calibri" w:hAnsi="Calibri"/>
                <w:sz w:val="20"/>
              </w:rPr>
              <w:t xml:space="preserve"> 2011 len 66 ha p.p.).</w:t>
            </w:r>
            <w:r>
              <w:rPr>
                <w:rFonts w:ascii="Calibri" w:hAnsi="Calibri"/>
                <w:sz w:val="20"/>
              </w:rPr>
              <w:t xml:space="preserve"> </w:t>
            </w:r>
          </w:p>
          <w:p w:rsidR="009E238E" w:rsidRPr="004A7D83" w:rsidRDefault="009E238E" w:rsidP="009E238E">
            <w:pPr>
              <w:rPr>
                <w:rFonts w:ascii="Calibri" w:hAnsi="Calibri"/>
              </w:rPr>
            </w:pPr>
            <w:r>
              <w:rPr>
                <w:rFonts w:ascii="Calibri" w:hAnsi="Calibri"/>
                <w:sz w:val="20"/>
              </w:rPr>
              <w:t xml:space="preserve">V rámci sektora prevláda nízky </w:t>
            </w:r>
            <w:r w:rsidRPr="00AA7C07">
              <w:rPr>
                <w:rFonts w:ascii="Calibri" w:hAnsi="Calibri"/>
                <w:sz w:val="20"/>
              </w:rPr>
              <w:t>podiel spracovania odpadovej biomasy živočíšneho pôvodu na produkciu energie (potenciál pre rozšírenie bioplynových staníc) a nedostatočné využívanie OZE vidieckymi obcami.</w:t>
            </w:r>
          </w:p>
        </w:tc>
      </w:tr>
      <w:tr w:rsidR="009E238E" w:rsidRPr="004A7D83" w:rsidTr="009E238E">
        <w:trPr>
          <w:trHeight w:val="172"/>
        </w:trPr>
        <w:tc>
          <w:tcPr>
            <w:tcW w:w="269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9E238E" w:rsidRPr="004A7D83" w:rsidRDefault="009E238E" w:rsidP="00CE203B">
            <w:pPr>
              <w:numPr>
                <w:ilvl w:val="0"/>
                <w:numId w:val="343"/>
              </w:numPr>
              <w:spacing w:after="120"/>
              <w:ind w:left="284" w:hanging="284"/>
              <w:jc w:val="left"/>
              <w:textAlignment w:val="baseline"/>
              <w:rPr>
                <w:rFonts w:ascii="Calibri" w:hAnsi="Calibri"/>
                <w:sz w:val="20"/>
                <w:szCs w:val="20"/>
                <w:lang w:eastAsia="zh-CN"/>
              </w:rPr>
            </w:pPr>
            <w:r>
              <w:rPr>
                <w:rFonts w:ascii="Calibri" w:hAnsi="Calibri"/>
                <w:sz w:val="20"/>
                <w:szCs w:val="20"/>
                <w:lang w:eastAsia="zh-CN"/>
              </w:rPr>
              <w:t>Eliminácia dopadov a adaptácia  pôdohospodárstva  na</w:t>
            </w:r>
            <w:r>
              <w:rPr>
                <w:rFonts w:ascii="Calibri" w:hAnsi="Calibri"/>
                <w:sz w:val="20"/>
                <w:szCs w:val="20"/>
                <w:lang w:eastAsia="zh-CN"/>
              </w:rPr>
              <w:lastRenderedPageBreak/>
              <w:t xml:space="preserve"> zmeny klímy (časti A, B, C)</w:t>
            </w:r>
          </w:p>
        </w:tc>
        <w:tc>
          <w:tcPr>
            <w:tcW w:w="1090" w:type="dxa"/>
            <w:tcBorders>
              <w:top w:val="nil"/>
              <w:left w:val="nil"/>
              <w:bottom w:val="single" w:sz="8" w:space="0" w:color="000000"/>
              <w:right w:val="single" w:sz="8" w:space="0" w:color="000000"/>
            </w:tcBorders>
            <w:tcMar>
              <w:top w:w="0" w:type="dxa"/>
              <w:left w:w="108" w:type="dxa"/>
              <w:bottom w:w="0" w:type="dxa"/>
              <w:right w:w="108" w:type="dxa"/>
            </w:tcMar>
            <w:hideMark/>
          </w:tcPr>
          <w:p w:rsidR="009E238E" w:rsidRDefault="009E238E" w:rsidP="009E238E">
            <w:pPr>
              <w:jc w:val="center"/>
              <w:rPr>
                <w:rFonts w:ascii="Calibri" w:hAnsi="Calibri"/>
                <w:sz w:val="20"/>
                <w:szCs w:val="20"/>
                <w:lang w:eastAsia="zh-CN"/>
              </w:rPr>
            </w:pPr>
            <w:r>
              <w:rPr>
                <w:rFonts w:ascii="Calibri" w:hAnsi="Calibri"/>
                <w:sz w:val="20"/>
                <w:szCs w:val="20"/>
                <w:lang w:eastAsia="zh-CN"/>
              </w:rPr>
              <w:t>5A, 5B, 5C,5D,5E</w:t>
            </w:r>
          </w:p>
          <w:p w:rsidR="009E238E" w:rsidRPr="000D2606" w:rsidRDefault="009E238E" w:rsidP="009E238E">
            <w:pPr>
              <w:jc w:val="center"/>
              <w:rPr>
                <w:rFonts w:ascii="Calibri" w:hAnsi="Calibri"/>
                <w:sz w:val="20"/>
              </w:rPr>
            </w:pPr>
            <w:r w:rsidRPr="000D2606">
              <w:rPr>
                <w:rFonts w:ascii="Calibri" w:hAnsi="Calibri"/>
                <w:sz w:val="20"/>
              </w:rPr>
              <w:t>ŽP, zmena klímy</w:t>
            </w:r>
          </w:p>
          <w:p w:rsidR="009E238E" w:rsidRPr="004A7D83" w:rsidRDefault="009E238E" w:rsidP="009E238E">
            <w:pPr>
              <w:jc w:val="center"/>
              <w:rPr>
                <w:rFonts w:ascii="Calibri" w:hAnsi="Calibri"/>
                <w:sz w:val="20"/>
                <w:szCs w:val="20"/>
                <w:lang w:eastAsia="zh-CN"/>
              </w:rPr>
            </w:pPr>
          </w:p>
        </w:tc>
        <w:tc>
          <w:tcPr>
            <w:tcW w:w="10425" w:type="dxa"/>
            <w:tcBorders>
              <w:top w:val="nil"/>
              <w:left w:val="nil"/>
              <w:bottom w:val="single" w:sz="8" w:space="0" w:color="000000"/>
              <w:right w:val="single" w:sz="8" w:space="0" w:color="000000"/>
            </w:tcBorders>
            <w:tcMar>
              <w:top w:w="0" w:type="dxa"/>
              <w:left w:w="108" w:type="dxa"/>
              <w:bottom w:w="0" w:type="dxa"/>
              <w:right w:w="108" w:type="dxa"/>
            </w:tcMar>
            <w:hideMark/>
          </w:tcPr>
          <w:p w:rsidR="009E238E" w:rsidRPr="00C6050F" w:rsidRDefault="009E238E" w:rsidP="009E238E">
            <w:pPr>
              <w:spacing w:after="120"/>
              <w:rPr>
                <w:b/>
                <w:sz w:val="20"/>
                <w:szCs w:val="20"/>
                <w:lang w:eastAsia="zh-CN"/>
              </w:rPr>
            </w:pPr>
            <w:r>
              <w:rPr>
                <w:b/>
                <w:sz w:val="20"/>
                <w:szCs w:val="20"/>
                <w:lang w:eastAsia="zh-CN"/>
              </w:rPr>
              <w:t xml:space="preserve">A) </w:t>
            </w:r>
            <w:r w:rsidRPr="00C6050F">
              <w:rPr>
                <w:b/>
                <w:sz w:val="20"/>
                <w:szCs w:val="20"/>
                <w:lang w:eastAsia="zh-CN"/>
              </w:rPr>
              <w:t xml:space="preserve">Zvýšenie efektívnosti využívania vody v poľnohospodárstve a zastavenie negatívneho trendu vo využívaní závlah </w:t>
            </w:r>
          </w:p>
          <w:p w:rsidR="009E238E" w:rsidRDefault="009E238E" w:rsidP="009E238E">
            <w:pPr>
              <w:spacing w:after="120"/>
              <w:rPr>
                <w:rFonts w:ascii="Calibri" w:hAnsi="Calibri"/>
                <w:sz w:val="20"/>
                <w:szCs w:val="20"/>
                <w:lang w:eastAsia="zh-CN"/>
              </w:rPr>
            </w:pPr>
            <w:r>
              <w:rPr>
                <w:rFonts w:ascii="Calibri" w:hAnsi="Calibri"/>
                <w:bCs/>
                <w:sz w:val="20"/>
                <w:szCs w:val="20"/>
                <w:lang w:eastAsia="zh-CN"/>
              </w:rPr>
              <w:t>P</w:t>
            </w:r>
            <w:r w:rsidRPr="00016CAD">
              <w:rPr>
                <w:rFonts w:ascii="Calibri" w:hAnsi="Calibri"/>
                <w:bCs/>
                <w:sz w:val="20"/>
                <w:szCs w:val="20"/>
                <w:lang w:eastAsia="zh-CN"/>
              </w:rPr>
              <w:t xml:space="preserve">ôdohospodárstvo </w:t>
            </w:r>
            <w:r>
              <w:rPr>
                <w:rFonts w:ascii="Calibri" w:hAnsi="Calibri"/>
                <w:bCs/>
                <w:sz w:val="20"/>
                <w:szCs w:val="20"/>
                <w:lang w:eastAsia="zh-CN"/>
              </w:rPr>
              <w:t xml:space="preserve">SR </w:t>
            </w:r>
            <w:r w:rsidRPr="00016CAD">
              <w:rPr>
                <w:rFonts w:ascii="Calibri" w:hAnsi="Calibri"/>
                <w:bCs/>
                <w:sz w:val="20"/>
                <w:szCs w:val="20"/>
                <w:lang w:eastAsia="zh-CN"/>
              </w:rPr>
              <w:t>nie je adaptačne pripravené na prebiehajúcu a očakávanú klimatickú zmenu</w:t>
            </w:r>
            <w:r w:rsidRPr="00016CAD">
              <w:rPr>
                <w:rFonts w:ascii="Calibri" w:hAnsi="Calibri"/>
                <w:sz w:val="20"/>
                <w:szCs w:val="20"/>
                <w:lang w:eastAsia="zh-CN"/>
              </w:rPr>
              <w:t xml:space="preserve"> (potreba budovania záchytných nádrží na vodu, vodo-záchytných krajinných prvkov, revitalizácia závlahovej a hydromelioračnej infraštruktúry,</w:t>
            </w:r>
            <w:r w:rsidRPr="00016CAD">
              <w:rPr>
                <w:rFonts w:ascii="Calibri" w:hAnsi="Calibri"/>
                <w:sz w:val="20"/>
                <w:szCs w:val="20"/>
                <w:lang w:eastAsia="zh-CN"/>
              </w:rPr>
              <w:lastRenderedPageBreak/>
              <w:t xml:space="preserve"> zvyšovanie organickej hmoty v pôde, podrývanie zhutnených pôd, zmena štruktúry plodín, výskum a poradenstvo). Voda z členitého územia SR rýchlo odteká (regulácia a napriamenie vodných tokov), vo vegetačnom období </w:t>
            </w:r>
            <w:r>
              <w:rPr>
                <w:rFonts w:ascii="Calibri" w:hAnsi="Calibri"/>
                <w:sz w:val="20"/>
                <w:szCs w:val="20"/>
                <w:lang w:eastAsia="zh-CN"/>
              </w:rPr>
              <w:t xml:space="preserve">sa čoraz častejšie prejavuje </w:t>
            </w:r>
            <w:r w:rsidRPr="00016CAD">
              <w:rPr>
                <w:rFonts w:ascii="Calibri" w:hAnsi="Calibri"/>
                <w:sz w:val="20"/>
                <w:szCs w:val="20"/>
                <w:lang w:eastAsia="zh-CN"/>
              </w:rPr>
              <w:t>nedostatok v</w:t>
            </w:r>
            <w:r>
              <w:rPr>
                <w:rFonts w:ascii="Calibri" w:hAnsi="Calibri"/>
                <w:sz w:val="20"/>
                <w:szCs w:val="20"/>
                <w:lang w:eastAsia="zh-CN"/>
              </w:rPr>
              <w:t>ody v</w:t>
            </w:r>
            <w:r w:rsidRPr="00016CAD">
              <w:rPr>
                <w:rFonts w:ascii="Calibri" w:hAnsi="Calibri"/>
                <w:sz w:val="20"/>
                <w:szCs w:val="20"/>
                <w:lang w:eastAsia="zh-CN"/>
              </w:rPr>
              <w:t>lahy</w:t>
            </w:r>
            <w:r>
              <w:rPr>
                <w:rFonts w:ascii="Calibri" w:hAnsi="Calibri"/>
                <w:sz w:val="20"/>
                <w:szCs w:val="20"/>
                <w:lang w:eastAsia="zh-CN"/>
              </w:rPr>
              <w:t>, čo je</w:t>
            </w:r>
            <w:r w:rsidRPr="00016CAD">
              <w:rPr>
                <w:rFonts w:ascii="Calibri" w:hAnsi="Calibri"/>
                <w:sz w:val="20"/>
                <w:szCs w:val="20"/>
                <w:lang w:eastAsia="zh-CN"/>
              </w:rPr>
              <w:t xml:space="preserve"> limitujúcim </w:t>
            </w:r>
            <w:r>
              <w:rPr>
                <w:rFonts w:ascii="Calibri" w:hAnsi="Calibri"/>
                <w:sz w:val="20"/>
                <w:szCs w:val="20"/>
                <w:lang w:eastAsia="zh-CN"/>
              </w:rPr>
              <w:t>faktorom</w:t>
            </w:r>
            <w:r w:rsidRPr="00016CAD">
              <w:rPr>
                <w:rFonts w:ascii="Calibri" w:hAnsi="Calibri"/>
                <w:sz w:val="20"/>
                <w:szCs w:val="20"/>
                <w:lang w:eastAsia="zh-CN"/>
              </w:rPr>
              <w:t xml:space="preserve"> dosahovania vyšších úrod fytomasy.</w:t>
            </w:r>
          </w:p>
          <w:p w:rsidR="009E238E" w:rsidRPr="00016CAD" w:rsidRDefault="009E238E" w:rsidP="009E238E">
            <w:pPr>
              <w:spacing w:after="120"/>
              <w:rPr>
                <w:rFonts w:ascii="Calibri" w:hAnsi="Calibri"/>
                <w:sz w:val="20"/>
                <w:szCs w:val="20"/>
                <w:lang w:eastAsia="zh-CN"/>
              </w:rPr>
            </w:pPr>
            <w:r w:rsidRPr="00016CAD">
              <w:rPr>
                <w:rFonts w:ascii="Calibri" w:hAnsi="Calibri"/>
                <w:sz w:val="20"/>
                <w:szCs w:val="20"/>
                <w:lang w:eastAsia="zh-CN"/>
              </w:rPr>
              <w:t>Závlahy predstavujú účinný nástroj pri adaptácii rastlinnej výroby na zmiernenie dopadov klimatických zmien (sucha počas vegetačného obdobia) a čoraz výraznejšie sa zavlažovanie stáva limitujúcim faktorom rastlinnej výroby.</w:t>
            </w:r>
          </w:p>
          <w:p w:rsidR="009E238E" w:rsidRPr="00016CAD" w:rsidRDefault="009E238E" w:rsidP="009E238E">
            <w:pPr>
              <w:spacing w:after="120"/>
              <w:rPr>
                <w:rFonts w:ascii="Calibri" w:hAnsi="Calibri"/>
                <w:sz w:val="20"/>
                <w:szCs w:val="20"/>
                <w:lang w:eastAsia="zh-CN"/>
              </w:rPr>
            </w:pPr>
            <w:r w:rsidRPr="00016CAD">
              <w:rPr>
                <w:rFonts w:ascii="Calibri" w:hAnsi="Calibri"/>
                <w:sz w:val="20"/>
                <w:szCs w:val="20"/>
                <w:lang w:eastAsia="zh-CN"/>
              </w:rPr>
              <w:t>Závlahové systémy na poľnohospodárskej pôde sú vybudované na výmere 321 tisíc ha. Za obdobie r. 2007–2011 sa výmera pôdy, na ktorej sa využívajú zavlažovacie zariadenia znížila z 1,3% na 0,7%, čo prestavuje pokles o takmer polovicu.</w:t>
            </w:r>
            <w:r>
              <w:rPr>
                <w:rFonts w:ascii="Calibri" w:hAnsi="Calibri"/>
                <w:sz w:val="20"/>
                <w:szCs w:val="20"/>
                <w:lang w:eastAsia="zh-CN"/>
              </w:rPr>
              <w:t xml:space="preserve"> </w:t>
            </w:r>
          </w:p>
          <w:p w:rsidR="009E238E" w:rsidRPr="00FD50CC" w:rsidRDefault="009E238E" w:rsidP="009E238E">
            <w:pPr>
              <w:spacing w:after="120"/>
              <w:rPr>
                <w:rFonts w:ascii="Calibri" w:hAnsi="Calibri"/>
                <w:sz w:val="20"/>
                <w:szCs w:val="20"/>
                <w:lang w:eastAsia="zh-CN"/>
              </w:rPr>
            </w:pPr>
            <w:r w:rsidRPr="00016CAD">
              <w:rPr>
                <w:rFonts w:ascii="Calibri" w:hAnsi="Calibri"/>
                <w:sz w:val="20"/>
                <w:szCs w:val="20"/>
                <w:lang w:eastAsia="zh-CN"/>
              </w:rPr>
              <w:t>Za posledných 5 rokov sa spotreba vody na zavlažovanie pohybuje v rozmedzí 6 - 14 mil. m</w:t>
            </w:r>
            <w:r w:rsidRPr="00016CAD">
              <w:rPr>
                <w:rFonts w:ascii="Calibri" w:hAnsi="Calibri"/>
                <w:sz w:val="20"/>
                <w:szCs w:val="20"/>
                <w:vertAlign w:val="superscript"/>
                <w:lang w:eastAsia="zh-CN"/>
              </w:rPr>
              <w:t>3</w:t>
            </w:r>
            <w:r w:rsidRPr="00016CAD">
              <w:rPr>
                <w:rFonts w:ascii="Calibri" w:hAnsi="Calibri"/>
                <w:sz w:val="20"/>
                <w:szCs w:val="20"/>
                <w:lang w:eastAsia="zh-CN"/>
              </w:rPr>
              <w:t>, resp. 29 – 65 m</w:t>
            </w:r>
            <w:r w:rsidRPr="00016CAD">
              <w:rPr>
                <w:rFonts w:ascii="Calibri" w:hAnsi="Calibri"/>
                <w:sz w:val="20"/>
                <w:szCs w:val="20"/>
                <w:vertAlign w:val="superscript"/>
                <w:lang w:eastAsia="zh-CN"/>
              </w:rPr>
              <w:t>3</w:t>
            </w:r>
            <w:r w:rsidRPr="00016CAD">
              <w:rPr>
                <w:rFonts w:ascii="Calibri" w:hAnsi="Calibri"/>
                <w:sz w:val="20"/>
                <w:szCs w:val="20"/>
                <w:lang w:eastAsia="zh-CN"/>
              </w:rPr>
              <w:t xml:space="preserve"> v prepočte na 1 ha a neustále klesá, čo je alarmujúci stav vo využití závlah ako intenzifikačného faktora s priamym dopadom na konkurencieschopnosť poľnohospodárskej prvovýroby.</w:t>
            </w:r>
          </w:p>
          <w:p w:rsidR="009E238E" w:rsidRPr="00FD50CC" w:rsidRDefault="009E238E" w:rsidP="009E238E">
            <w:pPr>
              <w:spacing w:after="120"/>
              <w:rPr>
                <w:rFonts w:ascii="Calibri" w:hAnsi="Calibri"/>
                <w:sz w:val="20"/>
                <w:szCs w:val="20"/>
                <w:lang w:eastAsia="zh-CN"/>
              </w:rPr>
            </w:pPr>
            <w:r w:rsidRPr="00FD50CC">
              <w:rPr>
                <w:rFonts w:ascii="Calibri" w:hAnsi="Calibri"/>
                <w:sz w:val="20"/>
                <w:szCs w:val="20"/>
                <w:lang w:eastAsia="zh-CN"/>
              </w:rPr>
              <w:t xml:space="preserve">Súčasne s podporou využívania závlah sú potrebné </w:t>
            </w:r>
            <w:r w:rsidRPr="00FD50CC">
              <w:rPr>
                <w:rFonts w:ascii="Calibri" w:hAnsi="Calibri"/>
                <w:bCs/>
                <w:sz w:val="20"/>
                <w:szCs w:val="20"/>
                <w:lang w:eastAsia="zh-CN"/>
              </w:rPr>
              <w:t>investície do modernizácie zastaranej závlahovej infraštruktúry a úsporných technológií zavlažovania</w:t>
            </w:r>
            <w:r w:rsidRPr="00FD50CC">
              <w:rPr>
                <w:rFonts w:ascii="Calibri" w:hAnsi="Calibri"/>
                <w:sz w:val="20"/>
                <w:szCs w:val="20"/>
                <w:lang w:eastAsia="zh-CN"/>
              </w:rPr>
              <w:t xml:space="preserve"> (presné zavlažovanie, kvapkové závlahy a pod.). Investície do efektívnejšieho zavlažovania odporúča aj pozičný dokument EK. </w:t>
            </w:r>
          </w:p>
          <w:p w:rsidR="009E238E" w:rsidRPr="00C6050F" w:rsidRDefault="009E238E" w:rsidP="009E238E">
            <w:pPr>
              <w:spacing w:after="120"/>
              <w:rPr>
                <w:b/>
                <w:sz w:val="20"/>
                <w:szCs w:val="20"/>
                <w:lang w:eastAsia="zh-CN"/>
              </w:rPr>
            </w:pPr>
            <w:r>
              <w:rPr>
                <w:b/>
                <w:sz w:val="20"/>
                <w:szCs w:val="20"/>
                <w:lang w:eastAsia="zh-CN"/>
              </w:rPr>
              <w:t xml:space="preserve">B) </w:t>
            </w:r>
            <w:r w:rsidRPr="00C6050F">
              <w:rPr>
                <w:b/>
                <w:sz w:val="20"/>
                <w:szCs w:val="20"/>
                <w:lang w:eastAsia="zh-CN"/>
              </w:rPr>
              <w:t>Pomerné zníženie tvorby emisií skleníkových plynov vo vzťahu k zvýšeniu poľnohospodárskej produkcie</w:t>
            </w:r>
          </w:p>
          <w:p w:rsidR="009E238E" w:rsidRPr="00330B9D" w:rsidRDefault="009E238E" w:rsidP="009E238E">
            <w:pPr>
              <w:spacing w:after="120"/>
              <w:rPr>
                <w:rFonts w:ascii="Calibri" w:hAnsi="Calibri"/>
                <w:sz w:val="20"/>
                <w:szCs w:val="20"/>
                <w:lang w:eastAsia="zh-CN"/>
              </w:rPr>
            </w:pPr>
            <w:r w:rsidRPr="00330B9D">
              <w:rPr>
                <w:rFonts w:ascii="Calibri" w:hAnsi="Calibri"/>
                <w:sz w:val="20"/>
                <w:szCs w:val="20"/>
                <w:lang w:eastAsia="zh-CN"/>
              </w:rPr>
              <w:t>Podiel poľnohospodárstva (vrátane emisií z pôdy) na celkových čistých emisiách SR predstavuje 5,1 % (CCI 45).</w:t>
            </w:r>
          </w:p>
          <w:p w:rsidR="009E238E" w:rsidRPr="00330B9D" w:rsidRDefault="009E238E" w:rsidP="009E238E">
            <w:pPr>
              <w:spacing w:after="120"/>
              <w:rPr>
                <w:rFonts w:ascii="Calibri" w:hAnsi="Calibri"/>
                <w:sz w:val="20"/>
                <w:szCs w:val="20"/>
                <w:lang w:eastAsia="zh-CN"/>
              </w:rPr>
            </w:pPr>
            <w:r w:rsidRPr="00330B9D">
              <w:rPr>
                <w:rFonts w:ascii="Calibri" w:hAnsi="Calibri"/>
                <w:sz w:val="20"/>
                <w:szCs w:val="20"/>
                <w:lang w:eastAsia="zh-CN"/>
              </w:rPr>
              <w:t xml:space="preserve">Slovensko splnilo už v roku 2003 svoj emisný cieľ pre rok 2010 stanovený v Kodanskom protokole. Napriek očakávanému miernemu rastu v období po roku 2011, sú emisie stále len na tretinovej úrovni roku 1990. </w:t>
            </w:r>
          </w:p>
          <w:p w:rsidR="009E238E" w:rsidRPr="00330B9D" w:rsidRDefault="009E238E" w:rsidP="009E238E">
            <w:pPr>
              <w:rPr>
                <w:rFonts w:ascii="Calibri" w:hAnsi="Calibri"/>
                <w:sz w:val="20"/>
                <w:szCs w:val="20"/>
                <w:lang w:eastAsia="zh-CN"/>
              </w:rPr>
            </w:pPr>
            <w:r w:rsidRPr="00330B9D">
              <w:rPr>
                <w:rFonts w:ascii="Calibri" w:hAnsi="Calibri"/>
                <w:sz w:val="20"/>
                <w:szCs w:val="20"/>
                <w:lang w:eastAsia="zh-CN"/>
              </w:rPr>
              <w:t>Prínos PRV v boji proti klimatickej zmene sa dosiahne najmä:</w:t>
            </w:r>
          </w:p>
          <w:p w:rsidR="009E238E" w:rsidRPr="00330B9D" w:rsidRDefault="009E238E" w:rsidP="00317BFF">
            <w:pPr>
              <w:numPr>
                <w:ilvl w:val="1"/>
                <w:numId w:val="13"/>
              </w:numPr>
              <w:tabs>
                <w:tab w:val="left" w:pos="293"/>
              </w:tabs>
              <w:ind w:left="651" w:hanging="425"/>
              <w:jc w:val="left"/>
              <w:rPr>
                <w:rFonts w:ascii="Calibri" w:hAnsi="Calibri"/>
                <w:sz w:val="20"/>
                <w:szCs w:val="20"/>
                <w:lang w:eastAsia="zh-CN"/>
              </w:rPr>
            </w:pPr>
            <w:r w:rsidRPr="00330B9D">
              <w:rPr>
                <w:rFonts w:ascii="Calibri" w:hAnsi="Calibri"/>
                <w:sz w:val="20"/>
                <w:szCs w:val="20"/>
                <w:lang w:eastAsia="zh-CN"/>
              </w:rPr>
              <w:t>Odstraňovaním nedostatkov v oblasti manipulácie a uskladňovania organických hnojív a exkrementov hospodárskych zvierat (NH4), pesticídov a priemyselných hnojív;</w:t>
            </w:r>
          </w:p>
          <w:p w:rsidR="009E238E" w:rsidRPr="00330B9D" w:rsidRDefault="009E238E" w:rsidP="00317BFF">
            <w:pPr>
              <w:numPr>
                <w:ilvl w:val="1"/>
                <w:numId w:val="13"/>
              </w:numPr>
              <w:tabs>
                <w:tab w:val="left" w:pos="293"/>
              </w:tabs>
              <w:ind w:left="651" w:hanging="425"/>
              <w:jc w:val="left"/>
              <w:rPr>
                <w:rFonts w:ascii="Calibri" w:hAnsi="Calibri"/>
                <w:sz w:val="20"/>
                <w:szCs w:val="20"/>
                <w:lang w:eastAsia="zh-CN"/>
              </w:rPr>
            </w:pPr>
            <w:r w:rsidRPr="00330B9D">
              <w:rPr>
                <w:rFonts w:ascii="Calibri" w:hAnsi="Calibri"/>
                <w:sz w:val="20"/>
                <w:szCs w:val="20"/>
                <w:lang w:eastAsia="zh-CN"/>
              </w:rPr>
              <w:t>Zvýšením využívania odpadovej biomasy a exkrementov živočíšneho pôvodu (napr. budovanie bioplynových staníc pri farmách s vysokou koncentráciou hospodárskych zvierat);</w:t>
            </w:r>
          </w:p>
          <w:p w:rsidR="009E238E" w:rsidRPr="00330B9D" w:rsidRDefault="009E238E" w:rsidP="00317BFF">
            <w:pPr>
              <w:numPr>
                <w:ilvl w:val="1"/>
                <w:numId w:val="13"/>
              </w:numPr>
              <w:tabs>
                <w:tab w:val="left" w:pos="293"/>
              </w:tabs>
              <w:ind w:left="651" w:hanging="425"/>
              <w:jc w:val="left"/>
              <w:rPr>
                <w:rFonts w:ascii="Calibri" w:hAnsi="Calibri"/>
                <w:sz w:val="20"/>
                <w:szCs w:val="20"/>
                <w:lang w:eastAsia="zh-CN"/>
              </w:rPr>
            </w:pPr>
            <w:r w:rsidRPr="00330B9D">
              <w:rPr>
                <w:rFonts w:ascii="Calibri" w:hAnsi="Calibri"/>
                <w:sz w:val="20"/>
                <w:szCs w:val="20"/>
                <w:lang w:eastAsia="zh-CN"/>
              </w:rPr>
              <w:t>Rozšírením ekologického poľnohospodárstva, AE záväzkov a animal welfare;</w:t>
            </w:r>
          </w:p>
          <w:p w:rsidR="009E238E" w:rsidRDefault="009E238E" w:rsidP="00317BFF">
            <w:pPr>
              <w:numPr>
                <w:ilvl w:val="1"/>
                <w:numId w:val="13"/>
              </w:numPr>
              <w:tabs>
                <w:tab w:val="left" w:pos="293"/>
              </w:tabs>
              <w:ind w:left="651" w:hanging="425"/>
              <w:jc w:val="left"/>
              <w:rPr>
                <w:rFonts w:ascii="Calibri" w:hAnsi="Calibri"/>
                <w:sz w:val="20"/>
                <w:szCs w:val="20"/>
                <w:lang w:eastAsia="zh-CN"/>
              </w:rPr>
            </w:pPr>
            <w:r w:rsidRPr="00330B9D">
              <w:rPr>
                <w:rFonts w:ascii="Calibri" w:hAnsi="Calibri"/>
                <w:sz w:val="20"/>
                <w:szCs w:val="20"/>
                <w:lang w:eastAsia="zh-CN"/>
              </w:rPr>
              <w:t>Zlepšením agrotechnických opatrení na pôde zameraných na obmedzenie emisií dusíka, oxidov dusíka a amoniaku z pôdy (napr. optimalizácia osevných postupov, predĺženie obdobia rastlinného pokryvu a pod.);</w:t>
            </w:r>
          </w:p>
          <w:p w:rsidR="009E238E" w:rsidRDefault="009E238E" w:rsidP="00317BFF">
            <w:pPr>
              <w:numPr>
                <w:ilvl w:val="1"/>
                <w:numId w:val="13"/>
              </w:numPr>
              <w:tabs>
                <w:tab w:val="left" w:pos="293"/>
              </w:tabs>
              <w:ind w:left="651" w:hanging="425"/>
              <w:jc w:val="left"/>
              <w:rPr>
                <w:rFonts w:ascii="Calibri" w:hAnsi="Calibri"/>
                <w:sz w:val="20"/>
                <w:szCs w:val="20"/>
                <w:lang w:eastAsia="zh-CN"/>
              </w:rPr>
            </w:pPr>
            <w:r w:rsidRPr="00330B9D">
              <w:rPr>
                <w:rFonts w:ascii="Calibri" w:hAnsi="Calibri"/>
                <w:sz w:val="20"/>
                <w:szCs w:val="20"/>
                <w:lang w:eastAsia="zh-CN"/>
              </w:rPr>
              <w:t>Cielenými aktivitami poradenstva a vzdelávania.</w:t>
            </w:r>
          </w:p>
          <w:p w:rsidR="009E238E" w:rsidRPr="00330B9D" w:rsidRDefault="009E238E" w:rsidP="009E238E">
            <w:pPr>
              <w:tabs>
                <w:tab w:val="left" w:pos="293"/>
              </w:tabs>
              <w:ind w:left="651"/>
              <w:rPr>
                <w:rFonts w:ascii="Calibri" w:hAnsi="Calibri"/>
                <w:sz w:val="20"/>
                <w:szCs w:val="20"/>
                <w:lang w:eastAsia="zh-CN"/>
              </w:rPr>
            </w:pPr>
          </w:p>
          <w:p w:rsidR="009E238E" w:rsidRPr="00C6050F" w:rsidRDefault="009E238E" w:rsidP="009E238E">
            <w:pPr>
              <w:rPr>
                <w:b/>
                <w:sz w:val="20"/>
                <w:szCs w:val="20"/>
                <w:lang w:eastAsia="zh-CN"/>
              </w:rPr>
            </w:pPr>
            <w:r>
              <w:rPr>
                <w:b/>
                <w:sz w:val="20"/>
                <w:szCs w:val="20"/>
                <w:lang w:eastAsia="zh-CN"/>
              </w:rPr>
              <w:t xml:space="preserve">C) </w:t>
            </w:r>
            <w:r w:rsidRPr="00C6050F">
              <w:rPr>
                <w:b/>
                <w:sz w:val="20"/>
                <w:szCs w:val="20"/>
                <w:lang w:eastAsia="zh-CN"/>
              </w:rPr>
              <w:t>Lepšie využitie potenciálu krajiny na maximalizáciu sekvestrácie CO2 v poľnohospodárstve a lesnom hospodárstve</w:t>
            </w:r>
          </w:p>
          <w:p w:rsidR="009E238E" w:rsidRPr="008B3F25" w:rsidRDefault="009E238E" w:rsidP="009E238E">
            <w:pPr>
              <w:rPr>
                <w:rFonts w:ascii="Calibri" w:hAnsi="Calibri"/>
                <w:sz w:val="20"/>
                <w:szCs w:val="20"/>
                <w:lang w:eastAsia="zh-CN"/>
              </w:rPr>
            </w:pPr>
            <w:r>
              <w:rPr>
                <w:rFonts w:ascii="Calibri" w:hAnsi="Calibri"/>
                <w:sz w:val="20"/>
                <w:szCs w:val="20"/>
                <w:lang w:eastAsia="zh-CN"/>
              </w:rPr>
              <w:t>Z</w:t>
            </w:r>
            <w:r w:rsidRPr="008B3F25">
              <w:rPr>
                <w:rFonts w:ascii="Calibri" w:hAnsi="Calibri"/>
                <w:sz w:val="20"/>
                <w:szCs w:val="20"/>
                <w:lang w:eastAsia="zh-CN"/>
              </w:rPr>
              <w:t xml:space="preserve">výšenie sekvestrácia uhlíka </w:t>
            </w:r>
            <w:r>
              <w:rPr>
                <w:rFonts w:ascii="Calibri" w:hAnsi="Calibri"/>
                <w:sz w:val="20"/>
                <w:szCs w:val="20"/>
                <w:lang w:eastAsia="zh-CN"/>
              </w:rPr>
              <w:t xml:space="preserve">odporúča </w:t>
            </w:r>
            <w:r w:rsidRPr="008B3F25">
              <w:rPr>
                <w:rFonts w:ascii="Calibri" w:hAnsi="Calibri"/>
                <w:sz w:val="20"/>
                <w:szCs w:val="20"/>
                <w:lang w:eastAsia="zh-CN"/>
              </w:rPr>
              <w:t xml:space="preserve">aj </w:t>
            </w:r>
            <w:r>
              <w:rPr>
                <w:rFonts w:ascii="Calibri" w:hAnsi="Calibri"/>
                <w:sz w:val="20"/>
                <w:szCs w:val="20"/>
                <w:lang w:eastAsia="zh-CN"/>
              </w:rPr>
              <w:t>PD</w:t>
            </w:r>
            <w:r w:rsidRPr="008B3F25">
              <w:rPr>
                <w:rFonts w:ascii="Calibri" w:hAnsi="Calibri"/>
                <w:sz w:val="20"/>
                <w:szCs w:val="20"/>
                <w:lang w:eastAsia="zh-CN"/>
              </w:rPr>
              <w:t xml:space="preserve"> EK. </w:t>
            </w:r>
          </w:p>
          <w:p w:rsidR="009E238E" w:rsidRPr="008B3F25" w:rsidRDefault="009E238E" w:rsidP="009E238E">
            <w:pPr>
              <w:rPr>
                <w:rFonts w:ascii="Calibri" w:hAnsi="Calibri"/>
                <w:sz w:val="20"/>
                <w:szCs w:val="20"/>
                <w:lang w:eastAsia="zh-CN"/>
              </w:rPr>
            </w:pPr>
            <w:r w:rsidRPr="008B3F25">
              <w:rPr>
                <w:rFonts w:ascii="Calibri" w:hAnsi="Calibri"/>
                <w:sz w:val="20"/>
                <w:szCs w:val="20"/>
                <w:lang w:eastAsia="zh-CN"/>
              </w:rPr>
              <w:t xml:space="preserve">Ukladanie uhlíka do pôdy </w:t>
            </w:r>
            <w:r w:rsidRPr="008B3F25">
              <w:rPr>
                <w:rFonts w:ascii="Calibri" w:hAnsi="Calibri"/>
                <w:b/>
                <w:bCs/>
                <w:sz w:val="20"/>
                <w:szCs w:val="20"/>
                <w:lang w:eastAsia="zh-CN"/>
              </w:rPr>
              <w:t>priaznivo ovplyvní multifunkčný potenciál pôdy</w:t>
            </w:r>
            <w:r w:rsidRPr="008B3F25">
              <w:rPr>
                <w:rFonts w:ascii="Calibri" w:hAnsi="Calibri"/>
                <w:sz w:val="20"/>
                <w:szCs w:val="20"/>
                <w:lang w:eastAsia="zh-CN"/>
              </w:rPr>
              <w:t xml:space="preserve"> (zvýšenie organickej hmoty - humusu, zvýšenie retenčnej kapacity pôd, zvýšenie biologickej aktivity pôdy, zvýšenie obsahu prístupných živín, zvýšenie úrodnosti</w:t>
            </w:r>
            <w:r>
              <w:rPr>
                <w:rFonts w:ascii="Calibri" w:hAnsi="Calibri"/>
                <w:sz w:val="20"/>
                <w:szCs w:val="20"/>
                <w:lang w:eastAsia="zh-CN"/>
              </w:rPr>
              <w:t>.</w:t>
            </w:r>
          </w:p>
          <w:p w:rsidR="009E238E" w:rsidRPr="008B3F25" w:rsidRDefault="009E238E" w:rsidP="009E238E">
            <w:pPr>
              <w:rPr>
                <w:rFonts w:ascii="Calibri" w:hAnsi="Calibri"/>
                <w:sz w:val="20"/>
                <w:szCs w:val="20"/>
                <w:lang w:eastAsia="zh-CN"/>
              </w:rPr>
            </w:pPr>
            <w:r w:rsidRPr="008B3F25">
              <w:rPr>
                <w:rFonts w:ascii="Calibri" w:hAnsi="Calibri"/>
                <w:sz w:val="20"/>
                <w:szCs w:val="20"/>
                <w:lang w:eastAsia="zh-CN"/>
              </w:rPr>
              <w:t>Fixácia CO2 zďaleka nedosahuje potenciál SR, nedostatočne sa využíva zalesnenie, zatrávnenie a agrotechnické opatrenia s vyšším efektom sekvestrácie (napr. optimalizácia osevných postupov, predĺženie obdobia rastl. pokryvu, pestovanie medziplodín, viacročných krmovín a pod.). Napriek  podpor</w:t>
            </w:r>
            <w:r>
              <w:rPr>
                <w:rFonts w:ascii="Calibri" w:hAnsi="Calibri"/>
                <w:sz w:val="20"/>
                <w:szCs w:val="20"/>
                <w:lang w:eastAsia="zh-CN"/>
              </w:rPr>
              <w:t>e</w:t>
            </w:r>
            <w:r w:rsidRPr="008B3F25">
              <w:rPr>
                <w:rFonts w:ascii="Calibri" w:hAnsi="Calibri"/>
                <w:sz w:val="20"/>
                <w:szCs w:val="20"/>
                <w:lang w:eastAsia="zh-CN"/>
              </w:rPr>
              <w:t xml:space="preserve"> zalesnenia p.p. v súčasnom PRV bol záujem minimálny a zalesnené bolo ku koncu r.2012 iba necelých 105 ha p.p..</w:t>
            </w:r>
          </w:p>
          <w:p w:rsidR="009E238E" w:rsidRPr="008B3F25" w:rsidRDefault="009E238E" w:rsidP="009E238E">
            <w:pPr>
              <w:rPr>
                <w:rFonts w:ascii="Calibri" w:hAnsi="Calibri"/>
                <w:sz w:val="20"/>
                <w:szCs w:val="20"/>
                <w:lang w:eastAsia="zh-CN"/>
              </w:rPr>
            </w:pPr>
            <w:r w:rsidRPr="008B3F25">
              <w:rPr>
                <w:rFonts w:ascii="Calibri" w:hAnsi="Calibri"/>
                <w:sz w:val="20"/>
                <w:szCs w:val="20"/>
                <w:lang w:eastAsia="zh-CN"/>
              </w:rPr>
              <w:t xml:space="preserve">Celková zásoba uhlíka v drevnej biomase dosiahla v r.2011 </w:t>
            </w:r>
            <w:r w:rsidRPr="008B3F25">
              <w:rPr>
                <w:rFonts w:ascii="Calibri" w:hAnsi="Calibri"/>
                <w:b/>
                <w:bCs/>
                <w:sz w:val="20"/>
                <w:szCs w:val="20"/>
                <w:lang w:eastAsia="zh-CN"/>
              </w:rPr>
              <w:t xml:space="preserve">227,9 mil. ton </w:t>
            </w:r>
            <w:r w:rsidRPr="008B3F25">
              <w:rPr>
                <w:rFonts w:ascii="Calibri" w:hAnsi="Calibri"/>
                <w:sz w:val="20"/>
                <w:szCs w:val="20"/>
                <w:lang w:eastAsia="zh-CN"/>
              </w:rPr>
              <w:t xml:space="preserve">uhlíka a za r.2005-2011 má </w:t>
            </w:r>
            <w:r w:rsidRPr="008B3F25">
              <w:rPr>
                <w:rFonts w:ascii="Calibri" w:hAnsi="Calibri"/>
                <w:b/>
                <w:bCs/>
                <w:sz w:val="20"/>
                <w:szCs w:val="20"/>
                <w:lang w:eastAsia="zh-CN"/>
              </w:rPr>
              <w:t>mierne rastúci trend</w:t>
            </w:r>
            <w:r w:rsidRPr="008B3F25">
              <w:rPr>
                <w:rFonts w:ascii="Calibri" w:hAnsi="Calibri"/>
                <w:sz w:val="20"/>
                <w:szCs w:val="20"/>
                <w:lang w:eastAsia="zh-CN"/>
              </w:rPr>
              <w:t xml:space="preserve"> najmä v dôsledku zvyšovania zásob drevnej hmoty (analýzy prioritných oblastí 4C a 5D).</w:t>
            </w:r>
          </w:p>
          <w:p w:rsidR="009E238E" w:rsidRPr="004A7D83" w:rsidRDefault="009E238E" w:rsidP="009E238E">
            <w:pPr>
              <w:rPr>
                <w:rFonts w:ascii="Calibri" w:hAnsi="Calibri"/>
                <w:sz w:val="20"/>
                <w:szCs w:val="20"/>
                <w:lang w:eastAsia="zh-CN"/>
              </w:rPr>
            </w:pPr>
            <w:r w:rsidRPr="008B3F25">
              <w:rPr>
                <w:rFonts w:ascii="Calibri" w:hAnsi="Calibri"/>
                <w:b/>
                <w:bCs/>
                <w:sz w:val="20"/>
                <w:szCs w:val="20"/>
                <w:lang w:eastAsia="zh-CN"/>
              </w:rPr>
              <w:t>V procesoch sekvestrácie sú lesy nezastupiteľné</w:t>
            </w:r>
            <w:r w:rsidRPr="008B3F25">
              <w:rPr>
                <w:rFonts w:ascii="Calibri" w:hAnsi="Calibri"/>
                <w:sz w:val="20"/>
                <w:szCs w:val="20"/>
                <w:lang w:eastAsia="zh-CN"/>
              </w:rPr>
              <w:t xml:space="preserve"> a ich potenciál ukladania uhlíka do dreva vysoko prekračuje potenciál pestovania plodín. Výmera FAWS sa nepretržite zvyšuje a v r.2011 dosiahla </w:t>
            </w:r>
            <w:r w:rsidRPr="008B3F25">
              <w:rPr>
                <w:rFonts w:ascii="Calibri" w:hAnsi="Calibri"/>
                <w:b/>
                <w:bCs/>
                <w:sz w:val="20"/>
                <w:szCs w:val="20"/>
                <w:lang w:eastAsia="zh-CN"/>
              </w:rPr>
              <w:t>1 781,58 tis. ha</w:t>
            </w:r>
            <w:r w:rsidRPr="008B3F25">
              <w:rPr>
                <w:rFonts w:ascii="Calibri" w:hAnsi="Calibri"/>
                <w:sz w:val="20"/>
                <w:szCs w:val="20"/>
                <w:lang w:eastAsia="zh-CN"/>
              </w:rPr>
              <w:t xml:space="preserve">. Za r.2007-2011 vzrástla o 14 890 ha, čo je ročný nárast o 2 978 ha. Posilnenie sekvestrácie sa dosiahne predovšetkým zlepšenou starostlivosťou o zdravotný stav lesov a </w:t>
            </w:r>
            <w:r w:rsidRPr="008B3F25">
              <w:rPr>
                <w:rFonts w:ascii="Calibri" w:hAnsi="Calibri"/>
                <w:b/>
                <w:bCs/>
                <w:sz w:val="20"/>
                <w:szCs w:val="20"/>
                <w:lang w:eastAsia="zh-CN"/>
              </w:rPr>
              <w:t xml:space="preserve">systematickou obnovou lesa </w:t>
            </w:r>
            <w:r w:rsidRPr="008B3F25">
              <w:rPr>
                <w:rFonts w:ascii="Calibri" w:hAnsi="Calibri"/>
                <w:sz w:val="20"/>
                <w:szCs w:val="20"/>
                <w:lang w:eastAsia="zh-CN"/>
              </w:rPr>
              <w:t xml:space="preserve">(lepšia pokryvnosť korún). Rezervy sú v oblasti </w:t>
            </w:r>
            <w:r w:rsidRPr="008B3F25">
              <w:rPr>
                <w:rFonts w:ascii="Calibri" w:hAnsi="Calibri"/>
                <w:b/>
                <w:bCs/>
                <w:sz w:val="20"/>
                <w:szCs w:val="20"/>
                <w:lang w:eastAsia="zh-CN"/>
              </w:rPr>
              <w:t>zušľachťovania lesov</w:t>
            </w:r>
            <w:r w:rsidRPr="008B3F25">
              <w:rPr>
                <w:rFonts w:ascii="Calibri" w:hAnsi="Calibri"/>
                <w:sz w:val="20"/>
                <w:szCs w:val="20"/>
                <w:lang w:eastAsia="zh-CN"/>
              </w:rPr>
              <w:t xml:space="preserve"> s nízkou hospodárskou a prírodnou hodnotou, kde možno zaradiť aj bývalé TTP zarastené náletovými drevinami. Zmenou ich drevinového zloženia a tvaru na les “vysoký” sa zvýši sekvestrácia, zlepší ich prírodná i ekologická hodnota a budúc</w:t>
            </w:r>
            <w:r>
              <w:rPr>
                <w:rFonts w:ascii="Calibri" w:hAnsi="Calibri"/>
                <w:sz w:val="20"/>
                <w:szCs w:val="20"/>
                <w:lang w:eastAsia="zh-CN"/>
              </w:rPr>
              <w:t>a</w:t>
            </w:r>
            <w:r w:rsidRPr="008B3F25">
              <w:rPr>
                <w:rFonts w:ascii="Calibri" w:hAnsi="Calibri"/>
                <w:sz w:val="20"/>
                <w:szCs w:val="20"/>
                <w:lang w:eastAsia="zh-CN"/>
              </w:rPr>
              <w:t xml:space="preserve"> kvalita v nich ťaženého dreva.</w:t>
            </w:r>
          </w:p>
        </w:tc>
      </w:tr>
      <w:tr w:rsidR="009E238E" w:rsidRPr="004A7D83" w:rsidTr="009E238E">
        <w:trPr>
          <w:trHeight w:val="172"/>
        </w:trPr>
        <w:tc>
          <w:tcPr>
            <w:tcW w:w="269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9E238E" w:rsidRPr="004A7D83" w:rsidRDefault="009E238E" w:rsidP="00CE203B">
            <w:pPr>
              <w:numPr>
                <w:ilvl w:val="0"/>
                <w:numId w:val="343"/>
              </w:numPr>
              <w:spacing w:after="120"/>
              <w:ind w:left="284" w:hanging="284"/>
              <w:jc w:val="left"/>
              <w:textAlignment w:val="baseline"/>
              <w:rPr>
                <w:rFonts w:ascii="Calibri" w:hAnsi="Calibri"/>
              </w:rPr>
            </w:pPr>
            <w:r w:rsidRPr="004A7D83">
              <w:rPr>
                <w:rFonts w:ascii="Calibri" w:hAnsi="Calibri"/>
                <w:sz w:val="20"/>
                <w:szCs w:val="20"/>
                <w:lang w:eastAsia="zh-CN"/>
              </w:rPr>
              <w:t xml:space="preserve">Prevencia proti prírodným katastrofám v lesoch, posilnenie ochrannej funkcie lesov a obnova po prírodných katastrofách, </w:t>
            </w:r>
          </w:p>
        </w:tc>
        <w:tc>
          <w:tcPr>
            <w:tcW w:w="1090" w:type="dxa"/>
            <w:tcBorders>
              <w:top w:val="nil"/>
              <w:left w:val="nil"/>
              <w:bottom w:val="single" w:sz="8" w:space="0" w:color="000000"/>
              <w:right w:val="single" w:sz="8" w:space="0" w:color="000000"/>
            </w:tcBorders>
            <w:tcMar>
              <w:top w:w="0" w:type="dxa"/>
              <w:left w:w="108" w:type="dxa"/>
              <w:bottom w:w="0" w:type="dxa"/>
              <w:right w:w="108" w:type="dxa"/>
            </w:tcMar>
            <w:hideMark/>
          </w:tcPr>
          <w:p w:rsidR="009E238E" w:rsidRDefault="009E238E" w:rsidP="009E238E">
            <w:pPr>
              <w:jc w:val="center"/>
              <w:rPr>
                <w:rFonts w:ascii="Calibri" w:hAnsi="Calibri"/>
                <w:sz w:val="20"/>
                <w:szCs w:val="20"/>
                <w:lang w:eastAsia="zh-CN"/>
              </w:rPr>
            </w:pPr>
            <w:r w:rsidRPr="004A7D83">
              <w:rPr>
                <w:rFonts w:ascii="Calibri" w:hAnsi="Calibri"/>
                <w:sz w:val="20"/>
                <w:szCs w:val="20"/>
                <w:lang w:eastAsia="zh-CN"/>
              </w:rPr>
              <w:t>5E, 5C, 4A, 4B, 4C, 2A</w:t>
            </w:r>
          </w:p>
          <w:p w:rsidR="009E238E" w:rsidRPr="000D2606" w:rsidRDefault="009E238E" w:rsidP="009E238E">
            <w:pPr>
              <w:jc w:val="center"/>
              <w:rPr>
                <w:rFonts w:ascii="Calibri" w:hAnsi="Calibri"/>
                <w:sz w:val="20"/>
              </w:rPr>
            </w:pPr>
            <w:r w:rsidRPr="000D2606">
              <w:rPr>
                <w:rFonts w:ascii="Calibri" w:hAnsi="Calibri"/>
                <w:sz w:val="20"/>
              </w:rPr>
              <w:t>ŽP, zmena klímy</w:t>
            </w:r>
          </w:p>
          <w:p w:rsidR="009E238E" w:rsidRPr="004A7D83" w:rsidRDefault="009E238E" w:rsidP="009E238E">
            <w:pPr>
              <w:spacing w:after="120"/>
              <w:jc w:val="center"/>
              <w:rPr>
                <w:rFonts w:ascii="Calibri" w:hAnsi="Calibri"/>
              </w:rPr>
            </w:pPr>
            <w:r w:rsidRPr="004A7D83">
              <w:rPr>
                <w:rFonts w:ascii="Calibri" w:hAnsi="Calibri"/>
                <w:sz w:val="20"/>
                <w:szCs w:val="20"/>
              </w:rPr>
              <w:t> </w:t>
            </w:r>
          </w:p>
        </w:tc>
        <w:tc>
          <w:tcPr>
            <w:tcW w:w="10425" w:type="dxa"/>
            <w:tcBorders>
              <w:top w:val="nil"/>
              <w:left w:val="nil"/>
              <w:bottom w:val="single" w:sz="8" w:space="0" w:color="000000"/>
              <w:right w:val="single" w:sz="8" w:space="0" w:color="000000"/>
            </w:tcBorders>
            <w:tcMar>
              <w:top w:w="0" w:type="dxa"/>
              <w:left w:w="108" w:type="dxa"/>
              <w:bottom w:w="0" w:type="dxa"/>
              <w:right w:w="108" w:type="dxa"/>
            </w:tcMar>
            <w:hideMark/>
          </w:tcPr>
          <w:p w:rsidR="009E238E" w:rsidRPr="004A7D83" w:rsidRDefault="009E238E" w:rsidP="009E238E">
            <w:pPr>
              <w:spacing w:after="120"/>
              <w:rPr>
                <w:rFonts w:ascii="Calibri" w:hAnsi="Calibri"/>
              </w:rPr>
            </w:pPr>
            <w:r w:rsidRPr="004A7D83">
              <w:rPr>
                <w:rFonts w:ascii="Calibri" w:hAnsi="Calibri"/>
                <w:sz w:val="20"/>
                <w:szCs w:val="20"/>
              </w:rPr>
              <w:t>Z pohľadu starostlivosti o les je neodmysliteľnou dôsledná prevencia a minimalizácia poškodzovania lesných porastov (škodcovia, požiare, kalamity, erózia), obnova lesa na holinách, ktoré vznikli pôsobením škodlivých činiteľov, vrátane sprístupňovania kriticky ohrozených lesov. Zlepšenie starostlivosti o lesy je tak čiastočne podmienené aj existenciou objektívne potrebnej infraštruktúry lesných ciest.</w:t>
            </w:r>
            <w:r>
              <w:rPr>
                <w:rFonts w:ascii="Calibri" w:hAnsi="Calibri"/>
                <w:sz w:val="20"/>
                <w:szCs w:val="20"/>
              </w:rPr>
              <w:t xml:space="preserve">   </w:t>
            </w:r>
            <w:r w:rsidRPr="004A7D83">
              <w:rPr>
                <w:rFonts w:ascii="Calibri" w:hAnsi="Calibri"/>
                <w:sz w:val="20"/>
                <w:szCs w:val="20"/>
              </w:rPr>
              <w:t xml:space="preserve">Cieľom SR je dosiahnuť hustotu lesnej dopravnej siete na úrovni 25 bm/ha. Na optimálne sprístupnenie lesov v SR je treba dobudovať ešte cca 3 000 – 5 000 km lesných ciest, čo  predstavuje strategickú prioritu lesného hospodárstva. </w:t>
            </w:r>
          </w:p>
          <w:p w:rsidR="009E238E" w:rsidRPr="004A7D83" w:rsidRDefault="009E238E" w:rsidP="009E238E">
            <w:pPr>
              <w:spacing w:after="120"/>
              <w:rPr>
                <w:rFonts w:ascii="Calibri" w:hAnsi="Calibri"/>
              </w:rPr>
            </w:pPr>
            <w:r w:rsidRPr="004A7D83">
              <w:rPr>
                <w:rFonts w:ascii="Calibri" w:hAnsi="Calibri"/>
                <w:sz w:val="20"/>
                <w:szCs w:val="20"/>
              </w:rPr>
              <w:t xml:space="preserve">V roku 2011 bolo podľa evidencie Požiarnotechnického a expertízneho ústavu MVSR </w:t>
            </w:r>
            <w:r w:rsidRPr="004A7D83">
              <w:rPr>
                <w:rFonts w:ascii="Calibri" w:hAnsi="Calibri"/>
                <w:b/>
                <w:bCs/>
                <w:sz w:val="20"/>
                <w:szCs w:val="20"/>
              </w:rPr>
              <w:t>evidovaných 303 lesných požiarov</w:t>
            </w:r>
            <w:r w:rsidRPr="004A7D83">
              <w:rPr>
                <w:rFonts w:ascii="Calibri" w:hAnsi="Calibri"/>
                <w:sz w:val="20"/>
                <w:szCs w:val="20"/>
              </w:rPr>
              <w:t xml:space="preserve"> s celkovou zhorenou plochou 402,55 ha a vyčíslenou škodou 577 070 EUR, plus dodatočné výdavky na letecký monitoring.</w:t>
            </w:r>
          </w:p>
          <w:p w:rsidR="009E238E" w:rsidRPr="004A7D83" w:rsidRDefault="009E238E" w:rsidP="009E238E">
            <w:pPr>
              <w:spacing w:after="120"/>
              <w:rPr>
                <w:rFonts w:ascii="Calibri" w:hAnsi="Calibri"/>
              </w:rPr>
            </w:pPr>
            <w:r w:rsidRPr="004A7D83">
              <w:rPr>
                <w:rFonts w:ascii="Calibri" w:hAnsi="Calibri"/>
                <w:sz w:val="20"/>
                <w:szCs w:val="20"/>
              </w:rPr>
              <w:t xml:space="preserve">V prevencii lesov pred požiarmi je optimálne zvýšiť vodozádržnú kapacitu lesov, čím sa zlepší jednak protipovodňová ochranná funkcia lesov a tiež dostupnosť a zásoby vody pre protipožiarnu ochranu lesa (napr. protipožiarne nádrže). </w:t>
            </w:r>
          </w:p>
          <w:p w:rsidR="009E238E" w:rsidRPr="004A7D83" w:rsidRDefault="009E238E" w:rsidP="009E238E">
            <w:pPr>
              <w:spacing w:after="120"/>
              <w:rPr>
                <w:rFonts w:ascii="Calibri" w:hAnsi="Calibri"/>
              </w:rPr>
            </w:pPr>
            <w:r w:rsidRPr="004A7D83">
              <w:rPr>
                <w:rFonts w:ascii="Calibri" w:hAnsi="Calibri"/>
                <w:sz w:val="20"/>
                <w:szCs w:val="20"/>
              </w:rPr>
              <w:t xml:space="preserve">Podiel náhodných ťažieb t. j. ťažieb, ktoré boli vykonané ako dôsledok prírodných katastrof v lesoch dosiahol roku 2011: </w:t>
            </w:r>
            <w:r w:rsidRPr="00A6604A">
              <w:rPr>
                <w:rFonts w:ascii="Calibri" w:hAnsi="Calibri"/>
                <w:b/>
                <w:sz w:val="20"/>
                <w:szCs w:val="20"/>
              </w:rPr>
              <w:t>52 %</w:t>
            </w:r>
            <w:r w:rsidRPr="004A7D83">
              <w:rPr>
                <w:rFonts w:ascii="Calibri" w:hAnsi="Calibri"/>
                <w:sz w:val="20"/>
                <w:szCs w:val="20"/>
              </w:rPr>
              <w:t xml:space="preserve">. Následkom takýchto ťažieb vznikli holiny, ktoré v roku 2011 dosiahli kumulovanú výmeru </w:t>
            </w:r>
            <w:r w:rsidRPr="004A7D83">
              <w:rPr>
                <w:rFonts w:ascii="Calibri" w:hAnsi="Calibri"/>
                <w:b/>
                <w:bCs/>
                <w:sz w:val="20"/>
                <w:szCs w:val="20"/>
              </w:rPr>
              <w:t xml:space="preserve">18 441,84 ha. </w:t>
            </w:r>
            <w:r w:rsidRPr="004A7D83">
              <w:rPr>
                <w:rFonts w:ascii="Calibri" w:hAnsi="Calibri"/>
                <w:sz w:val="20"/>
                <w:szCs w:val="20"/>
              </w:rPr>
              <w:t>Tieto holiny bude potrebné zalesniť, aby na týchto plochách boli čím skôr obnovené všetky funkcie lesa.</w:t>
            </w:r>
          </w:p>
          <w:p w:rsidR="009E238E" w:rsidRPr="004A7D83" w:rsidRDefault="009E238E" w:rsidP="009E238E">
            <w:pPr>
              <w:spacing w:after="120"/>
              <w:rPr>
                <w:rFonts w:ascii="Calibri" w:hAnsi="Calibri"/>
              </w:rPr>
            </w:pPr>
            <w:r w:rsidRPr="004A7D83">
              <w:rPr>
                <w:rFonts w:ascii="Calibri" w:hAnsi="Calibri"/>
                <w:sz w:val="20"/>
                <w:szCs w:val="20"/>
              </w:rPr>
              <w:t>Vyššie uvedené kritické stránky LH je potrebné adresovať v rámci aktivít vzdelávania a poradenstva a tiež akcentovať pri vypracovaní a realizácii účinných lesohospodárskych plánov.</w:t>
            </w:r>
          </w:p>
        </w:tc>
      </w:tr>
      <w:tr w:rsidR="009E238E" w:rsidRPr="004A7D83" w:rsidTr="009E238E">
        <w:trPr>
          <w:trHeight w:val="172"/>
        </w:trPr>
        <w:tc>
          <w:tcPr>
            <w:tcW w:w="269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9E238E" w:rsidRPr="004A7D83" w:rsidRDefault="009E238E" w:rsidP="00CE203B">
            <w:pPr>
              <w:numPr>
                <w:ilvl w:val="0"/>
                <w:numId w:val="343"/>
              </w:numPr>
              <w:spacing w:after="120"/>
              <w:ind w:left="284" w:hanging="284"/>
              <w:jc w:val="left"/>
              <w:textAlignment w:val="baseline"/>
              <w:rPr>
                <w:rFonts w:ascii="Calibri" w:hAnsi="Calibri"/>
              </w:rPr>
            </w:pPr>
            <w:r w:rsidRPr="004A7D83">
              <w:rPr>
                <w:rFonts w:ascii="Calibri" w:hAnsi="Calibri"/>
                <w:sz w:val="20"/>
                <w:szCs w:val="20"/>
                <w:lang w:eastAsia="zh-CN"/>
              </w:rPr>
              <w:t>Udržanie existujúcich a vytváranie nových pracovných miest na vidieku</w:t>
            </w:r>
          </w:p>
        </w:tc>
        <w:tc>
          <w:tcPr>
            <w:tcW w:w="1090" w:type="dxa"/>
            <w:tcBorders>
              <w:top w:val="nil"/>
              <w:left w:val="nil"/>
              <w:bottom w:val="single" w:sz="8" w:space="0" w:color="000000"/>
              <w:right w:val="single" w:sz="8" w:space="0" w:color="000000"/>
            </w:tcBorders>
            <w:tcMar>
              <w:top w:w="0" w:type="dxa"/>
              <w:left w:w="108" w:type="dxa"/>
              <w:bottom w:w="0" w:type="dxa"/>
              <w:right w:w="108" w:type="dxa"/>
            </w:tcMar>
            <w:hideMark/>
          </w:tcPr>
          <w:p w:rsidR="009E238E" w:rsidRDefault="009E238E" w:rsidP="009E238E">
            <w:pPr>
              <w:jc w:val="center"/>
              <w:rPr>
                <w:rFonts w:ascii="Calibri" w:hAnsi="Calibri"/>
                <w:sz w:val="20"/>
                <w:szCs w:val="20"/>
                <w:lang w:eastAsia="zh-CN"/>
              </w:rPr>
            </w:pPr>
            <w:r w:rsidRPr="004A7D83">
              <w:rPr>
                <w:rFonts w:ascii="Calibri" w:hAnsi="Calibri"/>
                <w:sz w:val="20"/>
                <w:szCs w:val="20"/>
                <w:lang w:eastAsia="zh-CN"/>
              </w:rPr>
              <w:t>6A, 6B, 3A, 2A, 2B</w:t>
            </w:r>
          </w:p>
          <w:p w:rsidR="009E238E" w:rsidRPr="004A7D83" w:rsidRDefault="009E238E" w:rsidP="009E238E">
            <w:pPr>
              <w:jc w:val="center"/>
              <w:rPr>
                <w:rFonts w:ascii="Calibri" w:hAnsi="Calibri"/>
              </w:rPr>
            </w:pPr>
            <w:r>
              <w:rPr>
                <w:rFonts w:ascii="Calibri" w:hAnsi="Calibri"/>
                <w:sz w:val="20"/>
                <w:szCs w:val="20"/>
                <w:lang w:eastAsia="zh-CN"/>
              </w:rPr>
              <w:t>inovácie</w:t>
            </w:r>
          </w:p>
        </w:tc>
        <w:tc>
          <w:tcPr>
            <w:tcW w:w="10425" w:type="dxa"/>
            <w:tcBorders>
              <w:top w:val="nil"/>
              <w:left w:val="nil"/>
              <w:bottom w:val="single" w:sz="8" w:space="0" w:color="000000"/>
              <w:right w:val="single" w:sz="8" w:space="0" w:color="000000"/>
            </w:tcBorders>
            <w:tcMar>
              <w:top w:w="0" w:type="dxa"/>
              <w:left w:w="108" w:type="dxa"/>
              <w:bottom w:w="0" w:type="dxa"/>
              <w:right w:w="108" w:type="dxa"/>
            </w:tcMar>
            <w:hideMark/>
          </w:tcPr>
          <w:p w:rsidR="009E238E" w:rsidRDefault="009E238E" w:rsidP="009E238E">
            <w:pPr>
              <w:spacing w:after="120"/>
              <w:rPr>
                <w:rFonts w:ascii="Calibri" w:hAnsi="Calibri"/>
                <w:sz w:val="20"/>
                <w:szCs w:val="20"/>
                <w:lang w:eastAsia="en-US"/>
              </w:rPr>
            </w:pPr>
            <w:r>
              <w:rPr>
                <w:rFonts w:ascii="Calibri" w:hAnsi="Calibri"/>
                <w:sz w:val="20"/>
                <w:szCs w:val="20"/>
                <w:lang w:eastAsia="en-US"/>
              </w:rPr>
              <w:t>V</w:t>
            </w:r>
            <w:r w:rsidRPr="00E43137">
              <w:rPr>
                <w:rFonts w:ascii="Calibri" w:hAnsi="Calibri"/>
                <w:sz w:val="20"/>
                <w:szCs w:val="20"/>
                <w:lang w:eastAsia="en-US"/>
              </w:rPr>
              <w:t xml:space="preserve"> poľnohospodárstve </w:t>
            </w:r>
            <w:r>
              <w:rPr>
                <w:rFonts w:ascii="Calibri" w:hAnsi="Calibri"/>
                <w:sz w:val="20"/>
                <w:szCs w:val="20"/>
                <w:lang w:eastAsia="en-US"/>
              </w:rPr>
              <w:t xml:space="preserve">je </w:t>
            </w:r>
            <w:r w:rsidRPr="00E43137">
              <w:rPr>
                <w:rFonts w:ascii="Calibri" w:hAnsi="Calibri"/>
                <w:sz w:val="20"/>
                <w:szCs w:val="20"/>
                <w:lang w:eastAsia="en-US"/>
              </w:rPr>
              <w:t xml:space="preserve">vyšší počet zaniknutých pracovných miest ako novovzniknutých. Predpokladom rozvoja </w:t>
            </w:r>
            <w:r>
              <w:rPr>
                <w:rFonts w:ascii="Calibri" w:hAnsi="Calibri"/>
                <w:sz w:val="20"/>
                <w:szCs w:val="20"/>
                <w:lang w:eastAsia="en-US"/>
              </w:rPr>
              <w:t xml:space="preserve">vidieka, </w:t>
            </w:r>
            <w:r w:rsidRPr="00E43137">
              <w:rPr>
                <w:rFonts w:ascii="Calibri" w:hAnsi="Calibri"/>
                <w:sz w:val="20"/>
                <w:szCs w:val="20"/>
                <w:lang w:eastAsia="en-US"/>
              </w:rPr>
              <w:t>pôdohospodárstva a nových pracovných miest je oživenie domácej produkci</w:t>
            </w:r>
            <w:r>
              <w:rPr>
                <w:rFonts w:ascii="Calibri" w:hAnsi="Calibri"/>
                <w:sz w:val="20"/>
                <w:szCs w:val="20"/>
                <w:lang w:eastAsia="en-US"/>
              </w:rPr>
              <w:t>e,</w:t>
            </w:r>
            <w:r w:rsidRPr="00E43137">
              <w:rPr>
                <w:rFonts w:ascii="Calibri" w:hAnsi="Calibri"/>
                <w:sz w:val="20"/>
                <w:szCs w:val="20"/>
                <w:lang w:eastAsia="en-US"/>
              </w:rPr>
              <w:t xml:space="preserve"> </w:t>
            </w:r>
            <w:r>
              <w:rPr>
                <w:rFonts w:ascii="Calibri" w:hAnsi="Calibri"/>
                <w:sz w:val="20"/>
                <w:szCs w:val="20"/>
                <w:lang w:eastAsia="en-US"/>
              </w:rPr>
              <w:t xml:space="preserve">podpora </w:t>
            </w:r>
            <w:r w:rsidRPr="00E43137">
              <w:rPr>
                <w:rFonts w:ascii="Calibri" w:hAnsi="Calibri"/>
                <w:sz w:val="20"/>
                <w:szCs w:val="20"/>
                <w:lang w:eastAsia="en-US"/>
              </w:rPr>
              <w:t>investíci</w:t>
            </w:r>
            <w:r>
              <w:rPr>
                <w:rFonts w:ascii="Calibri" w:hAnsi="Calibri"/>
                <w:sz w:val="20"/>
                <w:szCs w:val="20"/>
                <w:lang w:eastAsia="en-US"/>
              </w:rPr>
              <w:t>í</w:t>
            </w:r>
            <w:r w:rsidRPr="00E43137">
              <w:rPr>
                <w:rFonts w:ascii="Calibri" w:hAnsi="Calibri"/>
                <w:sz w:val="20"/>
                <w:szCs w:val="20"/>
                <w:lang w:eastAsia="en-US"/>
              </w:rPr>
              <w:t xml:space="preserve"> </w:t>
            </w:r>
            <w:r>
              <w:rPr>
                <w:rFonts w:ascii="Calibri" w:hAnsi="Calibri"/>
                <w:sz w:val="20"/>
                <w:szCs w:val="20"/>
                <w:lang w:eastAsia="en-US"/>
              </w:rPr>
              <w:t xml:space="preserve">do </w:t>
            </w:r>
            <w:r w:rsidRPr="00E43137">
              <w:rPr>
                <w:rFonts w:ascii="Calibri" w:hAnsi="Calibri"/>
                <w:b/>
                <w:bCs/>
                <w:sz w:val="20"/>
                <w:szCs w:val="20"/>
                <w:lang w:eastAsia="en-US"/>
              </w:rPr>
              <w:t xml:space="preserve">malých fariem a ich </w:t>
            </w:r>
            <w:r>
              <w:rPr>
                <w:rFonts w:ascii="Calibri" w:hAnsi="Calibri"/>
                <w:b/>
                <w:bCs/>
                <w:sz w:val="20"/>
                <w:szCs w:val="20"/>
                <w:lang w:eastAsia="en-US"/>
              </w:rPr>
              <w:t xml:space="preserve">vzájomnej </w:t>
            </w:r>
            <w:r w:rsidRPr="00E43137">
              <w:rPr>
                <w:rFonts w:ascii="Calibri" w:hAnsi="Calibri"/>
                <w:b/>
                <w:bCs/>
                <w:sz w:val="20"/>
                <w:szCs w:val="20"/>
                <w:lang w:eastAsia="en-US"/>
              </w:rPr>
              <w:t>spoluprác</w:t>
            </w:r>
            <w:r>
              <w:rPr>
                <w:rFonts w:ascii="Calibri" w:hAnsi="Calibri"/>
                <w:b/>
                <w:bCs/>
                <w:sz w:val="20"/>
                <w:szCs w:val="20"/>
                <w:lang w:eastAsia="en-US"/>
              </w:rPr>
              <w:t>e. Z</w:t>
            </w:r>
            <w:r w:rsidRPr="00E43137">
              <w:rPr>
                <w:rFonts w:ascii="Calibri" w:hAnsi="Calibri"/>
                <w:b/>
                <w:bCs/>
                <w:sz w:val="20"/>
                <w:szCs w:val="20"/>
                <w:lang w:eastAsia="en-US"/>
              </w:rPr>
              <w:t xml:space="preserve">drojom pracovných miest sú </w:t>
            </w:r>
            <w:r>
              <w:rPr>
                <w:rFonts w:ascii="Calibri" w:hAnsi="Calibri"/>
                <w:b/>
                <w:bCs/>
                <w:sz w:val="20"/>
                <w:szCs w:val="20"/>
                <w:lang w:eastAsia="en-US"/>
              </w:rPr>
              <w:t xml:space="preserve">aj </w:t>
            </w:r>
            <w:r w:rsidRPr="00E43137">
              <w:rPr>
                <w:rFonts w:ascii="Calibri" w:hAnsi="Calibri"/>
                <w:b/>
                <w:bCs/>
                <w:sz w:val="20"/>
                <w:szCs w:val="20"/>
                <w:lang w:eastAsia="en-US"/>
              </w:rPr>
              <w:t>MSP.</w:t>
            </w:r>
            <w:r w:rsidRPr="00E43137">
              <w:rPr>
                <w:rFonts w:ascii="Calibri" w:hAnsi="Calibri"/>
                <w:sz w:val="20"/>
                <w:szCs w:val="20"/>
                <w:vertAlign w:val="superscript"/>
                <w:lang w:eastAsia="en-US"/>
              </w:rPr>
              <w:t>[1]</w:t>
            </w:r>
            <w:r>
              <w:rPr>
                <w:rFonts w:ascii="Calibri" w:hAnsi="Calibri"/>
                <w:sz w:val="20"/>
                <w:szCs w:val="20"/>
                <w:lang w:eastAsia="en-US"/>
              </w:rPr>
              <w:t>, kde</w:t>
            </w:r>
            <w:r w:rsidRPr="00E43137">
              <w:rPr>
                <w:rFonts w:ascii="Calibri" w:hAnsi="Calibri"/>
                <w:sz w:val="20"/>
                <w:szCs w:val="20"/>
                <w:lang w:eastAsia="en-US"/>
              </w:rPr>
              <w:t xml:space="preserve"> je priestor aj pre </w:t>
            </w:r>
            <w:r>
              <w:rPr>
                <w:rFonts w:ascii="Calibri" w:hAnsi="Calibri"/>
                <w:sz w:val="20"/>
                <w:szCs w:val="20"/>
                <w:lang w:eastAsia="en-US"/>
              </w:rPr>
              <w:t xml:space="preserve">inovačné </w:t>
            </w:r>
            <w:r w:rsidRPr="00E43137">
              <w:rPr>
                <w:rFonts w:ascii="Calibri" w:hAnsi="Calibri"/>
                <w:sz w:val="20"/>
                <w:szCs w:val="20"/>
                <w:lang w:eastAsia="en-US"/>
              </w:rPr>
              <w:t>projekty</w:t>
            </w:r>
            <w:r>
              <w:rPr>
                <w:rFonts w:ascii="Calibri" w:hAnsi="Calibri"/>
                <w:b/>
                <w:bCs/>
                <w:sz w:val="20"/>
                <w:szCs w:val="20"/>
                <w:lang w:eastAsia="en-US"/>
              </w:rPr>
              <w:t xml:space="preserve"> zamerané na podporu</w:t>
            </w:r>
            <w:r w:rsidR="008F198F">
              <w:rPr>
                <w:rFonts w:ascii="Calibri" w:hAnsi="Calibri"/>
                <w:b/>
                <w:bCs/>
                <w:sz w:val="20"/>
                <w:szCs w:val="20"/>
                <w:lang w:eastAsia="en-US"/>
              </w:rPr>
              <w:t xml:space="preserve"> </w:t>
            </w:r>
            <w:r w:rsidRPr="00E43137">
              <w:rPr>
                <w:rFonts w:ascii="Calibri" w:hAnsi="Calibri"/>
                <w:b/>
                <w:bCs/>
                <w:sz w:val="20"/>
                <w:szCs w:val="20"/>
                <w:lang w:eastAsia="en-US"/>
              </w:rPr>
              <w:t>potravinovej vertikály</w:t>
            </w:r>
            <w:r w:rsidRPr="00E43137">
              <w:rPr>
                <w:rFonts w:ascii="Calibri" w:hAnsi="Calibri"/>
                <w:sz w:val="20"/>
                <w:szCs w:val="20"/>
                <w:lang w:eastAsia="en-US"/>
              </w:rPr>
              <w:t xml:space="preserve"> špecializovaných produkto</w:t>
            </w:r>
            <w:r>
              <w:rPr>
                <w:rFonts w:ascii="Calibri" w:hAnsi="Calibri"/>
                <w:sz w:val="20"/>
                <w:szCs w:val="20"/>
                <w:lang w:eastAsia="en-US"/>
              </w:rPr>
              <w:t>v</w:t>
            </w:r>
            <w:r w:rsidRPr="00E43137">
              <w:rPr>
                <w:rFonts w:ascii="Calibri" w:hAnsi="Calibri"/>
                <w:sz w:val="20"/>
                <w:szCs w:val="20"/>
                <w:lang w:eastAsia="en-US"/>
              </w:rPr>
              <w:t>.</w:t>
            </w:r>
          </w:p>
          <w:p w:rsidR="009E238E" w:rsidRPr="00E43137" w:rsidRDefault="009E238E" w:rsidP="009E238E">
            <w:pPr>
              <w:spacing w:after="120"/>
              <w:rPr>
                <w:rFonts w:ascii="Calibri" w:hAnsi="Calibri"/>
                <w:sz w:val="20"/>
                <w:szCs w:val="20"/>
                <w:lang w:eastAsia="en-US"/>
              </w:rPr>
            </w:pPr>
            <w:r>
              <w:rPr>
                <w:rFonts w:ascii="Calibri" w:hAnsi="Calibri"/>
                <w:sz w:val="20"/>
                <w:szCs w:val="20"/>
                <w:lang w:eastAsia="en-US"/>
              </w:rPr>
              <w:t>Zníženie dlhodobej nezamestnanosti je podstatným cieľom Stratégie Európa 2020. Miera nezamestnanosti na vidieku je oveľa vyššia ako v mestských regiónoch a tiež ako je priemer v SR. Hlavnými faktormi rozdielnosti mestských a vidieckych regiónov sú štrukturálne ťažkosti veľkých</w:t>
            </w:r>
            <w:r w:rsidR="008F198F">
              <w:rPr>
                <w:rFonts w:ascii="Calibri" w:hAnsi="Calibri"/>
                <w:sz w:val="20"/>
                <w:szCs w:val="20"/>
                <w:lang w:eastAsia="en-US"/>
              </w:rPr>
              <w:t xml:space="preserve"> </w:t>
            </w:r>
            <w:r>
              <w:rPr>
                <w:rFonts w:ascii="Calibri" w:hAnsi="Calibri"/>
                <w:sz w:val="20"/>
                <w:szCs w:val="20"/>
                <w:lang w:eastAsia="en-US"/>
              </w:rPr>
              <w:t>subjektov, infraštruktu</w:t>
            </w:r>
            <w:r w:rsidR="008F198F">
              <w:rPr>
                <w:rFonts w:ascii="Calibri" w:hAnsi="Calibri"/>
                <w:sz w:val="20"/>
                <w:szCs w:val="20"/>
                <w:lang w:eastAsia="en-US"/>
              </w:rPr>
              <w:t>r</w:t>
            </w:r>
            <w:r>
              <w:rPr>
                <w:rFonts w:ascii="Calibri" w:hAnsi="Calibri"/>
                <w:sz w:val="20"/>
                <w:szCs w:val="20"/>
                <w:lang w:eastAsia="en-US"/>
              </w:rPr>
              <w:t xml:space="preserve">álna zaostalosť a slabá integrácia do trhu práce hendikepovaných sociálnych skupín a etnických minorít. </w:t>
            </w:r>
            <w:r w:rsidR="008F198F" w:rsidRPr="00F27EEC">
              <w:rPr>
                <w:rFonts w:ascii="Calibri" w:hAnsi="Calibri"/>
                <w:sz w:val="20"/>
                <w:szCs w:val="20"/>
                <w:lang w:eastAsia="en-US"/>
              </w:rPr>
              <w:t>Kľúčovú</w:t>
            </w:r>
            <w:r w:rsidRPr="00F27EEC">
              <w:rPr>
                <w:rFonts w:ascii="Calibri" w:hAnsi="Calibri"/>
                <w:sz w:val="20"/>
                <w:szCs w:val="20"/>
                <w:lang w:eastAsia="en-US"/>
              </w:rPr>
              <w:t xml:space="preserve"> úlohu v riešení  vysokej nezamestnanosti  na vidieku by mohla zohrať väčšia podpora rodinných fariem a mladých roľníkov. K stanoveniu opatrení je potrebné neustále monitorovanie, identifikácia a analýza vzdelávacích potrieb v praxi, ktoré sú deklarované aj v Stratégii celoživotného vzdelávania 2011, prijatej uznesením vlády SR č. 657/2011 zo dňa 12. októbra 2011. </w:t>
            </w:r>
            <w:r w:rsidRPr="00E43137">
              <w:rPr>
                <w:rFonts w:ascii="Calibri" w:hAnsi="Calibri"/>
                <w:sz w:val="20"/>
                <w:szCs w:val="20"/>
                <w:lang w:eastAsia="en-US"/>
              </w:rPr>
              <w:t>Pre posilnenie vidieckej zamestnanosti je dôležit</w:t>
            </w:r>
            <w:r>
              <w:rPr>
                <w:rFonts w:ascii="Calibri" w:hAnsi="Calibri"/>
                <w:sz w:val="20"/>
                <w:szCs w:val="20"/>
                <w:lang w:eastAsia="en-US"/>
              </w:rPr>
              <w:t xml:space="preserve">á </w:t>
            </w:r>
            <w:r w:rsidRPr="00E43137">
              <w:rPr>
                <w:rFonts w:ascii="Calibri" w:hAnsi="Calibri"/>
                <w:sz w:val="20"/>
                <w:szCs w:val="20"/>
                <w:lang w:eastAsia="en-US"/>
              </w:rPr>
              <w:t>podpor</w:t>
            </w:r>
            <w:r>
              <w:rPr>
                <w:rFonts w:ascii="Calibri" w:hAnsi="Calibri"/>
                <w:sz w:val="20"/>
                <w:szCs w:val="20"/>
                <w:lang w:eastAsia="en-US"/>
              </w:rPr>
              <w:t>a</w:t>
            </w:r>
            <w:r w:rsidRPr="00E43137">
              <w:rPr>
                <w:rFonts w:ascii="Calibri" w:hAnsi="Calibri"/>
                <w:sz w:val="20"/>
                <w:szCs w:val="20"/>
                <w:lang w:eastAsia="en-US"/>
              </w:rPr>
              <w:t xml:space="preserve"> sektora živočíšnej výroby </w:t>
            </w:r>
            <w:r>
              <w:rPr>
                <w:rFonts w:ascii="Calibri" w:hAnsi="Calibri"/>
                <w:sz w:val="20"/>
                <w:szCs w:val="20"/>
                <w:lang w:eastAsia="en-US"/>
              </w:rPr>
              <w:t> ,</w:t>
            </w:r>
            <w:r w:rsidRPr="00E43137">
              <w:rPr>
                <w:rFonts w:ascii="Calibri" w:hAnsi="Calibri"/>
                <w:sz w:val="20"/>
                <w:szCs w:val="20"/>
                <w:lang w:eastAsia="en-US"/>
              </w:rPr>
              <w:t xml:space="preserve"> ovocia a zeleniny (rozšírenie výroby a spracovania sezónnej i nesezónnej zeleniny, </w:t>
            </w:r>
            <w:r w:rsidRPr="001A1BCF">
              <w:rPr>
                <w:rFonts w:ascii="Calibri" w:hAnsi="Calibri"/>
                <w:sz w:val="20"/>
                <w:szCs w:val="20"/>
                <w:lang w:eastAsia="en-US"/>
              </w:rPr>
              <w:t>rekonštrukcia ovocných sadov,</w:t>
            </w:r>
            <w:r>
              <w:rPr>
                <w:rFonts w:ascii="Calibri" w:hAnsi="Calibri"/>
                <w:sz w:val="20"/>
                <w:szCs w:val="20"/>
                <w:lang w:eastAsia="en-US"/>
              </w:rPr>
              <w:t xml:space="preserve"> </w:t>
            </w:r>
            <w:r w:rsidRPr="00E43137">
              <w:rPr>
                <w:rFonts w:ascii="Calibri" w:hAnsi="Calibri"/>
                <w:sz w:val="20"/>
                <w:szCs w:val="20"/>
                <w:lang w:eastAsia="en-US"/>
              </w:rPr>
              <w:t>spracovanie, skladovanie a distribúcia, programy inovácie rastlinnej produkcie, zavádzanie nových plodín a úpravy pre trh).</w:t>
            </w:r>
          </w:p>
          <w:p w:rsidR="009E238E" w:rsidRPr="00E43137" w:rsidRDefault="009E238E" w:rsidP="009E238E">
            <w:pPr>
              <w:spacing w:after="120"/>
              <w:rPr>
                <w:rFonts w:ascii="Calibri" w:hAnsi="Calibri"/>
                <w:sz w:val="20"/>
                <w:szCs w:val="20"/>
                <w:lang w:eastAsia="en-US"/>
              </w:rPr>
            </w:pPr>
            <w:r w:rsidRPr="00E43137">
              <w:rPr>
                <w:rFonts w:ascii="Calibri" w:hAnsi="Calibri"/>
                <w:sz w:val="20"/>
                <w:szCs w:val="20"/>
                <w:lang w:eastAsia="en-US"/>
              </w:rPr>
              <w:t xml:space="preserve">Nový PRV bude zameraný aj na podporu, vytváranie vhodných podmienok podnikania na vidieku, na zvýhodnenie </w:t>
            </w:r>
            <w:r w:rsidRPr="00E43137">
              <w:rPr>
                <w:rFonts w:ascii="Calibri" w:hAnsi="Calibri"/>
                <w:b/>
                <w:bCs/>
                <w:i/>
                <w:iCs/>
                <w:sz w:val="20"/>
                <w:szCs w:val="20"/>
                <w:lang w:eastAsia="en-US"/>
              </w:rPr>
              <w:t>projektov vytvárajúcich udržateľné pracovné miesta</w:t>
            </w:r>
            <w:r w:rsidRPr="00E43137">
              <w:rPr>
                <w:rFonts w:ascii="Calibri" w:hAnsi="Calibri"/>
                <w:sz w:val="20"/>
                <w:szCs w:val="20"/>
                <w:lang w:eastAsia="en-US"/>
              </w:rPr>
              <w:t xml:space="preserve">, </w:t>
            </w:r>
            <w:r>
              <w:rPr>
                <w:rFonts w:ascii="Calibri" w:hAnsi="Calibri"/>
                <w:sz w:val="20"/>
                <w:szCs w:val="20"/>
                <w:lang w:eastAsia="en-US"/>
              </w:rPr>
              <w:t>pre</w:t>
            </w:r>
            <w:r w:rsidRPr="00E43137">
              <w:rPr>
                <w:rFonts w:ascii="Calibri" w:hAnsi="Calibri"/>
                <w:sz w:val="20"/>
                <w:szCs w:val="20"/>
                <w:lang w:eastAsia="en-US"/>
              </w:rPr>
              <w:t xml:space="preserve"> absolventov a uchádzačov o zamestnanie. </w:t>
            </w:r>
          </w:p>
          <w:p w:rsidR="009E238E" w:rsidRPr="0085687E" w:rsidRDefault="009E238E" w:rsidP="009E238E">
            <w:pPr>
              <w:spacing w:after="120"/>
              <w:rPr>
                <w:rFonts w:ascii="Calibri" w:hAnsi="Calibri"/>
              </w:rPr>
            </w:pPr>
            <w:r w:rsidRPr="00E43137">
              <w:rPr>
                <w:rFonts w:ascii="Calibri" w:hAnsi="Calibri"/>
                <w:sz w:val="20"/>
                <w:szCs w:val="20"/>
                <w:lang w:eastAsia="en-US"/>
              </w:rPr>
              <w:t>[1] Aj podľa pozičného dokumentu EK.</w:t>
            </w:r>
          </w:p>
        </w:tc>
      </w:tr>
      <w:tr w:rsidR="009E238E" w:rsidRPr="004A7D83" w:rsidTr="009E238E">
        <w:trPr>
          <w:trHeight w:val="172"/>
        </w:trPr>
        <w:tc>
          <w:tcPr>
            <w:tcW w:w="269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9E238E" w:rsidRPr="004A7D83" w:rsidRDefault="009E238E" w:rsidP="00CE203B">
            <w:pPr>
              <w:numPr>
                <w:ilvl w:val="0"/>
                <w:numId w:val="343"/>
              </w:numPr>
              <w:spacing w:after="120"/>
              <w:ind w:left="284" w:hanging="284"/>
              <w:jc w:val="left"/>
              <w:textAlignment w:val="baseline"/>
              <w:rPr>
                <w:rFonts w:ascii="Calibri" w:hAnsi="Calibri"/>
              </w:rPr>
            </w:pPr>
            <w:r w:rsidRPr="004A7D83">
              <w:rPr>
                <w:rFonts w:ascii="Calibri" w:hAnsi="Calibri"/>
                <w:sz w:val="20"/>
                <w:szCs w:val="20"/>
                <w:lang w:eastAsia="zh-CN"/>
              </w:rPr>
              <w:t>Posilnenie ekonomickej stability / životaschopnosti malých podnikov na vidieku</w:t>
            </w:r>
          </w:p>
        </w:tc>
        <w:tc>
          <w:tcPr>
            <w:tcW w:w="1090" w:type="dxa"/>
            <w:tcBorders>
              <w:top w:val="nil"/>
              <w:left w:val="nil"/>
              <w:bottom w:val="single" w:sz="8" w:space="0" w:color="000000"/>
              <w:right w:val="single" w:sz="8" w:space="0" w:color="000000"/>
            </w:tcBorders>
            <w:tcMar>
              <w:top w:w="0" w:type="dxa"/>
              <w:left w:w="108" w:type="dxa"/>
              <w:bottom w:w="0" w:type="dxa"/>
              <w:right w:w="108" w:type="dxa"/>
            </w:tcMar>
            <w:hideMark/>
          </w:tcPr>
          <w:p w:rsidR="009E238E" w:rsidRDefault="009E238E" w:rsidP="009E238E">
            <w:pPr>
              <w:spacing w:after="120"/>
              <w:contextualSpacing/>
              <w:jc w:val="center"/>
              <w:rPr>
                <w:rFonts w:ascii="Calibri" w:hAnsi="Calibri"/>
                <w:sz w:val="20"/>
                <w:szCs w:val="20"/>
              </w:rPr>
            </w:pPr>
            <w:r w:rsidRPr="004A7D83">
              <w:rPr>
                <w:rFonts w:ascii="Calibri" w:hAnsi="Calibri"/>
                <w:sz w:val="20"/>
                <w:szCs w:val="20"/>
              </w:rPr>
              <w:t>6A, 6B</w:t>
            </w:r>
          </w:p>
          <w:p w:rsidR="009E238E" w:rsidRPr="004A7D83" w:rsidRDefault="009E238E" w:rsidP="009E238E">
            <w:pPr>
              <w:spacing w:after="120"/>
              <w:contextualSpacing/>
              <w:jc w:val="center"/>
              <w:rPr>
                <w:rFonts w:ascii="Calibri" w:hAnsi="Calibri"/>
              </w:rPr>
            </w:pPr>
            <w:r>
              <w:rPr>
                <w:rFonts w:ascii="Calibri" w:hAnsi="Calibri"/>
                <w:sz w:val="20"/>
                <w:szCs w:val="20"/>
              </w:rPr>
              <w:t>inovácie</w:t>
            </w:r>
          </w:p>
        </w:tc>
        <w:tc>
          <w:tcPr>
            <w:tcW w:w="10425" w:type="dxa"/>
            <w:tcBorders>
              <w:top w:val="nil"/>
              <w:left w:val="nil"/>
              <w:bottom w:val="single" w:sz="8" w:space="0" w:color="000000"/>
              <w:right w:val="single" w:sz="8" w:space="0" w:color="000000"/>
            </w:tcBorders>
            <w:tcMar>
              <w:top w:w="0" w:type="dxa"/>
              <w:left w:w="108" w:type="dxa"/>
              <w:bottom w:w="0" w:type="dxa"/>
              <w:right w:w="108" w:type="dxa"/>
            </w:tcMar>
            <w:hideMark/>
          </w:tcPr>
          <w:p w:rsidR="009E238E" w:rsidRDefault="009E238E" w:rsidP="009E238E">
            <w:pPr>
              <w:rPr>
                <w:rFonts w:ascii="Calibri" w:hAnsi="Calibri"/>
                <w:sz w:val="20"/>
                <w:szCs w:val="20"/>
                <w:lang w:eastAsia="en-US"/>
              </w:rPr>
            </w:pPr>
            <w:r>
              <w:rPr>
                <w:rFonts w:ascii="Calibri" w:hAnsi="Calibri"/>
                <w:sz w:val="20"/>
                <w:szCs w:val="20"/>
                <w:lang w:eastAsia="en-US"/>
              </w:rPr>
              <w:t xml:space="preserve">V poľnohospodársky najprodukčnejších regiónoch poľnohospodárstvo tvorí značný podiel na zamestnanosti a vidieckej ekonomike. Malí farmári nemajú dostatok produktov pre celú obchodnú sieť a kapitál pre mladých začínajúcich farmárov. V poľnohospodárstve SR sa bude profilovať skupina väčších kapitálovo silných fariem a menších fariem, ktoré sa uplatnia v rozvoji vidieka. Význam budú mať rodinné farmy, dlhodobo udržateľné, vyžadujúce daňové úľavy, ľahšiu administratívu a prístup pri zakladaní farmy.  </w:t>
            </w:r>
          </w:p>
          <w:p w:rsidR="009E238E" w:rsidRDefault="009E238E" w:rsidP="009E238E">
            <w:pPr>
              <w:rPr>
                <w:rFonts w:ascii="Calibri" w:hAnsi="Calibri"/>
                <w:sz w:val="20"/>
                <w:szCs w:val="20"/>
                <w:lang w:eastAsia="en-US"/>
              </w:rPr>
            </w:pPr>
            <w:r w:rsidRPr="008A2178">
              <w:rPr>
                <w:rFonts w:ascii="Calibri" w:hAnsi="Calibri"/>
                <w:sz w:val="20"/>
                <w:szCs w:val="20"/>
                <w:lang w:eastAsia="en-US"/>
              </w:rPr>
              <w:t>Nosn</w:t>
            </w:r>
            <w:r>
              <w:rPr>
                <w:rFonts w:ascii="Calibri" w:hAnsi="Calibri"/>
                <w:sz w:val="20"/>
                <w:szCs w:val="20"/>
                <w:lang w:eastAsia="en-US"/>
              </w:rPr>
              <w:t xml:space="preserve">é pre </w:t>
            </w:r>
            <w:r w:rsidRPr="008A2178">
              <w:rPr>
                <w:rFonts w:ascii="Calibri" w:hAnsi="Calibri"/>
                <w:sz w:val="20"/>
                <w:szCs w:val="20"/>
                <w:lang w:eastAsia="en-US"/>
              </w:rPr>
              <w:t xml:space="preserve">rast regiónov </w:t>
            </w:r>
            <w:r>
              <w:rPr>
                <w:rFonts w:ascii="Calibri" w:hAnsi="Calibri"/>
                <w:sz w:val="20"/>
                <w:szCs w:val="20"/>
                <w:lang w:eastAsia="en-US"/>
              </w:rPr>
              <w:t>sú</w:t>
            </w:r>
            <w:r w:rsidRPr="008A2178">
              <w:rPr>
                <w:rFonts w:ascii="Calibri" w:hAnsi="Calibri"/>
                <w:sz w:val="20"/>
                <w:szCs w:val="20"/>
                <w:lang w:eastAsia="en-US"/>
              </w:rPr>
              <w:t xml:space="preserve"> aj rast zamestnanosti a produktivity. Hlavné znaky socioekonomického rozvoja:</w:t>
            </w:r>
            <w:r>
              <w:rPr>
                <w:rFonts w:ascii="Calibri" w:hAnsi="Calibri"/>
                <w:sz w:val="20"/>
                <w:szCs w:val="20"/>
                <w:lang w:eastAsia="en-US"/>
              </w:rPr>
              <w:t xml:space="preserve"> </w:t>
            </w:r>
            <w:r w:rsidRPr="008A2178">
              <w:rPr>
                <w:rFonts w:ascii="Calibri" w:hAnsi="Calibri"/>
                <w:sz w:val="20"/>
                <w:szCs w:val="20"/>
                <w:lang w:eastAsia="en-US"/>
              </w:rPr>
              <w:t>vhodná štruktúra vidieckej</w:t>
            </w:r>
            <w:r w:rsidRPr="00E43137">
              <w:rPr>
                <w:rFonts w:ascii="Calibri" w:hAnsi="Calibri"/>
                <w:sz w:val="20"/>
                <w:szCs w:val="20"/>
                <w:lang w:eastAsia="en-US"/>
              </w:rPr>
              <w:t xml:space="preserve"> ekonomiky </w:t>
            </w:r>
            <w:r>
              <w:rPr>
                <w:rFonts w:ascii="Calibri" w:hAnsi="Calibri"/>
                <w:sz w:val="20"/>
                <w:szCs w:val="20"/>
                <w:lang w:eastAsia="en-US"/>
              </w:rPr>
              <w:t>a ekonomická výkonnosť</w:t>
            </w:r>
            <w:r w:rsidRPr="00E43137">
              <w:rPr>
                <w:rFonts w:ascii="Calibri" w:hAnsi="Calibri"/>
                <w:sz w:val="20"/>
                <w:szCs w:val="20"/>
                <w:lang w:eastAsia="en-US"/>
              </w:rPr>
              <w:t>,</w:t>
            </w:r>
            <w:r>
              <w:rPr>
                <w:rFonts w:ascii="Calibri" w:hAnsi="Calibri"/>
                <w:sz w:val="20"/>
                <w:szCs w:val="20"/>
                <w:lang w:eastAsia="en-US"/>
              </w:rPr>
              <w:t xml:space="preserve"> </w:t>
            </w:r>
            <w:r w:rsidRPr="008A2178">
              <w:rPr>
                <w:rFonts w:ascii="Calibri" w:hAnsi="Calibri"/>
                <w:sz w:val="20"/>
                <w:szCs w:val="20"/>
                <w:lang w:eastAsia="en-US"/>
              </w:rPr>
              <w:t>vyššia</w:t>
            </w:r>
            <w:r w:rsidRPr="00E43137">
              <w:rPr>
                <w:rFonts w:ascii="Calibri" w:hAnsi="Calibri"/>
                <w:sz w:val="20"/>
                <w:szCs w:val="20"/>
                <w:lang w:eastAsia="en-US"/>
              </w:rPr>
              <w:t xml:space="preserve"> úroveň vzdelanosti,</w:t>
            </w:r>
            <w:r>
              <w:rPr>
                <w:rFonts w:ascii="Calibri" w:hAnsi="Calibri"/>
                <w:sz w:val="20"/>
                <w:szCs w:val="20"/>
                <w:lang w:eastAsia="en-US"/>
              </w:rPr>
              <w:t xml:space="preserve"> </w:t>
            </w:r>
            <w:r w:rsidRPr="00E43137">
              <w:rPr>
                <w:rFonts w:ascii="Calibri" w:hAnsi="Calibri"/>
                <w:sz w:val="20"/>
                <w:szCs w:val="20"/>
                <w:lang w:eastAsia="en-US"/>
              </w:rPr>
              <w:t>rast zamestnanosti a podielu na produktívnom obyvateľstve,</w:t>
            </w:r>
            <w:r>
              <w:rPr>
                <w:rFonts w:ascii="Calibri" w:hAnsi="Calibri"/>
                <w:sz w:val="20"/>
                <w:szCs w:val="20"/>
                <w:lang w:eastAsia="en-US"/>
              </w:rPr>
              <w:t xml:space="preserve"> rast mlad</w:t>
            </w:r>
            <w:r w:rsidRPr="00E43137">
              <w:rPr>
                <w:rFonts w:ascii="Calibri" w:hAnsi="Calibri"/>
                <w:sz w:val="20"/>
                <w:szCs w:val="20"/>
                <w:lang w:eastAsia="en-US"/>
              </w:rPr>
              <w:t>ej populácie.</w:t>
            </w:r>
          </w:p>
          <w:p w:rsidR="009E238E" w:rsidRDefault="009E238E" w:rsidP="009E238E">
            <w:pPr>
              <w:rPr>
                <w:rFonts w:ascii="Calibri" w:hAnsi="Calibri"/>
                <w:sz w:val="20"/>
                <w:szCs w:val="20"/>
                <w:lang w:eastAsia="en-US"/>
              </w:rPr>
            </w:pPr>
            <w:r>
              <w:rPr>
                <w:rFonts w:ascii="Calibri" w:hAnsi="Calibri"/>
                <w:sz w:val="20"/>
                <w:szCs w:val="20"/>
                <w:lang w:eastAsia="en-US"/>
              </w:rPr>
              <w:t xml:space="preserve">K ich rozvoju prispievajú aj </w:t>
            </w:r>
            <w:r w:rsidRPr="00E43137">
              <w:rPr>
                <w:rFonts w:ascii="Calibri" w:hAnsi="Calibri"/>
                <w:sz w:val="20"/>
                <w:szCs w:val="20"/>
                <w:lang w:eastAsia="en-US"/>
              </w:rPr>
              <w:t xml:space="preserve">MSP. V PRV SR 2007-2013 </w:t>
            </w:r>
            <w:r>
              <w:rPr>
                <w:rFonts w:ascii="Calibri" w:hAnsi="Calibri"/>
                <w:sz w:val="20"/>
                <w:szCs w:val="20"/>
                <w:lang w:eastAsia="en-US"/>
              </w:rPr>
              <w:t xml:space="preserve">je podpora diverzifikácie </w:t>
            </w:r>
            <w:r w:rsidRPr="00E43137">
              <w:rPr>
                <w:rFonts w:ascii="Calibri" w:hAnsi="Calibri"/>
                <w:sz w:val="20"/>
                <w:szCs w:val="20"/>
                <w:lang w:eastAsia="en-US"/>
              </w:rPr>
              <w:t>smerom k turizmu a agroturistike, nízko kapacitnému ubytovaniu a tradičnej infraštruktúre obcí. Úzko zameranú obnovu dedín a služieb obyvateľom spôsobil</w:t>
            </w:r>
            <w:r>
              <w:rPr>
                <w:rFonts w:ascii="Calibri" w:hAnsi="Calibri"/>
                <w:sz w:val="20"/>
                <w:szCs w:val="20"/>
                <w:lang w:eastAsia="en-US"/>
              </w:rPr>
              <w:t>i aj rôzne</w:t>
            </w:r>
            <w:r w:rsidRPr="00E43137">
              <w:rPr>
                <w:rFonts w:ascii="Calibri" w:hAnsi="Calibri"/>
                <w:sz w:val="20"/>
                <w:szCs w:val="20"/>
                <w:lang w:eastAsia="en-US"/>
              </w:rPr>
              <w:t xml:space="preserve"> operačn</w:t>
            </w:r>
            <w:r>
              <w:rPr>
                <w:rFonts w:ascii="Calibri" w:hAnsi="Calibri"/>
                <w:sz w:val="20"/>
                <w:szCs w:val="20"/>
                <w:lang w:eastAsia="en-US"/>
              </w:rPr>
              <w:t>é</w:t>
            </w:r>
            <w:r w:rsidRPr="00E43137">
              <w:rPr>
                <w:rFonts w:ascii="Calibri" w:hAnsi="Calibri"/>
                <w:sz w:val="20"/>
                <w:szCs w:val="20"/>
                <w:lang w:eastAsia="en-US"/>
              </w:rPr>
              <w:t xml:space="preserve"> program</w:t>
            </w:r>
            <w:r>
              <w:rPr>
                <w:rFonts w:ascii="Calibri" w:hAnsi="Calibri"/>
                <w:sz w:val="20"/>
                <w:szCs w:val="20"/>
                <w:lang w:eastAsia="en-US"/>
              </w:rPr>
              <w:t xml:space="preserve">y </w:t>
            </w:r>
            <w:r w:rsidRPr="00E43137">
              <w:rPr>
                <w:rFonts w:ascii="Calibri" w:hAnsi="Calibri"/>
                <w:sz w:val="20"/>
                <w:szCs w:val="20"/>
                <w:lang w:eastAsia="en-US"/>
              </w:rPr>
              <w:t xml:space="preserve"> NSRR 2007-2013. Je potrebné zamerať sa na:</w:t>
            </w:r>
          </w:p>
          <w:p w:rsidR="009E238E" w:rsidRDefault="009E238E" w:rsidP="00317BFF">
            <w:pPr>
              <w:numPr>
                <w:ilvl w:val="0"/>
                <w:numId w:val="12"/>
              </w:numPr>
              <w:suppressAutoHyphens/>
              <w:autoSpaceDN w:val="0"/>
              <w:textAlignment w:val="baseline"/>
              <w:rPr>
                <w:rFonts w:ascii="Calibri" w:hAnsi="Calibri"/>
                <w:sz w:val="20"/>
                <w:szCs w:val="20"/>
                <w:lang w:eastAsia="en-US"/>
              </w:rPr>
            </w:pPr>
            <w:r w:rsidRPr="00E43137">
              <w:rPr>
                <w:rFonts w:ascii="Calibri" w:hAnsi="Calibri"/>
                <w:sz w:val="20"/>
                <w:szCs w:val="20"/>
                <w:lang w:eastAsia="en-US"/>
              </w:rPr>
              <w:t>opatrenia</w:t>
            </w:r>
            <w:r>
              <w:rPr>
                <w:rFonts w:ascii="Calibri" w:hAnsi="Calibri"/>
                <w:sz w:val="20"/>
                <w:szCs w:val="20"/>
                <w:lang w:eastAsia="en-US"/>
              </w:rPr>
              <w:t xml:space="preserve"> </w:t>
            </w:r>
            <w:r w:rsidRPr="00E43137">
              <w:rPr>
                <w:rFonts w:ascii="Calibri" w:hAnsi="Calibri"/>
                <w:sz w:val="20"/>
                <w:szCs w:val="20"/>
                <w:lang w:eastAsia="en-US"/>
              </w:rPr>
              <w:t>vytv</w:t>
            </w:r>
            <w:r>
              <w:rPr>
                <w:rFonts w:ascii="Calibri" w:hAnsi="Calibri"/>
                <w:sz w:val="20"/>
                <w:szCs w:val="20"/>
                <w:lang w:eastAsia="en-US"/>
              </w:rPr>
              <w:t>árajúce</w:t>
            </w:r>
            <w:r w:rsidRPr="00E43137">
              <w:rPr>
                <w:rFonts w:ascii="Calibri" w:hAnsi="Calibri"/>
                <w:sz w:val="20"/>
                <w:szCs w:val="20"/>
                <w:lang w:eastAsia="en-US"/>
              </w:rPr>
              <w:t xml:space="preserve"> pracovné miesta mimo prvovýroby, v spracovaní a marketingu poľnohospodárskych a lesných produktov vrátane diverzifikácie. </w:t>
            </w:r>
            <w:r>
              <w:rPr>
                <w:rFonts w:ascii="Calibri" w:hAnsi="Calibri"/>
                <w:sz w:val="20"/>
                <w:szCs w:val="20"/>
                <w:lang w:eastAsia="en-US"/>
              </w:rPr>
              <w:t>Nové</w:t>
            </w:r>
            <w:r w:rsidRPr="00E43137">
              <w:rPr>
                <w:rFonts w:ascii="Calibri" w:hAnsi="Calibri"/>
                <w:sz w:val="20"/>
                <w:szCs w:val="20"/>
                <w:lang w:eastAsia="en-US"/>
              </w:rPr>
              <w:t xml:space="preserve"> pracovné miesta by mali vznikať na území </w:t>
            </w:r>
            <w:r>
              <w:rPr>
                <w:rFonts w:ascii="Calibri" w:hAnsi="Calibri"/>
                <w:sz w:val="20"/>
                <w:szCs w:val="20"/>
                <w:lang w:eastAsia="en-US"/>
              </w:rPr>
              <w:t xml:space="preserve">MAS </w:t>
            </w:r>
            <w:r w:rsidRPr="00E43137">
              <w:rPr>
                <w:rFonts w:ascii="Calibri" w:hAnsi="Calibri"/>
                <w:sz w:val="20"/>
                <w:szCs w:val="20"/>
                <w:lang w:eastAsia="en-US"/>
              </w:rPr>
              <w:t xml:space="preserve">aj mimo </w:t>
            </w:r>
            <w:r>
              <w:rPr>
                <w:rFonts w:ascii="Calibri" w:hAnsi="Calibri"/>
                <w:sz w:val="20"/>
                <w:szCs w:val="20"/>
                <w:lang w:eastAsia="en-US"/>
              </w:rPr>
              <w:t xml:space="preserve">ich </w:t>
            </w:r>
            <w:r w:rsidRPr="00E43137">
              <w:rPr>
                <w:rFonts w:ascii="Calibri" w:hAnsi="Calibri"/>
                <w:sz w:val="20"/>
                <w:szCs w:val="20"/>
                <w:lang w:eastAsia="en-US"/>
              </w:rPr>
              <w:t xml:space="preserve">územia </w:t>
            </w:r>
            <w:r>
              <w:rPr>
                <w:rFonts w:ascii="Calibri" w:hAnsi="Calibri"/>
                <w:sz w:val="20"/>
                <w:szCs w:val="20"/>
                <w:lang w:eastAsia="en-US"/>
              </w:rPr>
              <w:t>cez</w:t>
            </w:r>
            <w:r w:rsidRPr="00E43137">
              <w:rPr>
                <w:rFonts w:ascii="Calibri" w:hAnsi="Calibri"/>
                <w:sz w:val="20"/>
                <w:szCs w:val="20"/>
                <w:lang w:eastAsia="en-US"/>
              </w:rPr>
              <w:t xml:space="preserve"> diverzifikáci</w:t>
            </w:r>
            <w:r>
              <w:rPr>
                <w:rFonts w:ascii="Calibri" w:hAnsi="Calibri"/>
                <w:sz w:val="20"/>
                <w:szCs w:val="20"/>
                <w:lang w:eastAsia="en-US"/>
              </w:rPr>
              <w:t>u</w:t>
            </w:r>
            <w:r w:rsidRPr="00E43137">
              <w:rPr>
                <w:rFonts w:ascii="Calibri" w:hAnsi="Calibri"/>
                <w:sz w:val="20"/>
                <w:szCs w:val="20"/>
                <w:lang w:eastAsia="en-US"/>
              </w:rPr>
              <w:t xml:space="preserve"> a zakladani</w:t>
            </w:r>
            <w:r>
              <w:rPr>
                <w:rFonts w:ascii="Calibri" w:hAnsi="Calibri"/>
                <w:sz w:val="20"/>
                <w:szCs w:val="20"/>
                <w:lang w:eastAsia="en-US"/>
              </w:rPr>
              <w:t>e</w:t>
            </w:r>
            <w:r w:rsidRPr="00E43137">
              <w:rPr>
                <w:rFonts w:ascii="Calibri" w:hAnsi="Calibri"/>
                <w:sz w:val="20"/>
                <w:szCs w:val="20"/>
                <w:lang w:eastAsia="en-US"/>
              </w:rPr>
              <w:t xml:space="preserve"> podnikov.</w:t>
            </w:r>
          </w:p>
          <w:p w:rsidR="009E238E" w:rsidRDefault="009E238E" w:rsidP="00317BFF">
            <w:pPr>
              <w:numPr>
                <w:ilvl w:val="0"/>
                <w:numId w:val="12"/>
              </w:numPr>
              <w:suppressAutoHyphens/>
              <w:autoSpaceDN w:val="0"/>
              <w:textAlignment w:val="baseline"/>
              <w:rPr>
                <w:rFonts w:ascii="Calibri" w:hAnsi="Calibri"/>
                <w:sz w:val="20"/>
                <w:szCs w:val="20"/>
                <w:lang w:eastAsia="en-US"/>
              </w:rPr>
            </w:pPr>
            <w:r>
              <w:rPr>
                <w:rFonts w:ascii="Calibri" w:hAnsi="Calibri"/>
                <w:sz w:val="20"/>
                <w:szCs w:val="20"/>
                <w:lang w:eastAsia="en-US"/>
              </w:rPr>
              <w:t>podporu</w:t>
            </w:r>
            <w:r w:rsidRPr="00E43137">
              <w:rPr>
                <w:rFonts w:ascii="Calibri" w:hAnsi="Calibri"/>
                <w:sz w:val="20"/>
                <w:szCs w:val="20"/>
                <w:lang w:eastAsia="en-US"/>
              </w:rPr>
              <w:t xml:space="preserve"> projektov diverzifikácie v menej produkčných regiónoch: v oblastiach LFA, Natura 2000</w:t>
            </w:r>
            <w:r>
              <w:rPr>
                <w:rFonts w:ascii="Calibri" w:hAnsi="Calibri"/>
                <w:sz w:val="20"/>
                <w:szCs w:val="20"/>
                <w:lang w:eastAsia="en-US"/>
              </w:rPr>
              <w:t>,</w:t>
            </w:r>
            <w:r w:rsidRPr="00E43137">
              <w:rPr>
                <w:rFonts w:ascii="Calibri" w:hAnsi="Calibri"/>
                <w:sz w:val="20"/>
                <w:szCs w:val="20"/>
                <w:lang w:eastAsia="en-US"/>
              </w:rPr>
              <w:t xml:space="preserve"> AEP. T</w:t>
            </w:r>
            <w:r>
              <w:rPr>
                <w:rFonts w:ascii="Calibri" w:hAnsi="Calibri"/>
                <w:sz w:val="20"/>
                <w:szCs w:val="20"/>
                <w:lang w:eastAsia="en-US"/>
              </w:rPr>
              <w:t>u</w:t>
            </w:r>
            <w:r w:rsidRPr="00E43137">
              <w:rPr>
                <w:rFonts w:ascii="Calibri" w:hAnsi="Calibri"/>
                <w:sz w:val="20"/>
                <w:szCs w:val="20"/>
                <w:lang w:eastAsia="en-US"/>
              </w:rPr>
              <w:lastRenderedPageBreak/>
              <w:t xml:space="preserve"> beneficienti dosahujú nižšie hospodárske výsledky oproti produkčným oblastiam</w:t>
            </w:r>
            <w:r>
              <w:rPr>
                <w:rFonts w:ascii="Calibri" w:hAnsi="Calibri"/>
                <w:sz w:val="20"/>
                <w:szCs w:val="20"/>
                <w:lang w:eastAsia="en-US"/>
              </w:rPr>
              <w:t>.</w:t>
            </w:r>
            <w:r w:rsidRPr="00E43137">
              <w:rPr>
                <w:rFonts w:ascii="Calibri" w:hAnsi="Calibri"/>
                <w:sz w:val="20"/>
                <w:szCs w:val="20"/>
                <w:lang w:eastAsia="en-US"/>
              </w:rPr>
              <w:t xml:space="preserve"> </w:t>
            </w:r>
            <w:r>
              <w:rPr>
                <w:rFonts w:ascii="Calibri" w:hAnsi="Calibri"/>
                <w:sz w:val="20"/>
                <w:szCs w:val="20"/>
                <w:lang w:eastAsia="en-US"/>
              </w:rPr>
              <w:t>P</w:t>
            </w:r>
            <w:r w:rsidRPr="00E43137">
              <w:rPr>
                <w:rFonts w:ascii="Calibri" w:hAnsi="Calibri"/>
                <w:sz w:val="20"/>
                <w:szCs w:val="20"/>
                <w:lang w:eastAsia="en-US"/>
              </w:rPr>
              <w:t>rispievajú k starostlivosti a ochrane krajiny</w:t>
            </w:r>
            <w:r>
              <w:rPr>
                <w:rFonts w:ascii="Calibri" w:hAnsi="Calibri"/>
                <w:sz w:val="20"/>
                <w:szCs w:val="20"/>
                <w:lang w:eastAsia="en-US"/>
              </w:rPr>
              <w:t>,</w:t>
            </w:r>
            <w:r w:rsidRPr="00E43137">
              <w:rPr>
                <w:rFonts w:ascii="Calibri" w:hAnsi="Calibri"/>
                <w:sz w:val="20"/>
                <w:szCs w:val="20"/>
                <w:lang w:eastAsia="en-US"/>
              </w:rPr>
              <w:t xml:space="preserve"> udržateľnosti prírodného prostredia.</w:t>
            </w:r>
          </w:p>
          <w:p w:rsidR="009E238E" w:rsidRPr="009E238E" w:rsidRDefault="009E238E" w:rsidP="00317BFF">
            <w:pPr>
              <w:pStyle w:val="Odsekzoznamu"/>
              <w:numPr>
                <w:ilvl w:val="0"/>
                <w:numId w:val="12"/>
              </w:numPr>
              <w:spacing w:after="120"/>
              <w:rPr>
                <w:rFonts w:ascii="Calibri" w:hAnsi="Calibri"/>
                <w:sz w:val="20"/>
                <w:szCs w:val="20"/>
                <w:lang w:eastAsia="en-US"/>
              </w:rPr>
            </w:pPr>
            <w:r w:rsidRPr="00F27EEC">
              <w:rPr>
                <w:rFonts w:ascii="Calibri" w:hAnsi="Calibri"/>
                <w:sz w:val="20"/>
                <w:szCs w:val="20"/>
                <w:lang w:eastAsia="en-US"/>
              </w:rPr>
              <w:t>podpor</w:t>
            </w:r>
            <w:r>
              <w:rPr>
                <w:rFonts w:ascii="Calibri" w:hAnsi="Calibri"/>
                <w:sz w:val="20"/>
                <w:szCs w:val="20"/>
                <w:lang w:eastAsia="en-US"/>
              </w:rPr>
              <w:t>u</w:t>
            </w:r>
            <w:r w:rsidRPr="00F27EEC">
              <w:rPr>
                <w:rFonts w:ascii="Calibri" w:hAnsi="Calibri"/>
                <w:sz w:val="20"/>
                <w:szCs w:val="20"/>
                <w:lang w:eastAsia="en-US"/>
              </w:rPr>
              <w:t xml:space="preserve"> diverzifikácie od agroturistiky k iným diverzifikačným aktivitám –k podpore mladých farmárov, SHR, lesníkov, malých podnikov a i.</w:t>
            </w:r>
          </w:p>
        </w:tc>
      </w:tr>
      <w:tr w:rsidR="009E238E" w:rsidRPr="004A7D83" w:rsidTr="009E238E">
        <w:trPr>
          <w:trHeight w:val="172"/>
        </w:trPr>
        <w:tc>
          <w:tcPr>
            <w:tcW w:w="269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9E238E" w:rsidRPr="004A7D83" w:rsidRDefault="009E238E" w:rsidP="00CE203B">
            <w:pPr>
              <w:numPr>
                <w:ilvl w:val="0"/>
                <w:numId w:val="343"/>
              </w:numPr>
              <w:spacing w:after="120"/>
              <w:ind w:left="284" w:hanging="284"/>
              <w:jc w:val="left"/>
              <w:textAlignment w:val="baseline"/>
              <w:rPr>
                <w:rFonts w:ascii="Calibri" w:hAnsi="Calibri"/>
              </w:rPr>
            </w:pPr>
            <w:r w:rsidRPr="004A7D83">
              <w:rPr>
                <w:rFonts w:ascii="Calibri" w:hAnsi="Calibri"/>
                <w:sz w:val="20"/>
                <w:szCs w:val="20"/>
                <w:lang w:eastAsia="zh-CN"/>
              </w:rPr>
              <w:t>Zlepšenie kvality života na vidieku a podpora rozvoja miestnych komunít/partnerstiev vo vidieckych obciach s dôrazom na zachovanie miestneho kultúrneho a historického rázu územia</w:t>
            </w:r>
          </w:p>
        </w:tc>
        <w:tc>
          <w:tcPr>
            <w:tcW w:w="1090" w:type="dxa"/>
            <w:tcBorders>
              <w:top w:val="nil"/>
              <w:left w:val="nil"/>
              <w:bottom w:val="single" w:sz="8" w:space="0" w:color="000000"/>
              <w:right w:val="single" w:sz="8" w:space="0" w:color="000000"/>
            </w:tcBorders>
            <w:tcMar>
              <w:top w:w="0" w:type="dxa"/>
              <w:left w:w="108" w:type="dxa"/>
              <w:bottom w:w="0" w:type="dxa"/>
              <w:right w:w="108" w:type="dxa"/>
            </w:tcMar>
            <w:hideMark/>
          </w:tcPr>
          <w:p w:rsidR="009E238E" w:rsidRDefault="009E238E" w:rsidP="009E238E">
            <w:pPr>
              <w:jc w:val="center"/>
              <w:rPr>
                <w:rFonts w:ascii="Calibri" w:hAnsi="Calibri"/>
                <w:sz w:val="20"/>
                <w:szCs w:val="20"/>
                <w:lang w:eastAsia="zh-CN"/>
              </w:rPr>
            </w:pPr>
            <w:r w:rsidRPr="004A7D83">
              <w:rPr>
                <w:rFonts w:ascii="Calibri" w:hAnsi="Calibri"/>
                <w:sz w:val="20"/>
                <w:szCs w:val="20"/>
                <w:lang w:eastAsia="zh-CN"/>
              </w:rPr>
              <w:t>6B</w:t>
            </w:r>
          </w:p>
          <w:p w:rsidR="009E238E" w:rsidRPr="004A7D83" w:rsidRDefault="009E238E" w:rsidP="009E238E">
            <w:pPr>
              <w:jc w:val="center"/>
              <w:rPr>
                <w:rFonts w:ascii="Calibri" w:hAnsi="Calibri"/>
              </w:rPr>
            </w:pPr>
            <w:r>
              <w:rPr>
                <w:rFonts w:ascii="Calibri" w:hAnsi="Calibri"/>
                <w:sz w:val="20"/>
                <w:szCs w:val="20"/>
                <w:lang w:eastAsia="zh-CN"/>
              </w:rPr>
              <w:t>Inovácie, životné prostredie</w:t>
            </w:r>
          </w:p>
        </w:tc>
        <w:tc>
          <w:tcPr>
            <w:tcW w:w="10425" w:type="dxa"/>
            <w:tcBorders>
              <w:top w:val="nil"/>
              <w:left w:val="nil"/>
              <w:bottom w:val="single" w:sz="8" w:space="0" w:color="000000"/>
              <w:right w:val="single" w:sz="8" w:space="0" w:color="000000"/>
            </w:tcBorders>
            <w:tcMar>
              <w:top w:w="0" w:type="dxa"/>
              <w:left w:w="108" w:type="dxa"/>
              <w:bottom w:w="0" w:type="dxa"/>
              <w:right w:w="108" w:type="dxa"/>
            </w:tcMar>
            <w:hideMark/>
          </w:tcPr>
          <w:p w:rsidR="009E238E" w:rsidRDefault="009E238E" w:rsidP="009E238E">
            <w:pPr>
              <w:spacing w:after="120"/>
              <w:rPr>
                <w:rFonts w:ascii="Calibri" w:hAnsi="Calibri"/>
                <w:sz w:val="20"/>
                <w:szCs w:val="20"/>
                <w:lang w:eastAsia="en-US"/>
              </w:rPr>
            </w:pPr>
            <w:r>
              <w:rPr>
                <w:rFonts w:ascii="Calibri" w:hAnsi="Calibri"/>
                <w:sz w:val="20"/>
                <w:szCs w:val="20"/>
                <w:lang w:eastAsia="en-US"/>
              </w:rPr>
              <w:t xml:space="preserve">Sociálna kohézia vidieka sa prejavuje </w:t>
            </w:r>
            <w:r w:rsidRPr="00E43137">
              <w:rPr>
                <w:rFonts w:ascii="Calibri" w:hAnsi="Calibri"/>
                <w:sz w:val="20"/>
                <w:szCs w:val="20"/>
                <w:lang w:eastAsia="en-US"/>
              </w:rPr>
              <w:t>nežiaducimi socioekonomickými dopadmi.</w:t>
            </w:r>
            <w:r>
              <w:rPr>
                <w:rFonts w:ascii="Calibri" w:hAnsi="Calibri"/>
                <w:sz w:val="20"/>
                <w:szCs w:val="20"/>
                <w:lang w:eastAsia="en-US"/>
              </w:rPr>
              <w:t xml:space="preserve"> V  SR prevládajú malé obce do 1 000 obyvateľov(66,2 %). </w:t>
            </w:r>
            <w:r w:rsidR="008F198F">
              <w:rPr>
                <w:rFonts w:ascii="Calibri" w:hAnsi="Calibri"/>
                <w:sz w:val="20"/>
                <w:szCs w:val="20"/>
                <w:lang w:eastAsia="en-US"/>
              </w:rPr>
              <w:t>Najviac</w:t>
            </w:r>
            <w:r>
              <w:rPr>
                <w:rFonts w:ascii="Calibri" w:hAnsi="Calibri"/>
                <w:sz w:val="20"/>
                <w:szCs w:val="20"/>
                <w:lang w:eastAsia="en-US"/>
              </w:rPr>
              <w:t xml:space="preserve"> malých vidieckych obcí je na severovýchode a juhu stredného  Slovenska. Ich problémom je slabá lokálna infraštruktúra, nedostatok finančných prostriedkov, vysoké záväzky a neschopnosť efektívne hospodáriť s majetkom. V sídlach do 500 obyvateľov sa pre nedostatok práce zhoršuje sociodemografická štruktúra a  pokračuje odchod mladej, ekonomicky aktívnej populácie</w:t>
            </w:r>
            <w:r w:rsidR="008F198F">
              <w:rPr>
                <w:rFonts w:ascii="Calibri" w:hAnsi="Calibri"/>
                <w:sz w:val="20"/>
                <w:szCs w:val="20"/>
                <w:lang w:eastAsia="en-US"/>
              </w:rPr>
              <w:t xml:space="preserve">. </w:t>
            </w:r>
            <w:r>
              <w:rPr>
                <w:rFonts w:ascii="Calibri" w:hAnsi="Calibri"/>
                <w:sz w:val="20"/>
                <w:szCs w:val="20"/>
                <w:lang w:eastAsia="en-US"/>
              </w:rPr>
              <w:t>P</w:t>
            </w:r>
            <w:r w:rsidRPr="00E43137">
              <w:rPr>
                <w:rFonts w:ascii="Calibri" w:hAnsi="Calibri"/>
                <w:sz w:val="20"/>
                <w:szCs w:val="20"/>
                <w:lang w:eastAsia="en-US"/>
              </w:rPr>
              <w:t>ozičn</w:t>
            </w:r>
            <w:r>
              <w:rPr>
                <w:rFonts w:ascii="Calibri" w:hAnsi="Calibri"/>
                <w:sz w:val="20"/>
                <w:szCs w:val="20"/>
                <w:lang w:eastAsia="en-US"/>
              </w:rPr>
              <w:t xml:space="preserve">ý </w:t>
            </w:r>
            <w:r w:rsidRPr="00E43137">
              <w:rPr>
                <w:rFonts w:ascii="Calibri" w:hAnsi="Calibri"/>
                <w:sz w:val="20"/>
                <w:szCs w:val="20"/>
                <w:lang w:eastAsia="en-US"/>
              </w:rPr>
              <w:t xml:space="preserve">dokument EK pre SR pre rozvoj vidieka </w:t>
            </w:r>
            <w:r>
              <w:rPr>
                <w:rFonts w:ascii="Calibri" w:hAnsi="Calibri"/>
                <w:sz w:val="20"/>
                <w:szCs w:val="20"/>
                <w:lang w:eastAsia="en-US"/>
              </w:rPr>
              <w:t xml:space="preserve">obmedzil </w:t>
            </w:r>
            <w:r w:rsidRPr="00E43137">
              <w:rPr>
                <w:rFonts w:ascii="Calibri" w:hAnsi="Calibri"/>
                <w:sz w:val="20"/>
                <w:szCs w:val="20"/>
                <w:lang w:eastAsia="en-US"/>
              </w:rPr>
              <w:t>na r. 2007-2013 financie na zlepšovanie života</w:t>
            </w:r>
            <w:r>
              <w:rPr>
                <w:rFonts w:ascii="Calibri" w:hAnsi="Calibri"/>
                <w:sz w:val="20"/>
                <w:szCs w:val="20"/>
                <w:lang w:eastAsia="en-US"/>
              </w:rPr>
              <w:t xml:space="preserve"> </w:t>
            </w:r>
            <w:r w:rsidRPr="00E43137">
              <w:rPr>
                <w:rFonts w:ascii="Calibri" w:hAnsi="Calibri"/>
                <w:sz w:val="20"/>
                <w:szCs w:val="20"/>
                <w:lang w:eastAsia="en-US"/>
              </w:rPr>
              <w:t>nízka diverzifikácia.</w:t>
            </w:r>
          </w:p>
          <w:p w:rsidR="009E238E" w:rsidRDefault="009E238E" w:rsidP="009E238E">
            <w:pPr>
              <w:spacing w:after="120"/>
              <w:rPr>
                <w:rFonts w:ascii="Calibri" w:hAnsi="Calibri"/>
                <w:sz w:val="20"/>
                <w:szCs w:val="20"/>
                <w:lang w:eastAsia="en-US"/>
              </w:rPr>
            </w:pPr>
            <w:r>
              <w:rPr>
                <w:rFonts w:ascii="Calibri" w:hAnsi="Calibri"/>
                <w:sz w:val="20"/>
                <w:szCs w:val="20"/>
                <w:lang w:eastAsia="en-US"/>
              </w:rPr>
              <w:t xml:space="preserve">V rámci PRV SR 2014-20 je potrebné nadviazať na aktivity v rámci opatrení „Základné služby pre hospodárstvo a obyvateľstvo vidieka“ a „Obnova a rozvoj dedín“. </w:t>
            </w:r>
          </w:p>
          <w:p w:rsidR="009E238E" w:rsidRPr="00E43137" w:rsidRDefault="009E238E" w:rsidP="009E238E">
            <w:pPr>
              <w:spacing w:after="120"/>
              <w:rPr>
                <w:rFonts w:ascii="Calibri" w:hAnsi="Calibri"/>
                <w:sz w:val="20"/>
                <w:szCs w:val="20"/>
                <w:lang w:eastAsia="en-US"/>
              </w:rPr>
            </w:pPr>
            <w:r w:rsidRPr="00E43137">
              <w:rPr>
                <w:rFonts w:ascii="Calibri" w:hAnsi="Calibri"/>
                <w:sz w:val="20"/>
                <w:szCs w:val="20"/>
                <w:lang w:eastAsia="en-US"/>
              </w:rPr>
              <w:t>Pre rozvoj obcí a miestny rozvoj</w:t>
            </w:r>
            <w:r w:rsidRPr="00E43137">
              <w:rPr>
                <w:rFonts w:ascii="Calibri" w:hAnsi="Calibri"/>
                <w:sz w:val="20"/>
                <w:szCs w:val="20"/>
                <w:vertAlign w:val="superscript"/>
                <w:lang w:eastAsia="en-US"/>
              </w:rPr>
              <w:t xml:space="preserve">[1] </w:t>
            </w:r>
            <w:r w:rsidRPr="00E43137">
              <w:rPr>
                <w:rFonts w:ascii="Calibri" w:hAnsi="Calibri"/>
                <w:sz w:val="20"/>
                <w:szCs w:val="20"/>
                <w:lang w:eastAsia="en-US"/>
              </w:rPr>
              <w:t xml:space="preserve">treba </w:t>
            </w:r>
            <w:r>
              <w:rPr>
                <w:rFonts w:ascii="Calibri" w:hAnsi="Calibri"/>
                <w:sz w:val="20"/>
                <w:szCs w:val="20"/>
                <w:lang w:eastAsia="en-US"/>
              </w:rPr>
              <w:t xml:space="preserve">smerovať </w:t>
            </w:r>
            <w:r w:rsidRPr="00E43137">
              <w:rPr>
                <w:rFonts w:ascii="Calibri" w:hAnsi="Calibri"/>
                <w:sz w:val="20"/>
                <w:szCs w:val="20"/>
                <w:lang w:eastAsia="en-US"/>
              </w:rPr>
              <w:t xml:space="preserve">investície do drobnej infraštruktúry, miestnych služieb, </w:t>
            </w:r>
            <w:r>
              <w:rPr>
                <w:rFonts w:ascii="Calibri" w:hAnsi="Calibri"/>
                <w:sz w:val="20"/>
                <w:szCs w:val="20"/>
                <w:lang w:eastAsia="en-US"/>
              </w:rPr>
              <w:t xml:space="preserve">základnej obchodnej siete, </w:t>
            </w:r>
            <w:r w:rsidRPr="00E43137">
              <w:rPr>
                <w:rFonts w:ascii="Calibri" w:hAnsi="Calibri"/>
                <w:sz w:val="20"/>
                <w:szCs w:val="20"/>
                <w:lang w:eastAsia="en-US"/>
              </w:rPr>
              <w:t>vytvárani</w:t>
            </w:r>
            <w:r>
              <w:rPr>
                <w:rFonts w:ascii="Calibri" w:hAnsi="Calibri"/>
                <w:sz w:val="20"/>
                <w:szCs w:val="20"/>
                <w:lang w:eastAsia="en-US"/>
              </w:rPr>
              <w:t>a</w:t>
            </w:r>
            <w:r w:rsidRPr="00E43137">
              <w:rPr>
                <w:rFonts w:ascii="Calibri" w:hAnsi="Calibri"/>
                <w:sz w:val="20"/>
                <w:szCs w:val="20"/>
                <w:lang w:eastAsia="en-US"/>
              </w:rPr>
              <w:t xml:space="preserve"> podmienok pre komunitnú/podnikateľskú činnosť</w:t>
            </w:r>
            <w:r>
              <w:rPr>
                <w:rFonts w:ascii="Calibri" w:hAnsi="Calibri"/>
                <w:sz w:val="20"/>
                <w:szCs w:val="20"/>
                <w:lang w:eastAsia="en-US"/>
              </w:rPr>
              <w:t xml:space="preserve">, do objektov  voľno-časových aktivít, výstavby, rekonštrukcie a modernizácie vodovodov, kanalizácie, výstavby ochranných hrádzí pred povodňami, zberných dvorov, modernizácie verejného osvetlenia, energetického využitia druhotných surovín, a </w:t>
            </w:r>
            <w:r w:rsidRPr="00E43137">
              <w:rPr>
                <w:rFonts w:ascii="Calibri" w:hAnsi="Calibri"/>
                <w:sz w:val="20"/>
                <w:szCs w:val="20"/>
                <w:lang w:eastAsia="en-US"/>
              </w:rPr>
              <w:t xml:space="preserve">i. </w:t>
            </w:r>
            <w:r>
              <w:rPr>
                <w:rFonts w:ascii="Calibri" w:hAnsi="Calibri"/>
                <w:sz w:val="20"/>
                <w:szCs w:val="20"/>
                <w:lang w:eastAsia="en-US"/>
              </w:rPr>
              <w:t xml:space="preserve">K  rozvoju zamestnanosti prispeje zladenie niektorých rezortných politík. </w:t>
            </w:r>
          </w:p>
          <w:p w:rsidR="009E238E" w:rsidRPr="00E43137" w:rsidRDefault="009E238E" w:rsidP="009E238E">
            <w:pPr>
              <w:spacing w:after="120"/>
              <w:rPr>
                <w:rFonts w:ascii="Calibri" w:hAnsi="Calibri"/>
                <w:sz w:val="20"/>
                <w:szCs w:val="20"/>
                <w:lang w:eastAsia="en-US"/>
              </w:rPr>
            </w:pPr>
            <w:r>
              <w:rPr>
                <w:rFonts w:ascii="Calibri" w:hAnsi="Calibri"/>
                <w:sz w:val="20"/>
                <w:szCs w:val="20"/>
                <w:lang w:eastAsia="en-US"/>
              </w:rPr>
              <w:t>V</w:t>
            </w:r>
            <w:r w:rsidRPr="00E43137">
              <w:rPr>
                <w:rFonts w:ascii="Calibri" w:hAnsi="Calibri"/>
                <w:sz w:val="20"/>
                <w:szCs w:val="20"/>
                <w:lang w:eastAsia="en-US"/>
              </w:rPr>
              <w:t xml:space="preserve"> oblastiach súvisiacich s ochranou životného prostredia a historicko-kultúrneho dedičstva</w:t>
            </w:r>
            <w:r>
              <w:rPr>
                <w:rFonts w:ascii="Calibri" w:hAnsi="Calibri"/>
                <w:sz w:val="20"/>
                <w:szCs w:val="20"/>
                <w:lang w:eastAsia="en-US"/>
              </w:rPr>
              <w:t xml:space="preserve"> -</w:t>
            </w:r>
            <w:r w:rsidRPr="00E43137">
              <w:rPr>
                <w:rFonts w:ascii="Calibri" w:hAnsi="Calibri"/>
                <w:sz w:val="20"/>
                <w:szCs w:val="20"/>
                <w:lang w:eastAsia="en-US"/>
              </w:rPr>
              <w:t xml:space="preserve"> obnovou a</w:t>
            </w:r>
            <w:r>
              <w:rPr>
                <w:rFonts w:ascii="Calibri" w:hAnsi="Calibri"/>
                <w:sz w:val="20"/>
                <w:szCs w:val="20"/>
                <w:lang w:eastAsia="en-US"/>
              </w:rPr>
              <w:t> </w:t>
            </w:r>
            <w:r w:rsidRPr="00E43137">
              <w:rPr>
                <w:rFonts w:ascii="Calibri" w:hAnsi="Calibri"/>
                <w:sz w:val="20"/>
                <w:szCs w:val="20"/>
                <w:lang w:eastAsia="en-US"/>
              </w:rPr>
              <w:t>údržb</w:t>
            </w:r>
            <w:r>
              <w:rPr>
                <w:rFonts w:ascii="Calibri" w:hAnsi="Calibri"/>
                <w:sz w:val="20"/>
                <w:szCs w:val="20"/>
                <w:lang w:eastAsia="en-US"/>
              </w:rPr>
              <w:t xml:space="preserve">ou </w:t>
            </w:r>
            <w:r w:rsidRPr="00E43137">
              <w:rPr>
                <w:rFonts w:ascii="Calibri" w:hAnsi="Calibri"/>
                <w:sz w:val="20"/>
                <w:szCs w:val="20"/>
                <w:lang w:eastAsia="en-US"/>
              </w:rPr>
              <w:t>krajiny, rozvojom miestnej infraštruktúry, cestovného ruchu, informatizáciou a i.</w:t>
            </w:r>
          </w:p>
          <w:p w:rsidR="009E238E" w:rsidRPr="009E238E" w:rsidRDefault="009E238E" w:rsidP="009E238E">
            <w:pPr>
              <w:spacing w:after="120"/>
              <w:rPr>
                <w:rFonts w:ascii="Calibri" w:hAnsi="Calibri"/>
                <w:sz w:val="20"/>
                <w:szCs w:val="20"/>
                <w:lang w:eastAsia="en-US"/>
              </w:rPr>
            </w:pPr>
            <w:r w:rsidRPr="00E43137">
              <w:rPr>
                <w:rFonts w:ascii="Calibri" w:hAnsi="Calibri"/>
                <w:sz w:val="20"/>
                <w:szCs w:val="20"/>
                <w:lang w:eastAsia="en-US"/>
              </w:rPr>
              <w:t xml:space="preserve">Podporou z PRV SR 2007-2013 cez LEADER sa prispelo k zlepšovaniu kvality života, zamestnanosti, rozvoja miestnych služieb a obcí. </w:t>
            </w:r>
            <w:r>
              <w:rPr>
                <w:rFonts w:ascii="Calibri" w:hAnsi="Calibri"/>
                <w:sz w:val="20"/>
                <w:szCs w:val="20"/>
                <w:lang w:eastAsia="en-US"/>
              </w:rPr>
              <w:t>P</w:t>
            </w:r>
            <w:r w:rsidRPr="00E43137">
              <w:rPr>
                <w:rFonts w:ascii="Calibri" w:hAnsi="Calibri"/>
                <w:sz w:val="20"/>
                <w:szCs w:val="20"/>
                <w:lang w:eastAsia="en-US"/>
              </w:rPr>
              <w:t xml:space="preserve">odporuje </w:t>
            </w:r>
            <w:r>
              <w:rPr>
                <w:rFonts w:ascii="Calibri" w:hAnsi="Calibri"/>
                <w:sz w:val="20"/>
                <w:szCs w:val="20"/>
                <w:lang w:eastAsia="en-US"/>
              </w:rPr>
              <w:t xml:space="preserve">sa </w:t>
            </w:r>
            <w:r w:rsidRPr="00E43137">
              <w:rPr>
                <w:rFonts w:ascii="Calibri" w:hAnsi="Calibri"/>
                <w:sz w:val="20"/>
                <w:szCs w:val="20"/>
                <w:lang w:eastAsia="en-US"/>
              </w:rPr>
              <w:t>budovanie a rozvoj miestnych partnerstiev</w:t>
            </w:r>
            <w:r>
              <w:rPr>
                <w:rFonts w:ascii="Calibri" w:hAnsi="Calibri"/>
                <w:sz w:val="20"/>
                <w:szCs w:val="20"/>
                <w:lang w:eastAsia="en-US"/>
              </w:rPr>
              <w:t>/komunít J</w:t>
            </w:r>
            <w:r w:rsidRPr="00E43137">
              <w:rPr>
                <w:rFonts w:ascii="Calibri" w:hAnsi="Calibri"/>
                <w:sz w:val="20"/>
                <w:szCs w:val="20"/>
                <w:lang w:eastAsia="en-US"/>
              </w:rPr>
              <w:t>e nutné zabezpečiť kontinuitu realizovaných</w:t>
            </w:r>
            <w:r>
              <w:rPr>
                <w:rFonts w:ascii="Calibri" w:hAnsi="Calibri"/>
                <w:sz w:val="20"/>
                <w:szCs w:val="20"/>
                <w:lang w:eastAsia="en-US"/>
              </w:rPr>
              <w:t xml:space="preserve"> </w:t>
            </w:r>
            <w:r w:rsidRPr="00E43137">
              <w:rPr>
                <w:rFonts w:ascii="Calibri" w:hAnsi="Calibri"/>
                <w:sz w:val="20"/>
                <w:szCs w:val="20"/>
                <w:lang w:eastAsia="en-US"/>
              </w:rPr>
              <w:t>aktivít.</w:t>
            </w:r>
          </w:p>
        </w:tc>
      </w:tr>
      <w:tr w:rsidR="009E238E" w:rsidRPr="004A7D83" w:rsidTr="009E238E">
        <w:trPr>
          <w:trHeight w:val="172"/>
        </w:trPr>
        <w:tc>
          <w:tcPr>
            <w:tcW w:w="269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9E238E" w:rsidRPr="004A7D83" w:rsidRDefault="009E238E" w:rsidP="00CE203B">
            <w:pPr>
              <w:numPr>
                <w:ilvl w:val="0"/>
                <w:numId w:val="343"/>
              </w:numPr>
              <w:spacing w:after="120"/>
              <w:ind w:left="284" w:hanging="284"/>
              <w:jc w:val="left"/>
              <w:textAlignment w:val="baseline"/>
              <w:rPr>
                <w:rFonts w:ascii="Calibri" w:hAnsi="Calibri"/>
              </w:rPr>
            </w:pPr>
            <w:r w:rsidRPr="004A7D83">
              <w:rPr>
                <w:rFonts w:ascii="Calibri" w:hAnsi="Calibri"/>
                <w:sz w:val="20"/>
                <w:szCs w:val="20"/>
                <w:lang w:eastAsia="zh-CN"/>
              </w:rPr>
              <w:t>Rozvoj IKT vo vidieckych obciach</w:t>
            </w:r>
          </w:p>
        </w:tc>
        <w:tc>
          <w:tcPr>
            <w:tcW w:w="1090" w:type="dxa"/>
            <w:tcBorders>
              <w:top w:val="nil"/>
              <w:left w:val="nil"/>
              <w:bottom w:val="single" w:sz="8" w:space="0" w:color="000000"/>
              <w:right w:val="single" w:sz="8" w:space="0" w:color="000000"/>
            </w:tcBorders>
            <w:tcMar>
              <w:top w:w="0" w:type="dxa"/>
              <w:left w:w="108" w:type="dxa"/>
              <w:bottom w:w="0" w:type="dxa"/>
              <w:right w:w="108" w:type="dxa"/>
            </w:tcMar>
            <w:hideMark/>
          </w:tcPr>
          <w:p w:rsidR="009E238E" w:rsidRPr="004A7D83" w:rsidRDefault="009E238E" w:rsidP="009E238E">
            <w:pPr>
              <w:jc w:val="center"/>
              <w:rPr>
                <w:rFonts w:ascii="Calibri" w:hAnsi="Calibri"/>
              </w:rPr>
            </w:pPr>
            <w:r w:rsidRPr="004A7D83">
              <w:rPr>
                <w:rFonts w:ascii="Calibri" w:hAnsi="Calibri"/>
                <w:sz w:val="20"/>
                <w:szCs w:val="20"/>
                <w:lang w:eastAsia="zh-CN"/>
              </w:rPr>
              <w:t>6C, 6A, 2A, 2B, 3A</w:t>
            </w:r>
          </w:p>
          <w:p w:rsidR="009E238E" w:rsidRPr="004A7D83" w:rsidRDefault="009E238E" w:rsidP="009E238E">
            <w:pPr>
              <w:jc w:val="center"/>
              <w:rPr>
                <w:rFonts w:ascii="Calibri" w:hAnsi="Calibri"/>
              </w:rPr>
            </w:pPr>
            <w:r w:rsidRPr="004A7D83">
              <w:rPr>
                <w:rFonts w:ascii="Calibri" w:hAnsi="Calibri"/>
                <w:sz w:val="20"/>
                <w:szCs w:val="20"/>
                <w:lang w:eastAsia="zh-CN"/>
              </w:rPr>
              <w:t>Inovácie</w:t>
            </w:r>
          </w:p>
        </w:tc>
        <w:tc>
          <w:tcPr>
            <w:tcW w:w="10425" w:type="dxa"/>
            <w:tcBorders>
              <w:top w:val="nil"/>
              <w:left w:val="nil"/>
              <w:bottom w:val="single" w:sz="8" w:space="0" w:color="000000"/>
              <w:right w:val="single" w:sz="8" w:space="0" w:color="000000"/>
            </w:tcBorders>
            <w:tcMar>
              <w:top w:w="0" w:type="dxa"/>
              <w:left w:w="108" w:type="dxa"/>
              <w:bottom w:w="0" w:type="dxa"/>
              <w:right w:w="108" w:type="dxa"/>
            </w:tcMar>
            <w:hideMark/>
          </w:tcPr>
          <w:p w:rsidR="009E238E" w:rsidRPr="0085687E" w:rsidRDefault="009E238E" w:rsidP="009E238E">
            <w:pPr>
              <w:spacing w:after="120"/>
              <w:rPr>
                <w:rFonts w:ascii="Calibri" w:hAnsi="Calibri"/>
                <w:sz w:val="20"/>
                <w:szCs w:val="20"/>
                <w:lang w:eastAsia="en-US"/>
              </w:rPr>
            </w:pPr>
            <w:r w:rsidRPr="00F27EEC">
              <w:rPr>
                <w:rFonts w:ascii="Calibri" w:hAnsi="Calibri"/>
                <w:sz w:val="20"/>
                <w:szCs w:val="20"/>
                <w:lang w:eastAsia="en-US"/>
              </w:rPr>
              <w:t xml:space="preserve">Rozvoj internetu </w:t>
            </w:r>
            <w:r>
              <w:rPr>
                <w:rFonts w:ascii="Calibri" w:hAnsi="Calibri"/>
                <w:sz w:val="20"/>
                <w:szCs w:val="20"/>
                <w:lang w:eastAsia="en-US"/>
              </w:rPr>
              <w:t xml:space="preserve">aj oblasť e-obchodovania </w:t>
            </w:r>
            <w:r w:rsidRPr="00F27EEC">
              <w:rPr>
                <w:rFonts w:ascii="Calibri" w:hAnsi="Calibri"/>
                <w:sz w:val="20"/>
                <w:szCs w:val="20"/>
                <w:lang w:eastAsia="en-US"/>
              </w:rPr>
              <w:t>v SR bol</w:t>
            </w:r>
            <w:r>
              <w:rPr>
                <w:rFonts w:ascii="Calibri" w:hAnsi="Calibri"/>
                <w:sz w:val="20"/>
                <w:szCs w:val="20"/>
                <w:lang w:eastAsia="en-US"/>
              </w:rPr>
              <w:t>i</w:t>
            </w:r>
            <w:r w:rsidRPr="00F27EEC">
              <w:rPr>
                <w:rFonts w:ascii="Calibri" w:hAnsi="Calibri"/>
                <w:sz w:val="20"/>
                <w:szCs w:val="20"/>
                <w:lang w:eastAsia="en-US"/>
              </w:rPr>
              <w:t xml:space="preserve"> v posledných rokoch </w:t>
            </w:r>
            <w:r>
              <w:rPr>
                <w:rFonts w:ascii="Calibri" w:hAnsi="Calibri"/>
                <w:sz w:val="20"/>
                <w:szCs w:val="20"/>
                <w:lang w:eastAsia="en-US"/>
              </w:rPr>
              <w:t xml:space="preserve">a sú </w:t>
            </w:r>
            <w:r w:rsidRPr="00F27EEC">
              <w:rPr>
                <w:rFonts w:ascii="Calibri" w:hAnsi="Calibri"/>
                <w:sz w:val="20"/>
                <w:szCs w:val="20"/>
                <w:lang w:eastAsia="en-US"/>
              </w:rPr>
              <w:t xml:space="preserve">pod priemerom EÚ. </w:t>
            </w:r>
            <w:r w:rsidRPr="0085687E">
              <w:rPr>
                <w:rFonts w:ascii="Calibri" w:hAnsi="Calibri"/>
                <w:sz w:val="20"/>
                <w:szCs w:val="20"/>
                <w:lang w:eastAsia="en-US"/>
              </w:rPr>
              <w:t xml:space="preserve">Pre inovácie </w:t>
            </w:r>
            <w:r>
              <w:rPr>
                <w:rFonts w:ascii="Calibri" w:hAnsi="Calibri"/>
                <w:sz w:val="20"/>
                <w:szCs w:val="20"/>
                <w:lang w:eastAsia="en-US"/>
              </w:rPr>
              <w:t xml:space="preserve">a rozvoj podnikania </w:t>
            </w:r>
            <w:r w:rsidRPr="0085687E">
              <w:rPr>
                <w:rFonts w:ascii="Calibri" w:hAnsi="Calibri"/>
                <w:sz w:val="20"/>
                <w:szCs w:val="20"/>
                <w:lang w:eastAsia="en-US"/>
              </w:rPr>
              <w:t>s cieľom pomôcť začínajúcim podnikom je dôležitý aj e</w:t>
            </w:r>
            <w:r>
              <w:rPr>
                <w:rFonts w:ascii="Calibri" w:hAnsi="Calibri"/>
                <w:sz w:val="20"/>
                <w:szCs w:val="20"/>
                <w:lang w:eastAsia="en-US"/>
              </w:rPr>
              <w:t>-</w:t>
            </w:r>
            <w:r w:rsidRPr="0085687E">
              <w:rPr>
                <w:rFonts w:ascii="Calibri" w:hAnsi="Calibri"/>
                <w:sz w:val="20"/>
                <w:szCs w:val="20"/>
                <w:lang w:eastAsia="en-US"/>
              </w:rPr>
              <w:t xml:space="preserve">obchod. </w:t>
            </w:r>
            <w:r w:rsidRPr="00F27EEC">
              <w:rPr>
                <w:rFonts w:ascii="Calibri" w:hAnsi="Calibri"/>
                <w:sz w:val="20"/>
                <w:szCs w:val="20"/>
                <w:lang w:eastAsia="en-US"/>
              </w:rPr>
              <w:t xml:space="preserve">Na vidieku je </w:t>
            </w:r>
            <w:r>
              <w:rPr>
                <w:rFonts w:ascii="Calibri" w:hAnsi="Calibri"/>
                <w:sz w:val="20"/>
                <w:szCs w:val="20"/>
                <w:lang w:eastAsia="en-US"/>
              </w:rPr>
              <w:t>ešte</w:t>
            </w:r>
            <w:r w:rsidRPr="00F27EEC">
              <w:rPr>
                <w:rFonts w:ascii="Calibri" w:hAnsi="Calibri"/>
                <w:sz w:val="20"/>
                <w:szCs w:val="20"/>
                <w:lang w:eastAsia="en-US"/>
              </w:rPr>
              <w:t xml:space="preserve"> potenciál rozširovania IKT. </w:t>
            </w:r>
            <w:r w:rsidR="008F198F" w:rsidRPr="00F27EEC">
              <w:rPr>
                <w:rFonts w:ascii="Calibri" w:hAnsi="Calibri"/>
                <w:sz w:val="20"/>
                <w:szCs w:val="20"/>
                <w:lang w:eastAsia="en-US"/>
              </w:rPr>
              <w:t>Ni</w:t>
            </w:r>
            <w:r w:rsidR="008F198F">
              <w:rPr>
                <w:rFonts w:ascii="Calibri" w:hAnsi="Calibri"/>
                <w:sz w:val="20"/>
                <w:szCs w:val="20"/>
                <w:lang w:eastAsia="en-US"/>
              </w:rPr>
              <w:t>žšia</w:t>
            </w:r>
            <w:r w:rsidRPr="00F27EEC">
              <w:rPr>
                <w:rFonts w:ascii="Calibri" w:hAnsi="Calibri"/>
                <w:sz w:val="20"/>
                <w:szCs w:val="20"/>
                <w:lang w:eastAsia="en-US"/>
              </w:rPr>
              <w:t xml:space="preserve"> úroveň pripojenia internetu je okrem domácností a podnikateľov aj vo verejnej správe</w:t>
            </w:r>
            <w:r>
              <w:rPr>
                <w:rFonts w:ascii="Calibri" w:hAnsi="Calibri"/>
                <w:sz w:val="20"/>
                <w:szCs w:val="20"/>
                <w:lang w:eastAsia="en-US"/>
              </w:rPr>
              <w:t xml:space="preserve"> (obecné úrady)</w:t>
            </w:r>
            <w:r w:rsidRPr="00F27EEC">
              <w:rPr>
                <w:rFonts w:ascii="Calibri" w:hAnsi="Calibri"/>
                <w:sz w:val="20"/>
                <w:szCs w:val="20"/>
                <w:lang w:eastAsia="en-US"/>
              </w:rPr>
              <w:t xml:space="preserve">. Nedostatok širokopásmových pripojení súvisí s nákladmi na vybudovanie </w:t>
            </w:r>
            <w:r>
              <w:rPr>
                <w:rFonts w:ascii="Calibri" w:hAnsi="Calibri"/>
                <w:sz w:val="20"/>
                <w:szCs w:val="20"/>
                <w:lang w:eastAsia="en-US"/>
              </w:rPr>
              <w:t>týchto</w:t>
            </w:r>
            <w:r w:rsidRPr="00F27EEC">
              <w:rPr>
                <w:rFonts w:ascii="Calibri" w:hAnsi="Calibri"/>
                <w:sz w:val="20"/>
                <w:szCs w:val="20"/>
                <w:lang w:eastAsia="en-US"/>
              </w:rPr>
              <w:t xml:space="preserve"> sietí. </w:t>
            </w:r>
            <w:r>
              <w:rPr>
                <w:rFonts w:ascii="Calibri" w:hAnsi="Calibri"/>
                <w:sz w:val="20"/>
                <w:szCs w:val="20"/>
                <w:lang w:eastAsia="en-US"/>
              </w:rPr>
              <w:t>B</w:t>
            </w:r>
            <w:r w:rsidRPr="00F27EEC">
              <w:rPr>
                <w:rFonts w:ascii="Calibri" w:hAnsi="Calibri"/>
                <w:sz w:val="20"/>
                <w:szCs w:val="20"/>
                <w:lang w:eastAsia="en-US"/>
              </w:rPr>
              <w:t xml:space="preserve">udujú </w:t>
            </w:r>
            <w:r>
              <w:rPr>
                <w:rFonts w:ascii="Calibri" w:hAnsi="Calibri"/>
                <w:sz w:val="20"/>
                <w:szCs w:val="20"/>
                <w:lang w:eastAsia="en-US"/>
              </w:rPr>
              <w:t xml:space="preserve">ich </w:t>
            </w:r>
            <w:r w:rsidRPr="00F27EEC">
              <w:rPr>
                <w:rFonts w:ascii="Calibri" w:hAnsi="Calibri"/>
                <w:sz w:val="20"/>
                <w:szCs w:val="20"/>
                <w:lang w:eastAsia="en-US"/>
              </w:rPr>
              <w:t xml:space="preserve">komerční prevádzkovatelia, nemajú záujem ísť do vidieckych regiónov.  Širokopásmový internet patrí podľa Národnej stratégie pre širokopásmový prístup v SR k </w:t>
            </w:r>
            <w:r>
              <w:rPr>
                <w:rFonts w:ascii="Calibri" w:hAnsi="Calibri"/>
                <w:sz w:val="20"/>
                <w:szCs w:val="20"/>
                <w:lang w:eastAsia="en-US"/>
              </w:rPr>
              <w:t>efektívnym</w:t>
            </w:r>
            <w:r w:rsidRPr="00F27EEC">
              <w:rPr>
                <w:rFonts w:ascii="Calibri" w:hAnsi="Calibri"/>
                <w:sz w:val="20"/>
                <w:szCs w:val="20"/>
                <w:lang w:eastAsia="en-US"/>
              </w:rPr>
              <w:t xml:space="preserve"> nástrojom podpory ekonomickej a spoločenskej konkurencieschopnosti. </w:t>
            </w:r>
            <w:r>
              <w:rPr>
                <w:rFonts w:ascii="Calibri" w:hAnsi="Calibri"/>
                <w:sz w:val="20"/>
                <w:szCs w:val="20"/>
                <w:lang w:eastAsia="en-US"/>
              </w:rPr>
              <w:t>P</w:t>
            </w:r>
            <w:r w:rsidRPr="00F27EEC">
              <w:rPr>
                <w:rFonts w:ascii="Calibri" w:hAnsi="Calibri"/>
                <w:sz w:val="20"/>
                <w:szCs w:val="20"/>
                <w:lang w:eastAsia="en-US"/>
              </w:rPr>
              <w:t xml:space="preserve">otreba širokopásmového pokrytia </w:t>
            </w:r>
            <w:r>
              <w:rPr>
                <w:rFonts w:ascii="Calibri" w:hAnsi="Calibri"/>
                <w:sz w:val="20"/>
                <w:szCs w:val="20"/>
                <w:lang w:eastAsia="en-US"/>
              </w:rPr>
              <w:t>vidieka</w:t>
            </w:r>
            <w:r w:rsidRPr="00F27EEC">
              <w:rPr>
                <w:rFonts w:ascii="Calibri" w:hAnsi="Calibri"/>
                <w:sz w:val="20"/>
                <w:szCs w:val="20"/>
                <w:lang w:eastAsia="en-US"/>
              </w:rPr>
              <w:t xml:space="preserve"> je v určitých obciach (optika, stožiare a i.)</w:t>
            </w:r>
            <w:r>
              <w:rPr>
                <w:rFonts w:ascii="Calibri" w:hAnsi="Calibri"/>
                <w:sz w:val="20"/>
                <w:szCs w:val="20"/>
                <w:lang w:eastAsia="en-US"/>
              </w:rPr>
              <w:t>,</w:t>
            </w:r>
            <w:r w:rsidRPr="00F27EEC">
              <w:rPr>
                <w:rFonts w:ascii="Calibri" w:hAnsi="Calibri"/>
                <w:sz w:val="20"/>
                <w:szCs w:val="20"/>
                <w:lang w:eastAsia="en-US"/>
              </w:rPr>
              <w:t xml:space="preserve"> v </w:t>
            </w:r>
            <w:r>
              <w:rPr>
                <w:rFonts w:ascii="Calibri" w:hAnsi="Calibri"/>
                <w:sz w:val="20"/>
                <w:szCs w:val="20"/>
                <w:lang w:eastAsia="en-US"/>
              </w:rPr>
              <w:t>slabo</w:t>
            </w:r>
            <w:r w:rsidRPr="00F27EEC">
              <w:rPr>
                <w:rFonts w:ascii="Calibri" w:hAnsi="Calibri"/>
                <w:sz w:val="20"/>
                <w:szCs w:val="20"/>
                <w:lang w:eastAsia="en-US"/>
              </w:rPr>
              <w:t xml:space="preserve"> osídlených oblastiach – kopanice, lazy a i. (bezdrôtové pokrytie), kde nie je a nebude vybudované iné pripojenie. Podpora IKT </w:t>
            </w:r>
            <w:r>
              <w:rPr>
                <w:rFonts w:ascii="Calibri" w:hAnsi="Calibri"/>
                <w:sz w:val="20"/>
                <w:szCs w:val="20"/>
                <w:lang w:eastAsia="en-US"/>
              </w:rPr>
              <w:t>bude</w:t>
            </w:r>
            <w:r w:rsidRPr="00F27EEC">
              <w:rPr>
                <w:rFonts w:ascii="Calibri" w:hAnsi="Calibri"/>
                <w:sz w:val="20"/>
                <w:szCs w:val="20"/>
                <w:lang w:eastAsia="en-US"/>
              </w:rPr>
              <w:t xml:space="preserve"> asistovať starším ľuďom, šetriť energiu</w:t>
            </w:r>
            <w:r>
              <w:rPr>
                <w:rFonts w:ascii="Calibri" w:hAnsi="Calibri"/>
                <w:sz w:val="20"/>
                <w:szCs w:val="20"/>
                <w:lang w:eastAsia="en-US"/>
              </w:rPr>
              <w:t xml:space="preserve"> a</w:t>
            </w:r>
            <w:r w:rsidRPr="00F27EEC">
              <w:rPr>
                <w:rFonts w:ascii="Calibri" w:hAnsi="Calibri"/>
                <w:sz w:val="20"/>
                <w:szCs w:val="20"/>
                <w:lang w:eastAsia="en-US"/>
              </w:rPr>
              <w:t xml:space="preserve"> </w:t>
            </w:r>
            <w:r>
              <w:rPr>
                <w:rFonts w:ascii="Calibri" w:hAnsi="Calibri"/>
                <w:sz w:val="20"/>
                <w:szCs w:val="20"/>
                <w:lang w:eastAsia="en-US"/>
              </w:rPr>
              <w:t>zlepší</w:t>
            </w:r>
            <w:r>
              <w:rPr>
                <w:rFonts w:ascii="Calibri" w:hAnsi="Calibri"/>
                <w:sz w:val="20"/>
                <w:szCs w:val="20"/>
                <w:lang w:eastAsia="en-US"/>
              </w:rPr>
              <w:lastRenderedPageBreak/>
              <w:t xml:space="preserve"> </w:t>
            </w:r>
            <w:r w:rsidRPr="00F27EEC">
              <w:rPr>
                <w:rFonts w:ascii="Calibri" w:hAnsi="Calibri"/>
                <w:sz w:val="20"/>
                <w:szCs w:val="20"/>
                <w:lang w:eastAsia="en-US"/>
              </w:rPr>
              <w:t>podnikateľské prostredie, prístup obyvateľom k  </w:t>
            </w:r>
            <w:r>
              <w:rPr>
                <w:rFonts w:ascii="Calibri" w:hAnsi="Calibri"/>
                <w:sz w:val="20"/>
                <w:szCs w:val="20"/>
                <w:lang w:eastAsia="en-US"/>
              </w:rPr>
              <w:t xml:space="preserve"> </w:t>
            </w:r>
            <w:r w:rsidRPr="00F27EEC">
              <w:rPr>
                <w:rFonts w:ascii="Calibri" w:hAnsi="Calibri"/>
                <w:sz w:val="20"/>
                <w:szCs w:val="20"/>
                <w:lang w:eastAsia="en-US"/>
              </w:rPr>
              <w:t>eGovernmentu</w:t>
            </w:r>
            <w:r>
              <w:rPr>
                <w:rFonts w:ascii="Calibri" w:hAnsi="Calibri"/>
                <w:sz w:val="20"/>
                <w:szCs w:val="20"/>
                <w:lang w:eastAsia="en-US"/>
              </w:rPr>
              <w:t>,</w:t>
            </w:r>
            <w:r w:rsidRPr="00F27EEC">
              <w:rPr>
                <w:rFonts w:ascii="Calibri" w:hAnsi="Calibri"/>
                <w:sz w:val="20"/>
                <w:szCs w:val="20"/>
                <w:lang w:eastAsia="en-US"/>
              </w:rPr>
              <w:t xml:space="preserve">  prepojenosť </w:t>
            </w:r>
            <w:r w:rsidRPr="0085687E">
              <w:rPr>
                <w:rFonts w:ascii="Calibri" w:hAnsi="Calibri"/>
                <w:sz w:val="20"/>
                <w:szCs w:val="20"/>
                <w:lang w:eastAsia="en-US"/>
              </w:rPr>
              <w:t>samospráv</w:t>
            </w:r>
            <w:r>
              <w:rPr>
                <w:rFonts w:ascii="Calibri" w:hAnsi="Calibri"/>
                <w:sz w:val="20"/>
                <w:szCs w:val="20"/>
                <w:lang w:eastAsia="en-US"/>
              </w:rPr>
              <w:t xml:space="preserve"> a i.</w:t>
            </w:r>
            <w:r w:rsidRPr="00F27EEC">
              <w:rPr>
                <w:rFonts w:ascii="Calibri" w:hAnsi="Calibri"/>
                <w:sz w:val="20"/>
                <w:szCs w:val="20"/>
                <w:lang w:eastAsia="en-US"/>
              </w:rPr>
              <w:t>.</w:t>
            </w:r>
          </w:p>
          <w:p w:rsidR="009E238E" w:rsidRPr="009E238E" w:rsidRDefault="009E238E" w:rsidP="009E238E">
            <w:pPr>
              <w:spacing w:after="120"/>
              <w:rPr>
                <w:color w:val="000000"/>
                <w:sz w:val="20"/>
                <w:szCs w:val="20"/>
              </w:rPr>
            </w:pPr>
            <w:r w:rsidRPr="00F27EEC">
              <w:rPr>
                <w:color w:val="000000"/>
                <w:sz w:val="20"/>
                <w:szCs w:val="20"/>
              </w:rPr>
              <w:t>V Strategickom dokument</w:t>
            </w:r>
            <w:r>
              <w:rPr>
                <w:color w:val="000000"/>
                <w:sz w:val="20"/>
                <w:szCs w:val="20"/>
              </w:rPr>
              <w:t>e</w:t>
            </w:r>
            <w:r w:rsidRPr="00F27EEC">
              <w:rPr>
                <w:color w:val="000000"/>
                <w:sz w:val="20"/>
                <w:szCs w:val="20"/>
              </w:rPr>
              <w:t xml:space="preserve"> pre oblasť rastu digitálnych služieb a oblasť infraštruktúry prístupovej siete novej generácie (2014-2020) sú konkretizované hlavné rozvojové potreby pre Slovensko, ktoré sú v súlade s aktuálnym stavom digitálnej ekonomiky. </w:t>
            </w:r>
            <w:r w:rsidRPr="00F27EEC">
              <w:rPr>
                <w:sz w:val="20"/>
                <w:szCs w:val="20"/>
              </w:rPr>
              <w:t xml:space="preserve">Podľa </w:t>
            </w:r>
            <w:r>
              <w:rPr>
                <w:color w:val="000000"/>
                <w:sz w:val="20"/>
                <w:szCs w:val="20"/>
              </w:rPr>
              <w:t xml:space="preserve">tohto dokumentu </w:t>
            </w:r>
            <w:r w:rsidRPr="00F27EEC">
              <w:rPr>
                <w:color w:val="000000"/>
                <w:sz w:val="20"/>
                <w:szCs w:val="20"/>
              </w:rPr>
              <w:t>cieľ vlády pre zlepšenie prístupu k IKT je v </w:t>
            </w:r>
            <w:r>
              <w:rPr>
                <w:color w:val="000000"/>
                <w:sz w:val="20"/>
                <w:szCs w:val="20"/>
              </w:rPr>
              <w:t>2</w:t>
            </w:r>
            <w:r w:rsidRPr="00F27EEC">
              <w:rPr>
                <w:color w:val="000000"/>
                <w:sz w:val="20"/>
                <w:szCs w:val="20"/>
              </w:rPr>
              <w:t xml:space="preserve"> oblastiach:</w:t>
            </w:r>
            <w:r>
              <w:rPr>
                <w:color w:val="000000"/>
                <w:sz w:val="20"/>
                <w:szCs w:val="20"/>
              </w:rPr>
              <w:t xml:space="preserve"> </w:t>
            </w:r>
            <w:r w:rsidRPr="00F27EEC">
              <w:rPr>
                <w:color w:val="000000"/>
                <w:sz w:val="20"/>
                <w:szCs w:val="20"/>
              </w:rPr>
              <w:t>V obl</w:t>
            </w:r>
            <w:r>
              <w:rPr>
                <w:color w:val="000000"/>
                <w:sz w:val="20"/>
                <w:szCs w:val="20"/>
              </w:rPr>
              <w:t xml:space="preserve">asti rastu digitálnych služieb – </w:t>
            </w:r>
            <w:r w:rsidRPr="00F27EEC">
              <w:rPr>
                <w:color w:val="000000"/>
                <w:sz w:val="20"/>
                <w:szCs w:val="20"/>
              </w:rPr>
              <w:t>aplikáciou IKT v rámci elektronickej štátnej správy, e</w:t>
            </w:r>
            <w:r>
              <w:rPr>
                <w:color w:val="000000"/>
                <w:sz w:val="20"/>
                <w:szCs w:val="20"/>
              </w:rPr>
              <w:t>-</w:t>
            </w:r>
            <w:r w:rsidRPr="00F27EEC">
              <w:rPr>
                <w:color w:val="000000"/>
                <w:sz w:val="20"/>
                <w:szCs w:val="20"/>
              </w:rPr>
              <w:t>vzdelávania, e</w:t>
            </w:r>
            <w:r>
              <w:rPr>
                <w:color w:val="000000"/>
                <w:sz w:val="20"/>
                <w:szCs w:val="20"/>
              </w:rPr>
              <w:t>-</w:t>
            </w:r>
            <w:r w:rsidRPr="00F27EEC">
              <w:rPr>
                <w:color w:val="000000"/>
                <w:sz w:val="20"/>
                <w:szCs w:val="20"/>
              </w:rPr>
              <w:t>inklúzie a</w:t>
            </w:r>
            <w:r>
              <w:rPr>
                <w:color w:val="000000"/>
                <w:sz w:val="20"/>
                <w:szCs w:val="20"/>
              </w:rPr>
              <w:t> </w:t>
            </w:r>
            <w:r w:rsidRPr="00F27EEC">
              <w:rPr>
                <w:color w:val="000000"/>
                <w:sz w:val="20"/>
                <w:szCs w:val="20"/>
              </w:rPr>
              <w:t>e</w:t>
            </w:r>
            <w:r>
              <w:rPr>
                <w:color w:val="000000"/>
                <w:sz w:val="20"/>
                <w:szCs w:val="20"/>
              </w:rPr>
              <w:t>-zd</w:t>
            </w:r>
            <w:r w:rsidRPr="00F27EEC">
              <w:rPr>
                <w:color w:val="000000"/>
                <w:sz w:val="20"/>
                <w:szCs w:val="20"/>
              </w:rPr>
              <w:t>ravotníctva; 2. V oblasti infraštruktúry prístupovej siete, určenej rozširovaním používania širokopásmového pripojenia, zavedením vysokorýchlostných sietí a podporou prijatia budúcich a objavujúcich sa technológií a sietí pre digitálne hospodárstvo.</w:t>
            </w:r>
          </w:p>
        </w:tc>
      </w:tr>
    </w:tbl>
    <w:p w:rsidR="009E238E" w:rsidRDefault="009E238E" w:rsidP="009E238E"/>
    <w:p w:rsidR="00E43137" w:rsidRDefault="00E43137" w:rsidP="008676F9">
      <w:pPr>
        <w:spacing w:after="120"/>
        <w:rPr>
          <w:szCs w:val="20"/>
        </w:rPr>
        <w:sectPr w:rsidR="00E43137" w:rsidSect="00EB6F57">
          <w:headerReference w:type="default" r:id="rId38"/>
          <w:footerReference w:type="default" r:id="rId39"/>
          <w:footerReference w:type="first" r:id="rId40"/>
          <w:pgSz w:w="16838" w:h="11906" w:orient="landscape" w:code="9"/>
          <w:pgMar w:top="1701" w:right="1418" w:bottom="1134" w:left="1418" w:header="1021" w:footer="1021" w:gutter="0"/>
          <w:cols w:space="708"/>
          <w:docGrid w:linePitch="360"/>
        </w:sectPr>
      </w:pPr>
    </w:p>
    <w:p w:rsidR="00E43137" w:rsidRPr="00366F96" w:rsidRDefault="00366F96" w:rsidP="00366F96">
      <w:pPr>
        <w:pStyle w:val="Hlavn"/>
      </w:pPr>
      <w:bookmarkStart w:id="40" w:name="_Toc387041294"/>
      <w:r w:rsidRPr="00366F96">
        <w:t xml:space="preserve">5. </w:t>
      </w:r>
      <w:r w:rsidR="00E43137" w:rsidRPr="00366F96">
        <w:t>OPIS STRATÉGIE</w:t>
      </w:r>
      <w:bookmarkEnd w:id="40"/>
    </w:p>
    <w:p w:rsidR="00E43137" w:rsidRDefault="00E43137" w:rsidP="00366F96">
      <w:pPr>
        <w:pStyle w:val="Pod"/>
        <w:numPr>
          <w:ilvl w:val="1"/>
          <w:numId w:val="409"/>
        </w:numPr>
        <w:rPr>
          <w:rFonts w:eastAsia="Calibri"/>
          <w:lang w:eastAsia="en-US"/>
        </w:rPr>
      </w:pPr>
      <w:bookmarkStart w:id="41" w:name="_Toc359414566"/>
      <w:bookmarkStart w:id="42" w:name="_Toc387041295"/>
      <w:r w:rsidRPr="00E43137">
        <w:rPr>
          <w:rFonts w:eastAsia="Calibri"/>
          <w:lang w:eastAsia="en-US"/>
        </w:rPr>
        <w:t>Zdôvodnenie potrieb riešených v PRV, výber cieľov, priorít a fokusových oblastí na základe analýzy SWOT a posúdenia potrieb</w:t>
      </w:r>
      <w:bookmarkEnd w:id="41"/>
      <w:bookmarkEnd w:id="42"/>
    </w:p>
    <w:p w:rsidR="00D8027E" w:rsidRPr="00D82AFA" w:rsidRDefault="00D8027E" w:rsidP="00D8027E">
      <w:pPr>
        <w:autoSpaceDE w:val="0"/>
        <w:autoSpaceDN w:val="0"/>
        <w:adjustRightInd w:val="0"/>
        <w:spacing w:before="120" w:after="120"/>
      </w:pPr>
      <w:r w:rsidRPr="00D82AFA">
        <w:t xml:space="preserve">Prírodné zdroje Slovenska umožňujú pôdohospodárskym odvetviam podieľať sa svojou produkciou a ekonomickými aktivitami, v porovnaní so súčasnosťou, vo výrazne väčšej miere na domácom trhu a, v rámci plnenia prioritných cieľov v oblasti pôdohospodárstva na úrovni EÚ, primeraným spôsobom aj na zahraničnom obchode. Koncepcia rozvoja pôdohospodárstva SR na roky 2013-2020 stanovuje strategický cieľ, ktorým je vytváranie podmienok na trvalo udržateľný rozvoj pôdohospodárstva. Ide o to, aby na Slovensku vzniklo výkonné, multifunkčné, environmentálne orientované a v podmienkach Európskej únie a globalizácie svetového trhu konkurencieschopné pôdohospodárstvo. V analytickej časti Koncepcie boli identifikované oblasti slovenského pôdohospodárstva, ktoré majú potenciál byť nositeľmi kvantitatívnych a kvalitatívnych parametrov dosahujúcich európsku úroveň. Realizáciou strategických záujmov vyplývajúcich z Koncepcie sa prispeje k naplneniu cieľov Stratégie Európa 2020 a to hlavne v oblasti zvyšovania zamestnanosti vidieckeho obyvateľstva, zlepšovania jeho životných podmienok a zavádzania inovácií v pôdohospodárstve. </w:t>
      </w:r>
    </w:p>
    <w:p w:rsidR="00D8027E" w:rsidRDefault="00D8027E" w:rsidP="00D8027E">
      <w:pPr>
        <w:autoSpaceDE w:val="0"/>
        <w:autoSpaceDN w:val="0"/>
        <w:adjustRightInd w:val="0"/>
        <w:spacing w:before="120" w:after="120"/>
      </w:pPr>
      <w:r w:rsidRPr="00D82AFA">
        <w:t>Z analýzy SWOT</w:t>
      </w:r>
      <w:r>
        <w:t xml:space="preserve"> vyplynuli závažnejšie nedostatky, ktoré sa týkajú hlavne: nízkej</w:t>
      </w:r>
      <w:r w:rsidRPr="00D82AFA">
        <w:t xml:space="preserve"> </w:t>
      </w:r>
      <w:r>
        <w:t>pridanej hodnoty</w:t>
      </w:r>
      <w:r w:rsidRPr="00D82AFA">
        <w:t xml:space="preserve"> v produkcii, </w:t>
      </w:r>
      <w:r>
        <w:t>klesajúcej produktivite</w:t>
      </w:r>
      <w:r w:rsidRPr="00D82AFA">
        <w:t xml:space="preserve"> práce, </w:t>
      </w:r>
      <w:r>
        <w:t xml:space="preserve">nedostatočnej diverzifikácie poľnohospodárskej prvovýroby, slabej vertikálnej integrácie prvovýrobcov v rámci potravinového reťazca,  slabej finalizácii produkcie, veľmi nízkeho </w:t>
      </w:r>
      <w:r w:rsidRPr="00D82AFA">
        <w:t>podiel</w:t>
      </w:r>
      <w:r>
        <w:t>u</w:t>
      </w:r>
      <w:r w:rsidRPr="00D82AFA">
        <w:t xml:space="preserve"> domácich potravín na trhu  (pod 50%)</w:t>
      </w:r>
      <w:r>
        <w:t xml:space="preserve">, nízkeho </w:t>
      </w:r>
      <w:r w:rsidRPr="00D82AFA">
        <w:t>podiel</w:t>
      </w:r>
      <w:r>
        <w:t>u</w:t>
      </w:r>
      <w:r w:rsidRPr="00D82AFA">
        <w:t xml:space="preserve"> poľnohospodárstva a lesníctva na hrubom domácom produkte </w:t>
      </w:r>
      <w:r>
        <w:t>SR</w:t>
      </w:r>
      <w:r w:rsidRPr="00D82AFA">
        <w:t xml:space="preserve">,  </w:t>
      </w:r>
      <w:r>
        <w:t>nízkej zamestnanosti,</w:t>
      </w:r>
      <w:r w:rsidRPr="00D82AFA">
        <w:t xml:space="preserve"> </w:t>
      </w:r>
      <w:r>
        <w:t>nedostatočne rozvinutej infraštruktúry a chýbajúce služby vo vidieckych oblastiach, zvyšujúce sa riziká dosahov klimatických zmien na poľnohospodárstvo a lesníctvo, nedostatočne obhospodarované biotopy TP.</w:t>
      </w:r>
    </w:p>
    <w:p w:rsidR="00D8027E" w:rsidRDefault="00D8027E" w:rsidP="00D8027E">
      <w:pPr>
        <w:autoSpaceDE w:val="0"/>
        <w:autoSpaceDN w:val="0"/>
        <w:adjustRightInd w:val="0"/>
        <w:spacing w:before="120" w:after="120"/>
      </w:pPr>
      <w:r>
        <w:t xml:space="preserve">Na identifikované slabé stránky odpovedá PRV SR 2014-2020, pričom sa bude stavať na silných stránkach uvedených v SWOT ako aj na výsledkoch dosiahnutých z minulého programového obdobia. Medzi tieto výsledky patrí napr. stabilizácia produkcii v rastlinnej výrobe, zmiernenie dopadov krízy na ziskovosť podporených podnikov a zníženie ich zadlženosti, spomalenie poklesu nezamestnanosti v sektore, realizované poľnohospodárske a </w:t>
      </w:r>
      <w:r w:rsidRPr="00BE1961">
        <w:t xml:space="preserve">lesohospodárske postupy </w:t>
      </w:r>
      <w:r>
        <w:t>prispievajúce</w:t>
      </w:r>
      <w:r w:rsidRPr="00BE1961">
        <w:t xml:space="preserve"> k zachovaniu biodiverzity, kvality vody a pôdy, zmierneniu dôsledkov klimatickej zmeny a zabráneniu </w:t>
      </w:r>
      <w:r>
        <w:t xml:space="preserve">marginalizácii a opúšťaniu pôdy, zlepšená infraštruktúra vo vidieckych oblastiach, atď.  </w:t>
      </w:r>
    </w:p>
    <w:p w:rsidR="00D8027E" w:rsidRPr="00D341C5" w:rsidRDefault="00D8027E" w:rsidP="00D8027E">
      <w:pPr>
        <w:autoSpaceDE w:val="0"/>
        <w:autoSpaceDN w:val="0"/>
        <w:adjustRightInd w:val="0"/>
        <w:spacing w:before="120" w:after="120"/>
      </w:pPr>
      <w:r>
        <w:t>Stratégia</w:t>
      </w:r>
      <w:r w:rsidRPr="00E01E4E">
        <w:t xml:space="preserve"> PRV </w:t>
      </w:r>
      <w:r>
        <w:t xml:space="preserve">SR 2014-2020 reaguje na zistené nedostatky a identifikované potreby v analýze SWOT a bude v hlavne prispievať k naplneniu cieľov </w:t>
      </w:r>
      <w:r w:rsidRPr="00E01E4E">
        <w:t>SPP</w:t>
      </w:r>
      <w:r w:rsidR="00F51A18">
        <w:t xml:space="preserve">: </w:t>
      </w:r>
      <w:r>
        <w:t xml:space="preserve">i.) </w:t>
      </w:r>
      <w:r w:rsidRPr="00D341C5">
        <w:t>podporovať konkurencieschopnosť poľnohospodárstva</w:t>
      </w:r>
      <w:r>
        <w:t xml:space="preserve">, ii.) </w:t>
      </w:r>
      <w:r w:rsidRPr="00D341C5">
        <w:t>zabezpečovať udržateľné hospodárenie s prírodnými zdrojmi a opatrenia v oblasti klímy</w:t>
      </w:r>
      <w:r>
        <w:t xml:space="preserve"> a iii.) </w:t>
      </w:r>
      <w:r w:rsidRPr="00D341C5">
        <w:t>dosiahnuť vyvážený územný rozvoj vidieckych hospodárstiev a komunít vrátane vytvárania a udržiavania pracovných miest</w:t>
      </w:r>
      <w:r>
        <w:t>.</w:t>
      </w:r>
    </w:p>
    <w:p w:rsidR="00D8027E" w:rsidRPr="00E01E4E" w:rsidRDefault="00D8027E" w:rsidP="00D8027E">
      <w:pPr>
        <w:autoSpaceDE w:val="0"/>
        <w:autoSpaceDN w:val="0"/>
        <w:adjustRightInd w:val="0"/>
        <w:spacing w:before="120" w:after="120"/>
      </w:pPr>
      <w:r>
        <w:t>I</w:t>
      </w:r>
      <w:r w:rsidRPr="00E01E4E">
        <w:t xml:space="preserve">dentifikované problémy a potreby </w:t>
      </w:r>
      <w:r>
        <w:t>budú riešené prostredníctvom kombinácii vybraných opatrení v rámci všetkých šiestich priorít EPFRV</w:t>
      </w:r>
      <w:r w:rsidR="00F51A18">
        <w:t xml:space="preserve"> a vybraných fokusových oblastí</w:t>
      </w:r>
      <w:r>
        <w:t xml:space="preserve">. </w:t>
      </w:r>
      <w:r w:rsidRPr="00E01E4E">
        <w:t xml:space="preserve">Navyše bola doplnená dodatočná fokusová oblasť, zameraná na zlepšenie hospodárskeho výkonu lesného hospodárstva. </w:t>
      </w:r>
    </w:p>
    <w:p w:rsidR="00D8027E" w:rsidRPr="00E01E4E" w:rsidRDefault="00D8027E" w:rsidP="00D8027E">
      <w:pPr>
        <w:autoSpaceDE w:val="0"/>
        <w:autoSpaceDN w:val="0"/>
        <w:adjustRightInd w:val="0"/>
        <w:spacing w:before="120" w:after="120"/>
      </w:pPr>
      <w:r w:rsidRPr="00E01E4E">
        <w:t>Stratégia prispieva k naplneniu hlavných cieľov Koncepcie a to podporou zvýšenia rastu (vyššej pridanej hodnoty), udržaniu a tvorby pracovných miest na vidieku  a to všetko v súlade s ochranou životného prostredia. Tým prispieva aj k plneniu cieľov SPP a Stratégii Európa 2020.</w:t>
      </w:r>
    </w:p>
    <w:p w:rsidR="00D8027E" w:rsidRPr="00E10D90" w:rsidRDefault="00D8027E" w:rsidP="00D8027E">
      <w:pPr>
        <w:autoSpaceDE w:val="0"/>
        <w:autoSpaceDN w:val="0"/>
        <w:adjustRightInd w:val="0"/>
      </w:pPr>
      <w:r w:rsidRPr="00E10D90">
        <w:t>Z</w:t>
      </w:r>
      <w:r>
        <w:t xml:space="preserve"> analýzy SWOT ako aj z hodnotenia potrieb vyplýva, že </w:t>
      </w:r>
      <w:r>
        <w:rPr>
          <w:b/>
        </w:rPr>
        <w:t xml:space="preserve">najdôležitejším </w:t>
      </w:r>
      <w:r w:rsidRPr="00E01E4E">
        <w:rPr>
          <w:b/>
        </w:rPr>
        <w:t xml:space="preserve">strategickým cieľom </w:t>
      </w:r>
      <w:r>
        <w:rPr>
          <w:b/>
        </w:rPr>
        <w:t xml:space="preserve">programu je posilnenie konkurencieschopnosti pôdohospodárskeho sektora (poľnohospodárstvo, lesníctvo a potravinárstvo). </w:t>
      </w:r>
      <w:r w:rsidRPr="00E10D90">
        <w:t>Zvolená</w:t>
      </w:r>
      <w:r>
        <w:rPr>
          <w:b/>
        </w:rPr>
        <w:t xml:space="preserve"> </w:t>
      </w:r>
      <w:r w:rsidRPr="00E10D90">
        <w:t>strat</w:t>
      </w:r>
      <w:r>
        <w:t>égia prostredníctvom vybraných operácií prispeje k zvýšeniu konkurencieschopnosti hlavne zvýšením diverzifikácie poľnohospodárskej činnosti,  zlepšením finalizácie prvovýroby, lepšou integráciou prvovýrobcov do potravinového reťazca,</w:t>
      </w:r>
      <w:r>
        <w:lastRenderedPageBreak/>
        <w:t xml:space="preserve"> zavádzaním inovatívnych postupov a technológií do spracovania, zlepšením kvality potravín, zlepšením odbytu produkcie, zlepšením infraštruktúry v lesoch. </w:t>
      </w:r>
    </w:p>
    <w:p w:rsidR="00D8027E" w:rsidRDefault="00D8027E" w:rsidP="00D8027E">
      <w:pPr>
        <w:autoSpaceDE w:val="0"/>
        <w:autoSpaceDN w:val="0"/>
        <w:adjustRightInd w:val="0"/>
        <w:rPr>
          <w:b/>
        </w:rPr>
      </w:pPr>
    </w:p>
    <w:p w:rsidR="00D8027E" w:rsidRPr="00BF388C" w:rsidRDefault="00D8027E" w:rsidP="00D8027E">
      <w:pPr>
        <w:autoSpaceDE w:val="0"/>
        <w:autoSpaceDN w:val="0"/>
        <w:adjustRightInd w:val="0"/>
      </w:pPr>
      <w:r>
        <w:t>Vo vzťahu k cieľu „</w:t>
      </w:r>
      <w:r w:rsidRPr="00C32FE9">
        <w:rPr>
          <w:b/>
        </w:rPr>
        <w:t>konkurencieschopnosť pôdohospodárskeho sektora</w:t>
      </w:r>
      <w:r>
        <w:t>“ boli vybrané nasledovné potreby ako aj bolo určené ich poradie dôležitosti z pohľadu opodstatnenosti</w:t>
      </w:r>
      <w:r w:rsidRPr="00BF388C">
        <w:t xml:space="preserve">: </w:t>
      </w:r>
    </w:p>
    <w:p w:rsidR="00D8027E" w:rsidRPr="00E43137" w:rsidRDefault="00D8027E" w:rsidP="00D8027E">
      <w:pPr>
        <w:pStyle w:val="Pod"/>
        <w:ind w:left="720"/>
        <w:rPr>
          <w:rFonts w:eastAsia="Calibri"/>
          <w:lang w:eastAsia="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6"/>
        <w:gridCol w:w="7686"/>
      </w:tblGrid>
      <w:tr w:rsidR="00E43137" w:rsidRPr="00E43137" w:rsidTr="00E43137">
        <w:tc>
          <w:tcPr>
            <w:tcW w:w="1526" w:type="dxa"/>
            <w:shd w:val="clear" w:color="auto" w:fill="FDE9D9"/>
          </w:tcPr>
          <w:p w:rsidR="00E43137" w:rsidRPr="00E43137" w:rsidRDefault="00E43137" w:rsidP="008676F9">
            <w:pPr>
              <w:autoSpaceDE w:val="0"/>
              <w:autoSpaceDN w:val="0"/>
              <w:adjustRightInd w:val="0"/>
              <w:jc w:val="center"/>
              <w:rPr>
                <w:rFonts w:ascii="Calibri" w:eastAsia="Calibri" w:hAnsi="Calibri"/>
                <w:b/>
                <w:sz w:val="18"/>
                <w:szCs w:val="18"/>
                <w:lang w:eastAsia="en-US"/>
              </w:rPr>
            </w:pPr>
            <w:r w:rsidRPr="00E43137">
              <w:rPr>
                <w:rFonts w:ascii="Calibri" w:eastAsia="Calibri" w:hAnsi="Calibri"/>
                <w:b/>
                <w:sz w:val="18"/>
                <w:szCs w:val="18"/>
                <w:lang w:eastAsia="en-US"/>
              </w:rPr>
              <w:t xml:space="preserve">Poradie dôležitosti </w:t>
            </w:r>
            <w:r w:rsidRPr="00E43137">
              <w:rPr>
                <w:rFonts w:ascii="Calibri" w:eastAsia="Calibri" w:hAnsi="Calibri"/>
                <w:sz w:val="18"/>
                <w:szCs w:val="18"/>
                <w:lang w:eastAsia="en-US"/>
              </w:rPr>
              <w:t>(prioritizácia)</w:t>
            </w:r>
          </w:p>
        </w:tc>
        <w:tc>
          <w:tcPr>
            <w:tcW w:w="7686" w:type="dxa"/>
            <w:shd w:val="clear" w:color="auto" w:fill="FDE9D9"/>
            <w:vAlign w:val="center"/>
          </w:tcPr>
          <w:p w:rsidR="00E43137" w:rsidRPr="00E43137" w:rsidRDefault="00E43137" w:rsidP="008676F9">
            <w:pPr>
              <w:autoSpaceDE w:val="0"/>
              <w:autoSpaceDN w:val="0"/>
              <w:adjustRightInd w:val="0"/>
              <w:jc w:val="center"/>
              <w:rPr>
                <w:rFonts w:ascii="Calibri" w:eastAsia="Calibri" w:hAnsi="Calibri"/>
                <w:b/>
                <w:sz w:val="18"/>
                <w:szCs w:val="18"/>
                <w:lang w:eastAsia="en-US"/>
              </w:rPr>
            </w:pPr>
            <w:r w:rsidRPr="00E43137">
              <w:rPr>
                <w:rFonts w:ascii="Calibri" w:eastAsia="Calibri" w:hAnsi="Calibri"/>
                <w:b/>
                <w:sz w:val="18"/>
                <w:szCs w:val="18"/>
                <w:lang w:eastAsia="en-US"/>
              </w:rPr>
              <w:t>Identifikované potreby</w:t>
            </w:r>
          </w:p>
        </w:tc>
      </w:tr>
      <w:tr w:rsidR="00D8027E" w:rsidRPr="00E43137" w:rsidTr="00D8027E">
        <w:trPr>
          <w:trHeight w:val="732"/>
        </w:trPr>
        <w:tc>
          <w:tcPr>
            <w:tcW w:w="1526" w:type="dxa"/>
            <w:shd w:val="clear" w:color="auto" w:fill="auto"/>
            <w:vAlign w:val="center"/>
          </w:tcPr>
          <w:p w:rsidR="00D8027E" w:rsidRPr="00C32FE9" w:rsidRDefault="00D8027E" w:rsidP="008676F9">
            <w:pPr>
              <w:autoSpaceDE w:val="0"/>
              <w:autoSpaceDN w:val="0"/>
              <w:adjustRightInd w:val="0"/>
              <w:jc w:val="center"/>
              <w:rPr>
                <w:rFonts w:ascii="Calibri" w:eastAsia="Calibri" w:hAnsi="Calibri"/>
                <w:sz w:val="20"/>
                <w:szCs w:val="20"/>
                <w:lang w:eastAsia="en-US"/>
              </w:rPr>
            </w:pPr>
            <w:r w:rsidRPr="00C32FE9">
              <w:rPr>
                <w:rFonts w:ascii="Calibri" w:eastAsia="Calibri" w:hAnsi="Calibri"/>
                <w:sz w:val="20"/>
                <w:szCs w:val="20"/>
                <w:lang w:eastAsia="en-US"/>
              </w:rPr>
              <w:t>1.</w:t>
            </w:r>
          </w:p>
        </w:tc>
        <w:tc>
          <w:tcPr>
            <w:tcW w:w="7686" w:type="dxa"/>
            <w:shd w:val="clear" w:color="auto" w:fill="auto"/>
            <w:vAlign w:val="center"/>
          </w:tcPr>
          <w:p w:rsidR="00D8027E" w:rsidRPr="00C32FE9" w:rsidRDefault="00D8027E" w:rsidP="00366F96">
            <w:pPr>
              <w:autoSpaceDE w:val="0"/>
              <w:autoSpaceDN w:val="0"/>
              <w:adjustRightInd w:val="0"/>
              <w:ind w:left="317" w:hanging="317"/>
              <w:jc w:val="left"/>
              <w:rPr>
                <w:rFonts w:ascii="Calibri" w:hAnsi="Calibri"/>
                <w:sz w:val="20"/>
                <w:szCs w:val="20"/>
                <w:lang w:eastAsia="zh-CN"/>
              </w:rPr>
            </w:pPr>
            <w:r w:rsidRPr="00C32FE9">
              <w:rPr>
                <w:sz w:val="20"/>
                <w:szCs w:val="20"/>
              </w:rPr>
              <w:t xml:space="preserve">č.8 </w:t>
            </w:r>
            <w:r w:rsidRPr="00C32FE9">
              <w:rPr>
                <w:rFonts w:ascii="Calibri" w:hAnsi="Calibri"/>
                <w:sz w:val="20"/>
                <w:szCs w:val="20"/>
                <w:lang w:eastAsia="zh-CN"/>
              </w:rPr>
              <w:t>Rast pridanej hodnoty zvyšovaním kvality domácej poľnohospodárskej produkcie a stimuláciou živočíšnej výroby v chovoch AW</w:t>
            </w:r>
          </w:p>
          <w:p w:rsidR="00D8027E" w:rsidRPr="00C32FE9" w:rsidRDefault="00C32FE9" w:rsidP="00C32FE9">
            <w:pPr>
              <w:autoSpaceDE w:val="0"/>
              <w:autoSpaceDN w:val="0"/>
              <w:adjustRightInd w:val="0"/>
              <w:ind w:left="317" w:hanging="317"/>
              <w:jc w:val="left"/>
              <w:rPr>
                <w:i/>
                <w:sz w:val="20"/>
                <w:szCs w:val="20"/>
                <w:u w:val="single"/>
              </w:rPr>
            </w:pPr>
            <w:r w:rsidRPr="00C32FE9">
              <w:rPr>
                <w:rFonts w:ascii="Calibri" w:hAnsi="Calibri"/>
                <w:sz w:val="20"/>
                <w:szCs w:val="20"/>
                <w:lang w:eastAsia="zh-CN"/>
              </w:rPr>
              <w:t>č</w:t>
            </w:r>
            <w:r w:rsidR="00D8027E" w:rsidRPr="00C32FE9">
              <w:rPr>
                <w:rFonts w:ascii="Calibri" w:hAnsi="Calibri"/>
                <w:sz w:val="20"/>
                <w:szCs w:val="20"/>
                <w:lang w:eastAsia="zh-CN"/>
              </w:rPr>
              <w:t>.7 Podpora predaja domácej produkcie cez odbytové organizácie výrobcov a rozvoj krátkych dodávateľských reťazcov</w:t>
            </w:r>
          </w:p>
        </w:tc>
      </w:tr>
      <w:tr w:rsidR="00D8027E" w:rsidRPr="00E43137" w:rsidTr="00D8027E">
        <w:trPr>
          <w:trHeight w:val="732"/>
        </w:trPr>
        <w:tc>
          <w:tcPr>
            <w:tcW w:w="1526" w:type="dxa"/>
            <w:shd w:val="clear" w:color="auto" w:fill="auto"/>
            <w:vAlign w:val="center"/>
          </w:tcPr>
          <w:p w:rsidR="00D8027E" w:rsidRPr="00C32FE9" w:rsidRDefault="00D8027E" w:rsidP="008676F9">
            <w:pPr>
              <w:autoSpaceDE w:val="0"/>
              <w:autoSpaceDN w:val="0"/>
              <w:adjustRightInd w:val="0"/>
              <w:jc w:val="center"/>
              <w:rPr>
                <w:rFonts w:ascii="Calibri" w:eastAsia="Calibri" w:hAnsi="Calibri"/>
                <w:sz w:val="20"/>
                <w:szCs w:val="20"/>
                <w:lang w:eastAsia="en-US"/>
              </w:rPr>
            </w:pPr>
            <w:r w:rsidRPr="00C32FE9">
              <w:rPr>
                <w:rFonts w:ascii="Calibri" w:eastAsia="Calibri" w:hAnsi="Calibri"/>
                <w:sz w:val="20"/>
                <w:szCs w:val="20"/>
                <w:lang w:eastAsia="en-US"/>
              </w:rPr>
              <w:t>2.</w:t>
            </w:r>
          </w:p>
        </w:tc>
        <w:tc>
          <w:tcPr>
            <w:tcW w:w="7686" w:type="dxa"/>
            <w:shd w:val="clear" w:color="auto" w:fill="auto"/>
            <w:vAlign w:val="center"/>
          </w:tcPr>
          <w:p w:rsidR="00D8027E" w:rsidRPr="00C32FE9" w:rsidRDefault="00D8027E" w:rsidP="00366F96">
            <w:pPr>
              <w:autoSpaceDE w:val="0"/>
              <w:autoSpaceDN w:val="0"/>
              <w:adjustRightInd w:val="0"/>
              <w:ind w:left="317" w:hanging="317"/>
              <w:jc w:val="left"/>
              <w:rPr>
                <w:i/>
                <w:sz w:val="20"/>
                <w:szCs w:val="20"/>
                <w:u w:val="single"/>
              </w:rPr>
            </w:pPr>
            <w:r w:rsidRPr="00C32FE9">
              <w:rPr>
                <w:sz w:val="20"/>
                <w:szCs w:val="20"/>
              </w:rPr>
              <w:t xml:space="preserve">č.4 </w:t>
            </w:r>
            <w:r w:rsidRPr="00C32FE9">
              <w:rPr>
                <w:rFonts w:ascii="Calibri" w:hAnsi="Calibri"/>
                <w:sz w:val="20"/>
                <w:szCs w:val="20"/>
                <w:lang w:eastAsia="zh-CN"/>
              </w:rPr>
              <w:t>Zvýšiť efektivitu všetkých výrobných faktorov a dosiahnuť nárast pridanej hodnoty poľnohospodárskych podnikov</w:t>
            </w:r>
          </w:p>
        </w:tc>
      </w:tr>
      <w:tr w:rsidR="00D8027E" w:rsidRPr="00E43137" w:rsidTr="00D8027E">
        <w:trPr>
          <w:trHeight w:val="732"/>
        </w:trPr>
        <w:tc>
          <w:tcPr>
            <w:tcW w:w="1526" w:type="dxa"/>
            <w:shd w:val="clear" w:color="auto" w:fill="auto"/>
            <w:vAlign w:val="center"/>
          </w:tcPr>
          <w:p w:rsidR="00D8027E" w:rsidRPr="00C32FE9" w:rsidRDefault="00D8027E" w:rsidP="008676F9">
            <w:pPr>
              <w:autoSpaceDE w:val="0"/>
              <w:autoSpaceDN w:val="0"/>
              <w:adjustRightInd w:val="0"/>
              <w:jc w:val="center"/>
              <w:rPr>
                <w:rFonts w:ascii="Calibri" w:eastAsia="Calibri" w:hAnsi="Calibri"/>
                <w:sz w:val="20"/>
                <w:szCs w:val="20"/>
                <w:lang w:eastAsia="en-US"/>
              </w:rPr>
            </w:pPr>
            <w:r w:rsidRPr="00C32FE9">
              <w:rPr>
                <w:rFonts w:ascii="Calibri" w:eastAsia="Calibri" w:hAnsi="Calibri"/>
                <w:sz w:val="20"/>
                <w:szCs w:val="20"/>
                <w:lang w:eastAsia="en-US"/>
              </w:rPr>
              <w:t>3.</w:t>
            </w:r>
          </w:p>
        </w:tc>
        <w:tc>
          <w:tcPr>
            <w:tcW w:w="7686" w:type="dxa"/>
            <w:shd w:val="clear" w:color="auto" w:fill="auto"/>
            <w:vAlign w:val="center"/>
          </w:tcPr>
          <w:p w:rsidR="00D8027E" w:rsidRPr="00C32FE9" w:rsidRDefault="00D8027E" w:rsidP="00366F96">
            <w:pPr>
              <w:autoSpaceDE w:val="0"/>
              <w:autoSpaceDN w:val="0"/>
              <w:adjustRightInd w:val="0"/>
              <w:ind w:left="317" w:hanging="317"/>
              <w:jc w:val="left"/>
              <w:rPr>
                <w:sz w:val="20"/>
                <w:szCs w:val="20"/>
              </w:rPr>
            </w:pPr>
            <w:r w:rsidRPr="00C32FE9">
              <w:rPr>
                <w:rFonts w:ascii="Calibri" w:hAnsi="Calibri"/>
                <w:sz w:val="20"/>
                <w:szCs w:val="20"/>
                <w:lang w:eastAsia="zh-CN"/>
              </w:rPr>
              <w:t>č.10 Podpora udržateľného obhospodarovania lesov a zvýšenie ekonomickej hodnoty lesov</w:t>
            </w:r>
          </w:p>
        </w:tc>
      </w:tr>
      <w:tr w:rsidR="00D8027E" w:rsidRPr="00E43137" w:rsidTr="00D8027E">
        <w:trPr>
          <w:trHeight w:val="732"/>
        </w:trPr>
        <w:tc>
          <w:tcPr>
            <w:tcW w:w="1526" w:type="dxa"/>
            <w:shd w:val="clear" w:color="auto" w:fill="auto"/>
            <w:vAlign w:val="center"/>
          </w:tcPr>
          <w:p w:rsidR="00D8027E" w:rsidRPr="00C32FE9" w:rsidRDefault="00D8027E" w:rsidP="008676F9">
            <w:pPr>
              <w:autoSpaceDE w:val="0"/>
              <w:autoSpaceDN w:val="0"/>
              <w:adjustRightInd w:val="0"/>
              <w:jc w:val="center"/>
              <w:rPr>
                <w:rFonts w:ascii="Calibri" w:eastAsia="Calibri" w:hAnsi="Calibri"/>
                <w:sz w:val="20"/>
                <w:szCs w:val="20"/>
                <w:lang w:eastAsia="en-US"/>
              </w:rPr>
            </w:pPr>
            <w:r w:rsidRPr="00C32FE9">
              <w:rPr>
                <w:rFonts w:ascii="Calibri" w:eastAsia="Calibri" w:hAnsi="Calibri"/>
                <w:sz w:val="20"/>
                <w:szCs w:val="20"/>
                <w:lang w:eastAsia="en-US"/>
              </w:rPr>
              <w:t>4.</w:t>
            </w:r>
          </w:p>
        </w:tc>
        <w:tc>
          <w:tcPr>
            <w:tcW w:w="7686" w:type="dxa"/>
            <w:shd w:val="clear" w:color="auto" w:fill="auto"/>
            <w:vAlign w:val="center"/>
          </w:tcPr>
          <w:p w:rsidR="00D8027E" w:rsidRPr="00C32FE9" w:rsidRDefault="00D8027E" w:rsidP="00366F96">
            <w:pPr>
              <w:autoSpaceDE w:val="0"/>
              <w:autoSpaceDN w:val="0"/>
              <w:adjustRightInd w:val="0"/>
              <w:ind w:left="317" w:hanging="317"/>
              <w:jc w:val="left"/>
              <w:rPr>
                <w:sz w:val="20"/>
                <w:szCs w:val="20"/>
              </w:rPr>
            </w:pPr>
            <w:r w:rsidRPr="00C32FE9">
              <w:rPr>
                <w:sz w:val="20"/>
                <w:szCs w:val="20"/>
              </w:rPr>
              <w:t>č.17</w:t>
            </w:r>
            <w:r w:rsidRPr="00C32FE9">
              <w:rPr>
                <w:b/>
                <w:sz w:val="20"/>
                <w:szCs w:val="20"/>
              </w:rPr>
              <w:t xml:space="preserve"> </w:t>
            </w:r>
            <w:r w:rsidRPr="00C32FE9">
              <w:rPr>
                <w:rFonts w:ascii="Calibri" w:hAnsi="Calibri"/>
                <w:sz w:val="20"/>
                <w:szCs w:val="20"/>
                <w:lang w:eastAsia="zh-CN"/>
              </w:rPr>
              <w:t>Udržanie existujúcich a vytváranie nových pracovných miest na vidieku</w:t>
            </w:r>
          </w:p>
        </w:tc>
      </w:tr>
      <w:tr w:rsidR="00D8027E" w:rsidRPr="00E43137" w:rsidTr="00D8027E">
        <w:trPr>
          <w:trHeight w:val="732"/>
        </w:trPr>
        <w:tc>
          <w:tcPr>
            <w:tcW w:w="1526" w:type="dxa"/>
            <w:shd w:val="clear" w:color="auto" w:fill="auto"/>
            <w:vAlign w:val="center"/>
          </w:tcPr>
          <w:p w:rsidR="00D8027E" w:rsidRPr="00C32FE9" w:rsidRDefault="00D8027E" w:rsidP="008676F9">
            <w:pPr>
              <w:autoSpaceDE w:val="0"/>
              <w:autoSpaceDN w:val="0"/>
              <w:adjustRightInd w:val="0"/>
              <w:jc w:val="center"/>
              <w:rPr>
                <w:rFonts w:ascii="Calibri" w:eastAsia="Calibri" w:hAnsi="Calibri"/>
                <w:sz w:val="20"/>
                <w:szCs w:val="20"/>
                <w:lang w:eastAsia="en-US"/>
              </w:rPr>
            </w:pPr>
            <w:r w:rsidRPr="00C32FE9">
              <w:rPr>
                <w:rFonts w:ascii="Calibri" w:eastAsia="Calibri" w:hAnsi="Calibri"/>
                <w:sz w:val="20"/>
                <w:szCs w:val="20"/>
                <w:lang w:eastAsia="en-US"/>
              </w:rPr>
              <w:t>5.</w:t>
            </w:r>
          </w:p>
        </w:tc>
        <w:tc>
          <w:tcPr>
            <w:tcW w:w="7686" w:type="dxa"/>
            <w:shd w:val="clear" w:color="auto" w:fill="auto"/>
            <w:vAlign w:val="center"/>
          </w:tcPr>
          <w:p w:rsidR="00D8027E" w:rsidRPr="00C32FE9" w:rsidRDefault="00D8027E" w:rsidP="00366F96">
            <w:pPr>
              <w:autoSpaceDE w:val="0"/>
              <w:autoSpaceDN w:val="0"/>
              <w:adjustRightInd w:val="0"/>
              <w:ind w:left="317" w:hanging="317"/>
              <w:jc w:val="left"/>
              <w:rPr>
                <w:i/>
                <w:sz w:val="20"/>
                <w:szCs w:val="20"/>
                <w:u w:val="single"/>
              </w:rPr>
            </w:pPr>
            <w:r w:rsidRPr="00C32FE9">
              <w:rPr>
                <w:sz w:val="20"/>
                <w:szCs w:val="20"/>
              </w:rPr>
              <w:t xml:space="preserve">č.6 </w:t>
            </w:r>
            <w:r w:rsidRPr="00C32FE9">
              <w:rPr>
                <w:rFonts w:ascii="Calibri" w:hAnsi="Calibri"/>
                <w:sz w:val="20"/>
                <w:szCs w:val="20"/>
                <w:lang w:eastAsia="zh-CN"/>
              </w:rPr>
              <w:t>Podporovať hospodárenie na vlastnej pôde – usporiadanie vlastníctva a konsolidácia pôdy</w:t>
            </w:r>
          </w:p>
        </w:tc>
      </w:tr>
      <w:tr w:rsidR="00D8027E" w:rsidRPr="00E43137" w:rsidTr="00D8027E">
        <w:trPr>
          <w:trHeight w:val="732"/>
        </w:trPr>
        <w:tc>
          <w:tcPr>
            <w:tcW w:w="1526" w:type="dxa"/>
            <w:shd w:val="clear" w:color="auto" w:fill="auto"/>
            <w:vAlign w:val="center"/>
          </w:tcPr>
          <w:p w:rsidR="00D8027E" w:rsidRPr="00C32FE9" w:rsidRDefault="00D8027E" w:rsidP="008676F9">
            <w:pPr>
              <w:autoSpaceDE w:val="0"/>
              <w:autoSpaceDN w:val="0"/>
              <w:adjustRightInd w:val="0"/>
              <w:jc w:val="center"/>
              <w:rPr>
                <w:rFonts w:ascii="Calibri" w:eastAsia="Calibri" w:hAnsi="Calibri"/>
                <w:sz w:val="20"/>
                <w:szCs w:val="20"/>
                <w:lang w:eastAsia="en-US"/>
              </w:rPr>
            </w:pPr>
            <w:r w:rsidRPr="00C32FE9">
              <w:rPr>
                <w:rFonts w:ascii="Calibri" w:eastAsia="Calibri" w:hAnsi="Calibri"/>
                <w:sz w:val="20"/>
                <w:szCs w:val="20"/>
                <w:lang w:eastAsia="en-US"/>
              </w:rPr>
              <w:t>6.</w:t>
            </w:r>
          </w:p>
        </w:tc>
        <w:tc>
          <w:tcPr>
            <w:tcW w:w="7686" w:type="dxa"/>
            <w:shd w:val="clear" w:color="auto" w:fill="auto"/>
            <w:vAlign w:val="center"/>
          </w:tcPr>
          <w:p w:rsidR="00D8027E" w:rsidRPr="00C32FE9" w:rsidRDefault="00D8027E" w:rsidP="00366F96">
            <w:pPr>
              <w:spacing w:after="120"/>
              <w:ind w:left="317" w:hanging="317"/>
              <w:jc w:val="left"/>
              <w:textAlignment w:val="baseline"/>
              <w:rPr>
                <w:rFonts w:ascii="Calibri" w:hAnsi="Calibri"/>
                <w:sz w:val="20"/>
                <w:szCs w:val="20"/>
              </w:rPr>
            </w:pPr>
            <w:r w:rsidRPr="00C32FE9">
              <w:rPr>
                <w:sz w:val="20"/>
                <w:szCs w:val="20"/>
              </w:rPr>
              <w:t xml:space="preserve">č.9 </w:t>
            </w:r>
            <w:r w:rsidRPr="00C32FE9">
              <w:rPr>
                <w:rFonts w:ascii="Calibri" w:hAnsi="Calibri"/>
                <w:sz w:val="20"/>
                <w:szCs w:val="20"/>
                <w:lang w:eastAsia="zh-CN"/>
              </w:rPr>
              <w:t xml:space="preserve">Obnova produkčného potenciálu poľnohospodárskej pôdy a prevencia pred negatívnymi dôsledkami povodní, s negatívnym dopadom na potenciál poľnohospodárskej výroby </w:t>
            </w:r>
          </w:p>
        </w:tc>
      </w:tr>
      <w:tr w:rsidR="00D8027E" w:rsidRPr="00E43137" w:rsidTr="00D8027E">
        <w:trPr>
          <w:trHeight w:val="733"/>
        </w:trPr>
        <w:tc>
          <w:tcPr>
            <w:tcW w:w="1526" w:type="dxa"/>
            <w:shd w:val="clear" w:color="auto" w:fill="auto"/>
            <w:vAlign w:val="center"/>
          </w:tcPr>
          <w:p w:rsidR="00D8027E" w:rsidRPr="00C32FE9" w:rsidRDefault="00D8027E" w:rsidP="008676F9">
            <w:pPr>
              <w:autoSpaceDE w:val="0"/>
              <w:autoSpaceDN w:val="0"/>
              <w:adjustRightInd w:val="0"/>
              <w:jc w:val="center"/>
              <w:rPr>
                <w:rFonts w:ascii="Calibri" w:eastAsia="Calibri" w:hAnsi="Calibri"/>
                <w:sz w:val="20"/>
                <w:szCs w:val="20"/>
                <w:lang w:eastAsia="en-US"/>
              </w:rPr>
            </w:pPr>
            <w:r w:rsidRPr="00C32FE9">
              <w:rPr>
                <w:rFonts w:ascii="Calibri" w:eastAsia="Calibri" w:hAnsi="Calibri"/>
                <w:sz w:val="20"/>
                <w:szCs w:val="20"/>
                <w:lang w:eastAsia="en-US"/>
              </w:rPr>
              <w:t>7.</w:t>
            </w:r>
          </w:p>
        </w:tc>
        <w:tc>
          <w:tcPr>
            <w:tcW w:w="7686" w:type="dxa"/>
            <w:shd w:val="clear" w:color="auto" w:fill="auto"/>
            <w:vAlign w:val="center"/>
          </w:tcPr>
          <w:p w:rsidR="00D8027E" w:rsidRPr="00C32FE9" w:rsidRDefault="00D8027E" w:rsidP="00366F96">
            <w:pPr>
              <w:autoSpaceDE w:val="0"/>
              <w:autoSpaceDN w:val="0"/>
              <w:adjustRightInd w:val="0"/>
              <w:ind w:left="317" w:hanging="317"/>
              <w:jc w:val="left"/>
              <w:rPr>
                <w:sz w:val="20"/>
                <w:szCs w:val="20"/>
              </w:rPr>
            </w:pPr>
            <w:r w:rsidRPr="00C32FE9">
              <w:rPr>
                <w:sz w:val="20"/>
                <w:szCs w:val="20"/>
              </w:rPr>
              <w:t xml:space="preserve">č.5 </w:t>
            </w:r>
            <w:r w:rsidRPr="00C32FE9">
              <w:rPr>
                <w:rFonts w:ascii="Calibri" w:hAnsi="Calibri"/>
                <w:sz w:val="20"/>
                <w:szCs w:val="20"/>
                <w:lang w:eastAsia="zh-CN"/>
              </w:rPr>
              <w:t>Podporiť vstup do odvetvia pre mladých farmárov – vybavenie investičným majetkom, cielené poradenstvo, vytvorenie podmienok pre hospodárenie na pôde</w:t>
            </w:r>
          </w:p>
        </w:tc>
      </w:tr>
      <w:tr w:rsidR="00D8027E" w:rsidRPr="00E43137" w:rsidTr="00D8027E">
        <w:trPr>
          <w:trHeight w:val="733"/>
        </w:trPr>
        <w:tc>
          <w:tcPr>
            <w:tcW w:w="1526" w:type="dxa"/>
            <w:shd w:val="clear" w:color="auto" w:fill="auto"/>
            <w:vAlign w:val="center"/>
          </w:tcPr>
          <w:p w:rsidR="00D8027E" w:rsidRPr="00C32FE9" w:rsidRDefault="00D8027E" w:rsidP="008676F9">
            <w:pPr>
              <w:autoSpaceDE w:val="0"/>
              <w:autoSpaceDN w:val="0"/>
              <w:adjustRightInd w:val="0"/>
              <w:jc w:val="center"/>
              <w:rPr>
                <w:rFonts w:ascii="Calibri" w:eastAsia="Calibri" w:hAnsi="Calibri"/>
                <w:sz w:val="20"/>
                <w:szCs w:val="20"/>
                <w:lang w:eastAsia="en-US"/>
              </w:rPr>
            </w:pPr>
            <w:r w:rsidRPr="00C32FE9">
              <w:rPr>
                <w:rFonts w:ascii="Calibri" w:eastAsia="Calibri" w:hAnsi="Calibri"/>
                <w:sz w:val="20"/>
                <w:szCs w:val="20"/>
                <w:lang w:eastAsia="en-US"/>
              </w:rPr>
              <w:t>8.</w:t>
            </w:r>
          </w:p>
        </w:tc>
        <w:tc>
          <w:tcPr>
            <w:tcW w:w="7686" w:type="dxa"/>
            <w:shd w:val="clear" w:color="auto" w:fill="auto"/>
            <w:vAlign w:val="center"/>
          </w:tcPr>
          <w:p w:rsidR="00D8027E" w:rsidRPr="00C32FE9" w:rsidRDefault="00D8027E" w:rsidP="00366F96">
            <w:pPr>
              <w:autoSpaceDE w:val="0"/>
              <w:autoSpaceDN w:val="0"/>
              <w:adjustRightInd w:val="0"/>
              <w:ind w:left="317" w:hanging="317"/>
              <w:jc w:val="left"/>
              <w:rPr>
                <w:rFonts w:ascii="Calibri" w:hAnsi="Calibri"/>
                <w:sz w:val="20"/>
                <w:szCs w:val="20"/>
                <w:lang w:eastAsia="zh-CN"/>
              </w:rPr>
            </w:pPr>
            <w:r w:rsidRPr="00C32FE9">
              <w:rPr>
                <w:rFonts w:ascii="Calibri" w:hAnsi="Calibri"/>
                <w:sz w:val="20"/>
                <w:szCs w:val="20"/>
                <w:lang w:eastAsia="zh-CN"/>
              </w:rPr>
              <w:t>č.1 Posilnenie vedomostnej základne, inovačnej výkonnosti a spolupráce poľnohospodárstva, potravinárstva a lesníctva, ktorá podporí vývoj nových produktov, postupov a technológií</w:t>
            </w:r>
          </w:p>
          <w:p w:rsidR="00D8027E" w:rsidRPr="00C32FE9" w:rsidRDefault="00D8027E" w:rsidP="00366F96">
            <w:pPr>
              <w:autoSpaceDE w:val="0"/>
              <w:autoSpaceDN w:val="0"/>
              <w:adjustRightInd w:val="0"/>
              <w:ind w:left="317" w:hanging="317"/>
              <w:jc w:val="left"/>
              <w:rPr>
                <w:rFonts w:ascii="Calibri" w:hAnsi="Calibri"/>
                <w:sz w:val="20"/>
                <w:szCs w:val="20"/>
              </w:rPr>
            </w:pPr>
            <w:r w:rsidRPr="00C32FE9">
              <w:rPr>
                <w:rFonts w:ascii="Calibri" w:hAnsi="Calibri"/>
                <w:sz w:val="20"/>
                <w:szCs w:val="20"/>
              </w:rPr>
              <w:t>č.2 Posilnenie prepojenia poľnohospodárstva, potravinárstva a lesného hospodárstva s výskumom a inováciami a inštitucionálne posilnenie systému pôdohospodárskeho poradenstva</w:t>
            </w:r>
          </w:p>
          <w:p w:rsidR="00D8027E" w:rsidRPr="00C32FE9" w:rsidRDefault="00D8027E" w:rsidP="00366F96">
            <w:pPr>
              <w:autoSpaceDE w:val="0"/>
              <w:autoSpaceDN w:val="0"/>
              <w:adjustRightInd w:val="0"/>
              <w:ind w:left="317" w:hanging="317"/>
              <w:jc w:val="left"/>
              <w:rPr>
                <w:rFonts w:ascii="Calibri" w:hAnsi="Calibri"/>
                <w:sz w:val="20"/>
                <w:szCs w:val="20"/>
                <w:lang w:eastAsia="zh-CN"/>
              </w:rPr>
            </w:pPr>
            <w:r w:rsidRPr="00C32FE9">
              <w:rPr>
                <w:rFonts w:ascii="Calibri" w:hAnsi="Calibri"/>
                <w:sz w:val="20"/>
                <w:szCs w:val="20"/>
                <w:lang w:eastAsia="zh-CN"/>
              </w:rPr>
              <w:t>č.3 Podpora celoživotného vzdelávania poľnohospodárov, potravinárov a lesníkov</w:t>
            </w:r>
          </w:p>
        </w:tc>
      </w:tr>
    </w:tbl>
    <w:p w:rsidR="00E43137" w:rsidRPr="00E43137" w:rsidRDefault="00E43137" w:rsidP="008676F9">
      <w:pPr>
        <w:autoSpaceDE w:val="0"/>
        <w:autoSpaceDN w:val="0"/>
        <w:adjustRightInd w:val="0"/>
        <w:rPr>
          <w:rFonts w:ascii="Calibri" w:eastAsia="Calibri" w:hAnsi="Calibri"/>
          <w:i/>
          <w:szCs w:val="22"/>
          <w:u w:val="single"/>
          <w:lang w:eastAsia="en-US"/>
        </w:rPr>
      </w:pPr>
    </w:p>
    <w:p w:rsidR="00D8027E" w:rsidRDefault="00D8027E" w:rsidP="00D8027E">
      <w:pPr>
        <w:autoSpaceDE w:val="0"/>
        <w:autoSpaceDN w:val="0"/>
        <w:adjustRightInd w:val="0"/>
      </w:pPr>
      <w:r>
        <w:t xml:space="preserve">Vybrané potreby č.4 – č.8 a č.17 </w:t>
      </w:r>
      <w:r w:rsidRPr="00BF388C">
        <w:t>budú riešené v hlavne rámci priority 2 a</w:t>
      </w:r>
      <w:r>
        <w:t> </w:t>
      </w:r>
      <w:r w:rsidRPr="00BF388C">
        <w:t>3</w:t>
      </w:r>
      <w:r>
        <w:t xml:space="preserve"> ako aj z časti v rámci ďalších priorít programu (priority 5 a 6)</w:t>
      </w:r>
      <w:r w:rsidRPr="00D82AFA">
        <w:t xml:space="preserve">. Na priority 2 a 3 je </w:t>
      </w:r>
      <w:r>
        <w:t>alokovaných</w:t>
      </w:r>
      <w:r w:rsidRPr="00D82AFA">
        <w:t xml:space="preserve"> približne </w:t>
      </w:r>
      <w:r>
        <w:t xml:space="preserve">33 % </w:t>
      </w:r>
      <w:r w:rsidRPr="00D82AFA">
        <w:t>z</w:t>
      </w:r>
      <w:r>
        <w:t xml:space="preserve"> celkových verejných výdavkov </w:t>
      </w:r>
      <w:r w:rsidRPr="00D82AFA">
        <w:t>programu, ktoré budú použité na podporu investícií do poľnohospodárskych podnikov, spracovania a</w:t>
      </w:r>
      <w:r>
        <w:t> </w:t>
      </w:r>
      <w:r w:rsidRPr="00D82AFA">
        <w:t>odbytu</w:t>
      </w:r>
      <w:r>
        <w:t xml:space="preserve">. Tieto podpory </w:t>
      </w:r>
      <w:r w:rsidRPr="00D82AFA">
        <w:t xml:space="preserve">sú nevyhnutné na zabezpečenie trvalej existencie a posilnenia konkurencieschopnosti domácich producentov poľnohospodárskych produktov a potravín. </w:t>
      </w:r>
    </w:p>
    <w:p w:rsidR="00D8027E" w:rsidRDefault="00D8027E" w:rsidP="00C32FE9">
      <w:pPr>
        <w:autoSpaceDE w:val="0"/>
        <w:autoSpaceDN w:val="0"/>
        <w:adjustRightInd w:val="0"/>
        <w:spacing w:before="120" w:after="120"/>
      </w:pPr>
      <w:r>
        <w:t>Riešením potrieb č.7, č.8, č.9 sa zvýši kvalita produkcie, zvýši spolupráca a zapojenie poľnohospodárov do potravinového reťazca, zvýši sa podiel poľnohospodárov</w:t>
      </w:r>
      <w:r w:rsidRPr="00D82AFA">
        <w:t xml:space="preserve"> na tvorbe pridanej hodnoty v produkcii </w:t>
      </w:r>
      <w:r>
        <w:t xml:space="preserve">zlepší sa odbyt na domácom trhu, zavedú sa inovatívne postupy pri spracovaní poľnohospodárskej produkcie, zlepší sa sortiment potravinových produktov. Potreby č.7, 8, 9 sa  budú prioritne riešiť v rámci fokusovej oblasti 3A a 3B. </w:t>
      </w:r>
      <w:r w:rsidRPr="00D82AFA">
        <w:t xml:space="preserve">Opatrenia </w:t>
      </w:r>
      <w:r>
        <w:t>fokusovej</w:t>
      </w:r>
      <w:r w:rsidRPr="00D82AFA">
        <w:t xml:space="preserve"> oblasti 3A</w:t>
      </w:r>
      <w:r>
        <w:t xml:space="preserve"> budú zamerané na podporu spolupráce medzi poľnohospodármi a ostatnými aktérmi potravinového reťazca, budovanie krátkych odbytových reťazcov, vytváranie odbytových organizácií, zvyšovanie kvality produkcie v chovoch zvierat, zlepšovanie spracovania poľnohospodárskych produktov.</w:t>
      </w:r>
      <w:r>
        <w:lastRenderedPageBreak/>
        <w:t xml:space="preserve"> </w:t>
      </w:r>
      <w:r w:rsidRPr="00D82AFA">
        <w:t xml:space="preserve">Významná časť prostriedkov v rámci priority 3, </w:t>
      </w:r>
      <w:r>
        <w:t>fokusovej obl</w:t>
      </w:r>
      <w:r w:rsidRPr="00D82AFA">
        <w:t>asti 3A je určená na dočasné finančné náhrady vyšších produkčných nákladov, ktoré sú vyvolané opatreniami na zlepšenie životných podmienok zvierat nad rámec zákona. Týmito kompenzačnými platbami sa prispeje k  zvýšeniu kvality domácej produkcie produktov živočíšnej výroby. Účelom tejto podpory je reagovať na požiadavky konzumentov, ktorým záleží na kvalite potravín, prostredníctvom stimulácie adekvátnej ponuky domácej produkcie s vyššou kvalitou za prijateľné ceny.</w:t>
      </w:r>
      <w:r>
        <w:t xml:space="preserve"> </w:t>
      </w:r>
      <w:r w:rsidRPr="00D82AFA">
        <w:t xml:space="preserve">V rámci </w:t>
      </w:r>
      <w:r>
        <w:t xml:space="preserve">fokusovej </w:t>
      </w:r>
      <w:r w:rsidRPr="00D82AFA">
        <w:t xml:space="preserve">oblasti 3B program prispeje k prevencii rizika, či už prostredníctvom </w:t>
      </w:r>
      <w:r>
        <w:t xml:space="preserve">podpory vytvárania vzájomných fondov (pilotný prístup) ako aj </w:t>
      </w:r>
      <w:r w:rsidRPr="00D82AFA">
        <w:t>investíciami do obnovy hydromelio</w:t>
      </w:r>
      <w:r>
        <w:t xml:space="preserve">račných zariadení, ktoré zvýšia retenčnú schopnosť poľnohospodárskeho územia </w:t>
      </w:r>
      <w:r w:rsidRPr="00D82AFA">
        <w:t xml:space="preserve"> </w:t>
      </w:r>
      <w:r>
        <w:t xml:space="preserve">v prípade dlhotrvajúcich zrážok a tým zabezpečia protipovodňovú ochranu priľahlého územia.  </w:t>
      </w:r>
      <w:r w:rsidRPr="00D82AFA">
        <w:t xml:space="preserve">Sekundárne sa prispeje k riadeniu rizika v lesoch prostredníctvom podpory ochrannej funkcie lesov a ich obnovy po prírodných katastrofách. </w:t>
      </w:r>
    </w:p>
    <w:p w:rsidR="00D8027E" w:rsidRPr="00C52ADA" w:rsidRDefault="00D8027E" w:rsidP="00D8027E">
      <w:pPr>
        <w:autoSpaceDE w:val="0"/>
        <w:autoSpaceDN w:val="0"/>
        <w:adjustRightInd w:val="0"/>
      </w:pPr>
      <w:r w:rsidRPr="00D82AFA">
        <w:t>Riešením potr</w:t>
      </w:r>
      <w:r>
        <w:t>ieb</w:t>
      </w:r>
      <w:r w:rsidRPr="00D82AFA">
        <w:t xml:space="preserve"> č.4</w:t>
      </w:r>
      <w:r>
        <w:t>, 5, 6, 10, 17 sa zlepší produktivita v sektore, zlepší sa diverzifikácia poľnohospodárskej produkcie, zvýši sa finalizácia produkcie, posilní sa generačná obmena v poľnohospodárstve, zlepší infraštruktúra v lesoch a technické vybavenie. Tieto zmeny prispejú k zvýšeniu pridanej hodnoty v poľnohospodárskej produkcii a lesnom hospodárstve. Potreby č.4-6 sa budú prioritne riešiť v rámci fokusovej oblasti 2A a 2B. Pre riešenie potreby č. 10 bola do programu zahrnutá dodatočná fokusová oblasť 2C „</w:t>
      </w:r>
      <w:r w:rsidRPr="00E01E4E">
        <w:t>Zlepšenie hospodárskeho výkonu lesného hospodárstva“.  Dôvodom doplnenia tejto novej oblasti je, že pre SR je to jedna z dôležitých priorít (SR je 4.najlesnatejšou krajinou v EÚ)</w:t>
      </w:r>
      <w:r>
        <w:t xml:space="preserve">, ktorá nie je zahrnutá do spoločných fokusových oblastí (18). </w:t>
      </w:r>
      <w:r w:rsidRPr="00E01E4E">
        <w:t xml:space="preserve"> </w:t>
      </w:r>
      <w:r>
        <w:t xml:space="preserve">Vybrané opatrenia podporia investície do i.) modernizácii poľnohospodárskych podnikov a diverzifikácii poľnohospodárskej produkcie (prioritne ŽV a špecializovaná rastlinná výroba), ii.) modernizácii mechanizmov a technológii lesných subjektov, iii.) výstavby lesných ciest, iv.) </w:t>
      </w:r>
      <w:r w:rsidRPr="004A7D83">
        <w:rPr>
          <w:rFonts w:ascii="Calibri" w:hAnsi="Calibri"/>
          <w:sz w:val="20"/>
          <w:szCs w:val="20"/>
          <w:lang w:eastAsia="zh-CN"/>
        </w:rPr>
        <w:t>usporia</w:t>
      </w:r>
      <w:r>
        <w:rPr>
          <w:rFonts w:ascii="Calibri" w:hAnsi="Calibri"/>
          <w:sz w:val="20"/>
          <w:szCs w:val="20"/>
          <w:lang w:eastAsia="zh-CN"/>
        </w:rPr>
        <w:t>dania vlastníctva a konsolidácie</w:t>
      </w:r>
      <w:r w:rsidRPr="004A7D83">
        <w:rPr>
          <w:rFonts w:ascii="Calibri" w:hAnsi="Calibri"/>
          <w:sz w:val="20"/>
          <w:szCs w:val="20"/>
          <w:lang w:eastAsia="zh-CN"/>
        </w:rPr>
        <w:t xml:space="preserve"> pôdy</w:t>
      </w:r>
      <w:r>
        <w:rPr>
          <w:rFonts w:ascii="Calibri" w:hAnsi="Calibri"/>
          <w:sz w:val="20"/>
          <w:szCs w:val="20"/>
          <w:lang w:eastAsia="zh-CN"/>
        </w:rPr>
        <w:t xml:space="preserve">, v.) </w:t>
      </w:r>
      <w:r>
        <w:rPr>
          <w:rFonts w:ascii="Calibri" w:eastAsia="Calibri" w:hAnsi="Calibri"/>
        </w:rPr>
        <w:t>podpory</w:t>
      </w:r>
      <w:r w:rsidRPr="00E43137">
        <w:rPr>
          <w:rFonts w:ascii="Calibri" w:eastAsia="Calibri" w:hAnsi="Calibri"/>
        </w:rPr>
        <w:t xml:space="preserve"> začatia činnosti mladých poľnohospodárov</w:t>
      </w:r>
      <w:r>
        <w:rPr>
          <w:rFonts w:ascii="Calibri" w:eastAsia="Calibri" w:hAnsi="Calibri"/>
        </w:rPr>
        <w:t xml:space="preserve">. Okrem toho sa </w:t>
      </w:r>
      <w:r>
        <w:t xml:space="preserve">prostredníctvom </w:t>
      </w:r>
      <w:r w:rsidRPr="00D82AFA">
        <w:t>podpor</w:t>
      </w:r>
      <w:r>
        <w:t>y</w:t>
      </w:r>
      <w:r w:rsidRPr="00D82AFA">
        <w:t xml:space="preserve"> investícií do </w:t>
      </w:r>
      <w:r>
        <w:t xml:space="preserve">poľnohospodárskych </w:t>
      </w:r>
      <w:r w:rsidRPr="00D82AFA">
        <w:t>podnikov prispeje aj k zachovaniu poľnohospodárskej činnosti v znevýhodnených oblastiach</w:t>
      </w:r>
      <w:r>
        <w:t xml:space="preserve"> (LFA)</w:t>
      </w:r>
      <w:r w:rsidRPr="00D82AFA">
        <w:t xml:space="preserve"> a tým sa podporí aj potreba č.14</w:t>
      </w:r>
      <w:r>
        <w:t xml:space="preserve"> </w:t>
      </w:r>
      <w:r w:rsidRPr="00837D05">
        <w:t>Zachovanie poľnohospodárstva v menej priaznivých oblastiach</w:t>
      </w:r>
      <w:r w:rsidRPr="00D82AFA">
        <w:t>.</w:t>
      </w:r>
      <w:r>
        <w:t xml:space="preserve"> Na podporu poľnohospodárskych podnikov hospodáriacich v znevýhodnených oblastiach je alokovaných približne </w:t>
      </w:r>
      <w:r w:rsidRPr="00C45D7A">
        <w:t>23</w:t>
      </w:r>
      <w:r w:rsidRPr="00C45D7A">
        <w:rPr>
          <w:lang w:val="en-US"/>
        </w:rPr>
        <w:t>%</w:t>
      </w:r>
      <w:r>
        <w:rPr>
          <w:lang w:val="en-US"/>
        </w:rPr>
        <w:t xml:space="preserve"> </w:t>
      </w:r>
      <w:r w:rsidRPr="00D82AFA">
        <w:t>z</w:t>
      </w:r>
      <w:r>
        <w:t xml:space="preserve"> celkových verejných </w:t>
      </w:r>
      <w:r w:rsidRPr="00C52ADA">
        <w:t xml:space="preserve">výdavkov programu. Táto alokácia takisto prispieva k riešeniu vyššie vybraných potrieb.  </w:t>
      </w:r>
    </w:p>
    <w:p w:rsidR="00D8027E" w:rsidRPr="00D82AFA" w:rsidRDefault="00D8027E" w:rsidP="00D8027E">
      <w:pPr>
        <w:autoSpaceDE w:val="0"/>
        <w:autoSpaceDN w:val="0"/>
        <w:adjustRightInd w:val="0"/>
      </w:pPr>
      <w:r w:rsidRPr="00C52ADA">
        <w:t>Zvyšovanie pridanej hodnoty má byť dosiahnuté</w:t>
      </w:r>
      <w:r>
        <w:t xml:space="preserve"> </w:t>
      </w:r>
      <w:r w:rsidRPr="00D82AFA">
        <w:t>v spojení s inovatívnymi metódami, cieleným poradenstvom a transferom vedomostí a</w:t>
      </w:r>
      <w:r>
        <w:t> </w:t>
      </w:r>
      <w:r w:rsidRPr="00D82AFA">
        <w:t>zručností</w:t>
      </w:r>
      <w:r>
        <w:t xml:space="preserve"> (priorita 1, ktoré prispieva prierezovo k ostaným prioritám programu, potreby č.1, č.2, č.3)</w:t>
      </w:r>
      <w:r w:rsidRPr="00D82AFA">
        <w:t xml:space="preserve">.  V rámci inovačných politík je Program rozvoja vidieka doplnkovým programom k nosným budúcim európskym (HORIZON 2020 a COSME) a  národným programom (operačný program Výskum a inovácie). PRV bude stavať na existujúcej výskumnej infraštruktúre a formou spolupráce bude vytvárať prostredie na podporu inovácií, prenos poznatkov do praxe, transfer technológií, na podporu inkubátorov, start-up a spin off firiem a tvorbu a rozvoj klastrov vrátane pilotných inovačných aktivít. Tieto aktivity budú úzko prepojené na spoločenské výzvy EÚ a Dunajského regiónu v oblasti pôdohospodárstvo a rozvoj vidieka najmä prostredníctvom Európskeho inovačného partnerstva. Hlavnými tematickými prioritami pre podporu inovácií vo vidieckych oblastiach sú: i) zvyšovanie konkurencieschopnosti pôdohospodárstva – priorita 2 a 3, ii) manažment udržateľného a efektívneho využívania prírodných zdrojov a klimatických zmien – priorita 4 a 5, a iii) rovnovážny územný rozvoj vidieckych oblastí – priorita 6. </w:t>
      </w:r>
    </w:p>
    <w:p w:rsidR="00D8027E" w:rsidRDefault="00D8027E" w:rsidP="00D8027E">
      <w:pPr>
        <w:autoSpaceDE w:val="0"/>
        <w:autoSpaceDN w:val="0"/>
        <w:adjustRightInd w:val="0"/>
      </w:pPr>
    </w:p>
    <w:p w:rsidR="00D8027E" w:rsidRPr="000A189F" w:rsidRDefault="00D8027E" w:rsidP="00D8027E">
      <w:pPr>
        <w:autoSpaceDE w:val="0"/>
        <w:autoSpaceDN w:val="0"/>
        <w:adjustRightInd w:val="0"/>
        <w:spacing w:after="120"/>
      </w:pPr>
      <w:r w:rsidRPr="009D5867">
        <w:rPr>
          <w:b/>
        </w:rPr>
        <w:t xml:space="preserve">V poradí druhým strategickým cieľom je udržateľný manažment prírodných </w:t>
      </w:r>
      <w:r>
        <w:rPr>
          <w:b/>
        </w:rPr>
        <w:t xml:space="preserve">zdrojov </w:t>
      </w:r>
      <w:r w:rsidRPr="009D5867">
        <w:rPr>
          <w:b/>
        </w:rPr>
        <w:t>a prispôsobovanie sa klimatickým zmenám.</w:t>
      </w:r>
      <w:r>
        <w:t xml:space="preserve"> V rámci tohto cieľa zvolená stratégia je založená na riešení identifikovaných potrieb, ktoré vyplývajú hlavne zo slabých stránok: pokračujúcej degradácie pôd (erózia, strata pôdnej organickej hmoty), nedostatočne obhospodarovaných biotopov TP, zlého zdravotného stavu lesov, nedostatočnej obnovy lesa, nedostatočnom využití potenciálu OZE, ale aj zo silných stránok: </w:t>
      </w:r>
      <w:r w:rsidRPr="000A189F">
        <w:t>zachovaný vysoký výskyt a rozmanitosť chránených druhov živočíchov a rastlín a nižší pokles biodiverzity</w:t>
      </w:r>
      <w:r>
        <w:t xml:space="preserve">, väčší podiel území s vysokou prírodnou hodnotou a chránených území, pokračujúca poľnohospodárska činnosť v horších prírodných podmienkach (LFA), </w:t>
      </w:r>
      <w:r w:rsidRPr="008C4B25">
        <w:t>vysoká kvalita</w:t>
      </w:r>
      <w:r w:rsidRPr="008C4B25">
        <w:lastRenderedPageBreak/>
        <w:t xml:space="preserve"> podzemnej vody</w:t>
      </w:r>
      <w:r>
        <w:t>, veľmi nízky podiel poľnohospodárstva (vrátane emisií z pôdy) na celkových čistých emisiách skleníkových plynov SR.</w:t>
      </w:r>
    </w:p>
    <w:p w:rsidR="00D8027E" w:rsidRDefault="00D8027E" w:rsidP="00D8027E">
      <w:pPr>
        <w:autoSpaceDE w:val="0"/>
        <w:autoSpaceDN w:val="0"/>
        <w:adjustRightInd w:val="0"/>
      </w:pPr>
      <w:r>
        <w:t>Vo vzťahu k cieľu „</w:t>
      </w:r>
      <w:r w:rsidRPr="008C4B25">
        <w:rPr>
          <w:b/>
        </w:rPr>
        <w:t>udržateľný manažment prírodných zdrojov a prispôsobovanie sa klimatickým zmenám</w:t>
      </w:r>
      <w:r>
        <w:t>“ boli vybrané nasledovné potreby ako aj bolo určené ich poradie dôležitosti z pohľadu opodstatnenosti</w:t>
      </w:r>
      <w:r w:rsidRPr="00BF388C">
        <w:t xml:space="preserve">: </w:t>
      </w:r>
    </w:p>
    <w:p w:rsidR="00C32FE9" w:rsidRPr="00BF388C" w:rsidRDefault="00C32FE9" w:rsidP="00D8027E">
      <w:pPr>
        <w:autoSpaceDE w:val="0"/>
        <w:autoSpaceDN w:val="0"/>
        <w:adjustRightInd w:val="0"/>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7403"/>
      </w:tblGrid>
      <w:tr w:rsidR="00E43137" w:rsidRPr="00E43137" w:rsidTr="00E43137">
        <w:tc>
          <w:tcPr>
            <w:tcW w:w="1701" w:type="dxa"/>
            <w:shd w:val="clear" w:color="auto" w:fill="FDE9D9"/>
          </w:tcPr>
          <w:p w:rsidR="00E43137" w:rsidRPr="00E43137" w:rsidRDefault="00E43137" w:rsidP="008676F9">
            <w:pPr>
              <w:autoSpaceDE w:val="0"/>
              <w:autoSpaceDN w:val="0"/>
              <w:adjustRightInd w:val="0"/>
              <w:jc w:val="center"/>
              <w:rPr>
                <w:rFonts w:ascii="Calibri" w:eastAsia="Calibri" w:hAnsi="Calibri"/>
                <w:b/>
                <w:sz w:val="18"/>
                <w:szCs w:val="18"/>
                <w:lang w:eastAsia="en-US"/>
              </w:rPr>
            </w:pPr>
            <w:r w:rsidRPr="00E43137">
              <w:rPr>
                <w:rFonts w:ascii="Calibri" w:eastAsia="Calibri" w:hAnsi="Calibri"/>
                <w:b/>
                <w:sz w:val="18"/>
                <w:szCs w:val="18"/>
                <w:lang w:eastAsia="en-US"/>
              </w:rPr>
              <w:t xml:space="preserve">Poradie dôležitosti </w:t>
            </w:r>
            <w:r w:rsidRPr="00E43137">
              <w:rPr>
                <w:rFonts w:ascii="Calibri" w:eastAsia="Calibri" w:hAnsi="Calibri"/>
                <w:sz w:val="18"/>
                <w:szCs w:val="18"/>
                <w:lang w:eastAsia="en-US"/>
              </w:rPr>
              <w:t>(prioritizácia</w:t>
            </w:r>
            <w:r w:rsidRPr="00E43137">
              <w:rPr>
                <w:rFonts w:ascii="Calibri" w:eastAsia="Calibri" w:hAnsi="Calibri"/>
                <w:b/>
                <w:sz w:val="18"/>
                <w:szCs w:val="18"/>
                <w:lang w:eastAsia="en-US"/>
              </w:rPr>
              <w:t>)</w:t>
            </w:r>
          </w:p>
        </w:tc>
        <w:tc>
          <w:tcPr>
            <w:tcW w:w="7403" w:type="dxa"/>
            <w:shd w:val="clear" w:color="auto" w:fill="FDE9D9"/>
            <w:vAlign w:val="center"/>
          </w:tcPr>
          <w:p w:rsidR="00E43137" w:rsidRPr="00E43137" w:rsidRDefault="00E43137" w:rsidP="008676F9">
            <w:pPr>
              <w:autoSpaceDE w:val="0"/>
              <w:autoSpaceDN w:val="0"/>
              <w:adjustRightInd w:val="0"/>
              <w:jc w:val="center"/>
              <w:rPr>
                <w:rFonts w:ascii="Calibri" w:eastAsia="Calibri" w:hAnsi="Calibri"/>
                <w:b/>
                <w:sz w:val="18"/>
                <w:szCs w:val="18"/>
                <w:lang w:eastAsia="en-US"/>
              </w:rPr>
            </w:pPr>
            <w:r w:rsidRPr="00E43137">
              <w:rPr>
                <w:rFonts w:ascii="Calibri" w:eastAsia="Calibri" w:hAnsi="Calibri"/>
                <w:b/>
                <w:sz w:val="18"/>
                <w:szCs w:val="18"/>
                <w:lang w:eastAsia="en-US"/>
              </w:rPr>
              <w:t>Identifikované potreby</w:t>
            </w:r>
          </w:p>
        </w:tc>
      </w:tr>
      <w:tr w:rsidR="00E43137" w:rsidRPr="00E43137" w:rsidTr="00E43137">
        <w:trPr>
          <w:trHeight w:val="488"/>
        </w:trPr>
        <w:tc>
          <w:tcPr>
            <w:tcW w:w="9104" w:type="dxa"/>
            <w:gridSpan w:val="2"/>
            <w:shd w:val="clear" w:color="auto" w:fill="DBE5F1"/>
            <w:vAlign w:val="center"/>
          </w:tcPr>
          <w:p w:rsidR="00E43137" w:rsidRPr="00C32FE9" w:rsidRDefault="00E43137" w:rsidP="008676F9">
            <w:pPr>
              <w:rPr>
                <w:rFonts w:ascii="Calibri" w:eastAsia="Calibri" w:hAnsi="Calibri"/>
                <w:sz w:val="20"/>
                <w:szCs w:val="20"/>
                <w:lang w:eastAsia="en-US"/>
              </w:rPr>
            </w:pPr>
            <w:r w:rsidRPr="00C32FE9">
              <w:rPr>
                <w:rFonts w:ascii="Calibri" w:eastAsia="Calibri" w:hAnsi="Calibri"/>
                <w:sz w:val="20"/>
                <w:szCs w:val="20"/>
                <w:lang w:eastAsia="en-US"/>
              </w:rPr>
              <w:t>Priorita 4</w:t>
            </w:r>
          </w:p>
        </w:tc>
      </w:tr>
      <w:tr w:rsidR="00D8027E" w:rsidRPr="00E43137" w:rsidTr="00D8027E">
        <w:trPr>
          <w:trHeight w:val="488"/>
        </w:trPr>
        <w:tc>
          <w:tcPr>
            <w:tcW w:w="1701" w:type="dxa"/>
            <w:shd w:val="clear" w:color="auto" w:fill="auto"/>
          </w:tcPr>
          <w:p w:rsidR="00D8027E" w:rsidRPr="00C32FE9" w:rsidRDefault="00D8027E" w:rsidP="00D8027E">
            <w:pPr>
              <w:autoSpaceDE w:val="0"/>
              <w:autoSpaceDN w:val="0"/>
              <w:adjustRightInd w:val="0"/>
              <w:jc w:val="center"/>
              <w:rPr>
                <w:sz w:val="20"/>
                <w:szCs w:val="20"/>
              </w:rPr>
            </w:pPr>
            <w:r w:rsidRPr="00C32FE9">
              <w:rPr>
                <w:sz w:val="20"/>
                <w:szCs w:val="20"/>
              </w:rPr>
              <w:t>1.</w:t>
            </w:r>
          </w:p>
        </w:tc>
        <w:tc>
          <w:tcPr>
            <w:tcW w:w="7403" w:type="dxa"/>
            <w:shd w:val="clear" w:color="auto" w:fill="auto"/>
          </w:tcPr>
          <w:p w:rsidR="00D8027E" w:rsidRPr="00C32FE9" w:rsidRDefault="00D8027E" w:rsidP="00C52ADA">
            <w:pPr>
              <w:suppressAutoHyphens/>
              <w:autoSpaceDN w:val="0"/>
              <w:spacing w:before="120"/>
              <w:ind w:left="601" w:hanging="601"/>
              <w:textAlignment w:val="baseline"/>
              <w:rPr>
                <w:rFonts w:ascii="Calibri" w:eastAsia="SimSun" w:hAnsi="Calibri" w:cs="Mangal"/>
                <w:kern w:val="3"/>
                <w:sz w:val="20"/>
                <w:szCs w:val="20"/>
                <w:lang w:eastAsia="zh-CN" w:bidi="hi-IN"/>
              </w:rPr>
            </w:pPr>
            <w:r w:rsidRPr="00C32FE9">
              <w:rPr>
                <w:rFonts w:ascii="Calibri" w:eastAsia="SimSun" w:hAnsi="Calibri" w:cs="Mangal"/>
                <w:kern w:val="3"/>
                <w:sz w:val="20"/>
                <w:szCs w:val="20"/>
                <w:lang w:eastAsia="zh-CN" w:bidi="hi-IN"/>
              </w:rPr>
              <w:t xml:space="preserve">č.11: </w:t>
            </w:r>
            <w:r w:rsidRPr="00C32FE9">
              <w:rPr>
                <w:rFonts w:ascii="Calibri" w:hAnsi="Calibri"/>
                <w:sz w:val="20"/>
                <w:szCs w:val="20"/>
                <w:lang w:eastAsia="zh-CN"/>
              </w:rPr>
              <w:t>Zachovanie biodiverzity a zvýšenie environmentálnej výkonnosti podpôr na</w:t>
            </w:r>
            <w:r w:rsidRPr="00C32FE9">
              <w:rPr>
                <w:rFonts w:ascii="Calibri" w:hAnsi="Calibri"/>
                <w:i/>
                <w:iCs/>
                <w:sz w:val="20"/>
                <w:szCs w:val="20"/>
                <w:lang w:eastAsia="zh-CN"/>
              </w:rPr>
              <w:t xml:space="preserve"> </w:t>
            </w:r>
            <w:r w:rsidRPr="00C32FE9">
              <w:rPr>
                <w:rFonts w:ascii="Calibri" w:hAnsi="Calibri"/>
                <w:sz w:val="20"/>
                <w:szCs w:val="20"/>
                <w:lang w:eastAsia="zh-CN"/>
              </w:rPr>
              <w:t>ochranu biodiverzity</w:t>
            </w:r>
            <w:r w:rsidRPr="00C32FE9">
              <w:rPr>
                <w:rFonts w:ascii="Calibri" w:eastAsia="SimSun" w:hAnsi="Calibri" w:cs="Mangal"/>
                <w:kern w:val="3"/>
                <w:sz w:val="20"/>
                <w:szCs w:val="20"/>
                <w:lang w:eastAsia="zh-CN" w:bidi="hi-IN"/>
              </w:rPr>
              <w:t xml:space="preserve"> </w:t>
            </w:r>
          </w:p>
          <w:p w:rsidR="00D8027E" w:rsidRPr="00C32FE9" w:rsidRDefault="00D8027E" w:rsidP="00D8027E">
            <w:pPr>
              <w:suppressAutoHyphens/>
              <w:autoSpaceDN w:val="0"/>
              <w:spacing w:before="120"/>
              <w:textAlignment w:val="baseline"/>
              <w:rPr>
                <w:rFonts w:ascii="Calibri" w:eastAsia="SimSun" w:hAnsi="Calibri" w:cs="Mangal"/>
                <w:kern w:val="3"/>
                <w:sz w:val="20"/>
                <w:szCs w:val="20"/>
                <w:lang w:eastAsia="zh-CN" w:bidi="hi-IN"/>
              </w:rPr>
            </w:pPr>
            <w:r w:rsidRPr="00C32FE9">
              <w:rPr>
                <w:rFonts w:ascii="Calibri" w:hAnsi="Calibri"/>
                <w:sz w:val="20"/>
                <w:szCs w:val="20"/>
                <w:lang w:eastAsia="zh-CN"/>
              </w:rPr>
              <w:t>č.12: Zachovanie kvality vôd a zvýšenie vodozádržnej kapacity územia</w:t>
            </w:r>
          </w:p>
          <w:p w:rsidR="00D8027E" w:rsidRPr="00C32FE9" w:rsidRDefault="00D8027E" w:rsidP="00D8027E">
            <w:pPr>
              <w:suppressAutoHyphens/>
              <w:autoSpaceDN w:val="0"/>
              <w:spacing w:before="120"/>
              <w:textAlignment w:val="baseline"/>
              <w:rPr>
                <w:rFonts w:ascii="Calibri" w:hAnsi="Calibri"/>
                <w:sz w:val="20"/>
                <w:szCs w:val="20"/>
                <w:lang w:eastAsia="zh-CN"/>
              </w:rPr>
            </w:pPr>
            <w:r w:rsidRPr="00C32FE9">
              <w:rPr>
                <w:rFonts w:ascii="Calibri" w:eastAsia="SimSun" w:hAnsi="Calibri" w:cs="Mangal"/>
                <w:kern w:val="3"/>
                <w:sz w:val="20"/>
                <w:szCs w:val="20"/>
                <w:lang w:eastAsia="zh-CN" w:bidi="hi-IN"/>
              </w:rPr>
              <w:t xml:space="preserve">č.13: </w:t>
            </w:r>
            <w:r w:rsidRPr="00C32FE9">
              <w:rPr>
                <w:rFonts w:ascii="Calibri" w:hAnsi="Calibri"/>
                <w:sz w:val="20"/>
                <w:szCs w:val="20"/>
                <w:lang w:eastAsia="zh-CN"/>
              </w:rPr>
              <w:t>Zabezpečenie ochrany pôdy pred degradáciou</w:t>
            </w:r>
          </w:p>
          <w:p w:rsidR="00D8027E" w:rsidRPr="00C32FE9" w:rsidRDefault="00D8027E" w:rsidP="00C32FE9">
            <w:pPr>
              <w:suppressAutoHyphens/>
              <w:autoSpaceDN w:val="0"/>
              <w:spacing w:before="120"/>
              <w:ind w:left="459" w:hanging="459"/>
              <w:textAlignment w:val="baseline"/>
              <w:rPr>
                <w:rFonts w:ascii="Calibri" w:eastAsia="SimSun" w:hAnsi="Calibri" w:cs="Mangal"/>
                <w:kern w:val="3"/>
                <w:sz w:val="20"/>
                <w:szCs w:val="20"/>
                <w:lang w:eastAsia="zh-CN" w:bidi="hi-IN"/>
              </w:rPr>
            </w:pPr>
            <w:r w:rsidRPr="00C32FE9">
              <w:rPr>
                <w:rFonts w:ascii="Calibri" w:hAnsi="Calibri"/>
                <w:sz w:val="20"/>
                <w:szCs w:val="20"/>
                <w:lang w:eastAsia="zh-CN"/>
              </w:rPr>
              <w:t>č.17: Prevencia proti prírodným katastrofám v lesoch, posilnenie ochrannej funkcie lesov a obnova po prírodných katastrofách, podpora udržateľného obhospodarovania lesov</w:t>
            </w:r>
          </w:p>
        </w:tc>
      </w:tr>
      <w:tr w:rsidR="00D8027E" w:rsidRPr="00E43137" w:rsidTr="00D8027E">
        <w:trPr>
          <w:trHeight w:val="488"/>
        </w:trPr>
        <w:tc>
          <w:tcPr>
            <w:tcW w:w="1701" w:type="dxa"/>
            <w:shd w:val="clear" w:color="auto" w:fill="auto"/>
          </w:tcPr>
          <w:p w:rsidR="00D8027E" w:rsidRPr="00C32FE9" w:rsidRDefault="00D8027E" w:rsidP="00D8027E">
            <w:pPr>
              <w:autoSpaceDE w:val="0"/>
              <w:autoSpaceDN w:val="0"/>
              <w:adjustRightInd w:val="0"/>
              <w:jc w:val="center"/>
              <w:rPr>
                <w:sz w:val="20"/>
                <w:szCs w:val="20"/>
              </w:rPr>
            </w:pPr>
            <w:r w:rsidRPr="00C32FE9">
              <w:rPr>
                <w:sz w:val="20"/>
                <w:szCs w:val="20"/>
              </w:rPr>
              <w:t>2.</w:t>
            </w:r>
          </w:p>
        </w:tc>
        <w:tc>
          <w:tcPr>
            <w:tcW w:w="7403" w:type="dxa"/>
            <w:shd w:val="clear" w:color="auto" w:fill="auto"/>
          </w:tcPr>
          <w:p w:rsidR="00D8027E" w:rsidRPr="00C32FE9" w:rsidRDefault="00D8027E" w:rsidP="00C32FE9">
            <w:pPr>
              <w:spacing w:before="120" w:after="120"/>
              <w:ind w:left="459" w:hanging="459"/>
              <w:textAlignment w:val="baseline"/>
              <w:rPr>
                <w:rFonts w:ascii="Calibri" w:hAnsi="Calibri"/>
                <w:sz w:val="20"/>
                <w:szCs w:val="20"/>
              </w:rPr>
            </w:pPr>
            <w:r w:rsidRPr="00C32FE9">
              <w:rPr>
                <w:rFonts w:ascii="Calibri" w:hAnsi="Calibri"/>
                <w:sz w:val="20"/>
                <w:szCs w:val="20"/>
                <w:lang w:eastAsia="zh-CN"/>
              </w:rPr>
              <w:t>č.14: Zachovanie poľnohospodárstva v menej priaznivých oblastiach a efektívne využívanie pôdneho fondu SR</w:t>
            </w:r>
          </w:p>
        </w:tc>
      </w:tr>
      <w:tr w:rsidR="00D8027E" w:rsidRPr="00E43137" w:rsidTr="00D8027E">
        <w:trPr>
          <w:trHeight w:val="488"/>
        </w:trPr>
        <w:tc>
          <w:tcPr>
            <w:tcW w:w="1701" w:type="dxa"/>
            <w:shd w:val="clear" w:color="auto" w:fill="auto"/>
          </w:tcPr>
          <w:p w:rsidR="00D8027E" w:rsidRPr="00C32FE9" w:rsidRDefault="00D8027E" w:rsidP="00D8027E">
            <w:pPr>
              <w:autoSpaceDE w:val="0"/>
              <w:autoSpaceDN w:val="0"/>
              <w:adjustRightInd w:val="0"/>
              <w:jc w:val="center"/>
              <w:rPr>
                <w:sz w:val="20"/>
                <w:szCs w:val="20"/>
              </w:rPr>
            </w:pPr>
            <w:r w:rsidRPr="00C32FE9">
              <w:rPr>
                <w:sz w:val="20"/>
                <w:szCs w:val="20"/>
              </w:rPr>
              <w:t>3.</w:t>
            </w:r>
          </w:p>
        </w:tc>
        <w:tc>
          <w:tcPr>
            <w:tcW w:w="7403" w:type="dxa"/>
            <w:shd w:val="clear" w:color="auto" w:fill="auto"/>
          </w:tcPr>
          <w:p w:rsidR="00D8027E" w:rsidRPr="00C32FE9" w:rsidRDefault="00C32FE9" w:rsidP="00C32FE9">
            <w:pPr>
              <w:autoSpaceDE w:val="0"/>
              <w:autoSpaceDN w:val="0"/>
              <w:adjustRightInd w:val="0"/>
              <w:ind w:left="318" w:hanging="284"/>
              <w:rPr>
                <w:rFonts w:ascii="Calibri" w:hAnsi="Calibri"/>
                <w:sz w:val="20"/>
                <w:szCs w:val="20"/>
                <w:lang w:eastAsia="zh-CN"/>
              </w:rPr>
            </w:pPr>
            <w:r>
              <w:rPr>
                <w:rFonts w:ascii="Calibri" w:hAnsi="Calibri"/>
                <w:sz w:val="20"/>
                <w:szCs w:val="20"/>
                <w:lang w:eastAsia="zh-CN"/>
              </w:rPr>
              <w:t>č.1</w:t>
            </w:r>
            <w:r w:rsidR="00D8027E" w:rsidRPr="00C32FE9">
              <w:rPr>
                <w:rFonts w:ascii="Calibri" w:hAnsi="Calibri"/>
                <w:sz w:val="20"/>
                <w:szCs w:val="20"/>
                <w:lang w:eastAsia="zh-CN"/>
              </w:rPr>
              <w:t>Posilnenie vedomostnej základne, inovačnej výkonnosti a spolupráce poľnohospodárstva, potravinárstva a lesníctva, ktorá podporí vývoj nových produktov, postupov a technológií</w:t>
            </w:r>
          </w:p>
          <w:p w:rsidR="00D8027E" w:rsidRPr="00C32FE9" w:rsidRDefault="00D8027E" w:rsidP="00C32FE9">
            <w:pPr>
              <w:autoSpaceDE w:val="0"/>
              <w:autoSpaceDN w:val="0"/>
              <w:adjustRightInd w:val="0"/>
              <w:ind w:left="318" w:hanging="284"/>
              <w:rPr>
                <w:rFonts w:ascii="Calibri" w:hAnsi="Calibri"/>
                <w:sz w:val="20"/>
                <w:szCs w:val="20"/>
              </w:rPr>
            </w:pPr>
            <w:r w:rsidRPr="00C32FE9">
              <w:rPr>
                <w:rFonts w:ascii="Calibri" w:hAnsi="Calibri"/>
                <w:sz w:val="20"/>
                <w:szCs w:val="20"/>
              </w:rPr>
              <w:t>č.2 Posilnenie prepojenia poľnohospodárstva, potravinárstva a lesného hospodárstva s výskumom a inováciami a inštitucionálne posilnenie systému pôdohospodárskeho poradenstva</w:t>
            </w:r>
          </w:p>
          <w:p w:rsidR="00D8027E" w:rsidRPr="00C32FE9" w:rsidRDefault="00D8027E" w:rsidP="00C32FE9">
            <w:pPr>
              <w:autoSpaceDE w:val="0"/>
              <w:autoSpaceDN w:val="0"/>
              <w:adjustRightInd w:val="0"/>
              <w:ind w:left="459" w:hanging="425"/>
              <w:rPr>
                <w:rFonts w:ascii="Calibri" w:hAnsi="Calibri"/>
                <w:sz w:val="20"/>
                <w:szCs w:val="20"/>
                <w:lang w:eastAsia="zh-CN"/>
              </w:rPr>
            </w:pPr>
            <w:r w:rsidRPr="00C32FE9">
              <w:rPr>
                <w:rFonts w:ascii="Calibri" w:hAnsi="Calibri"/>
                <w:sz w:val="20"/>
                <w:szCs w:val="20"/>
                <w:lang w:eastAsia="zh-CN"/>
              </w:rPr>
              <w:t>č.3 Podpora celoživotného vzdelávania poľnohospodárov, potravinárov a lesníkov</w:t>
            </w:r>
          </w:p>
        </w:tc>
      </w:tr>
      <w:tr w:rsidR="00E43137" w:rsidRPr="00E43137" w:rsidTr="00E43137">
        <w:trPr>
          <w:trHeight w:val="488"/>
        </w:trPr>
        <w:tc>
          <w:tcPr>
            <w:tcW w:w="9104" w:type="dxa"/>
            <w:gridSpan w:val="2"/>
            <w:shd w:val="clear" w:color="auto" w:fill="DBE5F1"/>
            <w:vAlign w:val="center"/>
          </w:tcPr>
          <w:p w:rsidR="00E43137" w:rsidRPr="00C32FE9" w:rsidRDefault="00E43137" w:rsidP="008676F9">
            <w:pPr>
              <w:rPr>
                <w:rFonts w:ascii="Calibri" w:eastAsia="Calibri" w:hAnsi="Calibri"/>
                <w:sz w:val="20"/>
                <w:szCs w:val="20"/>
                <w:lang w:eastAsia="en-US"/>
              </w:rPr>
            </w:pPr>
            <w:r w:rsidRPr="00C32FE9">
              <w:rPr>
                <w:rFonts w:ascii="Calibri" w:eastAsia="Calibri" w:hAnsi="Calibri"/>
                <w:sz w:val="20"/>
                <w:szCs w:val="20"/>
                <w:lang w:eastAsia="en-US"/>
              </w:rPr>
              <w:t>Priorita 5</w:t>
            </w:r>
          </w:p>
        </w:tc>
      </w:tr>
      <w:tr w:rsidR="00D8027E" w:rsidRPr="00E43137" w:rsidTr="00D8027E">
        <w:trPr>
          <w:trHeight w:val="488"/>
        </w:trPr>
        <w:tc>
          <w:tcPr>
            <w:tcW w:w="1701" w:type="dxa"/>
            <w:shd w:val="clear" w:color="auto" w:fill="auto"/>
            <w:vAlign w:val="center"/>
          </w:tcPr>
          <w:p w:rsidR="00D8027E" w:rsidRPr="00C32FE9" w:rsidRDefault="00D8027E" w:rsidP="008676F9">
            <w:pPr>
              <w:autoSpaceDE w:val="0"/>
              <w:autoSpaceDN w:val="0"/>
              <w:adjustRightInd w:val="0"/>
              <w:jc w:val="center"/>
              <w:rPr>
                <w:rFonts w:ascii="Calibri" w:eastAsia="Calibri" w:hAnsi="Calibri"/>
                <w:sz w:val="20"/>
                <w:szCs w:val="20"/>
                <w:lang w:eastAsia="en-US"/>
              </w:rPr>
            </w:pPr>
            <w:r w:rsidRPr="00C32FE9">
              <w:rPr>
                <w:rFonts w:ascii="Calibri" w:eastAsia="Calibri" w:hAnsi="Calibri"/>
                <w:sz w:val="20"/>
                <w:szCs w:val="20"/>
                <w:lang w:eastAsia="en-US"/>
              </w:rPr>
              <w:t>1.</w:t>
            </w:r>
          </w:p>
        </w:tc>
        <w:tc>
          <w:tcPr>
            <w:tcW w:w="7403" w:type="dxa"/>
            <w:shd w:val="clear" w:color="auto" w:fill="auto"/>
            <w:vAlign w:val="center"/>
          </w:tcPr>
          <w:p w:rsidR="00D8027E" w:rsidRPr="00C32FE9" w:rsidRDefault="00D8027E" w:rsidP="00D8027E">
            <w:pPr>
              <w:autoSpaceDE w:val="0"/>
              <w:autoSpaceDN w:val="0"/>
              <w:adjustRightInd w:val="0"/>
              <w:jc w:val="left"/>
              <w:rPr>
                <w:i/>
                <w:sz w:val="20"/>
                <w:szCs w:val="20"/>
                <w:u w:val="single"/>
              </w:rPr>
            </w:pPr>
            <w:r w:rsidRPr="00C32FE9">
              <w:rPr>
                <w:sz w:val="20"/>
                <w:szCs w:val="20"/>
              </w:rPr>
              <w:t xml:space="preserve">č.15 </w:t>
            </w:r>
            <w:r w:rsidRPr="00C32FE9">
              <w:rPr>
                <w:rFonts w:ascii="Calibri" w:hAnsi="Calibri"/>
                <w:sz w:val="20"/>
                <w:szCs w:val="20"/>
                <w:lang w:eastAsia="zh-CN"/>
              </w:rPr>
              <w:t>Zvýšiť energetickú efektívnosť a zvýšenie podielu využívania OZE</w:t>
            </w:r>
          </w:p>
        </w:tc>
      </w:tr>
      <w:tr w:rsidR="00D8027E" w:rsidRPr="00E43137" w:rsidTr="00D8027E">
        <w:trPr>
          <w:trHeight w:val="488"/>
        </w:trPr>
        <w:tc>
          <w:tcPr>
            <w:tcW w:w="1701" w:type="dxa"/>
            <w:shd w:val="clear" w:color="auto" w:fill="auto"/>
            <w:vAlign w:val="center"/>
          </w:tcPr>
          <w:p w:rsidR="00D8027E" w:rsidRPr="00C32FE9" w:rsidRDefault="00D8027E" w:rsidP="008676F9">
            <w:pPr>
              <w:autoSpaceDE w:val="0"/>
              <w:autoSpaceDN w:val="0"/>
              <w:adjustRightInd w:val="0"/>
              <w:jc w:val="center"/>
              <w:rPr>
                <w:rFonts w:ascii="Calibri" w:eastAsia="Calibri" w:hAnsi="Calibri"/>
                <w:sz w:val="20"/>
                <w:szCs w:val="20"/>
                <w:lang w:eastAsia="en-US"/>
              </w:rPr>
            </w:pPr>
            <w:r w:rsidRPr="00C32FE9">
              <w:rPr>
                <w:rFonts w:ascii="Calibri" w:eastAsia="Calibri" w:hAnsi="Calibri"/>
                <w:sz w:val="20"/>
                <w:szCs w:val="20"/>
                <w:lang w:eastAsia="en-US"/>
              </w:rPr>
              <w:t>2.</w:t>
            </w:r>
          </w:p>
        </w:tc>
        <w:tc>
          <w:tcPr>
            <w:tcW w:w="7403" w:type="dxa"/>
            <w:shd w:val="clear" w:color="auto" w:fill="auto"/>
            <w:vAlign w:val="center"/>
          </w:tcPr>
          <w:p w:rsidR="00D8027E" w:rsidRPr="00C32FE9" w:rsidRDefault="00D8027E" w:rsidP="00D8027E">
            <w:pPr>
              <w:autoSpaceDE w:val="0"/>
              <w:autoSpaceDN w:val="0"/>
              <w:adjustRightInd w:val="0"/>
              <w:jc w:val="left"/>
              <w:rPr>
                <w:i/>
                <w:sz w:val="20"/>
                <w:szCs w:val="20"/>
                <w:u w:val="single"/>
              </w:rPr>
            </w:pPr>
            <w:r w:rsidRPr="00C32FE9">
              <w:rPr>
                <w:sz w:val="20"/>
                <w:szCs w:val="20"/>
              </w:rPr>
              <w:t xml:space="preserve">č.16 </w:t>
            </w:r>
            <w:r w:rsidRPr="00C32FE9">
              <w:rPr>
                <w:rFonts w:ascii="Calibri" w:hAnsi="Calibri"/>
                <w:sz w:val="20"/>
                <w:szCs w:val="20"/>
                <w:lang w:eastAsia="zh-CN"/>
              </w:rPr>
              <w:t>Eliminácia dopadov a adaptácia  pôdohospodárstva  na zmeny klímy</w:t>
            </w:r>
          </w:p>
        </w:tc>
      </w:tr>
      <w:tr w:rsidR="00D8027E" w:rsidRPr="00E43137" w:rsidTr="00D8027E">
        <w:trPr>
          <w:trHeight w:val="488"/>
        </w:trPr>
        <w:tc>
          <w:tcPr>
            <w:tcW w:w="1701" w:type="dxa"/>
            <w:shd w:val="clear" w:color="auto" w:fill="auto"/>
            <w:vAlign w:val="center"/>
          </w:tcPr>
          <w:p w:rsidR="00D8027E" w:rsidRPr="00C32FE9" w:rsidRDefault="00D8027E" w:rsidP="008676F9">
            <w:pPr>
              <w:autoSpaceDE w:val="0"/>
              <w:autoSpaceDN w:val="0"/>
              <w:adjustRightInd w:val="0"/>
              <w:jc w:val="center"/>
              <w:rPr>
                <w:rFonts w:ascii="Calibri" w:eastAsia="Calibri" w:hAnsi="Calibri"/>
                <w:sz w:val="20"/>
                <w:szCs w:val="20"/>
                <w:lang w:eastAsia="en-US"/>
              </w:rPr>
            </w:pPr>
            <w:r w:rsidRPr="00C32FE9">
              <w:rPr>
                <w:rFonts w:ascii="Calibri" w:eastAsia="Calibri" w:hAnsi="Calibri"/>
                <w:sz w:val="20"/>
                <w:szCs w:val="20"/>
                <w:lang w:eastAsia="en-US"/>
              </w:rPr>
              <w:t>3.</w:t>
            </w:r>
          </w:p>
        </w:tc>
        <w:tc>
          <w:tcPr>
            <w:tcW w:w="7403" w:type="dxa"/>
            <w:shd w:val="clear" w:color="auto" w:fill="auto"/>
            <w:vAlign w:val="center"/>
          </w:tcPr>
          <w:p w:rsidR="00D8027E" w:rsidRPr="00C32FE9" w:rsidRDefault="00D8027E" w:rsidP="00C32FE9">
            <w:pPr>
              <w:autoSpaceDE w:val="0"/>
              <w:autoSpaceDN w:val="0"/>
              <w:adjustRightInd w:val="0"/>
              <w:ind w:left="459" w:hanging="459"/>
              <w:jc w:val="left"/>
              <w:rPr>
                <w:i/>
                <w:sz w:val="20"/>
                <w:szCs w:val="20"/>
                <w:u w:val="single"/>
              </w:rPr>
            </w:pPr>
            <w:r w:rsidRPr="00C32FE9">
              <w:rPr>
                <w:sz w:val="20"/>
                <w:szCs w:val="20"/>
              </w:rPr>
              <w:t xml:space="preserve">č.17 </w:t>
            </w:r>
            <w:r w:rsidRPr="00C32FE9">
              <w:rPr>
                <w:rFonts w:ascii="Calibri" w:hAnsi="Calibri"/>
                <w:sz w:val="20"/>
                <w:szCs w:val="20"/>
                <w:lang w:eastAsia="zh-CN"/>
              </w:rPr>
              <w:t>Prevencia proti prírodným katastrofám v lesoch, posilnenie ochrannej funkcie lesov a obnova po prírodných katastrofách, podpora udržateľného obhospodarovania lesov</w:t>
            </w:r>
          </w:p>
        </w:tc>
      </w:tr>
    </w:tbl>
    <w:p w:rsidR="00E43137" w:rsidRPr="00E43137" w:rsidRDefault="00E43137" w:rsidP="008676F9">
      <w:pPr>
        <w:autoSpaceDE w:val="0"/>
        <w:autoSpaceDN w:val="0"/>
        <w:adjustRightInd w:val="0"/>
        <w:rPr>
          <w:rFonts w:ascii="Calibri" w:eastAsia="Calibri" w:hAnsi="Calibri"/>
          <w:i/>
          <w:szCs w:val="22"/>
          <w:u w:val="single"/>
          <w:lang w:eastAsia="en-US"/>
        </w:rPr>
      </w:pPr>
    </w:p>
    <w:p w:rsidR="00D8027E" w:rsidRPr="00D82AFA" w:rsidRDefault="00D8027E" w:rsidP="00D8027E">
      <w:pPr>
        <w:autoSpaceDE w:val="0"/>
        <w:autoSpaceDN w:val="0"/>
        <w:adjustRightInd w:val="0"/>
        <w:spacing w:before="120"/>
      </w:pPr>
      <w:r>
        <w:t xml:space="preserve">Riešenie vyššie uvedených potrieb v rámci programu sa prispeje k prierezovému cieľu životné prostredie a klíma. </w:t>
      </w:r>
    </w:p>
    <w:p w:rsidR="00D8027E" w:rsidRDefault="00D8027E" w:rsidP="00D8027E">
      <w:pPr>
        <w:autoSpaceDE w:val="0"/>
        <w:autoSpaceDN w:val="0"/>
        <w:adjustRightInd w:val="0"/>
        <w:spacing w:before="120"/>
      </w:pPr>
      <w:r w:rsidRPr="00D82AFA">
        <w:t xml:space="preserve">Na prioritu 4 je predurčených približne viac ako </w:t>
      </w:r>
      <w:r w:rsidRPr="00C45D7A">
        <w:t>42</w:t>
      </w:r>
      <w:r w:rsidRPr="00D82AFA">
        <w:t xml:space="preserve"> percent z prostriedkov programu</w:t>
      </w:r>
      <w:r>
        <w:t xml:space="preserve"> vrátanie podpôr pre poľnohospodárske podniky hospodáriace v znevýhodnených oblastiach (23,22% pre LFA). </w:t>
      </w:r>
    </w:p>
    <w:p w:rsidR="00D8027E" w:rsidRDefault="00D8027E" w:rsidP="00D8027E">
      <w:pPr>
        <w:autoSpaceDE w:val="0"/>
        <w:autoSpaceDN w:val="0"/>
        <w:adjustRightInd w:val="0"/>
        <w:spacing w:before="120"/>
      </w:pPr>
      <w:r>
        <w:t xml:space="preserve">Potreby 11-14, 17 budú riešené hlavne v rámci priority 4, fokusových oblastiach 4A, 4B, 4C. Najväčšia priorita je alokovaná pre potrebu č. 14, ktorá bude riešená kompenzačnými platbami poľnohospodárom hospodáriacim v </w:t>
      </w:r>
      <w:r w:rsidRPr="00D82AFA">
        <w:t>znevýhodnených oblastiach</w:t>
      </w:r>
      <w:r>
        <w:t xml:space="preserve">. Cieľom je zachovať hospodárenie v územiach s horšími prírodnými podmienkami, zachovať ráz poľnohospodárskej krajiny, udržiavať pôdu v dobrom poľnohospodárskom a environmentálnom stave, čím sa podporujú systémy hospodárenia šetrné k životnému prostrediu a predchádza sa opúšťaniu pôdy. </w:t>
      </w:r>
      <w:r w:rsidRPr="00D82AFA">
        <w:t>Okrem týchto podpôr sa v rámci priority 4 poskytnú kompenzačné platby poľnohospodárom v rámci opatrení agroenvironmentu, ekologického poľnohospodárstva a podpory NATURA 2000 a tý</w:t>
      </w:r>
      <w:r>
        <w:t>m sa im zabezpečí uspokojujúci p</w:t>
      </w:r>
      <w:r w:rsidRPr="00D82AFA">
        <w:t>ríjem, na to aby mohli ďalej pokračovať v obhospodarovaní poľnohospodárskej pôdy</w:t>
      </w:r>
      <w:r w:rsidRPr="00D82AFA">
        <w:lastRenderedPageBreak/>
        <w:t xml:space="preserve"> v súlade s požiadavkami ochrany životného prostredia a zároveň aj produkovať kvalitnú poľnohospodársku produkciu a vytvárať pracovné príležitosti vo vidieckych oblastiach</w:t>
      </w:r>
      <w:r>
        <w:t xml:space="preserve"> (riešenie potrieb 11, 12, 13)</w:t>
      </w:r>
      <w:r w:rsidRPr="00D82AFA">
        <w:t xml:space="preserve">. </w:t>
      </w:r>
      <w:r>
        <w:t>Okrem podpory udržateľného manažmentu prírodných zdrojov v poľnohospodárstve bude v rámci priority 4 podporené aj lesné hospodárstvo – riešenie potreby č.17. Podpora bude zameraná na kompenzačné platby v rámci sústavy NATURA 2000, lesnícko-environmentálne podpory, zvyšovanie odolnosti a hodnoty lesných ekosystémov, obnovu lesov poškodených požiarmi a inými prírodnými ka</w:t>
      </w:r>
      <w:r w:rsidR="008F198F">
        <w:t>ta</w:t>
      </w:r>
      <w:r>
        <w:t xml:space="preserve">strofami vrátane škodcov, chorôb a katastrofických udalostí a javov súvisiacich so zmenou klímy, úpravu malých vodných tokov a preventívnych protipožiarnych akcií. </w:t>
      </w:r>
    </w:p>
    <w:p w:rsidR="00D8027E" w:rsidRPr="00D82AFA" w:rsidRDefault="00D8027E" w:rsidP="00D8027E">
      <w:pPr>
        <w:autoSpaceDE w:val="0"/>
        <w:autoSpaceDN w:val="0"/>
        <w:adjustRightInd w:val="0"/>
        <w:spacing w:before="120"/>
      </w:pPr>
      <w:r w:rsidRPr="00D82AFA">
        <w:t>Keďže poľnohospodárska produkcia by nemala byť iba šetrná k životnému prostrediu, ale aj šetrná ku klíme, je veľmi dôležitá synergia poskytnutých podpôr v rámci priority 4 s</w:t>
      </w:r>
      <w:r>
        <w:t> fokusovou oblasťou</w:t>
      </w:r>
      <w:r w:rsidRPr="00D82AFA">
        <w:t xml:space="preserve"> 5D a 5E priority 5, ktorej cieľom je zabraňovanie emisiám a zvyšovanie sekvestrácie oxidu uhličitého v pôdohospodárstve. K tomuto cieľu prispejú aj investície zamerané na uskladňovanie organických hnojív a exkrementov hospodárskych zvierat.</w:t>
      </w:r>
    </w:p>
    <w:p w:rsidR="00D8027E" w:rsidRPr="00D82AFA" w:rsidRDefault="00D8027E" w:rsidP="00D8027E">
      <w:pPr>
        <w:autoSpaceDE w:val="0"/>
        <w:autoSpaceDN w:val="0"/>
        <w:adjustRightInd w:val="0"/>
        <w:spacing w:before="120"/>
      </w:pPr>
      <w:r>
        <w:t>V rámci priority 5 sa budú riešiť potreby č. 15 a 16 a to hlavne prostredníctvom podpory investícií</w:t>
      </w:r>
      <w:r w:rsidRPr="00D82AFA">
        <w:t xml:space="preserve"> do </w:t>
      </w:r>
      <w:r>
        <w:t>zvýšenia energetickej efektívnosti a úspor</w:t>
      </w:r>
      <w:r w:rsidRPr="00D82AFA">
        <w:t xml:space="preserve"> energie v poľnohospodárstve a pri výrobe potravín</w:t>
      </w:r>
      <w:r>
        <w:t xml:space="preserve"> ako aj  </w:t>
      </w:r>
      <w:r w:rsidRPr="00D82AFA">
        <w:t>spracovania a využívania odpadovej biomasy a iných OZE čím sa prostredníctvom programu prispe</w:t>
      </w:r>
      <w:r>
        <w:t>je k zvýšeniu podielu získavania</w:t>
      </w:r>
      <w:r w:rsidRPr="00D82AFA">
        <w:t xml:space="preserve"> energie z obnoviteľných zdrojov v SR. </w:t>
      </w:r>
    </w:p>
    <w:p w:rsidR="00D8027E" w:rsidRPr="00D82AFA" w:rsidRDefault="00D8027E" w:rsidP="00D8027E">
      <w:pPr>
        <w:autoSpaceDE w:val="0"/>
        <w:autoSpaceDN w:val="0"/>
        <w:adjustRightInd w:val="0"/>
        <w:spacing w:before="120"/>
      </w:pPr>
      <w:r w:rsidRPr="00D82AFA">
        <w:t xml:space="preserve">Priority 4 a 5 s približne 50% rozpočtu programu významne prispievajú k dosiahnutiu tematických cieľov týkajúcich sa CO2, klímy a životného prostredia. </w:t>
      </w:r>
    </w:p>
    <w:p w:rsidR="00D8027E" w:rsidRPr="00D82AFA" w:rsidRDefault="00D8027E" w:rsidP="00D8027E">
      <w:pPr>
        <w:pStyle w:val="Odsekzoznamu1"/>
        <w:spacing w:after="0"/>
        <w:ind w:left="0"/>
        <w:rPr>
          <w:szCs w:val="22"/>
          <w:lang w:val="sk-SK"/>
        </w:rPr>
      </w:pPr>
    </w:p>
    <w:p w:rsidR="00D8027E" w:rsidRDefault="00D8027E" w:rsidP="00D8027E">
      <w:pPr>
        <w:autoSpaceDE w:val="0"/>
        <w:autoSpaceDN w:val="0"/>
        <w:adjustRightInd w:val="0"/>
        <w:rPr>
          <w:i/>
          <w:u w:val="single"/>
        </w:rPr>
      </w:pPr>
      <w:r w:rsidRPr="0088408A">
        <w:rPr>
          <w:b/>
        </w:rPr>
        <w:t xml:space="preserve">V poradí tretím strategickým cieľom je </w:t>
      </w:r>
      <w:r w:rsidRPr="00F00FCA">
        <w:rPr>
          <w:b/>
        </w:rPr>
        <w:t>dosiahnuť vyvážený územný rozvoj vidieckych hospodárstiev a komunít vrátane vytvárania a udržiavania pracovných miest</w:t>
      </w:r>
      <w:r w:rsidRPr="0088408A">
        <w:rPr>
          <w:b/>
        </w:rPr>
        <w:t>.</w:t>
      </w:r>
      <w:r>
        <w:t xml:space="preserve"> V rámci SWOT boli identifikované výzvy, ktoré sa týkali zlepšenia infraštruktúry vo vidieckych oblastiach, dostupnosti základných služieb, využitia potenciálu pre rozvoj vidieckeho cestovného ruchu, vytvárania pracovných príležitostí ako aj zlepšenia prístupu ku širokopásmovému internetovému pripojeniu. Na tieto výzvy a vyššie uvedený cieľ </w:t>
      </w:r>
      <w:r w:rsidRPr="0088408A">
        <w:t>reaguje stratégia PRV výberom a prioritizácou nasledovných identifikovaných potrieb, ktoré budú riešené  hlavne v rámci priority 6:</w:t>
      </w:r>
    </w:p>
    <w:p w:rsidR="00D8027E" w:rsidRDefault="00D8027E" w:rsidP="00D8027E">
      <w:pPr>
        <w:autoSpaceDE w:val="0"/>
        <w:autoSpaceDN w:val="0"/>
        <w:adjustRightInd w:val="0"/>
        <w:rPr>
          <w:i/>
          <w:u w:val="single"/>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7403"/>
      </w:tblGrid>
      <w:tr w:rsidR="00E43137" w:rsidRPr="00E43137" w:rsidTr="00E43137">
        <w:tc>
          <w:tcPr>
            <w:tcW w:w="1701" w:type="dxa"/>
            <w:shd w:val="clear" w:color="auto" w:fill="FDE9D9"/>
            <w:vAlign w:val="center"/>
          </w:tcPr>
          <w:p w:rsidR="00E43137" w:rsidRPr="00E43137" w:rsidRDefault="00E43137" w:rsidP="008676F9">
            <w:pPr>
              <w:autoSpaceDE w:val="0"/>
              <w:autoSpaceDN w:val="0"/>
              <w:adjustRightInd w:val="0"/>
              <w:jc w:val="center"/>
              <w:rPr>
                <w:rFonts w:ascii="Calibri" w:eastAsia="Calibri" w:hAnsi="Calibri"/>
                <w:b/>
                <w:sz w:val="18"/>
                <w:szCs w:val="18"/>
                <w:lang w:eastAsia="en-US"/>
              </w:rPr>
            </w:pPr>
            <w:r w:rsidRPr="00E43137">
              <w:rPr>
                <w:rFonts w:ascii="Calibri" w:eastAsia="Calibri" w:hAnsi="Calibri"/>
                <w:b/>
                <w:sz w:val="18"/>
                <w:szCs w:val="18"/>
                <w:lang w:eastAsia="en-US"/>
              </w:rPr>
              <w:t xml:space="preserve">Poradie dôležitosti </w:t>
            </w:r>
            <w:r w:rsidRPr="00E43137">
              <w:rPr>
                <w:rFonts w:ascii="Calibri" w:eastAsia="Calibri" w:hAnsi="Calibri"/>
                <w:sz w:val="18"/>
                <w:szCs w:val="18"/>
                <w:lang w:eastAsia="en-US"/>
              </w:rPr>
              <w:t>(prioritizácia)</w:t>
            </w:r>
          </w:p>
        </w:tc>
        <w:tc>
          <w:tcPr>
            <w:tcW w:w="7403" w:type="dxa"/>
            <w:shd w:val="clear" w:color="auto" w:fill="FDE9D9"/>
            <w:vAlign w:val="center"/>
          </w:tcPr>
          <w:p w:rsidR="00E43137" w:rsidRPr="00E43137" w:rsidRDefault="00E43137" w:rsidP="008676F9">
            <w:pPr>
              <w:autoSpaceDE w:val="0"/>
              <w:autoSpaceDN w:val="0"/>
              <w:adjustRightInd w:val="0"/>
              <w:jc w:val="center"/>
              <w:rPr>
                <w:rFonts w:ascii="Calibri" w:eastAsia="Calibri" w:hAnsi="Calibri"/>
                <w:b/>
                <w:sz w:val="18"/>
                <w:szCs w:val="18"/>
                <w:lang w:eastAsia="en-US"/>
              </w:rPr>
            </w:pPr>
            <w:r w:rsidRPr="00E43137">
              <w:rPr>
                <w:rFonts w:ascii="Calibri" w:eastAsia="Calibri" w:hAnsi="Calibri"/>
                <w:b/>
                <w:sz w:val="18"/>
                <w:szCs w:val="18"/>
                <w:lang w:eastAsia="en-US"/>
              </w:rPr>
              <w:t>Identifikované potreby</w:t>
            </w:r>
          </w:p>
        </w:tc>
      </w:tr>
      <w:tr w:rsidR="00D8027E" w:rsidRPr="00E43137" w:rsidTr="00D8027E">
        <w:trPr>
          <w:trHeight w:val="732"/>
        </w:trPr>
        <w:tc>
          <w:tcPr>
            <w:tcW w:w="1701" w:type="dxa"/>
            <w:shd w:val="clear" w:color="auto" w:fill="auto"/>
            <w:vAlign w:val="center"/>
          </w:tcPr>
          <w:p w:rsidR="00D8027E" w:rsidRPr="00C32FE9" w:rsidRDefault="00D8027E" w:rsidP="008676F9">
            <w:pPr>
              <w:autoSpaceDE w:val="0"/>
              <w:autoSpaceDN w:val="0"/>
              <w:adjustRightInd w:val="0"/>
              <w:jc w:val="center"/>
              <w:rPr>
                <w:rFonts w:ascii="Calibri" w:eastAsia="Calibri" w:hAnsi="Calibri"/>
                <w:sz w:val="20"/>
                <w:szCs w:val="20"/>
                <w:lang w:eastAsia="en-US"/>
              </w:rPr>
            </w:pPr>
            <w:r w:rsidRPr="00C32FE9">
              <w:rPr>
                <w:rFonts w:ascii="Calibri" w:eastAsia="Calibri" w:hAnsi="Calibri"/>
                <w:sz w:val="20"/>
                <w:szCs w:val="20"/>
                <w:lang w:eastAsia="en-US"/>
              </w:rPr>
              <w:t>1.</w:t>
            </w:r>
          </w:p>
        </w:tc>
        <w:tc>
          <w:tcPr>
            <w:tcW w:w="7403" w:type="dxa"/>
            <w:shd w:val="clear" w:color="auto" w:fill="auto"/>
            <w:vAlign w:val="center"/>
          </w:tcPr>
          <w:p w:rsidR="00D8027E" w:rsidRPr="00C32FE9" w:rsidRDefault="00D8027E" w:rsidP="00D8027E">
            <w:pPr>
              <w:autoSpaceDE w:val="0"/>
              <w:autoSpaceDN w:val="0"/>
              <w:adjustRightInd w:val="0"/>
              <w:jc w:val="left"/>
              <w:rPr>
                <w:sz w:val="20"/>
                <w:szCs w:val="20"/>
                <w:u w:val="single"/>
              </w:rPr>
            </w:pPr>
            <w:r w:rsidRPr="00C32FE9">
              <w:rPr>
                <w:sz w:val="20"/>
                <w:szCs w:val="20"/>
              </w:rPr>
              <w:t xml:space="preserve">č.18 </w:t>
            </w:r>
            <w:r w:rsidRPr="00C32FE9">
              <w:rPr>
                <w:rFonts w:ascii="Calibri" w:hAnsi="Calibri"/>
                <w:sz w:val="20"/>
                <w:szCs w:val="20"/>
                <w:lang w:eastAsia="zh-CN"/>
              </w:rPr>
              <w:t>Udržanie existujúcich a vytváranie nových pracovných miest na vidieku</w:t>
            </w:r>
          </w:p>
        </w:tc>
      </w:tr>
      <w:tr w:rsidR="00D8027E" w:rsidRPr="00E43137" w:rsidTr="00D8027E">
        <w:trPr>
          <w:trHeight w:val="732"/>
        </w:trPr>
        <w:tc>
          <w:tcPr>
            <w:tcW w:w="1701" w:type="dxa"/>
            <w:shd w:val="clear" w:color="auto" w:fill="auto"/>
            <w:vAlign w:val="center"/>
          </w:tcPr>
          <w:p w:rsidR="00D8027E" w:rsidRPr="00C32FE9" w:rsidRDefault="00D8027E" w:rsidP="008676F9">
            <w:pPr>
              <w:autoSpaceDE w:val="0"/>
              <w:autoSpaceDN w:val="0"/>
              <w:adjustRightInd w:val="0"/>
              <w:jc w:val="center"/>
              <w:rPr>
                <w:rFonts w:ascii="Calibri" w:eastAsia="Calibri" w:hAnsi="Calibri"/>
                <w:sz w:val="20"/>
                <w:szCs w:val="20"/>
                <w:lang w:eastAsia="en-US"/>
              </w:rPr>
            </w:pPr>
            <w:r w:rsidRPr="00C32FE9">
              <w:rPr>
                <w:rFonts w:ascii="Calibri" w:eastAsia="Calibri" w:hAnsi="Calibri"/>
                <w:sz w:val="20"/>
                <w:szCs w:val="20"/>
                <w:lang w:eastAsia="en-US"/>
              </w:rPr>
              <w:t>2.</w:t>
            </w:r>
          </w:p>
        </w:tc>
        <w:tc>
          <w:tcPr>
            <w:tcW w:w="7403" w:type="dxa"/>
            <w:shd w:val="clear" w:color="auto" w:fill="auto"/>
            <w:vAlign w:val="center"/>
          </w:tcPr>
          <w:p w:rsidR="00D8027E" w:rsidRPr="00C32FE9" w:rsidRDefault="00D8027E" w:rsidP="008F198F">
            <w:pPr>
              <w:autoSpaceDE w:val="0"/>
              <w:autoSpaceDN w:val="0"/>
              <w:adjustRightInd w:val="0"/>
              <w:ind w:left="459" w:hanging="459"/>
              <w:jc w:val="left"/>
              <w:rPr>
                <w:sz w:val="20"/>
                <w:szCs w:val="20"/>
                <w:u w:val="single"/>
              </w:rPr>
            </w:pPr>
            <w:r w:rsidRPr="00C32FE9">
              <w:rPr>
                <w:sz w:val="20"/>
                <w:szCs w:val="20"/>
              </w:rPr>
              <w:t xml:space="preserve">č.20 </w:t>
            </w:r>
            <w:r w:rsidRPr="00C32FE9">
              <w:rPr>
                <w:rFonts w:ascii="Calibri" w:hAnsi="Calibri"/>
                <w:sz w:val="20"/>
                <w:szCs w:val="20"/>
                <w:lang w:eastAsia="zh-CN"/>
              </w:rPr>
              <w:t>Zlepšenie kvality života na vidieku a podpora rozvoja miestnych komunít/partnerstiev vo vidieckych obciach s dôrazom na zachovanie miestneho kultúrneho a historického rázu územia</w:t>
            </w:r>
          </w:p>
        </w:tc>
      </w:tr>
      <w:tr w:rsidR="00D8027E" w:rsidRPr="00E43137" w:rsidTr="00D8027E">
        <w:trPr>
          <w:trHeight w:val="732"/>
        </w:trPr>
        <w:tc>
          <w:tcPr>
            <w:tcW w:w="1701" w:type="dxa"/>
            <w:shd w:val="clear" w:color="auto" w:fill="auto"/>
            <w:vAlign w:val="center"/>
          </w:tcPr>
          <w:p w:rsidR="00D8027E" w:rsidRPr="00C32FE9" w:rsidRDefault="00D8027E" w:rsidP="008676F9">
            <w:pPr>
              <w:autoSpaceDE w:val="0"/>
              <w:autoSpaceDN w:val="0"/>
              <w:adjustRightInd w:val="0"/>
              <w:jc w:val="center"/>
              <w:rPr>
                <w:rFonts w:ascii="Calibri" w:eastAsia="Calibri" w:hAnsi="Calibri"/>
                <w:sz w:val="20"/>
                <w:szCs w:val="20"/>
                <w:lang w:eastAsia="en-US"/>
              </w:rPr>
            </w:pPr>
            <w:r w:rsidRPr="00C32FE9">
              <w:rPr>
                <w:rFonts w:ascii="Calibri" w:eastAsia="Calibri" w:hAnsi="Calibri"/>
                <w:sz w:val="20"/>
                <w:szCs w:val="20"/>
                <w:lang w:eastAsia="en-US"/>
              </w:rPr>
              <w:t>3.</w:t>
            </w:r>
          </w:p>
        </w:tc>
        <w:tc>
          <w:tcPr>
            <w:tcW w:w="7403" w:type="dxa"/>
            <w:shd w:val="clear" w:color="auto" w:fill="auto"/>
            <w:vAlign w:val="center"/>
          </w:tcPr>
          <w:p w:rsidR="00D8027E" w:rsidRPr="00C32FE9" w:rsidRDefault="00D8027E" w:rsidP="008F198F">
            <w:pPr>
              <w:autoSpaceDE w:val="0"/>
              <w:autoSpaceDN w:val="0"/>
              <w:adjustRightInd w:val="0"/>
              <w:ind w:left="459" w:hanging="459"/>
              <w:jc w:val="left"/>
              <w:rPr>
                <w:i/>
                <w:sz w:val="20"/>
                <w:szCs w:val="20"/>
                <w:u w:val="single"/>
              </w:rPr>
            </w:pPr>
            <w:r w:rsidRPr="00C32FE9">
              <w:rPr>
                <w:sz w:val="20"/>
                <w:szCs w:val="20"/>
              </w:rPr>
              <w:t xml:space="preserve">č.19 </w:t>
            </w:r>
            <w:r w:rsidRPr="00C32FE9">
              <w:rPr>
                <w:rFonts w:ascii="Calibri" w:hAnsi="Calibri"/>
                <w:sz w:val="20"/>
                <w:szCs w:val="20"/>
                <w:lang w:eastAsia="zh-CN"/>
              </w:rPr>
              <w:t>Posilnenie ekonomickej stability / životaschopnosti malých podnikov na vidieku</w:t>
            </w:r>
          </w:p>
        </w:tc>
      </w:tr>
      <w:tr w:rsidR="00D8027E" w:rsidRPr="00E43137" w:rsidTr="00D8027E">
        <w:trPr>
          <w:trHeight w:val="732"/>
        </w:trPr>
        <w:tc>
          <w:tcPr>
            <w:tcW w:w="1701" w:type="dxa"/>
            <w:shd w:val="clear" w:color="auto" w:fill="auto"/>
            <w:vAlign w:val="center"/>
          </w:tcPr>
          <w:p w:rsidR="00D8027E" w:rsidRPr="00C32FE9" w:rsidRDefault="00D8027E" w:rsidP="008676F9">
            <w:pPr>
              <w:autoSpaceDE w:val="0"/>
              <w:autoSpaceDN w:val="0"/>
              <w:adjustRightInd w:val="0"/>
              <w:jc w:val="center"/>
              <w:rPr>
                <w:rFonts w:ascii="Calibri" w:eastAsia="Calibri" w:hAnsi="Calibri"/>
                <w:sz w:val="20"/>
                <w:szCs w:val="20"/>
                <w:lang w:eastAsia="en-US"/>
              </w:rPr>
            </w:pPr>
            <w:r w:rsidRPr="00C32FE9">
              <w:rPr>
                <w:rFonts w:ascii="Calibri" w:eastAsia="Calibri" w:hAnsi="Calibri"/>
                <w:sz w:val="20"/>
                <w:szCs w:val="20"/>
                <w:lang w:eastAsia="en-US"/>
              </w:rPr>
              <w:t>4.</w:t>
            </w:r>
          </w:p>
        </w:tc>
        <w:tc>
          <w:tcPr>
            <w:tcW w:w="7403" w:type="dxa"/>
            <w:shd w:val="clear" w:color="auto" w:fill="auto"/>
            <w:vAlign w:val="center"/>
          </w:tcPr>
          <w:p w:rsidR="00D8027E" w:rsidRPr="00C32FE9" w:rsidRDefault="00D8027E" w:rsidP="00D8027E">
            <w:pPr>
              <w:autoSpaceDE w:val="0"/>
              <w:autoSpaceDN w:val="0"/>
              <w:adjustRightInd w:val="0"/>
              <w:jc w:val="left"/>
              <w:rPr>
                <w:sz w:val="20"/>
                <w:szCs w:val="20"/>
                <w:u w:val="single"/>
              </w:rPr>
            </w:pPr>
            <w:r w:rsidRPr="00C32FE9">
              <w:rPr>
                <w:sz w:val="20"/>
                <w:szCs w:val="20"/>
              </w:rPr>
              <w:t>č.21 Rozvoj IKT vo vidieckych obciach</w:t>
            </w:r>
          </w:p>
        </w:tc>
      </w:tr>
      <w:tr w:rsidR="00D8027E" w:rsidRPr="00E43137" w:rsidTr="00D8027E">
        <w:trPr>
          <w:trHeight w:val="732"/>
        </w:trPr>
        <w:tc>
          <w:tcPr>
            <w:tcW w:w="1701" w:type="dxa"/>
            <w:shd w:val="clear" w:color="auto" w:fill="auto"/>
            <w:vAlign w:val="center"/>
          </w:tcPr>
          <w:p w:rsidR="00D8027E" w:rsidRPr="00C32FE9" w:rsidRDefault="00D8027E" w:rsidP="008676F9">
            <w:pPr>
              <w:autoSpaceDE w:val="0"/>
              <w:autoSpaceDN w:val="0"/>
              <w:adjustRightInd w:val="0"/>
              <w:jc w:val="center"/>
              <w:rPr>
                <w:rFonts w:ascii="Calibri" w:eastAsia="Calibri" w:hAnsi="Calibri"/>
                <w:sz w:val="20"/>
                <w:szCs w:val="20"/>
                <w:lang w:eastAsia="en-US"/>
              </w:rPr>
            </w:pPr>
            <w:r w:rsidRPr="00C32FE9">
              <w:rPr>
                <w:rFonts w:ascii="Calibri" w:eastAsia="Calibri" w:hAnsi="Calibri"/>
                <w:sz w:val="20"/>
                <w:szCs w:val="20"/>
                <w:lang w:eastAsia="en-US"/>
              </w:rPr>
              <w:t>5.</w:t>
            </w:r>
          </w:p>
        </w:tc>
        <w:tc>
          <w:tcPr>
            <w:tcW w:w="7403" w:type="dxa"/>
            <w:shd w:val="clear" w:color="auto" w:fill="auto"/>
            <w:vAlign w:val="center"/>
          </w:tcPr>
          <w:p w:rsidR="00D8027E" w:rsidRPr="00C32FE9" w:rsidRDefault="00D8027E" w:rsidP="008F198F">
            <w:pPr>
              <w:autoSpaceDE w:val="0"/>
              <w:autoSpaceDN w:val="0"/>
              <w:adjustRightInd w:val="0"/>
              <w:ind w:left="318" w:hanging="318"/>
              <w:jc w:val="left"/>
              <w:rPr>
                <w:rFonts w:ascii="Calibri" w:hAnsi="Calibri"/>
                <w:sz w:val="20"/>
                <w:szCs w:val="20"/>
                <w:lang w:eastAsia="zh-CN"/>
              </w:rPr>
            </w:pPr>
            <w:r w:rsidRPr="00C32FE9">
              <w:rPr>
                <w:rFonts w:ascii="Calibri" w:hAnsi="Calibri"/>
                <w:sz w:val="20"/>
                <w:szCs w:val="20"/>
                <w:lang w:eastAsia="zh-CN"/>
              </w:rPr>
              <w:t>č.1 Posilnenie vedomostnej základne, inovačnej výkonnosti a spolupráce poľnohospodárstva, potravinárstva a lesníctva, ktorá podporí vývoj nových produktov, postupov a technológií</w:t>
            </w:r>
          </w:p>
          <w:p w:rsidR="00D8027E" w:rsidRPr="00C32FE9" w:rsidRDefault="00D8027E" w:rsidP="00C32FE9">
            <w:pPr>
              <w:autoSpaceDE w:val="0"/>
              <w:autoSpaceDN w:val="0"/>
              <w:adjustRightInd w:val="0"/>
              <w:ind w:left="318" w:hanging="318"/>
              <w:jc w:val="left"/>
              <w:rPr>
                <w:rFonts w:ascii="Calibri" w:hAnsi="Calibri"/>
                <w:sz w:val="20"/>
                <w:szCs w:val="20"/>
              </w:rPr>
            </w:pPr>
            <w:r w:rsidRPr="00C32FE9">
              <w:rPr>
                <w:rFonts w:ascii="Calibri" w:hAnsi="Calibri"/>
                <w:sz w:val="20"/>
                <w:szCs w:val="20"/>
              </w:rPr>
              <w:t>č.2 Posilnenie prepojenia poľnohospodárstva, potravinárstva a lesného hospodárstva s výskumom a inováciami a inštitucionálne posilnenie systému pôdohospodárskeho poradenstva</w:t>
            </w:r>
          </w:p>
          <w:p w:rsidR="00D8027E" w:rsidRPr="00C32FE9" w:rsidRDefault="00D8027E" w:rsidP="008F198F">
            <w:pPr>
              <w:autoSpaceDE w:val="0"/>
              <w:autoSpaceDN w:val="0"/>
              <w:adjustRightInd w:val="0"/>
              <w:ind w:left="318" w:hanging="284"/>
              <w:jc w:val="left"/>
              <w:rPr>
                <w:rFonts w:ascii="Calibri" w:hAnsi="Calibri"/>
                <w:sz w:val="20"/>
                <w:szCs w:val="20"/>
                <w:lang w:eastAsia="zh-CN"/>
              </w:rPr>
            </w:pPr>
            <w:r w:rsidRPr="00C32FE9">
              <w:rPr>
                <w:rFonts w:ascii="Calibri" w:hAnsi="Calibri"/>
                <w:sz w:val="20"/>
                <w:szCs w:val="20"/>
                <w:lang w:eastAsia="zh-CN"/>
              </w:rPr>
              <w:t>č.3 Podpora celoživotného vzdelávania poľnohospodárov, potravinárov a lesníkov</w:t>
            </w:r>
          </w:p>
        </w:tc>
      </w:tr>
    </w:tbl>
    <w:p w:rsidR="00D8027E" w:rsidRPr="00D82AFA" w:rsidRDefault="00D8027E" w:rsidP="00D8027E">
      <w:pPr>
        <w:autoSpaceDE w:val="0"/>
        <w:autoSpaceDN w:val="0"/>
        <w:adjustRightInd w:val="0"/>
        <w:rPr>
          <w:color w:val="000000" w:themeColor="text1"/>
        </w:rPr>
      </w:pPr>
      <w:r>
        <w:rPr>
          <w:color w:val="000000" w:themeColor="text1"/>
        </w:rPr>
        <w:t xml:space="preserve">Na </w:t>
      </w:r>
      <w:r w:rsidRPr="00D82AFA">
        <w:rPr>
          <w:color w:val="000000" w:themeColor="text1"/>
        </w:rPr>
        <w:t>priorit</w:t>
      </w:r>
      <w:r>
        <w:rPr>
          <w:color w:val="000000" w:themeColor="text1"/>
        </w:rPr>
        <w:t>u</w:t>
      </w:r>
      <w:r w:rsidRPr="00D82AFA">
        <w:rPr>
          <w:color w:val="000000" w:themeColor="text1"/>
        </w:rPr>
        <w:t xml:space="preserve"> 6 je určených približne </w:t>
      </w:r>
      <w:r w:rsidRPr="00C45D7A">
        <w:rPr>
          <w:color w:val="000000" w:themeColor="text1"/>
        </w:rPr>
        <w:t>14 % rozpočtu programu, pričom na realizáciu iniciatívy LEADER bude vyčlenených 5 % prostriedkov programu</w:t>
      </w:r>
      <w:r w:rsidRPr="00D82AFA">
        <w:rPr>
          <w:color w:val="000000" w:themeColor="text1"/>
        </w:rPr>
        <w:t>.</w:t>
      </w:r>
    </w:p>
    <w:p w:rsidR="00D8027E" w:rsidRPr="00D82AFA" w:rsidRDefault="00D8027E" w:rsidP="00D8027E">
      <w:pPr>
        <w:autoSpaceDE w:val="0"/>
        <w:autoSpaceDN w:val="0"/>
        <w:adjustRightInd w:val="0"/>
        <w:spacing w:before="120"/>
        <w:rPr>
          <w:b/>
          <w:color w:val="000000" w:themeColor="text1"/>
        </w:rPr>
      </w:pPr>
      <w:r>
        <w:rPr>
          <w:color w:val="000000" w:themeColor="text1"/>
        </w:rPr>
        <w:t xml:space="preserve">Potreba č.18 a č.19 bude </w:t>
      </w:r>
      <w:r w:rsidRPr="00D82AFA">
        <w:rPr>
          <w:color w:val="000000" w:themeColor="text1"/>
        </w:rPr>
        <w:t xml:space="preserve">prioritne riešená v rámci </w:t>
      </w:r>
      <w:r>
        <w:rPr>
          <w:color w:val="000000" w:themeColor="text1"/>
        </w:rPr>
        <w:t xml:space="preserve">fokusovej </w:t>
      </w:r>
      <w:r w:rsidRPr="00D82AFA">
        <w:rPr>
          <w:color w:val="000000" w:themeColor="text1"/>
        </w:rPr>
        <w:t>oblast</w:t>
      </w:r>
      <w:r>
        <w:rPr>
          <w:color w:val="000000" w:themeColor="text1"/>
        </w:rPr>
        <w:t>i</w:t>
      </w:r>
      <w:r w:rsidRPr="00D82AFA">
        <w:rPr>
          <w:color w:val="000000" w:themeColor="text1"/>
        </w:rPr>
        <w:t xml:space="preserve"> cieľa 6A a to podporou diverzifikácie poľnohospodárskych a lesohospodárskych subjektov do oblasti poskytovania služieb a výroby produktov nepoľnohospodárskeho charakteru</w:t>
      </w:r>
      <w:r>
        <w:rPr>
          <w:color w:val="000000" w:themeColor="text1"/>
        </w:rPr>
        <w:t>.</w:t>
      </w:r>
      <w:r w:rsidRPr="00D82AFA">
        <w:rPr>
          <w:color w:val="000000" w:themeColor="text1"/>
        </w:rPr>
        <w:t xml:space="preserve"> Spolu s podporou mikro a malých podnikov na vidieku mimo poľnohospodárstva</w:t>
      </w:r>
      <w:r w:rsidR="00D07D16">
        <w:rPr>
          <w:color w:val="000000" w:themeColor="text1"/>
        </w:rPr>
        <w:t>, akvakultúry</w:t>
      </w:r>
      <w:r w:rsidRPr="00D82AFA">
        <w:rPr>
          <w:color w:val="000000" w:themeColor="text1"/>
        </w:rPr>
        <w:t xml:space="preserve"> a lesného hospodárstva by tak malo dôjsť k stabilizácii a pos</w:t>
      </w:r>
      <w:r>
        <w:rPr>
          <w:color w:val="000000" w:themeColor="text1"/>
        </w:rPr>
        <w:t>i</w:t>
      </w:r>
      <w:r w:rsidRPr="00D82AFA">
        <w:rPr>
          <w:color w:val="000000" w:themeColor="text1"/>
        </w:rPr>
        <w:t>lneniu vidieckej ekonomiky a generovaniu nových pracovných miest, s dôrazom na zamestnanosť žien a znevýhodnených skupín obyvateľstva</w:t>
      </w:r>
      <w:r>
        <w:rPr>
          <w:color w:val="000000" w:themeColor="text1"/>
        </w:rPr>
        <w:t xml:space="preserve"> so zreteľom na obyvateľstvo marginalizovaných rómskych komunít.</w:t>
      </w:r>
    </w:p>
    <w:p w:rsidR="00D8027E" w:rsidRPr="00D82AFA" w:rsidRDefault="00D8027E" w:rsidP="00D8027E">
      <w:pPr>
        <w:autoSpaceDE w:val="0"/>
        <w:autoSpaceDN w:val="0"/>
        <w:adjustRightInd w:val="0"/>
        <w:spacing w:before="120"/>
        <w:rPr>
          <w:color w:val="000000" w:themeColor="text1"/>
        </w:rPr>
      </w:pPr>
      <w:r>
        <w:rPr>
          <w:color w:val="000000" w:themeColor="text1"/>
        </w:rPr>
        <w:t xml:space="preserve">Potreba č.20 bude riešená prostredníctvom </w:t>
      </w:r>
      <w:r w:rsidRPr="00D82AFA">
        <w:rPr>
          <w:color w:val="000000" w:themeColor="text1"/>
        </w:rPr>
        <w:t xml:space="preserve">zlepšovania kvality života na vidieku a podpory rozvoja miestnych komunít/partnerstiev vo vidieckych obciach s dôrazom na zachovanie  miestneho kultúrneho a historického rázu územia </w:t>
      </w:r>
      <w:r>
        <w:rPr>
          <w:color w:val="000000" w:themeColor="text1"/>
        </w:rPr>
        <w:t>v rámci fokusovej oblasti</w:t>
      </w:r>
      <w:r w:rsidRPr="00D82AFA">
        <w:rPr>
          <w:color w:val="000000" w:themeColor="text1"/>
        </w:rPr>
        <w:t xml:space="preserve"> 6B</w:t>
      </w:r>
      <w:r>
        <w:rPr>
          <w:color w:val="000000" w:themeColor="text1"/>
        </w:rPr>
        <w:t xml:space="preserve">. Podpora bude smerovaná na </w:t>
      </w:r>
      <w:r w:rsidRPr="00D82AFA">
        <w:rPr>
          <w:color w:val="000000" w:themeColor="text1"/>
        </w:rPr>
        <w:t xml:space="preserve">vytváranie podmienok pre zabezpečovanie základných služieb na vidieku, </w:t>
      </w:r>
      <w:r>
        <w:rPr>
          <w:color w:val="000000" w:themeColor="text1"/>
        </w:rPr>
        <w:t>zlepšovania infraštruktúry vo vidieckych oblastiach, na využívanie</w:t>
      </w:r>
      <w:r w:rsidRPr="00D82AFA">
        <w:rPr>
          <w:color w:val="000000" w:themeColor="text1"/>
        </w:rPr>
        <w:t xml:space="preserve"> kultúrno-historického a prírodného potenciálu vrátane využívania obnoviteľných zdrojov energie, ktoré urýchlia naštartovanie </w:t>
      </w:r>
      <w:r w:rsidRPr="005A68A8">
        <w:rPr>
          <w:color w:val="000000" w:themeColor="text1"/>
        </w:rPr>
        <w:t>miestneho ekonomického rozvoja</w:t>
      </w:r>
      <w:r w:rsidRPr="00D82AFA">
        <w:rPr>
          <w:color w:val="000000" w:themeColor="text1"/>
        </w:rPr>
        <w:t xml:space="preserve"> založeného na efektívnom využívaní endogénnych zdrojov. Podpora miestnych komunít prostredníctvom iniciatívy LEADER bude zohrávať kľúčovú úlohu pri smerovaní subvencií s dôrazom na hospodársky rast a tvorbu pracovných miest na vidieku. </w:t>
      </w:r>
    </w:p>
    <w:p w:rsidR="00D8027E" w:rsidRPr="00D82AFA" w:rsidRDefault="00D8027E" w:rsidP="00D8027E">
      <w:pPr>
        <w:autoSpaceDE w:val="0"/>
        <w:autoSpaceDN w:val="0"/>
        <w:adjustRightInd w:val="0"/>
        <w:spacing w:before="120"/>
        <w:rPr>
          <w:color w:val="000000" w:themeColor="text1"/>
        </w:rPr>
      </w:pPr>
      <w:r w:rsidRPr="00D82AFA">
        <w:rPr>
          <w:color w:val="000000" w:themeColor="text1"/>
        </w:rPr>
        <w:t xml:space="preserve">Pri potrebe </w:t>
      </w:r>
      <w:r>
        <w:rPr>
          <w:color w:val="000000" w:themeColor="text1"/>
        </w:rPr>
        <w:t>č.21: rozvoj</w:t>
      </w:r>
      <w:r w:rsidRPr="00D82AFA">
        <w:rPr>
          <w:color w:val="000000" w:themeColor="text1"/>
        </w:rPr>
        <w:t xml:space="preserve"> IKT vo vidieckych obciach sa </w:t>
      </w:r>
      <w:r>
        <w:rPr>
          <w:color w:val="000000" w:themeColor="text1"/>
        </w:rPr>
        <w:t>fokusová oblasť</w:t>
      </w:r>
      <w:r w:rsidRPr="00D82AFA">
        <w:rPr>
          <w:color w:val="000000" w:themeColor="text1"/>
        </w:rPr>
        <w:t xml:space="preserve"> 6C zameria na </w:t>
      </w:r>
      <w:r>
        <w:rPr>
          <w:color w:val="000000" w:themeColor="text1"/>
        </w:rPr>
        <w:t xml:space="preserve">budovanie prístupových sietí v jednotlivých obciach (do 500 obyvateľov). </w:t>
      </w:r>
      <w:r w:rsidRPr="00D82AFA">
        <w:rPr>
          <w:color w:val="000000" w:themeColor="text1"/>
        </w:rPr>
        <w:t xml:space="preserve">Riešenie danej potreby prispeje k synergii medzi potrebami priority 6. </w:t>
      </w:r>
    </w:p>
    <w:p w:rsidR="00E43137" w:rsidRPr="00E43137" w:rsidRDefault="00E43137" w:rsidP="008676F9">
      <w:pPr>
        <w:autoSpaceDE w:val="0"/>
        <w:autoSpaceDN w:val="0"/>
        <w:adjustRightInd w:val="0"/>
        <w:rPr>
          <w:rFonts w:ascii="Calibri" w:eastAsia="Calibri" w:hAnsi="Calibri"/>
          <w:szCs w:val="22"/>
          <w:lang w:eastAsia="en-US"/>
        </w:rPr>
      </w:pPr>
      <w:r w:rsidRPr="00E43137">
        <w:rPr>
          <w:rFonts w:ascii="Calibri" w:eastAsia="Calibri" w:hAnsi="Calibri"/>
          <w:szCs w:val="22"/>
          <w:lang w:eastAsia="en-US"/>
        </w:rPr>
        <w:br w:type="page"/>
      </w:r>
    </w:p>
    <w:p w:rsidR="00E43137" w:rsidRDefault="00E43137" w:rsidP="00AA30CA">
      <w:pPr>
        <w:pStyle w:val="Pod"/>
        <w:rPr>
          <w:rFonts w:eastAsia="Calibri"/>
          <w:lang w:eastAsia="en-US"/>
        </w:rPr>
      </w:pPr>
      <w:bookmarkStart w:id="43" w:name="_Toc387041296"/>
      <w:r w:rsidRPr="00E43137">
        <w:rPr>
          <w:rFonts w:eastAsia="Calibri"/>
          <w:lang w:eastAsia="en-US"/>
        </w:rPr>
        <w:t>5.2 Strategické zameranie priorít</w:t>
      </w:r>
      <w:bookmarkEnd w:id="43"/>
    </w:p>
    <w:p w:rsidR="00E43137" w:rsidRPr="00E43137" w:rsidRDefault="00E43137" w:rsidP="00744ED8">
      <w:pPr>
        <w:pStyle w:val="Podpod"/>
        <w:spacing w:after="120"/>
        <w:ind w:left="1559" w:hanging="1559"/>
      </w:pPr>
      <w:bookmarkStart w:id="44" w:name="_Toc384111019"/>
      <w:bookmarkStart w:id="45" w:name="_Toc387041297"/>
      <w:r w:rsidRPr="00E43137">
        <w:t>5.2.1 Priorita 1: Podpora prenosu znalostí a inovácie v poľnohospodárstve, lesnom hospodárstve a vo vidieckych oblastiach</w:t>
      </w:r>
      <w:bookmarkEnd w:id="44"/>
      <w:bookmarkEnd w:id="45"/>
    </w:p>
    <w:p w:rsidR="00E43137" w:rsidRPr="00AA30CA" w:rsidRDefault="00E43137" w:rsidP="00744ED8">
      <w:pPr>
        <w:ind w:left="2835" w:hanging="2835"/>
        <w:rPr>
          <w:rFonts w:eastAsia="Calibri"/>
          <w:b/>
        </w:rPr>
      </w:pPr>
      <w:r w:rsidRPr="00AA30CA">
        <w:rPr>
          <w:rFonts w:eastAsia="Calibri"/>
          <w:b/>
        </w:rPr>
        <w:t xml:space="preserve">5.2.1.1 Fokusová oblasť 1A: </w:t>
      </w:r>
      <w:r w:rsidR="00AD124D" w:rsidRPr="00AA30CA">
        <w:rPr>
          <w:rFonts w:eastAsia="Calibri"/>
          <w:b/>
        </w:rPr>
        <w:t>P</w:t>
      </w:r>
      <w:r w:rsidRPr="00AA30CA">
        <w:rPr>
          <w:rFonts w:eastAsia="Calibri"/>
          <w:b/>
        </w:rPr>
        <w:t>odpora inováci</w:t>
      </w:r>
      <w:r w:rsidR="00AD124D" w:rsidRPr="00AA30CA">
        <w:rPr>
          <w:rFonts w:eastAsia="Calibri"/>
          <w:b/>
        </w:rPr>
        <w:t>í</w:t>
      </w:r>
      <w:r w:rsidRPr="00AA30CA">
        <w:rPr>
          <w:rFonts w:eastAsia="Calibri"/>
          <w:b/>
        </w:rPr>
        <w:t>, spolupráce a rozvoja vedomostnej základne vo vidieckych oblastiach</w:t>
      </w:r>
    </w:p>
    <w:p w:rsidR="00E43137" w:rsidRPr="00E43137" w:rsidRDefault="00E43137" w:rsidP="008676F9">
      <w:pPr>
        <w:autoSpaceDE w:val="0"/>
        <w:autoSpaceDN w:val="0"/>
        <w:adjustRightInd w:val="0"/>
        <w:rPr>
          <w:rFonts w:ascii="Calibri" w:eastAsia="Calibri" w:hAnsi="Calibri"/>
          <w:szCs w:val="22"/>
          <w:u w:val="single"/>
          <w:lang w:eastAsia="en-US"/>
        </w:rPr>
      </w:pPr>
      <w:r w:rsidRPr="00E43137">
        <w:rPr>
          <w:rFonts w:ascii="Calibri" w:eastAsia="Calibri" w:hAnsi="Calibri"/>
          <w:szCs w:val="22"/>
          <w:u w:val="single"/>
          <w:lang w:eastAsia="en-US"/>
        </w:rPr>
        <w:t>Vybrané opatrenia</w:t>
      </w:r>
    </w:p>
    <w:tbl>
      <w:tblPr>
        <w:tblpPr w:leftFromText="141" w:rightFromText="141" w:vertAnchor="text" w:horzAnchor="margin" w:tblpX="108" w:tblpY="80"/>
        <w:tblW w:w="90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72"/>
      </w:tblGrid>
      <w:tr w:rsidR="00E43137" w:rsidRPr="00E43137" w:rsidTr="00E43137">
        <w:tc>
          <w:tcPr>
            <w:tcW w:w="9072" w:type="dxa"/>
            <w:shd w:val="clear" w:color="auto" w:fill="auto"/>
            <w:vAlign w:val="center"/>
          </w:tcPr>
          <w:p w:rsidR="00E43137" w:rsidRPr="00E43137" w:rsidRDefault="00E43137" w:rsidP="008676F9">
            <w:pPr>
              <w:spacing w:after="60" w:line="276" w:lineRule="auto"/>
              <w:rPr>
                <w:rFonts w:ascii="Calibri" w:eastAsia="Calibri" w:hAnsi="Calibri"/>
                <w:bCs/>
                <w:sz w:val="20"/>
                <w:szCs w:val="20"/>
                <w:lang w:eastAsia="en-US"/>
              </w:rPr>
            </w:pPr>
            <w:r w:rsidRPr="00E43137">
              <w:rPr>
                <w:rFonts w:ascii="Calibri" w:eastAsia="Calibri" w:hAnsi="Calibri"/>
                <w:sz w:val="20"/>
                <w:szCs w:val="20"/>
                <w:lang w:eastAsia="en-US"/>
              </w:rPr>
              <w:t xml:space="preserve">Opatrenie </w:t>
            </w:r>
            <w:r w:rsidRPr="00E43137">
              <w:rPr>
                <w:rFonts w:ascii="Calibri" w:hAnsi="Calibri"/>
                <w:sz w:val="20"/>
                <w:szCs w:val="20"/>
                <w:lang w:eastAsia="en-US"/>
              </w:rPr>
              <w:t xml:space="preserve"> </w:t>
            </w:r>
            <w:r w:rsidRPr="00E43137">
              <w:rPr>
                <w:rFonts w:ascii="Calibri" w:eastAsia="Calibri" w:hAnsi="Calibri"/>
                <w:bCs/>
                <w:sz w:val="20"/>
                <w:szCs w:val="20"/>
                <w:lang w:eastAsia="en-US"/>
              </w:rPr>
              <w:t>1: Prenos vedomostí a zručností (čl.14)</w:t>
            </w:r>
          </w:p>
        </w:tc>
      </w:tr>
      <w:tr w:rsidR="00E43137" w:rsidRPr="00E43137" w:rsidTr="00E43137">
        <w:tc>
          <w:tcPr>
            <w:tcW w:w="9072" w:type="dxa"/>
            <w:shd w:val="clear" w:color="auto" w:fill="auto"/>
            <w:vAlign w:val="center"/>
          </w:tcPr>
          <w:p w:rsidR="00E43137" w:rsidRPr="00E43137" w:rsidRDefault="00E43137" w:rsidP="008676F9">
            <w:pPr>
              <w:spacing w:after="60" w:line="276" w:lineRule="auto"/>
              <w:rPr>
                <w:rFonts w:ascii="Calibri" w:eastAsia="Calibri" w:hAnsi="Calibri"/>
                <w:sz w:val="20"/>
                <w:szCs w:val="20"/>
                <w:lang w:eastAsia="en-US"/>
              </w:rPr>
            </w:pPr>
            <w:r w:rsidRPr="00E43137">
              <w:rPr>
                <w:rFonts w:ascii="Calibri" w:eastAsia="Calibri" w:hAnsi="Calibri"/>
                <w:sz w:val="20"/>
                <w:szCs w:val="20"/>
                <w:lang w:eastAsia="en-US"/>
              </w:rPr>
              <w:t xml:space="preserve">Opatrenie  2:  Poradenské služby  (čl.15)                                                      </w:t>
            </w:r>
          </w:p>
        </w:tc>
      </w:tr>
      <w:tr w:rsidR="00E43137" w:rsidRPr="00E43137" w:rsidTr="00E43137">
        <w:tc>
          <w:tcPr>
            <w:tcW w:w="9072" w:type="dxa"/>
            <w:shd w:val="clear" w:color="auto" w:fill="auto"/>
            <w:vAlign w:val="center"/>
          </w:tcPr>
          <w:p w:rsidR="00E43137" w:rsidRPr="00E43137" w:rsidRDefault="00E43137" w:rsidP="008676F9">
            <w:pPr>
              <w:spacing w:after="60" w:line="276" w:lineRule="auto"/>
              <w:rPr>
                <w:rFonts w:ascii="Calibri" w:eastAsia="Calibri" w:hAnsi="Calibri"/>
                <w:sz w:val="20"/>
                <w:szCs w:val="20"/>
                <w:lang w:eastAsia="en-US"/>
              </w:rPr>
            </w:pPr>
            <w:r w:rsidRPr="00E43137">
              <w:rPr>
                <w:rFonts w:ascii="Calibri" w:eastAsia="Calibri" w:hAnsi="Calibri"/>
                <w:sz w:val="20"/>
                <w:szCs w:val="20"/>
                <w:lang w:eastAsia="en-US"/>
              </w:rPr>
              <w:t>Opatrenie 16: Spolupráca (čl. 35)</w:t>
            </w:r>
          </w:p>
        </w:tc>
      </w:tr>
    </w:tbl>
    <w:p w:rsidR="00E43137" w:rsidRPr="00E43137" w:rsidRDefault="00E43137" w:rsidP="008676F9">
      <w:pPr>
        <w:autoSpaceDE w:val="0"/>
        <w:autoSpaceDN w:val="0"/>
        <w:adjustRightInd w:val="0"/>
        <w:rPr>
          <w:rFonts w:ascii="Calibri" w:eastAsia="Calibri" w:hAnsi="Calibri"/>
          <w:szCs w:val="22"/>
          <w:u w:val="single"/>
          <w:lang w:eastAsia="en-US"/>
        </w:rPr>
      </w:pPr>
    </w:p>
    <w:p w:rsidR="00E43137" w:rsidRPr="00E43137" w:rsidRDefault="00E43137" w:rsidP="008676F9">
      <w:pPr>
        <w:autoSpaceDE w:val="0"/>
        <w:autoSpaceDN w:val="0"/>
        <w:adjustRightInd w:val="0"/>
        <w:rPr>
          <w:rFonts w:ascii="Calibri" w:eastAsia="Calibri" w:hAnsi="Calibri"/>
          <w:szCs w:val="22"/>
          <w:u w:val="single"/>
          <w:lang w:eastAsia="en-US"/>
        </w:rPr>
      </w:pPr>
      <w:r w:rsidRPr="00E43137">
        <w:rPr>
          <w:rFonts w:ascii="Calibri" w:eastAsia="Calibri" w:hAnsi="Calibri"/>
          <w:szCs w:val="22"/>
          <w:u w:val="single"/>
          <w:lang w:eastAsia="en-US"/>
        </w:rPr>
        <w:t xml:space="preserve">Kombinácia a zdôvodnenie vybraných opatrení </w:t>
      </w:r>
    </w:p>
    <w:p w:rsidR="00D8027E" w:rsidRPr="00D82AFA" w:rsidRDefault="00D8027E" w:rsidP="00D8027E">
      <w:pPr>
        <w:autoSpaceDE w:val="0"/>
        <w:autoSpaceDN w:val="0"/>
        <w:adjustRightInd w:val="0"/>
        <w:spacing w:before="120"/>
      </w:pPr>
      <w:r w:rsidRPr="00D82AFA">
        <w:t xml:space="preserve">Na podporu inovácií a vedomostnej základne vo vidieckych oblastiach budú využité opatrenia zamerané na spoluprácu, transfer vedomostí a skúseností, podporu informačných aktivít a poradenstvo. Jednotlivé aktivity budú realizované aj prostredníctvom demonštračných a pilotných projektov, workshopov, kurzov, seminárov a odborných  exkurzií. </w:t>
      </w:r>
    </w:p>
    <w:p w:rsidR="00D8027E" w:rsidRPr="00D82AFA" w:rsidRDefault="00D8027E" w:rsidP="00D8027E">
      <w:pPr>
        <w:autoSpaceDE w:val="0"/>
        <w:autoSpaceDN w:val="0"/>
        <w:adjustRightInd w:val="0"/>
        <w:spacing w:before="120"/>
      </w:pPr>
      <w:r w:rsidRPr="00D82AFA">
        <w:t xml:space="preserve">V rámci tejto horizontálnej priority je nevyhnutné zlepšenie spolupráce beneficientov a všetkých cieľových skupín programu s cieľom zvýšenia pridanej hodnoty produktov, zvýšenia konkurencieschopnosti podnikov a ich zoskupení, a s cieľom podpory domáceho trhu prostredníctvom inovácií, prenosu poznatkov, nových distribučných kanálov a krátkych reťazcov. Vzájomná spolupráca má za cieľ podnecovať vznik nových produktov, technológií, postupov a služieb vo vidieckych oblastiach. </w:t>
      </w:r>
    </w:p>
    <w:p w:rsidR="00D8027E" w:rsidRPr="00D82AFA" w:rsidRDefault="00D8027E" w:rsidP="00D8027E">
      <w:pPr>
        <w:autoSpaceDE w:val="0"/>
        <w:autoSpaceDN w:val="0"/>
        <w:adjustRightInd w:val="0"/>
        <w:spacing w:before="120"/>
      </w:pPr>
      <w:r w:rsidRPr="00D82AFA">
        <w:t xml:space="preserve">Dôležitá je horizontálna aj vertikálna spolupráca sektorových aj prierezových aktérov vrátane prepojenia a integrácie prvovýroby so spracovaním a odbytom poľnohospodárskych a lesných produktov, zohľadňujúc ochranu životného prostredia ako aj ochranu klímy. </w:t>
      </w:r>
    </w:p>
    <w:p w:rsidR="00D8027E" w:rsidRPr="00D82AFA" w:rsidRDefault="00D8027E" w:rsidP="00D8027E">
      <w:pPr>
        <w:spacing w:before="120"/>
        <w:rPr>
          <w:b/>
          <w:bCs/>
        </w:rPr>
      </w:pPr>
      <w:r w:rsidRPr="00D82AFA">
        <w:t>Opatrenia zabezpečia posilnenie inovačnej kapacity a spolupráce aktérov v rámci „znalostného trojuholníka“:  vzdelávanie – výskum - poradenstvo s podnikateľskou praxou.</w:t>
      </w:r>
      <w:r w:rsidRPr="00D82AFA">
        <w:rPr>
          <w:b/>
          <w:bCs/>
        </w:rPr>
        <w:t xml:space="preserve"> </w:t>
      </w:r>
    </w:p>
    <w:p w:rsidR="00D8027E" w:rsidRPr="00D82AFA" w:rsidRDefault="00D8027E" w:rsidP="00D8027E">
      <w:pPr>
        <w:spacing w:before="120"/>
      </w:pPr>
      <w:r w:rsidRPr="00D82AFA">
        <w:rPr>
          <w:bCs/>
        </w:rPr>
        <w:t xml:space="preserve">Uvedené opatrenia majú za cieľ odhaliť inovačný potenciál a inovačný dopyt malých a stredných podnikov (poradenstvo), prepojiť takéto podniky s tvorcami a poskytovateľmi vedecko-výskumného know-how (spolupráca). Prostredníctvom spolupráce a prenosu poznatkov budú mať inovatívne podniky prístup k informáciám o ochrane duševného vlastníctva a o možnostiach financovania projektov prostredníctvom inovatívnych finančných nástrojov na regionálnej, národnej ale aj európskej úrovni. </w:t>
      </w:r>
    </w:p>
    <w:p w:rsidR="00D8027E" w:rsidRPr="00D82AFA" w:rsidRDefault="00D8027E" w:rsidP="00D8027E">
      <w:pPr>
        <w:autoSpaceDE w:val="0"/>
        <w:autoSpaceDN w:val="0"/>
        <w:adjustRightInd w:val="0"/>
        <w:spacing w:before="120"/>
      </w:pPr>
      <w:r w:rsidRPr="00D82AFA">
        <w:t xml:space="preserve">Cielené nasadenie inovačných opatrení a opatrení transferu vedomostí podporí dosiahnutie cieľov priorít 2 až 6. </w:t>
      </w:r>
    </w:p>
    <w:p w:rsidR="007B5045" w:rsidRDefault="007B5045" w:rsidP="008676F9">
      <w:pPr>
        <w:autoSpaceDE w:val="0"/>
        <w:autoSpaceDN w:val="0"/>
        <w:adjustRightInd w:val="0"/>
        <w:ind w:left="709" w:hanging="709"/>
        <w:rPr>
          <w:rFonts w:ascii="Calibri" w:eastAsia="Calibri" w:hAnsi="Calibri"/>
          <w:b/>
          <w:szCs w:val="22"/>
          <w:lang w:eastAsia="en-US"/>
        </w:rPr>
      </w:pPr>
    </w:p>
    <w:p w:rsidR="00E43137" w:rsidRPr="00AA30CA" w:rsidRDefault="00E43137" w:rsidP="00744ED8">
      <w:pPr>
        <w:ind w:left="2552" w:hanging="2552"/>
        <w:rPr>
          <w:rFonts w:eastAsia="Calibri"/>
          <w:b/>
        </w:rPr>
      </w:pPr>
      <w:r w:rsidRPr="00AA30CA">
        <w:rPr>
          <w:rFonts w:eastAsia="Calibri"/>
          <w:b/>
        </w:rPr>
        <w:t>5.2.1.2 Fokusová oblasť 1B: Posilnenie prepojenia poľnohospodárstva, výroby potravín a lesného hospodárstva s výskumom a inováciou, a to aj na účely zlepšenia environmentálneho riadenia a výkonu</w:t>
      </w:r>
    </w:p>
    <w:p w:rsidR="00E43137" w:rsidRPr="00E43137" w:rsidRDefault="00E43137" w:rsidP="008676F9">
      <w:pPr>
        <w:autoSpaceDE w:val="0"/>
        <w:autoSpaceDN w:val="0"/>
        <w:adjustRightInd w:val="0"/>
        <w:rPr>
          <w:rFonts w:ascii="Calibri" w:eastAsia="Calibri" w:hAnsi="Calibri"/>
          <w:szCs w:val="22"/>
          <w:u w:val="single"/>
          <w:lang w:eastAsia="en-US"/>
        </w:rPr>
      </w:pPr>
      <w:r w:rsidRPr="00E43137">
        <w:rPr>
          <w:rFonts w:ascii="Calibri" w:eastAsia="Calibri" w:hAnsi="Calibri"/>
          <w:szCs w:val="22"/>
          <w:u w:val="single"/>
          <w:lang w:eastAsia="en-US"/>
        </w:rPr>
        <w:t>Vybrané opatrenia</w:t>
      </w:r>
    </w:p>
    <w:tbl>
      <w:tblPr>
        <w:tblpPr w:leftFromText="141" w:rightFromText="141" w:vertAnchor="text" w:horzAnchor="margin" w:tblpX="108" w:tblpY="80"/>
        <w:tblW w:w="90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39"/>
      </w:tblGrid>
      <w:tr w:rsidR="00E43137" w:rsidRPr="00E43137" w:rsidTr="00E43137">
        <w:tc>
          <w:tcPr>
            <w:tcW w:w="9039" w:type="dxa"/>
            <w:shd w:val="clear" w:color="auto" w:fill="auto"/>
            <w:vAlign w:val="center"/>
          </w:tcPr>
          <w:p w:rsidR="00E43137" w:rsidRPr="00E43137" w:rsidRDefault="00E43137" w:rsidP="008676F9">
            <w:pPr>
              <w:spacing w:after="60" w:line="276" w:lineRule="auto"/>
              <w:rPr>
                <w:rFonts w:ascii="Calibri" w:eastAsia="Calibri" w:hAnsi="Calibri"/>
                <w:sz w:val="20"/>
                <w:szCs w:val="20"/>
                <w:lang w:eastAsia="en-US"/>
              </w:rPr>
            </w:pPr>
            <w:r w:rsidRPr="00E43137">
              <w:rPr>
                <w:rFonts w:ascii="Calibri" w:eastAsia="Calibri" w:hAnsi="Calibri"/>
                <w:sz w:val="20"/>
                <w:szCs w:val="20"/>
                <w:lang w:eastAsia="en-US"/>
              </w:rPr>
              <w:t>Opatrenie 16: Spolupráca (čl. 35)</w:t>
            </w:r>
          </w:p>
        </w:tc>
      </w:tr>
    </w:tbl>
    <w:p w:rsidR="00E43137" w:rsidRPr="00E43137" w:rsidRDefault="00E43137" w:rsidP="008676F9">
      <w:pPr>
        <w:autoSpaceDE w:val="0"/>
        <w:autoSpaceDN w:val="0"/>
        <w:adjustRightInd w:val="0"/>
        <w:rPr>
          <w:rFonts w:ascii="Calibri" w:eastAsia="Calibri" w:hAnsi="Calibri"/>
          <w:szCs w:val="22"/>
          <w:u w:val="single"/>
          <w:lang w:eastAsia="en-US"/>
        </w:rPr>
      </w:pPr>
    </w:p>
    <w:p w:rsidR="00E43137" w:rsidRPr="00E43137" w:rsidRDefault="00E43137" w:rsidP="008676F9">
      <w:pPr>
        <w:autoSpaceDE w:val="0"/>
        <w:autoSpaceDN w:val="0"/>
        <w:adjustRightInd w:val="0"/>
        <w:rPr>
          <w:rFonts w:ascii="Calibri" w:eastAsia="Calibri" w:hAnsi="Calibri"/>
          <w:szCs w:val="22"/>
          <w:u w:val="single"/>
          <w:lang w:eastAsia="en-US"/>
        </w:rPr>
      </w:pPr>
      <w:r w:rsidRPr="00E43137">
        <w:rPr>
          <w:rFonts w:ascii="Calibri" w:eastAsia="Calibri" w:hAnsi="Calibri"/>
          <w:szCs w:val="22"/>
          <w:u w:val="single"/>
          <w:lang w:eastAsia="en-US"/>
        </w:rPr>
        <w:t xml:space="preserve">Kombinácia a zdôvodnenie vybraných opatrení </w:t>
      </w:r>
    </w:p>
    <w:p w:rsidR="007F7CA6" w:rsidRPr="00D82AFA" w:rsidRDefault="007F7CA6" w:rsidP="007F7CA6">
      <w:pPr>
        <w:autoSpaceDE w:val="0"/>
        <w:autoSpaceDN w:val="0"/>
        <w:adjustRightInd w:val="0"/>
        <w:spacing w:before="120"/>
      </w:pPr>
      <w:r w:rsidRPr="00D82AFA">
        <w:t xml:space="preserve">Na posilnenie </w:t>
      </w:r>
      <w:r>
        <w:t xml:space="preserve">spolupráce medzi poľnohospodármi, </w:t>
      </w:r>
      <w:r w:rsidRPr="00D82AFA">
        <w:t>prepojenia poľnohospodárstva, potravinárstva a lesného hospodárs</w:t>
      </w:r>
      <w:r>
        <w:t>tva s výskumom a inováciami bude</w:t>
      </w:r>
      <w:r w:rsidRPr="00D82AFA">
        <w:t xml:space="preserve"> </w:t>
      </w:r>
      <w:r>
        <w:t xml:space="preserve">prioritne </w:t>
      </w:r>
      <w:r w:rsidRPr="00D82AFA">
        <w:t>využité opatrenia spolupráca</w:t>
      </w:r>
      <w:r>
        <w:t xml:space="preserve">, sekundárne </w:t>
      </w:r>
      <w:r w:rsidRPr="00D82AFA">
        <w:t xml:space="preserve"> prenos poznatkov do praxe a poradenstvo.</w:t>
      </w:r>
    </w:p>
    <w:p w:rsidR="007F7CA6" w:rsidRDefault="007F7CA6" w:rsidP="007F7CA6">
      <w:pPr>
        <w:autoSpaceDE w:val="0"/>
        <w:autoSpaceDN w:val="0"/>
        <w:adjustRightInd w:val="0"/>
        <w:spacing w:before="120"/>
      </w:pPr>
      <w:r>
        <w:t xml:space="preserve">V rámci opatrenia 16 Spolupráca (čl.35) bude podporená spolupráca medzi poľnohospodárskymi podnikmi ako aj medzi poľnohospodármi a spracovateľmi. Podporená spolupráca bude smerovať hlavne k lepšej finalizácii produkcii, vytváraniu krátkych odbytových reťazcov, rozvoju miestnych trhov, ochrany životného prostredia ako aj zlepšeniu starostlivosti o les. </w:t>
      </w:r>
    </w:p>
    <w:p w:rsidR="007F7CA6" w:rsidRPr="00D82AFA" w:rsidRDefault="007F7CA6" w:rsidP="007F7CA6">
      <w:pPr>
        <w:autoSpaceDE w:val="0"/>
        <w:autoSpaceDN w:val="0"/>
        <w:adjustRightInd w:val="0"/>
        <w:spacing w:before="120"/>
      </w:pPr>
      <w:r w:rsidRPr="00D82AFA">
        <w:t xml:space="preserve">V rámci podpory inovácií sa bude klásť dôraz na projekty spolupráce so zapojením univerzít a vedecko-výskumných inštitúcií zameraných na 3 prioritné oblasti: i) zvyšovanie konkurencieschopnosti pôdohospodárstva, ii) manažment udržateľného a efektívneho využívania prírodných zdrojov a klimatických zmien, a iii) rovnovážny územný rozvoj vidieckych oblastí. </w:t>
      </w:r>
    </w:p>
    <w:p w:rsidR="007F7CA6" w:rsidRPr="00D82AFA" w:rsidRDefault="007F7CA6" w:rsidP="007F7CA6">
      <w:pPr>
        <w:autoSpaceDE w:val="0"/>
        <w:autoSpaceDN w:val="0"/>
        <w:adjustRightInd w:val="0"/>
        <w:spacing w:before="120"/>
      </w:pPr>
      <w:r w:rsidRPr="00D82AFA">
        <w:t xml:space="preserve">Program vytvorí podmienky na podporu tvorby spoločných vedeckých a rozvojových klastrov a zakladanie operačných skupín v rámci Európskeho inovačného partnerstva (EIP) vrátane podpory investičných aktivít. </w:t>
      </w:r>
    </w:p>
    <w:p w:rsidR="007F7CA6" w:rsidRPr="00D82AFA" w:rsidRDefault="007F7CA6" w:rsidP="007F7CA6">
      <w:pPr>
        <w:autoSpaceDE w:val="0"/>
        <w:autoSpaceDN w:val="0"/>
        <w:adjustRightInd w:val="0"/>
        <w:spacing w:before="120"/>
      </w:pPr>
      <w:r w:rsidRPr="00D82AFA">
        <w:t xml:space="preserve">Takto vytvorené klastre budú mať lepšiu možnosť zapojiť sa do Európskeho výskumného priestoru, vznikajúcich medzinárodných partnerstiev v rámci Stratégie EÚ pre dunajský región, ako aj vedeckej iniciatívy Spoločného výskumného centra EK (JRC) pre tvorbu európskych politík v oblasti pôda, voda, vzduch a bioenergie. </w:t>
      </w:r>
    </w:p>
    <w:p w:rsidR="007F7CA6" w:rsidRPr="00D82AFA" w:rsidRDefault="007F7CA6" w:rsidP="007F7CA6">
      <w:pPr>
        <w:spacing w:before="120"/>
        <w:rPr>
          <w:bCs/>
        </w:rPr>
      </w:pPr>
      <w:r w:rsidRPr="00D82AFA">
        <w:rPr>
          <w:bCs/>
        </w:rPr>
        <w:t>Vzájomná spolupráca prinesie nové informácie, vedomosti a znalosti v oblasti podpory budovania inkubátorov, start-up a spin-off firiem.</w:t>
      </w:r>
    </w:p>
    <w:p w:rsidR="007F7CA6" w:rsidRPr="00D82AFA" w:rsidRDefault="007F7CA6" w:rsidP="007F7CA6">
      <w:pPr>
        <w:spacing w:before="120"/>
      </w:pPr>
      <w:r w:rsidRPr="00D82AFA">
        <w:t xml:space="preserve">Cieleným použitím inovačných opatrení a opatrení na podporu transferu vedomostí sa má podporiť dosiahnutie cieľa priorít 2 až 6. </w:t>
      </w:r>
    </w:p>
    <w:p w:rsidR="00E43137" w:rsidRDefault="00E43137" w:rsidP="008676F9">
      <w:pPr>
        <w:autoSpaceDE w:val="0"/>
        <w:autoSpaceDN w:val="0"/>
        <w:adjustRightInd w:val="0"/>
        <w:rPr>
          <w:rFonts w:ascii="Calibri" w:eastAsia="Calibri" w:hAnsi="Calibri"/>
          <w:szCs w:val="22"/>
          <w:lang w:eastAsia="en-US"/>
        </w:rPr>
      </w:pPr>
    </w:p>
    <w:p w:rsidR="00AD124D" w:rsidRPr="00E43137" w:rsidRDefault="00AD124D" w:rsidP="008676F9">
      <w:pPr>
        <w:autoSpaceDE w:val="0"/>
        <w:autoSpaceDN w:val="0"/>
        <w:adjustRightInd w:val="0"/>
        <w:rPr>
          <w:rFonts w:ascii="Calibri" w:eastAsia="Calibri" w:hAnsi="Calibri"/>
          <w:szCs w:val="22"/>
          <w:lang w:eastAsia="en-US"/>
        </w:rPr>
      </w:pPr>
    </w:p>
    <w:p w:rsidR="00E43137" w:rsidRPr="00AA30CA" w:rsidRDefault="00E43137" w:rsidP="00744ED8">
      <w:pPr>
        <w:ind w:left="2835" w:hanging="2835"/>
        <w:rPr>
          <w:rFonts w:eastAsia="Calibri"/>
          <w:b/>
        </w:rPr>
      </w:pPr>
      <w:r w:rsidRPr="00AA30CA">
        <w:rPr>
          <w:rFonts w:eastAsia="Calibri"/>
          <w:b/>
        </w:rPr>
        <w:t>5.2.1.3 Fokusová oblasť 1C: Podpora celoživotného vzdelávania a odborného vzdelávania v odvetviach poľnohospodárstva a lesného hospodárstva</w:t>
      </w:r>
    </w:p>
    <w:p w:rsidR="00E43137" w:rsidRPr="00E43137" w:rsidRDefault="00E43137" w:rsidP="008676F9">
      <w:pPr>
        <w:autoSpaceDE w:val="0"/>
        <w:autoSpaceDN w:val="0"/>
        <w:adjustRightInd w:val="0"/>
        <w:rPr>
          <w:rFonts w:ascii="Calibri" w:eastAsia="Calibri" w:hAnsi="Calibri"/>
          <w:szCs w:val="22"/>
          <w:u w:val="single"/>
          <w:lang w:eastAsia="en-US"/>
        </w:rPr>
      </w:pPr>
      <w:r w:rsidRPr="00E43137">
        <w:rPr>
          <w:rFonts w:ascii="Calibri" w:eastAsia="Calibri" w:hAnsi="Calibri"/>
          <w:szCs w:val="22"/>
          <w:u w:val="single"/>
          <w:lang w:eastAsia="en-US"/>
        </w:rPr>
        <w:t>Vybrané opatrenia</w:t>
      </w:r>
    </w:p>
    <w:tbl>
      <w:tblPr>
        <w:tblpPr w:leftFromText="141" w:rightFromText="141" w:vertAnchor="text" w:horzAnchor="margin" w:tblpX="108" w:tblpY="80"/>
        <w:tblW w:w="90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39"/>
      </w:tblGrid>
      <w:tr w:rsidR="00E43137" w:rsidRPr="00E43137" w:rsidTr="00E43137">
        <w:tc>
          <w:tcPr>
            <w:tcW w:w="9039" w:type="dxa"/>
            <w:shd w:val="clear" w:color="auto" w:fill="auto"/>
            <w:vAlign w:val="center"/>
          </w:tcPr>
          <w:p w:rsidR="00E43137" w:rsidRPr="00E43137" w:rsidRDefault="00E43137" w:rsidP="008676F9">
            <w:pPr>
              <w:spacing w:after="60" w:line="276" w:lineRule="auto"/>
              <w:rPr>
                <w:rFonts w:ascii="Calibri" w:eastAsia="Calibri" w:hAnsi="Calibri"/>
                <w:bCs/>
                <w:sz w:val="20"/>
                <w:szCs w:val="20"/>
                <w:lang w:eastAsia="en-US"/>
              </w:rPr>
            </w:pPr>
            <w:r w:rsidRPr="00E43137">
              <w:rPr>
                <w:rFonts w:ascii="Calibri" w:eastAsia="Calibri" w:hAnsi="Calibri"/>
                <w:sz w:val="20"/>
                <w:szCs w:val="20"/>
                <w:lang w:eastAsia="en-US"/>
              </w:rPr>
              <w:t xml:space="preserve">Opatrenie </w:t>
            </w:r>
            <w:r w:rsidRPr="00E43137">
              <w:rPr>
                <w:rFonts w:ascii="Calibri" w:hAnsi="Calibri"/>
                <w:sz w:val="20"/>
                <w:szCs w:val="20"/>
                <w:lang w:eastAsia="en-US"/>
              </w:rPr>
              <w:t xml:space="preserve"> </w:t>
            </w:r>
            <w:r w:rsidRPr="00E43137">
              <w:rPr>
                <w:rFonts w:ascii="Calibri" w:eastAsia="Calibri" w:hAnsi="Calibri"/>
                <w:bCs/>
                <w:sz w:val="20"/>
                <w:szCs w:val="20"/>
                <w:lang w:eastAsia="en-US"/>
              </w:rPr>
              <w:t>1: Prenos vedomostí a zručností (čl.14)</w:t>
            </w:r>
          </w:p>
        </w:tc>
      </w:tr>
    </w:tbl>
    <w:p w:rsidR="00E43137" w:rsidRPr="00E43137" w:rsidRDefault="00E43137" w:rsidP="008676F9">
      <w:pPr>
        <w:autoSpaceDE w:val="0"/>
        <w:autoSpaceDN w:val="0"/>
        <w:adjustRightInd w:val="0"/>
        <w:rPr>
          <w:rFonts w:ascii="Calibri" w:eastAsia="Calibri" w:hAnsi="Calibri"/>
          <w:szCs w:val="22"/>
          <w:u w:val="single"/>
          <w:lang w:eastAsia="en-US"/>
        </w:rPr>
      </w:pPr>
    </w:p>
    <w:p w:rsidR="00E43137" w:rsidRPr="00E43137" w:rsidRDefault="00E43137" w:rsidP="008676F9">
      <w:pPr>
        <w:autoSpaceDE w:val="0"/>
        <w:autoSpaceDN w:val="0"/>
        <w:adjustRightInd w:val="0"/>
        <w:rPr>
          <w:rFonts w:ascii="Calibri" w:eastAsia="Calibri" w:hAnsi="Calibri"/>
          <w:szCs w:val="22"/>
          <w:lang w:eastAsia="en-US"/>
        </w:rPr>
      </w:pPr>
      <w:r w:rsidRPr="00E43137">
        <w:rPr>
          <w:rFonts w:ascii="Calibri" w:eastAsia="Calibri" w:hAnsi="Calibri"/>
          <w:szCs w:val="22"/>
          <w:u w:val="single"/>
          <w:lang w:eastAsia="en-US"/>
        </w:rPr>
        <w:t>Kombinácia a zdôvodnenie vybraných opatrení</w:t>
      </w:r>
      <w:r w:rsidRPr="00E43137">
        <w:rPr>
          <w:rFonts w:ascii="Calibri" w:eastAsia="Calibri" w:hAnsi="Calibri"/>
          <w:szCs w:val="22"/>
          <w:lang w:eastAsia="en-US"/>
        </w:rPr>
        <w:t xml:space="preserve"> </w:t>
      </w:r>
    </w:p>
    <w:p w:rsidR="007F7CA6" w:rsidRPr="00D82AFA" w:rsidRDefault="007F7CA6" w:rsidP="007F7CA6">
      <w:pPr>
        <w:autoSpaceDE w:val="0"/>
        <w:autoSpaceDN w:val="0"/>
        <w:adjustRightInd w:val="0"/>
        <w:spacing w:before="120"/>
      </w:pPr>
      <w:r>
        <w:t>Fokusová oblasť</w:t>
      </w:r>
      <w:r w:rsidRPr="00D82AFA">
        <w:t xml:space="preserve">  1C je nasmerovaná na podporu prenosu vedomostí prostredníctvom vzdelávania a má prispieť  k dosiahnutiu cieľov priorít 2 až 6. </w:t>
      </w:r>
    </w:p>
    <w:p w:rsidR="007F7CA6" w:rsidRPr="00D82AFA" w:rsidRDefault="007F7CA6" w:rsidP="007F7CA6">
      <w:pPr>
        <w:autoSpaceDE w:val="0"/>
        <w:autoSpaceDN w:val="0"/>
        <w:adjustRightInd w:val="0"/>
        <w:spacing w:before="120"/>
      </w:pPr>
      <w:r w:rsidRPr="00D82AFA">
        <w:t xml:space="preserve">Oblasť vzdelávania zahŕňa odborné, celoživotné a ďalšie tzv. neformálne vzdelávanie prostredníctvom informatívnych podujatí, výmeny skúseností, demonštratívnych projektov, kurzov, seminárov a odborných exkurzií. </w:t>
      </w:r>
    </w:p>
    <w:p w:rsidR="007F7CA6" w:rsidRPr="00D82AFA" w:rsidRDefault="007F7CA6" w:rsidP="007F7CA6">
      <w:pPr>
        <w:autoSpaceDE w:val="0"/>
        <w:autoSpaceDN w:val="0"/>
        <w:adjustRightInd w:val="0"/>
        <w:spacing w:before="120"/>
      </w:pPr>
      <w:r w:rsidRPr="00D82AFA">
        <w:t xml:space="preserve">Vzdelávanie musí smerovať k prioritným oblastiam Spoločnej poľnohospodárskej politiky najmä však: k zvyšovaniu konkurencieschopnosti podniku, efektívnejšiemu riadeniu podniku, k podpore zavádzania inovácií na úrovni podniku, k lepšiemu využitiu prírodných zdrojov, ochrane životného prostredia, životných podmienok zvierat a zlepšeniu kvality života.  </w:t>
      </w:r>
    </w:p>
    <w:p w:rsidR="007F7CA6" w:rsidRPr="00D82AFA" w:rsidRDefault="007F7CA6" w:rsidP="007F7CA6">
      <w:pPr>
        <w:autoSpaceDE w:val="0"/>
        <w:autoSpaceDN w:val="0"/>
        <w:adjustRightInd w:val="0"/>
        <w:spacing w:before="120"/>
      </w:pPr>
      <w:r w:rsidRPr="00D82AFA">
        <w:t>Neformálne vzdelávanie bude zamerané na potrebu produkcie s vyššou pridanou hodnotou a vyššou kvalitou, ktoré posilnia konkurencieschopnosť poľnohospodárstva, spracovania potravín a lesníctva a zároveň podporia domáci trh prostredníctvom nových distribučných kanálov, krátkych reťazcov, regionálnych tržníc a pod. (vo väzbe na priority 2 a 3).</w:t>
      </w:r>
    </w:p>
    <w:p w:rsidR="00AD124D" w:rsidRDefault="00AD124D" w:rsidP="008676F9">
      <w:pPr>
        <w:autoSpaceDE w:val="0"/>
        <w:autoSpaceDN w:val="0"/>
        <w:adjustRightInd w:val="0"/>
        <w:rPr>
          <w:rFonts w:ascii="Calibri" w:hAnsi="Calibri"/>
          <w:szCs w:val="22"/>
          <w:lang w:eastAsia="en-US"/>
        </w:rPr>
      </w:pPr>
      <w:r>
        <w:rPr>
          <w:rFonts w:ascii="Calibri" w:hAnsi="Calibri"/>
          <w:szCs w:val="22"/>
          <w:lang w:eastAsia="en-US"/>
        </w:rPr>
        <w:br w:type="page"/>
      </w:r>
    </w:p>
    <w:p w:rsidR="00E43137" w:rsidRPr="00E43137" w:rsidRDefault="00AD124D" w:rsidP="00C32FE9">
      <w:pPr>
        <w:pStyle w:val="Podpod"/>
        <w:spacing w:after="120"/>
        <w:ind w:left="1560" w:hanging="1560"/>
        <w:jc w:val="left"/>
      </w:pPr>
      <w:bookmarkStart w:id="46" w:name="_Toc384111020"/>
      <w:bookmarkStart w:id="47" w:name="_Toc387041298"/>
      <w:r>
        <w:t xml:space="preserve">5.2.2. </w:t>
      </w:r>
      <w:r w:rsidR="00E43137" w:rsidRPr="00E43137">
        <w:t>Priorita 2: Posilnenie životaschopnosti poľnohospodárskych podnikov a konkurencieschopnosti všetkých druhov poľnohospodárstva vo všetkých regiónoch a presadzovanie inovačných poľnohospodárskych technológií a udržateľného obhospodarovania lesov.</w:t>
      </w:r>
      <w:bookmarkEnd w:id="46"/>
      <w:bookmarkEnd w:id="47"/>
      <w:r w:rsidR="00E43137" w:rsidRPr="00E43137">
        <w:t xml:space="preserve"> </w:t>
      </w:r>
    </w:p>
    <w:p w:rsidR="00E43137" w:rsidRPr="00AA30CA" w:rsidRDefault="00AD124D" w:rsidP="00C32FE9">
      <w:pPr>
        <w:ind w:left="2552" w:hanging="2552"/>
        <w:jc w:val="left"/>
        <w:rPr>
          <w:rFonts w:eastAsia="Calibri"/>
          <w:b/>
        </w:rPr>
      </w:pPr>
      <w:r w:rsidRPr="00AA30CA">
        <w:rPr>
          <w:rFonts w:eastAsia="Calibri"/>
          <w:b/>
        </w:rPr>
        <w:t xml:space="preserve">5.2.2.1 </w:t>
      </w:r>
      <w:r w:rsidR="00E43137" w:rsidRPr="00AA30CA">
        <w:rPr>
          <w:rFonts w:eastAsia="Calibri"/>
          <w:b/>
        </w:rPr>
        <w:t>Fokusová oblasť 2A: Zlepšenie hospodárskeho výkonu všetkých poľnohospodárskych podnikov a uľahčenie reštrukturalizácie a modernizácie poľnohospodárskych podnikov, najmä na účely zvýšenia ich účasti na trhu, zamerania na trh a poľnohospodárskej diverzifikácie</w:t>
      </w:r>
    </w:p>
    <w:p w:rsidR="007B5045" w:rsidRDefault="007B5045" w:rsidP="008676F9">
      <w:pPr>
        <w:autoSpaceDE w:val="0"/>
        <w:autoSpaceDN w:val="0"/>
        <w:adjustRightInd w:val="0"/>
        <w:rPr>
          <w:rFonts w:ascii="Calibri" w:eastAsia="Calibri" w:hAnsi="Calibri"/>
          <w:szCs w:val="22"/>
          <w:u w:val="single"/>
          <w:lang w:eastAsia="en-US"/>
        </w:rPr>
      </w:pPr>
    </w:p>
    <w:p w:rsidR="00E43137" w:rsidRPr="00E43137" w:rsidRDefault="00E43137" w:rsidP="008676F9">
      <w:pPr>
        <w:autoSpaceDE w:val="0"/>
        <w:autoSpaceDN w:val="0"/>
        <w:adjustRightInd w:val="0"/>
        <w:rPr>
          <w:rFonts w:ascii="Calibri" w:eastAsia="Calibri" w:hAnsi="Calibri"/>
          <w:szCs w:val="22"/>
          <w:u w:val="single"/>
          <w:lang w:eastAsia="en-US"/>
        </w:rPr>
      </w:pPr>
      <w:r w:rsidRPr="00E43137">
        <w:rPr>
          <w:rFonts w:ascii="Calibri" w:eastAsia="Calibri" w:hAnsi="Calibri"/>
          <w:szCs w:val="22"/>
          <w:u w:val="single"/>
          <w:lang w:eastAsia="en-US"/>
        </w:rPr>
        <w:t>Vybrané opatrenia</w:t>
      </w:r>
    </w:p>
    <w:tbl>
      <w:tblPr>
        <w:tblpPr w:leftFromText="141" w:rightFromText="141" w:vertAnchor="text" w:horzAnchor="margin" w:tblpX="108" w:tblpY="80"/>
        <w:tblW w:w="90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39"/>
      </w:tblGrid>
      <w:tr w:rsidR="007F7CA6" w:rsidRPr="00D82AFA" w:rsidTr="007F7CA6">
        <w:tc>
          <w:tcPr>
            <w:tcW w:w="9039" w:type="dxa"/>
            <w:shd w:val="clear" w:color="auto" w:fill="auto"/>
            <w:vAlign w:val="center"/>
          </w:tcPr>
          <w:p w:rsidR="007F7CA6" w:rsidRPr="00D82AFA" w:rsidRDefault="007F7CA6" w:rsidP="007F7CA6">
            <w:pPr>
              <w:spacing w:before="60" w:after="60"/>
              <w:rPr>
                <w:bCs/>
                <w:noProof/>
                <w:sz w:val="20"/>
                <w:szCs w:val="20"/>
              </w:rPr>
            </w:pPr>
            <w:r w:rsidRPr="00D82AFA">
              <w:rPr>
                <w:sz w:val="20"/>
                <w:szCs w:val="20"/>
              </w:rPr>
              <w:t>Opatren</w:t>
            </w:r>
            <w:r>
              <w:rPr>
                <w:sz w:val="20"/>
                <w:szCs w:val="20"/>
              </w:rPr>
              <w:t>ie  4</w:t>
            </w:r>
            <w:r w:rsidRPr="00D82AFA">
              <w:rPr>
                <w:bCs/>
                <w:noProof/>
                <w:sz w:val="20"/>
                <w:szCs w:val="20"/>
              </w:rPr>
              <w:t>: Investície do hmotného majetku</w:t>
            </w:r>
            <w:r>
              <w:rPr>
                <w:bCs/>
                <w:noProof/>
                <w:sz w:val="20"/>
                <w:szCs w:val="20"/>
              </w:rPr>
              <w:t xml:space="preserve"> (čl.17</w:t>
            </w:r>
            <w:r w:rsidRPr="00D82AFA">
              <w:rPr>
                <w:bCs/>
                <w:noProof/>
                <w:sz w:val="20"/>
                <w:szCs w:val="20"/>
              </w:rPr>
              <w:t>):</w:t>
            </w:r>
          </w:p>
          <w:p w:rsidR="007F7CA6" w:rsidRPr="00D82AFA" w:rsidRDefault="007F7CA6" w:rsidP="007F7CA6">
            <w:pPr>
              <w:spacing w:before="60" w:after="60"/>
              <w:ind w:left="1560" w:hanging="1560"/>
              <w:rPr>
                <w:i/>
                <w:sz w:val="20"/>
                <w:szCs w:val="20"/>
              </w:rPr>
            </w:pPr>
            <w:r w:rsidRPr="00D82AFA">
              <w:rPr>
                <w:i/>
                <w:sz w:val="20"/>
                <w:szCs w:val="20"/>
              </w:rPr>
              <w:t>Podopatrenie</w:t>
            </w:r>
            <w:r>
              <w:rPr>
                <w:i/>
                <w:sz w:val="20"/>
                <w:szCs w:val="20"/>
              </w:rPr>
              <w:t xml:space="preserve"> 4</w:t>
            </w:r>
            <w:r w:rsidRPr="00D82AFA">
              <w:rPr>
                <w:i/>
                <w:sz w:val="20"/>
                <w:szCs w:val="20"/>
              </w:rPr>
              <w:t>.1 Investície do hmotného majetku, ktoré zlepšujú celkovú výkonnosť p</w:t>
            </w:r>
            <w:r>
              <w:rPr>
                <w:i/>
                <w:sz w:val="20"/>
                <w:szCs w:val="20"/>
              </w:rPr>
              <w:t>oľnohospodárskeho podniku (čl.17</w:t>
            </w:r>
            <w:r w:rsidRPr="00D82AFA">
              <w:rPr>
                <w:i/>
                <w:sz w:val="20"/>
                <w:szCs w:val="20"/>
              </w:rPr>
              <w:t>a)</w:t>
            </w:r>
          </w:p>
          <w:p w:rsidR="007F7CA6" w:rsidRPr="00D82AFA" w:rsidRDefault="007F7CA6" w:rsidP="007F7CA6">
            <w:pPr>
              <w:spacing w:before="60" w:after="60"/>
              <w:rPr>
                <w:bCs/>
                <w:sz w:val="20"/>
                <w:szCs w:val="20"/>
              </w:rPr>
            </w:pPr>
            <w:r w:rsidRPr="00D82AFA">
              <w:rPr>
                <w:bCs/>
                <w:i/>
                <w:sz w:val="20"/>
                <w:szCs w:val="20"/>
              </w:rPr>
              <w:t xml:space="preserve">Podopatrenie </w:t>
            </w:r>
            <w:r w:rsidR="00C32FE9">
              <w:rPr>
                <w:bCs/>
                <w:i/>
                <w:sz w:val="20"/>
                <w:szCs w:val="20"/>
              </w:rPr>
              <w:t>4.3: Pozemkové úpravy</w:t>
            </w:r>
            <w:r>
              <w:rPr>
                <w:bCs/>
                <w:i/>
                <w:sz w:val="20"/>
                <w:szCs w:val="20"/>
              </w:rPr>
              <w:t xml:space="preserve"> (čl. 17</w:t>
            </w:r>
            <w:r w:rsidRPr="00D82AFA">
              <w:rPr>
                <w:bCs/>
                <w:i/>
                <w:sz w:val="20"/>
                <w:szCs w:val="20"/>
              </w:rPr>
              <w:t xml:space="preserve">c) – projekty pozemkových úprav                                                                      </w:t>
            </w:r>
          </w:p>
        </w:tc>
      </w:tr>
      <w:tr w:rsidR="007F7CA6" w:rsidRPr="00D82AFA" w:rsidTr="007F7CA6">
        <w:tc>
          <w:tcPr>
            <w:tcW w:w="9039" w:type="dxa"/>
            <w:shd w:val="clear" w:color="auto" w:fill="auto"/>
            <w:vAlign w:val="center"/>
          </w:tcPr>
          <w:p w:rsidR="007F7CA6" w:rsidRPr="00D82AFA" w:rsidRDefault="007F7CA6" w:rsidP="007F7CA6">
            <w:pPr>
              <w:spacing w:before="60" w:after="60"/>
              <w:rPr>
                <w:sz w:val="20"/>
                <w:szCs w:val="20"/>
              </w:rPr>
            </w:pPr>
            <w:r>
              <w:rPr>
                <w:bCs/>
                <w:sz w:val="20"/>
                <w:szCs w:val="20"/>
              </w:rPr>
              <w:t>Opatrenie 6</w:t>
            </w:r>
            <w:r w:rsidRPr="00D82AFA">
              <w:rPr>
                <w:bCs/>
                <w:sz w:val="20"/>
                <w:szCs w:val="20"/>
              </w:rPr>
              <w:t>: Rozvoj poľnohospodárskych podnikov a</w:t>
            </w:r>
            <w:r w:rsidR="00D07D16">
              <w:rPr>
                <w:bCs/>
                <w:sz w:val="20"/>
                <w:szCs w:val="20"/>
              </w:rPr>
              <w:t> </w:t>
            </w:r>
            <w:r w:rsidRPr="00D82AFA">
              <w:rPr>
                <w:bCs/>
                <w:sz w:val="20"/>
                <w:szCs w:val="20"/>
              </w:rPr>
              <w:t>podnika</w:t>
            </w:r>
            <w:r w:rsidR="00D07D16">
              <w:rPr>
                <w:bCs/>
                <w:sz w:val="20"/>
                <w:szCs w:val="20"/>
              </w:rPr>
              <w:t>teľskej činnosti</w:t>
            </w:r>
            <w:r>
              <w:rPr>
                <w:bCs/>
                <w:sz w:val="20"/>
                <w:szCs w:val="20"/>
              </w:rPr>
              <w:t xml:space="preserve"> (čl.19)</w:t>
            </w:r>
          </w:p>
          <w:p w:rsidR="007F7CA6" w:rsidRPr="00D82AFA" w:rsidRDefault="007F7CA6" w:rsidP="00D07D16">
            <w:pPr>
              <w:spacing w:before="60" w:after="60"/>
              <w:ind w:left="1560" w:hanging="1560"/>
              <w:rPr>
                <w:i/>
                <w:sz w:val="20"/>
                <w:szCs w:val="20"/>
              </w:rPr>
            </w:pPr>
            <w:r w:rsidRPr="00D82AFA">
              <w:rPr>
                <w:i/>
                <w:sz w:val="20"/>
                <w:szCs w:val="20"/>
              </w:rPr>
              <w:t xml:space="preserve">Podopatrenie </w:t>
            </w:r>
            <w:r>
              <w:rPr>
                <w:i/>
                <w:sz w:val="20"/>
                <w:szCs w:val="20"/>
              </w:rPr>
              <w:t>6.3</w:t>
            </w:r>
            <w:r w:rsidRPr="00D82AFA">
              <w:rPr>
                <w:i/>
                <w:sz w:val="20"/>
                <w:szCs w:val="20"/>
              </w:rPr>
              <w:t xml:space="preserve">: Pomoc na začatie podnikateľskej činnosti pre </w:t>
            </w:r>
            <w:r w:rsidR="00D07D16">
              <w:rPr>
                <w:i/>
                <w:sz w:val="20"/>
                <w:szCs w:val="20"/>
              </w:rPr>
              <w:t xml:space="preserve">rozvoj </w:t>
            </w:r>
            <w:r w:rsidRPr="00D82AFA">
              <w:rPr>
                <w:i/>
                <w:sz w:val="20"/>
                <w:szCs w:val="20"/>
              </w:rPr>
              <w:t>mal</w:t>
            </w:r>
            <w:r w:rsidR="00D07D16">
              <w:rPr>
                <w:i/>
                <w:sz w:val="20"/>
                <w:szCs w:val="20"/>
              </w:rPr>
              <w:t>ých</w:t>
            </w:r>
            <w:r w:rsidRPr="00D82AFA">
              <w:rPr>
                <w:i/>
                <w:sz w:val="20"/>
                <w:szCs w:val="20"/>
              </w:rPr>
              <w:t xml:space="preserve"> </w:t>
            </w:r>
            <w:r>
              <w:rPr>
                <w:i/>
                <w:sz w:val="20"/>
                <w:szCs w:val="20"/>
              </w:rPr>
              <w:t>poľnohospodársk</w:t>
            </w:r>
            <w:r w:rsidR="00D07D16">
              <w:rPr>
                <w:i/>
                <w:sz w:val="20"/>
                <w:szCs w:val="20"/>
              </w:rPr>
              <w:t>ych</w:t>
            </w:r>
            <w:r>
              <w:rPr>
                <w:i/>
                <w:sz w:val="20"/>
                <w:szCs w:val="20"/>
              </w:rPr>
              <w:t xml:space="preserve"> podnik</w:t>
            </w:r>
            <w:r w:rsidR="00D07D16">
              <w:rPr>
                <w:i/>
                <w:sz w:val="20"/>
                <w:szCs w:val="20"/>
              </w:rPr>
              <w:t>ov</w:t>
            </w:r>
            <w:r>
              <w:rPr>
                <w:i/>
                <w:sz w:val="20"/>
                <w:szCs w:val="20"/>
              </w:rPr>
              <w:t xml:space="preserve"> (čl. 19</w:t>
            </w:r>
            <w:r w:rsidRPr="00D82AFA">
              <w:rPr>
                <w:i/>
                <w:sz w:val="20"/>
                <w:szCs w:val="20"/>
              </w:rPr>
              <w:t>a</w:t>
            </w:r>
            <w:r>
              <w:rPr>
                <w:i/>
                <w:sz w:val="20"/>
                <w:szCs w:val="20"/>
              </w:rPr>
              <w:t>)iii</w:t>
            </w:r>
            <w:r w:rsidRPr="00D82AFA">
              <w:rPr>
                <w:i/>
                <w:sz w:val="20"/>
                <w:szCs w:val="20"/>
              </w:rPr>
              <w:t>)</w:t>
            </w:r>
          </w:p>
        </w:tc>
      </w:tr>
      <w:tr w:rsidR="007F7CA6" w:rsidRPr="00D82AFA" w:rsidTr="007F7CA6">
        <w:tc>
          <w:tcPr>
            <w:tcW w:w="9039" w:type="dxa"/>
            <w:shd w:val="clear" w:color="auto" w:fill="auto"/>
            <w:vAlign w:val="center"/>
          </w:tcPr>
          <w:p w:rsidR="007F7CA6" w:rsidRDefault="007F7CA6" w:rsidP="007F7CA6">
            <w:pPr>
              <w:spacing w:before="60" w:after="60"/>
              <w:rPr>
                <w:bCs/>
                <w:sz w:val="20"/>
                <w:szCs w:val="20"/>
              </w:rPr>
            </w:pPr>
            <w:r>
              <w:rPr>
                <w:bCs/>
                <w:sz w:val="20"/>
                <w:szCs w:val="20"/>
              </w:rPr>
              <w:t>Opatrenie 16</w:t>
            </w:r>
            <w:r>
              <w:rPr>
                <w:sz w:val="20"/>
                <w:szCs w:val="20"/>
              </w:rPr>
              <w:t>: Spolupráca (čl. 35</w:t>
            </w:r>
            <w:r w:rsidRPr="00D82AFA">
              <w:rPr>
                <w:sz w:val="20"/>
                <w:szCs w:val="20"/>
              </w:rPr>
              <w:t>)</w:t>
            </w:r>
          </w:p>
        </w:tc>
      </w:tr>
      <w:tr w:rsidR="007F7CA6" w:rsidRPr="00D82AFA" w:rsidTr="007F7CA6">
        <w:tc>
          <w:tcPr>
            <w:tcW w:w="9039" w:type="dxa"/>
            <w:shd w:val="clear" w:color="auto" w:fill="auto"/>
            <w:vAlign w:val="center"/>
          </w:tcPr>
          <w:p w:rsidR="007F7CA6" w:rsidRPr="00D82AFA" w:rsidRDefault="007F7CA6" w:rsidP="007F7CA6">
            <w:pPr>
              <w:spacing w:before="60" w:after="60"/>
              <w:rPr>
                <w:bCs/>
                <w:sz w:val="20"/>
                <w:szCs w:val="20"/>
              </w:rPr>
            </w:pPr>
            <w:r w:rsidRPr="00D82AFA">
              <w:rPr>
                <w:sz w:val="20"/>
                <w:szCs w:val="20"/>
              </w:rPr>
              <w:t xml:space="preserve">Opatrenie  </w:t>
            </w:r>
            <w:r w:rsidRPr="00D82AFA">
              <w:rPr>
                <w:bCs/>
                <w:sz w:val="20"/>
                <w:szCs w:val="20"/>
              </w:rPr>
              <w:t>1: Pre</w:t>
            </w:r>
            <w:r>
              <w:rPr>
                <w:bCs/>
                <w:sz w:val="20"/>
                <w:szCs w:val="20"/>
              </w:rPr>
              <w:t>nos vedomostí a zručností (čl.14</w:t>
            </w:r>
            <w:r w:rsidRPr="00D82AFA">
              <w:rPr>
                <w:bCs/>
                <w:sz w:val="20"/>
                <w:szCs w:val="20"/>
              </w:rPr>
              <w:t>)</w:t>
            </w:r>
          </w:p>
        </w:tc>
      </w:tr>
      <w:tr w:rsidR="007F7CA6" w:rsidRPr="00D82AFA" w:rsidTr="007F7CA6">
        <w:tc>
          <w:tcPr>
            <w:tcW w:w="9039" w:type="dxa"/>
            <w:shd w:val="clear" w:color="auto" w:fill="auto"/>
            <w:vAlign w:val="center"/>
          </w:tcPr>
          <w:p w:rsidR="007F7CA6" w:rsidRPr="00D82AFA" w:rsidRDefault="007F7CA6" w:rsidP="007F7CA6">
            <w:pPr>
              <w:spacing w:before="60" w:after="60"/>
              <w:rPr>
                <w:sz w:val="20"/>
                <w:szCs w:val="20"/>
              </w:rPr>
            </w:pPr>
            <w:r w:rsidRPr="00D82AFA">
              <w:rPr>
                <w:sz w:val="20"/>
                <w:szCs w:val="20"/>
              </w:rPr>
              <w:t>Opatrenie  2:  P</w:t>
            </w:r>
            <w:r>
              <w:rPr>
                <w:sz w:val="20"/>
                <w:szCs w:val="20"/>
              </w:rPr>
              <w:t>oradenské služby  (čl.15</w:t>
            </w:r>
            <w:r w:rsidRPr="00D82AFA">
              <w:rPr>
                <w:sz w:val="20"/>
                <w:szCs w:val="20"/>
              </w:rPr>
              <w:t xml:space="preserve">)                                                      </w:t>
            </w:r>
          </w:p>
        </w:tc>
      </w:tr>
    </w:tbl>
    <w:p w:rsidR="00E43137" w:rsidRPr="00E43137" w:rsidRDefault="00E43137" w:rsidP="008676F9">
      <w:pPr>
        <w:autoSpaceDE w:val="0"/>
        <w:autoSpaceDN w:val="0"/>
        <w:adjustRightInd w:val="0"/>
        <w:rPr>
          <w:rFonts w:ascii="Calibri" w:eastAsia="Calibri" w:hAnsi="Calibri"/>
          <w:szCs w:val="22"/>
          <w:lang w:eastAsia="en-US"/>
        </w:rPr>
      </w:pPr>
    </w:p>
    <w:p w:rsidR="00E43137" w:rsidRPr="00E43137" w:rsidRDefault="00E43137" w:rsidP="008676F9">
      <w:pPr>
        <w:autoSpaceDE w:val="0"/>
        <w:autoSpaceDN w:val="0"/>
        <w:adjustRightInd w:val="0"/>
        <w:rPr>
          <w:rFonts w:ascii="Calibri" w:eastAsia="Calibri" w:hAnsi="Calibri"/>
          <w:szCs w:val="22"/>
          <w:u w:val="single"/>
          <w:lang w:eastAsia="en-US"/>
        </w:rPr>
      </w:pPr>
      <w:r w:rsidRPr="00E43137">
        <w:rPr>
          <w:rFonts w:ascii="Calibri" w:eastAsia="Calibri" w:hAnsi="Calibri"/>
          <w:szCs w:val="22"/>
          <w:u w:val="single"/>
          <w:lang w:eastAsia="en-US"/>
        </w:rPr>
        <w:t xml:space="preserve">Kombinácia a zdôvodnenie opatrení </w:t>
      </w:r>
    </w:p>
    <w:p w:rsidR="007F7CA6" w:rsidRDefault="007F7CA6" w:rsidP="007F7CA6">
      <w:pPr>
        <w:spacing w:before="120"/>
      </w:pPr>
      <w:r>
        <w:t>Analýza SWOT definuje slabé stránky poľnohospodárstva, ktoré sú platné pre všetky typy podnikov a týkajú sa hlavne nízkej pridanej hodnoty a nízkych príjmov</w:t>
      </w:r>
      <w:r w:rsidRPr="00D82AFA">
        <w:t xml:space="preserve"> na hektár poľnohospodárskej pôdy v </w:t>
      </w:r>
      <w:r>
        <w:t xml:space="preserve">porovnaní s ostatnými štátmi EÚ, slabej poľnohospodárskej diverzifikácii (nízky podiel ŽV a špeciálnej RV).  </w:t>
      </w:r>
    </w:p>
    <w:p w:rsidR="007F7CA6" w:rsidRPr="00522328" w:rsidRDefault="007F7CA6" w:rsidP="007F7CA6">
      <w:pPr>
        <w:spacing w:before="120"/>
      </w:pPr>
      <w:r>
        <w:t xml:space="preserve">Vybrané opatrenia v rámci 2A sú zamerané na dosiahnutie vyššej produktivity v sektore, diverzifikácie poľnohospodárskej produkcie, zlepšenie finalizácie produkcie, posilnenie generačnej obmeny v poľnohospodárstve. </w:t>
      </w:r>
      <w:r w:rsidRPr="00E74473">
        <w:t xml:space="preserve">Reštrukturalizácia výrobných prostriedkov v rámci </w:t>
      </w:r>
      <w:r w:rsidRPr="00CA6C69">
        <w:rPr>
          <w:b/>
        </w:rPr>
        <w:t>podopatrenia 4.1 (čl.17a)</w:t>
      </w:r>
      <w:r>
        <w:t xml:space="preserve"> </w:t>
      </w:r>
      <w:r w:rsidRPr="00E74473">
        <w:t xml:space="preserve">bude zameraná na zvýšenie celkovej výkonnosti a efektívnosti podporených </w:t>
      </w:r>
      <w:r>
        <w:t>poľ.</w:t>
      </w:r>
      <w:r w:rsidR="00C52ADA">
        <w:t xml:space="preserve"> </w:t>
      </w:r>
      <w:r w:rsidRPr="00E74473">
        <w:t xml:space="preserve">podnikov vrátane podnikov, ktoré prevádzkujú mladí alebo malí farmári.  Poskytnutá podpora investícií bude prioritne smerovaná do zvýšenia </w:t>
      </w:r>
      <w:r>
        <w:t xml:space="preserve">diverzifikácie produkcie (zameranie podpory na ŽV a špecializovanú RV), zlepšovania kvality, </w:t>
      </w:r>
      <w:r w:rsidRPr="00E74473">
        <w:t>zníženia nákladovosti výroby, zvyšovania inova</w:t>
      </w:r>
      <w:r>
        <w:t xml:space="preserve">tívnosti a efektívnosti výroby a tým zvyšovania pridanej hodnoty, </w:t>
      </w:r>
      <w:r w:rsidRPr="00E74473">
        <w:t>zlepšenia odbytu produkcie (podpora predaja z dvora). Intenzita podpory pre mladých farmárov bude zvýhodnená o </w:t>
      </w:r>
      <w:r w:rsidR="00D07D16">
        <w:t>2</w:t>
      </w:r>
      <w:r w:rsidRPr="00E74473">
        <w:t>0%. K rastu konkurencieschopnosti poľnohospodárstva prispejú aj podpory pre začatie</w:t>
      </w:r>
      <w:r w:rsidR="00D07D16">
        <w:t xml:space="preserve"> podnikania</w:t>
      </w:r>
      <w:r w:rsidRPr="00E74473">
        <w:t xml:space="preserve"> malých a mladých farmárov (</w:t>
      </w:r>
      <w:r w:rsidRPr="00CA6C69">
        <w:rPr>
          <w:b/>
        </w:rPr>
        <w:t xml:space="preserve">podopatrenia </w:t>
      </w:r>
      <w:r w:rsidR="00D07D16">
        <w:rPr>
          <w:b/>
        </w:rPr>
        <w:t xml:space="preserve">6.1. a </w:t>
      </w:r>
      <w:r>
        <w:rPr>
          <w:b/>
        </w:rPr>
        <w:t>6.3</w:t>
      </w:r>
      <w:r w:rsidR="00D07D16">
        <w:rPr>
          <w:b/>
        </w:rPr>
        <w:t>/</w:t>
      </w:r>
      <w:r w:rsidRPr="00CA6C69">
        <w:rPr>
          <w:b/>
        </w:rPr>
        <w:t>čl.19a</w:t>
      </w:r>
      <w:r w:rsidRPr="00E74473">
        <w:t>), ktorí získaním podpory zlepšia hospodársky výkon svojich fariem a očakáva sa, že tým zvýšia aj svoju účasť na trhu.</w:t>
      </w:r>
      <w:r>
        <w:t xml:space="preserve"> Vo vzťahu k malým farmám bol zvolený pilotný prístup.</w:t>
      </w:r>
      <w:r w:rsidRPr="00E74473">
        <w:t xml:space="preserve"> </w:t>
      </w:r>
      <w:r>
        <w:t xml:space="preserve">Na zlepšenie prístupu k pôde budú realizované projekty pozemkových úprav v rámci </w:t>
      </w:r>
      <w:r w:rsidRPr="00CA6C69">
        <w:rPr>
          <w:b/>
        </w:rPr>
        <w:t>podopatrenia 4.3 (čl.17c)</w:t>
      </w:r>
      <w:r>
        <w:t xml:space="preserve">. Pre posilnenie účinku podrených investícii v rámci čl.17 bude v rámci </w:t>
      </w:r>
      <w:r w:rsidRPr="00CA6C69">
        <w:rPr>
          <w:b/>
        </w:rPr>
        <w:t>opatrenia 16 (čl.35)</w:t>
      </w:r>
      <w:r>
        <w:t xml:space="preserve"> podporená spolupráca poľnohospodárov (pilotné projekty) s výskumom s cieľom zlepšiť a inovovať výrobné postupy. </w:t>
      </w:r>
      <w:r w:rsidRPr="00D82AFA">
        <w:t>K dosiahnutiu cieľa</w:t>
      </w:r>
      <w:r>
        <w:t xml:space="preserve"> fokusovej</w:t>
      </w:r>
      <w:r w:rsidRPr="00D82AFA">
        <w:t xml:space="preserve"> oblasti 2A je potrebné sa usilovať o ďalšie odborné vzdelávanie </w:t>
      </w:r>
      <w:r>
        <w:t>(</w:t>
      </w:r>
      <w:r w:rsidRPr="00CA6C69">
        <w:rPr>
          <w:b/>
        </w:rPr>
        <w:t>opatrenie 1, čl.14</w:t>
      </w:r>
      <w:r>
        <w:t xml:space="preserve">) </w:t>
      </w:r>
      <w:r w:rsidRPr="00D82AFA">
        <w:t xml:space="preserve">ako aj </w:t>
      </w:r>
      <w:r>
        <w:t xml:space="preserve">poskytovať poradenstvo najmä  </w:t>
      </w:r>
      <w:r w:rsidRPr="00E74473">
        <w:t>v oblasti rozvoja nových aktivít, ktoré pomôžu zlepšiť ekonomickú výkonnosť podnikov</w:t>
      </w:r>
      <w:r>
        <w:t xml:space="preserve"> (</w:t>
      </w:r>
      <w:r w:rsidRPr="00CA6C69">
        <w:rPr>
          <w:b/>
        </w:rPr>
        <w:t>opatrenie 2, čl.15</w:t>
      </w:r>
      <w:r>
        <w:t xml:space="preserve">). </w:t>
      </w:r>
    </w:p>
    <w:p w:rsidR="007B5045" w:rsidRDefault="007B5045" w:rsidP="008676F9">
      <w:pPr>
        <w:autoSpaceDE w:val="0"/>
        <w:autoSpaceDN w:val="0"/>
        <w:adjustRightInd w:val="0"/>
        <w:rPr>
          <w:rFonts w:ascii="Calibri" w:eastAsia="Calibri" w:hAnsi="Calibri"/>
          <w:b/>
          <w:szCs w:val="22"/>
          <w:lang w:eastAsia="en-US"/>
        </w:rPr>
      </w:pPr>
      <w:r>
        <w:rPr>
          <w:rFonts w:ascii="Calibri" w:eastAsia="Calibri" w:hAnsi="Calibri"/>
          <w:b/>
          <w:szCs w:val="22"/>
          <w:lang w:eastAsia="en-US"/>
        </w:rPr>
        <w:br w:type="page"/>
      </w:r>
    </w:p>
    <w:p w:rsidR="00E43137" w:rsidRPr="00AA30CA" w:rsidRDefault="00AD124D" w:rsidP="00744ED8">
      <w:pPr>
        <w:ind w:left="2694" w:hanging="2694"/>
        <w:rPr>
          <w:rFonts w:eastAsia="Calibri"/>
          <w:b/>
        </w:rPr>
      </w:pPr>
      <w:r w:rsidRPr="00AA30CA">
        <w:rPr>
          <w:rFonts w:eastAsia="Calibri"/>
          <w:b/>
        </w:rPr>
        <w:t xml:space="preserve">5.2.2.2 </w:t>
      </w:r>
      <w:r w:rsidR="00E43137" w:rsidRPr="00AA30CA">
        <w:rPr>
          <w:rFonts w:eastAsia="Calibri"/>
          <w:b/>
        </w:rPr>
        <w:t>Fokusová oblasť 2B: Uľahčenie vstupu poľnohospodárov s primeranými zručnosťami do odvetvia poľnohospodárstva, a najmä generačnej výmeny</w:t>
      </w:r>
    </w:p>
    <w:p w:rsidR="00E43137" w:rsidRPr="00E43137" w:rsidRDefault="00E43137" w:rsidP="008676F9">
      <w:pPr>
        <w:autoSpaceDE w:val="0"/>
        <w:autoSpaceDN w:val="0"/>
        <w:adjustRightInd w:val="0"/>
        <w:rPr>
          <w:rFonts w:ascii="Calibri" w:eastAsia="Calibri" w:hAnsi="Calibri"/>
          <w:szCs w:val="22"/>
          <w:u w:val="single"/>
          <w:lang w:eastAsia="en-US"/>
        </w:rPr>
      </w:pPr>
      <w:r w:rsidRPr="00E43137">
        <w:rPr>
          <w:rFonts w:ascii="Calibri" w:eastAsia="Calibri" w:hAnsi="Calibri"/>
          <w:szCs w:val="22"/>
          <w:u w:val="single"/>
          <w:lang w:eastAsia="en-US"/>
        </w:rPr>
        <w:t>Vybrané opatrenia</w:t>
      </w:r>
    </w:p>
    <w:tbl>
      <w:tblPr>
        <w:tblpPr w:leftFromText="141" w:rightFromText="141" w:vertAnchor="text" w:horzAnchor="margin" w:tblpX="108" w:tblpY="80"/>
        <w:tblW w:w="90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72"/>
      </w:tblGrid>
      <w:tr w:rsidR="007F7CA6" w:rsidRPr="00D82AFA" w:rsidTr="007F7CA6">
        <w:tc>
          <w:tcPr>
            <w:tcW w:w="9072" w:type="dxa"/>
            <w:shd w:val="clear" w:color="auto" w:fill="auto"/>
            <w:vAlign w:val="center"/>
          </w:tcPr>
          <w:p w:rsidR="007F7CA6" w:rsidRPr="00D82AFA" w:rsidRDefault="007F7CA6" w:rsidP="007F7CA6">
            <w:pPr>
              <w:spacing w:before="60" w:after="60"/>
              <w:rPr>
                <w:sz w:val="20"/>
                <w:szCs w:val="20"/>
              </w:rPr>
            </w:pPr>
            <w:r>
              <w:rPr>
                <w:bCs/>
                <w:sz w:val="20"/>
                <w:szCs w:val="20"/>
              </w:rPr>
              <w:t>Opatrenie 6</w:t>
            </w:r>
            <w:r w:rsidRPr="00D82AFA">
              <w:rPr>
                <w:bCs/>
                <w:sz w:val="20"/>
                <w:szCs w:val="20"/>
              </w:rPr>
              <w:t>: Rozvoj poľnohospodárskych podnikov a</w:t>
            </w:r>
            <w:r w:rsidR="00D07D16">
              <w:rPr>
                <w:bCs/>
                <w:sz w:val="20"/>
                <w:szCs w:val="20"/>
              </w:rPr>
              <w:t> </w:t>
            </w:r>
            <w:r w:rsidRPr="00D82AFA">
              <w:rPr>
                <w:bCs/>
                <w:sz w:val="20"/>
                <w:szCs w:val="20"/>
              </w:rPr>
              <w:t>podnika</w:t>
            </w:r>
            <w:r w:rsidR="00D07D16">
              <w:rPr>
                <w:bCs/>
                <w:sz w:val="20"/>
                <w:szCs w:val="20"/>
              </w:rPr>
              <w:t>teľskej činnosti</w:t>
            </w:r>
            <w:r w:rsidRPr="00D82AFA">
              <w:rPr>
                <w:bCs/>
                <w:sz w:val="20"/>
                <w:szCs w:val="20"/>
              </w:rPr>
              <w:t xml:space="preserve"> </w:t>
            </w:r>
            <w:r>
              <w:rPr>
                <w:sz w:val="20"/>
                <w:szCs w:val="20"/>
              </w:rPr>
              <w:t>(čl. 19</w:t>
            </w:r>
            <w:r w:rsidRPr="00D82AFA">
              <w:rPr>
                <w:sz w:val="20"/>
                <w:szCs w:val="20"/>
              </w:rPr>
              <w:t>)</w:t>
            </w:r>
          </w:p>
          <w:p w:rsidR="007F7CA6" w:rsidRPr="00D82AFA" w:rsidRDefault="007F7CA6" w:rsidP="007F7CA6">
            <w:pPr>
              <w:rPr>
                <w:i/>
                <w:sz w:val="20"/>
                <w:szCs w:val="20"/>
              </w:rPr>
            </w:pPr>
            <w:r w:rsidRPr="00D82AFA">
              <w:rPr>
                <w:i/>
                <w:sz w:val="20"/>
                <w:szCs w:val="20"/>
              </w:rPr>
              <w:t xml:space="preserve">Podopatrenie </w:t>
            </w:r>
            <w:r>
              <w:rPr>
                <w:i/>
                <w:sz w:val="20"/>
                <w:szCs w:val="20"/>
              </w:rPr>
              <w:t>6.1: Pomoc na zač</w:t>
            </w:r>
            <w:r w:rsidRPr="00D82AFA">
              <w:rPr>
                <w:i/>
                <w:sz w:val="20"/>
                <w:szCs w:val="20"/>
              </w:rPr>
              <w:t xml:space="preserve">atie podnikateľskej činnosti pre mladých poľnohospodárov </w:t>
            </w:r>
            <w:r>
              <w:rPr>
                <w:i/>
                <w:sz w:val="20"/>
                <w:szCs w:val="20"/>
              </w:rPr>
              <w:t>(čl.19a)ii.)</w:t>
            </w:r>
          </w:p>
        </w:tc>
      </w:tr>
      <w:tr w:rsidR="007F7CA6" w:rsidRPr="00D82AFA" w:rsidTr="007F7CA6">
        <w:tc>
          <w:tcPr>
            <w:tcW w:w="9072" w:type="dxa"/>
            <w:shd w:val="clear" w:color="auto" w:fill="auto"/>
            <w:vAlign w:val="center"/>
          </w:tcPr>
          <w:p w:rsidR="007F7CA6" w:rsidRPr="00D82AFA" w:rsidRDefault="007F7CA6" w:rsidP="007F7CA6">
            <w:pPr>
              <w:spacing w:before="60" w:after="60"/>
              <w:rPr>
                <w:bCs/>
                <w:noProof/>
                <w:sz w:val="20"/>
                <w:szCs w:val="20"/>
              </w:rPr>
            </w:pPr>
            <w:r>
              <w:rPr>
                <w:bCs/>
                <w:sz w:val="20"/>
                <w:szCs w:val="20"/>
              </w:rPr>
              <w:t xml:space="preserve">Opatrenie 4: </w:t>
            </w:r>
            <w:r w:rsidRPr="00D82AFA">
              <w:rPr>
                <w:sz w:val="20"/>
                <w:szCs w:val="20"/>
              </w:rPr>
              <w:t xml:space="preserve"> </w:t>
            </w:r>
            <w:r w:rsidRPr="00D82AFA">
              <w:rPr>
                <w:bCs/>
                <w:noProof/>
                <w:sz w:val="20"/>
                <w:szCs w:val="20"/>
              </w:rPr>
              <w:t>Investície do hmotného majetku</w:t>
            </w:r>
            <w:r>
              <w:rPr>
                <w:bCs/>
                <w:noProof/>
                <w:sz w:val="20"/>
                <w:szCs w:val="20"/>
              </w:rPr>
              <w:t xml:space="preserve"> (čl.17</w:t>
            </w:r>
            <w:r w:rsidRPr="00D82AFA">
              <w:rPr>
                <w:bCs/>
                <w:noProof/>
                <w:sz w:val="20"/>
                <w:szCs w:val="20"/>
              </w:rPr>
              <w:t>):</w:t>
            </w:r>
          </w:p>
          <w:p w:rsidR="007F7CA6" w:rsidRPr="00EA4EB5" w:rsidRDefault="007F7CA6" w:rsidP="007F7CA6">
            <w:pPr>
              <w:spacing w:before="60" w:after="60"/>
              <w:ind w:left="1418" w:hanging="1418"/>
              <w:rPr>
                <w:i/>
                <w:sz w:val="20"/>
                <w:szCs w:val="20"/>
              </w:rPr>
            </w:pPr>
            <w:r w:rsidRPr="00D82AFA">
              <w:rPr>
                <w:i/>
                <w:sz w:val="20"/>
                <w:szCs w:val="20"/>
              </w:rPr>
              <w:t>Podopatrenie</w:t>
            </w:r>
            <w:r>
              <w:rPr>
                <w:i/>
                <w:sz w:val="20"/>
                <w:szCs w:val="20"/>
              </w:rPr>
              <w:t xml:space="preserve"> 4</w:t>
            </w:r>
            <w:r w:rsidRPr="00D82AFA">
              <w:rPr>
                <w:i/>
                <w:sz w:val="20"/>
                <w:szCs w:val="20"/>
              </w:rPr>
              <w:t>.1 Investície do hmotného majetku, ktoré zlepšujú celkovú výkonnosť p</w:t>
            </w:r>
            <w:r>
              <w:rPr>
                <w:i/>
                <w:sz w:val="20"/>
                <w:szCs w:val="20"/>
              </w:rPr>
              <w:t>oľnohospodárskeho podniku (čl.17</w:t>
            </w:r>
            <w:r w:rsidRPr="00D82AFA">
              <w:rPr>
                <w:i/>
                <w:sz w:val="20"/>
                <w:szCs w:val="20"/>
              </w:rPr>
              <w:t>a)</w:t>
            </w:r>
          </w:p>
        </w:tc>
      </w:tr>
      <w:tr w:rsidR="007F7CA6" w:rsidRPr="00D82AFA" w:rsidTr="007F7CA6">
        <w:tc>
          <w:tcPr>
            <w:tcW w:w="9072" w:type="dxa"/>
            <w:shd w:val="clear" w:color="auto" w:fill="auto"/>
            <w:vAlign w:val="center"/>
          </w:tcPr>
          <w:p w:rsidR="007F7CA6" w:rsidRPr="00D82AFA" w:rsidRDefault="007F7CA6" w:rsidP="007F7CA6">
            <w:pPr>
              <w:spacing w:before="60" w:after="60"/>
              <w:rPr>
                <w:bCs/>
                <w:sz w:val="20"/>
                <w:szCs w:val="20"/>
              </w:rPr>
            </w:pPr>
            <w:r w:rsidRPr="00D82AFA">
              <w:rPr>
                <w:sz w:val="20"/>
                <w:szCs w:val="20"/>
              </w:rPr>
              <w:t xml:space="preserve">Opatrenie  </w:t>
            </w:r>
            <w:r w:rsidRPr="00D82AFA">
              <w:rPr>
                <w:bCs/>
                <w:sz w:val="20"/>
                <w:szCs w:val="20"/>
              </w:rPr>
              <w:t>1: Pre</w:t>
            </w:r>
            <w:r>
              <w:rPr>
                <w:bCs/>
                <w:sz w:val="20"/>
                <w:szCs w:val="20"/>
              </w:rPr>
              <w:t>nos vedomostí a zručností (čl.14</w:t>
            </w:r>
            <w:r w:rsidRPr="00D82AFA">
              <w:rPr>
                <w:bCs/>
                <w:sz w:val="20"/>
                <w:szCs w:val="20"/>
              </w:rPr>
              <w:t>)</w:t>
            </w:r>
          </w:p>
        </w:tc>
      </w:tr>
      <w:tr w:rsidR="007F7CA6" w:rsidRPr="00D82AFA" w:rsidTr="007F7CA6">
        <w:tc>
          <w:tcPr>
            <w:tcW w:w="9072" w:type="dxa"/>
            <w:shd w:val="clear" w:color="auto" w:fill="auto"/>
            <w:vAlign w:val="center"/>
          </w:tcPr>
          <w:p w:rsidR="007F7CA6" w:rsidRPr="00D82AFA" w:rsidRDefault="007F7CA6" w:rsidP="007F7CA6">
            <w:pPr>
              <w:spacing w:before="60" w:after="60"/>
              <w:rPr>
                <w:sz w:val="20"/>
                <w:szCs w:val="20"/>
              </w:rPr>
            </w:pPr>
            <w:r w:rsidRPr="00D82AFA">
              <w:rPr>
                <w:sz w:val="20"/>
                <w:szCs w:val="20"/>
              </w:rPr>
              <w:t xml:space="preserve">Opatrenie </w:t>
            </w:r>
            <w:r>
              <w:rPr>
                <w:sz w:val="20"/>
                <w:szCs w:val="20"/>
              </w:rPr>
              <w:t xml:space="preserve"> 2:  Poradenské služby  (čl.15</w:t>
            </w:r>
            <w:r w:rsidRPr="00D82AFA">
              <w:rPr>
                <w:sz w:val="20"/>
                <w:szCs w:val="20"/>
              </w:rPr>
              <w:t xml:space="preserve">)                                                      </w:t>
            </w:r>
          </w:p>
        </w:tc>
      </w:tr>
    </w:tbl>
    <w:p w:rsidR="00E43137" w:rsidRPr="00E43137" w:rsidRDefault="00E43137" w:rsidP="008676F9">
      <w:pPr>
        <w:autoSpaceDE w:val="0"/>
        <w:autoSpaceDN w:val="0"/>
        <w:adjustRightInd w:val="0"/>
        <w:rPr>
          <w:rFonts w:ascii="Calibri" w:eastAsia="Calibri" w:hAnsi="Calibri"/>
          <w:szCs w:val="22"/>
          <w:u w:val="single"/>
          <w:lang w:eastAsia="en-US"/>
        </w:rPr>
      </w:pPr>
    </w:p>
    <w:p w:rsidR="00E43137" w:rsidRPr="00E43137" w:rsidRDefault="00E43137" w:rsidP="008676F9">
      <w:pPr>
        <w:autoSpaceDE w:val="0"/>
        <w:autoSpaceDN w:val="0"/>
        <w:adjustRightInd w:val="0"/>
        <w:rPr>
          <w:rFonts w:ascii="Calibri" w:eastAsia="Calibri" w:hAnsi="Calibri"/>
          <w:szCs w:val="22"/>
          <w:u w:val="single"/>
          <w:lang w:eastAsia="en-US"/>
        </w:rPr>
      </w:pPr>
      <w:r w:rsidRPr="00E43137">
        <w:rPr>
          <w:rFonts w:ascii="Calibri" w:eastAsia="Calibri" w:hAnsi="Calibri"/>
          <w:szCs w:val="22"/>
          <w:u w:val="single"/>
          <w:lang w:eastAsia="en-US"/>
        </w:rPr>
        <w:t xml:space="preserve">Kombinácia a zdôvodnenie opatrení </w:t>
      </w:r>
    </w:p>
    <w:p w:rsidR="007F7CA6" w:rsidRPr="00D82AFA" w:rsidRDefault="007F7CA6" w:rsidP="007F7CA6">
      <w:pPr>
        <w:pStyle w:val="tlText2VlastnfarbaRGB31"/>
        <w:spacing w:before="120" w:line="240" w:lineRule="auto"/>
        <w:rPr>
          <w:rFonts w:asciiTheme="minorHAnsi" w:hAnsiTheme="minorHAnsi"/>
          <w:color w:val="auto"/>
          <w:szCs w:val="22"/>
        </w:rPr>
      </w:pPr>
      <w:r>
        <w:rPr>
          <w:rFonts w:asciiTheme="minorHAnsi" w:hAnsiTheme="minorHAnsi"/>
          <w:color w:val="auto"/>
          <w:szCs w:val="22"/>
        </w:rPr>
        <w:t xml:space="preserve">Z hľadiska vekovej štruktúry najviac pracovníkov v poľnohospodárstve bolo v r.2010 nad 50 r. Mladý farmári do 40 r. tvorili u právnických osôb 18,8% a u fyzických osôb 13,3%. Ešte horšia situácia je v riadení, kde z celkového počtu riadiacich pracovníkov v poľnohospodárstve vo veku do 35 r. bolo iba 7,1%. Pritom priemerný vek pracovníkov a hlavne manažérov je jednej z faktorov pre úspešné zavádzanie inovatívnych postupov do výroby a tým aj pre dosiahnutie zmeny  vo výške pridanej hodnoty v produkcii. Preto v rámci </w:t>
      </w:r>
      <w:r w:rsidRPr="00CA6C69">
        <w:rPr>
          <w:rFonts w:asciiTheme="minorHAnsi" w:hAnsiTheme="minorHAnsi"/>
          <w:b/>
          <w:color w:val="auto"/>
          <w:szCs w:val="22"/>
        </w:rPr>
        <w:t>opatrenia 6 (čl.19)</w:t>
      </w:r>
      <w:r w:rsidR="00D07D16">
        <w:rPr>
          <w:rFonts w:asciiTheme="minorHAnsi" w:hAnsiTheme="minorHAnsi"/>
          <w:b/>
          <w:color w:val="auto"/>
          <w:szCs w:val="22"/>
        </w:rPr>
        <w:t>, podopatrenie 6.1 (4l.19a)</w:t>
      </w:r>
      <w:r>
        <w:rPr>
          <w:rFonts w:asciiTheme="minorHAnsi" w:hAnsiTheme="minorHAnsi"/>
          <w:color w:val="auto"/>
          <w:szCs w:val="22"/>
        </w:rPr>
        <w:t xml:space="preserve"> bude poskytnutá podpora </w:t>
      </w:r>
      <w:r w:rsidRPr="00B61E91">
        <w:rPr>
          <w:rFonts w:asciiTheme="minorHAnsi" w:hAnsiTheme="minorHAnsi"/>
          <w:color w:val="auto"/>
          <w:szCs w:val="22"/>
        </w:rPr>
        <w:t xml:space="preserve">mladému poľnohospodárovi na začatie jeho podnikateľskej činnosti v oblasti živočíšnej a špecializovanej rastlinnej výroby na realizáciu podnikateľského plánu </w:t>
      </w:r>
      <w:r>
        <w:rPr>
          <w:rFonts w:asciiTheme="minorHAnsi" w:hAnsiTheme="minorHAnsi"/>
          <w:color w:val="auto"/>
          <w:szCs w:val="22"/>
        </w:rPr>
        <w:t xml:space="preserve">vo forme </w:t>
      </w:r>
      <w:r w:rsidRPr="00B118B6">
        <w:rPr>
          <w:rFonts w:asciiTheme="minorHAnsi" w:hAnsiTheme="minorHAnsi"/>
          <w:color w:val="auto"/>
          <w:szCs w:val="22"/>
        </w:rPr>
        <w:t>paušálnej platby</w:t>
      </w:r>
      <w:r>
        <w:rPr>
          <w:rFonts w:asciiTheme="minorHAnsi" w:hAnsiTheme="minorHAnsi"/>
          <w:color w:val="auto"/>
          <w:szCs w:val="22"/>
        </w:rPr>
        <w:t xml:space="preserve"> (boli brané do úvahy prioritné oblasti vyplývajúce zo SWOT). Okrem podpory na začatie podnikania bude poskytnutá mladým farmárom zvýhodnená investičná podpora do  hmotného majetku v rámci </w:t>
      </w:r>
      <w:r w:rsidRPr="00CA6C69">
        <w:rPr>
          <w:rFonts w:asciiTheme="minorHAnsi" w:hAnsiTheme="minorHAnsi"/>
          <w:b/>
          <w:color w:val="auto"/>
          <w:szCs w:val="22"/>
        </w:rPr>
        <w:t>opatrenia 4 (čl.17)</w:t>
      </w:r>
      <w:r>
        <w:rPr>
          <w:rFonts w:asciiTheme="minorHAnsi" w:hAnsiTheme="minorHAnsi"/>
          <w:b/>
          <w:color w:val="auto"/>
          <w:szCs w:val="22"/>
        </w:rPr>
        <w:t>, podopatrenie 4.1 (čl.17a)</w:t>
      </w:r>
      <w:r>
        <w:rPr>
          <w:rFonts w:asciiTheme="minorHAnsi" w:hAnsiTheme="minorHAnsi"/>
          <w:color w:val="auto"/>
          <w:szCs w:val="22"/>
        </w:rPr>
        <w:t xml:space="preserve">. Kombinácia oboch opatrení bude </w:t>
      </w:r>
      <w:r w:rsidRPr="00D82AFA">
        <w:rPr>
          <w:rFonts w:asciiTheme="minorHAnsi" w:hAnsiTheme="minorHAnsi"/>
          <w:color w:val="auto"/>
          <w:szCs w:val="22"/>
        </w:rPr>
        <w:t>prispievať k uľahčeniu vstupu poľnohospodárov s primeranými zručnosťami do odvetvia poľnohospodárstva</w:t>
      </w:r>
      <w:r>
        <w:rPr>
          <w:rFonts w:asciiTheme="minorHAnsi" w:hAnsiTheme="minorHAnsi"/>
          <w:color w:val="auto"/>
          <w:szCs w:val="22"/>
        </w:rPr>
        <w:t xml:space="preserve"> a rozvoju ich podnikania.</w:t>
      </w:r>
      <w:r w:rsidRPr="00D82AFA">
        <w:rPr>
          <w:rFonts w:asciiTheme="minorHAnsi" w:hAnsiTheme="minorHAnsi"/>
          <w:color w:val="auto"/>
          <w:szCs w:val="22"/>
        </w:rPr>
        <w:t xml:space="preserve"> Prvé podnikanie by malo byť sprevádzané istými prípravnými opatreniami a späté s určitými predpokladmi – ohľadom odbornej kvalifikácie</w:t>
      </w:r>
      <w:r>
        <w:rPr>
          <w:rFonts w:asciiTheme="minorHAnsi" w:hAnsiTheme="minorHAnsi"/>
          <w:color w:val="auto"/>
          <w:szCs w:val="22"/>
        </w:rPr>
        <w:t xml:space="preserve">, čo bude podporené v rámci </w:t>
      </w:r>
      <w:r w:rsidRPr="00CA6C69">
        <w:rPr>
          <w:rFonts w:asciiTheme="minorHAnsi" w:hAnsiTheme="minorHAnsi"/>
          <w:b/>
          <w:color w:val="auto"/>
          <w:szCs w:val="22"/>
        </w:rPr>
        <w:t>opatrenia 1 (čl.14)</w:t>
      </w:r>
      <w:r>
        <w:rPr>
          <w:rFonts w:asciiTheme="minorHAnsi" w:hAnsiTheme="minorHAnsi"/>
          <w:color w:val="auto"/>
          <w:szCs w:val="22"/>
        </w:rPr>
        <w:t xml:space="preserve">. </w:t>
      </w:r>
      <w:r w:rsidRPr="00D82AFA">
        <w:rPr>
          <w:rFonts w:asciiTheme="minorHAnsi" w:hAnsiTheme="minorHAnsi"/>
          <w:color w:val="auto"/>
          <w:szCs w:val="22"/>
        </w:rPr>
        <w:t xml:space="preserve">Okrem investičnej podpory podnikateľských plánov je dôležité pre začínajúcich poľnohospodárov na začiatku podnikania </w:t>
      </w:r>
      <w:r>
        <w:rPr>
          <w:rFonts w:asciiTheme="minorHAnsi" w:hAnsiTheme="minorHAnsi"/>
          <w:color w:val="auto"/>
          <w:szCs w:val="22"/>
        </w:rPr>
        <w:t xml:space="preserve">zabezpečiť </w:t>
      </w:r>
      <w:r w:rsidRPr="00D82AFA">
        <w:rPr>
          <w:rFonts w:asciiTheme="minorHAnsi" w:hAnsiTheme="minorHAnsi"/>
          <w:color w:val="auto"/>
          <w:szCs w:val="22"/>
        </w:rPr>
        <w:t xml:space="preserve">poradenské služby </w:t>
      </w:r>
      <w:r>
        <w:rPr>
          <w:rFonts w:asciiTheme="minorHAnsi" w:hAnsiTheme="minorHAnsi"/>
          <w:color w:val="auto"/>
          <w:szCs w:val="22"/>
        </w:rPr>
        <w:t xml:space="preserve">prostredníctvom </w:t>
      </w:r>
      <w:r w:rsidRPr="00CA6C69">
        <w:rPr>
          <w:rFonts w:asciiTheme="minorHAnsi" w:hAnsiTheme="minorHAnsi"/>
          <w:b/>
          <w:color w:val="auto"/>
          <w:szCs w:val="22"/>
        </w:rPr>
        <w:t>opatrenia 2 (čl.15)</w:t>
      </w:r>
      <w:r>
        <w:rPr>
          <w:rFonts w:asciiTheme="minorHAnsi" w:hAnsiTheme="minorHAnsi"/>
          <w:color w:val="auto"/>
          <w:szCs w:val="22"/>
        </w:rPr>
        <w:t xml:space="preserve"> </w:t>
      </w:r>
      <w:r w:rsidRPr="00D82AFA">
        <w:rPr>
          <w:rFonts w:asciiTheme="minorHAnsi" w:hAnsiTheme="minorHAnsi"/>
          <w:color w:val="auto"/>
          <w:szCs w:val="22"/>
        </w:rPr>
        <w:t xml:space="preserve">v oblasti poľnohospodárskej praxe. </w:t>
      </w:r>
    </w:p>
    <w:p w:rsidR="00E43137" w:rsidRDefault="00E43137" w:rsidP="008676F9">
      <w:pPr>
        <w:autoSpaceDE w:val="0"/>
        <w:autoSpaceDN w:val="0"/>
        <w:adjustRightInd w:val="0"/>
        <w:rPr>
          <w:rFonts w:ascii="Calibri" w:eastAsia="Calibri" w:hAnsi="Calibri"/>
          <w:szCs w:val="22"/>
          <w:lang w:eastAsia="en-US"/>
        </w:rPr>
      </w:pPr>
    </w:p>
    <w:p w:rsidR="007F7CA6" w:rsidRDefault="007F7CA6" w:rsidP="008676F9">
      <w:pPr>
        <w:autoSpaceDE w:val="0"/>
        <w:autoSpaceDN w:val="0"/>
        <w:adjustRightInd w:val="0"/>
        <w:rPr>
          <w:rFonts w:ascii="Calibri" w:eastAsia="Calibri" w:hAnsi="Calibri"/>
          <w:szCs w:val="22"/>
          <w:lang w:eastAsia="en-US"/>
        </w:rPr>
      </w:pPr>
    </w:p>
    <w:p w:rsidR="00E43137" w:rsidRPr="00E43137" w:rsidRDefault="00E43137" w:rsidP="00AA30CA">
      <w:pPr>
        <w:pStyle w:val="Podpodpod"/>
      </w:pPr>
      <w:bookmarkStart w:id="48" w:name="_Toc384111021"/>
      <w:bookmarkStart w:id="49" w:name="_Toc387041299"/>
      <w:r w:rsidRPr="00E43137">
        <w:t>5.2.2.2 Fokusová oblasť 2C: Zlepšenie hospodárskeho výkonu lesného hospodárstva</w:t>
      </w:r>
      <w:bookmarkEnd w:id="48"/>
      <w:bookmarkEnd w:id="49"/>
    </w:p>
    <w:p w:rsidR="007F7CA6" w:rsidRDefault="007F7CA6" w:rsidP="008676F9">
      <w:pPr>
        <w:autoSpaceDE w:val="0"/>
        <w:autoSpaceDN w:val="0"/>
        <w:adjustRightInd w:val="0"/>
        <w:rPr>
          <w:rFonts w:ascii="Calibri" w:eastAsia="Calibri" w:hAnsi="Calibri"/>
          <w:szCs w:val="22"/>
          <w:u w:val="single"/>
          <w:lang w:eastAsia="en-US"/>
        </w:rPr>
      </w:pPr>
    </w:p>
    <w:p w:rsidR="00E43137" w:rsidRPr="00E43137" w:rsidRDefault="00E43137" w:rsidP="008676F9">
      <w:pPr>
        <w:autoSpaceDE w:val="0"/>
        <w:autoSpaceDN w:val="0"/>
        <w:adjustRightInd w:val="0"/>
        <w:rPr>
          <w:rFonts w:ascii="Calibri" w:eastAsia="Calibri" w:hAnsi="Calibri"/>
          <w:szCs w:val="22"/>
          <w:u w:val="single"/>
          <w:lang w:eastAsia="en-US"/>
        </w:rPr>
      </w:pPr>
      <w:r w:rsidRPr="00E43137">
        <w:rPr>
          <w:rFonts w:ascii="Calibri" w:eastAsia="Calibri" w:hAnsi="Calibri"/>
          <w:szCs w:val="22"/>
          <w:u w:val="single"/>
          <w:lang w:eastAsia="en-US"/>
        </w:rPr>
        <w:t>Vybrané opatrenia</w:t>
      </w:r>
    </w:p>
    <w:tbl>
      <w:tblPr>
        <w:tblpPr w:leftFromText="141" w:rightFromText="141" w:vertAnchor="text" w:horzAnchor="margin" w:tblpX="108" w:tblpY="80"/>
        <w:tblW w:w="90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72"/>
      </w:tblGrid>
      <w:tr w:rsidR="00E43137" w:rsidRPr="00E43137" w:rsidTr="00E43137">
        <w:tc>
          <w:tcPr>
            <w:tcW w:w="9072" w:type="dxa"/>
            <w:shd w:val="clear" w:color="auto" w:fill="auto"/>
            <w:vAlign w:val="center"/>
          </w:tcPr>
          <w:p w:rsidR="00E43137" w:rsidRPr="00E43137" w:rsidRDefault="00E43137" w:rsidP="008676F9">
            <w:pPr>
              <w:spacing w:after="60" w:line="276" w:lineRule="auto"/>
              <w:rPr>
                <w:rFonts w:ascii="Calibri" w:eastAsia="Calibri" w:hAnsi="Calibri"/>
                <w:bCs/>
                <w:noProof/>
                <w:sz w:val="20"/>
                <w:szCs w:val="20"/>
                <w:lang w:eastAsia="en-US"/>
              </w:rPr>
            </w:pPr>
            <w:r w:rsidRPr="00E43137">
              <w:rPr>
                <w:rFonts w:ascii="Calibri" w:eastAsia="Calibri" w:hAnsi="Calibri"/>
                <w:bCs/>
                <w:sz w:val="20"/>
                <w:szCs w:val="20"/>
                <w:lang w:eastAsia="en-US"/>
              </w:rPr>
              <w:t xml:space="preserve">Opatrenie 4: </w:t>
            </w:r>
            <w:r w:rsidR="00D9472C">
              <w:rPr>
                <w:rFonts w:ascii="Calibri" w:eastAsia="Calibri" w:hAnsi="Calibri"/>
                <w:sz w:val="20"/>
                <w:szCs w:val="20"/>
                <w:lang w:eastAsia="en-US"/>
              </w:rPr>
              <w:t xml:space="preserve"> </w:t>
            </w:r>
            <w:r w:rsidRPr="00E43137">
              <w:rPr>
                <w:rFonts w:ascii="Calibri" w:eastAsia="Calibri" w:hAnsi="Calibri"/>
                <w:bCs/>
                <w:noProof/>
                <w:sz w:val="20"/>
                <w:szCs w:val="20"/>
                <w:lang w:eastAsia="en-US"/>
              </w:rPr>
              <w:t>Investície do hmotného majetku (čl.17):</w:t>
            </w:r>
          </w:p>
          <w:p w:rsidR="00E43137" w:rsidRPr="00E43137" w:rsidRDefault="00E43137" w:rsidP="008676F9">
            <w:pPr>
              <w:spacing w:after="60" w:line="276" w:lineRule="auto"/>
              <w:ind w:left="1418" w:hanging="1418"/>
              <w:rPr>
                <w:rFonts w:ascii="Calibri" w:eastAsia="Calibri" w:hAnsi="Calibri"/>
                <w:i/>
                <w:sz w:val="20"/>
                <w:szCs w:val="20"/>
                <w:lang w:eastAsia="en-US"/>
              </w:rPr>
            </w:pPr>
            <w:r w:rsidRPr="00E43137">
              <w:rPr>
                <w:rFonts w:ascii="Calibri" w:eastAsia="Calibri" w:hAnsi="Calibri"/>
                <w:i/>
                <w:sz w:val="20"/>
                <w:szCs w:val="20"/>
                <w:lang w:eastAsia="en-US"/>
              </w:rPr>
              <w:t>Podopatrenie 4.3 Podpora investícií do infraštruktúry týkajúcej sa rozvoja, modernizácie alebo adaptácie poľnohospodárstva a lesníctva (čl. 17c)</w:t>
            </w:r>
          </w:p>
        </w:tc>
      </w:tr>
      <w:tr w:rsidR="00E43137" w:rsidRPr="00E43137" w:rsidTr="00E43137">
        <w:tc>
          <w:tcPr>
            <w:tcW w:w="9072" w:type="dxa"/>
            <w:shd w:val="clear" w:color="auto" w:fill="auto"/>
            <w:vAlign w:val="center"/>
          </w:tcPr>
          <w:p w:rsidR="00E43137" w:rsidRPr="00E43137" w:rsidRDefault="00E43137" w:rsidP="008676F9">
            <w:pPr>
              <w:spacing w:after="60"/>
              <w:rPr>
                <w:rFonts w:ascii="Calibri" w:eastAsia="Calibri" w:hAnsi="Calibri"/>
                <w:sz w:val="20"/>
                <w:szCs w:val="20"/>
                <w:lang w:eastAsia="en-US"/>
              </w:rPr>
            </w:pPr>
            <w:r w:rsidRPr="00E43137">
              <w:rPr>
                <w:rFonts w:ascii="Calibri" w:eastAsia="Calibri" w:hAnsi="Calibri"/>
                <w:bCs/>
                <w:sz w:val="20"/>
                <w:szCs w:val="20"/>
                <w:lang w:eastAsia="en-US"/>
              </w:rPr>
              <w:t xml:space="preserve">Opatrenie 8: </w:t>
            </w:r>
            <w:r w:rsidRPr="00E43137">
              <w:rPr>
                <w:rFonts w:ascii="Calibri" w:eastAsia="Calibri" w:hAnsi="Calibri"/>
                <w:sz w:val="20"/>
                <w:szCs w:val="20"/>
                <w:lang w:eastAsia="en-US"/>
              </w:rPr>
              <w:t xml:space="preserve"> Investície do rozvoja lesných oblastí a zlepšenie životaschopnosti lesov (čl.21):</w:t>
            </w:r>
          </w:p>
          <w:p w:rsidR="00E43137" w:rsidRPr="00E43137" w:rsidRDefault="00E43137" w:rsidP="00D07D16">
            <w:pPr>
              <w:spacing w:after="60" w:line="276" w:lineRule="auto"/>
              <w:ind w:left="1560" w:hanging="1560"/>
              <w:rPr>
                <w:rFonts w:ascii="Calibri" w:eastAsia="Calibri" w:hAnsi="Calibri"/>
                <w:bCs/>
                <w:sz w:val="20"/>
                <w:szCs w:val="20"/>
                <w:lang w:eastAsia="en-US"/>
              </w:rPr>
            </w:pPr>
            <w:r w:rsidRPr="00E43137">
              <w:rPr>
                <w:rFonts w:ascii="Calibri" w:eastAsia="Calibri" w:hAnsi="Calibri"/>
                <w:i/>
                <w:sz w:val="20"/>
                <w:szCs w:val="20"/>
                <w:lang w:eastAsia="en-US"/>
              </w:rPr>
              <w:t>Podopatrenie 8.6 : Investície do lesníckych technológii a  spracovania,</w:t>
            </w:r>
            <w:r w:rsidR="00D07D16">
              <w:rPr>
                <w:rFonts w:ascii="Calibri" w:eastAsia="Calibri" w:hAnsi="Calibri"/>
                <w:i/>
                <w:sz w:val="20"/>
                <w:szCs w:val="20"/>
                <w:lang w:eastAsia="en-US"/>
              </w:rPr>
              <w:t xml:space="preserve"> do</w:t>
            </w:r>
            <w:r w:rsidRPr="00E43137">
              <w:rPr>
                <w:rFonts w:ascii="Calibri" w:eastAsia="Calibri" w:hAnsi="Calibri"/>
                <w:i/>
                <w:sz w:val="20"/>
                <w:szCs w:val="20"/>
                <w:lang w:eastAsia="en-US"/>
              </w:rPr>
              <w:t xml:space="preserve"> mobilizácie lesníckych produktov </w:t>
            </w:r>
            <w:r w:rsidR="00D07D16">
              <w:rPr>
                <w:rFonts w:ascii="Calibri" w:eastAsia="Calibri" w:hAnsi="Calibri"/>
                <w:i/>
                <w:sz w:val="20"/>
                <w:szCs w:val="20"/>
                <w:lang w:eastAsia="en-US"/>
              </w:rPr>
              <w:t>a ich uvádzania na trh</w:t>
            </w:r>
            <w:r w:rsidRPr="00E43137">
              <w:rPr>
                <w:rFonts w:ascii="Calibri" w:eastAsia="Calibri" w:hAnsi="Calibri"/>
                <w:i/>
                <w:sz w:val="20"/>
                <w:szCs w:val="20"/>
                <w:lang w:eastAsia="en-US"/>
              </w:rPr>
              <w:t>(čl.26)</w:t>
            </w:r>
          </w:p>
        </w:tc>
      </w:tr>
    </w:tbl>
    <w:p w:rsidR="00E43137" w:rsidRPr="00E43137" w:rsidRDefault="00E43137" w:rsidP="008676F9">
      <w:pPr>
        <w:autoSpaceDE w:val="0"/>
        <w:autoSpaceDN w:val="0"/>
        <w:adjustRightInd w:val="0"/>
        <w:rPr>
          <w:rFonts w:ascii="Calibri" w:eastAsia="Calibri" w:hAnsi="Calibri"/>
          <w:szCs w:val="22"/>
          <w:u w:val="single"/>
          <w:lang w:eastAsia="en-US"/>
        </w:rPr>
      </w:pPr>
    </w:p>
    <w:p w:rsidR="00E43137" w:rsidRPr="00E43137" w:rsidRDefault="00E43137" w:rsidP="008676F9">
      <w:pPr>
        <w:autoSpaceDE w:val="0"/>
        <w:autoSpaceDN w:val="0"/>
        <w:adjustRightInd w:val="0"/>
        <w:rPr>
          <w:rFonts w:ascii="Calibri" w:eastAsia="Calibri" w:hAnsi="Calibri"/>
          <w:szCs w:val="22"/>
          <w:u w:val="single"/>
          <w:lang w:eastAsia="en-US"/>
        </w:rPr>
      </w:pPr>
      <w:r w:rsidRPr="00E43137">
        <w:rPr>
          <w:rFonts w:ascii="Calibri" w:eastAsia="Calibri" w:hAnsi="Calibri"/>
          <w:szCs w:val="22"/>
          <w:u w:val="single"/>
          <w:lang w:eastAsia="en-US"/>
        </w:rPr>
        <w:t xml:space="preserve">Kombinácia a zdôvodnenie opatrení </w:t>
      </w:r>
    </w:p>
    <w:p w:rsidR="007F7CA6" w:rsidRDefault="007F7CA6" w:rsidP="007F7CA6">
      <w:pPr>
        <w:autoSpaceDE w:val="0"/>
        <w:autoSpaceDN w:val="0"/>
        <w:adjustRightInd w:val="0"/>
        <w:spacing w:before="120"/>
        <w:rPr>
          <w:rFonts w:ascii="Calibri" w:eastAsia="Calibri" w:hAnsi="Calibri"/>
          <w:bCs/>
        </w:rPr>
      </w:pPr>
      <w:r>
        <w:t xml:space="preserve">Cieľom intervencií v rámci dodatočnej fokusovej oblasti je zlepšiť hospodársky výkon lesných subjektov v lesnom hospodárstve. </w:t>
      </w:r>
      <w:r>
        <w:rPr>
          <w:rFonts w:ascii="Calibri" w:eastAsia="Calibri" w:hAnsi="Calibri"/>
          <w:bCs/>
        </w:rPr>
        <w:t>V</w:t>
      </w:r>
      <w:r w:rsidRPr="0093656E">
        <w:rPr>
          <w:rFonts w:ascii="Calibri" w:eastAsia="Calibri" w:hAnsi="Calibri"/>
          <w:bCs/>
        </w:rPr>
        <w:t> lesnom hospodárstve stále pracuje vysoké percento mechanizmov a technológ</w:t>
      </w:r>
      <w:r>
        <w:rPr>
          <w:rFonts w:ascii="Calibri" w:eastAsia="Calibri" w:hAnsi="Calibri"/>
          <w:bCs/>
        </w:rPr>
        <w:t>ií po dobe životnosti. Pre zlepšenie hospodárskeho výkonu lesných podnikov je nevyhnutné využívať moderné inovatívne technológie, ktoré zvýšia produktivitu práce,</w:t>
      </w:r>
      <w:r>
        <w:rPr>
          <w:rFonts w:ascii="Calibri" w:eastAsia="Calibri" w:hAnsi="Calibri"/>
          <w:bCs/>
        </w:rPr>
        <w:lastRenderedPageBreak/>
        <w:t xml:space="preserve"> znížia priame náklady ako aj budú viac šetrné k životnému prostrediu. Podpora investícií do týchto nových technológií a mechanizmov bude zabezpečená z </w:t>
      </w:r>
      <w:r w:rsidRPr="00CA6C69">
        <w:rPr>
          <w:rFonts w:ascii="Calibri" w:eastAsia="Calibri" w:hAnsi="Calibri"/>
          <w:b/>
          <w:bCs/>
        </w:rPr>
        <w:t>opatrenia 8, podopatrenia č.8.6 (čl.26)</w:t>
      </w:r>
      <w:r>
        <w:rPr>
          <w:rFonts w:ascii="Calibri" w:eastAsia="Calibri" w:hAnsi="Calibri"/>
          <w:bCs/>
        </w:rPr>
        <w:t xml:space="preserve">. </w:t>
      </w:r>
    </w:p>
    <w:p w:rsidR="007F7CA6" w:rsidRDefault="007F7CA6" w:rsidP="007F7CA6">
      <w:pPr>
        <w:autoSpaceDE w:val="0"/>
        <w:autoSpaceDN w:val="0"/>
        <w:adjustRightInd w:val="0"/>
        <w:spacing w:before="120"/>
        <w:rPr>
          <w:rFonts w:ascii="Calibri" w:eastAsia="Calibri" w:hAnsi="Calibri"/>
          <w:bCs/>
        </w:rPr>
      </w:pPr>
      <w:r>
        <w:t xml:space="preserve">V rámci SWOT analýzy bola identifikovaná nedostatočná hustota lesnej dopravnej siete. Zlepšenie dopravnej infraštruktúry v lesoch bude zabezpečené prostredníctvom podpory investícií do výstavby lesných ciest v rámci </w:t>
      </w:r>
      <w:r w:rsidRPr="00CA6C69">
        <w:rPr>
          <w:b/>
        </w:rPr>
        <w:t xml:space="preserve">opatrenia </w:t>
      </w:r>
      <w:r w:rsidRPr="00CA6C69">
        <w:rPr>
          <w:rFonts w:ascii="Calibri" w:eastAsia="Calibri" w:hAnsi="Calibri"/>
          <w:b/>
          <w:bCs/>
        </w:rPr>
        <w:t>4, podopatrenia 4.3 (čl.17c)</w:t>
      </w:r>
      <w:r>
        <w:rPr>
          <w:rFonts w:ascii="Calibri" w:eastAsia="Calibri" w:hAnsi="Calibri"/>
          <w:bCs/>
        </w:rPr>
        <w:t xml:space="preserve">. Cieľom v rámci </w:t>
      </w:r>
      <w:r w:rsidRPr="00CA6C69">
        <w:rPr>
          <w:rFonts w:ascii="Calibri" w:eastAsia="Calibri" w:hAnsi="Calibri"/>
          <w:b/>
          <w:bCs/>
        </w:rPr>
        <w:t>podopatrenia 4.3 (čl.17c)</w:t>
      </w:r>
      <w:r>
        <w:rPr>
          <w:rFonts w:ascii="Calibri" w:eastAsia="Calibri" w:hAnsi="Calibri"/>
          <w:bCs/>
        </w:rPr>
        <w:t xml:space="preserve"> bude vybudovať min. 100 km lesných ciest. </w:t>
      </w:r>
    </w:p>
    <w:p w:rsidR="007F7CA6" w:rsidRPr="00D82AFA" w:rsidRDefault="007F7CA6" w:rsidP="007F7CA6">
      <w:pPr>
        <w:autoSpaceDE w:val="0"/>
        <w:autoSpaceDN w:val="0"/>
        <w:adjustRightInd w:val="0"/>
        <w:spacing w:before="120"/>
        <w:rPr>
          <w:b/>
          <w:bCs/>
        </w:rPr>
      </w:pPr>
      <w:r>
        <w:t xml:space="preserve">Obe opatrenia vytvárajú vzájomnú synergiu, ktorá prispeje nie len k špecifickému cieľu 2C ale aj k cieľom fokusových oblastí 4A, 4B, 4C, 5E. Podporené investície do lesných ciest budú v súlade s požiadavkami ochrany životného prostredia. </w:t>
      </w:r>
    </w:p>
    <w:p w:rsidR="00E43137" w:rsidRPr="00E43137" w:rsidRDefault="00E43137" w:rsidP="008676F9">
      <w:pPr>
        <w:spacing w:line="276" w:lineRule="auto"/>
        <w:rPr>
          <w:rFonts w:ascii="Calibri" w:eastAsia="Calibri" w:hAnsi="Calibri"/>
          <w:bCs/>
          <w:szCs w:val="22"/>
          <w:lang w:eastAsia="en-US"/>
        </w:rPr>
      </w:pPr>
    </w:p>
    <w:p w:rsidR="00E43137" w:rsidRPr="00E43137" w:rsidRDefault="00E43137" w:rsidP="008676F9">
      <w:pPr>
        <w:spacing w:after="200" w:line="276" w:lineRule="auto"/>
        <w:rPr>
          <w:rFonts w:ascii="Calibri" w:eastAsia="Calibri" w:hAnsi="Calibri"/>
          <w:b/>
          <w:bCs/>
          <w:szCs w:val="22"/>
          <w:lang w:eastAsia="en-US"/>
        </w:rPr>
      </w:pPr>
    </w:p>
    <w:p w:rsidR="00E43137" w:rsidRPr="00E43137" w:rsidRDefault="00E43137" w:rsidP="008676F9">
      <w:pPr>
        <w:spacing w:after="200" w:line="276" w:lineRule="auto"/>
        <w:rPr>
          <w:rFonts w:ascii="Calibri" w:eastAsia="Calibri" w:hAnsi="Calibri"/>
          <w:b/>
          <w:bCs/>
          <w:szCs w:val="22"/>
          <w:lang w:eastAsia="en-US"/>
        </w:rPr>
      </w:pPr>
      <w:r w:rsidRPr="00E43137">
        <w:rPr>
          <w:rFonts w:ascii="Calibri" w:eastAsia="Calibri" w:hAnsi="Calibri"/>
          <w:b/>
          <w:bCs/>
          <w:szCs w:val="22"/>
          <w:lang w:eastAsia="en-US"/>
        </w:rPr>
        <w:br w:type="page"/>
      </w:r>
    </w:p>
    <w:p w:rsidR="00E43137" w:rsidRPr="00E43137" w:rsidRDefault="00E43137" w:rsidP="00744ED8">
      <w:pPr>
        <w:pStyle w:val="Podpod"/>
        <w:spacing w:after="120"/>
        <w:ind w:left="2126" w:hanging="2126"/>
      </w:pPr>
      <w:bookmarkStart w:id="50" w:name="_Toc384111022"/>
      <w:bookmarkStart w:id="51" w:name="_Toc387041300"/>
      <w:r w:rsidRPr="00E43137">
        <w:t>5.2.3 Priorita 3: Podpora organizácie potravinového reťazca vrátane spracovania poľnohospodárskych výrobkoch a ich uvádzania na trh, dobrých životných podmienok zvierat a riadenia rizík v poľnohospodárstve</w:t>
      </w:r>
      <w:bookmarkEnd w:id="50"/>
      <w:bookmarkEnd w:id="51"/>
    </w:p>
    <w:p w:rsidR="00E43137" w:rsidRPr="00AA30CA" w:rsidRDefault="00E43137" w:rsidP="00C32FE9">
      <w:pPr>
        <w:ind w:left="2552" w:hanging="2552"/>
        <w:jc w:val="left"/>
        <w:rPr>
          <w:rFonts w:eastAsia="Calibri"/>
          <w:b/>
        </w:rPr>
      </w:pPr>
      <w:r w:rsidRPr="00AA30CA">
        <w:rPr>
          <w:rFonts w:eastAsia="Calibri"/>
          <w:b/>
        </w:rPr>
        <w:t xml:space="preserve">5.2.3.1 Fokusová oblasť 3A: </w:t>
      </w:r>
      <w:r w:rsidR="00086915" w:rsidRPr="00AA30CA">
        <w:rPr>
          <w:rFonts w:eastAsia="Calibri"/>
          <w:b/>
        </w:rPr>
        <w:t>Z</w:t>
      </w:r>
      <w:r w:rsidRPr="00AA30CA">
        <w:rPr>
          <w:rFonts w:eastAsia="Calibri"/>
          <w:b/>
        </w:rPr>
        <w:t xml:space="preserve">výšenie konkurencieschopnosti prvovýrobcov prostredníctvom ich lepšej integrácie do poľnohospodársko-potravinového reťazca pomocou systémov kvality, pridávania hodnoty poľnohospodárskym produktom, propagácie na miestnych trhoch a v krátkych dodávateľských reťazcoch, skupín a organizácií výrobcov a medziodvetvových organizácií </w:t>
      </w:r>
    </w:p>
    <w:p w:rsidR="00F57BCD" w:rsidRDefault="00F57BCD" w:rsidP="008676F9">
      <w:pPr>
        <w:autoSpaceDE w:val="0"/>
        <w:autoSpaceDN w:val="0"/>
        <w:adjustRightInd w:val="0"/>
        <w:ind w:left="709" w:hanging="709"/>
        <w:rPr>
          <w:rFonts w:ascii="Calibri" w:eastAsia="Calibri" w:hAnsi="Calibri"/>
          <w:szCs w:val="22"/>
          <w:u w:val="single"/>
          <w:lang w:eastAsia="en-US"/>
        </w:rPr>
      </w:pPr>
    </w:p>
    <w:p w:rsidR="00E43137" w:rsidRPr="00E43137" w:rsidRDefault="00E43137" w:rsidP="008676F9">
      <w:pPr>
        <w:autoSpaceDE w:val="0"/>
        <w:autoSpaceDN w:val="0"/>
        <w:adjustRightInd w:val="0"/>
        <w:ind w:left="709" w:hanging="709"/>
        <w:rPr>
          <w:rFonts w:ascii="Calibri" w:eastAsia="Calibri" w:hAnsi="Calibri"/>
          <w:b/>
          <w:szCs w:val="22"/>
          <w:lang w:eastAsia="en-US"/>
        </w:rPr>
      </w:pPr>
      <w:r w:rsidRPr="00E43137">
        <w:rPr>
          <w:rFonts w:ascii="Calibri" w:eastAsia="Calibri" w:hAnsi="Calibri"/>
          <w:szCs w:val="22"/>
          <w:u w:val="single"/>
          <w:lang w:eastAsia="en-US"/>
        </w:rPr>
        <w:t>Vybrané opatrenia</w:t>
      </w:r>
    </w:p>
    <w:tbl>
      <w:tblPr>
        <w:tblpPr w:leftFromText="141" w:rightFromText="141" w:vertAnchor="text" w:horzAnchor="margin" w:tblpX="108" w:tblpY="80"/>
        <w:tblW w:w="90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39"/>
      </w:tblGrid>
      <w:tr w:rsidR="007F7CA6" w:rsidRPr="00D82AFA" w:rsidTr="007F7CA6">
        <w:tc>
          <w:tcPr>
            <w:tcW w:w="9039" w:type="dxa"/>
            <w:shd w:val="clear" w:color="auto" w:fill="auto"/>
            <w:vAlign w:val="center"/>
          </w:tcPr>
          <w:p w:rsidR="007F7CA6" w:rsidRPr="00D82AFA" w:rsidRDefault="007F7CA6" w:rsidP="007F7CA6">
            <w:pPr>
              <w:spacing w:before="60" w:after="60"/>
              <w:rPr>
                <w:bCs/>
                <w:noProof/>
                <w:sz w:val="20"/>
                <w:szCs w:val="20"/>
              </w:rPr>
            </w:pPr>
            <w:r>
              <w:rPr>
                <w:sz w:val="20"/>
                <w:szCs w:val="20"/>
              </w:rPr>
              <w:t>Opatrenie  4</w:t>
            </w:r>
            <w:r w:rsidRPr="00D82AFA">
              <w:rPr>
                <w:bCs/>
                <w:noProof/>
                <w:sz w:val="20"/>
                <w:szCs w:val="20"/>
              </w:rPr>
              <w:t xml:space="preserve">: </w:t>
            </w:r>
            <w:r>
              <w:rPr>
                <w:bCs/>
                <w:noProof/>
                <w:sz w:val="20"/>
                <w:szCs w:val="20"/>
              </w:rPr>
              <w:t>I</w:t>
            </w:r>
            <w:r w:rsidRPr="00D82AFA">
              <w:rPr>
                <w:bCs/>
                <w:noProof/>
                <w:sz w:val="20"/>
                <w:szCs w:val="20"/>
              </w:rPr>
              <w:t>nvestície do hmotného majetku</w:t>
            </w:r>
            <w:r>
              <w:rPr>
                <w:bCs/>
                <w:noProof/>
                <w:sz w:val="20"/>
                <w:szCs w:val="20"/>
              </w:rPr>
              <w:t xml:space="preserve"> (čl.17)</w:t>
            </w:r>
          </w:p>
          <w:p w:rsidR="007F7CA6" w:rsidRPr="00D82AFA" w:rsidRDefault="007F7CA6" w:rsidP="007F7CA6">
            <w:pPr>
              <w:spacing w:before="60" w:after="60"/>
              <w:ind w:left="1701" w:hanging="1701"/>
              <w:rPr>
                <w:i/>
                <w:sz w:val="20"/>
                <w:szCs w:val="20"/>
              </w:rPr>
            </w:pPr>
            <w:r>
              <w:rPr>
                <w:i/>
                <w:sz w:val="20"/>
                <w:szCs w:val="20"/>
              </w:rPr>
              <w:t>Podopatrenie 4</w:t>
            </w:r>
            <w:r w:rsidRPr="00D82AFA">
              <w:rPr>
                <w:i/>
                <w:sz w:val="20"/>
                <w:szCs w:val="20"/>
              </w:rPr>
              <w:t xml:space="preserve">.2: </w:t>
            </w:r>
            <w:r w:rsidRPr="00D82AFA">
              <w:rPr>
                <w:b/>
                <w:bCs/>
                <w:i/>
                <w:noProof/>
                <w:sz w:val="20"/>
                <w:szCs w:val="20"/>
              </w:rPr>
              <w:t xml:space="preserve"> </w:t>
            </w:r>
            <w:r w:rsidRPr="00D82AFA">
              <w:rPr>
                <w:bCs/>
                <w:i/>
                <w:sz w:val="20"/>
                <w:szCs w:val="20"/>
              </w:rPr>
              <w:t>Investície do hmotného majetku, ktoré sa týkajú spracovania, uvádzania na trh a/alebo vývoja poľnohospodárskych výrobkov</w:t>
            </w:r>
            <w:r>
              <w:rPr>
                <w:i/>
                <w:sz w:val="20"/>
                <w:szCs w:val="20"/>
              </w:rPr>
              <w:t xml:space="preserve">  (čl.17</w:t>
            </w:r>
            <w:r w:rsidRPr="00D82AFA">
              <w:rPr>
                <w:i/>
                <w:sz w:val="20"/>
                <w:szCs w:val="20"/>
              </w:rPr>
              <w:t>b)</w:t>
            </w:r>
            <w:r w:rsidRPr="00D82AFA">
              <w:rPr>
                <w:bCs/>
                <w:i/>
                <w:sz w:val="20"/>
                <w:szCs w:val="20"/>
              </w:rPr>
              <w:t xml:space="preserve">                                                     </w:t>
            </w:r>
          </w:p>
        </w:tc>
      </w:tr>
      <w:tr w:rsidR="007F7CA6" w:rsidRPr="00D82AFA" w:rsidTr="007F7CA6">
        <w:tc>
          <w:tcPr>
            <w:tcW w:w="9039" w:type="dxa"/>
            <w:shd w:val="clear" w:color="auto" w:fill="auto"/>
            <w:vAlign w:val="center"/>
          </w:tcPr>
          <w:p w:rsidR="007F7CA6" w:rsidRPr="00D82AFA" w:rsidRDefault="007F7CA6" w:rsidP="007F7CA6">
            <w:pPr>
              <w:spacing w:before="60" w:after="60"/>
              <w:rPr>
                <w:sz w:val="20"/>
                <w:szCs w:val="20"/>
              </w:rPr>
            </w:pPr>
            <w:r>
              <w:rPr>
                <w:bCs/>
                <w:sz w:val="20"/>
                <w:szCs w:val="20"/>
              </w:rPr>
              <w:t>Opatrenie 14</w:t>
            </w:r>
            <w:r w:rsidRPr="00D82AFA">
              <w:rPr>
                <w:bCs/>
                <w:sz w:val="20"/>
                <w:szCs w:val="20"/>
              </w:rPr>
              <w:t xml:space="preserve">: Dobré životné podmienky zvierat </w:t>
            </w:r>
            <w:r>
              <w:rPr>
                <w:sz w:val="20"/>
                <w:szCs w:val="20"/>
              </w:rPr>
              <w:t>(čl. 33</w:t>
            </w:r>
            <w:r w:rsidRPr="00D82AFA">
              <w:rPr>
                <w:sz w:val="20"/>
                <w:szCs w:val="20"/>
              </w:rPr>
              <w:t>)</w:t>
            </w:r>
          </w:p>
        </w:tc>
      </w:tr>
      <w:tr w:rsidR="007F7CA6" w:rsidRPr="00D82AFA" w:rsidTr="007F7CA6">
        <w:tc>
          <w:tcPr>
            <w:tcW w:w="9039" w:type="dxa"/>
            <w:shd w:val="clear" w:color="auto" w:fill="auto"/>
            <w:vAlign w:val="center"/>
          </w:tcPr>
          <w:p w:rsidR="007F7CA6" w:rsidRPr="00D82AFA" w:rsidRDefault="007F7CA6" w:rsidP="007F7CA6">
            <w:pPr>
              <w:spacing w:before="60" w:after="60"/>
              <w:rPr>
                <w:bCs/>
                <w:sz w:val="20"/>
                <w:szCs w:val="20"/>
              </w:rPr>
            </w:pPr>
            <w:r>
              <w:rPr>
                <w:bCs/>
                <w:sz w:val="20"/>
                <w:szCs w:val="20"/>
              </w:rPr>
              <w:t>Opatrenie  9: Zakladanie skupín a organizácií výrobcov (čl. 27)</w:t>
            </w:r>
          </w:p>
        </w:tc>
      </w:tr>
      <w:tr w:rsidR="007F7CA6" w:rsidRPr="00D82AFA" w:rsidTr="007F7CA6">
        <w:tc>
          <w:tcPr>
            <w:tcW w:w="9039" w:type="dxa"/>
            <w:shd w:val="clear" w:color="auto" w:fill="auto"/>
            <w:vAlign w:val="center"/>
          </w:tcPr>
          <w:p w:rsidR="007F7CA6" w:rsidRPr="00D82AFA" w:rsidRDefault="007F7CA6" w:rsidP="007F7CA6">
            <w:pPr>
              <w:spacing w:before="60" w:after="60"/>
              <w:rPr>
                <w:sz w:val="20"/>
                <w:szCs w:val="20"/>
              </w:rPr>
            </w:pPr>
            <w:r>
              <w:rPr>
                <w:sz w:val="20"/>
                <w:szCs w:val="20"/>
              </w:rPr>
              <w:t xml:space="preserve">Opatrenie </w:t>
            </w:r>
            <w:r w:rsidRPr="00D82AFA">
              <w:rPr>
                <w:sz w:val="20"/>
                <w:szCs w:val="20"/>
              </w:rPr>
              <w:t>1</w:t>
            </w:r>
            <w:r>
              <w:rPr>
                <w:sz w:val="20"/>
                <w:szCs w:val="20"/>
              </w:rPr>
              <w:t>6: Spolupráca (čl. 35</w:t>
            </w:r>
            <w:r w:rsidRPr="00D82AFA">
              <w:rPr>
                <w:sz w:val="20"/>
                <w:szCs w:val="20"/>
              </w:rPr>
              <w:t>)</w:t>
            </w:r>
          </w:p>
        </w:tc>
      </w:tr>
      <w:tr w:rsidR="007F7CA6" w:rsidRPr="00D82AFA" w:rsidTr="007F7CA6">
        <w:tc>
          <w:tcPr>
            <w:tcW w:w="9039" w:type="dxa"/>
            <w:shd w:val="clear" w:color="auto" w:fill="auto"/>
            <w:vAlign w:val="center"/>
          </w:tcPr>
          <w:p w:rsidR="007F7CA6" w:rsidRPr="00D82AFA" w:rsidRDefault="007F7CA6" w:rsidP="007F7CA6">
            <w:pPr>
              <w:spacing w:before="60" w:after="60"/>
              <w:rPr>
                <w:bCs/>
                <w:sz w:val="20"/>
                <w:szCs w:val="20"/>
              </w:rPr>
            </w:pPr>
            <w:r w:rsidRPr="00D82AFA">
              <w:rPr>
                <w:sz w:val="20"/>
                <w:szCs w:val="20"/>
              </w:rPr>
              <w:t xml:space="preserve">Opatrenie  </w:t>
            </w:r>
            <w:r w:rsidRPr="00D82AFA">
              <w:rPr>
                <w:bCs/>
                <w:sz w:val="20"/>
                <w:szCs w:val="20"/>
              </w:rPr>
              <w:t>1: Pre</w:t>
            </w:r>
            <w:r>
              <w:rPr>
                <w:bCs/>
                <w:sz w:val="20"/>
                <w:szCs w:val="20"/>
              </w:rPr>
              <w:t>nos vedomostí a zručností (čl.14</w:t>
            </w:r>
            <w:r w:rsidRPr="00D82AFA">
              <w:rPr>
                <w:bCs/>
                <w:sz w:val="20"/>
                <w:szCs w:val="20"/>
              </w:rPr>
              <w:t>)</w:t>
            </w:r>
          </w:p>
        </w:tc>
      </w:tr>
      <w:tr w:rsidR="007F7CA6" w:rsidRPr="00D82AFA" w:rsidTr="007F7CA6">
        <w:tc>
          <w:tcPr>
            <w:tcW w:w="9039" w:type="dxa"/>
            <w:shd w:val="clear" w:color="auto" w:fill="auto"/>
            <w:vAlign w:val="center"/>
          </w:tcPr>
          <w:p w:rsidR="007F7CA6" w:rsidRPr="00D82AFA" w:rsidRDefault="007F7CA6" w:rsidP="007F7CA6">
            <w:pPr>
              <w:spacing w:before="60" w:after="60"/>
              <w:rPr>
                <w:sz w:val="20"/>
                <w:szCs w:val="20"/>
              </w:rPr>
            </w:pPr>
            <w:r w:rsidRPr="00D82AFA">
              <w:rPr>
                <w:sz w:val="20"/>
                <w:szCs w:val="20"/>
              </w:rPr>
              <w:t xml:space="preserve">Opatrenie  </w:t>
            </w:r>
            <w:r>
              <w:rPr>
                <w:sz w:val="20"/>
                <w:szCs w:val="20"/>
              </w:rPr>
              <w:t>2: Poradenské služby  (čl.15</w:t>
            </w:r>
            <w:r w:rsidRPr="00D82AFA">
              <w:rPr>
                <w:sz w:val="20"/>
                <w:szCs w:val="20"/>
              </w:rPr>
              <w:t xml:space="preserve">)                                                      </w:t>
            </w:r>
          </w:p>
        </w:tc>
      </w:tr>
    </w:tbl>
    <w:p w:rsidR="00E43137" w:rsidRPr="00E43137" w:rsidRDefault="00E43137" w:rsidP="008676F9">
      <w:pPr>
        <w:autoSpaceDE w:val="0"/>
        <w:autoSpaceDN w:val="0"/>
        <w:adjustRightInd w:val="0"/>
        <w:rPr>
          <w:rFonts w:ascii="Calibri" w:eastAsia="Calibri" w:hAnsi="Calibri"/>
          <w:szCs w:val="22"/>
          <w:lang w:eastAsia="en-US"/>
        </w:rPr>
      </w:pPr>
    </w:p>
    <w:p w:rsidR="00E43137" w:rsidRPr="00E43137" w:rsidRDefault="00E43137" w:rsidP="008676F9">
      <w:pPr>
        <w:autoSpaceDE w:val="0"/>
        <w:autoSpaceDN w:val="0"/>
        <w:adjustRightInd w:val="0"/>
        <w:rPr>
          <w:rFonts w:ascii="Calibri" w:eastAsia="Calibri" w:hAnsi="Calibri"/>
          <w:szCs w:val="22"/>
          <w:u w:val="single"/>
          <w:lang w:eastAsia="en-US"/>
        </w:rPr>
      </w:pPr>
      <w:r w:rsidRPr="00E43137">
        <w:rPr>
          <w:rFonts w:ascii="Calibri" w:eastAsia="Calibri" w:hAnsi="Calibri"/>
          <w:szCs w:val="22"/>
          <w:u w:val="single"/>
          <w:lang w:eastAsia="en-US"/>
        </w:rPr>
        <w:t xml:space="preserve">Kombinácia a zdôvodnenie opatrení </w:t>
      </w:r>
    </w:p>
    <w:p w:rsidR="007F7CA6" w:rsidRPr="002307CC" w:rsidRDefault="007F7CA6" w:rsidP="007F7CA6">
      <w:pPr>
        <w:autoSpaceDE w:val="0"/>
        <w:autoSpaceDN w:val="0"/>
        <w:adjustRightInd w:val="0"/>
        <w:spacing w:before="120"/>
      </w:pPr>
      <w:r>
        <w:t>Zvolená stratégia v rámci fokusovej oblasti 3A reaguje na zistenia z analýzy SWOT. Cieľom FO 3A bude i.) zlepšiť spoluprácu medzi samotnými poľnohospodármi ako aj medzi poľnohospodármi a ostatnými aktérmi potravinového reťazca, ii.) rozvoj krátkych dodávateľských reťazcov, iii.) zvýšiť tvorbu pridanej hodnoty v spracovaní poľnohospodárskej produkcie, iv.) zlepšiť odbyt domácej poľ. a potravinárskej produkcie .</w:t>
      </w:r>
    </w:p>
    <w:p w:rsidR="007F7CA6" w:rsidRDefault="007F7CA6" w:rsidP="007F7CA6">
      <w:pPr>
        <w:spacing w:before="120"/>
      </w:pPr>
      <w:r>
        <w:t xml:space="preserve">V zmysle uvedených cieľov sa v rámci </w:t>
      </w:r>
      <w:r w:rsidRPr="003C71BA">
        <w:rPr>
          <w:b/>
        </w:rPr>
        <w:t>opatrenia 9 (čl.27)</w:t>
      </w:r>
      <w:r>
        <w:t xml:space="preserve"> podporí horizontálna spolupráca poľ.</w:t>
      </w:r>
      <w:r w:rsidR="00B3442A">
        <w:t xml:space="preserve"> </w:t>
      </w:r>
      <w:r w:rsidRPr="00D82AFA">
        <w:t>podnikov</w:t>
      </w:r>
      <w:r>
        <w:t xml:space="preserve"> organizovaných v OOV, ako aj </w:t>
      </w:r>
      <w:r w:rsidRPr="00E74473">
        <w:t>horizontálna a vertikálna spolupráca</w:t>
      </w:r>
      <w:r>
        <w:t xml:space="preserve"> v rámci </w:t>
      </w:r>
      <w:r w:rsidRPr="003C71BA">
        <w:rPr>
          <w:b/>
        </w:rPr>
        <w:t>opatrenia 16 (čl.35)</w:t>
      </w:r>
      <w:r w:rsidRPr="00E74473">
        <w:t xml:space="preserve"> medzi aktérmi dodávateľského reťazca pri zriaďovaní logistických platforiem na podporu krátkych dodávateľských reťazcov a miestnych trhov</w:t>
      </w:r>
      <w:r>
        <w:t xml:space="preserve">. Okrem toho v rámci </w:t>
      </w:r>
      <w:r w:rsidRPr="003C71BA">
        <w:rPr>
          <w:b/>
        </w:rPr>
        <w:t>opatrenia 16 (čl.35)</w:t>
      </w:r>
      <w:r>
        <w:t xml:space="preserve"> sa budú podporovať </w:t>
      </w:r>
      <w:r w:rsidRPr="00E74473">
        <w:t xml:space="preserve">propagačné činnosti  v súvislosti s rozvojom krátkych dodávateľských reťazcov a miestnych trhov, pilotné projekty zamerané na rozvoj potravinového reťazca, vývoj nových výrobkov, služieb, postupov a technológií v sektoroch poľnohospodárstva a potravinárstva. </w:t>
      </w:r>
    </w:p>
    <w:p w:rsidR="007F7CA6" w:rsidRDefault="007F7CA6" w:rsidP="007F7CA6">
      <w:pPr>
        <w:spacing w:before="120"/>
      </w:pPr>
      <w:r>
        <w:t xml:space="preserve">Okrem toho budú podporené aj </w:t>
      </w:r>
      <w:r w:rsidRPr="00E74473">
        <w:rPr>
          <w:rFonts w:eastAsia="SimSun"/>
        </w:rPr>
        <w:t xml:space="preserve">investície  do majetku </w:t>
      </w:r>
      <w:r>
        <w:rPr>
          <w:rFonts w:eastAsia="SimSun"/>
        </w:rPr>
        <w:t xml:space="preserve">v rámci </w:t>
      </w:r>
      <w:r w:rsidRPr="003C71BA">
        <w:rPr>
          <w:rFonts w:eastAsia="SimSun"/>
          <w:b/>
        </w:rPr>
        <w:t>podopatrenia 4.2 (čl.17b)</w:t>
      </w:r>
      <w:r w:rsidRPr="00E74473">
        <w:rPr>
          <w:rFonts w:eastAsia="SimSun"/>
        </w:rPr>
        <w:t xml:space="preserve"> týkajúce sa odbytu a spracovania poľnohospodárskej produkcie v súvislosti so i.) zavadzaním výroby nových ako aj tradičných produktov, novej techniky/technológií a ii.) podporou budovania</w:t>
      </w:r>
      <w:r w:rsidRPr="00E74473">
        <w:t xml:space="preserve"> malých odbytových miest pre odbyt poľnohospodárskej produkcie a produktov spracovania poľnohospodárskej prvovýroby. </w:t>
      </w:r>
    </w:p>
    <w:p w:rsidR="007F7CA6" w:rsidRDefault="007F7CA6" w:rsidP="007F7CA6">
      <w:pPr>
        <w:spacing w:before="120"/>
      </w:pPr>
      <w:r>
        <w:t>Zvyšovanie pridanej hodnoty súvisí aj so zvyšovaním kvality produkcie. Z</w:t>
      </w:r>
      <w:r w:rsidRPr="00E74473">
        <w:t xml:space="preserve">výšenie kvality produkcie v živočíšnej výrobe </w:t>
      </w:r>
      <w:r>
        <w:t xml:space="preserve">bude dosiahnuté </w:t>
      </w:r>
      <w:r w:rsidRPr="00E74473">
        <w:t xml:space="preserve">prostredníctvom podpôr vyplácaných v rámci </w:t>
      </w:r>
      <w:r w:rsidRPr="003C71BA">
        <w:rPr>
          <w:b/>
        </w:rPr>
        <w:t>opatrenia 14</w:t>
      </w:r>
      <w:r>
        <w:t xml:space="preserve"> </w:t>
      </w:r>
      <w:r w:rsidRPr="00E74473">
        <w:t xml:space="preserve">Dobré životné podmienky zvierat </w:t>
      </w:r>
      <w:r w:rsidRPr="003C71BA">
        <w:rPr>
          <w:b/>
        </w:rPr>
        <w:t>(čl.33)</w:t>
      </w:r>
      <w:r w:rsidRPr="00E74473">
        <w:t>. Podporená vyššia kvalita primárnej produkcie má väčší potenciál pre využitie v potrav</w:t>
      </w:r>
      <w:r>
        <w:t>i</w:t>
      </w:r>
      <w:r w:rsidRPr="00E74473">
        <w:t>no</w:t>
      </w:r>
      <w:r w:rsidR="00B3442A">
        <w:t>vo</w:t>
      </w:r>
      <w:r w:rsidRPr="00E74473">
        <w:t xml:space="preserve">m reťazci. </w:t>
      </w:r>
    </w:p>
    <w:p w:rsidR="007B5045" w:rsidRPr="007F7CA6" w:rsidRDefault="007F7CA6" w:rsidP="007F7CA6">
      <w:pPr>
        <w:spacing w:before="120"/>
      </w:pPr>
      <w:r>
        <w:t>Účinky podporených investícií a kompenzačných platieb budú podporené transferom informácií a zručností (</w:t>
      </w:r>
      <w:r w:rsidRPr="003C71BA">
        <w:rPr>
          <w:b/>
        </w:rPr>
        <w:t>opatrenie 1, čl.14</w:t>
      </w:r>
      <w:r>
        <w:t>) a poradenstvom (</w:t>
      </w:r>
      <w:r w:rsidRPr="003C71BA">
        <w:rPr>
          <w:b/>
        </w:rPr>
        <w:t>opatrenie 2, čl.15</w:t>
      </w:r>
      <w:r>
        <w:t>) zamerané</w:t>
      </w:r>
      <w:r w:rsidRPr="00E74473">
        <w:t xml:space="preserve"> na nové postupy v spracovaní poľnohospodárskych produktov</w:t>
      </w:r>
      <w:r>
        <w:t>.</w:t>
      </w:r>
      <w:r w:rsidR="007B5045">
        <w:rPr>
          <w:rFonts w:ascii="Calibri" w:eastAsia="Calibri" w:hAnsi="Calibri"/>
          <w:szCs w:val="22"/>
          <w:lang w:eastAsia="en-US"/>
        </w:rPr>
        <w:br w:type="page"/>
      </w:r>
    </w:p>
    <w:p w:rsidR="00E43137" w:rsidRPr="00AA30CA" w:rsidRDefault="00086915" w:rsidP="007F7CA6">
      <w:pPr>
        <w:ind w:left="3119" w:hanging="3119"/>
        <w:rPr>
          <w:rFonts w:eastAsia="Calibri"/>
          <w:b/>
        </w:rPr>
      </w:pPr>
      <w:r w:rsidRPr="00AA30CA">
        <w:rPr>
          <w:rFonts w:eastAsia="Calibri"/>
          <w:b/>
        </w:rPr>
        <w:t xml:space="preserve">5.2.3.2 </w:t>
      </w:r>
      <w:r w:rsidR="00E43137" w:rsidRPr="00AA30CA">
        <w:rPr>
          <w:rFonts w:eastAsia="Calibri"/>
          <w:b/>
        </w:rPr>
        <w:t>Fokusová oblasť 3B: Podpora riadenia rizík poľnohospodárskych podnikov a ich predchádzania</w:t>
      </w:r>
    </w:p>
    <w:p w:rsidR="00086915" w:rsidRDefault="00086915" w:rsidP="008676F9">
      <w:pPr>
        <w:autoSpaceDE w:val="0"/>
        <w:autoSpaceDN w:val="0"/>
        <w:adjustRightInd w:val="0"/>
        <w:rPr>
          <w:rFonts w:ascii="Calibri" w:eastAsia="Calibri" w:hAnsi="Calibri"/>
          <w:szCs w:val="22"/>
          <w:u w:val="single"/>
          <w:lang w:eastAsia="en-US"/>
        </w:rPr>
      </w:pPr>
    </w:p>
    <w:p w:rsidR="00E43137" w:rsidRPr="00E43137" w:rsidRDefault="00E43137" w:rsidP="008676F9">
      <w:pPr>
        <w:autoSpaceDE w:val="0"/>
        <w:autoSpaceDN w:val="0"/>
        <w:adjustRightInd w:val="0"/>
        <w:rPr>
          <w:rFonts w:ascii="Calibri" w:eastAsia="Calibri" w:hAnsi="Calibri"/>
          <w:szCs w:val="22"/>
          <w:u w:val="single"/>
          <w:lang w:eastAsia="en-US"/>
        </w:rPr>
      </w:pPr>
      <w:r w:rsidRPr="00E43137">
        <w:rPr>
          <w:rFonts w:ascii="Calibri" w:eastAsia="Calibri" w:hAnsi="Calibri"/>
          <w:szCs w:val="22"/>
          <w:u w:val="single"/>
          <w:lang w:eastAsia="en-US"/>
        </w:rPr>
        <w:t>Vybrané opatrenia</w:t>
      </w:r>
    </w:p>
    <w:tbl>
      <w:tblPr>
        <w:tblpPr w:leftFromText="141" w:rightFromText="141" w:vertAnchor="text" w:horzAnchor="margin" w:tblpX="108" w:tblpY="80"/>
        <w:tblW w:w="90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39"/>
      </w:tblGrid>
      <w:tr w:rsidR="007F7CA6" w:rsidRPr="00D82AFA" w:rsidTr="007F7CA6">
        <w:tc>
          <w:tcPr>
            <w:tcW w:w="9039" w:type="dxa"/>
            <w:shd w:val="clear" w:color="auto" w:fill="auto"/>
            <w:vAlign w:val="center"/>
          </w:tcPr>
          <w:p w:rsidR="007F7CA6" w:rsidRPr="00D82AFA" w:rsidRDefault="007F7CA6" w:rsidP="007F7CA6">
            <w:pPr>
              <w:autoSpaceDE w:val="0"/>
              <w:autoSpaceDN w:val="0"/>
              <w:adjustRightInd w:val="0"/>
              <w:spacing w:before="120"/>
              <w:ind w:left="1276" w:hanging="1276"/>
              <w:rPr>
                <w:bCs/>
                <w:sz w:val="20"/>
                <w:szCs w:val="20"/>
              </w:rPr>
            </w:pPr>
            <w:r>
              <w:rPr>
                <w:bCs/>
                <w:sz w:val="20"/>
                <w:szCs w:val="20"/>
              </w:rPr>
              <w:t xml:space="preserve">Opatrenie 17: </w:t>
            </w:r>
            <w:r w:rsidRPr="007E3718">
              <w:rPr>
                <w:rFonts w:ascii="Times New Roman" w:hAnsi="Times New Roman"/>
                <w:sz w:val="24"/>
              </w:rPr>
              <w:t xml:space="preserve"> </w:t>
            </w:r>
            <w:r w:rsidRPr="007E3718">
              <w:rPr>
                <w:bCs/>
                <w:sz w:val="20"/>
                <w:szCs w:val="20"/>
              </w:rPr>
              <w:t>Vzájomné fondy pre nepriaznivé poveternostné udalosti, choroby zvierat a rastlín, zamorenie škodcami a environmentálne nehody</w:t>
            </w:r>
            <w:r>
              <w:rPr>
                <w:bCs/>
                <w:sz w:val="20"/>
                <w:szCs w:val="20"/>
              </w:rPr>
              <w:t xml:space="preserve"> (čl.38)</w:t>
            </w:r>
          </w:p>
        </w:tc>
      </w:tr>
      <w:tr w:rsidR="007F7CA6" w:rsidRPr="00D82AFA" w:rsidTr="007F7CA6">
        <w:tc>
          <w:tcPr>
            <w:tcW w:w="9039" w:type="dxa"/>
            <w:shd w:val="clear" w:color="auto" w:fill="auto"/>
            <w:vAlign w:val="center"/>
          </w:tcPr>
          <w:p w:rsidR="007F7CA6" w:rsidRPr="00D82AFA" w:rsidRDefault="007F7CA6" w:rsidP="00C32FE9">
            <w:pPr>
              <w:spacing w:before="60" w:after="60"/>
              <w:ind w:left="1418" w:hanging="1418"/>
              <w:rPr>
                <w:sz w:val="20"/>
                <w:szCs w:val="20"/>
              </w:rPr>
            </w:pPr>
            <w:r>
              <w:rPr>
                <w:bCs/>
                <w:sz w:val="20"/>
                <w:szCs w:val="20"/>
              </w:rPr>
              <w:t>Opatrenie 5</w:t>
            </w:r>
            <w:r w:rsidRPr="00D82AFA">
              <w:rPr>
                <w:bCs/>
                <w:sz w:val="20"/>
                <w:szCs w:val="20"/>
              </w:rPr>
              <w:t>: Obnova potenciálu poľnohospodárskej výroby zničeného prírodnými katastrofami a katastrofickými udalosťami a zavedenie vhodných preventívnych opatrení (čl.1</w:t>
            </w:r>
            <w:r>
              <w:rPr>
                <w:bCs/>
                <w:sz w:val="20"/>
                <w:szCs w:val="20"/>
              </w:rPr>
              <w:t>8</w:t>
            </w:r>
            <w:r w:rsidRPr="00D82AFA">
              <w:rPr>
                <w:bCs/>
                <w:sz w:val="20"/>
                <w:szCs w:val="20"/>
              </w:rPr>
              <w:t>)</w:t>
            </w:r>
          </w:p>
        </w:tc>
      </w:tr>
      <w:tr w:rsidR="007F7CA6" w:rsidRPr="00D82AFA" w:rsidTr="007F7CA6">
        <w:tc>
          <w:tcPr>
            <w:tcW w:w="9039" w:type="dxa"/>
            <w:shd w:val="clear" w:color="auto" w:fill="auto"/>
            <w:vAlign w:val="center"/>
          </w:tcPr>
          <w:p w:rsidR="007F7CA6" w:rsidRPr="00D82AFA" w:rsidRDefault="007F7CA6" w:rsidP="007F7CA6">
            <w:pPr>
              <w:spacing w:before="60" w:after="60"/>
              <w:rPr>
                <w:bCs/>
                <w:sz w:val="20"/>
                <w:szCs w:val="20"/>
              </w:rPr>
            </w:pPr>
            <w:r w:rsidRPr="00D82AFA">
              <w:rPr>
                <w:sz w:val="20"/>
                <w:szCs w:val="20"/>
              </w:rPr>
              <w:t xml:space="preserve">Opatrenie  </w:t>
            </w:r>
            <w:r w:rsidRPr="00D82AFA">
              <w:rPr>
                <w:bCs/>
                <w:sz w:val="20"/>
                <w:szCs w:val="20"/>
              </w:rPr>
              <w:t>1: Pre</w:t>
            </w:r>
            <w:r>
              <w:rPr>
                <w:bCs/>
                <w:sz w:val="20"/>
                <w:szCs w:val="20"/>
              </w:rPr>
              <w:t>nos vedomostí a zručností (čl.14</w:t>
            </w:r>
            <w:r w:rsidRPr="00D82AFA">
              <w:rPr>
                <w:bCs/>
                <w:sz w:val="20"/>
                <w:szCs w:val="20"/>
              </w:rPr>
              <w:t>)</w:t>
            </w:r>
          </w:p>
        </w:tc>
      </w:tr>
      <w:tr w:rsidR="007F7CA6" w:rsidRPr="00D82AFA" w:rsidTr="007F7CA6">
        <w:tc>
          <w:tcPr>
            <w:tcW w:w="9039" w:type="dxa"/>
            <w:shd w:val="clear" w:color="auto" w:fill="auto"/>
            <w:vAlign w:val="center"/>
          </w:tcPr>
          <w:p w:rsidR="007F7CA6" w:rsidRPr="00D82AFA" w:rsidRDefault="007F7CA6" w:rsidP="007F7CA6">
            <w:pPr>
              <w:spacing w:before="60" w:after="60"/>
              <w:rPr>
                <w:sz w:val="20"/>
                <w:szCs w:val="20"/>
              </w:rPr>
            </w:pPr>
            <w:r w:rsidRPr="00D82AFA">
              <w:rPr>
                <w:sz w:val="20"/>
                <w:szCs w:val="20"/>
              </w:rPr>
              <w:t xml:space="preserve">Opatrenie </w:t>
            </w:r>
            <w:r>
              <w:rPr>
                <w:sz w:val="20"/>
                <w:szCs w:val="20"/>
              </w:rPr>
              <w:t xml:space="preserve"> 2:  Poradenské služby  (čl.15</w:t>
            </w:r>
            <w:r w:rsidRPr="00D82AFA">
              <w:rPr>
                <w:sz w:val="20"/>
                <w:szCs w:val="20"/>
              </w:rPr>
              <w:t xml:space="preserve">)                                                      </w:t>
            </w:r>
          </w:p>
        </w:tc>
      </w:tr>
    </w:tbl>
    <w:p w:rsidR="00E43137" w:rsidRPr="00E43137" w:rsidRDefault="00E43137" w:rsidP="008676F9">
      <w:pPr>
        <w:autoSpaceDE w:val="0"/>
        <w:autoSpaceDN w:val="0"/>
        <w:adjustRightInd w:val="0"/>
        <w:rPr>
          <w:rFonts w:ascii="Calibri" w:eastAsia="Calibri" w:hAnsi="Calibri"/>
          <w:szCs w:val="22"/>
          <w:lang w:eastAsia="en-US"/>
        </w:rPr>
      </w:pPr>
    </w:p>
    <w:p w:rsidR="00E43137" w:rsidRPr="00E43137" w:rsidRDefault="00E43137" w:rsidP="008676F9">
      <w:pPr>
        <w:autoSpaceDE w:val="0"/>
        <w:autoSpaceDN w:val="0"/>
        <w:adjustRightInd w:val="0"/>
        <w:rPr>
          <w:rFonts w:ascii="Calibri" w:eastAsia="Calibri" w:hAnsi="Calibri"/>
          <w:szCs w:val="22"/>
          <w:u w:val="single"/>
          <w:lang w:eastAsia="en-US"/>
        </w:rPr>
      </w:pPr>
      <w:r w:rsidRPr="00E43137">
        <w:rPr>
          <w:rFonts w:ascii="Calibri" w:eastAsia="Calibri" w:hAnsi="Calibri"/>
          <w:szCs w:val="22"/>
          <w:u w:val="single"/>
          <w:lang w:eastAsia="en-US"/>
        </w:rPr>
        <w:t xml:space="preserve">Kombinácia a zdôvodnenie opatrení </w:t>
      </w:r>
    </w:p>
    <w:p w:rsidR="007F7CA6" w:rsidRPr="00B32CB0" w:rsidRDefault="007F7CA6" w:rsidP="007F7CA6">
      <w:pPr>
        <w:spacing w:before="120"/>
      </w:pPr>
      <w:r w:rsidRPr="00B32CB0">
        <w:t xml:space="preserve">V nadväznosti na </w:t>
      </w:r>
      <w:r>
        <w:t>SWOT a identifikované potreby č. 9 „</w:t>
      </w:r>
      <w:r w:rsidRPr="00CD13F7">
        <w:t>Obnova produkčného potenciálu poľnohospodárskej pôdy</w:t>
      </w:r>
      <w:r>
        <w:t xml:space="preserve">“ a č.12 „Zachovanie kvality vôd a zvýšenie vodozádržnej kapacity územia“ sú programované operácie v rámci fokusovej oblasti 3B zamerané prioritne na </w:t>
      </w:r>
      <w:r w:rsidRPr="00B32CB0">
        <w:t>prevenciu</w:t>
      </w:r>
      <w:r>
        <w:t xml:space="preserve"> proti záplavám a</w:t>
      </w:r>
      <w:r w:rsidRPr="00B32CB0">
        <w:t xml:space="preserve"> poisteni</w:t>
      </w:r>
      <w:r>
        <w:t>e proti škodám</w:t>
      </w:r>
      <w:r w:rsidRPr="00B32CB0">
        <w:t>.  Na zmiernenie negatívnych dôsledkov potenciálnych povodní a zaplavenia</w:t>
      </w:r>
      <w:r>
        <w:t xml:space="preserve"> pôdy sa v rámci </w:t>
      </w:r>
      <w:r w:rsidRPr="00972240">
        <w:rPr>
          <w:b/>
        </w:rPr>
        <w:t>opatrenia 5 (čl.18)</w:t>
      </w:r>
      <w:r w:rsidRPr="00B32CB0">
        <w:t xml:space="preserve"> budú podporovať preventívne opatrenia investičného charakteru, ktoré by na hydromelioračných kanáloch a na ich zariadeniach zabezpečili  ochranu poľnohospodárskej pôdy pred ich nepriaznivými účinkami. Tieto kanály a čerpacie stanice zohrávajú významnú úlohu v prevencii pred škodami na poľnohospodárskej produkcii spôsobenými záplavami ako aj v období sucha zadržiavajú a privádzajú vodu do oblastí s nedostatkom vodných zdrojov</w:t>
      </w:r>
      <w:r>
        <w:t xml:space="preserve"> (zadržiavanie vody v poľ.</w:t>
      </w:r>
      <w:r w:rsidR="00B3442A">
        <w:t xml:space="preserve"> </w:t>
      </w:r>
      <w:r>
        <w:t>území)</w:t>
      </w:r>
      <w:r w:rsidRPr="00B32CB0">
        <w:t xml:space="preserve">. </w:t>
      </w:r>
    </w:p>
    <w:p w:rsidR="007F7CA6" w:rsidRPr="00B32CB0" w:rsidRDefault="007F7CA6" w:rsidP="007F7CA6">
      <w:pPr>
        <w:spacing w:before="120"/>
      </w:pPr>
      <w:r w:rsidRPr="00B32CB0">
        <w:t xml:space="preserve">V rámci </w:t>
      </w:r>
      <w:r>
        <w:t xml:space="preserve">riadenia rizika v poľnohospodárstve </w:t>
      </w:r>
      <w:r w:rsidRPr="00B32CB0">
        <w:t xml:space="preserve">bude podpora </w:t>
      </w:r>
      <w:r>
        <w:t>poskytnutá z </w:t>
      </w:r>
      <w:r w:rsidRPr="00972240">
        <w:rPr>
          <w:b/>
        </w:rPr>
        <w:t>opatrenia 17 (čl.38)</w:t>
      </w:r>
      <w:r>
        <w:t xml:space="preserve"> </w:t>
      </w:r>
      <w:r w:rsidRPr="00B32CB0">
        <w:t>zameraná na zak</w:t>
      </w:r>
      <w:r>
        <w:t>ladanie vzájomných fondov</w:t>
      </w:r>
      <w:r w:rsidRPr="00B32CB0">
        <w:t xml:space="preserve">, prostredníctvom ktorých sa  poľnohospodárom vypláca kompenzácia za straty, ktoré utrpia v dôsledku nepriaznivých poveternostných udalostí, vypuknutia chorôb zvierat alebo rastlín, zamorenia škodcami alebo environmentálnych nehôd. </w:t>
      </w:r>
      <w:r>
        <w:t xml:space="preserve"> Nakoľko ide o nové opatrenie, bol zvolený pilotný prístup k jeho implementácii. </w:t>
      </w:r>
      <w:r w:rsidRPr="00972240">
        <w:rPr>
          <w:b/>
        </w:rPr>
        <w:t>Opatrenie 17 (čl.38)</w:t>
      </w:r>
      <w:r>
        <w:t xml:space="preserve"> umožní založiť vzájomný fond, odskúšať jeho fungovanie a vytvoriť základy pre budúci </w:t>
      </w:r>
      <w:r w:rsidRPr="00B32CB0">
        <w:t xml:space="preserve">efektívny systém riadenia rizika v poľnohospodárstve.  </w:t>
      </w:r>
    </w:p>
    <w:p w:rsidR="007F7CA6" w:rsidRPr="00B32CB0" w:rsidRDefault="007F7CA6" w:rsidP="007F7CA6">
      <w:pPr>
        <w:autoSpaceDE w:val="0"/>
        <w:autoSpaceDN w:val="0"/>
        <w:adjustRightInd w:val="0"/>
        <w:spacing w:before="120"/>
      </w:pPr>
      <w:r w:rsidRPr="00B32CB0">
        <w:t xml:space="preserve">V rámci 3B by sa mala </w:t>
      </w:r>
      <w:r>
        <w:t xml:space="preserve">doplnkovo </w:t>
      </w:r>
      <w:r w:rsidRPr="00B32CB0">
        <w:t>zlepšiť informovanosť a povedomie poľnohospodárov o rizikách a zaobchádzaní s nimi prostredníctvom transferu vedomostí a cieleného poradenstva</w:t>
      </w:r>
      <w:r>
        <w:t xml:space="preserve"> (</w:t>
      </w:r>
      <w:r w:rsidRPr="00CD13F7">
        <w:rPr>
          <w:b/>
        </w:rPr>
        <w:t>opatrenie 1 a opatrenie 2, čl.14 a čl.15</w:t>
      </w:r>
      <w:r>
        <w:t>)</w:t>
      </w:r>
    </w:p>
    <w:p w:rsidR="00E43137" w:rsidRPr="00E43137" w:rsidRDefault="00E43137" w:rsidP="008676F9">
      <w:pPr>
        <w:autoSpaceDE w:val="0"/>
        <w:autoSpaceDN w:val="0"/>
        <w:adjustRightInd w:val="0"/>
        <w:rPr>
          <w:rFonts w:ascii="Calibri" w:eastAsia="Calibri" w:hAnsi="Calibri"/>
          <w:szCs w:val="22"/>
          <w:lang w:eastAsia="en-US"/>
        </w:rPr>
      </w:pPr>
    </w:p>
    <w:p w:rsidR="00E43137" w:rsidRPr="00E43137" w:rsidRDefault="00E43137" w:rsidP="008676F9">
      <w:pPr>
        <w:spacing w:after="200" w:line="276" w:lineRule="auto"/>
        <w:rPr>
          <w:rFonts w:ascii="Calibri" w:eastAsia="Calibri" w:hAnsi="Calibri"/>
          <w:b/>
          <w:bCs/>
          <w:szCs w:val="22"/>
          <w:lang w:eastAsia="en-US"/>
        </w:rPr>
      </w:pPr>
      <w:r w:rsidRPr="00E43137">
        <w:rPr>
          <w:rFonts w:ascii="Calibri" w:eastAsia="Calibri" w:hAnsi="Calibri"/>
          <w:b/>
          <w:bCs/>
          <w:szCs w:val="22"/>
          <w:lang w:eastAsia="en-US"/>
        </w:rPr>
        <w:br w:type="page"/>
      </w:r>
    </w:p>
    <w:p w:rsidR="00E43137" w:rsidRPr="00E43137" w:rsidRDefault="00E43137" w:rsidP="00DA0494">
      <w:pPr>
        <w:pStyle w:val="Podpod"/>
        <w:spacing w:after="120"/>
        <w:ind w:left="1985" w:hanging="1985"/>
      </w:pPr>
      <w:bookmarkStart w:id="52" w:name="_Toc384111023"/>
      <w:bookmarkStart w:id="53" w:name="_Toc387041301"/>
      <w:r w:rsidRPr="00E43137">
        <w:t xml:space="preserve">5.2.4 Priorita 4: </w:t>
      </w:r>
      <w:r w:rsidR="00086915">
        <w:t>O</w:t>
      </w:r>
      <w:r w:rsidRPr="00E43137">
        <w:t>bnova, zachovanie a posilnenie ekosystémov, ktoré súvisia s poľnohospodárstvom a lesným hospodárstvom</w:t>
      </w:r>
      <w:bookmarkEnd w:id="52"/>
      <w:bookmarkEnd w:id="53"/>
    </w:p>
    <w:p w:rsidR="00E43137" w:rsidRPr="00AA30CA" w:rsidRDefault="00E43137" w:rsidP="00DA0494">
      <w:pPr>
        <w:ind w:left="2835" w:hanging="2835"/>
        <w:rPr>
          <w:rFonts w:eastAsia="Calibri"/>
          <w:b/>
        </w:rPr>
      </w:pPr>
      <w:r w:rsidRPr="00AA30CA">
        <w:rPr>
          <w:rFonts w:eastAsia="Calibri"/>
          <w:b/>
        </w:rPr>
        <w:t xml:space="preserve">5.2.4.1 Fokusová oblasť 4A: </w:t>
      </w:r>
      <w:r w:rsidR="00086915" w:rsidRPr="00AA30CA">
        <w:rPr>
          <w:rFonts w:eastAsia="Calibri"/>
          <w:b/>
        </w:rPr>
        <w:t>O</w:t>
      </w:r>
      <w:r w:rsidRPr="00AA30CA">
        <w:rPr>
          <w:rFonts w:eastAsia="Calibri"/>
          <w:b/>
        </w:rPr>
        <w:t>bnova, zachovanie a zvýšenie biologickej diverzity vrátane na územiach sústavy Natura 2000 a v oblastiach s prírodnými alebo inými osobitnými obmedzeniami a v poľnohospodárskej činnosti s vysokou prírodnou hodnotou a obnova, zachovanie ako aj zlepšenie stavu krajinných oblastí Európy</w:t>
      </w:r>
    </w:p>
    <w:p w:rsidR="007B5045" w:rsidRDefault="007B5045" w:rsidP="008676F9">
      <w:pPr>
        <w:autoSpaceDE w:val="0"/>
        <w:autoSpaceDN w:val="0"/>
        <w:adjustRightInd w:val="0"/>
        <w:rPr>
          <w:rFonts w:ascii="Calibri" w:eastAsia="Calibri" w:hAnsi="Calibri"/>
          <w:szCs w:val="22"/>
          <w:u w:val="single"/>
          <w:lang w:eastAsia="en-US"/>
        </w:rPr>
      </w:pPr>
    </w:p>
    <w:p w:rsidR="00E43137" w:rsidRPr="00E43137" w:rsidRDefault="00E43137" w:rsidP="008676F9">
      <w:pPr>
        <w:autoSpaceDE w:val="0"/>
        <w:autoSpaceDN w:val="0"/>
        <w:adjustRightInd w:val="0"/>
        <w:rPr>
          <w:rFonts w:ascii="Calibri" w:eastAsia="Calibri" w:hAnsi="Calibri"/>
          <w:szCs w:val="22"/>
          <w:u w:val="single"/>
          <w:lang w:eastAsia="en-US"/>
        </w:rPr>
      </w:pPr>
      <w:r w:rsidRPr="00E43137">
        <w:rPr>
          <w:rFonts w:ascii="Calibri" w:eastAsia="Calibri" w:hAnsi="Calibri"/>
          <w:szCs w:val="22"/>
          <w:u w:val="single"/>
          <w:lang w:eastAsia="en-US"/>
        </w:rPr>
        <w:t>Vybrané opatrenia</w:t>
      </w:r>
    </w:p>
    <w:tbl>
      <w:tblPr>
        <w:tblpPr w:leftFromText="141" w:rightFromText="141" w:vertAnchor="text" w:horzAnchor="margin" w:tblpX="108" w:tblpY="80"/>
        <w:tblW w:w="90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39"/>
      </w:tblGrid>
      <w:tr w:rsidR="007F7CA6" w:rsidRPr="00D82AFA" w:rsidTr="007F7CA6">
        <w:tc>
          <w:tcPr>
            <w:tcW w:w="9039" w:type="dxa"/>
            <w:shd w:val="clear" w:color="auto" w:fill="auto"/>
            <w:vAlign w:val="center"/>
          </w:tcPr>
          <w:p w:rsidR="007F7CA6" w:rsidRPr="00D82AFA" w:rsidRDefault="007F7CA6" w:rsidP="007F7CA6">
            <w:pPr>
              <w:spacing w:before="60" w:after="60"/>
              <w:rPr>
                <w:sz w:val="20"/>
                <w:szCs w:val="20"/>
              </w:rPr>
            </w:pPr>
            <w:r>
              <w:rPr>
                <w:bCs/>
                <w:sz w:val="20"/>
                <w:szCs w:val="20"/>
              </w:rPr>
              <w:t>Opatrenie 10</w:t>
            </w:r>
            <w:r w:rsidRPr="00D82AFA">
              <w:rPr>
                <w:bCs/>
                <w:sz w:val="20"/>
                <w:szCs w:val="20"/>
              </w:rPr>
              <w:t xml:space="preserve">: Agroenvironmentálno-klimatické opatrenie  </w:t>
            </w:r>
            <w:r>
              <w:rPr>
                <w:sz w:val="20"/>
                <w:szCs w:val="20"/>
              </w:rPr>
              <w:t>(čl. 28</w:t>
            </w:r>
            <w:r w:rsidRPr="00D82AFA">
              <w:rPr>
                <w:sz w:val="20"/>
                <w:szCs w:val="20"/>
              </w:rPr>
              <w:t>)</w:t>
            </w:r>
          </w:p>
        </w:tc>
      </w:tr>
      <w:tr w:rsidR="007F7CA6" w:rsidRPr="00D82AFA" w:rsidTr="007F7CA6">
        <w:tc>
          <w:tcPr>
            <w:tcW w:w="9039" w:type="dxa"/>
            <w:shd w:val="clear" w:color="auto" w:fill="auto"/>
            <w:vAlign w:val="center"/>
          </w:tcPr>
          <w:p w:rsidR="007F7CA6" w:rsidRPr="00D82AFA" w:rsidRDefault="007F7CA6" w:rsidP="007F7CA6">
            <w:pPr>
              <w:spacing w:before="60" w:after="60"/>
              <w:rPr>
                <w:sz w:val="20"/>
                <w:szCs w:val="20"/>
              </w:rPr>
            </w:pPr>
            <w:r>
              <w:rPr>
                <w:sz w:val="20"/>
                <w:szCs w:val="20"/>
              </w:rPr>
              <w:t>Opatrenie 11</w:t>
            </w:r>
            <w:r w:rsidRPr="00D82AFA">
              <w:rPr>
                <w:sz w:val="20"/>
                <w:szCs w:val="20"/>
              </w:rPr>
              <w:t>: Ekol</w:t>
            </w:r>
            <w:r>
              <w:rPr>
                <w:sz w:val="20"/>
                <w:szCs w:val="20"/>
              </w:rPr>
              <w:t>ogické poľnohospodárstvo (čl. 29</w:t>
            </w:r>
            <w:r w:rsidRPr="00D82AFA">
              <w:rPr>
                <w:sz w:val="20"/>
                <w:szCs w:val="20"/>
              </w:rPr>
              <w:t>)</w:t>
            </w:r>
          </w:p>
        </w:tc>
      </w:tr>
      <w:tr w:rsidR="007F7CA6" w:rsidRPr="00D82AFA" w:rsidTr="007F7CA6">
        <w:tc>
          <w:tcPr>
            <w:tcW w:w="9039" w:type="dxa"/>
            <w:shd w:val="clear" w:color="auto" w:fill="auto"/>
            <w:vAlign w:val="center"/>
          </w:tcPr>
          <w:p w:rsidR="007F7CA6" w:rsidRPr="00D82AFA" w:rsidRDefault="007F7CA6" w:rsidP="007F7CA6">
            <w:pPr>
              <w:spacing w:before="60" w:after="60"/>
              <w:rPr>
                <w:sz w:val="20"/>
                <w:szCs w:val="20"/>
              </w:rPr>
            </w:pPr>
            <w:r>
              <w:rPr>
                <w:sz w:val="20"/>
                <w:szCs w:val="20"/>
              </w:rPr>
              <w:t>Opatrenie 12</w:t>
            </w:r>
            <w:r w:rsidRPr="00D82AFA">
              <w:rPr>
                <w:sz w:val="20"/>
                <w:szCs w:val="20"/>
              </w:rPr>
              <w:t>:  Platby týkajúce sa sústavy Natura 2000 (čl.3</w:t>
            </w:r>
            <w:r>
              <w:rPr>
                <w:sz w:val="20"/>
                <w:szCs w:val="20"/>
              </w:rPr>
              <w:t>0</w:t>
            </w:r>
            <w:r w:rsidRPr="00D82AFA">
              <w:rPr>
                <w:sz w:val="20"/>
                <w:szCs w:val="20"/>
              </w:rPr>
              <w:t>)</w:t>
            </w:r>
          </w:p>
        </w:tc>
      </w:tr>
      <w:tr w:rsidR="007F7CA6" w:rsidRPr="00D82AFA" w:rsidTr="007F7CA6">
        <w:tc>
          <w:tcPr>
            <w:tcW w:w="9039" w:type="dxa"/>
            <w:shd w:val="clear" w:color="auto" w:fill="auto"/>
            <w:vAlign w:val="center"/>
          </w:tcPr>
          <w:p w:rsidR="007F7CA6" w:rsidRPr="00D82AFA" w:rsidRDefault="007F7CA6" w:rsidP="007F7CA6">
            <w:pPr>
              <w:spacing w:before="60" w:after="60"/>
              <w:rPr>
                <w:sz w:val="20"/>
                <w:szCs w:val="20"/>
              </w:rPr>
            </w:pPr>
            <w:r w:rsidRPr="00D82AFA">
              <w:rPr>
                <w:sz w:val="20"/>
                <w:szCs w:val="20"/>
              </w:rPr>
              <w:t>O</w:t>
            </w:r>
            <w:r>
              <w:rPr>
                <w:sz w:val="20"/>
                <w:szCs w:val="20"/>
              </w:rPr>
              <w:t xml:space="preserve">patrenie </w:t>
            </w:r>
            <w:r w:rsidRPr="00D82AFA">
              <w:rPr>
                <w:sz w:val="20"/>
                <w:szCs w:val="20"/>
              </w:rPr>
              <w:t>1</w:t>
            </w:r>
            <w:r>
              <w:rPr>
                <w:sz w:val="20"/>
                <w:szCs w:val="20"/>
              </w:rPr>
              <w:t>3</w:t>
            </w:r>
            <w:r w:rsidRPr="00D82AFA">
              <w:rPr>
                <w:sz w:val="20"/>
                <w:szCs w:val="20"/>
              </w:rPr>
              <w:t xml:space="preserve">: Platby pre oblasti s prírodnými alebo inými </w:t>
            </w:r>
            <w:r>
              <w:rPr>
                <w:sz w:val="20"/>
                <w:szCs w:val="20"/>
              </w:rPr>
              <w:t>špecifickými obmedzeniami (čl.31</w:t>
            </w:r>
            <w:r w:rsidRPr="00D82AFA">
              <w:rPr>
                <w:sz w:val="20"/>
                <w:szCs w:val="20"/>
              </w:rPr>
              <w:t>)</w:t>
            </w:r>
          </w:p>
        </w:tc>
      </w:tr>
      <w:tr w:rsidR="007F7CA6" w:rsidRPr="00D82AFA" w:rsidTr="007F7CA6">
        <w:tc>
          <w:tcPr>
            <w:tcW w:w="9039" w:type="dxa"/>
            <w:shd w:val="clear" w:color="auto" w:fill="auto"/>
            <w:vAlign w:val="center"/>
          </w:tcPr>
          <w:p w:rsidR="007F7CA6" w:rsidRDefault="007F7CA6" w:rsidP="007F7CA6">
            <w:pPr>
              <w:spacing w:before="60" w:after="60"/>
              <w:rPr>
                <w:bCs/>
                <w:sz w:val="20"/>
                <w:szCs w:val="20"/>
              </w:rPr>
            </w:pPr>
            <w:r>
              <w:rPr>
                <w:bCs/>
                <w:sz w:val="20"/>
                <w:szCs w:val="20"/>
              </w:rPr>
              <w:t>Opatrenie 8</w:t>
            </w:r>
            <w:r w:rsidRPr="00D82AFA">
              <w:rPr>
                <w:bCs/>
                <w:sz w:val="20"/>
                <w:szCs w:val="20"/>
              </w:rPr>
              <w:t xml:space="preserve"> : Investície do rozvoja lesných oblastí a zlepšeni</w:t>
            </w:r>
            <w:r>
              <w:rPr>
                <w:bCs/>
                <w:sz w:val="20"/>
                <w:szCs w:val="20"/>
              </w:rPr>
              <w:t>e životaschopnosti lesov (čl.21)</w:t>
            </w:r>
          </w:p>
          <w:p w:rsidR="00D07D16" w:rsidRPr="00D07D16" w:rsidRDefault="00D07D16" w:rsidP="00D07D16">
            <w:pPr>
              <w:spacing w:before="60" w:after="60"/>
              <w:ind w:left="1701" w:hanging="1701"/>
              <w:rPr>
                <w:bCs/>
                <w:i/>
                <w:sz w:val="20"/>
                <w:szCs w:val="20"/>
              </w:rPr>
            </w:pPr>
            <w:r w:rsidRPr="00D07D16">
              <w:rPr>
                <w:bCs/>
                <w:i/>
                <w:sz w:val="20"/>
                <w:szCs w:val="20"/>
              </w:rPr>
              <w:t>Podopatrenie 8.3. Podpora prevencie poškodzovania lesov lesnými požiarmi, prírodnými pohrom</w:t>
            </w:r>
            <w:r>
              <w:rPr>
                <w:bCs/>
                <w:i/>
                <w:sz w:val="20"/>
                <w:szCs w:val="20"/>
              </w:rPr>
              <w:t xml:space="preserve">ami, katastrofickými udalosťami </w:t>
            </w:r>
            <w:r w:rsidRPr="00D07D16">
              <w:rPr>
                <w:bCs/>
                <w:i/>
                <w:sz w:val="20"/>
                <w:szCs w:val="20"/>
              </w:rPr>
              <w:t>(čl.24)</w:t>
            </w:r>
          </w:p>
          <w:p w:rsidR="007F7CA6" w:rsidRPr="00D82AFA" w:rsidRDefault="007F7CA6" w:rsidP="00D07D16">
            <w:pPr>
              <w:spacing w:before="60" w:after="60"/>
              <w:ind w:left="1701" w:hanging="1701"/>
              <w:rPr>
                <w:i/>
                <w:sz w:val="20"/>
                <w:szCs w:val="20"/>
              </w:rPr>
            </w:pPr>
            <w:r w:rsidRPr="00D82AFA">
              <w:rPr>
                <w:i/>
                <w:sz w:val="20"/>
                <w:szCs w:val="20"/>
              </w:rPr>
              <w:t>Podopatrenie</w:t>
            </w:r>
            <w:r>
              <w:rPr>
                <w:i/>
                <w:sz w:val="20"/>
                <w:szCs w:val="20"/>
              </w:rPr>
              <w:t xml:space="preserve"> 8.4</w:t>
            </w:r>
            <w:r w:rsidR="00D07D16">
              <w:rPr>
                <w:i/>
                <w:sz w:val="20"/>
                <w:szCs w:val="20"/>
              </w:rPr>
              <w:t xml:space="preserve">: </w:t>
            </w:r>
            <w:r w:rsidR="00D07D16" w:rsidRPr="008F3A19">
              <w:rPr>
                <w:rFonts w:ascii="Calibri" w:eastAsia="Calibri" w:hAnsi="Calibri" w:cs="Calibri"/>
                <w:bCs/>
                <w:i/>
                <w:sz w:val="20"/>
                <w:szCs w:val="20"/>
              </w:rPr>
              <w:t>Podpora prevencie poškodzovania lesov lesnými požiarmi, prírodnými pohromami a katastrofickými udalosťami  a obnova poškodených lesov</w:t>
            </w:r>
            <w:r w:rsidR="00D07D16" w:rsidRPr="008F3A19" w:rsidDel="008F3A19">
              <w:rPr>
                <w:i/>
                <w:sz w:val="20"/>
                <w:szCs w:val="20"/>
              </w:rPr>
              <w:t xml:space="preserve"> </w:t>
            </w:r>
            <w:r>
              <w:rPr>
                <w:i/>
                <w:sz w:val="20"/>
                <w:szCs w:val="20"/>
              </w:rPr>
              <w:t>(čl.24</w:t>
            </w:r>
            <w:r w:rsidRPr="00D82AFA">
              <w:rPr>
                <w:i/>
                <w:sz w:val="20"/>
                <w:szCs w:val="20"/>
              </w:rPr>
              <w:t>)</w:t>
            </w:r>
          </w:p>
          <w:p w:rsidR="007F7CA6" w:rsidRPr="00D82AFA" w:rsidRDefault="007F7CA6" w:rsidP="007F7CA6">
            <w:pPr>
              <w:spacing w:before="60" w:after="60"/>
              <w:rPr>
                <w:sz w:val="20"/>
                <w:szCs w:val="20"/>
              </w:rPr>
            </w:pPr>
            <w:r>
              <w:rPr>
                <w:bCs/>
                <w:i/>
                <w:sz w:val="20"/>
                <w:szCs w:val="20"/>
              </w:rPr>
              <w:t>Podopatrenie 8.5</w:t>
            </w:r>
            <w:r w:rsidRPr="00D82AFA">
              <w:rPr>
                <w:bCs/>
                <w:i/>
                <w:sz w:val="20"/>
                <w:szCs w:val="20"/>
              </w:rPr>
              <w:t xml:space="preserve"> :  Investície na zlepšenie odolnosti a environmentálnej hodnoty lesnýc</w:t>
            </w:r>
            <w:r>
              <w:rPr>
                <w:bCs/>
                <w:i/>
                <w:sz w:val="20"/>
                <w:szCs w:val="20"/>
              </w:rPr>
              <w:t>h ekosystémov (čl.25</w:t>
            </w:r>
            <w:r w:rsidRPr="00D82AFA">
              <w:rPr>
                <w:bCs/>
                <w:i/>
                <w:sz w:val="20"/>
                <w:szCs w:val="20"/>
              </w:rPr>
              <w:t>)</w:t>
            </w:r>
          </w:p>
        </w:tc>
      </w:tr>
      <w:tr w:rsidR="007F7CA6" w:rsidRPr="00D82AFA" w:rsidTr="007F7CA6">
        <w:tc>
          <w:tcPr>
            <w:tcW w:w="9039" w:type="dxa"/>
            <w:shd w:val="clear" w:color="auto" w:fill="auto"/>
            <w:vAlign w:val="center"/>
          </w:tcPr>
          <w:p w:rsidR="007F7CA6" w:rsidRPr="008F0CC8" w:rsidRDefault="007F7CA6" w:rsidP="007F7CA6">
            <w:pPr>
              <w:spacing w:before="60" w:after="60"/>
              <w:ind w:left="1276" w:hanging="1276"/>
              <w:rPr>
                <w:bCs/>
                <w:sz w:val="20"/>
                <w:szCs w:val="20"/>
                <w:lang w:val="pl-PL"/>
              </w:rPr>
            </w:pPr>
            <w:r>
              <w:rPr>
                <w:sz w:val="20"/>
                <w:szCs w:val="20"/>
              </w:rPr>
              <w:t>Opatrenie 15</w:t>
            </w:r>
            <w:r w:rsidRPr="008F0CC8">
              <w:rPr>
                <w:sz w:val="20"/>
                <w:szCs w:val="20"/>
              </w:rPr>
              <w:t>: Lesnícko-envi</w:t>
            </w:r>
            <w:r w:rsidR="00B3442A">
              <w:rPr>
                <w:sz w:val="20"/>
                <w:szCs w:val="20"/>
              </w:rPr>
              <w:t>ro</w:t>
            </w:r>
            <w:r w:rsidRPr="008F0CC8">
              <w:rPr>
                <w:sz w:val="20"/>
                <w:szCs w:val="20"/>
              </w:rPr>
              <w:t>nmentálna podpora</w:t>
            </w:r>
            <w:r w:rsidR="00C32FE9">
              <w:rPr>
                <w:sz w:val="20"/>
                <w:szCs w:val="20"/>
              </w:rPr>
              <w:t>,</w:t>
            </w:r>
            <w:r w:rsidRPr="008F0CC8">
              <w:rPr>
                <w:sz w:val="20"/>
                <w:szCs w:val="20"/>
              </w:rPr>
              <w:t xml:space="preserve"> </w:t>
            </w:r>
            <w:r w:rsidRPr="008F0CC8">
              <w:rPr>
                <w:rFonts w:ascii="Calibri" w:eastAsia="Calibri" w:hAnsi="Calibri" w:cs="Calibri"/>
                <w:caps/>
                <w:smallCaps/>
                <w:lang w:val="pl-PL"/>
              </w:rPr>
              <w:t xml:space="preserve"> </w:t>
            </w:r>
            <w:r w:rsidRPr="008F0CC8">
              <w:rPr>
                <w:bCs/>
                <w:sz w:val="20"/>
                <w:szCs w:val="20"/>
                <w:lang w:val="pl-PL"/>
              </w:rPr>
              <w:t>lesnícko-environmentálne a klimatické služby a ochrana lesov  (čl.34)</w:t>
            </w:r>
          </w:p>
          <w:p w:rsidR="007F7CA6" w:rsidRPr="008F0CC8" w:rsidRDefault="007F7CA6" w:rsidP="007F7CA6">
            <w:pPr>
              <w:spacing w:before="60" w:after="60"/>
              <w:rPr>
                <w:bCs/>
                <w:i/>
                <w:iCs/>
                <w:sz w:val="20"/>
                <w:szCs w:val="20"/>
              </w:rPr>
            </w:pPr>
            <w:r w:rsidRPr="008F0CC8">
              <w:rPr>
                <w:bCs/>
                <w:i/>
                <w:sz w:val="20"/>
                <w:szCs w:val="20"/>
                <w:lang w:val="pl-PL"/>
              </w:rPr>
              <w:t xml:space="preserve">Podopatrenie 15.1 </w:t>
            </w:r>
            <w:r w:rsidRPr="008F0CC8">
              <w:rPr>
                <w:rFonts w:ascii="Calibri" w:hAnsi="Calibri" w:cs="Calibri"/>
                <w:bCs/>
                <w:i/>
                <w:iCs/>
              </w:rPr>
              <w:t xml:space="preserve"> </w:t>
            </w:r>
            <w:r w:rsidRPr="008F0CC8">
              <w:rPr>
                <w:bCs/>
                <w:i/>
                <w:iCs/>
                <w:sz w:val="20"/>
                <w:szCs w:val="20"/>
              </w:rPr>
              <w:t>Platby na lesnícko-environmentálne záväzky</w:t>
            </w:r>
          </w:p>
          <w:p w:rsidR="007F7CA6" w:rsidRPr="00D82AFA" w:rsidRDefault="007F7CA6" w:rsidP="007F7CA6">
            <w:pPr>
              <w:spacing w:before="60" w:after="60"/>
              <w:rPr>
                <w:sz w:val="20"/>
                <w:szCs w:val="20"/>
              </w:rPr>
            </w:pPr>
            <w:r w:rsidRPr="008F0CC8">
              <w:rPr>
                <w:bCs/>
                <w:i/>
                <w:iCs/>
                <w:sz w:val="20"/>
                <w:szCs w:val="20"/>
              </w:rPr>
              <w:t xml:space="preserve">Podopatrenie 15.2 </w:t>
            </w:r>
            <w:r w:rsidRPr="008F0CC8">
              <w:rPr>
                <w:rFonts w:ascii="Calibri" w:hAnsi="Calibri" w:cs="Calibri"/>
                <w:bCs/>
                <w:i/>
                <w:iCs/>
              </w:rPr>
              <w:t xml:space="preserve"> </w:t>
            </w:r>
            <w:r w:rsidRPr="008F0CC8">
              <w:rPr>
                <w:bCs/>
                <w:i/>
                <w:iCs/>
                <w:sz w:val="20"/>
                <w:szCs w:val="20"/>
              </w:rPr>
              <w:t>Podpora na účely ochrany a podpory  lesných genetických zdrojov</w:t>
            </w:r>
          </w:p>
        </w:tc>
      </w:tr>
      <w:tr w:rsidR="007F7CA6" w:rsidRPr="00D82AFA" w:rsidTr="007F7CA6">
        <w:tc>
          <w:tcPr>
            <w:tcW w:w="9039" w:type="dxa"/>
            <w:shd w:val="clear" w:color="auto" w:fill="auto"/>
            <w:vAlign w:val="center"/>
          </w:tcPr>
          <w:p w:rsidR="007F7CA6" w:rsidRPr="00D82AFA" w:rsidRDefault="007F7CA6" w:rsidP="007F7CA6">
            <w:pPr>
              <w:spacing w:before="60" w:after="60"/>
              <w:rPr>
                <w:bCs/>
                <w:sz w:val="20"/>
                <w:szCs w:val="20"/>
              </w:rPr>
            </w:pPr>
            <w:r w:rsidRPr="00D82AFA">
              <w:rPr>
                <w:sz w:val="20"/>
                <w:szCs w:val="20"/>
              </w:rPr>
              <w:t xml:space="preserve">Opatrenie  </w:t>
            </w:r>
            <w:r w:rsidRPr="00D82AFA">
              <w:rPr>
                <w:bCs/>
                <w:sz w:val="20"/>
                <w:szCs w:val="20"/>
              </w:rPr>
              <w:t>1: Pre</w:t>
            </w:r>
            <w:r>
              <w:rPr>
                <w:bCs/>
                <w:sz w:val="20"/>
                <w:szCs w:val="20"/>
              </w:rPr>
              <w:t>nos vedomostí a zručností (čl.14</w:t>
            </w:r>
            <w:r w:rsidRPr="00D82AFA">
              <w:rPr>
                <w:bCs/>
                <w:sz w:val="20"/>
                <w:szCs w:val="20"/>
              </w:rPr>
              <w:t>)</w:t>
            </w:r>
          </w:p>
        </w:tc>
      </w:tr>
      <w:tr w:rsidR="007F7CA6" w:rsidRPr="00D82AFA" w:rsidTr="007F7CA6">
        <w:tc>
          <w:tcPr>
            <w:tcW w:w="9039" w:type="dxa"/>
            <w:shd w:val="clear" w:color="auto" w:fill="auto"/>
            <w:vAlign w:val="center"/>
          </w:tcPr>
          <w:p w:rsidR="007F7CA6" w:rsidRPr="00D82AFA" w:rsidRDefault="007F7CA6" w:rsidP="007F7CA6">
            <w:pPr>
              <w:spacing w:before="60" w:after="60"/>
              <w:rPr>
                <w:sz w:val="20"/>
                <w:szCs w:val="20"/>
              </w:rPr>
            </w:pPr>
            <w:r w:rsidRPr="00D82AFA">
              <w:rPr>
                <w:sz w:val="20"/>
                <w:szCs w:val="20"/>
              </w:rPr>
              <w:t>Opatrenie</w:t>
            </w:r>
            <w:r>
              <w:rPr>
                <w:sz w:val="20"/>
                <w:szCs w:val="20"/>
              </w:rPr>
              <w:t xml:space="preserve">  2: Poradenské služby  (čl.15</w:t>
            </w:r>
            <w:r w:rsidRPr="00D82AFA">
              <w:rPr>
                <w:sz w:val="20"/>
                <w:szCs w:val="20"/>
              </w:rPr>
              <w:t xml:space="preserve">)                                                      </w:t>
            </w:r>
          </w:p>
        </w:tc>
      </w:tr>
    </w:tbl>
    <w:p w:rsidR="00E43137" w:rsidRPr="00E43137" w:rsidRDefault="00E43137" w:rsidP="008676F9">
      <w:pPr>
        <w:autoSpaceDE w:val="0"/>
        <w:autoSpaceDN w:val="0"/>
        <w:adjustRightInd w:val="0"/>
        <w:rPr>
          <w:rFonts w:ascii="Calibri" w:eastAsia="Calibri" w:hAnsi="Calibri"/>
          <w:szCs w:val="22"/>
          <w:lang w:eastAsia="en-US"/>
        </w:rPr>
      </w:pPr>
    </w:p>
    <w:p w:rsidR="00E43137" w:rsidRPr="00E43137" w:rsidRDefault="00E43137" w:rsidP="008676F9">
      <w:pPr>
        <w:autoSpaceDE w:val="0"/>
        <w:autoSpaceDN w:val="0"/>
        <w:adjustRightInd w:val="0"/>
        <w:rPr>
          <w:rFonts w:ascii="Calibri" w:eastAsia="Calibri" w:hAnsi="Calibri"/>
          <w:szCs w:val="22"/>
          <w:u w:val="single"/>
          <w:lang w:eastAsia="en-US"/>
        </w:rPr>
      </w:pPr>
      <w:r w:rsidRPr="00E43137">
        <w:rPr>
          <w:rFonts w:ascii="Calibri" w:eastAsia="Calibri" w:hAnsi="Calibri"/>
          <w:szCs w:val="22"/>
          <w:u w:val="single"/>
          <w:lang w:eastAsia="en-US"/>
        </w:rPr>
        <w:t xml:space="preserve">Kombinácia a zdôvodnenie opatrení </w:t>
      </w:r>
    </w:p>
    <w:p w:rsidR="007F7CA6" w:rsidRDefault="007F7CA6" w:rsidP="007F7CA6">
      <w:pPr>
        <w:autoSpaceDE w:val="0"/>
        <w:autoSpaceDN w:val="0"/>
        <w:adjustRightInd w:val="0"/>
        <w:spacing w:before="120"/>
      </w:pPr>
      <w:r>
        <w:t>Vybrané opatrenia poskytujú kompenzačné platby nad rámec povinných požiadaviek, GAEC a greeningu a tým vytvárajú synergiu s platbami v rámci piliera I. Na p</w:t>
      </w:r>
      <w:r w:rsidRPr="001D541D">
        <w:t xml:space="preserve">odporu biodiverzity má </w:t>
      </w:r>
      <w:r>
        <w:t xml:space="preserve">veľký </w:t>
      </w:r>
      <w:r w:rsidRPr="001D541D">
        <w:t>vplyv kombinácia opatrení  ekologické poľnohospodárstvo</w:t>
      </w:r>
      <w:r>
        <w:t xml:space="preserve"> (čl.29)</w:t>
      </w:r>
      <w:r w:rsidRPr="001D541D">
        <w:t>, platby Natura 2000</w:t>
      </w:r>
      <w:r>
        <w:t xml:space="preserve"> (čl.30)</w:t>
      </w:r>
      <w:r w:rsidRPr="001D541D">
        <w:t>, agro-environmentálne platby</w:t>
      </w:r>
      <w:r>
        <w:t xml:space="preserve"> (čl.28).</w:t>
      </w:r>
      <w:r w:rsidRPr="001D541D">
        <w:t xml:space="preserve"> </w:t>
      </w:r>
      <w:r w:rsidRPr="008F68ED">
        <w:rPr>
          <w:b/>
        </w:rPr>
        <w:t>Agroenvironmentálno-klimatické opatrenie (čl.28)</w:t>
      </w:r>
      <w:r>
        <w:t xml:space="preserve"> </w:t>
      </w:r>
      <w:r w:rsidRPr="001D541D">
        <w:t xml:space="preserve">prispeje k zachovaniu biodiverzity prostredníctvom </w:t>
      </w:r>
      <w:r>
        <w:t xml:space="preserve">ochrany dropa fúzatého, ochrany biotopov sysľa pasienkového, </w:t>
      </w:r>
      <w:r w:rsidRPr="006F7085">
        <w:t>vytvárania multifunkčných okrajov polí</w:t>
      </w:r>
      <w:r>
        <w:t>,</w:t>
      </w:r>
      <w:r w:rsidRPr="006F7085">
        <w:t xml:space="preserve"> </w:t>
      </w:r>
      <w:r w:rsidRPr="001D541D">
        <w:t>podpory ochrany plôch poloprírodných</w:t>
      </w:r>
      <w:r>
        <w:t xml:space="preserve"> a prírodných trávnych porastov, ochrany poľ.</w:t>
      </w:r>
      <w:r w:rsidR="00D9472C">
        <w:t xml:space="preserve"> </w:t>
      </w:r>
      <w:r>
        <w:t>pôdy</w:t>
      </w:r>
      <w:r w:rsidRPr="001D541D">
        <w:t xml:space="preserve"> pred eróziou  pomocou stabilizujúcich pásov ako aj </w:t>
      </w:r>
      <w:r>
        <w:t xml:space="preserve">podpory </w:t>
      </w:r>
      <w:r w:rsidRPr="001D541D">
        <w:t xml:space="preserve">integrovanej produkcie  vybraných plodín, ktorá prispeje k zníženiu ohrozenia hnojivami a herbicídmi a taktiež k ochrane proti erózii vybranými agrotechnickými opatreniami. Okrem toho opatrenie </w:t>
      </w:r>
      <w:r>
        <w:t xml:space="preserve">10 </w:t>
      </w:r>
      <w:r w:rsidRPr="001D541D">
        <w:t xml:space="preserve">prispieva k rôznorodosti druhových plemien. </w:t>
      </w:r>
      <w:r>
        <w:t xml:space="preserve">V rámci </w:t>
      </w:r>
      <w:r w:rsidRPr="0055273F">
        <w:rPr>
          <w:b/>
        </w:rPr>
        <w:t>opatrenia 11 (čl.29)</w:t>
      </w:r>
      <w:r>
        <w:t xml:space="preserve"> bude podporené ekologické poľnohospodárstvo, ktoré má významný vplyv na biodiverzitu. </w:t>
      </w:r>
      <w:r w:rsidRPr="00D82AFA">
        <w:t xml:space="preserve">Podľa </w:t>
      </w:r>
      <w:r>
        <w:t xml:space="preserve">predchádzajúcich </w:t>
      </w:r>
      <w:r w:rsidRPr="00D82AFA">
        <w:t xml:space="preserve">hodnotení PRV prispievajú k zachovaniu biodiverzity okrem agro-environmentálnych podpôr a </w:t>
      </w:r>
      <w:r w:rsidRPr="00B27713">
        <w:rPr>
          <w:b/>
        </w:rPr>
        <w:t xml:space="preserve">platieb </w:t>
      </w:r>
      <w:r>
        <w:rPr>
          <w:b/>
        </w:rPr>
        <w:t>NATURA</w:t>
      </w:r>
      <w:r w:rsidRPr="00B27713">
        <w:rPr>
          <w:b/>
        </w:rPr>
        <w:t xml:space="preserve"> 2000</w:t>
      </w:r>
      <w:r w:rsidRPr="00D82AFA">
        <w:t xml:space="preserve"> </w:t>
      </w:r>
      <w:r w:rsidRPr="00B27713">
        <w:rPr>
          <w:b/>
        </w:rPr>
        <w:t>(čl.30)</w:t>
      </w:r>
      <w:r>
        <w:rPr>
          <w:b/>
        </w:rPr>
        <w:t xml:space="preserve"> </w:t>
      </w:r>
      <w:r w:rsidRPr="00D82AFA">
        <w:t>aj podpory na udržanie poľnohospodárstva v menej priaznivých oblastiach</w:t>
      </w:r>
      <w:r>
        <w:t xml:space="preserve"> – </w:t>
      </w:r>
      <w:r w:rsidRPr="00B27713">
        <w:rPr>
          <w:b/>
        </w:rPr>
        <w:t>opatrenie 13 (čl.31)</w:t>
      </w:r>
      <w:r w:rsidRPr="00D82AFA">
        <w:t>, kde sa pokračovaním poľnohospodárskej činnosti zabezpečuje údržba krajiny. Prostredníctvom navrhnutej kombinácii vybraných opatrení v pôdohospodárstve sa má zabezpečiť pokračovanie v obhospodarovaní hodnotných plôch a predchádzať intenzifikácii v užívaní pôdy na týchto plochách.</w:t>
      </w:r>
      <w:r>
        <w:t xml:space="preserve"> </w:t>
      </w:r>
    </w:p>
    <w:p w:rsidR="007F7CA6" w:rsidRDefault="007F7CA6" w:rsidP="007F7CA6">
      <w:pPr>
        <w:autoSpaceDE w:val="0"/>
        <w:autoSpaceDN w:val="0"/>
        <w:adjustRightInd w:val="0"/>
        <w:spacing w:before="120"/>
        <w:rPr>
          <w:b/>
        </w:rPr>
      </w:pPr>
      <w:r w:rsidRPr="0055273F">
        <w:t xml:space="preserve">Fokusová oblasť sa zameriava aj na obnovu a ochranu biodiverzity v lesoch prostredníctvom </w:t>
      </w:r>
      <w:r w:rsidRPr="008F0CC8">
        <w:rPr>
          <w:b/>
        </w:rPr>
        <w:t>lesnícko-environmentálnej podpory (čl.34)</w:t>
      </w:r>
      <w:r>
        <w:t xml:space="preserve">, </w:t>
      </w:r>
      <w:r w:rsidRPr="0055273F">
        <w:t xml:space="preserve"> podpory hospodárenia v súlade s cieľmi ochrany prírody prostredníctvom platieb </w:t>
      </w:r>
      <w:r w:rsidRPr="0055273F">
        <w:rPr>
          <w:b/>
        </w:rPr>
        <w:t>NATURA 2000 (čl.30),</w:t>
      </w:r>
      <w:r w:rsidRPr="0055273F">
        <w:t xml:space="preserve"> podpory investícií do prevencie a odstraňovanie škôd v lesoch – </w:t>
      </w:r>
      <w:r w:rsidRPr="0055273F">
        <w:rPr>
          <w:b/>
        </w:rPr>
        <w:t>podopatrenie 8.</w:t>
      </w:r>
      <w:r>
        <w:rPr>
          <w:b/>
        </w:rPr>
        <w:t>4</w:t>
      </w:r>
      <w:r w:rsidRPr="0055273F">
        <w:rPr>
          <w:b/>
        </w:rPr>
        <w:t xml:space="preserve"> (čl.2</w:t>
      </w:r>
      <w:r>
        <w:rPr>
          <w:b/>
        </w:rPr>
        <w:t>4</w:t>
      </w:r>
      <w:r w:rsidRPr="0055273F">
        <w:rPr>
          <w:b/>
        </w:rPr>
        <w:t>)</w:t>
      </w:r>
      <w:r w:rsidRPr="0055273F">
        <w:t xml:space="preserve"> a zlepšenia odolnosti a environmentálnej hodnoty lesných ekosystémov prostredníctvom podpory </w:t>
      </w:r>
      <w:r w:rsidR="00D07D16">
        <w:t>umelej obnovy a výchovy ochranných lesov a lesov osobitného určenia</w:t>
      </w:r>
      <w:r w:rsidRPr="0055273F">
        <w:t xml:space="preserve">, budovania hniezdnych príležitosti vtákov a rozvoja občianskej a poznávacej infraštruktúry v lesných ekosystémoch – </w:t>
      </w:r>
      <w:r>
        <w:rPr>
          <w:b/>
        </w:rPr>
        <w:t>podopatrenie 8.5 (čl.25</w:t>
      </w:r>
      <w:r w:rsidRPr="0055273F">
        <w:rPr>
          <w:b/>
        </w:rPr>
        <w:t>)</w:t>
      </w:r>
    </w:p>
    <w:p w:rsidR="007B5045" w:rsidRDefault="007B5045" w:rsidP="008676F9">
      <w:pPr>
        <w:autoSpaceDE w:val="0"/>
        <w:autoSpaceDN w:val="0"/>
        <w:adjustRightInd w:val="0"/>
        <w:rPr>
          <w:rFonts w:ascii="Calibri" w:eastAsia="Calibri" w:hAnsi="Calibri"/>
          <w:szCs w:val="22"/>
          <w:lang w:eastAsia="en-US"/>
        </w:rPr>
      </w:pPr>
    </w:p>
    <w:p w:rsidR="007B5045" w:rsidRPr="00E43137" w:rsidRDefault="007B5045" w:rsidP="008676F9">
      <w:pPr>
        <w:autoSpaceDE w:val="0"/>
        <w:autoSpaceDN w:val="0"/>
        <w:adjustRightInd w:val="0"/>
        <w:rPr>
          <w:rFonts w:ascii="Calibri" w:eastAsia="Calibri" w:hAnsi="Calibri"/>
          <w:szCs w:val="22"/>
          <w:lang w:eastAsia="en-US"/>
        </w:rPr>
      </w:pPr>
    </w:p>
    <w:p w:rsidR="00E43137" w:rsidRPr="00AA30CA" w:rsidRDefault="00E43137" w:rsidP="00DA0494">
      <w:pPr>
        <w:ind w:left="2552" w:hanging="2552"/>
        <w:rPr>
          <w:rFonts w:eastAsia="Calibri"/>
          <w:b/>
        </w:rPr>
      </w:pPr>
      <w:r w:rsidRPr="00AA30CA">
        <w:rPr>
          <w:rFonts w:eastAsia="Calibri"/>
          <w:b/>
        </w:rPr>
        <w:t xml:space="preserve">5.2.4.2 Fokusová oblasť 4B: </w:t>
      </w:r>
      <w:r w:rsidR="00086915" w:rsidRPr="00AA30CA">
        <w:rPr>
          <w:rFonts w:eastAsia="Calibri"/>
          <w:b/>
        </w:rPr>
        <w:t>Z</w:t>
      </w:r>
      <w:r w:rsidRPr="00AA30CA">
        <w:rPr>
          <w:rFonts w:eastAsia="Calibri"/>
          <w:b/>
        </w:rPr>
        <w:t xml:space="preserve">lepšenie vodného hospodárstva vrátane riadenia používania hnojív a pesticídov </w:t>
      </w:r>
    </w:p>
    <w:p w:rsidR="007B5045" w:rsidRDefault="007B5045" w:rsidP="008676F9">
      <w:pPr>
        <w:autoSpaceDE w:val="0"/>
        <w:autoSpaceDN w:val="0"/>
        <w:adjustRightInd w:val="0"/>
        <w:ind w:left="2835" w:hanging="2835"/>
        <w:rPr>
          <w:rFonts w:ascii="Calibri" w:eastAsia="Calibri" w:hAnsi="Calibri"/>
          <w:szCs w:val="22"/>
          <w:u w:val="single"/>
          <w:lang w:eastAsia="en-US"/>
        </w:rPr>
      </w:pPr>
    </w:p>
    <w:p w:rsidR="00E43137" w:rsidRPr="00E43137" w:rsidRDefault="00E43137" w:rsidP="008676F9">
      <w:pPr>
        <w:autoSpaceDE w:val="0"/>
        <w:autoSpaceDN w:val="0"/>
        <w:adjustRightInd w:val="0"/>
        <w:ind w:left="2835" w:hanging="2835"/>
        <w:rPr>
          <w:rFonts w:ascii="Calibri" w:eastAsia="Calibri" w:hAnsi="Calibri"/>
          <w:b/>
          <w:szCs w:val="22"/>
          <w:lang w:eastAsia="en-US"/>
        </w:rPr>
      </w:pPr>
      <w:r w:rsidRPr="00E43137">
        <w:rPr>
          <w:rFonts w:ascii="Calibri" w:eastAsia="Calibri" w:hAnsi="Calibri"/>
          <w:szCs w:val="22"/>
          <w:u w:val="single"/>
          <w:lang w:eastAsia="en-US"/>
        </w:rPr>
        <w:t>Vybrané opatrenia</w:t>
      </w:r>
    </w:p>
    <w:tbl>
      <w:tblPr>
        <w:tblpPr w:leftFromText="141" w:rightFromText="141" w:vertAnchor="text" w:horzAnchor="margin" w:tblpX="108" w:tblpY="80"/>
        <w:tblW w:w="90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39"/>
      </w:tblGrid>
      <w:tr w:rsidR="007F7CA6" w:rsidRPr="00D82AFA" w:rsidTr="007F7CA6">
        <w:tc>
          <w:tcPr>
            <w:tcW w:w="9039" w:type="dxa"/>
            <w:shd w:val="clear" w:color="auto" w:fill="auto"/>
            <w:vAlign w:val="center"/>
          </w:tcPr>
          <w:p w:rsidR="007F7CA6" w:rsidRPr="00D82AFA" w:rsidRDefault="007F7CA6" w:rsidP="007F7CA6">
            <w:pPr>
              <w:spacing w:before="60" w:after="60"/>
              <w:rPr>
                <w:sz w:val="20"/>
                <w:szCs w:val="20"/>
              </w:rPr>
            </w:pPr>
            <w:r>
              <w:rPr>
                <w:bCs/>
                <w:sz w:val="20"/>
                <w:szCs w:val="20"/>
              </w:rPr>
              <w:t>Opatrenie 10</w:t>
            </w:r>
            <w:r w:rsidRPr="00D82AFA">
              <w:rPr>
                <w:bCs/>
                <w:sz w:val="20"/>
                <w:szCs w:val="20"/>
              </w:rPr>
              <w:t xml:space="preserve">: Agroenvironmentálno-klimatické opatrenie  </w:t>
            </w:r>
            <w:r>
              <w:rPr>
                <w:sz w:val="20"/>
                <w:szCs w:val="20"/>
              </w:rPr>
              <w:t>(čl. 28</w:t>
            </w:r>
            <w:r w:rsidRPr="00D82AFA">
              <w:rPr>
                <w:sz w:val="20"/>
                <w:szCs w:val="20"/>
              </w:rPr>
              <w:t>)</w:t>
            </w:r>
          </w:p>
        </w:tc>
      </w:tr>
      <w:tr w:rsidR="007F7CA6" w:rsidRPr="00D82AFA" w:rsidTr="007F7CA6">
        <w:tc>
          <w:tcPr>
            <w:tcW w:w="9039" w:type="dxa"/>
            <w:shd w:val="clear" w:color="auto" w:fill="auto"/>
            <w:vAlign w:val="center"/>
          </w:tcPr>
          <w:p w:rsidR="007F7CA6" w:rsidRDefault="007F7CA6" w:rsidP="007F7CA6">
            <w:pPr>
              <w:spacing w:before="60" w:after="60"/>
              <w:rPr>
                <w:bCs/>
                <w:sz w:val="20"/>
                <w:szCs w:val="20"/>
              </w:rPr>
            </w:pPr>
            <w:r>
              <w:rPr>
                <w:sz w:val="20"/>
                <w:szCs w:val="20"/>
              </w:rPr>
              <w:t>Opatrenie 11</w:t>
            </w:r>
            <w:r w:rsidRPr="00D82AFA">
              <w:rPr>
                <w:sz w:val="20"/>
                <w:szCs w:val="20"/>
              </w:rPr>
              <w:t>: Ekol</w:t>
            </w:r>
            <w:r>
              <w:rPr>
                <w:sz w:val="20"/>
                <w:szCs w:val="20"/>
              </w:rPr>
              <w:t>ogické poľnohospodárstvo (čl. 29</w:t>
            </w:r>
            <w:r w:rsidRPr="00D82AFA">
              <w:rPr>
                <w:sz w:val="20"/>
                <w:szCs w:val="20"/>
              </w:rPr>
              <w:t>)</w:t>
            </w:r>
          </w:p>
        </w:tc>
      </w:tr>
      <w:tr w:rsidR="007F7CA6" w:rsidRPr="00D82AFA" w:rsidTr="007F7CA6">
        <w:tc>
          <w:tcPr>
            <w:tcW w:w="9039" w:type="dxa"/>
            <w:shd w:val="clear" w:color="auto" w:fill="auto"/>
            <w:vAlign w:val="center"/>
          </w:tcPr>
          <w:p w:rsidR="007F7CA6" w:rsidRDefault="007F7CA6" w:rsidP="007F7CA6">
            <w:pPr>
              <w:spacing w:before="60" w:after="60"/>
              <w:rPr>
                <w:bCs/>
                <w:sz w:val="20"/>
                <w:szCs w:val="20"/>
              </w:rPr>
            </w:pPr>
            <w:r w:rsidRPr="00D82AFA">
              <w:rPr>
                <w:sz w:val="20"/>
                <w:szCs w:val="20"/>
              </w:rPr>
              <w:t>O</w:t>
            </w:r>
            <w:r>
              <w:rPr>
                <w:sz w:val="20"/>
                <w:szCs w:val="20"/>
              </w:rPr>
              <w:t xml:space="preserve">patrenie </w:t>
            </w:r>
            <w:r w:rsidRPr="00D82AFA">
              <w:rPr>
                <w:sz w:val="20"/>
                <w:szCs w:val="20"/>
              </w:rPr>
              <w:t>1</w:t>
            </w:r>
            <w:r>
              <w:rPr>
                <w:sz w:val="20"/>
                <w:szCs w:val="20"/>
              </w:rPr>
              <w:t>3</w:t>
            </w:r>
            <w:r w:rsidRPr="00D82AFA">
              <w:rPr>
                <w:sz w:val="20"/>
                <w:szCs w:val="20"/>
              </w:rPr>
              <w:t xml:space="preserve">: Platby pre oblasti s prírodnými alebo inými </w:t>
            </w:r>
            <w:r>
              <w:rPr>
                <w:sz w:val="20"/>
                <w:szCs w:val="20"/>
              </w:rPr>
              <w:t>špecifickými obmedzeniami (čl.31</w:t>
            </w:r>
            <w:r w:rsidRPr="00D82AFA">
              <w:rPr>
                <w:sz w:val="20"/>
                <w:szCs w:val="20"/>
              </w:rPr>
              <w:t>)</w:t>
            </w:r>
          </w:p>
        </w:tc>
      </w:tr>
      <w:tr w:rsidR="007F7CA6" w:rsidRPr="00D82AFA" w:rsidTr="007F7CA6">
        <w:tc>
          <w:tcPr>
            <w:tcW w:w="9039" w:type="dxa"/>
            <w:shd w:val="clear" w:color="auto" w:fill="auto"/>
            <w:vAlign w:val="center"/>
          </w:tcPr>
          <w:p w:rsidR="007F7CA6" w:rsidRDefault="007F7CA6" w:rsidP="007F7CA6">
            <w:pPr>
              <w:spacing w:before="60" w:after="60"/>
              <w:rPr>
                <w:bCs/>
                <w:sz w:val="20"/>
                <w:szCs w:val="20"/>
              </w:rPr>
            </w:pPr>
            <w:r>
              <w:rPr>
                <w:bCs/>
                <w:sz w:val="20"/>
                <w:szCs w:val="20"/>
              </w:rPr>
              <w:t>Opatrenie 8</w:t>
            </w:r>
            <w:r w:rsidRPr="00D82AFA">
              <w:rPr>
                <w:bCs/>
                <w:sz w:val="20"/>
                <w:szCs w:val="20"/>
              </w:rPr>
              <w:t>: Investície do rozvoja lesných oblastí a zlepšeni</w:t>
            </w:r>
            <w:r>
              <w:rPr>
                <w:bCs/>
                <w:sz w:val="20"/>
                <w:szCs w:val="20"/>
              </w:rPr>
              <w:t>e životaschopnosti lesov (čl.21</w:t>
            </w:r>
            <w:r w:rsidRPr="00D82AFA">
              <w:rPr>
                <w:bCs/>
                <w:sz w:val="20"/>
                <w:szCs w:val="20"/>
              </w:rPr>
              <w:t>):</w:t>
            </w:r>
          </w:p>
          <w:p w:rsidR="00D07D16" w:rsidRPr="00D82AFA" w:rsidRDefault="00D07D16" w:rsidP="00D07D16">
            <w:pPr>
              <w:spacing w:before="60" w:after="60"/>
              <w:ind w:left="1560" w:hanging="1560"/>
              <w:jc w:val="left"/>
              <w:rPr>
                <w:bCs/>
                <w:sz w:val="20"/>
                <w:szCs w:val="20"/>
              </w:rPr>
            </w:pPr>
            <w:r w:rsidRPr="008F3A19">
              <w:rPr>
                <w:rFonts w:ascii="Calibri" w:eastAsia="Calibri" w:hAnsi="Calibri" w:cs="Calibri"/>
                <w:bCs/>
                <w:i/>
                <w:sz w:val="20"/>
                <w:szCs w:val="20"/>
              </w:rPr>
              <w:t xml:space="preserve">Podopatrenie </w:t>
            </w:r>
            <w:r>
              <w:rPr>
                <w:rFonts w:ascii="Calibri" w:eastAsia="Calibri" w:hAnsi="Calibri" w:cs="Calibri"/>
                <w:bCs/>
                <w:i/>
                <w:sz w:val="20"/>
                <w:szCs w:val="20"/>
              </w:rPr>
              <w:t xml:space="preserve"> </w:t>
            </w:r>
            <w:r w:rsidRPr="008F3A19">
              <w:rPr>
                <w:rFonts w:ascii="Calibri" w:eastAsia="Calibri" w:hAnsi="Calibri" w:cs="Calibri"/>
                <w:bCs/>
                <w:i/>
                <w:sz w:val="20"/>
                <w:szCs w:val="20"/>
              </w:rPr>
              <w:t>8.3. Podpora prevencie poškodzovania lesov lesnými požiarmi, prírodnými</w:t>
            </w:r>
            <w:r w:rsidR="006A183D">
              <w:rPr>
                <w:rFonts w:ascii="Calibri" w:eastAsia="Calibri" w:hAnsi="Calibri" w:cs="Calibri"/>
                <w:bCs/>
                <w:i/>
                <w:sz w:val="20"/>
                <w:szCs w:val="20"/>
              </w:rPr>
              <w:t xml:space="preserve"> </w:t>
            </w:r>
            <w:r w:rsidRPr="008F3A19">
              <w:rPr>
                <w:rFonts w:ascii="Calibri" w:eastAsia="Calibri" w:hAnsi="Calibri" w:cs="Calibri"/>
                <w:bCs/>
                <w:i/>
                <w:sz w:val="20"/>
                <w:szCs w:val="20"/>
              </w:rPr>
              <w:t>pohromami</w:t>
            </w:r>
            <w:r w:rsidR="006A183D">
              <w:rPr>
                <w:rFonts w:ascii="Calibri" w:eastAsia="Calibri" w:hAnsi="Calibri" w:cs="Calibri"/>
                <w:bCs/>
                <w:i/>
                <w:sz w:val="20"/>
                <w:szCs w:val="20"/>
              </w:rPr>
              <w:t xml:space="preserve"> a</w:t>
            </w:r>
            <w:r w:rsidRPr="008F3A19">
              <w:rPr>
                <w:rFonts w:ascii="Calibri" w:eastAsia="Calibri" w:hAnsi="Calibri" w:cs="Calibri"/>
                <w:bCs/>
                <w:i/>
                <w:sz w:val="20"/>
                <w:szCs w:val="20"/>
              </w:rPr>
              <w:t> katastrofickými udalosťami</w:t>
            </w:r>
            <w:r>
              <w:rPr>
                <w:rFonts w:ascii="Calibri" w:eastAsia="Calibri" w:hAnsi="Calibri" w:cs="Calibri"/>
                <w:bCs/>
                <w:i/>
                <w:sz w:val="20"/>
                <w:szCs w:val="20"/>
              </w:rPr>
              <w:t xml:space="preserve"> (čl. 24)</w:t>
            </w:r>
          </w:p>
          <w:p w:rsidR="006A183D" w:rsidRDefault="007F7CA6" w:rsidP="007F7CA6">
            <w:pPr>
              <w:spacing w:before="60" w:after="60"/>
              <w:ind w:left="1701" w:hanging="1701"/>
              <w:rPr>
                <w:i/>
                <w:sz w:val="20"/>
                <w:szCs w:val="20"/>
              </w:rPr>
            </w:pPr>
            <w:r w:rsidRPr="00D82AFA">
              <w:rPr>
                <w:i/>
                <w:sz w:val="20"/>
                <w:szCs w:val="20"/>
              </w:rPr>
              <w:t>Podopatrenie</w:t>
            </w:r>
            <w:r>
              <w:rPr>
                <w:i/>
                <w:sz w:val="20"/>
                <w:szCs w:val="20"/>
              </w:rPr>
              <w:t xml:space="preserve"> 8.4</w:t>
            </w:r>
            <w:r w:rsidRPr="00D82AFA">
              <w:rPr>
                <w:i/>
                <w:sz w:val="20"/>
                <w:szCs w:val="20"/>
              </w:rPr>
              <w:t xml:space="preserve">: </w:t>
            </w:r>
            <w:r w:rsidR="00D07D16">
              <w:t xml:space="preserve"> </w:t>
            </w:r>
            <w:r w:rsidR="00D07D16" w:rsidRPr="00D07D16">
              <w:rPr>
                <w:i/>
                <w:sz w:val="20"/>
                <w:szCs w:val="20"/>
              </w:rPr>
              <w:t>Podpora prevencie poškodzovania lesov lesnými požiarmi, prírodnými pohromami a katastrofickými udalosťami  a obnova poškodených lesov (čl.24)</w:t>
            </w:r>
          </w:p>
          <w:p w:rsidR="007F7CA6" w:rsidRPr="00D82AFA" w:rsidRDefault="007F7CA6" w:rsidP="007F7CA6">
            <w:pPr>
              <w:spacing w:before="60" w:after="60"/>
              <w:ind w:left="1701" w:hanging="1701"/>
              <w:rPr>
                <w:bCs/>
                <w:sz w:val="20"/>
                <w:szCs w:val="20"/>
              </w:rPr>
            </w:pPr>
            <w:r>
              <w:rPr>
                <w:bCs/>
                <w:i/>
                <w:sz w:val="20"/>
                <w:szCs w:val="20"/>
              </w:rPr>
              <w:t>Podopatrenie 8.5</w:t>
            </w:r>
            <w:r w:rsidRPr="00D82AFA">
              <w:rPr>
                <w:bCs/>
                <w:i/>
                <w:sz w:val="20"/>
                <w:szCs w:val="20"/>
              </w:rPr>
              <w:t>:  Investície na zlepšenie odolnosti a environmentálnej hodnoty lesnýc</w:t>
            </w:r>
            <w:r>
              <w:rPr>
                <w:bCs/>
                <w:i/>
                <w:sz w:val="20"/>
                <w:szCs w:val="20"/>
              </w:rPr>
              <w:t>h ekosystémov (čl.25</w:t>
            </w:r>
            <w:r w:rsidRPr="00D82AFA">
              <w:rPr>
                <w:bCs/>
                <w:i/>
                <w:sz w:val="20"/>
                <w:szCs w:val="20"/>
              </w:rPr>
              <w:t>)</w:t>
            </w:r>
          </w:p>
        </w:tc>
      </w:tr>
      <w:tr w:rsidR="007F7CA6" w:rsidRPr="00D82AFA" w:rsidTr="007F7CA6">
        <w:tc>
          <w:tcPr>
            <w:tcW w:w="9039" w:type="dxa"/>
            <w:shd w:val="clear" w:color="auto" w:fill="auto"/>
            <w:vAlign w:val="center"/>
          </w:tcPr>
          <w:p w:rsidR="007F7CA6" w:rsidRPr="00D82AFA" w:rsidRDefault="007F7CA6" w:rsidP="007F7CA6">
            <w:pPr>
              <w:spacing w:before="60" w:after="60"/>
              <w:rPr>
                <w:bCs/>
                <w:sz w:val="20"/>
                <w:szCs w:val="20"/>
              </w:rPr>
            </w:pPr>
            <w:r w:rsidRPr="00D82AFA">
              <w:rPr>
                <w:sz w:val="20"/>
                <w:szCs w:val="20"/>
              </w:rPr>
              <w:t xml:space="preserve">Opatrenie </w:t>
            </w:r>
            <w:r w:rsidRPr="00D82AFA">
              <w:rPr>
                <w:bCs/>
                <w:sz w:val="20"/>
                <w:szCs w:val="20"/>
              </w:rPr>
              <w:t>1: Pre</w:t>
            </w:r>
            <w:r>
              <w:rPr>
                <w:bCs/>
                <w:sz w:val="20"/>
                <w:szCs w:val="20"/>
              </w:rPr>
              <w:t>nos vedomostí a zručností (čl.14</w:t>
            </w:r>
            <w:r w:rsidRPr="00D82AFA">
              <w:rPr>
                <w:bCs/>
                <w:sz w:val="20"/>
                <w:szCs w:val="20"/>
              </w:rPr>
              <w:t>)</w:t>
            </w:r>
          </w:p>
        </w:tc>
      </w:tr>
      <w:tr w:rsidR="007F7CA6" w:rsidRPr="00D82AFA" w:rsidTr="007F7CA6">
        <w:tc>
          <w:tcPr>
            <w:tcW w:w="9039" w:type="dxa"/>
            <w:shd w:val="clear" w:color="auto" w:fill="auto"/>
            <w:vAlign w:val="center"/>
          </w:tcPr>
          <w:p w:rsidR="007F7CA6" w:rsidRPr="00D82AFA" w:rsidRDefault="007F7CA6" w:rsidP="007F7CA6">
            <w:pPr>
              <w:spacing w:before="60" w:after="60"/>
              <w:rPr>
                <w:sz w:val="20"/>
                <w:szCs w:val="20"/>
              </w:rPr>
            </w:pPr>
            <w:r w:rsidRPr="00D82AFA">
              <w:rPr>
                <w:sz w:val="20"/>
                <w:szCs w:val="20"/>
              </w:rPr>
              <w:t>Opatrenie</w:t>
            </w:r>
            <w:r>
              <w:rPr>
                <w:sz w:val="20"/>
                <w:szCs w:val="20"/>
              </w:rPr>
              <w:t xml:space="preserve"> 2: Poradenské služby  (čl.15</w:t>
            </w:r>
            <w:r w:rsidRPr="00D82AFA">
              <w:rPr>
                <w:sz w:val="20"/>
                <w:szCs w:val="20"/>
              </w:rPr>
              <w:t xml:space="preserve">)                                                      </w:t>
            </w:r>
          </w:p>
        </w:tc>
      </w:tr>
    </w:tbl>
    <w:p w:rsidR="00E43137" w:rsidRPr="00E43137" w:rsidRDefault="00E43137" w:rsidP="008676F9">
      <w:pPr>
        <w:autoSpaceDE w:val="0"/>
        <w:autoSpaceDN w:val="0"/>
        <w:adjustRightInd w:val="0"/>
        <w:rPr>
          <w:rFonts w:ascii="Calibri" w:eastAsia="Calibri" w:hAnsi="Calibri"/>
          <w:szCs w:val="22"/>
          <w:lang w:eastAsia="en-US"/>
        </w:rPr>
      </w:pPr>
    </w:p>
    <w:p w:rsidR="00E43137" w:rsidRPr="00E43137" w:rsidRDefault="00E43137" w:rsidP="008676F9">
      <w:pPr>
        <w:autoSpaceDE w:val="0"/>
        <w:autoSpaceDN w:val="0"/>
        <w:adjustRightInd w:val="0"/>
        <w:rPr>
          <w:rFonts w:ascii="Calibri" w:eastAsia="Calibri" w:hAnsi="Calibri"/>
          <w:szCs w:val="22"/>
          <w:u w:val="single"/>
          <w:lang w:eastAsia="en-US"/>
        </w:rPr>
      </w:pPr>
      <w:r w:rsidRPr="00E43137">
        <w:rPr>
          <w:rFonts w:ascii="Calibri" w:eastAsia="Calibri" w:hAnsi="Calibri"/>
          <w:szCs w:val="22"/>
          <w:u w:val="single"/>
          <w:lang w:eastAsia="en-US"/>
        </w:rPr>
        <w:t xml:space="preserve">Kombinácia a zdôvodnenie opatrení </w:t>
      </w:r>
    </w:p>
    <w:p w:rsidR="007F7CA6" w:rsidRPr="00D82AFA" w:rsidRDefault="007F7CA6" w:rsidP="007F7CA6">
      <w:pPr>
        <w:autoSpaceDE w:val="0"/>
        <w:autoSpaceDN w:val="0"/>
        <w:adjustRightInd w:val="0"/>
        <w:spacing w:before="120"/>
      </w:pPr>
      <w:r w:rsidRPr="00D82AFA">
        <w:t xml:space="preserve">Ako je uvedené v analýze SWOT, zaťaženie povrchových a podzemných vôd živinami NP z poľnohospodárstva nie je kritické. V rámci SR predstavuje výmera zraniteľných území 29,8 % z celkovej výmery p.p., lokalizovaných prevažne na juhozápade a juhovýchode krajiny.  V posledných rokoch je v SR celkový trend obsahu dusičnanov v podzemných a povrchových vodách klesajúci. Prispeli k tomu aj opatrenia osi 2 PRV SR 2007-2013. </w:t>
      </w:r>
    </w:p>
    <w:p w:rsidR="007F7CA6" w:rsidRPr="00D82AFA" w:rsidRDefault="007F7CA6" w:rsidP="007F7CA6">
      <w:pPr>
        <w:autoSpaceDE w:val="0"/>
        <w:autoSpaceDN w:val="0"/>
        <w:adjustRightInd w:val="0"/>
        <w:spacing w:before="120"/>
      </w:pPr>
      <w:r>
        <w:t>Fokusová oblasť</w:t>
      </w:r>
      <w:r w:rsidRPr="00D82AFA">
        <w:t xml:space="preserve"> je zameraná na zachovanie kvality vôd, zvýšenie environmentálnej efektívnosti podpôr na ochranu pred znečistením vôd z poľnohospodárskej činnosti a zlepšenia hospodárenia s vodou. K hlavným nástrojom minimalizujúcimi zaťažovanie vôd látkami patria udržateľné systémy hospodárenia na pôde zamerané na hospodárenie s hnojivami, manažment ochrany rastlín, manažment hospodárenia s vodou </w:t>
      </w:r>
      <w:r>
        <w:t xml:space="preserve">(nad rámec minimálnych požiadaviek hospodárenie (SMR a GAEC) </w:t>
      </w:r>
      <w:r w:rsidRPr="00D82AFA">
        <w:t>a manažment protieróznej ochrany (stabilizačné pásy), ktoré sa uplatňujú v </w:t>
      </w:r>
      <w:r w:rsidRPr="00CF512D">
        <w:rPr>
          <w:b/>
        </w:rPr>
        <w:t>ekologickom poľnohospodárstve</w:t>
      </w:r>
      <w:r>
        <w:rPr>
          <w:b/>
        </w:rPr>
        <w:t xml:space="preserve"> (čl.29)</w:t>
      </w:r>
      <w:r w:rsidRPr="00D82AFA">
        <w:t xml:space="preserve"> a </w:t>
      </w:r>
      <w:r w:rsidRPr="00CF512D">
        <w:rPr>
          <w:b/>
        </w:rPr>
        <w:t>agro-environmentálnych schémach</w:t>
      </w:r>
      <w:r>
        <w:t xml:space="preserve"> </w:t>
      </w:r>
      <w:r w:rsidRPr="00CF512D">
        <w:rPr>
          <w:b/>
        </w:rPr>
        <w:t>(čl.28)</w:t>
      </w:r>
      <w:r w:rsidRPr="00D82AFA">
        <w:t>. Taktiež sa pripisuje veľký význam aj podpore udržania poľnohospodárstva v znevýhodnených oblastiach</w:t>
      </w:r>
      <w:r>
        <w:t xml:space="preserve"> – </w:t>
      </w:r>
      <w:r w:rsidRPr="002C35A7">
        <w:rPr>
          <w:b/>
        </w:rPr>
        <w:t>opatrenie 13 (čl.31)</w:t>
      </w:r>
      <w:r w:rsidRPr="00D82AFA">
        <w:t>.</w:t>
      </w:r>
      <w:r>
        <w:t xml:space="preserve"> </w:t>
      </w:r>
      <w:r w:rsidRPr="00D82AFA">
        <w:t xml:space="preserve">K ochrane prispievajú v rámci </w:t>
      </w:r>
      <w:r>
        <w:t xml:space="preserve">fokusovej </w:t>
      </w:r>
      <w:r w:rsidRPr="00D82AFA">
        <w:t>oblasti 4B aj opatrenia orientované na investície do prevencie a obnovy poškodených lesov</w:t>
      </w:r>
      <w:r>
        <w:t xml:space="preserve"> a zlepšovania lesných ekosystémov – podopatrenie </w:t>
      </w:r>
      <w:r w:rsidR="006A183D" w:rsidRPr="006A183D">
        <w:rPr>
          <w:b/>
        </w:rPr>
        <w:t>8.3,</w:t>
      </w:r>
      <w:r w:rsidR="006A183D">
        <w:t xml:space="preserve"> </w:t>
      </w:r>
      <w:r>
        <w:rPr>
          <w:b/>
        </w:rPr>
        <w:t>8.4 a 8.5 (čl.24,25</w:t>
      </w:r>
      <w:r w:rsidRPr="002C35A7">
        <w:rPr>
          <w:b/>
        </w:rPr>
        <w:t>)</w:t>
      </w:r>
      <w:r w:rsidRPr="00D82AFA">
        <w:t xml:space="preserve">. </w:t>
      </w:r>
      <w:r>
        <w:t xml:space="preserve"> </w:t>
      </w:r>
      <w:r w:rsidRPr="00D82AFA">
        <w:t xml:space="preserve">Obsahom programu je aj podpora vzdelávacích a poradenských služieb </w:t>
      </w:r>
      <w:r>
        <w:t>(</w:t>
      </w:r>
      <w:r w:rsidRPr="002C35A7">
        <w:rPr>
          <w:b/>
        </w:rPr>
        <w:t>opatrenie 1 a 2, čl.14 a čl.15</w:t>
      </w:r>
      <w:r>
        <w:t xml:space="preserve">) </w:t>
      </w:r>
      <w:r w:rsidRPr="00D82AFA">
        <w:t>zameraných na zlepšenie hospodárenia s vodou v</w:t>
      </w:r>
      <w:r>
        <w:t> </w:t>
      </w:r>
      <w:r w:rsidRPr="00D82AFA">
        <w:t>pôdohospodárstve</w:t>
      </w:r>
      <w:r>
        <w:t>, plnenie požiadaviek krížového plnenia</w:t>
      </w:r>
      <w:r w:rsidRPr="00D82AFA">
        <w:t xml:space="preserve"> </w:t>
      </w:r>
      <w:r>
        <w:t xml:space="preserve">(CC) </w:t>
      </w:r>
      <w:r w:rsidRPr="00D82AFA">
        <w:t xml:space="preserve">ako aj podpora spolupráce v environmentálnych projektoch. </w:t>
      </w:r>
    </w:p>
    <w:p w:rsidR="007F7CA6" w:rsidRPr="00D82AFA" w:rsidRDefault="007F7CA6" w:rsidP="007F7CA6">
      <w:pPr>
        <w:autoSpaceDE w:val="0"/>
        <w:autoSpaceDN w:val="0"/>
        <w:adjustRightInd w:val="0"/>
        <w:spacing w:before="120"/>
      </w:pPr>
    </w:p>
    <w:p w:rsidR="007B5045" w:rsidRDefault="007B5045" w:rsidP="008676F9">
      <w:pPr>
        <w:autoSpaceDE w:val="0"/>
        <w:autoSpaceDN w:val="0"/>
        <w:adjustRightInd w:val="0"/>
        <w:rPr>
          <w:rFonts w:ascii="Calibri" w:eastAsia="Calibri" w:hAnsi="Calibri"/>
          <w:szCs w:val="22"/>
          <w:lang w:eastAsia="en-US"/>
        </w:rPr>
      </w:pPr>
      <w:r>
        <w:rPr>
          <w:rFonts w:ascii="Calibri" w:eastAsia="Calibri" w:hAnsi="Calibri"/>
          <w:szCs w:val="22"/>
          <w:lang w:eastAsia="en-US"/>
        </w:rPr>
        <w:br w:type="page"/>
      </w:r>
    </w:p>
    <w:p w:rsidR="00E43137" w:rsidRPr="00AA30CA" w:rsidRDefault="00AA30CA" w:rsidP="00AA30CA">
      <w:pPr>
        <w:rPr>
          <w:rFonts w:eastAsia="Calibri"/>
          <w:b/>
        </w:rPr>
      </w:pPr>
      <w:r w:rsidRPr="00AA30CA">
        <w:rPr>
          <w:b/>
        </w:rPr>
        <w:t xml:space="preserve">5.2.4.3 </w:t>
      </w:r>
      <w:r w:rsidR="00E43137" w:rsidRPr="00AA30CA">
        <w:rPr>
          <w:rFonts w:eastAsia="Calibri"/>
          <w:b/>
        </w:rPr>
        <w:t>Fokusová oblasť 4C: Predchádzanie erózii pôdy a zlepšenie jej obhospodarovania</w:t>
      </w:r>
    </w:p>
    <w:p w:rsidR="007B5045" w:rsidRDefault="007B5045" w:rsidP="008676F9">
      <w:pPr>
        <w:autoSpaceDE w:val="0"/>
        <w:autoSpaceDN w:val="0"/>
        <w:adjustRightInd w:val="0"/>
        <w:rPr>
          <w:rFonts w:ascii="Calibri" w:eastAsia="Calibri" w:hAnsi="Calibri"/>
          <w:szCs w:val="22"/>
          <w:u w:val="single"/>
          <w:lang w:eastAsia="en-US"/>
        </w:rPr>
      </w:pPr>
    </w:p>
    <w:p w:rsidR="00E43137" w:rsidRPr="00E43137" w:rsidRDefault="00E43137" w:rsidP="008676F9">
      <w:pPr>
        <w:autoSpaceDE w:val="0"/>
        <w:autoSpaceDN w:val="0"/>
        <w:adjustRightInd w:val="0"/>
        <w:rPr>
          <w:rFonts w:ascii="Calibri" w:eastAsia="Calibri" w:hAnsi="Calibri"/>
          <w:szCs w:val="22"/>
          <w:u w:val="single"/>
          <w:lang w:eastAsia="en-US"/>
        </w:rPr>
      </w:pPr>
      <w:r w:rsidRPr="00E43137">
        <w:rPr>
          <w:rFonts w:ascii="Calibri" w:eastAsia="Calibri" w:hAnsi="Calibri"/>
          <w:szCs w:val="22"/>
          <w:u w:val="single"/>
          <w:lang w:eastAsia="en-US"/>
        </w:rPr>
        <w:t>Vybrané opatrenia</w:t>
      </w:r>
    </w:p>
    <w:tbl>
      <w:tblPr>
        <w:tblpPr w:leftFromText="141" w:rightFromText="141" w:vertAnchor="text" w:horzAnchor="margin" w:tblpX="108" w:tblpY="80"/>
        <w:tblW w:w="90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39"/>
      </w:tblGrid>
      <w:tr w:rsidR="007F7CA6" w:rsidRPr="00D82AFA" w:rsidTr="007F7CA6">
        <w:tc>
          <w:tcPr>
            <w:tcW w:w="9039" w:type="dxa"/>
            <w:shd w:val="clear" w:color="auto" w:fill="auto"/>
            <w:vAlign w:val="center"/>
          </w:tcPr>
          <w:p w:rsidR="007F7CA6" w:rsidRPr="00D82AFA" w:rsidRDefault="007F7CA6" w:rsidP="007F7CA6">
            <w:pPr>
              <w:spacing w:before="60" w:after="60"/>
              <w:rPr>
                <w:bCs/>
                <w:noProof/>
                <w:sz w:val="20"/>
                <w:szCs w:val="20"/>
              </w:rPr>
            </w:pPr>
            <w:r w:rsidRPr="00D82AFA">
              <w:rPr>
                <w:sz w:val="20"/>
                <w:szCs w:val="20"/>
              </w:rPr>
              <w:t>Opatren</w:t>
            </w:r>
            <w:r>
              <w:rPr>
                <w:sz w:val="20"/>
                <w:szCs w:val="20"/>
              </w:rPr>
              <w:t>ie  4</w:t>
            </w:r>
            <w:r w:rsidRPr="00D82AFA">
              <w:rPr>
                <w:bCs/>
                <w:noProof/>
                <w:sz w:val="20"/>
                <w:szCs w:val="20"/>
              </w:rPr>
              <w:t>: Investície do hmotného majetku</w:t>
            </w:r>
            <w:r>
              <w:rPr>
                <w:bCs/>
                <w:noProof/>
                <w:sz w:val="20"/>
                <w:szCs w:val="20"/>
              </w:rPr>
              <w:t xml:space="preserve"> (čl.17</w:t>
            </w:r>
            <w:r w:rsidRPr="00D82AFA">
              <w:rPr>
                <w:bCs/>
                <w:noProof/>
                <w:sz w:val="20"/>
                <w:szCs w:val="20"/>
              </w:rPr>
              <w:t>):</w:t>
            </w:r>
          </w:p>
          <w:p w:rsidR="007F7CA6" w:rsidRDefault="007F7CA6" w:rsidP="007F7CA6">
            <w:pPr>
              <w:spacing w:before="60" w:after="60"/>
              <w:rPr>
                <w:bCs/>
                <w:sz w:val="20"/>
                <w:szCs w:val="20"/>
              </w:rPr>
            </w:pPr>
            <w:r w:rsidRPr="00D82AFA">
              <w:rPr>
                <w:bCs/>
                <w:i/>
                <w:sz w:val="20"/>
                <w:szCs w:val="20"/>
              </w:rPr>
              <w:t xml:space="preserve">Podopatrenie </w:t>
            </w:r>
            <w:r>
              <w:rPr>
                <w:bCs/>
                <w:i/>
                <w:sz w:val="20"/>
                <w:szCs w:val="20"/>
              </w:rPr>
              <w:t>4.3: Pozemkové úpravy    (čl. 17</w:t>
            </w:r>
            <w:r w:rsidRPr="00D82AFA">
              <w:rPr>
                <w:bCs/>
                <w:i/>
                <w:sz w:val="20"/>
                <w:szCs w:val="20"/>
              </w:rPr>
              <w:t xml:space="preserve">c) – </w:t>
            </w:r>
            <w:r>
              <w:rPr>
                <w:bCs/>
                <w:i/>
                <w:sz w:val="20"/>
                <w:szCs w:val="20"/>
              </w:rPr>
              <w:t>spoločné zariadenia</w:t>
            </w:r>
          </w:p>
        </w:tc>
      </w:tr>
      <w:tr w:rsidR="007F7CA6" w:rsidRPr="00D82AFA" w:rsidTr="007F7CA6">
        <w:tc>
          <w:tcPr>
            <w:tcW w:w="9039" w:type="dxa"/>
            <w:shd w:val="clear" w:color="auto" w:fill="auto"/>
            <w:vAlign w:val="center"/>
          </w:tcPr>
          <w:p w:rsidR="007F7CA6" w:rsidRDefault="007F7CA6" w:rsidP="007F7CA6">
            <w:pPr>
              <w:spacing w:before="60" w:after="60"/>
              <w:rPr>
                <w:bCs/>
                <w:sz w:val="20"/>
                <w:szCs w:val="20"/>
              </w:rPr>
            </w:pPr>
            <w:r>
              <w:rPr>
                <w:bCs/>
                <w:sz w:val="20"/>
                <w:szCs w:val="20"/>
              </w:rPr>
              <w:t>Opatrenie 8</w:t>
            </w:r>
            <w:r w:rsidRPr="00D82AFA">
              <w:rPr>
                <w:bCs/>
                <w:sz w:val="20"/>
                <w:szCs w:val="20"/>
              </w:rPr>
              <w:t>: Investície do rozvoja lesných oblastí a zlepšeni</w:t>
            </w:r>
            <w:r>
              <w:rPr>
                <w:bCs/>
                <w:sz w:val="20"/>
                <w:szCs w:val="20"/>
              </w:rPr>
              <w:t>e životaschopnosti lesov (čl.21</w:t>
            </w:r>
            <w:r w:rsidRPr="00D82AFA">
              <w:rPr>
                <w:bCs/>
                <w:sz w:val="20"/>
                <w:szCs w:val="20"/>
              </w:rPr>
              <w:t>):</w:t>
            </w:r>
          </w:p>
          <w:p w:rsidR="006A183D" w:rsidRPr="006A183D" w:rsidRDefault="006A183D" w:rsidP="006A183D">
            <w:pPr>
              <w:spacing w:before="60" w:after="60"/>
              <w:ind w:left="1701" w:hanging="1701"/>
              <w:rPr>
                <w:bCs/>
                <w:i/>
                <w:sz w:val="20"/>
                <w:szCs w:val="20"/>
              </w:rPr>
            </w:pPr>
            <w:r w:rsidRPr="006A183D">
              <w:rPr>
                <w:bCs/>
                <w:i/>
                <w:sz w:val="20"/>
                <w:szCs w:val="20"/>
              </w:rPr>
              <w:t>Podopatrenie 8.3. Podpora prevencie poškodzovania lesov lesnými požiarmi, prírodnými pohromami, katastrofickými udalosťami (čl.24)</w:t>
            </w:r>
          </w:p>
          <w:p w:rsidR="006A183D" w:rsidRDefault="007F7CA6" w:rsidP="007F7CA6">
            <w:pPr>
              <w:spacing w:before="60" w:after="60"/>
              <w:ind w:left="1701" w:hanging="1701"/>
              <w:rPr>
                <w:i/>
                <w:sz w:val="20"/>
                <w:szCs w:val="20"/>
              </w:rPr>
            </w:pPr>
            <w:r w:rsidRPr="00D82AFA">
              <w:rPr>
                <w:i/>
                <w:sz w:val="20"/>
                <w:szCs w:val="20"/>
              </w:rPr>
              <w:t>Podopatrenie</w:t>
            </w:r>
            <w:r>
              <w:rPr>
                <w:i/>
                <w:sz w:val="20"/>
                <w:szCs w:val="20"/>
              </w:rPr>
              <w:t xml:space="preserve"> 8.4</w:t>
            </w:r>
            <w:r w:rsidRPr="00D82AFA">
              <w:rPr>
                <w:i/>
                <w:sz w:val="20"/>
                <w:szCs w:val="20"/>
              </w:rPr>
              <w:t xml:space="preserve">: </w:t>
            </w:r>
            <w:r w:rsidR="006A183D">
              <w:t xml:space="preserve"> </w:t>
            </w:r>
            <w:r w:rsidR="006A183D" w:rsidRPr="006A183D">
              <w:rPr>
                <w:i/>
                <w:sz w:val="20"/>
                <w:szCs w:val="20"/>
              </w:rPr>
              <w:t>Podpora prevencie poškodzovania lesov lesnými požiarmi, prírodnými pohromami a katastrofickými udalosťami  a obnova poškodených lesov (čl.24)</w:t>
            </w:r>
          </w:p>
          <w:p w:rsidR="007F7CA6" w:rsidRPr="00D82AFA" w:rsidRDefault="007F7CA6" w:rsidP="007F7CA6">
            <w:pPr>
              <w:spacing w:before="60" w:after="60"/>
              <w:ind w:left="1701" w:hanging="1701"/>
              <w:rPr>
                <w:bCs/>
                <w:sz w:val="20"/>
                <w:szCs w:val="20"/>
              </w:rPr>
            </w:pPr>
            <w:r>
              <w:rPr>
                <w:bCs/>
                <w:i/>
                <w:sz w:val="20"/>
                <w:szCs w:val="20"/>
              </w:rPr>
              <w:t>Podopatrenie 8.5</w:t>
            </w:r>
            <w:r w:rsidRPr="00D82AFA">
              <w:rPr>
                <w:bCs/>
                <w:i/>
                <w:sz w:val="20"/>
                <w:szCs w:val="20"/>
              </w:rPr>
              <w:t>:  Investície na zlepšenie odolnosti a environmentálnej hodnoty lesnýc</w:t>
            </w:r>
            <w:r>
              <w:rPr>
                <w:bCs/>
                <w:i/>
                <w:sz w:val="20"/>
                <w:szCs w:val="20"/>
              </w:rPr>
              <w:t>h ekosystémov (čl.25</w:t>
            </w:r>
            <w:r w:rsidRPr="00D82AFA">
              <w:rPr>
                <w:bCs/>
                <w:i/>
                <w:sz w:val="20"/>
                <w:szCs w:val="20"/>
              </w:rPr>
              <w:t>)</w:t>
            </w:r>
          </w:p>
        </w:tc>
      </w:tr>
      <w:tr w:rsidR="007F7CA6" w:rsidRPr="00D82AFA" w:rsidTr="007F7CA6">
        <w:tc>
          <w:tcPr>
            <w:tcW w:w="9039" w:type="dxa"/>
            <w:shd w:val="clear" w:color="auto" w:fill="auto"/>
            <w:vAlign w:val="center"/>
          </w:tcPr>
          <w:p w:rsidR="007F7CA6" w:rsidRPr="008F0CC8" w:rsidRDefault="007F7CA6" w:rsidP="007F7CA6">
            <w:pPr>
              <w:spacing w:before="60" w:after="60"/>
              <w:ind w:left="1276" w:hanging="1276"/>
              <w:rPr>
                <w:bCs/>
                <w:sz w:val="20"/>
                <w:szCs w:val="20"/>
                <w:lang w:val="pl-PL"/>
              </w:rPr>
            </w:pPr>
            <w:r>
              <w:rPr>
                <w:sz w:val="20"/>
                <w:szCs w:val="20"/>
              </w:rPr>
              <w:t>Opatrenie 15</w:t>
            </w:r>
            <w:r w:rsidRPr="008F0CC8">
              <w:rPr>
                <w:sz w:val="20"/>
                <w:szCs w:val="20"/>
              </w:rPr>
              <w:t>: Lesnícko-env</w:t>
            </w:r>
            <w:r w:rsidR="00B3442A">
              <w:rPr>
                <w:sz w:val="20"/>
                <w:szCs w:val="20"/>
              </w:rPr>
              <w:t>i</w:t>
            </w:r>
            <w:r w:rsidRPr="008F0CC8">
              <w:rPr>
                <w:sz w:val="20"/>
                <w:szCs w:val="20"/>
              </w:rPr>
              <w:t>r</w:t>
            </w:r>
            <w:r w:rsidR="00B3442A">
              <w:rPr>
                <w:sz w:val="20"/>
                <w:szCs w:val="20"/>
              </w:rPr>
              <w:t>o</w:t>
            </w:r>
            <w:r w:rsidRPr="008F0CC8">
              <w:rPr>
                <w:sz w:val="20"/>
                <w:szCs w:val="20"/>
              </w:rPr>
              <w:t xml:space="preserve">nmentálna podpora </w:t>
            </w:r>
            <w:r w:rsidRPr="008F0CC8">
              <w:rPr>
                <w:rFonts w:ascii="Calibri" w:eastAsia="Calibri" w:hAnsi="Calibri" w:cs="Calibri"/>
                <w:caps/>
                <w:smallCaps/>
                <w:lang w:val="pl-PL"/>
              </w:rPr>
              <w:t xml:space="preserve"> </w:t>
            </w:r>
            <w:r w:rsidRPr="008F0CC8">
              <w:rPr>
                <w:bCs/>
                <w:sz w:val="20"/>
                <w:szCs w:val="20"/>
                <w:lang w:val="pl-PL"/>
              </w:rPr>
              <w:t>lesnícko-environmentálne a klimatické služby a ochrana lesov  (čl.34)</w:t>
            </w:r>
          </w:p>
          <w:p w:rsidR="007F7CA6" w:rsidRPr="008F0CC8" w:rsidRDefault="007F7CA6" w:rsidP="007F7CA6">
            <w:pPr>
              <w:spacing w:before="60" w:after="60"/>
              <w:rPr>
                <w:bCs/>
                <w:i/>
                <w:iCs/>
                <w:sz w:val="20"/>
                <w:szCs w:val="20"/>
              </w:rPr>
            </w:pPr>
            <w:r w:rsidRPr="008F0CC8">
              <w:rPr>
                <w:bCs/>
                <w:i/>
                <w:sz w:val="20"/>
                <w:szCs w:val="20"/>
                <w:lang w:val="pl-PL"/>
              </w:rPr>
              <w:t xml:space="preserve">Podopatrenie 15.1 </w:t>
            </w:r>
            <w:r w:rsidRPr="008F0CC8">
              <w:rPr>
                <w:rFonts w:ascii="Calibri" w:hAnsi="Calibri" w:cs="Calibri"/>
                <w:bCs/>
                <w:i/>
                <w:iCs/>
              </w:rPr>
              <w:t xml:space="preserve"> </w:t>
            </w:r>
            <w:r w:rsidRPr="008F0CC8">
              <w:rPr>
                <w:bCs/>
                <w:i/>
                <w:iCs/>
                <w:sz w:val="20"/>
                <w:szCs w:val="20"/>
              </w:rPr>
              <w:t>Platby na lesnícko-environmentálne záväzky</w:t>
            </w:r>
          </w:p>
          <w:p w:rsidR="007F7CA6" w:rsidRDefault="007F7CA6" w:rsidP="007F7CA6">
            <w:pPr>
              <w:spacing w:before="60" w:after="60"/>
              <w:rPr>
                <w:bCs/>
                <w:sz w:val="20"/>
                <w:szCs w:val="20"/>
              </w:rPr>
            </w:pPr>
            <w:r w:rsidRPr="008F0CC8">
              <w:rPr>
                <w:bCs/>
                <w:i/>
                <w:iCs/>
                <w:sz w:val="20"/>
                <w:szCs w:val="20"/>
              </w:rPr>
              <w:t xml:space="preserve">Podopatrenie 15.2 </w:t>
            </w:r>
            <w:r w:rsidRPr="008F0CC8">
              <w:rPr>
                <w:rFonts w:ascii="Calibri" w:hAnsi="Calibri" w:cs="Calibri"/>
                <w:bCs/>
                <w:i/>
                <w:iCs/>
              </w:rPr>
              <w:t xml:space="preserve"> </w:t>
            </w:r>
            <w:r w:rsidRPr="008F0CC8">
              <w:rPr>
                <w:bCs/>
                <w:i/>
                <w:iCs/>
                <w:sz w:val="20"/>
                <w:szCs w:val="20"/>
              </w:rPr>
              <w:t>Podpora na účely ochrany a podpory  lesných genetických zdrojov</w:t>
            </w:r>
          </w:p>
        </w:tc>
      </w:tr>
      <w:tr w:rsidR="007F7CA6" w:rsidRPr="00D82AFA" w:rsidTr="007F7CA6">
        <w:tc>
          <w:tcPr>
            <w:tcW w:w="9039" w:type="dxa"/>
            <w:shd w:val="clear" w:color="auto" w:fill="auto"/>
            <w:vAlign w:val="center"/>
          </w:tcPr>
          <w:p w:rsidR="007F7CA6" w:rsidRPr="00D82AFA" w:rsidRDefault="007F7CA6" w:rsidP="007F7CA6">
            <w:pPr>
              <w:spacing w:before="60" w:after="60"/>
              <w:rPr>
                <w:sz w:val="20"/>
                <w:szCs w:val="20"/>
              </w:rPr>
            </w:pPr>
            <w:r>
              <w:rPr>
                <w:bCs/>
                <w:sz w:val="20"/>
                <w:szCs w:val="20"/>
              </w:rPr>
              <w:t>Opatrenie 10</w:t>
            </w:r>
            <w:r w:rsidRPr="00D82AFA">
              <w:rPr>
                <w:bCs/>
                <w:sz w:val="20"/>
                <w:szCs w:val="20"/>
              </w:rPr>
              <w:t xml:space="preserve">: Agroenvironmentálno-klimatické opatrenie  </w:t>
            </w:r>
            <w:r>
              <w:rPr>
                <w:sz w:val="20"/>
                <w:szCs w:val="20"/>
              </w:rPr>
              <w:t>(čl. 28</w:t>
            </w:r>
            <w:r w:rsidRPr="00D82AFA">
              <w:rPr>
                <w:sz w:val="20"/>
                <w:szCs w:val="20"/>
              </w:rPr>
              <w:t>)</w:t>
            </w:r>
          </w:p>
        </w:tc>
      </w:tr>
      <w:tr w:rsidR="007F7CA6" w:rsidRPr="00D82AFA" w:rsidTr="007F7CA6">
        <w:tc>
          <w:tcPr>
            <w:tcW w:w="9039" w:type="dxa"/>
            <w:shd w:val="clear" w:color="auto" w:fill="auto"/>
            <w:vAlign w:val="center"/>
          </w:tcPr>
          <w:p w:rsidR="007F7CA6" w:rsidRPr="00D82AFA" w:rsidRDefault="007F7CA6" w:rsidP="007F7CA6">
            <w:pPr>
              <w:spacing w:before="60" w:after="60"/>
              <w:rPr>
                <w:sz w:val="20"/>
                <w:szCs w:val="20"/>
              </w:rPr>
            </w:pPr>
            <w:r>
              <w:rPr>
                <w:sz w:val="20"/>
                <w:szCs w:val="20"/>
              </w:rPr>
              <w:t>Opatrenie 11</w:t>
            </w:r>
            <w:r w:rsidRPr="00D82AFA">
              <w:rPr>
                <w:sz w:val="20"/>
                <w:szCs w:val="20"/>
              </w:rPr>
              <w:t>: Ekol</w:t>
            </w:r>
            <w:r>
              <w:rPr>
                <w:sz w:val="20"/>
                <w:szCs w:val="20"/>
              </w:rPr>
              <w:t>ogické poľnohospodárstvo (čl. 29</w:t>
            </w:r>
            <w:r w:rsidRPr="00D82AFA">
              <w:rPr>
                <w:sz w:val="20"/>
                <w:szCs w:val="20"/>
              </w:rPr>
              <w:t>)</w:t>
            </w:r>
          </w:p>
        </w:tc>
      </w:tr>
      <w:tr w:rsidR="007F7CA6" w:rsidRPr="00D82AFA" w:rsidTr="007F7CA6">
        <w:tc>
          <w:tcPr>
            <w:tcW w:w="9039" w:type="dxa"/>
            <w:shd w:val="clear" w:color="auto" w:fill="auto"/>
            <w:vAlign w:val="center"/>
          </w:tcPr>
          <w:p w:rsidR="007F7CA6" w:rsidRPr="00D82AFA" w:rsidRDefault="007F7CA6" w:rsidP="007F7CA6">
            <w:pPr>
              <w:spacing w:before="60" w:after="60"/>
              <w:rPr>
                <w:sz w:val="20"/>
                <w:szCs w:val="20"/>
              </w:rPr>
            </w:pPr>
            <w:r w:rsidRPr="00D82AFA">
              <w:rPr>
                <w:sz w:val="20"/>
                <w:szCs w:val="20"/>
              </w:rPr>
              <w:t>O</w:t>
            </w:r>
            <w:r>
              <w:rPr>
                <w:sz w:val="20"/>
                <w:szCs w:val="20"/>
              </w:rPr>
              <w:t xml:space="preserve">patrenie </w:t>
            </w:r>
            <w:r w:rsidRPr="00D82AFA">
              <w:rPr>
                <w:sz w:val="20"/>
                <w:szCs w:val="20"/>
              </w:rPr>
              <w:t>1</w:t>
            </w:r>
            <w:r>
              <w:rPr>
                <w:sz w:val="20"/>
                <w:szCs w:val="20"/>
              </w:rPr>
              <w:t>3</w:t>
            </w:r>
            <w:r w:rsidRPr="00D82AFA">
              <w:rPr>
                <w:sz w:val="20"/>
                <w:szCs w:val="20"/>
              </w:rPr>
              <w:t xml:space="preserve">: Platby pre oblasti s prírodnými alebo inými </w:t>
            </w:r>
            <w:r>
              <w:rPr>
                <w:sz w:val="20"/>
                <w:szCs w:val="20"/>
              </w:rPr>
              <w:t>špecifickými obmedzeniami (čl.31</w:t>
            </w:r>
            <w:r w:rsidRPr="00D82AFA">
              <w:rPr>
                <w:sz w:val="20"/>
                <w:szCs w:val="20"/>
              </w:rPr>
              <w:t>)</w:t>
            </w:r>
          </w:p>
        </w:tc>
      </w:tr>
      <w:tr w:rsidR="007F7CA6" w:rsidRPr="00D82AFA" w:rsidTr="007F7CA6">
        <w:tc>
          <w:tcPr>
            <w:tcW w:w="9039" w:type="dxa"/>
            <w:shd w:val="clear" w:color="auto" w:fill="auto"/>
            <w:vAlign w:val="center"/>
          </w:tcPr>
          <w:p w:rsidR="007F7CA6" w:rsidRPr="00D82AFA" w:rsidRDefault="007F7CA6" w:rsidP="007F7CA6">
            <w:pPr>
              <w:spacing w:before="60" w:after="60"/>
              <w:rPr>
                <w:sz w:val="20"/>
                <w:szCs w:val="20"/>
              </w:rPr>
            </w:pPr>
            <w:r>
              <w:rPr>
                <w:sz w:val="20"/>
                <w:szCs w:val="20"/>
              </w:rPr>
              <w:t xml:space="preserve">Opatrenie </w:t>
            </w:r>
            <w:r w:rsidRPr="00D82AFA">
              <w:rPr>
                <w:sz w:val="20"/>
                <w:szCs w:val="20"/>
              </w:rPr>
              <w:t>1</w:t>
            </w:r>
            <w:r>
              <w:rPr>
                <w:sz w:val="20"/>
                <w:szCs w:val="20"/>
              </w:rPr>
              <w:t>6: Spolupráca (čl. 35</w:t>
            </w:r>
            <w:r w:rsidRPr="00D82AFA">
              <w:rPr>
                <w:sz w:val="20"/>
                <w:szCs w:val="20"/>
              </w:rPr>
              <w:t>)</w:t>
            </w:r>
          </w:p>
        </w:tc>
      </w:tr>
      <w:tr w:rsidR="007F7CA6" w:rsidRPr="00D82AFA" w:rsidTr="007F7CA6">
        <w:tc>
          <w:tcPr>
            <w:tcW w:w="9039" w:type="dxa"/>
            <w:shd w:val="clear" w:color="auto" w:fill="auto"/>
            <w:vAlign w:val="center"/>
          </w:tcPr>
          <w:p w:rsidR="007F7CA6" w:rsidRPr="00D82AFA" w:rsidRDefault="007F7CA6" w:rsidP="007F7CA6">
            <w:pPr>
              <w:spacing w:before="60" w:after="60"/>
              <w:rPr>
                <w:bCs/>
                <w:sz w:val="20"/>
                <w:szCs w:val="20"/>
              </w:rPr>
            </w:pPr>
            <w:r w:rsidRPr="00D82AFA">
              <w:rPr>
                <w:sz w:val="20"/>
                <w:szCs w:val="20"/>
              </w:rPr>
              <w:t xml:space="preserve">Opatrenie </w:t>
            </w:r>
            <w:r w:rsidRPr="00D82AFA">
              <w:rPr>
                <w:bCs/>
                <w:sz w:val="20"/>
                <w:szCs w:val="20"/>
              </w:rPr>
              <w:t>1: Pre</w:t>
            </w:r>
            <w:r>
              <w:rPr>
                <w:bCs/>
                <w:sz w:val="20"/>
                <w:szCs w:val="20"/>
              </w:rPr>
              <w:t>nos vedomostí a zručností (čl.14</w:t>
            </w:r>
            <w:r w:rsidRPr="00D82AFA">
              <w:rPr>
                <w:bCs/>
                <w:sz w:val="20"/>
                <w:szCs w:val="20"/>
              </w:rPr>
              <w:t>)</w:t>
            </w:r>
          </w:p>
        </w:tc>
      </w:tr>
      <w:tr w:rsidR="007F7CA6" w:rsidRPr="00D82AFA" w:rsidTr="007F7CA6">
        <w:tc>
          <w:tcPr>
            <w:tcW w:w="9039" w:type="dxa"/>
            <w:shd w:val="clear" w:color="auto" w:fill="auto"/>
            <w:vAlign w:val="center"/>
          </w:tcPr>
          <w:p w:rsidR="007F7CA6" w:rsidRPr="00D82AFA" w:rsidRDefault="007F7CA6" w:rsidP="007F7CA6">
            <w:pPr>
              <w:spacing w:before="60" w:after="60"/>
              <w:rPr>
                <w:sz w:val="20"/>
                <w:szCs w:val="20"/>
              </w:rPr>
            </w:pPr>
            <w:r w:rsidRPr="00D82AFA">
              <w:rPr>
                <w:sz w:val="20"/>
                <w:szCs w:val="20"/>
              </w:rPr>
              <w:t>Opatrenie</w:t>
            </w:r>
            <w:r>
              <w:rPr>
                <w:sz w:val="20"/>
                <w:szCs w:val="20"/>
              </w:rPr>
              <w:t xml:space="preserve"> 2: Poradenské služby  (čl.15</w:t>
            </w:r>
            <w:r w:rsidRPr="00D82AFA">
              <w:rPr>
                <w:sz w:val="20"/>
                <w:szCs w:val="20"/>
              </w:rPr>
              <w:t xml:space="preserve">)                                                      </w:t>
            </w:r>
          </w:p>
        </w:tc>
      </w:tr>
    </w:tbl>
    <w:p w:rsidR="00E43137" w:rsidRPr="00E43137" w:rsidRDefault="00E43137" w:rsidP="008676F9">
      <w:pPr>
        <w:autoSpaceDE w:val="0"/>
        <w:autoSpaceDN w:val="0"/>
        <w:adjustRightInd w:val="0"/>
        <w:rPr>
          <w:rFonts w:ascii="Calibri" w:eastAsia="Calibri" w:hAnsi="Calibri"/>
          <w:szCs w:val="22"/>
          <w:u w:val="single"/>
          <w:lang w:eastAsia="en-US"/>
        </w:rPr>
      </w:pPr>
    </w:p>
    <w:p w:rsidR="00E43137" w:rsidRPr="00E43137" w:rsidRDefault="00E43137" w:rsidP="008676F9">
      <w:pPr>
        <w:autoSpaceDE w:val="0"/>
        <w:autoSpaceDN w:val="0"/>
        <w:adjustRightInd w:val="0"/>
        <w:rPr>
          <w:rFonts w:ascii="Calibri" w:eastAsia="Calibri" w:hAnsi="Calibri"/>
          <w:szCs w:val="22"/>
          <w:u w:val="single"/>
          <w:lang w:eastAsia="en-US"/>
        </w:rPr>
      </w:pPr>
      <w:r w:rsidRPr="00E43137">
        <w:rPr>
          <w:rFonts w:ascii="Calibri" w:eastAsia="Calibri" w:hAnsi="Calibri"/>
          <w:szCs w:val="22"/>
          <w:u w:val="single"/>
          <w:lang w:eastAsia="en-US"/>
        </w:rPr>
        <w:t xml:space="preserve">Kombinácia a zdôvodnenie opatrení </w:t>
      </w:r>
    </w:p>
    <w:p w:rsidR="007F7CA6" w:rsidRPr="00D82AFA" w:rsidRDefault="007F7CA6" w:rsidP="007F7CA6">
      <w:pPr>
        <w:autoSpaceDE w:val="0"/>
        <w:autoSpaceDN w:val="0"/>
        <w:adjustRightInd w:val="0"/>
        <w:spacing w:before="120"/>
        <w:rPr>
          <w:bCs/>
        </w:rPr>
      </w:pPr>
      <w:r w:rsidRPr="00D82AFA">
        <w:t xml:space="preserve">Dôležitými predpokladmi pre úrodnosť pôdy je dostatočný obsah organických látok, ako aj protierózna ochrana zabezpečujúca ochranu pôdy. V snahe o účinnejšiu ochranu pôdy a zachovanie jej úrodnosti </w:t>
      </w:r>
      <w:r>
        <w:t xml:space="preserve">budú podporované </w:t>
      </w:r>
      <w:r w:rsidRPr="00D82AFA">
        <w:t xml:space="preserve">agrotechnické opatrenia </w:t>
      </w:r>
      <w:r>
        <w:t>(</w:t>
      </w:r>
      <w:r w:rsidRPr="002C35A7">
        <w:rPr>
          <w:b/>
        </w:rPr>
        <w:t>opatrenie 10, čl.28</w:t>
      </w:r>
      <w:r>
        <w:t xml:space="preserve">) </w:t>
      </w:r>
      <w:r w:rsidRPr="00D82AFA">
        <w:t>zamerané na ochranu pred degradáciou pôdy a na zlepšenie kvality a úrodnosti pôdy, čím sa dosiahne zlepšenie absorpcie živín v pôde a zníženie ich vyplavovania. Konkrétne v oblasti poľnohospodárstva sa majú implementovať okrem iného opatrenia zabraňujúce erózii, ďalej opatrenia podporujúce obsah humusu a také ktoré sú šetrné voči poľnohospodárskej pôde, ďalej vytváranie stimulov na zachovávanie TTP ako aj podpora zaradenia opustených pôvodných TTP späť do užívania</w:t>
      </w:r>
      <w:r>
        <w:t xml:space="preserve"> (</w:t>
      </w:r>
      <w:r w:rsidRPr="002C35A7">
        <w:rPr>
          <w:b/>
        </w:rPr>
        <w:t>opatrenie 16, čl.35</w:t>
      </w:r>
      <w:r>
        <w:t>)</w:t>
      </w:r>
      <w:r w:rsidRPr="00D82AFA">
        <w:t xml:space="preserve">.  Zdrojom dôležitých stimulov pre poľnohospodárov je predovšetkým </w:t>
      </w:r>
      <w:r w:rsidRPr="002C35A7">
        <w:rPr>
          <w:b/>
        </w:rPr>
        <w:t>ekologické poľnohospodárstvo</w:t>
      </w:r>
      <w:r>
        <w:t xml:space="preserve"> (</w:t>
      </w:r>
      <w:r w:rsidRPr="002C35A7">
        <w:rPr>
          <w:b/>
        </w:rPr>
        <w:t>čl.29)</w:t>
      </w:r>
      <w:r w:rsidRPr="00D82AFA">
        <w:t xml:space="preserve">, </w:t>
      </w:r>
      <w:r w:rsidRPr="002C35A7">
        <w:rPr>
          <w:b/>
        </w:rPr>
        <w:t>agroenvironmentálne schémy</w:t>
      </w:r>
      <w:r>
        <w:rPr>
          <w:b/>
        </w:rPr>
        <w:t xml:space="preserve"> (čl.28)</w:t>
      </w:r>
      <w:r w:rsidRPr="002C35A7">
        <w:rPr>
          <w:b/>
        </w:rPr>
        <w:t xml:space="preserve">, </w:t>
      </w:r>
      <w:r w:rsidRPr="002C35A7">
        <w:rPr>
          <w:b/>
          <w:bCs/>
        </w:rPr>
        <w:t>platby pre oblasti s prírodnými alebo inými špecifickými obmedzeniami (čl.31)</w:t>
      </w:r>
      <w:r w:rsidRPr="00D82AFA">
        <w:rPr>
          <w:bCs/>
        </w:rPr>
        <w:t xml:space="preserve">, projekty spolupráce. </w:t>
      </w:r>
      <w:r w:rsidRPr="00D82AFA">
        <w:t>Na ochranu pred prírodnými rizika budú implementované projekty pozemkových úprav</w:t>
      </w:r>
      <w:r>
        <w:t xml:space="preserve"> (spoločné zariadenia, </w:t>
      </w:r>
      <w:r w:rsidRPr="009D6B1D">
        <w:rPr>
          <w:b/>
        </w:rPr>
        <w:t>podopatrenie 4.3 (čl.17c)</w:t>
      </w:r>
      <w:r>
        <w:t>)</w:t>
      </w:r>
      <w:r w:rsidRPr="00D82AFA">
        <w:t xml:space="preserve">, ktoré navrhnú nové pozemky tak, aby sa zamedzilo erózii, vylepšil vodný režim v krajine a zvýšila sa jej ekologická stabilita. </w:t>
      </w:r>
    </w:p>
    <w:p w:rsidR="007F7CA6" w:rsidRPr="00D82AFA" w:rsidRDefault="007F7CA6" w:rsidP="007F7CA6">
      <w:pPr>
        <w:autoSpaceDE w:val="0"/>
        <w:autoSpaceDN w:val="0"/>
        <w:adjustRightInd w:val="0"/>
        <w:spacing w:before="120"/>
        <w:rPr>
          <w:bCs/>
        </w:rPr>
      </w:pPr>
      <w:r w:rsidRPr="00D82AFA">
        <w:t xml:space="preserve">V oblasti protieróznej ochrany pôdy v lesoch sa </w:t>
      </w:r>
      <w:r>
        <w:t>fokusová oblasť</w:t>
      </w:r>
      <w:r w:rsidRPr="00D82AFA">
        <w:t xml:space="preserve"> 4C zameria </w:t>
      </w:r>
      <w:r>
        <w:t xml:space="preserve">na realizáciu šetrných foriem hospodárenia v lesných ekosystémoch, ktoré vedú k zmierňovaniu erózneho tlaku – </w:t>
      </w:r>
      <w:r w:rsidRPr="0090737F">
        <w:rPr>
          <w:b/>
        </w:rPr>
        <w:t>opatrenie 15 (čl.34)</w:t>
      </w:r>
      <w:r>
        <w:t xml:space="preserve">, </w:t>
      </w:r>
      <w:r w:rsidRPr="00D82AFA">
        <w:t>na obnovu lesného potenciálu poškodeného požiarmi a inými prírodnými katastrofami vrátane škodcov, chorôb a katastrofických udalostí a javov súvisiacich so zmenou klímy ako aj  na obnovu a rozvoj ochrannej infraštruktúry</w:t>
      </w:r>
      <w:r>
        <w:t xml:space="preserve"> – </w:t>
      </w:r>
      <w:r w:rsidRPr="009D6B1D">
        <w:rPr>
          <w:b/>
        </w:rPr>
        <w:t xml:space="preserve">podopatrenie </w:t>
      </w:r>
      <w:r w:rsidR="006A183D">
        <w:rPr>
          <w:b/>
        </w:rPr>
        <w:t xml:space="preserve">8.3, </w:t>
      </w:r>
      <w:r w:rsidRPr="009D6B1D">
        <w:rPr>
          <w:b/>
        </w:rPr>
        <w:t>8.4 a 8.5 (čl.24, 25)</w:t>
      </w:r>
      <w:r w:rsidRPr="00D82AFA">
        <w:t xml:space="preserve">. To má prispieť k zvýšeniu stability ochrannej funkcie lesov. </w:t>
      </w:r>
      <w:r>
        <w:t xml:space="preserve">V rámci </w:t>
      </w:r>
      <w:r w:rsidRPr="0090737F">
        <w:rPr>
          <w:b/>
        </w:rPr>
        <w:t>opatrenia 16 (čl.35)</w:t>
      </w:r>
      <w:r>
        <w:t xml:space="preserve"> bude podporené vypracovanie a využitie plánov lesného hospodárstva v LH na zabezpečenie trvalo udržateľného obhospodarovania lesov. </w:t>
      </w:r>
    </w:p>
    <w:p w:rsidR="00E43137" w:rsidRPr="00E43137" w:rsidRDefault="007F7CA6" w:rsidP="007F7CA6">
      <w:pPr>
        <w:autoSpaceDE w:val="0"/>
        <w:autoSpaceDN w:val="0"/>
        <w:adjustRightInd w:val="0"/>
        <w:rPr>
          <w:rFonts w:ascii="Calibri" w:eastAsia="Calibri" w:hAnsi="Calibri"/>
          <w:szCs w:val="22"/>
          <w:lang w:eastAsia="en-US"/>
        </w:rPr>
      </w:pPr>
      <w:r w:rsidRPr="00D82AFA">
        <w:t xml:space="preserve">Ochrana proti degradácii pôdy vrátane  starostlivosti o TTP a lesy, sa nezaobíde bez aktívneho poradenstva,  vzdelávania </w:t>
      </w:r>
      <w:r>
        <w:t xml:space="preserve">(zameraného hlavne na CC) </w:t>
      </w:r>
      <w:r w:rsidRPr="00D82AFA">
        <w:t>a šírenia dobrej praxe v tejto oblasti</w:t>
      </w:r>
      <w:r>
        <w:t xml:space="preserve"> (</w:t>
      </w:r>
      <w:r w:rsidRPr="009D6B1D">
        <w:rPr>
          <w:b/>
        </w:rPr>
        <w:t>opatrenie 1,2 (čl.14 a 15)</w:t>
      </w:r>
      <w:r>
        <w:t>)</w:t>
      </w:r>
      <w:r w:rsidRPr="00D82AFA">
        <w:t>.</w:t>
      </w:r>
    </w:p>
    <w:p w:rsidR="007B5045" w:rsidRDefault="007B5045" w:rsidP="008676F9">
      <w:pPr>
        <w:autoSpaceDE w:val="0"/>
        <w:autoSpaceDN w:val="0"/>
        <w:adjustRightInd w:val="0"/>
        <w:rPr>
          <w:rFonts w:ascii="Calibri" w:eastAsia="Calibri" w:hAnsi="Calibri"/>
          <w:szCs w:val="22"/>
          <w:lang w:eastAsia="en-US"/>
        </w:rPr>
      </w:pPr>
      <w:r>
        <w:rPr>
          <w:rFonts w:ascii="Calibri" w:eastAsia="Calibri" w:hAnsi="Calibri"/>
          <w:szCs w:val="22"/>
          <w:lang w:eastAsia="en-US"/>
        </w:rPr>
        <w:br w:type="page"/>
      </w:r>
    </w:p>
    <w:p w:rsidR="00E43137" w:rsidRPr="00E43137" w:rsidRDefault="00E43137" w:rsidP="005E09D4">
      <w:pPr>
        <w:pStyle w:val="Podpod"/>
        <w:spacing w:after="120"/>
        <w:ind w:left="1559" w:hanging="1559"/>
      </w:pPr>
      <w:bookmarkStart w:id="54" w:name="_Toc384111024"/>
      <w:bookmarkStart w:id="55" w:name="_Toc387041302"/>
      <w:r w:rsidRPr="00E43137">
        <w:t>5.2.5 Priorita 5: Propagácia efektívneho využívania zdrojov a podpora prechodu na nízkouhlíkové hospodárstvo odolné voči zmene klímy v odvetví poľnohospodárstva, potravinárstva a lesného hospodárstva</w:t>
      </w:r>
      <w:bookmarkEnd w:id="54"/>
      <w:bookmarkEnd w:id="55"/>
    </w:p>
    <w:p w:rsidR="00E43137" w:rsidRPr="00AA30CA" w:rsidRDefault="00AA30CA" w:rsidP="00AA30CA">
      <w:pPr>
        <w:rPr>
          <w:rFonts w:eastAsia="Calibri"/>
          <w:b/>
        </w:rPr>
      </w:pPr>
      <w:r w:rsidRPr="00AA30CA">
        <w:rPr>
          <w:b/>
        </w:rPr>
        <w:t xml:space="preserve">5.2.5.1 </w:t>
      </w:r>
      <w:r w:rsidR="00E43137" w:rsidRPr="00AA30CA">
        <w:rPr>
          <w:rFonts w:eastAsia="Calibri"/>
          <w:b/>
        </w:rPr>
        <w:t>Fokusová oblasť 5A: Zvýšenie efektívnosti využívania vody v poľnohospodárstve</w:t>
      </w:r>
    </w:p>
    <w:p w:rsidR="00086915" w:rsidRDefault="00086915" w:rsidP="008676F9">
      <w:pPr>
        <w:autoSpaceDE w:val="0"/>
        <w:autoSpaceDN w:val="0"/>
        <w:adjustRightInd w:val="0"/>
        <w:rPr>
          <w:rFonts w:ascii="Calibri" w:eastAsia="Calibri" w:hAnsi="Calibri"/>
          <w:szCs w:val="22"/>
          <w:u w:val="single"/>
          <w:lang w:eastAsia="en-US"/>
        </w:rPr>
      </w:pPr>
    </w:p>
    <w:p w:rsidR="00E43137" w:rsidRPr="00E43137" w:rsidRDefault="00E43137" w:rsidP="008676F9">
      <w:pPr>
        <w:autoSpaceDE w:val="0"/>
        <w:autoSpaceDN w:val="0"/>
        <w:adjustRightInd w:val="0"/>
        <w:rPr>
          <w:rFonts w:ascii="Calibri" w:eastAsia="Calibri" w:hAnsi="Calibri"/>
          <w:szCs w:val="22"/>
          <w:u w:val="single"/>
          <w:lang w:eastAsia="en-US"/>
        </w:rPr>
      </w:pPr>
      <w:r w:rsidRPr="00E43137">
        <w:rPr>
          <w:rFonts w:ascii="Calibri" w:eastAsia="Calibri" w:hAnsi="Calibri"/>
          <w:szCs w:val="22"/>
          <w:u w:val="single"/>
          <w:lang w:eastAsia="en-US"/>
        </w:rPr>
        <w:t>Vybrané opatrenia</w:t>
      </w:r>
    </w:p>
    <w:tbl>
      <w:tblPr>
        <w:tblpPr w:leftFromText="141" w:rightFromText="141" w:vertAnchor="text" w:horzAnchor="margin" w:tblpX="108" w:tblpY="80"/>
        <w:tblW w:w="90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39"/>
      </w:tblGrid>
      <w:tr w:rsidR="007F7CA6" w:rsidRPr="00D82AFA" w:rsidTr="007F7CA6">
        <w:tc>
          <w:tcPr>
            <w:tcW w:w="9039" w:type="dxa"/>
            <w:shd w:val="clear" w:color="auto" w:fill="auto"/>
            <w:vAlign w:val="center"/>
          </w:tcPr>
          <w:p w:rsidR="007F7CA6" w:rsidRPr="00D82AFA" w:rsidRDefault="007F7CA6" w:rsidP="007F7CA6">
            <w:pPr>
              <w:spacing w:before="60" w:after="60"/>
              <w:rPr>
                <w:bCs/>
                <w:noProof/>
                <w:sz w:val="20"/>
                <w:szCs w:val="20"/>
              </w:rPr>
            </w:pPr>
            <w:r>
              <w:rPr>
                <w:sz w:val="20"/>
                <w:szCs w:val="20"/>
              </w:rPr>
              <w:t>Opatrenie  4</w:t>
            </w:r>
            <w:r w:rsidRPr="00D82AFA">
              <w:rPr>
                <w:bCs/>
                <w:noProof/>
                <w:sz w:val="20"/>
                <w:szCs w:val="20"/>
              </w:rPr>
              <w:t>: Investície do hmotného majetku</w:t>
            </w:r>
            <w:r>
              <w:rPr>
                <w:bCs/>
                <w:noProof/>
                <w:sz w:val="20"/>
                <w:szCs w:val="20"/>
              </w:rPr>
              <w:t xml:space="preserve"> (čl.17</w:t>
            </w:r>
            <w:r w:rsidRPr="00D82AFA">
              <w:rPr>
                <w:bCs/>
                <w:noProof/>
                <w:sz w:val="20"/>
                <w:szCs w:val="20"/>
              </w:rPr>
              <w:t>)</w:t>
            </w:r>
          </w:p>
          <w:p w:rsidR="007F7CA6" w:rsidRPr="00D82AFA" w:rsidRDefault="007F7CA6" w:rsidP="007F7CA6">
            <w:pPr>
              <w:spacing w:before="60" w:after="60"/>
              <w:ind w:left="1560" w:hanging="1560"/>
              <w:rPr>
                <w:i/>
                <w:sz w:val="20"/>
                <w:szCs w:val="20"/>
              </w:rPr>
            </w:pPr>
            <w:r>
              <w:rPr>
                <w:i/>
                <w:sz w:val="20"/>
                <w:szCs w:val="20"/>
              </w:rPr>
              <w:t>Podopatrenie 4</w:t>
            </w:r>
            <w:r w:rsidRPr="00D82AFA">
              <w:rPr>
                <w:i/>
                <w:sz w:val="20"/>
                <w:szCs w:val="20"/>
              </w:rPr>
              <w:t>.1: Investície do hmotného majetku, ktoré zlepšujú celkovú výkonnosť poľnohospodárskeho podniku (čl.1</w:t>
            </w:r>
            <w:r>
              <w:rPr>
                <w:i/>
                <w:sz w:val="20"/>
                <w:szCs w:val="20"/>
              </w:rPr>
              <w:t>7</w:t>
            </w:r>
            <w:r w:rsidRPr="00D82AFA">
              <w:rPr>
                <w:i/>
                <w:sz w:val="20"/>
                <w:szCs w:val="20"/>
              </w:rPr>
              <w:t>a)</w:t>
            </w:r>
          </w:p>
        </w:tc>
      </w:tr>
      <w:tr w:rsidR="007F7CA6" w:rsidRPr="00D82AFA" w:rsidTr="007F7CA6">
        <w:tc>
          <w:tcPr>
            <w:tcW w:w="9039" w:type="dxa"/>
            <w:shd w:val="clear" w:color="auto" w:fill="auto"/>
            <w:vAlign w:val="center"/>
          </w:tcPr>
          <w:p w:rsidR="007F7CA6" w:rsidRDefault="007F7CA6" w:rsidP="007F7CA6">
            <w:pPr>
              <w:spacing w:before="60" w:after="60"/>
              <w:rPr>
                <w:sz w:val="20"/>
                <w:szCs w:val="20"/>
              </w:rPr>
            </w:pPr>
            <w:r w:rsidRPr="00D82AFA">
              <w:rPr>
                <w:sz w:val="20"/>
                <w:szCs w:val="20"/>
              </w:rPr>
              <w:t xml:space="preserve">Opatrenie  </w:t>
            </w:r>
            <w:r>
              <w:rPr>
                <w:sz w:val="20"/>
                <w:szCs w:val="20"/>
              </w:rPr>
              <w:t>2:  Poradenské služby  (čl.15</w:t>
            </w:r>
            <w:r w:rsidRPr="00D82AFA">
              <w:rPr>
                <w:sz w:val="20"/>
                <w:szCs w:val="20"/>
              </w:rPr>
              <w:t xml:space="preserve">)                                                      </w:t>
            </w:r>
          </w:p>
        </w:tc>
      </w:tr>
    </w:tbl>
    <w:p w:rsidR="00E43137" w:rsidRPr="00E43137" w:rsidRDefault="00E43137" w:rsidP="008676F9">
      <w:pPr>
        <w:autoSpaceDE w:val="0"/>
        <w:autoSpaceDN w:val="0"/>
        <w:adjustRightInd w:val="0"/>
        <w:rPr>
          <w:rFonts w:ascii="Calibri" w:eastAsia="Calibri" w:hAnsi="Calibri"/>
          <w:szCs w:val="22"/>
          <w:u w:val="single"/>
          <w:lang w:eastAsia="en-US"/>
        </w:rPr>
      </w:pPr>
    </w:p>
    <w:p w:rsidR="00E43137" w:rsidRPr="00E43137" w:rsidRDefault="00E43137" w:rsidP="008676F9">
      <w:pPr>
        <w:autoSpaceDE w:val="0"/>
        <w:autoSpaceDN w:val="0"/>
        <w:adjustRightInd w:val="0"/>
        <w:rPr>
          <w:rFonts w:ascii="Calibri" w:eastAsia="Calibri" w:hAnsi="Calibri"/>
          <w:szCs w:val="22"/>
          <w:u w:val="single"/>
          <w:lang w:eastAsia="en-US"/>
        </w:rPr>
      </w:pPr>
      <w:r w:rsidRPr="00E43137">
        <w:rPr>
          <w:rFonts w:ascii="Calibri" w:eastAsia="Calibri" w:hAnsi="Calibri"/>
          <w:szCs w:val="22"/>
          <w:u w:val="single"/>
          <w:lang w:eastAsia="en-US"/>
        </w:rPr>
        <w:t xml:space="preserve">Kombinácia a zdôvodnenie opatrení </w:t>
      </w:r>
    </w:p>
    <w:p w:rsidR="007F7CA6" w:rsidRPr="00D82AFA" w:rsidRDefault="007F7CA6" w:rsidP="007F7CA6">
      <w:pPr>
        <w:autoSpaceDE w:val="0"/>
        <w:autoSpaceDN w:val="0"/>
        <w:adjustRightInd w:val="0"/>
        <w:spacing w:before="120"/>
      </w:pPr>
      <w:r w:rsidRPr="00D82AFA">
        <w:t xml:space="preserve">V súvislosti s blížiacimi sa zmenami klimatických podmienok pre poľnohospodársku produkciu sú otázky ohľadom efektívneho hospodárenia s vodou v SR veľmi aktuálne. </w:t>
      </w:r>
      <w:r>
        <w:t>Fokusová oblasť</w:t>
      </w:r>
      <w:r w:rsidRPr="00D82AFA">
        <w:t xml:space="preserve"> 5A sa zameria na podporu investícií do modernizácie závlahovej infraštruktúry a úsporných technológií zavlažovania (presné zavlažovanie, kvapkové závlahy) v poľnohospodárskych podnikoch</w:t>
      </w:r>
      <w:r>
        <w:t xml:space="preserve"> v rámci </w:t>
      </w:r>
      <w:r w:rsidRPr="00071B9F">
        <w:rPr>
          <w:b/>
        </w:rPr>
        <w:t>podopatrenia 4.1 (čl.17a)</w:t>
      </w:r>
      <w:r>
        <w:t>, ktoré zvýšia efektívnosť využívania vody v poľnohospodárstve.</w:t>
      </w:r>
      <w:r w:rsidRPr="00D82AFA">
        <w:t xml:space="preserve"> Súčasne s podporou investícií do závlah bud</w:t>
      </w:r>
      <w:r>
        <w:t xml:space="preserve">ú podporené poskytnuté poradenské služby v rámci </w:t>
      </w:r>
      <w:r w:rsidRPr="00071B9F">
        <w:rPr>
          <w:b/>
        </w:rPr>
        <w:t>opatrenia 2 (čl.15)</w:t>
      </w:r>
      <w:r>
        <w:t>, ktoré zabezpečia transfer</w:t>
      </w:r>
      <w:r w:rsidRPr="00D82AFA">
        <w:t xml:space="preserve"> najnovších</w:t>
      </w:r>
      <w:r>
        <w:t xml:space="preserve"> poznatkov a skúseností v oblasti</w:t>
      </w:r>
      <w:r w:rsidRPr="00D82AFA">
        <w:t xml:space="preserve"> využívania moderných</w:t>
      </w:r>
      <w:r>
        <w:t xml:space="preserve"> zavlažovacích</w:t>
      </w:r>
      <w:r w:rsidRPr="00D82AFA">
        <w:t xml:space="preserve"> technológi</w:t>
      </w:r>
      <w:r>
        <w:t>í</w:t>
      </w:r>
      <w:r w:rsidRPr="00D82AFA">
        <w:t>.  Uvedené opatrenia budú pôsobiť synergicky  s opatreniami z</w:t>
      </w:r>
      <w:r>
        <w:t xml:space="preserve"> fokusových </w:t>
      </w:r>
      <w:r w:rsidRPr="00D82AFA">
        <w:t>oblast</w:t>
      </w:r>
      <w:r>
        <w:t>í</w:t>
      </w:r>
      <w:r w:rsidRPr="00D82AFA">
        <w:t> 3B a 2A.</w:t>
      </w:r>
    </w:p>
    <w:p w:rsidR="00E43137" w:rsidRDefault="00E43137" w:rsidP="008676F9">
      <w:pPr>
        <w:autoSpaceDE w:val="0"/>
        <w:autoSpaceDN w:val="0"/>
        <w:adjustRightInd w:val="0"/>
        <w:rPr>
          <w:rFonts w:ascii="Calibri" w:eastAsia="Calibri" w:hAnsi="Calibri"/>
          <w:b/>
          <w:szCs w:val="22"/>
          <w:lang w:eastAsia="en-US"/>
        </w:rPr>
      </w:pPr>
    </w:p>
    <w:p w:rsidR="00E43137" w:rsidRPr="00AA30CA" w:rsidRDefault="00086915" w:rsidP="00F53A78">
      <w:pPr>
        <w:ind w:left="2694" w:hanging="2694"/>
        <w:rPr>
          <w:rFonts w:eastAsia="Calibri"/>
          <w:b/>
        </w:rPr>
      </w:pPr>
      <w:r w:rsidRPr="00AA30CA">
        <w:rPr>
          <w:rFonts w:eastAsia="Calibri"/>
          <w:b/>
        </w:rPr>
        <w:t xml:space="preserve">5.2.5.2 </w:t>
      </w:r>
      <w:r w:rsidR="00E43137" w:rsidRPr="00AA30CA">
        <w:rPr>
          <w:rFonts w:eastAsia="Calibri"/>
          <w:b/>
        </w:rPr>
        <w:t>Fokusová oblasť 5B: Zvýšenie efektívnosti využívania energie v poľnohospodárstve a pri spracovaní potravín</w:t>
      </w:r>
    </w:p>
    <w:p w:rsidR="00086915" w:rsidRDefault="00086915" w:rsidP="008676F9">
      <w:pPr>
        <w:autoSpaceDE w:val="0"/>
        <w:autoSpaceDN w:val="0"/>
        <w:adjustRightInd w:val="0"/>
        <w:rPr>
          <w:rFonts w:ascii="Calibri" w:eastAsia="Calibri" w:hAnsi="Calibri"/>
          <w:szCs w:val="22"/>
          <w:u w:val="single"/>
          <w:lang w:eastAsia="en-US"/>
        </w:rPr>
      </w:pPr>
    </w:p>
    <w:p w:rsidR="00E43137" w:rsidRPr="00E43137" w:rsidRDefault="00E43137" w:rsidP="008676F9">
      <w:pPr>
        <w:autoSpaceDE w:val="0"/>
        <w:autoSpaceDN w:val="0"/>
        <w:adjustRightInd w:val="0"/>
        <w:rPr>
          <w:rFonts w:ascii="Calibri" w:eastAsia="Calibri" w:hAnsi="Calibri"/>
          <w:szCs w:val="22"/>
          <w:u w:val="single"/>
          <w:lang w:eastAsia="en-US"/>
        </w:rPr>
      </w:pPr>
      <w:r w:rsidRPr="00E43137">
        <w:rPr>
          <w:rFonts w:ascii="Calibri" w:eastAsia="Calibri" w:hAnsi="Calibri"/>
          <w:szCs w:val="22"/>
          <w:u w:val="single"/>
          <w:lang w:eastAsia="en-US"/>
        </w:rPr>
        <w:t>Vybrané opatrenia</w:t>
      </w:r>
    </w:p>
    <w:tbl>
      <w:tblPr>
        <w:tblpPr w:leftFromText="141" w:rightFromText="141" w:vertAnchor="text" w:horzAnchor="margin" w:tblpX="108" w:tblpY="80"/>
        <w:tblW w:w="90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72"/>
      </w:tblGrid>
      <w:tr w:rsidR="007F7CA6" w:rsidRPr="00D82AFA" w:rsidTr="007F7CA6">
        <w:tc>
          <w:tcPr>
            <w:tcW w:w="9072" w:type="dxa"/>
            <w:shd w:val="clear" w:color="auto" w:fill="auto"/>
            <w:vAlign w:val="center"/>
          </w:tcPr>
          <w:p w:rsidR="007F7CA6" w:rsidRPr="00D82AFA" w:rsidRDefault="007F7CA6" w:rsidP="007F7CA6">
            <w:pPr>
              <w:spacing w:before="60" w:after="60"/>
              <w:rPr>
                <w:bCs/>
                <w:noProof/>
                <w:sz w:val="20"/>
                <w:szCs w:val="20"/>
              </w:rPr>
            </w:pPr>
            <w:r w:rsidRPr="00D82AFA">
              <w:rPr>
                <w:sz w:val="20"/>
                <w:szCs w:val="20"/>
              </w:rPr>
              <w:t xml:space="preserve">Opatrenie </w:t>
            </w:r>
            <w:r>
              <w:rPr>
                <w:sz w:val="20"/>
                <w:szCs w:val="20"/>
              </w:rPr>
              <w:t>4</w:t>
            </w:r>
            <w:r w:rsidRPr="00D82AFA">
              <w:rPr>
                <w:bCs/>
                <w:noProof/>
                <w:sz w:val="20"/>
                <w:szCs w:val="20"/>
              </w:rPr>
              <w:t>: Investície do hmotného majetku</w:t>
            </w:r>
            <w:r>
              <w:rPr>
                <w:bCs/>
                <w:noProof/>
                <w:sz w:val="20"/>
                <w:szCs w:val="20"/>
              </w:rPr>
              <w:t xml:space="preserve"> (čl.17)</w:t>
            </w:r>
          </w:p>
          <w:p w:rsidR="007F7CA6" w:rsidRPr="00D82AFA" w:rsidRDefault="007F7CA6" w:rsidP="007F7CA6">
            <w:pPr>
              <w:spacing w:before="60" w:after="60"/>
              <w:ind w:left="1701" w:hanging="1701"/>
              <w:rPr>
                <w:i/>
                <w:sz w:val="20"/>
                <w:szCs w:val="20"/>
              </w:rPr>
            </w:pPr>
            <w:r>
              <w:rPr>
                <w:i/>
                <w:sz w:val="20"/>
                <w:szCs w:val="20"/>
              </w:rPr>
              <w:t>Podopatrenie 4</w:t>
            </w:r>
            <w:r w:rsidRPr="00D82AFA">
              <w:rPr>
                <w:i/>
                <w:sz w:val="20"/>
                <w:szCs w:val="20"/>
              </w:rPr>
              <w:t>.1: Investície do hmotného majetku, ktoré zlepšujú celkovú výkonnosť p</w:t>
            </w:r>
            <w:r>
              <w:rPr>
                <w:i/>
                <w:sz w:val="20"/>
                <w:szCs w:val="20"/>
              </w:rPr>
              <w:t>oľnohospodárskeho podniku (čl.17</w:t>
            </w:r>
            <w:r w:rsidRPr="00D82AFA">
              <w:rPr>
                <w:i/>
                <w:sz w:val="20"/>
                <w:szCs w:val="20"/>
              </w:rPr>
              <w:t>a)</w:t>
            </w:r>
          </w:p>
          <w:p w:rsidR="007F7CA6" w:rsidRPr="00D82AFA" w:rsidRDefault="007F7CA6" w:rsidP="007F7CA6">
            <w:pPr>
              <w:spacing w:before="60" w:after="60"/>
              <w:ind w:left="1701" w:hanging="1701"/>
              <w:rPr>
                <w:sz w:val="20"/>
                <w:szCs w:val="20"/>
              </w:rPr>
            </w:pPr>
            <w:r>
              <w:rPr>
                <w:i/>
                <w:sz w:val="20"/>
                <w:szCs w:val="20"/>
              </w:rPr>
              <w:t>Podopatrenie 4</w:t>
            </w:r>
            <w:r w:rsidRPr="00D82AFA">
              <w:rPr>
                <w:i/>
                <w:sz w:val="20"/>
                <w:szCs w:val="20"/>
              </w:rPr>
              <w:t xml:space="preserve">.2: </w:t>
            </w:r>
            <w:r w:rsidRPr="00D82AFA">
              <w:rPr>
                <w:b/>
                <w:bCs/>
                <w:i/>
                <w:noProof/>
                <w:sz w:val="20"/>
                <w:szCs w:val="20"/>
              </w:rPr>
              <w:t xml:space="preserve"> </w:t>
            </w:r>
            <w:r w:rsidRPr="00D82AFA">
              <w:rPr>
                <w:bCs/>
                <w:i/>
                <w:sz w:val="20"/>
                <w:szCs w:val="20"/>
              </w:rPr>
              <w:t>Investície do hmotného majetku, ktoré sa týkajú spracovania, uvádzania na trh a/alebo vývoja poľnohospodárskych výrobkov</w:t>
            </w:r>
            <w:r>
              <w:rPr>
                <w:i/>
                <w:sz w:val="20"/>
                <w:szCs w:val="20"/>
              </w:rPr>
              <w:t xml:space="preserve">  (čl.17</w:t>
            </w:r>
            <w:r w:rsidRPr="00D82AFA">
              <w:rPr>
                <w:i/>
                <w:sz w:val="20"/>
                <w:szCs w:val="20"/>
              </w:rPr>
              <w:t>b)</w:t>
            </w:r>
          </w:p>
        </w:tc>
      </w:tr>
      <w:tr w:rsidR="007F7CA6" w:rsidRPr="00D82AFA" w:rsidTr="007F7CA6">
        <w:tc>
          <w:tcPr>
            <w:tcW w:w="9072" w:type="dxa"/>
            <w:shd w:val="clear" w:color="auto" w:fill="auto"/>
            <w:vAlign w:val="center"/>
          </w:tcPr>
          <w:p w:rsidR="007F7CA6" w:rsidRPr="00D82AFA" w:rsidRDefault="007F7CA6" w:rsidP="007F7CA6">
            <w:pPr>
              <w:spacing w:before="60" w:after="60"/>
              <w:rPr>
                <w:bCs/>
                <w:sz w:val="20"/>
                <w:szCs w:val="20"/>
              </w:rPr>
            </w:pPr>
            <w:r w:rsidRPr="00D82AFA">
              <w:rPr>
                <w:sz w:val="20"/>
                <w:szCs w:val="20"/>
              </w:rPr>
              <w:t xml:space="preserve">Opatrenie </w:t>
            </w:r>
            <w:r w:rsidRPr="00D82AFA">
              <w:rPr>
                <w:bCs/>
                <w:sz w:val="20"/>
                <w:szCs w:val="20"/>
              </w:rPr>
              <w:t xml:space="preserve">1: Prenos </w:t>
            </w:r>
            <w:r>
              <w:rPr>
                <w:bCs/>
                <w:sz w:val="20"/>
                <w:szCs w:val="20"/>
              </w:rPr>
              <w:t>vedomostí a zručností (čl.14</w:t>
            </w:r>
            <w:r w:rsidRPr="00D82AFA">
              <w:rPr>
                <w:bCs/>
                <w:sz w:val="20"/>
                <w:szCs w:val="20"/>
              </w:rPr>
              <w:t>)</w:t>
            </w:r>
          </w:p>
        </w:tc>
      </w:tr>
      <w:tr w:rsidR="007F7CA6" w:rsidRPr="00D82AFA" w:rsidTr="007F7CA6">
        <w:tc>
          <w:tcPr>
            <w:tcW w:w="9072" w:type="dxa"/>
            <w:shd w:val="clear" w:color="auto" w:fill="auto"/>
            <w:vAlign w:val="center"/>
          </w:tcPr>
          <w:p w:rsidR="007F7CA6" w:rsidRPr="00D82AFA" w:rsidRDefault="007F7CA6" w:rsidP="007F7CA6">
            <w:pPr>
              <w:spacing w:before="60" w:after="60"/>
              <w:rPr>
                <w:sz w:val="20"/>
                <w:szCs w:val="20"/>
              </w:rPr>
            </w:pPr>
            <w:r w:rsidRPr="00D82AFA">
              <w:rPr>
                <w:sz w:val="20"/>
                <w:szCs w:val="20"/>
              </w:rPr>
              <w:t>Opatrenie 2:  Poradenské služby  (čl.1</w:t>
            </w:r>
            <w:r>
              <w:rPr>
                <w:sz w:val="20"/>
                <w:szCs w:val="20"/>
              </w:rPr>
              <w:t>5</w:t>
            </w:r>
            <w:r w:rsidRPr="00D82AFA">
              <w:rPr>
                <w:sz w:val="20"/>
                <w:szCs w:val="20"/>
              </w:rPr>
              <w:t xml:space="preserve">)                                                      </w:t>
            </w:r>
          </w:p>
        </w:tc>
      </w:tr>
    </w:tbl>
    <w:p w:rsidR="00E43137" w:rsidRPr="00E43137" w:rsidRDefault="00E43137" w:rsidP="008676F9">
      <w:pPr>
        <w:autoSpaceDE w:val="0"/>
        <w:autoSpaceDN w:val="0"/>
        <w:adjustRightInd w:val="0"/>
        <w:rPr>
          <w:rFonts w:ascii="Calibri" w:eastAsia="Calibri" w:hAnsi="Calibri"/>
          <w:szCs w:val="22"/>
          <w:u w:val="single"/>
          <w:lang w:eastAsia="en-US"/>
        </w:rPr>
      </w:pPr>
    </w:p>
    <w:p w:rsidR="00E43137" w:rsidRPr="00E43137" w:rsidRDefault="00E43137" w:rsidP="008676F9">
      <w:pPr>
        <w:autoSpaceDE w:val="0"/>
        <w:autoSpaceDN w:val="0"/>
        <w:adjustRightInd w:val="0"/>
        <w:rPr>
          <w:rFonts w:ascii="Calibri" w:eastAsia="Calibri" w:hAnsi="Calibri"/>
          <w:szCs w:val="22"/>
          <w:u w:val="single"/>
          <w:lang w:eastAsia="en-US"/>
        </w:rPr>
      </w:pPr>
      <w:r w:rsidRPr="00E43137">
        <w:rPr>
          <w:rFonts w:ascii="Calibri" w:eastAsia="Calibri" w:hAnsi="Calibri"/>
          <w:szCs w:val="22"/>
          <w:u w:val="single"/>
          <w:lang w:eastAsia="en-US"/>
        </w:rPr>
        <w:t xml:space="preserve">Kombinácia a zdôvodnenie opatrení </w:t>
      </w:r>
    </w:p>
    <w:p w:rsidR="007F7CA6" w:rsidRPr="00D82AFA" w:rsidRDefault="007F7CA6" w:rsidP="007F7CA6">
      <w:pPr>
        <w:autoSpaceDE w:val="0"/>
        <w:autoSpaceDN w:val="0"/>
        <w:adjustRightInd w:val="0"/>
      </w:pPr>
      <w:r w:rsidRPr="00D82AFA">
        <w:t>Ako je uvedené v hodnotení potrieb, SR je piatou energeticky najnáročnejšou krajinou EÚ. Môže za to predovšetkým vysoká konečná spotreba energie v priemyselnom sektore (37,5% oproti priemeru EÚ 25,3%) a to aj napriek skutočnosti, že ceny elektriny v priemysle patria medzi najvyššie v EÚ. Kvôli vysokým cenám energií ale aj rovnako kvôli klimatickým vplyvom, ktoré sú nevyhnutne priamo alebo nepriamo spojené so spotrebou energie, si treba  v poľnohospodárskych podnikoch ako aj v oblasti spracovania a odbytu stanoviť adekvátne opatrenia.</w:t>
      </w:r>
    </w:p>
    <w:p w:rsidR="007F7CA6" w:rsidRPr="00D82AFA" w:rsidRDefault="007F7CA6" w:rsidP="007F7CA6">
      <w:pPr>
        <w:autoSpaceDE w:val="0"/>
        <w:autoSpaceDN w:val="0"/>
        <w:adjustRightInd w:val="0"/>
        <w:spacing w:before="120"/>
      </w:pPr>
      <w:r w:rsidRPr="00D82AFA">
        <w:t>V</w:t>
      </w:r>
      <w:r>
        <w:t> </w:t>
      </w:r>
      <w:r w:rsidRPr="00D82AFA">
        <w:t>kontexte</w:t>
      </w:r>
      <w:r>
        <w:t xml:space="preserve"> fokusovej</w:t>
      </w:r>
      <w:r w:rsidRPr="00D82AFA">
        <w:t xml:space="preserve"> oblasti 5B sa energetická účinnosť zvýši najmä podporou investícií do modernizácie a obnovy zastaraných technológií s nižšou energetickou náročnosťou a obnovou budov</w:t>
      </w:r>
      <w:r>
        <w:t xml:space="preserve"> – </w:t>
      </w:r>
      <w:r w:rsidRPr="00071B9F">
        <w:rPr>
          <w:b/>
        </w:rPr>
        <w:t>podopatrenie 4.1 a 4.2 (čl.17a, b)</w:t>
      </w:r>
      <w:r w:rsidRPr="00D82AFA">
        <w:t xml:space="preserve">.  Okrem toho </w:t>
      </w:r>
      <w:r>
        <w:t>zníženie spotreby energie je možné dosiahnuť aj zmenou</w:t>
      </w:r>
      <w:r w:rsidRPr="00D82AFA">
        <w:t xml:space="preserve"> správania sa poľnohospodárov a</w:t>
      </w:r>
      <w:r>
        <w:t> </w:t>
      </w:r>
      <w:r w:rsidRPr="00D82AFA">
        <w:t>spracovateľov</w:t>
      </w:r>
      <w:r>
        <w:t xml:space="preserve"> a to podporou </w:t>
      </w:r>
      <w:r w:rsidRPr="00D82AFA">
        <w:t>transfer</w:t>
      </w:r>
      <w:r>
        <w:t>u</w:t>
      </w:r>
      <w:r w:rsidRPr="00D82AFA">
        <w:t xml:space="preserve"> vedomostí a</w:t>
      </w:r>
      <w:r>
        <w:t> poskytnutím poradenstva (</w:t>
      </w:r>
      <w:r w:rsidRPr="0045313D">
        <w:rPr>
          <w:b/>
        </w:rPr>
        <w:t>opatrenia 1 a 2, čl.14 a 15</w:t>
      </w:r>
      <w:r>
        <w:t>)</w:t>
      </w:r>
      <w:r w:rsidRPr="00D82AFA">
        <w:t xml:space="preserve">. </w:t>
      </w:r>
    </w:p>
    <w:p w:rsidR="007F7CA6" w:rsidRPr="00D82AFA" w:rsidRDefault="007F7CA6" w:rsidP="007F7CA6">
      <w:pPr>
        <w:autoSpaceDE w:val="0"/>
        <w:autoSpaceDN w:val="0"/>
        <w:adjustRightInd w:val="0"/>
        <w:spacing w:before="120"/>
      </w:pPr>
      <w:r w:rsidRPr="00D82AFA">
        <w:t>Zníženie energetickej náročnosti  je nevyhnutné s ohľadom na potrebu príspevku pôdohospodárstva k adaptácii na klimatické zmeny.</w:t>
      </w:r>
    </w:p>
    <w:p w:rsidR="00E43137" w:rsidRDefault="00E43137" w:rsidP="008676F9">
      <w:pPr>
        <w:autoSpaceDE w:val="0"/>
        <w:autoSpaceDN w:val="0"/>
        <w:adjustRightInd w:val="0"/>
        <w:rPr>
          <w:rFonts w:ascii="Calibri" w:eastAsia="Calibri" w:hAnsi="Calibri"/>
          <w:szCs w:val="22"/>
          <w:lang w:eastAsia="en-US"/>
        </w:rPr>
      </w:pPr>
    </w:p>
    <w:p w:rsidR="00086915" w:rsidRPr="00E43137" w:rsidRDefault="00086915" w:rsidP="008676F9">
      <w:pPr>
        <w:autoSpaceDE w:val="0"/>
        <w:autoSpaceDN w:val="0"/>
        <w:adjustRightInd w:val="0"/>
        <w:rPr>
          <w:rFonts w:ascii="Calibri" w:eastAsia="Calibri" w:hAnsi="Calibri"/>
          <w:szCs w:val="22"/>
          <w:lang w:eastAsia="en-US"/>
        </w:rPr>
      </w:pPr>
    </w:p>
    <w:p w:rsidR="00E43137" w:rsidRPr="00AA30CA" w:rsidRDefault="00086915" w:rsidP="00F53A78">
      <w:pPr>
        <w:ind w:left="2835" w:hanging="2835"/>
        <w:rPr>
          <w:rFonts w:eastAsia="Calibri"/>
          <w:b/>
        </w:rPr>
      </w:pPr>
      <w:r w:rsidRPr="00AA30CA">
        <w:rPr>
          <w:rFonts w:eastAsia="Calibri"/>
          <w:b/>
        </w:rPr>
        <w:t xml:space="preserve">5.2.5.3 </w:t>
      </w:r>
      <w:r w:rsidR="00E43137" w:rsidRPr="00AA30CA">
        <w:rPr>
          <w:rFonts w:eastAsia="Calibri"/>
          <w:b/>
        </w:rPr>
        <w:t>Fokusová oblasť 5C: Uľahčenie dodávok a využívania obnoviteľných zdrojov energie, vedľajších produktov, odpadov, zvyškov a iných nepotravinových surovín na účely bioekonomiky</w:t>
      </w:r>
    </w:p>
    <w:p w:rsidR="00E43137" w:rsidRPr="00E43137" w:rsidRDefault="00E43137" w:rsidP="008676F9">
      <w:pPr>
        <w:autoSpaceDE w:val="0"/>
        <w:autoSpaceDN w:val="0"/>
        <w:adjustRightInd w:val="0"/>
        <w:rPr>
          <w:rFonts w:ascii="Calibri" w:eastAsia="Calibri" w:hAnsi="Calibri"/>
          <w:szCs w:val="22"/>
          <w:u w:val="single"/>
          <w:lang w:eastAsia="en-US"/>
        </w:rPr>
      </w:pPr>
      <w:r w:rsidRPr="00E43137">
        <w:rPr>
          <w:rFonts w:ascii="Calibri" w:eastAsia="Calibri" w:hAnsi="Calibri"/>
          <w:szCs w:val="22"/>
          <w:u w:val="single"/>
          <w:lang w:eastAsia="en-US"/>
        </w:rPr>
        <w:t>Vybrané opatrenia</w:t>
      </w:r>
    </w:p>
    <w:tbl>
      <w:tblPr>
        <w:tblpPr w:leftFromText="141" w:rightFromText="141" w:vertAnchor="text" w:horzAnchor="margin" w:tblpX="108" w:tblpY="80"/>
        <w:tblW w:w="90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39"/>
      </w:tblGrid>
      <w:tr w:rsidR="007F7CA6" w:rsidRPr="00D82AFA" w:rsidTr="007F7CA6">
        <w:tc>
          <w:tcPr>
            <w:tcW w:w="9039" w:type="dxa"/>
            <w:shd w:val="clear" w:color="auto" w:fill="auto"/>
            <w:vAlign w:val="center"/>
          </w:tcPr>
          <w:p w:rsidR="007F7CA6" w:rsidRPr="00D82AFA" w:rsidRDefault="007F7CA6" w:rsidP="007F7CA6">
            <w:pPr>
              <w:spacing w:before="60" w:after="60"/>
              <w:rPr>
                <w:bCs/>
                <w:noProof/>
                <w:sz w:val="20"/>
                <w:szCs w:val="20"/>
              </w:rPr>
            </w:pPr>
            <w:r>
              <w:rPr>
                <w:sz w:val="20"/>
                <w:szCs w:val="20"/>
              </w:rPr>
              <w:t>Opatrenie  4</w:t>
            </w:r>
            <w:r w:rsidRPr="00D82AFA">
              <w:rPr>
                <w:sz w:val="20"/>
                <w:szCs w:val="20"/>
              </w:rPr>
              <w:t xml:space="preserve">: </w:t>
            </w:r>
            <w:r w:rsidRPr="00D82AFA">
              <w:rPr>
                <w:caps/>
                <w:smallCaps/>
                <w:sz w:val="20"/>
                <w:szCs w:val="20"/>
              </w:rPr>
              <w:t xml:space="preserve"> I</w:t>
            </w:r>
            <w:r w:rsidRPr="00D82AFA">
              <w:rPr>
                <w:bCs/>
                <w:noProof/>
                <w:sz w:val="20"/>
                <w:szCs w:val="20"/>
              </w:rPr>
              <w:t>nvestície do hmotného majetku</w:t>
            </w:r>
            <w:r>
              <w:rPr>
                <w:bCs/>
                <w:noProof/>
                <w:sz w:val="20"/>
                <w:szCs w:val="20"/>
              </w:rPr>
              <w:t xml:space="preserve"> (čl.17)</w:t>
            </w:r>
          </w:p>
          <w:p w:rsidR="007F7CA6" w:rsidRPr="00D82AFA" w:rsidRDefault="007F7CA6" w:rsidP="007F7CA6">
            <w:pPr>
              <w:spacing w:before="60" w:after="60"/>
              <w:ind w:left="1701" w:hanging="1701"/>
              <w:rPr>
                <w:i/>
                <w:sz w:val="20"/>
                <w:szCs w:val="20"/>
              </w:rPr>
            </w:pPr>
            <w:r>
              <w:rPr>
                <w:i/>
                <w:sz w:val="20"/>
                <w:szCs w:val="20"/>
              </w:rPr>
              <w:t>Podopatrenie 4</w:t>
            </w:r>
            <w:r w:rsidRPr="00D82AFA">
              <w:rPr>
                <w:i/>
                <w:sz w:val="20"/>
                <w:szCs w:val="20"/>
              </w:rPr>
              <w:t>.1: Investície do hmotného majetku, ktoré zlepšujú celkovú výkonnosť p</w:t>
            </w:r>
            <w:r>
              <w:rPr>
                <w:i/>
                <w:sz w:val="20"/>
                <w:szCs w:val="20"/>
              </w:rPr>
              <w:t>oľnohospodárskeho podniku (čl.17</w:t>
            </w:r>
            <w:r w:rsidRPr="00D82AFA">
              <w:rPr>
                <w:i/>
                <w:sz w:val="20"/>
                <w:szCs w:val="20"/>
              </w:rPr>
              <w:t>a)</w:t>
            </w:r>
          </w:p>
          <w:p w:rsidR="007F7CA6" w:rsidRPr="00D82AFA" w:rsidRDefault="007F7CA6" w:rsidP="007F7CA6">
            <w:pPr>
              <w:spacing w:before="60" w:after="60"/>
              <w:ind w:left="1701" w:hanging="1701"/>
              <w:rPr>
                <w:sz w:val="20"/>
                <w:szCs w:val="20"/>
              </w:rPr>
            </w:pPr>
            <w:r>
              <w:rPr>
                <w:i/>
                <w:sz w:val="20"/>
                <w:szCs w:val="20"/>
              </w:rPr>
              <w:t>Podopatrenie 4</w:t>
            </w:r>
            <w:r w:rsidRPr="00D82AFA">
              <w:rPr>
                <w:i/>
                <w:sz w:val="20"/>
                <w:szCs w:val="20"/>
              </w:rPr>
              <w:t xml:space="preserve">.2: </w:t>
            </w:r>
            <w:r w:rsidRPr="00D82AFA">
              <w:rPr>
                <w:b/>
                <w:bCs/>
                <w:i/>
                <w:noProof/>
                <w:sz w:val="20"/>
                <w:szCs w:val="20"/>
              </w:rPr>
              <w:t xml:space="preserve"> </w:t>
            </w:r>
            <w:r w:rsidRPr="00D82AFA">
              <w:rPr>
                <w:bCs/>
                <w:i/>
                <w:sz w:val="20"/>
                <w:szCs w:val="20"/>
              </w:rPr>
              <w:t>Investície do hmotného majetku, ktoré sa týkajú spracovania, uvádzania na trh a/alebo vývoja poľnohospodárskych výrobkov</w:t>
            </w:r>
            <w:r>
              <w:rPr>
                <w:i/>
                <w:sz w:val="20"/>
                <w:szCs w:val="20"/>
              </w:rPr>
              <w:t xml:space="preserve">  (čl.17</w:t>
            </w:r>
            <w:r w:rsidRPr="00D82AFA">
              <w:rPr>
                <w:i/>
                <w:sz w:val="20"/>
                <w:szCs w:val="20"/>
              </w:rPr>
              <w:t>b)</w:t>
            </w:r>
          </w:p>
        </w:tc>
      </w:tr>
      <w:tr w:rsidR="007F7CA6" w:rsidRPr="00D82AFA" w:rsidTr="007F7CA6">
        <w:tc>
          <w:tcPr>
            <w:tcW w:w="9039" w:type="dxa"/>
            <w:shd w:val="clear" w:color="auto" w:fill="auto"/>
            <w:vAlign w:val="center"/>
          </w:tcPr>
          <w:p w:rsidR="007F7CA6" w:rsidRPr="00D82AFA" w:rsidRDefault="007F7CA6" w:rsidP="007F7CA6">
            <w:pPr>
              <w:spacing w:before="60" w:after="60"/>
              <w:rPr>
                <w:bCs/>
                <w:noProof/>
                <w:sz w:val="20"/>
                <w:szCs w:val="20"/>
              </w:rPr>
            </w:pPr>
            <w:r>
              <w:rPr>
                <w:bCs/>
                <w:noProof/>
                <w:sz w:val="20"/>
                <w:szCs w:val="20"/>
              </w:rPr>
              <w:t>Opatrenie 6</w:t>
            </w:r>
            <w:r w:rsidRPr="00D82AFA">
              <w:rPr>
                <w:bCs/>
                <w:noProof/>
                <w:sz w:val="20"/>
                <w:szCs w:val="20"/>
              </w:rPr>
              <w:t>: Rozvoj poľnohospo</w:t>
            </w:r>
            <w:r>
              <w:rPr>
                <w:bCs/>
                <w:noProof/>
                <w:sz w:val="20"/>
                <w:szCs w:val="20"/>
              </w:rPr>
              <w:t>dárskych podnikov a</w:t>
            </w:r>
            <w:r w:rsidR="006A183D">
              <w:rPr>
                <w:bCs/>
                <w:noProof/>
                <w:sz w:val="20"/>
                <w:szCs w:val="20"/>
              </w:rPr>
              <w:t> </w:t>
            </w:r>
            <w:r>
              <w:rPr>
                <w:bCs/>
                <w:noProof/>
                <w:sz w:val="20"/>
                <w:szCs w:val="20"/>
              </w:rPr>
              <w:t>podnika</w:t>
            </w:r>
            <w:r w:rsidR="006A183D">
              <w:rPr>
                <w:bCs/>
                <w:noProof/>
                <w:sz w:val="20"/>
                <w:szCs w:val="20"/>
              </w:rPr>
              <w:t>teľskej činnosti</w:t>
            </w:r>
            <w:r>
              <w:rPr>
                <w:bCs/>
                <w:noProof/>
                <w:sz w:val="20"/>
                <w:szCs w:val="20"/>
              </w:rPr>
              <w:t xml:space="preserve"> (čl.19)</w:t>
            </w:r>
          </w:p>
          <w:p w:rsidR="007F7CA6" w:rsidRDefault="007F7CA6" w:rsidP="007F7CA6">
            <w:pPr>
              <w:spacing w:before="60" w:after="60"/>
              <w:rPr>
                <w:sz w:val="20"/>
                <w:szCs w:val="20"/>
              </w:rPr>
            </w:pPr>
            <w:r>
              <w:rPr>
                <w:bCs/>
                <w:i/>
                <w:noProof/>
                <w:sz w:val="20"/>
                <w:szCs w:val="20"/>
              </w:rPr>
              <w:t>Podopatrenie 6.4</w:t>
            </w:r>
            <w:r w:rsidRPr="00D82AFA">
              <w:rPr>
                <w:bCs/>
                <w:i/>
                <w:noProof/>
                <w:sz w:val="20"/>
                <w:szCs w:val="20"/>
              </w:rPr>
              <w:t>: Investície do vytvárania a rozvoja nepoľn</w:t>
            </w:r>
            <w:r>
              <w:rPr>
                <w:bCs/>
                <w:i/>
                <w:noProof/>
                <w:sz w:val="20"/>
                <w:szCs w:val="20"/>
              </w:rPr>
              <w:t>ohospodárskych činností  (čl. 19b</w:t>
            </w:r>
            <w:r w:rsidRPr="00D82AFA">
              <w:rPr>
                <w:bCs/>
                <w:i/>
                <w:noProof/>
                <w:sz w:val="20"/>
                <w:szCs w:val="20"/>
              </w:rPr>
              <w:t>)</w:t>
            </w:r>
          </w:p>
        </w:tc>
      </w:tr>
      <w:tr w:rsidR="007F7CA6" w:rsidRPr="00D82AFA" w:rsidTr="007F7CA6">
        <w:tc>
          <w:tcPr>
            <w:tcW w:w="9039" w:type="dxa"/>
            <w:shd w:val="clear" w:color="auto" w:fill="auto"/>
            <w:vAlign w:val="center"/>
          </w:tcPr>
          <w:p w:rsidR="007F7CA6" w:rsidRPr="00D82AFA" w:rsidRDefault="007F7CA6" w:rsidP="007F7CA6">
            <w:pPr>
              <w:spacing w:before="60" w:after="60"/>
              <w:rPr>
                <w:sz w:val="20"/>
                <w:szCs w:val="20"/>
              </w:rPr>
            </w:pPr>
            <w:r>
              <w:rPr>
                <w:sz w:val="20"/>
                <w:szCs w:val="20"/>
              </w:rPr>
              <w:t>Opatrenie 7</w:t>
            </w:r>
            <w:r w:rsidRPr="00D82AFA">
              <w:rPr>
                <w:sz w:val="20"/>
                <w:szCs w:val="20"/>
              </w:rPr>
              <w:t xml:space="preserve">: </w:t>
            </w:r>
            <w:r>
              <w:rPr>
                <w:sz w:val="20"/>
                <w:szCs w:val="20"/>
              </w:rPr>
              <w:t>Z</w:t>
            </w:r>
            <w:r w:rsidRPr="00D82AFA">
              <w:rPr>
                <w:sz w:val="20"/>
                <w:szCs w:val="20"/>
              </w:rPr>
              <w:t>ákladné služby a obnova dedín vo vidieckych oblastiach (čl.2</w:t>
            </w:r>
            <w:r>
              <w:rPr>
                <w:sz w:val="20"/>
                <w:szCs w:val="20"/>
              </w:rPr>
              <w:t>0</w:t>
            </w:r>
            <w:r w:rsidRPr="00D82AFA">
              <w:rPr>
                <w:sz w:val="20"/>
                <w:szCs w:val="20"/>
              </w:rPr>
              <w:t>)</w:t>
            </w:r>
          </w:p>
        </w:tc>
      </w:tr>
      <w:tr w:rsidR="007F7CA6" w:rsidRPr="00D82AFA" w:rsidTr="007F7CA6">
        <w:tc>
          <w:tcPr>
            <w:tcW w:w="9039" w:type="dxa"/>
            <w:shd w:val="clear" w:color="auto" w:fill="auto"/>
            <w:vAlign w:val="center"/>
          </w:tcPr>
          <w:p w:rsidR="007F7CA6" w:rsidRPr="00D82AFA" w:rsidRDefault="007F7CA6" w:rsidP="007F7CA6">
            <w:pPr>
              <w:spacing w:before="60" w:after="60"/>
              <w:rPr>
                <w:bCs/>
                <w:sz w:val="20"/>
                <w:szCs w:val="20"/>
              </w:rPr>
            </w:pPr>
            <w:r>
              <w:rPr>
                <w:bCs/>
                <w:sz w:val="20"/>
                <w:szCs w:val="20"/>
              </w:rPr>
              <w:t>Opatrenie 8</w:t>
            </w:r>
            <w:r w:rsidRPr="00D82AFA">
              <w:rPr>
                <w:bCs/>
                <w:sz w:val="20"/>
                <w:szCs w:val="20"/>
              </w:rPr>
              <w:t>: Investície do rozvoja lesných oblastí a zlepšen</w:t>
            </w:r>
            <w:r>
              <w:rPr>
                <w:bCs/>
                <w:sz w:val="20"/>
                <w:szCs w:val="20"/>
              </w:rPr>
              <w:t>ie životaschopnosti lesov (čl.21</w:t>
            </w:r>
            <w:r w:rsidRPr="00D82AFA">
              <w:rPr>
                <w:bCs/>
                <w:sz w:val="20"/>
                <w:szCs w:val="20"/>
              </w:rPr>
              <w:t>):</w:t>
            </w:r>
          </w:p>
          <w:p w:rsidR="007F7CA6" w:rsidRPr="00D82AFA" w:rsidRDefault="007F7CA6" w:rsidP="006A183D">
            <w:pPr>
              <w:spacing w:before="60" w:after="60"/>
              <w:ind w:left="1560" w:hanging="1560"/>
              <w:rPr>
                <w:bCs/>
                <w:i/>
                <w:sz w:val="20"/>
                <w:szCs w:val="20"/>
              </w:rPr>
            </w:pPr>
            <w:r w:rsidRPr="00D82AFA">
              <w:rPr>
                <w:bCs/>
                <w:i/>
                <w:sz w:val="20"/>
                <w:szCs w:val="20"/>
              </w:rPr>
              <w:t>Podopatrenie</w:t>
            </w:r>
            <w:r>
              <w:rPr>
                <w:bCs/>
                <w:i/>
                <w:sz w:val="20"/>
                <w:szCs w:val="20"/>
              </w:rPr>
              <w:t xml:space="preserve"> 8</w:t>
            </w:r>
            <w:r w:rsidRPr="00D82AFA">
              <w:rPr>
                <w:bCs/>
                <w:i/>
                <w:sz w:val="20"/>
                <w:szCs w:val="20"/>
              </w:rPr>
              <w:t>.</w:t>
            </w:r>
            <w:r>
              <w:rPr>
                <w:bCs/>
                <w:i/>
                <w:sz w:val="20"/>
                <w:szCs w:val="20"/>
              </w:rPr>
              <w:t>6</w:t>
            </w:r>
            <w:r w:rsidRPr="00D82AFA">
              <w:rPr>
                <w:bCs/>
                <w:i/>
                <w:sz w:val="20"/>
                <w:szCs w:val="20"/>
              </w:rPr>
              <w:t xml:space="preserve"> : Investície do lesníckych technológii a spracovania,</w:t>
            </w:r>
            <w:r w:rsidR="006A183D">
              <w:rPr>
                <w:bCs/>
                <w:i/>
                <w:sz w:val="20"/>
                <w:szCs w:val="20"/>
              </w:rPr>
              <w:t xml:space="preserve"> do</w:t>
            </w:r>
            <w:r w:rsidRPr="00D82AFA">
              <w:rPr>
                <w:bCs/>
                <w:i/>
                <w:sz w:val="20"/>
                <w:szCs w:val="20"/>
              </w:rPr>
              <w:t xml:space="preserve"> mobilizácie lesníckych</w:t>
            </w:r>
            <w:r w:rsidR="006A183D">
              <w:rPr>
                <w:bCs/>
                <w:i/>
                <w:sz w:val="20"/>
                <w:szCs w:val="20"/>
              </w:rPr>
              <w:t xml:space="preserve"> výrobkov</w:t>
            </w:r>
            <w:r w:rsidRPr="00D82AFA">
              <w:rPr>
                <w:bCs/>
                <w:i/>
                <w:sz w:val="20"/>
                <w:szCs w:val="20"/>
              </w:rPr>
              <w:t xml:space="preserve"> </w:t>
            </w:r>
            <w:r w:rsidR="006A183D">
              <w:rPr>
                <w:bCs/>
                <w:i/>
                <w:sz w:val="20"/>
                <w:szCs w:val="20"/>
              </w:rPr>
              <w:t>a ich uvádzania na trh</w:t>
            </w:r>
            <w:r w:rsidRPr="00D82AFA">
              <w:rPr>
                <w:bCs/>
                <w:i/>
                <w:sz w:val="20"/>
                <w:szCs w:val="20"/>
              </w:rPr>
              <w:t xml:space="preserve"> (čl.2</w:t>
            </w:r>
            <w:r>
              <w:rPr>
                <w:bCs/>
                <w:i/>
                <w:sz w:val="20"/>
                <w:szCs w:val="20"/>
              </w:rPr>
              <w:t>6</w:t>
            </w:r>
            <w:r w:rsidRPr="00D82AFA">
              <w:rPr>
                <w:bCs/>
                <w:i/>
                <w:sz w:val="20"/>
                <w:szCs w:val="20"/>
              </w:rPr>
              <w:t>)</w:t>
            </w:r>
          </w:p>
        </w:tc>
      </w:tr>
      <w:tr w:rsidR="007F7CA6" w:rsidRPr="00D82AFA" w:rsidTr="007F7CA6">
        <w:tc>
          <w:tcPr>
            <w:tcW w:w="9039" w:type="dxa"/>
            <w:shd w:val="clear" w:color="auto" w:fill="auto"/>
            <w:vAlign w:val="center"/>
          </w:tcPr>
          <w:p w:rsidR="007F7CA6" w:rsidRPr="00D82AFA" w:rsidRDefault="007F7CA6" w:rsidP="007F7CA6">
            <w:pPr>
              <w:autoSpaceDE w:val="0"/>
              <w:autoSpaceDN w:val="0"/>
              <w:adjustRightInd w:val="0"/>
              <w:spacing w:before="120"/>
              <w:rPr>
                <w:sz w:val="20"/>
                <w:szCs w:val="20"/>
              </w:rPr>
            </w:pPr>
            <w:r>
              <w:rPr>
                <w:sz w:val="20"/>
                <w:szCs w:val="20"/>
              </w:rPr>
              <w:t xml:space="preserve">Opatrenie </w:t>
            </w:r>
            <w:r w:rsidRPr="00D82AFA">
              <w:rPr>
                <w:sz w:val="20"/>
                <w:szCs w:val="20"/>
              </w:rPr>
              <w:t>1</w:t>
            </w:r>
            <w:r>
              <w:rPr>
                <w:sz w:val="20"/>
                <w:szCs w:val="20"/>
              </w:rPr>
              <w:t>6: Spolupráca (čl. 35</w:t>
            </w:r>
            <w:r w:rsidRPr="00D82AFA">
              <w:rPr>
                <w:sz w:val="20"/>
                <w:szCs w:val="20"/>
              </w:rPr>
              <w:t>)</w:t>
            </w:r>
          </w:p>
        </w:tc>
      </w:tr>
      <w:tr w:rsidR="007F7CA6" w:rsidRPr="00D82AFA" w:rsidTr="007F7CA6">
        <w:tc>
          <w:tcPr>
            <w:tcW w:w="9039" w:type="dxa"/>
            <w:shd w:val="clear" w:color="auto" w:fill="auto"/>
            <w:vAlign w:val="center"/>
          </w:tcPr>
          <w:p w:rsidR="007F7CA6" w:rsidRPr="00D82AFA" w:rsidRDefault="007F7CA6" w:rsidP="007F7CA6">
            <w:pPr>
              <w:spacing w:before="60" w:after="60"/>
              <w:rPr>
                <w:bCs/>
                <w:sz w:val="20"/>
                <w:szCs w:val="20"/>
              </w:rPr>
            </w:pPr>
            <w:r w:rsidRPr="00D82AFA">
              <w:rPr>
                <w:sz w:val="20"/>
                <w:szCs w:val="20"/>
              </w:rPr>
              <w:t xml:space="preserve">Opatrenie  </w:t>
            </w:r>
            <w:r w:rsidRPr="00D82AFA">
              <w:rPr>
                <w:bCs/>
                <w:sz w:val="20"/>
                <w:szCs w:val="20"/>
              </w:rPr>
              <w:t>1: Prenos vedomostí a zručností (čl.1</w:t>
            </w:r>
            <w:r>
              <w:rPr>
                <w:bCs/>
                <w:sz w:val="20"/>
                <w:szCs w:val="20"/>
              </w:rPr>
              <w:t>4</w:t>
            </w:r>
            <w:r w:rsidRPr="00D82AFA">
              <w:rPr>
                <w:bCs/>
                <w:sz w:val="20"/>
                <w:szCs w:val="20"/>
              </w:rPr>
              <w:t>)</w:t>
            </w:r>
          </w:p>
        </w:tc>
      </w:tr>
    </w:tbl>
    <w:p w:rsidR="00E43137" w:rsidRPr="00E43137" w:rsidRDefault="00E43137" w:rsidP="008676F9">
      <w:pPr>
        <w:autoSpaceDE w:val="0"/>
        <w:autoSpaceDN w:val="0"/>
        <w:adjustRightInd w:val="0"/>
        <w:rPr>
          <w:rFonts w:ascii="Calibri" w:eastAsia="Calibri" w:hAnsi="Calibri"/>
          <w:szCs w:val="22"/>
          <w:u w:val="single"/>
          <w:lang w:eastAsia="en-US"/>
        </w:rPr>
      </w:pPr>
    </w:p>
    <w:p w:rsidR="00E43137" w:rsidRPr="00E43137" w:rsidRDefault="00E43137" w:rsidP="008676F9">
      <w:pPr>
        <w:autoSpaceDE w:val="0"/>
        <w:autoSpaceDN w:val="0"/>
        <w:adjustRightInd w:val="0"/>
        <w:rPr>
          <w:rFonts w:ascii="Calibri" w:eastAsia="Calibri" w:hAnsi="Calibri"/>
          <w:szCs w:val="22"/>
          <w:u w:val="single"/>
          <w:lang w:eastAsia="en-US"/>
        </w:rPr>
      </w:pPr>
      <w:r w:rsidRPr="00E43137">
        <w:rPr>
          <w:rFonts w:ascii="Calibri" w:eastAsia="Calibri" w:hAnsi="Calibri"/>
          <w:szCs w:val="22"/>
          <w:u w:val="single"/>
          <w:lang w:eastAsia="en-US"/>
        </w:rPr>
        <w:t xml:space="preserve">Kombinácia a zdôvodnenie opatrení </w:t>
      </w:r>
    </w:p>
    <w:p w:rsidR="007F7CA6" w:rsidRPr="00D82AFA" w:rsidRDefault="007F7CA6" w:rsidP="007F7CA6">
      <w:pPr>
        <w:autoSpaceDE w:val="0"/>
        <w:autoSpaceDN w:val="0"/>
        <w:adjustRightInd w:val="0"/>
        <w:spacing w:before="120"/>
      </w:pPr>
      <w:r>
        <w:t>Záväzok</w:t>
      </w:r>
      <w:r w:rsidRPr="00D82AFA">
        <w:t xml:space="preserve"> SR </w:t>
      </w:r>
      <w:r>
        <w:t xml:space="preserve">je </w:t>
      </w:r>
      <w:r w:rsidRPr="00D82AFA">
        <w:t xml:space="preserve">dosiahnuť  do roku 2020 14% podiel energie z obnoviteľných zdrojov  (OZE) na hrubej konečnej spotrebe energie. Jednou z ciest ako dosiahnuť stanovený cieľ </w:t>
      </w:r>
      <w:r>
        <w:t xml:space="preserve">sa budú v rámci </w:t>
      </w:r>
      <w:r w:rsidRPr="00D82AFA">
        <w:t xml:space="preserve">podporovať </w:t>
      </w:r>
      <w:r>
        <w:t>investície na budovanie zariadení na energetické využívanie solárnej energie, veternej energie, vodnej energie (</w:t>
      </w:r>
      <w:r w:rsidRPr="0045313D">
        <w:rPr>
          <w:b/>
        </w:rPr>
        <w:t>podopatrenie 6.4</w:t>
      </w:r>
      <w:r>
        <w:t>)  a biomasy (</w:t>
      </w:r>
      <w:r w:rsidRPr="0045313D">
        <w:rPr>
          <w:b/>
        </w:rPr>
        <w:t>podopatrenie 4.1</w:t>
      </w:r>
      <w:r w:rsidR="006A183D">
        <w:rPr>
          <w:b/>
        </w:rPr>
        <w:t>,</w:t>
      </w:r>
      <w:r w:rsidRPr="0045313D">
        <w:rPr>
          <w:b/>
        </w:rPr>
        <w:t> 4.2</w:t>
      </w:r>
      <w:r w:rsidR="006A183D">
        <w:rPr>
          <w:b/>
        </w:rPr>
        <w:t xml:space="preserve"> a 6.4</w:t>
      </w:r>
      <w:r>
        <w:t xml:space="preserve">), za podmienky, že časť energie prijímateľ podpory spotrebuje vo vlastnom podniku. </w:t>
      </w:r>
      <w:r w:rsidRPr="00D82AFA">
        <w:t xml:space="preserve">Navrhované riešenia technologických liniek na spracovanie a energetické využívanie </w:t>
      </w:r>
      <w:r>
        <w:t>OZE</w:t>
      </w:r>
      <w:r w:rsidRPr="00D82AFA">
        <w:t xml:space="preserve"> </w:t>
      </w:r>
      <w:r>
        <w:t xml:space="preserve">v rámci </w:t>
      </w:r>
      <w:r w:rsidRPr="0045313D">
        <w:rPr>
          <w:b/>
        </w:rPr>
        <w:t>podopatrenia 4.1 (čl.17a)</w:t>
      </w:r>
      <w:r>
        <w:t xml:space="preserve"> </w:t>
      </w:r>
      <w:r w:rsidRPr="00D82AFA">
        <w:t xml:space="preserve">by mali garantovať znižovanie vlastných nákladov na spotrebu energie a v prípade nadprodukcie aj prínos za jej realizáciu na trhu. Z pohľadu tvorby OZE zohráva lesné hospodárstvo dôležitú úlohu. Podpory </w:t>
      </w:r>
      <w:r>
        <w:t xml:space="preserve">investícií do technológií </w:t>
      </w:r>
      <w:r w:rsidRPr="00D82AFA">
        <w:t xml:space="preserve">v rámci </w:t>
      </w:r>
      <w:r w:rsidRPr="0045313D">
        <w:rPr>
          <w:b/>
        </w:rPr>
        <w:t>podopatrenia 8.6 (čl.26)</w:t>
      </w:r>
      <w:r w:rsidRPr="00D82AFA">
        <w:t xml:space="preserve"> budú prispievať k zvýšeniu podielu spracovania a využívania OZE  v lesníctve (využívanie ťažbových zvyškov, hmoty z prerezávok a sortimentov nižšej kvality na výrobu lesnej energetickej štiepky). Okrem poľnohospodárskeho a lesného hospodárstva bude možné využiť podporu investícií do </w:t>
      </w:r>
      <w:r w:rsidRPr="00C45D7A">
        <w:t xml:space="preserve">vykurovacích systémov využívajúcich OZE vo vidieckych oblastiach (obce) v rámci </w:t>
      </w:r>
      <w:r w:rsidRPr="00C45D7A">
        <w:rPr>
          <w:b/>
        </w:rPr>
        <w:t>opatrenia 7 (čl.2</w:t>
      </w:r>
      <w:r w:rsidRPr="008E4FBC">
        <w:rPr>
          <w:b/>
        </w:rPr>
        <w:t>0)</w:t>
      </w:r>
      <w:r w:rsidRPr="00D82AFA">
        <w:t xml:space="preserve">. K stanovenému cieľu môžu prispieť aj projekty </w:t>
      </w:r>
      <w:r w:rsidRPr="008E4FBC">
        <w:rPr>
          <w:b/>
        </w:rPr>
        <w:t>spolupráce (čl.35)</w:t>
      </w:r>
      <w:r w:rsidRPr="00D82AFA">
        <w:t>, ktoré umožnia spojenie viacerých subjektov v oblasti tvorby a využitia OZE a</w:t>
      </w:r>
      <w:r>
        <w:t> poľnohospodárov a tým aplikovať najnovšie inovatívne postupy pri využití OZE</w:t>
      </w:r>
      <w:r w:rsidRPr="00D82AFA">
        <w:t xml:space="preserve">. </w:t>
      </w:r>
      <w:r>
        <w:t xml:space="preserve">Prostredníctvom </w:t>
      </w:r>
      <w:r w:rsidRPr="004975F5">
        <w:rPr>
          <w:b/>
        </w:rPr>
        <w:t>opatrenia 1 (čl.14)</w:t>
      </w:r>
      <w:r>
        <w:t xml:space="preserve"> sa doplnkovo zabezpečí školenie poľnohospodárov, ktorí budú mať záujem o OZE. Vzájomná kombinácia všetkých zahrnutých opatrení a podopatrení vytvára kombinovaný efekt prispievajúci k plneniu špecifického cieľa 5C.</w:t>
      </w:r>
    </w:p>
    <w:p w:rsidR="007F7CA6" w:rsidRPr="00D82AFA" w:rsidRDefault="007F7CA6" w:rsidP="007F7CA6">
      <w:pPr>
        <w:autoSpaceDE w:val="0"/>
        <w:autoSpaceDN w:val="0"/>
        <w:adjustRightInd w:val="0"/>
        <w:spacing w:before="120"/>
      </w:pPr>
      <w:r>
        <w:t>Fokusová oblasť</w:t>
      </w:r>
      <w:r w:rsidRPr="00D82AFA">
        <w:t xml:space="preserve"> bude má vedľajší vplyv aj na ostatné </w:t>
      </w:r>
      <w:r>
        <w:t xml:space="preserve">fokusové </w:t>
      </w:r>
      <w:r w:rsidRPr="00D82AFA">
        <w:t xml:space="preserve">oblasti programu, treba očakávať pozitívne efekty v oblasti konkurencieschopnosti a všeobecného rozvoja vidieckych regiónov. </w:t>
      </w:r>
    </w:p>
    <w:p w:rsidR="007F7CA6" w:rsidRPr="00D82AFA" w:rsidRDefault="007F7CA6" w:rsidP="007F7CA6">
      <w:pPr>
        <w:autoSpaceDE w:val="0"/>
        <w:autoSpaceDN w:val="0"/>
        <w:adjustRightInd w:val="0"/>
        <w:spacing w:before="120"/>
      </w:pPr>
      <w:r w:rsidRPr="00D82AFA">
        <w:t>Uvedené opatreni</w:t>
      </w:r>
      <w:r>
        <w:t>a</w:t>
      </w:r>
      <w:r w:rsidRPr="00D82AFA">
        <w:t xml:space="preserve"> prispievajú k adaptácii na klimatické zmeny a znižujú záťaž na životné prostredie.</w:t>
      </w:r>
    </w:p>
    <w:p w:rsidR="00E43137" w:rsidRDefault="00E43137" w:rsidP="008676F9">
      <w:pPr>
        <w:autoSpaceDE w:val="0"/>
        <w:autoSpaceDN w:val="0"/>
        <w:adjustRightInd w:val="0"/>
        <w:rPr>
          <w:rFonts w:ascii="Calibri" w:eastAsia="Calibri" w:hAnsi="Calibri"/>
          <w:szCs w:val="22"/>
          <w:lang w:eastAsia="en-US"/>
        </w:rPr>
      </w:pPr>
    </w:p>
    <w:p w:rsidR="007B5045" w:rsidRDefault="007B5045" w:rsidP="008676F9">
      <w:pPr>
        <w:autoSpaceDE w:val="0"/>
        <w:autoSpaceDN w:val="0"/>
        <w:adjustRightInd w:val="0"/>
        <w:rPr>
          <w:rFonts w:ascii="Calibri" w:eastAsia="Calibri" w:hAnsi="Calibri"/>
          <w:szCs w:val="22"/>
          <w:lang w:eastAsia="en-US"/>
        </w:rPr>
      </w:pPr>
    </w:p>
    <w:p w:rsidR="00E43137" w:rsidRPr="00AA30CA" w:rsidRDefault="00086915" w:rsidP="00AA30CA">
      <w:pPr>
        <w:rPr>
          <w:rFonts w:eastAsia="Calibri"/>
          <w:b/>
        </w:rPr>
      </w:pPr>
      <w:r w:rsidRPr="00AA30CA">
        <w:rPr>
          <w:rFonts w:eastAsia="Calibri"/>
          <w:b/>
        </w:rPr>
        <w:t xml:space="preserve">5.2.5.4 </w:t>
      </w:r>
      <w:r w:rsidR="00E43137" w:rsidRPr="00AA30CA">
        <w:rPr>
          <w:rFonts w:eastAsia="Calibri"/>
          <w:b/>
        </w:rPr>
        <w:t>Fokusová oblasť 5D: Zníženie emisií skleníkových plynov a amoniaku z poľnohospodárstva</w:t>
      </w:r>
    </w:p>
    <w:p w:rsidR="00086915" w:rsidRDefault="00086915" w:rsidP="008676F9">
      <w:pPr>
        <w:autoSpaceDE w:val="0"/>
        <w:autoSpaceDN w:val="0"/>
        <w:adjustRightInd w:val="0"/>
        <w:rPr>
          <w:rFonts w:ascii="Calibri" w:eastAsia="Calibri" w:hAnsi="Calibri"/>
          <w:szCs w:val="22"/>
          <w:u w:val="single"/>
          <w:lang w:eastAsia="en-US"/>
        </w:rPr>
      </w:pPr>
    </w:p>
    <w:p w:rsidR="00E43137" w:rsidRPr="00E43137" w:rsidRDefault="00E43137" w:rsidP="008676F9">
      <w:pPr>
        <w:autoSpaceDE w:val="0"/>
        <w:autoSpaceDN w:val="0"/>
        <w:adjustRightInd w:val="0"/>
        <w:rPr>
          <w:rFonts w:ascii="Calibri" w:eastAsia="Calibri" w:hAnsi="Calibri"/>
          <w:szCs w:val="22"/>
          <w:u w:val="single"/>
          <w:lang w:eastAsia="en-US"/>
        </w:rPr>
      </w:pPr>
      <w:r w:rsidRPr="00E43137">
        <w:rPr>
          <w:rFonts w:ascii="Calibri" w:eastAsia="Calibri" w:hAnsi="Calibri"/>
          <w:szCs w:val="22"/>
          <w:u w:val="single"/>
          <w:lang w:eastAsia="en-US"/>
        </w:rPr>
        <w:t>Vybrané opatrenia</w:t>
      </w:r>
    </w:p>
    <w:tbl>
      <w:tblPr>
        <w:tblpPr w:leftFromText="141" w:rightFromText="141" w:vertAnchor="text" w:horzAnchor="margin" w:tblpX="108" w:tblpY="80"/>
        <w:tblW w:w="90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39"/>
      </w:tblGrid>
      <w:tr w:rsidR="00E74A4E" w:rsidRPr="00D82AFA" w:rsidTr="00E74A4E">
        <w:tc>
          <w:tcPr>
            <w:tcW w:w="9039" w:type="dxa"/>
            <w:shd w:val="clear" w:color="auto" w:fill="auto"/>
            <w:vAlign w:val="center"/>
          </w:tcPr>
          <w:p w:rsidR="00E74A4E" w:rsidRPr="00D82AFA" w:rsidRDefault="00E74A4E" w:rsidP="00E74A4E">
            <w:pPr>
              <w:spacing w:before="60" w:after="60"/>
              <w:rPr>
                <w:bCs/>
                <w:noProof/>
                <w:sz w:val="20"/>
                <w:szCs w:val="20"/>
              </w:rPr>
            </w:pPr>
            <w:r w:rsidRPr="00D82AFA">
              <w:rPr>
                <w:sz w:val="20"/>
                <w:szCs w:val="20"/>
              </w:rPr>
              <w:t xml:space="preserve">Opatrenie  </w:t>
            </w:r>
            <w:r>
              <w:rPr>
                <w:sz w:val="20"/>
                <w:szCs w:val="20"/>
              </w:rPr>
              <w:t>4</w:t>
            </w:r>
            <w:r w:rsidRPr="00D82AFA">
              <w:rPr>
                <w:sz w:val="20"/>
                <w:szCs w:val="20"/>
              </w:rPr>
              <w:t>: I</w:t>
            </w:r>
            <w:r w:rsidRPr="00D82AFA">
              <w:rPr>
                <w:bCs/>
                <w:noProof/>
                <w:sz w:val="20"/>
                <w:szCs w:val="20"/>
              </w:rPr>
              <w:t xml:space="preserve">nvestície do hmotného majetku –  </w:t>
            </w:r>
            <w:r w:rsidRPr="00D82AFA">
              <w:rPr>
                <w:sz w:val="20"/>
                <w:szCs w:val="20"/>
              </w:rPr>
              <w:t xml:space="preserve"> </w:t>
            </w:r>
            <w:r>
              <w:rPr>
                <w:i/>
                <w:sz w:val="20"/>
                <w:szCs w:val="20"/>
              </w:rPr>
              <w:t>podopatrenie 4</w:t>
            </w:r>
            <w:r w:rsidRPr="00D82AFA">
              <w:rPr>
                <w:i/>
                <w:sz w:val="20"/>
                <w:szCs w:val="20"/>
              </w:rPr>
              <w:t xml:space="preserve">.4 </w:t>
            </w:r>
            <w:r>
              <w:rPr>
                <w:bCs/>
                <w:i/>
                <w:noProof/>
                <w:sz w:val="20"/>
                <w:szCs w:val="20"/>
              </w:rPr>
              <w:t>neproduktívne investície (čl. 17</w:t>
            </w:r>
            <w:r w:rsidRPr="00D82AFA">
              <w:rPr>
                <w:bCs/>
                <w:i/>
                <w:noProof/>
                <w:sz w:val="20"/>
                <w:szCs w:val="20"/>
              </w:rPr>
              <w:t>d</w:t>
            </w:r>
            <w:r>
              <w:rPr>
                <w:bCs/>
                <w:i/>
                <w:noProof/>
                <w:sz w:val="20"/>
                <w:szCs w:val="20"/>
              </w:rPr>
              <w:t>)</w:t>
            </w:r>
          </w:p>
        </w:tc>
      </w:tr>
      <w:tr w:rsidR="00E74A4E" w:rsidRPr="00D82AFA" w:rsidTr="00E74A4E">
        <w:tc>
          <w:tcPr>
            <w:tcW w:w="9039" w:type="dxa"/>
            <w:shd w:val="clear" w:color="auto" w:fill="auto"/>
            <w:vAlign w:val="center"/>
          </w:tcPr>
          <w:p w:rsidR="00E74A4E" w:rsidRPr="00D82AFA" w:rsidRDefault="00E74A4E" w:rsidP="00E74A4E">
            <w:pPr>
              <w:spacing w:before="60" w:after="60"/>
              <w:rPr>
                <w:sz w:val="20"/>
                <w:szCs w:val="20"/>
              </w:rPr>
            </w:pPr>
            <w:r>
              <w:rPr>
                <w:bCs/>
                <w:sz w:val="20"/>
                <w:szCs w:val="20"/>
              </w:rPr>
              <w:t>Opatrenie 10</w:t>
            </w:r>
            <w:r w:rsidRPr="00D82AFA">
              <w:rPr>
                <w:bCs/>
                <w:sz w:val="20"/>
                <w:szCs w:val="20"/>
              </w:rPr>
              <w:t xml:space="preserve">: Agroenvironmentálno-klimatické opatrenie  </w:t>
            </w:r>
            <w:r>
              <w:rPr>
                <w:sz w:val="20"/>
                <w:szCs w:val="20"/>
              </w:rPr>
              <w:t>(čl. 28</w:t>
            </w:r>
            <w:r w:rsidRPr="00D82AFA">
              <w:rPr>
                <w:sz w:val="20"/>
                <w:szCs w:val="20"/>
              </w:rPr>
              <w:t>)</w:t>
            </w:r>
          </w:p>
        </w:tc>
      </w:tr>
      <w:tr w:rsidR="00E74A4E" w:rsidRPr="00D82AFA" w:rsidTr="00E74A4E">
        <w:tc>
          <w:tcPr>
            <w:tcW w:w="9039" w:type="dxa"/>
            <w:shd w:val="clear" w:color="auto" w:fill="auto"/>
            <w:vAlign w:val="center"/>
          </w:tcPr>
          <w:p w:rsidR="00E74A4E" w:rsidRPr="00D82AFA" w:rsidRDefault="00E74A4E" w:rsidP="00E74A4E">
            <w:pPr>
              <w:spacing w:before="60" w:after="60"/>
              <w:rPr>
                <w:bCs/>
                <w:sz w:val="20"/>
                <w:szCs w:val="20"/>
              </w:rPr>
            </w:pPr>
            <w:r w:rsidRPr="00D82AFA">
              <w:rPr>
                <w:sz w:val="20"/>
                <w:szCs w:val="20"/>
              </w:rPr>
              <w:t xml:space="preserve">Opatrenie  </w:t>
            </w:r>
            <w:r w:rsidRPr="00D82AFA">
              <w:rPr>
                <w:bCs/>
                <w:sz w:val="20"/>
                <w:szCs w:val="20"/>
              </w:rPr>
              <w:t>1: Pre</w:t>
            </w:r>
            <w:r>
              <w:rPr>
                <w:bCs/>
                <w:sz w:val="20"/>
                <w:szCs w:val="20"/>
              </w:rPr>
              <w:t>nos vedomostí a zručností (čl.14</w:t>
            </w:r>
            <w:r w:rsidRPr="00D82AFA">
              <w:rPr>
                <w:bCs/>
                <w:sz w:val="20"/>
                <w:szCs w:val="20"/>
              </w:rPr>
              <w:t>)</w:t>
            </w:r>
          </w:p>
        </w:tc>
      </w:tr>
      <w:tr w:rsidR="00E74A4E" w:rsidRPr="00D82AFA" w:rsidTr="00E74A4E">
        <w:tc>
          <w:tcPr>
            <w:tcW w:w="9039" w:type="dxa"/>
            <w:shd w:val="clear" w:color="auto" w:fill="auto"/>
            <w:vAlign w:val="center"/>
          </w:tcPr>
          <w:p w:rsidR="00E74A4E" w:rsidRPr="00D82AFA" w:rsidRDefault="00E74A4E" w:rsidP="00E74A4E">
            <w:pPr>
              <w:spacing w:before="60" w:after="60"/>
              <w:rPr>
                <w:sz w:val="20"/>
                <w:szCs w:val="20"/>
              </w:rPr>
            </w:pPr>
            <w:r>
              <w:rPr>
                <w:sz w:val="20"/>
                <w:szCs w:val="20"/>
              </w:rPr>
              <w:t xml:space="preserve">Opatrenie  </w:t>
            </w:r>
            <w:r w:rsidRPr="00D82AFA">
              <w:rPr>
                <w:sz w:val="20"/>
                <w:szCs w:val="20"/>
              </w:rPr>
              <w:t xml:space="preserve">2:  Poradenské služby </w:t>
            </w:r>
            <w:r>
              <w:rPr>
                <w:sz w:val="20"/>
                <w:szCs w:val="20"/>
              </w:rPr>
              <w:t xml:space="preserve"> (čl.15</w:t>
            </w:r>
            <w:r w:rsidRPr="00D82AFA">
              <w:rPr>
                <w:sz w:val="20"/>
                <w:szCs w:val="20"/>
              </w:rPr>
              <w:t xml:space="preserve">)                                                      </w:t>
            </w:r>
          </w:p>
        </w:tc>
      </w:tr>
    </w:tbl>
    <w:p w:rsidR="00E43137" w:rsidRPr="00E43137" w:rsidRDefault="00E43137" w:rsidP="008676F9">
      <w:pPr>
        <w:autoSpaceDE w:val="0"/>
        <w:autoSpaceDN w:val="0"/>
        <w:adjustRightInd w:val="0"/>
        <w:rPr>
          <w:rFonts w:ascii="Calibri" w:eastAsia="Calibri" w:hAnsi="Calibri"/>
          <w:szCs w:val="22"/>
          <w:u w:val="single"/>
          <w:lang w:eastAsia="en-US"/>
        </w:rPr>
      </w:pPr>
    </w:p>
    <w:p w:rsidR="00E43137" w:rsidRPr="00E43137" w:rsidRDefault="00E43137" w:rsidP="008676F9">
      <w:pPr>
        <w:autoSpaceDE w:val="0"/>
        <w:autoSpaceDN w:val="0"/>
        <w:adjustRightInd w:val="0"/>
        <w:rPr>
          <w:rFonts w:ascii="Calibri" w:eastAsia="Calibri" w:hAnsi="Calibri"/>
          <w:szCs w:val="22"/>
          <w:u w:val="single"/>
          <w:lang w:eastAsia="en-US"/>
        </w:rPr>
      </w:pPr>
      <w:r w:rsidRPr="00E43137">
        <w:rPr>
          <w:rFonts w:ascii="Calibri" w:eastAsia="Calibri" w:hAnsi="Calibri"/>
          <w:szCs w:val="22"/>
          <w:u w:val="single"/>
          <w:lang w:eastAsia="en-US"/>
        </w:rPr>
        <w:t xml:space="preserve">Kombinácia a zdôvodnenie opatrení </w:t>
      </w:r>
    </w:p>
    <w:p w:rsidR="00E74A4E" w:rsidRPr="00D82AFA" w:rsidRDefault="00E74A4E" w:rsidP="00E74A4E">
      <w:pPr>
        <w:autoSpaceDE w:val="0"/>
        <w:autoSpaceDN w:val="0"/>
        <w:adjustRightInd w:val="0"/>
        <w:spacing w:before="120"/>
      </w:pPr>
      <w:r>
        <w:t>Keďže p</w:t>
      </w:r>
      <w:r w:rsidRPr="00D82AFA">
        <w:t xml:space="preserve">odiel poľnohospodárstva (vrátane emisií z pôdy) na celkových čistých emisiách SR </w:t>
      </w:r>
      <w:r>
        <w:t xml:space="preserve">je  veľmi nízky, navrhnuté opatrenia v rámci fokusovej oblasti 5D majú za cieľ tento stav udržať. </w:t>
      </w:r>
    </w:p>
    <w:p w:rsidR="00E74A4E" w:rsidRPr="00D82AFA" w:rsidRDefault="00E74A4E" w:rsidP="00E74A4E">
      <w:pPr>
        <w:autoSpaceDE w:val="0"/>
        <w:autoSpaceDN w:val="0"/>
        <w:adjustRightInd w:val="0"/>
        <w:spacing w:before="120"/>
      </w:pPr>
      <w:r w:rsidRPr="00D82AFA">
        <w:t xml:space="preserve">Prínos </w:t>
      </w:r>
      <w:r>
        <w:t xml:space="preserve">fokusovej </w:t>
      </w:r>
      <w:r w:rsidRPr="00D82AFA">
        <w:t xml:space="preserve">oblasti 5D v boji proti klimatickej zmene bude v znížení emisií z poľnohospodárstva prostredníctvom podpory investícií </w:t>
      </w:r>
      <w:r>
        <w:t xml:space="preserve">v rámci </w:t>
      </w:r>
      <w:r w:rsidRPr="008C13D9">
        <w:rPr>
          <w:b/>
        </w:rPr>
        <w:t>opatrenia 4 (čl.17)</w:t>
      </w:r>
      <w:r>
        <w:t xml:space="preserve"> </w:t>
      </w:r>
      <w:r w:rsidRPr="00D82AFA">
        <w:t>zameraných na odstraňovanie nedostatkov v oblasti manipulácie a uskladňovania organických hnojív a exkrementov hospodárskych zvierat</w:t>
      </w:r>
      <w:r>
        <w:t>. Okrem podpory investícií do uskladňovania exkrementov hospodárskych zvierat fokusová oblasť 5D prispeje k zníženiu skleníkových plynov</w:t>
      </w:r>
      <w:r w:rsidRPr="00D82AFA">
        <w:t xml:space="preserve"> prostredníctvom </w:t>
      </w:r>
      <w:r>
        <w:rPr>
          <w:b/>
        </w:rPr>
        <w:t>agroenvironmentálno-klimatických</w:t>
      </w:r>
      <w:r w:rsidRPr="008C13D9">
        <w:rPr>
          <w:b/>
        </w:rPr>
        <w:t xml:space="preserve"> schém</w:t>
      </w:r>
      <w:r w:rsidRPr="00D82AFA">
        <w:t xml:space="preserve"> </w:t>
      </w:r>
      <w:r w:rsidRPr="008C13D9">
        <w:rPr>
          <w:b/>
        </w:rPr>
        <w:t>(čl.28)</w:t>
      </w:r>
      <w:r>
        <w:t xml:space="preserve"> podporou extenzívneho hospodárenia </w:t>
      </w:r>
      <w:r w:rsidRPr="00D82AFA">
        <w:t>(nižši</w:t>
      </w:r>
      <w:r>
        <w:t>a miera používania  hnojív</w:t>
      </w:r>
      <w:r w:rsidRPr="00D82AFA">
        <w:t xml:space="preserve">, herbicídov). </w:t>
      </w:r>
      <w:r>
        <w:t>Doplnkovo budú k cieľu 5D prispievať aj informačné akcie (</w:t>
      </w:r>
      <w:r w:rsidRPr="000040FE">
        <w:rPr>
          <w:b/>
        </w:rPr>
        <w:t>opatrenie 1, čl.14</w:t>
      </w:r>
      <w:r>
        <w:t>) a poradenstvo (</w:t>
      </w:r>
      <w:r w:rsidRPr="000040FE">
        <w:rPr>
          <w:b/>
        </w:rPr>
        <w:t>opatrenie 2, čl.15</w:t>
      </w:r>
      <w:r>
        <w:t>) zamerané na transfer poznatkov v oblasti prechodu na nízkouhl</w:t>
      </w:r>
      <w:r w:rsidR="00B3442A">
        <w:t>í</w:t>
      </w:r>
      <w:r>
        <w:t xml:space="preserve">kové hospodárstvo. </w:t>
      </w:r>
    </w:p>
    <w:p w:rsidR="00E74A4E" w:rsidRPr="00D82AFA" w:rsidRDefault="00E74A4E" w:rsidP="00E74A4E">
      <w:pPr>
        <w:autoSpaceDE w:val="0"/>
        <w:autoSpaceDN w:val="0"/>
        <w:adjustRightInd w:val="0"/>
        <w:spacing w:before="120"/>
      </w:pPr>
      <w:r w:rsidRPr="00D82AFA">
        <w:t xml:space="preserve">Na zníženie emisií budú mať synergický vplyv podporené investície v rámci </w:t>
      </w:r>
      <w:r>
        <w:t xml:space="preserve">fokusovej </w:t>
      </w:r>
      <w:r w:rsidRPr="00D82AFA">
        <w:t xml:space="preserve">oblasti 2A ako aj 3A, v rámci ktorých bude podporená nová mechanizácia a výrobné postupy, ktoré prispejú k nižšej spotrebe energií a tvorbe emisií v poľnohospodárstve. </w:t>
      </w:r>
    </w:p>
    <w:p w:rsidR="00E74A4E" w:rsidRPr="00D82AFA" w:rsidRDefault="00E74A4E" w:rsidP="00E74A4E">
      <w:pPr>
        <w:autoSpaceDE w:val="0"/>
        <w:autoSpaceDN w:val="0"/>
        <w:adjustRightInd w:val="0"/>
        <w:spacing w:before="120"/>
      </w:pPr>
      <w:r w:rsidRPr="00D82AFA">
        <w:t>Aj 5C prispeje k zníženiu emisií cestou zníženia úniku  emisií tak z rastlinnej, ako aj živočíšnej výroby.</w:t>
      </w:r>
    </w:p>
    <w:p w:rsidR="00E43137" w:rsidRDefault="00E43137" w:rsidP="008676F9">
      <w:pPr>
        <w:autoSpaceDE w:val="0"/>
        <w:autoSpaceDN w:val="0"/>
        <w:adjustRightInd w:val="0"/>
        <w:rPr>
          <w:rFonts w:ascii="Calibri" w:eastAsia="Calibri" w:hAnsi="Calibri"/>
          <w:szCs w:val="22"/>
          <w:lang w:eastAsia="en-US"/>
        </w:rPr>
      </w:pPr>
    </w:p>
    <w:p w:rsidR="00086915" w:rsidRPr="00E43137" w:rsidRDefault="00086915" w:rsidP="00AA30CA">
      <w:pPr>
        <w:rPr>
          <w:rFonts w:eastAsia="Calibri"/>
          <w:lang w:eastAsia="en-US"/>
        </w:rPr>
      </w:pPr>
    </w:p>
    <w:p w:rsidR="00E43137" w:rsidRPr="00E43137" w:rsidRDefault="00086915" w:rsidP="00C32FE9">
      <w:pPr>
        <w:ind w:left="2552" w:hanging="2552"/>
        <w:jc w:val="left"/>
        <w:rPr>
          <w:rFonts w:eastAsia="Calibri"/>
          <w:b/>
        </w:rPr>
      </w:pPr>
      <w:r>
        <w:rPr>
          <w:rFonts w:eastAsia="Calibri"/>
          <w:b/>
        </w:rPr>
        <w:t xml:space="preserve">5.2.5.5 </w:t>
      </w:r>
      <w:r w:rsidR="00E43137" w:rsidRPr="00E43137">
        <w:rPr>
          <w:rFonts w:eastAsia="Calibri"/>
          <w:b/>
        </w:rPr>
        <w:t>Fokusová oblasť 5E: Podpora zachovania a sekvestrácie oxidu uhličitého</w:t>
      </w:r>
      <w:r>
        <w:rPr>
          <w:rFonts w:eastAsia="Calibri"/>
          <w:b/>
        </w:rPr>
        <w:br/>
      </w:r>
      <w:r w:rsidR="00E43137" w:rsidRPr="00E43137">
        <w:rPr>
          <w:rFonts w:eastAsia="Calibri"/>
          <w:b/>
        </w:rPr>
        <w:t xml:space="preserve"> v poľnohospodárstve a lesnom hospodárstve</w:t>
      </w:r>
    </w:p>
    <w:p w:rsidR="00E43137" w:rsidRPr="00E43137" w:rsidRDefault="00E43137" w:rsidP="008676F9">
      <w:pPr>
        <w:autoSpaceDE w:val="0"/>
        <w:autoSpaceDN w:val="0"/>
        <w:adjustRightInd w:val="0"/>
        <w:rPr>
          <w:rFonts w:ascii="Calibri" w:eastAsia="Calibri" w:hAnsi="Calibri"/>
          <w:szCs w:val="22"/>
          <w:u w:val="single"/>
          <w:lang w:eastAsia="en-US"/>
        </w:rPr>
      </w:pPr>
      <w:r w:rsidRPr="00E43137">
        <w:rPr>
          <w:rFonts w:ascii="Calibri" w:eastAsia="Calibri" w:hAnsi="Calibri"/>
          <w:szCs w:val="22"/>
          <w:u w:val="single"/>
          <w:lang w:eastAsia="en-US"/>
        </w:rPr>
        <w:t>Vybrané opatrenia</w:t>
      </w:r>
    </w:p>
    <w:tbl>
      <w:tblPr>
        <w:tblpPr w:leftFromText="141" w:rightFromText="141" w:vertAnchor="text" w:horzAnchor="margin" w:tblpX="108" w:tblpY="80"/>
        <w:tblW w:w="90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72"/>
      </w:tblGrid>
      <w:tr w:rsidR="00E74A4E" w:rsidRPr="00D82AFA" w:rsidTr="00E74A4E">
        <w:tc>
          <w:tcPr>
            <w:tcW w:w="9072" w:type="dxa"/>
            <w:shd w:val="clear" w:color="auto" w:fill="auto"/>
            <w:vAlign w:val="center"/>
          </w:tcPr>
          <w:p w:rsidR="00E74A4E" w:rsidRPr="00D82AFA" w:rsidRDefault="00E74A4E" w:rsidP="00E74A4E">
            <w:pPr>
              <w:spacing w:before="60" w:after="60"/>
              <w:rPr>
                <w:bCs/>
                <w:sz w:val="20"/>
                <w:szCs w:val="20"/>
              </w:rPr>
            </w:pPr>
            <w:r w:rsidRPr="00D82AFA">
              <w:rPr>
                <w:bCs/>
                <w:sz w:val="20"/>
                <w:szCs w:val="20"/>
              </w:rPr>
              <w:t xml:space="preserve">Opatrenie </w:t>
            </w:r>
            <w:r>
              <w:rPr>
                <w:bCs/>
                <w:sz w:val="20"/>
                <w:szCs w:val="20"/>
              </w:rPr>
              <w:t>8</w:t>
            </w:r>
            <w:r w:rsidRPr="00D82AFA">
              <w:rPr>
                <w:bCs/>
                <w:sz w:val="20"/>
                <w:szCs w:val="20"/>
              </w:rPr>
              <w:t xml:space="preserve"> : Investície do rozvoja lesných oblastí a zlepšen</w:t>
            </w:r>
            <w:r>
              <w:rPr>
                <w:bCs/>
                <w:sz w:val="20"/>
                <w:szCs w:val="20"/>
              </w:rPr>
              <w:t>ie životaschopnosti lesov (čl.21</w:t>
            </w:r>
            <w:r w:rsidRPr="00D82AFA">
              <w:rPr>
                <w:bCs/>
                <w:sz w:val="20"/>
                <w:szCs w:val="20"/>
              </w:rPr>
              <w:t>):</w:t>
            </w:r>
          </w:p>
          <w:p w:rsidR="00E74A4E" w:rsidRPr="00D82AFA" w:rsidRDefault="00E74A4E" w:rsidP="00E74A4E">
            <w:pPr>
              <w:spacing w:before="60" w:after="60"/>
              <w:ind w:left="1701" w:hanging="1701"/>
              <w:rPr>
                <w:bCs/>
                <w:i/>
                <w:sz w:val="20"/>
                <w:szCs w:val="20"/>
              </w:rPr>
            </w:pPr>
            <w:r w:rsidRPr="00D82AFA">
              <w:rPr>
                <w:bCs/>
                <w:i/>
                <w:sz w:val="20"/>
                <w:szCs w:val="20"/>
              </w:rPr>
              <w:t xml:space="preserve">Podopatrenie </w:t>
            </w:r>
            <w:r>
              <w:rPr>
                <w:bCs/>
                <w:i/>
                <w:sz w:val="20"/>
                <w:szCs w:val="20"/>
              </w:rPr>
              <w:t>8.5</w:t>
            </w:r>
            <w:r w:rsidRPr="00D82AFA">
              <w:rPr>
                <w:bCs/>
                <w:i/>
                <w:sz w:val="20"/>
                <w:szCs w:val="20"/>
              </w:rPr>
              <w:t xml:space="preserve"> :  Investície na zlepšenie odolnosti a environmentálnej hodnoty lesných ekosystémov (čl.2</w:t>
            </w:r>
            <w:r>
              <w:rPr>
                <w:bCs/>
                <w:i/>
                <w:sz w:val="20"/>
                <w:szCs w:val="20"/>
              </w:rPr>
              <w:t>5</w:t>
            </w:r>
            <w:r w:rsidRPr="00D82AFA">
              <w:rPr>
                <w:bCs/>
                <w:i/>
                <w:sz w:val="20"/>
                <w:szCs w:val="20"/>
              </w:rPr>
              <w:t>)</w:t>
            </w:r>
          </w:p>
        </w:tc>
      </w:tr>
      <w:tr w:rsidR="00E74A4E" w:rsidRPr="00D82AFA" w:rsidTr="00E74A4E">
        <w:tc>
          <w:tcPr>
            <w:tcW w:w="9072" w:type="dxa"/>
            <w:shd w:val="clear" w:color="auto" w:fill="auto"/>
            <w:vAlign w:val="center"/>
          </w:tcPr>
          <w:p w:rsidR="00E74A4E" w:rsidRPr="00D82AFA" w:rsidRDefault="00E74A4E" w:rsidP="00E74A4E">
            <w:pPr>
              <w:autoSpaceDE w:val="0"/>
              <w:autoSpaceDN w:val="0"/>
              <w:adjustRightInd w:val="0"/>
              <w:spacing w:before="120"/>
              <w:rPr>
                <w:sz w:val="20"/>
                <w:szCs w:val="20"/>
              </w:rPr>
            </w:pPr>
            <w:r>
              <w:rPr>
                <w:bCs/>
                <w:sz w:val="20"/>
                <w:szCs w:val="20"/>
              </w:rPr>
              <w:t>Opatrenie 10</w:t>
            </w:r>
            <w:r w:rsidRPr="00D82AFA">
              <w:rPr>
                <w:bCs/>
                <w:sz w:val="20"/>
                <w:szCs w:val="20"/>
              </w:rPr>
              <w:t xml:space="preserve">: Agroenvironmentálno-klimatické opatrenie  </w:t>
            </w:r>
            <w:r>
              <w:rPr>
                <w:sz w:val="20"/>
                <w:szCs w:val="20"/>
              </w:rPr>
              <w:t>(čl. 28</w:t>
            </w:r>
            <w:r w:rsidRPr="00D82AFA">
              <w:rPr>
                <w:sz w:val="20"/>
                <w:szCs w:val="20"/>
              </w:rPr>
              <w:t>)</w:t>
            </w:r>
          </w:p>
        </w:tc>
      </w:tr>
      <w:tr w:rsidR="00E74A4E" w:rsidRPr="00D82AFA" w:rsidTr="00E74A4E">
        <w:tc>
          <w:tcPr>
            <w:tcW w:w="9072" w:type="dxa"/>
            <w:shd w:val="clear" w:color="auto" w:fill="auto"/>
            <w:vAlign w:val="center"/>
          </w:tcPr>
          <w:p w:rsidR="00E74A4E" w:rsidRPr="00D82AFA" w:rsidRDefault="00E74A4E" w:rsidP="00E74A4E">
            <w:pPr>
              <w:spacing w:before="60" w:after="60"/>
              <w:rPr>
                <w:bCs/>
                <w:sz w:val="20"/>
                <w:szCs w:val="20"/>
              </w:rPr>
            </w:pPr>
            <w:r w:rsidRPr="00D82AFA">
              <w:rPr>
                <w:sz w:val="20"/>
                <w:szCs w:val="20"/>
              </w:rPr>
              <w:t xml:space="preserve">Opatrenie  </w:t>
            </w:r>
            <w:r w:rsidRPr="00D82AFA">
              <w:rPr>
                <w:bCs/>
                <w:sz w:val="20"/>
                <w:szCs w:val="20"/>
              </w:rPr>
              <w:t>1: Pre</w:t>
            </w:r>
            <w:r>
              <w:rPr>
                <w:bCs/>
                <w:sz w:val="20"/>
                <w:szCs w:val="20"/>
              </w:rPr>
              <w:t>nos vedomostí a zručností (čl.14</w:t>
            </w:r>
            <w:r w:rsidRPr="00D82AFA">
              <w:rPr>
                <w:bCs/>
                <w:sz w:val="20"/>
                <w:szCs w:val="20"/>
              </w:rPr>
              <w:t>)</w:t>
            </w:r>
          </w:p>
        </w:tc>
      </w:tr>
      <w:tr w:rsidR="00E74A4E" w:rsidRPr="00D82AFA" w:rsidTr="00E74A4E">
        <w:tc>
          <w:tcPr>
            <w:tcW w:w="9072" w:type="dxa"/>
            <w:shd w:val="clear" w:color="auto" w:fill="auto"/>
            <w:vAlign w:val="center"/>
          </w:tcPr>
          <w:p w:rsidR="00E74A4E" w:rsidRPr="00D82AFA" w:rsidRDefault="00E74A4E" w:rsidP="00E74A4E">
            <w:pPr>
              <w:spacing w:before="60" w:after="60"/>
              <w:rPr>
                <w:sz w:val="20"/>
                <w:szCs w:val="20"/>
              </w:rPr>
            </w:pPr>
            <w:r>
              <w:rPr>
                <w:sz w:val="20"/>
                <w:szCs w:val="20"/>
              </w:rPr>
              <w:t>Opatrenie  2:  Poradenské služby  (čl.15</w:t>
            </w:r>
            <w:r w:rsidRPr="00D82AFA">
              <w:rPr>
                <w:sz w:val="20"/>
                <w:szCs w:val="20"/>
              </w:rPr>
              <w:t xml:space="preserve">)                                                      </w:t>
            </w:r>
          </w:p>
        </w:tc>
      </w:tr>
    </w:tbl>
    <w:p w:rsidR="00E43137" w:rsidRPr="00E43137" w:rsidRDefault="00E43137" w:rsidP="008676F9">
      <w:pPr>
        <w:autoSpaceDE w:val="0"/>
        <w:autoSpaceDN w:val="0"/>
        <w:adjustRightInd w:val="0"/>
        <w:rPr>
          <w:rFonts w:ascii="Calibri" w:eastAsia="Calibri" w:hAnsi="Calibri"/>
          <w:szCs w:val="22"/>
          <w:u w:val="single"/>
          <w:lang w:eastAsia="en-US"/>
        </w:rPr>
      </w:pPr>
    </w:p>
    <w:p w:rsidR="00E43137" w:rsidRPr="00E43137" w:rsidRDefault="00E43137" w:rsidP="008676F9">
      <w:pPr>
        <w:autoSpaceDE w:val="0"/>
        <w:autoSpaceDN w:val="0"/>
        <w:adjustRightInd w:val="0"/>
        <w:rPr>
          <w:rFonts w:ascii="Calibri" w:eastAsia="Calibri" w:hAnsi="Calibri"/>
          <w:szCs w:val="22"/>
          <w:u w:val="single"/>
          <w:lang w:eastAsia="en-US"/>
        </w:rPr>
      </w:pPr>
      <w:r w:rsidRPr="00E43137">
        <w:rPr>
          <w:rFonts w:ascii="Calibri" w:eastAsia="Calibri" w:hAnsi="Calibri"/>
          <w:szCs w:val="22"/>
          <w:u w:val="single"/>
          <w:lang w:eastAsia="en-US"/>
        </w:rPr>
        <w:t xml:space="preserve">Kombinácia a zdôvodnenie opatrení </w:t>
      </w:r>
    </w:p>
    <w:p w:rsidR="00E74A4E" w:rsidRDefault="00E74A4E" w:rsidP="00E74A4E">
      <w:pPr>
        <w:autoSpaceDE w:val="0"/>
        <w:autoSpaceDN w:val="0"/>
        <w:adjustRightInd w:val="0"/>
        <w:spacing w:before="120"/>
      </w:pPr>
      <w:r w:rsidRPr="00D82AFA">
        <w:t xml:space="preserve">V procesoch sekvestrácie sú lesy nezastupiteľné a ich potenciál ukladania uhlíka do dreva vysoko prekračuje potenciál pestovania poľnohospodárskych plodín. Zdravotný stav lesných ekosystémov Slovenska - indikovaný defoliáciou a stupňom poškodenia sa v období r. 2001 - 2010 zhoršil. </w:t>
      </w:r>
      <w:r w:rsidRPr="001D541D">
        <w:t>Na</w:t>
      </w:r>
      <w:r>
        <w:t xml:space="preserve"> </w:t>
      </w:r>
      <w:r w:rsidRPr="001D541D">
        <w:t xml:space="preserve">zlepšenie odolnosti a environmentálnej hodnoty lesných ekosystémov budú </w:t>
      </w:r>
      <w:r>
        <w:t xml:space="preserve">v rámci </w:t>
      </w:r>
      <w:r w:rsidRPr="00621ABB">
        <w:rPr>
          <w:b/>
        </w:rPr>
        <w:t>podopatrenia 8.5 (čl.25)</w:t>
      </w:r>
      <w:r>
        <w:t xml:space="preserve"> </w:t>
      </w:r>
      <w:r w:rsidRPr="001D541D">
        <w:t xml:space="preserve">podporené investície </w:t>
      </w:r>
      <w:r>
        <w:t xml:space="preserve">do i.) </w:t>
      </w:r>
      <w:r w:rsidR="006A183D">
        <w:t xml:space="preserve">umelej obnovy a výchovy ochranných lesov  lesov osobitnho určenia, najmä </w:t>
      </w:r>
      <w:r>
        <w:t xml:space="preserve">cielenou podsadbou zameranou na zmenu drevinovej skladby ii.) </w:t>
      </w:r>
      <w:r>
        <w:rPr>
          <w:rFonts w:ascii="Calibri" w:eastAsia="Calibri" w:hAnsi="Calibri"/>
        </w:rPr>
        <w:t>budovania a obnovy</w:t>
      </w:r>
      <w:r w:rsidRPr="008676F9">
        <w:rPr>
          <w:rFonts w:ascii="Calibri" w:eastAsia="Calibri" w:hAnsi="Calibri"/>
        </w:rPr>
        <w:t xml:space="preserve"> občianskej a poznávacej infraštruktúry v lesných ekosystémoch </w:t>
      </w:r>
      <w:r w:rsidRPr="001D541D">
        <w:t xml:space="preserve">zlepšenie vekovej a drevinovej štruktúry lesa </w:t>
      </w:r>
      <w:r>
        <w:t xml:space="preserve">a iii.) </w:t>
      </w:r>
      <w:r>
        <w:rPr>
          <w:rFonts w:ascii="Calibri" w:eastAsia="Calibri" w:hAnsi="Calibri" w:cs="Calibri"/>
          <w:bCs/>
        </w:rPr>
        <w:t>zlepšenia</w:t>
      </w:r>
      <w:r w:rsidRPr="008676F9">
        <w:rPr>
          <w:rFonts w:ascii="Calibri" w:eastAsia="Calibri" w:hAnsi="Calibri" w:cs="Calibri"/>
          <w:bCs/>
        </w:rPr>
        <w:t xml:space="preserve"> hniezdnych príležitostí vtákov v lese a iných prvkov zvyšujúcich</w:t>
      </w:r>
      <w:r w:rsidRPr="008676F9">
        <w:rPr>
          <w:rFonts w:ascii="Calibri" w:eastAsia="Calibri" w:hAnsi="Calibri" w:cs="Calibri"/>
          <w:bCs/>
        </w:rPr>
        <w:lastRenderedPageBreak/>
        <w:t xml:space="preserve"> biodiverzitu lesných ekosystémov</w:t>
      </w:r>
      <w:r>
        <w:rPr>
          <w:rFonts w:ascii="Calibri" w:eastAsia="Calibri" w:hAnsi="Calibri" w:cs="Calibri"/>
          <w:bCs/>
        </w:rPr>
        <w:t>.</w:t>
      </w:r>
      <w:r w:rsidRPr="001D541D">
        <w:t xml:space="preserve"> Zlepšená odolnosť a zvýšenie ekologickej stability lesných ekosystémov prispeje k zabráneniu uvoľňovania  uhlíka.</w:t>
      </w:r>
      <w:r w:rsidRPr="00D82AFA">
        <w:t xml:space="preserve"> </w:t>
      </w:r>
    </w:p>
    <w:p w:rsidR="00E74A4E" w:rsidRDefault="00E74A4E" w:rsidP="00E74A4E">
      <w:pPr>
        <w:pStyle w:val="Zkladntext"/>
        <w:spacing w:before="120"/>
      </w:pPr>
      <w:r>
        <w:t>Na poľ.</w:t>
      </w:r>
      <w:r w:rsidR="00B3442A">
        <w:t xml:space="preserve"> </w:t>
      </w:r>
      <w:r>
        <w:t>pôde sa v</w:t>
      </w:r>
      <w:r w:rsidRPr="00D82AFA">
        <w:t xml:space="preserve"> rámci </w:t>
      </w:r>
      <w:r>
        <w:t xml:space="preserve">fokusovej </w:t>
      </w:r>
      <w:r w:rsidRPr="00D82AFA">
        <w:t>oblasti 5E sa budú i</w:t>
      </w:r>
      <w:r>
        <w:t xml:space="preserve">mplementovať </w:t>
      </w:r>
      <w:r w:rsidRPr="000040FE">
        <w:rPr>
          <w:b/>
        </w:rPr>
        <w:t>agroenvironmentálno-klimatické opatrenia (čl.28)</w:t>
      </w:r>
      <w:r w:rsidRPr="00D82AFA">
        <w:t>, ktoré plošne zmierňujú eróziu a zabraňujú odbúravaniu zásob uhlíka  z pôdy (zabezpečenie vegetačného pokryvu</w:t>
      </w:r>
      <w:r>
        <w:t xml:space="preserve"> prostredníctvom podpory biotopov TP a protieróznych pásov</w:t>
      </w:r>
      <w:r w:rsidRPr="00D82AFA">
        <w:t xml:space="preserve">).  </w:t>
      </w:r>
    </w:p>
    <w:p w:rsidR="00E74A4E" w:rsidRPr="00D82AFA" w:rsidRDefault="00E74A4E" w:rsidP="00E74A4E">
      <w:pPr>
        <w:pStyle w:val="Zkladntext"/>
        <w:spacing w:before="120"/>
        <w:rPr>
          <w:lang w:eastAsia="zh-CN" w:bidi="hi-IN"/>
        </w:rPr>
      </w:pPr>
      <w:r>
        <w:t xml:space="preserve">Ku správnej realizácii oboch opatrení je potrebné pre </w:t>
      </w:r>
      <w:r w:rsidR="00B3442A">
        <w:t>prijímateľov</w:t>
      </w:r>
      <w:r>
        <w:t xml:space="preserve"> zabezpečiť v rámci </w:t>
      </w:r>
      <w:r w:rsidRPr="00467BC9">
        <w:rPr>
          <w:b/>
        </w:rPr>
        <w:t>opatrenia 1 (čl.14)</w:t>
      </w:r>
      <w:r>
        <w:t xml:space="preserve"> transfer informácií a znalostí ako aj cielené poradenstvo podporené z </w:t>
      </w:r>
      <w:r w:rsidRPr="00467BC9">
        <w:rPr>
          <w:b/>
        </w:rPr>
        <w:t>opatrenia 2 (čl.15)</w:t>
      </w:r>
      <w:r>
        <w:t xml:space="preserve"> zamerané na postupy hospodárenia zabezpečujúce sekvestráciu uhlíka.</w:t>
      </w:r>
    </w:p>
    <w:p w:rsidR="00E43137" w:rsidRPr="00E43137" w:rsidRDefault="00E43137" w:rsidP="008676F9">
      <w:pPr>
        <w:spacing w:after="120" w:line="259" w:lineRule="auto"/>
        <w:rPr>
          <w:rFonts w:ascii="Calibri" w:eastAsia="Calibri" w:hAnsi="Calibri"/>
          <w:szCs w:val="22"/>
          <w:lang w:eastAsia="zh-CN" w:bidi="hi-IN"/>
        </w:rPr>
      </w:pPr>
    </w:p>
    <w:p w:rsidR="00E43137" w:rsidRPr="00E43137" w:rsidRDefault="00E43137" w:rsidP="008676F9">
      <w:pPr>
        <w:spacing w:after="200" w:line="276" w:lineRule="auto"/>
        <w:rPr>
          <w:rFonts w:ascii="Calibri" w:eastAsia="Calibri" w:hAnsi="Calibri"/>
          <w:b/>
          <w:bCs/>
          <w:szCs w:val="22"/>
          <w:lang w:eastAsia="en-US"/>
        </w:rPr>
      </w:pPr>
      <w:r w:rsidRPr="00E43137">
        <w:rPr>
          <w:rFonts w:ascii="Calibri" w:eastAsia="Calibri" w:hAnsi="Calibri"/>
          <w:b/>
          <w:bCs/>
          <w:szCs w:val="22"/>
          <w:lang w:eastAsia="en-US"/>
        </w:rPr>
        <w:br w:type="page"/>
      </w:r>
    </w:p>
    <w:p w:rsidR="00E43137" w:rsidRPr="00E43137" w:rsidRDefault="00086915" w:rsidP="00F53A78">
      <w:pPr>
        <w:pStyle w:val="Podpod"/>
        <w:ind w:left="1560" w:hanging="1560"/>
      </w:pPr>
      <w:bookmarkStart w:id="56" w:name="_Toc384111025"/>
      <w:bookmarkStart w:id="57" w:name="_Toc387041303"/>
      <w:r>
        <w:t xml:space="preserve">5.2.6 </w:t>
      </w:r>
      <w:r w:rsidR="00E43137" w:rsidRPr="00E43137">
        <w:t>Priorita 6:  Podpora sociálneho začleňovania, zmierňovania chudoby a hospodárskeho rozvoja vo vidieckych oblastiach</w:t>
      </w:r>
      <w:bookmarkEnd w:id="56"/>
      <w:bookmarkEnd w:id="57"/>
    </w:p>
    <w:p w:rsidR="00E43137" w:rsidRPr="00E43137" w:rsidRDefault="00E43137" w:rsidP="007B5045">
      <w:pPr>
        <w:autoSpaceDE w:val="0"/>
        <w:autoSpaceDN w:val="0"/>
        <w:adjustRightInd w:val="0"/>
        <w:ind w:left="720"/>
        <w:contextualSpacing/>
        <w:rPr>
          <w:rFonts w:ascii="Calibri" w:eastAsia="Calibri" w:hAnsi="Calibri"/>
          <w:b/>
          <w:bCs/>
          <w:szCs w:val="22"/>
          <w:lang w:eastAsia="en-US"/>
        </w:rPr>
      </w:pPr>
    </w:p>
    <w:p w:rsidR="00E43137" w:rsidRPr="00AA30CA" w:rsidRDefault="00086915" w:rsidP="00F53A78">
      <w:pPr>
        <w:ind w:left="2694" w:hanging="2694"/>
        <w:rPr>
          <w:rFonts w:eastAsia="Calibri"/>
          <w:b/>
        </w:rPr>
      </w:pPr>
      <w:r w:rsidRPr="00AA30CA">
        <w:rPr>
          <w:rFonts w:eastAsia="Calibri"/>
          <w:b/>
        </w:rPr>
        <w:t xml:space="preserve">5.2.6.1 </w:t>
      </w:r>
      <w:r w:rsidR="00E43137" w:rsidRPr="00AA30CA">
        <w:rPr>
          <w:rFonts w:eastAsia="Calibri"/>
          <w:b/>
        </w:rPr>
        <w:t>Fokusová oblasť 6A: Uľahčenie diverzifikácie, zakladania a rozvoja malých podnikov ako aj vytvárania pracovných miest</w:t>
      </w:r>
    </w:p>
    <w:p w:rsidR="00086915" w:rsidRDefault="00086915" w:rsidP="008676F9">
      <w:pPr>
        <w:autoSpaceDE w:val="0"/>
        <w:autoSpaceDN w:val="0"/>
        <w:adjustRightInd w:val="0"/>
        <w:rPr>
          <w:rFonts w:ascii="Calibri" w:eastAsia="Calibri" w:hAnsi="Calibri"/>
          <w:szCs w:val="22"/>
          <w:u w:val="single"/>
          <w:lang w:eastAsia="en-US"/>
        </w:rPr>
      </w:pPr>
    </w:p>
    <w:p w:rsidR="00E43137" w:rsidRPr="00E43137" w:rsidRDefault="00E43137" w:rsidP="008676F9">
      <w:pPr>
        <w:autoSpaceDE w:val="0"/>
        <w:autoSpaceDN w:val="0"/>
        <w:adjustRightInd w:val="0"/>
        <w:rPr>
          <w:rFonts w:ascii="Calibri" w:eastAsia="Calibri" w:hAnsi="Calibri"/>
          <w:szCs w:val="22"/>
          <w:u w:val="single"/>
          <w:lang w:eastAsia="en-US"/>
        </w:rPr>
      </w:pPr>
      <w:r w:rsidRPr="00E43137">
        <w:rPr>
          <w:rFonts w:ascii="Calibri" w:eastAsia="Calibri" w:hAnsi="Calibri"/>
          <w:szCs w:val="22"/>
          <w:u w:val="single"/>
          <w:lang w:eastAsia="en-US"/>
        </w:rPr>
        <w:t>Vybrané opatrenia</w:t>
      </w:r>
    </w:p>
    <w:tbl>
      <w:tblPr>
        <w:tblpPr w:leftFromText="141" w:rightFromText="141" w:vertAnchor="text" w:horzAnchor="margin" w:tblpX="108" w:tblpY="80"/>
        <w:tblW w:w="90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39"/>
      </w:tblGrid>
      <w:tr w:rsidR="00E74A4E" w:rsidRPr="00D82AFA" w:rsidTr="00E74A4E">
        <w:tc>
          <w:tcPr>
            <w:tcW w:w="9039" w:type="dxa"/>
            <w:shd w:val="clear" w:color="auto" w:fill="auto"/>
            <w:vAlign w:val="center"/>
          </w:tcPr>
          <w:p w:rsidR="00E74A4E" w:rsidRPr="00D82AFA" w:rsidRDefault="00E74A4E" w:rsidP="00E74A4E">
            <w:pPr>
              <w:spacing w:before="60" w:after="60"/>
              <w:rPr>
                <w:bCs/>
                <w:noProof/>
                <w:sz w:val="20"/>
                <w:szCs w:val="20"/>
              </w:rPr>
            </w:pPr>
            <w:r>
              <w:rPr>
                <w:bCs/>
                <w:noProof/>
                <w:sz w:val="20"/>
                <w:szCs w:val="20"/>
              </w:rPr>
              <w:t>Opatrenie 6</w:t>
            </w:r>
            <w:r w:rsidRPr="00D82AFA">
              <w:rPr>
                <w:bCs/>
                <w:noProof/>
                <w:sz w:val="20"/>
                <w:szCs w:val="20"/>
              </w:rPr>
              <w:t>: Rozvoj poľnohospo</w:t>
            </w:r>
            <w:r>
              <w:rPr>
                <w:bCs/>
                <w:noProof/>
                <w:sz w:val="20"/>
                <w:szCs w:val="20"/>
              </w:rPr>
              <w:t>dárskych podnikov a</w:t>
            </w:r>
            <w:r w:rsidR="006A183D">
              <w:rPr>
                <w:bCs/>
                <w:noProof/>
                <w:sz w:val="20"/>
                <w:szCs w:val="20"/>
              </w:rPr>
              <w:t> </w:t>
            </w:r>
            <w:r>
              <w:rPr>
                <w:bCs/>
                <w:noProof/>
                <w:sz w:val="20"/>
                <w:szCs w:val="20"/>
              </w:rPr>
              <w:t>podnika</w:t>
            </w:r>
            <w:r w:rsidR="006A183D">
              <w:rPr>
                <w:bCs/>
                <w:noProof/>
                <w:sz w:val="20"/>
                <w:szCs w:val="20"/>
              </w:rPr>
              <w:t>teľskej činnosti</w:t>
            </w:r>
            <w:r>
              <w:rPr>
                <w:bCs/>
                <w:noProof/>
                <w:sz w:val="20"/>
                <w:szCs w:val="20"/>
              </w:rPr>
              <w:t xml:space="preserve"> (čl.19)</w:t>
            </w:r>
          </w:p>
          <w:p w:rsidR="00E74A4E" w:rsidRPr="00D82AFA" w:rsidRDefault="00E74A4E" w:rsidP="00E74A4E">
            <w:pPr>
              <w:spacing w:before="60" w:after="60"/>
              <w:rPr>
                <w:bCs/>
                <w:i/>
                <w:noProof/>
                <w:sz w:val="20"/>
                <w:szCs w:val="20"/>
              </w:rPr>
            </w:pPr>
            <w:r>
              <w:rPr>
                <w:bCs/>
                <w:i/>
                <w:noProof/>
                <w:sz w:val="20"/>
                <w:szCs w:val="20"/>
              </w:rPr>
              <w:t>Podopatrenie 6.4</w:t>
            </w:r>
            <w:r w:rsidRPr="00D82AFA">
              <w:rPr>
                <w:bCs/>
                <w:i/>
                <w:noProof/>
                <w:sz w:val="20"/>
                <w:szCs w:val="20"/>
              </w:rPr>
              <w:t>: Investície do vytvárania a rozvoja nepoľn</w:t>
            </w:r>
            <w:r>
              <w:rPr>
                <w:bCs/>
                <w:i/>
                <w:noProof/>
                <w:sz w:val="20"/>
                <w:szCs w:val="20"/>
              </w:rPr>
              <w:t>ohospodárskych činností  (čl. 19b</w:t>
            </w:r>
            <w:r w:rsidRPr="00D82AFA">
              <w:rPr>
                <w:bCs/>
                <w:i/>
                <w:noProof/>
                <w:sz w:val="20"/>
                <w:szCs w:val="20"/>
              </w:rPr>
              <w:t>)</w:t>
            </w:r>
          </w:p>
        </w:tc>
      </w:tr>
      <w:tr w:rsidR="00E74A4E" w:rsidRPr="00D82AFA" w:rsidTr="00E74A4E">
        <w:tc>
          <w:tcPr>
            <w:tcW w:w="9039" w:type="dxa"/>
            <w:shd w:val="clear" w:color="auto" w:fill="auto"/>
            <w:vAlign w:val="center"/>
          </w:tcPr>
          <w:p w:rsidR="00E74A4E" w:rsidRPr="00D82AFA" w:rsidRDefault="00E74A4E" w:rsidP="00E74A4E">
            <w:pPr>
              <w:spacing w:before="60" w:after="60"/>
              <w:rPr>
                <w:bCs/>
                <w:sz w:val="20"/>
                <w:szCs w:val="20"/>
              </w:rPr>
            </w:pPr>
            <w:r>
              <w:rPr>
                <w:sz w:val="20"/>
                <w:szCs w:val="20"/>
              </w:rPr>
              <w:t xml:space="preserve">Opatrenie </w:t>
            </w:r>
            <w:r w:rsidRPr="00D82AFA">
              <w:rPr>
                <w:sz w:val="20"/>
                <w:szCs w:val="20"/>
              </w:rPr>
              <w:t>1</w:t>
            </w:r>
            <w:r>
              <w:rPr>
                <w:sz w:val="20"/>
                <w:szCs w:val="20"/>
              </w:rPr>
              <w:t>6</w:t>
            </w:r>
            <w:r w:rsidRPr="00D82AFA">
              <w:rPr>
                <w:sz w:val="20"/>
                <w:szCs w:val="20"/>
              </w:rPr>
              <w:t>: S</w:t>
            </w:r>
            <w:r>
              <w:rPr>
                <w:sz w:val="20"/>
                <w:szCs w:val="20"/>
              </w:rPr>
              <w:t>polupráca (čl. 35</w:t>
            </w:r>
            <w:r w:rsidRPr="00D82AFA">
              <w:rPr>
                <w:sz w:val="20"/>
                <w:szCs w:val="20"/>
              </w:rPr>
              <w:t>)</w:t>
            </w:r>
          </w:p>
        </w:tc>
      </w:tr>
      <w:tr w:rsidR="00E74A4E" w:rsidRPr="00D82AFA" w:rsidTr="00E74A4E">
        <w:tc>
          <w:tcPr>
            <w:tcW w:w="9039" w:type="dxa"/>
            <w:shd w:val="clear" w:color="auto" w:fill="auto"/>
            <w:vAlign w:val="center"/>
          </w:tcPr>
          <w:p w:rsidR="00E74A4E" w:rsidRPr="00D82AFA" w:rsidRDefault="00E74A4E" w:rsidP="00E74A4E">
            <w:pPr>
              <w:spacing w:before="60" w:after="60"/>
              <w:rPr>
                <w:bCs/>
                <w:sz w:val="20"/>
                <w:szCs w:val="20"/>
              </w:rPr>
            </w:pPr>
            <w:r w:rsidRPr="00D82AFA">
              <w:rPr>
                <w:sz w:val="20"/>
                <w:szCs w:val="20"/>
              </w:rPr>
              <w:t xml:space="preserve">Opatrenie  </w:t>
            </w:r>
            <w:r w:rsidRPr="00D82AFA">
              <w:rPr>
                <w:bCs/>
                <w:sz w:val="20"/>
                <w:szCs w:val="20"/>
              </w:rPr>
              <w:t>1: Pre</w:t>
            </w:r>
            <w:r>
              <w:rPr>
                <w:bCs/>
                <w:sz w:val="20"/>
                <w:szCs w:val="20"/>
              </w:rPr>
              <w:t>nos vedomostí a zručností (čl.14</w:t>
            </w:r>
            <w:r w:rsidRPr="00D82AFA">
              <w:rPr>
                <w:bCs/>
                <w:sz w:val="20"/>
                <w:szCs w:val="20"/>
              </w:rPr>
              <w:t>)</w:t>
            </w:r>
          </w:p>
        </w:tc>
      </w:tr>
    </w:tbl>
    <w:p w:rsidR="00E43137" w:rsidRPr="00E43137" w:rsidRDefault="00E43137" w:rsidP="008676F9">
      <w:pPr>
        <w:rPr>
          <w:rFonts w:ascii="Calibri" w:eastAsia="Calibri" w:hAnsi="Calibri"/>
          <w:szCs w:val="22"/>
          <w:lang w:eastAsia="en-US"/>
        </w:rPr>
      </w:pPr>
    </w:p>
    <w:p w:rsidR="00E43137" w:rsidRPr="00E43137" w:rsidRDefault="00E43137" w:rsidP="008676F9">
      <w:pPr>
        <w:autoSpaceDE w:val="0"/>
        <w:autoSpaceDN w:val="0"/>
        <w:adjustRightInd w:val="0"/>
        <w:rPr>
          <w:rFonts w:ascii="Calibri" w:eastAsia="Calibri" w:hAnsi="Calibri"/>
          <w:szCs w:val="22"/>
          <w:u w:val="single"/>
          <w:lang w:eastAsia="en-US"/>
        </w:rPr>
      </w:pPr>
      <w:r w:rsidRPr="00E43137">
        <w:rPr>
          <w:rFonts w:ascii="Calibri" w:eastAsia="Calibri" w:hAnsi="Calibri"/>
          <w:szCs w:val="22"/>
          <w:u w:val="single"/>
          <w:lang w:eastAsia="en-US"/>
        </w:rPr>
        <w:t xml:space="preserve">Kombinácia a zdôvodnenie opatrení </w:t>
      </w:r>
    </w:p>
    <w:p w:rsidR="00E74A4E" w:rsidRPr="008676F9" w:rsidRDefault="00E74A4E" w:rsidP="00B3442A">
      <w:pPr>
        <w:spacing w:before="120" w:after="120"/>
        <w:rPr>
          <w:rFonts w:ascii="Calibri" w:eastAsia="Calibri" w:hAnsi="Calibri" w:cs="Calibri"/>
          <w:b/>
          <w:bCs/>
          <w:i/>
        </w:rPr>
      </w:pPr>
      <w:r w:rsidRPr="00D82AFA">
        <w:t xml:space="preserve">Pre rozvoj vidieckej zamestnanosti je rozhodujúci počet a stabilita podnikateľských subjektov, ktoré sa tu nachádzajú. Podpora diverzifikácie poľnohospodárskych subjektov </w:t>
      </w:r>
      <w:r>
        <w:t xml:space="preserve">v rámci </w:t>
      </w:r>
      <w:r w:rsidRPr="00467BC9">
        <w:rPr>
          <w:b/>
        </w:rPr>
        <w:t xml:space="preserve">podopatrenia </w:t>
      </w:r>
      <w:r>
        <w:rPr>
          <w:b/>
        </w:rPr>
        <w:t>6.4</w:t>
      </w:r>
      <w:r w:rsidRPr="00467BC9">
        <w:rPr>
          <w:b/>
        </w:rPr>
        <w:t xml:space="preserve"> (čl.19b)</w:t>
      </w:r>
      <w:r>
        <w:t xml:space="preserve"> </w:t>
      </w:r>
      <w:r w:rsidRPr="00D82AFA">
        <w:t>(vrátane subjektov lesného hospodárstva</w:t>
      </w:r>
      <w:r w:rsidR="006A183D">
        <w:t xml:space="preserve"> a akvakultúry</w:t>
      </w:r>
      <w:r w:rsidRPr="00D82AFA">
        <w:t>) do oblastí mimo poľnohospodárstva umožní ich stabilizáciu a investície do budovania a rozvoja nových nepoľnohospodárskych podnikov prispejú k zvyšovaniu počtu podnikateľských subjektov, čo povedie k rastu zamestnanosti. Diverzifikácia vidieckej ekonomiky bude sústredená do oblastí zameraných na využívanie potenciálu pre rozvoj cestovného ruchu</w:t>
      </w:r>
      <w:r>
        <w:t xml:space="preserve"> a agroturistiku (rekreačné a relaxačné činnosti)</w:t>
      </w:r>
      <w:r w:rsidRPr="00D82AFA">
        <w:t>, zabezpečovania služieb</w:t>
      </w:r>
      <w:r>
        <w:t xml:space="preserve"> pre cieľovú skupinu deti, seniori a občania so zníženou schopnosťou pohybu (hipoterapia, animoterapia, lesná pedagogika a pod.) spracovanie a uvádzanie na trh produktov mimo poľnohospodárstva a potravinárstva vrátane doplnkovej výroby </w:t>
      </w:r>
      <w:r w:rsidR="00C52ADA">
        <w:t xml:space="preserve">a služieb </w:t>
      </w:r>
      <w:r>
        <w:t>nepoľnohospodárskeho</w:t>
      </w:r>
      <w:r w:rsidR="006A183D">
        <w:t>, neakvakultúrneho</w:t>
      </w:r>
      <w:r>
        <w:t xml:space="preserve"> a nelesného charakteru. </w:t>
      </w:r>
      <w:r w:rsidRPr="00D82AFA">
        <w:t xml:space="preserve">Podpora bude smerovaná nielen do súčasných poľnohospodárskych podnikov ale tiež do </w:t>
      </w:r>
      <w:r w:rsidR="006A183D">
        <w:t xml:space="preserve">mikro a </w:t>
      </w:r>
      <w:r w:rsidRPr="00D82AFA">
        <w:t xml:space="preserve">malých nepoľnohospodárskych podnikov.  </w:t>
      </w:r>
      <w:r>
        <w:t>Synergicky budú dopĺňať vyššie uvedené podopatrenie projekty spolupráce financované z </w:t>
      </w:r>
      <w:r w:rsidRPr="007B3EAE">
        <w:rPr>
          <w:b/>
        </w:rPr>
        <w:t>opatrenia 16 (čl.35)</w:t>
      </w:r>
      <w:r>
        <w:t xml:space="preserve">, ktoré budú zamerané na tvorbu pracovných miest prostredníctvom rozvoja spolupráce medzi strediskami prevádzkovateľov v organizovaní spoločných pracovných procesov pri spoločnom využívaní zariadení a prostriedkov pre rozvoj/marketing cestovného ruchu. Podpora rozvoja nepoľnohospodárskych aktivít vo vidieckych oblastiach bude doplnkovo podporená transferom informácií a znalostí v rámci </w:t>
      </w:r>
      <w:r w:rsidRPr="007B3EAE">
        <w:rPr>
          <w:b/>
        </w:rPr>
        <w:t>opatrenia 1 (čl.14)</w:t>
      </w:r>
      <w:r>
        <w:t xml:space="preserve"> potenciálnym prijímateľom podpory pre opatrenia 6 a 16. </w:t>
      </w:r>
    </w:p>
    <w:p w:rsidR="00E74A4E" w:rsidRDefault="00E74A4E" w:rsidP="00E74A4E">
      <w:pPr>
        <w:rPr>
          <w:rFonts w:ascii="Calibri" w:eastAsia="Calibri" w:hAnsi="Calibri"/>
        </w:rPr>
      </w:pPr>
      <w:r w:rsidRPr="00E43137">
        <w:rPr>
          <w:rFonts w:ascii="Calibri" w:eastAsia="Calibri" w:hAnsi="Calibri"/>
        </w:rPr>
        <w:t xml:space="preserve">Podpora vytvárania nových pracovných miest vrátane rozvoja vlastnej podnikateľskej činnosti bude realizovaná s dôrazom na sociálne ohrozené skupiny obyvateľstva (dlhodobo nezamestnaní, osoby s nižším vzdelaním, vyšším vekom)  vrátane dôrazu na zamestnanosť žien. </w:t>
      </w:r>
    </w:p>
    <w:p w:rsidR="00E43137" w:rsidRDefault="00E43137" w:rsidP="008676F9">
      <w:pPr>
        <w:rPr>
          <w:rFonts w:ascii="Calibri" w:eastAsia="Calibri" w:hAnsi="Calibri"/>
          <w:b/>
          <w:szCs w:val="22"/>
          <w:lang w:eastAsia="en-US"/>
        </w:rPr>
      </w:pPr>
    </w:p>
    <w:p w:rsidR="00086915" w:rsidRPr="00E43137" w:rsidRDefault="00086915" w:rsidP="008676F9">
      <w:pPr>
        <w:rPr>
          <w:rFonts w:ascii="Calibri" w:eastAsia="Calibri" w:hAnsi="Calibri"/>
          <w:b/>
          <w:szCs w:val="22"/>
          <w:lang w:eastAsia="en-US"/>
        </w:rPr>
      </w:pPr>
    </w:p>
    <w:p w:rsidR="00E43137" w:rsidRPr="00AA30CA" w:rsidRDefault="00086915" w:rsidP="00AA30CA">
      <w:pPr>
        <w:rPr>
          <w:rFonts w:eastAsia="Calibri"/>
          <w:b/>
        </w:rPr>
      </w:pPr>
      <w:r w:rsidRPr="00AA30CA">
        <w:rPr>
          <w:rFonts w:eastAsia="Calibri"/>
          <w:b/>
        </w:rPr>
        <w:t xml:space="preserve">5.2.6.2 </w:t>
      </w:r>
      <w:r w:rsidR="00E43137" w:rsidRPr="00AA30CA">
        <w:rPr>
          <w:rFonts w:eastAsia="Calibri"/>
          <w:b/>
        </w:rPr>
        <w:t>Fokusová oblasť 6B: Podpora miestneho rozvoja vo vidieckych oblastiach</w:t>
      </w:r>
    </w:p>
    <w:p w:rsidR="00086915" w:rsidRDefault="00086915" w:rsidP="008676F9">
      <w:pPr>
        <w:autoSpaceDE w:val="0"/>
        <w:autoSpaceDN w:val="0"/>
        <w:adjustRightInd w:val="0"/>
        <w:rPr>
          <w:rFonts w:ascii="Calibri" w:eastAsia="Calibri" w:hAnsi="Calibri"/>
          <w:szCs w:val="22"/>
          <w:u w:val="single"/>
          <w:lang w:eastAsia="en-US"/>
        </w:rPr>
      </w:pPr>
    </w:p>
    <w:p w:rsidR="00E43137" w:rsidRPr="00E43137" w:rsidRDefault="00E43137" w:rsidP="008676F9">
      <w:pPr>
        <w:autoSpaceDE w:val="0"/>
        <w:autoSpaceDN w:val="0"/>
        <w:adjustRightInd w:val="0"/>
        <w:rPr>
          <w:rFonts w:ascii="Calibri" w:eastAsia="Calibri" w:hAnsi="Calibri"/>
          <w:szCs w:val="22"/>
          <w:u w:val="single"/>
          <w:lang w:eastAsia="en-US"/>
        </w:rPr>
      </w:pPr>
      <w:r w:rsidRPr="00E43137">
        <w:rPr>
          <w:rFonts w:ascii="Calibri" w:eastAsia="Calibri" w:hAnsi="Calibri"/>
          <w:szCs w:val="22"/>
          <w:u w:val="single"/>
          <w:lang w:eastAsia="en-US"/>
        </w:rPr>
        <w:t>Vybrané opatrenia</w:t>
      </w:r>
    </w:p>
    <w:tbl>
      <w:tblPr>
        <w:tblpPr w:leftFromText="141" w:rightFromText="141" w:vertAnchor="text" w:horzAnchor="margin" w:tblpX="108" w:tblpY="80"/>
        <w:tblW w:w="90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72"/>
      </w:tblGrid>
      <w:tr w:rsidR="00E43137" w:rsidRPr="00E43137" w:rsidTr="00E43137">
        <w:tc>
          <w:tcPr>
            <w:tcW w:w="9072" w:type="dxa"/>
            <w:shd w:val="clear" w:color="auto" w:fill="auto"/>
            <w:vAlign w:val="center"/>
          </w:tcPr>
          <w:p w:rsidR="00E43137" w:rsidRPr="00E43137" w:rsidRDefault="00E43137" w:rsidP="00BA3A29">
            <w:pPr>
              <w:spacing w:after="60" w:line="276" w:lineRule="auto"/>
              <w:rPr>
                <w:rFonts w:ascii="Calibri" w:eastAsia="Calibri" w:hAnsi="Calibri"/>
                <w:bCs/>
                <w:sz w:val="20"/>
                <w:szCs w:val="20"/>
                <w:lang w:eastAsia="en-US"/>
              </w:rPr>
            </w:pPr>
            <w:r w:rsidRPr="00E43137">
              <w:rPr>
                <w:rFonts w:ascii="Calibri" w:eastAsia="Calibri" w:hAnsi="Calibri"/>
                <w:bCs/>
                <w:sz w:val="20"/>
                <w:szCs w:val="20"/>
                <w:lang w:eastAsia="en-US"/>
              </w:rPr>
              <w:t xml:space="preserve">Opatrenie </w:t>
            </w:r>
            <w:r w:rsidR="00BA3A29">
              <w:rPr>
                <w:rFonts w:ascii="Calibri" w:eastAsia="Calibri" w:hAnsi="Calibri"/>
                <w:bCs/>
                <w:sz w:val="20"/>
                <w:szCs w:val="20"/>
                <w:lang w:eastAsia="en-US"/>
              </w:rPr>
              <w:t>7</w:t>
            </w:r>
            <w:r w:rsidRPr="00E43137">
              <w:rPr>
                <w:rFonts w:ascii="Calibri" w:eastAsia="Calibri" w:hAnsi="Calibri"/>
                <w:bCs/>
                <w:sz w:val="20"/>
                <w:szCs w:val="20"/>
                <w:lang w:eastAsia="en-US"/>
              </w:rPr>
              <w:t>: Základné služby a obnova dedín vo vidieckych oblastiach (čl.20)</w:t>
            </w:r>
          </w:p>
        </w:tc>
      </w:tr>
      <w:tr w:rsidR="00E43137" w:rsidRPr="00E43137" w:rsidTr="00E43137">
        <w:tc>
          <w:tcPr>
            <w:tcW w:w="9072" w:type="dxa"/>
            <w:shd w:val="clear" w:color="auto" w:fill="auto"/>
            <w:vAlign w:val="center"/>
          </w:tcPr>
          <w:p w:rsidR="00E43137" w:rsidRPr="00E43137" w:rsidRDefault="00E43137" w:rsidP="008676F9">
            <w:pPr>
              <w:spacing w:after="60" w:line="276" w:lineRule="auto"/>
              <w:rPr>
                <w:rFonts w:ascii="Calibri" w:eastAsia="Calibri" w:hAnsi="Calibri"/>
                <w:sz w:val="20"/>
                <w:szCs w:val="20"/>
                <w:lang w:eastAsia="en-US"/>
              </w:rPr>
            </w:pPr>
            <w:r w:rsidRPr="00E43137">
              <w:rPr>
                <w:rFonts w:ascii="Calibri" w:eastAsia="Calibri" w:hAnsi="Calibri"/>
                <w:bCs/>
                <w:sz w:val="20"/>
                <w:szCs w:val="20"/>
                <w:lang w:eastAsia="en-US"/>
              </w:rPr>
              <w:t xml:space="preserve">Opatrenie 19:  LEADER </w:t>
            </w:r>
            <w:r w:rsidRPr="00E43137">
              <w:rPr>
                <w:rFonts w:ascii="Calibri" w:eastAsia="Calibri" w:hAnsi="Calibri"/>
                <w:sz w:val="20"/>
                <w:szCs w:val="20"/>
                <w:lang w:eastAsia="en-US"/>
              </w:rPr>
              <w:t xml:space="preserve">                                            </w:t>
            </w:r>
          </w:p>
        </w:tc>
      </w:tr>
    </w:tbl>
    <w:p w:rsidR="00E43137" w:rsidRPr="00E43137" w:rsidRDefault="00E43137" w:rsidP="008676F9">
      <w:pPr>
        <w:rPr>
          <w:rFonts w:ascii="Calibri" w:eastAsia="Calibri" w:hAnsi="Calibri"/>
          <w:b/>
          <w:szCs w:val="22"/>
          <w:lang w:eastAsia="en-US"/>
        </w:rPr>
      </w:pPr>
    </w:p>
    <w:p w:rsidR="00E43137" w:rsidRPr="00E43137" w:rsidRDefault="00E43137" w:rsidP="008676F9">
      <w:pPr>
        <w:autoSpaceDE w:val="0"/>
        <w:autoSpaceDN w:val="0"/>
        <w:adjustRightInd w:val="0"/>
        <w:rPr>
          <w:rFonts w:ascii="Calibri" w:eastAsia="Calibri" w:hAnsi="Calibri"/>
          <w:szCs w:val="22"/>
          <w:u w:val="single"/>
          <w:lang w:eastAsia="en-US"/>
        </w:rPr>
      </w:pPr>
      <w:r w:rsidRPr="00E43137">
        <w:rPr>
          <w:rFonts w:ascii="Calibri" w:eastAsia="Calibri" w:hAnsi="Calibri"/>
          <w:szCs w:val="22"/>
          <w:u w:val="single"/>
          <w:lang w:eastAsia="en-US"/>
        </w:rPr>
        <w:t xml:space="preserve">Kombinácia a zdôvodnenie opatrení </w:t>
      </w:r>
    </w:p>
    <w:p w:rsidR="00E74A4E" w:rsidRPr="00FA3004" w:rsidRDefault="00E74A4E" w:rsidP="00E74A4E">
      <w:pPr>
        <w:spacing w:before="120"/>
      </w:pPr>
      <w:r w:rsidRPr="00D82AFA">
        <w:t xml:space="preserve">Miestny rozvoj zohráva dôležitú úlohu v posilňovaní konkurencieschopnosti regiónov. Využívanie  endogénnych zdrojov riadené miestnou komunitou prinesie efekt v podobe zvýšenia kvality života, nárastu zamestnanosti, dosiahnutia vyššej pridanej hodnoty. </w:t>
      </w:r>
      <w:r w:rsidRPr="008676F9">
        <w:rPr>
          <w:rFonts w:ascii="Calibri" w:eastAsia="Calibri" w:hAnsi="Calibri" w:cs="Calibri"/>
          <w:kern w:val="1"/>
          <w:lang w:eastAsia="ar-SA"/>
        </w:rPr>
        <w:t>Pri integrovanom rozvoji vidieka</w:t>
      </w:r>
      <w:r w:rsidRPr="008676F9">
        <w:rPr>
          <w:rFonts w:ascii="Calibri" w:eastAsia="Calibri" w:hAnsi="Calibri" w:cs="Calibri"/>
          <w:kern w:val="1"/>
          <w:lang w:eastAsia="ar-SA"/>
        </w:rPr>
        <w:lastRenderedPageBreak/>
        <w:t xml:space="preserve"> v programovom období 2014 – 2020 </w:t>
      </w:r>
      <w:r>
        <w:rPr>
          <w:rFonts w:ascii="Calibri" w:eastAsia="Calibri" w:hAnsi="Calibri" w:cs="Calibri"/>
          <w:kern w:val="1"/>
          <w:lang w:eastAsia="ar-SA"/>
        </w:rPr>
        <w:t xml:space="preserve">sa aplikuje </w:t>
      </w:r>
      <w:r w:rsidRPr="008676F9">
        <w:rPr>
          <w:rFonts w:ascii="Calibri" w:eastAsia="Calibri" w:hAnsi="Calibri" w:cs="Calibri"/>
          <w:kern w:val="1"/>
          <w:lang w:eastAsia="ar-SA"/>
        </w:rPr>
        <w:t xml:space="preserve">možnosť využitia finančných prostriedkov z ďalších fondov EÚ tzv. multifinancovanie cez </w:t>
      </w:r>
      <w:r w:rsidRPr="008676F9">
        <w:rPr>
          <w:rFonts w:ascii="Calibri" w:eastAsia="Calibri" w:hAnsi="Calibri" w:cs="Calibri"/>
          <w:bCs/>
          <w:kern w:val="1"/>
          <w:lang w:eastAsia="ar-SA"/>
        </w:rPr>
        <w:t>miestny rozvoj pod vedením komunít (CLLD)</w:t>
      </w:r>
      <w:r w:rsidRPr="008676F9">
        <w:rPr>
          <w:rFonts w:ascii="Calibri" w:eastAsia="Calibri" w:hAnsi="Calibri" w:cs="Calibri"/>
          <w:kern w:val="1"/>
          <w:lang w:eastAsia="ar-SA"/>
        </w:rPr>
        <w:t xml:space="preserve">.  V podmienkach SR budú do tohto integrovaného rozvoja zapojené  nasledovné fondy: EPFVR a ERDF. V SR sa bude implementovať multifondový prístup na úrovni stratégií, </w:t>
      </w:r>
      <w:r w:rsidR="00CC6591" w:rsidRPr="008676F9">
        <w:rPr>
          <w:rFonts w:ascii="Calibri" w:eastAsia="Calibri" w:hAnsi="Calibri" w:cs="Calibri"/>
          <w:kern w:val="1"/>
          <w:lang w:eastAsia="ar-SA"/>
        </w:rPr>
        <w:t>t.z</w:t>
      </w:r>
      <w:r w:rsidRPr="008676F9">
        <w:rPr>
          <w:rFonts w:ascii="Calibri" w:eastAsia="Calibri" w:hAnsi="Calibri" w:cs="Calibri"/>
          <w:kern w:val="1"/>
          <w:lang w:eastAsia="ar-SA"/>
        </w:rPr>
        <w:t>. MAS pripraví stratégiu, ktorú bude financovať z obidvoch fondov.</w:t>
      </w:r>
    </w:p>
    <w:p w:rsidR="00E74A4E" w:rsidRPr="00FA3004" w:rsidRDefault="00E74A4E" w:rsidP="00E74A4E">
      <w:pPr>
        <w:spacing w:before="120" w:after="120"/>
      </w:pPr>
      <w:r>
        <w:t xml:space="preserve">Prostredníctvom </w:t>
      </w:r>
      <w:r w:rsidRPr="00B221AE">
        <w:rPr>
          <w:b/>
        </w:rPr>
        <w:t>opatrenia 19 LEADER</w:t>
      </w:r>
      <w:r w:rsidRPr="00D82AFA">
        <w:t xml:space="preserve"> </w:t>
      </w:r>
      <w:r>
        <w:t xml:space="preserve">sa bude podporovať budovanie </w:t>
      </w:r>
      <w:r w:rsidRPr="00D82AFA">
        <w:t>verejno-súkromných partnerstiev vrátane ich vnútorných štruktúr, ktoré budú „akcelerátorom“ miestneho rozvoja prostredníctvom realizácie miestnych rozvojových stratégií</w:t>
      </w:r>
      <w:r>
        <w:t xml:space="preserve">. </w:t>
      </w:r>
      <w:r w:rsidRPr="008676F9">
        <w:rPr>
          <w:rFonts w:ascii="Calibri" w:eastAsia="SimSun" w:hAnsi="Calibri" w:cs="Calibri"/>
          <w:bCs/>
          <w:kern w:val="1"/>
          <w:lang w:eastAsia="ar-SA"/>
        </w:rPr>
        <w:t xml:space="preserve">Stratégie miestneho rozvoja </w:t>
      </w:r>
      <w:r>
        <w:rPr>
          <w:rFonts w:ascii="Calibri" w:eastAsia="SimSun" w:hAnsi="Calibri" w:cs="Calibri"/>
          <w:bCs/>
          <w:kern w:val="1"/>
          <w:lang w:eastAsia="ar-SA"/>
        </w:rPr>
        <w:t xml:space="preserve">budú </w:t>
      </w:r>
      <w:r w:rsidRPr="008676F9">
        <w:rPr>
          <w:rFonts w:ascii="Calibri" w:eastAsia="SimSun" w:hAnsi="Calibri" w:cs="Calibri"/>
          <w:bCs/>
          <w:kern w:val="1"/>
          <w:lang w:eastAsia="ar-SA"/>
        </w:rPr>
        <w:t xml:space="preserve">programované na úrovni  jednej alebo viacerých </w:t>
      </w:r>
      <w:r>
        <w:rPr>
          <w:rFonts w:ascii="Calibri" w:eastAsia="SimSun" w:hAnsi="Calibri" w:cs="Calibri"/>
          <w:bCs/>
          <w:kern w:val="1"/>
          <w:lang w:eastAsia="ar-SA"/>
        </w:rPr>
        <w:t xml:space="preserve">fokusových </w:t>
      </w:r>
      <w:r w:rsidRPr="008676F9">
        <w:rPr>
          <w:rFonts w:ascii="Calibri" w:eastAsia="SimSun" w:hAnsi="Calibri" w:cs="Calibri"/>
          <w:bCs/>
          <w:kern w:val="1"/>
          <w:lang w:eastAsia="ar-SA"/>
        </w:rPr>
        <w:t>oblastí:</w:t>
      </w:r>
      <w:r>
        <w:rPr>
          <w:rFonts w:ascii="Calibri" w:eastAsia="SimSun" w:hAnsi="Calibri" w:cs="Calibri"/>
          <w:bCs/>
          <w:kern w:val="1"/>
          <w:lang w:eastAsia="ar-SA"/>
        </w:rPr>
        <w:t xml:space="preserve"> 2A, 2B, 2C, 3A, 4B, 5C.</w:t>
      </w:r>
      <w:r>
        <w:t xml:space="preserve"> Tým sa</w:t>
      </w:r>
      <w:r w:rsidRPr="00D82AFA">
        <w:t xml:space="preserve"> prispeje k vyváženému a udržateľnému rozvoju regiónov na základe riešenia vlastných vnútorných potrieb územia. </w:t>
      </w:r>
    </w:p>
    <w:p w:rsidR="00086915" w:rsidRPr="00E43137" w:rsidRDefault="00E74A4E" w:rsidP="00E74A4E">
      <w:pPr>
        <w:rPr>
          <w:rFonts w:ascii="Calibri" w:eastAsia="Calibri" w:hAnsi="Calibri"/>
          <w:szCs w:val="22"/>
          <w:lang w:eastAsia="en-US"/>
        </w:rPr>
      </w:pPr>
      <w:r w:rsidRPr="008676F9">
        <w:rPr>
          <w:rFonts w:ascii="Calibri" w:eastAsia="Calibri" w:hAnsi="Calibri" w:cs="Calibri"/>
        </w:rPr>
        <w:t xml:space="preserve">Kvalita života úzko súvisí s miestnym ekonomickým rozvojom, ako aj zastavenie odlivu obyvateľstva z vidieka. </w:t>
      </w:r>
      <w:r>
        <w:t>Pre z</w:t>
      </w:r>
      <w:r w:rsidRPr="00D82AFA">
        <w:t xml:space="preserve">vyšovanie kvality života na vidieku </w:t>
      </w:r>
      <w:r>
        <w:t xml:space="preserve">je potrebné rozvíjať infraštruktúru a dostupnosť miestnych služieb pre obyvateľstvo. Tieto potreby budú realizované prostredníctvom </w:t>
      </w:r>
      <w:r w:rsidRPr="00305018">
        <w:rPr>
          <w:b/>
        </w:rPr>
        <w:t>opatrenia 7 (čl.20)</w:t>
      </w:r>
      <w:r>
        <w:t xml:space="preserve">, v rámci ktorého bude investične podporený i.) rozvoj </w:t>
      </w:r>
      <w:r w:rsidRPr="002918C3">
        <w:t>všetkých typov malej infraštruktúry vrátane investícií</w:t>
      </w:r>
      <w:r>
        <w:t xml:space="preserve"> do OZE a znižovania spotreby energií, ii.) rozvoj miestnych základných </w:t>
      </w:r>
      <w:r w:rsidRPr="00305018">
        <w:t>služieb pre vidiecke obyvateľstvo vrátane služieb v oblasti voľného času a kultúry a do súvisiacej infraštruktúry</w:t>
      </w:r>
      <w:r>
        <w:t xml:space="preserve">, iii.) rozvoj </w:t>
      </w:r>
      <w:r w:rsidRPr="00305018">
        <w:t>rekreačnej infraštruktúry, informačnej a drobnej infraštruktúry cestovného ruchu</w:t>
      </w:r>
    </w:p>
    <w:p w:rsidR="00E43137" w:rsidRDefault="00E43137" w:rsidP="00AA30CA">
      <w:pPr>
        <w:rPr>
          <w:rFonts w:eastAsia="Calibri"/>
          <w:b/>
          <w:lang w:eastAsia="en-US"/>
        </w:rPr>
      </w:pPr>
    </w:p>
    <w:p w:rsidR="00B3442A" w:rsidRPr="00AA30CA" w:rsidRDefault="00B3442A" w:rsidP="00AA30CA">
      <w:pPr>
        <w:rPr>
          <w:rFonts w:eastAsia="Calibri"/>
          <w:b/>
          <w:lang w:eastAsia="en-US"/>
        </w:rPr>
      </w:pPr>
    </w:p>
    <w:p w:rsidR="00E43137" w:rsidRPr="00AA30CA" w:rsidRDefault="00086915" w:rsidP="00F53A78">
      <w:pPr>
        <w:ind w:left="2977" w:hanging="2977"/>
        <w:rPr>
          <w:rFonts w:eastAsia="Calibri"/>
          <w:b/>
        </w:rPr>
      </w:pPr>
      <w:r w:rsidRPr="00AA30CA">
        <w:rPr>
          <w:rFonts w:eastAsia="Calibri"/>
          <w:b/>
        </w:rPr>
        <w:t xml:space="preserve">5.2.6.3 </w:t>
      </w:r>
      <w:r w:rsidR="00E43137" w:rsidRPr="00AA30CA">
        <w:rPr>
          <w:rFonts w:eastAsia="Calibri"/>
          <w:b/>
        </w:rPr>
        <w:t>Fokusová oblasť 6C: Rozšírenie prístupnosti, využívania a kvality informačných a komunikačných technológií (IKT) vo vidieckych oblastiach</w:t>
      </w:r>
    </w:p>
    <w:p w:rsidR="00E43137" w:rsidRPr="00E43137" w:rsidRDefault="00E43137" w:rsidP="008676F9">
      <w:pPr>
        <w:autoSpaceDE w:val="0"/>
        <w:autoSpaceDN w:val="0"/>
        <w:adjustRightInd w:val="0"/>
        <w:rPr>
          <w:rFonts w:ascii="Calibri" w:eastAsia="Calibri" w:hAnsi="Calibri"/>
          <w:szCs w:val="22"/>
          <w:u w:val="single"/>
          <w:lang w:eastAsia="en-US"/>
        </w:rPr>
      </w:pPr>
      <w:r w:rsidRPr="00E43137">
        <w:rPr>
          <w:rFonts w:ascii="Calibri" w:eastAsia="Calibri" w:hAnsi="Calibri"/>
          <w:szCs w:val="22"/>
          <w:u w:val="single"/>
          <w:lang w:eastAsia="en-US"/>
        </w:rPr>
        <w:t>Vybrané opatrenia</w:t>
      </w:r>
    </w:p>
    <w:tbl>
      <w:tblPr>
        <w:tblpPr w:leftFromText="141" w:rightFromText="141" w:vertAnchor="text" w:horzAnchor="margin" w:tblpX="108" w:tblpY="80"/>
        <w:tblW w:w="90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39"/>
      </w:tblGrid>
      <w:tr w:rsidR="00E74A4E" w:rsidRPr="00D82AFA" w:rsidTr="00E74A4E">
        <w:tc>
          <w:tcPr>
            <w:tcW w:w="9039" w:type="dxa"/>
            <w:shd w:val="clear" w:color="auto" w:fill="auto"/>
            <w:vAlign w:val="center"/>
          </w:tcPr>
          <w:p w:rsidR="00E74A4E" w:rsidRPr="00D82AFA" w:rsidRDefault="00E74A4E" w:rsidP="00E74A4E">
            <w:pPr>
              <w:spacing w:before="60" w:after="60"/>
              <w:rPr>
                <w:bCs/>
                <w:sz w:val="20"/>
                <w:szCs w:val="20"/>
              </w:rPr>
            </w:pPr>
            <w:r>
              <w:rPr>
                <w:bCs/>
                <w:sz w:val="20"/>
                <w:szCs w:val="20"/>
              </w:rPr>
              <w:t>Opatrenie 7</w:t>
            </w:r>
            <w:r w:rsidRPr="00D82AFA">
              <w:rPr>
                <w:bCs/>
                <w:sz w:val="20"/>
                <w:szCs w:val="20"/>
              </w:rPr>
              <w:t xml:space="preserve">: </w:t>
            </w:r>
            <w:r>
              <w:rPr>
                <w:bCs/>
                <w:sz w:val="20"/>
                <w:szCs w:val="20"/>
              </w:rPr>
              <w:t>Z</w:t>
            </w:r>
            <w:r w:rsidRPr="00D82AFA">
              <w:rPr>
                <w:bCs/>
                <w:sz w:val="20"/>
                <w:szCs w:val="20"/>
              </w:rPr>
              <w:t>ákladné služby a obnova dedín</w:t>
            </w:r>
            <w:r>
              <w:rPr>
                <w:bCs/>
                <w:sz w:val="20"/>
                <w:szCs w:val="20"/>
              </w:rPr>
              <w:t xml:space="preserve"> vo vidieckych oblastiach (čl.20</w:t>
            </w:r>
            <w:r w:rsidRPr="00D82AFA">
              <w:rPr>
                <w:bCs/>
                <w:sz w:val="20"/>
                <w:szCs w:val="20"/>
              </w:rPr>
              <w:t>)</w:t>
            </w:r>
          </w:p>
        </w:tc>
      </w:tr>
      <w:tr w:rsidR="00E74A4E" w:rsidRPr="00D82AFA" w:rsidTr="00E74A4E">
        <w:tc>
          <w:tcPr>
            <w:tcW w:w="9039" w:type="dxa"/>
            <w:shd w:val="clear" w:color="auto" w:fill="auto"/>
            <w:vAlign w:val="center"/>
          </w:tcPr>
          <w:p w:rsidR="00E74A4E" w:rsidRPr="00D82AFA" w:rsidRDefault="00E74A4E" w:rsidP="00E74A4E">
            <w:pPr>
              <w:spacing w:before="60" w:after="60"/>
              <w:rPr>
                <w:bCs/>
                <w:sz w:val="20"/>
                <w:szCs w:val="20"/>
              </w:rPr>
            </w:pPr>
            <w:r w:rsidRPr="00D82AFA">
              <w:rPr>
                <w:sz w:val="20"/>
                <w:szCs w:val="20"/>
              </w:rPr>
              <w:t xml:space="preserve">Opatrenie </w:t>
            </w:r>
            <w:r w:rsidRPr="00D82AFA">
              <w:rPr>
                <w:bCs/>
                <w:sz w:val="20"/>
                <w:szCs w:val="20"/>
              </w:rPr>
              <w:t>1: Pre</w:t>
            </w:r>
            <w:r>
              <w:rPr>
                <w:bCs/>
                <w:sz w:val="20"/>
                <w:szCs w:val="20"/>
              </w:rPr>
              <w:t>nos vedomostí a zručností (čl.14</w:t>
            </w:r>
            <w:r w:rsidRPr="00D82AFA">
              <w:rPr>
                <w:bCs/>
                <w:sz w:val="20"/>
                <w:szCs w:val="20"/>
              </w:rPr>
              <w:t>)</w:t>
            </w:r>
          </w:p>
        </w:tc>
      </w:tr>
    </w:tbl>
    <w:p w:rsidR="00E43137" w:rsidRPr="00E43137" w:rsidRDefault="00E43137" w:rsidP="008676F9">
      <w:pPr>
        <w:autoSpaceDE w:val="0"/>
        <w:autoSpaceDN w:val="0"/>
        <w:adjustRightInd w:val="0"/>
        <w:rPr>
          <w:rFonts w:ascii="Calibri" w:eastAsia="Calibri" w:hAnsi="Calibri"/>
          <w:szCs w:val="22"/>
          <w:u w:val="single"/>
          <w:lang w:eastAsia="en-US"/>
        </w:rPr>
      </w:pPr>
    </w:p>
    <w:p w:rsidR="00E43137" w:rsidRPr="00E43137" w:rsidRDefault="00E43137" w:rsidP="008676F9">
      <w:pPr>
        <w:autoSpaceDE w:val="0"/>
        <w:autoSpaceDN w:val="0"/>
        <w:adjustRightInd w:val="0"/>
        <w:rPr>
          <w:rFonts w:ascii="Calibri" w:eastAsia="Calibri" w:hAnsi="Calibri"/>
          <w:szCs w:val="22"/>
          <w:u w:val="single"/>
          <w:lang w:eastAsia="en-US"/>
        </w:rPr>
      </w:pPr>
      <w:r w:rsidRPr="00E43137">
        <w:rPr>
          <w:rFonts w:ascii="Calibri" w:eastAsia="Calibri" w:hAnsi="Calibri"/>
          <w:szCs w:val="22"/>
          <w:u w:val="single"/>
          <w:lang w:eastAsia="en-US"/>
        </w:rPr>
        <w:t xml:space="preserve">Kombinácia a zdôvodnenie opatrení </w:t>
      </w:r>
    </w:p>
    <w:p w:rsidR="00E74A4E" w:rsidRDefault="00E74A4E" w:rsidP="00E74A4E">
      <w:pPr>
        <w:spacing w:before="120" w:after="120"/>
      </w:pPr>
      <w:r w:rsidRPr="00D82AFA">
        <w:t xml:space="preserve">Zvýšenie dostupnosti informácií prostredníctvom využívania moderných informačno-komunikačných technológií je významných faktorom ďalšieho ekonomického rozvoja vidieckych území. To sa bude realizovať </w:t>
      </w:r>
      <w:r>
        <w:t xml:space="preserve">v rámci </w:t>
      </w:r>
      <w:r w:rsidRPr="00305018">
        <w:rPr>
          <w:b/>
        </w:rPr>
        <w:t>opatrenia 7 (čl.20)</w:t>
      </w:r>
      <w:r>
        <w:t xml:space="preserve"> </w:t>
      </w:r>
      <w:r w:rsidRPr="00D82AFA">
        <w:t xml:space="preserve">prostredníctvom investícií do budovania </w:t>
      </w:r>
      <w:r>
        <w:t>prístupových sietí v jednotlivých obciach (do 500 obyvateľov).</w:t>
      </w:r>
    </w:p>
    <w:p w:rsidR="00E43137" w:rsidRPr="00E43137" w:rsidRDefault="00E74A4E" w:rsidP="00E74A4E">
      <w:pPr>
        <w:rPr>
          <w:rFonts w:ascii="Calibri" w:eastAsia="Calibri" w:hAnsi="Calibri"/>
          <w:szCs w:val="22"/>
          <w:lang w:eastAsia="en-US"/>
        </w:rPr>
      </w:pPr>
      <w:r w:rsidRPr="00D82AFA">
        <w:t xml:space="preserve">Obyvatelia a podnikateľské subjekty musia byť zároveň schopní tieto moderné technológie obsluhovať a naplno využívať. Prostredníctvom vzdelávacích a informačných aktivít </w:t>
      </w:r>
      <w:r>
        <w:t>podporených z </w:t>
      </w:r>
      <w:r w:rsidRPr="00AF3B60">
        <w:rPr>
          <w:b/>
        </w:rPr>
        <w:t>opatrenia 1 (čl.14)</w:t>
      </w:r>
      <w:r>
        <w:t xml:space="preserve"> </w:t>
      </w:r>
      <w:r w:rsidRPr="00D82AFA">
        <w:t xml:space="preserve">sa posilnia kľúčové kompetencie </w:t>
      </w:r>
      <w:r>
        <w:t xml:space="preserve">subjektov pôsobiacich v priestore vidieka, v oblastiach súvisiacich s využívaním IKT zariadení. </w:t>
      </w:r>
      <w:r w:rsidR="00E43137" w:rsidRPr="00E43137">
        <w:rPr>
          <w:rFonts w:ascii="Calibri" w:eastAsia="Calibri" w:hAnsi="Calibri"/>
          <w:szCs w:val="22"/>
          <w:lang w:eastAsia="en-US"/>
        </w:rPr>
        <w:br w:type="page"/>
      </w:r>
    </w:p>
    <w:p w:rsidR="00E43137" w:rsidRPr="00E43137" w:rsidRDefault="00E43137" w:rsidP="00AA30CA">
      <w:pPr>
        <w:pStyle w:val="Pod"/>
        <w:rPr>
          <w:rFonts w:eastAsia="Calibri"/>
          <w:lang w:eastAsia="en-US"/>
        </w:rPr>
      </w:pPr>
      <w:bookmarkStart w:id="58" w:name="_Toc387041304"/>
      <w:r w:rsidRPr="00E43137">
        <w:rPr>
          <w:rFonts w:eastAsia="Calibri"/>
          <w:lang w:eastAsia="en-US"/>
        </w:rPr>
        <w:t>5.3 Stratégia k implementácii prierezových tém</w:t>
      </w:r>
      <w:bookmarkEnd w:id="58"/>
      <w:r w:rsidRPr="00E43137">
        <w:rPr>
          <w:rFonts w:eastAsia="Calibri"/>
          <w:lang w:eastAsia="en-US"/>
        </w:rPr>
        <w:t xml:space="preserve"> </w:t>
      </w:r>
    </w:p>
    <w:p w:rsidR="00E43137" w:rsidRPr="00E43137" w:rsidRDefault="00E43137" w:rsidP="00AA30CA">
      <w:pPr>
        <w:pStyle w:val="Podpod"/>
      </w:pPr>
      <w:bookmarkStart w:id="59" w:name="_Toc384111027"/>
      <w:bookmarkStart w:id="60" w:name="_Toc387041305"/>
      <w:r w:rsidRPr="00E43137">
        <w:t>5.3.1 Inovácie</w:t>
      </w:r>
      <w:bookmarkEnd w:id="59"/>
      <w:bookmarkEnd w:id="60"/>
    </w:p>
    <w:p w:rsidR="00E74A4E" w:rsidRPr="00D82AFA" w:rsidRDefault="00E74A4E" w:rsidP="00E74A4E">
      <w:pPr>
        <w:autoSpaceDE w:val="0"/>
        <w:autoSpaceDN w:val="0"/>
        <w:adjustRightInd w:val="0"/>
        <w:spacing w:before="240"/>
      </w:pPr>
      <w:r w:rsidRPr="00D82AFA">
        <w:t xml:space="preserve">Inovácie sú jednou z podmienok zlepšenia konkurencieschopnosti Európy. V rámci pôdohospodárstva a rozvoja vidieka sa týkajú všetkých priorít Programu rozvoja vidieka. V rámci priority 2 sa bude klásť dôraz najmä na inovácie smerujúce k inovatívnym technológiám </w:t>
      </w:r>
      <w:r>
        <w:t xml:space="preserve">podporených v rámci </w:t>
      </w:r>
      <w:r w:rsidRPr="00D82AFA">
        <w:t xml:space="preserve">a opatreniam zabezpečujúcich efektívnejšie využívanie pôdy. V rámci priority 3 sa inovácie týkajú najmä vývoja trhových noviniek (produktov) v oblasti potravín vrátane inovatívnych systémov zabezpečovania kvality (technológií a postupov). </w:t>
      </w:r>
      <w:r>
        <w:t xml:space="preserve">V rámci oboch priorít budú inovácie podporené najmä prostredníctvom opatrenia 4 (čl.17). </w:t>
      </w:r>
      <w:r w:rsidRPr="00D82AFA">
        <w:t>V oblasti priority 4 a 5 sa predpokladá postupné zavádzanie systémových inovácií v oblasti ochrany ekosystémov a zlepšenia stavu biodiverzity. Technologické a systémové inovácie sa budú aplikovať aj v rámci lesného hospodárstva zamerané okrem efektívneho hospodárenia v lese a zadržiavanie vody v krajine aj na znižovanie dopadov klimatických zmien</w:t>
      </w:r>
      <w:r>
        <w:t xml:space="preserve"> (opatrenie 8 (čl.21))</w:t>
      </w:r>
      <w:r w:rsidRPr="00D82AFA">
        <w:t>. Priorita 6 otvára priestor pre inovácie v rámci integrovaných projektov regionálneho charakteru v oblastiach regionálnych zdravých potravín, efektívneho využívania prírodných zdrojov, malého a stredného podnikania prípadne sociálnych inovácií v rámci aktívneho starnutia</w:t>
      </w:r>
      <w:r>
        <w:t xml:space="preserve"> (opatrenie 16 (čl.35))</w:t>
      </w:r>
      <w:r w:rsidRPr="00D82AFA">
        <w:t xml:space="preserve">. </w:t>
      </w:r>
      <w:r>
        <w:t xml:space="preserve">Prostredníctvom opatrenia 16 </w:t>
      </w:r>
      <w:r w:rsidRPr="00D82AFA">
        <w:t xml:space="preserve">Spolupráca </w:t>
      </w:r>
      <w:r>
        <w:t xml:space="preserve">(čl.35) sa v rámci fokusových oblastí 2A, 3A, 4C, 5C, 6A podporí </w:t>
      </w:r>
      <w:r w:rsidRPr="00D82AFA">
        <w:t>horiz</w:t>
      </w:r>
      <w:r>
        <w:t>ontálne</w:t>
      </w:r>
      <w:r w:rsidRPr="00D82AFA">
        <w:t xml:space="preserve"> (na úrovni podnikov), </w:t>
      </w:r>
      <w:r>
        <w:t>vertikálne</w:t>
      </w:r>
      <w:r w:rsidRPr="00D82AFA">
        <w:t xml:space="preserve"> (prvovýrobca-sprac</w:t>
      </w:r>
      <w:r>
        <w:t>ovateľ-obchod), alebo vedomostné</w:t>
      </w:r>
      <w:r w:rsidRPr="00D82AFA">
        <w:t xml:space="preserve"> (MSP-výskum-poradenstvo) </w:t>
      </w:r>
      <w:r>
        <w:t xml:space="preserve">prepojenie, ktoré </w:t>
      </w:r>
      <w:r w:rsidRPr="00D82AFA">
        <w:t xml:space="preserve">bude vytvárať podmienky na inovatívne myšlienky a ich realizáciu. Cieľom je motivovať viac podnikov k inováciám resp. vytvárať adekvátne predpoklady na dosiahnutie tohto cieľa.  </w:t>
      </w:r>
    </w:p>
    <w:p w:rsidR="00E74A4E" w:rsidRPr="00D82AFA" w:rsidRDefault="00E74A4E" w:rsidP="00E74A4E">
      <w:pPr>
        <w:autoSpaceDE w:val="0"/>
        <w:autoSpaceDN w:val="0"/>
        <w:adjustRightInd w:val="0"/>
      </w:pPr>
    </w:p>
    <w:p w:rsidR="00E74A4E" w:rsidRPr="00D82AFA" w:rsidRDefault="00E74A4E" w:rsidP="00E74A4E">
      <w:pPr>
        <w:autoSpaceDE w:val="0"/>
        <w:autoSpaceDN w:val="0"/>
        <w:adjustRightInd w:val="0"/>
      </w:pPr>
      <w:r w:rsidRPr="00D82AFA">
        <w:t xml:space="preserve">Európske inovačné partnerstvo má slúžiť ako „spojka“ medzi podnikateľskou sférou (farmári, potravinári, lesníci, MSP), vedou, poradenstvom a ostatnými partnermi v regióne a zároveň ako „spojka“ na prepojenie zoskupení s podobnými cieľmi v rámci Európy.  EIP je prostriedkom na otvorenie diskusií medzi podnikateľmi a vedecko-výskumnými kapacitami na jednej strane o ponuke výskumných organizácií pre prax a na druhej strane o reálnych potrebách malých a stredných podnikateľov. </w:t>
      </w:r>
    </w:p>
    <w:p w:rsidR="00E43137" w:rsidRPr="00E43137" w:rsidRDefault="00E43137" w:rsidP="008676F9">
      <w:pPr>
        <w:autoSpaceDE w:val="0"/>
        <w:autoSpaceDN w:val="0"/>
        <w:adjustRightInd w:val="0"/>
        <w:rPr>
          <w:rFonts w:ascii="Calibri" w:eastAsia="Calibri" w:hAnsi="Calibri"/>
          <w:szCs w:val="22"/>
          <w:lang w:eastAsia="en-US"/>
        </w:rPr>
      </w:pPr>
    </w:p>
    <w:p w:rsidR="00E43137" w:rsidRPr="00E43137" w:rsidRDefault="00E43137" w:rsidP="00AA30CA">
      <w:pPr>
        <w:pStyle w:val="Podpod"/>
      </w:pPr>
      <w:bookmarkStart w:id="61" w:name="_Toc384111028"/>
      <w:bookmarkStart w:id="62" w:name="_Toc387041306"/>
      <w:r w:rsidRPr="00E43137">
        <w:t>5.3.2 Životné prostredie</w:t>
      </w:r>
      <w:bookmarkEnd w:id="61"/>
      <w:bookmarkEnd w:id="62"/>
    </w:p>
    <w:p w:rsidR="00E74A4E" w:rsidRDefault="00E74A4E" w:rsidP="00E74A4E">
      <w:pPr>
        <w:autoSpaceDE w:val="0"/>
        <w:autoSpaceDN w:val="0"/>
        <w:adjustRightInd w:val="0"/>
        <w:spacing w:before="120"/>
      </w:pPr>
      <w:r w:rsidRPr="00D82AFA">
        <w:t xml:space="preserve">PRV z pohľadu alokovaných prostriedkov významnou mierou reaguje na definované potreby týkajúce sa </w:t>
      </w:r>
      <w:r>
        <w:t>prierezového cieľa Životné prostredie</w:t>
      </w:r>
      <w:r w:rsidRPr="00D82AFA">
        <w:t xml:space="preserve">. </w:t>
      </w:r>
      <w:r>
        <w:t xml:space="preserve">V rámci I. piliera sa zabezpečí, že prostredníctvom platby na poľnohospodárske postupy prospešné pre klímu a životné prostredie </w:t>
      </w:r>
      <w:r w:rsidRPr="001E1C36">
        <w:t>príjemcovia podpory  budú dodržiavať diverzifikáciu plodín, ochranu TTP ako aj aby minimálna výmera podniku (od r.2015 min. 5</w:t>
      </w:r>
      <w:r w:rsidRPr="001E1C36">
        <w:rPr>
          <w:lang w:val="en-US"/>
        </w:rPr>
        <w:t xml:space="preserve">%, od r. 2018 min. </w:t>
      </w:r>
      <w:r w:rsidRPr="001E1C36">
        <w:t>7</w:t>
      </w:r>
      <w:r w:rsidRPr="001E1C36">
        <w:rPr>
          <w:lang w:val="en-US"/>
        </w:rPr>
        <w:t xml:space="preserve">%) bola </w:t>
      </w:r>
      <w:r w:rsidRPr="001E1C36">
        <w:t>oblasťou</w:t>
      </w:r>
      <w:r w:rsidRPr="001E1C36">
        <w:rPr>
          <w:lang w:val="en-US"/>
        </w:rPr>
        <w:t xml:space="preserve"> </w:t>
      </w:r>
      <w:r w:rsidRPr="001E1C36">
        <w:t xml:space="preserve">ekologického záujmu ornej pôdy. </w:t>
      </w:r>
      <w:r>
        <w:t>V rámci PRV neprojektové opatrenia 10, 11, 12, 15 (čl.28, 29, 30, 34) poskytujú kompenzačné platby poľnohospodárom za plnenie podmienok hospodárenia (PH) nad rámec povinných PH platných pre priame platby, ktoré sú financované z I. piliera. Tým vytvárajú synergiu s I.</w:t>
      </w:r>
      <w:r w:rsidR="00B3442A">
        <w:t xml:space="preserve"> </w:t>
      </w:r>
      <w:r>
        <w:t>pilierom vo vzťahu k plneniu prierezového cieľa životné prostredie.</w:t>
      </w:r>
    </w:p>
    <w:p w:rsidR="00E74A4E" w:rsidRDefault="00E74A4E" w:rsidP="00E74A4E">
      <w:pPr>
        <w:spacing w:before="120"/>
      </w:pPr>
      <w:r>
        <w:t>Prostredníctvom uvedených neprojektových opatrení PRV sa v</w:t>
      </w:r>
      <w:r w:rsidRPr="00D82AFA">
        <w:t xml:space="preserve"> poľnohospodárskom sektore </w:t>
      </w:r>
      <w:r>
        <w:t>posilní</w:t>
      </w:r>
      <w:r w:rsidRPr="00D82AFA">
        <w:t xml:space="preserve"> o</w:t>
      </w:r>
      <w:r>
        <w:t>dolnosť</w:t>
      </w:r>
      <w:r w:rsidRPr="00D82AFA">
        <w:t xml:space="preserve"> poľnohospodárskych ekosystémov udržateľným využívaním prírodných zdrojov, najmä však vody a</w:t>
      </w:r>
      <w:r>
        <w:t> </w:t>
      </w:r>
      <w:r w:rsidRPr="00D82AFA">
        <w:t>pôdy</w:t>
      </w:r>
      <w:r>
        <w:t xml:space="preserve"> (opatrenie Ekologické poľnohospodárstvo – čl.29)</w:t>
      </w:r>
      <w:r w:rsidRPr="00D82AFA">
        <w:t>. Poľnohospodárstvo môže napríklad napomáhať pri ochrane biodiverzity,</w:t>
      </w:r>
      <w:r>
        <w:t xml:space="preserve"> </w:t>
      </w:r>
      <w:r w:rsidRPr="00D82AFA">
        <w:t xml:space="preserve"> a zároveň pri udržiavaní a obnove multifunkčnej krajiny.</w:t>
      </w:r>
      <w:r>
        <w:t xml:space="preserve"> Agroenvironmentálno-klimatické</w:t>
      </w:r>
      <w:r w:rsidRPr="00D82AFA">
        <w:t xml:space="preserve"> </w:t>
      </w:r>
      <w:r>
        <w:t>opatrenie (čl.28), E</w:t>
      </w:r>
      <w:r w:rsidRPr="00D82AFA">
        <w:t>kologické poľnohospodárstvo</w:t>
      </w:r>
      <w:r>
        <w:t xml:space="preserve"> (čl.29), </w:t>
      </w:r>
      <w:r w:rsidRPr="00D82AFA">
        <w:rPr>
          <w:sz w:val="20"/>
          <w:szCs w:val="20"/>
        </w:rPr>
        <w:t>Platby týkajúce sa sústavy Natura 2000 (čl.3</w:t>
      </w:r>
      <w:r>
        <w:rPr>
          <w:sz w:val="20"/>
          <w:szCs w:val="20"/>
        </w:rPr>
        <w:t>0</w:t>
      </w:r>
      <w:r w:rsidRPr="00D82AFA">
        <w:rPr>
          <w:sz w:val="20"/>
          <w:szCs w:val="20"/>
        </w:rPr>
        <w:t>)</w:t>
      </w:r>
      <w:r>
        <w:t xml:space="preserve"> </w:t>
      </w:r>
      <w:r w:rsidRPr="00D82AFA">
        <w:t xml:space="preserve"> sú šetrnými spôsobmi obhospodarovania krajiny, ktoré prispejú k tomuto cieľu. Účinok podpôr sa posilní prostredníctvom cieleného </w:t>
      </w:r>
      <w:r>
        <w:t xml:space="preserve">vzdelávania poľnohospodárov (opatrenie 1, čl.14), </w:t>
      </w:r>
      <w:r w:rsidRPr="00D82AFA">
        <w:t xml:space="preserve">poradenstva </w:t>
      </w:r>
      <w:r>
        <w:t xml:space="preserve">(opatrenie 2, čl.15) </w:t>
      </w:r>
      <w:r w:rsidRPr="00D82AFA">
        <w:t xml:space="preserve">a realizácií projektov spolupráce </w:t>
      </w:r>
      <w:r>
        <w:t xml:space="preserve">(opatrenie 16, čl.35) </w:t>
      </w:r>
      <w:r w:rsidRPr="00D82AFA">
        <w:t xml:space="preserve">so zameraním na environmentálne ciele. K ochrane ŽP sú priamo naviazané aj podporené investície financované z opatrení </w:t>
      </w:r>
      <w:r>
        <w:t>4 (čl.17)</w:t>
      </w:r>
      <w:r w:rsidRPr="00D82AFA">
        <w:t xml:space="preserve">, </w:t>
      </w:r>
      <w:r>
        <w:t>5 (čl.18)</w:t>
      </w:r>
      <w:r w:rsidRPr="00D82AFA">
        <w:t xml:space="preserve"> a</w:t>
      </w:r>
      <w:r>
        <w:t> 8 (čl. 21)</w:t>
      </w:r>
      <w:r w:rsidRPr="00D82AFA">
        <w:t>. Investície významne prispievajú</w:t>
      </w:r>
      <w:r w:rsidRPr="00D82AFA">
        <w:lastRenderedPageBreak/>
        <w:t xml:space="preserve"> k zlepšeniu kvality vody (napr. uskladnenie hnojív), k obnove resp. vylepšeniu ochrannej infraštruktúry na poľnohospodárskej pôde a v lesoch.  </w:t>
      </w:r>
    </w:p>
    <w:p w:rsidR="00E74A4E" w:rsidRPr="00D82AFA" w:rsidRDefault="00E74A4E" w:rsidP="00E74A4E">
      <w:pPr>
        <w:spacing w:before="120"/>
      </w:pPr>
      <w:r w:rsidRPr="00D82AFA">
        <w:t xml:space="preserve">Ako vyplýva zo analýzy </w:t>
      </w:r>
      <w:r>
        <w:t>SWOT</w:t>
      </w:r>
      <w:r w:rsidRPr="00D82AFA">
        <w:t>, opatrenie Platby za znevýhodnené prírodné podmienky, prispieva k</w:t>
      </w:r>
      <w:r>
        <w:t> </w:t>
      </w:r>
      <w:r w:rsidRPr="00D82AFA">
        <w:t>o</w:t>
      </w:r>
      <w:r>
        <w:t xml:space="preserve">bhospodarovaniu </w:t>
      </w:r>
      <w:r w:rsidRPr="00D82AFA">
        <w:t>poľnohospodárskej pôdy v územiach s horšími prírodnými podmienkami,  významne bráni spustnutiu krajiny a prispieva k zachovaniu a zvýšeniu biodiverzity.</w:t>
      </w:r>
      <w:r>
        <w:t xml:space="preserve"> Tým významne prispieva aj k prierezovému Životné prostredie.</w:t>
      </w:r>
    </w:p>
    <w:p w:rsidR="00E74A4E" w:rsidRDefault="00E74A4E" w:rsidP="00E74A4E">
      <w:pPr>
        <w:spacing w:before="120"/>
      </w:pPr>
      <w:r>
        <w:t xml:space="preserve">Vo vzťahu k špecifickým potrebám NATURA 2000, </w:t>
      </w:r>
      <w:r w:rsidRPr="00D52193">
        <w:t xml:space="preserve">MPRV SR vypracovalo analýzu vyhodnotenie možností a výšky podpory oprávneným príjemcom, ktorí sú trvale znevýhodnení  z vykonávania smerníc </w:t>
      </w:r>
      <w:r>
        <w:t>„</w:t>
      </w:r>
      <w:r w:rsidRPr="00D52193">
        <w:t>2009/147/ES</w:t>
      </w:r>
      <w:r w:rsidRPr="00D52193">
        <w:rPr>
          <w:rFonts w:ascii="Calibri" w:hAnsi="Calibri"/>
        </w:rPr>
        <w:t xml:space="preserve"> </w:t>
      </w:r>
      <w:r w:rsidRPr="008676F9">
        <w:rPr>
          <w:rFonts w:ascii="Calibri" w:hAnsi="Calibri"/>
        </w:rPr>
        <w:t>o ochrane voľne žijúceho vtáctva</w:t>
      </w:r>
      <w:r>
        <w:rPr>
          <w:rFonts w:ascii="Calibri" w:hAnsi="Calibri"/>
        </w:rPr>
        <w:t>“</w:t>
      </w:r>
      <w:r w:rsidRPr="008676F9">
        <w:rPr>
          <w:rFonts w:ascii="Calibri" w:hAnsi="Calibri"/>
        </w:rPr>
        <w:t xml:space="preserve">  </w:t>
      </w:r>
      <w:r w:rsidRPr="00D52193">
        <w:t xml:space="preserve">a </w:t>
      </w:r>
      <w:r>
        <w:t>„</w:t>
      </w:r>
      <w:r w:rsidRPr="00D52193">
        <w:t xml:space="preserve">92/43/EHS </w:t>
      </w:r>
      <w:r w:rsidRPr="008676F9">
        <w:rPr>
          <w:rFonts w:ascii="Calibri" w:hAnsi="Calibri"/>
          <w:bCs/>
        </w:rPr>
        <w:t>o ochrane prirodzených biotopov a voľne žijúcich živočíchov a</w:t>
      </w:r>
      <w:r>
        <w:rPr>
          <w:rFonts w:ascii="Calibri" w:hAnsi="Calibri"/>
          <w:bCs/>
        </w:rPr>
        <w:t> </w:t>
      </w:r>
      <w:r w:rsidRPr="008676F9">
        <w:rPr>
          <w:rFonts w:ascii="Calibri" w:hAnsi="Calibri"/>
          <w:bCs/>
        </w:rPr>
        <w:t>rastlín</w:t>
      </w:r>
      <w:r>
        <w:rPr>
          <w:rFonts w:ascii="Calibri" w:hAnsi="Calibri"/>
          <w:bCs/>
        </w:rPr>
        <w:t>“</w:t>
      </w:r>
      <w:r w:rsidRPr="008676F9">
        <w:rPr>
          <w:rFonts w:ascii="Calibri" w:hAnsi="Calibri"/>
        </w:rPr>
        <w:t xml:space="preserve"> </w:t>
      </w:r>
      <w:r w:rsidRPr="00D52193">
        <w:t>v dotknutých oblastiach, pri porovnaní so situáciou poľnohospodárov a lesníkov, ktorých sa takéto znevýhodnenie netýka.</w:t>
      </w:r>
    </w:p>
    <w:p w:rsidR="00E74A4E" w:rsidRPr="00D52193" w:rsidRDefault="00E74A4E" w:rsidP="00E74A4E">
      <w:pPr>
        <w:spacing w:before="120"/>
      </w:pPr>
      <w:r w:rsidRPr="00D52193">
        <w:t xml:space="preserve">Výsledky analýzy sú premietnuté do podpory </w:t>
      </w:r>
      <w:r>
        <w:t xml:space="preserve">poskytnutej z opatrenia 12 „Platby v rámci sústavy NATURA 2000„ </w:t>
      </w:r>
      <w:r w:rsidRPr="00D52193">
        <w:t xml:space="preserve">pre  poľnohospodárov a obhospodarovateľov lesa na prekonanie osobitných znevýhodnení v príslušných oblastiach, ktoré vyplývajú z vykonania smernice  2009/147/ES a smernice 92/43/EHS, aby sa prispelo k účinnému riadeniu lokalít sústavy Natura 2000 s tým, že podpora je spojená len so špecifickými požiadavkami, ktoré presahujú rámec dobrého poľnohospodárskeho a environmentálneho stavu podľa článku 94 a prílohy II k nariadeniu (EÚ) č.1306/2013, príslušných kritérií  a minimálnych činností stanovených podľa článku 4 ods. 1 písm. c) bodov ii) a iii) naradenia (EÚ) č.1307/2013. </w:t>
      </w:r>
    </w:p>
    <w:p w:rsidR="00E74A4E" w:rsidRPr="00D52193" w:rsidRDefault="00E74A4E" w:rsidP="00E74A4E">
      <w:pPr>
        <w:spacing w:before="120"/>
      </w:pPr>
      <w:r w:rsidRPr="00D52193">
        <w:t>Pri výpočte podpory v rámci tohto opatrenia boli zohľadnené postupy na vylúčenie dvojitého financovania podľa článku 43 nariadenia (EÚ) č.1307/2013.</w:t>
      </w:r>
    </w:p>
    <w:p w:rsidR="00E74A4E" w:rsidRPr="00D52193" w:rsidRDefault="00E74A4E" w:rsidP="00E74A4E">
      <w:pPr>
        <w:spacing w:before="120"/>
      </w:pPr>
      <w:r w:rsidRPr="00D52193">
        <w:t>Aj keď je rozloha území NATURA 2000 na poľnohospodárskych a lesných pozemkoch SR značne rozsiahla, z komparatívnej analýzy a podmienok stanovených legislatívou ES vyplýva, že do systematickej (stálej)  podpory prostredníctvom programu rozvoja vidieka môžu byť zaradené len ÚEV na  poľnohospodárskych pôdach nachádzajúcich sa vo 4. a 5. stupni ochrany a  ÚEV na lesných pozemkoch v 5.stupni  územnej ochrany +  5 % rozlohy území mimo plôch ÚEV,  na ktoré sa vzťahuje územná pôsobnosť ochrany 5.stupňa .</w:t>
      </w:r>
    </w:p>
    <w:p w:rsidR="00E74A4E" w:rsidRDefault="00E74A4E" w:rsidP="00E74A4E">
      <w:pPr>
        <w:autoSpaceDE w:val="0"/>
        <w:autoSpaceDN w:val="0"/>
        <w:adjustRightInd w:val="0"/>
        <w:spacing w:before="120"/>
      </w:pPr>
      <w:r w:rsidRPr="00D82AFA">
        <w:t xml:space="preserve">Podpora osobitných metód hospodárenia na územiach Natura 2000 prostredníctvom opatrení Platby týkajúce sa sústavy Natura 2000 na lesnej a poľnohospodárskej pôde prispeje k trvalo udržateľnému rozvoju s cieľom chrániť životné prostredie a krajinu, najmä biodiverzitu a územia s vysokou prírodnou hodnotou. </w:t>
      </w:r>
    </w:p>
    <w:p w:rsidR="00B3442A" w:rsidRDefault="00B3442A">
      <w:pPr>
        <w:jc w:val="left"/>
      </w:pPr>
      <w:r>
        <w:br w:type="page"/>
      </w:r>
    </w:p>
    <w:p w:rsidR="00E43137" w:rsidRPr="00E43137" w:rsidRDefault="00E43137" w:rsidP="00AA30CA">
      <w:pPr>
        <w:pStyle w:val="Podpod"/>
      </w:pPr>
      <w:bookmarkStart w:id="63" w:name="_Toc384111029"/>
      <w:bookmarkStart w:id="64" w:name="_Toc387041307"/>
      <w:r w:rsidRPr="00E43137">
        <w:t>5.3.3 Zmiernenie klimatických zmien a prispôsobovanie sa ich vplyvom</w:t>
      </w:r>
      <w:bookmarkEnd w:id="63"/>
      <w:bookmarkEnd w:id="64"/>
    </w:p>
    <w:p w:rsidR="00E43137" w:rsidRPr="00E43137" w:rsidRDefault="00E43137" w:rsidP="008676F9">
      <w:pPr>
        <w:autoSpaceDE w:val="0"/>
        <w:autoSpaceDN w:val="0"/>
        <w:adjustRightInd w:val="0"/>
        <w:rPr>
          <w:rFonts w:ascii="Calibri" w:eastAsia="Calibri" w:hAnsi="Calibri"/>
          <w:b/>
          <w:szCs w:val="22"/>
          <w:lang w:eastAsia="en-US"/>
        </w:rPr>
      </w:pPr>
      <w:r w:rsidRPr="00E43137">
        <w:rPr>
          <w:rFonts w:ascii="Calibri" w:eastAsia="Calibri" w:hAnsi="Calibri"/>
          <w:b/>
          <w:szCs w:val="22"/>
          <w:lang w:eastAsia="en-US"/>
        </w:rPr>
        <w:t xml:space="preserve"> </w:t>
      </w:r>
    </w:p>
    <w:p w:rsidR="00E43137" w:rsidRPr="00E43137" w:rsidRDefault="005F1407" w:rsidP="008676F9">
      <w:pPr>
        <w:spacing w:after="200" w:line="276" w:lineRule="auto"/>
        <w:rPr>
          <w:rFonts w:ascii="Calibri" w:eastAsia="Calibri" w:hAnsi="Calibri"/>
          <w:szCs w:val="22"/>
          <w:lang w:eastAsia="en-US"/>
        </w:rPr>
      </w:pPr>
      <w:r>
        <w:rPr>
          <w:rFonts w:ascii="Calibri" w:eastAsia="Calibri" w:hAnsi="Calibri"/>
          <w:noProof/>
          <w:szCs w:val="22"/>
        </w:rPr>
        <w:drawing>
          <wp:inline distT="0" distB="0" distL="0" distR="0" wp14:anchorId="09CB5FAC" wp14:editId="5A21FFF5">
            <wp:extent cx="5762625" cy="3343275"/>
            <wp:effectExtent l="0" t="0" r="9525" b="9525"/>
            <wp:docPr id="20" name="Obrázok 16" descr="Projected impacts from climate change in different EU regio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ok 16" descr="Projected impacts from climate change in different EU regions"/>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5762625" cy="3343275"/>
                    </a:xfrm>
                    <a:prstGeom prst="rect">
                      <a:avLst/>
                    </a:prstGeom>
                    <a:noFill/>
                    <a:ln>
                      <a:noFill/>
                    </a:ln>
                  </pic:spPr>
                </pic:pic>
              </a:graphicData>
            </a:graphic>
          </wp:inline>
        </w:drawing>
      </w:r>
    </w:p>
    <w:p w:rsidR="00E43137" w:rsidRDefault="00E43137" w:rsidP="008676F9">
      <w:pPr>
        <w:autoSpaceDE w:val="0"/>
        <w:autoSpaceDN w:val="0"/>
        <w:adjustRightInd w:val="0"/>
        <w:rPr>
          <w:rFonts w:ascii="Calibri" w:eastAsia="Calibri" w:hAnsi="Calibri"/>
          <w:i/>
          <w:iCs/>
          <w:sz w:val="18"/>
          <w:szCs w:val="18"/>
          <w:lang w:eastAsia="en-US"/>
        </w:rPr>
      </w:pPr>
      <w:r w:rsidRPr="003D0842">
        <w:rPr>
          <w:rFonts w:ascii="Calibri" w:eastAsia="Calibri" w:hAnsi="Calibri"/>
          <w:i/>
          <w:iCs/>
          <w:sz w:val="18"/>
          <w:szCs w:val="18"/>
          <w:lang w:eastAsia="en-US"/>
        </w:rPr>
        <w:t>Zdroj: Európska komisia - DG AGRI, EEA, JRC</w:t>
      </w:r>
    </w:p>
    <w:p w:rsidR="00086915" w:rsidRPr="003D0842" w:rsidRDefault="00086915" w:rsidP="008676F9">
      <w:pPr>
        <w:autoSpaceDE w:val="0"/>
        <w:autoSpaceDN w:val="0"/>
        <w:adjustRightInd w:val="0"/>
        <w:rPr>
          <w:rFonts w:ascii="Calibri" w:eastAsia="Calibri" w:hAnsi="Calibri"/>
          <w:sz w:val="18"/>
          <w:szCs w:val="18"/>
          <w:lang w:eastAsia="en-US"/>
        </w:rPr>
      </w:pPr>
    </w:p>
    <w:p w:rsidR="00E74A4E" w:rsidRPr="00D82AFA" w:rsidRDefault="00E74A4E" w:rsidP="00E74A4E">
      <w:pPr>
        <w:spacing w:before="120"/>
      </w:pPr>
      <w:r w:rsidRPr="00D82AFA">
        <w:rPr>
          <w:bCs/>
        </w:rPr>
        <w:t>Zmena klímy</w:t>
      </w:r>
      <w:r w:rsidRPr="00D82AFA">
        <w:t xml:space="preserve"> a naliehavá </w:t>
      </w:r>
      <w:r w:rsidRPr="00D82AFA">
        <w:rPr>
          <w:bCs/>
        </w:rPr>
        <w:t>potreba znižovania emisií skleníkových plynov</w:t>
      </w:r>
      <w:r w:rsidRPr="00D82AFA">
        <w:t xml:space="preserve"> vrátane </w:t>
      </w:r>
      <w:r w:rsidRPr="00D82AFA">
        <w:rPr>
          <w:bCs/>
        </w:rPr>
        <w:t>transformácie ekonomík na nízko-uhlíkové konkurencieschopné hospodárstvo</w:t>
      </w:r>
      <w:r w:rsidRPr="00D82AFA">
        <w:t xml:space="preserve"> členských štátov EÚ ako aj potreba vykonania </w:t>
      </w:r>
      <w:r w:rsidRPr="00D82AFA">
        <w:rPr>
          <w:bCs/>
        </w:rPr>
        <w:t>adaptačných opatrení na nepriaznivé dôsledky zmeny klímy</w:t>
      </w:r>
      <w:r w:rsidRPr="00D82AFA">
        <w:t xml:space="preserve"> patria medzi </w:t>
      </w:r>
      <w:r w:rsidRPr="00D82AFA">
        <w:rPr>
          <w:bCs/>
        </w:rPr>
        <w:t>politické priority SPP</w:t>
      </w:r>
      <w:r w:rsidRPr="00D82AFA">
        <w:t xml:space="preserve">. Ako vyplýva z uvedené obrázku, zmena klímy spôsobuje nárast zrážok počas zimného obdobia (hrozba záplav) a znižovanie počas leta, čo spôsobuje riziko sucha, zvyšovanie pôdnej erózii, predlžovanie vegetačného obdobia a potenciálne zmeny  výmer a druhov pestovaných plodín. Na tieto zmeny nutne reaguje aj samotné PRV. Táto prierezová téma je obsiahnutá v 5 identifikovaných potrebách. Nosnými programovými aktivitami, ktoré prispejú k znižovaniu vplyvov klimatických zmien a prispôsobovaniu sa ich vplyvom budú </w:t>
      </w:r>
      <w:r>
        <w:t xml:space="preserve">i.) v rámci opatrenia 4 (čl.17) </w:t>
      </w:r>
      <w:r w:rsidRPr="00D82AFA">
        <w:t>investície do zlepšenia efektívnosti závlahových systémov,  investície do zlepšenia využitia odpadov v poľnohospodárstve, zlepšenia uskladnenia organických látok, investície do tvorby a využitia OZE, investície do zníženia spotreby energie, investície do spoločných zariadení budovaných na základe projektov pozemkových úprav</w:t>
      </w:r>
      <w:r>
        <w:t xml:space="preserve">, ii.) v rámci opatrenia 5 (čl.18) </w:t>
      </w:r>
      <w:r w:rsidRPr="00D82AFA">
        <w:t xml:space="preserve">investície týkajúce sa zlepšenia hydromelioračnej </w:t>
      </w:r>
      <w:r>
        <w:t>infraštruktúry, ktorá zabezpečí ochranu poľ.</w:t>
      </w:r>
      <w:r w:rsidR="00C32FE9">
        <w:t xml:space="preserve"> </w:t>
      </w:r>
      <w:r>
        <w:t>pôdy pred záplavami ako aj pred suchom zvýšením vodozádržnej schopnosti, iii.) v rámci opatrenia 8 (čl.21) investíciami</w:t>
      </w:r>
      <w:r w:rsidRPr="00D82AFA">
        <w:t xml:space="preserve"> do malých vodných nádrží v</w:t>
      </w:r>
      <w:r>
        <w:t> </w:t>
      </w:r>
      <w:r w:rsidRPr="00D82AFA">
        <w:t>lesoch</w:t>
      </w:r>
      <w:r>
        <w:t xml:space="preserve">. </w:t>
      </w:r>
      <w:r w:rsidRPr="00D82AFA">
        <w:t>Popri podpore vzdelávania a poradenstva a spolupráce bude podpora v rámci projektových podpôr orientovaná hlavne na investovanie do moderných, materiálovo a energeticky úsporných a environmentálne priaznivých technológií</w:t>
      </w:r>
      <w:r>
        <w:t>.</w:t>
      </w:r>
    </w:p>
    <w:p w:rsidR="00E74A4E" w:rsidRDefault="00E74A4E" w:rsidP="00E74A4E">
      <w:pPr>
        <w:autoSpaceDE w:val="0"/>
        <w:autoSpaceDN w:val="0"/>
        <w:adjustRightInd w:val="0"/>
        <w:spacing w:before="120"/>
      </w:pPr>
      <w:r w:rsidRPr="00D82AFA">
        <w:t>Okrem vyššie uvedených podporených opatrení/aktivít, ktoré budú zamerané na znižovanie vplyvov klimatických zmien a prispôsobovaniu sa ich vplyvov, program bude podporovať také spôsoby obhospodarovania, ktoré majú priaznivé vplyvy na klímu (</w:t>
      </w:r>
      <w:r>
        <w:t xml:space="preserve">opatrenie 10 </w:t>
      </w:r>
      <w:r w:rsidRPr="00D82AFA">
        <w:t>agro-environmentálne schémy</w:t>
      </w:r>
      <w:r>
        <w:t xml:space="preserve"> (čl.28)</w:t>
      </w:r>
      <w:r w:rsidRPr="00D82AFA">
        <w:t xml:space="preserve">, </w:t>
      </w:r>
      <w:r>
        <w:t>opatrenie 11 ekologické poľnohospodárstvo (čl.29)</w:t>
      </w:r>
      <w:r w:rsidRPr="00D82AFA">
        <w:t>), ako aj  podporovať budovanie distribučných systémov pre potraviny</w:t>
      </w:r>
      <w:r>
        <w:t xml:space="preserve"> – opatrenie 4 (čl.17)</w:t>
      </w:r>
      <w:r w:rsidRPr="00D82AFA">
        <w:t xml:space="preserve">, ktoré prispejú k znižovaniu prepravy produkcie (využitie miestnej poľnohospodárskej produkcii v potravinovom reťazci, miestne trhy, atď.). </w:t>
      </w:r>
    </w:p>
    <w:p w:rsidR="00E74A4E" w:rsidRPr="00D82AFA" w:rsidRDefault="00E74A4E" w:rsidP="00E74A4E">
      <w:pPr>
        <w:autoSpaceDE w:val="0"/>
        <w:autoSpaceDN w:val="0"/>
        <w:adjustRightInd w:val="0"/>
        <w:spacing w:before="120"/>
      </w:pPr>
    </w:p>
    <w:p w:rsidR="00B3442A" w:rsidRDefault="00E43137" w:rsidP="00AA30CA">
      <w:pPr>
        <w:pStyle w:val="Pod"/>
        <w:rPr>
          <w:rFonts w:eastAsia="Calibri"/>
          <w:lang w:eastAsia="en-US"/>
        </w:rPr>
      </w:pPr>
      <w:bookmarkStart w:id="65" w:name="_Toc387041308"/>
      <w:r w:rsidRPr="00E43137">
        <w:rPr>
          <w:rFonts w:eastAsia="Calibri"/>
          <w:lang w:eastAsia="en-US"/>
        </w:rPr>
        <w:t>5.4 Sumárna tabuľka intervenčnej logiky</w:t>
      </w:r>
      <w:bookmarkEnd w:id="65"/>
      <w:r w:rsidRPr="00E43137">
        <w:rPr>
          <w:rFonts w:eastAsia="Calibri"/>
          <w:lang w:eastAsia="en-US"/>
        </w:rPr>
        <w:t xml:space="preserve">  </w:t>
      </w:r>
    </w:p>
    <w:p w:rsidR="00E43137" w:rsidRPr="00E43137" w:rsidRDefault="00E43137" w:rsidP="00AA30CA">
      <w:pPr>
        <w:pStyle w:val="Pod"/>
        <w:rPr>
          <w:rFonts w:eastAsia="Calibri"/>
          <w:sz w:val="22"/>
          <w:szCs w:val="22"/>
          <w:lang w:eastAsia="en-US"/>
        </w:rPr>
      </w:pPr>
      <w:bookmarkStart w:id="66" w:name="_Toc387041309"/>
      <w:r w:rsidRPr="00E43137">
        <w:rPr>
          <w:rFonts w:eastAsia="Calibri"/>
          <w:sz w:val="22"/>
          <w:szCs w:val="22"/>
          <w:lang w:eastAsia="en-US"/>
        </w:rPr>
        <w:t>(bude vytvorená z SFC2014 – bod 5.2 Stratégii</w:t>
      </w:r>
      <w:r w:rsidRPr="00E43137">
        <w:rPr>
          <w:rFonts w:eastAsia="Calibri"/>
          <w:i/>
          <w:sz w:val="22"/>
          <w:szCs w:val="22"/>
          <w:lang w:eastAsia="en-US"/>
        </w:rPr>
        <w:t xml:space="preserve"> a Plánu ukazovateľov)</w:t>
      </w:r>
      <w:bookmarkEnd w:id="66"/>
    </w:p>
    <w:p w:rsidR="00E43137" w:rsidRPr="00E43137" w:rsidRDefault="00E43137" w:rsidP="008676F9">
      <w:pPr>
        <w:autoSpaceDE w:val="0"/>
        <w:autoSpaceDN w:val="0"/>
        <w:adjustRightInd w:val="0"/>
        <w:rPr>
          <w:rFonts w:ascii="Calibri" w:eastAsia="Calibri" w:hAnsi="Calibri"/>
          <w:sz w:val="20"/>
          <w:szCs w:val="20"/>
          <w:lang w:eastAsia="en-US"/>
        </w:rPr>
      </w:pPr>
    </w:p>
    <w:tbl>
      <w:tblPr>
        <w:tblpPr w:leftFromText="141" w:rightFromText="141" w:vertAnchor="text" w:horzAnchor="margin" w:tblpY="80"/>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85"/>
        <w:gridCol w:w="2410"/>
        <w:gridCol w:w="4252"/>
      </w:tblGrid>
      <w:tr w:rsidR="00E43137" w:rsidRPr="00E43137" w:rsidTr="00E43137">
        <w:tc>
          <w:tcPr>
            <w:tcW w:w="9747" w:type="dxa"/>
            <w:gridSpan w:val="3"/>
            <w:tcBorders>
              <w:bottom w:val="single" w:sz="4" w:space="0" w:color="auto"/>
            </w:tcBorders>
            <w:shd w:val="clear" w:color="auto" w:fill="BFBFBF"/>
            <w:vAlign w:val="center"/>
          </w:tcPr>
          <w:p w:rsidR="00E43137" w:rsidRPr="00E43137" w:rsidRDefault="00E43137" w:rsidP="008676F9">
            <w:pPr>
              <w:spacing w:after="60" w:line="276" w:lineRule="auto"/>
              <w:rPr>
                <w:rFonts w:ascii="Calibri" w:eastAsia="Calibri" w:hAnsi="Calibri"/>
                <w:b/>
                <w:sz w:val="20"/>
                <w:szCs w:val="20"/>
                <w:lang w:eastAsia="en-US"/>
              </w:rPr>
            </w:pPr>
            <w:r w:rsidRPr="00E43137">
              <w:rPr>
                <w:rFonts w:ascii="Calibri" w:eastAsia="Calibri" w:hAnsi="Calibri"/>
                <w:b/>
                <w:sz w:val="20"/>
                <w:szCs w:val="20"/>
                <w:lang w:eastAsia="en-US"/>
              </w:rPr>
              <w:t>Priorita 1</w:t>
            </w:r>
          </w:p>
        </w:tc>
      </w:tr>
      <w:tr w:rsidR="00E43137" w:rsidRPr="00E43137" w:rsidTr="0031577A">
        <w:tc>
          <w:tcPr>
            <w:tcW w:w="3085" w:type="dxa"/>
            <w:shd w:val="clear" w:color="auto" w:fill="F2F2F2"/>
            <w:vAlign w:val="center"/>
          </w:tcPr>
          <w:p w:rsidR="00E43137" w:rsidRPr="00E43137" w:rsidRDefault="00E43137" w:rsidP="008676F9">
            <w:pPr>
              <w:spacing w:after="60" w:line="276" w:lineRule="auto"/>
              <w:rPr>
                <w:rFonts w:ascii="Calibri" w:eastAsia="Calibri" w:hAnsi="Calibri"/>
                <w:b/>
                <w:sz w:val="20"/>
                <w:szCs w:val="20"/>
                <w:lang w:eastAsia="en-US"/>
              </w:rPr>
            </w:pPr>
            <w:r w:rsidRPr="00E43137">
              <w:rPr>
                <w:rFonts w:ascii="Calibri" w:eastAsia="Calibri" w:hAnsi="Calibri"/>
                <w:b/>
                <w:sz w:val="20"/>
                <w:szCs w:val="20"/>
                <w:lang w:eastAsia="en-US"/>
              </w:rPr>
              <w:t>Fokusová oblasť</w:t>
            </w:r>
          </w:p>
        </w:tc>
        <w:tc>
          <w:tcPr>
            <w:tcW w:w="2410" w:type="dxa"/>
            <w:shd w:val="clear" w:color="auto" w:fill="F2F2F2"/>
            <w:vAlign w:val="center"/>
          </w:tcPr>
          <w:p w:rsidR="00E43137" w:rsidRPr="00E43137" w:rsidRDefault="00E43137" w:rsidP="008676F9">
            <w:pPr>
              <w:spacing w:after="60" w:line="276" w:lineRule="auto"/>
              <w:rPr>
                <w:rFonts w:ascii="Calibri" w:eastAsia="Calibri" w:hAnsi="Calibri"/>
                <w:b/>
                <w:sz w:val="20"/>
                <w:szCs w:val="20"/>
                <w:lang w:eastAsia="en-US"/>
              </w:rPr>
            </w:pPr>
            <w:r w:rsidRPr="00E43137">
              <w:rPr>
                <w:rFonts w:ascii="Calibri" w:eastAsia="Calibri" w:hAnsi="Calibri"/>
                <w:b/>
                <w:sz w:val="20"/>
                <w:szCs w:val="20"/>
                <w:lang w:eastAsia="en-US"/>
              </w:rPr>
              <w:t>Kvantifikovaná cieľová hodnota</w:t>
            </w:r>
          </w:p>
        </w:tc>
        <w:tc>
          <w:tcPr>
            <w:tcW w:w="4252" w:type="dxa"/>
            <w:shd w:val="clear" w:color="auto" w:fill="F2F2F2"/>
            <w:vAlign w:val="center"/>
          </w:tcPr>
          <w:p w:rsidR="00E43137" w:rsidRPr="00E43137" w:rsidRDefault="00E43137" w:rsidP="008676F9">
            <w:pPr>
              <w:spacing w:after="60" w:line="276" w:lineRule="auto"/>
              <w:rPr>
                <w:rFonts w:ascii="Calibri" w:eastAsia="Calibri" w:hAnsi="Calibri"/>
                <w:b/>
                <w:sz w:val="20"/>
                <w:szCs w:val="20"/>
                <w:lang w:eastAsia="en-US"/>
              </w:rPr>
            </w:pPr>
            <w:r w:rsidRPr="00E43137">
              <w:rPr>
                <w:rFonts w:ascii="Calibri" w:eastAsia="Calibri" w:hAnsi="Calibri"/>
                <w:b/>
                <w:sz w:val="20"/>
                <w:szCs w:val="20"/>
                <w:lang w:eastAsia="en-US"/>
              </w:rPr>
              <w:t>Kombinácia opatrení</w:t>
            </w:r>
          </w:p>
        </w:tc>
      </w:tr>
      <w:tr w:rsidR="00E43137" w:rsidRPr="00E43137" w:rsidTr="00C32FE9">
        <w:trPr>
          <w:trHeight w:val="359"/>
        </w:trPr>
        <w:tc>
          <w:tcPr>
            <w:tcW w:w="3085" w:type="dxa"/>
            <w:vMerge w:val="restart"/>
            <w:shd w:val="clear" w:color="auto" w:fill="auto"/>
            <w:vAlign w:val="center"/>
          </w:tcPr>
          <w:p w:rsidR="00E43137" w:rsidRPr="00E43137" w:rsidRDefault="00E43137" w:rsidP="00E74A4E">
            <w:pPr>
              <w:spacing w:after="60"/>
              <w:jc w:val="left"/>
              <w:rPr>
                <w:rFonts w:ascii="Calibri" w:eastAsia="Calibri" w:hAnsi="Calibri"/>
                <w:sz w:val="20"/>
                <w:szCs w:val="20"/>
                <w:lang w:eastAsia="en-US"/>
              </w:rPr>
            </w:pPr>
            <w:r w:rsidRPr="00E43137">
              <w:rPr>
                <w:rFonts w:ascii="Calibri" w:eastAsia="Calibri" w:hAnsi="Calibri"/>
                <w:sz w:val="20"/>
                <w:szCs w:val="20"/>
                <w:lang w:eastAsia="en-US"/>
              </w:rPr>
              <w:t>Fokusová oblasť 1A:</w:t>
            </w:r>
          </w:p>
          <w:p w:rsidR="00E43137" w:rsidRPr="00E43137" w:rsidRDefault="00E43137" w:rsidP="00E74A4E">
            <w:pPr>
              <w:spacing w:after="60"/>
              <w:jc w:val="left"/>
              <w:rPr>
                <w:rFonts w:ascii="Calibri" w:eastAsia="Calibri" w:hAnsi="Calibri"/>
                <w:sz w:val="20"/>
                <w:szCs w:val="20"/>
                <w:lang w:eastAsia="en-US"/>
              </w:rPr>
            </w:pPr>
            <w:r w:rsidRPr="00E43137">
              <w:rPr>
                <w:rFonts w:ascii="Calibri" w:eastAsia="Calibri" w:hAnsi="Calibri"/>
                <w:sz w:val="20"/>
                <w:szCs w:val="20"/>
                <w:lang w:eastAsia="en-US"/>
              </w:rPr>
              <w:t>1A Podpora inovácie, spolupráce a rozvoja vedomostnej základne vo vidieckych oblastiach</w:t>
            </w:r>
          </w:p>
        </w:tc>
        <w:tc>
          <w:tcPr>
            <w:tcW w:w="2410" w:type="dxa"/>
            <w:vMerge w:val="restart"/>
            <w:shd w:val="clear" w:color="auto" w:fill="auto"/>
            <w:vAlign w:val="center"/>
          </w:tcPr>
          <w:p w:rsidR="00E43137" w:rsidRPr="00E43137" w:rsidRDefault="00E43137" w:rsidP="00E74A4E">
            <w:pPr>
              <w:spacing w:after="60"/>
              <w:jc w:val="left"/>
              <w:rPr>
                <w:rFonts w:ascii="Calibri" w:eastAsia="Calibri" w:hAnsi="Calibri"/>
                <w:sz w:val="20"/>
                <w:szCs w:val="20"/>
                <w:lang w:eastAsia="en-US"/>
              </w:rPr>
            </w:pPr>
            <w:r w:rsidRPr="00E43137">
              <w:rPr>
                <w:rFonts w:ascii="Calibri" w:eastAsia="Calibri" w:hAnsi="Calibri"/>
                <w:sz w:val="20"/>
                <w:szCs w:val="20"/>
                <w:lang w:eastAsia="en-US"/>
              </w:rPr>
              <w:t>% z celkových verejných výdavkov</w:t>
            </w:r>
          </w:p>
        </w:tc>
        <w:tc>
          <w:tcPr>
            <w:tcW w:w="4252" w:type="dxa"/>
            <w:shd w:val="clear" w:color="auto" w:fill="auto"/>
            <w:vAlign w:val="center"/>
          </w:tcPr>
          <w:p w:rsidR="00E43137" w:rsidRPr="00E43137" w:rsidRDefault="00E43137" w:rsidP="00E74A4E">
            <w:pPr>
              <w:spacing w:after="60"/>
              <w:jc w:val="left"/>
              <w:rPr>
                <w:rFonts w:ascii="Calibri" w:eastAsia="Calibri" w:hAnsi="Calibri"/>
                <w:bCs/>
                <w:sz w:val="20"/>
                <w:szCs w:val="20"/>
                <w:lang w:eastAsia="en-US"/>
              </w:rPr>
            </w:pPr>
            <w:r w:rsidRPr="00E43137">
              <w:rPr>
                <w:rFonts w:ascii="Calibri" w:eastAsia="Calibri" w:hAnsi="Calibri"/>
                <w:sz w:val="20"/>
                <w:szCs w:val="20"/>
                <w:lang w:eastAsia="en-US"/>
              </w:rPr>
              <w:t xml:space="preserve">Opatrenie </w:t>
            </w:r>
            <w:r w:rsidRPr="00E43137">
              <w:rPr>
                <w:rFonts w:ascii="Calibri" w:eastAsia="Calibri" w:hAnsi="Calibri"/>
                <w:bCs/>
                <w:sz w:val="20"/>
                <w:szCs w:val="20"/>
                <w:lang w:eastAsia="en-US"/>
              </w:rPr>
              <w:t>1: Prenos vedomostí a zručností (čl.14)</w:t>
            </w:r>
          </w:p>
        </w:tc>
      </w:tr>
      <w:tr w:rsidR="00E43137" w:rsidRPr="00E43137" w:rsidTr="00C32FE9">
        <w:trPr>
          <w:trHeight w:val="359"/>
        </w:trPr>
        <w:tc>
          <w:tcPr>
            <w:tcW w:w="3085" w:type="dxa"/>
            <w:vMerge/>
            <w:shd w:val="clear" w:color="auto" w:fill="auto"/>
            <w:vAlign w:val="center"/>
          </w:tcPr>
          <w:p w:rsidR="00E43137" w:rsidRPr="00E43137" w:rsidRDefault="00E43137" w:rsidP="00E74A4E">
            <w:pPr>
              <w:spacing w:after="60"/>
              <w:jc w:val="left"/>
              <w:rPr>
                <w:rFonts w:ascii="Calibri" w:eastAsia="Calibri" w:hAnsi="Calibri"/>
                <w:sz w:val="20"/>
                <w:szCs w:val="20"/>
                <w:lang w:eastAsia="en-US"/>
              </w:rPr>
            </w:pPr>
          </w:p>
        </w:tc>
        <w:tc>
          <w:tcPr>
            <w:tcW w:w="2410" w:type="dxa"/>
            <w:vMerge/>
            <w:shd w:val="clear" w:color="auto" w:fill="auto"/>
            <w:vAlign w:val="center"/>
          </w:tcPr>
          <w:p w:rsidR="00E43137" w:rsidRPr="00E43137" w:rsidRDefault="00E43137" w:rsidP="00E74A4E">
            <w:pPr>
              <w:spacing w:after="60"/>
              <w:jc w:val="left"/>
              <w:rPr>
                <w:rFonts w:ascii="Calibri" w:eastAsia="Calibri" w:hAnsi="Calibri"/>
                <w:sz w:val="20"/>
                <w:szCs w:val="20"/>
                <w:lang w:eastAsia="en-US"/>
              </w:rPr>
            </w:pPr>
          </w:p>
        </w:tc>
        <w:tc>
          <w:tcPr>
            <w:tcW w:w="4252" w:type="dxa"/>
            <w:shd w:val="clear" w:color="auto" w:fill="auto"/>
            <w:vAlign w:val="center"/>
          </w:tcPr>
          <w:p w:rsidR="00E43137" w:rsidRPr="00E43137" w:rsidRDefault="00E43137" w:rsidP="00E74A4E">
            <w:pPr>
              <w:spacing w:after="60"/>
              <w:jc w:val="left"/>
              <w:rPr>
                <w:rFonts w:ascii="Calibri" w:eastAsia="Calibri" w:hAnsi="Calibri"/>
                <w:sz w:val="20"/>
                <w:szCs w:val="20"/>
                <w:lang w:eastAsia="en-US"/>
              </w:rPr>
            </w:pPr>
            <w:r w:rsidRPr="00E43137">
              <w:rPr>
                <w:rFonts w:ascii="Calibri" w:eastAsia="Calibri" w:hAnsi="Calibri"/>
                <w:sz w:val="20"/>
                <w:szCs w:val="20"/>
                <w:lang w:eastAsia="en-US"/>
              </w:rPr>
              <w:t xml:space="preserve">Opatrenie 2:  Poradenské služby  (čl.15)                                                      </w:t>
            </w:r>
          </w:p>
        </w:tc>
      </w:tr>
      <w:tr w:rsidR="00E43137" w:rsidRPr="00E43137" w:rsidTr="00C32FE9">
        <w:trPr>
          <w:trHeight w:val="359"/>
        </w:trPr>
        <w:tc>
          <w:tcPr>
            <w:tcW w:w="3085" w:type="dxa"/>
            <w:vMerge/>
            <w:shd w:val="clear" w:color="auto" w:fill="auto"/>
            <w:vAlign w:val="center"/>
          </w:tcPr>
          <w:p w:rsidR="00E43137" w:rsidRPr="00E43137" w:rsidRDefault="00E43137" w:rsidP="00E74A4E">
            <w:pPr>
              <w:spacing w:after="60"/>
              <w:jc w:val="left"/>
              <w:rPr>
                <w:rFonts w:ascii="Calibri" w:eastAsia="Calibri" w:hAnsi="Calibri"/>
                <w:sz w:val="20"/>
                <w:szCs w:val="20"/>
                <w:lang w:eastAsia="en-US"/>
              </w:rPr>
            </w:pPr>
          </w:p>
        </w:tc>
        <w:tc>
          <w:tcPr>
            <w:tcW w:w="2410" w:type="dxa"/>
            <w:vMerge/>
            <w:shd w:val="clear" w:color="auto" w:fill="auto"/>
            <w:vAlign w:val="center"/>
          </w:tcPr>
          <w:p w:rsidR="00E43137" w:rsidRPr="00E43137" w:rsidRDefault="00E43137" w:rsidP="00E74A4E">
            <w:pPr>
              <w:spacing w:after="60"/>
              <w:jc w:val="left"/>
              <w:rPr>
                <w:rFonts w:ascii="Calibri" w:eastAsia="Calibri" w:hAnsi="Calibri"/>
                <w:sz w:val="20"/>
                <w:szCs w:val="20"/>
                <w:lang w:eastAsia="en-US"/>
              </w:rPr>
            </w:pPr>
          </w:p>
        </w:tc>
        <w:tc>
          <w:tcPr>
            <w:tcW w:w="4252" w:type="dxa"/>
            <w:shd w:val="clear" w:color="auto" w:fill="auto"/>
            <w:vAlign w:val="center"/>
          </w:tcPr>
          <w:p w:rsidR="00E43137" w:rsidRPr="00E43137" w:rsidRDefault="00E43137" w:rsidP="00E74A4E">
            <w:pPr>
              <w:spacing w:after="60"/>
              <w:jc w:val="left"/>
              <w:rPr>
                <w:rFonts w:ascii="Calibri" w:eastAsia="Calibri" w:hAnsi="Calibri"/>
                <w:sz w:val="20"/>
                <w:szCs w:val="20"/>
                <w:lang w:eastAsia="en-US"/>
              </w:rPr>
            </w:pPr>
            <w:r w:rsidRPr="00E43137">
              <w:rPr>
                <w:rFonts w:ascii="Calibri" w:eastAsia="Calibri" w:hAnsi="Calibri"/>
                <w:sz w:val="20"/>
                <w:szCs w:val="20"/>
                <w:lang w:eastAsia="en-US"/>
              </w:rPr>
              <w:t>Opatrenie 16: Spolupráca (čl. 35)</w:t>
            </w:r>
          </w:p>
        </w:tc>
      </w:tr>
      <w:tr w:rsidR="00E43137" w:rsidRPr="00E43137" w:rsidTr="0031577A">
        <w:tc>
          <w:tcPr>
            <w:tcW w:w="3085" w:type="dxa"/>
            <w:shd w:val="clear" w:color="auto" w:fill="auto"/>
            <w:vAlign w:val="center"/>
          </w:tcPr>
          <w:p w:rsidR="00E43137" w:rsidRPr="00E43137" w:rsidRDefault="00E43137" w:rsidP="00E74A4E">
            <w:pPr>
              <w:spacing w:after="60"/>
              <w:jc w:val="left"/>
              <w:rPr>
                <w:rFonts w:ascii="Calibri" w:eastAsia="Calibri" w:hAnsi="Calibri"/>
                <w:sz w:val="20"/>
                <w:szCs w:val="20"/>
                <w:lang w:eastAsia="en-US"/>
              </w:rPr>
            </w:pPr>
            <w:r w:rsidRPr="00E43137">
              <w:rPr>
                <w:rFonts w:ascii="Calibri" w:eastAsia="Calibri" w:hAnsi="Calibri"/>
                <w:sz w:val="20"/>
                <w:szCs w:val="20"/>
                <w:lang w:eastAsia="en-US"/>
              </w:rPr>
              <w:t>Fokusová oblasť 1B:</w:t>
            </w:r>
          </w:p>
          <w:p w:rsidR="00E43137" w:rsidRPr="00E43137" w:rsidRDefault="00E43137" w:rsidP="00E74A4E">
            <w:pPr>
              <w:spacing w:after="60"/>
              <w:jc w:val="left"/>
              <w:rPr>
                <w:rFonts w:ascii="Calibri" w:eastAsia="Calibri" w:hAnsi="Calibri" w:cs="EUAlbertina"/>
                <w:color w:val="000000"/>
                <w:lang w:eastAsia="en-US"/>
              </w:rPr>
            </w:pPr>
            <w:r w:rsidRPr="00E43137">
              <w:rPr>
                <w:rFonts w:ascii="Calibri" w:eastAsia="Calibri" w:hAnsi="Calibri"/>
                <w:sz w:val="20"/>
                <w:szCs w:val="20"/>
                <w:lang w:eastAsia="en-US"/>
              </w:rPr>
              <w:t>Posilnenie prepojenia poľnohospodárstva, výroby potravín a lesného hospodárstva s výskumom a inováciou, a to aj na účely zlepšenia environmentálneho riadenia a výkonu</w:t>
            </w:r>
          </w:p>
        </w:tc>
        <w:tc>
          <w:tcPr>
            <w:tcW w:w="2410" w:type="dxa"/>
            <w:shd w:val="clear" w:color="auto" w:fill="auto"/>
            <w:vAlign w:val="center"/>
          </w:tcPr>
          <w:p w:rsidR="00E43137" w:rsidRPr="00E43137" w:rsidRDefault="00E43137" w:rsidP="00E74A4E">
            <w:pPr>
              <w:spacing w:after="60"/>
              <w:jc w:val="left"/>
              <w:rPr>
                <w:rFonts w:ascii="Calibri" w:eastAsia="Calibri" w:hAnsi="Calibri"/>
                <w:sz w:val="20"/>
                <w:szCs w:val="20"/>
                <w:lang w:eastAsia="en-US"/>
              </w:rPr>
            </w:pPr>
            <w:r w:rsidRPr="00E43137">
              <w:rPr>
                <w:rFonts w:ascii="Calibri" w:eastAsia="Calibri" w:hAnsi="Calibri"/>
                <w:sz w:val="20"/>
                <w:szCs w:val="20"/>
                <w:lang w:eastAsia="en-US"/>
              </w:rPr>
              <w:t>Počet  projektov spolupráce naplánovaných v rámci opatrenia spolupráca (skupiny, siete/klastre, pilotné projekty..)</w:t>
            </w:r>
          </w:p>
        </w:tc>
        <w:tc>
          <w:tcPr>
            <w:tcW w:w="4252" w:type="dxa"/>
            <w:shd w:val="clear" w:color="auto" w:fill="auto"/>
            <w:vAlign w:val="center"/>
          </w:tcPr>
          <w:p w:rsidR="00E43137" w:rsidRPr="00E43137" w:rsidRDefault="00E43137" w:rsidP="00E74A4E">
            <w:pPr>
              <w:spacing w:after="60"/>
              <w:jc w:val="left"/>
              <w:rPr>
                <w:rFonts w:ascii="Calibri" w:eastAsia="Calibri" w:hAnsi="Calibri"/>
                <w:sz w:val="20"/>
                <w:szCs w:val="20"/>
                <w:lang w:eastAsia="en-US"/>
              </w:rPr>
            </w:pPr>
            <w:r w:rsidRPr="00E43137">
              <w:rPr>
                <w:rFonts w:ascii="Calibri" w:eastAsia="Calibri" w:hAnsi="Calibri"/>
                <w:sz w:val="20"/>
                <w:szCs w:val="20"/>
                <w:lang w:eastAsia="en-US"/>
              </w:rPr>
              <w:t>Opatrenie 16: Spolupráca (čl. 35)</w:t>
            </w:r>
          </w:p>
        </w:tc>
      </w:tr>
      <w:tr w:rsidR="00E43137" w:rsidRPr="00E43137" w:rsidTr="0031577A">
        <w:tc>
          <w:tcPr>
            <w:tcW w:w="3085" w:type="dxa"/>
            <w:shd w:val="clear" w:color="auto" w:fill="auto"/>
            <w:vAlign w:val="center"/>
          </w:tcPr>
          <w:p w:rsidR="00E43137" w:rsidRPr="00E43137" w:rsidRDefault="00E43137" w:rsidP="00E74A4E">
            <w:pPr>
              <w:spacing w:after="60"/>
              <w:jc w:val="left"/>
              <w:rPr>
                <w:rFonts w:ascii="Calibri" w:eastAsia="Calibri" w:hAnsi="Calibri"/>
                <w:sz w:val="20"/>
                <w:szCs w:val="20"/>
                <w:lang w:eastAsia="en-US"/>
              </w:rPr>
            </w:pPr>
            <w:r w:rsidRPr="00E43137">
              <w:rPr>
                <w:rFonts w:ascii="Calibri" w:eastAsia="Calibri" w:hAnsi="Calibri"/>
                <w:sz w:val="20"/>
                <w:szCs w:val="20"/>
                <w:lang w:eastAsia="en-US"/>
              </w:rPr>
              <w:t>Fokusová oblasť 1C:</w:t>
            </w:r>
          </w:p>
          <w:p w:rsidR="00E43137" w:rsidRPr="00E43137" w:rsidRDefault="00E43137" w:rsidP="00E74A4E">
            <w:pPr>
              <w:spacing w:after="60"/>
              <w:jc w:val="left"/>
              <w:rPr>
                <w:rFonts w:ascii="Calibri" w:eastAsia="Calibri" w:hAnsi="Calibri"/>
                <w:sz w:val="20"/>
                <w:szCs w:val="20"/>
                <w:lang w:eastAsia="en-US"/>
              </w:rPr>
            </w:pPr>
            <w:r w:rsidRPr="00E43137">
              <w:rPr>
                <w:rFonts w:ascii="Calibri" w:eastAsia="Calibri" w:hAnsi="Calibri"/>
                <w:sz w:val="20"/>
                <w:szCs w:val="20"/>
                <w:lang w:eastAsia="en-US"/>
              </w:rPr>
              <w:t>Podpora celoživotného vzdelávania a odborného vzdelávania v odvetviach poľnohospodárstva a lesného hospodárstva</w:t>
            </w:r>
          </w:p>
        </w:tc>
        <w:tc>
          <w:tcPr>
            <w:tcW w:w="2410" w:type="dxa"/>
            <w:shd w:val="clear" w:color="auto" w:fill="auto"/>
            <w:vAlign w:val="center"/>
          </w:tcPr>
          <w:p w:rsidR="00E43137" w:rsidRPr="00E43137" w:rsidRDefault="00E43137" w:rsidP="00E74A4E">
            <w:pPr>
              <w:spacing w:after="60"/>
              <w:jc w:val="left"/>
              <w:rPr>
                <w:rFonts w:ascii="Calibri" w:eastAsia="Calibri" w:hAnsi="Calibri"/>
                <w:sz w:val="20"/>
                <w:szCs w:val="20"/>
                <w:lang w:eastAsia="en-US"/>
              </w:rPr>
            </w:pPr>
            <w:r w:rsidRPr="00E43137">
              <w:rPr>
                <w:rFonts w:ascii="Calibri" w:eastAsia="Calibri" w:hAnsi="Calibri"/>
                <w:sz w:val="20"/>
                <w:szCs w:val="20"/>
                <w:lang w:eastAsia="en-US"/>
              </w:rPr>
              <w:t>Počet  účastníkov školení</w:t>
            </w:r>
          </w:p>
        </w:tc>
        <w:tc>
          <w:tcPr>
            <w:tcW w:w="4252" w:type="dxa"/>
            <w:shd w:val="clear" w:color="auto" w:fill="auto"/>
            <w:vAlign w:val="center"/>
          </w:tcPr>
          <w:p w:rsidR="00E43137" w:rsidRPr="00E43137" w:rsidRDefault="00E43137" w:rsidP="00E74A4E">
            <w:pPr>
              <w:spacing w:after="60"/>
              <w:jc w:val="left"/>
              <w:rPr>
                <w:rFonts w:ascii="Calibri" w:eastAsia="Calibri" w:hAnsi="Calibri"/>
                <w:bCs/>
                <w:sz w:val="20"/>
                <w:szCs w:val="20"/>
                <w:lang w:eastAsia="en-US"/>
              </w:rPr>
            </w:pPr>
            <w:r w:rsidRPr="00E43137">
              <w:rPr>
                <w:rFonts w:ascii="Calibri" w:eastAsia="Calibri" w:hAnsi="Calibri"/>
                <w:sz w:val="20"/>
                <w:szCs w:val="20"/>
                <w:lang w:eastAsia="en-US"/>
              </w:rPr>
              <w:t xml:space="preserve">Opatrenie </w:t>
            </w:r>
            <w:r w:rsidRPr="00E43137">
              <w:rPr>
                <w:rFonts w:ascii="Calibri" w:eastAsia="Calibri" w:hAnsi="Calibri"/>
                <w:bCs/>
                <w:sz w:val="20"/>
                <w:szCs w:val="20"/>
                <w:lang w:eastAsia="en-US"/>
              </w:rPr>
              <w:t>1: Prenos vedomostí a zručností (čl.14)</w:t>
            </w:r>
          </w:p>
          <w:p w:rsidR="00E43137" w:rsidRPr="00E43137" w:rsidRDefault="00E43137" w:rsidP="00E74A4E">
            <w:pPr>
              <w:spacing w:after="60"/>
              <w:jc w:val="left"/>
              <w:rPr>
                <w:rFonts w:ascii="Calibri" w:eastAsia="Calibri" w:hAnsi="Calibri"/>
                <w:sz w:val="20"/>
                <w:szCs w:val="20"/>
                <w:lang w:eastAsia="en-US"/>
              </w:rPr>
            </w:pPr>
          </w:p>
        </w:tc>
      </w:tr>
    </w:tbl>
    <w:p w:rsidR="00E43137" w:rsidRPr="00E43137" w:rsidRDefault="00E43137" w:rsidP="008676F9">
      <w:pPr>
        <w:autoSpaceDE w:val="0"/>
        <w:autoSpaceDN w:val="0"/>
        <w:adjustRightInd w:val="0"/>
        <w:rPr>
          <w:rFonts w:ascii="Calibri" w:eastAsia="Calibri" w:hAnsi="Calibri"/>
          <w:szCs w:val="22"/>
          <w:lang w:eastAsia="en-US"/>
        </w:rPr>
      </w:pPr>
    </w:p>
    <w:p w:rsidR="00E43137" w:rsidRPr="00E43137" w:rsidRDefault="00E43137" w:rsidP="008676F9">
      <w:pPr>
        <w:autoSpaceDE w:val="0"/>
        <w:autoSpaceDN w:val="0"/>
        <w:adjustRightInd w:val="0"/>
        <w:rPr>
          <w:rFonts w:ascii="Calibri" w:eastAsia="Calibri" w:hAnsi="Calibri"/>
          <w:szCs w:val="22"/>
          <w:lang w:eastAsia="en-US"/>
        </w:rPr>
      </w:pPr>
    </w:p>
    <w:p w:rsidR="00E43137" w:rsidRPr="00E43137" w:rsidRDefault="00E43137" w:rsidP="008676F9">
      <w:pPr>
        <w:autoSpaceDE w:val="0"/>
        <w:autoSpaceDN w:val="0"/>
        <w:adjustRightInd w:val="0"/>
        <w:rPr>
          <w:rFonts w:ascii="Calibri" w:eastAsia="Calibri" w:hAnsi="Calibri"/>
          <w:szCs w:val="22"/>
          <w:lang w:eastAsia="en-US"/>
        </w:rPr>
      </w:pPr>
    </w:p>
    <w:p w:rsidR="00E43137" w:rsidRPr="00E43137" w:rsidRDefault="00E43137" w:rsidP="008676F9">
      <w:pPr>
        <w:spacing w:after="200" w:line="276" w:lineRule="auto"/>
        <w:rPr>
          <w:rFonts w:ascii="Calibri" w:eastAsia="Calibri" w:hAnsi="Calibri"/>
          <w:szCs w:val="22"/>
          <w:lang w:eastAsia="en-US"/>
        </w:rPr>
      </w:pPr>
      <w:r w:rsidRPr="00E43137">
        <w:rPr>
          <w:rFonts w:ascii="Calibri" w:eastAsia="Calibri" w:hAnsi="Calibri"/>
          <w:szCs w:val="22"/>
          <w:lang w:eastAsia="en-US"/>
        </w:rPr>
        <w:br w:type="page"/>
      </w:r>
    </w:p>
    <w:tbl>
      <w:tblPr>
        <w:tblpPr w:leftFromText="141" w:rightFromText="141" w:vertAnchor="text" w:horzAnchor="margin" w:tblpY="80"/>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96"/>
        <w:gridCol w:w="1690"/>
        <w:gridCol w:w="4961"/>
      </w:tblGrid>
      <w:tr w:rsidR="00E43137" w:rsidRPr="00E43137" w:rsidTr="00E43137">
        <w:tc>
          <w:tcPr>
            <w:tcW w:w="9747" w:type="dxa"/>
            <w:gridSpan w:val="3"/>
            <w:tcBorders>
              <w:bottom w:val="single" w:sz="4" w:space="0" w:color="auto"/>
            </w:tcBorders>
            <w:shd w:val="clear" w:color="auto" w:fill="BFBFBF"/>
            <w:vAlign w:val="center"/>
          </w:tcPr>
          <w:p w:rsidR="00E43137" w:rsidRPr="00E43137" w:rsidRDefault="00E43137" w:rsidP="008676F9">
            <w:pPr>
              <w:spacing w:after="60"/>
              <w:rPr>
                <w:rFonts w:ascii="Calibri" w:eastAsia="Calibri" w:hAnsi="Calibri"/>
                <w:b/>
                <w:sz w:val="20"/>
                <w:szCs w:val="20"/>
                <w:lang w:eastAsia="en-US"/>
              </w:rPr>
            </w:pPr>
            <w:r w:rsidRPr="00E43137">
              <w:rPr>
                <w:rFonts w:ascii="Calibri" w:eastAsia="Calibri" w:hAnsi="Calibri"/>
                <w:b/>
                <w:sz w:val="20"/>
                <w:szCs w:val="20"/>
                <w:lang w:eastAsia="en-US"/>
              </w:rPr>
              <w:t>Priorita 2</w:t>
            </w:r>
          </w:p>
        </w:tc>
      </w:tr>
      <w:tr w:rsidR="00E43137" w:rsidRPr="00E43137" w:rsidTr="0031577A">
        <w:tc>
          <w:tcPr>
            <w:tcW w:w="3096" w:type="dxa"/>
            <w:shd w:val="clear" w:color="auto" w:fill="F2F2F2"/>
            <w:vAlign w:val="center"/>
          </w:tcPr>
          <w:p w:rsidR="00E43137" w:rsidRPr="00E43137" w:rsidRDefault="00E43137" w:rsidP="008676F9">
            <w:pPr>
              <w:spacing w:after="60"/>
              <w:rPr>
                <w:rFonts w:ascii="Calibri" w:eastAsia="Calibri" w:hAnsi="Calibri"/>
                <w:b/>
                <w:sz w:val="20"/>
                <w:szCs w:val="20"/>
                <w:lang w:eastAsia="en-US"/>
              </w:rPr>
            </w:pPr>
            <w:r w:rsidRPr="00E43137">
              <w:rPr>
                <w:rFonts w:ascii="Calibri" w:eastAsia="Calibri" w:hAnsi="Calibri"/>
                <w:b/>
                <w:sz w:val="20"/>
                <w:szCs w:val="20"/>
                <w:lang w:eastAsia="en-US"/>
              </w:rPr>
              <w:t>Fokusová oblasť</w:t>
            </w:r>
          </w:p>
        </w:tc>
        <w:tc>
          <w:tcPr>
            <w:tcW w:w="1690" w:type="dxa"/>
            <w:shd w:val="clear" w:color="auto" w:fill="F2F2F2"/>
            <w:vAlign w:val="center"/>
          </w:tcPr>
          <w:p w:rsidR="00E43137" w:rsidRPr="00E43137" w:rsidRDefault="00E43137" w:rsidP="008676F9">
            <w:pPr>
              <w:spacing w:after="60"/>
              <w:rPr>
                <w:rFonts w:ascii="Calibri" w:eastAsia="Calibri" w:hAnsi="Calibri"/>
                <w:b/>
                <w:sz w:val="20"/>
                <w:szCs w:val="20"/>
                <w:lang w:eastAsia="en-US"/>
              </w:rPr>
            </w:pPr>
            <w:r w:rsidRPr="00E43137">
              <w:rPr>
                <w:rFonts w:ascii="Calibri" w:eastAsia="Calibri" w:hAnsi="Calibri"/>
                <w:b/>
                <w:sz w:val="20"/>
                <w:szCs w:val="20"/>
                <w:lang w:eastAsia="en-US"/>
              </w:rPr>
              <w:t>Kvantifikovaná cieľová hodnota</w:t>
            </w:r>
          </w:p>
        </w:tc>
        <w:tc>
          <w:tcPr>
            <w:tcW w:w="4961" w:type="dxa"/>
            <w:shd w:val="clear" w:color="auto" w:fill="F2F2F2"/>
            <w:vAlign w:val="center"/>
          </w:tcPr>
          <w:p w:rsidR="00E43137" w:rsidRPr="00E43137" w:rsidRDefault="00E43137" w:rsidP="008676F9">
            <w:pPr>
              <w:spacing w:after="60"/>
              <w:rPr>
                <w:rFonts w:ascii="Calibri" w:eastAsia="Calibri" w:hAnsi="Calibri"/>
                <w:b/>
                <w:sz w:val="20"/>
                <w:szCs w:val="20"/>
                <w:lang w:eastAsia="en-US"/>
              </w:rPr>
            </w:pPr>
            <w:r w:rsidRPr="00E43137">
              <w:rPr>
                <w:rFonts w:ascii="Calibri" w:eastAsia="Calibri" w:hAnsi="Calibri"/>
                <w:b/>
                <w:sz w:val="20"/>
                <w:szCs w:val="20"/>
                <w:lang w:eastAsia="en-US"/>
              </w:rPr>
              <w:t>Kombinácia opatrení</w:t>
            </w:r>
          </w:p>
        </w:tc>
      </w:tr>
      <w:tr w:rsidR="00E43137" w:rsidRPr="00E43137" w:rsidTr="0031577A">
        <w:tc>
          <w:tcPr>
            <w:tcW w:w="3096" w:type="dxa"/>
            <w:vMerge w:val="restart"/>
            <w:shd w:val="clear" w:color="auto" w:fill="auto"/>
            <w:vAlign w:val="center"/>
          </w:tcPr>
          <w:p w:rsidR="00E43137" w:rsidRPr="00E43137" w:rsidRDefault="00E43137" w:rsidP="00C32FE9">
            <w:pPr>
              <w:spacing w:after="60"/>
              <w:jc w:val="left"/>
              <w:rPr>
                <w:rFonts w:ascii="Calibri" w:eastAsia="Calibri" w:hAnsi="Calibri"/>
                <w:sz w:val="20"/>
                <w:szCs w:val="20"/>
                <w:lang w:eastAsia="en-US"/>
              </w:rPr>
            </w:pPr>
            <w:r w:rsidRPr="00E43137">
              <w:rPr>
                <w:rFonts w:ascii="Calibri" w:eastAsia="Calibri" w:hAnsi="Calibri"/>
                <w:sz w:val="20"/>
                <w:szCs w:val="20"/>
                <w:lang w:eastAsia="en-US"/>
              </w:rPr>
              <w:t>Fokusová oblasť 2A:</w:t>
            </w:r>
          </w:p>
          <w:p w:rsidR="00E43137" w:rsidRPr="00E43137" w:rsidRDefault="00E43137" w:rsidP="00C32FE9">
            <w:pPr>
              <w:spacing w:after="60"/>
              <w:jc w:val="left"/>
              <w:rPr>
                <w:rFonts w:ascii="Calibri" w:eastAsia="Calibri" w:hAnsi="Calibri"/>
                <w:sz w:val="20"/>
                <w:szCs w:val="20"/>
                <w:lang w:eastAsia="en-US"/>
              </w:rPr>
            </w:pPr>
            <w:r w:rsidRPr="00E43137">
              <w:rPr>
                <w:rFonts w:ascii="Calibri" w:eastAsia="Calibri" w:hAnsi="Calibri"/>
                <w:sz w:val="20"/>
                <w:szCs w:val="20"/>
                <w:lang w:eastAsia="en-US"/>
              </w:rPr>
              <w:t>Zlepšenie hospodárskeho výkonu všetkých poľnohospodárskych podnikov a uľahčenie reštrukturalizácie a modernizácie poľnohospodárskych podnikov, najmä na účely zvýšenia ich účasti na trhu, zamerania na trh a poľnohospodárskej</w:t>
            </w:r>
            <w:r w:rsidRPr="00E43137">
              <w:rPr>
                <w:rFonts w:ascii="Calibri" w:eastAsia="Calibri" w:hAnsi="Calibri" w:cs="EUAlbertina"/>
                <w:color w:val="000000"/>
                <w:sz w:val="19"/>
                <w:szCs w:val="19"/>
                <w:lang w:eastAsia="en-US"/>
              </w:rPr>
              <w:t xml:space="preserve"> diverzifikácie</w:t>
            </w:r>
          </w:p>
        </w:tc>
        <w:tc>
          <w:tcPr>
            <w:tcW w:w="1690" w:type="dxa"/>
            <w:vMerge w:val="restart"/>
            <w:shd w:val="clear" w:color="auto" w:fill="auto"/>
            <w:vAlign w:val="center"/>
          </w:tcPr>
          <w:p w:rsidR="00E43137" w:rsidRPr="00E43137" w:rsidRDefault="00E43137" w:rsidP="00E74A4E">
            <w:pPr>
              <w:spacing w:after="60"/>
              <w:jc w:val="left"/>
              <w:rPr>
                <w:rFonts w:ascii="Calibri" w:eastAsia="Calibri" w:hAnsi="Calibri"/>
                <w:sz w:val="20"/>
                <w:szCs w:val="20"/>
                <w:lang w:eastAsia="en-US"/>
              </w:rPr>
            </w:pPr>
            <w:r w:rsidRPr="00E43137">
              <w:rPr>
                <w:rFonts w:ascii="Calibri" w:eastAsia="Calibri" w:hAnsi="Calibri"/>
                <w:sz w:val="20"/>
                <w:szCs w:val="20"/>
                <w:lang w:eastAsia="en-US"/>
              </w:rPr>
              <w:t>% podporených poľnohospodárov z PRV s investíciami do reštrukturalizácie</w:t>
            </w:r>
          </w:p>
        </w:tc>
        <w:tc>
          <w:tcPr>
            <w:tcW w:w="4961" w:type="dxa"/>
            <w:shd w:val="clear" w:color="auto" w:fill="auto"/>
            <w:vAlign w:val="center"/>
          </w:tcPr>
          <w:p w:rsidR="00E43137" w:rsidRPr="00E43137" w:rsidRDefault="00E43137" w:rsidP="008676F9">
            <w:pPr>
              <w:spacing w:after="60"/>
              <w:rPr>
                <w:rFonts w:ascii="Calibri" w:eastAsia="Calibri" w:hAnsi="Calibri"/>
                <w:bCs/>
                <w:sz w:val="20"/>
                <w:szCs w:val="20"/>
                <w:lang w:eastAsia="en-US"/>
              </w:rPr>
            </w:pPr>
            <w:r w:rsidRPr="00E43137">
              <w:rPr>
                <w:rFonts w:ascii="Calibri" w:eastAsia="Calibri" w:hAnsi="Calibri"/>
                <w:sz w:val="20"/>
                <w:szCs w:val="20"/>
                <w:lang w:eastAsia="en-US"/>
              </w:rPr>
              <w:t xml:space="preserve">Opatrenie </w:t>
            </w:r>
            <w:r w:rsidRPr="00E43137">
              <w:rPr>
                <w:rFonts w:ascii="Calibri" w:eastAsia="Calibri" w:hAnsi="Calibri"/>
                <w:bCs/>
                <w:sz w:val="20"/>
                <w:szCs w:val="20"/>
                <w:lang w:eastAsia="en-US"/>
              </w:rPr>
              <w:t>1: Prenos vedomostí a zručností (čl.14)</w:t>
            </w:r>
          </w:p>
        </w:tc>
      </w:tr>
      <w:tr w:rsidR="00E43137" w:rsidRPr="00E43137" w:rsidTr="0031577A">
        <w:tc>
          <w:tcPr>
            <w:tcW w:w="3096" w:type="dxa"/>
            <w:vMerge/>
            <w:shd w:val="clear" w:color="auto" w:fill="auto"/>
            <w:vAlign w:val="center"/>
          </w:tcPr>
          <w:p w:rsidR="00E43137" w:rsidRPr="00E43137" w:rsidRDefault="00E43137" w:rsidP="00C32FE9">
            <w:pPr>
              <w:spacing w:after="60"/>
              <w:jc w:val="left"/>
              <w:rPr>
                <w:rFonts w:ascii="Calibri" w:eastAsia="Calibri" w:hAnsi="Calibri"/>
                <w:sz w:val="20"/>
                <w:szCs w:val="20"/>
                <w:lang w:eastAsia="en-US"/>
              </w:rPr>
            </w:pPr>
          </w:p>
        </w:tc>
        <w:tc>
          <w:tcPr>
            <w:tcW w:w="1690" w:type="dxa"/>
            <w:vMerge/>
            <w:shd w:val="clear" w:color="auto" w:fill="auto"/>
            <w:vAlign w:val="center"/>
          </w:tcPr>
          <w:p w:rsidR="00E43137" w:rsidRPr="00E43137" w:rsidRDefault="00E43137" w:rsidP="00E74A4E">
            <w:pPr>
              <w:spacing w:after="60"/>
              <w:jc w:val="left"/>
              <w:rPr>
                <w:rFonts w:ascii="Calibri" w:eastAsia="Calibri" w:hAnsi="Calibri"/>
                <w:sz w:val="20"/>
                <w:szCs w:val="20"/>
                <w:lang w:eastAsia="en-US"/>
              </w:rPr>
            </w:pPr>
          </w:p>
        </w:tc>
        <w:tc>
          <w:tcPr>
            <w:tcW w:w="4961" w:type="dxa"/>
            <w:shd w:val="clear" w:color="auto" w:fill="auto"/>
            <w:vAlign w:val="center"/>
          </w:tcPr>
          <w:p w:rsidR="00E43137" w:rsidRPr="00E43137" w:rsidRDefault="00E43137" w:rsidP="008676F9">
            <w:pPr>
              <w:spacing w:after="60"/>
              <w:rPr>
                <w:rFonts w:ascii="Calibri" w:eastAsia="Calibri" w:hAnsi="Calibri"/>
                <w:sz w:val="20"/>
                <w:szCs w:val="20"/>
                <w:lang w:eastAsia="en-US"/>
              </w:rPr>
            </w:pPr>
            <w:r w:rsidRPr="00E43137">
              <w:rPr>
                <w:rFonts w:ascii="Calibri" w:eastAsia="Calibri" w:hAnsi="Calibri"/>
                <w:sz w:val="20"/>
                <w:szCs w:val="20"/>
                <w:lang w:eastAsia="en-US"/>
              </w:rPr>
              <w:t xml:space="preserve">Opatrenie 2:  Poradenské služby  (čl.15)                                                      </w:t>
            </w:r>
          </w:p>
        </w:tc>
      </w:tr>
      <w:tr w:rsidR="00E43137" w:rsidRPr="00E43137" w:rsidTr="0031577A">
        <w:tc>
          <w:tcPr>
            <w:tcW w:w="3096" w:type="dxa"/>
            <w:vMerge/>
            <w:shd w:val="clear" w:color="auto" w:fill="auto"/>
            <w:vAlign w:val="center"/>
          </w:tcPr>
          <w:p w:rsidR="00E43137" w:rsidRPr="00E43137" w:rsidRDefault="00E43137" w:rsidP="00C32FE9">
            <w:pPr>
              <w:spacing w:after="60"/>
              <w:jc w:val="left"/>
              <w:rPr>
                <w:rFonts w:ascii="Calibri" w:eastAsia="Calibri" w:hAnsi="Calibri"/>
                <w:sz w:val="20"/>
                <w:szCs w:val="20"/>
                <w:lang w:eastAsia="en-US"/>
              </w:rPr>
            </w:pPr>
          </w:p>
        </w:tc>
        <w:tc>
          <w:tcPr>
            <w:tcW w:w="1690" w:type="dxa"/>
            <w:vMerge/>
            <w:shd w:val="clear" w:color="auto" w:fill="auto"/>
            <w:vAlign w:val="center"/>
          </w:tcPr>
          <w:p w:rsidR="00E43137" w:rsidRPr="00E43137" w:rsidRDefault="00E43137" w:rsidP="00E74A4E">
            <w:pPr>
              <w:spacing w:after="60"/>
              <w:jc w:val="left"/>
              <w:rPr>
                <w:rFonts w:ascii="Calibri" w:eastAsia="Calibri" w:hAnsi="Calibri"/>
                <w:sz w:val="20"/>
                <w:szCs w:val="20"/>
                <w:lang w:eastAsia="en-US"/>
              </w:rPr>
            </w:pPr>
          </w:p>
        </w:tc>
        <w:tc>
          <w:tcPr>
            <w:tcW w:w="4961" w:type="dxa"/>
            <w:shd w:val="clear" w:color="auto" w:fill="auto"/>
            <w:vAlign w:val="center"/>
          </w:tcPr>
          <w:p w:rsidR="00E43137" w:rsidRPr="00E43137" w:rsidRDefault="00E43137" w:rsidP="008676F9">
            <w:pPr>
              <w:spacing w:after="60"/>
              <w:rPr>
                <w:rFonts w:ascii="Calibri" w:eastAsia="Calibri" w:hAnsi="Calibri"/>
                <w:bCs/>
                <w:noProof/>
                <w:sz w:val="20"/>
                <w:szCs w:val="20"/>
                <w:lang w:eastAsia="en-US"/>
              </w:rPr>
            </w:pPr>
            <w:r w:rsidRPr="00E43137">
              <w:rPr>
                <w:rFonts w:ascii="Calibri" w:eastAsia="Calibri" w:hAnsi="Calibri"/>
                <w:sz w:val="20"/>
                <w:szCs w:val="20"/>
                <w:lang w:eastAsia="en-US"/>
              </w:rPr>
              <w:t>Opatrenie 4</w:t>
            </w:r>
            <w:r w:rsidRPr="00E43137">
              <w:rPr>
                <w:rFonts w:ascii="Calibri" w:eastAsia="Calibri" w:hAnsi="Calibri"/>
                <w:bCs/>
                <w:noProof/>
                <w:sz w:val="20"/>
                <w:szCs w:val="20"/>
                <w:lang w:eastAsia="en-US"/>
              </w:rPr>
              <w:t>: Investície do hmotného majetku (čl.17):</w:t>
            </w:r>
          </w:p>
          <w:p w:rsidR="00E43137" w:rsidRPr="00E43137" w:rsidRDefault="00E43137" w:rsidP="008676F9">
            <w:pPr>
              <w:spacing w:after="60"/>
              <w:rPr>
                <w:rFonts w:ascii="Calibri" w:eastAsia="Calibri" w:hAnsi="Calibri"/>
                <w:i/>
                <w:sz w:val="20"/>
                <w:szCs w:val="20"/>
                <w:lang w:eastAsia="en-US"/>
              </w:rPr>
            </w:pPr>
            <w:r w:rsidRPr="00E43137">
              <w:rPr>
                <w:rFonts w:ascii="Calibri" w:eastAsia="Calibri" w:hAnsi="Calibri"/>
                <w:i/>
                <w:sz w:val="20"/>
                <w:szCs w:val="20"/>
                <w:lang w:eastAsia="en-US"/>
              </w:rPr>
              <w:t>Podopatrenie 4.1 Investície do hmotného majetku, ktoré zlepšujú celkovú výkonnosť poľnohospodárskeho podniku (čl.17a)</w:t>
            </w:r>
          </w:p>
          <w:p w:rsidR="00E43137" w:rsidRPr="00E43137" w:rsidRDefault="00E43137" w:rsidP="008676F9">
            <w:pPr>
              <w:spacing w:after="60"/>
              <w:rPr>
                <w:rFonts w:ascii="Calibri" w:eastAsia="Calibri" w:hAnsi="Calibri"/>
                <w:bCs/>
                <w:i/>
                <w:sz w:val="20"/>
                <w:szCs w:val="20"/>
                <w:lang w:eastAsia="en-US"/>
              </w:rPr>
            </w:pPr>
            <w:r w:rsidRPr="00E43137">
              <w:rPr>
                <w:rFonts w:ascii="Calibri" w:eastAsia="Calibri" w:hAnsi="Calibri"/>
                <w:bCs/>
                <w:i/>
                <w:sz w:val="20"/>
                <w:szCs w:val="20"/>
                <w:lang w:eastAsia="en-US"/>
              </w:rPr>
              <w:t xml:space="preserve">Podopatrenie 4.3: </w:t>
            </w:r>
            <w:r w:rsidR="00D160C3">
              <w:t xml:space="preserve"> </w:t>
            </w:r>
            <w:r w:rsidR="00D160C3" w:rsidRPr="00D160C3">
              <w:rPr>
                <w:rFonts w:ascii="Calibri" w:eastAsia="Calibri" w:hAnsi="Calibri"/>
                <w:bCs/>
                <w:i/>
                <w:sz w:val="20"/>
                <w:szCs w:val="20"/>
                <w:lang w:eastAsia="en-US"/>
              </w:rPr>
              <w:t>Podpora investícií do infraštruktúry týkajúcej sa rozvoja, modernizácie alebo adaptácie poľnohospodárstva a lesníctva (čl. 17c) – vypracovanie a vykonanie projektov pozemkových úprav</w:t>
            </w:r>
          </w:p>
        </w:tc>
      </w:tr>
      <w:tr w:rsidR="00E43137" w:rsidRPr="00E43137" w:rsidTr="00C32FE9">
        <w:trPr>
          <w:trHeight w:val="1161"/>
        </w:trPr>
        <w:tc>
          <w:tcPr>
            <w:tcW w:w="3096" w:type="dxa"/>
            <w:vMerge/>
            <w:shd w:val="clear" w:color="auto" w:fill="auto"/>
            <w:vAlign w:val="center"/>
          </w:tcPr>
          <w:p w:rsidR="00E43137" w:rsidRPr="00E43137" w:rsidRDefault="00E43137" w:rsidP="00C32FE9">
            <w:pPr>
              <w:spacing w:after="60"/>
              <w:jc w:val="left"/>
              <w:rPr>
                <w:rFonts w:ascii="Calibri" w:eastAsia="Calibri" w:hAnsi="Calibri"/>
                <w:sz w:val="20"/>
                <w:szCs w:val="20"/>
                <w:lang w:eastAsia="en-US"/>
              </w:rPr>
            </w:pPr>
          </w:p>
        </w:tc>
        <w:tc>
          <w:tcPr>
            <w:tcW w:w="1690" w:type="dxa"/>
            <w:vMerge/>
            <w:shd w:val="clear" w:color="auto" w:fill="auto"/>
            <w:vAlign w:val="center"/>
          </w:tcPr>
          <w:p w:rsidR="00E43137" w:rsidRPr="00E43137" w:rsidRDefault="00E43137" w:rsidP="00E74A4E">
            <w:pPr>
              <w:spacing w:after="60"/>
              <w:jc w:val="left"/>
              <w:rPr>
                <w:rFonts w:ascii="Calibri" w:eastAsia="Calibri" w:hAnsi="Calibri"/>
                <w:sz w:val="20"/>
                <w:szCs w:val="20"/>
                <w:lang w:eastAsia="en-US"/>
              </w:rPr>
            </w:pPr>
          </w:p>
        </w:tc>
        <w:tc>
          <w:tcPr>
            <w:tcW w:w="4961" w:type="dxa"/>
            <w:shd w:val="clear" w:color="auto" w:fill="auto"/>
            <w:vAlign w:val="center"/>
          </w:tcPr>
          <w:p w:rsidR="00E43137" w:rsidRPr="00E43137" w:rsidRDefault="00E43137" w:rsidP="008676F9">
            <w:pPr>
              <w:spacing w:after="60"/>
              <w:rPr>
                <w:rFonts w:ascii="Calibri" w:eastAsia="Calibri" w:hAnsi="Calibri"/>
                <w:sz w:val="20"/>
                <w:szCs w:val="20"/>
                <w:lang w:eastAsia="en-US"/>
              </w:rPr>
            </w:pPr>
            <w:r w:rsidRPr="00E43137">
              <w:rPr>
                <w:rFonts w:ascii="Calibri" w:eastAsia="Calibri" w:hAnsi="Calibri"/>
                <w:bCs/>
                <w:sz w:val="20"/>
                <w:szCs w:val="20"/>
                <w:lang w:eastAsia="en-US"/>
              </w:rPr>
              <w:t>Opatrenie 6: Rozvoj poľnohospodárskych podnikov a</w:t>
            </w:r>
            <w:r w:rsidR="006A183D">
              <w:rPr>
                <w:rFonts w:ascii="Calibri" w:eastAsia="Calibri" w:hAnsi="Calibri"/>
                <w:bCs/>
                <w:sz w:val="20"/>
                <w:szCs w:val="20"/>
                <w:lang w:eastAsia="en-US"/>
              </w:rPr>
              <w:t> </w:t>
            </w:r>
            <w:r w:rsidRPr="00E43137">
              <w:rPr>
                <w:rFonts w:ascii="Calibri" w:eastAsia="Calibri" w:hAnsi="Calibri"/>
                <w:bCs/>
                <w:sz w:val="20"/>
                <w:szCs w:val="20"/>
                <w:lang w:eastAsia="en-US"/>
              </w:rPr>
              <w:t>podnika</w:t>
            </w:r>
            <w:r w:rsidR="006A183D">
              <w:rPr>
                <w:rFonts w:ascii="Calibri" w:eastAsia="Calibri" w:hAnsi="Calibri"/>
                <w:bCs/>
                <w:sz w:val="20"/>
                <w:szCs w:val="20"/>
                <w:lang w:eastAsia="en-US"/>
              </w:rPr>
              <w:t>teľskej činnosti</w:t>
            </w:r>
            <w:r w:rsidRPr="00E43137">
              <w:rPr>
                <w:rFonts w:ascii="Calibri" w:eastAsia="Calibri" w:hAnsi="Calibri"/>
                <w:bCs/>
                <w:sz w:val="20"/>
                <w:szCs w:val="20"/>
                <w:lang w:eastAsia="en-US"/>
              </w:rPr>
              <w:t xml:space="preserve"> (čl.19)</w:t>
            </w:r>
          </w:p>
          <w:p w:rsidR="00E43137" w:rsidRPr="00E43137" w:rsidRDefault="00E43137" w:rsidP="006A183D">
            <w:pPr>
              <w:rPr>
                <w:rFonts w:ascii="Calibri" w:eastAsia="Calibri" w:hAnsi="Calibri"/>
                <w:i/>
                <w:sz w:val="20"/>
                <w:szCs w:val="20"/>
                <w:lang w:eastAsia="en-US"/>
              </w:rPr>
            </w:pPr>
            <w:r w:rsidRPr="00E43137">
              <w:rPr>
                <w:rFonts w:ascii="Calibri" w:eastAsia="Calibri" w:hAnsi="Calibri"/>
                <w:i/>
                <w:sz w:val="20"/>
                <w:szCs w:val="20"/>
                <w:lang w:eastAsia="en-US"/>
              </w:rPr>
              <w:t>Podopatrenie 6.3: Pomoc na začatie podnikateľskej činnosti pre</w:t>
            </w:r>
            <w:r w:rsidR="006A183D">
              <w:rPr>
                <w:rFonts w:ascii="Calibri" w:eastAsia="Calibri" w:hAnsi="Calibri"/>
                <w:i/>
                <w:sz w:val="20"/>
                <w:szCs w:val="20"/>
                <w:lang w:eastAsia="en-US"/>
              </w:rPr>
              <w:t xml:space="preserve"> rozvoj</w:t>
            </w:r>
            <w:r w:rsidRPr="00E43137">
              <w:rPr>
                <w:rFonts w:ascii="Calibri" w:eastAsia="Calibri" w:hAnsi="Calibri"/>
                <w:i/>
                <w:sz w:val="20"/>
                <w:szCs w:val="20"/>
                <w:lang w:eastAsia="en-US"/>
              </w:rPr>
              <w:t xml:space="preserve"> mal</w:t>
            </w:r>
            <w:r w:rsidR="006A183D">
              <w:rPr>
                <w:rFonts w:ascii="Calibri" w:eastAsia="Calibri" w:hAnsi="Calibri"/>
                <w:i/>
                <w:sz w:val="20"/>
                <w:szCs w:val="20"/>
                <w:lang w:eastAsia="en-US"/>
              </w:rPr>
              <w:t>ých</w:t>
            </w:r>
            <w:r w:rsidRPr="00E43137">
              <w:rPr>
                <w:rFonts w:ascii="Calibri" w:eastAsia="Calibri" w:hAnsi="Calibri"/>
                <w:i/>
                <w:sz w:val="20"/>
                <w:szCs w:val="20"/>
                <w:lang w:eastAsia="en-US"/>
              </w:rPr>
              <w:t xml:space="preserve"> poľnohospodársk</w:t>
            </w:r>
            <w:r w:rsidR="006A183D">
              <w:rPr>
                <w:rFonts w:ascii="Calibri" w:eastAsia="Calibri" w:hAnsi="Calibri"/>
                <w:i/>
                <w:sz w:val="20"/>
                <w:szCs w:val="20"/>
                <w:lang w:eastAsia="en-US"/>
              </w:rPr>
              <w:t>ych</w:t>
            </w:r>
            <w:r w:rsidRPr="00E43137">
              <w:rPr>
                <w:rFonts w:ascii="Calibri" w:eastAsia="Calibri" w:hAnsi="Calibri"/>
                <w:i/>
                <w:sz w:val="20"/>
                <w:szCs w:val="20"/>
                <w:lang w:eastAsia="en-US"/>
              </w:rPr>
              <w:t xml:space="preserve"> podnik</w:t>
            </w:r>
            <w:r w:rsidR="006A183D">
              <w:rPr>
                <w:rFonts w:ascii="Calibri" w:eastAsia="Calibri" w:hAnsi="Calibri"/>
                <w:i/>
                <w:sz w:val="20"/>
                <w:szCs w:val="20"/>
                <w:lang w:eastAsia="en-US"/>
              </w:rPr>
              <w:t>ov</w:t>
            </w:r>
            <w:r w:rsidRPr="00E43137">
              <w:rPr>
                <w:rFonts w:ascii="Calibri" w:eastAsia="Calibri" w:hAnsi="Calibri"/>
                <w:i/>
                <w:sz w:val="20"/>
                <w:szCs w:val="20"/>
                <w:lang w:eastAsia="en-US"/>
              </w:rPr>
              <w:t xml:space="preserve"> (čl.19a)iii)</w:t>
            </w:r>
          </w:p>
        </w:tc>
      </w:tr>
      <w:tr w:rsidR="00E43137" w:rsidRPr="00E43137" w:rsidTr="0031577A">
        <w:tc>
          <w:tcPr>
            <w:tcW w:w="3096" w:type="dxa"/>
            <w:vMerge w:val="restart"/>
            <w:shd w:val="clear" w:color="auto" w:fill="auto"/>
            <w:vAlign w:val="center"/>
          </w:tcPr>
          <w:p w:rsidR="00E43137" w:rsidRPr="00E43137" w:rsidRDefault="00E43137" w:rsidP="00C32FE9">
            <w:pPr>
              <w:spacing w:after="60"/>
              <w:jc w:val="left"/>
              <w:rPr>
                <w:rFonts w:ascii="Calibri" w:eastAsia="Calibri" w:hAnsi="Calibri"/>
                <w:sz w:val="20"/>
                <w:szCs w:val="20"/>
                <w:lang w:eastAsia="en-US"/>
              </w:rPr>
            </w:pPr>
            <w:r w:rsidRPr="00E43137">
              <w:rPr>
                <w:rFonts w:ascii="Calibri" w:eastAsia="Calibri" w:hAnsi="Calibri"/>
                <w:sz w:val="20"/>
                <w:szCs w:val="20"/>
                <w:lang w:eastAsia="en-US"/>
              </w:rPr>
              <w:t>Fokusová oblasť 2B:</w:t>
            </w:r>
          </w:p>
          <w:p w:rsidR="00E43137" w:rsidRPr="00E43137" w:rsidRDefault="00E43137" w:rsidP="00C32FE9">
            <w:pPr>
              <w:spacing w:after="60"/>
              <w:jc w:val="left"/>
              <w:rPr>
                <w:rFonts w:ascii="Calibri" w:eastAsia="Calibri" w:hAnsi="Calibri"/>
                <w:sz w:val="20"/>
                <w:szCs w:val="20"/>
                <w:lang w:eastAsia="en-US"/>
              </w:rPr>
            </w:pPr>
            <w:r w:rsidRPr="00E43137">
              <w:rPr>
                <w:rFonts w:ascii="Calibri" w:eastAsia="Calibri" w:hAnsi="Calibri"/>
                <w:sz w:val="20"/>
                <w:szCs w:val="20"/>
                <w:lang w:eastAsia="en-US"/>
              </w:rPr>
              <w:t>Uľahčenie vstupu poľnohospodárov s primeranými zručnosťami do odvetvia poľnohospodárstva, a najmä generačnej výmeny</w:t>
            </w:r>
          </w:p>
        </w:tc>
        <w:tc>
          <w:tcPr>
            <w:tcW w:w="1690" w:type="dxa"/>
            <w:vMerge w:val="restart"/>
            <w:shd w:val="clear" w:color="auto" w:fill="auto"/>
            <w:vAlign w:val="center"/>
          </w:tcPr>
          <w:p w:rsidR="00E43137" w:rsidRPr="00E43137" w:rsidRDefault="00E43137" w:rsidP="00E74A4E">
            <w:pPr>
              <w:spacing w:after="60"/>
              <w:jc w:val="left"/>
              <w:rPr>
                <w:rFonts w:ascii="Calibri" w:eastAsia="Calibri" w:hAnsi="Calibri"/>
                <w:sz w:val="20"/>
                <w:szCs w:val="20"/>
                <w:lang w:eastAsia="en-US"/>
              </w:rPr>
            </w:pPr>
            <w:r w:rsidRPr="00E43137">
              <w:rPr>
                <w:rFonts w:ascii="Calibri" w:eastAsia="Calibri" w:hAnsi="Calibri"/>
                <w:sz w:val="20"/>
                <w:szCs w:val="20"/>
                <w:lang w:eastAsia="en-US"/>
              </w:rPr>
              <w:t>% podporených mladých poľnohospodárov na začatie činnosti</w:t>
            </w:r>
          </w:p>
        </w:tc>
        <w:tc>
          <w:tcPr>
            <w:tcW w:w="4961" w:type="dxa"/>
            <w:shd w:val="clear" w:color="auto" w:fill="auto"/>
            <w:vAlign w:val="center"/>
          </w:tcPr>
          <w:p w:rsidR="00E43137" w:rsidRPr="00E43137" w:rsidRDefault="00E43137" w:rsidP="008676F9">
            <w:pPr>
              <w:spacing w:after="60"/>
              <w:rPr>
                <w:rFonts w:ascii="Calibri" w:eastAsia="Calibri" w:hAnsi="Calibri"/>
                <w:bCs/>
                <w:sz w:val="20"/>
                <w:szCs w:val="20"/>
                <w:lang w:eastAsia="en-US"/>
              </w:rPr>
            </w:pPr>
            <w:r w:rsidRPr="00E43137">
              <w:rPr>
                <w:rFonts w:ascii="Calibri" w:eastAsia="Calibri" w:hAnsi="Calibri"/>
                <w:sz w:val="20"/>
                <w:szCs w:val="20"/>
                <w:lang w:eastAsia="en-US"/>
              </w:rPr>
              <w:t xml:space="preserve">Opatrenie </w:t>
            </w:r>
            <w:r w:rsidRPr="00E43137">
              <w:rPr>
                <w:rFonts w:ascii="Calibri" w:eastAsia="Calibri" w:hAnsi="Calibri"/>
                <w:bCs/>
                <w:sz w:val="20"/>
                <w:szCs w:val="20"/>
                <w:lang w:eastAsia="en-US"/>
              </w:rPr>
              <w:t>1: Prenos vedomostí a zručností (čl.14)</w:t>
            </w:r>
          </w:p>
        </w:tc>
      </w:tr>
      <w:tr w:rsidR="00E43137" w:rsidRPr="00E43137" w:rsidTr="0031577A">
        <w:tc>
          <w:tcPr>
            <w:tcW w:w="3096" w:type="dxa"/>
            <w:vMerge/>
            <w:shd w:val="clear" w:color="auto" w:fill="auto"/>
            <w:vAlign w:val="center"/>
          </w:tcPr>
          <w:p w:rsidR="00E43137" w:rsidRPr="00E43137" w:rsidRDefault="00E43137" w:rsidP="00C32FE9">
            <w:pPr>
              <w:spacing w:after="60"/>
              <w:jc w:val="left"/>
              <w:rPr>
                <w:rFonts w:ascii="Calibri" w:eastAsia="Calibri" w:hAnsi="Calibri"/>
                <w:sz w:val="20"/>
                <w:szCs w:val="20"/>
                <w:lang w:eastAsia="en-US"/>
              </w:rPr>
            </w:pPr>
          </w:p>
        </w:tc>
        <w:tc>
          <w:tcPr>
            <w:tcW w:w="1690" w:type="dxa"/>
            <w:vMerge/>
            <w:shd w:val="clear" w:color="auto" w:fill="auto"/>
            <w:vAlign w:val="center"/>
          </w:tcPr>
          <w:p w:rsidR="00E43137" w:rsidRPr="00E43137" w:rsidRDefault="00E43137" w:rsidP="00E74A4E">
            <w:pPr>
              <w:spacing w:after="60"/>
              <w:jc w:val="left"/>
              <w:rPr>
                <w:rFonts w:ascii="Calibri" w:eastAsia="Calibri" w:hAnsi="Calibri"/>
                <w:sz w:val="20"/>
                <w:szCs w:val="20"/>
                <w:lang w:eastAsia="en-US"/>
              </w:rPr>
            </w:pPr>
          </w:p>
        </w:tc>
        <w:tc>
          <w:tcPr>
            <w:tcW w:w="4961" w:type="dxa"/>
            <w:shd w:val="clear" w:color="auto" w:fill="auto"/>
            <w:vAlign w:val="center"/>
          </w:tcPr>
          <w:p w:rsidR="00E43137" w:rsidRPr="00E43137" w:rsidRDefault="00E43137" w:rsidP="008676F9">
            <w:pPr>
              <w:spacing w:after="60"/>
              <w:rPr>
                <w:rFonts w:ascii="Calibri" w:eastAsia="Calibri" w:hAnsi="Calibri"/>
                <w:sz w:val="20"/>
                <w:szCs w:val="20"/>
                <w:lang w:eastAsia="en-US"/>
              </w:rPr>
            </w:pPr>
            <w:r w:rsidRPr="00E43137">
              <w:rPr>
                <w:rFonts w:ascii="Calibri" w:eastAsia="Calibri" w:hAnsi="Calibri"/>
                <w:sz w:val="20"/>
                <w:szCs w:val="20"/>
                <w:lang w:eastAsia="en-US"/>
              </w:rPr>
              <w:t xml:space="preserve">Opatrenie  2: Poradenské služby  (čl.15)                                                      </w:t>
            </w:r>
          </w:p>
        </w:tc>
      </w:tr>
      <w:tr w:rsidR="00E43137" w:rsidRPr="00E43137" w:rsidTr="0031577A">
        <w:tc>
          <w:tcPr>
            <w:tcW w:w="3096" w:type="dxa"/>
            <w:vMerge/>
            <w:shd w:val="clear" w:color="auto" w:fill="auto"/>
            <w:vAlign w:val="center"/>
          </w:tcPr>
          <w:p w:rsidR="00E43137" w:rsidRPr="00E43137" w:rsidRDefault="00E43137" w:rsidP="00C32FE9">
            <w:pPr>
              <w:spacing w:after="60"/>
              <w:jc w:val="left"/>
              <w:rPr>
                <w:rFonts w:ascii="Calibri" w:eastAsia="Calibri" w:hAnsi="Calibri"/>
                <w:sz w:val="20"/>
                <w:szCs w:val="20"/>
                <w:lang w:eastAsia="en-US"/>
              </w:rPr>
            </w:pPr>
          </w:p>
        </w:tc>
        <w:tc>
          <w:tcPr>
            <w:tcW w:w="1690" w:type="dxa"/>
            <w:vMerge/>
            <w:shd w:val="clear" w:color="auto" w:fill="auto"/>
            <w:vAlign w:val="center"/>
          </w:tcPr>
          <w:p w:rsidR="00E43137" w:rsidRPr="00E43137" w:rsidRDefault="00E43137" w:rsidP="00E74A4E">
            <w:pPr>
              <w:spacing w:after="60"/>
              <w:jc w:val="left"/>
              <w:rPr>
                <w:rFonts w:ascii="Calibri" w:eastAsia="Calibri" w:hAnsi="Calibri"/>
                <w:sz w:val="20"/>
                <w:szCs w:val="20"/>
                <w:lang w:eastAsia="en-US"/>
              </w:rPr>
            </w:pPr>
          </w:p>
        </w:tc>
        <w:tc>
          <w:tcPr>
            <w:tcW w:w="4961" w:type="dxa"/>
            <w:shd w:val="clear" w:color="auto" w:fill="auto"/>
            <w:vAlign w:val="center"/>
          </w:tcPr>
          <w:p w:rsidR="00E43137" w:rsidRPr="00E43137" w:rsidRDefault="00E43137" w:rsidP="008676F9">
            <w:pPr>
              <w:spacing w:after="60"/>
              <w:rPr>
                <w:rFonts w:ascii="Calibri" w:eastAsia="Calibri" w:hAnsi="Calibri"/>
                <w:sz w:val="20"/>
                <w:szCs w:val="20"/>
                <w:lang w:eastAsia="en-US"/>
              </w:rPr>
            </w:pPr>
            <w:r w:rsidRPr="00E43137">
              <w:rPr>
                <w:rFonts w:ascii="Calibri" w:eastAsia="Calibri" w:hAnsi="Calibri"/>
                <w:bCs/>
                <w:sz w:val="20"/>
                <w:szCs w:val="20"/>
                <w:lang w:eastAsia="en-US"/>
              </w:rPr>
              <w:t>Opatrenie 6: Rozvoj poľnohospodárskych podnikov a</w:t>
            </w:r>
            <w:r w:rsidR="006A183D">
              <w:rPr>
                <w:rFonts w:ascii="Calibri" w:eastAsia="Calibri" w:hAnsi="Calibri"/>
                <w:bCs/>
                <w:sz w:val="20"/>
                <w:szCs w:val="20"/>
                <w:lang w:eastAsia="en-US"/>
              </w:rPr>
              <w:t> </w:t>
            </w:r>
            <w:r w:rsidRPr="00E43137">
              <w:rPr>
                <w:rFonts w:ascii="Calibri" w:eastAsia="Calibri" w:hAnsi="Calibri"/>
                <w:bCs/>
                <w:sz w:val="20"/>
                <w:szCs w:val="20"/>
                <w:lang w:eastAsia="en-US"/>
              </w:rPr>
              <w:t>podnika</w:t>
            </w:r>
            <w:r w:rsidR="006A183D">
              <w:rPr>
                <w:rFonts w:ascii="Calibri" w:eastAsia="Calibri" w:hAnsi="Calibri"/>
                <w:bCs/>
                <w:sz w:val="20"/>
                <w:szCs w:val="20"/>
                <w:lang w:eastAsia="en-US"/>
              </w:rPr>
              <w:t>teľskej činnosti</w:t>
            </w:r>
            <w:r w:rsidRPr="00E43137">
              <w:rPr>
                <w:rFonts w:ascii="Calibri" w:eastAsia="Calibri" w:hAnsi="Calibri"/>
                <w:bCs/>
                <w:sz w:val="20"/>
                <w:szCs w:val="20"/>
                <w:lang w:eastAsia="en-US"/>
              </w:rPr>
              <w:t xml:space="preserve"> (čl</w:t>
            </w:r>
            <w:r w:rsidR="0031577A">
              <w:rPr>
                <w:rFonts w:ascii="Calibri" w:eastAsia="Calibri" w:hAnsi="Calibri"/>
                <w:bCs/>
                <w:sz w:val="20"/>
                <w:szCs w:val="20"/>
                <w:lang w:eastAsia="en-US"/>
              </w:rPr>
              <w:t>.</w:t>
            </w:r>
            <w:r w:rsidRPr="00E43137">
              <w:rPr>
                <w:rFonts w:ascii="Calibri" w:eastAsia="Calibri" w:hAnsi="Calibri"/>
                <w:bCs/>
                <w:sz w:val="20"/>
                <w:szCs w:val="20"/>
                <w:lang w:eastAsia="en-US"/>
              </w:rPr>
              <w:t>19)</w:t>
            </w:r>
          </w:p>
          <w:p w:rsidR="00E43137" w:rsidRPr="00E43137" w:rsidRDefault="00E43137" w:rsidP="006A183D">
            <w:pPr>
              <w:rPr>
                <w:rFonts w:ascii="Calibri" w:eastAsia="Calibri" w:hAnsi="Calibri"/>
                <w:i/>
                <w:sz w:val="20"/>
                <w:szCs w:val="20"/>
                <w:lang w:eastAsia="en-US"/>
              </w:rPr>
            </w:pPr>
            <w:r w:rsidRPr="00E43137">
              <w:rPr>
                <w:rFonts w:ascii="Calibri" w:eastAsia="Calibri" w:hAnsi="Calibri"/>
                <w:i/>
                <w:sz w:val="20"/>
                <w:szCs w:val="20"/>
                <w:lang w:eastAsia="en-US"/>
              </w:rPr>
              <w:t>Podopatrenie 6.1: Pomoc na za</w:t>
            </w:r>
            <w:r w:rsidR="006A183D">
              <w:rPr>
                <w:rFonts w:ascii="Calibri" w:eastAsia="Calibri" w:hAnsi="Calibri"/>
                <w:i/>
                <w:sz w:val="20"/>
                <w:szCs w:val="20"/>
                <w:lang w:eastAsia="en-US"/>
              </w:rPr>
              <w:t>č</w:t>
            </w:r>
            <w:r w:rsidRPr="00E43137">
              <w:rPr>
                <w:rFonts w:ascii="Calibri" w:eastAsia="Calibri" w:hAnsi="Calibri"/>
                <w:i/>
                <w:sz w:val="20"/>
                <w:szCs w:val="20"/>
                <w:lang w:eastAsia="en-US"/>
              </w:rPr>
              <w:t>atie podnikateľskej činnosti pre mladých poľnohospodárov (čl.19 a)i))</w:t>
            </w:r>
          </w:p>
        </w:tc>
      </w:tr>
      <w:tr w:rsidR="00E43137" w:rsidRPr="00E43137" w:rsidTr="0031577A">
        <w:trPr>
          <w:trHeight w:val="458"/>
        </w:trPr>
        <w:tc>
          <w:tcPr>
            <w:tcW w:w="3096" w:type="dxa"/>
            <w:vMerge w:val="restart"/>
            <w:shd w:val="clear" w:color="auto" w:fill="auto"/>
            <w:vAlign w:val="center"/>
          </w:tcPr>
          <w:p w:rsidR="00E43137" w:rsidRPr="00E43137" w:rsidRDefault="00E43137" w:rsidP="00C32FE9">
            <w:pPr>
              <w:spacing w:after="60"/>
              <w:jc w:val="left"/>
              <w:rPr>
                <w:rFonts w:ascii="Calibri" w:eastAsia="Calibri" w:hAnsi="Calibri"/>
                <w:sz w:val="20"/>
                <w:szCs w:val="20"/>
                <w:lang w:eastAsia="en-US"/>
              </w:rPr>
            </w:pPr>
            <w:r w:rsidRPr="00E43137">
              <w:rPr>
                <w:rFonts w:ascii="Calibri" w:eastAsia="Calibri" w:hAnsi="Calibri"/>
                <w:sz w:val="20"/>
                <w:szCs w:val="20"/>
                <w:lang w:eastAsia="en-US"/>
              </w:rPr>
              <w:t>Fokusová oblasť 2C:</w:t>
            </w:r>
          </w:p>
          <w:p w:rsidR="00E43137" w:rsidRPr="00E43137" w:rsidRDefault="00E43137" w:rsidP="00C32FE9">
            <w:pPr>
              <w:spacing w:after="60"/>
              <w:jc w:val="left"/>
              <w:rPr>
                <w:rFonts w:ascii="Calibri" w:eastAsia="Calibri" w:hAnsi="Calibri"/>
                <w:sz w:val="20"/>
                <w:szCs w:val="20"/>
                <w:lang w:eastAsia="en-US"/>
              </w:rPr>
            </w:pPr>
            <w:r w:rsidRPr="00E43137">
              <w:rPr>
                <w:rFonts w:ascii="Calibri" w:eastAsia="Calibri" w:hAnsi="Calibri"/>
                <w:sz w:val="20"/>
                <w:szCs w:val="20"/>
                <w:lang w:eastAsia="en-US"/>
              </w:rPr>
              <w:t>Zlepšenie hospodárskeho výkonu lesných podnikov</w:t>
            </w:r>
          </w:p>
        </w:tc>
        <w:tc>
          <w:tcPr>
            <w:tcW w:w="1690" w:type="dxa"/>
            <w:vMerge w:val="restart"/>
            <w:shd w:val="clear" w:color="auto" w:fill="auto"/>
            <w:vAlign w:val="center"/>
          </w:tcPr>
          <w:p w:rsidR="00E43137" w:rsidRPr="00E43137" w:rsidRDefault="00E43137" w:rsidP="00E74A4E">
            <w:pPr>
              <w:spacing w:after="60"/>
              <w:jc w:val="left"/>
              <w:rPr>
                <w:rFonts w:ascii="Calibri" w:eastAsia="Calibri" w:hAnsi="Calibri"/>
                <w:sz w:val="20"/>
                <w:szCs w:val="20"/>
                <w:lang w:eastAsia="en-US"/>
              </w:rPr>
            </w:pPr>
            <w:r w:rsidRPr="00E43137">
              <w:rPr>
                <w:rFonts w:ascii="Calibri" w:eastAsia="Calibri" w:hAnsi="Calibri"/>
                <w:sz w:val="20"/>
                <w:szCs w:val="20"/>
                <w:lang w:eastAsia="en-US"/>
              </w:rPr>
              <w:t>% podporených lesných podnikov  z PRV s investíciami do modernizácie techniky</w:t>
            </w:r>
          </w:p>
        </w:tc>
        <w:tc>
          <w:tcPr>
            <w:tcW w:w="4961" w:type="dxa"/>
            <w:shd w:val="clear" w:color="auto" w:fill="auto"/>
            <w:vAlign w:val="center"/>
          </w:tcPr>
          <w:p w:rsidR="00E43137" w:rsidRPr="00E43137" w:rsidRDefault="00E43137" w:rsidP="008676F9">
            <w:pPr>
              <w:spacing w:after="60" w:line="276" w:lineRule="auto"/>
              <w:rPr>
                <w:rFonts w:ascii="Calibri" w:eastAsia="Calibri" w:hAnsi="Calibri"/>
                <w:bCs/>
                <w:noProof/>
                <w:sz w:val="20"/>
                <w:szCs w:val="20"/>
                <w:lang w:eastAsia="en-US"/>
              </w:rPr>
            </w:pPr>
            <w:r w:rsidRPr="00E43137">
              <w:rPr>
                <w:rFonts w:ascii="Calibri" w:eastAsia="Calibri" w:hAnsi="Calibri"/>
                <w:bCs/>
                <w:sz w:val="20"/>
                <w:szCs w:val="20"/>
                <w:lang w:eastAsia="en-US"/>
              </w:rPr>
              <w:t xml:space="preserve">Opatrenie 4: </w:t>
            </w:r>
            <w:r w:rsidRPr="00E43137">
              <w:rPr>
                <w:rFonts w:ascii="Calibri" w:eastAsia="Calibri" w:hAnsi="Calibri"/>
                <w:sz w:val="20"/>
                <w:szCs w:val="20"/>
                <w:lang w:eastAsia="en-US"/>
              </w:rPr>
              <w:t xml:space="preserve"> </w:t>
            </w:r>
            <w:r w:rsidRPr="00E43137">
              <w:rPr>
                <w:rFonts w:ascii="Calibri" w:eastAsia="Calibri" w:hAnsi="Calibri"/>
                <w:bCs/>
                <w:noProof/>
                <w:sz w:val="20"/>
                <w:szCs w:val="20"/>
                <w:lang w:eastAsia="en-US"/>
              </w:rPr>
              <w:t>Investície do hmotného majetku čl.17):</w:t>
            </w:r>
          </w:p>
          <w:p w:rsidR="00E43137" w:rsidRPr="00E43137" w:rsidRDefault="00E43137" w:rsidP="008676F9">
            <w:pPr>
              <w:spacing w:after="60"/>
              <w:rPr>
                <w:rFonts w:ascii="Calibri" w:eastAsia="Calibri" w:hAnsi="Calibri"/>
                <w:bCs/>
                <w:sz w:val="20"/>
                <w:szCs w:val="20"/>
                <w:lang w:eastAsia="en-US"/>
              </w:rPr>
            </w:pPr>
            <w:r w:rsidRPr="00E43137">
              <w:rPr>
                <w:rFonts w:ascii="Calibri" w:eastAsia="Calibri" w:hAnsi="Calibri"/>
                <w:i/>
                <w:sz w:val="20"/>
                <w:szCs w:val="20"/>
                <w:lang w:eastAsia="en-US"/>
              </w:rPr>
              <w:t>Podopatrenie 4.1 Investície do hmotného majetku, ktoré zlepšujú celkovú výkonnosť poľnohospodárskeho podniku (čl.17a)</w:t>
            </w:r>
          </w:p>
        </w:tc>
      </w:tr>
      <w:tr w:rsidR="00E43137" w:rsidRPr="00E43137" w:rsidTr="0031577A">
        <w:trPr>
          <w:trHeight w:val="457"/>
        </w:trPr>
        <w:tc>
          <w:tcPr>
            <w:tcW w:w="3096" w:type="dxa"/>
            <w:vMerge/>
            <w:shd w:val="clear" w:color="auto" w:fill="auto"/>
            <w:vAlign w:val="center"/>
          </w:tcPr>
          <w:p w:rsidR="00E43137" w:rsidRPr="00E43137" w:rsidRDefault="00E43137" w:rsidP="008676F9">
            <w:pPr>
              <w:spacing w:after="60"/>
              <w:rPr>
                <w:rFonts w:ascii="Calibri" w:eastAsia="Calibri" w:hAnsi="Calibri"/>
                <w:sz w:val="20"/>
                <w:szCs w:val="20"/>
                <w:lang w:eastAsia="en-US"/>
              </w:rPr>
            </w:pPr>
          </w:p>
        </w:tc>
        <w:tc>
          <w:tcPr>
            <w:tcW w:w="1690" w:type="dxa"/>
            <w:vMerge/>
            <w:shd w:val="clear" w:color="auto" w:fill="auto"/>
            <w:vAlign w:val="center"/>
          </w:tcPr>
          <w:p w:rsidR="00E43137" w:rsidRPr="00E43137" w:rsidRDefault="00E43137" w:rsidP="008676F9">
            <w:pPr>
              <w:spacing w:after="60"/>
              <w:rPr>
                <w:rFonts w:ascii="Calibri" w:eastAsia="Calibri" w:hAnsi="Calibri"/>
                <w:sz w:val="20"/>
                <w:szCs w:val="20"/>
                <w:lang w:eastAsia="en-US"/>
              </w:rPr>
            </w:pPr>
          </w:p>
        </w:tc>
        <w:tc>
          <w:tcPr>
            <w:tcW w:w="4961" w:type="dxa"/>
            <w:shd w:val="clear" w:color="auto" w:fill="auto"/>
            <w:vAlign w:val="center"/>
          </w:tcPr>
          <w:p w:rsidR="00E43137" w:rsidRPr="00E43137" w:rsidRDefault="00E43137" w:rsidP="008676F9">
            <w:pPr>
              <w:spacing w:after="60"/>
              <w:rPr>
                <w:rFonts w:ascii="Calibri" w:eastAsia="Calibri" w:hAnsi="Calibri"/>
                <w:sz w:val="20"/>
                <w:szCs w:val="20"/>
                <w:lang w:eastAsia="en-US"/>
              </w:rPr>
            </w:pPr>
            <w:r w:rsidRPr="00E43137">
              <w:rPr>
                <w:rFonts w:ascii="Calibri" w:eastAsia="Calibri" w:hAnsi="Calibri"/>
                <w:bCs/>
                <w:sz w:val="20"/>
                <w:szCs w:val="20"/>
                <w:lang w:eastAsia="en-US"/>
              </w:rPr>
              <w:t xml:space="preserve">Opatrenie 8: </w:t>
            </w:r>
            <w:r w:rsidRPr="00E43137">
              <w:rPr>
                <w:rFonts w:ascii="Calibri" w:eastAsia="Calibri" w:hAnsi="Calibri"/>
                <w:sz w:val="20"/>
                <w:szCs w:val="20"/>
                <w:lang w:eastAsia="en-US"/>
              </w:rPr>
              <w:t xml:space="preserve"> Investície do rozvoja lesných oblastí a zlepšenie životaschopnosti lesov (čl.21):</w:t>
            </w:r>
          </w:p>
          <w:p w:rsidR="00E43137" w:rsidRPr="00E43137" w:rsidRDefault="00E43137" w:rsidP="006A183D">
            <w:pPr>
              <w:spacing w:after="60"/>
              <w:rPr>
                <w:rFonts w:ascii="Calibri" w:eastAsia="Calibri" w:hAnsi="Calibri"/>
                <w:bCs/>
                <w:sz w:val="20"/>
                <w:szCs w:val="20"/>
                <w:lang w:eastAsia="en-US"/>
              </w:rPr>
            </w:pPr>
            <w:r w:rsidRPr="00E43137">
              <w:rPr>
                <w:rFonts w:ascii="Calibri" w:eastAsia="Calibri" w:hAnsi="Calibri"/>
                <w:i/>
                <w:sz w:val="20"/>
                <w:szCs w:val="20"/>
                <w:lang w:eastAsia="en-US"/>
              </w:rPr>
              <w:t>Podopatrenie 8.6 : Investície do lesníckych technológii a spracovania,</w:t>
            </w:r>
            <w:r w:rsidR="006A183D">
              <w:rPr>
                <w:rFonts w:ascii="Calibri" w:eastAsia="Calibri" w:hAnsi="Calibri"/>
                <w:i/>
                <w:sz w:val="20"/>
                <w:szCs w:val="20"/>
                <w:lang w:eastAsia="en-US"/>
              </w:rPr>
              <w:t xml:space="preserve"> do</w:t>
            </w:r>
            <w:r w:rsidRPr="00E43137">
              <w:rPr>
                <w:rFonts w:ascii="Calibri" w:eastAsia="Calibri" w:hAnsi="Calibri"/>
                <w:i/>
                <w:sz w:val="20"/>
                <w:szCs w:val="20"/>
                <w:lang w:eastAsia="en-US"/>
              </w:rPr>
              <w:t xml:space="preserve"> mobilizácie lesníckych </w:t>
            </w:r>
            <w:r w:rsidR="006A183D">
              <w:rPr>
                <w:rFonts w:ascii="Calibri" w:eastAsia="Calibri" w:hAnsi="Calibri"/>
                <w:i/>
                <w:sz w:val="20"/>
                <w:szCs w:val="20"/>
                <w:lang w:eastAsia="en-US"/>
              </w:rPr>
              <w:t>výrobkov a ich uvádzania na trh</w:t>
            </w:r>
            <w:r w:rsidRPr="00E43137">
              <w:rPr>
                <w:rFonts w:ascii="Calibri" w:eastAsia="Calibri" w:hAnsi="Calibri"/>
                <w:i/>
                <w:sz w:val="20"/>
                <w:szCs w:val="20"/>
                <w:lang w:eastAsia="en-US"/>
              </w:rPr>
              <w:t xml:space="preserve"> (čl.26)</w:t>
            </w:r>
          </w:p>
        </w:tc>
      </w:tr>
    </w:tbl>
    <w:p w:rsidR="00E43137" w:rsidRPr="00E43137" w:rsidRDefault="00E43137" w:rsidP="008676F9">
      <w:pPr>
        <w:autoSpaceDE w:val="0"/>
        <w:autoSpaceDN w:val="0"/>
        <w:adjustRightInd w:val="0"/>
        <w:rPr>
          <w:rFonts w:ascii="Calibri" w:eastAsia="Calibri" w:hAnsi="Calibri"/>
          <w:szCs w:val="22"/>
          <w:lang w:eastAsia="en-US"/>
        </w:rPr>
      </w:pPr>
    </w:p>
    <w:p w:rsidR="00E43137" w:rsidRPr="00E43137" w:rsidRDefault="00E43137" w:rsidP="008676F9">
      <w:pPr>
        <w:autoSpaceDE w:val="0"/>
        <w:autoSpaceDN w:val="0"/>
        <w:adjustRightInd w:val="0"/>
        <w:rPr>
          <w:rFonts w:ascii="Calibri" w:eastAsia="Calibri" w:hAnsi="Calibri"/>
          <w:szCs w:val="22"/>
          <w:lang w:eastAsia="en-US"/>
        </w:rPr>
      </w:pPr>
    </w:p>
    <w:p w:rsidR="00E43137" w:rsidRPr="00E43137" w:rsidRDefault="00E43137" w:rsidP="008676F9">
      <w:pPr>
        <w:autoSpaceDE w:val="0"/>
        <w:autoSpaceDN w:val="0"/>
        <w:adjustRightInd w:val="0"/>
        <w:rPr>
          <w:rFonts w:ascii="Calibri" w:eastAsia="Calibri" w:hAnsi="Calibri"/>
          <w:szCs w:val="22"/>
          <w:lang w:eastAsia="en-US"/>
        </w:rPr>
      </w:pPr>
    </w:p>
    <w:p w:rsidR="00E43137" w:rsidRPr="00E43137" w:rsidRDefault="00E43137" w:rsidP="008676F9">
      <w:pPr>
        <w:autoSpaceDE w:val="0"/>
        <w:autoSpaceDN w:val="0"/>
        <w:adjustRightInd w:val="0"/>
        <w:rPr>
          <w:rFonts w:ascii="Calibri" w:eastAsia="Calibri" w:hAnsi="Calibri"/>
          <w:szCs w:val="22"/>
          <w:lang w:eastAsia="en-US"/>
        </w:rPr>
      </w:pPr>
    </w:p>
    <w:p w:rsidR="00E43137" w:rsidRPr="00E43137" w:rsidRDefault="00E43137" w:rsidP="008676F9">
      <w:pPr>
        <w:spacing w:after="200" w:line="276" w:lineRule="auto"/>
        <w:rPr>
          <w:rFonts w:ascii="Calibri" w:eastAsia="Calibri" w:hAnsi="Calibri"/>
          <w:szCs w:val="22"/>
          <w:lang w:eastAsia="en-US"/>
        </w:rPr>
      </w:pPr>
      <w:r w:rsidRPr="00E43137">
        <w:rPr>
          <w:rFonts w:ascii="Calibri" w:eastAsia="Calibri" w:hAnsi="Calibri"/>
          <w:szCs w:val="22"/>
          <w:lang w:eastAsia="en-US"/>
        </w:rPr>
        <w:br w:type="page"/>
      </w:r>
    </w:p>
    <w:tbl>
      <w:tblPr>
        <w:tblpPr w:leftFromText="141" w:rightFromText="141" w:vertAnchor="text" w:horzAnchor="margin" w:tblpY="80"/>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96"/>
        <w:gridCol w:w="1832"/>
        <w:gridCol w:w="4819"/>
      </w:tblGrid>
      <w:tr w:rsidR="00E43137" w:rsidRPr="00E43137" w:rsidTr="00E43137">
        <w:tc>
          <w:tcPr>
            <w:tcW w:w="9747" w:type="dxa"/>
            <w:gridSpan w:val="3"/>
            <w:tcBorders>
              <w:bottom w:val="single" w:sz="4" w:space="0" w:color="auto"/>
            </w:tcBorders>
            <w:shd w:val="clear" w:color="auto" w:fill="BFBFBF"/>
            <w:vAlign w:val="center"/>
          </w:tcPr>
          <w:p w:rsidR="00E43137" w:rsidRPr="00E43137" w:rsidRDefault="00E43137" w:rsidP="008676F9">
            <w:pPr>
              <w:spacing w:after="60"/>
              <w:rPr>
                <w:rFonts w:ascii="Calibri" w:eastAsia="Calibri" w:hAnsi="Calibri"/>
                <w:b/>
                <w:sz w:val="20"/>
                <w:szCs w:val="20"/>
                <w:lang w:eastAsia="en-US"/>
              </w:rPr>
            </w:pPr>
            <w:r w:rsidRPr="00E43137">
              <w:rPr>
                <w:rFonts w:ascii="Calibri" w:eastAsia="Calibri" w:hAnsi="Calibri"/>
                <w:b/>
                <w:sz w:val="20"/>
                <w:szCs w:val="20"/>
                <w:lang w:eastAsia="en-US"/>
              </w:rPr>
              <w:t>Priorita 3</w:t>
            </w:r>
          </w:p>
        </w:tc>
      </w:tr>
      <w:tr w:rsidR="00E43137" w:rsidRPr="00E43137" w:rsidTr="0031577A">
        <w:tc>
          <w:tcPr>
            <w:tcW w:w="3096" w:type="dxa"/>
            <w:shd w:val="clear" w:color="auto" w:fill="F2F2F2"/>
            <w:vAlign w:val="center"/>
          </w:tcPr>
          <w:p w:rsidR="00E43137" w:rsidRPr="00E43137" w:rsidRDefault="00E43137" w:rsidP="008676F9">
            <w:pPr>
              <w:spacing w:after="60"/>
              <w:rPr>
                <w:rFonts w:ascii="Calibri" w:eastAsia="Calibri" w:hAnsi="Calibri"/>
                <w:b/>
                <w:sz w:val="20"/>
                <w:szCs w:val="20"/>
                <w:lang w:eastAsia="en-US"/>
              </w:rPr>
            </w:pPr>
            <w:r w:rsidRPr="00E43137">
              <w:rPr>
                <w:rFonts w:ascii="Calibri" w:eastAsia="Calibri" w:hAnsi="Calibri"/>
                <w:b/>
                <w:sz w:val="20"/>
                <w:szCs w:val="20"/>
                <w:lang w:eastAsia="en-US"/>
              </w:rPr>
              <w:t>Fokusová oblasť</w:t>
            </w:r>
          </w:p>
        </w:tc>
        <w:tc>
          <w:tcPr>
            <w:tcW w:w="1832" w:type="dxa"/>
            <w:shd w:val="clear" w:color="auto" w:fill="F2F2F2"/>
            <w:vAlign w:val="center"/>
          </w:tcPr>
          <w:p w:rsidR="00E43137" w:rsidRPr="00E43137" w:rsidRDefault="00E43137" w:rsidP="008676F9">
            <w:pPr>
              <w:spacing w:after="60"/>
              <w:rPr>
                <w:rFonts w:ascii="Calibri" w:eastAsia="Calibri" w:hAnsi="Calibri"/>
                <w:b/>
                <w:sz w:val="20"/>
                <w:szCs w:val="20"/>
                <w:lang w:eastAsia="en-US"/>
              </w:rPr>
            </w:pPr>
            <w:r w:rsidRPr="00E43137">
              <w:rPr>
                <w:rFonts w:ascii="Calibri" w:eastAsia="Calibri" w:hAnsi="Calibri"/>
                <w:b/>
                <w:sz w:val="20"/>
                <w:szCs w:val="20"/>
                <w:lang w:eastAsia="en-US"/>
              </w:rPr>
              <w:t>Kvantifikovaná cieľová hodnota</w:t>
            </w:r>
          </w:p>
        </w:tc>
        <w:tc>
          <w:tcPr>
            <w:tcW w:w="4819" w:type="dxa"/>
            <w:shd w:val="clear" w:color="auto" w:fill="F2F2F2"/>
            <w:vAlign w:val="center"/>
          </w:tcPr>
          <w:p w:rsidR="00E43137" w:rsidRPr="00E43137" w:rsidRDefault="00E43137" w:rsidP="008676F9">
            <w:pPr>
              <w:spacing w:after="60"/>
              <w:rPr>
                <w:rFonts w:ascii="Calibri" w:eastAsia="Calibri" w:hAnsi="Calibri"/>
                <w:b/>
                <w:sz w:val="20"/>
                <w:szCs w:val="20"/>
                <w:lang w:eastAsia="en-US"/>
              </w:rPr>
            </w:pPr>
            <w:r w:rsidRPr="00E43137">
              <w:rPr>
                <w:rFonts w:ascii="Calibri" w:eastAsia="Calibri" w:hAnsi="Calibri"/>
                <w:b/>
                <w:sz w:val="20"/>
                <w:szCs w:val="20"/>
                <w:lang w:eastAsia="en-US"/>
              </w:rPr>
              <w:t>Kombinácia opatrení</w:t>
            </w:r>
          </w:p>
        </w:tc>
      </w:tr>
      <w:tr w:rsidR="00E43137" w:rsidRPr="00E43137" w:rsidTr="0031577A">
        <w:tc>
          <w:tcPr>
            <w:tcW w:w="3096" w:type="dxa"/>
            <w:vMerge w:val="restart"/>
            <w:shd w:val="clear" w:color="auto" w:fill="auto"/>
            <w:vAlign w:val="center"/>
          </w:tcPr>
          <w:p w:rsidR="00E43137" w:rsidRPr="00E43137" w:rsidRDefault="00E43137" w:rsidP="00E74A4E">
            <w:pPr>
              <w:spacing w:after="60"/>
              <w:jc w:val="left"/>
              <w:rPr>
                <w:rFonts w:ascii="Calibri" w:eastAsia="Calibri" w:hAnsi="Calibri"/>
                <w:sz w:val="20"/>
                <w:szCs w:val="20"/>
                <w:lang w:eastAsia="en-US"/>
              </w:rPr>
            </w:pPr>
            <w:r w:rsidRPr="00E43137">
              <w:rPr>
                <w:rFonts w:ascii="Calibri" w:eastAsia="Calibri" w:hAnsi="Calibri"/>
                <w:sz w:val="20"/>
                <w:szCs w:val="20"/>
                <w:lang w:eastAsia="en-US"/>
              </w:rPr>
              <w:t>Fokusová oblasť 3A:</w:t>
            </w:r>
          </w:p>
          <w:p w:rsidR="00E43137" w:rsidRPr="00E43137" w:rsidRDefault="00E43137" w:rsidP="00E74A4E">
            <w:pPr>
              <w:spacing w:after="60"/>
              <w:jc w:val="left"/>
              <w:rPr>
                <w:rFonts w:ascii="Calibri" w:eastAsia="Calibri" w:hAnsi="Calibri"/>
                <w:sz w:val="20"/>
                <w:szCs w:val="20"/>
                <w:lang w:eastAsia="en-US"/>
              </w:rPr>
            </w:pPr>
            <w:r w:rsidRPr="00E43137">
              <w:rPr>
                <w:rFonts w:ascii="Calibri" w:eastAsia="Calibri" w:hAnsi="Calibri"/>
                <w:sz w:val="20"/>
                <w:szCs w:val="20"/>
                <w:lang w:eastAsia="en-US"/>
              </w:rPr>
              <w:t>Zvýšenie konkurencieschopnosti prvovýrobcov prostredníctvom ich lepšej integrácie do poľnohospodársko-potravinového reťazca pomocou systémov kvality, pridávania hodnoty poľnohospodárskym produktom, propagácie na miestnych trhoch a v krátkych dodávateľských reťazcoch, skupín a organizácií výrobcov a medziodvetvových organizácií</w:t>
            </w:r>
          </w:p>
        </w:tc>
        <w:tc>
          <w:tcPr>
            <w:tcW w:w="1832" w:type="dxa"/>
            <w:vMerge w:val="restart"/>
            <w:shd w:val="clear" w:color="auto" w:fill="auto"/>
            <w:vAlign w:val="center"/>
          </w:tcPr>
          <w:p w:rsidR="00E43137" w:rsidRPr="00E43137" w:rsidRDefault="00E43137" w:rsidP="00E74A4E">
            <w:pPr>
              <w:spacing w:after="60"/>
              <w:jc w:val="left"/>
              <w:rPr>
                <w:rFonts w:ascii="Calibri" w:eastAsia="Calibri" w:hAnsi="Calibri"/>
                <w:sz w:val="20"/>
                <w:szCs w:val="20"/>
                <w:lang w:eastAsia="en-US"/>
              </w:rPr>
            </w:pPr>
            <w:r w:rsidRPr="00E43137">
              <w:rPr>
                <w:rFonts w:ascii="Calibri" w:eastAsia="Calibri" w:hAnsi="Calibri"/>
                <w:sz w:val="20"/>
                <w:szCs w:val="20"/>
                <w:lang w:eastAsia="en-US"/>
              </w:rPr>
              <w:t>% podporených subjektov prostredníctvom vytvárania  skupín výrobcov ,  účasti v systéme kvality,  spolupráce v dodávateľskom reťazci</w:t>
            </w:r>
          </w:p>
          <w:p w:rsidR="00E43137" w:rsidRPr="00E43137" w:rsidRDefault="00E43137" w:rsidP="00E74A4E">
            <w:pPr>
              <w:autoSpaceDE w:val="0"/>
              <w:autoSpaceDN w:val="0"/>
              <w:adjustRightInd w:val="0"/>
              <w:jc w:val="left"/>
              <w:rPr>
                <w:rFonts w:ascii="Calibri" w:eastAsia="Calibri" w:hAnsi="Calibri"/>
                <w:sz w:val="20"/>
                <w:szCs w:val="20"/>
                <w:lang w:eastAsia="en-US"/>
              </w:rPr>
            </w:pPr>
          </w:p>
        </w:tc>
        <w:tc>
          <w:tcPr>
            <w:tcW w:w="4819" w:type="dxa"/>
            <w:shd w:val="clear" w:color="auto" w:fill="auto"/>
            <w:vAlign w:val="center"/>
          </w:tcPr>
          <w:p w:rsidR="00E43137" w:rsidRPr="00E43137" w:rsidRDefault="00E43137" w:rsidP="008676F9">
            <w:pPr>
              <w:spacing w:after="60"/>
              <w:rPr>
                <w:rFonts w:ascii="Calibri" w:eastAsia="Calibri" w:hAnsi="Calibri"/>
                <w:bCs/>
                <w:sz w:val="20"/>
                <w:szCs w:val="20"/>
                <w:lang w:eastAsia="en-US"/>
              </w:rPr>
            </w:pPr>
            <w:r w:rsidRPr="00E43137">
              <w:rPr>
                <w:rFonts w:ascii="Calibri" w:eastAsia="Calibri" w:hAnsi="Calibri"/>
                <w:sz w:val="20"/>
                <w:szCs w:val="20"/>
                <w:lang w:eastAsia="en-US"/>
              </w:rPr>
              <w:t xml:space="preserve">Opatrenie </w:t>
            </w:r>
            <w:r w:rsidRPr="00E43137">
              <w:rPr>
                <w:rFonts w:ascii="Calibri" w:eastAsia="Calibri" w:hAnsi="Calibri"/>
                <w:bCs/>
                <w:sz w:val="20"/>
                <w:szCs w:val="20"/>
                <w:lang w:eastAsia="en-US"/>
              </w:rPr>
              <w:t>1: Prenos vedomostí a zručností (čl.14)</w:t>
            </w:r>
          </w:p>
        </w:tc>
      </w:tr>
      <w:tr w:rsidR="00E43137" w:rsidRPr="00E43137" w:rsidTr="0031577A">
        <w:tc>
          <w:tcPr>
            <w:tcW w:w="3096" w:type="dxa"/>
            <w:vMerge/>
            <w:shd w:val="clear" w:color="auto" w:fill="auto"/>
            <w:vAlign w:val="center"/>
          </w:tcPr>
          <w:p w:rsidR="00E43137" w:rsidRPr="00E43137" w:rsidRDefault="00E43137" w:rsidP="00E74A4E">
            <w:pPr>
              <w:spacing w:after="60"/>
              <w:jc w:val="left"/>
              <w:rPr>
                <w:rFonts w:ascii="Calibri" w:eastAsia="Calibri" w:hAnsi="Calibri"/>
                <w:sz w:val="20"/>
                <w:szCs w:val="20"/>
                <w:lang w:eastAsia="en-US"/>
              </w:rPr>
            </w:pPr>
          </w:p>
        </w:tc>
        <w:tc>
          <w:tcPr>
            <w:tcW w:w="1832" w:type="dxa"/>
            <w:vMerge/>
            <w:shd w:val="clear" w:color="auto" w:fill="auto"/>
            <w:vAlign w:val="center"/>
          </w:tcPr>
          <w:p w:rsidR="00E43137" w:rsidRPr="00E43137" w:rsidRDefault="00E43137" w:rsidP="00E74A4E">
            <w:pPr>
              <w:spacing w:after="60"/>
              <w:jc w:val="left"/>
              <w:rPr>
                <w:rFonts w:ascii="Calibri" w:eastAsia="Calibri" w:hAnsi="Calibri"/>
                <w:sz w:val="20"/>
                <w:szCs w:val="20"/>
                <w:lang w:eastAsia="en-US"/>
              </w:rPr>
            </w:pPr>
          </w:p>
        </w:tc>
        <w:tc>
          <w:tcPr>
            <w:tcW w:w="4819" w:type="dxa"/>
            <w:shd w:val="clear" w:color="auto" w:fill="auto"/>
            <w:vAlign w:val="center"/>
          </w:tcPr>
          <w:p w:rsidR="00E43137" w:rsidRPr="00E43137" w:rsidRDefault="00E43137" w:rsidP="008676F9">
            <w:pPr>
              <w:spacing w:after="60"/>
              <w:rPr>
                <w:rFonts w:ascii="Calibri" w:eastAsia="Calibri" w:hAnsi="Calibri"/>
                <w:sz w:val="20"/>
                <w:szCs w:val="20"/>
                <w:lang w:eastAsia="en-US"/>
              </w:rPr>
            </w:pPr>
            <w:r w:rsidRPr="00E43137">
              <w:rPr>
                <w:rFonts w:ascii="Calibri" w:eastAsia="Calibri" w:hAnsi="Calibri"/>
                <w:sz w:val="20"/>
                <w:szCs w:val="20"/>
                <w:lang w:eastAsia="en-US"/>
              </w:rPr>
              <w:t xml:space="preserve">Opatrenie 2: Poradenské služby  (čl.15)                                                      </w:t>
            </w:r>
          </w:p>
        </w:tc>
      </w:tr>
      <w:tr w:rsidR="00E43137" w:rsidRPr="00E43137" w:rsidTr="0031577A">
        <w:tc>
          <w:tcPr>
            <w:tcW w:w="3096" w:type="dxa"/>
            <w:vMerge/>
            <w:shd w:val="clear" w:color="auto" w:fill="auto"/>
            <w:vAlign w:val="center"/>
          </w:tcPr>
          <w:p w:rsidR="00E43137" w:rsidRPr="00E43137" w:rsidRDefault="00E43137" w:rsidP="00E74A4E">
            <w:pPr>
              <w:spacing w:after="60"/>
              <w:jc w:val="left"/>
              <w:rPr>
                <w:rFonts w:ascii="Calibri" w:eastAsia="Calibri" w:hAnsi="Calibri"/>
                <w:sz w:val="20"/>
                <w:szCs w:val="20"/>
                <w:lang w:eastAsia="en-US"/>
              </w:rPr>
            </w:pPr>
          </w:p>
        </w:tc>
        <w:tc>
          <w:tcPr>
            <w:tcW w:w="1832" w:type="dxa"/>
            <w:vMerge/>
            <w:shd w:val="clear" w:color="auto" w:fill="auto"/>
            <w:vAlign w:val="center"/>
          </w:tcPr>
          <w:p w:rsidR="00E43137" w:rsidRPr="00E43137" w:rsidRDefault="00E43137" w:rsidP="00E74A4E">
            <w:pPr>
              <w:spacing w:after="60"/>
              <w:jc w:val="left"/>
              <w:rPr>
                <w:rFonts w:ascii="Calibri" w:eastAsia="Calibri" w:hAnsi="Calibri"/>
                <w:sz w:val="20"/>
                <w:szCs w:val="20"/>
                <w:lang w:eastAsia="en-US"/>
              </w:rPr>
            </w:pPr>
          </w:p>
        </w:tc>
        <w:tc>
          <w:tcPr>
            <w:tcW w:w="4819" w:type="dxa"/>
            <w:shd w:val="clear" w:color="auto" w:fill="auto"/>
            <w:vAlign w:val="center"/>
          </w:tcPr>
          <w:p w:rsidR="00E43137" w:rsidRPr="00E43137" w:rsidRDefault="00E43137" w:rsidP="008676F9">
            <w:pPr>
              <w:spacing w:after="60"/>
              <w:rPr>
                <w:rFonts w:ascii="Calibri" w:eastAsia="Calibri" w:hAnsi="Calibri"/>
                <w:bCs/>
                <w:noProof/>
                <w:sz w:val="20"/>
                <w:szCs w:val="20"/>
                <w:lang w:eastAsia="en-US"/>
              </w:rPr>
            </w:pPr>
            <w:r w:rsidRPr="00E43137">
              <w:rPr>
                <w:rFonts w:ascii="Calibri" w:eastAsia="Calibri" w:hAnsi="Calibri"/>
                <w:sz w:val="20"/>
                <w:szCs w:val="20"/>
                <w:lang w:eastAsia="en-US"/>
              </w:rPr>
              <w:t>Opatrenie  4</w:t>
            </w:r>
            <w:r w:rsidRPr="00E43137">
              <w:rPr>
                <w:rFonts w:ascii="Calibri" w:eastAsia="Calibri" w:hAnsi="Calibri"/>
                <w:bCs/>
                <w:noProof/>
                <w:sz w:val="20"/>
                <w:szCs w:val="20"/>
                <w:lang w:eastAsia="en-US"/>
              </w:rPr>
              <w:t>:Investície do hmotného majetku (čl.17)</w:t>
            </w:r>
          </w:p>
          <w:p w:rsidR="00E43137" w:rsidRPr="00E43137" w:rsidRDefault="00E43137" w:rsidP="008676F9">
            <w:pPr>
              <w:spacing w:after="60"/>
              <w:rPr>
                <w:rFonts w:ascii="Calibri" w:eastAsia="Calibri" w:hAnsi="Calibri"/>
                <w:i/>
                <w:sz w:val="20"/>
                <w:szCs w:val="20"/>
                <w:lang w:eastAsia="en-US"/>
              </w:rPr>
            </w:pPr>
            <w:r w:rsidRPr="00E43137">
              <w:rPr>
                <w:rFonts w:ascii="Calibri" w:eastAsia="Calibri" w:hAnsi="Calibri"/>
                <w:i/>
                <w:sz w:val="20"/>
                <w:szCs w:val="20"/>
                <w:lang w:eastAsia="en-US"/>
              </w:rPr>
              <w:t xml:space="preserve">Podopatrenie 4.2 </w:t>
            </w:r>
            <w:r w:rsidRPr="00E43137">
              <w:rPr>
                <w:rFonts w:ascii="Calibri" w:eastAsia="Calibri" w:hAnsi="Calibri"/>
                <w:b/>
                <w:bCs/>
                <w:i/>
                <w:noProof/>
                <w:sz w:val="20"/>
                <w:szCs w:val="20"/>
                <w:lang w:eastAsia="en-US"/>
              </w:rPr>
              <w:t xml:space="preserve"> </w:t>
            </w:r>
            <w:r w:rsidRPr="00E43137">
              <w:rPr>
                <w:rFonts w:ascii="Calibri" w:eastAsia="Calibri" w:hAnsi="Calibri"/>
                <w:bCs/>
                <w:i/>
                <w:sz w:val="20"/>
                <w:szCs w:val="20"/>
                <w:lang w:eastAsia="en-US"/>
              </w:rPr>
              <w:t>Investície do hmotného majetku, ktoré sa týkajú spracovania, uvádzania na trh a/alebo vývoja poľnohospodárskych výrobkov</w:t>
            </w:r>
            <w:r w:rsidRPr="00E43137">
              <w:rPr>
                <w:rFonts w:ascii="Calibri" w:eastAsia="Calibri" w:hAnsi="Calibri"/>
                <w:i/>
                <w:sz w:val="20"/>
                <w:szCs w:val="20"/>
                <w:lang w:eastAsia="en-US"/>
              </w:rPr>
              <w:t xml:space="preserve">  (čl.17b)</w:t>
            </w:r>
            <w:r w:rsidRPr="00E43137">
              <w:rPr>
                <w:rFonts w:ascii="Calibri" w:eastAsia="Calibri" w:hAnsi="Calibri"/>
                <w:bCs/>
                <w:i/>
                <w:sz w:val="20"/>
                <w:szCs w:val="20"/>
                <w:lang w:eastAsia="en-US"/>
              </w:rPr>
              <w:t xml:space="preserve">                                                     </w:t>
            </w:r>
          </w:p>
        </w:tc>
      </w:tr>
      <w:tr w:rsidR="00E43137" w:rsidRPr="00E43137" w:rsidTr="0031577A">
        <w:tc>
          <w:tcPr>
            <w:tcW w:w="3096" w:type="dxa"/>
            <w:vMerge/>
            <w:shd w:val="clear" w:color="auto" w:fill="auto"/>
            <w:vAlign w:val="center"/>
          </w:tcPr>
          <w:p w:rsidR="00E43137" w:rsidRPr="00E43137" w:rsidRDefault="00E43137" w:rsidP="00E74A4E">
            <w:pPr>
              <w:spacing w:after="60"/>
              <w:jc w:val="left"/>
              <w:rPr>
                <w:rFonts w:ascii="Calibri" w:eastAsia="Calibri" w:hAnsi="Calibri"/>
                <w:sz w:val="20"/>
                <w:szCs w:val="20"/>
                <w:lang w:eastAsia="en-US"/>
              </w:rPr>
            </w:pPr>
          </w:p>
        </w:tc>
        <w:tc>
          <w:tcPr>
            <w:tcW w:w="1832" w:type="dxa"/>
            <w:vMerge/>
            <w:shd w:val="clear" w:color="auto" w:fill="auto"/>
            <w:vAlign w:val="center"/>
          </w:tcPr>
          <w:p w:rsidR="00E43137" w:rsidRPr="00E43137" w:rsidRDefault="00E43137" w:rsidP="00E74A4E">
            <w:pPr>
              <w:spacing w:after="60"/>
              <w:jc w:val="left"/>
              <w:rPr>
                <w:rFonts w:ascii="Calibri" w:eastAsia="Calibri" w:hAnsi="Calibri"/>
                <w:sz w:val="20"/>
                <w:szCs w:val="20"/>
                <w:lang w:eastAsia="en-US"/>
              </w:rPr>
            </w:pPr>
          </w:p>
        </w:tc>
        <w:tc>
          <w:tcPr>
            <w:tcW w:w="4819" w:type="dxa"/>
            <w:shd w:val="clear" w:color="auto" w:fill="auto"/>
            <w:vAlign w:val="center"/>
          </w:tcPr>
          <w:p w:rsidR="00E43137" w:rsidRPr="00E43137" w:rsidRDefault="00E43137" w:rsidP="008676F9">
            <w:pPr>
              <w:spacing w:after="60"/>
              <w:rPr>
                <w:rFonts w:ascii="Calibri" w:eastAsia="Calibri" w:hAnsi="Calibri"/>
                <w:bCs/>
                <w:sz w:val="20"/>
                <w:szCs w:val="20"/>
                <w:lang w:eastAsia="en-US"/>
              </w:rPr>
            </w:pPr>
            <w:r w:rsidRPr="00E43137">
              <w:rPr>
                <w:rFonts w:ascii="Calibri" w:eastAsia="Calibri" w:hAnsi="Calibri"/>
                <w:bCs/>
                <w:sz w:val="20"/>
                <w:szCs w:val="20"/>
                <w:lang w:eastAsia="en-US"/>
              </w:rPr>
              <w:t>Opatrenie 9: Zakladanie skupín a organizácií výrobcov (čl. 27)</w:t>
            </w:r>
          </w:p>
        </w:tc>
      </w:tr>
      <w:tr w:rsidR="00E43137" w:rsidRPr="00E43137" w:rsidTr="0031577A">
        <w:tc>
          <w:tcPr>
            <w:tcW w:w="3096" w:type="dxa"/>
            <w:vMerge/>
            <w:shd w:val="clear" w:color="auto" w:fill="auto"/>
            <w:vAlign w:val="center"/>
          </w:tcPr>
          <w:p w:rsidR="00E43137" w:rsidRPr="00E43137" w:rsidRDefault="00E43137" w:rsidP="00E74A4E">
            <w:pPr>
              <w:spacing w:after="60"/>
              <w:jc w:val="left"/>
              <w:rPr>
                <w:rFonts w:ascii="Calibri" w:eastAsia="Calibri" w:hAnsi="Calibri"/>
                <w:sz w:val="20"/>
                <w:szCs w:val="20"/>
                <w:lang w:eastAsia="en-US"/>
              </w:rPr>
            </w:pPr>
          </w:p>
        </w:tc>
        <w:tc>
          <w:tcPr>
            <w:tcW w:w="1832" w:type="dxa"/>
            <w:vMerge/>
            <w:shd w:val="clear" w:color="auto" w:fill="auto"/>
            <w:vAlign w:val="center"/>
          </w:tcPr>
          <w:p w:rsidR="00E43137" w:rsidRPr="00E43137" w:rsidRDefault="00E43137" w:rsidP="00E74A4E">
            <w:pPr>
              <w:spacing w:after="60"/>
              <w:jc w:val="left"/>
              <w:rPr>
                <w:rFonts w:ascii="Calibri" w:eastAsia="Calibri" w:hAnsi="Calibri"/>
                <w:sz w:val="20"/>
                <w:szCs w:val="20"/>
                <w:lang w:eastAsia="en-US"/>
              </w:rPr>
            </w:pPr>
          </w:p>
        </w:tc>
        <w:tc>
          <w:tcPr>
            <w:tcW w:w="4819" w:type="dxa"/>
            <w:shd w:val="clear" w:color="auto" w:fill="auto"/>
            <w:vAlign w:val="center"/>
          </w:tcPr>
          <w:p w:rsidR="00E43137" w:rsidRPr="00E43137" w:rsidRDefault="00E43137" w:rsidP="008676F9">
            <w:pPr>
              <w:spacing w:after="60"/>
              <w:rPr>
                <w:rFonts w:ascii="Calibri" w:eastAsia="Calibri" w:hAnsi="Calibri"/>
                <w:sz w:val="20"/>
                <w:szCs w:val="20"/>
                <w:lang w:eastAsia="en-US"/>
              </w:rPr>
            </w:pPr>
            <w:r w:rsidRPr="00E43137">
              <w:rPr>
                <w:rFonts w:ascii="Calibri" w:eastAsia="Calibri" w:hAnsi="Calibri"/>
                <w:bCs/>
                <w:sz w:val="20"/>
                <w:szCs w:val="20"/>
                <w:lang w:eastAsia="en-US"/>
              </w:rPr>
              <w:t xml:space="preserve">Opatrenie 14: Dobré životné podmienky zvierat </w:t>
            </w:r>
            <w:r w:rsidRPr="00E43137">
              <w:rPr>
                <w:rFonts w:ascii="Calibri" w:eastAsia="Calibri" w:hAnsi="Calibri"/>
                <w:sz w:val="20"/>
                <w:szCs w:val="20"/>
                <w:lang w:eastAsia="en-US"/>
              </w:rPr>
              <w:t>(čl. 33)</w:t>
            </w:r>
          </w:p>
        </w:tc>
      </w:tr>
      <w:tr w:rsidR="00E43137" w:rsidRPr="00E43137" w:rsidTr="0031577A">
        <w:tc>
          <w:tcPr>
            <w:tcW w:w="3096" w:type="dxa"/>
            <w:vMerge/>
            <w:shd w:val="clear" w:color="auto" w:fill="auto"/>
            <w:vAlign w:val="center"/>
          </w:tcPr>
          <w:p w:rsidR="00E43137" w:rsidRPr="00E43137" w:rsidRDefault="00E43137" w:rsidP="00E74A4E">
            <w:pPr>
              <w:spacing w:after="60"/>
              <w:jc w:val="left"/>
              <w:rPr>
                <w:rFonts w:ascii="Calibri" w:eastAsia="Calibri" w:hAnsi="Calibri"/>
                <w:sz w:val="20"/>
                <w:szCs w:val="20"/>
                <w:lang w:eastAsia="en-US"/>
              </w:rPr>
            </w:pPr>
          </w:p>
        </w:tc>
        <w:tc>
          <w:tcPr>
            <w:tcW w:w="1832" w:type="dxa"/>
            <w:vMerge/>
            <w:shd w:val="clear" w:color="auto" w:fill="auto"/>
            <w:vAlign w:val="center"/>
          </w:tcPr>
          <w:p w:rsidR="00E43137" w:rsidRPr="00E43137" w:rsidRDefault="00E43137" w:rsidP="00E74A4E">
            <w:pPr>
              <w:spacing w:after="60"/>
              <w:jc w:val="left"/>
              <w:rPr>
                <w:rFonts w:ascii="Calibri" w:eastAsia="Calibri" w:hAnsi="Calibri"/>
                <w:sz w:val="20"/>
                <w:szCs w:val="20"/>
                <w:lang w:eastAsia="en-US"/>
              </w:rPr>
            </w:pPr>
          </w:p>
        </w:tc>
        <w:tc>
          <w:tcPr>
            <w:tcW w:w="4819" w:type="dxa"/>
            <w:shd w:val="clear" w:color="auto" w:fill="auto"/>
            <w:vAlign w:val="center"/>
          </w:tcPr>
          <w:p w:rsidR="00E43137" w:rsidRPr="00E43137" w:rsidRDefault="00E43137" w:rsidP="008676F9">
            <w:pPr>
              <w:spacing w:after="60"/>
              <w:rPr>
                <w:rFonts w:ascii="Calibri" w:eastAsia="Calibri" w:hAnsi="Calibri"/>
                <w:sz w:val="20"/>
                <w:szCs w:val="20"/>
                <w:lang w:eastAsia="en-US"/>
              </w:rPr>
            </w:pPr>
            <w:r w:rsidRPr="00E43137">
              <w:rPr>
                <w:rFonts w:ascii="Calibri" w:eastAsia="Calibri" w:hAnsi="Calibri"/>
                <w:sz w:val="20"/>
                <w:szCs w:val="20"/>
                <w:lang w:eastAsia="en-US"/>
              </w:rPr>
              <w:t>Opatrenie 16: Spolupráca (čl. 35)</w:t>
            </w:r>
          </w:p>
        </w:tc>
      </w:tr>
      <w:tr w:rsidR="00E43137" w:rsidRPr="00E43137" w:rsidTr="0031577A">
        <w:tc>
          <w:tcPr>
            <w:tcW w:w="3096" w:type="dxa"/>
            <w:vMerge w:val="restart"/>
            <w:shd w:val="clear" w:color="auto" w:fill="auto"/>
            <w:vAlign w:val="center"/>
          </w:tcPr>
          <w:p w:rsidR="00E43137" w:rsidRPr="00E43137" w:rsidRDefault="00E43137" w:rsidP="00E74A4E">
            <w:pPr>
              <w:spacing w:after="60"/>
              <w:jc w:val="left"/>
              <w:rPr>
                <w:rFonts w:ascii="Calibri" w:eastAsia="Calibri" w:hAnsi="Calibri"/>
                <w:sz w:val="20"/>
                <w:szCs w:val="20"/>
                <w:lang w:eastAsia="en-US"/>
              </w:rPr>
            </w:pPr>
            <w:r w:rsidRPr="00E43137">
              <w:rPr>
                <w:rFonts w:ascii="Calibri" w:eastAsia="Calibri" w:hAnsi="Calibri"/>
                <w:sz w:val="20"/>
                <w:szCs w:val="20"/>
                <w:lang w:eastAsia="en-US"/>
              </w:rPr>
              <w:t>Fokusová oblasť 3B:</w:t>
            </w:r>
          </w:p>
          <w:p w:rsidR="00E43137" w:rsidRPr="00E43137" w:rsidRDefault="00E43137" w:rsidP="00E74A4E">
            <w:pPr>
              <w:spacing w:after="60"/>
              <w:jc w:val="left"/>
              <w:rPr>
                <w:rFonts w:ascii="Calibri" w:eastAsia="Calibri" w:hAnsi="Calibri"/>
                <w:sz w:val="20"/>
                <w:szCs w:val="20"/>
                <w:lang w:eastAsia="en-US"/>
              </w:rPr>
            </w:pPr>
            <w:r w:rsidRPr="00E43137">
              <w:rPr>
                <w:rFonts w:ascii="Calibri" w:eastAsia="Calibri" w:hAnsi="Calibri"/>
                <w:sz w:val="20"/>
                <w:szCs w:val="20"/>
                <w:lang w:eastAsia="en-US"/>
              </w:rPr>
              <w:t>Podpora riadenia rizík poľnohospodárskych podnikov a ich predchádzania</w:t>
            </w:r>
          </w:p>
        </w:tc>
        <w:tc>
          <w:tcPr>
            <w:tcW w:w="1832" w:type="dxa"/>
            <w:vMerge w:val="restart"/>
            <w:shd w:val="clear" w:color="auto" w:fill="auto"/>
            <w:vAlign w:val="center"/>
          </w:tcPr>
          <w:p w:rsidR="00E43137" w:rsidRPr="00E43137" w:rsidRDefault="00E43137" w:rsidP="00E74A4E">
            <w:pPr>
              <w:spacing w:after="60"/>
              <w:jc w:val="left"/>
              <w:rPr>
                <w:rFonts w:ascii="Calibri" w:eastAsia="Calibri" w:hAnsi="Calibri"/>
                <w:sz w:val="20"/>
                <w:szCs w:val="20"/>
                <w:lang w:eastAsia="en-US"/>
              </w:rPr>
            </w:pPr>
            <w:r w:rsidRPr="00E43137">
              <w:rPr>
                <w:rFonts w:ascii="Calibri" w:eastAsia="Calibri" w:hAnsi="Calibri"/>
                <w:sz w:val="20"/>
                <w:szCs w:val="20"/>
                <w:lang w:eastAsia="en-US"/>
              </w:rPr>
              <w:t>% podnikov zúčastnených v podporných schémach riadenia rizika</w:t>
            </w:r>
          </w:p>
        </w:tc>
        <w:tc>
          <w:tcPr>
            <w:tcW w:w="4819" w:type="dxa"/>
            <w:shd w:val="clear" w:color="auto" w:fill="auto"/>
            <w:vAlign w:val="center"/>
          </w:tcPr>
          <w:p w:rsidR="00E43137" w:rsidRPr="00E43137" w:rsidRDefault="00E43137" w:rsidP="008676F9">
            <w:pPr>
              <w:spacing w:after="60"/>
              <w:rPr>
                <w:rFonts w:ascii="Calibri" w:eastAsia="Calibri" w:hAnsi="Calibri"/>
                <w:bCs/>
                <w:sz w:val="20"/>
                <w:szCs w:val="20"/>
                <w:lang w:eastAsia="en-US"/>
              </w:rPr>
            </w:pPr>
            <w:r w:rsidRPr="00E43137">
              <w:rPr>
                <w:rFonts w:ascii="Calibri" w:eastAsia="Calibri" w:hAnsi="Calibri"/>
                <w:sz w:val="20"/>
                <w:szCs w:val="20"/>
                <w:lang w:eastAsia="en-US"/>
              </w:rPr>
              <w:t xml:space="preserve">Opatrenie </w:t>
            </w:r>
            <w:r w:rsidRPr="00E43137">
              <w:rPr>
                <w:rFonts w:ascii="Calibri" w:hAnsi="Calibri"/>
                <w:sz w:val="20"/>
                <w:szCs w:val="20"/>
                <w:lang w:eastAsia="en-US"/>
              </w:rPr>
              <w:t xml:space="preserve"> </w:t>
            </w:r>
            <w:r w:rsidRPr="00E43137">
              <w:rPr>
                <w:rFonts w:ascii="Calibri" w:eastAsia="Calibri" w:hAnsi="Calibri"/>
                <w:bCs/>
                <w:sz w:val="20"/>
                <w:szCs w:val="20"/>
                <w:lang w:eastAsia="en-US"/>
              </w:rPr>
              <w:t>1: Prenos vedomostí a zručností (čl.14)</w:t>
            </w:r>
          </w:p>
        </w:tc>
      </w:tr>
      <w:tr w:rsidR="00E43137" w:rsidRPr="00E43137" w:rsidTr="0031577A">
        <w:tc>
          <w:tcPr>
            <w:tcW w:w="3096" w:type="dxa"/>
            <w:vMerge/>
            <w:shd w:val="clear" w:color="auto" w:fill="auto"/>
            <w:vAlign w:val="center"/>
          </w:tcPr>
          <w:p w:rsidR="00E43137" w:rsidRPr="00E43137" w:rsidRDefault="00E43137" w:rsidP="008676F9">
            <w:pPr>
              <w:spacing w:after="60"/>
              <w:rPr>
                <w:rFonts w:ascii="Calibri" w:eastAsia="Calibri" w:hAnsi="Calibri"/>
                <w:sz w:val="20"/>
                <w:szCs w:val="20"/>
                <w:lang w:eastAsia="en-US"/>
              </w:rPr>
            </w:pPr>
          </w:p>
        </w:tc>
        <w:tc>
          <w:tcPr>
            <w:tcW w:w="1832" w:type="dxa"/>
            <w:vMerge/>
            <w:shd w:val="clear" w:color="auto" w:fill="auto"/>
            <w:vAlign w:val="center"/>
          </w:tcPr>
          <w:p w:rsidR="00E43137" w:rsidRPr="00E43137" w:rsidRDefault="00E43137" w:rsidP="008676F9">
            <w:pPr>
              <w:spacing w:after="60"/>
              <w:rPr>
                <w:rFonts w:ascii="Calibri" w:eastAsia="Calibri" w:hAnsi="Calibri"/>
                <w:sz w:val="20"/>
                <w:szCs w:val="20"/>
                <w:lang w:eastAsia="en-US"/>
              </w:rPr>
            </w:pPr>
          </w:p>
        </w:tc>
        <w:tc>
          <w:tcPr>
            <w:tcW w:w="4819" w:type="dxa"/>
            <w:shd w:val="clear" w:color="auto" w:fill="auto"/>
            <w:vAlign w:val="center"/>
          </w:tcPr>
          <w:p w:rsidR="00E43137" w:rsidRPr="00E43137" w:rsidRDefault="00E43137" w:rsidP="008676F9">
            <w:pPr>
              <w:spacing w:after="60"/>
              <w:rPr>
                <w:rFonts w:ascii="Calibri" w:eastAsia="Calibri" w:hAnsi="Calibri"/>
                <w:sz w:val="20"/>
                <w:szCs w:val="20"/>
                <w:lang w:eastAsia="en-US"/>
              </w:rPr>
            </w:pPr>
            <w:r w:rsidRPr="00E43137">
              <w:rPr>
                <w:rFonts w:ascii="Calibri" w:eastAsia="Calibri" w:hAnsi="Calibri"/>
                <w:sz w:val="20"/>
                <w:szCs w:val="20"/>
                <w:lang w:eastAsia="en-US"/>
              </w:rPr>
              <w:t xml:space="preserve">Opatrenie  2  poradenské služby  (čl.15)                                                      </w:t>
            </w:r>
          </w:p>
        </w:tc>
      </w:tr>
      <w:tr w:rsidR="00E43137" w:rsidRPr="00E43137" w:rsidTr="0031577A">
        <w:tc>
          <w:tcPr>
            <w:tcW w:w="3096" w:type="dxa"/>
            <w:vMerge/>
            <w:shd w:val="clear" w:color="auto" w:fill="auto"/>
            <w:vAlign w:val="center"/>
          </w:tcPr>
          <w:p w:rsidR="00E43137" w:rsidRPr="00E43137" w:rsidRDefault="00E43137" w:rsidP="008676F9">
            <w:pPr>
              <w:spacing w:after="60"/>
              <w:rPr>
                <w:rFonts w:ascii="Calibri" w:eastAsia="Calibri" w:hAnsi="Calibri"/>
                <w:sz w:val="20"/>
                <w:szCs w:val="20"/>
                <w:lang w:eastAsia="en-US"/>
              </w:rPr>
            </w:pPr>
          </w:p>
        </w:tc>
        <w:tc>
          <w:tcPr>
            <w:tcW w:w="1832" w:type="dxa"/>
            <w:vMerge/>
            <w:shd w:val="clear" w:color="auto" w:fill="auto"/>
            <w:vAlign w:val="center"/>
          </w:tcPr>
          <w:p w:rsidR="00E43137" w:rsidRPr="00E43137" w:rsidRDefault="00E43137" w:rsidP="008676F9">
            <w:pPr>
              <w:spacing w:after="60"/>
              <w:rPr>
                <w:rFonts w:ascii="Calibri" w:eastAsia="Calibri" w:hAnsi="Calibri"/>
                <w:sz w:val="20"/>
                <w:szCs w:val="20"/>
                <w:lang w:eastAsia="en-US"/>
              </w:rPr>
            </w:pPr>
          </w:p>
        </w:tc>
        <w:tc>
          <w:tcPr>
            <w:tcW w:w="4819" w:type="dxa"/>
            <w:shd w:val="clear" w:color="auto" w:fill="auto"/>
            <w:vAlign w:val="center"/>
          </w:tcPr>
          <w:p w:rsidR="00E43137" w:rsidRPr="00E43137" w:rsidRDefault="00E43137" w:rsidP="008676F9">
            <w:pPr>
              <w:autoSpaceDE w:val="0"/>
              <w:autoSpaceDN w:val="0"/>
              <w:adjustRightInd w:val="0"/>
              <w:rPr>
                <w:rFonts w:ascii="Calibri" w:eastAsia="Calibri" w:hAnsi="Calibri"/>
                <w:sz w:val="20"/>
                <w:szCs w:val="20"/>
                <w:lang w:eastAsia="en-US"/>
              </w:rPr>
            </w:pPr>
            <w:r w:rsidRPr="00E43137">
              <w:rPr>
                <w:rFonts w:ascii="Calibri" w:eastAsia="Calibri" w:hAnsi="Calibri"/>
                <w:bCs/>
                <w:sz w:val="20"/>
                <w:szCs w:val="20"/>
                <w:lang w:eastAsia="en-US"/>
              </w:rPr>
              <w:t>Opatrenie 5: Obnova potenciálu poľnohospodárskej výroby zničeného prírodnými katastrofami a katastrofickými udalosťami a zavedenie vhodných preventívnych opatrení (čl.18)</w:t>
            </w:r>
          </w:p>
        </w:tc>
      </w:tr>
      <w:tr w:rsidR="00E43137" w:rsidRPr="00E43137" w:rsidTr="0031577A">
        <w:tc>
          <w:tcPr>
            <w:tcW w:w="3096" w:type="dxa"/>
            <w:vMerge/>
            <w:shd w:val="clear" w:color="auto" w:fill="auto"/>
            <w:vAlign w:val="center"/>
          </w:tcPr>
          <w:p w:rsidR="00E43137" w:rsidRPr="00E43137" w:rsidRDefault="00E43137" w:rsidP="008676F9">
            <w:pPr>
              <w:spacing w:after="60"/>
              <w:rPr>
                <w:rFonts w:ascii="Calibri" w:eastAsia="Calibri" w:hAnsi="Calibri"/>
                <w:sz w:val="20"/>
                <w:szCs w:val="20"/>
                <w:lang w:eastAsia="en-US"/>
              </w:rPr>
            </w:pPr>
          </w:p>
        </w:tc>
        <w:tc>
          <w:tcPr>
            <w:tcW w:w="1832" w:type="dxa"/>
            <w:vMerge/>
            <w:shd w:val="clear" w:color="auto" w:fill="auto"/>
            <w:vAlign w:val="center"/>
          </w:tcPr>
          <w:p w:rsidR="00E43137" w:rsidRPr="00E43137" w:rsidRDefault="00E43137" w:rsidP="008676F9">
            <w:pPr>
              <w:spacing w:after="60"/>
              <w:rPr>
                <w:rFonts w:ascii="Calibri" w:eastAsia="Calibri" w:hAnsi="Calibri"/>
                <w:sz w:val="20"/>
                <w:szCs w:val="20"/>
                <w:lang w:eastAsia="en-US"/>
              </w:rPr>
            </w:pPr>
          </w:p>
        </w:tc>
        <w:tc>
          <w:tcPr>
            <w:tcW w:w="4819" w:type="dxa"/>
            <w:shd w:val="clear" w:color="auto" w:fill="auto"/>
            <w:vAlign w:val="center"/>
          </w:tcPr>
          <w:p w:rsidR="00E43137" w:rsidRPr="00E43137" w:rsidRDefault="00E43137" w:rsidP="008676F9">
            <w:pPr>
              <w:autoSpaceDE w:val="0"/>
              <w:autoSpaceDN w:val="0"/>
              <w:adjustRightInd w:val="0"/>
              <w:rPr>
                <w:rFonts w:ascii="Calibri" w:eastAsia="Calibri" w:hAnsi="Calibri"/>
                <w:bCs/>
                <w:sz w:val="20"/>
                <w:szCs w:val="20"/>
                <w:lang w:eastAsia="en-US"/>
              </w:rPr>
            </w:pPr>
            <w:r w:rsidRPr="00E43137">
              <w:rPr>
                <w:rFonts w:ascii="Calibri" w:eastAsia="Calibri" w:hAnsi="Calibri"/>
                <w:bCs/>
                <w:sz w:val="20"/>
                <w:szCs w:val="20"/>
                <w:lang w:eastAsia="en-US"/>
              </w:rPr>
              <w:t>Opatrenie 17:  Vzájomné fondy pre nepriaznivé poveternostné udalosti, choroby zvierat a rastlín, zamorenie škodcami a environmentálne nehody (čl.38)</w:t>
            </w:r>
          </w:p>
        </w:tc>
      </w:tr>
    </w:tbl>
    <w:p w:rsidR="00E43137" w:rsidRPr="00E43137" w:rsidRDefault="00E43137" w:rsidP="008676F9">
      <w:pPr>
        <w:autoSpaceDE w:val="0"/>
        <w:autoSpaceDN w:val="0"/>
        <w:adjustRightInd w:val="0"/>
        <w:rPr>
          <w:rFonts w:ascii="Calibri" w:eastAsia="Calibri" w:hAnsi="Calibri"/>
          <w:szCs w:val="22"/>
          <w:lang w:eastAsia="en-US"/>
        </w:rPr>
      </w:pPr>
    </w:p>
    <w:p w:rsidR="00E43137" w:rsidRPr="00E43137" w:rsidRDefault="00E43137" w:rsidP="008676F9">
      <w:pPr>
        <w:spacing w:after="200" w:line="276" w:lineRule="auto"/>
        <w:rPr>
          <w:rFonts w:ascii="Calibri" w:eastAsia="Calibri" w:hAnsi="Calibri"/>
          <w:szCs w:val="22"/>
          <w:lang w:eastAsia="en-US"/>
        </w:rPr>
      </w:pPr>
      <w:r w:rsidRPr="00E43137">
        <w:rPr>
          <w:rFonts w:ascii="Calibri" w:eastAsia="Calibri" w:hAnsi="Calibri"/>
          <w:szCs w:val="22"/>
          <w:lang w:eastAsia="en-US"/>
        </w:rPr>
        <w:br w:type="page"/>
      </w:r>
    </w:p>
    <w:tbl>
      <w:tblPr>
        <w:tblpPr w:leftFromText="141" w:rightFromText="141" w:vertAnchor="text" w:horzAnchor="margin" w:tblpY="80"/>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1843"/>
        <w:gridCol w:w="5811"/>
      </w:tblGrid>
      <w:tr w:rsidR="00E43137" w:rsidRPr="00E43137" w:rsidTr="00E43137">
        <w:tc>
          <w:tcPr>
            <w:tcW w:w="9747" w:type="dxa"/>
            <w:gridSpan w:val="3"/>
            <w:tcBorders>
              <w:bottom w:val="single" w:sz="4" w:space="0" w:color="auto"/>
            </w:tcBorders>
            <w:shd w:val="clear" w:color="auto" w:fill="BFBFBF"/>
            <w:vAlign w:val="center"/>
          </w:tcPr>
          <w:p w:rsidR="00E43137" w:rsidRPr="00E43137" w:rsidRDefault="00E43137" w:rsidP="008676F9">
            <w:pPr>
              <w:spacing w:after="60"/>
              <w:rPr>
                <w:rFonts w:ascii="Calibri" w:eastAsia="Calibri" w:hAnsi="Calibri"/>
                <w:b/>
                <w:sz w:val="20"/>
                <w:szCs w:val="20"/>
                <w:lang w:eastAsia="en-US"/>
              </w:rPr>
            </w:pPr>
            <w:r w:rsidRPr="00E43137">
              <w:rPr>
                <w:rFonts w:ascii="Calibri" w:eastAsia="Calibri" w:hAnsi="Calibri"/>
                <w:b/>
                <w:sz w:val="20"/>
                <w:szCs w:val="20"/>
                <w:lang w:eastAsia="en-US"/>
              </w:rPr>
              <w:t>Priorita 4</w:t>
            </w:r>
          </w:p>
        </w:tc>
      </w:tr>
      <w:tr w:rsidR="00E43137" w:rsidRPr="00E43137" w:rsidTr="0031577A">
        <w:tc>
          <w:tcPr>
            <w:tcW w:w="2093" w:type="dxa"/>
            <w:shd w:val="clear" w:color="auto" w:fill="F2F2F2"/>
            <w:vAlign w:val="center"/>
          </w:tcPr>
          <w:p w:rsidR="00E43137" w:rsidRPr="00E43137" w:rsidRDefault="00E43137" w:rsidP="008676F9">
            <w:pPr>
              <w:spacing w:after="60"/>
              <w:rPr>
                <w:rFonts w:ascii="Calibri" w:eastAsia="Calibri" w:hAnsi="Calibri"/>
                <w:b/>
                <w:sz w:val="20"/>
                <w:szCs w:val="20"/>
                <w:lang w:eastAsia="en-US"/>
              </w:rPr>
            </w:pPr>
            <w:r w:rsidRPr="00E43137">
              <w:rPr>
                <w:rFonts w:ascii="Calibri" w:eastAsia="Calibri" w:hAnsi="Calibri"/>
                <w:b/>
                <w:sz w:val="20"/>
                <w:szCs w:val="20"/>
                <w:lang w:eastAsia="en-US"/>
              </w:rPr>
              <w:t>Fokusová oblasť</w:t>
            </w:r>
          </w:p>
        </w:tc>
        <w:tc>
          <w:tcPr>
            <w:tcW w:w="1843" w:type="dxa"/>
            <w:shd w:val="clear" w:color="auto" w:fill="F2F2F2"/>
            <w:vAlign w:val="center"/>
          </w:tcPr>
          <w:p w:rsidR="00E43137" w:rsidRPr="00E43137" w:rsidRDefault="00E43137" w:rsidP="008676F9">
            <w:pPr>
              <w:spacing w:after="60"/>
              <w:rPr>
                <w:rFonts w:ascii="Calibri" w:eastAsia="Calibri" w:hAnsi="Calibri"/>
                <w:b/>
                <w:sz w:val="20"/>
                <w:szCs w:val="20"/>
                <w:lang w:eastAsia="en-US"/>
              </w:rPr>
            </w:pPr>
            <w:r w:rsidRPr="00E43137">
              <w:rPr>
                <w:rFonts w:ascii="Calibri" w:eastAsia="Calibri" w:hAnsi="Calibri"/>
                <w:b/>
                <w:sz w:val="20"/>
                <w:szCs w:val="20"/>
                <w:lang w:eastAsia="en-US"/>
              </w:rPr>
              <w:t>Kvantifikovaná cieľová hodnota</w:t>
            </w:r>
          </w:p>
        </w:tc>
        <w:tc>
          <w:tcPr>
            <w:tcW w:w="5811" w:type="dxa"/>
            <w:shd w:val="clear" w:color="auto" w:fill="F2F2F2"/>
            <w:vAlign w:val="center"/>
          </w:tcPr>
          <w:p w:rsidR="00E43137" w:rsidRPr="00E43137" w:rsidRDefault="00E43137" w:rsidP="008676F9">
            <w:pPr>
              <w:spacing w:after="60"/>
              <w:rPr>
                <w:rFonts w:ascii="Calibri" w:eastAsia="Calibri" w:hAnsi="Calibri"/>
                <w:b/>
                <w:sz w:val="20"/>
                <w:szCs w:val="20"/>
                <w:lang w:eastAsia="en-US"/>
              </w:rPr>
            </w:pPr>
            <w:r w:rsidRPr="00E43137">
              <w:rPr>
                <w:rFonts w:ascii="Calibri" w:eastAsia="Calibri" w:hAnsi="Calibri"/>
                <w:b/>
                <w:sz w:val="20"/>
                <w:szCs w:val="20"/>
                <w:lang w:eastAsia="en-US"/>
              </w:rPr>
              <w:t>Kombinácia opatrení</w:t>
            </w:r>
          </w:p>
        </w:tc>
      </w:tr>
      <w:tr w:rsidR="00E43137" w:rsidRPr="00E43137" w:rsidTr="0031577A">
        <w:tc>
          <w:tcPr>
            <w:tcW w:w="2093" w:type="dxa"/>
            <w:vMerge w:val="restart"/>
            <w:shd w:val="clear" w:color="auto" w:fill="auto"/>
            <w:vAlign w:val="center"/>
          </w:tcPr>
          <w:p w:rsidR="00E43137" w:rsidRPr="00E43137" w:rsidRDefault="00E43137" w:rsidP="00E74A4E">
            <w:pPr>
              <w:spacing w:after="60"/>
              <w:jc w:val="left"/>
              <w:rPr>
                <w:rFonts w:ascii="Calibri" w:eastAsia="Calibri" w:hAnsi="Calibri"/>
                <w:sz w:val="20"/>
                <w:szCs w:val="20"/>
                <w:lang w:eastAsia="en-US"/>
              </w:rPr>
            </w:pPr>
            <w:r w:rsidRPr="00E43137">
              <w:rPr>
                <w:rFonts w:ascii="Calibri" w:eastAsia="Calibri" w:hAnsi="Calibri"/>
                <w:sz w:val="20"/>
                <w:szCs w:val="20"/>
                <w:lang w:eastAsia="en-US"/>
              </w:rPr>
              <w:t>Fokusová oblasť 4A:</w:t>
            </w:r>
          </w:p>
          <w:p w:rsidR="00E43137" w:rsidRPr="00E43137" w:rsidRDefault="00E43137" w:rsidP="00E74A4E">
            <w:pPr>
              <w:spacing w:after="60"/>
              <w:jc w:val="left"/>
              <w:rPr>
                <w:rFonts w:ascii="Calibri" w:eastAsia="Calibri" w:hAnsi="Calibri"/>
                <w:sz w:val="20"/>
                <w:szCs w:val="20"/>
                <w:lang w:eastAsia="en-US"/>
              </w:rPr>
            </w:pPr>
            <w:r w:rsidRPr="00E43137">
              <w:rPr>
                <w:rFonts w:ascii="Calibri" w:eastAsia="Calibri" w:hAnsi="Calibri"/>
                <w:sz w:val="20"/>
                <w:szCs w:val="20"/>
                <w:lang w:eastAsia="en-US"/>
              </w:rPr>
              <w:t>Obnova, zachovanie a zvýšenie biologickej diverzity vrátane na územiach sústavy Natura 2000 a v oblastiach s prírodnými alebo inými osobitnými obmedzeniami a v poľnohospodárskej činnosti s vysokou prírodnou hodnotou a obnova, zachovanie ako aj zlepšenie stavu krajinných oblastí Európy</w:t>
            </w:r>
          </w:p>
        </w:tc>
        <w:tc>
          <w:tcPr>
            <w:tcW w:w="1843" w:type="dxa"/>
            <w:vMerge w:val="restart"/>
            <w:shd w:val="clear" w:color="auto" w:fill="auto"/>
            <w:vAlign w:val="center"/>
          </w:tcPr>
          <w:p w:rsidR="00E43137" w:rsidRPr="00E43137" w:rsidRDefault="00E43137" w:rsidP="00E74A4E">
            <w:pPr>
              <w:spacing w:after="60"/>
              <w:jc w:val="left"/>
              <w:rPr>
                <w:rFonts w:ascii="Calibri" w:eastAsia="Calibri" w:hAnsi="Calibri"/>
                <w:sz w:val="20"/>
                <w:szCs w:val="20"/>
                <w:lang w:eastAsia="en-US"/>
              </w:rPr>
            </w:pPr>
            <w:r w:rsidRPr="00E43137">
              <w:rPr>
                <w:rFonts w:ascii="Calibri" w:eastAsia="Calibri" w:hAnsi="Calibri"/>
                <w:sz w:val="20"/>
                <w:szCs w:val="20"/>
                <w:lang w:eastAsia="en-US"/>
              </w:rPr>
              <w:t xml:space="preserve">% podporenej poľnohospodárskej výmery, ktoré prispieva k biodiverzite (ha) </w:t>
            </w:r>
          </w:p>
          <w:p w:rsidR="00E43137" w:rsidRPr="00E43137" w:rsidRDefault="00E43137" w:rsidP="00E74A4E">
            <w:pPr>
              <w:spacing w:after="60"/>
              <w:jc w:val="left"/>
              <w:rPr>
                <w:rFonts w:ascii="Calibri" w:eastAsia="Calibri" w:hAnsi="Calibri"/>
                <w:sz w:val="20"/>
                <w:szCs w:val="20"/>
                <w:lang w:eastAsia="en-US"/>
              </w:rPr>
            </w:pPr>
            <w:r w:rsidRPr="00E43137">
              <w:rPr>
                <w:rFonts w:ascii="Calibri" w:eastAsia="Calibri" w:hAnsi="Calibri"/>
                <w:sz w:val="20"/>
                <w:szCs w:val="20"/>
                <w:lang w:eastAsia="en-US"/>
              </w:rPr>
              <w:t>% podporenej lesnej pôdy, ktorá prispieva k biodiverzite (ha)</w:t>
            </w:r>
          </w:p>
        </w:tc>
        <w:tc>
          <w:tcPr>
            <w:tcW w:w="5811" w:type="dxa"/>
            <w:shd w:val="clear" w:color="auto" w:fill="auto"/>
            <w:vAlign w:val="center"/>
          </w:tcPr>
          <w:p w:rsidR="00E43137" w:rsidRPr="00E43137" w:rsidRDefault="00E43137" w:rsidP="00E74A4E">
            <w:pPr>
              <w:spacing w:after="60"/>
              <w:jc w:val="left"/>
              <w:rPr>
                <w:rFonts w:ascii="Calibri" w:eastAsia="Calibri" w:hAnsi="Calibri"/>
                <w:sz w:val="20"/>
                <w:szCs w:val="20"/>
                <w:lang w:eastAsia="en-US"/>
              </w:rPr>
            </w:pPr>
            <w:r w:rsidRPr="00E43137">
              <w:rPr>
                <w:rFonts w:ascii="Calibri" w:eastAsia="Calibri" w:hAnsi="Calibri"/>
                <w:sz w:val="20"/>
                <w:szCs w:val="20"/>
                <w:lang w:eastAsia="en-US"/>
              </w:rPr>
              <w:t>Opatrenie 1: Prenos vedomostí a zručností (čl.14)</w:t>
            </w:r>
          </w:p>
        </w:tc>
      </w:tr>
      <w:tr w:rsidR="00E43137" w:rsidRPr="00E43137" w:rsidTr="0031577A">
        <w:tc>
          <w:tcPr>
            <w:tcW w:w="2093" w:type="dxa"/>
            <w:vMerge/>
            <w:shd w:val="clear" w:color="auto" w:fill="auto"/>
            <w:vAlign w:val="center"/>
          </w:tcPr>
          <w:p w:rsidR="00E43137" w:rsidRPr="00E43137" w:rsidRDefault="00E43137" w:rsidP="00E74A4E">
            <w:pPr>
              <w:spacing w:after="60"/>
              <w:jc w:val="left"/>
              <w:rPr>
                <w:rFonts w:ascii="Calibri" w:eastAsia="Calibri" w:hAnsi="Calibri"/>
                <w:sz w:val="20"/>
                <w:szCs w:val="20"/>
                <w:lang w:eastAsia="en-US"/>
              </w:rPr>
            </w:pPr>
          </w:p>
        </w:tc>
        <w:tc>
          <w:tcPr>
            <w:tcW w:w="1843" w:type="dxa"/>
            <w:vMerge/>
            <w:shd w:val="clear" w:color="auto" w:fill="auto"/>
            <w:vAlign w:val="center"/>
          </w:tcPr>
          <w:p w:rsidR="00E43137" w:rsidRPr="00E43137" w:rsidRDefault="00E43137" w:rsidP="00E74A4E">
            <w:pPr>
              <w:spacing w:after="60"/>
              <w:jc w:val="left"/>
              <w:rPr>
                <w:rFonts w:ascii="Calibri" w:eastAsia="Calibri" w:hAnsi="Calibri"/>
                <w:sz w:val="20"/>
                <w:szCs w:val="20"/>
                <w:lang w:eastAsia="en-US"/>
              </w:rPr>
            </w:pPr>
          </w:p>
        </w:tc>
        <w:tc>
          <w:tcPr>
            <w:tcW w:w="5811" w:type="dxa"/>
            <w:shd w:val="clear" w:color="auto" w:fill="auto"/>
            <w:vAlign w:val="center"/>
          </w:tcPr>
          <w:p w:rsidR="00E43137" w:rsidRPr="00E43137" w:rsidRDefault="00E43137" w:rsidP="00E74A4E">
            <w:pPr>
              <w:spacing w:after="60"/>
              <w:jc w:val="left"/>
              <w:rPr>
                <w:rFonts w:ascii="Calibri" w:eastAsia="Calibri" w:hAnsi="Calibri"/>
                <w:sz w:val="20"/>
                <w:szCs w:val="20"/>
                <w:lang w:eastAsia="en-US"/>
              </w:rPr>
            </w:pPr>
            <w:r w:rsidRPr="00E43137">
              <w:rPr>
                <w:rFonts w:ascii="Calibri" w:eastAsia="Calibri" w:hAnsi="Calibri"/>
                <w:sz w:val="20"/>
                <w:szCs w:val="20"/>
                <w:lang w:eastAsia="en-US"/>
              </w:rPr>
              <w:t xml:space="preserve">Opatrenie 2:  Poradenské služby  (čl.15)                                                      </w:t>
            </w:r>
          </w:p>
        </w:tc>
      </w:tr>
      <w:tr w:rsidR="00E43137" w:rsidRPr="00E43137" w:rsidTr="0031577A">
        <w:tc>
          <w:tcPr>
            <w:tcW w:w="2093" w:type="dxa"/>
            <w:vMerge/>
            <w:shd w:val="clear" w:color="auto" w:fill="auto"/>
            <w:vAlign w:val="center"/>
          </w:tcPr>
          <w:p w:rsidR="00E43137" w:rsidRPr="00E43137" w:rsidRDefault="00E43137" w:rsidP="00E74A4E">
            <w:pPr>
              <w:spacing w:after="60"/>
              <w:jc w:val="left"/>
              <w:rPr>
                <w:rFonts w:ascii="Calibri" w:eastAsia="Calibri" w:hAnsi="Calibri"/>
                <w:sz w:val="20"/>
                <w:szCs w:val="20"/>
                <w:lang w:eastAsia="en-US"/>
              </w:rPr>
            </w:pPr>
          </w:p>
        </w:tc>
        <w:tc>
          <w:tcPr>
            <w:tcW w:w="1843" w:type="dxa"/>
            <w:vMerge/>
            <w:shd w:val="clear" w:color="auto" w:fill="auto"/>
            <w:vAlign w:val="center"/>
          </w:tcPr>
          <w:p w:rsidR="00E43137" w:rsidRPr="00E43137" w:rsidRDefault="00E43137" w:rsidP="00E74A4E">
            <w:pPr>
              <w:spacing w:after="60"/>
              <w:jc w:val="left"/>
              <w:rPr>
                <w:rFonts w:ascii="Calibri" w:eastAsia="Calibri" w:hAnsi="Calibri"/>
                <w:sz w:val="20"/>
                <w:szCs w:val="20"/>
                <w:lang w:eastAsia="en-US"/>
              </w:rPr>
            </w:pPr>
          </w:p>
        </w:tc>
        <w:tc>
          <w:tcPr>
            <w:tcW w:w="5811" w:type="dxa"/>
            <w:shd w:val="clear" w:color="auto" w:fill="auto"/>
            <w:vAlign w:val="center"/>
          </w:tcPr>
          <w:p w:rsidR="00E43137" w:rsidRPr="00E43137" w:rsidRDefault="00E43137" w:rsidP="00E74A4E">
            <w:pPr>
              <w:spacing w:after="60"/>
              <w:jc w:val="left"/>
              <w:rPr>
                <w:rFonts w:ascii="Calibri" w:eastAsia="Calibri" w:hAnsi="Calibri"/>
                <w:sz w:val="20"/>
                <w:szCs w:val="20"/>
                <w:lang w:eastAsia="en-US"/>
              </w:rPr>
            </w:pPr>
            <w:r w:rsidRPr="00E43137">
              <w:rPr>
                <w:rFonts w:ascii="Calibri" w:eastAsia="Calibri" w:hAnsi="Calibri"/>
                <w:sz w:val="20"/>
                <w:szCs w:val="20"/>
                <w:lang w:eastAsia="en-US"/>
              </w:rPr>
              <w:t>Opatrenie 8 : Investície do rozvoja lesných oblastí a zlepšenie životaschopnosti lesov (čl.21):</w:t>
            </w:r>
          </w:p>
          <w:p w:rsidR="006A183D" w:rsidRDefault="006A183D" w:rsidP="00E74A4E">
            <w:pPr>
              <w:spacing w:after="60"/>
              <w:jc w:val="left"/>
              <w:rPr>
                <w:rFonts w:ascii="Calibri" w:eastAsia="Calibri" w:hAnsi="Calibri"/>
                <w:i/>
                <w:sz w:val="20"/>
                <w:szCs w:val="20"/>
                <w:lang w:eastAsia="en-US"/>
              </w:rPr>
            </w:pPr>
            <w:r w:rsidRPr="006A183D">
              <w:rPr>
                <w:rFonts w:ascii="Calibri" w:eastAsia="Calibri" w:hAnsi="Calibri"/>
                <w:i/>
                <w:sz w:val="20"/>
                <w:szCs w:val="20"/>
                <w:lang w:eastAsia="en-US"/>
              </w:rPr>
              <w:t>Podopatrenie 8.3: Podpora prevencie poškodzovania lesov lesnými požiarmi, prírodnými pohromami a katastrofickými udalosťami  (čl.24)</w:t>
            </w:r>
          </w:p>
          <w:p w:rsidR="00E43137" w:rsidRPr="00E43137" w:rsidRDefault="00E43137" w:rsidP="00E74A4E">
            <w:pPr>
              <w:spacing w:after="60"/>
              <w:jc w:val="left"/>
              <w:rPr>
                <w:rFonts w:ascii="Calibri" w:eastAsia="Calibri" w:hAnsi="Calibri"/>
                <w:i/>
                <w:sz w:val="20"/>
                <w:szCs w:val="20"/>
                <w:lang w:eastAsia="en-US"/>
              </w:rPr>
            </w:pPr>
            <w:r w:rsidRPr="00E43137">
              <w:rPr>
                <w:rFonts w:ascii="Calibri" w:eastAsia="Calibri" w:hAnsi="Calibri"/>
                <w:i/>
                <w:sz w:val="20"/>
                <w:szCs w:val="20"/>
                <w:lang w:eastAsia="en-US"/>
              </w:rPr>
              <w:t xml:space="preserve">Podopatrenie 8.4 : </w:t>
            </w:r>
            <w:r w:rsidR="006A183D" w:rsidRPr="008F3A19">
              <w:rPr>
                <w:rFonts w:ascii="Calibri" w:eastAsia="Calibri" w:hAnsi="Calibri" w:cs="Calibri"/>
                <w:bCs/>
                <w:i/>
                <w:sz w:val="20"/>
                <w:szCs w:val="20"/>
              </w:rPr>
              <w:t xml:space="preserve"> Podpora prevencie poškodzovania lesov lesnými požiarmi, prírodnými pohromami a katastrofickými udalosťami  a obnova poškodených lesov</w:t>
            </w:r>
            <w:r w:rsidR="006A183D" w:rsidRPr="008F3A19" w:rsidDel="008F3A19">
              <w:rPr>
                <w:i/>
                <w:sz w:val="20"/>
                <w:szCs w:val="20"/>
              </w:rPr>
              <w:t xml:space="preserve"> </w:t>
            </w:r>
            <w:r w:rsidRPr="00E43137">
              <w:rPr>
                <w:rFonts w:ascii="Calibri" w:eastAsia="Calibri" w:hAnsi="Calibri"/>
                <w:i/>
                <w:sz w:val="20"/>
                <w:szCs w:val="20"/>
                <w:lang w:eastAsia="en-US"/>
              </w:rPr>
              <w:t>(čl.24)</w:t>
            </w:r>
          </w:p>
          <w:p w:rsidR="00E43137" w:rsidRPr="00E43137" w:rsidRDefault="00E43137" w:rsidP="00E74A4E">
            <w:pPr>
              <w:spacing w:after="60"/>
              <w:jc w:val="left"/>
              <w:rPr>
                <w:rFonts w:ascii="Calibri" w:eastAsia="Calibri" w:hAnsi="Calibri"/>
                <w:sz w:val="20"/>
                <w:szCs w:val="20"/>
                <w:lang w:eastAsia="en-US"/>
              </w:rPr>
            </w:pPr>
            <w:r w:rsidRPr="00E43137">
              <w:rPr>
                <w:rFonts w:ascii="Calibri" w:eastAsia="Calibri" w:hAnsi="Calibri"/>
                <w:i/>
                <w:sz w:val="20"/>
                <w:szCs w:val="20"/>
                <w:lang w:eastAsia="en-US"/>
              </w:rPr>
              <w:t>Podopatrenie 8.5: Investície na zlepšenie odolnosti a environmentálnej hodnoty lesných ekosystémov (čl.25)</w:t>
            </w:r>
          </w:p>
        </w:tc>
      </w:tr>
      <w:tr w:rsidR="00E43137" w:rsidRPr="00E43137" w:rsidTr="0031577A">
        <w:tc>
          <w:tcPr>
            <w:tcW w:w="2093" w:type="dxa"/>
            <w:vMerge/>
            <w:shd w:val="clear" w:color="auto" w:fill="auto"/>
            <w:vAlign w:val="center"/>
          </w:tcPr>
          <w:p w:rsidR="00E43137" w:rsidRPr="00E43137" w:rsidRDefault="00E43137" w:rsidP="00E74A4E">
            <w:pPr>
              <w:spacing w:after="60"/>
              <w:jc w:val="left"/>
              <w:rPr>
                <w:rFonts w:ascii="Calibri" w:eastAsia="Calibri" w:hAnsi="Calibri"/>
                <w:sz w:val="20"/>
                <w:szCs w:val="20"/>
                <w:lang w:eastAsia="en-US"/>
              </w:rPr>
            </w:pPr>
          </w:p>
        </w:tc>
        <w:tc>
          <w:tcPr>
            <w:tcW w:w="1843" w:type="dxa"/>
            <w:vMerge/>
            <w:shd w:val="clear" w:color="auto" w:fill="auto"/>
            <w:vAlign w:val="center"/>
          </w:tcPr>
          <w:p w:rsidR="00E43137" w:rsidRPr="00E43137" w:rsidRDefault="00E43137" w:rsidP="00E74A4E">
            <w:pPr>
              <w:spacing w:after="60"/>
              <w:jc w:val="left"/>
              <w:rPr>
                <w:rFonts w:ascii="Calibri" w:eastAsia="Calibri" w:hAnsi="Calibri"/>
                <w:sz w:val="20"/>
                <w:szCs w:val="20"/>
                <w:lang w:eastAsia="en-US"/>
              </w:rPr>
            </w:pPr>
          </w:p>
        </w:tc>
        <w:tc>
          <w:tcPr>
            <w:tcW w:w="5811" w:type="dxa"/>
            <w:shd w:val="clear" w:color="auto" w:fill="auto"/>
            <w:vAlign w:val="center"/>
          </w:tcPr>
          <w:p w:rsidR="00E43137" w:rsidRPr="00E43137" w:rsidRDefault="00E43137" w:rsidP="00E74A4E">
            <w:pPr>
              <w:spacing w:after="60"/>
              <w:jc w:val="left"/>
              <w:rPr>
                <w:rFonts w:ascii="Calibri" w:eastAsia="Calibri" w:hAnsi="Calibri"/>
                <w:sz w:val="20"/>
                <w:szCs w:val="20"/>
                <w:lang w:eastAsia="en-US"/>
              </w:rPr>
            </w:pPr>
            <w:r w:rsidRPr="00E43137">
              <w:rPr>
                <w:rFonts w:ascii="Calibri" w:eastAsia="Calibri" w:hAnsi="Calibri"/>
                <w:sz w:val="20"/>
                <w:szCs w:val="20"/>
                <w:lang w:eastAsia="en-US"/>
              </w:rPr>
              <w:t>Opatrenie 10: Agroenvironmentálno-klimatické opatrenie  (čl. 28)</w:t>
            </w:r>
          </w:p>
        </w:tc>
      </w:tr>
      <w:tr w:rsidR="00E43137" w:rsidRPr="00E43137" w:rsidTr="0031577A">
        <w:tc>
          <w:tcPr>
            <w:tcW w:w="2093" w:type="dxa"/>
            <w:vMerge/>
            <w:shd w:val="clear" w:color="auto" w:fill="auto"/>
            <w:vAlign w:val="center"/>
          </w:tcPr>
          <w:p w:rsidR="00E43137" w:rsidRPr="00E43137" w:rsidRDefault="00E43137" w:rsidP="00E74A4E">
            <w:pPr>
              <w:spacing w:after="60"/>
              <w:jc w:val="left"/>
              <w:rPr>
                <w:rFonts w:ascii="Calibri" w:eastAsia="Calibri" w:hAnsi="Calibri"/>
                <w:sz w:val="20"/>
                <w:szCs w:val="20"/>
                <w:lang w:eastAsia="en-US"/>
              </w:rPr>
            </w:pPr>
          </w:p>
        </w:tc>
        <w:tc>
          <w:tcPr>
            <w:tcW w:w="1843" w:type="dxa"/>
            <w:vMerge/>
            <w:shd w:val="clear" w:color="auto" w:fill="auto"/>
            <w:vAlign w:val="center"/>
          </w:tcPr>
          <w:p w:rsidR="00E43137" w:rsidRPr="00E43137" w:rsidRDefault="00E43137" w:rsidP="00E74A4E">
            <w:pPr>
              <w:spacing w:after="60"/>
              <w:jc w:val="left"/>
              <w:rPr>
                <w:rFonts w:ascii="Calibri" w:eastAsia="Calibri" w:hAnsi="Calibri"/>
                <w:sz w:val="20"/>
                <w:szCs w:val="20"/>
                <w:lang w:eastAsia="en-US"/>
              </w:rPr>
            </w:pPr>
          </w:p>
        </w:tc>
        <w:tc>
          <w:tcPr>
            <w:tcW w:w="5811" w:type="dxa"/>
            <w:shd w:val="clear" w:color="auto" w:fill="auto"/>
            <w:vAlign w:val="center"/>
          </w:tcPr>
          <w:p w:rsidR="00E43137" w:rsidRPr="00E43137" w:rsidRDefault="00E43137" w:rsidP="00E74A4E">
            <w:pPr>
              <w:spacing w:after="60"/>
              <w:jc w:val="left"/>
              <w:rPr>
                <w:rFonts w:ascii="Calibri" w:eastAsia="Calibri" w:hAnsi="Calibri"/>
                <w:sz w:val="20"/>
                <w:szCs w:val="20"/>
                <w:lang w:eastAsia="en-US"/>
              </w:rPr>
            </w:pPr>
            <w:r w:rsidRPr="00E43137">
              <w:rPr>
                <w:rFonts w:ascii="Calibri" w:eastAsia="Calibri" w:hAnsi="Calibri"/>
                <w:sz w:val="20"/>
                <w:szCs w:val="20"/>
                <w:lang w:eastAsia="en-US"/>
              </w:rPr>
              <w:t>Opatrenie 11: Ekologické poľnohospodárstvo (čl. 29)</w:t>
            </w:r>
          </w:p>
        </w:tc>
      </w:tr>
      <w:tr w:rsidR="00E43137" w:rsidRPr="00E43137" w:rsidTr="0031577A">
        <w:tc>
          <w:tcPr>
            <w:tcW w:w="2093" w:type="dxa"/>
            <w:vMerge/>
            <w:shd w:val="clear" w:color="auto" w:fill="auto"/>
            <w:vAlign w:val="center"/>
          </w:tcPr>
          <w:p w:rsidR="00E43137" w:rsidRPr="00E43137" w:rsidRDefault="00E43137" w:rsidP="00E74A4E">
            <w:pPr>
              <w:spacing w:after="60"/>
              <w:jc w:val="left"/>
              <w:rPr>
                <w:rFonts w:ascii="Calibri" w:eastAsia="Calibri" w:hAnsi="Calibri"/>
                <w:sz w:val="20"/>
                <w:szCs w:val="20"/>
                <w:lang w:eastAsia="en-US"/>
              </w:rPr>
            </w:pPr>
          </w:p>
        </w:tc>
        <w:tc>
          <w:tcPr>
            <w:tcW w:w="1843" w:type="dxa"/>
            <w:vMerge/>
            <w:shd w:val="clear" w:color="auto" w:fill="auto"/>
            <w:vAlign w:val="center"/>
          </w:tcPr>
          <w:p w:rsidR="00E43137" w:rsidRPr="00E43137" w:rsidRDefault="00E43137" w:rsidP="00E74A4E">
            <w:pPr>
              <w:spacing w:after="60"/>
              <w:jc w:val="left"/>
              <w:rPr>
                <w:rFonts w:ascii="Calibri" w:eastAsia="Calibri" w:hAnsi="Calibri"/>
                <w:sz w:val="20"/>
                <w:szCs w:val="20"/>
                <w:lang w:eastAsia="en-US"/>
              </w:rPr>
            </w:pPr>
          </w:p>
        </w:tc>
        <w:tc>
          <w:tcPr>
            <w:tcW w:w="5811" w:type="dxa"/>
            <w:shd w:val="clear" w:color="auto" w:fill="auto"/>
            <w:vAlign w:val="center"/>
          </w:tcPr>
          <w:p w:rsidR="00E43137" w:rsidRPr="00E43137" w:rsidRDefault="00E43137" w:rsidP="00E74A4E">
            <w:pPr>
              <w:spacing w:after="60"/>
              <w:jc w:val="left"/>
              <w:rPr>
                <w:rFonts w:ascii="Calibri" w:eastAsia="Calibri" w:hAnsi="Calibri"/>
                <w:sz w:val="20"/>
                <w:szCs w:val="20"/>
                <w:lang w:eastAsia="en-US"/>
              </w:rPr>
            </w:pPr>
            <w:r w:rsidRPr="00E43137">
              <w:rPr>
                <w:rFonts w:ascii="Calibri" w:eastAsia="Calibri" w:hAnsi="Calibri"/>
                <w:sz w:val="20"/>
                <w:szCs w:val="20"/>
                <w:lang w:eastAsia="en-US"/>
              </w:rPr>
              <w:t>Opatrenie 12:  Platby týkajúce sa sústavy Natura 2000 (čl.30)</w:t>
            </w:r>
          </w:p>
        </w:tc>
      </w:tr>
      <w:tr w:rsidR="00E43137" w:rsidRPr="00E43137" w:rsidTr="0031577A">
        <w:tc>
          <w:tcPr>
            <w:tcW w:w="2093" w:type="dxa"/>
            <w:vMerge/>
            <w:shd w:val="clear" w:color="auto" w:fill="auto"/>
            <w:vAlign w:val="center"/>
          </w:tcPr>
          <w:p w:rsidR="00E43137" w:rsidRPr="00E43137" w:rsidRDefault="00E43137" w:rsidP="00E74A4E">
            <w:pPr>
              <w:spacing w:after="60"/>
              <w:jc w:val="left"/>
              <w:rPr>
                <w:rFonts w:ascii="Calibri" w:eastAsia="Calibri" w:hAnsi="Calibri"/>
                <w:sz w:val="20"/>
                <w:szCs w:val="20"/>
                <w:lang w:eastAsia="en-US"/>
              </w:rPr>
            </w:pPr>
          </w:p>
        </w:tc>
        <w:tc>
          <w:tcPr>
            <w:tcW w:w="1843" w:type="dxa"/>
            <w:vMerge/>
            <w:shd w:val="clear" w:color="auto" w:fill="auto"/>
            <w:vAlign w:val="center"/>
          </w:tcPr>
          <w:p w:rsidR="00E43137" w:rsidRPr="00E43137" w:rsidRDefault="00E43137" w:rsidP="00E74A4E">
            <w:pPr>
              <w:spacing w:after="60"/>
              <w:jc w:val="left"/>
              <w:rPr>
                <w:rFonts w:ascii="Calibri" w:eastAsia="Calibri" w:hAnsi="Calibri"/>
                <w:sz w:val="20"/>
                <w:szCs w:val="20"/>
                <w:lang w:eastAsia="en-US"/>
              </w:rPr>
            </w:pPr>
          </w:p>
        </w:tc>
        <w:tc>
          <w:tcPr>
            <w:tcW w:w="5811" w:type="dxa"/>
            <w:shd w:val="clear" w:color="auto" w:fill="auto"/>
            <w:vAlign w:val="center"/>
          </w:tcPr>
          <w:p w:rsidR="00E43137" w:rsidRPr="00E43137" w:rsidRDefault="00E43137" w:rsidP="00E74A4E">
            <w:pPr>
              <w:spacing w:after="60"/>
              <w:jc w:val="left"/>
              <w:rPr>
                <w:rFonts w:ascii="Calibri" w:eastAsia="Calibri" w:hAnsi="Calibri"/>
                <w:sz w:val="20"/>
                <w:szCs w:val="20"/>
                <w:lang w:eastAsia="en-US"/>
              </w:rPr>
            </w:pPr>
            <w:r w:rsidRPr="00E43137">
              <w:rPr>
                <w:rFonts w:ascii="Calibri" w:eastAsia="Calibri" w:hAnsi="Calibri"/>
                <w:sz w:val="20"/>
                <w:szCs w:val="20"/>
                <w:lang w:eastAsia="en-US"/>
              </w:rPr>
              <w:t>Opatrenie 13: Platby pre oblasti s prírodnými alebo inými špecifickými obmedzeniami (čl.31)</w:t>
            </w:r>
          </w:p>
        </w:tc>
      </w:tr>
      <w:tr w:rsidR="00E74A4E" w:rsidRPr="00E43137" w:rsidTr="0031577A">
        <w:tc>
          <w:tcPr>
            <w:tcW w:w="2093" w:type="dxa"/>
            <w:vMerge/>
            <w:shd w:val="clear" w:color="auto" w:fill="auto"/>
            <w:vAlign w:val="center"/>
          </w:tcPr>
          <w:p w:rsidR="00E74A4E" w:rsidRPr="00E43137" w:rsidRDefault="00E74A4E" w:rsidP="00E74A4E">
            <w:pPr>
              <w:spacing w:after="60"/>
              <w:jc w:val="left"/>
              <w:rPr>
                <w:rFonts w:ascii="Calibri" w:eastAsia="Calibri" w:hAnsi="Calibri"/>
                <w:sz w:val="20"/>
                <w:szCs w:val="20"/>
                <w:lang w:eastAsia="en-US"/>
              </w:rPr>
            </w:pPr>
          </w:p>
        </w:tc>
        <w:tc>
          <w:tcPr>
            <w:tcW w:w="1843" w:type="dxa"/>
            <w:vMerge/>
            <w:shd w:val="clear" w:color="auto" w:fill="auto"/>
            <w:vAlign w:val="center"/>
          </w:tcPr>
          <w:p w:rsidR="00E74A4E" w:rsidRPr="00E43137" w:rsidRDefault="00E74A4E" w:rsidP="00E74A4E">
            <w:pPr>
              <w:spacing w:after="60"/>
              <w:jc w:val="left"/>
              <w:rPr>
                <w:rFonts w:ascii="Calibri" w:eastAsia="Calibri" w:hAnsi="Calibri"/>
                <w:sz w:val="20"/>
                <w:szCs w:val="20"/>
                <w:lang w:eastAsia="en-US"/>
              </w:rPr>
            </w:pPr>
          </w:p>
        </w:tc>
        <w:tc>
          <w:tcPr>
            <w:tcW w:w="5811" w:type="dxa"/>
            <w:shd w:val="clear" w:color="auto" w:fill="auto"/>
            <w:vAlign w:val="center"/>
          </w:tcPr>
          <w:p w:rsidR="00E74A4E" w:rsidRPr="008F0CC8" w:rsidRDefault="00E74A4E" w:rsidP="00B3442A">
            <w:pPr>
              <w:rPr>
                <w:bCs/>
                <w:sz w:val="20"/>
                <w:szCs w:val="20"/>
                <w:lang w:val="pl-PL"/>
              </w:rPr>
            </w:pPr>
            <w:r>
              <w:rPr>
                <w:sz w:val="20"/>
                <w:szCs w:val="20"/>
              </w:rPr>
              <w:t>Opatrenie 15</w:t>
            </w:r>
            <w:r w:rsidR="00B3442A">
              <w:rPr>
                <w:sz w:val="20"/>
                <w:szCs w:val="20"/>
              </w:rPr>
              <w:t>: Lesnícko-env</w:t>
            </w:r>
            <w:r w:rsidRPr="008F0CC8">
              <w:rPr>
                <w:sz w:val="20"/>
                <w:szCs w:val="20"/>
              </w:rPr>
              <w:t>i</w:t>
            </w:r>
            <w:r w:rsidR="00B3442A">
              <w:rPr>
                <w:sz w:val="20"/>
                <w:szCs w:val="20"/>
              </w:rPr>
              <w:t>ro</w:t>
            </w:r>
            <w:r w:rsidRPr="008F0CC8">
              <w:rPr>
                <w:sz w:val="20"/>
                <w:szCs w:val="20"/>
              </w:rPr>
              <w:t xml:space="preserve">nmentálna podpora </w:t>
            </w:r>
            <w:r w:rsidRPr="008F0CC8">
              <w:rPr>
                <w:rFonts w:ascii="Calibri" w:eastAsia="Calibri" w:hAnsi="Calibri" w:cs="Calibri"/>
                <w:caps/>
                <w:smallCaps/>
                <w:lang w:val="pl-PL"/>
              </w:rPr>
              <w:t xml:space="preserve"> </w:t>
            </w:r>
            <w:r w:rsidRPr="008F0CC8">
              <w:rPr>
                <w:bCs/>
                <w:sz w:val="20"/>
                <w:szCs w:val="20"/>
                <w:lang w:val="pl-PL"/>
              </w:rPr>
              <w:t>lesnícko-environmentálne a klimatické služby a ochrana lesov  (čl.34)</w:t>
            </w:r>
          </w:p>
          <w:p w:rsidR="00E74A4E" w:rsidRPr="008F0CC8" w:rsidRDefault="00E74A4E" w:rsidP="00B3442A">
            <w:pPr>
              <w:rPr>
                <w:bCs/>
                <w:i/>
                <w:iCs/>
                <w:sz w:val="20"/>
                <w:szCs w:val="20"/>
              </w:rPr>
            </w:pPr>
            <w:r w:rsidRPr="008F0CC8">
              <w:rPr>
                <w:bCs/>
                <w:i/>
                <w:sz w:val="20"/>
                <w:szCs w:val="20"/>
                <w:lang w:val="pl-PL"/>
              </w:rPr>
              <w:t xml:space="preserve">Podopatrenie 15.1 </w:t>
            </w:r>
            <w:r w:rsidRPr="008F0CC8">
              <w:rPr>
                <w:rFonts w:ascii="Calibri" w:hAnsi="Calibri" w:cs="Calibri"/>
                <w:bCs/>
                <w:i/>
                <w:iCs/>
              </w:rPr>
              <w:t xml:space="preserve"> </w:t>
            </w:r>
            <w:r w:rsidRPr="008F0CC8">
              <w:rPr>
                <w:bCs/>
                <w:i/>
                <w:iCs/>
                <w:sz w:val="20"/>
                <w:szCs w:val="20"/>
              </w:rPr>
              <w:t>Platby na lesnícko-environmentálne záväzky</w:t>
            </w:r>
          </w:p>
          <w:p w:rsidR="00E74A4E" w:rsidRPr="00E43137" w:rsidRDefault="00E74A4E" w:rsidP="00B3442A">
            <w:pPr>
              <w:jc w:val="left"/>
              <w:rPr>
                <w:rFonts w:ascii="Calibri" w:eastAsia="Calibri" w:hAnsi="Calibri"/>
                <w:sz w:val="20"/>
                <w:szCs w:val="20"/>
                <w:lang w:eastAsia="en-US"/>
              </w:rPr>
            </w:pPr>
            <w:r w:rsidRPr="008F0CC8">
              <w:rPr>
                <w:bCs/>
                <w:i/>
                <w:iCs/>
                <w:sz w:val="20"/>
                <w:szCs w:val="20"/>
              </w:rPr>
              <w:t xml:space="preserve">Podopatrenie 15.2 </w:t>
            </w:r>
            <w:r w:rsidRPr="008F0CC8">
              <w:rPr>
                <w:rFonts w:ascii="Calibri" w:hAnsi="Calibri" w:cs="Calibri"/>
                <w:bCs/>
                <w:i/>
                <w:iCs/>
              </w:rPr>
              <w:t xml:space="preserve"> </w:t>
            </w:r>
            <w:r w:rsidRPr="008F0CC8">
              <w:rPr>
                <w:bCs/>
                <w:i/>
                <w:iCs/>
                <w:sz w:val="20"/>
                <w:szCs w:val="20"/>
              </w:rPr>
              <w:t>Podpora na účely ochrany a podpory  lesných genetických zdrojov</w:t>
            </w:r>
          </w:p>
        </w:tc>
      </w:tr>
      <w:tr w:rsidR="00E43137" w:rsidRPr="00E43137" w:rsidTr="0031577A">
        <w:tc>
          <w:tcPr>
            <w:tcW w:w="2093" w:type="dxa"/>
            <w:vMerge/>
            <w:shd w:val="clear" w:color="auto" w:fill="auto"/>
            <w:vAlign w:val="center"/>
          </w:tcPr>
          <w:p w:rsidR="00E43137" w:rsidRPr="00E43137" w:rsidRDefault="00E43137" w:rsidP="00E74A4E">
            <w:pPr>
              <w:spacing w:after="60"/>
              <w:jc w:val="left"/>
              <w:rPr>
                <w:rFonts w:ascii="Calibri" w:eastAsia="Calibri" w:hAnsi="Calibri"/>
                <w:sz w:val="20"/>
                <w:szCs w:val="20"/>
                <w:lang w:eastAsia="en-US"/>
              </w:rPr>
            </w:pPr>
          </w:p>
        </w:tc>
        <w:tc>
          <w:tcPr>
            <w:tcW w:w="1843" w:type="dxa"/>
            <w:vMerge/>
            <w:shd w:val="clear" w:color="auto" w:fill="auto"/>
            <w:vAlign w:val="center"/>
          </w:tcPr>
          <w:p w:rsidR="00E43137" w:rsidRPr="00E43137" w:rsidRDefault="00E43137" w:rsidP="00E74A4E">
            <w:pPr>
              <w:spacing w:after="60"/>
              <w:jc w:val="left"/>
              <w:rPr>
                <w:rFonts w:ascii="Calibri" w:eastAsia="Calibri" w:hAnsi="Calibri"/>
                <w:sz w:val="20"/>
                <w:szCs w:val="20"/>
                <w:lang w:eastAsia="en-US"/>
              </w:rPr>
            </w:pPr>
          </w:p>
        </w:tc>
        <w:tc>
          <w:tcPr>
            <w:tcW w:w="5811" w:type="dxa"/>
            <w:shd w:val="clear" w:color="auto" w:fill="auto"/>
            <w:vAlign w:val="center"/>
          </w:tcPr>
          <w:p w:rsidR="00E43137" w:rsidRPr="00E43137" w:rsidRDefault="00E43137" w:rsidP="00E74A4E">
            <w:pPr>
              <w:spacing w:after="60"/>
              <w:jc w:val="left"/>
              <w:rPr>
                <w:rFonts w:ascii="Calibri" w:eastAsia="Calibri" w:hAnsi="Calibri"/>
                <w:sz w:val="20"/>
                <w:szCs w:val="20"/>
                <w:lang w:eastAsia="en-US"/>
              </w:rPr>
            </w:pPr>
            <w:r w:rsidRPr="00E43137">
              <w:rPr>
                <w:rFonts w:ascii="Calibri" w:eastAsia="Calibri" w:hAnsi="Calibri"/>
                <w:sz w:val="20"/>
                <w:szCs w:val="20"/>
                <w:lang w:eastAsia="en-US"/>
              </w:rPr>
              <w:t>Opatrenie 16: Spolupráca (čl. 35)</w:t>
            </w:r>
          </w:p>
        </w:tc>
      </w:tr>
      <w:tr w:rsidR="00E43137" w:rsidRPr="00E43137" w:rsidTr="0031577A">
        <w:tc>
          <w:tcPr>
            <w:tcW w:w="2093" w:type="dxa"/>
            <w:vMerge w:val="restart"/>
            <w:shd w:val="clear" w:color="auto" w:fill="auto"/>
            <w:vAlign w:val="center"/>
          </w:tcPr>
          <w:p w:rsidR="00E43137" w:rsidRPr="00E43137" w:rsidRDefault="00E43137" w:rsidP="00E74A4E">
            <w:pPr>
              <w:spacing w:after="60"/>
              <w:jc w:val="left"/>
              <w:rPr>
                <w:rFonts w:ascii="Calibri" w:eastAsia="Calibri" w:hAnsi="Calibri"/>
                <w:sz w:val="20"/>
                <w:szCs w:val="20"/>
                <w:lang w:eastAsia="en-US"/>
              </w:rPr>
            </w:pPr>
            <w:r w:rsidRPr="00E43137">
              <w:rPr>
                <w:rFonts w:ascii="Calibri" w:eastAsia="Calibri" w:hAnsi="Calibri"/>
                <w:sz w:val="20"/>
                <w:szCs w:val="20"/>
                <w:lang w:eastAsia="en-US"/>
              </w:rPr>
              <w:t>Fokusová oblasť 4B:</w:t>
            </w:r>
          </w:p>
          <w:p w:rsidR="00E43137" w:rsidRPr="00E43137" w:rsidRDefault="00E43137" w:rsidP="00E74A4E">
            <w:pPr>
              <w:spacing w:after="60"/>
              <w:jc w:val="left"/>
              <w:rPr>
                <w:rFonts w:ascii="Calibri" w:eastAsia="Calibri" w:hAnsi="Calibri"/>
                <w:sz w:val="20"/>
                <w:szCs w:val="20"/>
                <w:lang w:eastAsia="en-US"/>
              </w:rPr>
            </w:pPr>
            <w:r w:rsidRPr="00E43137">
              <w:rPr>
                <w:rFonts w:ascii="Calibri" w:eastAsia="Calibri" w:hAnsi="Calibri" w:cs="EUAlbertina"/>
                <w:color w:val="000000"/>
                <w:sz w:val="19"/>
                <w:szCs w:val="19"/>
                <w:lang w:eastAsia="en-US"/>
              </w:rPr>
              <w:t>Zlepšenie vodného hospodárstva vrátane riadenia používania hnojív a pesticídov</w:t>
            </w:r>
          </w:p>
        </w:tc>
        <w:tc>
          <w:tcPr>
            <w:tcW w:w="1843" w:type="dxa"/>
            <w:vMerge w:val="restart"/>
            <w:shd w:val="clear" w:color="auto" w:fill="auto"/>
            <w:vAlign w:val="center"/>
          </w:tcPr>
          <w:p w:rsidR="00E43137" w:rsidRPr="00E43137" w:rsidRDefault="00E43137" w:rsidP="00E74A4E">
            <w:pPr>
              <w:spacing w:after="60"/>
              <w:jc w:val="left"/>
              <w:rPr>
                <w:rFonts w:ascii="Calibri" w:eastAsia="Calibri" w:hAnsi="Calibri"/>
                <w:sz w:val="20"/>
                <w:szCs w:val="20"/>
                <w:lang w:eastAsia="en-US"/>
              </w:rPr>
            </w:pPr>
            <w:r w:rsidRPr="00E43137">
              <w:rPr>
                <w:rFonts w:ascii="Calibri" w:eastAsia="Calibri" w:hAnsi="Calibri"/>
                <w:sz w:val="20"/>
                <w:szCs w:val="20"/>
                <w:lang w:eastAsia="en-US"/>
              </w:rPr>
              <w:t>% podnikov zúčastnených v podporných schémach riadenia rizika</w:t>
            </w:r>
          </w:p>
          <w:p w:rsidR="00E43137" w:rsidRPr="00E43137" w:rsidRDefault="00E43137" w:rsidP="00E74A4E">
            <w:pPr>
              <w:spacing w:after="60"/>
              <w:jc w:val="left"/>
              <w:rPr>
                <w:rFonts w:ascii="Calibri" w:eastAsia="Calibri" w:hAnsi="Calibri"/>
                <w:sz w:val="20"/>
                <w:szCs w:val="20"/>
                <w:lang w:eastAsia="en-US"/>
              </w:rPr>
            </w:pPr>
            <w:r w:rsidRPr="00E43137">
              <w:rPr>
                <w:rFonts w:ascii="Calibri" w:eastAsia="Calibri" w:hAnsi="Calibri"/>
                <w:sz w:val="20"/>
                <w:szCs w:val="20"/>
                <w:lang w:eastAsia="en-US"/>
              </w:rPr>
              <w:t>% podporenej lesnej pôdy, ktorá prispieva k zlepšeniu vodného hospodárstva(ha)</w:t>
            </w:r>
          </w:p>
          <w:p w:rsidR="00E43137" w:rsidRPr="00E43137" w:rsidRDefault="00E43137" w:rsidP="00E74A4E">
            <w:pPr>
              <w:spacing w:after="60"/>
              <w:jc w:val="left"/>
              <w:rPr>
                <w:rFonts w:ascii="Calibri" w:eastAsia="Calibri" w:hAnsi="Calibri"/>
                <w:sz w:val="20"/>
                <w:szCs w:val="20"/>
                <w:lang w:eastAsia="en-US"/>
              </w:rPr>
            </w:pPr>
          </w:p>
        </w:tc>
        <w:tc>
          <w:tcPr>
            <w:tcW w:w="5811" w:type="dxa"/>
            <w:shd w:val="clear" w:color="auto" w:fill="auto"/>
            <w:vAlign w:val="center"/>
          </w:tcPr>
          <w:p w:rsidR="00E43137" w:rsidRPr="00E43137" w:rsidRDefault="00E43137" w:rsidP="00E74A4E">
            <w:pPr>
              <w:spacing w:after="60"/>
              <w:jc w:val="left"/>
              <w:rPr>
                <w:rFonts w:ascii="Calibri" w:eastAsia="Calibri" w:hAnsi="Calibri"/>
                <w:sz w:val="20"/>
                <w:szCs w:val="20"/>
                <w:lang w:eastAsia="en-US"/>
              </w:rPr>
            </w:pPr>
            <w:r w:rsidRPr="00E43137">
              <w:rPr>
                <w:rFonts w:ascii="Calibri" w:eastAsia="Calibri" w:hAnsi="Calibri"/>
                <w:sz w:val="20"/>
                <w:szCs w:val="20"/>
                <w:lang w:eastAsia="en-US"/>
              </w:rPr>
              <w:t>Opatrenie 1: Prenos vedomostí a zručností (čl.14)</w:t>
            </w:r>
          </w:p>
        </w:tc>
      </w:tr>
      <w:tr w:rsidR="00E43137" w:rsidRPr="00E43137" w:rsidTr="0031577A">
        <w:trPr>
          <w:trHeight w:val="358"/>
        </w:trPr>
        <w:tc>
          <w:tcPr>
            <w:tcW w:w="2093" w:type="dxa"/>
            <w:vMerge/>
            <w:shd w:val="clear" w:color="auto" w:fill="auto"/>
            <w:vAlign w:val="center"/>
          </w:tcPr>
          <w:p w:rsidR="00E43137" w:rsidRPr="00E43137" w:rsidRDefault="00E43137" w:rsidP="00E74A4E">
            <w:pPr>
              <w:spacing w:after="60"/>
              <w:jc w:val="left"/>
              <w:rPr>
                <w:rFonts w:ascii="Calibri" w:eastAsia="Calibri" w:hAnsi="Calibri"/>
                <w:sz w:val="20"/>
                <w:szCs w:val="20"/>
                <w:lang w:eastAsia="en-US"/>
              </w:rPr>
            </w:pPr>
          </w:p>
        </w:tc>
        <w:tc>
          <w:tcPr>
            <w:tcW w:w="1843" w:type="dxa"/>
            <w:vMerge/>
            <w:shd w:val="clear" w:color="auto" w:fill="auto"/>
            <w:vAlign w:val="center"/>
          </w:tcPr>
          <w:p w:rsidR="00E43137" w:rsidRPr="00E43137" w:rsidRDefault="00E43137" w:rsidP="00E74A4E">
            <w:pPr>
              <w:spacing w:after="60"/>
              <w:jc w:val="left"/>
              <w:rPr>
                <w:rFonts w:ascii="Calibri" w:eastAsia="Calibri" w:hAnsi="Calibri"/>
                <w:sz w:val="20"/>
                <w:szCs w:val="20"/>
                <w:lang w:eastAsia="en-US"/>
              </w:rPr>
            </w:pPr>
          </w:p>
        </w:tc>
        <w:tc>
          <w:tcPr>
            <w:tcW w:w="5811" w:type="dxa"/>
            <w:shd w:val="clear" w:color="auto" w:fill="auto"/>
            <w:vAlign w:val="center"/>
          </w:tcPr>
          <w:p w:rsidR="00E43137" w:rsidRPr="00E43137" w:rsidRDefault="00E43137" w:rsidP="00E74A4E">
            <w:pPr>
              <w:jc w:val="left"/>
              <w:rPr>
                <w:rFonts w:ascii="Calibri" w:eastAsia="Calibri" w:hAnsi="Calibri"/>
                <w:sz w:val="20"/>
                <w:szCs w:val="20"/>
                <w:lang w:eastAsia="en-US"/>
              </w:rPr>
            </w:pPr>
            <w:r w:rsidRPr="00E43137">
              <w:rPr>
                <w:rFonts w:ascii="Calibri" w:eastAsia="Calibri" w:hAnsi="Calibri"/>
                <w:sz w:val="20"/>
                <w:szCs w:val="20"/>
                <w:lang w:eastAsia="en-US"/>
              </w:rPr>
              <w:t xml:space="preserve">Opatrenie 2:  Poradenské služby  (čl.15)                                                      </w:t>
            </w:r>
          </w:p>
        </w:tc>
      </w:tr>
      <w:tr w:rsidR="00E43137" w:rsidRPr="00E43137" w:rsidTr="0031577A">
        <w:tc>
          <w:tcPr>
            <w:tcW w:w="2093" w:type="dxa"/>
            <w:vMerge/>
            <w:shd w:val="clear" w:color="auto" w:fill="auto"/>
            <w:vAlign w:val="center"/>
          </w:tcPr>
          <w:p w:rsidR="00E43137" w:rsidRPr="00E43137" w:rsidRDefault="00E43137" w:rsidP="00E74A4E">
            <w:pPr>
              <w:spacing w:after="60"/>
              <w:jc w:val="left"/>
              <w:rPr>
                <w:rFonts w:ascii="Calibri" w:eastAsia="Calibri" w:hAnsi="Calibri"/>
                <w:sz w:val="20"/>
                <w:szCs w:val="20"/>
                <w:lang w:eastAsia="en-US"/>
              </w:rPr>
            </w:pPr>
          </w:p>
        </w:tc>
        <w:tc>
          <w:tcPr>
            <w:tcW w:w="1843" w:type="dxa"/>
            <w:vMerge/>
            <w:shd w:val="clear" w:color="auto" w:fill="auto"/>
            <w:vAlign w:val="center"/>
          </w:tcPr>
          <w:p w:rsidR="00E43137" w:rsidRPr="00E43137" w:rsidRDefault="00E43137" w:rsidP="00E74A4E">
            <w:pPr>
              <w:spacing w:after="60"/>
              <w:jc w:val="left"/>
              <w:rPr>
                <w:rFonts w:ascii="Calibri" w:eastAsia="Calibri" w:hAnsi="Calibri"/>
                <w:sz w:val="20"/>
                <w:szCs w:val="20"/>
                <w:lang w:eastAsia="en-US"/>
              </w:rPr>
            </w:pPr>
          </w:p>
        </w:tc>
        <w:tc>
          <w:tcPr>
            <w:tcW w:w="5811" w:type="dxa"/>
            <w:shd w:val="clear" w:color="auto" w:fill="auto"/>
            <w:vAlign w:val="center"/>
          </w:tcPr>
          <w:p w:rsidR="00E43137" w:rsidRPr="00E43137" w:rsidRDefault="00E43137" w:rsidP="00E74A4E">
            <w:pPr>
              <w:spacing w:after="60"/>
              <w:jc w:val="left"/>
              <w:rPr>
                <w:rFonts w:ascii="Calibri" w:eastAsia="Calibri" w:hAnsi="Calibri"/>
                <w:sz w:val="20"/>
                <w:szCs w:val="20"/>
                <w:lang w:eastAsia="en-US"/>
              </w:rPr>
            </w:pPr>
            <w:r w:rsidRPr="00E43137">
              <w:rPr>
                <w:rFonts w:ascii="Calibri" w:eastAsia="Calibri" w:hAnsi="Calibri"/>
                <w:sz w:val="20"/>
                <w:szCs w:val="20"/>
                <w:lang w:eastAsia="en-US"/>
              </w:rPr>
              <w:t>Opatrenie 8: Investície do rozvoja lesných oblastí a zlepšenie životaschopnosti lesov (čl.21):</w:t>
            </w:r>
          </w:p>
          <w:p w:rsidR="006A183D" w:rsidRPr="006A183D" w:rsidRDefault="006A183D" w:rsidP="006A183D">
            <w:pPr>
              <w:spacing w:after="60"/>
              <w:jc w:val="left"/>
              <w:rPr>
                <w:rFonts w:ascii="Calibri" w:eastAsia="Calibri" w:hAnsi="Calibri"/>
                <w:i/>
                <w:sz w:val="20"/>
                <w:szCs w:val="20"/>
                <w:lang w:eastAsia="en-US"/>
              </w:rPr>
            </w:pPr>
            <w:r w:rsidRPr="006A183D">
              <w:rPr>
                <w:rFonts w:ascii="Calibri" w:eastAsia="Calibri" w:hAnsi="Calibri"/>
                <w:i/>
                <w:sz w:val="20"/>
                <w:szCs w:val="20"/>
                <w:lang w:eastAsia="en-US"/>
              </w:rPr>
              <w:t>Podopatrenie 8.3: Podpora prevencie poškodzovania lesov lesnými požiarmi, prírodnými pohromami a katastrofickými udalosťami  (čl.24)</w:t>
            </w:r>
          </w:p>
          <w:p w:rsidR="006A183D" w:rsidRDefault="006A183D" w:rsidP="006A183D">
            <w:pPr>
              <w:spacing w:after="60"/>
              <w:jc w:val="left"/>
              <w:rPr>
                <w:rFonts w:ascii="Calibri" w:eastAsia="Calibri" w:hAnsi="Calibri"/>
                <w:i/>
                <w:sz w:val="20"/>
                <w:szCs w:val="20"/>
                <w:lang w:eastAsia="en-US"/>
              </w:rPr>
            </w:pPr>
            <w:r w:rsidRPr="006A183D">
              <w:rPr>
                <w:rFonts w:ascii="Calibri" w:eastAsia="Calibri" w:hAnsi="Calibri"/>
                <w:i/>
                <w:sz w:val="20"/>
                <w:szCs w:val="20"/>
                <w:lang w:eastAsia="en-US"/>
              </w:rPr>
              <w:t>Podopatrenie 8.4 :  Podpora prevencie poškodzovania lesov lesnými požiarmi, prírodnými pohromami a katastrofickými udalosťami  a obnova poškodených lesov (čl.24)</w:t>
            </w:r>
          </w:p>
          <w:p w:rsidR="00E43137" w:rsidRPr="00E43137" w:rsidRDefault="00E43137" w:rsidP="006A183D">
            <w:pPr>
              <w:spacing w:after="60"/>
              <w:jc w:val="left"/>
              <w:rPr>
                <w:rFonts w:ascii="Calibri" w:eastAsia="Calibri" w:hAnsi="Calibri"/>
                <w:sz w:val="20"/>
                <w:szCs w:val="20"/>
                <w:lang w:eastAsia="en-US"/>
              </w:rPr>
            </w:pPr>
            <w:r w:rsidRPr="00E43137">
              <w:rPr>
                <w:rFonts w:ascii="Calibri" w:eastAsia="Calibri" w:hAnsi="Calibri"/>
                <w:i/>
                <w:sz w:val="20"/>
                <w:szCs w:val="20"/>
                <w:lang w:eastAsia="en-US"/>
              </w:rPr>
              <w:t>Podopatrenie 8.5 : Investície na zlepšenie odolnosti a environmentálnej hodnoty lesných ekosystémov (čl.25)</w:t>
            </w:r>
          </w:p>
        </w:tc>
      </w:tr>
      <w:tr w:rsidR="00E43137" w:rsidRPr="00E43137" w:rsidTr="0031577A">
        <w:tc>
          <w:tcPr>
            <w:tcW w:w="2093" w:type="dxa"/>
            <w:vMerge/>
            <w:shd w:val="clear" w:color="auto" w:fill="auto"/>
            <w:vAlign w:val="center"/>
          </w:tcPr>
          <w:p w:rsidR="00E43137" w:rsidRPr="00E43137" w:rsidRDefault="00E43137" w:rsidP="00E74A4E">
            <w:pPr>
              <w:spacing w:after="60"/>
              <w:jc w:val="left"/>
              <w:rPr>
                <w:rFonts w:ascii="Calibri" w:eastAsia="Calibri" w:hAnsi="Calibri"/>
                <w:sz w:val="20"/>
                <w:szCs w:val="20"/>
                <w:lang w:eastAsia="en-US"/>
              </w:rPr>
            </w:pPr>
          </w:p>
        </w:tc>
        <w:tc>
          <w:tcPr>
            <w:tcW w:w="1843" w:type="dxa"/>
            <w:vMerge/>
            <w:shd w:val="clear" w:color="auto" w:fill="auto"/>
            <w:vAlign w:val="center"/>
          </w:tcPr>
          <w:p w:rsidR="00E43137" w:rsidRPr="00E43137" w:rsidRDefault="00E43137" w:rsidP="00E74A4E">
            <w:pPr>
              <w:spacing w:after="60"/>
              <w:jc w:val="left"/>
              <w:rPr>
                <w:rFonts w:ascii="Calibri" w:eastAsia="Calibri" w:hAnsi="Calibri"/>
                <w:sz w:val="20"/>
                <w:szCs w:val="20"/>
                <w:lang w:eastAsia="en-US"/>
              </w:rPr>
            </w:pPr>
          </w:p>
        </w:tc>
        <w:tc>
          <w:tcPr>
            <w:tcW w:w="5811" w:type="dxa"/>
            <w:shd w:val="clear" w:color="auto" w:fill="auto"/>
            <w:vAlign w:val="center"/>
          </w:tcPr>
          <w:p w:rsidR="00E43137" w:rsidRPr="00E43137" w:rsidRDefault="00E43137" w:rsidP="008676F9">
            <w:pPr>
              <w:spacing w:after="60"/>
              <w:rPr>
                <w:rFonts w:ascii="Calibri" w:eastAsia="Calibri" w:hAnsi="Calibri"/>
                <w:sz w:val="20"/>
                <w:szCs w:val="20"/>
                <w:lang w:eastAsia="en-US"/>
              </w:rPr>
            </w:pPr>
            <w:r w:rsidRPr="00E43137">
              <w:rPr>
                <w:rFonts w:ascii="Calibri" w:eastAsia="Calibri" w:hAnsi="Calibri"/>
                <w:sz w:val="20"/>
                <w:szCs w:val="20"/>
                <w:lang w:eastAsia="en-US"/>
              </w:rPr>
              <w:t>Opatrenie 10: Agroenvironmentálno-klimatické opatrenie  (čl. 28)</w:t>
            </w:r>
          </w:p>
        </w:tc>
      </w:tr>
      <w:tr w:rsidR="00E43137" w:rsidRPr="00E43137" w:rsidTr="0031577A">
        <w:tc>
          <w:tcPr>
            <w:tcW w:w="2093" w:type="dxa"/>
            <w:vMerge/>
            <w:shd w:val="clear" w:color="auto" w:fill="auto"/>
            <w:vAlign w:val="center"/>
          </w:tcPr>
          <w:p w:rsidR="00E43137" w:rsidRPr="00E43137" w:rsidRDefault="00E43137" w:rsidP="00E74A4E">
            <w:pPr>
              <w:spacing w:after="60"/>
              <w:jc w:val="left"/>
              <w:rPr>
                <w:rFonts w:ascii="Calibri" w:eastAsia="Calibri" w:hAnsi="Calibri"/>
                <w:sz w:val="20"/>
                <w:szCs w:val="20"/>
                <w:lang w:eastAsia="en-US"/>
              </w:rPr>
            </w:pPr>
          </w:p>
        </w:tc>
        <w:tc>
          <w:tcPr>
            <w:tcW w:w="1843" w:type="dxa"/>
            <w:vMerge/>
            <w:shd w:val="clear" w:color="auto" w:fill="auto"/>
            <w:vAlign w:val="center"/>
          </w:tcPr>
          <w:p w:rsidR="00E43137" w:rsidRPr="00E43137" w:rsidRDefault="00E43137" w:rsidP="00E74A4E">
            <w:pPr>
              <w:spacing w:after="60"/>
              <w:jc w:val="left"/>
              <w:rPr>
                <w:rFonts w:ascii="Calibri" w:eastAsia="Calibri" w:hAnsi="Calibri"/>
                <w:sz w:val="20"/>
                <w:szCs w:val="20"/>
                <w:lang w:eastAsia="en-US"/>
              </w:rPr>
            </w:pPr>
          </w:p>
        </w:tc>
        <w:tc>
          <w:tcPr>
            <w:tcW w:w="5811" w:type="dxa"/>
            <w:shd w:val="clear" w:color="auto" w:fill="auto"/>
            <w:vAlign w:val="center"/>
          </w:tcPr>
          <w:p w:rsidR="00E43137" w:rsidRPr="00E43137" w:rsidRDefault="00E43137" w:rsidP="008676F9">
            <w:pPr>
              <w:spacing w:after="60"/>
              <w:rPr>
                <w:rFonts w:ascii="Calibri" w:eastAsia="Calibri" w:hAnsi="Calibri"/>
                <w:sz w:val="20"/>
                <w:szCs w:val="20"/>
                <w:lang w:eastAsia="en-US"/>
              </w:rPr>
            </w:pPr>
            <w:r w:rsidRPr="00E43137">
              <w:rPr>
                <w:rFonts w:ascii="Calibri" w:eastAsia="Calibri" w:hAnsi="Calibri"/>
                <w:sz w:val="20"/>
                <w:szCs w:val="20"/>
                <w:lang w:eastAsia="en-US"/>
              </w:rPr>
              <w:t>Opatrenie 11: Ekologické poľnohospodárstvo (čl. 29)</w:t>
            </w:r>
          </w:p>
        </w:tc>
      </w:tr>
      <w:tr w:rsidR="00E43137" w:rsidRPr="00E43137" w:rsidTr="0031577A">
        <w:tc>
          <w:tcPr>
            <w:tcW w:w="2093" w:type="dxa"/>
            <w:vMerge/>
            <w:shd w:val="clear" w:color="auto" w:fill="auto"/>
            <w:vAlign w:val="center"/>
          </w:tcPr>
          <w:p w:rsidR="00E43137" w:rsidRPr="00E43137" w:rsidRDefault="00E43137" w:rsidP="00E74A4E">
            <w:pPr>
              <w:spacing w:after="60"/>
              <w:jc w:val="left"/>
              <w:rPr>
                <w:rFonts w:ascii="Calibri" w:eastAsia="Calibri" w:hAnsi="Calibri"/>
                <w:b/>
                <w:sz w:val="20"/>
                <w:szCs w:val="20"/>
                <w:lang w:eastAsia="en-US"/>
              </w:rPr>
            </w:pPr>
          </w:p>
        </w:tc>
        <w:tc>
          <w:tcPr>
            <w:tcW w:w="1843" w:type="dxa"/>
            <w:vMerge/>
            <w:shd w:val="clear" w:color="auto" w:fill="auto"/>
            <w:vAlign w:val="center"/>
          </w:tcPr>
          <w:p w:rsidR="00E43137" w:rsidRPr="00E43137" w:rsidRDefault="00E43137" w:rsidP="00E74A4E">
            <w:pPr>
              <w:spacing w:after="60"/>
              <w:jc w:val="left"/>
              <w:rPr>
                <w:rFonts w:ascii="Calibri" w:eastAsia="Calibri" w:hAnsi="Calibri"/>
                <w:b/>
                <w:sz w:val="20"/>
                <w:szCs w:val="20"/>
                <w:lang w:eastAsia="en-US"/>
              </w:rPr>
            </w:pPr>
          </w:p>
        </w:tc>
        <w:tc>
          <w:tcPr>
            <w:tcW w:w="5811" w:type="dxa"/>
            <w:shd w:val="clear" w:color="auto" w:fill="auto"/>
            <w:vAlign w:val="center"/>
          </w:tcPr>
          <w:p w:rsidR="00E43137" w:rsidRPr="00E43137" w:rsidRDefault="00E43137" w:rsidP="005F08C4">
            <w:pPr>
              <w:spacing w:after="60"/>
              <w:jc w:val="left"/>
              <w:rPr>
                <w:rFonts w:ascii="Calibri" w:eastAsia="Calibri" w:hAnsi="Calibri"/>
                <w:sz w:val="20"/>
                <w:szCs w:val="20"/>
                <w:lang w:eastAsia="en-US"/>
              </w:rPr>
            </w:pPr>
            <w:r w:rsidRPr="00E43137">
              <w:rPr>
                <w:rFonts w:ascii="Calibri" w:eastAsia="Calibri" w:hAnsi="Calibri"/>
                <w:sz w:val="20"/>
                <w:szCs w:val="20"/>
                <w:lang w:eastAsia="en-US"/>
              </w:rPr>
              <w:t>Opatrenie 13: Platby pre oblasti s prírodnými alebo inými špecifickými obmedzeniami (čl.31)</w:t>
            </w:r>
          </w:p>
        </w:tc>
      </w:tr>
      <w:tr w:rsidR="00E43137" w:rsidRPr="00E43137" w:rsidTr="0031577A">
        <w:tc>
          <w:tcPr>
            <w:tcW w:w="2093" w:type="dxa"/>
            <w:vMerge/>
            <w:shd w:val="clear" w:color="auto" w:fill="auto"/>
            <w:vAlign w:val="center"/>
          </w:tcPr>
          <w:p w:rsidR="00E43137" w:rsidRPr="00E43137" w:rsidRDefault="00E43137" w:rsidP="00E74A4E">
            <w:pPr>
              <w:spacing w:after="60"/>
              <w:jc w:val="left"/>
              <w:rPr>
                <w:rFonts w:ascii="Calibri" w:eastAsia="Calibri" w:hAnsi="Calibri"/>
                <w:b/>
                <w:sz w:val="20"/>
                <w:szCs w:val="20"/>
                <w:lang w:eastAsia="en-US"/>
              </w:rPr>
            </w:pPr>
          </w:p>
        </w:tc>
        <w:tc>
          <w:tcPr>
            <w:tcW w:w="1843" w:type="dxa"/>
            <w:vMerge/>
            <w:shd w:val="clear" w:color="auto" w:fill="auto"/>
            <w:vAlign w:val="center"/>
          </w:tcPr>
          <w:p w:rsidR="00E43137" w:rsidRPr="00E43137" w:rsidRDefault="00E43137" w:rsidP="00E74A4E">
            <w:pPr>
              <w:spacing w:after="60"/>
              <w:jc w:val="left"/>
              <w:rPr>
                <w:rFonts w:ascii="Calibri" w:eastAsia="Calibri" w:hAnsi="Calibri"/>
                <w:b/>
                <w:sz w:val="20"/>
                <w:szCs w:val="20"/>
                <w:lang w:eastAsia="en-US"/>
              </w:rPr>
            </w:pPr>
          </w:p>
        </w:tc>
        <w:tc>
          <w:tcPr>
            <w:tcW w:w="5811" w:type="dxa"/>
            <w:shd w:val="clear" w:color="auto" w:fill="auto"/>
            <w:vAlign w:val="center"/>
          </w:tcPr>
          <w:p w:rsidR="00E43137" w:rsidRPr="00E43137" w:rsidRDefault="00E43137" w:rsidP="008676F9">
            <w:pPr>
              <w:spacing w:after="60"/>
              <w:rPr>
                <w:rFonts w:ascii="Calibri" w:eastAsia="Calibri" w:hAnsi="Calibri"/>
                <w:sz w:val="20"/>
                <w:szCs w:val="20"/>
                <w:lang w:eastAsia="en-US"/>
              </w:rPr>
            </w:pPr>
            <w:r w:rsidRPr="00E43137">
              <w:rPr>
                <w:rFonts w:ascii="Calibri" w:eastAsia="Calibri" w:hAnsi="Calibri"/>
                <w:sz w:val="20"/>
                <w:szCs w:val="20"/>
                <w:lang w:eastAsia="en-US"/>
              </w:rPr>
              <w:t>Opatrenie 16 Spolupráca (čl. 35)</w:t>
            </w:r>
          </w:p>
        </w:tc>
      </w:tr>
      <w:tr w:rsidR="00E43137" w:rsidRPr="00E43137" w:rsidTr="0031577A">
        <w:tc>
          <w:tcPr>
            <w:tcW w:w="2093" w:type="dxa"/>
            <w:vMerge w:val="restart"/>
            <w:shd w:val="clear" w:color="auto" w:fill="auto"/>
            <w:vAlign w:val="center"/>
          </w:tcPr>
          <w:p w:rsidR="00E43137" w:rsidRPr="00E43137" w:rsidRDefault="00E43137" w:rsidP="00E74A4E">
            <w:pPr>
              <w:spacing w:after="60"/>
              <w:jc w:val="left"/>
              <w:rPr>
                <w:rFonts w:ascii="Calibri" w:eastAsia="Calibri" w:hAnsi="Calibri"/>
                <w:sz w:val="20"/>
                <w:szCs w:val="20"/>
                <w:lang w:eastAsia="en-US"/>
              </w:rPr>
            </w:pPr>
            <w:r w:rsidRPr="00E43137">
              <w:rPr>
                <w:rFonts w:ascii="Calibri" w:eastAsia="Calibri" w:hAnsi="Calibri"/>
                <w:sz w:val="20"/>
                <w:szCs w:val="20"/>
                <w:lang w:eastAsia="en-US"/>
              </w:rPr>
              <w:t>Fokusová oblasť 4C:</w:t>
            </w:r>
          </w:p>
          <w:p w:rsidR="00E43137" w:rsidRPr="00E43137" w:rsidRDefault="00E43137" w:rsidP="00E74A4E">
            <w:pPr>
              <w:spacing w:after="60"/>
              <w:jc w:val="left"/>
              <w:rPr>
                <w:rFonts w:ascii="Calibri" w:eastAsia="Calibri" w:hAnsi="Calibri"/>
                <w:sz w:val="20"/>
                <w:szCs w:val="20"/>
                <w:lang w:eastAsia="en-US"/>
              </w:rPr>
            </w:pPr>
            <w:r w:rsidRPr="00E43137">
              <w:rPr>
                <w:rFonts w:ascii="Calibri" w:eastAsia="Calibri" w:hAnsi="Calibri" w:cs="EUAlbertina"/>
                <w:color w:val="000000"/>
                <w:sz w:val="19"/>
                <w:szCs w:val="19"/>
                <w:lang w:eastAsia="en-US"/>
              </w:rPr>
              <w:t>Predchádzanie erózii pôdy a zlepšenie jej obhospodarovania</w:t>
            </w:r>
          </w:p>
        </w:tc>
        <w:tc>
          <w:tcPr>
            <w:tcW w:w="1843" w:type="dxa"/>
            <w:vMerge w:val="restart"/>
            <w:shd w:val="clear" w:color="auto" w:fill="auto"/>
            <w:vAlign w:val="center"/>
          </w:tcPr>
          <w:p w:rsidR="00E43137" w:rsidRPr="00E43137" w:rsidRDefault="00E43137" w:rsidP="00E74A4E">
            <w:pPr>
              <w:spacing w:after="60"/>
              <w:jc w:val="left"/>
              <w:rPr>
                <w:rFonts w:ascii="Calibri" w:eastAsia="Calibri" w:hAnsi="Calibri"/>
                <w:sz w:val="20"/>
                <w:szCs w:val="20"/>
                <w:lang w:eastAsia="en-US"/>
              </w:rPr>
            </w:pPr>
            <w:r w:rsidRPr="00E43137">
              <w:rPr>
                <w:rFonts w:ascii="Calibri" w:eastAsia="Calibri" w:hAnsi="Calibri"/>
                <w:sz w:val="20"/>
                <w:szCs w:val="20"/>
                <w:lang w:eastAsia="en-US"/>
              </w:rPr>
              <w:t>% podporenej poľnohospodárskej výmery, ktorá prispieva k zlepšeniu</w:t>
            </w:r>
            <w:r w:rsidRPr="00E43137">
              <w:rPr>
                <w:rFonts w:ascii="Calibri" w:eastAsia="Calibri" w:hAnsi="Calibri"/>
                <w:sz w:val="20"/>
                <w:szCs w:val="20"/>
                <w:lang w:eastAsia="en-US"/>
              </w:rPr>
              <w:lastRenderedPageBreak/>
              <w:t xml:space="preserve"> obhospodarovaniu pôdy a /alebo prevencii pôdnej erózii (ha)</w:t>
            </w:r>
          </w:p>
          <w:p w:rsidR="00E43137" w:rsidRPr="00E43137" w:rsidRDefault="00E43137" w:rsidP="00E74A4E">
            <w:pPr>
              <w:spacing w:after="60"/>
              <w:jc w:val="left"/>
              <w:rPr>
                <w:rFonts w:ascii="Calibri" w:eastAsia="Calibri" w:hAnsi="Calibri"/>
                <w:sz w:val="20"/>
                <w:szCs w:val="20"/>
                <w:lang w:eastAsia="en-US"/>
              </w:rPr>
            </w:pPr>
            <w:r w:rsidRPr="00E43137">
              <w:rPr>
                <w:rFonts w:ascii="Calibri" w:eastAsia="Calibri" w:hAnsi="Calibri"/>
                <w:sz w:val="20"/>
                <w:szCs w:val="20"/>
                <w:lang w:eastAsia="en-US"/>
              </w:rPr>
              <w:t>% podporenej lesnej pôdy, ktorá prispieva k zlepšeniu obhospodarovania pôdy(ha)</w:t>
            </w:r>
          </w:p>
          <w:p w:rsidR="00E43137" w:rsidRPr="00E43137" w:rsidRDefault="00E43137" w:rsidP="00E74A4E">
            <w:pPr>
              <w:spacing w:after="60"/>
              <w:jc w:val="left"/>
              <w:rPr>
                <w:rFonts w:ascii="Calibri" w:eastAsia="Calibri" w:hAnsi="Calibri"/>
                <w:sz w:val="20"/>
                <w:szCs w:val="20"/>
                <w:lang w:eastAsia="en-US"/>
              </w:rPr>
            </w:pPr>
          </w:p>
        </w:tc>
        <w:tc>
          <w:tcPr>
            <w:tcW w:w="5811" w:type="dxa"/>
            <w:shd w:val="clear" w:color="auto" w:fill="auto"/>
            <w:vAlign w:val="center"/>
          </w:tcPr>
          <w:p w:rsidR="00E43137" w:rsidRPr="00E43137" w:rsidRDefault="00E43137" w:rsidP="008676F9">
            <w:pPr>
              <w:spacing w:after="60"/>
              <w:rPr>
                <w:rFonts w:ascii="Calibri" w:eastAsia="Calibri" w:hAnsi="Calibri"/>
                <w:sz w:val="20"/>
                <w:szCs w:val="20"/>
                <w:lang w:eastAsia="en-US"/>
              </w:rPr>
            </w:pPr>
            <w:r w:rsidRPr="00E43137">
              <w:rPr>
                <w:rFonts w:ascii="Calibri" w:eastAsia="Calibri" w:hAnsi="Calibri"/>
                <w:sz w:val="20"/>
                <w:szCs w:val="20"/>
                <w:lang w:eastAsia="en-US"/>
              </w:rPr>
              <w:t>Opatrenie  1: Prenos vedomostí a zručností (čl.14)</w:t>
            </w:r>
          </w:p>
        </w:tc>
      </w:tr>
      <w:tr w:rsidR="00E43137" w:rsidRPr="00E43137" w:rsidTr="0031577A">
        <w:tc>
          <w:tcPr>
            <w:tcW w:w="2093" w:type="dxa"/>
            <w:vMerge/>
            <w:shd w:val="clear" w:color="auto" w:fill="auto"/>
            <w:vAlign w:val="center"/>
          </w:tcPr>
          <w:p w:rsidR="00E43137" w:rsidRPr="00E43137" w:rsidRDefault="00E43137" w:rsidP="008676F9">
            <w:pPr>
              <w:spacing w:after="60"/>
              <w:rPr>
                <w:rFonts w:ascii="Calibri" w:eastAsia="Calibri" w:hAnsi="Calibri"/>
                <w:sz w:val="20"/>
                <w:szCs w:val="20"/>
                <w:lang w:eastAsia="en-US"/>
              </w:rPr>
            </w:pPr>
          </w:p>
        </w:tc>
        <w:tc>
          <w:tcPr>
            <w:tcW w:w="1843" w:type="dxa"/>
            <w:vMerge/>
            <w:shd w:val="clear" w:color="auto" w:fill="auto"/>
            <w:vAlign w:val="center"/>
          </w:tcPr>
          <w:p w:rsidR="00E43137" w:rsidRPr="00E43137" w:rsidRDefault="00E43137" w:rsidP="008676F9">
            <w:pPr>
              <w:spacing w:after="60"/>
              <w:rPr>
                <w:rFonts w:ascii="Calibri" w:eastAsia="Calibri" w:hAnsi="Calibri"/>
                <w:sz w:val="20"/>
                <w:szCs w:val="20"/>
                <w:lang w:eastAsia="en-US"/>
              </w:rPr>
            </w:pPr>
          </w:p>
        </w:tc>
        <w:tc>
          <w:tcPr>
            <w:tcW w:w="5811" w:type="dxa"/>
            <w:shd w:val="clear" w:color="auto" w:fill="auto"/>
            <w:vAlign w:val="center"/>
          </w:tcPr>
          <w:p w:rsidR="00E43137" w:rsidRPr="00E43137" w:rsidRDefault="00E43137" w:rsidP="008676F9">
            <w:pPr>
              <w:spacing w:after="60"/>
              <w:rPr>
                <w:rFonts w:ascii="Calibri" w:eastAsia="Calibri" w:hAnsi="Calibri"/>
                <w:sz w:val="20"/>
                <w:szCs w:val="20"/>
                <w:lang w:eastAsia="en-US"/>
              </w:rPr>
            </w:pPr>
            <w:r w:rsidRPr="00E43137">
              <w:rPr>
                <w:rFonts w:ascii="Calibri" w:eastAsia="Calibri" w:hAnsi="Calibri"/>
                <w:sz w:val="20"/>
                <w:szCs w:val="20"/>
                <w:lang w:eastAsia="en-US"/>
              </w:rPr>
              <w:t xml:space="preserve">Opatrenie  2:  Poradenské služby  (čl.15)                                                      </w:t>
            </w:r>
          </w:p>
        </w:tc>
      </w:tr>
      <w:tr w:rsidR="00E43137" w:rsidRPr="00E43137" w:rsidTr="0031577A">
        <w:tc>
          <w:tcPr>
            <w:tcW w:w="2093" w:type="dxa"/>
            <w:vMerge/>
            <w:shd w:val="clear" w:color="auto" w:fill="auto"/>
            <w:vAlign w:val="center"/>
          </w:tcPr>
          <w:p w:rsidR="00E43137" w:rsidRPr="00E43137" w:rsidRDefault="00E43137" w:rsidP="008676F9">
            <w:pPr>
              <w:spacing w:after="60"/>
              <w:rPr>
                <w:rFonts w:ascii="Calibri" w:eastAsia="Calibri" w:hAnsi="Calibri"/>
                <w:sz w:val="20"/>
                <w:szCs w:val="20"/>
                <w:lang w:eastAsia="en-US"/>
              </w:rPr>
            </w:pPr>
          </w:p>
        </w:tc>
        <w:tc>
          <w:tcPr>
            <w:tcW w:w="1843" w:type="dxa"/>
            <w:vMerge/>
            <w:shd w:val="clear" w:color="auto" w:fill="auto"/>
            <w:vAlign w:val="center"/>
          </w:tcPr>
          <w:p w:rsidR="00E43137" w:rsidRPr="00E43137" w:rsidRDefault="00E43137" w:rsidP="008676F9">
            <w:pPr>
              <w:spacing w:after="60"/>
              <w:rPr>
                <w:rFonts w:ascii="Calibri" w:eastAsia="Calibri" w:hAnsi="Calibri"/>
                <w:sz w:val="20"/>
                <w:szCs w:val="20"/>
                <w:lang w:eastAsia="en-US"/>
              </w:rPr>
            </w:pPr>
          </w:p>
        </w:tc>
        <w:tc>
          <w:tcPr>
            <w:tcW w:w="5811" w:type="dxa"/>
            <w:shd w:val="clear" w:color="auto" w:fill="auto"/>
            <w:vAlign w:val="center"/>
          </w:tcPr>
          <w:p w:rsidR="00E43137" w:rsidRPr="00E43137" w:rsidRDefault="00E43137" w:rsidP="008676F9">
            <w:pPr>
              <w:spacing w:after="60"/>
              <w:rPr>
                <w:rFonts w:ascii="Calibri" w:eastAsia="Calibri" w:hAnsi="Calibri"/>
                <w:sz w:val="20"/>
                <w:szCs w:val="20"/>
                <w:lang w:eastAsia="en-US"/>
              </w:rPr>
            </w:pPr>
            <w:r w:rsidRPr="00E43137">
              <w:rPr>
                <w:rFonts w:ascii="Calibri" w:eastAsia="Calibri" w:hAnsi="Calibri"/>
                <w:sz w:val="20"/>
                <w:szCs w:val="20"/>
                <w:lang w:eastAsia="en-US"/>
              </w:rPr>
              <w:t>Opatrenie 4: Investície do hmotného majetku</w:t>
            </w:r>
          </w:p>
          <w:p w:rsidR="00E43137" w:rsidRPr="00E43137" w:rsidRDefault="00E43137" w:rsidP="008676F9">
            <w:pPr>
              <w:spacing w:after="60"/>
              <w:rPr>
                <w:rFonts w:ascii="Calibri" w:eastAsia="Calibri" w:hAnsi="Calibri"/>
                <w:i/>
                <w:sz w:val="20"/>
                <w:szCs w:val="20"/>
                <w:lang w:eastAsia="en-US"/>
              </w:rPr>
            </w:pPr>
            <w:r w:rsidRPr="00E43137">
              <w:rPr>
                <w:rFonts w:ascii="Calibri" w:eastAsia="Calibri" w:hAnsi="Calibri"/>
                <w:i/>
                <w:sz w:val="20"/>
                <w:szCs w:val="20"/>
                <w:lang w:eastAsia="en-US"/>
              </w:rPr>
              <w:t xml:space="preserve">Podopatrenie 4.3: </w:t>
            </w:r>
            <w:r w:rsidR="00D160C3">
              <w:t xml:space="preserve"> </w:t>
            </w:r>
            <w:r w:rsidR="00D160C3" w:rsidRPr="00D160C3">
              <w:rPr>
                <w:rFonts w:ascii="Calibri" w:eastAsia="Calibri" w:hAnsi="Calibri"/>
                <w:i/>
                <w:sz w:val="20"/>
                <w:szCs w:val="20"/>
                <w:lang w:eastAsia="en-US"/>
              </w:rPr>
              <w:t>Podpora investícií do infraštruktúry týkajúcej sa rozvoja, modernizácie alebo adaptácie poľnohospodárstva a</w:t>
            </w:r>
            <w:r w:rsidR="00D160C3" w:rsidRPr="00D160C3">
              <w:rPr>
                <w:rFonts w:ascii="Calibri" w:eastAsia="Calibri" w:hAnsi="Calibri"/>
                <w:i/>
                <w:sz w:val="20"/>
                <w:szCs w:val="20"/>
                <w:lang w:eastAsia="en-US"/>
              </w:rPr>
              <w:lastRenderedPageBreak/>
              <w:t xml:space="preserve"> lesníctva (čl. 17c) –  vybudovanie spoločných zariadení</w:t>
            </w:r>
            <w:r w:rsidR="00E867CB">
              <w:rPr>
                <w:rFonts w:ascii="Calibri" w:eastAsia="Calibri" w:hAnsi="Calibri"/>
                <w:i/>
                <w:sz w:val="20"/>
                <w:szCs w:val="20"/>
                <w:lang w:eastAsia="en-US"/>
              </w:rPr>
              <w:t xml:space="preserve"> a opatrení </w:t>
            </w:r>
          </w:p>
        </w:tc>
      </w:tr>
      <w:tr w:rsidR="00E43137" w:rsidRPr="00E43137" w:rsidTr="0031577A">
        <w:tc>
          <w:tcPr>
            <w:tcW w:w="2093" w:type="dxa"/>
            <w:vMerge/>
            <w:shd w:val="clear" w:color="auto" w:fill="auto"/>
            <w:vAlign w:val="center"/>
          </w:tcPr>
          <w:p w:rsidR="00E43137" w:rsidRPr="00E43137" w:rsidRDefault="00E43137" w:rsidP="008676F9">
            <w:pPr>
              <w:spacing w:after="60"/>
              <w:rPr>
                <w:rFonts w:ascii="Calibri" w:eastAsia="Calibri" w:hAnsi="Calibri"/>
                <w:sz w:val="20"/>
                <w:szCs w:val="20"/>
                <w:lang w:eastAsia="en-US"/>
              </w:rPr>
            </w:pPr>
          </w:p>
        </w:tc>
        <w:tc>
          <w:tcPr>
            <w:tcW w:w="1843" w:type="dxa"/>
            <w:vMerge/>
            <w:shd w:val="clear" w:color="auto" w:fill="auto"/>
            <w:vAlign w:val="center"/>
          </w:tcPr>
          <w:p w:rsidR="00E43137" w:rsidRPr="00E43137" w:rsidRDefault="00E43137" w:rsidP="008676F9">
            <w:pPr>
              <w:spacing w:after="60"/>
              <w:rPr>
                <w:rFonts w:ascii="Calibri" w:eastAsia="Calibri" w:hAnsi="Calibri"/>
                <w:sz w:val="20"/>
                <w:szCs w:val="20"/>
                <w:lang w:eastAsia="en-US"/>
              </w:rPr>
            </w:pPr>
          </w:p>
        </w:tc>
        <w:tc>
          <w:tcPr>
            <w:tcW w:w="5811" w:type="dxa"/>
            <w:shd w:val="clear" w:color="auto" w:fill="auto"/>
            <w:vAlign w:val="center"/>
          </w:tcPr>
          <w:p w:rsidR="00E43137" w:rsidRPr="00E43137" w:rsidRDefault="00E43137" w:rsidP="00B3442A">
            <w:pPr>
              <w:jc w:val="left"/>
              <w:rPr>
                <w:rFonts w:ascii="Calibri" w:eastAsia="Calibri" w:hAnsi="Calibri"/>
                <w:sz w:val="20"/>
                <w:szCs w:val="20"/>
                <w:lang w:eastAsia="en-US"/>
              </w:rPr>
            </w:pPr>
            <w:r w:rsidRPr="00E43137">
              <w:rPr>
                <w:rFonts w:ascii="Calibri" w:eastAsia="Calibri" w:hAnsi="Calibri"/>
                <w:sz w:val="20"/>
                <w:szCs w:val="20"/>
                <w:lang w:eastAsia="en-US"/>
              </w:rPr>
              <w:t>Opatrenie 8: Investície do rozvoja lesných oblastí a zlepšenie životaschopnosti lesov (čl.21):</w:t>
            </w:r>
          </w:p>
          <w:p w:rsidR="006A183D" w:rsidRPr="006A183D" w:rsidRDefault="006A183D" w:rsidP="006A183D">
            <w:pPr>
              <w:jc w:val="left"/>
              <w:rPr>
                <w:rFonts w:ascii="Calibri" w:eastAsia="Calibri" w:hAnsi="Calibri"/>
                <w:i/>
                <w:sz w:val="20"/>
                <w:szCs w:val="20"/>
                <w:lang w:eastAsia="en-US"/>
              </w:rPr>
            </w:pPr>
            <w:r w:rsidRPr="006A183D">
              <w:rPr>
                <w:rFonts w:ascii="Calibri" w:eastAsia="Calibri" w:hAnsi="Calibri"/>
                <w:i/>
                <w:sz w:val="20"/>
                <w:szCs w:val="20"/>
                <w:lang w:eastAsia="en-US"/>
              </w:rPr>
              <w:t>Podopatrenie 8.3: Podpora prevencie poškodzovania lesov lesnými požiarmi, prírodnými pohromami a katastrofickými udalosťami  (čl.24)</w:t>
            </w:r>
          </w:p>
          <w:p w:rsidR="006A183D" w:rsidRDefault="006A183D" w:rsidP="006A183D">
            <w:pPr>
              <w:jc w:val="left"/>
              <w:rPr>
                <w:rFonts w:ascii="Calibri" w:eastAsia="Calibri" w:hAnsi="Calibri"/>
                <w:i/>
                <w:sz w:val="20"/>
                <w:szCs w:val="20"/>
                <w:lang w:eastAsia="en-US"/>
              </w:rPr>
            </w:pPr>
            <w:r w:rsidRPr="006A183D">
              <w:rPr>
                <w:rFonts w:ascii="Calibri" w:eastAsia="Calibri" w:hAnsi="Calibri"/>
                <w:i/>
                <w:sz w:val="20"/>
                <w:szCs w:val="20"/>
                <w:lang w:eastAsia="en-US"/>
              </w:rPr>
              <w:t>Podopatrenie 8.4 :  Podpora prevencie poškodzovania lesov lesnými požiarmi, prírodnými pohromami a katastrofickými udalosťami  a obnova poškodených lesov (čl.24)</w:t>
            </w:r>
          </w:p>
          <w:p w:rsidR="00E43137" w:rsidRPr="00E43137" w:rsidRDefault="00E43137" w:rsidP="00B3442A">
            <w:pPr>
              <w:jc w:val="left"/>
              <w:rPr>
                <w:rFonts w:ascii="Calibri" w:eastAsia="Calibri" w:hAnsi="Calibri"/>
                <w:sz w:val="20"/>
                <w:szCs w:val="20"/>
                <w:lang w:eastAsia="en-US"/>
              </w:rPr>
            </w:pPr>
            <w:r w:rsidRPr="00E43137">
              <w:rPr>
                <w:rFonts w:ascii="Calibri" w:eastAsia="Calibri" w:hAnsi="Calibri"/>
                <w:i/>
                <w:sz w:val="20"/>
                <w:szCs w:val="20"/>
                <w:lang w:eastAsia="en-US"/>
              </w:rPr>
              <w:t>Podopatrenie 8.5: Investície na zlepšenie odolnosti a environmentálnej hodnoty lesných ekosystémov (čl.25)</w:t>
            </w:r>
          </w:p>
        </w:tc>
      </w:tr>
      <w:tr w:rsidR="00E43137" w:rsidRPr="00E43137" w:rsidTr="0031577A">
        <w:tc>
          <w:tcPr>
            <w:tcW w:w="2093" w:type="dxa"/>
            <w:vMerge/>
            <w:shd w:val="clear" w:color="auto" w:fill="auto"/>
            <w:vAlign w:val="center"/>
          </w:tcPr>
          <w:p w:rsidR="00E43137" w:rsidRPr="00E43137" w:rsidRDefault="00E43137" w:rsidP="008676F9">
            <w:pPr>
              <w:spacing w:after="60"/>
              <w:rPr>
                <w:rFonts w:ascii="Calibri" w:eastAsia="Calibri" w:hAnsi="Calibri"/>
                <w:sz w:val="20"/>
                <w:szCs w:val="20"/>
                <w:lang w:eastAsia="en-US"/>
              </w:rPr>
            </w:pPr>
          </w:p>
        </w:tc>
        <w:tc>
          <w:tcPr>
            <w:tcW w:w="1843" w:type="dxa"/>
            <w:vMerge/>
            <w:shd w:val="clear" w:color="auto" w:fill="auto"/>
            <w:vAlign w:val="center"/>
          </w:tcPr>
          <w:p w:rsidR="00E43137" w:rsidRPr="00E43137" w:rsidRDefault="00E43137" w:rsidP="008676F9">
            <w:pPr>
              <w:spacing w:after="60"/>
              <w:rPr>
                <w:rFonts w:ascii="Calibri" w:eastAsia="Calibri" w:hAnsi="Calibri"/>
                <w:sz w:val="20"/>
                <w:szCs w:val="20"/>
                <w:lang w:eastAsia="en-US"/>
              </w:rPr>
            </w:pPr>
          </w:p>
        </w:tc>
        <w:tc>
          <w:tcPr>
            <w:tcW w:w="5811" w:type="dxa"/>
            <w:shd w:val="clear" w:color="auto" w:fill="auto"/>
            <w:vAlign w:val="center"/>
          </w:tcPr>
          <w:p w:rsidR="00E43137" w:rsidRPr="00E43137" w:rsidRDefault="00E43137" w:rsidP="00B3442A">
            <w:pPr>
              <w:rPr>
                <w:rFonts w:ascii="Calibri" w:eastAsia="Calibri" w:hAnsi="Calibri"/>
                <w:sz w:val="20"/>
                <w:szCs w:val="20"/>
                <w:lang w:eastAsia="en-US"/>
              </w:rPr>
            </w:pPr>
            <w:r w:rsidRPr="00E43137">
              <w:rPr>
                <w:rFonts w:ascii="Calibri" w:eastAsia="Calibri" w:hAnsi="Calibri"/>
                <w:sz w:val="20"/>
                <w:szCs w:val="20"/>
                <w:lang w:eastAsia="en-US"/>
              </w:rPr>
              <w:t>Opatrenie 10: Agroenvironmentálno-klimatické opatrenie  (čl. 28)</w:t>
            </w:r>
          </w:p>
        </w:tc>
      </w:tr>
      <w:tr w:rsidR="00E43137" w:rsidRPr="00E43137" w:rsidTr="0031577A">
        <w:tc>
          <w:tcPr>
            <w:tcW w:w="2093" w:type="dxa"/>
            <w:vMerge/>
            <w:shd w:val="clear" w:color="auto" w:fill="auto"/>
            <w:vAlign w:val="center"/>
          </w:tcPr>
          <w:p w:rsidR="00E43137" w:rsidRPr="00E43137" w:rsidRDefault="00E43137" w:rsidP="008676F9">
            <w:pPr>
              <w:spacing w:after="60"/>
              <w:rPr>
                <w:rFonts w:ascii="Calibri" w:eastAsia="Calibri" w:hAnsi="Calibri"/>
                <w:sz w:val="20"/>
                <w:szCs w:val="20"/>
                <w:lang w:eastAsia="en-US"/>
              </w:rPr>
            </w:pPr>
          </w:p>
        </w:tc>
        <w:tc>
          <w:tcPr>
            <w:tcW w:w="1843" w:type="dxa"/>
            <w:vMerge/>
            <w:shd w:val="clear" w:color="auto" w:fill="auto"/>
            <w:vAlign w:val="center"/>
          </w:tcPr>
          <w:p w:rsidR="00E43137" w:rsidRPr="00E43137" w:rsidRDefault="00E43137" w:rsidP="008676F9">
            <w:pPr>
              <w:spacing w:after="60"/>
              <w:rPr>
                <w:rFonts w:ascii="Calibri" w:eastAsia="Calibri" w:hAnsi="Calibri"/>
                <w:sz w:val="20"/>
                <w:szCs w:val="20"/>
                <w:lang w:eastAsia="en-US"/>
              </w:rPr>
            </w:pPr>
          </w:p>
        </w:tc>
        <w:tc>
          <w:tcPr>
            <w:tcW w:w="5811" w:type="dxa"/>
            <w:shd w:val="clear" w:color="auto" w:fill="auto"/>
            <w:vAlign w:val="center"/>
          </w:tcPr>
          <w:p w:rsidR="00E43137" w:rsidRPr="00E43137" w:rsidRDefault="00E43137" w:rsidP="00B3442A">
            <w:pPr>
              <w:rPr>
                <w:rFonts w:ascii="Calibri" w:eastAsia="Calibri" w:hAnsi="Calibri"/>
                <w:sz w:val="20"/>
                <w:szCs w:val="20"/>
                <w:lang w:eastAsia="en-US"/>
              </w:rPr>
            </w:pPr>
            <w:r w:rsidRPr="00E43137">
              <w:rPr>
                <w:rFonts w:ascii="Calibri" w:eastAsia="Calibri" w:hAnsi="Calibri"/>
                <w:sz w:val="20"/>
                <w:szCs w:val="20"/>
                <w:lang w:eastAsia="en-US"/>
              </w:rPr>
              <w:t>Opatrenie 11: Ekologické poľnohospodárstvo (čl. 29)</w:t>
            </w:r>
          </w:p>
        </w:tc>
      </w:tr>
      <w:tr w:rsidR="00E43137" w:rsidRPr="00E43137" w:rsidTr="0031577A">
        <w:tc>
          <w:tcPr>
            <w:tcW w:w="2093" w:type="dxa"/>
            <w:vMerge/>
            <w:shd w:val="clear" w:color="auto" w:fill="auto"/>
            <w:vAlign w:val="center"/>
          </w:tcPr>
          <w:p w:rsidR="00E43137" w:rsidRPr="00E43137" w:rsidRDefault="00E43137" w:rsidP="008676F9">
            <w:pPr>
              <w:spacing w:after="60"/>
              <w:rPr>
                <w:rFonts w:ascii="Calibri" w:eastAsia="Calibri" w:hAnsi="Calibri"/>
                <w:sz w:val="20"/>
                <w:szCs w:val="20"/>
                <w:lang w:eastAsia="en-US"/>
              </w:rPr>
            </w:pPr>
          </w:p>
        </w:tc>
        <w:tc>
          <w:tcPr>
            <w:tcW w:w="1843" w:type="dxa"/>
            <w:vMerge/>
            <w:shd w:val="clear" w:color="auto" w:fill="auto"/>
            <w:vAlign w:val="center"/>
          </w:tcPr>
          <w:p w:rsidR="00E43137" w:rsidRPr="00E43137" w:rsidRDefault="00E43137" w:rsidP="008676F9">
            <w:pPr>
              <w:spacing w:after="60"/>
              <w:rPr>
                <w:rFonts w:ascii="Calibri" w:eastAsia="Calibri" w:hAnsi="Calibri"/>
                <w:sz w:val="20"/>
                <w:szCs w:val="20"/>
                <w:lang w:eastAsia="en-US"/>
              </w:rPr>
            </w:pPr>
          </w:p>
        </w:tc>
        <w:tc>
          <w:tcPr>
            <w:tcW w:w="5811" w:type="dxa"/>
            <w:shd w:val="clear" w:color="auto" w:fill="auto"/>
            <w:vAlign w:val="center"/>
          </w:tcPr>
          <w:p w:rsidR="00E43137" w:rsidRPr="00E43137" w:rsidRDefault="00E43137" w:rsidP="005F08C4">
            <w:pPr>
              <w:jc w:val="left"/>
              <w:rPr>
                <w:rFonts w:ascii="Calibri" w:eastAsia="Calibri" w:hAnsi="Calibri"/>
                <w:sz w:val="20"/>
                <w:szCs w:val="20"/>
                <w:lang w:eastAsia="en-US"/>
              </w:rPr>
            </w:pPr>
            <w:r w:rsidRPr="00E43137">
              <w:rPr>
                <w:rFonts w:ascii="Calibri" w:eastAsia="Calibri" w:hAnsi="Calibri"/>
                <w:sz w:val="20"/>
                <w:szCs w:val="20"/>
                <w:lang w:eastAsia="en-US"/>
              </w:rPr>
              <w:t>Opatrenie 13: platby pre oblasti s prírodnými alebo inými špecifickými obmedzeniami (čl.31)</w:t>
            </w:r>
          </w:p>
        </w:tc>
      </w:tr>
      <w:tr w:rsidR="00A8663D" w:rsidRPr="00E43137" w:rsidTr="0031577A">
        <w:tc>
          <w:tcPr>
            <w:tcW w:w="2093" w:type="dxa"/>
            <w:vMerge/>
            <w:shd w:val="clear" w:color="auto" w:fill="auto"/>
            <w:vAlign w:val="center"/>
          </w:tcPr>
          <w:p w:rsidR="00A8663D" w:rsidRPr="00E43137" w:rsidRDefault="00A8663D" w:rsidP="008676F9">
            <w:pPr>
              <w:spacing w:after="60"/>
              <w:rPr>
                <w:rFonts w:ascii="Calibri" w:eastAsia="Calibri" w:hAnsi="Calibri"/>
                <w:sz w:val="20"/>
                <w:szCs w:val="20"/>
                <w:lang w:eastAsia="en-US"/>
              </w:rPr>
            </w:pPr>
          </w:p>
        </w:tc>
        <w:tc>
          <w:tcPr>
            <w:tcW w:w="1843" w:type="dxa"/>
            <w:vMerge/>
            <w:shd w:val="clear" w:color="auto" w:fill="auto"/>
            <w:vAlign w:val="center"/>
          </w:tcPr>
          <w:p w:rsidR="00A8663D" w:rsidRPr="00E43137" w:rsidRDefault="00A8663D" w:rsidP="008676F9">
            <w:pPr>
              <w:spacing w:after="60"/>
              <w:rPr>
                <w:rFonts w:ascii="Calibri" w:eastAsia="Calibri" w:hAnsi="Calibri"/>
                <w:sz w:val="20"/>
                <w:szCs w:val="20"/>
                <w:lang w:eastAsia="en-US"/>
              </w:rPr>
            </w:pPr>
          </w:p>
        </w:tc>
        <w:tc>
          <w:tcPr>
            <w:tcW w:w="5811" w:type="dxa"/>
            <w:shd w:val="clear" w:color="auto" w:fill="auto"/>
            <w:vAlign w:val="center"/>
          </w:tcPr>
          <w:p w:rsidR="00A8663D" w:rsidRPr="008F0CC8" w:rsidRDefault="00A8663D" w:rsidP="00B3442A">
            <w:pPr>
              <w:rPr>
                <w:bCs/>
                <w:sz w:val="20"/>
                <w:szCs w:val="20"/>
                <w:lang w:val="pl-PL"/>
              </w:rPr>
            </w:pPr>
            <w:r>
              <w:rPr>
                <w:sz w:val="20"/>
                <w:szCs w:val="20"/>
              </w:rPr>
              <w:t>Opatrenie 15</w:t>
            </w:r>
            <w:r w:rsidRPr="008F0CC8">
              <w:rPr>
                <w:sz w:val="20"/>
                <w:szCs w:val="20"/>
              </w:rPr>
              <w:t>: Lesnícko-envi</w:t>
            </w:r>
            <w:r w:rsidR="00B3442A">
              <w:rPr>
                <w:sz w:val="20"/>
                <w:szCs w:val="20"/>
              </w:rPr>
              <w:t>ro</w:t>
            </w:r>
            <w:r w:rsidRPr="008F0CC8">
              <w:rPr>
                <w:sz w:val="20"/>
                <w:szCs w:val="20"/>
              </w:rPr>
              <w:t xml:space="preserve">nmentálna podpora </w:t>
            </w:r>
            <w:r w:rsidRPr="008F0CC8">
              <w:rPr>
                <w:rFonts w:ascii="Calibri" w:eastAsia="Calibri" w:hAnsi="Calibri" w:cs="Calibri"/>
                <w:caps/>
                <w:smallCaps/>
                <w:lang w:val="pl-PL"/>
              </w:rPr>
              <w:t xml:space="preserve"> </w:t>
            </w:r>
            <w:r w:rsidRPr="008F0CC8">
              <w:rPr>
                <w:bCs/>
                <w:sz w:val="20"/>
                <w:szCs w:val="20"/>
                <w:lang w:val="pl-PL"/>
              </w:rPr>
              <w:t>lesnícko-environmentálne a klimatické služby a ochrana lesov  (čl.34)</w:t>
            </w:r>
          </w:p>
          <w:p w:rsidR="00A8663D" w:rsidRPr="008F0CC8" w:rsidRDefault="00A8663D" w:rsidP="00B3442A">
            <w:pPr>
              <w:rPr>
                <w:bCs/>
                <w:i/>
                <w:iCs/>
                <w:sz w:val="20"/>
                <w:szCs w:val="20"/>
              </w:rPr>
            </w:pPr>
            <w:r w:rsidRPr="008F0CC8">
              <w:rPr>
                <w:bCs/>
                <w:i/>
                <w:sz w:val="20"/>
                <w:szCs w:val="20"/>
                <w:lang w:val="pl-PL"/>
              </w:rPr>
              <w:t xml:space="preserve">Podopatrenie 15.1 </w:t>
            </w:r>
            <w:r w:rsidRPr="008F0CC8">
              <w:rPr>
                <w:rFonts w:ascii="Calibri" w:hAnsi="Calibri" w:cs="Calibri"/>
                <w:bCs/>
                <w:i/>
                <w:iCs/>
              </w:rPr>
              <w:t xml:space="preserve"> </w:t>
            </w:r>
            <w:r w:rsidRPr="008F0CC8">
              <w:rPr>
                <w:bCs/>
                <w:i/>
                <w:iCs/>
                <w:sz w:val="20"/>
                <w:szCs w:val="20"/>
              </w:rPr>
              <w:t>Platby na lesnícko-environmentálne záväzky</w:t>
            </w:r>
          </w:p>
          <w:p w:rsidR="00A8663D" w:rsidRPr="00E43137" w:rsidRDefault="00A8663D" w:rsidP="00B3442A">
            <w:pPr>
              <w:rPr>
                <w:rFonts w:ascii="Calibri" w:eastAsia="Calibri" w:hAnsi="Calibri"/>
                <w:sz w:val="20"/>
                <w:szCs w:val="20"/>
                <w:lang w:eastAsia="en-US"/>
              </w:rPr>
            </w:pPr>
            <w:r w:rsidRPr="008F0CC8">
              <w:rPr>
                <w:bCs/>
                <w:i/>
                <w:iCs/>
                <w:sz w:val="20"/>
                <w:szCs w:val="20"/>
              </w:rPr>
              <w:t xml:space="preserve">Podopatrenie 15.2 </w:t>
            </w:r>
            <w:r w:rsidRPr="008F0CC8">
              <w:rPr>
                <w:rFonts w:ascii="Calibri" w:hAnsi="Calibri" w:cs="Calibri"/>
                <w:bCs/>
                <w:i/>
                <w:iCs/>
              </w:rPr>
              <w:t xml:space="preserve"> </w:t>
            </w:r>
            <w:r w:rsidRPr="008F0CC8">
              <w:rPr>
                <w:bCs/>
                <w:i/>
                <w:iCs/>
                <w:sz w:val="20"/>
                <w:szCs w:val="20"/>
              </w:rPr>
              <w:t>Podpora na účely ochrany a podpory  lesných genetických zdrojov</w:t>
            </w:r>
          </w:p>
        </w:tc>
      </w:tr>
      <w:tr w:rsidR="00E43137" w:rsidRPr="00E43137" w:rsidTr="0031577A">
        <w:tc>
          <w:tcPr>
            <w:tcW w:w="2093" w:type="dxa"/>
            <w:vMerge/>
            <w:shd w:val="clear" w:color="auto" w:fill="auto"/>
            <w:vAlign w:val="center"/>
          </w:tcPr>
          <w:p w:rsidR="00E43137" w:rsidRPr="00E43137" w:rsidRDefault="00E43137" w:rsidP="008676F9">
            <w:pPr>
              <w:spacing w:after="60"/>
              <w:rPr>
                <w:rFonts w:ascii="Calibri" w:eastAsia="Calibri" w:hAnsi="Calibri"/>
                <w:sz w:val="20"/>
                <w:szCs w:val="20"/>
                <w:lang w:eastAsia="en-US"/>
              </w:rPr>
            </w:pPr>
          </w:p>
        </w:tc>
        <w:tc>
          <w:tcPr>
            <w:tcW w:w="1843" w:type="dxa"/>
            <w:vMerge/>
            <w:shd w:val="clear" w:color="auto" w:fill="auto"/>
            <w:vAlign w:val="center"/>
          </w:tcPr>
          <w:p w:rsidR="00E43137" w:rsidRPr="00E43137" w:rsidRDefault="00E43137" w:rsidP="008676F9">
            <w:pPr>
              <w:spacing w:after="60"/>
              <w:rPr>
                <w:rFonts w:ascii="Calibri" w:eastAsia="Calibri" w:hAnsi="Calibri"/>
                <w:sz w:val="20"/>
                <w:szCs w:val="20"/>
                <w:lang w:eastAsia="en-US"/>
              </w:rPr>
            </w:pPr>
          </w:p>
        </w:tc>
        <w:tc>
          <w:tcPr>
            <w:tcW w:w="5811" w:type="dxa"/>
            <w:shd w:val="clear" w:color="auto" w:fill="auto"/>
            <w:vAlign w:val="center"/>
          </w:tcPr>
          <w:p w:rsidR="00E43137" w:rsidRPr="00E43137" w:rsidRDefault="00E43137" w:rsidP="008676F9">
            <w:pPr>
              <w:spacing w:after="60"/>
              <w:rPr>
                <w:rFonts w:ascii="Calibri" w:eastAsia="Calibri" w:hAnsi="Calibri"/>
                <w:sz w:val="20"/>
                <w:szCs w:val="20"/>
                <w:lang w:eastAsia="en-US"/>
              </w:rPr>
            </w:pPr>
            <w:r w:rsidRPr="00E43137">
              <w:rPr>
                <w:rFonts w:ascii="Calibri" w:eastAsia="Calibri" w:hAnsi="Calibri"/>
                <w:sz w:val="20"/>
                <w:szCs w:val="20"/>
                <w:lang w:eastAsia="en-US"/>
              </w:rPr>
              <w:t>Opatrenie 16: Spolupráca (čl. 35)</w:t>
            </w:r>
          </w:p>
        </w:tc>
      </w:tr>
    </w:tbl>
    <w:p w:rsidR="00E43137" w:rsidRPr="00E43137" w:rsidRDefault="00E43137" w:rsidP="008676F9">
      <w:pPr>
        <w:spacing w:after="60"/>
        <w:rPr>
          <w:rFonts w:ascii="Calibri" w:eastAsia="Calibri" w:hAnsi="Calibri"/>
          <w:b/>
          <w:sz w:val="20"/>
          <w:szCs w:val="20"/>
          <w:lang w:eastAsia="en-US"/>
        </w:rPr>
      </w:pPr>
    </w:p>
    <w:p w:rsidR="00E43137" w:rsidRPr="00E43137" w:rsidRDefault="00E43137" w:rsidP="008676F9">
      <w:pPr>
        <w:spacing w:after="60"/>
        <w:rPr>
          <w:rFonts w:ascii="Calibri" w:eastAsia="Calibri" w:hAnsi="Calibri"/>
          <w:b/>
          <w:sz w:val="20"/>
          <w:szCs w:val="20"/>
          <w:lang w:eastAsia="en-US"/>
        </w:rPr>
      </w:pPr>
      <w:r w:rsidRPr="00E43137">
        <w:rPr>
          <w:rFonts w:ascii="Calibri" w:eastAsia="Calibri" w:hAnsi="Calibri"/>
          <w:b/>
          <w:sz w:val="20"/>
          <w:szCs w:val="20"/>
          <w:lang w:eastAsia="en-US"/>
        </w:rPr>
        <w:br w:type="page"/>
      </w:r>
    </w:p>
    <w:tbl>
      <w:tblPr>
        <w:tblpPr w:leftFromText="141" w:rightFromText="141" w:vertAnchor="text" w:horzAnchor="margin" w:tblpY="80"/>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1"/>
        <w:gridCol w:w="2410"/>
        <w:gridCol w:w="5386"/>
      </w:tblGrid>
      <w:tr w:rsidR="00E43137" w:rsidRPr="00E43137" w:rsidTr="00E43137">
        <w:tc>
          <w:tcPr>
            <w:tcW w:w="9747" w:type="dxa"/>
            <w:gridSpan w:val="3"/>
            <w:tcBorders>
              <w:bottom w:val="single" w:sz="4" w:space="0" w:color="auto"/>
            </w:tcBorders>
            <w:shd w:val="clear" w:color="auto" w:fill="BFBFBF"/>
            <w:vAlign w:val="center"/>
          </w:tcPr>
          <w:p w:rsidR="00E43137" w:rsidRPr="00E43137" w:rsidRDefault="00E43137" w:rsidP="008676F9">
            <w:pPr>
              <w:spacing w:after="60"/>
              <w:rPr>
                <w:rFonts w:ascii="Calibri" w:eastAsia="Calibri" w:hAnsi="Calibri"/>
                <w:b/>
                <w:sz w:val="20"/>
                <w:szCs w:val="20"/>
                <w:lang w:eastAsia="en-US"/>
              </w:rPr>
            </w:pPr>
            <w:r w:rsidRPr="00E43137">
              <w:rPr>
                <w:rFonts w:ascii="Calibri" w:eastAsia="Calibri" w:hAnsi="Calibri"/>
                <w:b/>
                <w:sz w:val="20"/>
                <w:szCs w:val="20"/>
                <w:lang w:eastAsia="en-US"/>
              </w:rPr>
              <w:t>Priorita 5</w:t>
            </w:r>
          </w:p>
        </w:tc>
      </w:tr>
      <w:tr w:rsidR="00E43137" w:rsidRPr="00E43137" w:rsidTr="0031577A">
        <w:tc>
          <w:tcPr>
            <w:tcW w:w="1951" w:type="dxa"/>
            <w:shd w:val="clear" w:color="auto" w:fill="F2F2F2"/>
            <w:vAlign w:val="center"/>
          </w:tcPr>
          <w:p w:rsidR="00E43137" w:rsidRPr="00E43137" w:rsidRDefault="00E43137" w:rsidP="008676F9">
            <w:pPr>
              <w:spacing w:after="60"/>
              <w:rPr>
                <w:rFonts w:ascii="Calibri" w:eastAsia="Calibri" w:hAnsi="Calibri"/>
                <w:b/>
                <w:sz w:val="20"/>
                <w:szCs w:val="20"/>
                <w:lang w:eastAsia="en-US"/>
              </w:rPr>
            </w:pPr>
            <w:r w:rsidRPr="00E43137">
              <w:rPr>
                <w:rFonts w:ascii="Calibri" w:eastAsia="Calibri" w:hAnsi="Calibri"/>
                <w:b/>
                <w:sz w:val="20"/>
                <w:szCs w:val="20"/>
                <w:lang w:eastAsia="en-US"/>
              </w:rPr>
              <w:t>Fokusová oblasť</w:t>
            </w:r>
          </w:p>
        </w:tc>
        <w:tc>
          <w:tcPr>
            <w:tcW w:w="2410" w:type="dxa"/>
            <w:shd w:val="clear" w:color="auto" w:fill="F2F2F2"/>
            <w:vAlign w:val="center"/>
          </w:tcPr>
          <w:p w:rsidR="00E43137" w:rsidRPr="00E43137" w:rsidRDefault="00E43137" w:rsidP="008676F9">
            <w:pPr>
              <w:spacing w:after="60"/>
              <w:rPr>
                <w:rFonts w:ascii="Calibri" w:eastAsia="Calibri" w:hAnsi="Calibri"/>
                <w:b/>
                <w:sz w:val="20"/>
                <w:szCs w:val="20"/>
                <w:lang w:eastAsia="en-US"/>
              </w:rPr>
            </w:pPr>
            <w:r w:rsidRPr="00E43137">
              <w:rPr>
                <w:rFonts w:ascii="Calibri" w:eastAsia="Calibri" w:hAnsi="Calibri"/>
                <w:b/>
                <w:sz w:val="20"/>
                <w:szCs w:val="20"/>
                <w:lang w:eastAsia="en-US"/>
              </w:rPr>
              <w:t>Kvantifikovaná cieľová hodnota</w:t>
            </w:r>
          </w:p>
        </w:tc>
        <w:tc>
          <w:tcPr>
            <w:tcW w:w="5386" w:type="dxa"/>
            <w:shd w:val="clear" w:color="auto" w:fill="F2F2F2"/>
            <w:vAlign w:val="center"/>
          </w:tcPr>
          <w:p w:rsidR="00E43137" w:rsidRPr="00E43137" w:rsidRDefault="00E43137" w:rsidP="008676F9">
            <w:pPr>
              <w:spacing w:after="60"/>
              <w:rPr>
                <w:rFonts w:ascii="Calibri" w:eastAsia="Calibri" w:hAnsi="Calibri"/>
                <w:b/>
                <w:sz w:val="20"/>
                <w:szCs w:val="20"/>
                <w:lang w:eastAsia="en-US"/>
              </w:rPr>
            </w:pPr>
            <w:r w:rsidRPr="00E43137">
              <w:rPr>
                <w:rFonts w:ascii="Calibri" w:eastAsia="Calibri" w:hAnsi="Calibri"/>
                <w:b/>
                <w:sz w:val="20"/>
                <w:szCs w:val="20"/>
                <w:lang w:eastAsia="en-US"/>
              </w:rPr>
              <w:t>Kombinácia opatrení</w:t>
            </w:r>
          </w:p>
        </w:tc>
      </w:tr>
      <w:tr w:rsidR="00E43137" w:rsidRPr="00E43137" w:rsidTr="0031577A">
        <w:trPr>
          <w:trHeight w:val="399"/>
        </w:trPr>
        <w:tc>
          <w:tcPr>
            <w:tcW w:w="1951" w:type="dxa"/>
            <w:vMerge w:val="restart"/>
            <w:shd w:val="clear" w:color="auto" w:fill="auto"/>
            <w:vAlign w:val="center"/>
          </w:tcPr>
          <w:p w:rsidR="00E43137" w:rsidRPr="00E43137" w:rsidRDefault="00E43137" w:rsidP="00A8663D">
            <w:pPr>
              <w:spacing w:after="60"/>
              <w:jc w:val="left"/>
              <w:rPr>
                <w:rFonts w:ascii="Calibri" w:eastAsia="Calibri" w:hAnsi="Calibri"/>
                <w:sz w:val="20"/>
                <w:szCs w:val="20"/>
                <w:lang w:eastAsia="en-US"/>
              </w:rPr>
            </w:pPr>
            <w:r w:rsidRPr="00E43137">
              <w:rPr>
                <w:rFonts w:ascii="Calibri" w:eastAsia="Calibri" w:hAnsi="Calibri"/>
                <w:sz w:val="20"/>
                <w:szCs w:val="20"/>
                <w:lang w:eastAsia="en-US"/>
              </w:rPr>
              <w:t>Fokusová oblasť 5A:</w:t>
            </w:r>
          </w:p>
          <w:p w:rsidR="00E43137" w:rsidRPr="00E43137" w:rsidRDefault="00E43137" w:rsidP="00A8663D">
            <w:pPr>
              <w:spacing w:after="60"/>
              <w:jc w:val="left"/>
              <w:rPr>
                <w:rFonts w:ascii="Calibri" w:eastAsia="Calibri" w:hAnsi="Calibri"/>
                <w:sz w:val="20"/>
                <w:szCs w:val="20"/>
                <w:lang w:eastAsia="en-US"/>
              </w:rPr>
            </w:pPr>
            <w:r w:rsidRPr="00E43137">
              <w:rPr>
                <w:rFonts w:ascii="Calibri" w:eastAsia="Calibri" w:hAnsi="Calibri"/>
                <w:sz w:val="20"/>
                <w:szCs w:val="20"/>
                <w:lang w:eastAsia="en-US"/>
              </w:rPr>
              <w:t>Zvýšenie efektívnosti využívania vody v poľnohospodárstve</w:t>
            </w:r>
          </w:p>
        </w:tc>
        <w:tc>
          <w:tcPr>
            <w:tcW w:w="2410" w:type="dxa"/>
            <w:vMerge w:val="restart"/>
            <w:shd w:val="clear" w:color="auto" w:fill="auto"/>
            <w:vAlign w:val="center"/>
          </w:tcPr>
          <w:p w:rsidR="00E43137" w:rsidRPr="00E43137" w:rsidRDefault="00E43137" w:rsidP="00A8663D">
            <w:pPr>
              <w:spacing w:after="60"/>
              <w:jc w:val="left"/>
              <w:rPr>
                <w:rFonts w:ascii="Calibri" w:eastAsia="Calibri" w:hAnsi="Calibri"/>
                <w:sz w:val="20"/>
                <w:szCs w:val="20"/>
                <w:lang w:eastAsia="en-US"/>
              </w:rPr>
            </w:pPr>
            <w:r w:rsidRPr="00E43137">
              <w:rPr>
                <w:rFonts w:ascii="Calibri" w:eastAsia="Calibri" w:hAnsi="Calibri"/>
                <w:sz w:val="20"/>
                <w:szCs w:val="20"/>
                <w:lang w:eastAsia="en-US"/>
              </w:rPr>
              <w:t>% zavlažovanej výmery, kde sa zvýšila efektivita využívania vody (cez investície podporené z PRV)</w:t>
            </w:r>
          </w:p>
        </w:tc>
        <w:tc>
          <w:tcPr>
            <w:tcW w:w="5386" w:type="dxa"/>
            <w:shd w:val="clear" w:color="auto" w:fill="auto"/>
            <w:vAlign w:val="center"/>
          </w:tcPr>
          <w:p w:rsidR="00E43137" w:rsidRPr="00E43137" w:rsidRDefault="00E43137" w:rsidP="008676F9">
            <w:pPr>
              <w:spacing w:after="60"/>
              <w:rPr>
                <w:rFonts w:ascii="Calibri" w:eastAsia="Calibri" w:hAnsi="Calibri"/>
                <w:sz w:val="20"/>
                <w:szCs w:val="20"/>
                <w:lang w:eastAsia="en-US"/>
              </w:rPr>
            </w:pPr>
            <w:r w:rsidRPr="00E43137">
              <w:rPr>
                <w:rFonts w:ascii="Calibri" w:eastAsia="Calibri" w:hAnsi="Calibri"/>
                <w:sz w:val="20"/>
                <w:szCs w:val="20"/>
                <w:lang w:eastAsia="en-US"/>
              </w:rPr>
              <w:t>Opatrenie 1: Prenos vedomostí a zručností (čl.14)</w:t>
            </w:r>
          </w:p>
        </w:tc>
      </w:tr>
      <w:tr w:rsidR="00E43137" w:rsidRPr="00E43137" w:rsidTr="0031577A">
        <w:tc>
          <w:tcPr>
            <w:tcW w:w="1951" w:type="dxa"/>
            <w:vMerge/>
            <w:shd w:val="clear" w:color="auto" w:fill="auto"/>
            <w:vAlign w:val="center"/>
          </w:tcPr>
          <w:p w:rsidR="00E43137" w:rsidRPr="00E43137" w:rsidRDefault="00E43137" w:rsidP="00A8663D">
            <w:pPr>
              <w:spacing w:after="60"/>
              <w:jc w:val="left"/>
              <w:rPr>
                <w:rFonts w:ascii="Calibri" w:eastAsia="Calibri" w:hAnsi="Calibri"/>
                <w:sz w:val="20"/>
                <w:szCs w:val="20"/>
                <w:lang w:eastAsia="en-US"/>
              </w:rPr>
            </w:pPr>
          </w:p>
        </w:tc>
        <w:tc>
          <w:tcPr>
            <w:tcW w:w="2410" w:type="dxa"/>
            <w:vMerge/>
            <w:shd w:val="clear" w:color="auto" w:fill="auto"/>
            <w:vAlign w:val="center"/>
          </w:tcPr>
          <w:p w:rsidR="00E43137" w:rsidRPr="00E43137" w:rsidRDefault="00E43137" w:rsidP="00A8663D">
            <w:pPr>
              <w:spacing w:after="60"/>
              <w:jc w:val="left"/>
              <w:rPr>
                <w:rFonts w:ascii="Calibri" w:eastAsia="Calibri" w:hAnsi="Calibri"/>
                <w:sz w:val="20"/>
                <w:szCs w:val="20"/>
                <w:lang w:eastAsia="en-US"/>
              </w:rPr>
            </w:pPr>
          </w:p>
        </w:tc>
        <w:tc>
          <w:tcPr>
            <w:tcW w:w="5386" w:type="dxa"/>
            <w:shd w:val="clear" w:color="auto" w:fill="auto"/>
            <w:vAlign w:val="center"/>
          </w:tcPr>
          <w:p w:rsidR="00E43137" w:rsidRPr="00E43137" w:rsidRDefault="00E43137" w:rsidP="008676F9">
            <w:pPr>
              <w:spacing w:after="60"/>
              <w:rPr>
                <w:rFonts w:ascii="Calibri" w:eastAsia="Calibri" w:hAnsi="Calibri"/>
                <w:sz w:val="20"/>
                <w:szCs w:val="20"/>
                <w:lang w:eastAsia="en-US"/>
              </w:rPr>
            </w:pPr>
            <w:r w:rsidRPr="00E43137">
              <w:rPr>
                <w:rFonts w:ascii="Calibri" w:eastAsia="Calibri" w:hAnsi="Calibri"/>
                <w:sz w:val="20"/>
                <w:szCs w:val="20"/>
                <w:lang w:eastAsia="en-US"/>
              </w:rPr>
              <w:t>Opatrenie 4: Investície do hmotného majetku</w:t>
            </w:r>
          </w:p>
          <w:p w:rsidR="00E43137" w:rsidRPr="00E43137" w:rsidRDefault="00E43137" w:rsidP="008676F9">
            <w:pPr>
              <w:spacing w:after="60"/>
              <w:rPr>
                <w:rFonts w:ascii="Calibri" w:eastAsia="Calibri" w:hAnsi="Calibri"/>
                <w:i/>
                <w:sz w:val="20"/>
                <w:szCs w:val="20"/>
                <w:lang w:eastAsia="en-US"/>
              </w:rPr>
            </w:pPr>
            <w:r w:rsidRPr="00E43137">
              <w:rPr>
                <w:rFonts w:ascii="Calibri" w:eastAsia="Calibri" w:hAnsi="Calibri"/>
                <w:i/>
                <w:sz w:val="20"/>
                <w:szCs w:val="20"/>
                <w:lang w:eastAsia="en-US"/>
              </w:rPr>
              <w:t>Podopatrenie 4.1: Investície do hmotného majetku, ktoré zlepšujú celkovú výkonnosť poľnohospodárskeho podniku (čl.17a)</w:t>
            </w:r>
          </w:p>
        </w:tc>
      </w:tr>
      <w:tr w:rsidR="00E43137" w:rsidRPr="00E43137" w:rsidTr="0031577A">
        <w:tc>
          <w:tcPr>
            <w:tcW w:w="1951" w:type="dxa"/>
            <w:vMerge w:val="restart"/>
            <w:shd w:val="clear" w:color="auto" w:fill="auto"/>
            <w:vAlign w:val="center"/>
          </w:tcPr>
          <w:p w:rsidR="00E43137" w:rsidRPr="00E43137" w:rsidRDefault="00E43137" w:rsidP="00A8663D">
            <w:pPr>
              <w:spacing w:after="60"/>
              <w:jc w:val="left"/>
              <w:rPr>
                <w:rFonts w:ascii="Calibri" w:eastAsia="Calibri" w:hAnsi="Calibri"/>
                <w:sz w:val="20"/>
                <w:szCs w:val="20"/>
                <w:lang w:eastAsia="en-US"/>
              </w:rPr>
            </w:pPr>
            <w:r w:rsidRPr="00E43137">
              <w:rPr>
                <w:rFonts w:ascii="Calibri" w:eastAsia="Calibri" w:hAnsi="Calibri"/>
                <w:sz w:val="20"/>
                <w:szCs w:val="20"/>
                <w:lang w:eastAsia="en-US"/>
              </w:rPr>
              <w:t>Fokusová oblasť 5B:</w:t>
            </w:r>
          </w:p>
          <w:p w:rsidR="00E43137" w:rsidRPr="00E43137" w:rsidRDefault="00E43137" w:rsidP="00A8663D">
            <w:pPr>
              <w:spacing w:after="60"/>
              <w:jc w:val="left"/>
              <w:rPr>
                <w:rFonts w:ascii="Calibri" w:eastAsia="Calibri" w:hAnsi="Calibri"/>
                <w:sz w:val="20"/>
                <w:szCs w:val="20"/>
                <w:lang w:eastAsia="en-US"/>
              </w:rPr>
            </w:pPr>
            <w:r w:rsidRPr="00E43137">
              <w:rPr>
                <w:rFonts w:ascii="Calibri" w:eastAsia="Calibri" w:hAnsi="Calibri"/>
                <w:sz w:val="20"/>
                <w:szCs w:val="20"/>
                <w:lang w:eastAsia="en-US"/>
              </w:rPr>
              <w:t>Zvýšenie efektívnosti využívania energie v poľnohospodárstve a pri spracovaní potravín</w:t>
            </w:r>
          </w:p>
        </w:tc>
        <w:tc>
          <w:tcPr>
            <w:tcW w:w="2410" w:type="dxa"/>
            <w:vMerge w:val="restart"/>
            <w:shd w:val="clear" w:color="auto" w:fill="auto"/>
            <w:vAlign w:val="center"/>
          </w:tcPr>
          <w:p w:rsidR="00E43137" w:rsidRPr="00E43137" w:rsidRDefault="00E43137" w:rsidP="00A8663D">
            <w:pPr>
              <w:spacing w:after="60"/>
              <w:jc w:val="left"/>
              <w:rPr>
                <w:rFonts w:ascii="Calibri" w:eastAsia="Calibri" w:hAnsi="Calibri"/>
                <w:sz w:val="20"/>
                <w:szCs w:val="20"/>
                <w:lang w:eastAsia="en-US"/>
              </w:rPr>
            </w:pPr>
            <w:r w:rsidRPr="00E43137">
              <w:rPr>
                <w:rFonts w:ascii="Calibri" w:eastAsia="Calibri" w:hAnsi="Calibri"/>
                <w:sz w:val="20"/>
                <w:szCs w:val="20"/>
                <w:lang w:eastAsia="en-US"/>
              </w:rPr>
              <w:t>Celkové investície na úsporu energie a zvýšenie účinnosti (€)</w:t>
            </w:r>
          </w:p>
        </w:tc>
        <w:tc>
          <w:tcPr>
            <w:tcW w:w="5386" w:type="dxa"/>
            <w:shd w:val="clear" w:color="auto" w:fill="auto"/>
            <w:vAlign w:val="center"/>
          </w:tcPr>
          <w:p w:rsidR="00E43137" w:rsidRPr="00E43137" w:rsidRDefault="00E43137" w:rsidP="008676F9">
            <w:pPr>
              <w:spacing w:after="60"/>
              <w:rPr>
                <w:rFonts w:ascii="Calibri" w:eastAsia="Calibri" w:hAnsi="Calibri"/>
                <w:sz w:val="20"/>
                <w:szCs w:val="20"/>
                <w:lang w:eastAsia="en-US"/>
              </w:rPr>
            </w:pPr>
            <w:r w:rsidRPr="00E43137">
              <w:rPr>
                <w:rFonts w:ascii="Calibri" w:eastAsia="Calibri" w:hAnsi="Calibri"/>
                <w:sz w:val="20"/>
                <w:szCs w:val="20"/>
                <w:lang w:eastAsia="en-US"/>
              </w:rPr>
              <w:t>Opatrenie 1: Prenos vedomostí a zručností (čl.14)</w:t>
            </w:r>
          </w:p>
        </w:tc>
      </w:tr>
      <w:tr w:rsidR="00E43137" w:rsidRPr="00E43137" w:rsidTr="0031577A">
        <w:tc>
          <w:tcPr>
            <w:tcW w:w="1951" w:type="dxa"/>
            <w:vMerge/>
            <w:shd w:val="clear" w:color="auto" w:fill="auto"/>
            <w:vAlign w:val="center"/>
          </w:tcPr>
          <w:p w:rsidR="00E43137" w:rsidRPr="00E43137" w:rsidRDefault="00E43137" w:rsidP="00A8663D">
            <w:pPr>
              <w:spacing w:after="60"/>
              <w:jc w:val="left"/>
              <w:rPr>
                <w:rFonts w:ascii="Calibri" w:eastAsia="Calibri" w:hAnsi="Calibri"/>
                <w:sz w:val="20"/>
                <w:szCs w:val="20"/>
                <w:lang w:eastAsia="en-US"/>
              </w:rPr>
            </w:pPr>
          </w:p>
        </w:tc>
        <w:tc>
          <w:tcPr>
            <w:tcW w:w="2410" w:type="dxa"/>
            <w:vMerge/>
            <w:shd w:val="clear" w:color="auto" w:fill="auto"/>
            <w:vAlign w:val="center"/>
          </w:tcPr>
          <w:p w:rsidR="00E43137" w:rsidRPr="00E43137" w:rsidRDefault="00E43137" w:rsidP="00A8663D">
            <w:pPr>
              <w:spacing w:after="60"/>
              <w:jc w:val="left"/>
              <w:rPr>
                <w:rFonts w:ascii="Calibri" w:eastAsia="Calibri" w:hAnsi="Calibri"/>
                <w:sz w:val="20"/>
                <w:szCs w:val="20"/>
                <w:lang w:eastAsia="en-US"/>
              </w:rPr>
            </w:pPr>
          </w:p>
        </w:tc>
        <w:tc>
          <w:tcPr>
            <w:tcW w:w="5386" w:type="dxa"/>
            <w:shd w:val="clear" w:color="auto" w:fill="auto"/>
            <w:vAlign w:val="center"/>
          </w:tcPr>
          <w:p w:rsidR="00E43137" w:rsidRPr="00E43137" w:rsidRDefault="00E43137" w:rsidP="008676F9">
            <w:pPr>
              <w:spacing w:after="60"/>
              <w:rPr>
                <w:rFonts w:ascii="Calibri" w:eastAsia="Calibri" w:hAnsi="Calibri"/>
                <w:sz w:val="20"/>
                <w:szCs w:val="20"/>
                <w:lang w:eastAsia="en-US"/>
              </w:rPr>
            </w:pPr>
            <w:r w:rsidRPr="00E43137">
              <w:rPr>
                <w:rFonts w:ascii="Calibri" w:eastAsia="Calibri" w:hAnsi="Calibri"/>
                <w:sz w:val="20"/>
                <w:szCs w:val="20"/>
                <w:lang w:eastAsia="en-US"/>
              </w:rPr>
              <w:t xml:space="preserve">Opatrenie 2:  Poradenské služby  (čl.15)                                                      </w:t>
            </w:r>
          </w:p>
        </w:tc>
      </w:tr>
      <w:tr w:rsidR="00E43137" w:rsidRPr="00E43137" w:rsidTr="0031577A">
        <w:tc>
          <w:tcPr>
            <w:tcW w:w="1951" w:type="dxa"/>
            <w:vMerge/>
            <w:shd w:val="clear" w:color="auto" w:fill="auto"/>
            <w:vAlign w:val="center"/>
          </w:tcPr>
          <w:p w:rsidR="00E43137" w:rsidRPr="00E43137" w:rsidRDefault="00E43137" w:rsidP="00A8663D">
            <w:pPr>
              <w:spacing w:after="60"/>
              <w:jc w:val="left"/>
              <w:rPr>
                <w:rFonts w:ascii="Calibri" w:eastAsia="Calibri" w:hAnsi="Calibri"/>
                <w:sz w:val="20"/>
                <w:szCs w:val="20"/>
                <w:lang w:eastAsia="en-US"/>
              </w:rPr>
            </w:pPr>
          </w:p>
        </w:tc>
        <w:tc>
          <w:tcPr>
            <w:tcW w:w="2410" w:type="dxa"/>
            <w:vMerge/>
            <w:shd w:val="clear" w:color="auto" w:fill="auto"/>
            <w:vAlign w:val="center"/>
          </w:tcPr>
          <w:p w:rsidR="00E43137" w:rsidRPr="00E43137" w:rsidRDefault="00E43137" w:rsidP="00A8663D">
            <w:pPr>
              <w:spacing w:after="60"/>
              <w:jc w:val="left"/>
              <w:rPr>
                <w:rFonts w:ascii="Calibri" w:eastAsia="Calibri" w:hAnsi="Calibri"/>
                <w:sz w:val="20"/>
                <w:szCs w:val="20"/>
                <w:lang w:eastAsia="en-US"/>
              </w:rPr>
            </w:pPr>
          </w:p>
        </w:tc>
        <w:tc>
          <w:tcPr>
            <w:tcW w:w="5386" w:type="dxa"/>
            <w:shd w:val="clear" w:color="auto" w:fill="auto"/>
            <w:vAlign w:val="center"/>
          </w:tcPr>
          <w:p w:rsidR="00E43137" w:rsidRPr="00E43137" w:rsidRDefault="00E43137" w:rsidP="008676F9">
            <w:pPr>
              <w:spacing w:after="60"/>
              <w:rPr>
                <w:rFonts w:ascii="Calibri" w:eastAsia="Calibri" w:hAnsi="Calibri"/>
                <w:sz w:val="20"/>
                <w:szCs w:val="20"/>
                <w:lang w:eastAsia="en-US"/>
              </w:rPr>
            </w:pPr>
            <w:r w:rsidRPr="00E43137">
              <w:rPr>
                <w:rFonts w:ascii="Calibri" w:eastAsia="Calibri" w:hAnsi="Calibri"/>
                <w:sz w:val="20"/>
                <w:szCs w:val="20"/>
                <w:lang w:eastAsia="en-US"/>
              </w:rPr>
              <w:t>Opatrenie  4: Investície do hmotného majetku</w:t>
            </w:r>
          </w:p>
          <w:p w:rsidR="00E43137" w:rsidRPr="00E43137" w:rsidRDefault="00E43137" w:rsidP="008676F9">
            <w:pPr>
              <w:spacing w:after="60"/>
              <w:rPr>
                <w:rFonts w:ascii="Calibri" w:eastAsia="Calibri" w:hAnsi="Calibri"/>
                <w:i/>
                <w:sz w:val="20"/>
                <w:szCs w:val="20"/>
                <w:lang w:eastAsia="en-US"/>
              </w:rPr>
            </w:pPr>
            <w:r w:rsidRPr="00E43137">
              <w:rPr>
                <w:rFonts w:ascii="Calibri" w:eastAsia="Calibri" w:hAnsi="Calibri"/>
                <w:i/>
                <w:sz w:val="20"/>
                <w:szCs w:val="20"/>
                <w:lang w:eastAsia="en-US"/>
              </w:rPr>
              <w:t>Podopatrenie 4.1: Investície do hmotného majetku, ktoré zlepšujú celkovú výkonnosť poľnohospodárskeho podniku (čl.17a)</w:t>
            </w:r>
          </w:p>
          <w:p w:rsidR="00E43137" w:rsidRPr="00E43137" w:rsidRDefault="00E43137" w:rsidP="008676F9">
            <w:pPr>
              <w:spacing w:after="60"/>
              <w:rPr>
                <w:rFonts w:ascii="Calibri" w:eastAsia="Calibri" w:hAnsi="Calibri"/>
                <w:sz w:val="20"/>
                <w:szCs w:val="20"/>
                <w:lang w:eastAsia="en-US"/>
              </w:rPr>
            </w:pPr>
            <w:r w:rsidRPr="00E43137">
              <w:rPr>
                <w:rFonts w:ascii="Calibri" w:eastAsia="Calibri" w:hAnsi="Calibri"/>
                <w:i/>
                <w:sz w:val="20"/>
                <w:szCs w:val="20"/>
                <w:lang w:eastAsia="en-US"/>
              </w:rPr>
              <w:t>Podopatrenie 4.2:  Investície do hmotného majetku, ktoré sa týkajú spracovania, uvádzania na trh a/alebo vývoja poľnohospodárskych výrobkov  (čl.17b)</w:t>
            </w:r>
            <w:r w:rsidRPr="00E43137">
              <w:rPr>
                <w:rFonts w:ascii="Calibri" w:eastAsia="Calibri" w:hAnsi="Calibri"/>
                <w:sz w:val="20"/>
                <w:szCs w:val="20"/>
                <w:lang w:eastAsia="en-US"/>
              </w:rPr>
              <w:t xml:space="preserve">                                                     </w:t>
            </w:r>
          </w:p>
        </w:tc>
      </w:tr>
      <w:tr w:rsidR="00E43137" w:rsidRPr="00E43137" w:rsidTr="0031577A">
        <w:tc>
          <w:tcPr>
            <w:tcW w:w="1951" w:type="dxa"/>
            <w:vMerge w:val="restart"/>
            <w:shd w:val="clear" w:color="auto" w:fill="auto"/>
            <w:vAlign w:val="center"/>
          </w:tcPr>
          <w:p w:rsidR="00E43137" w:rsidRPr="00E43137" w:rsidRDefault="00E43137" w:rsidP="00A8663D">
            <w:pPr>
              <w:spacing w:after="60"/>
              <w:jc w:val="left"/>
              <w:rPr>
                <w:rFonts w:ascii="Calibri" w:eastAsia="Calibri" w:hAnsi="Calibri"/>
                <w:sz w:val="20"/>
                <w:szCs w:val="20"/>
                <w:lang w:eastAsia="en-US"/>
              </w:rPr>
            </w:pPr>
            <w:r w:rsidRPr="00E43137">
              <w:rPr>
                <w:rFonts w:ascii="Calibri" w:eastAsia="Calibri" w:hAnsi="Calibri"/>
                <w:sz w:val="20"/>
                <w:szCs w:val="20"/>
                <w:lang w:eastAsia="en-US"/>
              </w:rPr>
              <w:t>Fokusová oblasť 5C:</w:t>
            </w:r>
          </w:p>
          <w:p w:rsidR="00E43137" w:rsidRPr="00E43137" w:rsidRDefault="00E43137" w:rsidP="00A8663D">
            <w:pPr>
              <w:spacing w:after="60"/>
              <w:jc w:val="left"/>
              <w:rPr>
                <w:rFonts w:ascii="Calibri" w:eastAsia="Calibri" w:hAnsi="Calibri"/>
                <w:sz w:val="20"/>
                <w:szCs w:val="20"/>
                <w:lang w:eastAsia="en-US"/>
              </w:rPr>
            </w:pPr>
            <w:r w:rsidRPr="00E43137">
              <w:rPr>
                <w:rFonts w:ascii="Calibri" w:eastAsia="Calibri" w:hAnsi="Calibri"/>
                <w:sz w:val="20"/>
                <w:szCs w:val="20"/>
                <w:lang w:eastAsia="en-US"/>
              </w:rPr>
              <w:t>Uľahčenie dodávok a využívania obnoviteľných zdrojov energie, vedľajších produktov, odpadov, zvyškov a iných nepotravinových surovín na účely bioekonomiky</w:t>
            </w:r>
          </w:p>
        </w:tc>
        <w:tc>
          <w:tcPr>
            <w:tcW w:w="2410" w:type="dxa"/>
            <w:vMerge w:val="restart"/>
            <w:shd w:val="clear" w:color="auto" w:fill="auto"/>
            <w:vAlign w:val="center"/>
          </w:tcPr>
          <w:p w:rsidR="00E43137" w:rsidRPr="00E43137" w:rsidRDefault="00E43137" w:rsidP="00A8663D">
            <w:pPr>
              <w:spacing w:after="60"/>
              <w:jc w:val="left"/>
              <w:rPr>
                <w:rFonts w:ascii="Calibri" w:eastAsia="Calibri" w:hAnsi="Calibri"/>
                <w:sz w:val="20"/>
                <w:szCs w:val="20"/>
                <w:lang w:eastAsia="en-US"/>
              </w:rPr>
            </w:pPr>
            <w:r w:rsidRPr="00E43137">
              <w:rPr>
                <w:rFonts w:ascii="Calibri" w:eastAsia="Calibri" w:hAnsi="Calibri"/>
                <w:sz w:val="20"/>
                <w:szCs w:val="20"/>
                <w:lang w:eastAsia="en-US"/>
              </w:rPr>
              <w:t>Celkové investície na výrobu obnoviteľnej energie (€)</w:t>
            </w:r>
          </w:p>
        </w:tc>
        <w:tc>
          <w:tcPr>
            <w:tcW w:w="5386" w:type="dxa"/>
            <w:shd w:val="clear" w:color="auto" w:fill="auto"/>
            <w:vAlign w:val="center"/>
          </w:tcPr>
          <w:p w:rsidR="00E43137" w:rsidRPr="00E43137" w:rsidRDefault="00E43137" w:rsidP="008676F9">
            <w:pPr>
              <w:spacing w:after="60"/>
              <w:rPr>
                <w:rFonts w:ascii="Calibri" w:eastAsia="Calibri" w:hAnsi="Calibri"/>
                <w:sz w:val="20"/>
                <w:szCs w:val="20"/>
                <w:lang w:eastAsia="en-US"/>
              </w:rPr>
            </w:pPr>
            <w:r w:rsidRPr="00E43137">
              <w:rPr>
                <w:rFonts w:ascii="Calibri" w:eastAsia="Calibri" w:hAnsi="Calibri"/>
                <w:sz w:val="20"/>
                <w:szCs w:val="20"/>
                <w:lang w:eastAsia="en-US"/>
              </w:rPr>
              <w:t>Opatrenie 1: Prenos vedomostí a zručností (čl.14)</w:t>
            </w:r>
          </w:p>
        </w:tc>
      </w:tr>
      <w:tr w:rsidR="00E43137" w:rsidRPr="00E43137" w:rsidTr="0031577A">
        <w:tc>
          <w:tcPr>
            <w:tcW w:w="1951" w:type="dxa"/>
            <w:vMerge/>
            <w:shd w:val="clear" w:color="auto" w:fill="auto"/>
            <w:vAlign w:val="center"/>
          </w:tcPr>
          <w:p w:rsidR="00E43137" w:rsidRPr="00E43137" w:rsidRDefault="00E43137" w:rsidP="008676F9">
            <w:pPr>
              <w:spacing w:after="60"/>
              <w:rPr>
                <w:rFonts w:ascii="Calibri" w:eastAsia="Calibri" w:hAnsi="Calibri"/>
                <w:sz w:val="20"/>
                <w:szCs w:val="20"/>
                <w:lang w:eastAsia="en-US"/>
              </w:rPr>
            </w:pPr>
          </w:p>
        </w:tc>
        <w:tc>
          <w:tcPr>
            <w:tcW w:w="2410" w:type="dxa"/>
            <w:vMerge/>
            <w:shd w:val="clear" w:color="auto" w:fill="auto"/>
            <w:vAlign w:val="center"/>
          </w:tcPr>
          <w:p w:rsidR="00E43137" w:rsidRPr="00E43137" w:rsidRDefault="00E43137" w:rsidP="008676F9">
            <w:pPr>
              <w:spacing w:after="60"/>
              <w:rPr>
                <w:rFonts w:ascii="Calibri" w:eastAsia="Calibri" w:hAnsi="Calibri"/>
                <w:sz w:val="20"/>
                <w:szCs w:val="20"/>
                <w:lang w:eastAsia="en-US"/>
              </w:rPr>
            </w:pPr>
          </w:p>
        </w:tc>
        <w:tc>
          <w:tcPr>
            <w:tcW w:w="5386" w:type="dxa"/>
            <w:shd w:val="clear" w:color="auto" w:fill="auto"/>
            <w:vAlign w:val="center"/>
          </w:tcPr>
          <w:p w:rsidR="00E43137" w:rsidRPr="00E43137" w:rsidRDefault="00E43137" w:rsidP="008676F9">
            <w:pPr>
              <w:spacing w:after="60"/>
              <w:rPr>
                <w:rFonts w:ascii="Calibri" w:eastAsia="Calibri" w:hAnsi="Calibri"/>
                <w:sz w:val="20"/>
                <w:szCs w:val="20"/>
                <w:lang w:eastAsia="en-US"/>
              </w:rPr>
            </w:pPr>
            <w:r w:rsidRPr="00E43137">
              <w:rPr>
                <w:rFonts w:ascii="Calibri" w:eastAsia="Calibri" w:hAnsi="Calibri"/>
                <w:sz w:val="20"/>
                <w:szCs w:val="20"/>
                <w:lang w:eastAsia="en-US"/>
              </w:rPr>
              <w:t>Opatrenie  4: Investície do hmotného majetku</w:t>
            </w:r>
          </w:p>
          <w:p w:rsidR="00E43137" w:rsidRPr="00E43137" w:rsidRDefault="00E43137" w:rsidP="008676F9">
            <w:pPr>
              <w:spacing w:after="60"/>
              <w:rPr>
                <w:rFonts w:ascii="Calibri" w:eastAsia="Calibri" w:hAnsi="Calibri"/>
                <w:i/>
                <w:sz w:val="20"/>
                <w:szCs w:val="20"/>
                <w:lang w:eastAsia="en-US"/>
              </w:rPr>
            </w:pPr>
            <w:r w:rsidRPr="00E43137">
              <w:rPr>
                <w:rFonts w:ascii="Calibri" w:eastAsia="Calibri" w:hAnsi="Calibri"/>
                <w:i/>
                <w:sz w:val="20"/>
                <w:szCs w:val="20"/>
                <w:lang w:eastAsia="en-US"/>
              </w:rPr>
              <w:t>Podopatrenie 4.1: Investície do hmotného majetku, ktoré zlepšujú celkovú výkonnosť poľnohospodárskeho podniku (čl.17a)</w:t>
            </w:r>
          </w:p>
          <w:p w:rsidR="00E43137" w:rsidRPr="00E43137" w:rsidRDefault="00E43137" w:rsidP="008676F9">
            <w:pPr>
              <w:spacing w:after="60"/>
              <w:rPr>
                <w:rFonts w:ascii="Calibri" w:eastAsia="Calibri" w:hAnsi="Calibri"/>
                <w:sz w:val="20"/>
                <w:szCs w:val="20"/>
                <w:lang w:eastAsia="en-US"/>
              </w:rPr>
            </w:pPr>
            <w:r w:rsidRPr="00E43137">
              <w:rPr>
                <w:rFonts w:ascii="Calibri" w:eastAsia="Calibri" w:hAnsi="Calibri"/>
                <w:i/>
                <w:sz w:val="20"/>
                <w:szCs w:val="20"/>
                <w:lang w:eastAsia="en-US"/>
              </w:rPr>
              <w:t>Podopatrenie 4.2:  Investície do hmotného majetku, ktoré sa týkajú spracovania, uvádzania na trh a/alebo vývoja poľnohospodárskych výrobkov  (čl.17b)</w:t>
            </w:r>
            <w:r w:rsidRPr="00E43137">
              <w:rPr>
                <w:rFonts w:ascii="Calibri" w:eastAsia="Calibri" w:hAnsi="Calibri"/>
                <w:sz w:val="20"/>
                <w:szCs w:val="20"/>
                <w:lang w:eastAsia="en-US"/>
              </w:rPr>
              <w:t xml:space="preserve">                                                     </w:t>
            </w:r>
          </w:p>
        </w:tc>
      </w:tr>
      <w:tr w:rsidR="00A8663D" w:rsidRPr="00E43137" w:rsidTr="0031577A">
        <w:tc>
          <w:tcPr>
            <w:tcW w:w="1951" w:type="dxa"/>
            <w:vMerge/>
            <w:shd w:val="clear" w:color="auto" w:fill="auto"/>
            <w:vAlign w:val="center"/>
          </w:tcPr>
          <w:p w:rsidR="00A8663D" w:rsidRPr="00E43137" w:rsidRDefault="00A8663D" w:rsidP="008676F9">
            <w:pPr>
              <w:spacing w:after="60"/>
              <w:rPr>
                <w:rFonts w:ascii="Calibri" w:eastAsia="Calibri" w:hAnsi="Calibri"/>
                <w:sz w:val="20"/>
                <w:szCs w:val="20"/>
                <w:lang w:eastAsia="en-US"/>
              </w:rPr>
            </w:pPr>
          </w:p>
        </w:tc>
        <w:tc>
          <w:tcPr>
            <w:tcW w:w="2410" w:type="dxa"/>
            <w:vMerge/>
            <w:shd w:val="clear" w:color="auto" w:fill="auto"/>
            <w:vAlign w:val="center"/>
          </w:tcPr>
          <w:p w:rsidR="00A8663D" w:rsidRPr="00E43137" w:rsidRDefault="00A8663D" w:rsidP="008676F9">
            <w:pPr>
              <w:spacing w:after="60"/>
              <w:rPr>
                <w:rFonts w:ascii="Calibri" w:eastAsia="Calibri" w:hAnsi="Calibri"/>
                <w:sz w:val="20"/>
                <w:szCs w:val="20"/>
                <w:lang w:eastAsia="en-US"/>
              </w:rPr>
            </w:pPr>
          </w:p>
        </w:tc>
        <w:tc>
          <w:tcPr>
            <w:tcW w:w="5386" w:type="dxa"/>
            <w:shd w:val="clear" w:color="auto" w:fill="auto"/>
            <w:vAlign w:val="center"/>
          </w:tcPr>
          <w:p w:rsidR="00A8663D" w:rsidRPr="00D82AFA" w:rsidRDefault="00A8663D" w:rsidP="00A8663D">
            <w:pPr>
              <w:spacing w:before="60" w:after="60"/>
              <w:rPr>
                <w:sz w:val="20"/>
                <w:szCs w:val="20"/>
              </w:rPr>
            </w:pPr>
            <w:r>
              <w:rPr>
                <w:sz w:val="20"/>
                <w:szCs w:val="20"/>
              </w:rPr>
              <w:t>Opatrenie 6</w:t>
            </w:r>
            <w:r w:rsidRPr="00D82AFA">
              <w:rPr>
                <w:sz w:val="20"/>
                <w:szCs w:val="20"/>
              </w:rPr>
              <w:t>: Rozvoj poľnohospodárskych podnikov a</w:t>
            </w:r>
            <w:r w:rsidR="006A183D">
              <w:rPr>
                <w:sz w:val="20"/>
                <w:szCs w:val="20"/>
              </w:rPr>
              <w:t> </w:t>
            </w:r>
            <w:r w:rsidRPr="00D82AFA">
              <w:rPr>
                <w:sz w:val="20"/>
                <w:szCs w:val="20"/>
              </w:rPr>
              <w:t>podnika</w:t>
            </w:r>
            <w:r w:rsidR="006A183D">
              <w:rPr>
                <w:sz w:val="20"/>
                <w:szCs w:val="20"/>
              </w:rPr>
              <w:t>teľskej činnosti</w:t>
            </w:r>
            <w:r>
              <w:rPr>
                <w:sz w:val="20"/>
                <w:szCs w:val="20"/>
              </w:rPr>
              <w:t xml:space="preserve"> </w:t>
            </w:r>
            <w:r w:rsidRPr="00D82AFA">
              <w:rPr>
                <w:sz w:val="20"/>
                <w:szCs w:val="20"/>
              </w:rPr>
              <w:t>(čl.</w:t>
            </w:r>
            <w:r>
              <w:rPr>
                <w:sz w:val="20"/>
                <w:szCs w:val="20"/>
              </w:rPr>
              <w:t>19</w:t>
            </w:r>
            <w:r w:rsidRPr="00D82AFA">
              <w:rPr>
                <w:sz w:val="20"/>
                <w:szCs w:val="20"/>
              </w:rPr>
              <w:t xml:space="preserve">): </w:t>
            </w:r>
          </w:p>
          <w:p w:rsidR="00A8663D" w:rsidRPr="00E43137" w:rsidRDefault="00A8663D" w:rsidP="00A8663D">
            <w:pPr>
              <w:spacing w:after="60"/>
              <w:rPr>
                <w:rFonts w:ascii="Calibri" w:eastAsia="Calibri" w:hAnsi="Calibri"/>
                <w:sz w:val="20"/>
                <w:szCs w:val="20"/>
                <w:lang w:eastAsia="en-US"/>
              </w:rPr>
            </w:pPr>
            <w:r>
              <w:rPr>
                <w:i/>
                <w:sz w:val="20"/>
                <w:szCs w:val="20"/>
              </w:rPr>
              <w:t>Podopatrenie 6.4</w:t>
            </w:r>
            <w:r w:rsidRPr="00D82AFA">
              <w:rPr>
                <w:i/>
                <w:sz w:val="20"/>
                <w:szCs w:val="20"/>
              </w:rPr>
              <w:t xml:space="preserve">: Investície do vytvárania a rozvoja nepoľnohospodárskych činností  </w:t>
            </w:r>
            <w:r>
              <w:rPr>
                <w:i/>
                <w:sz w:val="20"/>
                <w:szCs w:val="20"/>
              </w:rPr>
              <w:t>(čl.19b)</w:t>
            </w:r>
          </w:p>
        </w:tc>
      </w:tr>
      <w:tr w:rsidR="00E43137" w:rsidRPr="00E43137" w:rsidTr="0031577A">
        <w:tc>
          <w:tcPr>
            <w:tcW w:w="1951" w:type="dxa"/>
            <w:vMerge/>
            <w:shd w:val="clear" w:color="auto" w:fill="auto"/>
            <w:vAlign w:val="center"/>
          </w:tcPr>
          <w:p w:rsidR="00E43137" w:rsidRPr="00E43137" w:rsidRDefault="00E43137" w:rsidP="008676F9">
            <w:pPr>
              <w:spacing w:after="60"/>
              <w:rPr>
                <w:rFonts w:ascii="Calibri" w:eastAsia="Calibri" w:hAnsi="Calibri"/>
                <w:sz w:val="20"/>
                <w:szCs w:val="20"/>
                <w:lang w:eastAsia="en-US"/>
              </w:rPr>
            </w:pPr>
          </w:p>
        </w:tc>
        <w:tc>
          <w:tcPr>
            <w:tcW w:w="2410" w:type="dxa"/>
            <w:vMerge/>
            <w:shd w:val="clear" w:color="auto" w:fill="auto"/>
            <w:vAlign w:val="center"/>
          </w:tcPr>
          <w:p w:rsidR="00E43137" w:rsidRPr="00E43137" w:rsidRDefault="00E43137" w:rsidP="008676F9">
            <w:pPr>
              <w:spacing w:after="60"/>
              <w:rPr>
                <w:rFonts w:ascii="Calibri" w:eastAsia="Calibri" w:hAnsi="Calibri"/>
                <w:sz w:val="20"/>
                <w:szCs w:val="20"/>
                <w:lang w:eastAsia="en-US"/>
              </w:rPr>
            </w:pPr>
          </w:p>
        </w:tc>
        <w:tc>
          <w:tcPr>
            <w:tcW w:w="5386" w:type="dxa"/>
            <w:shd w:val="clear" w:color="auto" w:fill="auto"/>
            <w:vAlign w:val="center"/>
          </w:tcPr>
          <w:p w:rsidR="00E43137" w:rsidRPr="00E43137" w:rsidRDefault="00E43137" w:rsidP="008676F9">
            <w:pPr>
              <w:spacing w:after="60"/>
              <w:rPr>
                <w:rFonts w:ascii="Calibri" w:eastAsia="Calibri" w:hAnsi="Calibri"/>
                <w:sz w:val="20"/>
                <w:szCs w:val="20"/>
                <w:lang w:eastAsia="en-US"/>
              </w:rPr>
            </w:pPr>
            <w:r w:rsidRPr="00E43137">
              <w:rPr>
                <w:rFonts w:ascii="Calibri" w:eastAsia="Calibri" w:hAnsi="Calibri"/>
                <w:sz w:val="20"/>
                <w:szCs w:val="20"/>
                <w:lang w:eastAsia="en-US"/>
              </w:rPr>
              <w:t>Opatrenie 7: Základné služby a obnova dedín vo vidieckych oblastiach (čl.20)</w:t>
            </w:r>
          </w:p>
        </w:tc>
      </w:tr>
      <w:tr w:rsidR="00E43137" w:rsidRPr="00E43137" w:rsidTr="0031577A">
        <w:tc>
          <w:tcPr>
            <w:tcW w:w="1951" w:type="dxa"/>
            <w:vMerge/>
            <w:shd w:val="clear" w:color="auto" w:fill="auto"/>
            <w:vAlign w:val="center"/>
          </w:tcPr>
          <w:p w:rsidR="00E43137" w:rsidRPr="00E43137" w:rsidRDefault="00E43137" w:rsidP="008676F9">
            <w:pPr>
              <w:spacing w:after="60"/>
              <w:rPr>
                <w:rFonts w:ascii="Calibri" w:eastAsia="Calibri" w:hAnsi="Calibri"/>
                <w:sz w:val="20"/>
                <w:szCs w:val="20"/>
                <w:lang w:eastAsia="en-US"/>
              </w:rPr>
            </w:pPr>
          </w:p>
        </w:tc>
        <w:tc>
          <w:tcPr>
            <w:tcW w:w="2410" w:type="dxa"/>
            <w:vMerge/>
            <w:shd w:val="clear" w:color="auto" w:fill="auto"/>
            <w:vAlign w:val="center"/>
          </w:tcPr>
          <w:p w:rsidR="00E43137" w:rsidRPr="00E43137" w:rsidRDefault="00E43137" w:rsidP="008676F9">
            <w:pPr>
              <w:spacing w:after="60"/>
              <w:rPr>
                <w:rFonts w:ascii="Calibri" w:eastAsia="Calibri" w:hAnsi="Calibri"/>
                <w:sz w:val="20"/>
                <w:szCs w:val="20"/>
                <w:lang w:eastAsia="en-US"/>
              </w:rPr>
            </w:pPr>
          </w:p>
        </w:tc>
        <w:tc>
          <w:tcPr>
            <w:tcW w:w="5386" w:type="dxa"/>
            <w:shd w:val="clear" w:color="auto" w:fill="auto"/>
            <w:vAlign w:val="center"/>
          </w:tcPr>
          <w:p w:rsidR="00E43137" w:rsidRPr="00E43137" w:rsidRDefault="00E43137" w:rsidP="008676F9">
            <w:pPr>
              <w:spacing w:after="60"/>
              <w:rPr>
                <w:rFonts w:ascii="Calibri" w:eastAsia="Calibri" w:hAnsi="Calibri"/>
                <w:sz w:val="20"/>
                <w:szCs w:val="20"/>
                <w:lang w:eastAsia="en-US"/>
              </w:rPr>
            </w:pPr>
            <w:r w:rsidRPr="00E43137">
              <w:rPr>
                <w:rFonts w:ascii="Calibri" w:eastAsia="Calibri" w:hAnsi="Calibri"/>
                <w:sz w:val="20"/>
                <w:szCs w:val="20"/>
                <w:lang w:eastAsia="en-US"/>
              </w:rPr>
              <w:t>Opatrenie 8: Investície do rozvoja lesných oblastí a zlepšenie životaschopnosti lesov (čl.21):</w:t>
            </w:r>
          </w:p>
          <w:p w:rsidR="00E43137" w:rsidRPr="00E43137" w:rsidRDefault="00E43137" w:rsidP="008676F9">
            <w:pPr>
              <w:spacing w:after="60"/>
              <w:rPr>
                <w:rFonts w:ascii="Calibri" w:eastAsia="Calibri" w:hAnsi="Calibri"/>
                <w:i/>
                <w:sz w:val="20"/>
                <w:szCs w:val="20"/>
                <w:lang w:eastAsia="en-US"/>
              </w:rPr>
            </w:pPr>
            <w:r w:rsidRPr="00E43137">
              <w:rPr>
                <w:rFonts w:ascii="Calibri" w:eastAsia="Calibri" w:hAnsi="Calibri"/>
                <w:i/>
                <w:sz w:val="20"/>
                <w:szCs w:val="20"/>
                <w:lang w:eastAsia="en-US"/>
              </w:rPr>
              <w:t>Podopatrenie 8.6: Investície do lesníckych technológii a do spracovania, mobilizácie a marketingu lesníckych produktov (čl.26)</w:t>
            </w:r>
          </w:p>
        </w:tc>
      </w:tr>
      <w:tr w:rsidR="00E43137" w:rsidRPr="00E43137" w:rsidTr="0031577A">
        <w:tc>
          <w:tcPr>
            <w:tcW w:w="1951" w:type="dxa"/>
            <w:vMerge/>
            <w:shd w:val="clear" w:color="auto" w:fill="auto"/>
            <w:vAlign w:val="center"/>
          </w:tcPr>
          <w:p w:rsidR="00E43137" w:rsidRPr="00E43137" w:rsidRDefault="00E43137" w:rsidP="008676F9">
            <w:pPr>
              <w:spacing w:after="60"/>
              <w:rPr>
                <w:rFonts w:ascii="Calibri" w:eastAsia="Calibri" w:hAnsi="Calibri"/>
                <w:sz w:val="20"/>
                <w:szCs w:val="20"/>
                <w:lang w:eastAsia="en-US"/>
              </w:rPr>
            </w:pPr>
          </w:p>
        </w:tc>
        <w:tc>
          <w:tcPr>
            <w:tcW w:w="2410" w:type="dxa"/>
            <w:vMerge/>
            <w:shd w:val="clear" w:color="auto" w:fill="auto"/>
            <w:vAlign w:val="center"/>
          </w:tcPr>
          <w:p w:rsidR="00E43137" w:rsidRPr="00E43137" w:rsidRDefault="00E43137" w:rsidP="008676F9">
            <w:pPr>
              <w:spacing w:after="60"/>
              <w:rPr>
                <w:rFonts w:ascii="Calibri" w:eastAsia="Calibri" w:hAnsi="Calibri"/>
                <w:sz w:val="20"/>
                <w:szCs w:val="20"/>
                <w:lang w:eastAsia="en-US"/>
              </w:rPr>
            </w:pPr>
          </w:p>
        </w:tc>
        <w:tc>
          <w:tcPr>
            <w:tcW w:w="5386" w:type="dxa"/>
            <w:shd w:val="clear" w:color="auto" w:fill="auto"/>
            <w:vAlign w:val="center"/>
          </w:tcPr>
          <w:p w:rsidR="00E43137" w:rsidRPr="00E43137" w:rsidRDefault="00E43137" w:rsidP="008676F9">
            <w:pPr>
              <w:spacing w:after="60"/>
              <w:rPr>
                <w:rFonts w:ascii="Calibri" w:eastAsia="Calibri" w:hAnsi="Calibri"/>
                <w:sz w:val="20"/>
                <w:szCs w:val="20"/>
                <w:lang w:eastAsia="en-US"/>
              </w:rPr>
            </w:pPr>
            <w:r w:rsidRPr="00E43137">
              <w:rPr>
                <w:rFonts w:ascii="Calibri" w:eastAsia="Calibri" w:hAnsi="Calibri"/>
                <w:sz w:val="20"/>
                <w:szCs w:val="20"/>
                <w:lang w:eastAsia="en-US"/>
              </w:rPr>
              <w:t>Opatrenie 16: Spolupráca (čl. 35)</w:t>
            </w:r>
          </w:p>
        </w:tc>
      </w:tr>
      <w:tr w:rsidR="00E43137" w:rsidRPr="00E43137" w:rsidTr="0031577A">
        <w:tc>
          <w:tcPr>
            <w:tcW w:w="1951" w:type="dxa"/>
            <w:vMerge w:val="restart"/>
            <w:shd w:val="clear" w:color="auto" w:fill="auto"/>
            <w:vAlign w:val="center"/>
          </w:tcPr>
          <w:p w:rsidR="00E43137" w:rsidRPr="00E43137" w:rsidRDefault="00E43137" w:rsidP="00A8663D">
            <w:pPr>
              <w:spacing w:after="60"/>
              <w:jc w:val="left"/>
              <w:rPr>
                <w:rFonts w:ascii="Calibri" w:eastAsia="Calibri" w:hAnsi="Calibri"/>
                <w:sz w:val="20"/>
                <w:szCs w:val="20"/>
                <w:lang w:eastAsia="en-US"/>
              </w:rPr>
            </w:pPr>
            <w:r w:rsidRPr="00E43137">
              <w:rPr>
                <w:rFonts w:ascii="Calibri" w:eastAsia="Calibri" w:hAnsi="Calibri"/>
                <w:sz w:val="20"/>
                <w:szCs w:val="20"/>
                <w:lang w:eastAsia="en-US"/>
              </w:rPr>
              <w:t>Fokusová oblasť 5D:</w:t>
            </w:r>
          </w:p>
          <w:p w:rsidR="00E43137" w:rsidRPr="00E43137" w:rsidRDefault="00E43137" w:rsidP="00A8663D">
            <w:pPr>
              <w:spacing w:after="60"/>
              <w:jc w:val="left"/>
              <w:rPr>
                <w:rFonts w:ascii="Calibri" w:eastAsia="Calibri" w:hAnsi="Calibri"/>
                <w:sz w:val="20"/>
                <w:szCs w:val="20"/>
                <w:lang w:eastAsia="en-US"/>
              </w:rPr>
            </w:pPr>
            <w:r w:rsidRPr="00E43137">
              <w:rPr>
                <w:rFonts w:ascii="Calibri" w:eastAsia="Calibri" w:hAnsi="Calibri"/>
                <w:sz w:val="20"/>
                <w:szCs w:val="20"/>
                <w:lang w:eastAsia="en-US"/>
              </w:rPr>
              <w:t>Zníženie emisií skleníkových plynov a amoniaku z poľnohospodárstva</w:t>
            </w:r>
          </w:p>
        </w:tc>
        <w:tc>
          <w:tcPr>
            <w:tcW w:w="2410" w:type="dxa"/>
            <w:vMerge w:val="restart"/>
            <w:shd w:val="clear" w:color="auto" w:fill="auto"/>
            <w:vAlign w:val="center"/>
          </w:tcPr>
          <w:p w:rsidR="00E43137" w:rsidRPr="00E43137" w:rsidRDefault="00E43137" w:rsidP="00A8663D">
            <w:pPr>
              <w:spacing w:after="60"/>
              <w:jc w:val="left"/>
              <w:rPr>
                <w:rFonts w:ascii="Calibri" w:eastAsia="Calibri" w:hAnsi="Calibri"/>
                <w:sz w:val="20"/>
                <w:szCs w:val="20"/>
                <w:lang w:eastAsia="en-US"/>
              </w:rPr>
            </w:pPr>
            <w:r w:rsidRPr="00E43137">
              <w:rPr>
                <w:rFonts w:ascii="Calibri" w:eastAsia="Calibri" w:hAnsi="Calibri"/>
                <w:sz w:val="20"/>
                <w:szCs w:val="20"/>
                <w:lang w:eastAsia="en-US"/>
              </w:rPr>
              <w:t>% podiel dobytčích jednotiek v podporených podnikoch,  kde sa investovalo do zníženia emisií skleníkových plynov a/alebo amoniaku</w:t>
            </w:r>
          </w:p>
          <w:p w:rsidR="00E43137" w:rsidRPr="00E43137" w:rsidRDefault="00E43137" w:rsidP="00A8663D">
            <w:pPr>
              <w:spacing w:after="60"/>
              <w:jc w:val="left"/>
              <w:rPr>
                <w:rFonts w:ascii="Calibri" w:eastAsia="Calibri" w:hAnsi="Calibri"/>
                <w:sz w:val="20"/>
                <w:szCs w:val="20"/>
                <w:lang w:eastAsia="en-US"/>
              </w:rPr>
            </w:pPr>
            <w:r w:rsidRPr="00E43137">
              <w:rPr>
                <w:rFonts w:ascii="Calibri" w:eastAsia="Calibri" w:hAnsi="Calibri"/>
                <w:sz w:val="20"/>
                <w:szCs w:val="20"/>
                <w:lang w:eastAsia="en-US"/>
              </w:rPr>
              <w:t>% podiel poľnohospodárskej pôdy, kde sú realizované opatrenia na zníženie emisií skleníkových plynov a amoniaku</w:t>
            </w:r>
          </w:p>
        </w:tc>
        <w:tc>
          <w:tcPr>
            <w:tcW w:w="5386" w:type="dxa"/>
            <w:shd w:val="clear" w:color="auto" w:fill="auto"/>
            <w:vAlign w:val="center"/>
          </w:tcPr>
          <w:p w:rsidR="00E43137" w:rsidRPr="00E43137" w:rsidRDefault="00E43137" w:rsidP="008676F9">
            <w:pPr>
              <w:spacing w:after="60"/>
              <w:rPr>
                <w:rFonts w:ascii="Calibri" w:eastAsia="Calibri" w:hAnsi="Calibri"/>
                <w:sz w:val="20"/>
                <w:szCs w:val="20"/>
                <w:lang w:eastAsia="en-US"/>
              </w:rPr>
            </w:pPr>
            <w:r w:rsidRPr="00E43137">
              <w:rPr>
                <w:rFonts w:ascii="Calibri" w:eastAsia="Calibri" w:hAnsi="Calibri"/>
                <w:sz w:val="20"/>
                <w:szCs w:val="20"/>
                <w:lang w:eastAsia="en-US"/>
              </w:rPr>
              <w:t>Opatrenie  1: Prenos vedomostí a zručností (čl.14)</w:t>
            </w:r>
          </w:p>
        </w:tc>
      </w:tr>
      <w:tr w:rsidR="00E43137" w:rsidRPr="00E43137" w:rsidTr="0031577A">
        <w:tc>
          <w:tcPr>
            <w:tcW w:w="1951" w:type="dxa"/>
            <w:vMerge/>
            <w:shd w:val="clear" w:color="auto" w:fill="auto"/>
            <w:vAlign w:val="center"/>
          </w:tcPr>
          <w:p w:rsidR="00E43137" w:rsidRPr="00E43137" w:rsidRDefault="00E43137" w:rsidP="008676F9">
            <w:pPr>
              <w:spacing w:after="60"/>
              <w:rPr>
                <w:rFonts w:ascii="Calibri" w:eastAsia="Calibri" w:hAnsi="Calibri"/>
                <w:sz w:val="20"/>
                <w:szCs w:val="20"/>
                <w:lang w:eastAsia="en-US"/>
              </w:rPr>
            </w:pPr>
          </w:p>
        </w:tc>
        <w:tc>
          <w:tcPr>
            <w:tcW w:w="2410" w:type="dxa"/>
            <w:vMerge/>
            <w:shd w:val="clear" w:color="auto" w:fill="auto"/>
            <w:vAlign w:val="center"/>
          </w:tcPr>
          <w:p w:rsidR="00E43137" w:rsidRPr="00E43137" w:rsidRDefault="00E43137" w:rsidP="008676F9">
            <w:pPr>
              <w:spacing w:after="60"/>
              <w:rPr>
                <w:rFonts w:ascii="Calibri" w:eastAsia="Calibri" w:hAnsi="Calibri"/>
                <w:sz w:val="20"/>
                <w:szCs w:val="20"/>
                <w:lang w:eastAsia="en-US"/>
              </w:rPr>
            </w:pPr>
          </w:p>
        </w:tc>
        <w:tc>
          <w:tcPr>
            <w:tcW w:w="5386" w:type="dxa"/>
            <w:shd w:val="clear" w:color="auto" w:fill="auto"/>
            <w:vAlign w:val="center"/>
          </w:tcPr>
          <w:p w:rsidR="00E43137" w:rsidRPr="00E43137" w:rsidRDefault="00E43137" w:rsidP="008676F9">
            <w:pPr>
              <w:spacing w:after="60"/>
              <w:rPr>
                <w:rFonts w:ascii="Calibri" w:eastAsia="Calibri" w:hAnsi="Calibri"/>
                <w:sz w:val="20"/>
                <w:szCs w:val="20"/>
                <w:lang w:eastAsia="en-US"/>
              </w:rPr>
            </w:pPr>
            <w:r w:rsidRPr="00E43137">
              <w:rPr>
                <w:rFonts w:ascii="Calibri" w:eastAsia="Calibri" w:hAnsi="Calibri"/>
                <w:sz w:val="20"/>
                <w:szCs w:val="20"/>
                <w:lang w:eastAsia="en-US"/>
              </w:rPr>
              <w:t xml:space="preserve">Opatrenie  2:  Poradenské služby  (čl.15)                                                      </w:t>
            </w:r>
          </w:p>
        </w:tc>
      </w:tr>
      <w:tr w:rsidR="00E43137" w:rsidRPr="00E43137" w:rsidTr="0031577A">
        <w:tc>
          <w:tcPr>
            <w:tcW w:w="1951" w:type="dxa"/>
            <w:vMerge/>
            <w:shd w:val="clear" w:color="auto" w:fill="auto"/>
            <w:vAlign w:val="center"/>
          </w:tcPr>
          <w:p w:rsidR="00E43137" w:rsidRPr="00E43137" w:rsidRDefault="00E43137" w:rsidP="008676F9">
            <w:pPr>
              <w:spacing w:after="60"/>
              <w:rPr>
                <w:rFonts w:ascii="Calibri" w:eastAsia="Calibri" w:hAnsi="Calibri"/>
                <w:sz w:val="20"/>
                <w:szCs w:val="20"/>
                <w:lang w:eastAsia="en-US"/>
              </w:rPr>
            </w:pPr>
          </w:p>
        </w:tc>
        <w:tc>
          <w:tcPr>
            <w:tcW w:w="2410" w:type="dxa"/>
            <w:vMerge/>
            <w:shd w:val="clear" w:color="auto" w:fill="auto"/>
            <w:vAlign w:val="center"/>
          </w:tcPr>
          <w:p w:rsidR="00E43137" w:rsidRPr="00E43137" w:rsidRDefault="00E43137" w:rsidP="008676F9">
            <w:pPr>
              <w:spacing w:after="60"/>
              <w:rPr>
                <w:rFonts w:ascii="Calibri" w:eastAsia="Calibri" w:hAnsi="Calibri"/>
                <w:sz w:val="20"/>
                <w:szCs w:val="20"/>
                <w:lang w:eastAsia="en-US"/>
              </w:rPr>
            </w:pPr>
          </w:p>
        </w:tc>
        <w:tc>
          <w:tcPr>
            <w:tcW w:w="5386" w:type="dxa"/>
            <w:shd w:val="clear" w:color="auto" w:fill="auto"/>
            <w:vAlign w:val="center"/>
          </w:tcPr>
          <w:p w:rsidR="00E43137" w:rsidRPr="00E43137" w:rsidRDefault="00E43137" w:rsidP="008676F9">
            <w:pPr>
              <w:spacing w:after="60"/>
              <w:rPr>
                <w:rFonts w:ascii="Calibri" w:eastAsia="Calibri" w:hAnsi="Calibri"/>
                <w:sz w:val="20"/>
                <w:szCs w:val="20"/>
                <w:lang w:eastAsia="en-US"/>
              </w:rPr>
            </w:pPr>
            <w:r w:rsidRPr="00E43137">
              <w:rPr>
                <w:rFonts w:ascii="Calibri" w:eastAsia="Calibri" w:hAnsi="Calibri"/>
                <w:sz w:val="20"/>
                <w:szCs w:val="20"/>
                <w:lang w:eastAsia="en-US"/>
              </w:rPr>
              <w:t>Opatrenie  4: Investície do hmotného majetku</w:t>
            </w:r>
          </w:p>
          <w:p w:rsidR="00E43137" w:rsidRPr="00E43137" w:rsidRDefault="00E43137" w:rsidP="008676F9">
            <w:pPr>
              <w:spacing w:after="60"/>
              <w:rPr>
                <w:rFonts w:ascii="Calibri" w:eastAsia="Calibri" w:hAnsi="Calibri"/>
                <w:i/>
                <w:sz w:val="20"/>
                <w:szCs w:val="20"/>
                <w:lang w:eastAsia="en-US"/>
              </w:rPr>
            </w:pPr>
            <w:r w:rsidRPr="00E43137">
              <w:rPr>
                <w:rFonts w:ascii="Calibri" w:eastAsia="Calibri" w:hAnsi="Calibri"/>
                <w:i/>
                <w:sz w:val="20"/>
                <w:szCs w:val="20"/>
                <w:lang w:eastAsia="en-US"/>
              </w:rPr>
              <w:t>Podopatrenie 4.4: neproduktívne investície (čl. 17d)</w:t>
            </w:r>
          </w:p>
        </w:tc>
      </w:tr>
      <w:tr w:rsidR="00E43137" w:rsidRPr="00E43137" w:rsidTr="0031577A">
        <w:tc>
          <w:tcPr>
            <w:tcW w:w="1951" w:type="dxa"/>
            <w:vMerge/>
            <w:shd w:val="clear" w:color="auto" w:fill="auto"/>
            <w:vAlign w:val="center"/>
          </w:tcPr>
          <w:p w:rsidR="00E43137" w:rsidRPr="00E43137" w:rsidRDefault="00E43137" w:rsidP="008676F9">
            <w:pPr>
              <w:spacing w:after="60"/>
              <w:rPr>
                <w:rFonts w:ascii="Calibri" w:eastAsia="Calibri" w:hAnsi="Calibri"/>
                <w:sz w:val="20"/>
                <w:szCs w:val="20"/>
                <w:lang w:eastAsia="en-US"/>
              </w:rPr>
            </w:pPr>
          </w:p>
        </w:tc>
        <w:tc>
          <w:tcPr>
            <w:tcW w:w="2410" w:type="dxa"/>
            <w:vMerge/>
            <w:shd w:val="clear" w:color="auto" w:fill="auto"/>
            <w:vAlign w:val="center"/>
          </w:tcPr>
          <w:p w:rsidR="00E43137" w:rsidRPr="00E43137" w:rsidRDefault="00E43137" w:rsidP="008676F9">
            <w:pPr>
              <w:spacing w:after="60"/>
              <w:rPr>
                <w:rFonts w:ascii="Calibri" w:eastAsia="Calibri" w:hAnsi="Calibri"/>
                <w:sz w:val="20"/>
                <w:szCs w:val="20"/>
                <w:lang w:eastAsia="en-US"/>
              </w:rPr>
            </w:pPr>
          </w:p>
        </w:tc>
        <w:tc>
          <w:tcPr>
            <w:tcW w:w="5386" w:type="dxa"/>
            <w:shd w:val="clear" w:color="auto" w:fill="auto"/>
            <w:vAlign w:val="center"/>
          </w:tcPr>
          <w:p w:rsidR="00E43137" w:rsidRPr="00E43137" w:rsidRDefault="00E43137" w:rsidP="008676F9">
            <w:pPr>
              <w:spacing w:after="60"/>
              <w:rPr>
                <w:rFonts w:ascii="Calibri" w:eastAsia="Calibri" w:hAnsi="Calibri"/>
                <w:sz w:val="20"/>
                <w:szCs w:val="20"/>
                <w:lang w:eastAsia="en-US"/>
              </w:rPr>
            </w:pPr>
            <w:r w:rsidRPr="00E43137">
              <w:rPr>
                <w:rFonts w:ascii="Calibri" w:eastAsia="Calibri" w:hAnsi="Calibri"/>
                <w:sz w:val="20"/>
                <w:szCs w:val="20"/>
                <w:lang w:eastAsia="en-US"/>
              </w:rPr>
              <w:t>Opatrenie 10: Agroenvironmentálno-klimatické opatrenie  (čl. 28)</w:t>
            </w:r>
          </w:p>
        </w:tc>
      </w:tr>
      <w:tr w:rsidR="00E43137" w:rsidRPr="00E43137" w:rsidTr="0031577A">
        <w:tc>
          <w:tcPr>
            <w:tcW w:w="1951" w:type="dxa"/>
            <w:vMerge w:val="restart"/>
            <w:shd w:val="clear" w:color="auto" w:fill="auto"/>
            <w:vAlign w:val="center"/>
          </w:tcPr>
          <w:p w:rsidR="00E43137" w:rsidRPr="00E43137" w:rsidRDefault="00E43137" w:rsidP="00A8663D">
            <w:pPr>
              <w:spacing w:after="60"/>
              <w:jc w:val="left"/>
              <w:rPr>
                <w:rFonts w:ascii="Calibri" w:eastAsia="Calibri" w:hAnsi="Calibri"/>
                <w:sz w:val="20"/>
                <w:szCs w:val="20"/>
                <w:lang w:eastAsia="en-US"/>
              </w:rPr>
            </w:pPr>
            <w:r w:rsidRPr="00E43137">
              <w:rPr>
                <w:rFonts w:ascii="Calibri" w:eastAsia="Calibri" w:hAnsi="Calibri"/>
                <w:sz w:val="20"/>
                <w:szCs w:val="20"/>
                <w:lang w:eastAsia="en-US"/>
              </w:rPr>
              <w:t>Fokusová oblasť 5E:</w:t>
            </w:r>
          </w:p>
          <w:p w:rsidR="00E43137" w:rsidRPr="00E43137" w:rsidRDefault="00E43137" w:rsidP="00A8663D">
            <w:pPr>
              <w:spacing w:after="60"/>
              <w:jc w:val="left"/>
              <w:rPr>
                <w:rFonts w:ascii="Calibri" w:eastAsia="Calibri" w:hAnsi="Calibri"/>
                <w:sz w:val="20"/>
                <w:szCs w:val="20"/>
                <w:lang w:eastAsia="en-US"/>
              </w:rPr>
            </w:pPr>
            <w:r w:rsidRPr="00E43137">
              <w:rPr>
                <w:rFonts w:ascii="Calibri" w:eastAsia="Calibri" w:hAnsi="Calibri"/>
                <w:sz w:val="20"/>
                <w:szCs w:val="20"/>
                <w:lang w:eastAsia="en-US"/>
              </w:rPr>
              <w:t>Podpora zachovania a sekvestrácie oxidu uhličitého v poľnohospodárstve a lesnom hospodárstve</w:t>
            </w:r>
          </w:p>
        </w:tc>
        <w:tc>
          <w:tcPr>
            <w:tcW w:w="2410" w:type="dxa"/>
            <w:vMerge w:val="restart"/>
            <w:shd w:val="clear" w:color="auto" w:fill="auto"/>
            <w:vAlign w:val="center"/>
          </w:tcPr>
          <w:p w:rsidR="00E43137" w:rsidRPr="00E43137" w:rsidRDefault="00E43137" w:rsidP="00A8663D">
            <w:pPr>
              <w:spacing w:after="60"/>
              <w:jc w:val="left"/>
              <w:rPr>
                <w:rFonts w:ascii="Calibri" w:eastAsia="Calibri" w:hAnsi="Calibri"/>
                <w:sz w:val="20"/>
                <w:szCs w:val="20"/>
                <w:lang w:eastAsia="en-US"/>
              </w:rPr>
            </w:pPr>
            <w:r w:rsidRPr="00E43137">
              <w:rPr>
                <w:rFonts w:ascii="Calibri" w:eastAsia="Calibri" w:hAnsi="Calibri"/>
                <w:sz w:val="20"/>
                <w:szCs w:val="20"/>
                <w:lang w:eastAsia="en-US"/>
              </w:rPr>
              <w:t>% podiel poľnohospodárskej a lesnej pôdy spolu,  kde sa realizujú opatrenia na posilnenie sekvestrácie oxidu uhličitého</w:t>
            </w:r>
          </w:p>
        </w:tc>
        <w:tc>
          <w:tcPr>
            <w:tcW w:w="5386" w:type="dxa"/>
            <w:shd w:val="clear" w:color="auto" w:fill="auto"/>
            <w:vAlign w:val="center"/>
          </w:tcPr>
          <w:p w:rsidR="00E43137" w:rsidRPr="00E43137" w:rsidRDefault="00E43137" w:rsidP="008676F9">
            <w:pPr>
              <w:spacing w:after="60"/>
              <w:rPr>
                <w:rFonts w:ascii="Calibri" w:eastAsia="Calibri" w:hAnsi="Calibri"/>
                <w:sz w:val="20"/>
                <w:szCs w:val="20"/>
                <w:lang w:eastAsia="en-US"/>
              </w:rPr>
            </w:pPr>
            <w:r w:rsidRPr="00E43137">
              <w:rPr>
                <w:rFonts w:ascii="Calibri" w:eastAsia="Calibri" w:hAnsi="Calibri"/>
                <w:sz w:val="20"/>
                <w:szCs w:val="20"/>
                <w:lang w:eastAsia="en-US"/>
              </w:rPr>
              <w:t>Opatrenie   1: Prenos vedomostí a zručností (čl.14)</w:t>
            </w:r>
          </w:p>
        </w:tc>
      </w:tr>
      <w:tr w:rsidR="00E43137" w:rsidRPr="00E43137" w:rsidTr="0031577A">
        <w:tc>
          <w:tcPr>
            <w:tcW w:w="1951" w:type="dxa"/>
            <w:vMerge/>
            <w:shd w:val="clear" w:color="auto" w:fill="auto"/>
            <w:vAlign w:val="center"/>
          </w:tcPr>
          <w:p w:rsidR="00E43137" w:rsidRPr="00E43137" w:rsidRDefault="00E43137" w:rsidP="008676F9">
            <w:pPr>
              <w:spacing w:after="60"/>
              <w:rPr>
                <w:rFonts w:ascii="Calibri" w:eastAsia="Calibri" w:hAnsi="Calibri"/>
                <w:sz w:val="20"/>
                <w:szCs w:val="20"/>
                <w:lang w:eastAsia="en-US"/>
              </w:rPr>
            </w:pPr>
          </w:p>
        </w:tc>
        <w:tc>
          <w:tcPr>
            <w:tcW w:w="2410" w:type="dxa"/>
            <w:vMerge/>
            <w:shd w:val="clear" w:color="auto" w:fill="auto"/>
            <w:vAlign w:val="center"/>
          </w:tcPr>
          <w:p w:rsidR="00E43137" w:rsidRPr="00E43137" w:rsidRDefault="00E43137" w:rsidP="008676F9">
            <w:pPr>
              <w:spacing w:after="60"/>
              <w:rPr>
                <w:rFonts w:ascii="Calibri" w:eastAsia="Calibri" w:hAnsi="Calibri"/>
                <w:sz w:val="20"/>
                <w:szCs w:val="20"/>
                <w:lang w:eastAsia="en-US"/>
              </w:rPr>
            </w:pPr>
          </w:p>
        </w:tc>
        <w:tc>
          <w:tcPr>
            <w:tcW w:w="5386" w:type="dxa"/>
            <w:shd w:val="clear" w:color="auto" w:fill="auto"/>
            <w:vAlign w:val="center"/>
          </w:tcPr>
          <w:p w:rsidR="00E43137" w:rsidRPr="00E43137" w:rsidRDefault="00E43137" w:rsidP="008676F9">
            <w:pPr>
              <w:spacing w:after="60"/>
              <w:rPr>
                <w:rFonts w:ascii="Calibri" w:eastAsia="Calibri" w:hAnsi="Calibri"/>
                <w:sz w:val="20"/>
                <w:szCs w:val="20"/>
                <w:lang w:eastAsia="en-US"/>
              </w:rPr>
            </w:pPr>
            <w:r w:rsidRPr="00E43137">
              <w:rPr>
                <w:rFonts w:ascii="Calibri" w:eastAsia="Calibri" w:hAnsi="Calibri"/>
                <w:sz w:val="20"/>
                <w:szCs w:val="20"/>
                <w:lang w:eastAsia="en-US"/>
              </w:rPr>
              <w:t xml:space="preserve">Opatrenie  2:  Poradenské služby  (čl.15)                                                      </w:t>
            </w:r>
          </w:p>
        </w:tc>
      </w:tr>
      <w:tr w:rsidR="00E43137" w:rsidRPr="00E43137" w:rsidTr="0031577A">
        <w:tc>
          <w:tcPr>
            <w:tcW w:w="1951" w:type="dxa"/>
            <w:vMerge/>
            <w:shd w:val="clear" w:color="auto" w:fill="auto"/>
            <w:vAlign w:val="center"/>
          </w:tcPr>
          <w:p w:rsidR="00E43137" w:rsidRPr="00E43137" w:rsidRDefault="00E43137" w:rsidP="008676F9">
            <w:pPr>
              <w:spacing w:after="60"/>
              <w:rPr>
                <w:rFonts w:ascii="Calibri" w:eastAsia="Calibri" w:hAnsi="Calibri"/>
                <w:sz w:val="20"/>
                <w:szCs w:val="20"/>
                <w:lang w:eastAsia="en-US"/>
              </w:rPr>
            </w:pPr>
          </w:p>
        </w:tc>
        <w:tc>
          <w:tcPr>
            <w:tcW w:w="2410" w:type="dxa"/>
            <w:vMerge/>
            <w:shd w:val="clear" w:color="auto" w:fill="auto"/>
            <w:vAlign w:val="center"/>
          </w:tcPr>
          <w:p w:rsidR="00E43137" w:rsidRPr="00E43137" w:rsidRDefault="00E43137" w:rsidP="008676F9">
            <w:pPr>
              <w:spacing w:after="60"/>
              <w:rPr>
                <w:rFonts w:ascii="Calibri" w:eastAsia="Calibri" w:hAnsi="Calibri"/>
                <w:sz w:val="20"/>
                <w:szCs w:val="20"/>
                <w:lang w:eastAsia="en-US"/>
              </w:rPr>
            </w:pPr>
          </w:p>
        </w:tc>
        <w:tc>
          <w:tcPr>
            <w:tcW w:w="5386" w:type="dxa"/>
            <w:shd w:val="clear" w:color="auto" w:fill="auto"/>
            <w:vAlign w:val="center"/>
          </w:tcPr>
          <w:p w:rsidR="00E43137" w:rsidRPr="00E43137" w:rsidRDefault="00E43137" w:rsidP="00A8663D">
            <w:pPr>
              <w:spacing w:after="60"/>
              <w:jc w:val="left"/>
              <w:rPr>
                <w:rFonts w:ascii="Calibri" w:eastAsia="Calibri" w:hAnsi="Calibri"/>
                <w:sz w:val="20"/>
                <w:szCs w:val="20"/>
                <w:lang w:eastAsia="en-US"/>
              </w:rPr>
            </w:pPr>
            <w:r w:rsidRPr="00E43137">
              <w:rPr>
                <w:rFonts w:ascii="Calibri" w:eastAsia="Calibri" w:hAnsi="Calibri"/>
                <w:sz w:val="20"/>
                <w:szCs w:val="20"/>
                <w:lang w:eastAsia="en-US"/>
              </w:rPr>
              <w:t>Opatrenie 8: Investície do rozvoja lesných oblastí a zlepšenie životaschopnosti lesov (čl.21):</w:t>
            </w:r>
          </w:p>
          <w:p w:rsidR="00E43137" w:rsidRPr="00E43137" w:rsidRDefault="00E43137" w:rsidP="00A8663D">
            <w:pPr>
              <w:spacing w:after="60"/>
              <w:jc w:val="left"/>
              <w:rPr>
                <w:rFonts w:ascii="Calibri" w:eastAsia="Calibri" w:hAnsi="Calibri"/>
                <w:i/>
                <w:sz w:val="20"/>
                <w:szCs w:val="20"/>
                <w:lang w:eastAsia="en-US"/>
              </w:rPr>
            </w:pPr>
            <w:r w:rsidRPr="00E43137">
              <w:rPr>
                <w:rFonts w:ascii="Calibri" w:eastAsia="Calibri" w:hAnsi="Calibri"/>
                <w:i/>
                <w:sz w:val="20"/>
                <w:szCs w:val="20"/>
                <w:lang w:eastAsia="en-US"/>
              </w:rPr>
              <w:t>Podopatrenie 8.5: Investície na zlepšenie odolnosti a environmentálnej hodnoty lesných ekosystémov (čl.25)</w:t>
            </w:r>
          </w:p>
        </w:tc>
      </w:tr>
      <w:tr w:rsidR="00E43137" w:rsidRPr="00E43137" w:rsidTr="00B3442A">
        <w:trPr>
          <w:trHeight w:val="664"/>
        </w:trPr>
        <w:tc>
          <w:tcPr>
            <w:tcW w:w="1951" w:type="dxa"/>
            <w:vMerge/>
            <w:shd w:val="clear" w:color="auto" w:fill="auto"/>
            <w:vAlign w:val="center"/>
          </w:tcPr>
          <w:p w:rsidR="00E43137" w:rsidRPr="00E43137" w:rsidRDefault="00E43137" w:rsidP="008676F9">
            <w:pPr>
              <w:spacing w:after="60"/>
              <w:rPr>
                <w:rFonts w:ascii="Calibri" w:eastAsia="Calibri" w:hAnsi="Calibri"/>
                <w:sz w:val="20"/>
                <w:szCs w:val="20"/>
                <w:lang w:eastAsia="en-US"/>
              </w:rPr>
            </w:pPr>
          </w:p>
        </w:tc>
        <w:tc>
          <w:tcPr>
            <w:tcW w:w="2410" w:type="dxa"/>
            <w:vMerge/>
            <w:shd w:val="clear" w:color="auto" w:fill="auto"/>
            <w:vAlign w:val="center"/>
          </w:tcPr>
          <w:p w:rsidR="00E43137" w:rsidRPr="00E43137" w:rsidRDefault="00E43137" w:rsidP="008676F9">
            <w:pPr>
              <w:spacing w:after="60"/>
              <w:rPr>
                <w:rFonts w:ascii="Calibri" w:eastAsia="Calibri" w:hAnsi="Calibri"/>
                <w:sz w:val="20"/>
                <w:szCs w:val="20"/>
                <w:lang w:eastAsia="en-US"/>
              </w:rPr>
            </w:pPr>
          </w:p>
        </w:tc>
        <w:tc>
          <w:tcPr>
            <w:tcW w:w="5386" w:type="dxa"/>
            <w:shd w:val="clear" w:color="auto" w:fill="auto"/>
            <w:vAlign w:val="center"/>
          </w:tcPr>
          <w:p w:rsidR="00E43137" w:rsidRPr="00E43137" w:rsidRDefault="00E43137" w:rsidP="00B3442A">
            <w:pPr>
              <w:jc w:val="left"/>
              <w:rPr>
                <w:rFonts w:ascii="Calibri" w:eastAsia="Calibri" w:hAnsi="Calibri"/>
                <w:sz w:val="20"/>
                <w:szCs w:val="20"/>
                <w:lang w:eastAsia="en-US"/>
              </w:rPr>
            </w:pPr>
            <w:r w:rsidRPr="00E43137">
              <w:rPr>
                <w:rFonts w:ascii="Calibri" w:eastAsia="Calibri" w:hAnsi="Calibri"/>
                <w:sz w:val="20"/>
                <w:szCs w:val="20"/>
                <w:lang w:eastAsia="en-US"/>
              </w:rPr>
              <w:t>Opatrenie 10: Agroenvironmentálno-klimatické opatrenie  (čl. 28)</w:t>
            </w:r>
          </w:p>
        </w:tc>
      </w:tr>
    </w:tbl>
    <w:p w:rsidR="00E43137" w:rsidRPr="00E43137" w:rsidRDefault="00E43137" w:rsidP="008676F9">
      <w:pPr>
        <w:spacing w:after="60"/>
        <w:rPr>
          <w:rFonts w:ascii="Calibri" w:eastAsia="Calibri" w:hAnsi="Calibri"/>
          <w:b/>
          <w:sz w:val="20"/>
          <w:szCs w:val="20"/>
          <w:lang w:eastAsia="en-US"/>
        </w:rPr>
      </w:pPr>
      <w:r w:rsidRPr="00E43137">
        <w:rPr>
          <w:rFonts w:ascii="Calibri" w:eastAsia="Calibri" w:hAnsi="Calibri"/>
          <w:b/>
          <w:sz w:val="20"/>
          <w:szCs w:val="20"/>
          <w:lang w:eastAsia="en-US"/>
        </w:rPr>
        <w:br w:type="page"/>
      </w:r>
    </w:p>
    <w:tbl>
      <w:tblPr>
        <w:tblpPr w:leftFromText="141" w:rightFromText="141" w:vertAnchor="text" w:horzAnchor="margin" w:tblpY="80"/>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96"/>
        <w:gridCol w:w="2257"/>
        <w:gridCol w:w="4394"/>
      </w:tblGrid>
      <w:tr w:rsidR="00E43137" w:rsidRPr="00E43137" w:rsidTr="00E43137">
        <w:tc>
          <w:tcPr>
            <w:tcW w:w="9747" w:type="dxa"/>
            <w:gridSpan w:val="3"/>
            <w:tcBorders>
              <w:bottom w:val="single" w:sz="4" w:space="0" w:color="auto"/>
            </w:tcBorders>
            <w:shd w:val="clear" w:color="auto" w:fill="BFBFBF"/>
            <w:vAlign w:val="center"/>
          </w:tcPr>
          <w:p w:rsidR="00E43137" w:rsidRPr="00E43137" w:rsidRDefault="00E43137" w:rsidP="008676F9">
            <w:pPr>
              <w:spacing w:after="60"/>
              <w:rPr>
                <w:rFonts w:ascii="Calibri" w:eastAsia="Calibri" w:hAnsi="Calibri"/>
                <w:b/>
                <w:sz w:val="20"/>
                <w:szCs w:val="20"/>
                <w:lang w:eastAsia="en-US"/>
              </w:rPr>
            </w:pPr>
            <w:r w:rsidRPr="00E43137">
              <w:rPr>
                <w:rFonts w:ascii="Calibri" w:eastAsia="Calibri" w:hAnsi="Calibri"/>
                <w:b/>
                <w:sz w:val="20"/>
                <w:szCs w:val="20"/>
                <w:lang w:eastAsia="en-US"/>
              </w:rPr>
              <w:t>Priorita 6</w:t>
            </w:r>
          </w:p>
        </w:tc>
      </w:tr>
      <w:tr w:rsidR="00E43137" w:rsidRPr="00E43137" w:rsidTr="0031577A">
        <w:tc>
          <w:tcPr>
            <w:tcW w:w="3096" w:type="dxa"/>
            <w:shd w:val="clear" w:color="auto" w:fill="F2F2F2"/>
            <w:vAlign w:val="center"/>
          </w:tcPr>
          <w:p w:rsidR="00E43137" w:rsidRPr="00E43137" w:rsidRDefault="00E43137" w:rsidP="008676F9">
            <w:pPr>
              <w:spacing w:after="60"/>
              <w:rPr>
                <w:rFonts w:ascii="Calibri" w:eastAsia="Calibri" w:hAnsi="Calibri"/>
                <w:b/>
                <w:sz w:val="20"/>
                <w:szCs w:val="20"/>
                <w:lang w:eastAsia="en-US"/>
              </w:rPr>
            </w:pPr>
            <w:r w:rsidRPr="00E43137">
              <w:rPr>
                <w:rFonts w:ascii="Calibri" w:eastAsia="Calibri" w:hAnsi="Calibri"/>
                <w:b/>
                <w:sz w:val="20"/>
                <w:szCs w:val="20"/>
                <w:lang w:eastAsia="en-US"/>
              </w:rPr>
              <w:t>Fokusová oblasť</w:t>
            </w:r>
          </w:p>
        </w:tc>
        <w:tc>
          <w:tcPr>
            <w:tcW w:w="2257" w:type="dxa"/>
            <w:shd w:val="clear" w:color="auto" w:fill="F2F2F2"/>
            <w:vAlign w:val="center"/>
          </w:tcPr>
          <w:p w:rsidR="00E43137" w:rsidRPr="00E43137" w:rsidRDefault="00E43137" w:rsidP="008676F9">
            <w:pPr>
              <w:spacing w:after="60"/>
              <w:rPr>
                <w:rFonts w:ascii="Calibri" w:eastAsia="Calibri" w:hAnsi="Calibri"/>
                <w:b/>
                <w:sz w:val="20"/>
                <w:szCs w:val="20"/>
                <w:lang w:eastAsia="en-US"/>
              </w:rPr>
            </w:pPr>
            <w:r w:rsidRPr="00E43137">
              <w:rPr>
                <w:rFonts w:ascii="Calibri" w:eastAsia="Calibri" w:hAnsi="Calibri"/>
                <w:b/>
                <w:sz w:val="20"/>
                <w:szCs w:val="20"/>
                <w:lang w:eastAsia="en-US"/>
              </w:rPr>
              <w:t>Kvantifikovaná cieľová hodnota</w:t>
            </w:r>
          </w:p>
        </w:tc>
        <w:tc>
          <w:tcPr>
            <w:tcW w:w="4394" w:type="dxa"/>
            <w:shd w:val="clear" w:color="auto" w:fill="F2F2F2"/>
            <w:vAlign w:val="center"/>
          </w:tcPr>
          <w:p w:rsidR="00E43137" w:rsidRPr="00E43137" w:rsidRDefault="00E43137" w:rsidP="008676F9">
            <w:pPr>
              <w:spacing w:after="60"/>
              <w:rPr>
                <w:rFonts w:ascii="Calibri" w:eastAsia="Calibri" w:hAnsi="Calibri"/>
                <w:b/>
                <w:sz w:val="20"/>
                <w:szCs w:val="20"/>
                <w:lang w:eastAsia="en-US"/>
              </w:rPr>
            </w:pPr>
            <w:r w:rsidRPr="00E43137">
              <w:rPr>
                <w:rFonts w:ascii="Calibri" w:eastAsia="Calibri" w:hAnsi="Calibri"/>
                <w:b/>
                <w:sz w:val="20"/>
                <w:szCs w:val="20"/>
                <w:lang w:eastAsia="en-US"/>
              </w:rPr>
              <w:t>Kombinácia opatrení</w:t>
            </w:r>
          </w:p>
        </w:tc>
      </w:tr>
      <w:tr w:rsidR="00E43137" w:rsidRPr="00E43137" w:rsidTr="0031577A">
        <w:tc>
          <w:tcPr>
            <w:tcW w:w="3096" w:type="dxa"/>
            <w:vMerge w:val="restart"/>
            <w:shd w:val="clear" w:color="auto" w:fill="auto"/>
            <w:vAlign w:val="center"/>
          </w:tcPr>
          <w:p w:rsidR="00E43137" w:rsidRPr="00E43137" w:rsidRDefault="00E43137" w:rsidP="00A8663D">
            <w:pPr>
              <w:spacing w:after="60"/>
              <w:jc w:val="left"/>
              <w:rPr>
                <w:rFonts w:ascii="Calibri" w:eastAsia="Calibri" w:hAnsi="Calibri"/>
                <w:sz w:val="20"/>
                <w:szCs w:val="20"/>
                <w:lang w:eastAsia="en-US"/>
              </w:rPr>
            </w:pPr>
            <w:r w:rsidRPr="00E43137">
              <w:rPr>
                <w:rFonts w:ascii="Calibri" w:eastAsia="Calibri" w:hAnsi="Calibri"/>
                <w:sz w:val="20"/>
                <w:szCs w:val="20"/>
                <w:lang w:eastAsia="en-US"/>
              </w:rPr>
              <w:t>Fokusová oblasť 6A:</w:t>
            </w:r>
          </w:p>
          <w:p w:rsidR="00E43137" w:rsidRPr="00E43137" w:rsidRDefault="00E43137" w:rsidP="00A8663D">
            <w:pPr>
              <w:spacing w:after="60"/>
              <w:jc w:val="left"/>
              <w:rPr>
                <w:rFonts w:ascii="Calibri" w:eastAsia="Calibri" w:hAnsi="Calibri"/>
                <w:sz w:val="20"/>
                <w:szCs w:val="20"/>
                <w:lang w:eastAsia="en-US"/>
              </w:rPr>
            </w:pPr>
            <w:r w:rsidRPr="00E43137">
              <w:rPr>
                <w:rFonts w:ascii="Calibri" w:eastAsia="Calibri" w:hAnsi="Calibri"/>
                <w:sz w:val="20"/>
                <w:szCs w:val="20"/>
                <w:lang w:eastAsia="en-US"/>
              </w:rPr>
              <w:t>Uľahčenie diverzifikácie, zakladanie nových malých podnikov a vytváranie pracovných miest</w:t>
            </w:r>
          </w:p>
        </w:tc>
        <w:tc>
          <w:tcPr>
            <w:tcW w:w="2257" w:type="dxa"/>
            <w:vMerge w:val="restart"/>
            <w:shd w:val="clear" w:color="auto" w:fill="auto"/>
            <w:vAlign w:val="center"/>
          </w:tcPr>
          <w:p w:rsidR="00E43137" w:rsidRPr="00E43137" w:rsidRDefault="00E43137" w:rsidP="00A8663D">
            <w:pPr>
              <w:spacing w:after="60"/>
              <w:jc w:val="left"/>
              <w:rPr>
                <w:rFonts w:ascii="Calibri" w:eastAsia="Calibri" w:hAnsi="Calibri"/>
                <w:sz w:val="20"/>
                <w:szCs w:val="20"/>
                <w:lang w:eastAsia="en-US"/>
              </w:rPr>
            </w:pPr>
            <w:r w:rsidRPr="00E43137">
              <w:rPr>
                <w:rFonts w:ascii="Calibri" w:eastAsia="Calibri" w:hAnsi="Calibri"/>
                <w:sz w:val="20"/>
                <w:szCs w:val="20"/>
                <w:lang w:eastAsia="en-US"/>
              </w:rPr>
              <w:t>Počet vytvorených miest prostredníctvom podporených projektov</w:t>
            </w:r>
          </w:p>
          <w:p w:rsidR="00E43137" w:rsidRPr="00E43137" w:rsidRDefault="00E43137" w:rsidP="00A8663D">
            <w:pPr>
              <w:spacing w:after="60"/>
              <w:jc w:val="left"/>
              <w:rPr>
                <w:rFonts w:ascii="Calibri" w:eastAsia="Calibri" w:hAnsi="Calibri"/>
                <w:sz w:val="20"/>
                <w:szCs w:val="20"/>
                <w:lang w:eastAsia="en-US"/>
              </w:rPr>
            </w:pPr>
          </w:p>
          <w:p w:rsidR="00E43137" w:rsidRPr="00E43137" w:rsidRDefault="00E43137" w:rsidP="00A8663D">
            <w:pPr>
              <w:spacing w:after="60"/>
              <w:jc w:val="left"/>
              <w:rPr>
                <w:rFonts w:ascii="Calibri" w:eastAsia="Calibri" w:hAnsi="Calibri"/>
                <w:sz w:val="20"/>
                <w:szCs w:val="20"/>
                <w:lang w:eastAsia="en-US"/>
              </w:rPr>
            </w:pPr>
          </w:p>
        </w:tc>
        <w:tc>
          <w:tcPr>
            <w:tcW w:w="4394" w:type="dxa"/>
            <w:shd w:val="clear" w:color="auto" w:fill="auto"/>
            <w:vAlign w:val="center"/>
          </w:tcPr>
          <w:p w:rsidR="00E43137" w:rsidRPr="00E43137" w:rsidRDefault="00E43137" w:rsidP="00A8663D">
            <w:pPr>
              <w:spacing w:after="60"/>
              <w:jc w:val="left"/>
              <w:rPr>
                <w:rFonts w:ascii="Calibri" w:eastAsia="Calibri" w:hAnsi="Calibri"/>
                <w:sz w:val="20"/>
                <w:szCs w:val="20"/>
                <w:lang w:eastAsia="en-US"/>
              </w:rPr>
            </w:pPr>
            <w:r w:rsidRPr="00E43137">
              <w:rPr>
                <w:rFonts w:ascii="Calibri" w:eastAsia="Calibri" w:hAnsi="Calibri"/>
                <w:sz w:val="20"/>
                <w:szCs w:val="20"/>
                <w:lang w:eastAsia="en-US"/>
              </w:rPr>
              <w:t>Opatrenie 1: Prenos vedomostí a zručností (čl.14)</w:t>
            </w:r>
          </w:p>
        </w:tc>
      </w:tr>
      <w:tr w:rsidR="00E43137" w:rsidRPr="00E43137" w:rsidTr="0031577A">
        <w:tc>
          <w:tcPr>
            <w:tcW w:w="3096" w:type="dxa"/>
            <w:vMerge/>
            <w:shd w:val="clear" w:color="auto" w:fill="auto"/>
            <w:vAlign w:val="center"/>
          </w:tcPr>
          <w:p w:rsidR="00E43137" w:rsidRPr="00E43137" w:rsidRDefault="00E43137" w:rsidP="00A8663D">
            <w:pPr>
              <w:spacing w:after="60"/>
              <w:jc w:val="left"/>
              <w:rPr>
                <w:rFonts w:ascii="Calibri" w:eastAsia="Calibri" w:hAnsi="Calibri"/>
                <w:sz w:val="20"/>
                <w:szCs w:val="20"/>
                <w:lang w:eastAsia="en-US"/>
              </w:rPr>
            </w:pPr>
          </w:p>
        </w:tc>
        <w:tc>
          <w:tcPr>
            <w:tcW w:w="2257" w:type="dxa"/>
            <w:vMerge/>
            <w:shd w:val="clear" w:color="auto" w:fill="auto"/>
            <w:vAlign w:val="center"/>
          </w:tcPr>
          <w:p w:rsidR="00E43137" w:rsidRPr="00E43137" w:rsidRDefault="00E43137" w:rsidP="00A8663D">
            <w:pPr>
              <w:spacing w:after="60"/>
              <w:jc w:val="left"/>
              <w:rPr>
                <w:rFonts w:ascii="Calibri" w:eastAsia="Calibri" w:hAnsi="Calibri"/>
                <w:sz w:val="20"/>
                <w:szCs w:val="20"/>
                <w:lang w:eastAsia="en-US"/>
              </w:rPr>
            </w:pPr>
          </w:p>
        </w:tc>
        <w:tc>
          <w:tcPr>
            <w:tcW w:w="4394" w:type="dxa"/>
            <w:shd w:val="clear" w:color="auto" w:fill="auto"/>
            <w:vAlign w:val="center"/>
          </w:tcPr>
          <w:p w:rsidR="00E43137" w:rsidRPr="00E43137" w:rsidRDefault="00E43137" w:rsidP="00A8663D">
            <w:pPr>
              <w:spacing w:after="60"/>
              <w:jc w:val="left"/>
              <w:rPr>
                <w:rFonts w:ascii="Calibri" w:eastAsia="Calibri" w:hAnsi="Calibri"/>
                <w:sz w:val="20"/>
                <w:szCs w:val="20"/>
                <w:lang w:eastAsia="en-US"/>
              </w:rPr>
            </w:pPr>
            <w:r w:rsidRPr="00E43137">
              <w:rPr>
                <w:rFonts w:ascii="Calibri" w:eastAsia="Calibri" w:hAnsi="Calibri"/>
                <w:sz w:val="20"/>
                <w:szCs w:val="20"/>
                <w:lang w:eastAsia="en-US"/>
              </w:rPr>
              <w:t>Opatrenie 6: Rozvoj poľnohospodárskych podnikov a</w:t>
            </w:r>
            <w:r w:rsidR="006A183D">
              <w:rPr>
                <w:rFonts w:ascii="Calibri" w:eastAsia="Calibri" w:hAnsi="Calibri"/>
                <w:sz w:val="20"/>
                <w:szCs w:val="20"/>
                <w:lang w:eastAsia="en-US"/>
              </w:rPr>
              <w:t> </w:t>
            </w:r>
            <w:r w:rsidRPr="00E43137">
              <w:rPr>
                <w:rFonts w:ascii="Calibri" w:eastAsia="Calibri" w:hAnsi="Calibri"/>
                <w:sz w:val="20"/>
                <w:szCs w:val="20"/>
                <w:lang w:eastAsia="en-US"/>
              </w:rPr>
              <w:t>podnika</w:t>
            </w:r>
            <w:r w:rsidR="006A183D">
              <w:rPr>
                <w:rFonts w:ascii="Calibri" w:eastAsia="Calibri" w:hAnsi="Calibri"/>
                <w:sz w:val="20"/>
                <w:szCs w:val="20"/>
                <w:lang w:eastAsia="en-US"/>
              </w:rPr>
              <w:t>teľskej činnosti</w:t>
            </w:r>
            <w:r w:rsidRPr="00E43137">
              <w:rPr>
                <w:rFonts w:ascii="Calibri" w:eastAsia="Calibri" w:hAnsi="Calibri"/>
                <w:sz w:val="20"/>
                <w:szCs w:val="20"/>
                <w:lang w:eastAsia="en-US"/>
              </w:rPr>
              <w:t xml:space="preserve"> (čl.19): </w:t>
            </w:r>
          </w:p>
          <w:p w:rsidR="00E43137" w:rsidRPr="00E43137" w:rsidRDefault="00E43137" w:rsidP="00A8663D">
            <w:pPr>
              <w:spacing w:after="60"/>
              <w:jc w:val="left"/>
              <w:rPr>
                <w:rFonts w:ascii="Calibri" w:eastAsia="Calibri" w:hAnsi="Calibri"/>
                <w:i/>
                <w:sz w:val="20"/>
                <w:szCs w:val="20"/>
                <w:lang w:eastAsia="en-US"/>
              </w:rPr>
            </w:pPr>
            <w:r w:rsidRPr="00E43137">
              <w:rPr>
                <w:rFonts w:ascii="Calibri" w:eastAsia="Calibri" w:hAnsi="Calibri"/>
                <w:i/>
                <w:sz w:val="20"/>
                <w:szCs w:val="20"/>
                <w:lang w:eastAsia="en-US"/>
              </w:rPr>
              <w:t>Podopatrenie 6.4: Investície do vytvárania a rozvoja nepoľnohospodárskych činností  (čl.19b)</w:t>
            </w:r>
          </w:p>
        </w:tc>
      </w:tr>
      <w:tr w:rsidR="00E43137" w:rsidRPr="00E43137" w:rsidTr="0031577A">
        <w:tc>
          <w:tcPr>
            <w:tcW w:w="3096" w:type="dxa"/>
            <w:vMerge/>
            <w:shd w:val="clear" w:color="auto" w:fill="auto"/>
            <w:vAlign w:val="center"/>
          </w:tcPr>
          <w:p w:rsidR="00E43137" w:rsidRPr="00E43137" w:rsidRDefault="00E43137" w:rsidP="00A8663D">
            <w:pPr>
              <w:spacing w:after="60"/>
              <w:jc w:val="left"/>
              <w:rPr>
                <w:rFonts w:ascii="Calibri" w:eastAsia="Calibri" w:hAnsi="Calibri"/>
                <w:sz w:val="20"/>
                <w:szCs w:val="20"/>
                <w:lang w:eastAsia="en-US"/>
              </w:rPr>
            </w:pPr>
          </w:p>
        </w:tc>
        <w:tc>
          <w:tcPr>
            <w:tcW w:w="2257" w:type="dxa"/>
            <w:vMerge/>
            <w:shd w:val="clear" w:color="auto" w:fill="auto"/>
            <w:vAlign w:val="center"/>
          </w:tcPr>
          <w:p w:rsidR="00E43137" w:rsidRPr="00E43137" w:rsidRDefault="00E43137" w:rsidP="00A8663D">
            <w:pPr>
              <w:spacing w:after="60"/>
              <w:jc w:val="left"/>
              <w:rPr>
                <w:rFonts w:ascii="Calibri" w:eastAsia="Calibri" w:hAnsi="Calibri"/>
                <w:sz w:val="20"/>
                <w:szCs w:val="20"/>
                <w:lang w:eastAsia="en-US"/>
              </w:rPr>
            </w:pPr>
          </w:p>
        </w:tc>
        <w:tc>
          <w:tcPr>
            <w:tcW w:w="4394" w:type="dxa"/>
            <w:shd w:val="clear" w:color="auto" w:fill="auto"/>
            <w:vAlign w:val="center"/>
          </w:tcPr>
          <w:p w:rsidR="00E43137" w:rsidRPr="00E43137" w:rsidRDefault="00E43137" w:rsidP="00A8663D">
            <w:pPr>
              <w:spacing w:after="60"/>
              <w:jc w:val="left"/>
              <w:rPr>
                <w:rFonts w:ascii="Calibri" w:eastAsia="Calibri" w:hAnsi="Calibri"/>
                <w:sz w:val="20"/>
                <w:szCs w:val="20"/>
                <w:lang w:eastAsia="en-US"/>
              </w:rPr>
            </w:pPr>
            <w:r w:rsidRPr="00E43137">
              <w:rPr>
                <w:rFonts w:ascii="Calibri" w:eastAsia="Calibri" w:hAnsi="Calibri"/>
                <w:sz w:val="20"/>
                <w:szCs w:val="20"/>
                <w:lang w:eastAsia="en-US"/>
              </w:rPr>
              <w:t>Opatrenie 16: Spolupráca (čl. 35)</w:t>
            </w:r>
          </w:p>
        </w:tc>
      </w:tr>
      <w:tr w:rsidR="00E43137" w:rsidRPr="00E43137" w:rsidTr="0031577A">
        <w:tc>
          <w:tcPr>
            <w:tcW w:w="3096" w:type="dxa"/>
            <w:vMerge w:val="restart"/>
            <w:shd w:val="clear" w:color="auto" w:fill="auto"/>
            <w:vAlign w:val="center"/>
          </w:tcPr>
          <w:p w:rsidR="00E43137" w:rsidRPr="00E43137" w:rsidRDefault="00E43137" w:rsidP="00A8663D">
            <w:pPr>
              <w:spacing w:after="60"/>
              <w:jc w:val="left"/>
              <w:rPr>
                <w:rFonts w:ascii="Calibri" w:eastAsia="Calibri" w:hAnsi="Calibri"/>
                <w:sz w:val="20"/>
                <w:szCs w:val="20"/>
                <w:lang w:eastAsia="en-US"/>
              </w:rPr>
            </w:pPr>
            <w:r w:rsidRPr="00E43137">
              <w:rPr>
                <w:rFonts w:ascii="Calibri" w:eastAsia="Calibri" w:hAnsi="Calibri"/>
                <w:sz w:val="20"/>
                <w:szCs w:val="20"/>
                <w:lang w:eastAsia="en-US"/>
              </w:rPr>
              <w:t>Fokusová oblasť 6B:</w:t>
            </w:r>
          </w:p>
          <w:p w:rsidR="00E43137" w:rsidRPr="00E43137" w:rsidRDefault="00E43137" w:rsidP="00A8663D">
            <w:pPr>
              <w:spacing w:after="60"/>
              <w:jc w:val="left"/>
              <w:rPr>
                <w:rFonts w:ascii="Calibri" w:eastAsia="Calibri" w:hAnsi="Calibri"/>
                <w:sz w:val="20"/>
                <w:szCs w:val="20"/>
                <w:lang w:eastAsia="en-US"/>
              </w:rPr>
            </w:pPr>
            <w:r w:rsidRPr="00E43137">
              <w:rPr>
                <w:rFonts w:ascii="Calibri" w:eastAsia="Calibri" w:hAnsi="Calibri"/>
                <w:sz w:val="20"/>
                <w:szCs w:val="20"/>
                <w:lang w:eastAsia="en-US"/>
              </w:rPr>
              <w:t>Podpora miestneho rozvoja vo vidieckych oblastiach</w:t>
            </w:r>
          </w:p>
        </w:tc>
        <w:tc>
          <w:tcPr>
            <w:tcW w:w="2257" w:type="dxa"/>
            <w:vMerge w:val="restart"/>
            <w:shd w:val="clear" w:color="auto" w:fill="auto"/>
            <w:vAlign w:val="center"/>
          </w:tcPr>
          <w:p w:rsidR="00E43137" w:rsidRPr="00E43137" w:rsidRDefault="00E43137" w:rsidP="00A8663D">
            <w:pPr>
              <w:spacing w:after="60"/>
              <w:jc w:val="left"/>
              <w:rPr>
                <w:rFonts w:ascii="Calibri" w:eastAsia="Calibri" w:hAnsi="Calibri"/>
                <w:sz w:val="20"/>
                <w:szCs w:val="20"/>
                <w:lang w:eastAsia="en-US"/>
              </w:rPr>
            </w:pPr>
            <w:r w:rsidRPr="00E43137">
              <w:rPr>
                <w:rFonts w:ascii="Calibri" w:eastAsia="Calibri" w:hAnsi="Calibri"/>
                <w:sz w:val="20"/>
                <w:szCs w:val="20"/>
                <w:lang w:eastAsia="en-US"/>
              </w:rPr>
              <w:t>% vidieckej populácie začlenenej v stratégiách miestneho  rozvoja</w:t>
            </w:r>
          </w:p>
          <w:p w:rsidR="00E43137" w:rsidRPr="00E43137" w:rsidRDefault="00E43137" w:rsidP="00A8663D">
            <w:pPr>
              <w:jc w:val="left"/>
              <w:rPr>
                <w:rFonts w:ascii="Calibri" w:eastAsia="Calibri" w:hAnsi="Calibri"/>
                <w:sz w:val="20"/>
                <w:szCs w:val="20"/>
                <w:lang w:eastAsia="en-US"/>
              </w:rPr>
            </w:pPr>
            <w:r w:rsidRPr="00E43137">
              <w:rPr>
                <w:rFonts w:ascii="Calibri" w:eastAsia="Calibri" w:hAnsi="Calibri"/>
                <w:sz w:val="20"/>
                <w:szCs w:val="20"/>
                <w:lang w:eastAsia="en-US"/>
              </w:rPr>
              <w:t xml:space="preserve">Populácia majúca prospech </w:t>
            </w:r>
          </w:p>
          <w:p w:rsidR="00E43137" w:rsidRPr="00E43137" w:rsidRDefault="00E43137" w:rsidP="00A8663D">
            <w:pPr>
              <w:jc w:val="left"/>
              <w:rPr>
                <w:rFonts w:ascii="Calibri" w:eastAsia="Calibri" w:hAnsi="Calibri"/>
                <w:sz w:val="20"/>
                <w:szCs w:val="20"/>
                <w:lang w:eastAsia="en-US"/>
              </w:rPr>
            </w:pPr>
            <w:r w:rsidRPr="00E43137">
              <w:rPr>
                <w:rFonts w:ascii="Calibri" w:eastAsia="Calibri" w:hAnsi="Calibri"/>
                <w:sz w:val="20"/>
                <w:szCs w:val="20"/>
                <w:lang w:eastAsia="en-US"/>
              </w:rPr>
              <w:t xml:space="preserve">z nových alebo zlepšených </w:t>
            </w:r>
          </w:p>
          <w:p w:rsidR="00E43137" w:rsidRPr="00E43137" w:rsidRDefault="00E43137" w:rsidP="00A8663D">
            <w:pPr>
              <w:jc w:val="left"/>
              <w:rPr>
                <w:rFonts w:ascii="Calibri" w:eastAsia="Calibri" w:hAnsi="Calibri"/>
                <w:sz w:val="20"/>
                <w:szCs w:val="20"/>
                <w:lang w:eastAsia="en-US"/>
              </w:rPr>
            </w:pPr>
            <w:r w:rsidRPr="00E43137">
              <w:rPr>
                <w:rFonts w:ascii="Calibri" w:eastAsia="Calibri" w:hAnsi="Calibri"/>
                <w:sz w:val="20"/>
                <w:szCs w:val="20"/>
                <w:lang w:eastAsia="en-US"/>
              </w:rPr>
              <w:t>služieb / infraštruktúry</w:t>
            </w:r>
          </w:p>
          <w:p w:rsidR="00E43137" w:rsidRPr="00E43137" w:rsidRDefault="00E43137" w:rsidP="00A8663D">
            <w:pPr>
              <w:jc w:val="left"/>
              <w:rPr>
                <w:rFonts w:ascii="Calibri" w:eastAsia="Calibri" w:hAnsi="Calibri"/>
                <w:sz w:val="20"/>
                <w:szCs w:val="20"/>
                <w:lang w:eastAsia="en-US"/>
              </w:rPr>
            </w:pPr>
            <w:r w:rsidRPr="00E43137">
              <w:rPr>
                <w:rFonts w:ascii="Calibri" w:eastAsia="Calibri" w:hAnsi="Calibri"/>
                <w:sz w:val="20"/>
                <w:szCs w:val="20"/>
                <w:lang w:eastAsia="en-US"/>
              </w:rPr>
              <w:t>Počet vytvorených pracovných miest (2014-2020) (LEADER)</w:t>
            </w:r>
          </w:p>
        </w:tc>
        <w:tc>
          <w:tcPr>
            <w:tcW w:w="4394" w:type="dxa"/>
            <w:shd w:val="clear" w:color="auto" w:fill="auto"/>
            <w:vAlign w:val="center"/>
          </w:tcPr>
          <w:p w:rsidR="00E43137" w:rsidRPr="00E43137" w:rsidRDefault="00E43137" w:rsidP="00A8663D">
            <w:pPr>
              <w:spacing w:after="60"/>
              <w:jc w:val="left"/>
              <w:rPr>
                <w:rFonts w:ascii="Calibri" w:eastAsia="Calibri" w:hAnsi="Calibri"/>
                <w:sz w:val="20"/>
                <w:szCs w:val="20"/>
                <w:lang w:eastAsia="en-US"/>
              </w:rPr>
            </w:pPr>
            <w:r w:rsidRPr="00E43137">
              <w:rPr>
                <w:rFonts w:ascii="Calibri" w:eastAsia="Calibri" w:hAnsi="Calibri"/>
                <w:sz w:val="20"/>
                <w:szCs w:val="20"/>
                <w:lang w:eastAsia="en-US"/>
              </w:rPr>
              <w:t>Opatrenie 7: základné služby a obnova dedín vo vidieckych oblastiach (čl.20)</w:t>
            </w:r>
          </w:p>
        </w:tc>
      </w:tr>
      <w:tr w:rsidR="00E43137" w:rsidRPr="00E43137" w:rsidTr="0031577A">
        <w:tc>
          <w:tcPr>
            <w:tcW w:w="3096" w:type="dxa"/>
            <w:vMerge/>
            <w:shd w:val="clear" w:color="auto" w:fill="auto"/>
            <w:vAlign w:val="center"/>
          </w:tcPr>
          <w:p w:rsidR="00E43137" w:rsidRPr="00E43137" w:rsidRDefault="00E43137" w:rsidP="00A8663D">
            <w:pPr>
              <w:spacing w:after="60"/>
              <w:jc w:val="left"/>
              <w:rPr>
                <w:rFonts w:ascii="Calibri" w:eastAsia="Calibri" w:hAnsi="Calibri"/>
                <w:sz w:val="20"/>
                <w:szCs w:val="20"/>
                <w:lang w:eastAsia="en-US"/>
              </w:rPr>
            </w:pPr>
          </w:p>
        </w:tc>
        <w:tc>
          <w:tcPr>
            <w:tcW w:w="2257" w:type="dxa"/>
            <w:vMerge/>
            <w:shd w:val="clear" w:color="auto" w:fill="auto"/>
            <w:vAlign w:val="center"/>
          </w:tcPr>
          <w:p w:rsidR="00E43137" w:rsidRPr="00E43137" w:rsidRDefault="00E43137" w:rsidP="00A8663D">
            <w:pPr>
              <w:spacing w:after="60"/>
              <w:jc w:val="left"/>
              <w:rPr>
                <w:rFonts w:ascii="Calibri" w:eastAsia="Calibri" w:hAnsi="Calibri"/>
                <w:sz w:val="20"/>
                <w:szCs w:val="20"/>
                <w:lang w:eastAsia="en-US"/>
              </w:rPr>
            </w:pPr>
          </w:p>
        </w:tc>
        <w:tc>
          <w:tcPr>
            <w:tcW w:w="4394" w:type="dxa"/>
            <w:shd w:val="clear" w:color="auto" w:fill="auto"/>
            <w:vAlign w:val="center"/>
          </w:tcPr>
          <w:p w:rsidR="00E43137" w:rsidRPr="00E43137" w:rsidRDefault="00E43137" w:rsidP="00A8663D">
            <w:pPr>
              <w:spacing w:after="60"/>
              <w:jc w:val="left"/>
              <w:rPr>
                <w:rFonts w:ascii="Calibri" w:eastAsia="Calibri" w:hAnsi="Calibri"/>
                <w:sz w:val="20"/>
                <w:szCs w:val="20"/>
                <w:lang w:eastAsia="en-US"/>
              </w:rPr>
            </w:pPr>
            <w:r w:rsidRPr="00E43137">
              <w:rPr>
                <w:rFonts w:ascii="Calibri" w:eastAsia="Calibri" w:hAnsi="Calibri"/>
                <w:sz w:val="20"/>
                <w:szCs w:val="20"/>
                <w:lang w:eastAsia="en-US"/>
              </w:rPr>
              <w:t xml:space="preserve">Opatrenie 19:  LEADER                                               </w:t>
            </w:r>
          </w:p>
        </w:tc>
      </w:tr>
      <w:tr w:rsidR="00E43137" w:rsidRPr="00E43137" w:rsidTr="0031577A">
        <w:tc>
          <w:tcPr>
            <w:tcW w:w="3096" w:type="dxa"/>
            <w:vMerge w:val="restart"/>
            <w:shd w:val="clear" w:color="auto" w:fill="auto"/>
            <w:vAlign w:val="center"/>
          </w:tcPr>
          <w:p w:rsidR="00E43137" w:rsidRPr="00E43137" w:rsidRDefault="00E43137" w:rsidP="00A8663D">
            <w:pPr>
              <w:spacing w:after="60"/>
              <w:jc w:val="left"/>
              <w:rPr>
                <w:rFonts w:ascii="Calibri" w:eastAsia="Calibri" w:hAnsi="Calibri"/>
                <w:sz w:val="20"/>
                <w:szCs w:val="20"/>
                <w:lang w:eastAsia="en-US"/>
              </w:rPr>
            </w:pPr>
            <w:r w:rsidRPr="00E43137">
              <w:rPr>
                <w:rFonts w:ascii="Calibri" w:eastAsia="Calibri" w:hAnsi="Calibri"/>
                <w:sz w:val="20"/>
                <w:szCs w:val="20"/>
                <w:lang w:eastAsia="en-US"/>
              </w:rPr>
              <w:t>Fokusová oblasť 6C:</w:t>
            </w:r>
          </w:p>
          <w:p w:rsidR="00E43137" w:rsidRPr="00E43137" w:rsidRDefault="00E43137" w:rsidP="00A8663D">
            <w:pPr>
              <w:spacing w:after="60"/>
              <w:jc w:val="left"/>
              <w:rPr>
                <w:rFonts w:ascii="Calibri" w:eastAsia="Calibri" w:hAnsi="Calibri"/>
                <w:sz w:val="20"/>
                <w:szCs w:val="20"/>
                <w:lang w:eastAsia="en-US"/>
              </w:rPr>
            </w:pPr>
            <w:r w:rsidRPr="00E43137">
              <w:rPr>
                <w:rFonts w:ascii="Calibri" w:eastAsia="Calibri" w:hAnsi="Calibri"/>
                <w:sz w:val="20"/>
                <w:szCs w:val="20"/>
                <w:lang w:eastAsia="en-US"/>
              </w:rPr>
              <w:t>Rozšírenie prístupnosti, využívania a kvality informačných a komunikačných technológií (IKT) vo vidieckych oblastiach</w:t>
            </w:r>
          </w:p>
        </w:tc>
        <w:tc>
          <w:tcPr>
            <w:tcW w:w="2257" w:type="dxa"/>
            <w:vMerge w:val="restart"/>
            <w:shd w:val="clear" w:color="auto" w:fill="auto"/>
            <w:vAlign w:val="center"/>
          </w:tcPr>
          <w:p w:rsidR="00E43137" w:rsidRPr="00E43137" w:rsidRDefault="00E43137" w:rsidP="00A8663D">
            <w:pPr>
              <w:spacing w:after="60"/>
              <w:jc w:val="left"/>
              <w:rPr>
                <w:rFonts w:ascii="Calibri" w:eastAsia="Calibri" w:hAnsi="Calibri"/>
                <w:sz w:val="20"/>
                <w:szCs w:val="20"/>
                <w:lang w:eastAsia="en-US"/>
              </w:rPr>
            </w:pPr>
            <w:r w:rsidRPr="00E43137">
              <w:rPr>
                <w:rFonts w:ascii="Calibri" w:eastAsia="Calibri" w:hAnsi="Calibri"/>
                <w:sz w:val="20"/>
                <w:szCs w:val="20"/>
                <w:lang w:eastAsia="en-US"/>
              </w:rPr>
              <w:t>Populácia majúca prospech z novej alebo zlepšenej informačnej infraštruktúry</w:t>
            </w:r>
          </w:p>
        </w:tc>
        <w:tc>
          <w:tcPr>
            <w:tcW w:w="4394" w:type="dxa"/>
            <w:shd w:val="clear" w:color="auto" w:fill="auto"/>
            <w:vAlign w:val="center"/>
          </w:tcPr>
          <w:p w:rsidR="00E43137" w:rsidRPr="00E43137" w:rsidRDefault="00E43137" w:rsidP="00A8663D">
            <w:pPr>
              <w:spacing w:after="60"/>
              <w:jc w:val="left"/>
              <w:rPr>
                <w:rFonts w:ascii="Calibri" w:eastAsia="Calibri" w:hAnsi="Calibri"/>
                <w:sz w:val="20"/>
                <w:szCs w:val="20"/>
                <w:lang w:eastAsia="en-US"/>
              </w:rPr>
            </w:pPr>
            <w:r w:rsidRPr="00E43137">
              <w:rPr>
                <w:rFonts w:ascii="Calibri" w:eastAsia="Calibri" w:hAnsi="Calibri"/>
                <w:sz w:val="20"/>
                <w:szCs w:val="20"/>
                <w:lang w:eastAsia="en-US"/>
              </w:rPr>
              <w:t>Opatrenie 1: Prenos vedomostí a zručností (čl.14)</w:t>
            </w:r>
          </w:p>
        </w:tc>
      </w:tr>
      <w:tr w:rsidR="00E43137" w:rsidRPr="00E43137" w:rsidTr="0031577A">
        <w:tc>
          <w:tcPr>
            <w:tcW w:w="3096" w:type="dxa"/>
            <w:vMerge/>
            <w:shd w:val="clear" w:color="auto" w:fill="auto"/>
            <w:vAlign w:val="center"/>
          </w:tcPr>
          <w:p w:rsidR="00E43137" w:rsidRPr="00E43137" w:rsidRDefault="00E43137" w:rsidP="00A8663D">
            <w:pPr>
              <w:spacing w:after="60"/>
              <w:jc w:val="left"/>
              <w:rPr>
                <w:rFonts w:ascii="Calibri" w:eastAsia="Calibri" w:hAnsi="Calibri"/>
                <w:sz w:val="20"/>
                <w:szCs w:val="20"/>
                <w:lang w:eastAsia="en-US"/>
              </w:rPr>
            </w:pPr>
          </w:p>
        </w:tc>
        <w:tc>
          <w:tcPr>
            <w:tcW w:w="2257" w:type="dxa"/>
            <w:vMerge/>
            <w:shd w:val="clear" w:color="auto" w:fill="auto"/>
            <w:vAlign w:val="center"/>
          </w:tcPr>
          <w:p w:rsidR="00E43137" w:rsidRPr="00E43137" w:rsidRDefault="00E43137" w:rsidP="00A8663D">
            <w:pPr>
              <w:spacing w:after="60"/>
              <w:jc w:val="left"/>
              <w:rPr>
                <w:rFonts w:ascii="Calibri" w:eastAsia="Calibri" w:hAnsi="Calibri"/>
                <w:sz w:val="20"/>
                <w:szCs w:val="20"/>
                <w:lang w:eastAsia="en-US"/>
              </w:rPr>
            </w:pPr>
          </w:p>
        </w:tc>
        <w:tc>
          <w:tcPr>
            <w:tcW w:w="4394" w:type="dxa"/>
            <w:shd w:val="clear" w:color="auto" w:fill="auto"/>
            <w:vAlign w:val="center"/>
          </w:tcPr>
          <w:p w:rsidR="00E43137" w:rsidRPr="00E43137" w:rsidRDefault="00E43137" w:rsidP="00A8663D">
            <w:pPr>
              <w:spacing w:after="60"/>
              <w:jc w:val="left"/>
              <w:rPr>
                <w:rFonts w:ascii="Calibri" w:eastAsia="Calibri" w:hAnsi="Calibri"/>
                <w:sz w:val="20"/>
                <w:szCs w:val="20"/>
                <w:lang w:eastAsia="en-US"/>
              </w:rPr>
            </w:pPr>
            <w:r w:rsidRPr="00E43137">
              <w:rPr>
                <w:rFonts w:ascii="Calibri" w:eastAsia="Calibri" w:hAnsi="Calibri"/>
                <w:sz w:val="20"/>
                <w:szCs w:val="20"/>
                <w:lang w:eastAsia="en-US"/>
              </w:rPr>
              <w:t>Opatrenie 7: základné služby a obnova dedín vo vidieckych oblastiach (čl.20)</w:t>
            </w:r>
          </w:p>
        </w:tc>
      </w:tr>
    </w:tbl>
    <w:p w:rsidR="00E43137" w:rsidRPr="00E43137" w:rsidRDefault="00E43137" w:rsidP="008676F9">
      <w:pPr>
        <w:keepNext/>
        <w:spacing w:after="240"/>
        <w:ind w:left="360" w:hanging="360"/>
        <w:outlineLvl w:val="1"/>
        <w:rPr>
          <w:rFonts w:ascii="Calibri" w:eastAsia="Calibri" w:hAnsi="Calibri"/>
          <w:b/>
          <w:bCs/>
          <w:color w:val="000000"/>
          <w:szCs w:val="22"/>
          <w:lang w:eastAsia="en-US"/>
        </w:rPr>
      </w:pPr>
      <w:bookmarkStart w:id="67" w:name="_Toc359414572"/>
      <w:r w:rsidRPr="00E43137">
        <w:rPr>
          <w:rFonts w:ascii="Calibri" w:eastAsia="Calibri" w:hAnsi="Calibri"/>
          <w:b/>
          <w:bCs/>
          <w:color w:val="000000"/>
          <w:szCs w:val="22"/>
          <w:lang w:eastAsia="en-US"/>
        </w:rPr>
        <w:br w:type="page"/>
      </w:r>
    </w:p>
    <w:p w:rsidR="00E43137" w:rsidRPr="00E43137" w:rsidRDefault="00E43137" w:rsidP="00AA30CA">
      <w:pPr>
        <w:pStyle w:val="Pod"/>
        <w:rPr>
          <w:rFonts w:eastAsia="Calibri"/>
          <w:lang w:eastAsia="en-US"/>
        </w:rPr>
      </w:pPr>
      <w:bookmarkStart w:id="68" w:name="_Toc387041310"/>
      <w:r w:rsidRPr="00E43137">
        <w:rPr>
          <w:rFonts w:eastAsia="Calibri"/>
          <w:lang w:eastAsia="en-US"/>
        </w:rPr>
        <w:t>5.5 Poradenská kapacit</w:t>
      </w:r>
      <w:bookmarkEnd w:id="67"/>
      <w:r w:rsidRPr="00E43137">
        <w:rPr>
          <w:rFonts w:eastAsia="Calibri"/>
          <w:lang w:eastAsia="en-US"/>
        </w:rPr>
        <w:t>a</w:t>
      </w:r>
      <w:bookmarkEnd w:id="68"/>
    </w:p>
    <w:p w:rsidR="00A8663D" w:rsidRPr="00D82AFA" w:rsidRDefault="00A8663D" w:rsidP="00A8663D">
      <w:pPr>
        <w:spacing w:before="120"/>
      </w:pPr>
      <w:r w:rsidRPr="00D82AFA">
        <w:t xml:space="preserve">Poradenský systém je riadený ministerstvom, ktoré zabezpečuje základné informačné aktivity pre všetky cieľové skupiny priamo alebo prostredníctvom delegovaných právomocí. Ministerstvo informuje žiadateľov o všetkých nových informáciách a zmenách prostredníctvom svojej web stránky a organizovaním informačných dní priamo v regiónoch Slovenska. Taktiež PPA zabezpečuje základné informácie ohľadom Programu rozvoja vidieka prostredníctvom informačnej linky pre verejnosť. Agroinštitút a Národné lesnícke centrum sú organizácie ministerstva, ktoré zabezpečujú informácie a poradenstvo najmä v oblasti najnovšej legislatívy v elektronickej podobe. Agroinštitút je zároveň zodpovedný za školenia a certifikáciu pôdohospodárskych poradcov. Terénne poradenstvo vykonávajú certifikovaní poradcovia z rôznych oblastí (súkromná sféra, univerzity a výskumné ústavy, komory, zväzy a iné združenia vrátane občianskych a mimovládnych organizácií).  </w:t>
      </w:r>
    </w:p>
    <w:p w:rsidR="00A8663D" w:rsidRPr="00D82AFA" w:rsidRDefault="00A8663D" w:rsidP="00A8663D">
      <w:pPr>
        <w:spacing w:before="120"/>
      </w:pPr>
      <w:r w:rsidRPr="00D82AFA">
        <w:t xml:space="preserve">Významným poradensko-informačným zdrojom pre potenciálnych žiadateľov je Národná sieť rozvoja vidieka a konkrétne ich regionálne pracoviská, ktoré poskytujú komplexné informácie o programe vrátane jednotlivých výziev. Regionálne pracoviská NSRV organizujú plánované informačné aktivity pre všetky cieľové skupiny programu a zároveň slúžia ako informačné body aj pre individuálnych žiadateľov a ich individuálne požiadavky. </w:t>
      </w:r>
    </w:p>
    <w:p w:rsidR="00A8663D" w:rsidRPr="00D82AFA" w:rsidRDefault="00A8663D" w:rsidP="00A8663D">
      <w:pPr>
        <w:spacing w:before="120"/>
      </w:pPr>
      <w:r w:rsidRPr="00D82AFA">
        <w:t>Opatrenia s cieľom zabezpečiť dostupnosť dostatočnej poradenskej kapacity na poradenstvo o regulačných požiadavkách a všetkých hľadiskách spojených s udržateľným riadením v poľnohospodárstve a lesnom hospodárstve, ako aj v oblasti klímy</w:t>
      </w:r>
      <w:r w:rsidRPr="00D82AFA">
        <w:rPr>
          <w:b/>
        </w:rPr>
        <w:t xml:space="preserve">  </w:t>
      </w:r>
      <w:r w:rsidRPr="00D82AFA">
        <w:t xml:space="preserve">sú navrhnuté formou opatrenia Poradenské služby. Vzdelávacie inštitúcie oprávnené vykonávať vzdelávanie poradcov budú poverené vypracovaním návrhov modulov vzdelávania so zameraním na naplnenie cieľov PRV SR 2014-2020 v súlade s naradením EÚ o podpore rozvoja vidieka prostredníctvom EPFRV zohľadňujúcich hľadiská spojené s udržateľným riadením v poľnohospodárstve a lesnom hospodárstve, ako aj v oblasti klímy. </w:t>
      </w:r>
    </w:p>
    <w:p w:rsidR="00A8663D" w:rsidRPr="00D82AFA" w:rsidRDefault="00A8663D" w:rsidP="00A8663D">
      <w:pPr>
        <w:spacing w:after="120"/>
      </w:pPr>
      <w:r w:rsidRPr="00D82AFA">
        <w:t xml:space="preserve">Návrhy modulov budú akceptovať potreby farmárov, obhospodarovateľov lesa a MSP, budú  konzultované s členmi pracovnej skupiny pre poradenské služby. Každý poradca, ktorý má záujem vykonávať poradenské služby pre PRV SR 2014-2020, bude povinný absolvovať vzdelávanie podľa vypracovaných modulov u poverených organizácií. Výstupom vzdelávania bude certifikát, doklad pre poradcu, že je spôsobilý vykonávať poradenskú službu na tú oblasť, v ktorej získal certifikát. </w:t>
      </w:r>
    </w:p>
    <w:p w:rsidR="00A8663D" w:rsidRPr="00D82AFA" w:rsidRDefault="00A8663D" w:rsidP="00A8663D">
      <w:r w:rsidRPr="00D82AFA">
        <w:t>Vzdelávanie poradcov bude otvoreným systémom reagujúcim na požiadavky praxe s možnosťou doplnenia potrebných modulov vzdelávania a dostupnosťou pre každého žiadateľa o získanie certifikátu pôdohospodárskeho poradcu. Mená certifikovaných poradcov budú zverejnené na webovom portáli poverenej organizácie.</w:t>
      </w:r>
    </w:p>
    <w:p w:rsidR="00A8663D" w:rsidRPr="00D82AFA" w:rsidRDefault="00A8663D" w:rsidP="00A8663D"/>
    <w:p w:rsidR="00A8663D" w:rsidRPr="00D82AFA" w:rsidRDefault="00A8663D" w:rsidP="00A8663D">
      <w:r w:rsidRPr="00D82AFA">
        <w:t xml:space="preserve">Veľmi dôležitým poradenským nástrojom pre riadiaci orgán a pôdohospodársku platobnú agentúru je technická pomoc, ktorá okrem podpory Národnej siete rozvoja vidieka (zameraná na konečného beneficienta) poskytuje možnosť zlepšovať vnútorné riadiace, kontrolné a hodnotiace postupy, reagovať na zmeny v európskej legislatíve a v neposlednom rade podporuje aj skvalitnenie komunikácie s verejnosťou. Technická pomoc je využívaná aj na prenos poznatkov z už zavedených systémov v iných krajinách EÚ a tým zlepšuje efektívnosť implementácie celého programu.   </w:t>
      </w:r>
    </w:p>
    <w:p w:rsidR="00A8663D" w:rsidRPr="00D82AFA" w:rsidRDefault="00A8663D" w:rsidP="00A8663D">
      <w:pPr>
        <w:autoSpaceDE w:val="0"/>
        <w:autoSpaceDN w:val="0"/>
        <w:adjustRightInd w:val="0"/>
        <w:spacing w:before="120"/>
      </w:pPr>
    </w:p>
    <w:p w:rsidR="00E43137" w:rsidRDefault="00E43137" w:rsidP="008676F9">
      <w:pPr>
        <w:rPr>
          <w:rFonts w:ascii="Calibri" w:eastAsia="Calibri" w:hAnsi="Calibri"/>
          <w:szCs w:val="22"/>
          <w:lang w:eastAsia="en-US"/>
        </w:rPr>
      </w:pPr>
      <w:r w:rsidRPr="00E43137">
        <w:rPr>
          <w:rFonts w:ascii="Calibri" w:eastAsia="Calibri" w:hAnsi="Calibri"/>
          <w:szCs w:val="22"/>
          <w:lang w:eastAsia="en-US"/>
        </w:rPr>
        <w:t xml:space="preserve">. </w:t>
      </w:r>
    </w:p>
    <w:p w:rsidR="00E43137" w:rsidRPr="00E43137" w:rsidRDefault="00E43137" w:rsidP="008676F9">
      <w:pPr>
        <w:rPr>
          <w:rFonts w:ascii="Calibri" w:eastAsia="Calibri" w:hAnsi="Calibri"/>
          <w:szCs w:val="22"/>
          <w:lang w:eastAsia="en-US"/>
        </w:rPr>
        <w:sectPr w:rsidR="00E43137" w:rsidRPr="00E43137" w:rsidSect="00EB6F57">
          <w:pgSz w:w="11906" w:h="16838" w:code="9"/>
          <w:pgMar w:top="1418" w:right="1134" w:bottom="1418" w:left="1701" w:header="1021" w:footer="1021" w:gutter="0"/>
          <w:cols w:space="708"/>
          <w:docGrid w:linePitch="360"/>
        </w:sectPr>
      </w:pPr>
    </w:p>
    <w:p w:rsidR="00E43137" w:rsidRPr="00E43137" w:rsidRDefault="00E43137" w:rsidP="00366F96">
      <w:pPr>
        <w:pStyle w:val="Hlavn"/>
        <w:rPr>
          <w:sz w:val="22"/>
          <w:szCs w:val="22"/>
        </w:rPr>
      </w:pPr>
      <w:bookmarkStart w:id="69" w:name="_Toc387041311"/>
      <w:r w:rsidRPr="00E43137">
        <w:t>6.  VYHODNOTENIE EX ANTE KONDICIONALÍT</w:t>
      </w:r>
      <w:bookmarkEnd w:id="69"/>
      <w:r w:rsidRPr="00E43137">
        <w:rPr>
          <w:sz w:val="22"/>
          <w:szCs w:val="22"/>
        </w:rPr>
        <w:t xml:space="preserve"> </w:t>
      </w:r>
    </w:p>
    <w:p w:rsidR="00E43137" w:rsidRPr="00E43137" w:rsidRDefault="00E43137" w:rsidP="008676F9">
      <w:pPr>
        <w:rPr>
          <w:rFonts w:ascii="Calibri" w:hAnsi="Calibri"/>
          <w:szCs w:val="22"/>
        </w:rPr>
      </w:pPr>
    </w:p>
    <w:p w:rsidR="00E43137" w:rsidRDefault="00E43137" w:rsidP="0005530E">
      <w:pPr>
        <w:pStyle w:val="Pod"/>
        <w:ind w:left="567" w:hanging="567"/>
        <w:rPr>
          <w:rFonts w:eastAsia="Calibri"/>
          <w:smallCaps w:val="0"/>
          <w:sz w:val="22"/>
          <w:szCs w:val="22"/>
          <w:lang w:eastAsia="en-US"/>
        </w:rPr>
      </w:pPr>
      <w:bookmarkStart w:id="70" w:name="_Toc387041312"/>
      <w:r w:rsidRPr="0005530E">
        <w:rPr>
          <w:rFonts w:eastAsia="Calibri"/>
          <w:sz w:val="22"/>
          <w:szCs w:val="22"/>
          <w:lang w:eastAsia="en-US"/>
        </w:rPr>
        <w:t xml:space="preserve">6. 1. </w:t>
      </w:r>
      <w:r w:rsidRPr="0005530E">
        <w:rPr>
          <w:rFonts w:eastAsia="Calibri"/>
          <w:smallCaps w:val="0"/>
          <w:sz w:val="22"/>
          <w:szCs w:val="22"/>
          <w:lang w:eastAsia="en-US"/>
        </w:rPr>
        <w:t>Identifikácia aplikovateľných ex-ante kondicionalít a vyhodnotenie ich plnenia (ex-ante kondicionality spojené s prioritami a všeobecné ex-ante kondicionality)</w:t>
      </w:r>
      <w:bookmarkEnd w:id="70"/>
    </w:p>
    <w:p w:rsidR="00B3442A" w:rsidRPr="0005530E" w:rsidRDefault="00B3442A" w:rsidP="0005530E">
      <w:pPr>
        <w:pStyle w:val="Pod"/>
        <w:ind w:left="567" w:hanging="567"/>
        <w:rPr>
          <w:rFonts w:eastAsia="Calibri"/>
          <w:smallCaps w:val="0"/>
          <w:sz w:val="22"/>
          <w:szCs w:val="22"/>
          <w:lang w:eastAsia="en-US"/>
        </w:rPr>
      </w:pPr>
    </w:p>
    <w:p w:rsidR="00E43137" w:rsidRDefault="00E43137" w:rsidP="008676F9">
      <w:pPr>
        <w:spacing w:after="120"/>
        <w:rPr>
          <w:rFonts w:ascii="Calibri" w:hAnsi="Calibri"/>
          <w:szCs w:val="22"/>
        </w:rPr>
      </w:pPr>
      <w:r w:rsidRPr="00E43137">
        <w:rPr>
          <w:rFonts w:ascii="Calibri" w:hAnsi="Calibri"/>
          <w:szCs w:val="22"/>
        </w:rPr>
        <w:t>Všeobecné ex-ante kondicionality</w:t>
      </w:r>
    </w:p>
    <w:tbl>
      <w:tblPr>
        <w:tblW w:w="1433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99"/>
        <w:gridCol w:w="44"/>
        <w:gridCol w:w="1701"/>
        <w:gridCol w:w="2410"/>
        <w:gridCol w:w="992"/>
        <w:gridCol w:w="3119"/>
        <w:gridCol w:w="4252"/>
        <w:gridCol w:w="13"/>
      </w:tblGrid>
      <w:tr w:rsidR="0005530E" w:rsidRPr="007C66C3" w:rsidTr="00807B64">
        <w:trPr>
          <w:gridAfter w:val="1"/>
          <w:wAfter w:w="13" w:type="dxa"/>
          <w:tblHeader/>
        </w:trPr>
        <w:tc>
          <w:tcPr>
            <w:tcW w:w="1843" w:type="dxa"/>
            <w:gridSpan w:val="2"/>
            <w:tcBorders>
              <w:top w:val="single" w:sz="12" w:space="0" w:color="auto"/>
              <w:left w:val="single" w:sz="12" w:space="0" w:color="auto"/>
              <w:bottom w:val="single" w:sz="12" w:space="0" w:color="auto"/>
            </w:tcBorders>
            <w:shd w:val="clear" w:color="auto" w:fill="E5DFEC" w:themeFill="accent4" w:themeFillTint="33"/>
            <w:vAlign w:val="center"/>
          </w:tcPr>
          <w:p w:rsidR="0005530E" w:rsidRPr="007C66C3" w:rsidRDefault="0005530E" w:rsidP="0005530E">
            <w:pPr>
              <w:jc w:val="center"/>
              <w:rPr>
                <w:sz w:val="20"/>
                <w:szCs w:val="20"/>
              </w:rPr>
            </w:pPr>
            <w:r w:rsidRPr="007C66C3">
              <w:rPr>
                <w:b/>
                <w:sz w:val="20"/>
                <w:szCs w:val="20"/>
              </w:rPr>
              <w:t>Ex ante kondicionalita</w:t>
            </w:r>
          </w:p>
        </w:tc>
        <w:tc>
          <w:tcPr>
            <w:tcW w:w="1701" w:type="dxa"/>
            <w:tcBorders>
              <w:top w:val="single" w:sz="12" w:space="0" w:color="auto"/>
              <w:bottom w:val="single" w:sz="12" w:space="0" w:color="auto"/>
            </w:tcBorders>
            <w:shd w:val="clear" w:color="auto" w:fill="E5DFEC" w:themeFill="accent4" w:themeFillTint="33"/>
            <w:vAlign w:val="center"/>
          </w:tcPr>
          <w:p w:rsidR="0005530E" w:rsidRPr="007C66C3" w:rsidRDefault="0005530E" w:rsidP="0005530E">
            <w:pPr>
              <w:jc w:val="center"/>
              <w:rPr>
                <w:b/>
                <w:sz w:val="20"/>
                <w:szCs w:val="20"/>
              </w:rPr>
            </w:pPr>
            <w:r w:rsidRPr="007C66C3">
              <w:rPr>
                <w:b/>
                <w:sz w:val="20"/>
                <w:szCs w:val="20"/>
              </w:rPr>
              <w:t>Splnenie ex ante kondicionality: Áno/Nie/Čiastočne</w:t>
            </w:r>
          </w:p>
        </w:tc>
        <w:tc>
          <w:tcPr>
            <w:tcW w:w="2410" w:type="dxa"/>
            <w:tcBorders>
              <w:top w:val="single" w:sz="12" w:space="0" w:color="auto"/>
              <w:bottom w:val="single" w:sz="12" w:space="0" w:color="auto"/>
            </w:tcBorders>
            <w:shd w:val="clear" w:color="auto" w:fill="E5DFEC" w:themeFill="accent4" w:themeFillTint="33"/>
            <w:vAlign w:val="center"/>
          </w:tcPr>
          <w:p w:rsidR="0005530E" w:rsidRPr="007C66C3" w:rsidRDefault="0005530E" w:rsidP="0005530E">
            <w:pPr>
              <w:jc w:val="center"/>
              <w:rPr>
                <w:sz w:val="20"/>
                <w:szCs w:val="20"/>
              </w:rPr>
            </w:pPr>
            <w:r w:rsidRPr="007C66C3">
              <w:rPr>
                <w:b/>
                <w:sz w:val="20"/>
                <w:szCs w:val="20"/>
              </w:rPr>
              <w:t>Kritériá plnenia ex ante kondicionality</w:t>
            </w:r>
          </w:p>
        </w:tc>
        <w:tc>
          <w:tcPr>
            <w:tcW w:w="992" w:type="dxa"/>
            <w:tcBorders>
              <w:top w:val="single" w:sz="12" w:space="0" w:color="auto"/>
              <w:bottom w:val="single" w:sz="12" w:space="0" w:color="auto"/>
            </w:tcBorders>
            <w:shd w:val="clear" w:color="auto" w:fill="E5DFEC" w:themeFill="accent4" w:themeFillTint="33"/>
            <w:vAlign w:val="center"/>
          </w:tcPr>
          <w:p w:rsidR="0005530E" w:rsidRPr="007C66C3" w:rsidRDefault="0005530E" w:rsidP="0005530E">
            <w:pPr>
              <w:jc w:val="center"/>
              <w:rPr>
                <w:b/>
                <w:sz w:val="20"/>
                <w:szCs w:val="20"/>
              </w:rPr>
            </w:pPr>
            <w:r w:rsidRPr="007C66C3">
              <w:rPr>
                <w:b/>
                <w:sz w:val="20"/>
                <w:szCs w:val="20"/>
              </w:rPr>
              <w:t>Splnenie kritérií: Áno/Nie</w:t>
            </w:r>
          </w:p>
        </w:tc>
        <w:tc>
          <w:tcPr>
            <w:tcW w:w="3119" w:type="dxa"/>
            <w:tcBorders>
              <w:top w:val="single" w:sz="12" w:space="0" w:color="auto"/>
              <w:bottom w:val="single" w:sz="12" w:space="0" w:color="auto"/>
            </w:tcBorders>
            <w:shd w:val="clear" w:color="auto" w:fill="E5DFEC" w:themeFill="accent4" w:themeFillTint="33"/>
            <w:vAlign w:val="center"/>
          </w:tcPr>
          <w:p w:rsidR="0005530E" w:rsidRPr="007C66C3" w:rsidRDefault="0005530E" w:rsidP="0005530E">
            <w:pPr>
              <w:jc w:val="center"/>
              <w:rPr>
                <w:sz w:val="20"/>
                <w:szCs w:val="20"/>
              </w:rPr>
            </w:pPr>
            <w:r w:rsidRPr="007C66C3">
              <w:rPr>
                <w:b/>
                <w:sz w:val="20"/>
                <w:szCs w:val="20"/>
              </w:rPr>
              <w:t>Odkazy</w:t>
            </w:r>
          </w:p>
        </w:tc>
        <w:tc>
          <w:tcPr>
            <w:tcW w:w="4252" w:type="dxa"/>
            <w:tcBorders>
              <w:top w:val="single" w:sz="12" w:space="0" w:color="auto"/>
              <w:bottom w:val="single" w:sz="12" w:space="0" w:color="auto"/>
              <w:right w:val="single" w:sz="12" w:space="0" w:color="auto"/>
            </w:tcBorders>
            <w:shd w:val="clear" w:color="auto" w:fill="E5DFEC" w:themeFill="accent4" w:themeFillTint="33"/>
            <w:vAlign w:val="center"/>
          </w:tcPr>
          <w:p w:rsidR="0005530E" w:rsidRPr="007C66C3" w:rsidRDefault="0005530E" w:rsidP="0005530E">
            <w:pPr>
              <w:jc w:val="center"/>
              <w:rPr>
                <w:b/>
                <w:sz w:val="20"/>
                <w:szCs w:val="20"/>
              </w:rPr>
            </w:pPr>
            <w:r w:rsidRPr="007C66C3">
              <w:rPr>
                <w:b/>
                <w:sz w:val="20"/>
                <w:szCs w:val="20"/>
              </w:rPr>
              <w:t>Vysvetlenie</w:t>
            </w:r>
          </w:p>
          <w:p w:rsidR="0005530E" w:rsidRPr="007C66C3" w:rsidRDefault="0005530E" w:rsidP="0005530E">
            <w:pPr>
              <w:jc w:val="center"/>
              <w:rPr>
                <w:b/>
                <w:sz w:val="20"/>
                <w:szCs w:val="20"/>
              </w:rPr>
            </w:pPr>
            <w:r w:rsidRPr="007C66C3">
              <w:rPr>
                <w:b/>
                <w:sz w:val="20"/>
                <w:szCs w:val="20"/>
              </w:rPr>
              <w:t>(v prípade vhodnosti)</w:t>
            </w:r>
          </w:p>
        </w:tc>
      </w:tr>
      <w:tr w:rsidR="0005530E" w:rsidRPr="007C66C3" w:rsidTr="0005530E">
        <w:tblPrEx>
          <w:tblBorders>
            <w:top w:val="single" w:sz="2" w:space="0" w:color="auto"/>
            <w:left w:val="single" w:sz="2" w:space="0" w:color="auto"/>
            <w:bottom w:val="single" w:sz="2" w:space="0" w:color="auto"/>
            <w:right w:val="single" w:sz="2" w:space="0" w:color="auto"/>
          </w:tblBorders>
        </w:tblPrEx>
        <w:trPr>
          <w:trHeight w:val="265"/>
        </w:trPr>
        <w:tc>
          <w:tcPr>
            <w:tcW w:w="1799" w:type="dxa"/>
            <w:vMerge w:val="restart"/>
            <w:tcBorders>
              <w:top w:val="single" w:sz="12" w:space="0" w:color="auto"/>
              <w:left w:val="single" w:sz="12" w:space="0" w:color="auto"/>
            </w:tcBorders>
          </w:tcPr>
          <w:p w:rsidR="0005530E" w:rsidRPr="007C66C3" w:rsidRDefault="0005530E" w:rsidP="0005530E">
            <w:pPr>
              <w:rPr>
                <w:sz w:val="20"/>
                <w:szCs w:val="20"/>
              </w:rPr>
            </w:pPr>
            <w:r w:rsidRPr="007C66C3">
              <w:rPr>
                <w:sz w:val="20"/>
                <w:szCs w:val="20"/>
              </w:rPr>
              <w:t xml:space="preserve">1. Nediskriminácia </w:t>
            </w:r>
          </w:p>
          <w:p w:rsidR="0005530E" w:rsidRPr="007C66C3" w:rsidRDefault="0005530E" w:rsidP="0005530E">
            <w:pPr>
              <w:rPr>
                <w:sz w:val="20"/>
                <w:szCs w:val="20"/>
              </w:rPr>
            </w:pPr>
          </w:p>
          <w:p w:rsidR="0005530E" w:rsidRPr="007C66C3" w:rsidRDefault="0005530E" w:rsidP="0005530E">
            <w:pPr>
              <w:jc w:val="left"/>
              <w:rPr>
                <w:sz w:val="20"/>
                <w:szCs w:val="20"/>
              </w:rPr>
            </w:pPr>
            <w:r w:rsidRPr="007C66C3">
              <w:rPr>
                <w:sz w:val="20"/>
                <w:szCs w:val="20"/>
              </w:rPr>
              <w:t xml:space="preserve">Existencia administratívnej kapacity na vykonávanie a uplatňovanie práva Únie v oblasti nediskriminácie a politiky v oblasti EŠIF. </w:t>
            </w:r>
          </w:p>
        </w:tc>
        <w:tc>
          <w:tcPr>
            <w:tcW w:w="1745" w:type="dxa"/>
            <w:gridSpan w:val="2"/>
            <w:vMerge w:val="restart"/>
            <w:tcBorders>
              <w:top w:val="single" w:sz="12" w:space="0" w:color="auto"/>
            </w:tcBorders>
          </w:tcPr>
          <w:p w:rsidR="0005530E" w:rsidRPr="007C66C3" w:rsidRDefault="0005530E" w:rsidP="0005530E">
            <w:pPr>
              <w:jc w:val="center"/>
              <w:rPr>
                <w:b/>
                <w:sz w:val="20"/>
                <w:szCs w:val="20"/>
              </w:rPr>
            </w:pPr>
          </w:p>
          <w:p w:rsidR="0005530E" w:rsidRPr="007C66C3" w:rsidRDefault="0005530E" w:rsidP="0005530E">
            <w:pPr>
              <w:jc w:val="center"/>
              <w:rPr>
                <w:b/>
                <w:sz w:val="20"/>
                <w:szCs w:val="20"/>
              </w:rPr>
            </w:pPr>
          </w:p>
          <w:p w:rsidR="0005530E" w:rsidRPr="007C66C3" w:rsidRDefault="0005530E" w:rsidP="0005530E">
            <w:pPr>
              <w:jc w:val="center"/>
              <w:rPr>
                <w:b/>
                <w:sz w:val="20"/>
                <w:szCs w:val="20"/>
              </w:rPr>
            </w:pPr>
          </w:p>
          <w:p w:rsidR="0005530E" w:rsidRPr="007C66C3" w:rsidRDefault="0005530E" w:rsidP="0005530E">
            <w:pPr>
              <w:jc w:val="center"/>
              <w:rPr>
                <w:b/>
                <w:sz w:val="20"/>
                <w:szCs w:val="20"/>
              </w:rPr>
            </w:pPr>
          </w:p>
          <w:p w:rsidR="0005530E" w:rsidRPr="007C66C3" w:rsidRDefault="0005530E" w:rsidP="0005530E">
            <w:pPr>
              <w:jc w:val="center"/>
              <w:rPr>
                <w:b/>
                <w:sz w:val="20"/>
                <w:szCs w:val="20"/>
              </w:rPr>
            </w:pPr>
          </w:p>
          <w:p w:rsidR="0005530E" w:rsidRPr="007C66C3" w:rsidRDefault="0005530E" w:rsidP="0005530E">
            <w:pPr>
              <w:jc w:val="center"/>
              <w:rPr>
                <w:b/>
                <w:sz w:val="20"/>
                <w:szCs w:val="20"/>
              </w:rPr>
            </w:pPr>
          </w:p>
          <w:p w:rsidR="0005530E" w:rsidRPr="007C66C3" w:rsidRDefault="0005530E" w:rsidP="0005530E">
            <w:pPr>
              <w:jc w:val="center"/>
              <w:rPr>
                <w:b/>
                <w:sz w:val="20"/>
                <w:szCs w:val="20"/>
              </w:rPr>
            </w:pPr>
          </w:p>
          <w:p w:rsidR="0005530E" w:rsidRPr="007C66C3" w:rsidRDefault="0005530E" w:rsidP="0005530E">
            <w:pPr>
              <w:jc w:val="center"/>
              <w:rPr>
                <w:b/>
                <w:sz w:val="20"/>
                <w:szCs w:val="20"/>
              </w:rPr>
            </w:pPr>
          </w:p>
          <w:p w:rsidR="0005530E" w:rsidRPr="007C66C3" w:rsidRDefault="0005530E" w:rsidP="0005530E">
            <w:pPr>
              <w:jc w:val="center"/>
              <w:rPr>
                <w:b/>
                <w:sz w:val="20"/>
                <w:szCs w:val="20"/>
              </w:rPr>
            </w:pPr>
          </w:p>
          <w:p w:rsidR="0005530E" w:rsidRPr="007C66C3" w:rsidRDefault="0005530E" w:rsidP="0005530E">
            <w:pPr>
              <w:jc w:val="center"/>
              <w:rPr>
                <w:b/>
                <w:sz w:val="20"/>
                <w:szCs w:val="20"/>
              </w:rPr>
            </w:pPr>
          </w:p>
          <w:p w:rsidR="0005530E" w:rsidRPr="007C66C3" w:rsidRDefault="0005530E" w:rsidP="0005530E">
            <w:pPr>
              <w:jc w:val="center"/>
              <w:rPr>
                <w:b/>
                <w:sz w:val="20"/>
                <w:szCs w:val="20"/>
              </w:rPr>
            </w:pPr>
            <w:r w:rsidRPr="007C66C3">
              <w:rPr>
                <w:b/>
                <w:sz w:val="20"/>
                <w:szCs w:val="20"/>
              </w:rPr>
              <w:t>Nie</w:t>
            </w:r>
          </w:p>
        </w:tc>
        <w:tc>
          <w:tcPr>
            <w:tcW w:w="2410" w:type="dxa"/>
            <w:tcBorders>
              <w:top w:val="single" w:sz="12" w:space="0" w:color="auto"/>
              <w:bottom w:val="single" w:sz="2" w:space="0" w:color="auto"/>
            </w:tcBorders>
          </w:tcPr>
          <w:p w:rsidR="0005530E" w:rsidRPr="007C66C3" w:rsidRDefault="0005530E" w:rsidP="0005530E">
            <w:pPr>
              <w:jc w:val="left"/>
              <w:rPr>
                <w:sz w:val="20"/>
                <w:szCs w:val="20"/>
              </w:rPr>
            </w:pPr>
            <w:r w:rsidRPr="007C66C3">
              <w:rPr>
                <w:sz w:val="20"/>
                <w:szCs w:val="20"/>
              </w:rPr>
              <w:t>Opatrenia v súlade s inštitucionálnym a právnym rámcom členských štátov na zapojenie orgánov zodpovedných za podporu rovnakého zaobchádzania so všetkými osobami počas prípravy a vykonávania programov, a to vrátane poskytovania poradenstva o rovnosti v rámci činností spojených s EŠIF.</w:t>
            </w:r>
          </w:p>
        </w:tc>
        <w:tc>
          <w:tcPr>
            <w:tcW w:w="992" w:type="dxa"/>
            <w:tcBorders>
              <w:top w:val="single" w:sz="12" w:space="0" w:color="auto"/>
            </w:tcBorders>
          </w:tcPr>
          <w:p w:rsidR="0005530E" w:rsidRPr="007C66C3" w:rsidRDefault="0005530E" w:rsidP="0005530E">
            <w:pPr>
              <w:jc w:val="center"/>
              <w:rPr>
                <w:sz w:val="20"/>
                <w:szCs w:val="20"/>
              </w:rPr>
            </w:pPr>
          </w:p>
          <w:p w:rsidR="0005530E" w:rsidRPr="007C66C3" w:rsidRDefault="0005530E" w:rsidP="0005530E">
            <w:pPr>
              <w:jc w:val="center"/>
              <w:rPr>
                <w:sz w:val="20"/>
                <w:szCs w:val="20"/>
              </w:rPr>
            </w:pPr>
          </w:p>
          <w:p w:rsidR="0005530E" w:rsidRPr="007C66C3" w:rsidRDefault="0005530E" w:rsidP="0005530E">
            <w:pPr>
              <w:jc w:val="center"/>
              <w:rPr>
                <w:sz w:val="20"/>
                <w:szCs w:val="20"/>
              </w:rPr>
            </w:pPr>
          </w:p>
          <w:p w:rsidR="0005530E" w:rsidRPr="007C66C3" w:rsidRDefault="0005530E" w:rsidP="0005530E">
            <w:pPr>
              <w:jc w:val="center"/>
              <w:rPr>
                <w:sz w:val="20"/>
                <w:szCs w:val="20"/>
              </w:rPr>
            </w:pPr>
          </w:p>
          <w:p w:rsidR="0005530E" w:rsidRPr="007C66C3" w:rsidRDefault="0005530E" w:rsidP="0005530E">
            <w:pPr>
              <w:jc w:val="center"/>
              <w:rPr>
                <w:sz w:val="20"/>
                <w:szCs w:val="20"/>
              </w:rPr>
            </w:pPr>
          </w:p>
          <w:p w:rsidR="0005530E" w:rsidRPr="007C66C3" w:rsidRDefault="0005530E" w:rsidP="0005530E">
            <w:pPr>
              <w:jc w:val="center"/>
              <w:rPr>
                <w:sz w:val="20"/>
                <w:szCs w:val="20"/>
              </w:rPr>
            </w:pPr>
          </w:p>
          <w:p w:rsidR="0005530E" w:rsidRPr="007C66C3" w:rsidRDefault="0005530E" w:rsidP="0005530E">
            <w:pPr>
              <w:jc w:val="center"/>
              <w:rPr>
                <w:sz w:val="20"/>
                <w:szCs w:val="20"/>
              </w:rPr>
            </w:pPr>
          </w:p>
          <w:p w:rsidR="0005530E" w:rsidRPr="007C66C3" w:rsidRDefault="0005530E" w:rsidP="0005530E">
            <w:pPr>
              <w:jc w:val="center"/>
              <w:rPr>
                <w:b/>
                <w:sz w:val="20"/>
                <w:szCs w:val="20"/>
              </w:rPr>
            </w:pPr>
            <w:r w:rsidRPr="007C66C3">
              <w:rPr>
                <w:b/>
                <w:sz w:val="20"/>
                <w:szCs w:val="20"/>
              </w:rPr>
              <w:t>Nie</w:t>
            </w:r>
          </w:p>
        </w:tc>
        <w:tc>
          <w:tcPr>
            <w:tcW w:w="3119" w:type="dxa"/>
            <w:tcBorders>
              <w:top w:val="single" w:sz="12" w:space="0" w:color="auto"/>
            </w:tcBorders>
          </w:tcPr>
          <w:p w:rsidR="0005530E" w:rsidRPr="007C66C3" w:rsidRDefault="0005530E" w:rsidP="0005530E">
            <w:pPr>
              <w:rPr>
                <w:bCs/>
                <w:i/>
                <w:spacing w:val="-3"/>
                <w:sz w:val="20"/>
                <w:szCs w:val="20"/>
                <w:lang w:eastAsia="fr-FR"/>
              </w:rPr>
            </w:pPr>
            <w:r w:rsidRPr="007C66C3">
              <w:rPr>
                <w:bCs/>
                <w:i/>
                <w:spacing w:val="-3"/>
                <w:sz w:val="20"/>
                <w:szCs w:val="20"/>
                <w:lang w:eastAsia="fr-FR"/>
              </w:rPr>
              <w:t>Zákon č. 575/2001 Z. z. o organizácii činnosti vlády a organizácii ústrednej štátnej správy v znení neskorších predpisov</w:t>
            </w:r>
            <w:r w:rsidRPr="007C66C3">
              <w:rPr>
                <w:i/>
                <w:sz w:val="20"/>
                <w:szCs w:val="20"/>
              </w:rPr>
              <w:t xml:space="preserve"> </w:t>
            </w:r>
          </w:p>
          <w:p w:rsidR="0005530E" w:rsidRPr="007C66C3" w:rsidRDefault="00954688" w:rsidP="0005530E">
            <w:pPr>
              <w:rPr>
                <w:bCs/>
                <w:spacing w:val="-3"/>
                <w:sz w:val="20"/>
                <w:szCs w:val="20"/>
                <w:lang w:eastAsia="fr-FR"/>
              </w:rPr>
            </w:pPr>
            <w:hyperlink r:id="rId42" w:history="1">
              <w:r w:rsidR="0005530E" w:rsidRPr="007C66C3">
                <w:rPr>
                  <w:bCs/>
                  <w:color w:val="0000FF"/>
                  <w:spacing w:val="-3"/>
                  <w:sz w:val="20"/>
                  <w:szCs w:val="20"/>
                  <w:u w:val="single"/>
                  <w:lang w:eastAsia="fr-FR"/>
                </w:rPr>
                <w:t>http://www.epi.sk/Main/Default.aspx?Template=~%2FMain%2FTArticles.ascx&amp;LngID=0&amp;zzsrlnkid=4654186&amp;phContent=~%2FZzSR%2FShowRule.ascx&amp;RuleId=14927&amp;pa=13597</w:t>
              </w:r>
            </w:hyperlink>
            <w:r w:rsidR="0005530E" w:rsidRPr="007C66C3">
              <w:rPr>
                <w:bCs/>
                <w:spacing w:val="-3"/>
                <w:sz w:val="20"/>
                <w:szCs w:val="20"/>
                <w:lang w:eastAsia="fr-FR"/>
              </w:rPr>
              <w:t xml:space="preserve"> </w:t>
            </w:r>
          </w:p>
          <w:p w:rsidR="0005530E" w:rsidRPr="007C66C3" w:rsidRDefault="0005530E" w:rsidP="0005530E">
            <w:pPr>
              <w:rPr>
                <w:bCs/>
                <w:spacing w:val="-3"/>
                <w:sz w:val="20"/>
                <w:szCs w:val="20"/>
                <w:lang w:eastAsia="fr-FR"/>
              </w:rPr>
            </w:pPr>
            <w:r w:rsidRPr="007C66C3">
              <w:rPr>
                <w:bCs/>
                <w:i/>
                <w:spacing w:val="-3"/>
                <w:sz w:val="20"/>
                <w:szCs w:val="20"/>
                <w:lang w:eastAsia="fr-FR"/>
              </w:rPr>
              <w:t>Antidiskriminačný zákon</w:t>
            </w:r>
            <w:r w:rsidRPr="007C66C3">
              <w:rPr>
                <w:bCs/>
                <w:spacing w:val="-3"/>
                <w:sz w:val="20"/>
                <w:szCs w:val="20"/>
                <w:lang w:eastAsia="fr-FR"/>
              </w:rPr>
              <w:t xml:space="preserve"> (</w:t>
            </w:r>
            <w:r w:rsidRPr="007C66C3">
              <w:rPr>
                <w:bCs/>
                <w:i/>
                <w:spacing w:val="-3"/>
                <w:sz w:val="20"/>
                <w:szCs w:val="20"/>
                <w:lang w:eastAsia="fr-FR"/>
              </w:rPr>
              <w:t>Zákon 365/2004 Z. z. o rovnakom zaobchádzaní v niektorých oblastiach a o ochrane pred diskrimináciou a o zmene a doplnení niektorých zákonov v znení neskorších predpisov</w:t>
            </w:r>
            <w:r w:rsidRPr="007C66C3">
              <w:rPr>
                <w:bCs/>
                <w:spacing w:val="-3"/>
                <w:sz w:val="20"/>
                <w:szCs w:val="20"/>
                <w:lang w:eastAsia="fr-FR"/>
              </w:rPr>
              <w:t>)</w:t>
            </w:r>
          </w:p>
          <w:p w:rsidR="0005530E" w:rsidRPr="007C66C3" w:rsidRDefault="0005530E" w:rsidP="0005530E">
            <w:pPr>
              <w:rPr>
                <w:bCs/>
                <w:spacing w:val="-3"/>
                <w:sz w:val="20"/>
                <w:szCs w:val="20"/>
                <w:lang w:eastAsia="fr-FR"/>
              </w:rPr>
            </w:pPr>
            <w:r w:rsidRPr="007C66C3">
              <w:rPr>
                <w:bCs/>
                <w:spacing w:val="-3"/>
                <w:sz w:val="20"/>
                <w:szCs w:val="20"/>
                <w:lang w:eastAsia="fr-FR"/>
              </w:rPr>
              <w:t xml:space="preserve"> </w:t>
            </w:r>
            <w:hyperlink r:id="rId43" w:history="1">
              <w:r w:rsidRPr="007C66C3">
                <w:rPr>
                  <w:bCs/>
                  <w:color w:val="0000FF"/>
                  <w:spacing w:val="-3"/>
                  <w:sz w:val="20"/>
                  <w:szCs w:val="20"/>
                  <w:u w:val="single"/>
                  <w:lang w:eastAsia="fr-FR"/>
                </w:rPr>
                <w:t>http://www.gender.gov.sk/?page_id=72</w:t>
              </w:r>
            </w:hyperlink>
          </w:p>
        </w:tc>
        <w:tc>
          <w:tcPr>
            <w:tcW w:w="4265" w:type="dxa"/>
            <w:gridSpan w:val="2"/>
            <w:tcBorders>
              <w:top w:val="single" w:sz="12" w:space="0" w:color="auto"/>
              <w:right w:val="single" w:sz="12" w:space="0" w:color="auto"/>
            </w:tcBorders>
          </w:tcPr>
          <w:p w:rsidR="0005530E" w:rsidRPr="007C66C3" w:rsidRDefault="0005530E" w:rsidP="0005530E">
            <w:pPr>
              <w:rPr>
                <w:sz w:val="20"/>
                <w:szCs w:val="20"/>
              </w:rPr>
            </w:pPr>
            <w:r w:rsidRPr="007C66C3">
              <w:rPr>
                <w:sz w:val="20"/>
                <w:szCs w:val="20"/>
              </w:rPr>
              <w:t>V zmysle zákona č. 575/2001 Z. z. o organizácii činnosti vlády a organizácii ústrednej štátnej správy v znení neskorších predpisov je za koordináciu štátnej politiky v oblasti rovnosti príležitostí zodpovedné MPSVR SR. Preto v zmysle PD SR na roky 2014 - 2020 má byť aj za koordináciu horizontálneho princípu nediskriminácia zodpovedné MPSVR SR. Odbor rodovej rovnosti a rovnosti príležitostí (ORRRP) je výkonným orgán pre implementáciu programov a za poskytovanie poradenstva je zodpovedné Slovenské národné stredisko pre ľudské práva (SNSĽP). V zmysle zákona 365/2004 Z. z. o rovnakom zaobchádzaní v niektorých oblastiach a o ochrane pred diskrimináciou a o zmene a doplnení niektorých zákonov (antidiskriminačný zákon) plní túto funkciu SNSĽP. Úlohou strediska je komplexné pôsobenie v oblasti ľudských práv a základných slobôd.  Svoju činnosť SNSĽP zameriava na oblasti: monitorovania a hodnotenia dodržiavania ľudských práv a dodržiavanie zásady rovnakého zaobchádzania podľa antidiskriminačného zákona,</w:t>
            </w:r>
            <w:r w:rsidRPr="007C66C3">
              <w:rPr>
                <w:sz w:val="20"/>
                <w:szCs w:val="20"/>
              </w:rPr>
              <w:lastRenderedPageBreak/>
              <w:t xml:space="preserve"> uskutočňovanie výskumov a prieskumov na poskytovanie údajov v oblasti ľudských práv a základných slobôd, vrátane práv dieťaťa, zabezpečenia právnej pomoci obetiam diskriminácie a prejavov intolerancie. V súčasnosti sa pripravujú opatrenia na zvýšenie efektivity spomínaného strediska.</w:t>
            </w:r>
          </w:p>
          <w:p w:rsidR="0005530E" w:rsidRPr="007C66C3" w:rsidRDefault="0005530E" w:rsidP="0005530E">
            <w:pPr>
              <w:rPr>
                <w:sz w:val="20"/>
                <w:szCs w:val="20"/>
              </w:rPr>
            </w:pPr>
            <w:r w:rsidRPr="007C66C3">
              <w:rPr>
                <w:sz w:val="20"/>
                <w:szCs w:val="20"/>
              </w:rPr>
              <w:t xml:space="preserve">Existencia plánu konzultovania a zapojenia orgánov zodpovedných za boj proti diskriminácii a konkrétne kroky na uľahčenie aktívneho zapojenia národného orgánu pre rovnosť. </w:t>
            </w:r>
          </w:p>
          <w:p w:rsidR="0005530E" w:rsidRPr="007C66C3" w:rsidRDefault="0005530E" w:rsidP="0005530E">
            <w:pPr>
              <w:rPr>
                <w:i/>
                <w:sz w:val="20"/>
                <w:szCs w:val="20"/>
              </w:rPr>
            </w:pPr>
            <w:r w:rsidRPr="007C66C3">
              <w:rPr>
                <w:sz w:val="20"/>
                <w:szCs w:val="20"/>
              </w:rPr>
              <w:t xml:space="preserve">Občiansku spoločnosť budú </w:t>
            </w:r>
            <w:r w:rsidRPr="007C66C3">
              <w:rPr>
                <w:b/>
                <w:bCs/>
                <w:sz w:val="20"/>
                <w:szCs w:val="20"/>
              </w:rPr>
              <w:t>reprezentovať</w:t>
            </w:r>
            <w:r w:rsidRPr="007C66C3">
              <w:rPr>
                <w:sz w:val="20"/>
                <w:szCs w:val="20"/>
              </w:rPr>
              <w:t xml:space="preserve"> </w:t>
            </w:r>
            <w:r w:rsidRPr="007C66C3">
              <w:rPr>
                <w:b/>
                <w:bCs/>
                <w:sz w:val="20"/>
                <w:szCs w:val="20"/>
              </w:rPr>
              <w:t xml:space="preserve">partneri zastupujúci </w:t>
            </w:r>
            <w:r w:rsidRPr="007C66C3">
              <w:rPr>
                <w:sz w:val="20"/>
                <w:szCs w:val="20"/>
              </w:rPr>
              <w:t>rodovú rovnosť, nediskrimináciu a osoby so zdravotným postihnutím prostredníctvom svojich reprezentatívnych organizácií ako napr. Národná rada občanov so zdravotným postihnutím v SR, Občianske združenie Myslím–centrum kultúry Nepočujúcich, o. z., Občianske združenie Otvorme dvere, otvorme srdcia, Občianske združenie Život s autizmom-LTK, Organizácia muskulárnych dystrofikov v SR, Slovenský Červený kríž, Združenie na pomoc ľuďom s mentálnym postihnutím v SR.</w:t>
            </w:r>
          </w:p>
          <w:p w:rsidR="0005530E" w:rsidRPr="007C66C3" w:rsidRDefault="0005530E" w:rsidP="0005530E">
            <w:pPr>
              <w:rPr>
                <w:sz w:val="20"/>
                <w:szCs w:val="20"/>
              </w:rPr>
            </w:pPr>
            <w:r w:rsidRPr="007C66C3">
              <w:rPr>
                <w:sz w:val="20"/>
                <w:szCs w:val="20"/>
              </w:rPr>
              <w:t xml:space="preserve">Ďalší zoznam a adresár spolupracujúcich mimovládnych organizácií v SR venujúcich sa právam žien a rodovej rovnosti je dostupný na webovom sídle odboru: </w:t>
            </w:r>
            <w:hyperlink r:id="rId44" w:history="1">
              <w:r w:rsidRPr="007C66C3">
                <w:rPr>
                  <w:color w:val="0000FF"/>
                  <w:sz w:val="20"/>
                  <w:szCs w:val="20"/>
                  <w:u w:val="single"/>
                </w:rPr>
                <w:t>http://www.gender.gov.sk/?page_id=347</w:t>
              </w:r>
            </w:hyperlink>
            <w:r w:rsidRPr="007C66C3">
              <w:rPr>
                <w:sz w:val="20"/>
                <w:szCs w:val="20"/>
              </w:rPr>
              <w:t xml:space="preserve"> </w:t>
            </w:r>
          </w:p>
        </w:tc>
      </w:tr>
      <w:tr w:rsidR="0005530E" w:rsidRPr="007C66C3" w:rsidTr="0005530E">
        <w:tblPrEx>
          <w:tblBorders>
            <w:top w:val="single" w:sz="2" w:space="0" w:color="auto"/>
            <w:left w:val="single" w:sz="2" w:space="0" w:color="auto"/>
            <w:bottom w:val="single" w:sz="2" w:space="0" w:color="auto"/>
            <w:right w:val="single" w:sz="2" w:space="0" w:color="auto"/>
          </w:tblBorders>
        </w:tblPrEx>
        <w:trPr>
          <w:trHeight w:val="915"/>
        </w:trPr>
        <w:tc>
          <w:tcPr>
            <w:tcW w:w="1799" w:type="dxa"/>
            <w:vMerge/>
            <w:tcBorders>
              <w:left w:val="single" w:sz="12" w:space="0" w:color="auto"/>
            </w:tcBorders>
          </w:tcPr>
          <w:p w:rsidR="0005530E" w:rsidRPr="007C66C3" w:rsidRDefault="0005530E" w:rsidP="0005530E">
            <w:pPr>
              <w:rPr>
                <w:sz w:val="20"/>
                <w:szCs w:val="20"/>
              </w:rPr>
            </w:pPr>
          </w:p>
        </w:tc>
        <w:tc>
          <w:tcPr>
            <w:tcW w:w="1745" w:type="dxa"/>
            <w:gridSpan w:val="2"/>
            <w:vMerge/>
          </w:tcPr>
          <w:p w:rsidR="0005530E" w:rsidRPr="007C66C3" w:rsidRDefault="0005530E" w:rsidP="0005530E">
            <w:pPr>
              <w:rPr>
                <w:sz w:val="20"/>
                <w:szCs w:val="20"/>
              </w:rPr>
            </w:pPr>
          </w:p>
        </w:tc>
        <w:tc>
          <w:tcPr>
            <w:tcW w:w="2410" w:type="dxa"/>
            <w:tcBorders>
              <w:top w:val="single" w:sz="2" w:space="0" w:color="auto"/>
            </w:tcBorders>
          </w:tcPr>
          <w:p w:rsidR="0005530E" w:rsidRPr="007C66C3" w:rsidRDefault="0005530E" w:rsidP="00807B64">
            <w:pPr>
              <w:jc w:val="left"/>
              <w:rPr>
                <w:sz w:val="20"/>
                <w:szCs w:val="20"/>
              </w:rPr>
            </w:pPr>
            <w:r w:rsidRPr="007C66C3">
              <w:rPr>
                <w:sz w:val="20"/>
                <w:szCs w:val="20"/>
              </w:rPr>
              <w:t>Opatrenia na zabezpečenie odbornej prípravy pre zamestnancov orgánov zapojených do riadenia a kontroly EŠIF v oblasti práva a politiky Únie v oblasti nediskriminácie.</w:t>
            </w:r>
          </w:p>
        </w:tc>
        <w:tc>
          <w:tcPr>
            <w:tcW w:w="992" w:type="dxa"/>
          </w:tcPr>
          <w:p w:rsidR="0005530E" w:rsidRPr="007C66C3" w:rsidRDefault="0005530E" w:rsidP="0005530E">
            <w:pPr>
              <w:jc w:val="center"/>
              <w:rPr>
                <w:sz w:val="20"/>
                <w:szCs w:val="20"/>
              </w:rPr>
            </w:pPr>
          </w:p>
          <w:p w:rsidR="0005530E" w:rsidRPr="007C66C3" w:rsidRDefault="0005530E" w:rsidP="0005530E">
            <w:pPr>
              <w:jc w:val="center"/>
              <w:rPr>
                <w:sz w:val="20"/>
                <w:szCs w:val="20"/>
              </w:rPr>
            </w:pPr>
          </w:p>
          <w:p w:rsidR="0005530E" w:rsidRPr="007C66C3" w:rsidRDefault="0005530E" w:rsidP="0005530E">
            <w:pPr>
              <w:jc w:val="center"/>
              <w:rPr>
                <w:b/>
                <w:sz w:val="20"/>
                <w:szCs w:val="20"/>
              </w:rPr>
            </w:pPr>
            <w:r w:rsidRPr="007C66C3">
              <w:rPr>
                <w:b/>
                <w:sz w:val="20"/>
                <w:szCs w:val="20"/>
              </w:rPr>
              <w:t>Nie</w:t>
            </w:r>
          </w:p>
        </w:tc>
        <w:tc>
          <w:tcPr>
            <w:tcW w:w="3119" w:type="dxa"/>
          </w:tcPr>
          <w:p w:rsidR="0005530E" w:rsidRPr="007C66C3" w:rsidRDefault="0005530E" w:rsidP="0005530E">
            <w:pPr>
              <w:rPr>
                <w:sz w:val="20"/>
                <w:szCs w:val="20"/>
              </w:rPr>
            </w:pPr>
          </w:p>
        </w:tc>
        <w:tc>
          <w:tcPr>
            <w:tcW w:w="4265" w:type="dxa"/>
            <w:gridSpan w:val="2"/>
            <w:tcBorders>
              <w:right w:val="single" w:sz="12" w:space="0" w:color="auto"/>
            </w:tcBorders>
          </w:tcPr>
          <w:p w:rsidR="0005530E" w:rsidRPr="007C66C3" w:rsidRDefault="0005530E" w:rsidP="0005530E">
            <w:pPr>
              <w:rPr>
                <w:sz w:val="20"/>
                <w:szCs w:val="20"/>
              </w:rPr>
            </w:pPr>
            <w:r w:rsidRPr="007C66C3">
              <w:rPr>
                <w:bCs/>
                <w:sz w:val="20"/>
                <w:szCs w:val="20"/>
              </w:rPr>
              <w:t>Vypracovanie stratégie školenia a informovania zamestnancov zapojených do využívania fondov (vrátane hodnotiteľov) a následné podanie projektu z OP TP na finančné zabezpečenie školení; predpokladaný termín do 15. 2. 2014.</w:t>
            </w:r>
          </w:p>
        </w:tc>
      </w:tr>
      <w:tr w:rsidR="0005530E" w:rsidRPr="007C66C3" w:rsidTr="0005530E">
        <w:tblPrEx>
          <w:tblBorders>
            <w:top w:val="single" w:sz="2" w:space="0" w:color="auto"/>
            <w:left w:val="single" w:sz="2" w:space="0" w:color="auto"/>
            <w:bottom w:val="single" w:sz="2" w:space="0" w:color="auto"/>
            <w:right w:val="single" w:sz="2" w:space="0" w:color="auto"/>
          </w:tblBorders>
        </w:tblPrEx>
        <w:trPr>
          <w:trHeight w:val="398"/>
        </w:trPr>
        <w:tc>
          <w:tcPr>
            <w:tcW w:w="1799" w:type="dxa"/>
            <w:vMerge w:val="restart"/>
            <w:tcBorders>
              <w:top w:val="single" w:sz="12" w:space="0" w:color="auto"/>
              <w:left w:val="single" w:sz="12" w:space="0" w:color="auto"/>
            </w:tcBorders>
          </w:tcPr>
          <w:p w:rsidR="0005530E" w:rsidRPr="007C66C3" w:rsidRDefault="0005530E" w:rsidP="0005530E">
            <w:pPr>
              <w:rPr>
                <w:sz w:val="20"/>
                <w:szCs w:val="20"/>
              </w:rPr>
            </w:pPr>
            <w:r w:rsidRPr="007C66C3">
              <w:rPr>
                <w:sz w:val="20"/>
                <w:szCs w:val="20"/>
              </w:rPr>
              <w:t>2. Rodová rovnosť</w:t>
            </w:r>
          </w:p>
          <w:p w:rsidR="0005530E" w:rsidRPr="007C66C3" w:rsidRDefault="0005530E" w:rsidP="00807B64">
            <w:pPr>
              <w:jc w:val="left"/>
              <w:rPr>
                <w:sz w:val="20"/>
                <w:szCs w:val="20"/>
              </w:rPr>
            </w:pPr>
          </w:p>
          <w:p w:rsidR="0005530E" w:rsidRPr="007C66C3" w:rsidRDefault="0005530E" w:rsidP="00807B64">
            <w:pPr>
              <w:jc w:val="left"/>
              <w:rPr>
                <w:sz w:val="20"/>
                <w:szCs w:val="20"/>
              </w:rPr>
            </w:pPr>
            <w:r w:rsidRPr="007C66C3">
              <w:rPr>
                <w:sz w:val="20"/>
                <w:szCs w:val="20"/>
              </w:rPr>
              <w:t>Existencia administratívnej kapacity na vykonávanie a uplatňovanie práva a politiky Únie týkajúcich sa rodovej rovnosti v oblasti EŠIF.</w:t>
            </w:r>
          </w:p>
        </w:tc>
        <w:tc>
          <w:tcPr>
            <w:tcW w:w="1745" w:type="dxa"/>
            <w:gridSpan w:val="2"/>
            <w:vMerge w:val="restart"/>
            <w:tcBorders>
              <w:top w:val="single" w:sz="12" w:space="0" w:color="auto"/>
            </w:tcBorders>
          </w:tcPr>
          <w:p w:rsidR="0005530E" w:rsidRPr="007C66C3" w:rsidRDefault="0005530E" w:rsidP="0005530E">
            <w:pPr>
              <w:jc w:val="center"/>
              <w:rPr>
                <w:sz w:val="20"/>
                <w:szCs w:val="20"/>
              </w:rPr>
            </w:pPr>
          </w:p>
          <w:p w:rsidR="0005530E" w:rsidRPr="007C66C3" w:rsidRDefault="0005530E" w:rsidP="0005530E">
            <w:pPr>
              <w:jc w:val="center"/>
              <w:rPr>
                <w:sz w:val="20"/>
                <w:szCs w:val="20"/>
              </w:rPr>
            </w:pPr>
          </w:p>
          <w:p w:rsidR="0005530E" w:rsidRPr="007C66C3" w:rsidRDefault="0005530E" w:rsidP="0005530E">
            <w:pPr>
              <w:jc w:val="center"/>
              <w:rPr>
                <w:sz w:val="20"/>
                <w:szCs w:val="20"/>
              </w:rPr>
            </w:pPr>
          </w:p>
          <w:p w:rsidR="0005530E" w:rsidRPr="007C66C3" w:rsidRDefault="0005530E" w:rsidP="0005530E">
            <w:pPr>
              <w:jc w:val="center"/>
              <w:rPr>
                <w:sz w:val="20"/>
                <w:szCs w:val="20"/>
              </w:rPr>
            </w:pPr>
          </w:p>
          <w:p w:rsidR="0005530E" w:rsidRPr="007C66C3" w:rsidRDefault="0005530E" w:rsidP="0005530E">
            <w:pPr>
              <w:jc w:val="center"/>
              <w:rPr>
                <w:sz w:val="20"/>
                <w:szCs w:val="20"/>
              </w:rPr>
            </w:pPr>
          </w:p>
          <w:p w:rsidR="0005530E" w:rsidRPr="007C66C3" w:rsidRDefault="0005530E" w:rsidP="0005530E">
            <w:pPr>
              <w:jc w:val="center"/>
              <w:rPr>
                <w:b/>
                <w:sz w:val="20"/>
                <w:szCs w:val="20"/>
              </w:rPr>
            </w:pPr>
          </w:p>
          <w:p w:rsidR="0005530E" w:rsidRPr="007C66C3" w:rsidRDefault="0005530E" w:rsidP="0005530E">
            <w:pPr>
              <w:jc w:val="center"/>
              <w:rPr>
                <w:b/>
                <w:sz w:val="20"/>
                <w:szCs w:val="20"/>
              </w:rPr>
            </w:pPr>
          </w:p>
          <w:p w:rsidR="0005530E" w:rsidRPr="007C66C3" w:rsidRDefault="0005530E" w:rsidP="0005530E">
            <w:pPr>
              <w:jc w:val="center"/>
              <w:rPr>
                <w:b/>
                <w:sz w:val="20"/>
                <w:szCs w:val="20"/>
              </w:rPr>
            </w:pPr>
          </w:p>
          <w:p w:rsidR="0005530E" w:rsidRPr="007C66C3" w:rsidRDefault="0005530E" w:rsidP="0005530E">
            <w:pPr>
              <w:jc w:val="center"/>
              <w:rPr>
                <w:b/>
                <w:sz w:val="20"/>
                <w:szCs w:val="20"/>
              </w:rPr>
            </w:pPr>
          </w:p>
          <w:p w:rsidR="0005530E" w:rsidRPr="007C66C3" w:rsidRDefault="0005530E" w:rsidP="0005530E">
            <w:pPr>
              <w:jc w:val="center"/>
              <w:rPr>
                <w:sz w:val="20"/>
                <w:szCs w:val="20"/>
              </w:rPr>
            </w:pPr>
            <w:r w:rsidRPr="007C66C3">
              <w:rPr>
                <w:b/>
                <w:sz w:val="20"/>
                <w:szCs w:val="20"/>
              </w:rPr>
              <w:t>Nie</w:t>
            </w:r>
          </w:p>
        </w:tc>
        <w:tc>
          <w:tcPr>
            <w:tcW w:w="2410" w:type="dxa"/>
            <w:tcBorders>
              <w:top w:val="single" w:sz="12" w:space="0" w:color="auto"/>
              <w:bottom w:val="single" w:sz="2" w:space="0" w:color="auto"/>
            </w:tcBorders>
          </w:tcPr>
          <w:p w:rsidR="0005530E" w:rsidRPr="007C66C3" w:rsidRDefault="0005530E" w:rsidP="00807B64">
            <w:pPr>
              <w:jc w:val="left"/>
              <w:rPr>
                <w:sz w:val="20"/>
                <w:szCs w:val="20"/>
              </w:rPr>
            </w:pPr>
            <w:r w:rsidRPr="007C66C3">
              <w:rPr>
                <w:sz w:val="20"/>
                <w:szCs w:val="20"/>
              </w:rPr>
              <w:t>Opatrenia v súlade s inštitucionálnym a právnym rámcom členských štátov na zapojenie orgánov zodpovedných za podporu rodovej rovnosti počas prípravy a vykonávania programov, a to vrátane poskytovania poradenstva o rodovej rovnosti v rámci činností spojených s EŠIF.</w:t>
            </w:r>
          </w:p>
        </w:tc>
        <w:tc>
          <w:tcPr>
            <w:tcW w:w="992" w:type="dxa"/>
            <w:tcBorders>
              <w:top w:val="single" w:sz="12" w:space="0" w:color="auto"/>
            </w:tcBorders>
          </w:tcPr>
          <w:p w:rsidR="0005530E" w:rsidRPr="007C66C3" w:rsidRDefault="0005530E" w:rsidP="0005530E">
            <w:pPr>
              <w:jc w:val="center"/>
              <w:rPr>
                <w:sz w:val="20"/>
                <w:szCs w:val="20"/>
              </w:rPr>
            </w:pPr>
          </w:p>
          <w:p w:rsidR="0005530E" w:rsidRPr="007C66C3" w:rsidRDefault="0005530E" w:rsidP="0005530E">
            <w:pPr>
              <w:jc w:val="center"/>
              <w:rPr>
                <w:sz w:val="20"/>
                <w:szCs w:val="20"/>
              </w:rPr>
            </w:pPr>
          </w:p>
          <w:p w:rsidR="0005530E" w:rsidRPr="007C66C3" w:rsidRDefault="0005530E" w:rsidP="0005530E">
            <w:pPr>
              <w:jc w:val="center"/>
              <w:rPr>
                <w:sz w:val="20"/>
                <w:szCs w:val="20"/>
              </w:rPr>
            </w:pPr>
          </w:p>
          <w:p w:rsidR="0005530E" w:rsidRPr="007C66C3" w:rsidRDefault="0005530E" w:rsidP="0005530E">
            <w:pPr>
              <w:jc w:val="center"/>
              <w:rPr>
                <w:b/>
                <w:sz w:val="20"/>
                <w:szCs w:val="20"/>
              </w:rPr>
            </w:pPr>
          </w:p>
          <w:p w:rsidR="0005530E" w:rsidRPr="007C66C3" w:rsidRDefault="0005530E" w:rsidP="0005530E">
            <w:pPr>
              <w:jc w:val="center"/>
              <w:rPr>
                <w:b/>
                <w:sz w:val="20"/>
                <w:szCs w:val="20"/>
              </w:rPr>
            </w:pPr>
          </w:p>
          <w:p w:rsidR="0005530E" w:rsidRPr="007C66C3" w:rsidRDefault="0005530E" w:rsidP="0005530E">
            <w:pPr>
              <w:jc w:val="center"/>
              <w:rPr>
                <w:b/>
                <w:sz w:val="20"/>
                <w:szCs w:val="20"/>
              </w:rPr>
            </w:pPr>
          </w:p>
          <w:p w:rsidR="0005530E" w:rsidRPr="007C66C3" w:rsidRDefault="0005530E" w:rsidP="0005530E">
            <w:pPr>
              <w:jc w:val="center"/>
              <w:rPr>
                <w:b/>
                <w:sz w:val="20"/>
                <w:szCs w:val="20"/>
              </w:rPr>
            </w:pPr>
          </w:p>
          <w:p w:rsidR="0005530E" w:rsidRPr="007C66C3" w:rsidRDefault="0005530E" w:rsidP="0005530E">
            <w:pPr>
              <w:jc w:val="center"/>
              <w:rPr>
                <w:b/>
                <w:sz w:val="20"/>
                <w:szCs w:val="20"/>
              </w:rPr>
            </w:pPr>
          </w:p>
          <w:p w:rsidR="0005530E" w:rsidRPr="007C66C3" w:rsidRDefault="0005530E" w:rsidP="0005530E">
            <w:pPr>
              <w:jc w:val="center"/>
              <w:rPr>
                <w:b/>
                <w:sz w:val="20"/>
                <w:szCs w:val="20"/>
              </w:rPr>
            </w:pPr>
          </w:p>
          <w:p w:rsidR="0005530E" w:rsidRPr="007C66C3" w:rsidRDefault="0005530E" w:rsidP="0005530E">
            <w:pPr>
              <w:jc w:val="center"/>
              <w:rPr>
                <w:sz w:val="20"/>
                <w:szCs w:val="20"/>
              </w:rPr>
            </w:pPr>
            <w:r w:rsidRPr="007C66C3">
              <w:rPr>
                <w:b/>
                <w:sz w:val="20"/>
                <w:szCs w:val="20"/>
              </w:rPr>
              <w:t>Nie</w:t>
            </w:r>
          </w:p>
        </w:tc>
        <w:tc>
          <w:tcPr>
            <w:tcW w:w="3119" w:type="dxa"/>
            <w:tcBorders>
              <w:top w:val="single" w:sz="12" w:space="0" w:color="auto"/>
            </w:tcBorders>
          </w:tcPr>
          <w:p w:rsidR="0005530E" w:rsidRPr="007C66C3" w:rsidRDefault="0005530E" w:rsidP="0005530E">
            <w:pPr>
              <w:rPr>
                <w:sz w:val="20"/>
                <w:szCs w:val="20"/>
              </w:rPr>
            </w:pPr>
          </w:p>
          <w:p w:rsidR="0005530E" w:rsidRPr="007C66C3" w:rsidRDefault="0005530E" w:rsidP="0005530E">
            <w:pPr>
              <w:rPr>
                <w:sz w:val="20"/>
                <w:szCs w:val="20"/>
              </w:rPr>
            </w:pPr>
          </w:p>
          <w:p w:rsidR="0005530E" w:rsidRPr="007C66C3" w:rsidRDefault="0005530E" w:rsidP="0005530E">
            <w:pPr>
              <w:rPr>
                <w:sz w:val="20"/>
                <w:szCs w:val="20"/>
              </w:rPr>
            </w:pPr>
          </w:p>
          <w:p w:rsidR="0005530E" w:rsidRPr="007C66C3" w:rsidRDefault="0005530E" w:rsidP="0005530E">
            <w:pPr>
              <w:rPr>
                <w:sz w:val="20"/>
                <w:szCs w:val="20"/>
              </w:rPr>
            </w:pPr>
          </w:p>
          <w:p w:rsidR="0005530E" w:rsidRPr="007C66C3" w:rsidRDefault="0005530E" w:rsidP="0005530E">
            <w:pPr>
              <w:rPr>
                <w:sz w:val="20"/>
                <w:szCs w:val="20"/>
              </w:rPr>
            </w:pPr>
          </w:p>
          <w:p w:rsidR="0005530E" w:rsidRPr="007C66C3" w:rsidRDefault="0005530E" w:rsidP="0005530E">
            <w:pPr>
              <w:rPr>
                <w:sz w:val="20"/>
                <w:szCs w:val="20"/>
              </w:rPr>
            </w:pPr>
          </w:p>
          <w:p w:rsidR="0005530E" w:rsidRPr="007C66C3" w:rsidRDefault="0005530E" w:rsidP="0005530E">
            <w:pPr>
              <w:rPr>
                <w:sz w:val="20"/>
                <w:szCs w:val="20"/>
              </w:rPr>
            </w:pPr>
          </w:p>
          <w:p w:rsidR="0005530E" w:rsidRPr="007C66C3" w:rsidRDefault="0005530E" w:rsidP="0005530E">
            <w:pPr>
              <w:rPr>
                <w:sz w:val="20"/>
                <w:szCs w:val="20"/>
              </w:rPr>
            </w:pPr>
          </w:p>
          <w:p w:rsidR="0005530E" w:rsidRPr="007C66C3" w:rsidRDefault="0005530E" w:rsidP="0005530E">
            <w:pPr>
              <w:rPr>
                <w:sz w:val="20"/>
                <w:szCs w:val="20"/>
              </w:rPr>
            </w:pPr>
          </w:p>
          <w:p w:rsidR="0005530E" w:rsidRPr="007C66C3" w:rsidRDefault="0005530E" w:rsidP="0005530E">
            <w:pPr>
              <w:rPr>
                <w:sz w:val="20"/>
                <w:szCs w:val="20"/>
              </w:rPr>
            </w:pPr>
          </w:p>
          <w:p w:rsidR="0005530E" w:rsidRPr="007C66C3" w:rsidRDefault="0005530E" w:rsidP="0005530E">
            <w:pPr>
              <w:rPr>
                <w:sz w:val="20"/>
                <w:szCs w:val="20"/>
              </w:rPr>
            </w:pPr>
          </w:p>
          <w:p w:rsidR="0005530E" w:rsidRPr="007C66C3" w:rsidRDefault="0005530E" w:rsidP="0005530E">
            <w:pPr>
              <w:rPr>
                <w:sz w:val="20"/>
                <w:szCs w:val="20"/>
              </w:rPr>
            </w:pPr>
          </w:p>
          <w:p w:rsidR="0005530E" w:rsidRPr="007C66C3" w:rsidRDefault="0005530E" w:rsidP="0005530E">
            <w:pPr>
              <w:rPr>
                <w:sz w:val="20"/>
                <w:szCs w:val="20"/>
              </w:rPr>
            </w:pPr>
          </w:p>
          <w:p w:rsidR="0005530E" w:rsidRPr="007C66C3" w:rsidRDefault="0005530E" w:rsidP="0005530E">
            <w:pPr>
              <w:rPr>
                <w:sz w:val="20"/>
                <w:szCs w:val="20"/>
              </w:rPr>
            </w:pPr>
          </w:p>
          <w:p w:rsidR="0005530E" w:rsidRPr="007C66C3" w:rsidRDefault="0005530E" w:rsidP="0005530E">
            <w:pPr>
              <w:rPr>
                <w:sz w:val="20"/>
                <w:szCs w:val="20"/>
              </w:rPr>
            </w:pPr>
            <w:r w:rsidRPr="007C66C3">
              <w:rPr>
                <w:sz w:val="20"/>
                <w:szCs w:val="20"/>
              </w:rPr>
              <w:t>Ďalší zoznam a adresár spolupracujúcich mimovládnych organizácií v SR venujúcich sa právam žien a rodovej rovnosti</w:t>
            </w:r>
          </w:p>
          <w:p w:rsidR="0005530E" w:rsidRPr="007C66C3" w:rsidRDefault="00954688" w:rsidP="0005530E">
            <w:pPr>
              <w:rPr>
                <w:sz w:val="20"/>
                <w:szCs w:val="20"/>
              </w:rPr>
            </w:pPr>
            <w:hyperlink r:id="rId45" w:history="1">
              <w:r w:rsidR="0005530E" w:rsidRPr="007C66C3">
                <w:rPr>
                  <w:color w:val="0000FF"/>
                  <w:sz w:val="20"/>
                  <w:szCs w:val="20"/>
                  <w:u w:val="single"/>
                </w:rPr>
                <w:t>http://www.gender.gov.sk/?page_id=347</w:t>
              </w:r>
            </w:hyperlink>
          </w:p>
          <w:p w:rsidR="0005530E" w:rsidRPr="007C66C3" w:rsidRDefault="0005530E" w:rsidP="0005530E">
            <w:pPr>
              <w:rPr>
                <w:sz w:val="20"/>
                <w:szCs w:val="20"/>
              </w:rPr>
            </w:pPr>
          </w:p>
          <w:p w:rsidR="0005530E" w:rsidRPr="007C66C3" w:rsidRDefault="0005530E" w:rsidP="0005530E">
            <w:pPr>
              <w:rPr>
                <w:sz w:val="20"/>
                <w:szCs w:val="20"/>
              </w:rPr>
            </w:pPr>
          </w:p>
          <w:p w:rsidR="0005530E" w:rsidRPr="007C66C3" w:rsidRDefault="0005530E" w:rsidP="0005530E">
            <w:pPr>
              <w:rPr>
                <w:sz w:val="20"/>
                <w:szCs w:val="20"/>
              </w:rPr>
            </w:pPr>
          </w:p>
          <w:p w:rsidR="0005530E" w:rsidRPr="007C66C3" w:rsidRDefault="0005530E" w:rsidP="0005530E">
            <w:pPr>
              <w:rPr>
                <w:sz w:val="20"/>
                <w:szCs w:val="20"/>
              </w:rPr>
            </w:pPr>
          </w:p>
          <w:p w:rsidR="0005530E" w:rsidRPr="007C66C3" w:rsidRDefault="0005530E" w:rsidP="0005530E">
            <w:pPr>
              <w:rPr>
                <w:sz w:val="20"/>
                <w:szCs w:val="20"/>
              </w:rPr>
            </w:pPr>
          </w:p>
          <w:p w:rsidR="0005530E" w:rsidRPr="007C66C3" w:rsidRDefault="0005530E" w:rsidP="0005530E">
            <w:pPr>
              <w:rPr>
                <w:sz w:val="20"/>
                <w:szCs w:val="20"/>
              </w:rPr>
            </w:pPr>
          </w:p>
          <w:p w:rsidR="0005530E" w:rsidRPr="007C66C3" w:rsidRDefault="0005530E" w:rsidP="0005530E">
            <w:pPr>
              <w:rPr>
                <w:sz w:val="20"/>
                <w:szCs w:val="20"/>
              </w:rPr>
            </w:pPr>
          </w:p>
          <w:p w:rsidR="0005530E" w:rsidRPr="007C66C3" w:rsidRDefault="0005530E" w:rsidP="0005530E">
            <w:pPr>
              <w:rPr>
                <w:sz w:val="20"/>
                <w:szCs w:val="20"/>
              </w:rPr>
            </w:pPr>
          </w:p>
          <w:p w:rsidR="0005530E" w:rsidRPr="007C66C3" w:rsidRDefault="0005530E" w:rsidP="0005530E">
            <w:pPr>
              <w:rPr>
                <w:sz w:val="20"/>
                <w:szCs w:val="20"/>
              </w:rPr>
            </w:pPr>
          </w:p>
          <w:p w:rsidR="0005530E" w:rsidRPr="007C66C3" w:rsidRDefault="0005530E" w:rsidP="0005530E">
            <w:pPr>
              <w:rPr>
                <w:sz w:val="20"/>
                <w:szCs w:val="20"/>
              </w:rPr>
            </w:pPr>
          </w:p>
          <w:p w:rsidR="0005530E" w:rsidRPr="007C66C3" w:rsidRDefault="0005530E" w:rsidP="0005530E">
            <w:pPr>
              <w:rPr>
                <w:sz w:val="20"/>
                <w:szCs w:val="20"/>
              </w:rPr>
            </w:pPr>
            <w:r w:rsidRPr="007C66C3">
              <w:rPr>
                <w:sz w:val="20"/>
                <w:szCs w:val="20"/>
              </w:rPr>
              <w:t>Národná stratégia rodovej rovnosti na roky 2009 – 2013</w:t>
            </w:r>
          </w:p>
          <w:p w:rsidR="0005530E" w:rsidRPr="007C66C3" w:rsidRDefault="0005530E" w:rsidP="0005530E">
            <w:pPr>
              <w:rPr>
                <w:sz w:val="20"/>
                <w:szCs w:val="20"/>
              </w:rPr>
            </w:pPr>
            <w:r w:rsidRPr="007C66C3">
              <w:rPr>
                <w:sz w:val="20"/>
                <w:szCs w:val="20"/>
              </w:rPr>
              <w:t xml:space="preserve"> </w:t>
            </w:r>
            <w:hyperlink r:id="rId46" w:history="1">
              <w:r w:rsidRPr="007C66C3">
                <w:rPr>
                  <w:color w:val="0000FF"/>
                  <w:sz w:val="20"/>
                  <w:szCs w:val="20"/>
                  <w:u w:val="single"/>
                </w:rPr>
                <w:t>http://www.gender.gov.sk/?page_id=294</w:t>
              </w:r>
            </w:hyperlink>
          </w:p>
        </w:tc>
        <w:tc>
          <w:tcPr>
            <w:tcW w:w="4265" w:type="dxa"/>
            <w:gridSpan w:val="2"/>
            <w:tcBorders>
              <w:top w:val="single" w:sz="12" w:space="0" w:color="auto"/>
              <w:right w:val="single" w:sz="12" w:space="0" w:color="auto"/>
            </w:tcBorders>
          </w:tcPr>
          <w:p w:rsidR="0005530E" w:rsidRPr="007C66C3" w:rsidRDefault="0005530E" w:rsidP="0005530E">
            <w:pPr>
              <w:rPr>
                <w:sz w:val="20"/>
                <w:szCs w:val="20"/>
              </w:rPr>
            </w:pPr>
            <w:r w:rsidRPr="007C66C3">
              <w:rPr>
                <w:sz w:val="20"/>
                <w:szCs w:val="20"/>
              </w:rPr>
              <w:t>V zmysle zákona č. 575/2001 Z. z. o organizácii činnosti vlády a organizácii ústrednej štátnej správy v znení neskorších predpisov je za koordináciu štátnej politiky v oblasti rodovej rovnosti zodpovedné MPSVR SR. Preto v zmysle návrhu PD SR má byť aj za koordináciu horizontálneho princípu rodová rovnosť zodpovedné MPSVR SR , ktoré zabezpečuje tvorbu a realizáciu štátnej politiky rodovej rovnosti a rovnosti príležitostí a koordináciu celoštátneho systému rodovej rovnosti a rovnosti príležitostí; pri tejto činnosti vychádza z medzinárodných dokumentov, ktorými je SR viazaná a spolupracuje s Výborom pre rodovú rovnosť Rady vlády SR pre ľudské práva, národnostné menšiny a rodovú rovnosť SR</w:t>
            </w:r>
          </w:p>
          <w:p w:rsidR="0005530E" w:rsidRPr="007C66C3" w:rsidRDefault="0005530E" w:rsidP="0005530E">
            <w:pPr>
              <w:rPr>
                <w:sz w:val="20"/>
                <w:szCs w:val="20"/>
              </w:rPr>
            </w:pPr>
            <w:r w:rsidRPr="007C66C3">
              <w:rPr>
                <w:sz w:val="20"/>
                <w:szCs w:val="20"/>
              </w:rPr>
              <w:t>Občiansku spoločnosť budú reprezentovať partneri zastupujúci rodovú rovnosť, nediskrimináciu a osoby so zdravotným postihnutím prostredníctvom svojich reprezentatívnych organizácií ako napr. Národná rada občanov so zdravotným postihnutím v SR, Občianske združenie Myslím–centrum kultúry</w:t>
            </w:r>
            <w:r w:rsidRPr="007C66C3">
              <w:rPr>
                <w:sz w:val="20"/>
                <w:szCs w:val="20"/>
              </w:rPr>
              <w:lastRenderedPageBreak/>
              <w:t xml:space="preserve"> Nepočujúcich, o. z., Občianske združenie Otvorme dvere, otvorme srdcia, Občianske združenie Život s autizmom-LTK, Organizácia muskulárnych dystrofikov v SR, Slovenský Červený kríž, Združenie na pomoc ľuďom s mentálnym postihnutím v SR</w:t>
            </w:r>
          </w:p>
          <w:p w:rsidR="0005530E" w:rsidRPr="007C66C3" w:rsidRDefault="0005530E" w:rsidP="0005530E">
            <w:pPr>
              <w:rPr>
                <w:sz w:val="20"/>
                <w:szCs w:val="20"/>
              </w:rPr>
            </w:pPr>
            <w:r w:rsidRPr="007C66C3">
              <w:rPr>
                <w:sz w:val="20"/>
                <w:szCs w:val="20"/>
              </w:rPr>
              <w:t xml:space="preserve">Výbor pre rodovú rovnosť je stálym odborným orgánom Rady vlády SR pre ľudské práva, národnostné menšiny a rodovú rovnosť (ďalej len „rada“) pre otázky týkajúce sa rodovej rovnosti a pre oblasť implementácie Dohovoru o odstránení všetkých foriem diskriminácie žien, ďalších medzinárodných dohovorov ukladajúcich povinnosť eliminovať diskrimináciu z dôvodu pohlavia a rodu a legislatívy EÚ v tejto oblasti. Výbor plní funkciu konzultatívneho orgánu vo veciach rodovej rovnosti v zmysle Ústavy SR, kde členovia sú zástupcovia štátnej správy, odborných inštitúcií a tretieho sektora.. </w:t>
            </w:r>
          </w:p>
          <w:p w:rsidR="0005530E" w:rsidRPr="007C66C3" w:rsidRDefault="0005530E" w:rsidP="0005530E">
            <w:pPr>
              <w:rPr>
                <w:sz w:val="20"/>
                <w:szCs w:val="20"/>
              </w:rPr>
            </w:pPr>
            <w:r w:rsidRPr="007C66C3">
              <w:rPr>
                <w:sz w:val="20"/>
                <w:szCs w:val="20"/>
              </w:rPr>
              <w:t>Národná stratégia rodovej rovnosti na roky 2009 – 2013 je dostupná na webovom sídle Odboru rodovej rovnosti a rovnosti príležitostí. Nová Stratégia rodovej rovnosti na roky 2014 - 2020 sa pripravuje na základe vyhodnotenia súčasnej Národnej stratégie rodovej rovnosti na roky 2009 – 2013. Nová stratégia bude aktuálna v októbri 2014.</w:t>
            </w:r>
          </w:p>
        </w:tc>
      </w:tr>
      <w:tr w:rsidR="0005530E" w:rsidRPr="007C66C3" w:rsidTr="0005530E">
        <w:tblPrEx>
          <w:tblBorders>
            <w:top w:val="single" w:sz="2" w:space="0" w:color="auto"/>
            <w:left w:val="single" w:sz="2" w:space="0" w:color="auto"/>
            <w:bottom w:val="single" w:sz="2" w:space="0" w:color="auto"/>
            <w:right w:val="single" w:sz="2" w:space="0" w:color="auto"/>
          </w:tblBorders>
        </w:tblPrEx>
        <w:trPr>
          <w:trHeight w:val="397"/>
        </w:trPr>
        <w:tc>
          <w:tcPr>
            <w:tcW w:w="1799" w:type="dxa"/>
            <w:vMerge/>
            <w:tcBorders>
              <w:left w:val="single" w:sz="12" w:space="0" w:color="auto"/>
            </w:tcBorders>
          </w:tcPr>
          <w:p w:rsidR="0005530E" w:rsidRPr="007C66C3" w:rsidRDefault="0005530E" w:rsidP="0005530E">
            <w:pPr>
              <w:rPr>
                <w:sz w:val="20"/>
                <w:szCs w:val="20"/>
              </w:rPr>
            </w:pPr>
          </w:p>
        </w:tc>
        <w:tc>
          <w:tcPr>
            <w:tcW w:w="1745" w:type="dxa"/>
            <w:gridSpan w:val="2"/>
            <w:vMerge/>
          </w:tcPr>
          <w:p w:rsidR="0005530E" w:rsidRPr="007C66C3" w:rsidRDefault="0005530E" w:rsidP="0005530E">
            <w:pPr>
              <w:rPr>
                <w:sz w:val="20"/>
                <w:szCs w:val="20"/>
              </w:rPr>
            </w:pPr>
          </w:p>
        </w:tc>
        <w:tc>
          <w:tcPr>
            <w:tcW w:w="2410" w:type="dxa"/>
            <w:tcBorders>
              <w:top w:val="single" w:sz="2" w:space="0" w:color="auto"/>
            </w:tcBorders>
          </w:tcPr>
          <w:p w:rsidR="0005530E" w:rsidRPr="007C66C3" w:rsidRDefault="0005530E" w:rsidP="0005530E">
            <w:pPr>
              <w:jc w:val="left"/>
              <w:rPr>
                <w:sz w:val="20"/>
                <w:szCs w:val="20"/>
              </w:rPr>
            </w:pPr>
            <w:r w:rsidRPr="007C66C3">
              <w:rPr>
                <w:sz w:val="20"/>
                <w:szCs w:val="20"/>
              </w:rPr>
              <w:t>Opatrenia na zabezpečenie odbornej prípravy pre zamestnancov orgánov</w:t>
            </w:r>
            <w:r w:rsidRPr="007C66C3">
              <w:rPr>
                <w:sz w:val="20"/>
                <w:szCs w:val="20"/>
              </w:rPr>
              <w:lastRenderedPageBreak/>
              <w:t xml:space="preserve"> zapojených do riadenia a kontroly EŠIF v oblasti práva a politiky Únie týkajúcich sa rodovej rovnosti a jej uplatňovania.</w:t>
            </w:r>
          </w:p>
        </w:tc>
        <w:tc>
          <w:tcPr>
            <w:tcW w:w="992" w:type="dxa"/>
          </w:tcPr>
          <w:p w:rsidR="0005530E" w:rsidRPr="007C66C3" w:rsidRDefault="0005530E" w:rsidP="0005530E">
            <w:pPr>
              <w:jc w:val="center"/>
              <w:rPr>
                <w:sz w:val="20"/>
                <w:szCs w:val="20"/>
              </w:rPr>
            </w:pPr>
          </w:p>
          <w:p w:rsidR="0005530E" w:rsidRPr="007C66C3" w:rsidRDefault="0005530E" w:rsidP="0005530E">
            <w:pPr>
              <w:jc w:val="center"/>
              <w:rPr>
                <w:sz w:val="20"/>
                <w:szCs w:val="20"/>
              </w:rPr>
            </w:pPr>
          </w:p>
          <w:p w:rsidR="0005530E" w:rsidRPr="007C66C3" w:rsidRDefault="0005530E" w:rsidP="0005530E">
            <w:pPr>
              <w:jc w:val="center"/>
              <w:rPr>
                <w:sz w:val="20"/>
                <w:szCs w:val="20"/>
              </w:rPr>
            </w:pPr>
            <w:r w:rsidRPr="007C66C3">
              <w:rPr>
                <w:b/>
                <w:sz w:val="20"/>
                <w:szCs w:val="20"/>
              </w:rPr>
              <w:t>Nie</w:t>
            </w:r>
          </w:p>
          <w:p w:rsidR="0005530E" w:rsidRPr="007C66C3" w:rsidRDefault="0005530E" w:rsidP="0005530E">
            <w:pPr>
              <w:jc w:val="center"/>
              <w:rPr>
                <w:sz w:val="20"/>
                <w:szCs w:val="20"/>
              </w:rPr>
            </w:pPr>
          </w:p>
        </w:tc>
        <w:tc>
          <w:tcPr>
            <w:tcW w:w="3119" w:type="dxa"/>
          </w:tcPr>
          <w:p w:rsidR="0005530E" w:rsidRPr="007C66C3" w:rsidRDefault="0005530E" w:rsidP="0005530E">
            <w:pPr>
              <w:rPr>
                <w:sz w:val="20"/>
                <w:szCs w:val="20"/>
              </w:rPr>
            </w:pPr>
          </w:p>
        </w:tc>
        <w:tc>
          <w:tcPr>
            <w:tcW w:w="4265" w:type="dxa"/>
            <w:gridSpan w:val="2"/>
            <w:tcBorders>
              <w:right w:val="single" w:sz="12" w:space="0" w:color="auto"/>
            </w:tcBorders>
          </w:tcPr>
          <w:p w:rsidR="0005530E" w:rsidRPr="007C66C3" w:rsidRDefault="0005530E" w:rsidP="0005530E">
            <w:pPr>
              <w:rPr>
                <w:sz w:val="20"/>
                <w:szCs w:val="20"/>
              </w:rPr>
            </w:pPr>
            <w:r w:rsidRPr="007C66C3">
              <w:rPr>
                <w:bCs/>
                <w:sz w:val="20"/>
                <w:szCs w:val="20"/>
              </w:rPr>
              <w:t>Vypracovanie stratégie školenia a informovania zamestnancov zapojených do využívania fondov (vrátane hodnotiteľov) a následné podanie projektu z OP TP na finančné zabezpečenie</w:t>
            </w:r>
            <w:r w:rsidRPr="007C66C3">
              <w:rPr>
                <w:bCs/>
                <w:sz w:val="20"/>
                <w:szCs w:val="20"/>
              </w:rPr>
              <w:lastRenderedPageBreak/>
              <w:t xml:space="preserve"> školení; predpokladaný termín do 15.2.2014.</w:t>
            </w:r>
          </w:p>
        </w:tc>
      </w:tr>
      <w:tr w:rsidR="0005530E" w:rsidRPr="007C66C3" w:rsidTr="0005530E">
        <w:tblPrEx>
          <w:tblBorders>
            <w:top w:val="single" w:sz="2" w:space="0" w:color="auto"/>
            <w:left w:val="single" w:sz="2" w:space="0" w:color="auto"/>
            <w:bottom w:val="single" w:sz="2" w:space="0" w:color="auto"/>
            <w:right w:val="single" w:sz="2" w:space="0" w:color="auto"/>
          </w:tblBorders>
        </w:tblPrEx>
        <w:trPr>
          <w:trHeight w:val="308"/>
        </w:trPr>
        <w:tc>
          <w:tcPr>
            <w:tcW w:w="1799" w:type="dxa"/>
            <w:vMerge w:val="restart"/>
            <w:tcBorders>
              <w:top w:val="single" w:sz="12" w:space="0" w:color="auto"/>
              <w:left w:val="single" w:sz="12" w:space="0" w:color="auto"/>
            </w:tcBorders>
          </w:tcPr>
          <w:p w:rsidR="0005530E" w:rsidRPr="007C66C3" w:rsidRDefault="0005530E" w:rsidP="0005530E">
            <w:pPr>
              <w:jc w:val="left"/>
              <w:rPr>
                <w:sz w:val="20"/>
                <w:szCs w:val="20"/>
              </w:rPr>
            </w:pPr>
            <w:r w:rsidRPr="007C66C3">
              <w:rPr>
                <w:sz w:val="20"/>
                <w:szCs w:val="20"/>
              </w:rPr>
              <w:t>3. Zdravotné postihnutie</w:t>
            </w:r>
          </w:p>
          <w:p w:rsidR="0005530E" w:rsidRPr="007C66C3" w:rsidRDefault="0005530E" w:rsidP="0005530E">
            <w:pPr>
              <w:rPr>
                <w:sz w:val="20"/>
                <w:szCs w:val="20"/>
              </w:rPr>
            </w:pPr>
          </w:p>
          <w:p w:rsidR="0005530E" w:rsidRPr="007C66C3" w:rsidRDefault="0005530E" w:rsidP="0005530E">
            <w:pPr>
              <w:jc w:val="left"/>
              <w:rPr>
                <w:sz w:val="20"/>
                <w:szCs w:val="20"/>
              </w:rPr>
            </w:pPr>
            <w:r w:rsidRPr="007C66C3">
              <w:rPr>
                <w:sz w:val="20"/>
                <w:szCs w:val="20"/>
              </w:rPr>
              <w:t xml:space="preserve">Existencia administratívnej kapacity na vykonávanie a uplatňovanie Dohovoru OSN o právach osôb so zdravotným postihnutím v oblasti EŠIF v súlade s rozhodnutím Rady 2010/48/ES. </w:t>
            </w:r>
          </w:p>
        </w:tc>
        <w:tc>
          <w:tcPr>
            <w:tcW w:w="1745" w:type="dxa"/>
            <w:gridSpan w:val="2"/>
            <w:vMerge w:val="restart"/>
            <w:tcBorders>
              <w:top w:val="single" w:sz="12" w:space="0" w:color="auto"/>
            </w:tcBorders>
          </w:tcPr>
          <w:p w:rsidR="0005530E" w:rsidRPr="007C66C3" w:rsidRDefault="0005530E" w:rsidP="0005530E">
            <w:pPr>
              <w:jc w:val="center"/>
              <w:rPr>
                <w:sz w:val="20"/>
                <w:szCs w:val="20"/>
              </w:rPr>
            </w:pPr>
          </w:p>
          <w:p w:rsidR="0005530E" w:rsidRPr="007C66C3" w:rsidRDefault="0005530E" w:rsidP="0005530E">
            <w:pPr>
              <w:jc w:val="center"/>
              <w:rPr>
                <w:sz w:val="20"/>
                <w:szCs w:val="20"/>
              </w:rPr>
            </w:pPr>
          </w:p>
          <w:p w:rsidR="0005530E" w:rsidRPr="007C66C3" w:rsidRDefault="0005530E" w:rsidP="0005530E">
            <w:pPr>
              <w:jc w:val="center"/>
              <w:rPr>
                <w:sz w:val="20"/>
                <w:szCs w:val="20"/>
              </w:rPr>
            </w:pPr>
          </w:p>
          <w:p w:rsidR="0005530E" w:rsidRPr="007C66C3" w:rsidRDefault="0005530E" w:rsidP="0005530E">
            <w:pPr>
              <w:jc w:val="center"/>
              <w:rPr>
                <w:sz w:val="20"/>
                <w:szCs w:val="20"/>
              </w:rPr>
            </w:pPr>
          </w:p>
          <w:p w:rsidR="0005530E" w:rsidRPr="007C66C3" w:rsidRDefault="0005530E" w:rsidP="0005530E">
            <w:pPr>
              <w:jc w:val="center"/>
              <w:rPr>
                <w:b/>
                <w:sz w:val="20"/>
                <w:szCs w:val="20"/>
              </w:rPr>
            </w:pPr>
          </w:p>
          <w:p w:rsidR="0005530E" w:rsidRPr="007C66C3" w:rsidRDefault="0005530E" w:rsidP="0005530E">
            <w:pPr>
              <w:jc w:val="center"/>
              <w:rPr>
                <w:b/>
                <w:sz w:val="20"/>
                <w:szCs w:val="20"/>
              </w:rPr>
            </w:pPr>
          </w:p>
          <w:p w:rsidR="0005530E" w:rsidRPr="007C66C3" w:rsidRDefault="0005530E" w:rsidP="0005530E">
            <w:pPr>
              <w:jc w:val="center"/>
              <w:rPr>
                <w:b/>
                <w:sz w:val="20"/>
                <w:szCs w:val="20"/>
              </w:rPr>
            </w:pPr>
          </w:p>
          <w:p w:rsidR="0005530E" w:rsidRPr="007C66C3" w:rsidRDefault="0005530E" w:rsidP="0005530E">
            <w:pPr>
              <w:jc w:val="center"/>
              <w:rPr>
                <w:b/>
                <w:sz w:val="20"/>
                <w:szCs w:val="20"/>
              </w:rPr>
            </w:pPr>
          </w:p>
          <w:p w:rsidR="0005530E" w:rsidRPr="007C66C3" w:rsidRDefault="0005530E" w:rsidP="0005530E">
            <w:pPr>
              <w:jc w:val="center"/>
              <w:rPr>
                <w:sz w:val="20"/>
                <w:szCs w:val="20"/>
              </w:rPr>
            </w:pPr>
            <w:r w:rsidRPr="007C66C3">
              <w:rPr>
                <w:b/>
                <w:sz w:val="20"/>
                <w:szCs w:val="20"/>
              </w:rPr>
              <w:t>Nie</w:t>
            </w:r>
          </w:p>
        </w:tc>
        <w:tc>
          <w:tcPr>
            <w:tcW w:w="2410" w:type="dxa"/>
            <w:tcBorders>
              <w:top w:val="single" w:sz="12" w:space="0" w:color="auto"/>
              <w:bottom w:val="single" w:sz="2" w:space="0" w:color="auto"/>
            </w:tcBorders>
          </w:tcPr>
          <w:p w:rsidR="0005530E" w:rsidRPr="007C66C3" w:rsidRDefault="0005530E" w:rsidP="0005530E">
            <w:pPr>
              <w:jc w:val="left"/>
              <w:rPr>
                <w:sz w:val="20"/>
                <w:szCs w:val="20"/>
              </w:rPr>
            </w:pPr>
            <w:r w:rsidRPr="007C66C3">
              <w:rPr>
                <w:sz w:val="20"/>
                <w:szCs w:val="20"/>
              </w:rPr>
              <w:t>Opatrenia v súlade s inštitucionálnym a právnym rámcom členských štátov na vykonávanie konzultácií a zapojenie orgánov, ktoré sú zodpovedné za ochranu práv osôb so zdravotným postihnutím, alebo organizácií zastupujúcich osoby so zdravotným postihnutím, a ďalšie príslušné zainteresované osoby počas prípravy a vykonávania programov.</w:t>
            </w:r>
          </w:p>
        </w:tc>
        <w:tc>
          <w:tcPr>
            <w:tcW w:w="992" w:type="dxa"/>
            <w:tcBorders>
              <w:top w:val="single" w:sz="12" w:space="0" w:color="auto"/>
            </w:tcBorders>
          </w:tcPr>
          <w:p w:rsidR="0005530E" w:rsidRPr="007C66C3" w:rsidRDefault="0005530E" w:rsidP="0005530E">
            <w:pPr>
              <w:jc w:val="center"/>
              <w:rPr>
                <w:sz w:val="20"/>
                <w:szCs w:val="20"/>
              </w:rPr>
            </w:pPr>
          </w:p>
          <w:p w:rsidR="0005530E" w:rsidRPr="007C66C3" w:rsidRDefault="0005530E" w:rsidP="0005530E">
            <w:pPr>
              <w:jc w:val="center"/>
              <w:rPr>
                <w:sz w:val="20"/>
                <w:szCs w:val="20"/>
              </w:rPr>
            </w:pPr>
          </w:p>
          <w:p w:rsidR="0005530E" w:rsidRPr="007C66C3" w:rsidRDefault="0005530E" w:rsidP="0005530E">
            <w:pPr>
              <w:jc w:val="center"/>
              <w:rPr>
                <w:sz w:val="20"/>
                <w:szCs w:val="20"/>
              </w:rPr>
            </w:pPr>
          </w:p>
          <w:p w:rsidR="0005530E" w:rsidRPr="007C66C3" w:rsidRDefault="0005530E" w:rsidP="0005530E">
            <w:pPr>
              <w:jc w:val="center"/>
              <w:rPr>
                <w:b/>
                <w:sz w:val="20"/>
                <w:szCs w:val="20"/>
              </w:rPr>
            </w:pPr>
          </w:p>
          <w:p w:rsidR="0005530E" w:rsidRPr="007C66C3" w:rsidRDefault="0005530E" w:rsidP="0005530E">
            <w:pPr>
              <w:jc w:val="center"/>
              <w:rPr>
                <w:b/>
                <w:sz w:val="20"/>
                <w:szCs w:val="20"/>
              </w:rPr>
            </w:pPr>
          </w:p>
          <w:p w:rsidR="0005530E" w:rsidRPr="007C66C3" w:rsidRDefault="0005530E" w:rsidP="0005530E">
            <w:pPr>
              <w:jc w:val="center"/>
              <w:rPr>
                <w:b/>
                <w:sz w:val="20"/>
                <w:szCs w:val="20"/>
              </w:rPr>
            </w:pPr>
          </w:p>
          <w:p w:rsidR="0005530E" w:rsidRPr="007C66C3" w:rsidRDefault="0005530E" w:rsidP="0005530E">
            <w:pPr>
              <w:jc w:val="center"/>
              <w:rPr>
                <w:b/>
                <w:sz w:val="20"/>
                <w:szCs w:val="20"/>
              </w:rPr>
            </w:pPr>
          </w:p>
          <w:p w:rsidR="0005530E" w:rsidRPr="007C66C3" w:rsidRDefault="0005530E" w:rsidP="0005530E">
            <w:pPr>
              <w:jc w:val="center"/>
              <w:rPr>
                <w:b/>
                <w:sz w:val="20"/>
                <w:szCs w:val="20"/>
              </w:rPr>
            </w:pPr>
          </w:p>
          <w:p w:rsidR="0005530E" w:rsidRPr="007C66C3" w:rsidRDefault="0005530E" w:rsidP="0005530E">
            <w:pPr>
              <w:jc w:val="center"/>
              <w:rPr>
                <w:sz w:val="20"/>
                <w:szCs w:val="20"/>
              </w:rPr>
            </w:pPr>
            <w:r w:rsidRPr="007C66C3">
              <w:rPr>
                <w:b/>
                <w:sz w:val="20"/>
                <w:szCs w:val="20"/>
              </w:rPr>
              <w:t>Nie</w:t>
            </w:r>
          </w:p>
          <w:p w:rsidR="0005530E" w:rsidRPr="007C66C3" w:rsidRDefault="0005530E" w:rsidP="0005530E">
            <w:pPr>
              <w:jc w:val="center"/>
              <w:rPr>
                <w:sz w:val="20"/>
                <w:szCs w:val="20"/>
              </w:rPr>
            </w:pPr>
          </w:p>
        </w:tc>
        <w:tc>
          <w:tcPr>
            <w:tcW w:w="3119" w:type="dxa"/>
            <w:tcBorders>
              <w:top w:val="single" w:sz="12" w:space="0" w:color="auto"/>
            </w:tcBorders>
          </w:tcPr>
          <w:p w:rsidR="0005530E" w:rsidRPr="007C66C3" w:rsidRDefault="0005530E" w:rsidP="0005530E">
            <w:pPr>
              <w:rPr>
                <w:sz w:val="20"/>
                <w:szCs w:val="20"/>
              </w:rPr>
            </w:pPr>
            <w:r w:rsidRPr="007C66C3">
              <w:rPr>
                <w:sz w:val="20"/>
                <w:szCs w:val="20"/>
              </w:rPr>
              <w:t xml:space="preserve">Národný program rozvoja životných podmienok osôb so zdravotným postihnutím na roky 2014 – 2020. </w:t>
            </w:r>
          </w:p>
          <w:p w:rsidR="0005530E" w:rsidRPr="007C66C3" w:rsidRDefault="00954688" w:rsidP="0005530E">
            <w:pPr>
              <w:rPr>
                <w:sz w:val="20"/>
                <w:szCs w:val="20"/>
              </w:rPr>
            </w:pPr>
            <w:hyperlink r:id="rId47" w:history="1">
              <w:r w:rsidR="0005530E" w:rsidRPr="007C66C3">
                <w:rPr>
                  <w:rStyle w:val="Hypertextovprepojenie"/>
                  <w:sz w:val="20"/>
                  <w:szCs w:val="20"/>
                </w:rPr>
                <w:t>http://www.rokovania.sk/Rokovanie.aspx/BodRokovaniaDetail?idMaterial=23180</w:t>
              </w:r>
            </w:hyperlink>
          </w:p>
          <w:p w:rsidR="0005530E" w:rsidRPr="007C66C3" w:rsidRDefault="0005530E" w:rsidP="0005530E">
            <w:pPr>
              <w:rPr>
                <w:sz w:val="20"/>
                <w:szCs w:val="20"/>
              </w:rPr>
            </w:pPr>
          </w:p>
        </w:tc>
        <w:tc>
          <w:tcPr>
            <w:tcW w:w="4265" w:type="dxa"/>
            <w:gridSpan w:val="2"/>
            <w:tcBorders>
              <w:top w:val="single" w:sz="12" w:space="0" w:color="auto"/>
              <w:right w:val="single" w:sz="12" w:space="0" w:color="auto"/>
            </w:tcBorders>
          </w:tcPr>
          <w:p w:rsidR="0005530E" w:rsidRPr="007C66C3" w:rsidRDefault="0005530E" w:rsidP="0005530E">
            <w:pPr>
              <w:rPr>
                <w:sz w:val="20"/>
                <w:szCs w:val="20"/>
              </w:rPr>
            </w:pPr>
            <w:r w:rsidRPr="007C66C3">
              <w:rPr>
                <w:sz w:val="20"/>
                <w:szCs w:val="20"/>
              </w:rPr>
              <w:t>Národný program rozvoja životných podmienok osôb so zdravotným postihnutím na roky 2014 – 2020 (uznesenie vlády SR č. 25/2014 z 15.1.2014) je zameraný na dosahovanie pokroku v oblasti ochrany práv osôb so zdravotným postihnutím uznaných Dohovorom OSN o právach osôb so zdravotným postihnutím (ďalej iba „Dohovor“) a pokroku pri ich používaní. Prostredníctvom Národného programu SR implementuje Dohovor, vrátane inštitucionálneho zabezpečenia procesu jeho implementácie a monitorovania. Materiál je zameraný na cieľovú skupinu – osoby so zdravotným postihnutí, ktoré sa podieľali na tvorbe materiálu prostredníctvom svojich reprezentatívnych organizácií tak, ako si to vyžaduje čl. 4 ods. 3 Dohovoru. Základným cieľom Národného programu je prostredníctvom definovaných úloh a opatrení zabezpečiť dosahovanie pokroku v oblasti ochrany práv osôb so zdravotným postihnutím uznaných Dohovorom a pokroku pri ich používaní. Uznesenie vlády SR č. 25/2014 je záväzné pre všetky rezorty a následne aj pre nové OP. Tento materiál bude následne zakomponovávaný do pripravovaných OP a jeho ciele týkajúce sa</w:t>
            </w:r>
            <w:r w:rsidRPr="007C66C3">
              <w:rPr>
                <w:sz w:val="20"/>
                <w:szCs w:val="20"/>
              </w:rPr>
              <w:lastRenderedPageBreak/>
              <w:t xml:space="preserve"> pomoci ľuďom so zdravotným postihnutím aplikované v OP formou aktivít, indikátorov a spôsobom hodnotenia. Predmetný materiál je záväzným a výkonným nástrojom SR na implementáciu Dohovoru.</w:t>
            </w:r>
          </w:p>
          <w:p w:rsidR="0005530E" w:rsidRPr="007C66C3" w:rsidRDefault="0005530E" w:rsidP="0005530E">
            <w:pPr>
              <w:rPr>
                <w:sz w:val="20"/>
                <w:szCs w:val="20"/>
              </w:rPr>
            </w:pPr>
            <w:r w:rsidRPr="007C66C3">
              <w:rPr>
                <w:sz w:val="20"/>
                <w:szCs w:val="20"/>
              </w:rPr>
              <w:t>V súčasnosti prebieha v SR novelizácia Stavebného zákona a jeho vykonávacích vyhlášok, ktoré upravujú podmienky prístupnosti. V rámci tohto zákona sa nanovo upravuje aj dodržiavanie a sankcionovanie predmetného zákona a jeho vyhlášok. Zákon je v stave pripomienkovania a zapracovania pripomienok od leta 2013.</w:t>
            </w:r>
          </w:p>
        </w:tc>
      </w:tr>
      <w:tr w:rsidR="0005530E" w:rsidRPr="007C66C3" w:rsidTr="0005530E">
        <w:tblPrEx>
          <w:tblBorders>
            <w:top w:val="single" w:sz="2" w:space="0" w:color="auto"/>
            <w:left w:val="single" w:sz="2" w:space="0" w:color="auto"/>
            <w:bottom w:val="single" w:sz="2" w:space="0" w:color="auto"/>
            <w:right w:val="single" w:sz="2" w:space="0" w:color="auto"/>
          </w:tblBorders>
        </w:tblPrEx>
        <w:trPr>
          <w:trHeight w:val="308"/>
        </w:trPr>
        <w:tc>
          <w:tcPr>
            <w:tcW w:w="1799" w:type="dxa"/>
            <w:vMerge/>
            <w:tcBorders>
              <w:left w:val="single" w:sz="12" w:space="0" w:color="auto"/>
            </w:tcBorders>
          </w:tcPr>
          <w:p w:rsidR="0005530E" w:rsidRPr="007C66C3" w:rsidRDefault="0005530E" w:rsidP="0005530E">
            <w:pPr>
              <w:rPr>
                <w:sz w:val="20"/>
                <w:szCs w:val="20"/>
              </w:rPr>
            </w:pPr>
          </w:p>
        </w:tc>
        <w:tc>
          <w:tcPr>
            <w:tcW w:w="1745" w:type="dxa"/>
            <w:gridSpan w:val="2"/>
            <w:vMerge/>
          </w:tcPr>
          <w:p w:rsidR="0005530E" w:rsidRPr="007C66C3" w:rsidRDefault="0005530E" w:rsidP="0005530E">
            <w:pPr>
              <w:rPr>
                <w:sz w:val="20"/>
                <w:szCs w:val="20"/>
              </w:rPr>
            </w:pPr>
          </w:p>
        </w:tc>
        <w:tc>
          <w:tcPr>
            <w:tcW w:w="2410" w:type="dxa"/>
            <w:tcBorders>
              <w:top w:val="single" w:sz="2" w:space="0" w:color="auto"/>
              <w:bottom w:val="single" w:sz="2" w:space="0" w:color="auto"/>
            </w:tcBorders>
          </w:tcPr>
          <w:p w:rsidR="0005530E" w:rsidRPr="007C66C3" w:rsidRDefault="0005530E" w:rsidP="0005530E">
            <w:pPr>
              <w:jc w:val="left"/>
              <w:rPr>
                <w:sz w:val="20"/>
                <w:szCs w:val="20"/>
              </w:rPr>
            </w:pPr>
            <w:r w:rsidRPr="007C66C3">
              <w:rPr>
                <w:sz w:val="20"/>
                <w:szCs w:val="20"/>
              </w:rPr>
              <w:t>Opatrenia na zabezpečenie odbornej prípravy pre zamestnancov orgánov zapojených do riadenia a kontroly EŠIF v oblasti platného práva a politiky Únie a členských štátov týkajúcich sa zdravotného postihnutia vrátane dostupnosti a praktického uplatňovania Dohovoru OSN o právach osôb so zdravotným postihnutím transponovaného v právnych predpisoch Únie, a členských štátov.</w:t>
            </w:r>
          </w:p>
        </w:tc>
        <w:tc>
          <w:tcPr>
            <w:tcW w:w="992" w:type="dxa"/>
          </w:tcPr>
          <w:p w:rsidR="0005530E" w:rsidRPr="007C66C3" w:rsidRDefault="0005530E" w:rsidP="0005530E">
            <w:pPr>
              <w:jc w:val="center"/>
              <w:rPr>
                <w:sz w:val="20"/>
                <w:szCs w:val="20"/>
              </w:rPr>
            </w:pPr>
          </w:p>
          <w:p w:rsidR="0005530E" w:rsidRPr="007C66C3" w:rsidRDefault="0005530E" w:rsidP="0005530E">
            <w:pPr>
              <w:jc w:val="center"/>
              <w:rPr>
                <w:sz w:val="20"/>
                <w:szCs w:val="20"/>
              </w:rPr>
            </w:pPr>
          </w:p>
          <w:p w:rsidR="0005530E" w:rsidRPr="007C66C3" w:rsidRDefault="0005530E" w:rsidP="0005530E">
            <w:pPr>
              <w:jc w:val="center"/>
              <w:rPr>
                <w:sz w:val="20"/>
                <w:szCs w:val="20"/>
              </w:rPr>
            </w:pPr>
          </w:p>
          <w:p w:rsidR="0005530E" w:rsidRPr="007C66C3" w:rsidRDefault="0005530E" w:rsidP="0005530E">
            <w:pPr>
              <w:jc w:val="center"/>
              <w:rPr>
                <w:sz w:val="20"/>
                <w:szCs w:val="20"/>
              </w:rPr>
            </w:pPr>
            <w:r w:rsidRPr="007C66C3">
              <w:rPr>
                <w:b/>
                <w:sz w:val="20"/>
                <w:szCs w:val="20"/>
              </w:rPr>
              <w:t>Nie</w:t>
            </w:r>
          </w:p>
          <w:p w:rsidR="0005530E" w:rsidRPr="007C66C3" w:rsidRDefault="0005530E" w:rsidP="0005530E">
            <w:pPr>
              <w:jc w:val="center"/>
              <w:rPr>
                <w:sz w:val="20"/>
                <w:szCs w:val="20"/>
              </w:rPr>
            </w:pPr>
          </w:p>
          <w:p w:rsidR="0005530E" w:rsidRPr="007C66C3" w:rsidRDefault="0005530E" w:rsidP="0005530E">
            <w:pPr>
              <w:rPr>
                <w:sz w:val="20"/>
                <w:szCs w:val="20"/>
              </w:rPr>
            </w:pPr>
          </w:p>
        </w:tc>
        <w:tc>
          <w:tcPr>
            <w:tcW w:w="3119" w:type="dxa"/>
          </w:tcPr>
          <w:p w:rsidR="0005530E" w:rsidRPr="007C66C3" w:rsidRDefault="0005530E" w:rsidP="0005530E">
            <w:pPr>
              <w:rPr>
                <w:sz w:val="20"/>
                <w:szCs w:val="20"/>
              </w:rPr>
            </w:pPr>
          </w:p>
        </w:tc>
        <w:tc>
          <w:tcPr>
            <w:tcW w:w="4265" w:type="dxa"/>
            <w:gridSpan w:val="2"/>
            <w:tcBorders>
              <w:right w:val="single" w:sz="12" w:space="0" w:color="auto"/>
            </w:tcBorders>
          </w:tcPr>
          <w:p w:rsidR="0005530E" w:rsidRPr="007C66C3" w:rsidRDefault="0005530E" w:rsidP="0005530E">
            <w:pPr>
              <w:rPr>
                <w:sz w:val="20"/>
                <w:szCs w:val="20"/>
              </w:rPr>
            </w:pPr>
            <w:r w:rsidRPr="007C66C3">
              <w:rPr>
                <w:bCs/>
                <w:sz w:val="20"/>
                <w:szCs w:val="20"/>
              </w:rPr>
              <w:t>Vypracovanie stratégie školenia a informovania zamestnancov zapojených do využívania fondov (vrátane hodnotiteľov) a následné podanie projektu z OP TP na finančné zabezpečenie školení; predpokladaný termín do 15.2.2014.</w:t>
            </w:r>
          </w:p>
        </w:tc>
      </w:tr>
      <w:tr w:rsidR="0005530E" w:rsidRPr="007C66C3" w:rsidTr="0005530E">
        <w:tblPrEx>
          <w:tblBorders>
            <w:top w:val="single" w:sz="2" w:space="0" w:color="auto"/>
            <w:left w:val="single" w:sz="2" w:space="0" w:color="auto"/>
            <w:bottom w:val="single" w:sz="2" w:space="0" w:color="auto"/>
            <w:right w:val="single" w:sz="2" w:space="0" w:color="auto"/>
          </w:tblBorders>
        </w:tblPrEx>
        <w:trPr>
          <w:trHeight w:val="308"/>
        </w:trPr>
        <w:tc>
          <w:tcPr>
            <w:tcW w:w="1799" w:type="dxa"/>
            <w:vMerge/>
            <w:tcBorders>
              <w:left w:val="single" w:sz="12" w:space="0" w:color="auto"/>
            </w:tcBorders>
          </w:tcPr>
          <w:p w:rsidR="0005530E" w:rsidRPr="007C66C3" w:rsidRDefault="0005530E" w:rsidP="0005530E">
            <w:pPr>
              <w:rPr>
                <w:sz w:val="20"/>
                <w:szCs w:val="20"/>
              </w:rPr>
            </w:pPr>
          </w:p>
        </w:tc>
        <w:tc>
          <w:tcPr>
            <w:tcW w:w="1745" w:type="dxa"/>
            <w:gridSpan w:val="2"/>
            <w:vMerge/>
          </w:tcPr>
          <w:p w:rsidR="0005530E" w:rsidRPr="007C66C3" w:rsidRDefault="0005530E" w:rsidP="0005530E">
            <w:pPr>
              <w:rPr>
                <w:sz w:val="20"/>
                <w:szCs w:val="20"/>
              </w:rPr>
            </w:pPr>
          </w:p>
        </w:tc>
        <w:tc>
          <w:tcPr>
            <w:tcW w:w="2410" w:type="dxa"/>
            <w:tcBorders>
              <w:top w:val="single" w:sz="2" w:space="0" w:color="auto"/>
            </w:tcBorders>
          </w:tcPr>
          <w:p w:rsidR="0005530E" w:rsidRPr="007C66C3" w:rsidRDefault="0005530E" w:rsidP="0005530E">
            <w:pPr>
              <w:jc w:val="left"/>
              <w:rPr>
                <w:sz w:val="20"/>
                <w:szCs w:val="20"/>
              </w:rPr>
            </w:pPr>
            <w:r w:rsidRPr="007C66C3">
              <w:rPr>
                <w:sz w:val="20"/>
                <w:szCs w:val="20"/>
              </w:rPr>
              <w:t>Opatrenia na zabezpečenie sledovania vykonávania článku 9 Dohovoru OSN o právach osôb so zdravotným postihnutím vo vzťahu k EŠIF počas prípravy a vykonávania programov.</w:t>
            </w:r>
          </w:p>
        </w:tc>
        <w:tc>
          <w:tcPr>
            <w:tcW w:w="992" w:type="dxa"/>
          </w:tcPr>
          <w:p w:rsidR="0005530E" w:rsidRPr="007C66C3" w:rsidRDefault="0005530E" w:rsidP="0005530E">
            <w:pPr>
              <w:jc w:val="center"/>
              <w:rPr>
                <w:sz w:val="20"/>
                <w:szCs w:val="20"/>
              </w:rPr>
            </w:pPr>
          </w:p>
          <w:p w:rsidR="0005530E" w:rsidRPr="007C66C3" w:rsidRDefault="0005530E" w:rsidP="0005530E">
            <w:pPr>
              <w:jc w:val="center"/>
              <w:rPr>
                <w:b/>
                <w:sz w:val="20"/>
                <w:szCs w:val="20"/>
              </w:rPr>
            </w:pPr>
          </w:p>
          <w:p w:rsidR="0005530E" w:rsidRPr="007C66C3" w:rsidRDefault="0005530E" w:rsidP="0005530E">
            <w:pPr>
              <w:jc w:val="center"/>
              <w:rPr>
                <w:b/>
                <w:sz w:val="20"/>
                <w:szCs w:val="20"/>
              </w:rPr>
            </w:pPr>
          </w:p>
          <w:p w:rsidR="0005530E" w:rsidRPr="007C66C3" w:rsidRDefault="0005530E" w:rsidP="0005530E">
            <w:pPr>
              <w:jc w:val="center"/>
              <w:rPr>
                <w:b/>
                <w:sz w:val="20"/>
                <w:szCs w:val="20"/>
              </w:rPr>
            </w:pPr>
          </w:p>
          <w:p w:rsidR="0005530E" w:rsidRPr="007C66C3" w:rsidRDefault="0005530E" w:rsidP="0005530E">
            <w:pPr>
              <w:jc w:val="center"/>
              <w:rPr>
                <w:b/>
                <w:sz w:val="20"/>
                <w:szCs w:val="20"/>
              </w:rPr>
            </w:pPr>
          </w:p>
          <w:p w:rsidR="0005530E" w:rsidRPr="007C66C3" w:rsidRDefault="0005530E" w:rsidP="0005530E">
            <w:pPr>
              <w:jc w:val="center"/>
              <w:rPr>
                <w:b/>
                <w:sz w:val="20"/>
                <w:szCs w:val="20"/>
              </w:rPr>
            </w:pPr>
          </w:p>
          <w:p w:rsidR="0005530E" w:rsidRPr="007C66C3" w:rsidRDefault="0005530E" w:rsidP="0005530E">
            <w:pPr>
              <w:jc w:val="center"/>
              <w:rPr>
                <w:b/>
                <w:sz w:val="20"/>
                <w:szCs w:val="20"/>
              </w:rPr>
            </w:pPr>
          </w:p>
          <w:p w:rsidR="0005530E" w:rsidRPr="007C66C3" w:rsidRDefault="0005530E" w:rsidP="0005530E">
            <w:pPr>
              <w:jc w:val="center"/>
              <w:rPr>
                <w:b/>
                <w:sz w:val="20"/>
                <w:szCs w:val="20"/>
              </w:rPr>
            </w:pPr>
          </w:p>
          <w:p w:rsidR="0005530E" w:rsidRPr="007C66C3" w:rsidRDefault="0005530E" w:rsidP="0005530E">
            <w:pPr>
              <w:jc w:val="center"/>
              <w:rPr>
                <w:sz w:val="20"/>
                <w:szCs w:val="20"/>
              </w:rPr>
            </w:pPr>
            <w:r w:rsidRPr="007C66C3">
              <w:rPr>
                <w:b/>
                <w:sz w:val="20"/>
                <w:szCs w:val="20"/>
              </w:rPr>
              <w:t>Nie</w:t>
            </w:r>
          </w:p>
        </w:tc>
        <w:tc>
          <w:tcPr>
            <w:tcW w:w="3119" w:type="dxa"/>
          </w:tcPr>
          <w:p w:rsidR="0005530E" w:rsidRPr="007C66C3" w:rsidRDefault="0005530E" w:rsidP="0005530E">
            <w:pPr>
              <w:rPr>
                <w:sz w:val="20"/>
                <w:szCs w:val="20"/>
              </w:rPr>
            </w:pPr>
          </w:p>
        </w:tc>
        <w:tc>
          <w:tcPr>
            <w:tcW w:w="4265" w:type="dxa"/>
            <w:gridSpan w:val="2"/>
            <w:tcBorders>
              <w:right w:val="single" w:sz="12" w:space="0" w:color="auto"/>
            </w:tcBorders>
          </w:tcPr>
          <w:p w:rsidR="0005530E" w:rsidRPr="007C66C3" w:rsidRDefault="0005530E" w:rsidP="0005530E">
            <w:pPr>
              <w:rPr>
                <w:sz w:val="20"/>
                <w:szCs w:val="20"/>
              </w:rPr>
            </w:pPr>
            <w:r w:rsidRPr="007C66C3">
              <w:rPr>
                <w:sz w:val="20"/>
                <w:szCs w:val="20"/>
              </w:rPr>
              <w:t xml:space="preserve">Prostredníctvom </w:t>
            </w:r>
            <w:r w:rsidRPr="007C66C3">
              <w:rPr>
                <w:i/>
                <w:sz w:val="20"/>
                <w:szCs w:val="20"/>
              </w:rPr>
              <w:t>Národného programu</w:t>
            </w:r>
            <w:r w:rsidRPr="007C66C3">
              <w:rPr>
                <w:sz w:val="20"/>
                <w:szCs w:val="20"/>
              </w:rPr>
              <w:t xml:space="preserve"> je zabezpečené plnenie čl. 9 Dohovoru OSN o právach osôb so zdravotným postihnutím, kde sa téme bezbariérovosť venuje samostatná kapitola a k nej prináležiace opatrenia. Opatrenia vzťahujúce sa k tomuto článku sú zamerané predovšetkým na bezbariérovosť stavieb, dopravy a prístup k tovarom, službám a informáciám.</w:t>
            </w:r>
          </w:p>
          <w:p w:rsidR="0005530E" w:rsidRPr="007C66C3" w:rsidRDefault="0005530E" w:rsidP="0005530E">
            <w:pPr>
              <w:rPr>
                <w:sz w:val="20"/>
                <w:szCs w:val="20"/>
              </w:rPr>
            </w:pPr>
            <w:r w:rsidRPr="007C66C3">
              <w:rPr>
                <w:sz w:val="20"/>
                <w:szCs w:val="20"/>
              </w:rPr>
              <w:t>Proces monitorovania plnenia horizontálnych princípov bude na projektovej úrovni sledovaný prostredníctvom monitorovacích správ, ktorých súčasťou bude samostatný výstup obsahujúci informácie o horizontálnych princípoch (t. j. popisom vykonaných aktivít, ich výsledkov a vyhodnotením ich príspevku k dosahovaniu stanovených cieľov horizontálnych princípov), ako aj kontrolou na mieste realizácie projektov a následne hodnotením príspevku k cieľom horizontálnych princípov. Samostatný výstup obsahujúci informácie o uplatňovaní horizontálneho princípu bude podkladom pre proces hodnotenia príspevku EŠIF k plneniu cieľov identifikovaných v národnom strategickom dokumente. Odpočet plnenia dosiahnutej úrovne stanovených cieľov v národnom strategickom dokumente, vrátane návrhu nápravných opatrení a odporúčaní k ich dosiahnutiu, bude každoročne predkladaný do vlády SR. Kontrolný mechanizmus bude zabezpečovať gestor horizontálnych princípov v spolupráci s RO.</w:t>
            </w:r>
          </w:p>
        </w:tc>
      </w:tr>
      <w:tr w:rsidR="0005530E" w:rsidRPr="007C66C3" w:rsidTr="0005530E">
        <w:tblPrEx>
          <w:tblBorders>
            <w:top w:val="single" w:sz="2" w:space="0" w:color="auto"/>
            <w:left w:val="single" w:sz="2" w:space="0" w:color="auto"/>
            <w:bottom w:val="single" w:sz="2" w:space="0" w:color="auto"/>
            <w:right w:val="single" w:sz="2" w:space="0" w:color="auto"/>
          </w:tblBorders>
        </w:tblPrEx>
        <w:trPr>
          <w:trHeight w:val="164"/>
        </w:trPr>
        <w:tc>
          <w:tcPr>
            <w:tcW w:w="1799" w:type="dxa"/>
            <w:vMerge w:val="restart"/>
            <w:tcBorders>
              <w:top w:val="single" w:sz="12" w:space="0" w:color="auto"/>
              <w:left w:val="single" w:sz="12" w:space="0" w:color="auto"/>
            </w:tcBorders>
          </w:tcPr>
          <w:p w:rsidR="0005530E" w:rsidRPr="007C66C3" w:rsidRDefault="0005530E" w:rsidP="0005530E">
            <w:pPr>
              <w:jc w:val="left"/>
              <w:rPr>
                <w:sz w:val="20"/>
                <w:szCs w:val="20"/>
              </w:rPr>
            </w:pPr>
            <w:r w:rsidRPr="007C66C3">
              <w:rPr>
                <w:sz w:val="20"/>
                <w:szCs w:val="20"/>
              </w:rPr>
              <w:t>4. Verejné obstarávanie</w:t>
            </w:r>
          </w:p>
          <w:p w:rsidR="0005530E" w:rsidRPr="007C66C3" w:rsidRDefault="0005530E" w:rsidP="0005530E">
            <w:pPr>
              <w:jc w:val="left"/>
              <w:rPr>
                <w:sz w:val="20"/>
                <w:szCs w:val="20"/>
              </w:rPr>
            </w:pPr>
          </w:p>
          <w:p w:rsidR="0005530E" w:rsidRPr="007C66C3" w:rsidRDefault="0005530E" w:rsidP="0005530E">
            <w:pPr>
              <w:jc w:val="left"/>
              <w:rPr>
                <w:sz w:val="20"/>
                <w:szCs w:val="20"/>
              </w:rPr>
            </w:pPr>
            <w:r w:rsidRPr="007C66C3">
              <w:rPr>
                <w:sz w:val="20"/>
                <w:szCs w:val="20"/>
              </w:rPr>
              <w:t>Existencia pravidiel na efektívnu aplikáciu legislatívy Únie v oblasti verejného obstarávania.</w:t>
            </w:r>
          </w:p>
        </w:tc>
        <w:tc>
          <w:tcPr>
            <w:tcW w:w="1745" w:type="dxa"/>
            <w:gridSpan w:val="2"/>
            <w:vMerge w:val="restart"/>
            <w:tcBorders>
              <w:top w:val="single" w:sz="12" w:space="0" w:color="auto"/>
            </w:tcBorders>
          </w:tcPr>
          <w:p w:rsidR="0005530E" w:rsidRPr="007C66C3" w:rsidRDefault="0005530E" w:rsidP="0005530E">
            <w:pPr>
              <w:jc w:val="center"/>
              <w:rPr>
                <w:sz w:val="20"/>
                <w:szCs w:val="20"/>
              </w:rPr>
            </w:pPr>
          </w:p>
          <w:p w:rsidR="0005530E" w:rsidRPr="007C66C3" w:rsidRDefault="0005530E" w:rsidP="0005530E">
            <w:pPr>
              <w:jc w:val="center"/>
              <w:rPr>
                <w:sz w:val="20"/>
                <w:szCs w:val="20"/>
              </w:rPr>
            </w:pPr>
          </w:p>
          <w:p w:rsidR="0005530E" w:rsidRPr="007C66C3" w:rsidRDefault="0005530E" w:rsidP="0005530E">
            <w:pPr>
              <w:jc w:val="center"/>
              <w:rPr>
                <w:sz w:val="20"/>
                <w:szCs w:val="20"/>
              </w:rPr>
            </w:pPr>
          </w:p>
          <w:p w:rsidR="0005530E" w:rsidRPr="007C66C3" w:rsidRDefault="0005530E" w:rsidP="0005530E">
            <w:pPr>
              <w:jc w:val="center"/>
              <w:rPr>
                <w:sz w:val="20"/>
                <w:szCs w:val="20"/>
              </w:rPr>
            </w:pPr>
          </w:p>
          <w:p w:rsidR="0005530E" w:rsidRPr="007C66C3" w:rsidRDefault="0005530E" w:rsidP="0005530E">
            <w:pPr>
              <w:jc w:val="center"/>
              <w:rPr>
                <w:sz w:val="20"/>
                <w:szCs w:val="20"/>
              </w:rPr>
            </w:pPr>
          </w:p>
          <w:p w:rsidR="0005530E" w:rsidRPr="007C66C3" w:rsidRDefault="0005530E" w:rsidP="0005530E">
            <w:pPr>
              <w:jc w:val="center"/>
              <w:rPr>
                <w:sz w:val="20"/>
                <w:szCs w:val="20"/>
              </w:rPr>
            </w:pPr>
          </w:p>
          <w:p w:rsidR="0005530E" w:rsidRPr="007C66C3" w:rsidRDefault="0005530E" w:rsidP="0005530E">
            <w:pPr>
              <w:jc w:val="center"/>
              <w:rPr>
                <w:sz w:val="20"/>
                <w:szCs w:val="20"/>
              </w:rPr>
            </w:pPr>
          </w:p>
          <w:p w:rsidR="0005530E" w:rsidRPr="007C66C3" w:rsidRDefault="0005530E" w:rsidP="0005530E">
            <w:pPr>
              <w:jc w:val="center"/>
              <w:rPr>
                <w:sz w:val="20"/>
                <w:szCs w:val="20"/>
              </w:rPr>
            </w:pPr>
            <w:r w:rsidRPr="007C66C3">
              <w:rPr>
                <w:b/>
                <w:sz w:val="20"/>
                <w:szCs w:val="20"/>
              </w:rPr>
              <w:t>Áno</w:t>
            </w:r>
          </w:p>
        </w:tc>
        <w:tc>
          <w:tcPr>
            <w:tcW w:w="2410" w:type="dxa"/>
            <w:tcBorders>
              <w:top w:val="single" w:sz="12" w:space="0" w:color="auto"/>
            </w:tcBorders>
          </w:tcPr>
          <w:p w:rsidR="0005530E" w:rsidRPr="007C66C3" w:rsidRDefault="0005530E" w:rsidP="0005530E">
            <w:pPr>
              <w:jc w:val="left"/>
              <w:rPr>
                <w:sz w:val="20"/>
                <w:szCs w:val="20"/>
              </w:rPr>
            </w:pPr>
            <w:r w:rsidRPr="007C66C3">
              <w:rPr>
                <w:sz w:val="20"/>
                <w:szCs w:val="20"/>
              </w:rPr>
              <w:t>Opatrenia na účinné uplatňovanie pravidiel Únie o verejnom obstarávaní prostredníctvom primeraných mechanizmov.</w:t>
            </w:r>
          </w:p>
        </w:tc>
        <w:tc>
          <w:tcPr>
            <w:tcW w:w="992" w:type="dxa"/>
            <w:tcBorders>
              <w:top w:val="single" w:sz="12" w:space="0" w:color="auto"/>
            </w:tcBorders>
          </w:tcPr>
          <w:p w:rsidR="0005530E" w:rsidRPr="007C66C3" w:rsidRDefault="0005530E" w:rsidP="0005530E">
            <w:pPr>
              <w:jc w:val="center"/>
              <w:rPr>
                <w:sz w:val="20"/>
                <w:szCs w:val="20"/>
              </w:rPr>
            </w:pPr>
          </w:p>
          <w:p w:rsidR="0005530E" w:rsidRPr="007C66C3" w:rsidRDefault="0005530E" w:rsidP="0005530E">
            <w:pPr>
              <w:jc w:val="center"/>
              <w:rPr>
                <w:b/>
                <w:sz w:val="20"/>
                <w:szCs w:val="20"/>
              </w:rPr>
            </w:pPr>
            <w:r w:rsidRPr="007C66C3">
              <w:rPr>
                <w:b/>
                <w:sz w:val="20"/>
                <w:szCs w:val="20"/>
              </w:rPr>
              <w:t>Áno</w:t>
            </w:r>
          </w:p>
        </w:tc>
        <w:tc>
          <w:tcPr>
            <w:tcW w:w="3119" w:type="dxa"/>
            <w:tcBorders>
              <w:top w:val="single" w:sz="12" w:space="0" w:color="auto"/>
            </w:tcBorders>
          </w:tcPr>
          <w:p w:rsidR="0005530E" w:rsidRPr="007C66C3" w:rsidRDefault="0005530E" w:rsidP="0005530E">
            <w:pPr>
              <w:rPr>
                <w:i/>
                <w:sz w:val="20"/>
                <w:szCs w:val="20"/>
              </w:rPr>
            </w:pPr>
            <w:r w:rsidRPr="007C66C3">
              <w:rPr>
                <w:i/>
                <w:sz w:val="20"/>
                <w:szCs w:val="20"/>
              </w:rPr>
              <w:t>Zákon č. 25/2006 Z. z. o verejnom obstarávaní a o zmene a doplnení niektorých zákonov v znení neskorších predpisov</w:t>
            </w:r>
          </w:p>
          <w:p w:rsidR="0005530E" w:rsidRPr="007C66C3" w:rsidRDefault="00954688" w:rsidP="0005530E">
            <w:pPr>
              <w:rPr>
                <w:sz w:val="20"/>
                <w:szCs w:val="20"/>
              </w:rPr>
            </w:pPr>
            <w:hyperlink r:id="rId48" w:history="1">
              <w:r w:rsidR="0005530E" w:rsidRPr="007C66C3">
                <w:rPr>
                  <w:color w:val="0000FF"/>
                  <w:sz w:val="20"/>
                  <w:szCs w:val="20"/>
                  <w:u w:val="single"/>
                </w:rPr>
                <w:t>http://www.uvo.gov.sk/legislativa/-/document_library_display/74gW/view/706651?_110_INSTANCE_74gW_redirect=http%3A%2F%2Fwww.uvo.gov.sk%2Flegislativa%3Fp_p_id%3D110_INSTANCE_74gW%26p_p_lifecycle%3D0%26p_p_state%3Dnormal%26p_p_mode%3Dview%26p_p_col_id%3Dcolumn-2%26p_p_col_count%3D1</w:t>
              </w:r>
            </w:hyperlink>
            <w:r w:rsidR="0005530E" w:rsidRPr="007C66C3">
              <w:rPr>
                <w:sz w:val="20"/>
                <w:szCs w:val="20"/>
              </w:rPr>
              <w:t xml:space="preserve"> </w:t>
            </w:r>
          </w:p>
          <w:p w:rsidR="0005530E" w:rsidRPr="007C66C3" w:rsidRDefault="0005530E" w:rsidP="0005530E">
            <w:pPr>
              <w:rPr>
                <w:sz w:val="20"/>
                <w:szCs w:val="20"/>
              </w:rPr>
            </w:pPr>
          </w:p>
          <w:p w:rsidR="0005530E" w:rsidRPr="007C66C3" w:rsidRDefault="0005530E" w:rsidP="0005530E">
            <w:pPr>
              <w:rPr>
                <w:sz w:val="20"/>
                <w:szCs w:val="20"/>
              </w:rPr>
            </w:pPr>
            <w:r w:rsidRPr="007C66C3">
              <w:rPr>
                <w:sz w:val="20"/>
                <w:szCs w:val="20"/>
                <w:lang w:val="fr-FR"/>
              </w:rPr>
              <w:t xml:space="preserve">Zákon č. 95/2013 Z. z. </w:t>
            </w:r>
            <w:r w:rsidRPr="007C66C3">
              <w:rPr>
                <w:sz w:val="20"/>
                <w:szCs w:val="20"/>
              </w:rPr>
              <w:t xml:space="preserve">(novelizácia zákona č. 25/2006 Z. z.) </w:t>
            </w:r>
          </w:p>
          <w:p w:rsidR="0005530E" w:rsidRPr="007C66C3" w:rsidRDefault="00954688" w:rsidP="0005530E">
            <w:pPr>
              <w:rPr>
                <w:sz w:val="20"/>
                <w:szCs w:val="20"/>
              </w:rPr>
            </w:pPr>
            <w:hyperlink r:id="rId49" w:history="1">
              <w:r w:rsidR="0005530E" w:rsidRPr="007C66C3">
                <w:rPr>
                  <w:color w:val="0000FF"/>
                  <w:sz w:val="20"/>
                  <w:szCs w:val="20"/>
                  <w:u w:val="single"/>
                </w:rPr>
                <w:t>http://www.upsvar.sk/buxus/docs//urady/VK/vo/13-z095.pdf</w:t>
              </w:r>
            </w:hyperlink>
            <w:r w:rsidR="0005530E" w:rsidRPr="007C66C3">
              <w:rPr>
                <w:sz w:val="20"/>
                <w:szCs w:val="20"/>
              </w:rPr>
              <w:t xml:space="preserve"> </w:t>
            </w:r>
          </w:p>
        </w:tc>
        <w:tc>
          <w:tcPr>
            <w:tcW w:w="4265" w:type="dxa"/>
            <w:gridSpan w:val="2"/>
            <w:tcBorders>
              <w:top w:val="single" w:sz="12" w:space="0" w:color="auto"/>
              <w:right w:val="single" w:sz="12" w:space="0" w:color="auto"/>
            </w:tcBorders>
          </w:tcPr>
          <w:p w:rsidR="0005530E" w:rsidRPr="007C66C3" w:rsidRDefault="0005530E" w:rsidP="0005530E">
            <w:pPr>
              <w:rPr>
                <w:sz w:val="20"/>
                <w:szCs w:val="20"/>
              </w:rPr>
            </w:pPr>
            <w:r w:rsidRPr="007C66C3">
              <w:rPr>
                <w:sz w:val="20"/>
                <w:szCs w:val="20"/>
              </w:rPr>
              <w:t>V oblasti legislatívy sú v súčasnom platnom a účinnom zákone o verejnom obstarávaní transponované všetky platné smernice EÚ v oblasti verejného obstarávania (VO).</w:t>
            </w:r>
          </w:p>
          <w:p w:rsidR="0005530E" w:rsidRPr="007C66C3" w:rsidRDefault="0005530E" w:rsidP="0005530E">
            <w:pPr>
              <w:rPr>
                <w:sz w:val="20"/>
                <w:szCs w:val="20"/>
              </w:rPr>
            </w:pPr>
            <w:r w:rsidRPr="007C66C3">
              <w:rPr>
                <w:sz w:val="20"/>
                <w:szCs w:val="20"/>
              </w:rPr>
              <w:t xml:space="preserve"> V nadväznosti na novelizácie zákona o VO v roku 2013 boli alebo budú zavedené viaceré postupy a inštitúty, ktoré slúžia k posilneniu súťažného princípu a transparentnosti procesov VO a to napr. - zavedenie centrálnej evidencie referencií jednotlivých uchádzačov využívaných na preukazovanie technickej spôsobilosti; obmedzenie pre uzatváranie dodatkov zvyšujúcich cenu plnenia zmluvy;</w:t>
            </w:r>
            <w:r w:rsidR="00CC6591">
              <w:rPr>
                <w:sz w:val="20"/>
                <w:szCs w:val="20"/>
              </w:rPr>
              <w:t xml:space="preserve"> </w:t>
            </w:r>
            <w:r w:rsidRPr="007C66C3">
              <w:rPr>
                <w:sz w:val="20"/>
                <w:szCs w:val="20"/>
              </w:rPr>
              <w:t>možnosť zrušenia VO ak neboli predložené viac ako 2 ponuky; povinnosť verejného obstarávateľa zverejňovať príslušné informácie a dokumentáciu k verejnému obstarávaniu na svojom profile; zavedenie elektronického trhoviska; vznik Rady ÚVO riešiacej odvolania uchádzačov voči rozhodnutiam o námietkach vydaných ÚVO; zavedenie povinnej certifikácie zariadení a systémov e-aukcie; zavedenie možnosti ex-ante kontroly dokumentácie pred jej zverejnením verejným obstarávateľom; zavedenie registra osôb so zákazom účasti vo VO.</w:t>
            </w:r>
          </w:p>
          <w:p w:rsidR="0005530E" w:rsidRPr="007C66C3" w:rsidRDefault="0005530E" w:rsidP="0005530E">
            <w:pPr>
              <w:rPr>
                <w:sz w:val="20"/>
                <w:szCs w:val="20"/>
              </w:rPr>
            </w:pPr>
            <w:r w:rsidRPr="007C66C3">
              <w:rPr>
                <w:sz w:val="20"/>
                <w:szCs w:val="20"/>
              </w:rPr>
              <w:t>Ako všeobecné opatrenia na riešenie nedostatkov zistených pri kontrolách sú:</w:t>
            </w:r>
          </w:p>
          <w:p w:rsidR="0005530E" w:rsidRPr="00807B64" w:rsidRDefault="0005530E" w:rsidP="00CE203B">
            <w:pPr>
              <w:pStyle w:val="Odsekzoznamu"/>
              <w:numPr>
                <w:ilvl w:val="0"/>
                <w:numId w:val="391"/>
              </w:numPr>
              <w:ind w:left="317" w:hanging="283"/>
              <w:rPr>
                <w:sz w:val="20"/>
                <w:szCs w:val="20"/>
              </w:rPr>
            </w:pPr>
            <w:r w:rsidRPr="00807B64">
              <w:rPr>
                <w:sz w:val="20"/>
                <w:szCs w:val="20"/>
              </w:rPr>
              <w:t>zvýšená podpora ÚVO pre subjekty vykonávajúce kontrolu VO prostredníctvom Dohody o spolupráci (ex-ante kontrola, stanoviská, konzultácie, metodická podpora,</w:t>
            </w:r>
            <w:r w:rsidRPr="00807B64">
              <w:rPr>
                <w:sz w:val="20"/>
                <w:szCs w:val="20"/>
              </w:rPr>
              <w:lastRenderedPageBreak/>
              <w:t xml:space="preserve"> spolupráca pri riešení zistení auditov),</w:t>
            </w:r>
          </w:p>
          <w:p w:rsidR="0005530E" w:rsidRPr="00807B64" w:rsidRDefault="0005530E" w:rsidP="00CE203B">
            <w:pPr>
              <w:pStyle w:val="Odsekzoznamu"/>
              <w:numPr>
                <w:ilvl w:val="0"/>
                <w:numId w:val="391"/>
              </w:numPr>
              <w:ind w:left="317" w:hanging="283"/>
              <w:rPr>
                <w:sz w:val="20"/>
                <w:szCs w:val="20"/>
              </w:rPr>
            </w:pPr>
            <w:r w:rsidRPr="00807B64">
              <w:rPr>
                <w:sz w:val="20"/>
                <w:szCs w:val="20"/>
              </w:rPr>
              <w:t>zavedenie analýzy rizík pri výkone kontroly VO zo strany RO, ktorá identifikuje riziko zákazky z pohľadu potrebnej spolupráce s ÚVO,</w:t>
            </w:r>
          </w:p>
          <w:p w:rsidR="0005530E" w:rsidRPr="00807B64" w:rsidRDefault="0005530E" w:rsidP="00CE203B">
            <w:pPr>
              <w:pStyle w:val="Odsekzoznamu"/>
              <w:numPr>
                <w:ilvl w:val="0"/>
                <w:numId w:val="391"/>
              </w:numPr>
              <w:ind w:left="317" w:hanging="283"/>
              <w:rPr>
                <w:sz w:val="20"/>
                <w:szCs w:val="20"/>
              </w:rPr>
            </w:pPr>
            <w:r w:rsidRPr="00807B64">
              <w:rPr>
                <w:sz w:val="20"/>
                <w:szCs w:val="20"/>
              </w:rPr>
              <w:t>vypracovanie vzorových dokumentov využívaných v procese VO (napr. súťažné podklady, návrhy oznámení využívaných v procesoch VO),</w:t>
            </w:r>
          </w:p>
          <w:p w:rsidR="0005530E" w:rsidRPr="00807B64" w:rsidRDefault="0005530E" w:rsidP="00CE203B">
            <w:pPr>
              <w:pStyle w:val="Odsekzoznamu"/>
              <w:numPr>
                <w:ilvl w:val="0"/>
                <w:numId w:val="391"/>
              </w:numPr>
              <w:ind w:left="317" w:hanging="283"/>
              <w:rPr>
                <w:sz w:val="20"/>
                <w:szCs w:val="20"/>
              </w:rPr>
            </w:pPr>
            <w:r w:rsidRPr="00807B64">
              <w:rPr>
                <w:sz w:val="20"/>
                <w:szCs w:val="20"/>
              </w:rPr>
              <w:t xml:space="preserve">zavedenie povinnej ex-ante kontroly dokumentácie zo strany RO (kontrola návrhu súťažných podkladov a oznámenia o vyhlásení VO pred jej vyhlásením), </w:t>
            </w:r>
          </w:p>
          <w:p w:rsidR="0005530E" w:rsidRPr="00807B64" w:rsidRDefault="0005530E" w:rsidP="00CE203B">
            <w:pPr>
              <w:pStyle w:val="Odsekzoznamu"/>
              <w:numPr>
                <w:ilvl w:val="0"/>
                <w:numId w:val="391"/>
              </w:numPr>
              <w:ind w:left="317" w:hanging="283"/>
              <w:rPr>
                <w:sz w:val="20"/>
                <w:szCs w:val="20"/>
              </w:rPr>
            </w:pPr>
            <w:r w:rsidRPr="00807B64">
              <w:rPr>
                <w:sz w:val="20"/>
                <w:szCs w:val="20"/>
              </w:rPr>
              <w:t>zvedenie spolupráce s Protimonopolným úradom SR za účelom nastavenia opatrení na posilnenie ochrany hospodárskej súťaže.</w:t>
            </w:r>
          </w:p>
          <w:p w:rsidR="0005530E" w:rsidRPr="007C66C3" w:rsidRDefault="0005530E" w:rsidP="0005530E">
            <w:pPr>
              <w:rPr>
                <w:sz w:val="20"/>
                <w:szCs w:val="20"/>
              </w:rPr>
            </w:pPr>
          </w:p>
          <w:p w:rsidR="0005530E" w:rsidRPr="007C66C3" w:rsidRDefault="0005530E" w:rsidP="0005530E">
            <w:pPr>
              <w:rPr>
                <w:sz w:val="20"/>
                <w:szCs w:val="20"/>
              </w:rPr>
            </w:pPr>
            <w:r w:rsidRPr="007C66C3">
              <w:rPr>
                <w:sz w:val="20"/>
                <w:szCs w:val="20"/>
              </w:rPr>
              <w:t>Opatrenia na hlavné typy konkrétnych nedostatkov zistených EK sú nasledovné:</w:t>
            </w:r>
          </w:p>
          <w:p w:rsidR="0005530E" w:rsidRPr="00807B64" w:rsidRDefault="0005530E" w:rsidP="00CE203B">
            <w:pPr>
              <w:pStyle w:val="Odsekzoznamu"/>
              <w:numPr>
                <w:ilvl w:val="0"/>
                <w:numId w:val="392"/>
              </w:numPr>
              <w:ind w:left="317" w:hanging="283"/>
              <w:rPr>
                <w:sz w:val="20"/>
                <w:szCs w:val="20"/>
              </w:rPr>
            </w:pPr>
            <w:r w:rsidRPr="00807B64">
              <w:rPr>
                <w:sz w:val="20"/>
                <w:szCs w:val="20"/>
              </w:rPr>
              <w:t xml:space="preserve">Dodatky: úpravou zákona o VO je zabezpečený zákaz uzatvárania dodatkov v prípadoch, že tieto menia podstatným spôsobom predmet zákazky, alebo podmienky pôvodnej súťaže, alebo ktorými sa zvyšuje cena plnenia zákazky. </w:t>
            </w:r>
          </w:p>
          <w:p w:rsidR="0005530E" w:rsidRPr="00807B64" w:rsidRDefault="0005530E" w:rsidP="00CE203B">
            <w:pPr>
              <w:pStyle w:val="Odsekzoznamu"/>
              <w:numPr>
                <w:ilvl w:val="0"/>
                <w:numId w:val="392"/>
              </w:numPr>
              <w:ind w:left="317" w:hanging="283"/>
              <w:rPr>
                <w:sz w:val="20"/>
                <w:szCs w:val="20"/>
              </w:rPr>
            </w:pPr>
            <w:r w:rsidRPr="00807B64">
              <w:rPr>
                <w:sz w:val="20"/>
                <w:szCs w:val="20"/>
              </w:rPr>
              <w:t>Konflikt záujmov: problematika bude riešená na úrovni legislatívnej a úrovni systémovej. Na legislatívnej úrovni SR v transpozičnej lehote plne transponuje úpravu konfliktu záujmov vychádzajúcu z novej smernice EÚ k verejnému obstarávaniu. Na úrovni Systému</w:t>
            </w:r>
            <w:r w:rsidRPr="00807B64">
              <w:rPr>
                <w:sz w:val="20"/>
                <w:szCs w:val="20"/>
              </w:rPr>
              <w:lastRenderedPageBreak/>
              <w:t xml:space="preserve"> riadenia a kontroly na PO 2014 – 2020 budú zadefinované postupy výkonu administratívnej kontroly RO pre identifikovanie konfliktu záujmov a jeho ďalšie posúdenie a spracovanie. </w:t>
            </w:r>
          </w:p>
          <w:p w:rsidR="0005530E" w:rsidRPr="00807B64" w:rsidRDefault="0005530E" w:rsidP="00CE203B">
            <w:pPr>
              <w:pStyle w:val="Odsekzoznamu"/>
              <w:numPr>
                <w:ilvl w:val="0"/>
                <w:numId w:val="392"/>
              </w:numPr>
              <w:ind w:left="317" w:hanging="283"/>
              <w:rPr>
                <w:sz w:val="20"/>
                <w:szCs w:val="20"/>
              </w:rPr>
            </w:pPr>
            <w:r w:rsidRPr="00807B64">
              <w:rPr>
                <w:sz w:val="20"/>
                <w:szCs w:val="20"/>
              </w:rPr>
              <w:t xml:space="preserve">1 ponuka: Tento nedostatok bol riešený na úrovni legislatívnej a systémovej. Na úrovni legislatívnej bola novelou zákona o VO ustanovená možnosť verejného obstarávateľa zrušiť postup zadávania zákazky v prípadoch, že bude predložená len jedna alebo dve ponuky. Na úrovni systémovej bol tento nedostatok riešený úpravou systému riadenia, podľa ktorej je RO povinný pri identifikácii VO v rámci ktorého bola predložená len jedna ponuka, požiadať ÚVO o výkon kontroly celého VO. </w:t>
            </w:r>
          </w:p>
          <w:p w:rsidR="0005530E" w:rsidRPr="00807B64" w:rsidRDefault="0005530E" w:rsidP="00CE203B">
            <w:pPr>
              <w:pStyle w:val="Odsekzoznamu"/>
              <w:numPr>
                <w:ilvl w:val="0"/>
                <w:numId w:val="392"/>
              </w:numPr>
              <w:ind w:left="317" w:hanging="283"/>
              <w:rPr>
                <w:sz w:val="20"/>
                <w:szCs w:val="20"/>
              </w:rPr>
            </w:pPr>
            <w:r w:rsidRPr="00807B64">
              <w:rPr>
                <w:sz w:val="20"/>
                <w:szCs w:val="20"/>
              </w:rPr>
              <w:t>Lehota na vyžiadanie súťažných podkladov: Boli upravené elektronické formuláre na vyžiadanie súťažných podkladov tak aby bola lehota na vyžiadanie SP zhodná s lehotou na predkladanie ponúk a tiež novelou zákona o VO, bola zavedená povinnosť zverejňovania súťažných podkladov v profile verejného obstarávateľa. Zároveň všetci prijímatelia boli usmernení zo strany RO o neobmedzovaní prístupu záujemcov k súťažným podkladom určovaním lehôt na vyžiadanie súťažných podkladov.</w:t>
            </w:r>
          </w:p>
        </w:tc>
      </w:tr>
      <w:tr w:rsidR="0005530E" w:rsidRPr="007C66C3" w:rsidTr="0005530E">
        <w:tblPrEx>
          <w:tblBorders>
            <w:top w:val="single" w:sz="2" w:space="0" w:color="auto"/>
            <w:left w:val="single" w:sz="2" w:space="0" w:color="auto"/>
            <w:bottom w:val="single" w:sz="2" w:space="0" w:color="auto"/>
            <w:right w:val="single" w:sz="2" w:space="0" w:color="auto"/>
          </w:tblBorders>
        </w:tblPrEx>
        <w:trPr>
          <w:trHeight w:val="164"/>
        </w:trPr>
        <w:tc>
          <w:tcPr>
            <w:tcW w:w="1799" w:type="dxa"/>
            <w:vMerge/>
            <w:tcBorders>
              <w:left w:val="single" w:sz="12" w:space="0" w:color="auto"/>
            </w:tcBorders>
          </w:tcPr>
          <w:p w:rsidR="0005530E" w:rsidRPr="007C66C3" w:rsidRDefault="0005530E" w:rsidP="0005530E">
            <w:pPr>
              <w:rPr>
                <w:sz w:val="20"/>
                <w:szCs w:val="20"/>
              </w:rPr>
            </w:pPr>
          </w:p>
        </w:tc>
        <w:tc>
          <w:tcPr>
            <w:tcW w:w="1745" w:type="dxa"/>
            <w:gridSpan w:val="2"/>
            <w:vMerge/>
          </w:tcPr>
          <w:p w:rsidR="0005530E" w:rsidRPr="007C66C3" w:rsidRDefault="0005530E" w:rsidP="0005530E">
            <w:pPr>
              <w:rPr>
                <w:sz w:val="20"/>
                <w:szCs w:val="20"/>
              </w:rPr>
            </w:pPr>
          </w:p>
        </w:tc>
        <w:tc>
          <w:tcPr>
            <w:tcW w:w="2410" w:type="dxa"/>
          </w:tcPr>
          <w:p w:rsidR="0005530E" w:rsidRPr="007C66C3" w:rsidRDefault="0005530E" w:rsidP="0005530E">
            <w:pPr>
              <w:jc w:val="left"/>
              <w:rPr>
                <w:sz w:val="20"/>
                <w:szCs w:val="20"/>
              </w:rPr>
            </w:pPr>
            <w:r w:rsidRPr="007C66C3">
              <w:rPr>
                <w:sz w:val="20"/>
                <w:szCs w:val="20"/>
              </w:rPr>
              <w:t>Opatrenia, ktorými sa zabezpečia transparentné</w:t>
            </w:r>
            <w:r w:rsidRPr="007C66C3">
              <w:rPr>
                <w:sz w:val="20"/>
                <w:szCs w:val="20"/>
              </w:rPr>
              <w:lastRenderedPageBreak/>
              <w:t xml:space="preserve"> postupy prideľovania zákaziek.</w:t>
            </w:r>
          </w:p>
        </w:tc>
        <w:tc>
          <w:tcPr>
            <w:tcW w:w="992" w:type="dxa"/>
          </w:tcPr>
          <w:p w:rsidR="0005530E" w:rsidRPr="007C66C3" w:rsidRDefault="0005530E" w:rsidP="0005530E">
            <w:pPr>
              <w:jc w:val="center"/>
              <w:rPr>
                <w:sz w:val="20"/>
                <w:szCs w:val="20"/>
              </w:rPr>
            </w:pPr>
          </w:p>
          <w:p w:rsidR="0005530E" w:rsidRPr="007C66C3" w:rsidRDefault="0005530E" w:rsidP="0005530E">
            <w:pPr>
              <w:jc w:val="center"/>
              <w:rPr>
                <w:b/>
                <w:sz w:val="20"/>
                <w:szCs w:val="20"/>
              </w:rPr>
            </w:pPr>
            <w:r w:rsidRPr="007C66C3">
              <w:rPr>
                <w:b/>
                <w:sz w:val="20"/>
                <w:szCs w:val="20"/>
              </w:rPr>
              <w:t>Áno</w:t>
            </w:r>
          </w:p>
        </w:tc>
        <w:tc>
          <w:tcPr>
            <w:tcW w:w="3119" w:type="dxa"/>
          </w:tcPr>
          <w:p w:rsidR="0005530E" w:rsidRPr="007C66C3" w:rsidRDefault="0005530E" w:rsidP="0005530E">
            <w:pPr>
              <w:rPr>
                <w:sz w:val="20"/>
                <w:szCs w:val="20"/>
              </w:rPr>
            </w:pPr>
          </w:p>
        </w:tc>
        <w:tc>
          <w:tcPr>
            <w:tcW w:w="4265" w:type="dxa"/>
            <w:gridSpan w:val="2"/>
            <w:tcBorders>
              <w:right w:val="single" w:sz="12" w:space="0" w:color="auto"/>
            </w:tcBorders>
          </w:tcPr>
          <w:p w:rsidR="0005530E" w:rsidRPr="007C66C3" w:rsidRDefault="0005530E" w:rsidP="0005530E">
            <w:pPr>
              <w:rPr>
                <w:sz w:val="20"/>
                <w:szCs w:val="20"/>
              </w:rPr>
            </w:pPr>
            <w:r w:rsidRPr="007C66C3">
              <w:rPr>
                <w:sz w:val="20"/>
                <w:szCs w:val="20"/>
              </w:rPr>
              <w:t>Oblasť zadávania zákaziek nepodliehajúcich príslušným smerniciam EÚ v oblasti VO</w:t>
            </w:r>
            <w:r w:rsidRPr="007C66C3">
              <w:rPr>
                <w:sz w:val="20"/>
                <w:szCs w:val="20"/>
              </w:rPr>
              <w:lastRenderedPageBreak/>
              <w:t xml:space="preserve"> (podlimitné zákazky) je v SR legislatívne pokrytá samotným zákonom o VO. Takto je zabezpečená povinnosť postupu podľa tohto zákona pri obstarávaní prác, tovarov a služieb pre verejných obstarávateľov, obstarávateľov aj osôb, ktoré sú prijímateľmi nenávratného finančného príspevku. Postupy pre takéto zákazky vychádzajú zo základných princípov verejného obstarávania uvádzaných v predmetných smerniciach EÚ, preto zabezpečujú transparentné postupy verejného obstarávania aj pre zákazky, ktoré nespadajú pod smernice EÚ v oblasti verejného obstarávania.</w:t>
            </w:r>
          </w:p>
        </w:tc>
      </w:tr>
      <w:tr w:rsidR="0005530E" w:rsidRPr="007C66C3" w:rsidTr="0005530E">
        <w:tblPrEx>
          <w:tblBorders>
            <w:top w:val="single" w:sz="2" w:space="0" w:color="auto"/>
            <w:left w:val="single" w:sz="2" w:space="0" w:color="auto"/>
            <w:bottom w:val="single" w:sz="2" w:space="0" w:color="auto"/>
            <w:right w:val="single" w:sz="2" w:space="0" w:color="auto"/>
          </w:tblBorders>
        </w:tblPrEx>
        <w:trPr>
          <w:trHeight w:val="164"/>
        </w:trPr>
        <w:tc>
          <w:tcPr>
            <w:tcW w:w="1799" w:type="dxa"/>
            <w:vMerge/>
            <w:tcBorders>
              <w:left w:val="single" w:sz="12" w:space="0" w:color="auto"/>
            </w:tcBorders>
          </w:tcPr>
          <w:p w:rsidR="0005530E" w:rsidRPr="007C66C3" w:rsidRDefault="0005530E" w:rsidP="0005530E">
            <w:pPr>
              <w:rPr>
                <w:sz w:val="20"/>
                <w:szCs w:val="20"/>
              </w:rPr>
            </w:pPr>
          </w:p>
        </w:tc>
        <w:tc>
          <w:tcPr>
            <w:tcW w:w="1745" w:type="dxa"/>
            <w:gridSpan w:val="2"/>
            <w:vMerge/>
          </w:tcPr>
          <w:p w:rsidR="0005530E" w:rsidRPr="007C66C3" w:rsidRDefault="0005530E" w:rsidP="0005530E">
            <w:pPr>
              <w:rPr>
                <w:sz w:val="20"/>
                <w:szCs w:val="20"/>
              </w:rPr>
            </w:pPr>
          </w:p>
        </w:tc>
        <w:tc>
          <w:tcPr>
            <w:tcW w:w="2410" w:type="dxa"/>
          </w:tcPr>
          <w:p w:rsidR="0005530E" w:rsidRPr="007C66C3" w:rsidRDefault="0005530E" w:rsidP="0005530E">
            <w:pPr>
              <w:jc w:val="left"/>
              <w:rPr>
                <w:sz w:val="20"/>
                <w:szCs w:val="20"/>
              </w:rPr>
            </w:pPr>
            <w:r w:rsidRPr="007C66C3">
              <w:rPr>
                <w:sz w:val="20"/>
                <w:szCs w:val="20"/>
              </w:rPr>
              <w:t>Opatrenia na zabezpečenie odbornej prípravy a informovanie zamestnancov zapojených do vykonávania EŠIF.</w:t>
            </w:r>
          </w:p>
        </w:tc>
        <w:tc>
          <w:tcPr>
            <w:tcW w:w="992" w:type="dxa"/>
          </w:tcPr>
          <w:p w:rsidR="0005530E" w:rsidRPr="007C66C3" w:rsidRDefault="0005530E" w:rsidP="0005530E">
            <w:pPr>
              <w:jc w:val="center"/>
              <w:rPr>
                <w:sz w:val="20"/>
                <w:szCs w:val="20"/>
              </w:rPr>
            </w:pPr>
          </w:p>
          <w:p w:rsidR="0005530E" w:rsidRPr="007C66C3" w:rsidRDefault="0005530E" w:rsidP="0005530E">
            <w:pPr>
              <w:jc w:val="center"/>
              <w:rPr>
                <w:sz w:val="20"/>
                <w:szCs w:val="20"/>
              </w:rPr>
            </w:pPr>
            <w:r w:rsidRPr="007C66C3">
              <w:rPr>
                <w:b/>
                <w:sz w:val="20"/>
                <w:szCs w:val="20"/>
              </w:rPr>
              <w:t>Áno</w:t>
            </w:r>
          </w:p>
        </w:tc>
        <w:tc>
          <w:tcPr>
            <w:tcW w:w="3119" w:type="dxa"/>
          </w:tcPr>
          <w:p w:rsidR="0005530E" w:rsidRPr="007C66C3" w:rsidRDefault="0005530E" w:rsidP="0005530E">
            <w:pPr>
              <w:rPr>
                <w:sz w:val="20"/>
                <w:szCs w:val="20"/>
              </w:rPr>
            </w:pPr>
          </w:p>
          <w:p w:rsidR="0005530E" w:rsidRPr="007C66C3" w:rsidRDefault="0005530E" w:rsidP="0005530E">
            <w:pPr>
              <w:rPr>
                <w:sz w:val="20"/>
                <w:szCs w:val="20"/>
              </w:rPr>
            </w:pPr>
          </w:p>
          <w:p w:rsidR="0005530E" w:rsidRPr="007C66C3" w:rsidRDefault="0005530E" w:rsidP="0005530E">
            <w:pPr>
              <w:rPr>
                <w:sz w:val="20"/>
                <w:szCs w:val="20"/>
              </w:rPr>
            </w:pPr>
          </w:p>
          <w:p w:rsidR="0005530E" w:rsidRPr="007C66C3" w:rsidRDefault="0005530E" w:rsidP="0005530E">
            <w:pPr>
              <w:rPr>
                <w:sz w:val="20"/>
                <w:szCs w:val="20"/>
              </w:rPr>
            </w:pPr>
          </w:p>
          <w:p w:rsidR="0005530E" w:rsidRPr="007C66C3" w:rsidRDefault="0005530E" w:rsidP="0005530E">
            <w:pPr>
              <w:rPr>
                <w:sz w:val="20"/>
                <w:szCs w:val="20"/>
              </w:rPr>
            </w:pPr>
          </w:p>
          <w:p w:rsidR="0005530E" w:rsidRPr="007C66C3" w:rsidRDefault="0005530E" w:rsidP="0005530E">
            <w:pPr>
              <w:rPr>
                <w:sz w:val="20"/>
                <w:szCs w:val="20"/>
              </w:rPr>
            </w:pPr>
          </w:p>
          <w:p w:rsidR="0005530E" w:rsidRPr="007C66C3" w:rsidRDefault="0005530E" w:rsidP="0005530E">
            <w:pPr>
              <w:rPr>
                <w:sz w:val="20"/>
                <w:szCs w:val="20"/>
              </w:rPr>
            </w:pPr>
          </w:p>
          <w:p w:rsidR="0005530E" w:rsidRPr="007C66C3" w:rsidRDefault="0005530E" w:rsidP="0005530E">
            <w:pPr>
              <w:rPr>
                <w:sz w:val="20"/>
                <w:szCs w:val="20"/>
              </w:rPr>
            </w:pPr>
          </w:p>
          <w:p w:rsidR="0005530E" w:rsidRPr="007C66C3" w:rsidRDefault="0005530E" w:rsidP="0005530E">
            <w:pPr>
              <w:rPr>
                <w:sz w:val="20"/>
                <w:szCs w:val="20"/>
              </w:rPr>
            </w:pPr>
          </w:p>
          <w:p w:rsidR="0005530E" w:rsidRPr="007C66C3" w:rsidRDefault="0005530E" w:rsidP="0005530E">
            <w:pPr>
              <w:rPr>
                <w:sz w:val="20"/>
                <w:szCs w:val="20"/>
              </w:rPr>
            </w:pPr>
          </w:p>
          <w:p w:rsidR="0005530E" w:rsidRPr="007C66C3" w:rsidRDefault="0005530E" w:rsidP="0005530E">
            <w:pPr>
              <w:rPr>
                <w:sz w:val="20"/>
                <w:szCs w:val="20"/>
              </w:rPr>
            </w:pPr>
          </w:p>
          <w:p w:rsidR="0005530E" w:rsidRPr="007C66C3" w:rsidRDefault="0005530E" w:rsidP="0005530E">
            <w:pPr>
              <w:rPr>
                <w:sz w:val="20"/>
                <w:szCs w:val="20"/>
              </w:rPr>
            </w:pPr>
          </w:p>
          <w:p w:rsidR="0005530E" w:rsidRPr="007C66C3" w:rsidRDefault="0005530E" w:rsidP="0005530E">
            <w:pPr>
              <w:rPr>
                <w:sz w:val="20"/>
                <w:szCs w:val="20"/>
              </w:rPr>
            </w:pPr>
          </w:p>
          <w:p w:rsidR="0005530E" w:rsidRPr="007C66C3" w:rsidRDefault="00954688" w:rsidP="0005530E">
            <w:pPr>
              <w:rPr>
                <w:sz w:val="20"/>
                <w:szCs w:val="20"/>
              </w:rPr>
            </w:pPr>
            <w:hyperlink r:id="rId50" w:history="1">
              <w:r w:rsidR="0005530E" w:rsidRPr="007C66C3">
                <w:rPr>
                  <w:color w:val="0000FF"/>
                  <w:sz w:val="20"/>
                  <w:szCs w:val="20"/>
                  <w:u w:val="single"/>
                </w:rPr>
                <w:t>http://www.rokovania.sk/Rokovanie.aspx/BodRokovaniaDetail?idMaterial=21941</w:t>
              </w:r>
            </w:hyperlink>
          </w:p>
          <w:p w:rsidR="0005530E" w:rsidRPr="007C66C3" w:rsidRDefault="0005530E" w:rsidP="0005530E">
            <w:pPr>
              <w:rPr>
                <w:sz w:val="20"/>
                <w:szCs w:val="20"/>
              </w:rPr>
            </w:pPr>
          </w:p>
          <w:p w:rsidR="0005530E" w:rsidRPr="007C66C3" w:rsidRDefault="0005530E" w:rsidP="0005530E">
            <w:pPr>
              <w:autoSpaceDE w:val="0"/>
              <w:autoSpaceDN w:val="0"/>
              <w:adjustRightInd w:val="0"/>
              <w:rPr>
                <w:sz w:val="20"/>
                <w:szCs w:val="20"/>
              </w:rPr>
            </w:pPr>
            <w:r w:rsidRPr="007C66C3">
              <w:rPr>
                <w:sz w:val="20"/>
                <w:szCs w:val="20"/>
              </w:rPr>
              <w:t>(napr.</w:t>
            </w:r>
            <w:r w:rsidRPr="007C66C3">
              <w:rPr>
                <w:sz w:val="20"/>
                <w:szCs w:val="20"/>
              </w:rPr>
              <w:lastRenderedPageBreak/>
              <w:t xml:space="preserve"> </w:t>
            </w:r>
            <w:hyperlink r:id="rId51" w:history="1">
              <w:r w:rsidRPr="007C66C3">
                <w:rPr>
                  <w:color w:val="0000FF"/>
                  <w:sz w:val="20"/>
                  <w:szCs w:val="20"/>
                  <w:u w:val="single"/>
                </w:rPr>
                <w:t>http://www.opzp.sk/dokumenty/projektove-dokumenty/rozhodnutia-uvo-sr-v-procesoch-vo-v-ramci-projketov-op-zp-v-programovom-obdobi-2007-2013/</w:t>
              </w:r>
            </w:hyperlink>
            <w:r w:rsidRPr="007C66C3">
              <w:rPr>
                <w:sz w:val="20"/>
                <w:szCs w:val="20"/>
              </w:rPr>
              <w:t>) alebo (</w:t>
            </w:r>
            <w:hyperlink r:id="rId52" w:history="1">
              <w:r w:rsidRPr="007C66C3">
                <w:rPr>
                  <w:color w:val="0000FF"/>
                  <w:sz w:val="20"/>
                  <w:szCs w:val="20"/>
                  <w:u w:val="single"/>
                </w:rPr>
                <w:t>http://www.ropka.sk/sk/verejne-obstaravania/</w:t>
              </w:r>
            </w:hyperlink>
            <w:r w:rsidRPr="007C66C3">
              <w:rPr>
                <w:sz w:val="20"/>
                <w:szCs w:val="20"/>
              </w:rPr>
              <w:t>)</w:t>
            </w:r>
          </w:p>
          <w:p w:rsidR="0005530E" w:rsidRPr="007C66C3" w:rsidRDefault="0005530E" w:rsidP="0005530E">
            <w:pPr>
              <w:rPr>
                <w:sz w:val="20"/>
                <w:szCs w:val="20"/>
              </w:rPr>
            </w:pPr>
          </w:p>
          <w:p w:rsidR="0005530E" w:rsidRPr="007C66C3" w:rsidRDefault="00954688" w:rsidP="0005530E">
            <w:pPr>
              <w:rPr>
                <w:sz w:val="20"/>
                <w:szCs w:val="20"/>
              </w:rPr>
            </w:pPr>
            <w:hyperlink r:id="rId53" w:history="1">
              <w:r w:rsidR="0005530E" w:rsidRPr="007C66C3">
                <w:rPr>
                  <w:color w:val="0000FF"/>
                  <w:sz w:val="20"/>
                  <w:szCs w:val="20"/>
                  <w:u w:val="single"/>
                </w:rPr>
                <w:t>http://www.uvo.gov.sk/najcastejsie-nedostatky-stene-uvo</w:t>
              </w:r>
            </w:hyperlink>
          </w:p>
        </w:tc>
        <w:tc>
          <w:tcPr>
            <w:tcW w:w="4265" w:type="dxa"/>
            <w:gridSpan w:val="2"/>
            <w:tcBorders>
              <w:right w:val="single" w:sz="12" w:space="0" w:color="auto"/>
            </w:tcBorders>
          </w:tcPr>
          <w:p w:rsidR="0005530E" w:rsidRPr="007C66C3" w:rsidRDefault="0005530E" w:rsidP="0005530E">
            <w:pPr>
              <w:autoSpaceDE w:val="0"/>
              <w:autoSpaceDN w:val="0"/>
              <w:adjustRightInd w:val="0"/>
              <w:rPr>
                <w:sz w:val="20"/>
                <w:szCs w:val="20"/>
              </w:rPr>
            </w:pPr>
            <w:r w:rsidRPr="007C66C3">
              <w:rPr>
                <w:sz w:val="20"/>
                <w:szCs w:val="20"/>
              </w:rPr>
              <w:t xml:space="preserve">CKO už v súčasnosti zabezpečuje školenia pre RO/SORO týkajúce sa postupov administratívnej kontroly VO v rámci systému riadenia, prezentovanie najčastejších nedostatkov identifikovaných pri kontrolách VO, výklad k metodike CKO týkajúcej sa VO. Za rok 2013 bolo takto vyškolených 179 zamestnancov. V roku 2014 CKO rovnako plánuje organizovať a zabezpečovať školenia tohto zamerania. </w:t>
            </w:r>
          </w:p>
          <w:p w:rsidR="0005530E" w:rsidRPr="007C66C3" w:rsidRDefault="0005530E" w:rsidP="0005530E">
            <w:pPr>
              <w:autoSpaceDE w:val="0"/>
              <w:autoSpaceDN w:val="0"/>
              <w:adjustRightInd w:val="0"/>
              <w:rPr>
                <w:sz w:val="20"/>
                <w:szCs w:val="20"/>
              </w:rPr>
            </w:pPr>
            <w:r w:rsidRPr="007C66C3">
              <w:rPr>
                <w:sz w:val="20"/>
                <w:szCs w:val="20"/>
              </w:rPr>
              <w:t>V novom Systéme riadenia a kontroly EŠIF, resp. v inom záväznom dokumente bude zadefinovaný všeobecný systém vzdelávania zamestnancov, pričom v rámci neho bude určená povinnosť RO zabezpečiť pre všetkých zamestnancov zúčastnených na implementácii fondov pravidelnú odbornú prípravu a školenia, pričom títo zamestnanci budú povinní sa tohto vzdelávania zúčastniť. RO bude zasielať CKO</w:t>
            </w:r>
            <w:r w:rsidRPr="007C66C3">
              <w:rPr>
                <w:sz w:val="20"/>
                <w:szCs w:val="20"/>
              </w:rPr>
              <w:lastRenderedPageBreak/>
              <w:t xml:space="preserve"> zoznam zamestnancov vykonávajúcich kontrolu VO, ktorí budú pravidelne školení. Uvedená odborná príprava sa týka školení CKO, školení ÚVO resp. iných subjektov realizujúcich školenia v oblasti zákona o VO a tiež školení organizovaných Protimonopolným úradom SR vo veci ochrany hospodárskej súťaže.</w:t>
            </w:r>
          </w:p>
          <w:p w:rsidR="0005530E" w:rsidRPr="007C66C3" w:rsidRDefault="0005530E" w:rsidP="0005530E">
            <w:pPr>
              <w:autoSpaceDE w:val="0"/>
              <w:autoSpaceDN w:val="0"/>
              <w:adjustRightInd w:val="0"/>
              <w:rPr>
                <w:sz w:val="20"/>
                <w:szCs w:val="20"/>
              </w:rPr>
            </w:pPr>
            <w:r w:rsidRPr="007C66C3">
              <w:rPr>
                <w:sz w:val="20"/>
                <w:szCs w:val="20"/>
              </w:rPr>
              <w:t>V zmysle uznesenia vlády SR č. 21/2013 ÚVO v spolupráci s každým riadiacim orgánom v periodicite pol roka vypracováva a zverejňuje správu o výsledkoch kontrol a auditov v oblasti VO.</w:t>
            </w:r>
          </w:p>
          <w:p w:rsidR="0005530E" w:rsidRPr="007C66C3" w:rsidRDefault="0005530E" w:rsidP="0005530E">
            <w:pPr>
              <w:autoSpaceDE w:val="0"/>
              <w:autoSpaceDN w:val="0"/>
              <w:adjustRightInd w:val="0"/>
              <w:rPr>
                <w:sz w:val="20"/>
                <w:szCs w:val="20"/>
              </w:rPr>
            </w:pPr>
            <w:r w:rsidRPr="007C66C3">
              <w:rPr>
                <w:sz w:val="20"/>
                <w:szCs w:val="20"/>
              </w:rPr>
              <w:t>Riadiace orgány zverejňujú na svojich stránkach najčastejšie porušenia pravidiel VO.</w:t>
            </w:r>
          </w:p>
          <w:p w:rsidR="0005530E" w:rsidRPr="007C66C3" w:rsidRDefault="0005530E" w:rsidP="0005530E">
            <w:pPr>
              <w:autoSpaceDE w:val="0"/>
              <w:autoSpaceDN w:val="0"/>
              <w:adjustRightInd w:val="0"/>
              <w:rPr>
                <w:sz w:val="20"/>
                <w:szCs w:val="20"/>
              </w:rPr>
            </w:pPr>
            <w:r w:rsidRPr="007C66C3">
              <w:rPr>
                <w:sz w:val="20"/>
                <w:szCs w:val="20"/>
              </w:rPr>
              <w:t>ÚVO zverejňuje na svojej stránke najčastejšie pochybenia vo VO.</w:t>
            </w:r>
          </w:p>
          <w:p w:rsidR="0005530E" w:rsidRPr="007C66C3" w:rsidRDefault="0005530E" w:rsidP="0005530E">
            <w:pPr>
              <w:autoSpaceDE w:val="0"/>
              <w:autoSpaceDN w:val="0"/>
              <w:adjustRightInd w:val="0"/>
              <w:rPr>
                <w:sz w:val="20"/>
                <w:szCs w:val="20"/>
              </w:rPr>
            </w:pPr>
            <w:r w:rsidRPr="007C66C3">
              <w:rPr>
                <w:sz w:val="20"/>
                <w:szCs w:val="20"/>
              </w:rPr>
              <w:t>Tieto formy zverejňovania šírenia informácií o nedostatkoch zistených pri kontrole VO budú využívané aj v programovom období 2014 - 2020.</w:t>
            </w:r>
          </w:p>
          <w:p w:rsidR="0005530E" w:rsidRPr="007C66C3" w:rsidRDefault="0005530E" w:rsidP="0005530E">
            <w:pPr>
              <w:autoSpaceDE w:val="0"/>
              <w:autoSpaceDN w:val="0"/>
              <w:adjustRightInd w:val="0"/>
              <w:rPr>
                <w:sz w:val="20"/>
                <w:szCs w:val="20"/>
              </w:rPr>
            </w:pPr>
            <w:r w:rsidRPr="007C66C3">
              <w:rPr>
                <w:sz w:val="20"/>
                <w:szCs w:val="20"/>
              </w:rPr>
              <w:t xml:space="preserve"> Zároveň CKO pravidelne organizuje a bude organizovať a zabezpečovať školenia zamerané na oboznámenie zástupcov RO, SORO, CO a OA s identifikovanými nedostatkami pri verejnom obstarávaní (viď predošlé kritérium).</w:t>
            </w:r>
          </w:p>
          <w:p w:rsidR="0005530E" w:rsidRPr="007C66C3" w:rsidRDefault="0005530E" w:rsidP="0005530E">
            <w:pPr>
              <w:rPr>
                <w:sz w:val="20"/>
                <w:szCs w:val="20"/>
              </w:rPr>
            </w:pPr>
            <w:r w:rsidRPr="007C66C3">
              <w:rPr>
                <w:sz w:val="20"/>
                <w:szCs w:val="20"/>
              </w:rPr>
              <w:t>Navrhuje sa tiež v gescii CKO zriadenie Koordinačného výboru pre spoluprácu pri VO. Zloženie tohto výboru bude pozostávať najmä z CKO, ÚVO, CO, OA, RO čím sa zabezpečí spoločný postup v rámci aplikácie pravidiel VO (jeho úlohou bude okrem prípravy jednotnej metodiky v rámci posudzovania VO aj vydávanie</w:t>
            </w:r>
            <w:r w:rsidRPr="007C66C3">
              <w:rPr>
                <w:sz w:val="20"/>
                <w:szCs w:val="20"/>
              </w:rPr>
              <w:lastRenderedPageBreak/>
              <w:t xml:space="preserve"> metodických  výkladov, pokynov a usmernení „šitých“ pre potreby implementácie fondov EÚ). Jednoznačnou výhodou zriadenia tohto orgánu bude okamžité identifikovanie prípadných závažných pochybení (systémových nezrovnalostí) v postupoch RO pri kontrole VO a efektívna možnosť prijatia adekvátnych nápravných opatrení na ich odstránenie.</w:t>
            </w:r>
          </w:p>
        </w:tc>
      </w:tr>
      <w:tr w:rsidR="0005530E" w:rsidRPr="007C66C3" w:rsidTr="0005530E">
        <w:tblPrEx>
          <w:tblBorders>
            <w:top w:val="single" w:sz="2" w:space="0" w:color="auto"/>
            <w:left w:val="single" w:sz="2" w:space="0" w:color="auto"/>
            <w:bottom w:val="single" w:sz="2" w:space="0" w:color="auto"/>
            <w:right w:val="single" w:sz="2" w:space="0" w:color="auto"/>
          </w:tblBorders>
        </w:tblPrEx>
        <w:trPr>
          <w:trHeight w:val="164"/>
        </w:trPr>
        <w:tc>
          <w:tcPr>
            <w:tcW w:w="1799" w:type="dxa"/>
            <w:vMerge/>
            <w:tcBorders>
              <w:left w:val="single" w:sz="12" w:space="0" w:color="auto"/>
              <w:bottom w:val="single" w:sz="12" w:space="0" w:color="auto"/>
            </w:tcBorders>
          </w:tcPr>
          <w:p w:rsidR="0005530E" w:rsidRPr="007C66C3" w:rsidRDefault="0005530E" w:rsidP="0005530E">
            <w:pPr>
              <w:rPr>
                <w:sz w:val="20"/>
                <w:szCs w:val="20"/>
              </w:rPr>
            </w:pPr>
          </w:p>
        </w:tc>
        <w:tc>
          <w:tcPr>
            <w:tcW w:w="1745" w:type="dxa"/>
            <w:gridSpan w:val="2"/>
            <w:vMerge/>
            <w:tcBorders>
              <w:bottom w:val="single" w:sz="12" w:space="0" w:color="auto"/>
            </w:tcBorders>
          </w:tcPr>
          <w:p w:rsidR="0005530E" w:rsidRPr="007C66C3" w:rsidRDefault="0005530E" w:rsidP="0005530E">
            <w:pPr>
              <w:rPr>
                <w:sz w:val="20"/>
                <w:szCs w:val="20"/>
              </w:rPr>
            </w:pPr>
          </w:p>
        </w:tc>
        <w:tc>
          <w:tcPr>
            <w:tcW w:w="2410" w:type="dxa"/>
            <w:tcBorders>
              <w:bottom w:val="single" w:sz="12" w:space="0" w:color="auto"/>
            </w:tcBorders>
          </w:tcPr>
          <w:p w:rsidR="0005530E" w:rsidRPr="007C66C3" w:rsidRDefault="0005530E" w:rsidP="0005530E">
            <w:pPr>
              <w:jc w:val="left"/>
              <w:rPr>
                <w:sz w:val="20"/>
                <w:szCs w:val="20"/>
              </w:rPr>
            </w:pPr>
            <w:r w:rsidRPr="007C66C3">
              <w:rPr>
                <w:sz w:val="20"/>
                <w:szCs w:val="20"/>
              </w:rPr>
              <w:t>Opatrenia na zabezpečenie administratívnej kapacity na vykonávanie a uplatňovanie pravidiel Únie o verejnom obstarávaní.</w:t>
            </w:r>
          </w:p>
        </w:tc>
        <w:tc>
          <w:tcPr>
            <w:tcW w:w="992" w:type="dxa"/>
            <w:tcBorders>
              <w:bottom w:val="single" w:sz="12" w:space="0" w:color="auto"/>
            </w:tcBorders>
          </w:tcPr>
          <w:p w:rsidR="0005530E" w:rsidRPr="007C66C3" w:rsidRDefault="0005530E" w:rsidP="0005530E">
            <w:pPr>
              <w:jc w:val="center"/>
              <w:rPr>
                <w:sz w:val="20"/>
                <w:szCs w:val="20"/>
              </w:rPr>
            </w:pPr>
          </w:p>
          <w:p w:rsidR="0005530E" w:rsidRPr="007C66C3" w:rsidRDefault="0005530E" w:rsidP="0005530E">
            <w:pPr>
              <w:jc w:val="center"/>
              <w:rPr>
                <w:sz w:val="20"/>
                <w:szCs w:val="20"/>
              </w:rPr>
            </w:pPr>
            <w:r w:rsidRPr="007C66C3">
              <w:rPr>
                <w:b/>
                <w:sz w:val="20"/>
                <w:szCs w:val="20"/>
              </w:rPr>
              <w:t>Áno</w:t>
            </w:r>
          </w:p>
        </w:tc>
        <w:tc>
          <w:tcPr>
            <w:tcW w:w="3119" w:type="dxa"/>
            <w:tcBorders>
              <w:bottom w:val="single" w:sz="12" w:space="0" w:color="auto"/>
            </w:tcBorders>
          </w:tcPr>
          <w:p w:rsidR="0005530E" w:rsidRPr="007C66C3" w:rsidRDefault="0005530E" w:rsidP="0005530E">
            <w:pPr>
              <w:rPr>
                <w:i/>
                <w:sz w:val="20"/>
                <w:szCs w:val="20"/>
              </w:rPr>
            </w:pPr>
            <w:r w:rsidRPr="007C66C3">
              <w:rPr>
                <w:i/>
                <w:sz w:val="20"/>
                <w:szCs w:val="20"/>
              </w:rPr>
              <w:t>Úrad pre verejné obstarávanie</w:t>
            </w:r>
          </w:p>
          <w:p w:rsidR="0005530E" w:rsidRPr="007C66C3" w:rsidRDefault="00954688" w:rsidP="0005530E">
            <w:pPr>
              <w:rPr>
                <w:sz w:val="20"/>
                <w:szCs w:val="20"/>
              </w:rPr>
            </w:pPr>
            <w:hyperlink r:id="rId54" w:history="1">
              <w:r w:rsidR="0005530E" w:rsidRPr="007C66C3">
                <w:rPr>
                  <w:color w:val="0000FF"/>
                  <w:sz w:val="20"/>
                  <w:szCs w:val="20"/>
                  <w:u w:val="single"/>
                </w:rPr>
                <w:t>http://www.uvo.gov.sk/domov</w:t>
              </w:r>
            </w:hyperlink>
          </w:p>
          <w:p w:rsidR="0005530E" w:rsidRPr="007C66C3" w:rsidRDefault="0005530E" w:rsidP="0005530E">
            <w:pPr>
              <w:rPr>
                <w:sz w:val="20"/>
                <w:szCs w:val="20"/>
              </w:rPr>
            </w:pPr>
          </w:p>
          <w:p w:rsidR="0005530E" w:rsidRPr="007C66C3" w:rsidRDefault="0005530E" w:rsidP="0005530E">
            <w:pPr>
              <w:rPr>
                <w:sz w:val="20"/>
                <w:szCs w:val="20"/>
              </w:rPr>
            </w:pPr>
          </w:p>
          <w:p w:rsidR="0005530E" w:rsidRPr="007C66C3" w:rsidRDefault="0005530E" w:rsidP="0005530E">
            <w:pPr>
              <w:rPr>
                <w:sz w:val="20"/>
                <w:szCs w:val="20"/>
              </w:rPr>
            </w:pPr>
          </w:p>
          <w:p w:rsidR="0005530E" w:rsidRPr="007C66C3" w:rsidRDefault="0005530E" w:rsidP="0005530E">
            <w:pPr>
              <w:rPr>
                <w:sz w:val="20"/>
                <w:szCs w:val="20"/>
              </w:rPr>
            </w:pPr>
          </w:p>
          <w:p w:rsidR="0005530E" w:rsidRPr="007C66C3" w:rsidRDefault="0005530E" w:rsidP="0005530E">
            <w:pPr>
              <w:rPr>
                <w:sz w:val="20"/>
                <w:szCs w:val="20"/>
              </w:rPr>
            </w:pPr>
          </w:p>
          <w:p w:rsidR="0005530E" w:rsidRPr="007C66C3" w:rsidRDefault="0005530E" w:rsidP="0005530E">
            <w:pPr>
              <w:rPr>
                <w:sz w:val="20"/>
                <w:szCs w:val="20"/>
              </w:rPr>
            </w:pPr>
          </w:p>
          <w:p w:rsidR="0005530E" w:rsidRPr="007C66C3" w:rsidRDefault="0005530E" w:rsidP="0005530E">
            <w:pPr>
              <w:rPr>
                <w:sz w:val="20"/>
                <w:szCs w:val="20"/>
              </w:rPr>
            </w:pPr>
          </w:p>
          <w:p w:rsidR="0005530E" w:rsidRPr="007C66C3" w:rsidRDefault="0005530E" w:rsidP="0005530E">
            <w:pPr>
              <w:rPr>
                <w:sz w:val="20"/>
                <w:szCs w:val="20"/>
              </w:rPr>
            </w:pPr>
          </w:p>
          <w:p w:rsidR="0005530E" w:rsidRPr="007C66C3" w:rsidRDefault="0005530E" w:rsidP="0005530E">
            <w:pPr>
              <w:rPr>
                <w:sz w:val="20"/>
                <w:szCs w:val="20"/>
              </w:rPr>
            </w:pPr>
          </w:p>
          <w:p w:rsidR="0005530E" w:rsidRPr="007C66C3" w:rsidRDefault="0005530E" w:rsidP="0005530E">
            <w:pPr>
              <w:rPr>
                <w:i/>
                <w:sz w:val="20"/>
                <w:szCs w:val="20"/>
              </w:rPr>
            </w:pPr>
            <w:r w:rsidRPr="007C66C3">
              <w:rPr>
                <w:i/>
                <w:sz w:val="20"/>
                <w:szCs w:val="20"/>
              </w:rPr>
              <w:t>Metodické usmernenia (ÚVO)</w:t>
            </w:r>
          </w:p>
          <w:p w:rsidR="0005530E" w:rsidRPr="007C66C3" w:rsidRDefault="0005530E" w:rsidP="0005530E">
            <w:pPr>
              <w:rPr>
                <w:sz w:val="20"/>
                <w:szCs w:val="20"/>
              </w:rPr>
            </w:pPr>
            <w:r w:rsidRPr="007C66C3">
              <w:rPr>
                <w:sz w:val="20"/>
                <w:szCs w:val="20"/>
              </w:rPr>
              <w:t>(</w:t>
            </w:r>
            <w:hyperlink r:id="rId55" w:history="1">
              <w:r w:rsidRPr="007C66C3">
                <w:rPr>
                  <w:color w:val="0000FF"/>
                  <w:sz w:val="20"/>
                  <w:szCs w:val="20"/>
                  <w:u w:val="single"/>
                </w:rPr>
                <w:t>http://www.uvo.gov.sk/metodicke-usmernenia</w:t>
              </w:r>
            </w:hyperlink>
          </w:p>
        </w:tc>
        <w:tc>
          <w:tcPr>
            <w:tcW w:w="4265" w:type="dxa"/>
            <w:gridSpan w:val="2"/>
            <w:tcBorders>
              <w:bottom w:val="single" w:sz="12" w:space="0" w:color="auto"/>
              <w:right w:val="single" w:sz="12" w:space="0" w:color="auto"/>
            </w:tcBorders>
          </w:tcPr>
          <w:p w:rsidR="0005530E" w:rsidRPr="007C66C3" w:rsidRDefault="0005530E" w:rsidP="0005530E">
            <w:pPr>
              <w:rPr>
                <w:sz w:val="20"/>
                <w:szCs w:val="20"/>
              </w:rPr>
            </w:pPr>
            <w:r w:rsidRPr="007C66C3">
              <w:rPr>
                <w:sz w:val="20"/>
                <w:szCs w:val="20"/>
              </w:rPr>
              <w:t xml:space="preserve">ÚVO metodicky usmerňuje všetkých, ktorí sa zúčastňujú na VO. </w:t>
            </w:r>
          </w:p>
          <w:p w:rsidR="0005530E" w:rsidRPr="007C66C3" w:rsidRDefault="0005530E" w:rsidP="0005530E">
            <w:pPr>
              <w:rPr>
                <w:sz w:val="20"/>
                <w:szCs w:val="20"/>
              </w:rPr>
            </w:pPr>
            <w:r w:rsidRPr="007C66C3">
              <w:rPr>
                <w:sz w:val="20"/>
                <w:szCs w:val="20"/>
              </w:rPr>
              <w:t>Pre zvýšenie spolupráce subjektov štátnej správy participujúcich v oblasti VO a kontroly hospodárskej súťaže bude táto spolupráca posilnená medzi ÚVO a Protimonopolnými úradom SR a to aj na úrovni zabezpečenia administratívnych kapacít týchto subjektov prostredníctvom technickej pomoci.</w:t>
            </w:r>
          </w:p>
          <w:p w:rsidR="0005530E" w:rsidRPr="007C66C3" w:rsidRDefault="0005530E" w:rsidP="0005530E">
            <w:pPr>
              <w:tabs>
                <w:tab w:val="left" w:pos="2302"/>
              </w:tabs>
              <w:rPr>
                <w:sz w:val="20"/>
                <w:szCs w:val="20"/>
              </w:rPr>
            </w:pPr>
            <w:r w:rsidRPr="007C66C3">
              <w:rPr>
                <w:sz w:val="20"/>
                <w:szCs w:val="20"/>
              </w:rPr>
              <w:t xml:space="preserve">V priebehu roku 2014 si zvýšené nároky na spoluprácu a kontrolnú činnosť ÚVO vyžiadajú potrebu navýšenia personálnych kapacít o cca 25 zamestnancov, ktorí budú prijímaní postupne v závislosti od množstva požadovanej činnosti zo strany CKO a RO.  </w:t>
            </w:r>
          </w:p>
        </w:tc>
      </w:tr>
      <w:tr w:rsidR="0005530E" w:rsidRPr="007C66C3" w:rsidTr="0005530E">
        <w:tblPrEx>
          <w:tblBorders>
            <w:top w:val="single" w:sz="2" w:space="0" w:color="auto"/>
            <w:left w:val="single" w:sz="2" w:space="0" w:color="auto"/>
            <w:bottom w:val="single" w:sz="2" w:space="0" w:color="auto"/>
            <w:right w:val="single" w:sz="2" w:space="0" w:color="auto"/>
          </w:tblBorders>
        </w:tblPrEx>
        <w:trPr>
          <w:trHeight w:val="220"/>
        </w:trPr>
        <w:tc>
          <w:tcPr>
            <w:tcW w:w="1799" w:type="dxa"/>
            <w:vMerge w:val="restart"/>
            <w:tcBorders>
              <w:top w:val="single" w:sz="12" w:space="0" w:color="auto"/>
              <w:left w:val="single" w:sz="12" w:space="0" w:color="auto"/>
            </w:tcBorders>
          </w:tcPr>
          <w:p w:rsidR="0005530E" w:rsidRPr="007C66C3" w:rsidRDefault="0005530E" w:rsidP="0005530E">
            <w:pPr>
              <w:rPr>
                <w:sz w:val="20"/>
                <w:szCs w:val="20"/>
              </w:rPr>
            </w:pPr>
            <w:r w:rsidRPr="007C66C3">
              <w:rPr>
                <w:sz w:val="20"/>
                <w:szCs w:val="20"/>
              </w:rPr>
              <w:t>5. Štátna pomoc</w:t>
            </w:r>
          </w:p>
          <w:p w:rsidR="0005530E" w:rsidRPr="007C66C3" w:rsidRDefault="0005530E" w:rsidP="0005530E">
            <w:pPr>
              <w:jc w:val="left"/>
              <w:rPr>
                <w:sz w:val="20"/>
                <w:szCs w:val="20"/>
              </w:rPr>
            </w:pPr>
          </w:p>
          <w:p w:rsidR="0005530E" w:rsidRPr="007C66C3" w:rsidRDefault="0005530E" w:rsidP="0005530E">
            <w:pPr>
              <w:jc w:val="left"/>
              <w:rPr>
                <w:sz w:val="20"/>
                <w:szCs w:val="20"/>
              </w:rPr>
            </w:pPr>
            <w:r w:rsidRPr="007C66C3">
              <w:rPr>
                <w:sz w:val="20"/>
                <w:szCs w:val="20"/>
              </w:rPr>
              <w:t>Existencia pravidiel na efektívne uplatňovanie práva Únie o štátnej pomoci v oblasti EŠIF.</w:t>
            </w:r>
          </w:p>
        </w:tc>
        <w:tc>
          <w:tcPr>
            <w:tcW w:w="1745" w:type="dxa"/>
            <w:gridSpan w:val="2"/>
            <w:vMerge w:val="restart"/>
            <w:tcBorders>
              <w:top w:val="single" w:sz="12" w:space="0" w:color="auto"/>
            </w:tcBorders>
          </w:tcPr>
          <w:p w:rsidR="0005530E" w:rsidRPr="007C66C3" w:rsidRDefault="0005530E" w:rsidP="0005530E">
            <w:pPr>
              <w:rPr>
                <w:sz w:val="20"/>
                <w:szCs w:val="20"/>
              </w:rPr>
            </w:pPr>
          </w:p>
          <w:p w:rsidR="0005530E" w:rsidRPr="007C66C3" w:rsidRDefault="0005530E" w:rsidP="0005530E">
            <w:pPr>
              <w:rPr>
                <w:sz w:val="20"/>
                <w:szCs w:val="20"/>
              </w:rPr>
            </w:pPr>
          </w:p>
          <w:p w:rsidR="0005530E" w:rsidRPr="007C66C3" w:rsidRDefault="0005530E" w:rsidP="0005530E">
            <w:pPr>
              <w:rPr>
                <w:sz w:val="20"/>
                <w:szCs w:val="20"/>
              </w:rPr>
            </w:pPr>
          </w:p>
          <w:p w:rsidR="0005530E" w:rsidRPr="007C66C3" w:rsidRDefault="0005530E" w:rsidP="0005530E">
            <w:pPr>
              <w:rPr>
                <w:sz w:val="20"/>
                <w:szCs w:val="20"/>
              </w:rPr>
            </w:pPr>
          </w:p>
          <w:p w:rsidR="0005530E" w:rsidRPr="007C66C3" w:rsidRDefault="0005530E" w:rsidP="0005530E">
            <w:pPr>
              <w:rPr>
                <w:sz w:val="20"/>
                <w:szCs w:val="20"/>
              </w:rPr>
            </w:pPr>
          </w:p>
          <w:p w:rsidR="0005530E" w:rsidRPr="007C66C3" w:rsidRDefault="0005530E" w:rsidP="0005530E">
            <w:pPr>
              <w:rPr>
                <w:sz w:val="20"/>
                <w:szCs w:val="20"/>
              </w:rPr>
            </w:pPr>
          </w:p>
          <w:p w:rsidR="0005530E" w:rsidRPr="007C66C3" w:rsidRDefault="0005530E" w:rsidP="0005530E">
            <w:pPr>
              <w:rPr>
                <w:sz w:val="20"/>
                <w:szCs w:val="20"/>
              </w:rPr>
            </w:pPr>
          </w:p>
          <w:p w:rsidR="0005530E" w:rsidRPr="007C66C3" w:rsidRDefault="0005530E" w:rsidP="0005530E">
            <w:pPr>
              <w:rPr>
                <w:sz w:val="20"/>
                <w:szCs w:val="20"/>
              </w:rPr>
            </w:pPr>
          </w:p>
          <w:p w:rsidR="0005530E" w:rsidRPr="007C66C3" w:rsidRDefault="0005530E" w:rsidP="0005530E">
            <w:pPr>
              <w:rPr>
                <w:sz w:val="20"/>
                <w:szCs w:val="20"/>
              </w:rPr>
            </w:pPr>
          </w:p>
          <w:p w:rsidR="0005530E" w:rsidRPr="007C66C3" w:rsidRDefault="0005530E" w:rsidP="0005530E">
            <w:pPr>
              <w:rPr>
                <w:sz w:val="20"/>
                <w:szCs w:val="20"/>
              </w:rPr>
            </w:pPr>
          </w:p>
          <w:p w:rsidR="0005530E" w:rsidRPr="007C66C3" w:rsidRDefault="0005530E" w:rsidP="0005530E">
            <w:pPr>
              <w:rPr>
                <w:sz w:val="20"/>
                <w:szCs w:val="20"/>
              </w:rPr>
            </w:pPr>
          </w:p>
          <w:p w:rsidR="0005530E" w:rsidRPr="007C66C3" w:rsidRDefault="0005530E" w:rsidP="0005530E">
            <w:pPr>
              <w:rPr>
                <w:sz w:val="20"/>
                <w:szCs w:val="20"/>
              </w:rPr>
            </w:pPr>
          </w:p>
          <w:p w:rsidR="0005530E" w:rsidRPr="007C66C3" w:rsidRDefault="0005530E" w:rsidP="0005530E">
            <w:pPr>
              <w:rPr>
                <w:sz w:val="20"/>
                <w:szCs w:val="20"/>
              </w:rPr>
            </w:pPr>
          </w:p>
          <w:p w:rsidR="0005530E" w:rsidRPr="007C66C3" w:rsidRDefault="0005530E" w:rsidP="0005530E">
            <w:pPr>
              <w:rPr>
                <w:sz w:val="20"/>
                <w:szCs w:val="20"/>
              </w:rPr>
            </w:pPr>
          </w:p>
          <w:p w:rsidR="0005530E" w:rsidRPr="007C66C3" w:rsidRDefault="0005530E" w:rsidP="0005530E">
            <w:pPr>
              <w:rPr>
                <w:sz w:val="20"/>
                <w:szCs w:val="20"/>
              </w:rPr>
            </w:pPr>
          </w:p>
          <w:p w:rsidR="0005530E" w:rsidRPr="007C66C3" w:rsidRDefault="0005530E" w:rsidP="0005530E">
            <w:pPr>
              <w:rPr>
                <w:sz w:val="20"/>
                <w:szCs w:val="20"/>
              </w:rPr>
            </w:pPr>
          </w:p>
          <w:p w:rsidR="0005530E" w:rsidRPr="007C66C3" w:rsidRDefault="0005530E" w:rsidP="0005530E">
            <w:pPr>
              <w:rPr>
                <w:sz w:val="20"/>
                <w:szCs w:val="20"/>
              </w:rPr>
            </w:pPr>
          </w:p>
          <w:p w:rsidR="0005530E" w:rsidRPr="007C66C3" w:rsidRDefault="0005530E" w:rsidP="0005530E">
            <w:pPr>
              <w:rPr>
                <w:sz w:val="20"/>
                <w:szCs w:val="20"/>
              </w:rPr>
            </w:pPr>
          </w:p>
          <w:p w:rsidR="0005530E" w:rsidRPr="007C66C3" w:rsidRDefault="0005530E" w:rsidP="0005530E">
            <w:pPr>
              <w:rPr>
                <w:sz w:val="20"/>
                <w:szCs w:val="20"/>
              </w:rPr>
            </w:pPr>
          </w:p>
          <w:p w:rsidR="0005530E" w:rsidRPr="007C66C3" w:rsidRDefault="0005530E" w:rsidP="0005530E">
            <w:pPr>
              <w:rPr>
                <w:sz w:val="20"/>
                <w:szCs w:val="20"/>
              </w:rPr>
            </w:pPr>
          </w:p>
          <w:p w:rsidR="0005530E" w:rsidRPr="007C66C3" w:rsidRDefault="0005530E" w:rsidP="0005530E">
            <w:pPr>
              <w:rPr>
                <w:sz w:val="20"/>
                <w:szCs w:val="20"/>
              </w:rPr>
            </w:pPr>
          </w:p>
          <w:p w:rsidR="0005530E" w:rsidRPr="007C66C3" w:rsidRDefault="0005530E" w:rsidP="0005530E">
            <w:pPr>
              <w:rPr>
                <w:sz w:val="20"/>
                <w:szCs w:val="20"/>
              </w:rPr>
            </w:pPr>
          </w:p>
          <w:p w:rsidR="0005530E" w:rsidRPr="007C66C3" w:rsidRDefault="0005530E" w:rsidP="0005530E">
            <w:pPr>
              <w:rPr>
                <w:sz w:val="20"/>
                <w:szCs w:val="20"/>
              </w:rPr>
            </w:pPr>
            <w:r w:rsidRPr="007C66C3">
              <w:rPr>
                <w:sz w:val="20"/>
                <w:szCs w:val="20"/>
              </w:rPr>
              <w:t xml:space="preserve">  </w:t>
            </w:r>
            <w:r w:rsidRPr="007C66C3">
              <w:rPr>
                <w:b/>
                <w:sz w:val="20"/>
                <w:szCs w:val="20"/>
              </w:rPr>
              <w:t>Čiastočne</w:t>
            </w:r>
          </w:p>
        </w:tc>
        <w:tc>
          <w:tcPr>
            <w:tcW w:w="2410" w:type="dxa"/>
            <w:tcBorders>
              <w:top w:val="single" w:sz="12" w:space="0" w:color="auto"/>
              <w:bottom w:val="single" w:sz="2" w:space="0" w:color="auto"/>
            </w:tcBorders>
          </w:tcPr>
          <w:p w:rsidR="0005530E" w:rsidRPr="007C66C3" w:rsidRDefault="0005530E" w:rsidP="0005530E">
            <w:pPr>
              <w:jc w:val="left"/>
              <w:rPr>
                <w:sz w:val="20"/>
                <w:szCs w:val="20"/>
              </w:rPr>
            </w:pPr>
            <w:r w:rsidRPr="007C66C3">
              <w:rPr>
                <w:sz w:val="20"/>
                <w:szCs w:val="20"/>
              </w:rPr>
              <w:t>Opatrenia na zabezpečenie účinného uplatňovania pravidiel Únie o štátnej pomoci.</w:t>
            </w:r>
          </w:p>
        </w:tc>
        <w:tc>
          <w:tcPr>
            <w:tcW w:w="992" w:type="dxa"/>
            <w:tcBorders>
              <w:top w:val="single" w:sz="12" w:space="0" w:color="auto"/>
            </w:tcBorders>
          </w:tcPr>
          <w:p w:rsidR="0005530E" w:rsidRPr="007C66C3" w:rsidRDefault="0005530E" w:rsidP="0005530E">
            <w:pPr>
              <w:rPr>
                <w:sz w:val="20"/>
                <w:szCs w:val="20"/>
              </w:rPr>
            </w:pPr>
          </w:p>
          <w:p w:rsidR="0005530E" w:rsidRPr="007C66C3" w:rsidRDefault="0005530E" w:rsidP="0005530E">
            <w:pPr>
              <w:rPr>
                <w:sz w:val="20"/>
                <w:szCs w:val="20"/>
              </w:rPr>
            </w:pPr>
          </w:p>
          <w:p w:rsidR="0005530E" w:rsidRPr="007C66C3" w:rsidRDefault="0005530E" w:rsidP="0005530E">
            <w:pPr>
              <w:rPr>
                <w:sz w:val="20"/>
                <w:szCs w:val="20"/>
              </w:rPr>
            </w:pPr>
          </w:p>
          <w:p w:rsidR="0005530E" w:rsidRPr="007C66C3" w:rsidRDefault="0005530E" w:rsidP="0005530E">
            <w:pPr>
              <w:rPr>
                <w:sz w:val="20"/>
                <w:szCs w:val="20"/>
              </w:rPr>
            </w:pPr>
          </w:p>
          <w:p w:rsidR="0005530E" w:rsidRPr="007C66C3" w:rsidRDefault="0005530E" w:rsidP="0005530E">
            <w:pPr>
              <w:rPr>
                <w:sz w:val="20"/>
                <w:szCs w:val="20"/>
              </w:rPr>
            </w:pPr>
          </w:p>
          <w:p w:rsidR="0005530E" w:rsidRPr="007C66C3" w:rsidRDefault="0005530E" w:rsidP="0005530E">
            <w:pPr>
              <w:rPr>
                <w:sz w:val="20"/>
                <w:szCs w:val="20"/>
              </w:rPr>
            </w:pPr>
          </w:p>
          <w:p w:rsidR="0005530E" w:rsidRPr="007C66C3" w:rsidRDefault="0005530E" w:rsidP="0005530E">
            <w:pPr>
              <w:rPr>
                <w:sz w:val="20"/>
                <w:szCs w:val="20"/>
              </w:rPr>
            </w:pPr>
          </w:p>
          <w:p w:rsidR="0005530E" w:rsidRPr="007C66C3" w:rsidRDefault="0005530E" w:rsidP="0005530E">
            <w:pPr>
              <w:rPr>
                <w:sz w:val="20"/>
                <w:szCs w:val="20"/>
              </w:rPr>
            </w:pPr>
          </w:p>
          <w:p w:rsidR="0005530E" w:rsidRPr="007C66C3" w:rsidRDefault="0005530E" w:rsidP="0005530E">
            <w:pPr>
              <w:rPr>
                <w:sz w:val="20"/>
                <w:szCs w:val="20"/>
              </w:rPr>
            </w:pPr>
          </w:p>
          <w:p w:rsidR="0005530E" w:rsidRPr="007C66C3" w:rsidRDefault="0005530E" w:rsidP="0005530E">
            <w:pPr>
              <w:rPr>
                <w:sz w:val="20"/>
                <w:szCs w:val="20"/>
              </w:rPr>
            </w:pPr>
          </w:p>
          <w:p w:rsidR="0005530E" w:rsidRPr="007C66C3" w:rsidRDefault="0005530E" w:rsidP="0005530E">
            <w:pPr>
              <w:rPr>
                <w:sz w:val="20"/>
                <w:szCs w:val="20"/>
              </w:rPr>
            </w:pPr>
          </w:p>
          <w:p w:rsidR="0005530E" w:rsidRPr="007C66C3" w:rsidRDefault="0005530E" w:rsidP="0005530E">
            <w:pPr>
              <w:rPr>
                <w:sz w:val="20"/>
                <w:szCs w:val="20"/>
              </w:rPr>
            </w:pPr>
          </w:p>
          <w:p w:rsidR="0005530E" w:rsidRPr="007C66C3" w:rsidRDefault="0005530E" w:rsidP="0005530E">
            <w:pPr>
              <w:rPr>
                <w:sz w:val="20"/>
                <w:szCs w:val="20"/>
              </w:rPr>
            </w:pPr>
          </w:p>
          <w:p w:rsidR="0005530E" w:rsidRPr="007C66C3" w:rsidRDefault="0005530E" w:rsidP="0005530E">
            <w:pPr>
              <w:rPr>
                <w:sz w:val="20"/>
                <w:szCs w:val="20"/>
              </w:rPr>
            </w:pPr>
          </w:p>
          <w:p w:rsidR="0005530E" w:rsidRPr="007C66C3" w:rsidRDefault="0005530E" w:rsidP="0005530E">
            <w:pPr>
              <w:rPr>
                <w:sz w:val="20"/>
                <w:szCs w:val="20"/>
              </w:rPr>
            </w:pPr>
          </w:p>
          <w:p w:rsidR="0005530E" w:rsidRPr="007C66C3" w:rsidRDefault="0005530E" w:rsidP="0005530E">
            <w:pPr>
              <w:rPr>
                <w:sz w:val="20"/>
                <w:szCs w:val="20"/>
              </w:rPr>
            </w:pPr>
          </w:p>
          <w:p w:rsidR="0005530E" w:rsidRPr="007C66C3" w:rsidRDefault="0005530E" w:rsidP="0005530E">
            <w:pPr>
              <w:rPr>
                <w:sz w:val="20"/>
                <w:szCs w:val="20"/>
              </w:rPr>
            </w:pPr>
          </w:p>
          <w:p w:rsidR="0005530E" w:rsidRPr="007C66C3" w:rsidRDefault="0005530E" w:rsidP="0005530E">
            <w:pPr>
              <w:rPr>
                <w:sz w:val="20"/>
                <w:szCs w:val="20"/>
              </w:rPr>
            </w:pPr>
          </w:p>
          <w:p w:rsidR="0005530E" w:rsidRPr="007C66C3" w:rsidRDefault="0005530E" w:rsidP="0005530E">
            <w:pPr>
              <w:rPr>
                <w:sz w:val="20"/>
                <w:szCs w:val="20"/>
              </w:rPr>
            </w:pPr>
          </w:p>
          <w:p w:rsidR="0005530E" w:rsidRPr="007C66C3" w:rsidRDefault="0005530E" w:rsidP="0005530E">
            <w:pPr>
              <w:rPr>
                <w:sz w:val="20"/>
                <w:szCs w:val="20"/>
              </w:rPr>
            </w:pPr>
          </w:p>
          <w:p w:rsidR="0005530E" w:rsidRPr="007C66C3" w:rsidRDefault="0005530E" w:rsidP="0005530E">
            <w:pPr>
              <w:rPr>
                <w:sz w:val="20"/>
                <w:szCs w:val="20"/>
              </w:rPr>
            </w:pPr>
          </w:p>
          <w:p w:rsidR="0005530E" w:rsidRPr="007C66C3" w:rsidRDefault="0005530E" w:rsidP="0005530E">
            <w:pPr>
              <w:rPr>
                <w:sz w:val="20"/>
                <w:szCs w:val="20"/>
              </w:rPr>
            </w:pPr>
          </w:p>
          <w:p w:rsidR="0005530E" w:rsidRPr="007C66C3" w:rsidRDefault="0005530E" w:rsidP="0005530E">
            <w:pPr>
              <w:rPr>
                <w:sz w:val="20"/>
                <w:szCs w:val="20"/>
              </w:rPr>
            </w:pPr>
            <w:r w:rsidRPr="007C66C3">
              <w:rPr>
                <w:sz w:val="20"/>
                <w:szCs w:val="20"/>
              </w:rPr>
              <w:t xml:space="preserve">    </w:t>
            </w:r>
            <w:r w:rsidRPr="007C66C3">
              <w:rPr>
                <w:b/>
                <w:sz w:val="20"/>
                <w:szCs w:val="20"/>
              </w:rPr>
              <w:t>Nie</w:t>
            </w:r>
          </w:p>
        </w:tc>
        <w:tc>
          <w:tcPr>
            <w:tcW w:w="3119" w:type="dxa"/>
            <w:tcBorders>
              <w:top w:val="single" w:sz="12" w:space="0" w:color="auto"/>
            </w:tcBorders>
          </w:tcPr>
          <w:p w:rsidR="0005530E" w:rsidRPr="007C66C3" w:rsidRDefault="0005530E" w:rsidP="0005530E">
            <w:pPr>
              <w:rPr>
                <w:sz w:val="20"/>
                <w:szCs w:val="20"/>
              </w:rPr>
            </w:pPr>
          </w:p>
        </w:tc>
        <w:tc>
          <w:tcPr>
            <w:tcW w:w="4265" w:type="dxa"/>
            <w:gridSpan w:val="2"/>
            <w:tcBorders>
              <w:top w:val="single" w:sz="12" w:space="0" w:color="auto"/>
              <w:right w:val="single" w:sz="12" w:space="0" w:color="auto"/>
            </w:tcBorders>
          </w:tcPr>
          <w:p w:rsidR="0005530E" w:rsidRPr="007C66C3" w:rsidRDefault="0005530E" w:rsidP="00807B64">
            <w:pPr>
              <w:rPr>
                <w:sz w:val="20"/>
                <w:szCs w:val="20"/>
              </w:rPr>
            </w:pPr>
            <w:r w:rsidRPr="007C66C3">
              <w:rPr>
                <w:sz w:val="20"/>
                <w:szCs w:val="20"/>
              </w:rPr>
              <w:t>Povinnosť dodržať pravidlá týkajúce sa kumulácie pomoci (ak sa poskytuje pomoc na rovnaké oprávnené náklady z rôznych verejných zdrojov, resp. minimálna pomoc) a dodržanie povinnosti „Deggendorf“ boli upravené už vo všetkých schémach štátnej a minimálnej pomoci v programovom období 2007 – 2013. Vzhľadom na to, že štruktúra schém zostáva zachovaná, budú</w:t>
            </w:r>
            <w:r w:rsidRPr="007C66C3">
              <w:rPr>
                <w:sz w:val="20"/>
                <w:szCs w:val="20"/>
              </w:rPr>
              <w:lastRenderedPageBreak/>
              <w:t xml:space="preserve"> upravené v schémach pomoci aj v programovom období 2014 – 2020. Kontrolu zavedenia opatrení na dodržiavanie pravidiel kumulácie a dodržania povinnosti „Deggendorf“ bude zabezpečovať koordinátor štátnej pomoci formou pripomienkovania schém štátnej pomoci a schém minimálnej pomoci. Podmienky poskytnutia pomoci v jednotlivých schémach budú zahŕňať aj podmienky predloženia čestného prehlásenia prijímateľa príjemcu týkajúceho sa kumulácie pomoci vo vzťahu k rovnakým oprávneným výdavkom a čestného prehlásenia o tom, že od prijímateľa nie je žiadané vrátenie pomoci.</w:t>
            </w:r>
          </w:p>
          <w:p w:rsidR="0005530E" w:rsidRPr="007C66C3" w:rsidRDefault="0005530E" w:rsidP="00807B64">
            <w:pPr>
              <w:rPr>
                <w:sz w:val="20"/>
                <w:szCs w:val="20"/>
              </w:rPr>
            </w:pPr>
            <w:r w:rsidRPr="007C66C3">
              <w:rPr>
                <w:sz w:val="20"/>
                <w:szCs w:val="20"/>
              </w:rPr>
              <w:t xml:space="preserve">V záujme zabezpečenia súladu v implementácii pravidiel štátnej pomoci </w:t>
            </w:r>
            <w:r w:rsidRPr="007C66C3">
              <w:rPr>
                <w:b/>
                <w:sz w:val="20"/>
                <w:szCs w:val="20"/>
              </w:rPr>
              <w:t>je potrebné posilniť úlohu národného koordinátora</w:t>
            </w:r>
            <w:r w:rsidRPr="007C66C3">
              <w:rPr>
                <w:sz w:val="20"/>
                <w:szCs w:val="20"/>
              </w:rPr>
              <w:t xml:space="preserve">, aby jeho postrehy, pripomienky a odporúčania boli pre riadiace orgány záväzné. Z tohto dôvodu národný koordinátor pripravil v spolupráci s CKO </w:t>
            </w:r>
            <w:r w:rsidRPr="007C66C3">
              <w:rPr>
                <w:b/>
                <w:sz w:val="20"/>
                <w:szCs w:val="20"/>
              </w:rPr>
              <w:t>návrh uznesenia vlády SR</w:t>
            </w:r>
            <w:r w:rsidRPr="007C66C3">
              <w:rPr>
                <w:sz w:val="20"/>
                <w:szCs w:val="20"/>
              </w:rPr>
              <w:t xml:space="preserve">. Návrh by </w:t>
            </w:r>
            <w:r w:rsidRPr="007C66C3">
              <w:rPr>
                <w:b/>
                <w:sz w:val="20"/>
                <w:szCs w:val="20"/>
              </w:rPr>
              <w:t>mal byť schválený vo februári 2014</w:t>
            </w:r>
            <w:r w:rsidRPr="007C66C3">
              <w:rPr>
                <w:sz w:val="20"/>
                <w:szCs w:val="20"/>
              </w:rPr>
              <w:t>.</w:t>
            </w:r>
          </w:p>
          <w:p w:rsidR="0005530E" w:rsidRPr="007C66C3" w:rsidRDefault="0005530E" w:rsidP="00807B64">
            <w:pPr>
              <w:rPr>
                <w:sz w:val="20"/>
                <w:szCs w:val="20"/>
              </w:rPr>
            </w:pPr>
            <w:r w:rsidRPr="007C66C3">
              <w:rPr>
                <w:sz w:val="20"/>
                <w:szCs w:val="20"/>
              </w:rPr>
              <w:t>Zmeny v schémach pomoci je možné robiť len formou písomných dodatkov. Koordinátor štátnej pomoci pripomienkuje predmetné dodatky k schémam štátnej pomoci aj k schémam minimálnej pomoci a overuje, či vykonané zmeny v schémach sú v súlade s pravidlami EÚ pre štátnu pomoc. Konzultačný mechanizmus koordinátora štátnej pomoci a riadiacich orgánov je zavedený. Riadiace orgány (ako aj iní poskytovatelia pomoci) môžu opatrenia pomoci</w:t>
            </w:r>
            <w:r w:rsidRPr="007C66C3">
              <w:rPr>
                <w:sz w:val="20"/>
                <w:szCs w:val="20"/>
              </w:rPr>
              <w:lastRenderedPageBreak/>
              <w:t xml:space="preserve"> konzultovať s koordinátorom štátnej pomoci buď formou osobného pracovného rokovania alebo príslušnej písomnej komunikácie.</w:t>
            </w:r>
          </w:p>
          <w:p w:rsidR="0005530E" w:rsidRPr="007C66C3" w:rsidRDefault="0005530E" w:rsidP="00807B64">
            <w:pPr>
              <w:rPr>
                <w:sz w:val="20"/>
                <w:szCs w:val="20"/>
              </w:rPr>
            </w:pPr>
            <w:r w:rsidRPr="007C66C3">
              <w:rPr>
                <w:sz w:val="20"/>
                <w:szCs w:val="20"/>
              </w:rPr>
              <w:t>Návratná pomoc prostredníctvom finančných nástrojov je poskytovaná v rámci schém štátnej pomoci, resp. schém minimálnej pomoci. Takéto schémy taktiež pripomienkuje koordinátor štátnej pomoci, pričom pravidlá EÚ pre štátnu pomoc musia byť dodržiavané na úrovni správcu holdingového fondu, finančných sprostredkovateľov, spoluinvestorov a konečných prijímateľov pomoci.</w:t>
            </w:r>
          </w:p>
          <w:p w:rsidR="0005530E" w:rsidRPr="007C66C3" w:rsidRDefault="0005530E" w:rsidP="00807B64">
            <w:pPr>
              <w:rPr>
                <w:sz w:val="20"/>
                <w:szCs w:val="20"/>
              </w:rPr>
            </w:pPr>
            <w:r w:rsidRPr="007C66C3">
              <w:rPr>
                <w:sz w:val="20"/>
                <w:szCs w:val="20"/>
              </w:rPr>
              <w:t>Mechanizmus vymáhania neoprávnenej štátnej pomoci sa v SR reformoval zákonom č. 102/2011 Z. z. (novela zákona č. 231/1999 Z. z. o štátnej pomoci v znení neskorších predpisov), ktorý nadobudol účinnosť 1.6.2011. Týmto zákonom sa ustanovilo, že rozhodnutie EK o neoprávnenej štátnej pomoci predstavuje priamo exekučný titul, na základe ktorého sa bude neoprávnená štátna pomoc vymáhať v exekučnom konaní. Na základe rozhodnutia EK o poskytnutí neoprávnenej štátnej pomoci a na základe podnetu koordinátora štátnej pomoci je poskytovateľ povinný podať návrh na vykonanie exekúcie podľa Exekučného poriadku, a to do 30 dní od doručenia podnetu. Rozhodnutie EK o neoprávnenej štátnej pomoci je priamo vykonateľné voči prijímateľovi dňom doručenia takého rozhodnutia SR.</w:t>
            </w:r>
          </w:p>
          <w:p w:rsidR="0005530E" w:rsidRPr="007C66C3" w:rsidRDefault="0005530E" w:rsidP="00807B64">
            <w:pPr>
              <w:rPr>
                <w:sz w:val="20"/>
                <w:szCs w:val="20"/>
              </w:rPr>
            </w:pPr>
            <w:r w:rsidRPr="007C66C3">
              <w:rPr>
                <w:sz w:val="20"/>
                <w:szCs w:val="20"/>
              </w:rPr>
              <w:t>Existujú aj opatrenia na zabezpečenie výkonu</w:t>
            </w:r>
            <w:r w:rsidRPr="007C66C3">
              <w:rPr>
                <w:sz w:val="20"/>
                <w:szCs w:val="20"/>
              </w:rPr>
              <w:lastRenderedPageBreak/>
              <w:t xml:space="preserve"> kontrol dodržania nariadenia GBER a schválených schém. Poskytovatelia štátnej pomoci si môžu overiť podmienky oprávnenosti a zlučiteľnosti pomoci (napríklad stimulačný účinok, obmedzenie pomoci na maximálnu intenzitu pomoci, podmienky oprávnenosti schém, štatút MSP ako prijímateľov) na základe § 19 zákona o štátnej pomoci.</w:t>
            </w:r>
          </w:p>
          <w:p w:rsidR="0005530E" w:rsidRPr="007C66C3" w:rsidRDefault="0005530E" w:rsidP="00807B64">
            <w:pPr>
              <w:rPr>
                <w:sz w:val="20"/>
                <w:szCs w:val="20"/>
              </w:rPr>
            </w:pPr>
            <w:r w:rsidRPr="007C66C3">
              <w:rPr>
                <w:sz w:val="20"/>
                <w:szCs w:val="20"/>
              </w:rPr>
              <w:t>Evidencia minimálnej pomoci sa na MF SR realizuje prostredníctvom informačného systému Slovak Aid Monitoring Authority – IS SAMA. V súčasnosti je do IS SAMA umožnený prístup len koordinátorovi štátnej pomoci (MF SR), ktorý na základe písomných oznámení poskytovateľov/príjemcov minimálnej pomoci vkladá do informačného systému údaje o poskytnutí/prijatí minimálnej pomoci. IS SAMA v súčasnej podobe slúži na kontrolu, či sa novou pomocou nepresiahne strop minimálnej pomoci. Ak strop minimálnej pomoci bol prekročený, MF SR upozorní poskytovateľa. Po doručení aktualizovaných údajov od poskytovateľa minimálnej pomoci sú údaje v IS SAMA upravené. Po dobudovaní IS SAMA bude zabezpečené portálové riešenie tohto informačného systému. Prístup na webovú lokalitu a prehliadanie údajov o poskytnutej pomoci bude verejne prístupné. Dobudovaný informačný systém bude obsahovať aj register štátnej pomoci, do ktorého sa budú zadávať súhrnné informácie o každom opatrení. Dobudovanie IS SAMA sa predpokladá do konca</w:t>
            </w:r>
            <w:r w:rsidRPr="007C66C3">
              <w:rPr>
                <w:sz w:val="20"/>
                <w:szCs w:val="20"/>
              </w:rPr>
              <w:lastRenderedPageBreak/>
              <w:t xml:space="preserve"> roka 2014.</w:t>
            </w:r>
          </w:p>
        </w:tc>
      </w:tr>
      <w:tr w:rsidR="0005530E" w:rsidRPr="007C66C3" w:rsidTr="0005530E">
        <w:tblPrEx>
          <w:tblBorders>
            <w:top w:val="single" w:sz="2" w:space="0" w:color="auto"/>
            <w:left w:val="single" w:sz="2" w:space="0" w:color="auto"/>
            <w:bottom w:val="single" w:sz="2" w:space="0" w:color="auto"/>
            <w:right w:val="single" w:sz="2" w:space="0" w:color="auto"/>
          </w:tblBorders>
        </w:tblPrEx>
        <w:trPr>
          <w:trHeight w:val="218"/>
        </w:trPr>
        <w:tc>
          <w:tcPr>
            <w:tcW w:w="1799" w:type="dxa"/>
            <w:vMerge/>
            <w:tcBorders>
              <w:left w:val="single" w:sz="12" w:space="0" w:color="auto"/>
            </w:tcBorders>
          </w:tcPr>
          <w:p w:rsidR="0005530E" w:rsidRPr="007C66C3" w:rsidRDefault="0005530E" w:rsidP="0005530E">
            <w:pPr>
              <w:rPr>
                <w:sz w:val="20"/>
                <w:szCs w:val="20"/>
              </w:rPr>
            </w:pPr>
          </w:p>
        </w:tc>
        <w:tc>
          <w:tcPr>
            <w:tcW w:w="1745" w:type="dxa"/>
            <w:gridSpan w:val="2"/>
            <w:vMerge/>
          </w:tcPr>
          <w:p w:rsidR="0005530E" w:rsidRPr="007C66C3" w:rsidRDefault="0005530E" w:rsidP="0005530E">
            <w:pPr>
              <w:rPr>
                <w:sz w:val="20"/>
                <w:szCs w:val="20"/>
              </w:rPr>
            </w:pPr>
          </w:p>
        </w:tc>
        <w:tc>
          <w:tcPr>
            <w:tcW w:w="2410" w:type="dxa"/>
            <w:tcBorders>
              <w:top w:val="single" w:sz="2" w:space="0" w:color="auto"/>
              <w:bottom w:val="single" w:sz="2" w:space="0" w:color="auto"/>
            </w:tcBorders>
          </w:tcPr>
          <w:p w:rsidR="0005530E" w:rsidRPr="007C66C3" w:rsidRDefault="0005530E" w:rsidP="0005530E">
            <w:pPr>
              <w:jc w:val="left"/>
              <w:rPr>
                <w:sz w:val="20"/>
                <w:szCs w:val="20"/>
              </w:rPr>
            </w:pPr>
            <w:r w:rsidRPr="007C66C3">
              <w:rPr>
                <w:sz w:val="20"/>
                <w:szCs w:val="20"/>
              </w:rPr>
              <w:t>Opatrenia na zabezpečenie odbornej prípravy a informovania zamestnancov zapojených do vykonávania EŠIF.</w:t>
            </w:r>
          </w:p>
        </w:tc>
        <w:tc>
          <w:tcPr>
            <w:tcW w:w="992" w:type="dxa"/>
          </w:tcPr>
          <w:p w:rsidR="0005530E" w:rsidRPr="007C66C3" w:rsidRDefault="0005530E" w:rsidP="0005530E">
            <w:pPr>
              <w:rPr>
                <w:sz w:val="20"/>
                <w:szCs w:val="20"/>
              </w:rPr>
            </w:pPr>
          </w:p>
          <w:p w:rsidR="0005530E" w:rsidRPr="007C66C3" w:rsidRDefault="0005530E" w:rsidP="0005530E">
            <w:pPr>
              <w:jc w:val="center"/>
              <w:rPr>
                <w:b/>
                <w:sz w:val="20"/>
                <w:szCs w:val="20"/>
              </w:rPr>
            </w:pPr>
            <w:r w:rsidRPr="007C66C3">
              <w:rPr>
                <w:b/>
                <w:sz w:val="20"/>
                <w:szCs w:val="20"/>
              </w:rPr>
              <w:t>Áno</w:t>
            </w:r>
          </w:p>
        </w:tc>
        <w:tc>
          <w:tcPr>
            <w:tcW w:w="3119" w:type="dxa"/>
          </w:tcPr>
          <w:p w:rsidR="0005530E" w:rsidRPr="007C66C3" w:rsidRDefault="0005530E" w:rsidP="00807B64">
            <w:pPr>
              <w:jc w:val="left"/>
              <w:rPr>
                <w:sz w:val="20"/>
                <w:szCs w:val="20"/>
              </w:rPr>
            </w:pPr>
            <w:r w:rsidRPr="007C66C3">
              <w:rPr>
                <w:sz w:val="20"/>
                <w:szCs w:val="20"/>
              </w:rPr>
              <w:t>Príslušné školenia pracovníkov na tému uplatňovania pravidiel EÚ o štátnej pomoci na všetkých relevantných úrovniach (t.j., príslušné oddelenia) sa už konali alebo sú naplánované.</w:t>
            </w:r>
          </w:p>
          <w:p w:rsidR="0005530E" w:rsidRPr="007C66C3" w:rsidRDefault="0005530E" w:rsidP="00807B64">
            <w:pPr>
              <w:jc w:val="left"/>
              <w:rPr>
                <w:sz w:val="20"/>
                <w:szCs w:val="20"/>
              </w:rPr>
            </w:pPr>
            <w:r w:rsidRPr="007C66C3">
              <w:rPr>
                <w:sz w:val="20"/>
                <w:szCs w:val="20"/>
              </w:rPr>
              <w:t>Zaviedol sa systém šírenia a výmeny informácií pre všetkých pracovníkov zodpovedných za uplatňovanie pravidiel štátnej pomoci v spojení s implementáciou a riadením EŠIF (riadiace orgány, sprostredkovateľské orgány, certifikačný orgán, orgán auditu, a v prípade finančných nástrojov aj holdingový fond a orgány zodpovedné za implementáciu finančných nástrojov (napr. prostredníctvom webových stránok, reklamných adresovaných zásielok (direct mail), atď.).</w:t>
            </w:r>
          </w:p>
        </w:tc>
        <w:tc>
          <w:tcPr>
            <w:tcW w:w="4265" w:type="dxa"/>
            <w:gridSpan w:val="2"/>
            <w:tcBorders>
              <w:right w:val="single" w:sz="12" w:space="0" w:color="auto"/>
            </w:tcBorders>
          </w:tcPr>
          <w:p w:rsidR="0005530E" w:rsidRPr="007C66C3" w:rsidRDefault="0005530E" w:rsidP="00807B64">
            <w:pPr>
              <w:rPr>
                <w:sz w:val="20"/>
                <w:szCs w:val="20"/>
              </w:rPr>
            </w:pPr>
            <w:r w:rsidRPr="007C66C3">
              <w:rPr>
                <w:sz w:val="20"/>
                <w:szCs w:val="20"/>
              </w:rPr>
              <w:t>Vo februári 2013 CKO pripravil školenie na tému „Uplatňovanie pravidiel štátnej pomoci v EÚ, systém riadenia ŠF a KF na programové obdobie 2007 - 2013 a zákon č. 528/2008 Z. z. o pomoci a podpore poskytovanej z fondov EÚ v praxi“ pre všetky riadiace orgány, ako aj sprostredkovateľské orgány pod riadiacimi orgánmi. Prednášky o pravidlách štátnej pomoci zabezpečuje zástupca koordinátora. Koordinátor zverejňuje na svojej internetovej stránke právne predpisy EÚ v oblasti štátnej pomoci, referenčné, diskontné a úrokové sadzby pre vymáhanie štátnej pomoci, ako aj usmernenia EK. Všetky dokumenty sú verejne dostupné pracovníkom zodpovedným za uplatňovanie pravidiel štátnej pomoci pri implementácii a riadení EŠIF. V roku 2013 bolo prostredníctvom školení CKO vyškolených 53 zamestnancov ÚOŠS.</w:t>
            </w:r>
          </w:p>
          <w:p w:rsidR="0005530E" w:rsidRPr="007C66C3" w:rsidRDefault="0005530E" w:rsidP="00807B64">
            <w:pPr>
              <w:rPr>
                <w:sz w:val="20"/>
                <w:szCs w:val="20"/>
              </w:rPr>
            </w:pPr>
          </w:p>
        </w:tc>
      </w:tr>
      <w:tr w:rsidR="0005530E" w:rsidRPr="007C66C3" w:rsidTr="0005530E">
        <w:tblPrEx>
          <w:tblBorders>
            <w:top w:val="single" w:sz="2" w:space="0" w:color="auto"/>
            <w:left w:val="single" w:sz="2" w:space="0" w:color="auto"/>
            <w:bottom w:val="single" w:sz="2" w:space="0" w:color="auto"/>
            <w:right w:val="single" w:sz="2" w:space="0" w:color="auto"/>
          </w:tblBorders>
        </w:tblPrEx>
        <w:trPr>
          <w:trHeight w:val="218"/>
        </w:trPr>
        <w:tc>
          <w:tcPr>
            <w:tcW w:w="1799" w:type="dxa"/>
            <w:vMerge/>
            <w:tcBorders>
              <w:left w:val="single" w:sz="12" w:space="0" w:color="auto"/>
              <w:bottom w:val="single" w:sz="12" w:space="0" w:color="auto"/>
            </w:tcBorders>
          </w:tcPr>
          <w:p w:rsidR="0005530E" w:rsidRPr="007C66C3" w:rsidRDefault="0005530E" w:rsidP="0005530E">
            <w:pPr>
              <w:rPr>
                <w:sz w:val="20"/>
                <w:szCs w:val="20"/>
              </w:rPr>
            </w:pPr>
          </w:p>
        </w:tc>
        <w:tc>
          <w:tcPr>
            <w:tcW w:w="1745" w:type="dxa"/>
            <w:gridSpan w:val="2"/>
            <w:vMerge/>
            <w:tcBorders>
              <w:bottom w:val="single" w:sz="12" w:space="0" w:color="auto"/>
            </w:tcBorders>
          </w:tcPr>
          <w:p w:rsidR="0005530E" w:rsidRPr="007C66C3" w:rsidRDefault="0005530E" w:rsidP="0005530E">
            <w:pPr>
              <w:rPr>
                <w:sz w:val="20"/>
                <w:szCs w:val="20"/>
              </w:rPr>
            </w:pPr>
          </w:p>
        </w:tc>
        <w:tc>
          <w:tcPr>
            <w:tcW w:w="2410" w:type="dxa"/>
            <w:tcBorders>
              <w:top w:val="single" w:sz="2" w:space="0" w:color="auto"/>
              <w:bottom w:val="single" w:sz="12" w:space="0" w:color="auto"/>
            </w:tcBorders>
          </w:tcPr>
          <w:p w:rsidR="0005530E" w:rsidRPr="007C66C3" w:rsidRDefault="0005530E" w:rsidP="0005530E">
            <w:pPr>
              <w:jc w:val="left"/>
              <w:rPr>
                <w:sz w:val="20"/>
                <w:szCs w:val="20"/>
              </w:rPr>
            </w:pPr>
            <w:r w:rsidRPr="007C66C3">
              <w:rPr>
                <w:sz w:val="20"/>
                <w:szCs w:val="20"/>
              </w:rPr>
              <w:t>Opatrenia na zabezpečenie administratívnej kapacity na vykonávanie a uplatňovanie pravidiel Únie o štátnej pomoci.</w:t>
            </w:r>
          </w:p>
        </w:tc>
        <w:tc>
          <w:tcPr>
            <w:tcW w:w="992" w:type="dxa"/>
            <w:tcBorders>
              <w:bottom w:val="single" w:sz="12" w:space="0" w:color="auto"/>
            </w:tcBorders>
          </w:tcPr>
          <w:p w:rsidR="0005530E" w:rsidRPr="007C66C3" w:rsidRDefault="0005530E" w:rsidP="0005530E">
            <w:pPr>
              <w:jc w:val="center"/>
              <w:rPr>
                <w:b/>
                <w:sz w:val="20"/>
                <w:szCs w:val="20"/>
              </w:rPr>
            </w:pPr>
          </w:p>
          <w:p w:rsidR="0005530E" w:rsidRPr="007C66C3" w:rsidRDefault="0005530E" w:rsidP="0005530E">
            <w:pPr>
              <w:jc w:val="center"/>
              <w:rPr>
                <w:b/>
                <w:sz w:val="20"/>
                <w:szCs w:val="20"/>
              </w:rPr>
            </w:pPr>
          </w:p>
          <w:p w:rsidR="0005530E" w:rsidRPr="007C66C3" w:rsidRDefault="0005530E" w:rsidP="0005530E">
            <w:pPr>
              <w:jc w:val="center"/>
              <w:rPr>
                <w:sz w:val="20"/>
                <w:szCs w:val="20"/>
              </w:rPr>
            </w:pPr>
            <w:r w:rsidRPr="007C66C3">
              <w:rPr>
                <w:b/>
                <w:sz w:val="20"/>
                <w:szCs w:val="20"/>
              </w:rPr>
              <w:t>Áno</w:t>
            </w:r>
          </w:p>
        </w:tc>
        <w:tc>
          <w:tcPr>
            <w:tcW w:w="3119" w:type="dxa"/>
            <w:tcBorders>
              <w:bottom w:val="single" w:sz="12" w:space="0" w:color="auto"/>
            </w:tcBorders>
          </w:tcPr>
          <w:p w:rsidR="0005530E" w:rsidRPr="007C66C3" w:rsidRDefault="0005530E" w:rsidP="00807B64">
            <w:pPr>
              <w:jc w:val="left"/>
              <w:rPr>
                <w:sz w:val="20"/>
                <w:szCs w:val="20"/>
              </w:rPr>
            </w:pPr>
            <w:r w:rsidRPr="007C66C3">
              <w:rPr>
                <w:sz w:val="20"/>
                <w:szCs w:val="20"/>
              </w:rPr>
              <w:t>Koordinátor štátnej pomoci požiadal RO, aby predložili výsledky analýz hodnotenia dostatočnosti administratívnych kapacít v oblasti štátnej pomoci MF SR do konca septembra 2013. Pri vypracovaní analýz bolo potrebné vychádzať z priorít obsiahnutých v operačných programoch na programové</w:t>
            </w:r>
            <w:r w:rsidRPr="007C66C3">
              <w:rPr>
                <w:sz w:val="20"/>
                <w:szCs w:val="20"/>
              </w:rPr>
              <w:lastRenderedPageBreak/>
              <w:t xml:space="preserve"> obdobie 2014 – 2020. MF SR vopred oboznámilo riadiace orgány so štruktúrou analýz. Analýzy sa mali zamerať najmä na tieto oblasti:</w:t>
            </w:r>
          </w:p>
          <w:p w:rsidR="0005530E" w:rsidRPr="007B197D" w:rsidRDefault="0005530E" w:rsidP="00CE203B">
            <w:pPr>
              <w:pStyle w:val="Odsekzoznamu"/>
              <w:numPr>
                <w:ilvl w:val="0"/>
                <w:numId w:val="393"/>
              </w:numPr>
              <w:ind w:left="176" w:hanging="176"/>
              <w:jc w:val="left"/>
              <w:rPr>
                <w:sz w:val="20"/>
                <w:szCs w:val="20"/>
              </w:rPr>
            </w:pPr>
            <w:r w:rsidRPr="007B197D">
              <w:rPr>
                <w:sz w:val="20"/>
                <w:szCs w:val="20"/>
              </w:rPr>
              <w:t>súčasný počet zamestnancov,</w:t>
            </w:r>
            <w:r w:rsidR="007B197D" w:rsidRPr="007B197D">
              <w:rPr>
                <w:sz w:val="20"/>
                <w:szCs w:val="20"/>
              </w:rPr>
              <w:t xml:space="preserve"> </w:t>
            </w:r>
            <w:r w:rsidRPr="007B197D">
              <w:rPr>
                <w:sz w:val="20"/>
                <w:szCs w:val="20"/>
              </w:rPr>
              <w:t>počet a mená zamestnancov riadiacich orgánov, ktorí sú v súčasnosti zodpovední za implementáciu pravidiel EÚ o štátnej pomoci (zamestnanci, ktorí majú tieto úlohy uvedené aj v náplni práce), vrátane uvedenia ich funkcie,</w:t>
            </w:r>
          </w:p>
          <w:p w:rsidR="0005530E" w:rsidRPr="007B197D" w:rsidRDefault="0005530E" w:rsidP="00CE203B">
            <w:pPr>
              <w:pStyle w:val="Odsekzoznamu"/>
              <w:numPr>
                <w:ilvl w:val="0"/>
                <w:numId w:val="393"/>
              </w:numPr>
              <w:ind w:left="176" w:hanging="176"/>
              <w:jc w:val="left"/>
              <w:rPr>
                <w:sz w:val="20"/>
                <w:szCs w:val="20"/>
              </w:rPr>
            </w:pPr>
            <w:r w:rsidRPr="007B197D">
              <w:rPr>
                <w:sz w:val="20"/>
                <w:szCs w:val="20"/>
              </w:rPr>
              <w:t>potenciál na zvýšenie súčasného počtu, návrh týkajúci sa možného zvýšenia počtu zamestnancov, ako aj mená zamestnancov riadiacich orgánov, ktorí sú v súčasnosti zodpovední za implementáciu pravidiel EÚ o štátnej pomoci (zamestnanci, ktorí  majú tieto úlohy uvedené aj v náplni práce), vrátane uvedenia ich funkcie,</w:t>
            </w:r>
          </w:p>
          <w:p w:rsidR="0005530E" w:rsidRPr="007B197D" w:rsidRDefault="0005530E" w:rsidP="00CE203B">
            <w:pPr>
              <w:pStyle w:val="Odsekzoznamu"/>
              <w:numPr>
                <w:ilvl w:val="0"/>
                <w:numId w:val="393"/>
              </w:numPr>
              <w:ind w:left="176" w:hanging="176"/>
              <w:jc w:val="left"/>
              <w:rPr>
                <w:sz w:val="20"/>
                <w:szCs w:val="20"/>
              </w:rPr>
            </w:pPr>
            <w:r w:rsidRPr="007B197D">
              <w:rPr>
                <w:sz w:val="20"/>
                <w:szCs w:val="20"/>
              </w:rPr>
              <w:t>zdôvodnenie zvýšenia počtu vo vzťahu k efektívnemu uplatňovaniu štátnej pomoci v rámci fondov EÚ</w:t>
            </w:r>
            <w:r w:rsidRPr="007B197D">
              <w:rPr>
                <w:sz w:val="20"/>
                <w:szCs w:val="20"/>
              </w:rPr>
              <w:tab/>
              <w:t>návrh týkajúci sa možného zvýšenia počtu zamestnancov.</w:t>
            </w:r>
          </w:p>
          <w:p w:rsidR="0005530E" w:rsidRPr="007C66C3" w:rsidRDefault="0005530E" w:rsidP="00807B64">
            <w:pPr>
              <w:jc w:val="left"/>
              <w:rPr>
                <w:sz w:val="20"/>
                <w:szCs w:val="20"/>
              </w:rPr>
            </w:pPr>
            <w:r w:rsidRPr="007C66C3">
              <w:rPr>
                <w:sz w:val="20"/>
                <w:szCs w:val="20"/>
              </w:rPr>
              <w:t>Takmer všetky orgány vyjadrili potrebu zvýšiť počet zamestnancov aspoň o jedného pracovníka. Celková potreba bola kvantifikovaná v počte 14 zamestnancov.</w:t>
            </w:r>
          </w:p>
        </w:tc>
        <w:tc>
          <w:tcPr>
            <w:tcW w:w="4265" w:type="dxa"/>
            <w:gridSpan w:val="2"/>
            <w:tcBorders>
              <w:bottom w:val="single" w:sz="12" w:space="0" w:color="auto"/>
              <w:right w:val="single" w:sz="12" w:space="0" w:color="auto"/>
            </w:tcBorders>
          </w:tcPr>
          <w:p w:rsidR="0005530E" w:rsidRPr="007C66C3" w:rsidRDefault="0005530E" w:rsidP="0005530E">
            <w:pPr>
              <w:rPr>
                <w:sz w:val="20"/>
                <w:szCs w:val="20"/>
              </w:rPr>
            </w:pPr>
          </w:p>
        </w:tc>
      </w:tr>
      <w:tr w:rsidR="0005530E" w:rsidRPr="007C66C3" w:rsidTr="0005530E">
        <w:tblPrEx>
          <w:tblBorders>
            <w:top w:val="single" w:sz="2" w:space="0" w:color="auto"/>
            <w:left w:val="single" w:sz="2" w:space="0" w:color="auto"/>
            <w:bottom w:val="single" w:sz="2" w:space="0" w:color="auto"/>
            <w:right w:val="single" w:sz="2" w:space="0" w:color="auto"/>
          </w:tblBorders>
        </w:tblPrEx>
        <w:trPr>
          <w:trHeight w:val="265"/>
        </w:trPr>
        <w:tc>
          <w:tcPr>
            <w:tcW w:w="1799" w:type="dxa"/>
            <w:vMerge w:val="restart"/>
            <w:tcBorders>
              <w:top w:val="single" w:sz="12" w:space="0" w:color="auto"/>
              <w:left w:val="single" w:sz="12" w:space="0" w:color="auto"/>
            </w:tcBorders>
          </w:tcPr>
          <w:p w:rsidR="0005530E" w:rsidRPr="007C66C3" w:rsidRDefault="0005530E" w:rsidP="0005530E">
            <w:pPr>
              <w:jc w:val="left"/>
              <w:rPr>
                <w:sz w:val="20"/>
                <w:szCs w:val="20"/>
              </w:rPr>
            </w:pPr>
            <w:r w:rsidRPr="007C66C3">
              <w:rPr>
                <w:sz w:val="20"/>
                <w:szCs w:val="20"/>
              </w:rPr>
              <w:t>6. Právne predpisy v oblasti životného prostredia týkajúce sa posudzovania vplyvov na životné prostredie (EIA) a strategického environmentálneho posudzovania (SEA)</w:t>
            </w:r>
          </w:p>
          <w:p w:rsidR="0005530E" w:rsidRPr="007C66C3" w:rsidRDefault="0005530E" w:rsidP="0005530E">
            <w:pPr>
              <w:jc w:val="left"/>
              <w:rPr>
                <w:sz w:val="20"/>
                <w:szCs w:val="20"/>
              </w:rPr>
            </w:pPr>
          </w:p>
          <w:p w:rsidR="0005530E" w:rsidRPr="007C66C3" w:rsidRDefault="0005530E" w:rsidP="0005530E">
            <w:pPr>
              <w:jc w:val="left"/>
              <w:rPr>
                <w:sz w:val="20"/>
                <w:szCs w:val="20"/>
              </w:rPr>
            </w:pPr>
            <w:r w:rsidRPr="007C66C3">
              <w:rPr>
                <w:sz w:val="20"/>
                <w:szCs w:val="20"/>
              </w:rPr>
              <w:t>Existencia pravidiel na efektívne uplatňovanie právnych predpisov Únie v oblasti životného prostredia týkajúcich sa EIA a SEA.</w:t>
            </w:r>
          </w:p>
        </w:tc>
        <w:tc>
          <w:tcPr>
            <w:tcW w:w="1745" w:type="dxa"/>
            <w:gridSpan w:val="2"/>
            <w:vMerge w:val="restart"/>
            <w:tcBorders>
              <w:top w:val="single" w:sz="12" w:space="0" w:color="auto"/>
            </w:tcBorders>
          </w:tcPr>
          <w:p w:rsidR="0005530E" w:rsidRPr="007C66C3" w:rsidRDefault="0005530E" w:rsidP="0005530E">
            <w:pPr>
              <w:jc w:val="center"/>
              <w:rPr>
                <w:sz w:val="20"/>
                <w:szCs w:val="20"/>
              </w:rPr>
            </w:pPr>
          </w:p>
          <w:p w:rsidR="0005530E" w:rsidRPr="007C66C3" w:rsidRDefault="0005530E" w:rsidP="0005530E">
            <w:pPr>
              <w:jc w:val="center"/>
              <w:rPr>
                <w:sz w:val="20"/>
                <w:szCs w:val="20"/>
              </w:rPr>
            </w:pPr>
          </w:p>
          <w:p w:rsidR="0005530E" w:rsidRPr="007C66C3" w:rsidRDefault="0005530E" w:rsidP="0005530E">
            <w:pPr>
              <w:jc w:val="center"/>
              <w:rPr>
                <w:sz w:val="20"/>
                <w:szCs w:val="20"/>
              </w:rPr>
            </w:pPr>
          </w:p>
          <w:p w:rsidR="0005530E" w:rsidRPr="007C66C3" w:rsidRDefault="0005530E" w:rsidP="0005530E">
            <w:pPr>
              <w:jc w:val="center"/>
              <w:rPr>
                <w:sz w:val="20"/>
                <w:szCs w:val="20"/>
              </w:rPr>
            </w:pPr>
          </w:p>
          <w:p w:rsidR="0005530E" w:rsidRPr="007C66C3" w:rsidRDefault="0005530E" w:rsidP="0005530E">
            <w:pPr>
              <w:jc w:val="center"/>
              <w:rPr>
                <w:sz w:val="20"/>
                <w:szCs w:val="20"/>
              </w:rPr>
            </w:pPr>
          </w:p>
          <w:p w:rsidR="0005530E" w:rsidRPr="007C66C3" w:rsidRDefault="0005530E" w:rsidP="0005530E">
            <w:pPr>
              <w:jc w:val="center"/>
              <w:rPr>
                <w:sz w:val="20"/>
                <w:szCs w:val="20"/>
              </w:rPr>
            </w:pPr>
          </w:p>
          <w:p w:rsidR="0005530E" w:rsidRPr="007C66C3" w:rsidRDefault="0005530E" w:rsidP="0005530E">
            <w:pPr>
              <w:jc w:val="center"/>
              <w:rPr>
                <w:sz w:val="20"/>
                <w:szCs w:val="20"/>
              </w:rPr>
            </w:pPr>
          </w:p>
          <w:p w:rsidR="0005530E" w:rsidRPr="007C66C3" w:rsidRDefault="0005530E" w:rsidP="0005530E">
            <w:pPr>
              <w:jc w:val="center"/>
              <w:rPr>
                <w:sz w:val="20"/>
                <w:szCs w:val="20"/>
              </w:rPr>
            </w:pPr>
          </w:p>
          <w:p w:rsidR="0005530E" w:rsidRPr="007C66C3" w:rsidRDefault="0005530E" w:rsidP="0005530E">
            <w:pPr>
              <w:jc w:val="center"/>
              <w:rPr>
                <w:sz w:val="20"/>
                <w:szCs w:val="20"/>
              </w:rPr>
            </w:pPr>
          </w:p>
          <w:p w:rsidR="0005530E" w:rsidRPr="007C66C3" w:rsidRDefault="0005530E" w:rsidP="0005530E">
            <w:pPr>
              <w:jc w:val="center"/>
              <w:rPr>
                <w:sz w:val="20"/>
                <w:szCs w:val="20"/>
              </w:rPr>
            </w:pPr>
          </w:p>
          <w:p w:rsidR="0005530E" w:rsidRPr="007C66C3" w:rsidRDefault="0005530E" w:rsidP="0005530E">
            <w:pPr>
              <w:jc w:val="center"/>
              <w:rPr>
                <w:sz w:val="20"/>
                <w:szCs w:val="20"/>
              </w:rPr>
            </w:pPr>
          </w:p>
          <w:p w:rsidR="0005530E" w:rsidRPr="007C66C3" w:rsidRDefault="0005530E" w:rsidP="0005530E">
            <w:pPr>
              <w:jc w:val="center"/>
              <w:rPr>
                <w:sz w:val="20"/>
                <w:szCs w:val="20"/>
              </w:rPr>
            </w:pPr>
          </w:p>
          <w:p w:rsidR="0005530E" w:rsidRPr="007C66C3" w:rsidRDefault="0005530E" w:rsidP="0005530E">
            <w:pPr>
              <w:jc w:val="center"/>
              <w:rPr>
                <w:sz w:val="20"/>
                <w:szCs w:val="20"/>
              </w:rPr>
            </w:pPr>
          </w:p>
          <w:p w:rsidR="0005530E" w:rsidRPr="007C66C3" w:rsidRDefault="0005530E" w:rsidP="0005530E">
            <w:pPr>
              <w:jc w:val="center"/>
              <w:rPr>
                <w:sz w:val="20"/>
                <w:szCs w:val="20"/>
              </w:rPr>
            </w:pPr>
          </w:p>
          <w:p w:rsidR="0005530E" w:rsidRPr="007C66C3" w:rsidRDefault="0005530E" w:rsidP="0005530E">
            <w:pPr>
              <w:jc w:val="center"/>
              <w:rPr>
                <w:sz w:val="20"/>
                <w:szCs w:val="20"/>
              </w:rPr>
            </w:pPr>
          </w:p>
          <w:p w:rsidR="0005530E" w:rsidRPr="007C66C3" w:rsidRDefault="0005530E" w:rsidP="0005530E">
            <w:pPr>
              <w:jc w:val="center"/>
              <w:rPr>
                <w:sz w:val="20"/>
                <w:szCs w:val="20"/>
              </w:rPr>
            </w:pPr>
          </w:p>
          <w:p w:rsidR="0005530E" w:rsidRPr="007C66C3" w:rsidRDefault="0005530E" w:rsidP="0005530E">
            <w:pPr>
              <w:jc w:val="center"/>
              <w:rPr>
                <w:sz w:val="20"/>
                <w:szCs w:val="20"/>
              </w:rPr>
            </w:pPr>
          </w:p>
          <w:p w:rsidR="0005530E" w:rsidRPr="007C66C3" w:rsidRDefault="0005530E" w:rsidP="0005530E">
            <w:pPr>
              <w:jc w:val="center"/>
              <w:rPr>
                <w:sz w:val="20"/>
                <w:szCs w:val="20"/>
              </w:rPr>
            </w:pPr>
          </w:p>
          <w:p w:rsidR="0005530E" w:rsidRPr="007C66C3" w:rsidRDefault="0005530E" w:rsidP="0005530E">
            <w:pPr>
              <w:jc w:val="center"/>
              <w:rPr>
                <w:sz w:val="20"/>
                <w:szCs w:val="20"/>
              </w:rPr>
            </w:pPr>
          </w:p>
          <w:p w:rsidR="0005530E" w:rsidRPr="007C66C3" w:rsidRDefault="0005530E" w:rsidP="0005530E">
            <w:pPr>
              <w:jc w:val="center"/>
              <w:rPr>
                <w:sz w:val="20"/>
                <w:szCs w:val="20"/>
              </w:rPr>
            </w:pPr>
          </w:p>
          <w:p w:rsidR="0005530E" w:rsidRPr="007C66C3" w:rsidRDefault="0005530E" w:rsidP="0005530E">
            <w:pPr>
              <w:jc w:val="center"/>
              <w:rPr>
                <w:sz w:val="20"/>
                <w:szCs w:val="20"/>
              </w:rPr>
            </w:pPr>
          </w:p>
          <w:p w:rsidR="0005530E" w:rsidRPr="007C66C3" w:rsidRDefault="0005530E" w:rsidP="0005530E">
            <w:pPr>
              <w:jc w:val="center"/>
              <w:rPr>
                <w:sz w:val="20"/>
                <w:szCs w:val="20"/>
              </w:rPr>
            </w:pPr>
          </w:p>
          <w:p w:rsidR="0005530E" w:rsidRPr="007C66C3" w:rsidRDefault="0005530E" w:rsidP="0005530E">
            <w:pPr>
              <w:jc w:val="center"/>
              <w:rPr>
                <w:sz w:val="20"/>
                <w:szCs w:val="20"/>
              </w:rPr>
            </w:pPr>
          </w:p>
          <w:p w:rsidR="0005530E" w:rsidRPr="007C66C3" w:rsidRDefault="0005530E" w:rsidP="0005530E">
            <w:pPr>
              <w:jc w:val="center"/>
              <w:rPr>
                <w:sz w:val="20"/>
                <w:szCs w:val="20"/>
              </w:rPr>
            </w:pPr>
          </w:p>
          <w:p w:rsidR="0005530E" w:rsidRPr="007C66C3" w:rsidRDefault="0005530E" w:rsidP="0005530E">
            <w:pPr>
              <w:jc w:val="center"/>
              <w:rPr>
                <w:sz w:val="20"/>
                <w:szCs w:val="20"/>
              </w:rPr>
            </w:pPr>
          </w:p>
          <w:p w:rsidR="0005530E" w:rsidRPr="007C66C3" w:rsidRDefault="0005530E" w:rsidP="0005530E">
            <w:pPr>
              <w:jc w:val="center"/>
              <w:rPr>
                <w:sz w:val="20"/>
                <w:szCs w:val="20"/>
              </w:rPr>
            </w:pPr>
          </w:p>
          <w:p w:rsidR="0005530E" w:rsidRPr="007C66C3" w:rsidRDefault="0005530E" w:rsidP="0005530E">
            <w:pPr>
              <w:jc w:val="center"/>
              <w:rPr>
                <w:sz w:val="20"/>
                <w:szCs w:val="20"/>
              </w:rPr>
            </w:pPr>
          </w:p>
          <w:p w:rsidR="0005530E" w:rsidRPr="007C66C3" w:rsidRDefault="0005530E" w:rsidP="0005530E">
            <w:pPr>
              <w:jc w:val="center"/>
              <w:rPr>
                <w:b/>
                <w:sz w:val="20"/>
                <w:szCs w:val="20"/>
              </w:rPr>
            </w:pPr>
            <w:r w:rsidRPr="007C66C3">
              <w:rPr>
                <w:b/>
                <w:sz w:val="20"/>
                <w:szCs w:val="20"/>
              </w:rPr>
              <w:t>Čiastočne</w:t>
            </w:r>
          </w:p>
        </w:tc>
        <w:tc>
          <w:tcPr>
            <w:tcW w:w="2410" w:type="dxa"/>
            <w:tcBorders>
              <w:top w:val="single" w:sz="12" w:space="0" w:color="auto"/>
              <w:bottom w:val="single" w:sz="2" w:space="0" w:color="auto"/>
            </w:tcBorders>
          </w:tcPr>
          <w:p w:rsidR="0005530E" w:rsidRPr="007C66C3" w:rsidRDefault="0005530E" w:rsidP="0005530E">
            <w:pPr>
              <w:jc w:val="left"/>
              <w:rPr>
                <w:sz w:val="20"/>
                <w:szCs w:val="20"/>
              </w:rPr>
            </w:pPr>
            <w:r w:rsidRPr="007C66C3">
              <w:rPr>
                <w:sz w:val="20"/>
                <w:szCs w:val="20"/>
              </w:rPr>
              <w:t>Opatrenia na zabezpečenie účinného uplatňovania smernice Európskeho parlamentu a Rady 2011/92/EÚ (EIA) a smernice Európskeho parlamentu a Rady 2001/42/ES (SEA).</w:t>
            </w:r>
          </w:p>
        </w:tc>
        <w:tc>
          <w:tcPr>
            <w:tcW w:w="992" w:type="dxa"/>
            <w:tcBorders>
              <w:top w:val="single" w:sz="12" w:space="0" w:color="auto"/>
            </w:tcBorders>
          </w:tcPr>
          <w:p w:rsidR="0005530E" w:rsidRPr="007C66C3" w:rsidRDefault="0005530E" w:rsidP="0005530E">
            <w:pPr>
              <w:jc w:val="center"/>
              <w:rPr>
                <w:b/>
                <w:sz w:val="20"/>
                <w:szCs w:val="20"/>
              </w:rPr>
            </w:pPr>
          </w:p>
          <w:p w:rsidR="0005530E" w:rsidRPr="007C66C3" w:rsidRDefault="0005530E" w:rsidP="0005530E">
            <w:pPr>
              <w:jc w:val="center"/>
              <w:rPr>
                <w:b/>
                <w:sz w:val="20"/>
                <w:szCs w:val="20"/>
              </w:rPr>
            </w:pPr>
          </w:p>
          <w:p w:rsidR="0005530E" w:rsidRPr="007C66C3" w:rsidRDefault="0005530E" w:rsidP="0005530E">
            <w:pPr>
              <w:jc w:val="center"/>
              <w:rPr>
                <w:b/>
                <w:sz w:val="20"/>
                <w:szCs w:val="20"/>
              </w:rPr>
            </w:pPr>
          </w:p>
          <w:p w:rsidR="0005530E" w:rsidRPr="007C66C3" w:rsidRDefault="0005530E" w:rsidP="0005530E">
            <w:pPr>
              <w:jc w:val="center"/>
              <w:rPr>
                <w:b/>
                <w:sz w:val="20"/>
                <w:szCs w:val="20"/>
              </w:rPr>
            </w:pPr>
          </w:p>
          <w:p w:rsidR="0005530E" w:rsidRPr="007C66C3" w:rsidRDefault="0005530E" w:rsidP="0005530E">
            <w:pPr>
              <w:jc w:val="center"/>
              <w:rPr>
                <w:b/>
                <w:sz w:val="20"/>
                <w:szCs w:val="20"/>
              </w:rPr>
            </w:pPr>
          </w:p>
          <w:p w:rsidR="0005530E" w:rsidRPr="007C66C3" w:rsidRDefault="0005530E" w:rsidP="0005530E">
            <w:pPr>
              <w:jc w:val="center"/>
              <w:rPr>
                <w:b/>
                <w:sz w:val="20"/>
                <w:szCs w:val="20"/>
              </w:rPr>
            </w:pPr>
          </w:p>
          <w:p w:rsidR="0005530E" w:rsidRPr="007C66C3" w:rsidRDefault="0005530E" w:rsidP="0005530E">
            <w:pPr>
              <w:jc w:val="center"/>
              <w:rPr>
                <w:b/>
                <w:sz w:val="20"/>
                <w:szCs w:val="20"/>
              </w:rPr>
            </w:pPr>
          </w:p>
          <w:p w:rsidR="0005530E" w:rsidRPr="007C66C3" w:rsidRDefault="0005530E" w:rsidP="0005530E">
            <w:pPr>
              <w:jc w:val="center"/>
              <w:rPr>
                <w:b/>
                <w:sz w:val="20"/>
                <w:szCs w:val="20"/>
              </w:rPr>
            </w:pPr>
          </w:p>
          <w:p w:rsidR="0005530E" w:rsidRPr="007C66C3" w:rsidRDefault="0005530E" w:rsidP="0005530E">
            <w:pPr>
              <w:jc w:val="center"/>
              <w:rPr>
                <w:b/>
                <w:sz w:val="20"/>
                <w:szCs w:val="20"/>
              </w:rPr>
            </w:pPr>
          </w:p>
          <w:p w:rsidR="0005530E" w:rsidRPr="007C66C3" w:rsidRDefault="0005530E" w:rsidP="0005530E">
            <w:pPr>
              <w:jc w:val="center"/>
              <w:rPr>
                <w:b/>
                <w:sz w:val="20"/>
                <w:szCs w:val="20"/>
              </w:rPr>
            </w:pPr>
          </w:p>
          <w:p w:rsidR="0005530E" w:rsidRPr="007C66C3" w:rsidRDefault="0005530E" w:rsidP="0005530E">
            <w:pPr>
              <w:jc w:val="center"/>
              <w:rPr>
                <w:b/>
                <w:sz w:val="20"/>
                <w:szCs w:val="20"/>
              </w:rPr>
            </w:pPr>
          </w:p>
          <w:p w:rsidR="0005530E" w:rsidRPr="007C66C3" w:rsidRDefault="0005530E" w:rsidP="0005530E">
            <w:pPr>
              <w:jc w:val="center"/>
              <w:rPr>
                <w:b/>
                <w:sz w:val="20"/>
                <w:szCs w:val="20"/>
              </w:rPr>
            </w:pPr>
          </w:p>
          <w:p w:rsidR="0005530E" w:rsidRPr="007C66C3" w:rsidRDefault="0005530E" w:rsidP="0005530E">
            <w:pPr>
              <w:jc w:val="center"/>
              <w:rPr>
                <w:b/>
                <w:sz w:val="20"/>
                <w:szCs w:val="20"/>
              </w:rPr>
            </w:pPr>
          </w:p>
          <w:p w:rsidR="0005530E" w:rsidRPr="007C66C3" w:rsidRDefault="0005530E" w:rsidP="0005530E">
            <w:pPr>
              <w:jc w:val="center"/>
              <w:rPr>
                <w:b/>
                <w:sz w:val="20"/>
                <w:szCs w:val="20"/>
              </w:rPr>
            </w:pPr>
          </w:p>
          <w:p w:rsidR="0005530E" w:rsidRPr="007C66C3" w:rsidRDefault="0005530E" w:rsidP="0005530E">
            <w:pPr>
              <w:jc w:val="center"/>
              <w:rPr>
                <w:b/>
                <w:sz w:val="20"/>
                <w:szCs w:val="20"/>
              </w:rPr>
            </w:pPr>
          </w:p>
          <w:p w:rsidR="0005530E" w:rsidRPr="007C66C3" w:rsidRDefault="0005530E" w:rsidP="0005530E">
            <w:pPr>
              <w:jc w:val="center"/>
              <w:rPr>
                <w:b/>
                <w:sz w:val="20"/>
                <w:szCs w:val="20"/>
              </w:rPr>
            </w:pPr>
          </w:p>
          <w:p w:rsidR="0005530E" w:rsidRPr="007C66C3" w:rsidRDefault="0005530E" w:rsidP="0005530E">
            <w:pPr>
              <w:jc w:val="center"/>
              <w:rPr>
                <w:b/>
                <w:sz w:val="20"/>
                <w:szCs w:val="20"/>
              </w:rPr>
            </w:pPr>
          </w:p>
          <w:p w:rsidR="0005530E" w:rsidRPr="007C66C3" w:rsidRDefault="0005530E" w:rsidP="0005530E">
            <w:pPr>
              <w:rPr>
                <w:b/>
                <w:sz w:val="20"/>
                <w:szCs w:val="20"/>
              </w:rPr>
            </w:pPr>
          </w:p>
          <w:p w:rsidR="0005530E" w:rsidRPr="007C66C3" w:rsidRDefault="0005530E" w:rsidP="0005530E">
            <w:pPr>
              <w:jc w:val="center"/>
              <w:rPr>
                <w:b/>
                <w:sz w:val="20"/>
                <w:szCs w:val="20"/>
              </w:rPr>
            </w:pPr>
          </w:p>
          <w:p w:rsidR="0005530E" w:rsidRPr="007C66C3" w:rsidRDefault="0005530E" w:rsidP="0005530E">
            <w:pPr>
              <w:jc w:val="center"/>
              <w:rPr>
                <w:b/>
                <w:sz w:val="20"/>
                <w:szCs w:val="20"/>
              </w:rPr>
            </w:pPr>
          </w:p>
          <w:p w:rsidR="0005530E" w:rsidRPr="007C66C3" w:rsidRDefault="0005530E" w:rsidP="0005530E">
            <w:pPr>
              <w:jc w:val="center"/>
              <w:rPr>
                <w:b/>
                <w:sz w:val="20"/>
                <w:szCs w:val="20"/>
              </w:rPr>
            </w:pPr>
            <w:r w:rsidRPr="007C66C3">
              <w:rPr>
                <w:b/>
                <w:sz w:val="20"/>
                <w:szCs w:val="20"/>
              </w:rPr>
              <w:t>Nie</w:t>
            </w:r>
          </w:p>
        </w:tc>
        <w:tc>
          <w:tcPr>
            <w:tcW w:w="3119" w:type="dxa"/>
            <w:tcBorders>
              <w:top w:val="single" w:sz="12" w:space="0" w:color="auto"/>
            </w:tcBorders>
          </w:tcPr>
          <w:p w:rsidR="0005530E" w:rsidRPr="007C66C3" w:rsidRDefault="0005530E" w:rsidP="0005530E">
            <w:pPr>
              <w:rPr>
                <w:sz w:val="20"/>
                <w:szCs w:val="20"/>
              </w:rPr>
            </w:pPr>
            <w:r w:rsidRPr="007C66C3">
              <w:rPr>
                <w:sz w:val="20"/>
                <w:szCs w:val="20"/>
              </w:rPr>
              <w:t>Zákon 24/2006 Z. z. o posudzovaní vplyvov na životné prostredie a o zmene a doplnení niektorých zákonov v znení neskorších predpisov</w:t>
            </w:r>
          </w:p>
          <w:p w:rsidR="0005530E" w:rsidRPr="007C66C3" w:rsidRDefault="0005530E" w:rsidP="0005530E">
            <w:pPr>
              <w:rPr>
                <w:sz w:val="20"/>
                <w:szCs w:val="20"/>
              </w:rPr>
            </w:pPr>
            <w:r w:rsidRPr="007C66C3">
              <w:rPr>
                <w:sz w:val="20"/>
                <w:szCs w:val="20"/>
              </w:rPr>
              <w:t xml:space="preserve">Zákon je uverejnený na stránke </w:t>
            </w:r>
            <w:hyperlink r:id="rId56" w:history="1">
              <w:r w:rsidRPr="007C66C3">
                <w:rPr>
                  <w:sz w:val="20"/>
                  <w:szCs w:val="20"/>
                </w:rPr>
                <w:t>www.jaspi.justice.gov.sk</w:t>
              </w:r>
            </w:hyperlink>
          </w:p>
        </w:tc>
        <w:tc>
          <w:tcPr>
            <w:tcW w:w="4265" w:type="dxa"/>
            <w:gridSpan w:val="2"/>
            <w:tcBorders>
              <w:top w:val="single" w:sz="12" w:space="0" w:color="auto"/>
              <w:right w:val="single" w:sz="12" w:space="0" w:color="auto"/>
            </w:tcBorders>
          </w:tcPr>
          <w:p w:rsidR="0005530E" w:rsidRPr="007C66C3" w:rsidRDefault="0005530E" w:rsidP="0005530E">
            <w:pPr>
              <w:rPr>
                <w:sz w:val="20"/>
                <w:szCs w:val="20"/>
              </w:rPr>
            </w:pPr>
            <w:r w:rsidRPr="007C66C3">
              <w:rPr>
                <w:sz w:val="20"/>
                <w:szCs w:val="20"/>
              </w:rPr>
              <w:t>Listom zo dňa 21.3.2013 bola začatá procedúra infringementu vo veci transpozičného deficitu vo vzťahu k smernici Európskeho parlamentu a Rady 2011/92/EÚ z 13. decembra 2011 o posudzovaní vplyvov určitých verejných a súkromných projektov na životné prostredie (smernica EIA).</w:t>
            </w:r>
          </w:p>
          <w:p w:rsidR="0005530E" w:rsidRPr="007C66C3" w:rsidRDefault="0005530E" w:rsidP="0005530E">
            <w:pPr>
              <w:rPr>
                <w:sz w:val="20"/>
                <w:szCs w:val="20"/>
              </w:rPr>
            </w:pPr>
            <w:r w:rsidRPr="007C66C3">
              <w:rPr>
                <w:sz w:val="20"/>
                <w:szCs w:val="20"/>
              </w:rPr>
              <w:t>Vo výzve sú uvedené ďalšie právne predpisy dotknuté potrebou úplnej a správnej transpozície smernice EIA, vrátane právnych predpisov, ku ktorým neboli oznámené opatrenia na transpozíciu (zákony upravujúce práva a povinnosti dotknutých orgánov, navrhovateľov a verejnosti a zákony upravujúce povoľovacie konanie). Zoznam zákonov je uvedený vo formálnom oznámení EK adresovanej ministrovi zahraničných vecí a európskych záležitostí SR.</w:t>
            </w:r>
          </w:p>
          <w:p w:rsidR="0005530E" w:rsidRPr="007C66C3" w:rsidRDefault="0005530E" w:rsidP="0005530E">
            <w:pPr>
              <w:rPr>
                <w:sz w:val="20"/>
                <w:szCs w:val="20"/>
              </w:rPr>
            </w:pPr>
            <w:r w:rsidRPr="007C66C3">
              <w:rPr>
                <w:sz w:val="20"/>
                <w:szCs w:val="20"/>
              </w:rPr>
              <w:t>Koordinácia s ostatnými rezortmi je na základe identifikovaných problémov kľúčová vzhľadom na prepojenie procesu posudzovania vplyvov s procesom povoľovania projektov a s prístupom verejnosti k spravodlivosti. Tieto oblasti sú pokryté legislatívou iných rezortov, najmä MDVRR SR (stavebný zákon, cestný zákon), MV SR (Správny poriadok), MS SR (Občiansky súdny poriadok).</w:t>
            </w:r>
          </w:p>
          <w:p w:rsidR="0005530E" w:rsidRPr="007C66C3" w:rsidRDefault="0005530E" w:rsidP="0005530E">
            <w:pPr>
              <w:rPr>
                <w:sz w:val="20"/>
                <w:szCs w:val="20"/>
              </w:rPr>
            </w:pPr>
            <w:r w:rsidRPr="007C66C3">
              <w:rPr>
                <w:sz w:val="20"/>
                <w:szCs w:val="20"/>
              </w:rPr>
              <w:t>Dňa 12.7.2013 bola zaslaná finálna odpoveď SR na formálne oznámenie EK, v ktorej SR deklaruje, že vykoná príslušné legislatívne úpravy a metodické usmernenia s cieľom odstrániť uvádzaný transpozičný deficit najneskôr v čase, kedy bude mať za povinnosť transponovať v súčasnosti pripravovanú novelu smernice EIA, ktorá predstavuje závažné zmeny voči súčasnému zneniu smernice EIA, t.j. dva a pol roka.</w:t>
            </w:r>
          </w:p>
          <w:p w:rsidR="0005530E" w:rsidRPr="007C66C3" w:rsidRDefault="0005530E" w:rsidP="0005530E">
            <w:pPr>
              <w:rPr>
                <w:sz w:val="20"/>
                <w:szCs w:val="20"/>
              </w:rPr>
            </w:pPr>
          </w:p>
          <w:p w:rsidR="0005530E" w:rsidRPr="007C66C3" w:rsidRDefault="0005530E" w:rsidP="0005530E">
            <w:pPr>
              <w:contextualSpacing/>
              <w:rPr>
                <w:sz w:val="20"/>
                <w:szCs w:val="20"/>
              </w:rPr>
            </w:pPr>
            <w:r w:rsidRPr="007C66C3">
              <w:rPr>
                <w:sz w:val="20"/>
                <w:szCs w:val="20"/>
              </w:rPr>
              <w:t xml:space="preserve">Príprava príslušných legislatívnych úprav na úrovni rezortu prebiehala v nasledovných krokoch: </w:t>
            </w:r>
          </w:p>
          <w:p w:rsidR="0005530E" w:rsidRPr="007B197D" w:rsidRDefault="0005530E" w:rsidP="00CE203B">
            <w:pPr>
              <w:pStyle w:val="Odsekzoznamu"/>
              <w:numPr>
                <w:ilvl w:val="0"/>
                <w:numId w:val="394"/>
              </w:numPr>
              <w:ind w:left="175" w:hanging="141"/>
              <w:rPr>
                <w:sz w:val="20"/>
                <w:szCs w:val="20"/>
              </w:rPr>
            </w:pPr>
            <w:r w:rsidRPr="007B197D">
              <w:rPr>
                <w:sz w:val="20"/>
                <w:szCs w:val="20"/>
              </w:rPr>
              <w:t>dňa 5.12.2013 technické konzultácie k prvému návrhu paragrafového znenia so zástupcami DG Environment,</w:t>
            </w:r>
          </w:p>
          <w:p w:rsidR="0005530E" w:rsidRPr="007B197D" w:rsidRDefault="0005530E" w:rsidP="00CE203B">
            <w:pPr>
              <w:pStyle w:val="Odsekzoznamu"/>
              <w:numPr>
                <w:ilvl w:val="0"/>
                <w:numId w:val="394"/>
              </w:numPr>
              <w:ind w:left="175" w:hanging="141"/>
              <w:rPr>
                <w:sz w:val="20"/>
                <w:szCs w:val="20"/>
              </w:rPr>
            </w:pPr>
            <w:r w:rsidRPr="007B197D">
              <w:rPr>
                <w:sz w:val="20"/>
                <w:szCs w:val="20"/>
              </w:rPr>
              <w:t>od 17.1.2014 do 6.2.2014 medzirezortné pripomienkové konanie návrhu zákona, ktorým sa mení zákon č. 24/2006 Z. z. o posudzovaní vplyvov na životné prostredie a o zmene a doplnení niektorých zákonov v znení neskorších predpisov a o zmene a doplnení niektorých zákonov</w:t>
            </w:r>
          </w:p>
        </w:tc>
      </w:tr>
      <w:tr w:rsidR="0005530E" w:rsidRPr="007C66C3" w:rsidTr="0005530E">
        <w:tblPrEx>
          <w:tblBorders>
            <w:top w:val="single" w:sz="2" w:space="0" w:color="auto"/>
            <w:left w:val="single" w:sz="2" w:space="0" w:color="auto"/>
            <w:bottom w:val="single" w:sz="2" w:space="0" w:color="auto"/>
            <w:right w:val="single" w:sz="2" w:space="0" w:color="auto"/>
          </w:tblBorders>
        </w:tblPrEx>
        <w:trPr>
          <w:trHeight w:val="265"/>
        </w:trPr>
        <w:tc>
          <w:tcPr>
            <w:tcW w:w="1799" w:type="dxa"/>
            <w:vMerge/>
            <w:tcBorders>
              <w:left w:val="single" w:sz="12" w:space="0" w:color="auto"/>
            </w:tcBorders>
          </w:tcPr>
          <w:p w:rsidR="0005530E" w:rsidRPr="007C66C3" w:rsidRDefault="0005530E" w:rsidP="0005530E">
            <w:pPr>
              <w:rPr>
                <w:sz w:val="20"/>
                <w:szCs w:val="20"/>
              </w:rPr>
            </w:pPr>
          </w:p>
        </w:tc>
        <w:tc>
          <w:tcPr>
            <w:tcW w:w="1745" w:type="dxa"/>
            <w:gridSpan w:val="2"/>
            <w:vMerge/>
          </w:tcPr>
          <w:p w:rsidR="0005530E" w:rsidRPr="007C66C3" w:rsidRDefault="0005530E" w:rsidP="0005530E">
            <w:pPr>
              <w:rPr>
                <w:sz w:val="20"/>
                <w:szCs w:val="20"/>
              </w:rPr>
            </w:pPr>
          </w:p>
        </w:tc>
        <w:tc>
          <w:tcPr>
            <w:tcW w:w="2410" w:type="dxa"/>
            <w:tcBorders>
              <w:top w:val="single" w:sz="2" w:space="0" w:color="auto"/>
              <w:bottom w:val="single" w:sz="2" w:space="0" w:color="auto"/>
            </w:tcBorders>
          </w:tcPr>
          <w:p w:rsidR="0005530E" w:rsidRPr="007C66C3" w:rsidRDefault="0005530E" w:rsidP="0005530E">
            <w:pPr>
              <w:jc w:val="left"/>
              <w:rPr>
                <w:sz w:val="20"/>
                <w:szCs w:val="20"/>
              </w:rPr>
            </w:pPr>
            <w:r w:rsidRPr="007C66C3">
              <w:rPr>
                <w:sz w:val="20"/>
                <w:szCs w:val="20"/>
              </w:rPr>
              <w:t>Opatrenia v oblasti odbornej prípravy a informovania zamestnancov zapojených do vykonávania smerníc EIA a SEA.</w:t>
            </w:r>
          </w:p>
        </w:tc>
        <w:tc>
          <w:tcPr>
            <w:tcW w:w="992" w:type="dxa"/>
          </w:tcPr>
          <w:p w:rsidR="0005530E" w:rsidRPr="007C66C3" w:rsidRDefault="0005530E" w:rsidP="0005530E">
            <w:pPr>
              <w:jc w:val="center"/>
              <w:rPr>
                <w:b/>
                <w:sz w:val="20"/>
                <w:szCs w:val="20"/>
              </w:rPr>
            </w:pPr>
          </w:p>
          <w:p w:rsidR="0005530E" w:rsidRPr="007C66C3" w:rsidRDefault="0005530E" w:rsidP="0005530E">
            <w:pPr>
              <w:jc w:val="center"/>
              <w:rPr>
                <w:b/>
                <w:sz w:val="20"/>
                <w:szCs w:val="20"/>
              </w:rPr>
            </w:pPr>
          </w:p>
          <w:p w:rsidR="0005530E" w:rsidRPr="007C66C3" w:rsidRDefault="0005530E" w:rsidP="0005530E">
            <w:pPr>
              <w:jc w:val="center"/>
              <w:rPr>
                <w:b/>
                <w:sz w:val="20"/>
                <w:szCs w:val="20"/>
              </w:rPr>
            </w:pPr>
          </w:p>
          <w:p w:rsidR="0005530E" w:rsidRPr="007C66C3" w:rsidRDefault="0005530E" w:rsidP="0005530E">
            <w:pPr>
              <w:jc w:val="center"/>
              <w:rPr>
                <w:b/>
                <w:sz w:val="20"/>
                <w:szCs w:val="20"/>
              </w:rPr>
            </w:pPr>
          </w:p>
          <w:p w:rsidR="0005530E" w:rsidRPr="007C66C3" w:rsidRDefault="0005530E" w:rsidP="0005530E">
            <w:pPr>
              <w:jc w:val="center"/>
              <w:rPr>
                <w:b/>
                <w:sz w:val="20"/>
                <w:szCs w:val="20"/>
              </w:rPr>
            </w:pPr>
          </w:p>
          <w:p w:rsidR="0005530E" w:rsidRPr="007C66C3" w:rsidRDefault="0005530E" w:rsidP="0005530E">
            <w:pPr>
              <w:jc w:val="center"/>
              <w:rPr>
                <w:b/>
                <w:sz w:val="20"/>
                <w:szCs w:val="20"/>
              </w:rPr>
            </w:pPr>
          </w:p>
          <w:p w:rsidR="0005530E" w:rsidRPr="007C66C3" w:rsidRDefault="0005530E" w:rsidP="0005530E">
            <w:pPr>
              <w:jc w:val="center"/>
              <w:rPr>
                <w:b/>
                <w:sz w:val="20"/>
                <w:szCs w:val="20"/>
              </w:rPr>
            </w:pPr>
          </w:p>
          <w:p w:rsidR="0005530E" w:rsidRPr="007C66C3" w:rsidRDefault="0005530E" w:rsidP="0005530E">
            <w:pPr>
              <w:jc w:val="center"/>
              <w:rPr>
                <w:b/>
                <w:sz w:val="20"/>
                <w:szCs w:val="20"/>
              </w:rPr>
            </w:pPr>
          </w:p>
          <w:p w:rsidR="0005530E" w:rsidRPr="007C66C3" w:rsidRDefault="0005530E" w:rsidP="0005530E">
            <w:pPr>
              <w:jc w:val="center"/>
              <w:rPr>
                <w:b/>
                <w:sz w:val="20"/>
                <w:szCs w:val="20"/>
              </w:rPr>
            </w:pPr>
          </w:p>
          <w:p w:rsidR="0005530E" w:rsidRPr="007C66C3" w:rsidRDefault="0005530E" w:rsidP="0005530E">
            <w:pPr>
              <w:jc w:val="center"/>
              <w:rPr>
                <w:b/>
                <w:sz w:val="20"/>
                <w:szCs w:val="20"/>
              </w:rPr>
            </w:pPr>
          </w:p>
          <w:p w:rsidR="0005530E" w:rsidRPr="007C66C3" w:rsidRDefault="0005530E" w:rsidP="0005530E">
            <w:pPr>
              <w:jc w:val="center"/>
              <w:rPr>
                <w:b/>
                <w:sz w:val="20"/>
                <w:szCs w:val="20"/>
              </w:rPr>
            </w:pPr>
          </w:p>
          <w:p w:rsidR="0005530E" w:rsidRPr="007C66C3" w:rsidRDefault="0005530E" w:rsidP="0005530E">
            <w:pPr>
              <w:jc w:val="center"/>
              <w:rPr>
                <w:b/>
                <w:sz w:val="20"/>
                <w:szCs w:val="20"/>
              </w:rPr>
            </w:pPr>
          </w:p>
          <w:p w:rsidR="0005530E" w:rsidRPr="007C66C3" w:rsidRDefault="0005530E" w:rsidP="0005530E">
            <w:pPr>
              <w:jc w:val="center"/>
              <w:rPr>
                <w:b/>
                <w:sz w:val="20"/>
                <w:szCs w:val="20"/>
              </w:rPr>
            </w:pPr>
          </w:p>
          <w:p w:rsidR="0005530E" w:rsidRPr="007C66C3" w:rsidRDefault="0005530E" w:rsidP="0005530E">
            <w:pPr>
              <w:jc w:val="center"/>
              <w:rPr>
                <w:b/>
                <w:sz w:val="20"/>
                <w:szCs w:val="20"/>
              </w:rPr>
            </w:pPr>
          </w:p>
          <w:p w:rsidR="0005530E" w:rsidRPr="007C66C3" w:rsidRDefault="0005530E" w:rsidP="0005530E">
            <w:pPr>
              <w:jc w:val="center"/>
              <w:rPr>
                <w:b/>
                <w:sz w:val="20"/>
                <w:szCs w:val="20"/>
              </w:rPr>
            </w:pPr>
          </w:p>
          <w:p w:rsidR="0005530E" w:rsidRPr="007C66C3" w:rsidRDefault="0005530E" w:rsidP="0005530E">
            <w:pPr>
              <w:jc w:val="center"/>
              <w:rPr>
                <w:b/>
                <w:sz w:val="20"/>
                <w:szCs w:val="20"/>
              </w:rPr>
            </w:pPr>
          </w:p>
          <w:p w:rsidR="0005530E" w:rsidRPr="007C66C3" w:rsidRDefault="0005530E" w:rsidP="0005530E">
            <w:pPr>
              <w:jc w:val="center"/>
              <w:rPr>
                <w:b/>
                <w:sz w:val="20"/>
                <w:szCs w:val="20"/>
              </w:rPr>
            </w:pPr>
          </w:p>
          <w:p w:rsidR="0005530E" w:rsidRPr="007C66C3" w:rsidRDefault="0005530E" w:rsidP="0005530E">
            <w:pPr>
              <w:jc w:val="center"/>
              <w:rPr>
                <w:b/>
                <w:sz w:val="20"/>
                <w:szCs w:val="20"/>
              </w:rPr>
            </w:pPr>
          </w:p>
          <w:p w:rsidR="0005530E" w:rsidRPr="007C66C3" w:rsidRDefault="0005530E" w:rsidP="0005530E">
            <w:pPr>
              <w:jc w:val="center"/>
              <w:rPr>
                <w:b/>
                <w:sz w:val="20"/>
                <w:szCs w:val="20"/>
              </w:rPr>
            </w:pPr>
          </w:p>
          <w:p w:rsidR="0005530E" w:rsidRPr="007C66C3" w:rsidRDefault="0005530E" w:rsidP="0005530E">
            <w:pPr>
              <w:jc w:val="center"/>
              <w:rPr>
                <w:b/>
                <w:sz w:val="20"/>
                <w:szCs w:val="20"/>
              </w:rPr>
            </w:pPr>
          </w:p>
          <w:p w:rsidR="0005530E" w:rsidRPr="007C66C3" w:rsidRDefault="0005530E" w:rsidP="0005530E">
            <w:pPr>
              <w:jc w:val="center"/>
              <w:rPr>
                <w:b/>
                <w:sz w:val="20"/>
                <w:szCs w:val="20"/>
              </w:rPr>
            </w:pPr>
          </w:p>
          <w:p w:rsidR="0005530E" w:rsidRPr="007C66C3" w:rsidRDefault="0005530E" w:rsidP="0005530E">
            <w:pPr>
              <w:jc w:val="center"/>
              <w:rPr>
                <w:b/>
                <w:sz w:val="20"/>
                <w:szCs w:val="20"/>
              </w:rPr>
            </w:pPr>
          </w:p>
          <w:p w:rsidR="0005530E" w:rsidRPr="007C66C3" w:rsidRDefault="0005530E" w:rsidP="0005530E">
            <w:pPr>
              <w:jc w:val="center"/>
              <w:rPr>
                <w:b/>
                <w:sz w:val="20"/>
                <w:szCs w:val="20"/>
              </w:rPr>
            </w:pPr>
          </w:p>
          <w:p w:rsidR="0005530E" w:rsidRPr="007C66C3" w:rsidRDefault="0005530E" w:rsidP="0005530E">
            <w:pPr>
              <w:jc w:val="center"/>
              <w:rPr>
                <w:b/>
                <w:sz w:val="20"/>
                <w:szCs w:val="20"/>
              </w:rPr>
            </w:pPr>
            <w:r w:rsidRPr="007C66C3">
              <w:rPr>
                <w:b/>
                <w:sz w:val="20"/>
                <w:szCs w:val="20"/>
              </w:rPr>
              <w:t>Nie</w:t>
            </w:r>
          </w:p>
        </w:tc>
        <w:tc>
          <w:tcPr>
            <w:tcW w:w="3119" w:type="dxa"/>
          </w:tcPr>
          <w:p w:rsidR="0005530E" w:rsidRPr="007C66C3" w:rsidRDefault="0005530E" w:rsidP="0005530E">
            <w:pPr>
              <w:rPr>
                <w:sz w:val="20"/>
                <w:szCs w:val="20"/>
              </w:rPr>
            </w:pPr>
            <w:r w:rsidRPr="007C66C3">
              <w:rPr>
                <w:sz w:val="20"/>
                <w:szCs w:val="20"/>
              </w:rPr>
              <w:t>Stratégia školenia a informovania zamestnancov zapojených do vykonávania smerníc EIA a SEA, vrátane návrhu opatrení na jej realizáciu schválená rokovaním 7. porady vedenia MŽP SR, ktorá sa konala dňa 7.3.2013.</w:t>
            </w:r>
          </w:p>
          <w:p w:rsidR="0005530E" w:rsidRPr="007C66C3" w:rsidRDefault="0005530E" w:rsidP="0005530E">
            <w:pPr>
              <w:rPr>
                <w:sz w:val="20"/>
                <w:szCs w:val="20"/>
              </w:rPr>
            </w:pPr>
          </w:p>
          <w:p w:rsidR="0005530E" w:rsidRPr="007C66C3" w:rsidRDefault="0005530E" w:rsidP="0005530E">
            <w:pPr>
              <w:rPr>
                <w:sz w:val="20"/>
                <w:szCs w:val="20"/>
              </w:rPr>
            </w:pPr>
          </w:p>
          <w:p w:rsidR="0005530E" w:rsidRPr="007C66C3" w:rsidRDefault="0005530E" w:rsidP="0005530E">
            <w:pPr>
              <w:rPr>
                <w:sz w:val="20"/>
                <w:szCs w:val="20"/>
              </w:rPr>
            </w:pPr>
          </w:p>
          <w:p w:rsidR="0005530E" w:rsidRPr="007C66C3" w:rsidRDefault="0005530E" w:rsidP="0005530E">
            <w:pPr>
              <w:rPr>
                <w:sz w:val="20"/>
                <w:szCs w:val="20"/>
              </w:rPr>
            </w:pPr>
          </w:p>
          <w:p w:rsidR="0005530E" w:rsidRPr="007C66C3" w:rsidRDefault="0005530E" w:rsidP="0005530E">
            <w:pPr>
              <w:rPr>
                <w:sz w:val="20"/>
                <w:szCs w:val="20"/>
              </w:rPr>
            </w:pPr>
          </w:p>
          <w:p w:rsidR="0005530E" w:rsidRPr="007C66C3" w:rsidRDefault="0005530E" w:rsidP="0005530E">
            <w:pPr>
              <w:rPr>
                <w:sz w:val="20"/>
                <w:szCs w:val="20"/>
              </w:rPr>
            </w:pPr>
          </w:p>
          <w:p w:rsidR="0005530E" w:rsidRPr="007C66C3" w:rsidRDefault="0005530E" w:rsidP="0005530E">
            <w:pPr>
              <w:rPr>
                <w:sz w:val="20"/>
                <w:szCs w:val="20"/>
              </w:rPr>
            </w:pPr>
          </w:p>
          <w:p w:rsidR="0005530E" w:rsidRPr="007C66C3" w:rsidRDefault="0005530E" w:rsidP="0005530E">
            <w:pPr>
              <w:rPr>
                <w:sz w:val="20"/>
                <w:szCs w:val="20"/>
              </w:rPr>
            </w:pPr>
          </w:p>
          <w:p w:rsidR="0005530E" w:rsidRPr="007C66C3" w:rsidRDefault="0005530E" w:rsidP="0005530E">
            <w:pPr>
              <w:rPr>
                <w:sz w:val="20"/>
                <w:szCs w:val="20"/>
              </w:rPr>
            </w:pPr>
          </w:p>
          <w:p w:rsidR="0005530E" w:rsidRPr="007C66C3" w:rsidRDefault="0005530E" w:rsidP="0005530E">
            <w:pPr>
              <w:rPr>
                <w:sz w:val="20"/>
                <w:szCs w:val="20"/>
              </w:rPr>
            </w:pPr>
          </w:p>
          <w:p w:rsidR="0005530E" w:rsidRPr="007C66C3" w:rsidRDefault="0005530E" w:rsidP="0005530E">
            <w:pPr>
              <w:rPr>
                <w:sz w:val="20"/>
                <w:szCs w:val="20"/>
              </w:rPr>
            </w:pPr>
          </w:p>
          <w:p w:rsidR="0005530E" w:rsidRPr="007C66C3" w:rsidRDefault="0005530E" w:rsidP="0005530E">
            <w:pPr>
              <w:rPr>
                <w:sz w:val="20"/>
                <w:szCs w:val="20"/>
              </w:rPr>
            </w:pPr>
          </w:p>
          <w:p w:rsidR="0005530E" w:rsidRPr="007C66C3" w:rsidRDefault="0005530E" w:rsidP="0005530E">
            <w:pPr>
              <w:rPr>
                <w:sz w:val="20"/>
                <w:szCs w:val="20"/>
              </w:rPr>
            </w:pPr>
          </w:p>
          <w:p w:rsidR="0005530E" w:rsidRPr="007C66C3" w:rsidRDefault="0005530E" w:rsidP="0005530E">
            <w:pPr>
              <w:rPr>
                <w:sz w:val="20"/>
                <w:szCs w:val="20"/>
              </w:rPr>
            </w:pPr>
          </w:p>
          <w:p w:rsidR="0005530E" w:rsidRPr="007C66C3" w:rsidRDefault="0005530E" w:rsidP="0005530E">
            <w:pPr>
              <w:rPr>
                <w:sz w:val="20"/>
                <w:szCs w:val="20"/>
              </w:rPr>
            </w:pPr>
          </w:p>
          <w:p w:rsidR="0005530E" w:rsidRPr="007C66C3" w:rsidRDefault="0005530E" w:rsidP="0005530E">
            <w:pPr>
              <w:rPr>
                <w:sz w:val="20"/>
                <w:szCs w:val="20"/>
              </w:rPr>
            </w:pPr>
          </w:p>
          <w:p w:rsidR="0005530E" w:rsidRPr="007C66C3" w:rsidRDefault="0005530E" w:rsidP="0005530E">
            <w:pPr>
              <w:rPr>
                <w:sz w:val="20"/>
                <w:szCs w:val="20"/>
              </w:rPr>
            </w:pPr>
          </w:p>
          <w:p w:rsidR="0005530E" w:rsidRPr="007C66C3" w:rsidRDefault="0005530E" w:rsidP="0005530E">
            <w:pPr>
              <w:rPr>
                <w:sz w:val="20"/>
                <w:szCs w:val="20"/>
              </w:rPr>
            </w:pPr>
          </w:p>
          <w:p w:rsidR="0005530E" w:rsidRPr="007C66C3" w:rsidRDefault="0005530E" w:rsidP="0005530E">
            <w:pPr>
              <w:rPr>
                <w:sz w:val="20"/>
                <w:szCs w:val="20"/>
              </w:rPr>
            </w:pPr>
          </w:p>
          <w:p w:rsidR="0005530E" w:rsidRPr="007C66C3" w:rsidRDefault="0005530E" w:rsidP="0005530E">
            <w:pPr>
              <w:rPr>
                <w:sz w:val="20"/>
                <w:szCs w:val="20"/>
              </w:rPr>
            </w:pPr>
          </w:p>
          <w:p w:rsidR="0005530E" w:rsidRPr="007C66C3" w:rsidRDefault="00954688" w:rsidP="0005530E">
            <w:pPr>
              <w:rPr>
                <w:sz w:val="20"/>
                <w:szCs w:val="20"/>
              </w:rPr>
            </w:pPr>
            <w:hyperlink r:id="rId57" w:history="1">
              <w:r w:rsidR="0005530E" w:rsidRPr="007C66C3">
                <w:rPr>
                  <w:color w:val="0000FF"/>
                  <w:sz w:val="20"/>
                  <w:szCs w:val="20"/>
                  <w:u w:val="single"/>
                </w:rPr>
                <w:t>http://www.sazp.sk/public/index/go.php?id=81&amp;prm3=686</w:t>
              </w:r>
            </w:hyperlink>
            <w:r w:rsidR="0005530E" w:rsidRPr="007C66C3">
              <w:rPr>
                <w:sz w:val="20"/>
                <w:szCs w:val="20"/>
              </w:rPr>
              <w:t xml:space="preserve"> </w:t>
            </w:r>
          </w:p>
        </w:tc>
        <w:tc>
          <w:tcPr>
            <w:tcW w:w="4265" w:type="dxa"/>
            <w:gridSpan w:val="2"/>
            <w:tcBorders>
              <w:right w:val="single" w:sz="12" w:space="0" w:color="auto"/>
            </w:tcBorders>
          </w:tcPr>
          <w:p w:rsidR="0005530E" w:rsidRPr="007C66C3" w:rsidRDefault="0005530E" w:rsidP="0005530E">
            <w:pPr>
              <w:rPr>
                <w:sz w:val="20"/>
                <w:szCs w:val="20"/>
              </w:rPr>
            </w:pPr>
            <w:r w:rsidRPr="007C66C3">
              <w:rPr>
                <w:sz w:val="20"/>
                <w:szCs w:val="20"/>
              </w:rPr>
              <w:t xml:space="preserve">Cieľom Stratégie je zabezpečiť odbornú prípravu zamestnancov participujúcich na procesoch EIA a SEA.  </w:t>
            </w:r>
          </w:p>
          <w:p w:rsidR="0005530E" w:rsidRPr="007C66C3" w:rsidRDefault="0005530E" w:rsidP="0005530E">
            <w:pPr>
              <w:rPr>
                <w:sz w:val="20"/>
                <w:szCs w:val="20"/>
              </w:rPr>
            </w:pPr>
            <w:r w:rsidRPr="007C66C3">
              <w:rPr>
                <w:sz w:val="20"/>
                <w:szCs w:val="20"/>
              </w:rPr>
              <w:t>Odborná príprava zamestnancov participujúcich na procesoch EIA a SEA je viazaná na zamestnancov rezortu životného prostredia, MH SR, MDVRR SR, MPRV SR, MZ SR, MŠVVŠ SR, MV SR, MO SR a Úradu jadrového dozoru SR, obce a</w:t>
            </w:r>
            <w:r w:rsidRPr="007C66C3">
              <w:rPr>
                <w:sz w:val="20"/>
                <w:szCs w:val="20"/>
              </w:rPr>
              <w:lastRenderedPageBreak/>
              <w:t xml:space="preserve"> odbornú verejnosť. Samotné vzdelávanie bude zabezpečované najmä prostredníctvom prednášok, workshopov, seminárov a konferencií.  S ohľadom na skutočnosť, že bola začatá procedúra infringementu vo veci transpozičného deficitu vo vzťahu k smernici Európskeho parlamentu a Rady 2011/92/EÚ bude potrebné vykonať aktualizáciu Stratégie školení, ktorá bude reflektovať na potrebu metodického usmernenia v „prechodnom“ období (do schválenia a nadobudnutia účinnosti príslušných legislatívnych úprav) a na príslušné legislatívne úpravy.</w:t>
            </w:r>
          </w:p>
          <w:p w:rsidR="0005530E" w:rsidRPr="007C66C3" w:rsidRDefault="0005530E" w:rsidP="0005530E">
            <w:pPr>
              <w:rPr>
                <w:sz w:val="20"/>
                <w:szCs w:val="20"/>
              </w:rPr>
            </w:pPr>
            <w:r w:rsidRPr="007C66C3">
              <w:rPr>
                <w:sz w:val="20"/>
                <w:szCs w:val="20"/>
              </w:rPr>
              <w:t>Z plánovaných aktivít podľa schválenej Stratégie sa zrealizovali tieto aktivity:</w:t>
            </w:r>
          </w:p>
          <w:p w:rsidR="0005530E" w:rsidRPr="007C66C3" w:rsidRDefault="0005530E" w:rsidP="0005530E">
            <w:pPr>
              <w:rPr>
                <w:sz w:val="20"/>
                <w:szCs w:val="20"/>
              </w:rPr>
            </w:pPr>
            <w:r w:rsidRPr="007C66C3">
              <w:rPr>
                <w:sz w:val="20"/>
                <w:szCs w:val="20"/>
              </w:rPr>
              <w:t xml:space="preserve">- dňa 24.10.2013 workshop v spolupráci s MDVRR SR zameraný na zmeny v projektoch, </w:t>
            </w:r>
          </w:p>
          <w:p w:rsidR="0005530E" w:rsidRPr="007C66C3" w:rsidRDefault="0005530E" w:rsidP="0005530E">
            <w:pPr>
              <w:rPr>
                <w:sz w:val="20"/>
                <w:szCs w:val="20"/>
              </w:rPr>
            </w:pPr>
            <w:r w:rsidRPr="007C66C3">
              <w:rPr>
                <w:sz w:val="20"/>
                <w:szCs w:val="20"/>
              </w:rPr>
              <w:t>- pravidelné školenie zamestnancov okresných úradov so zameraním na výkon štátnej správy v oblasti posudzovania vplyvov na životné prostredie:</w:t>
            </w:r>
          </w:p>
          <w:p w:rsidR="0005530E" w:rsidRPr="007C66C3" w:rsidRDefault="0005530E" w:rsidP="0005530E">
            <w:pPr>
              <w:rPr>
                <w:sz w:val="20"/>
                <w:szCs w:val="20"/>
              </w:rPr>
            </w:pPr>
            <w:r w:rsidRPr="007C66C3">
              <w:rPr>
                <w:sz w:val="20"/>
                <w:szCs w:val="20"/>
              </w:rPr>
              <w:t>- v rámci Prešovského a Košického kraja dňa 29.10.2013,</w:t>
            </w:r>
          </w:p>
          <w:p w:rsidR="0005530E" w:rsidRPr="007C66C3" w:rsidRDefault="0005530E" w:rsidP="0005530E">
            <w:pPr>
              <w:rPr>
                <w:sz w:val="20"/>
                <w:szCs w:val="20"/>
              </w:rPr>
            </w:pPr>
            <w:r w:rsidRPr="007C66C3">
              <w:rPr>
                <w:sz w:val="20"/>
                <w:szCs w:val="20"/>
              </w:rPr>
              <w:t>- Banskobystrického, Žilinského a Trenčianskeho kraja dňa 06.11.2013,</w:t>
            </w:r>
          </w:p>
          <w:p w:rsidR="0005530E" w:rsidRPr="007C66C3" w:rsidRDefault="0005530E" w:rsidP="0005530E">
            <w:pPr>
              <w:rPr>
                <w:sz w:val="20"/>
                <w:szCs w:val="20"/>
              </w:rPr>
            </w:pPr>
            <w:r w:rsidRPr="007C66C3">
              <w:rPr>
                <w:sz w:val="20"/>
                <w:szCs w:val="20"/>
              </w:rPr>
              <w:t xml:space="preserve">- Nitrianskeho, Trnavského a Bratislavského kraja dňa 13.11.2013, </w:t>
            </w:r>
          </w:p>
          <w:p w:rsidR="0005530E" w:rsidRPr="007C66C3" w:rsidRDefault="0005530E" w:rsidP="0005530E">
            <w:pPr>
              <w:rPr>
                <w:sz w:val="20"/>
                <w:szCs w:val="20"/>
              </w:rPr>
            </w:pPr>
            <w:r w:rsidRPr="007C66C3">
              <w:rPr>
                <w:sz w:val="20"/>
                <w:szCs w:val="20"/>
              </w:rPr>
              <w:t xml:space="preserve">- dňa 3.12. 2013 Záverečná konferencia projektu e-MAT "Vývoj nástrojov manažmentu v rámci posudzovania vplyvov na životné prostredie v hraničných regiónoch medzi Rakúskom a Slovenskom", </w:t>
            </w:r>
          </w:p>
          <w:p w:rsidR="0005530E" w:rsidRPr="007C66C3" w:rsidRDefault="0005530E" w:rsidP="0005530E">
            <w:pPr>
              <w:rPr>
                <w:sz w:val="20"/>
                <w:szCs w:val="20"/>
              </w:rPr>
            </w:pPr>
            <w:r w:rsidRPr="007C66C3">
              <w:rPr>
                <w:sz w:val="20"/>
                <w:szCs w:val="20"/>
              </w:rPr>
              <w:t>- v dňoch 10.-11.12.2013 školenie fyzických a právnických osôb pre získanie odbornej spôsobilosti v oblasti posudzovania vplyvov na životné prostredie,- dňa 17.12.2013 preverenie znalostí fyzických a právnických osôb za účelom získania odbornej spôsobilosti v oblasti posudzovania vplyvov na životné prostredie.</w:t>
            </w:r>
          </w:p>
          <w:p w:rsidR="0005530E" w:rsidRPr="007C66C3" w:rsidRDefault="0005530E" w:rsidP="0005530E">
            <w:pPr>
              <w:rPr>
                <w:sz w:val="20"/>
                <w:szCs w:val="20"/>
              </w:rPr>
            </w:pPr>
            <w:r w:rsidRPr="007C66C3">
              <w:rPr>
                <w:sz w:val="20"/>
                <w:szCs w:val="20"/>
              </w:rPr>
              <w:t>Odbor environmentálneho posudzovania zabezpečuje metodické usmernenie aj v súčasnosti, t.j. priebežne pre prebiehajúce procesy posudzovania, tak na svojej úrovni ako aj na úrovni ostaných príslušných orgánov</w:t>
            </w:r>
          </w:p>
        </w:tc>
      </w:tr>
      <w:tr w:rsidR="0005530E" w:rsidRPr="007C66C3" w:rsidTr="0005530E">
        <w:tblPrEx>
          <w:tblBorders>
            <w:top w:val="single" w:sz="2" w:space="0" w:color="auto"/>
            <w:left w:val="single" w:sz="2" w:space="0" w:color="auto"/>
            <w:bottom w:val="single" w:sz="2" w:space="0" w:color="auto"/>
            <w:right w:val="single" w:sz="2" w:space="0" w:color="auto"/>
          </w:tblBorders>
        </w:tblPrEx>
        <w:trPr>
          <w:trHeight w:val="265"/>
        </w:trPr>
        <w:tc>
          <w:tcPr>
            <w:tcW w:w="1799" w:type="dxa"/>
            <w:vMerge/>
            <w:tcBorders>
              <w:left w:val="single" w:sz="12" w:space="0" w:color="auto"/>
              <w:bottom w:val="single" w:sz="12" w:space="0" w:color="auto"/>
            </w:tcBorders>
          </w:tcPr>
          <w:p w:rsidR="0005530E" w:rsidRPr="007C66C3" w:rsidRDefault="0005530E" w:rsidP="0005530E">
            <w:pPr>
              <w:rPr>
                <w:sz w:val="20"/>
                <w:szCs w:val="20"/>
              </w:rPr>
            </w:pPr>
          </w:p>
        </w:tc>
        <w:tc>
          <w:tcPr>
            <w:tcW w:w="1745" w:type="dxa"/>
            <w:gridSpan w:val="2"/>
            <w:vMerge/>
            <w:tcBorders>
              <w:bottom w:val="single" w:sz="12" w:space="0" w:color="auto"/>
            </w:tcBorders>
          </w:tcPr>
          <w:p w:rsidR="0005530E" w:rsidRPr="007C66C3" w:rsidRDefault="0005530E" w:rsidP="0005530E">
            <w:pPr>
              <w:rPr>
                <w:sz w:val="20"/>
                <w:szCs w:val="20"/>
              </w:rPr>
            </w:pPr>
          </w:p>
        </w:tc>
        <w:tc>
          <w:tcPr>
            <w:tcW w:w="2410" w:type="dxa"/>
            <w:tcBorders>
              <w:top w:val="single" w:sz="2" w:space="0" w:color="auto"/>
              <w:bottom w:val="single" w:sz="12" w:space="0" w:color="auto"/>
            </w:tcBorders>
          </w:tcPr>
          <w:p w:rsidR="0005530E" w:rsidRPr="007C66C3" w:rsidRDefault="0005530E" w:rsidP="0005530E">
            <w:pPr>
              <w:jc w:val="left"/>
              <w:rPr>
                <w:sz w:val="20"/>
                <w:szCs w:val="20"/>
              </w:rPr>
            </w:pPr>
            <w:r w:rsidRPr="007C66C3">
              <w:rPr>
                <w:sz w:val="20"/>
                <w:szCs w:val="20"/>
              </w:rPr>
              <w:t>Opatrenia na zabezpečenie dostatočnej administratívnej kapacity.</w:t>
            </w:r>
          </w:p>
        </w:tc>
        <w:tc>
          <w:tcPr>
            <w:tcW w:w="992" w:type="dxa"/>
            <w:tcBorders>
              <w:bottom w:val="single" w:sz="12" w:space="0" w:color="auto"/>
            </w:tcBorders>
          </w:tcPr>
          <w:p w:rsidR="0005530E" w:rsidRPr="007C66C3" w:rsidRDefault="0005530E" w:rsidP="0005530E">
            <w:pPr>
              <w:jc w:val="center"/>
              <w:rPr>
                <w:b/>
                <w:sz w:val="20"/>
                <w:szCs w:val="20"/>
              </w:rPr>
            </w:pPr>
          </w:p>
          <w:p w:rsidR="0005530E" w:rsidRPr="007C66C3" w:rsidRDefault="0005530E" w:rsidP="0005530E">
            <w:pPr>
              <w:jc w:val="center"/>
              <w:rPr>
                <w:b/>
                <w:sz w:val="20"/>
                <w:szCs w:val="20"/>
              </w:rPr>
            </w:pPr>
          </w:p>
          <w:p w:rsidR="0005530E" w:rsidRPr="007C66C3" w:rsidRDefault="0005530E" w:rsidP="0005530E">
            <w:pPr>
              <w:jc w:val="center"/>
              <w:rPr>
                <w:b/>
                <w:sz w:val="20"/>
                <w:szCs w:val="20"/>
              </w:rPr>
            </w:pPr>
          </w:p>
          <w:p w:rsidR="0005530E" w:rsidRPr="007C66C3" w:rsidRDefault="0005530E" w:rsidP="0005530E">
            <w:pPr>
              <w:jc w:val="center"/>
              <w:rPr>
                <w:b/>
                <w:sz w:val="20"/>
                <w:szCs w:val="20"/>
              </w:rPr>
            </w:pPr>
            <w:r w:rsidRPr="007C66C3">
              <w:rPr>
                <w:b/>
                <w:sz w:val="20"/>
                <w:szCs w:val="20"/>
              </w:rPr>
              <w:t>Áno</w:t>
            </w:r>
          </w:p>
        </w:tc>
        <w:tc>
          <w:tcPr>
            <w:tcW w:w="3119" w:type="dxa"/>
            <w:tcBorders>
              <w:bottom w:val="single" w:sz="12" w:space="0" w:color="auto"/>
            </w:tcBorders>
          </w:tcPr>
          <w:p w:rsidR="0005530E" w:rsidRPr="007C66C3" w:rsidRDefault="0005530E" w:rsidP="0005530E">
            <w:pPr>
              <w:rPr>
                <w:sz w:val="20"/>
                <w:szCs w:val="20"/>
              </w:rPr>
            </w:pPr>
            <w:r w:rsidRPr="007C66C3">
              <w:rPr>
                <w:sz w:val="20"/>
                <w:szCs w:val="20"/>
              </w:rPr>
              <w:t>Analýza administratívnych kapacít v oblasti posudzovania vplyvov na životné prostredie (vykonávania smerníc EIA a SEA), vrátane návrhu opatrení na zabezpečenie ich dostatočného stavu schválená rokovaním 3. porady vedenia MŽP SR, ktorá sa konala dňa 24.1.2013.</w:t>
            </w:r>
          </w:p>
        </w:tc>
        <w:tc>
          <w:tcPr>
            <w:tcW w:w="4265" w:type="dxa"/>
            <w:gridSpan w:val="2"/>
            <w:tcBorders>
              <w:bottom w:val="single" w:sz="12" w:space="0" w:color="auto"/>
              <w:right w:val="single" w:sz="12" w:space="0" w:color="auto"/>
            </w:tcBorders>
          </w:tcPr>
          <w:p w:rsidR="0005530E" w:rsidRPr="007C66C3" w:rsidRDefault="0005530E" w:rsidP="0005530E">
            <w:pPr>
              <w:rPr>
                <w:sz w:val="20"/>
                <w:szCs w:val="20"/>
              </w:rPr>
            </w:pPr>
            <w:r w:rsidRPr="007C66C3">
              <w:rPr>
                <w:sz w:val="20"/>
                <w:szCs w:val="20"/>
              </w:rPr>
              <w:t xml:space="preserve">Záver Analýzy poukazuje na skutočnosť, že súčasný stav administratívnych kapacít v oblasti posudzovania vplyvov na životné prostredie je dostatočný. </w:t>
            </w:r>
          </w:p>
          <w:p w:rsidR="0005530E" w:rsidRPr="007C66C3" w:rsidRDefault="0005530E" w:rsidP="0005530E">
            <w:pPr>
              <w:rPr>
                <w:sz w:val="20"/>
                <w:szCs w:val="20"/>
              </w:rPr>
            </w:pPr>
          </w:p>
        </w:tc>
      </w:tr>
      <w:tr w:rsidR="0005530E" w:rsidRPr="007C66C3" w:rsidTr="007B197D">
        <w:tblPrEx>
          <w:tblBorders>
            <w:top w:val="single" w:sz="2" w:space="0" w:color="auto"/>
            <w:left w:val="single" w:sz="2" w:space="0" w:color="auto"/>
            <w:bottom w:val="single" w:sz="2" w:space="0" w:color="auto"/>
            <w:right w:val="single" w:sz="2" w:space="0" w:color="auto"/>
          </w:tblBorders>
        </w:tblPrEx>
        <w:trPr>
          <w:trHeight w:val="2215"/>
        </w:trPr>
        <w:tc>
          <w:tcPr>
            <w:tcW w:w="1799" w:type="dxa"/>
            <w:vMerge w:val="restart"/>
            <w:tcBorders>
              <w:top w:val="single" w:sz="12" w:space="0" w:color="auto"/>
              <w:left w:val="single" w:sz="12" w:space="0" w:color="auto"/>
            </w:tcBorders>
          </w:tcPr>
          <w:p w:rsidR="0005530E" w:rsidRPr="007C66C3" w:rsidRDefault="0005530E" w:rsidP="0005530E">
            <w:pPr>
              <w:jc w:val="left"/>
              <w:rPr>
                <w:sz w:val="20"/>
                <w:szCs w:val="20"/>
              </w:rPr>
            </w:pPr>
            <w:r w:rsidRPr="007C66C3">
              <w:rPr>
                <w:sz w:val="20"/>
                <w:szCs w:val="20"/>
              </w:rPr>
              <w:t>7. Štatistické systémy a ukazovatele výsledkov</w:t>
            </w:r>
          </w:p>
          <w:p w:rsidR="0005530E" w:rsidRPr="007C66C3" w:rsidRDefault="0005530E" w:rsidP="0005530E">
            <w:pPr>
              <w:jc w:val="left"/>
              <w:rPr>
                <w:sz w:val="20"/>
                <w:szCs w:val="20"/>
              </w:rPr>
            </w:pPr>
          </w:p>
          <w:p w:rsidR="0005530E" w:rsidRPr="007C66C3" w:rsidRDefault="0005530E" w:rsidP="0005530E">
            <w:pPr>
              <w:jc w:val="left"/>
              <w:rPr>
                <w:sz w:val="20"/>
                <w:szCs w:val="20"/>
              </w:rPr>
            </w:pPr>
            <w:r w:rsidRPr="007C66C3">
              <w:rPr>
                <w:sz w:val="20"/>
                <w:szCs w:val="20"/>
              </w:rPr>
              <w:t>Existencia štatistického základu potrebného na uskutočnenie hodnotení pre</w:t>
            </w:r>
            <w:r w:rsidRPr="007C66C3">
              <w:rPr>
                <w:sz w:val="20"/>
                <w:szCs w:val="20"/>
              </w:rPr>
              <w:lastRenderedPageBreak/>
              <w:t xml:space="preserve"> posúdenie účinnosti a vplyvu programov. </w:t>
            </w:r>
          </w:p>
          <w:p w:rsidR="0005530E" w:rsidRPr="007C66C3" w:rsidRDefault="0005530E" w:rsidP="0005530E">
            <w:pPr>
              <w:jc w:val="left"/>
              <w:rPr>
                <w:sz w:val="20"/>
                <w:szCs w:val="20"/>
              </w:rPr>
            </w:pPr>
          </w:p>
          <w:p w:rsidR="0005530E" w:rsidRPr="007C66C3" w:rsidRDefault="0005530E" w:rsidP="0005530E">
            <w:pPr>
              <w:jc w:val="left"/>
              <w:rPr>
                <w:sz w:val="20"/>
                <w:szCs w:val="20"/>
              </w:rPr>
            </w:pPr>
            <w:r w:rsidRPr="007C66C3">
              <w:rPr>
                <w:sz w:val="20"/>
                <w:szCs w:val="20"/>
              </w:rPr>
              <w:t>Existencia systému ukazovateľov výsledkov nevyhnutných pre výber opatrení, ktoré čo najúčinnejšie prispievajú k dosiahnutiu želaných výsledkov, pre monitorovanie pokroku pri dosahovaní výsledkov a vykonanie posúdenia vplyvu.</w:t>
            </w:r>
          </w:p>
        </w:tc>
        <w:tc>
          <w:tcPr>
            <w:tcW w:w="1745" w:type="dxa"/>
            <w:gridSpan w:val="2"/>
            <w:vMerge w:val="restart"/>
            <w:tcBorders>
              <w:top w:val="single" w:sz="12" w:space="0" w:color="auto"/>
            </w:tcBorders>
          </w:tcPr>
          <w:p w:rsidR="0005530E" w:rsidRPr="007C66C3" w:rsidRDefault="0005530E" w:rsidP="0005530E">
            <w:pPr>
              <w:jc w:val="center"/>
              <w:rPr>
                <w:sz w:val="20"/>
                <w:szCs w:val="20"/>
              </w:rPr>
            </w:pPr>
          </w:p>
          <w:p w:rsidR="0005530E" w:rsidRPr="007C66C3" w:rsidRDefault="0005530E" w:rsidP="0005530E">
            <w:pPr>
              <w:jc w:val="center"/>
              <w:rPr>
                <w:sz w:val="20"/>
                <w:szCs w:val="20"/>
              </w:rPr>
            </w:pPr>
          </w:p>
          <w:p w:rsidR="0005530E" w:rsidRPr="007C66C3" w:rsidRDefault="0005530E" w:rsidP="0005530E">
            <w:pPr>
              <w:jc w:val="center"/>
              <w:rPr>
                <w:sz w:val="20"/>
                <w:szCs w:val="20"/>
              </w:rPr>
            </w:pPr>
          </w:p>
          <w:p w:rsidR="0005530E" w:rsidRPr="007C66C3" w:rsidRDefault="0005530E" w:rsidP="0005530E">
            <w:pPr>
              <w:jc w:val="center"/>
              <w:rPr>
                <w:sz w:val="20"/>
                <w:szCs w:val="20"/>
              </w:rPr>
            </w:pPr>
          </w:p>
          <w:p w:rsidR="0005530E" w:rsidRPr="007C66C3" w:rsidRDefault="0005530E" w:rsidP="0005530E">
            <w:pPr>
              <w:jc w:val="center"/>
              <w:rPr>
                <w:sz w:val="20"/>
                <w:szCs w:val="20"/>
              </w:rPr>
            </w:pPr>
          </w:p>
          <w:p w:rsidR="0005530E" w:rsidRPr="007C66C3" w:rsidRDefault="0005530E" w:rsidP="0005530E">
            <w:pPr>
              <w:jc w:val="center"/>
              <w:rPr>
                <w:sz w:val="20"/>
                <w:szCs w:val="20"/>
              </w:rPr>
            </w:pPr>
          </w:p>
          <w:p w:rsidR="0005530E" w:rsidRPr="007C66C3" w:rsidRDefault="0005530E" w:rsidP="0005530E">
            <w:pPr>
              <w:jc w:val="center"/>
              <w:rPr>
                <w:sz w:val="20"/>
                <w:szCs w:val="20"/>
              </w:rPr>
            </w:pPr>
          </w:p>
          <w:p w:rsidR="0005530E" w:rsidRPr="007C66C3" w:rsidRDefault="0005530E" w:rsidP="0005530E">
            <w:pPr>
              <w:jc w:val="center"/>
              <w:rPr>
                <w:sz w:val="20"/>
                <w:szCs w:val="20"/>
              </w:rPr>
            </w:pPr>
          </w:p>
          <w:p w:rsidR="0005530E" w:rsidRPr="007C66C3" w:rsidRDefault="0005530E" w:rsidP="0005530E">
            <w:pPr>
              <w:jc w:val="center"/>
              <w:rPr>
                <w:sz w:val="20"/>
                <w:szCs w:val="20"/>
              </w:rPr>
            </w:pPr>
          </w:p>
          <w:p w:rsidR="0005530E" w:rsidRPr="007C66C3" w:rsidRDefault="0005530E" w:rsidP="0005530E">
            <w:pPr>
              <w:jc w:val="center"/>
              <w:rPr>
                <w:b/>
                <w:sz w:val="20"/>
                <w:szCs w:val="20"/>
              </w:rPr>
            </w:pPr>
            <w:r w:rsidRPr="007C66C3">
              <w:rPr>
                <w:b/>
                <w:sz w:val="20"/>
                <w:szCs w:val="20"/>
              </w:rPr>
              <w:t>Nie</w:t>
            </w:r>
          </w:p>
        </w:tc>
        <w:tc>
          <w:tcPr>
            <w:tcW w:w="2410" w:type="dxa"/>
            <w:tcBorders>
              <w:top w:val="single" w:sz="12" w:space="0" w:color="auto"/>
              <w:bottom w:val="single" w:sz="8" w:space="0" w:color="auto"/>
            </w:tcBorders>
          </w:tcPr>
          <w:p w:rsidR="0005530E" w:rsidRPr="007C66C3" w:rsidRDefault="0005530E" w:rsidP="007B197D">
            <w:pPr>
              <w:jc w:val="left"/>
              <w:rPr>
                <w:sz w:val="20"/>
                <w:szCs w:val="20"/>
              </w:rPr>
            </w:pPr>
            <w:r w:rsidRPr="007C66C3">
              <w:rPr>
                <w:sz w:val="20"/>
                <w:szCs w:val="20"/>
              </w:rPr>
              <w:t>Zavedené sú opatrenia na zabezpečenie včasného zhromaždenia a konsolidácie štatistických údajov s týmito prvkami:</w:t>
            </w:r>
          </w:p>
          <w:p w:rsidR="0005530E" w:rsidRPr="007B197D" w:rsidRDefault="0005530E" w:rsidP="00CE203B">
            <w:pPr>
              <w:pStyle w:val="Odsekzoznamu"/>
              <w:numPr>
                <w:ilvl w:val="0"/>
                <w:numId w:val="394"/>
              </w:numPr>
              <w:ind w:left="176" w:hanging="142"/>
              <w:jc w:val="left"/>
              <w:rPr>
                <w:sz w:val="20"/>
                <w:szCs w:val="20"/>
              </w:rPr>
            </w:pPr>
            <w:r w:rsidRPr="007B197D">
              <w:rPr>
                <w:sz w:val="20"/>
                <w:szCs w:val="20"/>
              </w:rPr>
              <w:t>identifikácia zdrojov a mechanizmov na zaručenie validácie štatistických údajov,</w:t>
            </w:r>
          </w:p>
          <w:p w:rsidR="0005530E" w:rsidRPr="007B197D" w:rsidRDefault="007B197D" w:rsidP="00CE203B">
            <w:pPr>
              <w:pStyle w:val="Odsekzoznamu"/>
              <w:numPr>
                <w:ilvl w:val="0"/>
                <w:numId w:val="395"/>
              </w:numPr>
              <w:ind w:left="176" w:hanging="142"/>
              <w:jc w:val="left"/>
              <w:rPr>
                <w:sz w:val="20"/>
                <w:szCs w:val="20"/>
              </w:rPr>
            </w:pPr>
            <w:r>
              <w:rPr>
                <w:sz w:val="20"/>
                <w:szCs w:val="20"/>
              </w:rPr>
              <w:t>-</w:t>
            </w:r>
            <w:r w:rsidR="0005530E" w:rsidRPr="007B197D">
              <w:rPr>
                <w:sz w:val="20"/>
                <w:szCs w:val="20"/>
              </w:rPr>
              <w:t>opatrenia na uverejnenie</w:t>
            </w:r>
            <w:r w:rsidR="0005530E" w:rsidRPr="007B197D">
              <w:rPr>
                <w:sz w:val="20"/>
                <w:szCs w:val="20"/>
              </w:rPr>
              <w:lastRenderedPageBreak/>
              <w:t xml:space="preserve"> konsolidovaných údajov a ich sprístupnenie verejnosti.</w:t>
            </w:r>
          </w:p>
        </w:tc>
        <w:tc>
          <w:tcPr>
            <w:tcW w:w="992" w:type="dxa"/>
            <w:tcBorders>
              <w:top w:val="single" w:sz="12" w:space="0" w:color="auto"/>
            </w:tcBorders>
          </w:tcPr>
          <w:p w:rsidR="0005530E" w:rsidRPr="007C66C3" w:rsidRDefault="0005530E" w:rsidP="0005530E">
            <w:pPr>
              <w:jc w:val="center"/>
              <w:rPr>
                <w:sz w:val="20"/>
                <w:szCs w:val="20"/>
              </w:rPr>
            </w:pPr>
          </w:p>
          <w:p w:rsidR="0005530E" w:rsidRPr="007C66C3" w:rsidRDefault="0005530E" w:rsidP="0005530E">
            <w:pPr>
              <w:jc w:val="center"/>
              <w:rPr>
                <w:sz w:val="20"/>
                <w:szCs w:val="20"/>
              </w:rPr>
            </w:pPr>
          </w:p>
          <w:p w:rsidR="0005530E" w:rsidRPr="007C66C3" w:rsidRDefault="0005530E" w:rsidP="0005530E">
            <w:pPr>
              <w:jc w:val="center"/>
              <w:rPr>
                <w:sz w:val="20"/>
                <w:szCs w:val="20"/>
              </w:rPr>
            </w:pPr>
          </w:p>
          <w:p w:rsidR="0005530E" w:rsidRPr="007C66C3" w:rsidRDefault="0005530E" w:rsidP="0005530E">
            <w:pPr>
              <w:jc w:val="center"/>
              <w:rPr>
                <w:sz w:val="20"/>
                <w:szCs w:val="20"/>
              </w:rPr>
            </w:pPr>
          </w:p>
          <w:p w:rsidR="0005530E" w:rsidRPr="007C66C3" w:rsidRDefault="0005530E" w:rsidP="0005530E">
            <w:pPr>
              <w:jc w:val="center"/>
              <w:rPr>
                <w:sz w:val="20"/>
                <w:szCs w:val="20"/>
              </w:rPr>
            </w:pPr>
          </w:p>
          <w:p w:rsidR="0005530E" w:rsidRPr="007C66C3" w:rsidRDefault="0005530E" w:rsidP="0005530E">
            <w:pPr>
              <w:jc w:val="center"/>
              <w:rPr>
                <w:sz w:val="20"/>
                <w:szCs w:val="20"/>
              </w:rPr>
            </w:pPr>
          </w:p>
          <w:p w:rsidR="0005530E" w:rsidRPr="007C66C3" w:rsidRDefault="0005530E" w:rsidP="0005530E">
            <w:pPr>
              <w:jc w:val="center"/>
              <w:rPr>
                <w:sz w:val="20"/>
                <w:szCs w:val="20"/>
              </w:rPr>
            </w:pPr>
          </w:p>
          <w:p w:rsidR="0005530E" w:rsidRPr="007C66C3" w:rsidRDefault="0005530E" w:rsidP="0005530E">
            <w:pPr>
              <w:jc w:val="center"/>
              <w:rPr>
                <w:sz w:val="20"/>
                <w:szCs w:val="20"/>
              </w:rPr>
            </w:pPr>
          </w:p>
          <w:p w:rsidR="0005530E" w:rsidRPr="007C66C3" w:rsidRDefault="0005530E" w:rsidP="0005530E">
            <w:pPr>
              <w:jc w:val="center"/>
              <w:rPr>
                <w:sz w:val="20"/>
                <w:szCs w:val="20"/>
              </w:rPr>
            </w:pPr>
          </w:p>
          <w:p w:rsidR="0005530E" w:rsidRPr="007C66C3" w:rsidRDefault="0005530E" w:rsidP="0005530E">
            <w:pPr>
              <w:jc w:val="center"/>
              <w:rPr>
                <w:b/>
                <w:sz w:val="20"/>
                <w:szCs w:val="20"/>
              </w:rPr>
            </w:pPr>
            <w:r w:rsidRPr="007C66C3">
              <w:rPr>
                <w:b/>
                <w:sz w:val="20"/>
                <w:szCs w:val="20"/>
              </w:rPr>
              <w:t>Nie</w:t>
            </w:r>
          </w:p>
          <w:p w:rsidR="0005530E" w:rsidRPr="007C66C3" w:rsidRDefault="0005530E" w:rsidP="0005530E">
            <w:pPr>
              <w:jc w:val="center"/>
              <w:rPr>
                <w:sz w:val="20"/>
                <w:szCs w:val="20"/>
              </w:rPr>
            </w:pPr>
          </w:p>
          <w:p w:rsidR="0005530E" w:rsidRPr="007C66C3" w:rsidRDefault="0005530E" w:rsidP="0005530E">
            <w:pPr>
              <w:jc w:val="center"/>
              <w:rPr>
                <w:sz w:val="20"/>
                <w:szCs w:val="20"/>
              </w:rPr>
            </w:pPr>
          </w:p>
          <w:p w:rsidR="0005530E" w:rsidRPr="007C66C3" w:rsidRDefault="0005530E" w:rsidP="0005530E">
            <w:pPr>
              <w:jc w:val="center"/>
              <w:rPr>
                <w:sz w:val="20"/>
                <w:szCs w:val="20"/>
              </w:rPr>
            </w:pPr>
          </w:p>
          <w:p w:rsidR="0005530E" w:rsidRPr="007C66C3" w:rsidRDefault="0005530E" w:rsidP="0005530E">
            <w:pPr>
              <w:jc w:val="center"/>
              <w:rPr>
                <w:sz w:val="20"/>
                <w:szCs w:val="20"/>
              </w:rPr>
            </w:pPr>
          </w:p>
          <w:p w:rsidR="0005530E" w:rsidRPr="007C66C3" w:rsidRDefault="0005530E" w:rsidP="0005530E">
            <w:pPr>
              <w:jc w:val="center"/>
              <w:rPr>
                <w:sz w:val="20"/>
                <w:szCs w:val="20"/>
              </w:rPr>
            </w:pPr>
          </w:p>
          <w:p w:rsidR="0005530E" w:rsidRPr="007C66C3" w:rsidRDefault="0005530E" w:rsidP="0005530E">
            <w:pPr>
              <w:jc w:val="center"/>
              <w:rPr>
                <w:sz w:val="20"/>
                <w:szCs w:val="20"/>
              </w:rPr>
            </w:pPr>
          </w:p>
          <w:p w:rsidR="0005530E" w:rsidRPr="007C66C3" w:rsidRDefault="0005530E" w:rsidP="0005530E">
            <w:pPr>
              <w:jc w:val="center"/>
              <w:rPr>
                <w:sz w:val="20"/>
                <w:szCs w:val="20"/>
              </w:rPr>
            </w:pPr>
          </w:p>
          <w:p w:rsidR="0005530E" w:rsidRPr="007C66C3" w:rsidRDefault="0005530E" w:rsidP="0005530E">
            <w:pPr>
              <w:jc w:val="center"/>
              <w:rPr>
                <w:sz w:val="20"/>
                <w:szCs w:val="20"/>
              </w:rPr>
            </w:pPr>
          </w:p>
        </w:tc>
        <w:tc>
          <w:tcPr>
            <w:tcW w:w="3119" w:type="dxa"/>
            <w:tcBorders>
              <w:top w:val="single" w:sz="12" w:space="0" w:color="auto"/>
            </w:tcBorders>
          </w:tcPr>
          <w:p w:rsidR="0005530E" w:rsidRPr="007C66C3" w:rsidRDefault="0005530E" w:rsidP="007B197D">
            <w:pPr>
              <w:jc w:val="left"/>
              <w:rPr>
                <w:sz w:val="20"/>
                <w:szCs w:val="20"/>
              </w:rPr>
            </w:pPr>
            <w:r w:rsidRPr="007C66C3">
              <w:rPr>
                <w:sz w:val="20"/>
                <w:szCs w:val="20"/>
              </w:rPr>
              <w:t xml:space="preserve">V zmysle  </w:t>
            </w:r>
            <w:r w:rsidRPr="007C66C3">
              <w:rPr>
                <w:i/>
                <w:sz w:val="20"/>
                <w:szCs w:val="20"/>
              </w:rPr>
              <w:t>návrhu Usmernenia CKO k tvorbe merateľných ukazovateľov na programovej a projektovej úrovni</w:t>
            </w:r>
            <w:r w:rsidRPr="007C66C3">
              <w:rPr>
                <w:sz w:val="20"/>
                <w:szCs w:val="20"/>
              </w:rPr>
              <w:t>, ktoré bolo prezentované na 4. zasadnutí pracovnej skupiny k ex-ante kondicionalite štatistické systémy a ukazovatele výsledku, každý subjekt zodpovedný za prípravu operačných programov zabezpečí, aby v súvislosti s vypracovaním návrhu OP bol</w:t>
            </w:r>
            <w:r w:rsidRPr="007C66C3">
              <w:rPr>
                <w:sz w:val="20"/>
                <w:szCs w:val="20"/>
              </w:rPr>
              <w:lastRenderedPageBreak/>
              <w:t xml:space="preserve"> vypracovaný  samostatný dokument obsahujúci opis systémov monitorovania a hodnotenia na úrovni príslušného OP, ktorý bude obsahovať:</w:t>
            </w:r>
          </w:p>
          <w:p w:rsidR="0005530E" w:rsidRPr="007C66C3" w:rsidRDefault="0005530E" w:rsidP="007B197D">
            <w:pPr>
              <w:jc w:val="left"/>
              <w:rPr>
                <w:sz w:val="20"/>
                <w:szCs w:val="20"/>
              </w:rPr>
            </w:pPr>
            <w:r w:rsidRPr="007C66C3">
              <w:rPr>
                <w:sz w:val="20"/>
                <w:szCs w:val="20"/>
              </w:rPr>
              <w:t>1.Definovanie ukazovateľov, ich zber a monitorovanie: identifikáciu relevantných prioritných osí operačného programu, zodpovedajúcich výstupových a výsledkových ukazovateľov, pri každom ukazovateli jeho definíciu a metódu výpočtu, mernú jednotku, východiskovú (v prípade merateľných ukazovateľov výsledku) a cieľovú hodnotu a rovnako aj zdroj, z ktorého budú čerpané údaje pre účely monitorovania jednotlivých ukazovateľov a periodicitu ich monitorovania.</w:t>
            </w:r>
          </w:p>
          <w:p w:rsidR="0005530E" w:rsidRPr="007C66C3" w:rsidRDefault="0005530E" w:rsidP="007B197D">
            <w:pPr>
              <w:jc w:val="left"/>
              <w:rPr>
                <w:sz w:val="20"/>
                <w:szCs w:val="20"/>
              </w:rPr>
            </w:pPr>
            <w:r w:rsidRPr="007C66C3">
              <w:rPr>
                <w:sz w:val="20"/>
                <w:szCs w:val="20"/>
              </w:rPr>
              <w:t>2. Definovanie výkonnostného rámca: zdôvodnenie výberu ukazovateľov (definovaných v časti 1)  do výkonnostného rámca, stanovenie míľnikov a cieľových hodnôt, popis/výpočet stanovenia míľnikov a cieľových hodnôt (exaktné výpočty, použité metódy).</w:t>
            </w:r>
          </w:p>
          <w:p w:rsidR="0005530E" w:rsidRPr="007C66C3" w:rsidRDefault="0005530E" w:rsidP="007B197D">
            <w:pPr>
              <w:jc w:val="left"/>
              <w:rPr>
                <w:sz w:val="20"/>
                <w:szCs w:val="20"/>
              </w:rPr>
            </w:pPr>
            <w:r w:rsidRPr="007C66C3">
              <w:rPr>
                <w:sz w:val="20"/>
                <w:szCs w:val="20"/>
              </w:rPr>
              <w:t>3. Definovanie údajov potrebných pre účely hodnotenia :  definovanie</w:t>
            </w:r>
            <w:r w:rsidRPr="007C66C3">
              <w:rPr>
                <w:sz w:val="20"/>
                <w:szCs w:val="20"/>
              </w:rPr>
              <w:lastRenderedPageBreak/>
              <w:t xml:space="preserve"> zamerania hodnotenia,  identifikácia predpokladanej metódy hodnotenia (kvalitatívna/kvantitatívna), identifikácia dát a údajov potrebných pre účely hodnotenia, spôsob ich zberu, archivácia, Uvedená časť bude rovnako obsahovať informáciu o skutočnosti, či dáta podliehajú ochrane citlivých údajov a spôsob zabezpečenia ochrany citlivých údajov.</w:t>
            </w:r>
          </w:p>
          <w:p w:rsidR="0005530E" w:rsidRPr="007C66C3" w:rsidRDefault="0005530E" w:rsidP="007B197D">
            <w:pPr>
              <w:jc w:val="left"/>
              <w:rPr>
                <w:sz w:val="20"/>
                <w:szCs w:val="20"/>
                <w:lang w:eastAsia="cs-CZ"/>
              </w:rPr>
            </w:pPr>
            <w:r w:rsidRPr="007C66C3">
              <w:rPr>
                <w:sz w:val="20"/>
                <w:szCs w:val="20"/>
                <w:lang w:eastAsia="cs-CZ"/>
              </w:rPr>
              <w:t>CKO pripravilo návrh metodického pokynu pre riadiace orgány k výkonnostnej rezerve a výkonnostnému rámcu. Cieľom metodického pokynu je stanoviť základné pravidlá pre určenie výkonnostnej rezervy a fungovanie výkonnostného rámca v rámci EŠIF v programovom období 2014 – 2020 v podmienkach SR s priemetom na všetky operačné programy. Zároveň sa prostredníctvom metodického pokynu zabezpečí súlad pri nastavení pravidiel výkonnostného rámca naprieč OP.</w:t>
            </w:r>
          </w:p>
        </w:tc>
        <w:tc>
          <w:tcPr>
            <w:tcW w:w="4265" w:type="dxa"/>
            <w:gridSpan w:val="2"/>
            <w:vMerge w:val="restart"/>
            <w:tcBorders>
              <w:top w:val="single" w:sz="12" w:space="0" w:color="auto"/>
              <w:right w:val="single" w:sz="12" w:space="0" w:color="auto"/>
            </w:tcBorders>
          </w:tcPr>
          <w:p w:rsidR="0005530E" w:rsidRPr="007C66C3" w:rsidRDefault="0005530E" w:rsidP="0005530E">
            <w:pPr>
              <w:rPr>
                <w:sz w:val="20"/>
                <w:szCs w:val="20"/>
              </w:rPr>
            </w:pPr>
            <w:r w:rsidRPr="007C66C3">
              <w:rPr>
                <w:sz w:val="20"/>
                <w:szCs w:val="20"/>
              </w:rPr>
              <w:t>V súvislosti so zabezpečením koordinačnej činnosti vo vzťahu k splneniu predmetných kritérií ex-ante kondicionality bola zo strany CKO poskytnutá v prípravnej fáze jednotlivým subjektom možnosť zabezpečenia nezávislej externej expertízy, ktorá má napomôcť pri definovaní relevantných ukazovateľov výsledku a to overením, či jednotlivé ukazovatele výsledku priradené k zadefinovaným špecifickým cieľom predstavujú adekvátny spôsob merania dosahovania zadefinovaného špecifického cieľa a</w:t>
            </w:r>
            <w:r w:rsidRPr="007C66C3">
              <w:rPr>
                <w:sz w:val="20"/>
                <w:szCs w:val="20"/>
              </w:rPr>
              <w:lastRenderedPageBreak/>
              <w:t xml:space="preserve"> tiež či navrhovaný zdroj informácií pre monitorovanie daného ukazovateľa je relevantný a dostačujúci pre jeho adekvátne posúdenie. Uvedená možnosť pre jednotlivé subjekty v procese prípravy operačných programov má zabezpečiť, spolu s výsledkami ex ante hodnotenia, zvýšenie miery uistenia o vhodnosti nastavenia systému merateľných ukazovateľov výsledku.</w:t>
            </w:r>
          </w:p>
        </w:tc>
      </w:tr>
      <w:tr w:rsidR="0005530E" w:rsidRPr="007C66C3" w:rsidTr="0005530E">
        <w:tblPrEx>
          <w:tblBorders>
            <w:top w:val="single" w:sz="2" w:space="0" w:color="auto"/>
            <w:left w:val="single" w:sz="2" w:space="0" w:color="auto"/>
            <w:bottom w:val="single" w:sz="2" w:space="0" w:color="auto"/>
            <w:right w:val="single" w:sz="2" w:space="0" w:color="auto"/>
          </w:tblBorders>
        </w:tblPrEx>
        <w:trPr>
          <w:trHeight w:val="3035"/>
        </w:trPr>
        <w:tc>
          <w:tcPr>
            <w:tcW w:w="1799" w:type="dxa"/>
            <w:vMerge/>
            <w:tcBorders>
              <w:left w:val="single" w:sz="12" w:space="0" w:color="auto"/>
            </w:tcBorders>
          </w:tcPr>
          <w:p w:rsidR="0005530E" w:rsidRPr="007C66C3" w:rsidRDefault="0005530E" w:rsidP="0005530E">
            <w:pPr>
              <w:rPr>
                <w:sz w:val="20"/>
                <w:szCs w:val="20"/>
              </w:rPr>
            </w:pPr>
          </w:p>
        </w:tc>
        <w:tc>
          <w:tcPr>
            <w:tcW w:w="1745" w:type="dxa"/>
            <w:gridSpan w:val="2"/>
            <w:vMerge/>
          </w:tcPr>
          <w:p w:rsidR="0005530E" w:rsidRPr="007C66C3" w:rsidRDefault="0005530E" w:rsidP="0005530E">
            <w:pPr>
              <w:jc w:val="center"/>
              <w:rPr>
                <w:sz w:val="20"/>
                <w:szCs w:val="20"/>
              </w:rPr>
            </w:pPr>
          </w:p>
        </w:tc>
        <w:tc>
          <w:tcPr>
            <w:tcW w:w="2410" w:type="dxa"/>
            <w:tcBorders>
              <w:top w:val="single" w:sz="8" w:space="0" w:color="auto"/>
              <w:bottom w:val="single" w:sz="8" w:space="0" w:color="auto"/>
            </w:tcBorders>
          </w:tcPr>
          <w:p w:rsidR="0005530E" w:rsidRPr="007C66C3" w:rsidRDefault="0005530E" w:rsidP="007B197D">
            <w:pPr>
              <w:jc w:val="left"/>
              <w:rPr>
                <w:sz w:val="20"/>
                <w:szCs w:val="20"/>
              </w:rPr>
            </w:pPr>
            <w:r w:rsidRPr="007C66C3">
              <w:rPr>
                <w:sz w:val="20"/>
                <w:szCs w:val="20"/>
              </w:rPr>
              <w:t>Účinný systém ukazovateľov výsledkov vrátane:</w:t>
            </w:r>
          </w:p>
          <w:p w:rsidR="0005530E" w:rsidRPr="007B197D" w:rsidRDefault="0005530E" w:rsidP="00CE203B">
            <w:pPr>
              <w:pStyle w:val="Odsekzoznamu"/>
              <w:numPr>
                <w:ilvl w:val="0"/>
                <w:numId w:val="395"/>
              </w:numPr>
              <w:ind w:left="318" w:hanging="284"/>
              <w:jc w:val="left"/>
              <w:rPr>
                <w:sz w:val="20"/>
                <w:szCs w:val="20"/>
              </w:rPr>
            </w:pPr>
            <w:r w:rsidRPr="007B197D">
              <w:rPr>
                <w:sz w:val="20"/>
                <w:szCs w:val="20"/>
              </w:rPr>
              <w:t>výberu ukazovateľov výsledkov pre každý program poskytujúcich informácie o tom, čo motivuje výber politických opatrení financovaných programom,</w:t>
            </w:r>
          </w:p>
          <w:p w:rsidR="0005530E" w:rsidRPr="007B197D" w:rsidRDefault="0005530E" w:rsidP="00CE203B">
            <w:pPr>
              <w:pStyle w:val="Odsekzoznamu"/>
              <w:numPr>
                <w:ilvl w:val="0"/>
                <w:numId w:val="395"/>
              </w:numPr>
              <w:ind w:left="318" w:hanging="284"/>
              <w:jc w:val="left"/>
              <w:rPr>
                <w:sz w:val="20"/>
                <w:szCs w:val="20"/>
              </w:rPr>
            </w:pPr>
            <w:r w:rsidRPr="007B197D">
              <w:rPr>
                <w:sz w:val="20"/>
                <w:szCs w:val="20"/>
              </w:rPr>
              <w:t>stanovenia cieľov týchto ukazovateľov,</w:t>
            </w:r>
          </w:p>
          <w:p w:rsidR="0005530E" w:rsidRPr="007B197D" w:rsidRDefault="0005530E" w:rsidP="00CE203B">
            <w:pPr>
              <w:pStyle w:val="Odsekzoznamu"/>
              <w:numPr>
                <w:ilvl w:val="0"/>
                <w:numId w:val="395"/>
              </w:numPr>
              <w:ind w:left="318" w:hanging="284"/>
              <w:jc w:val="left"/>
              <w:rPr>
                <w:sz w:val="20"/>
                <w:szCs w:val="20"/>
              </w:rPr>
            </w:pPr>
            <w:r w:rsidRPr="007B197D">
              <w:rPr>
                <w:sz w:val="20"/>
                <w:szCs w:val="20"/>
              </w:rPr>
              <w:t>súladu každého ukazovateľa s týmito náležitosťami: odolnosť a štatistická validácia, jasný normatívny výklad, citlivosť voči politike a včasné zhromažďovanie údajov.</w:t>
            </w:r>
          </w:p>
        </w:tc>
        <w:tc>
          <w:tcPr>
            <w:tcW w:w="992" w:type="dxa"/>
          </w:tcPr>
          <w:p w:rsidR="0005530E" w:rsidRPr="007C66C3" w:rsidRDefault="0005530E" w:rsidP="0005530E">
            <w:pPr>
              <w:jc w:val="center"/>
              <w:rPr>
                <w:sz w:val="20"/>
                <w:szCs w:val="20"/>
              </w:rPr>
            </w:pPr>
          </w:p>
          <w:p w:rsidR="0005530E" w:rsidRPr="007C66C3" w:rsidRDefault="0005530E" w:rsidP="0005530E">
            <w:pPr>
              <w:jc w:val="center"/>
              <w:rPr>
                <w:sz w:val="20"/>
                <w:szCs w:val="20"/>
              </w:rPr>
            </w:pPr>
          </w:p>
          <w:p w:rsidR="0005530E" w:rsidRPr="007C66C3" w:rsidRDefault="0005530E" w:rsidP="0005530E">
            <w:pPr>
              <w:jc w:val="center"/>
              <w:rPr>
                <w:sz w:val="20"/>
                <w:szCs w:val="20"/>
              </w:rPr>
            </w:pPr>
          </w:p>
          <w:p w:rsidR="0005530E" w:rsidRPr="007C66C3" w:rsidRDefault="0005530E" w:rsidP="0005530E">
            <w:pPr>
              <w:jc w:val="center"/>
              <w:rPr>
                <w:sz w:val="20"/>
                <w:szCs w:val="20"/>
              </w:rPr>
            </w:pPr>
          </w:p>
          <w:p w:rsidR="0005530E" w:rsidRPr="007C66C3" w:rsidRDefault="0005530E" w:rsidP="0005530E">
            <w:pPr>
              <w:jc w:val="center"/>
              <w:rPr>
                <w:sz w:val="20"/>
                <w:szCs w:val="20"/>
              </w:rPr>
            </w:pPr>
          </w:p>
          <w:p w:rsidR="0005530E" w:rsidRPr="007C66C3" w:rsidRDefault="0005530E" w:rsidP="0005530E">
            <w:pPr>
              <w:jc w:val="center"/>
              <w:rPr>
                <w:sz w:val="20"/>
                <w:szCs w:val="20"/>
              </w:rPr>
            </w:pPr>
          </w:p>
          <w:p w:rsidR="0005530E" w:rsidRPr="007C66C3" w:rsidRDefault="0005530E" w:rsidP="0005530E">
            <w:pPr>
              <w:jc w:val="center"/>
              <w:rPr>
                <w:sz w:val="20"/>
                <w:szCs w:val="20"/>
              </w:rPr>
            </w:pPr>
          </w:p>
          <w:p w:rsidR="0005530E" w:rsidRPr="007C66C3" w:rsidRDefault="0005530E" w:rsidP="0005530E">
            <w:pPr>
              <w:jc w:val="center"/>
              <w:rPr>
                <w:sz w:val="20"/>
                <w:szCs w:val="20"/>
              </w:rPr>
            </w:pPr>
          </w:p>
          <w:p w:rsidR="0005530E" w:rsidRPr="007C66C3" w:rsidRDefault="0005530E" w:rsidP="0005530E">
            <w:pPr>
              <w:jc w:val="center"/>
              <w:rPr>
                <w:b/>
                <w:sz w:val="20"/>
                <w:szCs w:val="20"/>
              </w:rPr>
            </w:pPr>
            <w:r w:rsidRPr="007C66C3">
              <w:rPr>
                <w:b/>
                <w:sz w:val="20"/>
                <w:szCs w:val="20"/>
              </w:rPr>
              <w:t>Nie</w:t>
            </w:r>
          </w:p>
        </w:tc>
        <w:tc>
          <w:tcPr>
            <w:tcW w:w="3119" w:type="dxa"/>
          </w:tcPr>
          <w:p w:rsidR="0005530E" w:rsidRPr="007C66C3" w:rsidRDefault="0005530E" w:rsidP="007B197D">
            <w:pPr>
              <w:rPr>
                <w:sz w:val="20"/>
                <w:szCs w:val="20"/>
                <w:lang w:eastAsia="cs-CZ"/>
              </w:rPr>
            </w:pPr>
            <w:r w:rsidRPr="007C66C3">
              <w:rPr>
                <w:sz w:val="20"/>
                <w:szCs w:val="20"/>
                <w:lang w:eastAsia="cs-CZ"/>
              </w:rPr>
              <w:t>CKO v súvislosti so zabezpečením maximálnej informovanosti subjektov zodpovedných za prípravu systému ukazovateľov poskytuje metodickú a informačnú pomoc vo forme zriadenej pracovnej skupiny. Tieto aktivity plánuje rozšíriť vzhľadom na zabezpečenie čo najväčšej miery a súladu postupov zorganizovaním širšieho pracovného stretnutia za účasti zodpovedných subjektov. Toto stretnutie sa uskutočnilo dňa 16.12.2013, pričom bol relevantným subjektom predstavený  návrh metodického usmernenia popisujúceho jednotné postupy pri tvorbe systému ukazovateľov.</w:t>
            </w:r>
          </w:p>
        </w:tc>
        <w:tc>
          <w:tcPr>
            <w:tcW w:w="4265" w:type="dxa"/>
            <w:gridSpan w:val="2"/>
            <w:vMerge/>
            <w:tcBorders>
              <w:right w:val="single" w:sz="12" w:space="0" w:color="auto"/>
            </w:tcBorders>
          </w:tcPr>
          <w:p w:rsidR="0005530E" w:rsidRPr="007C66C3" w:rsidRDefault="0005530E" w:rsidP="0005530E">
            <w:pPr>
              <w:rPr>
                <w:sz w:val="20"/>
                <w:szCs w:val="20"/>
              </w:rPr>
            </w:pPr>
          </w:p>
        </w:tc>
      </w:tr>
      <w:tr w:rsidR="0005530E" w:rsidRPr="007C66C3" w:rsidTr="0005530E">
        <w:tblPrEx>
          <w:tblBorders>
            <w:top w:val="single" w:sz="2" w:space="0" w:color="auto"/>
            <w:left w:val="single" w:sz="2" w:space="0" w:color="auto"/>
            <w:bottom w:val="single" w:sz="2" w:space="0" w:color="auto"/>
            <w:right w:val="single" w:sz="2" w:space="0" w:color="auto"/>
          </w:tblBorders>
        </w:tblPrEx>
        <w:trPr>
          <w:trHeight w:val="843"/>
        </w:trPr>
        <w:tc>
          <w:tcPr>
            <w:tcW w:w="1799" w:type="dxa"/>
            <w:vMerge/>
            <w:tcBorders>
              <w:left w:val="single" w:sz="12" w:space="0" w:color="auto"/>
              <w:bottom w:val="single" w:sz="12" w:space="0" w:color="auto"/>
            </w:tcBorders>
          </w:tcPr>
          <w:p w:rsidR="0005530E" w:rsidRPr="007C66C3" w:rsidRDefault="0005530E" w:rsidP="0005530E">
            <w:pPr>
              <w:rPr>
                <w:sz w:val="20"/>
                <w:szCs w:val="20"/>
              </w:rPr>
            </w:pPr>
          </w:p>
        </w:tc>
        <w:tc>
          <w:tcPr>
            <w:tcW w:w="1745" w:type="dxa"/>
            <w:gridSpan w:val="2"/>
            <w:vMerge/>
          </w:tcPr>
          <w:p w:rsidR="0005530E" w:rsidRPr="007C66C3" w:rsidRDefault="0005530E" w:rsidP="0005530E">
            <w:pPr>
              <w:jc w:val="center"/>
              <w:rPr>
                <w:sz w:val="20"/>
                <w:szCs w:val="20"/>
              </w:rPr>
            </w:pPr>
          </w:p>
        </w:tc>
        <w:tc>
          <w:tcPr>
            <w:tcW w:w="2410" w:type="dxa"/>
            <w:tcBorders>
              <w:top w:val="single" w:sz="8" w:space="0" w:color="auto"/>
            </w:tcBorders>
          </w:tcPr>
          <w:p w:rsidR="0005530E" w:rsidRPr="007C66C3" w:rsidRDefault="0005530E" w:rsidP="0005530E">
            <w:pPr>
              <w:rPr>
                <w:sz w:val="20"/>
                <w:szCs w:val="20"/>
              </w:rPr>
            </w:pPr>
            <w:r w:rsidRPr="007C66C3">
              <w:rPr>
                <w:sz w:val="20"/>
                <w:szCs w:val="20"/>
              </w:rPr>
              <w:t>Postupy zavedené na zaručenie toho, aby všetky operácie financované z programu prijali účinný systém ukazovateľov</w:t>
            </w:r>
          </w:p>
        </w:tc>
        <w:tc>
          <w:tcPr>
            <w:tcW w:w="992" w:type="dxa"/>
          </w:tcPr>
          <w:p w:rsidR="0005530E" w:rsidRPr="007C66C3" w:rsidRDefault="0005530E" w:rsidP="0005530E">
            <w:pPr>
              <w:jc w:val="center"/>
              <w:rPr>
                <w:b/>
                <w:sz w:val="20"/>
                <w:szCs w:val="20"/>
              </w:rPr>
            </w:pPr>
          </w:p>
          <w:p w:rsidR="0005530E" w:rsidRPr="007C66C3" w:rsidRDefault="0005530E" w:rsidP="0005530E">
            <w:pPr>
              <w:jc w:val="center"/>
              <w:rPr>
                <w:b/>
                <w:sz w:val="20"/>
                <w:szCs w:val="20"/>
              </w:rPr>
            </w:pPr>
            <w:r w:rsidRPr="007C66C3">
              <w:rPr>
                <w:b/>
                <w:sz w:val="20"/>
                <w:szCs w:val="20"/>
              </w:rPr>
              <w:t>Nie</w:t>
            </w:r>
          </w:p>
        </w:tc>
        <w:tc>
          <w:tcPr>
            <w:tcW w:w="3119" w:type="dxa"/>
          </w:tcPr>
          <w:p w:rsidR="0005530E" w:rsidRPr="007C66C3" w:rsidRDefault="0005530E" w:rsidP="007B197D">
            <w:pPr>
              <w:rPr>
                <w:sz w:val="20"/>
                <w:szCs w:val="20"/>
                <w:lang w:eastAsia="cs-CZ"/>
              </w:rPr>
            </w:pPr>
            <w:r w:rsidRPr="007C66C3">
              <w:rPr>
                <w:sz w:val="20"/>
                <w:szCs w:val="20"/>
                <w:lang w:eastAsia="cs-CZ"/>
              </w:rPr>
              <w:t xml:space="preserve">CKO predstavilo </w:t>
            </w:r>
            <w:r w:rsidRPr="007C66C3">
              <w:rPr>
                <w:i/>
                <w:sz w:val="20"/>
                <w:szCs w:val="20"/>
                <w:lang w:eastAsia="cs-CZ"/>
              </w:rPr>
              <w:t>návrhu Usmernenia CKO k tvorbe merateľných ukazovateľov na programovej a projektovej úrovni</w:t>
            </w:r>
            <w:r w:rsidRPr="007C66C3">
              <w:rPr>
                <w:sz w:val="20"/>
                <w:szCs w:val="20"/>
                <w:lang w:eastAsia="cs-CZ"/>
              </w:rPr>
              <w:t>. Stanovuje pravidlá a postupy pre nastavenie efektívneho systému ukazovateľov na úrovni financovaných projektov, ktorý má</w:t>
            </w:r>
            <w:r w:rsidRPr="007C66C3">
              <w:rPr>
                <w:sz w:val="20"/>
                <w:szCs w:val="20"/>
                <w:lang w:eastAsia="cs-CZ"/>
              </w:rPr>
              <w:lastRenderedPageBreak/>
              <w:t xml:space="preserve"> zabezpečiť prepojenie na úroveň programu a viesť k nastaveniu účinného systému projektových ukazovateľov na národnej úrovni.</w:t>
            </w:r>
          </w:p>
        </w:tc>
        <w:tc>
          <w:tcPr>
            <w:tcW w:w="4265" w:type="dxa"/>
            <w:gridSpan w:val="2"/>
            <w:vMerge/>
            <w:tcBorders>
              <w:right w:val="single" w:sz="12" w:space="0" w:color="auto"/>
            </w:tcBorders>
          </w:tcPr>
          <w:p w:rsidR="0005530E" w:rsidRPr="007C66C3" w:rsidRDefault="0005530E" w:rsidP="0005530E">
            <w:pPr>
              <w:rPr>
                <w:sz w:val="20"/>
                <w:szCs w:val="20"/>
              </w:rPr>
            </w:pPr>
          </w:p>
        </w:tc>
      </w:tr>
      <w:tr w:rsidR="0005530E" w:rsidRPr="007C66C3" w:rsidTr="0005530E">
        <w:tblPrEx>
          <w:tblBorders>
            <w:top w:val="single" w:sz="12" w:space="0" w:color="auto"/>
            <w:left w:val="none" w:sz="0" w:space="0" w:color="auto"/>
            <w:bottom w:val="none" w:sz="0" w:space="0" w:color="auto"/>
            <w:right w:val="none" w:sz="0" w:space="0" w:color="auto"/>
            <w:insideH w:val="none" w:sz="0" w:space="0" w:color="auto"/>
            <w:insideV w:val="none" w:sz="0" w:space="0" w:color="auto"/>
          </w:tblBorders>
          <w:tblCellMar>
            <w:left w:w="70" w:type="dxa"/>
            <w:right w:w="70" w:type="dxa"/>
          </w:tblCellMar>
          <w:tblLook w:val="0000" w:firstRow="0" w:lastRow="0" w:firstColumn="0" w:lastColumn="0" w:noHBand="0" w:noVBand="0"/>
        </w:tblPrEx>
        <w:trPr>
          <w:gridBefore w:val="1"/>
          <w:wBefore w:w="1799" w:type="dxa"/>
          <w:trHeight w:val="100"/>
        </w:trPr>
        <w:tc>
          <w:tcPr>
            <w:tcW w:w="12531" w:type="dxa"/>
            <w:gridSpan w:val="7"/>
            <w:tcBorders>
              <w:top w:val="single" w:sz="12" w:space="0" w:color="auto"/>
            </w:tcBorders>
          </w:tcPr>
          <w:p w:rsidR="0005530E" w:rsidRPr="007C66C3" w:rsidRDefault="0005530E" w:rsidP="0005530E">
            <w:pPr>
              <w:spacing w:line="276" w:lineRule="auto"/>
              <w:contextualSpacing/>
              <w:rPr>
                <w:sz w:val="20"/>
                <w:szCs w:val="20"/>
              </w:rPr>
            </w:pPr>
          </w:p>
        </w:tc>
      </w:tr>
    </w:tbl>
    <w:p w:rsidR="0005530E" w:rsidRPr="00E43137" w:rsidRDefault="0005530E" w:rsidP="008676F9">
      <w:pPr>
        <w:spacing w:after="120"/>
        <w:rPr>
          <w:rFonts w:ascii="Calibri" w:hAnsi="Calibri"/>
          <w:szCs w:val="22"/>
        </w:rPr>
      </w:pPr>
    </w:p>
    <w:p w:rsidR="00E43137" w:rsidRPr="00E43137" w:rsidRDefault="00E43137" w:rsidP="008676F9">
      <w:pPr>
        <w:autoSpaceDE w:val="0"/>
        <w:autoSpaceDN w:val="0"/>
        <w:adjustRightInd w:val="0"/>
        <w:spacing w:after="120"/>
        <w:rPr>
          <w:rFonts w:ascii="Calibri" w:eastAsia="Calibri" w:hAnsi="Calibri"/>
          <w:b/>
          <w:bCs/>
          <w:lang w:eastAsia="en-US"/>
        </w:rPr>
      </w:pPr>
      <w:r w:rsidRPr="00E43137">
        <w:rPr>
          <w:rFonts w:ascii="Calibri" w:eastAsia="Calibri" w:hAnsi="Calibri"/>
          <w:b/>
          <w:bCs/>
          <w:lang w:eastAsia="en-US"/>
        </w:rPr>
        <w:t>Aplikovateľné  ex ante kondicionality spojené s prioritami:</w:t>
      </w:r>
    </w:p>
    <w:tbl>
      <w:tblPr>
        <w:tblW w:w="16230" w:type="dxa"/>
        <w:tblInd w:w="-100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61"/>
        <w:gridCol w:w="1843"/>
        <w:gridCol w:w="1134"/>
        <w:gridCol w:w="2409"/>
        <w:gridCol w:w="1134"/>
        <w:gridCol w:w="3828"/>
        <w:gridCol w:w="3921"/>
      </w:tblGrid>
      <w:tr w:rsidR="00807B64" w:rsidRPr="00E43137" w:rsidTr="007B197D">
        <w:trPr>
          <w:trHeight w:val="1002"/>
          <w:tblHeader/>
        </w:trPr>
        <w:tc>
          <w:tcPr>
            <w:tcW w:w="1961" w:type="dxa"/>
            <w:shd w:val="clear" w:color="auto" w:fill="EEECE1"/>
          </w:tcPr>
          <w:p w:rsidR="00807B64" w:rsidRPr="00E43137" w:rsidRDefault="00807B64" w:rsidP="007B197D">
            <w:pPr>
              <w:jc w:val="left"/>
              <w:rPr>
                <w:rFonts w:ascii="Calibri" w:hAnsi="Calibri"/>
                <w:b/>
                <w:sz w:val="20"/>
                <w:szCs w:val="20"/>
              </w:rPr>
            </w:pPr>
            <w:r w:rsidRPr="00E43137">
              <w:rPr>
                <w:rFonts w:ascii="Calibri" w:hAnsi="Calibri"/>
                <w:b/>
                <w:sz w:val="20"/>
                <w:szCs w:val="20"/>
              </w:rPr>
              <w:t>Ex ante kondicionalita</w:t>
            </w:r>
          </w:p>
        </w:tc>
        <w:tc>
          <w:tcPr>
            <w:tcW w:w="1843" w:type="dxa"/>
            <w:shd w:val="clear" w:color="auto" w:fill="EEECE1"/>
          </w:tcPr>
          <w:p w:rsidR="00807B64" w:rsidRPr="00E43137" w:rsidRDefault="00807B64" w:rsidP="007B197D">
            <w:pPr>
              <w:jc w:val="left"/>
              <w:rPr>
                <w:rFonts w:ascii="Calibri" w:hAnsi="Calibri"/>
                <w:b/>
                <w:sz w:val="20"/>
                <w:szCs w:val="20"/>
              </w:rPr>
            </w:pPr>
            <w:r w:rsidRPr="00E43137">
              <w:rPr>
                <w:rFonts w:ascii="Calibri" w:hAnsi="Calibri"/>
                <w:b/>
                <w:sz w:val="20"/>
                <w:szCs w:val="20"/>
              </w:rPr>
              <w:t>Priorita, na ktorú sa ex ante kondicionalita vzťahuje</w:t>
            </w:r>
          </w:p>
        </w:tc>
        <w:tc>
          <w:tcPr>
            <w:tcW w:w="1134" w:type="dxa"/>
            <w:shd w:val="clear" w:color="auto" w:fill="EEECE1"/>
          </w:tcPr>
          <w:p w:rsidR="00807B64" w:rsidRPr="00E43137" w:rsidRDefault="00807B64" w:rsidP="007B197D">
            <w:pPr>
              <w:jc w:val="center"/>
              <w:rPr>
                <w:rFonts w:ascii="Calibri" w:hAnsi="Calibri"/>
                <w:b/>
                <w:sz w:val="20"/>
                <w:szCs w:val="20"/>
              </w:rPr>
            </w:pPr>
            <w:r w:rsidRPr="00E43137">
              <w:rPr>
                <w:rFonts w:ascii="Calibri" w:hAnsi="Calibri"/>
                <w:b/>
                <w:sz w:val="20"/>
                <w:szCs w:val="20"/>
              </w:rPr>
              <w:t>Plnenie</w:t>
            </w:r>
          </w:p>
          <w:p w:rsidR="00807B64" w:rsidRPr="00E43137" w:rsidRDefault="00807B64" w:rsidP="007B197D">
            <w:pPr>
              <w:jc w:val="center"/>
              <w:rPr>
                <w:rFonts w:ascii="Calibri" w:hAnsi="Calibri"/>
                <w:b/>
                <w:sz w:val="20"/>
                <w:szCs w:val="20"/>
              </w:rPr>
            </w:pPr>
            <w:r w:rsidRPr="00E43137">
              <w:rPr>
                <w:rFonts w:ascii="Calibri" w:hAnsi="Calibri"/>
                <w:b/>
                <w:sz w:val="20"/>
                <w:szCs w:val="20"/>
              </w:rPr>
              <w:t>áno/ nie/ čiastočne</w:t>
            </w:r>
          </w:p>
        </w:tc>
        <w:tc>
          <w:tcPr>
            <w:tcW w:w="2409" w:type="dxa"/>
            <w:shd w:val="clear" w:color="auto" w:fill="EEECE1"/>
          </w:tcPr>
          <w:p w:rsidR="00807B64" w:rsidRPr="00E43137" w:rsidRDefault="00807B64" w:rsidP="007B197D">
            <w:pPr>
              <w:jc w:val="left"/>
              <w:rPr>
                <w:rFonts w:ascii="Calibri" w:hAnsi="Calibri"/>
                <w:b/>
                <w:sz w:val="20"/>
                <w:szCs w:val="20"/>
              </w:rPr>
            </w:pPr>
            <w:r w:rsidRPr="00E43137">
              <w:rPr>
                <w:rFonts w:ascii="Calibri" w:hAnsi="Calibri"/>
                <w:b/>
                <w:sz w:val="20"/>
                <w:szCs w:val="20"/>
              </w:rPr>
              <w:t>Kritérium</w:t>
            </w:r>
          </w:p>
        </w:tc>
        <w:tc>
          <w:tcPr>
            <w:tcW w:w="1134" w:type="dxa"/>
            <w:shd w:val="clear" w:color="auto" w:fill="EEECE1"/>
          </w:tcPr>
          <w:p w:rsidR="00807B64" w:rsidRPr="00E43137" w:rsidRDefault="00807B64" w:rsidP="007B197D">
            <w:pPr>
              <w:jc w:val="center"/>
              <w:rPr>
                <w:rFonts w:ascii="Calibri" w:hAnsi="Calibri"/>
                <w:b/>
                <w:sz w:val="20"/>
                <w:szCs w:val="20"/>
              </w:rPr>
            </w:pPr>
            <w:r w:rsidRPr="00E43137">
              <w:rPr>
                <w:rFonts w:ascii="Calibri" w:hAnsi="Calibri"/>
                <w:b/>
                <w:sz w:val="20"/>
                <w:szCs w:val="20"/>
              </w:rPr>
              <w:t>Plnenie kritéria</w:t>
            </w:r>
          </w:p>
          <w:p w:rsidR="00807B64" w:rsidRPr="00E43137" w:rsidRDefault="00807B64" w:rsidP="007B197D">
            <w:pPr>
              <w:jc w:val="center"/>
              <w:rPr>
                <w:rFonts w:ascii="Calibri" w:hAnsi="Calibri"/>
                <w:b/>
                <w:sz w:val="20"/>
                <w:szCs w:val="20"/>
              </w:rPr>
            </w:pPr>
            <w:r w:rsidRPr="00E43137">
              <w:rPr>
                <w:rFonts w:ascii="Calibri" w:hAnsi="Calibri"/>
                <w:b/>
                <w:sz w:val="20"/>
                <w:szCs w:val="20"/>
              </w:rPr>
              <w:t>áno/nie</w:t>
            </w:r>
          </w:p>
        </w:tc>
        <w:tc>
          <w:tcPr>
            <w:tcW w:w="3828" w:type="dxa"/>
            <w:shd w:val="clear" w:color="auto" w:fill="EEECE1"/>
          </w:tcPr>
          <w:p w:rsidR="00807B64" w:rsidRPr="00E43137" w:rsidRDefault="00807B64" w:rsidP="007B197D">
            <w:pPr>
              <w:jc w:val="left"/>
              <w:rPr>
                <w:rFonts w:ascii="Calibri" w:hAnsi="Calibri"/>
                <w:b/>
                <w:sz w:val="20"/>
                <w:szCs w:val="20"/>
              </w:rPr>
            </w:pPr>
            <w:r w:rsidRPr="00E43137">
              <w:rPr>
                <w:rFonts w:ascii="Calibri" w:hAnsi="Calibri"/>
                <w:b/>
                <w:sz w:val="20"/>
                <w:szCs w:val="20"/>
              </w:rPr>
              <w:t>Odkaz (ak splnené)</w:t>
            </w:r>
          </w:p>
          <w:p w:rsidR="00807B64" w:rsidRPr="00E43137" w:rsidRDefault="00807B64" w:rsidP="007B197D">
            <w:pPr>
              <w:jc w:val="left"/>
              <w:rPr>
                <w:rFonts w:ascii="Calibri" w:hAnsi="Calibri"/>
                <w:b/>
                <w:i/>
                <w:sz w:val="20"/>
                <w:szCs w:val="20"/>
              </w:rPr>
            </w:pPr>
            <w:r w:rsidRPr="00E43137">
              <w:rPr>
                <w:rFonts w:ascii="Calibri" w:hAnsi="Calibri"/>
                <w:b/>
                <w:i/>
                <w:sz w:val="20"/>
                <w:szCs w:val="20"/>
              </w:rPr>
              <w:t>Poznámka</w:t>
            </w:r>
          </w:p>
        </w:tc>
        <w:tc>
          <w:tcPr>
            <w:tcW w:w="3921" w:type="dxa"/>
            <w:shd w:val="clear" w:color="auto" w:fill="EEECE1"/>
          </w:tcPr>
          <w:p w:rsidR="00807B64" w:rsidRPr="00E43137" w:rsidRDefault="00807B64" w:rsidP="007B197D">
            <w:pPr>
              <w:jc w:val="left"/>
              <w:rPr>
                <w:rFonts w:ascii="Calibri" w:hAnsi="Calibri"/>
                <w:b/>
                <w:sz w:val="20"/>
                <w:szCs w:val="20"/>
              </w:rPr>
            </w:pPr>
            <w:r w:rsidRPr="00E43137">
              <w:rPr>
                <w:rFonts w:ascii="Calibri" w:hAnsi="Calibri"/>
                <w:b/>
                <w:sz w:val="20"/>
                <w:szCs w:val="20"/>
              </w:rPr>
              <w:t>Vysvetlenie (ak je vhodné)</w:t>
            </w:r>
          </w:p>
        </w:tc>
      </w:tr>
      <w:tr w:rsidR="00807B64" w:rsidRPr="00E43137" w:rsidTr="00807B64">
        <w:trPr>
          <w:trHeight w:val="457"/>
        </w:trPr>
        <w:tc>
          <w:tcPr>
            <w:tcW w:w="1961" w:type="dxa"/>
            <w:shd w:val="clear" w:color="auto" w:fill="auto"/>
          </w:tcPr>
          <w:p w:rsidR="00807B64" w:rsidRPr="00E43137" w:rsidRDefault="00807B64" w:rsidP="007B197D">
            <w:pPr>
              <w:jc w:val="left"/>
              <w:rPr>
                <w:rFonts w:ascii="Calibri" w:hAnsi="Calibri"/>
                <w:sz w:val="20"/>
                <w:szCs w:val="20"/>
              </w:rPr>
            </w:pPr>
            <w:r w:rsidRPr="00FA0F58">
              <w:rPr>
                <w:rFonts w:ascii="Calibri" w:hAnsi="Calibri"/>
                <w:sz w:val="20"/>
                <w:szCs w:val="20"/>
              </w:rPr>
              <w:t xml:space="preserve">3.1 Prevencia </w:t>
            </w:r>
            <w:r>
              <w:rPr>
                <w:rFonts w:ascii="Calibri" w:hAnsi="Calibri"/>
                <w:sz w:val="20"/>
                <w:szCs w:val="20"/>
              </w:rPr>
              <w:t xml:space="preserve">a riadenie </w:t>
            </w:r>
            <w:r w:rsidRPr="00FA0F58">
              <w:rPr>
                <w:rFonts w:ascii="Calibri" w:hAnsi="Calibri"/>
                <w:sz w:val="20"/>
                <w:szCs w:val="20"/>
              </w:rPr>
              <w:t>riz</w:t>
            </w:r>
            <w:r>
              <w:rPr>
                <w:rFonts w:ascii="Calibri" w:hAnsi="Calibri"/>
                <w:sz w:val="20"/>
                <w:szCs w:val="20"/>
              </w:rPr>
              <w:t>í</w:t>
            </w:r>
            <w:r w:rsidRPr="00FA0F58">
              <w:rPr>
                <w:rFonts w:ascii="Calibri" w:hAnsi="Calibri"/>
                <w:sz w:val="20"/>
                <w:szCs w:val="20"/>
              </w:rPr>
              <w:t xml:space="preserve">k: existencia národných </w:t>
            </w:r>
            <w:r>
              <w:rPr>
                <w:rFonts w:ascii="Calibri" w:hAnsi="Calibri"/>
                <w:sz w:val="20"/>
                <w:szCs w:val="20"/>
              </w:rPr>
              <w:t xml:space="preserve">alebo regionálnych </w:t>
            </w:r>
            <w:r w:rsidRPr="00FA0F58">
              <w:rPr>
                <w:rFonts w:ascii="Calibri" w:hAnsi="Calibri"/>
                <w:sz w:val="20"/>
                <w:szCs w:val="20"/>
              </w:rPr>
              <w:t>hodnotení riz</w:t>
            </w:r>
            <w:r>
              <w:rPr>
                <w:rFonts w:ascii="Calibri" w:hAnsi="Calibri"/>
                <w:sz w:val="20"/>
                <w:szCs w:val="20"/>
              </w:rPr>
              <w:t>í</w:t>
            </w:r>
            <w:r w:rsidRPr="00FA0F58">
              <w:rPr>
                <w:rFonts w:ascii="Calibri" w:hAnsi="Calibri"/>
                <w:sz w:val="20"/>
                <w:szCs w:val="20"/>
              </w:rPr>
              <w:t xml:space="preserve">k </w:t>
            </w:r>
            <w:r>
              <w:rPr>
                <w:rFonts w:ascii="Calibri" w:hAnsi="Calibri"/>
                <w:sz w:val="20"/>
                <w:szCs w:val="20"/>
              </w:rPr>
              <w:t xml:space="preserve">na účely </w:t>
            </w:r>
            <w:r w:rsidRPr="00FA0F58">
              <w:rPr>
                <w:rFonts w:ascii="Calibri" w:hAnsi="Calibri"/>
                <w:sz w:val="20"/>
                <w:szCs w:val="20"/>
              </w:rPr>
              <w:t xml:space="preserve"> </w:t>
            </w:r>
            <w:r>
              <w:rPr>
                <w:rFonts w:ascii="Calibri" w:hAnsi="Calibri"/>
                <w:sz w:val="20"/>
                <w:szCs w:val="20"/>
              </w:rPr>
              <w:t>riadenia</w:t>
            </w:r>
            <w:r w:rsidRPr="00FA0F58">
              <w:rPr>
                <w:rFonts w:ascii="Calibri" w:hAnsi="Calibri"/>
                <w:sz w:val="20"/>
                <w:szCs w:val="20"/>
              </w:rPr>
              <w:t xml:space="preserve"> katastrof </w:t>
            </w:r>
            <w:r>
              <w:rPr>
                <w:rFonts w:ascii="Calibri" w:hAnsi="Calibri"/>
                <w:sz w:val="20"/>
                <w:szCs w:val="20"/>
              </w:rPr>
              <w:t xml:space="preserve">s ohľadom na </w:t>
            </w:r>
            <w:r w:rsidRPr="00FA0F58">
              <w:rPr>
                <w:rFonts w:ascii="Calibri" w:hAnsi="Calibri"/>
                <w:sz w:val="20"/>
                <w:szCs w:val="20"/>
              </w:rPr>
              <w:t xml:space="preserve"> prispôsobovanie sa zmene klímy</w:t>
            </w:r>
          </w:p>
        </w:tc>
        <w:tc>
          <w:tcPr>
            <w:tcW w:w="1843" w:type="dxa"/>
            <w:shd w:val="clear" w:color="auto" w:fill="auto"/>
          </w:tcPr>
          <w:p w:rsidR="00807B64" w:rsidRPr="00E43137" w:rsidRDefault="00807B64" w:rsidP="007B197D">
            <w:pPr>
              <w:jc w:val="left"/>
              <w:rPr>
                <w:rFonts w:ascii="Calibri" w:hAnsi="Calibri"/>
                <w:b/>
                <w:sz w:val="20"/>
                <w:szCs w:val="20"/>
              </w:rPr>
            </w:pPr>
            <w:r w:rsidRPr="00E43137">
              <w:rPr>
                <w:rFonts w:ascii="Calibri" w:hAnsi="Calibri"/>
                <w:b/>
                <w:sz w:val="20"/>
                <w:szCs w:val="20"/>
              </w:rPr>
              <w:t>Priorita 3: Podpora organizácie potravinového reťazca a manažmentu rizika v poľnohospodárstve.</w:t>
            </w:r>
          </w:p>
          <w:p w:rsidR="00807B64" w:rsidRPr="00E43137" w:rsidRDefault="00807B64" w:rsidP="007B197D">
            <w:pPr>
              <w:jc w:val="left"/>
              <w:rPr>
                <w:rFonts w:ascii="Calibri" w:hAnsi="Calibri"/>
                <w:sz w:val="20"/>
                <w:szCs w:val="20"/>
              </w:rPr>
            </w:pPr>
            <w:r w:rsidRPr="00E43137">
              <w:rPr>
                <w:rFonts w:ascii="Calibri" w:hAnsi="Calibri"/>
                <w:sz w:val="20"/>
                <w:szCs w:val="20"/>
              </w:rPr>
              <w:t>Fokusová oblasť 3B</w:t>
            </w:r>
          </w:p>
          <w:p w:rsidR="00807B64" w:rsidRPr="00E43137" w:rsidRDefault="00807B64" w:rsidP="007B197D">
            <w:pPr>
              <w:jc w:val="left"/>
              <w:rPr>
                <w:rFonts w:ascii="Calibri" w:hAnsi="Calibri"/>
                <w:szCs w:val="22"/>
              </w:rPr>
            </w:pPr>
            <w:r w:rsidRPr="00E43137">
              <w:rPr>
                <w:rFonts w:ascii="Calibri" w:hAnsi="Calibri"/>
                <w:sz w:val="20"/>
                <w:szCs w:val="20"/>
              </w:rPr>
              <w:t>Opatrenia čl. 18, 38</w:t>
            </w:r>
          </w:p>
        </w:tc>
        <w:tc>
          <w:tcPr>
            <w:tcW w:w="1134" w:type="dxa"/>
            <w:shd w:val="clear" w:color="auto" w:fill="auto"/>
          </w:tcPr>
          <w:p w:rsidR="00807B64" w:rsidRPr="00E43137" w:rsidRDefault="00807B64" w:rsidP="007B197D">
            <w:pPr>
              <w:jc w:val="center"/>
              <w:rPr>
                <w:rFonts w:ascii="Calibri" w:hAnsi="Calibri"/>
                <w:b/>
                <w:sz w:val="20"/>
                <w:szCs w:val="20"/>
              </w:rPr>
            </w:pPr>
            <w:r w:rsidRPr="00E43137">
              <w:rPr>
                <w:rFonts w:ascii="Calibri" w:hAnsi="Calibri"/>
                <w:b/>
                <w:sz w:val="20"/>
                <w:szCs w:val="20"/>
              </w:rPr>
              <w:t>čiastočne</w:t>
            </w:r>
          </w:p>
        </w:tc>
        <w:tc>
          <w:tcPr>
            <w:tcW w:w="2409" w:type="dxa"/>
            <w:shd w:val="clear" w:color="auto" w:fill="auto"/>
          </w:tcPr>
          <w:p w:rsidR="00807B64" w:rsidRPr="00E43137" w:rsidRDefault="00807B64" w:rsidP="007B197D">
            <w:pPr>
              <w:jc w:val="left"/>
              <w:rPr>
                <w:rFonts w:ascii="Calibri" w:hAnsi="Calibri"/>
                <w:sz w:val="20"/>
                <w:szCs w:val="20"/>
              </w:rPr>
            </w:pPr>
            <w:r w:rsidRPr="00E43137">
              <w:rPr>
                <w:rFonts w:ascii="Calibri" w:hAnsi="Calibri"/>
                <w:sz w:val="20"/>
                <w:szCs w:val="20"/>
              </w:rPr>
              <w:t xml:space="preserve">Zavedie sa </w:t>
            </w:r>
            <w:r>
              <w:rPr>
                <w:rFonts w:ascii="Calibri" w:hAnsi="Calibri"/>
                <w:sz w:val="20"/>
                <w:szCs w:val="20"/>
              </w:rPr>
              <w:t>vnútroštátne</w:t>
            </w:r>
            <w:r w:rsidRPr="00E43137">
              <w:rPr>
                <w:rFonts w:ascii="Calibri" w:hAnsi="Calibri"/>
                <w:sz w:val="20"/>
                <w:szCs w:val="20"/>
              </w:rPr>
              <w:t xml:space="preserve"> alebo region</w:t>
            </w:r>
            <w:r w:rsidRPr="00E43137">
              <w:rPr>
                <w:rFonts w:ascii="Calibri" w:hAnsi="Calibri" w:cs="Calibri"/>
                <w:sz w:val="20"/>
                <w:szCs w:val="20"/>
              </w:rPr>
              <w:t>á</w:t>
            </w:r>
            <w:r w:rsidRPr="00E43137">
              <w:rPr>
                <w:rFonts w:ascii="Calibri" w:hAnsi="Calibri"/>
                <w:sz w:val="20"/>
                <w:szCs w:val="20"/>
              </w:rPr>
              <w:t>lne pos</w:t>
            </w:r>
            <w:r w:rsidRPr="00E43137">
              <w:rPr>
                <w:rFonts w:ascii="Calibri" w:hAnsi="Calibri" w:cs="Calibri"/>
                <w:sz w:val="20"/>
                <w:szCs w:val="20"/>
              </w:rPr>
              <w:t>ú</w:t>
            </w:r>
            <w:r w:rsidRPr="00E43137">
              <w:rPr>
                <w:rFonts w:ascii="Calibri" w:hAnsi="Calibri"/>
                <w:sz w:val="20"/>
                <w:szCs w:val="20"/>
              </w:rPr>
              <w:t>denie rizika s t</w:t>
            </w:r>
            <w:r w:rsidRPr="00E43137">
              <w:rPr>
                <w:rFonts w:ascii="Calibri" w:hAnsi="Calibri" w:cs="Calibri"/>
                <w:sz w:val="20"/>
                <w:szCs w:val="20"/>
              </w:rPr>
              <w:t>ý</w:t>
            </w:r>
            <w:r w:rsidRPr="00E43137">
              <w:rPr>
                <w:rFonts w:ascii="Calibri" w:hAnsi="Calibri"/>
                <w:sz w:val="20"/>
                <w:szCs w:val="20"/>
              </w:rPr>
              <w:t>mito prvkami:</w:t>
            </w:r>
          </w:p>
          <w:p w:rsidR="00807B64" w:rsidRPr="00E43137" w:rsidRDefault="00807B64" w:rsidP="007B197D">
            <w:pPr>
              <w:numPr>
                <w:ilvl w:val="0"/>
                <w:numId w:val="18"/>
              </w:numPr>
              <w:ind w:left="175" w:hanging="175"/>
              <w:contextualSpacing/>
              <w:jc w:val="left"/>
              <w:rPr>
                <w:rFonts w:ascii="Calibri" w:hAnsi="Calibri"/>
                <w:sz w:val="20"/>
                <w:szCs w:val="20"/>
              </w:rPr>
            </w:pPr>
            <w:r w:rsidRPr="00E43137">
              <w:rPr>
                <w:rFonts w:ascii="Calibri" w:hAnsi="Calibri"/>
                <w:sz w:val="20"/>
                <w:szCs w:val="20"/>
              </w:rPr>
              <w:t>opis postupu, metodiky, metód a</w:t>
            </w:r>
            <w:r>
              <w:rPr>
                <w:rFonts w:ascii="Calibri" w:hAnsi="Calibri"/>
                <w:sz w:val="20"/>
                <w:szCs w:val="20"/>
              </w:rPr>
              <w:t xml:space="preserve"> necitlivých </w:t>
            </w:r>
            <w:r w:rsidRPr="00E43137">
              <w:rPr>
                <w:rFonts w:ascii="Calibri" w:hAnsi="Calibri"/>
                <w:sz w:val="20"/>
                <w:szCs w:val="20"/>
              </w:rPr>
              <w:t>údajov , využívaných na posúdenie rizika,</w:t>
            </w:r>
            <w:r>
              <w:rPr>
                <w:rFonts w:ascii="Calibri" w:hAnsi="Calibri"/>
                <w:sz w:val="20"/>
                <w:szCs w:val="20"/>
              </w:rPr>
              <w:t xml:space="preserve"> ako aj</w:t>
            </w:r>
            <w:r w:rsidRPr="00E43137">
              <w:rPr>
                <w:rFonts w:ascii="Calibri" w:hAnsi="Calibri"/>
                <w:sz w:val="20"/>
                <w:szCs w:val="20"/>
              </w:rPr>
              <w:t xml:space="preserve"> kritéri</w:t>
            </w:r>
            <w:r>
              <w:rPr>
                <w:rFonts w:ascii="Calibri" w:hAnsi="Calibri"/>
                <w:sz w:val="20"/>
                <w:szCs w:val="20"/>
              </w:rPr>
              <w:t>í</w:t>
            </w:r>
            <w:r w:rsidRPr="00E43137">
              <w:rPr>
                <w:rFonts w:ascii="Calibri" w:hAnsi="Calibri"/>
                <w:sz w:val="20"/>
                <w:szCs w:val="20"/>
              </w:rPr>
              <w:t xml:space="preserve"> založených na riziku</w:t>
            </w:r>
            <w:r>
              <w:rPr>
                <w:rFonts w:ascii="Calibri" w:hAnsi="Calibri"/>
                <w:sz w:val="20"/>
                <w:szCs w:val="20"/>
              </w:rPr>
              <w:t xml:space="preserve"> pre zoradenie investícií podľa priority</w:t>
            </w:r>
            <w:r w:rsidRPr="00E43137">
              <w:rPr>
                <w:rFonts w:ascii="Calibri" w:hAnsi="Calibri"/>
                <w:sz w:val="20"/>
                <w:szCs w:val="20"/>
              </w:rPr>
              <w:t>,</w:t>
            </w:r>
          </w:p>
          <w:p w:rsidR="00807B64" w:rsidRPr="00E43137" w:rsidRDefault="00807B64" w:rsidP="007B197D">
            <w:pPr>
              <w:ind w:left="310"/>
              <w:jc w:val="left"/>
              <w:rPr>
                <w:rFonts w:ascii="Calibri" w:hAnsi="Calibri"/>
                <w:sz w:val="20"/>
                <w:szCs w:val="20"/>
              </w:rPr>
            </w:pPr>
          </w:p>
        </w:tc>
        <w:tc>
          <w:tcPr>
            <w:tcW w:w="1134" w:type="dxa"/>
            <w:shd w:val="clear" w:color="auto" w:fill="auto"/>
          </w:tcPr>
          <w:p w:rsidR="00807B64" w:rsidRPr="00E43137" w:rsidRDefault="00807B64" w:rsidP="007B197D">
            <w:pPr>
              <w:jc w:val="center"/>
              <w:rPr>
                <w:rFonts w:ascii="Calibri" w:hAnsi="Calibri"/>
                <w:b/>
                <w:sz w:val="20"/>
                <w:szCs w:val="20"/>
              </w:rPr>
            </w:pPr>
          </w:p>
          <w:p w:rsidR="00807B64" w:rsidRPr="00E43137" w:rsidRDefault="00807B64" w:rsidP="007B197D">
            <w:pPr>
              <w:jc w:val="center"/>
              <w:rPr>
                <w:rFonts w:ascii="Calibri" w:hAnsi="Calibri"/>
                <w:b/>
                <w:sz w:val="20"/>
                <w:szCs w:val="20"/>
              </w:rPr>
            </w:pPr>
            <w:r>
              <w:rPr>
                <w:rFonts w:ascii="Calibri" w:hAnsi="Calibri"/>
                <w:b/>
                <w:sz w:val="20"/>
                <w:szCs w:val="20"/>
              </w:rPr>
              <w:t>nie</w:t>
            </w:r>
          </w:p>
        </w:tc>
        <w:tc>
          <w:tcPr>
            <w:tcW w:w="3828" w:type="dxa"/>
            <w:shd w:val="clear" w:color="auto" w:fill="auto"/>
          </w:tcPr>
          <w:p w:rsidR="00807B64" w:rsidRPr="00E43137" w:rsidRDefault="00807B64" w:rsidP="007B197D">
            <w:pPr>
              <w:ind w:left="-35"/>
              <w:jc w:val="left"/>
              <w:rPr>
                <w:rFonts w:ascii="Calibri" w:hAnsi="Calibri"/>
                <w:sz w:val="20"/>
                <w:szCs w:val="20"/>
              </w:rPr>
            </w:pPr>
            <w:r w:rsidRPr="00E43137">
              <w:rPr>
                <w:rFonts w:ascii="Calibri" w:hAnsi="Calibri"/>
                <w:sz w:val="20"/>
                <w:szCs w:val="20"/>
              </w:rPr>
              <w:t>Splnené úlohy:</w:t>
            </w:r>
          </w:p>
          <w:p w:rsidR="00807B64" w:rsidRPr="00E43137" w:rsidRDefault="00807B64" w:rsidP="007B197D">
            <w:pPr>
              <w:numPr>
                <w:ilvl w:val="0"/>
                <w:numId w:val="20"/>
              </w:numPr>
              <w:ind w:left="176" w:hanging="211"/>
              <w:contextualSpacing/>
              <w:jc w:val="left"/>
              <w:rPr>
                <w:rFonts w:ascii="Calibri" w:hAnsi="Calibri"/>
                <w:sz w:val="20"/>
                <w:szCs w:val="20"/>
              </w:rPr>
            </w:pPr>
            <w:r w:rsidRPr="00E43137">
              <w:rPr>
                <w:rFonts w:ascii="Calibri" w:hAnsi="Calibri"/>
                <w:sz w:val="20"/>
                <w:szCs w:val="20"/>
              </w:rPr>
              <w:t xml:space="preserve">Existencia analýzy územia z hľadiska možných mimoriadnych udalostí na národnej a regionálnej úrovni, existencia plánu ochrany obyvateľstva na regionálnej úrovni, </w:t>
            </w:r>
          </w:p>
          <w:p w:rsidR="00807B64" w:rsidRPr="00E43137" w:rsidRDefault="00807B64" w:rsidP="007B197D">
            <w:pPr>
              <w:ind w:left="-35"/>
              <w:jc w:val="left"/>
              <w:rPr>
                <w:rFonts w:ascii="Calibri" w:hAnsi="Calibri"/>
                <w:sz w:val="20"/>
                <w:szCs w:val="20"/>
              </w:rPr>
            </w:pPr>
            <w:r w:rsidRPr="00E43137">
              <w:rPr>
                <w:rFonts w:ascii="Calibri" w:hAnsi="Calibri"/>
                <w:sz w:val="20"/>
                <w:szCs w:val="20"/>
              </w:rPr>
              <w:t xml:space="preserve">Zákon o civilnej ochrane obyvateľstva: § 12 až § 14 zákona NR SR č. 42/1994 Z. z. o civilnej ochrane obyvateľstva </w:t>
            </w:r>
          </w:p>
          <w:p w:rsidR="00807B64" w:rsidRDefault="00807B64" w:rsidP="007B197D">
            <w:pPr>
              <w:ind w:left="-35"/>
              <w:jc w:val="left"/>
              <w:rPr>
                <w:rFonts w:ascii="Calibri" w:hAnsi="Calibri"/>
                <w:color w:val="0000FF"/>
                <w:sz w:val="20"/>
                <w:szCs w:val="20"/>
                <w:u w:val="single"/>
              </w:rPr>
            </w:pPr>
            <w:r>
              <w:rPr>
                <w:rFonts w:ascii="Calibri" w:hAnsi="Calibri"/>
                <w:color w:val="0000FF"/>
                <w:sz w:val="20"/>
                <w:szCs w:val="20"/>
                <w:u w:val="single"/>
              </w:rPr>
              <w:t>http://jaspi.justice.gov.sk</w:t>
            </w:r>
          </w:p>
          <w:p w:rsidR="00807B64" w:rsidRPr="00E43137" w:rsidRDefault="00807B64" w:rsidP="007B197D">
            <w:pPr>
              <w:ind w:left="-35"/>
              <w:jc w:val="left"/>
              <w:rPr>
                <w:rFonts w:ascii="Calibri" w:hAnsi="Calibri"/>
                <w:sz w:val="20"/>
                <w:szCs w:val="20"/>
              </w:rPr>
            </w:pPr>
            <w:r w:rsidRPr="00E43137">
              <w:rPr>
                <w:rFonts w:ascii="Calibri" w:hAnsi="Calibri"/>
                <w:sz w:val="20"/>
                <w:szCs w:val="20"/>
              </w:rPr>
              <w:t>Zodpovedná organizácia: MV SR</w:t>
            </w:r>
          </w:p>
          <w:p w:rsidR="00807B64" w:rsidRPr="00E43137" w:rsidRDefault="00807B64" w:rsidP="007B197D">
            <w:pPr>
              <w:ind w:left="-35"/>
              <w:jc w:val="left"/>
              <w:rPr>
                <w:rFonts w:ascii="Calibri" w:hAnsi="Calibri"/>
                <w:sz w:val="20"/>
                <w:szCs w:val="20"/>
              </w:rPr>
            </w:pPr>
            <w:r w:rsidRPr="00E43137">
              <w:rPr>
                <w:rFonts w:ascii="Calibri" w:hAnsi="Calibri"/>
                <w:sz w:val="20"/>
                <w:szCs w:val="20"/>
              </w:rPr>
              <w:t>Termín splnenia: 15. marec 2013</w:t>
            </w:r>
          </w:p>
          <w:p w:rsidR="00807B64" w:rsidRPr="00E43137" w:rsidRDefault="00807B64" w:rsidP="007B197D">
            <w:pPr>
              <w:ind w:left="-35"/>
              <w:jc w:val="left"/>
              <w:rPr>
                <w:rFonts w:ascii="Calibri" w:hAnsi="Calibri"/>
                <w:sz w:val="20"/>
                <w:szCs w:val="20"/>
              </w:rPr>
            </w:pPr>
          </w:p>
          <w:p w:rsidR="00807B64" w:rsidRPr="00E43137" w:rsidRDefault="00807B64" w:rsidP="007B197D">
            <w:pPr>
              <w:numPr>
                <w:ilvl w:val="0"/>
                <w:numId w:val="20"/>
              </w:numPr>
              <w:ind w:left="176" w:hanging="211"/>
              <w:contextualSpacing/>
              <w:jc w:val="left"/>
              <w:rPr>
                <w:rFonts w:ascii="Calibri" w:hAnsi="Calibri"/>
                <w:sz w:val="20"/>
                <w:szCs w:val="20"/>
              </w:rPr>
            </w:pPr>
            <w:r w:rsidRPr="00E43137">
              <w:rPr>
                <w:rFonts w:ascii="Calibri" w:hAnsi="Calibri"/>
                <w:sz w:val="20"/>
                <w:szCs w:val="20"/>
              </w:rPr>
              <w:t xml:space="preserve">Analýza dostupných metód a postupov hodnotenia rizík </w:t>
            </w:r>
          </w:p>
          <w:p w:rsidR="00807B64" w:rsidRPr="00E43137" w:rsidRDefault="00807B64" w:rsidP="007B197D">
            <w:pPr>
              <w:ind w:left="176" w:hanging="211"/>
              <w:jc w:val="left"/>
              <w:rPr>
                <w:rFonts w:ascii="Calibri" w:hAnsi="Calibri"/>
                <w:sz w:val="20"/>
                <w:szCs w:val="20"/>
              </w:rPr>
            </w:pPr>
            <w:r w:rsidRPr="00E43137">
              <w:rPr>
                <w:rFonts w:ascii="Calibri" w:hAnsi="Calibri"/>
                <w:sz w:val="20"/>
                <w:szCs w:val="20"/>
              </w:rPr>
              <w:t>Zodpovedná organizácia: MV SR</w:t>
            </w:r>
          </w:p>
          <w:p w:rsidR="00807B64" w:rsidRPr="00E43137" w:rsidRDefault="00807B64" w:rsidP="007B197D">
            <w:pPr>
              <w:ind w:left="176" w:hanging="211"/>
              <w:jc w:val="left"/>
              <w:rPr>
                <w:rFonts w:ascii="Calibri" w:hAnsi="Calibri"/>
                <w:sz w:val="20"/>
                <w:szCs w:val="20"/>
              </w:rPr>
            </w:pPr>
            <w:r w:rsidRPr="00E43137">
              <w:rPr>
                <w:rFonts w:ascii="Calibri" w:hAnsi="Calibri"/>
                <w:sz w:val="20"/>
                <w:szCs w:val="20"/>
              </w:rPr>
              <w:t>Termín splnenia: 15. marec 2013</w:t>
            </w:r>
          </w:p>
          <w:p w:rsidR="00807B64" w:rsidRPr="00E43137" w:rsidRDefault="00807B64" w:rsidP="007B197D">
            <w:pPr>
              <w:ind w:left="176" w:hanging="211"/>
              <w:jc w:val="left"/>
              <w:rPr>
                <w:rFonts w:ascii="Calibri" w:hAnsi="Calibri"/>
                <w:sz w:val="20"/>
                <w:szCs w:val="20"/>
              </w:rPr>
            </w:pPr>
          </w:p>
          <w:p w:rsidR="00807B64" w:rsidRPr="00E43137" w:rsidRDefault="00807B64" w:rsidP="007B197D">
            <w:pPr>
              <w:numPr>
                <w:ilvl w:val="0"/>
                <w:numId w:val="20"/>
              </w:numPr>
              <w:ind w:left="176" w:hanging="211"/>
              <w:contextualSpacing/>
              <w:jc w:val="left"/>
              <w:rPr>
                <w:rFonts w:ascii="Calibri" w:hAnsi="Calibri"/>
                <w:sz w:val="20"/>
                <w:szCs w:val="20"/>
              </w:rPr>
            </w:pPr>
            <w:r w:rsidRPr="00E43137">
              <w:rPr>
                <w:rFonts w:ascii="Calibri" w:hAnsi="Calibri"/>
                <w:sz w:val="20"/>
                <w:szCs w:val="20"/>
              </w:rPr>
              <w:t xml:space="preserve">Výber vhodných postupov, modifikácia a prispôsobenie stanoveným cieľom </w:t>
            </w:r>
          </w:p>
          <w:p w:rsidR="00807B64" w:rsidRPr="00E43137" w:rsidRDefault="00807B64" w:rsidP="007B197D">
            <w:pPr>
              <w:ind w:left="-35"/>
              <w:jc w:val="left"/>
              <w:rPr>
                <w:rFonts w:ascii="Calibri" w:hAnsi="Calibri"/>
                <w:sz w:val="20"/>
                <w:szCs w:val="20"/>
              </w:rPr>
            </w:pPr>
            <w:r w:rsidRPr="00E43137">
              <w:rPr>
                <w:rFonts w:ascii="Calibri" w:hAnsi="Calibri"/>
                <w:sz w:val="20"/>
                <w:szCs w:val="20"/>
              </w:rPr>
              <w:t>Zodpovedná organizácia: MV SR</w:t>
            </w:r>
          </w:p>
          <w:p w:rsidR="00807B64" w:rsidRPr="00E43137" w:rsidRDefault="00807B64" w:rsidP="007B197D">
            <w:pPr>
              <w:ind w:left="-35"/>
              <w:jc w:val="left"/>
              <w:rPr>
                <w:rFonts w:ascii="Calibri" w:hAnsi="Calibri"/>
                <w:sz w:val="20"/>
                <w:szCs w:val="20"/>
              </w:rPr>
            </w:pPr>
            <w:r w:rsidRPr="00E43137">
              <w:rPr>
                <w:rFonts w:ascii="Calibri" w:hAnsi="Calibri"/>
                <w:sz w:val="20"/>
                <w:szCs w:val="20"/>
              </w:rPr>
              <w:t>Termín splnenia: 12. apríl 2013</w:t>
            </w:r>
          </w:p>
          <w:p w:rsidR="00807B64" w:rsidRPr="00E43137" w:rsidRDefault="00807B64" w:rsidP="007B197D">
            <w:pPr>
              <w:ind w:left="-35"/>
              <w:jc w:val="left"/>
              <w:rPr>
                <w:rFonts w:ascii="Calibri" w:hAnsi="Calibri"/>
                <w:sz w:val="20"/>
                <w:szCs w:val="20"/>
              </w:rPr>
            </w:pPr>
          </w:p>
          <w:p w:rsidR="00807B64" w:rsidRPr="00E43137" w:rsidRDefault="00807B64" w:rsidP="007B197D">
            <w:pPr>
              <w:jc w:val="left"/>
              <w:rPr>
                <w:rFonts w:ascii="Calibri" w:hAnsi="Calibri"/>
                <w:sz w:val="20"/>
                <w:szCs w:val="20"/>
              </w:rPr>
            </w:pPr>
            <w:r w:rsidRPr="00E43137">
              <w:rPr>
                <w:rFonts w:ascii="Calibri" w:hAnsi="Calibri"/>
                <w:sz w:val="20"/>
                <w:szCs w:val="20"/>
              </w:rPr>
              <w:t xml:space="preserve">4. Doplnenie kvantifikátorov rizika  </w:t>
            </w:r>
          </w:p>
          <w:p w:rsidR="00807B64" w:rsidRPr="00E43137" w:rsidRDefault="00807B64" w:rsidP="007B197D">
            <w:pPr>
              <w:ind w:left="-35"/>
              <w:jc w:val="left"/>
              <w:rPr>
                <w:rFonts w:ascii="Calibri" w:hAnsi="Calibri"/>
                <w:sz w:val="20"/>
                <w:szCs w:val="20"/>
              </w:rPr>
            </w:pPr>
            <w:r w:rsidRPr="00E43137">
              <w:rPr>
                <w:rFonts w:ascii="Calibri" w:hAnsi="Calibri"/>
                <w:sz w:val="20"/>
                <w:szCs w:val="20"/>
              </w:rPr>
              <w:t>Zodpovedná organizácia: MV SR</w:t>
            </w:r>
          </w:p>
          <w:p w:rsidR="00807B64" w:rsidRPr="00E43137" w:rsidRDefault="00807B64" w:rsidP="007B197D">
            <w:pPr>
              <w:ind w:left="-35"/>
              <w:jc w:val="left"/>
              <w:rPr>
                <w:rFonts w:ascii="Calibri" w:hAnsi="Calibri"/>
                <w:sz w:val="20"/>
                <w:szCs w:val="20"/>
              </w:rPr>
            </w:pPr>
            <w:r w:rsidRPr="00E43137">
              <w:rPr>
                <w:rFonts w:ascii="Calibri" w:hAnsi="Calibri"/>
                <w:sz w:val="20"/>
                <w:szCs w:val="20"/>
              </w:rPr>
              <w:t>Termín splnenia: 12. apríl 2013</w:t>
            </w:r>
          </w:p>
          <w:p w:rsidR="00807B64" w:rsidRPr="00E43137" w:rsidRDefault="00807B64" w:rsidP="007B197D">
            <w:pPr>
              <w:ind w:left="-35"/>
              <w:jc w:val="left"/>
              <w:rPr>
                <w:rFonts w:ascii="Calibri" w:hAnsi="Calibri"/>
                <w:sz w:val="20"/>
                <w:szCs w:val="20"/>
              </w:rPr>
            </w:pPr>
          </w:p>
          <w:p w:rsidR="00807B64" w:rsidRPr="00E43137" w:rsidRDefault="00807B64" w:rsidP="007B197D">
            <w:pPr>
              <w:ind w:left="176" w:hanging="176"/>
              <w:jc w:val="left"/>
              <w:rPr>
                <w:rFonts w:ascii="Calibri" w:hAnsi="Calibri"/>
                <w:sz w:val="20"/>
                <w:szCs w:val="20"/>
              </w:rPr>
            </w:pPr>
            <w:r w:rsidRPr="00E43137">
              <w:rPr>
                <w:rFonts w:ascii="Calibri" w:hAnsi="Calibri"/>
                <w:sz w:val="20"/>
                <w:szCs w:val="20"/>
              </w:rPr>
              <w:t>5. Vypracovanie metodiky hodnotenia vybraných rizík na vnútroštátnej úrovni:</w:t>
            </w:r>
          </w:p>
          <w:p w:rsidR="00807B64" w:rsidRPr="00E43137" w:rsidRDefault="00807B64" w:rsidP="007B197D">
            <w:pPr>
              <w:ind w:left="-35"/>
              <w:jc w:val="left"/>
              <w:rPr>
                <w:rFonts w:ascii="Calibri" w:hAnsi="Calibri"/>
                <w:sz w:val="20"/>
                <w:szCs w:val="20"/>
              </w:rPr>
            </w:pPr>
            <w:r w:rsidRPr="00E43137">
              <w:rPr>
                <w:rFonts w:ascii="Calibri" w:hAnsi="Calibri"/>
                <w:sz w:val="20"/>
                <w:szCs w:val="20"/>
              </w:rPr>
              <w:t xml:space="preserve">Metodika je dostupná na webovom sídle Ministerstva vnútra SR: </w:t>
            </w:r>
          </w:p>
          <w:p w:rsidR="00807B64" w:rsidRPr="00E43137" w:rsidRDefault="00954688" w:rsidP="007B197D">
            <w:pPr>
              <w:ind w:left="-35"/>
              <w:jc w:val="left"/>
              <w:rPr>
                <w:rFonts w:ascii="Calibri" w:hAnsi="Calibri"/>
                <w:sz w:val="20"/>
                <w:szCs w:val="20"/>
              </w:rPr>
            </w:pPr>
            <w:hyperlink r:id="rId58" w:history="1">
              <w:r w:rsidR="00807B64" w:rsidRPr="00E43137">
                <w:rPr>
                  <w:rFonts w:ascii="Calibri" w:hAnsi="Calibri"/>
                  <w:color w:val="0000FF"/>
                  <w:sz w:val="20"/>
                  <w:szCs w:val="20"/>
                  <w:u w:val="single"/>
                </w:rPr>
                <w:t>http://www.minv.sk/?Dokumenty_na_stiahnutie_CO</w:t>
              </w:r>
            </w:hyperlink>
            <w:r w:rsidR="00807B64" w:rsidRPr="00E43137">
              <w:rPr>
                <w:rFonts w:ascii="Calibri" w:hAnsi="Calibri"/>
                <w:sz w:val="20"/>
                <w:szCs w:val="20"/>
              </w:rPr>
              <w:t xml:space="preserve"> </w:t>
            </w:r>
          </w:p>
          <w:p w:rsidR="00807B64" w:rsidRPr="00E43137" w:rsidRDefault="00954688" w:rsidP="007B197D">
            <w:pPr>
              <w:ind w:left="-35"/>
              <w:jc w:val="left"/>
              <w:rPr>
                <w:rFonts w:ascii="Calibri" w:hAnsi="Calibri"/>
                <w:sz w:val="20"/>
                <w:szCs w:val="20"/>
              </w:rPr>
            </w:pPr>
            <w:hyperlink r:id="rId59" w:history="1">
              <w:r w:rsidR="00807B64" w:rsidRPr="00E43137">
                <w:rPr>
                  <w:rFonts w:ascii="Calibri" w:hAnsi="Calibri"/>
                  <w:color w:val="0000FF"/>
                  <w:sz w:val="20"/>
                  <w:szCs w:val="20"/>
                  <w:u w:val="single"/>
                </w:rPr>
                <w:t>http://www.minv.sk/?Dokumenty_na_stiahnutie_CO&amp;subor=175547</w:t>
              </w:r>
            </w:hyperlink>
            <w:r w:rsidR="00807B64" w:rsidRPr="00E43137">
              <w:rPr>
                <w:rFonts w:ascii="Calibri" w:hAnsi="Calibri"/>
                <w:sz w:val="20"/>
                <w:szCs w:val="20"/>
              </w:rPr>
              <w:t xml:space="preserve"> </w:t>
            </w:r>
          </w:p>
          <w:p w:rsidR="00807B64" w:rsidRPr="00E43137" w:rsidRDefault="00807B64" w:rsidP="007B197D">
            <w:pPr>
              <w:ind w:left="-35"/>
              <w:jc w:val="left"/>
              <w:rPr>
                <w:rFonts w:ascii="Calibri" w:hAnsi="Calibri"/>
                <w:sz w:val="20"/>
                <w:szCs w:val="20"/>
              </w:rPr>
            </w:pPr>
            <w:r w:rsidRPr="00E43137">
              <w:rPr>
                <w:rFonts w:ascii="Calibri" w:hAnsi="Calibri"/>
                <w:sz w:val="20"/>
                <w:szCs w:val="20"/>
              </w:rPr>
              <w:t>Zodpovedná organizácia: MV SR</w:t>
            </w:r>
          </w:p>
          <w:p w:rsidR="00807B64" w:rsidRPr="00E43137" w:rsidRDefault="00807B64" w:rsidP="007B197D">
            <w:pPr>
              <w:ind w:left="-35"/>
              <w:jc w:val="left"/>
              <w:rPr>
                <w:rFonts w:ascii="Calibri" w:hAnsi="Calibri"/>
                <w:sz w:val="20"/>
                <w:szCs w:val="20"/>
              </w:rPr>
            </w:pPr>
            <w:r w:rsidRPr="00E43137">
              <w:rPr>
                <w:rFonts w:ascii="Calibri" w:hAnsi="Calibri"/>
                <w:sz w:val="20"/>
                <w:szCs w:val="20"/>
              </w:rPr>
              <w:t>Termín splnenia: 30. jún 2013</w:t>
            </w:r>
          </w:p>
          <w:p w:rsidR="00807B64" w:rsidRPr="00E43137" w:rsidRDefault="00807B64" w:rsidP="007B197D">
            <w:pPr>
              <w:ind w:left="-35"/>
              <w:jc w:val="left"/>
              <w:rPr>
                <w:rFonts w:ascii="Calibri" w:hAnsi="Calibri"/>
                <w:sz w:val="20"/>
                <w:szCs w:val="20"/>
              </w:rPr>
            </w:pPr>
          </w:p>
          <w:p w:rsidR="00807B64" w:rsidRPr="00E43137" w:rsidRDefault="00807B64" w:rsidP="007B197D">
            <w:pPr>
              <w:ind w:left="176" w:hanging="142"/>
              <w:jc w:val="left"/>
              <w:rPr>
                <w:rFonts w:ascii="Calibri" w:hAnsi="Calibri"/>
                <w:sz w:val="20"/>
                <w:szCs w:val="20"/>
              </w:rPr>
            </w:pPr>
            <w:r w:rsidRPr="00E43137">
              <w:rPr>
                <w:rFonts w:ascii="Calibri" w:hAnsi="Calibri"/>
                <w:sz w:val="20"/>
                <w:szCs w:val="20"/>
              </w:rPr>
              <w:t>6. Postup pri určovaní prioritizácie investícií založených na riziku;</w:t>
            </w:r>
          </w:p>
          <w:p w:rsidR="00807B64" w:rsidRPr="00E43137" w:rsidRDefault="00807B64" w:rsidP="007B197D">
            <w:pPr>
              <w:ind w:left="-35"/>
              <w:jc w:val="left"/>
              <w:rPr>
                <w:rFonts w:ascii="Calibri" w:hAnsi="Calibri"/>
                <w:sz w:val="20"/>
                <w:szCs w:val="20"/>
              </w:rPr>
            </w:pPr>
            <w:r w:rsidRPr="00E43137">
              <w:rPr>
                <w:rFonts w:ascii="Calibri" w:hAnsi="Calibri"/>
                <w:sz w:val="20"/>
                <w:szCs w:val="20"/>
              </w:rPr>
              <w:t xml:space="preserve">spolupráca MŽP SR pri vypracúvaní metodiky hodnotenia vybraných rizík (vrátane environmentálnych záťaží, zosuvov a rizík vyplývajúcich z úložísk ťažobného odpadu) </w:t>
            </w:r>
          </w:p>
          <w:p w:rsidR="00807B64" w:rsidRPr="00E43137" w:rsidRDefault="00807B64" w:rsidP="007B197D">
            <w:pPr>
              <w:ind w:left="-35"/>
              <w:jc w:val="left"/>
              <w:rPr>
                <w:rFonts w:ascii="Calibri" w:hAnsi="Calibri"/>
                <w:sz w:val="20"/>
                <w:szCs w:val="20"/>
              </w:rPr>
            </w:pPr>
            <w:r w:rsidRPr="00E43137">
              <w:rPr>
                <w:rFonts w:ascii="Calibri" w:hAnsi="Calibri"/>
                <w:sz w:val="20"/>
                <w:szCs w:val="20"/>
              </w:rPr>
              <w:t>Zodpovedná organizácia: MV SR</w:t>
            </w:r>
          </w:p>
          <w:p w:rsidR="00807B64" w:rsidRPr="00E43137" w:rsidRDefault="00807B64" w:rsidP="007B197D">
            <w:pPr>
              <w:ind w:left="-35"/>
              <w:jc w:val="left"/>
              <w:rPr>
                <w:rFonts w:ascii="Calibri" w:hAnsi="Calibri"/>
                <w:sz w:val="20"/>
                <w:szCs w:val="20"/>
              </w:rPr>
            </w:pPr>
            <w:r w:rsidRPr="00E43137">
              <w:rPr>
                <w:rFonts w:ascii="Calibri" w:hAnsi="Calibri"/>
                <w:sz w:val="20"/>
                <w:szCs w:val="20"/>
              </w:rPr>
              <w:t>Termín splnenia: 30. jún 2013</w:t>
            </w:r>
          </w:p>
          <w:p w:rsidR="00807B64" w:rsidRPr="00E43137" w:rsidRDefault="00807B64" w:rsidP="007B197D">
            <w:pPr>
              <w:ind w:left="-35"/>
              <w:jc w:val="left"/>
              <w:rPr>
                <w:rFonts w:ascii="Calibri" w:hAnsi="Calibri"/>
                <w:sz w:val="20"/>
                <w:szCs w:val="20"/>
              </w:rPr>
            </w:pPr>
          </w:p>
          <w:p w:rsidR="00807B64" w:rsidRPr="00E43137" w:rsidRDefault="00807B64" w:rsidP="007B197D">
            <w:pPr>
              <w:ind w:left="-35"/>
              <w:jc w:val="left"/>
              <w:rPr>
                <w:rFonts w:ascii="Calibri" w:hAnsi="Calibri"/>
                <w:sz w:val="20"/>
                <w:szCs w:val="20"/>
              </w:rPr>
            </w:pPr>
            <w:r w:rsidRPr="00E43137">
              <w:rPr>
                <w:rFonts w:ascii="Calibri" w:hAnsi="Calibri"/>
                <w:sz w:val="20"/>
                <w:szCs w:val="20"/>
              </w:rPr>
              <w:t>vykonané predbežné hodnotenie</w:t>
            </w:r>
            <w:r w:rsidRPr="00E43137">
              <w:rPr>
                <w:rFonts w:ascii="Calibri" w:hAnsi="Calibri"/>
                <w:sz w:val="20"/>
                <w:szCs w:val="20"/>
              </w:rPr>
              <w:lastRenderedPageBreak/>
              <w:t xml:space="preserve"> povodňového rizika (12/2011):</w:t>
            </w:r>
          </w:p>
          <w:p w:rsidR="00807B64" w:rsidRDefault="00954688" w:rsidP="007B197D">
            <w:pPr>
              <w:ind w:left="-35"/>
              <w:jc w:val="left"/>
              <w:rPr>
                <w:rFonts w:ascii="Calibri" w:hAnsi="Calibri"/>
                <w:color w:val="0000FF"/>
                <w:sz w:val="20"/>
                <w:szCs w:val="20"/>
                <w:u w:val="single"/>
              </w:rPr>
            </w:pPr>
            <w:hyperlink r:id="rId60" w:history="1">
              <w:r w:rsidR="00807B64" w:rsidRPr="00E43137">
                <w:rPr>
                  <w:rFonts w:ascii="Calibri" w:hAnsi="Calibri"/>
                  <w:color w:val="0000FF"/>
                  <w:sz w:val="20"/>
                  <w:szCs w:val="20"/>
                  <w:u w:val="single"/>
                </w:rPr>
                <w:t>http://www.minzp.sk/sekcie/temy-oblasti/voda/ochrana-pred-povodnami/manazment-povodnovych-rizik/</w:t>
              </w:r>
            </w:hyperlink>
          </w:p>
          <w:p w:rsidR="00807B64" w:rsidRDefault="00807B64" w:rsidP="007B197D">
            <w:pPr>
              <w:ind w:left="-35"/>
              <w:jc w:val="left"/>
              <w:rPr>
                <w:rFonts w:ascii="Calibri" w:hAnsi="Calibri"/>
                <w:color w:val="0000FF"/>
                <w:sz w:val="20"/>
                <w:szCs w:val="20"/>
                <w:u w:val="single"/>
              </w:rPr>
            </w:pPr>
          </w:p>
          <w:p w:rsidR="00807B64" w:rsidRDefault="00807B64" w:rsidP="007B197D">
            <w:pPr>
              <w:ind w:left="-35"/>
              <w:jc w:val="left"/>
              <w:rPr>
                <w:rFonts w:ascii="Calibri" w:hAnsi="Calibri"/>
                <w:color w:val="0000FF"/>
                <w:sz w:val="20"/>
                <w:szCs w:val="20"/>
                <w:u w:val="single"/>
              </w:rPr>
            </w:pPr>
          </w:p>
          <w:p w:rsidR="00807B64" w:rsidRDefault="00807B64" w:rsidP="007B197D">
            <w:pPr>
              <w:ind w:left="-35"/>
              <w:jc w:val="left"/>
              <w:rPr>
                <w:rFonts w:ascii="Calibri" w:hAnsi="Calibri"/>
                <w:color w:val="0000FF"/>
                <w:sz w:val="20"/>
                <w:szCs w:val="20"/>
                <w:u w:val="single"/>
              </w:rPr>
            </w:pPr>
          </w:p>
          <w:p w:rsidR="00807B64" w:rsidRDefault="00807B64" w:rsidP="007B197D">
            <w:pPr>
              <w:ind w:left="-35"/>
              <w:jc w:val="left"/>
              <w:rPr>
                <w:rFonts w:ascii="Calibri" w:hAnsi="Calibri"/>
                <w:color w:val="0000FF"/>
                <w:sz w:val="20"/>
                <w:szCs w:val="20"/>
                <w:u w:val="single"/>
              </w:rPr>
            </w:pPr>
          </w:p>
          <w:p w:rsidR="00807B64" w:rsidRDefault="00807B64" w:rsidP="007B197D">
            <w:pPr>
              <w:ind w:left="-35"/>
              <w:jc w:val="left"/>
              <w:rPr>
                <w:rFonts w:ascii="Calibri" w:hAnsi="Calibri"/>
                <w:color w:val="0000FF"/>
                <w:sz w:val="20"/>
                <w:szCs w:val="20"/>
                <w:u w:val="single"/>
              </w:rPr>
            </w:pPr>
          </w:p>
          <w:p w:rsidR="00807B64" w:rsidRDefault="00807B64" w:rsidP="007B197D">
            <w:pPr>
              <w:ind w:left="-35"/>
              <w:jc w:val="left"/>
              <w:rPr>
                <w:rFonts w:ascii="Calibri" w:hAnsi="Calibri"/>
                <w:color w:val="0000FF"/>
                <w:sz w:val="20"/>
                <w:szCs w:val="20"/>
                <w:u w:val="single"/>
              </w:rPr>
            </w:pPr>
          </w:p>
          <w:p w:rsidR="00807B64" w:rsidRDefault="00807B64" w:rsidP="007B197D">
            <w:pPr>
              <w:ind w:left="-35"/>
              <w:jc w:val="left"/>
              <w:rPr>
                <w:rFonts w:ascii="Calibri" w:hAnsi="Calibri"/>
                <w:color w:val="0000FF"/>
                <w:sz w:val="20"/>
                <w:szCs w:val="20"/>
                <w:u w:val="single"/>
              </w:rPr>
            </w:pPr>
          </w:p>
          <w:p w:rsidR="00807B64" w:rsidRDefault="00807B64" w:rsidP="007B197D">
            <w:pPr>
              <w:ind w:left="-35"/>
              <w:jc w:val="left"/>
              <w:rPr>
                <w:rFonts w:ascii="Calibri" w:hAnsi="Calibri"/>
                <w:color w:val="0000FF"/>
                <w:sz w:val="20"/>
                <w:szCs w:val="20"/>
                <w:u w:val="single"/>
              </w:rPr>
            </w:pPr>
          </w:p>
          <w:p w:rsidR="00807B64" w:rsidRDefault="00807B64" w:rsidP="007B197D">
            <w:pPr>
              <w:ind w:left="-35"/>
              <w:jc w:val="left"/>
              <w:rPr>
                <w:rFonts w:ascii="Calibri" w:hAnsi="Calibri"/>
                <w:color w:val="0000FF"/>
                <w:sz w:val="20"/>
                <w:szCs w:val="20"/>
                <w:u w:val="single"/>
              </w:rPr>
            </w:pPr>
          </w:p>
          <w:p w:rsidR="00807B64" w:rsidRDefault="00807B64" w:rsidP="007B197D">
            <w:pPr>
              <w:ind w:left="-35"/>
              <w:jc w:val="left"/>
              <w:rPr>
                <w:rFonts w:ascii="Calibri" w:hAnsi="Calibri"/>
                <w:color w:val="0000FF"/>
                <w:sz w:val="20"/>
                <w:szCs w:val="20"/>
                <w:u w:val="single"/>
              </w:rPr>
            </w:pPr>
          </w:p>
          <w:p w:rsidR="00807B64" w:rsidRDefault="00807B64" w:rsidP="007B197D">
            <w:pPr>
              <w:ind w:left="-35"/>
              <w:jc w:val="left"/>
              <w:rPr>
                <w:rFonts w:ascii="Calibri" w:hAnsi="Calibri"/>
                <w:color w:val="0000FF"/>
                <w:sz w:val="20"/>
                <w:szCs w:val="20"/>
                <w:u w:val="single"/>
              </w:rPr>
            </w:pPr>
          </w:p>
          <w:p w:rsidR="00807B64" w:rsidRDefault="00807B64" w:rsidP="007B197D">
            <w:pPr>
              <w:ind w:left="-35"/>
              <w:jc w:val="left"/>
              <w:rPr>
                <w:rFonts w:ascii="Calibri" w:hAnsi="Calibri"/>
                <w:color w:val="0000FF"/>
                <w:sz w:val="20"/>
                <w:szCs w:val="20"/>
                <w:u w:val="single"/>
              </w:rPr>
            </w:pPr>
          </w:p>
          <w:p w:rsidR="00807B64" w:rsidRDefault="00807B64" w:rsidP="007B197D">
            <w:pPr>
              <w:ind w:left="-35"/>
              <w:jc w:val="left"/>
              <w:rPr>
                <w:rFonts w:ascii="Calibri" w:hAnsi="Calibri"/>
                <w:color w:val="0000FF"/>
                <w:sz w:val="20"/>
                <w:szCs w:val="20"/>
                <w:u w:val="single"/>
              </w:rPr>
            </w:pPr>
          </w:p>
          <w:p w:rsidR="00807B64" w:rsidRDefault="00807B64" w:rsidP="007B197D">
            <w:pPr>
              <w:ind w:left="-35"/>
              <w:jc w:val="left"/>
              <w:rPr>
                <w:rFonts w:ascii="Calibri" w:hAnsi="Calibri"/>
                <w:color w:val="0000FF"/>
                <w:sz w:val="20"/>
                <w:szCs w:val="20"/>
                <w:u w:val="single"/>
              </w:rPr>
            </w:pPr>
          </w:p>
          <w:p w:rsidR="00807B64" w:rsidRDefault="00807B64" w:rsidP="007B197D">
            <w:pPr>
              <w:ind w:left="-35"/>
              <w:jc w:val="left"/>
              <w:rPr>
                <w:rFonts w:ascii="Calibri" w:hAnsi="Calibri"/>
                <w:color w:val="0000FF"/>
                <w:sz w:val="20"/>
                <w:szCs w:val="20"/>
                <w:u w:val="single"/>
              </w:rPr>
            </w:pPr>
          </w:p>
          <w:p w:rsidR="00807B64" w:rsidRDefault="00807B64" w:rsidP="007B197D">
            <w:pPr>
              <w:ind w:left="-35"/>
              <w:jc w:val="left"/>
              <w:rPr>
                <w:rFonts w:ascii="Calibri" w:hAnsi="Calibri"/>
                <w:color w:val="0000FF"/>
                <w:sz w:val="20"/>
                <w:szCs w:val="20"/>
                <w:u w:val="single"/>
              </w:rPr>
            </w:pPr>
          </w:p>
          <w:p w:rsidR="00807B64" w:rsidRDefault="00807B64" w:rsidP="007B197D">
            <w:pPr>
              <w:ind w:left="-35"/>
              <w:jc w:val="left"/>
              <w:rPr>
                <w:rFonts w:ascii="Calibri" w:hAnsi="Calibri"/>
                <w:color w:val="0000FF"/>
                <w:sz w:val="20"/>
                <w:szCs w:val="20"/>
                <w:u w:val="single"/>
              </w:rPr>
            </w:pPr>
          </w:p>
          <w:p w:rsidR="00807B64" w:rsidRDefault="00807B64" w:rsidP="007B197D">
            <w:pPr>
              <w:ind w:left="-35"/>
              <w:jc w:val="left"/>
              <w:rPr>
                <w:rFonts w:ascii="Calibri" w:hAnsi="Calibri"/>
                <w:color w:val="0000FF"/>
                <w:sz w:val="20"/>
                <w:szCs w:val="20"/>
                <w:u w:val="single"/>
              </w:rPr>
            </w:pPr>
          </w:p>
          <w:p w:rsidR="00807B64" w:rsidRDefault="00807B64" w:rsidP="007B197D">
            <w:pPr>
              <w:ind w:left="-35"/>
              <w:jc w:val="left"/>
              <w:rPr>
                <w:rFonts w:ascii="Calibri" w:hAnsi="Calibri"/>
                <w:color w:val="0000FF"/>
                <w:sz w:val="20"/>
                <w:szCs w:val="20"/>
                <w:u w:val="single"/>
              </w:rPr>
            </w:pPr>
          </w:p>
          <w:p w:rsidR="00807B64" w:rsidRDefault="00807B64" w:rsidP="007B197D">
            <w:pPr>
              <w:ind w:left="-35"/>
              <w:jc w:val="left"/>
              <w:rPr>
                <w:rFonts w:ascii="Calibri" w:hAnsi="Calibri"/>
                <w:color w:val="0000FF"/>
                <w:sz w:val="20"/>
                <w:szCs w:val="20"/>
                <w:u w:val="single"/>
              </w:rPr>
            </w:pPr>
          </w:p>
          <w:p w:rsidR="00807B64" w:rsidRDefault="00807B64" w:rsidP="007B197D">
            <w:pPr>
              <w:ind w:left="-35"/>
              <w:jc w:val="left"/>
              <w:rPr>
                <w:rFonts w:ascii="Calibri" w:hAnsi="Calibri"/>
                <w:color w:val="0000FF"/>
                <w:sz w:val="20"/>
                <w:szCs w:val="20"/>
                <w:u w:val="single"/>
              </w:rPr>
            </w:pPr>
          </w:p>
          <w:p w:rsidR="00807B64" w:rsidRDefault="00807B64" w:rsidP="007B197D">
            <w:pPr>
              <w:ind w:left="-35"/>
              <w:jc w:val="left"/>
              <w:rPr>
                <w:rFonts w:ascii="Calibri" w:hAnsi="Calibri"/>
                <w:color w:val="0000FF"/>
                <w:sz w:val="20"/>
                <w:szCs w:val="20"/>
                <w:u w:val="single"/>
              </w:rPr>
            </w:pPr>
          </w:p>
          <w:p w:rsidR="00807B64" w:rsidRDefault="00807B64" w:rsidP="007B197D">
            <w:pPr>
              <w:ind w:left="-35"/>
              <w:jc w:val="left"/>
              <w:rPr>
                <w:rFonts w:ascii="Calibri" w:hAnsi="Calibri"/>
                <w:color w:val="0000FF"/>
                <w:sz w:val="20"/>
                <w:szCs w:val="20"/>
                <w:u w:val="single"/>
              </w:rPr>
            </w:pPr>
          </w:p>
          <w:p w:rsidR="00807B64" w:rsidRDefault="00807B64" w:rsidP="007B197D">
            <w:pPr>
              <w:ind w:left="-35"/>
              <w:jc w:val="left"/>
              <w:rPr>
                <w:rFonts w:ascii="Calibri" w:hAnsi="Calibri"/>
                <w:color w:val="0000FF"/>
                <w:sz w:val="20"/>
                <w:szCs w:val="20"/>
                <w:u w:val="single"/>
              </w:rPr>
            </w:pPr>
          </w:p>
          <w:p w:rsidR="00807B64" w:rsidRDefault="00807B64" w:rsidP="007B197D">
            <w:pPr>
              <w:ind w:left="-35"/>
              <w:jc w:val="left"/>
              <w:rPr>
                <w:rFonts w:ascii="Calibri" w:hAnsi="Calibri"/>
                <w:color w:val="0000FF"/>
                <w:sz w:val="20"/>
                <w:szCs w:val="20"/>
                <w:u w:val="single"/>
              </w:rPr>
            </w:pPr>
          </w:p>
          <w:p w:rsidR="00807B64" w:rsidRDefault="00807B64" w:rsidP="007B197D">
            <w:pPr>
              <w:ind w:left="-35"/>
              <w:jc w:val="left"/>
              <w:rPr>
                <w:rFonts w:ascii="Calibri" w:hAnsi="Calibri"/>
                <w:color w:val="0000FF"/>
                <w:sz w:val="20"/>
                <w:szCs w:val="20"/>
                <w:u w:val="single"/>
              </w:rPr>
            </w:pPr>
          </w:p>
          <w:p w:rsidR="00807B64" w:rsidRDefault="00807B64" w:rsidP="007B197D">
            <w:pPr>
              <w:ind w:left="-35"/>
              <w:jc w:val="left"/>
              <w:rPr>
                <w:rFonts w:ascii="Calibri" w:hAnsi="Calibri"/>
                <w:color w:val="0000FF"/>
                <w:sz w:val="20"/>
                <w:szCs w:val="20"/>
                <w:u w:val="single"/>
              </w:rPr>
            </w:pPr>
          </w:p>
          <w:p w:rsidR="00807B64" w:rsidRDefault="00807B64" w:rsidP="007B197D">
            <w:pPr>
              <w:ind w:left="-35"/>
              <w:jc w:val="left"/>
              <w:rPr>
                <w:rFonts w:ascii="Calibri" w:hAnsi="Calibri"/>
                <w:color w:val="0000FF"/>
                <w:sz w:val="20"/>
                <w:szCs w:val="20"/>
                <w:u w:val="single"/>
              </w:rPr>
            </w:pPr>
          </w:p>
          <w:p w:rsidR="00807B64" w:rsidRDefault="00807B64" w:rsidP="007B197D">
            <w:pPr>
              <w:ind w:left="-35"/>
              <w:jc w:val="left"/>
              <w:rPr>
                <w:rFonts w:ascii="Calibri" w:hAnsi="Calibri"/>
                <w:color w:val="0000FF"/>
                <w:sz w:val="20"/>
                <w:szCs w:val="20"/>
                <w:u w:val="single"/>
              </w:rPr>
            </w:pPr>
          </w:p>
          <w:p w:rsidR="00807B64" w:rsidRDefault="00807B64" w:rsidP="007B197D">
            <w:pPr>
              <w:ind w:left="-35"/>
              <w:jc w:val="left"/>
              <w:rPr>
                <w:rFonts w:ascii="Calibri" w:hAnsi="Calibri"/>
                <w:color w:val="0000FF"/>
                <w:sz w:val="20"/>
                <w:szCs w:val="20"/>
                <w:u w:val="single"/>
              </w:rPr>
            </w:pPr>
          </w:p>
          <w:p w:rsidR="00807B64" w:rsidRDefault="00807B64" w:rsidP="007B197D">
            <w:pPr>
              <w:ind w:left="-35"/>
              <w:jc w:val="left"/>
              <w:rPr>
                <w:rFonts w:ascii="Calibri" w:hAnsi="Calibri"/>
                <w:color w:val="0000FF"/>
                <w:sz w:val="20"/>
                <w:szCs w:val="20"/>
                <w:u w:val="single"/>
              </w:rPr>
            </w:pPr>
          </w:p>
          <w:p w:rsidR="00807B64" w:rsidRDefault="00807B64" w:rsidP="007B197D">
            <w:pPr>
              <w:ind w:left="-35"/>
              <w:jc w:val="left"/>
              <w:rPr>
                <w:rFonts w:ascii="Calibri" w:hAnsi="Calibri"/>
                <w:color w:val="0000FF"/>
                <w:sz w:val="20"/>
                <w:szCs w:val="20"/>
                <w:u w:val="single"/>
              </w:rPr>
            </w:pPr>
          </w:p>
          <w:p w:rsidR="00807B64" w:rsidRDefault="00807B64" w:rsidP="007B197D">
            <w:pPr>
              <w:ind w:left="-35"/>
              <w:jc w:val="left"/>
              <w:rPr>
                <w:rFonts w:ascii="Calibri" w:hAnsi="Calibri"/>
                <w:color w:val="0000FF"/>
                <w:sz w:val="20"/>
                <w:szCs w:val="20"/>
                <w:u w:val="single"/>
              </w:rPr>
            </w:pPr>
          </w:p>
          <w:p w:rsidR="00807B64" w:rsidRPr="00EB375E" w:rsidRDefault="00807B64" w:rsidP="007B197D">
            <w:pPr>
              <w:ind w:left="-35"/>
              <w:jc w:val="left"/>
              <w:rPr>
                <w:color w:val="0000FF"/>
                <w:sz w:val="20"/>
                <w:szCs w:val="20"/>
                <w:u w:val="single"/>
              </w:rPr>
            </w:pPr>
            <w:r w:rsidRPr="00EB375E">
              <w:rPr>
                <w:sz w:val="20"/>
                <w:szCs w:val="20"/>
              </w:rPr>
              <w:t>V súlade s čl. 6  Rozhodnutia Európskeho parlamentu a Rady č. 1313/2013/EÚ zo 17. 12. 2013 o mechanizme Únie v oblasti civilnej ochrany SR vypracuje posúdenie rizík na vnútroštátnej úrovni   a Komisii sprístupní zhrnutie ich relevantných prvkov, a to do 22. decembra 2015 a potom každé tri roky na základe už existujúcich a zavedených  postupov a metód posúdenia rizika.</w:t>
            </w:r>
          </w:p>
          <w:p w:rsidR="00807B64" w:rsidRDefault="00807B64" w:rsidP="007B197D">
            <w:pPr>
              <w:ind w:left="-35"/>
              <w:jc w:val="left"/>
              <w:rPr>
                <w:rFonts w:ascii="Calibri" w:hAnsi="Calibri"/>
                <w:color w:val="0000FF"/>
                <w:sz w:val="20"/>
                <w:szCs w:val="20"/>
                <w:u w:val="single"/>
              </w:rPr>
            </w:pPr>
          </w:p>
          <w:p w:rsidR="00807B64" w:rsidRDefault="00807B64" w:rsidP="007B197D">
            <w:pPr>
              <w:ind w:left="-35"/>
              <w:jc w:val="left"/>
              <w:rPr>
                <w:rFonts w:ascii="Calibri" w:hAnsi="Calibri"/>
                <w:color w:val="0000FF"/>
                <w:sz w:val="20"/>
                <w:szCs w:val="20"/>
                <w:u w:val="single"/>
              </w:rPr>
            </w:pPr>
          </w:p>
          <w:p w:rsidR="00807B64" w:rsidRDefault="00807B64" w:rsidP="007B197D">
            <w:pPr>
              <w:ind w:left="-35"/>
              <w:jc w:val="left"/>
              <w:rPr>
                <w:rFonts w:ascii="Calibri" w:hAnsi="Calibri"/>
                <w:color w:val="0000FF"/>
                <w:sz w:val="20"/>
                <w:szCs w:val="20"/>
                <w:u w:val="single"/>
              </w:rPr>
            </w:pPr>
          </w:p>
          <w:p w:rsidR="00807B64" w:rsidRDefault="00807B64" w:rsidP="007B197D">
            <w:pPr>
              <w:ind w:left="-35"/>
              <w:jc w:val="left"/>
              <w:rPr>
                <w:rFonts w:ascii="Calibri" w:hAnsi="Calibri"/>
                <w:color w:val="0000FF"/>
                <w:sz w:val="20"/>
                <w:szCs w:val="20"/>
                <w:u w:val="single"/>
              </w:rPr>
            </w:pPr>
          </w:p>
          <w:p w:rsidR="00807B64" w:rsidRPr="00E43137" w:rsidRDefault="00807B64" w:rsidP="007B197D">
            <w:pPr>
              <w:ind w:left="-35"/>
              <w:jc w:val="left"/>
              <w:rPr>
                <w:rFonts w:ascii="Calibri" w:hAnsi="Calibri"/>
                <w:sz w:val="20"/>
                <w:szCs w:val="20"/>
              </w:rPr>
            </w:pPr>
            <w:r w:rsidRPr="00E43137">
              <w:rPr>
                <w:rFonts w:ascii="Calibri" w:hAnsi="Calibri"/>
                <w:sz w:val="20"/>
                <w:szCs w:val="20"/>
              </w:rPr>
              <w:t xml:space="preserve"> </w:t>
            </w:r>
          </w:p>
        </w:tc>
        <w:tc>
          <w:tcPr>
            <w:tcW w:w="3921" w:type="dxa"/>
            <w:shd w:val="clear" w:color="auto" w:fill="auto"/>
          </w:tcPr>
          <w:p w:rsidR="00807B64" w:rsidRPr="00E43137" w:rsidRDefault="00807B64" w:rsidP="007B197D">
            <w:pPr>
              <w:jc w:val="left"/>
              <w:rPr>
                <w:rFonts w:ascii="Calibri" w:hAnsi="Calibri"/>
                <w:sz w:val="20"/>
                <w:szCs w:val="20"/>
              </w:rPr>
            </w:pPr>
            <w:r w:rsidRPr="00E43137">
              <w:rPr>
                <w:rFonts w:ascii="Calibri" w:hAnsi="Calibri"/>
                <w:sz w:val="20"/>
                <w:szCs w:val="20"/>
              </w:rPr>
              <w:t>Ex-ante kondicionalita č. 5.1 v zmysle nariadenia (EÚ) č. 1303/2013.</w:t>
            </w:r>
          </w:p>
          <w:p w:rsidR="00807B64" w:rsidRPr="00897634" w:rsidRDefault="00807B64" w:rsidP="007B197D">
            <w:pPr>
              <w:jc w:val="left"/>
              <w:rPr>
                <w:sz w:val="20"/>
                <w:szCs w:val="20"/>
              </w:rPr>
            </w:pPr>
            <w:r w:rsidRPr="00897634">
              <w:rPr>
                <w:sz w:val="20"/>
                <w:szCs w:val="20"/>
              </w:rPr>
              <w:t xml:space="preserve">SR spracúva a 1x ročne pravidelne aktualizuje Analýzu územia z hľadiska možných mimoriadnych udalostí. Materiál je prístupný na sekcii krízového riadenia MV SR. Súhrnný materiál nie je verejne prístupný, nakoľko obsahuje citlivé informácie. </w:t>
            </w:r>
          </w:p>
          <w:p w:rsidR="00807B64" w:rsidRPr="00A7517E" w:rsidRDefault="00807B64" w:rsidP="007B197D">
            <w:pPr>
              <w:jc w:val="left"/>
              <w:rPr>
                <w:sz w:val="16"/>
                <w:szCs w:val="16"/>
              </w:rPr>
            </w:pPr>
            <w:r w:rsidRPr="00897634">
              <w:rPr>
                <w:sz w:val="20"/>
                <w:szCs w:val="20"/>
              </w:rPr>
              <w:t>SR zároveň spracúva a na ročnej báze aktualizuje plán ochrany obyvateľstva. Vzhľadom na citlivosť informácií obsiahnutých v pláne ochrany obyvateľstva je tento dokument dôverný a je k dispozícii na sekcii krízového riadenia MV SR</w:t>
            </w:r>
            <w:r w:rsidRPr="00A7517E">
              <w:rPr>
                <w:sz w:val="16"/>
                <w:szCs w:val="16"/>
              </w:rPr>
              <w:t xml:space="preserve">. </w:t>
            </w:r>
          </w:p>
          <w:p w:rsidR="00807B64" w:rsidRPr="00E43137" w:rsidRDefault="00807B64" w:rsidP="007B197D">
            <w:pPr>
              <w:jc w:val="left"/>
              <w:rPr>
                <w:rFonts w:ascii="Calibri" w:hAnsi="Calibri"/>
                <w:sz w:val="20"/>
                <w:szCs w:val="20"/>
              </w:rPr>
            </w:pPr>
          </w:p>
          <w:p w:rsidR="00807B64" w:rsidRPr="00E43137" w:rsidRDefault="00807B64" w:rsidP="007B197D">
            <w:pPr>
              <w:jc w:val="left"/>
              <w:rPr>
                <w:rFonts w:ascii="Calibri" w:hAnsi="Calibri"/>
                <w:sz w:val="20"/>
                <w:szCs w:val="20"/>
              </w:rPr>
            </w:pPr>
            <w:r w:rsidRPr="00E43137">
              <w:rPr>
                <w:rFonts w:ascii="Calibri" w:hAnsi="Calibri"/>
                <w:sz w:val="20"/>
                <w:szCs w:val="20"/>
              </w:rPr>
              <w:t>2. Analýz</w:t>
            </w:r>
            <w:r>
              <w:rPr>
                <w:rFonts w:ascii="Calibri" w:hAnsi="Calibri"/>
                <w:sz w:val="20"/>
                <w:szCs w:val="20"/>
              </w:rPr>
              <w:t>u</w:t>
            </w:r>
            <w:r w:rsidRPr="00E43137">
              <w:rPr>
                <w:rFonts w:ascii="Calibri" w:hAnsi="Calibri"/>
                <w:sz w:val="20"/>
                <w:szCs w:val="20"/>
              </w:rPr>
              <w:t xml:space="preserve"> dostupných metód a</w:t>
            </w:r>
            <w:r>
              <w:rPr>
                <w:rFonts w:ascii="Calibri" w:hAnsi="Calibri"/>
                <w:sz w:val="20"/>
                <w:szCs w:val="20"/>
              </w:rPr>
              <w:t> </w:t>
            </w:r>
            <w:r w:rsidRPr="00E43137">
              <w:rPr>
                <w:rFonts w:ascii="Calibri" w:hAnsi="Calibri"/>
                <w:sz w:val="20"/>
                <w:szCs w:val="20"/>
              </w:rPr>
              <w:t>postupov</w:t>
            </w:r>
            <w:r>
              <w:rPr>
                <w:rFonts w:ascii="Calibri" w:hAnsi="Calibri"/>
                <w:sz w:val="20"/>
                <w:szCs w:val="20"/>
              </w:rPr>
              <w:t xml:space="preserve"> tvorí:</w:t>
            </w:r>
          </w:p>
          <w:p w:rsidR="00807B64" w:rsidRPr="00E43137" w:rsidRDefault="00807B64" w:rsidP="007B197D">
            <w:pPr>
              <w:numPr>
                <w:ilvl w:val="0"/>
                <w:numId w:val="19"/>
              </w:numPr>
              <w:ind w:left="317" w:hanging="240"/>
              <w:contextualSpacing/>
              <w:jc w:val="left"/>
              <w:rPr>
                <w:rFonts w:ascii="Calibri" w:hAnsi="Calibri"/>
                <w:sz w:val="20"/>
                <w:szCs w:val="20"/>
              </w:rPr>
            </w:pPr>
            <w:r w:rsidRPr="00E43137">
              <w:rPr>
                <w:rFonts w:ascii="Calibri" w:hAnsi="Calibri"/>
                <w:sz w:val="20"/>
                <w:szCs w:val="20"/>
              </w:rPr>
              <w:t>Analýza všeobecných zásad manažérstva</w:t>
            </w:r>
            <w:r w:rsidRPr="00E43137">
              <w:rPr>
                <w:rFonts w:ascii="Calibri" w:hAnsi="Calibri"/>
                <w:sz w:val="20"/>
                <w:szCs w:val="20"/>
              </w:rPr>
              <w:lastRenderedPageBreak/>
              <w:t xml:space="preserve"> rizika</w:t>
            </w:r>
          </w:p>
          <w:p w:rsidR="00807B64" w:rsidRPr="00E43137" w:rsidRDefault="00807B64" w:rsidP="007B197D">
            <w:pPr>
              <w:numPr>
                <w:ilvl w:val="0"/>
                <w:numId w:val="19"/>
              </w:numPr>
              <w:ind w:left="317" w:hanging="240"/>
              <w:contextualSpacing/>
              <w:jc w:val="left"/>
              <w:rPr>
                <w:rFonts w:ascii="Calibri" w:hAnsi="Calibri"/>
                <w:sz w:val="20"/>
                <w:szCs w:val="20"/>
              </w:rPr>
            </w:pPr>
            <w:r w:rsidRPr="00E43137">
              <w:rPr>
                <w:rFonts w:ascii="Calibri" w:hAnsi="Calibri"/>
                <w:sz w:val="20"/>
                <w:szCs w:val="20"/>
              </w:rPr>
              <w:t xml:space="preserve">Analýza metód HRVA (Hazard Risk Vulnerability Assessment) z týchto hľadísk: </w:t>
            </w:r>
          </w:p>
          <w:p w:rsidR="00807B64" w:rsidRPr="00E43137" w:rsidRDefault="00807B64" w:rsidP="007B197D">
            <w:pPr>
              <w:numPr>
                <w:ilvl w:val="0"/>
                <w:numId w:val="19"/>
              </w:numPr>
              <w:ind w:left="317" w:hanging="240"/>
              <w:contextualSpacing/>
              <w:jc w:val="left"/>
              <w:rPr>
                <w:rFonts w:ascii="Calibri" w:hAnsi="Calibri"/>
                <w:sz w:val="20"/>
                <w:szCs w:val="20"/>
              </w:rPr>
            </w:pPr>
            <w:r w:rsidRPr="00E43137">
              <w:rPr>
                <w:rFonts w:ascii="Calibri" w:hAnsi="Calibri"/>
                <w:sz w:val="20"/>
                <w:szCs w:val="20"/>
              </w:rPr>
              <w:t>typy zraniteľnosti prostredia (obyvateľstvo, kritická infraštruktúra, životné prostredie),</w:t>
            </w:r>
          </w:p>
          <w:p w:rsidR="00807B64" w:rsidRPr="00E43137" w:rsidRDefault="00807B64" w:rsidP="007B197D">
            <w:pPr>
              <w:numPr>
                <w:ilvl w:val="0"/>
                <w:numId w:val="19"/>
              </w:numPr>
              <w:ind w:left="317" w:hanging="240"/>
              <w:contextualSpacing/>
              <w:jc w:val="left"/>
              <w:rPr>
                <w:rFonts w:ascii="Calibri" w:hAnsi="Calibri"/>
                <w:sz w:val="20"/>
                <w:szCs w:val="20"/>
              </w:rPr>
            </w:pPr>
            <w:r w:rsidRPr="00E43137">
              <w:rPr>
                <w:rFonts w:ascii="Calibri" w:hAnsi="Calibri"/>
                <w:sz w:val="20"/>
                <w:szCs w:val="20"/>
              </w:rPr>
              <w:t>rozsah kvantifikátorov zraniteľnosti,</w:t>
            </w:r>
          </w:p>
          <w:p w:rsidR="00807B64" w:rsidRPr="00E43137" w:rsidRDefault="00807B64" w:rsidP="007B197D">
            <w:pPr>
              <w:numPr>
                <w:ilvl w:val="0"/>
                <w:numId w:val="19"/>
              </w:numPr>
              <w:ind w:left="317" w:hanging="240"/>
              <w:contextualSpacing/>
              <w:jc w:val="left"/>
              <w:rPr>
                <w:rFonts w:ascii="Calibri" w:hAnsi="Calibri"/>
                <w:sz w:val="20"/>
                <w:szCs w:val="20"/>
              </w:rPr>
            </w:pPr>
            <w:r w:rsidRPr="00E43137">
              <w:rPr>
                <w:rFonts w:ascii="Calibri" w:hAnsi="Calibri"/>
                <w:sz w:val="20"/>
                <w:szCs w:val="20"/>
              </w:rPr>
              <w:t>postupy na zber, zhromažďovanie a spracovanie údajov,</w:t>
            </w:r>
          </w:p>
          <w:p w:rsidR="00807B64" w:rsidRDefault="00807B64" w:rsidP="007B197D">
            <w:pPr>
              <w:numPr>
                <w:ilvl w:val="0"/>
                <w:numId w:val="19"/>
              </w:numPr>
              <w:ind w:left="317" w:hanging="240"/>
              <w:contextualSpacing/>
              <w:jc w:val="left"/>
              <w:rPr>
                <w:rFonts w:ascii="Calibri" w:hAnsi="Calibri"/>
                <w:sz w:val="20"/>
                <w:szCs w:val="20"/>
              </w:rPr>
            </w:pPr>
            <w:r w:rsidRPr="00E43137">
              <w:rPr>
                <w:rFonts w:ascii="Calibri" w:hAnsi="Calibri"/>
                <w:sz w:val="20"/>
                <w:szCs w:val="20"/>
              </w:rPr>
              <w:t>mechanizmus hodnotenia rizika</w:t>
            </w:r>
            <w:r>
              <w:rPr>
                <w:rFonts w:ascii="Calibri" w:hAnsi="Calibri"/>
                <w:sz w:val="20"/>
                <w:szCs w:val="20"/>
              </w:rPr>
              <w:t>,</w:t>
            </w:r>
          </w:p>
          <w:p w:rsidR="00807B64" w:rsidRPr="00897634" w:rsidRDefault="00807B64" w:rsidP="007B197D">
            <w:pPr>
              <w:numPr>
                <w:ilvl w:val="0"/>
                <w:numId w:val="19"/>
              </w:numPr>
              <w:ind w:left="317" w:hanging="240"/>
              <w:contextualSpacing/>
              <w:jc w:val="left"/>
              <w:rPr>
                <w:sz w:val="20"/>
                <w:szCs w:val="20"/>
              </w:rPr>
            </w:pPr>
            <w:r w:rsidRPr="00897634">
              <w:rPr>
                <w:sz w:val="20"/>
                <w:szCs w:val="20"/>
              </w:rPr>
              <w:t>v rámci analýzy dopadov sú hodnotené sociálne, ekonomické, environmentálne a politické dopady na obyvateľstvo.</w:t>
            </w:r>
          </w:p>
          <w:p w:rsidR="00807B64" w:rsidRPr="00E43137" w:rsidRDefault="00807B64" w:rsidP="007B197D">
            <w:pPr>
              <w:ind w:left="360"/>
              <w:contextualSpacing/>
              <w:jc w:val="left"/>
              <w:rPr>
                <w:rFonts w:ascii="Calibri" w:hAnsi="Calibri"/>
                <w:sz w:val="20"/>
                <w:szCs w:val="20"/>
              </w:rPr>
            </w:pPr>
          </w:p>
          <w:p w:rsidR="00807B64" w:rsidRPr="00E43137" w:rsidRDefault="00807B64" w:rsidP="007B197D">
            <w:pPr>
              <w:jc w:val="left"/>
              <w:rPr>
                <w:rFonts w:ascii="Calibri" w:hAnsi="Calibri"/>
                <w:sz w:val="20"/>
                <w:szCs w:val="20"/>
              </w:rPr>
            </w:pPr>
          </w:p>
          <w:p w:rsidR="00807B64" w:rsidRPr="00E43137" w:rsidRDefault="00807B64" w:rsidP="007B197D">
            <w:pPr>
              <w:ind w:left="175" w:hanging="175"/>
              <w:jc w:val="left"/>
              <w:rPr>
                <w:rFonts w:ascii="Calibri" w:hAnsi="Calibri"/>
                <w:sz w:val="20"/>
                <w:szCs w:val="20"/>
              </w:rPr>
            </w:pPr>
            <w:r w:rsidRPr="00E43137">
              <w:rPr>
                <w:rFonts w:ascii="Calibri" w:hAnsi="Calibri"/>
                <w:sz w:val="20"/>
                <w:szCs w:val="20"/>
              </w:rPr>
              <w:t>3. Výber vhodných postupov, modifikácia a prispôsobenie stanoveným cieľom.</w:t>
            </w:r>
          </w:p>
          <w:p w:rsidR="00807B64" w:rsidRPr="00E43137" w:rsidRDefault="00807B64" w:rsidP="007B197D">
            <w:pPr>
              <w:jc w:val="left"/>
              <w:rPr>
                <w:rFonts w:ascii="Calibri" w:hAnsi="Calibri"/>
                <w:sz w:val="20"/>
                <w:szCs w:val="20"/>
              </w:rPr>
            </w:pPr>
          </w:p>
          <w:p w:rsidR="00807B64" w:rsidRPr="00E43137" w:rsidRDefault="00807B64" w:rsidP="007B197D">
            <w:pPr>
              <w:jc w:val="left"/>
              <w:rPr>
                <w:rFonts w:ascii="Calibri" w:hAnsi="Calibri"/>
                <w:sz w:val="20"/>
                <w:szCs w:val="20"/>
              </w:rPr>
            </w:pPr>
            <w:r w:rsidRPr="00E43137">
              <w:rPr>
                <w:rFonts w:ascii="Calibri" w:hAnsi="Calibri"/>
                <w:sz w:val="20"/>
                <w:szCs w:val="20"/>
              </w:rPr>
              <w:t>Z analyzovaných nástrojov hodnotenia rizík boli vybrané relevantné postupy a riešenia pre hodnotenie zraniteľnosti vo vzťahu ku konkrétnym rizikám a boli použité pri tvorbe modelu. Dôraz bol kladený na komplexné posúdenie rizika z hľadiska možných ohrození v prostredí vrátane zohľadnenia potenciálnych následkov mimoriadnych udalostí spôsobených tiež napr. spojením viacerých rizík (domino efekty, synergické javy). Výstupom hodnotenia rizík bude ich kvantitatívna definícia, umožňujúca</w:t>
            </w:r>
            <w:r w:rsidRPr="00E43137">
              <w:rPr>
                <w:rFonts w:ascii="Calibri" w:hAnsi="Calibri"/>
                <w:sz w:val="20"/>
                <w:szCs w:val="20"/>
              </w:rPr>
              <w:lastRenderedPageBreak/>
              <w:t xml:space="preserve"> jednoduché porovnanie a určenie priorít medzi rizikami, určenie najzraniteľnejších území v SR voči rizikám prírodného charakteru, určenie pravdepodobných dôsledkov vzniku </w:t>
            </w:r>
            <w:r>
              <w:rPr>
                <w:rFonts w:ascii="Calibri" w:hAnsi="Calibri"/>
                <w:sz w:val="20"/>
                <w:szCs w:val="20"/>
              </w:rPr>
              <w:t>mimoriadnych udalostí</w:t>
            </w:r>
            <w:r w:rsidRPr="00E43137">
              <w:rPr>
                <w:rFonts w:ascii="Calibri" w:hAnsi="Calibri"/>
                <w:sz w:val="20"/>
                <w:szCs w:val="20"/>
              </w:rPr>
              <w:t xml:space="preserve"> na špecifické prostredie a pod.</w:t>
            </w:r>
          </w:p>
          <w:p w:rsidR="00807B64" w:rsidRPr="00E43137" w:rsidRDefault="00807B64" w:rsidP="007B197D">
            <w:pPr>
              <w:jc w:val="left"/>
              <w:rPr>
                <w:rFonts w:ascii="Calibri" w:hAnsi="Calibri"/>
                <w:sz w:val="20"/>
                <w:szCs w:val="20"/>
              </w:rPr>
            </w:pPr>
          </w:p>
          <w:p w:rsidR="00807B64" w:rsidRPr="00E43137" w:rsidRDefault="00807B64" w:rsidP="007B197D">
            <w:pPr>
              <w:jc w:val="left"/>
              <w:rPr>
                <w:rFonts w:ascii="Calibri" w:hAnsi="Calibri"/>
                <w:sz w:val="20"/>
                <w:szCs w:val="20"/>
              </w:rPr>
            </w:pPr>
            <w:r w:rsidRPr="00E43137">
              <w:rPr>
                <w:rFonts w:ascii="Calibri" w:hAnsi="Calibri"/>
                <w:sz w:val="20"/>
                <w:szCs w:val="20"/>
              </w:rPr>
              <w:t>4. Doplnenie kvantifikátorov rizika</w:t>
            </w:r>
          </w:p>
          <w:p w:rsidR="00807B64" w:rsidRPr="00E43137" w:rsidRDefault="00807B64" w:rsidP="007B197D">
            <w:pPr>
              <w:jc w:val="left"/>
              <w:rPr>
                <w:rFonts w:ascii="Calibri" w:hAnsi="Calibri"/>
                <w:sz w:val="20"/>
                <w:szCs w:val="20"/>
              </w:rPr>
            </w:pPr>
            <w:r w:rsidRPr="00E43137">
              <w:rPr>
                <w:rFonts w:ascii="Calibri" w:hAnsi="Calibri"/>
                <w:sz w:val="20"/>
                <w:szCs w:val="20"/>
              </w:rPr>
              <w:t>MŽP SR poskytlo materiály potrebné na špecifikovanie kvantifikátorov zraniteľnosti životného prostredia. O tieto údaje je výpočet zraniteľnosti životného prostredia vo vzťahu ku konkrétnym rizikám doplnený, čo umožňuje kvalifikovanejšie zhodnotenie zraniteľnosti ŽP ako jedného z potenciálne postihnutých prostredí.</w:t>
            </w:r>
          </w:p>
          <w:p w:rsidR="00807B64" w:rsidRPr="00E43137" w:rsidRDefault="00807B64" w:rsidP="007B197D">
            <w:pPr>
              <w:jc w:val="left"/>
              <w:rPr>
                <w:rFonts w:ascii="Calibri" w:hAnsi="Calibri"/>
                <w:sz w:val="20"/>
                <w:szCs w:val="20"/>
              </w:rPr>
            </w:pPr>
          </w:p>
          <w:p w:rsidR="00807B64" w:rsidRPr="00E43137" w:rsidRDefault="00807B64" w:rsidP="007B197D">
            <w:pPr>
              <w:ind w:left="175" w:hanging="175"/>
              <w:jc w:val="left"/>
              <w:rPr>
                <w:rFonts w:ascii="Calibri" w:hAnsi="Calibri"/>
                <w:sz w:val="20"/>
                <w:szCs w:val="20"/>
              </w:rPr>
            </w:pPr>
            <w:r w:rsidRPr="00E43137">
              <w:rPr>
                <w:rFonts w:ascii="Calibri" w:hAnsi="Calibri"/>
                <w:sz w:val="20"/>
                <w:szCs w:val="20"/>
              </w:rPr>
              <w:t>5. Vypracovanie metodiky hodnotenia vybraných rizík na vnútroštátnej úrovni</w:t>
            </w:r>
          </w:p>
          <w:p w:rsidR="00807B64" w:rsidRPr="00E43137" w:rsidRDefault="00807B64" w:rsidP="007B197D">
            <w:pPr>
              <w:jc w:val="left"/>
              <w:rPr>
                <w:rFonts w:ascii="Calibri" w:hAnsi="Calibri"/>
                <w:sz w:val="20"/>
                <w:szCs w:val="20"/>
              </w:rPr>
            </w:pPr>
            <w:r w:rsidRPr="00E43137">
              <w:rPr>
                <w:rFonts w:ascii="Calibri" w:hAnsi="Calibri"/>
                <w:sz w:val="20"/>
                <w:szCs w:val="20"/>
              </w:rPr>
              <w:t xml:space="preserve">Metodika hodnotenia rizík pozostáva z: </w:t>
            </w:r>
          </w:p>
          <w:p w:rsidR="00807B64" w:rsidRPr="00E43137" w:rsidRDefault="00807B64" w:rsidP="007B197D">
            <w:pPr>
              <w:numPr>
                <w:ilvl w:val="0"/>
                <w:numId w:val="19"/>
              </w:numPr>
              <w:ind w:left="317" w:hanging="240"/>
              <w:contextualSpacing/>
              <w:jc w:val="left"/>
              <w:rPr>
                <w:rFonts w:ascii="Calibri" w:hAnsi="Calibri"/>
                <w:sz w:val="20"/>
                <w:szCs w:val="20"/>
              </w:rPr>
            </w:pPr>
            <w:r w:rsidRPr="00E43137">
              <w:rPr>
                <w:rFonts w:ascii="Calibri" w:hAnsi="Calibri"/>
                <w:sz w:val="20"/>
                <w:szCs w:val="20"/>
              </w:rPr>
              <w:t xml:space="preserve">modelu hodnotenia rizík v prostredí MS Excel – výpočet „skóre“/ hodnoty rizika </w:t>
            </w:r>
          </w:p>
          <w:p w:rsidR="00807B64" w:rsidRPr="00E43137" w:rsidRDefault="00807B64" w:rsidP="007B197D">
            <w:pPr>
              <w:numPr>
                <w:ilvl w:val="0"/>
                <w:numId w:val="19"/>
              </w:numPr>
              <w:ind w:left="317" w:hanging="240"/>
              <w:contextualSpacing/>
              <w:jc w:val="left"/>
              <w:rPr>
                <w:rFonts w:ascii="Calibri" w:hAnsi="Calibri"/>
                <w:sz w:val="20"/>
                <w:szCs w:val="20"/>
              </w:rPr>
            </w:pPr>
            <w:r w:rsidRPr="00E43137">
              <w:rPr>
                <w:rFonts w:ascii="Calibri" w:hAnsi="Calibri"/>
                <w:sz w:val="20"/>
                <w:szCs w:val="20"/>
              </w:rPr>
              <w:t xml:space="preserve">metodiky hodnotenia rizika – používateľská príručka (opis postupu) pri aplikácii navrhnutého modelu hodnotenia rizík </w:t>
            </w:r>
          </w:p>
          <w:p w:rsidR="00807B64" w:rsidRPr="00E43137" w:rsidRDefault="00807B64" w:rsidP="007B197D">
            <w:pPr>
              <w:jc w:val="left"/>
              <w:rPr>
                <w:rFonts w:ascii="Calibri" w:hAnsi="Calibri"/>
                <w:sz w:val="20"/>
                <w:szCs w:val="20"/>
              </w:rPr>
            </w:pPr>
            <w:r w:rsidRPr="00E43137">
              <w:rPr>
                <w:rFonts w:ascii="Calibri" w:hAnsi="Calibri"/>
                <w:sz w:val="20"/>
                <w:szCs w:val="20"/>
              </w:rPr>
              <w:t>Metodika hodnotenia rizík je zverejnená na webovom sídle Ministerstva vnútra SR v časti Krízové riadenie.</w:t>
            </w:r>
          </w:p>
          <w:p w:rsidR="00807B64" w:rsidRPr="00897634" w:rsidRDefault="00807B64" w:rsidP="007B197D">
            <w:pPr>
              <w:jc w:val="left"/>
              <w:rPr>
                <w:sz w:val="20"/>
                <w:szCs w:val="20"/>
              </w:rPr>
            </w:pPr>
            <w:r w:rsidRPr="00897634">
              <w:rPr>
                <w:sz w:val="20"/>
                <w:szCs w:val="20"/>
              </w:rPr>
              <w:t>Metodika hodnotenia rizík zohľadňuje všetky tri kategórie vplyvov (ľudské, ekonomické</w:t>
            </w:r>
            <w:r w:rsidRPr="00897634">
              <w:rPr>
                <w:sz w:val="20"/>
                <w:szCs w:val="20"/>
              </w:rPr>
              <w:lastRenderedPageBreak/>
              <w:t xml:space="preserve"> a environmentálne, ako aj politické a sociálne vplyvy)</w:t>
            </w:r>
          </w:p>
          <w:p w:rsidR="00807B64" w:rsidRPr="00897634" w:rsidRDefault="00807B64" w:rsidP="007B197D">
            <w:pPr>
              <w:jc w:val="left"/>
              <w:rPr>
                <w:sz w:val="20"/>
                <w:szCs w:val="20"/>
              </w:rPr>
            </w:pPr>
          </w:p>
          <w:p w:rsidR="00807B64" w:rsidRPr="00897634" w:rsidRDefault="00807B64" w:rsidP="007B197D">
            <w:pPr>
              <w:jc w:val="left"/>
              <w:rPr>
                <w:sz w:val="20"/>
                <w:szCs w:val="20"/>
              </w:rPr>
            </w:pPr>
            <w:r w:rsidRPr="00897634">
              <w:rPr>
                <w:sz w:val="20"/>
                <w:szCs w:val="20"/>
              </w:rPr>
              <w:t>Slovenská republika má uzavreté bilaterálne zmluvy a dohody týkajúcich sa spolupráce a vzájomnej pomoci pri mimoriadnych udalostiach, ktoré sa venujú problematike cezhraničnej spolupráce.</w:t>
            </w:r>
          </w:p>
          <w:p w:rsidR="00807B64" w:rsidRPr="00897634" w:rsidRDefault="00807B64" w:rsidP="007B197D">
            <w:pPr>
              <w:jc w:val="left"/>
              <w:rPr>
                <w:sz w:val="20"/>
                <w:szCs w:val="20"/>
              </w:rPr>
            </w:pPr>
          </w:p>
          <w:p w:rsidR="00807B64" w:rsidRPr="00897634" w:rsidRDefault="00807B64" w:rsidP="007B197D">
            <w:pPr>
              <w:jc w:val="left"/>
              <w:rPr>
                <w:sz w:val="20"/>
                <w:szCs w:val="20"/>
              </w:rPr>
            </w:pPr>
            <w:r w:rsidRPr="00897634">
              <w:rPr>
                <w:sz w:val="20"/>
                <w:szCs w:val="20"/>
              </w:rPr>
              <w:t xml:space="preserve">Zoznam bilaterálnych zmlúv a dohôd je dostupný na webovej stránke Ministerstva vnútra Slovenskej republiky: </w:t>
            </w:r>
          </w:p>
          <w:p w:rsidR="00807B64" w:rsidRPr="00897634" w:rsidRDefault="00954688" w:rsidP="007B197D">
            <w:pPr>
              <w:jc w:val="left"/>
              <w:rPr>
                <w:rStyle w:val="Hypertextovprepojenie"/>
                <w:sz w:val="20"/>
                <w:szCs w:val="20"/>
              </w:rPr>
            </w:pPr>
            <w:hyperlink r:id="rId61" w:history="1">
              <w:r w:rsidR="00807B64" w:rsidRPr="00897634">
                <w:rPr>
                  <w:rStyle w:val="Hypertextovprepojenie"/>
                  <w:sz w:val="20"/>
                  <w:szCs w:val="20"/>
                </w:rPr>
                <w:t>http://www.minv.sk/?zmluvny-system-slovenskej-republiky-pre-mimoriadne-udalosti</w:t>
              </w:r>
            </w:hyperlink>
          </w:p>
          <w:p w:rsidR="00807B64" w:rsidRPr="00E43137" w:rsidRDefault="00807B64" w:rsidP="007B197D">
            <w:pPr>
              <w:jc w:val="left"/>
              <w:rPr>
                <w:rFonts w:ascii="Calibri" w:hAnsi="Calibri"/>
                <w:sz w:val="20"/>
                <w:szCs w:val="20"/>
              </w:rPr>
            </w:pPr>
          </w:p>
          <w:p w:rsidR="00807B64" w:rsidRPr="00E43137" w:rsidRDefault="00807B64" w:rsidP="007B197D">
            <w:pPr>
              <w:ind w:left="175" w:hanging="175"/>
              <w:jc w:val="left"/>
              <w:rPr>
                <w:rFonts w:ascii="Calibri" w:hAnsi="Calibri"/>
                <w:sz w:val="20"/>
                <w:szCs w:val="20"/>
              </w:rPr>
            </w:pPr>
            <w:r w:rsidRPr="00E43137">
              <w:rPr>
                <w:rFonts w:ascii="Calibri" w:hAnsi="Calibri"/>
                <w:sz w:val="20"/>
                <w:szCs w:val="20"/>
              </w:rPr>
              <w:t>6. Postup pri určovaní kritérií prioritizácie investícií založených na riziku</w:t>
            </w:r>
          </w:p>
          <w:p w:rsidR="00807B64" w:rsidRPr="00E43137" w:rsidRDefault="00807B64" w:rsidP="007B197D">
            <w:pPr>
              <w:jc w:val="left"/>
              <w:rPr>
                <w:rFonts w:ascii="Calibri" w:hAnsi="Calibri"/>
                <w:sz w:val="20"/>
                <w:szCs w:val="20"/>
              </w:rPr>
            </w:pPr>
            <w:r w:rsidRPr="00E43137">
              <w:rPr>
                <w:rFonts w:ascii="Calibri" w:hAnsi="Calibri"/>
                <w:sz w:val="20"/>
                <w:szCs w:val="20"/>
              </w:rPr>
              <w:t xml:space="preserve">Prioritizácia investícií = určovanie priorít v znižovaní rizík </w:t>
            </w:r>
          </w:p>
          <w:p w:rsidR="00807B64" w:rsidRPr="00E43137" w:rsidRDefault="00807B64" w:rsidP="007B197D">
            <w:pPr>
              <w:jc w:val="left"/>
              <w:rPr>
                <w:rFonts w:ascii="Calibri" w:hAnsi="Calibri"/>
                <w:sz w:val="20"/>
                <w:szCs w:val="20"/>
              </w:rPr>
            </w:pPr>
            <w:r w:rsidRPr="00E43137">
              <w:rPr>
                <w:rFonts w:ascii="Calibri" w:hAnsi="Calibri"/>
                <w:sz w:val="20"/>
                <w:szCs w:val="20"/>
              </w:rPr>
              <w:t>Model hodnotenia rizík umožňuje získať všeobecný prehľad o rizikách (kvantitatívne zobrazenie rizík podľa poradia ich závažnosti, slovné popísanie charakteristík územia, následkov MU). S využitím týchto údajov je možné riziká porovnávať a určovať si priority pri ich znižovaní (pri výbere mechanizmu ich znižovania), resp. znižovaní zraniteľnosti prostredia.</w:t>
            </w:r>
          </w:p>
          <w:p w:rsidR="00807B64" w:rsidRPr="00E43137" w:rsidRDefault="00807B64" w:rsidP="007B197D">
            <w:pPr>
              <w:jc w:val="left"/>
              <w:rPr>
                <w:rFonts w:ascii="Calibri" w:hAnsi="Calibri"/>
                <w:sz w:val="20"/>
                <w:szCs w:val="20"/>
              </w:rPr>
            </w:pPr>
          </w:p>
          <w:p w:rsidR="00807B64" w:rsidRDefault="00807B64" w:rsidP="007B197D">
            <w:pPr>
              <w:jc w:val="left"/>
              <w:rPr>
                <w:rFonts w:ascii="Calibri" w:hAnsi="Calibri"/>
                <w:sz w:val="20"/>
                <w:szCs w:val="20"/>
              </w:rPr>
            </w:pPr>
            <w:r w:rsidRPr="00E43137">
              <w:rPr>
                <w:rFonts w:ascii="Calibri" w:hAnsi="Calibri"/>
                <w:sz w:val="20"/>
                <w:szCs w:val="20"/>
              </w:rPr>
              <w:t>Vláda SR schválila uznesením č. 738 zo dňa</w:t>
            </w:r>
            <w:r w:rsidRPr="00E43137">
              <w:rPr>
                <w:rFonts w:ascii="Calibri" w:hAnsi="Calibri"/>
                <w:sz w:val="20"/>
                <w:szCs w:val="20"/>
              </w:rPr>
              <w:lastRenderedPageBreak/>
              <w:t xml:space="preserve"> 18. decembra 2013 strategický plánovací dokument pre oblasť zosuvných rizík - Program prevencie a manažmentu zosuvných rizík. Jeho cieľom je zabezpečiť komplexné riešenie problematiky svahových pohybov a zosuvných rizík.</w:t>
            </w:r>
          </w:p>
          <w:p w:rsidR="00807B64" w:rsidRPr="00897634" w:rsidRDefault="00954688" w:rsidP="007B197D">
            <w:pPr>
              <w:jc w:val="left"/>
              <w:rPr>
                <w:sz w:val="20"/>
                <w:szCs w:val="20"/>
              </w:rPr>
            </w:pPr>
            <w:hyperlink r:id="rId62" w:history="1">
              <w:r w:rsidR="00807B64" w:rsidRPr="00897634">
                <w:rPr>
                  <w:rStyle w:val="Hypertextovprepojenie"/>
                  <w:sz w:val="20"/>
                  <w:szCs w:val="20"/>
                </w:rPr>
                <w:t>http://www.rokovania.sk/File.aspx/ViewDocumentHtml/Mater-Dokum-161227?prefixFile=m_</w:t>
              </w:r>
            </w:hyperlink>
          </w:p>
          <w:p w:rsidR="00807B64" w:rsidRPr="00E43137" w:rsidRDefault="00807B64" w:rsidP="007B197D">
            <w:pPr>
              <w:jc w:val="left"/>
              <w:rPr>
                <w:rFonts w:ascii="Calibri" w:hAnsi="Calibri"/>
                <w:sz w:val="20"/>
                <w:szCs w:val="20"/>
              </w:rPr>
            </w:pPr>
            <w:r w:rsidRPr="00E43137">
              <w:rPr>
                <w:rFonts w:ascii="Calibri" w:hAnsi="Calibri"/>
                <w:sz w:val="20"/>
                <w:szCs w:val="20"/>
              </w:rPr>
              <w:t>Pre oblasť prevencie a manažmentu rizík vyplývajúcich z prítomnosti úložísk ťažobného odpadu je vypracovaný základný plánovací dokument - Program prevencie a manažmentu rizík vyplývajúcich z uzavretých a opustených úložísk ťažobného odpadu (2014 - 2020). Schvaľovací proces prebehne v prvom štvrťroku roku 2014, predpokladaný termín predloženia materiálu na schválenie do porady vedenia MŽP SR je marec 2014.</w:t>
            </w:r>
          </w:p>
          <w:p w:rsidR="00807B64" w:rsidRPr="00E43137" w:rsidRDefault="00807B64" w:rsidP="007B197D">
            <w:pPr>
              <w:jc w:val="left"/>
              <w:rPr>
                <w:rFonts w:ascii="Calibri" w:hAnsi="Calibri"/>
                <w:sz w:val="20"/>
                <w:szCs w:val="20"/>
              </w:rPr>
            </w:pPr>
            <w:r w:rsidRPr="00E43137">
              <w:rPr>
                <w:rFonts w:ascii="Calibri" w:hAnsi="Calibri"/>
                <w:sz w:val="20"/>
                <w:szCs w:val="20"/>
              </w:rPr>
              <w:t>V rámci implementácie smernice 2007/60/ES boli dokončené mapy povodňového ohrozenia a mapy povodňového rizika. Mapy boli vyhotovené na podklade DTM a hydrologických dát v generalizácii a so zohľadnením kartografickej interpretácie pre výstupy v mierke 1:50 000 v súlade s mierkou grafických kartografických výstupov prvých plánov manažmentu povodňového rizika. Mapy boli sprístupnené verejnosti 20.12.2013 na webovom sídle MŽP SR (</w:t>
            </w:r>
            <w:hyperlink r:id="rId63" w:history="1">
              <w:r w:rsidRPr="00E43137">
                <w:rPr>
                  <w:rFonts w:ascii="Calibri" w:hAnsi="Calibri"/>
                  <w:color w:val="0000FF"/>
                  <w:sz w:val="20"/>
                  <w:szCs w:val="20"/>
                  <w:u w:val="single"/>
                </w:rPr>
                <w:t>http://www.minzp.sk/sekcie/temy</w:t>
              </w:r>
              <w:r w:rsidRPr="00E43137">
                <w:rPr>
                  <w:rFonts w:ascii="Calibri" w:hAnsi="Calibri"/>
                  <w:color w:val="0000FF"/>
                  <w:sz w:val="20"/>
                  <w:szCs w:val="20"/>
                  <w:u w:val="single"/>
                </w:rPr>
                <w:lastRenderedPageBreak/>
                <w:t>-oblasti/voda/ochrana-pred-povodnami/manazment-povodnovych-rizik/povodnove-mapy.html</w:t>
              </w:r>
            </w:hyperlink>
            <w:r w:rsidRPr="00E43137">
              <w:rPr>
                <w:rFonts w:ascii="Calibri" w:hAnsi="Calibri"/>
                <w:sz w:val="20"/>
                <w:szCs w:val="20"/>
              </w:rPr>
              <w:t xml:space="preserve">). </w:t>
            </w:r>
          </w:p>
          <w:p w:rsidR="00807B64" w:rsidRPr="00E43137" w:rsidRDefault="00807B64" w:rsidP="007B197D">
            <w:pPr>
              <w:jc w:val="left"/>
              <w:rPr>
                <w:rFonts w:ascii="Calibri" w:hAnsi="Calibri"/>
                <w:sz w:val="20"/>
                <w:szCs w:val="20"/>
              </w:rPr>
            </w:pPr>
            <w:r w:rsidRPr="00E43137">
              <w:rPr>
                <w:rFonts w:ascii="Calibri" w:hAnsi="Calibri"/>
                <w:sz w:val="20"/>
                <w:szCs w:val="20"/>
              </w:rPr>
              <w:t xml:space="preserve">Príprava plánov manažmentu povodňového rizika prebieha podľa časového a vecného harmonogramu, ktorý v decembri 2012 </w:t>
            </w:r>
          </w:p>
          <w:p w:rsidR="00807B64" w:rsidRPr="00E43137" w:rsidRDefault="00807B64" w:rsidP="007B197D">
            <w:pPr>
              <w:jc w:val="left"/>
              <w:rPr>
                <w:rFonts w:ascii="Calibri" w:hAnsi="Calibri"/>
                <w:sz w:val="20"/>
                <w:szCs w:val="20"/>
              </w:rPr>
            </w:pPr>
            <w:r w:rsidRPr="00E43137">
              <w:rPr>
                <w:rFonts w:ascii="Calibri" w:hAnsi="Calibri"/>
                <w:sz w:val="20"/>
                <w:szCs w:val="20"/>
              </w:rPr>
              <w:t>schválila Porada vedenia MŽP SR. Dňa 16.12.2013 sa uskutočnil kontrolný deň ministra životného prostredia SR na preverenie stavu prác na príprave prvých plánov manažmentu povodňového rizika, na ktorom boli uvedené výsledky formulácie cieľov manažmentu povodňových rizík a pracovné návrhy opatrení na ich dosiahnutie, vrátane odhadu výdavkov na ich prípravu, prevádzku, údržbu a opravy počas celého predpokladaného obdobia životnosti.</w:t>
            </w:r>
          </w:p>
          <w:p w:rsidR="00807B64" w:rsidRPr="00E43137" w:rsidRDefault="00807B64" w:rsidP="007B197D">
            <w:pPr>
              <w:jc w:val="left"/>
              <w:rPr>
                <w:rFonts w:ascii="Calibri" w:hAnsi="Calibri"/>
                <w:sz w:val="20"/>
                <w:szCs w:val="20"/>
              </w:rPr>
            </w:pPr>
            <w:r w:rsidRPr="00E43137">
              <w:rPr>
                <w:rFonts w:ascii="Calibri" w:hAnsi="Calibri"/>
                <w:sz w:val="20"/>
                <w:szCs w:val="20"/>
              </w:rPr>
              <w:t>Implementácia smernice 2007/60/ES prebieha v súlade s príslušnými ustanoveniami upravujúcimi časový postup.</w:t>
            </w:r>
          </w:p>
        </w:tc>
      </w:tr>
      <w:tr w:rsidR="00807B64" w:rsidRPr="00E43137" w:rsidTr="007B197D">
        <w:trPr>
          <w:trHeight w:val="250"/>
        </w:trPr>
        <w:tc>
          <w:tcPr>
            <w:tcW w:w="1961" w:type="dxa"/>
            <w:vMerge w:val="restart"/>
            <w:tcBorders>
              <w:top w:val="nil"/>
            </w:tcBorders>
            <w:shd w:val="clear" w:color="auto" w:fill="auto"/>
          </w:tcPr>
          <w:p w:rsidR="00807B64" w:rsidRPr="00E43137" w:rsidRDefault="00807B64" w:rsidP="007B197D">
            <w:pPr>
              <w:jc w:val="left"/>
              <w:rPr>
                <w:rFonts w:ascii="Calibri" w:hAnsi="Calibri"/>
                <w:b/>
                <w:sz w:val="20"/>
                <w:szCs w:val="20"/>
              </w:rPr>
            </w:pPr>
          </w:p>
        </w:tc>
        <w:tc>
          <w:tcPr>
            <w:tcW w:w="1843" w:type="dxa"/>
            <w:vMerge w:val="restart"/>
            <w:tcBorders>
              <w:top w:val="nil"/>
            </w:tcBorders>
            <w:shd w:val="clear" w:color="auto" w:fill="auto"/>
          </w:tcPr>
          <w:p w:rsidR="00807B64" w:rsidRPr="00E43137" w:rsidRDefault="00807B64" w:rsidP="007B197D">
            <w:pPr>
              <w:jc w:val="left"/>
              <w:rPr>
                <w:rFonts w:ascii="Calibri" w:hAnsi="Calibri"/>
                <w:b/>
                <w:sz w:val="20"/>
                <w:szCs w:val="20"/>
              </w:rPr>
            </w:pPr>
          </w:p>
        </w:tc>
        <w:tc>
          <w:tcPr>
            <w:tcW w:w="1134" w:type="dxa"/>
            <w:vMerge w:val="restart"/>
            <w:tcBorders>
              <w:top w:val="nil"/>
            </w:tcBorders>
            <w:shd w:val="clear" w:color="auto" w:fill="auto"/>
          </w:tcPr>
          <w:p w:rsidR="00807B64" w:rsidRPr="00E43137" w:rsidRDefault="00807B64" w:rsidP="007B197D">
            <w:pPr>
              <w:jc w:val="center"/>
              <w:rPr>
                <w:rFonts w:ascii="Calibri" w:hAnsi="Calibri"/>
                <w:b/>
                <w:sz w:val="20"/>
                <w:szCs w:val="20"/>
              </w:rPr>
            </w:pPr>
          </w:p>
        </w:tc>
        <w:tc>
          <w:tcPr>
            <w:tcW w:w="2409" w:type="dxa"/>
            <w:shd w:val="clear" w:color="auto" w:fill="auto"/>
          </w:tcPr>
          <w:p w:rsidR="00807B64" w:rsidRPr="00E43137" w:rsidRDefault="00807B64" w:rsidP="007B197D">
            <w:pPr>
              <w:numPr>
                <w:ilvl w:val="0"/>
                <w:numId w:val="18"/>
              </w:numPr>
              <w:ind w:left="317" w:hanging="283"/>
              <w:contextualSpacing/>
              <w:jc w:val="left"/>
              <w:rPr>
                <w:rFonts w:ascii="Calibri" w:hAnsi="Calibri"/>
                <w:sz w:val="20"/>
                <w:szCs w:val="20"/>
              </w:rPr>
            </w:pPr>
            <w:r w:rsidRPr="00E43137">
              <w:rPr>
                <w:rFonts w:ascii="Calibri" w:hAnsi="Calibri"/>
                <w:sz w:val="20"/>
                <w:szCs w:val="20"/>
              </w:rPr>
              <w:t>opis scenárov s jedným rizikom a viacerými rizikami,</w:t>
            </w:r>
          </w:p>
          <w:p w:rsidR="00807B64" w:rsidRPr="00E43137" w:rsidRDefault="00807B64" w:rsidP="007B197D">
            <w:pPr>
              <w:ind w:left="310"/>
              <w:jc w:val="left"/>
              <w:rPr>
                <w:rFonts w:ascii="Calibri" w:hAnsi="Calibri"/>
                <w:sz w:val="20"/>
                <w:szCs w:val="20"/>
              </w:rPr>
            </w:pPr>
          </w:p>
        </w:tc>
        <w:tc>
          <w:tcPr>
            <w:tcW w:w="1134" w:type="dxa"/>
            <w:shd w:val="clear" w:color="auto" w:fill="auto"/>
          </w:tcPr>
          <w:p w:rsidR="00807B64" w:rsidRPr="00E43137" w:rsidRDefault="00807B64" w:rsidP="007B197D">
            <w:pPr>
              <w:jc w:val="center"/>
              <w:rPr>
                <w:rFonts w:ascii="Calibri" w:hAnsi="Calibri"/>
                <w:b/>
                <w:sz w:val="20"/>
                <w:szCs w:val="20"/>
              </w:rPr>
            </w:pPr>
            <w:r w:rsidRPr="00E43137">
              <w:rPr>
                <w:rFonts w:ascii="Calibri" w:hAnsi="Calibri"/>
                <w:b/>
                <w:sz w:val="20"/>
                <w:szCs w:val="20"/>
              </w:rPr>
              <w:t>áno</w:t>
            </w:r>
          </w:p>
        </w:tc>
        <w:tc>
          <w:tcPr>
            <w:tcW w:w="3828" w:type="dxa"/>
            <w:shd w:val="clear" w:color="auto" w:fill="auto"/>
          </w:tcPr>
          <w:p w:rsidR="00807B64" w:rsidRDefault="00807B64" w:rsidP="007B197D">
            <w:pPr>
              <w:ind w:left="-35"/>
              <w:jc w:val="left"/>
              <w:rPr>
                <w:rFonts w:ascii="Calibri" w:hAnsi="Calibri"/>
                <w:sz w:val="20"/>
                <w:szCs w:val="20"/>
              </w:rPr>
            </w:pPr>
            <w:r w:rsidRPr="00E43137">
              <w:rPr>
                <w:rFonts w:ascii="Calibri" w:hAnsi="Calibri"/>
                <w:sz w:val="20"/>
                <w:szCs w:val="20"/>
              </w:rPr>
              <w:t xml:space="preserve">Identifikácia scenárov prejavu rizika vrátane zohľadnenia synergického efektu  a domino efektu. </w:t>
            </w:r>
          </w:p>
          <w:p w:rsidR="00807B64" w:rsidRPr="00897634" w:rsidRDefault="00807B64" w:rsidP="007B197D">
            <w:pPr>
              <w:jc w:val="left"/>
              <w:rPr>
                <w:sz w:val="20"/>
                <w:szCs w:val="20"/>
              </w:rPr>
            </w:pPr>
            <w:r w:rsidRPr="00897634">
              <w:rPr>
                <w:sz w:val="20"/>
                <w:szCs w:val="20"/>
              </w:rPr>
              <w:t xml:space="preserve">Metodika je dostupná na webovej stránke Ministerstva vnútra Slovenskej republiky: </w:t>
            </w:r>
          </w:p>
          <w:p w:rsidR="00807B64" w:rsidRPr="00897634" w:rsidRDefault="00807B64" w:rsidP="007B197D">
            <w:pPr>
              <w:jc w:val="left"/>
              <w:rPr>
                <w:sz w:val="20"/>
                <w:szCs w:val="20"/>
                <w:u w:val="single"/>
              </w:rPr>
            </w:pPr>
            <w:r w:rsidRPr="00897634">
              <w:rPr>
                <w:sz w:val="20"/>
                <w:szCs w:val="20"/>
                <w:u w:val="single"/>
              </w:rPr>
              <w:t>http://www.minv.sk/?Dokumenty_na_stiahnutie_CO</w:t>
            </w:r>
          </w:p>
          <w:p w:rsidR="00807B64" w:rsidRPr="00897634" w:rsidRDefault="00807B64" w:rsidP="007B197D">
            <w:pPr>
              <w:jc w:val="left"/>
              <w:rPr>
                <w:sz w:val="20"/>
                <w:szCs w:val="20"/>
                <w:u w:val="single"/>
              </w:rPr>
            </w:pPr>
            <w:r w:rsidRPr="00897634">
              <w:rPr>
                <w:sz w:val="20"/>
                <w:szCs w:val="20"/>
                <w:u w:val="single"/>
              </w:rPr>
              <w:t>http://www.minv.sk/?Dokumenty_na_stiahnutie_CO&amp;subor=175547</w:t>
            </w:r>
          </w:p>
          <w:p w:rsidR="00807B64" w:rsidRPr="00E43137" w:rsidRDefault="00807B64" w:rsidP="007B197D">
            <w:pPr>
              <w:ind w:left="-35"/>
              <w:jc w:val="left"/>
              <w:rPr>
                <w:rFonts w:ascii="Calibri" w:hAnsi="Calibri"/>
                <w:sz w:val="20"/>
                <w:szCs w:val="20"/>
              </w:rPr>
            </w:pPr>
            <w:r w:rsidRPr="00E43137">
              <w:rPr>
                <w:rFonts w:ascii="Calibri" w:hAnsi="Calibri"/>
                <w:sz w:val="20"/>
                <w:szCs w:val="20"/>
              </w:rPr>
              <w:t>Zodpovedná organizácia: MV SR</w:t>
            </w:r>
          </w:p>
          <w:p w:rsidR="00807B64" w:rsidRPr="00E43137" w:rsidRDefault="00807B64" w:rsidP="007B197D">
            <w:pPr>
              <w:ind w:left="-35"/>
              <w:jc w:val="left"/>
              <w:rPr>
                <w:rFonts w:ascii="Calibri" w:hAnsi="Calibri"/>
                <w:sz w:val="20"/>
                <w:szCs w:val="20"/>
              </w:rPr>
            </w:pPr>
            <w:r w:rsidRPr="00E43137">
              <w:rPr>
                <w:rFonts w:ascii="Calibri" w:hAnsi="Calibri"/>
                <w:sz w:val="20"/>
                <w:szCs w:val="20"/>
              </w:rPr>
              <w:t>Termín splnenia: 30. jún 2013</w:t>
            </w:r>
          </w:p>
        </w:tc>
        <w:tc>
          <w:tcPr>
            <w:tcW w:w="3921" w:type="dxa"/>
            <w:shd w:val="clear" w:color="auto" w:fill="auto"/>
          </w:tcPr>
          <w:p w:rsidR="00807B64" w:rsidRPr="00E43137" w:rsidRDefault="00807B64" w:rsidP="007B197D">
            <w:pPr>
              <w:jc w:val="left"/>
              <w:rPr>
                <w:rFonts w:ascii="Calibri" w:hAnsi="Calibri"/>
                <w:sz w:val="20"/>
                <w:szCs w:val="20"/>
              </w:rPr>
            </w:pPr>
            <w:r w:rsidRPr="00E43137">
              <w:rPr>
                <w:rFonts w:ascii="Calibri" w:hAnsi="Calibri"/>
                <w:sz w:val="20"/>
                <w:szCs w:val="20"/>
              </w:rPr>
              <w:t xml:space="preserve">Možné scenáre prejavu rizika sú identifikované a implementované do modelu ako kvantifikátory zraniteľnosti prostredia. Ide o zoznam možných prejavov konkrétnych rizík zohľadňujúci možné domino efekty a synergické javy prejavujúce sa s daným rizikom.   </w:t>
            </w:r>
            <w:r>
              <w:rPr>
                <w:rFonts w:ascii="Calibri" w:hAnsi="Calibri"/>
                <w:sz w:val="20"/>
                <w:szCs w:val="20"/>
              </w:rPr>
              <w:t>Výstupy sú zapracované v navrhovanej metodike hodnotenia rizík.</w:t>
            </w:r>
          </w:p>
        </w:tc>
      </w:tr>
      <w:tr w:rsidR="00807B64" w:rsidRPr="00E43137" w:rsidTr="00807B64">
        <w:trPr>
          <w:trHeight w:val="717"/>
        </w:trPr>
        <w:tc>
          <w:tcPr>
            <w:tcW w:w="1961" w:type="dxa"/>
            <w:vMerge/>
            <w:tcBorders>
              <w:top w:val="nil"/>
            </w:tcBorders>
            <w:shd w:val="clear" w:color="auto" w:fill="auto"/>
          </w:tcPr>
          <w:p w:rsidR="00807B64" w:rsidRPr="00E43137" w:rsidRDefault="00807B64" w:rsidP="007B197D">
            <w:pPr>
              <w:jc w:val="left"/>
              <w:rPr>
                <w:rFonts w:ascii="Calibri" w:hAnsi="Calibri"/>
                <w:b/>
                <w:sz w:val="20"/>
                <w:szCs w:val="20"/>
              </w:rPr>
            </w:pPr>
          </w:p>
        </w:tc>
        <w:tc>
          <w:tcPr>
            <w:tcW w:w="1843" w:type="dxa"/>
            <w:vMerge/>
            <w:tcBorders>
              <w:top w:val="nil"/>
            </w:tcBorders>
            <w:shd w:val="clear" w:color="auto" w:fill="auto"/>
          </w:tcPr>
          <w:p w:rsidR="00807B64" w:rsidRPr="00E43137" w:rsidRDefault="00807B64" w:rsidP="007B197D">
            <w:pPr>
              <w:jc w:val="left"/>
              <w:rPr>
                <w:rFonts w:ascii="Calibri" w:hAnsi="Calibri"/>
                <w:b/>
                <w:sz w:val="20"/>
                <w:szCs w:val="20"/>
              </w:rPr>
            </w:pPr>
          </w:p>
        </w:tc>
        <w:tc>
          <w:tcPr>
            <w:tcW w:w="1134" w:type="dxa"/>
            <w:vMerge/>
            <w:tcBorders>
              <w:top w:val="nil"/>
            </w:tcBorders>
            <w:shd w:val="clear" w:color="auto" w:fill="auto"/>
          </w:tcPr>
          <w:p w:rsidR="00807B64" w:rsidRPr="00E43137" w:rsidRDefault="00807B64" w:rsidP="007B197D">
            <w:pPr>
              <w:jc w:val="center"/>
              <w:rPr>
                <w:rFonts w:ascii="Calibri" w:hAnsi="Calibri"/>
                <w:b/>
                <w:sz w:val="20"/>
                <w:szCs w:val="20"/>
              </w:rPr>
            </w:pPr>
          </w:p>
        </w:tc>
        <w:tc>
          <w:tcPr>
            <w:tcW w:w="2409" w:type="dxa"/>
            <w:shd w:val="clear" w:color="auto" w:fill="auto"/>
          </w:tcPr>
          <w:p w:rsidR="00807B64" w:rsidRPr="00E43137" w:rsidRDefault="00807B64" w:rsidP="007B197D">
            <w:pPr>
              <w:numPr>
                <w:ilvl w:val="0"/>
                <w:numId w:val="18"/>
              </w:numPr>
              <w:ind w:left="317" w:hanging="283"/>
              <w:contextualSpacing/>
              <w:jc w:val="left"/>
              <w:rPr>
                <w:rFonts w:ascii="Calibri" w:hAnsi="Calibri"/>
                <w:sz w:val="20"/>
                <w:szCs w:val="20"/>
              </w:rPr>
            </w:pPr>
            <w:r w:rsidRPr="00E43137">
              <w:rPr>
                <w:rFonts w:ascii="Calibri" w:hAnsi="Calibri"/>
                <w:sz w:val="20"/>
                <w:szCs w:val="20"/>
              </w:rPr>
              <w:t>v prípade potreby zohľadnenie národných stratégií na prispôsobovanie sa zmenám klímy</w:t>
            </w:r>
          </w:p>
        </w:tc>
        <w:tc>
          <w:tcPr>
            <w:tcW w:w="1134" w:type="dxa"/>
            <w:shd w:val="clear" w:color="auto" w:fill="auto"/>
          </w:tcPr>
          <w:p w:rsidR="00807B64" w:rsidRPr="00E43137" w:rsidRDefault="00807B64" w:rsidP="007B197D">
            <w:pPr>
              <w:jc w:val="center"/>
              <w:rPr>
                <w:rFonts w:ascii="Calibri" w:hAnsi="Calibri"/>
                <w:b/>
                <w:sz w:val="20"/>
                <w:szCs w:val="20"/>
              </w:rPr>
            </w:pPr>
            <w:r>
              <w:rPr>
                <w:rFonts w:ascii="Calibri" w:hAnsi="Calibri"/>
                <w:b/>
                <w:sz w:val="20"/>
                <w:szCs w:val="20"/>
              </w:rPr>
              <w:t>áno</w:t>
            </w:r>
          </w:p>
        </w:tc>
        <w:tc>
          <w:tcPr>
            <w:tcW w:w="3828" w:type="dxa"/>
            <w:shd w:val="clear" w:color="auto" w:fill="auto"/>
          </w:tcPr>
          <w:p w:rsidR="00807B64" w:rsidRPr="00897634" w:rsidRDefault="00807B64" w:rsidP="007B197D">
            <w:pPr>
              <w:jc w:val="left"/>
              <w:rPr>
                <w:sz w:val="20"/>
                <w:szCs w:val="20"/>
              </w:rPr>
            </w:pPr>
            <w:r w:rsidRPr="00897634">
              <w:rPr>
                <w:sz w:val="20"/>
                <w:szCs w:val="20"/>
              </w:rPr>
              <w:t>Stratégi</w:t>
            </w:r>
            <w:r>
              <w:rPr>
                <w:sz w:val="20"/>
                <w:szCs w:val="20"/>
              </w:rPr>
              <w:t>a</w:t>
            </w:r>
            <w:r w:rsidRPr="00897634">
              <w:rPr>
                <w:sz w:val="20"/>
                <w:szCs w:val="20"/>
              </w:rPr>
              <w:t xml:space="preserve"> adaptácie Slovenskej republiky na nepriaznivé dôsledky zmeny klímy. </w:t>
            </w:r>
          </w:p>
          <w:p w:rsidR="00807B64" w:rsidRPr="00E43137" w:rsidRDefault="00807B64" w:rsidP="007B197D">
            <w:pPr>
              <w:ind w:left="-35"/>
              <w:jc w:val="left"/>
              <w:rPr>
                <w:rFonts w:ascii="Calibri" w:hAnsi="Calibri"/>
                <w:i/>
                <w:sz w:val="20"/>
                <w:szCs w:val="20"/>
              </w:rPr>
            </w:pPr>
            <w:r w:rsidRPr="00897634">
              <w:rPr>
                <w:sz w:val="20"/>
                <w:szCs w:val="20"/>
              </w:rPr>
              <w:t>http://www.rokovania.sk/Rokovanie.aspx/BodRokovaniaDetail?idMaterial=23364</w:t>
            </w:r>
          </w:p>
        </w:tc>
        <w:tc>
          <w:tcPr>
            <w:tcW w:w="3921" w:type="dxa"/>
            <w:shd w:val="clear" w:color="auto" w:fill="auto"/>
          </w:tcPr>
          <w:p w:rsidR="00807B64" w:rsidRPr="00E43137" w:rsidRDefault="00807B64" w:rsidP="007B197D">
            <w:pPr>
              <w:jc w:val="left"/>
              <w:rPr>
                <w:rFonts w:ascii="Calibri" w:hAnsi="Calibri"/>
                <w:sz w:val="20"/>
                <w:szCs w:val="20"/>
              </w:rPr>
            </w:pPr>
            <w:r w:rsidRPr="00E43137">
              <w:rPr>
                <w:rFonts w:ascii="Calibri" w:hAnsi="Calibri"/>
                <w:sz w:val="20"/>
                <w:szCs w:val="20"/>
              </w:rPr>
              <w:t>Hlavným predpokladom plnenia ex ante kondicionality je vypracovanie Stratégie adaptácie SR na nepriaznivé dôsledky zmeny klímy.</w:t>
            </w:r>
          </w:p>
          <w:p w:rsidR="00807B64" w:rsidRPr="00E43137" w:rsidRDefault="00807B64" w:rsidP="007B197D">
            <w:pPr>
              <w:jc w:val="left"/>
              <w:rPr>
                <w:rFonts w:ascii="Calibri" w:hAnsi="Calibri"/>
                <w:sz w:val="20"/>
                <w:szCs w:val="20"/>
              </w:rPr>
            </w:pPr>
          </w:p>
          <w:p w:rsidR="00807B64" w:rsidRPr="00EB375E" w:rsidRDefault="00807B64" w:rsidP="007B197D">
            <w:pPr>
              <w:jc w:val="left"/>
              <w:rPr>
                <w:sz w:val="20"/>
                <w:szCs w:val="20"/>
              </w:rPr>
            </w:pPr>
            <w:r w:rsidRPr="00EB375E">
              <w:rPr>
                <w:sz w:val="20"/>
                <w:szCs w:val="20"/>
              </w:rPr>
              <w:t xml:space="preserve">Stratégiu adaptácie Slovenskej republiky na nepriaznivé dôsledky zmeny klímy schválila vláda SR svojim uznesením č. 148/2014 t 26.3.2014. </w:t>
            </w:r>
          </w:p>
          <w:p w:rsidR="00807B64" w:rsidRPr="00636636" w:rsidRDefault="00807B64" w:rsidP="007B197D">
            <w:pPr>
              <w:jc w:val="left"/>
              <w:rPr>
                <w:sz w:val="16"/>
                <w:szCs w:val="16"/>
              </w:rPr>
            </w:pPr>
          </w:p>
          <w:p w:rsidR="00807B64" w:rsidRDefault="00807B64" w:rsidP="007B197D">
            <w:pPr>
              <w:jc w:val="left"/>
              <w:rPr>
                <w:rFonts w:ascii="Calibri" w:hAnsi="Calibri"/>
                <w:sz w:val="20"/>
                <w:szCs w:val="20"/>
              </w:rPr>
            </w:pPr>
            <w:r w:rsidRPr="00E43137">
              <w:rPr>
                <w:rFonts w:ascii="Calibri" w:hAnsi="Calibri"/>
                <w:sz w:val="20"/>
                <w:szCs w:val="20"/>
              </w:rPr>
              <w:t>V nadväznosti na vypracovanú Stratégiu adaptácie budú do analýzy územia v spolupráci so sekciou geológie a prírodných zdrojov implementované aj výsledky geologického prieskumu životného prostredia (prieskum EZ).</w:t>
            </w:r>
          </w:p>
          <w:p w:rsidR="00807B64" w:rsidRPr="00E43137" w:rsidRDefault="00807B64" w:rsidP="007B197D">
            <w:pPr>
              <w:jc w:val="left"/>
              <w:rPr>
                <w:rFonts w:ascii="Calibri" w:hAnsi="Calibri"/>
                <w:sz w:val="20"/>
                <w:szCs w:val="20"/>
              </w:rPr>
            </w:pPr>
            <w:r>
              <w:rPr>
                <w:rFonts w:ascii="Calibri" w:hAnsi="Calibri"/>
                <w:sz w:val="20"/>
                <w:szCs w:val="20"/>
              </w:rPr>
              <w:t>Problematika adaptácie na zmenu klímy v podmienkach SR bude prezentovaná aj na seminári k programu LIFE (2014-2020), organizovanom EK v spolupráci s MŽP SR v priebehu roka 2014 (podľa termínu stanoveného EK).</w:t>
            </w:r>
          </w:p>
        </w:tc>
      </w:tr>
      <w:tr w:rsidR="00807B64" w:rsidRPr="00E43137" w:rsidTr="00807B64">
        <w:trPr>
          <w:trHeight w:val="717"/>
        </w:trPr>
        <w:tc>
          <w:tcPr>
            <w:tcW w:w="1961" w:type="dxa"/>
            <w:shd w:val="clear" w:color="auto" w:fill="auto"/>
          </w:tcPr>
          <w:p w:rsidR="00807B64" w:rsidRPr="00E43137" w:rsidRDefault="00807B64" w:rsidP="007B197D">
            <w:pPr>
              <w:jc w:val="left"/>
              <w:rPr>
                <w:rFonts w:ascii="Calibri" w:hAnsi="Calibri"/>
                <w:sz w:val="20"/>
                <w:szCs w:val="20"/>
              </w:rPr>
            </w:pPr>
            <w:r w:rsidRPr="00E43137">
              <w:rPr>
                <w:rFonts w:ascii="Calibri" w:hAnsi="Calibri"/>
                <w:b/>
                <w:sz w:val="20"/>
                <w:szCs w:val="20"/>
              </w:rPr>
              <w:t>4.1</w:t>
            </w:r>
            <w:r w:rsidRPr="00E43137">
              <w:rPr>
                <w:rFonts w:ascii="Calibri" w:hAnsi="Calibri"/>
                <w:sz w:val="20"/>
                <w:szCs w:val="20"/>
              </w:rPr>
              <w:t xml:space="preserve"> Dobr</w:t>
            </w:r>
            <w:r>
              <w:rPr>
                <w:rFonts w:ascii="Calibri" w:hAnsi="Calibri"/>
                <w:sz w:val="20"/>
                <w:szCs w:val="20"/>
              </w:rPr>
              <w:t>ý</w:t>
            </w:r>
            <w:r w:rsidRPr="00E43137">
              <w:rPr>
                <w:rFonts w:ascii="Calibri" w:hAnsi="Calibri"/>
                <w:sz w:val="20"/>
                <w:szCs w:val="20"/>
              </w:rPr>
              <w:t xml:space="preserve"> poľnohospodársk</w:t>
            </w:r>
            <w:r>
              <w:rPr>
                <w:rFonts w:ascii="Calibri" w:hAnsi="Calibri"/>
                <w:sz w:val="20"/>
                <w:szCs w:val="20"/>
              </w:rPr>
              <w:t>y</w:t>
            </w:r>
            <w:r w:rsidRPr="00E43137">
              <w:rPr>
                <w:rFonts w:ascii="Calibri" w:hAnsi="Calibri"/>
                <w:sz w:val="20"/>
                <w:szCs w:val="20"/>
              </w:rPr>
              <w:t xml:space="preserve"> a environmentáln</w:t>
            </w:r>
            <w:r>
              <w:rPr>
                <w:rFonts w:ascii="Calibri" w:hAnsi="Calibri"/>
                <w:sz w:val="20"/>
                <w:szCs w:val="20"/>
              </w:rPr>
              <w:t>y</w:t>
            </w:r>
            <w:r w:rsidRPr="00E43137">
              <w:rPr>
                <w:rFonts w:ascii="Calibri" w:hAnsi="Calibri"/>
                <w:sz w:val="20"/>
                <w:szCs w:val="20"/>
              </w:rPr>
              <w:t xml:space="preserve"> </w:t>
            </w:r>
            <w:r>
              <w:rPr>
                <w:rFonts w:ascii="Calibri" w:hAnsi="Calibri"/>
                <w:sz w:val="20"/>
                <w:szCs w:val="20"/>
              </w:rPr>
              <w:t>stav</w:t>
            </w:r>
            <w:r w:rsidRPr="00E43137">
              <w:rPr>
                <w:rFonts w:ascii="Calibri" w:hAnsi="Calibri"/>
                <w:sz w:val="20"/>
                <w:szCs w:val="20"/>
              </w:rPr>
              <w:t xml:space="preserve"> : normy  dobr</w:t>
            </w:r>
            <w:r>
              <w:rPr>
                <w:rFonts w:ascii="Calibri" w:hAnsi="Calibri"/>
                <w:sz w:val="20"/>
                <w:szCs w:val="20"/>
              </w:rPr>
              <w:t>ého</w:t>
            </w:r>
            <w:r w:rsidRPr="00E43137">
              <w:rPr>
                <w:rFonts w:ascii="Calibri" w:hAnsi="Calibri"/>
                <w:sz w:val="20"/>
                <w:szCs w:val="20"/>
              </w:rPr>
              <w:t xml:space="preserve"> poľnohospodársk</w:t>
            </w:r>
            <w:r>
              <w:rPr>
                <w:rFonts w:ascii="Calibri" w:hAnsi="Calibri"/>
                <w:sz w:val="20"/>
                <w:szCs w:val="20"/>
              </w:rPr>
              <w:t>eho</w:t>
            </w:r>
            <w:r w:rsidRPr="00E43137">
              <w:rPr>
                <w:rFonts w:ascii="Calibri" w:hAnsi="Calibri"/>
                <w:sz w:val="20"/>
                <w:szCs w:val="20"/>
              </w:rPr>
              <w:t xml:space="preserve"> a environmentáln</w:t>
            </w:r>
            <w:r>
              <w:rPr>
                <w:rFonts w:ascii="Calibri" w:hAnsi="Calibri"/>
                <w:sz w:val="20"/>
                <w:szCs w:val="20"/>
              </w:rPr>
              <w:t>eho</w:t>
            </w:r>
            <w:r w:rsidRPr="00E43137">
              <w:rPr>
                <w:rFonts w:ascii="Calibri" w:hAnsi="Calibri"/>
                <w:sz w:val="20"/>
                <w:szCs w:val="20"/>
              </w:rPr>
              <w:t xml:space="preserve"> stav</w:t>
            </w:r>
            <w:r>
              <w:rPr>
                <w:rFonts w:ascii="Calibri" w:hAnsi="Calibri"/>
                <w:sz w:val="20"/>
                <w:szCs w:val="20"/>
              </w:rPr>
              <w:t>u</w:t>
            </w:r>
            <w:r w:rsidRPr="00E43137">
              <w:rPr>
                <w:rFonts w:ascii="Calibri" w:hAnsi="Calibri"/>
                <w:sz w:val="20"/>
                <w:szCs w:val="20"/>
              </w:rPr>
              <w:t xml:space="preserve"> pôdy uvedené v kapitole</w:t>
            </w:r>
            <w:r w:rsidRPr="00E43137">
              <w:rPr>
                <w:rFonts w:ascii="Calibri" w:hAnsi="Calibri"/>
                <w:sz w:val="20"/>
                <w:szCs w:val="20"/>
              </w:rPr>
              <w:lastRenderedPageBreak/>
              <w:t xml:space="preserve"> I hlavy VI nariadenia (EÚ) č. 1306/2013 sú zavedené na vnútroštátnej úrovni.</w:t>
            </w:r>
          </w:p>
        </w:tc>
        <w:tc>
          <w:tcPr>
            <w:tcW w:w="1843" w:type="dxa"/>
            <w:shd w:val="clear" w:color="auto" w:fill="auto"/>
          </w:tcPr>
          <w:p w:rsidR="00807B64" w:rsidRPr="00E43137" w:rsidRDefault="00807B64" w:rsidP="007B197D">
            <w:pPr>
              <w:jc w:val="left"/>
              <w:rPr>
                <w:rFonts w:ascii="Calibri" w:hAnsi="Calibri"/>
                <w:b/>
                <w:sz w:val="20"/>
                <w:szCs w:val="20"/>
              </w:rPr>
            </w:pPr>
            <w:r w:rsidRPr="00E43137">
              <w:rPr>
                <w:rFonts w:ascii="Calibri" w:hAnsi="Calibri"/>
                <w:b/>
                <w:sz w:val="20"/>
                <w:szCs w:val="20"/>
              </w:rPr>
              <w:t>Priorita 4: obnova, zachovanie a posilnenie ekosystémov závislých od poľnohospodárstva a lesného hospodárstva</w:t>
            </w:r>
          </w:p>
          <w:p w:rsidR="00807B64" w:rsidRPr="00E43137" w:rsidRDefault="00807B64" w:rsidP="007B197D">
            <w:pPr>
              <w:jc w:val="left"/>
              <w:rPr>
                <w:rFonts w:ascii="Calibri" w:hAnsi="Calibri"/>
                <w:sz w:val="20"/>
                <w:szCs w:val="20"/>
              </w:rPr>
            </w:pPr>
            <w:r w:rsidRPr="00E43137">
              <w:rPr>
                <w:rFonts w:ascii="Calibri" w:hAnsi="Calibri"/>
                <w:sz w:val="20"/>
                <w:szCs w:val="20"/>
              </w:rPr>
              <w:t>Fokusová oblasť 4A,</w:t>
            </w:r>
            <w:r w:rsidRPr="00E43137">
              <w:rPr>
                <w:rFonts w:ascii="Calibri" w:hAnsi="Calibri"/>
                <w:sz w:val="20"/>
                <w:szCs w:val="20"/>
              </w:rPr>
              <w:lastRenderedPageBreak/>
              <w:t xml:space="preserve"> 4B, 4C, 5D.</w:t>
            </w:r>
          </w:p>
          <w:p w:rsidR="00807B64" w:rsidRPr="00E43137" w:rsidRDefault="00807B64" w:rsidP="007B197D">
            <w:pPr>
              <w:jc w:val="left"/>
              <w:rPr>
                <w:rFonts w:ascii="Calibri" w:hAnsi="Calibri"/>
                <w:b/>
                <w:sz w:val="20"/>
                <w:szCs w:val="20"/>
              </w:rPr>
            </w:pPr>
            <w:r w:rsidRPr="00E43137">
              <w:rPr>
                <w:rFonts w:ascii="Calibri" w:hAnsi="Calibri"/>
                <w:sz w:val="20"/>
                <w:szCs w:val="20"/>
              </w:rPr>
              <w:t>Opatrenia čl. 28,29, 30.</w:t>
            </w:r>
          </w:p>
        </w:tc>
        <w:tc>
          <w:tcPr>
            <w:tcW w:w="1134" w:type="dxa"/>
            <w:shd w:val="clear" w:color="auto" w:fill="auto"/>
          </w:tcPr>
          <w:p w:rsidR="00807B64" w:rsidRPr="00E43137" w:rsidRDefault="00475E91" w:rsidP="00475E91">
            <w:pPr>
              <w:tabs>
                <w:tab w:val="left" w:pos="284"/>
                <w:tab w:val="center" w:pos="459"/>
              </w:tabs>
              <w:jc w:val="left"/>
              <w:rPr>
                <w:rFonts w:ascii="Calibri" w:hAnsi="Calibri"/>
                <w:b/>
                <w:sz w:val="20"/>
                <w:szCs w:val="20"/>
              </w:rPr>
            </w:pPr>
            <w:r>
              <w:rPr>
                <w:rFonts w:ascii="Calibri" w:hAnsi="Calibri"/>
                <w:b/>
                <w:sz w:val="20"/>
                <w:szCs w:val="20"/>
              </w:rPr>
              <w:tab/>
              <w:t>nie</w:t>
            </w:r>
          </w:p>
        </w:tc>
        <w:tc>
          <w:tcPr>
            <w:tcW w:w="2409" w:type="dxa"/>
            <w:shd w:val="clear" w:color="auto" w:fill="auto"/>
          </w:tcPr>
          <w:p w:rsidR="00807B64" w:rsidRPr="00E43137" w:rsidRDefault="00807B64" w:rsidP="007B197D">
            <w:pPr>
              <w:jc w:val="left"/>
              <w:rPr>
                <w:rFonts w:ascii="Calibri" w:hAnsi="Calibri"/>
                <w:sz w:val="20"/>
                <w:szCs w:val="20"/>
              </w:rPr>
            </w:pPr>
            <w:r w:rsidRPr="00E43137">
              <w:rPr>
                <w:rFonts w:ascii="Calibri" w:hAnsi="Calibri"/>
                <w:sz w:val="20"/>
                <w:szCs w:val="20"/>
              </w:rPr>
              <w:t xml:space="preserve">Normy </w:t>
            </w:r>
            <w:r>
              <w:rPr>
                <w:rFonts w:ascii="Calibri" w:hAnsi="Calibri"/>
                <w:sz w:val="20"/>
                <w:szCs w:val="20"/>
              </w:rPr>
              <w:t>dobrého poľnohospodárskeho a environmentálneho stavu</w:t>
            </w:r>
            <w:r w:rsidRPr="00E43137">
              <w:rPr>
                <w:rFonts w:ascii="Calibri" w:hAnsi="Calibri"/>
                <w:sz w:val="20"/>
                <w:szCs w:val="20"/>
              </w:rPr>
              <w:t xml:space="preserve"> sú vymedzené vo vnútroštátnych právnych predpisoch a špecifikované v programe.</w:t>
            </w:r>
          </w:p>
        </w:tc>
        <w:tc>
          <w:tcPr>
            <w:tcW w:w="1134" w:type="dxa"/>
            <w:shd w:val="clear" w:color="auto" w:fill="auto"/>
          </w:tcPr>
          <w:p w:rsidR="00807B64" w:rsidRPr="00E43137" w:rsidRDefault="00807B64" w:rsidP="007B197D">
            <w:pPr>
              <w:jc w:val="center"/>
              <w:rPr>
                <w:rFonts w:ascii="Calibri" w:hAnsi="Calibri"/>
                <w:b/>
                <w:sz w:val="20"/>
                <w:szCs w:val="20"/>
              </w:rPr>
            </w:pPr>
            <w:r w:rsidRPr="00E43137">
              <w:rPr>
                <w:rFonts w:ascii="Calibri" w:hAnsi="Calibri"/>
                <w:b/>
                <w:sz w:val="20"/>
                <w:szCs w:val="20"/>
              </w:rPr>
              <w:t>nie</w:t>
            </w:r>
          </w:p>
        </w:tc>
        <w:tc>
          <w:tcPr>
            <w:tcW w:w="3828" w:type="dxa"/>
            <w:shd w:val="clear" w:color="auto" w:fill="auto"/>
          </w:tcPr>
          <w:p w:rsidR="00807B64" w:rsidRPr="00741D27" w:rsidRDefault="00807B64" w:rsidP="007B197D">
            <w:pPr>
              <w:jc w:val="left"/>
              <w:rPr>
                <w:rFonts w:ascii="Calibri" w:hAnsi="Calibri"/>
                <w:sz w:val="20"/>
                <w:szCs w:val="20"/>
              </w:rPr>
            </w:pPr>
            <w:r w:rsidRPr="00741D27">
              <w:rPr>
                <w:rFonts w:ascii="Calibri" w:hAnsi="Calibri"/>
                <w:sz w:val="20"/>
                <w:szCs w:val="20"/>
              </w:rPr>
              <w:t>Krížové plnenie bude zapracované do nového nariadenia vlády SR o priamych platbách, ktoré bude upravovať podmienky vyplácania priamych podpôr podľa nového európskeho nariadenia. Zároveň Dobré poľnohospodárske a environmentálne podmienky (GAEC) budú špecifikované v prílohe programu</w:t>
            </w:r>
          </w:p>
        </w:tc>
        <w:tc>
          <w:tcPr>
            <w:tcW w:w="3921" w:type="dxa"/>
            <w:shd w:val="clear" w:color="auto" w:fill="auto"/>
          </w:tcPr>
          <w:p w:rsidR="00807B64" w:rsidRDefault="00807B64" w:rsidP="007B197D">
            <w:pPr>
              <w:jc w:val="left"/>
              <w:rPr>
                <w:rFonts w:ascii="Calibri" w:hAnsi="Calibri"/>
                <w:sz w:val="20"/>
                <w:szCs w:val="20"/>
              </w:rPr>
            </w:pPr>
            <w:r w:rsidRPr="00E43137">
              <w:rPr>
                <w:rFonts w:ascii="Calibri" w:hAnsi="Calibri"/>
                <w:sz w:val="20"/>
                <w:szCs w:val="20"/>
              </w:rPr>
              <w:t>Splnenie ex ante kondicionality 4.1 je naviazané na schválenie sekundárnej legislatívy v rámci nariadenia EÚ č. 1306/2013 a 1307/2013, ako aj na schválenie systému priamych platieb v SR pre obdobie 2015-2020.</w:t>
            </w:r>
          </w:p>
          <w:p w:rsidR="00807B64" w:rsidRPr="00741D27" w:rsidRDefault="00807B64" w:rsidP="007B197D">
            <w:pPr>
              <w:jc w:val="left"/>
              <w:rPr>
                <w:rFonts w:ascii="Calibri" w:hAnsi="Calibri"/>
                <w:sz w:val="20"/>
                <w:szCs w:val="20"/>
              </w:rPr>
            </w:pPr>
            <w:r w:rsidRPr="00741D27">
              <w:rPr>
                <w:rFonts w:ascii="Calibri" w:hAnsi="Calibri"/>
                <w:sz w:val="20"/>
                <w:szCs w:val="20"/>
              </w:rPr>
              <w:t>Prijatie vnútroštátnej legislatívy zahrňujúcej nové podmienky dobrého poľnohospodárskeho stavu sa predpokladá</w:t>
            </w:r>
            <w:r w:rsidRPr="00741D27">
              <w:rPr>
                <w:rFonts w:ascii="Calibri" w:hAnsi="Calibri"/>
                <w:sz w:val="20"/>
                <w:szCs w:val="20"/>
              </w:rPr>
              <w:lastRenderedPageBreak/>
              <w:t xml:space="preserve"> najskôr koncom roka 2014, alebo v roku 2015.</w:t>
            </w:r>
          </w:p>
        </w:tc>
      </w:tr>
      <w:tr w:rsidR="00807B64" w:rsidRPr="00E43137" w:rsidTr="00807B64">
        <w:trPr>
          <w:trHeight w:val="1576"/>
        </w:trPr>
        <w:tc>
          <w:tcPr>
            <w:tcW w:w="1961" w:type="dxa"/>
            <w:shd w:val="clear" w:color="auto" w:fill="auto"/>
          </w:tcPr>
          <w:p w:rsidR="00807B64" w:rsidRPr="00E43137" w:rsidRDefault="00807B64" w:rsidP="007B197D">
            <w:pPr>
              <w:jc w:val="left"/>
              <w:rPr>
                <w:rFonts w:ascii="Calibri" w:hAnsi="Calibri"/>
                <w:sz w:val="20"/>
                <w:szCs w:val="20"/>
              </w:rPr>
            </w:pPr>
            <w:r w:rsidRPr="00E43137">
              <w:rPr>
                <w:rFonts w:ascii="Calibri" w:hAnsi="Calibri"/>
                <w:b/>
                <w:sz w:val="20"/>
                <w:szCs w:val="20"/>
              </w:rPr>
              <w:t>4.2</w:t>
            </w:r>
            <w:r w:rsidRPr="00E43137">
              <w:rPr>
                <w:rFonts w:ascii="Calibri" w:hAnsi="Calibri"/>
                <w:sz w:val="20"/>
                <w:szCs w:val="20"/>
              </w:rPr>
              <w:t xml:space="preserve"> Minimálne požiadavky na hnojivá a </w:t>
            </w:r>
            <w:r>
              <w:rPr>
                <w:rFonts w:ascii="Calibri" w:hAnsi="Calibri"/>
                <w:sz w:val="20"/>
                <w:szCs w:val="20"/>
              </w:rPr>
              <w:t>prostriedky</w:t>
            </w:r>
            <w:r w:rsidRPr="00E43137">
              <w:rPr>
                <w:rFonts w:ascii="Calibri" w:hAnsi="Calibri"/>
                <w:sz w:val="20"/>
                <w:szCs w:val="20"/>
              </w:rPr>
              <w:t xml:space="preserve"> na ochranu rastlín: minimálne požiadavky na hnojivá a </w:t>
            </w:r>
            <w:r>
              <w:rPr>
                <w:rFonts w:ascii="Calibri" w:hAnsi="Calibri"/>
                <w:sz w:val="20"/>
                <w:szCs w:val="20"/>
              </w:rPr>
              <w:t>prostriedky</w:t>
            </w:r>
            <w:r w:rsidRPr="00E43137">
              <w:rPr>
                <w:rFonts w:ascii="Calibri" w:hAnsi="Calibri"/>
                <w:sz w:val="20"/>
                <w:szCs w:val="20"/>
              </w:rPr>
              <w:t xml:space="preserve"> na ochranu rastlín uvedené v hlave III kapitole I článku 28 nariadenia (EÚ) 1305/2013 sú definované na vnútroštátnej úrovni</w:t>
            </w:r>
          </w:p>
        </w:tc>
        <w:tc>
          <w:tcPr>
            <w:tcW w:w="1843" w:type="dxa"/>
            <w:shd w:val="clear" w:color="auto" w:fill="auto"/>
          </w:tcPr>
          <w:p w:rsidR="00807B64" w:rsidRPr="00E43137" w:rsidRDefault="00807B64" w:rsidP="007B197D">
            <w:pPr>
              <w:jc w:val="left"/>
              <w:rPr>
                <w:rFonts w:ascii="Calibri" w:hAnsi="Calibri"/>
                <w:b/>
                <w:sz w:val="20"/>
                <w:szCs w:val="20"/>
              </w:rPr>
            </w:pPr>
            <w:r w:rsidRPr="00E43137">
              <w:rPr>
                <w:rFonts w:ascii="Calibri" w:hAnsi="Calibri"/>
                <w:b/>
                <w:sz w:val="20"/>
                <w:szCs w:val="20"/>
              </w:rPr>
              <w:t>Priorita 4: obnova, zachovanie a posilnenie ekosystémov závislých od poľnohospodárstva a lesného hospodárstva</w:t>
            </w:r>
          </w:p>
          <w:p w:rsidR="00807B64" w:rsidRPr="00E43137" w:rsidRDefault="00807B64" w:rsidP="007B197D">
            <w:pPr>
              <w:jc w:val="left"/>
              <w:rPr>
                <w:rFonts w:ascii="Calibri" w:hAnsi="Calibri"/>
                <w:sz w:val="20"/>
                <w:szCs w:val="20"/>
              </w:rPr>
            </w:pPr>
            <w:r w:rsidRPr="00E43137">
              <w:rPr>
                <w:rFonts w:ascii="Calibri" w:hAnsi="Calibri"/>
                <w:sz w:val="20"/>
                <w:szCs w:val="20"/>
              </w:rPr>
              <w:t>Fokusová oblasť 4A, 4B, 4C, 5D.</w:t>
            </w:r>
          </w:p>
          <w:p w:rsidR="00807B64" w:rsidRPr="00E43137" w:rsidRDefault="00807B64" w:rsidP="007B197D">
            <w:pPr>
              <w:jc w:val="left"/>
              <w:rPr>
                <w:rFonts w:ascii="Calibri" w:hAnsi="Calibri"/>
                <w:sz w:val="20"/>
                <w:szCs w:val="20"/>
              </w:rPr>
            </w:pPr>
            <w:r w:rsidRPr="00E43137">
              <w:rPr>
                <w:rFonts w:ascii="Calibri" w:hAnsi="Calibri"/>
                <w:sz w:val="20"/>
                <w:szCs w:val="20"/>
              </w:rPr>
              <w:t>Opatrenia čl. 28, 29.</w:t>
            </w:r>
          </w:p>
        </w:tc>
        <w:tc>
          <w:tcPr>
            <w:tcW w:w="1134" w:type="dxa"/>
            <w:shd w:val="clear" w:color="auto" w:fill="auto"/>
          </w:tcPr>
          <w:p w:rsidR="00807B64" w:rsidRPr="00E43137" w:rsidRDefault="00807B64" w:rsidP="007B197D">
            <w:pPr>
              <w:jc w:val="center"/>
              <w:rPr>
                <w:rFonts w:ascii="Calibri" w:hAnsi="Calibri"/>
                <w:b/>
                <w:sz w:val="20"/>
                <w:szCs w:val="20"/>
              </w:rPr>
            </w:pPr>
            <w:r w:rsidRPr="00E43137">
              <w:rPr>
                <w:rFonts w:ascii="Calibri" w:hAnsi="Calibri"/>
                <w:b/>
                <w:sz w:val="20"/>
                <w:szCs w:val="20"/>
              </w:rPr>
              <w:t>áno</w:t>
            </w:r>
          </w:p>
        </w:tc>
        <w:tc>
          <w:tcPr>
            <w:tcW w:w="2409" w:type="dxa"/>
            <w:shd w:val="clear" w:color="auto" w:fill="auto"/>
          </w:tcPr>
          <w:p w:rsidR="00807B64" w:rsidRPr="00E43137" w:rsidRDefault="00807B64" w:rsidP="007B197D">
            <w:pPr>
              <w:jc w:val="left"/>
              <w:rPr>
                <w:rFonts w:ascii="Calibri" w:hAnsi="Calibri"/>
                <w:sz w:val="20"/>
                <w:szCs w:val="20"/>
              </w:rPr>
            </w:pPr>
            <w:r w:rsidRPr="00E43137">
              <w:rPr>
                <w:rFonts w:ascii="Calibri" w:hAnsi="Calibri"/>
                <w:sz w:val="20"/>
                <w:szCs w:val="20"/>
              </w:rPr>
              <w:t>Minimálne požiadavky na hnojivá a </w:t>
            </w:r>
            <w:r>
              <w:rPr>
                <w:rFonts w:ascii="Calibri" w:hAnsi="Calibri"/>
                <w:sz w:val="20"/>
                <w:szCs w:val="20"/>
              </w:rPr>
              <w:t>prostriedky</w:t>
            </w:r>
            <w:r w:rsidRPr="00E43137">
              <w:rPr>
                <w:rFonts w:ascii="Calibri" w:hAnsi="Calibri"/>
                <w:sz w:val="20"/>
                <w:szCs w:val="20"/>
              </w:rPr>
              <w:t xml:space="preserve"> na ochranu rastlín uvedené v hlave III, kapitole I článku 28 nariadenia (EÚ) 1305/2013 sú špecifikované v programe.</w:t>
            </w:r>
          </w:p>
        </w:tc>
        <w:tc>
          <w:tcPr>
            <w:tcW w:w="1134" w:type="dxa"/>
            <w:shd w:val="clear" w:color="auto" w:fill="auto"/>
          </w:tcPr>
          <w:p w:rsidR="00807B64" w:rsidRPr="00E43137" w:rsidRDefault="00807B64" w:rsidP="007B197D">
            <w:pPr>
              <w:jc w:val="center"/>
              <w:rPr>
                <w:rFonts w:ascii="Calibri" w:hAnsi="Calibri"/>
                <w:b/>
                <w:sz w:val="20"/>
                <w:szCs w:val="20"/>
              </w:rPr>
            </w:pPr>
            <w:r w:rsidRPr="00E43137">
              <w:rPr>
                <w:rFonts w:ascii="Calibri" w:hAnsi="Calibri"/>
                <w:b/>
                <w:sz w:val="20"/>
                <w:szCs w:val="20"/>
              </w:rPr>
              <w:t>áno</w:t>
            </w:r>
          </w:p>
        </w:tc>
        <w:tc>
          <w:tcPr>
            <w:tcW w:w="3828" w:type="dxa"/>
            <w:shd w:val="clear" w:color="auto" w:fill="auto"/>
          </w:tcPr>
          <w:p w:rsidR="00807B64" w:rsidRPr="00E43137" w:rsidRDefault="00807B64" w:rsidP="00197171">
            <w:pPr>
              <w:tabs>
                <w:tab w:val="left" w:pos="-36"/>
                <w:tab w:val="num" w:pos="2575"/>
              </w:tabs>
              <w:spacing w:afterLines="20" w:after="48"/>
              <w:jc w:val="left"/>
              <w:rPr>
                <w:rFonts w:ascii="Calibri" w:hAnsi="Calibri"/>
                <w:noProof/>
                <w:sz w:val="20"/>
                <w:szCs w:val="20"/>
              </w:rPr>
            </w:pPr>
            <w:r w:rsidRPr="00E43137">
              <w:rPr>
                <w:rFonts w:ascii="Calibri" w:hAnsi="Calibri"/>
                <w:noProof/>
                <w:sz w:val="20"/>
                <w:szCs w:val="20"/>
              </w:rPr>
              <w:t xml:space="preserve">Minimálne požiadavky na hnojivá a prípravky na ochranu rastlín sú uvedené v rámci podmienok opatrení a špecifikované v prílohe programu. </w:t>
            </w:r>
          </w:p>
          <w:p w:rsidR="00807B64" w:rsidRPr="00E43137" w:rsidRDefault="00807B64" w:rsidP="00197171">
            <w:pPr>
              <w:tabs>
                <w:tab w:val="left" w:pos="-36"/>
                <w:tab w:val="num" w:pos="2575"/>
              </w:tabs>
              <w:spacing w:afterLines="20" w:after="48"/>
              <w:jc w:val="left"/>
              <w:rPr>
                <w:rFonts w:ascii="Calibri" w:hAnsi="Calibri"/>
                <w:noProof/>
                <w:sz w:val="20"/>
                <w:szCs w:val="20"/>
              </w:rPr>
            </w:pPr>
            <w:r w:rsidRPr="00E43137">
              <w:rPr>
                <w:rFonts w:ascii="Calibri" w:hAnsi="Calibri"/>
                <w:sz w:val="20"/>
                <w:szCs w:val="20"/>
              </w:rPr>
              <w:t xml:space="preserve">Minimálne požiadavky na hnojivá a prípravky na ochranu rastlín </w:t>
            </w:r>
            <w:r w:rsidRPr="00E43137">
              <w:rPr>
                <w:rFonts w:ascii="Calibri" w:hAnsi="Calibri"/>
                <w:noProof/>
                <w:sz w:val="20"/>
                <w:szCs w:val="20"/>
              </w:rPr>
              <w:t>su stanovené v národnej legislatíve:</w:t>
            </w:r>
          </w:p>
          <w:p w:rsidR="00807B64" w:rsidRPr="00E43137" w:rsidRDefault="00807B64" w:rsidP="00197171">
            <w:pPr>
              <w:numPr>
                <w:ilvl w:val="0"/>
                <w:numId w:val="22"/>
              </w:numPr>
              <w:tabs>
                <w:tab w:val="left" w:pos="170"/>
                <w:tab w:val="num" w:pos="2575"/>
              </w:tabs>
              <w:spacing w:afterLines="50" w:after="120"/>
              <w:ind w:left="176" w:hanging="142"/>
              <w:jc w:val="left"/>
              <w:rPr>
                <w:rFonts w:ascii="Calibri" w:hAnsi="Calibri"/>
                <w:noProof/>
                <w:sz w:val="20"/>
                <w:szCs w:val="20"/>
                <w:lang w:eastAsia="de-DE"/>
              </w:rPr>
            </w:pPr>
            <w:r w:rsidRPr="00E43137">
              <w:rPr>
                <w:rFonts w:ascii="Calibri" w:hAnsi="Calibri"/>
                <w:noProof/>
                <w:sz w:val="20"/>
                <w:szCs w:val="20"/>
                <w:lang w:eastAsia="de-DE"/>
              </w:rPr>
              <w:t>oblasť hnojív</w:t>
            </w:r>
            <w:r w:rsidRPr="00E43137">
              <w:rPr>
                <w:rFonts w:ascii="Calibri" w:hAnsi="Calibri"/>
                <w:b/>
                <w:noProof/>
                <w:sz w:val="20"/>
                <w:szCs w:val="20"/>
                <w:lang w:eastAsia="de-DE"/>
              </w:rPr>
              <w:t xml:space="preserve"> </w:t>
            </w:r>
            <w:r w:rsidRPr="00E43137">
              <w:rPr>
                <w:rFonts w:ascii="Calibri" w:hAnsi="Calibri"/>
                <w:noProof/>
                <w:sz w:val="20"/>
                <w:szCs w:val="20"/>
                <w:lang w:eastAsia="de-DE"/>
              </w:rPr>
              <w:t>(používanie hnojív) je v podm</w:t>
            </w:r>
            <w:r>
              <w:rPr>
                <w:rFonts w:ascii="Calibri" w:hAnsi="Calibri"/>
                <w:noProof/>
                <w:sz w:val="20"/>
                <w:szCs w:val="20"/>
                <w:lang w:eastAsia="de-DE"/>
              </w:rPr>
              <w:t>ie</w:t>
            </w:r>
            <w:r w:rsidRPr="00E43137">
              <w:rPr>
                <w:rFonts w:ascii="Calibri" w:hAnsi="Calibri"/>
                <w:noProof/>
                <w:sz w:val="20"/>
                <w:szCs w:val="20"/>
                <w:lang w:eastAsia="de-DE"/>
              </w:rPr>
              <w:t>nkach SR legislatívne zabezpečená v rámci § 10 zákona č.136/2000 Z. z. o hnojivách.</w:t>
            </w:r>
          </w:p>
          <w:p w:rsidR="00807B64" w:rsidRPr="00E43137" w:rsidRDefault="00807B64" w:rsidP="00197171">
            <w:pPr>
              <w:numPr>
                <w:ilvl w:val="0"/>
                <w:numId w:val="22"/>
              </w:numPr>
              <w:tabs>
                <w:tab w:val="left" w:pos="170"/>
                <w:tab w:val="num" w:pos="2575"/>
              </w:tabs>
              <w:spacing w:afterLines="20" w:after="48"/>
              <w:ind w:left="176" w:hanging="142"/>
              <w:contextualSpacing/>
              <w:jc w:val="left"/>
              <w:rPr>
                <w:rFonts w:ascii="Calibri" w:hAnsi="Calibri"/>
                <w:noProof/>
                <w:sz w:val="20"/>
                <w:szCs w:val="20"/>
                <w:lang w:eastAsia="de-DE"/>
              </w:rPr>
            </w:pPr>
            <w:r w:rsidRPr="00E43137">
              <w:rPr>
                <w:rFonts w:ascii="Calibri" w:hAnsi="Calibri"/>
                <w:noProof/>
                <w:sz w:val="20"/>
                <w:szCs w:val="20"/>
                <w:lang w:eastAsia="de-DE"/>
              </w:rPr>
              <w:t>Oblasť ochrany rastlín je v podmienkach SR legislatívne zabezpečená v rámci  § 8, § 30 a § 32 zákona č.405/2011 Z. z. o rastlinolekárskej starostlivosti.</w:t>
            </w:r>
          </w:p>
        </w:tc>
        <w:tc>
          <w:tcPr>
            <w:tcW w:w="3921" w:type="dxa"/>
            <w:shd w:val="clear" w:color="auto" w:fill="auto"/>
          </w:tcPr>
          <w:p w:rsidR="00807B64" w:rsidRPr="00475E91" w:rsidRDefault="00807B64" w:rsidP="00F35657">
            <w:pPr>
              <w:tabs>
                <w:tab w:val="num" w:pos="2575"/>
              </w:tabs>
              <w:spacing w:afterLines="20" w:after="48"/>
              <w:ind w:left="33"/>
              <w:jc w:val="left"/>
              <w:rPr>
                <w:rFonts w:ascii="Calibri" w:hAnsi="Calibri"/>
                <w:noProof/>
                <w:sz w:val="20"/>
                <w:szCs w:val="20"/>
                <w:lang w:eastAsia="de-DE"/>
              </w:rPr>
            </w:pPr>
            <w:r w:rsidRPr="00475E91">
              <w:rPr>
                <w:rFonts w:ascii="Calibri" w:hAnsi="Calibri"/>
                <w:noProof/>
                <w:sz w:val="20"/>
                <w:szCs w:val="20"/>
                <w:lang w:eastAsia="de-DE"/>
              </w:rPr>
              <w:t xml:space="preserve">Ex ante kondicionalita je splnená. Národná legislatíva upravuje minimálne požiadavky na hnojivá a prostriedky na ochranu rastlín.  Tietp požiadavky </w:t>
            </w:r>
            <w:r w:rsidR="00F35657">
              <w:rPr>
                <w:rFonts w:ascii="Calibri" w:hAnsi="Calibri"/>
                <w:noProof/>
                <w:sz w:val="20"/>
                <w:szCs w:val="20"/>
                <w:lang w:eastAsia="de-DE"/>
              </w:rPr>
              <w:t>s</w:t>
            </w:r>
            <w:r w:rsidRPr="00475E91">
              <w:rPr>
                <w:rFonts w:ascii="Calibri" w:hAnsi="Calibri"/>
                <w:noProof/>
                <w:sz w:val="20"/>
                <w:szCs w:val="20"/>
                <w:lang w:eastAsia="de-DE"/>
              </w:rPr>
              <w:t>ú špecifikované v programe.</w:t>
            </w:r>
          </w:p>
        </w:tc>
      </w:tr>
      <w:tr w:rsidR="00807B64" w:rsidRPr="00E43137" w:rsidTr="00807B64">
        <w:trPr>
          <w:trHeight w:val="1247"/>
        </w:trPr>
        <w:tc>
          <w:tcPr>
            <w:tcW w:w="1961" w:type="dxa"/>
            <w:shd w:val="clear" w:color="auto" w:fill="auto"/>
          </w:tcPr>
          <w:p w:rsidR="00807B64" w:rsidRPr="00E43137" w:rsidRDefault="00807B64" w:rsidP="007B197D">
            <w:pPr>
              <w:jc w:val="left"/>
              <w:rPr>
                <w:rFonts w:ascii="Calibri" w:hAnsi="Calibri"/>
                <w:sz w:val="20"/>
                <w:szCs w:val="20"/>
              </w:rPr>
            </w:pPr>
            <w:r w:rsidRPr="00E43137">
              <w:rPr>
                <w:rFonts w:ascii="Calibri" w:hAnsi="Calibri"/>
                <w:b/>
                <w:sz w:val="20"/>
                <w:szCs w:val="20"/>
              </w:rPr>
              <w:t>4.3</w:t>
            </w:r>
            <w:r w:rsidRPr="00E43137">
              <w:rPr>
                <w:rFonts w:ascii="Calibri" w:hAnsi="Calibri"/>
                <w:sz w:val="20"/>
                <w:szCs w:val="20"/>
              </w:rPr>
              <w:t xml:space="preserve"> Iné príslušné vnútroštátne normy: príslušné povinné vnútroštátne normy sú definované na účely článku 28 kapitoly I hlavy III nariadenia (EÚ) 1305/2013.</w:t>
            </w:r>
          </w:p>
        </w:tc>
        <w:tc>
          <w:tcPr>
            <w:tcW w:w="1843" w:type="dxa"/>
            <w:shd w:val="clear" w:color="auto" w:fill="auto"/>
          </w:tcPr>
          <w:p w:rsidR="00807B64" w:rsidRPr="00E43137" w:rsidRDefault="00807B64" w:rsidP="007B197D">
            <w:pPr>
              <w:jc w:val="left"/>
              <w:rPr>
                <w:rFonts w:ascii="Calibri" w:hAnsi="Calibri"/>
                <w:b/>
                <w:sz w:val="20"/>
                <w:szCs w:val="20"/>
              </w:rPr>
            </w:pPr>
            <w:r w:rsidRPr="00E43137">
              <w:rPr>
                <w:rFonts w:ascii="Calibri" w:hAnsi="Calibri"/>
                <w:b/>
                <w:sz w:val="20"/>
                <w:szCs w:val="20"/>
              </w:rPr>
              <w:t>Priorita 4: obnova, zachovanie a posilnenie ekosystémov závislých od poľnohospodárstva a lesného hospodárstva</w:t>
            </w:r>
          </w:p>
          <w:p w:rsidR="00807B64" w:rsidRPr="00E43137" w:rsidRDefault="00807B64" w:rsidP="007B197D">
            <w:pPr>
              <w:jc w:val="left"/>
              <w:rPr>
                <w:rFonts w:ascii="Calibri" w:hAnsi="Calibri"/>
                <w:sz w:val="20"/>
                <w:szCs w:val="20"/>
              </w:rPr>
            </w:pPr>
            <w:r w:rsidRPr="00E43137">
              <w:rPr>
                <w:rFonts w:ascii="Calibri" w:hAnsi="Calibri"/>
                <w:sz w:val="20"/>
                <w:szCs w:val="20"/>
              </w:rPr>
              <w:t>Fokusová oblasť 4A, 4B, 4C,5D.</w:t>
            </w:r>
          </w:p>
          <w:p w:rsidR="00807B64" w:rsidRPr="00E43137" w:rsidRDefault="00807B64" w:rsidP="007B197D">
            <w:pPr>
              <w:jc w:val="left"/>
              <w:rPr>
                <w:rFonts w:ascii="Calibri" w:hAnsi="Calibri"/>
                <w:b/>
                <w:sz w:val="20"/>
                <w:szCs w:val="20"/>
              </w:rPr>
            </w:pPr>
            <w:r w:rsidRPr="00E43137">
              <w:rPr>
                <w:rFonts w:ascii="Calibri" w:hAnsi="Calibri"/>
                <w:sz w:val="20"/>
                <w:szCs w:val="20"/>
              </w:rPr>
              <w:t>Opatrenia čl. 28, 29</w:t>
            </w:r>
          </w:p>
        </w:tc>
        <w:tc>
          <w:tcPr>
            <w:tcW w:w="1134" w:type="dxa"/>
            <w:shd w:val="clear" w:color="auto" w:fill="auto"/>
          </w:tcPr>
          <w:p w:rsidR="00807B64" w:rsidRPr="00E43137" w:rsidRDefault="00807B64" w:rsidP="007B197D">
            <w:pPr>
              <w:jc w:val="center"/>
              <w:rPr>
                <w:rFonts w:ascii="Calibri" w:hAnsi="Calibri"/>
                <w:b/>
                <w:sz w:val="20"/>
                <w:szCs w:val="20"/>
              </w:rPr>
            </w:pPr>
            <w:r w:rsidRPr="00E43137">
              <w:rPr>
                <w:rFonts w:ascii="Calibri" w:hAnsi="Calibri"/>
                <w:b/>
                <w:sz w:val="20"/>
                <w:szCs w:val="20"/>
              </w:rPr>
              <w:t>áno</w:t>
            </w:r>
          </w:p>
        </w:tc>
        <w:tc>
          <w:tcPr>
            <w:tcW w:w="2409" w:type="dxa"/>
            <w:shd w:val="clear" w:color="auto" w:fill="auto"/>
          </w:tcPr>
          <w:p w:rsidR="00807B64" w:rsidRPr="00E43137" w:rsidRDefault="00807B64" w:rsidP="007B197D">
            <w:pPr>
              <w:jc w:val="left"/>
              <w:rPr>
                <w:rFonts w:ascii="Calibri" w:hAnsi="Calibri"/>
                <w:sz w:val="20"/>
                <w:szCs w:val="20"/>
              </w:rPr>
            </w:pPr>
            <w:r w:rsidRPr="00E43137">
              <w:rPr>
                <w:rFonts w:ascii="Calibri" w:hAnsi="Calibri"/>
                <w:sz w:val="20"/>
                <w:szCs w:val="20"/>
              </w:rPr>
              <w:t>Príslušné povinné vnútroštátne normy sú špecifikované v programe.</w:t>
            </w:r>
          </w:p>
        </w:tc>
        <w:tc>
          <w:tcPr>
            <w:tcW w:w="1134" w:type="dxa"/>
            <w:shd w:val="clear" w:color="auto" w:fill="auto"/>
          </w:tcPr>
          <w:p w:rsidR="00807B64" w:rsidRPr="00E43137" w:rsidRDefault="00807B64" w:rsidP="007B197D">
            <w:pPr>
              <w:jc w:val="center"/>
              <w:rPr>
                <w:rFonts w:ascii="Calibri" w:hAnsi="Calibri"/>
                <w:b/>
                <w:sz w:val="20"/>
                <w:szCs w:val="20"/>
              </w:rPr>
            </w:pPr>
            <w:r w:rsidRPr="00E43137">
              <w:rPr>
                <w:rFonts w:ascii="Calibri" w:hAnsi="Calibri"/>
                <w:b/>
                <w:sz w:val="20"/>
                <w:szCs w:val="20"/>
              </w:rPr>
              <w:t>áno</w:t>
            </w:r>
          </w:p>
        </w:tc>
        <w:tc>
          <w:tcPr>
            <w:tcW w:w="3828" w:type="dxa"/>
            <w:shd w:val="clear" w:color="auto" w:fill="auto"/>
          </w:tcPr>
          <w:p w:rsidR="00807B64" w:rsidRPr="00741D27" w:rsidRDefault="00807B64" w:rsidP="007B197D">
            <w:pPr>
              <w:ind w:left="-35"/>
              <w:jc w:val="left"/>
              <w:rPr>
                <w:rFonts w:ascii="Calibri" w:hAnsi="Calibri"/>
                <w:sz w:val="20"/>
                <w:szCs w:val="20"/>
              </w:rPr>
            </w:pPr>
            <w:r w:rsidRPr="00741D27">
              <w:rPr>
                <w:rFonts w:ascii="Calibri" w:hAnsi="Calibri"/>
                <w:sz w:val="20"/>
                <w:szCs w:val="20"/>
              </w:rPr>
              <w:t>Relevantné povinné národné normy definované na účely článku 28 kapitoly I hlavy III budú špecifikované v programe</w:t>
            </w:r>
            <w:r w:rsidR="00F35657">
              <w:rPr>
                <w:rFonts w:ascii="Calibri" w:hAnsi="Calibri"/>
                <w:sz w:val="20"/>
                <w:szCs w:val="20"/>
              </w:rPr>
              <w:t xml:space="preserve"> v rámci relevantných opatrení.</w:t>
            </w:r>
          </w:p>
          <w:p w:rsidR="00807B64" w:rsidRPr="00E43137" w:rsidRDefault="00807B64" w:rsidP="007B197D">
            <w:pPr>
              <w:ind w:left="-35"/>
              <w:jc w:val="left"/>
              <w:rPr>
                <w:rFonts w:ascii="Calibri" w:hAnsi="Calibri"/>
                <w:sz w:val="20"/>
                <w:szCs w:val="20"/>
              </w:rPr>
            </w:pPr>
          </w:p>
        </w:tc>
        <w:tc>
          <w:tcPr>
            <w:tcW w:w="3921" w:type="dxa"/>
            <w:shd w:val="clear" w:color="auto" w:fill="auto"/>
          </w:tcPr>
          <w:p w:rsidR="00807B64" w:rsidRPr="00475E91" w:rsidRDefault="00807B64" w:rsidP="00F35657">
            <w:pPr>
              <w:tabs>
                <w:tab w:val="num" w:pos="2575"/>
              </w:tabs>
              <w:spacing w:afterLines="20" w:after="48"/>
              <w:ind w:left="33" w:hanging="33"/>
              <w:jc w:val="left"/>
              <w:rPr>
                <w:rFonts w:ascii="Calibri" w:hAnsi="Calibri"/>
                <w:sz w:val="20"/>
                <w:szCs w:val="20"/>
                <w:lang w:eastAsia="de-DE"/>
              </w:rPr>
            </w:pPr>
            <w:r w:rsidRPr="00475E91">
              <w:rPr>
                <w:rFonts w:ascii="Calibri" w:hAnsi="Calibri"/>
                <w:noProof/>
                <w:sz w:val="20"/>
                <w:szCs w:val="20"/>
                <w:lang w:eastAsia="de-DE"/>
              </w:rPr>
              <w:t xml:space="preserve">Ex ante kondicionalita je splnená. Relevantné nútroštátne predpisy </w:t>
            </w:r>
            <w:r w:rsidR="00F35657">
              <w:rPr>
                <w:rFonts w:ascii="Calibri" w:hAnsi="Calibri"/>
                <w:noProof/>
                <w:sz w:val="20"/>
                <w:szCs w:val="20"/>
                <w:lang w:eastAsia="de-DE"/>
              </w:rPr>
              <w:t>sú</w:t>
            </w:r>
            <w:r w:rsidRPr="00475E91">
              <w:rPr>
                <w:rFonts w:ascii="Calibri" w:hAnsi="Calibri"/>
                <w:noProof/>
                <w:sz w:val="20"/>
                <w:szCs w:val="20"/>
                <w:lang w:eastAsia="de-DE"/>
              </w:rPr>
              <w:t xml:space="preserve"> špecifikované v programe.</w:t>
            </w:r>
          </w:p>
        </w:tc>
      </w:tr>
      <w:tr w:rsidR="00807B64" w:rsidRPr="00E43137" w:rsidTr="00807B64">
        <w:trPr>
          <w:trHeight w:val="703"/>
        </w:trPr>
        <w:tc>
          <w:tcPr>
            <w:tcW w:w="1961" w:type="dxa"/>
            <w:vMerge w:val="restart"/>
            <w:shd w:val="clear" w:color="auto" w:fill="auto"/>
          </w:tcPr>
          <w:p w:rsidR="00807B64" w:rsidRPr="00E43137" w:rsidRDefault="00807B64" w:rsidP="007B197D">
            <w:pPr>
              <w:jc w:val="left"/>
              <w:rPr>
                <w:rFonts w:ascii="Calibri" w:hAnsi="Calibri"/>
                <w:sz w:val="20"/>
                <w:szCs w:val="20"/>
              </w:rPr>
            </w:pPr>
            <w:r w:rsidRPr="00E43137">
              <w:rPr>
                <w:rFonts w:ascii="Calibri" w:hAnsi="Calibri"/>
                <w:b/>
                <w:sz w:val="20"/>
                <w:szCs w:val="20"/>
              </w:rPr>
              <w:t xml:space="preserve">5.2  </w:t>
            </w:r>
            <w:r w:rsidRPr="00E43137">
              <w:rPr>
                <w:rFonts w:ascii="Calibri" w:hAnsi="Calibri"/>
                <w:sz w:val="20"/>
                <w:szCs w:val="20"/>
              </w:rPr>
              <w:t xml:space="preserve">Energetická </w:t>
            </w:r>
            <w:r>
              <w:rPr>
                <w:rFonts w:ascii="Calibri" w:hAnsi="Calibri"/>
                <w:sz w:val="20"/>
                <w:szCs w:val="20"/>
              </w:rPr>
              <w:t>efektívnosť</w:t>
            </w:r>
            <w:r w:rsidRPr="00E43137">
              <w:rPr>
                <w:rFonts w:ascii="Calibri" w:hAnsi="Calibri"/>
                <w:sz w:val="20"/>
                <w:szCs w:val="20"/>
              </w:rPr>
              <w:t xml:space="preserve">: </w:t>
            </w:r>
            <w:r>
              <w:rPr>
                <w:rFonts w:ascii="Calibri" w:hAnsi="Calibri"/>
                <w:sz w:val="20"/>
                <w:szCs w:val="20"/>
              </w:rPr>
              <w:t>U</w:t>
            </w:r>
            <w:r w:rsidRPr="00E43137">
              <w:rPr>
                <w:rFonts w:ascii="Calibri" w:hAnsi="Calibri"/>
                <w:sz w:val="20"/>
                <w:szCs w:val="20"/>
              </w:rPr>
              <w:t>skutočn</w:t>
            </w:r>
            <w:r>
              <w:rPr>
                <w:rFonts w:ascii="Calibri" w:hAnsi="Calibri"/>
                <w:sz w:val="20"/>
                <w:szCs w:val="20"/>
              </w:rPr>
              <w:t>ili sa akcie</w:t>
            </w:r>
            <w:r w:rsidRPr="00E43137">
              <w:rPr>
                <w:rFonts w:ascii="Calibri" w:hAnsi="Calibri"/>
                <w:sz w:val="20"/>
                <w:szCs w:val="20"/>
              </w:rPr>
              <w:t xml:space="preserve"> na </w:t>
            </w:r>
            <w:r>
              <w:rPr>
                <w:rFonts w:ascii="Calibri" w:hAnsi="Calibri"/>
                <w:sz w:val="20"/>
                <w:szCs w:val="20"/>
              </w:rPr>
              <w:t>propagáciu</w:t>
            </w:r>
            <w:r w:rsidRPr="00E43137">
              <w:rPr>
                <w:rFonts w:ascii="Calibri" w:hAnsi="Calibri"/>
                <w:sz w:val="20"/>
                <w:szCs w:val="20"/>
              </w:rPr>
              <w:t xml:space="preserve"> nákladovo-efektívnych zlepšení </w:t>
            </w:r>
            <w:r>
              <w:rPr>
                <w:rFonts w:ascii="Calibri" w:hAnsi="Calibri"/>
                <w:sz w:val="20"/>
                <w:szCs w:val="20"/>
              </w:rPr>
              <w:t xml:space="preserve">efektívnosti </w:t>
            </w:r>
            <w:r w:rsidRPr="00E43137">
              <w:rPr>
                <w:rFonts w:ascii="Calibri" w:hAnsi="Calibri"/>
                <w:sz w:val="20"/>
                <w:szCs w:val="20"/>
              </w:rPr>
              <w:t>kon</w:t>
            </w:r>
            <w:r>
              <w:rPr>
                <w:rFonts w:ascii="Calibri" w:hAnsi="Calibri"/>
                <w:sz w:val="20"/>
                <w:szCs w:val="20"/>
              </w:rPr>
              <w:t>cového</w:t>
            </w:r>
            <w:r w:rsidRPr="00E43137">
              <w:rPr>
                <w:rFonts w:ascii="Calibri" w:hAnsi="Calibri"/>
                <w:sz w:val="20"/>
                <w:szCs w:val="20"/>
              </w:rPr>
              <w:t xml:space="preserve"> využ</w:t>
            </w:r>
            <w:r>
              <w:rPr>
                <w:rFonts w:ascii="Calibri" w:hAnsi="Calibri"/>
                <w:sz w:val="20"/>
                <w:szCs w:val="20"/>
              </w:rPr>
              <w:t>ívania</w:t>
            </w:r>
            <w:r w:rsidRPr="00E43137">
              <w:rPr>
                <w:rFonts w:ascii="Calibri" w:hAnsi="Calibri"/>
                <w:sz w:val="20"/>
                <w:szCs w:val="20"/>
              </w:rPr>
              <w:t xml:space="preserve"> energie a nákladovo efektívnych investícií do energetickej efektívnosti pri stavbe alebo </w:t>
            </w:r>
            <w:r>
              <w:rPr>
                <w:rFonts w:ascii="Calibri" w:hAnsi="Calibri"/>
                <w:sz w:val="20"/>
                <w:szCs w:val="20"/>
              </w:rPr>
              <w:t>renovácií</w:t>
            </w:r>
            <w:r w:rsidRPr="00E43137">
              <w:rPr>
                <w:rFonts w:ascii="Calibri" w:hAnsi="Calibri"/>
                <w:sz w:val="20"/>
                <w:szCs w:val="20"/>
              </w:rPr>
              <w:t xml:space="preserve"> budov</w:t>
            </w:r>
          </w:p>
          <w:p w:rsidR="00807B64" w:rsidRPr="00E43137" w:rsidRDefault="00807B64" w:rsidP="007B197D">
            <w:pPr>
              <w:jc w:val="left"/>
              <w:rPr>
                <w:rFonts w:ascii="Calibri" w:hAnsi="Calibri"/>
                <w:b/>
                <w:sz w:val="20"/>
                <w:szCs w:val="20"/>
              </w:rPr>
            </w:pPr>
          </w:p>
        </w:tc>
        <w:tc>
          <w:tcPr>
            <w:tcW w:w="1843" w:type="dxa"/>
            <w:vMerge w:val="restart"/>
            <w:shd w:val="clear" w:color="auto" w:fill="auto"/>
          </w:tcPr>
          <w:p w:rsidR="00807B64" w:rsidRPr="00E43137" w:rsidRDefault="00807B64" w:rsidP="007B197D">
            <w:pPr>
              <w:jc w:val="left"/>
              <w:rPr>
                <w:rFonts w:ascii="Calibri" w:hAnsi="Calibri"/>
                <w:b/>
                <w:sz w:val="20"/>
                <w:szCs w:val="20"/>
              </w:rPr>
            </w:pPr>
            <w:r w:rsidRPr="00E43137">
              <w:rPr>
                <w:rFonts w:ascii="Calibri" w:hAnsi="Calibri"/>
                <w:b/>
                <w:sz w:val="20"/>
                <w:szCs w:val="20"/>
              </w:rPr>
              <w:t>Priorita 5: Propagácia účinného využívania zdrojov a podpora prechodu na nízkouhlíkové hospodárstvo odolné voči zmene klímy v sektoroch poľnohospodárstva, potravinárstva a lesného hospodárstva</w:t>
            </w:r>
          </w:p>
          <w:p w:rsidR="00807B64" w:rsidRPr="00E43137" w:rsidRDefault="00807B64" w:rsidP="007B197D">
            <w:pPr>
              <w:jc w:val="left"/>
              <w:rPr>
                <w:rFonts w:ascii="Calibri" w:hAnsi="Calibri"/>
                <w:sz w:val="20"/>
                <w:szCs w:val="20"/>
              </w:rPr>
            </w:pPr>
            <w:r w:rsidRPr="00E43137">
              <w:rPr>
                <w:rFonts w:ascii="Calibri" w:hAnsi="Calibri"/>
                <w:sz w:val="20"/>
                <w:szCs w:val="20"/>
              </w:rPr>
              <w:t>Fokusová oblasť 5B</w:t>
            </w:r>
          </w:p>
          <w:p w:rsidR="00807B64" w:rsidRPr="00E43137" w:rsidRDefault="00807B64" w:rsidP="007B197D">
            <w:pPr>
              <w:jc w:val="left"/>
              <w:rPr>
                <w:rFonts w:ascii="Calibri" w:hAnsi="Calibri"/>
                <w:sz w:val="20"/>
                <w:szCs w:val="20"/>
              </w:rPr>
            </w:pPr>
            <w:r w:rsidRPr="00E43137">
              <w:rPr>
                <w:rFonts w:ascii="Calibri" w:hAnsi="Calibri"/>
                <w:sz w:val="20"/>
                <w:szCs w:val="20"/>
              </w:rPr>
              <w:t>Opatrenie čl. 17</w:t>
            </w:r>
          </w:p>
          <w:p w:rsidR="00807B64" w:rsidRPr="00E43137" w:rsidRDefault="00807B64" w:rsidP="007B197D">
            <w:pPr>
              <w:jc w:val="left"/>
              <w:rPr>
                <w:rFonts w:ascii="Calibri" w:hAnsi="Calibri"/>
                <w:b/>
                <w:sz w:val="20"/>
                <w:szCs w:val="20"/>
              </w:rPr>
            </w:pPr>
          </w:p>
        </w:tc>
        <w:tc>
          <w:tcPr>
            <w:tcW w:w="1134" w:type="dxa"/>
            <w:vMerge w:val="restart"/>
            <w:shd w:val="clear" w:color="auto" w:fill="auto"/>
          </w:tcPr>
          <w:p w:rsidR="00807B64" w:rsidRPr="00E43137" w:rsidRDefault="00807B64" w:rsidP="007B197D">
            <w:pPr>
              <w:jc w:val="center"/>
              <w:rPr>
                <w:rFonts w:ascii="Calibri" w:hAnsi="Calibri"/>
                <w:b/>
                <w:sz w:val="20"/>
                <w:szCs w:val="20"/>
              </w:rPr>
            </w:pPr>
          </w:p>
          <w:p w:rsidR="00807B64" w:rsidRPr="00E43137" w:rsidRDefault="00807B64" w:rsidP="007B197D">
            <w:pPr>
              <w:jc w:val="center"/>
              <w:rPr>
                <w:rFonts w:ascii="Calibri" w:hAnsi="Calibri"/>
                <w:b/>
                <w:sz w:val="20"/>
                <w:szCs w:val="20"/>
              </w:rPr>
            </w:pPr>
            <w:r w:rsidRPr="00E43137">
              <w:rPr>
                <w:rFonts w:ascii="Calibri" w:hAnsi="Calibri"/>
                <w:b/>
                <w:sz w:val="20"/>
                <w:szCs w:val="20"/>
              </w:rPr>
              <w:t>áno</w:t>
            </w:r>
          </w:p>
          <w:p w:rsidR="00807B64" w:rsidRPr="00E43137" w:rsidRDefault="00807B64" w:rsidP="007B197D">
            <w:pPr>
              <w:jc w:val="center"/>
              <w:rPr>
                <w:rFonts w:ascii="Calibri" w:hAnsi="Calibri"/>
                <w:b/>
                <w:sz w:val="20"/>
                <w:szCs w:val="20"/>
              </w:rPr>
            </w:pPr>
          </w:p>
        </w:tc>
        <w:tc>
          <w:tcPr>
            <w:tcW w:w="2409" w:type="dxa"/>
            <w:shd w:val="clear" w:color="auto" w:fill="auto"/>
          </w:tcPr>
          <w:p w:rsidR="00807B64" w:rsidRPr="00E43137" w:rsidRDefault="00807B64" w:rsidP="007B197D">
            <w:pPr>
              <w:numPr>
                <w:ilvl w:val="0"/>
                <w:numId w:val="17"/>
              </w:numPr>
              <w:spacing w:after="200"/>
              <w:ind w:left="176" w:hanging="219"/>
              <w:contextualSpacing/>
              <w:jc w:val="left"/>
              <w:rPr>
                <w:rFonts w:ascii="Calibri" w:hAnsi="Calibri"/>
                <w:sz w:val="20"/>
                <w:szCs w:val="20"/>
              </w:rPr>
            </w:pPr>
            <w:r w:rsidRPr="00E43137">
              <w:rPr>
                <w:rFonts w:ascii="Calibri" w:hAnsi="Calibri" w:cs="Arial"/>
                <w:sz w:val="20"/>
                <w:szCs w:val="20"/>
              </w:rPr>
              <w:t xml:space="preserve">opatrenia </w:t>
            </w:r>
            <w:r>
              <w:rPr>
                <w:rFonts w:ascii="Calibri" w:hAnsi="Calibri" w:cs="Arial"/>
                <w:sz w:val="20"/>
                <w:szCs w:val="20"/>
              </w:rPr>
              <w:t xml:space="preserve">na </w:t>
            </w:r>
            <w:r w:rsidRPr="00E43137">
              <w:rPr>
                <w:rFonts w:ascii="Calibri" w:hAnsi="Calibri" w:cs="Arial"/>
                <w:sz w:val="20"/>
                <w:szCs w:val="20"/>
              </w:rPr>
              <w:t>zabezpeč</w:t>
            </w:r>
            <w:r>
              <w:rPr>
                <w:rFonts w:ascii="Calibri" w:hAnsi="Calibri" w:cs="Arial"/>
                <w:sz w:val="20"/>
                <w:szCs w:val="20"/>
              </w:rPr>
              <w:t>enie</w:t>
            </w:r>
            <w:r w:rsidRPr="00E43137">
              <w:rPr>
                <w:rFonts w:ascii="Calibri" w:hAnsi="Calibri" w:cs="Arial"/>
                <w:sz w:val="20"/>
                <w:szCs w:val="20"/>
              </w:rPr>
              <w:t xml:space="preserve"> minimáln</w:t>
            </w:r>
            <w:r>
              <w:rPr>
                <w:rFonts w:ascii="Calibri" w:hAnsi="Calibri" w:cs="Arial"/>
                <w:sz w:val="20"/>
                <w:szCs w:val="20"/>
              </w:rPr>
              <w:t>ych</w:t>
            </w:r>
            <w:r w:rsidRPr="00E43137">
              <w:rPr>
                <w:rFonts w:ascii="Calibri" w:hAnsi="Calibri" w:cs="Arial"/>
                <w:sz w:val="20"/>
                <w:szCs w:val="20"/>
              </w:rPr>
              <w:t xml:space="preserve">   požiada</w:t>
            </w:r>
            <w:r>
              <w:rPr>
                <w:rFonts w:ascii="Calibri" w:hAnsi="Calibri" w:cs="Arial"/>
                <w:sz w:val="20"/>
                <w:szCs w:val="20"/>
              </w:rPr>
              <w:t>viek</w:t>
            </w:r>
            <w:r w:rsidRPr="00E43137">
              <w:rPr>
                <w:rFonts w:ascii="Calibri" w:hAnsi="Calibri" w:cs="Arial"/>
                <w:sz w:val="20"/>
                <w:szCs w:val="20"/>
              </w:rPr>
              <w:t xml:space="preserve"> súvisiac</w:t>
            </w:r>
            <w:r>
              <w:rPr>
                <w:rFonts w:ascii="Calibri" w:hAnsi="Calibri" w:cs="Arial"/>
                <w:sz w:val="20"/>
                <w:szCs w:val="20"/>
              </w:rPr>
              <w:t>ich</w:t>
            </w:r>
            <w:r w:rsidRPr="00E43137">
              <w:rPr>
                <w:rFonts w:ascii="Calibri" w:hAnsi="Calibri" w:cs="Arial"/>
                <w:sz w:val="20"/>
                <w:szCs w:val="20"/>
              </w:rPr>
              <w:t xml:space="preserve"> s energetickou    hospodárnosťou  budov  v súlade s článk</w:t>
            </w:r>
            <w:r>
              <w:rPr>
                <w:rFonts w:ascii="Calibri" w:hAnsi="Calibri" w:cs="Arial"/>
                <w:sz w:val="20"/>
                <w:szCs w:val="20"/>
              </w:rPr>
              <w:t>a</w:t>
            </w:r>
            <w:r w:rsidRPr="00E43137">
              <w:rPr>
                <w:rFonts w:ascii="Calibri" w:hAnsi="Calibri" w:cs="Arial"/>
                <w:sz w:val="20"/>
                <w:szCs w:val="20"/>
              </w:rPr>
              <w:t>m</w:t>
            </w:r>
            <w:r>
              <w:rPr>
                <w:rFonts w:ascii="Calibri" w:hAnsi="Calibri" w:cs="Arial"/>
                <w:sz w:val="20"/>
                <w:szCs w:val="20"/>
              </w:rPr>
              <w:t>i</w:t>
            </w:r>
            <w:r w:rsidRPr="00E43137">
              <w:rPr>
                <w:rFonts w:ascii="Calibri" w:hAnsi="Calibri" w:cs="Arial"/>
                <w:sz w:val="20"/>
                <w:szCs w:val="20"/>
              </w:rPr>
              <w:t xml:space="preserve"> 3, 4 a 5 smernice </w:t>
            </w:r>
            <w:r>
              <w:rPr>
                <w:rFonts w:ascii="Calibri" w:hAnsi="Calibri" w:cs="Arial"/>
                <w:sz w:val="20"/>
                <w:szCs w:val="20"/>
              </w:rPr>
              <w:t xml:space="preserve">Európskeho parlamentu a Rady </w:t>
            </w:r>
            <w:r w:rsidRPr="00E43137">
              <w:rPr>
                <w:rFonts w:ascii="Calibri" w:hAnsi="Calibri" w:cs="Arial"/>
                <w:sz w:val="20"/>
                <w:szCs w:val="20"/>
              </w:rPr>
              <w:t>2010/31/EÚ</w:t>
            </w:r>
          </w:p>
        </w:tc>
        <w:tc>
          <w:tcPr>
            <w:tcW w:w="1134" w:type="dxa"/>
            <w:shd w:val="clear" w:color="auto" w:fill="auto"/>
          </w:tcPr>
          <w:p w:rsidR="00807B64" w:rsidRPr="00E43137" w:rsidRDefault="00807B64" w:rsidP="007B197D">
            <w:pPr>
              <w:jc w:val="center"/>
              <w:rPr>
                <w:rFonts w:ascii="Calibri" w:hAnsi="Calibri"/>
                <w:b/>
                <w:sz w:val="20"/>
                <w:szCs w:val="20"/>
              </w:rPr>
            </w:pPr>
            <w:r w:rsidRPr="00E43137">
              <w:rPr>
                <w:rFonts w:ascii="Calibri" w:hAnsi="Calibri"/>
                <w:b/>
                <w:sz w:val="20"/>
                <w:szCs w:val="20"/>
              </w:rPr>
              <w:t>áno</w:t>
            </w:r>
          </w:p>
        </w:tc>
        <w:tc>
          <w:tcPr>
            <w:tcW w:w="3828" w:type="dxa"/>
            <w:vMerge w:val="restart"/>
            <w:shd w:val="clear" w:color="auto" w:fill="auto"/>
          </w:tcPr>
          <w:p w:rsidR="00807B64" w:rsidRPr="00150480" w:rsidRDefault="00807B64" w:rsidP="007B197D">
            <w:pPr>
              <w:jc w:val="left"/>
              <w:rPr>
                <w:sz w:val="20"/>
                <w:szCs w:val="20"/>
              </w:rPr>
            </w:pPr>
            <w:r w:rsidRPr="00150480">
              <w:rPr>
                <w:i/>
                <w:sz w:val="20"/>
                <w:szCs w:val="20"/>
              </w:rPr>
              <w:t>Zákon č. 555/2005 Z. z. o energetickej hospodárnosti budov v znení neskorších predpisov</w:t>
            </w:r>
          </w:p>
          <w:p w:rsidR="00807B64" w:rsidRPr="00150480" w:rsidRDefault="00954688" w:rsidP="007B197D">
            <w:pPr>
              <w:jc w:val="left"/>
              <w:rPr>
                <w:i/>
                <w:sz w:val="20"/>
                <w:szCs w:val="20"/>
              </w:rPr>
            </w:pPr>
            <w:hyperlink r:id="rId64" w:history="1">
              <w:r w:rsidR="00807B64" w:rsidRPr="00150480">
                <w:rPr>
                  <w:i/>
                  <w:color w:val="0000FF"/>
                  <w:sz w:val="20"/>
                  <w:szCs w:val="20"/>
                  <w:u w:val="single"/>
                </w:rPr>
                <w:t>http://www.telecom.gov.sk/index/index.php?ids=83478</w:t>
              </w:r>
            </w:hyperlink>
          </w:p>
          <w:p w:rsidR="00807B64" w:rsidRPr="00150480" w:rsidRDefault="00807B64" w:rsidP="007B197D">
            <w:pPr>
              <w:jc w:val="left"/>
              <w:rPr>
                <w:i/>
                <w:sz w:val="20"/>
                <w:szCs w:val="20"/>
              </w:rPr>
            </w:pPr>
          </w:p>
          <w:p w:rsidR="00807B64" w:rsidRPr="00150480" w:rsidRDefault="00807B64" w:rsidP="007B197D">
            <w:pPr>
              <w:jc w:val="left"/>
              <w:rPr>
                <w:i/>
                <w:sz w:val="20"/>
                <w:szCs w:val="20"/>
              </w:rPr>
            </w:pPr>
          </w:p>
          <w:p w:rsidR="00807B64" w:rsidRPr="00150480" w:rsidRDefault="00807B64" w:rsidP="007B197D">
            <w:pPr>
              <w:jc w:val="left"/>
              <w:rPr>
                <w:i/>
                <w:sz w:val="20"/>
                <w:szCs w:val="20"/>
              </w:rPr>
            </w:pPr>
          </w:p>
          <w:p w:rsidR="00807B64" w:rsidRPr="00150480" w:rsidRDefault="00807B64" w:rsidP="007B197D">
            <w:pPr>
              <w:jc w:val="left"/>
              <w:rPr>
                <w:i/>
                <w:sz w:val="20"/>
                <w:szCs w:val="20"/>
              </w:rPr>
            </w:pPr>
          </w:p>
          <w:p w:rsidR="00807B64" w:rsidRPr="00150480" w:rsidRDefault="00807B64" w:rsidP="007B197D">
            <w:pPr>
              <w:jc w:val="left"/>
              <w:rPr>
                <w:i/>
                <w:sz w:val="20"/>
                <w:szCs w:val="20"/>
              </w:rPr>
            </w:pPr>
            <w:r w:rsidRPr="00150480">
              <w:rPr>
                <w:i/>
                <w:sz w:val="20"/>
                <w:szCs w:val="20"/>
              </w:rPr>
              <w:t>Vyhláška MDVRR SR č. 364/2012 Z. z., ktorou sa vykonáva zákon č. 555/2005 Z. z. o energetickej hospodárnosti budov a o zmene a doplnení niektorých zákonov v znení neskorších predpisov</w:t>
            </w:r>
          </w:p>
          <w:p w:rsidR="00807B64" w:rsidRPr="00150480" w:rsidRDefault="00954688" w:rsidP="007B197D">
            <w:pPr>
              <w:jc w:val="left"/>
              <w:rPr>
                <w:i/>
                <w:sz w:val="20"/>
                <w:szCs w:val="20"/>
              </w:rPr>
            </w:pPr>
            <w:hyperlink r:id="rId65" w:history="1">
              <w:r w:rsidR="00807B64" w:rsidRPr="00150480">
                <w:rPr>
                  <w:i/>
                  <w:color w:val="0000FF"/>
                  <w:sz w:val="20"/>
                  <w:szCs w:val="20"/>
                  <w:u w:val="single"/>
                </w:rPr>
                <w:t>http://www.telecom.gov.sk/index/index.php?ids=83478</w:t>
              </w:r>
            </w:hyperlink>
          </w:p>
          <w:p w:rsidR="00807B64" w:rsidRPr="00150480" w:rsidRDefault="00807B64" w:rsidP="007B197D">
            <w:pPr>
              <w:jc w:val="left"/>
              <w:rPr>
                <w:i/>
                <w:sz w:val="20"/>
                <w:szCs w:val="20"/>
              </w:rPr>
            </w:pPr>
          </w:p>
          <w:p w:rsidR="00807B64" w:rsidRPr="00150480" w:rsidRDefault="00807B64" w:rsidP="007B197D">
            <w:pPr>
              <w:jc w:val="left"/>
              <w:rPr>
                <w:i/>
                <w:sz w:val="20"/>
                <w:szCs w:val="20"/>
              </w:rPr>
            </w:pPr>
          </w:p>
          <w:p w:rsidR="00807B64" w:rsidRPr="00150480" w:rsidRDefault="00807B64" w:rsidP="007B197D">
            <w:pPr>
              <w:jc w:val="left"/>
              <w:rPr>
                <w:i/>
                <w:sz w:val="20"/>
                <w:szCs w:val="20"/>
              </w:rPr>
            </w:pPr>
            <w:r w:rsidRPr="00150480">
              <w:rPr>
                <w:i/>
                <w:sz w:val="20"/>
                <w:szCs w:val="20"/>
              </w:rPr>
              <w:t>Národný program reforiem 2013</w:t>
            </w:r>
          </w:p>
          <w:p w:rsidR="00807B64" w:rsidRPr="00150480" w:rsidRDefault="00954688" w:rsidP="007B197D">
            <w:pPr>
              <w:jc w:val="left"/>
              <w:rPr>
                <w:sz w:val="20"/>
                <w:szCs w:val="20"/>
              </w:rPr>
            </w:pPr>
            <w:hyperlink r:id="rId66" w:history="1">
              <w:r w:rsidR="00807B64" w:rsidRPr="00150480">
                <w:rPr>
                  <w:color w:val="0000FF"/>
                  <w:sz w:val="20"/>
                  <w:szCs w:val="20"/>
                  <w:u w:val="single"/>
                </w:rPr>
                <w:t>http://www.rokovania.sk/Rokovanie.aspx/BodRokovaniaDetail?idMaterial=22344</w:t>
              </w:r>
            </w:hyperlink>
            <w:r w:rsidR="00807B64" w:rsidRPr="00150480">
              <w:rPr>
                <w:sz w:val="20"/>
                <w:szCs w:val="20"/>
              </w:rPr>
              <w:t xml:space="preserve"> </w:t>
            </w:r>
          </w:p>
          <w:p w:rsidR="00807B64" w:rsidRPr="00150480" w:rsidRDefault="00807B64" w:rsidP="007B197D">
            <w:pPr>
              <w:jc w:val="left"/>
              <w:rPr>
                <w:sz w:val="20"/>
                <w:szCs w:val="20"/>
              </w:rPr>
            </w:pPr>
            <w:r w:rsidRPr="00150480">
              <w:rPr>
                <w:sz w:val="20"/>
                <w:szCs w:val="20"/>
              </w:rPr>
              <w:t>Schválený vládou SR dňa 24.4.2013.</w:t>
            </w:r>
          </w:p>
          <w:p w:rsidR="00807B64" w:rsidRPr="00150480" w:rsidRDefault="00807B64" w:rsidP="007B197D">
            <w:pPr>
              <w:jc w:val="left"/>
              <w:rPr>
                <w:i/>
                <w:sz w:val="20"/>
                <w:szCs w:val="20"/>
              </w:rPr>
            </w:pPr>
          </w:p>
          <w:p w:rsidR="00807B64" w:rsidRPr="00150480" w:rsidRDefault="00807B64" w:rsidP="007B197D">
            <w:pPr>
              <w:jc w:val="left"/>
              <w:rPr>
                <w:i/>
                <w:sz w:val="20"/>
                <w:szCs w:val="20"/>
              </w:rPr>
            </w:pPr>
          </w:p>
          <w:p w:rsidR="00807B64" w:rsidRPr="00150480" w:rsidRDefault="00807B64" w:rsidP="007B197D">
            <w:pPr>
              <w:jc w:val="left"/>
              <w:rPr>
                <w:i/>
                <w:sz w:val="20"/>
                <w:szCs w:val="20"/>
              </w:rPr>
            </w:pPr>
            <w:r w:rsidRPr="00150480">
              <w:rPr>
                <w:i/>
                <w:sz w:val="20"/>
                <w:szCs w:val="20"/>
              </w:rPr>
              <w:t>Štúdia Technické a ekonomické aspekty nákladovo optimálnych opatrení zabezpečenia energetickej hospodárnosti budov</w:t>
            </w:r>
          </w:p>
          <w:p w:rsidR="00807B64" w:rsidRPr="00E43137" w:rsidRDefault="00807B64" w:rsidP="007B197D">
            <w:pPr>
              <w:jc w:val="left"/>
              <w:rPr>
                <w:rFonts w:ascii="Calibri" w:hAnsi="Calibri"/>
                <w:color w:val="0000FF"/>
                <w:sz w:val="20"/>
                <w:szCs w:val="20"/>
                <w:u w:val="single"/>
              </w:rPr>
            </w:pPr>
            <w:r w:rsidRPr="00150480">
              <w:rPr>
                <w:sz w:val="20"/>
                <w:szCs w:val="20"/>
              </w:rPr>
              <w:t>Štúdia bola notifikovaná Úradom vlády SR listom č. 08307/2013/B610-SV-28312.</w:t>
            </w:r>
          </w:p>
          <w:p w:rsidR="00807B64" w:rsidRPr="00E43137" w:rsidRDefault="00807B64" w:rsidP="007B197D">
            <w:pPr>
              <w:jc w:val="left"/>
              <w:rPr>
                <w:rFonts w:ascii="Calibri" w:hAnsi="Calibri" w:cs="Arial"/>
                <w:sz w:val="20"/>
                <w:szCs w:val="20"/>
              </w:rPr>
            </w:pPr>
          </w:p>
          <w:p w:rsidR="00807B64" w:rsidRPr="00E43137" w:rsidRDefault="00807B64" w:rsidP="007B197D">
            <w:pPr>
              <w:autoSpaceDE w:val="0"/>
              <w:autoSpaceDN w:val="0"/>
              <w:jc w:val="left"/>
              <w:rPr>
                <w:rFonts w:ascii="Calibri" w:hAnsi="Calibri"/>
                <w:color w:val="0000FF"/>
                <w:sz w:val="20"/>
                <w:szCs w:val="20"/>
                <w:u w:val="single"/>
              </w:rPr>
            </w:pPr>
          </w:p>
        </w:tc>
        <w:tc>
          <w:tcPr>
            <w:tcW w:w="3921" w:type="dxa"/>
            <w:vMerge w:val="restart"/>
            <w:shd w:val="clear" w:color="auto" w:fill="auto"/>
          </w:tcPr>
          <w:p w:rsidR="00807B64" w:rsidRDefault="00807B64" w:rsidP="007B197D">
            <w:pPr>
              <w:ind w:left="-35"/>
              <w:jc w:val="left"/>
              <w:rPr>
                <w:rFonts w:ascii="Calibri" w:hAnsi="Calibri"/>
                <w:sz w:val="20"/>
                <w:szCs w:val="20"/>
              </w:rPr>
            </w:pPr>
            <w:r w:rsidRPr="00E43137">
              <w:rPr>
                <w:rFonts w:ascii="Calibri" w:hAnsi="Calibri"/>
                <w:sz w:val="20"/>
                <w:szCs w:val="20"/>
              </w:rPr>
              <w:t>Ex ante kondicionalita č. 4.1 v zmysle nariadenia (EÚ) 1303/2013.</w:t>
            </w:r>
          </w:p>
          <w:p w:rsidR="00807B64" w:rsidRPr="00741D27" w:rsidRDefault="00807B64" w:rsidP="007B197D">
            <w:pPr>
              <w:jc w:val="left"/>
              <w:rPr>
                <w:rFonts w:ascii="Calibri" w:hAnsi="Calibri"/>
                <w:sz w:val="20"/>
                <w:szCs w:val="20"/>
              </w:rPr>
            </w:pPr>
            <w:r w:rsidRPr="00741D27">
              <w:rPr>
                <w:rFonts w:ascii="Calibri" w:hAnsi="Calibri"/>
                <w:sz w:val="20"/>
                <w:szCs w:val="20"/>
              </w:rPr>
              <w:t>Zákon sa vzťahuje na všetky významne obnovované budovy, ak je to technicky, funkčne a ekonomicky uskutočniteľné, minimálne požiadavky na energetickú hospodárnosť nových budov musí spĺňať aj existujúca budova po uskutočnení jej významnej obnovy.</w:t>
            </w:r>
          </w:p>
          <w:p w:rsidR="00807B64" w:rsidRPr="00741D27" w:rsidRDefault="00807B64" w:rsidP="007B197D">
            <w:pPr>
              <w:jc w:val="left"/>
              <w:rPr>
                <w:rFonts w:ascii="Calibri" w:hAnsi="Calibri"/>
                <w:sz w:val="20"/>
                <w:szCs w:val="20"/>
              </w:rPr>
            </w:pPr>
          </w:p>
          <w:p w:rsidR="00807B64" w:rsidRPr="00741D27" w:rsidRDefault="00807B64" w:rsidP="007B197D">
            <w:pPr>
              <w:jc w:val="left"/>
              <w:rPr>
                <w:rFonts w:ascii="Calibri" w:hAnsi="Calibri"/>
                <w:sz w:val="20"/>
                <w:szCs w:val="20"/>
              </w:rPr>
            </w:pPr>
            <w:r w:rsidRPr="00741D27">
              <w:rPr>
                <w:rFonts w:ascii="Calibri" w:hAnsi="Calibri"/>
                <w:sz w:val="20"/>
                <w:szCs w:val="20"/>
              </w:rPr>
              <w:t>Tepelnotechnické požiadavky na EHB a prvky budov vymedzuje norma STN 73 0540-2: 2012 (júl 2012). Návrh zmeny tepelnej ochrany má byť v takej kvalite, aby sa preukázal predpoklad splnenia minimálnej požiadavky na energetickú hospodárnosť budov podľa podmienok vyplývajúcich z vyhlášky MDVRR SR č. 364/2012 Z. z.</w:t>
            </w:r>
          </w:p>
          <w:p w:rsidR="00807B64" w:rsidRPr="00741D27" w:rsidRDefault="00807B64" w:rsidP="007B197D">
            <w:pPr>
              <w:jc w:val="left"/>
              <w:rPr>
                <w:rFonts w:ascii="Calibri" w:hAnsi="Calibri"/>
                <w:sz w:val="20"/>
                <w:szCs w:val="20"/>
              </w:rPr>
            </w:pPr>
            <w:r w:rsidRPr="00741D27">
              <w:rPr>
                <w:rFonts w:ascii="Calibri" w:hAnsi="Calibri"/>
                <w:sz w:val="20"/>
                <w:szCs w:val="20"/>
              </w:rPr>
              <w:t>V uvedenej norme STN sú stanovené požiadavky platné od 1. 1. 2013 v úrovni nízkoenergetickej výstavby. Uvedené odporúčané požiadavky budú platné pre uskutočňovanie novej výstavby od 1. 1. 2016 a cieľové odporúčané požiadavky budú platné pre uskutočňovanie novej výstavby od 1.1.2021 a pre verejné budovy od 1. 1. 2019.</w:t>
            </w:r>
          </w:p>
          <w:p w:rsidR="00807B64" w:rsidRPr="00741D27" w:rsidRDefault="00807B64" w:rsidP="007B197D">
            <w:pPr>
              <w:jc w:val="left"/>
              <w:rPr>
                <w:rFonts w:ascii="Calibri" w:hAnsi="Calibri"/>
                <w:sz w:val="20"/>
                <w:szCs w:val="20"/>
              </w:rPr>
            </w:pPr>
          </w:p>
          <w:p w:rsidR="00807B64" w:rsidRPr="00741D27" w:rsidRDefault="00807B64" w:rsidP="007B197D">
            <w:pPr>
              <w:jc w:val="left"/>
              <w:rPr>
                <w:rFonts w:ascii="Calibri" w:hAnsi="Calibri"/>
                <w:sz w:val="20"/>
                <w:szCs w:val="20"/>
              </w:rPr>
            </w:pPr>
            <w:r w:rsidRPr="00741D27">
              <w:rPr>
                <w:rFonts w:ascii="Calibri" w:hAnsi="Calibri"/>
                <w:i/>
                <w:sz w:val="20"/>
                <w:szCs w:val="20"/>
              </w:rPr>
              <w:t>NPR 2013</w:t>
            </w:r>
            <w:r w:rsidRPr="00741D27">
              <w:rPr>
                <w:rFonts w:ascii="Calibri" w:hAnsi="Calibri"/>
                <w:sz w:val="20"/>
                <w:szCs w:val="20"/>
              </w:rPr>
              <w:t xml:space="preserve"> stanovil národný indikatívny cieľ energetickej efektívnosti, ktorý bol v súlade s požiadavkami čl. 3 smernice 2012/27/EU. Hodnoty cieľa sú uvedené NPR 2013 v</w:t>
            </w:r>
            <w:r w:rsidRPr="00741D27">
              <w:rPr>
                <w:rFonts w:ascii="Calibri" w:hAnsi="Calibri"/>
                <w:sz w:val="20"/>
                <w:szCs w:val="20"/>
              </w:rPr>
              <w:lastRenderedPageBreak/>
              <w:t xml:space="preserve"> tabuľke v kapitole 2.2 vlastného materiálu. Vzhľadom na to, že tieto ciele sú len indikatívne a ešte neboli k dispozícii údaje za rok 2012, je nemožné stanoviť pevnú referenčnú hodnotu. Pri stanovení cieľa boli zohľadnené vnútroštátne okolnosti ovplyvňujúce primárnu energetickú spotrebu.</w:t>
            </w:r>
          </w:p>
          <w:p w:rsidR="00807B64" w:rsidRPr="00741D27" w:rsidRDefault="00807B64" w:rsidP="007B197D">
            <w:pPr>
              <w:jc w:val="left"/>
              <w:rPr>
                <w:rFonts w:ascii="Calibri" w:hAnsi="Calibri"/>
                <w:sz w:val="20"/>
                <w:szCs w:val="20"/>
              </w:rPr>
            </w:pPr>
          </w:p>
          <w:p w:rsidR="00807B64" w:rsidRPr="00E43137" w:rsidRDefault="00807B64" w:rsidP="007B197D">
            <w:pPr>
              <w:ind w:left="-35"/>
              <w:jc w:val="left"/>
              <w:rPr>
                <w:rFonts w:ascii="Calibri" w:hAnsi="Calibri"/>
                <w:sz w:val="20"/>
                <w:szCs w:val="20"/>
              </w:rPr>
            </w:pPr>
            <w:r w:rsidRPr="00741D27">
              <w:rPr>
                <w:rFonts w:ascii="Calibri" w:hAnsi="Calibri"/>
                <w:sz w:val="20"/>
                <w:szCs w:val="20"/>
              </w:rPr>
              <w:t>V súčasnosti platné minimálne požiadavky boli porovnané s vypočítanými nákladovo optimálnymi úrovňami minimálnych požiadaviek v zmysle smernice 2010/31/EÚ. Všetky vstupné údaje a predpoklady použité pri výpočte, výsledky výpočtov, údaje o referenčných budovách pre rozličné kategórie budov s rozlíšením medzi novými a existujúcimi budovami určenými na zásadnú renováciu boli spracované v súlade s požiadavkami príloh k Delegovanému nariadeniu EK č. 244/2012, ktorým sa dopĺňa smernica Európskeho parlamentu a Rady 2010/31/EÚ o energetickej hospodárnosti budov vytvorením rámca porovnávacej metodiky na výpočet nákladovo optimálnych úrovní minimálnych požiadaviek na energetickú hospodárnosť budov a prvkov budov</w:t>
            </w:r>
            <w:r w:rsidRPr="004E2D6C">
              <w:rPr>
                <w:rFonts w:ascii="Calibri" w:hAnsi="Calibri"/>
                <w:sz w:val="16"/>
                <w:szCs w:val="16"/>
              </w:rPr>
              <w:t>.</w:t>
            </w:r>
          </w:p>
        </w:tc>
      </w:tr>
      <w:tr w:rsidR="00807B64" w:rsidRPr="00E43137" w:rsidTr="00807B64">
        <w:trPr>
          <w:trHeight w:val="1320"/>
        </w:trPr>
        <w:tc>
          <w:tcPr>
            <w:tcW w:w="1961" w:type="dxa"/>
            <w:vMerge/>
            <w:shd w:val="clear" w:color="auto" w:fill="auto"/>
          </w:tcPr>
          <w:p w:rsidR="00807B64" w:rsidRPr="00E43137" w:rsidRDefault="00807B64" w:rsidP="007B197D">
            <w:pPr>
              <w:jc w:val="left"/>
              <w:rPr>
                <w:rFonts w:ascii="Calibri" w:hAnsi="Calibri"/>
                <w:b/>
                <w:sz w:val="20"/>
                <w:szCs w:val="20"/>
              </w:rPr>
            </w:pPr>
          </w:p>
        </w:tc>
        <w:tc>
          <w:tcPr>
            <w:tcW w:w="1843" w:type="dxa"/>
            <w:vMerge/>
            <w:shd w:val="clear" w:color="auto" w:fill="auto"/>
          </w:tcPr>
          <w:p w:rsidR="00807B64" w:rsidRPr="00E43137" w:rsidRDefault="00807B64" w:rsidP="007B197D">
            <w:pPr>
              <w:jc w:val="left"/>
              <w:rPr>
                <w:rFonts w:ascii="Calibri" w:hAnsi="Calibri"/>
                <w:b/>
                <w:sz w:val="20"/>
                <w:szCs w:val="20"/>
              </w:rPr>
            </w:pPr>
          </w:p>
        </w:tc>
        <w:tc>
          <w:tcPr>
            <w:tcW w:w="1134" w:type="dxa"/>
            <w:vMerge/>
            <w:shd w:val="clear" w:color="auto" w:fill="auto"/>
          </w:tcPr>
          <w:p w:rsidR="00807B64" w:rsidRPr="00E43137" w:rsidRDefault="00807B64" w:rsidP="007B197D">
            <w:pPr>
              <w:jc w:val="center"/>
              <w:rPr>
                <w:rFonts w:ascii="Calibri" w:hAnsi="Calibri"/>
                <w:b/>
                <w:sz w:val="20"/>
                <w:szCs w:val="20"/>
              </w:rPr>
            </w:pPr>
          </w:p>
        </w:tc>
        <w:tc>
          <w:tcPr>
            <w:tcW w:w="2409" w:type="dxa"/>
            <w:shd w:val="clear" w:color="auto" w:fill="auto"/>
          </w:tcPr>
          <w:p w:rsidR="00807B64" w:rsidRPr="00E43137" w:rsidRDefault="00807B64" w:rsidP="007B197D">
            <w:pPr>
              <w:numPr>
                <w:ilvl w:val="0"/>
                <w:numId w:val="17"/>
              </w:numPr>
              <w:ind w:left="176" w:hanging="221"/>
              <w:contextualSpacing/>
              <w:jc w:val="left"/>
              <w:rPr>
                <w:rFonts w:ascii="Calibri" w:hAnsi="Calibri" w:cs="Arial"/>
                <w:sz w:val="20"/>
                <w:szCs w:val="20"/>
              </w:rPr>
            </w:pPr>
            <w:r w:rsidRPr="00E43137">
              <w:rPr>
                <w:rFonts w:ascii="Calibri" w:hAnsi="Calibri" w:cs="Arial"/>
                <w:sz w:val="20"/>
                <w:szCs w:val="20"/>
              </w:rPr>
              <w:t>opatrenia potrebné na zavedenie systému certifikácie energetickej hospodárnosti budov v súlade s článkom 11 smernice 2010/31/EÚ</w:t>
            </w:r>
          </w:p>
        </w:tc>
        <w:tc>
          <w:tcPr>
            <w:tcW w:w="1134" w:type="dxa"/>
            <w:shd w:val="clear" w:color="auto" w:fill="auto"/>
          </w:tcPr>
          <w:p w:rsidR="00807B64" w:rsidRPr="00E43137" w:rsidRDefault="00807B64" w:rsidP="007B197D">
            <w:pPr>
              <w:jc w:val="center"/>
              <w:rPr>
                <w:rFonts w:ascii="Calibri" w:hAnsi="Calibri"/>
                <w:b/>
                <w:sz w:val="20"/>
                <w:szCs w:val="20"/>
              </w:rPr>
            </w:pPr>
            <w:r w:rsidRPr="00E43137">
              <w:rPr>
                <w:rFonts w:ascii="Calibri" w:hAnsi="Calibri"/>
                <w:b/>
                <w:sz w:val="20"/>
                <w:szCs w:val="20"/>
              </w:rPr>
              <w:t>áno</w:t>
            </w:r>
          </w:p>
        </w:tc>
        <w:tc>
          <w:tcPr>
            <w:tcW w:w="3828" w:type="dxa"/>
            <w:vMerge/>
            <w:shd w:val="clear" w:color="auto" w:fill="auto"/>
          </w:tcPr>
          <w:p w:rsidR="00807B64" w:rsidRPr="00E43137" w:rsidRDefault="00807B64" w:rsidP="007B197D">
            <w:pPr>
              <w:autoSpaceDE w:val="0"/>
              <w:autoSpaceDN w:val="0"/>
              <w:jc w:val="left"/>
              <w:rPr>
                <w:rFonts w:ascii="Calibri" w:hAnsi="Calibri" w:cs="Arial"/>
                <w:sz w:val="20"/>
                <w:szCs w:val="20"/>
              </w:rPr>
            </w:pPr>
          </w:p>
        </w:tc>
        <w:tc>
          <w:tcPr>
            <w:tcW w:w="3921" w:type="dxa"/>
            <w:vMerge/>
            <w:shd w:val="clear" w:color="auto" w:fill="auto"/>
          </w:tcPr>
          <w:p w:rsidR="00807B64" w:rsidRPr="00E43137" w:rsidRDefault="00807B64" w:rsidP="007B197D">
            <w:pPr>
              <w:ind w:left="-35"/>
              <w:jc w:val="left"/>
              <w:rPr>
                <w:rFonts w:ascii="Calibri" w:hAnsi="Calibri"/>
                <w:sz w:val="20"/>
                <w:szCs w:val="20"/>
              </w:rPr>
            </w:pPr>
          </w:p>
        </w:tc>
      </w:tr>
      <w:tr w:rsidR="00807B64" w:rsidRPr="00E43137" w:rsidTr="00807B64">
        <w:trPr>
          <w:trHeight w:val="703"/>
        </w:trPr>
        <w:tc>
          <w:tcPr>
            <w:tcW w:w="1961" w:type="dxa"/>
            <w:vMerge/>
            <w:shd w:val="clear" w:color="auto" w:fill="auto"/>
          </w:tcPr>
          <w:p w:rsidR="00807B64" w:rsidRPr="00E43137" w:rsidRDefault="00807B64" w:rsidP="007B197D">
            <w:pPr>
              <w:jc w:val="left"/>
              <w:rPr>
                <w:rFonts w:ascii="Calibri" w:hAnsi="Calibri"/>
                <w:b/>
                <w:sz w:val="20"/>
                <w:szCs w:val="20"/>
              </w:rPr>
            </w:pPr>
          </w:p>
        </w:tc>
        <w:tc>
          <w:tcPr>
            <w:tcW w:w="1843" w:type="dxa"/>
            <w:vMerge/>
            <w:shd w:val="clear" w:color="auto" w:fill="auto"/>
          </w:tcPr>
          <w:p w:rsidR="00807B64" w:rsidRPr="00E43137" w:rsidRDefault="00807B64" w:rsidP="007B197D">
            <w:pPr>
              <w:jc w:val="left"/>
              <w:rPr>
                <w:rFonts w:ascii="Calibri" w:hAnsi="Calibri"/>
                <w:b/>
                <w:sz w:val="20"/>
                <w:szCs w:val="20"/>
              </w:rPr>
            </w:pPr>
          </w:p>
        </w:tc>
        <w:tc>
          <w:tcPr>
            <w:tcW w:w="1134" w:type="dxa"/>
            <w:vMerge/>
            <w:shd w:val="clear" w:color="auto" w:fill="auto"/>
          </w:tcPr>
          <w:p w:rsidR="00807B64" w:rsidRPr="00E43137" w:rsidRDefault="00807B64" w:rsidP="007B197D">
            <w:pPr>
              <w:jc w:val="center"/>
              <w:rPr>
                <w:rFonts w:ascii="Calibri" w:hAnsi="Calibri"/>
                <w:b/>
                <w:sz w:val="20"/>
                <w:szCs w:val="20"/>
              </w:rPr>
            </w:pPr>
          </w:p>
        </w:tc>
        <w:tc>
          <w:tcPr>
            <w:tcW w:w="2409" w:type="dxa"/>
            <w:shd w:val="clear" w:color="auto" w:fill="auto"/>
          </w:tcPr>
          <w:p w:rsidR="00807B64" w:rsidRPr="00E43137" w:rsidRDefault="00807B64" w:rsidP="004157C2">
            <w:pPr>
              <w:numPr>
                <w:ilvl w:val="0"/>
                <w:numId w:val="17"/>
              </w:numPr>
              <w:ind w:left="176" w:hanging="221"/>
              <w:contextualSpacing/>
              <w:jc w:val="left"/>
              <w:rPr>
                <w:rFonts w:ascii="Calibri" w:hAnsi="Calibri" w:cs="Arial"/>
                <w:sz w:val="20"/>
                <w:szCs w:val="20"/>
              </w:rPr>
            </w:pPr>
            <w:r>
              <w:rPr>
                <w:rFonts w:ascii="Calibri" w:hAnsi="Calibri" w:cs="Arial"/>
                <w:sz w:val="20"/>
                <w:szCs w:val="20"/>
              </w:rPr>
              <w:t xml:space="preserve">opatrenia na zabezpečenie strategického plánovania energetickej efektívnosti v súlade s článkom 3 smernice </w:t>
            </w:r>
            <w:r w:rsidR="004157C2">
              <w:rPr>
                <w:rFonts w:ascii="Calibri" w:hAnsi="Calibri" w:cs="Arial"/>
                <w:sz w:val="20"/>
                <w:szCs w:val="20"/>
              </w:rPr>
              <w:t>EP</w:t>
            </w:r>
            <w:r>
              <w:rPr>
                <w:rFonts w:ascii="Calibri" w:hAnsi="Calibri" w:cs="Arial"/>
                <w:sz w:val="20"/>
                <w:szCs w:val="20"/>
              </w:rPr>
              <w:t xml:space="preserve"> a Rady 2012/27/EÚ</w:t>
            </w:r>
          </w:p>
        </w:tc>
        <w:tc>
          <w:tcPr>
            <w:tcW w:w="1134" w:type="dxa"/>
            <w:shd w:val="clear" w:color="auto" w:fill="auto"/>
          </w:tcPr>
          <w:p w:rsidR="00807B64" w:rsidRPr="00E43137" w:rsidRDefault="00807B64" w:rsidP="007B197D">
            <w:pPr>
              <w:jc w:val="center"/>
              <w:rPr>
                <w:rFonts w:ascii="Calibri" w:hAnsi="Calibri"/>
                <w:b/>
                <w:sz w:val="20"/>
                <w:szCs w:val="20"/>
              </w:rPr>
            </w:pPr>
            <w:r>
              <w:rPr>
                <w:rFonts w:ascii="Calibri" w:hAnsi="Calibri"/>
                <w:b/>
                <w:sz w:val="20"/>
                <w:szCs w:val="20"/>
              </w:rPr>
              <w:t>áno</w:t>
            </w:r>
          </w:p>
        </w:tc>
        <w:tc>
          <w:tcPr>
            <w:tcW w:w="3828" w:type="dxa"/>
            <w:vMerge/>
            <w:shd w:val="clear" w:color="auto" w:fill="auto"/>
          </w:tcPr>
          <w:p w:rsidR="00807B64" w:rsidRPr="00E43137" w:rsidRDefault="00807B64" w:rsidP="007B197D">
            <w:pPr>
              <w:autoSpaceDE w:val="0"/>
              <w:autoSpaceDN w:val="0"/>
              <w:jc w:val="left"/>
              <w:rPr>
                <w:rFonts w:ascii="Calibri" w:hAnsi="Calibri"/>
                <w:sz w:val="20"/>
                <w:szCs w:val="20"/>
              </w:rPr>
            </w:pPr>
          </w:p>
        </w:tc>
        <w:tc>
          <w:tcPr>
            <w:tcW w:w="3921" w:type="dxa"/>
            <w:vMerge/>
            <w:shd w:val="clear" w:color="auto" w:fill="auto"/>
          </w:tcPr>
          <w:p w:rsidR="00807B64" w:rsidRPr="00E43137" w:rsidRDefault="00807B64" w:rsidP="007B197D">
            <w:pPr>
              <w:ind w:left="-35"/>
              <w:jc w:val="left"/>
              <w:rPr>
                <w:rFonts w:ascii="Calibri" w:hAnsi="Calibri"/>
                <w:sz w:val="20"/>
                <w:szCs w:val="20"/>
              </w:rPr>
            </w:pPr>
          </w:p>
        </w:tc>
      </w:tr>
      <w:tr w:rsidR="00807B64" w:rsidRPr="00E43137" w:rsidTr="00807B64">
        <w:trPr>
          <w:trHeight w:val="703"/>
        </w:trPr>
        <w:tc>
          <w:tcPr>
            <w:tcW w:w="1961" w:type="dxa"/>
            <w:vMerge/>
            <w:shd w:val="clear" w:color="auto" w:fill="auto"/>
          </w:tcPr>
          <w:p w:rsidR="00807B64" w:rsidRPr="00E43137" w:rsidRDefault="00807B64" w:rsidP="007B197D">
            <w:pPr>
              <w:jc w:val="left"/>
              <w:rPr>
                <w:rFonts w:ascii="Calibri" w:hAnsi="Calibri"/>
                <w:b/>
                <w:sz w:val="20"/>
                <w:szCs w:val="20"/>
              </w:rPr>
            </w:pPr>
          </w:p>
        </w:tc>
        <w:tc>
          <w:tcPr>
            <w:tcW w:w="1843" w:type="dxa"/>
            <w:vMerge/>
            <w:shd w:val="clear" w:color="auto" w:fill="auto"/>
          </w:tcPr>
          <w:p w:rsidR="00807B64" w:rsidRPr="00E43137" w:rsidRDefault="00807B64" w:rsidP="007B197D">
            <w:pPr>
              <w:jc w:val="left"/>
              <w:rPr>
                <w:rFonts w:ascii="Calibri" w:hAnsi="Calibri"/>
                <w:b/>
                <w:sz w:val="20"/>
                <w:szCs w:val="20"/>
              </w:rPr>
            </w:pPr>
          </w:p>
        </w:tc>
        <w:tc>
          <w:tcPr>
            <w:tcW w:w="1134" w:type="dxa"/>
            <w:vMerge/>
            <w:shd w:val="clear" w:color="auto" w:fill="auto"/>
          </w:tcPr>
          <w:p w:rsidR="00807B64" w:rsidRPr="00E43137" w:rsidRDefault="00807B64" w:rsidP="007B197D">
            <w:pPr>
              <w:jc w:val="center"/>
              <w:rPr>
                <w:rFonts w:ascii="Calibri" w:hAnsi="Calibri"/>
                <w:b/>
                <w:sz w:val="20"/>
                <w:szCs w:val="20"/>
              </w:rPr>
            </w:pPr>
          </w:p>
        </w:tc>
        <w:tc>
          <w:tcPr>
            <w:tcW w:w="2409" w:type="dxa"/>
            <w:shd w:val="clear" w:color="auto" w:fill="auto"/>
          </w:tcPr>
          <w:p w:rsidR="00807B64" w:rsidRPr="00E43137" w:rsidRDefault="00807B64" w:rsidP="007B197D">
            <w:pPr>
              <w:numPr>
                <w:ilvl w:val="0"/>
                <w:numId w:val="17"/>
              </w:numPr>
              <w:ind w:left="176" w:hanging="221"/>
              <w:contextualSpacing/>
              <w:jc w:val="left"/>
              <w:rPr>
                <w:rFonts w:ascii="Calibri" w:hAnsi="Calibri" w:cs="Arial"/>
                <w:sz w:val="20"/>
                <w:szCs w:val="20"/>
              </w:rPr>
            </w:pPr>
            <w:r w:rsidRPr="00E43137">
              <w:rPr>
                <w:rFonts w:ascii="Calibri" w:hAnsi="Calibri" w:cs="Arial"/>
                <w:sz w:val="20"/>
                <w:szCs w:val="20"/>
              </w:rPr>
              <w:t>opatrenia v súlade s článkom 13 smernice 2006/32/ES o energetickej efektívnosti  pri konečnom využití energie a energetických službách, aby sa konečným zákazníkom</w:t>
            </w:r>
            <w:r w:rsidRPr="00E43137">
              <w:rPr>
                <w:rFonts w:ascii="Calibri" w:hAnsi="Calibri" w:cs="Arial"/>
                <w:sz w:val="20"/>
                <w:szCs w:val="20"/>
              </w:rPr>
              <w:lastRenderedPageBreak/>
              <w:t xml:space="preserve"> zabezpečilo poskytovanie samostatných meračov, ak je to technicky možné, finančne rozumné a primerané vzhľadom na možné úspory energie.</w:t>
            </w:r>
          </w:p>
        </w:tc>
        <w:tc>
          <w:tcPr>
            <w:tcW w:w="1134" w:type="dxa"/>
            <w:shd w:val="clear" w:color="auto" w:fill="auto"/>
          </w:tcPr>
          <w:p w:rsidR="00807B64" w:rsidRPr="00E43137" w:rsidRDefault="00807B64" w:rsidP="007B197D">
            <w:pPr>
              <w:jc w:val="center"/>
              <w:rPr>
                <w:rFonts w:ascii="Calibri" w:hAnsi="Calibri"/>
                <w:b/>
                <w:sz w:val="20"/>
                <w:szCs w:val="20"/>
              </w:rPr>
            </w:pPr>
            <w:r w:rsidRPr="00E43137">
              <w:rPr>
                <w:rFonts w:ascii="Calibri" w:hAnsi="Calibri"/>
                <w:b/>
                <w:sz w:val="20"/>
                <w:szCs w:val="20"/>
              </w:rPr>
              <w:t>áno</w:t>
            </w:r>
          </w:p>
        </w:tc>
        <w:tc>
          <w:tcPr>
            <w:tcW w:w="3828" w:type="dxa"/>
            <w:vMerge/>
            <w:shd w:val="clear" w:color="auto" w:fill="auto"/>
          </w:tcPr>
          <w:p w:rsidR="00807B64" w:rsidRPr="00E43137" w:rsidRDefault="00807B64" w:rsidP="007B197D">
            <w:pPr>
              <w:autoSpaceDE w:val="0"/>
              <w:autoSpaceDN w:val="0"/>
              <w:jc w:val="left"/>
              <w:rPr>
                <w:rFonts w:ascii="Calibri" w:hAnsi="Calibri"/>
                <w:sz w:val="20"/>
                <w:szCs w:val="20"/>
              </w:rPr>
            </w:pPr>
          </w:p>
        </w:tc>
        <w:tc>
          <w:tcPr>
            <w:tcW w:w="3921" w:type="dxa"/>
            <w:vMerge/>
            <w:shd w:val="clear" w:color="auto" w:fill="auto"/>
          </w:tcPr>
          <w:p w:rsidR="00807B64" w:rsidRPr="00E43137" w:rsidRDefault="00807B64" w:rsidP="007B197D">
            <w:pPr>
              <w:ind w:left="-35"/>
              <w:jc w:val="left"/>
              <w:rPr>
                <w:rFonts w:ascii="Calibri" w:hAnsi="Calibri"/>
                <w:sz w:val="20"/>
                <w:szCs w:val="20"/>
              </w:rPr>
            </w:pPr>
          </w:p>
        </w:tc>
      </w:tr>
      <w:tr w:rsidR="00807B64" w:rsidRPr="00E43137" w:rsidTr="00807B64">
        <w:trPr>
          <w:trHeight w:val="1591"/>
        </w:trPr>
        <w:tc>
          <w:tcPr>
            <w:tcW w:w="1961" w:type="dxa"/>
            <w:shd w:val="clear" w:color="auto" w:fill="auto"/>
          </w:tcPr>
          <w:p w:rsidR="00807B64" w:rsidRPr="00E43137" w:rsidRDefault="00807B64" w:rsidP="007B197D">
            <w:pPr>
              <w:jc w:val="left"/>
              <w:rPr>
                <w:rFonts w:ascii="Calibri" w:hAnsi="Calibri"/>
                <w:sz w:val="20"/>
                <w:szCs w:val="20"/>
              </w:rPr>
            </w:pPr>
            <w:r w:rsidRPr="00E43137">
              <w:rPr>
                <w:rFonts w:ascii="Calibri" w:hAnsi="Calibri"/>
                <w:b/>
                <w:sz w:val="20"/>
                <w:szCs w:val="20"/>
              </w:rPr>
              <w:t>5.3</w:t>
            </w:r>
            <w:r w:rsidRPr="00E43137">
              <w:rPr>
                <w:rFonts w:ascii="Calibri" w:hAnsi="Calibri"/>
                <w:sz w:val="20"/>
                <w:szCs w:val="20"/>
              </w:rPr>
              <w:t xml:space="preserve">  Odvetvie vody: existencia </w:t>
            </w:r>
          </w:p>
          <w:p w:rsidR="00807B64" w:rsidRPr="00E43137" w:rsidRDefault="00807B64" w:rsidP="007B197D">
            <w:pPr>
              <w:numPr>
                <w:ilvl w:val="0"/>
                <w:numId w:val="21"/>
              </w:numPr>
              <w:spacing w:after="120"/>
              <w:ind w:left="295" w:hanging="284"/>
              <w:jc w:val="left"/>
              <w:rPr>
                <w:rFonts w:ascii="Calibri" w:hAnsi="Calibri"/>
                <w:sz w:val="20"/>
                <w:szCs w:val="20"/>
              </w:rPr>
            </w:pPr>
            <w:r w:rsidRPr="00E43137">
              <w:rPr>
                <w:rFonts w:ascii="Calibri" w:hAnsi="Calibri"/>
                <w:sz w:val="20"/>
                <w:szCs w:val="20"/>
              </w:rPr>
              <w:t xml:space="preserve">cenovej politiky v oblasti vôd, ktorá </w:t>
            </w:r>
            <w:r>
              <w:rPr>
                <w:rFonts w:ascii="Calibri" w:hAnsi="Calibri"/>
                <w:sz w:val="20"/>
                <w:szCs w:val="20"/>
              </w:rPr>
              <w:t xml:space="preserve">poskytuje </w:t>
            </w:r>
            <w:r w:rsidRPr="00E43137">
              <w:rPr>
                <w:rFonts w:ascii="Calibri" w:hAnsi="Calibri"/>
                <w:sz w:val="20"/>
                <w:szCs w:val="20"/>
              </w:rPr>
              <w:t xml:space="preserve"> primerané stimuly pre používateľov na efektívne využívanie vody</w:t>
            </w:r>
          </w:p>
          <w:p w:rsidR="00807B64" w:rsidRPr="00E43137" w:rsidRDefault="00807B64" w:rsidP="007B197D">
            <w:pPr>
              <w:numPr>
                <w:ilvl w:val="0"/>
                <w:numId w:val="21"/>
              </w:numPr>
              <w:ind w:left="293" w:hanging="284"/>
              <w:contextualSpacing/>
              <w:jc w:val="left"/>
              <w:rPr>
                <w:rFonts w:ascii="Calibri" w:hAnsi="Calibri"/>
                <w:b/>
                <w:sz w:val="20"/>
                <w:szCs w:val="20"/>
              </w:rPr>
            </w:pPr>
            <w:r w:rsidRPr="00E43137">
              <w:rPr>
                <w:rFonts w:ascii="Calibri" w:hAnsi="Calibri"/>
                <w:sz w:val="20"/>
                <w:szCs w:val="20"/>
              </w:rPr>
              <w:t xml:space="preserve">primeraný príspevok </w:t>
            </w:r>
            <w:r>
              <w:rPr>
                <w:rFonts w:ascii="Calibri" w:hAnsi="Calibri"/>
                <w:sz w:val="20"/>
                <w:szCs w:val="20"/>
              </w:rPr>
              <w:t xml:space="preserve">rozličných spôsobov využívania </w:t>
            </w:r>
            <w:r w:rsidRPr="00E43137">
              <w:rPr>
                <w:rFonts w:ascii="Calibri" w:hAnsi="Calibri"/>
                <w:sz w:val="20"/>
                <w:szCs w:val="20"/>
              </w:rPr>
              <w:t xml:space="preserve"> vody k </w:t>
            </w:r>
            <w:r>
              <w:rPr>
                <w:rFonts w:ascii="Calibri" w:hAnsi="Calibri"/>
                <w:sz w:val="20"/>
                <w:szCs w:val="20"/>
              </w:rPr>
              <w:t>úhrade</w:t>
            </w:r>
            <w:r w:rsidRPr="00E43137">
              <w:rPr>
                <w:rFonts w:ascii="Calibri" w:hAnsi="Calibri"/>
                <w:sz w:val="20"/>
                <w:szCs w:val="20"/>
              </w:rPr>
              <w:t xml:space="preserve"> nákladov </w:t>
            </w:r>
            <w:r>
              <w:rPr>
                <w:rFonts w:ascii="Calibri" w:hAnsi="Calibri"/>
                <w:sz w:val="20"/>
                <w:szCs w:val="20"/>
              </w:rPr>
              <w:t xml:space="preserve">na </w:t>
            </w:r>
            <w:r w:rsidRPr="00E43137">
              <w:rPr>
                <w:rFonts w:ascii="Calibri" w:hAnsi="Calibri"/>
                <w:sz w:val="20"/>
                <w:szCs w:val="20"/>
              </w:rPr>
              <w:t>vodohospodársk</w:t>
            </w:r>
            <w:r>
              <w:rPr>
                <w:rFonts w:ascii="Calibri" w:hAnsi="Calibri"/>
                <w:sz w:val="20"/>
                <w:szCs w:val="20"/>
              </w:rPr>
              <w:t>e</w:t>
            </w:r>
            <w:r w:rsidRPr="00E43137">
              <w:rPr>
                <w:rFonts w:ascii="Calibri" w:hAnsi="Calibri"/>
                <w:sz w:val="20"/>
                <w:szCs w:val="20"/>
              </w:rPr>
              <w:t xml:space="preserve"> služb</w:t>
            </w:r>
            <w:r>
              <w:rPr>
                <w:rFonts w:ascii="Calibri" w:hAnsi="Calibri"/>
                <w:sz w:val="20"/>
                <w:szCs w:val="20"/>
              </w:rPr>
              <w:t>y v sadzbe stanovenej  v</w:t>
            </w:r>
            <w:r w:rsidRPr="00E43137">
              <w:rPr>
                <w:rFonts w:ascii="Calibri" w:hAnsi="Calibri"/>
                <w:sz w:val="20"/>
                <w:szCs w:val="20"/>
              </w:rPr>
              <w:t xml:space="preserve"> schválen</w:t>
            </w:r>
            <w:r>
              <w:rPr>
                <w:rFonts w:ascii="Calibri" w:hAnsi="Calibri"/>
                <w:sz w:val="20"/>
                <w:szCs w:val="20"/>
              </w:rPr>
              <w:t>om</w:t>
            </w:r>
            <w:r w:rsidRPr="00E43137">
              <w:rPr>
                <w:rFonts w:ascii="Calibri" w:hAnsi="Calibri"/>
                <w:sz w:val="20"/>
                <w:szCs w:val="20"/>
              </w:rPr>
              <w:t> pláne riadenia povodia pre investície podpor</w:t>
            </w:r>
            <w:r>
              <w:rPr>
                <w:rFonts w:ascii="Calibri" w:hAnsi="Calibri"/>
                <w:sz w:val="20"/>
                <w:szCs w:val="20"/>
              </w:rPr>
              <w:t>ované</w:t>
            </w:r>
            <w:r w:rsidRPr="00E43137">
              <w:rPr>
                <w:rFonts w:ascii="Calibri" w:hAnsi="Calibri"/>
                <w:sz w:val="20"/>
                <w:szCs w:val="20"/>
              </w:rPr>
              <w:t xml:space="preserve"> z  programov</w:t>
            </w:r>
          </w:p>
        </w:tc>
        <w:tc>
          <w:tcPr>
            <w:tcW w:w="1843" w:type="dxa"/>
            <w:shd w:val="clear" w:color="auto" w:fill="auto"/>
          </w:tcPr>
          <w:p w:rsidR="00807B64" w:rsidRPr="00E43137" w:rsidRDefault="00807B64" w:rsidP="007B197D">
            <w:pPr>
              <w:jc w:val="left"/>
              <w:rPr>
                <w:rFonts w:ascii="Calibri" w:hAnsi="Calibri"/>
                <w:b/>
                <w:sz w:val="20"/>
                <w:szCs w:val="20"/>
              </w:rPr>
            </w:pPr>
            <w:r w:rsidRPr="00E43137">
              <w:rPr>
                <w:rFonts w:ascii="Calibri" w:hAnsi="Calibri"/>
                <w:b/>
                <w:sz w:val="20"/>
                <w:szCs w:val="20"/>
              </w:rPr>
              <w:t>Priorita 5: Propagácia účinného využívania zdrojov a podpora prechodu na nízkouhlíkové hospodárstvo odolné voči zmene klímy v sektoroch poľnohospodárstva, potravinárstva a lesného hospodárstva</w:t>
            </w:r>
          </w:p>
          <w:p w:rsidR="00807B64" w:rsidRPr="00E43137" w:rsidRDefault="00807B64" w:rsidP="007B197D">
            <w:pPr>
              <w:jc w:val="left"/>
              <w:rPr>
                <w:rFonts w:ascii="Calibri" w:hAnsi="Calibri"/>
                <w:sz w:val="20"/>
                <w:szCs w:val="20"/>
              </w:rPr>
            </w:pPr>
            <w:r w:rsidRPr="00E43137">
              <w:rPr>
                <w:rFonts w:ascii="Calibri" w:hAnsi="Calibri"/>
                <w:sz w:val="20"/>
                <w:szCs w:val="20"/>
              </w:rPr>
              <w:t>Fokusová oblasť 5A</w:t>
            </w:r>
          </w:p>
          <w:p w:rsidR="00807B64" w:rsidRPr="00E43137" w:rsidRDefault="00807B64" w:rsidP="007B197D">
            <w:pPr>
              <w:jc w:val="left"/>
              <w:rPr>
                <w:rFonts w:ascii="Calibri" w:hAnsi="Calibri"/>
                <w:sz w:val="20"/>
                <w:szCs w:val="20"/>
              </w:rPr>
            </w:pPr>
            <w:r w:rsidRPr="00E43137">
              <w:rPr>
                <w:rFonts w:ascii="Calibri" w:hAnsi="Calibri"/>
                <w:sz w:val="20"/>
                <w:szCs w:val="20"/>
              </w:rPr>
              <w:t>Opatrenie čl. 17</w:t>
            </w:r>
          </w:p>
        </w:tc>
        <w:tc>
          <w:tcPr>
            <w:tcW w:w="1134" w:type="dxa"/>
            <w:shd w:val="clear" w:color="auto" w:fill="auto"/>
          </w:tcPr>
          <w:p w:rsidR="00807B64" w:rsidRPr="00E43137" w:rsidRDefault="00807B64" w:rsidP="007B197D">
            <w:pPr>
              <w:jc w:val="center"/>
              <w:rPr>
                <w:rFonts w:ascii="Calibri" w:hAnsi="Calibri"/>
                <w:b/>
                <w:sz w:val="20"/>
                <w:szCs w:val="20"/>
              </w:rPr>
            </w:pPr>
          </w:p>
          <w:p w:rsidR="00807B64" w:rsidRPr="00E43137" w:rsidRDefault="00807B64" w:rsidP="007B197D">
            <w:pPr>
              <w:jc w:val="center"/>
              <w:rPr>
                <w:rFonts w:ascii="Calibri" w:hAnsi="Calibri"/>
                <w:b/>
                <w:sz w:val="20"/>
                <w:szCs w:val="20"/>
              </w:rPr>
            </w:pPr>
            <w:r w:rsidRPr="00E43137">
              <w:rPr>
                <w:rFonts w:ascii="Calibri" w:hAnsi="Calibri"/>
                <w:b/>
                <w:sz w:val="20"/>
                <w:szCs w:val="20"/>
              </w:rPr>
              <w:t>čiastočne</w:t>
            </w:r>
          </w:p>
          <w:p w:rsidR="00807B64" w:rsidRPr="00E43137" w:rsidRDefault="00807B64" w:rsidP="007B197D">
            <w:pPr>
              <w:jc w:val="center"/>
              <w:rPr>
                <w:rFonts w:ascii="Calibri" w:hAnsi="Calibri"/>
                <w:b/>
                <w:sz w:val="20"/>
                <w:szCs w:val="20"/>
              </w:rPr>
            </w:pPr>
          </w:p>
        </w:tc>
        <w:tc>
          <w:tcPr>
            <w:tcW w:w="2409" w:type="dxa"/>
            <w:shd w:val="clear" w:color="auto" w:fill="auto"/>
          </w:tcPr>
          <w:p w:rsidR="00807B64" w:rsidRPr="00E43137" w:rsidRDefault="00807B64" w:rsidP="007B197D">
            <w:pPr>
              <w:jc w:val="left"/>
              <w:rPr>
                <w:rFonts w:ascii="Calibri" w:hAnsi="Calibri"/>
                <w:sz w:val="20"/>
                <w:szCs w:val="20"/>
              </w:rPr>
            </w:pPr>
            <w:r w:rsidRPr="00E43137">
              <w:rPr>
                <w:rFonts w:ascii="Calibri" w:hAnsi="Calibri"/>
                <w:sz w:val="20"/>
                <w:szCs w:val="20"/>
              </w:rPr>
              <w:t>V </w:t>
            </w:r>
            <w:r>
              <w:rPr>
                <w:rFonts w:ascii="Calibri" w:hAnsi="Calibri"/>
                <w:sz w:val="20"/>
                <w:szCs w:val="20"/>
              </w:rPr>
              <w:t>odvetviach</w:t>
            </w:r>
            <w:r w:rsidRPr="00E43137">
              <w:rPr>
                <w:rFonts w:ascii="Calibri" w:hAnsi="Calibri"/>
                <w:sz w:val="20"/>
                <w:szCs w:val="20"/>
              </w:rPr>
              <w:t xml:space="preserve"> podporovaných z EPFRV </w:t>
            </w:r>
            <w:r>
              <w:rPr>
                <w:rFonts w:ascii="Calibri" w:hAnsi="Calibri"/>
                <w:sz w:val="20"/>
                <w:szCs w:val="20"/>
              </w:rPr>
              <w:t xml:space="preserve">členský štát </w:t>
            </w:r>
            <w:r w:rsidRPr="00E43137">
              <w:rPr>
                <w:rFonts w:ascii="Calibri" w:hAnsi="Calibri"/>
                <w:sz w:val="20"/>
                <w:szCs w:val="20"/>
              </w:rPr>
              <w:t>zabezpečil</w:t>
            </w:r>
            <w:r>
              <w:rPr>
                <w:rFonts w:ascii="Calibri" w:hAnsi="Calibri"/>
                <w:sz w:val="20"/>
                <w:szCs w:val="20"/>
              </w:rPr>
              <w:t>,</w:t>
            </w:r>
            <w:r w:rsidRPr="00E43137">
              <w:rPr>
                <w:rFonts w:ascii="Calibri" w:hAnsi="Calibri"/>
                <w:sz w:val="20"/>
                <w:szCs w:val="20"/>
              </w:rPr>
              <w:t xml:space="preserve"> rôzn</w:t>
            </w:r>
            <w:r>
              <w:rPr>
                <w:rFonts w:ascii="Calibri" w:hAnsi="Calibri"/>
                <w:sz w:val="20"/>
                <w:szCs w:val="20"/>
              </w:rPr>
              <w:t>e spôsoby využitia</w:t>
            </w:r>
            <w:r w:rsidRPr="00E43137">
              <w:rPr>
                <w:rFonts w:ascii="Calibri" w:hAnsi="Calibri"/>
                <w:sz w:val="20"/>
                <w:szCs w:val="20"/>
              </w:rPr>
              <w:t xml:space="preserve"> vody </w:t>
            </w:r>
            <w:r>
              <w:rPr>
                <w:rFonts w:ascii="Calibri" w:hAnsi="Calibri"/>
                <w:sz w:val="20"/>
                <w:szCs w:val="20"/>
              </w:rPr>
              <w:t xml:space="preserve">prispeli k tomu, že odvetviu sa vrátia náklady na vodohospodárske služby, </w:t>
            </w:r>
            <w:r w:rsidRPr="00E43137">
              <w:rPr>
                <w:rFonts w:ascii="Calibri" w:hAnsi="Calibri"/>
                <w:sz w:val="20"/>
                <w:szCs w:val="20"/>
              </w:rPr>
              <w:t>v súlade s  článkom 9 ods. 1 prv</w:t>
            </w:r>
            <w:r>
              <w:rPr>
                <w:rFonts w:ascii="Calibri" w:hAnsi="Calibri"/>
                <w:sz w:val="20"/>
                <w:szCs w:val="20"/>
              </w:rPr>
              <w:t xml:space="preserve">ou </w:t>
            </w:r>
            <w:r w:rsidRPr="00E43137">
              <w:rPr>
                <w:rFonts w:ascii="Calibri" w:hAnsi="Calibri"/>
                <w:sz w:val="20"/>
                <w:szCs w:val="20"/>
              </w:rPr>
              <w:t xml:space="preserve"> </w:t>
            </w:r>
            <w:r>
              <w:rPr>
                <w:rFonts w:ascii="Calibri" w:hAnsi="Calibri"/>
                <w:sz w:val="20"/>
                <w:szCs w:val="20"/>
              </w:rPr>
              <w:t xml:space="preserve">zarážkou  rámcovej </w:t>
            </w:r>
            <w:r w:rsidRPr="00E43137">
              <w:rPr>
                <w:rFonts w:ascii="Calibri" w:hAnsi="Calibri"/>
                <w:sz w:val="20"/>
                <w:szCs w:val="20"/>
              </w:rPr>
              <w:t xml:space="preserve">smernice </w:t>
            </w:r>
            <w:r>
              <w:rPr>
                <w:rFonts w:ascii="Calibri" w:hAnsi="Calibri"/>
                <w:sz w:val="20"/>
                <w:szCs w:val="20"/>
              </w:rPr>
              <w:t xml:space="preserve">o vode, v príslušných prípadoch s ohľadom na </w:t>
            </w:r>
            <w:r w:rsidRPr="00E43137">
              <w:rPr>
                <w:rFonts w:ascii="Calibri" w:hAnsi="Calibri"/>
                <w:sz w:val="20"/>
                <w:szCs w:val="20"/>
              </w:rPr>
              <w:t xml:space="preserve"> sociálne, environmentálne a </w:t>
            </w:r>
            <w:r>
              <w:rPr>
                <w:rFonts w:ascii="Calibri" w:hAnsi="Calibri"/>
                <w:sz w:val="20"/>
                <w:szCs w:val="20"/>
              </w:rPr>
              <w:t xml:space="preserve">hospodárske účinky tohto vrátenia </w:t>
            </w:r>
            <w:r w:rsidRPr="00E43137">
              <w:rPr>
                <w:rFonts w:ascii="Calibri" w:hAnsi="Calibri"/>
                <w:sz w:val="20"/>
                <w:szCs w:val="20"/>
              </w:rPr>
              <w:t xml:space="preserve">nákladov ako aj geografické a klimatické podmienky </w:t>
            </w:r>
            <w:r>
              <w:rPr>
                <w:rFonts w:ascii="Calibri" w:hAnsi="Calibri"/>
                <w:sz w:val="20"/>
                <w:szCs w:val="20"/>
              </w:rPr>
              <w:t xml:space="preserve">príslušného </w:t>
            </w:r>
            <w:r w:rsidRPr="00E43137">
              <w:rPr>
                <w:rFonts w:ascii="Calibri" w:hAnsi="Calibri"/>
                <w:sz w:val="20"/>
                <w:szCs w:val="20"/>
              </w:rPr>
              <w:t>regiónu</w:t>
            </w:r>
            <w:r>
              <w:rPr>
                <w:rFonts w:ascii="Calibri" w:hAnsi="Calibri"/>
                <w:sz w:val="20"/>
                <w:szCs w:val="20"/>
              </w:rPr>
              <w:t xml:space="preserve"> alebo regiónov</w:t>
            </w:r>
            <w:r w:rsidRPr="00E43137">
              <w:rPr>
                <w:rFonts w:ascii="Calibri" w:hAnsi="Calibri"/>
                <w:sz w:val="20"/>
                <w:szCs w:val="20"/>
              </w:rPr>
              <w:t>.</w:t>
            </w:r>
          </w:p>
          <w:p w:rsidR="00807B64" w:rsidRPr="00E43137" w:rsidRDefault="00807B64" w:rsidP="007B197D">
            <w:pPr>
              <w:ind w:left="252"/>
              <w:jc w:val="left"/>
              <w:rPr>
                <w:rFonts w:ascii="Calibri" w:hAnsi="Calibri"/>
                <w:sz w:val="20"/>
                <w:szCs w:val="20"/>
              </w:rPr>
            </w:pPr>
          </w:p>
        </w:tc>
        <w:tc>
          <w:tcPr>
            <w:tcW w:w="1134" w:type="dxa"/>
            <w:shd w:val="clear" w:color="auto" w:fill="auto"/>
          </w:tcPr>
          <w:p w:rsidR="00807B64" w:rsidRPr="00E43137" w:rsidRDefault="00807B64" w:rsidP="007B197D">
            <w:pPr>
              <w:jc w:val="center"/>
              <w:rPr>
                <w:rFonts w:ascii="Calibri" w:hAnsi="Calibri"/>
                <w:b/>
                <w:sz w:val="20"/>
                <w:szCs w:val="20"/>
              </w:rPr>
            </w:pPr>
            <w:r>
              <w:rPr>
                <w:rFonts w:ascii="Calibri" w:hAnsi="Calibri"/>
                <w:b/>
                <w:sz w:val="20"/>
                <w:szCs w:val="20"/>
              </w:rPr>
              <w:t>Nie (</w:t>
            </w:r>
            <w:r w:rsidRPr="00E43137">
              <w:rPr>
                <w:rFonts w:ascii="Calibri" w:hAnsi="Calibri"/>
                <w:b/>
                <w:sz w:val="20"/>
                <w:szCs w:val="20"/>
              </w:rPr>
              <w:t>čiastočne</w:t>
            </w:r>
            <w:r>
              <w:rPr>
                <w:rFonts w:ascii="Calibri" w:hAnsi="Calibri"/>
                <w:b/>
                <w:sz w:val="20"/>
                <w:szCs w:val="20"/>
              </w:rPr>
              <w:t>)</w:t>
            </w:r>
          </w:p>
        </w:tc>
        <w:tc>
          <w:tcPr>
            <w:tcW w:w="3828" w:type="dxa"/>
            <w:shd w:val="clear" w:color="auto" w:fill="auto"/>
          </w:tcPr>
          <w:p w:rsidR="00807B64" w:rsidRDefault="00807B64" w:rsidP="007B197D">
            <w:pPr>
              <w:jc w:val="left"/>
              <w:rPr>
                <w:rFonts w:ascii="Calibri" w:hAnsi="Calibri"/>
                <w:sz w:val="20"/>
                <w:szCs w:val="20"/>
                <w:u w:val="single"/>
              </w:rPr>
            </w:pPr>
            <w:r>
              <w:rPr>
                <w:rFonts w:ascii="Calibri" w:hAnsi="Calibri"/>
                <w:sz w:val="20"/>
                <w:szCs w:val="20"/>
              </w:rPr>
              <w:t>Vodný z</w:t>
            </w:r>
            <w:r w:rsidRPr="00E43137">
              <w:rPr>
                <w:rFonts w:ascii="Calibri" w:hAnsi="Calibri"/>
                <w:sz w:val="20"/>
                <w:szCs w:val="20"/>
              </w:rPr>
              <w:t xml:space="preserve">ákon: § 78a č. 364/2004 Z. z. o vodách </w:t>
            </w:r>
            <w:r>
              <w:rPr>
                <w:rFonts w:ascii="Calibri" w:hAnsi="Calibri"/>
                <w:sz w:val="20"/>
                <w:szCs w:val="20"/>
              </w:rPr>
              <w:t xml:space="preserve">a o zmene zákona Slovenskej národnej rady č. 372/1990 Zb. o priestupkoch v znení neskorších predpisov (vodný zákon) v znení neskorších predpisov </w:t>
            </w:r>
          </w:p>
          <w:p w:rsidR="00807B64" w:rsidRPr="00E43137" w:rsidRDefault="00807B64" w:rsidP="007B197D">
            <w:pPr>
              <w:jc w:val="left"/>
              <w:rPr>
                <w:rFonts w:ascii="Calibri" w:hAnsi="Calibri"/>
                <w:sz w:val="20"/>
                <w:szCs w:val="20"/>
              </w:rPr>
            </w:pPr>
            <w:r>
              <w:rPr>
                <w:rFonts w:ascii="Calibri" w:hAnsi="Calibri"/>
                <w:sz w:val="20"/>
                <w:szCs w:val="20"/>
                <w:u w:val="single"/>
              </w:rPr>
              <w:t>http://jaspi.justice.gov.sk</w:t>
            </w:r>
          </w:p>
          <w:p w:rsidR="00807B64" w:rsidRPr="00E43137" w:rsidRDefault="00807B64" w:rsidP="007B197D">
            <w:pPr>
              <w:jc w:val="left"/>
              <w:rPr>
                <w:rFonts w:ascii="Calibri" w:hAnsi="Calibri"/>
                <w:sz w:val="20"/>
                <w:szCs w:val="20"/>
              </w:rPr>
            </w:pPr>
          </w:p>
          <w:p w:rsidR="00807B64" w:rsidRDefault="00807B64" w:rsidP="007B197D">
            <w:pPr>
              <w:jc w:val="left"/>
              <w:rPr>
                <w:rFonts w:ascii="Calibri" w:hAnsi="Calibri"/>
                <w:sz w:val="20"/>
                <w:szCs w:val="20"/>
              </w:rPr>
            </w:pPr>
            <w:r w:rsidRPr="00E43137">
              <w:rPr>
                <w:rFonts w:ascii="Calibri" w:hAnsi="Calibri"/>
                <w:sz w:val="20"/>
                <w:szCs w:val="20"/>
              </w:rPr>
              <w:t xml:space="preserve">Nariadenia vlády SR č. 755/2004 Z.z., ktorým sa ustanovuje výška neregulovaných platieb, výška poplatkov a podrobnosti súvisiace so spoplatňovaním užívania vôd </w:t>
            </w:r>
            <w:r w:rsidRPr="00AF7FC4">
              <w:rPr>
                <w:rFonts w:ascii="Calibri" w:hAnsi="Calibri"/>
                <w:sz w:val="20"/>
                <w:szCs w:val="20"/>
              </w:rPr>
              <w:t>, v znení nariadenia vlády Slovenskej republiky č. 367/2008 Z. z., ktorým sa mení a dopĺňa nariadenie vlády Slovenskej republiky č. 755/2004 Z. z., ktorým sa ustanovuje výška neregulovaných platieb, výška poplatkov a podrobnosti súvisiace so spoplatňovaním užívania vôd</w:t>
            </w:r>
          </w:p>
          <w:p w:rsidR="00807B64" w:rsidRPr="00E43137" w:rsidRDefault="00807B64" w:rsidP="007B197D">
            <w:pPr>
              <w:jc w:val="left"/>
              <w:rPr>
                <w:rFonts w:ascii="Calibri" w:hAnsi="Calibri"/>
                <w:sz w:val="20"/>
                <w:szCs w:val="20"/>
              </w:rPr>
            </w:pPr>
            <w:r>
              <w:rPr>
                <w:rFonts w:ascii="Calibri" w:hAnsi="Calibri"/>
                <w:sz w:val="20"/>
                <w:szCs w:val="20"/>
                <w:u w:val="single"/>
              </w:rPr>
              <w:t>http://jaspi.justice.gov.sk</w:t>
            </w:r>
          </w:p>
          <w:p w:rsidR="00807B64" w:rsidRPr="00E43137" w:rsidRDefault="00807B64" w:rsidP="007B197D">
            <w:pPr>
              <w:jc w:val="left"/>
              <w:rPr>
                <w:rFonts w:ascii="Calibri" w:hAnsi="Calibri"/>
                <w:sz w:val="20"/>
                <w:szCs w:val="20"/>
                <w:u w:val="single"/>
              </w:rPr>
            </w:pPr>
          </w:p>
          <w:p w:rsidR="00807B64" w:rsidRPr="00E43137" w:rsidRDefault="00807B64" w:rsidP="007B197D">
            <w:pPr>
              <w:jc w:val="left"/>
              <w:rPr>
                <w:rFonts w:ascii="Calibri" w:hAnsi="Calibri"/>
                <w:sz w:val="20"/>
                <w:szCs w:val="20"/>
                <w:u w:val="single"/>
              </w:rPr>
            </w:pPr>
          </w:p>
          <w:p w:rsidR="00807B64" w:rsidRDefault="00807B64" w:rsidP="007B197D">
            <w:pPr>
              <w:jc w:val="left"/>
              <w:rPr>
                <w:sz w:val="16"/>
                <w:szCs w:val="16"/>
                <w:u w:val="single"/>
              </w:rPr>
            </w:pPr>
            <w:r w:rsidRPr="00E43137">
              <w:rPr>
                <w:rFonts w:ascii="Calibri" w:hAnsi="Calibri"/>
                <w:sz w:val="20"/>
                <w:szCs w:val="20"/>
              </w:rPr>
              <w:t xml:space="preserve">Cenová politika v oblasti vodného  hospodárstva schválená uznesením vlády č. 17 zo dňa 12. januára 2011 </w:t>
            </w:r>
            <w:hyperlink r:id="rId67" w:history="1">
              <w:r w:rsidRPr="00AF7FC4">
                <w:rPr>
                  <w:rStyle w:val="Hypertextovprepojenie"/>
                  <w:sz w:val="20"/>
                  <w:szCs w:val="20"/>
                </w:rPr>
                <w:t>https://lt.justice.gov.sk/Attachment/vlastn%C3%BD%20materi%C3%A1l_doc.pdf?instEID=-1&amp;attEID=29620&amp;docEID=144483&amp;matEID=3384&amp;langEID=1&amp;tStamp=20101129113946687</w:t>
              </w:r>
            </w:hyperlink>
          </w:p>
          <w:p w:rsidR="00807B64" w:rsidRPr="00E43137" w:rsidRDefault="00807B64" w:rsidP="007B197D">
            <w:pPr>
              <w:jc w:val="left"/>
              <w:rPr>
                <w:rFonts w:ascii="Calibri" w:hAnsi="Calibri"/>
                <w:sz w:val="20"/>
                <w:szCs w:val="20"/>
                <w:u w:val="single"/>
              </w:rPr>
            </w:pPr>
          </w:p>
          <w:p w:rsidR="00807B64" w:rsidRPr="00E43137" w:rsidRDefault="00807B64" w:rsidP="007B197D">
            <w:pPr>
              <w:jc w:val="left"/>
              <w:rPr>
                <w:rFonts w:ascii="Calibri" w:hAnsi="Calibri"/>
                <w:sz w:val="20"/>
                <w:szCs w:val="20"/>
              </w:rPr>
            </w:pPr>
          </w:p>
          <w:p w:rsidR="00807B64" w:rsidRPr="00E43137" w:rsidRDefault="00807B64" w:rsidP="007B197D">
            <w:pPr>
              <w:jc w:val="left"/>
              <w:rPr>
                <w:rFonts w:ascii="Calibri" w:hAnsi="Calibri"/>
                <w:sz w:val="20"/>
                <w:szCs w:val="20"/>
              </w:rPr>
            </w:pPr>
            <w:r w:rsidRPr="00E43137">
              <w:rPr>
                <w:rFonts w:ascii="Calibri" w:hAnsi="Calibri"/>
                <w:sz w:val="20"/>
                <w:szCs w:val="20"/>
              </w:rPr>
              <w:t xml:space="preserve">Regulačná politika na regulačné obdobie 2012 - 2016 </w:t>
            </w:r>
            <w:hyperlink r:id="rId68" w:history="1">
              <w:r w:rsidRPr="00E43137">
                <w:rPr>
                  <w:rFonts w:ascii="Calibri" w:hAnsi="Calibri"/>
                  <w:color w:val="0000FF"/>
                  <w:sz w:val="20"/>
                  <w:szCs w:val="20"/>
                  <w:u w:val="single"/>
                </w:rPr>
                <w:t>www.urso.gov.sk/doc/urad/RegulacnaPolitika_2012-2016.pdf</w:t>
              </w:r>
            </w:hyperlink>
            <w:r w:rsidRPr="00E43137">
              <w:rPr>
                <w:rFonts w:ascii="Calibri" w:hAnsi="Calibri"/>
                <w:sz w:val="20"/>
                <w:szCs w:val="20"/>
                <w:u w:val="single"/>
              </w:rPr>
              <w:t xml:space="preserve"> </w:t>
            </w:r>
          </w:p>
          <w:p w:rsidR="00807B64" w:rsidRPr="00E43137" w:rsidRDefault="00807B64" w:rsidP="007B197D">
            <w:pPr>
              <w:jc w:val="left"/>
              <w:rPr>
                <w:rFonts w:ascii="Calibri" w:hAnsi="Calibri"/>
                <w:sz w:val="20"/>
                <w:szCs w:val="20"/>
              </w:rPr>
            </w:pPr>
          </w:p>
          <w:p w:rsidR="00807B64" w:rsidRPr="00E43137" w:rsidRDefault="00807B64" w:rsidP="007B197D">
            <w:pPr>
              <w:jc w:val="left"/>
              <w:rPr>
                <w:rFonts w:ascii="Calibri" w:hAnsi="Calibri"/>
                <w:sz w:val="20"/>
                <w:szCs w:val="20"/>
                <w:u w:val="single"/>
              </w:rPr>
            </w:pPr>
            <w:r w:rsidRPr="00E43137">
              <w:rPr>
                <w:rFonts w:ascii="Calibri" w:hAnsi="Calibri"/>
                <w:sz w:val="20"/>
                <w:szCs w:val="20"/>
              </w:rPr>
              <w:t xml:space="preserve">Vodný plán Slovenska, kap. 7,  </w:t>
            </w:r>
            <w:hyperlink r:id="rId69" w:history="1">
              <w:r w:rsidRPr="00E43137">
                <w:rPr>
                  <w:rFonts w:ascii="Calibri" w:hAnsi="Calibri"/>
                  <w:color w:val="0000FF"/>
                  <w:sz w:val="20"/>
                  <w:szCs w:val="20"/>
                  <w:u w:val="single"/>
                </w:rPr>
                <w:t>http://www.vuvh.sk/rsv2/index.php?option=com_content&amp;view=article&amp;id=67&amp;Itemid=87&amp;lang=sk</w:t>
              </w:r>
            </w:hyperlink>
            <w:r w:rsidRPr="00E43137">
              <w:rPr>
                <w:rFonts w:ascii="Calibri" w:hAnsi="Calibri"/>
                <w:sz w:val="20"/>
                <w:szCs w:val="20"/>
                <w:u w:val="single"/>
              </w:rPr>
              <w:t xml:space="preserve">            </w:t>
            </w:r>
          </w:p>
          <w:p w:rsidR="00807B64" w:rsidRPr="00E43137" w:rsidRDefault="00807B64" w:rsidP="007B197D">
            <w:pPr>
              <w:jc w:val="left"/>
              <w:rPr>
                <w:rFonts w:ascii="Calibri" w:hAnsi="Calibri"/>
                <w:sz w:val="20"/>
                <w:szCs w:val="20"/>
              </w:rPr>
            </w:pPr>
          </w:p>
          <w:p w:rsidR="00807B64" w:rsidRPr="00E43137" w:rsidRDefault="00807B64" w:rsidP="007B197D">
            <w:pPr>
              <w:jc w:val="left"/>
              <w:rPr>
                <w:rFonts w:ascii="Calibri" w:hAnsi="Calibri"/>
                <w:sz w:val="20"/>
                <w:szCs w:val="20"/>
              </w:rPr>
            </w:pPr>
            <w:r w:rsidRPr="00E43137">
              <w:rPr>
                <w:rFonts w:ascii="Calibri" w:hAnsi="Calibri"/>
                <w:sz w:val="20"/>
                <w:szCs w:val="20"/>
              </w:rPr>
              <w:t xml:space="preserve">Analýza pokroku dosiahnutého pri zavádzaní Programu opatrení obsiahnutom vo Vodnom pláne Slovenska, kap.5 „Cenová politika za vodohospodárske služby“ </w:t>
            </w:r>
          </w:p>
          <w:p w:rsidR="00807B64" w:rsidRPr="00E43137" w:rsidRDefault="00954688" w:rsidP="007B197D">
            <w:pPr>
              <w:ind w:left="-35"/>
              <w:jc w:val="left"/>
              <w:rPr>
                <w:rFonts w:ascii="Calibri" w:hAnsi="Calibri"/>
                <w:sz w:val="20"/>
                <w:szCs w:val="20"/>
              </w:rPr>
            </w:pPr>
            <w:hyperlink r:id="rId70" w:history="1">
              <w:r w:rsidR="00807B64" w:rsidRPr="00E43137">
                <w:rPr>
                  <w:rFonts w:ascii="Calibri" w:hAnsi="Calibri"/>
                  <w:color w:val="0000FF"/>
                  <w:sz w:val="20"/>
                  <w:szCs w:val="20"/>
                  <w:u w:val="single"/>
                </w:rPr>
                <w:t>http://www.vuvh.sk/rsv2/index.php?option=com_content&amp;view=article&amp;id=51&amp;Itemid=58&amp;lang=sk</w:t>
              </w:r>
            </w:hyperlink>
            <w:r w:rsidR="00807B64" w:rsidRPr="00E43137">
              <w:rPr>
                <w:rFonts w:ascii="Calibri" w:hAnsi="Calibri"/>
                <w:sz w:val="20"/>
                <w:szCs w:val="20"/>
                <w:u w:val="single"/>
              </w:rPr>
              <w:t xml:space="preserve"> </w:t>
            </w:r>
            <w:r w:rsidR="00807B64" w:rsidRPr="00E43137">
              <w:rPr>
                <w:rFonts w:ascii="Calibri" w:hAnsi="Calibri"/>
                <w:sz w:val="20"/>
                <w:szCs w:val="20"/>
              </w:rPr>
              <w:t xml:space="preserve"> </w:t>
            </w:r>
          </w:p>
        </w:tc>
        <w:tc>
          <w:tcPr>
            <w:tcW w:w="3921" w:type="dxa"/>
            <w:shd w:val="clear" w:color="auto" w:fill="auto"/>
          </w:tcPr>
          <w:p w:rsidR="00807B64" w:rsidRPr="00E43137" w:rsidRDefault="00807B64" w:rsidP="007B197D">
            <w:pPr>
              <w:jc w:val="left"/>
              <w:rPr>
                <w:rFonts w:ascii="Calibri" w:hAnsi="Calibri"/>
                <w:sz w:val="20"/>
                <w:szCs w:val="20"/>
              </w:rPr>
            </w:pPr>
            <w:r w:rsidRPr="00E43137">
              <w:rPr>
                <w:rFonts w:ascii="Calibri" w:hAnsi="Calibri"/>
                <w:sz w:val="20"/>
                <w:szCs w:val="20"/>
              </w:rPr>
              <w:t>Súvisí s ex ante kondicionalitou č. 6.1 v zmysle nariadenia (EÚ) 1303/2013.</w:t>
            </w:r>
          </w:p>
          <w:p w:rsidR="00807B64" w:rsidRPr="00E43137" w:rsidRDefault="00807B64" w:rsidP="007B197D">
            <w:pPr>
              <w:jc w:val="left"/>
              <w:rPr>
                <w:rFonts w:ascii="Calibri" w:hAnsi="Calibri"/>
                <w:sz w:val="20"/>
                <w:szCs w:val="20"/>
              </w:rPr>
            </w:pPr>
            <w:r w:rsidRPr="00E43137">
              <w:rPr>
                <w:rFonts w:ascii="Calibri" w:hAnsi="Calibri"/>
                <w:sz w:val="20"/>
                <w:szCs w:val="20"/>
              </w:rPr>
              <w:t>V </w:t>
            </w:r>
            <w:r w:rsidRPr="00E43137" w:rsidDel="00D00A75">
              <w:rPr>
                <w:rFonts w:ascii="Calibri" w:hAnsi="Calibri"/>
                <w:sz w:val="20"/>
                <w:szCs w:val="20"/>
              </w:rPr>
              <w:t xml:space="preserve"> </w:t>
            </w:r>
            <w:r w:rsidRPr="00E43137">
              <w:rPr>
                <w:rFonts w:ascii="Calibri" w:hAnsi="Calibri"/>
                <w:sz w:val="20"/>
                <w:szCs w:val="20"/>
              </w:rPr>
              <w:t xml:space="preserve">nadväznosti na obsah Usmernenia EK k plneniu EAK bol identifikovaný čiastkovo nesplnený prvok plnenia kritéria v rámci "princípu refundácie nákladov za vodné služby". </w:t>
            </w:r>
          </w:p>
          <w:p w:rsidR="00807B64" w:rsidRPr="00E43137" w:rsidRDefault="00807B64" w:rsidP="007B197D">
            <w:pPr>
              <w:jc w:val="left"/>
              <w:rPr>
                <w:rFonts w:ascii="Calibri" w:hAnsi="Calibri"/>
                <w:sz w:val="20"/>
                <w:szCs w:val="20"/>
              </w:rPr>
            </w:pPr>
          </w:p>
          <w:p w:rsidR="00807B64" w:rsidRPr="00E43137" w:rsidRDefault="00807B64" w:rsidP="007B197D">
            <w:pPr>
              <w:jc w:val="left"/>
              <w:rPr>
                <w:rFonts w:ascii="Calibri" w:hAnsi="Calibri"/>
                <w:sz w:val="20"/>
                <w:szCs w:val="20"/>
              </w:rPr>
            </w:pPr>
            <w:r w:rsidRPr="00E43137">
              <w:rPr>
                <w:rFonts w:ascii="Calibri" w:hAnsi="Calibri"/>
                <w:sz w:val="20"/>
                <w:szCs w:val="20"/>
              </w:rPr>
              <w:t>Princíp refundácie nákladov za všetky vodohospodárske služby  je splnený s výnimkou primeraného príspevku  za službu spojenú s odberom vody na závlahy, ktorý je v štádiu legislatívneho návrhu novely</w:t>
            </w:r>
            <w:r>
              <w:rPr>
                <w:rFonts w:ascii="Calibri" w:hAnsi="Calibri"/>
                <w:sz w:val="20"/>
                <w:szCs w:val="20"/>
              </w:rPr>
              <w:t xml:space="preserve"> vodného</w:t>
            </w:r>
            <w:r w:rsidRPr="00E43137">
              <w:rPr>
                <w:rFonts w:ascii="Calibri" w:hAnsi="Calibri"/>
                <w:sz w:val="20"/>
                <w:szCs w:val="20"/>
              </w:rPr>
              <w:t xml:space="preserve"> zákona , následne novela Nariadenia vlády SR č. 755/200</w:t>
            </w:r>
            <w:r>
              <w:rPr>
                <w:rFonts w:ascii="Calibri" w:hAnsi="Calibri"/>
                <w:sz w:val="20"/>
                <w:szCs w:val="20"/>
              </w:rPr>
              <w:t>4</w:t>
            </w:r>
            <w:r w:rsidRPr="00E43137">
              <w:rPr>
                <w:rFonts w:ascii="Calibri" w:hAnsi="Calibri"/>
                <w:sz w:val="20"/>
                <w:szCs w:val="20"/>
              </w:rPr>
              <w:t xml:space="preserve"> Z. z., ktorým sa ustanovuje výška neregulovaných platieb, výška poplatkov a podrobnosti súvisiace so spoplatňovaním užívania vôd</w:t>
            </w:r>
            <w:r>
              <w:rPr>
                <w:rFonts w:ascii="Calibri" w:hAnsi="Calibri"/>
                <w:sz w:val="20"/>
                <w:szCs w:val="20"/>
              </w:rPr>
              <w:t>.</w:t>
            </w:r>
            <w:r w:rsidRPr="00E43137">
              <w:rPr>
                <w:rFonts w:ascii="Calibri" w:hAnsi="Calibri"/>
                <w:sz w:val="20"/>
                <w:szCs w:val="20"/>
              </w:rPr>
              <w:t xml:space="preserve"> </w:t>
            </w:r>
          </w:p>
          <w:p w:rsidR="00807B64" w:rsidRPr="00E43137" w:rsidRDefault="00807B64" w:rsidP="007B197D">
            <w:pPr>
              <w:jc w:val="left"/>
              <w:rPr>
                <w:rFonts w:ascii="Calibri" w:hAnsi="Calibri"/>
                <w:sz w:val="20"/>
                <w:szCs w:val="20"/>
              </w:rPr>
            </w:pPr>
            <w:r w:rsidRPr="00E43137">
              <w:rPr>
                <w:rFonts w:ascii="Calibri" w:hAnsi="Calibri"/>
                <w:sz w:val="20"/>
                <w:szCs w:val="20"/>
              </w:rPr>
              <w:t xml:space="preserve">Predmetný návrh novely vodného zákona musí prejsť celým legislatívnym  procesom (opätovné prerokovanie vo vláde SR a následne vo výboroch NR SR a samotnej Národnej rade SR). </w:t>
            </w:r>
          </w:p>
          <w:p w:rsidR="00807B64" w:rsidRPr="00E43137" w:rsidRDefault="00807B64" w:rsidP="007B197D">
            <w:pPr>
              <w:jc w:val="left"/>
              <w:rPr>
                <w:rFonts w:ascii="Calibri" w:hAnsi="Calibri"/>
                <w:sz w:val="20"/>
                <w:szCs w:val="20"/>
              </w:rPr>
            </w:pPr>
          </w:p>
          <w:p w:rsidR="00807B64" w:rsidRDefault="00807B64" w:rsidP="007B197D">
            <w:pPr>
              <w:jc w:val="left"/>
              <w:rPr>
                <w:rFonts w:ascii="Calibri" w:hAnsi="Calibri"/>
                <w:sz w:val="20"/>
                <w:szCs w:val="20"/>
              </w:rPr>
            </w:pPr>
            <w:r w:rsidRPr="00E43137">
              <w:rPr>
                <w:rFonts w:ascii="Calibri" w:hAnsi="Calibri"/>
                <w:sz w:val="20"/>
                <w:szCs w:val="20"/>
              </w:rPr>
              <w:t xml:space="preserve">Novela vodného zákona má pozitívny vplyv na </w:t>
            </w:r>
            <w:r w:rsidRPr="00E43137">
              <w:rPr>
                <w:rFonts w:ascii="Calibri" w:hAnsi="Calibri"/>
                <w:sz w:val="20"/>
                <w:szCs w:val="20"/>
                <w:u w:val="single"/>
              </w:rPr>
              <w:t>všestrannú ochranu vôd, s dôrazom na podzemné vody</w:t>
            </w:r>
            <w:r w:rsidRPr="00E43137">
              <w:rPr>
                <w:rFonts w:ascii="Calibri" w:hAnsi="Calibri"/>
                <w:sz w:val="20"/>
                <w:szCs w:val="20"/>
              </w:rPr>
              <w:t xml:space="preserve"> v chránených vodohospodárskych oblastiach, má zabezpečiť zvýšenú ochranu vodných zdrojov situovaných na území Slovenskej republiky a stanovenie postupov pri využívaní vody</w:t>
            </w:r>
            <w:r w:rsidRPr="00E43137">
              <w:rPr>
                <w:rFonts w:ascii="Calibri" w:hAnsi="Calibri"/>
                <w:sz w:val="20"/>
                <w:szCs w:val="20"/>
              </w:rPr>
              <w:lastRenderedPageBreak/>
              <w:t xml:space="preserve"> s ohľadom na jej strategický význam pre štát a verejný záujem.</w:t>
            </w:r>
          </w:p>
          <w:p w:rsidR="00807B64" w:rsidRPr="00AF7FC4" w:rsidRDefault="00807B64" w:rsidP="007B197D">
            <w:pPr>
              <w:jc w:val="left"/>
              <w:rPr>
                <w:sz w:val="20"/>
                <w:szCs w:val="20"/>
              </w:rPr>
            </w:pPr>
            <w:r w:rsidRPr="00AF7FC4">
              <w:rPr>
                <w:sz w:val="20"/>
                <w:szCs w:val="20"/>
              </w:rPr>
              <w:t>V SR  za  cenovú reguláciu zodpovedá Úrad pre reguláciu sieťových odvetví  (URSO).</w:t>
            </w:r>
          </w:p>
          <w:p w:rsidR="00807B64" w:rsidRPr="00AF7FC4" w:rsidRDefault="00807B64" w:rsidP="007B197D">
            <w:pPr>
              <w:jc w:val="left"/>
              <w:rPr>
                <w:sz w:val="20"/>
                <w:szCs w:val="20"/>
              </w:rPr>
            </w:pPr>
          </w:p>
          <w:p w:rsidR="00807B64" w:rsidRPr="00AF7FC4" w:rsidRDefault="00807B64" w:rsidP="007B197D">
            <w:pPr>
              <w:jc w:val="left"/>
              <w:rPr>
                <w:sz w:val="20"/>
                <w:szCs w:val="20"/>
              </w:rPr>
            </w:pPr>
            <w:r w:rsidRPr="00AF7FC4">
              <w:rPr>
                <w:sz w:val="20"/>
                <w:szCs w:val="20"/>
              </w:rPr>
              <w:t xml:space="preserve">Súčasná cenová regulácia v oblasti vodárenstva sa vykonáva v súlade s platnou legislatívou (zákon č. 250/2012 Z.z. o regulácii v sieťových odvetviach a vyhláška č. 195/2013 Z.z.) Pri stanovení cien sa zohľadňujú oprávnené náklady a primeraný zisk, nové  investície a ich využívanie na výrobu a dodávku pitnej vody verejným vodovodom a na odvádzanie a čistenie odpadovej vody verejnou kanalizáciou, vrátane sociálnej únosnosti, ktorá je jednou z priorít samotnej regulácie. </w:t>
            </w:r>
          </w:p>
          <w:p w:rsidR="00807B64" w:rsidRPr="00AF7FC4" w:rsidRDefault="00807B64" w:rsidP="007B197D">
            <w:pPr>
              <w:jc w:val="left"/>
              <w:rPr>
                <w:sz w:val="20"/>
                <w:szCs w:val="20"/>
              </w:rPr>
            </w:pPr>
          </w:p>
          <w:p w:rsidR="00807B64" w:rsidRPr="00AF7FC4" w:rsidRDefault="00807B64" w:rsidP="007B197D">
            <w:pPr>
              <w:jc w:val="left"/>
              <w:rPr>
                <w:sz w:val="20"/>
                <w:szCs w:val="20"/>
              </w:rPr>
            </w:pPr>
            <w:r w:rsidRPr="00AF7FC4">
              <w:rPr>
                <w:sz w:val="20"/>
                <w:szCs w:val="20"/>
              </w:rPr>
              <w:t>Jedným z cieľov schválenej Regulačnej politiky v oblasti vodárenstva na roky 2012-2016 je vytvoriť legislatívne prostredie pre uplatnenie dvojzložkovej ceny (fixnej a variabilnej zložky), a to  na základe dôslednej a objektívnej analýzy opodstatnenosti jej uplatnenia pri zohľadnení sociálno-ekonomických dopadov, ktorým úrad v súčasnom období venuje pozornosť.</w:t>
            </w:r>
          </w:p>
          <w:p w:rsidR="00807B64" w:rsidRPr="00AF7FC4" w:rsidRDefault="00807B64" w:rsidP="007B197D">
            <w:pPr>
              <w:jc w:val="left"/>
              <w:rPr>
                <w:sz w:val="20"/>
                <w:szCs w:val="20"/>
              </w:rPr>
            </w:pPr>
          </w:p>
          <w:p w:rsidR="00807B64" w:rsidRPr="00AF7FC4" w:rsidRDefault="00807B64" w:rsidP="007B197D">
            <w:pPr>
              <w:jc w:val="left"/>
              <w:rPr>
                <w:sz w:val="20"/>
                <w:szCs w:val="20"/>
              </w:rPr>
            </w:pPr>
            <w:r w:rsidRPr="00AF7FC4">
              <w:rPr>
                <w:sz w:val="20"/>
                <w:szCs w:val="20"/>
              </w:rPr>
              <w:t>V SR sú v cenách kalkulované všetky oprávnené náklady, ktoré súvisia s tou ktorou vodohospodárskou službou (vrátane</w:t>
            </w:r>
            <w:r w:rsidRPr="00AF7FC4">
              <w:rPr>
                <w:sz w:val="20"/>
                <w:szCs w:val="20"/>
              </w:rPr>
              <w:lastRenderedPageBreak/>
              <w:t xml:space="preserve"> nákladov súvisiacich s opravou, údržbou a obnovou majetku). V cenách vodného  a stočného za dodávku pitnej vody verejným vodovodom  a za odvedenie a čistenie odpadových vôd verejnou kanalizáciou boli odstránené všetky krížové dotácie cca do roku 2007 (t. j. boli odstránené medzi pitnou a odpadovou vodou, resp. aj medzi obyvateľstvom a priemyslom).</w:t>
            </w:r>
          </w:p>
          <w:p w:rsidR="00807B64" w:rsidRPr="00AF7FC4" w:rsidRDefault="00807B64" w:rsidP="007B197D">
            <w:pPr>
              <w:jc w:val="left"/>
              <w:rPr>
                <w:sz w:val="20"/>
                <w:szCs w:val="20"/>
              </w:rPr>
            </w:pPr>
          </w:p>
          <w:p w:rsidR="00807B64" w:rsidRPr="00E43137" w:rsidRDefault="00807B64" w:rsidP="007B197D">
            <w:pPr>
              <w:jc w:val="left"/>
              <w:rPr>
                <w:rFonts w:ascii="Calibri" w:hAnsi="Calibri"/>
                <w:sz w:val="20"/>
                <w:szCs w:val="20"/>
              </w:rPr>
            </w:pPr>
            <w:r w:rsidRPr="00AF7FC4">
              <w:rPr>
                <w:sz w:val="20"/>
                <w:szCs w:val="20"/>
              </w:rPr>
              <w:t>Čo sa týka bodových a difúznych zdrojov; bodové zdroje znečistenia sú už v súčasnosti riešené cez poplatky za vypúšťanie vyčistených odpadových vôd. Analyzujú sa možnosti pokrytia nákladov na difúzne zdroje znečistenia zo sektora poľnohospodárstva, ktoré sa budú koordinovať s prístupmi ostatných členských krajín.</w:t>
            </w:r>
          </w:p>
        </w:tc>
      </w:tr>
      <w:tr w:rsidR="00807B64" w:rsidRPr="00E43137" w:rsidTr="00807B64">
        <w:trPr>
          <w:trHeight w:val="703"/>
        </w:trPr>
        <w:tc>
          <w:tcPr>
            <w:tcW w:w="1961" w:type="dxa"/>
            <w:shd w:val="clear" w:color="auto" w:fill="auto"/>
          </w:tcPr>
          <w:p w:rsidR="00807B64" w:rsidRPr="00E43137" w:rsidRDefault="00807B64" w:rsidP="007B197D">
            <w:pPr>
              <w:jc w:val="left"/>
              <w:rPr>
                <w:rFonts w:ascii="Calibri" w:hAnsi="Calibri"/>
                <w:b/>
                <w:sz w:val="20"/>
                <w:szCs w:val="20"/>
              </w:rPr>
            </w:pPr>
            <w:r w:rsidRPr="00E43137">
              <w:rPr>
                <w:rFonts w:ascii="Calibri" w:hAnsi="Calibri"/>
                <w:b/>
                <w:sz w:val="20"/>
                <w:szCs w:val="20"/>
              </w:rPr>
              <w:t xml:space="preserve">5. 5  </w:t>
            </w:r>
            <w:r w:rsidRPr="00E43137">
              <w:rPr>
                <w:rFonts w:ascii="Calibri" w:hAnsi="Calibri"/>
                <w:sz w:val="20"/>
                <w:szCs w:val="20"/>
              </w:rPr>
              <w:t xml:space="preserve">Energia z obnoviteľných zdrojov: </w:t>
            </w:r>
            <w:r>
              <w:rPr>
                <w:rFonts w:ascii="Calibri" w:hAnsi="Calibri"/>
                <w:sz w:val="20"/>
                <w:szCs w:val="20"/>
              </w:rPr>
              <w:t>U</w:t>
            </w:r>
            <w:r w:rsidRPr="00E43137">
              <w:rPr>
                <w:rFonts w:ascii="Calibri" w:hAnsi="Calibri"/>
                <w:sz w:val="20"/>
                <w:szCs w:val="20"/>
              </w:rPr>
              <w:t>skutočn</w:t>
            </w:r>
            <w:r>
              <w:rPr>
                <w:rFonts w:ascii="Calibri" w:hAnsi="Calibri"/>
                <w:sz w:val="20"/>
                <w:szCs w:val="20"/>
              </w:rPr>
              <w:t>ili sa akcie</w:t>
            </w:r>
            <w:r w:rsidRPr="00E43137">
              <w:rPr>
                <w:rFonts w:ascii="Calibri" w:hAnsi="Calibri"/>
                <w:sz w:val="20"/>
                <w:szCs w:val="20"/>
              </w:rPr>
              <w:t xml:space="preserve"> na </w:t>
            </w:r>
            <w:r>
              <w:rPr>
                <w:rFonts w:ascii="Calibri" w:hAnsi="Calibri"/>
                <w:sz w:val="20"/>
                <w:szCs w:val="20"/>
              </w:rPr>
              <w:t>propagáciu</w:t>
            </w:r>
            <w:r w:rsidRPr="00E43137">
              <w:rPr>
                <w:rFonts w:ascii="Calibri" w:hAnsi="Calibri"/>
                <w:sz w:val="20"/>
                <w:szCs w:val="20"/>
              </w:rPr>
              <w:t xml:space="preserve"> výroby a distribúcie </w:t>
            </w:r>
            <w:r>
              <w:rPr>
                <w:rFonts w:ascii="Calibri" w:hAnsi="Calibri"/>
                <w:sz w:val="20"/>
                <w:szCs w:val="20"/>
              </w:rPr>
              <w:t xml:space="preserve">energie z </w:t>
            </w:r>
            <w:r w:rsidRPr="00E43137">
              <w:rPr>
                <w:rFonts w:ascii="Calibri" w:hAnsi="Calibri"/>
                <w:sz w:val="20"/>
                <w:szCs w:val="20"/>
              </w:rPr>
              <w:t xml:space="preserve">obnoviteľných  zdrojov </w:t>
            </w:r>
          </w:p>
        </w:tc>
        <w:tc>
          <w:tcPr>
            <w:tcW w:w="1843" w:type="dxa"/>
            <w:shd w:val="clear" w:color="auto" w:fill="auto"/>
          </w:tcPr>
          <w:p w:rsidR="00807B64" w:rsidRPr="00E43137" w:rsidRDefault="00807B64" w:rsidP="007B197D">
            <w:pPr>
              <w:jc w:val="left"/>
              <w:rPr>
                <w:rFonts w:ascii="Calibri" w:hAnsi="Calibri"/>
                <w:b/>
                <w:sz w:val="20"/>
                <w:szCs w:val="20"/>
              </w:rPr>
            </w:pPr>
            <w:r w:rsidRPr="00E43137">
              <w:rPr>
                <w:rFonts w:ascii="Calibri" w:hAnsi="Calibri"/>
                <w:b/>
                <w:sz w:val="20"/>
                <w:szCs w:val="20"/>
              </w:rPr>
              <w:t>Priorita 5: Propagácia účinného využívania zdrojov a podpora prechodu na nízkouhlíkové hospodárstvo odolné voči zmene klímy v sektoroch poľnohospodárstva potravinárstva a lesného</w:t>
            </w:r>
            <w:r w:rsidRPr="00E43137">
              <w:rPr>
                <w:rFonts w:ascii="Calibri" w:hAnsi="Calibri"/>
                <w:b/>
                <w:sz w:val="20"/>
                <w:szCs w:val="20"/>
              </w:rPr>
              <w:lastRenderedPageBreak/>
              <w:t xml:space="preserve"> hospodárstva</w:t>
            </w:r>
          </w:p>
          <w:p w:rsidR="00807B64" w:rsidRPr="00E43137" w:rsidRDefault="00807B64" w:rsidP="007B197D">
            <w:pPr>
              <w:jc w:val="left"/>
              <w:rPr>
                <w:rFonts w:ascii="Calibri" w:hAnsi="Calibri"/>
                <w:sz w:val="20"/>
                <w:szCs w:val="20"/>
              </w:rPr>
            </w:pPr>
            <w:r w:rsidRPr="00E43137">
              <w:rPr>
                <w:rFonts w:ascii="Calibri" w:hAnsi="Calibri"/>
                <w:sz w:val="20"/>
                <w:szCs w:val="20"/>
              </w:rPr>
              <w:t>Fokusová oblasť 5C</w:t>
            </w:r>
          </w:p>
          <w:p w:rsidR="00807B64" w:rsidRPr="00E43137" w:rsidRDefault="00807B64" w:rsidP="007B197D">
            <w:pPr>
              <w:jc w:val="left"/>
              <w:rPr>
                <w:rFonts w:ascii="Calibri" w:hAnsi="Calibri"/>
                <w:sz w:val="20"/>
                <w:szCs w:val="20"/>
              </w:rPr>
            </w:pPr>
            <w:r w:rsidRPr="00E43137">
              <w:rPr>
                <w:rFonts w:ascii="Calibri" w:hAnsi="Calibri"/>
                <w:sz w:val="20"/>
                <w:szCs w:val="20"/>
              </w:rPr>
              <w:t>Opatrenie čl. 17, 20,  21</w:t>
            </w:r>
            <w:r w:rsidRPr="00E43137">
              <w:rPr>
                <w:rFonts w:ascii="Calibri" w:hAnsi="Calibri"/>
                <w:szCs w:val="22"/>
              </w:rPr>
              <w:t>.</w:t>
            </w:r>
          </w:p>
        </w:tc>
        <w:tc>
          <w:tcPr>
            <w:tcW w:w="1134" w:type="dxa"/>
            <w:shd w:val="clear" w:color="auto" w:fill="auto"/>
          </w:tcPr>
          <w:p w:rsidR="00807B64" w:rsidRPr="00E43137" w:rsidRDefault="00807B64" w:rsidP="007B197D">
            <w:pPr>
              <w:jc w:val="center"/>
              <w:rPr>
                <w:rFonts w:ascii="Calibri" w:hAnsi="Calibri"/>
                <w:b/>
                <w:sz w:val="20"/>
                <w:szCs w:val="20"/>
              </w:rPr>
            </w:pPr>
            <w:r w:rsidRPr="00E43137">
              <w:rPr>
                <w:rFonts w:ascii="Calibri" w:hAnsi="Calibri"/>
                <w:b/>
                <w:sz w:val="20"/>
                <w:szCs w:val="20"/>
              </w:rPr>
              <w:t>áno</w:t>
            </w:r>
          </w:p>
        </w:tc>
        <w:tc>
          <w:tcPr>
            <w:tcW w:w="2409" w:type="dxa"/>
            <w:shd w:val="clear" w:color="auto" w:fill="auto"/>
          </w:tcPr>
          <w:p w:rsidR="00807B64" w:rsidRPr="00E43137" w:rsidRDefault="00807B64" w:rsidP="007B197D">
            <w:pPr>
              <w:numPr>
                <w:ilvl w:val="0"/>
                <w:numId w:val="17"/>
              </w:numPr>
              <w:spacing w:after="120"/>
              <w:ind w:left="176" w:hanging="221"/>
              <w:jc w:val="left"/>
              <w:rPr>
                <w:rFonts w:ascii="Calibri" w:hAnsi="Calibri"/>
                <w:sz w:val="20"/>
                <w:szCs w:val="20"/>
              </w:rPr>
            </w:pPr>
            <w:r>
              <w:rPr>
                <w:rFonts w:ascii="Calibri" w:hAnsi="Calibri" w:cs="Arial"/>
                <w:sz w:val="20"/>
                <w:szCs w:val="20"/>
              </w:rPr>
              <w:t>Zaviedli sa</w:t>
            </w:r>
            <w:r w:rsidRPr="00E43137">
              <w:rPr>
                <w:rFonts w:ascii="Calibri" w:hAnsi="Calibri" w:cs="Arial"/>
                <w:sz w:val="20"/>
                <w:szCs w:val="20"/>
              </w:rPr>
              <w:t xml:space="preserve"> transparentné </w:t>
            </w:r>
            <w:r>
              <w:rPr>
                <w:rFonts w:ascii="Calibri" w:hAnsi="Calibri" w:cs="Arial"/>
                <w:sz w:val="20"/>
                <w:szCs w:val="20"/>
              </w:rPr>
              <w:t>režimy podpory</w:t>
            </w:r>
            <w:r w:rsidRPr="00E43137">
              <w:rPr>
                <w:rFonts w:ascii="Calibri" w:hAnsi="Calibri" w:cs="Arial"/>
                <w:sz w:val="20"/>
                <w:szCs w:val="20"/>
              </w:rPr>
              <w:t xml:space="preserve">, </w:t>
            </w:r>
            <w:r>
              <w:rPr>
                <w:rFonts w:ascii="Calibri" w:hAnsi="Calibri" w:cs="Arial"/>
                <w:sz w:val="20"/>
                <w:szCs w:val="20"/>
              </w:rPr>
              <w:t>prioritný</w:t>
            </w:r>
            <w:r w:rsidRPr="00E43137">
              <w:rPr>
                <w:rFonts w:ascii="Calibri" w:hAnsi="Calibri" w:cs="Arial"/>
                <w:sz w:val="20"/>
                <w:szCs w:val="20"/>
              </w:rPr>
              <w:t xml:space="preserve"> prístup do siete alebo garantovaný prístup a </w:t>
            </w:r>
            <w:r>
              <w:rPr>
                <w:rFonts w:ascii="Calibri" w:hAnsi="Calibri" w:cs="Arial"/>
                <w:sz w:val="20"/>
                <w:szCs w:val="20"/>
              </w:rPr>
              <w:t>priorita pri prenose</w:t>
            </w:r>
            <w:r w:rsidRPr="00E43137">
              <w:rPr>
                <w:rFonts w:ascii="Calibri" w:hAnsi="Calibri" w:cs="Arial"/>
                <w:sz w:val="20"/>
                <w:szCs w:val="20"/>
              </w:rPr>
              <w:t xml:space="preserve">, ako aj štandardné pravidlá týkajúce sa znášania a </w:t>
            </w:r>
            <w:r>
              <w:rPr>
                <w:rFonts w:ascii="Calibri" w:hAnsi="Calibri" w:cs="Arial"/>
                <w:sz w:val="20"/>
                <w:szCs w:val="20"/>
              </w:rPr>
              <w:t>rozdelenia</w:t>
            </w:r>
            <w:r w:rsidRPr="00E43137">
              <w:rPr>
                <w:rFonts w:ascii="Calibri" w:hAnsi="Calibri" w:cs="Arial"/>
                <w:sz w:val="20"/>
                <w:szCs w:val="20"/>
              </w:rPr>
              <w:t xml:space="preserve"> nákladov na technické úpravy, ktoré </w:t>
            </w:r>
            <w:r>
              <w:rPr>
                <w:rFonts w:ascii="Calibri" w:hAnsi="Calibri" w:cs="Arial"/>
                <w:sz w:val="20"/>
                <w:szCs w:val="20"/>
              </w:rPr>
              <w:t>boli uverejnené</w:t>
            </w:r>
            <w:r w:rsidRPr="00E43137">
              <w:rPr>
                <w:rFonts w:ascii="Calibri" w:hAnsi="Calibri" w:cs="Arial"/>
                <w:sz w:val="20"/>
                <w:szCs w:val="20"/>
              </w:rPr>
              <w:t>, v súlade s čl. 14(1), 16(2) a 16(3) smernice</w:t>
            </w:r>
            <w:r w:rsidRPr="00E43137">
              <w:rPr>
                <w:rFonts w:ascii="Calibri" w:hAnsi="Calibri" w:cs="Arial"/>
                <w:sz w:val="20"/>
                <w:szCs w:val="20"/>
              </w:rPr>
              <w:lastRenderedPageBreak/>
              <w:t xml:space="preserve"> 2009/28/ES</w:t>
            </w:r>
          </w:p>
          <w:p w:rsidR="00807B64" w:rsidRPr="00E43137" w:rsidRDefault="00807B64" w:rsidP="007B197D">
            <w:pPr>
              <w:numPr>
                <w:ilvl w:val="0"/>
                <w:numId w:val="17"/>
              </w:numPr>
              <w:ind w:left="176" w:hanging="221"/>
              <w:contextualSpacing/>
              <w:jc w:val="left"/>
              <w:rPr>
                <w:rFonts w:ascii="Calibri" w:hAnsi="Calibri"/>
                <w:sz w:val="20"/>
                <w:szCs w:val="20"/>
              </w:rPr>
            </w:pPr>
            <w:r w:rsidRPr="00E43137">
              <w:rPr>
                <w:rFonts w:ascii="Calibri" w:hAnsi="Calibri"/>
                <w:sz w:val="20"/>
                <w:szCs w:val="20"/>
              </w:rPr>
              <w:t xml:space="preserve">Členský štát prijal </w:t>
            </w:r>
            <w:r>
              <w:rPr>
                <w:rFonts w:ascii="Calibri" w:hAnsi="Calibri"/>
                <w:sz w:val="20"/>
                <w:szCs w:val="20"/>
              </w:rPr>
              <w:t>vnútroštátny</w:t>
            </w:r>
            <w:r w:rsidRPr="00E43137">
              <w:rPr>
                <w:rFonts w:ascii="Calibri" w:hAnsi="Calibri"/>
                <w:sz w:val="20"/>
                <w:szCs w:val="20"/>
              </w:rPr>
              <w:t xml:space="preserve"> akčný plán pre energi</w:t>
            </w:r>
            <w:r>
              <w:rPr>
                <w:rFonts w:ascii="Calibri" w:hAnsi="Calibri"/>
                <w:sz w:val="20"/>
                <w:szCs w:val="20"/>
              </w:rPr>
              <w:t>e</w:t>
            </w:r>
            <w:r w:rsidRPr="00E43137">
              <w:rPr>
                <w:rFonts w:ascii="Calibri" w:hAnsi="Calibri"/>
                <w:sz w:val="20"/>
                <w:szCs w:val="20"/>
              </w:rPr>
              <w:t xml:space="preserve"> z obnoviteľných zdrojov energie, v súlade s článkom 4 smernice 2009/28/ES</w:t>
            </w:r>
          </w:p>
        </w:tc>
        <w:tc>
          <w:tcPr>
            <w:tcW w:w="1134" w:type="dxa"/>
            <w:shd w:val="clear" w:color="auto" w:fill="auto"/>
          </w:tcPr>
          <w:p w:rsidR="00807B64" w:rsidRDefault="00807B64" w:rsidP="007B197D">
            <w:pPr>
              <w:jc w:val="center"/>
              <w:rPr>
                <w:rFonts w:ascii="Calibri" w:hAnsi="Calibri"/>
                <w:b/>
                <w:sz w:val="20"/>
                <w:szCs w:val="20"/>
              </w:rPr>
            </w:pPr>
            <w:r>
              <w:rPr>
                <w:rFonts w:ascii="Calibri" w:hAnsi="Calibri"/>
                <w:b/>
                <w:sz w:val="20"/>
                <w:szCs w:val="20"/>
              </w:rPr>
              <w:t>á</w:t>
            </w:r>
            <w:r w:rsidRPr="00E43137">
              <w:rPr>
                <w:rFonts w:ascii="Calibri" w:hAnsi="Calibri"/>
                <w:b/>
                <w:sz w:val="20"/>
                <w:szCs w:val="20"/>
              </w:rPr>
              <w:t>no</w:t>
            </w:r>
          </w:p>
          <w:p w:rsidR="00807B64" w:rsidRDefault="00807B64" w:rsidP="007B197D">
            <w:pPr>
              <w:jc w:val="center"/>
              <w:rPr>
                <w:rFonts w:ascii="Calibri" w:hAnsi="Calibri"/>
                <w:b/>
                <w:sz w:val="20"/>
                <w:szCs w:val="20"/>
              </w:rPr>
            </w:pPr>
          </w:p>
          <w:p w:rsidR="00807B64" w:rsidRDefault="00807B64" w:rsidP="007B197D">
            <w:pPr>
              <w:jc w:val="center"/>
              <w:rPr>
                <w:rFonts w:ascii="Calibri" w:hAnsi="Calibri"/>
                <w:b/>
                <w:sz w:val="20"/>
                <w:szCs w:val="20"/>
              </w:rPr>
            </w:pPr>
          </w:p>
          <w:p w:rsidR="00807B64" w:rsidRDefault="00807B64" w:rsidP="007B197D">
            <w:pPr>
              <w:jc w:val="center"/>
              <w:rPr>
                <w:rFonts w:ascii="Calibri" w:hAnsi="Calibri"/>
                <w:b/>
                <w:sz w:val="20"/>
                <w:szCs w:val="20"/>
              </w:rPr>
            </w:pPr>
          </w:p>
          <w:p w:rsidR="00807B64" w:rsidRDefault="00807B64" w:rsidP="007B197D">
            <w:pPr>
              <w:jc w:val="center"/>
              <w:rPr>
                <w:rFonts w:ascii="Calibri" w:hAnsi="Calibri"/>
                <w:b/>
                <w:sz w:val="20"/>
                <w:szCs w:val="20"/>
              </w:rPr>
            </w:pPr>
          </w:p>
          <w:p w:rsidR="00807B64" w:rsidRDefault="00807B64" w:rsidP="007B197D">
            <w:pPr>
              <w:jc w:val="center"/>
              <w:rPr>
                <w:rFonts w:ascii="Calibri" w:hAnsi="Calibri"/>
                <w:b/>
                <w:sz w:val="20"/>
                <w:szCs w:val="20"/>
              </w:rPr>
            </w:pPr>
          </w:p>
          <w:p w:rsidR="00807B64" w:rsidRDefault="00807B64" w:rsidP="007B197D">
            <w:pPr>
              <w:jc w:val="center"/>
              <w:rPr>
                <w:rFonts w:ascii="Calibri" w:hAnsi="Calibri"/>
                <w:b/>
                <w:sz w:val="20"/>
                <w:szCs w:val="20"/>
              </w:rPr>
            </w:pPr>
          </w:p>
          <w:p w:rsidR="00807B64" w:rsidRDefault="00807B64" w:rsidP="007B197D">
            <w:pPr>
              <w:jc w:val="center"/>
              <w:rPr>
                <w:rFonts w:ascii="Calibri" w:hAnsi="Calibri"/>
                <w:b/>
                <w:sz w:val="20"/>
                <w:szCs w:val="20"/>
              </w:rPr>
            </w:pPr>
          </w:p>
          <w:p w:rsidR="00807B64" w:rsidRDefault="00807B64" w:rsidP="007B197D">
            <w:pPr>
              <w:jc w:val="center"/>
              <w:rPr>
                <w:rFonts w:ascii="Calibri" w:hAnsi="Calibri"/>
                <w:b/>
                <w:sz w:val="20"/>
                <w:szCs w:val="20"/>
              </w:rPr>
            </w:pPr>
          </w:p>
          <w:p w:rsidR="00807B64" w:rsidRDefault="00807B64" w:rsidP="007B197D">
            <w:pPr>
              <w:jc w:val="center"/>
              <w:rPr>
                <w:rFonts w:ascii="Calibri" w:hAnsi="Calibri"/>
                <w:b/>
                <w:sz w:val="20"/>
                <w:szCs w:val="20"/>
              </w:rPr>
            </w:pPr>
          </w:p>
          <w:p w:rsidR="00807B64" w:rsidRDefault="00807B64" w:rsidP="007B197D">
            <w:pPr>
              <w:jc w:val="center"/>
              <w:rPr>
                <w:rFonts w:ascii="Calibri" w:hAnsi="Calibri"/>
                <w:b/>
                <w:sz w:val="20"/>
                <w:szCs w:val="20"/>
              </w:rPr>
            </w:pPr>
          </w:p>
          <w:p w:rsidR="00807B64" w:rsidRDefault="00807B64" w:rsidP="007B197D">
            <w:pPr>
              <w:jc w:val="center"/>
              <w:rPr>
                <w:rFonts w:ascii="Calibri" w:hAnsi="Calibri"/>
                <w:b/>
                <w:sz w:val="20"/>
                <w:szCs w:val="20"/>
              </w:rPr>
            </w:pPr>
          </w:p>
          <w:p w:rsidR="00807B64" w:rsidRDefault="00807B64" w:rsidP="007B197D">
            <w:pPr>
              <w:jc w:val="center"/>
              <w:rPr>
                <w:rFonts w:ascii="Calibri" w:hAnsi="Calibri"/>
                <w:b/>
                <w:sz w:val="20"/>
                <w:szCs w:val="20"/>
              </w:rPr>
            </w:pPr>
          </w:p>
          <w:p w:rsidR="00807B64" w:rsidRDefault="00807B64" w:rsidP="007B197D">
            <w:pPr>
              <w:jc w:val="center"/>
              <w:rPr>
                <w:rFonts w:ascii="Calibri" w:hAnsi="Calibri"/>
                <w:b/>
                <w:sz w:val="20"/>
                <w:szCs w:val="20"/>
              </w:rPr>
            </w:pPr>
          </w:p>
          <w:p w:rsidR="00807B64" w:rsidRDefault="00807B64" w:rsidP="007B197D">
            <w:pPr>
              <w:jc w:val="center"/>
              <w:rPr>
                <w:rFonts w:ascii="Calibri" w:hAnsi="Calibri"/>
                <w:b/>
                <w:sz w:val="20"/>
                <w:szCs w:val="20"/>
              </w:rPr>
            </w:pPr>
          </w:p>
          <w:p w:rsidR="00807B64" w:rsidRPr="00E43137" w:rsidRDefault="00807B64" w:rsidP="007B197D">
            <w:pPr>
              <w:jc w:val="center"/>
              <w:rPr>
                <w:rFonts w:ascii="Calibri" w:hAnsi="Calibri"/>
                <w:b/>
                <w:sz w:val="20"/>
                <w:szCs w:val="20"/>
              </w:rPr>
            </w:pPr>
            <w:r>
              <w:rPr>
                <w:rFonts w:ascii="Calibri" w:hAnsi="Calibri"/>
                <w:b/>
                <w:sz w:val="20"/>
                <w:szCs w:val="20"/>
              </w:rPr>
              <w:t>áno</w:t>
            </w:r>
          </w:p>
        </w:tc>
        <w:tc>
          <w:tcPr>
            <w:tcW w:w="3828" w:type="dxa"/>
            <w:shd w:val="clear" w:color="auto" w:fill="auto"/>
          </w:tcPr>
          <w:p w:rsidR="00807B64" w:rsidRPr="00E43137" w:rsidRDefault="00807B64" w:rsidP="007B197D">
            <w:pPr>
              <w:ind w:left="-35"/>
              <w:jc w:val="left"/>
              <w:rPr>
                <w:rFonts w:ascii="Calibri" w:hAnsi="Calibri"/>
                <w:sz w:val="20"/>
                <w:szCs w:val="20"/>
              </w:rPr>
            </w:pPr>
            <w:r w:rsidRPr="00E43137">
              <w:rPr>
                <w:rFonts w:ascii="Calibri" w:hAnsi="Calibri"/>
                <w:sz w:val="20"/>
                <w:szCs w:val="20"/>
              </w:rPr>
              <w:t>Zákon č. 309/2009 Z. z.</w:t>
            </w:r>
          </w:p>
          <w:p w:rsidR="00807B64" w:rsidRPr="00E43137" w:rsidRDefault="00954688" w:rsidP="007B197D">
            <w:pPr>
              <w:ind w:left="-35"/>
              <w:jc w:val="left"/>
              <w:rPr>
                <w:rFonts w:ascii="Calibri" w:hAnsi="Calibri"/>
                <w:sz w:val="20"/>
                <w:szCs w:val="20"/>
              </w:rPr>
            </w:pPr>
            <w:hyperlink r:id="rId71" w:history="1">
              <w:r w:rsidR="00807B64" w:rsidRPr="00E43137">
                <w:rPr>
                  <w:rFonts w:ascii="Calibri" w:hAnsi="Calibri"/>
                  <w:color w:val="0000FF"/>
                  <w:sz w:val="20"/>
                  <w:szCs w:val="20"/>
                  <w:u w:val="single"/>
                </w:rPr>
                <w:t>http://www.mhsr.sk/obnovitelne-zdroje-energie-a-kombinovana-vyroba/130978s</w:t>
              </w:r>
            </w:hyperlink>
            <w:r w:rsidR="00807B64" w:rsidRPr="00E43137">
              <w:rPr>
                <w:rFonts w:ascii="Calibri" w:hAnsi="Calibri"/>
                <w:sz w:val="20"/>
                <w:szCs w:val="20"/>
              </w:rPr>
              <w:t xml:space="preserve">  </w:t>
            </w:r>
          </w:p>
          <w:p w:rsidR="00807B64" w:rsidRPr="0084677B" w:rsidRDefault="00807B64" w:rsidP="007B197D">
            <w:pPr>
              <w:jc w:val="left"/>
              <w:rPr>
                <w:i/>
                <w:sz w:val="20"/>
                <w:szCs w:val="20"/>
              </w:rPr>
            </w:pPr>
            <w:r w:rsidRPr="0084677B">
              <w:rPr>
                <w:i/>
                <w:sz w:val="20"/>
                <w:szCs w:val="20"/>
              </w:rPr>
              <w:t>Vyhláška ÚRSO č. 225/2011 Z. z., ktorou sa ustanovuje cenová regulácia v elektroenergetike.</w:t>
            </w:r>
          </w:p>
          <w:p w:rsidR="00807B64" w:rsidRPr="0084677B" w:rsidRDefault="00954688" w:rsidP="007B197D">
            <w:pPr>
              <w:jc w:val="left"/>
              <w:rPr>
                <w:color w:val="0000FF"/>
                <w:sz w:val="20"/>
                <w:szCs w:val="20"/>
                <w:u w:val="single"/>
              </w:rPr>
            </w:pPr>
            <w:hyperlink r:id="rId72" w:history="1">
              <w:r w:rsidR="00807B64" w:rsidRPr="0084677B">
                <w:rPr>
                  <w:color w:val="0000FF"/>
                  <w:sz w:val="20"/>
                  <w:szCs w:val="20"/>
                  <w:u w:val="single"/>
                </w:rPr>
                <w:t>http://www.urso.gov.sk/sites/default/files/vyhl_225-2011.pdf</w:t>
              </w:r>
            </w:hyperlink>
          </w:p>
          <w:p w:rsidR="00807B64" w:rsidRDefault="00807B64" w:rsidP="007B197D">
            <w:pPr>
              <w:jc w:val="left"/>
              <w:rPr>
                <w:rFonts w:ascii="Calibri" w:hAnsi="Calibri"/>
                <w:sz w:val="20"/>
                <w:szCs w:val="20"/>
              </w:rPr>
            </w:pPr>
          </w:p>
          <w:p w:rsidR="00807B64" w:rsidRPr="00E43137" w:rsidRDefault="00807B64" w:rsidP="007B197D">
            <w:pPr>
              <w:jc w:val="left"/>
              <w:rPr>
                <w:rFonts w:ascii="Calibri" w:hAnsi="Calibri"/>
                <w:sz w:val="20"/>
                <w:szCs w:val="20"/>
              </w:rPr>
            </w:pPr>
            <w:r w:rsidRPr="00E43137">
              <w:rPr>
                <w:rFonts w:ascii="Calibri" w:hAnsi="Calibri"/>
                <w:sz w:val="20"/>
                <w:szCs w:val="20"/>
              </w:rPr>
              <w:t xml:space="preserve"> Národný akčný plán pre energiu z obnoviteľných zdrojov</w:t>
            </w:r>
          </w:p>
          <w:p w:rsidR="00807B64" w:rsidRPr="00E43137" w:rsidRDefault="00954688" w:rsidP="007B197D">
            <w:pPr>
              <w:ind w:left="-35"/>
              <w:jc w:val="left"/>
              <w:rPr>
                <w:rFonts w:ascii="Calibri" w:hAnsi="Calibri"/>
                <w:sz w:val="20"/>
                <w:szCs w:val="20"/>
              </w:rPr>
            </w:pPr>
            <w:hyperlink r:id="rId73" w:history="1">
              <w:r w:rsidR="00807B64" w:rsidRPr="00E43137">
                <w:rPr>
                  <w:rFonts w:ascii="Calibri" w:hAnsi="Calibri"/>
                  <w:color w:val="0000FF"/>
                  <w:sz w:val="20"/>
                  <w:szCs w:val="20"/>
                  <w:u w:val="single"/>
                </w:rPr>
                <w:t>http://ec.europa.eu/energy/renewables/transparency_platform/doc/dir_2009_0028_a</w:t>
              </w:r>
              <w:r w:rsidR="00807B64" w:rsidRPr="00E43137">
                <w:rPr>
                  <w:rFonts w:ascii="Calibri" w:hAnsi="Calibri"/>
                  <w:color w:val="0000FF"/>
                  <w:sz w:val="20"/>
                  <w:szCs w:val="20"/>
                  <w:u w:val="single"/>
                </w:rPr>
                <w:lastRenderedPageBreak/>
                <w:t>ction_plan_slovakia.zip</w:t>
              </w:r>
            </w:hyperlink>
          </w:p>
        </w:tc>
        <w:tc>
          <w:tcPr>
            <w:tcW w:w="3921" w:type="dxa"/>
            <w:shd w:val="clear" w:color="auto" w:fill="auto"/>
          </w:tcPr>
          <w:p w:rsidR="00807B64" w:rsidRDefault="00807B64" w:rsidP="007B197D">
            <w:pPr>
              <w:ind w:left="-35"/>
              <w:jc w:val="left"/>
              <w:rPr>
                <w:rFonts w:ascii="Calibri" w:hAnsi="Calibri"/>
                <w:sz w:val="20"/>
                <w:szCs w:val="20"/>
              </w:rPr>
            </w:pPr>
            <w:r w:rsidRPr="00E43137">
              <w:rPr>
                <w:rFonts w:ascii="Calibri" w:hAnsi="Calibri"/>
                <w:sz w:val="20"/>
                <w:szCs w:val="20"/>
              </w:rPr>
              <w:t>Ex ante kondicionalita č. 4.3 v zmysle nariadenia (EÚ) 1303/2013.</w:t>
            </w:r>
          </w:p>
          <w:p w:rsidR="00807B64" w:rsidRPr="0084677B" w:rsidRDefault="00807B64" w:rsidP="007B197D">
            <w:pPr>
              <w:jc w:val="left"/>
              <w:rPr>
                <w:sz w:val="20"/>
                <w:szCs w:val="20"/>
              </w:rPr>
            </w:pPr>
            <w:r w:rsidRPr="0084677B">
              <w:rPr>
                <w:sz w:val="20"/>
                <w:szCs w:val="20"/>
              </w:rPr>
              <w:t>Zákonom č. 309/2009 Z. z. sú zavedené transparentné podporné schémy. Výrobca elektriny, s právom na podporu, má právo na prednostné pripojenie do distribučnej sústavy, prednostný prenos elektriny, prednostnú distribúciu elektriny a prednostnú dodávku elektriny, ak zariadenie na výrobu elektriny spĺňa technické podmienky prevádzkovateľa sústavy podľa osobitného predpisu a neohrozí bezpečnosť a spoľahlivosť prevádzky sústavy; prednostný</w:t>
            </w:r>
            <w:r w:rsidRPr="0084677B">
              <w:rPr>
                <w:sz w:val="20"/>
                <w:szCs w:val="20"/>
              </w:rPr>
              <w:lastRenderedPageBreak/>
              <w:t xml:space="preserve"> prenos elektriny sa nevzťahuje na prenos elektriny spojovacím vedením.</w:t>
            </w:r>
          </w:p>
          <w:p w:rsidR="00807B64" w:rsidRPr="0084677B" w:rsidRDefault="00807B64" w:rsidP="007B197D">
            <w:pPr>
              <w:jc w:val="left"/>
              <w:rPr>
                <w:sz w:val="20"/>
                <w:szCs w:val="20"/>
              </w:rPr>
            </w:pPr>
          </w:p>
          <w:p w:rsidR="00807B64" w:rsidRPr="00E43137" w:rsidRDefault="00807B64" w:rsidP="007B197D">
            <w:pPr>
              <w:ind w:left="-35"/>
              <w:jc w:val="left"/>
              <w:rPr>
                <w:rFonts w:ascii="Calibri" w:hAnsi="Calibri"/>
                <w:b/>
                <w:sz w:val="20"/>
                <w:szCs w:val="20"/>
              </w:rPr>
            </w:pPr>
            <w:r w:rsidRPr="0084677B">
              <w:rPr>
                <w:sz w:val="20"/>
                <w:szCs w:val="20"/>
              </w:rPr>
              <w:t>Vyhláška ÚRSO č. 225/2011 Z. z. ustanovuje štandardné pravidlá týkajúce sa znášania a zdieľania nákladov na technické úpravy.</w:t>
            </w:r>
          </w:p>
        </w:tc>
      </w:tr>
      <w:tr w:rsidR="00807B64" w:rsidRPr="00E43137" w:rsidTr="00807B64">
        <w:trPr>
          <w:trHeight w:val="703"/>
        </w:trPr>
        <w:tc>
          <w:tcPr>
            <w:tcW w:w="1961" w:type="dxa"/>
            <w:shd w:val="clear" w:color="auto" w:fill="auto"/>
          </w:tcPr>
          <w:p w:rsidR="00807B64" w:rsidRPr="00E43137" w:rsidRDefault="00807B64" w:rsidP="007B197D">
            <w:pPr>
              <w:jc w:val="left"/>
              <w:rPr>
                <w:rFonts w:ascii="Calibri" w:hAnsi="Calibri"/>
                <w:sz w:val="20"/>
                <w:szCs w:val="20"/>
              </w:rPr>
            </w:pPr>
            <w:r w:rsidRPr="00E43137">
              <w:rPr>
                <w:rFonts w:ascii="Calibri" w:hAnsi="Calibri"/>
                <w:b/>
                <w:sz w:val="20"/>
                <w:szCs w:val="20"/>
              </w:rPr>
              <w:t>6.3</w:t>
            </w:r>
            <w:r w:rsidRPr="00E43137">
              <w:rPr>
                <w:rFonts w:ascii="Calibri" w:hAnsi="Calibri"/>
                <w:sz w:val="20"/>
                <w:szCs w:val="20"/>
              </w:rPr>
              <w:t xml:space="preserve"> Infraštruktúra </w:t>
            </w:r>
            <w:r>
              <w:rPr>
                <w:rFonts w:ascii="Calibri" w:hAnsi="Calibri"/>
                <w:sz w:val="20"/>
                <w:szCs w:val="20"/>
              </w:rPr>
              <w:t>pre</w:t>
            </w:r>
            <w:r w:rsidRPr="00E43137">
              <w:rPr>
                <w:rFonts w:ascii="Calibri" w:hAnsi="Calibri"/>
                <w:sz w:val="20"/>
                <w:szCs w:val="20"/>
              </w:rPr>
              <w:t xml:space="preserve"> siet</w:t>
            </w:r>
            <w:r>
              <w:rPr>
                <w:rFonts w:ascii="Calibri" w:hAnsi="Calibri"/>
                <w:sz w:val="20"/>
                <w:szCs w:val="20"/>
              </w:rPr>
              <w:t>e</w:t>
            </w:r>
            <w:r w:rsidRPr="00E43137">
              <w:rPr>
                <w:rFonts w:ascii="Calibri" w:hAnsi="Calibri"/>
                <w:sz w:val="20"/>
                <w:szCs w:val="20"/>
              </w:rPr>
              <w:t xml:space="preserve"> </w:t>
            </w:r>
            <w:r>
              <w:rPr>
                <w:rFonts w:ascii="Calibri" w:hAnsi="Calibri"/>
                <w:sz w:val="20"/>
                <w:szCs w:val="20"/>
              </w:rPr>
              <w:t>budúcej</w:t>
            </w:r>
            <w:r w:rsidRPr="00E43137">
              <w:rPr>
                <w:rFonts w:ascii="Calibri" w:hAnsi="Calibri"/>
                <w:sz w:val="20"/>
                <w:szCs w:val="20"/>
              </w:rPr>
              <w:t xml:space="preserve"> generácie (NGN): Existencia </w:t>
            </w:r>
            <w:r>
              <w:rPr>
                <w:rFonts w:ascii="Calibri" w:hAnsi="Calibri"/>
                <w:sz w:val="20"/>
                <w:szCs w:val="20"/>
              </w:rPr>
              <w:t>vnútroštátnych</w:t>
            </w:r>
            <w:r w:rsidRPr="00E43137">
              <w:rPr>
                <w:rFonts w:ascii="Calibri" w:hAnsi="Calibri"/>
                <w:sz w:val="20"/>
                <w:szCs w:val="20"/>
              </w:rPr>
              <w:t xml:space="preserve"> alebo regionálnych plánov NGA, </w:t>
            </w:r>
            <w:r>
              <w:rPr>
                <w:rFonts w:ascii="Calibri" w:hAnsi="Calibri"/>
                <w:sz w:val="20"/>
                <w:szCs w:val="20"/>
              </w:rPr>
              <w:t>ktoré</w:t>
            </w:r>
            <w:r w:rsidRPr="00E43137">
              <w:rPr>
                <w:rFonts w:ascii="Calibri" w:hAnsi="Calibri"/>
                <w:sz w:val="20"/>
                <w:szCs w:val="20"/>
              </w:rPr>
              <w:t xml:space="preserve"> zohľadňujú regionálne </w:t>
            </w:r>
            <w:r>
              <w:rPr>
                <w:rFonts w:ascii="Calibri" w:hAnsi="Calibri"/>
                <w:sz w:val="20"/>
                <w:szCs w:val="20"/>
              </w:rPr>
              <w:t>činnosti</w:t>
            </w:r>
            <w:r w:rsidRPr="00E43137">
              <w:rPr>
                <w:rFonts w:ascii="Calibri" w:hAnsi="Calibri"/>
                <w:sz w:val="20"/>
                <w:szCs w:val="20"/>
              </w:rPr>
              <w:t xml:space="preserve"> s cieľom dosiahnuť ciele </w:t>
            </w:r>
            <w:r>
              <w:rPr>
                <w:rFonts w:ascii="Calibri" w:hAnsi="Calibri"/>
                <w:sz w:val="20"/>
                <w:szCs w:val="20"/>
              </w:rPr>
              <w:t xml:space="preserve">Únie </w:t>
            </w:r>
            <w:r w:rsidRPr="00E43137">
              <w:rPr>
                <w:rFonts w:ascii="Calibri" w:hAnsi="Calibri"/>
                <w:sz w:val="20"/>
                <w:szCs w:val="20"/>
              </w:rPr>
              <w:t xml:space="preserve"> </w:t>
            </w:r>
            <w:r>
              <w:rPr>
                <w:rFonts w:ascii="Calibri" w:hAnsi="Calibri"/>
                <w:sz w:val="20"/>
                <w:szCs w:val="20"/>
              </w:rPr>
              <w:t xml:space="preserve">týkajúce sa </w:t>
            </w:r>
            <w:r w:rsidRPr="00E43137">
              <w:rPr>
                <w:rFonts w:ascii="Calibri" w:hAnsi="Calibri"/>
                <w:sz w:val="20"/>
                <w:szCs w:val="20"/>
              </w:rPr>
              <w:t>vysokorýchlostné</w:t>
            </w:r>
            <w:r>
              <w:rPr>
                <w:rFonts w:ascii="Calibri" w:hAnsi="Calibri"/>
                <w:sz w:val="20"/>
                <w:szCs w:val="20"/>
              </w:rPr>
              <w:t>ho prístupu na</w:t>
            </w:r>
            <w:r w:rsidRPr="00E43137">
              <w:rPr>
                <w:rFonts w:ascii="Calibri" w:hAnsi="Calibri"/>
                <w:sz w:val="20"/>
                <w:szCs w:val="20"/>
              </w:rPr>
              <w:t xml:space="preserve"> internet, </w:t>
            </w:r>
            <w:r>
              <w:rPr>
                <w:rFonts w:ascii="Calibri" w:hAnsi="Calibri"/>
                <w:sz w:val="20"/>
                <w:szCs w:val="20"/>
              </w:rPr>
              <w:t>zameriavajúc sa na</w:t>
            </w:r>
            <w:r w:rsidRPr="00E43137">
              <w:rPr>
                <w:rFonts w:ascii="Calibri" w:hAnsi="Calibri"/>
                <w:sz w:val="20"/>
                <w:szCs w:val="20"/>
              </w:rPr>
              <w:t xml:space="preserve"> oblasti, </w:t>
            </w:r>
            <w:r>
              <w:rPr>
                <w:rFonts w:ascii="Calibri" w:hAnsi="Calibri"/>
                <w:sz w:val="20"/>
                <w:szCs w:val="20"/>
              </w:rPr>
              <w:t>kde</w:t>
            </w:r>
            <w:r w:rsidRPr="00E43137">
              <w:rPr>
                <w:rFonts w:ascii="Calibri" w:hAnsi="Calibri"/>
                <w:sz w:val="20"/>
                <w:szCs w:val="20"/>
              </w:rPr>
              <w:t xml:space="preserve"> trh </w:t>
            </w:r>
            <w:r>
              <w:rPr>
                <w:rFonts w:ascii="Calibri" w:hAnsi="Calibri"/>
                <w:sz w:val="20"/>
                <w:szCs w:val="20"/>
              </w:rPr>
              <w:t>ne</w:t>
            </w:r>
            <w:r w:rsidRPr="00E43137">
              <w:rPr>
                <w:rFonts w:ascii="Calibri" w:hAnsi="Calibri"/>
                <w:sz w:val="20"/>
                <w:szCs w:val="20"/>
              </w:rPr>
              <w:t>poskyt</w:t>
            </w:r>
            <w:r>
              <w:rPr>
                <w:rFonts w:ascii="Calibri" w:hAnsi="Calibri"/>
                <w:sz w:val="20"/>
                <w:szCs w:val="20"/>
              </w:rPr>
              <w:t>uje</w:t>
            </w:r>
            <w:r w:rsidRPr="00E43137">
              <w:rPr>
                <w:rFonts w:ascii="Calibri" w:hAnsi="Calibri"/>
                <w:sz w:val="20"/>
                <w:szCs w:val="20"/>
              </w:rPr>
              <w:t xml:space="preserve"> otvorenú infraštruktúru </w:t>
            </w:r>
            <w:r>
              <w:rPr>
                <w:rFonts w:ascii="Calibri" w:hAnsi="Calibri"/>
                <w:sz w:val="20"/>
                <w:szCs w:val="20"/>
              </w:rPr>
              <w:t xml:space="preserve">za dostupnú cenu a </w:t>
            </w:r>
            <w:r w:rsidRPr="00E43137">
              <w:rPr>
                <w:rFonts w:ascii="Calibri" w:hAnsi="Calibri"/>
                <w:sz w:val="20"/>
                <w:szCs w:val="20"/>
              </w:rPr>
              <w:t xml:space="preserve"> kvalit</w:t>
            </w:r>
            <w:r>
              <w:rPr>
                <w:rFonts w:ascii="Calibri" w:hAnsi="Calibri"/>
                <w:sz w:val="20"/>
                <w:szCs w:val="20"/>
              </w:rPr>
              <w:t>u</w:t>
            </w:r>
            <w:r w:rsidRPr="00E43137">
              <w:rPr>
                <w:rFonts w:ascii="Calibri" w:hAnsi="Calibri"/>
                <w:sz w:val="20"/>
                <w:szCs w:val="20"/>
              </w:rPr>
              <w:t xml:space="preserve"> v súlade s pravidlami </w:t>
            </w:r>
            <w:r>
              <w:rPr>
                <w:rFonts w:ascii="Calibri" w:hAnsi="Calibri"/>
                <w:sz w:val="20"/>
                <w:szCs w:val="20"/>
              </w:rPr>
              <w:t>Únie</w:t>
            </w:r>
            <w:r w:rsidRPr="00E43137">
              <w:rPr>
                <w:rFonts w:ascii="Calibri" w:hAnsi="Calibri"/>
                <w:sz w:val="20"/>
                <w:szCs w:val="20"/>
              </w:rPr>
              <w:t xml:space="preserve"> </w:t>
            </w:r>
            <w:r>
              <w:rPr>
                <w:rFonts w:ascii="Calibri" w:hAnsi="Calibri"/>
                <w:sz w:val="20"/>
                <w:szCs w:val="20"/>
              </w:rPr>
              <w:t>v</w:t>
            </w:r>
            <w:r>
              <w:rPr>
                <w:rFonts w:ascii="Calibri" w:hAnsi="Calibri"/>
                <w:sz w:val="20"/>
                <w:szCs w:val="20"/>
              </w:rPr>
              <w:lastRenderedPageBreak/>
              <w:t xml:space="preserve"> oblasti</w:t>
            </w:r>
            <w:r w:rsidRPr="00E43137">
              <w:rPr>
                <w:rFonts w:ascii="Calibri" w:hAnsi="Calibri"/>
                <w:sz w:val="20"/>
                <w:szCs w:val="20"/>
              </w:rPr>
              <w:t xml:space="preserve"> hospodárs</w:t>
            </w:r>
            <w:r>
              <w:rPr>
                <w:rFonts w:ascii="Calibri" w:hAnsi="Calibri"/>
                <w:sz w:val="20"/>
                <w:szCs w:val="20"/>
              </w:rPr>
              <w:t>kej</w:t>
            </w:r>
            <w:r w:rsidRPr="00E43137">
              <w:rPr>
                <w:rFonts w:ascii="Calibri" w:hAnsi="Calibri"/>
                <w:sz w:val="20"/>
                <w:szCs w:val="20"/>
              </w:rPr>
              <w:t xml:space="preserve"> súťaž</w:t>
            </w:r>
            <w:r>
              <w:rPr>
                <w:rFonts w:ascii="Calibri" w:hAnsi="Calibri"/>
                <w:sz w:val="20"/>
                <w:szCs w:val="20"/>
              </w:rPr>
              <w:t>e</w:t>
            </w:r>
            <w:r w:rsidRPr="00E43137">
              <w:rPr>
                <w:rFonts w:ascii="Calibri" w:hAnsi="Calibri"/>
                <w:sz w:val="20"/>
                <w:szCs w:val="20"/>
              </w:rPr>
              <w:t xml:space="preserve"> a štátn</w:t>
            </w:r>
            <w:r>
              <w:rPr>
                <w:rFonts w:ascii="Calibri" w:hAnsi="Calibri"/>
                <w:sz w:val="20"/>
                <w:szCs w:val="20"/>
              </w:rPr>
              <w:t>ej</w:t>
            </w:r>
            <w:r w:rsidRPr="00E43137">
              <w:rPr>
                <w:rFonts w:ascii="Calibri" w:hAnsi="Calibri"/>
                <w:sz w:val="20"/>
                <w:szCs w:val="20"/>
              </w:rPr>
              <w:t xml:space="preserve"> pomoc</w:t>
            </w:r>
            <w:r>
              <w:rPr>
                <w:rFonts w:ascii="Calibri" w:hAnsi="Calibri"/>
                <w:sz w:val="20"/>
                <w:szCs w:val="20"/>
              </w:rPr>
              <w:t>i</w:t>
            </w:r>
            <w:r w:rsidRPr="00E43137">
              <w:rPr>
                <w:rFonts w:ascii="Calibri" w:hAnsi="Calibri"/>
                <w:sz w:val="20"/>
                <w:szCs w:val="20"/>
              </w:rPr>
              <w:t xml:space="preserve"> a poskytovanie dostupných služieb pre zraniteľné skupiny</w:t>
            </w:r>
          </w:p>
        </w:tc>
        <w:tc>
          <w:tcPr>
            <w:tcW w:w="1843" w:type="dxa"/>
            <w:shd w:val="clear" w:color="auto" w:fill="auto"/>
          </w:tcPr>
          <w:p w:rsidR="00807B64" w:rsidRPr="00E43137" w:rsidRDefault="00807B64" w:rsidP="007B197D">
            <w:pPr>
              <w:jc w:val="left"/>
              <w:rPr>
                <w:rFonts w:ascii="Calibri" w:hAnsi="Calibri"/>
                <w:b/>
                <w:sz w:val="20"/>
                <w:szCs w:val="20"/>
              </w:rPr>
            </w:pPr>
            <w:r w:rsidRPr="00E43137">
              <w:rPr>
                <w:rFonts w:ascii="Calibri" w:hAnsi="Calibri"/>
                <w:b/>
                <w:sz w:val="20"/>
                <w:szCs w:val="20"/>
              </w:rPr>
              <w:t>Priorita pre rozvoj vidieka 6: Podpora sociálnej inklúzie, zmiernenia chudoby a podpora hospodárskeho rastu vo vidieckych oblastiach</w:t>
            </w:r>
          </w:p>
          <w:p w:rsidR="00807B64" w:rsidRPr="00E43137" w:rsidRDefault="00807B64" w:rsidP="007B197D">
            <w:pPr>
              <w:jc w:val="left"/>
              <w:rPr>
                <w:rFonts w:ascii="Calibri" w:hAnsi="Calibri"/>
                <w:sz w:val="20"/>
                <w:szCs w:val="20"/>
              </w:rPr>
            </w:pPr>
            <w:r w:rsidRPr="00E43137">
              <w:rPr>
                <w:rFonts w:ascii="Calibri" w:hAnsi="Calibri"/>
                <w:sz w:val="20"/>
                <w:szCs w:val="20"/>
              </w:rPr>
              <w:t>Fokusová oblasť 6C,</w:t>
            </w:r>
          </w:p>
          <w:p w:rsidR="00807B64" w:rsidRPr="00E43137" w:rsidRDefault="00807B64" w:rsidP="007B197D">
            <w:pPr>
              <w:jc w:val="left"/>
              <w:rPr>
                <w:rFonts w:ascii="Calibri" w:hAnsi="Calibri"/>
                <w:b/>
                <w:sz w:val="20"/>
                <w:szCs w:val="20"/>
              </w:rPr>
            </w:pPr>
            <w:r w:rsidRPr="00E43137">
              <w:rPr>
                <w:rFonts w:ascii="Calibri" w:hAnsi="Calibri"/>
                <w:sz w:val="20"/>
                <w:szCs w:val="20"/>
              </w:rPr>
              <w:t>Opatrenie čl. 20.</w:t>
            </w:r>
          </w:p>
        </w:tc>
        <w:tc>
          <w:tcPr>
            <w:tcW w:w="1134" w:type="dxa"/>
            <w:shd w:val="clear" w:color="auto" w:fill="auto"/>
          </w:tcPr>
          <w:p w:rsidR="00807B64" w:rsidRPr="00E43137" w:rsidRDefault="00807B64" w:rsidP="007B197D">
            <w:pPr>
              <w:jc w:val="center"/>
              <w:rPr>
                <w:rFonts w:ascii="Calibri" w:hAnsi="Calibri"/>
                <w:b/>
                <w:sz w:val="20"/>
                <w:szCs w:val="20"/>
              </w:rPr>
            </w:pPr>
            <w:r w:rsidRPr="00E43137">
              <w:rPr>
                <w:rFonts w:ascii="Calibri" w:hAnsi="Calibri"/>
                <w:b/>
                <w:sz w:val="20"/>
                <w:szCs w:val="20"/>
              </w:rPr>
              <w:t>áno</w:t>
            </w:r>
          </w:p>
        </w:tc>
        <w:tc>
          <w:tcPr>
            <w:tcW w:w="2409" w:type="dxa"/>
            <w:shd w:val="clear" w:color="auto" w:fill="auto"/>
          </w:tcPr>
          <w:p w:rsidR="00807B64" w:rsidRPr="00E43137" w:rsidRDefault="00807B64" w:rsidP="007B197D">
            <w:pPr>
              <w:spacing w:after="120"/>
              <w:jc w:val="left"/>
              <w:rPr>
                <w:rFonts w:ascii="Calibri" w:hAnsi="Calibri"/>
                <w:sz w:val="20"/>
                <w:szCs w:val="20"/>
              </w:rPr>
            </w:pPr>
            <w:r>
              <w:rPr>
                <w:rFonts w:ascii="Calibri" w:hAnsi="Calibri"/>
                <w:sz w:val="20"/>
                <w:szCs w:val="20"/>
              </w:rPr>
              <w:t>N</w:t>
            </w:r>
            <w:r w:rsidRPr="00E43137">
              <w:rPr>
                <w:rFonts w:ascii="Calibri" w:hAnsi="Calibri"/>
                <w:sz w:val="20"/>
                <w:szCs w:val="20"/>
              </w:rPr>
              <w:t>árodný, alebo regionálny plán</w:t>
            </w:r>
            <w:r>
              <w:rPr>
                <w:rFonts w:ascii="Calibri" w:hAnsi="Calibri"/>
                <w:sz w:val="20"/>
                <w:szCs w:val="20"/>
              </w:rPr>
              <w:t xml:space="preserve"> </w:t>
            </w:r>
            <w:r w:rsidRPr="00E43137">
              <w:rPr>
                <w:rFonts w:ascii="Calibri" w:hAnsi="Calibri"/>
                <w:sz w:val="20"/>
                <w:szCs w:val="20"/>
              </w:rPr>
              <w:t xml:space="preserve">NGA, ktorý obsahuje: </w:t>
            </w:r>
          </w:p>
          <w:p w:rsidR="00807B64" w:rsidRPr="00E43137" w:rsidRDefault="00807B64" w:rsidP="007B197D">
            <w:pPr>
              <w:numPr>
                <w:ilvl w:val="0"/>
                <w:numId w:val="15"/>
              </w:numPr>
              <w:tabs>
                <w:tab w:val="num" w:pos="252"/>
              </w:tabs>
              <w:ind w:left="252"/>
              <w:jc w:val="left"/>
              <w:rPr>
                <w:rFonts w:ascii="Calibri" w:hAnsi="Calibri"/>
                <w:sz w:val="20"/>
                <w:szCs w:val="20"/>
              </w:rPr>
            </w:pPr>
            <w:r w:rsidRPr="00E43137">
              <w:rPr>
                <w:rFonts w:ascii="Calibri" w:hAnsi="Calibri"/>
                <w:sz w:val="20"/>
                <w:szCs w:val="20"/>
              </w:rPr>
              <w:t xml:space="preserve">plán investícií do infraštruktúry, </w:t>
            </w:r>
            <w:r>
              <w:rPr>
                <w:rFonts w:ascii="Calibri" w:hAnsi="Calibri"/>
                <w:sz w:val="20"/>
                <w:szCs w:val="20"/>
              </w:rPr>
              <w:t>založený na hospodárskej</w:t>
            </w:r>
            <w:r w:rsidRPr="00E43137">
              <w:rPr>
                <w:rFonts w:ascii="Calibri" w:hAnsi="Calibri"/>
                <w:sz w:val="20"/>
                <w:szCs w:val="20"/>
              </w:rPr>
              <w:t xml:space="preserve"> analýz</w:t>
            </w:r>
            <w:r>
              <w:rPr>
                <w:rFonts w:ascii="Calibri" w:hAnsi="Calibri"/>
                <w:sz w:val="20"/>
                <w:szCs w:val="20"/>
              </w:rPr>
              <w:t>e</w:t>
            </w:r>
            <w:r w:rsidRPr="00E43137">
              <w:rPr>
                <w:rFonts w:ascii="Calibri" w:hAnsi="Calibri"/>
                <w:sz w:val="20"/>
                <w:szCs w:val="20"/>
              </w:rPr>
              <w:t xml:space="preserve"> </w:t>
            </w:r>
            <w:r>
              <w:rPr>
                <w:rFonts w:ascii="Calibri" w:hAnsi="Calibri"/>
                <w:sz w:val="20"/>
                <w:szCs w:val="20"/>
              </w:rPr>
              <w:t>zohľadňujúcej</w:t>
            </w:r>
            <w:r w:rsidRPr="00E43137">
              <w:rPr>
                <w:rFonts w:ascii="Calibri" w:hAnsi="Calibri"/>
                <w:sz w:val="20"/>
                <w:szCs w:val="20"/>
              </w:rPr>
              <w:t xml:space="preserve"> existujúc</w:t>
            </w:r>
            <w:r>
              <w:rPr>
                <w:rFonts w:ascii="Calibri" w:hAnsi="Calibri"/>
                <w:sz w:val="20"/>
                <w:szCs w:val="20"/>
              </w:rPr>
              <w:t>e</w:t>
            </w:r>
            <w:r w:rsidRPr="00E43137">
              <w:rPr>
                <w:rFonts w:ascii="Calibri" w:hAnsi="Calibri"/>
                <w:sz w:val="20"/>
                <w:szCs w:val="20"/>
              </w:rPr>
              <w:t xml:space="preserve"> súkromn</w:t>
            </w:r>
            <w:r>
              <w:rPr>
                <w:rFonts w:ascii="Calibri" w:hAnsi="Calibri"/>
                <w:sz w:val="20"/>
                <w:szCs w:val="20"/>
              </w:rPr>
              <w:t>é</w:t>
            </w:r>
            <w:r w:rsidRPr="00E43137">
              <w:rPr>
                <w:rFonts w:ascii="Calibri" w:hAnsi="Calibri"/>
                <w:sz w:val="20"/>
                <w:szCs w:val="20"/>
              </w:rPr>
              <w:t xml:space="preserve"> a verejn</w:t>
            </w:r>
            <w:r>
              <w:rPr>
                <w:rFonts w:ascii="Calibri" w:hAnsi="Calibri"/>
                <w:sz w:val="20"/>
                <w:szCs w:val="20"/>
              </w:rPr>
              <w:t>é</w:t>
            </w:r>
            <w:r w:rsidRPr="00E43137">
              <w:rPr>
                <w:rFonts w:ascii="Calibri" w:hAnsi="Calibri"/>
                <w:sz w:val="20"/>
                <w:szCs w:val="20"/>
              </w:rPr>
              <w:t xml:space="preserve"> infraštruktúr</w:t>
            </w:r>
            <w:r>
              <w:rPr>
                <w:rFonts w:ascii="Calibri" w:hAnsi="Calibri"/>
                <w:sz w:val="20"/>
                <w:szCs w:val="20"/>
              </w:rPr>
              <w:t>y</w:t>
            </w:r>
            <w:r w:rsidRPr="00E43137">
              <w:rPr>
                <w:rFonts w:ascii="Calibri" w:hAnsi="Calibri"/>
                <w:sz w:val="20"/>
                <w:szCs w:val="20"/>
              </w:rPr>
              <w:t xml:space="preserve"> a plánované investície</w:t>
            </w:r>
          </w:p>
          <w:p w:rsidR="00807B64" w:rsidRPr="00E43137" w:rsidRDefault="00807B64" w:rsidP="007B197D">
            <w:pPr>
              <w:ind w:left="252"/>
              <w:jc w:val="left"/>
              <w:rPr>
                <w:rFonts w:ascii="Calibri" w:hAnsi="Calibri"/>
                <w:sz w:val="20"/>
                <w:szCs w:val="20"/>
              </w:rPr>
            </w:pPr>
          </w:p>
          <w:p w:rsidR="00807B64" w:rsidRPr="00E43137" w:rsidRDefault="00807B64" w:rsidP="007B197D">
            <w:pPr>
              <w:numPr>
                <w:ilvl w:val="0"/>
                <w:numId w:val="16"/>
              </w:numPr>
              <w:tabs>
                <w:tab w:val="num" w:pos="252"/>
              </w:tabs>
              <w:ind w:left="252"/>
              <w:jc w:val="left"/>
              <w:rPr>
                <w:rFonts w:ascii="Calibri" w:hAnsi="Calibri"/>
                <w:sz w:val="20"/>
                <w:szCs w:val="20"/>
              </w:rPr>
            </w:pPr>
            <w:r w:rsidRPr="00E43137">
              <w:rPr>
                <w:rFonts w:ascii="Calibri" w:hAnsi="Calibri"/>
                <w:sz w:val="20"/>
                <w:szCs w:val="20"/>
              </w:rPr>
              <w:t xml:space="preserve">modely udržateľných investícií, ktoré </w:t>
            </w:r>
            <w:r>
              <w:rPr>
                <w:rFonts w:ascii="Calibri" w:hAnsi="Calibri"/>
                <w:sz w:val="20"/>
                <w:szCs w:val="20"/>
              </w:rPr>
              <w:t>zlepšujú</w:t>
            </w:r>
            <w:r w:rsidRPr="00E43137">
              <w:rPr>
                <w:rFonts w:ascii="Calibri" w:hAnsi="Calibri"/>
                <w:sz w:val="20"/>
                <w:szCs w:val="20"/>
              </w:rPr>
              <w:t xml:space="preserve"> hospodársku súťaž a poskytujú prístup k otvorenej, cenovo dostupnej, kvalitnej infraštruktúre a službám, ktoré budú dobre fungovať aj v budúcnosti,  </w:t>
            </w:r>
          </w:p>
          <w:p w:rsidR="00807B64" w:rsidRPr="00E43137" w:rsidRDefault="00807B64" w:rsidP="007B197D">
            <w:pPr>
              <w:ind w:left="252"/>
              <w:jc w:val="left"/>
              <w:rPr>
                <w:rFonts w:ascii="Calibri" w:hAnsi="Calibri"/>
                <w:sz w:val="20"/>
                <w:szCs w:val="20"/>
              </w:rPr>
            </w:pPr>
          </w:p>
          <w:p w:rsidR="00807B64" w:rsidRPr="00E43137" w:rsidRDefault="00807B64" w:rsidP="007B197D">
            <w:pPr>
              <w:numPr>
                <w:ilvl w:val="0"/>
                <w:numId w:val="16"/>
              </w:numPr>
              <w:tabs>
                <w:tab w:val="num" w:pos="252"/>
              </w:tabs>
              <w:ind w:left="252"/>
              <w:jc w:val="left"/>
              <w:rPr>
                <w:rFonts w:ascii="Calibri" w:hAnsi="Calibri"/>
                <w:sz w:val="20"/>
                <w:szCs w:val="20"/>
              </w:rPr>
            </w:pPr>
            <w:r w:rsidRPr="00E43137">
              <w:rPr>
                <w:rFonts w:ascii="Calibri" w:hAnsi="Calibri"/>
                <w:sz w:val="20"/>
                <w:szCs w:val="20"/>
              </w:rPr>
              <w:t>opatrenia na</w:t>
            </w:r>
            <w:r w:rsidRPr="00E43137">
              <w:rPr>
                <w:rFonts w:ascii="Calibri" w:hAnsi="Calibri"/>
                <w:sz w:val="20"/>
                <w:szCs w:val="20"/>
              </w:rPr>
              <w:lastRenderedPageBreak/>
              <w:t xml:space="preserve"> </w:t>
            </w:r>
            <w:r>
              <w:rPr>
                <w:rFonts w:ascii="Calibri" w:hAnsi="Calibri"/>
                <w:sz w:val="20"/>
                <w:szCs w:val="20"/>
              </w:rPr>
              <w:t>podnietenie</w:t>
            </w:r>
            <w:r w:rsidRPr="00E43137">
              <w:rPr>
                <w:rFonts w:ascii="Calibri" w:hAnsi="Calibri"/>
                <w:sz w:val="20"/>
                <w:szCs w:val="20"/>
              </w:rPr>
              <w:t xml:space="preserve"> súkromných investícií.  </w:t>
            </w:r>
          </w:p>
        </w:tc>
        <w:tc>
          <w:tcPr>
            <w:tcW w:w="1134" w:type="dxa"/>
            <w:shd w:val="clear" w:color="auto" w:fill="auto"/>
          </w:tcPr>
          <w:p w:rsidR="00807B64" w:rsidRPr="00E43137" w:rsidRDefault="00807B64" w:rsidP="007B197D">
            <w:pPr>
              <w:jc w:val="center"/>
              <w:rPr>
                <w:rFonts w:ascii="Calibri" w:hAnsi="Calibri"/>
                <w:b/>
                <w:sz w:val="20"/>
                <w:szCs w:val="20"/>
              </w:rPr>
            </w:pPr>
            <w:r w:rsidRPr="00E43137">
              <w:rPr>
                <w:rFonts w:ascii="Calibri" w:hAnsi="Calibri"/>
                <w:b/>
                <w:sz w:val="20"/>
                <w:szCs w:val="20"/>
              </w:rPr>
              <w:t>áno</w:t>
            </w:r>
          </w:p>
          <w:p w:rsidR="00807B64" w:rsidRPr="00E43137" w:rsidRDefault="00807B64" w:rsidP="007B197D">
            <w:pPr>
              <w:jc w:val="center"/>
              <w:rPr>
                <w:rFonts w:ascii="Calibri" w:hAnsi="Calibri"/>
                <w:b/>
                <w:sz w:val="20"/>
                <w:szCs w:val="20"/>
              </w:rPr>
            </w:pPr>
          </w:p>
          <w:p w:rsidR="00807B64" w:rsidRPr="00E43137" w:rsidRDefault="00807B64" w:rsidP="007B197D">
            <w:pPr>
              <w:jc w:val="center"/>
              <w:rPr>
                <w:rFonts w:ascii="Calibri" w:hAnsi="Calibri"/>
                <w:b/>
                <w:sz w:val="20"/>
                <w:szCs w:val="20"/>
              </w:rPr>
            </w:pPr>
          </w:p>
          <w:p w:rsidR="00807B64" w:rsidRPr="00E43137" w:rsidRDefault="00807B64" w:rsidP="007B197D">
            <w:pPr>
              <w:jc w:val="center"/>
              <w:rPr>
                <w:rFonts w:ascii="Calibri" w:hAnsi="Calibri"/>
                <w:b/>
                <w:sz w:val="20"/>
                <w:szCs w:val="20"/>
              </w:rPr>
            </w:pPr>
            <w:r w:rsidRPr="00E43137">
              <w:rPr>
                <w:rFonts w:ascii="Calibri" w:hAnsi="Calibri"/>
                <w:b/>
                <w:sz w:val="20"/>
                <w:szCs w:val="20"/>
              </w:rPr>
              <w:t>áno</w:t>
            </w:r>
          </w:p>
          <w:p w:rsidR="00807B64" w:rsidRPr="00E43137" w:rsidRDefault="00807B64" w:rsidP="007B197D">
            <w:pPr>
              <w:jc w:val="center"/>
              <w:rPr>
                <w:rFonts w:ascii="Calibri" w:hAnsi="Calibri"/>
                <w:b/>
                <w:sz w:val="20"/>
                <w:szCs w:val="20"/>
              </w:rPr>
            </w:pPr>
          </w:p>
          <w:p w:rsidR="00807B64" w:rsidRPr="00E43137" w:rsidRDefault="00807B64" w:rsidP="007B197D">
            <w:pPr>
              <w:jc w:val="center"/>
              <w:rPr>
                <w:rFonts w:ascii="Calibri" w:hAnsi="Calibri"/>
                <w:b/>
                <w:sz w:val="20"/>
                <w:szCs w:val="20"/>
              </w:rPr>
            </w:pPr>
          </w:p>
          <w:p w:rsidR="00807B64" w:rsidRPr="00E43137" w:rsidRDefault="00807B64" w:rsidP="007B197D">
            <w:pPr>
              <w:jc w:val="center"/>
              <w:rPr>
                <w:rFonts w:ascii="Calibri" w:hAnsi="Calibri"/>
                <w:b/>
                <w:sz w:val="20"/>
                <w:szCs w:val="20"/>
              </w:rPr>
            </w:pPr>
          </w:p>
          <w:p w:rsidR="00807B64" w:rsidRDefault="00807B64" w:rsidP="007B197D">
            <w:pPr>
              <w:jc w:val="center"/>
              <w:rPr>
                <w:rFonts w:ascii="Calibri" w:hAnsi="Calibri"/>
                <w:b/>
                <w:sz w:val="20"/>
                <w:szCs w:val="20"/>
              </w:rPr>
            </w:pPr>
          </w:p>
          <w:p w:rsidR="00807B64" w:rsidRDefault="00807B64" w:rsidP="007B197D">
            <w:pPr>
              <w:jc w:val="center"/>
              <w:rPr>
                <w:rFonts w:ascii="Calibri" w:hAnsi="Calibri"/>
                <w:b/>
                <w:sz w:val="20"/>
                <w:szCs w:val="20"/>
              </w:rPr>
            </w:pPr>
          </w:p>
          <w:p w:rsidR="00807B64" w:rsidRDefault="00807B64" w:rsidP="007B197D">
            <w:pPr>
              <w:jc w:val="center"/>
              <w:rPr>
                <w:rFonts w:ascii="Calibri" w:hAnsi="Calibri"/>
                <w:b/>
                <w:sz w:val="20"/>
                <w:szCs w:val="20"/>
              </w:rPr>
            </w:pPr>
          </w:p>
          <w:p w:rsidR="00807B64" w:rsidRDefault="00807B64" w:rsidP="007B197D">
            <w:pPr>
              <w:jc w:val="center"/>
              <w:rPr>
                <w:rFonts w:ascii="Calibri" w:hAnsi="Calibri"/>
                <w:b/>
                <w:sz w:val="20"/>
                <w:szCs w:val="20"/>
              </w:rPr>
            </w:pPr>
          </w:p>
          <w:p w:rsidR="00807B64" w:rsidRPr="00E43137" w:rsidRDefault="00807B64" w:rsidP="007B197D">
            <w:pPr>
              <w:jc w:val="center"/>
              <w:rPr>
                <w:rFonts w:ascii="Calibri" w:hAnsi="Calibri"/>
                <w:b/>
                <w:sz w:val="20"/>
                <w:szCs w:val="20"/>
              </w:rPr>
            </w:pPr>
            <w:r w:rsidRPr="00E43137">
              <w:rPr>
                <w:rFonts w:ascii="Calibri" w:hAnsi="Calibri"/>
                <w:b/>
                <w:sz w:val="20"/>
                <w:szCs w:val="20"/>
              </w:rPr>
              <w:t>áno</w:t>
            </w:r>
          </w:p>
          <w:p w:rsidR="00807B64" w:rsidRPr="00E43137" w:rsidRDefault="00807B64" w:rsidP="007B197D">
            <w:pPr>
              <w:jc w:val="center"/>
              <w:rPr>
                <w:rFonts w:ascii="Calibri" w:hAnsi="Calibri"/>
                <w:b/>
                <w:sz w:val="20"/>
                <w:szCs w:val="20"/>
              </w:rPr>
            </w:pPr>
          </w:p>
          <w:p w:rsidR="00807B64" w:rsidRDefault="00807B64" w:rsidP="007B197D">
            <w:pPr>
              <w:jc w:val="center"/>
              <w:rPr>
                <w:rFonts w:ascii="Calibri" w:hAnsi="Calibri"/>
                <w:b/>
                <w:sz w:val="20"/>
                <w:szCs w:val="20"/>
              </w:rPr>
            </w:pPr>
          </w:p>
          <w:p w:rsidR="00807B64" w:rsidRDefault="00807B64" w:rsidP="007B197D">
            <w:pPr>
              <w:jc w:val="center"/>
              <w:rPr>
                <w:rFonts w:ascii="Calibri" w:hAnsi="Calibri"/>
                <w:b/>
                <w:sz w:val="20"/>
                <w:szCs w:val="20"/>
              </w:rPr>
            </w:pPr>
          </w:p>
          <w:p w:rsidR="00807B64" w:rsidRDefault="00807B64" w:rsidP="007B197D">
            <w:pPr>
              <w:jc w:val="center"/>
              <w:rPr>
                <w:rFonts w:ascii="Calibri" w:hAnsi="Calibri"/>
                <w:b/>
                <w:sz w:val="20"/>
                <w:szCs w:val="20"/>
              </w:rPr>
            </w:pPr>
          </w:p>
          <w:p w:rsidR="00807B64" w:rsidRDefault="00807B64" w:rsidP="007B197D">
            <w:pPr>
              <w:jc w:val="center"/>
              <w:rPr>
                <w:rFonts w:ascii="Calibri" w:hAnsi="Calibri"/>
                <w:b/>
                <w:sz w:val="20"/>
                <w:szCs w:val="20"/>
              </w:rPr>
            </w:pPr>
          </w:p>
          <w:p w:rsidR="00807B64" w:rsidRDefault="00807B64" w:rsidP="007B197D">
            <w:pPr>
              <w:jc w:val="center"/>
              <w:rPr>
                <w:rFonts w:ascii="Calibri" w:hAnsi="Calibri"/>
                <w:b/>
                <w:sz w:val="20"/>
                <w:szCs w:val="20"/>
              </w:rPr>
            </w:pPr>
          </w:p>
          <w:p w:rsidR="00807B64" w:rsidRDefault="00807B64" w:rsidP="007B197D">
            <w:pPr>
              <w:jc w:val="center"/>
              <w:rPr>
                <w:rFonts w:ascii="Calibri" w:hAnsi="Calibri"/>
                <w:b/>
                <w:sz w:val="20"/>
                <w:szCs w:val="20"/>
              </w:rPr>
            </w:pPr>
          </w:p>
          <w:p w:rsidR="00807B64" w:rsidRDefault="00807B64" w:rsidP="007B197D">
            <w:pPr>
              <w:jc w:val="center"/>
              <w:rPr>
                <w:rFonts w:ascii="Calibri" w:hAnsi="Calibri"/>
                <w:b/>
                <w:sz w:val="20"/>
                <w:szCs w:val="20"/>
              </w:rPr>
            </w:pPr>
          </w:p>
          <w:p w:rsidR="00807B64" w:rsidRPr="00E43137" w:rsidRDefault="00807B64" w:rsidP="007B197D">
            <w:pPr>
              <w:jc w:val="center"/>
              <w:rPr>
                <w:rFonts w:ascii="Calibri" w:hAnsi="Calibri"/>
                <w:b/>
                <w:sz w:val="20"/>
                <w:szCs w:val="20"/>
              </w:rPr>
            </w:pPr>
          </w:p>
          <w:p w:rsidR="00807B64" w:rsidRPr="00E43137" w:rsidRDefault="00807B64" w:rsidP="007B197D">
            <w:pPr>
              <w:jc w:val="center"/>
              <w:rPr>
                <w:rFonts w:ascii="Calibri" w:hAnsi="Calibri"/>
                <w:b/>
                <w:sz w:val="20"/>
                <w:szCs w:val="20"/>
              </w:rPr>
            </w:pPr>
            <w:r w:rsidRPr="00E43137">
              <w:rPr>
                <w:rFonts w:ascii="Calibri" w:hAnsi="Calibri"/>
                <w:b/>
                <w:sz w:val="20"/>
                <w:szCs w:val="20"/>
              </w:rPr>
              <w:t>áno</w:t>
            </w:r>
          </w:p>
          <w:p w:rsidR="00807B64" w:rsidRPr="00E43137" w:rsidRDefault="00807B64" w:rsidP="007B197D">
            <w:pPr>
              <w:jc w:val="center"/>
              <w:rPr>
                <w:rFonts w:ascii="Calibri" w:hAnsi="Calibri"/>
                <w:b/>
                <w:sz w:val="20"/>
                <w:szCs w:val="20"/>
              </w:rPr>
            </w:pPr>
          </w:p>
          <w:p w:rsidR="00807B64" w:rsidRPr="00E43137" w:rsidRDefault="00807B64" w:rsidP="007B197D">
            <w:pPr>
              <w:jc w:val="center"/>
              <w:rPr>
                <w:rFonts w:ascii="Calibri" w:hAnsi="Calibri"/>
                <w:b/>
                <w:sz w:val="20"/>
                <w:szCs w:val="20"/>
              </w:rPr>
            </w:pPr>
          </w:p>
        </w:tc>
        <w:tc>
          <w:tcPr>
            <w:tcW w:w="3828" w:type="dxa"/>
            <w:shd w:val="clear" w:color="auto" w:fill="auto"/>
          </w:tcPr>
          <w:p w:rsidR="00807B64" w:rsidRPr="00E43137" w:rsidRDefault="00807B64" w:rsidP="007B197D">
            <w:pPr>
              <w:jc w:val="left"/>
              <w:rPr>
                <w:rFonts w:ascii="Calibri" w:hAnsi="Calibri"/>
                <w:sz w:val="20"/>
                <w:szCs w:val="20"/>
              </w:rPr>
            </w:pPr>
            <w:r w:rsidRPr="00E43137">
              <w:rPr>
                <w:rFonts w:ascii="Calibri" w:hAnsi="Calibri"/>
                <w:sz w:val="20"/>
                <w:szCs w:val="20"/>
              </w:rPr>
              <w:t>Strategický dokument pre oblasť rastu digitálnych služieb a oblasť infraštruktúry prístupovej siete novej generácie (2014 - 2020)                                                                                                         Link na Strategický dokument:</w:t>
            </w:r>
          </w:p>
          <w:p w:rsidR="00807B64" w:rsidRPr="00E43137" w:rsidRDefault="00954688" w:rsidP="007B197D">
            <w:pPr>
              <w:jc w:val="left"/>
              <w:rPr>
                <w:rFonts w:ascii="Calibri" w:hAnsi="Calibri"/>
                <w:sz w:val="20"/>
                <w:szCs w:val="20"/>
              </w:rPr>
            </w:pPr>
            <w:hyperlink r:id="rId74" w:history="1">
              <w:r w:rsidR="00807B64" w:rsidRPr="00E43137">
                <w:rPr>
                  <w:rFonts w:ascii="Calibri" w:hAnsi="Calibri"/>
                  <w:color w:val="0000FF"/>
                  <w:sz w:val="20"/>
                  <w:szCs w:val="20"/>
                  <w:u w:val="single"/>
                </w:rPr>
                <w:t>http://www.rokovania.sk/Rokovanie.aspx/BodRokovaniaDetail?idMaterial=23177</w:t>
              </w:r>
            </w:hyperlink>
          </w:p>
          <w:p w:rsidR="00807B64" w:rsidRPr="00E43137" w:rsidRDefault="00807B64" w:rsidP="007B197D">
            <w:pPr>
              <w:jc w:val="left"/>
              <w:rPr>
                <w:rFonts w:ascii="Calibri" w:hAnsi="Calibri"/>
                <w:sz w:val="20"/>
                <w:szCs w:val="20"/>
              </w:rPr>
            </w:pPr>
          </w:p>
          <w:p w:rsidR="00807B64" w:rsidRPr="00E43137" w:rsidRDefault="00807B64" w:rsidP="007B197D">
            <w:pPr>
              <w:jc w:val="left"/>
              <w:rPr>
                <w:rFonts w:ascii="Calibri" w:hAnsi="Calibri"/>
                <w:sz w:val="20"/>
                <w:szCs w:val="20"/>
              </w:rPr>
            </w:pPr>
            <w:r w:rsidRPr="00E43137">
              <w:rPr>
                <w:rFonts w:ascii="Calibri" w:hAnsi="Calibri"/>
                <w:sz w:val="20"/>
                <w:szCs w:val="20"/>
              </w:rPr>
              <w:t>Strategický dokument pre oblasť rastu digitálnych služieb a oblasť infraštruktúry prístupovej siete novej generácie (2014 - 2020)                                                                                                                            (Kapitola 3: Stav a trendy informačnej spoločnosti vo svete v porovnaní so Slovenskom, Kapitola 5: SWOT analýza a odporúčania pre Slovensko, Kapitola 7: Navrhované priority pre ďalší rozvoj informačnej spoločnosti na Slovensku)                                                                                                                                                                                                                                                    Link na Strategický dokument:</w:t>
            </w:r>
          </w:p>
          <w:p w:rsidR="00807B64" w:rsidRPr="00E43137" w:rsidRDefault="00954688" w:rsidP="007B197D">
            <w:pPr>
              <w:jc w:val="left"/>
              <w:rPr>
                <w:rFonts w:ascii="Calibri" w:hAnsi="Calibri"/>
                <w:sz w:val="20"/>
                <w:szCs w:val="20"/>
              </w:rPr>
            </w:pPr>
            <w:hyperlink r:id="rId75" w:history="1">
              <w:r w:rsidR="00807B64" w:rsidRPr="00E43137">
                <w:rPr>
                  <w:rFonts w:ascii="Calibri" w:hAnsi="Calibri"/>
                  <w:color w:val="0000FF"/>
                  <w:sz w:val="20"/>
                  <w:szCs w:val="20"/>
                  <w:u w:val="single"/>
                </w:rPr>
                <w:t>http://www.rokovania.sk/Rokovanie.aspx/BodRokovaniaDetail?idMaterial=23177</w:t>
              </w:r>
            </w:hyperlink>
            <w:r w:rsidR="00807B64" w:rsidRPr="00E43137">
              <w:rPr>
                <w:rFonts w:ascii="Calibri" w:hAnsi="Calibri"/>
                <w:sz w:val="20"/>
                <w:szCs w:val="20"/>
              </w:rPr>
              <w:t xml:space="preserve"> </w:t>
            </w:r>
          </w:p>
          <w:p w:rsidR="00807B64" w:rsidRPr="00E43137" w:rsidRDefault="00807B64" w:rsidP="007B197D">
            <w:pPr>
              <w:jc w:val="left"/>
              <w:rPr>
                <w:rFonts w:ascii="Calibri" w:hAnsi="Calibri"/>
                <w:sz w:val="20"/>
                <w:szCs w:val="20"/>
              </w:rPr>
            </w:pPr>
          </w:p>
          <w:p w:rsidR="00807B64" w:rsidRPr="00E43137" w:rsidRDefault="00807B64" w:rsidP="007B197D">
            <w:pPr>
              <w:jc w:val="left"/>
              <w:rPr>
                <w:rFonts w:ascii="Calibri" w:hAnsi="Calibri"/>
                <w:sz w:val="20"/>
                <w:szCs w:val="20"/>
              </w:rPr>
            </w:pPr>
            <w:r w:rsidRPr="00E43137">
              <w:rPr>
                <w:rFonts w:ascii="Calibri" w:hAnsi="Calibri"/>
                <w:sz w:val="20"/>
                <w:szCs w:val="20"/>
              </w:rPr>
              <w:t>Strategický dokument pre oblasť rastu digitálnych služieb a oblasť infraštruktúry prístupovej siete novej generácie (2014 - 2020)                                                                                                                   (Kapitola 7: Navrhované priority pre ďalší rozvoj informačnej spoločnosti na Slovensku)                                                                                                                                                                                                                              Link na Strategický dokument:</w:t>
            </w:r>
          </w:p>
          <w:p w:rsidR="00807B64" w:rsidRPr="00E43137" w:rsidRDefault="00954688" w:rsidP="007B197D">
            <w:pPr>
              <w:jc w:val="left"/>
              <w:rPr>
                <w:rFonts w:ascii="Calibri" w:hAnsi="Calibri"/>
                <w:sz w:val="20"/>
                <w:szCs w:val="20"/>
              </w:rPr>
            </w:pPr>
            <w:hyperlink r:id="rId76" w:history="1">
              <w:r w:rsidR="00807B64" w:rsidRPr="00E43137">
                <w:rPr>
                  <w:rFonts w:ascii="Calibri" w:hAnsi="Calibri"/>
                  <w:color w:val="0000FF"/>
                  <w:sz w:val="20"/>
                  <w:szCs w:val="20"/>
                  <w:u w:val="single"/>
                </w:rPr>
                <w:t>http://www.rokovania.sk/Rokovanie.aspx/BodRokovaniaDetail?idMaterial=23177</w:t>
              </w:r>
            </w:hyperlink>
          </w:p>
          <w:p w:rsidR="00807B64" w:rsidRPr="00E43137" w:rsidRDefault="00807B64" w:rsidP="007B197D">
            <w:pPr>
              <w:jc w:val="left"/>
              <w:rPr>
                <w:rFonts w:ascii="Calibri" w:hAnsi="Calibri"/>
                <w:sz w:val="20"/>
                <w:szCs w:val="20"/>
              </w:rPr>
            </w:pPr>
          </w:p>
          <w:p w:rsidR="00807B64" w:rsidRPr="00E43137" w:rsidRDefault="00807B64" w:rsidP="007B197D">
            <w:pPr>
              <w:jc w:val="left"/>
              <w:rPr>
                <w:rFonts w:ascii="Calibri" w:hAnsi="Calibri"/>
                <w:sz w:val="20"/>
                <w:szCs w:val="20"/>
              </w:rPr>
            </w:pPr>
            <w:r w:rsidRPr="00E43137">
              <w:rPr>
                <w:rFonts w:ascii="Calibri" w:hAnsi="Calibri"/>
                <w:sz w:val="20"/>
                <w:szCs w:val="20"/>
              </w:rPr>
              <w:t>Strategický dokument pre oblasť rastu digitálnych služieb a oblasť infraštruktúry prístupovej siete novej generácie (2014 -2020)                                                                                                                              (Kapitola 7: Navrhované priority pre ďalší rozvoj informačnej spoločnosti na Slovensku)                                                                                                                                                                                       Link na Strategický dokument:</w:t>
            </w:r>
          </w:p>
          <w:p w:rsidR="00807B64" w:rsidRPr="00E43137" w:rsidRDefault="00954688" w:rsidP="007B197D">
            <w:pPr>
              <w:jc w:val="left"/>
              <w:rPr>
                <w:rFonts w:ascii="Calibri" w:hAnsi="Calibri"/>
                <w:sz w:val="20"/>
                <w:szCs w:val="20"/>
              </w:rPr>
            </w:pPr>
            <w:hyperlink r:id="rId77" w:history="1">
              <w:r w:rsidR="00807B64" w:rsidRPr="00E43137">
                <w:rPr>
                  <w:rFonts w:ascii="Calibri" w:hAnsi="Calibri"/>
                  <w:color w:val="0000FF"/>
                  <w:sz w:val="20"/>
                  <w:szCs w:val="20"/>
                  <w:u w:val="single"/>
                </w:rPr>
                <w:t>http://www.rokovania.sk/Rokovanie.aspx/BodRokovaniaDetail?idMaterial=23177</w:t>
              </w:r>
            </w:hyperlink>
            <w:r w:rsidR="00807B64" w:rsidRPr="00E43137">
              <w:rPr>
                <w:rFonts w:ascii="Calibri" w:hAnsi="Calibri"/>
                <w:sz w:val="20"/>
                <w:szCs w:val="20"/>
              </w:rPr>
              <w:t xml:space="preserve"> </w:t>
            </w:r>
          </w:p>
        </w:tc>
        <w:tc>
          <w:tcPr>
            <w:tcW w:w="3921" w:type="dxa"/>
            <w:shd w:val="clear" w:color="auto" w:fill="auto"/>
          </w:tcPr>
          <w:p w:rsidR="00807B64" w:rsidRDefault="00807B64" w:rsidP="007B197D">
            <w:pPr>
              <w:jc w:val="left"/>
              <w:rPr>
                <w:rFonts w:ascii="Calibri" w:hAnsi="Calibri"/>
                <w:sz w:val="20"/>
                <w:szCs w:val="20"/>
              </w:rPr>
            </w:pPr>
            <w:r w:rsidRPr="00E43137">
              <w:rPr>
                <w:rFonts w:ascii="Calibri" w:hAnsi="Calibri"/>
                <w:sz w:val="20"/>
                <w:szCs w:val="20"/>
              </w:rPr>
              <w:t>Ex ante kondicionalita č. 2.2 v zmysle nariadenia (EÚ) 1303/2013.</w:t>
            </w:r>
          </w:p>
          <w:p w:rsidR="00807B64" w:rsidRPr="00A5412A" w:rsidRDefault="00807B64" w:rsidP="007B197D">
            <w:pPr>
              <w:jc w:val="left"/>
              <w:rPr>
                <w:sz w:val="20"/>
                <w:szCs w:val="20"/>
              </w:rPr>
            </w:pPr>
            <w:r w:rsidRPr="00A5412A">
              <w:rPr>
                <w:sz w:val="20"/>
                <w:szCs w:val="20"/>
              </w:rPr>
              <w:t xml:space="preserve">„Stratégia deinštitucionalizácie systému sociálnych služieb a náhradnej starostlivosti v Slovenskej republike“ </w:t>
            </w:r>
            <w:r w:rsidRPr="00A5412A">
              <w:rPr>
                <w:sz w:val="20"/>
                <w:szCs w:val="20"/>
              </w:rPr>
              <w:br/>
              <w:t>http://www.employment.gov.sk/files/legislativa/dokumenty-zoznamy-pod/strategia-deinstitucionalizacie-systemu-socialnych-sluzieb-nahradnej-starostlivosti-1.pdf</w:t>
            </w:r>
          </w:p>
        </w:tc>
      </w:tr>
    </w:tbl>
    <w:p w:rsidR="00E43137" w:rsidRPr="00E43137" w:rsidRDefault="00E43137" w:rsidP="008676F9">
      <w:pPr>
        <w:rPr>
          <w:rFonts w:ascii="Calibri" w:hAnsi="Calibri"/>
          <w:sz w:val="20"/>
          <w:szCs w:val="20"/>
        </w:rPr>
      </w:pPr>
      <w:r w:rsidRPr="00E43137">
        <w:rPr>
          <w:rFonts w:ascii="Calibri" w:hAnsi="Calibri"/>
          <w:sz w:val="20"/>
          <w:szCs w:val="20"/>
        </w:rPr>
        <w:br w:type="page"/>
      </w:r>
    </w:p>
    <w:p w:rsidR="00E43137" w:rsidRPr="00E43137" w:rsidRDefault="00E43137" w:rsidP="00AA30CA">
      <w:pPr>
        <w:pStyle w:val="Pod"/>
        <w:rPr>
          <w:rFonts w:eastAsia="Calibri"/>
          <w:lang w:eastAsia="en-US"/>
        </w:rPr>
      </w:pPr>
      <w:bookmarkStart w:id="71" w:name="_Toc387041313"/>
      <w:r w:rsidRPr="00E43137">
        <w:rPr>
          <w:rFonts w:eastAsia="Calibri"/>
          <w:lang w:eastAsia="en-US"/>
        </w:rPr>
        <w:t xml:space="preserve">6.2. </w:t>
      </w:r>
      <w:r w:rsidR="007B197D" w:rsidRPr="00E43137">
        <w:rPr>
          <w:rFonts w:eastAsia="Calibri"/>
          <w:bCs/>
          <w:lang w:eastAsia="en-US"/>
        </w:rPr>
        <w:t>Opis aktivít k naplneniu ex-ante kondicionalít, zodpovedný orgán a časový harmonogram pre tieto aktivity</w:t>
      </w:r>
      <w:bookmarkEnd w:id="71"/>
    </w:p>
    <w:tbl>
      <w:tblPr>
        <w:tblW w:w="1417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49"/>
        <w:gridCol w:w="2100"/>
        <w:gridCol w:w="7858"/>
        <w:gridCol w:w="2268"/>
      </w:tblGrid>
      <w:tr w:rsidR="007B197D" w:rsidRPr="00E40DBB" w:rsidTr="00475E91">
        <w:trPr>
          <w:trHeight w:val="639"/>
          <w:tblHeader/>
        </w:trPr>
        <w:tc>
          <w:tcPr>
            <w:tcW w:w="1949" w:type="dxa"/>
            <w:tcBorders>
              <w:top w:val="single" w:sz="12" w:space="0" w:color="auto"/>
              <w:left w:val="single" w:sz="12" w:space="0" w:color="auto"/>
              <w:bottom w:val="single" w:sz="12" w:space="0" w:color="auto"/>
            </w:tcBorders>
            <w:shd w:val="clear" w:color="auto" w:fill="EAF1DD" w:themeFill="accent3" w:themeFillTint="33"/>
            <w:vAlign w:val="center"/>
          </w:tcPr>
          <w:p w:rsidR="007B197D" w:rsidRPr="00E40DBB" w:rsidRDefault="007B197D" w:rsidP="007B197D">
            <w:pPr>
              <w:jc w:val="left"/>
              <w:rPr>
                <w:b/>
                <w:sz w:val="20"/>
                <w:szCs w:val="20"/>
                <w:lang w:eastAsia="cs-CZ"/>
              </w:rPr>
            </w:pPr>
            <w:r w:rsidRPr="00E40DBB">
              <w:rPr>
                <w:b/>
                <w:sz w:val="20"/>
                <w:szCs w:val="20"/>
                <w:lang w:eastAsia="cs-CZ"/>
              </w:rPr>
              <w:t>Nesplnená alebo čiastočne splnená ex ante kondicionalita</w:t>
            </w:r>
          </w:p>
        </w:tc>
        <w:tc>
          <w:tcPr>
            <w:tcW w:w="2100" w:type="dxa"/>
            <w:tcBorders>
              <w:top w:val="single" w:sz="12" w:space="0" w:color="auto"/>
              <w:bottom w:val="single" w:sz="12" w:space="0" w:color="auto"/>
            </w:tcBorders>
            <w:shd w:val="clear" w:color="auto" w:fill="EAF1DD" w:themeFill="accent3" w:themeFillTint="33"/>
            <w:vAlign w:val="center"/>
          </w:tcPr>
          <w:p w:rsidR="007B197D" w:rsidRPr="00E40DBB" w:rsidRDefault="007B197D" w:rsidP="007B197D">
            <w:pPr>
              <w:jc w:val="left"/>
              <w:rPr>
                <w:b/>
                <w:sz w:val="20"/>
                <w:szCs w:val="20"/>
                <w:lang w:eastAsia="cs-CZ"/>
              </w:rPr>
            </w:pPr>
            <w:r w:rsidRPr="00E40DBB">
              <w:rPr>
                <w:b/>
                <w:sz w:val="20"/>
                <w:szCs w:val="20"/>
                <w:lang w:eastAsia="cs-CZ"/>
              </w:rPr>
              <w:t>Nesplnené kritériá</w:t>
            </w:r>
          </w:p>
        </w:tc>
        <w:tc>
          <w:tcPr>
            <w:tcW w:w="7858" w:type="dxa"/>
            <w:tcBorders>
              <w:top w:val="single" w:sz="12" w:space="0" w:color="auto"/>
              <w:bottom w:val="single" w:sz="12" w:space="0" w:color="auto"/>
              <w:right w:val="single" w:sz="12" w:space="0" w:color="auto"/>
            </w:tcBorders>
            <w:shd w:val="clear" w:color="auto" w:fill="EAF1DD" w:themeFill="accent3" w:themeFillTint="33"/>
            <w:vAlign w:val="center"/>
          </w:tcPr>
          <w:p w:rsidR="007B197D" w:rsidRPr="00E40DBB" w:rsidRDefault="007B197D" w:rsidP="007B197D">
            <w:pPr>
              <w:jc w:val="center"/>
              <w:rPr>
                <w:b/>
                <w:sz w:val="20"/>
                <w:szCs w:val="20"/>
                <w:lang w:eastAsia="cs-CZ"/>
              </w:rPr>
            </w:pPr>
            <w:r w:rsidRPr="00E40DBB">
              <w:rPr>
                <w:b/>
                <w:sz w:val="20"/>
                <w:szCs w:val="20"/>
                <w:lang w:eastAsia="cs-CZ"/>
              </w:rPr>
              <w:t>Plánované aktivity</w:t>
            </w:r>
          </w:p>
        </w:tc>
        <w:tc>
          <w:tcPr>
            <w:tcW w:w="2268" w:type="dxa"/>
            <w:tcBorders>
              <w:top w:val="single" w:sz="12" w:space="0" w:color="auto"/>
              <w:left w:val="single" w:sz="12" w:space="0" w:color="auto"/>
              <w:bottom w:val="single" w:sz="12" w:space="0" w:color="auto"/>
              <w:right w:val="single" w:sz="12" w:space="0" w:color="auto"/>
            </w:tcBorders>
            <w:shd w:val="clear" w:color="auto" w:fill="EAF1DD" w:themeFill="accent3" w:themeFillTint="33"/>
            <w:vAlign w:val="center"/>
          </w:tcPr>
          <w:p w:rsidR="007B197D" w:rsidRPr="00E40DBB" w:rsidRDefault="007B197D" w:rsidP="007B197D">
            <w:pPr>
              <w:jc w:val="center"/>
              <w:rPr>
                <w:b/>
                <w:sz w:val="20"/>
                <w:szCs w:val="20"/>
                <w:lang w:eastAsia="cs-CZ"/>
              </w:rPr>
            </w:pPr>
            <w:r w:rsidRPr="00E40DBB">
              <w:rPr>
                <w:b/>
                <w:sz w:val="20"/>
                <w:szCs w:val="20"/>
                <w:lang w:eastAsia="cs-CZ"/>
              </w:rPr>
              <w:t>Termíny</w:t>
            </w:r>
          </w:p>
        </w:tc>
      </w:tr>
      <w:tr w:rsidR="007B197D" w:rsidRPr="00E40DBB" w:rsidTr="00475E91">
        <w:trPr>
          <w:trHeight w:val="391"/>
        </w:trPr>
        <w:tc>
          <w:tcPr>
            <w:tcW w:w="1949" w:type="dxa"/>
            <w:vMerge w:val="restart"/>
            <w:tcBorders>
              <w:top w:val="single" w:sz="12" w:space="0" w:color="auto"/>
              <w:left w:val="single" w:sz="12" w:space="0" w:color="auto"/>
            </w:tcBorders>
          </w:tcPr>
          <w:p w:rsidR="007B197D" w:rsidRPr="00E40DBB" w:rsidRDefault="007B197D" w:rsidP="007B197D">
            <w:pPr>
              <w:jc w:val="left"/>
              <w:rPr>
                <w:sz w:val="20"/>
                <w:szCs w:val="20"/>
                <w:lang w:eastAsia="cs-CZ"/>
              </w:rPr>
            </w:pPr>
            <w:r w:rsidRPr="00E40DBB">
              <w:rPr>
                <w:sz w:val="20"/>
                <w:szCs w:val="20"/>
                <w:lang w:eastAsia="cs-CZ"/>
              </w:rPr>
              <w:t xml:space="preserve">1. Nediskriminácia </w:t>
            </w:r>
          </w:p>
          <w:p w:rsidR="007B197D" w:rsidRPr="00E40DBB" w:rsidRDefault="007B197D" w:rsidP="007B197D">
            <w:pPr>
              <w:jc w:val="left"/>
              <w:rPr>
                <w:b/>
                <w:sz w:val="20"/>
                <w:szCs w:val="20"/>
                <w:lang w:eastAsia="cs-CZ"/>
              </w:rPr>
            </w:pPr>
            <w:r w:rsidRPr="00E40DBB">
              <w:rPr>
                <w:sz w:val="20"/>
                <w:szCs w:val="20"/>
                <w:lang w:eastAsia="cs-CZ"/>
              </w:rPr>
              <w:t>Existencia administratívnej kapacity na vykonávanie a uplatňovanie práva Únie v oblasti nediskriminácie a politiky v oblasti EŠIF.</w:t>
            </w:r>
          </w:p>
        </w:tc>
        <w:tc>
          <w:tcPr>
            <w:tcW w:w="2100" w:type="dxa"/>
            <w:tcBorders>
              <w:top w:val="single" w:sz="12" w:space="0" w:color="auto"/>
            </w:tcBorders>
          </w:tcPr>
          <w:p w:rsidR="007B197D" w:rsidRPr="00E40DBB" w:rsidRDefault="007B197D" w:rsidP="007B197D">
            <w:pPr>
              <w:jc w:val="left"/>
              <w:rPr>
                <w:sz w:val="20"/>
                <w:szCs w:val="20"/>
                <w:lang w:eastAsia="cs-CZ"/>
              </w:rPr>
            </w:pPr>
            <w:r w:rsidRPr="00E40DBB">
              <w:rPr>
                <w:sz w:val="20"/>
                <w:szCs w:val="20"/>
                <w:lang w:eastAsia="cs-CZ"/>
              </w:rPr>
              <w:t>Opatrenia v súlade s inštitucionálnym a právnym rámcom členských štátov na zapojenie orgánov zodpovedných za podporu rovnakého zaobchádzania so všetkými osobami počas prípravy a vykonávania programov, a to vrátane poskytovania poradenstva o rovnosti v rámci činností spojených s EŠIF.</w:t>
            </w:r>
          </w:p>
          <w:p w:rsidR="007B197D" w:rsidRPr="00E40DBB" w:rsidRDefault="007B197D" w:rsidP="007B197D">
            <w:pPr>
              <w:jc w:val="left"/>
              <w:rPr>
                <w:sz w:val="20"/>
                <w:szCs w:val="20"/>
                <w:lang w:eastAsia="cs-CZ"/>
              </w:rPr>
            </w:pPr>
          </w:p>
        </w:tc>
        <w:tc>
          <w:tcPr>
            <w:tcW w:w="7858" w:type="dxa"/>
            <w:tcBorders>
              <w:top w:val="single" w:sz="12" w:space="0" w:color="auto"/>
            </w:tcBorders>
          </w:tcPr>
          <w:p w:rsidR="007B197D" w:rsidRPr="00E40DBB" w:rsidRDefault="007B197D" w:rsidP="007B197D">
            <w:pPr>
              <w:rPr>
                <w:sz w:val="20"/>
                <w:szCs w:val="20"/>
                <w:lang w:eastAsia="cs-CZ"/>
              </w:rPr>
            </w:pPr>
            <w:r w:rsidRPr="00E40DBB">
              <w:rPr>
                <w:i/>
                <w:sz w:val="20"/>
                <w:szCs w:val="20"/>
                <w:lang w:eastAsia="cs-CZ"/>
              </w:rPr>
              <w:t>Navýšenie administratívnych kapacít odboru rodovej rovnosti a rovnosti príležitostí</w:t>
            </w:r>
            <w:r w:rsidRPr="00E40DBB">
              <w:rPr>
                <w:sz w:val="20"/>
                <w:szCs w:val="20"/>
                <w:lang w:eastAsia="cs-CZ"/>
              </w:rPr>
              <w:t xml:space="preserve"> MPSVR SR. Bude vytvorený samostatný subjekt koordinácie horizontálnych princípov, v ktorom predpokladáme 7 pracovných miest plus 1 asistenta/ku. Všetky miesta v rámci subjektu budú refundované v rámci technickej pomoci. Novo vytvorené miesta budú zamerané na metodické vedenie,  analytickú, strategickú, legislatívnu a vzdelávaciu činnosť súvisiacu s implementáciou oboch horizontálnych princípov v EŠIF. Ich náplň práce bude zameraná na aktivity súvisiace s povinnosťami každého subjektu fondov so zameraním na  tematickú prierezovosť horizontálnych princípov. Prierezovosť všetkými fondmi a rozšírenie pôsobnosti súčasného HP RP si vyžaduje maximálne posilnenie kapacít s dôrazom na metodické vedenie, publicitu, školiace a vzdelávacie aktivity, hodnotiaci, výberový proces ale aj na monitorovanie a kontrolu – vychádzajúc z návrhu Systému riadenia a kontroly pre PO 2014 – 2020.</w:t>
            </w:r>
          </w:p>
        </w:tc>
        <w:tc>
          <w:tcPr>
            <w:tcW w:w="2268" w:type="dxa"/>
            <w:tcBorders>
              <w:top w:val="single" w:sz="12" w:space="0" w:color="auto"/>
            </w:tcBorders>
          </w:tcPr>
          <w:p w:rsidR="007B197D" w:rsidRPr="00E40DBB" w:rsidRDefault="007B197D" w:rsidP="007B197D">
            <w:pPr>
              <w:rPr>
                <w:sz w:val="20"/>
                <w:szCs w:val="20"/>
                <w:lang w:eastAsia="cs-CZ"/>
              </w:rPr>
            </w:pPr>
            <w:r w:rsidRPr="00E40DBB">
              <w:rPr>
                <w:sz w:val="20"/>
                <w:szCs w:val="20"/>
                <w:lang w:eastAsia="cs-CZ"/>
              </w:rPr>
              <w:t>1. polrok 2014</w:t>
            </w:r>
          </w:p>
          <w:p w:rsidR="007B197D" w:rsidRPr="00E40DBB" w:rsidRDefault="007B197D" w:rsidP="007B197D">
            <w:pPr>
              <w:rPr>
                <w:sz w:val="20"/>
                <w:szCs w:val="20"/>
                <w:lang w:eastAsia="cs-CZ"/>
              </w:rPr>
            </w:pPr>
            <w:r w:rsidRPr="00E40DBB">
              <w:rPr>
                <w:sz w:val="20"/>
                <w:szCs w:val="20"/>
                <w:lang w:eastAsia="cs-CZ"/>
              </w:rPr>
              <w:t>1. 4. 2014 - navýšenie stavu administratívnych kapacít .</w:t>
            </w:r>
          </w:p>
          <w:p w:rsidR="007B197D" w:rsidRPr="00E40DBB" w:rsidRDefault="007B197D" w:rsidP="007B197D">
            <w:pPr>
              <w:rPr>
                <w:sz w:val="20"/>
                <w:szCs w:val="20"/>
                <w:lang w:eastAsia="cs-CZ"/>
              </w:rPr>
            </w:pPr>
          </w:p>
          <w:p w:rsidR="007B197D" w:rsidRPr="00E40DBB" w:rsidRDefault="007B197D" w:rsidP="007B197D">
            <w:pPr>
              <w:rPr>
                <w:sz w:val="20"/>
                <w:szCs w:val="20"/>
                <w:lang w:eastAsia="cs-CZ"/>
              </w:rPr>
            </w:pPr>
            <w:r w:rsidRPr="00E40DBB">
              <w:rPr>
                <w:sz w:val="20"/>
                <w:szCs w:val="20"/>
                <w:lang w:eastAsia="cs-CZ"/>
              </w:rPr>
              <w:t>31. 6. 2014 - dosiahnutie optimalizovaného stavu administratívnych kapacít</w:t>
            </w:r>
          </w:p>
          <w:p w:rsidR="007B197D" w:rsidRPr="00E40DBB" w:rsidRDefault="007B197D" w:rsidP="007B197D">
            <w:pPr>
              <w:rPr>
                <w:b/>
                <w:sz w:val="20"/>
                <w:szCs w:val="20"/>
                <w:lang w:eastAsia="cs-CZ"/>
              </w:rPr>
            </w:pPr>
          </w:p>
        </w:tc>
      </w:tr>
      <w:tr w:rsidR="007B197D" w:rsidRPr="00E40DBB" w:rsidTr="00475E91">
        <w:trPr>
          <w:trHeight w:val="3195"/>
        </w:trPr>
        <w:tc>
          <w:tcPr>
            <w:tcW w:w="1949" w:type="dxa"/>
            <w:vMerge/>
            <w:tcBorders>
              <w:left w:val="single" w:sz="12" w:space="0" w:color="auto"/>
            </w:tcBorders>
          </w:tcPr>
          <w:p w:rsidR="007B197D" w:rsidRPr="00E40DBB" w:rsidRDefault="007B197D" w:rsidP="007B197D">
            <w:pPr>
              <w:jc w:val="left"/>
              <w:rPr>
                <w:sz w:val="20"/>
                <w:szCs w:val="20"/>
                <w:lang w:eastAsia="cs-CZ"/>
              </w:rPr>
            </w:pPr>
          </w:p>
        </w:tc>
        <w:tc>
          <w:tcPr>
            <w:tcW w:w="2100" w:type="dxa"/>
          </w:tcPr>
          <w:p w:rsidR="007B197D" w:rsidRPr="00E40DBB" w:rsidRDefault="007B197D" w:rsidP="007B197D">
            <w:pPr>
              <w:jc w:val="left"/>
              <w:rPr>
                <w:sz w:val="20"/>
                <w:szCs w:val="20"/>
                <w:lang w:eastAsia="cs-CZ"/>
              </w:rPr>
            </w:pPr>
          </w:p>
          <w:p w:rsidR="007B197D" w:rsidRPr="00E40DBB" w:rsidRDefault="007B197D" w:rsidP="007B197D">
            <w:pPr>
              <w:jc w:val="left"/>
              <w:rPr>
                <w:sz w:val="20"/>
                <w:szCs w:val="20"/>
                <w:lang w:eastAsia="cs-CZ"/>
              </w:rPr>
            </w:pPr>
            <w:r w:rsidRPr="00E40DBB">
              <w:rPr>
                <w:sz w:val="20"/>
                <w:szCs w:val="20"/>
                <w:lang w:eastAsia="cs-CZ"/>
              </w:rPr>
              <w:t>Opatrenia na zabezpečenie odbornej prípravy pre zamestnancov orgánov zapojených do riadenia a kontroly EŠIF v oblasti práva a politiky Únie v oblasti nediskriminácie.</w:t>
            </w:r>
          </w:p>
        </w:tc>
        <w:tc>
          <w:tcPr>
            <w:tcW w:w="7858" w:type="dxa"/>
          </w:tcPr>
          <w:p w:rsidR="007B197D" w:rsidRPr="00E40DBB" w:rsidRDefault="007B197D" w:rsidP="007B197D">
            <w:pPr>
              <w:rPr>
                <w:sz w:val="20"/>
                <w:szCs w:val="20"/>
                <w:lang w:eastAsia="cs-CZ"/>
              </w:rPr>
            </w:pPr>
            <w:r w:rsidRPr="00E40DBB">
              <w:rPr>
                <w:i/>
                <w:sz w:val="20"/>
                <w:szCs w:val="20"/>
                <w:lang w:eastAsia="cs-CZ"/>
              </w:rPr>
              <w:t>Vypracovanie stratégie školenia a informovania zamestnancov zapojených do využívania fondov</w:t>
            </w:r>
            <w:r w:rsidRPr="00E40DBB">
              <w:rPr>
                <w:sz w:val="20"/>
                <w:szCs w:val="20"/>
                <w:lang w:eastAsia="cs-CZ"/>
              </w:rPr>
              <w:t xml:space="preserve"> a následné podanie projektu z OP TP na finančné zabezpečenie školení. </w:t>
            </w:r>
          </w:p>
          <w:p w:rsidR="007B197D" w:rsidRPr="00E40DBB" w:rsidRDefault="007B197D" w:rsidP="007B197D">
            <w:pPr>
              <w:rPr>
                <w:sz w:val="20"/>
                <w:szCs w:val="20"/>
                <w:lang w:eastAsia="cs-CZ"/>
              </w:rPr>
            </w:pPr>
            <w:r w:rsidRPr="00E40DBB">
              <w:rPr>
                <w:sz w:val="20"/>
                <w:szCs w:val="20"/>
                <w:lang w:eastAsia="cs-CZ"/>
              </w:rPr>
              <w:t>Školiace a vzdelávacie aktivity (školenia, semináre, tréningy a informovania zamestnancov/kyň zapojených do využívania fondov; konferencie, publikácie a propagačné tlačoviny/materiál, zverejňovanie správ v národných a regionálnych/lokálnych masmédiách a iné, bude vykonávať garant za HP pre nasledovné cieľové skupiny:</w:t>
            </w:r>
          </w:p>
          <w:p w:rsidR="007B197D" w:rsidRPr="00E40DBB" w:rsidRDefault="007B197D" w:rsidP="007B197D">
            <w:pPr>
              <w:rPr>
                <w:i/>
                <w:sz w:val="20"/>
                <w:szCs w:val="20"/>
                <w:lang w:eastAsia="cs-CZ"/>
              </w:rPr>
            </w:pPr>
            <w:r w:rsidRPr="00E40DBB">
              <w:rPr>
                <w:sz w:val="20"/>
                <w:szCs w:val="20"/>
                <w:lang w:eastAsia="cs-CZ"/>
              </w:rPr>
              <w:t>Osoby na RO zodpovedné za prípravu OP, kontaktné osoby pre HP RP zodpovedné za koordináciu HP RP na úrovni jednotlivých OP, členovia pracovnej skupiny HP RP, manažéri monitorovania a hodnotenia, vyšší riadiaci pracovníci, hodnotitelia projektov a taktiež personál orgánov zahrnutých  do riadenia a kontroly EŠIF v oblastiach zákonov a politiky EÚ o nediskriminácii, o rodovej rovnosti rovnako ako aj o „gender mainstreaming“ a o zdravotnom postihnutí. Školenia sa budú  týkať spôsobu hodnotenia, procesu implementácie, monitorovania, kontroly.</w:t>
            </w:r>
          </w:p>
        </w:tc>
        <w:tc>
          <w:tcPr>
            <w:tcW w:w="2268" w:type="dxa"/>
          </w:tcPr>
          <w:p w:rsidR="007B197D" w:rsidRPr="00E40DBB" w:rsidRDefault="007B197D" w:rsidP="007B197D">
            <w:pPr>
              <w:rPr>
                <w:sz w:val="20"/>
                <w:szCs w:val="20"/>
                <w:lang w:eastAsia="cs-CZ"/>
              </w:rPr>
            </w:pPr>
          </w:p>
          <w:p w:rsidR="007B197D" w:rsidRPr="00E40DBB" w:rsidRDefault="007B197D" w:rsidP="007B197D">
            <w:pPr>
              <w:rPr>
                <w:sz w:val="20"/>
                <w:szCs w:val="20"/>
                <w:lang w:eastAsia="cs-CZ"/>
              </w:rPr>
            </w:pPr>
            <w:r w:rsidRPr="00E40DBB">
              <w:rPr>
                <w:sz w:val="20"/>
                <w:szCs w:val="20"/>
              </w:rPr>
              <w:t>máj 2014</w:t>
            </w:r>
          </w:p>
        </w:tc>
      </w:tr>
      <w:tr w:rsidR="007B197D" w:rsidRPr="00E40DBB" w:rsidTr="00475E91">
        <w:trPr>
          <w:trHeight w:val="3762"/>
        </w:trPr>
        <w:tc>
          <w:tcPr>
            <w:tcW w:w="1949" w:type="dxa"/>
            <w:vMerge w:val="restart"/>
            <w:tcBorders>
              <w:left w:val="single" w:sz="12" w:space="0" w:color="auto"/>
            </w:tcBorders>
          </w:tcPr>
          <w:p w:rsidR="007B197D" w:rsidRPr="00E40DBB" w:rsidRDefault="007B197D" w:rsidP="007B197D">
            <w:pPr>
              <w:jc w:val="left"/>
              <w:rPr>
                <w:sz w:val="20"/>
                <w:szCs w:val="20"/>
                <w:lang w:eastAsia="cs-CZ"/>
              </w:rPr>
            </w:pPr>
            <w:r w:rsidRPr="00E40DBB">
              <w:rPr>
                <w:sz w:val="20"/>
                <w:szCs w:val="20"/>
                <w:lang w:eastAsia="cs-CZ"/>
              </w:rPr>
              <w:t>2. Rodová rovnosť</w:t>
            </w:r>
          </w:p>
          <w:p w:rsidR="007B197D" w:rsidRPr="00E40DBB" w:rsidRDefault="007B197D" w:rsidP="007B197D">
            <w:pPr>
              <w:jc w:val="left"/>
              <w:rPr>
                <w:sz w:val="20"/>
                <w:szCs w:val="20"/>
                <w:lang w:eastAsia="cs-CZ"/>
              </w:rPr>
            </w:pPr>
            <w:r w:rsidRPr="00E40DBB">
              <w:rPr>
                <w:sz w:val="20"/>
                <w:szCs w:val="20"/>
                <w:lang w:eastAsia="cs-CZ"/>
              </w:rPr>
              <w:t>Existencia administratívnej kapacity na vykonávanie a uplatňovanie práva a politiky Únie týkajúcich sa rodovej rovnosti v oblasti EŠIF.</w:t>
            </w:r>
          </w:p>
        </w:tc>
        <w:tc>
          <w:tcPr>
            <w:tcW w:w="2100" w:type="dxa"/>
          </w:tcPr>
          <w:p w:rsidR="007B197D" w:rsidRPr="00E40DBB" w:rsidRDefault="007B197D" w:rsidP="007B197D">
            <w:pPr>
              <w:jc w:val="left"/>
              <w:rPr>
                <w:sz w:val="20"/>
                <w:szCs w:val="20"/>
                <w:lang w:eastAsia="cs-CZ"/>
              </w:rPr>
            </w:pPr>
            <w:r w:rsidRPr="00E40DBB">
              <w:rPr>
                <w:sz w:val="20"/>
                <w:szCs w:val="20"/>
                <w:lang w:eastAsia="cs-CZ"/>
              </w:rPr>
              <w:t>Opatrenia v súlade s inštitucionálnym a právnym rámcom členských štátov na zapojenie orgánov zodpovedných za podporu rodovej rovnosti počas prípravy a vykonávania programov, a to vrátane poskytovania poradenstva o rodovej rovnosti v rámci činností spojených s EŠIF.</w:t>
            </w:r>
          </w:p>
        </w:tc>
        <w:tc>
          <w:tcPr>
            <w:tcW w:w="7858" w:type="dxa"/>
          </w:tcPr>
          <w:p w:rsidR="007B197D" w:rsidRPr="00E40DBB" w:rsidRDefault="007B197D" w:rsidP="007B197D">
            <w:pPr>
              <w:rPr>
                <w:sz w:val="20"/>
                <w:szCs w:val="20"/>
                <w:lang w:eastAsia="cs-CZ"/>
              </w:rPr>
            </w:pPr>
            <w:r w:rsidRPr="00E40DBB">
              <w:rPr>
                <w:i/>
                <w:sz w:val="20"/>
                <w:szCs w:val="20"/>
                <w:lang w:eastAsia="cs-CZ"/>
              </w:rPr>
              <w:t>Navýšenie administratívnych kapacít odboru rodovej rovnosti a rovnosti príležitostí</w:t>
            </w:r>
            <w:r w:rsidRPr="00E40DBB">
              <w:rPr>
                <w:sz w:val="20"/>
                <w:szCs w:val="20"/>
                <w:lang w:eastAsia="cs-CZ"/>
              </w:rPr>
              <w:t xml:space="preserve"> MPSVR SR. Bude vytvorený samostatný subjekt koordinácie horizontálnych princípov, v ktorom predpokladáme 7 pracovných miest plus 1 asistenta/ku. Všetky miesta v rámci subjektu budú refundované v rámci technickej pomoci. Novo vytvorené miesta budú zamerané na metodické vedenie,  analytickú, strategickú, legislatívnu a vzdelávaciu činnosť súvisiacu s implementáciou oboch horizontálnych princípov v EŠIF. Ich náplň práce bude zameraná na aktivity súvisiace s povinnosťami každého subjektu fondov so zameraním na  tematickú prierezovosť horizontálnych princípov. Prierezovosť všetkými fondmi a rozšírenie pôsobnosti súčasného HP RP si vyžaduje maximálne posilnenie kapacít s dôrazom na metodické vedenie, publicitu, školiace a vzdelávacie aktivity, hodnotiaci, výberový proces ale aj na monitorovanie a kontrolu – vychádzajúc z návrhu Systému riadenia a kontroly pre PO 2014 – 2020.</w:t>
            </w:r>
          </w:p>
          <w:p w:rsidR="007B197D" w:rsidRPr="00E40DBB" w:rsidRDefault="007B197D" w:rsidP="007B197D">
            <w:pPr>
              <w:rPr>
                <w:sz w:val="20"/>
                <w:szCs w:val="20"/>
                <w:lang w:eastAsia="cs-CZ"/>
              </w:rPr>
            </w:pPr>
            <w:r w:rsidRPr="00E40DBB">
              <w:rPr>
                <w:i/>
                <w:sz w:val="20"/>
                <w:szCs w:val="20"/>
                <w:lang w:eastAsia="cs-CZ"/>
              </w:rPr>
              <w:t>Nová Stratégia rodovej rovnosti na roky 2014 - 2020</w:t>
            </w:r>
            <w:r w:rsidRPr="00E40DBB">
              <w:rPr>
                <w:sz w:val="20"/>
                <w:szCs w:val="20"/>
                <w:lang w:eastAsia="cs-CZ"/>
              </w:rPr>
              <w:t xml:space="preserve"> </w:t>
            </w:r>
          </w:p>
          <w:p w:rsidR="007B197D" w:rsidRPr="00E40DBB" w:rsidRDefault="007B197D" w:rsidP="007B197D">
            <w:pPr>
              <w:rPr>
                <w:sz w:val="20"/>
                <w:szCs w:val="20"/>
                <w:lang w:eastAsia="cs-CZ"/>
              </w:rPr>
            </w:pPr>
            <w:r w:rsidRPr="00E40DBB">
              <w:rPr>
                <w:sz w:val="20"/>
                <w:szCs w:val="20"/>
                <w:lang w:eastAsia="cs-CZ"/>
              </w:rPr>
              <w:t>Pripravuje sa na základe vyhodnotenia súčasnej Národnej stratégia rodovej rovnosti na roky 2009 – 2013.</w:t>
            </w:r>
          </w:p>
        </w:tc>
        <w:tc>
          <w:tcPr>
            <w:tcW w:w="2268" w:type="dxa"/>
          </w:tcPr>
          <w:p w:rsidR="007B197D" w:rsidRPr="00E40DBB" w:rsidRDefault="007B197D" w:rsidP="007B197D">
            <w:pPr>
              <w:tabs>
                <w:tab w:val="left" w:pos="2302"/>
              </w:tabs>
              <w:rPr>
                <w:sz w:val="20"/>
                <w:szCs w:val="20"/>
                <w:lang w:eastAsia="cs-CZ"/>
              </w:rPr>
            </w:pPr>
            <w:r w:rsidRPr="00E40DBB">
              <w:rPr>
                <w:sz w:val="20"/>
                <w:szCs w:val="20"/>
              </w:rPr>
              <w:t>1. polrok 2014</w:t>
            </w:r>
            <w:r w:rsidRPr="00E40DBB">
              <w:rPr>
                <w:sz w:val="20"/>
                <w:szCs w:val="20"/>
                <w:lang w:eastAsia="cs-CZ"/>
              </w:rPr>
              <w:t xml:space="preserve"> </w:t>
            </w:r>
          </w:p>
          <w:p w:rsidR="007B197D" w:rsidRPr="00E40DBB" w:rsidRDefault="007B197D" w:rsidP="007B197D">
            <w:pPr>
              <w:pStyle w:val="Style31"/>
              <w:rPr>
                <w:rFonts w:asciiTheme="minorHAnsi" w:hAnsiTheme="minorHAnsi"/>
                <w:sz w:val="20"/>
                <w:szCs w:val="20"/>
                <w:lang w:eastAsia="cs-CZ"/>
              </w:rPr>
            </w:pPr>
            <w:r w:rsidRPr="00E40DBB">
              <w:rPr>
                <w:rFonts w:asciiTheme="minorHAnsi" w:hAnsiTheme="minorHAnsi"/>
                <w:sz w:val="20"/>
                <w:szCs w:val="20"/>
                <w:lang w:eastAsia="cs-CZ"/>
              </w:rPr>
              <w:t>1. 4. 2014 - navýšenie stavu administratívnych kapacít.</w:t>
            </w:r>
          </w:p>
          <w:p w:rsidR="007B197D" w:rsidRPr="00E40DBB" w:rsidRDefault="007B197D" w:rsidP="007B197D">
            <w:pPr>
              <w:pStyle w:val="Style31"/>
              <w:jc w:val="both"/>
              <w:rPr>
                <w:rFonts w:asciiTheme="minorHAnsi" w:hAnsiTheme="minorHAnsi"/>
                <w:sz w:val="20"/>
                <w:szCs w:val="20"/>
                <w:lang w:eastAsia="cs-CZ"/>
              </w:rPr>
            </w:pPr>
          </w:p>
          <w:p w:rsidR="007B197D" w:rsidRPr="00E40DBB" w:rsidRDefault="007B197D" w:rsidP="007B197D">
            <w:pPr>
              <w:rPr>
                <w:sz w:val="20"/>
                <w:szCs w:val="20"/>
                <w:lang w:eastAsia="cs-CZ"/>
              </w:rPr>
            </w:pPr>
            <w:r w:rsidRPr="00E40DBB">
              <w:rPr>
                <w:sz w:val="20"/>
                <w:szCs w:val="20"/>
                <w:lang w:eastAsia="cs-CZ"/>
              </w:rPr>
              <w:t>31. 6. 2014 - dosiahnutie optimalizovaného stavu administratívnych kapacít</w:t>
            </w:r>
          </w:p>
          <w:p w:rsidR="007B197D" w:rsidRPr="00E40DBB" w:rsidRDefault="007B197D" w:rsidP="007B197D">
            <w:pPr>
              <w:rPr>
                <w:sz w:val="20"/>
                <w:szCs w:val="20"/>
                <w:lang w:eastAsia="cs-CZ"/>
              </w:rPr>
            </w:pPr>
          </w:p>
          <w:p w:rsidR="007B197D" w:rsidRPr="00E40DBB" w:rsidRDefault="007B197D" w:rsidP="007B197D">
            <w:pPr>
              <w:rPr>
                <w:sz w:val="20"/>
                <w:szCs w:val="20"/>
                <w:lang w:eastAsia="cs-CZ"/>
              </w:rPr>
            </w:pPr>
          </w:p>
          <w:p w:rsidR="007B197D" w:rsidRPr="00E40DBB" w:rsidRDefault="007B197D" w:rsidP="007B197D">
            <w:pPr>
              <w:rPr>
                <w:sz w:val="20"/>
                <w:szCs w:val="20"/>
                <w:lang w:eastAsia="cs-CZ"/>
              </w:rPr>
            </w:pPr>
          </w:p>
          <w:p w:rsidR="007B197D" w:rsidRPr="00E40DBB" w:rsidRDefault="007B197D" w:rsidP="007B197D">
            <w:pPr>
              <w:rPr>
                <w:sz w:val="20"/>
                <w:szCs w:val="20"/>
                <w:lang w:eastAsia="cs-CZ"/>
              </w:rPr>
            </w:pPr>
            <w:r w:rsidRPr="00E40DBB">
              <w:rPr>
                <w:sz w:val="20"/>
                <w:szCs w:val="20"/>
                <w:lang w:eastAsia="cs-CZ"/>
              </w:rPr>
              <w:t>september 2014</w:t>
            </w:r>
          </w:p>
        </w:tc>
      </w:tr>
      <w:tr w:rsidR="007B197D" w:rsidRPr="00E40DBB" w:rsidTr="00475E91">
        <w:trPr>
          <w:trHeight w:val="1069"/>
        </w:trPr>
        <w:tc>
          <w:tcPr>
            <w:tcW w:w="1949" w:type="dxa"/>
            <w:vMerge/>
            <w:tcBorders>
              <w:left w:val="single" w:sz="12" w:space="0" w:color="auto"/>
            </w:tcBorders>
          </w:tcPr>
          <w:p w:rsidR="007B197D" w:rsidRPr="00E40DBB" w:rsidRDefault="007B197D" w:rsidP="007B197D">
            <w:pPr>
              <w:jc w:val="left"/>
              <w:rPr>
                <w:sz w:val="20"/>
                <w:szCs w:val="20"/>
                <w:lang w:eastAsia="cs-CZ"/>
              </w:rPr>
            </w:pPr>
          </w:p>
        </w:tc>
        <w:tc>
          <w:tcPr>
            <w:tcW w:w="2100" w:type="dxa"/>
          </w:tcPr>
          <w:p w:rsidR="007B197D" w:rsidRPr="00E40DBB" w:rsidRDefault="007B197D" w:rsidP="007B197D">
            <w:pPr>
              <w:jc w:val="left"/>
              <w:rPr>
                <w:sz w:val="20"/>
                <w:szCs w:val="20"/>
                <w:lang w:eastAsia="cs-CZ"/>
              </w:rPr>
            </w:pPr>
            <w:r w:rsidRPr="00E40DBB">
              <w:rPr>
                <w:sz w:val="20"/>
                <w:szCs w:val="20"/>
                <w:lang w:eastAsia="cs-CZ"/>
              </w:rPr>
              <w:t>Opatrenia na zabezpečenie odbornej prípravy pre zamestnancov orgánov zapojených do riadenia a kontroly EŠIF v oblasti práva a politiky Únie týkajúcich sa rodovej rovnosti a jej uplatňovania.</w:t>
            </w:r>
          </w:p>
        </w:tc>
        <w:tc>
          <w:tcPr>
            <w:tcW w:w="7858" w:type="dxa"/>
          </w:tcPr>
          <w:p w:rsidR="007B197D" w:rsidRPr="00E40DBB" w:rsidRDefault="007B197D" w:rsidP="007B197D">
            <w:pPr>
              <w:rPr>
                <w:sz w:val="20"/>
                <w:szCs w:val="20"/>
                <w:lang w:eastAsia="cs-CZ"/>
              </w:rPr>
            </w:pPr>
            <w:r w:rsidRPr="00E40DBB">
              <w:rPr>
                <w:i/>
                <w:sz w:val="20"/>
                <w:szCs w:val="20"/>
                <w:lang w:eastAsia="cs-CZ"/>
              </w:rPr>
              <w:t>Vypracovanie stratégie školenia a informovania zamestnancov zapojených do využívania fondov</w:t>
            </w:r>
            <w:r w:rsidRPr="00E40DBB">
              <w:rPr>
                <w:sz w:val="20"/>
                <w:szCs w:val="20"/>
                <w:lang w:eastAsia="cs-CZ"/>
              </w:rPr>
              <w:t xml:space="preserve"> a následné podanie projektu z OP TP na finančné zabezpečenie školení.</w:t>
            </w:r>
          </w:p>
          <w:p w:rsidR="007B197D" w:rsidRPr="00E40DBB" w:rsidRDefault="007B197D" w:rsidP="007B197D">
            <w:pPr>
              <w:rPr>
                <w:sz w:val="20"/>
                <w:szCs w:val="20"/>
                <w:lang w:eastAsia="cs-CZ"/>
              </w:rPr>
            </w:pPr>
            <w:r w:rsidRPr="00E40DBB">
              <w:rPr>
                <w:sz w:val="20"/>
                <w:szCs w:val="20"/>
                <w:lang w:eastAsia="cs-CZ"/>
              </w:rPr>
              <w:t>Školiace a vzdelávacie aktivity (školenia, semináre, tréningy a informovania zamestnancov/kyň zapojených do využívania fondov; konferencie, publikácie a propagačné tlačoviny/materiál, zverejňovanie správ v národných a regionálnych/lokálnych masmédiách a iné, bude vykonávať garant za HP pre nasledovné cieľové skupiny:</w:t>
            </w:r>
          </w:p>
          <w:p w:rsidR="007B197D" w:rsidRPr="00E40DBB" w:rsidRDefault="007B197D" w:rsidP="007B197D">
            <w:pPr>
              <w:rPr>
                <w:i/>
                <w:sz w:val="20"/>
                <w:szCs w:val="20"/>
                <w:lang w:eastAsia="cs-CZ"/>
              </w:rPr>
            </w:pPr>
            <w:r w:rsidRPr="00E40DBB">
              <w:rPr>
                <w:sz w:val="20"/>
                <w:szCs w:val="20"/>
                <w:lang w:eastAsia="cs-CZ"/>
              </w:rPr>
              <w:t>Osoby na RO zodpovedné za prípravu OP, kontaktné osoby pre HP RP zodpovedné za koordináciu HP RP na úrovni jednotlivých OP, členovia pracovnej skupiny HP RP, manažéri monitorovania a hodnotenia, vyšší riadiaci pracovníci, hodnotitelia projektov a taktiež personál orgánov zahrnutých  do riadenia a kontroly EŠIF v oblastiach zákonov a politiky EÚ o nediskriminácii, o rodovej rovnosti rovnako ako aj o „gender mainstreaming“ . Školenia sa budú  týkať spôsobu hodnotenia, procesu implementácie, monitorovania, kontroly.</w:t>
            </w:r>
          </w:p>
        </w:tc>
        <w:tc>
          <w:tcPr>
            <w:tcW w:w="2268" w:type="dxa"/>
          </w:tcPr>
          <w:p w:rsidR="007B197D" w:rsidRPr="00E40DBB" w:rsidRDefault="007B197D" w:rsidP="007B197D">
            <w:pPr>
              <w:rPr>
                <w:sz w:val="20"/>
                <w:szCs w:val="20"/>
                <w:lang w:eastAsia="cs-CZ"/>
              </w:rPr>
            </w:pPr>
            <w:r w:rsidRPr="00E40DBB">
              <w:rPr>
                <w:sz w:val="20"/>
                <w:szCs w:val="20"/>
                <w:lang w:eastAsia="cs-CZ"/>
              </w:rPr>
              <w:t xml:space="preserve">máj 2014 </w:t>
            </w:r>
          </w:p>
        </w:tc>
      </w:tr>
      <w:tr w:rsidR="007B197D" w:rsidRPr="00E40DBB" w:rsidTr="00475E91">
        <w:trPr>
          <w:trHeight w:val="3015"/>
        </w:trPr>
        <w:tc>
          <w:tcPr>
            <w:tcW w:w="1949" w:type="dxa"/>
            <w:vMerge w:val="restart"/>
            <w:tcBorders>
              <w:left w:val="single" w:sz="12" w:space="0" w:color="auto"/>
            </w:tcBorders>
          </w:tcPr>
          <w:p w:rsidR="007B197D" w:rsidRPr="00E40DBB" w:rsidRDefault="007B197D" w:rsidP="007B197D">
            <w:pPr>
              <w:jc w:val="left"/>
              <w:rPr>
                <w:sz w:val="20"/>
                <w:szCs w:val="20"/>
                <w:lang w:eastAsia="cs-CZ"/>
              </w:rPr>
            </w:pPr>
            <w:r w:rsidRPr="00E40DBB">
              <w:rPr>
                <w:sz w:val="20"/>
                <w:szCs w:val="20"/>
                <w:lang w:eastAsia="cs-CZ"/>
              </w:rPr>
              <w:t>3. Zdravotné postihnutie</w:t>
            </w:r>
          </w:p>
          <w:p w:rsidR="007B197D" w:rsidRPr="00E40DBB" w:rsidRDefault="007B197D" w:rsidP="007B197D">
            <w:pPr>
              <w:jc w:val="left"/>
              <w:rPr>
                <w:sz w:val="20"/>
                <w:szCs w:val="20"/>
                <w:lang w:eastAsia="cs-CZ"/>
              </w:rPr>
            </w:pPr>
            <w:r w:rsidRPr="00E40DBB">
              <w:rPr>
                <w:sz w:val="20"/>
                <w:szCs w:val="20"/>
                <w:lang w:eastAsia="cs-CZ"/>
              </w:rPr>
              <w:t>Existencia administratívnej kapacity na vykonávanie a uplatňovanie Dohovoru OSN o právach osôb so zdravotným postihnutím v oblasti EŠIF v súlade s rozhodnutím Rady 2010/48/ES</w:t>
            </w:r>
          </w:p>
        </w:tc>
        <w:tc>
          <w:tcPr>
            <w:tcW w:w="2100" w:type="dxa"/>
          </w:tcPr>
          <w:p w:rsidR="007B197D" w:rsidRPr="00E40DBB" w:rsidRDefault="007B197D" w:rsidP="007B197D">
            <w:pPr>
              <w:jc w:val="left"/>
              <w:rPr>
                <w:sz w:val="20"/>
                <w:szCs w:val="20"/>
                <w:lang w:eastAsia="cs-CZ"/>
              </w:rPr>
            </w:pPr>
            <w:r w:rsidRPr="00E40DBB">
              <w:rPr>
                <w:sz w:val="20"/>
                <w:szCs w:val="20"/>
                <w:lang w:eastAsia="cs-CZ"/>
              </w:rPr>
              <w:t>Opatrenia v súlade s inštitucionálnym a právnym rámcom členských štátov na vykonávanie konzultácií a zapojenie orgánov, ktoré sú zodpovedné  za ochranu práv osôb so zdravotným postihnutím, alebo organizácií zastupujúcich osoby so zdravotným postihnutím, a ďalšie príslušné zainteresované osoby počas prípravy a vykonávania programov.</w:t>
            </w:r>
          </w:p>
        </w:tc>
        <w:tc>
          <w:tcPr>
            <w:tcW w:w="7858" w:type="dxa"/>
          </w:tcPr>
          <w:p w:rsidR="007B197D" w:rsidRPr="00E40DBB" w:rsidRDefault="007B197D" w:rsidP="007B197D">
            <w:pPr>
              <w:tabs>
                <w:tab w:val="left" w:pos="2302"/>
              </w:tabs>
              <w:rPr>
                <w:rFonts w:cs="Calibri"/>
                <w:sz w:val="20"/>
                <w:szCs w:val="20"/>
                <w:lang w:eastAsia="en-GB"/>
              </w:rPr>
            </w:pPr>
            <w:r w:rsidRPr="00E40DBB">
              <w:rPr>
                <w:rFonts w:cs="Calibri"/>
                <w:sz w:val="20"/>
                <w:szCs w:val="20"/>
              </w:rPr>
              <w:t>Navýšenie administratívnych kapacít odboru rodovej rovnosti a rovnosti príležitostí MPSVR SR ako aj odboru integrácie osôb so zdravotným postihnutím, ktoré plní úlohy Hlavného kontaktného miesta pre vykonávanie dohovoru OSN o právach osôb so zdravotným postihnutím. Novo vytvorené miesta budú zamerané na metodické vedenie, analytickú, strategickú, legislatívnu a vzdelávaciu činnosť súvisiacu s implementáciou horizontálnych princípov v EŠIF. Ich náplň práce bude zameraná na aktivity súvisiace s povinnosťami každého subjektu fondov so zameraním na tematickú prierezovosť horizontálnych princípov. Prierezovosť všetkými fondmi a rozšírenie pôsobnosti súčasného HP RP si vyžaduje maximálne posilnenie kapacít s dôrazom na metodické vedenie, publicitu, školiace a vzdelávacie aktivity, hodnotiaci, výberový proces ale aj na monitorovanie a kontrolu – vychádzajúc z návrhu Systému riadenia a kontroly pre PO 2014 – 2020.</w:t>
            </w:r>
          </w:p>
          <w:p w:rsidR="007B197D" w:rsidRPr="00E40DBB" w:rsidRDefault="007B197D" w:rsidP="007B197D">
            <w:pPr>
              <w:rPr>
                <w:i/>
                <w:sz w:val="20"/>
                <w:szCs w:val="20"/>
                <w:lang w:eastAsia="cs-CZ"/>
              </w:rPr>
            </w:pPr>
          </w:p>
        </w:tc>
        <w:tc>
          <w:tcPr>
            <w:tcW w:w="2268" w:type="dxa"/>
          </w:tcPr>
          <w:p w:rsidR="007B197D" w:rsidRPr="00E40DBB" w:rsidRDefault="007B197D" w:rsidP="007B197D">
            <w:pPr>
              <w:rPr>
                <w:sz w:val="20"/>
                <w:szCs w:val="20"/>
              </w:rPr>
            </w:pPr>
            <w:r w:rsidRPr="00E40DBB">
              <w:rPr>
                <w:sz w:val="20"/>
                <w:szCs w:val="20"/>
              </w:rPr>
              <w:t>1. polrok 2014</w:t>
            </w:r>
          </w:p>
          <w:p w:rsidR="007B197D" w:rsidRPr="00E40DBB" w:rsidRDefault="007B197D" w:rsidP="007B197D">
            <w:pPr>
              <w:rPr>
                <w:sz w:val="20"/>
                <w:szCs w:val="20"/>
                <w:lang w:eastAsia="cs-CZ"/>
              </w:rPr>
            </w:pPr>
          </w:p>
        </w:tc>
      </w:tr>
      <w:tr w:rsidR="007B197D" w:rsidRPr="00E40DBB" w:rsidTr="00475E91">
        <w:trPr>
          <w:trHeight w:val="1695"/>
        </w:trPr>
        <w:tc>
          <w:tcPr>
            <w:tcW w:w="1949" w:type="dxa"/>
            <w:vMerge/>
            <w:tcBorders>
              <w:left w:val="single" w:sz="12" w:space="0" w:color="auto"/>
            </w:tcBorders>
          </w:tcPr>
          <w:p w:rsidR="007B197D" w:rsidRPr="00E40DBB" w:rsidRDefault="007B197D" w:rsidP="007B197D">
            <w:pPr>
              <w:jc w:val="left"/>
              <w:rPr>
                <w:sz w:val="20"/>
                <w:szCs w:val="20"/>
                <w:lang w:eastAsia="cs-CZ"/>
              </w:rPr>
            </w:pPr>
          </w:p>
        </w:tc>
        <w:tc>
          <w:tcPr>
            <w:tcW w:w="2100" w:type="dxa"/>
          </w:tcPr>
          <w:p w:rsidR="007B197D" w:rsidRPr="00E40DBB" w:rsidRDefault="007B197D" w:rsidP="007B197D">
            <w:pPr>
              <w:jc w:val="left"/>
              <w:rPr>
                <w:bCs/>
                <w:spacing w:val="-3"/>
                <w:sz w:val="20"/>
                <w:szCs w:val="20"/>
                <w:lang w:eastAsia="fr-FR"/>
              </w:rPr>
            </w:pPr>
            <w:r w:rsidRPr="00E40DBB">
              <w:rPr>
                <w:sz w:val="20"/>
                <w:szCs w:val="20"/>
              </w:rPr>
              <w:t>O</w:t>
            </w:r>
            <w:r w:rsidRPr="00E40DBB">
              <w:rPr>
                <w:bCs/>
                <w:spacing w:val="-3"/>
                <w:sz w:val="20"/>
                <w:szCs w:val="20"/>
                <w:lang w:eastAsia="fr-FR"/>
              </w:rPr>
              <w:t>patrenia na zabezpečenie odbornej prípravy pre zamestnancov orgánov zapojených do riadenia a kontroly EŠIF v oblasti platného práva a politiky Únie a členských štátov týkajúcich sa zdravotného postihnutia vrátane</w:t>
            </w:r>
            <w:r w:rsidRPr="00E40DBB">
              <w:rPr>
                <w:bCs/>
                <w:spacing w:val="-3"/>
                <w:sz w:val="20"/>
                <w:szCs w:val="20"/>
                <w:lang w:eastAsia="fr-FR"/>
              </w:rPr>
              <w:lastRenderedPageBreak/>
              <w:t xml:space="preserve"> dostupnosti a praktického uplatňovania Dohovoru OSN o právach osôb so zdravotným postihnutím transponovaného v právnych predpisoch Únie, a členských štátov.</w:t>
            </w:r>
          </w:p>
        </w:tc>
        <w:tc>
          <w:tcPr>
            <w:tcW w:w="7858" w:type="dxa"/>
          </w:tcPr>
          <w:p w:rsidR="007B197D" w:rsidRPr="00E40DBB" w:rsidRDefault="007B197D" w:rsidP="007B197D">
            <w:pPr>
              <w:widowControl w:val="0"/>
              <w:autoSpaceDE w:val="0"/>
              <w:autoSpaceDN w:val="0"/>
              <w:adjustRightInd w:val="0"/>
              <w:rPr>
                <w:rFonts w:cs="Calibri"/>
                <w:sz w:val="20"/>
                <w:szCs w:val="20"/>
              </w:rPr>
            </w:pPr>
            <w:r w:rsidRPr="00E40DBB">
              <w:rPr>
                <w:rFonts w:cs="Calibri"/>
                <w:sz w:val="20"/>
                <w:szCs w:val="20"/>
              </w:rPr>
              <w:t>Vypracovanie stratégie školenia a informovania zamestnancov zapojených do využívania fondov a následné podanie projektu z OP TP na finančné zabezpečenie školení. Školenia sa budú týkať spôsobu hodnotenia, procesu implementácie, monitorovania, kontroly.</w:t>
            </w:r>
          </w:p>
          <w:p w:rsidR="007B197D" w:rsidRPr="00E40DBB" w:rsidRDefault="007B197D" w:rsidP="007B197D">
            <w:pPr>
              <w:widowControl w:val="0"/>
              <w:autoSpaceDE w:val="0"/>
              <w:autoSpaceDN w:val="0"/>
              <w:adjustRightInd w:val="0"/>
              <w:rPr>
                <w:rFonts w:cs="Calibri"/>
                <w:sz w:val="20"/>
                <w:szCs w:val="20"/>
              </w:rPr>
            </w:pPr>
          </w:p>
          <w:p w:rsidR="007B197D" w:rsidRPr="00E40DBB" w:rsidRDefault="007B197D" w:rsidP="007B197D">
            <w:pPr>
              <w:rPr>
                <w:sz w:val="20"/>
                <w:szCs w:val="20"/>
              </w:rPr>
            </w:pPr>
            <w:r w:rsidRPr="00E40DBB">
              <w:rPr>
                <w:rFonts w:cs="Calibri"/>
                <w:sz w:val="20"/>
                <w:szCs w:val="20"/>
              </w:rPr>
              <w:t xml:space="preserve"> </w:t>
            </w:r>
          </w:p>
          <w:p w:rsidR="007B197D" w:rsidRPr="00E40DBB" w:rsidRDefault="007B197D" w:rsidP="007B197D">
            <w:pPr>
              <w:rPr>
                <w:sz w:val="20"/>
                <w:szCs w:val="20"/>
              </w:rPr>
            </w:pPr>
          </w:p>
          <w:p w:rsidR="007B197D" w:rsidRPr="00E40DBB" w:rsidRDefault="007B197D" w:rsidP="007B197D">
            <w:pPr>
              <w:rPr>
                <w:sz w:val="20"/>
                <w:szCs w:val="20"/>
              </w:rPr>
            </w:pPr>
          </w:p>
        </w:tc>
        <w:tc>
          <w:tcPr>
            <w:tcW w:w="2268" w:type="dxa"/>
          </w:tcPr>
          <w:p w:rsidR="007B197D" w:rsidRPr="00E40DBB" w:rsidRDefault="007B197D" w:rsidP="007B197D">
            <w:pPr>
              <w:rPr>
                <w:sz w:val="20"/>
                <w:szCs w:val="20"/>
              </w:rPr>
            </w:pPr>
            <w:r w:rsidRPr="00E40DBB">
              <w:rPr>
                <w:sz w:val="20"/>
                <w:szCs w:val="20"/>
              </w:rPr>
              <w:t>máj 2014</w:t>
            </w:r>
          </w:p>
          <w:p w:rsidR="007B197D" w:rsidRPr="00E40DBB" w:rsidRDefault="007B197D" w:rsidP="007B197D">
            <w:pPr>
              <w:rPr>
                <w:sz w:val="20"/>
                <w:szCs w:val="20"/>
              </w:rPr>
            </w:pPr>
          </w:p>
          <w:p w:rsidR="007B197D" w:rsidRPr="00E40DBB" w:rsidRDefault="007B197D" w:rsidP="007B197D">
            <w:pPr>
              <w:rPr>
                <w:sz w:val="20"/>
                <w:szCs w:val="20"/>
              </w:rPr>
            </w:pPr>
          </w:p>
          <w:p w:rsidR="007B197D" w:rsidRPr="00E40DBB" w:rsidRDefault="007B197D" w:rsidP="007B197D">
            <w:pPr>
              <w:rPr>
                <w:sz w:val="20"/>
                <w:szCs w:val="20"/>
              </w:rPr>
            </w:pPr>
          </w:p>
        </w:tc>
      </w:tr>
      <w:tr w:rsidR="007B197D" w:rsidRPr="00E40DBB" w:rsidTr="00475E91">
        <w:trPr>
          <w:trHeight w:val="786"/>
        </w:trPr>
        <w:tc>
          <w:tcPr>
            <w:tcW w:w="1949" w:type="dxa"/>
            <w:vMerge/>
            <w:tcBorders>
              <w:left w:val="single" w:sz="12" w:space="0" w:color="auto"/>
            </w:tcBorders>
          </w:tcPr>
          <w:p w:rsidR="007B197D" w:rsidRPr="00E40DBB" w:rsidRDefault="007B197D" w:rsidP="007B197D">
            <w:pPr>
              <w:jc w:val="left"/>
              <w:rPr>
                <w:sz w:val="20"/>
                <w:szCs w:val="20"/>
                <w:lang w:eastAsia="cs-CZ"/>
              </w:rPr>
            </w:pPr>
          </w:p>
        </w:tc>
        <w:tc>
          <w:tcPr>
            <w:tcW w:w="2100" w:type="dxa"/>
          </w:tcPr>
          <w:p w:rsidR="007B197D" w:rsidRPr="00E40DBB" w:rsidRDefault="007B197D" w:rsidP="007B197D">
            <w:pPr>
              <w:jc w:val="left"/>
              <w:rPr>
                <w:sz w:val="20"/>
                <w:szCs w:val="20"/>
              </w:rPr>
            </w:pPr>
            <w:r w:rsidRPr="00E40DBB">
              <w:rPr>
                <w:bCs/>
                <w:spacing w:val="-3"/>
                <w:sz w:val="20"/>
                <w:szCs w:val="20"/>
                <w:lang w:eastAsia="fr-FR"/>
              </w:rPr>
              <w:t>Opatrenia na zabezpečenie sledovania vykonávania článku 9 Dohovoru OSN o právach osôb so zdravotným postihnutím vo vzťahu k EŠIF počas prípravy a vykonávania programov.</w:t>
            </w:r>
          </w:p>
        </w:tc>
        <w:tc>
          <w:tcPr>
            <w:tcW w:w="7858" w:type="dxa"/>
          </w:tcPr>
          <w:p w:rsidR="007B197D" w:rsidRPr="00E40DBB" w:rsidRDefault="007B197D" w:rsidP="007B197D">
            <w:pPr>
              <w:spacing w:after="200"/>
              <w:rPr>
                <w:sz w:val="20"/>
                <w:szCs w:val="20"/>
              </w:rPr>
            </w:pPr>
            <w:r w:rsidRPr="00E40DBB">
              <w:rPr>
                <w:sz w:val="20"/>
                <w:szCs w:val="20"/>
              </w:rPr>
              <w:t>Proces monitorovania plnenia horizontálnych princípov bude na projektovej úrovni sledovaný prostredníctvom monitorovacích správ, ktorých súčasťou bude samostatný výstup obsahujúci informácie o horizontálnych princípoch (t. j. popisom vykonaných aktivít, ich výsledkov a vyhodnotením ich príspevku k dosahovaniu stanovených cieľov horizontálnych princípov), ako aj kontrolou na mieste realizácie projektov a následne hodnotením príspevku k cieľom horizontálnych princípov. Samostatný výstup obsahujúci informácie o uplatňovaní horizontálneho princípu bude podkladom pre proces hodnotenia príspevku EŠIF k plneniu cieľov identifikovaných v národnom strategickom dokumente. Odpočet plnenia dosiahnutej úrovne stanovených cieľov v národnom strategickom dokumente, vrátane návrhu nápravných opatrení a odporúčaní k ich dosiahnutiu, bude každoročne predkladaný do vlády SR. Ukazovatele v oblasti osôb so zdravotným postihnutím (assessment grid) bude súčasťou monitorovacej správy – príloha HP.</w:t>
            </w:r>
          </w:p>
        </w:tc>
        <w:tc>
          <w:tcPr>
            <w:tcW w:w="2268" w:type="dxa"/>
          </w:tcPr>
          <w:p w:rsidR="007B197D" w:rsidRPr="00E40DBB" w:rsidRDefault="007B197D" w:rsidP="00475E91">
            <w:pPr>
              <w:tabs>
                <w:tab w:val="left" w:pos="2302"/>
              </w:tabs>
              <w:jc w:val="left"/>
              <w:rPr>
                <w:sz w:val="20"/>
                <w:szCs w:val="20"/>
              </w:rPr>
            </w:pPr>
            <w:r w:rsidRPr="00E40DBB">
              <w:rPr>
                <w:sz w:val="20"/>
                <w:szCs w:val="20"/>
              </w:rPr>
              <w:t>31. 10. 2014</w:t>
            </w:r>
          </w:p>
          <w:p w:rsidR="007B197D" w:rsidRPr="00E40DBB" w:rsidRDefault="007B197D" w:rsidP="00475E91">
            <w:pPr>
              <w:jc w:val="left"/>
              <w:rPr>
                <w:sz w:val="20"/>
                <w:szCs w:val="20"/>
              </w:rPr>
            </w:pPr>
            <w:r w:rsidRPr="00E40DBB">
              <w:rPr>
                <w:sz w:val="20"/>
                <w:szCs w:val="20"/>
              </w:rPr>
              <w:t xml:space="preserve">do júna 2014 - zapracovanie článku 9 Dohovoru OSN do všetkých OP. </w:t>
            </w:r>
          </w:p>
          <w:p w:rsidR="007B197D" w:rsidRPr="00E40DBB" w:rsidRDefault="007B197D" w:rsidP="00475E91">
            <w:pPr>
              <w:jc w:val="left"/>
              <w:rPr>
                <w:sz w:val="20"/>
                <w:szCs w:val="20"/>
              </w:rPr>
            </w:pPr>
            <w:r w:rsidRPr="00E40DBB">
              <w:rPr>
                <w:sz w:val="20"/>
                <w:szCs w:val="20"/>
              </w:rPr>
              <w:t xml:space="preserve">jún - október 2014 - následné zapracovanie do riadiacej dokumentácie, proces uplatňovania v hodnotení , monitorovaní a kontrole, príprava assessment grid. </w:t>
            </w:r>
          </w:p>
        </w:tc>
      </w:tr>
      <w:tr w:rsidR="007B197D" w:rsidRPr="00E40DBB" w:rsidTr="00475E91">
        <w:tc>
          <w:tcPr>
            <w:tcW w:w="1949" w:type="dxa"/>
            <w:tcBorders>
              <w:left w:val="single" w:sz="12" w:space="0" w:color="auto"/>
            </w:tcBorders>
          </w:tcPr>
          <w:p w:rsidR="007B197D" w:rsidRPr="00E40DBB" w:rsidRDefault="007B197D" w:rsidP="007B197D">
            <w:pPr>
              <w:jc w:val="left"/>
              <w:rPr>
                <w:sz w:val="20"/>
                <w:szCs w:val="20"/>
                <w:lang w:eastAsia="cs-CZ"/>
              </w:rPr>
            </w:pPr>
            <w:r w:rsidRPr="00E40DBB">
              <w:rPr>
                <w:sz w:val="20"/>
                <w:szCs w:val="20"/>
                <w:lang w:eastAsia="cs-CZ"/>
              </w:rPr>
              <w:t>5. Štátna pomoc</w:t>
            </w:r>
          </w:p>
          <w:p w:rsidR="007B197D" w:rsidRPr="00E40DBB" w:rsidRDefault="007B197D" w:rsidP="007B197D">
            <w:pPr>
              <w:jc w:val="left"/>
              <w:rPr>
                <w:sz w:val="20"/>
                <w:szCs w:val="20"/>
                <w:lang w:eastAsia="cs-CZ"/>
              </w:rPr>
            </w:pPr>
            <w:r w:rsidRPr="00E40DBB">
              <w:rPr>
                <w:sz w:val="20"/>
                <w:szCs w:val="20"/>
                <w:lang w:eastAsia="cs-CZ"/>
              </w:rPr>
              <w:t>Existencia pravidiel na efektívne uplatňovanie práva Únie o štátnej pomoci v oblasti EŠIF.</w:t>
            </w:r>
          </w:p>
        </w:tc>
        <w:tc>
          <w:tcPr>
            <w:tcW w:w="2100" w:type="dxa"/>
          </w:tcPr>
          <w:p w:rsidR="007B197D" w:rsidRPr="00E40DBB" w:rsidRDefault="007B197D" w:rsidP="007B197D">
            <w:pPr>
              <w:jc w:val="left"/>
              <w:rPr>
                <w:sz w:val="20"/>
                <w:szCs w:val="20"/>
                <w:lang w:eastAsia="cs-CZ"/>
              </w:rPr>
            </w:pPr>
            <w:r w:rsidRPr="00E40DBB">
              <w:rPr>
                <w:sz w:val="20"/>
                <w:szCs w:val="20"/>
              </w:rPr>
              <w:t>Opatrenia na zabezpečenie účinného uplatňovania pravidiel Únie o štátnej pomoci.</w:t>
            </w:r>
          </w:p>
        </w:tc>
        <w:tc>
          <w:tcPr>
            <w:tcW w:w="7858" w:type="dxa"/>
          </w:tcPr>
          <w:p w:rsidR="007B197D" w:rsidRPr="00E40DBB" w:rsidRDefault="007B197D" w:rsidP="007B197D">
            <w:pPr>
              <w:rPr>
                <w:sz w:val="20"/>
                <w:szCs w:val="20"/>
              </w:rPr>
            </w:pPr>
            <w:r w:rsidRPr="00E40DBB">
              <w:rPr>
                <w:sz w:val="20"/>
                <w:szCs w:val="20"/>
              </w:rPr>
              <w:t xml:space="preserve">Návrh uznesenia vlády SR s cieľom posilniť úlohu národného koordinátora, aby bol zabezpečený súlad v implementácii pravidiel štátnej pomoci. </w:t>
            </w:r>
          </w:p>
        </w:tc>
        <w:tc>
          <w:tcPr>
            <w:tcW w:w="2268" w:type="dxa"/>
          </w:tcPr>
          <w:p w:rsidR="007B197D" w:rsidRPr="00E40DBB" w:rsidRDefault="007B197D" w:rsidP="007B197D">
            <w:pPr>
              <w:rPr>
                <w:sz w:val="20"/>
                <w:szCs w:val="20"/>
                <w:lang w:eastAsia="cs-CZ"/>
              </w:rPr>
            </w:pPr>
            <w:r w:rsidRPr="00E40DBB">
              <w:rPr>
                <w:sz w:val="20"/>
                <w:szCs w:val="20"/>
              </w:rPr>
              <w:t>február 2014</w:t>
            </w:r>
          </w:p>
        </w:tc>
      </w:tr>
      <w:tr w:rsidR="007B197D" w:rsidRPr="00E40DBB" w:rsidTr="00475E91">
        <w:trPr>
          <w:trHeight w:val="925"/>
        </w:trPr>
        <w:tc>
          <w:tcPr>
            <w:tcW w:w="1949" w:type="dxa"/>
            <w:vMerge w:val="restart"/>
            <w:tcBorders>
              <w:left w:val="single" w:sz="12" w:space="0" w:color="auto"/>
            </w:tcBorders>
          </w:tcPr>
          <w:p w:rsidR="007B197D" w:rsidRPr="00E40DBB" w:rsidRDefault="007B197D" w:rsidP="007B197D">
            <w:pPr>
              <w:jc w:val="left"/>
              <w:rPr>
                <w:sz w:val="20"/>
                <w:szCs w:val="20"/>
                <w:lang w:eastAsia="cs-CZ"/>
              </w:rPr>
            </w:pPr>
            <w:r w:rsidRPr="00E40DBB">
              <w:rPr>
                <w:sz w:val="20"/>
                <w:szCs w:val="20"/>
                <w:lang w:eastAsia="cs-CZ"/>
              </w:rPr>
              <w:t>6. Právne predpisy v oblasti životného prostredia týkajúce sa posudzovania vplyvov na životné prostredie (EIA) a strategického environmentálneho posudzovania (SEA)</w:t>
            </w:r>
          </w:p>
          <w:p w:rsidR="007B197D" w:rsidRPr="00E40DBB" w:rsidRDefault="007B197D" w:rsidP="007B197D">
            <w:pPr>
              <w:jc w:val="left"/>
              <w:rPr>
                <w:sz w:val="20"/>
                <w:szCs w:val="20"/>
                <w:lang w:eastAsia="cs-CZ"/>
              </w:rPr>
            </w:pPr>
            <w:r w:rsidRPr="00E40DBB">
              <w:rPr>
                <w:sz w:val="20"/>
                <w:szCs w:val="20"/>
                <w:lang w:eastAsia="cs-CZ"/>
              </w:rPr>
              <w:t>Existencia pravidiel na efektívne uplatňovanie právnych predpisov Únie v oblasti životného prostredia týkajúcich sa EIA a SEA.</w:t>
            </w:r>
          </w:p>
        </w:tc>
        <w:tc>
          <w:tcPr>
            <w:tcW w:w="2100" w:type="dxa"/>
          </w:tcPr>
          <w:p w:rsidR="007B197D" w:rsidRPr="00E40DBB" w:rsidRDefault="007B197D" w:rsidP="007B197D">
            <w:pPr>
              <w:jc w:val="left"/>
              <w:rPr>
                <w:sz w:val="20"/>
                <w:szCs w:val="20"/>
              </w:rPr>
            </w:pPr>
            <w:r w:rsidRPr="00E40DBB">
              <w:rPr>
                <w:sz w:val="20"/>
                <w:szCs w:val="20"/>
              </w:rPr>
              <w:t>Opatrenia na zabezpečenie účinného uplatňovania smernice Európskeho parlamentu a Rady 2011/92/EÚ (EIA) a smernice Európskeho parlamentu a Rady 2001/42/ES (SEA).</w:t>
            </w:r>
          </w:p>
        </w:tc>
        <w:tc>
          <w:tcPr>
            <w:tcW w:w="7858" w:type="dxa"/>
          </w:tcPr>
          <w:p w:rsidR="007B197D" w:rsidRPr="00E40DBB" w:rsidRDefault="007B197D" w:rsidP="007B197D">
            <w:pPr>
              <w:rPr>
                <w:sz w:val="20"/>
                <w:szCs w:val="20"/>
              </w:rPr>
            </w:pPr>
            <w:r w:rsidRPr="00E40DBB">
              <w:rPr>
                <w:sz w:val="20"/>
                <w:szCs w:val="20"/>
              </w:rPr>
              <w:t>Plánovaná účinnosť novely zákona</w:t>
            </w:r>
          </w:p>
        </w:tc>
        <w:tc>
          <w:tcPr>
            <w:tcW w:w="2268" w:type="dxa"/>
          </w:tcPr>
          <w:p w:rsidR="007B197D" w:rsidRPr="00E40DBB" w:rsidRDefault="007B197D" w:rsidP="007B197D">
            <w:pPr>
              <w:rPr>
                <w:sz w:val="20"/>
                <w:szCs w:val="20"/>
              </w:rPr>
            </w:pPr>
            <w:r w:rsidRPr="00E40DBB">
              <w:rPr>
                <w:sz w:val="20"/>
                <w:szCs w:val="20"/>
              </w:rPr>
              <w:t>1. 12. 2014</w:t>
            </w:r>
          </w:p>
        </w:tc>
      </w:tr>
      <w:tr w:rsidR="007B197D" w:rsidRPr="00E40DBB" w:rsidTr="00475E91">
        <w:trPr>
          <w:trHeight w:val="416"/>
        </w:trPr>
        <w:tc>
          <w:tcPr>
            <w:tcW w:w="1949" w:type="dxa"/>
            <w:vMerge/>
            <w:tcBorders>
              <w:left w:val="single" w:sz="12" w:space="0" w:color="auto"/>
            </w:tcBorders>
          </w:tcPr>
          <w:p w:rsidR="007B197D" w:rsidRPr="00E40DBB" w:rsidRDefault="007B197D" w:rsidP="007B197D">
            <w:pPr>
              <w:jc w:val="left"/>
              <w:rPr>
                <w:sz w:val="20"/>
                <w:szCs w:val="20"/>
                <w:lang w:eastAsia="cs-CZ"/>
              </w:rPr>
            </w:pPr>
          </w:p>
        </w:tc>
        <w:tc>
          <w:tcPr>
            <w:tcW w:w="2100" w:type="dxa"/>
            <w:vMerge w:val="restart"/>
          </w:tcPr>
          <w:p w:rsidR="007B197D" w:rsidRPr="00E40DBB" w:rsidRDefault="007B197D" w:rsidP="007B197D">
            <w:pPr>
              <w:jc w:val="left"/>
              <w:rPr>
                <w:sz w:val="20"/>
                <w:szCs w:val="20"/>
              </w:rPr>
            </w:pPr>
          </w:p>
        </w:tc>
        <w:tc>
          <w:tcPr>
            <w:tcW w:w="7858" w:type="dxa"/>
          </w:tcPr>
          <w:p w:rsidR="007B197D" w:rsidRPr="00E40DBB" w:rsidRDefault="007B197D" w:rsidP="007B197D">
            <w:pPr>
              <w:rPr>
                <w:sz w:val="20"/>
                <w:szCs w:val="20"/>
              </w:rPr>
            </w:pPr>
            <w:r w:rsidRPr="00E40DBB">
              <w:rPr>
                <w:sz w:val="20"/>
                <w:szCs w:val="20"/>
              </w:rPr>
              <w:t>Metodické usmernenie postupu príslušných orgánov pre posudzovanie vplyvov v „prechodnom“ období (do schválenia a nadobudnutia účinnosti príslušných legislatívnych úprav):</w:t>
            </w:r>
          </w:p>
          <w:p w:rsidR="007B197D" w:rsidRPr="00E40DBB" w:rsidRDefault="007B197D" w:rsidP="00CE203B">
            <w:pPr>
              <w:numPr>
                <w:ilvl w:val="0"/>
                <w:numId w:val="396"/>
              </w:numPr>
              <w:contextualSpacing/>
              <w:rPr>
                <w:sz w:val="20"/>
                <w:szCs w:val="20"/>
                <w:lang w:eastAsia="en-GB"/>
              </w:rPr>
            </w:pPr>
            <w:r w:rsidRPr="00E40DBB">
              <w:rPr>
                <w:sz w:val="20"/>
                <w:szCs w:val="20"/>
              </w:rPr>
              <w:t>písomná forma pre príslušné orgány štátnej správy v oblasti posudzovania vplyvov na životné prostredie obsahujúca správne a dôsledné využívanie výberových kritérií pre zisťovacie konanie (príloha III. smernice EIA, ktorá je premietnutá v prílohe č. 10 zákona EIA),</w:t>
            </w:r>
          </w:p>
          <w:p w:rsidR="007B197D" w:rsidRPr="00E40DBB" w:rsidRDefault="007B197D" w:rsidP="00CE203B">
            <w:pPr>
              <w:numPr>
                <w:ilvl w:val="0"/>
                <w:numId w:val="396"/>
              </w:numPr>
              <w:contextualSpacing/>
              <w:rPr>
                <w:sz w:val="20"/>
                <w:szCs w:val="20"/>
                <w:lang w:eastAsia="en-GB"/>
              </w:rPr>
            </w:pPr>
            <w:r w:rsidRPr="00E40DBB">
              <w:rPr>
                <w:sz w:val="20"/>
                <w:szCs w:val="20"/>
              </w:rPr>
              <w:t>písomná forma pre  príslušné orgány štátnej správy v oblasti posudzovania vplyvov na životné prostredie obsahujúca  dôsledný postup pri odôvodnení rozhodnutí zo zisťovacieho konania uvedením vysporiadania sa so stanoviskami dotknutých orgánov a dotknutých obcí a tiež náležitým odôvodnením zo strany príslušného orgánu,</w:t>
            </w:r>
          </w:p>
          <w:p w:rsidR="007B197D" w:rsidRPr="00475E91" w:rsidRDefault="007B197D" w:rsidP="007B197D">
            <w:pPr>
              <w:numPr>
                <w:ilvl w:val="0"/>
                <w:numId w:val="396"/>
              </w:numPr>
              <w:contextualSpacing/>
              <w:rPr>
                <w:sz w:val="20"/>
                <w:szCs w:val="20"/>
                <w:lang w:eastAsia="en-GB"/>
              </w:rPr>
            </w:pPr>
            <w:r w:rsidRPr="00E40DBB">
              <w:rPr>
                <w:sz w:val="20"/>
                <w:szCs w:val="20"/>
              </w:rPr>
              <w:t>písomná forma pre povoľujúce orgány ako sa zverejní upovedomenie o začatí povoľovacieho konania, z ktorého bude jednoznačne vyplývať právo k prístupu k úplnej žiadosti o povolenie.</w:t>
            </w:r>
          </w:p>
        </w:tc>
        <w:tc>
          <w:tcPr>
            <w:tcW w:w="2268" w:type="dxa"/>
          </w:tcPr>
          <w:p w:rsidR="007B197D" w:rsidRPr="00E40DBB" w:rsidRDefault="007B197D" w:rsidP="00475E91">
            <w:pPr>
              <w:jc w:val="left"/>
              <w:rPr>
                <w:sz w:val="20"/>
                <w:szCs w:val="20"/>
              </w:rPr>
            </w:pPr>
            <w:r w:rsidRPr="00E40DBB">
              <w:rPr>
                <w:sz w:val="20"/>
                <w:szCs w:val="20"/>
              </w:rPr>
              <w:t xml:space="preserve">december 2013 </w:t>
            </w:r>
          </w:p>
          <w:p w:rsidR="007B197D" w:rsidRPr="00E40DBB" w:rsidRDefault="007B197D" w:rsidP="00475E91">
            <w:pPr>
              <w:jc w:val="left"/>
              <w:rPr>
                <w:sz w:val="20"/>
                <w:szCs w:val="20"/>
              </w:rPr>
            </w:pPr>
            <w:r w:rsidRPr="00E40DBB">
              <w:rPr>
                <w:sz w:val="20"/>
                <w:szCs w:val="20"/>
              </w:rPr>
              <w:t>(v nadväznosti na postup prípravy legislatívnych úprav, môže dôjsť k posunu termínu na marec 2014)</w:t>
            </w:r>
          </w:p>
          <w:p w:rsidR="007B197D" w:rsidRPr="00E40DBB" w:rsidRDefault="007B197D" w:rsidP="00475E91">
            <w:pPr>
              <w:jc w:val="left"/>
              <w:rPr>
                <w:sz w:val="20"/>
                <w:szCs w:val="20"/>
              </w:rPr>
            </w:pPr>
          </w:p>
        </w:tc>
      </w:tr>
      <w:tr w:rsidR="007B197D" w:rsidRPr="00E40DBB" w:rsidTr="00475E91">
        <w:trPr>
          <w:trHeight w:val="788"/>
        </w:trPr>
        <w:tc>
          <w:tcPr>
            <w:tcW w:w="1949" w:type="dxa"/>
            <w:vMerge/>
            <w:tcBorders>
              <w:left w:val="single" w:sz="12" w:space="0" w:color="auto"/>
            </w:tcBorders>
          </w:tcPr>
          <w:p w:rsidR="007B197D" w:rsidRPr="00E40DBB" w:rsidRDefault="007B197D" w:rsidP="007B197D">
            <w:pPr>
              <w:jc w:val="left"/>
              <w:rPr>
                <w:sz w:val="20"/>
                <w:szCs w:val="20"/>
                <w:lang w:eastAsia="cs-CZ"/>
              </w:rPr>
            </w:pPr>
          </w:p>
        </w:tc>
        <w:tc>
          <w:tcPr>
            <w:tcW w:w="2100" w:type="dxa"/>
            <w:vMerge/>
          </w:tcPr>
          <w:p w:rsidR="007B197D" w:rsidRPr="00E40DBB" w:rsidRDefault="007B197D" w:rsidP="007B197D">
            <w:pPr>
              <w:jc w:val="left"/>
              <w:rPr>
                <w:sz w:val="20"/>
                <w:szCs w:val="20"/>
              </w:rPr>
            </w:pPr>
          </w:p>
        </w:tc>
        <w:tc>
          <w:tcPr>
            <w:tcW w:w="7858" w:type="dxa"/>
          </w:tcPr>
          <w:p w:rsidR="007B197D" w:rsidRPr="00E40DBB" w:rsidRDefault="007B197D" w:rsidP="00475E91">
            <w:pPr>
              <w:rPr>
                <w:sz w:val="20"/>
                <w:szCs w:val="20"/>
              </w:rPr>
            </w:pPr>
            <w:r w:rsidRPr="00E40DBB">
              <w:rPr>
                <w:sz w:val="20"/>
                <w:szCs w:val="20"/>
              </w:rPr>
              <w:t>Príprava príslušných legislatívnych úprav na medzirezortnej úrovni.</w:t>
            </w:r>
          </w:p>
          <w:p w:rsidR="007B197D" w:rsidRPr="00E40DBB" w:rsidRDefault="007B197D" w:rsidP="00475E91">
            <w:pPr>
              <w:rPr>
                <w:sz w:val="20"/>
                <w:szCs w:val="20"/>
              </w:rPr>
            </w:pPr>
            <w:r w:rsidRPr="00E40DBB">
              <w:rPr>
                <w:sz w:val="20"/>
                <w:szCs w:val="20"/>
              </w:rPr>
              <w:t>Predloženie príslušných legislatívnych úprav na schválenie vláde SR.</w:t>
            </w:r>
          </w:p>
          <w:p w:rsidR="007B197D" w:rsidRPr="00E40DBB" w:rsidRDefault="007B197D" w:rsidP="00475E91">
            <w:pPr>
              <w:rPr>
                <w:sz w:val="20"/>
                <w:szCs w:val="20"/>
              </w:rPr>
            </w:pPr>
            <w:r w:rsidRPr="00E40DBB">
              <w:rPr>
                <w:sz w:val="20"/>
                <w:szCs w:val="20"/>
              </w:rPr>
              <w:t>Predloženie príslušných legislatívnych úprav na schválenie Národnej rade SR.</w:t>
            </w:r>
          </w:p>
        </w:tc>
        <w:tc>
          <w:tcPr>
            <w:tcW w:w="2268" w:type="dxa"/>
          </w:tcPr>
          <w:p w:rsidR="007B197D" w:rsidRPr="00E40DBB" w:rsidRDefault="007B197D" w:rsidP="00475E91">
            <w:pPr>
              <w:jc w:val="left"/>
              <w:rPr>
                <w:sz w:val="20"/>
                <w:szCs w:val="20"/>
              </w:rPr>
            </w:pPr>
            <w:r w:rsidRPr="00E40DBB">
              <w:rPr>
                <w:sz w:val="20"/>
                <w:szCs w:val="20"/>
              </w:rPr>
              <w:t>január - máj 2014</w:t>
            </w:r>
          </w:p>
          <w:p w:rsidR="007B197D" w:rsidRPr="00E40DBB" w:rsidRDefault="007B197D" w:rsidP="00475E91">
            <w:pPr>
              <w:jc w:val="left"/>
              <w:rPr>
                <w:sz w:val="20"/>
                <w:szCs w:val="20"/>
              </w:rPr>
            </w:pPr>
            <w:r w:rsidRPr="00E40DBB">
              <w:rPr>
                <w:sz w:val="20"/>
                <w:szCs w:val="20"/>
              </w:rPr>
              <w:t>jún 2014</w:t>
            </w:r>
          </w:p>
          <w:p w:rsidR="007B197D" w:rsidRPr="00E40DBB" w:rsidRDefault="007B197D" w:rsidP="00475E91">
            <w:pPr>
              <w:jc w:val="left"/>
              <w:rPr>
                <w:sz w:val="20"/>
                <w:szCs w:val="20"/>
              </w:rPr>
            </w:pPr>
            <w:r w:rsidRPr="00E40DBB">
              <w:rPr>
                <w:sz w:val="20"/>
                <w:szCs w:val="20"/>
              </w:rPr>
              <w:t>september 2014</w:t>
            </w:r>
          </w:p>
        </w:tc>
      </w:tr>
      <w:tr w:rsidR="007B197D" w:rsidRPr="00E40DBB" w:rsidTr="00475E91">
        <w:trPr>
          <w:trHeight w:val="439"/>
        </w:trPr>
        <w:tc>
          <w:tcPr>
            <w:tcW w:w="1949" w:type="dxa"/>
            <w:vMerge/>
            <w:tcBorders>
              <w:left w:val="single" w:sz="12" w:space="0" w:color="auto"/>
            </w:tcBorders>
          </w:tcPr>
          <w:p w:rsidR="007B197D" w:rsidRPr="00E40DBB" w:rsidRDefault="007B197D" w:rsidP="007B197D">
            <w:pPr>
              <w:jc w:val="left"/>
              <w:rPr>
                <w:sz w:val="20"/>
                <w:szCs w:val="20"/>
                <w:lang w:eastAsia="cs-CZ"/>
              </w:rPr>
            </w:pPr>
          </w:p>
        </w:tc>
        <w:tc>
          <w:tcPr>
            <w:tcW w:w="2100" w:type="dxa"/>
            <w:vMerge/>
          </w:tcPr>
          <w:p w:rsidR="007B197D" w:rsidRPr="00E40DBB" w:rsidRDefault="007B197D" w:rsidP="007B197D">
            <w:pPr>
              <w:jc w:val="left"/>
              <w:rPr>
                <w:sz w:val="20"/>
                <w:szCs w:val="20"/>
              </w:rPr>
            </w:pPr>
          </w:p>
        </w:tc>
        <w:tc>
          <w:tcPr>
            <w:tcW w:w="7858" w:type="dxa"/>
          </w:tcPr>
          <w:p w:rsidR="007B197D" w:rsidRPr="00E40DBB" w:rsidRDefault="007B197D" w:rsidP="00053D13">
            <w:pPr>
              <w:jc w:val="left"/>
              <w:rPr>
                <w:sz w:val="20"/>
                <w:szCs w:val="20"/>
              </w:rPr>
            </w:pPr>
            <w:r w:rsidRPr="00E40DBB">
              <w:rPr>
                <w:sz w:val="20"/>
                <w:szCs w:val="20"/>
              </w:rPr>
              <w:t>Príprava III. ročníka konferencie s medzinárodnou účasťou SEA/EIA 2014 http://www.enviroportal.sk/kalendar-udalosti/den/27-05-2014</w:t>
            </w:r>
          </w:p>
        </w:tc>
        <w:tc>
          <w:tcPr>
            <w:tcW w:w="2268" w:type="dxa"/>
          </w:tcPr>
          <w:p w:rsidR="007B197D" w:rsidRPr="00E40DBB" w:rsidRDefault="007B197D" w:rsidP="00475E91">
            <w:pPr>
              <w:jc w:val="left"/>
              <w:rPr>
                <w:sz w:val="20"/>
                <w:szCs w:val="20"/>
              </w:rPr>
            </w:pPr>
            <w:r w:rsidRPr="00E40DBB">
              <w:rPr>
                <w:sz w:val="20"/>
                <w:szCs w:val="20"/>
              </w:rPr>
              <w:t xml:space="preserve">27. - 28. máj 2014 </w:t>
            </w:r>
          </w:p>
        </w:tc>
      </w:tr>
      <w:tr w:rsidR="007B197D" w:rsidRPr="00E40DBB" w:rsidDel="00C83129" w:rsidTr="00475E91">
        <w:trPr>
          <w:trHeight w:val="925"/>
        </w:trPr>
        <w:tc>
          <w:tcPr>
            <w:tcW w:w="1949" w:type="dxa"/>
            <w:vMerge/>
            <w:tcBorders>
              <w:left w:val="single" w:sz="12" w:space="0" w:color="auto"/>
            </w:tcBorders>
          </w:tcPr>
          <w:p w:rsidR="007B197D" w:rsidRPr="00E40DBB" w:rsidRDefault="007B197D" w:rsidP="007B197D">
            <w:pPr>
              <w:jc w:val="left"/>
              <w:rPr>
                <w:sz w:val="20"/>
                <w:szCs w:val="20"/>
                <w:lang w:eastAsia="cs-CZ"/>
              </w:rPr>
            </w:pPr>
          </w:p>
        </w:tc>
        <w:tc>
          <w:tcPr>
            <w:tcW w:w="2100" w:type="dxa"/>
          </w:tcPr>
          <w:p w:rsidR="007B197D" w:rsidRPr="00E40DBB" w:rsidRDefault="007B197D" w:rsidP="007B197D">
            <w:pPr>
              <w:jc w:val="left"/>
              <w:rPr>
                <w:sz w:val="20"/>
                <w:szCs w:val="20"/>
              </w:rPr>
            </w:pPr>
            <w:r w:rsidRPr="00E40DBB">
              <w:rPr>
                <w:sz w:val="20"/>
                <w:szCs w:val="20"/>
              </w:rPr>
              <w:t>Opatrenia v oblasti odbornej prípravy a informovania</w:t>
            </w:r>
            <w:r w:rsidRPr="00E40DBB">
              <w:rPr>
                <w:sz w:val="20"/>
                <w:szCs w:val="20"/>
              </w:rPr>
              <w:lastRenderedPageBreak/>
              <w:t xml:space="preserve"> zamestnancov zapojených do vykonávania smerníc EIA a SEA.</w:t>
            </w:r>
          </w:p>
        </w:tc>
        <w:tc>
          <w:tcPr>
            <w:tcW w:w="7858" w:type="dxa"/>
          </w:tcPr>
          <w:p w:rsidR="007B197D" w:rsidRPr="00E40DBB" w:rsidRDefault="007B197D" w:rsidP="007B197D">
            <w:pPr>
              <w:rPr>
                <w:sz w:val="20"/>
                <w:szCs w:val="20"/>
              </w:rPr>
            </w:pPr>
            <w:r w:rsidRPr="00E40DBB">
              <w:rPr>
                <w:sz w:val="20"/>
                <w:szCs w:val="20"/>
              </w:rPr>
              <w:t>Vykonanie školení reflektujúcich na príslušné legislatívne úpravy.</w:t>
            </w:r>
          </w:p>
        </w:tc>
        <w:tc>
          <w:tcPr>
            <w:tcW w:w="2268" w:type="dxa"/>
          </w:tcPr>
          <w:p w:rsidR="007B197D" w:rsidRPr="00E40DBB" w:rsidDel="00C83129" w:rsidRDefault="007B197D" w:rsidP="00475E91">
            <w:pPr>
              <w:jc w:val="left"/>
              <w:rPr>
                <w:sz w:val="20"/>
                <w:szCs w:val="20"/>
              </w:rPr>
            </w:pPr>
            <w:r w:rsidRPr="00E40DBB">
              <w:rPr>
                <w:sz w:val="20"/>
                <w:szCs w:val="20"/>
              </w:rPr>
              <w:t>druhá polovica roka 2014</w:t>
            </w:r>
          </w:p>
        </w:tc>
      </w:tr>
      <w:tr w:rsidR="007B197D" w:rsidRPr="00E40DBB" w:rsidTr="00475E91">
        <w:trPr>
          <w:trHeight w:val="644"/>
        </w:trPr>
        <w:tc>
          <w:tcPr>
            <w:tcW w:w="1949" w:type="dxa"/>
            <w:vMerge w:val="restart"/>
            <w:tcBorders>
              <w:left w:val="single" w:sz="12" w:space="0" w:color="auto"/>
            </w:tcBorders>
          </w:tcPr>
          <w:p w:rsidR="007B197D" w:rsidRPr="00E40DBB" w:rsidRDefault="007B197D" w:rsidP="007B197D">
            <w:pPr>
              <w:jc w:val="left"/>
              <w:rPr>
                <w:sz w:val="20"/>
                <w:szCs w:val="20"/>
                <w:lang w:eastAsia="cs-CZ"/>
              </w:rPr>
            </w:pPr>
            <w:r w:rsidRPr="00E40DBB">
              <w:rPr>
                <w:sz w:val="20"/>
                <w:szCs w:val="20"/>
                <w:lang w:eastAsia="cs-CZ"/>
              </w:rPr>
              <w:t>7. Štatistické systémy a ukazovatele výsledkov</w:t>
            </w:r>
          </w:p>
          <w:p w:rsidR="007B197D" w:rsidRPr="00E40DBB" w:rsidRDefault="007B197D" w:rsidP="007B197D">
            <w:pPr>
              <w:jc w:val="left"/>
              <w:rPr>
                <w:sz w:val="20"/>
                <w:szCs w:val="20"/>
                <w:lang w:eastAsia="cs-CZ"/>
              </w:rPr>
            </w:pPr>
            <w:r w:rsidRPr="00E40DBB">
              <w:rPr>
                <w:sz w:val="20"/>
                <w:szCs w:val="20"/>
                <w:lang w:eastAsia="cs-CZ"/>
              </w:rPr>
              <w:t xml:space="preserve">Existencia štatistického základu potrebného na uskutočnenie hodnotení pre posúdenie účinnosti a vplyvu programov. </w:t>
            </w:r>
          </w:p>
          <w:p w:rsidR="007B197D" w:rsidRPr="00E40DBB" w:rsidRDefault="007B197D" w:rsidP="007B197D">
            <w:pPr>
              <w:jc w:val="left"/>
              <w:rPr>
                <w:sz w:val="20"/>
                <w:szCs w:val="20"/>
                <w:lang w:eastAsia="cs-CZ"/>
              </w:rPr>
            </w:pPr>
            <w:r w:rsidRPr="00E40DBB">
              <w:rPr>
                <w:sz w:val="20"/>
                <w:szCs w:val="20"/>
                <w:lang w:eastAsia="cs-CZ"/>
              </w:rPr>
              <w:t>Existencia systému ukazovateľov výsledkov nevyhnutných pre výber opatrení, ktoré čo najúčinnejšie prispievajú k dosiahnutiu želaných výsledkov, pre monitorovanie pokroku pri dosahovaní výsledkov a vykonanie posúdenia vplyvu.</w:t>
            </w:r>
          </w:p>
        </w:tc>
        <w:tc>
          <w:tcPr>
            <w:tcW w:w="2100" w:type="dxa"/>
          </w:tcPr>
          <w:p w:rsidR="007B197D" w:rsidRPr="00E40DBB" w:rsidRDefault="007B197D" w:rsidP="007B197D">
            <w:pPr>
              <w:jc w:val="left"/>
              <w:rPr>
                <w:sz w:val="20"/>
                <w:szCs w:val="20"/>
                <w:lang w:eastAsia="cs-CZ"/>
              </w:rPr>
            </w:pPr>
            <w:r w:rsidRPr="00E40DBB">
              <w:rPr>
                <w:sz w:val="20"/>
                <w:szCs w:val="20"/>
                <w:lang w:eastAsia="cs-CZ"/>
              </w:rPr>
              <w:t>Zavedené sú opatrenia na zabezpečenie včasného zhromaždenia a konsolidácie štatistických údajov s týmito prvkami:</w:t>
            </w:r>
          </w:p>
          <w:p w:rsidR="007B197D" w:rsidRPr="00E40DBB" w:rsidRDefault="007B197D" w:rsidP="007B197D">
            <w:pPr>
              <w:jc w:val="left"/>
              <w:rPr>
                <w:sz w:val="20"/>
                <w:szCs w:val="20"/>
                <w:lang w:eastAsia="cs-CZ"/>
              </w:rPr>
            </w:pPr>
            <w:r w:rsidRPr="00E40DBB">
              <w:rPr>
                <w:sz w:val="20"/>
                <w:szCs w:val="20"/>
                <w:lang w:eastAsia="cs-CZ"/>
              </w:rPr>
              <w:t>- identifikácia zdrojov a mechanizmov na zaručenie validácie štatistických údajov,</w:t>
            </w:r>
          </w:p>
          <w:p w:rsidR="007B197D" w:rsidRPr="00E40DBB" w:rsidRDefault="007B197D" w:rsidP="007B197D">
            <w:pPr>
              <w:jc w:val="left"/>
              <w:rPr>
                <w:sz w:val="20"/>
                <w:szCs w:val="20"/>
                <w:lang w:eastAsia="cs-CZ"/>
              </w:rPr>
            </w:pPr>
            <w:r w:rsidRPr="00E40DBB">
              <w:rPr>
                <w:sz w:val="20"/>
                <w:szCs w:val="20"/>
                <w:lang w:eastAsia="cs-CZ"/>
              </w:rPr>
              <w:t>- opatrenia na uverejnenie konsolidovaných údajov a ich sprístupnenie verejnosti.</w:t>
            </w:r>
          </w:p>
        </w:tc>
        <w:tc>
          <w:tcPr>
            <w:tcW w:w="7858" w:type="dxa"/>
          </w:tcPr>
          <w:p w:rsidR="007B197D" w:rsidRPr="00E40DBB" w:rsidRDefault="007B197D" w:rsidP="007B197D">
            <w:pPr>
              <w:rPr>
                <w:sz w:val="20"/>
                <w:szCs w:val="20"/>
              </w:rPr>
            </w:pPr>
            <w:r w:rsidRPr="00E40DBB">
              <w:rPr>
                <w:sz w:val="20"/>
                <w:szCs w:val="20"/>
              </w:rPr>
              <w:t>Na základe dokumentu </w:t>
            </w:r>
            <w:r w:rsidRPr="00E40DBB">
              <w:rPr>
                <w:i/>
                <w:sz w:val="20"/>
                <w:szCs w:val="20"/>
              </w:rPr>
              <w:t>návrh Usmernenia CKO k tvorbe merateľných ukazovateľov na programovej a projektovej úrovni</w:t>
            </w:r>
            <w:r w:rsidRPr="00E40DBB">
              <w:rPr>
                <w:sz w:val="20"/>
                <w:szCs w:val="20"/>
              </w:rPr>
              <w:t xml:space="preserve"> vo vzťahu k identifikácii zdrojov a mechanizmov na zaručenie validácie štatistických údajov sú navrhované nasledujúce opatrenia:</w:t>
            </w:r>
          </w:p>
          <w:p w:rsidR="007B197D" w:rsidRPr="00E40DBB" w:rsidRDefault="007B197D" w:rsidP="007B197D">
            <w:pPr>
              <w:rPr>
                <w:sz w:val="20"/>
                <w:szCs w:val="20"/>
              </w:rPr>
            </w:pPr>
          </w:p>
          <w:p w:rsidR="007B197D" w:rsidRPr="00E40DBB" w:rsidRDefault="007B197D" w:rsidP="007B197D">
            <w:pPr>
              <w:spacing w:after="200"/>
              <w:rPr>
                <w:sz w:val="20"/>
                <w:szCs w:val="20"/>
              </w:rPr>
            </w:pPr>
            <w:r w:rsidRPr="00E40DBB">
              <w:rPr>
                <w:i/>
                <w:sz w:val="20"/>
                <w:szCs w:val="20"/>
              </w:rPr>
              <w:t>1. Zhrnutie potrebných údajov s ohľadom na nastavený systém ukazovateľov na úrovni jednotlivých OP a identifikácia zdrojov údajov a ich nositeľov</w:t>
            </w:r>
            <w:r w:rsidRPr="00E40DBB">
              <w:rPr>
                <w:sz w:val="20"/>
                <w:szCs w:val="20"/>
              </w:rPr>
              <w:t>:</w:t>
            </w:r>
          </w:p>
          <w:p w:rsidR="007B197D" w:rsidRPr="00E40DBB" w:rsidRDefault="007B197D" w:rsidP="007B197D">
            <w:pPr>
              <w:spacing w:after="200"/>
              <w:rPr>
                <w:sz w:val="20"/>
                <w:szCs w:val="20"/>
              </w:rPr>
            </w:pPr>
            <w:r w:rsidRPr="00E40DBB">
              <w:rPr>
                <w:sz w:val="20"/>
                <w:szCs w:val="20"/>
              </w:rPr>
              <w:t>Po vypracovaní opisu systémov monitorovania a hodnotenia na úrovni jednotlivých operačných programov bude jasné, aké údaje je potrebné mať k dispozícii (vrátane identifikovania rozsahu subjektov, o ktorých bude potrebné údaje zbierať) a z akých zdrojov je možné predmetné údaje získať. Zhrnutie týchto informácií bude vykonané na centrálnej úrovni.</w:t>
            </w:r>
          </w:p>
          <w:p w:rsidR="007B197D" w:rsidRPr="00E40DBB" w:rsidRDefault="007B197D" w:rsidP="007B197D">
            <w:pPr>
              <w:spacing w:after="200"/>
              <w:rPr>
                <w:sz w:val="20"/>
                <w:szCs w:val="20"/>
              </w:rPr>
            </w:pPr>
            <w:r w:rsidRPr="00E40DBB">
              <w:rPr>
                <w:sz w:val="20"/>
                <w:szCs w:val="20"/>
              </w:rPr>
              <w:t xml:space="preserve">So Štatistickým úradom SR a Sociálnou poisťovňou boli realizované predbežné konzultácie o možnosti poskytovania/zbierania potrebných dát. Po identifikácii konkrétnych údajov budú s relevantnými inštitúciami uzavreté dohody o spolupráci. </w:t>
            </w:r>
          </w:p>
          <w:p w:rsidR="007B197D" w:rsidRPr="00E40DBB" w:rsidRDefault="007B197D" w:rsidP="007B197D">
            <w:pPr>
              <w:spacing w:after="200"/>
              <w:rPr>
                <w:i/>
                <w:sz w:val="20"/>
                <w:szCs w:val="20"/>
              </w:rPr>
            </w:pPr>
            <w:r w:rsidRPr="00E40DBB">
              <w:rPr>
                <w:i/>
                <w:sz w:val="20"/>
                <w:szCs w:val="20"/>
              </w:rPr>
              <w:t>2. Prijatie adekvátnych opatrení na uchovávanie dát v elektronickej podobe</w:t>
            </w:r>
          </w:p>
          <w:p w:rsidR="007B197D" w:rsidRPr="00E40DBB" w:rsidRDefault="007B197D" w:rsidP="007B197D">
            <w:pPr>
              <w:spacing w:after="200"/>
              <w:rPr>
                <w:sz w:val="20"/>
                <w:szCs w:val="20"/>
              </w:rPr>
            </w:pPr>
            <w:r w:rsidRPr="00E40DBB">
              <w:rPr>
                <w:sz w:val="20"/>
                <w:szCs w:val="20"/>
              </w:rPr>
              <w:t>V nadväznosti na zadefinovanie rozsahu údajov a charakteru dát, ktoré sú potrebné na vykazovanie jednotlivých ukazovateľov, ktoré budú identifikované v rámci jednotlivých operačných programov  bude zabezpečené, aby ich uchovávanie v rámci elektronického systému spĺňalo požiadavky na dostatočnú ochranu pred stratou a znehodnotením, vrátane schopnosti prenosu údajov prostredníctvom SFC 2014. Uvedené skutočnosti sú už aktuálne zohľadnené v rámci požiadaviek na  informačný systém.</w:t>
            </w:r>
          </w:p>
          <w:p w:rsidR="007B197D" w:rsidRPr="00E40DBB" w:rsidRDefault="007B197D" w:rsidP="007B197D">
            <w:pPr>
              <w:spacing w:after="200"/>
              <w:rPr>
                <w:sz w:val="20"/>
                <w:szCs w:val="20"/>
              </w:rPr>
            </w:pPr>
            <w:r w:rsidRPr="00E40DBB">
              <w:rPr>
                <w:i/>
                <w:sz w:val="20"/>
                <w:szCs w:val="20"/>
              </w:rPr>
              <w:t>3. Nastavenie pravidiel pre dodržiavanie ustanovení o ochrane osobných údajov</w:t>
            </w:r>
          </w:p>
          <w:p w:rsidR="007B197D" w:rsidRPr="00E40DBB" w:rsidRDefault="007B197D" w:rsidP="007B197D">
            <w:pPr>
              <w:rPr>
                <w:sz w:val="20"/>
                <w:szCs w:val="20"/>
              </w:rPr>
            </w:pPr>
            <w:r w:rsidRPr="00E40DBB">
              <w:rPr>
                <w:sz w:val="20"/>
                <w:szCs w:val="20"/>
              </w:rPr>
              <w:t>Rešpektovanie pravidiel ochrany osobných údajov vychádzajúce z ustanovenia zákona č.</w:t>
            </w:r>
            <w:r w:rsidRPr="00E40DBB">
              <w:rPr>
                <w:sz w:val="20"/>
                <w:szCs w:val="20"/>
              </w:rPr>
              <w:lastRenderedPageBreak/>
              <w:t xml:space="preserve"> 122/2013 Z. z. o ochrane osobných údajov a o zmene a doplnení niektorých zákonov bude zapracované do záväzných podmienok pre riadiace orgány v súvislosti s implementáciou operačných programov prostredníctvom povinností uložených Systémom riadenia a kontroly pre programové obdobie 2014 – 2020, s osobitnou identifikáciou fázy zberu údajov pre monitorovanie a hodnotenie merateľných ukazovateľov.</w:t>
            </w:r>
          </w:p>
          <w:p w:rsidR="007B197D" w:rsidRPr="00E40DBB" w:rsidRDefault="007B197D" w:rsidP="007B197D">
            <w:pPr>
              <w:rPr>
                <w:sz w:val="20"/>
                <w:szCs w:val="20"/>
              </w:rPr>
            </w:pPr>
          </w:p>
          <w:p w:rsidR="007B197D" w:rsidRPr="00E40DBB" w:rsidRDefault="007B197D" w:rsidP="00475E91">
            <w:pPr>
              <w:rPr>
                <w:sz w:val="20"/>
                <w:szCs w:val="20"/>
                <w:u w:val="single"/>
              </w:rPr>
            </w:pPr>
            <w:r w:rsidRPr="00E40DBB">
              <w:rPr>
                <w:sz w:val="20"/>
                <w:szCs w:val="20"/>
                <w:u w:val="single"/>
              </w:rPr>
              <w:t>Definovanie záväzných pravidiel v oblasti zverejňovania informácií na centrálnej úrovni</w:t>
            </w:r>
          </w:p>
          <w:p w:rsidR="007B197D" w:rsidRPr="00E40DBB" w:rsidRDefault="007B197D" w:rsidP="007B197D">
            <w:pPr>
              <w:rPr>
                <w:sz w:val="20"/>
                <w:szCs w:val="20"/>
              </w:rPr>
            </w:pPr>
            <w:r w:rsidRPr="00E40DBB">
              <w:rPr>
                <w:sz w:val="20"/>
                <w:szCs w:val="20"/>
              </w:rPr>
              <w:t>Dostupnosť údajov o vykonávaní jednotlivých operačných programov, vrátane dostupnosti informácií o ukazovateľoch a ich dosahovaní, bude zakotvené ako povinnosť pre jednotlivé riadiace orgány v Systéme riadenia a kontroly pre programové  obdobie 2014 – 2020. Dostupnosť údajov pre verejnosť bude v podobe povinnosti riadiacich orgánov zakotvenej v predmetnom dokumente vo forme povinného zverejňovania výročných správ o implementácii operačných programov na internetových stránkach riadiacich orgánov, ktorých súčasťou budú aj informácie o ukazovateľoch.</w:t>
            </w:r>
          </w:p>
        </w:tc>
        <w:tc>
          <w:tcPr>
            <w:tcW w:w="2268" w:type="dxa"/>
          </w:tcPr>
          <w:p w:rsidR="007B197D" w:rsidRPr="00E40DBB" w:rsidRDefault="007B197D" w:rsidP="00475E91">
            <w:pPr>
              <w:jc w:val="left"/>
              <w:rPr>
                <w:sz w:val="20"/>
                <w:szCs w:val="20"/>
                <w:lang w:eastAsia="cs-CZ"/>
              </w:rPr>
            </w:pPr>
            <w:r w:rsidRPr="00E40DBB">
              <w:rPr>
                <w:sz w:val="20"/>
                <w:szCs w:val="20"/>
                <w:lang w:eastAsia="cs-CZ"/>
              </w:rPr>
              <w:t xml:space="preserve">Termín predloženia opisov monitorovania a hodnotenia 15. 1. 2014 (OP ĽZ, 20. 1. 2014)   </w:t>
            </w:r>
          </w:p>
          <w:p w:rsidR="007B197D" w:rsidRPr="00E40DBB" w:rsidRDefault="007B197D" w:rsidP="00475E91">
            <w:pPr>
              <w:jc w:val="left"/>
              <w:rPr>
                <w:sz w:val="20"/>
                <w:szCs w:val="20"/>
                <w:lang w:eastAsia="cs-CZ"/>
              </w:rPr>
            </w:pPr>
            <w:r w:rsidRPr="00E40DBB">
              <w:rPr>
                <w:sz w:val="20"/>
                <w:szCs w:val="20"/>
                <w:lang w:eastAsia="cs-CZ"/>
              </w:rPr>
              <w:t>Finálny návrh - pri finálnej verzii OP zaslaných na schválenie do 30. 4. 2014, v prípade OP RH 31. 10. 2014.</w:t>
            </w:r>
          </w:p>
          <w:p w:rsidR="007B197D" w:rsidRPr="00E40DBB" w:rsidRDefault="007B197D" w:rsidP="00475E91">
            <w:pPr>
              <w:jc w:val="left"/>
              <w:rPr>
                <w:sz w:val="20"/>
                <w:szCs w:val="20"/>
                <w:lang w:eastAsia="cs-CZ"/>
              </w:rPr>
            </w:pPr>
          </w:p>
          <w:p w:rsidR="007B197D" w:rsidRPr="00E40DBB" w:rsidRDefault="007B197D" w:rsidP="00475E91">
            <w:pPr>
              <w:jc w:val="left"/>
              <w:rPr>
                <w:sz w:val="20"/>
                <w:szCs w:val="20"/>
                <w:lang w:eastAsia="cs-CZ"/>
              </w:rPr>
            </w:pPr>
            <w:r w:rsidRPr="00E40DBB">
              <w:rPr>
                <w:sz w:val="20"/>
                <w:szCs w:val="20"/>
                <w:lang w:eastAsia="cs-CZ"/>
              </w:rPr>
              <w:t>Finalizácia opisov monitorovania a hodnotenia v OP do 30. 4. 2014, v prípade OP RH 31.10.2014.</w:t>
            </w:r>
          </w:p>
          <w:p w:rsidR="007B197D" w:rsidRPr="00E40DBB" w:rsidRDefault="007B197D" w:rsidP="00475E91">
            <w:pPr>
              <w:jc w:val="left"/>
              <w:rPr>
                <w:sz w:val="20"/>
                <w:szCs w:val="20"/>
                <w:lang w:eastAsia="cs-CZ"/>
              </w:rPr>
            </w:pPr>
            <w:r w:rsidRPr="00E40DBB">
              <w:rPr>
                <w:sz w:val="20"/>
                <w:szCs w:val="20"/>
                <w:lang w:eastAsia="cs-CZ"/>
              </w:rPr>
              <w:t>30. 4. 2014 (predpokladaný dátum schválenia Systému riadenia a kontroly pre programové obdobie 2014 - 2020)</w:t>
            </w:r>
          </w:p>
          <w:p w:rsidR="007B197D" w:rsidRPr="00E40DBB" w:rsidRDefault="007B197D" w:rsidP="00475E91">
            <w:pPr>
              <w:jc w:val="left"/>
              <w:rPr>
                <w:sz w:val="20"/>
                <w:szCs w:val="20"/>
                <w:lang w:eastAsia="cs-CZ"/>
              </w:rPr>
            </w:pPr>
          </w:p>
          <w:p w:rsidR="007B197D" w:rsidRPr="00E40DBB" w:rsidRDefault="007B197D" w:rsidP="00475E91">
            <w:pPr>
              <w:jc w:val="left"/>
              <w:rPr>
                <w:sz w:val="20"/>
                <w:szCs w:val="20"/>
                <w:lang w:eastAsia="cs-CZ"/>
              </w:rPr>
            </w:pPr>
          </w:p>
          <w:p w:rsidR="007B197D" w:rsidRPr="00E40DBB" w:rsidRDefault="007B197D" w:rsidP="00475E91">
            <w:pPr>
              <w:jc w:val="left"/>
              <w:rPr>
                <w:sz w:val="20"/>
                <w:szCs w:val="20"/>
                <w:lang w:eastAsia="cs-CZ"/>
              </w:rPr>
            </w:pPr>
          </w:p>
          <w:p w:rsidR="007B197D" w:rsidRPr="00E40DBB" w:rsidRDefault="007B197D" w:rsidP="00475E91">
            <w:pPr>
              <w:jc w:val="left"/>
              <w:rPr>
                <w:sz w:val="20"/>
                <w:szCs w:val="20"/>
                <w:lang w:eastAsia="cs-CZ"/>
              </w:rPr>
            </w:pPr>
          </w:p>
          <w:p w:rsidR="007B197D" w:rsidRPr="00E40DBB" w:rsidRDefault="007B197D" w:rsidP="00475E91">
            <w:pPr>
              <w:jc w:val="left"/>
              <w:rPr>
                <w:sz w:val="20"/>
                <w:szCs w:val="20"/>
                <w:lang w:eastAsia="cs-CZ"/>
              </w:rPr>
            </w:pPr>
          </w:p>
          <w:p w:rsidR="007B197D" w:rsidRPr="00E40DBB" w:rsidRDefault="007B197D" w:rsidP="00475E91">
            <w:pPr>
              <w:jc w:val="left"/>
              <w:rPr>
                <w:sz w:val="20"/>
                <w:szCs w:val="20"/>
                <w:lang w:eastAsia="cs-CZ"/>
              </w:rPr>
            </w:pPr>
            <w:r w:rsidRPr="00E40DBB">
              <w:rPr>
                <w:sz w:val="20"/>
                <w:szCs w:val="20"/>
                <w:lang w:eastAsia="cs-CZ"/>
              </w:rPr>
              <w:t>30. 4. 2014 (predpokladaný dátum</w:t>
            </w:r>
            <w:r w:rsidRPr="00E40DBB">
              <w:rPr>
                <w:sz w:val="20"/>
                <w:szCs w:val="20"/>
                <w:lang w:eastAsia="cs-CZ"/>
              </w:rPr>
              <w:lastRenderedPageBreak/>
              <w:t xml:space="preserve"> schválenia Systému riadenia a kontroly pre programové obdobie 2014 -2020)</w:t>
            </w:r>
          </w:p>
        </w:tc>
      </w:tr>
      <w:tr w:rsidR="007B197D" w:rsidRPr="00E40DBB" w:rsidTr="00475E91">
        <w:trPr>
          <w:trHeight w:val="1320"/>
        </w:trPr>
        <w:tc>
          <w:tcPr>
            <w:tcW w:w="1949" w:type="dxa"/>
            <w:vMerge/>
            <w:tcBorders>
              <w:left w:val="single" w:sz="12" w:space="0" w:color="auto"/>
            </w:tcBorders>
          </w:tcPr>
          <w:p w:rsidR="007B197D" w:rsidRPr="00E40DBB" w:rsidRDefault="007B197D" w:rsidP="007B197D">
            <w:pPr>
              <w:jc w:val="left"/>
              <w:rPr>
                <w:sz w:val="20"/>
                <w:szCs w:val="20"/>
                <w:lang w:eastAsia="cs-CZ"/>
              </w:rPr>
            </w:pPr>
          </w:p>
        </w:tc>
        <w:tc>
          <w:tcPr>
            <w:tcW w:w="2100" w:type="dxa"/>
          </w:tcPr>
          <w:p w:rsidR="007B197D" w:rsidRPr="00E40DBB" w:rsidRDefault="007B197D" w:rsidP="007B197D">
            <w:pPr>
              <w:keepNext/>
              <w:widowControl w:val="0"/>
              <w:jc w:val="left"/>
              <w:rPr>
                <w:noProof/>
                <w:sz w:val="20"/>
                <w:szCs w:val="20"/>
              </w:rPr>
            </w:pPr>
            <w:r w:rsidRPr="00E40DBB">
              <w:rPr>
                <w:noProof/>
                <w:sz w:val="20"/>
                <w:szCs w:val="20"/>
              </w:rPr>
              <w:t>Účinný systém ukazovateľov výsledkov vrátane:</w:t>
            </w:r>
          </w:p>
          <w:p w:rsidR="007B197D" w:rsidRPr="00E40DBB" w:rsidRDefault="007B197D" w:rsidP="007B197D">
            <w:pPr>
              <w:keepNext/>
              <w:widowControl w:val="0"/>
              <w:contextualSpacing/>
              <w:jc w:val="left"/>
              <w:rPr>
                <w:color w:val="000000"/>
                <w:sz w:val="20"/>
                <w:szCs w:val="20"/>
              </w:rPr>
            </w:pPr>
            <w:r w:rsidRPr="00E40DBB">
              <w:rPr>
                <w:sz w:val="20"/>
                <w:szCs w:val="20"/>
              </w:rPr>
              <w:t>- výberu ukazovateľov výsledkov pre každý program poskytujúcich informácie o tom, čo motivuje výber politických opatrení financovaných programom,</w:t>
            </w:r>
          </w:p>
          <w:p w:rsidR="007B197D" w:rsidRPr="00E40DBB" w:rsidRDefault="007B197D" w:rsidP="007B197D">
            <w:pPr>
              <w:keepNext/>
              <w:widowControl w:val="0"/>
              <w:contextualSpacing/>
              <w:jc w:val="left"/>
              <w:rPr>
                <w:color w:val="000000"/>
                <w:sz w:val="20"/>
                <w:szCs w:val="20"/>
              </w:rPr>
            </w:pPr>
            <w:r w:rsidRPr="00E40DBB">
              <w:rPr>
                <w:sz w:val="20"/>
                <w:szCs w:val="20"/>
              </w:rPr>
              <w:t>- stanovenia cieľov týchto ukazovateľov,</w:t>
            </w:r>
          </w:p>
          <w:p w:rsidR="007B197D" w:rsidRPr="00E40DBB" w:rsidRDefault="007B197D" w:rsidP="007B197D">
            <w:pPr>
              <w:keepNext/>
              <w:widowControl w:val="0"/>
              <w:contextualSpacing/>
              <w:jc w:val="left"/>
              <w:rPr>
                <w:color w:val="000000"/>
                <w:sz w:val="20"/>
                <w:szCs w:val="20"/>
              </w:rPr>
            </w:pPr>
            <w:r w:rsidRPr="00E40DBB">
              <w:rPr>
                <w:sz w:val="20"/>
                <w:szCs w:val="20"/>
              </w:rPr>
              <w:t>- súladu každého ukazovateľa s týmito náležitosťami: odolnosť a štatistická validácia, jasný</w:t>
            </w:r>
            <w:r w:rsidRPr="00E40DBB">
              <w:rPr>
                <w:sz w:val="20"/>
                <w:szCs w:val="20"/>
              </w:rPr>
              <w:lastRenderedPageBreak/>
              <w:t xml:space="preserve"> normatívny výklad, citlivosť voči politike a  včasné zhromažďovanie údajov.</w:t>
            </w:r>
          </w:p>
        </w:tc>
        <w:tc>
          <w:tcPr>
            <w:tcW w:w="7858" w:type="dxa"/>
          </w:tcPr>
          <w:p w:rsidR="007B197D" w:rsidRPr="00E40DBB" w:rsidRDefault="007B197D" w:rsidP="007B197D">
            <w:pPr>
              <w:rPr>
                <w:sz w:val="20"/>
                <w:szCs w:val="20"/>
                <w:lang w:eastAsia="cs-CZ"/>
              </w:rPr>
            </w:pPr>
            <w:r w:rsidRPr="00E40DBB">
              <w:rPr>
                <w:sz w:val="20"/>
                <w:szCs w:val="20"/>
                <w:lang w:eastAsia="cs-CZ"/>
              </w:rPr>
              <w:t>1. Metodická podpora a harmonizácia pravidiel v oblasti tvorby systému ukazovateľov na úrovni jednotlivých OP</w:t>
            </w:r>
          </w:p>
          <w:p w:rsidR="007B197D" w:rsidRPr="00E40DBB" w:rsidRDefault="007B197D" w:rsidP="007B197D">
            <w:pPr>
              <w:rPr>
                <w:sz w:val="20"/>
                <w:szCs w:val="20"/>
                <w:lang w:eastAsia="cs-CZ"/>
              </w:rPr>
            </w:pPr>
            <w:r w:rsidRPr="00E40DBB">
              <w:rPr>
                <w:sz w:val="20"/>
                <w:szCs w:val="20"/>
                <w:lang w:eastAsia="cs-CZ"/>
              </w:rPr>
              <w:t xml:space="preserve">Splnenie kvalitatívnych kritérií vzťahujúcich sa na jednotlivé ukazovatele výsledku bude zabezpečené na úrovni jednotlivých operačných programov, pričom je nevyhnutné, aby každý merateľný ukazovateľ pred jeho navrhnutím na schválenie v rámci operačného programu, poskytoval dostatočné údaje na uistenie sa o splnení požadovaných kritérií. Plnenie kritérií týkajúcich sa efektívneho systému ukazovateľov výsledku predpokladá preto ich plnenie na úrovni jednotlivých operačných programov. </w:t>
            </w:r>
          </w:p>
          <w:p w:rsidR="007B197D" w:rsidRPr="00E40DBB" w:rsidRDefault="007B197D" w:rsidP="007B197D">
            <w:pPr>
              <w:rPr>
                <w:sz w:val="20"/>
                <w:szCs w:val="20"/>
                <w:lang w:eastAsia="cs-CZ"/>
              </w:rPr>
            </w:pPr>
            <w:r w:rsidRPr="00E40DBB">
              <w:rPr>
                <w:sz w:val="20"/>
                <w:szCs w:val="20"/>
                <w:lang w:eastAsia="cs-CZ"/>
              </w:rPr>
              <w:t>2. Kvalitatívne posúdenie návrhu ukazovateľov výsledku na úrovni jednotlivých OP</w:t>
            </w:r>
          </w:p>
          <w:p w:rsidR="007B197D" w:rsidRPr="00E40DBB" w:rsidRDefault="007B197D" w:rsidP="007B197D">
            <w:pPr>
              <w:rPr>
                <w:sz w:val="20"/>
                <w:szCs w:val="20"/>
                <w:lang w:eastAsia="cs-CZ"/>
              </w:rPr>
            </w:pPr>
            <w:r w:rsidRPr="00E40DBB">
              <w:rPr>
                <w:sz w:val="20"/>
                <w:szCs w:val="20"/>
                <w:lang w:eastAsia="cs-CZ"/>
              </w:rPr>
              <w:t>Posúdenie merateľných ukazovateľov, nastavenie systému monitorovania a hodnotenia (vrátane nastavenia systému riadenia OP) bude súčasťou ex ante hodnotenia operačného programu. Uvedené odporúčanie na zahrnutie vyššie uvedenej požiadavky do ex ante hodnotenia je súčasťou Metodického pokynu CKO č. 1 pre programové obdobie 2014 – 2020 k vykonaniu ex ante hodnotení pre programové obdobie 2014 – 2020.</w:t>
            </w:r>
          </w:p>
        </w:tc>
        <w:tc>
          <w:tcPr>
            <w:tcW w:w="2268" w:type="dxa"/>
          </w:tcPr>
          <w:p w:rsidR="007B197D" w:rsidRPr="00E40DBB" w:rsidRDefault="007B197D" w:rsidP="00475E91">
            <w:pPr>
              <w:jc w:val="left"/>
              <w:rPr>
                <w:sz w:val="20"/>
                <w:szCs w:val="20"/>
                <w:lang w:eastAsia="cs-CZ"/>
              </w:rPr>
            </w:pPr>
            <w:r w:rsidRPr="00E40DBB">
              <w:rPr>
                <w:sz w:val="20"/>
                <w:szCs w:val="20"/>
                <w:lang w:eastAsia="cs-CZ"/>
              </w:rPr>
              <w:t>30. 4. 2014 (predpokladaný termín schválenia OP, v prípade OP RH 31. 10. 2014, pričom plnenie jednotlivých úloh spojených s prípravou návrhu efektívneho  systému ukazovateľov výsledku prebieha priebežne spolu s prípravou OP)</w:t>
            </w:r>
          </w:p>
        </w:tc>
      </w:tr>
      <w:tr w:rsidR="007B197D" w:rsidRPr="00E40DBB" w:rsidTr="00475E91">
        <w:trPr>
          <w:trHeight w:val="1320"/>
        </w:trPr>
        <w:tc>
          <w:tcPr>
            <w:tcW w:w="1949" w:type="dxa"/>
            <w:vMerge/>
            <w:tcBorders>
              <w:left w:val="single" w:sz="12" w:space="0" w:color="auto"/>
            </w:tcBorders>
          </w:tcPr>
          <w:p w:rsidR="007B197D" w:rsidRPr="00E40DBB" w:rsidRDefault="007B197D" w:rsidP="007B197D">
            <w:pPr>
              <w:jc w:val="left"/>
              <w:rPr>
                <w:sz w:val="20"/>
                <w:szCs w:val="20"/>
                <w:lang w:eastAsia="cs-CZ"/>
              </w:rPr>
            </w:pPr>
          </w:p>
        </w:tc>
        <w:tc>
          <w:tcPr>
            <w:tcW w:w="2100" w:type="dxa"/>
          </w:tcPr>
          <w:p w:rsidR="007B197D" w:rsidRPr="00E40DBB" w:rsidRDefault="007B197D" w:rsidP="007B197D">
            <w:pPr>
              <w:jc w:val="left"/>
              <w:rPr>
                <w:sz w:val="20"/>
                <w:szCs w:val="20"/>
                <w:lang w:eastAsia="cs-CZ"/>
              </w:rPr>
            </w:pPr>
            <w:r w:rsidRPr="00E40DBB">
              <w:rPr>
                <w:sz w:val="20"/>
                <w:szCs w:val="20"/>
                <w:lang w:eastAsia="cs-CZ"/>
              </w:rPr>
              <w:t>Postupy zavedené na zaručenie toho, aby všetky operácie financované z programu prijali účinný systém ukazovateľov.</w:t>
            </w:r>
          </w:p>
        </w:tc>
        <w:tc>
          <w:tcPr>
            <w:tcW w:w="7858" w:type="dxa"/>
          </w:tcPr>
          <w:p w:rsidR="007B197D" w:rsidRPr="00E40DBB" w:rsidRDefault="007B197D" w:rsidP="007B197D">
            <w:pPr>
              <w:rPr>
                <w:i/>
                <w:sz w:val="20"/>
                <w:szCs w:val="20"/>
                <w:lang w:eastAsia="cs-CZ"/>
              </w:rPr>
            </w:pPr>
            <w:r w:rsidRPr="00E40DBB">
              <w:rPr>
                <w:i/>
                <w:sz w:val="20"/>
                <w:szCs w:val="20"/>
                <w:lang w:eastAsia="cs-CZ"/>
              </w:rPr>
              <w:t>Identifikácia nositeľov údajov potrebných pre sledovanie dosahovania indikátorov na úrovni jednotlivých OP a uzavretie dohôd o spolupráci s týmito subjektmi</w:t>
            </w:r>
          </w:p>
          <w:p w:rsidR="007B197D" w:rsidRPr="00E40DBB" w:rsidRDefault="007B197D" w:rsidP="007B197D">
            <w:pPr>
              <w:rPr>
                <w:sz w:val="20"/>
                <w:szCs w:val="20"/>
                <w:lang w:eastAsia="cs-CZ"/>
              </w:rPr>
            </w:pPr>
            <w:r w:rsidRPr="00E40DBB">
              <w:rPr>
                <w:sz w:val="20"/>
                <w:szCs w:val="20"/>
                <w:lang w:eastAsia="cs-CZ"/>
              </w:rPr>
              <w:t xml:space="preserve">V nadväznosti na zadefinovanie systému merateľných ukazovateľov a predovšetkým identifikovaných zdrojov údajov budú navrhnuté konkrétne postupy potrebné pre zabezpečenie dostupnosti údajov nevyhnutných pre vykonávanie hodnotenia na úrovni operačných programov. Bude zabezpečená identifikácia subjektov, ktoré sú spôsobilé na zber potrebných informácií a následne sa v prípade potreby pristúpi k uzavretiu osobitných dohôd s identifikovaným subjektom za účelom získavania daných údajov (ak tieto údaje nevie ich nositeľ poskytnúť z dôvodu, že takéto informácie doposiaľ nezbieral alebo ich nemá v potrebnej podobe). Uvedená povinnosť bude zastrešená na úrovni CKO v nadväznosti na identifikáciu potrebných údajov v rámci opisov systému monitorovania a hodnotenia od jednotlivých subjektov zodpovedných za prípravu operačných programov. CKO v rámci pracovnej skupiny k tejto ex ante kondicionalite spolupracuje, o. i. aj so ŠÚ SR, ktorého zástupca sa zasadnutí zúčastňuje ako riadny člen. V rámci nadviazanej spolupráce je dohodnuté, že po identifikácii rozsahu potrebných údajov sa pristúpi k uzavretiu relevantných dohôd potrebných na získavanie takýchto údajov. Rovnakým spôsobom bude pristupované aj k iným inštitúciám, ktoré budú disponovať potrebnými informáciami, ktorých identifikácia bude vykonaná na základe potrieb identifikovaných na úrovni jednotlivých OP (ide predovšetkým o Sociálnu poisťovňu, Finančné riaditeľstvo a pod.).   </w:t>
            </w:r>
          </w:p>
        </w:tc>
        <w:tc>
          <w:tcPr>
            <w:tcW w:w="2268" w:type="dxa"/>
          </w:tcPr>
          <w:p w:rsidR="007B197D" w:rsidRPr="00E40DBB" w:rsidRDefault="007B197D" w:rsidP="007B197D">
            <w:pPr>
              <w:rPr>
                <w:sz w:val="20"/>
                <w:szCs w:val="20"/>
                <w:lang w:eastAsia="cs-CZ"/>
              </w:rPr>
            </w:pPr>
            <w:r w:rsidRPr="00E40DBB">
              <w:rPr>
                <w:sz w:val="20"/>
                <w:szCs w:val="20"/>
                <w:lang w:eastAsia="cs-CZ"/>
              </w:rPr>
              <w:t>30. 4. 2014</w:t>
            </w:r>
          </w:p>
          <w:p w:rsidR="007B197D" w:rsidRPr="00E40DBB" w:rsidRDefault="007B197D" w:rsidP="007B197D">
            <w:pPr>
              <w:rPr>
                <w:sz w:val="20"/>
                <w:szCs w:val="20"/>
                <w:lang w:eastAsia="cs-CZ"/>
              </w:rPr>
            </w:pPr>
            <w:r w:rsidRPr="00E40DBB">
              <w:rPr>
                <w:sz w:val="20"/>
                <w:szCs w:val="20"/>
                <w:lang w:eastAsia="cs-CZ"/>
              </w:rPr>
              <w:t>v prípade OP RH 31. 10. 2014</w:t>
            </w:r>
          </w:p>
        </w:tc>
      </w:tr>
    </w:tbl>
    <w:p w:rsidR="00E43137" w:rsidRPr="00E43137" w:rsidRDefault="00E43137" w:rsidP="008676F9">
      <w:pPr>
        <w:autoSpaceDE w:val="0"/>
        <w:autoSpaceDN w:val="0"/>
        <w:adjustRightInd w:val="0"/>
        <w:rPr>
          <w:rFonts w:ascii="Calibri" w:eastAsia="Calibri" w:hAnsi="Calibri"/>
          <w:szCs w:val="22"/>
          <w:lang w:eastAsia="en-US"/>
        </w:rPr>
      </w:pPr>
    </w:p>
    <w:p w:rsidR="00475E91" w:rsidRDefault="00475E91" w:rsidP="008676F9">
      <w:pPr>
        <w:spacing w:after="120"/>
        <w:rPr>
          <w:szCs w:val="20"/>
        </w:rPr>
      </w:pPr>
      <w:r>
        <w:rPr>
          <w:szCs w:val="20"/>
        </w:rPr>
        <w:br w:type="page"/>
      </w:r>
    </w:p>
    <w:tbl>
      <w:tblPr>
        <w:tblW w:w="1403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5"/>
        <w:gridCol w:w="2835"/>
        <w:gridCol w:w="5529"/>
        <w:gridCol w:w="1417"/>
        <w:gridCol w:w="1418"/>
      </w:tblGrid>
      <w:tr w:rsidR="00475E91" w:rsidRPr="00475E91" w:rsidTr="00475E91">
        <w:tc>
          <w:tcPr>
            <w:tcW w:w="2835" w:type="dxa"/>
            <w:shd w:val="clear" w:color="auto" w:fill="EAF1DD"/>
            <w:vAlign w:val="center"/>
          </w:tcPr>
          <w:p w:rsidR="00475E91" w:rsidRPr="00475E91" w:rsidRDefault="00475E91" w:rsidP="00475E91">
            <w:pPr>
              <w:jc w:val="left"/>
              <w:rPr>
                <w:rFonts w:ascii="Calibri" w:eastAsia="Calibri" w:hAnsi="Calibri"/>
                <w:b/>
                <w:sz w:val="20"/>
                <w:szCs w:val="20"/>
                <w:lang w:eastAsia="en-US"/>
              </w:rPr>
            </w:pPr>
            <w:r w:rsidRPr="00475E91">
              <w:rPr>
                <w:rFonts w:ascii="Calibri" w:eastAsia="Calibri" w:hAnsi="Calibri"/>
                <w:b/>
                <w:sz w:val="20"/>
                <w:szCs w:val="20"/>
                <w:lang w:eastAsia="en-US"/>
              </w:rPr>
              <w:t>Uplatniteľné ex-ante kondicionality spojené s prioritami, ktoré sú úplne alebo čiastočne nesplnené</w:t>
            </w:r>
          </w:p>
        </w:tc>
        <w:tc>
          <w:tcPr>
            <w:tcW w:w="2835" w:type="dxa"/>
            <w:shd w:val="clear" w:color="auto" w:fill="EAF1DD"/>
            <w:vAlign w:val="center"/>
          </w:tcPr>
          <w:p w:rsidR="00475E91" w:rsidRPr="00475E91" w:rsidRDefault="00475E91" w:rsidP="00475E91">
            <w:pPr>
              <w:jc w:val="left"/>
              <w:rPr>
                <w:rFonts w:ascii="Calibri" w:eastAsia="Calibri" w:hAnsi="Calibri"/>
                <w:b/>
                <w:sz w:val="20"/>
                <w:szCs w:val="20"/>
                <w:lang w:eastAsia="en-US"/>
              </w:rPr>
            </w:pPr>
            <w:r w:rsidRPr="00475E91">
              <w:rPr>
                <w:rFonts w:ascii="Calibri" w:eastAsia="Calibri" w:hAnsi="Calibri"/>
                <w:b/>
                <w:sz w:val="20"/>
                <w:szCs w:val="20"/>
                <w:lang w:eastAsia="en-US"/>
              </w:rPr>
              <w:t>Nesplnené kritérium</w:t>
            </w:r>
          </w:p>
        </w:tc>
        <w:tc>
          <w:tcPr>
            <w:tcW w:w="5529" w:type="dxa"/>
            <w:shd w:val="clear" w:color="auto" w:fill="EAF1DD"/>
            <w:vAlign w:val="center"/>
          </w:tcPr>
          <w:p w:rsidR="00475E91" w:rsidRPr="00475E91" w:rsidRDefault="00475E91" w:rsidP="00475E91">
            <w:pPr>
              <w:jc w:val="left"/>
              <w:rPr>
                <w:rFonts w:ascii="Calibri" w:eastAsia="Calibri" w:hAnsi="Calibri"/>
                <w:b/>
                <w:sz w:val="20"/>
                <w:szCs w:val="20"/>
                <w:lang w:eastAsia="en-US"/>
              </w:rPr>
            </w:pPr>
            <w:r w:rsidRPr="00475E91">
              <w:rPr>
                <w:rFonts w:ascii="Calibri" w:eastAsia="Calibri" w:hAnsi="Calibri"/>
                <w:b/>
                <w:sz w:val="20"/>
                <w:szCs w:val="20"/>
                <w:lang w:eastAsia="en-US"/>
              </w:rPr>
              <w:t>Opatrenia, ktoré sa majú prijať</w:t>
            </w:r>
          </w:p>
        </w:tc>
        <w:tc>
          <w:tcPr>
            <w:tcW w:w="1417" w:type="dxa"/>
            <w:shd w:val="clear" w:color="auto" w:fill="EAF1DD"/>
            <w:vAlign w:val="center"/>
          </w:tcPr>
          <w:p w:rsidR="00475E91" w:rsidRPr="00475E91" w:rsidRDefault="00475E91" w:rsidP="00475E91">
            <w:pPr>
              <w:jc w:val="left"/>
              <w:rPr>
                <w:rFonts w:ascii="Calibri" w:eastAsia="Calibri" w:hAnsi="Calibri"/>
                <w:b/>
                <w:sz w:val="20"/>
                <w:szCs w:val="20"/>
                <w:lang w:eastAsia="en-US"/>
              </w:rPr>
            </w:pPr>
            <w:r w:rsidRPr="00475E91">
              <w:rPr>
                <w:rFonts w:ascii="Calibri" w:eastAsia="Calibri" w:hAnsi="Calibri"/>
                <w:b/>
                <w:sz w:val="20"/>
                <w:szCs w:val="20"/>
                <w:lang w:eastAsia="en-US"/>
              </w:rPr>
              <w:t>Termín</w:t>
            </w:r>
          </w:p>
        </w:tc>
        <w:tc>
          <w:tcPr>
            <w:tcW w:w="1418" w:type="dxa"/>
            <w:shd w:val="clear" w:color="auto" w:fill="EAF1DD"/>
            <w:vAlign w:val="center"/>
          </w:tcPr>
          <w:p w:rsidR="00475E91" w:rsidRPr="00475E91" w:rsidRDefault="00475E91" w:rsidP="00475E91">
            <w:pPr>
              <w:jc w:val="left"/>
              <w:rPr>
                <w:rFonts w:ascii="Calibri" w:eastAsia="Calibri" w:hAnsi="Calibri"/>
                <w:b/>
                <w:sz w:val="20"/>
                <w:szCs w:val="20"/>
                <w:lang w:eastAsia="en-US"/>
              </w:rPr>
            </w:pPr>
            <w:r w:rsidRPr="00475E91">
              <w:rPr>
                <w:rFonts w:ascii="Calibri" w:eastAsia="Calibri" w:hAnsi="Calibri"/>
                <w:b/>
                <w:sz w:val="20"/>
                <w:szCs w:val="20"/>
                <w:lang w:eastAsia="en-US"/>
              </w:rPr>
              <w:t>Orgány zodpovedné za splnenie</w:t>
            </w:r>
          </w:p>
        </w:tc>
      </w:tr>
      <w:tr w:rsidR="00475E91" w:rsidRPr="00475E91" w:rsidTr="00475E91">
        <w:tc>
          <w:tcPr>
            <w:tcW w:w="2835" w:type="dxa"/>
            <w:shd w:val="clear" w:color="auto" w:fill="auto"/>
          </w:tcPr>
          <w:p w:rsidR="00475E91" w:rsidRPr="00475E91" w:rsidRDefault="00475E91" w:rsidP="00475E91">
            <w:pPr>
              <w:jc w:val="left"/>
              <w:rPr>
                <w:rFonts w:eastAsia="Calibri"/>
                <w:b/>
                <w:sz w:val="20"/>
                <w:szCs w:val="20"/>
                <w:lang w:eastAsia="en-US"/>
              </w:rPr>
            </w:pPr>
            <w:r w:rsidRPr="00475E91">
              <w:rPr>
                <w:rFonts w:ascii="Calibri" w:hAnsi="Calibri"/>
                <w:sz w:val="20"/>
                <w:szCs w:val="20"/>
              </w:rPr>
              <w:t>3.1 Prevencia a riadenie rizík: existencia národných alebo regionálnych hodnotení rizík na účely  riadenia katastrof s ohľadom na  prispôsobovanie sa zmene klímy</w:t>
            </w:r>
          </w:p>
        </w:tc>
        <w:tc>
          <w:tcPr>
            <w:tcW w:w="2835" w:type="dxa"/>
            <w:shd w:val="clear" w:color="auto" w:fill="auto"/>
          </w:tcPr>
          <w:p w:rsidR="00475E91" w:rsidRPr="00475E91" w:rsidRDefault="00475E91" w:rsidP="00475E91">
            <w:pPr>
              <w:numPr>
                <w:ilvl w:val="0"/>
                <w:numId w:val="18"/>
              </w:numPr>
              <w:ind w:left="175" w:hanging="175"/>
              <w:contextualSpacing/>
              <w:jc w:val="left"/>
              <w:rPr>
                <w:rFonts w:ascii="Calibri" w:hAnsi="Calibri"/>
                <w:sz w:val="20"/>
                <w:szCs w:val="20"/>
              </w:rPr>
            </w:pPr>
            <w:r w:rsidRPr="00475E91">
              <w:rPr>
                <w:rFonts w:ascii="Calibri" w:hAnsi="Calibri"/>
                <w:sz w:val="20"/>
                <w:szCs w:val="20"/>
              </w:rPr>
              <w:t>opis postupu, metodiky, metód a necitlivých údajov , využívaných na posúdenie rizika, ako aj kritérií založených na riziku pre zoradenie investícií podľa priority,</w:t>
            </w:r>
          </w:p>
        </w:tc>
        <w:tc>
          <w:tcPr>
            <w:tcW w:w="5529" w:type="dxa"/>
            <w:shd w:val="clear" w:color="auto" w:fill="auto"/>
          </w:tcPr>
          <w:p w:rsidR="00475E91" w:rsidRPr="00475E91" w:rsidRDefault="00475E91" w:rsidP="00475E91">
            <w:pPr>
              <w:jc w:val="left"/>
              <w:rPr>
                <w:rFonts w:eastAsia="Calibri"/>
                <w:sz w:val="20"/>
                <w:szCs w:val="20"/>
                <w:lang w:eastAsia="en-US"/>
              </w:rPr>
            </w:pPr>
            <w:r w:rsidRPr="00475E91">
              <w:rPr>
                <w:sz w:val="20"/>
                <w:szCs w:val="20"/>
              </w:rPr>
              <w:t>V súlade s čl. 6  Rozhodnutia Európskeho parlamentu a Rady č. 1313/2013/EÚ zo 17. 12. 2013 o mechanizme Únie v oblasti civilnej ochrany SR vypracuje posúdenie rizík na vnútroštátnej úrovni  a Komisii sprístupní zhrnutie ich relevantných prvkov, a to do 22. decembra 2015 a potom každé tri roky na základe už existujúcich a zavedených  postupov a metód posúdenia rizika.</w:t>
            </w:r>
          </w:p>
        </w:tc>
        <w:tc>
          <w:tcPr>
            <w:tcW w:w="1417" w:type="dxa"/>
            <w:shd w:val="clear" w:color="auto" w:fill="auto"/>
          </w:tcPr>
          <w:p w:rsidR="00475E91" w:rsidRPr="00475E91" w:rsidRDefault="00475E91" w:rsidP="00475E91">
            <w:pPr>
              <w:jc w:val="left"/>
              <w:rPr>
                <w:rFonts w:eastAsia="Calibri"/>
                <w:sz w:val="20"/>
                <w:szCs w:val="20"/>
                <w:lang w:eastAsia="en-US"/>
              </w:rPr>
            </w:pPr>
            <w:r w:rsidRPr="00475E91">
              <w:rPr>
                <w:sz w:val="20"/>
                <w:szCs w:val="20"/>
              </w:rPr>
              <w:t xml:space="preserve">22.december 2015 </w:t>
            </w:r>
          </w:p>
        </w:tc>
        <w:tc>
          <w:tcPr>
            <w:tcW w:w="1418" w:type="dxa"/>
            <w:shd w:val="clear" w:color="auto" w:fill="auto"/>
          </w:tcPr>
          <w:p w:rsidR="00475E91" w:rsidRPr="00475E91" w:rsidRDefault="00475E91" w:rsidP="00475E91">
            <w:pPr>
              <w:jc w:val="left"/>
              <w:rPr>
                <w:rFonts w:eastAsia="Calibri"/>
                <w:sz w:val="20"/>
                <w:szCs w:val="20"/>
                <w:lang w:eastAsia="en-US"/>
              </w:rPr>
            </w:pPr>
            <w:r w:rsidRPr="00475E91">
              <w:rPr>
                <w:sz w:val="20"/>
                <w:szCs w:val="20"/>
              </w:rPr>
              <w:t>MV SR</w:t>
            </w:r>
          </w:p>
        </w:tc>
      </w:tr>
      <w:tr w:rsidR="00475E91" w:rsidRPr="00475E91" w:rsidTr="00475E91">
        <w:tc>
          <w:tcPr>
            <w:tcW w:w="2835" w:type="dxa"/>
            <w:shd w:val="clear" w:color="auto" w:fill="auto"/>
          </w:tcPr>
          <w:p w:rsidR="00475E91" w:rsidRPr="00475E91" w:rsidRDefault="00475E91" w:rsidP="00475E91">
            <w:pPr>
              <w:jc w:val="left"/>
              <w:rPr>
                <w:rFonts w:ascii="Calibri" w:eastAsia="Calibri" w:hAnsi="Calibri"/>
                <w:szCs w:val="22"/>
                <w:lang w:eastAsia="en-US"/>
              </w:rPr>
            </w:pPr>
            <w:r w:rsidRPr="00475E91">
              <w:rPr>
                <w:rFonts w:ascii="Calibri" w:eastAsia="Calibri" w:hAnsi="Calibri"/>
                <w:b/>
                <w:sz w:val="20"/>
                <w:szCs w:val="20"/>
                <w:lang w:eastAsia="en-US"/>
              </w:rPr>
              <w:t>4.1</w:t>
            </w:r>
            <w:r w:rsidRPr="00475E91">
              <w:rPr>
                <w:rFonts w:ascii="Calibri" w:eastAsia="Calibri" w:hAnsi="Calibri"/>
                <w:sz w:val="20"/>
                <w:szCs w:val="20"/>
                <w:lang w:eastAsia="en-US"/>
              </w:rPr>
              <w:t xml:space="preserve"> Dobré poľnohospodárske a environmentálne podmienky (GAEC): normy pre dobrý poľnohospodársky a environmentálny stav  pôdy uvedené v kapitole I hlavy VI nariadenia (EÚ) č.1306/2013 sú zavedené na vnútroštátnej úrovni.</w:t>
            </w:r>
          </w:p>
        </w:tc>
        <w:tc>
          <w:tcPr>
            <w:tcW w:w="2835" w:type="dxa"/>
            <w:shd w:val="clear" w:color="auto" w:fill="auto"/>
          </w:tcPr>
          <w:p w:rsidR="00475E91" w:rsidRPr="00475E91" w:rsidRDefault="00475E91" w:rsidP="00475E91">
            <w:pPr>
              <w:jc w:val="left"/>
              <w:rPr>
                <w:rFonts w:ascii="Calibri" w:eastAsia="Calibri" w:hAnsi="Calibri"/>
                <w:szCs w:val="22"/>
                <w:lang w:eastAsia="en-US"/>
              </w:rPr>
            </w:pPr>
            <w:r w:rsidRPr="00475E91">
              <w:rPr>
                <w:rFonts w:ascii="Calibri" w:eastAsia="Calibri" w:hAnsi="Calibri"/>
                <w:sz w:val="20"/>
                <w:szCs w:val="20"/>
                <w:lang w:eastAsia="en-US"/>
              </w:rPr>
              <w:t>Normy pre dobrý poľnohospodársky a environmentálny stav pôdy sú vymedzené vo vnútroštátnych právnych predpisoch a špecifikované v programe.</w:t>
            </w:r>
          </w:p>
        </w:tc>
        <w:tc>
          <w:tcPr>
            <w:tcW w:w="5529" w:type="dxa"/>
            <w:shd w:val="clear" w:color="auto" w:fill="auto"/>
          </w:tcPr>
          <w:p w:rsidR="00475E91" w:rsidRPr="00475E91" w:rsidRDefault="00475E91" w:rsidP="00475E91">
            <w:pPr>
              <w:jc w:val="left"/>
              <w:rPr>
                <w:rFonts w:ascii="Calibri" w:eastAsia="Calibri" w:hAnsi="Calibri"/>
                <w:sz w:val="20"/>
                <w:szCs w:val="20"/>
                <w:lang w:eastAsia="en-US"/>
              </w:rPr>
            </w:pPr>
            <w:r w:rsidRPr="00475E91">
              <w:rPr>
                <w:rFonts w:ascii="Calibri" w:eastAsia="Calibri" w:hAnsi="Calibri"/>
                <w:sz w:val="20"/>
                <w:szCs w:val="20"/>
                <w:lang w:eastAsia="en-US"/>
              </w:rPr>
              <w:t>Predloženie návrhu vnútroštátnej legislatívy  zahrňujúcej normy dobrého poľnohospodárskeho a environmentálneho stavu pôdy uvedené v kapitole I hlavy VI nariadenia (EÚ) č. 1306/2013 na rokovanie vlády a následná špecifikácia noriem v programe v zmysle prijatej vnútroštátnej legislatívy.</w:t>
            </w:r>
          </w:p>
          <w:p w:rsidR="00475E91" w:rsidRPr="00475E91" w:rsidRDefault="00475E91" w:rsidP="00475E91">
            <w:pPr>
              <w:jc w:val="left"/>
              <w:rPr>
                <w:rFonts w:ascii="Calibri" w:eastAsia="Calibri" w:hAnsi="Calibri"/>
                <w:sz w:val="20"/>
                <w:szCs w:val="20"/>
                <w:lang w:eastAsia="en-US"/>
              </w:rPr>
            </w:pPr>
            <w:r w:rsidRPr="00475E91">
              <w:rPr>
                <w:rFonts w:ascii="Calibri" w:eastAsia="Calibri" w:hAnsi="Calibri"/>
                <w:sz w:val="20"/>
                <w:szCs w:val="20"/>
                <w:lang w:eastAsia="en-US"/>
              </w:rPr>
              <w:t>V septembri 2014 sa plánuje predložiť návrh podmienok GAEC na poradu vedenia MPRV SR, čo je však podmienené notifikáciou podmienok EK. Návrh podmienok GAEC bude prekonzultovaný s partnermi pred pripomienkovým konaním, ako aj v rámci MPK.</w:t>
            </w:r>
          </w:p>
        </w:tc>
        <w:tc>
          <w:tcPr>
            <w:tcW w:w="1417" w:type="dxa"/>
            <w:shd w:val="clear" w:color="auto" w:fill="auto"/>
          </w:tcPr>
          <w:p w:rsidR="00475E91" w:rsidRPr="00475E91" w:rsidRDefault="00475E91" w:rsidP="00475E91">
            <w:pPr>
              <w:jc w:val="left"/>
              <w:rPr>
                <w:rFonts w:ascii="Calibri" w:eastAsia="Calibri" w:hAnsi="Calibri"/>
                <w:sz w:val="20"/>
                <w:szCs w:val="20"/>
                <w:lang w:eastAsia="en-US"/>
              </w:rPr>
            </w:pPr>
            <w:r w:rsidRPr="00475E91">
              <w:rPr>
                <w:rFonts w:ascii="Calibri" w:eastAsia="Calibri" w:hAnsi="Calibri"/>
                <w:sz w:val="20"/>
                <w:szCs w:val="20"/>
                <w:lang w:eastAsia="en-US"/>
              </w:rPr>
              <w:t>December 2014</w:t>
            </w:r>
          </w:p>
        </w:tc>
        <w:tc>
          <w:tcPr>
            <w:tcW w:w="1418" w:type="dxa"/>
            <w:shd w:val="clear" w:color="auto" w:fill="auto"/>
          </w:tcPr>
          <w:p w:rsidR="00475E91" w:rsidRPr="00475E91" w:rsidRDefault="00475E91" w:rsidP="00475E91">
            <w:pPr>
              <w:jc w:val="left"/>
              <w:rPr>
                <w:rFonts w:ascii="Calibri" w:eastAsia="Calibri" w:hAnsi="Calibri"/>
                <w:sz w:val="20"/>
                <w:szCs w:val="20"/>
                <w:lang w:eastAsia="en-US"/>
              </w:rPr>
            </w:pPr>
            <w:r w:rsidRPr="00475E91">
              <w:rPr>
                <w:rFonts w:ascii="Calibri" w:eastAsia="Calibri" w:hAnsi="Calibri"/>
                <w:sz w:val="20"/>
                <w:szCs w:val="20"/>
                <w:lang w:eastAsia="en-US"/>
              </w:rPr>
              <w:t>MPRV SR</w:t>
            </w:r>
          </w:p>
        </w:tc>
      </w:tr>
      <w:tr w:rsidR="00475E91" w:rsidRPr="00475E91" w:rsidTr="00475E91">
        <w:tc>
          <w:tcPr>
            <w:tcW w:w="2835" w:type="dxa"/>
            <w:shd w:val="clear" w:color="auto" w:fill="auto"/>
          </w:tcPr>
          <w:p w:rsidR="00475E91" w:rsidRPr="00475E91" w:rsidRDefault="00475E91" w:rsidP="00475E91">
            <w:pPr>
              <w:jc w:val="left"/>
              <w:rPr>
                <w:rFonts w:ascii="Calibri" w:hAnsi="Calibri"/>
                <w:sz w:val="20"/>
                <w:szCs w:val="20"/>
              </w:rPr>
            </w:pPr>
            <w:r w:rsidRPr="00475E91">
              <w:rPr>
                <w:rFonts w:ascii="Calibri" w:hAnsi="Calibri"/>
                <w:b/>
                <w:sz w:val="20"/>
                <w:szCs w:val="20"/>
              </w:rPr>
              <w:t>5.3</w:t>
            </w:r>
            <w:r w:rsidRPr="00475E91">
              <w:rPr>
                <w:rFonts w:ascii="Calibri" w:hAnsi="Calibri"/>
                <w:sz w:val="20"/>
                <w:szCs w:val="20"/>
              </w:rPr>
              <w:t xml:space="preserve">  Odvetvie vody: existencia </w:t>
            </w:r>
          </w:p>
          <w:p w:rsidR="00475E91" w:rsidRPr="00475E91" w:rsidRDefault="00475E91" w:rsidP="00475E91">
            <w:pPr>
              <w:numPr>
                <w:ilvl w:val="0"/>
                <w:numId w:val="415"/>
              </w:numPr>
              <w:spacing w:after="120"/>
              <w:ind w:left="459" w:hanging="284"/>
              <w:jc w:val="left"/>
              <w:rPr>
                <w:rFonts w:ascii="Calibri" w:eastAsia="Calibri" w:hAnsi="Calibri"/>
                <w:b/>
                <w:sz w:val="20"/>
                <w:szCs w:val="20"/>
                <w:lang w:eastAsia="en-US"/>
              </w:rPr>
            </w:pPr>
            <w:r w:rsidRPr="00475E91">
              <w:rPr>
                <w:rFonts w:ascii="Calibri" w:hAnsi="Calibri"/>
                <w:sz w:val="20"/>
                <w:szCs w:val="20"/>
              </w:rPr>
              <w:t>cenovej politiky v oblasti vôd, ktorá poskytuje  primerané stimuly pre používateľov na efektívne využívanie vody</w:t>
            </w:r>
          </w:p>
          <w:p w:rsidR="00475E91" w:rsidRPr="00475E91" w:rsidRDefault="00475E91" w:rsidP="00475E91">
            <w:pPr>
              <w:numPr>
                <w:ilvl w:val="0"/>
                <w:numId w:val="415"/>
              </w:numPr>
              <w:spacing w:after="120"/>
              <w:ind w:left="459" w:hanging="284"/>
              <w:jc w:val="left"/>
              <w:rPr>
                <w:rFonts w:ascii="Calibri" w:eastAsia="Calibri" w:hAnsi="Calibri"/>
                <w:b/>
                <w:sz w:val="20"/>
                <w:szCs w:val="20"/>
                <w:lang w:eastAsia="en-US"/>
              </w:rPr>
            </w:pPr>
            <w:r w:rsidRPr="00475E91">
              <w:rPr>
                <w:rFonts w:ascii="Calibri" w:hAnsi="Calibri"/>
                <w:sz w:val="20"/>
                <w:szCs w:val="20"/>
              </w:rPr>
              <w:t>primeraný príspevok rozličných spôsobov využívania  vody k úhrade nákladov na vodohospodárske služby v sadzbe stanovenej  v schválenom pláne riadenia povodia pre</w:t>
            </w:r>
            <w:r w:rsidRPr="00475E91">
              <w:rPr>
                <w:rFonts w:ascii="Calibri" w:hAnsi="Calibri"/>
                <w:sz w:val="20"/>
                <w:szCs w:val="20"/>
              </w:rPr>
              <w:lastRenderedPageBreak/>
              <w:t xml:space="preserve"> investície podporované z  programov</w:t>
            </w:r>
          </w:p>
        </w:tc>
        <w:tc>
          <w:tcPr>
            <w:tcW w:w="2835" w:type="dxa"/>
            <w:shd w:val="clear" w:color="auto" w:fill="auto"/>
          </w:tcPr>
          <w:p w:rsidR="00475E91" w:rsidRPr="00475E91" w:rsidRDefault="00475E91" w:rsidP="00475E91">
            <w:pPr>
              <w:jc w:val="left"/>
              <w:rPr>
                <w:rFonts w:ascii="Calibri" w:eastAsia="Calibri" w:hAnsi="Calibri"/>
                <w:sz w:val="20"/>
                <w:szCs w:val="20"/>
                <w:lang w:eastAsia="en-US"/>
              </w:rPr>
            </w:pPr>
            <w:r w:rsidRPr="00475E91">
              <w:rPr>
                <w:rFonts w:ascii="Calibri" w:hAnsi="Calibri"/>
                <w:sz w:val="20"/>
                <w:szCs w:val="20"/>
              </w:rPr>
              <w:t>V odvetviach podporovaných z EPFRV členský štát zabezpečil, rôzne spôsoby využitia vody prispeli k tomu, že odvetviu sa vrátia náklady na vodohospodárske služby, v súlade s  článkom 9 ods. 1 prvou  zarážkou  rámcovej smernice o vode, v príslušných prípadoch s ohľadom na  sociálne, environmentálne a hospodárske účinky tohto vrátenia nákladov ako aj geografické a klimatické podmienky príslušného regiónu</w:t>
            </w:r>
            <w:r w:rsidRPr="00475E91">
              <w:rPr>
                <w:rFonts w:ascii="Calibri" w:hAnsi="Calibri"/>
                <w:sz w:val="20"/>
                <w:szCs w:val="20"/>
              </w:rPr>
              <w:lastRenderedPageBreak/>
              <w:t xml:space="preserve"> alebo regiónov.</w:t>
            </w:r>
          </w:p>
        </w:tc>
        <w:tc>
          <w:tcPr>
            <w:tcW w:w="5529" w:type="dxa"/>
            <w:shd w:val="clear" w:color="auto" w:fill="auto"/>
          </w:tcPr>
          <w:p w:rsidR="00475E91" w:rsidRPr="00475E91" w:rsidRDefault="00475E91" w:rsidP="00475E91">
            <w:pPr>
              <w:rPr>
                <w:i/>
                <w:sz w:val="20"/>
                <w:szCs w:val="20"/>
              </w:rPr>
            </w:pPr>
            <w:r w:rsidRPr="00475E91">
              <w:rPr>
                <w:sz w:val="20"/>
                <w:szCs w:val="20"/>
              </w:rPr>
              <w:t xml:space="preserve">Zahrnutie povinnosti úhrady nákladov za služby spojené s odberom vody na zavlažovanie poľnohospodárskej pôdy (ďalej len „závlahy“)  prostredníctvom primeraného príspevku (platby) ako úhrada nákladov za vodohospodárske služby v zmysle zavedenia stimulačnej cenovej politiky podľa čl. 9 Rámcovej smernice o vode (RSV) </w:t>
            </w:r>
            <w:r w:rsidRPr="00475E91">
              <w:rPr>
                <w:sz w:val="20"/>
                <w:szCs w:val="20"/>
                <w:u w:val="single"/>
              </w:rPr>
              <w:t>do novely vodného zákona</w:t>
            </w:r>
            <w:r w:rsidRPr="00475E91">
              <w:rPr>
                <w:sz w:val="20"/>
                <w:szCs w:val="20"/>
              </w:rPr>
              <w:t xml:space="preserve">, následne novely Nariadenia vlády SR č. 755/2004 Z. z., </w:t>
            </w:r>
            <w:r w:rsidRPr="00475E91">
              <w:rPr>
                <w:i/>
                <w:sz w:val="20"/>
                <w:szCs w:val="20"/>
              </w:rPr>
              <w:t>SR pripravila novelu vodného zákona, ktorá sa nachádza v schvaľovacom procese a obsahuje aj :</w:t>
            </w:r>
          </w:p>
          <w:p w:rsidR="00475E91" w:rsidRPr="00475E91" w:rsidRDefault="00475E91" w:rsidP="00475E91">
            <w:pPr>
              <w:numPr>
                <w:ilvl w:val="0"/>
                <w:numId w:val="414"/>
              </w:numPr>
              <w:ind w:left="490" w:hanging="130"/>
              <w:jc w:val="left"/>
              <w:rPr>
                <w:i/>
                <w:sz w:val="20"/>
                <w:szCs w:val="20"/>
              </w:rPr>
            </w:pPr>
            <w:r w:rsidRPr="00475E91">
              <w:rPr>
                <w:i/>
                <w:sz w:val="20"/>
                <w:szCs w:val="20"/>
              </w:rPr>
              <w:t>opätovné spoplatnenie odberov vody na závlahy, ktoré boli politickým rozhodnutím zrušené v roku 2004</w:t>
            </w:r>
          </w:p>
          <w:p w:rsidR="00475E91" w:rsidRPr="00475E91" w:rsidRDefault="00475E91" w:rsidP="00475E91">
            <w:pPr>
              <w:numPr>
                <w:ilvl w:val="0"/>
                <w:numId w:val="414"/>
              </w:numPr>
              <w:ind w:left="490"/>
              <w:jc w:val="left"/>
              <w:rPr>
                <w:i/>
                <w:sz w:val="20"/>
                <w:szCs w:val="20"/>
              </w:rPr>
            </w:pPr>
            <w:r w:rsidRPr="00475E91">
              <w:rPr>
                <w:i/>
                <w:sz w:val="20"/>
                <w:szCs w:val="20"/>
              </w:rPr>
              <w:t xml:space="preserve">- predmetné návrhy novely zákona ešte musia prejsť celým legislatívnym  procesom.  Následne bude pripravený vykonávací predpis na legislatívny proces – novela nariadenia vlády SR č. 755/2004 Z. z.,  </w:t>
            </w:r>
          </w:p>
          <w:p w:rsidR="00475E91" w:rsidRPr="00475E91" w:rsidRDefault="00475E91" w:rsidP="00475E91">
            <w:pPr>
              <w:rPr>
                <w:i/>
                <w:sz w:val="20"/>
                <w:szCs w:val="20"/>
              </w:rPr>
            </w:pPr>
            <w:r w:rsidRPr="00475E91">
              <w:rPr>
                <w:i/>
                <w:sz w:val="20"/>
                <w:szCs w:val="20"/>
              </w:rPr>
              <w:t>Ďalej treba uviesť, že v SR existuje regulácia vodohospodárskych služieb týkajúcich sa:</w:t>
            </w:r>
          </w:p>
          <w:p w:rsidR="00475E91" w:rsidRPr="00475E91" w:rsidRDefault="00475E91" w:rsidP="00475E91">
            <w:pPr>
              <w:numPr>
                <w:ilvl w:val="0"/>
                <w:numId w:val="414"/>
              </w:numPr>
              <w:ind w:left="490"/>
              <w:jc w:val="left"/>
              <w:rPr>
                <w:i/>
                <w:sz w:val="20"/>
                <w:szCs w:val="20"/>
              </w:rPr>
            </w:pPr>
            <w:r w:rsidRPr="00475E91">
              <w:rPr>
                <w:i/>
                <w:sz w:val="20"/>
                <w:szCs w:val="20"/>
              </w:rPr>
              <w:t>výroby, distribúcie a dodávky pitnej vody verejným vodovodom a odvádzania a čistenia odpadových vôd verejnou kanalizáciou,</w:t>
            </w:r>
          </w:p>
          <w:p w:rsidR="00475E91" w:rsidRPr="00475E91" w:rsidRDefault="00475E91" w:rsidP="00475E91">
            <w:pPr>
              <w:numPr>
                <w:ilvl w:val="0"/>
                <w:numId w:val="414"/>
              </w:numPr>
              <w:ind w:left="490"/>
              <w:jc w:val="left"/>
              <w:rPr>
                <w:i/>
                <w:sz w:val="20"/>
                <w:szCs w:val="20"/>
              </w:rPr>
            </w:pPr>
            <w:r w:rsidRPr="00475E91">
              <w:rPr>
                <w:i/>
                <w:sz w:val="20"/>
                <w:szCs w:val="20"/>
              </w:rPr>
              <w:t>využívania hydroenergetického potenciálu vodných tokov,</w:t>
            </w:r>
          </w:p>
          <w:p w:rsidR="00475E91" w:rsidRPr="00475E91" w:rsidRDefault="00475E91" w:rsidP="00475E91">
            <w:pPr>
              <w:numPr>
                <w:ilvl w:val="0"/>
                <w:numId w:val="414"/>
              </w:numPr>
              <w:ind w:left="490"/>
              <w:jc w:val="left"/>
              <w:rPr>
                <w:i/>
                <w:sz w:val="20"/>
                <w:szCs w:val="20"/>
              </w:rPr>
            </w:pPr>
            <w:r w:rsidRPr="00475E91">
              <w:rPr>
                <w:i/>
                <w:sz w:val="20"/>
                <w:szCs w:val="20"/>
              </w:rPr>
              <w:t>odberov energetickej vody z vodných tokov na vodných stavbách,</w:t>
            </w:r>
          </w:p>
          <w:p w:rsidR="00475E91" w:rsidRPr="00475E91" w:rsidRDefault="00475E91" w:rsidP="00475E91">
            <w:pPr>
              <w:numPr>
                <w:ilvl w:val="0"/>
                <w:numId w:val="414"/>
              </w:numPr>
              <w:ind w:left="490"/>
              <w:jc w:val="left"/>
              <w:rPr>
                <w:i/>
                <w:sz w:val="20"/>
                <w:szCs w:val="20"/>
              </w:rPr>
            </w:pPr>
            <w:r w:rsidRPr="00475E91">
              <w:rPr>
                <w:i/>
                <w:sz w:val="20"/>
                <w:szCs w:val="20"/>
              </w:rPr>
              <w:t>odberov povrchovej vody z vodných tokov.</w:t>
            </w:r>
          </w:p>
          <w:p w:rsidR="00475E91" w:rsidRPr="00475E91" w:rsidRDefault="00475E91" w:rsidP="00475E91">
            <w:pPr>
              <w:rPr>
                <w:sz w:val="20"/>
                <w:szCs w:val="20"/>
              </w:rPr>
            </w:pPr>
          </w:p>
          <w:p w:rsidR="00475E91" w:rsidRPr="00475E91" w:rsidRDefault="00475E91" w:rsidP="00475E91">
            <w:pPr>
              <w:jc w:val="left"/>
              <w:rPr>
                <w:rFonts w:eastAsia="Calibri"/>
                <w:sz w:val="20"/>
                <w:szCs w:val="20"/>
                <w:lang w:eastAsia="en-US"/>
              </w:rPr>
            </w:pPr>
            <w:r w:rsidRPr="00475E91">
              <w:rPr>
                <w:i/>
                <w:sz w:val="20"/>
                <w:szCs w:val="20"/>
              </w:rPr>
              <w:t>Regulácia uvedených vodohospodárskych služieb je uskutočňovaná prostredníctvom Úradu pre reguláciu sieťových odvetví (ďalej len „ÚRSO“). Ceny za všetky tieto vodohospodárske služby sú jednotné pre všetky sektory (domácnosti, priemysel, poľnohospodárstvo). Tento spôsob regulácie je zakotvený v Regulačnej politike ÚRSO, platnej na dané obdobie (v súčasnosti pre roky 2012-2016).</w:t>
            </w:r>
          </w:p>
        </w:tc>
        <w:tc>
          <w:tcPr>
            <w:tcW w:w="1417" w:type="dxa"/>
            <w:shd w:val="clear" w:color="auto" w:fill="auto"/>
          </w:tcPr>
          <w:p w:rsidR="00475E91" w:rsidRPr="00475E91" w:rsidRDefault="00475E91" w:rsidP="00475E91">
            <w:pPr>
              <w:jc w:val="left"/>
              <w:rPr>
                <w:rFonts w:eastAsia="Calibri"/>
                <w:sz w:val="20"/>
                <w:szCs w:val="20"/>
                <w:lang w:eastAsia="en-US"/>
              </w:rPr>
            </w:pPr>
            <w:r w:rsidRPr="00475E91">
              <w:rPr>
                <w:sz w:val="20"/>
                <w:szCs w:val="20"/>
              </w:rPr>
              <w:t>December 2014</w:t>
            </w:r>
          </w:p>
        </w:tc>
        <w:tc>
          <w:tcPr>
            <w:tcW w:w="1418" w:type="dxa"/>
            <w:shd w:val="clear" w:color="auto" w:fill="auto"/>
          </w:tcPr>
          <w:p w:rsidR="00475E91" w:rsidRPr="00475E91" w:rsidRDefault="00475E91" w:rsidP="00475E91">
            <w:pPr>
              <w:jc w:val="left"/>
              <w:rPr>
                <w:rFonts w:eastAsia="Calibri"/>
                <w:sz w:val="20"/>
                <w:szCs w:val="20"/>
                <w:lang w:eastAsia="en-US"/>
              </w:rPr>
            </w:pPr>
            <w:r w:rsidRPr="00475E91">
              <w:rPr>
                <w:sz w:val="20"/>
                <w:szCs w:val="20"/>
              </w:rPr>
              <w:t>MŽP SR - Sekcia vôd v spolupráci s odborom legislatívy)</w:t>
            </w:r>
          </w:p>
        </w:tc>
      </w:tr>
    </w:tbl>
    <w:p w:rsidR="008676F9" w:rsidRPr="008676F9" w:rsidRDefault="008676F9" w:rsidP="00366F96">
      <w:pPr>
        <w:pStyle w:val="Hlavn"/>
      </w:pPr>
      <w:r>
        <w:rPr>
          <w:bCs/>
        </w:rPr>
        <w:lastRenderedPageBreak/>
        <w:br w:type="page"/>
      </w:r>
      <w:bookmarkStart w:id="72" w:name="_Toc387041314"/>
      <w:r w:rsidRPr="008676F9">
        <w:t>7.</w:t>
      </w:r>
      <w:r w:rsidRPr="008676F9">
        <w:tab/>
        <w:t>OPIS VÝKONNOSTNÉHO RÁMCA</w:t>
      </w:r>
      <w:bookmarkEnd w:id="72"/>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01"/>
        <w:gridCol w:w="7483"/>
        <w:gridCol w:w="970"/>
        <w:gridCol w:w="1386"/>
        <w:gridCol w:w="1842"/>
        <w:gridCol w:w="1636"/>
      </w:tblGrid>
      <w:tr w:rsidR="005F1407" w:rsidRPr="00637931" w:rsidTr="00637931">
        <w:tc>
          <w:tcPr>
            <w:tcW w:w="0" w:type="auto"/>
            <w:tcBorders>
              <w:bottom w:val="single" w:sz="4" w:space="0" w:color="auto"/>
            </w:tcBorders>
            <w:shd w:val="clear" w:color="auto" w:fill="FABF8F"/>
            <w:vAlign w:val="center"/>
          </w:tcPr>
          <w:p w:rsidR="008676F9" w:rsidRPr="00637931" w:rsidRDefault="008676F9" w:rsidP="00637931">
            <w:pPr>
              <w:jc w:val="center"/>
              <w:rPr>
                <w:rFonts w:eastAsia="Calibri"/>
                <w:b/>
                <w:sz w:val="20"/>
                <w:szCs w:val="20"/>
                <w:lang w:eastAsia="en-US"/>
              </w:rPr>
            </w:pPr>
            <w:r w:rsidRPr="00637931">
              <w:rPr>
                <w:rFonts w:eastAsia="Calibri"/>
                <w:b/>
                <w:sz w:val="20"/>
                <w:szCs w:val="20"/>
                <w:lang w:eastAsia="en-US"/>
              </w:rPr>
              <w:t>Priorita PRV</w:t>
            </w:r>
          </w:p>
        </w:tc>
        <w:tc>
          <w:tcPr>
            <w:tcW w:w="7483" w:type="dxa"/>
            <w:tcBorders>
              <w:bottom w:val="single" w:sz="4" w:space="0" w:color="auto"/>
            </w:tcBorders>
            <w:shd w:val="clear" w:color="auto" w:fill="FABF8F"/>
            <w:vAlign w:val="center"/>
          </w:tcPr>
          <w:p w:rsidR="008676F9" w:rsidRPr="00637931" w:rsidRDefault="008676F9" w:rsidP="00637931">
            <w:pPr>
              <w:jc w:val="center"/>
              <w:rPr>
                <w:rFonts w:eastAsia="Calibri"/>
                <w:b/>
                <w:sz w:val="20"/>
                <w:szCs w:val="20"/>
                <w:lang w:eastAsia="en-US"/>
              </w:rPr>
            </w:pPr>
            <w:r w:rsidRPr="00637931">
              <w:rPr>
                <w:rFonts w:eastAsia="Calibri"/>
                <w:b/>
                <w:sz w:val="20"/>
                <w:szCs w:val="20"/>
                <w:lang w:eastAsia="en-US"/>
              </w:rPr>
              <w:t>Ukazovateľ</w:t>
            </w:r>
          </w:p>
        </w:tc>
        <w:tc>
          <w:tcPr>
            <w:tcW w:w="970" w:type="dxa"/>
            <w:tcBorders>
              <w:bottom w:val="single" w:sz="4" w:space="0" w:color="auto"/>
            </w:tcBorders>
            <w:shd w:val="clear" w:color="auto" w:fill="FABF8F"/>
            <w:vAlign w:val="center"/>
          </w:tcPr>
          <w:p w:rsidR="008676F9" w:rsidRPr="00637931" w:rsidRDefault="008676F9" w:rsidP="00637931">
            <w:pPr>
              <w:jc w:val="center"/>
              <w:rPr>
                <w:rFonts w:eastAsia="Calibri"/>
                <w:b/>
                <w:sz w:val="20"/>
                <w:szCs w:val="20"/>
                <w:lang w:eastAsia="en-US"/>
              </w:rPr>
            </w:pPr>
            <w:r w:rsidRPr="00637931">
              <w:rPr>
                <w:rFonts w:eastAsia="Calibri"/>
                <w:b/>
                <w:sz w:val="20"/>
                <w:szCs w:val="20"/>
                <w:lang w:eastAsia="en-US"/>
              </w:rPr>
              <w:t>Jednotka merania</w:t>
            </w:r>
          </w:p>
        </w:tc>
        <w:tc>
          <w:tcPr>
            <w:tcW w:w="1386" w:type="dxa"/>
            <w:tcBorders>
              <w:bottom w:val="single" w:sz="4" w:space="0" w:color="auto"/>
            </w:tcBorders>
            <w:shd w:val="clear" w:color="auto" w:fill="FABF8F"/>
            <w:vAlign w:val="center"/>
          </w:tcPr>
          <w:p w:rsidR="008676F9" w:rsidRPr="00637931" w:rsidRDefault="008676F9" w:rsidP="00637931">
            <w:pPr>
              <w:jc w:val="center"/>
              <w:rPr>
                <w:rFonts w:eastAsia="Calibri"/>
                <w:b/>
                <w:sz w:val="20"/>
                <w:szCs w:val="20"/>
                <w:lang w:eastAsia="en-US"/>
              </w:rPr>
            </w:pPr>
            <w:r w:rsidRPr="00637931">
              <w:rPr>
                <w:rFonts w:eastAsia="Calibri"/>
                <w:b/>
                <w:sz w:val="20"/>
                <w:szCs w:val="20"/>
                <w:lang w:eastAsia="en-US"/>
              </w:rPr>
              <w:t>Čiastkový cieľ (míľnik) 2018</w:t>
            </w:r>
          </w:p>
        </w:tc>
        <w:tc>
          <w:tcPr>
            <w:tcW w:w="1842" w:type="dxa"/>
            <w:tcBorders>
              <w:bottom w:val="single" w:sz="4" w:space="0" w:color="auto"/>
            </w:tcBorders>
            <w:shd w:val="clear" w:color="auto" w:fill="FABF8F"/>
            <w:vAlign w:val="center"/>
          </w:tcPr>
          <w:p w:rsidR="008676F9" w:rsidRPr="00637931" w:rsidRDefault="008676F9" w:rsidP="00637931">
            <w:pPr>
              <w:jc w:val="center"/>
              <w:rPr>
                <w:rFonts w:eastAsia="Calibri"/>
                <w:b/>
                <w:sz w:val="20"/>
                <w:szCs w:val="20"/>
                <w:lang w:eastAsia="en-US"/>
              </w:rPr>
            </w:pPr>
            <w:r w:rsidRPr="00637931">
              <w:rPr>
                <w:rFonts w:eastAsia="Calibri"/>
                <w:b/>
                <w:sz w:val="20"/>
                <w:szCs w:val="20"/>
                <w:lang w:eastAsia="en-US"/>
              </w:rPr>
              <w:t>Celkový cieľ na rok 2023</w:t>
            </w:r>
          </w:p>
          <w:p w:rsidR="008676F9" w:rsidRPr="00637931" w:rsidRDefault="008676F9" w:rsidP="00637931">
            <w:pPr>
              <w:jc w:val="center"/>
              <w:rPr>
                <w:rFonts w:eastAsia="Calibri"/>
                <w:sz w:val="20"/>
                <w:szCs w:val="20"/>
                <w:lang w:eastAsia="en-US"/>
              </w:rPr>
            </w:pPr>
            <w:r w:rsidRPr="00637931">
              <w:rPr>
                <w:rFonts w:eastAsia="Calibri"/>
                <w:sz w:val="20"/>
                <w:szCs w:val="20"/>
                <w:lang w:eastAsia="en-US"/>
              </w:rPr>
              <w:t>(v zmysle pravidla n+3)</w:t>
            </w:r>
          </w:p>
        </w:tc>
        <w:tc>
          <w:tcPr>
            <w:tcW w:w="1636" w:type="dxa"/>
            <w:tcBorders>
              <w:bottom w:val="single" w:sz="4" w:space="0" w:color="auto"/>
            </w:tcBorders>
            <w:shd w:val="clear" w:color="auto" w:fill="FABF8F"/>
            <w:vAlign w:val="center"/>
          </w:tcPr>
          <w:p w:rsidR="008676F9" w:rsidRPr="00637931" w:rsidRDefault="008676F9" w:rsidP="00637931">
            <w:pPr>
              <w:jc w:val="center"/>
              <w:rPr>
                <w:rFonts w:eastAsia="Calibri"/>
                <w:b/>
                <w:sz w:val="20"/>
                <w:szCs w:val="20"/>
                <w:lang w:eastAsia="en-US"/>
              </w:rPr>
            </w:pPr>
            <w:r w:rsidRPr="00637931">
              <w:rPr>
                <w:rFonts w:eastAsia="Calibri"/>
                <w:b/>
                <w:sz w:val="20"/>
                <w:szCs w:val="20"/>
                <w:lang w:eastAsia="en-US"/>
              </w:rPr>
              <w:t>Alokácia</w:t>
            </w:r>
          </w:p>
          <w:p w:rsidR="008676F9" w:rsidRPr="00637931" w:rsidRDefault="008676F9" w:rsidP="00637931">
            <w:pPr>
              <w:jc w:val="center"/>
              <w:rPr>
                <w:rFonts w:eastAsia="Calibri"/>
                <w:b/>
                <w:sz w:val="20"/>
                <w:szCs w:val="20"/>
                <w:lang w:eastAsia="en-US"/>
              </w:rPr>
            </w:pPr>
            <w:r w:rsidRPr="00637931">
              <w:rPr>
                <w:rFonts w:eastAsia="Calibri"/>
                <w:b/>
                <w:sz w:val="20"/>
                <w:szCs w:val="20"/>
                <w:lang w:eastAsia="en-US"/>
              </w:rPr>
              <w:t>na výkonnostnú rezervu</w:t>
            </w:r>
          </w:p>
        </w:tc>
      </w:tr>
      <w:tr w:rsidR="003A7956" w:rsidRPr="00D578E2" w:rsidTr="00637931">
        <w:trPr>
          <w:trHeight w:val="977"/>
        </w:trPr>
        <w:tc>
          <w:tcPr>
            <w:tcW w:w="0" w:type="auto"/>
            <w:vMerge w:val="restart"/>
            <w:tcBorders>
              <w:top w:val="double" w:sz="4" w:space="0" w:color="auto"/>
            </w:tcBorders>
            <w:shd w:val="clear" w:color="auto" w:fill="auto"/>
            <w:vAlign w:val="center"/>
          </w:tcPr>
          <w:p w:rsidR="003A7956" w:rsidRPr="00637931" w:rsidRDefault="003A7956" w:rsidP="00637931">
            <w:pPr>
              <w:spacing w:after="200"/>
              <w:jc w:val="center"/>
              <w:rPr>
                <w:rFonts w:eastAsia="Calibri"/>
                <w:sz w:val="20"/>
                <w:szCs w:val="20"/>
                <w:lang w:eastAsia="en-US"/>
              </w:rPr>
            </w:pPr>
            <w:r w:rsidRPr="00637931">
              <w:rPr>
                <w:rFonts w:eastAsia="Calibri"/>
                <w:sz w:val="20"/>
                <w:szCs w:val="20"/>
                <w:lang w:eastAsia="en-US"/>
              </w:rPr>
              <w:t>Priorita 2</w:t>
            </w:r>
          </w:p>
        </w:tc>
        <w:tc>
          <w:tcPr>
            <w:tcW w:w="7483" w:type="dxa"/>
            <w:tcBorders>
              <w:top w:val="double" w:sz="4" w:space="0" w:color="auto"/>
              <w:bottom w:val="single" w:sz="4" w:space="0" w:color="auto"/>
            </w:tcBorders>
            <w:shd w:val="clear" w:color="auto" w:fill="auto"/>
            <w:vAlign w:val="center"/>
          </w:tcPr>
          <w:p w:rsidR="003A7956" w:rsidRPr="00637931" w:rsidRDefault="003A7956" w:rsidP="00637931">
            <w:pPr>
              <w:rPr>
                <w:rFonts w:eastAsia="Calibri"/>
                <w:sz w:val="20"/>
                <w:szCs w:val="20"/>
                <w:lang w:eastAsia="en-US"/>
              </w:rPr>
            </w:pPr>
            <w:r w:rsidRPr="00637931">
              <w:rPr>
                <w:rFonts w:eastAsia="Calibri"/>
                <w:sz w:val="20"/>
                <w:szCs w:val="20"/>
                <w:lang w:eastAsia="en-US"/>
              </w:rPr>
              <w:t>Celkové verejné výdavky na prioritu 2</w:t>
            </w:r>
          </w:p>
        </w:tc>
        <w:tc>
          <w:tcPr>
            <w:tcW w:w="970" w:type="dxa"/>
            <w:tcBorders>
              <w:top w:val="double" w:sz="4" w:space="0" w:color="auto"/>
              <w:bottom w:val="single" w:sz="4" w:space="0" w:color="auto"/>
            </w:tcBorders>
            <w:shd w:val="clear" w:color="auto" w:fill="auto"/>
            <w:vAlign w:val="center"/>
          </w:tcPr>
          <w:p w:rsidR="003A7956" w:rsidRPr="00637931" w:rsidRDefault="003A7956" w:rsidP="00637931">
            <w:pPr>
              <w:jc w:val="center"/>
              <w:rPr>
                <w:rFonts w:eastAsia="Calibri"/>
                <w:sz w:val="20"/>
                <w:szCs w:val="20"/>
                <w:lang w:eastAsia="en-US"/>
              </w:rPr>
            </w:pPr>
            <w:r w:rsidRPr="00637931">
              <w:rPr>
                <w:rFonts w:eastAsia="Calibri"/>
                <w:sz w:val="20"/>
                <w:szCs w:val="20"/>
                <w:lang w:eastAsia="en-US"/>
              </w:rPr>
              <w:t>€</w:t>
            </w:r>
          </w:p>
        </w:tc>
        <w:tc>
          <w:tcPr>
            <w:tcW w:w="1386" w:type="dxa"/>
            <w:tcBorders>
              <w:top w:val="double" w:sz="4" w:space="0" w:color="auto"/>
              <w:bottom w:val="single" w:sz="4" w:space="0" w:color="auto"/>
            </w:tcBorders>
            <w:shd w:val="clear" w:color="auto" w:fill="auto"/>
            <w:vAlign w:val="center"/>
          </w:tcPr>
          <w:p w:rsidR="003A7956" w:rsidRPr="00637931" w:rsidRDefault="003A7956" w:rsidP="00637931">
            <w:pPr>
              <w:jc w:val="center"/>
              <w:rPr>
                <w:rFonts w:eastAsia="Calibri"/>
                <w:sz w:val="20"/>
                <w:szCs w:val="20"/>
                <w:lang w:eastAsia="en-US"/>
              </w:rPr>
            </w:pPr>
            <w:r w:rsidRPr="00637931">
              <w:rPr>
                <w:rFonts w:eastAsia="Calibri"/>
                <w:sz w:val="20"/>
                <w:szCs w:val="20"/>
                <w:lang w:eastAsia="en-US"/>
              </w:rPr>
              <w:t>15 %</w:t>
            </w:r>
          </w:p>
        </w:tc>
        <w:tc>
          <w:tcPr>
            <w:tcW w:w="1842" w:type="dxa"/>
            <w:tcBorders>
              <w:top w:val="double" w:sz="4" w:space="0" w:color="auto"/>
              <w:bottom w:val="single" w:sz="4" w:space="0" w:color="auto"/>
            </w:tcBorders>
            <w:shd w:val="clear" w:color="auto" w:fill="auto"/>
            <w:vAlign w:val="center"/>
          </w:tcPr>
          <w:p w:rsidR="003A7956" w:rsidRPr="003A7956" w:rsidRDefault="003A7956" w:rsidP="003A7956">
            <w:pPr>
              <w:jc w:val="right"/>
              <w:rPr>
                <w:rFonts w:ascii="Calibri" w:hAnsi="Calibri"/>
                <w:color w:val="000000"/>
                <w:sz w:val="20"/>
                <w:szCs w:val="20"/>
              </w:rPr>
            </w:pPr>
            <w:r w:rsidRPr="003A7956">
              <w:rPr>
                <w:rFonts w:ascii="Calibri" w:hAnsi="Calibri"/>
                <w:color w:val="000000"/>
                <w:sz w:val="20"/>
                <w:szCs w:val="20"/>
              </w:rPr>
              <w:t>325 492 000 €</w:t>
            </w:r>
          </w:p>
          <w:p w:rsidR="003A7956" w:rsidRPr="00637931" w:rsidRDefault="003A7956" w:rsidP="003A7956">
            <w:pPr>
              <w:jc w:val="right"/>
              <w:rPr>
                <w:rFonts w:eastAsia="Calibri"/>
                <w:sz w:val="20"/>
                <w:szCs w:val="20"/>
                <w:lang w:eastAsia="en-US"/>
              </w:rPr>
            </w:pPr>
            <w:r>
              <w:rPr>
                <w:rFonts w:eastAsia="Calibri"/>
                <w:sz w:val="20"/>
                <w:szCs w:val="20"/>
                <w:lang w:eastAsia="en-US"/>
              </w:rPr>
              <w:t> </w:t>
            </w:r>
          </w:p>
        </w:tc>
        <w:tc>
          <w:tcPr>
            <w:tcW w:w="1636" w:type="dxa"/>
            <w:vMerge w:val="restart"/>
            <w:tcBorders>
              <w:top w:val="double" w:sz="4" w:space="0" w:color="auto"/>
            </w:tcBorders>
            <w:shd w:val="clear" w:color="auto" w:fill="auto"/>
            <w:vAlign w:val="center"/>
          </w:tcPr>
          <w:p w:rsidR="003A7956" w:rsidRPr="00637931" w:rsidRDefault="003A7956" w:rsidP="003A7956">
            <w:pPr>
              <w:jc w:val="center"/>
              <w:rPr>
                <w:rFonts w:eastAsia="Calibri"/>
                <w:sz w:val="20"/>
                <w:szCs w:val="20"/>
                <w:lang w:eastAsia="en-US"/>
              </w:rPr>
            </w:pPr>
            <w:r>
              <w:rPr>
                <w:rFonts w:eastAsia="Calibri"/>
                <w:sz w:val="20"/>
                <w:szCs w:val="20"/>
                <w:lang w:eastAsia="en-US"/>
              </w:rPr>
              <w:t xml:space="preserve">14 528 783,84 </w:t>
            </w:r>
            <w:r w:rsidRPr="00637931">
              <w:rPr>
                <w:rFonts w:eastAsia="Calibri"/>
                <w:sz w:val="20"/>
                <w:szCs w:val="20"/>
                <w:lang w:eastAsia="en-US"/>
              </w:rPr>
              <w:t>€</w:t>
            </w:r>
          </w:p>
        </w:tc>
      </w:tr>
      <w:tr w:rsidR="003A7956" w:rsidRPr="00D578E2" w:rsidTr="00637931">
        <w:trPr>
          <w:trHeight w:val="977"/>
        </w:trPr>
        <w:tc>
          <w:tcPr>
            <w:tcW w:w="0" w:type="auto"/>
            <w:vMerge/>
            <w:shd w:val="clear" w:color="auto" w:fill="auto"/>
            <w:vAlign w:val="center"/>
          </w:tcPr>
          <w:p w:rsidR="003A7956" w:rsidRPr="00637931" w:rsidRDefault="003A7956" w:rsidP="00637931">
            <w:pPr>
              <w:spacing w:after="200"/>
              <w:jc w:val="center"/>
              <w:rPr>
                <w:rFonts w:eastAsia="Calibri"/>
                <w:sz w:val="20"/>
                <w:szCs w:val="20"/>
                <w:lang w:eastAsia="en-US"/>
              </w:rPr>
            </w:pPr>
          </w:p>
        </w:tc>
        <w:tc>
          <w:tcPr>
            <w:tcW w:w="7483" w:type="dxa"/>
            <w:tcBorders>
              <w:top w:val="single" w:sz="4" w:space="0" w:color="auto"/>
              <w:bottom w:val="single" w:sz="4" w:space="0" w:color="auto"/>
            </w:tcBorders>
            <w:shd w:val="clear" w:color="auto" w:fill="auto"/>
            <w:vAlign w:val="center"/>
          </w:tcPr>
          <w:p w:rsidR="003A7956" w:rsidRPr="00637931" w:rsidRDefault="003A7956" w:rsidP="00637931">
            <w:pPr>
              <w:rPr>
                <w:rFonts w:eastAsia="Calibri"/>
                <w:sz w:val="20"/>
                <w:szCs w:val="20"/>
                <w:lang w:eastAsia="en-US"/>
              </w:rPr>
            </w:pPr>
            <w:r w:rsidRPr="00637931">
              <w:rPr>
                <w:rFonts w:eastAsia="Calibri"/>
                <w:sz w:val="20"/>
                <w:szCs w:val="20"/>
                <w:lang w:eastAsia="en-US"/>
              </w:rPr>
              <w:t>Počet poľnohospodárskych podnikov, ktoré prijali pomoc na investície do reštrukturalizácie alebo modernizácie (2A) + počet poľnohospodárskych podnikov, ktoré prijali pomoc na podnikateľský plán/investície pre mladých farmárov (2B)</w:t>
            </w:r>
          </w:p>
        </w:tc>
        <w:tc>
          <w:tcPr>
            <w:tcW w:w="970" w:type="dxa"/>
            <w:tcBorders>
              <w:top w:val="single" w:sz="4" w:space="0" w:color="auto"/>
              <w:bottom w:val="single" w:sz="4" w:space="0" w:color="auto"/>
            </w:tcBorders>
            <w:shd w:val="clear" w:color="auto" w:fill="auto"/>
            <w:vAlign w:val="center"/>
          </w:tcPr>
          <w:p w:rsidR="003A7956" w:rsidRPr="00637931" w:rsidRDefault="003A7956" w:rsidP="00637931">
            <w:pPr>
              <w:jc w:val="center"/>
              <w:rPr>
                <w:rFonts w:eastAsia="Calibri"/>
                <w:sz w:val="20"/>
                <w:szCs w:val="20"/>
                <w:lang w:eastAsia="en-US"/>
              </w:rPr>
            </w:pPr>
          </w:p>
        </w:tc>
        <w:tc>
          <w:tcPr>
            <w:tcW w:w="1386" w:type="dxa"/>
            <w:tcBorders>
              <w:top w:val="single" w:sz="4" w:space="0" w:color="auto"/>
              <w:bottom w:val="single" w:sz="4" w:space="0" w:color="auto"/>
            </w:tcBorders>
            <w:shd w:val="clear" w:color="auto" w:fill="auto"/>
            <w:vAlign w:val="center"/>
          </w:tcPr>
          <w:p w:rsidR="003A7956" w:rsidRPr="00637931" w:rsidRDefault="003A7956" w:rsidP="00637931">
            <w:pPr>
              <w:jc w:val="center"/>
              <w:rPr>
                <w:rFonts w:eastAsia="Calibri"/>
                <w:sz w:val="20"/>
                <w:szCs w:val="20"/>
                <w:lang w:eastAsia="en-US"/>
              </w:rPr>
            </w:pPr>
            <w:r w:rsidRPr="00637931">
              <w:rPr>
                <w:rFonts w:eastAsia="Calibri"/>
                <w:sz w:val="20"/>
                <w:szCs w:val="20"/>
                <w:lang w:eastAsia="en-US"/>
              </w:rPr>
              <w:t>15 %</w:t>
            </w:r>
          </w:p>
        </w:tc>
        <w:tc>
          <w:tcPr>
            <w:tcW w:w="1842" w:type="dxa"/>
            <w:tcBorders>
              <w:top w:val="single" w:sz="4" w:space="0" w:color="auto"/>
              <w:bottom w:val="single" w:sz="4" w:space="0" w:color="auto"/>
            </w:tcBorders>
            <w:shd w:val="clear" w:color="auto" w:fill="auto"/>
            <w:vAlign w:val="center"/>
          </w:tcPr>
          <w:p w:rsidR="003A7956" w:rsidRPr="00637931" w:rsidRDefault="003A7956" w:rsidP="00637931">
            <w:pPr>
              <w:jc w:val="right"/>
              <w:rPr>
                <w:rFonts w:eastAsia="Calibri"/>
                <w:sz w:val="20"/>
                <w:szCs w:val="20"/>
                <w:lang w:eastAsia="en-US"/>
              </w:rPr>
            </w:pPr>
            <w:r w:rsidRPr="006960FD">
              <w:rPr>
                <w:rFonts w:ascii="Calibri" w:eastAsia="Calibri" w:hAnsi="Calibri"/>
                <w:sz w:val="20"/>
                <w:szCs w:val="20"/>
                <w:lang w:eastAsia="en-US"/>
              </w:rPr>
              <w:t>1 170</w:t>
            </w:r>
          </w:p>
        </w:tc>
        <w:tc>
          <w:tcPr>
            <w:tcW w:w="1636" w:type="dxa"/>
            <w:vMerge/>
            <w:shd w:val="clear" w:color="auto" w:fill="auto"/>
            <w:vAlign w:val="center"/>
          </w:tcPr>
          <w:p w:rsidR="003A7956" w:rsidRPr="00637931" w:rsidRDefault="003A7956" w:rsidP="00637931">
            <w:pPr>
              <w:jc w:val="center"/>
              <w:rPr>
                <w:rFonts w:eastAsia="Calibri"/>
                <w:sz w:val="20"/>
                <w:szCs w:val="20"/>
                <w:lang w:eastAsia="en-US"/>
              </w:rPr>
            </w:pPr>
          </w:p>
        </w:tc>
      </w:tr>
      <w:tr w:rsidR="003A7956" w:rsidRPr="00D578E2" w:rsidTr="00637931">
        <w:trPr>
          <w:trHeight w:val="977"/>
        </w:trPr>
        <w:tc>
          <w:tcPr>
            <w:tcW w:w="0" w:type="auto"/>
            <w:vMerge w:val="restart"/>
            <w:tcBorders>
              <w:top w:val="double" w:sz="4" w:space="0" w:color="auto"/>
            </w:tcBorders>
            <w:shd w:val="clear" w:color="auto" w:fill="auto"/>
            <w:vAlign w:val="center"/>
          </w:tcPr>
          <w:p w:rsidR="003A7956" w:rsidRPr="00637931" w:rsidRDefault="003A7956" w:rsidP="00637931">
            <w:pPr>
              <w:spacing w:after="200"/>
              <w:jc w:val="center"/>
              <w:rPr>
                <w:rFonts w:eastAsia="Calibri"/>
                <w:sz w:val="20"/>
                <w:szCs w:val="20"/>
                <w:lang w:eastAsia="en-US"/>
              </w:rPr>
            </w:pPr>
            <w:r w:rsidRPr="00637931">
              <w:rPr>
                <w:rFonts w:eastAsia="Calibri"/>
                <w:sz w:val="20"/>
                <w:szCs w:val="20"/>
                <w:lang w:eastAsia="en-US"/>
              </w:rPr>
              <w:t>Priorita 3</w:t>
            </w:r>
          </w:p>
        </w:tc>
        <w:tc>
          <w:tcPr>
            <w:tcW w:w="7483" w:type="dxa"/>
            <w:tcBorders>
              <w:top w:val="double" w:sz="4" w:space="0" w:color="auto"/>
              <w:bottom w:val="single" w:sz="4" w:space="0" w:color="auto"/>
            </w:tcBorders>
            <w:shd w:val="clear" w:color="auto" w:fill="auto"/>
            <w:vAlign w:val="center"/>
          </w:tcPr>
          <w:p w:rsidR="003A7956" w:rsidRPr="00637931" w:rsidRDefault="003A7956" w:rsidP="00637931">
            <w:pPr>
              <w:rPr>
                <w:rFonts w:eastAsia="Calibri"/>
                <w:sz w:val="20"/>
                <w:szCs w:val="20"/>
                <w:lang w:eastAsia="en-US"/>
              </w:rPr>
            </w:pPr>
            <w:r w:rsidRPr="00637931">
              <w:rPr>
                <w:rFonts w:eastAsia="Calibri"/>
                <w:sz w:val="20"/>
                <w:szCs w:val="20"/>
                <w:lang w:eastAsia="en-US"/>
              </w:rPr>
              <w:t>Celkové verejné výdavky na prioritu 3</w:t>
            </w:r>
          </w:p>
        </w:tc>
        <w:tc>
          <w:tcPr>
            <w:tcW w:w="970" w:type="dxa"/>
            <w:tcBorders>
              <w:top w:val="double" w:sz="4" w:space="0" w:color="auto"/>
              <w:bottom w:val="single" w:sz="4" w:space="0" w:color="auto"/>
            </w:tcBorders>
            <w:shd w:val="clear" w:color="auto" w:fill="auto"/>
            <w:vAlign w:val="center"/>
          </w:tcPr>
          <w:p w:rsidR="003A7956" w:rsidRPr="00637931" w:rsidRDefault="003A7956" w:rsidP="00637931">
            <w:pPr>
              <w:jc w:val="center"/>
              <w:rPr>
                <w:rFonts w:eastAsia="Calibri"/>
                <w:sz w:val="20"/>
                <w:szCs w:val="20"/>
                <w:lang w:eastAsia="en-US"/>
              </w:rPr>
            </w:pPr>
            <w:r w:rsidRPr="00637931">
              <w:rPr>
                <w:rFonts w:eastAsia="Calibri"/>
                <w:sz w:val="20"/>
                <w:szCs w:val="20"/>
                <w:lang w:eastAsia="en-US"/>
              </w:rPr>
              <w:t>€</w:t>
            </w:r>
          </w:p>
        </w:tc>
        <w:tc>
          <w:tcPr>
            <w:tcW w:w="1386" w:type="dxa"/>
            <w:tcBorders>
              <w:top w:val="double" w:sz="4" w:space="0" w:color="auto"/>
              <w:bottom w:val="single" w:sz="4" w:space="0" w:color="auto"/>
            </w:tcBorders>
            <w:shd w:val="clear" w:color="auto" w:fill="auto"/>
            <w:vAlign w:val="center"/>
          </w:tcPr>
          <w:p w:rsidR="003A7956" w:rsidRPr="00637931" w:rsidRDefault="003A7956" w:rsidP="00637931">
            <w:pPr>
              <w:jc w:val="center"/>
              <w:rPr>
                <w:rFonts w:eastAsia="Calibri"/>
                <w:sz w:val="20"/>
                <w:szCs w:val="20"/>
                <w:lang w:eastAsia="en-US"/>
              </w:rPr>
            </w:pPr>
            <w:r w:rsidRPr="00637931">
              <w:rPr>
                <w:rFonts w:eastAsia="Calibri"/>
                <w:sz w:val="20"/>
                <w:szCs w:val="20"/>
                <w:lang w:eastAsia="en-US"/>
              </w:rPr>
              <w:t>18 %</w:t>
            </w:r>
          </w:p>
        </w:tc>
        <w:tc>
          <w:tcPr>
            <w:tcW w:w="1842" w:type="dxa"/>
            <w:tcBorders>
              <w:top w:val="double" w:sz="4" w:space="0" w:color="auto"/>
              <w:bottom w:val="single" w:sz="4" w:space="0" w:color="auto"/>
            </w:tcBorders>
            <w:shd w:val="clear" w:color="auto" w:fill="auto"/>
            <w:vAlign w:val="center"/>
          </w:tcPr>
          <w:p w:rsidR="003A7956" w:rsidRPr="00637931" w:rsidRDefault="003A7956" w:rsidP="003A7956">
            <w:pPr>
              <w:jc w:val="right"/>
              <w:rPr>
                <w:rFonts w:eastAsia="Calibri"/>
                <w:sz w:val="20"/>
                <w:szCs w:val="20"/>
                <w:lang w:eastAsia="en-US"/>
              </w:rPr>
            </w:pPr>
            <w:r w:rsidRPr="00637931">
              <w:rPr>
                <w:rFonts w:eastAsia="Calibri"/>
                <w:sz w:val="20"/>
                <w:szCs w:val="20"/>
                <w:lang w:eastAsia="en-US"/>
              </w:rPr>
              <w:t> </w:t>
            </w:r>
            <w:r>
              <w:rPr>
                <w:rFonts w:eastAsia="Calibri"/>
                <w:sz w:val="20"/>
                <w:szCs w:val="20"/>
                <w:lang w:eastAsia="en-US"/>
              </w:rPr>
              <w:t>384 790 000 €</w:t>
            </w:r>
          </w:p>
        </w:tc>
        <w:tc>
          <w:tcPr>
            <w:tcW w:w="1636" w:type="dxa"/>
            <w:vMerge w:val="restart"/>
            <w:shd w:val="clear" w:color="auto" w:fill="auto"/>
            <w:vAlign w:val="center"/>
          </w:tcPr>
          <w:p w:rsidR="003A7956" w:rsidRPr="00637931" w:rsidRDefault="003A7956" w:rsidP="003A7956">
            <w:pPr>
              <w:jc w:val="center"/>
              <w:rPr>
                <w:rFonts w:eastAsia="Calibri"/>
                <w:sz w:val="20"/>
                <w:szCs w:val="20"/>
                <w:lang w:eastAsia="en-US"/>
              </w:rPr>
            </w:pPr>
            <w:r>
              <w:rPr>
                <w:rFonts w:eastAsia="Calibri"/>
                <w:sz w:val="20"/>
                <w:szCs w:val="20"/>
                <w:lang w:eastAsia="en-US"/>
              </w:rPr>
              <w:t xml:space="preserve">17 132 657,17 </w:t>
            </w:r>
            <w:r w:rsidRPr="00637931">
              <w:rPr>
                <w:rFonts w:eastAsia="Calibri"/>
                <w:sz w:val="20"/>
                <w:szCs w:val="20"/>
                <w:lang w:eastAsia="en-US"/>
              </w:rPr>
              <w:t>€</w:t>
            </w:r>
          </w:p>
          <w:p w:rsidR="003A7956" w:rsidRPr="00637931" w:rsidRDefault="003A7956" w:rsidP="003A7956">
            <w:pPr>
              <w:jc w:val="center"/>
              <w:rPr>
                <w:rFonts w:eastAsia="Calibri"/>
                <w:sz w:val="20"/>
                <w:szCs w:val="20"/>
                <w:lang w:eastAsia="en-US"/>
              </w:rPr>
            </w:pPr>
          </w:p>
        </w:tc>
      </w:tr>
      <w:tr w:rsidR="003A7956" w:rsidRPr="00D578E2" w:rsidTr="00637931">
        <w:trPr>
          <w:trHeight w:val="977"/>
        </w:trPr>
        <w:tc>
          <w:tcPr>
            <w:tcW w:w="0" w:type="auto"/>
            <w:vMerge/>
            <w:shd w:val="clear" w:color="auto" w:fill="auto"/>
            <w:vAlign w:val="center"/>
          </w:tcPr>
          <w:p w:rsidR="003A7956" w:rsidRPr="00637931" w:rsidRDefault="003A7956" w:rsidP="00637931">
            <w:pPr>
              <w:spacing w:after="200"/>
              <w:jc w:val="center"/>
              <w:rPr>
                <w:rFonts w:eastAsia="Calibri"/>
                <w:sz w:val="20"/>
                <w:szCs w:val="20"/>
                <w:lang w:eastAsia="en-US"/>
              </w:rPr>
            </w:pPr>
          </w:p>
        </w:tc>
        <w:tc>
          <w:tcPr>
            <w:tcW w:w="7483" w:type="dxa"/>
            <w:tcBorders>
              <w:top w:val="single" w:sz="4" w:space="0" w:color="auto"/>
              <w:bottom w:val="single" w:sz="4" w:space="0" w:color="auto"/>
            </w:tcBorders>
            <w:shd w:val="clear" w:color="auto" w:fill="auto"/>
            <w:vAlign w:val="center"/>
          </w:tcPr>
          <w:p w:rsidR="003A7956" w:rsidRPr="00637931" w:rsidRDefault="003A7956" w:rsidP="00637931">
            <w:pPr>
              <w:rPr>
                <w:rFonts w:eastAsia="Calibri"/>
                <w:sz w:val="20"/>
                <w:szCs w:val="20"/>
                <w:lang w:eastAsia="en-US"/>
              </w:rPr>
            </w:pPr>
            <w:r w:rsidRPr="00637931">
              <w:rPr>
                <w:rFonts w:eastAsia="Calibri"/>
                <w:sz w:val="20"/>
                <w:szCs w:val="20"/>
                <w:lang w:eastAsia="en-US"/>
              </w:rPr>
              <w:t>Počet poľnohospodárskych podnikov podporených v rámci schém kvality, miestnych trhov a krátkych dodávateľských reťazcov a skupín výrobcov (3A)</w:t>
            </w:r>
          </w:p>
        </w:tc>
        <w:tc>
          <w:tcPr>
            <w:tcW w:w="970" w:type="dxa"/>
            <w:tcBorders>
              <w:top w:val="single" w:sz="4" w:space="0" w:color="auto"/>
              <w:bottom w:val="single" w:sz="4" w:space="0" w:color="auto"/>
            </w:tcBorders>
            <w:shd w:val="clear" w:color="auto" w:fill="auto"/>
            <w:vAlign w:val="center"/>
          </w:tcPr>
          <w:p w:rsidR="003A7956" w:rsidRPr="00637931" w:rsidRDefault="003A7956" w:rsidP="00637931">
            <w:pPr>
              <w:jc w:val="center"/>
              <w:rPr>
                <w:rFonts w:eastAsia="Calibri"/>
                <w:sz w:val="20"/>
                <w:szCs w:val="20"/>
                <w:lang w:eastAsia="en-US"/>
              </w:rPr>
            </w:pPr>
          </w:p>
        </w:tc>
        <w:tc>
          <w:tcPr>
            <w:tcW w:w="1386" w:type="dxa"/>
            <w:tcBorders>
              <w:top w:val="single" w:sz="4" w:space="0" w:color="auto"/>
              <w:bottom w:val="single" w:sz="4" w:space="0" w:color="auto"/>
            </w:tcBorders>
            <w:shd w:val="clear" w:color="auto" w:fill="auto"/>
            <w:vAlign w:val="center"/>
          </w:tcPr>
          <w:p w:rsidR="003A7956" w:rsidRPr="00637931" w:rsidRDefault="003A7956" w:rsidP="00637931">
            <w:pPr>
              <w:jc w:val="center"/>
              <w:rPr>
                <w:rFonts w:eastAsia="Calibri"/>
                <w:sz w:val="20"/>
                <w:szCs w:val="20"/>
                <w:lang w:eastAsia="en-US"/>
              </w:rPr>
            </w:pPr>
            <w:r w:rsidRPr="00637931">
              <w:rPr>
                <w:rFonts w:eastAsia="Calibri"/>
                <w:sz w:val="20"/>
                <w:szCs w:val="20"/>
                <w:lang w:eastAsia="en-US"/>
              </w:rPr>
              <w:t>18 %</w:t>
            </w:r>
          </w:p>
        </w:tc>
        <w:tc>
          <w:tcPr>
            <w:tcW w:w="1842" w:type="dxa"/>
            <w:tcBorders>
              <w:top w:val="single" w:sz="4" w:space="0" w:color="auto"/>
              <w:bottom w:val="single" w:sz="4" w:space="0" w:color="auto"/>
            </w:tcBorders>
            <w:shd w:val="clear" w:color="auto" w:fill="auto"/>
            <w:vAlign w:val="center"/>
          </w:tcPr>
          <w:p w:rsidR="003A7956" w:rsidRPr="00637931" w:rsidRDefault="003A7956" w:rsidP="00637931">
            <w:pPr>
              <w:jc w:val="right"/>
              <w:rPr>
                <w:rFonts w:eastAsia="Calibri"/>
                <w:sz w:val="20"/>
                <w:szCs w:val="20"/>
                <w:lang w:eastAsia="en-US"/>
              </w:rPr>
            </w:pPr>
            <w:r w:rsidRPr="00637931">
              <w:rPr>
                <w:rFonts w:eastAsia="Calibri"/>
                <w:sz w:val="20"/>
                <w:szCs w:val="20"/>
                <w:lang w:eastAsia="en-US"/>
              </w:rPr>
              <w:t>480</w:t>
            </w:r>
          </w:p>
        </w:tc>
        <w:tc>
          <w:tcPr>
            <w:tcW w:w="1636" w:type="dxa"/>
            <w:vMerge/>
            <w:shd w:val="clear" w:color="auto" w:fill="auto"/>
            <w:vAlign w:val="center"/>
          </w:tcPr>
          <w:p w:rsidR="003A7956" w:rsidRPr="00637931" w:rsidRDefault="003A7956" w:rsidP="00637931">
            <w:pPr>
              <w:jc w:val="center"/>
              <w:rPr>
                <w:rFonts w:eastAsia="Calibri"/>
                <w:sz w:val="20"/>
                <w:szCs w:val="20"/>
                <w:lang w:eastAsia="en-US"/>
              </w:rPr>
            </w:pPr>
          </w:p>
        </w:tc>
      </w:tr>
      <w:tr w:rsidR="003A7956" w:rsidRPr="00D578E2" w:rsidTr="00637931">
        <w:trPr>
          <w:trHeight w:val="977"/>
        </w:trPr>
        <w:tc>
          <w:tcPr>
            <w:tcW w:w="0" w:type="auto"/>
            <w:vMerge/>
            <w:tcBorders>
              <w:bottom w:val="double" w:sz="4" w:space="0" w:color="auto"/>
            </w:tcBorders>
            <w:shd w:val="clear" w:color="auto" w:fill="auto"/>
            <w:vAlign w:val="center"/>
          </w:tcPr>
          <w:p w:rsidR="003A7956" w:rsidRPr="00637931" w:rsidRDefault="003A7956" w:rsidP="00637931">
            <w:pPr>
              <w:spacing w:after="200"/>
              <w:jc w:val="center"/>
              <w:rPr>
                <w:rFonts w:eastAsia="Calibri"/>
                <w:sz w:val="20"/>
                <w:szCs w:val="20"/>
                <w:lang w:eastAsia="en-US"/>
              </w:rPr>
            </w:pPr>
          </w:p>
        </w:tc>
        <w:tc>
          <w:tcPr>
            <w:tcW w:w="7483" w:type="dxa"/>
            <w:tcBorders>
              <w:top w:val="single" w:sz="4" w:space="0" w:color="auto"/>
              <w:bottom w:val="single" w:sz="4" w:space="0" w:color="auto"/>
            </w:tcBorders>
            <w:shd w:val="clear" w:color="auto" w:fill="auto"/>
            <w:vAlign w:val="center"/>
          </w:tcPr>
          <w:p w:rsidR="003A7956" w:rsidRPr="00637931" w:rsidRDefault="003A7956" w:rsidP="00637931">
            <w:pPr>
              <w:rPr>
                <w:rFonts w:eastAsia="Calibri"/>
                <w:sz w:val="20"/>
                <w:szCs w:val="20"/>
                <w:lang w:eastAsia="en-US"/>
              </w:rPr>
            </w:pPr>
            <w:r w:rsidRPr="00637931">
              <w:rPr>
                <w:rFonts w:eastAsia="Calibri"/>
                <w:sz w:val="20"/>
                <w:szCs w:val="20"/>
                <w:lang w:eastAsia="en-US"/>
              </w:rPr>
              <w:t>Počet poľnohospodárskych podnikov participujúcich v rámci schém riadenia rizika (3B)</w:t>
            </w:r>
          </w:p>
        </w:tc>
        <w:tc>
          <w:tcPr>
            <w:tcW w:w="970" w:type="dxa"/>
            <w:tcBorders>
              <w:top w:val="single" w:sz="4" w:space="0" w:color="auto"/>
              <w:bottom w:val="single" w:sz="4" w:space="0" w:color="auto"/>
            </w:tcBorders>
            <w:shd w:val="clear" w:color="auto" w:fill="auto"/>
            <w:vAlign w:val="center"/>
          </w:tcPr>
          <w:p w:rsidR="003A7956" w:rsidRPr="00637931" w:rsidRDefault="003A7956" w:rsidP="00637931">
            <w:pPr>
              <w:jc w:val="center"/>
              <w:rPr>
                <w:rFonts w:eastAsia="Calibri"/>
                <w:sz w:val="20"/>
                <w:szCs w:val="20"/>
                <w:lang w:eastAsia="en-US"/>
              </w:rPr>
            </w:pPr>
          </w:p>
        </w:tc>
        <w:tc>
          <w:tcPr>
            <w:tcW w:w="1386" w:type="dxa"/>
            <w:tcBorders>
              <w:top w:val="single" w:sz="4" w:space="0" w:color="auto"/>
              <w:bottom w:val="single" w:sz="4" w:space="0" w:color="auto"/>
            </w:tcBorders>
            <w:shd w:val="clear" w:color="auto" w:fill="auto"/>
            <w:vAlign w:val="center"/>
          </w:tcPr>
          <w:p w:rsidR="003A7956" w:rsidRPr="00637931" w:rsidDel="00121BD2" w:rsidRDefault="003A7956" w:rsidP="00637931">
            <w:pPr>
              <w:jc w:val="center"/>
              <w:rPr>
                <w:rFonts w:eastAsia="Calibri"/>
                <w:sz w:val="20"/>
                <w:szCs w:val="20"/>
                <w:lang w:eastAsia="en-US"/>
              </w:rPr>
            </w:pPr>
            <w:r w:rsidRPr="00637931">
              <w:rPr>
                <w:rFonts w:eastAsia="Calibri"/>
                <w:sz w:val="20"/>
                <w:szCs w:val="20"/>
                <w:lang w:eastAsia="en-US"/>
              </w:rPr>
              <w:t>10 %</w:t>
            </w:r>
          </w:p>
        </w:tc>
        <w:tc>
          <w:tcPr>
            <w:tcW w:w="1842" w:type="dxa"/>
            <w:tcBorders>
              <w:top w:val="single" w:sz="4" w:space="0" w:color="auto"/>
              <w:bottom w:val="single" w:sz="4" w:space="0" w:color="auto"/>
            </w:tcBorders>
            <w:shd w:val="clear" w:color="auto" w:fill="auto"/>
            <w:vAlign w:val="center"/>
          </w:tcPr>
          <w:p w:rsidR="003A7956" w:rsidRPr="00637931" w:rsidRDefault="003A7956" w:rsidP="00C84582">
            <w:pPr>
              <w:jc w:val="right"/>
              <w:rPr>
                <w:rFonts w:eastAsia="Calibri"/>
                <w:sz w:val="20"/>
                <w:szCs w:val="20"/>
                <w:lang w:eastAsia="en-US"/>
              </w:rPr>
            </w:pPr>
            <w:r w:rsidRPr="00637931">
              <w:rPr>
                <w:rFonts w:eastAsia="Calibri"/>
                <w:sz w:val="20"/>
                <w:szCs w:val="20"/>
                <w:lang w:eastAsia="en-US"/>
              </w:rPr>
              <w:t>100</w:t>
            </w:r>
          </w:p>
        </w:tc>
        <w:tc>
          <w:tcPr>
            <w:tcW w:w="1636" w:type="dxa"/>
            <w:vMerge/>
            <w:shd w:val="clear" w:color="auto" w:fill="auto"/>
            <w:vAlign w:val="center"/>
          </w:tcPr>
          <w:p w:rsidR="003A7956" w:rsidRPr="00637931" w:rsidRDefault="003A7956" w:rsidP="00637931">
            <w:pPr>
              <w:jc w:val="center"/>
              <w:rPr>
                <w:rFonts w:eastAsia="Calibri"/>
                <w:sz w:val="20"/>
                <w:szCs w:val="20"/>
                <w:lang w:eastAsia="en-US"/>
              </w:rPr>
            </w:pPr>
          </w:p>
        </w:tc>
      </w:tr>
      <w:tr w:rsidR="003A7956" w:rsidRPr="00D578E2" w:rsidTr="00637931">
        <w:trPr>
          <w:trHeight w:val="977"/>
        </w:trPr>
        <w:tc>
          <w:tcPr>
            <w:tcW w:w="0" w:type="auto"/>
            <w:vMerge w:val="restart"/>
            <w:tcBorders>
              <w:top w:val="double" w:sz="4" w:space="0" w:color="auto"/>
            </w:tcBorders>
            <w:shd w:val="clear" w:color="auto" w:fill="auto"/>
            <w:vAlign w:val="center"/>
          </w:tcPr>
          <w:p w:rsidR="003A7956" w:rsidRPr="00637931" w:rsidRDefault="003A7956" w:rsidP="00637931">
            <w:pPr>
              <w:spacing w:after="200"/>
              <w:jc w:val="center"/>
              <w:rPr>
                <w:rFonts w:eastAsia="Calibri"/>
                <w:sz w:val="20"/>
                <w:szCs w:val="20"/>
                <w:lang w:eastAsia="en-US"/>
              </w:rPr>
            </w:pPr>
            <w:r w:rsidRPr="00637931">
              <w:rPr>
                <w:rFonts w:eastAsia="Calibri"/>
                <w:sz w:val="20"/>
                <w:szCs w:val="20"/>
                <w:lang w:eastAsia="en-US"/>
              </w:rPr>
              <w:t>Priorita 4</w:t>
            </w:r>
          </w:p>
        </w:tc>
        <w:tc>
          <w:tcPr>
            <w:tcW w:w="7483" w:type="dxa"/>
            <w:tcBorders>
              <w:top w:val="double" w:sz="4" w:space="0" w:color="auto"/>
              <w:bottom w:val="single" w:sz="4" w:space="0" w:color="auto"/>
            </w:tcBorders>
            <w:shd w:val="clear" w:color="auto" w:fill="auto"/>
            <w:vAlign w:val="center"/>
          </w:tcPr>
          <w:p w:rsidR="003A7956" w:rsidRPr="00637931" w:rsidRDefault="003A7956" w:rsidP="00637931">
            <w:pPr>
              <w:rPr>
                <w:rFonts w:eastAsia="Calibri"/>
                <w:sz w:val="20"/>
                <w:szCs w:val="20"/>
                <w:lang w:eastAsia="en-US"/>
              </w:rPr>
            </w:pPr>
            <w:r w:rsidRPr="00637931">
              <w:rPr>
                <w:rFonts w:eastAsia="Calibri"/>
                <w:sz w:val="20"/>
                <w:szCs w:val="20"/>
                <w:lang w:eastAsia="en-US"/>
              </w:rPr>
              <w:t>Celkové verejné výdavky na prioritu 4</w:t>
            </w:r>
          </w:p>
        </w:tc>
        <w:tc>
          <w:tcPr>
            <w:tcW w:w="970" w:type="dxa"/>
            <w:tcBorders>
              <w:top w:val="double" w:sz="4" w:space="0" w:color="auto"/>
              <w:bottom w:val="single" w:sz="4" w:space="0" w:color="auto"/>
            </w:tcBorders>
            <w:shd w:val="clear" w:color="auto" w:fill="auto"/>
            <w:vAlign w:val="center"/>
          </w:tcPr>
          <w:p w:rsidR="003A7956" w:rsidRPr="00637931" w:rsidRDefault="003A7956" w:rsidP="00637931">
            <w:pPr>
              <w:jc w:val="center"/>
              <w:rPr>
                <w:rFonts w:eastAsia="Calibri"/>
                <w:sz w:val="20"/>
                <w:szCs w:val="20"/>
                <w:lang w:eastAsia="en-US"/>
              </w:rPr>
            </w:pPr>
            <w:r w:rsidRPr="00637931">
              <w:rPr>
                <w:rFonts w:eastAsia="Calibri"/>
                <w:sz w:val="20"/>
                <w:szCs w:val="20"/>
                <w:lang w:eastAsia="en-US"/>
              </w:rPr>
              <w:t>€</w:t>
            </w:r>
          </w:p>
        </w:tc>
        <w:tc>
          <w:tcPr>
            <w:tcW w:w="1386" w:type="dxa"/>
            <w:tcBorders>
              <w:top w:val="double" w:sz="4" w:space="0" w:color="auto"/>
              <w:bottom w:val="single" w:sz="4" w:space="0" w:color="auto"/>
            </w:tcBorders>
            <w:shd w:val="clear" w:color="auto" w:fill="auto"/>
            <w:vAlign w:val="center"/>
          </w:tcPr>
          <w:p w:rsidR="003A7956" w:rsidRPr="00637931" w:rsidRDefault="003A7956" w:rsidP="00637931">
            <w:pPr>
              <w:jc w:val="center"/>
              <w:rPr>
                <w:rFonts w:eastAsia="Calibri"/>
                <w:sz w:val="20"/>
                <w:szCs w:val="20"/>
                <w:highlight w:val="cyan"/>
                <w:lang w:eastAsia="en-US"/>
              </w:rPr>
            </w:pPr>
            <w:r w:rsidRPr="00637931">
              <w:rPr>
                <w:rFonts w:eastAsia="Calibri"/>
                <w:sz w:val="20"/>
                <w:szCs w:val="20"/>
                <w:lang w:eastAsia="en-US"/>
              </w:rPr>
              <w:t>30 %</w:t>
            </w:r>
          </w:p>
        </w:tc>
        <w:tc>
          <w:tcPr>
            <w:tcW w:w="1842" w:type="dxa"/>
            <w:tcBorders>
              <w:top w:val="double" w:sz="4" w:space="0" w:color="auto"/>
              <w:bottom w:val="single" w:sz="4" w:space="0" w:color="auto"/>
            </w:tcBorders>
            <w:shd w:val="clear" w:color="auto" w:fill="auto"/>
            <w:vAlign w:val="center"/>
          </w:tcPr>
          <w:p w:rsidR="003A7956" w:rsidRPr="00637931" w:rsidRDefault="003A7956" w:rsidP="003A7956">
            <w:pPr>
              <w:jc w:val="right"/>
              <w:rPr>
                <w:rFonts w:eastAsia="Calibri"/>
                <w:sz w:val="20"/>
                <w:szCs w:val="20"/>
                <w:highlight w:val="cyan"/>
                <w:lang w:eastAsia="en-US"/>
              </w:rPr>
            </w:pPr>
            <w:r>
              <w:rPr>
                <w:rFonts w:eastAsia="Calibri"/>
                <w:sz w:val="20"/>
                <w:szCs w:val="20"/>
                <w:lang w:eastAsia="en-US"/>
              </w:rPr>
              <w:t>892 731 650 €</w:t>
            </w:r>
            <w:r w:rsidRPr="00637931">
              <w:rPr>
                <w:rFonts w:eastAsia="Calibri"/>
                <w:sz w:val="20"/>
                <w:szCs w:val="20"/>
                <w:lang w:eastAsia="en-US"/>
              </w:rPr>
              <w:t xml:space="preserve"> </w:t>
            </w:r>
          </w:p>
        </w:tc>
        <w:tc>
          <w:tcPr>
            <w:tcW w:w="1636" w:type="dxa"/>
            <w:vMerge w:val="restart"/>
            <w:shd w:val="clear" w:color="auto" w:fill="auto"/>
            <w:vAlign w:val="center"/>
          </w:tcPr>
          <w:p w:rsidR="003A7956" w:rsidRPr="00637931" w:rsidRDefault="003A7956" w:rsidP="003A7956">
            <w:pPr>
              <w:jc w:val="center"/>
              <w:rPr>
                <w:rFonts w:eastAsia="Calibri"/>
                <w:sz w:val="20"/>
                <w:szCs w:val="20"/>
                <w:lang w:eastAsia="en-US"/>
              </w:rPr>
            </w:pPr>
            <w:r>
              <w:rPr>
                <w:rFonts w:eastAsia="Calibri"/>
                <w:sz w:val="20"/>
                <w:szCs w:val="20"/>
                <w:lang w:eastAsia="en-US"/>
              </w:rPr>
              <w:t xml:space="preserve">45 164 037,58 </w:t>
            </w:r>
            <w:r w:rsidRPr="00637931">
              <w:rPr>
                <w:rFonts w:eastAsia="Calibri"/>
                <w:sz w:val="20"/>
                <w:szCs w:val="20"/>
                <w:lang w:eastAsia="en-US"/>
              </w:rPr>
              <w:t>€</w:t>
            </w:r>
          </w:p>
        </w:tc>
      </w:tr>
      <w:tr w:rsidR="005F1407" w:rsidRPr="00D578E2" w:rsidTr="00637931">
        <w:trPr>
          <w:trHeight w:val="977"/>
        </w:trPr>
        <w:tc>
          <w:tcPr>
            <w:tcW w:w="0" w:type="auto"/>
            <w:vMerge/>
            <w:shd w:val="clear" w:color="auto" w:fill="auto"/>
            <w:vAlign w:val="center"/>
          </w:tcPr>
          <w:p w:rsidR="008676F9" w:rsidRPr="00637931" w:rsidRDefault="008676F9" w:rsidP="00637931">
            <w:pPr>
              <w:spacing w:after="200"/>
              <w:jc w:val="center"/>
              <w:rPr>
                <w:rFonts w:eastAsia="Calibri"/>
                <w:sz w:val="20"/>
                <w:szCs w:val="20"/>
                <w:lang w:eastAsia="en-US"/>
              </w:rPr>
            </w:pPr>
          </w:p>
        </w:tc>
        <w:tc>
          <w:tcPr>
            <w:tcW w:w="7483" w:type="dxa"/>
            <w:tcBorders>
              <w:top w:val="single" w:sz="4" w:space="0" w:color="auto"/>
              <w:bottom w:val="single" w:sz="4" w:space="0" w:color="auto"/>
            </w:tcBorders>
            <w:shd w:val="clear" w:color="auto" w:fill="auto"/>
            <w:vAlign w:val="center"/>
          </w:tcPr>
          <w:p w:rsidR="008676F9" w:rsidRPr="00637931" w:rsidRDefault="008676F9" w:rsidP="00637931">
            <w:pPr>
              <w:rPr>
                <w:rFonts w:eastAsia="Calibri"/>
                <w:sz w:val="20"/>
                <w:szCs w:val="20"/>
                <w:lang w:eastAsia="en-US"/>
              </w:rPr>
            </w:pPr>
            <w:r w:rsidRPr="00637931">
              <w:rPr>
                <w:rFonts w:eastAsia="Calibri"/>
                <w:sz w:val="20"/>
                <w:szCs w:val="20"/>
                <w:lang w:eastAsia="en-US"/>
              </w:rPr>
              <w:t>Poľnohospodárska pôda v záväzku prispievajúca k biodiverzite (4A) + Poľnohospodárska pôda v záväzku prispievajúca k zlepšeniu vodného hospodárstva (4B) + Poľnohospodárska pôda v záväzku prispievajúca k zlepšeniu obhospodarovania pôd/ prevencii pôdnej erózie (4C)</w:t>
            </w:r>
          </w:p>
        </w:tc>
        <w:tc>
          <w:tcPr>
            <w:tcW w:w="970" w:type="dxa"/>
            <w:tcBorders>
              <w:top w:val="single" w:sz="4" w:space="0" w:color="auto"/>
              <w:bottom w:val="single" w:sz="4" w:space="0" w:color="auto"/>
            </w:tcBorders>
            <w:shd w:val="clear" w:color="auto" w:fill="auto"/>
            <w:vAlign w:val="center"/>
          </w:tcPr>
          <w:p w:rsidR="008676F9" w:rsidRPr="00637931" w:rsidRDefault="008676F9" w:rsidP="00637931">
            <w:pPr>
              <w:jc w:val="center"/>
              <w:rPr>
                <w:rFonts w:eastAsia="Calibri"/>
                <w:sz w:val="20"/>
                <w:szCs w:val="20"/>
                <w:lang w:eastAsia="en-US"/>
              </w:rPr>
            </w:pPr>
            <w:r w:rsidRPr="00637931">
              <w:rPr>
                <w:rFonts w:eastAsia="Calibri"/>
                <w:sz w:val="20"/>
                <w:szCs w:val="20"/>
                <w:lang w:eastAsia="en-US"/>
              </w:rPr>
              <w:t>ha</w:t>
            </w:r>
          </w:p>
        </w:tc>
        <w:tc>
          <w:tcPr>
            <w:tcW w:w="1386" w:type="dxa"/>
            <w:tcBorders>
              <w:top w:val="single" w:sz="4" w:space="0" w:color="auto"/>
              <w:bottom w:val="single" w:sz="4" w:space="0" w:color="auto"/>
            </w:tcBorders>
            <w:shd w:val="clear" w:color="auto" w:fill="auto"/>
            <w:vAlign w:val="center"/>
          </w:tcPr>
          <w:p w:rsidR="008676F9" w:rsidRPr="00637931" w:rsidRDefault="008676F9" w:rsidP="00637931">
            <w:pPr>
              <w:jc w:val="center"/>
              <w:rPr>
                <w:rFonts w:eastAsia="Calibri"/>
                <w:sz w:val="20"/>
                <w:szCs w:val="20"/>
                <w:highlight w:val="cyan"/>
                <w:lang w:eastAsia="en-US"/>
              </w:rPr>
            </w:pPr>
            <w:r w:rsidRPr="00637931">
              <w:rPr>
                <w:rFonts w:eastAsia="Calibri"/>
                <w:sz w:val="20"/>
                <w:szCs w:val="20"/>
                <w:lang w:eastAsia="en-US"/>
              </w:rPr>
              <w:t>50 %</w:t>
            </w:r>
          </w:p>
        </w:tc>
        <w:tc>
          <w:tcPr>
            <w:tcW w:w="1842" w:type="dxa"/>
            <w:tcBorders>
              <w:top w:val="single" w:sz="4" w:space="0" w:color="auto"/>
              <w:bottom w:val="single" w:sz="4" w:space="0" w:color="auto"/>
            </w:tcBorders>
            <w:shd w:val="clear" w:color="auto" w:fill="auto"/>
            <w:vAlign w:val="center"/>
          </w:tcPr>
          <w:p w:rsidR="008676F9" w:rsidRPr="00637931" w:rsidRDefault="003A7956" w:rsidP="00637931">
            <w:pPr>
              <w:jc w:val="right"/>
              <w:rPr>
                <w:rFonts w:eastAsia="Calibri"/>
                <w:sz w:val="20"/>
                <w:szCs w:val="20"/>
                <w:highlight w:val="cyan"/>
                <w:lang w:eastAsia="en-US"/>
              </w:rPr>
            </w:pPr>
            <w:r>
              <w:rPr>
                <w:rFonts w:eastAsia="Calibri"/>
                <w:sz w:val="20"/>
                <w:szCs w:val="20"/>
                <w:lang w:eastAsia="en-US"/>
              </w:rPr>
              <w:t>442 154</w:t>
            </w:r>
            <w:r w:rsidRPr="00637931">
              <w:rPr>
                <w:rFonts w:eastAsia="Calibri"/>
                <w:sz w:val="20"/>
                <w:szCs w:val="20"/>
                <w:lang w:eastAsia="en-US"/>
              </w:rPr>
              <w:t xml:space="preserve">   </w:t>
            </w:r>
          </w:p>
        </w:tc>
        <w:tc>
          <w:tcPr>
            <w:tcW w:w="1636" w:type="dxa"/>
            <w:vMerge/>
            <w:shd w:val="clear" w:color="auto" w:fill="auto"/>
            <w:vAlign w:val="center"/>
          </w:tcPr>
          <w:p w:rsidR="008676F9" w:rsidRPr="00637931" w:rsidRDefault="008676F9" w:rsidP="00637931">
            <w:pPr>
              <w:jc w:val="center"/>
              <w:rPr>
                <w:rFonts w:eastAsia="Calibri"/>
                <w:sz w:val="20"/>
                <w:szCs w:val="20"/>
                <w:lang w:eastAsia="en-US"/>
              </w:rPr>
            </w:pPr>
          </w:p>
        </w:tc>
      </w:tr>
      <w:tr w:rsidR="003A7956" w:rsidRPr="00D578E2" w:rsidTr="00637931">
        <w:trPr>
          <w:trHeight w:val="977"/>
        </w:trPr>
        <w:tc>
          <w:tcPr>
            <w:tcW w:w="0" w:type="auto"/>
            <w:vMerge w:val="restart"/>
            <w:tcBorders>
              <w:top w:val="double" w:sz="4" w:space="0" w:color="auto"/>
            </w:tcBorders>
            <w:shd w:val="clear" w:color="auto" w:fill="auto"/>
            <w:vAlign w:val="center"/>
          </w:tcPr>
          <w:p w:rsidR="003A7956" w:rsidRPr="00637931" w:rsidRDefault="003A7956" w:rsidP="00637931">
            <w:pPr>
              <w:spacing w:after="200"/>
              <w:jc w:val="center"/>
              <w:rPr>
                <w:rFonts w:eastAsia="Calibri"/>
                <w:sz w:val="20"/>
                <w:szCs w:val="20"/>
                <w:lang w:eastAsia="en-US"/>
              </w:rPr>
            </w:pPr>
            <w:r w:rsidRPr="00637931">
              <w:rPr>
                <w:rFonts w:eastAsia="Calibri"/>
                <w:sz w:val="20"/>
                <w:szCs w:val="20"/>
                <w:lang w:eastAsia="en-US"/>
              </w:rPr>
              <w:t>Priorita 5</w:t>
            </w:r>
          </w:p>
        </w:tc>
        <w:tc>
          <w:tcPr>
            <w:tcW w:w="7483" w:type="dxa"/>
            <w:tcBorders>
              <w:top w:val="double" w:sz="4" w:space="0" w:color="auto"/>
              <w:bottom w:val="single" w:sz="4" w:space="0" w:color="auto"/>
            </w:tcBorders>
            <w:shd w:val="clear" w:color="auto" w:fill="auto"/>
            <w:vAlign w:val="center"/>
          </w:tcPr>
          <w:p w:rsidR="003A7956" w:rsidRPr="00637931" w:rsidRDefault="003A7956" w:rsidP="00637931">
            <w:pPr>
              <w:rPr>
                <w:rFonts w:eastAsia="Calibri"/>
                <w:sz w:val="20"/>
                <w:szCs w:val="20"/>
                <w:lang w:eastAsia="en-US"/>
              </w:rPr>
            </w:pPr>
            <w:r w:rsidRPr="00637931">
              <w:rPr>
                <w:rFonts w:eastAsia="Calibri"/>
                <w:sz w:val="20"/>
                <w:szCs w:val="20"/>
                <w:lang w:eastAsia="en-US"/>
              </w:rPr>
              <w:t xml:space="preserve">Celkové verejné výdavky na prioritu 5 </w:t>
            </w:r>
          </w:p>
        </w:tc>
        <w:tc>
          <w:tcPr>
            <w:tcW w:w="970" w:type="dxa"/>
            <w:tcBorders>
              <w:top w:val="double" w:sz="4" w:space="0" w:color="auto"/>
              <w:bottom w:val="single" w:sz="4" w:space="0" w:color="auto"/>
            </w:tcBorders>
            <w:shd w:val="clear" w:color="auto" w:fill="auto"/>
            <w:vAlign w:val="center"/>
          </w:tcPr>
          <w:p w:rsidR="003A7956" w:rsidRPr="00637931" w:rsidRDefault="003A7956" w:rsidP="00637931">
            <w:pPr>
              <w:jc w:val="center"/>
              <w:rPr>
                <w:rFonts w:eastAsia="Calibri"/>
                <w:sz w:val="20"/>
                <w:szCs w:val="20"/>
                <w:lang w:eastAsia="en-US"/>
              </w:rPr>
            </w:pPr>
            <w:r w:rsidRPr="00637931">
              <w:rPr>
                <w:rFonts w:eastAsia="Calibri"/>
                <w:sz w:val="20"/>
                <w:szCs w:val="20"/>
                <w:lang w:eastAsia="en-US"/>
              </w:rPr>
              <w:t>€</w:t>
            </w:r>
          </w:p>
        </w:tc>
        <w:tc>
          <w:tcPr>
            <w:tcW w:w="1386" w:type="dxa"/>
            <w:tcBorders>
              <w:top w:val="double" w:sz="4" w:space="0" w:color="auto"/>
              <w:bottom w:val="single" w:sz="4" w:space="0" w:color="auto"/>
            </w:tcBorders>
            <w:shd w:val="clear" w:color="auto" w:fill="auto"/>
            <w:vAlign w:val="center"/>
          </w:tcPr>
          <w:p w:rsidR="003A7956" w:rsidRPr="00637931" w:rsidRDefault="003A7956" w:rsidP="00637931">
            <w:pPr>
              <w:jc w:val="center"/>
              <w:rPr>
                <w:rFonts w:eastAsia="Calibri"/>
                <w:sz w:val="20"/>
                <w:szCs w:val="20"/>
                <w:lang w:eastAsia="en-US"/>
              </w:rPr>
            </w:pPr>
            <w:r w:rsidRPr="00637931">
              <w:rPr>
                <w:rFonts w:eastAsia="Calibri"/>
                <w:sz w:val="20"/>
                <w:szCs w:val="20"/>
                <w:lang w:eastAsia="en-US"/>
              </w:rPr>
              <w:t>20 %</w:t>
            </w:r>
          </w:p>
        </w:tc>
        <w:tc>
          <w:tcPr>
            <w:tcW w:w="1842" w:type="dxa"/>
            <w:tcBorders>
              <w:top w:val="double" w:sz="4" w:space="0" w:color="auto"/>
              <w:bottom w:val="single" w:sz="4" w:space="0" w:color="auto"/>
            </w:tcBorders>
            <w:shd w:val="clear" w:color="auto" w:fill="auto"/>
            <w:vAlign w:val="center"/>
          </w:tcPr>
          <w:p w:rsidR="003A7956" w:rsidRPr="00637931" w:rsidRDefault="003A7956" w:rsidP="003A7956">
            <w:pPr>
              <w:jc w:val="right"/>
              <w:rPr>
                <w:rFonts w:eastAsia="Calibri"/>
                <w:sz w:val="20"/>
                <w:szCs w:val="20"/>
                <w:lang w:eastAsia="en-US"/>
              </w:rPr>
            </w:pPr>
            <w:r>
              <w:rPr>
                <w:rFonts w:eastAsia="Calibri"/>
                <w:sz w:val="20"/>
                <w:szCs w:val="20"/>
                <w:lang w:eastAsia="en-US"/>
              </w:rPr>
              <w:t>112 860 000 €</w:t>
            </w:r>
          </w:p>
        </w:tc>
        <w:tc>
          <w:tcPr>
            <w:tcW w:w="1636" w:type="dxa"/>
            <w:vMerge w:val="restart"/>
            <w:shd w:val="clear" w:color="auto" w:fill="auto"/>
            <w:vAlign w:val="center"/>
          </w:tcPr>
          <w:p w:rsidR="003A7956" w:rsidRPr="00637931" w:rsidRDefault="003A7956" w:rsidP="003A7956">
            <w:pPr>
              <w:jc w:val="center"/>
              <w:rPr>
                <w:rFonts w:eastAsia="Calibri"/>
                <w:sz w:val="20"/>
                <w:szCs w:val="20"/>
                <w:lang w:eastAsia="en-US"/>
              </w:rPr>
            </w:pPr>
            <w:r>
              <w:rPr>
                <w:rFonts w:eastAsia="Calibri"/>
                <w:sz w:val="20"/>
                <w:szCs w:val="20"/>
                <w:lang w:eastAsia="en-US"/>
              </w:rPr>
              <w:t xml:space="preserve">5 026 172,38 </w:t>
            </w:r>
            <w:r w:rsidRPr="00637931">
              <w:rPr>
                <w:rFonts w:eastAsia="Calibri"/>
                <w:sz w:val="20"/>
                <w:szCs w:val="20"/>
                <w:lang w:eastAsia="en-US"/>
              </w:rPr>
              <w:t>€</w:t>
            </w:r>
          </w:p>
        </w:tc>
      </w:tr>
      <w:tr w:rsidR="003A7956" w:rsidRPr="00D578E2" w:rsidTr="00637931">
        <w:trPr>
          <w:trHeight w:val="977"/>
        </w:trPr>
        <w:tc>
          <w:tcPr>
            <w:tcW w:w="0" w:type="auto"/>
            <w:vMerge/>
            <w:shd w:val="clear" w:color="auto" w:fill="auto"/>
            <w:vAlign w:val="center"/>
          </w:tcPr>
          <w:p w:rsidR="003A7956" w:rsidRPr="00637931" w:rsidRDefault="003A7956" w:rsidP="00637931">
            <w:pPr>
              <w:spacing w:after="200"/>
              <w:jc w:val="center"/>
              <w:rPr>
                <w:rFonts w:eastAsia="Calibri"/>
                <w:sz w:val="20"/>
                <w:szCs w:val="20"/>
                <w:lang w:eastAsia="en-US"/>
              </w:rPr>
            </w:pPr>
          </w:p>
        </w:tc>
        <w:tc>
          <w:tcPr>
            <w:tcW w:w="7483" w:type="dxa"/>
            <w:tcBorders>
              <w:top w:val="single" w:sz="4" w:space="0" w:color="auto"/>
              <w:bottom w:val="single" w:sz="4" w:space="0" w:color="auto"/>
            </w:tcBorders>
            <w:shd w:val="clear" w:color="auto" w:fill="auto"/>
            <w:vAlign w:val="center"/>
          </w:tcPr>
          <w:p w:rsidR="003A7956" w:rsidRPr="00637931" w:rsidRDefault="003A7956" w:rsidP="00637931">
            <w:pPr>
              <w:rPr>
                <w:rFonts w:eastAsia="Calibri"/>
                <w:sz w:val="20"/>
                <w:szCs w:val="20"/>
                <w:lang w:eastAsia="en-US"/>
              </w:rPr>
            </w:pPr>
            <w:r w:rsidRPr="00637931">
              <w:rPr>
                <w:rFonts w:eastAsia="Calibri"/>
                <w:sz w:val="20"/>
                <w:szCs w:val="20"/>
                <w:lang w:eastAsia="en-US"/>
              </w:rPr>
              <w:t>Počet investícií do úspor energie a energetickej efektívnosti (5B) + do obnoviteľných zdrojov energie (5C)</w:t>
            </w:r>
          </w:p>
        </w:tc>
        <w:tc>
          <w:tcPr>
            <w:tcW w:w="970" w:type="dxa"/>
            <w:tcBorders>
              <w:top w:val="single" w:sz="4" w:space="0" w:color="auto"/>
              <w:bottom w:val="single" w:sz="4" w:space="0" w:color="auto"/>
            </w:tcBorders>
            <w:shd w:val="clear" w:color="auto" w:fill="auto"/>
            <w:vAlign w:val="center"/>
          </w:tcPr>
          <w:p w:rsidR="003A7956" w:rsidRPr="00637931" w:rsidRDefault="003A7956" w:rsidP="00637931">
            <w:pPr>
              <w:jc w:val="center"/>
              <w:rPr>
                <w:rFonts w:eastAsia="Calibri"/>
                <w:sz w:val="20"/>
                <w:szCs w:val="20"/>
                <w:lang w:eastAsia="en-US"/>
              </w:rPr>
            </w:pPr>
            <w:r w:rsidRPr="00637931">
              <w:rPr>
                <w:rFonts w:eastAsia="Calibri"/>
                <w:sz w:val="20"/>
                <w:szCs w:val="20"/>
                <w:lang w:eastAsia="en-US"/>
              </w:rPr>
              <w:t>€</w:t>
            </w:r>
          </w:p>
        </w:tc>
        <w:tc>
          <w:tcPr>
            <w:tcW w:w="1386" w:type="dxa"/>
            <w:tcBorders>
              <w:top w:val="single" w:sz="4" w:space="0" w:color="auto"/>
              <w:bottom w:val="single" w:sz="4" w:space="0" w:color="auto"/>
            </w:tcBorders>
            <w:shd w:val="clear" w:color="auto" w:fill="auto"/>
            <w:vAlign w:val="center"/>
          </w:tcPr>
          <w:p w:rsidR="003A7956" w:rsidRPr="00637931" w:rsidRDefault="003A7956" w:rsidP="00637931">
            <w:pPr>
              <w:jc w:val="center"/>
              <w:rPr>
                <w:rFonts w:eastAsia="Calibri"/>
                <w:sz w:val="20"/>
                <w:szCs w:val="20"/>
                <w:lang w:eastAsia="en-US"/>
              </w:rPr>
            </w:pPr>
            <w:r w:rsidRPr="00637931">
              <w:rPr>
                <w:rFonts w:eastAsia="Calibri"/>
                <w:sz w:val="20"/>
                <w:szCs w:val="20"/>
                <w:lang w:eastAsia="en-US"/>
              </w:rPr>
              <w:t>20 %</w:t>
            </w:r>
          </w:p>
        </w:tc>
        <w:tc>
          <w:tcPr>
            <w:tcW w:w="1842" w:type="dxa"/>
            <w:tcBorders>
              <w:top w:val="single" w:sz="4" w:space="0" w:color="auto"/>
              <w:bottom w:val="single" w:sz="4" w:space="0" w:color="auto"/>
            </w:tcBorders>
            <w:shd w:val="clear" w:color="auto" w:fill="auto"/>
            <w:vAlign w:val="center"/>
          </w:tcPr>
          <w:p w:rsidR="003A7956" w:rsidRPr="00637931" w:rsidRDefault="003A7956" w:rsidP="00637931">
            <w:pPr>
              <w:jc w:val="right"/>
              <w:rPr>
                <w:rFonts w:eastAsia="Calibri"/>
                <w:sz w:val="20"/>
                <w:szCs w:val="20"/>
                <w:lang w:eastAsia="en-US"/>
              </w:rPr>
            </w:pPr>
            <w:r>
              <w:rPr>
                <w:rFonts w:eastAsia="Calibri"/>
                <w:sz w:val="20"/>
                <w:szCs w:val="20"/>
                <w:lang w:eastAsia="en-US"/>
              </w:rPr>
              <w:t>190</w:t>
            </w:r>
          </w:p>
        </w:tc>
        <w:tc>
          <w:tcPr>
            <w:tcW w:w="1636" w:type="dxa"/>
            <w:vMerge/>
            <w:shd w:val="clear" w:color="auto" w:fill="auto"/>
            <w:vAlign w:val="center"/>
          </w:tcPr>
          <w:p w:rsidR="003A7956" w:rsidRPr="00637931" w:rsidRDefault="003A7956" w:rsidP="00637931">
            <w:pPr>
              <w:spacing w:after="200"/>
              <w:jc w:val="center"/>
              <w:rPr>
                <w:rFonts w:eastAsia="Calibri"/>
                <w:sz w:val="20"/>
                <w:szCs w:val="20"/>
                <w:lang w:eastAsia="en-US"/>
              </w:rPr>
            </w:pPr>
          </w:p>
        </w:tc>
      </w:tr>
      <w:tr w:rsidR="003A7956" w:rsidRPr="00D578E2" w:rsidTr="00637931">
        <w:trPr>
          <w:trHeight w:val="977"/>
        </w:trPr>
        <w:tc>
          <w:tcPr>
            <w:tcW w:w="0" w:type="auto"/>
            <w:vMerge/>
            <w:shd w:val="clear" w:color="auto" w:fill="auto"/>
            <w:vAlign w:val="center"/>
          </w:tcPr>
          <w:p w:rsidR="003A7956" w:rsidRPr="00637931" w:rsidRDefault="003A7956" w:rsidP="00637931">
            <w:pPr>
              <w:spacing w:after="200"/>
              <w:jc w:val="center"/>
              <w:rPr>
                <w:rFonts w:eastAsia="Calibri"/>
                <w:sz w:val="20"/>
                <w:szCs w:val="20"/>
                <w:lang w:eastAsia="en-US"/>
              </w:rPr>
            </w:pPr>
          </w:p>
        </w:tc>
        <w:tc>
          <w:tcPr>
            <w:tcW w:w="7483" w:type="dxa"/>
            <w:tcBorders>
              <w:bottom w:val="single" w:sz="4" w:space="0" w:color="auto"/>
            </w:tcBorders>
            <w:shd w:val="clear" w:color="auto" w:fill="auto"/>
            <w:vAlign w:val="center"/>
          </w:tcPr>
          <w:p w:rsidR="003A7956" w:rsidRPr="00637931" w:rsidRDefault="003A7956" w:rsidP="00637931">
            <w:pPr>
              <w:rPr>
                <w:rFonts w:eastAsia="Calibri"/>
                <w:sz w:val="20"/>
                <w:szCs w:val="20"/>
                <w:lang w:eastAsia="en-US"/>
              </w:rPr>
            </w:pPr>
            <w:r w:rsidRPr="00637931">
              <w:rPr>
                <w:rFonts w:eastAsia="Calibri"/>
                <w:sz w:val="20"/>
                <w:szCs w:val="20"/>
                <w:lang w:eastAsia="en-US"/>
              </w:rPr>
              <w:t>Poľnohospodárska a lesná pôda prispievajúca k posilneniu sekvestrácie oxidu uhličitého (5E) + poľnohospodárska pôda v záväzku cieleného na redukciu skleníkových plynov a emisií amoniaku (5D) + zavlažovaná plocha, na ktorej sa prechádza k efektívnejšiemu zavlažovaniu (5A)</w:t>
            </w:r>
          </w:p>
        </w:tc>
        <w:tc>
          <w:tcPr>
            <w:tcW w:w="970" w:type="dxa"/>
            <w:tcBorders>
              <w:bottom w:val="single" w:sz="4" w:space="0" w:color="auto"/>
            </w:tcBorders>
            <w:shd w:val="clear" w:color="auto" w:fill="auto"/>
            <w:vAlign w:val="center"/>
          </w:tcPr>
          <w:p w:rsidR="003A7956" w:rsidRPr="00637931" w:rsidRDefault="003A7956" w:rsidP="00637931">
            <w:pPr>
              <w:jc w:val="center"/>
              <w:rPr>
                <w:rFonts w:eastAsia="Calibri"/>
                <w:sz w:val="20"/>
                <w:szCs w:val="20"/>
                <w:lang w:eastAsia="en-US"/>
              </w:rPr>
            </w:pPr>
            <w:r w:rsidRPr="00637931">
              <w:rPr>
                <w:rFonts w:eastAsia="Calibri"/>
                <w:sz w:val="20"/>
                <w:szCs w:val="20"/>
                <w:lang w:eastAsia="en-US"/>
              </w:rPr>
              <w:t>ha</w:t>
            </w:r>
          </w:p>
        </w:tc>
        <w:tc>
          <w:tcPr>
            <w:tcW w:w="1386" w:type="dxa"/>
            <w:tcBorders>
              <w:bottom w:val="single" w:sz="4" w:space="0" w:color="auto"/>
            </w:tcBorders>
            <w:shd w:val="clear" w:color="auto" w:fill="auto"/>
            <w:vAlign w:val="center"/>
          </w:tcPr>
          <w:p w:rsidR="003A7956" w:rsidRPr="00637931" w:rsidRDefault="003A7956" w:rsidP="00637931">
            <w:pPr>
              <w:jc w:val="center"/>
              <w:rPr>
                <w:rFonts w:eastAsia="Calibri"/>
                <w:sz w:val="20"/>
                <w:szCs w:val="20"/>
                <w:lang w:eastAsia="en-US"/>
              </w:rPr>
            </w:pPr>
            <w:r w:rsidRPr="00637931">
              <w:rPr>
                <w:rFonts w:eastAsia="Calibri"/>
                <w:sz w:val="20"/>
                <w:szCs w:val="20"/>
                <w:lang w:eastAsia="en-US"/>
              </w:rPr>
              <w:t>20 %</w:t>
            </w:r>
          </w:p>
        </w:tc>
        <w:tc>
          <w:tcPr>
            <w:tcW w:w="1842" w:type="dxa"/>
            <w:tcBorders>
              <w:bottom w:val="single" w:sz="4" w:space="0" w:color="auto"/>
            </w:tcBorders>
            <w:shd w:val="clear" w:color="auto" w:fill="auto"/>
            <w:vAlign w:val="center"/>
          </w:tcPr>
          <w:p w:rsidR="003A7956" w:rsidRPr="00637931" w:rsidRDefault="003A7956" w:rsidP="00637931">
            <w:pPr>
              <w:jc w:val="right"/>
              <w:rPr>
                <w:rFonts w:eastAsia="Calibri"/>
                <w:sz w:val="20"/>
                <w:szCs w:val="20"/>
                <w:lang w:eastAsia="en-US"/>
              </w:rPr>
            </w:pPr>
            <w:r>
              <w:rPr>
                <w:rFonts w:eastAsia="Calibri"/>
                <w:sz w:val="20"/>
                <w:szCs w:val="20"/>
                <w:lang w:eastAsia="en-US"/>
              </w:rPr>
              <w:t>4 840</w:t>
            </w:r>
          </w:p>
        </w:tc>
        <w:tc>
          <w:tcPr>
            <w:tcW w:w="1636" w:type="dxa"/>
            <w:vMerge/>
            <w:shd w:val="clear" w:color="auto" w:fill="auto"/>
            <w:vAlign w:val="center"/>
          </w:tcPr>
          <w:p w:rsidR="003A7956" w:rsidRPr="00637931" w:rsidRDefault="003A7956" w:rsidP="00637931">
            <w:pPr>
              <w:spacing w:after="200"/>
              <w:jc w:val="center"/>
              <w:rPr>
                <w:rFonts w:eastAsia="Calibri"/>
                <w:sz w:val="20"/>
                <w:szCs w:val="20"/>
                <w:lang w:eastAsia="en-US"/>
              </w:rPr>
            </w:pPr>
          </w:p>
        </w:tc>
      </w:tr>
      <w:tr w:rsidR="003A7956" w:rsidRPr="00D578E2" w:rsidTr="00637931">
        <w:trPr>
          <w:trHeight w:val="977"/>
        </w:trPr>
        <w:tc>
          <w:tcPr>
            <w:tcW w:w="0" w:type="auto"/>
            <w:vMerge w:val="restart"/>
            <w:tcBorders>
              <w:top w:val="double" w:sz="4" w:space="0" w:color="auto"/>
              <w:bottom w:val="double" w:sz="4" w:space="0" w:color="auto"/>
            </w:tcBorders>
            <w:shd w:val="clear" w:color="auto" w:fill="auto"/>
            <w:vAlign w:val="center"/>
          </w:tcPr>
          <w:p w:rsidR="003A7956" w:rsidRPr="00637931" w:rsidRDefault="003A7956" w:rsidP="00637931">
            <w:pPr>
              <w:spacing w:after="200"/>
              <w:jc w:val="center"/>
              <w:rPr>
                <w:rFonts w:eastAsia="Calibri"/>
                <w:sz w:val="20"/>
                <w:szCs w:val="20"/>
                <w:lang w:eastAsia="en-US"/>
              </w:rPr>
            </w:pPr>
            <w:r w:rsidRPr="00637931">
              <w:rPr>
                <w:rFonts w:eastAsia="Calibri"/>
                <w:sz w:val="20"/>
                <w:szCs w:val="20"/>
                <w:lang w:eastAsia="en-US"/>
              </w:rPr>
              <w:t>Priorita 6</w:t>
            </w:r>
          </w:p>
        </w:tc>
        <w:tc>
          <w:tcPr>
            <w:tcW w:w="7483" w:type="dxa"/>
            <w:tcBorders>
              <w:top w:val="double" w:sz="4" w:space="0" w:color="auto"/>
              <w:bottom w:val="single" w:sz="4" w:space="0" w:color="auto"/>
            </w:tcBorders>
            <w:shd w:val="clear" w:color="auto" w:fill="auto"/>
            <w:vAlign w:val="center"/>
          </w:tcPr>
          <w:p w:rsidR="003A7956" w:rsidRPr="00637931" w:rsidRDefault="003A7956" w:rsidP="00637931">
            <w:pPr>
              <w:rPr>
                <w:rFonts w:eastAsia="Calibri"/>
                <w:sz w:val="20"/>
                <w:szCs w:val="20"/>
                <w:lang w:eastAsia="en-US"/>
              </w:rPr>
            </w:pPr>
            <w:r w:rsidRPr="00637931">
              <w:rPr>
                <w:rFonts w:eastAsia="Calibri"/>
                <w:sz w:val="20"/>
                <w:szCs w:val="20"/>
                <w:lang w:eastAsia="en-US"/>
              </w:rPr>
              <w:t xml:space="preserve">Celkové verejné výdavky na prioritu 6 </w:t>
            </w:r>
          </w:p>
        </w:tc>
        <w:tc>
          <w:tcPr>
            <w:tcW w:w="970" w:type="dxa"/>
            <w:tcBorders>
              <w:top w:val="double" w:sz="4" w:space="0" w:color="auto"/>
              <w:bottom w:val="single" w:sz="4" w:space="0" w:color="auto"/>
            </w:tcBorders>
            <w:shd w:val="clear" w:color="auto" w:fill="auto"/>
            <w:vAlign w:val="center"/>
          </w:tcPr>
          <w:p w:rsidR="003A7956" w:rsidRPr="00637931" w:rsidRDefault="003A7956" w:rsidP="00637931">
            <w:pPr>
              <w:jc w:val="center"/>
              <w:rPr>
                <w:rFonts w:eastAsia="Calibri"/>
                <w:sz w:val="20"/>
                <w:szCs w:val="20"/>
                <w:lang w:eastAsia="en-US"/>
              </w:rPr>
            </w:pPr>
            <w:r w:rsidRPr="00637931">
              <w:rPr>
                <w:rFonts w:eastAsia="Calibri"/>
                <w:sz w:val="20"/>
                <w:szCs w:val="20"/>
                <w:lang w:eastAsia="en-US"/>
              </w:rPr>
              <w:t>€</w:t>
            </w:r>
          </w:p>
        </w:tc>
        <w:tc>
          <w:tcPr>
            <w:tcW w:w="1386" w:type="dxa"/>
            <w:tcBorders>
              <w:top w:val="double" w:sz="4" w:space="0" w:color="auto"/>
              <w:bottom w:val="single" w:sz="4" w:space="0" w:color="auto"/>
            </w:tcBorders>
            <w:shd w:val="clear" w:color="auto" w:fill="auto"/>
            <w:vAlign w:val="center"/>
          </w:tcPr>
          <w:p w:rsidR="003A7956" w:rsidRPr="00637931" w:rsidRDefault="003A7956" w:rsidP="00637931">
            <w:pPr>
              <w:jc w:val="center"/>
              <w:rPr>
                <w:rFonts w:eastAsia="Calibri"/>
                <w:sz w:val="20"/>
                <w:szCs w:val="20"/>
                <w:lang w:eastAsia="en-US"/>
              </w:rPr>
            </w:pPr>
            <w:r w:rsidRPr="00637931">
              <w:rPr>
                <w:rFonts w:eastAsia="Calibri"/>
                <w:sz w:val="20"/>
                <w:szCs w:val="20"/>
                <w:lang w:eastAsia="en-US"/>
              </w:rPr>
              <w:t>10 %</w:t>
            </w:r>
          </w:p>
        </w:tc>
        <w:tc>
          <w:tcPr>
            <w:tcW w:w="1842" w:type="dxa"/>
            <w:tcBorders>
              <w:top w:val="double" w:sz="4" w:space="0" w:color="auto"/>
              <w:bottom w:val="single" w:sz="4" w:space="0" w:color="auto"/>
            </w:tcBorders>
            <w:shd w:val="clear" w:color="auto" w:fill="auto"/>
            <w:vAlign w:val="center"/>
          </w:tcPr>
          <w:p w:rsidR="003A7956" w:rsidRPr="00637931" w:rsidRDefault="003A7956" w:rsidP="003A7956">
            <w:pPr>
              <w:jc w:val="right"/>
              <w:rPr>
                <w:rFonts w:eastAsia="Calibri"/>
                <w:sz w:val="20"/>
                <w:szCs w:val="20"/>
                <w:lang w:eastAsia="en-US"/>
              </w:rPr>
            </w:pPr>
            <w:r>
              <w:rPr>
                <w:rFonts w:eastAsia="Calibri"/>
                <w:sz w:val="20"/>
                <w:szCs w:val="20"/>
                <w:lang w:eastAsia="en-US"/>
              </w:rPr>
              <w:t>292 883 018,87 €</w:t>
            </w:r>
          </w:p>
        </w:tc>
        <w:tc>
          <w:tcPr>
            <w:tcW w:w="1636" w:type="dxa"/>
            <w:vMerge w:val="restart"/>
            <w:shd w:val="clear" w:color="auto" w:fill="auto"/>
            <w:vAlign w:val="center"/>
          </w:tcPr>
          <w:p w:rsidR="003A7956" w:rsidRPr="00637931" w:rsidRDefault="003A7956" w:rsidP="003A7956">
            <w:pPr>
              <w:spacing w:after="200"/>
              <w:jc w:val="center"/>
              <w:rPr>
                <w:rFonts w:eastAsia="Calibri"/>
                <w:sz w:val="20"/>
                <w:szCs w:val="20"/>
                <w:lang w:eastAsia="en-US"/>
              </w:rPr>
            </w:pPr>
            <w:r>
              <w:rPr>
                <w:rFonts w:eastAsia="Calibri"/>
                <w:sz w:val="20"/>
                <w:szCs w:val="20"/>
                <w:lang w:eastAsia="en-US"/>
              </w:rPr>
              <w:t xml:space="preserve">10 864 719,67 </w:t>
            </w:r>
            <w:r w:rsidRPr="00637931">
              <w:rPr>
                <w:rFonts w:eastAsia="Calibri"/>
                <w:sz w:val="20"/>
                <w:szCs w:val="20"/>
                <w:lang w:eastAsia="en-US"/>
              </w:rPr>
              <w:t>€</w:t>
            </w:r>
          </w:p>
        </w:tc>
      </w:tr>
      <w:tr w:rsidR="003A7956" w:rsidRPr="00D578E2" w:rsidTr="00637931">
        <w:trPr>
          <w:trHeight w:val="977"/>
        </w:trPr>
        <w:tc>
          <w:tcPr>
            <w:tcW w:w="0" w:type="auto"/>
            <w:vMerge/>
            <w:tcBorders>
              <w:bottom w:val="double" w:sz="4" w:space="0" w:color="auto"/>
            </w:tcBorders>
            <w:shd w:val="clear" w:color="auto" w:fill="auto"/>
            <w:vAlign w:val="center"/>
          </w:tcPr>
          <w:p w:rsidR="003A7956" w:rsidRPr="00637931" w:rsidRDefault="003A7956" w:rsidP="00637931">
            <w:pPr>
              <w:spacing w:after="200"/>
              <w:jc w:val="center"/>
              <w:rPr>
                <w:rFonts w:eastAsia="Calibri"/>
                <w:sz w:val="20"/>
                <w:szCs w:val="20"/>
                <w:lang w:eastAsia="en-US"/>
              </w:rPr>
            </w:pPr>
          </w:p>
        </w:tc>
        <w:tc>
          <w:tcPr>
            <w:tcW w:w="7483" w:type="dxa"/>
            <w:tcBorders>
              <w:bottom w:val="single" w:sz="4" w:space="0" w:color="auto"/>
            </w:tcBorders>
            <w:shd w:val="clear" w:color="auto" w:fill="auto"/>
            <w:vAlign w:val="center"/>
          </w:tcPr>
          <w:p w:rsidR="003A7956" w:rsidRPr="00637931" w:rsidRDefault="003A7956" w:rsidP="00637931">
            <w:pPr>
              <w:rPr>
                <w:rFonts w:eastAsia="Calibri"/>
                <w:sz w:val="20"/>
                <w:szCs w:val="20"/>
                <w:lang w:eastAsia="en-US"/>
              </w:rPr>
            </w:pPr>
            <w:r w:rsidRPr="00637931">
              <w:rPr>
                <w:rFonts w:eastAsia="Calibri"/>
                <w:sz w:val="20"/>
                <w:szCs w:val="20"/>
                <w:lang w:eastAsia="en-US"/>
              </w:rPr>
              <w:t>Počet podporených operácií na zlepšenie základných služieb a základnej infraštruktúry vo vidieckych oblastiach (6B a 6C)</w:t>
            </w:r>
          </w:p>
        </w:tc>
        <w:tc>
          <w:tcPr>
            <w:tcW w:w="970" w:type="dxa"/>
            <w:tcBorders>
              <w:bottom w:val="single" w:sz="4" w:space="0" w:color="auto"/>
            </w:tcBorders>
            <w:shd w:val="clear" w:color="auto" w:fill="auto"/>
            <w:vAlign w:val="center"/>
          </w:tcPr>
          <w:p w:rsidR="003A7956" w:rsidRPr="00637931" w:rsidRDefault="003A7956" w:rsidP="00637931">
            <w:pPr>
              <w:jc w:val="center"/>
              <w:rPr>
                <w:rFonts w:eastAsia="Calibri"/>
                <w:sz w:val="20"/>
                <w:szCs w:val="20"/>
                <w:lang w:eastAsia="en-US"/>
              </w:rPr>
            </w:pPr>
          </w:p>
        </w:tc>
        <w:tc>
          <w:tcPr>
            <w:tcW w:w="1386" w:type="dxa"/>
            <w:tcBorders>
              <w:bottom w:val="single" w:sz="4" w:space="0" w:color="auto"/>
            </w:tcBorders>
            <w:shd w:val="clear" w:color="auto" w:fill="auto"/>
            <w:vAlign w:val="center"/>
          </w:tcPr>
          <w:p w:rsidR="003A7956" w:rsidRPr="00637931" w:rsidRDefault="003A7956" w:rsidP="00637931">
            <w:pPr>
              <w:jc w:val="center"/>
              <w:rPr>
                <w:rFonts w:eastAsia="Calibri"/>
                <w:sz w:val="20"/>
                <w:szCs w:val="20"/>
                <w:lang w:eastAsia="en-US"/>
              </w:rPr>
            </w:pPr>
            <w:r w:rsidRPr="00637931">
              <w:rPr>
                <w:rFonts w:eastAsia="Calibri"/>
                <w:sz w:val="20"/>
                <w:szCs w:val="20"/>
                <w:lang w:eastAsia="en-US"/>
              </w:rPr>
              <w:t>20 %</w:t>
            </w:r>
          </w:p>
        </w:tc>
        <w:tc>
          <w:tcPr>
            <w:tcW w:w="1842" w:type="dxa"/>
            <w:tcBorders>
              <w:bottom w:val="single" w:sz="4" w:space="0" w:color="auto"/>
            </w:tcBorders>
            <w:shd w:val="clear" w:color="auto" w:fill="auto"/>
            <w:vAlign w:val="center"/>
          </w:tcPr>
          <w:p w:rsidR="003A7956" w:rsidRPr="00637931" w:rsidRDefault="003A7956" w:rsidP="00637931">
            <w:pPr>
              <w:jc w:val="right"/>
              <w:rPr>
                <w:rFonts w:eastAsia="Calibri"/>
                <w:sz w:val="20"/>
                <w:szCs w:val="20"/>
                <w:lang w:eastAsia="en-US"/>
              </w:rPr>
            </w:pPr>
            <w:r w:rsidRPr="00637931">
              <w:rPr>
                <w:rFonts w:eastAsia="Calibri"/>
                <w:sz w:val="20"/>
                <w:szCs w:val="20"/>
                <w:lang w:eastAsia="en-US"/>
              </w:rPr>
              <w:t>565</w:t>
            </w:r>
          </w:p>
        </w:tc>
        <w:tc>
          <w:tcPr>
            <w:tcW w:w="1636" w:type="dxa"/>
            <w:vMerge/>
            <w:shd w:val="clear" w:color="auto" w:fill="auto"/>
            <w:vAlign w:val="center"/>
          </w:tcPr>
          <w:p w:rsidR="003A7956" w:rsidRPr="00637931" w:rsidRDefault="003A7956" w:rsidP="00637931">
            <w:pPr>
              <w:spacing w:after="200"/>
              <w:jc w:val="center"/>
              <w:rPr>
                <w:rFonts w:eastAsia="Calibri"/>
                <w:sz w:val="20"/>
                <w:szCs w:val="20"/>
                <w:lang w:eastAsia="en-US"/>
              </w:rPr>
            </w:pPr>
          </w:p>
        </w:tc>
      </w:tr>
      <w:tr w:rsidR="003A7956" w:rsidRPr="00D578E2" w:rsidTr="00637931">
        <w:trPr>
          <w:trHeight w:val="977"/>
        </w:trPr>
        <w:tc>
          <w:tcPr>
            <w:tcW w:w="0" w:type="auto"/>
            <w:vMerge/>
            <w:shd w:val="clear" w:color="auto" w:fill="auto"/>
            <w:vAlign w:val="center"/>
          </w:tcPr>
          <w:p w:rsidR="003A7956" w:rsidRPr="00637931" w:rsidRDefault="003A7956" w:rsidP="00637931">
            <w:pPr>
              <w:spacing w:after="200"/>
              <w:jc w:val="center"/>
              <w:rPr>
                <w:rFonts w:eastAsia="Calibri"/>
                <w:sz w:val="20"/>
                <w:szCs w:val="20"/>
                <w:lang w:eastAsia="en-US"/>
              </w:rPr>
            </w:pPr>
          </w:p>
        </w:tc>
        <w:tc>
          <w:tcPr>
            <w:tcW w:w="7483" w:type="dxa"/>
            <w:tcBorders>
              <w:top w:val="single" w:sz="4" w:space="0" w:color="auto"/>
              <w:bottom w:val="single" w:sz="4" w:space="0" w:color="auto"/>
            </w:tcBorders>
            <w:shd w:val="clear" w:color="auto" w:fill="auto"/>
            <w:vAlign w:val="center"/>
          </w:tcPr>
          <w:p w:rsidR="003A7956" w:rsidRPr="00637931" w:rsidRDefault="003A7956" w:rsidP="00637931">
            <w:pPr>
              <w:rPr>
                <w:rFonts w:eastAsia="Calibri"/>
                <w:sz w:val="20"/>
                <w:szCs w:val="20"/>
                <w:lang w:eastAsia="en-US"/>
              </w:rPr>
            </w:pPr>
            <w:r w:rsidRPr="00637931">
              <w:rPr>
                <w:rFonts w:eastAsia="Calibri"/>
                <w:sz w:val="20"/>
                <w:szCs w:val="20"/>
                <w:lang w:eastAsia="en-US"/>
              </w:rPr>
              <w:t xml:space="preserve">Počet obyvateľov v rámci schválených MAS  </w:t>
            </w:r>
          </w:p>
        </w:tc>
        <w:tc>
          <w:tcPr>
            <w:tcW w:w="970" w:type="dxa"/>
            <w:tcBorders>
              <w:top w:val="single" w:sz="4" w:space="0" w:color="auto"/>
              <w:bottom w:val="single" w:sz="4" w:space="0" w:color="auto"/>
            </w:tcBorders>
            <w:shd w:val="clear" w:color="auto" w:fill="auto"/>
            <w:vAlign w:val="center"/>
          </w:tcPr>
          <w:p w:rsidR="003A7956" w:rsidRPr="00637931" w:rsidRDefault="003A7956" w:rsidP="00637931">
            <w:pPr>
              <w:jc w:val="center"/>
              <w:rPr>
                <w:rFonts w:eastAsia="Calibri"/>
                <w:sz w:val="20"/>
                <w:szCs w:val="20"/>
                <w:lang w:eastAsia="en-US"/>
              </w:rPr>
            </w:pPr>
            <w:r w:rsidRPr="00637931">
              <w:rPr>
                <w:rFonts w:eastAsia="Calibri"/>
                <w:sz w:val="20"/>
                <w:szCs w:val="20"/>
                <w:lang w:eastAsia="en-US"/>
              </w:rPr>
              <w:t>obyv.</w:t>
            </w:r>
          </w:p>
        </w:tc>
        <w:tc>
          <w:tcPr>
            <w:tcW w:w="1386" w:type="dxa"/>
            <w:tcBorders>
              <w:top w:val="single" w:sz="4" w:space="0" w:color="auto"/>
              <w:bottom w:val="single" w:sz="4" w:space="0" w:color="auto"/>
            </w:tcBorders>
            <w:shd w:val="clear" w:color="auto" w:fill="auto"/>
            <w:vAlign w:val="center"/>
          </w:tcPr>
          <w:p w:rsidR="003A7956" w:rsidRPr="00637931" w:rsidRDefault="003A7956" w:rsidP="00637931">
            <w:pPr>
              <w:jc w:val="center"/>
              <w:rPr>
                <w:rFonts w:eastAsia="Calibri"/>
                <w:sz w:val="20"/>
                <w:szCs w:val="20"/>
                <w:lang w:eastAsia="en-US"/>
              </w:rPr>
            </w:pPr>
            <w:r w:rsidRPr="00637931">
              <w:rPr>
                <w:rFonts w:eastAsia="Calibri"/>
                <w:sz w:val="20"/>
                <w:szCs w:val="20"/>
                <w:lang w:eastAsia="en-US"/>
              </w:rPr>
              <w:t>100 %</w:t>
            </w:r>
          </w:p>
        </w:tc>
        <w:tc>
          <w:tcPr>
            <w:tcW w:w="1842" w:type="dxa"/>
            <w:tcBorders>
              <w:top w:val="single" w:sz="4" w:space="0" w:color="auto"/>
              <w:bottom w:val="single" w:sz="4" w:space="0" w:color="auto"/>
            </w:tcBorders>
            <w:shd w:val="clear" w:color="auto" w:fill="auto"/>
            <w:vAlign w:val="center"/>
          </w:tcPr>
          <w:p w:rsidR="003A7956" w:rsidRPr="00637931" w:rsidRDefault="003A7956" w:rsidP="00637931">
            <w:pPr>
              <w:jc w:val="right"/>
              <w:rPr>
                <w:rFonts w:eastAsia="Calibri"/>
                <w:sz w:val="20"/>
                <w:szCs w:val="20"/>
                <w:lang w:eastAsia="en-US"/>
              </w:rPr>
            </w:pPr>
            <w:r w:rsidRPr="00637931">
              <w:rPr>
                <w:rFonts w:eastAsia="Calibri"/>
                <w:sz w:val="20"/>
                <w:szCs w:val="20"/>
                <w:lang w:eastAsia="en-US"/>
              </w:rPr>
              <w:t xml:space="preserve"> 1 000 000</w:t>
            </w:r>
          </w:p>
        </w:tc>
        <w:tc>
          <w:tcPr>
            <w:tcW w:w="1636" w:type="dxa"/>
            <w:vMerge/>
            <w:shd w:val="clear" w:color="auto" w:fill="auto"/>
            <w:vAlign w:val="center"/>
          </w:tcPr>
          <w:p w:rsidR="003A7956" w:rsidRPr="00637931" w:rsidRDefault="003A7956" w:rsidP="00637931">
            <w:pPr>
              <w:spacing w:after="200"/>
              <w:jc w:val="center"/>
              <w:rPr>
                <w:rFonts w:eastAsia="Calibri"/>
                <w:sz w:val="20"/>
                <w:szCs w:val="20"/>
                <w:lang w:eastAsia="en-US"/>
              </w:rPr>
            </w:pPr>
          </w:p>
        </w:tc>
      </w:tr>
      <w:tr w:rsidR="003A7956" w:rsidRPr="00D578E2" w:rsidTr="00637931">
        <w:trPr>
          <w:trHeight w:val="977"/>
        </w:trPr>
        <w:tc>
          <w:tcPr>
            <w:tcW w:w="0" w:type="auto"/>
            <w:tcBorders>
              <w:bottom w:val="double" w:sz="4" w:space="0" w:color="auto"/>
            </w:tcBorders>
            <w:shd w:val="clear" w:color="auto" w:fill="auto"/>
            <w:vAlign w:val="center"/>
          </w:tcPr>
          <w:p w:rsidR="003A7956" w:rsidRPr="00637931" w:rsidRDefault="003A7956" w:rsidP="00637931">
            <w:pPr>
              <w:spacing w:after="200"/>
              <w:jc w:val="center"/>
              <w:rPr>
                <w:rFonts w:eastAsia="Calibri"/>
                <w:sz w:val="20"/>
                <w:szCs w:val="20"/>
                <w:lang w:eastAsia="en-US"/>
              </w:rPr>
            </w:pPr>
          </w:p>
        </w:tc>
        <w:tc>
          <w:tcPr>
            <w:tcW w:w="7483" w:type="dxa"/>
            <w:tcBorders>
              <w:top w:val="single" w:sz="4" w:space="0" w:color="auto"/>
              <w:bottom w:val="double" w:sz="4" w:space="0" w:color="auto"/>
            </w:tcBorders>
            <w:shd w:val="clear" w:color="auto" w:fill="auto"/>
            <w:vAlign w:val="center"/>
          </w:tcPr>
          <w:p w:rsidR="003A7956" w:rsidRPr="00637931" w:rsidRDefault="003A7956" w:rsidP="00637931">
            <w:pPr>
              <w:rPr>
                <w:rFonts w:eastAsia="Calibri"/>
                <w:sz w:val="20"/>
                <w:szCs w:val="20"/>
                <w:lang w:eastAsia="en-US"/>
              </w:rPr>
            </w:pPr>
            <w:r w:rsidRPr="00637931">
              <w:rPr>
                <w:rFonts w:eastAsia="Calibri"/>
                <w:sz w:val="20"/>
                <w:szCs w:val="20"/>
                <w:lang w:eastAsia="en-US"/>
              </w:rPr>
              <w:t>Výkonnostná rezerva EPFRV</w:t>
            </w:r>
          </w:p>
        </w:tc>
        <w:tc>
          <w:tcPr>
            <w:tcW w:w="970" w:type="dxa"/>
            <w:tcBorders>
              <w:top w:val="single" w:sz="4" w:space="0" w:color="auto"/>
              <w:bottom w:val="double" w:sz="4" w:space="0" w:color="auto"/>
            </w:tcBorders>
            <w:shd w:val="clear" w:color="auto" w:fill="auto"/>
            <w:vAlign w:val="center"/>
          </w:tcPr>
          <w:p w:rsidR="003A7956" w:rsidRPr="00637931" w:rsidRDefault="003A7956" w:rsidP="00637931">
            <w:pPr>
              <w:jc w:val="center"/>
              <w:rPr>
                <w:rFonts w:eastAsia="Calibri"/>
                <w:sz w:val="20"/>
                <w:szCs w:val="20"/>
                <w:lang w:eastAsia="en-US"/>
              </w:rPr>
            </w:pPr>
          </w:p>
        </w:tc>
        <w:tc>
          <w:tcPr>
            <w:tcW w:w="1386" w:type="dxa"/>
            <w:tcBorders>
              <w:top w:val="single" w:sz="4" w:space="0" w:color="auto"/>
              <w:bottom w:val="double" w:sz="4" w:space="0" w:color="auto"/>
            </w:tcBorders>
            <w:shd w:val="clear" w:color="auto" w:fill="auto"/>
            <w:vAlign w:val="center"/>
          </w:tcPr>
          <w:p w:rsidR="003A7956" w:rsidRPr="00637931" w:rsidRDefault="003A7956" w:rsidP="00637931">
            <w:pPr>
              <w:jc w:val="center"/>
              <w:rPr>
                <w:rFonts w:eastAsia="Calibri"/>
                <w:sz w:val="20"/>
                <w:szCs w:val="20"/>
                <w:lang w:eastAsia="en-US"/>
              </w:rPr>
            </w:pPr>
          </w:p>
        </w:tc>
        <w:tc>
          <w:tcPr>
            <w:tcW w:w="1842" w:type="dxa"/>
            <w:tcBorders>
              <w:top w:val="single" w:sz="4" w:space="0" w:color="auto"/>
              <w:bottom w:val="double" w:sz="4" w:space="0" w:color="auto"/>
            </w:tcBorders>
            <w:shd w:val="clear" w:color="auto" w:fill="auto"/>
            <w:vAlign w:val="center"/>
          </w:tcPr>
          <w:p w:rsidR="003A7956" w:rsidRPr="00637931" w:rsidRDefault="003A7956" w:rsidP="003A7956">
            <w:pPr>
              <w:jc w:val="right"/>
              <w:rPr>
                <w:rFonts w:eastAsia="Calibri"/>
                <w:sz w:val="20"/>
                <w:szCs w:val="20"/>
                <w:lang w:eastAsia="en-US"/>
              </w:rPr>
            </w:pPr>
          </w:p>
        </w:tc>
        <w:tc>
          <w:tcPr>
            <w:tcW w:w="1636" w:type="dxa"/>
            <w:tcBorders>
              <w:bottom w:val="double" w:sz="4" w:space="0" w:color="auto"/>
            </w:tcBorders>
            <w:shd w:val="clear" w:color="auto" w:fill="auto"/>
            <w:vAlign w:val="center"/>
          </w:tcPr>
          <w:p w:rsidR="003A7956" w:rsidRPr="00637931" w:rsidRDefault="003A7956" w:rsidP="003A7956">
            <w:pPr>
              <w:jc w:val="center"/>
              <w:rPr>
                <w:rFonts w:eastAsia="Calibri"/>
                <w:sz w:val="20"/>
                <w:szCs w:val="20"/>
                <w:lang w:eastAsia="en-US"/>
              </w:rPr>
            </w:pPr>
            <w:r w:rsidRPr="00637931">
              <w:rPr>
                <w:rFonts w:eastAsia="Calibri"/>
                <w:sz w:val="20"/>
                <w:szCs w:val="20"/>
                <w:lang w:eastAsia="en-US"/>
              </w:rPr>
              <w:t>92 716 370,64€</w:t>
            </w:r>
          </w:p>
        </w:tc>
      </w:tr>
    </w:tbl>
    <w:p w:rsidR="008676F9" w:rsidRPr="00637931" w:rsidRDefault="008676F9" w:rsidP="008676F9">
      <w:pPr>
        <w:rPr>
          <w:rFonts w:ascii="Calibri" w:eastAsia="Calibri" w:hAnsi="Calibri"/>
          <w:sz w:val="20"/>
          <w:szCs w:val="20"/>
          <w:lang w:eastAsia="en-US"/>
        </w:rPr>
      </w:pPr>
      <w:r w:rsidRPr="00637931">
        <w:rPr>
          <w:rFonts w:ascii="Calibri" w:eastAsia="Calibri" w:hAnsi="Calibri"/>
          <w:sz w:val="20"/>
          <w:szCs w:val="20"/>
          <w:lang w:eastAsia="en-US"/>
        </w:rPr>
        <w:t>Pozn:</w:t>
      </w:r>
    </w:p>
    <w:p w:rsidR="008676F9" w:rsidRPr="00637931" w:rsidRDefault="008676F9" w:rsidP="00317BFF">
      <w:pPr>
        <w:numPr>
          <w:ilvl w:val="0"/>
          <w:numId w:val="23"/>
        </w:numPr>
        <w:spacing w:after="200"/>
        <w:contextualSpacing/>
        <w:rPr>
          <w:rFonts w:ascii="Calibri" w:eastAsia="Calibri" w:hAnsi="Calibri"/>
          <w:sz w:val="20"/>
          <w:szCs w:val="20"/>
          <w:lang w:eastAsia="en-US"/>
        </w:rPr>
      </w:pPr>
      <w:r w:rsidRPr="00637931">
        <w:rPr>
          <w:rFonts w:ascii="Calibri" w:eastAsia="Calibri" w:hAnsi="Calibri"/>
          <w:sz w:val="20"/>
          <w:szCs w:val="20"/>
          <w:lang w:eastAsia="en-US"/>
        </w:rPr>
        <w:t>Ukazovateľ pre fokusovú oblasť 3B: vzťahuje sa na reálne participujúce podniky, nezarátavajú sa podniky, ktoré sú nefinančnými beneficientmi podpory v opatrení č. 5.</w:t>
      </w:r>
    </w:p>
    <w:p w:rsidR="008676F9" w:rsidRPr="00637931" w:rsidRDefault="008676F9" w:rsidP="00317BFF">
      <w:pPr>
        <w:numPr>
          <w:ilvl w:val="0"/>
          <w:numId w:val="23"/>
        </w:numPr>
        <w:spacing w:after="200"/>
        <w:contextualSpacing/>
        <w:rPr>
          <w:rFonts w:ascii="Calibri" w:eastAsia="Calibri" w:hAnsi="Calibri"/>
          <w:sz w:val="20"/>
          <w:szCs w:val="20"/>
          <w:lang w:eastAsia="en-US"/>
        </w:rPr>
      </w:pPr>
      <w:r w:rsidRPr="00637931">
        <w:rPr>
          <w:rFonts w:ascii="Calibri" w:eastAsia="Calibri" w:hAnsi="Calibri"/>
          <w:sz w:val="20"/>
          <w:szCs w:val="20"/>
          <w:lang w:eastAsia="en-US"/>
        </w:rPr>
        <w:t>Ukazovateľ počet obyvateľov v rámci MAS: ukazovateľ sa zmaterializuje v okamihu schválenia/vybratia stratégií MAS na implementáciu, nie až po ukončení implementácie stratégií, čo je predpokladané na rok 2022.</w:t>
      </w:r>
    </w:p>
    <w:p w:rsidR="008676F9" w:rsidRPr="00637931" w:rsidRDefault="008676F9" w:rsidP="00317BFF">
      <w:pPr>
        <w:numPr>
          <w:ilvl w:val="0"/>
          <w:numId w:val="23"/>
        </w:numPr>
        <w:spacing w:after="200"/>
        <w:contextualSpacing/>
        <w:rPr>
          <w:rFonts w:ascii="Calibri" w:eastAsia="Calibri" w:hAnsi="Calibri"/>
          <w:sz w:val="20"/>
          <w:szCs w:val="20"/>
          <w:lang w:eastAsia="en-US"/>
        </w:rPr>
      </w:pPr>
      <w:r w:rsidRPr="00637931">
        <w:rPr>
          <w:rFonts w:ascii="Calibri" w:eastAsia="Calibri" w:hAnsi="Calibri"/>
          <w:sz w:val="20"/>
          <w:szCs w:val="20"/>
          <w:lang w:eastAsia="en-US"/>
        </w:rPr>
        <w:t>Hektárový ukazovateľ pre prioritu P4 zahŕňa fyzické hektáre za opatrenia č. 10,11,12 z plánu ukazovateľov.</w:t>
      </w:r>
    </w:p>
    <w:p w:rsidR="008676F9" w:rsidRPr="00637931" w:rsidRDefault="008676F9" w:rsidP="008676F9">
      <w:pPr>
        <w:spacing w:after="200" w:line="276" w:lineRule="auto"/>
        <w:contextualSpacing/>
        <w:rPr>
          <w:rFonts w:ascii="Calibri" w:eastAsia="Calibri" w:hAnsi="Calibri"/>
          <w:sz w:val="20"/>
          <w:szCs w:val="20"/>
          <w:lang w:eastAsia="en-US"/>
        </w:rPr>
        <w:sectPr w:rsidR="008676F9" w:rsidRPr="00637931" w:rsidSect="00EB6F57">
          <w:pgSz w:w="16838" w:h="11906" w:orient="landscape" w:code="9"/>
          <w:pgMar w:top="1701" w:right="1418" w:bottom="1134" w:left="1418" w:header="1021" w:footer="1021" w:gutter="0"/>
          <w:cols w:space="708"/>
          <w:docGrid w:linePitch="360"/>
        </w:sectPr>
      </w:pPr>
    </w:p>
    <w:p w:rsidR="008676F9" w:rsidRPr="008676F9" w:rsidRDefault="008676F9" w:rsidP="00366F96">
      <w:pPr>
        <w:pStyle w:val="Hlavn"/>
      </w:pPr>
      <w:bookmarkStart w:id="73" w:name="_Toc387041315"/>
      <w:r w:rsidRPr="008676F9">
        <w:t>8.</w:t>
      </w:r>
      <w:r w:rsidRPr="008676F9">
        <w:tab/>
        <w:t>OPIS OPATRENÍ</w:t>
      </w:r>
      <w:bookmarkEnd w:id="73"/>
    </w:p>
    <w:p w:rsidR="008676F9" w:rsidRPr="008676F9" w:rsidRDefault="008676F9" w:rsidP="008676F9">
      <w:pPr>
        <w:rPr>
          <w:rFonts w:ascii="Calibri" w:eastAsia="Calibri" w:hAnsi="Calibri" w:cs="Calibri"/>
          <w:b/>
          <w:szCs w:val="22"/>
          <w:lang w:eastAsia="en-US"/>
        </w:rPr>
      </w:pPr>
    </w:p>
    <w:p w:rsidR="008676F9" w:rsidRPr="008676F9" w:rsidRDefault="008676F9" w:rsidP="00AA30CA">
      <w:pPr>
        <w:pStyle w:val="Pod"/>
        <w:rPr>
          <w:rFonts w:eastAsia="Calibri"/>
          <w:lang w:eastAsia="en-US"/>
        </w:rPr>
      </w:pPr>
      <w:bookmarkStart w:id="74" w:name="_Toc387041316"/>
      <w:r w:rsidRPr="008676F9">
        <w:rPr>
          <w:rFonts w:eastAsia="Calibri"/>
          <w:lang w:eastAsia="en-US"/>
        </w:rPr>
        <w:t>8.1. Opis všeobecných podmienok týkajúcich sa viac ako jedného opatrenia:</w:t>
      </w:r>
      <w:bookmarkEnd w:id="74"/>
    </w:p>
    <w:p w:rsidR="008676F9" w:rsidRPr="008676F9" w:rsidRDefault="008676F9" w:rsidP="00AA30CA">
      <w:pPr>
        <w:pStyle w:val="Podpod"/>
      </w:pPr>
      <w:bookmarkStart w:id="75" w:name="_Toc387041317"/>
      <w:r w:rsidRPr="008676F9">
        <w:t>8.1.1.Definícia vidieckych oblastí na úrovni programu</w:t>
      </w:r>
      <w:bookmarkEnd w:id="75"/>
      <w:r w:rsidRPr="008676F9">
        <w:t xml:space="preserve"> </w:t>
      </w:r>
    </w:p>
    <w:p w:rsidR="008676F9" w:rsidRPr="008676F9" w:rsidRDefault="008676F9" w:rsidP="008676F9">
      <w:pPr>
        <w:numPr>
          <w:ilvl w:val="1"/>
          <w:numId w:val="0"/>
        </w:numPr>
        <w:shd w:val="clear" w:color="auto" w:fill="FBD4B4"/>
        <w:rPr>
          <w:rFonts w:ascii="Calibri" w:hAnsi="Calibri"/>
          <w:i/>
          <w:iCs/>
          <w:spacing w:val="15"/>
          <w:sz w:val="20"/>
          <w:szCs w:val="20"/>
          <w:lang w:eastAsia="en-US"/>
        </w:rPr>
      </w:pPr>
      <w:r w:rsidRPr="008676F9">
        <w:rPr>
          <w:rFonts w:ascii="Calibri" w:hAnsi="Calibri"/>
          <w:i/>
          <w:iCs/>
          <w:spacing w:val="15"/>
          <w:sz w:val="20"/>
          <w:szCs w:val="20"/>
          <w:lang w:eastAsia="en-US"/>
        </w:rPr>
        <w:t>(čl. 50 nariadenia EÚ č. 1305/2013 o podpore rozvoja vidieka z EPFRV)</w:t>
      </w:r>
    </w:p>
    <w:p w:rsidR="008676F9" w:rsidRPr="008676F9" w:rsidRDefault="008676F9" w:rsidP="008676F9">
      <w:pPr>
        <w:rPr>
          <w:rFonts w:ascii="Calibri" w:eastAsia="Calibri" w:hAnsi="Calibri"/>
          <w:b/>
          <w:szCs w:val="22"/>
          <w:lang w:eastAsia="en-US"/>
        </w:rPr>
      </w:pPr>
    </w:p>
    <w:p w:rsidR="008676F9" w:rsidRPr="008676F9" w:rsidRDefault="008676F9" w:rsidP="008676F9">
      <w:pPr>
        <w:rPr>
          <w:rFonts w:ascii="Calibri" w:eastAsia="Calibri" w:hAnsi="Calibri"/>
          <w:b/>
          <w:szCs w:val="22"/>
          <w:lang w:eastAsia="en-US"/>
        </w:rPr>
      </w:pPr>
      <w:r w:rsidRPr="008676F9">
        <w:rPr>
          <w:rFonts w:ascii="Calibri" w:eastAsia="Calibri" w:hAnsi="Calibri"/>
          <w:b/>
          <w:szCs w:val="22"/>
          <w:lang w:eastAsia="en-US"/>
        </w:rPr>
        <w:t>Vidieckosť SR</w:t>
      </w:r>
    </w:p>
    <w:p w:rsidR="008676F9" w:rsidRPr="008676F9" w:rsidRDefault="008676F9" w:rsidP="008676F9">
      <w:pPr>
        <w:rPr>
          <w:rFonts w:ascii="Calibri" w:eastAsia="Calibri" w:hAnsi="Calibri"/>
          <w:szCs w:val="22"/>
          <w:lang w:eastAsia="en-US"/>
        </w:rPr>
      </w:pPr>
      <w:r w:rsidRPr="008676F9">
        <w:rPr>
          <w:rFonts w:ascii="Calibri" w:eastAsia="Calibri" w:hAnsi="Calibri"/>
          <w:szCs w:val="22"/>
          <w:lang w:eastAsia="en-US"/>
        </w:rPr>
        <w:t>Vo výročnej správe EUROSTAT-u je porovnanie územia SR na úrovni NUTS III rozdeleného na jednotlivé typy regiónov podľa metodiky OECD a podľa novej typológie vidieckych oblastí vypracovanej EK. Z týchto údajov je zrejmé, že územie SR je podľa novej typológie EK ešte vidieckejšie. Podľa metodiky OECD zaberajú prevažne vidiecke regióny 32,2 % územia SR a žije v nich 25,5 % obyvateľstva. Podľa novej typológie je to až 59 % územia s viac ako 50 % obyvateľmi.</w:t>
      </w:r>
    </w:p>
    <w:p w:rsidR="008676F9" w:rsidRPr="008676F9" w:rsidRDefault="008676F9" w:rsidP="008676F9">
      <w:pPr>
        <w:rPr>
          <w:rFonts w:ascii="Calibri" w:eastAsia="Calibri" w:hAnsi="Calibri"/>
          <w:b/>
          <w:szCs w:val="22"/>
          <w:lang w:eastAsia="en-US"/>
        </w:rPr>
      </w:pPr>
    </w:p>
    <w:p w:rsidR="008676F9" w:rsidRPr="008676F9" w:rsidRDefault="008676F9" w:rsidP="008676F9">
      <w:pPr>
        <w:rPr>
          <w:rFonts w:ascii="Calibri" w:eastAsia="Calibri" w:hAnsi="Calibri"/>
          <w:szCs w:val="22"/>
          <w:lang w:eastAsia="en-US"/>
        </w:rPr>
      </w:pPr>
      <w:r w:rsidRPr="008676F9">
        <w:rPr>
          <w:rFonts w:ascii="Calibri" w:eastAsia="Calibri" w:hAnsi="Calibri"/>
          <w:b/>
          <w:szCs w:val="22"/>
          <w:lang w:eastAsia="en-US"/>
        </w:rPr>
        <w:t>Tabuľka :</w:t>
      </w:r>
      <w:r w:rsidRPr="008676F9">
        <w:rPr>
          <w:rFonts w:ascii="Calibri" w:eastAsia="Calibri" w:hAnsi="Calibri"/>
          <w:szCs w:val="22"/>
          <w:lang w:eastAsia="en-US"/>
        </w:rPr>
        <w:t xml:space="preserve"> vidieckosť územia SR na úrovni NUTS III na základe metodiky OECD a novej metodiky</w:t>
      </w:r>
    </w:p>
    <w:tbl>
      <w:tblPr>
        <w:tblW w:w="9087" w:type="dxa"/>
        <w:tblInd w:w="55" w:type="dxa"/>
        <w:tblCellMar>
          <w:left w:w="70" w:type="dxa"/>
          <w:right w:w="70" w:type="dxa"/>
        </w:tblCellMar>
        <w:tblLook w:val="04A0" w:firstRow="1" w:lastRow="0" w:firstColumn="1" w:lastColumn="0" w:noHBand="0" w:noVBand="1"/>
      </w:tblPr>
      <w:tblGrid>
        <w:gridCol w:w="1820"/>
        <w:gridCol w:w="1739"/>
        <w:gridCol w:w="1985"/>
        <w:gridCol w:w="1701"/>
        <w:gridCol w:w="1842"/>
      </w:tblGrid>
      <w:tr w:rsidR="008676F9" w:rsidRPr="008676F9" w:rsidTr="00BB33FC">
        <w:trPr>
          <w:trHeight w:val="300"/>
        </w:trPr>
        <w:tc>
          <w:tcPr>
            <w:tcW w:w="1820" w:type="dxa"/>
            <w:tcBorders>
              <w:top w:val="single" w:sz="4" w:space="0" w:color="auto"/>
              <w:left w:val="single" w:sz="4" w:space="0" w:color="auto"/>
              <w:bottom w:val="single" w:sz="4" w:space="0" w:color="auto"/>
              <w:right w:val="single" w:sz="4" w:space="0" w:color="auto"/>
            </w:tcBorders>
            <w:shd w:val="clear" w:color="auto" w:fill="FABF8F"/>
            <w:noWrap/>
            <w:vAlign w:val="center"/>
            <w:hideMark/>
          </w:tcPr>
          <w:p w:rsidR="008676F9" w:rsidRPr="008676F9" w:rsidRDefault="008676F9" w:rsidP="008676F9">
            <w:pPr>
              <w:jc w:val="center"/>
              <w:rPr>
                <w:rFonts w:ascii="Calibri" w:eastAsia="Calibri" w:hAnsi="Calibri"/>
                <w:b/>
                <w:bCs/>
                <w:color w:val="000000"/>
                <w:sz w:val="20"/>
                <w:szCs w:val="20"/>
                <w:lang w:eastAsia="en-US"/>
              </w:rPr>
            </w:pPr>
            <w:r w:rsidRPr="008676F9">
              <w:rPr>
                <w:rFonts w:ascii="Calibri" w:eastAsia="Calibri" w:hAnsi="Calibri"/>
                <w:b/>
                <w:bCs/>
                <w:color w:val="000000"/>
                <w:sz w:val="20"/>
                <w:szCs w:val="20"/>
                <w:lang w:eastAsia="en-US"/>
              </w:rPr>
              <w:t>NUTS III</w:t>
            </w:r>
          </w:p>
        </w:tc>
        <w:tc>
          <w:tcPr>
            <w:tcW w:w="3724" w:type="dxa"/>
            <w:gridSpan w:val="2"/>
            <w:tcBorders>
              <w:top w:val="single" w:sz="4" w:space="0" w:color="auto"/>
              <w:left w:val="nil"/>
              <w:bottom w:val="single" w:sz="4" w:space="0" w:color="auto"/>
              <w:right w:val="single" w:sz="4" w:space="0" w:color="auto"/>
            </w:tcBorders>
            <w:shd w:val="clear" w:color="auto" w:fill="FABF8F"/>
            <w:noWrap/>
            <w:vAlign w:val="center"/>
            <w:hideMark/>
          </w:tcPr>
          <w:p w:rsidR="008676F9" w:rsidRPr="008676F9" w:rsidRDefault="008676F9" w:rsidP="008676F9">
            <w:pPr>
              <w:jc w:val="center"/>
              <w:rPr>
                <w:rFonts w:ascii="Calibri" w:eastAsia="Calibri" w:hAnsi="Calibri"/>
                <w:b/>
                <w:bCs/>
                <w:color w:val="000000"/>
                <w:sz w:val="20"/>
                <w:szCs w:val="20"/>
                <w:lang w:eastAsia="en-US"/>
              </w:rPr>
            </w:pPr>
            <w:r w:rsidRPr="008676F9">
              <w:rPr>
                <w:rFonts w:ascii="Calibri" w:eastAsia="Calibri" w:hAnsi="Calibri"/>
                <w:b/>
                <w:bCs/>
                <w:color w:val="000000"/>
                <w:sz w:val="20"/>
                <w:szCs w:val="20"/>
                <w:lang w:eastAsia="en-US"/>
              </w:rPr>
              <w:t>metodika OECD</w:t>
            </w:r>
          </w:p>
        </w:tc>
        <w:tc>
          <w:tcPr>
            <w:tcW w:w="3543" w:type="dxa"/>
            <w:gridSpan w:val="2"/>
            <w:tcBorders>
              <w:top w:val="single" w:sz="4" w:space="0" w:color="auto"/>
              <w:left w:val="nil"/>
              <w:bottom w:val="single" w:sz="4" w:space="0" w:color="auto"/>
              <w:right w:val="single" w:sz="4" w:space="0" w:color="auto"/>
            </w:tcBorders>
            <w:shd w:val="clear" w:color="auto" w:fill="FABF8F"/>
            <w:noWrap/>
            <w:vAlign w:val="center"/>
            <w:hideMark/>
          </w:tcPr>
          <w:p w:rsidR="008676F9" w:rsidRPr="008676F9" w:rsidRDefault="008676F9" w:rsidP="008676F9">
            <w:pPr>
              <w:jc w:val="center"/>
              <w:rPr>
                <w:rFonts w:ascii="Calibri" w:eastAsia="Calibri" w:hAnsi="Calibri"/>
                <w:b/>
                <w:bCs/>
                <w:color w:val="000000"/>
                <w:sz w:val="20"/>
                <w:szCs w:val="20"/>
                <w:lang w:eastAsia="en-US"/>
              </w:rPr>
            </w:pPr>
            <w:r w:rsidRPr="008676F9">
              <w:rPr>
                <w:rFonts w:ascii="Calibri" w:eastAsia="Calibri" w:hAnsi="Calibri"/>
                <w:b/>
                <w:bCs/>
                <w:color w:val="000000"/>
                <w:sz w:val="20"/>
                <w:szCs w:val="20"/>
                <w:lang w:eastAsia="en-US"/>
              </w:rPr>
              <w:t>nová metodika EK</w:t>
            </w:r>
          </w:p>
        </w:tc>
      </w:tr>
      <w:tr w:rsidR="008676F9" w:rsidRPr="008676F9" w:rsidTr="00BB33FC">
        <w:trPr>
          <w:trHeight w:val="300"/>
        </w:trPr>
        <w:tc>
          <w:tcPr>
            <w:tcW w:w="1820" w:type="dxa"/>
            <w:tcBorders>
              <w:top w:val="nil"/>
              <w:left w:val="single" w:sz="4" w:space="0" w:color="auto"/>
              <w:bottom w:val="single" w:sz="4" w:space="0" w:color="auto"/>
              <w:right w:val="single" w:sz="4" w:space="0" w:color="auto"/>
            </w:tcBorders>
            <w:shd w:val="clear" w:color="auto" w:fill="FABF8F"/>
            <w:noWrap/>
            <w:vAlign w:val="bottom"/>
            <w:hideMark/>
          </w:tcPr>
          <w:p w:rsidR="008676F9" w:rsidRPr="008676F9" w:rsidRDefault="008676F9" w:rsidP="008676F9">
            <w:pPr>
              <w:rPr>
                <w:rFonts w:ascii="Calibri" w:eastAsia="Calibri" w:hAnsi="Calibri"/>
                <w:b/>
                <w:bCs/>
                <w:color w:val="000000"/>
                <w:sz w:val="20"/>
                <w:szCs w:val="20"/>
                <w:lang w:eastAsia="en-US"/>
              </w:rPr>
            </w:pPr>
            <w:r w:rsidRPr="008676F9">
              <w:rPr>
                <w:rFonts w:ascii="Calibri" w:eastAsia="Calibri" w:hAnsi="Calibri"/>
                <w:b/>
                <w:bCs/>
                <w:color w:val="000000"/>
                <w:sz w:val="20"/>
                <w:szCs w:val="20"/>
                <w:lang w:eastAsia="en-US"/>
              </w:rPr>
              <w:t> </w:t>
            </w:r>
          </w:p>
        </w:tc>
        <w:tc>
          <w:tcPr>
            <w:tcW w:w="1739" w:type="dxa"/>
            <w:tcBorders>
              <w:top w:val="nil"/>
              <w:left w:val="nil"/>
              <w:bottom w:val="single" w:sz="4" w:space="0" w:color="auto"/>
              <w:right w:val="single" w:sz="4" w:space="0" w:color="auto"/>
            </w:tcBorders>
            <w:shd w:val="clear" w:color="auto" w:fill="FABF8F"/>
            <w:noWrap/>
            <w:vAlign w:val="center"/>
            <w:hideMark/>
          </w:tcPr>
          <w:p w:rsidR="008676F9" w:rsidRPr="008676F9" w:rsidRDefault="008676F9" w:rsidP="008676F9">
            <w:pPr>
              <w:jc w:val="center"/>
              <w:rPr>
                <w:rFonts w:ascii="Calibri" w:eastAsia="Calibri" w:hAnsi="Calibri"/>
                <w:b/>
                <w:bCs/>
                <w:color w:val="000000"/>
                <w:sz w:val="20"/>
                <w:szCs w:val="20"/>
                <w:lang w:eastAsia="en-US"/>
              </w:rPr>
            </w:pPr>
            <w:r w:rsidRPr="008676F9">
              <w:rPr>
                <w:rFonts w:ascii="Calibri" w:eastAsia="Calibri" w:hAnsi="Calibri"/>
                <w:b/>
                <w:bCs/>
                <w:color w:val="000000"/>
                <w:sz w:val="20"/>
                <w:szCs w:val="20"/>
                <w:lang w:eastAsia="en-US"/>
              </w:rPr>
              <w:t>% obyvateľstva</w:t>
            </w:r>
          </w:p>
        </w:tc>
        <w:tc>
          <w:tcPr>
            <w:tcW w:w="1985" w:type="dxa"/>
            <w:tcBorders>
              <w:top w:val="nil"/>
              <w:left w:val="nil"/>
              <w:bottom w:val="single" w:sz="4" w:space="0" w:color="auto"/>
              <w:right w:val="single" w:sz="4" w:space="0" w:color="auto"/>
            </w:tcBorders>
            <w:shd w:val="clear" w:color="auto" w:fill="FABF8F"/>
            <w:noWrap/>
            <w:vAlign w:val="center"/>
            <w:hideMark/>
          </w:tcPr>
          <w:p w:rsidR="008676F9" w:rsidRPr="008676F9" w:rsidRDefault="008676F9" w:rsidP="008676F9">
            <w:pPr>
              <w:jc w:val="center"/>
              <w:rPr>
                <w:rFonts w:ascii="Calibri" w:eastAsia="Calibri" w:hAnsi="Calibri"/>
                <w:b/>
                <w:bCs/>
                <w:color w:val="000000"/>
                <w:sz w:val="20"/>
                <w:szCs w:val="20"/>
                <w:lang w:eastAsia="en-US"/>
              </w:rPr>
            </w:pPr>
            <w:r w:rsidRPr="008676F9">
              <w:rPr>
                <w:rFonts w:ascii="Calibri" w:eastAsia="Calibri" w:hAnsi="Calibri"/>
                <w:b/>
                <w:bCs/>
                <w:color w:val="000000"/>
                <w:sz w:val="20"/>
                <w:szCs w:val="20"/>
                <w:lang w:eastAsia="en-US"/>
              </w:rPr>
              <w:t>% územia</w:t>
            </w:r>
          </w:p>
        </w:tc>
        <w:tc>
          <w:tcPr>
            <w:tcW w:w="1701" w:type="dxa"/>
            <w:tcBorders>
              <w:top w:val="nil"/>
              <w:left w:val="nil"/>
              <w:bottom w:val="single" w:sz="4" w:space="0" w:color="auto"/>
              <w:right w:val="single" w:sz="4" w:space="0" w:color="auto"/>
            </w:tcBorders>
            <w:shd w:val="clear" w:color="auto" w:fill="FABF8F"/>
            <w:noWrap/>
            <w:vAlign w:val="center"/>
            <w:hideMark/>
          </w:tcPr>
          <w:p w:rsidR="008676F9" w:rsidRPr="008676F9" w:rsidRDefault="008676F9" w:rsidP="008676F9">
            <w:pPr>
              <w:jc w:val="center"/>
              <w:rPr>
                <w:rFonts w:ascii="Calibri" w:eastAsia="Calibri" w:hAnsi="Calibri"/>
                <w:b/>
                <w:bCs/>
                <w:color w:val="000000"/>
                <w:sz w:val="20"/>
                <w:szCs w:val="20"/>
                <w:lang w:eastAsia="en-US"/>
              </w:rPr>
            </w:pPr>
            <w:r w:rsidRPr="008676F9">
              <w:rPr>
                <w:rFonts w:ascii="Calibri" w:eastAsia="Calibri" w:hAnsi="Calibri"/>
                <w:b/>
                <w:bCs/>
                <w:color w:val="000000"/>
                <w:sz w:val="20"/>
                <w:szCs w:val="20"/>
                <w:lang w:eastAsia="en-US"/>
              </w:rPr>
              <w:t>% obyvateľstva</w:t>
            </w:r>
          </w:p>
        </w:tc>
        <w:tc>
          <w:tcPr>
            <w:tcW w:w="1842" w:type="dxa"/>
            <w:tcBorders>
              <w:top w:val="nil"/>
              <w:left w:val="nil"/>
              <w:bottom w:val="single" w:sz="4" w:space="0" w:color="auto"/>
              <w:right w:val="single" w:sz="4" w:space="0" w:color="auto"/>
            </w:tcBorders>
            <w:shd w:val="clear" w:color="auto" w:fill="FABF8F"/>
            <w:noWrap/>
            <w:vAlign w:val="center"/>
            <w:hideMark/>
          </w:tcPr>
          <w:p w:rsidR="008676F9" w:rsidRPr="008676F9" w:rsidRDefault="008676F9" w:rsidP="008676F9">
            <w:pPr>
              <w:jc w:val="center"/>
              <w:rPr>
                <w:rFonts w:ascii="Calibri" w:eastAsia="Calibri" w:hAnsi="Calibri"/>
                <w:b/>
                <w:bCs/>
                <w:color w:val="000000"/>
                <w:sz w:val="20"/>
                <w:szCs w:val="20"/>
                <w:lang w:eastAsia="en-US"/>
              </w:rPr>
            </w:pPr>
            <w:r w:rsidRPr="008676F9">
              <w:rPr>
                <w:rFonts w:ascii="Calibri" w:eastAsia="Calibri" w:hAnsi="Calibri"/>
                <w:b/>
                <w:bCs/>
                <w:color w:val="000000"/>
                <w:sz w:val="20"/>
                <w:szCs w:val="20"/>
                <w:lang w:eastAsia="en-US"/>
              </w:rPr>
              <w:t>% územia</w:t>
            </w:r>
          </w:p>
        </w:tc>
      </w:tr>
      <w:tr w:rsidR="008676F9" w:rsidRPr="008676F9" w:rsidTr="00BB33FC">
        <w:trPr>
          <w:trHeight w:val="300"/>
        </w:trPr>
        <w:tc>
          <w:tcPr>
            <w:tcW w:w="1820" w:type="dxa"/>
            <w:tcBorders>
              <w:top w:val="nil"/>
              <w:left w:val="single" w:sz="4" w:space="0" w:color="auto"/>
              <w:bottom w:val="single" w:sz="4" w:space="0" w:color="auto"/>
              <w:right w:val="single" w:sz="4" w:space="0" w:color="auto"/>
            </w:tcBorders>
            <w:shd w:val="clear" w:color="auto" w:fill="auto"/>
            <w:noWrap/>
            <w:vAlign w:val="bottom"/>
            <w:hideMark/>
          </w:tcPr>
          <w:p w:rsidR="008676F9" w:rsidRPr="008676F9" w:rsidRDefault="008676F9" w:rsidP="008676F9">
            <w:pPr>
              <w:spacing w:after="120"/>
              <w:rPr>
                <w:rFonts w:ascii="Calibri" w:eastAsia="Calibri" w:hAnsi="Calibri"/>
                <w:b/>
                <w:bCs/>
                <w:color w:val="000000"/>
                <w:sz w:val="20"/>
                <w:szCs w:val="20"/>
                <w:lang w:eastAsia="en-US"/>
              </w:rPr>
            </w:pPr>
            <w:r w:rsidRPr="008676F9">
              <w:rPr>
                <w:rFonts w:ascii="Calibri" w:eastAsia="Calibri" w:hAnsi="Calibri"/>
                <w:b/>
                <w:bCs/>
                <w:color w:val="000000"/>
                <w:sz w:val="20"/>
                <w:szCs w:val="20"/>
                <w:lang w:eastAsia="en-US"/>
              </w:rPr>
              <w:t>prevažne mestské</w:t>
            </w:r>
          </w:p>
        </w:tc>
        <w:tc>
          <w:tcPr>
            <w:tcW w:w="1739" w:type="dxa"/>
            <w:tcBorders>
              <w:top w:val="nil"/>
              <w:left w:val="nil"/>
              <w:bottom w:val="single" w:sz="4" w:space="0" w:color="auto"/>
              <w:right w:val="single" w:sz="4" w:space="0" w:color="auto"/>
            </w:tcBorders>
            <w:shd w:val="clear" w:color="auto" w:fill="auto"/>
            <w:noWrap/>
            <w:vAlign w:val="bottom"/>
            <w:hideMark/>
          </w:tcPr>
          <w:p w:rsidR="008676F9" w:rsidRPr="008676F9" w:rsidRDefault="008676F9" w:rsidP="008676F9">
            <w:pPr>
              <w:spacing w:after="120"/>
              <w:jc w:val="right"/>
              <w:rPr>
                <w:rFonts w:ascii="Calibri" w:eastAsia="Calibri" w:hAnsi="Calibri"/>
                <w:color w:val="000000"/>
                <w:sz w:val="20"/>
                <w:szCs w:val="20"/>
                <w:lang w:eastAsia="en-US"/>
              </w:rPr>
            </w:pPr>
            <w:r w:rsidRPr="008676F9">
              <w:rPr>
                <w:rFonts w:ascii="Calibri" w:eastAsia="Calibri" w:hAnsi="Calibri"/>
                <w:color w:val="000000"/>
                <w:sz w:val="20"/>
                <w:szCs w:val="20"/>
                <w:lang w:eastAsia="en-US"/>
              </w:rPr>
              <w:t>11,4</w:t>
            </w:r>
          </w:p>
        </w:tc>
        <w:tc>
          <w:tcPr>
            <w:tcW w:w="1985" w:type="dxa"/>
            <w:tcBorders>
              <w:top w:val="nil"/>
              <w:left w:val="nil"/>
              <w:bottom w:val="single" w:sz="4" w:space="0" w:color="auto"/>
              <w:right w:val="single" w:sz="4" w:space="0" w:color="auto"/>
            </w:tcBorders>
            <w:shd w:val="clear" w:color="auto" w:fill="auto"/>
            <w:noWrap/>
            <w:vAlign w:val="bottom"/>
            <w:hideMark/>
          </w:tcPr>
          <w:p w:rsidR="008676F9" w:rsidRPr="008676F9" w:rsidRDefault="008676F9" w:rsidP="008676F9">
            <w:pPr>
              <w:spacing w:after="120"/>
              <w:jc w:val="right"/>
              <w:rPr>
                <w:rFonts w:ascii="Calibri" w:eastAsia="Calibri" w:hAnsi="Calibri"/>
                <w:color w:val="000000"/>
                <w:sz w:val="20"/>
                <w:szCs w:val="20"/>
                <w:lang w:eastAsia="en-US"/>
              </w:rPr>
            </w:pPr>
            <w:r w:rsidRPr="008676F9">
              <w:rPr>
                <w:rFonts w:ascii="Calibri" w:eastAsia="Calibri" w:hAnsi="Calibri"/>
                <w:color w:val="000000"/>
                <w:sz w:val="20"/>
                <w:szCs w:val="20"/>
                <w:lang w:eastAsia="en-US"/>
              </w:rPr>
              <w:t>4,2</w:t>
            </w:r>
          </w:p>
        </w:tc>
        <w:tc>
          <w:tcPr>
            <w:tcW w:w="1701" w:type="dxa"/>
            <w:tcBorders>
              <w:top w:val="nil"/>
              <w:left w:val="nil"/>
              <w:bottom w:val="single" w:sz="4" w:space="0" w:color="auto"/>
              <w:right w:val="single" w:sz="4" w:space="0" w:color="auto"/>
            </w:tcBorders>
            <w:shd w:val="clear" w:color="auto" w:fill="auto"/>
            <w:noWrap/>
            <w:vAlign w:val="bottom"/>
            <w:hideMark/>
          </w:tcPr>
          <w:p w:rsidR="008676F9" w:rsidRPr="008676F9" w:rsidRDefault="008676F9" w:rsidP="008676F9">
            <w:pPr>
              <w:spacing w:after="120"/>
              <w:jc w:val="right"/>
              <w:rPr>
                <w:rFonts w:ascii="Calibri" w:eastAsia="Calibri" w:hAnsi="Calibri"/>
                <w:color w:val="000000"/>
                <w:sz w:val="20"/>
                <w:szCs w:val="20"/>
                <w:lang w:eastAsia="en-US"/>
              </w:rPr>
            </w:pPr>
            <w:r w:rsidRPr="008676F9">
              <w:rPr>
                <w:rFonts w:ascii="Calibri" w:eastAsia="Calibri" w:hAnsi="Calibri"/>
                <w:color w:val="000000"/>
                <w:sz w:val="20"/>
                <w:szCs w:val="20"/>
                <w:lang w:eastAsia="en-US"/>
              </w:rPr>
              <w:t>11,4</w:t>
            </w:r>
          </w:p>
        </w:tc>
        <w:tc>
          <w:tcPr>
            <w:tcW w:w="1842" w:type="dxa"/>
            <w:tcBorders>
              <w:top w:val="nil"/>
              <w:left w:val="nil"/>
              <w:bottom w:val="single" w:sz="4" w:space="0" w:color="auto"/>
              <w:right w:val="single" w:sz="4" w:space="0" w:color="auto"/>
            </w:tcBorders>
            <w:shd w:val="clear" w:color="auto" w:fill="auto"/>
            <w:noWrap/>
            <w:vAlign w:val="bottom"/>
            <w:hideMark/>
          </w:tcPr>
          <w:p w:rsidR="008676F9" w:rsidRPr="008676F9" w:rsidRDefault="008676F9" w:rsidP="008676F9">
            <w:pPr>
              <w:spacing w:after="120"/>
              <w:jc w:val="right"/>
              <w:rPr>
                <w:rFonts w:ascii="Calibri" w:eastAsia="Calibri" w:hAnsi="Calibri"/>
                <w:color w:val="000000"/>
                <w:sz w:val="20"/>
                <w:szCs w:val="20"/>
                <w:lang w:eastAsia="en-US"/>
              </w:rPr>
            </w:pPr>
            <w:r w:rsidRPr="008676F9">
              <w:rPr>
                <w:rFonts w:ascii="Calibri" w:eastAsia="Calibri" w:hAnsi="Calibri"/>
                <w:color w:val="000000"/>
                <w:sz w:val="20"/>
                <w:szCs w:val="20"/>
                <w:lang w:eastAsia="en-US"/>
              </w:rPr>
              <w:t>4,2</w:t>
            </w:r>
          </w:p>
        </w:tc>
      </w:tr>
      <w:tr w:rsidR="008676F9" w:rsidRPr="008676F9" w:rsidTr="00BB33FC">
        <w:trPr>
          <w:trHeight w:val="300"/>
        </w:trPr>
        <w:tc>
          <w:tcPr>
            <w:tcW w:w="1820" w:type="dxa"/>
            <w:tcBorders>
              <w:top w:val="nil"/>
              <w:left w:val="single" w:sz="4" w:space="0" w:color="auto"/>
              <w:bottom w:val="single" w:sz="4" w:space="0" w:color="auto"/>
              <w:right w:val="single" w:sz="4" w:space="0" w:color="auto"/>
            </w:tcBorders>
            <w:shd w:val="clear" w:color="auto" w:fill="auto"/>
            <w:noWrap/>
            <w:vAlign w:val="bottom"/>
            <w:hideMark/>
          </w:tcPr>
          <w:p w:rsidR="008676F9" w:rsidRPr="008676F9" w:rsidRDefault="008676F9" w:rsidP="008676F9">
            <w:pPr>
              <w:spacing w:after="120"/>
              <w:rPr>
                <w:rFonts w:ascii="Calibri" w:eastAsia="Calibri" w:hAnsi="Calibri"/>
                <w:b/>
                <w:bCs/>
                <w:color w:val="000000"/>
                <w:sz w:val="20"/>
                <w:szCs w:val="20"/>
                <w:lang w:eastAsia="en-US"/>
              </w:rPr>
            </w:pPr>
            <w:r w:rsidRPr="008676F9">
              <w:rPr>
                <w:rFonts w:ascii="Calibri" w:eastAsia="Calibri" w:hAnsi="Calibri"/>
                <w:b/>
                <w:bCs/>
                <w:color w:val="000000"/>
                <w:sz w:val="20"/>
                <w:szCs w:val="20"/>
                <w:lang w:eastAsia="en-US"/>
              </w:rPr>
              <w:t>prechodné</w:t>
            </w:r>
          </w:p>
        </w:tc>
        <w:tc>
          <w:tcPr>
            <w:tcW w:w="1739" w:type="dxa"/>
            <w:tcBorders>
              <w:top w:val="nil"/>
              <w:left w:val="nil"/>
              <w:bottom w:val="single" w:sz="4" w:space="0" w:color="auto"/>
              <w:right w:val="single" w:sz="4" w:space="0" w:color="auto"/>
            </w:tcBorders>
            <w:shd w:val="clear" w:color="auto" w:fill="auto"/>
            <w:noWrap/>
            <w:vAlign w:val="bottom"/>
            <w:hideMark/>
          </w:tcPr>
          <w:p w:rsidR="008676F9" w:rsidRPr="008676F9" w:rsidRDefault="008676F9" w:rsidP="008676F9">
            <w:pPr>
              <w:spacing w:after="120"/>
              <w:jc w:val="right"/>
              <w:rPr>
                <w:rFonts w:ascii="Calibri" w:eastAsia="Calibri" w:hAnsi="Calibri"/>
                <w:color w:val="000000"/>
                <w:sz w:val="20"/>
                <w:szCs w:val="20"/>
                <w:lang w:eastAsia="en-US"/>
              </w:rPr>
            </w:pPr>
            <w:r w:rsidRPr="008676F9">
              <w:rPr>
                <w:rFonts w:ascii="Calibri" w:eastAsia="Calibri" w:hAnsi="Calibri"/>
                <w:color w:val="000000"/>
                <w:sz w:val="20"/>
                <w:szCs w:val="20"/>
                <w:lang w:eastAsia="en-US"/>
              </w:rPr>
              <w:t>63,1</w:t>
            </w:r>
          </w:p>
        </w:tc>
        <w:tc>
          <w:tcPr>
            <w:tcW w:w="1985" w:type="dxa"/>
            <w:tcBorders>
              <w:top w:val="nil"/>
              <w:left w:val="nil"/>
              <w:bottom w:val="single" w:sz="4" w:space="0" w:color="auto"/>
              <w:right w:val="single" w:sz="4" w:space="0" w:color="auto"/>
            </w:tcBorders>
            <w:shd w:val="clear" w:color="auto" w:fill="auto"/>
            <w:noWrap/>
            <w:vAlign w:val="bottom"/>
            <w:hideMark/>
          </w:tcPr>
          <w:p w:rsidR="008676F9" w:rsidRPr="008676F9" w:rsidRDefault="008676F9" w:rsidP="008676F9">
            <w:pPr>
              <w:spacing w:after="120"/>
              <w:jc w:val="right"/>
              <w:rPr>
                <w:rFonts w:ascii="Calibri" w:eastAsia="Calibri" w:hAnsi="Calibri"/>
                <w:color w:val="000000"/>
                <w:sz w:val="20"/>
                <w:szCs w:val="20"/>
                <w:lang w:eastAsia="en-US"/>
              </w:rPr>
            </w:pPr>
            <w:r w:rsidRPr="008676F9">
              <w:rPr>
                <w:rFonts w:ascii="Calibri" w:eastAsia="Calibri" w:hAnsi="Calibri"/>
                <w:color w:val="000000"/>
                <w:sz w:val="20"/>
                <w:szCs w:val="20"/>
                <w:lang w:eastAsia="en-US"/>
              </w:rPr>
              <w:t>63,6</w:t>
            </w:r>
          </w:p>
        </w:tc>
        <w:tc>
          <w:tcPr>
            <w:tcW w:w="1701" w:type="dxa"/>
            <w:tcBorders>
              <w:top w:val="nil"/>
              <w:left w:val="nil"/>
              <w:bottom w:val="single" w:sz="4" w:space="0" w:color="auto"/>
              <w:right w:val="single" w:sz="4" w:space="0" w:color="auto"/>
            </w:tcBorders>
            <w:shd w:val="clear" w:color="auto" w:fill="auto"/>
            <w:noWrap/>
            <w:vAlign w:val="bottom"/>
            <w:hideMark/>
          </w:tcPr>
          <w:p w:rsidR="008676F9" w:rsidRPr="008676F9" w:rsidRDefault="008676F9" w:rsidP="008676F9">
            <w:pPr>
              <w:spacing w:after="120"/>
              <w:jc w:val="right"/>
              <w:rPr>
                <w:rFonts w:ascii="Calibri" w:eastAsia="Calibri" w:hAnsi="Calibri"/>
                <w:color w:val="000000"/>
                <w:sz w:val="20"/>
                <w:szCs w:val="20"/>
                <w:lang w:eastAsia="en-US"/>
              </w:rPr>
            </w:pPr>
            <w:r w:rsidRPr="008676F9">
              <w:rPr>
                <w:rFonts w:ascii="Calibri" w:eastAsia="Calibri" w:hAnsi="Calibri"/>
                <w:color w:val="000000"/>
                <w:sz w:val="20"/>
                <w:szCs w:val="20"/>
                <w:lang w:eastAsia="en-US"/>
              </w:rPr>
              <w:t>38,3</w:t>
            </w:r>
          </w:p>
        </w:tc>
        <w:tc>
          <w:tcPr>
            <w:tcW w:w="1842" w:type="dxa"/>
            <w:tcBorders>
              <w:top w:val="nil"/>
              <w:left w:val="nil"/>
              <w:bottom w:val="single" w:sz="4" w:space="0" w:color="auto"/>
              <w:right w:val="single" w:sz="4" w:space="0" w:color="auto"/>
            </w:tcBorders>
            <w:shd w:val="clear" w:color="auto" w:fill="auto"/>
            <w:noWrap/>
            <w:vAlign w:val="bottom"/>
            <w:hideMark/>
          </w:tcPr>
          <w:p w:rsidR="008676F9" w:rsidRPr="008676F9" w:rsidRDefault="008676F9" w:rsidP="008676F9">
            <w:pPr>
              <w:spacing w:after="120"/>
              <w:jc w:val="right"/>
              <w:rPr>
                <w:rFonts w:ascii="Calibri" w:eastAsia="Calibri" w:hAnsi="Calibri"/>
                <w:color w:val="000000"/>
                <w:sz w:val="20"/>
                <w:szCs w:val="20"/>
                <w:lang w:eastAsia="en-US"/>
              </w:rPr>
            </w:pPr>
            <w:r w:rsidRPr="008676F9">
              <w:rPr>
                <w:rFonts w:ascii="Calibri" w:eastAsia="Calibri" w:hAnsi="Calibri"/>
                <w:color w:val="000000"/>
                <w:sz w:val="20"/>
                <w:szCs w:val="20"/>
                <w:lang w:eastAsia="en-US"/>
              </w:rPr>
              <w:t>36,8</w:t>
            </w:r>
          </w:p>
        </w:tc>
      </w:tr>
      <w:tr w:rsidR="008676F9" w:rsidRPr="008676F9" w:rsidTr="00BB33FC">
        <w:trPr>
          <w:trHeight w:val="300"/>
        </w:trPr>
        <w:tc>
          <w:tcPr>
            <w:tcW w:w="1820" w:type="dxa"/>
            <w:tcBorders>
              <w:top w:val="nil"/>
              <w:left w:val="single" w:sz="4" w:space="0" w:color="auto"/>
              <w:bottom w:val="single" w:sz="4" w:space="0" w:color="auto"/>
              <w:right w:val="single" w:sz="4" w:space="0" w:color="auto"/>
            </w:tcBorders>
            <w:shd w:val="clear" w:color="auto" w:fill="auto"/>
            <w:noWrap/>
            <w:vAlign w:val="bottom"/>
            <w:hideMark/>
          </w:tcPr>
          <w:p w:rsidR="008676F9" w:rsidRPr="008676F9" w:rsidRDefault="008676F9" w:rsidP="008676F9">
            <w:pPr>
              <w:spacing w:after="120"/>
              <w:rPr>
                <w:rFonts w:ascii="Calibri" w:eastAsia="Calibri" w:hAnsi="Calibri"/>
                <w:b/>
                <w:bCs/>
                <w:color w:val="000000"/>
                <w:sz w:val="20"/>
                <w:szCs w:val="20"/>
                <w:lang w:eastAsia="en-US"/>
              </w:rPr>
            </w:pPr>
            <w:r w:rsidRPr="008676F9">
              <w:rPr>
                <w:rFonts w:ascii="Calibri" w:eastAsia="Calibri" w:hAnsi="Calibri"/>
                <w:b/>
                <w:bCs/>
                <w:color w:val="000000"/>
                <w:sz w:val="20"/>
                <w:szCs w:val="20"/>
                <w:lang w:eastAsia="en-US"/>
              </w:rPr>
              <w:t>prevažne vidiecke</w:t>
            </w:r>
          </w:p>
        </w:tc>
        <w:tc>
          <w:tcPr>
            <w:tcW w:w="1739" w:type="dxa"/>
            <w:tcBorders>
              <w:top w:val="nil"/>
              <w:left w:val="nil"/>
              <w:bottom w:val="single" w:sz="4" w:space="0" w:color="auto"/>
              <w:right w:val="single" w:sz="4" w:space="0" w:color="auto"/>
            </w:tcBorders>
            <w:shd w:val="clear" w:color="auto" w:fill="auto"/>
            <w:noWrap/>
            <w:vAlign w:val="bottom"/>
            <w:hideMark/>
          </w:tcPr>
          <w:p w:rsidR="008676F9" w:rsidRPr="008676F9" w:rsidRDefault="008676F9" w:rsidP="008676F9">
            <w:pPr>
              <w:spacing w:after="120"/>
              <w:jc w:val="right"/>
              <w:rPr>
                <w:rFonts w:ascii="Calibri" w:eastAsia="Calibri" w:hAnsi="Calibri"/>
                <w:color w:val="000000"/>
                <w:sz w:val="20"/>
                <w:szCs w:val="20"/>
                <w:lang w:eastAsia="en-US"/>
              </w:rPr>
            </w:pPr>
            <w:r w:rsidRPr="008676F9">
              <w:rPr>
                <w:rFonts w:ascii="Calibri" w:eastAsia="Calibri" w:hAnsi="Calibri"/>
                <w:color w:val="000000"/>
                <w:sz w:val="20"/>
                <w:szCs w:val="20"/>
                <w:lang w:eastAsia="en-US"/>
              </w:rPr>
              <w:t>25,5</w:t>
            </w:r>
          </w:p>
        </w:tc>
        <w:tc>
          <w:tcPr>
            <w:tcW w:w="1985" w:type="dxa"/>
            <w:tcBorders>
              <w:top w:val="nil"/>
              <w:left w:val="nil"/>
              <w:bottom w:val="single" w:sz="4" w:space="0" w:color="auto"/>
              <w:right w:val="single" w:sz="4" w:space="0" w:color="auto"/>
            </w:tcBorders>
            <w:shd w:val="clear" w:color="auto" w:fill="auto"/>
            <w:noWrap/>
            <w:vAlign w:val="bottom"/>
            <w:hideMark/>
          </w:tcPr>
          <w:p w:rsidR="008676F9" w:rsidRPr="008676F9" w:rsidRDefault="008676F9" w:rsidP="008676F9">
            <w:pPr>
              <w:spacing w:after="120"/>
              <w:jc w:val="right"/>
              <w:rPr>
                <w:rFonts w:ascii="Calibri" w:eastAsia="Calibri" w:hAnsi="Calibri"/>
                <w:color w:val="000000"/>
                <w:sz w:val="20"/>
                <w:szCs w:val="20"/>
                <w:lang w:eastAsia="en-US"/>
              </w:rPr>
            </w:pPr>
            <w:r w:rsidRPr="008676F9">
              <w:rPr>
                <w:rFonts w:ascii="Calibri" w:eastAsia="Calibri" w:hAnsi="Calibri"/>
                <w:color w:val="000000"/>
                <w:sz w:val="20"/>
                <w:szCs w:val="20"/>
                <w:lang w:eastAsia="en-US"/>
              </w:rPr>
              <w:t>32,2</w:t>
            </w:r>
          </w:p>
        </w:tc>
        <w:tc>
          <w:tcPr>
            <w:tcW w:w="1701" w:type="dxa"/>
            <w:tcBorders>
              <w:top w:val="nil"/>
              <w:left w:val="nil"/>
              <w:bottom w:val="single" w:sz="4" w:space="0" w:color="auto"/>
              <w:right w:val="single" w:sz="4" w:space="0" w:color="auto"/>
            </w:tcBorders>
            <w:shd w:val="clear" w:color="auto" w:fill="auto"/>
            <w:noWrap/>
            <w:vAlign w:val="bottom"/>
            <w:hideMark/>
          </w:tcPr>
          <w:p w:rsidR="008676F9" w:rsidRPr="008676F9" w:rsidRDefault="008676F9" w:rsidP="008676F9">
            <w:pPr>
              <w:spacing w:after="120"/>
              <w:jc w:val="right"/>
              <w:rPr>
                <w:rFonts w:ascii="Calibri" w:eastAsia="Calibri" w:hAnsi="Calibri"/>
                <w:color w:val="000000"/>
                <w:sz w:val="20"/>
                <w:szCs w:val="20"/>
                <w:lang w:eastAsia="en-US"/>
              </w:rPr>
            </w:pPr>
            <w:r w:rsidRPr="008676F9">
              <w:rPr>
                <w:rFonts w:ascii="Calibri" w:eastAsia="Calibri" w:hAnsi="Calibri"/>
                <w:color w:val="000000"/>
                <w:sz w:val="20"/>
                <w:szCs w:val="20"/>
                <w:lang w:eastAsia="en-US"/>
              </w:rPr>
              <w:t>50,3</w:t>
            </w:r>
          </w:p>
        </w:tc>
        <w:tc>
          <w:tcPr>
            <w:tcW w:w="1842" w:type="dxa"/>
            <w:tcBorders>
              <w:top w:val="nil"/>
              <w:left w:val="nil"/>
              <w:bottom w:val="single" w:sz="4" w:space="0" w:color="auto"/>
              <w:right w:val="single" w:sz="4" w:space="0" w:color="auto"/>
            </w:tcBorders>
            <w:shd w:val="clear" w:color="auto" w:fill="auto"/>
            <w:noWrap/>
            <w:vAlign w:val="bottom"/>
            <w:hideMark/>
          </w:tcPr>
          <w:p w:rsidR="008676F9" w:rsidRPr="008676F9" w:rsidRDefault="008676F9" w:rsidP="008676F9">
            <w:pPr>
              <w:spacing w:after="120"/>
              <w:jc w:val="right"/>
              <w:rPr>
                <w:rFonts w:ascii="Calibri" w:eastAsia="Calibri" w:hAnsi="Calibri"/>
                <w:color w:val="000000"/>
                <w:sz w:val="20"/>
                <w:szCs w:val="20"/>
                <w:lang w:eastAsia="en-US"/>
              </w:rPr>
            </w:pPr>
            <w:r w:rsidRPr="008676F9">
              <w:rPr>
                <w:rFonts w:ascii="Calibri" w:eastAsia="Calibri" w:hAnsi="Calibri"/>
                <w:color w:val="000000"/>
                <w:sz w:val="20"/>
                <w:szCs w:val="20"/>
                <w:lang w:eastAsia="en-US"/>
              </w:rPr>
              <w:t>59,0</w:t>
            </w:r>
          </w:p>
        </w:tc>
      </w:tr>
    </w:tbl>
    <w:p w:rsidR="008676F9" w:rsidRPr="008676F9" w:rsidRDefault="008676F9" w:rsidP="008676F9">
      <w:pPr>
        <w:spacing w:after="200" w:line="276" w:lineRule="auto"/>
        <w:rPr>
          <w:rFonts w:ascii="Calibri" w:eastAsia="Calibri" w:hAnsi="Calibri"/>
          <w:i/>
          <w:sz w:val="18"/>
          <w:szCs w:val="18"/>
          <w:lang w:eastAsia="en-US"/>
        </w:rPr>
      </w:pPr>
      <w:r w:rsidRPr="008676F9">
        <w:rPr>
          <w:rFonts w:ascii="Calibri" w:eastAsia="Calibri" w:hAnsi="Calibri"/>
          <w:i/>
          <w:sz w:val="18"/>
          <w:szCs w:val="18"/>
          <w:lang w:eastAsia="en-US"/>
        </w:rPr>
        <w:t>Zdroj: výročná správa EUROSTAT-u za rok 2010</w:t>
      </w:r>
    </w:p>
    <w:p w:rsidR="008676F9" w:rsidRPr="008676F9" w:rsidRDefault="008676F9" w:rsidP="008676F9">
      <w:pPr>
        <w:rPr>
          <w:rFonts w:ascii="Calibri" w:eastAsia="Calibri" w:hAnsi="Calibri"/>
          <w:szCs w:val="22"/>
          <w:lang w:eastAsia="en-US"/>
        </w:rPr>
      </w:pPr>
      <w:r w:rsidRPr="008676F9">
        <w:rPr>
          <w:rFonts w:ascii="Calibri" w:eastAsia="Calibri" w:hAnsi="Calibri"/>
          <w:szCs w:val="22"/>
          <w:lang w:eastAsia="en-US"/>
        </w:rPr>
        <w:t>Z 8 krajov SR je prevažne mestským regiónom len Bratislavský kraj</w:t>
      </w:r>
      <w:r w:rsidR="003D0842">
        <w:rPr>
          <w:rFonts w:ascii="Calibri" w:eastAsia="Calibri" w:hAnsi="Calibri"/>
          <w:szCs w:val="22"/>
          <w:lang w:eastAsia="en-US"/>
        </w:rPr>
        <w:t>,</w:t>
      </w:r>
      <w:r w:rsidRPr="008676F9">
        <w:rPr>
          <w:rFonts w:ascii="Calibri" w:eastAsia="Calibri" w:hAnsi="Calibri"/>
          <w:szCs w:val="22"/>
          <w:lang w:eastAsia="en-US"/>
        </w:rPr>
        <w:t xml:space="preserve"> ostatné kraje patria medzi prechodné a prevažne vidiecke. Spolu vidiecke regióny (prechodné + prevažne vidiecke) zaberajú 95,8 % rozlohy SR a žije v nich 88,6 % obyvateľov SR. Pri pohľade na úroveň okresov je zrejmé, že aj okresy Bratislavského kraja s výnimkou okresov Bratislava 1 - 5 patria medzi vidiecke okresy.</w:t>
      </w:r>
    </w:p>
    <w:p w:rsidR="008676F9" w:rsidRPr="008676F9" w:rsidRDefault="008676F9" w:rsidP="008676F9">
      <w:pPr>
        <w:rPr>
          <w:rFonts w:ascii="Calibri" w:eastAsia="Calibri" w:hAnsi="Calibri"/>
          <w:b/>
          <w:szCs w:val="22"/>
          <w:lang w:eastAsia="en-US"/>
        </w:rPr>
      </w:pPr>
    </w:p>
    <w:p w:rsidR="008676F9" w:rsidRPr="008676F9" w:rsidRDefault="008676F9" w:rsidP="007B5045">
      <w:pPr>
        <w:rPr>
          <w:rFonts w:ascii="Calibri" w:eastAsia="Calibri" w:hAnsi="Calibri"/>
          <w:b/>
          <w:szCs w:val="22"/>
          <w:lang w:eastAsia="en-US"/>
        </w:rPr>
      </w:pPr>
      <w:r w:rsidRPr="008676F9">
        <w:rPr>
          <w:rFonts w:ascii="Calibri" w:eastAsia="Calibri" w:hAnsi="Calibri"/>
          <w:b/>
          <w:szCs w:val="22"/>
          <w:lang w:eastAsia="en-US"/>
        </w:rPr>
        <w:t xml:space="preserve">V nadväznosti na vyššie uvedené sa na účely PRV SR 2014-2020 bude považovať za vidiecke oblasti </w:t>
      </w:r>
      <w:r w:rsidRPr="008676F9">
        <w:rPr>
          <w:rFonts w:ascii="Calibri" w:eastAsia="Calibri" w:hAnsi="Calibri"/>
          <w:b/>
          <w:szCs w:val="22"/>
          <w:u w:val="single"/>
          <w:lang w:eastAsia="en-US"/>
        </w:rPr>
        <w:t>celé územie SR okrem územia okresov Bratislava 1-5</w:t>
      </w:r>
      <w:r w:rsidRPr="008676F9">
        <w:rPr>
          <w:rFonts w:ascii="Calibri" w:eastAsia="Calibri" w:hAnsi="Calibri"/>
          <w:b/>
          <w:szCs w:val="22"/>
          <w:lang w:eastAsia="en-US"/>
        </w:rPr>
        <w:t>. Týka sa to nasledovných opatrení/podopatrení:</w:t>
      </w:r>
    </w:p>
    <w:p w:rsidR="00B3442A" w:rsidRDefault="00B3442A" w:rsidP="001F5283">
      <w:pPr>
        <w:numPr>
          <w:ilvl w:val="0"/>
          <w:numId w:val="49"/>
        </w:numPr>
        <w:ind w:left="714" w:hanging="357"/>
        <w:rPr>
          <w:rFonts w:ascii="Calibri" w:hAnsi="Calibri"/>
          <w:b/>
          <w:i/>
          <w:iCs/>
          <w:spacing w:val="15"/>
          <w:szCs w:val="22"/>
          <w:lang w:eastAsia="en-US"/>
        </w:rPr>
      </w:pPr>
      <w:r>
        <w:rPr>
          <w:rFonts w:ascii="Calibri" w:hAnsi="Calibri"/>
          <w:b/>
          <w:i/>
          <w:iCs/>
          <w:spacing w:val="15"/>
          <w:szCs w:val="22"/>
          <w:lang w:eastAsia="en-US"/>
        </w:rPr>
        <w:t>1 Prenos znalostí a informačné akcie</w:t>
      </w:r>
    </w:p>
    <w:p w:rsidR="008676F9" w:rsidRPr="008676F9" w:rsidRDefault="008676F9" w:rsidP="001F5283">
      <w:pPr>
        <w:numPr>
          <w:ilvl w:val="0"/>
          <w:numId w:val="49"/>
        </w:numPr>
        <w:ind w:left="714" w:hanging="357"/>
        <w:rPr>
          <w:rFonts w:ascii="Calibri" w:hAnsi="Calibri"/>
          <w:b/>
          <w:i/>
          <w:iCs/>
          <w:spacing w:val="15"/>
          <w:szCs w:val="22"/>
          <w:lang w:eastAsia="en-US"/>
        </w:rPr>
      </w:pPr>
      <w:r w:rsidRPr="008676F9">
        <w:rPr>
          <w:rFonts w:ascii="Calibri" w:hAnsi="Calibri"/>
          <w:b/>
          <w:i/>
          <w:iCs/>
          <w:spacing w:val="15"/>
          <w:szCs w:val="22"/>
          <w:lang w:eastAsia="en-US"/>
        </w:rPr>
        <w:t>6.4 Podpora investícií do vytvárania a rozvoja nepoľnohospodárskych činností</w:t>
      </w:r>
    </w:p>
    <w:p w:rsidR="008676F9" w:rsidRPr="008676F9" w:rsidRDefault="008676F9" w:rsidP="001F5283">
      <w:pPr>
        <w:numPr>
          <w:ilvl w:val="0"/>
          <w:numId w:val="49"/>
        </w:numPr>
        <w:rPr>
          <w:rFonts w:ascii="Calibri" w:hAnsi="Calibri"/>
          <w:b/>
          <w:i/>
          <w:iCs/>
          <w:spacing w:val="15"/>
          <w:szCs w:val="22"/>
          <w:lang w:eastAsia="en-US"/>
        </w:rPr>
      </w:pPr>
      <w:r w:rsidRPr="008676F9">
        <w:rPr>
          <w:rFonts w:ascii="Calibri" w:hAnsi="Calibri"/>
          <w:b/>
          <w:i/>
          <w:iCs/>
          <w:spacing w:val="15"/>
          <w:szCs w:val="22"/>
          <w:lang w:eastAsia="en-US"/>
        </w:rPr>
        <w:t>7 Základné služby pre vidiecke obyvateľstvo.</w:t>
      </w:r>
    </w:p>
    <w:p w:rsidR="008676F9" w:rsidRPr="008676F9" w:rsidRDefault="008676F9" w:rsidP="008676F9">
      <w:pPr>
        <w:rPr>
          <w:rFonts w:ascii="Calibri" w:eastAsia="Calibri" w:hAnsi="Calibri"/>
          <w:b/>
          <w:szCs w:val="22"/>
          <w:lang w:eastAsia="en-US"/>
        </w:rPr>
      </w:pPr>
    </w:p>
    <w:p w:rsidR="008676F9" w:rsidRPr="008676F9" w:rsidRDefault="008676F9" w:rsidP="008676F9">
      <w:pPr>
        <w:spacing w:after="120"/>
        <w:rPr>
          <w:rFonts w:ascii="Calibri" w:eastAsia="Calibri" w:hAnsi="Calibri"/>
          <w:szCs w:val="22"/>
          <w:lang w:eastAsia="en-US"/>
        </w:rPr>
      </w:pPr>
      <w:r w:rsidRPr="008676F9">
        <w:rPr>
          <w:rFonts w:ascii="Calibri" w:eastAsia="Calibri" w:hAnsi="Calibri"/>
          <w:szCs w:val="22"/>
          <w:lang w:eastAsia="en-US"/>
        </w:rPr>
        <w:t xml:space="preserve">Vzhľadom na obmedzené zdroje PRV a potrebu koncentrácie podpory môže byť podpora vidieckych oblastí určená užším vymedzením konečného prijímateľa na úrovni jednotlivých opatrení.  Na účely opatrenia 7 </w:t>
      </w:r>
      <w:r w:rsidRPr="008676F9">
        <w:rPr>
          <w:rFonts w:ascii="Calibri" w:eastAsia="Calibri" w:hAnsi="Calibri"/>
          <w:i/>
          <w:szCs w:val="22"/>
          <w:lang w:eastAsia="en-US"/>
        </w:rPr>
        <w:t>Základné služby a obnova dedín vo vidieckych oblastiach</w:t>
      </w:r>
      <w:r w:rsidRPr="008676F9">
        <w:rPr>
          <w:rFonts w:ascii="Calibri" w:eastAsia="Calibri" w:hAnsi="Calibri"/>
          <w:szCs w:val="22"/>
          <w:lang w:eastAsia="en-US"/>
        </w:rPr>
        <w:t xml:space="preserve"> to znamená, že pomoc sa sústredí najmä do území vo vidieckych oblastiach, pričom oprávnenými žiadateľmi budú obce</w:t>
      </w:r>
      <w:r w:rsidR="000E7B08">
        <w:rPr>
          <w:rFonts w:ascii="Calibri" w:eastAsia="Calibri" w:hAnsi="Calibri"/>
          <w:szCs w:val="22"/>
          <w:lang w:eastAsia="en-US"/>
        </w:rPr>
        <w:br/>
      </w:r>
      <w:r w:rsidRPr="008676F9">
        <w:rPr>
          <w:rFonts w:ascii="Calibri" w:eastAsia="Calibri" w:hAnsi="Calibri"/>
          <w:szCs w:val="22"/>
          <w:lang w:eastAsia="en-US"/>
        </w:rPr>
        <w:t>do 1</w:t>
      </w:r>
      <w:r w:rsidR="000E7B08">
        <w:rPr>
          <w:rFonts w:ascii="Calibri" w:eastAsia="Calibri" w:hAnsi="Calibri"/>
          <w:szCs w:val="22"/>
          <w:lang w:eastAsia="en-US"/>
        </w:rPr>
        <w:t xml:space="preserve"> </w:t>
      </w:r>
      <w:r w:rsidRPr="008676F9">
        <w:rPr>
          <w:rFonts w:ascii="Calibri" w:eastAsia="Calibri" w:hAnsi="Calibri"/>
          <w:szCs w:val="22"/>
          <w:lang w:eastAsia="en-US"/>
        </w:rPr>
        <w:t>000 obyvateľov (vrátane).</w:t>
      </w:r>
    </w:p>
    <w:p w:rsidR="008676F9" w:rsidRDefault="008676F9" w:rsidP="008676F9">
      <w:pPr>
        <w:spacing w:after="120"/>
        <w:rPr>
          <w:rFonts w:ascii="Calibri" w:eastAsia="Calibri" w:hAnsi="Calibri"/>
          <w:szCs w:val="22"/>
          <w:lang w:eastAsia="en-US"/>
        </w:rPr>
      </w:pPr>
      <w:r w:rsidRPr="008676F9">
        <w:rPr>
          <w:rFonts w:ascii="Calibri" w:eastAsia="Calibri" w:hAnsi="Calibri"/>
          <w:szCs w:val="22"/>
          <w:lang w:eastAsia="en-US"/>
        </w:rPr>
        <w:t>Pokiaľ ide o opatrenie LEADER, vidieckosť bude posudzovaná na úrovni MAS.</w:t>
      </w:r>
      <w:r w:rsidRPr="008676F9">
        <w:rPr>
          <w:rFonts w:ascii="Calibri" w:eastAsia="Calibri" w:hAnsi="Calibri"/>
          <w:b/>
          <w:szCs w:val="22"/>
          <w:lang w:eastAsia="en-US"/>
        </w:rPr>
        <w:t xml:space="preserve"> Vidiecka oblasť pre účely opatrenia LEADER je vymedzená podmienkou maximálnej hustoty obyvateľstva územia MAS.</w:t>
      </w:r>
      <w:r w:rsidRPr="008676F9">
        <w:rPr>
          <w:rFonts w:ascii="Calibri" w:eastAsia="Calibri" w:hAnsi="Calibri"/>
          <w:szCs w:val="22"/>
          <w:lang w:eastAsia="en-US"/>
        </w:rPr>
        <w:t xml:space="preserve"> Pre vznik MAS je oprávnené celé územie SR, pričom územie MAS musí spĺňať podmienku hustoty obyvateľstva max. 150</w:t>
      </w:r>
      <w:r w:rsidR="000E7B08">
        <w:rPr>
          <w:rFonts w:ascii="Calibri" w:eastAsia="Calibri" w:hAnsi="Calibri"/>
          <w:szCs w:val="22"/>
          <w:lang w:eastAsia="en-US"/>
        </w:rPr>
        <w:t xml:space="preserve"> </w:t>
      </w:r>
      <w:r w:rsidRPr="008676F9">
        <w:rPr>
          <w:rFonts w:ascii="Calibri" w:eastAsia="Calibri" w:hAnsi="Calibri"/>
          <w:szCs w:val="22"/>
          <w:lang w:eastAsia="en-US"/>
        </w:rPr>
        <w:t>ob</w:t>
      </w:r>
      <w:r w:rsidR="000E7B08">
        <w:rPr>
          <w:rFonts w:ascii="Calibri" w:eastAsia="Calibri" w:hAnsi="Calibri"/>
          <w:szCs w:val="22"/>
          <w:lang w:eastAsia="en-US"/>
        </w:rPr>
        <w:t>yv</w:t>
      </w:r>
      <w:r w:rsidRPr="008676F9">
        <w:rPr>
          <w:rFonts w:ascii="Calibri" w:eastAsia="Calibri" w:hAnsi="Calibri"/>
          <w:szCs w:val="22"/>
          <w:lang w:eastAsia="en-US"/>
        </w:rPr>
        <w:t>.</w:t>
      </w:r>
      <w:r w:rsidR="000E7B08">
        <w:rPr>
          <w:rFonts w:ascii="Calibri" w:eastAsia="Calibri" w:hAnsi="Calibri"/>
          <w:szCs w:val="22"/>
          <w:lang w:eastAsia="en-US"/>
        </w:rPr>
        <w:t>/</w:t>
      </w:r>
      <w:r w:rsidRPr="008676F9">
        <w:rPr>
          <w:rFonts w:ascii="Calibri" w:eastAsia="Calibri" w:hAnsi="Calibri"/>
          <w:szCs w:val="22"/>
          <w:lang w:eastAsia="en-US"/>
        </w:rPr>
        <w:t>km</w:t>
      </w:r>
      <w:r w:rsidRPr="000E7B08">
        <w:rPr>
          <w:rFonts w:ascii="Calibri" w:eastAsia="Calibri" w:hAnsi="Calibri"/>
          <w:szCs w:val="22"/>
          <w:vertAlign w:val="superscript"/>
          <w:lang w:eastAsia="en-US"/>
        </w:rPr>
        <w:t>2</w:t>
      </w:r>
      <w:r w:rsidRPr="008676F9">
        <w:rPr>
          <w:rFonts w:ascii="Calibri" w:eastAsia="Calibri" w:hAnsi="Calibri"/>
          <w:szCs w:val="22"/>
          <w:lang w:eastAsia="en-US"/>
        </w:rPr>
        <w:t>. Z podpory opatrenia LEADER sú vylúčení ako žiadatelia obce nad 20 000 obyvateľov a mestské časti nad 5</w:t>
      </w:r>
      <w:r w:rsidR="000E7B08">
        <w:rPr>
          <w:rFonts w:ascii="Calibri" w:eastAsia="Calibri" w:hAnsi="Calibri"/>
          <w:szCs w:val="22"/>
          <w:lang w:eastAsia="en-US"/>
        </w:rPr>
        <w:t xml:space="preserve"> </w:t>
      </w:r>
      <w:r w:rsidRPr="008676F9">
        <w:rPr>
          <w:rFonts w:ascii="Calibri" w:eastAsia="Calibri" w:hAnsi="Calibri"/>
          <w:szCs w:val="22"/>
          <w:lang w:eastAsia="en-US"/>
        </w:rPr>
        <w:t>000 obyvateľov.</w:t>
      </w:r>
    </w:p>
    <w:p w:rsidR="0031577A" w:rsidRDefault="0031577A" w:rsidP="008676F9">
      <w:pPr>
        <w:spacing w:after="120"/>
        <w:rPr>
          <w:rFonts w:ascii="Calibri" w:eastAsia="Calibri" w:hAnsi="Calibri"/>
          <w:szCs w:val="22"/>
          <w:lang w:eastAsia="en-US"/>
        </w:rPr>
      </w:pPr>
      <w:r>
        <w:rPr>
          <w:rFonts w:ascii="Calibri" w:eastAsia="Calibri" w:hAnsi="Calibri"/>
          <w:szCs w:val="22"/>
          <w:lang w:eastAsia="en-US"/>
        </w:rPr>
        <w:br w:type="page"/>
      </w:r>
    </w:p>
    <w:p w:rsidR="008676F9" w:rsidRPr="008676F9" w:rsidRDefault="008676F9" w:rsidP="00AA30CA">
      <w:pPr>
        <w:pStyle w:val="Podpod"/>
      </w:pPr>
      <w:bookmarkStart w:id="76" w:name="_Toc387041318"/>
      <w:r w:rsidRPr="008676F9">
        <w:t>8.1.2. Všeobecné podmienky oprávnenosti podpory pre opatrenie:</w:t>
      </w:r>
      <w:bookmarkEnd w:id="76"/>
    </w:p>
    <w:p w:rsidR="008676F9" w:rsidRPr="008676F9" w:rsidRDefault="008676F9" w:rsidP="001F5283">
      <w:pPr>
        <w:numPr>
          <w:ilvl w:val="0"/>
          <w:numId w:val="49"/>
        </w:numPr>
        <w:rPr>
          <w:rFonts w:ascii="Calibri" w:hAnsi="Calibri"/>
          <w:b/>
          <w:i/>
          <w:iCs/>
          <w:spacing w:val="15"/>
          <w:szCs w:val="22"/>
          <w:lang w:eastAsia="en-US"/>
        </w:rPr>
      </w:pPr>
      <w:r w:rsidRPr="008676F9">
        <w:rPr>
          <w:rFonts w:ascii="Calibri" w:hAnsi="Calibri"/>
          <w:b/>
          <w:i/>
          <w:iCs/>
          <w:spacing w:val="15"/>
          <w:szCs w:val="22"/>
          <w:lang w:eastAsia="en-US"/>
        </w:rPr>
        <w:t>10 Agroenvironmentálno-klimatické opatrenie;</w:t>
      </w:r>
    </w:p>
    <w:p w:rsidR="008676F9" w:rsidRPr="008676F9" w:rsidRDefault="008676F9" w:rsidP="001F5283">
      <w:pPr>
        <w:numPr>
          <w:ilvl w:val="0"/>
          <w:numId w:val="49"/>
        </w:numPr>
        <w:rPr>
          <w:rFonts w:ascii="Calibri" w:hAnsi="Calibri"/>
          <w:b/>
          <w:i/>
          <w:iCs/>
          <w:spacing w:val="15"/>
          <w:szCs w:val="22"/>
          <w:lang w:eastAsia="en-US"/>
        </w:rPr>
      </w:pPr>
      <w:r w:rsidRPr="008676F9">
        <w:rPr>
          <w:rFonts w:ascii="Calibri" w:hAnsi="Calibri"/>
          <w:b/>
          <w:i/>
          <w:iCs/>
          <w:spacing w:val="15"/>
          <w:szCs w:val="22"/>
          <w:lang w:eastAsia="en-US"/>
        </w:rPr>
        <w:t>11 Ekologické poľnohospodárstvo;</w:t>
      </w:r>
    </w:p>
    <w:p w:rsidR="008676F9" w:rsidRPr="008676F9" w:rsidRDefault="008676F9" w:rsidP="001F5283">
      <w:pPr>
        <w:numPr>
          <w:ilvl w:val="0"/>
          <w:numId w:val="49"/>
        </w:numPr>
        <w:rPr>
          <w:rFonts w:ascii="Calibri" w:hAnsi="Calibri"/>
          <w:b/>
          <w:i/>
          <w:iCs/>
          <w:spacing w:val="15"/>
          <w:szCs w:val="22"/>
          <w:lang w:eastAsia="en-US"/>
        </w:rPr>
      </w:pPr>
      <w:r w:rsidRPr="008676F9">
        <w:rPr>
          <w:rFonts w:ascii="Calibri" w:hAnsi="Calibri"/>
          <w:b/>
          <w:i/>
          <w:iCs/>
          <w:spacing w:val="15"/>
          <w:szCs w:val="22"/>
          <w:lang w:eastAsia="en-US"/>
        </w:rPr>
        <w:t>12 Platby v rámci sústavy NATURA 2000;</w:t>
      </w:r>
    </w:p>
    <w:p w:rsidR="008676F9" w:rsidRPr="008676F9" w:rsidRDefault="008676F9" w:rsidP="001F5283">
      <w:pPr>
        <w:numPr>
          <w:ilvl w:val="0"/>
          <w:numId w:val="49"/>
        </w:numPr>
        <w:rPr>
          <w:rFonts w:ascii="Calibri" w:hAnsi="Calibri"/>
          <w:b/>
          <w:i/>
          <w:iCs/>
          <w:spacing w:val="15"/>
          <w:szCs w:val="22"/>
          <w:lang w:eastAsia="en-US"/>
        </w:rPr>
      </w:pPr>
      <w:r w:rsidRPr="008676F9">
        <w:rPr>
          <w:rFonts w:ascii="Calibri" w:hAnsi="Calibri"/>
          <w:b/>
          <w:i/>
          <w:iCs/>
          <w:spacing w:val="15"/>
          <w:szCs w:val="22"/>
          <w:lang w:eastAsia="en-US"/>
        </w:rPr>
        <w:t>13 Platby pre oblasti s prírodnými alebo inými osobitnými obmedzeniami</w:t>
      </w:r>
      <w:r w:rsidR="009260E7">
        <w:rPr>
          <w:rFonts w:ascii="Calibri" w:hAnsi="Calibri"/>
          <w:b/>
          <w:i/>
          <w:iCs/>
          <w:spacing w:val="15"/>
          <w:szCs w:val="22"/>
          <w:lang w:eastAsia="en-US"/>
        </w:rPr>
        <w:t>;</w:t>
      </w:r>
    </w:p>
    <w:p w:rsidR="008676F9" w:rsidRDefault="008676F9" w:rsidP="001F5283">
      <w:pPr>
        <w:numPr>
          <w:ilvl w:val="0"/>
          <w:numId w:val="49"/>
        </w:numPr>
        <w:rPr>
          <w:rFonts w:ascii="Calibri" w:hAnsi="Calibri"/>
          <w:b/>
          <w:i/>
          <w:iCs/>
          <w:spacing w:val="15"/>
          <w:szCs w:val="22"/>
          <w:lang w:eastAsia="en-US"/>
        </w:rPr>
      </w:pPr>
      <w:r w:rsidRPr="008676F9">
        <w:rPr>
          <w:rFonts w:ascii="Calibri" w:hAnsi="Calibri"/>
          <w:b/>
          <w:i/>
          <w:iCs/>
          <w:spacing w:val="15"/>
          <w:szCs w:val="22"/>
          <w:lang w:eastAsia="en-US"/>
        </w:rPr>
        <w:t>14 Dobré životné podmienky zvierat</w:t>
      </w:r>
      <w:r w:rsidR="009260E7">
        <w:rPr>
          <w:rFonts w:ascii="Calibri" w:hAnsi="Calibri"/>
          <w:b/>
          <w:i/>
          <w:iCs/>
          <w:spacing w:val="15"/>
          <w:szCs w:val="22"/>
          <w:lang w:eastAsia="en-US"/>
        </w:rPr>
        <w:t>;</w:t>
      </w:r>
    </w:p>
    <w:p w:rsidR="009260E7" w:rsidRPr="008676F9" w:rsidRDefault="009260E7" w:rsidP="001F5283">
      <w:pPr>
        <w:numPr>
          <w:ilvl w:val="0"/>
          <w:numId w:val="49"/>
        </w:numPr>
        <w:rPr>
          <w:rFonts w:ascii="Calibri" w:hAnsi="Calibri"/>
          <w:b/>
          <w:i/>
          <w:iCs/>
          <w:spacing w:val="15"/>
          <w:szCs w:val="22"/>
          <w:lang w:eastAsia="en-US"/>
        </w:rPr>
      </w:pPr>
      <w:r>
        <w:rPr>
          <w:rFonts w:ascii="Calibri" w:hAnsi="Calibri"/>
          <w:b/>
          <w:i/>
          <w:iCs/>
          <w:spacing w:val="15"/>
          <w:szCs w:val="22"/>
          <w:lang w:eastAsia="en-US"/>
        </w:rPr>
        <w:t>15 Lesnícko-environmentálne a klimatické služby a ochrana lesov.</w:t>
      </w:r>
    </w:p>
    <w:p w:rsidR="008676F9" w:rsidRPr="008676F9" w:rsidRDefault="008676F9" w:rsidP="007B5045">
      <w:pPr>
        <w:rPr>
          <w:rFonts w:ascii="Calibri" w:hAnsi="Calibri"/>
          <w:b/>
          <w:i/>
          <w:iCs/>
          <w:spacing w:val="15"/>
          <w:szCs w:val="22"/>
          <w:lang w:eastAsia="en-US"/>
        </w:rPr>
      </w:pPr>
    </w:p>
    <w:p w:rsidR="008676F9" w:rsidRPr="008676F9" w:rsidRDefault="008676F9" w:rsidP="00955DA4">
      <w:pPr>
        <w:numPr>
          <w:ilvl w:val="0"/>
          <w:numId w:val="239"/>
        </w:numPr>
        <w:spacing w:after="120"/>
        <w:ind w:left="426" w:hanging="284"/>
        <w:rPr>
          <w:rFonts w:ascii="Calibri" w:eastAsia="Calibri" w:hAnsi="Calibri"/>
          <w:szCs w:val="22"/>
          <w:lang w:eastAsia="en-US"/>
        </w:rPr>
      </w:pPr>
      <w:r w:rsidRPr="008676F9">
        <w:rPr>
          <w:rFonts w:ascii="Calibri" w:hAnsi="Calibri"/>
          <w:szCs w:val="22"/>
          <w:lang w:eastAsia="en-US"/>
        </w:rPr>
        <w:t>Dodržiavať pravidlá krížového plnenia v zmysle vnútroštátneho právneho predpisu č..../....;</w:t>
      </w:r>
    </w:p>
    <w:p w:rsidR="008676F9" w:rsidRPr="008676F9" w:rsidRDefault="008676F9" w:rsidP="00955DA4">
      <w:pPr>
        <w:numPr>
          <w:ilvl w:val="0"/>
          <w:numId w:val="239"/>
        </w:numPr>
        <w:spacing w:after="120"/>
        <w:ind w:left="426" w:hanging="284"/>
        <w:rPr>
          <w:rFonts w:ascii="Calibri" w:hAnsi="Calibri"/>
          <w:szCs w:val="22"/>
          <w:lang w:eastAsia="en-US"/>
        </w:rPr>
      </w:pPr>
      <w:r w:rsidRPr="008676F9">
        <w:rPr>
          <w:rFonts w:ascii="Calibri" w:hAnsi="Calibri"/>
          <w:szCs w:val="22"/>
          <w:lang w:eastAsia="en-US"/>
        </w:rPr>
        <w:t>Hospodáriť v celom podniku podľa ustanovených minimálnych činnosti v zmysle</w:t>
      </w:r>
      <w:r w:rsidRPr="008676F9">
        <w:rPr>
          <w:rFonts w:ascii="Calibri" w:eastAsia="Calibri" w:hAnsi="Calibri"/>
          <w:i/>
          <w:iCs/>
          <w:color w:val="4F81BD"/>
          <w:spacing w:val="15"/>
          <w:szCs w:val="22"/>
          <w:lang w:eastAsia="en-US"/>
        </w:rPr>
        <w:t xml:space="preserve"> </w:t>
      </w:r>
      <w:r w:rsidRPr="008676F9">
        <w:rPr>
          <w:rFonts w:ascii="Calibri" w:hAnsi="Calibri"/>
          <w:szCs w:val="22"/>
          <w:lang w:eastAsia="en-US"/>
        </w:rPr>
        <w:t>vnútroštátneho právneho predpisu č...../..... (platí pre opatrenie 10, 11, 12, 13</w:t>
      </w:r>
      <w:r w:rsidR="009260E7">
        <w:rPr>
          <w:rFonts w:ascii="Calibri" w:hAnsi="Calibri"/>
          <w:szCs w:val="22"/>
          <w:lang w:eastAsia="en-US"/>
        </w:rPr>
        <w:t>, 15</w:t>
      </w:r>
      <w:r w:rsidRPr="008676F9">
        <w:rPr>
          <w:rFonts w:ascii="Calibri" w:hAnsi="Calibri"/>
          <w:szCs w:val="22"/>
          <w:lang w:eastAsia="en-US"/>
        </w:rPr>
        <w:t>);</w:t>
      </w:r>
    </w:p>
    <w:p w:rsidR="008676F9" w:rsidRPr="008676F9" w:rsidRDefault="008676F9" w:rsidP="00955DA4">
      <w:pPr>
        <w:numPr>
          <w:ilvl w:val="0"/>
          <w:numId w:val="239"/>
        </w:numPr>
        <w:spacing w:after="120"/>
        <w:ind w:left="426" w:hanging="284"/>
        <w:rPr>
          <w:rFonts w:ascii="Calibri" w:eastAsia="Calibri" w:hAnsi="Calibri"/>
          <w:szCs w:val="22"/>
          <w:lang w:eastAsia="en-US"/>
        </w:rPr>
      </w:pPr>
      <w:r w:rsidRPr="008676F9">
        <w:rPr>
          <w:rFonts w:ascii="Calibri" w:eastAsia="Calibri" w:hAnsi="Calibri"/>
          <w:szCs w:val="22"/>
          <w:lang w:eastAsia="en-US"/>
        </w:rPr>
        <w:t>Prijať a plniť podmienky záväzku opatrenia, do ktorého dobrovoľne vstupuje počas stanovenej doby 5 rokov od vstupu do záväzku. Po uplynutí počiatočného 5-ročného obdobia môže riadiaci orgán rozhodnúť o predĺžení záväzku podľa disponibilných finančných prostriedkov.</w:t>
      </w:r>
      <w:r w:rsidRPr="008676F9">
        <w:rPr>
          <w:rFonts w:ascii="Calibri" w:eastAsia="Calibri" w:hAnsi="Calibri"/>
          <w:i/>
          <w:iCs/>
          <w:color w:val="4F81BD"/>
          <w:spacing w:val="15"/>
          <w:lang w:eastAsia="en-US"/>
        </w:rPr>
        <w:t xml:space="preserve"> </w:t>
      </w:r>
      <w:r w:rsidRPr="008676F9">
        <w:rPr>
          <w:rFonts w:ascii="Calibri" w:eastAsia="Calibri" w:hAnsi="Calibri"/>
          <w:szCs w:val="22"/>
          <w:lang w:eastAsia="en-US"/>
        </w:rPr>
        <w:t>Platí pre opatrenie 10, 11</w:t>
      </w:r>
      <w:r w:rsidR="009260E7">
        <w:rPr>
          <w:rFonts w:ascii="Calibri" w:eastAsia="Calibri" w:hAnsi="Calibri"/>
          <w:szCs w:val="22"/>
          <w:lang w:eastAsia="en-US"/>
        </w:rPr>
        <w:t>, 15</w:t>
      </w:r>
      <w:r w:rsidRPr="008676F9">
        <w:rPr>
          <w:rFonts w:ascii="Calibri" w:eastAsia="Calibri" w:hAnsi="Calibri"/>
          <w:szCs w:val="22"/>
          <w:lang w:eastAsia="en-US"/>
        </w:rPr>
        <w:t>);</w:t>
      </w:r>
    </w:p>
    <w:p w:rsidR="008676F9" w:rsidRPr="008676F9" w:rsidRDefault="008676F9" w:rsidP="00955DA4">
      <w:pPr>
        <w:numPr>
          <w:ilvl w:val="0"/>
          <w:numId w:val="239"/>
        </w:numPr>
        <w:spacing w:after="120"/>
        <w:ind w:left="426" w:hanging="284"/>
        <w:rPr>
          <w:rFonts w:ascii="Calibri" w:hAnsi="Calibri"/>
          <w:szCs w:val="22"/>
          <w:lang w:eastAsia="en-US"/>
        </w:rPr>
      </w:pPr>
      <w:r w:rsidRPr="008676F9">
        <w:rPr>
          <w:rFonts w:ascii="Calibri" w:hAnsi="Calibri"/>
          <w:szCs w:val="22"/>
          <w:lang w:eastAsia="en-US"/>
        </w:rPr>
        <w:t>Prijímateľ podpory je aktívny farmár v zmysle článku 9 nariadenia (EÚ) č. 1307/2013 (platí pre opatrenie 10, 11, 12, 13, 14);</w:t>
      </w:r>
    </w:p>
    <w:p w:rsidR="008676F9" w:rsidRPr="008676F9" w:rsidRDefault="008676F9" w:rsidP="00955DA4">
      <w:pPr>
        <w:numPr>
          <w:ilvl w:val="0"/>
          <w:numId w:val="239"/>
        </w:numPr>
        <w:ind w:left="426" w:hanging="284"/>
        <w:rPr>
          <w:rFonts w:ascii="Calibri" w:hAnsi="Calibri"/>
          <w:szCs w:val="22"/>
          <w:lang w:eastAsia="en-US"/>
        </w:rPr>
      </w:pPr>
      <w:r w:rsidRPr="008676F9">
        <w:rPr>
          <w:rFonts w:ascii="Calibri" w:hAnsi="Calibri"/>
          <w:szCs w:val="22"/>
          <w:lang w:eastAsia="en-US"/>
        </w:rPr>
        <w:t>Za prípad vyššej moci a mimoriadnej udalosti sa podľa článku 2(2) nariadenia (EÚ) č. 1306/2013 považuje:</w:t>
      </w:r>
    </w:p>
    <w:p w:rsidR="008676F9" w:rsidRPr="008676F9" w:rsidRDefault="008676F9" w:rsidP="00955DA4">
      <w:pPr>
        <w:numPr>
          <w:ilvl w:val="0"/>
          <w:numId w:val="238"/>
        </w:numPr>
        <w:ind w:left="709" w:hanging="349"/>
        <w:rPr>
          <w:rFonts w:ascii="Calibri" w:hAnsi="Calibri"/>
          <w:i/>
          <w:szCs w:val="22"/>
          <w:lang w:eastAsia="en-US"/>
        </w:rPr>
      </w:pPr>
      <w:r w:rsidRPr="008676F9">
        <w:rPr>
          <w:rFonts w:ascii="Calibri" w:hAnsi="Calibri"/>
          <w:i/>
          <w:szCs w:val="22"/>
          <w:lang w:eastAsia="en-US"/>
        </w:rPr>
        <w:t xml:space="preserve">úmrtie prijímateľa; </w:t>
      </w:r>
    </w:p>
    <w:p w:rsidR="008676F9" w:rsidRPr="008676F9" w:rsidRDefault="008676F9" w:rsidP="00955DA4">
      <w:pPr>
        <w:numPr>
          <w:ilvl w:val="0"/>
          <w:numId w:val="238"/>
        </w:numPr>
        <w:ind w:left="709" w:hanging="349"/>
        <w:rPr>
          <w:rFonts w:ascii="Calibri" w:hAnsi="Calibri"/>
          <w:i/>
          <w:szCs w:val="22"/>
          <w:lang w:eastAsia="en-US"/>
        </w:rPr>
      </w:pPr>
      <w:r w:rsidRPr="008676F9">
        <w:rPr>
          <w:rFonts w:ascii="Calibri" w:hAnsi="Calibri"/>
          <w:i/>
          <w:szCs w:val="22"/>
          <w:lang w:eastAsia="en-US"/>
        </w:rPr>
        <w:t xml:space="preserve">dlhodobá pracovná neschopnosť prijímateľa; </w:t>
      </w:r>
    </w:p>
    <w:p w:rsidR="008676F9" w:rsidRPr="008676F9" w:rsidRDefault="008676F9" w:rsidP="00955DA4">
      <w:pPr>
        <w:numPr>
          <w:ilvl w:val="0"/>
          <w:numId w:val="238"/>
        </w:numPr>
        <w:ind w:left="709" w:hanging="349"/>
        <w:rPr>
          <w:rFonts w:ascii="Calibri" w:hAnsi="Calibri"/>
          <w:i/>
          <w:szCs w:val="22"/>
          <w:lang w:eastAsia="en-US"/>
        </w:rPr>
      </w:pPr>
      <w:r w:rsidRPr="008676F9">
        <w:rPr>
          <w:rFonts w:ascii="Calibri" w:hAnsi="Calibri"/>
          <w:i/>
          <w:szCs w:val="22"/>
          <w:lang w:eastAsia="en-US"/>
        </w:rPr>
        <w:t xml:space="preserve">závažná prírodná katastrofa, ktorá vážne postihla podnik; </w:t>
      </w:r>
    </w:p>
    <w:p w:rsidR="008676F9" w:rsidRPr="008676F9" w:rsidRDefault="008676F9" w:rsidP="00955DA4">
      <w:pPr>
        <w:numPr>
          <w:ilvl w:val="0"/>
          <w:numId w:val="238"/>
        </w:numPr>
        <w:ind w:left="709" w:hanging="349"/>
        <w:rPr>
          <w:rFonts w:ascii="Calibri" w:hAnsi="Calibri"/>
          <w:i/>
          <w:szCs w:val="22"/>
          <w:lang w:eastAsia="en-US"/>
        </w:rPr>
      </w:pPr>
      <w:r w:rsidRPr="008676F9">
        <w:rPr>
          <w:rFonts w:ascii="Calibri" w:hAnsi="Calibri"/>
          <w:i/>
          <w:szCs w:val="22"/>
          <w:lang w:eastAsia="en-US"/>
        </w:rPr>
        <w:t xml:space="preserve">náhodné zničenie budov podniku vyhradených pre hospodárske zvieratá; </w:t>
      </w:r>
    </w:p>
    <w:p w:rsidR="008676F9" w:rsidRPr="008676F9" w:rsidRDefault="008676F9" w:rsidP="00955DA4">
      <w:pPr>
        <w:numPr>
          <w:ilvl w:val="0"/>
          <w:numId w:val="238"/>
        </w:numPr>
        <w:ind w:left="709" w:hanging="349"/>
        <w:rPr>
          <w:rFonts w:ascii="Calibri" w:hAnsi="Calibri"/>
          <w:i/>
          <w:szCs w:val="22"/>
          <w:lang w:eastAsia="en-US"/>
        </w:rPr>
      </w:pPr>
      <w:r w:rsidRPr="008676F9">
        <w:rPr>
          <w:rFonts w:ascii="Calibri" w:hAnsi="Calibri"/>
          <w:i/>
          <w:szCs w:val="22"/>
          <w:lang w:eastAsia="en-US"/>
        </w:rPr>
        <w:t xml:space="preserve">epizootické alebo rastlinné ochorenie, ktoré postihlo všetky hospodárske zvieratá alebo plodiny prijímateľa alebo časť z nich; </w:t>
      </w:r>
    </w:p>
    <w:p w:rsidR="008676F9" w:rsidRPr="008676F9" w:rsidRDefault="008676F9" w:rsidP="00955DA4">
      <w:pPr>
        <w:numPr>
          <w:ilvl w:val="0"/>
          <w:numId w:val="238"/>
        </w:numPr>
        <w:ind w:left="709" w:hanging="349"/>
        <w:rPr>
          <w:rFonts w:ascii="Calibri" w:hAnsi="Calibri"/>
          <w:i/>
          <w:szCs w:val="22"/>
          <w:lang w:eastAsia="en-US"/>
        </w:rPr>
      </w:pPr>
      <w:r w:rsidRPr="008676F9">
        <w:rPr>
          <w:rFonts w:ascii="Calibri" w:hAnsi="Calibri"/>
          <w:i/>
          <w:szCs w:val="22"/>
          <w:lang w:eastAsia="en-US"/>
        </w:rPr>
        <w:t>vyvlastnenie celého podniku alebo jeho veľkej časti, ak sa uvedené vyvlastnenie nedalo predpokladať v deň podania žiadosti.</w:t>
      </w:r>
    </w:p>
    <w:p w:rsidR="008676F9" w:rsidRPr="008676F9" w:rsidRDefault="008676F9" w:rsidP="007B5045">
      <w:pPr>
        <w:ind w:left="1065"/>
        <w:rPr>
          <w:rFonts w:ascii="Calibri" w:hAnsi="Calibri"/>
          <w:szCs w:val="22"/>
          <w:lang w:eastAsia="en-US"/>
        </w:rPr>
      </w:pPr>
    </w:p>
    <w:p w:rsidR="008676F9" w:rsidRPr="008676F9" w:rsidRDefault="008676F9" w:rsidP="00955DA4">
      <w:pPr>
        <w:numPr>
          <w:ilvl w:val="0"/>
          <w:numId w:val="239"/>
        </w:numPr>
        <w:spacing w:after="120"/>
        <w:ind w:left="426" w:hanging="284"/>
        <w:rPr>
          <w:rFonts w:ascii="Calibri" w:hAnsi="Calibri"/>
          <w:szCs w:val="22"/>
          <w:lang w:eastAsia="en-US"/>
        </w:rPr>
      </w:pPr>
      <w:r w:rsidRPr="008676F9">
        <w:rPr>
          <w:rFonts w:ascii="Calibri" w:hAnsi="Calibri"/>
          <w:szCs w:val="22"/>
          <w:lang w:eastAsia="en-US"/>
        </w:rPr>
        <w:t>Za prípad vyššej moci sa považuje aj rozhodnutie o navrátení pozemku v zmysle zákona č. 503/2003 Z. z. o navrátení vlastníctva k pozemkom a o zmene a doplnení zákona č. 180/1995 Z. z. o niektorých opatreniach na usporiadanie vlastníctva k pozemkom v znení neskorších predpisov (neplatí pre opatrenie 14).</w:t>
      </w:r>
    </w:p>
    <w:p w:rsidR="008676F9" w:rsidRPr="008676F9" w:rsidRDefault="008676F9" w:rsidP="00955DA4">
      <w:pPr>
        <w:numPr>
          <w:ilvl w:val="0"/>
          <w:numId w:val="239"/>
        </w:numPr>
        <w:spacing w:after="120"/>
        <w:ind w:left="426" w:hanging="284"/>
        <w:rPr>
          <w:rFonts w:ascii="Calibri" w:hAnsi="Calibri"/>
          <w:szCs w:val="22"/>
          <w:lang w:eastAsia="en-US"/>
        </w:rPr>
      </w:pPr>
      <w:r w:rsidRPr="008676F9">
        <w:rPr>
          <w:rFonts w:ascii="Calibri" w:hAnsi="Calibri"/>
          <w:szCs w:val="22"/>
          <w:lang w:eastAsia="en-US"/>
        </w:rPr>
        <w:t>Podľa článku 47(4) nariadenia (EÚ) č. 1305/2013 sa vrátenie prijatej pomoci nevyžaduje v prípadoch vyššej moci a za výnimočných okolností uvedených v článku 2 nariadenia (EÚ) č. 1306/2013.</w:t>
      </w:r>
    </w:p>
    <w:p w:rsidR="008676F9" w:rsidRPr="008676F9" w:rsidRDefault="008676F9" w:rsidP="00955DA4">
      <w:pPr>
        <w:numPr>
          <w:ilvl w:val="0"/>
          <w:numId w:val="239"/>
        </w:numPr>
        <w:spacing w:after="120"/>
        <w:ind w:left="426" w:hanging="284"/>
        <w:rPr>
          <w:rFonts w:ascii="Calibri" w:hAnsi="Calibri"/>
          <w:szCs w:val="22"/>
          <w:lang w:eastAsia="en-US"/>
        </w:rPr>
      </w:pPr>
      <w:r w:rsidRPr="008676F9">
        <w:rPr>
          <w:rFonts w:ascii="Calibri" w:hAnsi="Calibri"/>
          <w:szCs w:val="22"/>
          <w:lang w:eastAsia="en-US"/>
        </w:rPr>
        <w:t>Zavedenie doložky o revízii v zmysle článku 48 nariadenia (EÚ) č. 1305/2013 (platí pre opatrenia 10, 11, 14</w:t>
      </w:r>
      <w:r w:rsidR="009260E7">
        <w:rPr>
          <w:rFonts w:ascii="Calibri" w:hAnsi="Calibri"/>
          <w:szCs w:val="22"/>
          <w:lang w:eastAsia="en-US"/>
        </w:rPr>
        <w:t>, 15</w:t>
      </w:r>
      <w:r w:rsidRPr="008676F9">
        <w:rPr>
          <w:rFonts w:ascii="Calibri" w:hAnsi="Calibri"/>
          <w:szCs w:val="22"/>
          <w:lang w:eastAsia="en-US"/>
        </w:rPr>
        <w:t xml:space="preserve">). </w:t>
      </w:r>
    </w:p>
    <w:p w:rsidR="008676F9" w:rsidRPr="008676F9" w:rsidRDefault="008676F9" w:rsidP="009260E7">
      <w:pPr>
        <w:numPr>
          <w:ilvl w:val="0"/>
          <w:numId w:val="239"/>
        </w:numPr>
        <w:spacing w:after="120"/>
        <w:ind w:left="426" w:hanging="284"/>
        <w:rPr>
          <w:rFonts w:ascii="Calibri" w:hAnsi="Calibri"/>
          <w:szCs w:val="22"/>
          <w:lang w:eastAsia="en-US"/>
        </w:rPr>
      </w:pPr>
      <w:r w:rsidRPr="008676F9">
        <w:rPr>
          <w:rFonts w:ascii="Calibri" w:hAnsi="Calibri"/>
          <w:szCs w:val="22"/>
          <w:lang w:eastAsia="en-US"/>
        </w:rPr>
        <w:t>Podľa článku 47 (1) nariadenia (EÚ) č. 1305/2013 sa môže počet hektárov v záväzku z roka na rok líšiť. Pri tom nemôže byť ohrozené plnenie cieľa záväzku. (Platí pre opatrenie 10, 11</w:t>
      </w:r>
      <w:r w:rsidR="009260E7">
        <w:rPr>
          <w:rFonts w:ascii="Calibri" w:hAnsi="Calibri"/>
          <w:szCs w:val="22"/>
          <w:lang w:eastAsia="en-US"/>
        </w:rPr>
        <w:t>, 15</w:t>
      </w:r>
      <w:r w:rsidRPr="008676F9">
        <w:rPr>
          <w:rFonts w:ascii="Calibri" w:hAnsi="Calibri"/>
          <w:szCs w:val="22"/>
          <w:lang w:eastAsia="en-US"/>
        </w:rPr>
        <w:t>).</w:t>
      </w:r>
    </w:p>
    <w:p w:rsidR="008676F9" w:rsidRPr="008676F9" w:rsidRDefault="008676F9" w:rsidP="009260E7">
      <w:pPr>
        <w:numPr>
          <w:ilvl w:val="0"/>
          <w:numId w:val="239"/>
        </w:numPr>
        <w:spacing w:after="120"/>
        <w:ind w:left="426" w:hanging="284"/>
        <w:rPr>
          <w:rFonts w:ascii="Calibri" w:hAnsi="Calibri"/>
          <w:szCs w:val="22"/>
          <w:lang w:eastAsia="en-US"/>
        </w:rPr>
      </w:pPr>
      <w:r w:rsidRPr="008676F9">
        <w:rPr>
          <w:rFonts w:ascii="Calibri" w:hAnsi="Calibri"/>
          <w:szCs w:val="22"/>
          <w:lang w:eastAsia="en-US"/>
        </w:rPr>
        <w:t xml:space="preserve">Prevod záväzku podľa článku 47 (2) nariadenia (EÚ) č. 1305/2013:   Ak sa celý pozemok, na ktorý sa vzťahuje záväzok, alebo jeho časť alebo celý podnik prevedie na inú osobu v období, v ktorom platí uvedený záväzok, záväzok alebo jeho časť zodpovedajúcu prevedenej pôde môže na zvyšok obdobia prevziať táto druhá osoba, alebo platnosť záväzku uplynie a za obdobie, v ktorom bol záväzok účinný, sa vrátenie pomoci nevyžaduje. </w:t>
      </w:r>
    </w:p>
    <w:p w:rsidR="008676F9" w:rsidRPr="008676F9" w:rsidRDefault="008676F9" w:rsidP="00B3442A">
      <w:pPr>
        <w:numPr>
          <w:ilvl w:val="0"/>
          <w:numId w:val="239"/>
        </w:numPr>
        <w:spacing w:after="120"/>
        <w:ind w:left="426" w:hanging="284"/>
        <w:rPr>
          <w:rFonts w:ascii="Calibri" w:hAnsi="Calibri"/>
          <w:szCs w:val="22"/>
          <w:lang w:eastAsia="en-US"/>
        </w:rPr>
      </w:pPr>
      <w:r w:rsidRPr="008676F9">
        <w:rPr>
          <w:rFonts w:ascii="Calibri" w:hAnsi="Calibri"/>
          <w:szCs w:val="22"/>
          <w:lang w:eastAsia="en-US"/>
        </w:rPr>
        <w:t>Podľa článku 47 (3) nariadenia (EÚ) č. 1305/2013 ak  prijímateľ nie je schopný ďalej plniť prijaté záväzky, pretože jeho podnik alebo časť podniku je rozdelená alebo je predmetom opatrení verejnej pozemkovej úpravy alebo opatrení pozemkovej úpravy schválených príslušnými verejnými orgánmi, prijmú členské štáty opatrenia nevyhnutné na to, aby sa záväzky mohli</w:t>
      </w:r>
      <w:r w:rsidRPr="008676F9">
        <w:rPr>
          <w:rFonts w:ascii="Calibri" w:hAnsi="Calibri"/>
          <w:szCs w:val="22"/>
          <w:lang w:eastAsia="en-US"/>
        </w:rPr>
        <w:lastRenderedPageBreak/>
        <w:t xml:space="preserve"> prispôsobiť novej situácii podniku. Ak sa ukáže, že takéto prispôsobenie nie je možné, účinnosť záväzku uplynie a za obdobie, v ktorom bol záväzok účinný, sa vrátenie pomoci nevyžaduje.</w:t>
      </w:r>
    </w:p>
    <w:p w:rsidR="008676F9" w:rsidRPr="008676F9" w:rsidRDefault="008676F9" w:rsidP="000E5C15">
      <w:pPr>
        <w:numPr>
          <w:ilvl w:val="0"/>
          <w:numId w:val="239"/>
        </w:numPr>
        <w:spacing w:after="120"/>
        <w:ind w:left="426" w:hanging="284"/>
        <w:rPr>
          <w:rFonts w:ascii="Calibri" w:hAnsi="Calibri"/>
          <w:szCs w:val="22"/>
          <w:lang w:eastAsia="en-US"/>
        </w:rPr>
      </w:pPr>
      <w:r w:rsidRPr="008676F9">
        <w:rPr>
          <w:rFonts w:ascii="Calibri" w:hAnsi="Calibri"/>
          <w:szCs w:val="22"/>
          <w:lang w:eastAsia="en-US"/>
        </w:rPr>
        <w:t>Dodržiavať minimálne požiadavky používania prípravkov na ochranu rastlín (platí pre opatrenia 10, 11</w:t>
      </w:r>
      <w:r w:rsidR="009260E7">
        <w:rPr>
          <w:rFonts w:ascii="Calibri" w:hAnsi="Calibri"/>
          <w:szCs w:val="22"/>
          <w:lang w:eastAsia="en-US"/>
        </w:rPr>
        <w:t>, 15</w:t>
      </w:r>
      <w:r w:rsidRPr="008676F9">
        <w:rPr>
          <w:rFonts w:ascii="Calibri" w:hAnsi="Calibri"/>
          <w:szCs w:val="22"/>
          <w:lang w:eastAsia="en-US"/>
        </w:rPr>
        <w:t>).</w:t>
      </w:r>
    </w:p>
    <w:p w:rsidR="008676F9" w:rsidRPr="008676F9" w:rsidRDefault="008676F9" w:rsidP="000E5C15">
      <w:pPr>
        <w:numPr>
          <w:ilvl w:val="0"/>
          <w:numId w:val="239"/>
        </w:numPr>
        <w:spacing w:after="200"/>
        <w:ind w:left="426" w:hanging="284"/>
        <w:rPr>
          <w:rFonts w:ascii="Calibri" w:hAnsi="Calibri"/>
          <w:szCs w:val="22"/>
          <w:lang w:eastAsia="en-US"/>
        </w:rPr>
      </w:pPr>
      <w:r w:rsidRPr="008676F9">
        <w:rPr>
          <w:rFonts w:ascii="Calibri" w:hAnsi="Calibri"/>
          <w:szCs w:val="22"/>
          <w:lang w:eastAsia="en-US"/>
        </w:rPr>
        <w:t>Dodržiavať minimálne požiadavky na používanie hnojív (platí pre opatrenia 10, 11</w:t>
      </w:r>
      <w:r w:rsidR="009260E7">
        <w:rPr>
          <w:rFonts w:ascii="Calibri" w:hAnsi="Calibri"/>
          <w:szCs w:val="22"/>
          <w:lang w:eastAsia="en-US"/>
        </w:rPr>
        <w:t>, 15</w:t>
      </w:r>
      <w:r w:rsidRPr="008676F9">
        <w:rPr>
          <w:rFonts w:ascii="Calibri" w:hAnsi="Calibri"/>
          <w:szCs w:val="22"/>
          <w:lang w:eastAsia="en-US"/>
        </w:rPr>
        <w:t>).</w:t>
      </w:r>
    </w:p>
    <w:p w:rsidR="008676F9" w:rsidRPr="008676F9" w:rsidRDefault="008676F9" w:rsidP="008676F9">
      <w:pPr>
        <w:ind w:left="1065"/>
        <w:rPr>
          <w:rFonts w:ascii="Calibri" w:hAnsi="Calibri"/>
          <w:szCs w:val="22"/>
          <w:lang w:eastAsia="en-US"/>
        </w:rPr>
      </w:pPr>
    </w:p>
    <w:p w:rsidR="008676F9" w:rsidRPr="008676F9" w:rsidRDefault="008676F9" w:rsidP="008676F9">
      <w:pPr>
        <w:numPr>
          <w:ilvl w:val="1"/>
          <w:numId w:val="0"/>
        </w:numPr>
        <w:rPr>
          <w:rFonts w:ascii="Calibri" w:hAnsi="Calibri"/>
          <w:iCs/>
          <w:spacing w:val="15"/>
          <w:szCs w:val="22"/>
          <w:lang w:eastAsia="en-US"/>
        </w:rPr>
      </w:pPr>
    </w:p>
    <w:p w:rsidR="008676F9" w:rsidRPr="008676F9" w:rsidRDefault="008676F9" w:rsidP="00AA30CA">
      <w:pPr>
        <w:pStyle w:val="Podpod"/>
      </w:pPr>
      <w:bookmarkStart w:id="77" w:name="_Toc387041319"/>
      <w:r w:rsidRPr="008676F9">
        <w:t>8.1.3. Poskytovanie záloh konečným prijímateľom</w:t>
      </w:r>
      <w:bookmarkEnd w:id="77"/>
    </w:p>
    <w:p w:rsidR="008D12E7" w:rsidRPr="008676F9" w:rsidRDefault="008D12E7" w:rsidP="008D12E7">
      <w:pPr>
        <w:rPr>
          <w:rFonts w:ascii="Calibri" w:eastAsia="Calibri" w:hAnsi="Calibri" w:cs="Calibri"/>
          <w:szCs w:val="22"/>
          <w:lang w:eastAsia="en-US"/>
        </w:rPr>
      </w:pPr>
      <w:r w:rsidRPr="008676F9">
        <w:rPr>
          <w:rFonts w:ascii="Calibri" w:eastAsia="Calibri" w:hAnsi="Calibri" w:cs="Calibri"/>
          <w:szCs w:val="22"/>
          <w:lang w:eastAsia="en-US"/>
        </w:rPr>
        <w:t xml:space="preserve">V zmysle článku 45 ods. 4 nariadenia (EÚ) č. 1305/2013 sa môže na investičné opatrenia poskytnúť zálohová platba až do výšky 50 %. V zmysle článku 63 nariadenia (EÚ) č. 1305/2013 je zálohová platba podmienená poskytnutím bankovej záruky alebo rovnocennej záruky zodpovedajúcej 100 % sumy záloh. </w:t>
      </w:r>
      <w:r>
        <w:rPr>
          <w:rFonts w:ascii="Calibri" w:eastAsia="Calibri" w:hAnsi="Calibri" w:cs="Calibri"/>
          <w:szCs w:val="22"/>
          <w:lang w:eastAsia="en-US"/>
        </w:rPr>
        <w:t>Pokiaľ ide o verejných prijímateľov</w:t>
      </w:r>
      <w:r w:rsidR="006C71EE">
        <w:rPr>
          <w:rFonts w:ascii="Calibri" w:eastAsia="Calibri" w:hAnsi="Calibri" w:cs="Calibri"/>
          <w:szCs w:val="22"/>
          <w:lang w:eastAsia="en-US"/>
        </w:rPr>
        <w:t>,</w:t>
      </w:r>
      <w:r>
        <w:rPr>
          <w:rFonts w:ascii="Calibri" w:eastAsia="Calibri" w:hAnsi="Calibri" w:cs="Calibri"/>
          <w:szCs w:val="22"/>
          <w:lang w:eastAsia="en-US"/>
        </w:rPr>
        <w:t xml:space="preserve"> z</w:t>
      </w:r>
      <w:r w:rsidRPr="008676F9">
        <w:rPr>
          <w:rFonts w:ascii="Calibri" w:eastAsia="Calibri" w:hAnsi="Calibri" w:cs="Calibri"/>
          <w:szCs w:val="22"/>
          <w:lang w:eastAsia="en-US"/>
        </w:rPr>
        <w:t>álohová platba sa môže vyplatiť obciam, regionálnym orgánom a ich združeniam, ako aj verejnoprávnym subjektom</w:t>
      </w:r>
      <w:r>
        <w:rPr>
          <w:rFonts w:ascii="Calibri" w:eastAsia="Calibri" w:hAnsi="Calibri" w:cs="Calibri"/>
          <w:szCs w:val="22"/>
          <w:lang w:eastAsia="en-US"/>
        </w:rPr>
        <w:t xml:space="preserve"> vrátane štátnych podnikov</w:t>
      </w:r>
      <w:r w:rsidRPr="008676F9">
        <w:rPr>
          <w:rFonts w:ascii="Calibri" w:eastAsia="Calibri" w:hAnsi="Calibri" w:cs="Calibri"/>
          <w:szCs w:val="22"/>
          <w:lang w:eastAsia="en-US"/>
        </w:rPr>
        <w:t>.</w:t>
      </w:r>
      <w:r>
        <w:rPr>
          <w:rFonts w:ascii="Calibri" w:eastAsia="Calibri" w:hAnsi="Calibri" w:cs="Calibri"/>
          <w:szCs w:val="22"/>
          <w:lang w:eastAsia="en-US"/>
        </w:rPr>
        <w:t xml:space="preserve"> </w:t>
      </w:r>
      <w:r w:rsidRPr="004924FD">
        <w:rPr>
          <w:rFonts w:ascii="Calibri" w:eastAsia="Calibri" w:hAnsi="Calibri" w:cs="Calibri"/>
          <w:szCs w:val="22"/>
          <w:lang w:eastAsia="en-US"/>
        </w:rPr>
        <w:t>V</w:t>
      </w:r>
      <w:r>
        <w:rPr>
          <w:rFonts w:ascii="Calibri" w:eastAsia="Calibri" w:hAnsi="Calibri" w:cs="Calibri"/>
          <w:szCs w:val="22"/>
          <w:lang w:eastAsia="en-US"/>
        </w:rPr>
        <w:t> nadväznosti na</w:t>
      </w:r>
      <w:r w:rsidRPr="004924FD">
        <w:rPr>
          <w:rFonts w:ascii="Calibri" w:eastAsia="Calibri" w:hAnsi="Calibri" w:cs="Calibri"/>
          <w:szCs w:val="22"/>
          <w:lang w:eastAsia="en-US"/>
        </w:rPr>
        <w:t xml:space="preserve"> člán</w:t>
      </w:r>
      <w:r>
        <w:rPr>
          <w:rFonts w:ascii="Calibri" w:eastAsia="Calibri" w:hAnsi="Calibri" w:cs="Calibri"/>
          <w:szCs w:val="22"/>
          <w:lang w:eastAsia="en-US"/>
        </w:rPr>
        <w:t>o</w:t>
      </w:r>
      <w:r w:rsidRPr="004924FD">
        <w:rPr>
          <w:rFonts w:ascii="Calibri" w:eastAsia="Calibri" w:hAnsi="Calibri" w:cs="Calibri"/>
          <w:szCs w:val="22"/>
          <w:lang w:eastAsia="en-US"/>
        </w:rPr>
        <w:t>k 42 ods. 2 nariadenia (EÚ) č. 1305/2013 môžu požiadať o zálohov</w:t>
      </w:r>
      <w:r>
        <w:rPr>
          <w:rFonts w:ascii="Calibri" w:eastAsia="Calibri" w:hAnsi="Calibri" w:cs="Calibri"/>
          <w:szCs w:val="22"/>
          <w:lang w:eastAsia="en-US"/>
        </w:rPr>
        <w:t>ú</w:t>
      </w:r>
      <w:r w:rsidRPr="004924FD">
        <w:rPr>
          <w:rFonts w:ascii="Calibri" w:eastAsia="Calibri" w:hAnsi="Calibri" w:cs="Calibri"/>
          <w:szCs w:val="22"/>
          <w:lang w:eastAsia="en-US"/>
        </w:rPr>
        <w:t xml:space="preserve"> platb</w:t>
      </w:r>
      <w:r>
        <w:rPr>
          <w:rFonts w:ascii="Calibri" w:eastAsia="Calibri" w:hAnsi="Calibri" w:cs="Calibri"/>
          <w:szCs w:val="22"/>
          <w:lang w:eastAsia="en-US"/>
        </w:rPr>
        <w:t xml:space="preserve">u aj miestne akčné skupiny. </w:t>
      </w:r>
    </w:p>
    <w:p w:rsidR="008676F9" w:rsidRPr="008676F9" w:rsidRDefault="008676F9" w:rsidP="007B5045">
      <w:pPr>
        <w:rPr>
          <w:rFonts w:ascii="Calibri" w:eastAsia="Calibri" w:hAnsi="Calibri" w:cs="Calibri"/>
          <w:szCs w:val="22"/>
          <w:lang w:eastAsia="en-US"/>
        </w:rPr>
      </w:pPr>
    </w:p>
    <w:p w:rsidR="008676F9" w:rsidRPr="008676F9" w:rsidRDefault="008676F9" w:rsidP="00BE36D5">
      <w:pPr>
        <w:spacing w:after="120"/>
        <w:rPr>
          <w:rFonts w:ascii="Calibri" w:eastAsia="Calibri" w:hAnsi="Calibri" w:cs="Calibri"/>
          <w:szCs w:val="22"/>
          <w:lang w:eastAsia="en-US"/>
        </w:rPr>
      </w:pPr>
      <w:r w:rsidRPr="008676F9">
        <w:rPr>
          <w:rFonts w:ascii="Calibri" w:eastAsia="Calibri" w:hAnsi="Calibri" w:cs="Calibri"/>
          <w:szCs w:val="22"/>
          <w:lang w:eastAsia="en-US"/>
        </w:rPr>
        <w:t>Týka sa nasledovných opatrení/podopatrení:</w:t>
      </w:r>
    </w:p>
    <w:p w:rsidR="00B36C0D" w:rsidRDefault="00B36C0D" w:rsidP="001F5283">
      <w:pPr>
        <w:numPr>
          <w:ilvl w:val="0"/>
          <w:numId w:val="49"/>
        </w:numPr>
        <w:tabs>
          <w:tab w:val="left" w:pos="709"/>
        </w:tabs>
        <w:spacing w:after="120"/>
        <w:ind w:left="425" w:hanging="425"/>
        <w:rPr>
          <w:rFonts w:ascii="Calibri" w:hAnsi="Calibri"/>
          <w:b/>
          <w:i/>
          <w:iCs/>
          <w:spacing w:val="15"/>
          <w:szCs w:val="22"/>
          <w:lang w:eastAsia="en-US"/>
        </w:rPr>
      </w:pPr>
      <w:r>
        <w:rPr>
          <w:rFonts w:ascii="Calibri" w:hAnsi="Calibri"/>
          <w:b/>
          <w:i/>
          <w:iCs/>
          <w:spacing w:val="15"/>
          <w:szCs w:val="22"/>
          <w:lang w:eastAsia="en-US"/>
        </w:rPr>
        <w:t>4.3 Podpora investícií do infraštruktúry týkajúcej sa rozvoja, modernizácie alebo adaptácie poľnohospodárstva a lesníctva – vypracovanie a vykonanie projektov pozemkových úprav;</w:t>
      </w:r>
    </w:p>
    <w:p w:rsidR="00B36C0D" w:rsidRDefault="00B36C0D" w:rsidP="001F5283">
      <w:pPr>
        <w:numPr>
          <w:ilvl w:val="0"/>
          <w:numId w:val="49"/>
        </w:numPr>
        <w:tabs>
          <w:tab w:val="left" w:pos="709"/>
        </w:tabs>
        <w:spacing w:after="120"/>
        <w:ind w:left="425" w:hanging="425"/>
        <w:rPr>
          <w:rFonts w:ascii="Calibri" w:hAnsi="Calibri"/>
          <w:b/>
          <w:i/>
          <w:iCs/>
          <w:spacing w:val="15"/>
          <w:szCs w:val="22"/>
          <w:lang w:eastAsia="en-US"/>
        </w:rPr>
      </w:pPr>
      <w:r>
        <w:rPr>
          <w:rFonts w:ascii="Calibri" w:hAnsi="Calibri"/>
          <w:b/>
          <w:i/>
          <w:iCs/>
          <w:spacing w:val="15"/>
          <w:szCs w:val="22"/>
          <w:lang w:eastAsia="en-US"/>
        </w:rPr>
        <w:t>4.3 Podpora investícií do infraštruktúry týkajúcej sa rozvoja, modernizácie alebo adaptácie poľnohospodárstva a lesníctva – vybudovanie spoločných zariadení;</w:t>
      </w:r>
    </w:p>
    <w:p w:rsidR="008676F9" w:rsidRPr="008676F9" w:rsidRDefault="008676F9" w:rsidP="001F5283">
      <w:pPr>
        <w:numPr>
          <w:ilvl w:val="0"/>
          <w:numId w:val="49"/>
        </w:numPr>
        <w:tabs>
          <w:tab w:val="left" w:pos="709"/>
        </w:tabs>
        <w:spacing w:after="120"/>
        <w:ind w:left="425" w:hanging="425"/>
        <w:rPr>
          <w:rFonts w:ascii="Calibri" w:hAnsi="Calibri"/>
          <w:b/>
          <w:i/>
          <w:iCs/>
          <w:spacing w:val="15"/>
          <w:szCs w:val="22"/>
          <w:lang w:eastAsia="en-US"/>
        </w:rPr>
      </w:pPr>
      <w:r w:rsidRPr="008676F9">
        <w:rPr>
          <w:rFonts w:ascii="Calibri" w:hAnsi="Calibri"/>
          <w:b/>
          <w:i/>
          <w:iCs/>
          <w:spacing w:val="15"/>
          <w:szCs w:val="22"/>
          <w:lang w:eastAsia="en-US"/>
        </w:rPr>
        <w:t>5 Obnova potenciálu poľnohospodárskej výroby zničeného prírodnými pohromami a katastrofickými udalosťami a zavedenie vhodných preventívnych opatrení;</w:t>
      </w:r>
    </w:p>
    <w:p w:rsidR="008676F9" w:rsidRPr="008676F9" w:rsidRDefault="008676F9" w:rsidP="001F5283">
      <w:pPr>
        <w:numPr>
          <w:ilvl w:val="0"/>
          <w:numId w:val="49"/>
        </w:numPr>
        <w:spacing w:after="120"/>
        <w:ind w:left="426" w:hanging="426"/>
        <w:rPr>
          <w:rFonts w:ascii="Calibri" w:hAnsi="Calibri"/>
          <w:b/>
          <w:i/>
          <w:iCs/>
          <w:spacing w:val="15"/>
          <w:szCs w:val="22"/>
          <w:lang w:eastAsia="en-US"/>
        </w:rPr>
      </w:pPr>
      <w:r w:rsidRPr="008676F9">
        <w:rPr>
          <w:rFonts w:ascii="Calibri" w:hAnsi="Calibri"/>
          <w:b/>
          <w:i/>
          <w:iCs/>
          <w:spacing w:val="15"/>
          <w:szCs w:val="22"/>
          <w:lang w:eastAsia="en-US"/>
        </w:rPr>
        <w:t>7 Základné služby a obnova dedín vo vidieckych oblastiach;</w:t>
      </w:r>
    </w:p>
    <w:p w:rsidR="008676F9" w:rsidRPr="008676F9" w:rsidRDefault="008676F9" w:rsidP="00955DA4">
      <w:pPr>
        <w:numPr>
          <w:ilvl w:val="0"/>
          <w:numId w:val="162"/>
        </w:numPr>
        <w:tabs>
          <w:tab w:val="left" w:pos="709"/>
        </w:tabs>
        <w:spacing w:after="120"/>
        <w:ind w:left="425" w:hanging="425"/>
        <w:rPr>
          <w:rFonts w:ascii="Calibri" w:hAnsi="Calibri"/>
          <w:b/>
          <w:i/>
          <w:iCs/>
          <w:spacing w:val="15"/>
          <w:szCs w:val="22"/>
          <w:lang w:eastAsia="en-US"/>
        </w:rPr>
      </w:pPr>
      <w:r w:rsidRPr="008676F9">
        <w:rPr>
          <w:rFonts w:ascii="Calibri" w:hAnsi="Calibri"/>
          <w:b/>
          <w:i/>
          <w:iCs/>
          <w:spacing w:val="15"/>
          <w:szCs w:val="22"/>
          <w:lang w:eastAsia="en-US"/>
        </w:rPr>
        <w:t>8.3 Podpora prevencie poškodenia lesov lesnými požiarmi, prírodnými pohromami a katastrofickými udalosťami;</w:t>
      </w:r>
    </w:p>
    <w:p w:rsidR="008676F9" w:rsidRDefault="008676F9" w:rsidP="00955DA4">
      <w:pPr>
        <w:numPr>
          <w:ilvl w:val="0"/>
          <w:numId w:val="162"/>
        </w:numPr>
        <w:tabs>
          <w:tab w:val="left" w:pos="709"/>
        </w:tabs>
        <w:spacing w:after="120"/>
        <w:ind w:left="425" w:hanging="425"/>
        <w:rPr>
          <w:rFonts w:ascii="Calibri" w:hAnsi="Calibri"/>
          <w:b/>
          <w:i/>
          <w:iCs/>
          <w:spacing w:val="15"/>
          <w:szCs w:val="22"/>
          <w:lang w:eastAsia="en-US"/>
        </w:rPr>
      </w:pPr>
      <w:r w:rsidRPr="008676F9">
        <w:rPr>
          <w:rFonts w:ascii="Calibri" w:hAnsi="Calibri"/>
          <w:b/>
          <w:i/>
          <w:iCs/>
          <w:spacing w:val="15"/>
          <w:szCs w:val="22"/>
          <w:lang w:eastAsia="en-US"/>
        </w:rPr>
        <w:t>8.4. Podpora prevencie poškodenia lesov lesnými požiarmi, prírodnými pohromami a katastrofickými udalosťami a obnova poškodených lesov;</w:t>
      </w:r>
    </w:p>
    <w:p w:rsidR="005223B3" w:rsidRPr="008676F9" w:rsidRDefault="005223B3" w:rsidP="00955DA4">
      <w:pPr>
        <w:numPr>
          <w:ilvl w:val="0"/>
          <w:numId w:val="162"/>
        </w:numPr>
        <w:tabs>
          <w:tab w:val="left" w:pos="709"/>
        </w:tabs>
        <w:spacing w:after="120"/>
        <w:ind w:left="425" w:hanging="425"/>
        <w:rPr>
          <w:rFonts w:ascii="Calibri" w:hAnsi="Calibri"/>
          <w:b/>
          <w:i/>
          <w:iCs/>
          <w:spacing w:val="15"/>
          <w:szCs w:val="22"/>
          <w:lang w:eastAsia="en-US"/>
        </w:rPr>
      </w:pPr>
      <w:r>
        <w:rPr>
          <w:rFonts w:ascii="Calibri" w:hAnsi="Calibri"/>
          <w:b/>
          <w:i/>
          <w:iCs/>
          <w:spacing w:val="15"/>
          <w:szCs w:val="22"/>
          <w:lang w:eastAsia="en-US"/>
        </w:rPr>
        <w:t>16 Spolupráca</w:t>
      </w:r>
    </w:p>
    <w:p w:rsidR="008676F9" w:rsidRPr="008676F9" w:rsidRDefault="008676F9" w:rsidP="00955DA4">
      <w:pPr>
        <w:numPr>
          <w:ilvl w:val="0"/>
          <w:numId w:val="162"/>
        </w:numPr>
        <w:tabs>
          <w:tab w:val="left" w:pos="709"/>
        </w:tabs>
        <w:ind w:left="426" w:hanging="426"/>
        <w:rPr>
          <w:rFonts w:ascii="Calibri" w:hAnsi="Calibri"/>
          <w:b/>
          <w:i/>
          <w:iCs/>
          <w:spacing w:val="15"/>
          <w:szCs w:val="22"/>
          <w:lang w:eastAsia="en-US"/>
        </w:rPr>
      </w:pPr>
      <w:r w:rsidRPr="008676F9">
        <w:rPr>
          <w:rFonts w:ascii="Calibri" w:hAnsi="Calibri"/>
          <w:b/>
          <w:i/>
          <w:iCs/>
          <w:spacing w:val="15"/>
          <w:szCs w:val="22"/>
          <w:lang w:eastAsia="en-US"/>
        </w:rPr>
        <w:t>19 LEADER.</w:t>
      </w:r>
    </w:p>
    <w:p w:rsidR="008676F9" w:rsidRPr="008676F9" w:rsidRDefault="008676F9" w:rsidP="007B5045">
      <w:pPr>
        <w:numPr>
          <w:ilvl w:val="1"/>
          <w:numId w:val="0"/>
        </w:numPr>
        <w:ind w:left="709"/>
        <w:rPr>
          <w:rFonts w:ascii="Calibri" w:hAnsi="Calibri"/>
          <w:b/>
          <w:i/>
          <w:iCs/>
          <w:spacing w:val="15"/>
          <w:szCs w:val="22"/>
          <w:lang w:eastAsia="en-US"/>
        </w:rPr>
      </w:pPr>
      <w:r w:rsidRPr="008676F9">
        <w:rPr>
          <w:rFonts w:ascii="Calibri" w:hAnsi="Calibri"/>
          <w:b/>
          <w:i/>
          <w:iCs/>
          <w:spacing w:val="15"/>
          <w:szCs w:val="22"/>
          <w:lang w:eastAsia="en-US"/>
        </w:rPr>
        <w:br w:type="page"/>
      </w:r>
    </w:p>
    <w:p w:rsidR="008676F9" w:rsidRPr="008676F9" w:rsidRDefault="008676F9" w:rsidP="00AA30CA">
      <w:pPr>
        <w:pStyle w:val="Pod"/>
        <w:rPr>
          <w:rFonts w:eastAsia="Calibri"/>
          <w:lang w:eastAsia="en-US"/>
        </w:rPr>
      </w:pPr>
      <w:bookmarkStart w:id="78" w:name="_Toc387041320"/>
      <w:r w:rsidRPr="008676F9">
        <w:rPr>
          <w:rFonts w:eastAsia="Calibri"/>
          <w:lang w:eastAsia="en-US"/>
        </w:rPr>
        <w:t>8.2. Špecifický opis jednotlivých opatrení:</w:t>
      </w:r>
      <w:bookmarkEnd w:id="78"/>
    </w:p>
    <w:p w:rsidR="008676F9" w:rsidRPr="008676F9" w:rsidRDefault="008676F9" w:rsidP="00AA30CA">
      <w:pPr>
        <w:pStyle w:val="Opatrenie"/>
      </w:pPr>
      <w:bookmarkStart w:id="79" w:name="_Toc387041321"/>
      <w:r w:rsidRPr="008676F9">
        <w:t xml:space="preserve">8.2.1 OPATRENIE </w:t>
      </w:r>
      <w:r w:rsidRPr="008676F9">
        <w:tab/>
        <w:t xml:space="preserve">1 </w:t>
      </w:r>
      <w:r w:rsidRPr="008676F9">
        <w:tab/>
        <w:t>prenos znalostí a informačné aktivity</w:t>
      </w:r>
      <w:bookmarkEnd w:id="79"/>
    </w:p>
    <w:p w:rsidR="008676F9" w:rsidRPr="008676F9" w:rsidRDefault="008676F9" w:rsidP="008676F9">
      <w:pPr>
        <w:keepNext/>
        <w:ind w:left="576" w:hanging="576"/>
        <w:outlineLvl w:val="1"/>
        <w:rPr>
          <w:rFonts w:ascii="Calibri" w:hAnsi="Calibri" w:cs="Calibri"/>
          <w:b/>
          <w:bCs/>
          <w:szCs w:val="22"/>
          <w:lang w:eastAsia="en-US"/>
        </w:rPr>
      </w:pPr>
      <w:bookmarkStart w:id="80" w:name="_Toc342473943"/>
    </w:p>
    <w:bookmarkEnd w:id="80"/>
    <w:p w:rsidR="008676F9" w:rsidRPr="008676F9" w:rsidRDefault="008676F9" w:rsidP="007B5045">
      <w:pPr>
        <w:rPr>
          <w:rFonts w:ascii="Calibri" w:eastAsia="Calibri" w:hAnsi="Calibri" w:cs="Calibri"/>
          <w:b/>
          <w:szCs w:val="22"/>
          <w:lang w:eastAsia="en-US"/>
        </w:rPr>
      </w:pPr>
      <w:r w:rsidRPr="008676F9">
        <w:rPr>
          <w:rFonts w:ascii="Calibri" w:eastAsia="Calibri" w:hAnsi="Calibri" w:cs="Calibri"/>
          <w:b/>
          <w:szCs w:val="22"/>
          <w:lang w:eastAsia="en-US"/>
        </w:rPr>
        <w:t xml:space="preserve">8.2.1.1. Právny základ </w:t>
      </w:r>
    </w:p>
    <w:p w:rsidR="00425CA0" w:rsidRPr="008676F9" w:rsidRDefault="008676F9" w:rsidP="00955DA4">
      <w:pPr>
        <w:numPr>
          <w:ilvl w:val="0"/>
          <w:numId w:val="141"/>
        </w:numPr>
        <w:ind w:left="142" w:hanging="142"/>
        <w:rPr>
          <w:rFonts w:ascii="Calibri" w:hAnsi="Calibri" w:cs="Calibri"/>
          <w:szCs w:val="22"/>
          <w:lang w:eastAsia="en-US"/>
        </w:rPr>
      </w:pPr>
      <w:r w:rsidRPr="00425CA0">
        <w:rPr>
          <w:rFonts w:ascii="Calibri" w:hAnsi="Calibri" w:cs="Calibri"/>
          <w:szCs w:val="22"/>
          <w:lang w:eastAsia="en-US"/>
        </w:rPr>
        <w:t xml:space="preserve">článok 14 nariadenia </w:t>
      </w:r>
      <w:r w:rsidR="00425CA0">
        <w:rPr>
          <w:rFonts w:ascii="Calibri" w:hAnsi="Calibri" w:cs="Calibri"/>
          <w:szCs w:val="22"/>
          <w:lang w:eastAsia="en-US"/>
        </w:rPr>
        <w:t xml:space="preserve">(EÚ) </w:t>
      </w:r>
      <w:r w:rsidR="00425CA0" w:rsidRPr="008676F9">
        <w:rPr>
          <w:rFonts w:ascii="Calibri" w:hAnsi="Calibri" w:cs="Calibri"/>
          <w:szCs w:val="22"/>
          <w:lang w:eastAsia="en-US"/>
        </w:rPr>
        <w:t xml:space="preserve">č. 1305/2013 o podpore rozvoja vidieka </w:t>
      </w:r>
      <w:r w:rsidR="00E81F0F">
        <w:rPr>
          <w:rFonts w:ascii="Calibri" w:hAnsi="Calibri" w:cs="Calibri"/>
          <w:szCs w:val="22"/>
          <w:lang w:eastAsia="en-US"/>
        </w:rPr>
        <w:t>z</w:t>
      </w:r>
      <w:r w:rsidR="00425CA0" w:rsidRPr="008676F9">
        <w:rPr>
          <w:rFonts w:ascii="Calibri" w:hAnsi="Calibri" w:cs="Calibri"/>
          <w:szCs w:val="22"/>
          <w:lang w:eastAsia="en-US"/>
        </w:rPr>
        <w:t xml:space="preserve"> EPFRV</w:t>
      </w:r>
      <w:r w:rsidR="00425CA0">
        <w:rPr>
          <w:rFonts w:ascii="Calibri" w:hAnsi="Calibri" w:cs="Calibri"/>
          <w:szCs w:val="22"/>
          <w:lang w:eastAsia="en-US"/>
        </w:rPr>
        <w:t>;</w:t>
      </w:r>
    </w:p>
    <w:p w:rsidR="008676F9" w:rsidRPr="00425CA0" w:rsidRDefault="008676F9" w:rsidP="00955DA4">
      <w:pPr>
        <w:numPr>
          <w:ilvl w:val="0"/>
          <w:numId w:val="141"/>
        </w:numPr>
        <w:ind w:left="142" w:hanging="142"/>
        <w:rPr>
          <w:rFonts w:ascii="Calibri" w:hAnsi="Calibri" w:cs="Calibri"/>
          <w:szCs w:val="22"/>
          <w:lang w:eastAsia="en-US"/>
        </w:rPr>
      </w:pPr>
      <w:r w:rsidRPr="00425CA0">
        <w:rPr>
          <w:rFonts w:ascii="Calibri" w:hAnsi="Calibri" w:cs="Calibri"/>
          <w:szCs w:val="22"/>
          <w:lang w:eastAsia="en-US"/>
        </w:rPr>
        <w:t>článok 3 delegovaného nariadenia Komisie (EÚ) č. ...../2014;</w:t>
      </w:r>
    </w:p>
    <w:p w:rsidR="008676F9" w:rsidRPr="008676F9" w:rsidRDefault="008676F9" w:rsidP="00955DA4">
      <w:pPr>
        <w:numPr>
          <w:ilvl w:val="0"/>
          <w:numId w:val="141"/>
        </w:numPr>
        <w:ind w:left="142" w:hanging="142"/>
        <w:rPr>
          <w:rFonts w:ascii="Calibri" w:hAnsi="Calibri" w:cs="Calibri"/>
          <w:szCs w:val="22"/>
          <w:lang w:eastAsia="en-US"/>
        </w:rPr>
      </w:pPr>
      <w:r w:rsidRPr="008676F9">
        <w:rPr>
          <w:rFonts w:ascii="Calibri" w:hAnsi="Calibri" w:cs="Calibri"/>
          <w:szCs w:val="22"/>
          <w:lang w:eastAsia="en-US"/>
        </w:rPr>
        <w:t>článok 6 a príloha I bod 8 vykonávacieho nariadenia Komisie (EÚ) č. ....../2014.</w:t>
      </w:r>
    </w:p>
    <w:p w:rsidR="008676F9" w:rsidRPr="008676F9" w:rsidRDefault="008676F9" w:rsidP="008676F9">
      <w:pPr>
        <w:rPr>
          <w:rFonts w:ascii="Calibri" w:eastAsia="Calibri" w:hAnsi="Calibri" w:cs="Calibri"/>
          <w:szCs w:val="22"/>
          <w:lang w:eastAsia="en-US"/>
        </w:rPr>
      </w:pPr>
    </w:p>
    <w:p w:rsidR="008676F9" w:rsidRPr="008676F9" w:rsidRDefault="008676F9" w:rsidP="008676F9">
      <w:pPr>
        <w:ind w:left="709" w:hanging="709"/>
        <w:rPr>
          <w:rFonts w:ascii="Calibri" w:eastAsia="Calibri" w:hAnsi="Calibri" w:cs="Calibri"/>
          <w:b/>
          <w:szCs w:val="22"/>
          <w:lang w:eastAsia="en-US"/>
        </w:rPr>
      </w:pPr>
      <w:r w:rsidRPr="008676F9">
        <w:rPr>
          <w:rFonts w:ascii="Calibri" w:eastAsia="Calibri" w:hAnsi="Calibri" w:cs="Calibri"/>
          <w:b/>
          <w:szCs w:val="22"/>
          <w:lang w:eastAsia="en-US"/>
        </w:rPr>
        <w:t>8.2.1.2. Všeobecný opis opatrenia vrátane intervenčnej logiky a príspevku k fokusovej oblasti a prierezovým cieľom</w:t>
      </w:r>
    </w:p>
    <w:p w:rsidR="008676F9" w:rsidRPr="008676F9" w:rsidRDefault="008676F9" w:rsidP="008676F9">
      <w:pPr>
        <w:spacing w:after="60"/>
        <w:rPr>
          <w:rFonts w:ascii="Calibri" w:eastAsia="Calibri" w:hAnsi="Calibri" w:cs="Calibri"/>
          <w:szCs w:val="22"/>
          <w:lang w:eastAsia="en-US"/>
        </w:rPr>
      </w:pPr>
      <w:r w:rsidRPr="008676F9">
        <w:rPr>
          <w:rFonts w:ascii="Calibri" w:eastAsia="Calibri" w:hAnsi="Calibri" w:cs="Calibri"/>
          <w:szCs w:val="22"/>
          <w:lang w:eastAsia="en-US"/>
        </w:rPr>
        <w:t>Úroveň vzdelania a celoživotné vzdelávanie zohrávajú v hospodárskom a sociálnom rozvoji kľúčovú úlohu. Ľudský kapitál predstavuje kľúčový faktor inteligentného rastu spoločnosti a inkluzívneho rastu , vrátane vplyvu na životné prostredie, zdravie a sociálnu integráciu a v neposlednom rade hospodárskeho rastu a konkurencieschopnejšieho hospodárstva. Rezort pôdohospodárstva si uvedomuje, že najmä vzdelávanie má nepopierateľne pozitívne efekty na celkovú ekonomiku štátu a preto  je zámerom pozdvihnúť vzdelanosť na najvyšší stupeň spoločenských hodnôt prostredníctvom podpory prenosu znalostí  a celoživotného vzdelávania, vedy a výskumu. Konkurencieschopnosť a trvalá udržateľnosť poľnohospodárstva, potravinárstva, lesného hospodárstva a veterinárnych vied vo vidieckom priestore garantujú regionálne vyvážený rozvoj celého odvetvia. Garantujú rozvoj vidieka, využitie ľudských zdrojov, stabilitu podnikania pri rešpektovaní zásad ochrany životného prostredia a udržania hodnôt krajiny. Vzdelávanie je dôležitým faktorom podpory zamestnanosti obyvateľstva vo vidieckom priestore, flexibility pracovnej sily a rozširovanie diverzifikačných činností formou nových metodických postupov a techník vo vzdelávaní.</w:t>
      </w:r>
    </w:p>
    <w:p w:rsidR="008676F9" w:rsidRPr="008676F9" w:rsidRDefault="008676F9" w:rsidP="008676F9">
      <w:pPr>
        <w:spacing w:after="60"/>
        <w:rPr>
          <w:rFonts w:ascii="Calibri" w:eastAsia="Calibri" w:hAnsi="Calibri" w:cs="Calibri"/>
          <w:szCs w:val="22"/>
          <w:lang w:eastAsia="en-US"/>
        </w:rPr>
      </w:pPr>
      <w:r w:rsidRPr="008676F9">
        <w:rPr>
          <w:rFonts w:ascii="Calibri" w:eastAsia="Calibri" w:hAnsi="Calibri" w:cs="Calibri"/>
          <w:szCs w:val="22"/>
          <w:lang w:eastAsia="en-US"/>
        </w:rPr>
        <w:t>Toto prierezové opatrenie je uplatniteľné vo viacerých prioritách, pričom reaguje na vzdelanostnú situáciu na SR – na nízku účasť pracovníkov poľnohospodárskych podnikov na celoživotnom vzdelávaní, kde podiel celoživotného vzdelávania cielenej populácie 25-64 rokov v SR výrazne zaostáva za vyspelejšími štátmi a priemerom EÚ-27; na horšiu vekovú štruktúru pracovníkov v poľnohospodárstve, kde nedochádza k prirodzenej obnove pracovnej sily a  takmer polovica (45,9 %) pracovníkov je starších ako 50 rokov; a na nedostatočnú analýzu a identifikáciu vzdelávacích potrieb na úrovni podnikov v pôdohospodárstve a na vidieku. Nároky na vzdelanostnú úroveň pracovníkov v poľnohospodárstve sú odrazom celkovej vzdelanostnej úrovne všetkého obyvateľstva na vidieku.</w:t>
      </w:r>
    </w:p>
    <w:p w:rsidR="008676F9" w:rsidRPr="008676F9" w:rsidRDefault="008676F9" w:rsidP="008676F9">
      <w:pPr>
        <w:spacing w:after="60"/>
        <w:rPr>
          <w:rFonts w:ascii="Calibri" w:eastAsia="Calibri" w:hAnsi="Calibri" w:cs="Calibri"/>
          <w:szCs w:val="22"/>
          <w:lang w:eastAsia="en-US"/>
        </w:rPr>
      </w:pPr>
      <w:r w:rsidRPr="008676F9">
        <w:rPr>
          <w:rFonts w:ascii="Calibri" w:eastAsia="Calibri" w:hAnsi="Calibri" w:cs="Calibri"/>
          <w:szCs w:val="22"/>
          <w:lang w:eastAsia="en-US"/>
        </w:rPr>
        <w:t>Poľnohospodárstvo zamestnáva väčšinou ľudí so základným a neúplným stredným vzdelaním. Potreba ľudí s vyšším a vysokoškolským vzdelaním v oblasti nezamestnanosti na vidieku kopíruje celkový vývoj na trhu práce v SR, avšak nadobúda omnoho vyššie hodnoty. Vysoká miera nezamestnanosti vo vidieckych regiónoch má viacero dôvodov, z ktorých najvýznamnejšie sú nedostatočná vzdelanostná a kvalifikačná úroveň vidieckeho obyvateľstva, jeho nízka mobilita a vysoká viazanosť na poľnohospodárstvo, absencia lokálnych a regionálnych výrobno-spotrebiteľských reťazcov, nízke mzdové ohodnotenie pracovníkov v pôdohospodárstve, a tým nízka kvalifikačná úroveň, vysoký vek ľudských kapacít v tomto sektore. Zámerom rezortu pôdohospodárstva je venovať zvýšenú pozornosť  skupine mladých ľudí, ako potenciálne pracujúcim v rezorte, v maximálnej miere ich motivovať, vytvárať podmienky potrebné pre zamestnanie, rozvoj podnikania  a tým zabezpečovať rozvoj vidieka.</w:t>
      </w:r>
    </w:p>
    <w:p w:rsidR="008676F9" w:rsidRPr="008676F9" w:rsidRDefault="008676F9" w:rsidP="008676F9">
      <w:pPr>
        <w:spacing w:after="60"/>
        <w:rPr>
          <w:rFonts w:ascii="Calibri" w:eastAsia="Calibri" w:hAnsi="Calibri" w:cs="Calibri"/>
          <w:szCs w:val="22"/>
          <w:lang w:eastAsia="en-US"/>
        </w:rPr>
      </w:pPr>
      <w:r w:rsidRPr="008676F9">
        <w:rPr>
          <w:rFonts w:ascii="Calibri" w:eastAsia="Calibri" w:hAnsi="Calibri" w:cs="Calibri"/>
          <w:szCs w:val="22"/>
          <w:lang w:eastAsia="en-US"/>
        </w:rPr>
        <w:t xml:space="preserve">Opatrenie  prispieva ku kvalite ďalšieho odborného vzdelávania s cieľom zlepšiť jeho výsledky, šírenie inovácií a vedomostí, využívanie informačných a komunikačných technológií, zabezpečenie transformovania inovatívnych myšlienok do nových produktov a služieb na podporu rastu, vytvorenie pracovných miest a riešenie sociálnych výziev, šírenie vedomostí, skúseností a spolupráce s výskumom na takej úrovni, aby bola dosahovaná vysoká ekonomická účinnosť a konkurencieschopnosť na jednotnom európskom trhu. </w:t>
      </w:r>
    </w:p>
    <w:p w:rsidR="008676F9" w:rsidRPr="008676F9" w:rsidRDefault="008676F9" w:rsidP="008676F9">
      <w:pPr>
        <w:spacing w:after="60"/>
        <w:rPr>
          <w:rFonts w:ascii="Calibri" w:eastAsia="Calibri" w:hAnsi="Calibri" w:cs="Calibri"/>
          <w:szCs w:val="22"/>
          <w:lang w:eastAsia="en-US"/>
        </w:rPr>
      </w:pPr>
      <w:r w:rsidRPr="008676F9">
        <w:rPr>
          <w:rFonts w:ascii="Calibri" w:eastAsia="Calibri" w:hAnsi="Calibri" w:cs="Calibri"/>
          <w:szCs w:val="22"/>
          <w:lang w:eastAsia="en-US"/>
        </w:rPr>
        <w:t>Opatrenie sa  zameriava na podporu záujmu o vzdelávanie v pôdohospodárskej oblasti, posilnenie poznatkov o inováciách, ktoré sú hybnou silou rastu EÚ a tiež SR. Nevyhnutnou podmienkou</w:t>
      </w:r>
      <w:r w:rsidRPr="008676F9">
        <w:rPr>
          <w:rFonts w:ascii="Calibri" w:eastAsia="Calibri" w:hAnsi="Calibri" w:cs="Calibri"/>
          <w:szCs w:val="22"/>
          <w:lang w:eastAsia="en-US"/>
        </w:rPr>
        <w:lastRenderedPageBreak/>
        <w:t xml:space="preserve"> inteligentného rastu je kvalitné školstvo a systém celoživotného vzdelávania. Zameranie školení orientovať špecificky na potreby výrob s vyššou pridanou hodnotou a kvalitou, ktoré posilnia konkurencieschopnosť poľnohospodárstva, spracovania potravín a lesníctva a podporia domáci trh prostredníctvom nových distribučných kanálov, krátkych reťazcov, regionálnych tržníc a pod. </w:t>
      </w:r>
    </w:p>
    <w:p w:rsidR="008676F9" w:rsidRPr="008676F9" w:rsidRDefault="008676F9" w:rsidP="008676F9">
      <w:pPr>
        <w:spacing w:after="60"/>
        <w:rPr>
          <w:rFonts w:ascii="Calibri" w:eastAsia="Calibri" w:hAnsi="Calibri" w:cs="Calibri"/>
          <w:szCs w:val="22"/>
          <w:lang w:eastAsia="en-US"/>
        </w:rPr>
      </w:pPr>
      <w:r w:rsidRPr="008676F9">
        <w:rPr>
          <w:rFonts w:ascii="Calibri" w:eastAsia="Calibri" w:hAnsi="Calibri" w:cs="Calibri"/>
          <w:szCs w:val="22"/>
          <w:lang w:eastAsia="en-US"/>
        </w:rPr>
        <w:t>Odborné vzdelávanie a získavanie zručností prispieva k podpore zvýšenia príjmov v poľnohospodárstve, potravinárstve a lesnom hospodárstve  a zlepšuje sa konkurencieschopnosť podnikov. Zvyšovanie efektívnosti podnikov je často spojené so substitúciou práce, čo spôsobuje znižovanie zamestnanosti.  Opatrenie chce vzdelávať dospelých, pracujúcich v pôdohospodárstve potrebnými vedomosťami a praktickými zručnosťami, ktoré posilnia konkurencieschopnosť a podporia zvýšenie príjmov podnikov v sektore.</w:t>
      </w:r>
    </w:p>
    <w:p w:rsidR="008676F9" w:rsidRPr="008676F9" w:rsidRDefault="008676F9" w:rsidP="007B5045">
      <w:pPr>
        <w:rPr>
          <w:rFonts w:ascii="Calibri" w:eastAsia="Calibri" w:hAnsi="Calibri" w:cs="Calibri"/>
          <w:szCs w:val="22"/>
          <w:lang w:eastAsia="en-US"/>
        </w:rPr>
      </w:pPr>
      <w:r w:rsidRPr="008676F9">
        <w:rPr>
          <w:rFonts w:ascii="Calibri" w:eastAsia="Calibri" w:hAnsi="Calibri" w:cs="Calibri"/>
          <w:szCs w:val="22"/>
          <w:lang w:eastAsia="en-US"/>
        </w:rPr>
        <w:t>Podopatrenia 1.1 a 1.2 prioritne reagujú na nasledovné potreby:</w:t>
      </w:r>
    </w:p>
    <w:p w:rsidR="008676F9" w:rsidRPr="008676F9" w:rsidRDefault="008676F9" w:rsidP="00955DA4">
      <w:pPr>
        <w:numPr>
          <w:ilvl w:val="0"/>
          <w:numId w:val="212"/>
        </w:numPr>
        <w:ind w:left="426" w:hanging="284"/>
        <w:rPr>
          <w:rFonts w:ascii="Calibri" w:hAnsi="Calibri" w:cs="Calibri"/>
          <w:szCs w:val="22"/>
          <w:lang w:eastAsia="en-US"/>
        </w:rPr>
      </w:pPr>
      <w:r w:rsidRPr="008676F9">
        <w:rPr>
          <w:rFonts w:ascii="Calibri" w:hAnsi="Calibri" w:cs="Calibri"/>
          <w:szCs w:val="22"/>
          <w:lang w:eastAsia="en-US"/>
        </w:rPr>
        <w:t>Podpora inovácií a vedomostnej základne vo vidieckych oblastiach</w:t>
      </w:r>
      <w:r w:rsidRPr="008676F9">
        <w:rPr>
          <w:rFonts w:ascii="Calibri" w:hAnsi="Calibri" w:cs="Calibri"/>
          <w:szCs w:val="22"/>
          <w:lang w:val="en-US" w:eastAsia="en-US"/>
        </w:rPr>
        <w:t>;</w:t>
      </w:r>
    </w:p>
    <w:p w:rsidR="008676F9" w:rsidRPr="008676F9" w:rsidRDefault="008676F9" w:rsidP="00955DA4">
      <w:pPr>
        <w:numPr>
          <w:ilvl w:val="0"/>
          <w:numId w:val="212"/>
        </w:numPr>
        <w:ind w:left="426" w:hanging="284"/>
        <w:rPr>
          <w:rFonts w:ascii="Calibri" w:hAnsi="Calibri" w:cs="Calibri"/>
          <w:szCs w:val="22"/>
          <w:lang w:eastAsia="en-US"/>
        </w:rPr>
      </w:pPr>
      <w:r w:rsidRPr="008676F9">
        <w:rPr>
          <w:rFonts w:ascii="Calibri" w:hAnsi="Calibri" w:cs="Calibri"/>
          <w:szCs w:val="22"/>
          <w:lang w:eastAsia="en-US"/>
        </w:rPr>
        <w:t xml:space="preserve">Podpora celoživotného vzdelávania a odborného vzdelávania v sektoroch poľnohospodárstva a lesného hospodárstva; </w:t>
      </w:r>
    </w:p>
    <w:p w:rsidR="008676F9" w:rsidRPr="008676F9" w:rsidRDefault="008676F9" w:rsidP="00955DA4">
      <w:pPr>
        <w:numPr>
          <w:ilvl w:val="0"/>
          <w:numId w:val="212"/>
        </w:numPr>
        <w:ind w:left="426" w:hanging="284"/>
        <w:rPr>
          <w:rFonts w:ascii="Calibri" w:hAnsi="Calibri" w:cs="Calibri"/>
          <w:szCs w:val="22"/>
          <w:lang w:eastAsia="en-US"/>
        </w:rPr>
      </w:pPr>
      <w:r w:rsidRPr="008676F9">
        <w:rPr>
          <w:rFonts w:ascii="Calibri" w:hAnsi="Calibri" w:cs="Calibri"/>
          <w:szCs w:val="22"/>
          <w:lang w:eastAsia="en-US"/>
        </w:rPr>
        <w:t xml:space="preserve">Prenos vedomostí a zručností pre uľahčenie generačnej výmeny v sektore poľnohospodárstva  a podpore mladých poľnohospodárov pri začatí činnosti; </w:t>
      </w:r>
    </w:p>
    <w:p w:rsidR="008676F9" w:rsidRPr="008676F9" w:rsidRDefault="008676F9" w:rsidP="00955DA4">
      <w:pPr>
        <w:numPr>
          <w:ilvl w:val="0"/>
          <w:numId w:val="212"/>
        </w:numPr>
        <w:ind w:left="426" w:hanging="284"/>
        <w:rPr>
          <w:rFonts w:ascii="Calibri" w:eastAsia="Calibri" w:hAnsi="Calibri" w:cs="Calibri"/>
          <w:szCs w:val="22"/>
          <w:lang w:eastAsia="en-US"/>
        </w:rPr>
      </w:pPr>
      <w:r w:rsidRPr="008676F9">
        <w:rPr>
          <w:rFonts w:ascii="Calibri" w:eastAsia="Calibri" w:hAnsi="Calibri" w:cs="Calibri"/>
          <w:szCs w:val="22"/>
          <w:lang w:eastAsia="en-US"/>
        </w:rPr>
        <w:t xml:space="preserve">Podpora celoživotného vzdelávania a odbornej príprave v poľnohospodárstve a potravinárstve, najmä v oblasti riadenia, udržateľných postupov, zlepšovania kvality, nových technológií, zmeny zamerania činností podnikov; </w:t>
      </w:r>
    </w:p>
    <w:p w:rsidR="008676F9" w:rsidRPr="008676F9" w:rsidRDefault="008676F9" w:rsidP="00955DA4">
      <w:pPr>
        <w:numPr>
          <w:ilvl w:val="0"/>
          <w:numId w:val="212"/>
        </w:numPr>
        <w:ind w:left="426" w:hanging="284"/>
        <w:rPr>
          <w:rFonts w:ascii="Calibri" w:eastAsia="Calibri" w:hAnsi="Calibri" w:cs="Calibri"/>
          <w:szCs w:val="22"/>
          <w:lang w:eastAsia="en-US"/>
        </w:rPr>
      </w:pPr>
      <w:r w:rsidRPr="008676F9">
        <w:rPr>
          <w:rFonts w:ascii="Calibri" w:eastAsia="Calibri" w:hAnsi="Calibri" w:cs="Calibri"/>
          <w:szCs w:val="22"/>
          <w:lang w:eastAsia="en-US"/>
        </w:rPr>
        <w:t>Podpora celoživotného vzdelávania v oblasti budovania a rozširovania regionálnych výrobno-spotrebiteľských reťazcov, priameho predaja, regionálnych značiek kvality a krátkych marketingových reťazcov;</w:t>
      </w:r>
    </w:p>
    <w:p w:rsidR="008676F9" w:rsidRPr="008676F9" w:rsidRDefault="008676F9" w:rsidP="00955DA4">
      <w:pPr>
        <w:numPr>
          <w:ilvl w:val="0"/>
          <w:numId w:val="212"/>
        </w:numPr>
        <w:ind w:left="426" w:hanging="284"/>
        <w:rPr>
          <w:rFonts w:ascii="Calibri" w:eastAsia="Calibri" w:hAnsi="Calibri" w:cs="Calibri"/>
          <w:szCs w:val="22"/>
          <w:lang w:eastAsia="en-US"/>
        </w:rPr>
      </w:pPr>
      <w:r w:rsidRPr="008676F9">
        <w:rPr>
          <w:rFonts w:ascii="Calibri" w:eastAsia="Calibri" w:hAnsi="Calibri" w:cs="Calibri"/>
          <w:szCs w:val="22"/>
          <w:lang w:eastAsia="en-US"/>
        </w:rPr>
        <w:t xml:space="preserve">Podpora celoživotného vzdelávania so zameraním na znižovanie negatívnych dopadov činností jednotlivých sektorov pôdohospodárstva a ostatných vidieckych aktivít na jednotlivé zložky životného prostredia (ovzdušie, voda, pôda), biodiverzitu ekosystémov ako aj adaptáciu na klimatické zmeny;     </w:t>
      </w:r>
    </w:p>
    <w:p w:rsidR="008676F9" w:rsidRPr="008676F9" w:rsidRDefault="008676F9" w:rsidP="00955DA4">
      <w:pPr>
        <w:numPr>
          <w:ilvl w:val="0"/>
          <w:numId w:val="212"/>
        </w:numPr>
        <w:ind w:left="426" w:hanging="284"/>
        <w:rPr>
          <w:rFonts w:ascii="Calibri" w:eastAsia="Calibri" w:hAnsi="Calibri" w:cs="Calibri"/>
          <w:szCs w:val="22"/>
          <w:lang w:eastAsia="en-US"/>
        </w:rPr>
      </w:pPr>
      <w:r w:rsidRPr="008676F9">
        <w:rPr>
          <w:rFonts w:ascii="Calibri" w:eastAsia="Calibri" w:hAnsi="Calibri" w:cs="Calibri"/>
          <w:szCs w:val="22"/>
          <w:lang w:eastAsia="en-US"/>
        </w:rPr>
        <w:t xml:space="preserve">Prenos vedomostí a zručností v oblasti  zvýšenia účinnosti využitia energie v poľnohospodárstve a pri spracovaní potravín; </w:t>
      </w:r>
    </w:p>
    <w:p w:rsidR="008676F9" w:rsidRPr="008676F9" w:rsidRDefault="008676F9" w:rsidP="00955DA4">
      <w:pPr>
        <w:numPr>
          <w:ilvl w:val="0"/>
          <w:numId w:val="212"/>
        </w:numPr>
        <w:ind w:left="426" w:hanging="284"/>
        <w:rPr>
          <w:rFonts w:ascii="Calibri" w:eastAsia="Calibri" w:hAnsi="Calibri" w:cs="Calibri"/>
          <w:szCs w:val="22"/>
          <w:lang w:eastAsia="en-US"/>
        </w:rPr>
      </w:pPr>
      <w:r w:rsidRPr="008676F9">
        <w:rPr>
          <w:rFonts w:ascii="Calibri" w:eastAsia="Calibri" w:hAnsi="Calibri" w:cs="Calibri"/>
          <w:szCs w:val="22"/>
          <w:lang w:eastAsia="en-US"/>
        </w:rPr>
        <w:t xml:space="preserve">Prenos vedomostí a zručností  v oblasti uľahčenia dodávok a využitia obnoviteľných zdrojov energie, vedľajších produktov, odpadov, zvyškov a iných nepotravinových surovín na účely bioekonomiky;  </w:t>
      </w:r>
    </w:p>
    <w:p w:rsidR="008676F9" w:rsidRPr="008676F9" w:rsidRDefault="008676F9" w:rsidP="00955DA4">
      <w:pPr>
        <w:numPr>
          <w:ilvl w:val="0"/>
          <w:numId w:val="212"/>
        </w:numPr>
        <w:ind w:left="426" w:hanging="284"/>
        <w:rPr>
          <w:rFonts w:ascii="Calibri" w:eastAsia="Calibri" w:hAnsi="Calibri" w:cs="Calibri"/>
          <w:szCs w:val="22"/>
          <w:lang w:eastAsia="en-US"/>
        </w:rPr>
      </w:pPr>
      <w:r w:rsidRPr="008676F9">
        <w:rPr>
          <w:rFonts w:ascii="Calibri" w:eastAsia="Calibri" w:hAnsi="Calibri" w:cs="Calibri"/>
          <w:szCs w:val="22"/>
          <w:lang w:eastAsia="en-US"/>
        </w:rPr>
        <w:t xml:space="preserve">Prenos vedomostí a zručností v oblasti  zníženia emisií oxidu dusného a metánu z pôdy, resp. z produkcie, z odpadov a vedľajších produktov v pôdohospodárstve; </w:t>
      </w:r>
    </w:p>
    <w:p w:rsidR="008676F9" w:rsidRPr="008676F9" w:rsidRDefault="008676F9" w:rsidP="00955DA4">
      <w:pPr>
        <w:numPr>
          <w:ilvl w:val="0"/>
          <w:numId w:val="212"/>
        </w:numPr>
        <w:ind w:left="426" w:hanging="284"/>
        <w:rPr>
          <w:rFonts w:ascii="Calibri" w:eastAsia="Calibri" w:hAnsi="Calibri" w:cs="Calibri"/>
          <w:szCs w:val="22"/>
          <w:lang w:eastAsia="en-US"/>
        </w:rPr>
      </w:pPr>
      <w:r w:rsidRPr="008676F9">
        <w:rPr>
          <w:rFonts w:ascii="Calibri" w:eastAsia="Calibri" w:hAnsi="Calibri" w:cs="Calibri"/>
          <w:szCs w:val="22"/>
          <w:lang w:eastAsia="en-US"/>
        </w:rPr>
        <w:t>Prenos vedomostí a zručností pre oblasť  podpory sekvestrácie oxidu uhličitého v poľnohospodárstve a lesnom hospodárstve.</w:t>
      </w:r>
    </w:p>
    <w:p w:rsidR="008676F9" w:rsidRPr="008676F9" w:rsidRDefault="008676F9" w:rsidP="008676F9">
      <w:pPr>
        <w:spacing w:after="60"/>
        <w:rPr>
          <w:rFonts w:ascii="Calibri" w:eastAsia="Calibri" w:hAnsi="Calibri" w:cs="Calibri"/>
          <w:szCs w:val="22"/>
          <w:u w:val="single"/>
          <w:lang w:eastAsia="en-US"/>
        </w:rPr>
      </w:pPr>
    </w:p>
    <w:p w:rsidR="008676F9" w:rsidRPr="008676F9" w:rsidRDefault="008676F9" w:rsidP="008676F9">
      <w:pPr>
        <w:spacing w:after="60"/>
        <w:rPr>
          <w:rFonts w:ascii="Calibri" w:eastAsia="Calibri" w:hAnsi="Calibri" w:cs="Calibri"/>
          <w:szCs w:val="22"/>
          <w:u w:val="single"/>
          <w:lang w:eastAsia="en-US"/>
        </w:rPr>
      </w:pPr>
      <w:r w:rsidRPr="008676F9">
        <w:rPr>
          <w:rFonts w:ascii="Calibri" w:eastAsia="Calibri" w:hAnsi="Calibri" w:cs="Calibri"/>
          <w:szCs w:val="22"/>
          <w:u w:val="single"/>
          <w:lang w:eastAsia="en-US"/>
        </w:rPr>
        <w:t>Príspevok k fokusovým oblastiam</w:t>
      </w:r>
    </w:p>
    <w:p w:rsidR="008676F9" w:rsidRPr="008676F9" w:rsidRDefault="008676F9" w:rsidP="008676F9">
      <w:pPr>
        <w:spacing w:after="120"/>
        <w:rPr>
          <w:rFonts w:ascii="Calibri" w:eastAsia="Calibri" w:hAnsi="Calibri" w:cs="Calibri"/>
          <w:b/>
          <w:szCs w:val="22"/>
          <w:lang w:eastAsia="en-US"/>
        </w:rPr>
      </w:pPr>
      <w:r w:rsidRPr="008676F9">
        <w:rPr>
          <w:rFonts w:ascii="Calibri" w:eastAsia="Calibri" w:hAnsi="Calibri" w:cs="Calibri"/>
          <w:szCs w:val="22"/>
          <w:lang w:eastAsia="en-US"/>
        </w:rPr>
        <w:t>Opatrenie bude prispievať k nasledovným oblastiam:</w:t>
      </w:r>
    </w:p>
    <w:p w:rsidR="008676F9" w:rsidRPr="008676F9" w:rsidRDefault="008676F9" w:rsidP="008676F9">
      <w:pPr>
        <w:spacing w:after="120"/>
        <w:ind w:left="426" w:hanging="426"/>
        <w:rPr>
          <w:rFonts w:ascii="Calibri" w:eastAsia="Calibri" w:hAnsi="Calibri" w:cs="Calibri"/>
          <w:i/>
          <w:szCs w:val="22"/>
          <w:lang w:eastAsia="en-US"/>
        </w:rPr>
      </w:pPr>
      <w:r w:rsidRPr="008676F9">
        <w:rPr>
          <w:rFonts w:ascii="Calibri" w:eastAsia="Calibri" w:hAnsi="Calibri" w:cs="Calibri"/>
          <w:i/>
          <w:szCs w:val="22"/>
          <w:lang w:eastAsia="en-US"/>
        </w:rPr>
        <w:t xml:space="preserve">1A </w:t>
      </w:r>
      <w:r w:rsidRPr="008676F9">
        <w:rPr>
          <w:rFonts w:ascii="Calibri" w:eastAsia="Calibri" w:hAnsi="Calibri" w:cs="Calibri"/>
          <w:i/>
          <w:szCs w:val="22"/>
          <w:lang w:eastAsia="en-US"/>
        </w:rPr>
        <w:tab/>
        <w:t>Podpora inovácie, spolupráce a rozvoja vedomostnej základne vo vidieckych oblastiach;</w:t>
      </w:r>
    </w:p>
    <w:p w:rsidR="008676F9" w:rsidRPr="008676F9" w:rsidRDefault="008676F9" w:rsidP="008676F9">
      <w:pPr>
        <w:spacing w:after="120"/>
        <w:ind w:left="426" w:hanging="426"/>
        <w:rPr>
          <w:rFonts w:ascii="Calibri" w:eastAsia="Calibri" w:hAnsi="Calibri" w:cs="Calibri"/>
          <w:b/>
          <w:i/>
          <w:szCs w:val="22"/>
          <w:lang w:eastAsia="en-US"/>
        </w:rPr>
      </w:pPr>
      <w:r w:rsidRPr="008676F9">
        <w:rPr>
          <w:rFonts w:ascii="Calibri" w:eastAsia="Calibri" w:hAnsi="Calibri" w:cs="Calibri"/>
          <w:i/>
          <w:szCs w:val="22"/>
          <w:lang w:eastAsia="en-US"/>
        </w:rPr>
        <w:t xml:space="preserve">1C </w:t>
      </w:r>
      <w:r w:rsidRPr="008676F9">
        <w:rPr>
          <w:rFonts w:ascii="Calibri" w:eastAsia="Calibri" w:hAnsi="Calibri" w:cs="Calibri"/>
          <w:i/>
          <w:szCs w:val="22"/>
          <w:lang w:eastAsia="en-US"/>
        </w:rPr>
        <w:tab/>
        <w:t>Podpora celoživotného vzdelávania a odborného vzdelávania v sektoroch poľnohospodárstva a lesného hospodárstva;</w:t>
      </w:r>
    </w:p>
    <w:p w:rsidR="008676F9" w:rsidRPr="008676F9" w:rsidRDefault="008676F9" w:rsidP="008676F9">
      <w:pPr>
        <w:spacing w:after="120"/>
        <w:ind w:left="426" w:hanging="426"/>
        <w:rPr>
          <w:rFonts w:ascii="Calibri" w:eastAsia="Calibri" w:hAnsi="Calibri" w:cs="Calibri"/>
          <w:i/>
          <w:szCs w:val="22"/>
          <w:lang w:eastAsia="en-US"/>
        </w:rPr>
      </w:pPr>
      <w:r w:rsidRPr="008676F9">
        <w:rPr>
          <w:rFonts w:ascii="Calibri" w:eastAsia="Calibri" w:hAnsi="Calibri" w:cs="Calibri"/>
          <w:i/>
          <w:szCs w:val="22"/>
          <w:lang w:eastAsia="en-US"/>
        </w:rPr>
        <w:t xml:space="preserve">2A </w:t>
      </w:r>
      <w:r w:rsidRPr="008676F9">
        <w:rPr>
          <w:rFonts w:ascii="Calibri" w:eastAsia="Calibri" w:hAnsi="Calibri" w:cs="Calibri"/>
          <w:i/>
          <w:szCs w:val="22"/>
          <w:lang w:eastAsia="en-US"/>
        </w:rPr>
        <w:tab/>
        <w:t>Zlepšenie hospodárskeho výkonu všetkých poľnohospodárskych podnikov a uľahčenie reštrukturalizácie a modernizácie poľnohospodárskych podnikov, najmä na účely zvýšenia ich účasti na trhu, zamerania na trh a poľnohospodárskej diverzifikácie:</w:t>
      </w:r>
    </w:p>
    <w:p w:rsidR="008676F9" w:rsidRPr="008676F9" w:rsidRDefault="008676F9" w:rsidP="00955DA4">
      <w:pPr>
        <w:numPr>
          <w:ilvl w:val="0"/>
          <w:numId w:val="141"/>
        </w:numPr>
        <w:spacing w:after="120"/>
        <w:ind w:left="426" w:hanging="426"/>
        <w:rPr>
          <w:rFonts w:cs="Calibri"/>
          <w:i/>
          <w:lang w:eastAsia="en-US"/>
        </w:rPr>
      </w:pPr>
      <w:r w:rsidRPr="008676F9">
        <w:rPr>
          <w:rFonts w:ascii="Calibri" w:eastAsia="Calibri" w:hAnsi="Calibri" w:cs="Calibri"/>
          <w:szCs w:val="22"/>
          <w:lang w:eastAsia="en-US"/>
        </w:rPr>
        <w:t>Zlepšovanie konkurencieschopnosti poľnohospodárskych podnikov vyplýva zo súčasného stavu sektora. Pre slovenské poľnohospodárstvo je charakteristická nízka pridaná hodnota a nízke príjmy na hektár poľnohospodárskej pôdy v porovnaní s ostatnými štátmi EÚ.  Prostredníctvom odovzdávania znalostí a informačných akcií v oblasti produkcie ako i v oblastiach podnikového hospodárstva, by sa mala zvýšiť konkurencieschopnosť podnikov vo všetkých výrobných</w:t>
      </w:r>
      <w:r w:rsidRPr="008676F9">
        <w:rPr>
          <w:rFonts w:ascii="Calibri" w:eastAsia="Calibri" w:hAnsi="Calibri" w:cs="Calibri"/>
          <w:szCs w:val="22"/>
          <w:lang w:eastAsia="en-US"/>
        </w:rPr>
        <w:lastRenderedPageBreak/>
        <w:t xml:space="preserve"> odvetviach. Prenos znalostí a informačné akcie majú za cieľ zlepšiť celkovú situáciu poľnohospodárskych podnikov – zvýšiť ich účasť na trhu a poľnohospodársku diverzifikáciu; zlepšiť odbytové možnosti poľnohospodárskych výrobkov; zvýšiť podiel živočíšnej výroby a oživenie v rastlinnej výrobe.</w:t>
      </w:r>
    </w:p>
    <w:p w:rsidR="008676F9" w:rsidRPr="008676F9" w:rsidRDefault="008676F9" w:rsidP="007B5045">
      <w:pPr>
        <w:spacing w:after="120"/>
        <w:ind w:left="426" w:hanging="426"/>
        <w:rPr>
          <w:rFonts w:ascii="Calibri" w:eastAsia="Calibri" w:hAnsi="Calibri" w:cs="Calibri"/>
          <w:i/>
          <w:szCs w:val="22"/>
          <w:lang w:eastAsia="en-US"/>
        </w:rPr>
      </w:pPr>
      <w:r w:rsidRPr="008676F9">
        <w:rPr>
          <w:rFonts w:ascii="Calibri" w:eastAsia="Calibri" w:hAnsi="Calibri" w:cs="Calibri"/>
          <w:i/>
          <w:szCs w:val="22"/>
          <w:lang w:eastAsia="en-US"/>
        </w:rPr>
        <w:t xml:space="preserve">2B </w:t>
      </w:r>
      <w:r w:rsidRPr="008676F9">
        <w:rPr>
          <w:rFonts w:ascii="Calibri" w:eastAsia="Calibri" w:hAnsi="Calibri" w:cs="Calibri"/>
          <w:i/>
          <w:szCs w:val="22"/>
          <w:lang w:eastAsia="en-US"/>
        </w:rPr>
        <w:tab/>
        <w:t>Uľahčenie vstupu poľnohospodárov s primeranými zručnosťami do odvetvia poľnohospodárstva, a najmä generačnej výmeny</w:t>
      </w:r>
    </w:p>
    <w:p w:rsidR="008676F9" w:rsidRPr="008676F9" w:rsidRDefault="008676F9" w:rsidP="00955DA4">
      <w:pPr>
        <w:numPr>
          <w:ilvl w:val="0"/>
          <w:numId w:val="141"/>
        </w:numPr>
        <w:spacing w:after="240"/>
        <w:ind w:left="426" w:hanging="426"/>
        <w:rPr>
          <w:rFonts w:ascii="Calibri" w:eastAsia="Calibri" w:hAnsi="Calibri" w:cs="Calibri"/>
          <w:szCs w:val="22"/>
          <w:lang w:eastAsia="en-US"/>
        </w:rPr>
      </w:pPr>
      <w:r w:rsidRPr="008676F9">
        <w:rPr>
          <w:rFonts w:ascii="Calibri" w:hAnsi="Calibri"/>
          <w:szCs w:val="22"/>
          <w:lang w:eastAsia="en-US"/>
        </w:rPr>
        <w:t>Priemerný vek pracovníkov v poľnohospodárstve v SR sa dlhodobo zvyšuje. V ostatných rokoch absentoval prísun mladej generácie a dochádzalo k zvyšovaniu podielu vyšších vekových kategórií zamestnancov. Prevažujú poľnohospodárske podniky so starším manažmentom od 45-64 rokov, v roku 2010 bolo len 7,1% manažérov pod 35 rokov z celkového počtu riadiacich pracovníkov na farmách.  Prenos znalostí a informačné akcie  posilnia generačnú výmenu v poľnohospodárstve a to najmä podporou začatia činnosti mladých poľnohospodárov. Na začiatku podnikania sú pre začínajúcich poľnohospodárov potrebné vedomosti a zručnosti v oblasti poľnohospodárskej praxe a prvé podnikanie by malo byť sprevádzané istými prípravnými opatreniami a späté s určitými predpokladmi – ohľadom odbornej kvalifikácie, ale aj ohľadne predloženia strategického konceptu o smerovaní podniku</w:t>
      </w:r>
      <w:r w:rsidRPr="008676F9">
        <w:rPr>
          <w:rFonts w:ascii="Calibri" w:hAnsi="Calibri" w:cs="Calibri"/>
          <w:szCs w:val="22"/>
          <w:lang w:eastAsia="en-US"/>
        </w:rPr>
        <w:t>;</w:t>
      </w:r>
    </w:p>
    <w:p w:rsidR="008676F9" w:rsidRPr="008676F9" w:rsidRDefault="008676F9" w:rsidP="007B5045">
      <w:pPr>
        <w:spacing w:after="120"/>
        <w:ind w:left="426" w:hanging="426"/>
        <w:rPr>
          <w:rFonts w:ascii="Calibri" w:eastAsia="Calibri" w:hAnsi="Calibri" w:cs="Calibri"/>
          <w:i/>
          <w:szCs w:val="22"/>
          <w:lang w:eastAsia="en-US"/>
        </w:rPr>
      </w:pPr>
      <w:r w:rsidRPr="008676F9">
        <w:rPr>
          <w:rFonts w:ascii="Calibri" w:eastAsia="Calibri" w:hAnsi="Calibri" w:cs="Calibri"/>
          <w:i/>
          <w:szCs w:val="22"/>
          <w:lang w:eastAsia="en-US"/>
        </w:rPr>
        <w:t xml:space="preserve">3A </w:t>
      </w:r>
      <w:r w:rsidRPr="008676F9">
        <w:rPr>
          <w:rFonts w:ascii="Calibri" w:eastAsia="Calibri" w:hAnsi="Calibri" w:cs="Calibri"/>
          <w:i/>
          <w:szCs w:val="22"/>
          <w:lang w:eastAsia="en-US"/>
        </w:rPr>
        <w:tab/>
        <w:t>Zvýšenie konkurencieschopnosti prvovýrobcov prostredníctvom ich lepšej integrácie do poľnohospodársko-potravinového reťazca pomocou systémov kvality, pridávania hodnoty poľnohospodárskym produktom, propagácie na miestnych trhoch a v krátkych dodávateľských reťazcoch, skupín a organizácií výrobcov a medziodvetvových organizácií</w:t>
      </w:r>
    </w:p>
    <w:p w:rsidR="008676F9" w:rsidRPr="008676F9" w:rsidRDefault="008676F9" w:rsidP="00955DA4">
      <w:pPr>
        <w:numPr>
          <w:ilvl w:val="0"/>
          <w:numId w:val="141"/>
        </w:numPr>
        <w:spacing w:after="240"/>
        <w:ind w:left="426" w:hanging="426"/>
        <w:rPr>
          <w:rFonts w:ascii="Calibri" w:eastAsia="Calibri" w:hAnsi="Calibri" w:cs="Calibri"/>
          <w:szCs w:val="22"/>
          <w:lang w:eastAsia="en-US"/>
        </w:rPr>
      </w:pPr>
      <w:r w:rsidRPr="008676F9">
        <w:rPr>
          <w:rFonts w:ascii="Calibri" w:eastAsia="Calibri" w:hAnsi="Calibri" w:cs="Calibri"/>
          <w:szCs w:val="22"/>
          <w:lang w:eastAsia="en-US"/>
        </w:rPr>
        <w:t xml:space="preserve">Integrácia ponuky prvovýrobcov je najdôležitejším prvkom úsilia o zlepšenie konkurencieschopnosti slovenského poľnohospodárstva. Pre domácich výrobcov potravín je kľúčové udržať si pozíciu na domácom trhu, pričom z hľadiska udržania obratu sa zvyšuje význam miestnych a regionálnych trhov. Povedomie o dôležitosti spolupráce je u veľkého počtu účastníkov trhu nízke, rozvoj a inovácie potravinárstva v SR sú malo výrazné. Okrem investičnej podpory pre dosiahnutie zvýšenia konkurencieschopnosti prvovýrobcov je dôležitý prenos znalostí a informačných akcií, ktoré umožnia získať potrebné znalosti o témach - zavádzanie inovácií s cieľom posilniť výrobnú diverzifikáciu, </w:t>
      </w:r>
      <w:r w:rsidRPr="008676F9">
        <w:rPr>
          <w:rFonts w:ascii="Calibri" w:hAnsi="Calibri"/>
          <w:szCs w:val="22"/>
          <w:lang w:eastAsia="en-US"/>
        </w:rPr>
        <w:t xml:space="preserve">zlepšiť pozíciu poľnohospodárskych podnikov a spracovateľov voči príliš silnej rokovacej pozícii veľkých obchodných reťazcov, podpora marketingu poľnohospodárskych produktov </w:t>
      </w:r>
      <w:r w:rsidRPr="008676F9">
        <w:rPr>
          <w:rFonts w:ascii="Calibri" w:eastAsia="Calibri" w:hAnsi="Calibri" w:cs="Calibri"/>
          <w:szCs w:val="22"/>
          <w:lang w:eastAsia="en-US"/>
        </w:rPr>
        <w:t>zlepšiť pozíciu po integrácie ponuky prvovýrobcov, čo je najdôležitejším prvkom úsilia o zlepšenie konkurencieschopnosti slovenského poľnohospodárstva</w:t>
      </w:r>
      <w:r w:rsidRPr="008676F9">
        <w:rPr>
          <w:rFonts w:ascii="Calibri" w:hAnsi="Calibri" w:cs="Calibri"/>
          <w:szCs w:val="22"/>
          <w:lang w:eastAsia="en-US"/>
        </w:rPr>
        <w:t xml:space="preserve">; </w:t>
      </w:r>
    </w:p>
    <w:p w:rsidR="008676F9" w:rsidRPr="008676F9" w:rsidRDefault="008676F9" w:rsidP="007B5045">
      <w:pPr>
        <w:spacing w:after="120"/>
        <w:ind w:left="426" w:hanging="426"/>
        <w:rPr>
          <w:rFonts w:ascii="Calibri" w:eastAsia="Calibri" w:hAnsi="Calibri" w:cs="Calibri"/>
          <w:i/>
          <w:szCs w:val="22"/>
          <w:lang w:eastAsia="en-US"/>
        </w:rPr>
      </w:pPr>
      <w:r w:rsidRPr="008676F9">
        <w:rPr>
          <w:rFonts w:ascii="Calibri" w:eastAsia="Calibri" w:hAnsi="Calibri" w:cs="Calibri"/>
          <w:i/>
          <w:szCs w:val="22"/>
          <w:lang w:eastAsia="en-US"/>
        </w:rPr>
        <w:t xml:space="preserve">3B </w:t>
      </w:r>
      <w:r w:rsidRPr="008676F9">
        <w:rPr>
          <w:rFonts w:ascii="Calibri" w:eastAsia="Calibri" w:hAnsi="Calibri" w:cs="Calibri"/>
          <w:i/>
          <w:szCs w:val="22"/>
          <w:lang w:eastAsia="en-US"/>
        </w:rPr>
        <w:tab/>
        <w:t>Podpora riadenia rizík poľnohospodárskych podnikov a ich predchádzania</w:t>
      </w:r>
    </w:p>
    <w:p w:rsidR="008676F9" w:rsidRPr="008676F9" w:rsidRDefault="008676F9" w:rsidP="00955DA4">
      <w:pPr>
        <w:numPr>
          <w:ilvl w:val="0"/>
          <w:numId w:val="141"/>
        </w:numPr>
        <w:spacing w:after="240"/>
        <w:ind w:left="426" w:hanging="426"/>
        <w:rPr>
          <w:rFonts w:ascii="Calibri" w:hAnsi="Calibri"/>
          <w:szCs w:val="22"/>
          <w:lang w:eastAsia="en-US"/>
        </w:rPr>
      </w:pPr>
      <w:r w:rsidRPr="008676F9">
        <w:rPr>
          <w:rFonts w:ascii="Calibri" w:hAnsi="Calibri"/>
          <w:szCs w:val="22"/>
          <w:lang w:eastAsia="en-US"/>
        </w:rPr>
        <w:t>Výkyvy počasia v posledných rokoch spôsobujú nemalé škody v poľnohospodárstve. Efektívne riadenie rizík sa stále stáva dôležitejšie pre poľnohospodárske podniky v dôsledku toho, že sú vystavené prírodným katastrofám a  katastrofickým udalostiam a práve zavedenie a zlepšenie informovanosti o rizikách, umožní zaobchádzať s nimi, znížiť  ich následky a informovať o preventívnych opatreniach.</w:t>
      </w:r>
      <w:r w:rsidRPr="008676F9">
        <w:rPr>
          <w:rFonts w:ascii="Calibri" w:hAnsi="Calibri" w:cs="Calibri"/>
          <w:szCs w:val="22"/>
          <w:lang w:eastAsia="en-US"/>
        </w:rPr>
        <w:t>;</w:t>
      </w:r>
    </w:p>
    <w:p w:rsidR="008676F9" w:rsidRPr="008676F9" w:rsidRDefault="008676F9" w:rsidP="007B5045">
      <w:pPr>
        <w:spacing w:after="120"/>
        <w:ind w:left="426" w:hanging="426"/>
        <w:rPr>
          <w:rFonts w:ascii="Calibri" w:eastAsia="Calibri" w:hAnsi="Calibri" w:cs="Calibri"/>
          <w:i/>
          <w:szCs w:val="22"/>
          <w:lang w:eastAsia="en-US"/>
        </w:rPr>
      </w:pPr>
      <w:r w:rsidRPr="008676F9">
        <w:rPr>
          <w:rFonts w:ascii="Calibri" w:eastAsia="Calibri" w:hAnsi="Calibri" w:cs="Calibri"/>
          <w:i/>
          <w:szCs w:val="22"/>
          <w:lang w:eastAsia="en-US"/>
        </w:rPr>
        <w:t>4A</w:t>
      </w:r>
      <w:r w:rsidRPr="008676F9">
        <w:rPr>
          <w:rFonts w:ascii="Calibri" w:eastAsia="Calibri" w:hAnsi="Calibri"/>
          <w:i/>
          <w:szCs w:val="22"/>
          <w:lang w:eastAsia="en-US"/>
        </w:rPr>
        <w:t xml:space="preserve"> </w:t>
      </w:r>
      <w:r w:rsidRPr="008676F9">
        <w:rPr>
          <w:rFonts w:ascii="Calibri" w:eastAsia="Calibri" w:hAnsi="Calibri"/>
          <w:i/>
          <w:szCs w:val="22"/>
          <w:lang w:eastAsia="en-US"/>
        </w:rPr>
        <w:tab/>
        <w:t>O</w:t>
      </w:r>
      <w:r w:rsidRPr="008676F9">
        <w:rPr>
          <w:rFonts w:ascii="Calibri" w:eastAsia="Calibri" w:hAnsi="Calibri" w:cs="Calibri"/>
          <w:i/>
          <w:szCs w:val="22"/>
          <w:lang w:eastAsia="en-US"/>
        </w:rPr>
        <w:t>bnova, zachovanie a zvýšenie biologickej diverzity vrátane na územiach sústavy Natura 2000 a v oblastiach s prírodnými alebo inými osobitnými obmedzeniami a v poľnohospodárskej činnosti s vysokou prírodnou hodnotou a obnova, zachovanie ako aj zlepšenie stavu krajinných oblastí Európy</w:t>
      </w:r>
    </w:p>
    <w:p w:rsidR="008676F9" w:rsidRPr="008676F9" w:rsidRDefault="008676F9" w:rsidP="00955DA4">
      <w:pPr>
        <w:numPr>
          <w:ilvl w:val="0"/>
          <w:numId w:val="141"/>
        </w:numPr>
        <w:spacing w:after="240"/>
        <w:ind w:left="426" w:hanging="426"/>
        <w:rPr>
          <w:rFonts w:ascii="Calibri" w:hAnsi="Calibri"/>
          <w:szCs w:val="22"/>
          <w:lang w:eastAsia="en-US"/>
        </w:rPr>
      </w:pPr>
      <w:r w:rsidRPr="008676F9">
        <w:rPr>
          <w:rFonts w:ascii="Calibri" w:hAnsi="Calibri" w:cs="Arial"/>
          <w:color w:val="222222"/>
          <w:szCs w:val="22"/>
          <w:lang w:eastAsia="en-US"/>
        </w:rPr>
        <w:t>Cieľom fokusovej oblasti je opätovná obnova, zachovanie a podpora biodiverzity v SR. Prenos poznatkov a informačných akcií je v oblasti obnovy a posilnenia biologickej diverzity v poľnohospodárstve a lesníctve dôležitou súčasťou, prispieva nielen k šíreniu informácií o stave biologickej diverzity, ale prispieva aj k ďalšiemu povedomiu a rozšíreniu pochopenia príslušných environmentálnych opatrení a legislatívy.  Poľnohospodárstvo a lesníctvo je vystavené množstvu</w:t>
      </w:r>
      <w:r w:rsidRPr="008676F9">
        <w:rPr>
          <w:rFonts w:ascii="Calibri" w:hAnsi="Calibri" w:cs="Arial"/>
          <w:color w:val="222222"/>
          <w:szCs w:val="22"/>
          <w:lang w:eastAsia="en-US"/>
        </w:rPr>
        <w:lastRenderedPageBreak/>
        <w:t xml:space="preserve"> legislatívnych predpisov a správnou informovanosťou môže teda dôjsť k pridanej hodnote a ochrane biologickej biodiverzity</w:t>
      </w:r>
      <w:r w:rsidRPr="008676F9">
        <w:rPr>
          <w:rFonts w:ascii="Calibri" w:hAnsi="Calibri" w:cs="Calibri"/>
          <w:szCs w:val="22"/>
          <w:lang w:eastAsia="en-US"/>
        </w:rPr>
        <w:t>;</w:t>
      </w:r>
    </w:p>
    <w:p w:rsidR="008676F9" w:rsidRPr="008676F9" w:rsidRDefault="008676F9" w:rsidP="007B5045">
      <w:pPr>
        <w:spacing w:after="120"/>
        <w:ind w:left="426" w:hanging="426"/>
        <w:rPr>
          <w:rFonts w:ascii="Calibri" w:eastAsia="Calibri" w:hAnsi="Calibri" w:cs="Calibri"/>
          <w:i/>
          <w:szCs w:val="22"/>
          <w:lang w:eastAsia="en-US"/>
        </w:rPr>
      </w:pPr>
      <w:r w:rsidRPr="008676F9">
        <w:rPr>
          <w:rFonts w:ascii="Calibri" w:eastAsia="Calibri" w:hAnsi="Calibri" w:cs="Calibri"/>
          <w:i/>
          <w:szCs w:val="22"/>
          <w:lang w:eastAsia="en-US"/>
        </w:rPr>
        <w:t xml:space="preserve">4B </w:t>
      </w:r>
      <w:r w:rsidRPr="008676F9">
        <w:rPr>
          <w:rFonts w:ascii="Calibri" w:eastAsia="Calibri" w:hAnsi="Calibri" w:cs="Calibri"/>
          <w:i/>
          <w:szCs w:val="22"/>
          <w:lang w:eastAsia="en-US"/>
        </w:rPr>
        <w:tab/>
        <w:t>Zlepšenie vodného hospodárstva vrátane riadenia používania hnojív a pesticídov</w:t>
      </w:r>
    </w:p>
    <w:p w:rsidR="008676F9" w:rsidRPr="008676F9" w:rsidRDefault="008676F9" w:rsidP="00955DA4">
      <w:pPr>
        <w:numPr>
          <w:ilvl w:val="0"/>
          <w:numId w:val="141"/>
        </w:numPr>
        <w:spacing w:after="240"/>
        <w:ind w:left="426" w:hanging="426"/>
        <w:rPr>
          <w:rFonts w:ascii="Calibri" w:eastAsia="Calibri" w:hAnsi="Calibri" w:cs="Calibri"/>
          <w:szCs w:val="22"/>
          <w:lang w:eastAsia="en-US"/>
        </w:rPr>
      </w:pPr>
      <w:r w:rsidRPr="008676F9">
        <w:rPr>
          <w:rFonts w:ascii="Calibri" w:eastAsia="Calibri" w:hAnsi="Calibri" w:cs="Calibri"/>
          <w:szCs w:val="22"/>
          <w:lang w:eastAsia="en-US"/>
        </w:rPr>
        <w:t>Ako je uvedené v analýze SWOT, zaťaženie povrchových a podzemných vôd živinami NP z poľnohospodárstva nie je kritické. V rámci SR predstavuje výmera zraniteľných území 29,8 % z celkovej výmery p.p., lokalizovaných prevažne na juhozápade a juhovýchode krajiny.  V posledných rokoch je v SR celkový trend obsahu dusičnanov v podzemných a povrchových vodách klesajúci. Prispeli k tomu aj opatrenia osi 2 PRV SR 2007-2013, a preto je potrebné v tomto trende pokračovať . Prenos vedomostí a informačných akcií  zabezpečí prenos informácií  a povedomie o vplyve poľnohospodárskych postupov na kvalitu vody,  optimálneho využívania hnojív a pesticídov a zlepšenia hospodárenia s vodou</w:t>
      </w:r>
      <w:r w:rsidRPr="008676F9">
        <w:rPr>
          <w:rFonts w:ascii="Calibri" w:hAnsi="Calibri" w:cs="Calibri"/>
          <w:szCs w:val="22"/>
          <w:lang w:eastAsia="en-US"/>
        </w:rPr>
        <w:t>;</w:t>
      </w:r>
    </w:p>
    <w:p w:rsidR="008676F9" w:rsidRPr="008676F9" w:rsidRDefault="008676F9" w:rsidP="007B5045">
      <w:pPr>
        <w:spacing w:after="120"/>
        <w:ind w:left="426" w:hanging="426"/>
        <w:rPr>
          <w:rFonts w:ascii="Calibri" w:eastAsia="Calibri" w:hAnsi="Calibri" w:cs="Calibri"/>
          <w:i/>
          <w:szCs w:val="22"/>
          <w:lang w:eastAsia="en-US"/>
        </w:rPr>
      </w:pPr>
      <w:r w:rsidRPr="008676F9">
        <w:rPr>
          <w:rFonts w:ascii="Calibri" w:eastAsia="Calibri" w:hAnsi="Calibri" w:cs="Calibri"/>
          <w:i/>
          <w:szCs w:val="22"/>
          <w:lang w:eastAsia="en-US"/>
        </w:rPr>
        <w:t xml:space="preserve">5B </w:t>
      </w:r>
      <w:r w:rsidRPr="008676F9">
        <w:rPr>
          <w:rFonts w:ascii="Calibri" w:eastAsia="Calibri" w:hAnsi="Calibri" w:cs="Calibri"/>
          <w:i/>
          <w:szCs w:val="22"/>
          <w:lang w:eastAsia="en-US"/>
        </w:rPr>
        <w:tab/>
        <w:t>Zvýšenie efektívnosti využívania energie v poľnohospodárstve a pri spracovaní potravín</w:t>
      </w:r>
    </w:p>
    <w:p w:rsidR="008676F9" w:rsidRPr="008676F9" w:rsidRDefault="008676F9" w:rsidP="00955DA4">
      <w:pPr>
        <w:numPr>
          <w:ilvl w:val="0"/>
          <w:numId w:val="141"/>
        </w:numPr>
        <w:spacing w:after="120"/>
        <w:ind w:left="426" w:hanging="426"/>
        <w:rPr>
          <w:rFonts w:ascii="Calibri" w:hAnsi="Calibri" w:cs="Calibri"/>
          <w:szCs w:val="22"/>
          <w:lang w:eastAsia="en-US"/>
        </w:rPr>
      </w:pPr>
      <w:r w:rsidRPr="008676F9">
        <w:rPr>
          <w:rFonts w:ascii="Calibri" w:eastAsia="Calibri" w:hAnsi="Calibri" w:cs="Calibri"/>
          <w:szCs w:val="22"/>
          <w:lang w:eastAsia="en-US"/>
        </w:rPr>
        <w:t>Ako je uvedené v hodnotení potrieb, SR je piatou energeticky najnáročnejšou krajinou EÚ. Existujú značné rezervy v úsporách energií a energetickej efektívnosti v pôdohospodárstve (zateplenie budov, tepelné hospodárstvo, minimalizácia prejazdov, lepšie využívanie technologických a skladových kapacít, a pod.) Na zníženie energetickej náročnosti o 20% a zlepšenia využívania energie v poľnohospodárstve o 20% do roku 2020 a zlepšenia využívania energie v poľnohospodárstve okrem investičných opatrení je podstatným a dôležitým prvkom práve transfer vedomostí pre nutnosť zmeny správania sa poľnohospodárov</w:t>
      </w:r>
      <w:r w:rsidRPr="008676F9">
        <w:rPr>
          <w:rFonts w:ascii="Calibri" w:hAnsi="Calibri" w:cs="Calibri"/>
          <w:szCs w:val="22"/>
          <w:lang w:eastAsia="en-US"/>
        </w:rPr>
        <w:t>;</w:t>
      </w:r>
    </w:p>
    <w:p w:rsidR="008676F9" w:rsidRPr="008676F9" w:rsidRDefault="008676F9" w:rsidP="007B5045">
      <w:pPr>
        <w:spacing w:after="120"/>
        <w:ind w:left="426" w:hanging="426"/>
        <w:rPr>
          <w:rFonts w:ascii="Calibri" w:eastAsia="Calibri" w:hAnsi="Calibri" w:cs="Calibri"/>
          <w:i/>
          <w:szCs w:val="22"/>
          <w:lang w:eastAsia="en-US"/>
        </w:rPr>
      </w:pPr>
      <w:r w:rsidRPr="008676F9">
        <w:rPr>
          <w:rFonts w:ascii="Calibri" w:eastAsia="Calibri" w:hAnsi="Calibri" w:cs="Calibri"/>
          <w:i/>
          <w:szCs w:val="22"/>
          <w:lang w:eastAsia="en-US"/>
        </w:rPr>
        <w:t xml:space="preserve">5C </w:t>
      </w:r>
      <w:r w:rsidRPr="008676F9">
        <w:rPr>
          <w:rFonts w:ascii="Calibri" w:eastAsia="Calibri" w:hAnsi="Calibri" w:cs="Calibri"/>
          <w:i/>
          <w:szCs w:val="22"/>
          <w:lang w:eastAsia="en-US"/>
        </w:rPr>
        <w:tab/>
        <w:t>Uľahčenie dodávok a využívania obnoviteľných zdrojov energie, vedľajších produktov, odpadov, zvyškov a iných nepotravinových surovín na účely bioekonomiky</w:t>
      </w:r>
    </w:p>
    <w:p w:rsidR="008676F9" w:rsidRPr="008676F9" w:rsidRDefault="008676F9" w:rsidP="00955DA4">
      <w:pPr>
        <w:numPr>
          <w:ilvl w:val="0"/>
          <w:numId w:val="141"/>
        </w:numPr>
        <w:spacing w:after="240"/>
        <w:ind w:left="426" w:hanging="426"/>
        <w:rPr>
          <w:rFonts w:ascii="Calibri" w:eastAsia="Calibri" w:hAnsi="Calibri" w:cs="Calibri"/>
          <w:szCs w:val="22"/>
          <w:lang w:eastAsia="en-US"/>
        </w:rPr>
      </w:pPr>
      <w:r w:rsidRPr="008676F9">
        <w:rPr>
          <w:rFonts w:ascii="Calibri" w:hAnsi="Calibri"/>
          <w:szCs w:val="22"/>
          <w:lang w:eastAsia="en-US"/>
        </w:rPr>
        <w:t>Fokusová oblasť 5C je v rámci priority 5 dôležitou oblasťou. Vyplýva to zo záväzku SR dosiahnuť  do roku 2020 20% podiel energie z obnoviteľných zdrojov  na hrubej konečnej spotrebe energie. Jednou z ciest ako dosiahnuť stanovený cieľ v rámci priority 5 bude v rámci prenosu vedomostí a informačných akcií informovať o  zariadeniach produkujúcich čisté formy energie, ktoré využívajú biomasu, ktorú má podnik k dispozícii predovšetkým z vlastnej výrobnej činnosti; o využívaní OZE v lesníctve a vo vidieckych oblastiach</w:t>
      </w:r>
      <w:r w:rsidRPr="008676F9">
        <w:rPr>
          <w:rFonts w:ascii="Calibri" w:hAnsi="Calibri" w:cs="Calibri"/>
          <w:szCs w:val="22"/>
          <w:lang w:eastAsia="en-US"/>
        </w:rPr>
        <w:t>;</w:t>
      </w:r>
      <w:r w:rsidRPr="008676F9">
        <w:rPr>
          <w:rFonts w:ascii="Calibri" w:hAnsi="Calibri" w:cs="Calibri"/>
          <w:szCs w:val="22"/>
          <w:lang w:eastAsia="en-US"/>
        </w:rPr>
        <w:tab/>
      </w:r>
    </w:p>
    <w:p w:rsidR="008676F9" w:rsidRPr="008676F9" w:rsidRDefault="008676F9" w:rsidP="007B5045">
      <w:pPr>
        <w:spacing w:after="120"/>
        <w:ind w:left="426" w:hanging="426"/>
        <w:rPr>
          <w:rFonts w:ascii="Calibri" w:eastAsia="Calibri" w:hAnsi="Calibri" w:cs="Calibri"/>
          <w:i/>
          <w:szCs w:val="22"/>
          <w:lang w:eastAsia="en-US"/>
        </w:rPr>
      </w:pPr>
      <w:r w:rsidRPr="008676F9">
        <w:rPr>
          <w:rFonts w:ascii="Calibri" w:eastAsia="Calibri" w:hAnsi="Calibri" w:cs="Calibri"/>
          <w:i/>
          <w:szCs w:val="22"/>
          <w:lang w:eastAsia="en-US"/>
        </w:rPr>
        <w:t xml:space="preserve">5D </w:t>
      </w:r>
      <w:r w:rsidRPr="008676F9">
        <w:rPr>
          <w:rFonts w:ascii="Calibri" w:eastAsia="Calibri" w:hAnsi="Calibri" w:cs="Calibri"/>
          <w:i/>
          <w:szCs w:val="22"/>
          <w:lang w:eastAsia="en-US"/>
        </w:rPr>
        <w:tab/>
        <w:t>Zníženie emisií skleníkových plynov a amoniaku z poľnohospodárstva</w:t>
      </w:r>
    </w:p>
    <w:p w:rsidR="008676F9" w:rsidRPr="008676F9" w:rsidRDefault="008676F9" w:rsidP="00955DA4">
      <w:pPr>
        <w:numPr>
          <w:ilvl w:val="0"/>
          <w:numId w:val="141"/>
        </w:numPr>
        <w:spacing w:after="120"/>
        <w:ind w:left="426" w:hanging="426"/>
        <w:rPr>
          <w:rFonts w:ascii="Calibri" w:hAnsi="Calibri" w:cs="Calibri"/>
          <w:szCs w:val="22"/>
          <w:lang w:eastAsia="en-US"/>
        </w:rPr>
      </w:pPr>
      <w:r w:rsidRPr="008676F9">
        <w:rPr>
          <w:rFonts w:ascii="Calibri" w:hAnsi="Calibri"/>
          <w:szCs w:val="22"/>
          <w:lang w:eastAsia="en-US"/>
        </w:rPr>
        <w:t>Podiel poľnohospodárstva (vrátane emisií z pôdy) na celkových čistých emisiách SR predstavuje 5,1 % (CCI 45). Slovensko splnilo už v roku 2003 svoj emisný cieľ pre rok 2010 stanovený v Kodanskom protokole. Napriek očakávanému miernemu rastu v období po roku 2011, sú emisie stále len na tretinovej úrovni roku 1990. Prostredníctvom podpory prenosu poznatkov a informačných akcií v boji proti klimatickým zmenám bude v znížení emisií skleníkových plynov a amoniaku z poľnohospodárstva zohrávať prenos informácií dôležitú úlohu v informovanosti o moderných výrobných postupoch, o nedostatkoch v oblasti manipulácie a uskladňovania organických hnojív a exkrementov,  o znižovaní metánu a N2O</w:t>
      </w:r>
      <w:r w:rsidRPr="008676F9">
        <w:rPr>
          <w:rFonts w:ascii="Calibri" w:hAnsi="Calibri" w:cs="Calibri"/>
          <w:szCs w:val="22"/>
          <w:lang w:eastAsia="en-US"/>
        </w:rPr>
        <w:t>;</w:t>
      </w:r>
    </w:p>
    <w:p w:rsidR="008676F9" w:rsidRPr="008676F9" w:rsidRDefault="008676F9" w:rsidP="007B5045">
      <w:pPr>
        <w:spacing w:after="120"/>
        <w:ind w:left="426" w:hanging="426"/>
        <w:rPr>
          <w:rFonts w:ascii="Calibri" w:eastAsia="Calibri" w:hAnsi="Calibri" w:cs="Calibri"/>
          <w:i/>
          <w:szCs w:val="22"/>
          <w:lang w:eastAsia="en-US"/>
        </w:rPr>
      </w:pPr>
      <w:r w:rsidRPr="008676F9">
        <w:rPr>
          <w:rFonts w:ascii="Calibri" w:eastAsia="Calibri" w:hAnsi="Calibri" w:cs="Calibri"/>
          <w:i/>
          <w:szCs w:val="22"/>
          <w:lang w:eastAsia="en-US"/>
        </w:rPr>
        <w:t xml:space="preserve">5E </w:t>
      </w:r>
      <w:r w:rsidRPr="008676F9">
        <w:rPr>
          <w:rFonts w:ascii="Calibri" w:eastAsia="Calibri" w:hAnsi="Calibri" w:cs="Calibri"/>
          <w:i/>
          <w:szCs w:val="22"/>
          <w:lang w:eastAsia="en-US"/>
        </w:rPr>
        <w:tab/>
        <w:t>Podpora zachovania a sekvestrácie oxidu uhličitého v poľnohospodárstve a lesnom hospodárstve</w:t>
      </w:r>
    </w:p>
    <w:p w:rsidR="008676F9" w:rsidRPr="008676F9" w:rsidRDefault="008676F9" w:rsidP="00955DA4">
      <w:pPr>
        <w:numPr>
          <w:ilvl w:val="0"/>
          <w:numId w:val="141"/>
        </w:numPr>
        <w:spacing w:after="240"/>
        <w:ind w:left="426" w:hanging="426"/>
        <w:rPr>
          <w:rFonts w:ascii="Calibri" w:hAnsi="Calibri" w:cs="Arial"/>
          <w:color w:val="222222"/>
          <w:szCs w:val="22"/>
          <w:lang w:eastAsia="en-US"/>
        </w:rPr>
      </w:pPr>
      <w:r w:rsidRPr="008676F9">
        <w:rPr>
          <w:rFonts w:ascii="Calibri" w:hAnsi="Calibri" w:cs="Arial"/>
          <w:color w:val="222222"/>
          <w:szCs w:val="22"/>
          <w:lang w:eastAsia="en-US"/>
        </w:rPr>
        <w:t>V zmysle Stratégie Európa 2020 je sekvestrácia uhlíka prioritnou v rámci pôdohospodárskych opatrení na zmiernenie následkov zmeny klímy. V dlhodobom horizonte ukladanie uhlíka do pôdy priaznivo ovplyvní multifunkčný potenciál pôdy.  Rovnako ako v oblasti znižovania emisií z poľnohospodárstva si ukladanie uhlíka do pôdy, odovzdávanie skúseností pre zlepšenie hospodárenia vyžaduje masívnu podporu prostredníctvom prenosu znalostí a informačných akcií</w:t>
      </w:r>
      <w:r w:rsidRPr="008676F9">
        <w:rPr>
          <w:rFonts w:ascii="Calibri" w:hAnsi="Calibri" w:cs="Calibri"/>
          <w:szCs w:val="22"/>
          <w:lang w:eastAsia="en-US"/>
        </w:rPr>
        <w:t>;</w:t>
      </w:r>
    </w:p>
    <w:p w:rsidR="008676F9" w:rsidRPr="008676F9" w:rsidRDefault="008676F9" w:rsidP="00D82D4F">
      <w:pPr>
        <w:spacing w:after="120"/>
        <w:ind w:left="426" w:hanging="426"/>
        <w:rPr>
          <w:rFonts w:ascii="Calibri" w:eastAsia="Calibri" w:hAnsi="Calibri" w:cs="Calibri"/>
          <w:i/>
          <w:szCs w:val="22"/>
          <w:lang w:eastAsia="en-US"/>
        </w:rPr>
      </w:pPr>
      <w:r w:rsidRPr="008676F9">
        <w:rPr>
          <w:rFonts w:ascii="Calibri" w:eastAsia="Calibri" w:hAnsi="Calibri" w:cs="Calibri"/>
          <w:i/>
          <w:szCs w:val="22"/>
          <w:lang w:eastAsia="en-US"/>
        </w:rPr>
        <w:t>6A</w:t>
      </w:r>
      <w:r w:rsidRPr="008676F9">
        <w:rPr>
          <w:rFonts w:ascii="Calibri" w:eastAsia="Calibri" w:hAnsi="Calibri" w:cs="Calibri"/>
          <w:i/>
          <w:szCs w:val="22"/>
          <w:lang w:eastAsia="en-US"/>
        </w:rPr>
        <w:tab/>
        <w:t xml:space="preserve"> Uľahčenie diverzifikácie, zakladania a rozvoja malých podnikov, ako aj vytvárania pracovných miest</w:t>
      </w:r>
    </w:p>
    <w:p w:rsidR="008676F9" w:rsidRDefault="008676F9" w:rsidP="00955DA4">
      <w:pPr>
        <w:numPr>
          <w:ilvl w:val="0"/>
          <w:numId w:val="141"/>
        </w:numPr>
        <w:spacing w:after="240"/>
        <w:ind w:left="426" w:hanging="426"/>
        <w:rPr>
          <w:rFonts w:ascii="Calibri" w:eastAsia="Calibri" w:hAnsi="Calibri" w:cs="Calibri"/>
          <w:szCs w:val="22"/>
          <w:lang w:eastAsia="en-US"/>
        </w:rPr>
      </w:pPr>
      <w:r w:rsidRPr="008676F9">
        <w:rPr>
          <w:rFonts w:ascii="Calibri" w:eastAsia="Calibri" w:hAnsi="Calibri" w:cs="Calibri"/>
          <w:szCs w:val="22"/>
          <w:lang w:eastAsia="en-US"/>
        </w:rPr>
        <w:t>Potreba vytvárania nových pracovných miest na vidieku patrí medzi nosné priority programu. Pre rozvoj vidieckej zamestnanosti je však rozhodujúci počet a stabilita podnikateľských subjektov, ktoré sa tu nachádzajú. Poľnohospodári a lesníci môžu prostredníctvom transferu znalostí a informácií získať nové pohľady na rozvoj podnikania v oblastí mimo poľnohospodárstva a diverzifikácie, čo umožní ich stabilizáciu  a rast podnikateľských subjektov, čo povedie k rastu zamestnanosti.</w:t>
      </w:r>
    </w:p>
    <w:p w:rsidR="00117051" w:rsidRPr="00117051" w:rsidRDefault="00117051" w:rsidP="00D82D4F">
      <w:pPr>
        <w:tabs>
          <w:tab w:val="left" w:pos="426"/>
        </w:tabs>
        <w:spacing w:after="240"/>
        <w:ind w:left="426" w:hanging="426"/>
        <w:rPr>
          <w:rFonts w:ascii="Calibri" w:eastAsia="Calibri" w:hAnsi="Calibri" w:cs="Calibri"/>
          <w:szCs w:val="22"/>
          <w:lang w:eastAsia="en-US"/>
        </w:rPr>
      </w:pPr>
      <w:r w:rsidRPr="00117051">
        <w:rPr>
          <w:rFonts w:ascii="Calibri" w:eastAsia="Calibri" w:hAnsi="Calibri" w:cs="Calibri"/>
          <w:szCs w:val="22"/>
          <w:lang w:eastAsia="en-US"/>
        </w:rPr>
        <w:t xml:space="preserve">6C </w:t>
      </w:r>
      <w:r w:rsidRPr="00117051">
        <w:rPr>
          <w:rFonts w:ascii="Calibri" w:eastAsia="Calibri" w:hAnsi="Calibri" w:cs="Calibri"/>
          <w:szCs w:val="22"/>
          <w:lang w:eastAsia="en-US"/>
        </w:rPr>
        <w:tab/>
        <w:t>Rozšírenie prístupnosti, využívania a kvality informačných a komunikačných technológií (IKT) vo vidieckych oblastiach</w:t>
      </w:r>
    </w:p>
    <w:p w:rsidR="00117051" w:rsidRPr="00E867CB" w:rsidRDefault="00117051" w:rsidP="00955DA4">
      <w:pPr>
        <w:pStyle w:val="Odsekzoznamu"/>
        <w:numPr>
          <w:ilvl w:val="0"/>
          <w:numId w:val="141"/>
        </w:numPr>
        <w:spacing w:after="240"/>
        <w:ind w:left="426" w:hanging="426"/>
        <w:rPr>
          <w:rFonts w:ascii="Calibri" w:eastAsia="Calibri" w:hAnsi="Calibri" w:cs="Calibri"/>
          <w:szCs w:val="22"/>
          <w:lang w:eastAsia="en-US"/>
        </w:rPr>
      </w:pPr>
      <w:r w:rsidRPr="00E867CB">
        <w:rPr>
          <w:rFonts w:ascii="Calibri" w:eastAsia="Calibri" w:hAnsi="Calibri" w:cs="Calibri"/>
          <w:szCs w:val="22"/>
          <w:lang w:eastAsia="en-US"/>
        </w:rPr>
        <w:t xml:space="preserve">Zvýšenie dostupnosti informácií prostredníctvom využívania moderných informačno-komunikačných technológií je významných faktorom ďalšieho ekonomického rozvoja vidieckych území. Prostredníctvom vzdelávacích a informačných aktivít sa posilnia kľúčové kompetencie subjektov pôsobiacich v priestore vidieka v oblastiach súvisiacich s využívaním IKT zariadení.  </w:t>
      </w:r>
    </w:p>
    <w:p w:rsidR="008676F9" w:rsidRPr="008676F9" w:rsidRDefault="008676F9" w:rsidP="007B5045">
      <w:pPr>
        <w:rPr>
          <w:rFonts w:ascii="Calibri" w:eastAsia="Calibri" w:hAnsi="Calibri" w:cs="Calibri"/>
          <w:szCs w:val="22"/>
          <w:u w:val="single"/>
          <w:lang w:eastAsia="en-US"/>
        </w:rPr>
      </w:pPr>
      <w:r w:rsidRPr="008676F9">
        <w:rPr>
          <w:rFonts w:ascii="Calibri" w:eastAsia="Calibri" w:hAnsi="Calibri" w:cs="Calibri"/>
          <w:szCs w:val="22"/>
          <w:u w:val="single"/>
          <w:lang w:eastAsia="en-US"/>
        </w:rPr>
        <w:t>Príspevok k prierezovým cieľom:</w:t>
      </w:r>
    </w:p>
    <w:p w:rsidR="008676F9" w:rsidRPr="008676F9" w:rsidRDefault="008676F9" w:rsidP="001F5283">
      <w:pPr>
        <w:numPr>
          <w:ilvl w:val="0"/>
          <w:numId w:val="50"/>
        </w:numPr>
        <w:spacing w:after="200"/>
        <w:ind w:left="426"/>
        <w:contextualSpacing/>
        <w:rPr>
          <w:rFonts w:ascii="Calibri" w:hAnsi="Calibri" w:cs="Calibri"/>
          <w:szCs w:val="22"/>
          <w:lang w:eastAsia="en-US"/>
        </w:rPr>
      </w:pPr>
      <w:r w:rsidRPr="008676F9">
        <w:rPr>
          <w:rFonts w:ascii="Calibri" w:hAnsi="Calibri" w:cs="Calibri"/>
          <w:szCs w:val="22"/>
          <w:lang w:eastAsia="en-US"/>
        </w:rPr>
        <w:t xml:space="preserve">Inovácie; </w:t>
      </w:r>
    </w:p>
    <w:p w:rsidR="008676F9" w:rsidRPr="008676F9" w:rsidRDefault="008676F9" w:rsidP="001F5283">
      <w:pPr>
        <w:numPr>
          <w:ilvl w:val="0"/>
          <w:numId w:val="50"/>
        </w:numPr>
        <w:spacing w:after="200"/>
        <w:ind w:left="426"/>
        <w:contextualSpacing/>
        <w:rPr>
          <w:rFonts w:ascii="Calibri" w:hAnsi="Calibri" w:cs="Calibri"/>
          <w:szCs w:val="22"/>
          <w:lang w:eastAsia="en-US"/>
        </w:rPr>
      </w:pPr>
      <w:r w:rsidRPr="008676F9">
        <w:rPr>
          <w:rFonts w:ascii="Calibri" w:hAnsi="Calibri" w:cs="Calibri"/>
          <w:szCs w:val="22"/>
          <w:lang w:eastAsia="en-US"/>
        </w:rPr>
        <w:t xml:space="preserve">životné prostredie; </w:t>
      </w:r>
    </w:p>
    <w:p w:rsidR="008676F9" w:rsidRPr="008676F9" w:rsidRDefault="008676F9" w:rsidP="001F5283">
      <w:pPr>
        <w:numPr>
          <w:ilvl w:val="0"/>
          <w:numId w:val="50"/>
        </w:numPr>
        <w:spacing w:after="200"/>
        <w:ind w:left="426"/>
        <w:contextualSpacing/>
        <w:rPr>
          <w:rFonts w:ascii="Calibri" w:hAnsi="Calibri" w:cs="Calibri"/>
          <w:szCs w:val="22"/>
          <w:lang w:eastAsia="en-US"/>
        </w:rPr>
      </w:pPr>
      <w:r w:rsidRPr="008676F9">
        <w:rPr>
          <w:rFonts w:ascii="Calibri" w:hAnsi="Calibri" w:cs="Calibri"/>
          <w:szCs w:val="22"/>
          <w:lang w:eastAsia="en-US"/>
        </w:rPr>
        <w:t>zmierňovanie zmeny klímy a adaptácia na ňu.</w:t>
      </w:r>
    </w:p>
    <w:p w:rsidR="008676F9" w:rsidRPr="008676F9" w:rsidRDefault="008676F9" w:rsidP="008676F9">
      <w:pPr>
        <w:ind w:left="426"/>
        <w:rPr>
          <w:rFonts w:ascii="Calibri" w:hAnsi="Calibri" w:cs="Calibri"/>
          <w:szCs w:val="22"/>
          <w:lang w:eastAsia="en-US"/>
        </w:rPr>
      </w:pPr>
    </w:p>
    <w:p w:rsidR="008676F9" w:rsidRDefault="008676F9" w:rsidP="008676F9">
      <w:pPr>
        <w:rPr>
          <w:rFonts w:ascii="Calibri" w:eastAsia="Calibri" w:hAnsi="Calibri" w:cs="Calibri"/>
          <w:szCs w:val="22"/>
          <w:lang w:eastAsia="en-US"/>
        </w:rPr>
      </w:pPr>
      <w:r w:rsidRPr="008676F9">
        <w:rPr>
          <w:rFonts w:ascii="Calibri" w:eastAsia="Calibri" w:hAnsi="Calibri" w:cs="Calibri"/>
          <w:b/>
          <w:szCs w:val="22"/>
          <w:lang w:eastAsia="en-US"/>
        </w:rPr>
        <w:t xml:space="preserve">8.2.1.3. Rozsah, úroveň podpory a ďalšie informácie </w:t>
      </w:r>
      <w:r w:rsidRPr="008676F9">
        <w:rPr>
          <w:rFonts w:ascii="Calibri" w:eastAsia="Calibri" w:hAnsi="Calibri" w:cs="Calibri"/>
          <w:szCs w:val="22"/>
          <w:lang w:eastAsia="en-US"/>
        </w:rPr>
        <w:t>(v členení podľa podopatrení a typu operácie)</w:t>
      </w:r>
    </w:p>
    <w:p w:rsidR="00BE36D5" w:rsidRDefault="00BE36D5" w:rsidP="008676F9">
      <w:pPr>
        <w:rPr>
          <w:rFonts w:ascii="Calibri" w:eastAsia="Calibri" w:hAnsi="Calibri" w:cs="Calibri"/>
          <w:szCs w:val="22"/>
          <w:lang w:eastAsia="en-US"/>
        </w:rPr>
      </w:pPr>
    </w:p>
    <w:p w:rsidR="008676F9" w:rsidRPr="00CC6591" w:rsidRDefault="008676F9" w:rsidP="008676F9">
      <w:pPr>
        <w:shd w:val="clear" w:color="auto" w:fill="EAF1DD"/>
        <w:rPr>
          <w:rFonts w:ascii="Calibri" w:eastAsia="Calibri" w:hAnsi="Calibri" w:cs="Calibri"/>
          <w:bCs/>
          <w:i/>
          <w:sz w:val="24"/>
          <w:lang w:eastAsia="en-US"/>
        </w:rPr>
      </w:pPr>
      <w:r w:rsidRPr="008676F9">
        <w:rPr>
          <w:rFonts w:ascii="Calibri" w:eastAsia="Calibri" w:hAnsi="Calibri" w:cs="Calibri"/>
          <w:bCs/>
          <w:lang w:eastAsia="en-US"/>
        </w:rPr>
        <w:t xml:space="preserve">Podopatrenie: </w:t>
      </w:r>
      <w:r w:rsidRPr="008676F9">
        <w:rPr>
          <w:rFonts w:ascii="Calibri" w:eastAsia="Calibri" w:hAnsi="Calibri" w:cs="Calibri"/>
          <w:b/>
          <w:bCs/>
          <w:i/>
          <w:lang w:eastAsia="en-US"/>
        </w:rPr>
        <w:t xml:space="preserve">1.1 </w:t>
      </w:r>
      <w:r w:rsidRPr="00CC6591">
        <w:rPr>
          <w:rFonts w:ascii="Calibri" w:eastAsia="Calibri" w:hAnsi="Calibri" w:cs="Calibri"/>
          <w:b/>
          <w:bCs/>
          <w:i/>
          <w:sz w:val="24"/>
          <w:lang w:eastAsia="en-US"/>
        </w:rPr>
        <w:t>Podpora odborného vzdelávania a získavania zručností</w:t>
      </w:r>
    </w:p>
    <w:p w:rsidR="008676F9" w:rsidRPr="008676F9" w:rsidRDefault="008676F9" w:rsidP="008676F9">
      <w:pPr>
        <w:shd w:val="clear" w:color="auto" w:fill="FBD4B4"/>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Názov operácie:</w:t>
      </w:r>
    </w:p>
    <w:p w:rsidR="008676F9" w:rsidRPr="008676F9" w:rsidRDefault="008676F9" w:rsidP="008676F9">
      <w:pPr>
        <w:shd w:val="clear" w:color="auto" w:fill="FBD4B4"/>
        <w:rPr>
          <w:rFonts w:ascii="Calibri" w:eastAsia="Calibri" w:hAnsi="Calibri" w:cs="Calibri"/>
          <w:bCs/>
          <w:i/>
          <w:szCs w:val="22"/>
          <w:lang w:eastAsia="en-US"/>
        </w:rPr>
      </w:pPr>
      <w:r w:rsidRPr="008676F9">
        <w:rPr>
          <w:rFonts w:ascii="Calibri" w:eastAsia="Calibri" w:hAnsi="Calibri" w:cs="Calibri"/>
          <w:bCs/>
          <w:i/>
          <w:szCs w:val="22"/>
          <w:lang w:eastAsia="en-US"/>
        </w:rPr>
        <w:t>Podpora odborného vzdelávania a získavania zručností</w:t>
      </w:r>
    </w:p>
    <w:p w:rsidR="008676F9" w:rsidRPr="008676F9" w:rsidRDefault="008676F9" w:rsidP="008676F9">
      <w:pPr>
        <w:rPr>
          <w:rFonts w:ascii="Calibri" w:eastAsia="Calibri" w:hAnsi="Calibri" w:cs="Calibri"/>
          <w:b/>
          <w:szCs w:val="22"/>
          <w:lang w:eastAsia="en-US"/>
        </w:rPr>
      </w:pPr>
    </w:p>
    <w:p w:rsidR="008676F9" w:rsidRPr="008676F9" w:rsidRDefault="008676F9" w:rsidP="008676F9">
      <w:pPr>
        <w:tabs>
          <w:tab w:val="left" w:pos="708"/>
        </w:tabs>
        <w:suppressAutoHyphens/>
        <w:spacing w:line="100" w:lineRule="atLeast"/>
        <w:rPr>
          <w:rFonts w:ascii="Calibri" w:eastAsia="Calibri" w:hAnsi="Calibri" w:cs="Calibri"/>
          <w:szCs w:val="22"/>
          <w:u w:val="single"/>
          <w:lang w:eastAsia="en-US"/>
        </w:rPr>
      </w:pPr>
      <w:r w:rsidRPr="008676F9">
        <w:rPr>
          <w:rFonts w:ascii="Calibri" w:hAnsi="Calibri"/>
          <w:szCs w:val="22"/>
          <w:u w:val="single"/>
        </w:rPr>
        <w:t>Opis operácie:</w:t>
      </w:r>
    </w:p>
    <w:p w:rsidR="008676F9" w:rsidRPr="008676F9" w:rsidRDefault="008676F9" w:rsidP="007B5045">
      <w:pPr>
        <w:tabs>
          <w:tab w:val="left" w:pos="708"/>
        </w:tabs>
        <w:suppressAutoHyphens/>
        <w:spacing w:after="120"/>
        <w:rPr>
          <w:rFonts w:ascii="Calibri" w:hAnsi="Calibri"/>
          <w:szCs w:val="22"/>
        </w:rPr>
      </w:pPr>
      <w:r w:rsidRPr="008676F9">
        <w:rPr>
          <w:rFonts w:ascii="Calibri" w:hAnsi="Calibri"/>
          <w:szCs w:val="22"/>
        </w:rPr>
        <w:t xml:space="preserve">Vzdelávanie a odborná príprava sú cielené činnosti, ktoré slúžia k dlhodobejšiemu resp. opakovanému prehĺbeniu  a šíreniu zručností a inovácií, rozširovaniu alebo obnovovaniu vedomostí, zručností a schopností formou prezenčných vzdelávacích kurzov, seminárov, školení, tréningov, terénnych exkurzií, praktických zručností, workshopov,  koučingu a e-learningu. </w:t>
      </w:r>
    </w:p>
    <w:p w:rsidR="008676F9" w:rsidRPr="008676F9" w:rsidRDefault="006D1C04" w:rsidP="007B5045">
      <w:pPr>
        <w:tabs>
          <w:tab w:val="left" w:pos="708"/>
        </w:tabs>
        <w:suppressAutoHyphens/>
        <w:rPr>
          <w:rFonts w:ascii="Calibri" w:hAnsi="Calibri"/>
          <w:szCs w:val="22"/>
        </w:rPr>
      </w:pPr>
      <w:r>
        <w:rPr>
          <w:rFonts w:ascii="Calibri" w:hAnsi="Calibri"/>
          <w:szCs w:val="22"/>
        </w:rPr>
        <w:t>Na</w:t>
      </w:r>
      <w:r w:rsidR="008676F9" w:rsidRPr="008676F9">
        <w:rPr>
          <w:rFonts w:ascii="Calibri" w:hAnsi="Calibri"/>
          <w:szCs w:val="22"/>
        </w:rPr>
        <w:t xml:space="preserve"> program</w:t>
      </w:r>
      <w:r>
        <w:rPr>
          <w:rFonts w:ascii="Calibri" w:hAnsi="Calibri"/>
          <w:szCs w:val="22"/>
        </w:rPr>
        <w:t>y</w:t>
      </w:r>
      <w:r w:rsidR="008676F9" w:rsidRPr="008676F9">
        <w:rPr>
          <w:rFonts w:ascii="Calibri" w:hAnsi="Calibri"/>
          <w:szCs w:val="22"/>
        </w:rPr>
        <w:t xml:space="preserve"> odborného vzdelávania, resp. informačných aktivít </w:t>
      </w:r>
      <w:r>
        <w:rPr>
          <w:rFonts w:ascii="Calibri" w:hAnsi="Calibri"/>
          <w:szCs w:val="22"/>
        </w:rPr>
        <w:t>bude</w:t>
      </w:r>
      <w:r w:rsidR="008676F9" w:rsidRPr="008676F9">
        <w:rPr>
          <w:rFonts w:ascii="Calibri" w:hAnsi="Calibri"/>
          <w:szCs w:val="22"/>
        </w:rPr>
        <w:t xml:space="preserve"> vyžadovaná akreditácia Ministerstvom školstva, vedy, výskumu a športu SR  a nevyhnutný podiel na realizácii získavania praktických zručností. </w:t>
      </w:r>
    </w:p>
    <w:p w:rsidR="008676F9" w:rsidRPr="008676F9" w:rsidRDefault="008676F9" w:rsidP="007B5045">
      <w:pPr>
        <w:tabs>
          <w:tab w:val="left" w:pos="708"/>
        </w:tabs>
        <w:suppressAutoHyphens/>
        <w:rPr>
          <w:rFonts w:ascii="Calibri" w:hAnsi="Calibri"/>
          <w:szCs w:val="22"/>
        </w:rPr>
      </w:pPr>
    </w:p>
    <w:p w:rsidR="008676F9" w:rsidRPr="008676F9" w:rsidRDefault="008676F9" w:rsidP="007B5045">
      <w:pPr>
        <w:tabs>
          <w:tab w:val="left" w:pos="708"/>
        </w:tabs>
        <w:suppressAutoHyphens/>
        <w:rPr>
          <w:rFonts w:ascii="Calibri" w:hAnsi="Calibri"/>
          <w:b/>
          <w:szCs w:val="22"/>
        </w:rPr>
      </w:pPr>
      <w:r w:rsidRPr="008676F9">
        <w:rPr>
          <w:rFonts w:ascii="Calibri" w:hAnsi="Calibri"/>
          <w:b/>
          <w:szCs w:val="22"/>
        </w:rPr>
        <w:t xml:space="preserve">Jednotlivé oblasti zamerania aktivít: </w:t>
      </w:r>
    </w:p>
    <w:p w:rsidR="008676F9" w:rsidRPr="008676F9" w:rsidRDefault="008676F9" w:rsidP="00955DA4">
      <w:pPr>
        <w:numPr>
          <w:ilvl w:val="0"/>
          <w:numId w:val="147"/>
        </w:numPr>
        <w:tabs>
          <w:tab w:val="left" w:pos="708"/>
        </w:tabs>
        <w:suppressAutoHyphens/>
        <w:spacing w:after="200"/>
        <w:rPr>
          <w:rFonts w:ascii="Calibri" w:hAnsi="Calibri"/>
          <w:szCs w:val="22"/>
        </w:rPr>
      </w:pPr>
      <w:r w:rsidRPr="008676F9">
        <w:rPr>
          <w:rFonts w:ascii="Calibri" w:hAnsi="Calibri"/>
          <w:szCs w:val="22"/>
        </w:rPr>
        <w:t>Vzdelávanie v oblasti inovácií – zavádzanie nových chovateľských, pestovateľských a spracovateľských postupov a technológií;</w:t>
      </w:r>
    </w:p>
    <w:p w:rsidR="008676F9" w:rsidRPr="008676F9" w:rsidRDefault="008676F9" w:rsidP="00955DA4">
      <w:pPr>
        <w:numPr>
          <w:ilvl w:val="0"/>
          <w:numId w:val="147"/>
        </w:numPr>
        <w:tabs>
          <w:tab w:val="left" w:pos="708"/>
        </w:tabs>
        <w:suppressAutoHyphens/>
        <w:spacing w:after="200"/>
        <w:rPr>
          <w:rFonts w:ascii="Calibri" w:hAnsi="Calibri"/>
          <w:szCs w:val="22"/>
        </w:rPr>
      </w:pPr>
      <w:r w:rsidRPr="008676F9">
        <w:rPr>
          <w:rFonts w:ascii="Calibri" w:hAnsi="Calibri"/>
          <w:szCs w:val="22"/>
        </w:rPr>
        <w:t xml:space="preserve">Vzdelávanie začínajúcich poľnohospodárov, mladých poľnohospodárov v oblasti legislatívy, výroby, spracovania a predaja produktov; </w:t>
      </w:r>
    </w:p>
    <w:p w:rsidR="008676F9" w:rsidRPr="008676F9" w:rsidRDefault="008676F9" w:rsidP="00955DA4">
      <w:pPr>
        <w:numPr>
          <w:ilvl w:val="0"/>
          <w:numId w:val="147"/>
        </w:numPr>
        <w:tabs>
          <w:tab w:val="left" w:pos="708"/>
        </w:tabs>
        <w:suppressAutoHyphens/>
        <w:spacing w:after="200"/>
        <w:rPr>
          <w:rFonts w:ascii="Calibri" w:hAnsi="Calibri"/>
          <w:szCs w:val="22"/>
        </w:rPr>
      </w:pPr>
      <w:r w:rsidRPr="008676F9">
        <w:rPr>
          <w:rFonts w:ascii="Calibri" w:hAnsi="Calibri"/>
          <w:szCs w:val="22"/>
        </w:rPr>
        <w:t>Vzdelávanie v oblasti efektívneho riadenia podniku – ekonomika, financie, obchod;</w:t>
      </w:r>
    </w:p>
    <w:p w:rsidR="008676F9" w:rsidRPr="008676F9" w:rsidRDefault="008676F9" w:rsidP="00955DA4">
      <w:pPr>
        <w:numPr>
          <w:ilvl w:val="0"/>
          <w:numId w:val="147"/>
        </w:numPr>
        <w:tabs>
          <w:tab w:val="left" w:pos="708"/>
        </w:tabs>
        <w:suppressAutoHyphens/>
        <w:spacing w:after="200"/>
        <w:rPr>
          <w:rFonts w:ascii="Calibri" w:hAnsi="Calibri"/>
          <w:szCs w:val="22"/>
        </w:rPr>
      </w:pPr>
      <w:r w:rsidRPr="008676F9">
        <w:rPr>
          <w:rFonts w:ascii="Calibri" w:hAnsi="Calibri"/>
          <w:szCs w:val="22"/>
        </w:rPr>
        <w:t>Vzdelávanie v oblasti aplikácie spoločnej poľnohospodárskej politiky – nastavenie systému, podpory, kritériá, podmienky, kontrola, autorizácia, platby, previazanosť na národné podpory a štátnu pomoc podpory ;</w:t>
      </w:r>
    </w:p>
    <w:p w:rsidR="008676F9" w:rsidRPr="008676F9" w:rsidRDefault="008676F9" w:rsidP="00955DA4">
      <w:pPr>
        <w:numPr>
          <w:ilvl w:val="0"/>
          <w:numId w:val="147"/>
        </w:numPr>
        <w:tabs>
          <w:tab w:val="left" w:pos="708"/>
        </w:tabs>
        <w:suppressAutoHyphens/>
        <w:spacing w:after="200"/>
        <w:rPr>
          <w:rFonts w:ascii="Calibri" w:hAnsi="Calibri"/>
          <w:szCs w:val="22"/>
        </w:rPr>
      </w:pPr>
      <w:r w:rsidRPr="008676F9">
        <w:rPr>
          <w:rFonts w:ascii="Calibri" w:hAnsi="Calibri"/>
          <w:szCs w:val="22"/>
        </w:rPr>
        <w:t>Vzdelávanie v oblasti reštrukturalizácie výroby so zameraním na výrobu produktov s vyššou pridanou hodnotou a ich umiestnenie na trhoch;</w:t>
      </w:r>
    </w:p>
    <w:p w:rsidR="008676F9" w:rsidRPr="008676F9" w:rsidRDefault="008676F9" w:rsidP="00955DA4">
      <w:pPr>
        <w:numPr>
          <w:ilvl w:val="0"/>
          <w:numId w:val="147"/>
        </w:numPr>
        <w:tabs>
          <w:tab w:val="left" w:pos="708"/>
        </w:tabs>
        <w:suppressAutoHyphens/>
        <w:spacing w:after="200"/>
        <w:rPr>
          <w:rFonts w:ascii="Calibri" w:hAnsi="Calibri"/>
          <w:szCs w:val="22"/>
        </w:rPr>
      </w:pPr>
      <w:r w:rsidRPr="008676F9">
        <w:rPr>
          <w:rFonts w:ascii="Calibri" w:hAnsi="Calibri"/>
          <w:szCs w:val="22"/>
        </w:rPr>
        <w:t>Praktické vzdelávanie absolventov stredných a vysokých škôl na vybraných poľnohospodárskych podnikoch;</w:t>
      </w:r>
    </w:p>
    <w:p w:rsidR="008676F9" w:rsidRPr="008676F9" w:rsidRDefault="008676F9" w:rsidP="00955DA4">
      <w:pPr>
        <w:numPr>
          <w:ilvl w:val="0"/>
          <w:numId w:val="147"/>
        </w:numPr>
        <w:tabs>
          <w:tab w:val="left" w:pos="708"/>
        </w:tabs>
        <w:suppressAutoHyphens/>
        <w:spacing w:after="200"/>
        <w:rPr>
          <w:rFonts w:ascii="Calibri" w:hAnsi="Calibri"/>
          <w:szCs w:val="22"/>
        </w:rPr>
      </w:pPr>
      <w:r w:rsidRPr="008676F9">
        <w:rPr>
          <w:rFonts w:ascii="Calibri" w:hAnsi="Calibri"/>
          <w:szCs w:val="22"/>
        </w:rPr>
        <w:t xml:space="preserve">Vzdelávanie pôdohospodárov v oblasti spracovania vlastných produktov, marketingu a predaja konečnému spotrebiteľovi; </w:t>
      </w:r>
    </w:p>
    <w:p w:rsidR="008676F9" w:rsidRPr="008676F9" w:rsidRDefault="008676F9" w:rsidP="00955DA4">
      <w:pPr>
        <w:numPr>
          <w:ilvl w:val="0"/>
          <w:numId w:val="147"/>
        </w:numPr>
        <w:spacing w:after="200"/>
        <w:ind w:left="714" w:hanging="357"/>
        <w:rPr>
          <w:rFonts w:ascii="Calibri" w:hAnsi="Calibri"/>
          <w:szCs w:val="22"/>
        </w:rPr>
      </w:pPr>
      <w:r w:rsidRPr="008676F9">
        <w:rPr>
          <w:rFonts w:ascii="Calibri" w:hAnsi="Calibri"/>
          <w:szCs w:val="22"/>
        </w:rPr>
        <w:t>Vzdelávanie a informačné aktivity so zameraním na znižovanie znečistenia jednotlivých zložiek životného prostredia – ovzdušie, voda, pôda, klíma ako a biodiverzity;</w:t>
      </w:r>
    </w:p>
    <w:p w:rsidR="008676F9" w:rsidRPr="008676F9" w:rsidRDefault="008676F9" w:rsidP="00955DA4">
      <w:pPr>
        <w:numPr>
          <w:ilvl w:val="0"/>
          <w:numId w:val="147"/>
        </w:numPr>
        <w:tabs>
          <w:tab w:val="left" w:pos="708"/>
        </w:tabs>
        <w:suppressAutoHyphens/>
        <w:spacing w:after="200" w:line="100" w:lineRule="atLeast"/>
        <w:rPr>
          <w:rFonts w:ascii="Calibri" w:hAnsi="Calibri"/>
          <w:szCs w:val="22"/>
        </w:rPr>
      </w:pPr>
      <w:r w:rsidRPr="008676F9">
        <w:rPr>
          <w:rFonts w:ascii="Calibri" w:hAnsi="Calibri"/>
          <w:szCs w:val="22"/>
        </w:rPr>
        <w:t>Vzdelávanie v oblasti hospodárenia s vodou na poľnohospodárskej pôde – protierózne a protipovodňové opatrenia;</w:t>
      </w:r>
    </w:p>
    <w:p w:rsidR="008676F9" w:rsidRPr="008676F9" w:rsidRDefault="008676F9" w:rsidP="00955DA4">
      <w:pPr>
        <w:numPr>
          <w:ilvl w:val="0"/>
          <w:numId w:val="147"/>
        </w:numPr>
        <w:tabs>
          <w:tab w:val="left" w:pos="708"/>
        </w:tabs>
        <w:suppressAutoHyphens/>
        <w:spacing w:after="200" w:line="100" w:lineRule="atLeast"/>
        <w:rPr>
          <w:rFonts w:ascii="Calibri" w:hAnsi="Calibri"/>
          <w:szCs w:val="22"/>
        </w:rPr>
      </w:pPr>
      <w:r w:rsidRPr="008676F9">
        <w:rPr>
          <w:rFonts w:ascii="Calibri" w:hAnsi="Calibri"/>
          <w:szCs w:val="22"/>
        </w:rPr>
        <w:t>Vzdelávanie pôdohospodárov v</w:t>
      </w:r>
      <w:r w:rsidR="00804224">
        <w:rPr>
          <w:rFonts w:ascii="Calibri" w:hAnsi="Calibri"/>
          <w:szCs w:val="22"/>
        </w:rPr>
        <w:t xml:space="preserve"> územiach</w:t>
      </w:r>
      <w:r w:rsidRPr="008676F9">
        <w:rPr>
          <w:rFonts w:ascii="Calibri" w:hAnsi="Calibri"/>
          <w:szCs w:val="22"/>
        </w:rPr>
        <w:t xml:space="preserve"> NATURA 2000</w:t>
      </w:r>
      <w:r w:rsidR="00804224">
        <w:rPr>
          <w:rFonts w:ascii="Calibri" w:hAnsi="Calibri"/>
          <w:szCs w:val="22"/>
        </w:rPr>
        <w:t xml:space="preserve"> </w:t>
      </w:r>
      <w:r w:rsidRPr="008676F9">
        <w:rPr>
          <w:rFonts w:ascii="Calibri" w:hAnsi="Calibri"/>
          <w:szCs w:val="22"/>
        </w:rPr>
        <w:t>so zameraním na zvýšenie záujmu o hospodárenie v uvedených oblastiach s dôrazom na kompenzačné platby;</w:t>
      </w:r>
    </w:p>
    <w:p w:rsidR="008676F9" w:rsidRPr="008676F9" w:rsidRDefault="008676F9" w:rsidP="00955DA4">
      <w:pPr>
        <w:numPr>
          <w:ilvl w:val="0"/>
          <w:numId w:val="147"/>
        </w:numPr>
        <w:tabs>
          <w:tab w:val="left" w:pos="708"/>
        </w:tabs>
        <w:suppressAutoHyphens/>
        <w:spacing w:after="200" w:line="100" w:lineRule="atLeast"/>
        <w:rPr>
          <w:rFonts w:ascii="Calibri" w:hAnsi="Calibri"/>
          <w:szCs w:val="22"/>
        </w:rPr>
      </w:pPr>
      <w:r w:rsidRPr="008676F9">
        <w:rPr>
          <w:rFonts w:ascii="Calibri" w:hAnsi="Calibri"/>
          <w:szCs w:val="22"/>
        </w:rPr>
        <w:t>Vzdelávanie v oblasti aplikácie hnojív a pesticídov do pôdy – smernice a nariadenia na ich aplikáciu</w:t>
      </w:r>
      <w:r w:rsidRPr="008676F9">
        <w:rPr>
          <w:rFonts w:ascii="Calibri" w:hAnsi="Calibri"/>
          <w:szCs w:val="22"/>
          <w:lang w:val="en-US"/>
        </w:rPr>
        <w:t>;</w:t>
      </w:r>
    </w:p>
    <w:p w:rsidR="008676F9" w:rsidRPr="008676F9" w:rsidRDefault="008676F9" w:rsidP="00955DA4">
      <w:pPr>
        <w:numPr>
          <w:ilvl w:val="0"/>
          <w:numId w:val="147"/>
        </w:numPr>
        <w:tabs>
          <w:tab w:val="left" w:pos="708"/>
        </w:tabs>
        <w:suppressAutoHyphens/>
        <w:spacing w:after="200" w:line="100" w:lineRule="atLeast"/>
        <w:rPr>
          <w:rFonts w:ascii="Calibri" w:hAnsi="Calibri"/>
          <w:szCs w:val="22"/>
        </w:rPr>
      </w:pPr>
      <w:r w:rsidRPr="008676F9">
        <w:rPr>
          <w:rFonts w:ascii="Calibri" w:hAnsi="Calibri"/>
          <w:szCs w:val="22"/>
        </w:rPr>
        <w:t>Vzdelávanie zamerané na protieróznu ochranu a ochranu proti degradácii pôdy vrát</w:t>
      </w:r>
      <w:r w:rsidR="00416CC7">
        <w:rPr>
          <w:rFonts w:ascii="Calibri" w:hAnsi="Calibri"/>
          <w:szCs w:val="22"/>
        </w:rPr>
        <w:t>ane  starostlivosti o TTP</w:t>
      </w:r>
      <w:r w:rsidRPr="008676F9">
        <w:rPr>
          <w:rFonts w:ascii="Calibri" w:hAnsi="Calibri"/>
          <w:szCs w:val="22"/>
        </w:rPr>
        <w:t>;</w:t>
      </w:r>
    </w:p>
    <w:p w:rsidR="008676F9" w:rsidRPr="008676F9" w:rsidRDefault="008676F9" w:rsidP="00955DA4">
      <w:pPr>
        <w:numPr>
          <w:ilvl w:val="0"/>
          <w:numId w:val="147"/>
        </w:numPr>
        <w:tabs>
          <w:tab w:val="left" w:pos="708"/>
        </w:tabs>
        <w:suppressAutoHyphens/>
        <w:spacing w:after="200" w:line="100" w:lineRule="atLeast"/>
        <w:rPr>
          <w:rFonts w:ascii="Calibri" w:hAnsi="Calibri"/>
          <w:szCs w:val="22"/>
        </w:rPr>
      </w:pPr>
      <w:r w:rsidRPr="008676F9">
        <w:rPr>
          <w:rFonts w:ascii="Calibri" w:hAnsi="Calibri"/>
          <w:szCs w:val="22"/>
        </w:rPr>
        <w:t>Vzdelávanie zamerané na energetickú efektívnosť v pôdohospodárstve – efektívne tepelné hospodárstvo s udržateľným využitím obnoviteľných zdrojov energie, ktoré je podnik schopný produkovať. Využitie minimalizačných technológií pri osevných postupoch;</w:t>
      </w:r>
    </w:p>
    <w:p w:rsidR="008676F9" w:rsidRPr="008676F9" w:rsidRDefault="008676F9" w:rsidP="00955DA4">
      <w:pPr>
        <w:numPr>
          <w:ilvl w:val="0"/>
          <w:numId w:val="147"/>
        </w:numPr>
        <w:tabs>
          <w:tab w:val="left" w:pos="708"/>
        </w:tabs>
        <w:suppressAutoHyphens/>
        <w:spacing w:after="200" w:line="100" w:lineRule="atLeast"/>
        <w:rPr>
          <w:rFonts w:ascii="Calibri" w:hAnsi="Calibri"/>
          <w:szCs w:val="22"/>
        </w:rPr>
      </w:pPr>
      <w:r w:rsidRPr="008676F9">
        <w:rPr>
          <w:rFonts w:ascii="Calibri" w:hAnsi="Calibri"/>
          <w:szCs w:val="22"/>
        </w:rPr>
        <w:t>Vzdelávanie v oblasti výroby elektrickej energie a tepla s využitím vedľajších produktov, zvyškov a iných nepotravinových surovín;</w:t>
      </w:r>
    </w:p>
    <w:p w:rsidR="008676F9" w:rsidRPr="008676F9" w:rsidRDefault="008676F9" w:rsidP="00955DA4">
      <w:pPr>
        <w:numPr>
          <w:ilvl w:val="0"/>
          <w:numId w:val="147"/>
        </w:numPr>
        <w:tabs>
          <w:tab w:val="left" w:pos="708"/>
        </w:tabs>
        <w:suppressAutoHyphens/>
        <w:spacing w:after="200" w:line="100" w:lineRule="atLeast"/>
        <w:rPr>
          <w:rFonts w:ascii="Calibri" w:hAnsi="Calibri"/>
          <w:szCs w:val="22"/>
        </w:rPr>
      </w:pPr>
      <w:r w:rsidRPr="008676F9">
        <w:rPr>
          <w:rFonts w:ascii="Calibri" w:hAnsi="Calibri"/>
          <w:szCs w:val="22"/>
        </w:rPr>
        <w:t xml:space="preserve">Vzdelávanie v oblasti manipulácie, uskladňovania a aplikácie organických hnojív, exkrementov hospodárskych zvierat s dôrazom na minimalizáciu úniku skleníkových plynov; </w:t>
      </w:r>
    </w:p>
    <w:p w:rsidR="008676F9" w:rsidRPr="008676F9" w:rsidRDefault="008676F9" w:rsidP="00955DA4">
      <w:pPr>
        <w:numPr>
          <w:ilvl w:val="0"/>
          <w:numId w:val="147"/>
        </w:numPr>
        <w:tabs>
          <w:tab w:val="left" w:pos="708"/>
        </w:tabs>
        <w:suppressAutoHyphens/>
        <w:spacing w:after="200"/>
        <w:rPr>
          <w:rFonts w:ascii="Calibri" w:hAnsi="Calibri"/>
          <w:szCs w:val="22"/>
        </w:rPr>
      </w:pPr>
      <w:r w:rsidRPr="008676F9">
        <w:rPr>
          <w:rFonts w:ascii="Calibri" w:hAnsi="Calibri"/>
          <w:szCs w:val="22"/>
        </w:rPr>
        <w:t>Vzdelávanie v oblasti výroby tradičných regionálnych produktov s dôrazom na tvorbu nových pracovných miest;</w:t>
      </w:r>
    </w:p>
    <w:p w:rsidR="008676F9" w:rsidRPr="008676F9" w:rsidRDefault="008676F9" w:rsidP="00955DA4">
      <w:pPr>
        <w:numPr>
          <w:ilvl w:val="0"/>
          <w:numId w:val="147"/>
        </w:numPr>
        <w:tabs>
          <w:tab w:val="left" w:pos="708"/>
        </w:tabs>
        <w:suppressAutoHyphens/>
        <w:spacing w:after="200"/>
        <w:rPr>
          <w:rFonts w:ascii="Calibri" w:hAnsi="Calibri"/>
          <w:szCs w:val="22"/>
        </w:rPr>
      </w:pPr>
      <w:r w:rsidRPr="008676F9">
        <w:rPr>
          <w:rFonts w:ascii="Calibri" w:hAnsi="Calibri"/>
          <w:szCs w:val="22"/>
        </w:rPr>
        <w:t xml:space="preserve">Vzdelávanie v oblasti lokálnej ekonomiky ako nástroja rozvoja regiónov v aktivitách mimo poľnohospodárskej výroby; </w:t>
      </w:r>
    </w:p>
    <w:p w:rsidR="008676F9" w:rsidRPr="008676F9" w:rsidRDefault="008676F9" w:rsidP="00955DA4">
      <w:pPr>
        <w:numPr>
          <w:ilvl w:val="0"/>
          <w:numId w:val="147"/>
        </w:numPr>
        <w:tabs>
          <w:tab w:val="left" w:pos="708"/>
        </w:tabs>
        <w:suppressAutoHyphens/>
        <w:spacing w:after="200"/>
        <w:rPr>
          <w:rFonts w:ascii="Calibri" w:hAnsi="Calibri"/>
          <w:szCs w:val="22"/>
        </w:rPr>
      </w:pPr>
      <w:r w:rsidRPr="008676F9">
        <w:rPr>
          <w:rFonts w:ascii="Calibri" w:hAnsi="Calibri"/>
          <w:szCs w:val="22"/>
        </w:rPr>
        <w:t xml:space="preserve">Vzdelávanie v oblasti vidieckeho cestovného ruchu ako nástroja rozvoja regiónov  a tvorby pracovných síl na vidieku; </w:t>
      </w:r>
    </w:p>
    <w:p w:rsidR="008676F9" w:rsidRPr="008676F9" w:rsidRDefault="008676F9" w:rsidP="00955DA4">
      <w:pPr>
        <w:numPr>
          <w:ilvl w:val="0"/>
          <w:numId w:val="147"/>
        </w:numPr>
        <w:tabs>
          <w:tab w:val="left" w:pos="708"/>
        </w:tabs>
        <w:suppressAutoHyphens/>
        <w:spacing w:after="200"/>
        <w:rPr>
          <w:rFonts w:ascii="Calibri" w:hAnsi="Calibri"/>
          <w:szCs w:val="22"/>
        </w:rPr>
      </w:pPr>
      <w:r w:rsidRPr="008676F9">
        <w:rPr>
          <w:rFonts w:ascii="Calibri" w:hAnsi="Calibri"/>
          <w:szCs w:val="22"/>
        </w:rPr>
        <w:t>Vzdelávanie v oblasti posilnenia biodiverzity, preventívnych, ochranných a environmentálnych opatrení  v</w:t>
      </w:r>
      <w:r w:rsidR="00E867CB">
        <w:rPr>
          <w:rFonts w:ascii="Calibri" w:hAnsi="Calibri"/>
          <w:szCs w:val="22"/>
        </w:rPr>
        <w:t> </w:t>
      </w:r>
      <w:r w:rsidRPr="008676F9">
        <w:rPr>
          <w:rFonts w:ascii="Calibri" w:hAnsi="Calibri"/>
          <w:szCs w:val="22"/>
        </w:rPr>
        <w:t>rámci</w:t>
      </w:r>
      <w:r w:rsidR="00E867CB">
        <w:rPr>
          <w:rFonts w:ascii="Calibri" w:hAnsi="Calibri"/>
          <w:szCs w:val="22"/>
        </w:rPr>
        <w:t xml:space="preserve"> pôdohospodárstva</w:t>
      </w:r>
      <w:r w:rsidRPr="008676F9">
        <w:rPr>
          <w:rFonts w:ascii="Calibri" w:hAnsi="Calibri"/>
          <w:szCs w:val="22"/>
        </w:rPr>
        <w:t>;</w:t>
      </w:r>
    </w:p>
    <w:p w:rsidR="00416CC7" w:rsidRDefault="00416CC7" w:rsidP="00955DA4">
      <w:pPr>
        <w:numPr>
          <w:ilvl w:val="0"/>
          <w:numId w:val="147"/>
        </w:numPr>
        <w:tabs>
          <w:tab w:val="left" w:pos="708"/>
        </w:tabs>
        <w:suppressAutoHyphens/>
        <w:spacing w:after="200"/>
        <w:rPr>
          <w:rFonts w:ascii="Calibri" w:hAnsi="Calibri"/>
          <w:szCs w:val="22"/>
        </w:rPr>
      </w:pPr>
      <w:r>
        <w:rPr>
          <w:rFonts w:ascii="Calibri" w:hAnsi="Calibri"/>
          <w:szCs w:val="22"/>
        </w:rPr>
        <w:t>Vzdelávanie v oblasti posilnenia biodiverzity, preventívnych, ochranných a environmentálnych opatrení v rámci lesného hospodárstva;</w:t>
      </w:r>
    </w:p>
    <w:p w:rsidR="008676F9" w:rsidRPr="008676F9" w:rsidRDefault="008676F9" w:rsidP="00955DA4">
      <w:pPr>
        <w:numPr>
          <w:ilvl w:val="0"/>
          <w:numId w:val="147"/>
        </w:numPr>
        <w:tabs>
          <w:tab w:val="left" w:pos="708"/>
        </w:tabs>
        <w:suppressAutoHyphens/>
        <w:spacing w:after="200"/>
        <w:rPr>
          <w:rFonts w:ascii="Calibri" w:hAnsi="Calibri"/>
          <w:szCs w:val="22"/>
        </w:rPr>
      </w:pPr>
      <w:r w:rsidRPr="008676F9">
        <w:rPr>
          <w:rFonts w:ascii="Calibri" w:hAnsi="Calibri"/>
          <w:szCs w:val="22"/>
        </w:rPr>
        <w:t>Vzdelávanie vo vyššie uvedených oblastiach v Bratislavskom kraji.</w:t>
      </w:r>
    </w:p>
    <w:p w:rsidR="008676F9" w:rsidRPr="008676F9" w:rsidRDefault="008676F9" w:rsidP="007B5045">
      <w:pPr>
        <w:tabs>
          <w:tab w:val="left" w:pos="708"/>
        </w:tabs>
        <w:suppressAutoHyphens/>
        <w:rPr>
          <w:rFonts w:ascii="Calibri" w:hAnsi="Calibri"/>
          <w:szCs w:val="22"/>
        </w:rPr>
      </w:pPr>
      <w:r w:rsidRPr="008676F9">
        <w:rPr>
          <w:rFonts w:ascii="Calibri" w:eastAsia="Calibri" w:hAnsi="Calibri" w:cs="Calibri"/>
          <w:szCs w:val="22"/>
          <w:u w:val="single"/>
          <w:lang w:eastAsia="en-US"/>
        </w:rPr>
        <w:t>Typ podpory:</w:t>
      </w:r>
    </w:p>
    <w:p w:rsidR="008676F9" w:rsidRPr="008676F9" w:rsidRDefault="008676F9" w:rsidP="00955DA4">
      <w:pPr>
        <w:numPr>
          <w:ilvl w:val="0"/>
          <w:numId w:val="213"/>
        </w:numPr>
        <w:tabs>
          <w:tab w:val="left" w:pos="708"/>
        </w:tabs>
        <w:suppressAutoHyphens/>
        <w:spacing w:after="200"/>
        <w:rPr>
          <w:rFonts w:ascii="Calibri" w:hAnsi="Calibri"/>
          <w:szCs w:val="22"/>
        </w:rPr>
      </w:pPr>
      <w:r w:rsidRPr="008676F9">
        <w:rPr>
          <w:rFonts w:ascii="Calibri" w:eastAsia="Calibri" w:hAnsi="Calibri" w:cs="Calibri"/>
          <w:szCs w:val="22"/>
          <w:lang w:eastAsia="en-US"/>
        </w:rPr>
        <w:t>nezisková, nenávratný finančný príspevok formou refundácie skutočne vynaložených a zaplatených výdavkov;</w:t>
      </w:r>
    </w:p>
    <w:p w:rsidR="008676F9" w:rsidRPr="008676F9" w:rsidRDefault="008676F9" w:rsidP="00955DA4">
      <w:pPr>
        <w:numPr>
          <w:ilvl w:val="0"/>
          <w:numId w:val="213"/>
        </w:numPr>
        <w:spacing w:after="240"/>
        <w:rPr>
          <w:rFonts w:ascii="Calibri" w:eastAsia="Calibri" w:hAnsi="Calibri" w:cs="Calibri"/>
          <w:szCs w:val="22"/>
          <w:lang w:eastAsia="en-US"/>
        </w:rPr>
      </w:pPr>
      <w:r w:rsidRPr="008676F9">
        <w:rPr>
          <w:rFonts w:ascii="Calibri" w:eastAsia="Calibri" w:hAnsi="Calibri" w:cs="Calibri"/>
          <w:szCs w:val="22"/>
          <w:lang w:eastAsia="en-US"/>
        </w:rPr>
        <w:t>stanovenie paušálnej platby - štandardných nákladov, a to zvolením vhodnej metodiky oprávnenosti nákladov na základe konkretizovania oprávnených činností.</w:t>
      </w:r>
    </w:p>
    <w:p w:rsidR="008676F9" w:rsidRPr="008676F9" w:rsidRDefault="008676F9" w:rsidP="007B5045">
      <w:pPr>
        <w:tabs>
          <w:tab w:val="left" w:pos="708"/>
        </w:tabs>
        <w:suppressAutoHyphens/>
        <w:rPr>
          <w:rFonts w:ascii="Calibri" w:hAnsi="Calibri"/>
          <w:szCs w:val="22"/>
        </w:rPr>
      </w:pPr>
      <w:r w:rsidRPr="008676F9">
        <w:rPr>
          <w:rFonts w:ascii="Calibri" w:eastAsia="Calibri" w:hAnsi="Calibri" w:cs="Calibri"/>
          <w:szCs w:val="22"/>
          <w:u w:val="single"/>
          <w:lang w:eastAsia="en-US"/>
        </w:rPr>
        <w:t xml:space="preserve">Súvislosť s inou legislatívou: </w:t>
      </w:r>
    </w:p>
    <w:p w:rsidR="008676F9" w:rsidRPr="008676F9" w:rsidRDefault="008676F9" w:rsidP="00955DA4">
      <w:pPr>
        <w:numPr>
          <w:ilvl w:val="0"/>
          <w:numId w:val="143"/>
        </w:numPr>
        <w:tabs>
          <w:tab w:val="left" w:pos="708"/>
        </w:tabs>
        <w:suppressAutoHyphens/>
        <w:spacing w:after="200"/>
        <w:contextualSpacing/>
        <w:rPr>
          <w:rFonts w:ascii="Calibri" w:hAnsi="Calibri"/>
          <w:szCs w:val="22"/>
        </w:rPr>
      </w:pPr>
      <w:r w:rsidRPr="008676F9">
        <w:rPr>
          <w:rFonts w:ascii="Calibri" w:eastAsia="Calibri" w:hAnsi="Calibri" w:cs="Calibri"/>
          <w:szCs w:val="22"/>
          <w:lang w:eastAsia="en-US"/>
        </w:rPr>
        <w:t>zákon č. 568/2009 o celoživotnom vzdelávaní;</w:t>
      </w:r>
    </w:p>
    <w:p w:rsidR="008676F9" w:rsidRPr="008676F9" w:rsidRDefault="008676F9" w:rsidP="00955DA4">
      <w:pPr>
        <w:numPr>
          <w:ilvl w:val="0"/>
          <w:numId w:val="143"/>
        </w:numPr>
        <w:tabs>
          <w:tab w:val="left" w:pos="708"/>
        </w:tabs>
        <w:suppressAutoHyphens/>
        <w:spacing w:after="200"/>
        <w:contextualSpacing/>
        <w:rPr>
          <w:rFonts w:ascii="Calibri" w:hAnsi="Calibri"/>
          <w:szCs w:val="22"/>
        </w:rPr>
      </w:pPr>
      <w:r w:rsidRPr="008676F9">
        <w:rPr>
          <w:rFonts w:ascii="Calibri" w:eastAsia="Calibri" w:hAnsi="Calibri" w:cs="Calibri"/>
          <w:szCs w:val="22"/>
          <w:lang w:eastAsia="en-US"/>
        </w:rPr>
        <w:t>zákon č. 25/2006 o verejnom obstarávaní.</w:t>
      </w:r>
    </w:p>
    <w:p w:rsidR="008676F9" w:rsidRPr="008676F9" w:rsidRDefault="008676F9" w:rsidP="007B5045">
      <w:pPr>
        <w:tabs>
          <w:tab w:val="left" w:pos="708"/>
        </w:tabs>
        <w:suppressAutoHyphens/>
        <w:rPr>
          <w:rFonts w:ascii="Calibri" w:eastAsia="Calibri" w:hAnsi="Calibri" w:cs="Calibri"/>
          <w:szCs w:val="22"/>
          <w:u w:val="single"/>
          <w:lang w:eastAsia="en-US"/>
        </w:rPr>
      </w:pPr>
    </w:p>
    <w:p w:rsidR="008676F9" w:rsidRPr="008676F9" w:rsidRDefault="008676F9" w:rsidP="007B5045">
      <w:pPr>
        <w:tabs>
          <w:tab w:val="left" w:pos="708"/>
        </w:tabs>
        <w:suppressAutoHyphens/>
        <w:rPr>
          <w:rFonts w:ascii="Calibri" w:eastAsia="Calibri" w:hAnsi="Calibri" w:cs="Calibri"/>
          <w:szCs w:val="22"/>
          <w:u w:val="single"/>
          <w:lang w:eastAsia="en-US"/>
        </w:rPr>
      </w:pPr>
      <w:r w:rsidRPr="008676F9">
        <w:rPr>
          <w:rFonts w:ascii="Calibri" w:eastAsia="Calibri" w:hAnsi="Calibri" w:cs="Calibri"/>
          <w:szCs w:val="22"/>
          <w:u w:val="single"/>
          <w:lang w:eastAsia="en-US"/>
        </w:rPr>
        <w:t xml:space="preserve">Prijímateľ podpory: </w:t>
      </w:r>
    </w:p>
    <w:p w:rsidR="008676F9" w:rsidRPr="008676F9" w:rsidRDefault="008676F9" w:rsidP="007B5045">
      <w:pPr>
        <w:tabs>
          <w:tab w:val="left" w:pos="708"/>
        </w:tabs>
        <w:suppressAutoHyphens/>
        <w:rPr>
          <w:rFonts w:ascii="Calibri" w:hAnsi="Calibri"/>
          <w:szCs w:val="22"/>
        </w:rPr>
      </w:pPr>
      <w:r w:rsidRPr="008676F9">
        <w:rPr>
          <w:rFonts w:ascii="Calibri" w:eastAsia="Calibri" w:hAnsi="Calibri" w:cs="Calibri"/>
          <w:szCs w:val="22"/>
          <w:lang w:eastAsia="en-US"/>
        </w:rPr>
        <w:t>Poskytovateľ prenosu vedomostí a zručností pre poľnohospodárov, obhospodarovateľov lesa</w:t>
      </w:r>
      <w:r w:rsidR="001B617C">
        <w:rPr>
          <w:rFonts w:ascii="Calibri" w:eastAsia="Calibri" w:hAnsi="Calibri" w:cs="Calibri"/>
          <w:szCs w:val="22"/>
          <w:lang w:eastAsia="en-US"/>
        </w:rPr>
        <w:t>,</w:t>
      </w:r>
      <w:r w:rsidRPr="008676F9">
        <w:rPr>
          <w:rFonts w:ascii="Calibri" w:eastAsia="Calibri" w:hAnsi="Calibri" w:cs="Calibri"/>
          <w:szCs w:val="22"/>
          <w:lang w:eastAsia="en-US"/>
        </w:rPr>
        <w:t> spracovateľov produktov poľnohospodárskej a lesnej prvovýroby</w:t>
      </w:r>
      <w:r w:rsidR="001B617C">
        <w:rPr>
          <w:rFonts w:ascii="Calibri" w:eastAsia="Calibri" w:hAnsi="Calibri" w:cs="Calibri"/>
          <w:szCs w:val="22"/>
          <w:lang w:eastAsia="en-US"/>
        </w:rPr>
        <w:t xml:space="preserve"> a malé a stredné podniky vo vidieckych oblastiach</w:t>
      </w:r>
      <w:r w:rsidRPr="008676F9">
        <w:rPr>
          <w:rFonts w:ascii="Calibri" w:eastAsia="Calibri" w:hAnsi="Calibri" w:cs="Calibri"/>
          <w:szCs w:val="22"/>
          <w:lang w:eastAsia="en-US"/>
        </w:rPr>
        <w:t>.</w:t>
      </w:r>
    </w:p>
    <w:p w:rsidR="00CA6003" w:rsidRDefault="00CA6003" w:rsidP="007B5045">
      <w:pPr>
        <w:tabs>
          <w:tab w:val="left" w:pos="708"/>
        </w:tabs>
        <w:suppressAutoHyphens/>
        <w:rPr>
          <w:rFonts w:ascii="Calibri" w:eastAsia="Calibri" w:hAnsi="Calibri" w:cs="Calibri"/>
          <w:bCs/>
          <w:szCs w:val="22"/>
          <w:u w:val="single"/>
          <w:lang w:eastAsia="en-US"/>
        </w:rPr>
      </w:pPr>
    </w:p>
    <w:p w:rsidR="008676F9" w:rsidRPr="008676F9" w:rsidRDefault="008676F9" w:rsidP="007B5045">
      <w:pPr>
        <w:tabs>
          <w:tab w:val="left" w:pos="708"/>
        </w:tabs>
        <w:suppressAutoHyphens/>
        <w:rPr>
          <w:rFonts w:ascii="Calibri" w:hAnsi="Calibri"/>
          <w:szCs w:val="22"/>
          <w:u w:val="single"/>
        </w:rPr>
      </w:pPr>
      <w:r w:rsidRPr="008676F9">
        <w:rPr>
          <w:rFonts w:ascii="Calibri" w:eastAsia="Calibri" w:hAnsi="Calibri" w:cs="Calibri"/>
          <w:bCs/>
          <w:szCs w:val="22"/>
          <w:u w:val="single"/>
          <w:lang w:eastAsia="en-US"/>
        </w:rPr>
        <w:t>Oprávnené náklady:</w:t>
      </w:r>
    </w:p>
    <w:p w:rsidR="008676F9" w:rsidRPr="008676F9" w:rsidRDefault="008676F9" w:rsidP="00955DA4">
      <w:pPr>
        <w:numPr>
          <w:ilvl w:val="0"/>
          <w:numId w:val="145"/>
        </w:numPr>
        <w:tabs>
          <w:tab w:val="left" w:pos="708"/>
        </w:tabs>
        <w:suppressAutoHyphens/>
        <w:spacing w:after="60"/>
        <w:ind w:left="714" w:hanging="357"/>
        <w:rPr>
          <w:rFonts w:ascii="Calibri" w:eastAsia="Calibri" w:hAnsi="Calibri" w:cs="Calibri"/>
          <w:bCs/>
          <w:szCs w:val="22"/>
          <w:lang w:eastAsia="en-US"/>
        </w:rPr>
      </w:pPr>
      <w:r w:rsidRPr="008676F9">
        <w:rPr>
          <w:rFonts w:ascii="Calibri" w:eastAsia="Calibri" w:hAnsi="Calibri" w:cs="Calibri"/>
          <w:bCs/>
          <w:szCs w:val="22"/>
          <w:lang w:eastAsia="en-US"/>
        </w:rPr>
        <w:t>personálne náklady na zabezpečenie, prípravu a realizáciu aktivít vrátane odmien a odvodov do zdravotných poisťovní a sociálnej poisťovne;</w:t>
      </w:r>
    </w:p>
    <w:p w:rsidR="008676F9" w:rsidRPr="008676F9" w:rsidRDefault="008676F9" w:rsidP="00955DA4">
      <w:pPr>
        <w:numPr>
          <w:ilvl w:val="0"/>
          <w:numId w:val="145"/>
        </w:numPr>
        <w:tabs>
          <w:tab w:val="left" w:pos="708"/>
        </w:tabs>
        <w:suppressAutoHyphens/>
        <w:spacing w:after="60"/>
        <w:ind w:left="714" w:hanging="357"/>
        <w:rPr>
          <w:rFonts w:ascii="Calibri" w:eastAsia="Calibri" w:hAnsi="Calibri" w:cs="Calibri"/>
          <w:bCs/>
          <w:szCs w:val="22"/>
          <w:lang w:eastAsia="en-US"/>
        </w:rPr>
      </w:pPr>
      <w:r w:rsidRPr="008676F9">
        <w:rPr>
          <w:rFonts w:ascii="Calibri" w:eastAsia="Calibri" w:hAnsi="Calibri" w:cs="Calibri"/>
          <w:bCs/>
          <w:szCs w:val="22"/>
          <w:lang w:eastAsia="en-US"/>
        </w:rPr>
        <w:t>prenájom školiacich priestorov a potrebnej techniky;</w:t>
      </w:r>
    </w:p>
    <w:p w:rsidR="008676F9" w:rsidRPr="008676F9" w:rsidRDefault="008676F9" w:rsidP="00955DA4">
      <w:pPr>
        <w:numPr>
          <w:ilvl w:val="0"/>
          <w:numId w:val="145"/>
        </w:numPr>
        <w:tabs>
          <w:tab w:val="left" w:pos="708"/>
        </w:tabs>
        <w:suppressAutoHyphens/>
        <w:spacing w:after="60"/>
        <w:ind w:left="714" w:hanging="357"/>
        <w:rPr>
          <w:rFonts w:ascii="Calibri" w:eastAsia="Calibri" w:hAnsi="Calibri" w:cs="Calibri"/>
          <w:bCs/>
          <w:szCs w:val="22"/>
          <w:lang w:eastAsia="en-US"/>
        </w:rPr>
      </w:pPr>
      <w:r w:rsidRPr="008676F9">
        <w:rPr>
          <w:rFonts w:ascii="Calibri" w:eastAsia="Calibri" w:hAnsi="Calibri" w:cs="Calibri"/>
          <w:bCs/>
          <w:szCs w:val="22"/>
          <w:lang w:eastAsia="en-US"/>
        </w:rPr>
        <w:t>materiálno-technické náklady, ktoré zahŕňajú i vydávanie odborných publikácií v tlačenej a elektronickej forme  a náklady na služby v súvislosti s aktivitou;</w:t>
      </w:r>
    </w:p>
    <w:p w:rsidR="008676F9" w:rsidRPr="008676F9" w:rsidRDefault="008676F9" w:rsidP="00955DA4">
      <w:pPr>
        <w:numPr>
          <w:ilvl w:val="0"/>
          <w:numId w:val="145"/>
        </w:numPr>
        <w:tabs>
          <w:tab w:val="left" w:pos="708"/>
        </w:tabs>
        <w:suppressAutoHyphens/>
        <w:spacing w:after="60"/>
        <w:ind w:left="714" w:hanging="357"/>
        <w:rPr>
          <w:rFonts w:ascii="Calibri" w:eastAsia="Calibri" w:hAnsi="Calibri" w:cs="Calibri"/>
          <w:bCs/>
          <w:szCs w:val="22"/>
          <w:lang w:eastAsia="en-US"/>
        </w:rPr>
      </w:pPr>
      <w:r w:rsidRPr="008676F9">
        <w:rPr>
          <w:rFonts w:ascii="Calibri" w:eastAsia="Calibri" w:hAnsi="Calibri" w:cs="Calibri"/>
          <w:bCs/>
          <w:szCs w:val="22"/>
          <w:lang w:eastAsia="en-US"/>
        </w:rPr>
        <w:t>režijné náklady spojené s realizáciou vzdelávacej, resp. informačnej aktivity;</w:t>
      </w:r>
    </w:p>
    <w:p w:rsidR="008676F9" w:rsidRPr="008676F9" w:rsidRDefault="008676F9" w:rsidP="00955DA4">
      <w:pPr>
        <w:numPr>
          <w:ilvl w:val="0"/>
          <w:numId w:val="145"/>
        </w:numPr>
        <w:tabs>
          <w:tab w:val="left" w:pos="708"/>
        </w:tabs>
        <w:suppressAutoHyphens/>
        <w:spacing w:after="60"/>
        <w:ind w:left="714" w:hanging="357"/>
        <w:rPr>
          <w:rFonts w:ascii="Calibri" w:eastAsia="Calibri" w:hAnsi="Calibri" w:cs="Calibri"/>
          <w:bCs/>
          <w:szCs w:val="22"/>
          <w:lang w:eastAsia="en-US"/>
        </w:rPr>
      </w:pPr>
      <w:r w:rsidRPr="008676F9">
        <w:rPr>
          <w:rFonts w:ascii="Calibri" w:eastAsia="Calibri" w:hAnsi="Calibri" w:cs="Calibri"/>
          <w:bCs/>
          <w:szCs w:val="22"/>
          <w:lang w:eastAsia="en-US"/>
        </w:rPr>
        <w:t>ubytovacie náklady, náklady na občerstvenie, cestovné resp. dopravné náklady, ak sú súčasťou projektu;</w:t>
      </w:r>
    </w:p>
    <w:p w:rsidR="008676F9" w:rsidRPr="008676F9" w:rsidRDefault="008676F9" w:rsidP="00955DA4">
      <w:pPr>
        <w:numPr>
          <w:ilvl w:val="0"/>
          <w:numId w:val="145"/>
        </w:numPr>
        <w:tabs>
          <w:tab w:val="left" w:pos="708"/>
        </w:tabs>
        <w:suppressAutoHyphens/>
        <w:spacing w:after="60"/>
        <w:ind w:left="714" w:hanging="357"/>
        <w:rPr>
          <w:rFonts w:ascii="Calibri" w:eastAsia="Calibri" w:hAnsi="Calibri" w:cs="Calibri"/>
          <w:bCs/>
          <w:szCs w:val="22"/>
          <w:lang w:eastAsia="en-US"/>
        </w:rPr>
      </w:pPr>
      <w:r w:rsidRPr="008676F9">
        <w:rPr>
          <w:rFonts w:ascii="Calibri" w:eastAsia="Calibri" w:hAnsi="Calibri" w:cs="Calibri"/>
          <w:bCs/>
          <w:szCs w:val="22"/>
          <w:lang w:eastAsia="en-US"/>
        </w:rPr>
        <w:t>propagácia.</w:t>
      </w:r>
    </w:p>
    <w:p w:rsidR="008676F9" w:rsidRPr="008676F9" w:rsidRDefault="008676F9" w:rsidP="007B5045">
      <w:pPr>
        <w:tabs>
          <w:tab w:val="left" w:pos="708"/>
        </w:tabs>
        <w:suppressAutoHyphens/>
        <w:rPr>
          <w:rFonts w:ascii="Calibri" w:eastAsia="SimSun" w:hAnsi="Calibri" w:cs="Calibri"/>
          <w:b/>
          <w:szCs w:val="22"/>
          <w:lang w:eastAsia="zh-CN" w:bidi="hi-IN"/>
        </w:rPr>
      </w:pPr>
      <w:r w:rsidRPr="008676F9">
        <w:rPr>
          <w:rFonts w:ascii="Calibri" w:hAnsi="Calibri"/>
          <w:szCs w:val="22"/>
        </w:rPr>
        <w:br/>
      </w:r>
      <w:r w:rsidRPr="008676F9">
        <w:rPr>
          <w:rFonts w:ascii="Calibri" w:eastAsia="Calibri" w:hAnsi="Calibri" w:cs="Calibri"/>
          <w:szCs w:val="22"/>
          <w:u w:val="single"/>
          <w:lang w:eastAsia="en-US"/>
        </w:rPr>
        <w:t>Podmienky  oprávnenosti:</w:t>
      </w:r>
    </w:p>
    <w:p w:rsidR="008676F9" w:rsidRPr="008676F9" w:rsidRDefault="008676F9" w:rsidP="00955DA4">
      <w:pPr>
        <w:numPr>
          <w:ilvl w:val="0"/>
          <w:numId w:val="146"/>
        </w:numPr>
        <w:tabs>
          <w:tab w:val="left" w:pos="708"/>
        </w:tabs>
        <w:suppressAutoHyphens/>
        <w:spacing w:after="60"/>
        <w:rPr>
          <w:rFonts w:ascii="Calibri" w:eastAsia="Calibri" w:hAnsi="Calibri" w:cs="Calibri"/>
          <w:bCs/>
          <w:szCs w:val="22"/>
          <w:lang w:eastAsia="en-US"/>
        </w:rPr>
      </w:pPr>
      <w:r w:rsidRPr="008676F9">
        <w:rPr>
          <w:rFonts w:ascii="Calibri" w:eastAsia="Calibri" w:hAnsi="Calibri" w:cs="Calibri"/>
          <w:bCs/>
          <w:szCs w:val="22"/>
          <w:lang w:eastAsia="en-US"/>
        </w:rPr>
        <w:t xml:space="preserve">Poskytovatelia vzdelávania budú  vyberaní  prostredníctvom verejného obstarávania v zmysle zákona č. </w:t>
      </w:r>
      <w:hyperlink r:id="rId78" w:tgtFrame="_blank" w:history="1">
        <w:r w:rsidRPr="008676F9">
          <w:rPr>
            <w:rFonts w:ascii="Calibri" w:eastAsia="Calibri" w:hAnsi="Calibri" w:cs="Calibri"/>
            <w:bCs/>
            <w:szCs w:val="22"/>
            <w:lang w:eastAsia="en-US"/>
          </w:rPr>
          <w:t>25/2006 Z. z.</w:t>
        </w:r>
      </w:hyperlink>
      <w:r w:rsidRPr="008676F9">
        <w:rPr>
          <w:rFonts w:ascii="Calibri" w:eastAsia="Calibri" w:hAnsi="Calibri" w:cs="Calibri"/>
          <w:bCs/>
          <w:szCs w:val="22"/>
          <w:lang w:eastAsia="en-US"/>
        </w:rPr>
        <w:t xml:space="preserve"> o verejnom obstarávaní ﻿realizovaného </w:t>
      </w:r>
      <w:r w:rsidR="00B36C0D">
        <w:rPr>
          <w:rFonts w:ascii="Calibri" w:eastAsia="Calibri" w:hAnsi="Calibri" w:cs="Calibri"/>
          <w:bCs/>
          <w:szCs w:val="22"/>
          <w:lang w:eastAsia="en-US"/>
        </w:rPr>
        <w:t xml:space="preserve">riadiacim orgánom </w:t>
      </w:r>
      <w:r w:rsidRPr="008676F9">
        <w:rPr>
          <w:rFonts w:ascii="Calibri" w:eastAsia="Calibri" w:hAnsi="Calibri" w:cs="Calibri"/>
          <w:bCs/>
          <w:szCs w:val="22"/>
          <w:lang w:eastAsia="en-US"/>
        </w:rPr>
        <w:t>MPRV SR</w:t>
      </w:r>
      <w:r w:rsidR="00416CC7">
        <w:rPr>
          <w:rFonts w:ascii="Calibri" w:eastAsia="Calibri" w:hAnsi="Calibri" w:cs="Calibri"/>
          <w:bCs/>
          <w:szCs w:val="22"/>
          <w:lang w:eastAsia="en-US"/>
        </w:rPr>
        <w:t>, resp. Pôdohospodárskou platobnou agentúrou</w:t>
      </w:r>
      <w:r w:rsidRPr="008676F9">
        <w:rPr>
          <w:rFonts w:ascii="Calibri" w:eastAsia="Calibri" w:hAnsi="Calibri" w:cs="Calibri"/>
          <w:bCs/>
          <w:szCs w:val="22"/>
          <w:lang w:eastAsia="en-US"/>
        </w:rPr>
        <w:t xml:space="preserve">. </w:t>
      </w:r>
    </w:p>
    <w:p w:rsidR="008676F9" w:rsidRPr="008676F9" w:rsidRDefault="008676F9" w:rsidP="00955DA4">
      <w:pPr>
        <w:numPr>
          <w:ilvl w:val="0"/>
          <w:numId w:val="146"/>
        </w:numPr>
        <w:tabs>
          <w:tab w:val="left" w:pos="708"/>
        </w:tabs>
        <w:suppressAutoHyphens/>
        <w:spacing w:after="60"/>
        <w:ind w:left="714" w:hanging="357"/>
        <w:rPr>
          <w:rFonts w:ascii="Calibri" w:eastAsia="Calibri" w:hAnsi="Calibri" w:cs="Calibri"/>
          <w:bCs/>
          <w:szCs w:val="22"/>
          <w:lang w:eastAsia="en-US"/>
        </w:rPr>
      </w:pPr>
      <w:r w:rsidRPr="008676F9">
        <w:rPr>
          <w:rFonts w:ascii="Calibri" w:eastAsia="Calibri" w:hAnsi="Calibri" w:cs="Calibri"/>
          <w:bCs/>
          <w:szCs w:val="22"/>
          <w:lang w:eastAsia="en-US"/>
        </w:rPr>
        <w:t xml:space="preserve">Uchádzači predložia projektové zámery na realizáciu aktivít pre jednu z 21 nižšie uvedených oblastí. Pokiaľ aktivita č. 21 nebude spoločne zahŕňať všetky aktivity 1-20 v rámci Bratislavského kraja a bude rozdelená na viac oblastí, počet sa primerane zvýši. Len títo uchádzači môžu predložiť žiadosť o nenávratný finančný príspevok na PPA.  </w:t>
      </w:r>
    </w:p>
    <w:p w:rsidR="008676F9" w:rsidRPr="008676F9" w:rsidRDefault="008676F9" w:rsidP="00955DA4">
      <w:pPr>
        <w:numPr>
          <w:ilvl w:val="0"/>
          <w:numId w:val="146"/>
        </w:numPr>
        <w:tabs>
          <w:tab w:val="left" w:pos="708"/>
        </w:tabs>
        <w:suppressAutoHyphens/>
        <w:spacing w:after="60"/>
        <w:ind w:left="714" w:hanging="357"/>
        <w:rPr>
          <w:rFonts w:ascii="Calibri" w:eastAsia="Calibri" w:hAnsi="Calibri" w:cs="Calibri"/>
          <w:bCs/>
          <w:szCs w:val="22"/>
          <w:lang w:eastAsia="en-US"/>
        </w:rPr>
      </w:pPr>
      <w:r w:rsidRPr="008676F9">
        <w:rPr>
          <w:rFonts w:ascii="Calibri" w:eastAsia="Calibri" w:hAnsi="Calibri" w:cs="Calibri"/>
          <w:bCs/>
          <w:szCs w:val="22"/>
          <w:lang w:eastAsia="en-US"/>
        </w:rPr>
        <w:t>Pre každú oblasť bude vybraný jeden poskytovateľ, ktorý bude dlhodobo poskytovať vzdelávacie aktivity pre konečných prijímateľov v rámci celého územia SR  mimo Bratislavského kraja, resp. v rámci Bratislavského kraja na základe  svojho plánovaného ročného plánu aktivít, zverejneného na webovom sídle MPRV SR.</w:t>
      </w:r>
    </w:p>
    <w:p w:rsidR="008676F9" w:rsidRPr="008676F9" w:rsidRDefault="008676F9" w:rsidP="00955DA4">
      <w:pPr>
        <w:numPr>
          <w:ilvl w:val="0"/>
          <w:numId w:val="146"/>
        </w:numPr>
        <w:tabs>
          <w:tab w:val="left" w:pos="708"/>
        </w:tabs>
        <w:suppressAutoHyphens/>
        <w:spacing w:after="60"/>
        <w:ind w:left="714" w:hanging="357"/>
        <w:rPr>
          <w:rFonts w:ascii="Calibri" w:eastAsia="Calibri" w:hAnsi="Calibri" w:cs="Calibri"/>
          <w:bCs/>
          <w:szCs w:val="22"/>
          <w:lang w:eastAsia="en-US"/>
        </w:rPr>
      </w:pPr>
      <w:r w:rsidRPr="008676F9">
        <w:rPr>
          <w:rFonts w:ascii="Calibri" w:eastAsia="Calibri" w:hAnsi="Calibri" w:cs="Calibri"/>
          <w:bCs/>
          <w:szCs w:val="22"/>
          <w:lang w:eastAsia="en-US"/>
        </w:rPr>
        <w:t>Preukázanie kvality lektorov a kvality štruktúry vzdelávacej, resp. informačnej aktivity.</w:t>
      </w:r>
    </w:p>
    <w:p w:rsidR="008676F9" w:rsidRDefault="008676F9" w:rsidP="00955DA4">
      <w:pPr>
        <w:numPr>
          <w:ilvl w:val="0"/>
          <w:numId w:val="146"/>
        </w:numPr>
        <w:tabs>
          <w:tab w:val="left" w:pos="708"/>
        </w:tabs>
        <w:suppressAutoHyphens/>
        <w:spacing w:after="60"/>
        <w:ind w:left="714" w:hanging="357"/>
        <w:rPr>
          <w:rFonts w:ascii="Calibri" w:eastAsia="Calibri" w:hAnsi="Calibri" w:cs="Calibri"/>
          <w:bCs/>
          <w:szCs w:val="22"/>
          <w:lang w:eastAsia="en-US"/>
        </w:rPr>
      </w:pPr>
      <w:r w:rsidRPr="008676F9">
        <w:rPr>
          <w:rFonts w:ascii="Calibri" w:eastAsia="Calibri" w:hAnsi="Calibri" w:cs="Calibri"/>
          <w:bCs/>
          <w:szCs w:val="22"/>
          <w:lang w:eastAsia="en-US"/>
        </w:rPr>
        <w:t>Výzvy vo výberovom konaní budú otvorené pre verejný aj súkromný sektor.</w:t>
      </w:r>
    </w:p>
    <w:p w:rsidR="00416CC7" w:rsidRPr="00432AD3" w:rsidRDefault="00416CC7" w:rsidP="00416CC7">
      <w:pPr>
        <w:numPr>
          <w:ilvl w:val="0"/>
          <w:numId w:val="146"/>
        </w:numPr>
        <w:tabs>
          <w:tab w:val="left" w:pos="708"/>
        </w:tabs>
        <w:suppressAutoHyphens/>
        <w:spacing w:after="60"/>
        <w:rPr>
          <w:rFonts w:ascii="Calibri" w:eastAsia="Calibri" w:hAnsi="Calibri" w:cs="Calibri"/>
          <w:bCs/>
          <w:szCs w:val="22"/>
          <w:lang w:eastAsia="en-US"/>
        </w:rPr>
      </w:pPr>
      <w:r w:rsidRPr="00432AD3">
        <w:rPr>
          <w:rFonts w:ascii="Calibri" w:eastAsia="Calibri" w:hAnsi="Calibri" w:cs="Calibri"/>
          <w:bCs/>
          <w:szCs w:val="22"/>
          <w:lang w:eastAsia="en-US"/>
        </w:rPr>
        <w:t xml:space="preserve">Dostatočné technické a materiálne zabezpečenie pre vzdelávaciu činnosť resp. spôsoby jeho dosiahnutia opísané v projekte. </w:t>
      </w:r>
    </w:p>
    <w:p w:rsidR="00416CC7" w:rsidRPr="008676F9" w:rsidRDefault="00416CC7" w:rsidP="00416CC7">
      <w:pPr>
        <w:numPr>
          <w:ilvl w:val="0"/>
          <w:numId w:val="146"/>
        </w:numPr>
        <w:tabs>
          <w:tab w:val="left" w:pos="708"/>
        </w:tabs>
        <w:suppressAutoHyphens/>
        <w:spacing w:after="60"/>
        <w:rPr>
          <w:rFonts w:ascii="Calibri" w:eastAsia="Calibri" w:hAnsi="Calibri" w:cs="Calibri"/>
          <w:bCs/>
          <w:szCs w:val="22"/>
          <w:lang w:eastAsia="en-US"/>
        </w:rPr>
      </w:pPr>
      <w:r w:rsidRPr="00432AD3">
        <w:rPr>
          <w:rFonts w:ascii="Calibri" w:eastAsia="Calibri" w:hAnsi="Calibri" w:cs="Calibri"/>
          <w:bCs/>
          <w:szCs w:val="22"/>
          <w:lang w:eastAsia="en-US"/>
        </w:rPr>
        <w:t>Akreditácia programu ďalšieho vzdelávania  Ministerstvom školstva, vedy, výskumu a športu SR</w:t>
      </w:r>
      <w:r>
        <w:rPr>
          <w:rFonts w:ascii="Calibri" w:eastAsia="Calibri" w:hAnsi="Calibri" w:cs="Calibri"/>
          <w:bCs/>
          <w:szCs w:val="22"/>
          <w:lang w:eastAsia="en-US"/>
        </w:rPr>
        <w:t>.</w:t>
      </w:r>
    </w:p>
    <w:p w:rsidR="008676F9" w:rsidRPr="008676F9" w:rsidRDefault="008676F9" w:rsidP="007B5045">
      <w:pPr>
        <w:tabs>
          <w:tab w:val="left" w:pos="708"/>
        </w:tabs>
        <w:suppressAutoHyphens/>
        <w:spacing w:after="60"/>
        <w:ind w:left="714"/>
        <w:rPr>
          <w:rFonts w:ascii="Calibri" w:eastAsia="Calibri" w:hAnsi="Calibri" w:cs="Calibri"/>
          <w:bCs/>
          <w:szCs w:val="22"/>
          <w:lang w:eastAsia="en-US"/>
        </w:rPr>
      </w:pPr>
    </w:p>
    <w:p w:rsidR="008676F9" w:rsidRPr="008676F9" w:rsidRDefault="008676F9" w:rsidP="007B5045">
      <w:pPr>
        <w:tabs>
          <w:tab w:val="left" w:pos="708"/>
        </w:tabs>
        <w:suppressAutoHyphens/>
      </w:pPr>
      <w:r w:rsidRPr="008676F9">
        <w:rPr>
          <w:rFonts w:ascii="Calibri" w:eastAsia="Calibri" w:hAnsi="Calibri" w:cs="Calibri"/>
          <w:bCs/>
          <w:szCs w:val="22"/>
          <w:u w:val="single"/>
          <w:lang w:eastAsia="en-US"/>
        </w:rPr>
        <w:t>Princípy nastavenia výberových kritérií</w:t>
      </w:r>
    </w:p>
    <w:p w:rsidR="008676F9" w:rsidRPr="008676F9" w:rsidRDefault="008676F9" w:rsidP="00955DA4">
      <w:pPr>
        <w:numPr>
          <w:ilvl w:val="0"/>
          <w:numId w:val="144"/>
        </w:numPr>
        <w:tabs>
          <w:tab w:val="left" w:pos="708"/>
        </w:tabs>
        <w:suppressAutoHyphens/>
        <w:contextualSpacing/>
        <w:rPr>
          <w:rFonts w:ascii="Calibri" w:hAnsi="Calibri" w:cs="Calibri"/>
          <w:szCs w:val="22"/>
          <w:lang w:eastAsia="en-US"/>
        </w:rPr>
      </w:pPr>
      <w:r w:rsidRPr="008676F9">
        <w:rPr>
          <w:rFonts w:ascii="Calibri" w:hAnsi="Calibri" w:cs="Calibri"/>
          <w:szCs w:val="22"/>
          <w:lang w:eastAsia="en-US"/>
        </w:rPr>
        <w:t>Kvalita lektorov a ich referencia a prax;</w:t>
      </w:r>
    </w:p>
    <w:p w:rsidR="008676F9" w:rsidRPr="008676F9" w:rsidRDefault="008676F9" w:rsidP="00955DA4">
      <w:pPr>
        <w:numPr>
          <w:ilvl w:val="0"/>
          <w:numId w:val="142"/>
        </w:numPr>
        <w:tabs>
          <w:tab w:val="left" w:pos="708"/>
        </w:tabs>
        <w:suppressAutoHyphens/>
        <w:rPr>
          <w:rFonts w:ascii="Calibri" w:hAnsi="Calibri" w:cs="Calibri"/>
          <w:szCs w:val="22"/>
          <w:lang w:eastAsia="en-US"/>
        </w:rPr>
      </w:pPr>
      <w:r w:rsidRPr="008676F9">
        <w:rPr>
          <w:rFonts w:ascii="Calibri" w:hAnsi="Calibri" w:cs="Calibri"/>
          <w:szCs w:val="22"/>
          <w:lang w:eastAsia="en-US"/>
        </w:rPr>
        <w:t>Skúsenosti s organizovaním vzdelávacích programov a projektov;</w:t>
      </w:r>
    </w:p>
    <w:p w:rsidR="008676F9" w:rsidRPr="008676F9" w:rsidRDefault="008676F9" w:rsidP="00955DA4">
      <w:pPr>
        <w:numPr>
          <w:ilvl w:val="0"/>
          <w:numId w:val="142"/>
        </w:numPr>
        <w:tabs>
          <w:tab w:val="left" w:pos="708"/>
        </w:tabs>
        <w:suppressAutoHyphens/>
        <w:rPr>
          <w:rFonts w:ascii="Calibri" w:hAnsi="Calibri" w:cs="Calibri"/>
          <w:szCs w:val="22"/>
          <w:lang w:eastAsia="en-US"/>
        </w:rPr>
      </w:pPr>
      <w:r w:rsidRPr="008676F9">
        <w:rPr>
          <w:rFonts w:ascii="Calibri" w:hAnsi="Calibri" w:cs="Calibri"/>
          <w:szCs w:val="22"/>
          <w:lang w:eastAsia="en-US"/>
        </w:rPr>
        <w:t>Zameranie  činnosti prijímateľa podpory a jeho súvis s oblasťami vzdelávania;</w:t>
      </w:r>
    </w:p>
    <w:p w:rsidR="008676F9" w:rsidRPr="008676F9" w:rsidRDefault="008676F9" w:rsidP="00955DA4">
      <w:pPr>
        <w:numPr>
          <w:ilvl w:val="0"/>
          <w:numId w:val="142"/>
        </w:numPr>
        <w:tabs>
          <w:tab w:val="left" w:pos="708"/>
        </w:tabs>
        <w:suppressAutoHyphens/>
        <w:rPr>
          <w:rFonts w:ascii="Calibri" w:hAnsi="Calibri" w:cs="Calibri"/>
          <w:szCs w:val="22"/>
          <w:lang w:eastAsia="en-US"/>
        </w:rPr>
      </w:pPr>
      <w:r w:rsidRPr="008676F9">
        <w:rPr>
          <w:rFonts w:ascii="Calibri" w:hAnsi="Calibri" w:cs="Calibri"/>
          <w:szCs w:val="22"/>
          <w:lang w:eastAsia="en-US"/>
        </w:rPr>
        <w:t>Podiel praktických činností, ak sa vyžaduje.</w:t>
      </w:r>
    </w:p>
    <w:p w:rsidR="008676F9" w:rsidRPr="008676F9" w:rsidRDefault="008676F9" w:rsidP="007B5045">
      <w:pPr>
        <w:tabs>
          <w:tab w:val="left" w:pos="708"/>
        </w:tabs>
        <w:suppressAutoHyphens/>
        <w:rPr>
          <w:rFonts w:ascii="Calibri" w:hAnsi="Calibri" w:cs="Calibri"/>
          <w:szCs w:val="22"/>
          <w:lang w:eastAsia="en-US"/>
        </w:rPr>
      </w:pPr>
    </w:p>
    <w:p w:rsidR="008676F9" w:rsidRPr="008676F9" w:rsidRDefault="008676F9" w:rsidP="007B5045">
      <w:pPr>
        <w:tabs>
          <w:tab w:val="left" w:pos="708"/>
        </w:tabs>
        <w:suppressAutoHyphens/>
        <w:rPr>
          <w:rFonts w:ascii="Calibri" w:hAnsi="Calibri" w:cs="Calibri"/>
          <w:szCs w:val="22"/>
          <w:lang w:eastAsia="en-US"/>
        </w:rPr>
      </w:pPr>
      <w:r w:rsidRPr="008676F9">
        <w:rPr>
          <w:rFonts w:ascii="Calibri" w:hAnsi="Calibri" w:cs="Calibri"/>
          <w:szCs w:val="22"/>
          <w:u w:val="single"/>
          <w:lang w:eastAsia="en-US"/>
        </w:rPr>
        <w:t>Výška a miera podpory:</w:t>
      </w:r>
    </w:p>
    <w:p w:rsidR="008676F9" w:rsidRPr="008676F9" w:rsidRDefault="008676F9" w:rsidP="007B5045">
      <w:pPr>
        <w:tabs>
          <w:tab w:val="left" w:pos="708"/>
        </w:tabs>
        <w:suppressAutoHyphens/>
        <w:rPr>
          <w:rFonts w:ascii="Calibri" w:hAnsi="Calibri" w:cs="Calibri"/>
          <w:szCs w:val="22"/>
          <w:lang w:eastAsia="en-US"/>
        </w:rPr>
      </w:pPr>
      <w:r w:rsidRPr="008676F9">
        <w:rPr>
          <w:rFonts w:ascii="Calibri" w:hAnsi="Calibri" w:cs="Calibri"/>
          <w:szCs w:val="22"/>
          <w:lang w:eastAsia="en-US"/>
        </w:rPr>
        <w:t xml:space="preserve">Maximálna výška podpory z celkových oprávnených nákladov: </w:t>
      </w:r>
    </w:p>
    <w:p w:rsidR="008676F9" w:rsidRDefault="008676F9" w:rsidP="001F5283">
      <w:pPr>
        <w:numPr>
          <w:ilvl w:val="0"/>
          <w:numId w:val="50"/>
        </w:numPr>
        <w:tabs>
          <w:tab w:val="left" w:pos="708"/>
        </w:tabs>
        <w:suppressAutoHyphens/>
        <w:ind w:left="714" w:hanging="357"/>
        <w:rPr>
          <w:rFonts w:ascii="Calibri" w:hAnsi="Calibri" w:cs="Calibri"/>
          <w:szCs w:val="22"/>
          <w:lang w:eastAsia="en-US"/>
        </w:rPr>
      </w:pPr>
      <w:r w:rsidRPr="008676F9">
        <w:rPr>
          <w:rFonts w:ascii="Calibri" w:hAnsi="Calibri" w:cs="Calibri"/>
          <w:szCs w:val="22"/>
          <w:lang w:eastAsia="en-US"/>
        </w:rPr>
        <w:t>100%.</w:t>
      </w:r>
      <w:r w:rsidRPr="008676F9">
        <w:rPr>
          <w:rFonts w:ascii="Calibri" w:hAnsi="Calibri" w:cs="Calibri"/>
          <w:szCs w:val="22"/>
          <w:lang w:eastAsia="en-US"/>
        </w:rPr>
        <w:tab/>
      </w:r>
    </w:p>
    <w:p w:rsidR="00BE36D5" w:rsidRDefault="00BE36D5" w:rsidP="00BE36D5">
      <w:pPr>
        <w:tabs>
          <w:tab w:val="left" w:pos="708"/>
        </w:tabs>
        <w:suppressAutoHyphens/>
        <w:ind w:left="357"/>
        <w:rPr>
          <w:rFonts w:ascii="Calibri" w:hAnsi="Calibri" w:cs="Calibri"/>
          <w:szCs w:val="22"/>
          <w:lang w:eastAsia="en-US"/>
        </w:rPr>
      </w:pPr>
      <w:r>
        <w:rPr>
          <w:rFonts w:ascii="Calibri" w:hAnsi="Calibri" w:cs="Calibri"/>
          <w:szCs w:val="22"/>
          <w:lang w:eastAsia="en-US"/>
        </w:rPr>
        <w:br w:type="page"/>
      </w:r>
    </w:p>
    <w:p w:rsidR="008676F9" w:rsidRPr="008676F9" w:rsidRDefault="008676F9" w:rsidP="008676F9">
      <w:pPr>
        <w:rPr>
          <w:rFonts w:ascii="Calibri" w:eastAsia="Calibri" w:hAnsi="Calibri" w:cs="Calibri"/>
          <w:szCs w:val="22"/>
          <w:u w:val="single"/>
        </w:rPr>
      </w:pPr>
      <w:r w:rsidRPr="008676F9">
        <w:rPr>
          <w:rFonts w:ascii="Calibri" w:eastAsia="Calibri" w:hAnsi="Calibri" w:cs="Calibri"/>
          <w:szCs w:val="22"/>
          <w:u w:val="single"/>
        </w:rPr>
        <w:t>Ďalšie informácie špecifické pre danú operáciu:</w:t>
      </w:r>
    </w:p>
    <w:p w:rsidR="008676F9" w:rsidRPr="008676F9" w:rsidRDefault="008676F9" w:rsidP="008676F9">
      <w:pPr>
        <w:rPr>
          <w:rFonts w:ascii="Calibri" w:eastAsia="Calibri" w:hAnsi="Calibri" w:cs="Calibri"/>
          <w:szCs w:val="22"/>
          <w:lang w:eastAsia="en-US"/>
        </w:rPr>
      </w:pPr>
      <w:r w:rsidRPr="008676F9">
        <w:rPr>
          <w:rFonts w:ascii="Calibri" w:eastAsia="Calibri" w:hAnsi="Calibri" w:cs="Calibri"/>
          <w:szCs w:val="22"/>
          <w:lang w:eastAsia="en-US"/>
        </w:rPr>
        <w:t xml:space="preserve">Podpora v rámci tohto podopatrenia sa nevzťahuje na vzdelávacie programy, ktoré je súčasťou bežných programov alebo systémov vzdelávania na stredoškolskej alebo vyššej úrovni. Inštitúcie poskytujúce služby ďalšieho odborného vzdelávania prenosu informačných aktivít musia mať primerané kapacity. </w:t>
      </w:r>
    </w:p>
    <w:p w:rsidR="008676F9" w:rsidRDefault="008676F9" w:rsidP="008676F9">
      <w:pPr>
        <w:rPr>
          <w:rFonts w:ascii="Calibri" w:eastAsia="Calibri" w:hAnsi="Calibri" w:cs="Calibri"/>
          <w:b/>
          <w:bCs/>
          <w:szCs w:val="22"/>
          <w:lang w:eastAsia="en-US"/>
        </w:rPr>
      </w:pPr>
    </w:p>
    <w:p w:rsidR="007B5045" w:rsidRDefault="007B5045" w:rsidP="008676F9">
      <w:pPr>
        <w:rPr>
          <w:rFonts w:ascii="Calibri" w:eastAsia="Calibri" w:hAnsi="Calibri" w:cs="Calibri"/>
          <w:b/>
          <w:bCs/>
          <w:szCs w:val="22"/>
          <w:lang w:eastAsia="en-US"/>
        </w:rPr>
      </w:pPr>
    </w:p>
    <w:p w:rsidR="008676F9" w:rsidRPr="008676F9" w:rsidRDefault="008676F9" w:rsidP="008676F9">
      <w:pPr>
        <w:rPr>
          <w:rFonts w:ascii="Calibri" w:eastAsia="Calibri" w:hAnsi="Calibri" w:cs="Calibri"/>
          <w:b/>
          <w:szCs w:val="22"/>
          <w:lang w:eastAsia="en-US"/>
        </w:rPr>
      </w:pPr>
    </w:p>
    <w:p w:rsidR="008676F9" w:rsidRPr="008676F9" w:rsidRDefault="008676F9" w:rsidP="008676F9">
      <w:pPr>
        <w:shd w:val="clear" w:color="auto" w:fill="EAF1DD"/>
        <w:rPr>
          <w:rFonts w:ascii="Calibri" w:eastAsia="Calibri" w:hAnsi="Calibri" w:cs="Calibri"/>
          <w:bCs/>
          <w:i/>
          <w:lang w:eastAsia="en-US"/>
        </w:rPr>
      </w:pPr>
      <w:r w:rsidRPr="008676F9">
        <w:rPr>
          <w:rFonts w:ascii="Calibri" w:eastAsia="Calibri" w:hAnsi="Calibri" w:cs="Calibri"/>
          <w:bCs/>
          <w:lang w:eastAsia="en-US"/>
        </w:rPr>
        <w:t xml:space="preserve">Podopatrenie: </w:t>
      </w:r>
      <w:r w:rsidRPr="008676F9">
        <w:rPr>
          <w:rFonts w:ascii="Calibri" w:eastAsia="Calibri" w:hAnsi="Calibri" w:cs="Calibri"/>
          <w:b/>
          <w:bCs/>
          <w:i/>
          <w:lang w:eastAsia="en-US"/>
        </w:rPr>
        <w:t xml:space="preserve">1.2 </w:t>
      </w:r>
      <w:r w:rsidRPr="00CC6591">
        <w:rPr>
          <w:rFonts w:ascii="Calibri" w:eastAsia="Calibri" w:hAnsi="Calibri" w:cs="Calibri"/>
          <w:b/>
          <w:bCs/>
          <w:i/>
          <w:sz w:val="24"/>
          <w:lang w:eastAsia="en-US"/>
        </w:rPr>
        <w:t>Podpora demonštračných aktivít a informačné akcie</w:t>
      </w:r>
    </w:p>
    <w:p w:rsidR="008676F9" w:rsidRPr="008676F9" w:rsidRDefault="008676F9" w:rsidP="008676F9">
      <w:pPr>
        <w:shd w:val="clear" w:color="auto" w:fill="FBD4B4"/>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Názov operácie:</w:t>
      </w:r>
    </w:p>
    <w:p w:rsidR="008676F9" w:rsidRPr="008676F9" w:rsidRDefault="008676F9" w:rsidP="008676F9">
      <w:pPr>
        <w:shd w:val="clear" w:color="auto" w:fill="FBD4B4"/>
        <w:rPr>
          <w:rFonts w:ascii="Calibri" w:eastAsia="Calibri" w:hAnsi="Calibri" w:cs="Calibri"/>
          <w:bCs/>
          <w:i/>
          <w:szCs w:val="22"/>
          <w:lang w:eastAsia="en-US"/>
        </w:rPr>
      </w:pPr>
      <w:r w:rsidRPr="008676F9">
        <w:rPr>
          <w:rFonts w:ascii="Calibri" w:eastAsia="Calibri" w:hAnsi="Calibri" w:cs="Calibri"/>
          <w:bCs/>
          <w:i/>
          <w:szCs w:val="22"/>
          <w:lang w:eastAsia="en-US"/>
        </w:rPr>
        <w:t>Demonštračné aktivity a informačné akcie</w:t>
      </w:r>
    </w:p>
    <w:p w:rsidR="008676F9" w:rsidRPr="008676F9" w:rsidRDefault="008676F9" w:rsidP="008676F9">
      <w:pPr>
        <w:tabs>
          <w:tab w:val="left" w:pos="708"/>
          <w:tab w:val="left" w:pos="6090"/>
        </w:tabs>
        <w:suppressAutoHyphens/>
        <w:spacing w:line="100" w:lineRule="atLeast"/>
        <w:rPr>
          <w:rFonts w:ascii="Calibri" w:eastAsia="Calibri" w:hAnsi="Calibri" w:cs="Calibri"/>
          <w:bCs/>
          <w:szCs w:val="22"/>
          <w:lang w:eastAsia="en-US"/>
        </w:rPr>
      </w:pPr>
    </w:p>
    <w:p w:rsidR="008676F9" w:rsidRPr="008676F9" w:rsidRDefault="008676F9" w:rsidP="008676F9">
      <w:pPr>
        <w:tabs>
          <w:tab w:val="left" w:pos="708"/>
          <w:tab w:val="left" w:pos="6090"/>
        </w:tabs>
        <w:suppressAutoHyphens/>
        <w:spacing w:line="100" w:lineRule="atLeast"/>
        <w:rPr>
          <w:rFonts w:ascii="Calibri" w:hAnsi="Calibri"/>
          <w:szCs w:val="22"/>
          <w:u w:val="single"/>
        </w:rPr>
      </w:pPr>
      <w:r w:rsidRPr="008676F9">
        <w:rPr>
          <w:rFonts w:ascii="Calibri" w:eastAsia="Calibri" w:hAnsi="Calibri" w:cs="Calibri"/>
          <w:bCs/>
          <w:szCs w:val="22"/>
          <w:u w:val="single"/>
          <w:lang w:eastAsia="en-US"/>
        </w:rPr>
        <w:t>Opis operácie</w:t>
      </w:r>
    </w:p>
    <w:p w:rsidR="008676F9" w:rsidRPr="008676F9" w:rsidRDefault="008676F9" w:rsidP="008676F9">
      <w:pPr>
        <w:tabs>
          <w:tab w:val="left" w:pos="708"/>
        </w:tabs>
        <w:suppressAutoHyphens/>
        <w:spacing w:after="60"/>
        <w:rPr>
          <w:rFonts w:ascii="Calibri" w:hAnsi="Calibri"/>
          <w:szCs w:val="22"/>
        </w:rPr>
      </w:pPr>
      <w:r w:rsidRPr="008676F9">
        <w:rPr>
          <w:rFonts w:ascii="Calibri" w:hAnsi="Calibri"/>
          <w:szCs w:val="22"/>
        </w:rPr>
        <w:t>Informačné aktivity predstavujú krátkodobé resp. jednorazové odborné informačné činnosti pre pôdohospodárov a prijímateľov v rámci rozvoja vidieka zamerané na získanie informácií potrebných pre pracujúcich v pôdohospodárstve.  Môžu sa dopĺňať o formy propagácie šírenia tlačou a ostatnými médiami. Prenos a spracovanie informácií môže byť vykonané rôznymi spôsobmi, napr. prostredníctvom konferencie, výstavy, vzdelávacej relácie, podujatia, eventu, súťaže, propagácie.</w:t>
      </w:r>
    </w:p>
    <w:p w:rsidR="008676F9" w:rsidRPr="008676F9" w:rsidRDefault="008676F9" w:rsidP="008676F9">
      <w:pPr>
        <w:tabs>
          <w:tab w:val="left" w:pos="708"/>
        </w:tabs>
        <w:suppressAutoHyphens/>
        <w:spacing w:after="60"/>
        <w:rPr>
          <w:rFonts w:ascii="Calibri" w:hAnsi="Calibri"/>
          <w:szCs w:val="22"/>
        </w:rPr>
      </w:pPr>
      <w:r w:rsidRPr="008676F9">
        <w:rPr>
          <w:rFonts w:ascii="Calibri" w:hAnsi="Calibri"/>
          <w:szCs w:val="22"/>
        </w:rPr>
        <w:t>Konkrétne informačné aktivity a demonštračné akcie budú na daný rok navrhnuté riadiacim orgánom -</w:t>
      </w:r>
      <w:r w:rsidR="005223B3">
        <w:rPr>
          <w:rFonts w:ascii="Calibri" w:hAnsi="Calibri"/>
          <w:szCs w:val="22"/>
        </w:rPr>
        <w:t xml:space="preserve"> </w:t>
      </w:r>
      <w:r w:rsidRPr="008676F9">
        <w:rPr>
          <w:rFonts w:ascii="Calibri" w:hAnsi="Calibri"/>
          <w:szCs w:val="22"/>
        </w:rPr>
        <w:t>MPRV SR</w:t>
      </w:r>
      <w:r w:rsidR="005223B3">
        <w:rPr>
          <w:rFonts w:ascii="Calibri" w:hAnsi="Calibri"/>
          <w:szCs w:val="22"/>
        </w:rPr>
        <w:t>, pri prístupe LEADER miestnou akčnou skupinou</w:t>
      </w:r>
      <w:r w:rsidRPr="008676F9">
        <w:rPr>
          <w:rFonts w:ascii="Calibri" w:hAnsi="Calibri"/>
          <w:szCs w:val="22"/>
        </w:rPr>
        <w:t xml:space="preserve">. </w:t>
      </w:r>
    </w:p>
    <w:p w:rsidR="008676F9" w:rsidRPr="008676F9" w:rsidRDefault="008676F9" w:rsidP="008676F9">
      <w:pPr>
        <w:tabs>
          <w:tab w:val="left" w:pos="708"/>
        </w:tabs>
        <w:suppressAutoHyphens/>
        <w:spacing w:line="100" w:lineRule="atLeast"/>
        <w:rPr>
          <w:rFonts w:ascii="Calibri" w:hAnsi="Calibri"/>
          <w:szCs w:val="22"/>
        </w:rPr>
      </w:pPr>
      <w:r w:rsidRPr="008676F9">
        <w:rPr>
          <w:rFonts w:ascii="Calibri" w:hAnsi="Calibri"/>
          <w:szCs w:val="22"/>
        </w:rPr>
        <w:t xml:space="preserve">Informačné aktivity  nesmú mať charakter propagácie konkrétneho produktu, služby či výrobku, resp. nesmú zahŕňať propagačnú činnosť pre komerčné produkty a služby.  Informačné aktivity nemusia byť akreditované. </w:t>
      </w:r>
    </w:p>
    <w:p w:rsidR="008676F9" w:rsidRPr="008676F9" w:rsidRDefault="008676F9" w:rsidP="008676F9">
      <w:pPr>
        <w:tabs>
          <w:tab w:val="left" w:pos="708"/>
        </w:tabs>
        <w:suppressAutoHyphens/>
        <w:spacing w:line="100" w:lineRule="atLeast"/>
        <w:rPr>
          <w:rFonts w:ascii="Calibri" w:hAnsi="Calibri"/>
          <w:szCs w:val="22"/>
        </w:rPr>
      </w:pPr>
      <w:r w:rsidRPr="008676F9">
        <w:rPr>
          <w:rFonts w:ascii="Calibri" w:hAnsi="Calibri"/>
          <w:szCs w:val="22"/>
        </w:rPr>
        <w:t>Informačné aktivity môžu byť doplnené  o   formu   demonštračnej  predvádzacej činnosti – praktické ukážky využitia nových, inovatívnych  technológií, výrobných techník,  metód a  postupov priamo v pôdohospodárskej praxi. Tento prenos vedomostí umožní účastníkom, aby sa rýchlo adaptovali na zmeny.</w:t>
      </w:r>
    </w:p>
    <w:p w:rsidR="008676F9" w:rsidRPr="008676F9" w:rsidRDefault="008676F9" w:rsidP="008676F9">
      <w:pPr>
        <w:tabs>
          <w:tab w:val="left" w:pos="708"/>
        </w:tabs>
        <w:suppressAutoHyphens/>
        <w:spacing w:line="100" w:lineRule="atLeast"/>
        <w:rPr>
          <w:rFonts w:ascii="Calibri" w:eastAsia="Calibri" w:hAnsi="Calibri" w:cs="Calibri"/>
          <w:szCs w:val="22"/>
          <w:u w:val="single"/>
          <w:lang w:eastAsia="en-US"/>
        </w:rPr>
      </w:pPr>
    </w:p>
    <w:p w:rsidR="008676F9" w:rsidRPr="008676F9" w:rsidRDefault="008676F9" w:rsidP="008676F9">
      <w:pPr>
        <w:tabs>
          <w:tab w:val="left" w:pos="708"/>
        </w:tabs>
        <w:suppressAutoHyphens/>
        <w:spacing w:line="100" w:lineRule="atLeast"/>
        <w:rPr>
          <w:rFonts w:ascii="Calibri" w:hAnsi="Calibri"/>
          <w:szCs w:val="22"/>
        </w:rPr>
      </w:pPr>
      <w:r w:rsidRPr="008676F9">
        <w:rPr>
          <w:rFonts w:ascii="Calibri" w:eastAsia="Calibri" w:hAnsi="Calibri" w:cs="Calibri"/>
          <w:szCs w:val="22"/>
          <w:u w:val="single"/>
          <w:lang w:eastAsia="en-US"/>
        </w:rPr>
        <w:t>Typ podpory:</w:t>
      </w:r>
    </w:p>
    <w:p w:rsidR="008676F9" w:rsidRPr="008676F9" w:rsidRDefault="008676F9" w:rsidP="00955DA4">
      <w:pPr>
        <w:numPr>
          <w:ilvl w:val="0"/>
          <w:numId w:val="213"/>
        </w:numPr>
        <w:tabs>
          <w:tab w:val="left" w:pos="708"/>
        </w:tabs>
        <w:suppressAutoHyphens/>
        <w:spacing w:after="200" w:line="100" w:lineRule="atLeast"/>
        <w:rPr>
          <w:rFonts w:ascii="Calibri" w:hAnsi="Calibri"/>
          <w:szCs w:val="22"/>
        </w:rPr>
      </w:pPr>
      <w:r w:rsidRPr="008676F9">
        <w:rPr>
          <w:rFonts w:ascii="Calibri" w:eastAsia="Calibri" w:hAnsi="Calibri" w:cs="Calibri"/>
          <w:szCs w:val="22"/>
          <w:lang w:eastAsia="en-US"/>
        </w:rPr>
        <w:t>nezisková, nenávratný finančný príspevok formou refundácie skutočne vynaložených a zaplatených výdavkov.</w:t>
      </w:r>
    </w:p>
    <w:p w:rsidR="008676F9" w:rsidRPr="008676F9" w:rsidRDefault="008676F9" w:rsidP="008676F9">
      <w:pPr>
        <w:tabs>
          <w:tab w:val="left" w:pos="708"/>
        </w:tabs>
        <w:suppressAutoHyphens/>
        <w:spacing w:line="100" w:lineRule="atLeast"/>
        <w:rPr>
          <w:rFonts w:ascii="Calibri" w:hAnsi="Calibri"/>
          <w:szCs w:val="22"/>
        </w:rPr>
      </w:pPr>
    </w:p>
    <w:p w:rsidR="008676F9" w:rsidRPr="008676F9" w:rsidRDefault="008676F9" w:rsidP="008676F9">
      <w:pPr>
        <w:tabs>
          <w:tab w:val="left" w:pos="708"/>
        </w:tabs>
        <w:suppressAutoHyphens/>
        <w:spacing w:line="100" w:lineRule="atLeast"/>
        <w:rPr>
          <w:rFonts w:ascii="Calibri" w:hAnsi="Calibri"/>
          <w:szCs w:val="22"/>
        </w:rPr>
      </w:pPr>
      <w:r w:rsidRPr="008676F9">
        <w:rPr>
          <w:rFonts w:ascii="Calibri" w:eastAsia="Calibri" w:hAnsi="Calibri" w:cs="Calibri"/>
          <w:szCs w:val="22"/>
          <w:u w:val="single"/>
          <w:lang w:eastAsia="en-US"/>
        </w:rPr>
        <w:t xml:space="preserve">Súvislosť s inou legislatívou: </w:t>
      </w:r>
    </w:p>
    <w:p w:rsidR="008676F9" w:rsidRPr="008676F9" w:rsidRDefault="008676F9" w:rsidP="00955DA4">
      <w:pPr>
        <w:numPr>
          <w:ilvl w:val="0"/>
          <w:numId w:val="143"/>
        </w:numPr>
        <w:tabs>
          <w:tab w:val="left" w:pos="708"/>
        </w:tabs>
        <w:suppressAutoHyphens/>
        <w:spacing w:after="200" w:line="100" w:lineRule="atLeast"/>
        <w:contextualSpacing/>
        <w:rPr>
          <w:rFonts w:ascii="Calibri" w:hAnsi="Calibri"/>
          <w:szCs w:val="22"/>
        </w:rPr>
      </w:pPr>
      <w:r w:rsidRPr="008676F9">
        <w:rPr>
          <w:rFonts w:ascii="Calibri" w:eastAsia="Calibri" w:hAnsi="Calibri" w:cs="Calibri"/>
          <w:szCs w:val="22"/>
          <w:lang w:eastAsia="en-US"/>
        </w:rPr>
        <w:t>zákon č. 568/2009 o celoživotnom vzdelávaní;</w:t>
      </w:r>
    </w:p>
    <w:p w:rsidR="008676F9" w:rsidRPr="008676F9" w:rsidRDefault="008676F9" w:rsidP="00955DA4">
      <w:pPr>
        <w:numPr>
          <w:ilvl w:val="0"/>
          <w:numId w:val="143"/>
        </w:numPr>
        <w:tabs>
          <w:tab w:val="left" w:pos="708"/>
        </w:tabs>
        <w:suppressAutoHyphens/>
        <w:spacing w:after="200" w:line="100" w:lineRule="atLeast"/>
        <w:contextualSpacing/>
        <w:rPr>
          <w:rFonts w:ascii="Calibri" w:hAnsi="Calibri"/>
          <w:szCs w:val="22"/>
        </w:rPr>
      </w:pPr>
      <w:r w:rsidRPr="008676F9">
        <w:rPr>
          <w:rFonts w:ascii="Calibri" w:eastAsia="Calibri" w:hAnsi="Calibri" w:cs="Calibri"/>
          <w:szCs w:val="22"/>
          <w:lang w:eastAsia="en-US"/>
        </w:rPr>
        <w:t>zákon č. 25/2006 o verejnom obstarávaní.</w:t>
      </w:r>
    </w:p>
    <w:p w:rsidR="008676F9" w:rsidRPr="008676F9" w:rsidRDefault="008676F9" w:rsidP="008676F9">
      <w:pPr>
        <w:tabs>
          <w:tab w:val="left" w:pos="708"/>
        </w:tabs>
        <w:suppressAutoHyphens/>
        <w:spacing w:line="100" w:lineRule="atLeast"/>
        <w:rPr>
          <w:rFonts w:ascii="Calibri" w:eastAsia="Calibri" w:hAnsi="Calibri" w:cs="Calibri"/>
          <w:szCs w:val="22"/>
          <w:u w:val="single"/>
          <w:lang w:eastAsia="en-US"/>
        </w:rPr>
      </w:pPr>
    </w:p>
    <w:p w:rsidR="008676F9" w:rsidRPr="008676F9" w:rsidRDefault="008676F9" w:rsidP="008676F9">
      <w:pPr>
        <w:tabs>
          <w:tab w:val="left" w:pos="708"/>
        </w:tabs>
        <w:suppressAutoHyphens/>
        <w:spacing w:line="100" w:lineRule="atLeast"/>
        <w:rPr>
          <w:rFonts w:ascii="Calibri" w:eastAsia="Calibri" w:hAnsi="Calibri" w:cs="Calibri"/>
          <w:szCs w:val="22"/>
          <w:u w:val="single"/>
          <w:lang w:eastAsia="en-US"/>
        </w:rPr>
      </w:pPr>
      <w:r w:rsidRPr="008676F9">
        <w:rPr>
          <w:rFonts w:ascii="Calibri" w:eastAsia="Calibri" w:hAnsi="Calibri" w:cs="Calibri"/>
          <w:szCs w:val="22"/>
          <w:u w:val="single"/>
          <w:lang w:eastAsia="en-US"/>
        </w:rPr>
        <w:t xml:space="preserve">Prijímateľ podpory: </w:t>
      </w:r>
    </w:p>
    <w:p w:rsidR="008676F9" w:rsidRPr="008676F9" w:rsidRDefault="008676F9" w:rsidP="008676F9">
      <w:pPr>
        <w:tabs>
          <w:tab w:val="left" w:pos="708"/>
        </w:tabs>
        <w:suppressAutoHyphens/>
        <w:spacing w:line="100" w:lineRule="atLeast"/>
        <w:rPr>
          <w:rFonts w:ascii="Calibri" w:hAnsi="Calibri"/>
          <w:szCs w:val="22"/>
        </w:rPr>
      </w:pPr>
      <w:r w:rsidRPr="008676F9">
        <w:rPr>
          <w:rFonts w:ascii="Calibri" w:eastAsia="Calibri" w:hAnsi="Calibri" w:cs="Calibri"/>
          <w:szCs w:val="22"/>
          <w:lang w:eastAsia="en-US"/>
        </w:rPr>
        <w:t>Poskytovateľ informačnej akcie a demonštračných aktivít pre poľnohospodárov, obhospodarovateľov lesa</w:t>
      </w:r>
      <w:r w:rsidR="001B617C">
        <w:rPr>
          <w:rFonts w:ascii="Calibri" w:eastAsia="Calibri" w:hAnsi="Calibri" w:cs="Calibri"/>
          <w:szCs w:val="22"/>
          <w:lang w:eastAsia="en-US"/>
        </w:rPr>
        <w:t xml:space="preserve">, </w:t>
      </w:r>
      <w:r w:rsidRPr="008676F9">
        <w:rPr>
          <w:rFonts w:ascii="Calibri" w:eastAsia="Calibri" w:hAnsi="Calibri" w:cs="Calibri"/>
          <w:szCs w:val="22"/>
          <w:lang w:eastAsia="en-US"/>
        </w:rPr>
        <w:t>spracovateľov produktov poľnohospodárskej a lesnej prvovýroby</w:t>
      </w:r>
      <w:r w:rsidR="001B617C">
        <w:rPr>
          <w:rFonts w:ascii="Calibri" w:eastAsia="Calibri" w:hAnsi="Calibri" w:cs="Calibri"/>
          <w:szCs w:val="22"/>
          <w:lang w:eastAsia="en-US"/>
        </w:rPr>
        <w:t xml:space="preserve"> a malé a stredné podniky vo vidieckych oblastiach</w:t>
      </w:r>
      <w:r w:rsidRPr="008676F9">
        <w:rPr>
          <w:rFonts w:ascii="Calibri" w:eastAsia="Calibri" w:hAnsi="Calibri" w:cs="Calibri"/>
          <w:szCs w:val="22"/>
          <w:lang w:eastAsia="en-US"/>
        </w:rPr>
        <w:t>.</w:t>
      </w:r>
    </w:p>
    <w:p w:rsidR="008676F9" w:rsidRPr="008676F9" w:rsidRDefault="008676F9" w:rsidP="008676F9">
      <w:pPr>
        <w:tabs>
          <w:tab w:val="left" w:pos="708"/>
        </w:tabs>
        <w:suppressAutoHyphens/>
        <w:spacing w:line="100" w:lineRule="atLeast"/>
        <w:rPr>
          <w:rFonts w:ascii="Calibri" w:hAnsi="Calibri"/>
          <w:szCs w:val="22"/>
        </w:rPr>
      </w:pPr>
    </w:p>
    <w:p w:rsidR="008676F9" w:rsidRPr="008676F9" w:rsidRDefault="008676F9" w:rsidP="008676F9">
      <w:pPr>
        <w:tabs>
          <w:tab w:val="left" w:pos="708"/>
        </w:tabs>
        <w:suppressAutoHyphens/>
        <w:spacing w:line="100" w:lineRule="atLeast"/>
        <w:rPr>
          <w:rFonts w:ascii="Calibri" w:hAnsi="Calibri"/>
          <w:szCs w:val="22"/>
          <w:u w:val="single"/>
        </w:rPr>
      </w:pPr>
      <w:r w:rsidRPr="008676F9">
        <w:rPr>
          <w:rFonts w:ascii="Calibri" w:eastAsia="Calibri" w:hAnsi="Calibri" w:cs="Calibri"/>
          <w:bCs/>
          <w:szCs w:val="22"/>
          <w:u w:val="single"/>
          <w:lang w:eastAsia="en-US"/>
        </w:rPr>
        <w:t>Oprávnené náklady:</w:t>
      </w:r>
    </w:p>
    <w:p w:rsidR="008676F9" w:rsidRPr="008676F9" w:rsidRDefault="008676F9" w:rsidP="00955DA4">
      <w:pPr>
        <w:numPr>
          <w:ilvl w:val="0"/>
          <w:numId w:val="148"/>
        </w:numPr>
        <w:tabs>
          <w:tab w:val="left" w:pos="708"/>
        </w:tabs>
        <w:suppressAutoHyphens/>
        <w:spacing w:after="60" w:line="100" w:lineRule="atLeast"/>
        <w:rPr>
          <w:rFonts w:ascii="Calibri" w:eastAsia="Calibri" w:hAnsi="Calibri" w:cs="Calibri"/>
          <w:bCs/>
          <w:szCs w:val="22"/>
          <w:lang w:eastAsia="en-US"/>
        </w:rPr>
      </w:pPr>
      <w:r w:rsidRPr="008676F9">
        <w:rPr>
          <w:rFonts w:ascii="Calibri" w:eastAsia="Calibri" w:hAnsi="Calibri" w:cs="Calibri"/>
          <w:bCs/>
          <w:szCs w:val="22"/>
          <w:lang w:eastAsia="en-US"/>
        </w:rPr>
        <w:t>personálne náklady na zabezpečenie, prípravu a realizáciu aktivít vrátane odmien a odvodov do zdravotných poisťovní a sociálnej poisťovne;</w:t>
      </w:r>
    </w:p>
    <w:p w:rsidR="008676F9" w:rsidRPr="008676F9" w:rsidRDefault="008676F9" w:rsidP="00955DA4">
      <w:pPr>
        <w:numPr>
          <w:ilvl w:val="0"/>
          <w:numId w:val="148"/>
        </w:numPr>
        <w:tabs>
          <w:tab w:val="left" w:pos="708"/>
        </w:tabs>
        <w:suppressAutoHyphens/>
        <w:spacing w:after="60" w:line="100" w:lineRule="atLeast"/>
        <w:ind w:left="714" w:hanging="357"/>
        <w:rPr>
          <w:rFonts w:ascii="Calibri" w:eastAsia="Calibri" w:hAnsi="Calibri" w:cs="Calibri"/>
          <w:bCs/>
          <w:szCs w:val="22"/>
          <w:lang w:eastAsia="en-US"/>
        </w:rPr>
      </w:pPr>
      <w:r w:rsidRPr="008676F9">
        <w:rPr>
          <w:rFonts w:ascii="Calibri" w:eastAsia="Calibri" w:hAnsi="Calibri" w:cs="Calibri"/>
          <w:bCs/>
          <w:szCs w:val="22"/>
          <w:lang w:eastAsia="en-US"/>
        </w:rPr>
        <w:t>prenájom priestorov a potrebnej techniky;</w:t>
      </w:r>
    </w:p>
    <w:p w:rsidR="008676F9" w:rsidRPr="008676F9" w:rsidRDefault="008676F9" w:rsidP="00955DA4">
      <w:pPr>
        <w:numPr>
          <w:ilvl w:val="0"/>
          <w:numId w:val="148"/>
        </w:numPr>
        <w:tabs>
          <w:tab w:val="left" w:pos="708"/>
        </w:tabs>
        <w:suppressAutoHyphens/>
        <w:spacing w:after="60" w:line="100" w:lineRule="atLeast"/>
        <w:ind w:left="714" w:hanging="357"/>
        <w:rPr>
          <w:rFonts w:ascii="Calibri" w:eastAsia="Calibri" w:hAnsi="Calibri" w:cs="Calibri"/>
          <w:bCs/>
          <w:szCs w:val="22"/>
          <w:lang w:eastAsia="en-US"/>
        </w:rPr>
      </w:pPr>
      <w:r w:rsidRPr="008676F9">
        <w:rPr>
          <w:rFonts w:ascii="Calibri" w:eastAsia="Calibri" w:hAnsi="Calibri" w:cs="Calibri"/>
          <w:bCs/>
          <w:szCs w:val="22"/>
          <w:lang w:eastAsia="en-US"/>
        </w:rPr>
        <w:t>materiálno-technické náklady  a náklady na služby v súvislosti s aktivitou;</w:t>
      </w:r>
    </w:p>
    <w:p w:rsidR="008676F9" w:rsidRPr="008676F9" w:rsidRDefault="008676F9" w:rsidP="00955DA4">
      <w:pPr>
        <w:numPr>
          <w:ilvl w:val="0"/>
          <w:numId w:val="148"/>
        </w:numPr>
        <w:tabs>
          <w:tab w:val="left" w:pos="708"/>
        </w:tabs>
        <w:suppressAutoHyphens/>
        <w:spacing w:after="60" w:line="100" w:lineRule="atLeast"/>
        <w:ind w:left="714" w:hanging="357"/>
        <w:rPr>
          <w:rFonts w:ascii="Calibri" w:eastAsia="Calibri" w:hAnsi="Calibri" w:cs="Calibri"/>
          <w:bCs/>
          <w:szCs w:val="22"/>
          <w:lang w:eastAsia="en-US"/>
        </w:rPr>
      </w:pPr>
      <w:r w:rsidRPr="008676F9">
        <w:rPr>
          <w:rFonts w:ascii="Calibri" w:eastAsia="Calibri" w:hAnsi="Calibri" w:cs="Calibri"/>
          <w:bCs/>
          <w:szCs w:val="22"/>
          <w:lang w:eastAsia="en-US"/>
        </w:rPr>
        <w:t>ubytovacie náklady, náklady na občerstvenie resp. dopravné náklady, ak sú súčasťou projektu;</w:t>
      </w:r>
    </w:p>
    <w:p w:rsidR="008676F9" w:rsidRPr="008676F9" w:rsidRDefault="008676F9" w:rsidP="00955DA4">
      <w:pPr>
        <w:numPr>
          <w:ilvl w:val="0"/>
          <w:numId w:val="148"/>
        </w:numPr>
        <w:tabs>
          <w:tab w:val="left" w:pos="708"/>
        </w:tabs>
        <w:suppressAutoHyphens/>
        <w:spacing w:after="60" w:line="100" w:lineRule="atLeast"/>
        <w:ind w:left="714" w:hanging="357"/>
        <w:rPr>
          <w:rFonts w:ascii="Calibri" w:eastAsia="Calibri" w:hAnsi="Calibri" w:cs="Calibri"/>
          <w:bCs/>
          <w:szCs w:val="22"/>
          <w:lang w:eastAsia="en-US"/>
        </w:rPr>
      </w:pPr>
      <w:r w:rsidRPr="008676F9">
        <w:rPr>
          <w:rFonts w:ascii="Calibri" w:eastAsia="Calibri" w:hAnsi="Calibri" w:cs="Calibri"/>
          <w:bCs/>
          <w:szCs w:val="22"/>
          <w:lang w:eastAsia="en-US"/>
        </w:rPr>
        <w:t>náklady za návštevu farmy, podniku v rámci demonštračnej aktivity;</w:t>
      </w:r>
    </w:p>
    <w:p w:rsidR="008676F9" w:rsidRPr="008676F9" w:rsidRDefault="008676F9" w:rsidP="00955DA4">
      <w:pPr>
        <w:numPr>
          <w:ilvl w:val="0"/>
          <w:numId w:val="148"/>
        </w:numPr>
        <w:tabs>
          <w:tab w:val="left" w:pos="708"/>
        </w:tabs>
        <w:suppressAutoHyphens/>
        <w:spacing w:after="60" w:line="100" w:lineRule="atLeast"/>
        <w:ind w:left="714" w:hanging="357"/>
        <w:rPr>
          <w:rFonts w:ascii="Calibri" w:eastAsia="Calibri" w:hAnsi="Calibri" w:cs="Calibri"/>
          <w:bCs/>
          <w:szCs w:val="22"/>
          <w:lang w:eastAsia="en-US"/>
        </w:rPr>
      </w:pPr>
      <w:r w:rsidRPr="008676F9">
        <w:rPr>
          <w:rFonts w:ascii="Calibri" w:eastAsia="Calibri" w:hAnsi="Calibri" w:cs="Calibri"/>
          <w:bCs/>
          <w:szCs w:val="22"/>
          <w:lang w:eastAsia="en-US"/>
        </w:rPr>
        <w:t>investičné náklady spojené s realizáciou demonštračnej aktivity;</w:t>
      </w:r>
    </w:p>
    <w:p w:rsidR="008676F9" w:rsidRPr="008676F9" w:rsidRDefault="008676F9" w:rsidP="00955DA4">
      <w:pPr>
        <w:numPr>
          <w:ilvl w:val="0"/>
          <w:numId w:val="148"/>
        </w:numPr>
        <w:tabs>
          <w:tab w:val="left" w:pos="708"/>
        </w:tabs>
        <w:suppressAutoHyphens/>
        <w:spacing w:after="60" w:line="100" w:lineRule="atLeast"/>
        <w:ind w:left="714" w:hanging="357"/>
        <w:rPr>
          <w:rFonts w:ascii="Calibri" w:eastAsia="Calibri" w:hAnsi="Calibri" w:cs="Calibri"/>
          <w:bCs/>
          <w:szCs w:val="22"/>
          <w:lang w:eastAsia="en-US"/>
        </w:rPr>
      </w:pPr>
      <w:r w:rsidRPr="008676F9">
        <w:rPr>
          <w:rFonts w:ascii="Calibri" w:eastAsia="Calibri" w:hAnsi="Calibri" w:cs="Calibri"/>
          <w:bCs/>
          <w:szCs w:val="22"/>
          <w:lang w:eastAsia="en-US"/>
        </w:rPr>
        <w:t>vecné ceny do súťaže;</w:t>
      </w:r>
    </w:p>
    <w:p w:rsidR="008676F9" w:rsidRPr="008676F9" w:rsidRDefault="008676F9" w:rsidP="00955DA4">
      <w:pPr>
        <w:numPr>
          <w:ilvl w:val="0"/>
          <w:numId w:val="148"/>
        </w:numPr>
        <w:tabs>
          <w:tab w:val="left" w:pos="708"/>
        </w:tabs>
        <w:suppressAutoHyphens/>
        <w:spacing w:after="60" w:line="100" w:lineRule="atLeast"/>
        <w:ind w:left="714" w:hanging="357"/>
        <w:rPr>
          <w:rFonts w:ascii="Calibri" w:eastAsia="Calibri" w:hAnsi="Calibri" w:cs="Calibri"/>
          <w:bCs/>
          <w:szCs w:val="22"/>
          <w:lang w:eastAsia="en-US"/>
        </w:rPr>
      </w:pPr>
      <w:r w:rsidRPr="008676F9">
        <w:rPr>
          <w:rFonts w:ascii="Calibri" w:eastAsia="Calibri" w:hAnsi="Calibri" w:cs="Calibri"/>
          <w:bCs/>
          <w:szCs w:val="22"/>
          <w:lang w:eastAsia="en-US"/>
        </w:rPr>
        <w:t>propagácia.</w:t>
      </w:r>
    </w:p>
    <w:p w:rsidR="008676F9" w:rsidRPr="008676F9" w:rsidRDefault="008676F9" w:rsidP="008676F9">
      <w:pPr>
        <w:tabs>
          <w:tab w:val="left" w:pos="708"/>
        </w:tabs>
        <w:suppressAutoHyphens/>
        <w:spacing w:line="100" w:lineRule="atLeast"/>
        <w:rPr>
          <w:rFonts w:ascii="Calibri" w:eastAsia="Calibri" w:hAnsi="Calibri" w:cs="Calibri"/>
          <w:szCs w:val="22"/>
          <w:u w:val="single"/>
          <w:lang w:eastAsia="en-US"/>
        </w:rPr>
      </w:pPr>
    </w:p>
    <w:p w:rsidR="008676F9" w:rsidRPr="008676F9" w:rsidRDefault="008676F9" w:rsidP="008676F9">
      <w:pPr>
        <w:tabs>
          <w:tab w:val="left" w:pos="708"/>
        </w:tabs>
        <w:suppressAutoHyphens/>
        <w:spacing w:line="100" w:lineRule="atLeast"/>
        <w:rPr>
          <w:rFonts w:ascii="Calibri" w:eastAsia="SimSun" w:hAnsi="Calibri" w:cs="Calibri"/>
          <w:b/>
          <w:szCs w:val="22"/>
          <w:lang w:eastAsia="zh-CN" w:bidi="hi-IN"/>
        </w:rPr>
      </w:pPr>
      <w:r w:rsidRPr="008676F9">
        <w:rPr>
          <w:rFonts w:ascii="Calibri" w:eastAsia="Calibri" w:hAnsi="Calibri" w:cs="Calibri"/>
          <w:szCs w:val="22"/>
          <w:u w:val="single"/>
          <w:lang w:eastAsia="en-US"/>
        </w:rPr>
        <w:t>Podmienky  oprávnenosti:</w:t>
      </w:r>
    </w:p>
    <w:p w:rsidR="008676F9" w:rsidRPr="008676F9" w:rsidRDefault="008676F9" w:rsidP="00955DA4">
      <w:pPr>
        <w:numPr>
          <w:ilvl w:val="0"/>
          <w:numId w:val="149"/>
        </w:numPr>
        <w:tabs>
          <w:tab w:val="left" w:pos="708"/>
        </w:tabs>
        <w:suppressAutoHyphens/>
        <w:spacing w:after="60" w:line="100" w:lineRule="atLeast"/>
        <w:rPr>
          <w:rFonts w:ascii="Calibri" w:eastAsia="Calibri" w:hAnsi="Calibri" w:cs="Calibri"/>
          <w:bCs/>
          <w:szCs w:val="22"/>
          <w:lang w:eastAsia="en-US"/>
        </w:rPr>
      </w:pPr>
      <w:r w:rsidRPr="008676F9">
        <w:rPr>
          <w:rFonts w:ascii="Calibri" w:eastAsia="Calibri" w:hAnsi="Calibri" w:cs="Calibri"/>
          <w:bCs/>
          <w:szCs w:val="22"/>
          <w:lang w:eastAsia="en-US"/>
        </w:rPr>
        <w:t xml:space="preserve">Poskytovatelia informačnej akcie a demonštračných aktivít budú  vyberaní  na základe verejného obstarávania v zmysle zákona č. </w:t>
      </w:r>
      <w:hyperlink r:id="rId79" w:tgtFrame="_blank" w:history="1">
        <w:r w:rsidRPr="008676F9">
          <w:rPr>
            <w:rFonts w:ascii="Calibri" w:eastAsia="Calibri" w:hAnsi="Calibri" w:cs="Calibri"/>
            <w:bCs/>
            <w:szCs w:val="22"/>
            <w:lang w:eastAsia="en-US"/>
          </w:rPr>
          <w:t>25/2006 Z. z.</w:t>
        </w:r>
      </w:hyperlink>
      <w:r w:rsidRPr="008676F9">
        <w:rPr>
          <w:rFonts w:ascii="Calibri" w:eastAsia="Calibri" w:hAnsi="Calibri" w:cs="Calibri"/>
          <w:bCs/>
          <w:szCs w:val="22"/>
          <w:lang w:eastAsia="en-US"/>
        </w:rPr>
        <w:t xml:space="preserve"> o verejnom obstarávaní realizovaného </w:t>
      </w:r>
      <w:r w:rsidR="00B36C0D">
        <w:rPr>
          <w:rFonts w:ascii="Calibri" w:eastAsia="Calibri" w:hAnsi="Calibri" w:cs="Calibri"/>
          <w:bCs/>
          <w:szCs w:val="22"/>
          <w:lang w:eastAsia="en-US"/>
        </w:rPr>
        <w:t xml:space="preserve">riadiacim orgánom </w:t>
      </w:r>
      <w:r w:rsidRPr="008676F9">
        <w:rPr>
          <w:rFonts w:ascii="Calibri" w:eastAsia="Calibri" w:hAnsi="Calibri" w:cs="Calibri"/>
          <w:bCs/>
          <w:szCs w:val="22"/>
          <w:lang w:eastAsia="en-US"/>
        </w:rPr>
        <w:t>MPRV SR</w:t>
      </w:r>
      <w:r w:rsidR="00416CC7">
        <w:rPr>
          <w:rFonts w:ascii="Calibri" w:eastAsia="Calibri" w:hAnsi="Calibri" w:cs="Calibri"/>
          <w:bCs/>
          <w:szCs w:val="22"/>
          <w:lang w:eastAsia="en-US"/>
        </w:rPr>
        <w:t>; resp. Pôdohospodárskou platobnou agentúrou</w:t>
      </w:r>
      <w:r w:rsidRPr="008676F9">
        <w:rPr>
          <w:rFonts w:ascii="Calibri" w:eastAsia="Calibri" w:hAnsi="Calibri" w:cs="Calibri"/>
          <w:bCs/>
          <w:szCs w:val="22"/>
          <w:lang w:eastAsia="en-US"/>
        </w:rPr>
        <w:t xml:space="preserve">. </w:t>
      </w:r>
    </w:p>
    <w:p w:rsidR="008676F9" w:rsidRPr="008676F9" w:rsidRDefault="008676F9" w:rsidP="00955DA4">
      <w:pPr>
        <w:numPr>
          <w:ilvl w:val="0"/>
          <w:numId w:val="149"/>
        </w:numPr>
        <w:tabs>
          <w:tab w:val="left" w:pos="708"/>
        </w:tabs>
        <w:suppressAutoHyphens/>
        <w:spacing w:after="60" w:line="100" w:lineRule="atLeast"/>
        <w:rPr>
          <w:rFonts w:ascii="Calibri" w:eastAsia="Calibri" w:hAnsi="Calibri" w:cs="Calibri"/>
          <w:bCs/>
          <w:szCs w:val="22"/>
          <w:lang w:eastAsia="en-US"/>
        </w:rPr>
      </w:pPr>
      <w:r w:rsidRPr="008676F9">
        <w:rPr>
          <w:rFonts w:ascii="Calibri" w:eastAsia="Calibri" w:hAnsi="Calibri" w:cs="Calibri"/>
          <w:bCs/>
          <w:szCs w:val="22"/>
          <w:lang w:eastAsia="en-US"/>
        </w:rPr>
        <w:t xml:space="preserve">Uchádzači predložia projektové zámery na konkrétnu krátkodobú, resp. jednorazovú informačnú aktivitu, spravidla raz za dva roky. </w:t>
      </w:r>
    </w:p>
    <w:p w:rsidR="008676F9" w:rsidRPr="00416CC7" w:rsidRDefault="008676F9" w:rsidP="00955DA4">
      <w:pPr>
        <w:numPr>
          <w:ilvl w:val="0"/>
          <w:numId w:val="149"/>
        </w:numPr>
        <w:tabs>
          <w:tab w:val="left" w:pos="708"/>
        </w:tabs>
        <w:suppressAutoHyphens/>
        <w:ind w:left="714" w:hanging="357"/>
        <w:rPr>
          <w:rFonts w:ascii="Calibri" w:eastAsia="Calibri" w:hAnsi="Calibri" w:cs="Calibri"/>
          <w:bCs/>
          <w:szCs w:val="22"/>
          <w:lang w:eastAsia="en-US"/>
        </w:rPr>
      </w:pPr>
      <w:r w:rsidRPr="008676F9">
        <w:rPr>
          <w:rFonts w:ascii="Calibri" w:eastAsia="Calibri" w:hAnsi="Calibri" w:cs="Calibri"/>
          <w:bCs/>
          <w:szCs w:val="22"/>
          <w:lang w:eastAsia="en-US"/>
        </w:rPr>
        <w:t>Adresátom informačných akcií a demonštračných aktivít musí byť: p</w:t>
      </w:r>
      <w:r w:rsidRPr="008676F9">
        <w:rPr>
          <w:rFonts w:ascii="Calibri" w:eastAsia="Calibri" w:hAnsi="Calibri" w:cs="Calibri"/>
          <w:szCs w:val="22"/>
          <w:lang w:eastAsia="en-US"/>
        </w:rPr>
        <w:t>oľnohospodár a/alebo obhospodarovateľ lesa a/alebo spracovateľ produktov poľnohospodárskej a/alebo lesnej prvovýroby.</w:t>
      </w:r>
    </w:p>
    <w:p w:rsidR="00416CC7" w:rsidRPr="008676F9" w:rsidRDefault="00416CC7" w:rsidP="00955DA4">
      <w:pPr>
        <w:numPr>
          <w:ilvl w:val="0"/>
          <w:numId w:val="149"/>
        </w:numPr>
        <w:tabs>
          <w:tab w:val="left" w:pos="708"/>
        </w:tabs>
        <w:suppressAutoHyphens/>
        <w:ind w:left="714" w:hanging="357"/>
        <w:rPr>
          <w:rFonts w:ascii="Calibri" w:eastAsia="Calibri" w:hAnsi="Calibri" w:cs="Calibri"/>
          <w:bCs/>
          <w:szCs w:val="22"/>
          <w:lang w:eastAsia="en-US"/>
        </w:rPr>
      </w:pPr>
      <w:r>
        <w:rPr>
          <w:rFonts w:ascii="Calibri" w:eastAsia="Calibri" w:hAnsi="Calibri" w:cs="Calibri"/>
          <w:szCs w:val="22"/>
          <w:lang w:eastAsia="en-US"/>
        </w:rPr>
        <w:t>Žiadateľ, ktorý sa nachádza na území MAS je povinný predložiť potvrdenie od MAS, že daný projekt nie je realizovaný prostredníctvom LEADER/CLLD.</w:t>
      </w:r>
    </w:p>
    <w:p w:rsidR="00B36C0D" w:rsidRDefault="00B36C0D" w:rsidP="008676F9">
      <w:pPr>
        <w:tabs>
          <w:tab w:val="left" w:pos="708"/>
        </w:tabs>
        <w:suppressAutoHyphens/>
        <w:spacing w:line="100" w:lineRule="atLeast"/>
        <w:rPr>
          <w:rFonts w:ascii="Calibri" w:eastAsia="Calibri" w:hAnsi="Calibri" w:cs="Calibri"/>
          <w:bCs/>
          <w:szCs w:val="22"/>
          <w:u w:val="single"/>
          <w:lang w:eastAsia="en-US"/>
        </w:rPr>
      </w:pPr>
    </w:p>
    <w:p w:rsidR="008676F9" w:rsidRPr="008676F9" w:rsidRDefault="008676F9" w:rsidP="008676F9">
      <w:pPr>
        <w:tabs>
          <w:tab w:val="left" w:pos="708"/>
        </w:tabs>
        <w:suppressAutoHyphens/>
        <w:spacing w:line="100" w:lineRule="atLeast"/>
      </w:pPr>
      <w:r w:rsidRPr="008676F9">
        <w:rPr>
          <w:rFonts w:ascii="Calibri" w:eastAsia="Calibri" w:hAnsi="Calibri" w:cs="Calibri"/>
          <w:bCs/>
          <w:szCs w:val="22"/>
          <w:u w:val="single"/>
          <w:lang w:eastAsia="en-US"/>
        </w:rPr>
        <w:t>Princípy nastavenia výberových kritérií</w:t>
      </w:r>
      <w:r w:rsidRPr="008676F9">
        <w:t>:</w:t>
      </w:r>
    </w:p>
    <w:p w:rsidR="008676F9" w:rsidRPr="008676F9" w:rsidRDefault="008676F9" w:rsidP="00955DA4">
      <w:pPr>
        <w:numPr>
          <w:ilvl w:val="0"/>
          <w:numId w:val="142"/>
        </w:numPr>
        <w:tabs>
          <w:tab w:val="left" w:pos="708"/>
        </w:tabs>
        <w:suppressAutoHyphens/>
        <w:ind w:left="714" w:hanging="357"/>
        <w:rPr>
          <w:rFonts w:ascii="Calibri" w:hAnsi="Calibri" w:cs="Calibri"/>
          <w:szCs w:val="22"/>
          <w:lang w:eastAsia="en-US"/>
        </w:rPr>
      </w:pPr>
      <w:r w:rsidRPr="008676F9">
        <w:rPr>
          <w:rFonts w:ascii="Calibri" w:hAnsi="Calibri" w:cs="Calibri"/>
          <w:szCs w:val="22"/>
          <w:lang w:eastAsia="en-US"/>
        </w:rPr>
        <w:t>Príspevok k viacerým fokusovým oblastiam;</w:t>
      </w:r>
    </w:p>
    <w:p w:rsidR="008676F9" w:rsidRPr="008676F9" w:rsidRDefault="008676F9" w:rsidP="00955DA4">
      <w:pPr>
        <w:numPr>
          <w:ilvl w:val="0"/>
          <w:numId w:val="142"/>
        </w:numPr>
        <w:tabs>
          <w:tab w:val="left" w:pos="708"/>
        </w:tabs>
        <w:suppressAutoHyphens/>
        <w:ind w:left="714" w:hanging="357"/>
        <w:rPr>
          <w:rFonts w:ascii="Calibri" w:hAnsi="Calibri" w:cs="Calibri"/>
          <w:szCs w:val="22"/>
          <w:lang w:eastAsia="en-US"/>
        </w:rPr>
      </w:pPr>
      <w:r w:rsidRPr="008676F9">
        <w:rPr>
          <w:rFonts w:ascii="Calibri" w:hAnsi="Calibri" w:cs="Calibri"/>
          <w:szCs w:val="22"/>
          <w:lang w:eastAsia="en-US"/>
        </w:rPr>
        <w:t>Charakter a zameranie aktivity, medzinárodný rozsah aktivity;</w:t>
      </w:r>
    </w:p>
    <w:p w:rsidR="008676F9" w:rsidRPr="008676F9" w:rsidRDefault="008676F9" w:rsidP="00955DA4">
      <w:pPr>
        <w:numPr>
          <w:ilvl w:val="0"/>
          <w:numId w:val="142"/>
        </w:numPr>
        <w:tabs>
          <w:tab w:val="left" w:pos="708"/>
        </w:tabs>
        <w:suppressAutoHyphens/>
        <w:ind w:left="714" w:hanging="357"/>
        <w:rPr>
          <w:rFonts w:ascii="Calibri" w:hAnsi="Calibri" w:cs="Calibri"/>
          <w:szCs w:val="22"/>
          <w:lang w:eastAsia="en-US"/>
        </w:rPr>
      </w:pPr>
      <w:r w:rsidRPr="008676F9">
        <w:rPr>
          <w:rFonts w:ascii="Calibri" w:hAnsi="Calibri" w:cs="Calibri"/>
          <w:szCs w:val="22"/>
          <w:lang w:eastAsia="en-US"/>
        </w:rPr>
        <w:t xml:space="preserve">Kvalitatívne predpoklady; odborná spôsobilosť; </w:t>
      </w:r>
    </w:p>
    <w:p w:rsidR="008676F9" w:rsidRPr="008676F9" w:rsidRDefault="008676F9" w:rsidP="00955DA4">
      <w:pPr>
        <w:numPr>
          <w:ilvl w:val="0"/>
          <w:numId w:val="142"/>
        </w:numPr>
        <w:tabs>
          <w:tab w:val="left" w:pos="708"/>
        </w:tabs>
        <w:suppressAutoHyphens/>
        <w:ind w:left="714" w:hanging="357"/>
        <w:rPr>
          <w:rFonts w:ascii="Calibri" w:hAnsi="Calibri" w:cs="Calibri"/>
          <w:szCs w:val="22"/>
          <w:lang w:eastAsia="en-US"/>
        </w:rPr>
      </w:pPr>
      <w:r w:rsidRPr="008676F9">
        <w:rPr>
          <w:rFonts w:ascii="Calibri" w:hAnsi="Calibri" w:cs="Calibri"/>
          <w:szCs w:val="22"/>
          <w:lang w:eastAsia="en-US"/>
        </w:rPr>
        <w:t>Skúsenosti s organizovaním informačných a demonštračných aktivít;</w:t>
      </w:r>
    </w:p>
    <w:p w:rsidR="008676F9" w:rsidRDefault="008676F9" w:rsidP="00955DA4">
      <w:pPr>
        <w:numPr>
          <w:ilvl w:val="0"/>
          <w:numId w:val="142"/>
        </w:numPr>
        <w:tabs>
          <w:tab w:val="left" w:pos="708"/>
        </w:tabs>
        <w:suppressAutoHyphens/>
        <w:ind w:left="714" w:hanging="357"/>
        <w:rPr>
          <w:rFonts w:ascii="Calibri" w:hAnsi="Calibri" w:cs="Calibri"/>
          <w:szCs w:val="22"/>
          <w:lang w:eastAsia="en-US"/>
        </w:rPr>
      </w:pPr>
      <w:r w:rsidRPr="008676F9">
        <w:rPr>
          <w:rFonts w:ascii="Calibri" w:hAnsi="Calibri" w:cs="Calibri"/>
          <w:szCs w:val="22"/>
          <w:lang w:eastAsia="en-US"/>
        </w:rPr>
        <w:t>Dostatočné technické a materiálne zabezpečenie pre informačnú resp. demonštračnú aktivitu resp. spôsoby jeho dosiahnutia popísané v projekte;</w:t>
      </w:r>
    </w:p>
    <w:p w:rsidR="000E76A1" w:rsidRPr="008676F9" w:rsidRDefault="000E76A1" w:rsidP="00955DA4">
      <w:pPr>
        <w:numPr>
          <w:ilvl w:val="0"/>
          <w:numId w:val="142"/>
        </w:numPr>
        <w:tabs>
          <w:tab w:val="left" w:pos="708"/>
        </w:tabs>
        <w:suppressAutoHyphens/>
        <w:ind w:left="714" w:hanging="357"/>
        <w:rPr>
          <w:rFonts w:ascii="Calibri" w:hAnsi="Calibri" w:cs="Calibri"/>
          <w:szCs w:val="22"/>
          <w:lang w:eastAsia="en-US"/>
        </w:rPr>
      </w:pPr>
      <w:r>
        <w:rPr>
          <w:rFonts w:ascii="Calibri" w:hAnsi="Calibri" w:cs="Calibri"/>
          <w:szCs w:val="22"/>
          <w:lang w:eastAsia="en-US"/>
        </w:rPr>
        <w:t>Inovatívnosť a multiplikačný dopad aktivít z pohľadu adresátov akcie, aktivity v danom sektore, ako aj z pohľadu ostatných regiónov;</w:t>
      </w:r>
    </w:p>
    <w:p w:rsidR="008676F9" w:rsidRPr="008676F9" w:rsidRDefault="008676F9" w:rsidP="00955DA4">
      <w:pPr>
        <w:numPr>
          <w:ilvl w:val="0"/>
          <w:numId w:val="142"/>
        </w:numPr>
        <w:tabs>
          <w:tab w:val="left" w:pos="708"/>
        </w:tabs>
        <w:suppressAutoHyphens/>
        <w:ind w:left="714" w:hanging="357"/>
        <w:rPr>
          <w:rFonts w:ascii="Calibri" w:hAnsi="Calibri" w:cs="Calibri"/>
          <w:szCs w:val="22"/>
          <w:lang w:eastAsia="en-US"/>
        </w:rPr>
      </w:pPr>
      <w:r w:rsidRPr="008676F9">
        <w:rPr>
          <w:rFonts w:ascii="Calibri" w:hAnsi="Calibri" w:cs="Calibri"/>
          <w:szCs w:val="22"/>
          <w:lang w:eastAsia="en-US"/>
        </w:rPr>
        <w:t>Prepojenie na priority a ciele SPP, PRV SR 2014-2020, Stratégiu EÚ pre lesy, resp. Koncepciu rozvoja pôdohospodárstva SR na roky 2013-2020 a na aktivity MPRV SR a multiplikačný efekt aktivít.</w:t>
      </w:r>
    </w:p>
    <w:p w:rsidR="008676F9" w:rsidRPr="008676F9" w:rsidRDefault="008676F9" w:rsidP="008676F9">
      <w:pPr>
        <w:tabs>
          <w:tab w:val="left" w:pos="708"/>
        </w:tabs>
        <w:suppressAutoHyphens/>
        <w:spacing w:line="100" w:lineRule="atLeast"/>
        <w:rPr>
          <w:rFonts w:ascii="Calibri" w:hAnsi="Calibri" w:cs="Calibri"/>
          <w:szCs w:val="22"/>
          <w:lang w:eastAsia="en-US"/>
        </w:rPr>
      </w:pPr>
    </w:p>
    <w:p w:rsidR="008676F9" w:rsidRPr="008676F9" w:rsidRDefault="008676F9" w:rsidP="008676F9">
      <w:pPr>
        <w:tabs>
          <w:tab w:val="left" w:pos="708"/>
        </w:tabs>
        <w:suppressAutoHyphens/>
        <w:spacing w:line="100" w:lineRule="atLeast"/>
        <w:rPr>
          <w:rFonts w:ascii="Calibri" w:hAnsi="Calibri" w:cs="Calibri"/>
          <w:szCs w:val="22"/>
          <w:lang w:eastAsia="en-US"/>
        </w:rPr>
      </w:pPr>
      <w:r w:rsidRPr="008676F9">
        <w:rPr>
          <w:rFonts w:ascii="Calibri" w:hAnsi="Calibri" w:cs="Calibri"/>
          <w:szCs w:val="22"/>
          <w:u w:val="single"/>
          <w:lang w:eastAsia="en-US"/>
        </w:rPr>
        <w:t>Výška a miera podpory:</w:t>
      </w:r>
    </w:p>
    <w:p w:rsidR="008676F9" w:rsidRPr="008676F9" w:rsidRDefault="008676F9" w:rsidP="008676F9">
      <w:pPr>
        <w:tabs>
          <w:tab w:val="left" w:pos="708"/>
        </w:tabs>
        <w:suppressAutoHyphens/>
        <w:spacing w:line="100" w:lineRule="atLeast"/>
        <w:rPr>
          <w:rFonts w:ascii="Calibri" w:hAnsi="Calibri" w:cs="Calibri"/>
          <w:szCs w:val="22"/>
          <w:lang w:eastAsia="en-US"/>
        </w:rPr>
      </w:pPr>
      <w:r w:rsidRPr="008676F9">
        <w:rPr>
          <w:rFonts w:ascii="Calibri" w:hAnsi="Calibri" w:cs="Calibri"/>
          <w:szCs w:val="22"/>
          <w:lang w:eastAsia="en-US"/>
        </w:rPr>
        <w:t xml:space="preserve">Maximálna výška podpory z celkových oprávnených nákladov: </w:t>
      </w:r>
    </w:p>
    <w:p w:rsidR="008676F9" w:rsidRPr="008676F9" w:rsidRDefault="008676F9" w:rsidP="001F5283">
      <w:pPr>
        <w:numPr>
          <w:ilvl w:val="0"/>
          <w:numId w:val="50"/>
        </w:numPr>
        <w:tabs>
          <w:tab w:val="left" w:pos="708"/>
        </w:tabs>
        <w:suppressAutoHyphens/>
        <w:spacing w:after="200" w:line="100" w:lineRule="atLeast"/>
        <w:rPr>
          <w:rFonts w:ascii="Calibri" w:hAnsi="Calibri" w:cs="Calibri"/>
          <w:szCs w:val="22"/>
          <w:lang w:eastAsia="en-US"/>
        </w:rPr>
      </w:pPr>
      <w:r w:rsidRPr="008676F9">
        <w:rPr>
          <w:rFonts w:ascii="Calibri" w:hAnsi="Calibri" w:cs="Calibri"/>
          <w:szCs w:val="22"/>
          <w:lang w:eastAsia="en-US"/>
        </w:rPr>
        <w:t>100%.</w:t>
      </w:r>
      <w:r w:rsidRPr="008676F9">
        <w:rPr>
          <w:rFonts w:ascii="Calibri" w:hAnsi="Calibri" w:cs="Calibri"/>
          <w:szCs w:val="22"/>
          <w:lang w:eastAsia="en-US"/>
        </w:rPr>
        <w:tab/>
      </w:r>
    </w:p>
    <w:p w:rsidR="008676F9" w:rsidRPr="008676F9" w:rsidRDefault="008676F9" w:rsidP="008676F9">
      <w:pPr>
        <w:rPr>
          <w:rFonts w:ascii="Calibri" w:eastAsia="Calibri" w:hAnsi="Calibri" w:cs="Calibri"/>
          <w:szCs w:val="22"/>
          <w:u w:val="single"/>
        </w:rPr>
      </w:pPr>
      <w:r w:rsidRPr="008676F9">
        <w:rPr>
          <w:rFonts w:ascii="Calibri" w:eastAsia="Calibri" w:hAnsi="Calibri" w:cs="Calibri"/>
          <w:szCs w:val="22"/>
          <w:u w:val="single"/>
        </w:rPr>
        <w:t>Ďalšie informácie špecifické pre opatrenie:</w:t>
      </w:r>
    </w:p>
    <w:p w:rsidR="008676F9" w:rsidRPr="008676F9" w:rsidRDefault="008676F9" w:rsidP="008676F9">
      <w:pPr>
        <w:spacing w:after="120"/>
        <w:rPr>
          <w:rFonts w:ascii="Calibri" w:eastAsia="Calibri" w:hAnsi="Calibri" w:cs="Calibri"/>
          <w:b/>
          <w:bCs/>
          <w:szCs w:val="22"/>
          <w:lang w:eastAsia="en-US"/>
        </w:rPr>
      </w:pPr>
      <w:r w:rsidRPr="008676F9">
        <w:rPr>
          <w:rFonts w:ascii="Calibri" w:eastAsia="Calibri" w:hAnsi="Calibri" w:cs="Calibri"/>
          <w:szCs w:val="22"/>
          <w:lang w:eastAsia="en-US"/>
        </w:rPr>
        <w:t xml:space="preserve">Podpora v rámci tohto opatrenia sa nevzťahuje na vzdelávacie programy, ktoré je súčasťou bežných programov alebo systémov vzdelávania na stredoškolskej alebo vyššej úrovni. Inštitúcie poskytujúce služby ďalšieho odborného vzdelávania prenosu informačných aktivít musia mať primerané kapacity. </w:t>
      </w:r>
    </w:p>
    <w:p w:rsidR="008676F9" w:rsidRPr="008676F9" w:rsidRDefault="008676F9" w:rsidP="008676F9">
      <w:pPr>
        <w:tabs>
          <w:tab w:val="left" w:pos="708"/>
        </w:tabs>
        <w:suppressAutoHyphens/>
        <w:spacing w:line="100" w:lineRule="atLeast"/>
        <w:rPr>
          <w:rFonts w:ascii="Calibri" w:eastAsia="Calibri" w:hAnsi="Calibri" w:cs="Calibri"/>
          <w:szCs w:val="22"/>
          <w:lang w:eastAsia="en-US"/>
        </w:rPr>
      </w:pPr>
    </w:p>
    <w:p w:rsidR="008676F9" w:rsidRPr="008676F9" w:rsidRDefault="008676F9" w:rsidP="008676F9">
      <w:pPr>
        <w:ind w:left="709" w:hanging="709"/>
        <w:rPr>
          <w:rFonts w:ascii="Calibri" w:eastAsia="Calibri" w:hAnsi="Calibri" w:cs="Calibri"/>
          <w:b/>
          <w:bCs/>
          <w:szCs w:val="22"/>
          <w:lang w:eastAsia="en-US"/>
        </w:rPr>
      </w:pPr>
      <w:r w:rsidRPr="008676F9">
        <w:rPr>
          <w:rFonts w:ascii="Calibri" w:eastAsia="Calibri" w:hAnsi="Calibri" w:cs="Calibri"/>
          <w:b/>
          <w:bCs/>
          <w:szCs w:val="22"/>
          <w:lang w:eastAsia="en-US"/>
        </w:rPr>
        <w:t>8.2.1.4. Overiteľnosť a kontrolovateľnosť opatrenia:</w:t>
      </w:r>
    </w:p>
    <w:p w:rsidR="008676F9" w:rsidRPr="008676F9" w:rsidRDefault="008676F9" w:rsidP="008676F9">
      <w:pPr>
        <w:rPr>
          <w:rFonts w:ascii="Calibri" w:eastAsia="Calibri" w:hAnsi="Calibri" w:cs="Calibri"/>
          <w:szCs w:val="22"/>
          <w:u w:val="single"/>
          <w:lang w:eastAsia="en-US"/>
        </w:rPr>
      </w:pPr>
      <w:r w:rsidRPr="008676F9">
        <w:rPr>
          <w:rFonts w:ascii="Calibri" w:eastAsia="Calibri" w:hAnsi="Calibri" w:cs="Calibri"/>
          <w:szCs w:val="22"/>
          <w:u w:val="single"/>
          <w:lang w:eastAsia="en-US"/>
        </w:rPr>
        <w:t>Riziko implementácie opatrenia</w:t>
      </w:r>
    </w:p>
    <w:p w:rsidR="008676F9" w:rsidRPr="008676F9" w:rsidRDefault="008676F9" w:rsidP="008676F9">
      <w:pPr>
        <w:rPr>
          <w:rFonts w:ascii="Calibri" w:eastAsia="Calibri" w:hAnsi="Calibri" w:cs="Calibri"/>
          <w:szCs w:val="22"/>
          <w:lang w:eastAsia="en-US"/>
        </w:rPr>
      </w:pPr>
      <w:r w:rsidRPr="008676F9">
        <w:rPr>
          <w:rFonts w:ascii="Calibri" w:eastAsia="Calibri" w:hAnsi="Calibri" w:cs="Calibri"/>
          <w:szCs w:val="22"/>
          <w:lang w:eastAsia="en-US"/>
        </w:rPr>
        <w:t>•</w:t>
      </w:r>
      <w:r w:rsidRPr="008676F9">
        <w:rPr>
          <w:rFonts w:ascii="Calibri" w:eastAsia="Calibri" w:hAnsi="Calibri" w:cs="Calibri"/>
          <w:szCs w:val="22"/>
          <w:lang w:eastAsia="en-US"/>
        </w:rPr>
        <w:tab/>
        <w:t>Výška oprávnených nákladov – efektívnosť vynaložených nákladov;</w:t>
      </w:r>
    </w:p>
    <w:p w:rsidR="008676F9" w:rsidRPr="008676F9" w:rsidRDefault="008676F9" w:rsidP="008676F9">
      <w:pPr>
        <w:rPr>
          <w:rFonts w:ascii="Calibri" w:eastAsia="Calibri" w:hAnsi="Calibri" w:cs="Calibri"/>
          <w:szCs w:val="22"/>
          <w:lang w:eastAsia="en-US"/>
        </w:rPr>
      </w:pPr>
      <w:r w:rsidRPr="008676F9">
        <w:rPr>
          <w:rFonts w:ascii="Calibri" w:eastAsia="Calibri" w:hAnsi="Calibri" w:cs="Calibri"/>
          <w:szCs w:val="22"/>
          <w:lang w:eastAsia="en-US"/>
        </w:rPr>
        <w:t>•</w:t>
      </w:r>
      <w:r w:rsidRPr="008676F9">
        <w:rPr>
          <w:rFonts w:ascii="Calibri" w:eastAsia="Calibri" w:hAnsi="Calibri" w:cs="Calibri"/>
          <w:szCs w:val="22"/>
          <w:lang w:eastAsia="en-US"/>
        </w:rPr>
        <w:tab/>
        <w:t>Postupy verejného obstarávania;</w:t>
      </w:r>
    </w:p>
    <w:p w:rsidR="008676F9" w:rsidRPr="008676F9" w:rsidRDefault="008676F9" w:rsidP="008676F9">
      <w:pPr>
        <w:rPr>
          <w:rFonts w:ascii="Calibri" w:eastAsia="Calibri" w:hAnsi="Calibri" w:cs="Calibri"/>
          <w:szCs w:val="22"/>
          <w:lang w:eastAsia="en-US"/>
        </w:rPr>
      </w:pPr>
      <w:r w:rsidRPr="008676F9">
        <w:rPr>
          <w:rFonts w:ascii="Calibri" w:eastAsia="Calibri" w:hAnsi="Calibri" w:cs="Calibri"/>
          <w:szCs w:val="22"/>
          <w:lang w:eastAsia="en-US"/>
        </w:rPr>
        <w:t>•</w:t>
      </w:r>
      <w:r w:rsidRPr="008676F9">
        <w:rPr>
          <w:rFonts w:ascii="Calibri" w:eastAsia="Calibri" w:hAnsi="Calibri" w:cs="Calibri"/>
          <w:szCs w:val="22"/>
          <w:lang w:eastAsia="en-US"/>
        </w:rPr>
        <w:tab/>
        <w:t>Udržateľnosť projektu.</w:t>
      </w:r>
    </w:p>
    <w:p w:rsidR="008676F9" w:rsidRPr="008676F9" w:rsidRDefault="008676F9" w:rsidP="008676F9">
      <w:pPr>
        <w:rPr>
          <w:rFonts w:ascii="Calibri" w:eastAsia="Calibri" w:hAnsi="Calibri" w:cs="Calibri"/>
          <w:szCs w:val="22"/>
          <w:lang w:eastAsia="en-US"/>
        </w:rPr>
      </w:pPr>
    </w:p>
    <w:p w:rsidR="008676F9" w:rsidRPr="008676F9" w:rsidRDefault="008676F9" w:rsidP="008676F9">
      <w:pPr>
        <w:rPr>
          <w:rFonts w:ascii="Calibri" w:eastAsia="Calibri" w:hAnsi="Calibri" w:cs="Calibri"/>
          <w:szCs w:val="22"/>
          <w:u w:val="single"/>
          <w:lang w:eastAsia="en-US"/>
        </w:rPr>
      </w:pPr>
      <w:r w:rsidRPr="008676F9">
        <w:rPr>
          <w:rFonts w:ascii="Calibri" w:eastAsia="Calibri" w:hAnsi="Calibri" w:cs="Calibri"/>
          <w:szCs w:val="22"/>
          <w:u w:val="single"/>
          <w:lang w:eastAsia="en-US"/>
        </w:rPr>
        <w:t>Opatrenia na zmiernenie rizika implementácie</w:t>
      </w:r>
    </w:p>
    <w:p w:rsidR="008676F9" w:rsidRPr="008676F9" w:rsidRDefault="008676F9" w:rsidP="008676F9">
      <w:pPr>
        <w:rPr>
          <w:rFonts w:ascii="Calibri" w:eastAsia="Calibri" w:hAnsi="Calibri" w:cs="Calibri"/>
          <w:szCs w:val="22"/>
          <w:lang w:eastAsia="en-US"/>
        </w:rPr>
      </w:pPr>
      <w:r w:rsidRPr="008676F9">
        <w:rPr>
          <w:rFonts w:ascii="Calibri" w:eastAsia="Calibri" w:hAnsi="Calibri" w:cs="Calibri"/>
          <w:szCs w:val="22"/>
          <w:lang w:eastAsia="en-US"/>
        </w:rPr>
        <w:t>V rámci opatrenia sú stanovené presné kritériá spôsobilosti, ktoré určujú oprávnenosť navrhovaného projektu a žiadateľa, ku ktorých plneniu sa prijímateľ podpory zaviaže pri podpise zmluvy o poskytnutí NFP.  V prípade ich neplnenia nebude žiadateľovi vyplatená finančná čiastka v rámci ŽoP. Povinnosť postupovať v zmysle usmernenia pre žiadateľa o verejnom obstarávaní.</w:t>
      </w:r>
    </w:p>
    <w:p w:rsidR="008676F9" w:rsidRPr="008676F9" w:rsidRDefault="008676F9" w:rsidP="008676F9">
      <w:pPr>
        <w:rPr>
          <w:rFonts w:ascii="Calibri" w:eastAsia="Calibri" w:hAnsi="Calibri" w:cs="Calibri"/>
          <w:szCs w:val="22"/>
          <w:lang w:eastAsia="en-US"/>
        </w:rPr>
      </w:pPr>
    </w:p>
    <w:p w:rsidR="008676F9" w:rsidRPr="008676F9" w:rsidRDefault="008676F9" w:rsidP="008676F9">
      <w:pPr>
        <w:rPr>
          <w:rFonts w:ascii="Calibri" w:eastAsia="Calibri" w:hAnsi="Calibri" w:cs="Calibri"/>
          <w:szCs w:val="22"/>
          <w:u w:val="single"/>
          <w:lang w:eastAsia="en-US"/>
        </w:rPr>
      </w:pPr>
      <w:r w:rsidRPr="008676F9">
        <w:rPr>
          <w:rFonts w:ascii="Calibri" w:eastAsia="Calibri" w:hAnsi="Calibri" w:cs="Calibri"/>
          <w:szCs w:val="22"/>
          <w:u w:val="single"/>
          <w:lang w:eastAsia="en-US"/>
        </w:rPr>
        <w:t>Celkové posúdenie opatrenia</w:t>
      </w:r>
    </w:p>
    <w:p w:rsidR="008676F9" w:rsidRDefault="008676F9" w:rsidP="008676F9">
      <w:pPr>
        <w:rPr>
          <w:rFonts w:ascii="Calibri" w:eastAsia="Calibri" w:hAnsi="Calibri" w:cs="Calibri"/>
          <w:szCs w:val="22"/>
          <w:lang w:eastAsia="en-US"/>
        </w:rPr>
      </w:pPr>
      <w:r w:rsidRPr="008676F9">
        <w:rPr>
          <w:rFonts w:ascii="Calibri" w:eastAsia="Calibri" w:hAnsi="Calibri" w:cs="Calibri"/>
          <w:szCs w:val="22"/>
          <w:lang w:eastAsia="en-US"/>
        </w:rPr>
        <w:t>Pri danom opatrení  je možné skontrolovať oprávnené náklady administratívnou kontrolou a kontrolou na mieste v zmysle legislatívy upravujúcej kontroly opatrení. Kontrola kritérií spôsobilosti bude predmetom výberového konania.</w:t>
      </w:r>
    </w:p>
    <w:p w:rsidR="000E76A1" w:rsidRDefault="000E76A1" w:rsidP="008676F9">
      <w:pPr>
        <w:rPr>
          <w:rFonts w:ascii="Calibri" w:eastAsia="Calibri" w:hAnsi="Calibri" w:cs="Calibri"/>
          <w:szCs w:val="22"/>
          <w:lang w:eastAsia="en-US"/>
        </w:rPr>
      </w:pPr>
      <w:r>
        <w:rPr>
          <w:rFonts w:ascii="Calibri" w:eastAsia="Calibri" w:hAnsi="Calibri" w:cs="Calibri"/>
          <w:szCs w:val="22"/>
          <w:lang w:eastAsia="en-US"/>
        </w:rPr>
        <w:br w:type="page"/>
      </w:r>
    </w:p>
    <w:p w:rsidR="008676F9" w:rsidRPr="008676F9" w:rsidRDefault="008676F9" w:rsidP="00AA30CA">
      <w:pPr>
        <w:pStyle w:val="Opatrenie"/>
      </w:pPr>
      <w:bookmarkStart w:id="81" w:name="_Toc387041322"/>
      <w:r w:rsidRPr="008676F9">
        <w:t>8.2.2. opatrenie</w:t>
      </w:r>
      <w:r w:rsidRPr="008676F9">
        <w:tab/>
        <w:t xml:space="preserve"> 2 </w:t>
      </w:r>
      <w:r w:rsidRPr="008676F9">
        <w:tab/>
        <w:t>poradenské služby</w:t>
      </w:r>
      <w:bookmarkEnd w:id="81"/>
    </w:p>
    <w:p w:rsidR="008676F9" w:rsidRPr="008676F9" w:rsidRDefault="008676F9" w:rsidP="008676F9">
      <w:pPr>
        <w:rPr>
          <w:rFonts w:ascii="Calibri" w:hAnsi="Calibri" w:cs="Calibri"/>
          <w:b/>
          <w:szCs w:val="22"/>
          <w:lang w:eastAsia="en-US"/>
        </w:rPr>
      </w:pPr>
    </w:p>
    <w:p w:rsidR="008676F9" w:rsidRPr="008676F9" w:rsidRDefault="008676F9" w:rsidP="008676F9">
      <w:pPr>
        <w:rPr>
          <w:rFonts w:ascii="Calibri" w:eastAsia="Calibri" w:hAnsi="Calibri" w:cs="Calibri"/>
          <w:b/>
          <w:bCs/>
          <w:szCs w:val="22"/>
          <w:lang w:eastAsia="en-US"/>
        </w:rPr>
      </w:pPr>
      <w:r w:rsidRPr="008676F9">
        <w:rPr>
          <w:rFonts w:ascii="Calibri" w:eastAsia="Calibri" w:hAnsi="Calibri" w:cs="Calibri"/>
          <w:b/>
          <w:bCs/>
          <w:szCs w:val="22"/>
          <w:lang w:eastAsia="en-US"/>
        </w:rPr>
        <w:t xml:space="preserve">8.2.2.1.Právny základ </w:t>
      </w:r>
    </w:p>
    <w:p w:rsidR="008676F9" w:rsidRPr="008676F9" w:rsidRDefault="008676F9" w:rsidP="00955DA4">
      <w:pPr>
        <w:numPr>
          <w:ilvl w:val="0"/>
          <w:numId w:val="141"/>
        </w:numPr>
        <w:ind w:left="142" w:hanging="142"/>
        <w:rPr>
          <w:rFonts w:ascii="Calibri" w:hAnsi="Calibri" w:cs="Calibri"/>
          <w:szCs w:val="22"/>
          <w:lang w:eastAsia="en-US"/>
        </w:rPr>
      </w:pPr>
      <w:r w:rsidRPr="008676F9">
        <w:rPr>
          <w:rFonts w:ascii="Calibri" w:hAnsi="Calibri" w:cs="Calibri"/>
          <w:szCs w:val="22"/>
          <w:lang w:eastAsia="en-US"/>
        </w:rPr>
        <w:t xml:space="preserve">článok 15 nariadenia </w:t>
      </w:r>
      <w:r w:rsidR="00425CA0">
        <w:rPr>
          <w:rFonts w:ascii="Calibri" w:hAnsi="Calibri" w:cs="Calibri"/>
          <w:szCs w:val="22"/>
          <w:lang w:eastAsia="en-US"/>
        </w:rPr>
        <w:t xml:space="preserve">(EÚ) </w:t>
      </w:r>
      <w:r w:rsidR="00425CA0" w:rsidRPr="008676F9">
        <w:rPr>
          <w:rFonts w:ascii="Calibri" w:hAnsi="Calibri" w:cs="Calibri"/>
          <w:szCs w:val="22"/>
          <w:lang w:eastAsia="en-US"/>
        </w:rPr>
        <w:t xml:space="preserve">č. 1305/2013 o podpore rozvoja vidieka </w:t>
      </w:r>
      <w:r w:rsidR="00E81F0F">
        <w:rPr>
          <w:rFonts w:ascii="Calibri" w:hAnsi="Calibri" w:cs="Calibri"/>
          <w:szCs w:val="22"/>
          <w:lang w:eastAsia="en-US"/>
        </w:rPr>
        <w:t>z</w:t>
      </w:r>
      <w:r w:rsidR="00425CA0" w:rsidRPr="008676F9">
        <w:rPr>
          <w:rFonts w:ascii="Calibri" w:hAnsi="Calibri" w:cs="Calibri"/>
          <w:szCs w:val="22"/>
          <w:lang w:eastAsia="en-US"/>
        </w:rPr>
        <w:t xml:space="preserve"> EPFRV</w:t>
      </w:r>
      <w:r w:rsidR="00425CA0">
        <w:rPr>
          <w:rFonts w:ascii="Calibri" w:hAnsi="Calibri" w:cs="Calibri"/>
          <w:szCs w:val="22"/>
          <w:lang w:eastAsia="en-US"/>
        </w:rPr>
        <w:t>;</w:t>
      </w:r>
    </w:p>
    <w:p w:rsidR="008676F9" w:rsidRPr="008676F9" w:rsidRDefault="008676F9" w:rsidP="00955DA4">
      <w:pPr>
        <w:numPr>
          <w:ilvl w:val="0"/>
          <w:numId w:val="141"/>
        </w:numPr>
        <w:ind w:left="142" w:hanging="142"/>
        <w:rPr>
          <w:rFonts w:ascii="Calibri" w:hAnsi="Calibri" w:cs="Calibri"/>
          <w:szCs w:val="22"/>
          <w:lang w:eastAsia="en-US"/>
        </w:rPr>
      </w:pPr>
      <w:r w:rsidRPr="008676F9">
        <w:rPr>
          <w:rFonts w:ascii="Calibri" w:hAnsi="Calibri" w:cs="Calibri"/>
          <w:szCs w:val="22"/>
          <w:lang w:eastAsia="en-US"/>
        </w:rPr>
        <w:t>článok 7 a príloha I bod 8 vykonávacieho nariadenia Komisie (EÚ) č. ....../2014.</w:t>
      </w:r>
    </w:p>
    <w:p w:rsidR="008676F9" w:rsidRPr="008676F9" w:rsidRDefault="008676F9" w:rsidP="007B5045">
      <w:pPr>
        <w:rPr>
          <w:rFonts w:ascii="Calibri" w:eastAsia="Calibri" w:hAnsi="Calibri"/>
          <w:b/>
          <w:szCs w:val="22"/>
          <w:lang w:eastAsia="en-US"/>
        </w:rPr>
      </w:pPr>
    </w:p>
    <w:p w:rsidR="008676F9" w:rsidRPr="008676F9" w:rsidRDefault="008676F9" w:rsidP="008676F9">
      <w:pPr>
        <w:ind w:left="709" w:hanging="709"/>
        <w:rPr>
          <w:rFonts w:ascii="Calibri" w:eastAsia="Calibri" w:hAnsi="Calibri"/>
          <w:b/>
          <w:szCs w:val="22"/>
          <w:lang w:eastAsia="en-US"/>
        </w:rPr>
      </w:pPr>
      <w:r w:rsidRPr="008676F9">
        <w:rPr>
          <w:rFonts w:ascii="Calibri" w:eastAsia="Calibri" w:hAnsi="Calibri"/>
          <w:b/>
          <w:szCs w:val="22"/>
          <w:lang w:eastAsia="en-US"/>
        </w:rPr>
        <w:t>8.2.2.2. Všeobecný opis opatrenia vrátane intervenčnej logiky a príspevku k fokusovej oblasti a prierezovým cieľom</w:t>
      </w:r>
    </w:p>
    <w:p w:rsidR="008676F9" w:rsidRPr="008676F9" w:rsidRDefault="008676F9" w:rsidP="008676F9">
      <w:pPr>
        <w:spacing w:after="120"/>
        <w:rPr>
          <w:rFonts w:ascii="Calibri" w:eastAsia="Calibri" w:hAnsi="Calibri"/>
          <w:szCs w:val="22"/>
          <w:lang w:eastAsia="en-US"/>
        </w:rPr>
      </w:pPr>
      <w:r w:rsidRPr="008676F9">
        <w:rPr>
          <w:rFonts w:ascii="Calibri" w:eastAsia="Calibri" w:hAnsi="Calibri"/>
          <w:szCs w:val="22"/>
          <w:lang w:eastAsia="en-US"/>
        </w:rPr>
        <w:t>Kvalitné a nezávislé pôdo</w:t>
      </w:r>
      <w:r w:rsidR="003D0842">
        <w:rPr>
          <w:rFonts w:ascii="Calibri" w:eastAsia="Calibri" w:hAnsi="Calibri"/>
          <w:szCs w:val="22"/>
          <w:lang w:eastAsia="en-US"/>
        </w:rPr>
        <w:t>ho</w:t>
      </w:r>
      <w:r w:rsidRPr="008676F9">
        <w:rPr>
          <w:rFonts w:ascii="Calibri" w:eastAsia="Calibri" w:hAnsi="Calibri"/>
          <w:szCs w:val="22"/>
          <w:lang w:eastAsia="en-US"/>
        </w:rPr>
        <w:t xml:space="preserve">spodárske poradenstvo je kľúčovým konkurenčným faktorom pre slovenské poľnohospodárstvo a lesníctvo. Vývoj,  špecializácia procesy zmien v pôdohospodárstve si vyžadujú primeranú úroveň všeobecných, technických a ekonomických vedomostí u osôb pracujúcich v poľnohospodárstve, lesníctve a pri prvotnom spracovaní poľnohospodárskych produktov, najmä pokiaľ ide o nové prístupy k riadeniu, výrobe a marketingu. Mimoriadnu pozornosť treba venovať zvyšovaniu odborných vedomostí pôdohospodárov ich odborným vzdelávaním a využívaním poradenských služieb. Pre posilnenie slovenského poľnohospodárstva  je nutné, aby sa skvalitnil </w:t>
      </w:r>
      <w:r w:rsidRPr="008676F9">
        <w:rPr>
          <w:rFonts w:ascii="Calibri" w:eastAsia="Calibri" w:hAnsi="Calibri"/>
          <w:bCs/>
          <w:szCs w:val="22"/>
          <w:lang w:eastAsia="en-US"/>
        </w:rPr>
        <w:t>pôdohospodársky poradenský</w:t>
      </w:r>
      <w:r w:rsidRPr="008676F9">
        <w:rPr>
          <w:rFonts w:ascii="Calibri" w:eastAsia="Calibri" w:hAnsi="Calibri"/>
          <w:szCs w:val="22"/>
          <w:lang w:eastAsia="en-US"/>
        </w:rPr>
        <w:t xml:space="preserve"> </w:t>
      </w:r>
      <w:r w:rsidRPr="008676F9">
        <w:rPr>
          <w:rFonts w:ascii="Calibri" w:eastAsia="Calibri" w:hAnsi="Calibri"/>
          <w:bCs/>
          <w:szCs w:val="22"/>
          <w:lang w:eastAsia="en-US"/>
        </w:rPr>
        <w:t>systém</w:t>
      </w:r>
      <w:r w:rsidRPr="008676F9">
        <w:rPr>
          <w:rFonts w:ascii="Calibri" w:eastAsia="Calibri" w:hAnsi="Calibri"/>
          <w:szCs w:val="22"/>
          <w:lang w:eastAsia="en-US"/>
        </w:rPr>
        <w:t>. Tento systém má prispieť k tomu, aby si pôdohospodári viac uvedomovali vzťahy medzi tokmi surovín a poľnohospodárskymi procesmi na jednej strane a štandardmi týkajúcimi sa životného prostredia, bezpečnosti potravín, zdravia zvierat a dobrého zaobchádzania so zvieratami, na strane druhej.</w:t>
      </w:r>
    </w:p>
    <w:p w:rsidR="008676F9" w:rsidRPr="008676F9" w:rsidRDefault="008676F9" w:rsidP="008676F9">
      <w:pPr>
        <w:spacing w:after="120"/>
        <w:rPr>
          <w:rFonts w:ascii="Calibri" w:eastAsia="Calibri" w:hAnsi="Calibri"/>
          <w:szCs w:val="22"/>
          <w:lang w:eastAsia="en-US"/>
        </w:rPr>
      </w:pPr>
      <w:r w:rsidRPr="008676F9">
        <w:rPr>
          <w:rFonts w:ascii="Calibri" w:eastAsia="Calibri" w:hAnsi="Calibri"/>
          <w:szCs w:val="22"/>
          <w:lang w:eastAsia="en-US"/>
        </w:rPr>
        <w:t xml:space="preserve">Poradenské služby sú súčasťou poskytovania informácií k zlepšeniu fungovania podnikov, fariem a obhospodarovania lesa, potravinárstva a stabilizácie pracovnej sily v regióne. Je možné ich realizovať ako špecializované činnosti v širokom spektre a rozsahu v rôznych sektoroch pôdohospodárstva. </w:t>
      </w:r>
    </w:p>
    <w:p w:rsidR="008676F9" w:rsidRPr="008676F9" w:rsidRDefault="008676F9" w:rsidP="008676F9">
      <w:pPr>
        <w:spacing w:after="120"/>
        <w:rPr>
          <w:rFonts w:ascii="Calibri" w:eastAsia="Calibri" w:hAnsi="Calibri"/>
          <w:szCs w:val="22"/>
          <w:lang w:eastAsia="en-US"/>
        </w:rPr>
      </w:pPr>
      <w:r w:rsidRPr="008676F9">
        <w:rPr>
          <w:rFonts w:ascii="Calibri" w:eastAsia="Calibri" w:hAnsi="Calibri"/>
          <w:szCs w:val="22"/>
          <w:lang w:eastAsia="en-US"/>
        </w:rPr>
        <w:t>V</w:t>
      </w:r>
      <w:r w:rsidRPr="008676F9">
        <w:rPr>
          <w:rFonts w:ascii="Calibri" w:eastAsia="Calibri" w:hAnsi="Calibri"/>
          <w:b/>
          <w:bCs/>
          <w:szCs w:val="22"/>
          <w:lang w:eastAsia="en-US"/>
        </w:rPr>
        <w:t xml:space="preserve"> </w:t>
      </w:r>
      <w:r w:rsidRPr="008676F9">
        <w:rPr>
          <w:rFonts w:ascii="Calibri" w:eastAsia="Calibri" w:hAnsi="Calibri"/>
          <w:szCs w:val="22"/>
          <w:lang w:eastAsia="en-US"/>
        </w:rPr>
        <w:t>súvislosti s reformou SPP sú očakávania od Farmárskeho poradenského systému (FAS) vysoké, mal poskytovať výstupy farmárom nielen týkajúce sa krížového plnenia, ale celého širokého spektra tém od konkurencieschopnosti, cez inovácie až po oblasti ŽP a klímy, vrátane implementácie greening. Posilnenie FAS by malo zaistiť, že farmári budú mať k dispozícii poradenstvo reflektujúce špecifickú situáciu na farme, pričom smerom k prierezovým témam ŽP a klímy je potrebné začať presadzovať aj pri príprave poradcov t.j. navrhovať riešenia</w:t>
      </w:r>
      <w:r w:rsidRPr="008676F9">
        <w:rPr>
          <w:rFonts w:ascii="Calibri" w:eastAsia="Calibri" w:hAnsi="Calibri"/>
          <w:b/>
          <w:bCs/>
          <w:szCs w:val="22"/>
          <w:lang w:eastAsia="en-US"/>
        </w:rPr>
        <w:t xml:space="preserve"> </w:t>
      </w:r>
      <w:r w:rsidRPr="008676F9">
        <w:rPr>
          <w:rFonts w:ascii="Calibri" w:eastAsia="Calibri" w:hAnsi="Calibri"/>
          <w:szCs w:val="22"/>
          <w:lang w:eastAsia="en-US"/>
        </w:rPr>
        <w:t>v úzkom prepojení na konkrétny potenciál farmy/podniku s cieľom chrániť biodiverzitu, kvalitu vody, pôdy, zabrániť zmene klímy a podporiť adaptáciu.</w:t>
      </w:r>
    </w:p>
    <w:p w:rsidR="008676F9" w:rsidRPr="008676F9" w:rsidRDefault="008676F9" w:rsidP="008676F9">
      <w:pPr>
        <w:spacing w:after="120"/>
        <w:rPr>
          <w:rFonts w:ascii="Calibri" w:eastAsia="Calibri" w:hAnsi="Calibri"/>
          <w:szCs w:val="22"/>
          <w:lang w:eastAsia="en-US"/>
        </w:rPr>
      </w:pPr>
      <w:r w:rsidRPr="008676F9">
        <w:rPr>
          <w:rFonts w:ascii="Calibri" w:eastAsia="Calibri" w:hAnsi="Calibri"/>
          <w:szCs w:val="22"/>
          <w:lang w:eastAsia="en-US"/>
        </w:rPr>
        <w:t>V oblasti potravinárstva umožňujú získavať nové poznatky z legislatívy, nových technológií, ich transfer do praxe a tiež rozvíjať spoluprácu medzi jednotlivými subjektmi, čo je dôležitou súčasťou fungovania potravinárskych podnikov z pohľadu spracovania a predaja ich produktov.</w:t>
      </w:r>
    </w:p>
    <w:p w:rsidR="008676F9" w:rsidRPr="008676F9" w:rsidRDefault="008676F9" w:rsidP="008676F9">
      <w:pPr>
        <w:spacing w:after="120"/>
        <w:rPr>
          <w:rFonts w:ascii="Calibri" w:eastAsia="Calibri" w:hAnsi="Calibri"/>
          <w:szCs w:val="22"/>
          <w:lang w:eastAsia="en-US"/>
        </w:rPr>
      </w:pPr>
      <w:r w:rsidRPr="008676F9">
        <w:rPr>
          <w:rFonts w:ascii="Calibri" w:eastAsia="Calibri" w:hAnsi="Calibri"/>
          <w:szCs w:val="22"/>
          <w:lang w:eastAsia="en-US"/>
        </w:rPr>
        <w:t>Špecializované  poradenstvo v oblasti lesníctva umožňuje získavať poznatky o zmenách právnych predpisov upravujúcich hospodárenie v lese, zavádzanie nových technológií, postupov a získavanie nových  vedomostí a zručností potrebných pre lesnícku prax.</w:t>
      </w:r>
    </w:p>
    <w:p w:rsidR="008676F9" w:rsidRPr="008676F9" w:rsidRDefault="008676F9" w:rsidP="008676F9">
      <w:pPr>
        <w:spacing w:after="120"/>
        <w:rPr>
          <w:rFonts w:ascii="Calibri" w:eastAsia="Calibri" w:hAnsi="Calibri"/>
          <w:szCs w:val="22"/>
          <w:lang w:eastAsia="en-US"/>
        </w:rPr>
      </w:pPr>
      <w:r w:rsidRPr="008676F9">
        <w:rPr>
          <w:rFonts w:ascii="Calibri" w:eastAsia="Calibri" w:hAnsi="Calibri"/>
          <w:szCs w:val="22"/>
          <w:lang w:eastAsia="en-US"/>
        </w:rPr>
        <w:t xml:space="preserve">Rozhodujúcou zložkou systému sú odborné ľudské kapacity - poradcovia, ktorí musia posúdiť  konkrétnu situáciu každého jednotlivca, mať </w:t>
      </w:r>
      <w:r w:rsidRPr="008676F9">
        <w:rPr>
          <w:rFonts w:ascii="Calibri" w:eastAsia="Calibri" w:hAnsi="Calibri"/>
          <w:iCs/>
          <w:szCs w:val="22"/>
          <w:lang w:eastAsia="en-US"/>
        </w:rPr>
        <w:t>prehľad</w:t>
      </w:r>
      <w:r w:rsidRPr="008676F9">
        <w:rPr>
          <w:rFonts w:ascii="Calibri" w:eastAsia="Calibri" w:hAnsi="Calibri"/>
          <w:szCs w:val="22"/>
          <w:lang w:eastAsia="en-US"/>
        </w:rPr>
        <w:t xml:space="preserve">, dobre poznať procesy a postupy obvyklé v pôdohospodárskej praxi, musia poznať </w:t>
      </w:r>
      <w:r w:rsidRPr="008676F9">
        <w:rPr>
          <w:rFonts w:ascii="Calibri" w:eastAsia="Calibri" w:hAnsi="Calibri"/>
          <w:iCs/>
          <w:szCs w:val="22"/>
          <w:lang w:eastAsia="en-US"/>
        </w:rPr>
        <w:t>detaily a súvislosti</w:t>
      </w:r>
      <w:r w:rsidRPr="008676F9">
        <w:rPr>
          <w:rFonts w:ascii="Calibri" w:eastAsia="Calibri" w:hAnsi="Calibri"/>
          <w:i/>
          <w:iCs/>
          <w:szCs w:val="22"/>
          <w:lang w:eastAsia="en-US"/>
        </w:rPr>
        <w:t xml:space="preserve"> </w:t>
      </w:r>
      <w:r w:rsidRPr="008676F9">
        <w:rPr>
          <w:rFonts w:ascii="Calibri" w:eastAsia="Calibri" w:hAnsi="Calibri"/>
          <w:szCs w:val="22"/>
          <w:lang w:eastAsia="en-US"/>
        </w:rPr>
        <w:t xml:space="preserve">a mať schopnosť, poznatky a dôveryhodnosť, aby jednotlivec, ktorému je poskytnutá poradenská služba šitá na mieru zmenil svoje konanie, musia ovládať spôsob a </w:t>
      </w:r>
      <w:r w:rsidRPr="008676F9">
        <w:rPr>
          <w:rFonts w:ascii="Calibri" w:eastAsia="Calibri" w:hAnsi="Calibri"/>
          <w:iCs/>
          <w:szCs w:val="22"/>
          <w:lang w:eastAsia="en-US"/>
        </w:rPr>
        <w:t>metodiku</w:t>
      </w:r>
      <w:r w:rsidRPr="008676F9">
        <w:rPr>
          <w:rFonts w:ascii="Calibri" w:eastAsia="Calibri" w:hAnsi="Calibri"/>
          <w:i/>
          <w:iCs/>
          <w:szCs w:val="22"/>
          <w:lang w:eastAsia="en-US"/>
        </w:rPr>
        <w:t xml:space="preserve"> </w:t>
      </w:r>
      <w:r w:rsidRPr="008676F9">
        <w:rPr>
          <w:rFonts w:ascii="Calibri" w:eastAsia="Calibri" w:hAnsi="Calibri"/>
          <w:szCs w:val="22"/>
          <w:lang w:eastAsia="en-US"/>
        </w:rPr>
        <w:t>poradenstva a rovnako musia byť ekonomicky nezávislí od záujmov komerčných firiem. Preto je nevyhnutné systematicky podporovať školenie a certifikáciu poradcov, ako aj podporu inštitucionálnych kapacít pre vybudovanie terénneho, decentralizovaného a plodinovo špecifického systému poradenstva. Prípravu kvalitného a prepracovaného obsahu poradenstva podľa oblastí  špecifikuje čl. 15 príslušného nariadenia, vrátane špecifického poradenstva pre začínajúcich poľnohospodárov.</w:t>
      </w:r>
    </w:p>
    <w:p w:rsidR="008676F9" w:rsidRPr="008676F9" w:rsidRDefault="008676F9" w:rsidP="008676F9">
      <w:pPr>
        <w:rPr>
          <w:rFonts w:ascii="Calibri" w:eastAsia="Calibri" w:hAnsi="Calibri" w:cs="Calibri"/>
          <w:bCs/>
          <w:szCs w:val="22"/>
          <w:lang w:eastAsia="en-US"/>
        </w:rPr>
      </w:pPr>
      <w:r w:rsidRPr="008676F9">
        <w:rPr>
          <w:rFonts w:ascii="Calibri" w:eastAsia="Calibri" w:hAnsi="Calibri" w:cs="Calibri"/>
          <w:bCs/>
          <w:szCs w:val="22"/>
          <w:lang w:eastAsia="en-US"/>
        </w:rPr>
        <w:t>Podopatrenia 2.1 a 2.2 prioritne reagujú na nasledovné potreby:</w:t>
      </w:r>
    </w:p>
    <w:p w:rsidR="008676F9" w:rsidRPr="008676F9" w:rsidRDefault="008676F9" w:rsidP="00955DA4">
      <w:pPr>
        <w:numPr>
          <w:ilvl w:val="0"/>
          <w:numId w:val="214"/>
        </w:numPr>
        <w:spacing w:after="200"/>
        <w:rPr>
          <w:rFonts w:ascii="Calibri" w:eastAsia="Calibri" w:hAnsi="Calibri" w:cs="Calibri"/>
          <w:bCs/>
          <w:szCs w:val="22"/>
          <w:lang w:eastAsia="en-US"/>
        </w:rPr>
      </w:pPr>
      <w:r w:rsidRPr="008676F9">
        <w:rPr>
          <w:rFonts w:ascii="Calibri" w:eastAsia="Calibri" w:hAnsi="Calibri" w:cs="Calibri"/>
          <w:bCs/>
          <w:szCs w:val="22"/>
          <w:lang w:eastAsia="en-US"/>
        </w:rPr>
        <w:t>pomoc poľnohospodárom a obhospodarovateľom lesa využívať poradenské služby na zlepšenie ekonomickej a environmentálnej výkonnosti, ako aj adaptáciu ich podniku na  klimatické zmeny a podporu pružnosti ich hospodárstva, podnikania a/alebo  investícií;</w:t>
      </w:r>
    </w:p>
    <w:p w:rsidR="008676F9" w:rsidRPr="008676F9" w:rsidRDefault="008676F9" w:rsidP="00955DA4">
      <w:pPr>
        <w:numPr>
          <w:ilvl w:val="0"/>
          <w:numId w:val="214"/>
        </w:numPr>
        <w:spacing w:after="200"/>
        <w:rPr>
          <w:rFonts w:ascii="Calibri" w:eastAsia="Calibri" w:hAnsi="Calibri" w:cs="Calibri"/>
          <w:bCs/>
          <w:szCs w:val="22"/>
          <w:lang w:eastAsia="en-US"/>
        </w:rPr>
      </w:pPr>
      <w:r w:rsidRPr="008676F9">
        <w:rPr>
          <w:rFonts w:ascii="Calibri" w:eastAsia="Calibri" w:hAnsi="Calibri" w:cs="Calibri"/>
          <w:bCs/>
          <w:szCs w:val="22"/>
          <w:lang w:eastAsia="en-US"/>
        </w:rPr>
        <w:t>podporu vzdelávania poradcov.</w:t>
      </w:r>
    </w:p>
    <w:p w:rsidR="008676F9" w:rsidRPr="008676F9" w:rsidRDefault="008676F9" w:rsidP="007B5045">
      <w:pPr>
        <w:rPr>
          <w:rFonts w:ascii="Calibri" w:eastAsia="Calibri" w:hAnsi="Calibri" w:cs="Calibri"/>
          <w:b/>
          <w:bCs/>
          <w:szCs w:val="22"/>
          <w:lang w:eastAsia="en-US"/>
        </w:rPr>
      </w:pPr>
    </w:p>
    <w:p w:rsidR="008676F9" w:rsidRPr="008676F9" w:rsidRDefault="008676F9" w:rsidP="007B5045">
      <w:pPr>
        <w:rPr>
          <w:rFonts w:ascii="Calibri" w:eastAsia="Calibri" w:hAnsi="Calibri" w:cs="Calibri"/>
          <w:szCs w:val="22"/>
          <w:u w:val="single"/>
          <w:lang w:eastAsia="en-US"/>
        </w:rPr>
      </w:pPr>
      <w:r w:rsidRPr="008676F9">
        <w:rPr>
          <w:rFonts w:ascii="Calibri" w:eastAsia="Calibri" w:hAnsi="Calibri" w:cs="Calibri"/>
          <w:szCs w:val="22"/>
          <w:u w:val="single"/>
          <w:lang w:eastAsia="en-US"/>
        </w:rPr>
        <w:t>Príspevok k  fokusovým oblastiam</w:t>
      </w:r>
    </w:p>
    <w:p w:rsidR="008676F9" w:rsidRPr="008676F9" w:rsidRDefault="008676F9" w:rsidP="007B5045">
      <w:pPr>
        <w:spacing w:after="120"/>
        <w:ind w:left="567" w:hanging="567"/>
        <w:rPr>
          <w:rFonts w:ascii="Calibri" w:eastAsia="Calibri" w:hAnsi="Calibri"/>
          <w:i/>
          <w:szCs w:val="22"/>
          <w:lang w:eastAsia="en-US"/>
        </w:rPr>
      </w:pPr>
      <w:r w:rsidRPr="008676F9">
        <w:rPr>
          <w:rFonts w:ascii="Calibri" w:eastAsia="Calibri" w:hAnsi="Calibri"/>
          <w:i/>
          <w:szCs w:val="22"/>
          <w:lang w:eastAsia="en-US"/>
        </w:rPr>
        <w:t>2A  Zlepšenie hospodárskeho výkonu všetkých poľnohospodárskych podnikov a uľahčenie reštrukturalizácie a modernizácie poľnohospodárskych podnikov, najmä na účely zvýšenia ich účasti na trhu, zamerania na trh a poľnohospodárskej diverzifikácie</w:t>
      </w:r>
    </w:p>
    <w:p w:rsidR="008676F9" w:rsidRPr="008676F9" w:rsidRDefault="008676F9" w:rsidP="00955DA4">
      <w:pPr>
        <w:numPr>
          <w:ilvl w:val="0"/>
          <w:numId w:val="141"/>
        </w:numPr>
        <w:spacing w:after="120"/>
        <w:rPr>
          <w:rFonts w:ascii="Calibri" w:eastAsia="Calibri" w:hAnsi="Calibri"/>
          <w:szCs w:val="22"/>
          <w:lang w:eastAsia="en-US"/>
        </w:rPr>
      </w:pPr>
      <w:r w:rsidRPr="008676F9">
        <w:rPr>
          <w:rFonts w:ascii="Calibri" w:eastAsia="Calibri" w:hAnsi="Calibri"/>
          <w:szCs w:val="22"/>
          <w:lang w:eastAsia="en-US"/>
        </w:rPr>
        <w:t xml:space="preserve">Zlepšovanie konkurencieschopnosti poľnohospodárskych podnikov vyplýva zo súčasného stavu sektora. Pre slovenské poľnohospodárstvo je charakteristická nízka pridaná hodnota a nízke príjmy na hektár poľnohospodárskej pôdy v porovnaní s ostatnými štátmi EÚ. </w:t>
      </w:r>
      <w:r w:rsidRPr="008676F9">
        <w:rPr>
          <w:rFonts w:ascii="Calibri" w:eastAsia="Calibri" w:hAnsi="Calibri"/>
          <w:i/>
          <w:szCs w:val="22"/>
          <w:lang w:eastAsia="en-US"/>
        </w:rPr>
        <w:t xml:space="preserve"> </w:t>
      </w:r>
      <w:r w:rsidRPr="008676F9">
        <w:rPr>
          <w:rFonts w:ascii="Calibri" w:eastAsia="Calibri" w:hAnsi="Calibri"/>
          <w:szCs w:val="22"/>
          <w:lang w:eastAsia="en-US"/>
        </w:rPr>
        <w:t xml:space="preserve">Prostredníctvom komplexných poradenských služieb by sa mali zlepšiť hospodárske výkony vo všetkých výrobných odvetviach a znížiť negatívne dopady na jednotlivé zložky životného prostredia, agro-ekosystém, resp. lesný ekosystém. Poradenská služba šitá na mieru a orientovaná na konkrétny problém u jednotlivých poľnohospodárov predpokladá individuálny prístup a riešenie konkrétnej situácie, bude viesť k zvýšeniu konkurencieschopnosti podniku a tým bude mať pozitívny vplyv na celkový hospodársky výkon všetkých poľnohospodárskych podnikov.  </w:t>
      </w:r>
    </w:p>
    <w:p w:rsidR="008676F9" w:rsidRPr="008676F9" w:rsidRDefault="008676F9" w:rsidP="007B5045">
      <w:pPr>
        <w:spacing w:after="120"/>
        <w:ind w:left="567" w:hanging="567"/>
        <w:rPr>
          <w:rFonts w:ascii="Calibri" w:eastAsia="Calibri" w:hAnsi="Calibri"/>
          <w:i/>
          <w:szCs w:val="22"/>
          <w:lang w:eastAsia="en-US"/>
        </w:rPr>
      </w:pPr>
      <w:r w:rsidRPr="008676F9">
        <w:rPr>
          <w:rFonts w:ascii="Calibri" w:eastAsia="Calibri" w:hAnsi="Calibri"/>
          <w:i/>
          <w:szCs w:val="22"/>
          <w:lang w:eastAsia="en-US"/>
        </w:rPr>
        <w:t xml:space="preserve">2B </w:t>
      </w:r>
      <w:r w:rsidRPr="008676F9">
        <w:rPr>
          <w:rFonts w:ascii="Calibri" w:eastAsia="Calibri" w:hAnsi="Calibri"/>
          <w:i/>
          <w:szCs w:val="22"/>
          <w:lang w:eastAsia="en-US"/>
        </w:rPr>
        <w:tab/>
        <w:t>Uľahčenie vstupu poľnohospodárov s primeranými zručnosťami do odvetvia poľnohospodárstva, a najmä generačnej výmeny;</w:t>
      </w:r>
    </w:p>
    <w:p w:rsidR="008676F9" w:rsidRPr="008676F9" w:rsidRDefault="008676F9" w:rsidP="00955DA4">
      <w:pPr>
        <w:numPr>
          <w:ilvl w:val="0"/>
          <w:numId w:val="141"/>
        </w:numPr>
        <w:spacing w:after="120"/>
        <w:rPr>
          <w:rFonts w:ascii="Calibri" w:eastAsia="Calibri" w:hAnsi="Calibri"/>
          <w:szCs w:val="22"/>
          <w:lang w:eastAsia="en-US"/>
        </w:rPr>
      </w:pPr>
      <w:r w:rsidRPr="008676F9">
        <w:rPr>
          <w:rFonts w:ascii="Calibri" w:eastAsia="WenQuanYi Micro Hei" w:hAnsi="Calibri" w:cs="Lohit Hindi"/>
          <w:kern w:val="3"/>
          <w:szCs w:val="22"/>
          <w:lang w:eastAsia="zh-CN" w:bidi="hi-IN"/>
        </w:rPr>
        <w:t xml:space="preserve">Priemerný vek pracovníkov v poľnohospodárstve v SR sa dlhodobo zvyšuje. V ostatných rokoch absentoval prísun mladej generácie a dochádzalo k zvyšovaniu podielu vyšších vekových kategórií zamestnancov. Prevažujú poľnohospodárske podniky so starším manažmentom od 45-64 rokov, v roku 2010 bolo len 7,1% manažérov pod 35 rokov z celkového počtu riadiacich pracovníkov na farmách.  Prenos znalostí a informačné akcie  posilnia generačnú výmenu v poľnohospodárstve a to najmä podporou začatia činnosti mladých poľnohospodárov. K dispozícii budú poradenské produkty pre  cieľovú skupinu – mladých farmárov a pre rôzne fázy riadenia podniku – od analýzy východiskovej situácie, cez plánovanie, rozhodovanie, </w:t>
      </w:r>
      <w:r w:rsidRPr="008676F9">
        <w:rPr>
          <w:rFonts w:ascii="Calibri" w:hAnsi="Calibri"/>
          <w:szCs w:val="22"/>
          <w:lang w:eastAsia="en-US"/>
        </w:rPr>
        <w:t>predloženie strategického konceptu o smerovaní podniku až po realizáciu a implementáciu identifikovaných krokov spejúcich k rozvoju podniku v prvých rokoch</w:t>
      </w:r>
      <w:r w:rsidRPr="008676F9">
        <w:rPr>
          <w:rFonts w:ascii="Calibri" w:eastAsia="WenQuanYi Micro Hei" w:hAnsi="Calibri" w:cs="Lohit Hindi"/>
          <w:kern w:val="3"/>
          <w:szCs w:val="22"/>
          <w:lang w:eastAsia="zh-CN" w:bidi="hi-IN"/>
        </w:rPr>
        <w:t>.</w:t>
      </w:r>
    </w:p>
    <w:p w:rsidR="008676F9" w:rsidRPr="008676F9" w:rsidRDefault="008676F9" w:rsidP="007B5045">
      <w:pPr>
        <w:spacing w:after="120"/>
        <w:ind w:left="567" w:hanging="567"/>
        <w:rPr>
          <w:rFonts w:ascii="Calibri" w:eastAsia="Calibri" w:hAnsi="Calibri"/>
          <w:i/>
          <w:szCs w:val="22"/>
          <w:lang w:eastAsia="en-US"/>
        </w:rPr>
      </w:pPr>
      <w:r w:rsidRPr="008676F9">
        <w:rPr>
          <w:rFonts w:ascii="Calibri" w:eastAsia="Calibri" w:hAnsi="Calibri"/>
          <w:i/>
          <w:szCs w:val="22"/>
          <w:lang w:eastAsia="en-US"/>
        </w:rPr>
        <w:t xml:space="preserve">3A </w:t>
      </w:r>
      <w:r w:rsidRPr="008676F9">
        <w:rPr>
          <w:rFonts w:ascii="Calibri" w:eastAsia="Calibri" w:hAnsi="Calibri"/>
          <w:i/>
          <w:szCs w:val="22"/>
          <w:lang w:eastAsia="en-US"/>
        </w:rPr>
        <w:tab/>
        <w:t>Zvýšenie konkurencieschopnosti prvovýrobcov prostredníctvom ich lepšej integrácie do poľnohospodársko-potravinového reťazca pomocou systémov kvality, pridávania hodnoty poľnohospodárskym produktom, propagácie na miestnych trhoch a v krátkych dodávateľských reťazcoch, skupín a organizácií výrobcov a medziodvetvových organizácií;</w:t>
      </w:r>
    </w:p>
    <w:p w:rsidR="008676F9" w:rsidRPr="008676F9" w:rsidRDefault="008676F9" w:rsidP="00955DA4">
      <w:pPr>
        <w:numPr>
          <w:ilvl w:val="0"/>
          <w:numId w:val="141"/>
        </w:numPr>
        <w:spacing w:after="120"/>
        <w:rPr>
          <w:rFonts w:ascii="Calibri" w:eastAsia="WenQuanYi Micro Hei" w:hAnsi="Calibri" w:cs="Lohit Hindi"/>
          <w:kern w:val="3"/>
          <w:szCs w:val="22"/>
          <w:lang w:eastAsia="zh-CN" w:bidi="hi-IN"/>
        </w:rPr>
      </w:pPr>
      <w:r w:rsidRPr="008676F9">
        <w:rPr>
          <w:rFonts w:ascii="Calibri" w:eastAsia="WenQuanYi Micro Hei" w:hAnsi="Calibri" w:cs="Lohit Hindi"/>
          <w:kern w:val="3"/>
          <w:szCs w:val="22"/>
          <w:lang w:eastAsia="zh-CN" w:bidi="hi-IN"/>
        </w:rPr>
        <w:t>Integrácia ponuky prvovýrobcov je najdôležitejším prvkom úsilia o zlepšenie konkurencieschopnosti slovenského poľnohospodárstva. Pre domácich výrobcov potravín je kľúčové udržať si pozíciu na domácom trhu, pričom z hľadiska udržania obratu sa zvyšuje význam miestnych a regionálnych trhov. Povedomie o dôležitosti spolupráce je u veľkého počtu účastníkov trhu nízke, rozvoj a inovácie potravinárstva v SR sú malo výrazné. Integrácia ponuky prvovýrobcov je najdôležitejším prvkom úsilia o zlepšenie konkurencieschopnosti slovenského poľnohospodárstva, pre domácich výrobcov potravín je kľúčové udržať si pozíciu na domácom trhu, pričom z hľadiska udržania obratu sa zvyšuje význam miestnych a regionálnych trhov. Preto sa poradenské služby zamerajú na projekty na zabezpečenie kvality, marketing, na nové postupy v spracovaní poľnohospodárskych produktov.</w:t>
      </w:r>
    </w:p>
    <w:p w:rsidR="008676F9" w:rsidRPr="008676F9" w:rsidRDefault="008676F9" w:rsidP="007B5045">
      <w:pPr>
        <w:spacing w:after="120"/>
        <w:ind w:left="567" w:hanging="567"/>
        <w:rPr>
          <w:rFonts w:ascii="Calibri" w:eastAsia="Calibri" w:hAnsi="Calibri"/>
          <w:i/>
          <w:szCs w:val="22"/>
          <w:lang w:eastAsia="en-US"/>
        </w:rPr>
      </w:pPr>
      <w:r w:rsidRPr="008676F9">
        <w:rPr>
          <w:rFonts w:ascii="Calibri" w:eastAsia="Calibri" w:hAnsi="Calibri"/>
          <w:i/>
          <w:szCs w:val="22"/>
          <w:lang w:eastAsia="en-US"/>
        </w:rPr>
        <w:t xml:space="preserve">3B </w:t>
      </w:r>
      <w:r w:rsidRPr="008676F9">
        <w:rPr>
          <w:rFonts w:ascii="Calibri" w:eastAsia="Calibri" w:hAnsi="Calibri"/>
          <w:i/>
          <w:szCs w:val="22"/>
          <w:lang w:eastAsia="en-US"/>
        </w:rPr>
        <w:tab/>
        <w:t>Podpora riadenia rizík poľnohospodárskych podnikov a ich predchádzania;</w:t>
      </w:r>
    </w:p>
    <w:p w:rsidR="008676F9" w:rsidRPr="008676F9" w:rsidRDefault="008676F9" w:rsidP="00955DA4">
      <w:pPr>
        <w:numPr>
          <w:ilvl w:val="0"/>
          <w:numId w:val="141"/>
        </w:numPr>
        <w:spacing w:after="120"/>
        <w:rPr>
          <w:rFonts w:ascii="Calibri" w:eastAsia="Calibri" w:hAnsi="Calibri"/>
          <w:szCs w:val="22"/>
          <w:lang w:eastAsia="en-US"/>
        </w:rPr>
      </w:pPr>
      <w:r w:rsidRPr="008676F9">
        <w:rPr>
          <w:rFonts w:ascii="Calibri" w:hAnsi="Calibri"/>
          <w:szCs w:val="22"/>
          <w:lang w:eastAsia="en-US"/>
        </w:rPr>
        <w:t xml:space="preserve">V posledných rokoch zvýšenie rizika extrémnych prejavov počasia, osobitne záplav, vplyvom pokračujúcich zmien klímy a z toho plynúci nedostatok domácich poľnohospodárskych komodít pre spracovanie v potravinárstve spôsobujú nemalé škody v poľnohospodárstve. Na zmiernenie negatívnych dôsledkov a naplnením cieľa 3B sa budú uplatňovať poradenské služby a riadenie rizika – na prevenciu  proti škodám a zvyšovanie povedomia poľnohospodárov o rizikách a zaobchádzaní s nimi, na zmiernenie negatívnych dôsledkov potenciálnych povodní a zaplavenia pôdy. </w:t>
      </w:r>
    </w:p>
    <w:p w:rsidR="008676F9" w:rsidRPr="008676F9" w:rsidRDefault="008676F9" w:rsidP="007B5045">
      <w:pPr>
        <w:spacing w:after="120"/>
        <w:ind w:left="567" w:hanging="567"/>
        <w:rPr>
          <w:rFonts w:ascii="Calibri" w:eastAsia="Calibri" w:hAnsi="Calibri"/>
          <w:i/>
          <w:szCs w:val="22"/>
          <w:lang w:eastAsia="en-US"/>
        </w:rPr>
      </w:pPr>
      <w:r w:rsidRPr="008676F9">
        <w:rPr>
          <w:rFonts w:ascii="Calibri" w:eastAsia="Calibri" w:hAnsi="Calibri"/>
          <w:i/>
          <w:szCs w:val="22"/>
          <w:lang w:eastAsia="en-US"/>
        </w:rPr>
        <w:t xml:space="preserve">4A </w:t>
      </w:r>
      <w:r w:rsidRPr="008676F9">
        <w:rPr>
          <w:rFonts w:ascii="Calibri" w:eastAsia="Calibri" w:hAnsi="Calibri"/>
          <w:i/>
          <w:szCs w:val="22"/>
          <w:lang w:eastAsia="en-US"/>
        </w:rPr>
        <w:tab/>
        <w:t>Obnova, zachovanie a zvýšenie biologickej diverzity vrátane na územiach sústavy Natura 2000 a v oblastiach s prírodnými alebo inými osobitnými obmedzeniami a v poľnohospodárskej činnosti s vysokou prírodnou hodnotou a obnova, zachovanie ako aj zlepšenie stavu krajinných oblastí Európy;</w:t>
      </w:r>
    </w:p>
    <w:p w:rsidR="008676F9" w:rsidRPr="008676F9" w:rsidRDefault="008676F9" w:rsidP="00955DA4">
      <w:pPr>
        <w:numPr>
          <w:ilvl w:val="0"/>
          <w:numId w:val="141"/>
        </w:numPr>
        <w:spacing w:after="120"/>
        <w:rPr>
          <w:rFonts w:ascii="Calibri" w:eastAsia="Calibri" w:hAnsi="Calibri"/>
          <w:szCs w:val="22"/>
          <w:lang w:eastAsia="en-US"/>
        </w:rPr>
      </w:pPr>
      <w:r w:rsidRPr="008676F9">
        <w:rPr>
          <w:rFonts w:ascii="Calibri" w:hAnsi="Calibri"/>
          <w:szCs w:val="22"/>
          <w:lang w:eastAsia="en-US"/>
        </w:rPr>
        <w:t xml:space="preserve">Cieľom fokusovej oblasti je opätovná obnova, zachovanie a podpora biodiverzity v SR. Prostredníctvom poradenských služieb sa má prispieť k </w:t>
      </w:r>
      <w:r w:rsidRPr="008676F9">
        <w:rPr>
          <w:rFonts w:ascii="Calibri" w:hAnsi="Calibri" w:cs="Arial"/>
          <w:color w:val="222222"/>
          <w:szCs w:val="22"/>
          <w:lang w:eastAsia="en-US"/>
        </w:rPr>
        <w:t>obnove a posilneniu biologickej diverzity v poľnohospodárstve a lesníctve. Poradenská služba m</w:t>
      </w:r>
      <w:r w:rsidRPr="008676F9">
        <w:rPr>
          <w:rFonts w:ascii="Calibri" w:eastAsia="WenQuanYi Micro Hei" w:hAnsi="Calibri" w:cs="Lohit Hindi"/>
          <w:kern w:val="3"/>
          <w:szCs w:val="22"/>
          <w:lang w:eastAsia="zh-CN" w:bidi="hi-IN"/>
        </w:rPr>
        <w:t xml:space="preserve">á prispieť k </w:t>
      </w:r>
      <w:r w:rsidRPr="008676F9">
        <w:rPr>
          <w:rFonts w:ascii="Calibri" w:hAnsi="Calibri" w:cs="Arial"/>
          <w:color w:val="222222"/>
          <w:szCs w:val="22"/>
          <w:lang w:eastAsia="en-US"/>
        </w:rPr>
        <w:t xml:space="preserve">pochopeniu príslušných environmentálnych opatrení a legislatívy.  Poľnohospodárstvo a lesníctvo je vystavené množstvu legislatívnych predpisov a správnou synergiou medzi ochranou životného prostredia, legislatívou a obhospodarovaním môže teda dôjsť k pridanej hodnote a zároveň k ochrane biologickej biodiverzity. </w:t>
      </w:r>
    </w:p>
    <w:p w:rsidR="008676F9" w:rsidRPr="008676F9" w:rsidRDefault="008676F9" w:rsidP="007B5045">
      <w:pPr>
        <w:spacing w:after="120"/>
        <w:ind w:left="567" w:hanging="567"/>
        <w:rPr>
          <w:rFonts w:ascii="Calibri" w:eastAsia="Calibri" w:hAnsi="Calibri"/>
          <w:i/>
          <w:szCs w:val="22"/>
          <w:lang w:eastAsia="en-US"/>
        </w:rPr>
      </w:pPr>
      <w:r w:rsidRPr="008676F9">
        <w:rPr>
          <w:rFonts w:ascii="Calibri" w:eastAsia="Calibri" w:hAnsi="Calibri"/>
          <w:i/>
          <w:szCs w:val="22"/>
          <w:lang w:eastAsia="en-US"/>
        </w:rPr>
        <w:t xml:space="preserve">4B  </w:t>
      </w:r>
      <w:r w:rsidRPr="008676F9">
        <w:rPr>
          <w:rFonts w:ascii="Calibri" w:eastAsia="Calibri" w:hAnsi="Calibri"/>
          <w:i/>
          <w:szCs w:val="22"/>
          <w:lang w:eastAsia="en-US"/>
        </w:rPr>
        <w:tab/>
        <w:t>Zlepšenie vodného hospodárstva vrátane riadenia používania hnojív a pesticídov;</w:t>
      </w:r>
    </w:p>
    <w:p w:rsidR="008676F9" w:rsidRPr="008676F9" w:rsidRDefault="008676F9" w:rsidP="00955DA4">
      <w:pPr>
        <w:numPr>
          <w:ilvl w:val="0"/>
          <w:numId w:val="141"/>
        </w:numPr>
        <w:spacing w:after="120"/>
        <w:rPr>
          <w:rFonts w:ascii="Calibri" w:eastAsia="Calibri" w:hAnsi="Calibri"/>
          <w:szCs w:val="22"/>
          <w:lang w:eastAsia="en-US"/>
        </w:rPr>
      </w:pPr>
      <w:r w:rsidRPr="008676F9">
        <w:rPr>
          <w:rFonts w:ascii="Calibri" w:eastAsia="Calibri" w:hAnsi="Calibri"/>
          <w:szCs w:val="22"/>
          <w:lang w:eastAsia="en-US"/>
        </w:rPr>
        <w:t>Ako je uvedené v analýze SWOT, zaťaženie povrchových a podzemných vôd živinami NP z poľnohospodárstva nie je kritické. V rámci SR predstavuje výmera zraniteľných území 29,8 % z celkovej výmery p.p., lokalizovaných prevažne na juhozápade a juhovýchode krajiny.  V posledných rokoch je v SR celkový trend obsahu dusičnanov v podzemných a povrchových vodách klesajúci. Prispeli k tomu aj opatrenia osi 2 PRV SR 2007-2013 a preto je potrebné v tomto trende pokračovať. Obsahom poradenských služieb budú koncepcie na zlepšenie vodného hospodárstva, ktoré bude predstavovať  i jeden z nástrojov na zachovanie kvality vôd, zvýšenia environmentálnej efektívnosti podpôr na ochranu pred znečistením vôd z poľnohospodárskej činnosti.</w:t>
      </w:r>
    </w:p>
    <w:p w:rsidR="008676F9" w:rsidRPr="008676F9" w:rsidRDefault="008676F9" w:rsidP="007B5045">
      <w:pPr>
        <w:spacing w:after="120"/>
        <w:ind w:left="567" w:hanging="567"/>
        <w:rPr>
          <w:rFonts w:ascii="Calibri" w:eastAsia="Calibri" w:hAnsi="Calibri"/>
          <w:i/>
          <w:szCs w:val="22"/>
          <w:lang w:eastAsia="en-US"/>
        </w:rPr>
      </w:pPr>
      <w:r w:rsidRPr="008676F9">
        <w:rPr>
          <w:rFonts w:ascii="Calibri" w:eastAsia="Calibri" w:hAnsi="Calibri"/>
          <w:i/>
          <w:szCs w:val="22"/>
          <w:lang w:eastAsia="en-US"/>
        </w:rPr>
        <w:t xml:space="preserve">4C </w:t>
      </w:r>
      <w:r w:rsidRPr="008676F9">
        <w:rPr>
          <w:rFonts w:ascii="Calibri" w:eastAsia="Calibri" w:hAnsi="Calibri"/>
          <w:i/>
          <w:szCs w:val="22"/>
          <w:lang w:eastAsia="en-US"/>
        </w:rPr>
        <w:tab/>
        <w:t>Predchádzanie erózii pôdy a zlepšenie jej obhospodarovania;</w:t>
      </w:r>
    </w:p>
    <w:p w:rsidR="008676F9" w:rsidRPr="008676F9" w:rsidRDefault="008676F9" w:rsidP="00955DA4">
      <w:pPr>
        <w:numPr>
          <w:ilvl w:val="0"/>
          <w:numId w:val="141"/>
        </w:numPr>
        <w:spacing w:after="120"/>
        <w:rPr>
          <w:rFonts w:eastAsia="Calibri"/>
          <w:i/>
          <w:szCs w:val="22"/>
          <w:lang w:eastAsia="en-US"/>
        </w:rPr>
      </w:pPr>
      <w:r w:rsidRPr="008676F9">
        <w:rPr>
          <w:rFonts w:ascii="Calibri" w:hAnsi="Calibri" w:cs="Arial"/>
          <w:color w:val="222222"/>
          <w:szCs w:val="22"/>
          <w:lang w:eastAsia="en-US"/>
        </w:rPr>
        <w:t xml:space="preserve">Dôležitými predpokladmi pre úrodnosť pôdy je dostatočný obsah organických látok, ako aj protierózna ochrana zabezpečujúca ochranu pôdy. S pribúdajúcim obsahom pôdneho humusu stúpajú zásoby uhlíka, zadržovanie vody a aktivity živočíchov  v pôde, zatiaľ čo klesá nebezpečenstvo erózie. Prostredníctvom aktívneho poradenstva  v oblasti obhospodarovania s pôdou zameraného na </w:t>
      </w:r>
      <w:r w:rsidRPr="008676F9">
        <w:rPr>
          <w:rFonts w:ascii="Calibri" w:hAnsi="Calibri"/>
          <w:szCs w:val="22"/>
          <w:lang w:eastAsia="en-US"/>
        </w:rPr>
        <w:t>účinnejšiu ochranu pôdy a zachovanie jej úrodnosti</w:t>
      </w:r>
      <w:r w:rsidRPr="008676F9">
        <w:rPr>
          <w:rFonts w:ascii="Calibri" w:hAnsi="Calibri" w:cs="Arial"/>
          <w:color w:val="222222"/>
          <w:szCs w:val="22"/>
          <w:lang w:eastAsia="en-US"/>
        </w:rPr>
        <w:t xml:space="preserve">   sa  zaručí trvalo udržateľné hospodárenie  s pôdou. V tejto súvislosti je dôležité ukázať a priblížiť farmárom postupy obhospodarovania </w:t>
      </w:r>
      <w:r w:rsidRPr="008676F9">
        <w:rPr>
          <w:rFonts w:ascii="Calibri" w:hAnsi="Calibri"/>
          <w:szCs w:val="22"/>
          <w:lang w:eastAsia="en-US"/>
        </w:rPr>
        <w:t>zabraňujúce erózii, opatrenia podporujúce obsah humusu a také ktoré sú šetrné voči poľnohospodárskej pôde, postupy na  vytváranie stimulov na zachovávanie TTP.</w:t>
      </w:r>
    </w:p>
    <w:p w:rsidR="008676F9" w:rsidRPr="008676F9" w:rsidRDefault="008676F9" w:rsidP="007B5045">
      <w:pPr>
        <w:spacing w:after="120"/>
        <w:ind w:left="567" w:hanging="567"/>
        <w:rPr>
          <w:rFonts w:ascii="Calibri" w:eastAsia="Calibri" w:hAnsi="Calibri"/>
          <w:i/>
          <w:szCs w:val="22"/>
          <w:lang w:eastAsia="en-US"/>
        </w:rPr>
      </w:pPr>
      <w:r w:rsidRPr="008676F9">
        <w:rPr>
          <w:rFonts w:ascii="Calibri" w:eastAsia="Calibri" w:hAnsi="Calibri"/>
          <w:i/>
          <w:szCs w:val="22"/>
          <w:lang w:eastAsia="en-US"/>
        </w:rPr>
        <w:t xml:space="preserve">5A </w:t>
      </w:r>
      <w:r w:rsidRPr="008676F9">
        <w:rPr>
          <w:rFonts w:ascii="Calibri" w:eastAsia="Calibri" w:hAnsi="Calibri"/>
          <w:i/>
          <w:szCs w:val="22"/>
          <w:lang w:eastAsia="en-US"/>
        </w:rPr>
        <w:tab/>
        <w:t>Zvýšenie efektívnosti využívania vody v poľnohospodárstve;</w:t>
      </w:r>
    </w:p>
    <w:p w:rsidR="008676F9" w:rsidRPr="008676F9" w:rsidRDefault="008676F9" w:rsidP="00955DA4">
      <w:pPr>
        <w:numPr>
          <w:ilvl w:val="0"/>
          <w:numId w:val="141"/>
        </w:numPr>
        <w:spacing w:after="120"/>
        <w:rPr>
          <w:rFonts w:eastAsia="Calibri"/>
          <w:i/>
          <w:szCs w:val="22"/>
          <w:lang w:eastAsia="en-US"/>
        </w:rPr>
      </w:pPr>
      <w:r w:rsidRPr="008676F9">
        <w:rPr>
          <w:rFonts w:ascii="Calibri" w:hAnsi="Calibri" w:cs="Arial"/>
          <w:color w:val="222222"/>
          <w:szCs w:val="22"/>
          <w:lang w:eastAsia="en-US"/>
        </w:rPr>
        <w:t xml:space="preserve">V súvislosti s blížiacimi sa zmenami klimatických podmienok pre poľnohospodársku produkciu sú otázky ohľadom efektívneho hospodárenia s vodou v SR veľmi aktuálne. Slovenské pôdohospodárstvo nie je adaptačne pripravené na tieto zmeny. Zvýšenie efektívnosti využívania vody v poľnohospodárstve a tým i zlepšenie stavu životného prostredia môže byť dosiahnuté prostredníctvom poradenských služieb. </w:t>
      </w:r>
      <w:r w:rsidRPr="008676F9">
        <w:rPr>
          <w:rFonts w:ascii="Calibri" w:hAnsi="Calibri"/>
          <w:szCs w:val="22"/>
          <w:lang w:eastAsia="en-US"/>
        </w:rPr>
        <w:t xml:space="preserve">Súčasne s podporou investícií do závlah budú poskytnuté poradenské služby, ktoré zabezpečia transfer najnovších poznatkov a skúseností v oblasti využívania moderných zavlažovacích technológií.  </w:t>
      </w:r>
    </w:p>
    <w:p w:rsidR="008676F9" w:rsidRPr="008676F9" w:rsidRDefault="008676F9" w:rsidP="007B5045">
      <w:pPr>
        <w:spacing w:after="120"/>
        <w:ind w:left="567" w:hanging="567"/>
        <w:outlineLvl w:val="0"/>
        <w:rPr>
          <w:rFonts w:ascii="Calibri" w:eastAsia="Calibri" w:hAnsi="Calibri"/>
          <w:i/>
          <w:szCs w:val="22"/>
          <w:lang w:eastAsia="en-US"/>
        </w:rPr>
      </w:pPr>
      <w:r w:rsidRPr="008676F9">
        <w:rPr>
          <w:rFonts w:ascii="Calibri" w:eastAsia="Calibri" w:hAnsi="Calibri"/>
          <w:i/>
          <w:szCs w:val="22"/>
          <w:lang w:eastAsia="en-US"/>
        </w:rPr>
        <w:t xml:space="preserve">5B  </w:t>
      </w:r>
      <w:r w:rsidRPr="008676F9">
        <w:rPr>
          <w:rFonts w:ascii="Calibri" w:eastAsia="Calibri" w:hAnsi="Calibri"/>
          <w:i/>
          <w:szCs w:val="22"/>
          <w:lang w:eastAsia="en-US"/>
        </w:rPr>
        <w:tab/>
        <w:t>Zvýšenie efektívnosti využívania energie v poľnohospodárstve a pri spracovaní potravín;</w:t>
      </w:r>
    </w:p>
    <w:p w:rsidR="008676F9" w:rsidRPr="008676F9" w:rsidRDefault="008676F9" w:rsidP="00955DA4">
      <w:pPr>
        <w:numPr>
          <w:ilvl w:val="0"/>
          <w:numId w:val="141"/>
        </w:numPr>
        <w:spacing w:after="120"/>
        <w:outlineLvl w:val="0"/>
        <w:rPr>
          <w:rFonts w:ascii="Calibri" w:eastAsia="Calibri" w:hAnsi="Calibri"/>
          <w:szCs w:val="22"/>
          <w:lang w:eastAsia="en-US"/>
        </w:rPr>
      </w:pPr>
      <w:r w:rsidRPr="008676F9">
        <w:rPr>
          <w:rFonts w:ascii="Calibri" w:hAnsi="Calibri"/>
          <w:szCs w:val="22"/>
          <w:lang w:eastAsia="en-US"/>
        </w:rPr>
        <w:t xml:space="preserve">Zníženie energetickej náročnosti je nevyhnutné s ohľadom na potrebu príspevku pôdohospodárstva k adaptácii na klimatické zmeny a práve poradenské služby ako sprievodný prvok investícií dopomôžu k naplneniu daného cieľa.  </w:t>
      </w:r>
    </w:p>
    <w:p w:rsidR="008676F9" w:rsidRPr="008676F9" w:rsidRDefault="008676F9" w:rsidP="007B5045">
      <w:pPr>
        <w:spacing w:after="120"/>
        <w:ind w:left="567" w:hanging="567"/>
        <w:rPr>
          <w:rFonts w:ascii="Calibri" w:eastAsia="Calibri" w:hAnsi="Calibri"/>
          <w:i/>
          <w:szCs w:val="22"/>
          <w:lang w:eastAsia="en-US"/>
        </w:rPr>
      </w:pPr>
      <w:r w:rsidRPr="008676F9">
        <w:rPr>
          <w:rFonts w:ascii="Calibri" w:eastAsia="Calibri" w:hAnsi="Calibri"/>
          <w:i/>
          <w:szCs w:val="22"/>
          <w:lang w:eastAsia="en-US"/>
        </w:rPr>
        <w:t xml:space="preserve">5D </w:t>
      </w:r>
      <w:r w:rsidRPr="008676F9">
        <w:rPr>
          <w:rFonts w:ascii="Calibri" w:eastAsia="Calibri" w:hAnsi="Calibri"/>
          <w:i/>
          <w:szCs w:val="22"/>
          <w:lang w:eastAsia="en-US"/>
        </w:rPr>
        <w:tab/>
        <w:t>Zníženie emisií skleníkových plynov a amoniaku z poľnohospodárstva;</w:t>
      </w:r>
    </w:p>
    <w:p w:rsidR="008676F9" w:rsidRPr="008676F9" w:rsidRDefault="008676F9" w:rsidP="00955DA4">
      <w:pPr>
        <w:numPr>
          <w:ilvl w:val="0"/>
          <w:numId w:val="141"/>
        </w:numPr>
        <w:spacing w:after="120"/>
        <w:rPr>
          <w:rFonts w:ascii="Calibri" w:eastAsia="WenQuanYi Micro Hei" w:hAnsi="Calibri" w:cs="Lohit Hindi"/>
          <w:kern w:val="3"/>
          <w:szCs w:val="22"/>
          <w:lang w:eastAsia="zh-CN" w:bidi="hi-IN"/>
        </w:rPr>
      </w:pPr>
      <w:r w:rsidRPr="008676F9">
        <w:rPr>
          <w:rFonts w:ascii="Calibri" w:eastAsia="WenQuanYi Micro Hei" w:hAnsi="Calibri" w:cs="Lohit Hindi"/>
          <w:kern w:val="3"/>
          <w:szCs w:val="22"/>
          <w:lang w:eastAsia="zh-CN" w:bidi="hi-IN"/>
        </w:rPr>
        <w:t>Podiel poľnohospodárstva (vrátane emisií z pôdy) na celkových čistých emisiách SR predstavuje 5,1 % (CCI 45). Slovensko splnilo už v roku 2003 svoj emisný cieľ pre rok 2010 stanovený v Kodanskom protokole. Napriek očakávanému miernemu rastu v období po roku 2011, sú emisie stále len na tretinovej úrovni roku 1990.  Obsahom poradenských služieb bude najmä poradenstvo o výrobných postupoch, o nedostatkoch v oblasti manipulácie a uskladňovania organických hnojív a exkrementov,  o znižovaní metánu a N2O, čo prinesie benefit v boji proti klimatickej zmene.</w:t>
      </w:r>
    </w:p>
    <w:p w:rsidR="008676F9" w:rsidRPr="008676F9" w:rsidRDefault="008676F9" w:rsidP="007B5045">
      <w:pPr>
        <w:spacing w:after="120"/>
        <w:ind w:left="567" w:hanging="567"/>
        <w:outlineLvl w:val="0"/>
        <w:rPr>
          <w:rFonts w:ascii="Calibri" w:hAnsi="Calibri"/>
          <w:i/>
          <w:szCs w:val="22"/>
          <w:lang w:eastAsia="en-US"/>
        </w:rPr>
      </w:pPr>
      <w:r w:rsidRPr="008676F9">
        <w:rPr>
          <w:rFonts w:ascii="Calibri" w:hAnsi="Calibri"/>
          <w:i/>
          <w:szCs w:val="22"/>
          <w:lang w:eastAsia="en-US"/>
        </w:rPr>
        <w:t xml:space="preserve">5E </w:t>
      </w:r>
      <w:r w:rsidRPr="008676F9">
        <w:rPr>
          <w:rFonts w:ascii="Calibri" w:hAnsi="Calibri"/>
          <w:i/>
          <w:szCs w:val="22"/>
          <w:lang w:eastAsia="en-US"/>
        </w:rPr>
        <w:tab/>
        <w:t>podpora zachovania a sekvestrácie oxidu uhličitého v poľnohospodárstve a lesnom hospodárstve.</w:t>
      </w:r>
    </w:p>
    <w:p w:rsidR="008676F9" w:rsidRPr="008676F9" w:rsidRDefault="008676F9" w:rsidP="00955DA4">
      <w:pPr>
        <w:numPr>
          <w:ilvl w:val="0"/>
          <w:numId w:val="141"/>
        </w:numPr>
        <w:spacing w:after="120"/>
        <w:outlineLvl w:val="0"/>
        <w:rPr>
          <w:rFonts w:ascii="Calibri" w:eastAsia="WenQuanYi Micro Hei" w:hAnsi="Calibri" w:cs="Lohit Hindi"/>
          <w:kern w:val="3"/>
          <w:szCs w:val="22"/>
          <w:lang w:eastAsia="zh-CN" w:bidi="hi-IN"/>
        </w:rPr>
      </w:pPr>
      <w:r w:rsidRPr="008676F9">
        <w:rPr>
          <w:rFonts w:ascii="Calibri" w:eastAsia="WenQuanYi Micro Hei" w:hAnsi="Calibri" w:cs="Lohit Hindi"/>
          <w:kern w:val="3"/>
          <w:szCs w:val="22"/>
          <w:lang w:eastAsia="zh-CN" w:bidi="hi-IN"/>
        </w:rPr>
        <w:t>V zmysle Stratégie Európa 2020 je sekvestrácia uhlíka prioritnou v rámci pôdohospodárskych opatrení na zmiernenie následkov zmeny klímy. V dlhodobom horizonte ukladanie uhlíka do pôdy priaznivo ovplyvní multifunkčný potenciál pôdy, pričom poradenské služby spolu s investíciami budú viesť k v rámci  priorite pôdohospodárskych opatrení na zmiernenie následkov zmeny klímy.</w:t>
      </w:r>
    </w:p>
    <w:p w:rsidR="008676F9" w:rsidRPr="008676F9" w:rsidRDefault="008676F9" w:rsidP="007B5045">
      <w:pPr>
        <w:rPr>
          <w:rFonts w:ascii="Calibri" w:eastAsia="Calibri" w:hAnsi="Calibri" w:cs="Calibri"/>
          <w:szCs w:val="22"/>
          <w:u w:val="single"/>
          <w:lang w:eastAsia="en-US"/>
        </w:rPr>
      </w:pPr>
      <w:r w:rsidRPr="008676F9">
        <w:rPr>
          <w:rFonts w:ascii="Calibri" w:eastAsia="Calibri" w:hAnsi="Calibri" w:cs="Calibri"/>
          <w:szCs w:val="22"/>
          <w:u w:val="single"/>
          <w:lang w:eastAsia="en-US"/>
        </w:rPr>
        <w:t>Príspevok k prierezovým cieľom</w:t>
      </w:r>
    </w:p>
    <w:p w:rsidR="008676F9" w:rsidRPr="008676F9" w:rsidRDefault="008676F9" w:rsidP="001F5283">
      <w:pPr>
        <w:numPr>
          <w:ilvl w:val="0"/>
          <w:numId w:val="52"/>
        </w:numPr>
        <w:ind w:left="567"/>
        <w:rPr>
          <w:rFonts w:ascii="Calibri" w:hAnsi="Calibri" w:cs="Calibri"/>
          <w:b/>
          <w:szCs w:val="22"/>
          <w:lang w:eastAsia="en-US"/>
        </w:rPr>
      </w:pPr>
      <w:r w:rsidRPr="008676F9">
        <w:rPr>
          <w:rFonts w:ascii="Calibri" w:eastAsia="Calibri" w:hAnsi="Calibri" w:cs="Calibri"/>
          <w:szCs w:val="22"/>
          <w:lang w:eastAsia="en-US"/>
        </w:rPr>
        <w:t>Inovácie</w:t>
      </w:r>
    </w:p>
    <w:p w:rsidR="008676F9" w:rsidRPr="008676F9" w:rsidRDefault="008676F9" w:rsidP="001F5283">
      <w:pPr>
        <w:numPr>
          <w:ilvl w:val="0"/>
          <w:numId w:val="52"/>
        </w:numPr>
        <w:ind w:left="567"/>
        <w:rPr>
          <w:rFonts w:ascii="Calibri" w:hAnsi="Calibri" w:cs="Calibri"/>
          <w:b/>
          <w:szCs w:val="22"/>
          <w:lang w:eastAsia="en-US"/>
        </w:rPr>
      </w:pPr>
      <w:r w:rsidRPr="008676F9">
        <w:rPr>
          <w:rFonts w:ascii="Calibri" w:eastAsia="Calibri" w:hAnsi="Calibri" w:cs="Calibri"/>
          <w:szCs w:val="22"/>
          <w:lang w:eastAsia="en-US"/>
        </w:rPr>
        <w:t xml:space="preserve">životné prostredie </w:t>
      </w:r>
    </w:p>
    <w:p w:rsidR="008676F9" w:rsidRPr="008676F9" w:rsidRDefault="008676F9" w:rsidP="001F5283">
      <w:pPr>
        <w:numPr>
          <w:ilvl w:val="0"/>
          <w:numId w:val="52"/>
        </w:numPr>
        <w:ind w:left="567"/>
        <w:rPr>
          <w:rFonts w:ascii="Calibri" w:hAnsi="Calibri" w:cs="Calibri"/>
          <w:b/>
          <w:szCs w:val="22"/>
          <w:lang w:eastAsia="en-US"/>
        </w:rPr>
      </w:pPr>
      <w:r w:rsidRPr="008676F9">
        <w:rPr>
          <w:rFonts w:ascii="Calibri" w:eastAsia="Calibri" w:hAnsi="Calibri" w:cs="Calibri"/>
          <w:szCs w:val="22"/>
          <w:lang w:eastAsia="en-US"/>
        </w:rPr>
        <w:t>zmierňovanie zmeny klímy a adaptácia na ňu.</w:t>
      </w:r>
    </w:p>
    <w:p w:rsidR="008676F9" w:rsidRPr="008676F9" w:rsidRDefault="008676F9" w:rsidP="007B5045">
      <w:pPr>
        <w:ind w:left="720"/>
        <w:rPr>
          <w:rFonts w:ascii="Calibri" w:hAnsi="Calibri" w:cs="Calibri"/>
          <w:b/>
          <w:szCs w:val="22"/>
          <w:lang w:eastAsia="en-US"/>
        </w:rPr>
      </w:pPr>
    </w:p>
    <w:p w:rsidR="008676F9" w:rsidRDefault="008676F9" w:rsidP="008676F9">
      <w:pPr>
        <w:rPr>
          <w:rFonts w:ascii="Calibri" w:eastAsia="Calibri" w:hAnsi="Calibri" w:cs="Calibri"/>
          <w:szCs w:val="22"/>
          <w:lang w:eastAsia="en-US"/>
        </w:rPr>
      </w:pPr>
      <w:r w:rsidRPr="008676F9">
        <w:rPr>
          <w:rFonts w:ascii="Calibri" w:eastAsia="Calibri" w:hAnsi="Calibri" w:cs="Calibri"/>
          <w:b/>
          <w:szCs w:val="22"/>
          <w:lang w:eastAsia="en-US"/>
        </w:rPr>
        <w:t xml:space="preserve">8.2.2.3. Rozsah, úroveň podpory a ďalšie informácie </w:t>
      </w:r>
      <w:r w:rsidRPr="008676F9">
        <w:rPr>
          <w:rFonts w:ascii="Calibri" w:eastAsia="Calibri" w:hAnsi="Calibri" w:cs="Calibri"/>
          <w:szCs w:val="22"/>
          <w:lang w:eastAsia="en-US"/>
        </w:rPr>
        <w:t>(v členení podľa podopatrenia a typu operácie)</w:t>
      </w:r>
    </w:p>
    <w:p w:rsidR="00BE36D5" w:rsidRPr="008676F9" w:rsidRDefault="00BE36D5" w:rsidP="008676F9">
      <w:pPr>
        <w:rPr>
          <w:rFonts w:ascii="Calibri" w:eastAsia="Calibri" w:hAnsi="Calibri" w:cs="Calibri"/>
          <w:szCs w:val="22"/>
          <w:lang w:eastAsia="en-US"/>
        </w:rPr>
      </w:pPr>
    </w:p>
    <w:p w:rsidR="008676F9" w:rsidRPr="008676F9" w:rsidRDefault="008676F9" w:rsidP="008676F9">
      <w:pPr>
        <w:shd w:val="clear" w:color="auto" w:fill="EAF1DD"/>
        <w:rPr>
          <w:rFonts w:ascii="Calibri" w:eastAsia="Calibri" w:hAnsi="Calibri" w:cs="Calibri"/>
          <w:bCs/>
          <w:i/>
          <w:lang w:eastAsia="en-US"/>
        </w:rPr>
      </w:pPr>
      <w:r w:rsidRPr="008676F9">
        <w:rPr>
          <w:rFonts w:ascii="Calibri" w:eastAsia="Calibri" w:hAnsi="Calibri" w:cs="Calibri"/>
          <w:bCs/>
          <w:lang w:eastAsia="en-US"/>
        </w:rPr>
        <w:t xml:space="preserve">Podopatrenie: </w:t>
      </w:r>
      <w:r w:rsidRPr="008676F9">
        <w:rPr>
          <w:rFonts w:ascii="Calibri" w:eastAsia="Calibri" w:hAnsi="Calibri" w:cs="Calibri"/>
          <w:b/>
          <w:bCs/>
          <w:i/>
          <w:lang w:eastAsia="en-US"/>
        </w:rPr>
        <w:t xml:space="preserve">2.1 </w:t>
      </w:r>
      <w:r w:rsidRPr="00CC6591">
        <w:rPr>
          <w:rFonts w:ascii="Calibri" w:eastAsia="Calibri" w:hAnsi="Calibri" w:cs="Calibri"/>
          <w:b/>
          <w:bCs/>
          <w:i/>
          <w:sz w:val="24"/>
          <w:lang w:eastAsia="en-US"/>
        </w:rPr>
        <w:t>Podpora využívania poradenských služieb</w:t>
      </w:r>
    </w:p>
    <w:p w:rsidR="008676F9" w:rsidRPr="008676F9" w:rsidRDefault="008676F9" w:rsidP="008676F9">
      <w:pPr>
        <w:shd w:val="clear" w:color="auto" w:fill="FBD4B4"/>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Názov operácie:</w:t>
      </w:r>
    </w:p>
    <w:p w:rsidR="008676F9" w:rsidRPr="008676F9" w:rsidRDefault="008676F9" w:rsidP="008676F9">
      <w:pPr>
        <w:shd w:val="clear" w:color="auto" w:fill="FBD4B4"/>
        <w:rPr>
          <w:rFonts w:ascii="Calibri" w:eastAsia="Calibri" w:hAnsi="Calibri" w:cs="Calibri"/>
          <w:bCs/>
          <w:i/>
          <w:szCs w:val="22"/>
          <w:lang w:eastAsia="en-US"/>
        </w:rPr>
      </w:pPr>
      <w:r w:rsidRPr="008676F9">
        <w:rPr>
          <w:rFonts w:ascii="Calibri" w:eastAsia="Calibri" w:hAnsi="Calibri" w:cs="Calibri"/>
          <w:bCs/>
          <w:i/>
          <w:szCs w:val="22"/>
          <w:lang w:eastAsia="en-US"/>
        </w:rPr>
        <w:t>Poradenské služby zamerané na pomoc poľnohospodárom a obhospodarovateľom lesa</w:t>
      </w:r>
    </w:p>
    <w:p w:rsidR="008676F9" w:rsidRPr="008676F9" w:rsidRDefault="008676F9" w:rsidP="008676F9">
      <w:pPr>
        <w:rPr>
          <w:rFonts w:ascii="Calibri" w:eastAsia="Calibri" w:hAnsi="Calibri"/>
          <w:szCs w:val="22"/>
          <w:u w:val="single"/>
          <w:lang w:eastAsia="en-US"/>
        </w:rPr>
      </w:pPr>
    </w:p>
    <w:p w:rsidR="008676F9" w:rsidRPr="008676F9" w:rsidRDefault="008676F9" w:rsidP="008676F9">
      <w:pPr>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Opis operácie:</w:t>
      </w:r>
    </w:p>
    <w:p w:rsidR="008676F9" w:rsidRPr="008676F9" w:rsidRDefault="008676F9" w:rsidP="00BE36D5">
      <w:pPr>
        <w:spacing w:after="120"/>
        <w:rPr>
          <w:rFonts w:ascii="Calibri" w:eastAsia="Calibri" w:hAnsi="Calibri" w:cs="Calibri"/>
          <w:szCs w:val="22"/>
          <w:lang w:eastAsia="en-US"/>
        </w:rPr>
      </w:pPr>
      <w:r w:rsidRPr="008676F9">
        <w:rPr>
          <w:rFonts w:ascii="Calibri" w:eastAsia="Calibri" w:hAnsi="Calibri" w:cs="Calibri"/>
          <w:szCs w:val="22"/>
          <w:lang w:eastAsia="en-US"/>
        </w:rPr>
        <w:t xml:space="preserve">Hlavným cieľom je poskytnutie rady  v najdôležitejších oblastiach v pôdohospodárstve v súlade so Spoločnou poľnohospodárskou politikou EÚ a v zmysle Stratégie 2020 a pomáhať farmárom, majiteľom lesa a spracovateľom poľnohospodárskych produktov riešiť ich problémy, prispôsobovať proces výroby a metódy riadenia potrebám súčasnosti. </w:t>
      </w:r>
    </w:p>
    <w:p w:rsidR="008676F9" w:rsidRPr="008676F9" w:rsidRDefault="008676F9" w:rsidP="008676F9">
      <w:pPr>
        <w:rPr>
          <w:rFonts w:ascii="Calibri" w:eastAsia="Calibri" w:hAnsi="Calibri"/>
          <w:bCs/>
          <w:szCs w:val="22"/>
          <w:lang w:eastAsia="en-US"/>
        </w:rPr>
      </w:pPr>
      <w:r w:rsidRPr="008676F9">
        <w:rPr>
          <w:rFonts w:ascii="Calibri" w:eastAsia="Calibri" w:hAnsi="Calibri" w:cs="Calibri"/>
          <w:szCs w:val="22"/>
          <w:lang w:eastAsia="en-US"/>
        </w:rPr>
        <w:t xml:space="preserve">Podpora a poskytovanie ekonomicky nezávislých poradenských služieb zameraných na široké spektrum konkrétnych problémov jednotlivcov a v súlade s právnymi predpismi a úlohami vyplývajúcimi z politiky EÚ ako zlepšenie </w:t>
      </w:r>
      <w:r w:rsidRPr="008676F9">
        <w:rPr>
          <w:rFonts w:ascii="Calibri" w:eastAsia="Calibri" w:hAnsi="Calibri"/>
          <w:bCs/>
          <w:szCs w:val="22"/>
          <w:lang w:eastAsia="en-US"/>
        </w:rPr>
        <w:t>výkonu poľnohospodárskych podnikov, uľahčenie reštrukturalizácie a modernizácie poľnohospodárskych podnikov, zvýšenie ich účasti na trhu,  zvýšenie poľnohospodárskej diverzifikácie, u</w:t>
      </w:r>
      <w:r w:rsidRPr="008676F9">
        <w:rPr>
          <w:rFonts w:ascii="Calibri" w:eastAsia="Calibri" w:hAnsi="Calibri"/>
          <w:szCs w:val="22"/>
          <w:lang w:eastAsia="en-US"/>
        </w:rPr>
        <w:t xml:space="preserve">ľahčenie generačnej výmeny v sektore poľnohospodárstva. Ďalej </w:t>
      </w:r>
      <w:r w:rsidRPr="008676F9">
        <w:rPr>
          <w:rFonts w:ascii="Calibri" w:eastAsia="Calibri" w:hAnsi="Calibri"/>
          <w:bCs/>
          <w:szCs w:val="22"/>
          <w:lang w:eastAsia="en-US"/>
        </w:rPr>
        <w:t xml:space="preserve">podpora zameraná na organizáciu potravinového reťazca, budovanie lokálnych výrobno-spotrebiteľských reťazcov, </w:t>
      </w:r>
      <w:r w:rsidRPr="008676F9">
        <w:rPr>
          <w:rFonts w:ascii="Calibri" w:eastAsia="Calibri" w:hAnsi="Calibri"/>
          <w:szCs w:val="22"/>
          <w:lang w:eastAsia="en-US"/>
        </w:rPr>
        <w:t>manažmentu rizika</w:t>
      </w:r>
      <w:r w:rsidRPr="008676F9">
        <w:rPr>
          <w:rFonts w:ascii="Calibri" w:eastAsia="Calibri" w:hAnsi="Calibri"/>
          <w:bCs/>
          <w:szCs w:val="22"/>
          <w:lang w:eastAsia="en-US"/>
        </w:rPr>
        <w:t xml:space="preserve">, obnova, zachovanie a posilnenie biologickej diverzity vrátane  lokalít sústavy Natura 2000, zlepšenie vodného hospodárstva, skladovania a aplikácie hnojív a pesticídov, </w:t>
      </w:r>
      <w:r w:rsidRPr="008676F9">
        <w:rPr>
          <w:rFonts w:ascii="Calibri" w:eastAsia="Calibri" w:hAnsi="Calibri"/>
          <w:szCs w:val="22"/>
          <w:lang w:eastAsia="en-US"/>
        </w:rPr>
        <w:t xml:space="preserve"> </w:t>
      </w:r>
      <w:r w:rsidRPr="008676F9">
        <w:rPr>
          <w:rFonts w:ascii="Calibri" w:eastAsia="Calibri" w:hAnsi="Calibri"/>
          <w:bCs/>
          <w:szCs w:val="22"/>
          <w:lang w:eastAsia="en-US"/>
        </w:rPr>
        <w:t xml:space="preserve">prevencie pôdnej erózie a zlepšenie obhospodarovania pôdy, </w:t>
      </w:r>
      <w:r w:rsidRPr="008676F9">
        <w:rPr>
          <w:rFonts w:ascii="Calibri" w:eastAsia="Calibri" w:hAnsi="Calibri"/>
          <w:szCs w:val="22"/>
          <w:lang w:eastAsia="en-US"/>
        </w:rPr>
        <w:t xml:space="preserve"> efektívneho využívania zdrojov, podpora prechodu na nízko uhlíkové hospodárstvo  odolné voči zmenám klímy v odvetviach poľnohospodárstva, potravinárstva a lesného hospodárstva, z</w:t>
      </w:r>
      <w:r w:rsidRPr="008676F9">
        <w:rPr>
          <w:rFonts w:ascii="Calibri" w:eastAsia="Calibri" w:hAnsi="Calibri"/>
          <w:bCs/>
          <w:szCs w:val="22"/>
          <w:lang w:eastAsia="en-US"/>
        </w:rPr>
        <w:t>výšenie účinnosti využitia energie v poľnohospodárstve a pri spracovaní potravín, zníženie emisií skleníkových plynov a amoniaku z poľnohospodárstva, podpora sekvestrácie oxidu uhličitého v poľnohospodárstve a lesnom hospodárstve.</w:t>
      </w:r>
    </w:p>
    <w:p w:rsidR="008676F9" w:rsidRPr="008676F9" w:rsidRDefault="008676F9" w:rsidP="008676F9">
      <w:pPr>
        <w:rPr>
          <w:rFonts w:ascii="Calibri" w:eastAsia="Calibri" w:hAnsi="Calibri" w:cs="Calibri"/>
          <w:szCs w:val="22"/>
          <w:lang w:eastAsia="en-US"/>
        </w:rPr>
      </w:pPr>
      <w:r w:rsidRPr="008676F9">
        <w:rPr>
          <w:rFonts w:ascii="Calibri" w:eastAsia="Calibri" w:hAnsi="Calibri" w:cs="Calibri"/>
          <w:szCs w:val="22"/>
          <w:lang w:eastAsia="en-US"/>
        </w:rPr>
        <w:t>Operácie môžu zahŕňať len špecifický rozsah podpory uvedený v bodoch A) a B) tohto opatrenia nasledovne:</w:t>
      </w:r>
    </w:p>
    <w:p w:rsidR="008676F9" w:rsidRPr="008676F9" w:rsidRDefault="008676F9" w:rsidP="008676F9">
      <w:pPr>
        <w:rPr>
          <w:rFonts w:ascii="Calibri" w:eastAsia="Calibri" w:hAnsi="Calibri" w:cs="Calibri"/>
          <w:szCs w:val="22"/>
          <w:u w:val="single"/>
          <w:lang w:eastAsia="en-US"/>
        </w:rPr>
      </w:pPr>
      <w:r w:rsidRPr="008676F9">
        <w:rPr>
          <w:rFonts w:ascii="Calibri" w:eastAsia="Calibri" w:hAnsi="Calibri" w:cs="Calibri"/>
          <w:szCs w:val="22"/>
          <w:lang w:eastAsia="en-US"/>
        </w:rPr>
        <w:t xml:space="preserve"> </w:t>
      </w:r>
      <w:r w:rsidRPr="008676F9">
        <w:rPr>
          <w:rFonts w:ascii="Calibri" w:eastAsia="Calibri" w:hAnsi="Calibri" w:cs="Calibri"/>
          <w:szCs w:val="22"/>
          <w:u w:val="single"/>
          <w:lang w:eastAsia="en-US"/>
        </w:rPr>
        <w:t>Špecifický rozsah podpory</w:t>
      </w:r>
    </w:p>
    <w:p w:rsidR="008676F9" w:rsidRPr="008676F9" w:rsidRDefault="008676F9" w:rsidP="00BE36D5">
      <w:pPr>
        <w:spacing w:after="120"/>
        <w:ind w:left="284" w:hanging="284"/>
        <w:rPr>
          <w:rFonts w:ascii="Calibri" w:hAnsi="Calibri" w:cs="Calibri"/>
          <w:szCs w:val="22"/>
          <w:lang w:eastAsia="en-US"/>
        </w:rPr>
      </w:pPr>
      <w:r w:rsidRPr="008676F9">
        <w:rPr>
          <w:rFonts w:ascii="Calibri" w:hAnsi="Calibri" w:cs="Calibri"/>
          <w:szCs w:val="22"/>
          <w:lang w:eastAsia="en-US"/>
        </w:rPr>
        <w:t xml:space="preserve">A) Poradenské služby pre </w:t>
      </w:r>
      <w:r w:rsidRPr="008676F9">
        <w:rPr>
          <w:rFonts w:ascii="Calibri" w:hAnsi="Calibri" w:cs="Calibri"/>
          <w:b/>
          <w:szCs w:val="22"/>
          <w:lang w:eastAsia="en-US"/>
        </w:rPr>
        <w:t>poľnohospodárov</w:t>
      </w:r>
      <w:r w:rsidRPr="008676F9">
        <w:rPr>
          <w:rFonts w:ascii="Calibri" w:hAnsi="Calibri" w:cs="Calibri"/>
          <w:szCs w:val="22"/>
          <w:lang w:eastAsia="en-US"/>
        </w:rPr>
        <w:t xml:space="preserve">  musia byť spojené najmenej s jednou prioritou EÚ pre rozvoj vidieka a musia zahŕňať minimálne jeden z týchto prvkov:</w:t>
      </w:r>
    </w:p>
    <w:p w:rsidR="008676F9" w:rsidRPr="008676F9" w:rsidRDefault="008676F9" w:rsidP="00955DA4">
      <w:pPr>
        <w:numPr>
          <w:ilvl w:val="0"/>
          <w:numId w:val="152"/>
        </w:numPr>
        <w:spacing w:after="200"/>
        <w:contextualSpacing/>
        <w:rPr>
          <w:rFonts w:ascii="Calibri" w:hAnsi="Calibri" w:cs="Calibri"/>
          <w:szCs w:val="22"/>
          <w:lang w:eastAsia="en-US"/>
        </w:rPr>
      </w:pPr>
      <w:r w:rsidRPr="008676F9">
        <w:rPr>
          <w:rFonts w:ascii="Calibri" w:hAnsi="Calibri" w:cs="Calibri"/>
          <w:szCs w:val="22"/>
          <w:lang w:eastAsia="en-US"/>
        </w:rPr>
        <w:t>povinnosti na úrovni poľnohospodárskeho podniku, ktoré vyplývajú zo zákonných požiadaviek  na riadenie a/alebo noriem dobrých poľnohospodárskych a environmentálnych podmienok stanovených v kapitole I hlavy VI nariadenia (EÚ) č. .../2013;</w:t>
      </w:r>
    </w:p>
    <w:p w:rsidR="008676F9" w:rsidRPr="008676F9" w:rsidRDefault="008676F9" w:rsidP="00955DA4">
      <w:pPr>
        <w:numPr>
          <w:ilvl w:val="0"/>
          <w:numId w:val="152"/>
        </w:numPr>
        <w:spacing w:after="200"/>
        <w:rPr>
          <w:rFonts w:ascii="Calibri" w:hAnsi="Calibri" w:cs="Calibri"/>
          <w:szCs w:val="22"/>
          <w:lang w:eastAsia="en-US"/>
        </w:rPr>
      </w:pPr>
      <w:r w:rsidRPr="008676F9">
        <w:rPr>
          <w:rFonts w:ascii="Calibri" w:hAnsi="Calibri" w:cs="Calibri"/>
          <w:szCs w:val="22"/>
          <w:lang w:eastAsia="en-US"/>
        </w:rPr>
        <w:t xml:space="preserve"> v príslušných prípadoch na poľnohospodárske postupy prospešné pre klímu a životné prostredie stanovené v hlave III, kapitoly 3 nariadenia (EÚ) č. ../2013 (DP) a udržanie poľnohospodárskej plochy uvedené v čl. 4, ods. 1 písm. c) nariadenia (EÚ) č..../2013; </w:t>
      </w:r>
    </w:p>
    <w:p w:rsidR="008676F9" w:rsidRPr="008676F9" w:rsidRDefault="008676F9" w:rsidP="00955DA4">
      <w:pPr>
        <w:numPr>
          <w:ilvl w:val="0"/>
          <w:numId w:val="152"/>
        </w:numPr>
        <w:spacing w:after="200"/>
        <w:rPr>
          <w:rFonts w:ascii="Calibri" w:hAnsi="Calibri" w:cs="Calibri"/>
          <w:szCs w:val="22"/>
          <w:lang w:eastAsia="en-US"/>
        </w:rPr>
      </w:pPr>
      <w:r w:rsidRPr="008676F9">
        <w:rPr>
          <w:rFonts w:ascii="Calibri" w:hAnsi="Calibri" w:cs="Calibri"/>
          <w:szCs w:val="22"/>
          <w:lang w:eastAsia="en-US"/>
        </w:rPr>
        <w:t xml:space="preserve"> opatrenia na úrovni poľnohospodárskych podnikov ustanovené v programe rozvoja vidieka, ktoré sú zamerané na modernizáciu poľnohospodárskych podnikov, budovanie konkurencieschopnosti, odvetvovú integráciu, inováciu a trhovú orientáciu, budovanie lokálnych výrobno-spotrebiteľských reťazcov, ako aj na podporu podnikania;</w:t>
      </w:r>
    </w:p>
    <w:p w:rsidR="008676F9" w:rsidRPr="008676F9" w:rsidRDefault="008676F9" w:rsidP="00955DA4">
      <w:pPr>
        <w:numPr>
          <w:ilvl w:val="0"/>
          <w:numId w:val="152"/>
        </w:numPr>
        <w:spacing w:after="200"/>
        <w:rPr>
          <w:rFonts w:ascii="Calibri" w:hAnsi="Calibri" w:cs="Calibri"/>
          <w:szCs w:val="22"/>
          <w:lang w:eastAsia="en-US"/>
        </w:rPr>
      </w:pPr>
      <w:r w:rsidRPr="008676F9">
        <w:rPr>
          <w:rFonts w:ascii="Calibri" w:hAnsi="Calibri" w:cs="Calibri"/>
          <w:szCs w:val="22"/>
          <w:lang w:eastAsia="en-US"/>
        </w:rPr>
        <w:t xml:space="preserve">požiadavky  vymedzené  členskými štátmi na účely vykonávania článku 11 ods. 3 rámcovej osnovy o vode; </w:t>
      </w:r>
    </w:p>
    <w:p w:rsidR="008676F9" w:rsidRPr="008676F9" w:rsidRDefault="008676F9" w:rsidP="00955DA4">
      <w:pPr>
        <w:numPr>
          <w:ilvl w:val="0"/>
          <w:numId w:val="152"/>
        </w:numPr>
        <w:spacing w:after="200"/>
        <w:contextualSpacing/>
        <w:rPr>
          <w:rFonts w:ascii="Calibri" w:eastAsia="Calibri" w:hAnsi="Calibri" w:cs="Calibri"/>
          <w:szCs w:val="22"/>
          <w:lang w:eastAsia="en-US"/>
        </w:rPr>
      </w:pPr>
      <w:r w:rsidRPr="008676F9">
        <w:rPr>
          <w:rFonts w:ascii="Calibri" w:eastAsia="Calibri" w:hAnsi="Calibri" w:cs="Calibri"/>
          <w:szCs w:val="22"/>
          <w:lang w:eastAsia="en-US"/>
        </w:rPr>
        <w:t xml:space="preserve">požiadavky  vymedzené členskými štátmi  na účely vykonávania čl. 55 nariadenia (ES) č. 1107/2009, najmä dodržiavanie všeobecných zásad integrovanej ochrany proti škodcom, ako uvádza čl. 14, smernice 2009/128/ES,   alebo </w:t>
      </w:r>
    </w:p>
    <w:p w:rsidR="008676F9" w:rsidRPr="008676F9" w:rsidRDefault="008676F9" w:rsidP="00955DA4">
      <w:pPr>
        <w:numPr>
          <w:ilvl w:val="0"/>
          <w:numId w:val="152"/>
        </w:numPr>
        <w:spacing w:after="200"/>
        <w:contextualSpacing/>
        <w:rPr>
          <w:rFonts w:ascii="Calibri" w:eastAsia="Calibri" w:hAnsi="Calibri" w:cs="Calibri"/>
          <w:szCs w:val="22"/>
          <w:lang w:eastAsia="en-US"/>
        </w:rPr>
      </w:pPr>
      <w:r w:rsidRPr="008676F9">
        <w:rPr>
          <w:rFonts w:ascii="Calibri" w:hAnsi="Calibri" w:cs="Calibri"/>
          <w:szCs w:val="22"/>
          <w:lang w:eastAsia="en-US"/>
        </w:rPr>
        <w:t xml:space="preserve">v príslušných prípadoch normy bezpečnosti  pri práci alebo bezpečnostné normy spojené s poľnohospodárskym podnikom; </w:t>
      </w:r>
    </w:p>
    <w:p w:rsidR="008676F9" w:rsidRPr="008676F9" w:rsidRDefault="008676F9" w:rsidP="00955DA4">
      <w:pPr>
        <w:numPr>
          <w:ilvl w:val="0"/>
          <w:numId w:val="152"/>
        </w:numPr>
        <w:spacing w:after="200"/>
        <w:contextualSpacing/>
        <w:rPr>
          <w:rFonts w:ascii="Calibri" w:eastAsia="Calibri" w:hAnsi="Calibri" w:cs="Calibri"/>
          <w:szCs w:val="22"/>
          <w:lang w:eastAsia="en-US"/>
        </w:rPr>
      </w:pPr>
      <w:r w:rsidRPr="008676F9">
        <w:rPr>
          <w:rFonts w:ascii="Calibri" w:eastAsia="Calibri" w:hAnsi="Calibri" w:cs="Calibri"/>
          <w:szCs w:val="22"/>
          <w:lang w:eastAsia="en-US"/>
        </w:rPr>
        <w:t xml:space="preserve"> osobitné poradenstvo pre poľnohospodárov, ktorí prvýkrát zakladajú poľnohospodársky podnik,  </w:t>
      </w:r>
      <w:r w:rsidRPr="008676F9">
        <w:rPr>
          <w:rFonts w:ascii="Calibri" w:hAnsi="Calibri"/>
          <w:szCs w:val="22"/>
        </w:rPr>
        <w:t>mladých poľnohospodárov v oblasti legislatívy, výroby, spracovania a predaja produktov</w:t>
      </w:r>
      <w:r w:rsidRPr="008676F9">
        <w:rPr>
          <w:rFonts w:ascii="Calibri" w:eastAsia="Calibri" w:hAnsi="Calibri" w:cs="Calibri"/>
          <w:szCs w:val="22"/>
          <w:lang w:eastAsia="en-US"/>
        </w:rPr>
        <w:t xml:space="preserve"> a osobitné poradenstvo pre </w:t>
      </w:r>
      <w:r w:rsidRPr="008676F9">
        <w:rPr>
          <w:rFonts w:ascii="Calibri" w:hAnsi="Calibri"/>
          <w:szCs w:val="22"/>
        </w:rPr>
        <w:t>efektívne riadenie podniku</w:t>
      </w:r>
      <w:r w:rsidRPr="008676F9">
        <w:rPr>
          <w:rFonts w:ascii="Calibri" w:eastAsia="Calibri" w:hAnsi="Calibri" w:cs="Calibri"/>
          <w:szCs w:val="22"/>
          <w:lang w:eastAsia="en-US"/>
        </w:rPr>
        <w:t xml:space="preserve">; </w:t>
      </w:r>
    </w:p>
    <w:p w:rsidR="008676F9" w:rsidRPr="008676F9" w:rsidRDefault="008676F9" w:rsidP="007B5045">
      <w:pPr>
        <w:ind w:left="720"/>
        <w:contextualSpacing/>
        <w:rPr>
          <w:rFonts w:ascii="Calibri" w:eastAsia="Calibri" w:hAnsi="Calibri" w:cs="Calibri"/>
          <w:szCs w:val="22"/>
          <w:lang w:eastAsia="en-US"/>
        </w:rPr>
      </w:pPr>
    </w:p>
    <w:p w:rsidR="008676F9" w:rsidRPr="008676F9" w:rsidRDefault="008676F9" w:rsidP="00BE36D5">
      <w:pPr>
        <w:spacing w:after="120"/>
        <w:ind w:left="284" w:hanging="284"/>
        <w:rPr>
          <w:rFonts w:ascii="Calibri" w:hAnsi="Calibri" w:cs="Calibri"/>
          <w:szCs w:val="22"/>
          <w:lang w:eastAsia="en-US"/>
        </w:rPr>
      </w:pPr>
      <w:r w:rsidRPr="008676F9">
        <w:rPr>
          <w:rFonts w:ascii="Calibri" w:eastAsia="Calibri" w:hAnsi="Calibri" w:cs="Calibri"/>
          <w:szCs w:val="22"/>
          <w:lang w:eastAsia="en-US"/>
        </w:rPr>
        <w:t xml:space="preserve">B) </w:t>
      </w:r>
      <w:r w:rsidRPr="008676F9">
        <w:rPr>
          <w:rFonts w:ascii="Calibri" w:hAnsi="Calibri" w:cs="Calibri"/>
          <w:szCs w:val="22"/>
          <w:lang w:eastAsia="en-US"/>
        </w:rPr>
        <w:t xml:space="preserve">Poradenské služby pre </w:t>
      </w:r>
      <w:r w:rsidRPr="008676F9">
        <w:rPr>
          <w:rFonts w:ascii="Calibri" w:hAnsi="Calibri" w:cs="Calibri"/>
          <w:b/>
          <w:szCs w:val="22"/>
          <w:lang w:eastAsia="en-US"/>
        </w:rPr>
        <w:t xml:space="preserve">obhospodarovateľov lesa </w:t>
      </w:r>
      <w:r w:rsidRPr="008676F9">
        <w:rPr>
          <w:rFonts w:ascii="Calibri" w:hAnsi="Calibri" w:cs="Calibri"/>
          <w:szCs w:val="22"/>
          <w:lang w:eastAsia="en-US"/>
        </w:rPr>
        <w:t>musia zahŕňať minimálne príslušné povinnosti:</w:t>
      </w:r>
    </w:p>
    <w:p w:rsidR="008676F9" w:rsidRPr="008676F9" w:rsidRDefault="008676F9" w:rsidP="00955DA4">
      <w:pPr>
        <w:numPr>
          <w:ilvl w:val="0"/>
          <w:numId w:val="153"/>
        </w:numPr>
        <w:spacing w:after="200"/>
        <w:contextualSpacing/>
        <w:rPr>
          <w:rFonts w:ascii="Calibri" w:hAnsi="Calibri" w:cs="Calibri"/>
          <w:b/>
          <w:szCs w:val="22"/>
          <w:lang w:eastAsia="en-US"/>
        </w:rPr>
      </w:pPr>
      <w:r w:rsidRPr="008676F9">
        <w:rPr>
          <w:rFonts w:ascii="Calibri" w:hAnsi="Calibri" w:cs="Calibri"/>
          <w:szCs w:val="22"/>
          <w:lang w:eastAsia="en-US"/>
        </w:rPr>
        <w:t xml:space="preserve">podľa smernice 92/43/EHS (ochrana prirodzených biotopov a voľne žijúcich živočíchov a rastlín); </w:t>
      </w:r>
    </w:p>
    <w:p w:rsidR="008676F9" w:rsidRPr="008676F9" w:rsidRDefault="008676F9" w:rsidP="00955DA4">
      <w:pPr>
        <w:numPr>
          <w:ilvl w:val="0"/>
          <w:numId w:val="153"/>
        </w:numPr>
        <w:spacing w:after="200"/>
        <w:contextualSpacing/>
        <w:rPr>
          <w:rFonts w:ascii="Calibri" w:hAnsi="Calibri" w:cs="Calibri"/>
          <w:b/>
          <w:szCs w:val="22"/>
          <w:lang w:eastAsia="en-US"/>
        </w:rPr>
      </w:pPr>
      <w:r w:rsidRPr="008676F9">
        <w:rPr>
          <w:rFonts w:ascii="Calibri" w:hAnsi="Calibri" w:cs="Calibri"/>
          <w:szCs w:val="22"/>
          <w:lang w:eastAsia="en-US"/>
        </w:rPr>
        <w:t>podľa smernice 2009/147/ES (ochrana voľne žijúceho vtáctva);</w:t>
      </w:r>
    </w:p>
    <w:p w:rsidR="008676F9" w:rsidRPr="008676F9" w:rsidRDefault="008676F9" w:rsidP="00955DA4">
      <w:pPr>
        <w:numPr>
          <w:ilvl w:val="0"/>
          <w:numId w:val="153"/>
        </w:numPr>
        <w:spacing w:after="200"/>
        <w:contextualSpacing/>
        <w:rPr>
          <w:rFonts w:ascii="Calibri" w:hAnsi="Calibri" w:cs="Calibri"/>
          <w:b/>
          <w:szCs w:val="22"/>
          <w:lang w:eastAsia="en-US"/>
        </w:rPr>
      </w:pPr>
      <w:r w:rsidRPr="008676F9">
        <w:rPr>
          <w:rFonts w:ascii="Calibri" w:hAnsi="Calibri" w:cs="Calibri"/>
          <w:szCs w:val="22"/>
          <w:lang w:eastAsia="en-US"/>
        </w:rPr>
        <w:t>podľa smernice 2000/60/ES (rámcová smernica o vodách).</w:t>
      </w:r>
    </w:p>
    <w:p w:rsidR="008676F9" w:rsidRPr="008676F9" w:rsidRDefault="008676F9" w:rsidP="007B5045">
      <w:pPr>
        <w:contextualSpacing/>
        <w:rPr>
          <w:rFonts w:ascii="Calibri" w:hAnsi="Calibri" w:cs="Calibri"/>
          <w:szCs w:val="22"/>
          <w:lang w:eastAsia="en-US"/>
        </w:rPr>
      </w:pPr>
    </w:p>
    <w:p w:rsidR="008676F9" w:rsidRPr="008676F9" w:rsidRDefault="008676F9" w:rsidP="00BE36D5">
      <w:pPr>
        <w:spacing w:after="120"/>
        <w:rPr>
          <w:rFonts w:ascii="Calibri" w:eastAsia="Calibri" w:hAnsi="Calibri" w:cs="Calibri"/>
          <w:szCs w:val="22"/>
          <w:lang w:eastAsia="en-US"/>
        </w:rPr>
      </w:pPr>
      <w:r w:rsidRPr="008676F9">
        <w:rPr>
          <w:rFonts w:ascii="Calibri" w:hAnsi="Calibri" w:cs="Calibri"/>
          <w:szCs w:val="22"/>
          <w:lang w:eastAsia="en-US"/>
        </w:rPr>
        <w:t xml:space="preserve">Poradenstvo pre obhospodarovateľ lesa  </w:t>
      </w:r>
      <w:r w:rsidRPr="008676F9">
        <w:rPr>
          <w:rFonts w:ascii="Calibri" w:eastAsia="Calibri" w:hAnsi="Calibri" w:cs="Calibri"/>
          <w:szCs w:val="22"/>
          <w:lang w:eastAsia="en-US"/>
        </w:rPr>
        <w:t xml:space="preserve">môže okrem povinného obsahu uvedeného vyššie zahŕňať aj problematiku ekonomickej a environmentálnej výkonnosti lesného podniku. </w:t>
      </w:r>
    </w:p>
    <w:p w:rsidR="008676F9" w:rsidRPr="008676F9" w:rsidRDefault="008676F9" w:rsidP="007B5045">
      <w:pPr>
        <w:contextualSpacing/>
        <w:rPr>
          <w:rFonts w:ascii="Calibri" w:eastAsia="Calibri" w:hAnsi="Calibri" w:cs="Calibri"/>
          <w:bCs/>
          <w:szCs w:val="22"/>
          <w:lang w:eastAsia="en-US"/>
        </w:rPr>
      </w:pPr>
      <w:r w:rsidRPr="008676F9">
        <w:rPr>
          <w:rFonts w:ascii="Calibri" w:eastAsia="Calibri" w:hAnsi="Calibri" w:cs="Calibri"/>
          <w:bCs/>
          <w:szCs w:val="22"/>
          <w:lang w:eastAsia="en-US"/>
        </w:rPr>
        <w:t>Poradcovia môžu, podľa požiadaviek praxe, poskytovať odborné rady pri plnení praktických povinností v rámci krížového plnenia a greening, informácie o cieli krížového plnenia, súvisiacich politikách,  ktoré prispievajú k udržateľnému poľnohospodárstva.</w:t>
      </w:r>
    </w:p>
    <w:p w:rsidR="008676F9" w:rsidRPr="008676F9" w:rsidRDefault="008676F9" w:rsidP="007B5045">
      <w:pPr>
        <w:ind w:left="284"/>
        <w:rPr>
          <w:rFonts w:ascii="Calibri" w:hAnsi="Calibri" w:cs="Calibri"/>
          <w:b/>
          <w:szCs w:val="22"/>
          <w:lang w:eastAsia="en-US"/>
        </w:rPr>
      </w:pPr>
      <w:r w:rsidRPr="008676F9">
        <w:rPr>
          <w:rFonts w:ascii="Calibri" w:hAnsi="Calibri" w:cs="Calibri"/>
          <w:szCs w:val="22"/>
          <w:lang w:eastAsia="en-US"/>
        </w:rPr>
        <w:t xml:space="preserve"> </w:t>
      </w:r>
    </w:p>
    <w:p w:rsidR="008676F9" w:rsidRPr="008676F9" w:rsidRDefault="008676F9" w:rsidP="007B5045">
      <w:pPr>
        <w:rPr>
          <w:rFonts w:ascii="Calibri" w:eastAsia="Calibri" w:hAnsi="Calibri" w:cs="Calibri"/>
          <w:szCs w:val="22"/>
          <w:u w:val="single"/>
          <w:lang w:eastAsia="en-US"/>
        </w:rPr>
      </w:pPr>
      <w:r w:rsidRPr="008676F9">
        <w:rPr>
          <w:rFonts w:ascii="Calibri" w:eastAsia="Calibri" w:hAnsi="Calibri" w:cs="Calibri"/>
          <w:szCs w:val="22"/>
          <w:u w:val="single"/>
          <w:lang w:eastAsia="en-US"/>
        </w:rPr>
        <w:t>Typ podpory:</w:t>
      </w:r>
    </w:p>
    <w:p w:rsidR="008676F9" w:rsidRPr="008676F9" w:rsidRDefault="008676F9" w:rsidP="007B5045">
      <w:pPr>
        <w:rPr>
          <w:rFonts w:ascii="Calibri" w:eastAsia="Calibri" w:hAnsi="Calibri" w:cs="Calibri"/>
          <w:szCs w:val="22"/>
          <w:lang w:eastAsia="en-US"/>
        </w:rPr>
      </w:pPr>
      <w:r w:rsidRPr="008676F9">
        <w:rPr>
          <w:rFonts w:ascii="Calibri" w:eastAsia="Calibri" w:hAnsi="Calibri" w:cs="Calibri"/>
          <w:szCs w:val="22"/>
          <w:lang w:eastAsia="en-US"/>
        </w:rPr>
        <w:t>nezisková, nenávratný finančný príspevok – systém refundácie vynaložených a zaplatených výdavkov.</w:t>
      </w:r>
    </w:p>
    <w:p w:rsidR="008676F9" w:rsidRPr="008676F9" w:rsidRDefault="008676F9" w:rsidP="007B5045">
      <w:pPr>
        <w:rPr>
          <w:rFonts w:ascii="Calibri" w:eastAsia="Calibri" w:hAnsi="Calibri" w:cs="Calibri"/>
          <w:szCs w:val="22"/>
          <w:lang w:eastAsia="en-US"/>
        </w:rPr>
      </w:pPr>
      <w:r w:rsidRPr="008676F9">
        <w:rPr>
          <w:rFonts w:ascii="Calibri" w:eastAsia="Calibri" w:hAnsi="Calibri" w:cs="Calibri"/>
          <w:szCs w:val="22"/>
          <w:lang w:eastAsia="en-US"/>
        </w:rPr>
        <w:t xml:space="preserve"> </w:t>
      </w:r>
    </w:p>
    <w:p w:rsidR="008676F9" w:rsidRPr="008676F9" w:rsidRDefault="008676F9" w:rsidP="007B5045">
      <w:pPr>
        <w:rPr>
          <w:rFonts w:ascii="Calibri" w:eastAsia="Calibri" w:hAnsi="Calibri" w:cs="Calibri"/>
          <w:bCs/>
          <w:i/>
          <w:szCs w:val="22"/>
          <w:u w:val="single"/>
          <w:lang w:eastAsia="en-US"/>
        </w:rPr>
      </w:pPr>
      <w:r w:rsidRPr="008676F9">
        <w:rPr>
          <w:rFonts w:ascii="Calibri" w:eastAsia="Calibri" w:hAnsi="Calibri" w:cs="Calibri"/>
          <w:bCs/>
          <w:szCs w:val="22"/>
          <w:u w:val="single"/>
          <w:lang w:eastAsia="en-US"/>
        </w:rPr>
        <w:t>Súvislosť s ostatnou legislatívou:</w:t>
      </w:r>
      <w:r w:rsidRPr="008676F9">
        <w:rPr>
          <w:rFonts w:ascii="Calibri" w:eastAsia="Calibri" w:hAnsi="Calibri" w:cs="Calibri"/>
          <w:bCs/>
          <w:i/>
          <w:szCs w:val="22"/>
          <w:u w:val="single"/>
          <w:lang w:eastAsia="en-US"/>
        </w:rPr>
        <w:t xml:space="preserve"> </w:t>
      </w:r>
    </w:p>
    <w:p w:rsidR="008676F9" w:rsidRPr="008676F9" w:rsidRDefault="008676F9" w:rsidP="00955DA4">
      <w:pPr>
        <w:numPr>
          <w:ilvl w:val="0"/>
          <w:numId w:val="150"/>
        </w:numPr>
        <w:spacing w:after="200"/>
        <w:contextualSpacing/>
        <w:rPr>
          <w:rFonts w:ascii="Calibri" w:eastAsia="Calibri" w:hAnsi="Calibri" w:cs="Calibri"/>
          <w:bCs/>
          <w:szCs w:val="22"/>
          <w:lang w:eastAsia="en-US"/>
        </w:rPr>
      </w:pPr>
      <w:r w:rsidRPr="008676F9">
        <w:rPr>
          <w:rFonts w:ascii="Calibri" w:eastAsia="Calibri" w:hAnsi="Calibri"/>
          <w:szCs w:val="22"/>
          <w:lang w:eastAsia="en-US"/>
        </w:rPr>
        <w:t>zákon 211/2013, ktorým sa mení a dopĺňa zákon z 5.10.2007 č. 543/2007 Z. z.  o pôsobnosti orgánov štátnej správy pri poskytovaní podpory pôdohospodárstve  a rozvoji, § 16e;</w:t>
      </w:r>
    </w:p>
    <w:p w:rsidR="008676F9" w:rsidRPr="008676F9" w:rsidRDefault="008676F9" w:rsidP="00955DA4">
      <w:pPr>
        <w:numPr>
          <w:ilvl w:val="0"/>
          <w:numId w:val="150"/>
        </w:numPr>
        <w:spacing w:after="200"/>
        <w:contextualSpacing/>
        <w:rPr>
          <w:rFonts w:ascii="Calibri" w:eastAsia="Calibri" w:hAnsi="Calibri" w:cs="Calibri"/>
          <w:bCs/>
          <w:szCs w:val="22"/>
          <w:lang w:eastAsia="en-US"/>
        </w:rPr>
      </w:pPr>
      <w:r w:rsidRPr="008676F9">
        <w:rPr>
          <w:rFonts w:ascii="Calibri" w:eastAsia="Calibri" w:hAnsi="Calibri" w:cs="Arial"/>
          <w:bCs/>
          <w:szCs w:val="22"/>
          <w:lang w:eastAsia="en-US"/>
        </w:rPr>
        <w:t>zákon č. 568/2009 o celoživotnom vzdelávaní;</w:t>
      </w:r>
    </w:p>
    <w:p w:rsidR="008676F9" w:rsidRPr="008676F9" w:rsidRDefault="008676F9" w:rsidP="00955DA4">
      <w:pPr>
        <w:numPr>
          <w:ilvl w:val="0"/>
          <w:numId w:val="150"/>
        </w:numPr>
        <w:spacing w:after="200"/>
        <w:contextualSpacing/>
        <w:rPr>
          <w:rFonts w:ascii="Calibri" w:eastAsia="Calibri" w:hAnsi="Calibri"/>
          <w:szCs w:val="22"/>
          <w:lang w:eastAsia="en-US"/>
        </w:rPr>
      </w:pPr>
      <w:r w:rsidRPr="008676F9">
        <w:rPr>
          <w:rFonts w:ascii="Calibri" w:eastAsia="Calibri" w:hAnsi="Calibri"/>
          <w:szCs w:val="22"/>
          <w:lang w:eastAsia="en-US"/>
        </w:rPr>
        <w:t>Európsky kvalifikačný rámec;</w:t>
      </w:r>
    </w:p>
    <w:p w:rsidR="008676F9" w:rsidRPr="008676F9" w:rsidRDefault="008676F9" w:rsidP="00955DA4">
      <w:pPr>
        <w:numPr>
          <w:ilvl w:val="0"/>
          <w:numId w:val="150"/>
        </w:numPr>
        <w:spacing w:after="200"/>
        <w:contextualSpacing/>
        <w:rPr>
          <w:rFonts w:ascii="Calibri" w:eastAsia="Calibri" w:hAnsi="Calibri"/>
          <w:szCs w:val="22"/>
          <w:lang w:eastAsia="en-US"/>
        </w:rPr>
      </w:pPr>
      <w:r w:rsidRPr="008676F9">
        <w:rPr>
          <w:rFonts w:ascii="Calibri" w:eastAsia="Calibri" w:hAnsi="Calibri"/>
          <w:szCs w:val="22"/>
          <w:lang w:eastAsia="en-US"/>
        </w:rPr>
        <w:t>Smernica 2005/36 o uznávaní odborných kvalifikácii;</w:t>
      </w:r>
    </w:p>
    <w:p w:rsidR="008676F9" w:rsidRPr="008676F9" w:rsidRDefault="008676F9" w:rsidP="00955DA4">
      <w:pPr>
        <w:numPr>
          <w:ilvl w:val="0"/>
          <w:numId w:val="150"/>
        </w:numPr>
        <w:spacing w:after="200" w:line="276" w:lineRule="auto"/>
        <w:contextualSpacing/>
        <w:rPr>
          <w:rFonts w:ascii="Calibri" w:eastAsia="Calibri" w:hAnsi="Calibri"/>
          <w:szCs w:val="22"/>
          <w:lang w:eastAsia="en-US"/>
        </w:rPr>
      </w:pPr>
      <w:r w:rsidRPr="008676F9">
        <w:rPr>
          <w:rFonts w:ascii="Calibri" w:eastAsia="Calibri" w:hAnsi="Calibri"/>
          <w:szCs w:val="22"/>
          <w:lang w:eastAsia="en-US"/>
        </w:rPr>
        <w:t>zákon 25/2006 Z.z. o verejnom obstarávaní.</w:t>
      </w:r>
    </w:p>
    <w:p w:rsidR="008676F9" w:rsidRPr="008676F9" w:rsidRDefault="008676F9" w:rsidP="008676F9">
      <w:pPr>
        <w:rPr>
          <w:rFonts w:ascii="Calibri" w:eastAsia="Calibri" w:hAnsi="Calibri" w:cs="Calibri"/>
          <w:szCs w:val="22"/>
          <w:u w:val="single"/>
          <w:lang w:eastAsia="en-US"/>
        </w:rPr>
      </w:pPr>
      <w:r w:rsidRPr="008676F9">
        <w:rPr>
          <w:rFonts w:ascii="Calibri" w:eastAsia="Calibri" w:hAnsi="Calibri" w:cs="Calibri"/>
          <w:szCs w:val="22"/>
          <w:u w:val="single"/>
          <w:lang w:eastAsia="en-US"/>
        </w:rPr>
        <w:t xml:space="preserve">Prijímateľ podpory: </w:t>
      </w:r>
    </w:p>
    <w:p w:rsidR="008676F9" w:rsidRPr="008676F9" w:rsidRDefault="008676F9" w:rsidP="008676F9">
      <w:pPr>
        <w:rPr>
          <w:rFonts w:ascii="Calibri" w:eastAsia="Calibri" w:hAnsi="Calibri" w:cs="Calibri"/>
          <w:szCs w:val="22"/>
          <w:lang w:eastAsia="en-US"/>
        </w:rPr>
      </w:pPr>
      <w:r w:rsidRPr="008676F9">
        <w:rPr>
          <w:rFonts w:ascii="Calibri" w:eastAsia="Calibri" w:hAnsi="Calibri" w:cs="Calibri"/>
          <w:szCs w:val="22"/>
          <w:lang w:eastAsia="en-US"/>
        </w:rPr>
        <w:t>Certifikovaní poradcovia, organizácie združujúce certifikovaných poradcov resp. spoločnosti a organizácie zamestnávajúce certifikovaných poradcov spĺňajúcich kritériá odbornosti.</w:t>
      </w:r>
    </w:p>
    <w:p w:rsidR="008676F9" w:rsidRPr="008676F9" w:rsidRDefault="008676F9" w:rsidP="008676F9">
      <w:pPr>
        <w:rPr>
          <w:rFonts w:ascii="Calibri" w:eastAsia="Calibri" w:hAnsi="Calibri" w:cs="Calibri"/>
          <w:bCs/>
          <w:szCs w:val="22"/>
          <w:u w:val="single"/>
          <w:lang w:eastAsia="en-US"/>
        </w:rPr>
      </w:pPr>
    </w:p>
    <w:p w:rsidR="008676F9" w:rsidRPr="008676F9" w:rsidRDefault="008676F9" w:rsidP="008676F9">
      <w:pPr>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Oprávnené náklady:</w:t>
      </w:r>
    </w:p>
    <w:p w:rsidR="008676F9" w:rsidRPr="008676F9" w:rsidRDefault="008676F9" w:rsidP="008676F9">
      <w:pPr>
        <w:rPr>
          <w:rFonts w:ascii="Calibri" w:eastAsia="Calibri" w:hAnsi="Calibri" w:cs="Calibri"/>
          <w:bCs/>
          <w:szCs w:val="22"/>
          <w:lang w:eastAsia="en-US"/>
        </w:rPr>
      </w:pPr>
      <w:r w:rsidRPr="008676F9">
        <w:rPr>
          <w:rFonts w:ascii="Calibri" w:eastAsia="Calibri" w:hAnsi="Calibri" w:cs="Calibri"/>
          <w:bCs/>
          <w:szCs w:val="22"/>
          <w:lang w:eastAsia="en-US"/>
        </w:rPr>
        <w:t>Cena poradenskej služby zahŕňa:</w:t>
      </w:r>
    </w:p>
    <w:p w:rsidR="008676F9" w:rsidRPr="008676F9" w:rsidRDefault="008676F9" w:rsidP="00955DA4">
      <w:pPr>
        <w:numPr>
          <w:ilvl w:val="0"/>
          <w:numId w:val="215"/>
        </w:numPr>
        <w:ind w:left="714" w:hanging="357"/>
        <w:rPr>
          <w:rFonts w:ascii="Calibri" w:eastAsia="Calibri" w:hAnsi="Calibri" w:cs="Calibri"/>
          <w:bCs/>
          <w:szCs w:val="22"/>
          <w:lang w:eastAsia="en-US"/>
        </w:rPr>
      </w:pPr>
      <w:r w:rsidRPr="008676F9">
        <w:rPr>
          <w:rFonts w:ascii="Calibri" w:eastAsia="Calibri" w:hAnsi="Calibri" w:cs="Calibri"/>
          <w:bCs/>
          <w:szCs w:val="22"/>
          <w:lang w:eastAsia="en-US"/>
        </w:rPr>
        <w:t xml:space="preserve">dopravné náklady a  ubytovacie náklady, ak sú súčasťou poradenskej služby; </w:t>
      </w:r>
    </w:p>
    <w:p w:rsidR="008676F9" w:rsidRPr="008676F9" w:rsidRDefault="008676F9" w:rsidP="00955DA4">
      <w:pPr>
        <w:numPr>
          <w:ilvl w:val="0"/>
          <w:numId w:val="215"/>
        </w:numPr>
        <w:ind w:left="714" w:hanging="357"/>
        <w:rPr>
          <w:rFonts w:ascii="Calibri" w:eastAsia="Calibri" w:hAnsi="Calibri" w:cs="Calibri"/>
          <w:bCs/>
          <w:szCs w:val="22"/>
          <w:lang w:eastAsia="en-US"/>
        </w:rPr>
      </w:pPr>
      <w:r w:rsidRPr="008676F9">
        <w:rPr>
          <w:rFonts w:ascii="Calibri" w:eastAsia="Calibri" w:hAnsi="Calibri" w:cs="Calibri"/>
          <w:bCs/>
          <w:szCs w:val="22"/>
          <w:lang w:eastAsia="en-US"/>
        </w:rPr>
        <w:t>personálne náklady na zabezpečenie, prípravu a realizáciu aktivít vrátane odmien zamestnancov  a odvodov do zdravotných poisťovní a sociálnej poisťovne;</w:t>
      </w:r>
    </w:p>
    <w:p w:rsidR="008676F9" w:rsidRPr="008676F9" w:rsidRDefault="008676F9" w:rsidP="00955DA4">
      <w:pPr>
        <w:numPr>
          <w:ilvl w:val="0"/>
          <w:numId w:val="215"/>
        </w:numPr>
        <w:ind w:left="714" w:hanging="357"/>
        <w:rPr>
          <w:rFonts w:ascii="Calibri" w:eastAsia="Calibri" w:hAnsi="Calibri" w:cs="Calibri"/>
          <w:bCs/>
          <w:szCs w:val="22"/>
          <w:lang w:eastAsia="en-US"/>
        </w:rPr>
      </w:pPr>
      <w:r w:rsidRPr="008676F9">
        <w:rPr>
          <w:rFonts w:ascii="Calibri" w:eastAsia="Calibri" w:hAnsi="Calibri" w:cs="Calibri"/>
          <w:bCs/>
          <w:szCs w:val="22"/>
          <w:lang w:eastAsia="en-US"/>
        </w:rPr>
        <w:t>administratívne náklady   a náklady na služby v súvislosti s aktivitou;</w:t>
      </w:r>
    </w:p>
    <w:p w:rsidR="008676F9" w:rsidRPr="008676F9" w:rsidRDefault="008676F9" w:rsidP="00955DA4">
      <w:pPr>
        <w:numPr>
          <w:ilvl w:val="0"/>
          <w:numId w:val="215"/>
        </w:numPr>
        <w:ind w:left="714" w:hanging="357"/>
        <w:rPr>
          <w:rFonts w:ascii="Calibri" w:eastAsia="Calibri" w:hAnsi="Calibri" w:cs="Calibri"/>
          <w:bCs/>
          <w:szCs w:val="22"/>
          <w:lang w:eastAsia="en-US"/>
        </w:rPr>
      </w:pPr>
      <w:r w:rsidRPr="008676F9">
        <w:rPr>
          <w:rFonts w:ascii="Calibri" w:eastAsia="Calibri" w:hAnsi="Calibri" w:cs="Calibri"/>
          <w:bCs/>
          <w:szCs w:val="22"/>
          <w:lang w:eastAsia="en-US"/>
        </w:rPr>
        <w:t>vzdelávanie.</w:t>
      </w:r>
    </w:p>
    <w:p w:rsidR="008676F9" w:rsidRPr="008676F9" w:rsidRDefault="008676F9" w:rsidP="007B5045">
      <w:pPr>
        <w:rPr>
          <w:rFonts w:ascii="Calibri" w:eastAsia="Calibri" w:hAnsi="Calibri" w:cs="Calibri"/>
          <w:bCs/>
          <w:szCs w:val="22"/>
          <w:u w:val="single"/>
          <w:lang w:eastAsia="en-US"/>
        </w:rPr>
      </w:pPr>
    </w:p>
    <w:p w:rsidR="008676F9" w:rsidRPr="008676F9" w:rsidRDefault="008676F9" w:rsidP="007B5045">
      <w:pPr>
        <w:rPr>
          <w:rFonts w:ascii="Calibri" w:eastAsia="Calibri" w:hAnsi="Calibri" w:cs="Calibri"/>
          <w:b/>
          <w:bCs/>
          <w:szCs w:val="22"/>
          <w:u w:val="single"/>
          <w:lang w:eastAsia="en-US"/>
        </w:rPr>
      </w:pPr>
      <w:r w:rsidRPr="008676F9">
        <w:rPr>
          <w:rFonts w:ascii="Calibri" w:eastAsia="Calibri" w:hAnsi="Calibri" w:cs="Calibri"/>
          <w:bCs/>
          <w:szCs w:val="22"/>
          <w:u w:val="single"/>
          <w:lang w:eastAsia="en-US"/>
        </w:rPr>
        <w:t>Podmienky oprávnenosti:</w:t>
      </w:r>
      <w:r w:rsidRPr="008676F9">
        <w:rPr>
          <w:rFonts w:ascii="Calibri" w:eastAsia="Calibri" w:hAnsi="Calibri" w:cs="Calibri"/>
          <w:b/>
          <w:bCs/>
          <w:szCs w:val="22"/>
          <w:u w:val="single"/>
          <w:lang w:eastAsia="en-US"/>
        </w:rPr>
        <w:t xml:space="preserve"> </w:t>
      </w:r>
    </w:p>
    <w:p w:rsidR="008676F9" w:rsidRPr="008676F9" w:rsidRDefault="008676F9" w:rsidP="00955DA4">
      <w:pPr>
        <w:numPr>
          <w:ilvl w:val="0"/>
          <w:numId w:val="154"/>
        </w:numPr>
        <w:spacing w:after="120"/>
        <w:ind w:left="714" w:hanging="357"/>
        <w:rPr>
          <w:rFonts w:ascii="Calibri" w:eastAsia="Calibri" w:hAnsi="Calibri" w:cs="Calibri"/>
          <w:szCs w:val="22"/>
          <w:lang w:eastAsia="en-US"/>
        </w:rPr>
      </w:pPr>
      <w:r w:rsidRPr="008676F9">
        <w:rPr>
          <w:rFonts w:ascii="Calibri" w:eastAsia="Calibri" w:hAnsi="Calibri" w:cs="Calibri"/>
          <w:szCs w:val="22"/>
          <w:lang w:eastAsia="en-US"/>
        </w:rPr>
        <w:t xml:space="preserve">Poskytovateľ poradenskej služby - certifikovaný poradca, organizácie združujúce certifikovaných poradcov resp. spoločnosti a organizácie zamestnávajúce certifikovaných poradcov musia spĺňať základné odborné kritériá spôsobilosti poskytovať poradenské služby určené </w:t>
      </w:r>
      <w:r w:rsidR="00B36C0D">
        <w:rPr>
          <w:rFonts w:ascii="Calibri" w:eastAsia="Calibri" w:hAnsi="Calibri" w:cs="Calibri"/>
          <w:szCs w:val="22"/>
          <w:lang w:eastAsia="en-US"/>
        </w:rPr>
        <w:t xml:space="preserve">riadiacim orgánom </w:t>
      </w:r>
      <w:r w:rsidRPr="008676F9">
        <w:rPr>
          <w:rFonts w:ascii="Calibri" w:eastAsia="Calibri" w:hAnsi="Calibri" w:cs="Calibri"/>
          <w:szCs w:val="22"/>
          <w:lang w:eastAsia="en-US"/>
        </w:rPr>
        <w:t xml:space="preserve">MPRV SR. </w:t>
      </w:r>
    </w:p>
    <w:p w:rsidR="008676F9" w:rsidRPr="008676F9" w:rsidRDefault="008676F9" w:rsidP="00955DA4">
      <w:pPr>
        <w:numPr>
          <w:ilvl w:val="0"/>
          <w:numId w:val="154"/>
        </w:numPr>
        <w:autoSpaceDE w:val="0"/>
        <w:autoSpaceDN w:val="0"/>
        <w:adjustRightInd w:val="0"/>
        <w:ind w:left="714" w:hanging="357"/>
        <w:rPr>
          <w:rFonts w:ascii="Calibri" w:eastAsia="Calibri" w:hAnsi="Calibri" w:cs="Calibri"/>
          <w:szCs w:val="22"/>
          <w:lang w:eastAsia="en-US"/>
        </w:rPr>
      </w:pPr>
      <w:r w:rsidRPr="008676F9">
        <w:rPr>
          <w:rFonts w:ascii="Calibri" w:eastAsia="Calibri" w:hAnsi="Calibri" w:cs="Calibri"/>
          <w:szCs w:val="22"/>
          <w:lang w:eastAsia="en-US"/>
        </w:rPr>
        <w:t xml:space="preserve">Certifikovaní poradcovia, organizácie združujúce certifikovaných poradcov resp. spoločnosti a organizácie zamestnávajúce certifikovaných poradcov budú vyberaní prostredníctvom verejného obstarávania realizovaného </w:t>
      </w:r>
      <w:r w:rsidR="00B36C0D">
        <w:rPr>
          <w:rFonts w:ascii="Calibri" w:eastAsia="Calibri" w:hAnsi="Calibri" w:cs="Calibri"/>
          <w:szCs w:val="22"/>
          <w:lang w:eastAsia="en-US"/>
        </w:rPr>
        <w:t xml:space="preserve">riadiacim orgánom </w:t>
      </w:r>
      <w:r w:rsidRPr="008676F9">
        <w:rPr>
          <w:rFonts w:ascii="Calibri" w:eastAsia="Calibri" w:hAnsi="Calibri" w:cs="Calibri"/>
          <w:szCs w:val="22"/>
          <w:lang w:eastAsia="en-US"/>
        </w:rPr>
        <w:t>MPRV SR</w:t>
      </w:r>
      <w:r w:rsidR="000E76A1">
        <w:rPr>
          <w:rFonts w:ascii="Calibri" w:eastAsia="Calibri" w:hAnsi="Calibri" w:cs="Calibri"/>
          <w:szCs w:val="22"/>
          <w:lang w:eastAsia="en-US"/>
        </w:rPr>
        <w:t>, resp. Pôdohospodárskou platobnou agentúrou</w:t>
      </w:r>
      <w:r w:rsidRPr="008676F9">
        <w:rPr>
          <w:rFonts w:ascii="Calibri" w:eastAsia="Calibri" w:hAnsi="Calibri" w:cs="Calibri"/>
          <w:szCs w:val="22"/>
          <w:lang w:eastAsia="en-US"/>
        </w:rPr>
        <w:t xml:space="preserve">. Výsledkom verejného obstarávania bude vybrať ekonomicky najvýhodnejšiu ponuku na realizovanie poradenstva v rámci každého z 8 krajov.  V prípade poradenstva </w:t>
      </w:r>
      <w:r w:rsidRPr="008676F9">
        <w:rPr>
          <w:rFonts w:ascii="Calibri" w:eastAsia="Calibri" w:hAnsi="Calibri" w:cs="Calibri"/>
          <w:b/>
          <w:szCs w:val="22"/>
          <w:lang w:eastAsia="en-US"/>
        </w:rPr>
        <w:t>pre obhospodarovateľov lesa</w:t>
      </w:r>
      <w:r w:rsidRPr="008676F9">
        <w:rPr>
          <w:rFonts w:ascii="Calibri" w:eastAsia="Calibri" w:hAnsi="Calibri" w:cs="Calibri"/>
          <w:szCs w:val="22"/>
          <w:lang w:eastAsia="en-US"/>
        </w:rPr>
        <w:t xml:space="preserve"> bude na základe verejného obstarávania vybraná najvýhodnejšia ponuka v rámci nasledovných oblastí:</w:t>
      </w:r>
    </w:p>
    <w:p w:rsidR="008676F9" w:rsidRPr="008676F9" w:rsidRDefault="008676F9" w:rsidP="00955DA4">
      <w:pPr>
        <w:numPr>
          <w:ilvl w:val="0"/>
          <w:numId w:val="216"/>
        </w:numPr>
        <w:autoSpaceDE w:val="0"/>
        <w:autoSpaceDN w:val="0"/>
        <w:adjustRightInd w:val="0"/>
        <w:ind w:left="1429" w:hanging="357"/>
        <w:rPr>
          <w:rFonts w:ascii="Calibri" w:eastAsia="Calibri" w:hAnsi="Calibri" w:cs="Calibri"/>
          <w:szCs w:val="22"/>
          <w:lang w:eastAsia="en-US"/>
        </w:rPr>
      </w:pPr>
      <w:r w:rsidRPr="008676F9">
        <w:rPr>
          <w:rFonts w:ascii="Calibri" w:eastAsia="Calibri" w:hAnsi="Calibri" w:cs="Calibri"/>
          <w:szCs w:val="22"/>
          <w:lang w:eastAsia="en-US"/>
        </w:rPr>
        <w:t>Žilinský a Prešovský kraj;</w:t>
      </w:r>
    </w:p>
    <w:p w:rsidR="008676F9" w:rsidRPr="008676F9" w:rsidRDefault="008676F9" w:rsidP="00955DA4">
      <w:pPr>
        <w:numPr>
          <w:ilvl w:val="0"/>
          <w:numId w:val="216"/>
        </w:numPr>
        <w:autoSpaceDE w:val="0"/>
        <w:autoSpaceDN w:val="0"/>
        <w:adjustRightInd w:val="0"/>
        <w:ind w:left="1429" w:hanging="357"/>
        <w:rPr>
          <w:rFonts w:ascii="Calibri" w:eastAsia="Calibri" w:hAnsi="Calibri" w:cs="Calibri"/>
          <w:szCs w:val="22"/>
          <w:lang w:eastAsia="en-US"/>
        </w:rPr>
      </w:pPr>
      <w:r w:rsidRPr="008676F9">
        <w:rPr>
          <w:rFonts w:ascii="Calibri" w:eastAsia="Calibri" w:hAnsi="Calibri" w:cs="Calibri"/>
          <w:szCs w:val="22"/>
          <w:lang w:eastAsia="en-US"/>
        </w:rPr>
        <w:t>Košický a Banskobystrický kraj;</w:t>
      </w:r>
    </w:p>
    <w:p w:rsidR="008676F9" w:rsidRPr="008676F9" w:rsidRDefault="008676F9" w:rsidP="00955DA4">
      <w:pPr>
        <w:numPr>
          <w:ilvl w:val="0"/>
          <w:numId w:val="216"/>
        </w:numPr>
        <w:autoSpaceDE w:val="0"/>
        <w:autoSpaceDN w:val="0"/>
        <w:adjustRightInd w:val="0"/>
        <w:spacing w:after="120"/>
        <w:rPr>
          <w:rFonts w:ascii="Calibri" w:eastAsia="Calibri" w:hAnsi="Calibri" w:cs="Calibri"/>
          <w:szCs w:val="22"/>
          <w:lang w:eastAsia="en-US"/>
        </w:rPr>
      </w:pPr>
      <w:r w:rsidRPr="008676F9">
        <w:rPr>
          <w:rFonts w:ascii="Calibri" w:eastAsia="Calibri" w:hAnsi="Calibri" w:cs="Calibri"/>
          <w:szCs w:val="22"/>
          <w:lang w:eastAsia="en-US"/>
        </w:rPr>
        <w:t>Trenčiansky, Trnavský, Nitriansky a Bratislavský kraj.</w:t>
      </w:r>
    </w:p>
    <w:p w:rsidR="008676F9" w:rsidRPr="008676F9" w:rsidRDefault="008676F9" w:rsidP="00955DA4">
      <w:pPr>
        <w:numPr>
          <w:ilvl w:val="0"/>
          <w:numId w:val="154"/>
        </w:numPr>
        <w:spacing w:after="120"/>
        <w:ind w:left="714" w:hanging="357"/>
        <w:rPr>
          <w:rFonts w:ascii="Calibri" w:eastAsia="Calibri" w:hAnsi="Calibri" w:cs="Calibri"/>
          <w:szCs w:val="22"/>
          <w:lang w:eastAsia="en-US"/>
        </w:rPr>
      </w:pPr>
      <w:r w:rsidRPr="008676F9">
        <w:rPr>
          <w:rFonts w:ascii="Calibri" w:eastAsia="Calibri" w:hAnsi="Calibri" w:cs="Calibri"/>
          <w:szCs w:val="22"/>
          <w:lang w:eastAsia="en-US"/>
        </w:rPr>
        <w:t xml:space="preserve">Výzvy vo výberovom konaní  budú otvorené pre verejný aj súkromný sektor a vyradia sa uchádzači s konfliktom záujmov. </w:t>
      </w:r>
    </w:p>
    <w:p w:rsidR="008676F9" w:rsidRPr="008676F9" w:rsidRDefault="008676F9" w:rsidP="00955DA4">
      <w:pPr>
        <w:numPr>
          <w:ilvl w:val="0"/>
          <w:numId w:val="154"/>
        </w:numPr>
        <w:spacing w:after="120"/>
        <w:ind w:left="714" w:hanging="357"/>
        <w:rPr>
          <w:rFonts w:ascii="Calibri" w:eastAsia="Calibri" w:hAnsi="Calibri" w:cs="Calibri"/>
          <w:szCs w:val="22"/>
          <w:lang w:eastAsia="en-US"/>
        </w:rPr>
      </w:pPr>
      <w:r w:rsidRPr="008676F9">
        <w:rPr>
          <w:rFonts w:ascii="Calibri" w:eastAsia="Calibri" w:hAnsi="Calibri" w:cs="Calibri"/>
          <w:szCs w:val="22"/>
          <w:lang w:eastAsia="en-US"/>
        </w:rPr>
        <w:t xml:space="preserve">Úspešní uchádzači budú v rámci jednotlivých krajov poskytovať resp. zabezpečovať poskytovanie poradenských služieb v rámci všetkých oblastí.  Zároveň len títo uchádzači môžu predložiť žiadosť o nenávratný finančný príspevok na PPA.  </w:t>
      </w:r>
    </w:p>
    <w:p w:rsidR="008676F9" w:rsidRPr="008676F9" w:rsidRDefault="008676F9" w:rsidP="00955DA4">
      <w:pPr>
        <w:numPr>
          <w:ilvl w:val="0"/>
          <w:numId w:val="154"/>
        </w:numPr>
        <w:spacing w:after="120"/>
        <w:ind w:left="714" w:hanging="357"/>
        <w:rPr>
          <w:rFonts w:ascii="Calibri" w:eastAsia="Calibri" w:hAnsi="Calibri" w:cs="Calibri"/>
          <w:szCs w:val="22"/>
          <w:u w:val="single"/>
          <w:lang w:eastAsia="en-US"/>
        </w:rPr>
      </w:pPr>
      <w:r w:rsidRPr="008676F9">
        <w:rPr>
          <w:rFonts w:ascii="Calibri" w:eastAsia="Calibri" w:hAnsi="Calibri" w:cs="Calibri"/>
          <w:szCs w:val="22"/>
          <w:lang w:eastAsia="en-US"/>
        </w:rPr>
        <w:t xml:space="preserve">Každý poradca poskytujúci poradenské služby bude povinný absolvovať odborné vzdelávanie poradcov (akreditované moduly vzdelávania v organizácii poverenej MPRV SR), ktorého výstupom je získanie certifikátu na spôsobilosť poskytovať poradenskú službu. </w:t>
      </w:r>
    </w:p>
    <w:p w:rsidR="008676F9" w:rsidRPr="008676F9" w:rsidRDefault="008676F9" w:rsidP="00955DA4">
      <w:pPr>
        <w:numPr>
          <w:ilvl w:val="0"/>
          <w:numId w:val="154"/>
        </w:numPr>
        <w:tabs>
          <w:tab w:val="left" w:pos="708"/>
        </w:tabs>
        <w:suppressAutoHyphens/>
        <w:rPr>
          <w:rFonts w:ascii="Calibri" w:eastAsia="Calibri" w:hAnsi="Calibri" w:cs="Calibri"/>
          <w:bCs/>
          <w:szCs w:val="22"/>
          <w:lang w:eastAsia="en-US"/>
        </w:rPr>
      </w:pPr>
      <w:r w:rsidRPr="008676F9">
        <w:rPr>
          <w:rFonts w:ascii="Calibri" w:eastAsia="Calibri" w:hAnsi="Calibri" w:cs="Calibri"/>
          <w:bCs/>
          <w:szCs w:val="22"/>
          <w:lang w:eastAsia="en-US"/>
        </w:rPr>
        <w:t>Adresátom poradenstva musí byť: p</w:t>
      </w:r>
      <w:r w:rsidRPr="008676F9">
        <w:rPr>
          <w:rFonts w:ascii="Calibri" w:eastAsia="Calibri" w:hAnsi="Calibri" w:cs="Calibri"/>
          <w:szCs w:val="22"/>
          <w:lang w:eastAsia="en-US"/>
        </w:rPr>
        <w:t>oľnohospodár a/alebo obhospodarovateľ lesa.</w:t>
      </w:r>
    </w:p>
    <w:p w:rsidR="008676F9" w:rsidRPr="008676F9" w:rsidRDefault="008676F9" w:rsidP="007B5045">
      <w:pPr>
        <w:ind w:left="714"/>
        <w:rPr>
          <w:rFonts w:ascii="Calibri" w:eastAsia="Calibri" w:hAnsi="Calibri" w:cs="Calibri"/>
          <w:szCs w:val="22"/>
          <w:u w:val="single"/>
          <w:lang w:eastAsia="en-US"/>
        </w:rPr>
      </w:pPr>
    </w:p>
    <w:p w:rsidR="008676F9" w:rsidRPr="008676F9" w:rsidRDefault="008676F9" w:rsidP="007B5045">
      <w:pPr>
        <w:rPr>
          <w:rFonts w:ascii="Calibri" w:eastAsia="Calibri" w:hAnsi="Calibri" w:cs="Calibri"/>
          <w:b/>
          <w:bCs/>
          <w:szCs w:val="22"/>
          <w:u w:val="single"/>
          <w:lang w:eastAsia="en-US"/>
        </w:rPr>
      </w:pPr>
      <w:r w:rsidRPr="008676F9">
        <w:rPr>
          <w:rFonts w:ascii="Calibri" w:eastAsia="Calibri" w:hAnsi="Calibri" w:cs="Calibri"/>
          <w:bCs/>
          <w:szCs w:val="22"/>
          <w:u w:val="single"/>
          <w:lang w:eastAsia="en-US"/>
        </w:rPr>
        <w:t>Princípy nastavenia výberových kritérií</w:t>
      </w:r>
      <w:r w:rsidRPr="008676F9">
        <w:rPr>
          <w:rFonts w:ascii="Calibri" w:eastAsia="Calibri" w:hAnsi="Calibri" w:cs="Calibri"/>
          <w:b/>
          <w:bCs/>
          <w:szCs w:val="22"/>
          <w:u w:val="single"/>
          <w:lang w:eastAsia="en-US"/>
        </w:rPr>
        <w:t>:</w:t>
      </w:r>
    </w:p>
    <w:p w:rsidR="008676F9" w:rsidRPr="008676F9" w:rsidRDefault="008676F9" w:rsidP="00BE36D5">
      <w:pPr>
        <w:spacing w:after="120"/>
        <w:rPr>
          <w:rFonts w:ascii="Calibri" w:eastAsia="Calibri" w:hAnsi="Calibri" w:cs="Calibri"/>
          <w:szCs w:val="22"/>
          <w:lang w:eastAsia="en-US"/>
        </w:rPr>
      </w:pPr>
      <w:r w:rsidRPr="008676F9">
        <w:rPr>
          <w:rFonts w:ascii="Calibri" w:eastAsia="Calibri" w:hAnsi="Calibri" w:cs="Calibri"/>
          <w:szCs w:val="22"/>
          <w:lang w:eastAsia="en-US"/>
        </w:rPr>
        <w:t>Výber poradcov bude zabezpečovaný na základe zákona o verejnom obstarávaní, pričom úspešní uchádzači o podporu musia spĺňať základné odborné kritériá spôsobilosti poskytovať poradenské služby určené MPRV SR:</w:t>
      </w:r>
    </w:p>
    <w:p w:rsidR="008676F9" w:rsidRPr="008676F9" w:rsidRDefault="008676F9" w:rsidP="00955DA4">
      <w:pPr>
        <w:numPr>
          <w:ilvl w:val="0"/>
          <w:numId w:val="217"/>
        </w:numPr>
        <w:contextualSpacing/>
        <w:rPr>
          <w:rFonts w:ascii="Calibri" w:eastAsia="Calibri" w:hAnsi="Calibri" w:cs="Calibri"/>
          <w:bCs/>
          <w:szCs w:val="22"/>
          <w:lang w:eastAsia="en-US"/>
        </w:rPr>
      </w:pPr>
      <w:r w:rsidRPr="008676F9">
        <w:rPr>
          <w:rFonts w:ascii="Calibri" w:eastAsia="Calibri" w:hAnsi="Calibri" w:cs="Calibri"/>
          <w:bCs/>
          <w:szCs w:val="22"/>
          <w:lang w:eastAsia="en-US"/>
        </w:rPr>
        <w:t>certifikáciu;</w:t>
      </w:r>
    </w:p>
    <w:p w:rsidR="008676F9" w:rsidRPr="008676F9" w:rsidRDefault="008676F9" w:rsidP="00955DA4">
      <w:pPr>
        <w:numPr>
          <w:ilvl w:val="0"/>
          <w:numId w:val="217"/>
        </w:numPr>
        <w:contextualSpacing/>
        <w:rPr>
          <w:rFonts w:ascii="Calibri" w:eastAsia="Calibri" w:hAnsi="Calibri" w:cs="Calibri"/>
          <w:bCs/>
          <w:szCs w:val="22"/>
          <w:lang w:eastAsia="en-US"/>
        </w:rPr>
      </w:pPr>
      <w:r w:rsidRPr="008676F9">
        <w:rPr>
          <w:rFonts w:ascii="Calibri" w:eastAsia="Calibri" w:hAnsi="Calibri" w:cs="Calibri"/>
          <w:bCs/>
          <w:szCs w:val="22"/>
          <w:lang w:eastAsia="en-US"/>
        </w:rPr>
        <w:t>zodpovedajúce  vzdelanie príslušné k danej oblasti poradenstva (vysokoškolské vzdelanie so zameraním poľnohospodárskym, prírodovedeckým, environmentálnym a ekonomickým) + 3 roky praxe</w:t>
      </w:r>
      <w:r w:rsidRPr="008676F9">
        <w:rPr>
          <w:rFonts w:ascii="Calibri" w:eastAsia="Calibri" w:hAnsi="Calibri" w:cs="Calibri"/>
          <w:bCs/>
          <w:szCs w:val="22"/>
          <w:lang w:val="en-US" w:eastAsia="en-US"/>
        </w:rPr>
        <w:t>.</w:t>
      </w:r>
    </w:p>
    <w:p w:rsidR="008676F9" w:rsidRPr="008676F9" w:rsidRDefault="008676F9" w:rsidP="007B5045">
      <w:pPr>
        <w:rPr>
          <w:rFonts w:ascii="Calibri" w:eastAsia="Calibri" w:hAnsi="Calibri" w:cs="Calibri"/>
          <w:b/>
          <w:bCs/>
          <w:szCs w:val="22"/>
          <w:u w:val="single"/>
          <w:lang w:eastAsia="en-US"/>
        </w:rPr>
      </w:pPr>
    </w:p>
    <w:p w:rsidR="008676F9" w:rsidRPr="008676F9" w:rsidRDefault="008676F9" w:rsidP="007B5045">
      <w:pPr>
        <w:rPr>
          <w:rFonts w:ascii="Calibri" w:eastAsia="Calibri" w:hAnsi="Calibri" w:cs="Calibri"/>
          <w:szCs w:val="22"/>
          <w:lang w:eastAsia="en-US"/>
        </w:rPr>
      </w:pPr>
      <w:r w:rsidRPr="008676F9">
        <w:rPr>
          <w:rFonts w:ascii="Calibri" w:eastAsia="Calibri" w:hAnsi="Calibri" w:cs="Calibri"/>
          <w:bCs/>
          <w:szCs w:val="22"/>
          <w:u w:val="single"/>
          <w:lang w:eastAsia="en-US"/>
        </w:rPr>
        <w:t>Výška a miera podpory</w:t>
      </w:r>
      <w:r w:rsidRPr="008676F9">
        <w:rPr>
          <w:rFonts w:ascii="Calibri" w:eastAsia="Calibri" w:hAnsi="Calibri" w:cs="Calibri"/>
          <w:szCs w:val="22"/>
          <w:lang w:eastAsia="en-US"/>
        </w:rPr>
        <w:t xml:space="preserve">: </w:t>
      </w:r>
    </w:p>
    <w:p w:rsidR="008676F9" w:rsidRPr="008676F9" w:rsidRDefault="008676F9" w:rsidP="00955DA4">
      <w:pPr>
        <w:numPr>
          <w:ilvl w:val="0"/>
          <w:numId w:val="151"/>
        </w:numPr>
        <w:spacing w:after="120"/>
        <w:ind w:left="714" w:hanging="357"/>
        <w:rPr>
          <w:rFonts w:ascii="Calibri" w:eastAsia="Calibri" w:hAnsi="Calibri" w:cs="Calibri"/>
          <w:szCs w:val="22"/>
          <w:lang w:eastAsia="en-US"/>
        </w:rPr>
      </w:pPr>
      <w:r w:rsidRPr="008676F9">
        <w:rPr>
          <w:rFonts w:ascii="Calibri" w:eastAsia="Calibri" w:hAnsi="Calibri" w:cs="Calibri"/>
          <w:szCs w:val="22"/>
          <w:lang w:eastAsia="en-US"/>
        </w:rPr>
        <w:t xml:space="preserve">max 1 500 €/za 1 poskytnutú poradenskú  službu; </w:t>
      </w:r>
    </w:p>
    <w:p w:rsidR="008676F9" w:rsidRDefault="008676F9" w:rsidP="00955DA4">
      <w:pPr>
        <w:numPr>
          <w:ilvl w:val="0"/>
          <w:numId w:val="151"/>
        </w:numPr>
        <w:spacing w:after="120"/>
        <w:ind w:left="714" w:hanging="357"/>
        <w:rPr>
          <w:rFonts w:ascii="Calibri" w:eastAsia="Calibri" w:hAnsi="Calibri" w:cs="Calibri"/>
          <w:szCs w:val="22"/>
          <w:lang w:eastAsia="en-US"/>
        </w:rPr>
      </w:pPr>
      <w:r w:rsidRPr="008676F9">
        <w:rPr>
          <w:rFonts w:ascii="Calibri" w:eastAsia="Calibri" w:hAnsi="Calibri" w:cs="Calibri"/>
          <w:szCs w:val="22"/>
          <w:lang w:eastAsia="en-US"/>
        </w:rPr>
        <w:t>preukázaný počet hodín poskytnutých individuálnemu konečnému prijímateľovi pri max. sadzbe 120 €/hod, pričom súčasťou sadzby sú oprávnené výdavky a zisk vrátane vzdelávania;</w:t>
      </w:r>
    </w:p>
    <w:p w:rsidR="000E76A1" w:rsidRPr="008676F9" w:rsidRDefault="000E76A1" w:rsidP="00955DA4">
      <w:pPr>
        <w:numPr>
          <w:ilvl w:val="0"/>
          <w:numId w:val="151"/>
        </w:numPr>
        <w:spacing w:after="120"/>
        <w:ind w:left="714" w:hanging="357"/>
        <w:rPr>
          <w:rFonts w:ascii="Calibri" w:eastAsia="Calibri" w:hAnsi="Calibri" w:cs="Calibri"/>
          <w:szCs w:val="22"/>
          <w:lang w:eastAsia="en-US"/>
        </w:rPr>
      </w:pPr>
      <w:r>
        <w:rPr>
          <w:rFonts w:ascii="Calibri" w:eastAsia="Calibri" w:hAnsi="Calibri" w:cs="Calibri"/>
          <w:szCs w:val="22"/>
          <w:lang w:eastAsia="en-US"/>
        </w:rPr>
        <w:t>1 podnik za 2 roky/1 poradenská služba;</w:t>
      </w:r>
    </w:p>
    <w:p w:rsidR="008676F9" w:rsidRPr="008676F9" w:rsidRDefault="008676F9" w:rsidP="00955DA4">
      <w:pPr>
        <w:numPr>
          <w:ilvl w:val="0"/>
          <w:numId w:val="151"/>
        </w:numPr>
        <w:spacing w:after="120"/>
        <w:ind w:left="714" w:hanging="357"/>
        <w:rPr>
          <w:rFonts w:ascii="Calibri" w:eastAsia="Calibri" w:hAnsi="Calibri" w:cs="Calibri"/>
          <w:szCs w:val="22"/>
          <w:lang w:eastAsia="en-US"/>
        </w:rPr>
      </w:pPr>
      <w:r w:rsidRPr="008676F9">
        <w:rPr>
          <w:rFonts w:ascii="Calibri" w:eastAsia="Calibri" w:hAnsi="Calibri" w:cs="Calibri"/>
          <w:szCs w:val="22"/>
          <w:lang w:eastAsia="en-US"/>
        </w:rPr>
        <w:t xml:space="preserve">max. 100 000 </w:t>
      </w:r>
      <w:r w:rsidR="00646537">
        <w:rPr>
          <w:rFonts w:ascii="Calibri" w:eastAsia="Calibri" w:hAnsi="Calibri" w:cs="Calibri"/>
          <w:szCs w:val="22"/>
          <w:lang w:eastAsia="en-US"/>
        </w:rPr>
        <w:t>€</w:t>
      </w:r>
      <w:r w:rsidRPr="008676F9">
        <w:rPr>
          <w:rFonts w:ascii="Calibri" w:eastAsia="Calibri" w:hAnsi="Calibri" w:cs="Calibri"/>
          <w:szCs w:val="22"/>
          <w:lang w:eastAsia="en-US"/>
        </w:rPr>
        <w:t xml:space="preserve"> na rok pre jedného prijímateľa podpory za 1 kraj;</w:t>
      </w:r>
    </w:p>
    <w:p w:rsidR="008676F9" w:rsidRPr="008676F9" w:rsidRDefault="008676F9" w:rsidP="00955DA4">
      <w:pPr>
        <w:numPr>
          <w:ilvl w:val="0"/>
          <w:numId w:val="151"/>
        </w:numPr>
        <w:contextualSpacing/>
        <w:rPr>
          <w:rFonts w:ascii="Calibri" w:eastAsia="Calibri" w:hAnsi="Calibri" w:cs="Calibri"/>
          <w:szCs w:val="22"/>
          <w:lang w:eastAsia="en-US"/>
        </w:rPr>
      </w:pPr>
      <w:r w:rsidRPr="008676F9">
        <w:rPr>
          <w:rFonts w:ascii="Calibri" w:eastAsia="Calibri" w:hAnsi="Calibri" w:cs="Calibri"/>
          <w:szCs w:val="22"/>
          <w:lang w:eastAsia="en-US"/>
        </w:rPr>
        <w:t xml:space="preserve">max. 50 000 </w:t>
      </w:r>
      <w:r w:rsidR="00646537">
        <w:rPr>
          <w:rFonts w:ascii="Calibri" w:eastAsia="Calibri" w:hAnsi="Calibri" w:cs="Calibri"/>
          <w:szCs w:val="22"/>
          <w:lang w:eastAsia="en-US"/>
        </w:rPr>
        <w:t>€</w:t>
      </w:r>
      <w:r w:rsidRPr="008676F9">
        <w:rPr>
          <w:rFonts w:ascii="Calibri" w:eastAsia="Calibri" w:hAnsi="Calibri" w:cs="Calibri"/>
          <w:szCs w:val="22"/>
          <w:lang w:eastAsia="en-US"/>
        </w:rPr>
        <w:t xml:space="preserve"> na rok pre jedného prijímateľa podpory za 1 oblasť v prípade poradenstva pre obhospodarovateľov lesa.</w:t>
      </w:r>
    </w:p>
    <w:p w:rsidR="008676F9" w:rsidRDefault="008676F9" w:rsidP="007B5045">
      <w:pPr>
        <w:rPr>
          <w:rFonts w:ascii="Calibri" w:eastAsia="Calibri" w:hAnsi="Calibri" w:cs="Calibri"/>
          <w:szCs w:val="22"/>
          <w:lang w:eastAsia="en-US"/>
        </w:rPr>
      </w:pPr>
    </w:p>
    <w:p w:rsidR="00BE36D5" w:rsidRDefault="00BE36D5" w:rsidP="007B5045">
      <w:pPr>
        <w:rPr>
          <w:rFonts w:ascii="Calibri" w:eastAsia="Calibri" w:hAnsi="Calibri" w:cs="Calibri"/>
          <w:szCs w:val="22"/>
          <w:lang w:eastAsia="en-US"/>
        </w:rPr>
      </w:pPr>
    </w:p>
    <w:p w:rsidR="000E5C15" w:rsidRPr="008676F9" w:rsidRDefault="000E5C15" w:rsidP="007B5045">
      <w:pPr>
        <w:rPr>
          <w:rFonts w:ascii="Calibri" w:eastAsia="Calibri" w:hAnsi="Calibri" w:cs="Calibri"/>
          <w:szCs w:val="22"/>
          <w:lang w:eastAsia="en-US"/>
        </w:rPr>
      </w:pPr>
    </w:p>
    <w:p w:rsidR="008676F9" w:rsidRPr="008676F9" w:rsidRDefault="008676F9" w:rsidP="007B5045">
      <w:pPr>
        <w:shd w:val="clear" w:color="auto" w:fill="EAF1DD"/>
        <w:rPr>
          <w:rFonts w:ascii="Calibri" w:eastAsia="Calibri" w:hAnsi="Calibri" w:cs="Calibri"/>
          <w:bCs/>
          <w:i/>
          <w:lang w:eastAsia="en-US"/>
        </w:rPr>
      </w:pPr>
      <w:r w:rsidRPr="008676F9">
        <w:rPr>
          <w:rFonts w:ascii="Calibri" w:eastAsia="Calibri" w:hAnsi="Calibri" w:cs="Calibri"/>
          <w:bCs/>
          <w:lang w:eastAsia="en-US"/>
        </w:rPr>
        <w:t xml:space="preserve">Podopatrenie: </w:t>
      </w:r>
      <w:r w:rsidRPr="008676F9">
        <w:rPr>
          <w:rFonts w:ascii="Calibri" w:eastAsia="Calibri" w:hAnsi="Calibri" w:cs="Calibri"/>
          <w:b/>
          <w:bCs/>
          <w:i/>
          <w:lang w:eastAsia="en-US"/>
        </w:rPr>
        <w:t xml:space="preserve">2.2 </w:t>
      </w:r>
      <w:r w:rsidRPr="00CC6591">
        <w:rPr>
          <w:rFonts w:ascii="Calibri" w:eastAsia="Calibri" w:hAnsi="Calibri" w:cs="Calibri"/>
          <w:b/>
          <w:bCs/>
          <w:i/>
          <w:sz w:val="24"/>
          <w:lang w:eastAsia="en-US"/>
        </w:rPr>
        <w:t>Podpora vzdelávania poradcov</w:t>
      </w:r>
    </w:p>
    <w:p w:rsidR="008676F9" w:rsidRPr="008676F9" w:rsidRDefault="008676F9" w:rsidP="007B5045">
      <w:pPr>
        <w:shd w:val="clear" w:color="auto" w:fill="FBD4B4"/>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Názov operácie:</w:t>
      </w:r>
    </w:p>
    <w:p w:rsidR="008676F9" w:rsidRPr="008676F9" w:rsidRDefault="008676F9" w:rsidP="007B5045">
      <w:pPr>
        <w:shd w:val="clear" w:color="auto" w:fill="FBD4B4"/>
        <w:rPr>
          <w:rFonts w:ascii="Calibri" w:eastAsia="Calibri" w:hAnsi="Calibri" w:cs="Calibri"/>
          <w:bCs/>
          <w:i/>
          <w:szCs w:val="22"/>
          <w:lang w:eastAsia="en-US"/>
        </w:rPr>
      </w:pPr>
      <w:r w:rsidRPr="008676F9">
        <w:rPr>
          <w:rFonts w:ascii="Calibri" w:eastAsia="Calibri" w:hAnsi="Calibri" w:cs="Calibri"/>
          <w:bCs/>
          <w:i/>
          <w:szCs w:val="22"/>
          <w:lang w:eastAsia="en-US"/>
        </w:rPr>
        <w:t>Podpora vzdelávania poradcov v poľnohospodárstve a lesnom hospodárstve</w:t>
      </w:r>
    </w:p>
    <w:p w:rsidR="008676F9" w:rsidRPr="008676F9" w:rsidRDefault="008676F9" w:rsidP="007B5045">
      <w:pPr>
        <w:rPr>
          <w:rFonts w:ascii="Calibri" w:eastAsia="Calibri" w:hAnsi="Calibri" w:cs="Calibri"/>
          <w:bCs/>
          <w:i/>
          <w:szCs w:val="22"/>
          <w:lang w:eastAsia="en-US"/>
        </w:rPr>
      </w:pPr>
      <w:r w:rsidRPr="008676F9">
        <w:rPr>
          <w:rFonts w:ascii="Calibri" w:eastAsia="Calibri" w:hAnsi="Calibri" w:cs="Calibri"/>
          <w:bCs/>
          <w:i/>
          <w:szCs w:val="22"/>
          <w:lang w:eastAsia="en-US"/>
        </w:rPr>
        <w:t xml:space="preserve"> </w:t>
      </w:r>
    </w:p>
    <w:p w:rsidR="008676F9" w:rsidRPr="008676F9" w:rsidRDefault="008676F9" w:rsidP="007B5045">
      <w:pPr>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Opis operácie:</w:t>
      </w:r>
    </w:p>
    <w:p w:rsidR="008676F9" w:rsidRPr="008676F9" w:rsidRDefault="008676F9" w:rsidP="007B5045">
      <w:pPr>
        <w:autoSpaceDE w:val="0"/>
        <w:autoSpaceDN w:val="0"/>
        <w:adjustRightInd w:val="0"/>
        <w:rPr>
          <w:rFonts w:ascii="Calibri" w:eastAsia="Calibri" w:hAnsi="Calibri"/>
          <w:szCs w:val="22"/>
          <w:lang w:eastAsia="en-US"/>
        </w:rPr>
      </w:pPr>
      <w:r w:rsidRPr="008676F9">
        <w:rPr>
          <w:rFonts w:ascii="Calibri" w:eastAsia="Calibri" w:hAnsi="Calibri"/>
          <w:szCs w:val="22"/>
          <w:lang w:eastAsia="en-US"/>
        </w:rPr>
        <w:t>Hlavná cesta pre zlepšenie efektívnosti podnikate</w:t>
      </w:r>
      <w:r w:rsidRPr="008676F9">
        <w:rPr>
          <w:rFonts w:ascii="Calibri" w:eastAsia="Calibri" w:hAnsi="Calibri" w:cs="TimesNewRoman"/>
          <w:szCs w:val="22"/>
          <w:lang w:eastAsia="en-US"/>
        </w:rPr>
        <w:t>ľ</w:t>
      </w:r>
      <w:r w:rsidRPr="008676F9">
        <w:rPr>
          <w:rFonts w:ascii="Calibri" w:eastAsia="Calibri" w:hAnsi="Calibri"/>
          <w:szCs w:val="22"/>
          <w:lang w:eastAsia="en-US"/>
        </w:rPr>
        <w:t>ských subjektov a rast po</w:t>
      </w:r>
      <w:r w:rsidRPr="008676F9">
        <w:rPr>
          <w:rFonts w:ascii="Calibri" w:eastAsia="Calibri" w:hAnsi="Calibri" w:cs="TimesNewRoman"/>
          <w:szCs w:val="22"/>
          <w:lang w:eastAsia="en-US"/>
        </w:rPr>
        <w:t>ľ</w:t>
      </w:r>
      <w:r w:rsidRPr="008676F9">
        <w:rPr>
          <w:rFonts w:ascii="Calibri" w:eastAsia="Calibri" w:hAnsi="Calibri"/>
          <w:szCs w:val="22"/>
          <w:lang w:eastAsia="en-US"/>
        </w:rPr>
        <w:t>nohospodárskej produkcie je vzdelávanie agropodnikate</w:t>
      </w:r>
      <w:r w:rsidRPr="008676F9">
        <w:rPr>
          <w:rFonts w:ascii="Calibri" w:eastAsia="Calibri" w:hAnsi="Calibri" w:cs="TimesNewRoman"/>
          <w:szCs w:val="22"/>
          <w:lang w:eastAsia="en-US"/>
        </w:rPr>
        <w:t>ľ</w:t>
      </w:r>
      <w:r w:rsidRPr="008676F9">
        <w:rPr>
          <w:rFonts w:ascii="Calibri" w:eastAsia="Calibri" w:hAnsi="Calibri"/>
          <w:szCs w:val="22"/>
          <w:lang w:eastAsia="en-US"/>
        </w:rPr>
        <w:t>ov, čo si vyžaduje kvalitných poradcov. Systém ďalšieho vzdelávania poradcov (povinný, základný a nadstavbový kurz) štátnymi vzdelávacími inštitúciami podľa jednotlivých odborností v akreditovaných vzdelávacích aktivitách, vychádza zo základnej požiadavky, že poradcovia si musia trvalo zdokonaľovať svoju odbornosť, vedomosti, metódy a pracovné postupy, aby podávali najlepšie výsledky a výstupy jednotlivcom.  Efektívne väzby medzi farmárom a poradcom si vyžaduje  poradcov, ktorí  navštevujú podnikate</w:t>
      </w:r>
      <w:r w:rsidRPr="008676F9">
        <w:rPr>
          <w:rFonts w:ascii="Calibri" w:eastAsia="Calibri" w:hAnsi="Calibri" w:cs="TimesNewRoman"/>
          <w:szCs w:val="22"/>
          <w:lang w:eastAsia="en-US"/>
        </w:rPr>
        <w:t>ľ</w:t>
      </w:r>
      <w:r w:rsidRPr="008676F9">
        <w:rPr>
          <w:rFonts w:ascii="Calibri" w:eastAsia="Calibri" w:hAnsi="Calibri"/>
          <w:szCs w:val="22"/>
          <w:lang w:eastAsia="en-US"/>
        </w:rPr>
        <w:t>ské subjekty, spolu analyzujú ich problémy a diskutujú, ktoré riešenia sú možné. Kvality, ktoré poradca potrebuje sú  na jednej strane množstvo odborných zručností a intelektuálnych vlastností a na druhej strane množstvo výnimo</w:t>
      </w:r>
      <w:r w:rsidRPr="008676F9">
        <w:rPr>
          <w:rFonts w:ascii="Calibri" w:eastAsia="Calibri" w:hAnsi="Calibri" w:cs="TimesNewRoman"/>
          <w:szCs w:val="22"/>
          <w:lang w:eastAsia="en-US"/>
        </w:rPr>
        <w:t>č</w:t>
      </w:r>
      <w:r w:rsidRPr="008676F9">
        <w:rPr>
          <w:rFonts w:ascii="Calibri" w:eastAsia="Calibri" w:hAnsi="Calibri"/>
          <w:szCs w:val="22"/>
          <w:lang w:eastAsia="en-US"/>
        </w:rPr>
        <w:t>ných osobných zručností. Hlavným cieľom podpory poradcov v poľnohospodárstve a lesnom hospodárstve je zabezpečiť odbornosť, profesionalitu a schopnosť zvládnuť prácu na projekte v svojej oblasti, ponúkajúc nové špeciálne služby, špecializujúc sa na ur</w:t>
      </w:r>
      <w:r w:rsidRPr="008676F9">
        <w:rPr>
          <w:rFonts w:ascii="Calibri" w:eastAsia="Calibri" w:hAnsi="Calibri" w:cs="TimesNewRoman"/>
          <w:szCs w:val="22"/>
          <w:lang w:eastAsia="en-US"/>
        </w:rPr>
        <w:t>č</w:t>
      </w:r>
      <w:r w:rsidRPr="008676F9">
        <w:rPr>
          <w:rFonts w:ascii="Calibri" w:eastAsia="Calibri" w:hAnsi="Calibri"/>
          <w:szCs w:val="22"/>
          <w:lang w:eastAsia="en-US"/>
        </w:rPr>
        <w:t>ité odbory, alebo naopak poskytujú najnáro</w:t>
      </w:r>
      <w:r w:rsidRPr="008676F9">
        <w:rPr>
          <w:rFonts w:ascii="Calibri" w:eastAsia="Calibri" w:hAnsi="Calibri" w:cs="TimesNewRoman"/>
          <w:szCs w:val="22"/>
          <w:lang w:eastAsia="en-US"/>
        </w:rPr>
        <w:t>č</w:t>
      </w:r>
      <w:r w:rsidRPr="008676F9">
        <w:rPr>
          <w:rFonts w:ascii="Calibri" w:eastAsia="Calibri" w:hAnsi="Calibri"/>
          <w:szCs w:val="22"/>
          <w:lang w:eastAsia="en-US"/>
        </w:rPr>
        <w:t>nejším zákazníkom obsiahly súbor služieb s aplikovaním nových metód intervencie s maximálnou profesionalitou s oh</w:t>
      </w:r>
      <w:r w:rsidRPr="008676F9">
        <w:rPr>
          <w:rFonts w:ascii="Calibri" w:eastAsia="Calibri" w:hAnsi="Calibri" w:cs="TimesNewRoman"/>
          <w:szCs w:val="22"/>
          <w:lang w:eastAsia="en-US"/>
        </w:rPr>
        <w:t>ľ</w:t>
      </w:r>
      <w:r w:rsidRPr="008676F9">
        <w:rPr>
          <w:rFonts w:ascii="Calibri" w:eastAsia="Calibri" w:hAnsi="Calibri"/>
          <w:szCs w:val="22"/>
          <w:lang w:eastAsia="en-US"/>
        </w:rPr>
        <w:t xml:space="preserve">adom na kvalitu služieb a štábnu integritu a na to, aby zákazník vždy dostal to, za </w:t>
      </w:r>
      <w:r w:rsidRPr="008676F9">
        <w:rPr>
          <w:rFonts w:ascii="Calibri" w:eastAsia="Calibri" w:hAnsi="Calibri" w:cs="TimesNewRoman"/>
          <w:szCs w:val="22"/>
          <w:lang w:eastAsia="en-US"/>
        </w:rPr>
        <w:t>č</w:t>
      </w:r>
      <w:r w:rsidRPr="008676F9">
        <w:rPr>
          <w:rFonts w:ascii="Calibri" w:eastAsia="Calibri" w:hAnsi="Calibri"/>
          <w:szCs w:val="22"/>
          <w:lang w:eastAsia="en-US"/>
        </w:rPr>
        <w:t>o platí. Odborné vzdelávanie poradcov je zamerané na pomoc poľnohospodárom a obhospodarovateľom lesa využívať poradenské služby na zlepšenie ekonomickej a environmentálnej výkonnosti, zlepšenie klimatických podmienok a pružnosti hospodárstva, podnikania a/alebo  investícií.</w:t>
      </w:r>
    </w:p>
    <w:p w:rsidR="008676F9" w:rsidRPr="008676F9" w:rsidRDefault="008676F9" w:rsidP="007B5045">
      <w:pPr>
        <w:rPr>
          <w:rFonts w:ascii="Calibri" w:eastAsia="Calibri" w:hAnsi="Calibri" w:cs="Arial"/>
          <w:bCs/>
          <w:szCs w:val="22"/>
          <w:lang w:eastAsia="en-US"/>
        </w:rPr>
      </w:pPr>
    </w:p>
    <w:p w:rsidR="008676F9" w:rsidRPr="008676F9" w:rsidRDefault="008676F9" w:rsidP="007B5045">
      <w:pPr>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 xml:space="preserve">Typ podpory: </w:t>
      </w:r>
    </w:p>
    <w:p w:rsidR="008676F9" w:rsidRPr="008676F9" w:rsidRDefault="008676F9" w:rsidP="00955DA4">
      <w:pPr>
        <w:numPr>
          <w:ilvl w:val="0"/>
          <w:numId w:val="218"/>
        </w:numPr>
        <w:rPr>
          <w:rFonts w:ascii="Calibri" w:eastAsia="Calibri" w:hAnsi="Calibri" w:cs="Calibri"/>
          <w:bCs/>
          <w:szCs w:val="22"/>
          <w:lang w:eastAsia="en-US"/>
        </w:rPr>
      </w:pPr>
      <w:r w:rsidRPr="008676F9">
        <w:rPr>
          <w:rFonts w:ascii="Calibri" w:eastAsia="Calibri" w:hAnsi="Calibri" w:cs="Calibri"/>
          <w:bCs/>
          <w:szCs w:val="22"/>
          <w:lang w:eastAsia="en-US"/>
        </w:rPr>
        <w:t>nezisková, nenávratný finančný príspevok;</w:t>
      </w:r>
    </w:p>
    <w:p w:rsidR="008676F9" w:rsidRPr="008676F9" w:rsidRDefault="008676F9" w:rsidP="00955DA4">
      <w:pPr>
        <w:numPr>
          <w:ilvl w:val="0"/>
          <w:numId w:val="218"/>
        </w:numPr>
        <w:rPr>
          <w:rFonts w:ascii="Calibri" w:eastAsia="Calibri" w:hAnsi="Calibri" w:cs="Calibri"/>
          <w:bCs/>
          <w:szCs w:val="22"/>
          <w:lang w:eastAsia="en-US"/>
        </w:rPr>
      </w:pPr>
      <w:r w:rsidRPr="008676F9">
        <w:rPr>
          <w:rFonts w:ascii="Calibri" w:eastAsia="Calibri" w:hAnsi="Calibri" w:cs="Calibri"/>
          <w:bCs/>
          <w:szCs w:val="22"/>
          <w:lang w:eastAsia="en-US"/>
        </w:rPr>
        <w:t>degresívna forma podpory.</w:t>
      </w:r>
    </w:p>
    <w:p w:rsidR="008676F9" w:rsidRPr="008676F9" w:rsidRDefault="008676F9" w:rsidP="007B5045">
      <w:pPr>
        <w:rPr>
          <w:rFonts w:ascii="Calibri" w:eastAsia="Calibri" w:hAnsi="Calibri" w:cs="Calibri"/>
          <w:bCs/>
          <w:szCs w:val="22"/>
          <w:u w:val="single"/>
          <w:lang w:eastAsia="en-US"/>
        </w:rPr>
      </w:pPr>
    </w:p>
    <w:p w:rsidR="008676F9" w:rsidRPr="008676F9" w:rsidRDefault="008676F9" w:rsidP="007B5045">
      <w:pPr>
        <w:rPr>
          <w:rFonts w:ascii="Calibri" w:eastAsia="Calibri" w:hAnsi="Calibri" w:cs="Arial"/>
          <w:bCs/>
          <w:szCs w:val="22"/>
          <w:lang w:eastAsia="en-US"/>
        </w:rPr>
      </w:pPr>
      <w:r w:rsidRPr="008676F9">
        <w:rPr>
          <w:rFonts w:ascii="Calibri" w:eastAsia="Calibri" w:hAnsi="Calibri" w:cs="Calibri"/>
          <w:bCs/>
          <w:szCs w:val="22"/>
          <w:u w:val="single"/>
          <w:lang w:eastAsia="en-US"/>
        </w:rPr>
        <w:t>Súvislosť s ostatnou legislatívou</w:t>
      </w:r>
    </w:p>
    <w:p w:rsidR="008676F9" w:rsidRPr="008676F9" w:rsidRDefault="008676F9" w:rsidP="00955DA4">
      <w:pPr>
        <w:numPr>
          <w:ilvl w:val="0"/>
          <w:numId w:val="155"/>
        </w:numPr>
        <w:contextualSpacing/>
        <w:rPr>
          <w:rFonts w:ascii="Calibri" w:eastAsia="Calibri" w:hAnsi="Calibri" w:cs="Arial"/>
          <w:bCs/>
          <w:szCs w:val="22"/>
          <w:lang w:eastAsia="en-US"/>
        </w:rPr>
      </w:pPr>
      <w:r w:rsidRPr="008676F9">
        <w:rPr>
          <w:rFonts w:ascii="Calibri" w:eastAsia="Calibri" w:hAnsi="Calibri" w:cs="Arial"/>
          <w:bCs/>
          <w:szCs w:val="22"/>
          <w:lang w:eastAsia="en-US"/>
        </w:rPr>
        <w:t>zákon č. 568/2009 o celoživotnom vzdelávaní a o zmene a doplnení niektorých zákonov;</w:t>
      </w:r>
    </w:p>
    <w:p w:rsidR="008676F9" w:rsidRPr="008676F9" w:rsidRDefault="008676F9" w:rsidP="00955DA4">
      <w:pPr>
        <w:numPr>
          <w:ilvl w:val="0"/>
          <w:numId w:val="155"/>
        </w:numPr>
        <w:contextualSpacing/>
        <w:rPr>
          <w:rFonts w:ascii="Calibri" w:eastAsia="Calibri" w:hAnsi="Calibri" w:cs="Arial"/>
          <w:bCs/>
          <w:szCs w:val="22"/>
          <w:lang w:eastAsia="en-US"/>
        </w:rPr>
      </w:pPr>
      <w:r w:rsidRPr="008676F9">
        <w:rPr>
          <w:rFonts w:ascii="Calibri" w:eastAsia="Calibri" w:hAnsi="Calibri"/>
          <w:szCs w:val="22"/>
          <w:lang w:eastAsia="en-US"/>
        </w:rPr>
        <w:t>zákon 211/2013, ktorým sa mení a dopĺňa zákon z 5.10.2007 č. 543/2007 Z. z.  o pôsobnosti orgánov štátnej správy pri poskytovaní podpory pôdohospodárstve  a rozvoji, § 16e;</w:t>
      </w:r>
    </w:p>
    <w:p w:rsidR="008676F9" w:rsidRPr="008676F9" w:rsidRDefault="008676F9" w:rsidP="00955DA4">
      <w:pPr>
        <w:numPr>
          <w:ilvl w:val="0"/>
          <w:numId w:val="150"/>
        </w:numPr>
        <w:contextualSpacing/>
        <w:rPr>
          <w:rFonts w:ascii="Calibri" w:eastAsia="Calibri" w:hAnsi="Calibri"/>
          <w:szCs w:val="22"/>
          <w:lang w:eastAsia="en-US"/>
        </w:rPr>
      </w:pPr>
      <w:r w:rsidRPr="008676F9">
        <w:rPr>
          <w:rFonts w:ascii="Calibri" w:eastAsia="Calibri" w:hAnsi="Calibri"/>
          <w:szCs w:val="22"/>
          <w:lang w:eastAsia="en-US"/>
        </w:rPr>
        <w:t>Európsky kvalifikačný rámec;</w:t>
      </w:r>
    </w:p>
    <w:p w:rsidR="008676F9" w:rsidRPr="008676F9" w:rsidRDefault="008676F9" w:rsidP="00955DA4">
      <w:pPr>
        <w:numPr>
          <w:ilvl w:val="0"/>
          <w:numId w:val="155"/>
        </w:numPr>
        <w:contextualSpacing/>
        <w:rPr>
          <w:rFonts w:ascii="Calibri" w:eastAsia="Calibri" w:hAnsi="Calibri" w:cs="Arial"/>
          <w:bCs/>
          <w:szCs w:val="22"/>
          <w:lang w:eastAsia="en-US"/>
        </w:rPr>
      </w:pPr>
      <w:r w:rsidRPr="008676F9">
        <w:rPr>
          <w:rFonts w:ascii="Calibri" w:eastAsia="Calibri" w:hAnsi="Calibri"/>
          <w:szCs w:val="22"/>
          <w:lang w:eastAsia="en-US"/>
        </w:rPr>
        <w:t>smernica 2005/36 o uznávaní odborných kvalifikácii;</w:t>
      </w:r>
    </w:p>
    <w:p w:rsidR="008676F9" w:rsidRPr="008676F9" w:rsidRDefault="008676F9" w:rsidP="00955DA4">
      <w:pPr>
        <w:numPr>
          <w:ilvl w:val="0"/>
          <w:numId w:val="155"/>
        </w:numPr>
        <w:contextualSpacing/>
        <w:rPr>
          <w:rFonts w:ascii="Calibri" w:eastAsia="Calibri" w:hAnsi="Calibri" w:cs="Arial"/>
          <w:bCs/>
          <w:szCs w:val="22"/>
          <w:lang w:eastAsia="en-US"/>
        </w:rPr>
      </w:pPr>
      <w:r w:rsidRPr="008676F9">
        <w:rPr>
          <w:rFonts w:ascii="Calibri" w:eastAsia="Calibri" w:hAnsi="Calibri"/>
          <w:szCs w:val="22"/>
          <w:lang w:eastAsia="en-US"/>
        </w:rPr>
        <w:t>zákon č. 25/2006 o verejnom obstarávaní.</w:t>
      </w:r>
    </w:p>
    <w:p w:rsidR="008676F9" w:rsidRPr="008676F9" w:rsidRDefault="008676F9" w:rsidP="007B5045">
      <w:pPr>
        <w:rPr>
          <w:rFonts w:ascii="Calibri" w:eastAsia="Calibri" w:hAnsi="Calibri"/>
          <w:szCs w:val="22"/>
          <w:lang w:eastAsia="en-US"/>
        </w:rPr>
      </w:pPr>
    </w:p>
    <w:p w:rsidR="008676F9" w:rsidRPr="008676F9" w:rsidRDefault="008676F9" w:rsidP="007B5045">
      <w:pPr>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Prijímateľ podpory:</w:t>
      </w:r>
    </w:p>
    <w:p w:rsidR="008676F9" w:rsidRPr="008676F9" w:rsidRDefault="008676F9" w:rsidP="007B5045">
      <w:pPr>
        <w:rPr>
          <w:rFonts w:ascii="Calibri" w:eastAsia="Calibri" w:hAnsi="Calibri" w:cs="Calibri"/>
          <w:szCs w:val="22"/>
          <w:lang w:eastAsia="en-US"/>
        </w:rPr>
      </w:pPr>
      <w:r w:rsidRPr="008676F9">
        <w:rPr>
          <w:rFonts w:ascii="Calibri" w:eastAsia="Calibri" w:hAnsi="Calibri" w:cs="Calibri"/>
          <w:szCs w:val="22"/>
          <w:lang w:eastAsia="en-US"/>
        </w:rPr>
        <w:t>Vzdelávaci</w:t>
      </w:r>
      <w:r w:rsidR="00AC3B02">
        <w:rPr>
          <w:rFonts w:ascii="Calibri" w:eastAsia="Calibri" w:hAnsi="Calibri" w:cs="Calibri"/>
          <w:szCs w:val="22"/>
          <w:lang w:eastAsia="en-US"/>
        </w:rPr>
        <w:t>e</w:t>
      </w:r>
      <w:r w:rsidRPr="008676F9">
        <w:rPr>
          <w:rFonts w:ascii="Calibri" w:eastAsia="Calibri" w:hAnsi="Calibri" w:cs="Calibri"/>
          <w:szCs w:val="22"/>
          <w:lang w:eastAsia="en-US"/>
        </w:rPr>
        <w:t xml:space="preserve"> organizáci</w:t>
      </w:r>
      <w:r w:rsidR="00AC3B02">
        <w:rPr>
          <w:rFonts w:ascii="Calibri" w:eastAsia="Calibri" w:hAnsi="Calibri" w:cs="Calibri"/>
          <w:szCs w:val="22"/>
          <w:lang w:eastAsia="en-US"/>
        </w:rPr>
        <w:t>e</w:t>
      </w:r>
      <w:r w:rsidRPr="008676F9">
        <w:rPr>
          <w:rFonts w:ascii="Calibri" w:eastAsia="Calibri" w:hAnsi="Calibri" w:cs="Calibri"/>
          <w:szCs w:val="22"/>
          <w:lang w:eastAsia="en-US"/>
        </w:rPr>
        <w:t xml:space="preserve"> oprávnen</w:t>
      </w:r>
      <w:r w:rsidR="00AC3B02">
        <w:rPr>
          <w:rFonts w:ascii="Calibri" w:eastAsia="Calibri" w:hAnsi="Calibri" w:cs="Calibri"/>
          <w:szCs w:val="22"/>
          <w:lang w:eastAsia="en-US"/>
        </w:rPr>
        <w:t>é</w:t>
      </w:r>
      <w:r w:rsidRPr="008676F9">
        <w:rPr>
          <w:rFonts w:ascii="Calibri" w:eastAsia="Calibri" w:hAnsi="Calibri" w:cs="Calibri"/>
          <w:szCs w:val="22"/>
          <w:lang w:eastAsia="en-US"/>
        </w:rPr>
        <w:t xml:space="preserve"> k odbornej príprave poradcov </w:t>
      </w:r>
      <w:r w:rsidR="00AC3B02">
        <w:rPr>
          <w:rFonts w:ascii="Calibri" w:eastAsia="Calibri" w:hAnsi="Calibri" w:cs="Calibri"/>
          <w:szCs w:val="22"/>
          <w:lang w:eastAsia="en-US"/>
        </w:rPr>
        <w:t>vybrané na základe verejného obstarávania</w:t>
      </w:r>
      <w:r w:rsidRPr="008676F9">
        <w:rPr>
          <w:rFonts w:ascii="Calibri" w:eastAsia="Calibri" w:hAnsi="Calibri" w:cs="Calibri"/>
          <w:szCs w:val="22"/>
          <w:lang w:eastAsia="en-US"/>
        </w:rPr>
        <w:t xml:space="preserve"> Ministerstvom pôdohospodárstva a rozvoja vidieka SR</w:t>
      </w:r>
      <w:r w:rsidR="000E76A1">
        <w:rPr>
          <w:rFonts w:ascii="Calibri" w:eastAsia="Calibri" w:hAnsi="Calibri" w:cs="Calibri"/>
          <w:szCs w:val="22"/>
          <w:lang w:eastAsia="en-US"/>
        </w:rPr>
        <w:t>, resp. Pôdohospodárskou platobnou agentúrou</w:t>
      </w:r>
      <w:r w:rsidR="00E53590">
        <w:rPr>
          <w:rFonts w:ascii="Calibri" w:eastAsia="Calibri" w:hAnsi="Calibri" w:cs="Calibri"/>
          <w:szCs w:val="22"/>
          <w:lang w:eastAsia="en-US"/>
        </w:rPr>
        <w:t>.</w:t>
      </w:r>
    </w:p>
    <w:p w:rsidR="008676F9" w:rsidRPr="008676F9" w:rsidRDefault="008676F9" w:rsidP="007B5045">
      <w:pPr>
        <w:rPr>
          <w:rFonts w:ascii="Calibri" w:eastAsia="Calibri" w:hAnsi="Calibri" w:cs="Calibri"/>
          <w:szCs w:val="22"/>
          <w:lang w:eastAsia="en-US"/>
        </w:rPr>
      </w:pPr>
    </w:p>
    <w:p w:rsidR="008676F9" w:rsidRPr="008676F9" w:rsidRDefault="008676F9" w:rsidP="007B5045">
      <w:pPr>
        <w:rPr>
          <w:rFonts w:ascii="Calibri" w:eastAsia="Calibri" w:hAnsi="Calibri" w:cs="Calibri"/>
          <w:bCs/>
          <w:szCs w:val="22"/>
          <w:lang w:eastAsia="en-US"/>
        </w:rPr>
      </w:pPr>
      <w:r w:rsidRPr="008676F9">
        <w:rPr>
          <w:rFonts w:ascii="Calibri" w:eastAsia="Calibri" w:hAnsi="Calibri" w:cs="Calibri"/>
          <w:bCs/>
          <w:i/>
          <w:szCs w:val="22"/>
          <w:lang w:eastAsia="en-US"/>
        </w:rPr>
        <w:t>Užívatelia  podpory (adresáti vzdelávania</w:t>
      </w:r>
      <w:r w:rsidRPr="008676F9">
        <w:rPr>
          <w:rFonts w:ascii="Calibri" w:eastAsia="Calibri" w:hAnsi="Calibri" w:cs="Calibri"/>
          <w:bCs/>
          <w:szCs w:val="22"/>
          <w:lang w:eastAsia="en-US"/>
        </w:rPr>
        <w:t xml:space="preserve">): </w:t>
      </w:r>
    </w:p>
    <w:p w:rsidR="008676F9" w:rsidRDefault="008676F9" w:rsidP="007B5045">
      <w:pPr>
        <w:rPr>
          <w:rFonts w:ascii="Calibri" w:eastAsia="Calibri" w:hAnsi="Calibri" w:cs="Calibri"/>
          <w:bCs/>
          <w:szCs w:val="22"/>
          <w:lang w:eastAsia="en-US"/>
        </w:rPr>
      </w:pPr>
      <w:r w:rsidRPr="008676F9">
        <w:rPr>
          <w:rFonts w:ascii="Calibri" w:eastAsia="Calibri" w:hAnsi="Calibri" w:cs="Calibri"/>
          <w:bCs/>
          <w:szCs w:val="22"/>
          <w:lang w:eastAsia="en-US"/>
        </w:rPr>
        <w:t>Certifikovaní poradcovia, ktorí sa na cene vzdelávania za účelom získania certifikátu poradcu budú podieľať sumou  do výšky max. 50%.</w:t>
      </w:r>
    </w:p>
    <w:p w:rsidR="00BE36D5" w:rsidRPr="008676F9" w:rsidRDefault="00BE36D5" w:rsidP="007B5045">
      <w:pPr>
        <w:rPr>
          <w:rFonts w:ascii="Calibri" w:eastAsia="Calibri" w:hAnsi="Calibri" w:cs="Calibri"/>
          <w:bCs/>
          <w:szCs w:val="22"/>
          <w:lang w:eastAsia="en-US"/>
        </w:rPr>
      </w:pPr>
    </w:p>
    <w:p w:rsidR="008676F9" w:rsidRPr="008676F9" w:rsidRDefault="008676F9" w:rsidP="007B5045">
      <w:pPr>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Oprávnené náklady:</w:t>
      </w:r>
    </w:p>
    <w:p w:rsidR="008676F9" w:rsidRPr="008676F9" w:rsidRDefault="008676F9" w:rsidP="00BE36D5">
      <w:pPr>
        <w:spacing w:after="120"/>
        <w:rPr>
          <w:rFonts w:ascii="Calibri" w:eastAsia="Calibri" w:hAnsi="Calibri" w:cs="Calibri"/>
          <w:bCs/>
          <w:szCs w:val="22"/>
          <w:lang w:eastAsia="en-US"/>
        </w:rPr>
      </w:pPr>
      <w:r w:rsidRPr="008676F9">
        <w:rPr>
          <w:rFonts w:ascii="Calibri" w:eastAsia="Calibri" w:hAnsi="Calibri" w:cs="Calibri"/>
          <w:bCs/>
          <w:szCs w:val="22"/>
          <w:lang w:eastAsia="en-US"/>
        </w:rPr>
        <w:t xml:space="preserve">Náklady pre zabezpečenie systému vzdelávania v oblasti poľnohospodárstva a lesného hospodárstva: </w:t>
      </w:r>
    </w:p>
    <w:p w:rsidR="008676F9" w:rsidRPr="008676F9" w:rsidRDefault="008676F9" w:rsidP="00955DA4">
      <w:pPr>
        <w:numPr>
          <w:ilvl w:val="0"/>
          <w:numId w:val="223"/>
        </w:numPr>
        <w:spacing w:after="120"/>
        <w:ind w:left="760" w:hanging="357"/>
        <w:rPr>
          <w:rFonts w:ascii="Calibri" w:eastAsia="Calibri" w:hAnsi="Calibri" w:cs="Calibri"/>
          <w:bCs/>
          <w:szCs w:val="22"/>
          <w:lang w:eastAsia="en-US"/>
        </w:rPr>
      </w:pPr>
      <w:r w:rsidRPr="008676F9">
        <w:rPr>
          <w:rFonts w:ascii="Calibri" w:eastAsia="Calibri" w:hAnsi="Calibri" w:cs="Calibri"/>
          <w:bCs/>
          <w:szCs w:val="22"/>
          <w:lang w:eastAsia="en-US"/>
        </w:rPr>
        <w:t>Výdaje spojené s akreditáciou vzdelávacích programov a vzdelávacích modulov;</w:t>
      </w:r>
    </w:p>
    <w:p w:rsidR="008676F9" w:rsidRPr="008676F9" w:rsidRDefault="008676F9" w:rsidP="00955DA4">
      <w:pPr>
        <w:numPr>
          <w:ilvl w:val="0"/>
          <w:numId w:val="223"/>
        </w:numPr>
        <w:rPr>
          <w:rFonts w:ascii="Calibri" w:eastAsia="Calibri" w:hAnsi="Calibri" w:cs="Calibri"/>
          <w:bCs/>
          <w:szCs w:val="22"/>
          <w:lang w:eastAsia="en-US"/>
        </w:rPr>
      </w:pPr>
      <w:r w:rsidRPr="008676F9">
        <w:rPr>
          <w:rFonts w:ascii="Calibri" w:eastAsia="Calibri" w:hAnsi="Calibri" w:cs="Calibri"/>
          <w:bCs/>
          <w:szCs w:val="22"/>
          <w:lang w:eastAsia="en-US"/>
        </w:rPr>
        <w:t>Výdaje spojené so zabezpečenie lektorskej činnosti:</w:t>
      </w:r>
    </w:p>
    <w:p w:rsidR="008676F9" w:rsidRPr="008676F9" w:rsidRDefault="008676F9" w:rsidP="00955DA4">
      <w:pPr>
        <w:numPr>
          <w:ilvl w:val="0"/>
          <w:numId w:val="221"/>
        </w:numPr>
        <w:rPr>
          <w:rFonts w:ascii="Calibri" w:eastAsia="Calibri" w:hAnsi="Calibri" w:cs="Calibri"/>
          <w:bCs/>
          <w:szCs w:val="22"/>
          <w:lang w:eastAsia="en-US"/>
        </w:rPr>
      </w:pPr>
      <w:r w:rsidRPr="008676F9">
        <w:rPr>
          <w:rFonts w:ascii="Calibri" w:eastAsia="Calibri" w:hAnsi="Calibri" w:cs="Calibri"/>
          <w:bCs/>
          <w:szCs w:val="22"/>
          <w:lang w:eastAsia="en-US"/>
        </w:rPr>
        <w:t>personálne náklady na lektorov,</w:t>
      </w:r>
    </w:p>
    <w:p w:rsidR="008676F9" w:rsidRPr="008676F9" w:rsidRDefault="008676F9" w:rsidP="00955DA4">
      <w:pPr>
        <w:numPr>
          <w:ilvl w:val="0"/>
          <w:numId w:val="221"/>
        </w:numPr>
        <w:rPr>
          <w:rFonts w:ascii="Calibri" w:eastAsia="Calibri" w:hAnsi="Calibri" w:cs="Calibri"/>
          <w:bCs/>
          <w:szCs w:val="22"/>
          <w:lang w:eastAsia="en-US"/>
        </w:rPr>
      </w:pPr>
      <w:r w:rsidRPr="008676F9">
        <w:rPr>
          <w:rFonts w:ascii="Calibri" w:eastAsia="Calibri" w:hAnsi="Calibri" w:cs="Calibri"/>
          <w:bCs/>
          <w:szCs w:val="22"/>
          <w:lang w:eastAsia="en-US"/>
        </w:rPr>
        <w:t>cestovné náhrady,</w:t>
      </w:r>
    </w:p>
    <w:p w:rsidR="008676F9" w:rsidRPr="008676F9" w:rsidRDefault="008676F9" w:rsidP="00955DA4">
      <w:pPr>
        <w:numPr>
          <w:ilvl w:val="0"/>
          <w:numId w:val="221"/>
        </w:numPr>
        <w:ind w:left="1480" w:hanging="357"/>
        <w:rPr>
          <w:rFonts w:ascii="Calibri" w:eastAsia="Calibri" w:hAnsi="Calibri" w:cs="Calibri"/>
          <w:bCs/>
          <w:szCs w:val="22"/>
          <w:lang w:eastAsia="en-US"/>
        </w:rPr>
      </w:pPr>
      <w:r w:rsidRPr="008676F9">
        <w:rPr>
          <w:rFonts w:ascii="Calibri" w:eastAsia="Calibri" w:hAnsi="Calibri" w:cs="Calibri"/>
          <w:bCs/>
          <w:szCs w:val="22"/>
          <w:lang w:eastAsia="en-US"/>
        </w:rPr>
        <w:t>náklady na ubytovanie a stravovanie.  </w:t>
      </w:r>
    </w:p>
    <w:p w:rsidR="008676F9" w:rsidRPr="008676F9" w:rsidRDefault="008676F9" w:rsidP="00955DA4">
      <w:pPr>
        <w:numPr>
          <w:ilvl w:val="0"/>
          <w:numId w:val="223"/>
        </w:numPr>
        <w:spacing w:after="120"/>
        <w:ind w:left="760" w:hanging="357"/>
        <w:rPr>
          <w:rFonts w:ascii="Calibri" w:eastAsia="Calibri" w:hAnsi="Calibri" w:cs="Calibri"/>
          <w:bCs/>
          <w:szCs w:val="22"/>
          <w:lang w:eastAsia="en-US"/>
        </w:rPr>
      </w:pPr>
      <w:r w:rsidRPr="008676F9">
        <w:rPr>
          <w:rFonts w:ascii="Calibri" w:eastAsia="Calibri" w:hAnsi="Calibri" w:cs="Calibri"/>
          <w:bCs/>
          <w:szCs w:val="22"/>
          <w:lang w:eastAsia="en-US"/>
        </w:rPr>
        <w:t>Výdaje spojené s tvorbou študijných materiálov a testov na overovanie odbornej spôsobilosti;</w:t>
      </w:r>
    </w:p>
    <w:p w:rsidR="008676F9" w:rsidRPr="008676F9" w:rsidRDefault="008676F9" w:rsidP="00955DA4">
      <w:pPr>
        <w:numPr>
          <w:ilvl w:val="0"/>
          <w:numId w:val="223"/>
        </w:numPr>
        <w:spacing w:after="120"/>
        <w:ind w:left="760" w:hanging="357"/>
        <w:rPr>
          <w:rFonts w:ascii="Calibri" w:eastAsia="Calibri" w:hAnsi="Calibri" w:cs="Calibri"/>
          <w:bCs/>
          <w:szCs w:val="22"/>
          <w:lang w:eastAsia="en-US"/>
        </w:rPr>
      </w:pPr>
      <w:r w:rsidRPr="008676F9">
        <w:rPr>
          <w:rFonts w:ascii="Calibri" w:eastAsia="Calibri" w:hAnsi="Calibri" w:cs="Calibri"/>
          <w:bCs/>
          <w:szCs w:val="22"/>
          <w:lang w:eastAsia="en-US"/>
        </w:rPr>
        <w:t>Výdaje spojené s tvorbou e-learningových kurzov a testov na overovanie odbornej spôsobilosti;</w:t>
      </w:r>
    </w:p>
    <w:p w:rsidR="008676F9" w:rsidRPr="008676F9" w:rsidRDefault="008676F9" w:rsidP="00955DA4">
      <w:pPr>
        <w:numPr>
          <w:ilvl w:val="0"/>
          <w:numId w:val="223"/>
        </w:numPr>
        <w:rPr>
          <w:rFonts w:ascii="Calibri" w:eastAsia="Calibri" w:hAnsi="Calibri" w:cs="Calibri"/>
          <w:bCs/>
          <w:szCs w:val="22"/>
          <w:lang w:eastAsia="en-US"/>
        </w:rPr>
      </w:pPr>
      <w:r w:rsidRPr="008676F9">
        <w:rPr>
          <w:rFonts w:ascii="Calibri" w:eastAsia="Calibri" w:hAnsi="Calibri" w:cs="Calibri"/>
          <w:bCs/>
          <w:szCs w:val="22"/>
          <w:lang w:eastAsia="en-US"/>
        </w:rPr>
        <w:t>Výdaje spojené s organizačným zabezpečením odbornej prípravy:</w:t>
      </w:r>
    </w:p>
    <w:p w:rsidR="008676F9" w:rsidRPr="008676F9" w:rsidRDefault="008676F9" w:rsidP="00955DA4">
      <w:pPr>
        <w:numPr>
          <w:ilvl w:val="1"/>
          <w:numId w:val="220"/>
        </w:numPr>
        <w:rPr>
          <w:rFonts w:ascii="Calibri" w:eastAsia="Calibri" w:hAnsi="Calibri" w:cs="Calibri"/>
          <w:bCs/>
          <w:szCs w:val="22"/>
          <w:lang w:eastAsia="en-US"/>
        </w:rPr>
      </w:pPr>
      <w:r w:rsidRPr="008676F9">
        <w:rPr>
          <w:rFonts w:ascii="Calibri" w:eastAsia="Calibri" w:hAnsi="Calibri" w:cs="Calibri"/>
          <w:bCs/>
          <w:szCs w:val="22"/>
          <w:lang w:eastAsia="en-US"/>
        </w:rPr>
        <w:t> personálne náklady manažéra a administrátora odbornej prípravy,</w:t>
      </w:r>
    </w:p>
    <w:p w:rsidR="008676F9" w:rsidRPr="008676F9" w:rsidRDefault="008676F9" w:rsidP="00955DA4">
      <w:pPr>
        <w:numPr>
          <w:ilvl w:val="1"/>
          <w:numId w:val="220"/>
        </w:numPr>
        <w:rPr>
          <w:rFonts w:ascii="Calibri" w:eastAsia="Calibri" w:hAnsi="Calibri" w:cs="Calibri"/>
          <w:bCs/>
          <w:szCs w:val="22"/>
          <w:lang w:eastAsia="en-US"/>
        </w:rPr>
      </w:pPr>
      <w:r w:rsidRPr="008676F9">
        <w:rPr>
          <w:rFonts w:ascii="Calibri" w:eastAsia="Calibri" w:hAnsi="Calibri" w:cs="Calibri"/>
          <w:bCs/>
          <w:szCs w:val="22"/>
          <w:lang w:eastAsia="en-US"/>
        </w:rPr>
        <w:t> cestovné náhrady,</w:t>
      </w:r>
    </w:p>
    <w:p w:rsidR="008676F9" w:rsidRPr="008676F9" w:rsidRDefault="008676F9" w:rsidP="00955DA4">
      <w:pPr>
        <w:numPr>
          <w:ilvl w:val="1"/>
          <w:numId w:val="220"/>
        </w:numPr>
        <w:rPr>
          <w:rFonts w:ascii="Calibri" w:eastAsia="Calibri" w:hAnsi="Calibri" w:cs="Calibri"/>
          <w:bCs/>
          <w:szCs w:val="22"/>
          <w:lang w:eastAsia="en-US"/>
        </w:rPr>
      </w:pPr>
      <w:r w:rsidRPr="008676F9">
        <w:rPr>
          <w:rFonts w:ascii="Calibri" w:eastAsia="Calibri" w:hAnsi="Calibri" w:cs="Calibri"/>
          <w:bCs/>
          <w:szCs w:val="22"/>
          <w:lang w:eastAsia="en-US"/>
        </w:rPr>
        <w:t> náklady na prenájom učebných priestorov,</w:t>
      </w:r>
    </w:p>
    <w:p w:rsidR="008676F9" w:rsidRPr="008676F9" w:rsidRDefault="008676F9" w:rsidP="00955DA4">
      <w:pPr>
        <w:numPr>
          <w:ilvl w:val="1"/>
          <w:numId w:val="220"/>
        </w:numPr>
        <w:rPr>
          <w:rFonts w:ascii="Calibri" w:eastAsia="Calibri" w:hAnsi="Calibri" w:cs="Calibri"/>
          <w:bCs/>
          <w:szCs w:val="22"/>
          <w:lang w:eastAsia="en-US"/>
        </w:rPr>
      </w:pPr>
      <w:r w:rsidRPr="008676F9">
        <w:rPr>
          <w:rFonts w:ascii="Calibri" w:eastAsia="Calibri" w:hAnsi="Calibri" w:cs="Calibri"/>
          <w:bCs/>
          <w:szCs w:val="22"/>
          <w:lang w:eastAsia="en-US"/>
        </w:rPr>
        <w:t xml:space="preserve"> náklady na prenájom didaktickej techniky, </w:t>
      </w:r>
    </w:p>
    <w:p w:rsidR="008676F9" w:rsidRPr="008676F9" w:rsidRDefault="008676F9" w:rsidP="00955DA4">
      <w:pPr>
        <w:numPr>
          <w:ilvl w:val="1"/>
          <w:numId w:val="220"/>
        </w:numPr>
        <w:rPr>
          <w:rFonts w:ascii="Calibri" w:eastAsia="Calibri" w:hAnsi="Calibri" w:cs="Calibri"/>
          <w:bCs/>
          <w:szCs w:val="22"/>
          <w:lang w:eastAsia="en-US"/>
        </w:rPr>
      </w:pPr>
      <w:r w:rsidRPr="008676F9">
        <w:rPr>
          <w:rFonts w:ascii="Calibri" w:eastAsia="Calibri" w:hAnsi="Calibri" w:cs="Calibri"/>
          <w:bCs/>
          <w:szCs w:val="22"/>
          <w:lang w:eastAsia="en-US"/>
        </w:rPr>
        <w:t> náklady na prenájom IKT,</w:t>
      </w:r>
    </w:p>
    <w:p w:rsidR="008676F9" w:rsidRPr="008676F9" w:rsidRDefault="008676F9" w:rsidP="00955DA4">
      <w:pPr>
        <w:numPr>
          <w:ilvl w:val="1"/>
          <w:numId w:val="220"/>
        </w:numPr>
        <w:rPr>
          <w:rFonts w:ascii="Calibri" w:eastAsia="Calibri" w:hAnsi="Calibri" w:cs="Calibri"/>
          <w:bCs/>
          <w:szCs w:val="22"/>
          <w:lang w:eastAsia="en-US"/>
        </w:rPr>
      </w:pPr>
      <w:r w:rsidRPr="008676F9">
        <w:rPr>
          <w:rFonts w:ascii="Calibri" w:eastAsia="Calibri" w:hAnsi="Calibri" w:cs="Calibri"/>
          <w:bCs/>
          <w:szCs w:val="22"/>
          <w:lang w:eastAsia="en-US"/>
        </w:rPr>
        <w:t>náklady na prepravu pri zabezpečení praktickej časti odbornej prípravy,</w:t>
      </w:r>
    </w:p>
    <w:p w:rsidR="008676F9" w:rsidRPr="008676F9" w:rsidRDefault="008676F9" w:rsidP="00955DA4">
      <w:pPr>
        <w:numPr>
          <w:ilvl w:val="1"/>
          <w:numId w:val="220"/>
        </w:numPr>
        <w:spacing w:after="120"/>
        <w:ind w:left="1434" w:hanging="357"/>
        <w:rPr>
          <w:rFonts w:ascii="Calibri" w:eastAsia="Calibri" w:hAnsi="Calibri" w:cs="Calibri"/>
          <w:bCs/>
          <w:szCs w:val="22"/>
          <w:lang w:eastAsia="en-US"/>
        </w:rPr>
      </w:pPr>
      <w:r w:rsidRPr="008676F9">
        <w:rPr>
          <w:rFonts w:ascii="Calibri" w:eastAsia="Calibri" w:hAnsi="Calibri" w:cs="Calibri"/>
          <w:bCs/>
          <w:szCs w:val="22"/>
          <w:lang w:eastAsia="en-US"/>
        </w:rPr>
        <w:t> ostatné výdaje – poplatky za poštové, telekomunikačné a internetové služby.</w:t>
      </w:r>
    </w:p>
    <w:p w:rsidR="008676F9" w:rsidRPr="008676F9" w:rsidRDefault="008676F9" w:rsidP="00955DA4">
      <w:pPr>
        <w:numPr>
          <w:ilvl w:val="0"/>
          <w:numId w:val="223"/>
        </w:numPr>
        <w:rPr>
          <w:rFonts w:ascii="Calibri" w:eastAsia="Calibri" w:hAnsi="Calibri" w:cs="Calibri"/>
          <w:bCs/>
          <w:szCs w:val="22"/>
          <w:lang w:eastAsia="en-US"/>
        </w:rPr>
      </w:pPr>
      <w:r w:rsidRPr="008676F9">
        <w:rPr>
          <w:rFonts w:ascii="Calibri" w:eastAsia="Calibri" w:hAnsi="Calibri" w:cs="Calibri"/>
          <w:bCs/>
          <w:szCs w:val="22"/>
          <w:lang w:eastAsia="en-US"/>
        </w:rPr>
        <w:t>Výdaje spojené so správou registra pôdohospodárskych poradcov:</w:t>
      </w:r>
    </w:p>
    <w:p w:rsidR="008676F9" w:rsidRPr="008676F9" w:rsidRDefault="008676F9" w:rsidP="00955DA4">
      <w:pPr>
        <w:numPr>
          <w:ilvl w:val="1"/>
          <w:numId w:val="220"/>
        </w:numPr>
        <w:rPr>
          <w:rFonts w:ascii="Calibri" w:eastAsia="Calibri" w:hAnsi="Calibri" w:cs="Calibri"/>
          <w:bCs/>
          <w:szCs w:val="22"/>
          <w:lang w:eastAsia="en-US"/>
        </w:rPr>
      </w:pPr>
      <w:r w:rsidRPr="008676F9">
        <w:rPr>
          <w:rFonts w:ascii="Calibri" w:eastAsia="Calibri" w:hAnsi="Calibri" w:cs="Calibri"/>
          <w:bCs/>
          <w:szCs w:val="22"/>
          <w:lang w:eastAsia="en-US"/>
        </w:rPr>
        <w:t> aktualizácia informačných systémov pre prezentáciu certifikovaných poradcov,</w:t>
      </w:r>
    </w:p>
    <w:p w:rsidR="008676F9" w:rsidRPr="008676F9" w:rsidRDefault="008676F9" w:rsidP="00955DA4">
      <w:pPr>
        <w:numPr>
          <w:ilvl w:val="1"/>
          <w:numId w:val="220"/>
        </w:numPr>
        <w:spacing w:after="120"/>
        <w:ind w:hanging="357"/>
        <w:rPr>
          <w:rFonts w:ascii="Calibri" w:eastAsia="Calibri" w:hAnsi="Calibri" w:cs="Calibri"/>
          <w:bCs/>
          <w:szCs w:val="22"/>
          <w:lang w:eastAsia="en-US"/>
        </w:rPr>
      </w:pPr>
      <w:r w:rsidRPr="008676F9">
        <w:rPr>
          <w:rFonts w:ascii="Calibri" w:eastAsia="Calibri" w:hAnsi="Calibri" w:cs="Calibri"/>
          <w:bCs/>
          <w:szCs w:val="22"/>
          <w:lang w:eastAsia="en-US"/>
        </w:rPr>
        <w:t xml:space="preserve"> tvorba a tlač certifikátov a osvedčení poradcov o odbornej spôsobilosti /. </w:t>
      </w:r>
    </w:p>
    <w:p w:rsidR="008676F9" w:rsidRPr="008676F9" w:rsidRDefault="008676F9" w:rsidP="00955DA4">
      <w:pPr>
        <w:numPr>
          <w:ilvl w:val="0"/>
          <w:numId w:val="223"/>
        </w:numPr>
        <w:spacing w:after="120"/>
        <w:ind w:hanging="357"/>
        <w:rPr>
          <w:rFonts w:ascii="Calibri" w:eastAsia="Calibri" w:hAnsi="Calibri" w:cs="Calibri"/>
          <w:bCs/>
          <w:szCs w:val="22"/>
          <w:lang w:eastAsia="en-US"/>
        </w:rPr>
      </w:pPr>
      <w:r w:rsidRPr="008676F9">
        <w:rPr>
          <w:rFonts w:ascii="Calibri" w:eastAsia="Calibri" w:hAnsi="Calibri" w:cs="Calibri"/>
          <w:bCs/>
          <w:szCs w:val="22"/>
          <w:lang w:eastAsia="en-US"/>
        </w:rPr>
        <w:t>Ostatné výdaje režijného charakteru /podiel z priamych výdajov – paušál/</w:t>
      </w:r>
      <w:r w:rsidRPr="008676F9">
        <w:rPr>
          <w:rFonts w:ascii="Calibri" w:eastAsia="Calibri" w:hAnsi="Calibri" w:cs="Calibri"/>
          <w:bCs/>
          <w:szCs w:val="22"/>
          <w:lang w:val="en-US" w:eastAsia="en-US"/>
        </w:rPr>
        <w:t>;</w:t>
      </w:r>
    </w:p>
    <w:p w:rsidR="008676F9" w:rsidRPr="008676F9" w:rsidRDefault="008676F9" w:rsidP="00955DA4">
      <w:pPr>
        <w:numPr>
          <w:ilvl w:val="0"/>
          <w:numId w:val="223"/>
        </w:numPr>
        <w:rPr>
          <w:rFonts w:ascii="Calibri" w:eastAsia="Calibri" w:hAnsi="Calibri" w:cs="Calibri"/>
          <w:bCs/>
          <w:szCs w:val="22"/>
          <w:lang w:eastAsia="en-US"/>
        </w:rPr>
      </w:pPr>
      <w:r w:rsidRPr="008676F9">
        <w:rPr>
          <w:rFonts w:ascii="Calibri" w:eastAsia="Calibri" w:hAnsi="Calibri" w:cs="Calibri"/>
          <w:bCs/>
          <w:szCs w:val="22"/>
          <w:lang w:eastAsia="en-US"/>
        </w:rPr>
        <w:t>Výdaje spojené s účastníkmi odbornej prípravy:</w:t>
      </w:r>
    </w:p>
    <w:p w:rsidR="008676F9" w:rsidRPr="008676F9" w:rsidRDefault="008676F9" w:rsidP="00955DA4">
      <w:pPr>
        <w:numPr>
          <w:ilvl w:val="1"/>
          <w:numId w:val="220"/>
        </w:numPr>
        <w:rPr>
          <w:rFonts w:ascii="Calibri" w:eastAsia="Calibri" w:hAnsi="Calibri" w:cs="Calibri"/>
          <w:bCs/>
          <w:szCs w:val="22"/>
          <w:lang w:eastAsia="en-US"/>
        </w:rPr>
      </w:pPr>
      <w:r w:rsidRPr="008676F9">
        <w:rPr>
          <w:rFonts w:ascii="Calibri" w:eastAsia="Calibri" w:hAnsi="Calibri" w:cs="Calibri"/>
          <w:bCs/>
          <w:szCs w:val="22"/>
          <w:lang w:eastAsia="en-US"/>
        </w:rPr>
        <w:t> náklady na ubytovanie a stravovanie.</w:t>
      </w:r>
    </w:p>
    <w:p w:rsidR="008676F9" w:rsidRPr="008676F9" w:rsidRDefault="008676F9" w:rsidP="008676F9">
      <w:pPr>
        <w:rPr>
          <w:rFonts w:ascii="Calibri" w:eastAsia="Calibri" w:hAnsi="Calibri" w:cs="Calibri"/>
          <w:szCs w:val="22"/>
          <w:lang w:eastAsia="en-US"/>
        </w:rPr>
      </w:pPr>
    </w:p>
    <w:p w:rsidR="008676F9" w:rsidRPr="008676F9" w:rsidRDefault="008676F9" w:rsidP="008676F9">
      <w:pPr>
        <w:rPr>
          <w:rFonts w:ascii="Calibri" w:eastAsia="Calibri" w:hAnsi="Calibri" w:cs="Calibri"/>
          <w:b/>
          <w:bCs/>
          <w:szCs w:val="22"/>
          <w:u w:val="single"/>
          <w:lang w:eastAsia="en-US"/>
        </w:rPr>
      </w:pPr>
      <w:r w:rsidRPr="008676F9">
        <w:rPr>
          <w:rFonts w:ascii="Calibri" w:eastAsia="Calibri" w:hAnsi="Calibri" w:cs="Calibri"/>
          <w:bCs/>
          <w:szCs w:val="22"/>
          <w:u w:val="single"/>
          <w:lang w:eastAsia="en-US"/>
        </w:rPr>
        <w:t xml:space="preserve">Podmienky oprávnenosti : </w:t>
      </w:r>
      <w:r w:rsidRPr="008676F9">
        <w:rPr>
          <w:rFonts w:ascii="Calibri" w:eastAsia="Calibri" w:hAnsi="Calibri" w:cs="Calibri"/>
          <w:b/>
          <w:bCs/>
          <w:szCs w:val="22"/>
          <w:u w:val="single"/>
          <w:lang w:eastAsia="en-US"/>
        </w:rPr>
        <w:t xml:space="preserve"> </w:t>
      </w:r>
    </w:p>
    <w:p w:rsidR="008676F9" w:rsidRPr="008676F9" w:rsidRDefault="008676F9" w:rsidP="008676F9">
      <w:pPr>
        <w:autoSpaceDE w:val="0"/>
        <w:autoSpaceDN w:val="0"/>
        <w:adjustRightInd w:val="0"/>
        <w:rPr>
          <w:rFonts w:ascii="Calibri" w:eastAsia="Calibri" w:hAnsi="Calibri" w:cs="Calibri"/>
          <w:szCs w:val="22"/>
          <w:lang w:eastAsia="en-US"/>
        </w:rPr>
      </w:pPr>
      <w:r w:rsidRPr="008676F9">
        <w:rPr>
          <w:rFonts w:ascii="Calibri" w:eastAsia="Calibri" w:hAnsi="Calibri" w:cs="Calibri"/>
          <w:szCs w:val="22"/>
          <w:lang w:eastAsia="en-US"/>
        </w:rPr>
        <w:t>Vzdelávacie organizácie</w:t>
      </w:r>
      <w:r w:rsidR="00AC3B02">
        <w:rPr>
          <w:rFonts w:ascii="Calibri" w:eastAsia="Calibri" w:hAnsi="Calibri" w:cs="Calibri"/>
          <w:szCs w:val="22"/>
          <w:lang w:eastAsia="en-US"/>
        </w:rPr>
        <w:t xml:space="preserve">, oprávnené k odbornej príprave poradcov a vybrané riadiacim orgánom </w:t>
      </w:r>
      <w:r w:rsidR="00437817">
        <w:rPr>
          <w:rFonts w:ascii="Calibri" w:eastAsia="Calibri" w:hAnsi="Calibri" w:cs="Calibri"/>
          <w:szCs w:val="22"/>
          <w:lang w:eastAsia="en-US"/>
        </w:rPr>
        <w:t>MPRV SR</w:t>
      </w:r>
      <w:r w:rsidR="000E76A1">
        <w:rPr>
          <w:rFonts w:ascii="Calibri" w:eastAsia="Calibri" w:hAnsi="Calibri" w:cs="Calibri"/>
          <w:szCs w:val="22"/>
          <w:lang w:eastAsia="en-US"/>
        </w:rPr>
        <w:t>, resp. Pôdohospodárskou platobnou agentúrou</w:t>
      </w:r>
      <w:r w:rsidR="00437817">
        <w:rPr>
          <w:rFonts w:ascii="Calibri" w:eastAsia="Calibri" w:hAnsi="Calibri" w:cs="Calibri"/>
          <w:szCs w:val="22"/>
          <w:lang w:eastAsia="en-US"/>
        </w:rPr>
        <w:t xml:space="preserve"> </w:t>
      </w:r>
      <w:r w:rsidR="00AC3B02">
        <w:rPr>
          <w:rFonts w:ascii="Calibri" w:eastAsia="Calibri" w:hAnsi="Calibri" w:cs="Calibri"/>
          <w:szCs w:val="22"/>
          <w:lang w:eastAsia="en-US"/>
        </w:rPr>
        <w:t xml:space="preserve">na základe zákona o verejnom obstarávaní, </w:t>
      </w:r>
      <w:r w:rsidRPr="008676F9">
        <w:rPr>
          <w:rFonts w:ascii="Calibri" w:eastAsia="Calibri" w:hAnsi="Calibri" w:cs="Calibri"/>
          <w:szCs w:val="22"/>
          <w:lang w:eastAsia="en-US"/>
        </w:rPr>
        <w:t xml:space="preserve">  </w:t>
      </w:r>
      <w:r w:rsidR="00E53590">
        <w:rPr>
          <w:rFonts w:ascii="Calibri" w:eastAsia="Calibri" w:hAnsi="Calibri" w:cs="Calibri"/>
          <w:szCs w:val="22"/>
          <w:lang w:eastAsia="en-US"/>
        </w:rPr>
        <w:t>musia mať</w:t>
      </w:r>
      <w:r w:rsidRPr="008676F9">
        <w:rPr>
          <w:rFonts w:ascii="Calibri" w:eastAsia="Calibri" w:hAnsi="Calibri" w:cs="Calibri"/>
          <w:szCs w:val="22"/>
          <w:lang w:eastAsia="en-US"/>
        </w:rPr>
        <w:t xml:space="preserve"> primerané zdroje v podobe:</w:t>
      </w:r>
    </w:p>
    <w:p w:rsidR="008676F9" w:rsidRPr="008676F9" w:rsidRDefault="008676F9" w:rsidP="00955DA4">
      <w:pPr>
        <w:numPr>
          <w:ilvl w:val="0"/>
          <w:numId w:val="219"/>
        </w:numPr>
        <w:autoSpaceDE w:val="0"/>
        <w:autoSpaceDN w:val="0"/>
        <w:adjustRightInd w:val="0"/>
        <w:ind w:left="760" w:hanging="357"/>
        <w:rPr>
          <w:rFonts w:ascii="Calibri" w:eastAsia="Calibri" w:hAnsi="Calibri" w:cs="Calibri"/>
          <w:i/>
          <w:szCs w:val="22"/>
          <w:lang w:eastAsia="en-US"/>
        </w:rPr>
      </w:pPr>
      <w:r w:rsidRPr="008676F9">
        <w:rPr>
          <w:rFonts w:ascii="Calibri" w:eastAsia="Calibri" w:hAnsi="Calibri" w:cs="Calibri"/>
          <w:i/>
          <w:szCs w:val="22"/>
          <w:lang w:eastAsia="en-US"/>
        </w:rPr>
        <w:t xml:space="preserve">kvalifikovaných zamestnancov; </w:t>
      </w:r>
    </w:p>
    <w:p w:rsidR="008676F9" w:rsidRPr="008676F9" w:rsidRDefault="008676F9" w:rsidP="00955DA4">
      <w:pPr>
        <w:numPr>
          <w:ilvl w:val="0"/>
          <w:numId w:val="219"/>
        </w:numPr>
        <w:autoSpaceDE w:val="0"/>
        <w:autoSpaceDN w:val="0"/>
        <w:adjustRightInd w:val="0"/>
        <w:ind w:left="760" w:hanging="357"/>
        <w:rPr>
          <w:rFonts w:ascii="Calibri" w:eastAsia="Calibri" w:hAnsi="Calibri" w:cs="Calibri"/>
          <w:i/>
          <w:szCs w:val="22"/>
          <w:lang w:eastAsia="en-US"/>
        </w:rPr>
      </w:pPr>
      <w:r w:rsidRPr="008676F9">
        <w:rPr>
          <w:rFonts w:ascii="Calibri" w:eastAsia="Calibri" w:hAnsi="Calibri" w:cs="Calibri"/>
          <w:i/>
          <w:szCs w:val="22"/>
          <w:lang w:eastAsia="en-US"/>
        </w:rPr>
        <w:t>technické zabezpečenie, ktoré  efektívne koordinuje  poskytovanie odborného a špeciálneho vzdelávania jednotlivým poradcom;</w:t>
      </w:r>
    </w:p>
    <w:p w:rsidR="008676F9" w:rsidRPr="008676F9" w:rsidRDefault="008676F9" w:rsidP="00955DA4">
      <w:pPr>
        <w:numPr>
          <w:ilvl w:val="0"/>
          <w:numId w:val="219"/>
        </w:numPr>
        <w:autoSpaceDE w:val="0"/>
        <w:autoSpaceDN w:val="0"/>
        <w:adjustRightInd w:val="0"/>
        <w:ind w:left="760" w:hanging="357"/>
        <w:rPr>
          <w:rFonts w:ascii="Calibri" w:eastAsia="Calibri" w:hAnsi="Calibri" w:cs="Calibri"/>
          <w:i/>
          <w:szCs w:val="22"/>
          <w:lang w:eastAsia="en-US"/>
        </w:rPr>
      </w:pPr>
      <w:r w:rsidRPr="008676F9">
        <w:rPr>
          <w:rFonts w:ascii="Calibri" w:eastAsia="Calibri" w:hAnsi="Calibri" w:cs="Calibri"/>
          <w:i/>
          <w:szCs w:val="22"/>
          <w:lang w:eastAsia="en-US"/>
        </w:rPr>
        <w:t xml:space="preserve">disponujú s vypracovanou koncepciou vzdelávania poradcov; </w:t>
      </w:r>
    </w:p>
    <w:p w:rsidR="008676F9" w:rsidRPr="008676F9" w:rsidRDefault="000E76A1" w:rsidP="00955DA4">
      <w:pPr>
        <w:numPr>
          <w:ilvl w:val="0"/>
          <w:numId w:val="219"/>
        </w:numPr>
        <w:autoSpaceDE w:val="0"/>
        <w:autoSpaceDN w:val="0"/>
        <w:adjustRightInd w:val="0"/>
        <w:ind w:left="760" w:hanging="357"/>
        <w:rPr>
          <w:rFonts w:ascii="Calibri" w:eastAsia="Calibri" w:hAnsi="Calibri" w:cs="Calibri"/>
          <w:i/>
          <w:szCs w:val="22"/>
          <w:lang w:eastAsia="en-US"/>
        </w:rPr>
      </w:pPr>
      <w:r w:rsidRPr="00E55DD3">
        <w:rPr>
          <w:rFonts w:ascii="Calibri" w:eastAsia="Calibri" w:hAnsi="Calibri" w:cs="Calibri"/>
          <w:i/>
          <w:szCs w:val="22"/>
          <w:lang w:eastAsia="en-US"/>
        </w:rPr>
        <w:t>disponujú informačným systémom sprístupneným všetkým poradcom, alebo sú povinné po úspešnom výberovom konaní vybudova</w:t>
      </w:r>
      <w:r w:rsidRPr="005C2818">
        <w:rPr>
          <w:rFonts w:ascii="Calibri" w:eastAsia="Calibri" w:hAnsi="Calibri" w:cs="Calibri"/>
          <w:i/>
          <w:szCs w:val="22"/>
          <w:lang w:eastAsia="en-US"/>
        </w:rPr>
        <w:t>ť</w:t>
      </w:r>
      <w:r>
        <w:rPr>
          <w:rFonts w:ascii="Calibri" w:eastAsia="Calibri" w:hAnsi="Calibri" w:cs="Calibri"/>
          <w:i/>
          <w:szCs w:val="22"/>
          <w:lang w:eastAsia="en-US"/>
        </w:rPr>
        <w:t xml:space="preserve"> informačný systém</w:t>
      </w:r>
      <w:r w:rsidRPr="006D159A">
        <w:rPr>
          <w:rFonts w:ascii="Calibri" w:eastAsia="Calibri" w:hAnsi="Calibri" w:cs="Calibri"/>
          <w:i/>
          <w:szCs w:val="22"/>
          <w:lang w:eastAsia="en-US"/>
        </w:rPr>
        <w:t>, ktorý bude sprístupnený všetkým poradcom, kde</w:t>
      </w:r>
      <w:r>
        <w:rPr>
          <w:rFonts w:ascii="Calibri" w:eastAsia="Calibri" w:hAnsi="Calibri" w:cs="Calibri"/>
          <w:i/>
          <w:szCs w:val="22"/>
          <w:lang w:eastAsia="en-US"/>
        </w:rPr>
        <w:t xml:space="preserve"> nájdu informácie všetkého druh</w:t>
      </w:r>
      <w:r w:rsidRPr="008676F9">
        <w:rPr>
          <w:rFonts w:ascii="Calibri" w:eastAsia="Calibri" w:hAnsi="Calibri" w:cs="Calibri"/>
          <w:i/>
          <w:szCs w:val="22"/>
          <w:lang w:eastAsia="en-US"/>
        </w:rPr>
        <w:t>;</w:t>
      </w:r>
      <w:r w:rsidR="008676F9" w:rsidRPr="008676F9">
        <w:rPr>
          <w:rFonts w:ascii="Calibri" w:eastAsia="Calibri" w:hAnsi="Calibri" w:cs="Calibri"/>
          <w:i/>
          <w:szCs w:val="22"/>
          <w:lang w:eastAsia="en-US"/>
        </w:rPr>
        <w:t xml:space="preserve">. </w:t>
      </w:r>
    </w:p>
    <w:p w:rsidR="008676F9" w:rsidRPr="008676F9" w:rsidRDefault="008676F9" w:rsidP="008676F9">
      <w:pPr>
        <w:autoSpaceDE w:val="0"/>
        <w:autoSpaceDN w:val="0"/>
        <w:adjustRightInd w:val="0"/>
        <w:rPr>
          <w:rFonts w:ascii="Calibri" w:eastAsia="Calibri" w:hAnsi="Calibri" w:cs="Calibri"/>
          <w:bCs/>
          <w:i/>
          <w:szCs w:val="22"/>
          <w:u w:val="single"/>
          <w:lang w:eastAsia="en-US"/>
        </w:rPr>
      </w:pPr>
    </w:p>
    <w:p w:rsidR="008676F9" w:rsidRPr="008676F9" w:rsidRDefault="008676F9" w:rsidP="008676F9">
      <w:pPr>
        <w:autoSpaceDE w:val="0"/>
        <w:autoSpaceDN w:val="0"/>
        <w:adjustRightInd w:val="0"/>
        <w:rPr>
          <w:rFonts w:ascii="Calibri" w:eastAsia="Calibri" w:hAnsi="Calibri" w:cs="Calibri"/>
          <w:bCs/>
          <w:szCs w:val="22"/>
          <w:lang w:eastAsia="en-US"/>
        </w:rPr>
      </w:pPr>
      <w:r w:rsidRPr="008676F9">
        <w:rPr>
          <w:rFonts w:ascii="Calibri" w:eastAsia="Calibri" w:hAnsi="Calibri" w:cs="Calibri"/>
          <w:bCs/>
          <w:szCs w:val="22"/>
          <w:lang w:eastAsia="en-US"/>
        </w:rPr>
        <w:t>Organizácie  oprávnené  k odbornej príprave poradcov budú  vybraté</w:t>
      </w:r>
      <w:r w:rsidR="00AC3B02">
        <w:rPr>
          <w:rFonts w:ascii="Calibri" w:eastAsia="Calibri" w:hAnsi="Calibri" w:cs="Calibri"/>
          <w:bCs/>
          <w:szCs w:val="22"/>
          <w:lang w:eastAsia="en-US"/>
        </w:rPr>
        <w:t xml:space="preserve"> na základe verejného obstarávania</w:t>
      </w:r>
      <w:r w:rsidRPr="008676F9">
        <w:rPr>
          <w:rFonts w:ascii="Calibri" w:eastAsia="Calibri" w:hAnsi="Calibri" w:cs="Calibri"/>
          <w:bCs/>
          <w:szCs w:val="22"/>
          <w:lang w:eastAsia="en-US"/>
        </w:rPr>
        <w:t xml:space="preserve"> na celé programovacie obdobie, pričom v polovici programovacieho obdobia môže </w:t>
      </w:r>
      <w:r w:rsidR="00437817">
        <w:rPr>
          <w:rFonts w:ascii="Calibri" w:eastAsia="Calibri" w:hAnsi="Calibri" w:cs="Calibri"/>
          <w:bCs/>
          <w:szCs w:val="22"/>
          <w:lang w:eastAsia="en-US"/>
        </w:rPr>
        <w:t xml:space="preserve">riadiaci orgán </w:t>
      </w:r>
      <w:r w:rsidRPr="008676F9">
        <w:rPr>
          <w:rFonts w:ascii="Calibri" w:eastAsia="Calibri" w:hAnsi="Calibri" w:cs="Calibri"/>
          <w:bCs/>
          <w:szCs w:val="22"/>
          <w:lang w:eastAsia="en-US"/>
        </w:rPr>
        <w:t>MPRV SR prehodnotiť výber a</w:t>
      </w:r>
      <w:r w:rsidR="00AC3B02">
        <w:rPr>
          <w:rFonts w:ascii="Calibri" w:eastAsia="Calibri" w:hAnsi="Calibri" w:cs="Calibri"/>
          <w:bCs/>
          <w:szCs w:val="22"/>
          <w:lang w:eastAsia="en-US"/>
        </w:rPr>
        <w:t> vyhlásiť nové verejné obstarávanie</w:t>
      </w:r>
      <w:r w:rsidRPr="008676F9">
        <w:rPr>
          <w:rFonts w:ascii="Calibri" w:eastAsia="Calibri" w:hAnsi="Calibri" w:cs="Calibri"/>
          <w:bCs/>
          <w:szCs w:val="22"/>
          <w:lang w:eastAsia="en-US"/>
        </w:rPr>
        <w:t>.</w:t>
      </w:r>
    </w:p>
    <w:p w:rsidR="008676F9" w:rsidRDefault="008676F9" w:rsidP="008676F9">
      <w:pPr>
        <w:autoSpaceDE w:val="0"/>
        <w:autoSpaceDN w:val="0"/>
        <w:adjustRightInd w:val="0"/>
        <w:rPr>
          <w:rFonts w:ascii="Calibri" w:eastAsia="Calibri" w:hAnsi="Calibri" w:cs="Calibri"/>
          <w:szCs w:val="22"/>
          <w:lang w:eastAsia="en-US"/>
        </w:rPr>
      </w:pPr>
    </w:p>
    <w:p w:rsidR="000E5C15" w:rsidRDefault="000E5C15" w:rsidP="008676F9">
      <w:pPr>
        <w:autoSpaceDE w:val="0"/>
        <w:autoSpaceDN w:val="0"/>
        <w:adjustRightInd w:val="0"/>
        <w:rPr>
          <w:rFonts w:ascii="Calibri" w:eastAsia="Calibri" w:hAnsi="Calibri" w:cs="Calibri"/>
          <w:szCs w:val="22"/>
          <w:lang w:eastAsia="en-US"/>
        </w:rPr>
      </w:pPr>
    </w:p>
    <w:p w:rsidR="000E5C15" w:rsidRPr="008676F9" w:rsidRDefault="000E5C15" w:rsidP="008676F9">
      <w:pPr>
        <w:autoSpaceDE w:val="0"/>
        <w:autoSpaceDN w:val="0"/>
        <w:adjustRightInd w:val="0"/>
        <w:rPr>
          <w:rFonts w:ascii="Calibri" w:eastAsia="Calibri" w:hAnsi="Calibri" w:cs="Calibri"/>
          <w:szCs w:val="22"/>
          <w:lang w:eastAsia="en-US"/>
        </w:rPr>
      </w:pPr>
    </w:p>
    <w:p w:rsidR="008676F9" w:rsidRPr="008676F9" w:rsidRDefault="008676F9" w:rsidP="008676F9">
      <w:pPr>
        <w:rPr>
          <w:rFonts w:ascii="Calibri" w:eastAsia="Calibri" w:hAnsi="Calibri" w:cs="Calibri"/>
          <w:b/>
          <w:bCs/>
          <w:szCs w:val="22"/>
          <w:u w:val="single"/>
          <w:lang w:eastAsia="en-US"/>
        </w:rPr>
      </w:pPr>
      <w:r w:rsidRPr="008676F9">
        <w:rPr>
          <w:rFonts w:ascii="Calibri" w:eastAsia="Calibri" w:hAnsi="Calibri" w:cs="Calibri"/>
          <w:bCs/>
          <w:szCs w:val="22"/>
          <w:u w:val="single"/>
          <w:lang w:eastAsia="en-US"/>
        </w:rPr>
        <w:t>Princípy nastavenia výberových kritérií</w:t>
      </w:r>
      <w:r w:rsidRPr="008676F9">
        <w:rPr>
          <w:rFonts w:ascii="Calibri" w:eastAsia="Calibri" w:hAnsi="Calibri" w:cs="Calibri"/>
          <w:b/>
          <w:bCs/>
          <w:szCs w:val="22"/>
          <w:u w:val="single"/>
          <w:lang w:eastAsia="en-US"/>
        </w:rPr>
        <w:t>:</w:t>
      </w:r>
    </w:p>
    <w:p w:rsidR="008676F9" w:rsidRPr="00E53590" w:rsidRDefault="00E53590" w:rsidP="00E53590">
      <w:pPr>
        <w:rPr>
          <w:rFonts w:ascii="Calibri" w:eastAsia="Calibri" w:hAnsi="Calibri" w:cs="Calibri"/>
          <w:bCs/>
          <w:szCs w:val="22"/>
          <w:lang w:eastAsia="en-US"/>
        </w:rPr>
      </w:pPr>
      <w:r w:rsidRPr="00E53590">
        <w:rPr>
          <w:rFonts w:ascii="Calibri" w:eastAsia="Calibri" w:hAnsi="Calibri" w:cs="Calibri"/>
          <w:bCs/>
          <w:szCs w:val="22"/>
          <w:lang w:eastAsia="en-US"/>
        </w:rPr>
        <w:t>Výber vzdelávacej inštitúcie bude zabezpečovať MPRV SR</w:t>
      </w:r>
      <w:r w:rsidR="000E76A1">
        <w:rPr>
          <w:rFonts w:ascii="Calibri" w:eastAsia="Calibri" w:hAnsi="Calibri" w:cs="Calibri"/>
          <w:bCs/>
          <w:szCs w:val="22"/>
          <w:lang w:eastAsia="en-US"/>
        </w:rPr>
        <w:t>, resp. Pôdohospodárska platobná agentúra</w:t>
      </w:r>
      <w:r w:rsidR="00AC3B02">
        <w:rPr>
          <w:rFonts w:ascii="Calibri" w:eastAsia="Calibri" w:hAnsi="Calibri" w:cs="Calibri"/>
          <w:bCs/>
          <w:szCs w:val="22"/>
          <w:lang w:eastAsia="en-US"/>
        </w:rPr>
        <w:t xml:space="preserve"> na základe zákona o verejnom obstarávaní – na základe verejných výziev na predkladanie zámerov, pričom úspešní uchádzači – vybrané vzdelávacie organizácie – </w:t>
      </w:r>
      <w:r w:rsidRPr="00E53590">
        <w:rPr>
          <w:rFonts w:ascii="Calibri" w:eastAsia="Calibri" w:hAnsi="Calibri" w:cs="Calibri"/>
          <w:bCs/>
          <w:szCs w:val="22"/>
          <w:lang w:eastAsia="en-US"/>
        </w:rPr>
        <w:t>mus</w:t>
      </w:r>
      <w:r w:rsidR="00AC3B02">
        <w:rPr>
          <w:rFonts w:ascii="Calibri" w:eastAsia="Calibri" w:hAnsi="Calibri" w:cs="Calibri"/>
          <w:bCs/>
          <w:szCs w:val="22"/>
          <w:lang w:eastAsia="en-US"/>
        </w:rPr>
        <w:t>ia</w:t>
      </w:r>
      <w:r w:rsidRPr="00E53590">
        <w:rPr>
          <w:rFonts w:ascii="Calibri" w:eastAsia="Calibri" w:hAnsi="Calibri" w:cs="Calibri"/>
          <w:bCs/>
          <w:szCs w:val="22"/>
          <w:lang w:eastAsia="en-US"/>
        </w:rPr>
        <w:t xml:space="preserve"> spĺňať stanovené podmienky oprávnenosti.</w:t>
      </w:r>
    </w:p>
    <w:p w:rsidR="00E53590" w:rsidRPr="008676F9" w:rsidRDefault="00E53590" w:rsidP="00AA6566">
      <w:pPr>
        <w:rPr>
          <w:rFonts w:ascii="Calibri" w:eastAsia="Calibri" w:hAnsi="Calibri" w:cs="Calibri"/>
          <w:bCs/>
          <w:szCs w:val="22"/>
          <w:u w:val="single"/>
          <w:lang w:eastAsia="en-US"/>
        </w:rPr>
      </w:pPr>
    </w:p>
    <w:p w:rsidR="008676F9" w:rsidRPr="008676F9" w:rsidRDefault="008676F9" w:rsidP="00AA6566">
      <w:pPr>
        <w:rPr>
          <w:rFonts w:ascii="Calibri" w:eastAsia="Calibri" w:hAnsi="Calibri" w:cs="Calibri"/>
          <w:b/>
          <w:bCs/>
          <w:szCs w:val="22"/>
          <w:u w:val="single"/>
          <w:lang w:eastAsia="en-US"/>
        </w:rPr>
      </w:pPr>
      <w:r w:rsidRPr="008676F9">
        <w:rPr>
          <w:rFonts w:ascii="Calibri" w:eastAsia="Calibri" w:hAnsi="Calibri" w:cs="Calibri"/>
          <w:bCs/>
          <w:szCs w:val="22"/>
          <w:u w:val="single"/>
          <w:lang w:eastAsia="en-US"/>
        </w:rPr>
        <w:t>Výška a miera podpory:</w:t>
      </w:r>
      <w:r w:rsidRPr="008676F9">
        <w:rPr>
          <w:rFonts w:ascii="Calibri" w:eastAsia="Calibri" w:hAnsi="Calibri" w:cs="Calibri"/>
          <w:b/>
          <w:bCs/>
          <w:szCs w:val="22"/>
          <w:u w:val="single"/>
          <w:lang w:eastAsia="en-US"/>
        </w:rPr>
        <w:t xml:space="preserve"> </w:t>
      </w:r>
    </w:p>
    <w:p w:rsidR="00E53590" w:rsidRPr="00E53590" w:rsidRDefault="00E53590" w:rsidP="00E53590">
      <w:pPr>
        <w:rPr>
          <w:rFonts w:ascii="Calibri" w:eastAsia="Calibri" w:hAnsi="Calibri" w:cs="Calibri"/>
          <w:szCs w:val="22"/>
          <w:lang w:eastAsia="en-US"/>
        </w:rPr>
      </w:pPr>
      <w:r w:rsidRPr="00E53590">
        <w:rPr>
          <w:rFonts w:ascii="Calibri" w:eastAsia="Calibri" w:hAnsi="Calibri" w:cs="Calibri"/>
          <w:szCs w:val="22"/>
          <w:lang w:eastAsia="en-US"/>
        </w:rPr>
        <w:t xml:space="preserve">200 000 € na tri roky odborného vzdelávania spolu pre všetky </w:t>
      </w:r>
      <w:r w:rsidR="00A65B79">
        <w:rPr>
          <w:rFonts w:ascii="Calibri" w:eastAsia="Calibri" w:hAnsi="Calibri" w:cs="Calibri"/>
          <w:szCs w:val="22"/>
          <w:lang w:eastAsia="en-US"/>
        </w:rPr>
        <w:t>vybrané vzdelávacie</w:t>
      </w:r>
      <w:r w:rsidRPr="00E53590">
        <w:rPr>
          <w:rFonts w:ascii="Calibri" w:eastAsia="Calibri" w:hAnsi="Calibri" w:cs="Calibri"/>
          <w:szCs w:val="22"/>
          <w:lang w:eastAsia="en-US"/>
        </w:rPr>
        <w:t xml:space="preserve"> organizá</w:t>
      </w:r>
      <w:r w:rsidR="00A65B79">
        <w:rPr>
          <w:rFonts w:ascii="Calibri" w:eastAsia="Calibri" w:hAnsi="Calibri" w:cs="Calibri"/>
          <w:szCs w:val="22"/>
          <w:lang w:eastAsia="en-US"/>
        </w:rPr>
        <w:t>cie</w:t>
      </w:r>
      <w:r w:rsidRPr="00E53590">
        <w:rPr>
          <w:rFonts w:ascii="Calibri" w:eastAsia="Calibri" w:hAnsi="Calibri" w:cs="Calibri"/>
          <w:szCs w:val="22"/>
          <w:lang w:eastAsia="en-US"/>
        </w:rPr>
        <w:t>.</w:t>
      </w:r>
    </w:p>
    <w:p w:rsidR="008676F9" w:rsidRPr="008676F9" w:rsidRDefault="008676F9" w:rsidP="00AA6566">
      <w:pPr>
        <w:rPr>
          <w:rFonts w:ascii="Calibri" w:eastAsia="Calibri" w:hAnsi="Calibri" w:cs="Calibri"/>
          <w:szCs w:val="22"/>
          <w:lang w:val="en-US" w:eastAsia="en-US"/>
        </w:rPr>
      </w:pPr>
    </w:p>
    <w:p w:rsidR="008676F9" w:rsidRPr="008676F9" w:rsidRDefault="008676F9" w:rsidP="00AA6566">
      <w:pPr>
        <w:rPr>
          <w:rFonts w:ascii="Calibri" w:eastAsia="Calibri" w:hAnsi="Calibri" w:cs="Calibri"/>
          <w:bCs/>
          <w:szCs w:val="22"/>
          <w:u w:val="single"/>
          <w:lang w:val="en-US" w:eastAsia="en-US"/>
        </w:rPr>
      </w:pPr>
      <w:r w:rsidRPr="008676F9">
        <w:rPr>
          <w:rFonts w:ascii="Calibri" w:eastAsia="Calibri" w:hAnsi="Calibri" w:cs="Calibri"/>
          <w:bCs/>
          <w:szCs w:val="22"/>
          <w:u w:val="single"/>
          <w:lang w:eastAsia="en-US"/>
        </w:rPr>
        <w:t>Ďalšie informácie špecifické pre danú operáciu:</w:t>
      </w:r>
    </w:p>
    <w:p w:rsidR="008676F9" w:rsidRPr="008676F9" w:rsidRDefault="008676F9" w:rsidP="00AA6566">
      <w:pPr>
        <w:rPr>
          <w:rFonts w:ascii="Calibri" w:eastAsia="Calibri" w:hAnsi="Calibri" w:cs="Calibri"/>
          <w:bCs/>
          <w:i/>
          <w:szCs w:val="22"/>
          <w:lang w:eastAsia="en-US"/>
        </w:rPr>
      </w:pPr>
      <w:r w:rsidRPr="008676F9">
        <w:rPr>
          <w:rFonts w:ascii="Calibri" w:eastAsia="Calibri" w:hAnsi="Calibri" w:cs="Calibri"/>
          <w:bCs/>
          <w:i/>
          <w:szCs w:val="22"/>
          <w:lang w:eastAsia="en-US"/>
        </w:rPr>
        <w:t xml:space="preserve">Štatút pôdohospodárskeho poradcu: </w:t>
      </w:r>
      <w:r w:rsidRPr="008676F9">
        <w:rPr>
          <w:rFonts w:ascii="Calibri" w:eastAsia="Calibri" w:hAnsi="Calibri" w:cs="Calibri"/>
          <w:bCs/>
          <w:szCs w:val="22"/>
          <w:lang w:eastAsia="en-US"/>
        </w:rPr>
        <w:t>pôdohospodársky poradca podniká na základe oprávnenia k vykonávaniu poradenských služieb, ktorý splnil podmienky odbornej spôsobilosti, ukončil predpísaný stupeň vzdelania, absolvoval doplňujúce formy vzdelania – špecializované kurzy, získal certifikát, je bezúhonný a zaviazal sa dodržiavať etický</w:t>
      </w:r>
    </w:p>
    <w:p w:rsidR="008676F9" w:rsidRPr="008676F9" w:rsidRDefault="008676F9" w:rsidP="00AA6566">
      <w:pPr>
        <w:spacing w:after="120"/>
        <w:rPr>
          <w:rFonts w:ascii="Calibri" w:eastAsia="Calibri" w:hAnsi="Calibri" w:cs="Calibri"/>
          <w:bCs/>
          <w:szCs w:val="22"/>
          <w:lang w:eastAsia="en-US"/>
        </w:rPr>
      </w:pPr>
      <w:r w:rsidRPr="008676F9">
        <w:rPr>
          <w:rFonts w:ascii="Calibri" w:eastAsia="Calibri" w:hAnsi="Calibri" w:cs="Calibri"/>
          <w:bCs/>
          <w:szCs w:val="22"/>
          <w:lang w:eastAsia="en-US"/>
        </w:rPr>
        <w:t xml:space="preserve">kódex poradcu. </w:t>
      </w:r>
    </w:p>
    <w:p w:rsidR="008676F9" w:rsidRPr="008676F9" w:rsidRDefault="008676F9" w:rsidP="00AA6566">
      <w:pPr>
        <w:spacing w:after="60"/>
        <w:rPr>
          <w:rFonts w:ascii="Calibri" w:eastAsia="Calibri" w:hAnsi="Calibri" w:cs="Calibri"/>
          <w:bCs/>
          <w:i/>
          <w:szCs w:val="22"/>
          <w:lang w:eastAsia="en-US"/>
        </w:rPr>
      </w:pPr>
      <w:r w:rsidRPr="008676F9">
        <w:rPr>
          <w:rFonts w:ascii="Calibri" w:eastAsia="Calibri" w:hAnsi="Calibri" w:cs="Calibri"/>
          <w:bCs/>
          <w:i/>
          <w:szCs w:val="22"/>
          <w:lang w:eastAsia="en-US"/>
        </w:rPr>
        <w:t xml:space="preserve">Certifikácia poradcov: </w:t>
      </w:r>
      <w:r w:rsidRPr="008676F9">
        <w:rPr>
          <w:rFonts w:ascii="Calibri" w:eastAsia="Calibri" w:hAnsi="Calibri"/>
          <w:szCs w:val="22"/>
          <w:lang w:eastAsia="en-US"/>
        </w:rPr>
        <w:t>proces zápisu poradcov v pôdohospodárstve  do nového Centrálneho registra pôdohospodárskych poradcov treba rozdeliť na dve časti:</w:t>
      </w:r>
    </w:p>
    <w:p w:rsidR="008676F9" w:rsidRPr="008676F9" w:rsidRDefault="008676F9" w:rsidP="00955DA4">
      <w:pPr>
        <w:numPr>
          <w:ilvl w:val="0"/>
          <w:numId w:val="222"/>
        </w:numPr>
        <w:spacing w:after="60"/>
        <w:rPr>
          <w:rFonts w:ascii="Calibri" w:eastAsia="Calibri" w:hAnsi="Calibri"/>
          <w:szCs w:val="22"/>
          <w:lang w:eastAsia="en-US"/>
        </w:rPr>
      </w:pPr>
      <w:r w:rsidRPr="008676F9">
        <w:rPr>
          <w:rFonts w:ascii="Calibri" w:eastAsia="Calibri" w:hAnsi="Calibri"/>
          <w:szCs w:val="22"/>
          <w:lang w:eastAsia="en-US"/>
        </w:rPr>
        <w:t xml:space="preserve">Poradcovia, ktorí sú zapísaní v súčasnom Centrálnom registri pôdohospodárskych poradcov, by mali absolvovať povinne aktualizačný kurz v rozsahu Hlavy III Poľnohospodársky poradenský systém článok 12 nariadenia č. 1306/2013, po ktorom by testom alebo ústne pred odbornou komisiou /odborní zástupcovia MPRV SR, PPA, </w:t>
      </w:r>
      <w:r w:rsidR="00F31817">
        <w:rPr>
          <w:rFonts w:ascii="Calibri" w:eastAsia="Calibri" w:hAnsi="Calibri"/>
          <w:szCs w:val="22"/>
          <w:lang w:eastAsia="en-US"/>
        </w:rPr>
        <w:t>Ú</w:t>
      </w:r>
      <w:r w:rsidRPr="008676F9">
        <w:rPr>
          <w:rFonts w:ascii="Calibri" w:eastAsia="Calibri" w:hAnsi="Calibri"/>
          <w:szCs w:val="22"/>
          <w:lang w:eastAsia="en-US"/>
        </w:rPr>
        <w:t>KS</w:t>
      </w:r>
      <w:r w:rsidR="00F31817">
        <w:rPr>
          <w:rFonts w:ascii="Calibri" w:eastAsia="Calibri" w:hAnsi="Calibri"/>
          <w:szCs w:val="22"/>
          <w:lang w:eastAsia="en-US"/>
        </w:rPr>
        <w:t>Ú</w:t>
      </w:r>
      <w:r w:rsidRPr="008676F9">
        <w:rPr>
          <w:rFonts w:ascii="Calibri" w:eastAsia="Calibri" w:hAnsi="Calibri"/>
          <w:szCs w:val="22"/>
          <w:lang w:eastAsia="en-US"/>
        </w:rPr>
        <w:t>P, ŠVPS SR,</w:t>
      </w:r>
      <w:r w:rsidR="000E76A1">
        <w:rPr>
          <w:rFonts w:ascii="Calibri" w:eastAsia="Calibri" w:hAnsi="Calibri"/>
          <w:szCs w:val="22"/>
          <w:lang w:eastAsia="en-US"/>
        </w:rPr>
        <w:t xml:space="preserve"> NLC,</w:t>
      </w:r>
      <w:r w:rsidRPr="008676F9">
        <w:rPr>
          <w:rFonts w:ascii="Calibri" w:eastAsia="Calibri" w:hAnsi="Calibri"/>
          <w:szCs w:val="22"/>
          <w:lang w:eastAsia="en-US"/>
        </w:rPr>
        <w:t xml:space="preserve"> zástupcovia poverených vzdelávacích inštitúcií preukázali odbornú spôsobilosť z právnych predpisov EÚ pre nové programové obdobie 2014 -2020 a platných právnych predpisov SR</w:t>
      </w:r>
    </w:p>
    <w:p w:rsidR="008676F9" w:rsidRPr="008676F9" w:rsidRDefault="008676F9" w:rsidP="00955DA4">
      <w:pPr>
        <w:numPr>
          <w:ilvl w:val="1"/>
          <w:numId w:val="222"/>
        </w:numPr>
        <w:spacing w:after="60"/>
        <w:rPr>
          <w:rFonts w:ascii="Calibri" w:eastAsia="Calibri" w:hAnsi="Calibri"/>
          <w:szCs w:val="22"/>
          <w:lang w:eastAsia="en-US"/>
        </w:rPr>
      </w:pPr>
      <w:r w:rsidRPr="008676F9">
        <w:rPr>
          <w:rFonts w:ascii="Calibri" w:eastAsia="Calibri" w:hAnsi="Calibri"/>
          <w:szCs w:val="22"/>
          <w:lang w:eastAsia="en-US"/>
        </w:rPr>
        <w:t>Pravidlá krížového plnenia podľa článku 93</w:t>
      </w:r>
      <w:r w:rsidRPr="008676F9">
        <w:rPr>
          <w:rFonts w:ascii="Calibri" w:eastAsia="Calibri" w:hAnsi="Calibri"/>
          <w:szCs w:val="22"/>
          <w:lang w:val="en-US" w:eastAsia="en-US"/>
        </w:rPr>
        <w:t>;</w:t>
      </w:r>
      <w:r w:rsidRPr="008676F9">
        <w:rPr>
          <w:rFonts w:ascii="Calibri" w:eastAsia="Calibri" w:hAnsi="Calibri"/>
          <w:szCs w:val="22"/>
          <w:lang w:eastAsia="en-US"/>
        </w:rPr>
        <w:t xml:space="preserve"> </w:t>
      </w:r>
    </w:p>
    <w:p w:rsidR="008676F9" w:rsidRPr="008676F9" w:rsidRDefault="008676F9" w:rsidP="00955DA4">
      <w:pPr>
        <w:numPr>
          <w:ilvl w:val="1"/>
          <w:numId w:val="222"/>
        </w:numPr>
        <w:spacing w:after="60"/>
        <w:rPr>
          <w:rFonts w:ascii="Calibri" w:eastAsia="Calibri" w:hAnsi="Calibri"/>
          <w:szCs w:val="22"/>
          <w:lang w:eastAsia="en-US"/>
        </w:rPr>
      </w:pPr>
      <w:r w:rsidRPr="008676F9">
        <w:rPr>
          <w:rFonts w:ascii="Calibri" w:eastAsia="Calibri" w:hAnsi="Calibri"/>
          <w:szCs w:val="22"/>
          <w:lang w:eastAsia="en-US"/>
        </w:rPr>
        <w:t>Poľnohospodárske postupy, ktoré sú prospešné pre klímu a životné prostredie;</w:t>
      </w:r>
    </w:p>
    <w:p w:rsidR="008676F9" w:rsidRPr="008676F9" w:rsidRDefault="008676F9" w:rsidP="00955DA4">
      <w:pPr>
        <w:numPr>
          <w:ilvl w:val="1"/>
          <w:numId w:val="222"/>
        </w:numPr>
        <w:spacing w:after="60"/>
        <w:rPr>
          <w:rFonts w:ascii="Calibri" w:eastAsia="Calibri" w:hAnsi="Calibri"/>
          <w:szCs w:val="22"/>
          <w:lang w:eastAsia="en-US"/>
        </w:rPr>
      </w:pPr>
      <w:r w:rsidRPr="008676F9">
        <w:rPr>
          <w:rFonts w:ascii="Calibri" w:eastAsia="Calibri" w:hAnsi="Calibri"/>
          <w:szCs w:val="22"/>
          <w:lang w:eastAsia="en-US"/>
        </w:rPr>
        <w:t>Opatrenia na úrovni poľnohospodárskeho podniku, ktoré sú ustanovené pre vybrané priority a fókusové oblasti PRV SR 2014 -2020;</w:t>
      </w:r>
    </w:p>
    <w:p w:rsidR="008676F9" w:rsidRPr="008676F9" w:rsidRDefault="008676F9" w:rsidP="00955DA4">
      <w:pPr>
        <w:numPr>
          <w:ilvl w:val="1"/>
          <w:numId w:val="222"/>
        </w:numPr>
        <w:spacing w:after="60"/>
        <w:rPr>
          <w:rFonts w:ascii="Calibri" w:eastAsia="Calibri" w:hAnsi="Calibri"/>
          <w:szCs w:val="22"/>
          <w:lang w:eastAsia="en-US"/>
        </w:rPr>
      </w:pPr>
      <w:r w:rsidRPr="008676F9">
        <w:rPr>
          <w:rFonts w:ascii="Calibri" w:eastAsia="Calibri" w:hAnsi="Calibri"/>
          <w:szCs w:val="22"/>
          <w:lang w:eastAsia="en-US"/>
        </w:rPr>
        <w:t>Požiadavky na prijímateľov vymedzené na účely vykonávania smernice 60/2000/ES o vodách;</w:t>
      </w:r>
    </w:p>
    <w:p w:rsidR="008676F9" w:rsidRPr="008676F9" w:rsidRDefault="008676F9" w:rsidP="00955DA4">
      <w:pPr>
        <w:numPr>
          <w:ilvl w:val="1"/>
          <w:numId w:val="222"/>
        </w:numPr>
        <w:spacing w:after="60"/>
        <w:rPr>
          <w:rFonts w:ascii="Calibri" w:eastAsia="Calibri" w:hAnsi="Calibri"/>
          <w:szCs w:val="22"/>
          <w:lang w:eastAsia="en-US"/>
        </w:rPr>
      </w:pPr>
      <w:r w:rsidRPr="008676F9">
        <w:rPr>
          <w:rFonts w:ascii="Calibri" w:eastAsia="Calibri" w:hAnsi="Calibri"/>
          <w:szCs w:val="22"/>
          <w:lang w:eastAsia="en-US"/>
        </w:rPr>
        <w:t>Požiadavky na prijímateľov v oblasti prípravkov na ochranu rastlín a trvale udržateľného používania pesticídov na účely  vykonávania nariadenia Európskeho parlamentu a Rady /ES/ 1107/2009 a smernice Európskeho parlamentu a Rady 2009/128/ES;</w:t>
      </w:r>
    </w:p>
    <w:p w:rsidR="008676F9" w:rsidRPr="008676F9" w:rsidRDefault="008676F9" w:rsidP="00955DA4">
      <w:pPr>
        <w:numPr>
          <w:ilvl w:val="1"/>
          <w:numId w:val="222"/>
        </w:numPr>
        <w:spacing w:after="60"/>
        <w:rPr>
          <w:rFonts w:ascii="Calibri" w:eastAsia="Calibri" w:hAnsi="Calibri"/>
          <w:szCs w:val="22"/>
          <w:lang w:eastAsia="en-US"/>
        </w:rPr>
      </w:pPr>
      <w:r w:rsidRPr="008676F9">
        <w:rPr>
          <w:rFonts w:ascii="Calibri" w:eastAsia="Calibri" w:hAnsi="Calibri"/>
          <w:szCs w:val="22"/>
          <w:lang w:eastAsia="en-US"/>
        </w:rPr>
        <w:t>Požiadavky na prijímateľov v oblasti Natura 2000 na vykonávanie smerníc 92/43/EHS o ochrane prirodzených biotopov a voľne žijúcich živočíchov a rastlín a smernice Európskeho parlamentu a Rady 2009/147/ES o ochrane voľne žijúceho vtáctva ;</w:t>
      </w:r>
    </w:p>
    <w:p w:rsidR="008676F9" w:rsidRPr="008676F9" w:rsidRDefault="008676F9" w:rsidP="00955DA4">
      <w:pPr>
        <w:numPr>
          <w:ilvl w:val="1"/>
          <w:numId w:val="222"/>
        </w:numPr>
        <w:spacing w:after="60"/>
        <w:rPr>
          <w:rFonts w:ascii="Calibri" w:eastAsia="Calibri" w:hAnsi="Calibri"/>
          <w:szCs w:val="22"/>
          <w:lang w:eastAsia="en-US"/>
        </w:rPr>
      </w:pPr>
      <w:r w:rsidRPr="008676F9">
        <w:rPr>
          <w:rFonts w:ascii="Calibri" w:eastAsia="Calibri" w:hAnsi="Calibri"/>
          <w:szCs w:val="22"/>
          <w:lang w:eastAsia="en-US"/>
        </w:rPr>
        <w:t>Normy bezpečnosti pri práci založené na právnych prepisoch EÚ.</w:t>
      </w:r>
    </w:p>
    <w:p w:rsidR="008676F9" w:rsidRPr="008676F9" w:rsidRDefault="008676F9" w:rsidP="00955DA4">
      <w:pPr>
        <w:numPr>
          <w:ilvl w:val="0"/>
          <w:numId w:val="222"/>
        </w:numPr>
        <w:spacing w:after="200"/>
        <w:rPr>
          <w:rFonts w:ascii="Calibri" w:eastAsia="Calibri" w:hAnsi="Calibri"/>
          <w:szCs w:val="22"/>
          <w:lang w:eastAsia="en-US"/>
        </w:rPr>
      </w:pPr>
      <w:r w:rsidRPr="008676F9">
        <w:rPr>
          <w:rFonts w:ascii="Calibri" w:eastAsia="Calibri" w:hAnsi="Calibri"/>
          <w:szCs w:val="22"/>
          <w:lang w:eastAsia="en-US"/>
        </w:rPr>
        <w:t>Poradcovia, ktorí požiadajú o zápis do nového Centrálneho registra pôdohospodárskych poradcov musia absolvovať komplexný základný vzdelávací program pre poradcov v pôdohospodárstve v zmysle zákona 211/2013 §16e o poradenskom systéme ukončený záverečnou skúškou a obhajobou záverečnej práce.   </w:t>
      </w:r>
    </w:p>
    <w:p w:rsidR="008676F9" w:rsidRPr="008676F9" w:rsidRDefault="008676F9" w:rsidP="00AA6566">
      <w:pPr>
        <w:rPr>
          <w:rFonts w:ascii="Calibri" w:eastAsia="Calibri" w:hAnsi="Calibri" w:cs="Calibri"/>
          <w:b/>
          <w:bCs/>
          <w:szCs w:val="22"/>
          <w:lang w:eastAsia="en-US"/>
        </w:rPr>
      </w:pPr>
    </w:p>
    <w:p w:rsidR="008676F9" w:rsidRPr="008676F9" w:rsidRDefault="008676F9" w:rsidP="00AA6566">
      <w:pPr>
        <w:rPr>
          <w:rFonts w:ascii="Calibri" w:eastAsia="Calibri" w:hAnsi="Calibri" w:cs="Calibri"/>
          <w:b/>
          <w:bCs/>
          <w:szCs w:val="22"/>
          <w:lang w:eastAsia="en-US"/>
        </w:rPr>
      </w:pPr>
      <w:r w:rsidRPr="008676F9">
        <w:rPr>
          <w:rFonts w:ascii="Calibri" w:eastAsia="Calibri" w:hAnsi="Calibri" w:cs="Calibri"/>
          <w:b/>
          <w:bCs/>
          <w:szCs w:val="22"/>
          <w:lang w:eastAsia="en-US"/>
        </w:rPr>
        <w:t xml:space="preserve">8.2.2.4. Overiteľnosť a kontrolovateľnosť opatrenia </w:t>
      </w:r>
    </w:p>
    <w:p w:rsidR="008676F9" w:rsidRPr="008676F9" w:rsidRDefault="008676F9" w:rsidP="00AA6566">
      <w:pPr>
        <w:ind w:left="851" w:hanging="851"/>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 xml:space="preserve">Riziko implementácie opatrenia: </w:t>
      </w:r>
    </w:p>
    <w:p w:rsidR="008676F9" w:rsidRPr="008676F9" w:rsidRDefault="008676F9" w:rsidP="00955DA4">
      <w:pPr>
        <w:numPr>
          <w:ilvl w:val="0"/>
          <w:numId w:val="156"/>
        </w:numPr>
        <w:spacing w:after="200"/>
        <w:contextualSpacing/>
        <w:rPr>
          <w:rFonts w:ascii="Calibri" w:eastAsia="Calibri" w:hAnsi="Calibri" w:cs="Calibri"/>
          <w:bCs/>
          <w:szCs w:val="22"/>
          <w:lang w:eastAsia="en-US"/>
        </w:rPr>
      </w:pPr>
      <w:r w:rsidRPr="008676F9">
        <w:rPr>
          <w:rFonts w:ascii="Calibri" w:eastAsia="Calibri" w:hAnsi="Calibri" w:cs="Calibri"/>
          <w:bCs/>
          <w:szCs w:val="22"/>
          <w:lang w:eastAsia="en-US"/>
        </w:rPr>
        <w:t>Výška oprávnených nákladov – efektívnosť vynaložených nákladov;</w:t>
      </w:r>
    </w:p>
    <w:p w:rsidR="008676F9" w:rsidRPr="008676F9" w:rsidRDefault="008676F9" w:rsidP="00955DA4">
      <w:pPr>
        <w:numPr>
          <w:ilvl w:val="0"/>
          <w:numId w:val="156"/>
        </w:numPr>
        <w:spacing w:after="200"/>
        <w:contextualSpacing/>
        <w:rPr>
          <w:rFonts w:ascii="Calibri" w:eastAsia="Calibri" w:hAnsi="Calibri" w:cs="Calibri"/>
          <w:bCs/>
          <w:szCs w:val="22"/>
          <w:lang w:eastAsia="en-US"/>
        </w:rPr>
      </w:pPr>
      <w:r w:rsidRPr="008676F9">
        <w:rPr>
          <w:rFonts w:ascii="Calibri" w:eastAsia="Calibri" w:hAnsi="Calibri" w:cs="Calibri"/>
          <w:szCs w:val="22"/>
        </w:rPr>
        <w:t>Postupy verejného obstarávania;</w:t>
      </w:r>
    </w:p>
    <w:p w:rsidR="008676F9" w:rsidRPr="008676F9" w:rsidRDefault="008676F9" w:rsidP="00955DA4">
      <w:pPr>
        <w:numPr>
          <w:ilvl w:val="0"/>
          <w:numId w:val="156"/>
        </w:numPr>
        <w:spacing w:after="200"/>
        <w:contextualSpacing/>
        <w:rPr>
          <w:rFonts w:ascii="Calibri" w:eastAsia="Calibri" w:hAnsi="Calibri" w:cs="Calibri"/>
          <w:bCs/>
          <w:szCs w:val="22"/>
          <w:lang w:eastAsia="en-US"/>
        </w:rPr>
      </w:pPr>
      <w:r w:rsidRPr="008676F9">
        <w:rPr>
          <w:rFonts w:ascii="Calibri" w:eastAsia="Calibri" w:hAnsi="Calibri" w:cs="Calibri"/>
          <w:szCs w:val="22"/>
        </w:rPr>
        <w:t>Udržateľnosť projektu.</w:t>
      </w:r>
    </w:p>
    <w:p w:rsidR="008676F9" w:rsidRPr="008676F9" w:rsidRDefault="008676F9" w:rsidP="00AA6566">
      <w:pPr>
        <w:ind w:left="851" w:hanging="851"/>
        <w:rPr>
          <w:rFonts w:ascii="Calibri" w:eastAsia="Calibri" w:hAnsi="Calibri" w:cs="Calibri"/>
          <w:bCs/>
          <w:szCs w:val="22"/>
          <w:lang w:eastAsia="en-US"/>
        </w:rPr>
      </w:pPr>
    </w:p>
    <w:p w:rsidR="008676F9" w:rsidRPr="008676F9" w:rsidRDefault="008676F9" w:rsidP="00AA6566">
      <w:pPr>
        <w:ind w:left="851" w:hanging="851"/>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Opatrenia na zmiernenie rizika implementácie:</w:t>
      </w:r>
    </w:p>
    <w:p w:rsidR="008676F9" w:rsidRPr="008676F9" w:rsidRDefault="008676F9" w:rsidP="00AA6566">
      <w:pPr>
        <w:rPr>
          <w:rFonts w:ascii="Calibri" w:eastAsia="Calibri" w:hAnsi="Calibri" w:cs="Calibri"/>
          <w:szCs w:val="22"/>
        </w:rPr>
      </w:pPr>
      <w:r w:rsidRPr="008676F9">
        <w:rPr>
          <w:rFonts w:ascii="Calibri" w:eastAsia="Calibri" w:hAnsi="Calibri" w:cs="Calibri"/>
          <w:szCs w:val="22"/>
          <w:lang w:eastAsia="en-US"/>
        </w:rPr>
        <w:t xml:space="preserve">V rámci opatrenia sú stanovené presné kritériá spôsobilosti, ktoré budú určovať oprávnenosť navrhovaného projektu a ku ktorých plneniu sa prijímateľ podpory zaviaže pri podpise zmluvy o poskytnutí NFP.  V prípade ich neplnenia nebude žiadateľovi vyplatená finančná čiastka v rámci ŽoP. </w:t>
      </w:r>
      <w:r w:rsidRPr="008676F9">
        <w:rPr>
          <w:rFonts w:ascii="Calibri" w:eastAsia="Calibri" w:hAnsi="Calibri" w:cs="Calibri"/>
          <w:szCs w:val="22"/>
        </w:rPr>
        <w:t>Povinnosť postupovať v zmysle usmernenia pre žiadateľa o verejnom obstarávaní.</w:t>
      </w:r>
    </w:p>
    <w:p w:rsidR="008676F9" w:rsidRPr="008676F9" w:rsidRDefault="008676F9" w:rsidP="00AA6566">
      <w:pPr>
        <w:rPr>
          <w:rFonts w:ascii="Calibri" w:eastAsia="Calibri" w:hAnsi="Calibri" w:cs="Calibri"/>
          <w:szCs w:val="22"/>
        </w:rPr>
      </w:pPr>
      <w:r w:rsidRPr="008676F9">
        <w:rPr>
          <w:rFonts w:ascii="Calibri" w:eastAsia="Calibri" w:hAnsi="Calibri" w:cs="Calibri"/>
          <w:szCs w:val="22"/>
        </w:rPr>
        <w:t>Overiteľnosť a kontrolovateľnosť je zabezpečená systémom administratívnych kontrol a kontrol na mieste v zmysle legislatívy. V prípade poradenskej  služby, kde je efekt merateľnosti ťažko identifikovateľný  a   výsledok činnosti   farmárov   ovplyvniteľný  množstvom  faktorov  ako  počasie</w:t>
      </w:r>
    </w:p>
    <w:p w:rsidR="008676F9" w:rsidRPr="008676F9" w:rsidRDefault="008676F9" w:rsidP="00AA6566">
      <w:pPr>
        <w:rPr>
          <w:rFonts w:ascii="Calibri" w:eastAsia="Calibri" w:hAnsi="Calibri" w:cs="Calibri"/>
          <w:szCs w:val="22"/>
          <w:u w:val="single"/>
        </w:rPr>
      </w:pPr>
      <w:r w:rsidRPr="008676F9">
        <w:rPr>
          <w:rFonts w:ascii="Calibri" w:eastAsia="Calibri" w:hAnsi="Calibri" w:cs="Calibri"/>
          <w:szCs w:val="22"/>
        </w:rPr>
        <w:t xml:space="preserve"> a pod. , efekt  poradenskej služby možno zhodnotiť cez zvýšenie výkonnosti poľnohospodárskeho podniku a znížením počtu sankcií.</w:t>
      </w:r>
    </w:p>
    <w:p w:rsidR="008676F9" w:rsidRPr="008676F9" w:rsidRDefault="008676F9" w:rsidP="00AA6566">
      <w:pPr>
        <w:rPr>
          <w:rFonts w:ascii="Calibri" w:eastAsia="Calibri" w:hAnsi="Calibri" w:cs="Calibri"/>
          <w:bCs/>
          <w:szCs w:val="22"/>
          <w:u w:val="single"/>
          <w:lang w:eastAsia="en-US"/>
        </w:rPr>
      </w:pPr>
    </w:p>
    <w:p w:rsidR="008676F9" w:rsidRPr="008676F9" w:rsidRDefault="008676F9" w:rsidP="00AA6566">
      <w:pPr>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Celkové posúdenie opatrenia:</w:t>
      </w:r>
    </w:p>
    <w:p w:rsidR="004D2876" w:rsidRDefault="008676F9" w:rsidP="00AA6566">
      <w:pPr>
        <w:rPr>
          <w:rFonts w:ascii="Calibri" w:eastAsia="Calibri" w:hAnsi="Calibri" w:cs="Calibri"/>
          <w:szCs w:val="22"/>
        </w:rPr>
      </w:pPr>
      <w:r w:rsidRPr="008676F9">
        <w:rPr>
          <w:rFonts w:ascii="Calibri" w:eastAsia="Calibri" w:hAnsi="Calibri" w:cs="Calibri"/>
          <w:szCs w:val="22"/>
          <w:lang w:eastAsia="en-US"/>
        </w:rPr>
        <w:t xml:space="preserve">Pri danom opatrení  je možné </w:t>
      </w:r>
      <w:r w:rsidRPr="008676F9">
        <w:rPr>
          <w:rFonts w:ascii="Calibri" w:eastAsia="Calibri" w:hAnsi="Calibri" w:cs="Calibri"/>
          <w:szCs w:val="22"/>
        </w:rPr>
        <w:t xml:space="preserve">skontrolovať oprávnené náklady systémov administratívnych kontrol a kontrol na mieste v zmysle legislatívy.  Kontrola kritérií spôsobilosti bude predmetom výberového konania. </w:t>
      </w:r>
      <w:r w:rsidR="004D2876">
        <w:rPr>
          <w:rFonts w:ascii="Calibri" w:eastAsia="Calibri" w:hAnsi="Calibri" w:cs="Calibri"/>
          <w:szCs w:val="22"/>
        </w:rPr>
        <w:br w:type="page"/>
      </w:r>
    </w:p>
    <w:p w:rsidR="008676F9" w:rsidRPr="008676F9" w:rsidRDefault="008676F9" w:rsidP="00AA30CA">
      <w:pPr>
        <w:pStyle w:val="Opatrenie"/>
      </w:pPr>
      <w:bookmarkStart w:id="82" w:name="_Toc387041323"/>
      <w:r w:rsidRPr="008676F9">
        <w:t xml:space="preserve">8.2.3 OPATRENIE 4 </w:t>
      </w:r>
      <w:r w:rsidRPr="008676F9">
        <w:tab/>
        <w:t>investície do hmotného majetku</w:t>
      </w:r>
      <w:bookmarkEnd w:id="82"/>
    </w:p>
    <w:p w:rsidR="008676F9" w:rsidRPr="008676F9" w:rsidRDefault="008676F9" w:rsidP="008676F9">
      <w:pPr>
        <w:rPr>
          <w:rFonts w:ascii="Calibri" w:eastAsia="Calibri" w:hAnsi="Calibri" w:cs="Calibri"/>
          <w:b/>
          <w:bCs/>
          <w:szCs w:val="22"/>
          <w:lang w:eastAsia="en-US"/>
        </w:rPr>
      </w:pPr>
    </w:p>
    <w:p w:rsidR="008676F9" w:rsidRPr="008676F9" w:rsidRDefault="008676F9" w:rsidP="00AA6566">
      <w:pPr>
        <w:rPr>
          <w:rFonts w:ascii="Calibri" w:eastAsia="Calibri" w:hAnsi="Calibri" w:cs="Calibri"/>
          <w:b/>
          <w:bCs/>
          <w:szCs w:val="22"/>
          <w:lang w:eastAsia="en-US"/>
        </w:rPr>
      </w:pPr>
      <w:r w:rsidRPr="008676F9">
        <w:rPr>
          <w:rFonts w:ascii="Calibri" w:eastAsia="Calibri" w:hAnsi="Calibri" w:cs="Calibri"/>
          <w:b/>
          <w:bCs/>
          <w:szCs w:val="22"/>
          <w:lang w:eastAsia="en-US"/>
        </w:rPr>
        <w:t>8.2.3.1.Právny základ</w:t>
      </w:r>
    </w:p>
    <w:p w:rsidR="008676F9" w:rsidRPr="008676F9" w:rsidRDefault="008676F9" w:rsidP="00955DA4">
      <w:pPr>
        <w:numPr>
          <w:ilvl w:val="0"/>
          <w:numId w:val="117"/>
        </w:numPr>
        <w:rPr>
          <w:rFonts w:ascii="Calibri" w:hAnsi="Calibri" w:cs="Calibri"/>
          <w:szCs w:val="22"/>
          <w:lang w:eastAsia="en-US"/>
        </w:rPr>
      </w:pPr>
      <w:r w:rsidRPr="008676F9">
        <w:rPr>
          <w:rFonts w:ascii="Calibri" w:hAnsi="Calibri" w:cs="Calibri"/>
          <w:bCs/>
          <w:szCs w:val="22"/>
          <w:lang w:eastAsia="en-US"/>
        </w:rPr>
        <w:t xml:space="preserve">článok 17 </w:t>
      </w:r>
      <w:r w:rsidRPr="008676F9">
        <w:rPr>
          <w:rFonts w:ascii="Calibri" w:hAnsi="Calibri" w:cs="Calibri"/>
          <w:szCs w:val="22"/>
          <w:lang w:eastAsia="en-US"/>
        </w:rPr>
        <w:t xml:space="preserve">nariadenia </w:t>
      </w:r>
      <w:r w:rsidR="00425CA0">
        <w:rPr>
          <w:rFonts w:ascii="Calibri" w:hAnsi="Calibri" w:cs="Calibri"/>
          <w:szCs w:val="22"/>
          <w:lang w:eastAsia="en-US"/>
        </w:rPr>
        <w:t xml:space="preserve">(EÚ) </w:t>
      </w:r>
      <w:r w:rsidRPr="008676F9">
        <w:rPr>
          <w:rFonts w:ascii="Calibri" w:hAnsi="Calibri" w:cs="Calibri"/>
          <w:szCs w:val="22"/>
          <w:lang w:eastAsia="en-US"/>
        </w:rPr>
        <w:t xml:space="preserve">č. 1305/2013 o podpore rozvoja vidieka </w:t>
      </w:r>
      <w:r w:rsidR="00E81F0F">
        <w:rPr>
          <w:rFonts w:ascii="Calibri" w:hAnsi="Calibri" w:cs="Calibri"/>
          <w:szCs w:val="22"/>
          <w:lang w:eastAsia="en-US"/>
        </w:rPr>
        <w:t xml:space="preserve">z </w:t>
      </w:r>
      <w:r w:rsidRPr="008676F9">
        <w:rPr>
          <w:rFonts w:ascii="Calibri" w:hAnsi="Calibri" w:cs="Calibri"/>
          <w:szCs w:val="22"/>
          <w:lang w:eastAsia="en-US"/>
        </w:rPr>
        <w:t>EPFRV;</w:t>
      </w:r>
    </w:p>
    <w:p w:rsidR="008676F9" w:rsidRPr="008676F9" w:rsidRDefault="008676F9" w:rsidP="00955DA4">
      <w:pPr>
        <w:numPr>
          <w:ilvl w:val="0"/>
          <w:numId w:val="117"/>
        </w:numPr>
        <w:rPr>
          <w:rFonts w:ascii="Calibri" w:hAnsi="Calibri" w:cs="Calibri"/>
          <w:szCs w:val="22"/>
          <w:lang w:eastAsia="en-US"/>
        </w:rPr>
      </w:pPr>
      <w:r w:rsidRPr="008676F9">
        <w:rPr>
          <w:rFonts w:ascii="Calibri" w:hAnsi="Calibri" w:cs="Calibri"/>
          <w:szCs w:val="22"/>
          <w:lang w:eastAsia="en-US"/>
        </w:rPr>
        <w:t>článok 13 návrhu delegovaného nariadenia Komisie č……/2014;</w:t>
      </w:r>
    </w:p>
    <w:p w:rsidR="008676F9" w:rsidRPr="008676F9" w:rsidRDefault="008676F9" w:rsidP="00955DA4">
      <w:pPr>
        <w:numPr>
          <w:ilvl w:val="0"/>
          <w:numId w:val="117"/>
        </w:numPr>
        <w:rPr>
          <w:rFonts w:ascii="Calibri" w:hAnsi="Calibri" w:cs="Calibri"/>
          <w:szCs w:val="22"/>
          <w:lang w:eastAsia="en-US"/>
        </w:rPr>
      </w:pPr>
      <w:r w:rsidRPr="008676F9">
        <w:rPr>
          <w:rFonts w:ascii="Calibri" w:hAnsi="Calibri" w:cs="Calibri"/>
          <w:szCs w:val="22"/>
          <w:lang w:eastAsia="en-US"/>
        </w:rPr>
        <w:t>príloha I, bod 8.4 návrhu implementačného aktu Komisie č. ..../2014.</w:t>
      </w:r>
    </w:p>
    <w:p w:rsidR="008676F9" w:rsidRPr="008676F9" w:rsidRDefault="008676F9" w:rsidP="00AA6566">
      <w:pPr>
        <w:rPr>
          <w:rFonts w:ascii="Calibri" w:eastAsia="Calibri" w:hAnsi="Calibri" w:cs="Calibri"/>
          <w:szCs w:val="22"/>
          <w:lang w:eastAsia="en-US"/>
        </w:rPr>
      </w:pPr>
    </w:p>
    <w:p w:rsidR="008676F9" w:rsidRPr="008676F9" w:rsidRDefault="008676F9" w:rsidP="00AA6566">
      <w:pPr>
        <w:ind w:left="709" w:hanging="709"/>
        <w:rPr>
          <w:rFonts w:ascii="Calibri" w:eastAsia="Calibri" w:hAnsi="Calibri" w:cs="Calibri"/>
          <w:b/>
          <w:szCs w:val="22"/>
          <w:lang w:eastAsia="en-US"/>
        </w:rPr>
      </w:pPr>
      <w:r w:rsidRPr="008676F9">
        <w:rPr>
          <w:rFonts w:ascii="Calibri" w:eastAsia="Calibri" w:hAnsi="Calibri" w:cs="Calibri"/>
          <w:b/>
          <w:szCs w:val="22"/>
          <w:lang w:eastAsia="en-US"/>
        </w:rPr>
        <w:t>8.2.3.2. Všeobecný opis opatrenia vrátane intervenčnej logiky a príspevku k fokusovým oblastiam a prierezovým cieľom</w:t>
      </w:r>
    </w:p>
    <w:p w:rsidR="008676F9" w:rsidRPr="008676F9" w:rsidRDefault="008676F9" w:rsidP="00BE36D5">
      <w:pPr>
        <w:spacing w:after="120"/>
        <w:rPr>
          <w:rFonts w:ascii="Calibri" w:eastAsia="Calibri" w:hAnsi="Calibri" w:cs="Calibri"/>
          <w:szCs w:val="22"/>
          <w:lang w:eastAsia="en-US"/>
        </w:rPr>
      </w:pPr>
      <w:r w:rsidRPr="008676F9">
        <w:rPr>
          <w:rFonts w:ascii="Calibri" w:eastAsia="Calibri" w:hAnsi="Calibri" w:cs="Calibri"/>
          <w:szCs w:val="22"/>
          <w:lang w:eastAsia="en-US"/>
        </w:rPr>
        <w:t>Slovensko potrebuje podporiť rozvoj konkurencieschopnej, účelovo intenzívnej avšak environmentálne prijateľnej poľnohospodárskej výroby v priaznivých pôdnych a klimatických podmienkach, ktorá by prinášala vyššiu pridanú hodnotu. V nadväznosti na rozvoj poľnohospodárskej výroby je zároveň nevyhnutné posilniť konkurencieschopnosť spracovateľského a potravinárskeho priemyslu, jeho výrobnú diverzifikáciu a inováciu.</w:t>
      </w:r>
    </w:p>
    <w:p w:rsidR="008676F9" w:rsidRPr="008676F9" w:rsidRDefault="008676F9" w:rsidP="00AA6566">
      <w:pPr>
        <w:rPr>
          <w:rFonts w:ascii="Calibri" w:eastAsia="Calibri" w:hAnsi="Calibri" w:cs="Calibri"/>
          <w:szCs w:val="22"/>
          <w:lang w:eastAsia="en-US"/>
        </w:rPr>
      </w:pPr>
      <w:r w:rsidRPr="008676F9">
        <w:rPr>
          <w:rFonts w:ascii="Calibri" w:eastAsia="Calibri" w:hAnsi="Calibri" w:cs="Calibri"/>
          <w:szCs w:val="22"/>
          <w:lang w:eastAsia="en-US"/>
        </w:rPr>
        <w:t>Investičné podopatrenia 4.1 a 4.2 prioritne reagujú na nasledovné potreby:</w:t>
      </w:r>
    </w:p>
    <w:p w:rsidR="008676F9" w:rsidRPr="008676F9" w:rsidRDefault="008676F9" w:rsidP="001F5283">
      <w:pPr>
        <w:numPr>
          <w:ilvl w:val="0"/>
          <w:numId w:val="67"/>
        </w:numPr>
        <w:contextualSpacing/>
        <w:rPr>
          <w:rFonts w:ascii="Calibri" w:hAnsi="Calibri" w:cs="Calibri"/>
          <w:szCs w:val="22"/>
          <w:lang w:eastAsia="en-US"/>
        </w:rPr>
      </w:pPr>
      <w:r w:rsidRPr="008676F9">
        <w:rPr>
          <w:rFonts w:ascii="Calibri" w:hAnsi="Calibri"/>
          <w:szCs w:val="22"/>
          <w:lang w:eastAsia="en-US"/>
        </w:rPr>
        <w:t>Zvýšiť efektivitu všetkých výrobných faktorov a dosiahnuť nárast pridanej hodnoty poľnohospodárskych podnikov vrátane diverzifikácie činnosti;</w:t>
      </w:r>
    </w:p>
    <w:p w:rsidR="008676F9" w:rsidRPr="008676F9" w:rsidRDefault="008676F9" w:rsidP="001F5283">
      <w:pPr>
        <w:numPr>
          <w:ilvl w:val="0"/>
          <w:numId w:val="67"/>
        </w:numPr>
        <w:contextualSpacing/>
        <w:rPr>
          <w:rFonts w:ascii="Calibri" w:hAnsi="Calibri" w:cs="Calibri"/>
          <w:szCs w:val="22"/>
          <w:lang w:eastAsia="en-US"/>
        </w:rPr>
      </w:pPr>
      <w:r w:rsidRPr="008676F9">
        <w:rPr>
          <w:rFonts w:ascii="Calibri" w:hAnsi="Calibri"/>
          <w:szCs w:val="22"/>
          <w:lang w:eastAsia="en-US"/>
        </w:rPr>
        <w:t>Podporiť investičné aktivity malých podnikov s výrazne obmedzeným prístupom k zdrojom financovania;</w:t>
      </w:r>
    </w:p>
    <w:p w:rsidR="008676F9" w:rsidRPr="008676F9" w:rsidRDefault="008676F9" w:rsidP="001F5283">
      <w:pPr>
        <w:numPr>
          <w:ilvl w:val="0"/>
          <w:numId w:val="67"/>
        </w:numPr>
        <w:contextualSpacing/>
        <w:rPr>
          <w:rFonts w:ascii="Calibri" w:hAnsi="Calibri" w:cs="Calibri"/>
          <w:szCs w:val="22"/>
          <w:lang w:eastAsia="en-US"/>
        </w:rPr>
      </w:pPr>
      <w:r w:rsidRPr="008676F9">
        <w:rPr>
          <w:rFonts w:ascii="Calibri" w:hAnsi="Calibri"/>
          <w:szCs w:val="22"/>
          <w:lang w:eastAsia="en-US"/>
        </w:rPr>
        <w:t>Zastaviť negatívny trend vo využívaní závlah a zvýšiť efektívnosť využívania vody v poľnohospodárstve;</w:t>
      </w:r>
    </w:p>
    <w:p w:rsidR="008676F9" w:rsidRPr="008676F9" w:rsidRDefault="008676F9" w:rsidP="001F5283">
      <w:pPr>
        <w:numPr>
          <w:ilvl w:val="0"/>
          <w:numId w:val="67"/>
        </w:numPr>
        <w:contextualSpacing/>
        <w:rPr>
          <w:rFonts w:ascii="Calibri" w:hAnsi="Calibri" w:cs="Calibri"/>
          <w:szCs w:val="22"/>
          <w:lang w:eastAsia="en-US"/>
        </w:rPr>
      </w:pPr>
      <w:r w:rsidRPr="008676F9">
        <w:rPr>
          <w:rFonts w:ascii="Calibri" w:hAnsi="Calibri"/>
          <w:szCs w:val="22"/>
          <w:lang w:eastAsia="en-US"/>
        </w:rPr>
        <w:t>Zvýšiť podiel využívania a spracovania odpadovej biomasy, rastlinných zvyškov, exkrementov živočíšnej výroby a iných OZE na produkciu energie;</w:t>
      </w:r>
    </w:p>
    <w:p w:rsidR="008676F9" w:rsidRPr="008676F9" w:rsidRDefault="008676F9" w:rsidP="001F5283">
      <w:pPr>
        <w:numPr>
          <w:ilvl w:val="0"/>
          <w:numId w:val="67"/>
        </w:numPr>
        <w:contextualSpacing/>
        <w:rPr>
          <w:rFonts w:ascii="Calibri" w:hAnsi="Calibri" w:cs="Calibri"/>
          <w:szCs w:val="22"/>
          <w:lang w:eastAsia="en-US"/>
        </w:rPr>
      </w:pPr>
      <w:r w:rsidRPr="008676F9">
        <w:rPr>
          <w:rFonts w:ascii="Calibri" w:hAnsi="Calibri" w:cs="Calibri"/>
          <w:szCs w:val="22"/>
          <w:lang w:eastAsia="en-US"/>
        </w:rPr>
        <w:t>Podporiť predaj domácej produkcie a zvýšiť kvalitu, rozvoj krátkych dodávateľských reťazcov vrátane investícií v oblasti spracovania a odbytu/ marketingu poľnohospodárskej produkcie</w:t>
      </w:r>
    </w:p>
    <w:p w:rsidR="008676F9" w:rsidRPr="008676F9" w:rsidRDefault="008676F9" w:rsidP="001F5283">
      <w:pPr>
        <w:numPr>
          <w:ilvl w:val="0"/>
          <w:numId w:val="67"/>
        </w:numPr>
        <w:contextualSpacing/>
        <w:rPr>
          <w:rFonts w:ascii="Calibri" w:hAnsi="Calibri" w:cs="Calibri"/>
          <w:szCs w:val="22"/>
          <w:lang w:eastAsia="en-US"/>
        </w:rPr>
      </w:pPr>
      <w:r w:rsidRPr="008676F9">
        <w:rPr>
          <w:rFonts w:ascii="Calibri" w:hAnsi="Calibri" w:cs="Calibri"/>
          <w:szCs w:val="22"/>
          <w:lang w:eastAsia="en-US"/>
        </w:rPr>
        <w:t>Zvýšiť energetickú efektívnosť a úspory energie v pôdohospodárstve.</w:t>
      </w:r>
    </w:p>
    <w:p w:rsidR="008676F9" w:rsidRPr="008676F9" w:rsidRDefault="008676F9" w:rsidP="00AA6566">
      <w:pPr>
        <w:ind w:left="360"/>
        <w:contextualSpacing/>
        <w:rPr>
          <w:rFonts w:ascii="Calibri" w:eastAsia="Calibri" w:hAnsi="Calibri" w:cs="Calibri"/>
          <w:szCs w:val="22"/>
          <w:lang w:eastAsia="en-US"/>
        </w:rPr>
      </w:pPr>
    </w:p>
    <w:p w:rsidR="008676F9" w:rsidRPr="008676F9" w:rsidRDefault="008676F9" w:rsidP="00BE36D5">
      <w:pPr>
        <w:spacing w:after="120"/>
        <w:rPr>
          <w:rFonts w:ascii="Calibri" w:eastAsia="Calibri" w:hAnsi="Calibri"/>
          <w:szCs w:val="22"/>
          <w:lang w:eastAsia="en-US"/>
        </w:rPr>
      </w:pPr>
      <w:r w:rsidRPr="008676F9">
        <w:rPr>
          <w:rFonts w:ascii="Calibri" w:eastAsia="Calibri" w:hAnsi="Calibri"/>
          <w:szCs w:val="22"/>
          <w:lang w:eastAsia="en-US"/>
        </w:rPr>
        <w:t xml:space="preserve">Pozemkové úpravy predstavujú základný a jediný komplexný organizačný nástroj na vysporiadanie vlastníckych vzťahov, ktoré sú prekážkou rozvoja trhu s pôdou. Ich význam je dôležitý aj z krajinno-ekologického hľadiska, z hľadiska ochrany pred povodňami, vodnou a veternou eróziou a zabezpečenia prístupu k pozemkom. Pozemkové úpravy vyriešia súčasné nezrovnalosti v evidencii pozemkového vlastníctva, keď informačný systém LPIS dokumentujúci produkčné plochy </w:t>
      </w:r>
      <w:r w:rsidRPr="008676F9">
        <w:rPr>
          <w:rFonts w:ascii="Calibri" w:eastAsia="Calibri" w:hAnsi="Calibri"/>
          <w:color w:val="000000"/>
          <w:szCs w:val="22"/>
          <w:lang w:eastAsia="en-US"/>
        </w:rPr>
        <w:t>jednotlivých obhospodarovateľov nie je kompatibilný s bázou údajov katastra nehnuteľností. Z uvedeného dôvodu súčasní obhospodarovatelia pozemkov nemajú možnosť uzatvoriť korektné nájomné zmluvy k reálnym pozemkom v držbe. Hranice pôvodných pozemkov evidované v katastri nehnuteľností presahujú hranice produkčných blokov obhospodarovanej poľnohospodárskej pôdy. Pozemkové úpravy vytvárajú právny rámec pre poskytovanie priamych platieb na pôdu bez možných sankcií, podmienky pre uzatváranie korektných nájomných vzťahov na pôdu a podmienky pre výber daní z nehnuteľností. Pozemkové úpravy zabezpečia nerušené užívanie poľnohospodárskych a lesných pozemkov, pretože väčšina súčasných poľných a lesných ciest nie je majetkovoprávne usporiadaná. Tento stav spôsobuje obmedzenie výkonu vlastníckeho práva na pozemkoch, na ktorých boli v predchádzajúcom období tieto cesty a ekologické prvky vytvorené. V rámci pozemkových úprav navrhnuté cesty sa stávajú vlastníctvom príslušnej obce bez možnosti ich scudzenia, zaťaženia vecným bremenom a s presne vymedzeným účelovým určením ich využitia.</w:t>
      </w:r>
      <w:r w:rsidRPr="008676F9">
        <w:rPr>
          <w:rFonts w:ascii="Calibri" w:eastAsia="Calibri" w:hAnsi="Calibri"/>
          <w:szCs w:val="22"/>
          <w:lang w:eastAsia="en-US"/>
        </w:rPr>
        <w:t xml:space="preserve"> </w:t>
      </w:r>
    </w:p>
    <w:p w:rsidR="008676F9" w:rsidRPr="008676F9" w:rsidRDefault="008676F9" w:rsidP="00AA6566">
      <w:pPr>
        <w:rPr>
          <w:rFonts w:ascii="Calibri" w:eastAsia="Calibri" w:hAnsi="Calibri"/>
          <w:color w:val="000000"/>
          <w:szCs w:val="22"/>
          <w:lang w:eastAsia="en-US"/>
        </w:rPr>
      </w:pPr>
      <w:r w:rsidRPr="008676F9">
        <w:rPr>
          <w:rFonts w:ascii="Calibri" w:eastAsia="Calibri" w:hAnsi="Calibri"/>
          <w:color w:val="000000"/>
          <w:szCs w:val="22"/>
          <w:lang w:eastAsia="en-US"/>
        </w:rPr>
        <w:t>Podopatrenie 4.3 prispieva k riešeniu a napĺňaniu identifikovaných potrieb:</w:t>
      </w:r>
    </w:p>
    <w:p w:rsidR="008676F9" w:rsidRPr="008676F9" w:rsidRDefault="008676F9" w:rsidP="00955DA4">
      <w:pPr>
        <w:numPr>
          <w:ilvl w:val="1"/>
          <w:numId w:val="115"/>
        </w:numPr>
        <w:ind w:left="284" w:hanging="284"/>
        <w:rPr>
          <w:rFonts w:ascii="Calibri" w:eastAsia="Calibri" w:hAnsi="Calibri"/>
          <w:color w:val="000000"/>
          <w:szCs w:val="22"/>
          <w:lang w:eastAsia="en-US"/>
        </w:rPr>
      </w:pPr>
      <w:r w:rsidRPr="008676F9">
        <w:rPr>
          <w:rFonts w:ascii="Calibri" w:eastAsia="Calibri" w:hAnsi="Calibri"/>
          <w:color w:val="000000"/>
          <w:szCs w:val="22"/>
          <w:lang w:eastAsia="en-US"/>
        </w:rPr>
        <w:t>zabezpečiť kontinuitu pozemkových úprav;</w:t>
      </w:r>
    </w:p>
    <w:p w:rsidR="008676F9" w:rsidRPr="008676F9" w:rsidRDefault="008676F9" w:rsidP="00955DA4">
      <w:pPr>
        <w:numPr>
          <w:ilvl w:val="1"/>
          <w:numId w:val="115"/>
        </w:numPr>
        <w:ind w:left="284" w:hanging="284"/>
        <w:rPr>
          <w:rFonts w:ascii="Calibri" w:eastAsia="Calibri" w:hAnsi="Calibri"/>
          <w:color w:val="000000"/>
          <w:szCs w:val="22"/>
          <w:lang w:eastAsia="en-US"/>
        </w:rPr>
      </w:pPr>
      <w:r w:rsidRPr="008676F9">
        <w:rPr>
          <w:rFonts w:ascii="Calibri" w:eastAsia="Calibri" w:hAnsi="Calibri"/>
          <w:color w:val="000000"/>
          <w:szCs w:val="22"/>
          <w:lang w:eastAsia="en-US"/>
        </w:rPr>
        <w:t>znížiť rozdrobenosť pozemkového vlastníctva;</w:t>
      </w:r>
    </w:p>
    <w:p w:rsidR="008676F9" w:rsidRPr="008676F9" w:rsidRDefault="008676F9" w:rsidP="00955DA4">
      <w:pPr>
        <w:numPr>
          <w:ilvl w:val="1"/>
          <w:numId w:val="115"/>
        </w:numPr>
        <w:ind w:left="284" w:hanging="284"/>
        <w:rPr>
          <w:rFonts w:ascii="Calibri" w:eastAsia="Calibri" w:hAnsi="Calibri"/>
          <w:color w:val="000000"/>
          <w:szCs w:val="22"/>
          <w:lang w:eastAsia="en-US"/>
        </w:rPr>
      </w:pPr>
      <w:r w:rsidRPr="008676F9">
        <w:rPr>
          <w:rFonts w:ascii="Calibri" w:eastAsia="Calibri" w:hAnsi="Calibri"/>
          <w:color w:val="000000"/>
          <w:szCs w:val="22"/>
          <w:lang w:eastAsia="en-US"/>
        </w:rPr>
        <w:t>vytvoriť novú evidenciu pozemkového vlastníctva, aby bol súlad medzi pozemkami produkčných celkov z LPIS, údajmi v katastri nehnuteľností a skutkovým stavom v teréne;</w:t>
      </w:r>
    </w:p>
    <w:p w:rsidR="008676F9" w:rsidRPr="008676F9" w:rsidRDefault="008676F9" w:rsidP="00955DA4">
      <w:pPr>
        <w:numPr>
          <w:ilvl w:val="1"/>
          <w:numId w:val="115"/>
        </w:numPr>
        <w:ind w:left="284" w:hanging="284"/>
        <w:rPr>
          <w:rFonts w:ascii="Calibri" w:eastAsia="Calibri" w:hAnsi="Calibri"/>
          <w:color w:val="000000"/>
          <w:szCs w:val="22"/>
          <w:lang w:eastAsia="en-US"/>
        </w:rPr>
      </w:pPr>
      <w:r w:rsidRPr="008676F9">
        <w:rPr>
          <w:rFonts w:ascii="Calibri" w:eastAsia="Calibri" w:hAnsi="Calibri"/>
          <w:color w:val="000000"/>
          <w:szCs w:val="22"/>
          <w:lang w:eastAsia="en-US"/>
        </w:rPr>
        <w:t>vytvoriť podmienky pre korektné nájomné vzťahy k pozemkom ako základný predpoklad pre poskytovanie priamych platieb na pôdu;</w:t>
      </w:r>
    </w:p>
    <w:p w:rsidR="008676F9" w:rsidRPr="008676F9" w:rsidRDefault="008676F9" w:rsidP="00955DA4">
      <w:pPr>
        <w:numPr>
          <w:ilvl w:val="1"/>
          <w:numId w:val="115"/>
        </w:numPr>
        <w:ind w:left="284" w:hanging="284"/>
        <w:rPr>
          <w:rFonts w:ascii="Calibri" w:eastAsia="Calibri" w:hAnsi="Calibri"/>
          <w:color w:val="000000"/>
          <w:szCs w:val="22"/>
          <w:lang w:eastAsia="en-US"/>
        </w:rPr>
      </w:pPr>
      <w:r w:rsidRPr="008676F9">
        <w:rPr>
          <w:rFonts w:ascii="Calibri" w:eastAsia="Calibri" w:hAnsi="Calibri"/>
          <w:color w:val="000000"/>
          <w:szCs w:val="22"/>
          <w:lang w:eastAsia="en-US"/>
        </w:rPr>
        <w:t>podporiť hospodárenie na pozemkoch;</w:t>
      </w:r>
    </w:p>
    <w:p w:rsidR="008676F9" w:rsidRPr="008676F9" w:rsidRDefault="008676F9" w:rsidP="00955DA4">
      <w:pPr>
        <w:numPr>
          <w:ilvl w:val="1"/>
          <w:numId w:val="115"/>
        </w:numPr>
        <w:ind w:left="284" w:hanging="284"/>
        <w:rPr>
          <w:rFonts w:ascii="Calibri" w:eastAsia="Calibri" w:hAnsi="Calibri"/>
          <w:color w:val="000000"/>
          <w:szCs w:val="22"/>
          <w:lang w:eastAsia="en-US"/>
        </w:rPr>
      </w:pPr>
      <w:r w:rsidRPr="008676F9">
        <w:rPr>
          <w:rFonts w:ascii="Calibri" w:eastAsia="Calibri" w:hAnsi="Calibri"/>
          <w:color w:val="000000"/>
          <w:szCs w:val="22"/>
          <w:lang w:eastAsia="en-US"/>
        </w:rPr>
        <w:t>zlepšiť obhospodarovanie poľnohospodárskej a lesnej pôdy;</w:t>
      </w:r>
    </w:p>
    <w:p w:rsidR="008676F9" w:rsidRPr="008676F9" w:rsidRDefault="008676F9" w:rsidP="00955DA4">
      <w:pPr>
        <w:numPr>
          <w:ilvl w:val="1"/>
          <w:numId w:val="115"/>
        </w:numPr>
        <w:ind w:left="284" w:hanging="284"/>
        <w:rPr>
          <w:rFonts w:ascii="Calibri" w:eastAsia="Calibri" w:hAnsi="Calibri"/>
          <w:color w:val="000000"/>
          <w:szCs w:val="22"/>
          <w:lang w:eastAsia="en-US"/>
        </w:rPr>
      </w:pPr>
      <w:r w:rsidRPr="008676F9">
        <w:rPr>
          <w:rFonts w:ascii="Calibri" w:eastAsia="Calibri" w:hAnsi="Calibri"/>
          <w:color w:val="000000"/>
          <w:szCs w:val="22"/>
          <w:lang w:eastAsia="en-US"/>
        </w:rPr>
        <w:t>zabezpečiť prístupy na pozemky po majetkovoprávne usporiadaných cestách</w:t>
      </w:r>
    </w:p>
    <w:p w:rsidR="008676F9" w:rsidRPr="008676F9" w:rsidRDefault="008676F9" w:rsidP="00955DA4">
      <w:pPr>
        <w:numPr>
          <w:ilvl w:val="1"/>
          <w:numId w:val="115"/>
        </w:numPr>
        <w:ind w:left="284" w:hanging="284"/>
        <w:rPr>
          <w:rFonts w:ascii="Calibri" w:eastAsia="Calibri" w:hAnsi="Calibri"/>
          <w:color w:val="000000"/>
          <w:szCs w:val="22"/>
          <w:lang w:eastAsia="en-US"/>
        </w:rPr>
      </w:pPr>
      <w:r w:rsidRPr="008676F9">
        <w:rPr>
          <w:rFonts w:ascii="Calibri" w:eastAsia="Calibri" w:hAnsi="Calibri"/>
          <w:color w:val="000000"/>
          <w:szCs w:val="22"/>
          <w:lang w:eastAsia="en-US"/>
        </w:rPr>
        <w:t>podporiť sekvestráciu oxidu uhličitého v poľnohospodárstve a lesnom hospodárstve;</w:t>
      </w:r>
    </w:p>
    <w:p w:rsidR="008676F9" w:rsidRPr="008676F9" w:rsidRDefault="008676F9" w:rsidP="00955DA4">
      <w:pPr>
        <w:numPr>
          <w:ilvl w:val="1"/>
          <w:numId w:val="115"/>
        </w:numPr>
        <w:ind w:left="284" w:hanging="284"/>
        <w:rPr>
          <w:rFonts w:ascii="Calibri" w:eastAsia="Calibri" w:hAnsi="Calibri"/>
          <w:color w:val="000000"/>
          <w:szCs w:val="22"/>
          <w:lang w:eastAsia="en-US"/>
        </w:rPr>
      </w:pPr>
      <w:r w:rsidRPr="008676F9">
        <w:rPr>
          <w:rFonts w:ascii="Calibri" w:eastAsia="Calibri" w:hAnsi="Calibri"/>
          <w:color w:val="000000"/>
          <w:szCs w:val="22"/>
          <w:lang w:eastAsia="en-US"/>
        </w:rPr>
        <w:t>postupnou realizáciou navrhnutých zariadení a opatrení zabezpečiť nové funkčné usporiadanie krajiny z vodohospodárskeho, protierózneho a ekologického hľadiska;</w:t>
      </w:r>
    </w:p>
    <w:p w:rsidR="008676F9" w:rsidRPr="008676F9" w:rsidRDefault="008676F9" w:rsidP="00955DA4">
      <w:pPr>
        <w:numPr>
          <w:ilvl w:val="1"/>
          <w:numId w:val="115"/>
        </w:numPr>
        <w:ind w:left="284" w:hanging="284"/>
        <w:rPr>
          <w:rFonts w:ascii="Calibri" w:eastAsia="Calibri" w:hAnsi="Calibri"/>
          <w:color w:val="000000"/>
          <w:szCs w:val="22"/>
          <w:lang w:eastAsia="en-US"/>
        </w:rPr>
      </w:pPr>
      <w:r w:rsidRPr="008676F9">
        <w:rPr>
          <w:rFonts w:ascii="Calibri" w:eastAsia="Calibri" w:hAnsi="Calibri"/>
          <w:color w:val="000000"/>
          <w:szCs w:val="22"/>
          <w:lang w:eastAsia="en-US"/>
        </w:rPr>
        <w:t>vytvoriť predpoklady pre rozvoj trhu s pôdou s cieľom zlepšenia podmienok obhospodarovania pozemkov za účelom zlepšenia podmienok podnikania na pôde;</w:t>
      </w:r>
    </w:p>
    <w:p w:rsidR="008676F9" w:rsidRPr="008676F9" w:rsidRDefault="008676F9" w:rsidP="00955DA4">
      <w:pPr>
        <w:numPr>
          <w:ilvl w:val="1"/>
          <w:numId w:val="115"/>
        </w:numPr>
        <w:ind w:left="284" w:hanging="284"/>
        <w:rPr>
          <w:rFonts w:ascii="Calibri" w:eastAsia="Calibri" w:hAnsi="Calibri"/>
          <w:color w:val="000000"/>
          <w:szCs w:val="22"/>
          <w:lang w:eastAsia="en-US"/>
        </w:rPr>
      </w:pPr>
      <w:r w:rsidRPr="008676F9">
        <w:rPr>
          <w:rFonts w:ascii="Calibri" w:eastAsia="Calibri" w:hAnsi="Calibri"/>
          <w:color w:val="000000"/>
          <w:szCs w:val="22"/>
          <w:lang w:eastAsia="en-US"/>
        </w:rPr>
        <w:t>podpora udržateľného obhospodarovania lesov.</w:t>
      </w:r>
    </w:p>
    <w:p w:rsidR="008676F9" w:rsidRPr="008676F9" w:rsidRDefault="008676F9" w:rsidP="00AA6566">
      <w:pPr>
        <w:ind w:left="284"/>
        <w:rPr>
          <w:rFonts w:ascii="Calibri" w:eastAsia="Calibri" w:hAnsi="Calibri"/>
          <w:color w:val="000000"/>
          <w:lang w:eastAsia="en-US"/>
        </w:rPr>
      </w:pPr>
    </w:p>
    <w:p w:rsidR="008676F9" w:rsidRPr="008676F9" w:rsidRDefault="008676F9" w:rsidP="00BE36D5">
      <w:pPr>
        <w:spacing w:after="120"/>
        <w:rPr>
          <w:rFonts w:ascii="Calibri" w:hAnsi="Calibri" w:cs="Calibri"/>
          <w:szCs w:val="22"/>
        </w:rPr>
      </w:pPr>
      <w:r w:rsidRPr="008676F9">
        <w:rPr>
          <w:rFonts w:ascii="Calibri" w:hAnsi="Calibri" w:cs="Calibri"/>
          <w:szCs w:val="22"/>
        </w:rPr>
        <w:t xml:space="preserve">Z analýz taktiež vyplýva, že emisie skleníkových plynov z poľnohospodárstva od roku 2001 klesali predovšetkým v dôsledku zníženia stavov hospodárskych zvierat a zníženia úrovne hnojenia priemyselnými hnojivami. V oboch prípadoch sa SR dostalo hlboko pod priemer susedných členských krajín, čo je nepriaznivý stav z hľadiska produktivity poľnohospodárstva, či potravinovej bezpečnosti krajiny. Na uvedený stav je nevyhnutné reagovať opatreniami zameranými na potravinovú bezpečnosť a zvyšovanie produktivity a efektivity výrobných faktorov v poľnohospodárstve. Avšak zvyšovanie produktivity a efektivity výrobných faktorov v poľnohospodárstve je potrebné vyvážiť takými opatreniami, ktoré by jednoznačne zabezpečili ochranu životného prostredia a prispeli k zmierneniu klimatických zmien. </w:t>
      </w:r>
    </w:p>
    <w:p w:rsidR="008676F9" w:rsidRPr="008676F9" w:rsidRDefault="008676F9" w:rsidP="00AA6566">
      <w:pPr>
        <w:rPr>
          <w:rFonts w:ascii="Calibri" w:hAnsi="Calibri" w:cs="Calibri"/>
          <w:szCs w:val="22"/>
        </w:rPr>
      </w:pPr>
      <w:r w:rsidRPr="008676F9">
        <w:rPr>
          <w:rFonts w:ascii="Calibri" w:hAnsi="Calibri" w:cs="Calibri"/>
          <w:szCs w:val="22"/>
        </w:rPr>
        <w:t>Podopatrenie 4.4 preto reaguje na nasledovné potreby:</w:t>
      </w:r>
    </w:p>
    <w:p w:rsidR="008676F9" w:rsidRPr="008676F9" w:rsidRDefault="008676F9" w:rsidP="00955DA4">
      <w:pPr>
        <w:numPr>
          <w:ilvl w:val="0"/>
          <w:numId w:val="114"/>
        </w:numPr>
        <w:contextualSpacing/>
        <w:rPr>
          <w:rFonts w:ascii="Calibri" w:hAnsi="Calibri" w:cs="Calibri"/>
          <w:szCs w:val="22"/>
        </w:rPr>
      </w:pPr>
      <w:r w:rsidRPr="008676F9">
        <w:rPr>
          <w:rFonts w:ascii="Calibri" w:hAnsi="Calibri" w:cs="Calibri"/>
          <w:szCs w:val="22"/>
        </w:rPr>
        <w:t>pomerné zníženie tvorby emisií skleníkových plynov vo vzťahu k zvýšeniu poľnohospodárskej produkcie;</w:t>
      </w:r>
    </w:p>
    <w:p w:rsidR="008676F9" w:rsidRPr="008676F9" w:rsidRDefault="008676F9" w:rsidP="00955DA4">
      <w:pPr>
        <w:numPr>
          <w:ilvl w:val="0"/>
          <w:numId w:val="114"/>
        </w:numPr>
        <w:ind w:left="714" w:hanging="357"/>
        <w:rPr>
          <w:rFonts w:ascii="Calibri" w:hAnsi="Calibri" w:cs="Calibri"/>
          <w:szCs w:val="22"/>
        </w:rPr>
      </w:pPr>
      <w:r w:rsidRPr="008676F9">
        <w:rPr>
          <w:rFonts w:ascii="Calibri" w:hAnsi="Calibri" w:cs="Calibri"/>
          <w:szCs w:val="22"/>
        </w:rPr>
        <w:t>zachovanie kvality vôd a zvýšenie environmentálnej efektívnosti podpôr na ochranu pred znečistením vôd z poľnohospodárskej činnosti.</w:t>
      </w:r>
    </w:p>
    <w:p w:rsidR="00AA6566" w:rsidRDefault="00AA6566" w:rsidP="00AA6566">
      <w:pPr>
        <w:rPr>
          <w:rFonts w:ascii="Calibri" w:eastAsia="Calibri" w:hAnsi="Calibri" w:cs="Calibri"/>
          <w:bCs/>
          <w:szCs w:val="22"/>
          <w:u w:val="single"/>
          <w:lang w:eastAsia="en-US"/>
        </w:rPr>
      </w:pPr>
    </w:p>
    <w:p w:rsidR="008676F9" w:rsidRPr="008676F9" w:rsidRDefault="008676F9" w:rsidP="00AA6566">
      <w:pPr>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Príspevok k fokusovej oblasti</w:t>
      </w:r>
    </w:p>
    <w:p w:rsidR="008676F9" w:rsidRPr="008676F9" w:rsidRDefault="008676F9" w:rsidP="00BE36D5">
      <w:pPr>
        <w:shd w:val="clear" w:color="auto" w:fill="FFFFFF"/>
        <w:spacing w:after="120"/>
        <w:ind w:left="426" w:hanging="426"/>
        <w:rPr>
          <w:rFonts w:ascii="Calibri" w:eastAsia="Calibri" w:hAnsi="Calibri" w:cs="Calibri"/>
          <w:b/>
          <w:bCs/>
          <w:i/>
          <w:szCs w:val="22"/>
          <w:lang w:eastAsia="en-US"/>
        </w:rPr>
      </w:pPr>
      <w:r w:rsidRPr="008676F9">
        <w:rPr>
          <w:rFonts w:ascii="Calibri" w:eastAsia="Calibri" w:hAnsi="Calibri" w:cs="Calibri"/>
          <w:bCs/>
          <w:i/>
          <w:szCs w:val="22"/>
          <w:lang w:eastAsia="en-US"/>
        </w:rPr>
        <w:t>2A</w:t>
      </w:r>
      <w:r w:rsidRPr="008676F9">
        <w:rPr>
          <w:rFonts w:ascii="Calibri" w:eastAsia="Calibri" w:hAnsi="Calibri" w:cs="Calibri"/>
          <w:b/>
          <w:bCs/>
          <w:i/>
          <w:szCs w:val="22"/>
          <w:lang w:eastAsia="en-US"/>
        </w:rPr>
        <w:t xml:space="preserve"> </w:t>
      </w:r>
      <w:r w:rsidRPr="008676F9">
        <w:rPr>
          <w:rFonts w:ascii="Calibri" w:eastAsia="Calibri" w:hAnsi="Calibri" w:cs="Calibri"/>
          <w:i/>
          <w:szCs w:val="22"/>
          <w:lang w:eastAsia="en-US"/>
        </w:rPr>
        <w:t xml:space="preserve">Zlepšenie hospodárskeho výkonu všetkých poľnohospodárskych podnikov a uľahčenie </w:t>
      </w:r>
      <w:r w:rsidRPr="008676F9">
        <w:rPr>
          <w:rFonts w:ascii="Calibri" w:eastAsia="Calibri" w:hAnsi="Calibri" w:cs="Calibri"/>
          <w:i/>
          <w:szCs w:val="22"/>
          <w:shd w:val="clear" w:color="auto" w:fill="FFFFFF"/>
          <w:lang w:eastAsia="en-US"/>
        </w:rPr>
        <w:t>reštrukturalizácie a modernizácie poľnohospodárskych podnikov, najmä na účely zvýšenia ich účasti</w:t>
      </w:r>
      <w:r w:rsidRPr="008676F9">
        <w:rPr>
          <w:rFonts w:ascii="Calibri" w:eastAsia="Calibri" w:hAnsi="Calibri" w:cs="Calibri"/>
          <w:i/>
          <w:szCs w:val="22"/>
          <w:lang w:eastAsia="en-US"/>
        </w:rPr>
        <w:t xml:space="preserve"> na trhu, zamerania na trh a poľnohospodárskej diverzifikácie.</w:t>
      </w:r>
    </w:p>
    <w:p w:rsidR="008676F9" w:rsidRPr="008676F9" w:rsidRDefault="008676F9" w:rsidP="00BE36D5">
      <w:pPr>
        <w:spacing w:after="120"/>
        <w:rPr>
          <w:rFonts w:ascii="Calibri" w:eastAsia="Calibri" w:hAnsi="Calibri" w:cs="Calibri"/>
          <w:b/>
          <w:bCs/>
          <w:szCs w:val="22"/>
          <w:lang w:eastAsia="en-US"/>
        </w:rPr>
      </w:pPr>
      <w:r w:rsidRPr="008676F9">
        <w:rPr>
          <w:rFonts w:ascii="Calibri" w:eastAsia="Calibri" w:hAnsi="Calibri" w:cs="Calibri"/>
          <w:szCs w:val="22"/>
          <w:lang w:eastAsia="en-US"/>
        </w:rPr>
        <w:t>Pre slovenské poľnohospodárstvo je charakteristická nízka pridaná hodnota a nízke príjmy na hektár poľnohospodárskej pôdy v porovnaní s ostatnými štátmi EÚ. Orientácia výroby na komodity s nízkou pridanou hodnotou sa ukazuje aj v štruktúre exportu agropotravinárskeho sektoru.</w:t>
      </w:r>
    </w:p>
    <w:p w:rsidR="008676F9" w:rsidRPr="008676F9" w:rsidRDefault="008676F9" w:rsidP="00BE36D5">
      <w:pPr>
        <w:spacing w:after="120"/>
        <w:rPr>
          <w:rFonts w:ascii="Calibri" w:eastAsia="Calibri" w:hAnsi="Calibri" w:cs="Calibri"/>
          <w:szCs w:val="22"/>
          <w:lang w:eastAsia="en-US"/>
        </w:rPr>
      </w:pPr>
      <w:r w:rsidRPr="008676F9">
        <w:rPr>
          <w:rFonts w:ascii="Calibri" w:eastAsia="Calibri" w:hAnsi="Calibri" w:cs="Calibri"/>
          <w:szCs w:val="22"/>
          <w:lang w:eastAsia="en-US"/>
        </w:rPr>
        <w:t>Štruktúra produkcie sa postupne mení, podiel živočíšnej výroby na celkovej poľnohospodárskej produkcii klesá a podiel rastlinnej výroby rastie. Výrazne padá produkcia mlieka, hovädzieho aj hydinového mäsa a v prípade bravčového mäsa ide o najdramatickejší prepad o 83 % od roku 2002 Intenzita chovov hospodárskych zvierat je v porovnaní s okolitými členskými štátmi najnižšia. Klesajúce stavy hospodárskych zvierat znižujú význam odvetvia pre udržovanie kvality pôdy (pôdna organická hmota). Takýto stav nie je pre agrárny sektor optimálny, bolo by vhodnejšie, keby v štruktúre agrárnej výroby výrazne podielom dominovala živočíšna výroba, než je tomu v súčasnosti, pretože  živočíšna výroba má potenciál produkovať vyššiu pridanú hodnotu a zabezpečiť vyššiu zamestnanosť.</w:t>
      </w:r>
      <w:r w:rsidRPr="008676F9" w:rsidDel="000E4E3D">
        <w:rPr>
          <w:rFonts w:ascii="Calibri" w:eastAsia="Calibri" w:hAnsi="Calibri" w:cs="Calibri"/>
          <w:szCs w:val="22"/>
          <w:lang w:eastAsia="en-US"/>
        </w:rPr>
        <w:t xml:space="preserve"> </w:t>
      </w:r>
      <w:r w:rsidRPr="008676F9">
        <w:rPr>
          <w:rFonts w:ascii="Calibri" w:eastAsia="Calibri" w:hAnsi="Calibri" w:cs="Calibri"/>
          <w:szCs w:val="22"/>
          <w:lang w:eastAsia="en-US"/>
        </w:rPr>
        <w:t>V podhorských a horských oblastiach je výroba utlmovaná, prioritne sa orientuje na ochranu životného prostredia, avšak pokles ekonomickej výkonnosti nie je naviazaný na diverzifikáciu výroby a ani na udržiavanie zamestnanosti. Preto je potrebné stimulovať diverzifikáciu výroby s podmienkou zvýšenia zamestnanosti v živočíšnej výrobe a vybraných  odvetviach rastlinnej výroby.</w:t>
      </w:r>
    </w:p>
    <w:p w:rsidR="008676F9" w:rsidRPr="008676F9" w:rsidRDefault="008676F9" w:rsidP="008676F9">
      <w:pPr>
        <w:spacing w:after="120"/>
        <w:rPr>
          <w:rFonts w:ascii="Calibri" w:eastAsia="Calibri" w:hAnsi="Calibri" w:cs="Calibri"/>
          <w:szCs w:val="22"/>
          <w:lang w:eastAsia="en-US"/>
        </w:rPr>
      </w:pPr>
      <w:r w:rsidRPr="008676F9">
        <w:rPr>
          <w:rFonts w:ascii="Calibri" w:eastAsia="Calibri" w:hAnsi="Calibri" w:cs="Calibri"/>
          <w:szCs w:val="22"/>
          <w:lang w:eastAsia="en-US"/>
        </w:rPr>
        <w:t>V rastlinnej výrobe dochádza k zmene štruktúry výroby, znižuje sa výmera plodín viac náročných na pracovnú silu a kvalitu práce, na riadenie procesov a marketing (pestovanie ovocia, zeleniny a viniča).  Z rastlinnej výroby z dôvodu rapídneho poklesu produkcie a vysokým dovozom  je potrebné využiť</w:t>
      </w:r>
      <w:r w:rsidRPr="008676F9">
        <w:rPr>
          <w:rFonts w:ascii="Calibri" w:eastAsia="Calibri" w:hAnsi="Calibri" w:cs="Calibri"/>
          <w:szCs w:val="22"/>
          <w:lang w:eastAsia="en-US"/>
        </w:rPr>
        <w:lastRenderedPageBreak/>
        <w:t xml:space="preserve"> vhodný produkčný potenciál pôd pre výrobu plodín mierneho pásma a prednostne venovať pozornosť rozvoju ovocinárskej,  zeleninárskej a vinohradníckej výrobe. Investície budú zamerané na rozšírenie plôch  produkčných ovocných sadov  a na  oživenie skleníkového hospodárstva, na zlepšenie kvalitatívnych vlastností pôdy a ochranu pred jej degradáciou, ako aj na podporu výstavby infraštruktúry závlah pri dodržaní požiadaviek na udržateľné hospodárenie s prírodnými zdrojmi. Investície do aplikačnej techniky na aplikáciu prípravkov na ochranu rastlín sú taktiež potrebné z dôvodu ekonomického hospodárenia s prípravkami ako aj z dôvodu zabránenia nežiaduceho uvoľňovania prípravkov do životného prostredia.</w:t>
      </w:r>
    </w:p>
    <w:p w:rsidR="008676F9" w:rsidRPr="008676F9" w:rsidRDefault="008676F9" w:rsidP="008676F9">
      <w:pPr>
        <w:spacing w:after="120"/>
        <w:rPr>
          <w:rFonts w:ascii="Calibri" w:eastAsia="Calibri" w:hAnsi="Calibri" w:cs="Calibri"/>
          <w:szCs w:val="22"/>
          <w:lang w:eastAsia="en-US"/>
        </w:rPr>
      </w:pPr>
      <w:r w:rsidRPr="008676F9">
        <w:rPr>
          <w:rFonts w:ascii="Calibri" w:eastAsia="Calibri" w:hAnsi="Calibri" w:cs="Calibri"/>
          <w:szCs w:val="22"/>
          <w:lang w:eastAsia="en-US"/>
        </w:rPr>
        <w:t xml:space="preserve">Realizácia pozemkových úprav prispieva k zlepšeniu ekonomického výkonu všetkých poľnohospodárskych podnikov a vedie k uľahčeniu reštrukturalizácii a modernizácii poľnohospodárskych podnikov najmä za účelom zvýšenia ich účasti na trhu a zvýšenia poľnohospodárskej diverzifikácie. Pozemkové úpravy vytvárajú podmienky pre korektné nájomné vzťahy k pozemkom, čo je základný predpoklad pre poskytovanie priamych platieb na pôdu.  </w:t>
      </w:r>
    </w:p>
    <w:p w:rsidR="008676F9" w:rsidRPr="008676F9" w:rsidRDefault="008676F9" w:rsidP="008676F9">
      <w:pPr>
        <w:shd w:val="clear" w:color="auto" w:fill="FFFFFF"/>
        <w:spacing w:after="120"/>
        <w:ind w:left="426" w:hanging="426"/>
        <w:rPr>
          <w:rFonts w:ascii="Calibri" w:eastAsia="Calibri" w:hAnsi="Calibri" w:cs="Calibri"/>
          <w:bCs/>
          <w:i/>
          <w:szCs w:val="22"/>
          <w:lang w:eastAsia="en-US"/>
        </w:rPr>
      </w:pPr>
      <w:r w:rsidRPr="008676F9">
        <w:rPr>
          <w:rFonts w:ascii="Calibri" w:eastAsia="Calibri" w:hAnsi="Calibri" w:cs="Calibri"/>
          <w:bCs/>
          <w:i/>
          <w:szCs w:val="22"/>
          <w:lang w:eastAsia="en-US"/>
        </w:rPr>
        <w:t>2B Uľahčenie vstupu poľnohospodárov s primeranými zručnosťami do odvetvia poľnohospodárstva a najmä generačnej výmeny</w:t>
      </w:r>
    </w:p>
    <w:p w:rsidR="008676F9" w:rsidRPr="008676F9" w:rsidRDefault="008676F9" w:rsidP="008676F9">
      <w:pPr>
        <w:shd w:val="clear" w:color="auto" w:fill="FFFFFF"/>
        <w:spacing w:after="120"/>
        <w:rPr>
          <w:rFonts w:ascii="Calibri" w:eastAsia="Calibri" w:hAnsi="Calibri" w:cs="Calibri"/>
          <w:bCs/>
          <w:szCs w:val="22"/>
          <w:lang w:eastAsia="en-US"/>
        </w:rPr>
      </w:pPr>
      <w:r w:rsidRPr="008676F9">
        <w:rPr>
          <w:rFonts w:ascii="Calibri" w:eastAsia="Calibri" w:hAnsi="Calibri" w:cs="Calibri"/>
          <w:bCs/>
          <w:szCs w:val="22"/>
          <w:lang w:eastAsia="en-US"/>
        </w:rPr>
        <w:t>Vychádzajúc z vekovej štruktúry riadiacich pracovníkov poľnohospodárskych podnikov fyzických osôb, SHR a rodinných fariem v záujme udržania tohto typu hospodárenia vyplýva potreba podpory investícií mladých začínajúcich poľnohospodárov. Cieľom je uľahčiť prístup k zdrojom financovania a nadväzne podpora konkurencieschopnosti poľnohospodárskych podnikov. Podporené budú investície plánované v rámci podnikateľského plánu mladých poľnohospodárov.</w:t>
      </w:r>
    </w:p>
    <w:p w:rsidR="008676F9" w:rsidRPr="008676F9" w:rsidRDefault="008676F9" w:rsidP="008676F9">
      <w:pPr>
        <w:shd w:val="clear" w:color="auto" w:fill="FFFFFF"/>
        <w:spacing w:after="120"/>
        <w:rPr>
          <w:rFonts w:ascii="Calibri" w:eastAsia="Calibri" w:hAnsi="Calibri"/>
          <w:i/>
          <w:szCs w:val="22"/>
          <w:lang w:eastAsia="en-US"/>
        </w:rPr>
      </w:pPr>
      <w:r w:rsidRPr="008676F9">
        <w:rPr>
          <w:rFonts w:ascii="Calibri" w:eastAsia="Calibri" w:hAnsi="Calibri" w:cs="Calibri"/>
          <w:bCs/>
          <w:i/>
          <w:szCs w:val="22"/>
          <w:lang w:eastAsia="en-US"/>
        </w:rPr>
        <w:t xml:space="preserve">2C </w:t>
      </w:r>
      <w:r w:rsidRPr="008676F9">
        <w:rPr>
          <w:rFonts w:ascii="Calibri" w:eastAsia="Calibri" w:hAnsi="Calibri"/>
          <w:i/>
          <w:szCs w:val="22"/>
          <w:lang w:eastAsia="en-US"/>
        </w:rPr>
        <w:t>Zlepšenie hospodárskeho výkonu lesných podnikov</w:t>
      </w:r>
    </w:p>
    <w:p w:rsidR="008676F9" w:rsidRPr="008676F9" w:rsidRDefault="008676F9" w:rsidP="008676F9">
      <w:pPr>
        <w:spacing w:after="120"/>
        <w:rPr>
          <w:rFonts w:ascii="Calibri" w:eastAsia="Calibri" w:hAnsi="Calibri"/>
          <w:bCs/>
          <w:szCs w:val="22"/>
          <w:lang w:eastAsia="en-US"/>
        </w:rPr>
      </w:pPr>
      <w:r w:rsidRPr="008676F9">
        <w:rPr>
          <w:rFonts w:ascii="Calibri" w:eastAsia="Calibri" w:hAnsi="Calibri"/>
          <w:bCs/>
          <w:szCs w:val="22"/>
          <w:lang w:eastAsia="en-US"/>
        </w:rPr>
        <w:t xml:space="preserve">V roku 2012 bola hustota lesnej dopravnej siete  v SR na úrovni 10,6 bm/ha (bežný meter na hektár). V porovnaním s lesnou dopravnou sieťou ostatných lesnícky vyspelých krajín Európy dosahuje lesná sieť v SR výrazne nižšiu hustotu (Rakúsko 35,4 bm/ha; Nemecko 41,45 bm/ha; Česká republika 14,1 bm/ha). V roku 2012 hustota sprístupnenia lesov dopravnou sieťou vzrástla oproti predchádzajúcemu roku len nepatrne (o 0,1 bm/ha). Celková dĺžka lesnej dopravnej siete bola 40 740 km. Jedná sa o lesné cesty kategórie 1L a 2L , ktoré môžu slúžiť pre odvoz dreva, prístup hasičskej techniky a technologických vozidiel. V rámci lesohospodárskych činností je z hľadiska zabezpečenia výkonov dôležité približovanie dreva, ktoré tvorí približne 28% priamych nákladov na ťažbu a významne ovplyvňuje kalkuláciu nákladov na výkony. Cieľom SR je dosiahnuť hustotu lesnej dopravnej siete na úrovni 25 bm/ha. Dosiahnutie tohto cieľa je možné docieliť sprístupňovaním lesov a lesných komplexov. Rozumie sa tým optimálne rozmiestnenie trás lesných ciest, dopravných dráh, účelových pozemných a vzdušných komunikácií s ich optimálnou štruktúrou realizovanou v rámci lesnej dopravnej siete tak, aby dĺžka budovaných komunikácií a ich plocha boli čo najmenšie a zároveň sa dosiahlo najvyššie percento sprístupnenia uvažovanej plochy územia a optimálna približovacia vzdialenosť pre uplatnenie najnovších technológií. Na optimálne sprístupnenie lesov chýba v rámci lesov Slovenska dobudovať ešte asi 3 000 – 5 000 km lesných ciest, čo znamená, že  sprístupňovanie lesov predstavuje najvyššiu prioritu lesného hospodárstva. Pri sprístupňovaní horských lesov sa odporúča postupovať diferencovane, podľa kategórií lesov s tým, že v hospodárskych lesoch sa uvažuje s optimálnou hustotou lesných ciest 20–25 m.ha-1 a pre ochranné lesy sa odporúča optimálna hustota 7–14 m.ha-1 lesných ciest. </w:t>
      </w:r>
    </w:p>
    <w:p w:rsidR="008676F9" w:rsidRPr="008676F9" w:rsidRDefault="008676F9" w:rsidP="008676F9">
      <w:pPr>
        <w:spacing w:after="120"/>
        <w:rPr>
          <w:rFonts w:ascii="Calibri" w:eastAsia="Calibri" w:hAnsi="Calibri"/>
          <w:bCs/>
          <w:szCs w:val="22"/>
          <w:lang w:eastAsia="en-US"/>
        </w:rPr>
      </w:pPr>
      <w:r w:rsidRPr="008676F9">
        <w:rPr>
          <w:rFonts w:ascii="Calibri" w:eastAsia="Calibri" w:hAnsi="Calibri"/>
          <w:bCs/>
          <w:szCs w:val="22"/>
          <w:lang w:eastAsia="en-US"/>
        </w:rPr>
        <w:t xml:space="preserve">Špeciálnou časťou lesnej dopravnej siete sú aj lesné sklady dreva a lesné skládky – odvozné miesta a tiež rôzne upravený terén, prirodzene rozšírené miesta v trasách lesných ciest slúžiace ako dočasné skládky dreva, ako aj turistické chodníky, vybudované cyklotrasy a hipotrasy. </w:t>
      </w:r>
    </w:p>
    <w:p w:rsidR="008676F9" w:rsidRPr="008676F9" w:rsidRDefault="008676F9" w:rsidP="008676F9">
      <w:pPr>
        <w:spacing w:after="120"/>
        <w:rPr>
          <w:rFonts w:ascii="Calibri" w:eastAsia="Calibri" w:hAnsi="Calibri" w:cs="Calibri"/>
          <w:bCs/>
          <w:i/>
          <w:szCs w:val="22"/>
          <w:lang w:eastAsia="en-US"/>
        </w:rPr>
      </w:pPr>
      <w:r w:rsidRPr="008676F9">
        <w:rPr>
          <w:rFonts w:ascii="Calibri" w:eastAsia="Calibri" w:hAnsi="Calibri"/>
          <w:bCs/>
          <w:szCs w:val="22"/>
          <w:lang w:eastAsia="en-US"/>
        </w:rPr>
        <w:t>Lesy sú nezastupiteľné taktiež pri procesoch sekvestrácie a ich potenciál ukladania uhlíka do dreva vysoko prekračuje potenciál pestovania plodín. Zlepšenie sprístupnenia lesov prispeje aj k zlepšeniu obhospodarovania lesov, čo bude mať dosah na lepšie viazanie CO2. Okrem toho vybudovaní lesných ciest sa znižuje spotreba palív lesnej mechanizácie, znižujú sa prejazdy po lesnej pôde, čo priaznivo vplýva na ochranu životného prostredia (znižovanie CO2), rovnako sa znižujú riziká erózie pôd v</w:t>
      </w:r>
      <w:r w:rsidRPr="008676F9">
        <w:rPr>
          <w:rFonts w:ascii="Calibri" w:eastAsia="Calibri" w:hAnsi="Calibri"/>
          <w:bCs/>
          <w:szCs w:val="22"/>
          <w:lang w:eastAsia="en-US"/>
        </w:rPr>
        <w:lastRenderedPageBreak/>
        <w:t xml:space="preserve"> lesoch. Celkovo na Slovensku nedostatočné sprístupnenie lesov výrazne znemožňuje ich trvalo</w:t>
      </w:r>
      <w:r w:rsidR="00E53F6F">
        <w:rPr>
          <w:rFonts w:ascii="Calibri" w:eastAsia="Calibri" w:hAnsi="Calibri"/>
          <w:bCs/>
          <w:szCs w:val="22"/>
          <w:lang w:eastAsia="en-US"/>
        </w:rPr>
        <w:t xml:space="preserve"> </w:t>
      </w:r>
      <w:r w:rsidRPr="008676F9">
        <w:rPr>
          <w:rFonts w:ascii="Calibri" w:eastAsia="Calibri" w:hAnsi="Calibri"/>
          <w:bCs/>
          <w:szCs w:val="22"/>
          <w:lang w:eastAsia="en-US"/>
        </w:rPr>
        <w:t>udržateľné obhospodarovanie z pohľadu ekonomického, environmentálneho a sociálneho.</w:t>
      </w:r>
    </w:p>
    <w:p w:rsidR="008676F9" w:rsidRPr="008676F9" w:rsidRDefault="008676F9" w:rsidP="008676F9">
      <w:pPr>
        <w:spacing w:after="120"/>
        <w:rPr>
          <w:rFonts w:ascii="Calibri" w:eastAsia="Calibri" w:hAnsi="Calibri" w:cs="Calibri"/>
          <w:bCs/>
          <w:i/>
          <w:szCs w:val="22"/>
          <w:lang w:eastAsia="en-US"/>
        </w:rPr>
      </w:pPr>
      <w:r w:rsidRPr="008676F9">
        <w:rPr>
          <w:rFonts w:ascii="Calibri" w:eastAsia="Calibri" w:hAnsi="Calibri" w:cs="Calibri"/>
          <w:bCs/>
          <w:i/>
          <w:szCs w:val="22"/>
          <w:lang w:eastAsia="en-US"/>
        </w:rPr>
        <w:t>5A Zvýšenie efektívnosti využívania vody v poľnohospodárstve</w:t>
      </w:r>
    </w:p>
    <w:p w:rsidR="008676F9" w:rsidRPr="008676F9" w:rsidRDefault="008676F9" w:rsidP="008676F9">
      <w:pPr>
        <w:rPr>
          <w:rFonts w:ascii="Calibri" w:eastAsia="Calibri" w:hAnsi="Calibri"/>
          <w:szCs w:val="20"/>
          <w:lang w:eastAsia="en-US"/>
        </w:rPr>
      </w:pPr>
      <w:r w:rsidRPr="008676F9">
        <w:rPr>
          <w:rFonts w:ascii="Calibri" w:eastAsia="Calibri" w:hAnsi="Calibri"/>
          <w:szCs w:val="20"/>
          <w:lang w:eastAsia="en-US"/>
        </w:rPr>
        <w:t>V celosvetovom meradle, ako aj pre Slovensko je vzhľadom k zabezpečeniu výživy obyvateľstva a prognózovaným klimatickým zmenám potrebné racionálne hospodárenie s vodou. Vývoj klimatických podmienok v strednej Európe signalizuje zvýšenú potrebu vody aj pri pestovaní plodín a v širšom význame aj pre zachovanie súčasných ekosystémov. Pre pokračovanie poľnohospodárskej výroby bude nevyhnutné zvýšenie využívania závlah a pre udržanie krajinných ekosystémov zvyšovanie retencie vody v pôde a v krajine. Závlahové systémy sú na poľnohospodárskej pôde SR vybudované na výmere 321 tisíc ha, avšak reálne využívaná výmera sa každoročne mení, pričom trend vo využívaní závlah je i napriek rozširovaniu dopadov sucha klesajúci.  Za posledných 5 rokov sa spotreba vody na zavlažovanie pohybuje v rozmedzí 6  - 14 mil. m3, resp. 29 – 65 m3 v prepočte na 1 ha, čo je alarmujúci stav vo využití závlah ako intenzifikačného faktora s priamym dopadom na kvalitu a kvantitu produktov poľnohospodárskej prvovýroby. Za obdobie r. 2007–2011 sa výmera pôdy, na ktorej sa využívajú zavlažovacie zariadenia znížila z 1,3% na 0,7%, čo prestavuje pokles o takmer polovicu. Podporou investícií do závlahových systémov (aj infraštruktúry aj koncových zariadení) sa dosiahne jednak efektívnejšie využívanie vody v poľnohospodárstve a jednak sa zabezpečí primeraný vlahový režim pôdy a jej produkčný potenciál v období nedostatku zrážok.</w:t>
      </w:r>
    </w:p>
    <w:p w:rsidR="008676F9" w:rsidRPr="008676F9" w:rsidRDefault="008676F9" w:rsidP="008676F9">
      <w:pPr>
        <w:rPr>
          <w:rFonts w:ascii="Calibri" w:eastAsia="Calibri" w:hAnsi="Calibri" w:cs="Calibri"/>
          <w:bCs/>
          <w:szCs w:val="22"/>
          <w:lang w:eastAsia="en-US"/>
        </w:rPr>
      </w:pPr>
    </w:p>
    <w:p w:rsidR="008676F9" w:rsidRPr="008676F9" w:rsidRDefault="008676F9" w:rsidP="008676F9">
      <w:pPr>
        <w:shd w:val="clear" w:color="auto" w:fill="FFFFFF"/>
        <w:spacing w:after="120"/>
        <w:ind w:left="426" w:hanging="426"/>
        <w:rPr>
          <w:rFonts w:ascii="Calibri" w:eastAsia="Calibri" w:hAnsi="Calibri" w:cs="Calibri"/>
          <w:bCs/>
          <w:i/>
          <w:szCs w:val="22"/>
          <w:lang w:eastAsia="en-US"/>
        </w:rPr>
      </w:pPr>
      <w:r w:rsidRPr="008676F9">
        <w:rPr>
          <w:rFonts w:ascii="Calibri" w:eastAsia="Calibri" w:hAnsi="Calibri" w:cs="Calibri"/>
          <w:bCs/>
          <w:i/>
          <w:szCs w:val="22"/>
          <w:lang w:eastAsia="en-US"/>
        </w:rPr>
        <w:t>5C Uľahčenie dodávok a využívania obnoviteľných zdrojov energie, vedľajších produktov, odpadov, zvyškov a iných nepotravinových surovín na účely bioekonomiky</w:t>
      </w:r>
    </w:p>
    <w:p w:rsidR="008676F9" w:rsidRPr="008676F9" w:rsidRDefault="008676F9" w:rsidP="008676F9">
      <w:pPr>
        <w:rPr>
          <w:rFonts w:ascii="Calibri" w:eastAsia="Calibri" w:hAnsi="Calibri"/>
          <w:szCs w:val="22"/>
          <w:lang w:eastAsia="en-US"/>
        </w:rPr>
      </w:pPr>
      <w:r w:rsidRPr="008676F9">
        <w:rPr>
          <w:rFonts w:ascii="Calibri" w:eastAsia="Calibri" w:hAnsi="Calibri"/>
          <w:szCs w:val="22"/>
          <w:lang w:eastAsia="en-US"/>
        </w:rPr>
        <w:t>Poľnohospodárstvo a nadväzujúci spracovateľský sektor vzhľadom na geografickú polohu Slovenska, výmery plôch poľnohospodárskej pôdy a lesníckej pôdy má vysoké predpoklady na využívanie biomasy na energetické účely. Potenciál obnoviteľných zdrojov na Slovensku je značný, ale zatiaľ využívaný len z cca 30 %. Biomasa je v podmienkach SR významným dodatočným a vo väčšom rozsahu dostupným obnoviteľným zdrojom energie a jej využitie je mnohostranné: výroba tepelnej energie, výroba elektrickej energie, výroba biopalív. V poľnohospodárskom sektore však výrazne zaostáva rozvoj využívania biomasy na energetické účely. Aj vzhľadom na ambiciózne ciele zvyšovania energetickej bezpečnosti, ktoré stanovuje Smernica o podpore využívania obnoviteľných zdrojov energie (Renewable Energy Directive) 2009/28/EC je dôležité podporovať spracovanie a využívanie obnoviteľných zdrojov energie. Potrebné je podporiť zariadenia produkujúce čisté formy energie, ktoré využívajú biomasu (predovšetkým odpadovú), ktorú má podnik k dispozícii predovšetkým z vlastnej výrobnej činnosti. Zároveň jednou z ciest ako dosiahnuť konkurencieschopné poľnohospodárstvo je znižovanie vlastných výrobných nákladov a to formou znižovania nákladov na energiu, využívaním energie z obnoviteľných zdrojov menovite biomasy, ktorá vzniká ako vedľajší produkt alebo odpad pri poľnohospodárskej alebo lesnej výrobe. Realizácia projektov na využívanie energetického potenciálu vlastnej vyprodukovanej biomasy umožňuje rozvoj energetickej sebestačnosti poľnohospodárskeho podniku a v konečnom dôsledku aj úspory nákladov na výrobu poľnohospodárskych produktov. Výrazne by pomohlo zlepšiť ekonomickú situáciu poľnohospodárskych podnikov, ak by získali finančnú podporu na investície do rozvoja budovania bioplynových staníc, ktoré by prioritne boli určené na konverziu odpadových druhov biomasy zo živočíšnej výroby, biomasy z nevyužívanej poľnohospodárskej pôdy a biologicky rozložiteľných druhov odpadu z poľnohospodárskej a potravinárskej výroby. Tak by sa výraznejšie redukovali požiadavky na biomasu pestovanú na ornej pôde, z dôvodu ohrozenia dostatočnej produkcie krmovín (najmä kukuričnej siláže) pre potreby živočíšnej výroby. Potenciál vyprodukovanej biomasy všetkého druhu zvyčajne vysoko prevyšuje energetickú spotrebu podniku. Navrhované riešenia technologických liniek na spracovanie a energetické využívanie biomasy by mali garantovať znižovanie vlastných nákladov na spotrebu energie a v prípade nadprodukcie aj prínos za jej realizáciu na trhu. Okrem uvedeného je potrebné investovať v rámci skleníkového hospodárstva aj do zariadení, ktoré využívajú alternatívne zdroje energie na vykurovanie.</w:t>
      </w:r>
    </w:p>
    <w:p w:rsidR="008676F9" w:rsidRPr="008676F9" w:rsidRDefault="008676F9" w:rsidP="008676F9">
      <w:pPr>
        <w:spacing w:after="120"/>
        <w:ind w:left="426" w:hanging="426"/>
        <w:rPr>
          <w:rFonts w:ascii="Calibri" w:eastAsia="Calibri" w:hAnsi="Calibri" w:cs="Calibri"/>
          <w:bCs/>
          <w:i/>
          <w:szCs w:val="22"/>
          <w:lang w:eastAsia="en-US"/>
        </w:rPr>
      </w:pPr>
      <w:r w:rsidRPr="008676F9">
        <w:rPr>
          <w:rFonts w:ascii="Calibri" w:eastAsia="Calibri" w:hAnsi="Calibri" w:cs="Calibri"/>
          <w:bCs/>
          <w:i/>
          <w:szCs w:val="22"/>
          <w:lang w:eastAsia="en-US"/>
        </w:rPr>
        <w:t>5B Zvýšenie efektívnosti využívania energie v poľnohospodárstve a pri spracovaní potravín</w:t>
      </w:r>
    </w:p>
    <w:p w:rsidR="001B617C" w:rsidRDefault="008676F9" w:rsidP="008676F9">
      <w:pPr>
        <w:shd w:val="clear" w:color="auto" w:fill="FFFFFF"/>
        <w:spacing w:after="120"/>
        <w:rPr>
          <w:rFonts w:ascii="Calibri" w:eastAsia="Calibri" w:hAnsi="Calibri"/>
          <w:szCs w:val="22"/>
          <w:lang w:eastAsia="en-US"/>
        </w:rPr>
      </w:pPr>
      <w:r w:rsidRPr="008676F9">
        <w:rPr>
          <w:rFonts w:ascii="Calibri" w:eastAsia="Calibri" w:hAnsi="Calibri"/>
          <w:szCs w:val="22"/>
          <w:lang w:eastAsia="en-US"/>
        </w:rPr>
        <w:t xml:space="preserve">Zvýšenie efektívnosti vo využívaní energií v poľnohospodárstve a potravinárstve je tiež spoločným cieľom pre programové obdobie 2014 – 2020. </w:t>
      </w:r>
    </w:p>
    <w:p w:rsidR="001B617C" w:rsidRDefault="001B617C" w:rsidP="001B617C">
      <w:pPr>
        <w:autoSpaceDE w:val="0"/>
        <w:autoSpaceDN w:val="0"/>
        <w:adjustRightInd w:val="0"/>
        <w:rPr>
          <w:rFonts w:cs="Arial Narrow"/>
          <w:szCs w:val="22"/>
        </w:rPr>
      </w:pPr>
      <w:r w:rsidRPr="001F01DD">
        <w:rPr>
          <w:rFonts w:cs="Arial Narrow"/>
          <w:szCs w:val="22"/>
        </w:rPr>
        <w:t xml:space="preserve">Slovensko implementuje smernicu EÚ o energetickej efektívnosti, ktorá podľa Národného programu reforiem Slovenskej republiky 2013 a 2014 (MF SR) má </w:t>
      </w:r>
      <w:r>
        <w:rPr>
          <w:rFonts w:cs="Arial Narrow"/>
          <w:szCs w:val="22"/>
        </w:rPr>
        <w:t xml:space="preserve">za </w:t>
      </w:r>
      <w:r w:rsidRPr="001F01DD">
        <w:rPr>
          <w:rFonts w:cs="Arial Narrow"/>
          <w:szCs w:val="22"/>
        </w:rPr>
        <w:t>cieľ dosiahnuť do roku 2020 zníženie primárnej spotreby energie o 20 %. Na jej plnenie bude nevyhnutné realizovať významné redukčné opatrenia aj v ďalších sektoroch, najmä dopravy, poľnohospodárstva a budov.</w:t>
      </w:r>
      <w:r>
        <w:rPr>
          <w:rFonts w:cs="Arial Narrow"/>
          <w:szCs w:val="22"/>
        </w:rPr>
        <w:t xml:space="preserve"> </w:t>
      </w:r>
    </w:p>
    <w:p w:rsidR="008676F9" w:rsidRPr="008676F9" w:rsidRDefault="001B617C" w:rsidP="001B617C">
      <w:pPr>
        <w:shd w:val="clear" w:color="auto" w:fill="FFFFFF"/>
        <w:spacing w:after="120"/>
        <w:rPr>
          <w:rFonts w:ascii="Calibri" w:eastAsia="Calibri" w:hAnsi="Calibri"/>
          <w:szCs w:val="22"/>
          <w:lang w:eastAsia="en-US"/>
        </w:rPr>
      </w:pPr>
      <w:r w:rsidRPr="001F01DD">
        <w:rPr>
          <w:rFonts w:cs="Arial Narrow"/>
          <w:szCs w:val="22"/>
        </w:rPr>
        <w:t xml:space="preserve">Úspora sa bude týkať všetkých oblastí spotreby energie, vrátane premeny, prenosu a distribúcie energie. </w:t>
      </w:r>
      <w:r w:rsidR="008676F9" w:rsidRPr="008676F9">
        <w:rPr>
          <w:rFonts w:ascii="Calibri" w:eastAsia="Calibri" w:hAnsi="Calibri"/>
          <w:szCs w:val="22"/>
          <w:lang w:eastAsia="en-US"/>
        </w:rPr>
        <w:t xml:space="preserve">Jedným z hlavných impulzov, ktoré by mohli viesť k splneniu cieľa, je </w:t>
      </w:r>
      <w:r w:rsidR="00871C41">
        <w:rPr>
          <w:rFonts w:ascii="Calibri" w:eastAsia="Calibri" w:hAnsi="Calibri"/>
          <w:szCs w:val="22"/>
          <w:lang w:eastAsia="en-US"/>
        </w:rPr>
        <w:t xml:space="preserve">aj </w:t>
      </w:r>
      <w:r w:rsidR="008676F9" w:rsidRPr="008676F9">
        <w:rPr>
          <w:rFonts w:ascii="Calibri" w:eastAsia="Calibri" w:hAnsi="Calibri"/>
          <w:szCs w:val="22"/>
          <w:lang w:eastAsia="en-US"/>
        </w:rPr>
        <w:t>vývoj a inštalácia nových technológií, ktoré prispejú k úsporám energie. Vzhľadom na skutočnosť, že existujú značné rezervy v úsporách a energetickej efektívnosti v poľnohospodárstve a potravinárstve a analýza poukazuje na veľký podiel zastaraných strojov, zariadení a technológií s nízkou energetickou efektívnosťou, je potrebné investovať do opatrení na zníženie energetickej náročnosti v poľnohospodárskej a potravinárskej výrobe, a to vrátane investícií do nových technológií alebo do modernizácie technológií a zariadení. Podporu investícií do hmotného majetku, pre ktoré bude možné kvantifikovať dosiahnutú úsporu spotreby energie v podniku, sa priamo prispeje k cieľu  zvýšenia energetickej efektívnosti.</w:t>
      </w:r>
    </w:p>
    <w:p w:rsidR="008676F9" w:rsidRPr="008676F9" w:rsidRDefault="008676F9" w:rsidP="008676F9">
      <w:pPr>
        <w:spacing w:after="120"/>
        <w:rPr>
          <w:rFonts w:ascii="Calibri" w:eastAsia="Calibri" w:hAnsi="Calibri" w:cs="Calibri"/>
          <w:bCs/>
          <w:i/>
          <w:szCs w:val="22"/>
          <w:lang w:eastAsia="en-US"/>
        </w:rPr>
      </w:pPr>
      <w:r w:rsidRPr="008676F9">
        <w:rPr>
          <w:rFonts w:ascii="Calibri" w:eastAsia="Calibri" w:hAnsi="Calibri" w:cs="Calibri"/>
          <w:bCs/>
          <w:i/>
          <w:szCs w:val="22"/>
          <w:lang w:eastAsia="en-US"/>
        </w:rPr>
        <w:t>3A zvýšenie konkurencieschopnosti prvovýrobcov prostredníctvom ich lepšej integrácie do poľnohospodársko-potravinového reťazca pomocou systémov kvality, pridávania hodnoty poľnohospodárskym produktom, propagácie na miestnych trhoch a v krátkych dodávateľských reťazcoch, skupín a organizácií  výrobcov a medziodvetvových organizácií</w:t>
      </w:r>
    </w:p>
    <w:p w:rsidR="008676F9" w:rsidRPr="008676F9" w:rsidRDefault="008676F9" w:rsidP="008676F9">
      <w:pPr>
        <w:spacing w:after="120"/>
        <w:rPr>
          <w:rFonts w:ascii="Calibri" w:eastAsia="Calibri" w:hAnsi="Calibri"/>
          <w:szCs w:val="22"/>
          <w:lang w:eastAsia="en-US"/>
        </w:rPr>
      </w:pPr>
      <w:r w:rsidRPr="008676F9">
        <w:rPr>
          <w:rFonts w:ascii="Calibri" w:eastAsia="Calibri" w:hAnsi="Calibri"/>
          <w:szCs w:val="22"/>
          <w:lang w:eastAsia="en-US"/>
        </w:rPr>
        <w:t>Primárna funkcia poľnohospodárstva je produkcia potravín. V súčasnosti dochádza v SR k poklesu agropotravinárskej produkcie a zvyšovaniu podielu nahraditeľných komodít na celkovom agropotravinárskom dovoze, ktorý sa od roku 2001 zvýšil na 79,4 %. Z hľadiska medzinárodného obchodu vykazujú výrobky slovenského agropotravinárskeho priemyslu nízku konkurencieschopnosť. Situácia na Slovensku je taká, že v roku 2010 až 65 % výdavkov domácností na potraviny a tabak tvorili náklady na kúpu agropotravinárskeho tovaru z dovozu, pričom 51,6 % bolo na potraviny, ktoré si vieme sami vyrobiť na Slovensku. Vo viacerých výrobných odboroch je situácia veľmi nepriaznivá,  tržby z domácej produkcie sú hlboko pod 50 %.</w:t>
      </w:r>
    </w:p>
    <w:p w:rsidR="008676F9" w:rsidRPr="008676F9" w:rsidRDefault="008676F9" w:rsidP="008676F9">
      <w:pPr>
        <w:spacing w:after="120"/>
        <w:rPr>
          <w:rFonts w:ascii="Calibri" w:eastAsia="Calibri" w:hAnsi="Calibri"/>
          <w:szCs w:val="22"/>
          <w:lang w:eastAsia="en-US"/>
        </w:rPr>
      </w:pPr>
      <w:r w:rsidRPr="008676F9">
        <w:rPr>
          <w:rFonts w:ascii="Calibri" w:eastAsia="Calibri" w:hAnsi="Calibri"/>
          <w:szCs w:val="22"/>
          <w:lang w:eastAsia="en-US"/>
        </w:rPr>
        <w:t>Uvedené dokumentuje aj aktuálna situácia v agropotravinárskom zahraničnom obchode Slovenska. Na celkovom agropotravinárskom exporte sa neustále znižuje podiel výrobkov s vyššou pridanou hodnotou (spracované poľnohospodárske produkty, potraviny) a rastie podiel základných poľnohospodárskych surovín s nízkou pridanou hodnotou.</w:t>
      </w:r>
    </w:p>
    <w:p w:rsidR="008676F9" w:rsidRPr="008676F9" w:rsidRDefault="008676F9" w:rsidP="008676F9">
      <w:pPr>
        <w:spacing w:after="120"/>
        <w:rPr>
          <w:rFonts w:ascii="Calibri" w:eastAsia="Calibri" w:hAnsi="Calibri"/>
          <w:szCs w:val="22"/>
          <w:lang w:eastAsia="en-US"/>
        </w:rPr>
      </w:pPr>
      <w:r w:rsidRPr="008676F9">
        <w:rPr>
          <w:rFonts w:ascii="Calibri" w:eastAsia="Calibri" w:hAnsi="Calibri"/>
          <w:szCs w:val="22"/>
          <w:lang w:eastAsia="en-US"/>
        </w:rPr>
        <w:t xml:space="preserve">Vo vzťahoch medzi  obchodnými systémami na Slovensku nie je dostatočná konkurencia. Odvetvie obchodu má trhovú silu na ovplyvňovanie spotrebiteľských cien. Postavenie obchodu je dominantné vo vzťahu k dodávateľom aj spotrebiteľom. Dodávatelia poľnohospodárskych a potravinárskych výrobkov majú nižšiu vyjednávaciu silu vo vzťahu s obchodnými reťazcami, preto mnohí z nich sú vylúčení z dodávok pre obchodné reťazce alebo sú donútení akceptovať nevýhodné  cenové a dodacie podmienky. Posilnenie trhového postavenia poľnohospodárskych a potravinárskych výrobcov a ich integrácie do nadnárodného systému obchodovania s  poľnohospodárskymi a potravinárskymi výrobkami je kľúčová úloha. </w:t>
      </w:r>
    </w:p>
    <w:p w:rsidR="008676F9" w:rsidRPr="008676F9" w:rsidRDefault="008676F9" w:rsidP="008676F9">
      <w:pPr>
        <w:rPr>
          <w:rFonts w:ascii="Calibri" w:eastAsia="Calibri" w:hAnsi="Calibri"/>
          <w:szCs w:val="22"/>
          <w:lang w:eastAsia="en-US"/>
        </w:rPr>
      </w:pPr>
      <w:r w:rsidRPr="008676F9">
        <w:rPr>
          <w:rFonts w:ascii="Calibri" w:eastAsia="Calibri" w:hAnsi="Calibri"/>
          <w:szCs w:val="22"/>
          <w:lang w:eastAsia="en-US"/>
        </w:rPr>
        <w:t>V období hospodárskej recesie je pre domácich výrobcov potravín kľúčové udržať si pozíciu na domácom trhu. Je preto nevyhnutné podporiť marketing a konkurencieschopnosť poľnohospodárskych a potravinárskych produktov na domácom a zahraničnom trhu rôznymi nástrojmi, napríklad podporou investícií na zvyšovanie efektívnosti výroby potravín a inovácií potravinárskych výrobkov či marketingových aktivít, spolupráce prvovýrobcov a spracovateľov a podporou investícií do vytvárania vlastných predajných miest. Je potrebné posilniť výrobnú diverzifikáciu a zlepšiť pozíciu poľnohospodárskych a potravinárskych podnikov voči príliš silnej rokovacej pozícii veľkých obchodných reťazcov.</w:t>
      </w:r>
    </w:p>
    <w:p w:rsidR="008676F9" w:rsidRPr="008676F9" w:rsidRDefault="008676F9" w:rsidP="008676F9">
      <w:pPr>
        <w:rPr>
          <w:rFonts w:ascii="Calibri" w:eastAsia="Calibri" w:hAnsi="Calibri"/>
          <w:szCs w:val="22"/>
          <w:lang w:eastAsia="en-US"/>
        </w:rPr>
      </w:pPr>
    </w:p>
    <w:p w:rsidR="008676F9" w:rsidRPr="008676F9" w:rsidRDefault="008676F9" w:rsidP="008676F9">
      <w:pPr>
        <w:rPr>
          <w:rFonts w:ascii="Calibri" w:eastAsia="Calibri" w:hAnsi="Calibri" w:cs="Calibri"/>
          <w:bCs/>
          <w:i/>
          <w:szCs w:val="22"/>
          <w:lang w:eastAsia="en-US"/>
        </w:rPr>
      </w:pPr>
      <w:r w:rsidRPr="008676F9">
        <w:rPr>
          <w:rFonts w:ascii="Calibri" w:eastAsia="Calibri" w:hAnsi="Calibri" w:cs="Calibri"/>
          <w:bCs/>
          <w:i/>
          <w:szCs w:val="22"/>
          <w:lang w:eastAsia="en-US"/>
        </w:rPr>
        <w:t>5D Zníženie emisií skleníkových plynov a amoniaku z  poľnohospodárstva</w:t>
      </w:r>
    </w:p>
    <w:p w:rsidR="008676F9" w:rsidRPr="008676F9" w:rsidRDefault="008676F9" w:rsidP="008676F9">
      <w:pPr>
        <w:rPr>
          <w:rFonts w:ascii="Calibri" w:eastAsia="Calibri" w:hAnsi="Calibri" w:cs="Calibri"/>
          <w:bCs/>
          <w:i/>
          <w:szCs w:val="22"/>
          <w:lang w:eastAsia="en-US"/>
        </w:rPr>
      </w:pPr>
      <w:r w:rsidRPr="008676F9">
        <w:rPr>
          <w:rFonts w:ascii="Calibri" w:eastAsia="Calibri" w:hAnsi="Calibri" w:cs="Calibri"/>
          <w:bCs/>
          <w:i/>
          <w:szCs w:val="22"/>
          <w:lang w:eastAsia="en-US"/>
        </w:rPr>
        <w:t>4B Zlepšenie vodného hospodárstva vrátane riadenia používania hnojív a pesticídov</w:t>
      </w:r>
    </w:p>
    <w:p w:rsidR="008676F9" w:rsidRPr="008676F9" w:rsidRDefault="008676F9" w:rsidP="008676F9">
      <w:pPr>
        <w:contextualSpacing/>
        <w:rPr>
          <w:rFonts w:ascii="Calibri" w:hAnsi="Calibri" w:cs="Calibri"/>
          <w:szCs w:val="22"/>
        </w:rPr>
      </w:pPr>
      <w:r w:rsidRPr="008676F9">
        <w:rPr>
          <w:rFonts w:ascii="Calibri" w:hAnsi="Calibri" w:cs="Calibri"/>
          <w:szCs w:val="22"/>
        </w:rPr>
        <w:t xml:space="preserve">Investície do výstavby, rekonštrukcie a modernizácie zariadení na skladovanie a spracovanie odpadovej vody a hospodárskych hnojív a nakladanie s nimi priamo prispejú k cieľom znižovania emisií skleníkových plynov a amoniaku z poľnohospodárstva ako aj k zachovaniu kvality vody a ochrane pred jej znečistením. K zníženiu emisií skleníkových plynov a amoniaku prispievajú aj špeciálne nové technológie ustajnenia a chovu hospodárskych zvierat. Takéto investície však nevedú k zvýšeniu objemu produkcie, ani k zvýšeniu jej kvality, či k zníženiu nákladovosti výroby. Ide o neziskové investície pre poľnohospodárov, ktoré priamo prispievajú k udržateľnému rastu, konkrétne k prierezovým cieľom v oblasti ochrany životného prostredia a zmierneniu klimatických zmien, </w:t>
      </w:r>
      <w:r w:rsidRPr="008676F9">
        <w:rPr>
          <w:rFonts w:ascii="Calibri" w:eastAsia="Calibri" w:hAnsi="Calibri" w:cs="Calibri"/>
          <w:bCs/>
          <w:szCs w:val="22"/>
          <w:lang w:eastAsia="en-US"/>
        </w:rPr>
        <w:t>najmä pokiaľ ide o znižovanie emisií skleníkových plynov a amoniaku z poľnohospodárstva, ale aj ochranu vody. Investície teda prispejú k cieľom fokusovej oblasti 5D a zároveň prispejú k cieľom fokusovej oblasti 4B</w:t>
      </w:r>
      <w:r w:rsidRPr="008676F9">
        <w:rPr>
          <w:rFonts w:ascii="Calibri" w:hAnsi="Calibri" w:cs="Calibri"/>
          <w:szCs w:val="22"/>
        </w:rPr>
        <w:t>.</w:t>
      </w:r>
    </w:p>
    <w:p w:rsidR="008676F9" w:rsidRPr="008676F9" w:rsidRDefault="008676F9" w:rsidP="008676F9">
      <w:pPr>
        <w:rPr>
          <w:rFonts w:ascii="Calibri" w:eastAsia="Calibri" w:hAnsi="Calibri" w:cs="Calibri"/>
          <w:bCs/>
          <w:i/>
          <w:szCs w:val="22"/>
          <w:lang w:eastAsia="en-US"/>
        </w:rPr>
      </w:pPr>
    </w:p>
    <w:p w:rsidR="008676F9" w:rsidRPr="008676F9" w:rsidRDefault="008676F9" w:rsidP="008676F9">
      <w:pPr>
        <w:rPr>
          <w:rFonts w:ascii="Calibri" w:eastAsia="Calibri" w:hAnsi="Calibri" w:cs="Calibri"/>
          <w:bCs/>
          <w:i/>
          <w:szCs w:val="22"/>
          <w:lang w:eastAsia="en-US"/>
        </w:rPr>
      </w:pPr>
      <w:r w:rsidRPr="008676F9">
        <w:rPr>
          <w:rFonts w:ascii="Calibri" w:eastAsia="Calibri" w:hAnsi="Calibri" w:cs="Calibri"/>
          <w:bCs/>
          <w:i/>
          <w:szCs w:val="22"/>
          <w:lang w:eastAsia="en-US"/>
        </w:rPr>
        <w:t>4C  Predchádzanie erózii pôdy a zlepšenie jej obhospodarovania.</w:t>
      </w:r>
    </w:p>
    <w:p w:rsidR="008676F9" w:rsidRPr="008676F9" w:rsidRDefault="008676F9" w:rsidP="008676F9">
      <w:pPr>
        <w:tabs>
          <w:tab w:val="left" w:pos="708"/>
        </w:tabs>
        <w:suppressAutoHyphens/>
        <w:rPr>
          <w:rFonts w:ascii="Calibri" w:hAnsi="Calibri"/>
          <w:szCs w:val="22"/>
        </w:rPr>
      </w:pPr>
      <w:r w:rsidRPr="008676F9">
        <w:rPr>
          <w:rFonts w:ascii="Calibri" w:eastAsia="Calibri" w:hAnsi="Calibri" w:cs="Calibri"/>
          <w:bCs/>
          <w:szCs w:val="22"/>
          <w:lang w:eastAsia="en-US"/>
        </w:rPr>
        <w:t>I</w:t>
      </w:r>
      <w:r w:rsidRPr="008676F9">
        <w:rPr>
          <w:rFonts w:ascii="Calibri" w:hAnsi="Calibri"/>
          <w:szCs w:val="22"/>
        </w:rPr>
        <w:t xml:space="preserve">mplementácia projektov pozemkových úprav a spoločných zariadení v rámci podopatrenia 4.3 prispeje k prevencii pred prírodnými rizikami a zamedzí erózii pôdy; dôjde k vylepšeniu vodného režimu v krajine a zvýšeniu  jej ekologickej stability. Projekty, ktoré prispejú k zlepšeniu obhospodarovania poľnohospodárskej a lesnej pôdy zabezpečia  prístupy na pozemky po majetkovoprávne usporiadaných cestách, podporia sekvestráciu oxidu uhličitého v poľnohospodárstve a lesnom hospodárstve. Postupnou realizáciou navrhnutých zariadení a opatrení zabezpečia nové funkčné usporiadanie krajiny z vodohospodárskeho, protierózneho a ekologického hľadiska. </w:t>
      </w:r>
      <w:r w:rsidRPr="008676F9">
        <w:rPr>
          <w:rFonts w:ascii="Calibri" w:eastAsia="Calibri" w:hAnsi="Calibri" w:cs="Calibri"/>
          <w:bCs/>
          <w:szCs w:val="22"/>
          <w:lang w:eastAsia="en-US"/>
        </w:rPr>
        <w:t>Podopatrenie 4.3 prispieva synergicky k ostatným opatreniam programu a predpokladá sa jeho dosah aj na vyšší ekonomický rast aj a na produktivitu práce.</w:t>
      </w:r>
    </w:p>
    <w:p w:rsidR="008676F9" w:rsidRPr="008676F9" w:rsidRDefault="008676F9" w:rsidP="008676F9">
      <w:pPr>
        <w:rPr>
          <w:rFonts w:ascii="Calibri" w:eastAsia="Calibri" w:hAnsi="Calibri" w:cs="Calibri"/>
          <w:bCs/>
          <w:szCs w:val="22"/>
          <w:u w:val="single"/>
          <w:lang w:eastAsia="en-US"/>
        </w:rPr>
      </w:pPr>
    </w:p>
    <w:p w:rsidR="008676F9" w:rsidRPr="008676F9" w:rsidRDefault="008676F9" w:rsidP="008676F9">
      <w:pPr>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Príspevok k prierezovým cieľom</w:t>
      </w:r>
    </w:p>
    <w:p w:rsidR="008676F9" w:rsidRPr="00AA6566" w:rsidRDefault="008676F9" w:rsidP="001F5283">
      <w:pPr>
        <w:numPr>
          <w:ilvl w:val="0"/>
          <w:numId w:val="91"/>
        </w:numPr>
        <w:ind w:left="714" w:hanging="357"/>
        <w:rPr>
          <w:rFonts w:ascii="Calibri" w:hAnsi="Calibri"/>
          <w:szCs w:val="22"/>
        </w:rPr>
      </w:pPr>
      <w:r w:rsidRPr="00AA6566">
        <w:rPr>
          <w:rFonts w:ascii="Calibri" w:hAnsi="Calibri"/>
          <w:szCs w:val="22"/>
        </w:rPr>
        <w:t>Inovácie</w:t>
      </w:r>
    </w:p>
    <w:p w:rsidR="008676F9" w:rsidRPr="00AA6566" w:rsidRDefault="008676F9" w:rsidP="001F5283">
      <w:pPr>
        <w:numPr>
          <w:ilvl w:val="0"/>
          <w:numId w:val="91"/>
        </w:numPr>
        <w:ind w:left="714" w:hanging="357"/>
        <w:rPr>
          <w:rFonts w:ascii="Calibri" w:hAnsi="Calibri"/>
          <w:szCs w:val="22"/>
        </w:rPr>
      </w:pPr>
      <w:r w:rsidRPr="00AA6566">
        <w:rPr>
          <w:rFonts w:ascii="Calibri" w:hAnsi="Calibri"/>
          <w:szCs w:val="22"/>
        </w:rPr>
        <w:t>Životné prostredie</w:t>
      </w:r>
    </w:p>
    <w:p w:rsidR="008676F9" w:rsidRPr="00AA6566" w:rsidRDefault="008676F9" w:rsidP="001F5283">
      <w:pPr>
        <w:numPr>
          <w:ilvl w:val="0"/>
          <w:numId w:val="91"/>
        </w:numPr>
        <w:ind w:left="714" w:hanging="357"/>
        <w:rPr>
          <w:rFonts w:ascii="Calibri" w:hAnsi="Calibri"/>
          <w:szCs w:val="22"/>
        </w:rPr>
      </w:pPr>
      <w:r w:rsidRPr="00AA6566">
        <w:rPr>
          <w:rFonts w:ascii="Calibri" w:hAnsi="Calibri"/>
          <w:szCs w:val="22"/>
        </w:rPr>
        <w:t>Zmierňovanie zmien klímy a adaptácia na ňu</w:t>
      </w:r>
    </w:p>
    <w:p w:rsidR="008676F9" w:rsidRPr="00AA6566" w:rsidRDefault="008676F9" w:rsidP="001F5283">
      <w:pPr>
        <w:numPr>
          <w:ilvl w:val="0"/>
          <w:numId w:val="91"/>
        </w:numPr>
        <w:ind w:left="714" w:hanging="357"/>
        <w:rPr>
          <w:rFonts w:ascii="Calibri" w:hAnsi="Calibri"/>
          <w:szCs w:val="22"/>
        </w:rPr>
      </w:pPr>
      <w:r w:rsidRPr="00AA6566">
        <w:rPr>
          <w:rFonts w:ascii="Calibri" w:hAnsi="Calibri"/>
          <w:szCs w:val="22"/>
        </w:rPr>
        <w:t xml:space="preserve">Investície prispievajúce k priorite 5 majú priamy vplyv na ciele v oblasti zmien klímy.  </w:t>
      </w:r>
    </w:p>
    <w:p w:rsidR="008676F9" w:rsidRPr="008676F9" w:rsidRDefault="008676F9" w:rsidP="008676F9">
      <w:pPr>
        <w:rPr>
          <w:rFonts w:ascii="Calibri" w:eastAsia="Calibri" w:hAnsi="Calibri" w:cs="Calibri"/>
          <w:bCs/>
          <w:szCs w:val="22"/>
          <w:lang w:eastAsia="en-US"/>
        </w:rPr>
      </w:pPr>
    </w:p>
    <w:p w:rsidR="008676F9" w:rsidRPr="008676F9" w:rsidRDefault="008676F9" w:rsidP="008676F9">
      <w:pPr>
        <w:rPr>
          <w:rFonts w:ascii="Calibri" w:eastAsia="Calibri" w:hAnsi="Calibri" w:cs="Calibri"/>
          <w:bCs/>
          <w:szCs w:val="22"/>
          <w:lang w:eastAsia="en-US"/>
        </w:rPr>
      </w:pPr>
    </w:p>
    <w:p w:rsidR="008676F9" w:rsidRPr="008676F9" w:rsidRDefault="008676F9" w:rsidP="008676F9">
      <w:pPr>
        <w:spacing w:after="120"/>
        <w:rPr>
          <w:rFonts w:ascii="Calibri" w:eastAsia="Calibri" w:hAnsi="Calibri" w:cs="Calibri"/>
          <w:b/>
          <w:bCs/>
          <w:szCs w:val="22"/>
          <w:lang w:eastAsia="en-US"/>
        </w:rPr>
      </w:pPr>
      <w:r w:rsidRPr="008676F9">
        <w:rPr>
          <w:rFonts w:ascii="Calibri" w:eastAsia="Calibri" w:hAnsi="Calibri" w:cs="Calibri"/>
          <w:b/>
          <w:bCs/>
          <w:szCs w:val="22"/>
          <w:lang w:eastAsia="en-US"/>
        </w:rPr>
        <w:t>8.2.3.3. Rozsah, úroveň podpory a ďalšie informácie v členení podľa podopatrení a typu operácie</w:t>
      </w:r>
    </w:p>
    <w:p w:rsidR="008676F9" w:rsidRPr="008676F9" w:rsidRDefault="008676F9" w:rsidP="008676F9">
      <w:pPr>
        <w:shd w:val="clear" w:color="auto" w:fill="EAF1DD"/>
        <w:rPr>
          <w:rFonts w:ascii="Calibri" w:eastAsia="Calibri" w:hAnsi="Calibri" w:cs="Calibri"/>
          <w:bCs/>
          <w:i/>
          <w:lang w:eastAsia="en-US"/>
        </w:rPr>
      </w:pPr>
      <w:r w:rsidRPr="008676F9">
        <w:rPr>
          <w:rFonts w:ascii="Calibri" w:eastAsia="Calibri" w:hAnsi="Calibri" w:cs="Calibri"/>
          <w:bCs/>
          <w:lang w:eastAsia="en-US"/>
        </w:rPr>
        <w:t xml:space="preserve">Podopatrenie: </w:t>
      </w:r>
      <w:r w:rsidRPr="008676F9">
        <w:rPr>
          <w:rFonts w:ascii="Calibri" w:eastAsia="Calibri" w:hAnsi="Calibri" w:cs="Calibri"/>
          <w:b/>
          <w:bCs/>
          <w:i/>
          <w:lang w:eastAsia="en-US"/>
        </w:rPr>
        <w:t xml:space="preserve">4.1 </w:t>
      </w:r>
      <w:r w:rsidRPr="00CC6591">
        <w:rPr>
          <w:rFonts w:ascii="Calibri" w:eastAsia="Calibri" w:hAnsi="Calibri" w:cs="Calibri"/>
          <w:b/>
          <w:bCs/>
          <w:i/>
          <w:sz w:val="24"/>
          <w:lang w:eastAsia="en-US"/>
        </w:rPr>
        <w:t>Podpora investícií do poľnohospodárskych podnikov</w:t>
      </w:r>
    </w:p>
    <w:p w:rsidR="008676F9" w:rsidRPr="008676F9" w:rsidRDefault="008676F9" w:rsidP="008676F9">
      <w:pPr>
        <w:shd w:val="clear" w:color="auto" w:fill="FBD4B4"/>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Názov operácie:</w:t>
      </w:r>
    </w:p>
    <w:p w:rsidR="008676F9" w:rsidRPr="008676F9" w:rsidRDefault="008676F9" w:rsidP="008676F9">
      <w:pPr>
        <w:shd w:val="clear" w:color="auto" w:fill="FBD4B4"/>
        <w:rPr>
          <w:rFonts w:ascii="Calibri" w:eastAsia="Calibri" w:hAnsi="Calibri" w:cs="Calibri"/>
          <w:bCs/>
          <w:i/>
          <w:szCs w:val="22"/>
          <w:lang w:eastAsia="en-US"/>
        </w:rPr>
      </w:pPr>
      <w:r w:rsidRPr="008676F9">
        <w:rPr>
          <w:rFonts w:ascii="Calibri" w:eastAsia="Calibri" w:hAnsi="Calibri" w:cs="Calibri"/>
          <w:bCs/>
          <w:i/>
          <w:szCs w:val="22"/>
          <w:lang w:eastAsia="en-US"/>
        </w:rPr>
        <w:t xml:space="preserve">Investície do hmotného majetku, ktoré prispievajú k zvýšeniu </w:t>
      </w:r>
      <w:r w:rsidRPr="008676F9">
        <w:rPr>
          <w:rFonts w:ascii="Calibri" w:eastAsia="Calibri" w:hAnsi="Calibri" w:cs="Calibri"/>
          <w:b/>
          <w:bCs/>
          <w:i/>
          <w:szCs w:val="22"/>
          <w:lang w:eastAsia="en-US"/>
        </w:rPr>
        <w:t xml:space="preserve">konkurencieschopnosti </w:t>
      </w:r>
      <w:r w:rsidRPr="008676F9">
        <w:rPr>
          <w:rFonts w:ascii="Calibri" w:eastAsia="Calibri" w:hAnsi="Calibri" w:cs="Calibri"/>
          <w:b/>
          <w:i/>
          <w:szCs w:val="22"/>
          <w:lang w:eastAsia="en-US"/>
        </w:rPr>
        <w:t>poľnohospodárskych podnikov</w:t>
      </w:r>
      <w:r w:rsidRPr="008676F9">
        <w:rPr>
          <w:rFonts w:ascii="Calibri" w:eastAsia="Calibri" w:hAnsi="Calibri" w:cs="Calibri"/>
          <w:i/>
          <w:szCs w:val="22"/>
          <w:lang w:eastAsia="en-US"/>
        </w:rPr>
        <w:t xml:space="preserve"> najmä v kritických odvetviach (živočíšna výroba, špecializovaná rastlinná výroba) a to v súvislosti s tvorbou vyššej pridanej hodnoty a zvyšovaním príjmov v jednotlivých oblastiach prvovýroby pri zabezpečení efektívneho a udržateľného využívania zdrojov a stimuláciou inovácií s ohľadom na potrebu udržania a zvyšovania zamestnanosti.</w:t>
      </w:r>
    </w:p>
    <w:p w:rsidR="008676F9" w:rsidRPr="008676F9" w:rsidRDefault="008676F9" w:rsidP="008676F9">
      <w:pPr>
        <w:rPr>
          <w:rFonts w:ascii="Calibri" w:eastAsia="Calibri" w:hAnsi="Calibri" w:cs="Calibri"/>
          <w:bCs/>
          <w:szCs w:val="22"/>
          <w:lang w:eastAsia="en-US"/>
        </w:rPr>
      </w:pPr>
    </w:p>
    <w:p w:rsidR="008676F9" w:rsidRPr="008676F9" w:rsidRDefault="008676F9" w:rsidP="008676F9">
      <w:pPr>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Opis operácie:</w:t>
      </w:r>
    </w:p>
    <w:p w:rsidR="008676F9" w:rsidRPr="008676F9" w:rsidRDefault="008676F9" w:rsidP="00BE36D5">
      <w:pPr>
        <w:spacing w:after="120"/>
        <w:rPr>
          <w:rFonts w:ascii="Calibri" w:hAnsi="Calibri" w:cs="Calibri"/>
          <w:bCs/>
          <w:szCs w:val="22"/>
          <w:lang w:eastAsia="en-US"/>
        </w:rPr>
      </w:pPr>
      <w:r w:rsidRPr="008676F9">
        <w:rPr>
          <w:rFonts w:ascii="Calibri" w:hAnsi="Calibri" w:cs="Calibri"/>
          <w:bCs/>
          <w:szCs w:val="22"/>
          <w:lang w:eastAsia="en-US"/>
        </w:rPr>
        <w:t>Investície do hmotného majetku, ktoré zvyšujú celkovú výkonnosť a udržateľnosť poľnohospodárskeho podniku:</w:t>
      </w:r>
    </w:p>
    <w:p w:rsidR="008676F9" w:rsidRPr="008676F9" w:rsidRDefault="008676F9" w:rsidP="00955DA4">
      <w:pPr>
        <w:numPr>
          <w:ilvl w:val="0"/>
          <w:numId w:val="112"/>
        </w:numPr>
        <w:ind w:left="765" w:hanging="357"/>
        <w:rPr>
          <w:rFonts w:ascii="Calibri" w:hAnsi="Calibri" w:cs="Calibri"/>
          <w:bCs/>
          <w:szCs w:val="22"/>
          <w:lang w:eastAsia="en-US"/>
        </w:rPr>
      </w:pPr>
      <w:r w:rsidRPr="008676F9">
        <w:rPr>
          <w:rFonts w:ascii="Calibri" w:hAnsi="Calibri"/>
          <w:szCs w:val="22"/>
          <w:lang w:eastAsia="en-US"/>
        </w:rPr>
        <w:t xml:space="preserve">zvýšením produkcie </w:t>
      </w:r>
      <w:r w:rsidRPr="008676F9">
        <w:rPr>
          <w:rFonts w:ascii="Calibri" w:hAnsi="Calibri" w:cs="Calibri"/>
          <w:bCs/>
          <w:szCs w:val="22"/>
          <w:lang w:eastAsia="en-US"/>
        </w:rPr>
        <w:t xml:space="preserve">alebo jej kvality hlavne </w:t>
      </w:r>
      <w:r w:rsidRPr="008676F9">
        <w:rPr>
          <w:rFonts w:ascii="Calibri" w:hAnsi="Calibri"/>
          <w:szCs w:val="22"/>
          <w:lang w:eastAsia="en-US"/>
        </w:rPr>
        <w:t>v kritických odvetviach (živočíšna výroba a špecializovaná rastlinná výroba)</w:t>
      </w:r>
      <w:r w:rsidRPr="008676F9">
        <w:rPr>
          <w:rFonts w:ascii="Calibri" w:hAnsi="Calibri" w:cs="Calibri"/>
          <w:bCs/>
          <w:szCs w:val="22"/>
          <w:lang w:eastAsia="en-US"/>
        </w:rPr>
        <w:t xml:space="preserve"> </w:t>
      </w:r>
      <w:r w:rsidRPr="008676F9">
        <w:rPr>
          <w:rFonts w:ascii="Calibri" w:hAnsi="Calibri"/>
          <w:szCs w:val="22"/>
          <w:lang w:eastAsia="en-US"/>
        </w:rPr>
        <w:t>a/alebo</w:t>
      </w:r>
      <w:r w:rsidRPr="008676F9">
        <w:rPr>
          <w:rFonts w:ascii="Calibri" w:hAnsi="Calibri" w:cs="Calibri"/>
          <w:bCs/>
          <w:szCs w:val="22"/>
          <w:lang w:eastAsia="en-US"/>
        </w:rPr>
        <w:t xml:space="preserve">; </w:t>
      </w:r>
    </w:p>
    <w:p w:rsidR="008676F9" w:rsidRPr="008676F9" w:rsidRDefault="008676F9" w:rsidP="00955DA4">
      <w:pPr>
        <w:numPr>
          <w:ilvl w:val="0"/>
          <w:numId w:val="112"/>
        </w:numPr>
        <w:ind w:left="765" w:hanging="357"/>
        <w:rPr>
          <w:rFonts w:ascii="Calibri" w:hAnsi="Calibri"/>
          <w:szCs w:val="22"/>
          <w:lang w:eastAsia="en-US"/>
        </w:rPr>
      </w:pPr>
      <w:r w:rsidRPr="008676F9">
        <w:rPr>
          <w:rFonts w:ascii="Calibri" w:hAnsi="Calibri"/>
          <w:szCs w:val="22"/>
          <w:lang w:eastAsia="en-US"/>
        </w:rPr>
        <w:t>znížením nákladovosti výroby poľnohospodárskych produktov pri zachovaní alebo zvýšení zamestnanosti alebo pri zachovaní alebo zvýšení produkcie  a/alebo;</w:t>
      </w:r>
    </w:p>
    <w:p w:rsidR="008676F9" w:rsidRPr="008676F9" w:rsidRDefault="008676F9" w:rsidP="00955DA4">
      <w:pPr>
        <w:numPr>
          <w:ilvl w:val="0"/>
          <w:numId w:val="112"/>
        </w:numPr>
        <w:ind w:left="765" w:hanging="357"/>
        <w:rPr>
          <w:rFonts w:ascii="Calibri" w:hAnsi="Calibri"/>
          <w:szCs w:val="22"/>
          <w:lang w:eastAsia="en-US"/>
        </w:rPr>
      </w:pPr>
      <w:r w:rsidRPr="008676F9">
        <w:rPr>
          <w:rFonts w:ascii="Calibri" w:hAnsi="Calibri"/>
          <w:szCs w:val="22"/>
          <w:lang w:eastAsia="en-US"/>
        </w:rPr>
        <w:t>znížením záťaže na životné prostredie pri zachovaní alebo zvýšení zamestnanosti a/alebo;</w:t>
      </w:r>
    </w:p>
    <w:p w:rsidR="008676F9" w:rsidRPr="008676F9" w:rsidRDefault="008676F9" w:rsidP="00955DA4">
      <w:pPr>
        <w:numPr>
          <w:ilvl w:val="0"/>
          <w:numId w:val="112"/>
        </w:numPr>
        <w:ind w:left="765" w:hanging="357"/>
        <w:rPr>
          <w:rFonts w:ascii="Calibri" w:hAnsi="Calibri"/>
          <w:szCs w:val="22"/>
          <w:lang w:eastAsia="en-US"/>
        </w:rPr>
      </w:pPr>
      <w:r w:rsidRPr="008676F9">
        <w:rPr>
          <w:rFonts w:ascii="Calibri" w:hAnsi="Calibri"/>
          <w:szCs w:val="22"/>
          <w:lang w:eastAsia="en-US"/>
        </w:rPr>
        <w:t>zvýšením odbytu a/alebo;</w:t>
      </w:r>
    </w:p>
    <w:p w:rsidR="008676F9" w:rsidRPr="008676F9" w:rsidRDefault="008676F9" w:rsidP="00955DA4">
      <w:pPr>
        <w:numPr>
          <w:ilvl w:val="0"/>
          <w:numId w:val="112"/>
        </w:numPr>
        <w:ind w:left="765" w:hanging="357"/>
        <w:rPr>
          <w:rFonts w:ascii="Calibri" w:hAnsi="Calibri"/>
          <w:szCs w:val="22"/>
          <w:lang w:eastAsia="en-US"/>
        </w:rPr>
      </w:pPr>
      <w:r w:rsidRPr="008676F9">
        <w:rPr>
          <w:rFonts w:ascii="Calibri" w:hAnsi="Calibri"/>
          <w:szCs w:val="22"/>
          <w:lang w:eastAsia="en-US"/>
        </w:rPr>
        <w:t>komplexnou reštrukturalizáciou výroby v podniku a/alebo</w:t>
      </w:r>
    </w:p>
    <w:p w:rsidR="008676F9" w:rsidRPr="008676F9" w:rsidRDefault="008676F9" w:rsidP="00955DA4">
      <w:pPr>
        <w:numPr>
          <w:ilvl w:val="0"/>
          <w:numId w:val="112"/>
        </w:numPr>
        <w:ind w:left="765" w:hanging="357"/>
        <w:rPr>
          <w:rFonts w:ascii="Calibri" w:hAnsi="Calibri"/>
          <w:szCs w:val="22"/>
          <w:lang w:eastAsia="en-US"/>
        </w:rPr>
      </w:pPr>
      <w:r w:rsidRPr="008676F9">
        <w:rPr>
          <w:rFonts w:ascii="Calibri" w:hAnsi="Calibri"/>
          <w:szCs w:val="22"/>
          <w:lang w:eastAsia="en-US"/>
        </w:rPr>
        <w:t>zlepšením kvalitatívnych vlastností a úrodnosti pôdy a ochranou pred jej degradáciou a/alebo;</w:t>
      </w:r>
    </w:p>
    <w:p w:rsidR="008676F9" w:rsidRPr="008676F9" w:rsidRDefault="008676F9" w:rsidP="00955DA4">
      <w:pPr>
        <w:numPr>
          <w:ilvl w:val="0"/>
          <w:numId w:val="112"/>
        </w:numPr>
        <w:ind w:left="765" w:hanging="357"/>
        <w:rPr>
          <w:rFonts w:ascii="Calibri" w:hAnsi="Calibri"/>
          <w:szCs w:val="22"/>
          <w:lang w:eastAsia="en-US"/>
        </w:rPr>
      </w:pPr>
      <w:r w:rsidRPr="008676F9">
        <w:rPr>
          <w:rFonts w:ascii="Calibri" w:hAnsi="Calibri" w:cs="Calibri"/>
          <w:bCs/>
          <w:szCs w:val="22"/>
          <w:lang w:eastAsia="en-US"/>
        </w:rPr>
        <w:t>diverzifikáciou poľnohospodárskej výroby smerom k výrobe produktov, ktoré prinášajú</w:t>
      </w:r>
      <w:r w:rsidRPr="008676F9">
        <w:rPr>
          <w:rFonts w:ascii="Calibri" w:hAnsi="Calibri"/>
          <w:szCs w:val="22"/>
          <w:lang w:eastAsia="en-US"/>
        </w:rPr>
        <w:t xml:space="preserve">  vyššiu pridanú hodnotu pri zachovaní alebo zvýšení zamestnanosti.</w:t>
      </w:r>
    </w:p>
    <w:p w:rsidR="008676F9" w:rsidRPr="008676F9" w:rsidRDefault="008676F9" w:rsidP="00AA6566">
      <w:pPr>
        <w:rPr>
          <w:rFonts w:ascii="Calibri" w:eastAsia="Calibri" w:hAnsi="Calibri" w:cs="Calibri"/>
          <w:bCs/>
          <w:szCs w:val="22"/>
          <w:lang w:eastAsia="en-US"/>
        </w:rPr>
      </w:pPr>
      <w:r w:rsidRPr="008676F9">
        <w:rPr>
          <w:rFonts w:ascii="Calibri" w:eastAsia="Calibri" w:hAnsi="Calibri" w:cs="Calibri"/>
          <w:bCs/>
          <w:szCs w:val="22"/>
          <w:lang w:eastAsia="en-US"/>
        </w:rPr>
        <w:t>Operácia bude prispievať prioritne k fokusovej oblasti 2A, 2B.</w:t>
      </w:r>
    </w:p>
    <w:p w:rsidR="008676F9" w:rsidRPr="008676F9" w:rsidRDefault="008676F9" w:rsidP="00AA6566">
      <w:pPr>
        <w:rPr>
          <w:rFonts w:ascii="Calibri" w:eastAsia="Calibri" w:hAnsi="Calibri" w:cs="Calibri"/>
          <w:bCs/>
          <w:szCs w:val="22"/>
          <w:lang w:eastAsia="en-US"/>
        </w:rPr>
      </w:pPr>
      <w:r w:rsidRPr="008676F9">
        <w:rPr>
          <w:rFonts w:ascii="Calibri" w:eastAsia="Calibri" w:hAnsi="Calibri" w:cs="Calibri"/>
          <w:bCs/>
          <w:szCs w:val="22"/>
          <w:lang w:eastAsia="en-US"/>
        </w:rPr>
        <w:t>Operácia bude prispievať sekundárne k fokusovej oblasti 2B, 5A, 5B,5C, 5D, 6A.</w:t>
      </w:r>
    </w:p>
    <w:p w:rsidR="008676F9" w:rsidRPr="008676F9" w:rsidRDefault="008676F9" w:rsidP="00AA6566">
      <w:pPr>
        <w:rPr>
          <w:rFonts w:ascii="Calibri" w:eastAsia="Calibri" w:hAnsi="Calibri" w:cs="Calibri"/>
          <w:bCs/>
          <w:szCs w:val="22"/>
          <w:lang w:eastAsia="en-US"/>
        </w:rPr>
      </w:pPr>
    </w:p>
    <w:p w:rsidR="008676F9" w:rsidRPr="008676F9" w:rsidRDefault="008676F9" w:rsidP="00AA6566">
      <w:pPr>
        <w:rPr>
          <w:rFonts w:ascii="Calibri" w:eastAsia="Calibri" w:hAnsi="Calibri" w:cs="Calibri"/>
          <w:bCs/>
          <w:szCs w:val="22"/>
          <w:lang w:eastAsia="en-US"/>
        </w:rPr>
      </w:pPr>
      <w:r w:rsidRPr="008676F9">
        <w:rPr>
          <w:rFonts w:ascii="Calibri" w:eastAsia="Calibri" w:hAnsi="Calibri" w:cs="Calibri"/>
          <w:bCs/>
          <w:szCs w:val="22"/>
          <w:lang w:eastAsia="en-US"/>
        </w:rPr>
        <w:t>Rozsah činností:</w:t>
      </w:r>
    </w:p>
    <w:p w:rsidR="008676F9" w:rsidRPr="008676F9" w:rsidRDefault="008676F9" w:rsidP="00BE36D5">
      <w:pPr>
        <w:keepNext/>
        <w:keepLines/>
        <w:spacing w:after="200"/>
        <w:outlineLvl w:val="3"/>
        <w:rPr>
          <w:rFonts w:ascii="Calibri" w:hAnsi="Calibri" w:cs="Calibri"/>
          <w:bCs/>
          <w:i/>
          <w:iCs/>
          <w:szCs w:val="22"/>
          <w:u w:val="single"/>
          <w:lang w:eastAsia="en-US"/>
        </w:rPr>
      </w:pPr>
      <w:r w:rsidRPr="008676F9">
        <w:rPr>
          <w:rFonts w:ascii="Calibri" w:hAnsi="Calibri" w:cs="Calibri"/>
          <w:bCs/>
          <w:i/>
          <w:iCs/>
          <w:szCs w:val="22"/>
          <w:u w:val="single"/>
          <w:lang w:eastAsia="en-US"/>
        </w:rPr>
        <w:t>1. Rastlinná výroba</w:t>
      </w:r>
    </w:p>
    <w:p w:rsidR="008676F9" w:rsidRPr="008676F9" w:rsidRDefault="008676F9" w:rsidP="001F5283">
      <w:pPr>
        <w:numPr>
          <w:ilvl w:val="0"/>
          <w:numId w:val="66"/>
        </w:numPr>
        <w:spacing w:after="60"/>
        <w:ind w:left="425" w:hanging="425"/>
        <w:rPr>
          <w:rFonts w:ascii="Calibri" w:hAnsi="Calibri" w:cs="Calibri"/>
          <w:b/>
          <w:bCs/>
          <w:szCs w:val="22"/>
          <w:lang w:eastAsia="en-US"/>
        </w:rPr>
      </w:pPr>
      <w:r w:rsidRPr="008676F9">
        <w:rPr>
          <w:rFonts w:ascii="Calibri" w:hAnsi="Calibri" w:cs="Calibri"/>
          <w:b/>
          <w:bCs/>
          <w:szCs w:val="22"/>
          <w:lang w:eastAsia="en-US"/>
        </w:rPr>
        <w:t>Investície do výstavby, rekonštrukcie a modernizácie objektov:</w:t>
      </w:r>
    </w:p>
    <w:p w:rsidR="008676F9" w:rsidRPr="008676F9" w:rsidRDefault="008676F9" w:rsidP="001F5283">
      <w:pPr>
        <w:numPr>
          <w:ilvl w:val="0"/>
          <w:numId w:val="92"/>
        </w:numPr>
        <w:spacing w:after="60"/>
        <w:ind w:left="714" w:hanging="357"/>
        <w:rPr>
          <w:rFonts w:ascii="Calibri" w:hAnsi="Calibri" w:cs="Calibri"/>
          <w:szCs w:val="22"/>
          <w:lang w:eastAsia="en-US"/>
        </w:rPr>
      </w:pPr>
      <w:r w:rsidRPr="008676F9">
        <w:rPr>
          <w:rFonts w:ascii="Calibri" w:hAnsi="Calibri"/>
          <w:szCs w:val="22"/>
          <w:lang w:eastAsia="en-US"/>
        </w:rPr>
        <w:t>na výsadbu rekonštrukciu alebo modernizáciu ovocných sadov, chmeľníc, plantáží drobného ovocia,  viacročnej zeleniny, </w:t>
      </w:r>
      <w:r w:rsidR="00204D9D">
        <w:rPr>
          <w:rFonts w:ascii="Calibri" w:hAnsi="Calibri"/>
          <w:szCs w:val="22"/>
          <w:lang w:eastAsia="en-US"/>
        </w:rPr>
        <w:t xml:space="preserve">borievkových plantáží, </w:t>
      </w:r>
      <w:r w:rsidRPr="008676F9">
        <w:rPr>
          <w:rFonts w:ascii="Calibri" w:hAnsi="Calibri"/>
          <w:szCs w:val="22"/>
          <w:lang w:eastAsia="en-US"/>
        </w:rPr>
        <w:t>liečivých a koreninových rastlín vrátane výsadbového materiálu a na súvisiace investičné činnosti (napr. na likvidáciu starých neprodukčných ovocných sadov, chmeľníc, výstavbu oporných konštrukcií, oplotenia a pod.). Podpora na investície na likvidáciu ovocných sadov a chmeľníc je podmienená stanoviskom príslušnej organizácie (výpis z registra ovocných sadov vydaný ÚKSUP-om);</w:t>
      </w:r>
    </w:p>
    <w:p w:rsidR="008676F9" w:rsidRPr="008676F9" w:rsidRDefault="008676F9" w:rsidP="001F5283">
      <w:pPr>
        <w:numPr>
          <w:ilvl w:val="0"/>
          <w:numId w:val="92"/>
        </w:numPr>
        <w:spacing w:after="60"/>
        <w:ind w:left="714" w:hanging="357"/>
        <w:rPr>
          <w:rFonts w:ascii="Calibri" w:hAnsi="Calibri" w:cs="Calibri"/>
          <w:szCs w:val="22"/>
          <w:lang w:eastAsia="en-US"/>
        </w:rPr>
      </w:pPr>
      <w:r w:rsidRPr="008676F9">
        <w:rPr>
          <w:rFonts w:ascii="Calibri" w:hAnsi="Calibri"/>
          <w:szCs w:val="22"/>
          <w:lang w:eastAsia="en-US"/>
        </w:rPr>
        <w:t>na novú výsadbu vinohradov a súvisiace investičné činnosti, na základe povolenia (v zmysle nariadenia č. 1308/2013, ktorým sa vytvára spoločná organizácia trhov s poľnohospodárskymi produktmi);</w:t>
      </w:r>
    </w:p>
    <w:p w:rsidR="008676F9" w:rsidRPr="008676F9" w:rsidRDefault="008676F9" w:rsidP="001F5283">
      <w:pPr>
        <w:numPr>
          <w:ilvl w:val="0"/>
          <w:numId w:val="92"/>
        </w:numPr>
        <w:spacing w:after="60"/>
        <w:ind w:left="714" w:hanging="357"/>
        <w:rPr>
          <w:rFonts w:ascii="Calibri" w:hAnsi="Calibri" w:cs="Calibri"/>
          <w:szCs w:val="22"/>
          <w:lang w:eastAsia="en-US"/>
        </w:rPr>
      </w:pPr>
      <w:r w:rsidRPr="008676F9">
        <w:rPr>
          <w:rFonts w:ascii="Calibri" w:hAnsi="Calibri"/>
          <w:szCs w:val="22"/>
          <w:lang w:eastAsia="en-US"/>
        </w:rPr>
        <w:t>na výstavbu, rekonštrukciu a modernizáciu skleníkov a fóliovníkov a súvisiace investičné činnosti. Prioritou je využitie alternatívnych zdrojov vykurovania.</w:t>
      </w:r>
    </w:p>
    <w:p w:rsidR="008676F9" w:rsidRPr="008676F9" w:rsidRDefault="008676F9" w:rsidP="001F5283">
      <w:pPr>
        <w:numPr>
          <w:ilvl w:val="0"/>
          <w:numId w:val="92"/>
        </w:numPr>
        <w:spacing w:after="60"/>
        <w:ind w:left="714" w:hanging="357"/>
        <w:rPr>
          <w:rFonts w:ascii="Calibri" w:eastAsia="Calibri" w:hAnsi="Calibri"/>
          <w:szCs w:val="22"/>
          <w:lang w:eastAsia="en-US"/>
        </w:rPr>
      </w:pPr>
      <w:r w:rsidRPr="008676F9">
        <w:rPr>
          <w:rFonts w:ascii="Calibri" w:eastAsia="Calibri" w:hAnsi="Calibri"/>
          <w:szCs w:val="22"/>
          <w:lang w:eastAsia="en-US"/>
        </w:rPr>
        <w:t>na protimrazovú a protiľadovcovú ochranu v špecializovanej rastlinnej výrobe;</w:t>
      </w:r>
    </w:p>
    <w:p w:rsidR="008676F9" w:rsidRPr="008676F9" w:rsidRDefault="008676F9" w:rsidP="001F5283">
      <w:pPr>
        <w:numPr>
          <w:ilvl w:val="0"/>
          <w:numId w:val="92"/>
        </w:numPr>
        <w:spacing w:after="60"/>
        <w:ind w:left="714" w:hanging="357"/>
        <w:rPr>
          <w:rFonts w:ascii="Calibri" w:hAnsi="Calibri" w:cs="Calibri"/>
          <w:szCs w:val="22"/>
          <w:lang w:eastAsia="en-US"/>
        </w:rPr>
      </w:pPr>
      <w:r w:rsidRPr="008676F9">
        <w:rPr>
          <w:rFonts w:ascii="Calibri" w:hAnsi="Calibri"/>
          <w:szCs w:val="22"/>
          <w:lang w:eastAsia="en-US"/>
        </w:rPr>
        <w:t xml:space="preserve">na oplotenie ornej pôdy na ochranu pred divou zverou; </w:t>
      </w:r>
    </w:p>
    <w:p w:rsidR="008676F9" w:rsidRPr="008676F9" w:rsidRDefault="008676F9" w:rsidP="001F5283">
      <w:pPr>
        <w:numPr>
          <w:ilvl w:val="0"/>
          <w:numId w:val="92"/>
        </w:numPr>
        <w:spacing w:after="60"/>
        <w:ind w:left="714" w:hanging="357"/>
        <w:rPr>
          <w:rFonts w:ascii="Calibri" w:hAnsi="Calibri" w:cs="Calibri"/>
          <w:szCs w:val="22"/>
          <w:lang w:eastAsia="en-US"/>
        </w:rPr>
      </w:pPr>
      <w:r w:rsidRPr="008676F9">
        <w:rPr>
          <w:rFonts w:ascii="Calibri" w:hAnsi="Calibri"/>
          <w:szCs w:val="22"/>
          <w:lang w:eastAsia="en-US"/>
        </w:rPr>
        <w:t xml:space="preserve">na prvotnú pozberovú úpravu a skladovanie obilnín, olejnín, strukovín, ovocia, zeleniny, zemiakov, </w:t>
      </w:r>
      <w:r w:rsidR="00204D9D">
        <w:rPr>
          <w:rFonts w:ascii="Calibri" w:hAnsi="Calibri"/>
          <w:szCs w:val="22"/>
          <w:lang w:eastAsia="en-US"/>
        </w:rPr>
        <w:t xml:space="preserve">borievok, </w:t>
      </w:r>
      <w:r w:rsidRPr="008676F9">
        <w:rPr>
          <w:rFonts w:ascii="Calibri" w:hAnsi="Calibri"/>
          <w:szCs w:val="22"/>
          <w:lang w:eastAsia="en-US"/>
        </w:rPr>
        <w:t xml:space="preserve">objemových krmív, liečivých, technických a energetických plodín vrátane osív a sadív a na zlepšenie skladovania plodín (napr. špeciálne skladovanie, zaistenie vetrania, klimatizácie, izolácie a chladenia). </w:t>
      </w:r>
      <w:r w:rsidRPr="008676F9">
        <w:rPr>
          <w:rFonts w:ascii="Calibri" w:hAnsi="Calibri" w:cs="Calibri"/>
          <w:szCs w:val="22"/>
          <w:lang w:eastAsia="en-US"/>
        </w:rPr>
        <w:t>V prípade skladovania obilnín, olejnín a strukovín sú oprávnené len náklady na rekonštrukciu, prestavbu a modernizáciu skladov len do kapacity vlastnej produkcie alebo spoločnej produkcie odbytového združenia</w:t>
      </w:r>
      <w:r w:rsidRPr="008676F9">
        <w:rPr>
          <w:rFonts w:ascii="Calibri" w:hAnsi="Calibri"/>
          <w:szCs w:val="22"/>
          <w:lang w:eastAsia="en-US"/>
        </w:rPr>
        <w:t>;</w:t>
      </w:r>
    </w:p>
    <w:p w:rsidR="008676F9" w:rsidRPr="008676F9" w:rsidRDefault="008676F9" w:rsidP="001F5283">
      <w:pPr>
        <w:numPr>
          <w:ilvl w:val="0"/>
          <w:numId w:val="92"/>
        </w:numPr>
        <w:spacing w:after="60"/>
        <w:ind w:left="714" w:hanging="357"/>
        <w:rPr>
          <w:rFonts w:ascii="Calibri" w:eastAsia="Calibri" w:hAnsi="Calibri"/>
          <w:szCs w:val="22"/>
          <w:lang w:eastAsia="en-US"/>
        </w:rPr>
      </w:pPr>
      <w:r w:rsidRPr="008676F9">
        <w:rPr>
          <w:rFonts w:ascii="Calibri" w:eastAsia="Calibri" w:hAnsi="Calibri"/>
          <w:szCs w:val="22"/>
          <w:lang w:eastAsia="en-US"/>
        </w:rPr>
        <w:t>na uskladnenie priemyselných hnojív a prípravkov na ochranu rastlín a plodín;</w:t>
      </w:r>
    </w:p>
    <w:p w:rsidR="008676F9" w:rsidRPr="008676F9" w:rsidRDefault="008676F9" w:rsidP="001F5283">
      <w:pPr>
        <w:numPr>
          <w:ilvl w:val="0"/>
          <w:numId w:val="92"/>
        </w:numPr>
        <w:spacing w:after="60"/>
        <w:ind w:left="714" w:hanging="357"/>
        <w:rPr>
          <w:rFonts w:ascii="Calibri" w:eastAsia="Calibri" w:hAnsi="Calibri"/>
          <w:szCs w:val="22"/>
          <w:lang w:eastAsia="en-US"/>
        </w:rPr>
      </w:pPr>
      <w:r w:rsidRPr="008676F9">
        <w:rPr>
          <w:rFonts w:ascii="Calibri" w:eastAsia="Calibri" w:hAnsi="Calibri"/>
          <w:szCs w:val="22"/>
          <w:lang w:eastAsia="en-US"/>
        </w:rPr>
        <w:t>na uskladnenie a ošetrenie manipulačnej techniky;</w:t>
      </w:r>
    </w:p>
    <w:p w:rsidR="008676F9" w:rsidRPr="008676F9" w:rsidRDefault="008676F9" w:rsidP="001F5283">
      <w:pPr>
        <w:numPr>
          <w:ilvl w:val="0"/>
          <w:numId w:val="92"/>
        </w:numPr>
        <w:spacing w:after="60"/>
        <w:ind w:left="714" w:hanging="357"/>
        <w:rPr>
          <w:rFonts w:ascii="Calibri" w:eastAsia="Calibri" w:hAnsi="Calibri"/>
          <w:szCs w:val="22"/>
          <w:lang w:eastAsia="en-US"/>
        </w:rPr>
      </w:pPr>
      <w:r w:rsidRPr="008676F9">
        <w:rPr>
          <w:rFonts w:ascii="Calibri" w:eastAsia="Calibri" w:hAnsi="Calibri"/>
          <w:szCs w:val="22"/>
          <w:lang w:eastAsia="en-US"/>
        </w:rPr>
        <w:t xml:space="preserve">na </w:t>
      </w:r>
      <w:r w:rsidRPr="008676F9" w:rsidDel="00B47C93">
        <w:rPr>
          <w:rFonts w:ascii="Calibri" w:eastAsia="Calibri" w:hAnsi="Calibri"/>
          <w:szCs w:val="22"/>
          <w:lang w:eastAsia="en-US"/>
        </w:rPr>
        <w:t xml:space="preserve">zavádzanie nových aplikačných zariadení na </w:t>
      </w:r>
      <w:r w:rsidRPr="008676F9">
        <w:rPr>
          <w:rFonts w:ascii="Calibri" w:eastAsia="Calibri" w:hAnsi="Calibri"/>
          <w:szCs w:val="22"/>
          <w:lang w:eastAsia="en-US"/>
        </w:rPr>
        <w:t>ochranu</w:t>
      </w:r>
      <w:r w:rsidRPr="008676F9" w:rsidDel="00B47C93">
        <w:rPr>
          <w:rFonts w:ascii="Calibri" w:eastAsia="Calibri" w:hAnsi="Calibri"/>
          <w:szCs w:val="22"/>
          <w:lang w:eastAsia="en-US"/>
        </w:rPr>
        <w:t xml:space="preserve"> rastlín chemickými prostriedkami s cieľom znižova</w:t>
      </w:r>
      <w:r w:rsidRPr="008676F9">
        <w:rPr>
          <w:rFonts w:ascii="Calibri" w:eastAsia="Calibri" w:hAnsi="Calibri"/>
          <w:szCs w:val="22"/>
          <w:lang w:eastAsia="en-US"/>
        </w:rPr>
        <w:t>ť</w:t>
      </w:r>
      <w:r w:rsidRPr="008676F9" w:rsidDel="00B47C93">
        <w:rPr>
          <w:rFonts w:ascii="Calibri" w:eastAsia="Calibri" w:hAnsi="Calibri"/>
          <w:szCs w:val="22"/>
          <w:lang w:eastAsia="en-US"/>
        </w:rPr>
        <w:t xml:space="preserve"> zaťaženi</w:t>
      </w:r>
      <w:r w:rsidRPr="008676F9">
        <w:rPr>
          <w:rFonts w:ascii="Calibri" w:eastAsia="Calibri" w:hAnsi="Calibri"/>
          <w:szCs w:val="22"/>
          <w:lang w:eastAsia="en-US"/>
        </w:rPr>
        <w:t>e</w:t>
      </w:r>
      <w:r w:rsidRPr="008676F9" w:rsidDel="00B47C93">
        <w:rPr>
          <w:rFonts w:ascii="Calibri" w:eastAsia="Calibri" w:hAnsi="Calibri"/>
          <w:szCs w:val="22"/>
          <w:lang w:eastAsia="en-US"/>
        </w:rPr>
        <w:t xml:space="preserve"> prostredia chemickými látkami</w:t>
      </w:r>
      <w:r w:rsidRPr="008676F9">
        <w:rPr>
          <w:rFonts w:ascii="Calibri" w:eastAsia="Calibri" w:hAnsi="Calibri"/>
          <w:szCs w:val="22"/>
          <w:lang w:eastAsia="en-US"/>
        </w:rPr>
        <w:t>;</w:t>
      </w:r>
    </w:p>
    <w:p w:rsidR="008676F9" w:rsidRPr="008676F9" w:rsidRDefault="008676F9" w:rsidP="001F5283">
      <w:pPr>
        <w:numPr>
          <w:ilvl w:val="0"/>
          <w:numId w:val="92"/>
        </w:numPr>
        <w:spacing w:after="60"/>
        <w:ind w:left="714" w:hanging="357"/>
        <w:rPr>
          <w:rFonts w:ascii="Calibri" w:eastAsia="Calibri" w:hAnsi="Calibri"/>
          <w:szCs w:val="22"/>
          <w:lang w:eastAsia="en-US"/>
        </w:rPr>
      </w:pPr>
      <w:r w:rsidRPr="008676F9">
        <w:rPr>
          <w:rFonts w:ascii="Calibri" w:eastAsia="Calibri" w:hAnsi="Calibri"/>
          <w:szCs w:val="22"/>
          <w:lang w:eastAsia="en-US"/>
        </w:rPr>
        <w:t>na zavádzanie inovatívnych technológií ekologického poľnohospodárstva;</w:t>
      </w:r>
    </w:p>
    <w:p w:rsidR="008676F9" w:rsidRPr="004D2876" w:rsidRDefault="008676F9" w:rsidP="001F5283">
      <w:pPr>
        <w:numPr>
          <w:ilvl w:val="0"/>
          <w:numId w:val="92"/>
        </w:numPr>
        <w:spacing w:after="60"/>
        <w:ind w:left="714" w:hanging="357"/>
        <w:rPr>
          <w:rFonts w:ascii="Calibri" w:eastAsia="Calibri" w:hAnsi="Calibri"/>
          <w:szCs w:val="22"/>
          <w:lang w:eastAsia="en-US"/>
        </w:rPr>
      </w:pPr>
      <w:r w:rsidRPr="008676F9">
        <w:rPr>
          <w:rFonts w:ascii="Calibri" w:eastAsia="Calibri" w:hAnsi="Calibri"/>
          <w:szCs w:val="22"/>
          <w:lang w:eastAsia="en-US"/>
        </w:rPr>
        <w:t xml:space="preserve">na priamy </w:t>
      </w:r>
      <w:r w:rsidRPr="004D2876">
        <w:rPr>
          <w:rFonts w:ascii="Calibri" w:eastAsia="Calibri" w:hAnsi="Calibri"/>
          <w:szCs w:val="22"/>
          <w:lang w:eastAsia="en-US"/>
        </w:rPr>
        <w:t>predaj vlastnej produkcie priamo v areáli podniku;</w:t>
      </w:r>
    </w:p>
    <w:p w:rsidR="00FE2A2D" w:rsidRPr="004D2876" w:rsidRDefault="008676F9" w:rsidP="001F5283">
      <w:pPr>
        <w:numPr>
          <w:ilvl w:val="0"/>
          <w:numId w:val="92"/>
        </w:numPr>
        <w:spacing w:after="60"/>
        <w:ind w:left="714" w:hanging="357"/>
        <w:rPr>
          <w:rFonts w:ascii="Calibri" w:eastAsia="Calibri" w:hAnsi="Calibri" w:cs="Calibri"/>
          <w:szCs w:val="22"/>
          <w:lang w:eastAsia="en-US"/>
        </w:rPr>
      </w:pPr>
      <w:r w:rsidRPr="004D2876">
        <w:rPr>
          <w:rFonts w:ascii="Calibri" w:eastAsia="Calibri" w:hAnsi="Calibri" w:cs="Calibri"/>
          <w:szCs w:val="22"/>
          <w:lang w:eastAsia="en-US"/>
        </w:rPr>
        <w:t>čistiarní odpadových vôd výlučne pre potreby podniku</w:t>
      </w:r>
      <w:r w:rsidR="00FE2A2D" w:rsidRPr="004D2876">
        <w:rPr>
          <w:rFonts w:ascii="Calibri" w:eastAsia="Calibri" w:hAnsi="Calibri" w:cs="Calibri"/>
          <w:szCs w:val="22"/>
          <w:lang w:eastAsia="en-US"/>
        </w:rPr>
        <w:t>;</w:t>
      </w:r>
    </w:p>
    <w:p w:rsidR="008676F9" w:rsidRPr="008676F9" w:rsidRDefault="00FE2A2D" w:rsidP="001F5283">
      <w:pPr>
        <w:numPr>
          <w:ilvl w:val="0"/>
          <w:numId w:val="92"/>
        </w:numPr>
        <w:spacing w:after="120"/>
        <w:ind w:left="714" w:hanging="357"/>
        <w:rPr>
          <w:rFonts w:ascii="Calibri" w:eastAsia="Calibri" w:hAnsi="Calibri" w:cs="Calibri"/>
          <w:szCs w:val="22"/>
          <w:lang w:eastAsia="en-US"/>
        </w:rPr>
      </w:pPr>
      <w:r w:rsidRPr="004D2876">
        <w:rPr>
          <w:rFonts w:ascii="Calibri" w:eastAsia="Calibri" w:hAnsi="Calibri" w:cs="Calibri"/>
          <w:szCs w:val="22"/>
          <w:lang w:eastAsia="en-US"/>
        </w:rPr>
        <w:t>objektov zariadenia</w:t>
      </w:r>
      <w:r>
        <w:rPr>
          <w:rFonts w:ascii="Calibri" w:eastAsia="Calibri" w:hAnsi="Calibri" w:cs="Calibri"/>
          <w:szCs w:val="22"/>
          <w:lang w:eastAsia="en-US"/>
        </w:rPr>
        <w:t xml:space="preserve"> na výrobu priemyselného kompostu z biologicky rozložiteľného odpadu</w:t>
      </w:r>
      <w:r w:rsidR="008676F9" w:rsidRPr="008676F9">
        <w:rPr>
          <w:rFonts w:ascii="Calibri" w:eastAsia="Calibri" w:hAnsi="Calibri" w:cs="Calibri"/>
          <w:szCs w:val="22"/>
          <w:lang w:eastAsia="en-US"/>
        </w:rPr>
        <w:t>.</w:t>
      </w:r>
    </w:p>
    <w:p w:rsidR="008676F9" w:rsidRPr="008676F9" w:rsidRDefault="008676F9" w:rsidP="00AA6566">
      <w:pPr>
        <w:ind w:left="284"/>
        <w:rPr>
          <w:rFonts w:ascii="Calibri" w:eastAsia="Calibri" w:hAnsi="Calibri"/>
          <w:szCs w:val="22"/>
          <w:lang w:eastAsia="en-US"/>
        </w:rPr>
      </w:pPr>
    </w:p>
    <w:p w:rsidR="008676F9" w:rsidRPr="008676F9" w:rsidRDefault="008676F9" w:rsidP="001F5283">
      <w:pPr>
        <w:numPr>
          <w:ilvl w:val="0"/>
          <w:numId w:val="66"/>
        </w:numPr>
        <w:spacing w:after="60"/>
        <w:ind w:left="284" w:hanging="284"/>
        <w:contextualSpacing/>
        <w:rPr>
          <w:rFonts w:ascii="Calibri" w:hAnsi="Calibri"/>
          <w:szCs w:val="22"/>
          <w:lang w:eastAsia="en-US"/>
        </w:rPr>
      </w:pPr>
      <w:r w:rsidRPr="008676F9">
        <w:rPr>
          <w:rFonts w:ascii="Calibri" w:hAnsi="Calibri" w:cs="Calibri"/>
          <w:b/>
          <w:bCs/>
          <w:szCs w:val="22"/>
          <w:lang w:eastAsia="en-US"/>
        </w:rPr>
        <w:t>Investície do obstarania technického a technologického vybavenia vrátane špeciálnych strojov a náradia:</w:t>
      </w:r>
    </w:p>
    <w:p w:rsidR="008676F9" w:rsidRPr="008676F9" w:rsidRDefault="008676F9" w:rsidP="001F5283">
      <w:pPr>
        <w:numPr>
          <w:ilvl w:val="0"/>
          <w:numId w:val="93"/>
        </w:numPr>
        <w:spacing w:after="60"/>
        <w:rPr>
          <w:rFonts w:ascii="Calibri" w:eastAsia="Calibri" w:hAnsi="Calibri"/>
          <w:szCs w:val="22"/>
          <w:lang w:eastAsia="en-US"/>
        </w:rPr>
      </w:pPr>
      <w:r w:rsidRPr="008676F9">
        <w:rPr>
          <w:rFonts w:ascii="Calibri" w:eastAsia="Calibri" w:hAnsi="Calibri" w:cs="Calibri"/>
          <w:szCs w:val="22"/>
          <w:lang w:eastAsia="en-US"/>
        </w:rPr>
        <w:t>na pestovanie poľnohospodárskych plodín špecializovanej rastlinnej výroby a  zlepšenie jej kvality, t.j. prípravu pôdy, sejbu, výsadbu, zber, dopravu a manipuláciu s rastlinnou produkciou vrátane strojov a doplnenia existujúcich technologických liniek;</w:t>
      </w:r>
    </w:p>
    <w:p w:rsidR="008676F9" w:rsidRPr="008676F9" w:rsidRDefault="008676F9" w:rsidP="001F5283">
      <w:pPr>
        <w:numPr>
          <w:ilvl w:val="0"/>
          <w:numId w:val="93"/>
        </w:numPr>
        <w:spacing w:after="60"/>
        <w:rPr>
          <w:rFonts w:ascii="Calibri" w:eastAsia="Calibri" w:hAnsi="Calibri"/>
          <w:szCs w:val="22"/>
          <w:lang w:eastAsia="en-US"/>
        </w:rPr>
      </w:pPr>
      <w:r w:rsidRPr="008676F9">
        <w:rPr>
          <w:rFonts w:ascii="Calibri" w:eastAsia="Calibri" w:hAnsi="Calibri" w:cs="Calibri"/>
          <w:szCs w:val="22"/>
          <w:lang w:eastAsia="en-US"/>
        </w:rPr>
        <w:t>na zlepšenie kvality pri pestovaní poľnohospodárskych produktov, t.j. prípravu pôdy, sejbu, výsadbu, zber, dopravu a manipuláciu s rastlinnou produkciou vrátane doplnenia existujúcich technologických liniek;</w:t>
      </w:r>
    </w:p>
    <w:p w:rsidR="008676F9" w:rsidRPr="008676F9" w:rsidRDefault="008676F9" w:rsidP="001F5283">
      <w:pPr>
        <w:numPr>
          <w:ilvl w:val="0"/>
          <w:numId w:val="93"/>
        </w:numPr>
        <w:spacing w:after="60"/>
        <w:rPr>
          <w:rFonts w:ascii="Calibri" w:eastAsia="Calibri" w:hAnsi="Calibri"/>
          <w:szCs w:val="22"/>
          <w:lang w:eastAsia="en-US"/>
        </w:rPr>
      </w:pPr>
      <w:r w:rsidRPr="008676F9">
        <w:rPr>
          <w:rFonts w:ascii="Calibri" w:eastAsia="Calibri" w:hAnsi="Calibri" w:cs="Calibri"/>
          <w:szCs w:val="22"/>
          <w:lang w:eastAsia="en-US"/>
        </w:rPr>
        <w:t>na zavádzanie nových a inovatívnych technológií, špeciálnych strojov  a náradia na pestovanie, ošetrovanie a zber poľných kultúr využívaním presného poľnohospodárstva a technológií GPS;</w:t>
      </w:r>
    </w:p>
    <w:p w:rsidR="008676F9" w:rsidRPr="008676F9" w:rsidRDefault="008676F9" w:rsidP="001F5283">
      <w:pPr>
        <w:numPr>
          <w:ilvl w:val="0"/>
          <w:numId w:val="93"/>
        </w:numPr>
        <w:spacing w:after="60"/>
        <w:rPr>
          <w:rFonts w:ascii="Calibri" w:eastAsia="Calibri" w:hAnsi="Calibri" w:cs="Calibri"/>
          <w:szCs w:val="22"/>
          <w:lang w:eastAsia="en-US"/>
        </w:rPr>
      </w:pPr>
      <w:r w:rsidRPr="008676F9">
        <w:rPr>
          <w:rFonts w:ascii="Calibri" w:eastAsia="Calibri" w:hAnsi="Calibri"/>
          <w:szCs w:val="22"/>
          <w:lang w:eastAsia="en-US"/>
        </w:rPr>
        <w:t xml:space="preserve">na výsadbu, rekonštrukciu alebo modernizáciu ovocných sadov, plantáží drobného ovocia, </w:t>
      </w:r>
      <w:r w:rsidR="00204D9D">
        <w:rPr>
          <w:rFonts w:ascii="Calibri" w:eastAsia="Calibri" w:hAnsi="Calibri"/>
          <w:szCs w:val="22"/>
          <w:lang w:eastAsia="en-US"/>
        </w:rPr>
        <w:t xml:space="preserve">borievkových plantáží, </w:t>
      </w:r>
      <w:r w:rsidRPr="008676F9">
        <w:rPr>
          <w:rFonts w:ascii="Calibri" w:eastAsia="Calibri" w:hAnsi="Calibri"/>
          <w:szCs w:val="22"/>
          <w:lang w:eastAsia="en-US"/>
        </w:rPr>
        <w:t>chmeľníc,  viacročnej zeleniny a liečivých a koreninových rastlín;</w:t>
      </w:r>
    </w:p>
    <w:p w:rsidR="008676F9" w:rsidRPr="008676F9" w:rsidRDefault="008676F9" w:rsidP="001F5283">
      <w:pPr>
        <w:numPr>
          <w:ilvl w:val="0"/>
          <w:numId w:val="93"/>
        </w:numPr>
        <w:spacing w:after="60"/>
        <w:rPr>
          <w:rFonts w:ascii="Calibri" w:eastAsia="Calibri" w:hAnsi="Calibri"/>
          <w:szCs w:val="22"/>
          <w:lang w:eastAsia="en-US"/>
        </w:rPr>
      </w:pPr>
      <w:r w:rsidRPr="008676F9">
        <w:rPr>
          <w:rFonts w:ascii="Calibri" w:eastAsia="Calibri" w:hAnsi="Calibri"/>
          <w:szCs w:val="22"/>
          <w:lang w:eastAsia="en-US"/>
        </w:rPr>
        <w:t>na novú výsadbu vinohradov na základe povolenia (v zmysle nariadenia č. 1308/2013, ktorým sa vytvára spoločná organizácia trhov s poľnohospodárskymi produktmi);</w:t>
      </w:r>
    </w:p>
    <w:p w:rsidR="008676F9" w:rsidRPr="008676F9" w:rsidRDefault="008676F9" w:rsidP="001F5283">
      <w:pPr>
        <w:numPr>
          <w:ilvl w:val="0"/>
          <w:numId w:val="93"/>
        </w:numPr>
        <w:spacing w:after="60"/>
        <w:rPr>
          <w:rFonts w:ascii="Calibri" w:eastAsia="Calibri" w:hAnsi="Calibri"/>
          <w:szCs w:val="22"/>
          <w:lang w:eastAsia="en-US"/>
        </w:rPr>
      </w:pPr>
      <w:r w:rsidRPr="008676F9">
        <w:rPr>
          <w:rFonts w:ascii="Calibri" w:eastAsia="Calibri" w:hAnsi="Calibri" w:cs="Calibri"/>
          <w:szCs w:val="22"/>
          <w:lang w:eastAsia="en-US"/>
        </w:rPr>
        <w:t xml:space="preserve">na prvotnú pozberovú úpravu a skladovanie obilnín, olejnín, strukovín, ovocia, zeleniny, zemiakov, </w:t>
      </w:r>
      <w:r w:rsidR="00204D9D">
        <w:rPr>
          <w:rFonts w:ascii="Calibri" w:eastAsia="Calibri" w:hAnsi="Calibri" w:cs="Calibri"/>
          <w:szCs w:val="22"/>
          <w:lang w:eastAsia="en-US"/>
        </w:rPr>
        <w:t xml:space="preserve">borievok, </w:t>
      </w:r>
      <w:r w:rsidRPr="008676F9">
        <w:rPr>
          <w:rFonts w:ascii="Calibri" w:eastAsia="Calibri" w:hAnsi="Calibri" w:cs="Calibri"/>
          <w:szCs w:val="22"/>
          <w:lang w:eastAsia="en-US"/>
        </w:rPr>
        <w:t>objemových krmív, liečivých rastlín, technických a energetických plodín vrátane osív a sadív. V prípade skladovania obilnín, olejnín a strukovín sú oprávnené len náklady na modernizáciu skladov len do kapacity vlastnej produkcie alebo spoločnej produkcie odbytového združenia</w:t>
      </w:r>
    </w:p>
    <w:p w:rsidR="008676F9" w:rsidRPr="008676F9" w:rsidRDefault="008676F9" w:rsidP="001F5283">
      <w:pPr>
        <w:numPr>
          <w:ilvl w:val="0"/>
          <w:numId w:val="93"/>
        </w:numPr>
        <w:spacing w:after="60"/>
        <w:rPr>
          <w:rFonts w:ascii="Calibri" w:eastAsia="Calibri" w:hAnsi="Calibri" w:cs="Calibri"/>
          <w:szCs w:val="22"/>
          <w:lang w:eastAsia="en-US"/>
        </w:rPr>
      </w:pPr>
      <w:r w:rsidRPr="008676F9">
        <w:rPr>
          <w:rFonts w:ascii="Calibri" w:eastAsia="Calibri" w:hAnsi="Calibri"/>
          <w:szCs w:val="22"/>
          <w:lang w:eastAsia="en-US"/>
        </w:rPr>
        <w:t xml:space="preserve">nová technológia na prvotné spracovanie, sušenie a na finalizáciu výrobkov poľnohospodárskej prvovýroby vrátane liečivých rastlín, drobného ovocia, </w:t>
      </w:r>
      <w:r w:rsidR="00204D9D">
        <w:rPr>
          <w:rFonts w:ascii="Calibri" w:eastAsia="Calibri" w:hAnsi="Calibri"/>
          <w:szCs w:val="22"/>
          <w:lang w:eastAsia="en-US"/>
        </w:rPr>
        <w:t xml:space="preserve">borievok, </w:t>
      </w:r>
      <w:r w:rsidRPr="008676F9">
        <w:rPr>
          <w:rFonts w:ascii="Calibri" w:eastAsia="Calibri" w:hAnsi="Calibri"/>
          <w:szCs w:val="22"/>
          <w:lang w:eastAsia="en-US"/>
        </w:rPr>
        <w:t>spracovanie šípok, spracovanie priemyselných rajčiakov</w:t>
      </w:r>
    </w:p>
    <w:p w:rsidR="008676F9" w:rsidRPr="008676F9" w:rsidRDefault="008676F9" w:rsidP="001F5283">
      <w:pPr>
        <w:numPr>
          <w:ilvl w:val="0"/>
          <w:numId w:val="93"/>
        </w:numPr>
        <w:spacing w:after="60"/>
        <w:rPr>
          <w:rFonts w:ascii="Calibri" w:eastAsia="Calibri" w:hAnsi="Calibri" w:cs="Calibri"/>
          <w:szCs w:val="22"/>
          <w:lang w:eastAsia="en-US"/>
        </w:rPr>
      </w:pPr>
      <w:r w:rsidRPr="008676F9">
        <w:rPr>
          <w:rFonts w:ascii="Calibri" w:eastAsia="Calibri" w:hAnsi="Calibri" w:cs="Calibri"/>
          <w:szCs w:val="22"/>
          <w:lang w:eastAsia="en-US"/>
        </w:rPr>
        <w:t>na aplikáciu hnojív a prípravkov na ochranu rastlín;</w:t>
      </w:r>
    </w:p>
    <w:p w:rsidR="008676F9" w:rsidRPr="008676F9" w:rsidRDefault="008676F9" w:rsidP="001F5283">
      <w:pPr>
        <w:numPr>
          <w:ilvl w:val="0"/>
          <w:numId w:val="93"/>
        </w:numPr>
        <w:tabs>
          <w:tab w:val="left" w:pos="284"/>
        </w:tabs>
        <w:spacing w:after="60"/>
        <w:rPr>
          <w:rFonts w:ascii="Calibri" w:eastAsia="Calibri" w:hAnsi="Calibri"/>
          <w:szCs w:val="22"/>
          <w:lang w:eastAsia="en-US"/>
        </w:rPr>
      </w:pPr>
      <w:r w:rsidRPr="008676F9">
        <w:rPr>
          <w:rFonts w:ascii="Calibri" w:eastAsia="Calibri" w:hAnsi="Calibri"/>
          <w:szCs w:val="22"/>
          <w:lang w:eastAsia="en-US"/>
        </w:rPr>
        <w:t>na zvýšenie efektívnosti využívania dusíkatých hnojív;</w:t>
      </w:r>
    </w:p>
    <w:p w:rsidR="008676F9" w:rsidRPr="008676F9" w:rsidRDefault="008676F9" w:rsidP="001F5283">
      <w:pPr>
        <w:numPr>
          <w:ilvl w:val="0"/>
          <w:numId w:val="93"/>
        </w:numPr>
        <w:spacing w:after="60"/>
        <w:rPr>
          <w:rFonts w:ascii="Calibri" w:eastAsia="Calibri" w:hAnsi="Calibri"/>
          <w:szCs w:val="22"/>
          <w:lang w:eastAsia="en-US"/>
        </w:rPr>
      </w:pPr>
      <w:r w:rsidRPr="008676F9">
        <w:rPr>
          <w:rFonts w:ascii="Calibri" w:eastAsia="Calibri" w:hAnsi="Calibri"/>
          <w:szCs w:val="22"/>
          <w:lang w:eastAsia="en-US"/>
        </w:rPr>
        <w:t>na zavádzanie nových a inovatívnych technológií  pestovania, ošetrovania a zberu poľných kultúr využívaním presného poľnohospodárstva a technológií GPS;</w:t>
      </w:r>
    </w:p>
    <w:p w:rsidR="008676F9" w:rsidRPr="008676F9" w:rsidRDefault="008676F9" w:rsidP="001F5283">
      <w:pPr>
        <w:numPr>
          <w:ilvl w:val="0"/>
          <w:numId w:val="93"/>
        </w:numPr>
        <w:spacing w:after="60"/>
        <w:ind w:left="714" w:hanging="357"/>
        <w:rPr>
          <w:rFonts w:ascii="Calibri" w:eastAsia="Calibri" w:hAnsi="Calibri"/>
          <w:szCs w:val="22"/>
          <w:lang w:eastAsia="en-US"/>
        </w:rPr>
      </w:pPr>
      <w:r w:rsidRPr="008676F9">
        <w:rPr>
          <w:rFonts w:ascii="Calibri" w:eastAsia="Calibri" w:hAnsi="Calibri"/>
          <w:szCs w:val="22"/>
          <w:lang w:eastAsia="en-US"/>
        </w:rPr>
        <w:t>zriadenie vnútropodnikových počítačových sietí, programové a počítačové vybavenie a zriadenie prístupu na internet len ak ide o investície do nových technológií v oblasti špecializovanej rastlinnej výroby;</w:t>
      </w:r>
    </w:p>
    <w:p w:rsidR="008676F9" w:rsidRPr="008676F9" w:rsidRDefault="008676F9" w:rsidP="001F5283">
      <w:pPr>
        <w:numPr>
          <w:ilvl w:val="0"/>
          <w:numId w:val="93"/>
        </w:numPr>
        <w:spacing w:after="60"/>
        <w:ind w:left="714" w:hanging="357"/>
        <w:rPr>
          <w:rFonts w:ascii="Calibri" w:eastAsia="Calibri" w:hAnsi="Calibri"/>
          <w:szCs w:val="22"/>
          <w:lang w:eastAsia="en-US"/>
        </w:rPr>
      </w:pPr>
      <w:r w:rsidRPr="008676F9">
        <w:rPr>
          <w:rFonts w:ascii="Calibri" w:eastAsia="Calibri" w:hAnsi="Calibri"/>
          <w:szCs w:val="22"/>
          <w:lang w:eastAsia="en-US"/>
        </w:rPr>
        <w:t>na priamy predaj vlastnej produkcie priamo v areáli podniku;</w:t>
      </w:r>
    </w:p>
    <w:p w:rsidR="008676F9" w:rsidRPr="008676F9" w:rsidRDefault="008676F9" w:rsidP="001F5283">
      <w:pPr>
        <w:numPr>
          <w:ilvl w:val="0"/>
          <w:numId w:val="93"/>
        </w:numPr>
        <w:spacing w:after="60"/>
        <w:ind w:left="714" w:hanging="357"/>
        <w:rPr>
          <w:rFonts w:ascii="Calibri" w:eastAsia="Calibri" w:hAnsi="Calibri"/>
          <w:szCs w:val="22"/>
          <w:lang w:eastAsia="en-US"/>
        </w:rPr>
      </w:pPr>
      <w:r w:rsidRPr="008676F9">
        <w:rPr>
          <w:rFonts w:ascii="Calibri" w:eastAsia="Calibri" w:hAnsi="Calibri"/>
          <w:szCs w:val="22"/>
          <w:lang w:eastAsia="en-US"/>
        </w:rPr>
        <w:t>čistiarní odpadových vôd, umývacích rámp a zlepšenie kvalitatívnych a kvantitatívnych parametrov výlučne pre potreby podniku;</w:t>
      </w:r>
    </w:p>
    <w:p w:rsidR="008676F9" w:rsidRPr="008676F9" w:rsidRDefault="008676F9" w:rsidP="001F5283">
      <w:pPr>
        <w:numPr>
          <w:ilvl w:val="0"/>
          <w:numId w:val="93"/>
        </w:numPr>
        <w:spacing w:after="60"/>
        <w:ind w:left="714" w:hanging="357"/>
        <w:rPr>
          <w:rFonts w:ascii="Calibri" w:eastAsia="Calibri" w:hAnsi="Calibri"/>
          <w:szCs w:val="22"/>
          <w:lang w:eastAsia="en-US"/>
        </w:rPr>
      </w:pPr>
      <w:r w:rsidRPr="008676F9">
        <w:rPr>
          <w:rFonts w:ascii="Calibri" w:eastAsia="Calibri" w:hAnsi="Calibri"/>
          <w:szCs w:val="22"/>
          <w:lang w:eastAsia="en-US"/>
        </w:rPr>
        <w:t>na manipuláciu s debničkami, paletami, chladiace boxy a iné manipulačné prostriedky;</w:t>
      </w:r>
    </w:p>
    <w:p w:rsidR="008676F9" w:rsidRPr="008676F9" w:rsidRDefault="008676F9" w:rsidP="001F5283">
      <w:pPr>
        <w:numPr>
          <w:ilvl w:val="0"/>
          <w:numId w:val="93"/>
        </w:numPr>
        <w:spacing w:after="60"/>
        <w:ind w:left="714" w:hanging="357"/>
        <w:rPr>
          <w:rFonts w:ascii="Calibri" w:eastAsia="Calibri" w:hAnsi="Calibri"/>
          <w:szCs w:val="22"/>
          <w:lang w:eastAsia="en-US"/>
        </w:rPr>
      </w:pPr>
      <w:r w:rsidRPr="008676F9">
        <w:rPr>
          <w:rFonts w:ascii="Calibri" w:eastAsia="Calibri" w:hAnsi="Calibri"/>
          <w:szCs w:val="22"/>
          <w:lang w:eastAsia="en-US"/>
        </w:rPr>
        <w:t>nákladné automobily špecializované na prepravu rastlinnej produkcie;</w:t>
      </w:r>
    </w:p>
    <w:p w:rsidR="00FE2A2D" w:rsidRDefault="008676F9" w:rsidP="001F5283">
      <w:pPr>
        <w:numPr>
          <w:ilvl w:val="0"/>
          <w:numId w:val="93"/>
        </w:numPr>
        <w:spacing w:after="60"/>
        <w:ind w:left="714" w:hanging="357"/>
        <w:rPr>
          <w:rFonts w:ascii="Calibri" w:eastAsia="Calibri" w:hAnsi="Calibri"/>
          <w:szCs w:val="22"/>
          <w:lang w:eastAsia="en-US"/>
        </w:rPr>
      </w:pPr>
      <w:r w:rsidRPr="008676F9">
        <w:rPr>
          <w:rFonts w:ascii="Calibri" w:eastAsia="Calibri" w:hAnsi="Calibri"/>
          <w:szCs w:val="22"/>
          <w:lang w:eastAsia="en-US"/>
        </w:rPr>
        <w:t>nákladné automobily s klimatizovanou izotermickou nadstavbou</w:t>
      </w:r>
      <w:r w:rsidR="00FE2A2D">
        <w:rPr>
          <w:rFonts w:ascii="Calibri" w:eastAsia="Calibri" w:hAnsi="Calibri"/>
          <w:szCs w:val="22"/>
          <w:lang w:eastAsia="en-US"/>
        </w:rPr>
        <w:t>;</w:t>
      </w:r>
    </w:p>
    <w:p w:rsidR="008676F9" w:rsidRPr="008676F9" w:rsidRDefault="00FE2A2D" w:rsidP="001F5283">
      <w:pPr>
        <w:numPr>
          <w:ilvl w:val="0"/>
          <w:numId w:val="93"/>
        </w:numPr>
        <w:ind w:left="714" w:hanging="357"/>
        <w:rPr>
          <w:rFonts w:ascii="Calibri" w:eastAsia="Calibri" w:hAnsi="Calibri"/>
          <w:szCs w:val="22"/>
          <w:lang w:eastAsia="en-US"/>
        </w:rPr>
      </w:pPr>
      <w:r>
        <w:rPr>
          <w:rFonts w:ascii="Calibri" w:eastAsia="Calibri" w:hAnsi="Calibri"/>
          <w:szCs w:val="22"/>
          <w:lang w:eastAsia="en-US"/>
        </w:rPr>
        <w:t>na výrobu kompostu z biologicky rozložiteľného odpadu, stroje na manipuláciu so zložkami kompostu</w:t>
      </w:r>
      <w:r w:rsidR="008676F9" w:rsidRPr="008676F9">
        <w:rPr>
          <w:rFonts w:ascii="Calibri" w:eastAsia="Calibri" w:hAnsi="Calibri"/>
          <w:szCs w:val="22"/>
          <w:lang w:eastAsia="en-US"/>
        </w:rPr>
        <w:t>.</w:t>
      </w:r>
    </w:p>
    <w:p w:rsidR="008676F9" w:rsidRPr="008676F9" w:rsidRDefault="008676F9" w:rsidP="00D40112">
      <w:pPr>
        <w:ind w:left="284"/>
        <w:rPr>
          <w:rFonts w:ascii="Calibri" w:eastAsia="Calibri" w:hAnsi="Calibri"/>
          <w:szCs w:val="22"/>
          <w:lang w:eastAsia="en-US"/>
        </w:rPr>
      </w:pPr>
    </w:p>
    <w:p w:rsidR="00204D9D" w:rsidRPr="008676F9" w:rsidRDefault="00204D9D" w:rsidP="00204D9D">
      <w:pPr>
        <w:numPr>
          <w:ilvl w:val="0"/>
          <w:numId w:val="94"/>
        </w:numPr>
        <w:spacing w:after="200"/>
        <w:ind w:left="284" w:hanging="284"/>
        <w:rPr>
          <w:rFonts w:ascii="Calibri" w:hAnsi="Calibri" w:cs="Calibri"/>
          <w:b/>
          <w:bCs/>
          <w:szCs w:val="22"/>
          <w:lang w:eastAsia="en-US"/>
        </w:rPr>
      </w:pPr>
      <w:r w:rsidRPr="008676F9">
        <w:rPr>
          <w:rFonts w:ascii="Calibri" w:hAnsi="Calibri" w:cs="Calibri"/>
          <w:b/>
          <w:bCs/>
          <w:szCs w:val="22"/>
          <w:lang w:eastAsia="en-US"/>
        </w:rPr>
        <w:t>zlepšenia kvalitatívnych vlastností</w:t>
      </w:r>
      <w:r>
        <w:rPr>
          <w:rFonts w:ascii="Calibri" w:hAnsi="Calibri" w:cs="Calibri"/>
          <w:b/>
          <w:bCs/>
          <w:szCs w:val="22"/>
          <w:lang w:eastAsia="en-US"/>
        </w:rPr>
        <w:t>, </w:t>
      </w:r>
      <w:r w:rsidRPr="008676F9">
        <w:rPr>
          <w:rFonts w:ascii="Calibri" w:hAnsi="Calibri" w:cs="Calibri"/>
          <w:b/>
          <w:bCs/>
          <w:szCs w:val="22"/>
          <w:lang w:eastAsia="en-US"/>
        </w:rPr>
        <w:t>úrodnosti</w:t>
      </w:r>
      <w:r>
        <w:rPr>
          <w:rFonts w:ascii="Calibri" w:hAnsi="Calibri" w:cs="Calibri"/>
          <w:b/>
          <w:bCs/>
          <w:szCs w:val="22"/>
          <w:lang w:eastAsia="en-US"/>
        </w:rPr>
        <w:t xml:space="preserve"> a štruktúrneho stavu</w:t>
      </w:r>
      <w:r w:rsidRPr="008676F9">
        <w:rPr>
          <w:rFonts w:ascii="Calibri" w:hAnsi="Calibri" w:cs="Calibri"/>
          <w:b/>
          <w:bCs/>
          <w:szCs w:val="22"/>
          <w:lang w:eastAsia="en-US"/>
        </w:rPr>
        <w:t xml:space="preserve"> pôdy a ochrany pred jej degradáciou</w:t>
      </w:r>
    </w:p>
    <w:p w:rsidR="00204D9D" w:rsidRDefault="00204D9D" w:rsidP="00204D9D">
      <w:pPr>
        <w:ind w:left="709" w:hanging="283"/>
        <w:rPr>
          <w:rFonts w:ascii="Calibri" w:eastAsia="Calibri" w:hAnsi="Calibri"/>
          <w:szCs w:val="22"/>
          <w:lang w:eastAsia="en-US"/>
        </w:rPr>
      </w:pPr>
      <w:r w:rsidRPr="008676F9">
        <w:rPr>
          <w:rFonts w:ascii="Calibri" w:eastAsia="Calibri" w:hAnsi="Calibri"/>
          <w:szCs w:val="22"/>
          <w:lang w:eastAsia="en-US"/>
        </w:rPr>
        <w:t>•</w:t>
      </w:r>
      <w:r w:rsidRPr="008676F9">
        <w:rPr>
          <w:rFonts w:ascii="Calibri" w:eastAsia="Calibri" w:hAnsi="Calibri"/>
          <w:szCs w:val="22"/>
          <w:lang w:eastAsia="en-US"/>
        </w:rPr>
        <w:tab/>
        <w:t>Aplikácia vápenatých hmôt na pôdach s reakciou pod pH 6,5. Podmienkou je projekt melioračného vápnenia v rámci integrovaného projektu v opatrení 16</w:t>
      </w:r>
      <w:r>
        <w:rPr>
          <w:rFonts w:ascii="Calibri" w:eastAsia="Calibri" w:hAnsi="Calibri"/>
          <w:szCs w:val="22"/>
          <w:lang w:eastAsia="en-US"/>
        </w:rPr>
        <w:t>;</w:t>
      </w:r>
    </w:p>
    <w:p w:rsidR="008676F9" w:rsidRDefault="00204D9D" w:rsidP="00204D9D">
      <w:pPr>
        <w:ind w:left="709" w:hanging="283"/>
        <w:rPr>
          <w:rFonts w:ascii="Calibri" w:eastAsia="Calibri" w:hAnsi="Calibri"/>
          <w:szCs w:val="22"/>
          <w:lang w:eastAsia="en-US"/>
        </w:rPr>
      </w:pPr>
      <w:r w:rsidRPr="008676F9">
        <w:rPr>
          <w:rFonts w:ascii="Calibri" w:eastAsia="Calibri" w:hAnsi="Calibri"/>
          <w:szCs w:val="22"/>
          <w:lang w:eastAsia="en-US"/>
        </w:rPr>
        <w:t>•</w:t>
      </w:r>
      <w:r>
        <w:rPr>
          <w:rFonts w:ascii="Calibri" w:eastAsia="Calibri" w:hAnsi="Calibri"/>
          <w:szCs w:val="22"/>
          <w:lang w:eastAsia="en-US"/>
        </w:rPr>
        <w:t xml:space="preserve"> </w:t>
      </w:r>
      <w:r>
        <w:rPr>
          <w:rFonts w:ascii="Calibri" w:eastAsia="Calibri" w:hAnsi="Calibri"/>
          <w:szCs w:val="22"/>
          <w:lang w:eastAsia="en-US"/>
        </w:rPr>
        <w:tab/>
        <w:t>Výkon hĺbkového kyprenia pôdy nad úroveň bežných agrotechnických postupov, tzn. do hĺbky 0,6 m na reálne zhutnených pôdach a na potenciálne zhutnených pôdach. Podmienkou je potvrdenie o zhutnení pôdy vydané príslušnou organizáciou (VÚPOP).</w:t>
      </w:r>
    </w:p>
    <w:p w:rsidR="00204D9D" w:rsidRPr="008676F9" w:rsidRDefault="00204D9D" w:rsidP="00204D9D">
      <w:pPr>
        <w:ind w:left="709" w:hanging="283"/>
        <w:rPr>
          <w:rFonts w:ascii="Calibri" w:eastAsia="Calibri" w:hAnsi="Calibri"/>
          <w:szCs w:val="22"/>
          <w:lang w:eastAsia="en-US"/>
        </w:rPr>
      </w:pPr>
    </w:p>
    <w:p w:rsidR="008676F9" w:rsidRPr="008676F9" w:rsidRDefault="008676F9" w:rsidP="00BE36D5">
      <w:pPr>
        <w:keepNext/>
        <w:keepLines/>
        <w:spacing w:after="200"/>
        <w:outlineLvl w:val="3"/>
        <w:rPr>
          <w:rFonts w:ascii="Calibri" w:hAnsi="Calibri" w:cs="Calibri"/>
          <w:bCs/>
          <w:i/>
          <w:iCs/>
          <w:szCs w:val="22"/>
          <w:u w:val="single"/>
          <w:lang w:eastAsia="en-US"/>
        </w:rPr>
      </w:pPr>
      <w:r w:rsidRPr="008676F9">
        <w:rPr>
          <w:rFonts w:ascii="Calibri" w:hAnsi="Calibri" w:cs="Calibri"/>
          <w:bCs/>
          <w:i/>
          <w:iCs/>
          <w:szCs w:val="22"/>
          <w:u w:val="single"/>
          <w:lang w:eastAsia="en-US"/>
        </w:rPr>
        <w:t>2. Živočíšna  výroba</w:t>
      </w:r>
    </w:p>
    <w:p w:rsidR="008676F9" w:rsidRPr="008676F9" w:rsidRDefault="008676F9" w:rsidP="001F5283">
      <w:pPr>
        <w:numPr>
          <w:ilvl w:val="0"/>
          <w:numId w:val="66"/>
        </w:numPr>
        <w:spacing w:after="200"/>
        <w:ind w:left="426" w:hanging="426"/>
        <w:contextualSpacing/>
        <w:rPr>
          <w:rFonts w:ascii="Calibri" w:hAnsi="Calibri" w:cs="Calibri"/>
          <w:b/>
          <w:bCs/>
          <w:szCs w:val="22"/>
          <w:lang w:eastAsia="en-US"/>
        </w:rPr>
      </w:pPr>
      <w:r w:rsidRPr="008676F9">
        <w:rPr>
          <w:rFonts w:ascii="Calibri" w:hAnsi="Calibri" w:cs="Calibri"/>
          <w:b/>
          <w:bCs/>
          <w:szCs w:val="22"/>
          <w:lang w:eastAsia="en-US"/>
        </w:rPr>
        <w:t>Investície do výstavby, rekonštrukcie a modernizácie objektov</w:t>
      </w:r>
      <w:r w:rsidR="00204D9D">
        <w:rPr>
          <w:rFonts w:ascii="Calibri" w:hAnsi="Calibri" w:cs="Calibri"/>
          <w:b/>
          <w:bCs/>
          <w:szCs w:val="22"/>
          <w:lang w:eastAsia="en-US"/>
        </w:rPr>
        <w:t xml:space="preserve"> vrátane prípravy staveniska</w:t>
      </w:r>
      <w:r w:rsidRPr="008676F9">
        <w:rPr>
          <w:rFonts w:ascii="Calibri" w:hAnsi="Calibri" w:cs="Calibri"/>
          <w:b/>
          <w:bCs/>
          <w:szCs w:val="22"/>
          <w:lang w:eastAsia="en-US"/>
        </w:rPr>
        <w:t>:</w:t>
      </w:r>
    </w:p>
    <w:p w:rsidR="008676F9" w:rsidRPr="008676F9" w:rsidRDefault="008676F9" w:rsidP="001F5283">
      <w:pPr>
        <w:numPr>
          <w:ilvl w:val="0"/>
          <w:numId w:val="95"/>
        </w:numPr>
        <w:spacing w:after="60"/>
        <w:ind w:left="714" w:hanging="357"/>
        <w:rPr>
          <w:rFonts w:ascii="Calibri" w:eastAsia="Calibri" w:hAnsi="Calibri"/>
          <w:szCs w:val="22"/>
          <w:lang w:eastAsia="en-US"/>
        </w:rPr>
      </w:pPr>
      <w:r w:rsidRPr="008676F9">
        <w:rPr>
          <w:rFonts w:ascii="Calibri" w:eastAsia="Calibri" w:hAnsi="Calibri"/>
          <w:szCs w:val="22"/>
          <w:lang w:eastAsia="en-US"/>
        </w:rPr>
        <w:t xml:space="preserve">pre ustajnenie a chov hospodárskych zvierat vrátane výbehov, vodných plôch a budovanie pastevných areálov, prístreškov na pastve a salašov; </w:t>
      </w:r>
    </w:p>
    <w:p w:rsidR="008676F9" w:rsidRPr="008676F9" w:rsidRDefault="008676F9" w:rsidP="001F5283">
      <w:pPr>
        <w:numPr>
          <w:ilvl w:val="0"/>
          <w:numId w:val="95"/>
        </w:numPr>
        <w:spacing w:after="60"/>
        <w:ind w:left="714" w:hanging="357"/>
        <w:rPr>
          <w:rFonts w:ascii="Calibri" w:eastAsia="Calibri" w:hAnsi="Calibri"/>
          <w:szCs w:val="22"/>
          <w:lang w:eastAsia="en-US"/>
        </w:rPr>
      </w:pPr>
      <w:r w:rsidRPr="008676F9">
        <w:rPr>
          <w:rFonts w:ascii="Calibri" w:eastAsia="Calibri" w:hAnsi="Calibri"/>
          <w:szCs w:val="22"/>
          <w:lang w:eastAsia="en-US"/>
        </w:rPr>
        <w:t>administratívne budovy, hygienické zariadenia, šatne pre zamestnancov;</w:t>
      </w:r>
    </w:p>
    <w:p w:rsidR="008676F9" w:rsidRPr="008676F9" w:rsidRDefault="008676F9" w:rsidP="001F5283">
      <w:pPr>
        <w:numPr>
          <w:ilvl w:val="0"/>
          <w:numId w:val="95"/>
        </w:numPr>
        <w:spacing w:after="60"/>
        <w:ind w:left="714" w:hanging="357"/>
        <w:rPr>
          <w:rFonts w:ascii="Calibri" w:eastAsia="Calibri" w:hAnsi="Calibri"/>
          <w:szCs w:val="22"/>
          <w:lang w:eastAsia="en-US"/>
        </w:rPr>
      </w:pPr>
      <w:r w:rsidRPr="008676F9">
        <w:rPr>
          <w:rFonts w:ascii="Calibri" w:eastAsia="Calibri" w:hAnsi="Calibri"/>
          <w:szCs w:val="22"/>
          <w:lang w:eastAsia="en-US"/>
        </w:rPr>
        <w:t>oplôtky, investície do obnovy pasienkového areálu;</w:t>
      </w:r>
    </w:p>
    <w:p w:rsidR="008676F9" w:rsidRPr="008676F9" w:rsidRDefault="008676F9" w:rsidP="001F5283">
      <w:pPr>
        <w:numPr>
          <w:ilvl w:val="0"/>
          <w:numId w:val="95"/>
        </w:numPr>
        <w:spacing w:after="60"/>
        <w:ind w:left="714" w:hanging="357"/>
        <w:rPr>
          <w:rFonts w:ascii="Calibri" w:eastAsia="Calibri" w:hAnsi="Calibri"/>
          <w:szCs w:val="22"/>
          <w:lang w:eastAsia="en-US"/>
        </w:rPr>
      </w:pPr>
      <w:r w:rsidRPr="008676F9">
        <w:rPr>
          <w:rFonts w:ascii="Calibri" w:eastAsia="Calibri" w:hAnsi="Calibri"/>
          <w:szCs w:val="22"/>
          <w:lang w:eastAsia="en-US"/>
        </w:rPr>
        <w:t>pre ustajnenie a chov hospodárskych zvierat s využitím nových technológií na znižovanie emisií skleníkových plynov;</w:t>
      </w:r>
    </w:p>
    <w:p w:rsidR="008676F9" w:rsidRPr="008676F9" w:rsidRDefault="008676F9" w:rsidP="001F5283">
      <w:pPr>
        <w:numPr>
          <w:ilvl w:val="0"/>
          <w:numId w:val="95"/>
        </w:numPr>
        <w:spacing w:after="60"/>
        <w:ind w:left="714" w:hanging="357"/>
        <w:rPr>
          <w:rFonts w:ascii="Calibri" w:eastAsia="Calibri" w:hAnsi="Calibri"/>
          <w:szCs w:val="22"/>
          <w:lang w:eastAsia="en-US"/>
        </w:rPr>
      </w:pPr>
      <w:r w:rsidRPr="008676F9">
        <w:rPr>
          <w:rFonts w:ascii="Calibri" w:eastAsia="Calibri" w:hAnsi="Calibri"/>
          <w:szCs w:val="22"/>
          <w:lang w:eastAsia="en-US"/>
        </w:rPr>
        <w:t>dojární vrátane objektov na prvotné ošetrenie mlieka, laboratória na kontrolu kvality mlieka;</w:t>
      </w:r>
    </w:p>
    <w:p w:rsidR="008676F9" w:rsidRPr="008676F9" w:rsidRDefault="008676F9" w:rsidP="001F5283">
      <w:pPr>
        <w:numPr>
          <w:ilvl w:val="0"/>
          <w:numId w:val="95"/>
        </w:numPr>
        <w:spacing w:after="60"/>
        <w:ind w:left="714" w:hanging="357"/>
        <w:rPr>
          <w:rFonts w:ascii="Calibri" w:eastAsia="Calibri" w:hAnsi="Calibri"/>
          <w:szCs w:val="22"/>
          <w:lang w:eastAsia="en-US"/>
        </w:rPr>
      </w:pPr>
      <w:r w:rsidRPr="008676F9">
        <w:rPr>
          <w:rFonts w:ascii="Calibri" w:eastAsia="Calibri" w:hAnsi="Calibri"/>
          <w:szCs w:val="22"/>
          <w:lang w:eastAsia="en-US"/>
        </w:rPr>
        <w:t>liahní a doliahní;</w:t>
      </w:r>
    </w:p>
    <w:p w:rsidR="008676F9" w:rsidRPr="008676F9" w:rsidRDefault="008676F9" w:rsidP="001F5283">
      <w:pPr>
        <w:numPr>
          <w:ilvl w:val="0"/>
          <w:numId w:val="95"/>
        </w:numPr>
        <w:spacing w:after="60"/>
        <w:ind w:left="714" w:hanging="357"/>
        <w:rPr>
          <w:rFonts w:ascii="Calibri" w:eastAsia="Calibri" w:hAnsi="Calibri"/>
          <w:szCs w:val="22"/>
          <w:lang w:eastAsia="en-US"/>
        </w:rPr>
      </w:pPr>
      <w:r w:rsidRPr="008676F9">
        <w:rPr>
          <w:rFonts w:ascii="Calibri" w:eastAsia="Calibri" w:hAnsi="Calibri"/>
          <w:szCs w:val="22"/>
          <w:lang w:eastAsia="en-US"/>
        </w:rPr>
        <w:t>medární;</w:t>
      </w:r>
    </w:p>
    <w:p w:rsidR="008676F9" w:rsidRPr="008676F9" w:rsidRDefault="008676F9" w:rsidP="001F5283">
      <w:pPr>
        <w:numPr>
          <w:ilvl w:val="0"/>
          <w:numId w:val="95"/>
        </w:numPr>
        <w:spacing w:after="60"/>
        <w:ind w:left="714" w:hanging="357"/>
        <w:rPr>
          <w:rFonts w:ascii="Calibri" w:eastAsia="Calibri" w:hAnsi="Calibri"/>
          <w:szCs w:val="22"/>
          <w:lang w:eastAsia="en-US"/>
        </w:rPr>
      </w:pPr>
      <w:r w:rsidRPr="008676F9">
        <w:rPr>
          <w:rFonts w:ascii="Calibri" w:eastAsia="Calibri" w:hAnsi="Calibri"/>
          <w:szCs w:val="22"/>
          <w:lang w:eastAsia="en-US"/>
        </w:rPr>
        <w:t>na uskladnenie krmív, stelív;</w:t>
      </w:r>
    </w:p>
    <w:p w:rsidR="008676F9" w:rsidRPr="008676F9" w:rsidRDefault="008676F9" w:rsidP="001F5283">
      <w:pPr>
        <w:numPr>
          <w:ilvl w:val="0"/>
          <w:numId w:val="95"/>
        </w:numPr>
        <w:spacing w:after="60"/>
        <w:ind w:left="714" w:hanging="357"/>
        <w:rPr>
          <w:rFonts w:ascii="Calibri" w:eastAsia="Calibri" w:hAnsi="Calibri"/>
          <w:szCs w:val="22"/>
          <w:lang w:eastAsia="en-US"/>
        </w:rPr>
      </w:pPr>
      <w:r w:rsidRPr="008676F9">
        <w:rPr>
          <w:rFonts w:ascii="Calibri" w:eastAsia="Calibri" w:hAnsi="Calibri"/>
          <w:szCs w:val="22"/>
          <w:lang w:eastAsia="en-US"/>
        </w:rPr>
        <w:t>na uskladnenie, chladenie, balenie</w:t>
      </w:r>
      <w:r w:rsidR="00204D9D">
        <w:rPr>
          <w:rFonts w:ascii="Calibri" w:eastAsia="Calibri" w:hAnsi="Calibri"/>
          <w:szCs w:val="22"/>
          <w:lang w:eastAsia="en-US"/>
        </w:rPr>
        <w:t>, označovanie</w:t>
      </w:r>
      <w:r w:rsidRPr="008676F9">
        <w:rPr>
          <w:rFonts w:ascii="Calibri" w:eastAsia="Calibri" w:hAnsi="Calibri"/>
          <w:szCs w:val="22"/>
          <w:lang w:eastAsia="en-US"/>
        </w:rPr>
        <w:t xml:space="preserve"> a manipuláciu s mliekom, mäsom, vajcami a medom;</w:t>
      </w:r>
    </w:p>
    <w:p w:rsidR="008676F9" w:rsidRPr="008676F9" w:rsidRDefault="008676F9" w:rsidP="001F5283">
      <w:pPr>
        <w:numPr>
          <w:ilvl w:val="0"/>
          <w:numId w:val="95"/>
        </w:numPr>
        <w:spacing w:after="60"/>
        <w:ind w:left="714" w:hanging="357"/>
        <w:rPr>
          <w:rFonts w:ascii="Calibri" w:eastAsia="Calibri" w:hAnsi="Calibri"/>
          <w:szCs w:val="22"/>
          <w:lang w:eastAsia="en-US"/>
        </w:rPr>
      </w:pPr>
      <w:r w:rsidRPr="008676F9">
        <w:rPr>
          <w:rFonts w:ascii="Calibri" w:eastAsia="Calibri" w:hAnsi="Calibri"/>
          <w:szCs w:val="22"/>
          <w:lang w:eastAsia="en-US"/>
        </w:rPr>
        <w:t>na uskladnenie a ošetrenie manipulačnej techniky;</w:t>
      </w:r>
    </w:p>
    <w:p w:rsidR="008676F9" w:rsidRPr="008676F9" w:rsidRDefault="008676F9" w:rsidP="001F5283">
      <w:pPr>
        <w:numPr>
          <w:ilvl w:val="0"/>
          <w:numId w:val="95"/>
        </w:numPr>
        <w:spacing w:after="60"/>
        <w:ind w:left="714" w:hanging="357"/>
        <w:rPr>
          <w:rFonts w:ascii="Calibri" w:eastAsia="Calibri" w:hAnsi="Calibri"/>
          <w:szCs w:val="22"/>
          <w:lang w:eastAsia="en-US"/>
        </w:rPr>
      </w:pPr>
      <w:r w:rsidRPr="008676F9">
        <w:rPr>
          <w:rFonts w:ascii="Calibri" w:eastAsia="Calibri" w:hAnsi="Calibri"/>
          <w:szCs w:val="22"/>
          <w:lang w:eastAsia="en-US"/>
        </w:rPr>
        <w:t>na bezpečné uskladnenie a spracovanie odpadovej vody a biologického odpadu (výstavba hnojísk, uskladňovacích nádrží alebo žúmp);</w:t>
      </w:r>
    </w:p>
    <w:p w:rsidR="008676F9" w:rsidRPr="008676F9" w:rsidRDefault="008676F9" w:rsidP="001F5283">
      <w:pPr>
        <w:numPr>
          <w:ilvl w:val="0"/>
          <w:numId w:val="95"/>
        </w:numPr>
        <w:spacing w:after="60"/>
        <w:ind w:left="714" w:hanging="357"/>
        <w:rPr>
          <w:rFonts w:ascii="Calibri" w:eastAsia="Calibri" w:hAnsi="Calibri"/>
          <w:szCs w:val="22"/>
          <w:lang w:eastAsia="en-US"/>
        </w:rPr>
      </w:pPr>
      <w:r w:rsidRPr="008676F9">
        <w:rPr>
          <w:rFonts w:ascii="Calibri" w:eastAsia="Calibri" w:hAnsi="Calibri"/>
          <w:szCs w:val="22"/>
          <w:lang w:eastAsia="en-US"/>
        </w:rPr>
        <w:t>čistiarní odpadových vôd;</w:t>
      </w:r>
    </w:p>
    <w:p w:rsidR="008676F9" w:rsidRPr="008676F9" w:rsidRDefault="008676F9" w:rsidP="001F5283">
      <w:pPr>
        <w:numPr>
          <w:ilvl w:val="0"/>
          <w:numId w:val="95"/>
        </w:numPr>
        <w:spacing w:after="120"/>
        <w:ind w:left="714" w:hanging="357"/>
        <w:rPr>
          <w:rFonts w:ascii="Calibri" w:eastAsia="Calibri" w:hAnsi="Calibri"/>
          <w:szCs w:val="22"/>
          <w:lang w:eastAsia="en-US"/>
        </w:rPr>
      </w:pPr>
      <w:r w:rsidRPr="008676F9">
        <w:rPr>
          <w:rFonts w:ascii="Calibri" w:eastAsia="Calibri" w:hAnsi="Calibri"/>
          <w:szCs w:val="22"/>
          <w:lang w:eastAsia="en-US"/>
        </w:rPr>
        <w:t>na priamy predaj vlastnej produkcie priamo v areáli podniku.</w:t>
      </w:r>
    </w:p>
    <w:p w:rsidR="008676F9" w:rsidRPr="008676F9" w:rsidRDefault="008676F9" w:rsidP="001F5283">
      <w:pPr>
        <w:numPr>
          <w:ilvl w:val="0"/>
          <w:numId w:val="66"/>
        </w:numPr>
        <w:spacing w:after="200"/>
        <w:ind w:left="284" w:hanging="284"/>
        <w:contextualSpacing/>
        <w:rPr>
          <w:rFonts w:ascii="Calibri" w:hAnsi="Calibri"/>
          <w:szCs w:val="22"/>
          <w:lang w:eastAsia="en-US"/>
        </w:rPr>
      </w:pPr>
      <w:r w:rsidRPr="008676F9">
        <w:rPr>
          <w:rFonts w:ascii="Calibri" w:hAnsi="Calibri" w:cs="Calibri"/>
          <w:b/>
          <w:bCs/>
          <w:szCs w:val="22"/>
          <w:lang w:eastAsia="en-US"/>
        </w:rPr>
        <w:t>Investície do obstarania technického a technologického vybavenia vrátane špeciálnych strojov a náradia:</w:t>
      </w:r>
    </w:p>
    <w:p w:rsidR="008676F9" w:rsidRPr="008676F9" w:rsidRDefault="008676F9" w:rsidP="001F5283">
      <w:pPr>
        <w:numPr>
          <w:ilvl w:val="0"/>
          <w:numId w:val="96"/>
        </w:numPr>
        <w:tabs>
          <w:tab w:val="num" w:pos="284"/>
        </w:tabs>
        <w:spacing w:after="60"/>
        <w:ind w:left="714" w:hanging="357"/>
        <w:rPr>
          <w:rFonts w:ascii="Calibri" w:hAnsi="Calibri" w:cs="Calibri"/>
          <w:szCs w:val="22"/>
          <w:lang w:eastAsia="en-US"/>
        </w:rPr>
      </w:pPr>
      <w:r w:rsidRPr="008676F9">
        <w:rPr>
          <w:rFonts w:ascii="Calibri" w:hAnsi="Calibri" w:cs="Calibri"/>
          <w:szCs w:val="22"/>
          <w:lang w:eastAsia="en-US"/>
        </w:rPr>
        <w:t>pre chov a starostlivosť o hospodárske zvieratá;</w:t>
      </w:r>
    </w:p>
    <w:p w:rsidR="008676F9" w:rsidRPr="008676F9" w:rsidRDefault="008676F9" w:rsidP="001F5283">
      <w:pPr>
        <w:numPr>
          <w:ilvl w:val="0"/>
          <w:numId w:val="96"/>
        </w:numPr>
        <w:tabs>
          <w:tab w:val="num" w:pos="284"/>
        </w:tabs>
        <w:spacing w:after="60"/>
        <w:ind w:left="714" w:hanging="357"/>
        <w:rPr>
          <w:rFonts w:ascii="Calibri" w:hAnsi="Calibri" w:cs="Calibri"/>
          <w:szCs w:val="22"/>
          <w:lang w:eastAsia="en-US"/>
        </w:rPr>
      </w:pPr>
      <w:r w:rsidRPr="008676F9">
        <w:rPr>
          <w:rFonts w:ascii="Calibri" w:hAnsi="Calibri" w:cs="Calibri"/>
          <w:szCs w:val="22"/>
          <w:lang w:eastAsia="en-US"/>
        </w:rPr>
        <w:t>na zariadenia na manipuláciu a prepravu hospodárskych zvierat;</w:t>
      </w:r>
    </w:p>
    <w:p w:rsidR="008676F9" w:rsidRPr="008676F9" w:rsidRDefault="008676F9" w:rsidP="001F5283">
      <w:pPr>
        <w:numPr>
          <w:ilvl w:val="0"/>
          <w:numId w:val="96"/>
        </w:numPr>
        <w:tabs>
          <w:tab w:val="num" w:pos="284"/>
        </w:tabs>
        <w:spacing w:after="60"/>
        <w:ind w:left="714" w:hanging="357"/>
        <w:rPr>
          <w:rFonts w:ascii="Calibri" w:hAnsi="Calibri" w:cs="Calibri"/>
          <w:szCs w:val="22"/>
          <w:lang w:eastAsia="en-US"/>
        </w:rPr>
      </w:pPr>
      <w:r w:rsidRPr="008676F9">
        <w:rPr>
          <w:rFonts w:ascii="Calibri" w:hAnsi="Calibri" w:cs="Calibri"/>
          <w:szCs w:val="22"/>
          <w:lang w:eastAsia="en-US"/>
        </w:rPr>
        <w:t>na technologické vybavenie inseminačných a reprodukčných centier vrátane liahní (s klimatizáciou);</w:t>
      </w:r>
    </w:p>
    <w:p w:rsidR="008676F9" w:rsidRPr="008676F9" w:rsidRDefault="008676F9" w:rsidP="001F5283">
      <w:pPr>
        <w:numPr>
          <w:ilvl w:val="0"/>
          <w:numId w:val="96"/>
        </w:numPr>
        <w:tabs>
          <w:tab w:val="num" w:pos="284"/>
        </w:tabs>
        <w:spacing w:after="60"/>
        <w:ind w:left="714" w:hanging="357"/>
        <w:rPr>
          <w:rFonts w:ascii="Calibri" w:hAnsi="Calibri" w:cs="Calibri"/>
          <w:szCs w:val="22"/>
          <w:lang w:eastAsia="en-US"/>
        </w:rPr>
      </w:pPr>
      <w:r w:rsidRPr="008676F9">
        <w:rPr>
          <w:rFonts w:ascii="Calibri" w:hAnsi="Calibri" w:cs="Calibri"/>
          <w:szCs w:val="22"/>
          <w:lang w:eastAsia="en-US"/>
        </w:rPr>
        <w:t>na uskladnenie a manipuláciu s krmivami a stelivami;</w:t>
      </w:r>
    </w:p>
    <w:p w:rsidR="008676F9" w:rsidRPr="008676F9" w:rsidRDefault="008676F9" w:rsidP="001F5283">
      <w:pPr>
        <w:numPr>
          <w:ilvl w:val="0"/>
          <w:numId w:val="96"/>
        </w:numPr>
        <w:tabs>
          <w:tab w:val="num" w:pos="284"/>
        </w:tabs>
        <w:spacing w:after="60"/>
        <w:ind w:left="714" w:hanging="357"/>
        <w:rPr>
          <w:rFonts w:ascii="Calibri" w:hAnsi="Calibri" w:cs="Calibri"/>
          <w:szCs w:val="22"/>
          <w:lang w:eastAsia="en-US"/>
        </w:rPr>
      </w:pPr>
      <w:r w:rsidRPr="008676F9">
        <w:rPr>
          <w:rFonts w:ascii="Calibri" w:hAnsi="Calibri" w:cs="Calibri"/>
          <w:szCs w:val="22"/>
          <w:lang w:eastAsia="en-US"/>
        </w:rPr>
        <w:t>na zariadenia na výrobu kŕmnych zmesí;</w:t>
      </w:r>
    </w:p>
    <w:p w:rsidR="008676F9" w:rsidRPr="008676F9" w:rsidRDefault="008676F9" w:rsidP="001F5283">
      <w:pPr>
        <w:numPr>
          <w:ilvl w:val="0"/>
          <w:numId w:val="96"/>
        </w:numPr>
        <w:tabs>
          <w:tab w:val="num" w:pos="284"/>
        </w:tabs>
        <w:spacing w:after="60"/>
        <w:ind w:left="714" w:hanging="357"/>
        <w:rPr>
          <w:rFonts w:ascii="Calibri" w:hAnsi="Calibri" w:cs="Calibri"/>
          <w:szCs w:val="22"/>
          <w:lang w:eastAsia="en-US"/>
        </w:rPr>
      </w:pPr>
      <w:r w:rsidRPr="008676F9">
        <w:rPr>
          <w:rFonts w:ascii="Calibri" w:hAnsi="Calibri" w:cs="Calibri"/>
          <w:szCs w:val="22"/>
          <w:lang w:eastAsia="en-US"/>
        </w:rPr>
        <w:t>na výkrm s moderným počítačovým riadením;</w:t>
      </w:r>
    </w:p>
    <w:p w:rsidR="008676F9" w:rsidRPr="008676F9" w:rsidRDefault="008676F9" w:rsidP="001F5283">
      <w:pPr>
        <w:numPr>
          <w:ilvl w:val="0"/>
          <w:numId w:val="96"/>
        </w:numPr>
        <w:tabs>
          <w:tab w:val="num" w:pos="284"/>
        </w:tabs>
        <w:spacing w:after="60"/>
        <w:ind w:left="714" w:hanging="357"/>
        <w:rPr>
          <w:rFonts w:ascii="Calibri" w:hAnsi="Calibri" w:cs="Calibri"/>
          <w:szCs w:val="22"/>
          <w:lang w:eastAsia="en-US"/>
        </w:rPr>
      </w:pPr>
      <w:r w:rsidRPr="008676F9">
        <w:rPr>
          <w:rFonts w:ascii="Calibri" w:hAnsi="Calibri" w:cs="Calibri"/>
          <w:szCs w:val="22"/>
          <w:lang w:eastAsia="en-US"/>
        </w:rPr>
        <w:t>na technológie dojenia;</w:t>
      </w:r>
    </w:p>
    <w:p w:rsidR="008676F9" w:rsidRPr="008676F9" w:rsidRDefault="008676F9" w:rsidP="001F5283">
      <w:pPr>
        <w:numPr>
          <w:ilvl w:val="0"/>
          <w:numId w:val="96"/>
        </w:numPr>
        <w:spacing w:after="60"/>
        <w:ind w:left="714" w:hanging="357"/>
        <w:rPr>
          <w:rFonts w:ascii="Calibri" w:hAnsi="Calibri" w:cs="Calibri"/>
          <w:szCs w:val="22"/>
          <w:lang w:eastAsia="en-US"/>
        </w:rPr>
      </w:pPr>
      <w:r w:rsidRPr="008676F9">
        <w:rPr>
          <w:rFonts w:ascii="Calibri" w:hAnsi="Calibri" w:cs="Calibri"/>
          <w:szCs w:val="22"/>
          <w:lang w:eastAsia="en-US"/>
        </w:rPr>
        <w:t>na uskladnenie, chladenie, balenie a manipuláciu s mliekom, mäsom, vajcami a medom;</w:t>
      </w:r>
    </w:p>
    <w:p w:rsidR="008676F9" w:rsidRPr="008676F9" w:rsidRDefault="008676F9" w:rsidP="001F5283">
      <w:pPr>
        <w:numPr>
          <w:ilvl w:val="0"/>
          <w:numId w:val="96"/>
        </w:numPr>
        <w:tabs>
          <w:tab w:val="num" w:pos="284"/>
        </w:tabs>
        <w:spacing w:after="60"/>
        <w:ind w:left="714" w:hanging="357"/>
        <w:rPr>
          <w:rFonts w:ascii="Calibri" w:hAnsi="Calibri" w:cs="Calibri"/>
          <w:szCs w:val="22"/>
          <w:lang w:eastAsia="en-US"/>
        </w:rPr>
      </w:pPr>
      <w:r w:rsidRPr="008676F9">
        <w:rPr>
          <w:rFonts w:ascii="Calibri" w:hAnsi="Calibri" w:cs="Calibri"/>
          <w:szCs w:val="22"/>
          <w:lang w:eastAsia="en-US"/>
        </w:rPr>
        <w:t>na uskladnenie, manipuláciu a likvidáciu vedľajších produktov živočíšnej výroby a exkrementov hospodárskych zvierat a na bezpečnú likvidáciu uhynutých zvierat (vlastnej produkcie);</w:t>
      </w:r>
    </w:p>
    <w:p w:rsidR="008676F9" w:rsidRPr="008676F9" w:rsidRDefault="008676F9" w:rsidP="001F5283">
      <w:pPr>
        <w:numPr>
          <w:ilvl w:val="0"/>
          <w:numId w:val="96"/>
        </w:numPr>
        <w:spacing w:after="60"/>
        <w:ind w:left="714" w:hanging="357"/>
        <w:rPr>
          <w:rFonts w:ascii="Calibri" w:eastAsia="Calibri" w:hAnsi="Calibri"/>
          <w:szCs w:val="22"/>
          <w:lang w:eastAsia="en-US"/>
        </w:rPr>
      </w:pPr>
      <w:r w:rsidRPr="008676F9">
        <w:rPr>
          <w:rFonts w:ascii="Calibri" w:eastAsia="Calibri" w:hAnsi="Calibri"/>
          <w:szCs w:val="22"/>
          <w:lang w:eastAsia="en-US"/>
        </w:rPr>
        <w:t>čistiarní odpadových vôd, umývacích rámp a zlepšenie kvalitatívnych a kvantitatívnych parametrov výlučne pre potreby podniku;</w:t>
      </w:r>
    </w:p>
    <w:p w:rsidR="008676F9" w:rsidRPr="008676F9" w:rsidRDefault="008676F9" w:rsidP="001F5283">
      <w:pPr>
        <w:numPr>
          <w:ilvl w:val="0"/>
          <w:numId w:val="96"/>
        </w:numPr>
        <w:spacing w:after="60"/>
        <w:ind w:left="714" w:hanging="357"/>
        <w:rPr>
          <w:rFonts w:ascii="Calibri" w:eastAsia="Calibri" w:hAnsi="Calibri"/>
          <w:szCs w:val="22"/>
          <w:lang w:eastAsia="en-US"/>
        </w:rPr>
      </w:pPr>
      <w:r w:rsidRPr="008676F9">
        <w:rPr>
          <w:rFonts w:ascii="Calibri" w:eastAsia="Calibri" w:hAnsi="Calibri"/>
          <w:szCs w:val="22"/>
          <w:lang w:eastAsia="en-US"/>
        </w:rPr>
        <w:t>nákladné automobily a prívesy (návesy) špecializované na prepravu zvierat;</w:t>
      </w:r>
    </w:p>
    <w:p w:rsidR="008676F9" w:rsidRPr="008676F9" w:rsidRDefault="008676F9" w:rsidP="001F5283">
      <w:pPr>
        <w:numPr>
          <w:ilvl w:val="0"/>
          <w:numId w:val="96"/>
        </w:numPr>
        <w:spacing w:after="60"/>
        <w:ind w:left="714" w:hanging="357"/>
        <w:rPr>
          <w:rFonts w:ascii="Calibri" w:eastAsia="Calibri" w:hAnsi="Calibri"/>
          <w:szCs w:val="22"/>
          <w:lang w:eastAsia="en-US"/>
        </w:rPr>
      </w:pPr>
      <w:r w:rsidRPr="008676F9">
        <w:rPr>
          <w:rFonts w:ascii="Calibri" w:eastAsia="Calibri" w:hAnsi="Calibri"/>
          <w:szCs w:val="22"/>
          <w:lang w:eastAsia="en-US"/>
        </w:rPr>
        <w:t>nákladné automobily s klimatizovanou izotermickou nadstavbou (aj nad 3.5 t);</w:t>
      </w:r>
    </w:p>
    <w:p w:rsidR="008676F9" w:rsidRPr="008676F9" w:rsidRDefault="008676F9" w:rsidP="001F5283">
      <w:pPr>
        <w:numPr>
          <w:ilvl w:val="0"/>
          <w:numId w:val="96"/>
        </w:numPr>
        <w:spacing w:after="60"/>
        <w:ind w:left="714" w:hanging="357"/>
        <w:rPr>
          <w:rFonts w:ascii="Calibri" w:eastAsia="Calibri" w:hAnsi="Calibri"/>
          <w:szCs w:val="22"/>
          <w:lang w:eastAsia="en-US"/>
        </w:rPr>
      </w:pPr>
      <w:r w:rsidRPr="008676F9">
        <w:rPr>
          <w:rFonts w:ascii="Calibri" w:eastAsia="Calibri" w:hAnsi="Calibri"/>
          <w:szCs w:val="22"/>
          <w:lang w:eastAsia="en-US"/>
        </w:rPr>
        <w:t>nakladače, kŕmne vozy, automobily upravené na aplikáciu hnoja alebo hnojovice (fekálne vozy a cisterny);</w:t>
      </w:r>
    </w:p>
    <w:p w:rsidR="008676F9" w:rsidRPr="008676F9" w:rsidRDefault="008676F9" w:rsidP="001F5283">
      <w:pPr>
        <w:numPr>
          <w:ilvl w:val="0"/>
          <w:numId w:val="96"/>
        </w:numPr>
        <w:spacing w:after="60"/>
        <w:ind w:left="714" w:hanging="357"/>
        <w:rPr>
          <w:rFonts w:ascii="Calibri" w:eastAsia="Calibri" w:hAnsi="Calibri"/>
          <w:szCs w:val="22"/>
          <w:lang w:eastAsia="en-US"/>
        </w:rPr>
      </w:pPr>
      <w:r w:rsidRPr="008676F9">
        <w:rPr>
          <w:rFonts w:ascii="Calibri" w:eastAsia="Calibri" w:hAnsi="Calibri"/>
          <w:szCs w:val="22"/>
          <w:lang w:eastAsia="en-US"/>
        </w:rPr>
        <w:t>univerzálne podvozky určené k preprave špeciálnych nadstavieb vrátane obstarania týchto nadstavieb;</w:t>
      </w:r>
    </w:p>
    <w:p w:rsidR="008676F9" w:rsidRPr="008676F9" w:rsidRDefault="008676F9" w:rsidP="001F5283">
      <w:pPr>
        <w:numPr>
          <w:ilvl w:val="0"/>
          <w:numId w:val="96"/>
        </w:numPr>
        <w:spacing w:after="60"/>
        <w:ind w:left="714" w:hanging="357"/>
        <w:rPr>
          <w:rFonts w:ascii="Calibri" w:eastAsia="Calibri" w:hAnsi="Calibri"/>
          <w:szCs w:val="22"/>
          <w:lang w:eastAsia="en-US"/>
        </w:rPr>
      </w:pPr>
      <w:r w:rsidRPr="008676F9">
        <w:rPr>
          <w:rFonts w:ascii="Calibri" w:eastAsia="Calibri" w:hAnsi="Calibri"/>
          <w:szCs w:val="22"/>
          <w:lang w:eastAsia="en-US"/>
        </w:rPr>
        <w:t>inovatívne špeciálne stroje v súvislosti so živočíšnou výrobou</w:t>
      </w:r>
      <w:r w:rsidR="00204D9D">
        <w:rPr>
          <w:rFonts w:ascii="Calibri" w:eastAsia="Calibri" w:hAnsi="Calibri"/>
          <w:szCs w:val="22"/>
          <w:lang w:eastAsia="en-US"/>
        </w:rPr>
        <w:t>, špeciálne zariadenia na zber živej hydiny</w:t>
      </w:r>
      <w:r w:rsidRPr="008676F9">
        <w:rPr>
          <w:rFonts w:ascii="Calibri" w:eastAsia="Calibri" w:hAnsi="Calibri"/>
          <w:szCs w:val="22"/>
          <w:lang w:eastAsia="en-US"/>
        </w:rPr>
        <w:t>;</w:t>
      </w:r>
    </w:p>
    <w:p w:rsidR="008676F9" w:rsidRPr="008676F9" w:rsidRDefault="008676F9" w:rsidP="001F5283">
      <w:pPr>
        <w:numPr>
          <w:ilvl w:val="0"/>
          <w:numId w:val="96"/>
        </w:numPr>
        <w:spacing w:after="60"/>
        <w:ind w:left="714" w:hanging="357"/>
        <w:rPr>
          <w:rFonts w:ascii="Calibri" w:eastAsia="Calibri" w:hAnsi="Calibri"/>
          <w:szCs w:val="22"/>
          <w:lang w:eastAsia="en-US"/>
        </w:rPr>
      </w:pPr>
      <w:r w:rsidRPr="008676F9">
        <w:rPr>
          <w:rFonts w:ascii="Calibri" w:eastAsia="Calibri" w:hAnsi="Calibri"/>
          <w:szCs w:val="22"/>
          <w:lang w:eastAsia="en-US"/>
        </w:rPr>
        <w:t>zriadenie vnútropodnikových počítačových sietí, programové a počítačové vybavenie a zriadenie prístupu na internet len ak ide o investície do nových technológií v oblasti živočíšnej výroby;</w:t>
      </w:r>
    </w:p>
    <w:p w:rsidR="008676F9" w:rsidRPr="008676F9" w:rsidRDefault="008676F9" w:rsidP="001F5283">
      <w:pPr>
        <w:numPr>
          <w:ilvl w:val="0"/>
          <w:numId w:val="96"/>
        </w:numPr>
        <w:spacing w:after="60"/>
        <w:ind w:left="714" w:hanging="357"/>
        <w:rPr>
          <w:rFonts w:ascii="Calibri" w:eastAsia="Calibri" w:hAnsi="Calibri"/>
          <w:szCs w:val="22"/>
          <w:lang w:eastAsia="en-US"/>
        </w:rPr>
      </w:pPr>
      <w:r w:rsidRPr="008676F9">
        <w:rPr>
          <w:rFonts w:ascii="Calibri" w:eastAsia="Calibri" w:hAnsi="Calibri"/>
          <w:szCs w:val="22"/>
          <w:lang w:eastAsia="en-US"/>
        </w:rPr>
        <w:t xml:space="preserve">na </w:t>
      </w:r>
      <w:r w:rsidR="00C83A6A">
        <w:rPr>
          <w:rFonts w:ascii="Calibri" w:eastAsia="Calibri" w:hAnsi="Calibri"/>
          <w:szCs w:val="22"/>
          <w:lang w:eastAsia="en-US"/>
        </w:rPr>
        <w:t xml:space="preserve">manipuláciu s </w:t>
      </w:r>
      <w:r w:rsidRPr="008676F9">
        <w:rPr>
          <w:rFonts w:ascii="Calibri" w:eastAsia="Calibri" w:hAnsi="Calibri"/>
          <w:szCs w:val="22"/>
          <w:lang w:eastAsia="en-US"/>
        </w:rPr>
        <w:t>debničk</w:t>
      </w:r>
      <w:r w:rsidR="00C83A6A">
        <w:rPr>
          <w:rFonts w:ascii="Calibri" w:eastAsia="Calibri" w:hAnsi="Calibri"/>
          <w:szCs w:val="22"/>
          <w:lang w:eastAsia="en-US"/>
        </w:rPr>
        <w:t>ami</w:t>
      </w:r>
      <w:r w:rsidRPr="008676F9">
        <w:rPr>
          <w:rFonts w:ascii="Calibri" w:eastAsia="Calibri" w:hAnsi="Calibri"/>
          <w:szCs w:val="22"/>
          <w:lang w:eastAsia="en-US"/>
        </w:rPr>
        <w:t>, palet</w:t>
      </w:r>
      <w:r w:rsidR="00C83A6A">
        <w:rPr>
          <w:rFonts w:ascii="Calibri" w:eastAsia="Calibri" w:hAnsi="Calibri"/>
          <w:szCs w:val="22"/>
          <w:lang w:eastAsia="en-US"/>
        </w:rPr>
        <w:t>ami</w:t>
      </w:r>
      <w:r w:rsidRPr="008676F9">
        <w:rPr>
          <w:rFonts w:ascii="Calibri" w:eastAsia="Calibri" w:hAnsi="Calibri"/>
          <w:szCs w:val="22"/>
          <w:lang w:eastAsia="en-US"/>
        </w:rPr>
        <w:t>, chladiace boxy a</w:t>
      </w:r>
      <w:r w:rsidR="00C83A6A">
        <w:rPr>
          <w:rFonts w:ascii="Calibri" w:eastAsia="Calibri" w:hAnsi="Calibri"/>
          <w:szCs w:val="22"/>
          <w:lang w:eastAsia="en-US"/>
        </w:rPr>
        <w:t xml:space="preserve"> iné</w:t>
      </w:r>
      <w:r w:rsidRPr="008676F9">
        <w:rPr>
          <w:rFonts w:ascii="Calibri" w:eastAsia="Calibri" w:hAnsi="Calibri"/>
          <w:szCs w:val="22"/>
          <w:lang w:eastAsia="en-US"/>
        </w:rPr>
        <w:t> manipulačné prostriedky;</w:t>
      </w:r>
    </w:p>
    <w:p w:rsidR="008676F9" w:rsidRPr="008676F9" w:rsidRDefault="008676F9" w:rsidP="001F5283">
      <w:pPr>
        <w:numPr>
          <w:ilvl w:val="0"/>
          <w:numId w:val="96"/>
        </w:numPr>
        <w:spacing w:after="120"/>
        <w:ind w:left="714" w:hanging="357"/>
        <w:rPr>
          <w:rFonts w:ascii="Calibri" w:eastAsia="Calibri" w:hAnsi="Calibri"/>
          <w:szCs w:val="22"/>
          <w:lang w:eastAsia="en-US"/>
        </w:rPr>
      </w:pPr>
      <w:r w:rsidRPr="008676F9">
        <w:rPr>
          <w:rFonts w:ascii="Calibri" w:eastAsia="Calibri" w:hAnsi="Calibri"/>
          <w:szCs w:val="22"/>
          <w:lang w:eastAsia="en-US"/>
        </w:rPr>
        <w:t>na priamy predaj vlastnej produkcie priamo v areáli podniku.</w:t>
      </w:r>
    </w:p>
    <w:p w:rsidR="008676F9" w:rsidRPr="008676F9" w:rsidRDefault="008676F9" w:rsidP="00D40112">
      <w:pPr>
        <w:tabs>
          <w:tab w:val="num" w:pos="284"/>
        </w:tabs>
        <w:ind w:left="284" w:hanging="284"/>
        <w:rPr>
          <w:rFonts w:ascii="Calibri" w:eastAsia="Calibri" w:hAnsi="Calibri" w:cs="Calibri"/>
          <w:szCs w:val="22"/>
          <w:lang w:eastAsia="en-US"/>
        </w:rPr>
      </w:pPr>
    </w:p>
    <w:p w:rsidR="008676F9" w:rsidRPr="008676F9" w:rsidRDefault="008676F9" w:rsidP="00BE36D5">
      <w:pPr>
        <w:keepNext/>
        <w:keepLines/>
        <w:spacing w:after="120"/>
        <w:outlineLvl w:val="3"/>
        <w:rPr>
          <w:rFonts w:ascii="Calibri" w:hAnsi="Calibri" w:cs="Calibri"/>
          <w:bCs/>
          <w:i/>
          <w:iCs/>
          <w:szCs w:val="22"/>
          <w:u w:val="single"/>
          <w:lang w:eastAsia="en-US"/>
        </w:rPr>
      </w:pPr>
      <w:r w:rsidRPr="008676F9">
        <w:rPr>
          <w:rFonts w:ascii="Calibri" w:hAnsi="Calibri" w:cs="Calibri"/>
          <w:bCs/>
          <w:i/>
          <w:iCs/>
          <w:szCs w:val="22"/>
          <w:u w:val="single"/>
          <w:lang w:eastAsia="en-US"/>
        </w:rPr>
        <w:t>3. Diverzifikácia poľnohospodárskych činností</w:t>
      </w:r>
    </w:p>
    <w:p w:rsidR="00204D9D" w:rsidRPr="00204D9D" w:rsidRDefault="008676F9" w:rsidP="00955DA4">
      <w:pPr>
        <w:numPr>
          <w:ilvl w:val="0"/>
          <w:numId w:val="202"/>
        </w:numPr>
        <w:spacing w:after="120"/>
        <w:ind w:left="714" w:hanging="357"/>
        <w:rPr>
          <w:rFonts w:ascii="Calibri" w:eastAsia="Calibri" w:hAnsi="Calibri" w:cs="Calibri"/>
          <w:b/>
          <w:szCs w:val="22"/>
          <w:u w:val="single"/>
          <w:lang w:eastAsia="en-US"/>
        </w:rPr>
      </w:pPr>
      <w:r w:rsidRPr="00204D9D">
        <w:rPr>
          <w:rFonts w:ascii="Calibri" w:eastAsia="Calibri" w:hAnsi="Calibri" w:cs="Calibri"/>
          <w:b/>
          <w:szCs w:val="22"/>
          <w:lang w:eastAsia="en-US"/>
        </w:rPr>
        <w:t xml:space="preserve">Investície do výstavby, rekonštrukcie a modernizácie objektov a do obstarania technického a technologického vybavenia vrátane špeciálnych strojov a náradia: </w:t>
      </w:r>
      <w:r w:rsidRPr="00204D9D">
        <w:rPr>
          <w:rFonts w:ascii="Calibri" w:eastAsia="Calibri" w:hAnsi="Calibri" w:cs="Calibri"/>
          <w:szCs w:val="22"/>
          <w:lang w:eastAsia="en-US"/>
        </w:rPr>
        <w:t xml:space="preserve">na diverzifikáciu poľnohospodárskych činností alebo služieb smerom k spracovaniu poľnohospodárskych produktov, na ktoré sa vzťahuje príloha I ZFEÚ, pričom podiel vstupov do spracovania musí nad 50% pochádzať z vlastnej poľnohospodárskej prvovýroby. </w:t>
      </w:r>
    </w:p>
    <w:p w:rsidR="00DA4E63" w:rsidRPr="00204D9D" w:rsidRDefault="008676F9" w:rsidP="00955DA4">
      <w:pPr>
        <w:numPr>
          <w:ilvl w:val="0"/>
          <w:numId w:val="202"/>
        </w:numPr>
        <w:spacing w:after="120"/>
        <w:ind w:left="709"/>
        <w:rPr>
          <w:rFonts w:ascii="Calibri" w:eastAsia="Calibri" w:hAnsi="Calibri" w:cs="Calibri"/>
          <w:bCs/>
          <w:i/>
          <w:sz w:val="20"/>
          <w:szCs w:val="20"/>
          <w:lang w:eastAsia="en-US"/>
        </w:rPr>
      </w:pPr>
      <w:r w:rsidRPr="00204D9D">
        <w:rPr>
          <w:rFonts w:ascii="Calibri" w:eastAsia="Calibri" w:hAnsi="Calibri" w:cs="Calibri"/>
          <w:b/>
          <w:szCs w:val="22"/>
          <w:lang w:eastAsia="en-US"/>
        </w:rPr>
        <w:t xml:space="preserve">investície do výstavby, rekonštrukcie a modernizácie objektov a do jeho vnútorného vybavenia: </w:t>
      </w:r>
      <w:r w:rsidRPr="00204D9D">
        <w:rPr>
          <w:rFonts w:ascii="Calibri" w:eastAsia="Calibri" w:hAnsi="Calibri" w:cs="Calibri"/>
          <w:szCs w:val="22"/>
          <w:lang w:eastAsia="en-US"/>
        </w:rPr>
        <w:t>na priamy predaj výhradne vlastných výrobkov v rámci areálu daného poľnohospodárskeho podniku.</w:t>
      </w:r>
    </w:p>
    <w:p w:rsidR="008676F9" w:rsidRPr="00DA4E63" w:rsidRDefault="00FE2A2D" w:rsidP="00DA4E63">
      <w:pPr>
        <w:rPr>
          <w:rFonts w:ascii="Calibri" w:eastAsia="Calibri" w:hAnsi="Calibri" w:cs="Calibri"/>
          <w:bCs/>
          <w:i/>
          <w:sz w:val="20"/>
          <w:szCs w:val="20"/>
          <w:lang w:eastAsia="en-US"/>
        </w:rPr>
      </w:pPr>
      <w:r w:rsidRPr="00DA4E63">
        <w:rPr>
          <w:rFonts w:ascii="Calibri" w:eastAsia="Calibri" w:hAnsi="Calibri" w:cs="Calibri"/>
          <w:bCs/>
          <w:i/>
          <w:sz w:val="20"/>
          <w:szCs w:val="20"/>
          <w:lang w:eastAsia="en-US"/>
        </w:rPr>
        <w:t>Pozn.: V prípade sektora „hrozno a víno“ sú neoprávnenými investíciami investície do nákupu vnútorného vybavenia pre predajné a prezentačné priestory v rámci výrobného podniku</w:t>
      </w:r>
      <w:r w:rsidR="00C83A6A">
        <w:rPr>
          <w:rStyle w:val="Odkaznapoznmkupodiarou"/>
          <w:rFonts w:ascii="Calibri" w:eastAsia="Calibri" w:hAnsi="Calibri" w:cs="Calibri"/>
          <w:bCs/>
          <w:i/>
          <w:sz w:val="20"/>
          <w:szCs w:val="20"/>
          <w:lang w:eastAsia="en-US"/>
        </w:rPr>
        <w:footnoteReference w:id="10"/>
      </w:r>
      <w:r w:rsidRPr="00DA4E63">
        <w:rPr>
          <w:rFonts w:ascii="Calibri" w:eastAsia="Calibri" w:hAnsi="Calibri" w:cs="Calibri"/>
          <w:bCs/>
          <w:i/>
          <w:sz w:val="20"/>
          <w:szCs w:val="20"/>
          <w:lang w:eastAsia="en-US"/>
        </w:rPr>
        <w:t>, pretože tieto investície sú oprávnenými na podporu z Národného podporného programu v rámci SOT s vínom.</w:t>
      </w:r>
    </w:p>
    <w:p w:rsidR="00FE2A2D" w:rsidRPr="008676F9" w:rsidRDefault="00FE2A2D" w:rsidP="00D40112">
      <w:pPr>
        <w:ind w:left="709"/>
        <w:rPr>
          <w:rFonts w:ascii="Calibri" w:eastAsia="Calibri" w:hAnsi="Calibri" w:cs="Calibri"/>
          <w:bCs/>
          <w:szCs w:val="22"/>
          <w:lang w:eastAsia="en-US"/>
        </w:rPr>
      </w:pPr>
    </w:p>
    <w:p w:rsidR="008676F9" w:rsidRPr="008676F9" w:rsidRDefault="008676F9" w:rsidP="00D40112">
      <w:pPr>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Typ podpory:</w:t>
      </w:r>
    </w:p>
    <w:p w:rsidR="008676F9" w:rsidRPr="008676F9" w:rsidRDefault="008676F9" w:rsidP="00D40112">
      <w:pPr>
        <w:rPr>
          <w:rFonts w:ascii="Calibri" w:eastAsia="Calibri" w:hAnsi="Calibri" w:cs="Calibri"/>
          <w:bCs/>
          <w:szCs w:val="22"/>
          <w:lang w:eastAsia="en-US"/>
        </w:rPr>
      </w:pPr>
      <w:r w:rsidRPr="008676F9">
        <w:rPr>
          <w:rFonts w:ascii="Calibri" w:eastAsia="Calibri" w:hAnsi="Calibri" w:cs="Calibri"/>
          <w:bCs/>
          <w:szCs w:val="22"/>
          <w:lang w:eastAsia="en-US"/>
        </w:rPr>
        <w:t>Zisková, investičná, nenávratný finančný príspevok.</w:t>
      </w:r>
    </w:p>
    <w:p w:rsidR="000E5C15" w:rsidRPr="008676F9" w:rsidRDefault="000E5C15" w:rsidP="00D40112">
      <w:pPr>
        <w:rPr>
          <w:rFonts w:ascii="Calibri" w:eastAsia="Calibri" w:hAnsi="Calibri" w:cs="Calibri"/>
          <w:bCs/>
          <w:szCs w:val="22"/>
          <w:lang w:eastAsia="en-US"/>
        </w:rPr>
      </w:pPr>
    </w:p>
    <w:p w:rsidR="008676F9" w:rsidRPr="008676F9" w:rsidRDefault="008676F9" w:rsidP="00D40112">
      <w:pPr>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Súvislosť s inou legislatívou:</w:t>
      </w:r>
    </w:p>
    <w:p w:rsidR="008676F9" w:rsidRPr="008676F9" w:rsidRDefault="008676F9" w:rsidP="00955DA4">
      <w:pPr>
        <w:numPr>
          <w:ilvl w:val="0"/>
          <w:numId w:val="203"/>
        </w:numPr>
        <w:rPr>
          <w:rFonts w:ascii="Calibri" w:hAnsi="Calibri" w:cs="Calibri"/>
          <w:bCs/>
          <w:szCs w:val="22"/>
          <w:lang w:eastAsia="en-US"/>
        </w:rPr>
      </w:pPr>
      <w:r w:rsidRPr="008676F9">
        <w:rPr>
          <w:rFonts w:ascii="Calibri" w:hAnsi="Calibri" w:cs="Calibri"/>
          <w:bCs/>
          <w:szCs w:val="22"/>
          <w:lang w:eastAsia="en-US"/>
        </w:rPr>
        <w:t>zákon č. 24/2006 Z. z. o posudzovaní vplyvov na životné prostredie;</w:t>
      </w:r>
    </w:p>
    <w:p w:rsidR="008676F9" w:rsidRPr="008676F9" w:rsidRDefault="008676F9" w:rsidP="00955DA4">
      <w:pPr>
        <w:numPr>
          <w:ilvl w:val="0"/>
          <w:numId w:val="203"/>
        </w:numPr>
        <w:rPr>
          <w:rFonts w:ascii="Calibri" w:hAnsi="Calibri" w:cs="Calibri"/>
          <w:bCs/>
          <w:szCs w:val="22"/>
          <w:lang w:eastAsia="en-US"/>
        </w:rPr>
      </w:pPr>
      <w:r w:rsidRPr="008676F9">
        <w:rPr>
          <w:rFonts w:ascii="Calibri" w:hAnsi="Calibri" w:cs="Calibri"/>
          <w:bCs/>
          <w:szCs w:val="22"/>
          <w:lang w:eastAsia="en-US"/>
        </w:rPr>
        <w:t>zákon č. 50/1976 Zb. o územnom plánovaní a stavebnom poriadku;</w:t>
      </w:r>
    </w:p>
    <w:p w:rsidR="008676F9" w:rsidRDefault="008676F9" w:rsidP="00955DA4">
      <w:pPr>
        <w:numPr>
          <w:ilvl w:val="0"/>
          <w:numId w:val="203"/>
        </w:numPr>
        <w:rPr>
          <w:rFonts w:ascii="Calibri" w:hAnsi="Calibri" w:cs="Calibri"/>
          <w:bCs/>
          <w:szCs w:val="22"/>
          <w:lang w:eastAsia="en-US"/>
        </w:rPr>
      </w:pPr>
      <w:r w:rsidRPr="008676F9">
        <w:rPr>
          <w:rFonts w:ascii="Calibri" w:hAnsi="Calibri" w:cs="Calibri"/>
          <w:bCs/>
          <w:szCs w:val="22"/>
          <w:lang w:eastAsia="en-US"/>
        </w:rPr>
        <w:t>zákon č. 136/2000 Z. z. o hnojivách;</w:t>
      </w:r>
    </w:p>
    <w:p w:rsidR="00FE2A2D" w:rsidRPr="00FE2A2D" w:rsidRDefault="00FE2A2D" w:rsidP="00955DA4">
      <w:pPr>
        <w:pStyle w:val="Odsekzoznamu"/>
        <w:numPr>
          <w:ilvl w:val="0"/>
          <w:numId w:val="203"/>
        </w:numPr>
        <w:rPr>
          <w:rFonts w:ascii="Calibri" w:hAnsi="Calibri" w:cs="Calibri"/>
          <w:bCs/>
          <w:szCs w:val="22"/>
          <w:lang w:eastAsia="en-US"/>
        </w:rPr>
      </w:pPr>
      <w:r w:rsidRPr="00FE2A2D">
        <w:rPr>
          <w:rFonts w:ascii="Calibri" w:hAnsi="Calibri" w:cs="Calibri"/>
          <w:bCs/>
          <w:szCs w:val="22"/>
          <w:lang w:eastAsia="en-US"/>
        </w:rPr>
        <w:t>zákon č. 220/2004 Z. z. o ochrane a využívaní poľnohospodárskej pôdy a o zmene zákona č. 245/2003 Z. z. o integrovanej prevencii a kontrole znečisťovania životného prostredia;</w:t>
      </w:r>
    </w:p>
    <w:p w:rsidR="008676F9" w:rsidRPr="008676F9" w:rsidRDefault="008676F9" w:rsidP="00955DA4">
      <w:pPr>
        <w:numPr>
          <w:ilvl w:val="0"/>
          <w:numId w:val="203"/>
        </w:numPr>
        <w:rPr>
          <w:rFonts w:ascii="Calibri" w:hAnsi="Calibri" w:cs="Calibri"/>
          <w:bCs/>
          <w:szCs w:val="22"/>
          <w:lang w:eastAsia="en-US"/>
        </w:rPr>
      </w:pPr>
      <w:r w:rsidRPr="008676F9">
        <w:rPr>
          <w:rFonts w:ascii="Calibri" w:hAnsi="Calibri" w:cs="Calibri"/>
          <w:bCs/>
          <w:szCs w:val="22"/>
          <w:lang w:eastAsia="en-US"/>
        </w:rPr>
        <w:t>smernica 91/676/EC o ochrane vodných zdrojov pred znečistením dusičnanmi pochádzajúcimi z poľnohospodárstva;</w:t>
      </w:r>
    </w:p>
    <w:p w:rsidR="008676F9" w:rsidRPr="008676F9" w:rsidRDefault="008676F9" w:rsidP="00955DA4">
      <w:pPr>
        <w:numPr>
          <w:ilvl w:val="0"/>
          <w:numId w:val="203"/>
        </w:numPr>
        <w:rPr>
          <w:rFonts w:ascii="Calibri" w:hAnsi="Calibri" w:cs="Calibri"/>
          <w:bCs/>
          <w:szCs w:val="22"/>
          <w:lang w:eastAsia="en-US"/>
        </w:rPr>
      </w:pPr>
      <w:r w:rsidRPr="008676F9">
        <w:rPr>
          <w:rFonts w:ascii="Calibri" w:hAnsi="Calibri" w:cs="Calibri"/>
          <w:bCs/>
          <w:szCs w:val="22"/>
          <w:lang w:eastAsia="en-US"/>
        </w:rPr>
        <w:t>smernica 2010/75/EÚ o  priemyselných emisiách;</w:t>
      </w:r>
    </w:p>
    <w:p w:rsidR="008676F9" w:rsidRPr="008676F9" w:rsidRDefault="008676F9" w:rsidP="00955DA4">
      <w:pPr>
        <w:numPr>
          <w:ilvl w:val="0"/>
          <w:numId w:val="203"/>
        </w:numPr>
        <w:rPr>
          <w:rFonts w:ascii="Calibri" w:hAnsi="Calibri" w:cs="Calibri"/>
          <w:bCs/>
          <w:szCs w:val="22"/>
          <w:lang w:eastAsia="en-US"/>
        </w:rPr>
      </w:pPr>
      <w:r w:rsidRPr="008676F9">
        <w:rPr>
          <w:rFonts w:ascii="Calibri" w:hAnsi="Calibri" w:cs="Calibri"/>
          <w:bCs/>
          <w:szCs w:val="22"/>
          <w:lang w:eastAsia="en-US"/>
        </w:rPr>
        <w:t xml:space="preserve">nariadenie (EÚ) č. 1308/2013, ktorým sa vytvára spoločná organizácia trhov </w:t>
      </w:r>
      <w:r w:rsidR="00D40112">
        <w:rPr>
          <w:rFonts w:ascii="Calibri" w:hAnsi="Calibri" w:cs="Calibri"/>
          <w:bCs/>
          <w:szCs w:val="22"/>
          <w:lang w:eastAsia="en-US"/>
        </w:rPr>
        <w:br/>
      </w:r>
      <w:r w:rsidRPr="008676F9">
        <w:rPr>
          <w:rFonts w:ascii="Calibri" w:hAnsi="Calibri" w:cs="Calibri"/>
          <w:bCs/>
          <w:szCs w:val="22"/>
          <w:lang w:eastAsia="en-US"/>
        </w:rPr>
        <w:t>s poľnohospodárskymi výrobkami;</w:t>
      </w:r>
    </w:p>
    <w:p w:rsidR="008676F9" w:rsidRPr="008676F9" w:rsidRDefault="008676F9" w:rsidP="00955DA4">
      <w:pPr>
        <w:numPr>
          <w:ilvl w:val="0"/>
          <w:numId w:val="203"/>
        </w:numPr>
        <w:rPr>
          <w:rFonts w:ascii="Calibri" w:hAnsi="Calibri" w:cs="Calibri"/>
          <w:bCs/>
          <w:szCs w:val="22"/>
          <w:lang w:eastAsia="en-US"/>
        </w:rPr>
      </w:pPr>
      <w:r w:rsidRPr="008676F9">
        <w:rPr>
          <w:rFonts w:ascii="Calibri" w:hAnsi="Calibri" w:cs="Calibri"/>
          <w:bCs/>
          <w:szCs w:val="22"/>
          <w:lang w:eastAsia="en-US"/>
        </w:rPr>
        <w:t xml:space="preserve">nariadenie (EÚ) č. 1310/2013 ktorým sa stanovujú niektoré prechodné ustanovenia </w:t>
      </w:r>
      <w:r w:rsidR="00D40112">
        <w:rPr>
          <w:rFonts w:ascii="Calibri" w:hAnsi="Calibri" w:cs="Calibri"/>
          <w:bCs/>
          <w:szCs w:val="22"/>
          <w:lang w:eastAsia="en-US"/>
        </w:rPr>
        <w:br/>
      </w:r>
      <w:r w:rsidRPr="008676F9">
        <w:rPr>
          <w:rFonts w:ascii="Calibri" w:hAnsi="Calibri" w:cs="Calibri"/>
          <w:bCs/>
          <w:szCs w:val="22"/>
          <w:lang w:eastAsia="en-US"/>
        </w:rPr>
        <w:t>o podpore rozvoja vidieka z Európskeho poľnohospodárskeho fondu pre rozvoj vidieka;</w:t>
      </w:r>
    </w:p>
    <w:p w:rsidR="008676F9" w:rsidRPr="008676F9" w:rsidRDefault="008676F9" w:rsidP="00955DA4">
      <w:pPr>
        <w:numPr>
          <w:ilvl w:val="0"/>
          <w:numId w:val="203"/>
        </w:numPr>
        <w:rPr>
          <w:rFonts w:ascii="Calibri" w:hAnsi="Calibri" w:cs="Calibri"/>
          <w:bCs/>
          <w:szCs w:val="22"/>
          <w:lang w:eastAsia="en-US"/>
        </w:rPr>
      </w:pPr>
      <w:r w:rsidRPr="008676F9">
        <w:rPr>
          <w:rFonts w:ascii="Calibri" w:hAnsi="Calibri" w:cs="Calibri"/>
          <w:bCs/>
          <w:szCs w:val="22"/>
          <w:lang w:eastAsia="en-US"/>
        </w:rPr>
        <w:t>neprekrývanie podpory s Národným programom stabilizácie a rozvoja slovenského včelárstva na roky 2013/2014 až 2015/2016 je zabezpečené rozdielnymi podporenými činnosťami;</w:t>
      </w:r>
    </w:p>
    <w:p w:rsidR="008676F9" w:rsidRDefault="008676F9" w:rsidP="00955DA4">
      <w:pPr>
        <w:numPr>
          <w:ilvl w:val="0"/>
          <w:numId w:val="203"/>
        </w:numPr>
        <w:rPr>
          <w:rFonts w:ascii="Calibri" w:hAnsi="Calibri" w:cs="Calibri"/>
          <w:bCs/>
          <w:szCs w:val="22"/>
          <w:lang w:eastAsia="en-US"/>
        </w:rPr>
      </w:pPr>
      <w:r w:rsidRPr="008676F9">
        <w:rPr>
          <w:rFonts w:ascii="Calibri" w:hAnsi="Calibri" w:cs="Calibri"/>
          <w:bCs/>
          <w:szCs w:val="22"/>
          <w:lang w:eastAsia="en-US"/>
        </w:rPr>
        <w:t>neprekrývanie podpory s Národným podporným programom pre víno je zabezpečené rozdielnymi podporenými činnosťami;</w:t>
      </w:r>
    </w:p>
    <w:p w:rsidR="00204D9D" w:rsidRDefault="00C83A6A" w:rsidP="00955DA4">
      <w:pPr>
        <w:pStyle w:val="Odsekzoznamu"/>
        <w:numPr>
          <w:ilvl w:val="0"/>
          <w:numId w:val="203"/>
        </w:numPr>
        <w:rPr>
          <w:rFonts w:ascii="Calibri" w:hAnsi="Calibri" w:cs="Calibri"/>
          <w:bCs/>
          <w:szCs w:val="22"/>
          <w:lang w:eastAsia="en-US"/>
        </w:rPr>
      </w:pPr>
      <w:r w:rsidRPr="00C83A6A">
        <w:rPr>
          <w:rFonts w:ascii="Calibri" w:hAnsi="Calibri" w:cs="Calibri"/>
          <w:bCs/>
          <w:szCs w:val="22"/>
          <w:lang w:eastAsia="en-US"/>
        </w:rPr>
        <w:t>dodržanie rovnakých  cieľov a neprekrývanie podpôr vo  Vnútroštátnom  rámci  pre environmentálne opatrenia riešené v rámci  operačných programov  organizácií výrobcov v sektore ovocie a zelenina vypracovaným podľa čl. 33 ods. 5 a čl.  36 ods. 1  nariadenia (EÚ) č. 1308/2013</w:t>
      </w:r>
      <w:r>
        <w:rPr>
          <w:rFonts w:ascii="Calibri" w:hAnsi="Calibri" w:cs="Calibri"/>
          <w:bCs/>
          <w:szCs w:val="22"/>
          <w:lang w:eastAsia="en-US"/>
        </w:rPr>
        <w:t>;</w:t>
      </w:r>
    </w:p>
    <w:p w:rsidR="00204D9D" w:rsidRPr="00204D9D" w:rsidRDefault="00204D9D" w:rsidP="00955DA4">
      <w:pPr>
        <w:pStyle w:val="Odsekzoznamu"/>
        <w:numPr>
          <w:ilvl w:val="0"/>
          <w:numId w:val="203"/>
        </w:numPr>
        <w:rPr>
          <w:rFonts w:ascii="Calibri" w:hAnsi="Calibri" w:cs="Calibri"/>
          <w:bCs/>
          <w:szCs w:val="22"/>
          <w:lang w:eastAsia="en-US"/>
        </w:rPr>
      </w:pPr>
      <w:r w:rsidRPr="00204D9D">
        <w:rPr>
          <w:rFonts w:ascii="Calibri" w:hAnsi="Calibri" w:cs="Calibri"/>
          <w:bCs/>
          <w:szCs w:val="22"/>
          <w:lang w:eastAsia="en-US"/>
        </w:rPr>
        <w:t>neprekrývanie podpory z Operačného programu Výskum a inovácie je zabezpečené  rozdielnym zameraním investícií (z OP VaI nebudú podporené investície v poľnohospodárskej prvovýrobe</w:t>
      </w:r>
      <w:r w:rsidR="00871C41">
        <w:rPr>
          <w:rFonts w:ascii="Calibri" w:hAnsi="Calibri" w:cs="Calibri"/>
          <w:bCs/>
          <w:szCs w:val="22"/>
          <w:lang w:eastAsia="en-US"/>
        </w:rPr>
        <w:t>),</w:t>
      </w:r>
      <w:r w:rsidR="001B617C">
        <w:rPr>
          <w:rFonts w:ascii="Calibri" w:hAnsi="Calibri" w:cs="Calibri"/>
          <w:bCs/>
          <w:szCs w:val="22"/>
          <w:lang w:eastAsia="en-US"/>
        </w:rPr>
        <w:t> rozdielnou veľkosťou projektu</w:t>
      </w:r>
      <w:r w:rsidR="00871C41">
        <w:rPr>
          <w:rFonts w:ascii="Calibri" w:hAnsi="Calibri" w:cs="Calibri"/>
          <w:bCs/>
          <w:szCs w:val="22"/>
          <w:lang w:eastAsia="en-US"/>
        </w:rPr>
        <w:t xml:space="preserve"> a vzájomnou informovanosťou o schválených projektoch</w:t>
      </w:r>
      <w:r w:rsidRPr="00204D9D">
        <w:rPr>
          <w:rFonts w:ascii="Calibri" w:hAnsi="Calibri" w:cs="Calibri"/>
          <w:bCs/>
          <w:szCs w:val="22"/>
          <w:lang w:eastAsia="en-US"/>
        </w:rPr>
        <w:t>.</w:t>
      </w:r>
    </w:p>
    <w:p w:rsidR="008676F9" w:rsidRPr="008676F9" w:rsidRDefault="008676F9" w:rsidP="00D40112">
      <w:pPr>
        <w:ind w:left="720"/>
        <w:rPr>
          <w:rFonts w:ascii="Calibri" w:hAnsi="Calibri" w:cs="Calibri"/>
          <w:bCs/>
          <w:szCs w:val="22"/>
          <w:lang w:val="en-GB" w:eastAsia="en-US"/>
        </w:rPr>
      </w:pPr>
    </w:p>
    <w:p w:rsidR="008676F9" w:rsidRPr="008676F9" w:rsidRDefault="008676F9" w:rsidP="00D40112">
      <w:pPr>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Prijímateľ podpory:</w:t>
      </w:r>
    </w:p>
    <w:p w:rsidR="008676F9" w:rsidRPr="008676F9" w:rsidRDefault="008676F9" w:rsidP="00D40112">
      <w:pPr>
        <w:rPr>
          <w:rFonts w:ascii="Calibri" w:eastAsia="Calibri" w:hAnsi="Calibri" w:cs="Calibri"/>
          <w:bCs/>
          <w:szCs w:val="22"/>
          <w:lang w:eastAsia="en-US"/>
        </w:rPr>
      </w:pPr>
      <w:r w:rsidRPr="008676F9">
        <w:rPr>
          <w:rFonts w:ascii="Calibri" w:eastAsia="Calibri" w:hAnsi="Calibri" w:cs="Calibri"/>
          <w:bCs/>
          <w:szCs w:val="22"/>
          <w:lang w:eastAsia="en-US"/>
        </w:rPr>
        <w:t>Fyzické a právnické osoby podnikajúce v poľnohospodárskej prvovýrobe.</w:t>
      </w:r>
    </w:p>
    <w:p w:rsidR="008676F9" w:rsidRDefault="008676F9" w:rsidP="00D40112">
      <w:pPr>
        <w:rPr>
          <w:rFonts w:ascii="Calibri" w:eastAsia="Calibri" w:hAnsi="Calibri" w:cs="Calibri"/>
          <w:bCs/>
          <w:szCs w:val="22"/>
          <w:u w:val="single"/>
          <w:lang w:eastAsia="en-US"/>
        </w:rPr>
      </w:pPr>
    </w:p>
    <w:p w:rsidR="00E53F6F" w:rsidRPr="008676F9" w:rsidRDefault="00E53F6F" w:rsidP="00D40112">
      <w:pPr>
        <w:rPr>
          <w:rFonts w:ascii="Calibri" w:eastAsia="Calibri" w:hAnsi="Calibri" w:cs="Calibri"/>
          <w:bCs/>
          <w:szCs w:val="22"/>
          <w:u w:val="single"/>
          <w:lang w:eastAsia="en-US"/>
        </w:rPr>
      </w:pPr>
    </w:p>
    <w:p w:rsidR="008676F9" w:rsidRPr="008676F9" w:rsidRDefault="008676F9" w:rsidP="00D40112">
      <w:pPr>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Oprávnené náklady:</w:t>
      </w:r>
    </w:p>
    <w:p w:rsidR="008676F9" w:rsidRPr="008676F9" w:rsidRDefault="008676F9" w:rsidP="00317BFF">
      <w:pPr>
        <w:numPr>
          <w:ilvl w:val="0"/>
          <w:numId w:val="24"/>
        </w:numPr>
        <w:autoSpaceDE w:val="0"/>
        <w:autoSpaceDN w:val="0"/>
        <w:adjustRightInd w:val="0"/>
        <w:rPr>
          <w:rFonts w:ascii="Calibri" w:eastAsia="Calibri" w:hAnsi="Calibri" w:cs="Calibri"/>
          <w:szCs w:val="22"/>
          <w:lang w:eastAsia="en-US"/>
        </w:rPr>
      </w:pPr>
      <w:r w:rsidRPr="008676F9">
        <w:rPr>
          <w:rFonts w:ascii="Calibri" w:eastAsia="Calibri" w:hAnsi="Calibri" w:cs="Calibri"/>
          <w:szCs w:val="22"/>
          <w:lang w:eastAsia="en-US"/>
        </w:rPr>
        <w:t>investície do dlhodobého hmotného majetku</w:t>
      </w:r>
      <w:r w:rsidR="00FE2A2D">
        <w:rPr>
          <w:rFonts w:ascii="Calibri" w:eastAsia="Calibri" w:hAnsi="Calibri" w:cs="Calibri"/>
          <w:szCs w:val="22"/>
          <w:lang w:eastAsia="en-US"/>
        </w:rPr>
        <w:t xml:space="preserve"> vrátane investícií na zlepšenie kvalitatívnych vlastností nehnuteľného dlhodobého hmotného majetku</w:t>
      </w:r>
      <w:r w:rsidRPr="008676F9">
        <w:rPr>
          <w:rFonts w:ascii="Calibri" w:eastAsia="Calibri" w:hAnsi="Calibri" w:cs="Calibri"/>
          <w:szCs w:val="22"/>
          <w:lang w:eastAsia="en-US"/>
        </w:rPr>
        <w:t>;</w:t>
      </w:r>
    </w:p>
    <w:p w:rsidR="008676F9" w:rsidRPr="008676F9" w:rsidRDefault="008676F9" w:rsidP="00317BFF">
      <w:pPr>
        <w:numPr>
          <w:ilvl w:val="0"/>
          <w:numId w:val="24"/>
        </w:numPr>
        <w:autoSpaceDE w:val="0"/>
        <w:autoSpaceDN w:val="0"/>
        <w:adjustRightInd w:val="0"/>
        <w:rPr>
          <w:rFonts w:ascii="Calibri" w:eastAsia="Calibri" w:hAnsi="Calibri" w:cs="Calibri"/>
          <w:szCs w:val="22"/>
          <w:lang w:eastAsia="en-US"/>
        </w:rPr>
      </w:pPr>
      <w:r w:rsidRPr="008676F9">
        <w:rPr>
          <w:rFonts w:ascii="Calibri" w:eastAsia="Calibri" w:hAnsi="Calibri" w:cs="Calibri"/>
          <w:szCs w:val="22"/>
          <w:lang w:eastAsia="en-US"/>
        </w:rPr>
        <w:t>investície do dlhodobého nehmotného majetku;</w:t>
      </w:r>
    </w:p>
    <w:p w:rsidR="008676F9" w:rsidRPr="008676F9" w:rsidRDefault="008676F9" w:rsidP="00317BFF">
      <w:pPr>
        <w:numPr>
          <w:ilvl w:val="0"/>
          <w:numId w:val="24"/>
        </w:numPr>
        <w:autoSpaceDE w:val="0"/>
        <w:autoSpaceDN w:val="0"/>
        <w:adjustRightInd w:val="0"/>
        <w:rPr>
          <w:rFonts w:ascii="Calibri" w:eastAsia="Calibri" w:hAnsi="Calibri" w:cs="Calibri"/>
          <w:szCs w:val="22"/>
          <w:lang w:eastAsia="en-US"/>
        </w:rPr>
      </w:pPr>
      <w:r w:rsidRPr="008676F9">
        <w:rPr>
          <w:rFonts w:ascii="Calibri" w:eastAsia="Calibri" w:hAnsi="Calibri" w:cs="Calibri"/>
          <w:szCs w:val="22"/>
          <w:lang w:eastAsia="en-US"/>
        </w:rPr>
        <w:t>súvisiace všeobecné náklady.</w:t>
      </w:r>
    </w:p>
    <w:p w:rsidR="008676F9" w:rsidRPr="008676F9" w:rsidRDefault="008676F9" w:rsidP="00D40112">
      <w:pPr>
        <w:rPr>
          <w:rFonts w:ascii="Calibri" w:eastAsia="Calibri" w:hAnsi="Calibri" w:cs="Calibri"/>
          <w:bCs/>
          <w:szCs w:val="22"/>
          <w:u w:val="single"/>
          <w:lang w:eastAsia="en-US"/>
        </w:rPr>
      </w:pPr>
    </w:p>
    <w:p w:rsidR="008676F9" w:rsidRPr="008676F9" w:rsidRDefault="008676F9" w:rsidP="00D40112">
      <w:pPr>
        <w:spacing w:after="120"/>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Podmienky oprávnenosti:</w:t>
      </w:r>
    </w:p>
    <w:p w:rsidR="00204D9D" w:rsidRDefault="00204D9D" w:rsidP="00204D9D">
      <w:pPr>
        <w:pStyle w:val="Odsekzoznamu"/>
        <w:numPr>
          <w:ilvl w:val="3"/>
          <w:numId w:val="24"/>
        </w:numPr>
        <w:spacing w:after="120"/>
        <w:ind w:left="426"/>
        <w:rPr>
          <w:rFonts w:ascii="Calibri" w:hAnsi="Calibri" w:cs="Calibri"/>
          <w:bCs/>
          <w:szCs w:val="22"/>
          <w:lang w:eastAsia="en-US"/>
        </w:rPr>
      </w:pPr>
      <w:r w:rsidRPr="003A44D0">
        <w:rPr>
          <w:rFonts w:ascii="Calibri" w:hAnsi="Calibri" w:cs="Calibri"/>
          <w:bCs/>
          <w:szCs w:val="22"/>
          <w:lang w:eastAsia="en-US"/>
        </w:rPr>
        <w:t>Oprávnené sú len tie činnosti, ktoré zvyšujú celkovú výkonnosť a udržateľnosť poľnohospodárskeho podniku:</w:t>
      </w:r>
    </w:p>
    <w:p w:rsidR="00204D9D" w:rsidRDefault="00204D9D" w:rsidP="00CE203B">
      <w:pPr>
        <w:numPr>
          <w:ilvl w:val="0"/>
          <w:numId w:val="383"/>
        </w:numPr>
        <w:spacing w:after="120"/>
        <w:rPr>
          <w:rFonts w:ascii="Calibri" w:hAnsi="Calibri" w:cs="Calibri"/>
          <w:bCs/>
          <w:szCs w:val="22"/>
          <w:lang w:eastAsia="en-US"/>
        </w:rPr>
      </w:pPr>
      <w:r w:rsidRPr="008676F9">
        <w:rPr>
          <w:rFonts w:ascii="Calibri" w:hAnsi="Calibri"/>
          <w:szCs w:val="22"/>
          <w:lang w:eastAsia="en-US"/>
        </w:rPr>
        <w:t xml:space="preserve">zvýšením produkcie </w:t>
      </w:r>
      <w:r w:rsidRPr="008676F9">
        <w:rPr>
          <w:rFonts w:ascii="Calibri" w:hAnsi="Calibri" w:cs="Calibri"/>
          <w:bCs/>
          <w:szCs w:val="22"/>
          <w:lang w:eastAsia="en-US"/>
        </w:rPr>
        <w:t xml:space="preserve">alebo jej kvality hlavne </w:t>
      </w:r>
      <w:r w:rsidRPr="008676F9">
        <w:rPr>
          <w:rFonts w:ascii="Calibri" w:hAnsi="Calibri"/>
          <w:szCs w:val="22"/>
          <w:lang w:eastAsia="en-US"/>
        </w:rPr>
        <w:t>v kritických odvetviach (živočíšna výroba a špecializovaná rastlinná výroba)</w:t>
      </w:r>
      <w:r w:rsidRPr="008676F9">
        <w:rPr>
          <w:rFonts w:ascii="Calibri" w:hAnsi="Calibri" w:cs="Calibri"/>
          <w:bCs/>
          <w:szCs w:val="22"/>
          <w:lang w:eastAsia="en-US"/>
        </w:rPr>
        <w:t xml:space="preserve"> </w:t>
      </w:r>
      <w:r w:rsidRPr="008676F9">
        <w:rPr>
          <w:rFonts w:ascii="Calibri" w:hAnsi="Calibri"/>
          <w:szCs w:val="22"/>
          <w:lang w:eastAsia="en-US"/>
        </w:rPr>
        <w:t>a/alebo</w:t>
      </w:r>
      <w:r w:rsidRPr="008676F9">
        <w:rPr>
          <w:rFonts w:ascii="Calibri" w:hAnsi="Calibri" w:cs="Calibri"/>
          <w:bCs/>
          <w:szCs w:val="22"/>
          <w:lang w:eastAsia="en-US"/>
        </w:rPr>
        <w:t xml:space="preserve">; </w:t>
      </w:r>
    </w:p>
    <w:p w:rsidR="00204D9D" w:rsidRDefault="00204D9D" w:rsidP="00CE203B">
      <w:pPr>
        <w:numPr>
          <w:ilvl w:val="0"/>
          <w:numId w:val="383"/>
        </w:numPr>
        <w:spacing w:after="120"/>
        <w:rPr>
          <w:rFonts w:ascii="Calibri" w:hAnsi="Calibri"/>
          <w:szCs w:val="22"/>
          <w:lang w:eastAsia="en-US"/>
        </w:rPr>
      </w:pPr>
      <w:r w:rsidRPr="008676F9">
        <w:rPr>
          <w:rFonts w:ascii="Calibri" w:hAnsi="Calibri"/>
          <w:szCs w:val="22"/>
          <w:lang w:eastAsia="en-US"/>
        </w:rPr>
        <w:t>znížením nákladovosti výroby poľnohospodárskych produktov pri zachovaní alebo zvýšení zamestnanosti alebo pri zachovaní alebo zvýšení produkcie  a/alebo;</w:t>
      </w:r>
    </w:p>
    <w:p w:rsidR="00204D9D" w:rsidRDefault="00204D9D" w:rsidP="00CE203B">
      <w:pPr>
        <w:numPr>
          <w:ilvl w:val="0"/>
          <w:numId w:val="383"/>
        </w:numPr>
        <w:spacing w:after="120"/>
        <w:rPr>
          <w:rFonts w:ascii="Calibri" w:hAnsi="Calibri"/>
          <w:szCs w:val="22"/>
          <w:lang w:eastAsia="en-US"/>
        </w:rPr>
      </w:pPr>
      <w:r w:rsidRPr="008676F9">
        <w:rPr>
          <w:rFonts w:ascii="Calibri" w:hAnsi="Calibri"/>
          <w:szCs w:val="22"/>
          <w:lang w:eastAsia="en-US"/>
        </w:rPr>
        <w:t>znížením záťaže na životné prostredie pri zachovaní alebo zvýšení zamestnanosti a/alebo;</w:t>
      </w:r>
    </w:p>
    <w:p w:rsidR="00204D9D" w:rsidRDefault="00204D9D" w:rsidP="00CE203B">
      <w:pPr>
        <w:numPr>
          <w:ilvl w:val="0"/>
          <w:numId w:val="383"/>
        </w:numPr>
        <w:spacing w:after="120"/>
        <w:rPr>
          <w:rFonts w:ascii="Calibri" w:hAnsi="Calibri"/>
          <w:szCs w:val="22"/>
          <w:lang w:eastAsia="en-US"/>
        </w:rPr>
      </w:pPr>
      <w:r w:rsidRPr="008676F9">
        <w:rPr>
          <w:rFonts w:ascii="Calibri" w:hAnsi="Calibri"/>
          <w:szCs w:val="22"/>
          <w:lang w:eastAsia="en-US"/>
        </w:rPr>
        <w:t>zvýšením odbytu a/alebo;</w:t>
      </w:r>
    </w:p>
    <w:p w:rsidR="00204D9D" w:rsidRDefault="00204D9D" w:rsidP="00CE203B">
      <w:pPr>
        <w:numPr>
          <w:ilvl w:val="0"/>
          <w:numId w:val="383"/>
        </w:numPr>
        <w:spacing w:after="120"/>
        <w:rPr>
          <w:rFonts w:ascii="Calibri" w:hAnsi="Calibri"/>
          <w:szCs w:val="22"/>
          <w:lang w:eastAsia="en-US"/>
        </w:rPr>
      </w:pPr>
      <w:r w:rsidRPr="008676F9">
        <w:rPr>
          <w:rFonts w:ascii="Calibri" w:hAnsi="Calibri"/>
          <w:szCs w:val="22"/>
          <w:lang w:eastAsia="en-US"/>
        </w:rPr>
        <w:t>komplexnou reštrukturalizáciou výroby v podniku a/alebo</w:t>
      </w:r>
    </w:p>
    <w:p w:rsidR="00204D9D" w:rsidRDefault="00204D9D" w:rsidP="00CE203B">
      <w:pPr>
        <w:numPr>
          <w:ilvl w:val="0"/>
          <w:numId w:val="383"/>
        </w:numPr>
        <w:spacing w:after="120"/>
        <w:rPr>
          <w:rFonts w:ascii="Calibri" w:hAnsi="Calibri"/>
          <w:szCs w:val="22"/>
          <w:lang w:eastAsia="en-US"/>
        </w:rPr>
      </w:pPr>
      <w:r w:rsidRPr="008676F9">
        <w:rPr>
          <w:rFonts w:ascii="Calibri" w:hAnsi="Calibri"/>
          <w:szCs w:val="22"/>
          <w:lang w:eastAsia="en-US"/>
        </w:rPr>
        <w:t>zlepšením kvalitatívnych vlastností a úrodnosti pôdy a ochranou pred jej degradáciou a/alebo</w:t>
      </w:r>
    </w:p>
    <w:p w:rsidR="00204D9D" w:rsidRDefault="00204D9D" w:rsidP="00CE203B">
      <w:pPr>
        <w:numPr>
          <w:ilvl w:val="0"/>
          <w:numId w:val="383"/>
        </w:numPr>
        <w:spacing w:line="276" w:lineRule="auto"/>
        <w:rPr>
          <w:rFonts w:ascii="Calibri" w:hAnsi="Calibri"/>
          <w:szCs w:val="22"/>
          <w:lang w:eastAsia="en-US"/>
        </w:rPr>
      </w:pPr>
      <w:r w:rsidRPr="008676F9">
        <w:rPr>
          <w:rFonts w:ascii="Calibri" w:hAnsi="Calibri" w:cs="Calibri"/>
          <w:bCs/>
          <w:szCs w:val="22"/>
          <w:lang w:eastAsia="en-US"/>
        </w:rPr>
        <w:t>diverzifikáciou poľnohospodárskej výroby smerom k výrobe produktov, ktoré prinášajú</w:t>
      </w:r>
      <w:r w:rsidRPr="008676F9">
        <w:rPr>
          <w:rFonts w:ascii="Calibri" w:hAnsi="Calibri"/>
          <w:szCs w:val="22"/>
          <w:lang w:eastAsia="en-US"/>
        </w:rPr>
        <w:t xml:space="preserve">  vyššiu pridanú hodnotu pri zachovaní alebo zvýšení zamestnanosti.</w:t>
      </w:r>
    </w:p>
    <w:p w:rsidR="00204D9D" w:rsidRDefault="00204D9D" w:rsidP="00204D9D">
      <w:pPr>
        <w:pStyle w:val="Odsekzoznamu"/>
        <w:numPr>
          <w:ilvl w:val="3"/>
          <w:numId w:val="24"/>
        </w:numPr>
        <w:spacing w:after="120"/>
        <w:ind w:left="425" w:hanging="357"/>
        <w:contextualSpacing w:val="0"/>
        <w:rPr>
          <w:rFonts w:ascii="Calibri" w:eastAsia="Calibri" w:hAnsi="Calibri" w:cs="Calibri"/>
          <w:bCs/>
          <w:szCs w:val="22"/>
          <w:lang w:eastAsia="en-US"/>
        </w:rPr>
      </w:pPr>
      <w:r w:rsidRPr="003A44D0">
        <w:rPr>
          <w:rFonts w:ascii="Calibri" w:eastAsia="Calibri" w:hAnsi="Calibri" w:cs="Calibri"/>
          <w:bCs/>
          <w:szCs w:val="22"/>
          <w:lang w:eastAsia="en-US"/>
        </w:rPr>
        <w:t>Pre projekty</w:t>
      </w:r>
      <w:r>
        <w:rPr>
          <w:rFonts w:ascii="Calibri" w:eastAsia="Calibri" w:hAnsi="Calibri" w:cs="Calibri"/>
          <w:bCs/>
          <w:szCs w:val="22"/>
          <w:lang w:eastAsia="en-US"/>
        </w:rPr>
        <w:t xml:space="preserve"> vyhodnocované</w:t>
      </w:r>
      <w:r w:rsidRPr="003A44D0">
        <w:rPr>
          <w:rFonts w:ascii="Calibri" w:eastAsia="Calibri" w:hAnsi="Calibri" w:cs="Calibri"/>
          <w:bCs/>
          <w:szCs w:val="22"/>
          <w:lang w:eastAsia="en-US"/>
        </w:rPr>
        <w:t xml:space="preserve"> v rámci fokusovej oblasti 2B je podmienkou schválený podnikateľský plán v zmysle podopatrenia 6.1.</w:t>
      </w:r>
    </w:p>
    <w:p w:rsidR="00204D9D" w:rsidRDefault="00204D9D" w:rsidP="00204D9D">
      <w:pPr>
        <w:pStyle w:val="Odsekzoznamu"/>
        <w:numPr>
          <w:ilvl w:val="3"/>
          <w:numId w:val="24"/>
        </w:numPr>
        <w:ind w:left="426"/>
        <w:rPr>
          <w:rFonts w:ascii="Calibri" w:eastAsia="Calibri" w:hAnsi="Calibri" w:cs="Calibri"/>
          <w:bCs/>
          <w:szCs w:val="22"/>
          <w:lang w:eastAsia="en-US"/>
        </w:rPr>
      </w:pPr>
      <w:r w:rsidRPr="003A44D0">
        <w:rPr>
          <w:rFonts w:ascii="Calibri" w:eastAsia="Calibri" w:hAnsi="Calibri"/>
          <w:szCs w:val="22"/>
          <w:lang w:eastAsia="en-US"/>
        </w:rPr>
        <w:t>Povinnosť žiadateľa, ktorý sa nachádza na území MAS predložiť potvrdenie od MAS, že daný projekt nie je realizovaný prostredníctvom stratégie CLLD miestnej akčnej skupiny</w:t>
      </w:r>
    </w:p>
    <w:p w:rsidR="00204D9D" w:rsidRDefault="00204D9D" w:rsidP="008676F9">
      <w:pPr>
        <w:rPr>
          <w:rFonts w:ascii="Calibri" w:eastAsia="Calibri" w:hAnsi="Calibri" w:cs="Calibri"/>
          <w:bCs/>
          <w:szCs w:val="22"/>
          <w:u w:val="single"/>
          <w:lang w:eastAsia="en-US"/>
        </w:rPr>
      </w:pPr>
    </w:p>
    <w:p w:rsidR="008676F9" w:rsidRPr="008676F9" w:rsidRDefault="008676F9" w:rsidP="008676F9">
      <w:pPr>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Princípy nastavenia výberových kritérií:</w:t>
      </w:r>
    </w:p>
    <w:p w:rsidR="008676F9" w:rsidRPr="008676F9" w:rsidRDefault="008676F9" w:rsidP="001F5283">
      <w:pPr>
        <w:numPr>
          <w:ilvl w:val="0"/>
          <w:numId w:val="64"/>
        </w:numPr>
        <w:ind w:left="284" w:hanging="284"/>
        <w:contextualSpacing/>
        <w:rPr>
          <w:rFonts w:ascii="Calibri" w:hAnsi="Calibri" w:cs="Calibri"/>
          <w:bCs/>
          <w:szCs w:val="22"/>
          <w:lang w:eastAsia="en-US"/>
        </w:rPr>
      </w:pPr>
      <w:r w:rsidRPr="008676F9">
        <w:rPr>
          <w:rFonts w:ascii="Calibri" w:hAnsi="Calibri" w:cs="Calibri"/>
          <w:bCs/>
          <w:szCs w:val="22"/>
          <w:lang w:eastAsia="en-US"/>
        </w:rPr>
        <w:t>udržateľnosť plnenia kritérií žiadateľom;</w:t>
      </w:r>
    </w:p>
    <w:p w:rsidR="008676F9" w:rsidRPr="008676F9" w:rsidRDefault="008676F9" w:rsidP="001F5283">
      <w:pPr>
        <w:numPr>
          <w:ilvl w:val="0"/>
          <w:numId w:val="64"/>
        </w:numPr>
        <w:ind w:left="284" w:hanging="284"/>
        <w:contextualSpacing/>
        <w:rPr>
          <w:rFonts w:ascii="Calibri" w:hAnsi="Calibri" w:cs="Calibri"/>
          <w:bCs/>
          <w:szCs w:val="22"/>
          <w:lang w:eastAsia="en-US"/>
        </w:rPr>
      </w:pPr>
      <w:r w:rsidRPr="008676F9">
        <w:rPr>
          <w:rFonts w:ascii="Calibri" w:hAnsi="Calibri" w:cs="Calibri"/>
          <w:bCs/>
          <w:szCs w:val="22"/>
          <w:lang w:eastAsia="en-US"/>
        </w:rPr>
        <w:t>uprednostnené budú projekty v rámci kritických odvetví;</w:t>
      </w:r>
    </w:p>
    <w:p w:rsidR="008676F9" w:rsidRPr="008676F9" w:rsidRDefault="008676F9" w:rsidP="001F5283">
      <w:pPr>
        <w:numPr>
          <w:ilvl w:val="0"/>
          <w:numId w:val="64"/>
        </w:numPr>
        <w:ind w:left="284" w:hanging="284"/>
        <w:contextualSpacing/>
        <w:rPr>
          <w:rFonts w:ascii="Calibri" w:hAnsi="Calibri" w:cs="Calibri"/>
          <w:bCs/>
          <w:szCs w:val="22"/>
          <w:lang w:eastAsia="en-US"/>
        </w:rPr>
      </w:pPr>
      <w:r w:rsidRPr="008676F9">
        <w:rPr>
          <w:rFonts w:ascii="Calibri" w:hAnsi="Calibri" w:cs="Calibri"/>
          <w:bCs/>
          <w:szCs w:val="22"/>
          <w:lang w:eastAsia="en-US"/>
        </w:rPr>
        <w:t>uprednostnené budú projekty prispievajúce k udržaniu alebo zvýšeniu zamestnanosti;</w:t>
      </w:r>
    </w:p>
    <w:p w:rsidR="008676F9" w:rsidRPr="008676F9" w:rsidRDefault="008676F9" w:rsidP="001F5283">
      <w:pPr>
        <w:numPr>
          <w:ilvl w:val="0"/>
          <w:numId w:val="64"/>
        </w:numPr>
        <w:ind w:left="284" w:hanging="284"/>
        <w:contextualSpacing/>
        <w:rPr>
          <w:rFonts w:ascii="Calibri" w:hAnsi="Calibri" w:cs="Calibri"/>
          <w:bCs/>
          <w:szCs w:val="22"/>
          <w:lang w:eastAsia="en-US"/>
        </w:rPr>
      </w:pPr>
      <w:r w:rsidRPr="008676F9">
        <w:rPr>
          <w:rFonts w:ascii="Calibri" w:hAnsi="Calibri" w:cs="Calibri"/>
          <w:bCs/>
          <w:szCs w:val="22"/>
          <w:lang w:eastAsia="en-US"/>
        </w:rPr>
        <w:t>zabezpečenie zvyšovania produkcie a jej kvality;</w:t>
      </w:r>
    </w:p>
    <w:p w:rsidR="008676F9" w:rsidRPr="008676F9" w:rsidRDefault="008676F9" w:rsidP="001F5283">
      <w:pPr>
        <w:numPr>
          <w:ilvl w:val="0"/>
          <w:numId w:val="64"/>
        </w:numPr>
        <w:ind w:left="284" w:hanging="284"/>
        <w:contextualSpacing/>
        <w:rPr>
          <w:rFonts w:ascii="Calibri" w:hAnsi="Calibri" w:cs="Calibri"/>
          <w:bCs/>
          <w:szCs w:val="22"/>
          <w:lang w:eastAsia="en-US"/>
        </w:rPr>
      </w:pPr>
      <w:r w:rsidRPr="008676F9">
        <w:rPr>
          <w:rFonts w:ascii="Calibri" w:hAnsi="Calibri" w:cs="Calibri"/>
          <w:bCs/>
          <w:szCs w:val="22"/>
          <w:lang w:eastAsia="en-US"/>
        </w:rPr>
        <w:t>prioritnejšie budú investície vedúce k rozšíreniu kapacít;</w:t>
      </w:r>
    </w:p>
    <w:p w:rsidR="008676F9" w:rsidRPr="008676F9" w:rsidRDefault="008676F9" w:rsidP="001F5283">
      <w:pPr>
        <w:numPr>
          <w:ilvl w:val="0"/>
          <w:numId w:val="64"/>
        </w:numPr>
        <w:ind w:left="284" w:hanging="284"/>
        <w:contextualSpacing/>
        <w:rPr>
          <w:rFonts w:ascii="Calibri" w:hAnsi="Calibri" w:cs="Calibri"/>
          <w:bCs/>
          <w:szCs w:val="22"/>
          <w:lang w:eastAsia="en-US"/>
        </w:rPr>
      </w:pPr>
      <w:r w:rsidRPr="008676F9">
        <w:rPr>
          <w:rFonts w:ascii="Calibri" w:hAnsi="Calibri" w:cs="Calibri"/>
          <w:bCs/>
          <w:szCs w:val="22"/>
          <w:lang w:eastAsia="en-US"/>
        </w:rPr>
        <w:t>porovnanie výšky výdavkov vo vzťahu k zvýšeniu produkcie a zamestnanosti;</w:t>
      </w:r>
    </w:p>
    <w:p w:rsidR="008676F9" w:rsidRPr="008676F9" w:rsidRDefault="008676F9" w:rsidP="001F5283">
      <w:pPr>
        <w:numPr>
          <w:ilvl w:val="0"/>
          <w:numId w:val="64"/>
        </w:numPr>
        <w:ind w:left="284" w:hanging="284"/>
        <w:contextualSpacing/>
        <w:rPr>
          <w:rFonts w:ascii="Calibri" w:hAnsi="Calibri" w:cs="Calibri"/>
          <w:bCs/>
          <w:szCs w:val="22"/>
          <w:lang w:eastAsia="en-US"/>
        </w:rPr>
      </w:pPr>
      <w:r w:rsidRPr="008676F9">
        <w:rPr>
          <w:rFonts w:ascii="Calibri" w:hAnsi="Calibri" w:cs="Calibri"/>
          <w:bCs/>
          <w:szCs w:val="22"/>
          <w:lang w:eastAsia="en-US"/>
        </w:rPr>
        <w:t>prioritu budú mať projekty prispievajúce k ochrane životného prostredia (pôdy, vody, ovzdušia);</w:t>
      </w:r>
    </w:p>
    <w:p w:rsidR="008676F9" w:rsidRPr="008676F9" w:rsidRDefault="008676F9" w:rsidP="001F5283">
      <w:pPr>
        <w:numPr>
          <w:ilvl w:val="0"/>
          <w:numId w:val="64"/>
        </w:numPr>
        <w:ind w:left="284" w:hanging="284"/>
        <w:contextualSpacing/>
        <w:rPr>
          <w:rFonts w:ascii="Calibri" w:hAnsi="Calibri" w:cs="Calibri"/>
          <w:bCs/>
          <w:szCs w:val="22"/>
          <w:lang w:eastAsia="en-US"/>
        </w:rPr>
      </w:pPr>
      <w:r w:rsidRPr="008676F9">
        <w:rPr>
          <w:rFonts w:ascii="Calibri" w:hAnsi="Calibri" w:cs="Calibri"/>
          <w:bCs/>
          <w:szCs w:val="22"/>
          <w:lang w:eastAsia="en-US"/>
        </w:rPr>
        <w:t>hodnotiť sa bude komplexnosť, udržateľnosť, realizovateľnosť, hospodárnosť a efektívnosť projektu;</w:t>
      </w:r>
    </w:p>
    <w:p w:rsidR="008676F9" w:rsidRPr="008676F9" w:rsidRDefault="008676F9" w:rsidP="001F5283">
      <w:pPr>
        <w:numPr>
          <w:ilvl w:val="0"/>
          <w:numId w:val="64"/>
        </w:numPr>
        <w:ind w:left="284" w:hanging="284"/>
        <w:contextualSpacing/>
        <w:rPr>
          <w:rFonts w:ascii="Calibri" w:hAnsi="Calibri" w:cs="Calibri"/>
          <w:bCs/>
          <w:szCs w:val="22"/>
          <w:lang w:eastAsia="en-US"/>
        </w:rPr>
      </w:pPr>
      <w:r w:rsidRPr="008676F9">
        <w:rPr>
          <w:rFonts w:ascii="Calibri" w:hAnsi="Calibri" w:cs="Calibri"/>
          <w:bCs/>
          <w:szCs w:val="22"/>
          <w:lang w:eastAsia="en-US"/>
        </w:rPr>
        <w:t xml:space="preserve">uprednostnené budú kolektívne investície </w:t>
      </w:r>
      <w:r w:rsidR="00B54E05">
        <w:rPr>
          <w:rFonts w:ascii="Calibri" w:hAnsi="Calibri" w:cs="Calibri"/>
          <w:bCs/>
          <w:szCs w:val="22"/>
          <w:lang w:eastAsia="en-US"/>
        </w:rPr>
        <w:t>a integrované projekty</w:t>
      </w:r>
      <w:r w:rsidRPr="008676F9">
        <w:rPr>
          <w:rFonts w:ascii="Calibri" w:hAnsi="Calibri" w:cs="Calibri"/>
          <w:bCs/>
          <w:szCs w:val="22"/>
          <w:lang w:eastAsia="en-US"/>
        </w:rPr>
        <w:t>;</w:t>
      </w:r>
    </w:p>
    <w:p w:rsidR="008676F9" w:rsidRPr="008676F9" w:rsidRDefault="008676F9" w:rsidP="001F5283">
      <w:pPr>
        <w:numPr>
          <w:ilvl w:val="0"/>
          <w:numId w:val="64"/>
        </w:numPr>
        <w:ind w:left="284" w:hanging="284"/>
        <w:contextualSpacing/>
        <w:rPr>
          <w:rFonts w:ascii="Calibri" w:hAnsi="Calibri" w:cs="Calibri"/>
          <w:bCs/>
          <w:szCs w:val="22"/>
          <w:lang w:eastAsia="en-US"/>
        </w:rPr>
      </w:pPr>
      <w:r w:rsidRPr="008676F9">
        <w:rPr>
          <w:rFonts w:ascii="Calibri" w:hAnsi="Calibri" w:cs="Calibri"/>
          <w:bCs/>
          <w:szCs w:val="22"/>
          <w:lang w:eastAsia="en-US"/>
        </w:rPr>
        <w:t xml:space="preserve">uprednostnené budú projekty na zvýšenie výkonnosti mladých </w:t>
      </w:r>
      <w:r w:rsidR="00204D9D">
        <w:rPr>
          <w:rFonts w:ascii="Calibri" w:hAnsi="Calibri" w:cs="Calibri"/>
          <w:bCs/>
          <w:szCs w:val="22"/>
          <w:lang w:eastAsia="en-US"/>
        </w:rPr>
        <w:t>poľnohospodár</w:t>
      </w:r>
      <w:r w:rsidRPr="008676F9">
        <w:rPr>
          <w:rFonts w:ascii="Calibri" w:hAnsi="Calibri" w:cs="Calibri"/>
          <w:bCs/>
          <w:szCs w:val="22"/>
          <w:lang w:eastAsia="en-US"/>
        </w:rPr>
        <w:t xml:space="preserve">ov a malých </w:t>
      </w:r>
      <w:r w:rsidR="00204D9D">
        <w:rPr>
          <w:rFonts w:ascii="Calibri" w:hAnsi="Calibri" w:cs="Calibri"/>
          <w:bCs/>
          <w:szCs w:val="22"/>
          <w:lang w:eastAsia="en-US"/>
        </w:rPr>
        <w:t>poľnohospodárskych podnikov</w:t>
      </w:r>
      <w:r w:rsidRPr="008676F9">
        <w:rPr>
          <w:rFonts w:ascii="Calibri" w:hAnsi="Calibri" w:cs="Calibri"/>
          <w:bCs/>
          <w:szCs w:val="22"/>
          <w:lang w:eastAsia="en-US"/>
        </w:rPr>
        <w:t>;</w:t>
      </w:r>
    </w:p>
    <w:p w:rsidR="008676F9" w:rsidRPr="008676F9" w:rsidRDefault="008676F9" w:rsidP="001F5283">
      <w:pPr>
        <w:numPr>
          <w:ilvl w:val="0"/>
          <w:numId w:val="64"/>
        </w:numPr>
        <w:ind w:left="284" w:hanging="284"/>
        <w:contextualSpacing/>
        <w:rPr>
          <w:rFonts w:ascii="Calibri" w:hAnsi="Calibri" w:cs="Calibri"/>
          <w:bCs/>
          <w:szCs w:val="22"/>
          <w:lang w:eastAsia="en-US"/>
        </w:rPr>
      </w:pPr>
      <w:r w:rsidRPr="008676F9">
        <w:rPr>
          <w:rFonts w:ascii="Calibri" w:hAnsi="Calibri" w:cs="Calibri"/>
          <w:bCs/>
          <w:szCs w:val="22"/>
          <w:lang w:eastAsia="en-US"/>
        </w:rPr>
        <w:t>uprednostnené budú projekty žiadateľov, ktorí poskytujú možnosť absolvovania praxe pre študentov poľnohospodárskych študijných alebo učebných odborov;</w:t>
      </w:r>
    </w:p>
    <w:p w:rsidR="008676F9" w:rsidRPr="008676F9" w:rsidRDefault="008676F9" w:rsidP="001F5283">
      <w:pPr>
        <w:numPr>
          <w:ilvl w:val="0"/>
          <w:numId w:val="64"/>
        </w:numPr>
        <w:ind w:left="284" w:hanging="284"/>
        <w:contextualSpacing/>
        <w:rPr>
          <w:rFonts w:ascii="Calibri" w:hAnsi="Calibri" w:cs="Calibri"/>
          <w:bCs/>
          <w:szCs w:val="22"/>
          <w:lang w:eastAsia="en-US"/>
        </w:rPr>
      </w:pPr>
      <w:r w:rsidRPr="008676F9">
        <w:rPr>
          <w:rFonts w:ascii="Calibri" w:hAnsi="Calibri" w:cs="Calibri"/>
          <w:bCs/>
          <w:szCs w:val="22"/>
          <w:lang w:eastAsia="en-US"/>
        </w:rPr>
        <w:t>projekty sa budú hodnotiť samostatne pre fokusovú oblasť 2A a 2B. Projekty nevybrané na základe bodovacieho skóre na financovanie v rámci fokusovej oblasti 2B budú ďalej zaradené do hodnotenia projektov pre fokusovú oblasť 2A.</w:t>
      </w:r>
    </w:p>
    <w:p w:rsidR="008676F9" w:rsidRPr="008676F9" w:rsidRDefault="008676F9" w:rsidP="00AA6566">
      <w:pPr>
        <w:rPr>
          <w:rFonts w:ascii="Calibri" w:eastAsia="Calibri" w:hAnsi="Calibri" w:cs="Calibri"/>
          <w:bCs/>
          <w:szCs w:val="22"/>
          <w:u w:val="single"/>
          <w:lang w:eastAsia="en-US"/>
        </w:rPr>
      </w:pPr>
    </w:p>
    <w:p w:rsidR="008676F9" w:rsidRPr="008676F9" w:rsidRDefault="008676F9" w:rsidP="00AA6566">
      <w:pPr>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Výška a miera podpory:</w:t>
      </w:r>
    </w:p>
    <w:p w:rsidR="008676F9" w:rsidRPr="008676F9" w:rsidRDefault="008676F9" w:rsidP="00AA6566">
      <w:pPr>
        <w:rPr>
          <w:rFonts w:ascii="Calibri" w:eastAsia="Calibri" w:hAnsi="Calibri" w:cs="Calibri"/>
          <w:szCs w:val="22"/>
          <w:lang w:eastAsia="en-US"/>
        </w:rPr>
      </w:pPr>
      <w:r w:rsidRPr="008676F9">
        <w:rPr>
          <w:rFonts w:ascii="Calibri" w:eastAsia="Calibri" w:hAnsi="Calibri" w:cs="Calibri"/>
          <w:szCs w:val="22"/>
          <w:lang w:eastAsia="en-US"/>
        </w:rPr>
        <w:t>Maximálna výška podpory z celkových oprávnených výdavkov:</w:t>
      </w:r>
    </w:p>
    <w:p w:rsidR="008676F9" w:rsidRPr="008676F9" w:rsidRDefault="00204D9D" w:rsidP="00955DA4">
      <w:pPr>
        <w:numPr>
          <w:ilvl w:val="0"/>
          <w:numId w:val="97"/>
        </w:numPr>
        <w:rPr>
          <w:rFonts w:ascii="Calibri" w:hAnsi="Calibri" w:cs="Calibri"/>
          <w:szCs w:val="22"/>
          <w:lang w:eastAsia="en-US"/>
        </w:rPr>
      </w:pPr>
      <w:r>
        <w:rPr>
          <w:rFonts w:ascii="Calibri" w:hAnsi="Calibri" w:cs="Calibri"/>
          <w:szCs w:val="22"/>
          <w:lang w:eastAsia="en-US"/>
        </w:rPr>
        <w:t>45</w:t>
      </w:r>
      <w:r w:rsidR="008676F9" w:rsidRPr="008676F9">
        <w:rPr>
          <w:rFonts w:ascii="Calibri" w:hAnsi="Calibri" w:cs="Calibri"/>
          <w:szCs w:val="22"/>
          <w:lang w:eastAsia="en-US"/>
        </w:rPr>
        <w:t>% v prípade menej rozvinutých regiónov (mimo Bratislavského kraja);</w:t>
      </w:r>
    </w:p>
    <w:p w:rsidR="008676F9" w:rsidRPr="008676F9" w:rsidRDefault="008676F9" w:rsidP="00955DA4">
      <w:pPr>
        <w:numPr>
          <w:ilvl w:val="0"/>
          <w:numId w:val="97"/>
        </w:numPr>
        <w:rPr>
          <w:rFonts w:ascii="Calibri" w:hAnsi="Calibri" w:cs="Calibri"/>
          <w:szCs w:val="22"/>
          <w:lang w:eastAsia="en-US"/>
        </w:rPr>
      </w:pPr>
      <w:r w:rsidRPr="008676F9">
        <w:rPr>
          <w:rFonts w:ascii="Calibri" w:hAnsi="Calibri" w:cs="Calibri"/>
          <w:szCs w:val="22"/>
          <w:lang w:eastAsia="en-US"/>
        </w:rPr>
        <w:t>40% v prípade iných regiónov (Bratislavský kraj).</w:t>
      </w:r>
    </w:p>
    <w:p w:rsidR="00204D9D" w:rsidRDefault="00204D9D" w:rsidP="00204D9D">
      <w:pPr>
        <w:rPr>
          <w:rFonts w:ascii="Calibri" w:hAnsi="Calibri" w:cs="Calibri"/>
          <w:szCs w:val="22"/>
          <w:lang w:eastAsia="en-US"/>
        </w:rPr>
      </w:pPr>
    </w:p>
    <w:p w:rsidR="00204D9D" w:rsidRDefault="00204D9D" w:rsidP="00204D9D">
      <w:pPr>
        <w:rPr>
          <w:rFonts w:ascii="Calibri" w:hAnsi="Calibri" w:cs="Calibri"/>
          <w:szCs w:val="22"/>
          <w:lang w:eastAsia="en-US"/>
        </w:rPr>
      </w:pPr>
      <w:r>
        <w:rPr>
          <w:rFonts w:ascii="Calibri" w:hAnsi="Calibri" w:cs="Calibri"/>
          <w:szCs w:val="22"/>
          <w:lang w:eastAsia="en-US"/>
        </w:rPr>
        <w:t>V prípade kolektívnych investícií a integrovaných projektov je základná maximálna výška podpory z celkových oprávnených výdavkov:</w:t>
      </w:r>
    </w:p>
    <w:p w:rsidR="00204D9D" w:rsidRDefault="00204D9D" w:rsidP="00955DA4">
      <w:pPr>
        <w:pStyle w:val="Odsekzoznamu"/>
        <w:numPr>
          <w:ilvl w:val="0"/>
          <w:numId w:val="97"/>
        </w:numPr>
        <w:rPr>
          <w:rFonts w:ascii="Calibri" w:hAnsi="Calibri" w:cs="Calibri"/>
          <w:szCs w:val="22"/>
          <w:lang w:eastAsia="en-US"/>
        </w:rPr>
      </w:pPr>
      <w:r>
        <w:rPr>
          <w:rFonts w:ascii="Calibri" w:hAnsi="Calibri" w:cs="Calibri"/>
          <w:szCs w:val="22"/>
          <w:lang w:eastAsia="en-US"/>
        </w:rPr>
        <w:t>50 % v prípade menej rozvinutých regiónov (mimo Bratislavského kraja)</w:t>
      </w:r>
    </w:p>
    <w:p w:rsidR="00204D9D" w:rsidRDefault="00204D9D" w:rsidP="00955DA4">
      <w:pPr>
        <w:pStyle w:val="Odsekzoznamu"/>
        <w:numPr>
          <w:ilvl w:val="0"/>
          <w:numId w:val="97"/>
        </w:numPr>
        <w:rPr>
          <w:rFonts w:ascii="Calibri" w:hAnsi="Calibri" w:cs="Calibri"/>
          <w:szCs w:val="22"/>
          <w:lang w:eastAsia="en-US"/>
        </w:rPr>
      </w:pPr>
      <w:r>
        <w:rPr>
          <w:rFonts w:ascii="Calibri" w:hAnsi="Calibri" w:cs="Calibri"/>
          <w:szCs w:val="22"/>
          <w:lang w:eastAsia="en-US"/>
        </w:rPr>
        <w:t>40 % v prípade iných regiónov (Bratislavský kraj)</w:t>
      </w:r>
    </w:p>
    <w:p w:rsidR="008676F9" w:rsidRPr="008676F9" w:rsidRDefault="008676F9" w:rsidP="00AA6566">
      <w:pPr>
        <w:rPr>
          <w:rFonts w:ascii="Calibri" w:hAnsi="Calibri" w:cs="Calibri"/>
          <w:szCs w:val="22"/>
          <w:lang w:eastAsia="en-US"/>
        </w:rPr>
      </w:pPr>
    </w:p>
    <w:p w:rsidR="008676F9" w:rsidRPr="008676F9" w:rsidRDefault="00204D9D" w:rsidP="00AA6566">
      <w:pPr>
        <w:rPr>
          <w:rFonts w:ascii="Calibri" w:hAnsi="Calibri" w:cs="Calibri"/>
          <w:szCs w:val="22"/>
          <w:lang w:eastAsia="en-US"/>
        </w:rPr>
      </w:pPr>
      <w:r>
        <w:rPr>
          <w:rFonts w:ascii="Calibri" w:hAnsi="Calibri" w:cs="Calibri"/>
          <w:szCs w:val="22"/>
          <w:lang w:eastAsia="en-US"/>
        </w:rPr>
        <w:t>Zároveň platí, že m</w:t>
      </w:r>
      <w:r w:rsidR="008676F9" w:rsidRPr="008676F9">
        <w:rPr>
          <w:rFonts w:ascii="Calibri" w:hAnsi="Calibri" w:cs="Calibri"/>
          <w:szCs w:val="22"/>
          <w:lang w:eastAsia="en-US"/>
        </w:rPr>
        <w:t>iera podpory sa môže zvýšiť o 20%:</w:t>
      </w:r>
    </w:p>
    <w:p w:rsidR="008676F9" w:rsidRPr="008676F9" w:rsidRDefault="008676F9" w:rsidP="001F5283">
      <w:pPr>
        <w:numPr>
          <w:ilvl w:val="0"/>
          <w:numId w:val="35"/>
        </w:numPr>
        <w:ind w:left="284" w:hanging="284"/>
        <w:rPr>
          <w:rFonts w:ascii="Calibri" w:hAnsi="Calibri" w:cs="Calibri"/>
          <w:i/>
          <w:szCs w:val="22"/>
          <w:lang w:eastAsia="en-US"/>
        </w:rPr>
      </w:pPr>
      <w:r w:rsidRPr="008676F9">
        <w:rPr>
          <w:rFonts w:ascii="Calibri" w:hAnsi="Calibri" w:cs="Calibri"/>
          <w:i/>
          <w:szCs w:val="22"/>
          <w:lang w:eastAsia="en-US"/>
        </w:rPr>
        <w:t>v prípade mladých poľnohospodárov;</w:t>
      </w:r>
    </w:p>
    <w:p w:rsidR="008676F9" w:rsidRPr="008676F9" w:rsidRDefault="008676F9" w:rsidP="001F5283">
      <w:pPr>
        <w:numPr>
          <w:ilvl w:val="0"/>
          <w:numId w:val="35"/>
        </w:numPr>
        <w:ind w:left="284" w:hanging="284"/>
        <w:rPr>
          <w:rFonts w:ascii="Calibri" w:hAnsi="Calibri" w:cs="Calibri"/>
          <w:i/>
          <w:szCs w:val="22"/>
          <w:lang w:eastAsia="en-US"/>
        </w:rPr>
      </w:pPr>
      <w:r w:rsidRPr="008676F9">
        <w:rPr>
          <w:rFonts w:ascii="Calibri" w:hAnsi="Calibri"/>
          <w:i/>
          <w:szCs w:val="22"/>
          <w:lang w:eastAsia="en-US"/>
        </w:rPr>
        <w:t>v oblastiach s prírodnými a inými špecifickými obmedzeniami</w:t>
      </w:r>
      <w:r w:rsidRPr="008676F9">
        <w:rPr>
          <w:rFonts w:ascii="Calibri" w:hAnsi="Calibri" w:cs="Calibri"/>
          <w:i/>
          <w:szCs w:val="22"/>
          <w:lang w:eastAsia="en-US"/>
        </w:rPr>
        <w:t>;</w:t>
      </w:r>
    </w:p>
    <w:p w:rsidR="008676F9" w:rsidRPr="008676F9" w:rsidRDefault="008676F9" w:rsidP="001F5283">
      <w:pPr>
        <w:numPr>
          <w:ilvl w:val="0"/>
          <w:numId w:val="35"/>
        </w:numPr>
        <w:ind w:left="284" w:hanging="284"/>
        <w:rPr>
          <w:rFonts w:ascii="Calibri" w:hAnsi="Calibri" w:cs="Calibri"/>
          <w:i/>
          <w:szCs w:val="22"/>
          <w:lang w:eastAsia="en-US"/>
        </w:rPr>
      </w:pPr>
      <w:r w:rsidRPr="008676F9">
        <w:rPr>
          <w:rFonts w:ascii="Calibri" w:hAnsi="Calibri" w:cs="Calibri"/>
          <w:i/>
          <w:szCs w:val="22"/>
          <w:lang w:eastAsia="en-US"/>
        </w:rPr>
        <w:t>v prípade operácií v rámci operačných skupín EIP;</w:t>
      </w:r>
    </w:p>
    <w:p w:rsidR="008676F9" w:rsidRPr="008676F9" w:rsidRDefault="008676F9" w:rsidP="001F5283">
      <w:pPr>
        <w:numPr>
          <w:ilvl w:val="0"/>
          <w:numId w:val="35"/>
        </w:numPr>
        <w:ind w:left="284" w:hanging="284"/>
        <w:rPr>
          <w:rFonts w:ascii="Calibri" w:hAnsi="Calibri" w:cs="Calibri"/>
          <w:i/>
          <w:szCs w:val="22"/>
          <w:lang w:eastAsia="en-US"/>
        </w:rPr>
      </w:pPr>
      <w:r w:rsidRPr="008676F9">
        <w:rPr>
          <w:rFonts w:ascii="Calibri" w:hAnsi="Calibri" w:cs="Calibri"/>
          <w:i/>
          <w:szCs w:val="22"/>
          <w:lang w:eastAsia="en-US"/>
        </w:rPr>
        <w:t>v prípade kolektívnych (združených) investícií vrátane tých, ktoré súvisia so zlúčením organizácií výrobcov;</w:t>
      </w:r>
    </w:p>
    <w:p w:rsidR="008676F9" w:rsidRPr="008676F9" w:rsidRDefault="008676F9" w:rsidP="001F5283">
      <w:pPr>
        <w:numPr>
          <w:ilvl w:val="0"/>
          <w:numId w:val="35"/>
        </w:numPr>
        <w:ind w:left="284" w:hanging="284"/>
        <w:rPr>
          <w:rFonts w:ascii="Calibri" w:hAnsi="Calibri" w:cs="Calibri"/>
          <w:i/>
          <w:szCs w:val="22"/>
          <w:lang w:eastAsia="en-US"/>
        </w:rPr>
      </w:pPr>
      <w:r w:rsidRPr="008676F9">
        <w:rPr>
          <w:rFonts w:ascii="Calibri" w:hAnsi="Calibri" w:cs="Calibri"/>
          <w:i/>
          <w:szCs w:val="22"/>
          <w:lang w:eastAsia="en-US"/>
        </w:rPr>
        <w:t>v prípade integrovaných projektov;</w:t>
      </w:r>
    </w:p>
    <w:p w:rsidR="008676F9" w:rsidRPr="008676F9" w:rsidRDefault="008676F9" w:rsidP="001F5283">
      <w:pPr>
        <w:numPr>
          <w:ilvl w:val="0"/>
          <w:numId w:val="35"/>
        </w:numPr>
        <w:spacing w:after="120"/>
        <w:ind w:left="284" w:hanging="284"/>
        <w:rPr>
          <w:rFonts w:ascii="Calibri" w:hAnsi="Calibri" w:cs="Calibri"/>
          <w:i/>
          <w:szCs w:val="22"/>
          <w:lang w:eastAsia="en-US"/>
        </w:rPr>
      </w:pPr>
      <w:r w:rsidRPr="008676F9">
        <w:rPr>
          <w:rFonts w:ascii="Calibri" w:hAnsi="Calibri" w:cs="Calibri"/>
          <w:i/>
          <w:szCs w:val="22"/>
          <w:lang w:eastAsia="en-US"/>
        </w:rPr>
        <w:t>v prípade investícií súvisiacich s operáciami podľa opatrení č. 10 a č. 11.</w:t>
      </w:r>
    </w:p>
    <w:p w:rsidR="008676F9" w:rsidRPr="008676F9" w:rsidRDefault="008676F9" w:rsidP="00AA6566">
      <w:pPr>
        <w:rPr>
          <w:rFonts w:ascii="Calibri" w:eastAsia="Calibri" w:hAnsi="Calibri" w:cs="Calibri"/>
          <w:bCs/>
          <w:szCs w:val="22"/>
          <w:lang w:eastAsia="en-US"/>
        </w:rPr>
      </w:pPr>
      <w:r w:rsidRPr="008676F9">
        <w:rPr>
          <w:rFonts w:ascii="Calibri" w:eastAsia="Calibri" w:hAnsi="Calibri" w:cs="Calibri"/>
          <w:bCs/>
          <w:szCs w:val="22"/>
          <w:lang w:eastAsia="en-US"/>
        </w:rPr>
        <w:t>Intenzita podpory sa môže zvýšiť kombinovane najviac do 90% z celkových oprávnených výdavkov.</w:t>
      </w:r>
    </w:p>
    <w:p w:rsidR="00204D9D" w:rsidRDefault="00204D9D" w:rsidP="00204D9D">
      <w:pPr>
        <w:rPr>
          <w:rFonts w:ascii="Calibri" w:eastAsia="Calibri" w:hAnsi="Calibri" w:cs="Calibri"/>
          <w:bCs/>
          <w:szCs w:val="22"/>
          <w:lang w:eastAsia="en-US"/>
        </w:rPr>
      </w:pPr>
    </w:p>
    <w:p w:rsidR="00204D9D" w:rsidRDefault="00204D9D" w:rsidP="00204D9D">
      <w:pPr>
        <w:rPr>
          <w:rFonts w:ascii="Calibri" w:eastAsia="Calibri" w:hAnsi="Calibri" w:cs="Calibri"/>
          <w:bCs/>
          <w:szCs w:val="22"/>
          <w:lang w:eastAsia="en-US"/>
        </w:rPr>
      </w:pPr>
      <w:r>
        <w:rPr>
          <w:rFonts w:ascii="Calibri" w:eastAsia="Calibri" w:hAnsi="Calibri" w:cs="Calibri"/>
          <w:bCs/>
          <w:szCs w:val="22"/>
          <w:lang w:eastAsia="en-US"/>
        </w:rPr>
        <w:t>Maximálna výška oprávnených nákladov na jeden projekt je 1 500 000 €. Toto obmedzenie neplatí pre kolektívne investície a integrované projekty.</w:t>
      </w:r>
    </w:p>
    <w:p w:rsidR="00204D9D" w:rsidRPr="008676F9" w:rsidRDefault="00204D9D" w:rsidP="00204D9D">
      <w:pPr>
        <w:rPr>
          <w:rFonts w:ascii="Calibri" w:eastAsia="Calibri" w:hAnsi="Calibri" w:cs="Calibri"/>
          <w:bCs/>
          <w:szCs w:val="22"/>
          <w:lang w:eastAsia="en-US"/>
        </w:rPr>
      </w:pPr>
    </w:p>
    <w:p w:rsidR="008676F9" w:rsidRPr="008676F9" w:rsidRDefault="008676F9" w:rsidP="00AA6566">
      <w:pPr>
        <w:rPr>
          <w:rFonts w:ascii="Calibri" w:eastAsia="Calibri" w:hAnsi="Calibri" w:cs="Calibri"/>
          <w:szCs w:val="22"/>
          <w:u w:val="single"/>
        </w:rPr>
      </w:pPr>
      <w:r w:rsidRPr="008676F9">
        <w:rPr>
          <w:rFonts w:ascii="Calibri" w:eastAsia="Calibri" w:hAnsi="Calibri" w:cs="Calibri"/>
          <w:szCs w:val="22"/>
          <w:u w:val="single"/>
        </w:rPr>
        <w:t>Ďalšie informácie špecifické pre danú operáciu:</w:t>
      </w:r>
    </w:p>
    <w:p w:rsidR="008676F9" w:rsidRPr="008676F9" w:rsidRDefault="008676F9" w:rsidP="000E5C15">
      <w:pPr>
        <w:spacing w:after="120"/>
        <w:rPr>
          <w:rFonts w:ascii="Calibri" w:eastAsia="Calibri" w:hAnsi="Calibri" w:cs="Calibri"/>
          <w:bCs/>
          <w:i/>
          <w:szCs w:val="22"/>
          <w:lang w:eastAsia="en-US"/>
        </w:rPr>
      </w:pPr>
      <w:r w:rsidRPr="008676F9">
        <w:rPr>
          <w:rFonts w:ascii="Calibri" w:eastAsia="Calibri" w:hAnsi="Calibri" w:cs="Calibri"/>
          <w:bCs/>
          <w:i/>
          <w:szCs w:val="22"/>
          <w:lang w:eastAsia="en-US"/>
        </w:rPr>
        <w:t xml:space="preserve">Opis zacielenia podpory pre poľnohospodárske podniky na reštrukturalizáciu v súlade s analýzou SWOT vo vzťahu k priorite 2: </w:t>
      </w:r>
      <w:r w:rsidRPr="008676F9">
        <w:rPr>
          <w:rFonts w:ascii="Calibri" w:eastAsia="Calibri" w:hAnsi="Calibri" w:cs="Calibri"/>
          <w:bCs/>
          <w:szCs w:val="22"/>
          <w:lang w:eastAsia="en-US"/>
        </w:rPr>
        <w:t>Pre SR je charakteristická nízka rentabilita poľnohospodárskej výroby, pričom veľké právnické osoby ľahšie maximalizujú zisk znižovaním nákladov a obmedzovaním výroby, ako zvyšovaním efektívnosti podnikania. Z uvedeného dôvodu bude podpora na reštrukturalizáciu cielená na menšie podniky (triedy 1-4 ESU).</w:t>
      </w:r>
    </w:p>
    <w:p w:rsidR="008676F9" w:rsidRPr="008676F9" w:rsidRDefault="008676F9" w:rsidP="00D40112">
      <w:pPr>
        <w:spacing w:after="120"/>
        <w:rPr>
          <w:rFonts w:ascii="Calibri" w:eastAsia="Calibri" w:hAnsi="Calibri" w:cs="Calibri"/>
          <w:bCs/>
          <w:szCs w:val="22"/>
          <w:lang w:eastAsia="en-US"/>
        </w:rPr>
      </w:pPr>
      <w:r w:rsidRPr="008676F9">
        <w:rPr>
          <w:rFonts w:ascii="Calibri" w:eastAsia="Calibri" w:hAnsi="Calibri" w:cs="Calibri"/>
          <w:bCs/>
          <w:i/>
          <w:szCs w:val="22"/>
          <w:lang w:eastAsia="en-US"/>
        </w:rPr>
        <w:t xml:space="preserve">Kritické odvetvia: </w:t>
      </w:r>
      <w:r w:rsidRPr="008676F9">
        <w:rPr>
          <w:rFonts w:ascii="Calibri" w:eastAsia="Calibri" w:hAnsi="Calibri" w:cs="Calibri"/>
          <w:bCs/>
          <w:szCs w:val="22"/>
          <w:lang w:eastAsia="en-US"/>
        </w:rPr>
        <w:t>živočíšna výroba, špecializovaná rastlinná výroba.</w:t>
      </w:r>
    </w:p>
    <w:p w:rsidR="008676F9" w:rsidRPr="008676F9" w:rsidRDefault="008676F9" w:rsidP="00D40112">
      <w:pPr>
        <w:spacing w:after="120"/>
        <w:rPr>
          <w:rFonts w:ascii="Calibri" w:eastAsia="Calibri" w:hAnsi="Calibri" w:cs="Calibri"/>
          <w:bCs/>
          <w:szCs w:val="22"/>
          <w:lang w:eastAsia="en-US"/>
        </w:rPr>
      </w:pPr>
      <w:r w:rsidRPr="008676F9">
        <w:rPr>
          <w:rFonts w:ascii="Calibri" w:eastAsia="Calibri" w:hAnsi="Calibri" w:cs="Calibri"/>
          <w:bCs/>
          <w:i/>
          <w:szCs w:val="22"/>
          <w:lang w:eastAsia="en-US"/>
        </w:rPr>
        <w:t>Špecializovaná rastlinná výroba</w:t>
      </w:r>
      <w:r w:rsidRPr="008676F9">
        <w:rPr>
          <w:rFonts w:ascii="Calibri" w:eastAsia="Calibri" w:hAnsi="Calibri" w:cs="Calibri"/>
          <w:bCs/>
          <w:szCs w:val="22"/>
          <w:lang w:eastAsia="en-US"/>
        </w:rPr>
        <w:t xml:space="preserve"> je poľnohospodárska prvovýroba zameraná na pestovanie plodín mierneho pásma, ktoré sú uvedené v kapitole 07 „Zelenina, jedlé rastliny, korene a hľuzy“ a v kapitole 08 „Jedlé ovocie a orechy, šupy citrusových plodov alebo melónov“ Kombinovanej nomenklatúry zatriedenia tovaru a aromatické a liečivé rastliny. Číselné označenie kapitol sa môže meniť, záväzný je názov kapitoly.</w:t>
      </w:r>
    </w:p>
    <w:p w:rsidR="00204D9D" w:rsidRDefault="008676F9" w:rsidP="00204D9D">
      <w:pPr>
        <w:spacing w:after="120"/>
        <w:rPr>
          <w:rFonts w:ascii="Calibri" w:eastAsia="Calibri" w:hAnsi="Calibri" w:cs="Calibri"/>
          <w:bCs/>
          <w:szCs w:val="22"/>
          <w:lang w:eastAsia="en-US"/>
        </w:rPr>
      </w:pPr>
      <w:r w:rsidRPr="008676F9">
        <w:rPr>
          <w:rFonts w:ascii="Calibri" w:eastAsia="Calibri" w:hAnsi="Calibri"/>
          <w:i/>
          <w:szCs w:val="22"/>
          <w:lang w:eastAsia="en-US"/>
        </w:rPr>
        <w:t xml:space="preserve"> </w:t>
      </w:r>
      <w:r w:rsidR="00204D9D">
        <w:rPr>
          <w:rFonts w:ascii="Calibri" w:eastAsia="Calibri" w:hAnsi="Calibri" w:cs="Calibri"/>
          <w:bCs/>
          <w:i/>
          <w:szCs w:val="22"/>
          <w:lang w:eastAsia="en-US"/>
        </w:rPr>
        <w:t xml:space="preserve">Poľnohospodársky produkt: </w:t>
      </w:r>
      <w:r w:rsidR="00204D9D">
        <w:rPr>
          <w:rFonts w:ascii="Calibri" w:eastAsia="Calibri" w:hAnsi="Calibri" w:cs="Calibri"/>
          <w:bCs/>
          <w:szCs w:val="22"/>
          <w:lang w:eastAsia="en-US"/>
        </w:rPr>
        <w:t>produkt uvedený v prílohe I ZFEÚ (s výnimkou rybích produktov) a bavlna. Niektoré poľnohospodárske produkty sú zároveň potravinami.</w:t>
      </w:r>
    </w:p>
    <w:p w:rsidR="00204D9D" w:rsidRDefault="00204D9D" w:rsidP="00204D9D">
      <w:pPr>
        <w:spacing w:after="120"/>
        <w:rPr>
          <w:rFonts w:ascii="Calibri" w:eastAsia="Calibri" w:hAnsi="Calibri" w:cs="Calibri"/>
          <w:bCs/>
          <w:szCs w:val="22"/>
          <w:lang w:eastAsia="en-US"/>
        </w:rPr>
      </w:pPr>
      <w:r>
        <w:rPr>
          <w:rFonts w:ascii="Calibri" w:eastAsia="Calibri" w:hAnsi="Calibri" w:cs="Calibri"/>
          <w:bCs/>
          <w:i/>
          <w:szCs w:val="22"/>
          <w:lang w:eastAsia="en-US"/>
        </w:rPr>
        <w:t xml:space="preserve">Potraviny: </w:t>
      </w:r>
      <w:r>
        <w:rPr>
          <w:rFonts w:ascii="Calibri" w:eastAsia="Calibri" w:hAnsi="Calibri" w:cs="Calibri"/>
          <w:bCs/>
          <w:szCs w:val="22"/>
          <w:lang w:eastAsia="en-US"/>
        </w:rPr>
        <w:t>potraviny v zmysle zákona č. 152/1995 Z. z. o potravinách. Niektoré potraviny sú zároveň aj produktmi prílohy I ZFEÚ.</w:t>
      </w:r>
    </w:p>
    <w:p w:rsidR="00204D9D" w:rsidRPr="00E220F6" w:rsidRDefault="00204D9D" w:rsidP="00204D9D">
      <w:pPr>
        <w:spacing w:after="120"/>
        <w:rPr>
          <w:rFonts w:ascii="Calibri" w:eastAsia="Calibri" w:hAnsi="Calibri" w:cs="Calibri"/>
          <w:bCs/>
          <w:szCs w:val="22"/>
          <w:lang w:eastAsia="en-US"/>
        </w:rPr>
      </w:pPr>
      <w:r w:rsidRPr="008676F9">
        <w:rPr>
          <w:rFonts w:ascii="Calibri" w:eastAsia="Calibri" w:hAnsi="Calibri"/>
          <w:i/>
          <w:szCs w:val="22"/>
          <w:lang w:eastAsia="en-US"/>
        </w:rPr>
        <w:t xml:space="preserve">Spracovanie poľnohospodárskych produktov </w:t>
      </w:r>
      <w:r w:rsidRPr="008676F9">
        <w:rPr>
          <w:rFonts w:ascii="Calibri" w:eastAsia="Calibri" w:hAnsi="Calibri"/>
          <w:szCs w:val="22"/>
          <w:lang w:eastAsia="en-US"/>
        </w:rPr>
        <w:t>znamená akékoľvek pôsobenie na poľnohospodársky produkt, výsledkom ktorého je taktiež poľnohospodársky produkt</w:t>
      </w:r>
      <w:r>
        <w:rPr>
          <w:rFonts w:ascii="Calibri" w:eastAsia="Calibri" w:hAnsi="Calibri"/>
          <w:szCs w:val="22"/>
          <w:lang w:eastAsia="en-US"/>
        </w:rPr>
        <w:t>,</w:t>
      </w:r>
      <w:r w:rsidRPr="008676F9">
        <w:rPr>
          <w:rFonts w:ascii="Calibri" w:eastAsia="Calibri" w:hAnsi="Calibri"/>
          <w:szCs w:val="22"/>
          <w:lang w:eastAsia="en-US"/>
        </w:rPr>
        <w:t xml:space="preserve"> potravina</w:t>
      </w:r>
      <w:r>
        <w:rPr>
          <w:rFonts w:ascii="Calibri" w:eastAsia="Calibri" w:hAnsi="Calibri"/>
          <w:szCs w:val="22"/>
          <w:lang w:eastAsia="en-US"/>
        </w:rPr>
        <w:t xml:space="preserve"> alebo iný produkt</w:t>
      </w:r>
      <w:r w:rsidRPr="008676F9">
        <w:rPr>
          <w:rFonts w:ascii="Calibri" w:eastAsia="Calibri" w:hAnsi="Calibri"/>
          <w:szCs w:val="22"/>
          <w:lang w:eastAsia="en-US"/>
        </w:rPr>
        <w:t xml:space="preserve"> s výnimkou činností vykonávaných v poľnohospodárskom podniku v súvislosti s prípravou živočíšneho alebo rastlinného produktu na prvý predaj, t.j. činnosti vykonávané v poľnohospodárskom podniku potrebné na prípravu výrobku na prvý predaj ako napr. zber, sekanie a mlátenie obilnín, balenie vajec atď. sa nepovažuje za spracovanie. V prípade produktov rastlinného pôvodu musia byť tieto minimálne očistené, vytriedené a zabalené do maloobchodného spotrebiteľského balenia. Len samostatné umiestnenie v prepravkách sa nepovažuje za primárne spracovanie poľnohospodárskych produktov.</w:t>
      </w:r>
      <w:r>
        <w:rPr>
          <w:rFonts w:ascii="Calibri" w:eastAsia="Calibri" w:hAnsi="Calibri"/>
          <w:szCs w:val="22"/>
          <w:lang w:eastAsia="en-US"/>
        </w:rPr>
        <w:t xml:space="preserve"> Spracovanie poľnohospodárskych produktov teda zahŕňa z veľkej časti aj pojem </w:t>
      </w:r>
      <w:r w:rsidRPr="003A44D0">
        <w:rPr>
          <w:rFonts w:ascii="Calibri" w:eastAsia="Calibri" w:hAnsi="Calibri"/>
          <w:i/>
          <w:szCs w:val="22"/>
          <w:lang w:eastAsia="en-US"/>
        </w:rPr>
        <w:t>výroba potravín</w:t>
      </w:r>
      <w:r>
        <w:rPr>
          <w:rFonts w:ascii="Calibri" w:eastAsia="Calibri" w:hAnsi="Calibri"/>
          <w:i/>
          <w:szCs w:val="22"/>
          <w:lang w:eastAsia="en-US"/>
        </w:rPr>
        <w:t>.</w:t>
      </w:r>
    </w:p>
    <w:p w:rsidR="008676F9" w:rsidRPr="008676F9" w:rsidRDefault="008676F9" w:rsidP="00D40112">
      <w:pPr>
        <w:spacing w:after="120"/>
        <w:rPr>
          <w:rFonts w:ascii="Calibri" w:eastAsia="Calibri" w:hAnsi="Calibri"/>
          <w:szCs w:val="22"/>
          <w:lang w:eastAsia="en-US"/>
        </w:rPr>
      </w:pPr>
      <w:r w:rsidRPr="008676F9">
        <w:rPr>
          <w:rFonts w:ascii="Calibri" w:eastAsia="Calibri" w:hAnsi="Calibri"/>
          <w:i/>
          <w:szCs w:val="22"/>
          <w:lang w:eastAsia="en-US"/>
        </w:rPr>
        <w:t>Kolektívnymi (združenými) investíciami</w:t>
      </w:r>
      <w:r w:rsidRPr="008676F9">
        <w:rPr>
          <w:rFonts w:ascii="Calibri" w:eastAsia="Calibri" w:hAnsi="Calibri"/>
          <w:szCs w:val="22"/>
          <w:lang w:eastAsia="en-US"/>
        </w:rPr>
        <w:t xml:space="preserve"> sa rozumejú investície, ktoré sa realizujú viac ako jedným poľnohospodárom a z uvedeného dôvodu prinášajú synergický efekt. Prijímateľom finančnej podpory</w:t>
      </w:r>
      <w:r w:rsidRPr="008676F9">
        <w:rPr>
          <w:rFonts w:ascii="Calibri" w:eastAsia="Calibri" w:hAnsi="Calibri"/>
          <w:szCs w:val="22"/>
          <w:lang w:eastAsia="en-US"/>
        </w:rPr>
        <w:lastRenderedPageBreak/>
        <w:t xml:space="preserve"> môže byť buď vzniknutý právny subjekt (skupina výrobcov, organizácia výrobcov, medziodvetvová organizácia a pod.), alebo jeden subjekt, ktorý na základe zmluvy spolupracuje s iným subjektom/subjektmi a všetci sú beneficientmi a spoluriešitelia projektu. Kolektívne (združené) investície nepriamo prispievajú k cieľom opatrenia Spolupráca.</w:t>
      </w:r>
    </w:p>
    <w:p w:rsidR="008676F9" w:rsidRPr="008676F9" w:rsidRDefault="008676F9" w:rsidP="00D40112">
      <w:pPr>
        <w:spacing w:after="120"/>
        <w:rPr>
          <w:rFonts w:ascii="Calibri" w:eastAsia="Calibri" w:hAnsi="Calibri"/>
          <w:szCs w:val="22"/>
          <w:lang w:eastAsia="en-US"/>
        </w:rPr>
      </w:pPr>
      <w:r w:rsidRPr="008676F9">
        <w:rPr>
          <w:rFonts w:ascii="Calibri" w:eastAsia="Calibri" w:hAnsi="Calibri"/>
          <w:i/>
          <w:szCs w:val="22"/>
          <w:lang w:eastAsia="en-US"/>
        </w:rPr>
        <w:t>Integrovanými projektmi</w:t>
      </w:r>
      <w:r w:rsidRPr="008676F9">
        <w:rPr>
          <w:rFonts w:ascii="Calibri" w:eastAsia="Calibri" w:hAnsi="Calibri"/>
          <w:szCs w:val="22"/>
          <w:lang w:eastAsia="en-US"/>
        </w:rPr>
        <w:t xml:space="preserve"> sa rozumejú projekty zahŕňajúce podporu v rámci viacerých opatrení..</w:t>
      </w:r>
    </w:p>
    <w:p w:rsidR="00204D9D" w:rsidRPr="008676F9" w:rsidRDefault="00204D9D" w:rsidP="00204D9D">
      <w:pPr>
        <w:spacing w:after="120"/>
        <w:rPr>
          <w:rFonts w:ascii="Calibri" w:eastAsia="Calibri" w:hAnsi="Calibri"/>
          <w:szCs w:val="22"/>
          <w:lang w:eastAsia="en-US"/>
        </w:rPr>
      </w:pPr>
      <w:r w:rsidRPr="008676F9">
        <w:rPr>
          <w:rFonts w:ascii="Calibri" w:eastAsia="Calibri" w:hAnsi="Calibri"/>
          <w:i/>
          <w:szCs w:val="22"/>
          <w:lang w:eastAsia="en-US"/>
        </w:rPr>
        <w:t>Projekty prispievajúce k cieľom Európskeho inovačného partnerstva pre udržateľnosť a produktivitu v poľnohospodárstve</w:t>
      </w:r>
      <w:r w:rsidRPr="008676F9">
        <w:rPr>
          <w:rFonts w:ascii="Calibri" w:eastAsia="Calibri" w:hAnsi="Calibri"/>
          <w:b/>
          <w:i/>
          <w:szCs w:val="22"/>
          <w:lang w:eastAsia="en-US"/>
        </w:rPr>
        <w:t xml:space="preserve"> </w:t>
      </w:r>
      <w:r w:rsidRPr="008676F9">
        <w:rPr>
          <w:rFonts w:ascii="Calibri" w:eastAsia="Calibri" w:hAnsi="Calibri"/>
          <w:szCs w:val="22"/>
          <w:lang w:eastAsia="en-US"/>
        </w:rPr>
        <w:t>sú projekty realizované v rámci spolupráce operačných skupín v zmysle opatrenia Spolupráca.</w:t>
      </w:r>
    </w:p>
    <w:p w:rsidR="00204D9D" w:rsidRPr="008676F9" w:rsidRDefault="00204D9D" w:rsidP="00204D9D">
      <w:pPr>
        <w:autoSpaceDE w:val="0"/>
        <w:autoSpaceDN w:val="0"/>
        <w:adjustRightInd w:val="0"/>
        <w:spacing w:after="120"/>
        <w:rPr>
          <w:rFonts w:ascii="Calibri" w:eastAsia="Calibri" w:hAnsi="Calibri" w:cs="Calibri"/>
          <w:szCs w:val="22"/>
          <w:lang w:eastAsia="en-US"/>
        </w:rPr>
      </w:pPr>
      <w:r w:rsidRPr="008676F9">
        <w:rPr>
          <w:rFonts w:ascii="Calibri" w:eastAsia="Calibri" w:hAnsi="Calibri"/>
          <w:i/>
          <w:szCs w:val="22"/>
          <w:lang w:eastAsia="en-US"/>
        </w:rPr>
        <w:t>Mladý poľnohospodár</w:t>
      </w:r>
      <w:r w:rsidRPr="008676F9">
        <w:rPr>
          <w:rFonts w:ascii="Calibri" w:eastAsia="Calibri" w:hAnsi="Calibri"/>
          <w:b/>
          <w:i/>
          <w:szCs w:val="22"/>
          <w:lang w:eastAsia="en-US"/>
        </w:rPr>
        <w:t>:</w:t>
      </w:r>
      <w:r w:rsidRPr="008676F9">
        <w:rPr>
          <w:rFonts w:ascii="Calibri" w:eastAsia="Calibri" w:hAnsi="Calibri"/>
          <w:szCs w:val="22"/>
          <w:lang w:eastAsia="en-US"/>
        </w:rPr>
        <w:t xml:space="preserve"> s</w:t>
      </w:r>
      <w:r w:rsidRPr="008676F9">
        <w:rPr>
          <w:rFonts w:ascii="Calibri" w:eastAsia="Calibri" w:hAnsi="Calibri" w:cs="Calibri"/>
          <w:szCs w:val="22"/>
          <w:lang w:eastAsia="en-US"/>
        </w:rPr>
        <w:t>ubjekt, ktorý spĺňa definíciu prijímateľa podpory v</w:t>
      </w:r>
      <w:r w:rsidR="00871C41">
        <w:rPr>
          <w:rFonts w:ascii="Calibri" w:eastAsia="Calibri" w:hAnsi="Calibri" w:cs="Calibri"/>
          <w:szCs w:val="22"/>
          <w:lang w:eastAsia="en-US"/>
        </w:rPr>
        <w:t> </w:t>
      </w:r>
      <w:r w:rsidRPr="008676F9">
        <w:rPr>
          <w:rFonts w:ascii="Calibri" w:eastAsia="Calibri" w:hAnsi="Calibri" w:cs="Calibri"/>
          <w:szCs w:val="22"/>
          <w:lang w:eastAsia="en-US"/>
        </w:rPr>
        <w:t>podopatrení</w:t>
      </w:r>
      <w:r w:rsidR="00871C41">
        <w:rPr>
          <w:rFonts w:ascii="Calibri" w:eastAsia="Calibri" w:hAnsi="Calibri" w:cs="Calibri"/>
          <w:szCs w:val="22"/>
          <w:lang w:eastAsia="en-US"/>
        </w:rPr>
        <w:t xml:space="preserve"> </w:t>
      </w:r>
      <w:r>
        <w:rPr>
          <w:rFonts w:ascii="Calibri" w:eastAsia="Calibri" w:hAnsi="Calibri" w:cs="Calibri"/>
          <w:szCs w:val="22"/>
          <w:lang w:eastAsia="en-US"/>
        </w:rPr>
        <w:t>6</w:t>
      </w:r>
      <w:r w:rsidRPr="008676F9">
        <w:rPr>
          <w:rFonts w:ascii="Calibri" w:eastAsia="Calibri" w:hAnsi="Calibri" w:cs="Calibri"/>
          <w:szCs w:val="22"/>
          <w:lang w:eastAsia="en-US"/>
        </w:rPr>
        <w:t>.1.</w:t>
      </w:r>
    </w:p>
    <w:p w:rsidR="00204D9D" w:rsidRDefault="00204D9D" w:rsidP="00204D9D">
      <w:pPr>
        <w:autoSpaceDE w:val="0"/>
        <w:autoSpaceDN w:val="0"/>
        <w:adjustRightInd w:val="0"/>
        <w:rPr>
          <w:rFonts w:ascii="Calibri" w:eastAsia="Calibri" w:hAnsi="Calibri" w:cs="Calibri"/>
          <w:szCs w:val="22"/>
          <w:lang w:eastAsia="en-US"/>
        </w:rPr>
      </w:pPr>
      <w:r w:rsidRPr="008676F9">
        <w:rPr>
          <w:rFonts w:ascii="Calibri" w:eastAsia="Calibri" w:hAnsi="Calibri" w:cs="Calibri"/>
          <w:i/>
          <w:szCs w:val="22"/>
          <w:lang w:eastAsia="en-US"/>
        </w:rPr>
        <w:t>Mal</w:t>
      </w:r>
      <w:r>
        <w:rPr>
          <w:rFonts w:ascii="Calibri" w:eastAsia="Calibri" w:hAnsi="Calibri" w:cs="Calibri"/>
          <w:i/>
          <w:szCs w:val="22"/>
          <w:lang w:eastAsia="en-US"/>
        </w:rPr>
        <w:t>ý</w:t>
      </w:r>
      <w:r w:rsidRPr="008676F9">
        <w:rPr>
          <w:rFonts w:ascii="Calibri" w:eastAsia="Calibri" w:hAnsi="Calibri" w:cs="Calibri"/>
          <w:i/>
          <w:szCs w:val="22"/>
          <w:lang w:eastAsia="en-US"/>
        </w:rPr>
        <w:t xml:space="preserve"> </w:t>
      </w:r>
      <w:r>
        <w:rPr>
          <w:rFonts w:ascii="Calibri" w:eastAsia="Calibri" w:hAnsi="Calibri" w:cs="Calibri"/>
          <w:i/>
          <w:szCs w:val="22"/>
          <w:lang w:eastAsia="en-US"/>
        </w:rPr>
        <w:t>poľnohospodársky podnik</w:t>
      </w:r>
      <w:r w:rsidRPr="008676F9">
        <w:rPr>
          <w:rFonts w:ascii="Calibri" w:eastAsia="Calibri" w:hAnsi="Calibri" w:cs="Calibri"/>
          <w:szCs w:val="22"/>
          <w:lang w:eastAsia="en-US"/>
        </w:rPr>
        <w:t>: subjekt, ktorý spĺňa definíciu prijímateľa podpory v podopatrení 6.2.</w:t>
      </w:r>
    </w:p>
    <w:p w:rsidR="001B617C" w:rsidRDefault="001B617C" w:rsidP="00204D9D">
      <w:pPr>
        <w:autoSpaceDE w:val="0"/>
        <w:autoSpaceDN w:val="0"/>
        <w:adjustRightInd w:val="0"/>
        <w:rPr>
          <w:rFonts w:ascii="Calibri" w:eastAsia="Calibri" w:hAnsi="Calibri" w:cs="Calibri"/>
          <w:szCs w:val="22"/>
          <w:lang w:eastAsia="en-US"/>
        </w:rPr>
      </w:pPr>
    </w:p>
    <w:p w:rsidR="00204D9D" w:rsidRDefault="00204D9D" w:rsidP="00204D9D">
      <w:pPr>
        <w:autoSpaceDE w:val="0"/>
        <w:autoSpaceDN w:val="0"/>
        <w:adjustRightInd w:val="0"/>
        <w:rPr>
          <w:rFonts w:ascii="Calibri" w:eastAsia="Calibri" w:hAnsi="Calibri" w:cs="Calibri"/>
          <w:szCs w:val="22"/>
          <w:lang w:eastAsia="en-US"/>
        </w:rPr>
      </w:pPr>
      <w:r>
        <w:rPr>
          <w:rFonts w:ascii="Calibri" w:eastAsia="Calibri" w:hAnsi="Calibri" w:cs="Calibri"/>
          <w:szCs w:val="22"/>
          <w:lang w:eastAsia="en-US"/>
        </w:rPr>
        <w:t>Pri hodnotení projektov bude prihliadané na minimalizovanie subjektívneho faktora.</w:t>
      </w:r>
    </w:p>
    <w:p w:rsidR="00204D9D" w:rsidRDefault="00204D9D" w:rsidP="00204D9D">
      <w:pPr>
        <w:rPr>
          <w:rFonts w:ascii="Calibri" w:hAnsi="Calibri" w:cs="Calibri"/>
          <w:bCs/>
          <w:szCs w:val="22"/>
          <w:lang w:eastAsia="en-US"/>
        </w:rPr>
      </w:pPr>
    </w:p>
    <w:p w:rsidR="008676F9" w:rsidRDefault="008676F9" w:rsidP="00AA6566">
      <w:pPr>
        <w:autoSpaceDE w:val="0"/>
        <w:autoSpaceDN w:val="0"/>
        <w:adjustRightInd w:val="0"/>
        <w:rPr>
          <w:rFonts w:ascii="Calibri" w:eastAsia="Calibri" w:hAnsi="Calibri" w:cs="Calibri"/>
          <w:szCs w:val="22"/>
          <w:lang w:eastAsia="en-US"/>
        </w:rPr>
      </w:pPr>
    </w:p>
    <w:p w:rsidR="008676F9" w:rsidRPr="008676F9" w:rsidRDefault="008676F9" w:rsidP="008676F9">
      <w:pPr>
        <w:shd w:val="clear" w:color="auto" w:fill="D6E3BC"/>
        <w:rPr>
          <w:rFonts w:ascii="Calibri" w:eastAsia="Calibri" w:hAnsi="Calibri" w:cs="Calibri"/>
          <w:bCs/>
          <w:i/>
          <w:lang w:eastAsia="en-US"/>
        </w:rPr>
      </w:pPr>
      <w:r w:rsidRPr="008676F9">
        <w:rPr>
          <w:rFonts w:ascii="Calibri" w:eastAsia="Calibri" w:hAnsi="Calibri" w:cs="Calibri"/>
          <w:bCs/>
          <w:lang w:eastAsia="en-US"/>
        </w:rPr>
        <w:t xml:space="preserve">Podopatrenie: </w:t>
      </w:r>
      <w:r w:rsidRPr="008676F9">
        <w:rPr>
          <w:rFonts w:ascii="Calibri" w:eastAsia="Calibri" w:hAnsi="Calibri" w:cs="Calibri"/>
          <w:b/>
          <w:bCs/>
          <w:i/>
          <w:lang w:eastAsia="en-US"/>
        </w:rPr>
        <w:t xml:space="preserve">4.1 </w:t>
      </w:r>
      <w:r w:rsidRPr="00CC6591">
        <w:rPr>
          <w:rFonts w:ascii="Calibri" w:eastAsia="Calibri" w:hAnsi="Calibri" w:cs="Calibri"/>
          <w:b/>
          <w:bCs/>
          <w:i/>
          <w:sz w:val="24"/>
          <w:lang w:eastAsia="en-US"/>
        </w:rPr>
        <w:t>Podpora investícií do poľnohospodárskych podnikov</w:t>
      </w:r>
    </w:p>
    <w:p w:rsidR="008676F9" w:rsidRPr="008676F9" w:rsidRDefault="008676F9" w:rsidP="008676F9">
      <w:pPr>
        <w:shd w:val="clear" w:color="auto" w:fill="FBD4B4"/>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Názov operácie:</w:t>
      </w:r>
    </w:p>
    <w:p w:rsidR="008676F9" w:rsidRPr="008676F9" w:rsidRDefault="008676F9" w:rsidP="008676F9">
      <w:pPr>
        <w:shd w:val="clear" w:color="auto" w:fill="FBD4B4"/>
        <w:rPr>
          <w:rFonts w:ascii="Calibri" w:eastAsia="Calibri" w:hAnsi="Calibri" w:cs="Calibri"/>
          <w:bCs/>
          <w:i/>
          <w:szCs w:val="22"/>
          <w:lang w:eastAsia="en-US"/>
        </w:rPr>
      </w:pPr>
      <w:r w:rsidRPr="008676F9">
        <w:rPr>
          <w:rFonts w:ascii="Calibri" w:eastAsia="Calibri" w:hAnsi="Calibri" w:cs="Calibri"/>
          <w:bCs/>
          <w:i/>
          <w:szCs w:val="22"/>
          <w:lang w:eastAsia="en-US"/>
        </w:rPr>
        <w:t xml:space="preserve">Investície do hmotného majetku zamerané </w:t>
      </w:r>
      <w:r w:rsidRPr="008676F9">
        <w:rPr>
          <w:rFonts w:ascii="Calibri" w:eastAsia="Calibri" w:hAnsi="Calibri" w:cs="Calibri"/>
          <w:b/>
          <w:bCs/>
          <w:i/>
          <w:szCs w:val="22"/>
          <w:lang w:eastAsia="en-US"/>
        </w:rPr>
        <w:t>na zefektívnenie využívania vody</w:t>
      </w:r>
      <w:r w:rsidRPr="008676F9">
        <w:rPr>
          <w:rFonts w:ascii="Calibri" w:eastAsia="Calibri" w:hAnsi="Calibri" w:cs="Calibri"/>
          <w:bCs/>
          <w:i/>
          <w:szCs w:val="22"/>
          <w:lang w:eastAsia="en-US"/>
        </w:rPr>
        <w:t xml:space="preserve"> v poľnohospodárstve</w:t>
      </w:r>
    </w:p>
    <w:p w:rsidR="008676F9" w:rsidRPr="008676F9" w:rsidRDefault="008676F9" w:rsidP="008676F9">
      <w:pPr>
        <w:rPr>
          <w:rFonts w:ascii="Calibri" w:eastAsia="Calibri" w:hAnsi="Calibri" w:cs="Calibri"/>
          <w:bCs/>
          <w:szCs w:val="22"/>
          <w:lang w:eastAsia="en-US"/>
        </w:rPr>
      </w:pPr>
    </w:p>
    <w:p w:rsidR="008676F9" w:rsidRPr="008676F9" w:rsidRDefault="008676F9" w:rsidP="00AA6566">
      <w:pPr>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Opis operácie:</w:t>
      </w:r>
    </w:p>
    <w:p w:rsidR="008676F9" w:rsidRPr="008676F9" w:rsidRDefault="008676F9" w:rsidP="00016B4F">
      <w:pPr>
        <w:spacing w:after="120"/>
        <w:rPr>
          <w:rFonts w:ascii="Calibri" w:hAnsi="Calibri"/>
          <w:szCs w:val="22"/>
          <w:lang w:eastAsia="en-US"/>
        </w:rPr>
      </w:pPr>
      <w:r w:rsidRPr="008676F9">
        <w:rPr>
          <w:rFonts w:ascii="Calibri" w:hAnsi="Calibri" w:cs="Calibri"/>
          <w:bCs/>
          <w:szCs w:val="22"/>
          <w:lang w:eastAsia="en-US"/>
        </w:rPr>
        <w:t xml:space="preserve">Oprávnené sú len tie činnosti, ktoré zvyšujú celkovú výkonnosť a udržateľnosť poľnohospodárskeho podniku </w:t>
      </w:r>
      <w:r w:rsidRPr="008676F9">
        <w:rPr>
          <w:rFonts w:ascii="Calibri" w:hAnsi="Calibri"/>
          <w:szCs w:val="22"/>
          <w:lang w:eastAsia="en-US"/>
        </w:rPr>
        <w:t>zvýšením efektivity využívania vody v poľnohospodárstve.</w:t>
      </w:r>
    </w:p>
    <w:p w:rsidR="008676F9" w:rsidRPr="008676F9" w:rsidRDefault="008676F9" w:rsidP="00016B4F">
      <w:pPr>
        <w:spacing w:after="120"/>
        <w:rPr>
          <w:rFonts w:ascii="Calibri" w:eastAsia="Calibri" w:hAnsi="Calibri"/>
          <w:szCs w:val="22"/>
          <w:lang w:eastAsia="en-US"/>
        </w:rPr>
      </w:pPr>
      <w:r w:rsidRPr="008676F9">
        <w:rPr>
          <w:rFonts w:ascii="Calibri" w:eastAsia="Calibri" w:hAnsi="Calibri" w:cs="Calibri"/>
          <w:bCs/>
          <w:szCs w:val="22"/>
          <w:lang w:eastAsia="en-US"/>
        </w:rPr>
        <w:t xml:space="preserve">Podporené budú činnosti v súvislosti s </w:t>
      </w:r>
      <w:r w:rsidRPr="008676F9">
        <w:rPr>
          <w:rFonts w:ascii="Calibri" w:eastAsia="Calibri" w:hAnsi="Calibri"/>
          <w:szCs w:val="22"/>
          <w:lang w:eastAsia="en-US"/>
        </w:rPr>
        <w:t>využívaním závlah, realizáciou investícií do existujúcich a nových závlahových systémov (infraštruktúry ako aj koncových zariadení) s cieľom ich výstavby, rekonštrukcie, modernizácie a efektívnejšieho nakladania so závlahovou vodou a energiou obmedzením ich strát.</w:t>
      </w:r>
    </w:p>
    <w:p w:rsidR="008676F9" w:rsidRPr="008676F9" w:rsidRDefault="008676F9" w:rsidP="00AA6566">
      <w:pPr>
        <w:rPr>
          <w:rFonts w:ascii="Calibri" w:eastAsia="Calibri" w:hAnsi="Calibri" w:cs="Calibri"/>
          <w:bCs/>
          <w:szCs w:val="22"/>
          <w:lang w:eastAsia="en-US"/>
        </w:rPr>
      </w:pPr>
      <w:r w:rsidRPr="008676F9">
        <w:rPr>
          <w:rFonts w:ascii="Calibri" w:eastAsia="Calibri" w:hAnsi="Calibri" w:cs="Calibri"/>
          <w:bCs/>
          <w:szCs w:val="22"/>
          <w:lang w:eastAsia="en-US"/>
        </w:rPr>
        <w:t>Operácia prispieva prioritne k fokusovej oblasti 5A</w:t>
      </w:r>
      <w:r w:rsidR="00D40112">
        <w:rPr>
          <w:rFonts w:ascii="Calibri" w:eastAsia="Calibri" w:hAnsi="Calibri" w:cs="Calibri"/>
          <w:bCs/>
          <w:szCs w:val="22"/>
          <w:lang w:eastAsia="en-US"/>
        </w:rPr>
        <w:t>.</w:t>
      </w:r>
    </w:p>
    <w:p w:rsidR="008676F9" w:rsidRPr="008676F9" w:rsidRDefault="008676F9" w:rsidP="00AA6566">
      <w:pPr>
        <w:rPr>
          <w:rFonts w:ascii="Calibri" w:eastAsia="Calibri" w:hAnsi="Calibri" w:cs="Calibri"/>
          <w:bCs/>
          <w:szCs w:val="22"/>
          <w:lang w:eastAsia="en-US"/>
        </w:rPr>
      </w:pPr>
      <w:r w:rsidRPr="008676F9">
        <w:rPr>
          <w:rFonts w:ascii="Calibri" w:eastAsia="Calibri" w:hAnsi="Calibri" w:cs="Calibri"/>
          <w:bCs/>
          <w:szCs w:val="22"/>
          <w:lang w:eastAsia="en-US"/>
        </w:rPr>
        <w:t>Operácia prispieva sekundárne k fokusovej oblasti 2A, 2B</w:t>
      </w:r>
      <w:r w:rsidR="00D40112">
        <w:rPr>
          <w:rFonts w:ascii="Calibri" w:eastAsia="Calibri" w:hAnsi="Calibri" w:cs="Calibri"/>
          <w:bCs/>
          <w:szCs w:val="22"/>
          <w:lang w:eastAsia="en-US"/>
        </w:rPr>
        <w:t>.</w:t>
      </w:r>
    </w:p>
    <w:p w:rsidR="008676F9" w:rsidRPr="008676F9" w:rsidRDefault="008676F9" w:rsidP="00D40112">
      <w:pPr>
        <w:keepNext/>
        <w:keepLines/>
        <w:ind w:left="720"/>
        <w:outlineLvl w:val="3"/>
        <w:rPr>
          <w:rFonts w:ascii="Calibri" w:hAnsi="Calibri" w:cs="Calibri"/>
          <w:bCs/>
          <w:iCs/>
          <w:szCs w:val="22"/>
          <w:lang w:eastAsia="en-US"/>
        </w:rPr>
      </w:pPr>
    </w:p>
    <w:p w:rsidR="008676F9" w:rsidRPr="008676F9" w:rsidRDefault="008676F9" w:rsidP="00D40112">
      <w:pPr>
        <w:keepNext/>
        <w:keepLines/>
        <w:outlineLvl w:val="3"/>
        <w:rPr>
          <w:rFonts w:ascii="Calibri" w:hAnsi="Calibri" w:cs="Calibri"/>
          <w:bCs/>
          <w:iCs/>
          <w:szCs w:val="22"/>
          <w:lang w:eastAsia="en-US"/>
        </w:rPr>
      </w:pPr>
      <w:r w:rsidRPr="008676F9">
        <w:rPr>
          <w:rFonts w:ascii="Calibri" w:hAnsi="Calibri" w:cs="Calibri"/>
          <w:bCs/>
          <w:iCs/>
          <w:szCs w:val="22"/>
          <w:lang w:eastAsia="en-US"/>
        </w:rPr>
        <w:t>Rozsah činností:</w:t>
      </w:r>
    </w:p>
    <w:p w:rsidR="008676F9" w:rsidRPr="008676F9" w:rsidRDefault="008676F9" w:rsidP="001F5283">
      <w:pPr>
        <w:keepNext/>
        <w:keepLines/>
        <w:numPr>
          <w:ilvl w:val="0"/>
          <w:numId w:val="76"/>
        </w:numPr>
        <w:ind w:left="714" w:hanging="357"/>
        <w:outlineLvl w:val="3"/>
        <w:rPr>
          <w:rFonts w:ascii="Calibri" w:hAnsi="Calibri" w:cs="Calibri"/>
          <w:b/>
          <w:bCs/>
          <w:i/>
          <w:iCs/>
          <w:szCs w:val="22"/>
          <w:u w:val="single"/>
          <w:lang w:eastAsia="en-US"/>
        </w:rPr>
      </w:pPr>
      <w:r w:rsidRPr="008676F9">
        <w:rPr>
          <w:rFonts w:ascii="Calibri" w:hAnsi="Calibri" w:cs="Calibri"/>
          <w:bCs/>
          <w:iCs/>
          <w:szCs w:val="22"/>
          <w:lang w:eastAsia="en-US"/>
        </w:rPr>
        <w:t>stavebné investície na výstavbu, rekonštrukciu alebo modernizáciu závlahových systémov vrátane infraštruktúry;</w:t>
      </w:r>
    </w:p>
    <w:p w:rsidR="008676F9" w:rsidRPr="008676F9" w:rsidRDefault="008676F9" w:rsidP="001F5283">
      <w:pPr>
        <w:keepNext/>
        <w:keepLines/>
        <w:numPr>
          <w:ilvl w:val="0"/>
          <w:numId w:val="76"/>
        </w:numPr>
        <w:outlineLvl w:val="3"/>
        <w:rPr>
          <w:rFonts w:ascii="Calibri" w:hAnsi="Calibri" w:cs="Calibri"/>
          <w:b/>
          <w:bCs/>
          <w:i/>
          <w:iCs/>
          <w:szCs w:val="22"/>
          <w:u w:val="single"/>
          <w:lang w:eastAsia="en-US"/>
        </w:rPr>
      </w:pPr>
      <w:r w:rsidRPr="008676F9">
        <w:rPr>
          <w:rFonts w:ascii="Calibri" w:hAnsi="Calibri" w:cs="Calibri"/>
          <w:bCs/>
          <w:iCs/>
          <w:szCs w:val="22"/>
          <w:lang w:eastAsia="en-US"/>
        </w:rPr>
        <w:t xml:space="preserve">investície do obstarania a modernizácie techniky a technológie závlahových systémov. </w:t>
      </w:r>
    </w:p>
    <w:p w:rsidR="008676F9" w:rsidRPr="008676F9" w:rsidRDefault="008676F9" w:rsidP="00AA6566">
      <w:pPr>
        <w:rPr>
          <w:rFonts w:ascii="Calibri" w:eastAsia="Calibri" w:hAnsi="Calibri" w:cs="Calibri"/>
          <w:bCs/>
          <w:szCs w:val="22"/>
          <w:u w:val="single"/>
          <w:lang w:eastAsia="en-US"/>
        </w:rPr>
      </w:pPr>
    </w:p>
    <w:p w:rsidR="008676F9" w:rsidRPr="008676F9" w:rsidRDefault="008676F9" w:rsidP="00AA6566">
      <w:pPr>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Typ podpory:</w:t>
      </w:r>
    </w:p>
    <w:p w:rsidR="008676F9" w:rsidRPr="008676F9" w:rsidRDefault="008676F9" w:rsidP="00AA6566">
      <w:pPr>
        <w:rPr>
          <w:rFonts w:ascii="Calibri" w:eastAsia="Calibri" w:hAnsi="Calibri" w:cs="Calibri"/>
          <w:bCs/>
          <w:szCs w:val="22"/>
          <w:lang w:eastAsia="en-US"/>
        </w:rPr>
      </w:pPr>
      <w:r w:rsidRPr="008676F9">
        <w:rPr>
          <w:rFonts w:ascii="Calibri" w:eastAsia="Calibri" w:hAnsi="Calibri" w:cs="Calibri"/>
          <w:bCs/>
          <w:szCs w:val="22"/>
          <w:lang w:eastAsia="en-US"/>
        </w:rPr>
        <w:t>Zisková, investičná, nenávratný finančný príspevok.</w:t>
      </w:r>
    </w:p>
    <w:p w:rsidR="008676F9" w:rsidRPr="008676F9" w:rsidRDefault="008676F9" w:rsidP="00AA6566">
      <w:pPr>
        <w:rPr>
          <w:rFonts w:ascii="Calibri" w:eastAsia="Calibri" w:hAnsi="Calibri" w:cs="Calibri"/>
          <w:bCs/>
          <w:szCs w:val="22"/>
          <w:lang w:eastAsia="en-US"/>
        </w:rPr>
      </w:pPr>
    </w:p>
    <w:p w:rsidR="008676F9" w:rsidRPr="008676F9" w:rsidRDefault="008676F9" w:rsidP="00AA6566">
      <w:pPr>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Súvislosť s inou legislatívou:</w:t>
      </w:r>
    </w:p>
    <w:p w:rsidR="008676F9" w:rsidRPr="008676F9" w:rsidRDefault="008676F9" w:rsidP="001F5283">
      <w:pPr>
        <w:numPr>
          <w:ilvl w:val="0"/>
          <w:numId w:val="76"/>
        </w:numPr>
        <w:rPr>
          <w:rFonts w:ascii="Calibri" w:hAnsi="Calibri" w:cs="Calibri"/>
          <w:bCs/>
          <w:szCs w:val="22"/>
          <w:lang w:eastAsia="en-US"/>
        </w:rPr>
      </w:pPr>
      <w:r w:rsidRPr="008676F9">
        <w:rPr>
          <w:rFonts w:ascii="Calibri" w:hAnsi="Calibri" w:cs="Calibri"/>
          <w:bCs/>
          <w:szCs w:val="22"/>
          <w:lang w:eastAsia="en-US"/>
        </w:rPr>
        <w:t>smernica 2000/60/ES, ktorá ustanovuje rámec pre politiku spoločenstva v oblasti vôd;</w:t>
      </w:r>
    </w:p>
    <w:p w:rsidR="008676F9" w:rsidRPr="008676F9" w:rsidRDefault="008676F9" w:rsidP="001F5283">
      <w:pPr>
        <w:numPr>
          <w:ilvl w:val="0"/>
          <w:numId w:val="76"/>
        </w:numPr>
        <w:rPr>
          <w:rFonts w:ascii="Calibri" w:hAnsi="Calibri" w:cs="Calibri"/>
          <w:bCs/>
          <w:szCs w:val="22"/>
          <w:lang w:eastAsia="en-US"/>
        </w:rPr>
      </w:pPr>
      <w:r w:rsidRPr="008676F9">
        <w:rPr>
          <w:rFonts w:ascii="Calibri" w:hAnsi="Calibri" w:cs="Calibri"/>
          <w:bCs/>
          <w:szCs w:val="22"/>
          <w:lang w:eastAsia="en-US"/>
        </w:rPr>
        <w:t>zákon č. 364/2004 Z.z. o vodách;</w:t>
      </w:r>
    </w:p>
    <w:p w:rsidR="008676F9" w:rsidRPr="008676F9" w:rsidRDefault="008676F9" w:rsidP="001F5283">
      <w:pPr>
        <w:numPr>
          <w:ilvl w:val="0"/>
          <w:numId w:val="76"/>
        </w:numPr>
        <w:rPr>
          <w:rFonts w:ascii="Calibri" w:hAnsi="Calibri" w:cs="Calibri"/>
          <w:bCs/>
          <w:szCs w:val="22"/>
          <w:lang w:eastAsia="en-US"/>
        </w:rPr>
      </w:pPr>
      <w:r w:rsidRPr="008676F9">
        <w:rPr>
          <w:rFonts w:ascii="Calibri" w:hAnsi="Calibri" w:cs="Calibri"/>
          <w:bCs/>
          <w:szCs w:val="22"/>
          <w:lang w:eastAsia="en-US"/>
        </w:rPr>
        <w:t>zákon č. 24/2006 Z. z. o posudzovaní vplyvov na životné prostredie;</w:t>
      </w:r>
    </w:p>
    <w:p w:rsidR="008676F9" w:rsidRPr="008676F9" w:rsidRDefault="008676F9" w:rsidP="001F5283">
      <w:pPr>
        <w:numPr>
          <w:ilvl w:val="0"/>
          <w:numId w:val="76"/>
        </w:numPr>
        <w:rPr>
          <w:rFonts w:ascii="Calibri" w:hAnsi="Calibri" w:cs="Calibri"/>
          <w:bCs/>
          <w:szCs w:val="22"/>
          <w:lang w:eastAsia="en-US"/>
        </w:rPr>
      </w:pPr>
      <w:r w:rsidRPr="008676F9">
        <w:rPr>
          <w:rFonts w:ascii="Calibri" w:hAnsi="Calibri" w:cs="Calibri"/>
          <w:bCs/>
          <w:szCs w:val="22"/>
          <w:lang w:eastAsia="en-US"/>
        </w:rPr>
        <w:t>zákon č. 50/1976 Zb. o územnom plánovaní a stavebnom poriadku.</w:t>
      </w:r>
    </w:p>
    <w:p w:rsidR="008676F9" w:rsidRPr="008676F9" w:rsidRDefault="008676F9" w:rsidP="00AA6566">
      <w:pPr>
        <w:rPr>
          <w:rFonts w:ascii="Calibri" w:eastAsia="Calibri" w:hAnsi="Calibri" w:cs="Calibri"/>
          <w:bCs/>
          <w:szCs w:val="22"/>
          <w:lang w:eastAsia="en-US"/>
        </w:rPr>
      </w:pPr>
    </w:p>
    <w:p w:rsidR="008676F9" w:rsidRPr="008676F9" w:rsidRDefault="008676F9" w:rsidP="00AA6566">
      <w:pPr>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Prijímateľ podpory:</w:t>
      </w:r>
    </w:p>
    <w:p w:rsidR="008676F9" w:rsidRPr="008676F9" w:rsidRDefault="008676F9" w:rsidP="00AA6566">
      <w:pPr>
        <w:rPr>
          <w:rFonts w:ascii="Calibri" w:eastAsia="Calibri" w:hAnsi="Calibri" w:cs="Calibri"/>
          <w:bCs/>
          <w:szCs w:val="22"/>
          <w:lang w:eastAsia="en-US"/>
        </w:rPr>
      </w:pPr>
      <w:r w:rsidRPr="008676F9">
        <w:rPr>
          <w:rFonts w:ascii="Calibri" w:eastAsia="Calibri" w:hAnsi="Calibri" w:cs="Calibri"/>
          <w:bCs/>
          <w:szCs w:val="22"/>
          <w:lang w:eastAsia="en-US"/>
        </w:rPr>
        <w:t>Fyzické a právnické osoby podnikajúce v poľnohospodárskej prvovýrobe.</w:t>
      </w:r>
    </w:p>
    <w:p w:rsidR="008676F9" w:rsidRPr="008676F9" w:rsidRDefault="008676F9" w:rsidP="00AA6566">
      <w:pPr>
        <w:rPr>
          <w:rFonts w:ascii="Calibri" w:eastAsia="Calibri" w:hAnsi="Calibri" w:cs="Calibri"/>
          <w:bCs/>
          <w:szCs w:val="22"/>
          <w:u w:val="single"/>
          <w:lang w:eastAsia="en-US"/>
        </w:rPr>
      </w:pPr>
    </w:p>
    <w:p w:rsidR="008676F9" w:rsidRPr="008676F9" w:rsidRDefault="008676F9" w:rsidP="00AA6566">
      <w:pPr>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Oprávnené náklady:</w:t>
      </w:r>
    </w:p>
    <w:p w:rsidR="008676F9" w:rsidRPr="008676F9" w:rsidRDefault="008676F9" w:rsidP="001F5283">
      <w:pPr>
        <w:numPr>
          <w:ilvl w:val="0"/>
          <w:numId w:val="65"/>
        </w:numPr>
        <w:autoSpaceDE w:val="0"/>
        <w:autoSpaceDN w:val="0"/>
        <w:adjustRightInd w:val="0"/>
        <w:rPr>
          <w:rFonts w:ascii="Calibri" w:eastAsia="Calibri" w:hAnsi="Calibri" w:cs="Calibri"/>
          <w:szCs w:val="22"/>
          <w:lang w:eastAsia="en-US"/>
        </w:rPr>
      </w:pPr>
      <w:r w:rsidRPr="008676F9">
        <w:rPr>
          <w:rFonts w:ascii="Calibri" w:eastAsia="Calibri" w:hAnsi="Calibri" w:cs="Calibri"/>
          <w:szCs w:val="22"/>
          <w:lang w:eastAsia="en-US"/>
        </w:rPr>
        <w:t>investície do dlhodobého hmotného majetku;</w:t>
      </w:r>
    </w:p>
    <w:p w:rsidR="008676F9" w:rsidRPr="008676F9" w:rsidRDefault="008676F9" w:rsidP="001F5283">
      <w:pPr>
        <w:numPr>
          <w:ilvl w:val="0"/>
          <w:numId w:val="65"/>
        </w:numPr>
        <w:autoSpaceDE w:val="0"/>
        <w:autoSpaceDN w:val="0"/>
        <w:adjustRightInd w:val="0"/>
        <w:rPr>
          <w:rFonts w:ascii="Calibri" w:eastAsia="Calibri" w:hAnsi="Calibri" w:cs="Calibri"/>
          <w:szCs w:val="22"/>
          <w:lang w:eastAsia="en-US"/>
        </w:rPr>
      </w:pPr>
      <w:r w:rsidRPr="008676F9">
        <w:rPr>
          <w:rFonts w:ascii="Calibri" w:eastAsia="Calibri" w:hAnsi="Calibri" w:cs="Calibri"/>
          <w:szCs w:val="22"/>
          <w:lang w:eastAsia="en-US"/>
        </w:rPr>
        <w:t>investície do dlhodobého nehmotného majetku;</w:t>
      </w:r>
    </w:p>
    <w:p w:rsidR="008676F9" w:rsidRDefault="008676F9" w:rsidP="001F5283">
      <w:pPr>
        <w:numPr>
          <w:ilvl w:val="0"/>
          <w:numId w:val="65"/>
        </w:numPr>
        <w:autoSpaceDE w:val="0"/>
        <w:autoSpaceDN w:val="0"/>
        <w:adjustRightInd w:val="0"/>
        <w:ind w:left="714" w:hanging="357"/>
        <w:rPr>
          <w:rFonts w:ascii="Calibri" w:eastAsia="Calibri" w:hAnsi="Calibri" w:cs="Calibri"/>
          <w:szCs w:val="22"/>
          <w:lang w:eastAsia="en-US"/>
        </w:rPr>
      </w:pPr>
      <w:r w:rsidRPr="008676F9">
        <w:rPr>
          <w:rFonts w:ascii="Calibri" w:eastAsia="Calibri" w:hAnsi="Calibri" w:cs="Calibri"/>
          <w:szCs w:val="22"/>
          <w:lang w:eastAsia="en-US"/>
        </w:rPr>
        <w:t>súvisiace všeobecné náklady.</w:t>
      </w:r>
    </w:p>
    <w:p w:rsidR="008676F9" w:rsidRPr="008676F9" w:rsidRDefault="008676F9" w:rsidP="00AA6566">
      <w:pPr>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Podmienky oprávnenosti:</w:t>
      </w:r>
    </w:p>
    <w:p w:rsidR="008676F9" w:rsidRPr="008676F9" w:rsidRDefault="008676F9" w:rsidP="00955DA4">
      <w:pPr>
        <w:numPr>
          <w:ilvl w:val="0"/>
          <w:numId w:val="98"/>
        </w:numPr>
        <w:spacing w:after="60"/>
        <w:ind w:hanging="357"/>
        <w:rPr>
          <w:rFonts w:ascii="Calibri" w:hAnsi="Calibri" w:cs="Calibri"/>
          <w:bCs/>
          <w:szCs w:val="22"/>
          <w:lang w:eastAsia="en-US"/>
        </w:rPr>
      </w:pPr>
      <w:r w:rsidRPr="008676F9">
        <w:rPr>
          <w:rFonts w:ascii="Calibri" w:hAnsi="Calibri" w:cs="Calibri"/>
          <w:bCs/>
          <w:szCs w:val="22"/>
          <w:lang w:eastAsia="en-US"/>
        </w:rPr>
        <w:t xml:space="preserve">Oprávnené sú len tie činnosti, ktoré zvyšujú celkovú výkonnosť a udržateľnosť poľnohospodárskeho podniku, a to </w:t>
      </w:r>
      <w:r w:rsidRPr="008676F9">
        <w:rPr>
          <w:rFonts w:ascii="Calibri" w:hAnsi="Calibri"/>
          <w:b/>
          <w:szCs w:val="22"/>
          <w:lang w:eastAsia="en-US"/>
        </w:rPr>
        <w:t>zvýšením efektivity využívania vody v poľnohospodárstve.</w:t>
      </w:r>
    </w:p>
    <w:p w:rsidR="008676F9" w:rsidRPr="008676F9" w:rsidRDefault="008676F9" w:rsidP="00955DA4">
      <w:pPr>
        <w:numPr>
          <w:ilvl w:val="0"/>
          <w:numId w:val="98"/>
        </w:numPr>
        <w:spacing w:after="120"/>
        <w:ind w:left="714" w:hanging="357"/>
        <w:rPr>
          <w:rFonts w:ascii="Calibri" w:hAnsi="Calibri" w:cs="Calibri"/>
          <w:bCs/>
          <w:szCs w:val="22"/>
          <w:lang w:eastAsia="en-US"/>
        </w:rPr>
      </w:pPr>
      <w:r w:rsidRPr="008676F9">
        <w:rPr>
          <w:rFonts w:ascii="Calibri" w:hAnsi="Calibri" w:cs="Calibri"/>
          <w:bCs/>
          <w:szCs w:val="22"/>
          <w:lang w:eastAsia="en-US"/>
        </w:rPr>
        <w:t>Povinnosť žiadateľa, ktorý sa nachádza na území MAS, predložiť potvrdenie od MAS, že daný projekt nie je realizovaný prostredníctvom stratégie CLLD miestnej akčnej skupiny.</w:t>
      </w:r>
    </w:p>
    <w:p w:rsidR="008676F9" w:rsidRPr="008676F9" w:rsidRDefault="008676F9" w:rsidP="00955DA4">
      <w:pPr>
        <w:numPr>
          <w:ilvl w:val="0"/>
          <w:numId w:val="98"/>
        </w:numPr>
        <w:spacing w:after="60"/>
        <w:ind w:hanging="357"/>
        <w:rPr>
          <w:rFonts w:ascii="Calibri" w:hAnsi="Calibri" w:cs="Calibri"/>
          <w:bCs/>
          <w:szCs w:val="22"/>
          <w:lang w:eastAsia="en-US"/>
        </w:rPr>
      </w:pPr>
      <w:r w:rsidRPr="008676F9">
        <w:rPr>
          <w:rFonts w:ascii="Calibri" w:hAnsi="Calibri" w:cs="Calibri"/>
          <w:bCs/>
          <w:szCs w:val="22"/>
          <w:lang w:eastAsia="en-US"/>
        </w:rPr>
        <w:t>Investície do závlahových systémov sú podmienené zavedením merača spotreby vody, ktorý môže byť súčasťou podporenej investície.</w:t>
      </w:r>
    </w:p>
    <w:p w:rsidR="008676F9" w:rsidRPr="008676F9" w:rsidRDefault="008676F9" w:rsidP="00955DA4">
      <w:pPr>
        <w:numPr>
          <w:ilvl w:val="0"/>
          <w:numId w:val="98"/>
        </w:numPr>
        <w:spacing w:after="60"/>
        <w:ind w:hanging="357"/>
        <w:rPr>
          <w:rFonts w:ascii="Calibri" w:hAnsi="Calibri" w:cs="Calibri"/>
          <w:bCs/>
          <w:szCs w:val="22"/>
          <w:lang w:eastAsia="en-US"/>
        </w:rPr>
      </w:pPr>
      <w:r w:rsidRPr="008676F9">
        <w:rPr>
          <w:rFonts w:ascii="Calibri" w:hAnsi="Calibri" w:cs="Calibri"/>
          <w:bCs/>
          <w:szCs w:val="22"/>
          <w:lang w:eastAsia="en-US"/>
        </w:rPr>
        <w:t>Investície do rekonštrukcie alebo modernizácie existujúcich závlahových systémov sú oprávnené, pokiaľ sa posudkom pred realizáciou investície preukáže, že danou investíciou sa môže potenciálne dosiahnuť úspora vody aspoň 5 % - 25 % podľa technických parametrov existujúcich závlahových systémov.</w:t>
      </w:r>
    </w:p>
    <w:p w:rsidR="008676F9" w:rsidRPr="008676F9" w:rsidRDefault="008676F9" w:rsidP="00955DA4">
      <w:pPr>
        <w:numPr>
          <w:ilvl w:val="0"/>
          <w:numId w:val="98"/>
        </w:numPr>
        <w:spacing w:after="60"/>
        <w:ind w:hanging="357"/>
        <w:rPr>
          <w:rFonts w:ascii="Calibri" w:hAnsi="Calibri" w:cs="Calibri"/>
          <w:bCs/>
          <w:szCs w:val="22"/>
          <w:lang w:eastAsia="en-US"/>
        </w:rPr>
      </w:pPr>
      <w:r w:rsidRPr="008676F9">
        <w:rPr>
          <w:rFonts w:ascii="Calibri" w:hAnsi="Calibri" w:cs="Calibri"/>
          <w:bCs/>
          <w:szCs w:val="22"/>
          <w:lang w:eastAsia="en-US"/>
        </w:rPr>
        <w:t>Ak má investícia vplyv na útvary podzemnej alebo povrchovej vody, ktorých stav bol v príslušnom pláne vodohospodárskeho manažmentu povodia označený za menej ako dobrý z dôvodov týkajúcich sa množstva vody:</w:t>
      </w:r>
    </w:p>
    <w:p w:rsidR="008676F9" w:rsidRPr="008676F9" w:rsidRDefault="008676F9" w:rsidP="00955DA4">
      <w:pPr>
        <w:numPr>
          <w:ilvl w:val="0"/>
          <w:numId w:val="99"/>
        </w:numPr>
        <w:spacing w:after="60"/>
        <w:ind w:left="993" w:hanging="284"/>
        <w:rPr>
          <w:rFonts w:ascii="Calibri" w:hAnsi="Calibri" w:cs="Calibri"/>
          <w:bCs/>
          <w:szCs w:val="22"/>
          <w:lang w:eastAsia="en-US"/>
        </w:rPr>
      </w:pPr>
      <w:r w:rsidRPr="008676F9">
        <w:rPr>
          <w:rFonts w:ascii="Calibri" w:hAnsi="Calibri" w:cs="Calibri"/>
          <w:bCs/>
          <w:szCs w:val="22"/>
          <w:lang w:eastAsia="en-US"/>
        </w:rPr>
        <w:t xml:space="preserve">investíciou sa na jej úrovni zabezpečí skutočné zníženie spotreby vody v objeme aspoň 50% potenciálnych úspor vody, ktoré sa umožnia prostredníctvom tejto investície; </w:t>
      </w:r>
    </w:p>
    <w:p w:rsidR="008676F9" w:rsidRPr="008676F9" w:rsidRDefault="008676F9" w:rsidP="00955DA4">
      <w:pPr>
        <w:numPr>
          <w:ilvl w:val="0"/>
          <w:numId w:val="99"/>
        </w:numPr>
        <w:spacing w:after="60"/>
        <w:ind w:left="993" w:hanging="284"/>
        <w:rPr>
          <w:rFonts w:ascii="Calibri" w:hAnsi="Calibri" w:cs="Calibri"/>
          <w:bCs/>
          <w:szCs w:val="22"/>
          <w:lang w:eastAsia="en-US"/>
        </w:rPr>
      </w:pPr>
      <w:r w:rsidRPr="008676F9">
        <w:rPr>
          <w:rFonts w:ascii="Calibri" w:hAnsi="Calibri" w:cs="Calibri"/>
          <w:bCs/>
          <w:szCs w:val="22"/>
          <w:lang w:eastAsia="en-US"/>
        </w:rPr>
        <w:t xml:space="preserve">v prípade investície v jedinom poľnohospodárskom podniku investícia tiež vedie k zníženiu celkovej spotreby vody podniku v objeme aspoň 50% potenciálnych úspor vody, ktoré sa umožnia na úrovni investície. Celková spotreba vody podniku zahŕňa aj vodu, ktorú podnik predal. </w:t>
      </w:r>
    </w:p>
    <w:p w:rsidR="008676F9" w:rsidRPr="008676F9" w:rsidRDefault="008676F9" w:rsidP="000E5C15">
      <w:pPr>
        <w:ind w:left="720"/>
        <w:rPr>
          <w:rFonts w:ascii="Calibri" w:hAnsi="Calibri" w:cs="Calibri"/>
          <w:bCs/>
          <w:szCs w:val="22"/>
          <w:lang w:eastAsia="en-US"/>
        </w:rPr>
      </w:pPr>
      <w:r w:rsidRPr="008676F9">
        <w:rPr>
          <w:rFonts w:ascii="Calibri" w:hAnsi="Calibri" w:cs="Calibri"/>
          <w:bCs/>
          <w:szCs w:val="22"/>
          <w:lang w:eastAsia="en-US"/>
        </w:rPr>
        <w:t>Žiadna z podmienok v bode 4 sa neuplatňuje na:</w:t>
      </w:r>
    </w:p>
    <w:p w:rsidR="008676F9" w:rsidRPr="008676F9" w:rsidRDefault="008676F9" w:rsidP="000E5C15">
      <w:pPr>
        <w:numPr>
          <w:ilvl w:val="0"/>
          <w:numId w:val="100"/>
        </w:numPr>
        <w:ind w:left="1434" w:hanging="357"/>
        <w:rPr>
          <w:rFonts w:ascii="Calibri" w:hAnsi="Calibri" w:cs="Calibri"/>
          <w:bCs/>
          <w:szCs w:val="22"/>
          <w:lang w:eastAsia="en-US"/>
        </w:rPr>
      </w:pPr>
      <w:r w:rsidRPr="008676F9">
        <w:rPr>
          <w:rFonts w:ascii="Calibri" w:hAnsi="Calibri" w:cs="Calibri"/>
          <w:bCs/>
          <w:szCs w:val="22"/>
          <w:lang w:eastAsia="en-US"/>
        </w:rPr>
        <w:t xml:space="preserve">investíciu do existujúcich inštalácií, ktorá má vplyv len na energetickú efektívnosť; </w:t>
      </w:r>
    </w:p>
    <w:p w:rsidR="008676F9" w:rsidRPr="008676F9" w:rsidRDefault="008676F9" w:rsidP="000E5C15">
      <w:pPr>
        <w:numPr>
          <w:ilvl w:val="0"/>
          <w:numId w:val="100"/>
        </w:numPr>
        <w:ind w:left="1434" w:hanging="357"/>
        <w:rPr>
          <w:rFonts w:ascii="Calibri" w:hAnsi="Calibri" w:cs="Calibri"/>
          <w:bCs/>
          <w:szCs w:val="22"/>
          <w:lang w:eastAsia="en-US"/>
        </w:rPr>
      </w:pPr>
      <w:r w:rsidRPr="008676F9">
        <w:rPr>
          <w:rFonts w:ascii="Calibri" w:hAnsi="Calibri" w:cs="Calibri"/>
          <w:bCs/>
          <w:szCs w:val="22"/>
          <w:lang w:eastAsia="en-US"/>
        </w:rPr>
        <w:t xml:space="preserve">investíciu na vytvorenie rezervoáru; </w:t>
      </w:r>
    </w:p>
    <w:p w:rsidR="008676F9" w:rsidRPr="008676F9" w:rsidRDefault="008676F9" w:rsidP="00955DA4">
      <w:pPr>
        <w:numPr>
          <w:ilvl w:val="0"/>
          <w:numId w:val="100"/>
        </w:numPr>
        <w:spacing w:after="120"/>
        <w:ind w:left="1434" w:hanging="357"/>
        <w:rPr>
          <w:rFonts w:ascii="Calibri" w:hAnsi="Calibri" w:cs="Calibri"/>
          <w:bCs/>
          <w:szCs w:val="22"/>
          <w:lang w:eastAsia="en-US"/>
        </w:rPr>
      </w:pPr>
      <w:r w:rsidRPr="008676F9">
        <w:rPr>
          <w:rFonts w:ascii="Calibri" w:hAnsi="Calibri" w:cs="Calibri"/>
          <w:bCs/>
          <w:szCs w:val="22"/>
          <w:lang w:eastAsia="en-US"/>
        </w:rPr>
        <w:t>investíciu do využívania recyklovanej vody, ktorá nemá vplyv na útvar podzemnej alebo povrchovej vody.</w:t>
      </w:r>
    </w:p>
    <w:p w:rsidR="008676F9" w:rsidRPr="008676F9" w:rsidRDefault="008676F9" w:rsidP="00955DA4">
      <w:pPr>
        <w:numPr>
          <w:ilvl w:val="0"/>
          <w:numId w:val="98"/>
        </w:numPr>
        <w:spacing w:after="60"/>
        <w:ind w:hanging="357"/>
        <w:rPr>
          <w:rFonts w:ascii="Calibri" w:hAnsi="Calibri" w:cs="Calibri"/>
          <w:bCs/>
          <w:szCs w:val="22"/>
          <w:lang w:eastAsia="en-US"/>
        </w:rPr>
      </w:pPr>
      <w:r w:rsidRPr="008676F9">
        <w:rPr>
          <w:rFonts w:ascii="Calibri" w:hAnsi="Calibri" w:cs="Calibri"/>
          <w:bCs/>
          <w:szCs w:val="22"/>
          <w:lang w:eastAsia="en-US"/>
        </w:rPr>
        <w:t>Investícia, v dôsledku ktorej dôjde k čistému zväčšeniu zavlažovanej plochy majúcej vplyv na daný útvar podzemnej alebo povrchovej vody, je oprávnená, iba ak:</w:t>
      </w:r>
    </w:p>
    <w:p w:rsidR="008676F9" w:rsidRPr="008676F9" w:rsidRDefault="008676F9" w:rsidP="00955DA4">
      <w:pPr>
        <w:numPr>
          <w:ilvl w:val="0"/>
          <w:numId w:val="101"/>
        </w:numPr>
        <w:spacing w:after="60"/>
        <w:ind w:left="993" w:hanging="284"/>
        <w:rPr>
          <w:rFonts w:ascii="Calibri" w:hAnsi="Calibri" w:cs="Calibri"/>
          <w:bCs/>
          <w:szCs w:val="22"/>
          <w:lang w:eastAsia="en-US"/>
        </w:rPr>
      </w:pPr>
      <w:r w:rsidRPr="008676F9">
        <w:rPr>
          <w:rFonts w:ascii="Calibri" w:hAnsi="Calibri" w:cs="Calibri"/>
          <w:bCs/>
          <w:szCs w:val="22"/>
          <w:lang w:eastAsia="en-US"/>
        </w:rPr>
        <w:t>stav vodného útvaru nebol v príslušnom pláne vodohospodárskeho manažmentu povodia označený za menej ako dobrý z dôvodov týkajúcich sa množstva vody a</w:t>
      </w:r>
    </w:p>
    <w:p w:rsidR="008676F9" w:rsidRPr="008676F9" w:rsidRDefault="008676F9" w:rsidP="00955DA4">
      <w:pPr>
        <w:numPr>
          <w:ilvl w:val="0"/>
          <w:numId w:val="101"/>
        </w:numPr>
        <w:spacing w:after="60"/>
        <w:ind w:left="993" w:hanging="284"/>
        <w:rPr>
          <w:rFonts w:ascii="Calibri" w:hAnsi="Calibri" w:cs="Calibri"/>
          <w:bCs/>
          <w:szCs w:val="22"/>
          <w:lang w:eastAsia="en-US"/>
        </w:rPr>
      </w:pPr>
      <w:r w:rsidRPr="008676F9">
        <w:rPr>
          <w:rFonts w:ascii="Calibri" w:hAnsi="Calibri" w:cs="Calibri"/>
          <w:bCs/>
          <w:szCs w:val="22"/>
          <w:lang w:eastAsia="en-US"/>
        </w:rPr>
        <w:t>environmentálna analýza preukazuje, že daná investícia nebude mať výrazný negatívny vplyv na životné prostredie; takúto analýzu vplyvu na životné prostredie vykoná alebo schváli príslušný orgán a môže sa vzťahovať aj na skupiny podnikov.</w:t>
      </w:r>
    </w:p>
    <w:p w:rsidR="008676F9" w:rsidRPr="008676F9" w:rsidRDefault="008676F9" w:rsidP="00955DA4">
      <w:pPr>
        <w:numPr>
          <w:ilvl w:val="0"/>
          <w:numId w:val="98"/>
        </w:numPr>
        <w:spacing w:after="60"/>
        <w:ind w:hanging="357"/>
        <w:rPr>
          <w:rFonts w:ascii="Calibri" w:hAnsi="Calibri" w:cs="Calibri"/>
          <w:bCs/>
          <w:szCs w:val="22"/>
          <w:lang w:eastAsia="en-US"/>
        </w:rPr>
      </w:pPr>
      <w:r w:rsidRPr="008676F9">
        <w:rPr>
          <w:rFonts w:ascii="Calibri" w:hAnsi="Calibri" w:cs="Calibri"/>
          <w:bCs/>
          <w:szCs w:val="22"/>
          <w:lang w:eastAsia="en-US"/>
        </w:rPr>
        <w:t>Plochy, ktoré nie sú zavlažované, ale v ktorých bola zavlažovacia inštalácia aktívna v nedávnej minulosti, sa môžu považovať za zavlažované plochy na účely určenia čistého nárastu zavlažovaných plôch.</w:t>
      </w:r>
    </w:p>
    <w:p w:rsidR="008676F9" w:rsidRPr="008676F9" w:rsidRDefault="008676F9" w:rsidP="00955DA4">
      <w:pPr>
        <w:numPr>
          <w:ilvl w:val="0"/>
          <w:numId w:val="98"/>
        </w:numPr>
        <w:spacing w:after="60"/>
        <w:ind w:hanging="357"/>
        <w:rPr>
          <w:rFonts w:ascii="Calibri" w:hAnsi="Calibri" w:cs="Calibri"/>
          <w:bCs/>
          <w:szCs w:val="22"/>
          <w:lang w:eastAsia="en-US"/>
        </w:rPr>
      </w:pPr>
      <w:r w:rsidRPr="008676F9">
        <w:rPr>
          <w:rFonts w:ascii="Calibri" w:hAnsi="Calibri" w:cs="Calibri"/>
          <w:bCs/>
          <w:szCs w:val="22"/>
          <w:lang w:eastAsia="en-US"/>
        </w:rPr>
        <w:t>Odchylne od predchádzajúceho bodu môžu byť investície, v dôsledku ktorých dôjde k čistému zväčšeniu zavlažovanej plochy poľnohospodárskeho podniku, stále oprávnené, ak:</w:t>
      </w:r>
    </w:p>
    <w:p w:rsidR="008676F9" w:rsidRPr="008676F9" w:rsidRDefault="008676F9" w:rsidP="00955DA4">
      <w:pPr>
        <w:numPr>
          <w:ilvl w:val="0"/>
          <w:numId w:val="102"/>
        </w:numPr>
        <w:spacing w:after="60"/>
        <w:ind w:left="1134" w:hanging="425"/>
        <w:rPr>
          <w:rFonts w:ascii="Calibri" w:hAnsi="Calibri" w:cs="Calibri"/>
          <w:bCs/>
          <w:szCs w:val="22"/>
          <w:lang w:eastAsia="en-US"/>
        </w:rPr>
      </w:pPr>
      <w:r w:rsidRPr="008676F9">
        <w:rPr>
          <w:rFonts w:ascii="Calibri" w:hAnsi="Calibri" w:cs="Calibri"/>
          <w:bCs/>
          <w:szCs w:val="22"/>
          <w:lang w:eastAsia="en-US"/>
        </w:rPr>
        <w:t>sa investícia kombinuje s investíciou do existujúcej zavlažovacej inštalácie alebo prvku zavlažovacej infraštruktúry, v prípade ktorých sa pri posúdení ex-ante skonštatuje, že ponúkajú potenciálnu úsporu vody minimálne medzi 5 % a 25 % podľa technických parametrov existujúcej inštalácie alebo infraštruktúry a</w:t>
      </w:r>
    </w:p>
    <w:p w:rsidR="008676F9" w:rsidRPr="008676F9" w:rsidRDefault="008676F9" w:rsidP="00955DA4">
      <w:pPr>
        <w:numPr>
          <w:ilvl w:val="0"/>
          <w:numId w:val="102"/>
        </w:numPr>
        <w:spacing w:after="60"/>
        <w:ind w:left="1134" w:hanging="425"/>
        <w:rPr>
          <w:rFonts w:ascii="Calibri" w:hAnsi="Calibri" w:cs="Calibri"/>
          <w:bCs/>
          <w:szCs w:val="22"/>
          <w:lang w:eastAsia="en-US"/>
        </w:rPr>
      </w:pPr>
      <w:r w:rsidRPr="008676F9">
        <w:rPr>
          <w:rFonts w:ascii="Calibri" w:hAnsi="Calibri" w:cs="Calibri"/>
          <w:bCs/>
          <w:szCs w:val="22"/>
          <w:lang w:eastAsia="en-US"/>
        </w:rPr>
        <w:t>investícia ako celok zabezpečuje účinné zníženie spotreby vody na úrovni investície ako celku, a to vo výške aspoň 50 % potenciálnej úspory vody možnej v dôsledku investície do existujúcej zavlažovacej inštalácie alebo prvku zavlažovacej infraštruktúry.</w:t>
      </w:r>
    </w:p>
    <w:p w:rsidR="008676F9" w:rsidRPr="008676F9" w:rsidRDefault="008676F9" w:rsidP="00AA6566">
      <w:pPr>
        <w:spacing w:after="60"/>
        <w:ind w:left="720"/>
        <w:rPr>
          <w:rFonts w:ascii="Calibri" w:hAnsi="Calibri" w:cs="Calibri"/>
          <w:bCs/>
          <w:szCs w:val="22"/>
          <w:lang w:eastAsia="en-US"/>
        </w:rPr>
      </w:pPr>
      <w:r w:rsidRPr="008676F9">
        <w:rPr>
          <w:rFonts w:ascii="Calibri" w:hAnsi="Calibri" w:cs="Calibri"/>
          <w:bCs/>
          <w:szCs w:val="22"/>
          <w:lang w:eastAsia="en-US"/>
        </w:rPr>
        <w:t>Podmienky v tomto odseku sa okrem toho neuplatňujú na investície do vytvorenia novej zavlažovacej inštalácie zásobovanej vodou z existujúcej nádrže, ktorú príslušné orgány schválili pred 31. októbrom 2013, pokiaľ sú splnené tieto podmienky:</w:t>
      </w:r>
    </w:p>
    <w:p w:rsidR="008676F9" w:rsidRPr="008676F9" w:rsidRDefault="008676F9" w:rsidP="00955DA4">
      <w:pPr>
        <w:numPr>
          <w:ilvl w:val="0"/>
          <w:numId w:val="103"/>
        </w:numPr>
        <w:spacing w:after="60"/>
        <w:ind w:left="993" w:hanging="284"/>
        <w:rPr>
          <w:rFonts w:ascii="Calibri" w:hAnsi="Calibri" w:cs="Calibri"/>
          <w:bCs/>
          <w:szCs w:val="22"/>
          <w:lang w:eastAsia="en-US"/>
        </w:rPr>
      </w:pPr>
      <w:r w:rsidRPr="008676F9">
        <w:rPr>
          <w:rFonts w:ascii="Calibri" w:hAnsi="Calibri" w:cs="Calibri"/>
          <w:bCs/>
          <w:szCs w:val="22"/>
          <w:lang w:eastAsia="en-US"/>
        </w:rPr>
        <w:t>daná nádrž je určená v príslušnom pláne manažmentu povodia a je predmetom požiadaviek preverovania uvedených v článku 11 ods. 3 písm. e) rámcovej smernice o vode,</w:t>
      </w:r>
    </w:p>
    <w:p w:rsidR="008676F9" w:rsidRPr="008676F9" w:rsidRDefault="008676F9" w:rsidP="00955DA4">
      <w:pPr>
        <w:numPr>
          <w:ilvl w:val="0"/>
          <w:numId w:val="103"/>
        </w:numPr>
        <w:spacing w:after="60"/>
        <w:ind w:left="993" w:hanging="284"/>
        <w:rPr>
          <w:rFonts w:ascii="Calibri" w:hAnsi="Calibri" w:cs="Calibri"/>
          <w:bCs/>
          <w:szCs w:val="22"/>
          <w:lang w:eastAsia="en-US"/>
        </w:rPr>
      </w:pPr>
      <w:r w:rsidRPr="008676F9">
        <w:rPr>
          <w:rFonts w:ascii="Calibri" w:hAnsi="Calibri" w:cs="Calibri"/>
          <w:bCs/>
          <w:szCs w:val="22"/>
          <w:lang w:eastAsia="en-US"/>
        </w:rPr>
        <w:t>31. októbra 2013 platil buď maximálny limit pre celkový odber z nádrže alebo minimálna požadovaná úroveň prietoku vo vodných útvaroch, na ktoré má daná nádrž vplyv,</w:t>
      </w:r>
    </w:p>
    <w:p w:rsidR="008676F9" w:rsidRPr="008676F9" w:rsidRDefault="008676F9" w:rsidP="00955DA4">
      <w:pPr>
        <w:numPr>
          <w:ilvl w:val="0"/>
          <w:numId w:val="103"/>
        </w:numPr>
        <w:spacing w:after="60"/>
        <w:ind w:left="993" w:hanging="284"/>
        <w:rPr>
          <w:rFonts w:ascii="Calibri" w:hAnsi="Calibri" w:cs="Calibri"/>
          <w:bCs/>
          <w:szCs w:val="22"/>
          <w:lang w:eastAsia="en-US"/>
        </w:rPr>
      </w:pPr>
      <w:r w:rsidRPr="008676F9">
        <w:rPr>
          <w:rFonts w:ascii="Calibri" w:hAnsi="Calibri" w:cs="Calibri"/>
          <w:bCs/>
          <w:szCs w:val="22"/>
          <w:lang w:eastAsia="en-US"/>
        </w:rPr>
        <w:t>tento maximálny limit alebo minimálna požadovaná úroveň prietoku sú v súlade s podmienkami stanovenými v článku 4 rámcovej smernice o vode a</w:t>
      </w:r>
    </w:p>
    <w:p w:rsidR="008676F9" w:rsidRPr="008676F9" w:rsidRDefault="008676F9" w:rsidP="00955DA4">
      <w:pPr>
        <w:numPr>
          <w:ilvl w:val="0"/>
          <w:numId w:val="103"/>
        </w:numPr>
        <w:spacing w:after="200"/>
        <w:ind w:left="993" w:hanging="284"/>
        <w:rPr>
          <w:rFonts w:ascii="Calibri" w:hAnsi="Calibri" w:cs="Calibri"/>
          <w:bCs/>
          <w:szCs w:val="22"/>
          <w:lang w:eastAsia="en-US"/>
        </w:rPr>
      </w:pPr>
      <w:r w:rsidRPr="008676F9">
        <w:rPr>
          <w:rFonts w:ascii="Calibri" w:hAnsi="Calibri" w:cs="Calibri"/>
          <w:bCs/>
          <w:szCs w:val="22"/>
          <w:lang w:eastAsia="en-US"/>
        </w:rPr>
        <w:t>výsledkom daných investícií nie je odber nad rámec maximálneho limitu platného 31. októbra 2013, ani pokles úrovne prietoku v ovplyvnených vodných útvaroch pod minimálnu požadovanú úroveň platnú 31. októbra 2013.</w:t>
      </w:r>
    </w:p>
    <w:p w:rsidR="008676F9" w:rsidRPr="008676F9" w:rsidRDefault="008676F9" w:rsidP="00AA6566">
      <w:pPr>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Princípy nastavenia výberových kritérií:</w:t>
      </w:r>
    </w:p>
    <w:p w:rsidR="008676F9" w:rsidRPr="008676F9" w:rsidRDefault="008676F9" w:rsidP="001F5283">
      <w:pPr>
        <w:numPr>
          <w:ilvl w:val="0"/>
          <w:numId w:val="64"/>
        </w:numPr>
        <w:spacing w:after="200"/>
        <w:ind w:left="284" w:hanging="284"/>
        <w:contextualSpacing/>
        <w:rPr>
          <w:rFonts w:ascii="Calibri" w:hAnsi="Calibri" w:cs="Calibri"/>
          <w:bCs/>
          <w:szCs w:val="22"/>
          <w:lang w:eastAsia="en-US"/>
        </w:rPr>
      </w:pPr>
      <w:r w:rsidRPr="008676F9">
        <w:rPr>
          <w:rFonts w:ascii="Calibri" w:hAnsi="Calibri" w:cs="Calibri"/>
          <w:bCs/>
          <w:szCs w:val="22"/>
          <w:lang w:eastAsia="en-US"/>
        </w:rPr>
        <w:t>udržateľnosť plnenia kritérií žiadateľom;</w:t>
      </w:r>
    </w:p>
    <w:p w:rsidR="008676F9" w:rsidRPr="008676F9" w:rsidRDefault="008676F9" w:rsidP="001F5283">
      <w:pPr>
        <w:numPr>
          <w:ilvl w:val="0"/>
          <w:numId w:val="64"/>
        </w:numPr>
        <w:spacing w:after="200"/>
        <w:ind w:left="284" w:hanging="284"/>
        <w:contextualSpacing/>
        <w:rPr>
          <w:rFonts w:ascii="Calibri" w:hAnsi="Calibri" w:cs="Calibri"/>
          <w:bCs/>
          <w:szCs w:val="22"/>
          <w:lang w:eastAsia="en-US"/>
        </w:rPr>
      </w:pPr>
      <w:r w:rsidRPr="008676F9">
        <w:rPr>
          <w:rFonts w:ascii="Calibri" w:hAnsi="Calibri" w:cs="Calibri"/>
          <w:bCs/>
          <w:szCs w:val="22"/>
          <w:lang w:eastAsia="en-US"/>
        </w:rPr>
        <w:t>v prípade investícií v oblastiach, kde existuje závlahová infraštruktúra, budú uprednostnené projekty závlah napojených a využívajúcich túto existujúcu infraštruktúru pred budovaním systémov, pre ktoré je potrebné vybudovať nové zdroje (studne);</w:t>
      </w:r>
    </w:p>
    <w:p w:rsidR="008676F9" w:rsidRPr="008676F9" w:rsidRDefault="008676F9" w:rsidP="001F5283">
      <w:pPr>
        <w:numPr>
          <w:ilvl w:val="0"/>
          <w:numId w:val="64"/>
        </w:numPr>
        <w:spacing w:after="200"/>
        <w:ind w:left="284" w:hanging="284"/>
        <w:contextualSpacing/>
        <w:rPr>
          <w:rFonts w:ascii="Calibri" w:hAnsi="Calibri" w:cs="Calibri"/>
          <w:bCs/>
          <w:szCs w:val="22"/>
          <w:lang w:eastAsia="en-US"/>
        </w:rPr>
      </w:pPr>
      <w:r w:rsidRPr="008676F9">
        <w:rPr>
          <w:rFonts w:ascii="Calibri" w:hAnsi="Calibri" w:cs="Calibri"/>
          <w:bCs/>
          <w:szCs w:val="22"/>
          <w:lang w:eastAsia="en-US"/>
        </w:rPr>
        <w:t>uprednostnené budú projekty rekonštrukcie a dostavby reálne využívaných závlah pred závlahami dlhodobo nepoužívanými;</w:t>
      </w:r>
    </w:p>
    <w:p w:rsidR="008676F9" w:rsidRPr="008676F9" w:rsidRDefault="008676F9" w:rsidP="001F5283">
      <w:pPr>
        <w:numPr>
          <w:ilvl w:val="0"/>
          <w:numId w:val="64"/>
        </w:numPr>
        <w:spacing w:after="200"/>
        <w:ind w:left="284" w:hanging="284"/>
        <w:contextualSpacing/>
        <w:rPr>
          <w:rFonts w:ascii="Calibri" w:hAnsi="Calibri" w:cs="Calibri"/>
          <w:bCs/>
          <w:szCs w:val="22"/>
          <w:lang w:eastAsia="en-US"/>
        </w:rPr>
      </w:pPr>
      <w:r w:rsidRPr="008676F9">
        <w:rPr>
          <w:rFonts w:ascii="Calibri" w:hAnsi="Calibri" w:cs="Calibri"/>
          <w:bCs/>
          <w:szCs w:val="22"/>
          <w:lang w:eastAsia="en-US"/>
        </w:rPr>
        <w:t>uprednostnené budú projekty v rámci kritických odvetví;</w:t>
      </w:r>
    </w:p>
    <w:p w:rsidR="008676F9" w:rsidRPr="008676F9" w:rsidRDefault="008676F9" w:rsidP="001F5283">
      <w:pPr>
        <w:numPr>
          <w:ilvl w:val="0"/>
          <w:numId w:val="64"/>
        </w:numPr>
        <w:spacing w:after="200"/>
        <w:ind w:left="284" w:hanging="284"/>
        <w:contextualSpacing/>
        <w:rPr>
          <w:rFonts w:ascii="Calibri" w:hAnsi="Calibri" w:cs="Calibri"/>
          <w:bCs/>
          <w:szCs w:val="22"/>
          <w:lang w:eastAsia="en-US"/>
        </w:rPr>
      </w:pPr>
      <w:r w:rsidRPr="008676F9">
        <w:rPr>
          <w:rFonts w:ascii="Calibri" w:hAnsi="Calibri" w:cs="Calibri"/>
          <w:bCs/>
          <w:szCs w:val="22"/>
          <w:lang w:eastAsia="en-US"/>
        </w:rPr>
        <w:t>uprednostnené budú projekty prispievajúce k udržaniu a</w:t>
      </w:r>
      <w:r w:rsidR="00204D9D">
        <w:rPr>
          <w:rFonts w:ascii="Calibri" w:hAnsi="Calibri" w:cs="Calibri"/>
          <w:bCs/>
          <w:szCs w:val="22"/>
          <w:lang w:eastAsia="en-US"/>
        </w:rPr>
        <w:t>lebo</w:t>
      </w:r>
      <w:r w:rsidRPr="008676F9">
        <w:rPr>
          <w:rFonts w:ascii="Calibri" w:hAnsi="Calibri" w:cs="Calibri"/>
          <w:bCs/>
          <w:szCs w:val="22"/>
          <w:lang w:eastAsia="en-US"/>
        </w:rPr>
        <w:t xml:space="preserve"> zvýšeniu zamestnanosti;</w:t>
      </w:r>
    </w:p>
    <w:p w:rsidR="008676F9" w:rsidRPr="008676F9" w:rsidRDefault="008676F9" w:rsidP="001F5283">
      <w:pPr>
        <w:numPr>
          <w:ilvl w:val="0"/>
          <w:numId w:val="64"/>
        </w:numPr>
        <w:spacing w:after="200"/>
        <w:ind w:left="284" w:hanging="284"/>
        <w:contextualSpacing/>
        <w:rPr>
          <w:rFonts w:ascii="Calibri" w:hAnsi="Calibri" w:cs="Calibri"/>
          <w:bCs/>
          <w:szCs w:val="22"/>
          <w:lang w:eastAsia="en-US"/>
        </w:rPr>
      </w:pPr>
      <w:r w:rsidRPr="008676F9">
        <w:rPr>
          <w:rFonts w:ascii="Calibri" w:hAnsi="Calibri" w:cs="Calibri"/>
          <w:bCs/>
          <w:szCs w:val="22"/>
          <w:lang w:eastAsia="en-US"/>
        </w:rPr>
        <w:t>prioritou je zabezpečenie zvyšovania produkcie a jej kvality;</w:t>
      </w:r>
    </w:p>
    <w:p w:rsidR="008676F9" w:rsidRPr="008676F9" w:rsidRDefault="008676F9" w:rsidP="001F5283">
      <w:pPr>
        <w:numPr>
          <w:ilvl w:val="0"/>
          <w:numId w:val="64"/>
        </w:numPr>
        <w:spacing w:after="200"/>
        <w:ind w:left="284" w:hanging="284"/>
        <w:contextualSpacing/>
        <w:rPr>
          <w:rFonts w:ascii="Calibri" w:hAnsi="Calibri" w:cs="Calibri"/>
          <w:bCs/>
          <w:szCs w:val="22"/>
          <w:lang w:eastAsia="en-US"/>
        </w:rPr>
      </w:pPr>
      <w:r w:rsidRPr="008676F9">
        <w:rPr>
          <w:rFonts w:ascii="Calibri" w:hAnsi="Calibri" w:cs="Calibri"/>
          <w:bCs/>
          <w:szCs w:val="22"/>
          <w:lang w:eastAsia="en-US"/>
        </w:rPr>
        <w:t>prioritu budú mať projekty prispievajúce k ochrane životného prostredia;</w:t>
      </w:r>
    </w:p>
    <w:p w:rsidR="008676F9" w:rsidRPr="008676F9" w:rsidRDefault="008676F9" w:rsidP="001F5283">
      <w:pPr>
        <w:numPr>
          <w:ilvl w:val="0"/>
          <w:numId w:val="64"/>
        </w:numPr>
        <w:spacing w:after="200"/>
        <w:ind w:left="284" w:hanging="284"/>
        <w:contextualSpacing/>
        <w:rPr>
          <w:rFonts w:ascii="Calibri" w:hAnsi="Calibri" w:cs="Calibri"/>
          <w:bCs/>
          <w:szCs w:val="22"/>
          <w:lang w:eastAsia="en-US"/>
        </w:rPr>
      </w:pPr>
      <w:r w:rsidRPr="008676F9">
        <w:rPr>
          <w:rFonts w:ascii="Calibri" w:hAnsi="Calibri" w:cs="Calibri"/>
          <w:bCs/>
          <w:szCs w:val="22"/>
          <w:lang w:eastAsia="en-US"/>
        </w:rPr>
        <w:t>hodnotiť sa bude komplexnosť, udržateľnosť, realizovateľnosť, hospodárnosť a efektívnosť projektu;</w:t>
      </w:r>
    </w:p>
    <w:p w:rsidR="008676F9" w:rsidRPr="008676F9" w:rsidRDefault="008676F9" w:rsidP="001F5283">
      <w:pPr>
        <w:numPr>
          <w:ilvl w:val="0"/>
          <w:numId w:val="64"/>
        </w:numPr>
        <w:spacing w:after="200"/>
        <w:ind w:left="284" w:hanging="284"/>
        <w:contextualSpacing/>
        <w:rPr>
          <w:rFonts w:ascii="Calibri" w:hAnsi="Calibri" w:cs="Calibri"/>
          <w:bCs/>
          <w:szCs w:val="22"/>
          <w:lang w:eastAsia="en-US"/>
        </w:rPr>
      </w:pPr>
      <w:r w:rsidRPr="008676F9">
        <w:rPr>
          <w:rFonts w:ascii="Calibri" w:hAnsi="Calibri" w:cs="Calibri"/>
          <w:bCs/>
          <w:szCs w:val="22"/>
          <w:lang w:eastAsia="en-US"/>
        </w:rPr>
        <w:t>uprednostnené budú kolektívne investície v kritických odvetviach;</w:t>
      </w:r>
    </w:p>
    <w:p w:rsidR="008676F9" w:rsidRPr="008676F9" w:rsidRDefault="008676F9" w:rsidP="001F5283">
      <w:pPr>
        <w:numPr>
          <w:ilvl w:val="0"/>
          <w:numId w:val="64"/>
        </w:numPr>
        <w:spacing w:after="200"/>
        <w:ind w:left="284" w:hanging="284"/>
        <w:contextualSpacing/>
        <w:rPr>
          <w:rFonts w:ascii="Calibri" w:hAnsi="Calibri" w:cs="Calibri"/>
          <w:bCs/>
          <w:szCs w:val="22"/>
          <w:lang w:eastAsia="en-US"/>
        </w:rPr>
      </w:pPr>
      <w:r w:rsidRPr="008676F9">
        <w:rPr>
          <w:rFonts w:ascii="Calibri" w:hAnsi="Calibri" w:cs="Calibri"/>
          <w:bCs/>
          <w:szCs w:val="22"/>
          <w:lang w:eastAsia="en-US"/>
        </w:rPr>
        <w:t xml:space="preserve">uprednostnené budú projekty na zvýšenie výkonnosti mladých </w:t>
      </w:r>
      <w:r w:rsidR="00204D9D">
        <w:rPr>
          <w:rFonts w:ascii="Calibri" w:hAnsi="Calibri" w:cs="Calibri"/>
          <w:bCs/>
          <w:szCs w:val="22"/>
          <w:lang w:eastAsia="en-US"/>
        </w:rPr>
        <w:t>poľnohospodá</w:t>
      </w:r>
      <w:r w:rsidRPr="008676F9">
        <w:rPr>
          <w:rFonts w:ascii="Calibri" w:hAnsi="Calibri" w:cs="Calibri"/>
          <w:bCs/>
          <w:szCs w:val="22"/>
          <w:lang w:eastAsia="en-US"/>
        </w:rPr>
        <w:t>rov a</w:t>
      </w:r>
      <w:r w:rsidR="00204D9D">
        <w:rPr>
          <w:rFonts w:ascii="Calibri" w:hAnsi="Calibri" w:cs="Calibri"/>
          <w:bCs/>
          <w:szCs w:val="22"/>
          <w:lang w:eastAsia="en-US"/>
        </w:rPr>
        <w:t> </w:t>
      </w:r>
      <w:r w:rsidRPr="008676F9">
        <w:rPr>
          <w:rFonts w:ascii="Calibri" w:hAnsi="Calibri" w:cs="Calibri"/>
          <w:bCs/>
          <w:szCs w:val="22"/>
          <w:lang w:eastAsia="en-US"/>
        </w:rPr>
        <w:t>malých</w:t>
      </w:r>
      <w:r w:rsidR="00204D9D">
        <w:rPr>
          <w:rFonts w:ascii="Calibri" w:hAnsi="Calibri" w:cs="Calibri"/>
          <w:bCs/>
          <w:szCs w:val="22"/>
          <w:lang w:eastAsia="en-US"/>
        </w:rPr>
        <w:t xml:space="preserve"> poľnohospodárskych podnikov</w:t>
      </w:r>
      <w:r w:rsidRPr="008676F9">
        <w:rPr>
          <w:rFonts w:ascii="Calibri" w:hAnsi="Calibri" w:cs="Calibri"/>
          <w:bCs/>
          <w:szCs w:val="22"/>
          <w:lang w:eastAsia="en-US"/>
        </w:rPr>
        <w:t>;</w:t>
      </w:r>
    </w:p>
    <w:p w:rsidR="008676F9" w:rsidRPr="008676F9" w:rsidRDefault="008676F9" w:rsidP="001F5283">
      <w:pPr>
        <w:numPr>
          <w:ilvl w:val="0"/>
          <w:numId w:val="64"/>
        </w:numPr>
        <w:spacing w:after="200"/>
        <w:ind w:left="284" w:hanging="284"/>
        <w:contextualSpacing/>
        <w:rPr>
          <w:rFonts w:ascii="Calibri" w:hAnsi="Calibri" w:cs="Calibri"/>
          <w:bCs/>
          <w:szCs w:val="22"/>
          <w:lang w:eastAsia="en-US"/>
        </w:rPr>
      </w:pPr>
      <w:r w:rsidRPr="008676F9">
        <w:rPr>
          <w:rFonts w:ascii="Calibri" w:hAnsi="Calibri" w:cs="Calibri"/>
          <w:bCs/>
          <w:szCs w:val="22"/>
          <w:lang w:eastAsia="en-US"/>
        </w:rPr>
        <w:t>uprednostnené budú projekty žiadateľov, ktorí poskytujú možnosť absolvovania praxe pre študentov poľnohospodárskych študijných alebo učebných odborov.</w:t>
      </w:r>
    </w:p>
    <w:p w:rsidR="008676F9" w:rsidRPr="008676F9" w:rsidRDefault="008676F9" w:rsidP="00AA6566">
      <w:pPr>
        <w:rPr>
          <w:rFonts w:ascii="Calibri" w:eastAsia="Calibri" w:hAnsi="Calibri" w:cs="Calibri"/>
          <w:bCs/>
          <w:szCs w:val="22"/>
          <w:lang w:eastAsia="en-US"/>
        </w:rPr>
      </w:pPr>
    </w:p>
    <w:p w:rsidR="00204D9D" w:rsidRPr="008676F9" w:rsidRDefault="00204D9D" w:rsidP="00204D9D">
      <w:pPr>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Výška a miera podpory:</w:t>
      </w:r>
    </w:p>
    <w:p w:rsidR="00204D9D" w:rsidRPr="008676F9" w:rsidRDefault="00204D9D" w:rsidP="00204D9D">
      <w:pPr>
        <w:rPr>
          <w:rFonts w:ascii="Calibri" w:eastAsia="Calibri" w:hAnsi="Calibri" w:cs="Calibri"/>
          <w:szCs w:val="22"/>
          <w:lang w:eastAsia="en-US"/>
        </w:rPr>
      </w:pPr>
      <w:r w:rsidRPr="008676F9">
        <w:rPr>
          <w:rFonts w:ascii="Calibri" w:eastAsia="Calibri" w:hAnsi="Calibri" w:cs="Calibri"/>
          <w:szCs w:val="22"/>
          <w:lang w:eastAsia="en-US"/>
        </w:rPr>
        <w:t>Maximálna výška podpory z celkových oprávnených výdavkov:</w:t>
      </w:r>
    </w:p>
    <w:p w:rsidR="00204D9D" w:rsidRPr="008676F9" w:rsidRDefault="00204D9D" w:rsidP="00955DA4">
      <w:pPr>
        <w:numPr>
          <w:ilvl w:val="0"/>
          <w:numId w:val="97"/>
        </w:numPr>
        <w:rPr>
          <w:rFonts w:ascii="Calibri" w:hAnsi="Calibri" w:cs="Calibri"/>
          <w:szCs w:val="22"/>
          <w:lang w:eastAsia="en-US"/>
        </w:rPr>
      </w:pPr>
      <w:r>
        <w:rPr>
          <w:rFonts w:ascii="Calibri" w:hAnsi="Calibri" w:cs="Calibri"/>
          <w:szCs w:val="22"/>
          <w:lang w:eastAsia="en-US"/>
        </w:rPr>
        <w:t>45</w:t>
      </w:r>
      <w:r w:rsidRPr="008676F9">
        <w:rPr>
          <w:rFonts w:ascii="Calibri" w:hAnsi="Calibri" w:cs="Calibri"/>
          <w:szCs w:val="22"/>
          <w:lang w:eastAsia="en-US"/>
        </w:rPr>
        <w:t>% v prípade menej rozvinutých regiónov (mimo Bratislavského kraja);</w:t>
      </w:r>
    </w:p>
    <w:p w:rsidR="00204D9D" w:rsidRPr="008676F9" w:rsidRDefault="00204D9D" w:rsidP="00955DA4">
      <w:pPr>
        <w:numPr>
          <w:ilvl w:val="0"/>
          <w:numId w:val="97"/>
        </w:numPr>
        <w:rPr>
          <w:rFonts w:ascii="Calibri" w:hAnsi="Calibri" w:cs="Calibri"/>
          <w:szCs w:val="22"/>
          <w:lang w:eastAsia="en-US"/>
        </w:rPr>
      </w:pPr>
      <w:r w:rsidRPr="008676F9">
        <w:rPr>
          <w:rFonts w:ascii="Calibri" w:hAnsi="Calibri" w:cs="Calibri"/>
          <w:szCs w:val="22"/>
          <w:lang w:eastAsia="en-US"/>
        </w:rPr>
        <w:t>40% v prípade iných regiónov (Bratislavský kraj).</w:t>
      </w:r>
    </w:p>
    <w:p w:rsidR="00204D9D" w:rsidRDefault="00204D9D" w:rsidP="00204D9D">
      <w:pPr>
        <w:rPr>
          <w:rFonts w:ascii="Calibri" w:hAnsi="Calibri" w:cs="Calibri"/>
          <w:szCs w:val="22"/>
          <w:lang w:eastAsia="en-US"/>
        </w:rPr>
      </w:pPr>
    </w:p>
    <w:p w:rsidR="00204D9D" w:rsidRDefault="00204D9D" w:rsidP="00204D9D">
      <w:pPr>
        <w:rPr>
          <w:rFonts w:ascii="Calibri" w:hAnsi="Calibri" w:cs="Calibri"/>
          <w:szCs w:val="22"/>
          <w:lang w:eastAsia="en-US"/>
        </w:rPr>
      </w:pPr>
      <w:r>
        <w:rPr>
          <w:rFonts w:ascii="Calibri" w:hAnsi="Calibri" w:cs="Calibri"/>
          <w:szCs w:val="22"/>
          <w:lang w:eastAsia="en-US"/>
        </w:rPr>
        <w:t>V prípade kolektívnych investícií a integrovaných projektov je základná maximálna výška podpory z celkových oprávnených výdavkov:</w:t>
      </w:r>
    </w:p>
    <w:p w:rsidR="00204D9D" w:rsidRDefault="00204D9D" w:rsidP="00955DA4">
      <w:pPr>
        <w:pStyle w:val="Odsekzoznamu"/>
        <w:numPr>
          <w:ilvl w:val="0"/>
          <w:numId w:val="97"/>
        </w:numPr>
        <w:rPr>
          <w:rFonts w:ascii="Calibri" w:hAnsi="Calibri" w:cs="Calibri"/>
          <w:szCs w:val="22"/>
          <w:lang w:eastAsia="en-US"/>
        </w:rPr>
      </w:pPr>
      <w:r>
        <w:rPr>
          <w:rFonts w:ascii="Calibri" w:hAnsi="Calibri" w:cs="Calibri"/>
          <w:szCs w:val="22"/>
          <w:lang w:eastAsia="en-US"/>
        </w:rPr>
        <w:t>50 % v prípade menej rozvinutých regiónov (mimo Bratislavského kraja)</w:t>
      </w:r>
    </w:p>
    <w:p w:rsidR="00204D9D" w:rsidRDefault="00204D9D" w:rsidP="00955DA4">
      <w:pPr>
        <w:pStyle w:val="Odsekzoznamu"/>
        <w:numPr>
          <w:ilvl w:val="0"/>
          <w:numId w:val="97"/>
        </w:numPr>
        <w:rPr>
          <w:rFonts w:ascii="Calibri" w:hAnsi="Calibri" w:cs="Calibri"/>
          <w:szCs w:val="22"/>
          <w:lang w:eastAsia="en-US"/>
        </w:rPr>
      </w:pPr>
      <w:r>
        <w:rPr>
          <w:rFonts w:ascii="Calibri" w:hAnsi="Calibri" w:cs="Calibri"/>
          <w:szCs w:val="22"/>
          <w:lang w:eastAsia="en-US"/>
        </w:rPr>
        <w:t>40 % v prípade iných regiónov (Bratislavský kraj)</w:t>
      </w:r>
    </w:p>
    <w:p w:rsidR="008676F9" w:rsidRPr="008676F9" w:rsidRDefault="008676F9" w:rsidP="00AA6566">
      <w:pPr>
        <w:rPr>
          <w:rFonts w:ascii="Calibri" w:hAnsi="Calibri" w:cs="Calibri"/>
          <w:szCs w:val="22"/>
          <w:lang w:eastAsia="en-US"/>
        </w:rPr>
      </w:pPr>
    </w:p>
    <w:p w:rsidR="008676F9" w:rsidRPr="008676F9" w:rsidRDefault="00204D9D" w:rsidP="00AA6566">
      <w:pPr>
        <w:rPr>
          <w:rFonts w:ascii="Calibri" w:hAnsi="Calibri" w:cs="Calibri"/>
          <w:szCs w:val="22"/>
          <w:lang w:eastAsia="en-US"/>
        </w:rPr>
      </w:pPr>
      <w:r>
        <w:rPr>
          <w:rFonts w:ascii="Calibri" w:hAnsi="Calibri" w:cs="Calibri"/>
          <w:szCs w:val="22"/>
          <w:lang w:eastAsia="en-US"/>
        </w:rPr>
        <w:t>Zároveň platí, že m</w:t>
      </w:r>
      <w:r w:rsidR="008676F9" w:rsidRPr="008676F9">
        <w:rPr>
          <w:rFonts w:ascii="Calibri" w:hAnsi="Calibri" w:cs="Calibri"/>
          <w:szCs w:val="22"/>
          <w:lang w:eastAsia="en-US"/>
        </w:rPr>
        <w:t>iera podpory sa môže zvýšiť o 20%:</w:t>
      </w:r>
    </w:p>
    <w:p w:rsidR="008676F9" w:rsidRPr="008676F9" w:rsidRDefault="008676F9" w:rsidP="001F5283">
      <w:pPr>
        <w:numPr>
          <w:ilvl w:val="0"/>
          <w:numId w:val="35"/>
        </w:numPr>
        <w:ind w:left="284" w:hanging="284"/>
        <w:rPr>
          <w:rFonts w:ascii="Calibri" w:hAnsi="Calibri" w:cs="Calibri"/>
          <w:szCs w:val="22"/>
          <w:lang w:eastAsia="en-US"/>
        </w:rPr>
      </w:pPr>
      <w:r w:rsidRPr="008676F9">
        <w:rPr>
          <w:rFonts w:ascii="Calibri" w:hAnsi="Calibri" w:cs="Calibri"/>
          <w:szCs w:val="22"/>
          <w:lang w:eastAsia="en-US"/>
        </w:rPr>
        <w:t>v prípade mladých poľnohospodárov;</w:t>
      </w:r>
    </w:p>
    <w:p w:rsidR="008676F9" w:rsidRPr="008676F9" w:rsidRDefault="008676F9" w:rsidP="001F5283">
      <w:pPr>
        <w:numPr>
          <w:ilvl w:val="0"/>
          <w:numId w:val="35"/>
        </w:numPr>
        <w:ind w:left="284" w:hanging="284"/>
        <w:rPr>
          <w:rFonts w:ascii="Calibri" w:hAnsi="Calibri" w:cs="Calibri"/>
          <w:szCs w:val="22"/>
          <w:lang w:eastAsia="en-US"/>
        </w:rPr>
      </w:pPr>
      <w:r w:rsidRPr="008676F9">
        <w:rPr>
          <w:rFonts w:ascii="Calibri" w:hAnsi="Calibri"/>
          <w:szCs w:val="22"/>
          <w:lang w:eastAsia="en-US"/>
        </w:rPr>
        <w:t>v oblastiach s prírodnými a inými špecifickými obmedzeniami</w:t>
      </w:r>
      <w:r w:rsidRPr="008676F9">
        <w:rPr>
          <w:rFonts w:ascii="Calibri" w:hAnsi="Calibri" w:cs="Calibri"/>
          <w:szCs w:val="22"/>
          <w:lang w:eastAsia="en-US"/>
        </w:rPr>
        <w:t>;</w:t>
      </w:r>
    </w:p>
    <w:p w:rsidR="008676F9" w:rsidRPr="008676F9" w:rsidRDefault="008676F9" w:rsidP="001F5283">
      <w:pPr>
        <w:numPr>
          <w:ilvl w:val="0"/>
          <w:numId w:val="35"/>
        </w:numPr>
        <w:ind w:left="284" w:hanging="284"/>
        <w:rPr>
          <w:rFonts w:ascii="Calibri" w:hAnsi="Calibri" w:cs="Calibri"/>
          <w:szCs w:val="22"/>
          <w:lang w:eastAsia="en-US"/>
        </w:rPr>
      </w:pPr>
      <w:r w:rsidRPr="008676F9">
        <w:rPr>
          <w:rFonts w:ascii="Calibri" w:hAnsi="Calibri" w:cs="Calibri"/>
          <w:szCs w:val="22"/>
          <w:lang w:eastAsia="en-US"/>
        </w:rPr>
        <w:t>v prípade operácií v rámci operačných skupín EIP;</w:t>
      </w:r>
    </w:p>
    <w:p w:rsidR="008676F9" w:rsidRPr="008676F9" w:rsidRDefault="008676F9" w:rsidP="001F5283">
      <w:pPr>
        <w:numPr>
          <w:ilvl w:val="0"/>
          <w:numId w:val="35"/>
        </w:numPr>
        <w:ind w:left="284" w:hanging="284"/>
        <w:rPr>
          <w:rFonts w:ascii="Calibri" w:hAnsi="Calibri" w:cs="Calibri"/>
          <w:szCs w:val="22"/>
          <w:lang w:eastAsia="en-US"/>
        </w:rPr>
      </w:pPr>
      <w:r w:rsidRPr="008676F9">
        <w:rPr>
          <w:rFonts w:ascii="Calibri" w:hAnsi="Calibri" w:cs="Calibri"/>
          <w:szCs w:val="22"/>
          <w:lang w:eastAsia="en-US"/>
        </w:rPr>
        <w:t>v prípade kolektívnych (združených) investícií vrátane tých, ktoré súvisia so zlúčením organizácií výrobcov;</w:t>
      </w:r>
    </w:p>
    <w:p w:rsidR="008676F9" w:rsidRPr="008676F9" w:rsidRDefault="008676F9" w:rsidP="001F5283">
      <w:pPr>
        <w:numPr>
          <w:ilvl w:val="0"/>
          <w:numId w:val="35"/>
        </w:numPr>
        <w:ind w:left="284" w:hanging="284"/>
        <w:rPr>
          <w:rFonts w:ascii="Calibri" w:hAnsi="Calibri" w:cs="Calibri"/>
          <w:szCs w:val="22"/>
          <w:lang w:eastAsia="en-US"/>
        </w:rPr>
      </w:pPr>
      <w:r w:rsidRPr="008676F9">
        <w:rPr>
          <w:rFonts w:ascii="Calibri" w:hAnsi="Calibri" w:cs="Calibri"/>
          <w:szCs w:val="22"/>
          <w:lang w:eastAsia="en-US"/>
        </w:rPr>
        <w:t>v prípade integrovaných projektov;</w:t>
      </w:r>
    </w:p>
    <w:p w:rsidR="008676F9" w:rsidRPr="008676F9" w:rsidRDefault="008676F9" w:rsidP="001F5283">
      <w:pPr>
        <w:numPr>
          <w:ilvl w:val="0"/>
          <w:numId w:val="35"/>
        </w:numPr>
        <w:ind w:left="284" w:hanging="284"/>
        <w:rPr>
          <w:rFonts w:ascii="Calibri" w:hAnsi="Calibri" w:cs="Calibri"/>
          <w:szCs w:val="22"/>
          <w:lang w:eastAsia="en-US"/>
        </w:rPr>
      </w:pPr>
      <w:r w:rsidRPr="008676F9">
        <w:rPr>
          <w:rFonts w:ascii="Calibri" w:hAnsi="Calibri" w:cs="Calibri"/>
          <w:szCs w:val="22"/>
          <w:lang w:eastAsia="en-US"/>
        </w:rPr>
        <w:t>v prípade investícií súvisiacich s operáciami podľa opatrení č. 10 a č. 11.</w:t>
      </w:r>
    </w:p>
    <w:p w:rsidR="008676F9" w:rsidRPr="008676F9" w:rsidRDefault="008676F9" w:rsidP="00AA6566">
      <w:pPr>
        <w:rPr>
          <w:rFonts w:ascii="Calibri" w:eastAsia="Calibri" w:hAnsi="Calibri" w:cs="Calibri"/>
          <w:bCs/>
          <w:szCs w:val="22"/>
          <w:lang w:eastAsia="en-US"/>
        </w:rPr>
      </w:pPr>
      <w:r w:rsidRPr="008676F9">
        <w:rPr>
          <w:rFonts w:ascii="Calibri" w:eastAsia="Calibri" w:hAnsi="Calibri" w:cs="Calibri"/>
          <w:bCs/>
          <w:szCs w:val="22"/>
          <w:lang w:eastAsia="en-US"/>
        </w:rPr>
        <w:t>Miera podpory sa môže zvýšiť kombinovane najviac do 90% z celkových oprávnených výdavkov.</w:t>
      </w:r>
    </w:p>
    <w:p w:rsidR="00871C41" w:rsidRDefault="00871C41" w:rsidP="008676F9">
      <w:pPr>
        <w:rPr>
          <w:rFonts w:ascii="Calibri" w:eastAsia="Calibri" w:hAnsi="Calibri" w:cs="Calibri"/>
          <w:szCs w:val="22"/>
          <w:u w:val="single"/>
        </w:rPr>
      </w:pPr>
    </w:p>
    <w:p w:rsidR="008676F9" w:rsidRPr="008676F9" w:rsidRDefault="008676F9" w:rsidP="008676F9">
      <w:pPr>
        <w:rPr>
          <w:rFonts w:ascii="Calibri" w:eastAsia="Calibri" w:hAnsi="Calibri" w:cs="Calibri"/>
          <w:szCs w:val="22"/>
          <w:u w:val="single"/>
        </w:rPr>
      </w:pPr>
      <w:r w:rsidRPr="008676F9">
        <w:rPr>
          <w:rFonts w:ascii="Calibri" w:eastAsia="Calibri" w:hAnsi="Calibri" w:cs="Calibri"/>
          <w:szCs w:val="22"/>
          <w:u w:val="single"/>
        </w:rPr>
        <w:t>Ďalšie informácie špecifické pre danú operáciu:</w:t>
      </w:r>
    </w:p>
    <w:p w:rsidR="008676F9" w:rsidRPr="008676F9" w:rsidRDefault="008676F9" w:rsidP="008676F9">
      <w:pPr>
        <w:spacing w:after="120"/>
        <w:rPr>
          <w:rFonts w:ascii="Calibri" w:eastAsia="Calibri" w:hAnsi="Calibri" w:cs="Calibri"/>
          <w:bCs/>
          <w:szCs w:val="22"/>
          <w:lang w:eastAsia="en-US"/>
        </w:rPr>
      </w:pPr>
      <w:r w:rsidRPr="008676F9">
        <w:rPr>
          <w:rFonts w:ascii="Calibri" w:eastAsia="Calibri" w:hAnsi="Calibri" w:cs="Calibri"/>
          <w:bCs/>
          <w:i/>
          <w:szCs w:val="22"/>
          <w:lang w:eastAsia="en-US"/>
        </w:rPr>
        <w:t xml:space="preserve">Kritické odvetvia: </w:t>
      </w:r>
      <w:r w:rsidRPr="008676F9">
        <w:rPr>
          <w:rFonts w:ascii="Calibri" w:eastAsia="Calibri" w:hAnsi="Calibri" w:cs="Calibri"/>
          <w:bCs/>
          <w:szCs w:val="22"/>
          <w:lang w:eastAsia="en-US"/>
        </w:rPr>
        <w:t>živočíšna výroba, špecializovaná rastlinná výroba.</w:t>
      </w:r>
    </w:p>
    <w:p w:rsidR="008676F9" w:rsidRPr="008676F9" w:rsidRDefault="008676F9" w:rsidP="008676F9">
      <w:pPr>
        <w:spacing w:after="120"/>
        <w:rPr>
          <w:rFonts w:ascii="Calibri" w:eastAsia="Calibri" w:hAnsi="Calibri" w:cs="Calibri"/>
          <w:bCs/>
          <w:szCs w:val="22"/>
          <w:lang w:eastAsia="en-US"/>
        </w:rPr>
      </w:pPr>
      <w:r w:rsidRPr="008676F9">
        <w:rPr>
          <w:rFonts w:ascii="Calibri" w:eastAsia="Calibri" w:hAnsi="Calibri" w:cs="Calibri"/>
          <w:bCs/>
          <w:i/>
          <w:szCs w:val="22"/>
          <w:lang w:eastAsia="en-US"/>
        </w:rPr>
        <w:t>Špecializovaná rastlinná výroba</w:t>
      </w:r>
      <w:r w:rsidRPr="008676F9">
        <w:rPr>
          <w:rFonts w:ascii="Calibri" w:eastAsia="Calibri" w:hAnsi="Calibri" w:cs="Calibri"/>
          <w:bCs/>
          <w:szCs w:val="22"/>
          <w:lang w:eastAsia="en-US"/>
        </w:rPr>
        <w:t xml:space="preserve"> je poľnohospodárska prvovýroba zameraná na pestovanie plodín mierneho pásma, ktoré sú uvedené v kapitole 07 „Zelenina, jedlé rastliny, korene a hľuzy“ a v kapitole 08 „Jedlé ovocie a orechy, šupy citrusových plodov alebo melónov“ Kombinovanej nomenklatúry zatriedenia tovaru a aromatické a liečivé rastliny. Číselné označenie kapitol sa môže meniť, záväzný je názov kapitoly.</w:t>
      </w:r>
    </w:p>
    <w:p w:rsidR="008676F9" w:rsidRPr="008676F9" w:rsidRDefault="008676F9" w:rsidP="008676F9">
      <w:pPr>
        <w:spacing w:after="120"/>
        <w:rPr>
          <w:rFonts w:ascii="Calibri" w:eastAsia="Calibri" w:hAnsi="Calibri"/>
          <w:szCs w:val="22"/>
          <w:lang w:eastAsia="en-US"/>
        </w:rPr>
      </w:pPr>
      <w:r w:rsidRPr="008676F9">
        <w:rPr>
          <w:rFonts w:ascii="Calibri" w:eastAsia="Calibri" w:hAnsi="Calibri"/>
          <w:i/>
          <w:szCs w:val="22"/>
          <w:lang w:eastAsia="en-US"/>
        </w:rPr>
        <w:t>Kolektívnymi (združenými) investíciami</w:t>
      </w:r>
      <w:r w:rsidRPr="008676F9">
        <w:rPr>
          <w:rFonts w:ascii="Calibri" w:eastAsia="Calibri" w:hAnsi="Calibri"/>
          <w:szCs w:val="22"/>
          <w:lang w:eastAsia="en-US"/>
        </w:rPr>
        <w:t xml:space="preserve"> sa rozumejú investície, ktoré sa realizujú viac ako jedným poľnohospodárom a z uvedeného dôvodu prinášajú synergický efekt. Prijímateľom finančnej podpory môže byť buď vzniknutý právny subjekt (skupina výrobcov, organizácia výrobcov, medziodvetvová organizácia a pod.), alebo jeden subjekt, ktorý na základe zmluvy spolupracuje s iným subjektom/subjektmi a všetci sú beneficientmi a spoluriešitelia projektu. Kolektívne (združené) investície nepriamo prispievajú k cieľom opatrenia Spolupráca.</w:t>
      </w:r>
    </w:p>
    <w:p w:rsidR="008676F9" w:rsidRPr="008676F9" w:rsidRDefault="008676F9" w:rsidP="008676F9">
      <w:pPr>
        <w:spacing w:after="120"/>
        <w:rPr>
          <w:rFonts w:ascii="Calibri" w:eastAsia="Calibri" w:hAnsi="Calibri"/>
          <w:szCs w:val="22"/>
          <w:lang w:eastAsia="en-US"/>
        </w:rPr>
      </w:pPr>
      <w:r w:rsidRPr="008676F9">
        <w:rPr>
          <w:rFonts w:ascii="Calibri" w:eastAsia="Calibri" w:hAnsi="Calibri"/>
          <w:i/>
          <w:szCs w:val="22"/>
          <w:lang w:eastAsia="en-US"/>
        </w:rPr>
        <w:t>Integrovanými projektmi</w:t>
      </w:r>
      <w:r w:rsidRPr="008676F9">
        <w:rPr>
          <w:rFonts w:ascii="Calibri" w:eastAsia="Calibri" w:hAnsi="Calibri"/>
          <w:szCs w:val="22"/>
          <w:lang w:eastAsia="en-US"/>
        </w:rPr>
        <w:t xml:space="preserve"> sa rozumejú projekty zahŕňajúce podporu v rámci viacerých opatrení.</w:t>
      </w:r>
    </w:p>
    <w:p w:rsidR="008676F9" w:rsidRPr="008676F9" w:rsidRDefault="008676F9" w:rsidP="008676F9">
      <w:pPr>
        <w:spacing w:after="120"/>
        <w:rPr>
          <w:rFonts w:ascii="Calibri" w:eastAsia="Calibri" w:hAnsi="Calibri"/>
          <w:szCs w:val="22"/>
          <w:lang w:eastAsia="en-US"/>
        </w:rPr>
      </w:pPr>
      <w:r w:rsidRPr="008676F9">
        <w:rPr>
          <w:rFonts w:ascii="Calibri" w:eastAsia="Calibri" w:hAnsi="Calibri"/>
          <w:i/>
          <w:szCs w:val="22"/>
          <w:lang w:eastAsia="en-US"/>
        </w:rPr>
        <w:t>Projekty prispievajúce k cieľom Európskeho inovačného partnerstva pre udržateľnosť a produktivitu v poľnohospodárstve</w:t>
      </w:r>
      <w:r w:rsidRPr="008676F9">
        <w:rPr>
          <w:rFonts w:ascii="Calibri" w:eastAsia="Calibri" w:hAnsi="Calibri"/>
          <w:b/>
          <w:i/>
          <w:szCs w:val="22"/>
          <w:lang w:eastAsia="en-US"/>
        </w:rPr>
        <w:t xml:space="preserve"> </w:t>
      </w:r>
      <w:r w:rsidRPr="008676F9">
        <w:rPr>
          <w:rFonts w:ascii="Calibri" w:eastAsia="Calibri" w:hAnsi="Calibri"/>
          <w:szCs w:val="22"/>
          <w:lang w:eastAsia="en-US"/>
        </w:rPr>
        <w:t>sú projekty realizované v rámci spolupráce v operačných skupín v zmysle opatrenia Spolupráca.</w:t>
      </w:r>
    </w:p>
    <w:p w:rsidR="008676F9" w:rsidRPr="008676F9" w:rsidRDefault="008676F9" w:rsidP="008676F9">
      <w:pPr>
        <w:autoSpaceDE w:val="0"/>
        <w:autoSpaceDN w:val="0"/>
        <w:adjustRightInd w:val="0"/>
        <w:spacing w:after="120"/>
        <w:rPr>
          <w:rFonts w:ascii="Calibri" w:eastAsia="Calibri" w:hAnsi="Calibri" w:cs="Calibri"/>
          <w:szCs w:val="22"/>
          <w:lang w:eastAsia="en-US"/>
        </w:rPr>
      </w:pPr>
      <w:r w:rsidRPr="008676F9">
        <w:rPr>
          <w:rFonts w:ascii="Calibri" w:eastAsia="Calibri" w:hAnsi="Calibri"/>
          <w:i/>
          <w:szCs w:val="22"/>
          <w:lang w:eastAsia="en-US"/>
        </w:rPr>
        <w:t>Mladý poľnohospodár</w:t>
      </w:r>
      <w:r w:rsidRPr="008676F9">
        <w:rPr>
          <w:rFonts w:ascii="Calibri" w:eastAsia="Calibri" w:hAnsi="Calibri"/>
          <w:b/>
          <w:i/>
          <w:szCs w:val="22"/>
          <w:lang w:eastAsia="en-US"/>
        </w:rPr>
        <w:t>:</w:t>
      </w:r>
      <w:r w:rsidRPr="008676F9">
        <w:rPr>
          <w:rFonts w:ascii="Calibri" w:eastAsia="Calibri" w:hAnsi="Calibri"/>
          <w:szCs w:val="22"/>
          <w:lang w:eastAsia="en-US"/>
        </w:rPr>
        <w:t xml:space="preserve"> s</w:t>
      </w:r>
      <w:r w:rsidRPr="008676F9">
        <w:rPr>
          <w:rFonts w:ascii="Calibri" w:eastAsia="Calibri" w:hAnsi="Calibri" w:cs="Calibri"/>
          <w:szCs w:val="22"/>
          <w:lang w:eastAsia="en-US"/>
        </w:rPr>
        <w:t>ubjekt, ktorý spĺňa definíciu prijímateľa podpory v podopatrení 6.1.</w:t>
      </w:r>
    </w:p>
    <w:p w:rsidR="00204D9D" w:rsidRDefault="00204D9D" w:rsidP="00204D9D">
      <w:pPr>
        <w:autoSpaceDE w:val="0"/>
        <w:autoSpaceDN w:val="0"/>
        <w:adjustRightInd w:val="0"/>
        <w:spacing w:after="60"/>
        <w:rPr>
          <w:rFonts w:ascii="Calibri" w:eastAsia="Calibri" w:hAnsi="Calibri" w:cs="Calibri"/>
          <w:szCs w:val="22"/>
          <w:lang w:eastAsia="en-US"/>
        </w:rPr>
      </w:pPr>
      <w:r w:rsidRPr="008676F9">
        <w:rPr>
          <w:rFonts w:ascii="Calibri" w:eastAsia="Calibri" w:hAnsi="Calibri" w:cs="Calibri"/>
          <w:i/>
          <w:szCs w:val="22"/>
          <w:lang w:eastAsia="en-US"/>
        </w:rPr>
        <w:t>Mal</w:t>
      </w:r>
      <w:r>
        <w:rPr>
          <w:rFonts w:ascii="Calibri" w:eastAsia="Calibri" w:hAnsi="Calibri" w:cs="Calibri"/>
          <w:i/>
          <w:szCs w:val="22"/>
          <w:lang w:eastAsia="en-US"/>
        </w:rPr>
        <w:t>ý poľnohospodársky podnik</w:t>
      </w:r>
      <w:r w:rsidRPr="008676F9">
        <w:rPr>
          <w:rFonts w:ascii="Calibri" w:eastAsia="Calibri" w:hAnsi="Calibri" w:cs="Calibri"/>
          <w:szCs w:val="22"/>
          <w:lang w:eastAsia="en-US"/>
        </w:rPr>
        <w:t>: subjekt, ktorý spĺňa definíciu prijímateľa podpory v podopatrení 6.2.</w:t>
      </w:r>
    </w:p>
    <w:p w:rsidR="00204D9D" w:rsidRPr="008676F9" w:rsidRDefault="00204D9D" w:rsidP="00204D9D">
      <w:pPr>
        <w:autoSpaceDE w:val="0"/>
        <w:autoSpaceDN w:val="0"/>
        <w:adjustRightInd w:val="0"/>
        <w:spacing w:after="60"/>
        <w:rPr>
          <w:rFonts w:ascii="Calibri" w:eastAsia="Calibri" w:hAnsi="Calibri" w:cs="Calibri"/>
          <w:szCs w:val="22"/>
          <w:lang w:eastAsia="en-US"/>
        </w:rPr>
      </w:pPr>
      <w:r>
        <w:rPr>
          <w:rFonts w:ascii="Calibri" w:eastAsia="Calibri" w:hAnsi="Calibri" w:cs="Calibri"/>
          <w:szCs w:val="22"/>
          <w:lang w:eastAsia="en-US"/>
        </w:rPr>
        <w:t>Pri hodnotení projektov bude prihliadané na minimalizovanie subjektívneho faktora.</w:t>
      </w:r>
    </w:p>
    <w:p w:rsidR="008676F9" w:rsidRDefault="008676F9" w:rsidP="008676F9">
      <w:pPr>
        <w:rPr>
          <w:rFonts w:ascii="Calibri" w:eastAsia="Calibri" w:hAnsi="Calibri" w:cs="Calibri"/>
          <w:b/>
          <w:bCs/>
          <w:szCs w:val="22"/>
          <w:lang w:eastAsia="en-US"/>
        </w:rPr>
      </w:pPr>
    </w:p>
    <w:p w:rsidR="00BE36D5" w:rsidRPr="008676F9" w:rsidRDefault="00BE36D5" w:rsidP="008676F9">
      <w:pPr>
        <w:rPr>
          <w:rFonts w:ascii="Calibri" w:eastAsia="Calibri" w:hAnsi="Calibri" w:cs="Calibri"/>
          <w:b/>
          <w:bCs/>
          <w:szCs w:val="22"/>
          <w:lang w:eastAsia="en-US"/>
        </w:rPr>
      </w:pPr>
    </w:p>
    <w:p w:rsidR="008676F9" w:rsidRPr="008676F9" w:rsidRDefault="008676F9" w:rsidP="008676F9">
      <w:pPr>
        <w:shd w:val="clear" w:color="auto" w:fill="EAF1DD"/>
        <w:rPr>
          <w:rFonts w:ascii="Calibri" w:eastAsia="Calibri" w:hAnsi="Calibri" w:cs="Calibri"/>
          <w:bCs/>
          <w:lang w:eastAsia="en-US"/>
        </w:rPr>
      </w:pPr>
      <w:r w:rsidRPr="008676F9">
        <w:rPr>
          <w:rFonts w:ascii="Calibri" w:eastAsia="Calibri" w:hAnsi="Calibri" w:cs="Calibri"/>
          <w:bCs/>
          <w:lang w:eastAsia="en-US"/>
        </w:rPr>
        <w:t xml:space="preserve">Podopatrenie: </w:t>
      </w:r>
      <w:r w:rsidRPr="008676F9">
        <w:rPr>
          <w:rFonts w:ascii="Calibri" w:eastAsia="Calibri" w:hAnsi="Calibri" w:cs="Calibri"/>
          <w:b/>
          <w:bCs/>
          <w:i/>
          <w:lang w:eastAsia="en-US"/>
        </w:rPr>
        <w:t xml:space="preserve">4.1 </w:t>
      </w:r>
      <w:r w:rsidRPr="00CC6591">
        <w:rPr>
          <w:rFonts w:ascii="Calibri" w:eastAsia="Calibri" w:hAnsi="Calibri" w:cs="Calibri"/>
          <w:b/>
          <w:bCs/>
          <w:i/>
          <w:sz w:val="24"/>
          <w:lang w:eastAsia="en-US"/>
        </w:rPr>
        <w:t>Podpora investícií do poľnohospodárskych podnikov</w:t>
      </w:r>
    </w:p>
    <w:p w:rsidR="008676F9" w:rsidRPr="00CC6591" w:rsidRDefault="008676F9" w:rsidP="00871C41">
      <w:pPr>
        <w:shd w:val="clear" w:color="auto" w:fill="EAF1DD"/>
        <w:ind w:left="1701" w:hanging="1701"/>
        <w:jc w:val="left"/>
        <w:rPr>
          <w:rFonts w:ascii="Calibri" w:eastAsia="Calibri" w:hAnsi="Calibri" w:cs="Calibri"/>
          <w:bCs/>
          <w:sz w:val="24"/>
          <w:lang w:eastAsia="en-US"/>
        </w:rPr>
      </w:pPr>
      <w:r w:rsidRPr="008676F9">
        <w:rPr>
          <w:rFonts w:ascii="Calibri" w:eastAsia="Calibri" w:hAnsi="Calibri" w:cs="Calibri"/>
          <w:bCs/>
          <w:lang w:eastAsia="en-US"/>
        </w:rPr>
        <w:t xml:space="preserve">Podopatrenie: </w:t>
      </w:r>
      <w:r w:rsidRPr="008676F9">
        <w:rPr>
          <w:rFonts w:ascii="Calibri" w:eastAsia="Calibri" w:hAnsi="Calibri" w:cs="Calibri"/>
          <w:b/>
          <w:bCs/>
          <w:i/>
          <w:lang w:eastAsia="en-US"/>
        </w:rPr>
        <w:t xml:space="preserve">4.2 </w:t>
      </w:r>
      <w:r w:rsidRPr="00CC6591">
        <w:rPr>
          <w:rFonts w:ascii="Calibri" w:eastAsia="Calibri" w:hAnsi="Calibri" w:cs="Calibri"/>
          <w:b/>
          <w:bCs/>
          <w:i/>
          <w:sz w:val="24"/>
          <w:lang w:eastAsia="en-US"/>
        </w:rPr>
        <w:t>Podpora investícií do spracovania/uvádzania na trh a/alebo vývoja poľnohospodárskych produktov</w:t>
      </w:r>
    </w:p>
    <w:p w:rsidR="008676F9" w:rsidRPr="008676F9" w:rsidRDefault="008676F9" w:rsidP="008676F9">
      <w:pPr>
        <w:shd w:val="clear" w:color="auto" w:fill="FBD4B4"/>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Názov operácie:</w:t>
      </w:r>
    </w:p>
    <w:p w:rsidR="008676F9" w:rsidRPr="008676F9" w:rsidRDefault="008676F9" w:rsidP="008676F9">
      <w:pPr>
        <w:shd w:val="clear" w:color="auto" w:fill="FBD4B4"/>
        <w:rPr>
          <w:rFonts w:ascii="Calibri" w:eastAsia="Calibri" w:hAnsi="Calibri" w:cs="Calibri"/>
          <w:bCs/>
          <w:i/>
          <w:szCs w:val="22"/>
          <w:lang w:eastAsia="en-US"/>
        </w:rPr>
      </w:pPr>
      <w:r w:rsidRPr="008676F9">
        <w:rPr>
          <w:rFonts w:ascii="Calibri" w:eastAsia="Calibri" w:hAnsi="Calibri" w:cs="Calibri"/>
          <w:bCs/>
          <w:i/>
          <w:szCs w:val="22"/>
          <w:lang w:eastAsia="en-US"/>
        </w:rPr>
        <w:t xml:space="preserve">Investície do hmotného majetku zamerané na spracovanie a využívanie </w:t>
      </w:r>
      <w:r w:rsidRPr="008676F9">
        <w:rPr>
          <w:rFonts w:ascii="Calibri" w:eastAsia="Calibri" w:hAnsi="Calibri" w:cs="Calibri"/>
          <w:b/>
          <w:bCs/>
          <w:i/>
          <w:szCs w:val="22"/>
          <w:lang w:eastAsia="en-US"/>
        </w:rPr>
        <w:t>obnoviteľných zdrojov energie</w:t>
      </w:r>
    </w:p>
    <w:p w:rsidR="008676F9" w:rsidRPr="008676F9" w:rsidRDefault="008676F9" w:rsidP="008676F9">
      <w:pPr>
        <w:rPr>
          <w:rFonts w:ascii="Calibri" w:eastAsia="Calibri" w:hAnsi="Calibri" w:cs="Calibri"/>
          <w:bCs/>
          <w:szCs w:val="22"/>
          <w:lang w:eastAsia="en-US"/>
        </w:rPr>
      </w:pPr>
    </w:p>
    <w:p w:rsidR="008676F9" w:rsidRPr="008676F9" w:rsidRDefault="008676F9" w:rsidP="008676F9">
      <w:pPr>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Opis operácie:</w:t>
      </w:r>
    </w:p>
    <w:p w:rsidR="008676F9" w:rsidRPr="008676F9" w:rsidRDefault="008676F9" w:rsidP="00AA6566">
      <w:pPr>
        <w:rPr>
          <w:rFonts w:ascii="Calibri" w:hAnsi="Calibri" w:cs="Calibri"/>
          <w:szCs w:val="22"/>
          <w:lang w:eastAsia="en-US"/>
        </w:rPr>
      </w:pPr>
      <w:r w:rsidRPr="008676F9">
        <w:rPr>
          <w:rFonts w:ascii="Calibri" w:hAnsi="Calibri" w:cs="Calibri"/>
          <w:bCs/>
          <w:szCs w:val="22"/>
          <w:lang w:eastAsia="en-US"/>
        </w:rPr>
        <w:t xml:space="preserve">Činnosti týkajúce sa spracovania alebo využívania </w:t>
      </w:r>
      <w:r w:rsidRPr="008676F9">
        <w:rPr>
          <w:rFonts w:ascii="Calibri" w:hAnsi="Calibri" w:cs="Calibri"/>
          <w:szCs w:val="22"/>
          <w:lang w:eastAsia="en-US"/>
        </w:rPr>
        <w:t xml:space="preserve">obnoviteľných zdrojov energie s výnimkou vodnej, veternej a solárnej energie a činnosti týkajúce sa výroby biomasy a zakladania porastov rýchlorastúcich drevín. </w:t>
      </w:r>
    </w:p>
    <w:p w:rsidR="008676F9" w:rsidRPr="008676F9" w:rsidRDefault="008676F9" w:rsidP="00AA6566">
      <w:pPr>
        <w:rPr>
          <w:rFonts w:ascii="Calibri" w:hAnsi="Calibri" w:cs="Calibri"/>
          <w:szCs w:val="22"/>
          <w:lang w:eastAsia="en-US"/>
        </w:rPr>
      </w:pPr>
    </w:p>
    <w:p w:rsidR="008676F9" w:rsidRPr="008676F9" w:rsidRDefault="008676F9" w:rsidP="00AA6566">
      <w:pPr>
        <w:rPr>
          <w:rFonts w:ascii="Calibri" w:eastAsia="Calibri" w:hAnsi="Calibri" w:cs="Calibri"/>
          <w:bCs/>
          <w:szCs w:val="22"/>
          <w:lang w:eastAsia="en-US"/>
        </w:rPr>
      </w:pPr>
      <w:r w:rsidRPr="008676F9">
        <w:rPr>
          <w:rFonts w:ascii="Calibri" w:eastAsia="Calibri" w:hAnsi="Calibri" w:cs="Calibri"/>
          <w:bCs/>
          <w:szCs w:val="22"/>
          <w:lang w:eastAsia="en-US"/>
        </w:rPr>
        <w:t>Operácia je rozdelená na dva typy podľa podopatrení:</w:t>
      </w:r>
    </w:p>
    <w:p w:rsidR="008676F9" w:rsidRPr="008676F9" w:rsidRDefault="008676F9" w:rsidP="00BE36D5">
      <w:pPr>
        <w:ind w:left="709" w:hanging="709"/>
        <w:rPr>
          <w:rFonts w:ascii="Calibri" w:eastAsia="Calibri" w:hAnsi="Calibri" w:cs="Calibri"/>
          <w:bCs/>
          <w:szCs w:val="22"/>
          <w:lang w:eastAsia="en-US"/>
        </w:rPr>
      </w:pPr>
      <w:r w:rsidRPr="008676F9">
        <w:rPr>
          <w:rFonts w:ascii="Calibri" w:eastAsia="Calibri" w:hAnsi="Calibri" w:cs="Calibri"/>
          <w:bCs/>
          <w:szCs w:val="22"/>
          <w:lang w:eastAsia="en-US"/>
        </w:rPr>
        <w:t>Typ 1: Investícia do výroby, spracovania a využívania OZE, pričom všetku vyrobenú energiu spotrebuje podnik na vlastnú činnosť – operácia v zmysle podopatrenia 4.1</w:t>
      </w:r>
    </w:p>
    <w:p w:rsidR="008676F9" w:rsidRPr="008676F9" w:rsidRDefault="008676F9" w:rsidP="00BE36D5">
      <w:pPr>
        <w:ind w:left="709" w:hanging="709"/>
        <w:rPr>
          <w:rFonts w:ascii="Calibri" w:eastAsia="Calibri" w:hAnsi="Calibri" w:cs="Calibri"/>
          <w:bCs/>
          <w:szCs w:val="22"/>
          <w:lang w:eastAsia="en-US"/>
        </w:rPr>
      </w:pPr>
      <w:r w:rsidRPr="008676F9">
        <w:rPr>
          <w:rFonts w:ascii="Calibri" w:eastAsia="Calibri" w:hAnsi="Calibri" w:cs="Calibri"/>
          <w:bCs/>
          <w:szCs w:val="22"/>
          <w:lang w:eastAsia="en-US"/>
        </w:rPr>
        <w:t>Typ  2: Investícia do výroby, spracovania a využívania OZE, pričom časť vyrobenej energie sa predá do siete – operácia v zmysle podopatrenia 4.2</w:t>
      </w:r>
    </w:p>
    <w:p w:rsidR="00BE36D5" w:rsidRDefault="00BE36D5" w:rsidP="00AA6566">
      <w:pPr>
        <w:rPr>
          <w:rFonts w:ascii="Calibri" w:hAnsi="Calibri" w:cs="Calibri"/>
          <w:bCs/>
          <w:szCs w:val="22"/>
          <w:u w:val="single"/>
          <w:lang w:eastAsia="en-US"/>
        </w:rPr>
      </w:pPr>
    </w:p>
    <w:p w:rsidR="008676F9" w:rsidRPr="008676F9" w:rsidRDefault="008676F9" w:rsidP="00AA6566">
      <w:pPr>
        <w:rPr>
          <w:rFonts w:ascii="Calibri" w:hAnsi="Calibri" w:cs="Calibri"/>
          <w:bCs/>
          <w:szCs w:val="22"/>
          <w:u w:val="single"/>
          <w:lang w:eastAsia="en-US"/>
        </w:rPr>
      </w:pPr>
      <w:r w:rsidRPr="008676F9">
        <w:rPr>
          <w:rFonts w:ascii="Calibri" w:hAnsi="Calibri" w:cs="Calibri"/>
          <w:bCs/>
          <w:szCs w:val="22"/>
          <w:u w:val="single"/>
          <w:lang w:eastAsia="en-US"/>
        </w:rPr>
        <w:t>Pre operáciu typ 1:</w:t>
      </w:r>
    </w:p>
    <w:p w:rsidR="008676F9" w:rsidRPr="008676F9" w:rsidRDefault="008676F9" w:rsidP="00AA6566">
      <w:pPr>
        <w:rPr>
          <w:rFonts w:ascii="Calibri" w:hAnsi="Calibri" w:cs="Calibri"/>
          <w:bCs/>
          <w:szCs w:val="22"/>
          <w:lang w:eastAsia="en-US"/>
        </w:rPr>
      </w:pPr>
      <w:r w:rsidRPr="008676F9">
        <w:rPr>
          <w:rFonts w:ascii="Calibri" w:hAnsi="Calibri" w:cs="Calibri"/>
          <w:bCs/>
          <w:szCs w:val="22"/>
          <w:lang w:eastAsia="en-US"/>
        </w:rPr>
        <w:t>Oprávnené sú činnosti, ktoré zvyšujú celkovú výkonnosť a udržateľnosť poľnohospodárskeho podniku. Všetku vyrobenú energiu spotrebuje podnik na vlastnú činnosť.</w:t>
      </w:r>
    </w:p>
    <w:p w:rsidR="000E5C15" w:rsidRDefault="000E5C15" w:rsidP="00AA6566">
      <w:pPr>
        <w:rPr>
          <w:rFonts w:ascii="Calibri" w:hAnsi="Calibri" w:cs="Calibri"/>
          <w:bCs/>
          <w:szCs w:val="22"/>
          <w:lang w:eastAsia="en-US"/>
        </w:rPr>
      </w:pPr>
    </w:p>
    <w:p w:rsidR="008676F9" w:rsidRPr="008676F9" w:rsidRDefault="008676F9" w:rsidP="00AA6566">
      <w:pPr>
        <w:rPr>
          <w:rFonts w:ascii="Calibri" w:hAnsi="Calibri" w:cs="Calibri"/>
          <w:bCs/>
          <w:szCs w:val="22"/>
          <w:lang w:eastAsia="en-US"/>
        </w:rPr>
      </w:pPr>
      <w:r w:rsidRPr="008676F9">
        <w:rPr>
          <w:rFonts w:ascii="Calibri" w:hAnsi="Calibri" w:cs="Calibri"/>
          <w:bCs/>
          <w:szCs w:val="22"/>
          <w:lang w:eastAsia="en-US"/>
        </w:rPr>
        <w:t>Rozsah podpory:</w:t>
      </w:r>
    </w:p>
    <w:p w:rsidR="008676F9" w:rsidRPr="008676F9" w:rsidRDefault="008676F9" w:rsidP="00955DA4">
      <w:pPr>
        <w:numPr>
          <w:ilvl w:val="0"/>
          <w:numId w:val="204"/>
        </w:numPr>
        <w:ind w:left="426"/>
        <w:rPr>
          <w:rFonts w:ascii="Calibri" w:hAnsi="Calibri"/>
          <w:szCs w:val="22"/>
          <w:lang w:eastAsia="en-US"/>
        </w:rPr>
      </w:pPr>
      <w:r w:rsidRPr="008676F9">
        <w:rPr>
          <w:rFonts w:ascii="Calibri" w:hAnsi="Calibri"/>
          <w:szCs w:val="22"/>
          <w:lang w:eastAsia="en-US"/>
        </w:rPr>
        <w:t>investície na budovanie zariadení na energetické využívanie biomasy na výrobu elektriny a tepla spaľovaním bioplynu vyrobeného anaeróbnou fermentáciou, s max. elektrickým výkonom do 500 kWe,</w:t>
      </w:r>
    </w:p>
    <w:p w:rsidR="008676F9" w:rsidRPr="008676F9" w:rsidRDefault="008676F9" w:rsidP="00955DA4">
      <w:pPr>
        <w:numPr>
          <w:ilvl w:val="0"/>
          <w:numId w:val="204"/>
        </w:numPr>
        <w:ind w:left="425" w:hanging="357"/>
        <w:rPr>
          <w:rFonts w:ascii="Calibri" w:hAnsi="Calibri"/>
          <w:szCs w:val="22"/>
          <w:lang w:eastAsia="en-US"/>
        </w:rPr>
      </w:pPr>
      <w:r w:rsidRPr="008676F9">
        <w:rPr>
          <w:rFonts w:ascii="Calibri" w:hAnsi="Calibri"/>
          <w:szCs w:val="22"/>
          <w:lang w:eastAsia="en-US"/>
        </w:rPr>
        <w:t>investície na budovanie zariadení na energetické využívanie biomasy na výrobu tepla a vykurovanie s max. tepelným výkonom do 500 kWt,</w:t>
      </w:r>
    </w:p>
    <w:p w:rsidR="008676F9" w:rsidRPr="008676F9" w:rsidRDefault="008676F9" w:rsidP="00955DA4">
      <w:pPr>
        <w:numPr>
          <w:ilvl w:val="0"/>
          <w:numId w:val="204"/>
        </w:numPr>
        <w:ind w:left="425" w:hanging="357"/>
        <w:rPr>
          <w:rFonts w:ascii="Calibri" w:hAnsi="Calibri"/>
          <w:szCs w:val="22"/>
          <w:lang w:eastAsia="en-US"/>
        </w:rPr>
      </w:pPr>
      <w:r w:rsidRPr="008676F9">
        <w:rPr>
          <w:rFonts w:ascii="Calibri" w:hAnsi="Calibri"/>
          <w:szCs w:val="22"/>
          <w:lang w:eastAsia="en-US"/>
        </w:rPr>
        <w:t>investície na budovanie, modernizáciu a rekonštrukciu objektov sušiarní s energetickým využitím biomasy na výrobu tepla s max. tepelným výkonom do 2 MWt,</w:t>
      </w:r>
    </w:p>
    <w:p w:rsidR="008676F9" w:rsidRPr="008676F9" w:rsidRDefault="008676F9" w:rsidP="00955DA4">
      <w:pPr>
        <w:numPr>
          <w:ilvl w:val="0"/>
          <w:numId w:val="204"/>
        </w:numPr>
        <w:ind w:left="425" w:hanging="357"/>
        <w:rPr>
          <w:rFonts w:ascii="Calibri" w:hAnsi="Calibri"/>
          <w:szCs w:val="22"/>
          <w:lang w:eastAsia="en-US"/>
        </w:rPr>
      </w:pPr>
      <w:r w:rsidRPr="008676F9">
        <w:rPr>
          <w:rFonts w:ascii="Calibri" w:hAnsi="Calibri"/>
          <w:szCs w:val="22"/>
          <w:lang w:eastAsia="en-US"/>
        </w:rPr>
        <w:t>investície na budovanie, modernizáciu a rekonštrukciu zariadení na využívanie geotermálneho vrtu</w:t>
      </w:r>
      <w:r w:rsidR="00FE2A2D">
        <w:rPr>
          <w:rFonts w:ascii="Calibri" w:hAnsi="Calibri"/>
          <w:szCs w:val="22"/>
          <w:lang w:eastAsia="en-US"/>
        </w:rPr>
        <w:t xml:space="preserve"> pre vlastnú činnosť </w:t>
      </w:r>
      <w:r w:rsidR="00204D9D">
        <w:rPr>
          <w:rFonts w:ascii="Calibri" w:hAnsi="Calibri"/>
          <w:szCs w:val="22"/>
          <w:lang w:eastAsia="en-US"/>
        </w:rPr>
        <w:t>poľnohospodárskeho podniku</w:t>
      </w:r>
      <w:r w:rsidR="00FE2A2D">
        <w:rPr>
          <w:rFonts w:ascii="Calibri" w:hAnsi="Calibri"/>
          <w:szCs w:val="22"/>
          <w:lang w:eastAsia="en-US"/>
        </w:rPr>
        <w:t>,</w:t>
      </w:r>
    </w:p>
    <w:p w:rsidR="008676F9" w:rsidRPr="008676F9" w:rsidRDefault="008676F9" w:rsidP="00955DA4">
      <w:pPr>
        <w:numPr>
          <w:ilvl w:val="0"/>
          <w:numId w:val="204"/>
        </w:numPr>
        <w:ind w:left="426"/>
        <w:rPr>
          <w:rFonts w:ascii="Calibri" w:hAnsi="Calibri"/>
          <w:szCs w:val="22"/>
          <w:lang w:eastAsia="en-US"/>
        </w:rPr>
      </w:pPr>
      <w:r w:rsidRPr="008676F9">
        <w:rPr>
          <w:rFonts w:ascii="Calibri" w:hAnsi="Calibri"/>
          <w:szCs w:val="22"/>
          <w:lang w:eastAsia="en-US"/>
        </w:rPr>
        <w:t>budovanie skleníkov so zdrojom tepla na obnoviteľné zdroje a alternatívne zdroje energie s  využívaním na vykurovanie,</w:t>
      </w:r>
    </w:p>
    <w:p w:rsidR="008676F9" w:rsidRPr="008676F9" w:rsidRDefault="008676F9" w:rsidP="00955DA4">
      <w:pPr>
        <w:numPr>
          <w:ilvl w:val="0"/>
          <w:numId w:val="204"/>
        </w:numPr>
        <w:ind w:left="426"/>
        <w:rPr>
          <w:rFonts w:ascii="Calibri" w:hAnsi="Calibri"/>
          <w:szCs w:val="22"/>
          <w:lang w:eastAsia="en-US"/>
        </w:rPr>
      </w:pPr>
      <w:r w:rsidRPr="008676F9">
        <w:rPr>
          <w:rFonts w:ascii="Calibri" w:hAnsi="Calibri"/>
          <w:szCs w:val="22"/>
          <w:lang w:eastAsia="en-US"/>
        </w:rPr>
        <w:t>investície na výrobu biomasy pre technické a energetické využitie,</w:t>
      </w:r>
    </w:p>
    <w:p w:rsidR="008676F9" w:rsidRPr="008676F9" w:rsidRDefault="008676F9" w:rsidP="00955DA4">
      <w:pPr>
        <w:numPr>
          <w:ilvl w:val="0"/>
          <w:numId w:val="204"/>
        </w:numPr>
        <w:ind w:left="426"/>
        <w:rPr>
          <w:rFonts w:ascii="Calibri" w:hAnsi="Calibri"/>
          <w:szCs w:val="22"/>
          <w:lang w:eastAsia="en-US"/>
        </w:rPr>
      </w:pPr>
      <w:r w:rsidRPr="008676F9">
        <w:rPr>
          <w:rFonts w:ascii="Calibri" w:hAnsi="Calibri"/>
          <w:szCs w:val="22"/>
          <w:lang w:eastAsia="en-US"/>
        </w:rPr>
        <w:t>investície na založenie porastov rýchlo rastúcich drevín</w:t>
      </w:r>
      <w:r w:rsidR="00FE2A2D">
        <w:rPr>
          <w:rFonts w:ascii="Calibri" w:hAnsi="Calibri"/>
          <w:szCs w:val="22"/>
          <w:lang w:eastAsia="en-US"/>
        </w:rPr>
        <w:t xml:space="preserve"> </w:t>
      </w:r>
      <w:r w:rsidR="00204D9D">
        <w:rPr>
          <w:rFonts w:ascii="Calibri" w:hAnsi="Calibri"/>
          <w:szCs w:val="22"/>
          <w:lang w:eastAsia="en-US"/>
        </w:rPr>
        <w:t xml:space="preserve">a iných trvalých energetických plodín </w:t>
      </w:r>
      <w:r w:rsidR="00FE2A2D">
        <w:rPr>
          <w:rFonts w:ascii="Calibri" w:hAnsi="Calibri"/>
          <w:szCs w:val="22"/>
          <w:lang w:eastAsia="en-US"/>
        </w:rPr>
        <w:t>na poľnohospodárskej pôde.</w:t>
      </w:r>
    </w:p>
    <w:p w:rsidR="00AA6566" w:rsidRDefault="00AA6566" w:rsidP="00AA6566">
      <w:pPr>
        <w:rPr>
          <w:rFonts w:ascii="Calibri" w:hAnsi="Calibri" w:cs="Calibri"/>
          <w:bCs/>
          <w:szCs w:val="22"/>
          <w:u w:val="single"/>
          <w:lang w:eastAsia="en-US"/>
        </w:rPr>
      </w:pPr>
    </w:p>
    <w:p w:rsidR="008676F9" w:rsidRPr="008676F9" w:rsidRDefault="008676F9" w:rsidP="00AA6566">
      <w:pPr>
        <w:rPr>
          <w:rFonts w:ascii="Calibri" w:hAnsi="Calibri" w:cs="Calibri"/>
          <w:bCs/>
          <w:szCs w:val="22"/>
          <w:u w:val="single"/>
          <w:lang w:eastAsia="en-US"/>
        </w:rPr>
      </w:pPr>
      <w:r w:rsidRPr="008676F9">
        <w:rPr>
          <w:rFonts w:ascii="Calibri" w:hAnsi="Calibri" w:cs="Calibri"/>
          <w:bCs/>
          <w:szCs w:val="22"/>
          <w:u w:val="single"/>
          <w:lang w:eastAsia="en-US"/>
        </w:rPr>
        <w:t>Pre operáciu typ 2:</w:t>
      </w:r>
    </w:p>
    <w:p w:rsidR="008676F9" w:rsidRPr="008676F9" w:rsidRDefault="008676F9" w:rsidP="00AA6566">
      <w:pPr>
        <w:rPr>
          <w:rFonts w:ascii="Calibri" w:hAnsi="Calibri" w:cs="Calibri"/>
          <w:bCs/>
          <w:szCs w:val="22"/>
          <w:lang w:eastAsia="en-US"/>
        </w:rPr>
      </w:pPr>
      <w:r w:rsidRPr="008676F9">
        <w:rPr>
          <w:rFonts w:ascii="Calibri" w:hAnsi="Calibri" w:cs="Calibri"/>
          <w:bCs/>
          <w:szCs w:val="22"/>
          <w:lang w:eastAsia="en-US"/>
        </w:rPr>
        <w:t xml:space="preserve">Oprávnené sú činnosti, ktoré sa týkajú spracovania poľnohospodárskych produktov. Vstupom do výrobného procesu je poľnohospodársky produkt alebo vedľajšie produkty a odpady z poľnohospodárskej výroby alebo vlastného spracovania potravín. Všetky uvedené </w:t>
      </w:r>
      <w:r w:rsidR="00871C41">
        <w:rPr>
          <w:rFonts w:ascii="Calibri" w:hAnsi="Calibri" w:cs="Calibri"/>
          <w:bCs/>
          <w:szCs w:val="22"/>
          <w:lang w:eastAsia="en-US"/>
        </w:rPr>
        <w:t>v</w:t>
      </w:r>
      <w:r w:rsidRPr="008676F9">
        <w:rPr>
          <w:rFonts w:ascii="Calibri" w:hAnsi="Calibri" w:cs="Calibri"/>
          <w:bCs/>
          <w:szCs w:val="22"/>
          <w:lang w:eastAsia="en-US"/>
        </w:rPr>
        <w:t>stupy sú produktmi prílohy I ZFEÚ. Výstupom výrobného procesu je produkt mimo prílohy I ZFEÚ</w:t>
      </w:r>
      <w:r w:rsidRPr="008676F9">
        <w:rPr>
          <w:rFonts w:ascii="Calibri" w:hAnsi="Calibri" w:cs="Calibri"/>
          <w:bCs/>
          <w:szCs w:val="22"/>
          <w:vertAlign w:val="superscript"/>
          <w:lang w:eastAsia="en-US"/>
        </w:rPr>
        <w:footnoteReference w:id="11"/>
      </w:r>
      <w:r w:rsidRPr="008676F9">
        <w:rPr>
          <w:rFonts w:ascii="Calibri" w:hAnsi="Calibri" w:cs="Calibri"/>
          <w:bCs/>
          <w:szCs w:val="22"/>
          <w:lang w:eastAsia="en-US"/>
        </w:rPr>
        <w:t>, a to:</w:t>
      </w:r>
    </w:p>
    <w:p w:rsidR="008676F9" w:rsidRPr="008676F9" w:rsidRDefault="008676F9" w:rsidP="00955DA4">
      <w:pPr>
        <w:numPr>
          <w:ilvl w:val="0"/>
          <w:numId w:val="104"/>
        </w:numPr>
        <w:contextualSpacing/>
        <w:rPr>
          <w:rFonts w:ascii="Calibri" w:hAnsi="Calibri" w:cs="Calibri"/>
          <w:bCs/>
          <w:szCs w:val="22"/>
          <w:lang w:eastAsia="en-US"/>
        </w:rPr>
      </w:pPr>
      <w:r w:rsidRPr="008676F9">
        <w:rPr>
          <w:rFonts w:ascii="Calibri" w:hAnsi="Calibri" w:cs="Calibri"/>
          <w:bCs/>
          <w:szCs w:val="22"/>
          <w:lang w:eastAsia="en-US"/>
        </w:rPr>
        <w:t>energia z obnoviteľných zdrojov energie alebo</w:t>
      </w:r>
    </w:p>
    <w:p w:rsidR="008676F9" w:rsidRPr="008676F9" w:rsidRDefault="008676F9" w:rsidP="00955DA4">
      <w:pPr>
        <w:numPr>
          <w:ilvl w:val="0"/>
          <w:numId w:val="104"/>
        </w:numPr>
        <w:contextualSpacing/>
        <w:rPr>
          <w:rFonts w:ascii="Calibri" w:hAnsi="Calibri" w:cs="Calibri"/>
          <w:bCs/>
          <w:szCs w:val="22"/>
          <w:lang w:eastAsia="en-US"/>
        </w:rPr>
      </w:pPr>
      <w:r w:rsidRPr="008676F9">
        <w:rPr>
          <w:rFonts w:ascii="Calibri" w:hAnsi="Calibri" w:cs="Calibri"/>
          <w:bCs/>
          <w:szCs w:val="22"/>
          <w:lang w:eastAsia="en-US"/>
        </w:rPr>
        <w:t>produkt, ktorý je ďalej využívaný na výrobu energie.</w:t>
      </w:r>
    </w:p>
    <w:p w:rsidR="008676F9" w:rsidRPr="008676F9" w:rsidRDefault="008676F9" w:rsidP="00AA6566">
      <w:pPr>
        <w:rPr>
          <w:rFonts w:ascii="Calibri" w:hAnsi="Calibri" w:cs="Calibri"/>
          <w:bCs/>
          <w:szCs w:val="22"/>
          <w:lang w:eastAsia="en-US"/>
        </w:rPr>
      </w:pPr>
    </w:p>
    <w:p w:rsidR="008676F9" w:rsidRPr="008676F9" w:rsidRDefault="008676F9" w:rsidP="00AA6566">
      <w:pPr>
        <w:rPr>
          <w:rFonts w:ascii="Calibri" w:hAnsi="Calibri" w:cs="Calibri"/>
          <w:bCs/>
          <w:szCs w:val="22"/>
          <w:lang w:eastAsia="en-US"/>
        </w:rPr>
      </w:pPr>
      <w:r w:rsidRPr="008676F9">
        <w:rPr>
          <w:rFonts w:ascii="Calibri" w:hAnsi="Calibri" w:cs="Calibri"/>
          <w:bCs/>
          <w:szCs w:val="22"/>
          <w:lang w:eastAsia="en-US"/>
        </w:rPr>
        <w:t>Podnik nespotrebuje všetku vyrobenú energiu na vlastnú činnosť, ale časť predáva do siete alebo produkty, ktoré sú ďalej využívané na výrobu energie, podnik realizuje na trhu.</w:t>
      </w:r>
    </w:p>
    <w:p w:rsidR="008676F9" w:rsidRPr="008676F9" w:rsidRDefault="008676F9" w:rsidP="00AA6566">
      <w:pPr>
        <w:rPr>
          <w:rFonts w:ascii="Calibri" w:eastAsia="Calibri" w:hAnsi="Calibri" w:cs="Calibri"/>
          <w:bCs/>
          <w:szCs w:val="22"/>
          <w:lang w:eastAsia="en-US"/>
        </w:rPr>
      </w:pPr>
    </w:p>
    <w:p w:rsidR="008676F9" w:rsidRPr="008676F9" w:rsidRDefault="008676F9" w:rsidP="00AA6566">
      <w:pPr>
        <w:rPr>
          <w:rFonts w:ascii="Calibri" w:eastAsia="Calibri" w:hAnsi="Calibri" w:cs="Calibri"/>
          <w:bCs/>
          <w:szCs w:val="22"/>
          <w:lang w:eastAsia="en-US"/>
        </w:rPr>
      </w:pPr>
      <w:r w:rsidRPr="008676F9">
        <w:rPr>
          <w:rFonts w:ascii="Calibri" w:eastAsia="Calibri" w:hAnsi="Calibri" w:cs="Calibri"/>
          <w:bCs/>
          <w:szCs w:val="22"/>
          <w:lang w:eastAsia="en-US"/>
        </w:rPr>
        <w:t>Rozsah podpory:</w:t>
      </w:r>
    </w:p>
    <w:p w:rsidR="008676F9" w:rsidRPr="008676F9" w:rsidRDefault="008676F9" w:rsidP="00955DA4">
      <w:pPr>
        <w:numPr>
          <w:ilvl w:val="0"/>
          <w:numId w:val="205"/>
        </w:numPr>
        <w:ind w:left="426"/>
        <w:rPr>
          <w:rFonts w:ascii="Calibri" w:hAnsi="Calibri"/>
          <w:szCs w:val="22"/>
          <w:lang w:eastAsia="en-US"/>
        </w:rPr>
      </w:pPr>
      <w:r w:rsidRPr="008676F9">
        <w:rPr>
          <w:rFonts w:ascii="Calibri" w:hAnsi="Calibri"/>
          <w:szCs w:val="22"/>
          <w:lang w:eastAsia="en-US"/>
        </w:rPr>
        <w:t>investície na budovanie zariadení na energetické využívanie biomasy na výrobu elektriny a tepla spaľovaním bioplynu vyrobeného anaeróbnou fermentáciou, s max. elektrickým výkonom do 500 kWe,</w:t>
      </w:r>
    </w:p>
    <w:p w:rsidR="008676F9" w:rsidRPr="008676F9" w:rsidRDefault="008676F9" w:rsidP="00955DA4">
      <w:pPr>
        <w:numPr>
          <w:ilvl w:val="0"/>
          <w:numId w:val="205"/>
        </w:numPr>
        <w:ind w:left="425" w:hanging="357"/>
        <w:rPr>
          <w:rFonts w:ascii="Calibri" w:hAnsi="Calibri"/>
          <w:szCs w:val="22"/>
          <w:lang w:eastAsia="en-US"/>
        </w:rPr>
      </w:pPr>
      <w:r w:rsidRPr="008676F9">
        <w:rPr>
          <w:rFonts w:ascii="Calibri" w:hAnsi="Calibri"/>
          <w:szCs w:val="22"/>
          <w:lang w:eastAsia="en-US"/>
        </w:rPr>
        <w:t>investície na budovanie zariadení na energetické využívanie biomasy na výrobu tepla a vykurovanie s max. tepelným výkonom do 500 kWt,</w:t>
      </w:r>
    </w:p>
    <w:p w:rsidR="008676F9" w:rsidRPr="008676F9" w:rsidRDefault="008676F9" w:rsidP="00955DA4">
      <w:pPr>
        <w:numPr>
          <w:ilvl w:val="0"/>
          <w:numId w:val="205"/>
        </w:numPr>
        <w:ind w:left="425" w:hanging="357"/>
        <w:rPr>
          <w:rFonts w:ascii="Calibri" w:hAnsi="Calibri"/>
          <w:szCs w:val="22"/>
          <w:lang w:eastAsia="en-US"/>
        </w:rPr>
      </w:pPr>
      <w:r w:rsidRPr="008676F9">
        <w:rPr>
          <w:rFonts w:ascii="Calibri" w:hAnsi="Calibri"/>
          <w:szCs w:val="22"/>
          <w:lang w:eastAsia="en-US"/>
        </w:rPr>
        <w:t>investície na výrobu biomasy pre technické a energetické využitie.</w:t>
      </w:r>
    </w:p>
    <w:p w:rsidR="008676F9" w:rsidRPr="008676F9" w:rsidRDefault="008676F9" w:rsidP="00AA6566">
      <w:pPr>
        <w:rPr>
          <w:rFonts w:ascii="Calibri" w:eastAsia="Calibri" w:hAnsi="Calibri" w:cs="Calibri"/>
          <w:bCs/>
          <w:szCs w:val="22"/>
          <w:lang w:eastAsia="en-US"/>
        </w:rPr>
      </w:pPr>
    </w:p>
    <w:p w:rsidR="008676F9" w:rsidRPr="008676F9" w:rsidRDefault="008676F9" w:rsidP="00AA6566">
      <w:pPr>
        <w:rPr>
          <w:rFonts w:ascii="Calibri" w:eastAsia="Calibri" w:hAnsi="Calibri" w:cs="Calibri"/>
          <w:bCs/>
          <w:szCs w:val="22"/>
          <w:lang w:eastAsia="en-US"/>
        </w:rPr>
      </w:pPr>
      <w:r w:rsidRPr="008676F9">
        <w:rPr>
          <w:rFonts w:ascii="Calibri" w:eastAsia="Calibri" w:hAnsi="Calibri" w:cs="Calibri"/>
          <w:bCs/>
          <w:szCs w:val="22"/>
          <w:lang w:eastAsia="en-US"/>
        </w:rPr>
        <w:t>Operácia prispieva prioritne k fokusovej oblasti 5C.</w:t>
      </w:r>
    </w:p>
    <w:p w:rsidR="008676F9" w:rsidRPr="008676F9" w:rsidRDefault="008676F9" w:rsidP="00AA6566">
      <w:pPr>
        <w:rPr>
          <w:rFonts w:ascii="Calibri" w:eastAsia="Calibri" w:hAnsi="Calibri" w:cs="Calibri"/>
          <w:bCs/>
          <w:szCs w:val="22"/>
          <w:lang w:eastAsia="en-US"/>
        </w:rPr>
      </w:pPr>
      <w:r w:rsidRPr="008676F9">
        <w:rPr>
          <w:rFonts w:ascii="Calibri" w:eastAsia="Calibri" w:hAnsi="Calibri" w:cs="Calibri"/>
          <w:bCs/>
          <w:szCs w:val="22"/>
          <w:lang w:eastAsia="en-US"/>
        </w:rPr>
        <w:t>Operácia prispieva sekundárne k fokusovej oblasti 5D, 2A, 2B, 6A.</w:t>
      </w:r>
    </w:p>
    <w:p w:rsidR="008676F9" w:rsidRPr="008676F9" w:rsidRDefault="008676F9" w:rsidP="00AA6566">
      <w:pPr>
        <w:keepNext/>
        <w:keepLines/>
        <w:ind w:left="864" w:hanging="864"/>
        <w:outlineLvl w:val="3"/>
        <w:rPr>
          <w:rFonts w:ascii="Calibri" w:hAnsi="Calibri" w:cs="Calibri"/>
          <w:bCs/>
          <w:iCs/>
          <w:szCs w:val="22"/>
          <w:lang w:eastAsia="en-US"/>
        </w:rPr>
      </w:pPr>
    </w:p>
    <w:p w:rsidR="008676F9" w:rsidRPr="008676F9" w:rsidRDefault="008676F9" w:rsidP="00AA6566">
      <w:pPr>
        <w:keepNext/>
        <w:keepLines/>
        <w:ind w:left="864" w:hanging="864"/>
        <w:outlineLvl w:val="3"/>
        <w:rPr>
          <w:rFonts w:ascii="Calibri" w:hAnsi="Calibri" w:cs="Calibri"/>
          <w:bCs/>
          <w:iCs/>
          <w:szCs w:val="22"/>
          <w:lang w:eastAsia="en-US"/>
        </w:rPr>
      </w:pPr>
      <w:r w:rsidRPr="008676F9">
        <w:rPr>
          <w:rFonts w:ascii="Calibri" w:hAnsi="Calibri" w:cs="Calibri"/>
          <w:bCs/>
          <w:iCs/>
          <w:szCs w:val="22"/>
          <w:lang w:eastAsia="en-US"/>
        </w:rPr>
        <w:t>Rozsah činností:</w:t>
      </w:r>
    </w:p>
    <w:p w:rsidR="008676F9" w:rsidRPr="008676F9" w:rsidRDefault="008676F9" w:rsidP="00AA6566">
      <w:pPr>
        <w:keepNext/>
        <w:keepLines/>
        <w:ind w:left="864" w:hanging="864"/>
        <w:outlineLvl w:val="3"/>
        <w:rPr>
          <w:rFonts w:ascii="Calibri" w:hAnsi="Calibri" w:cs="Calibri"/>
          <w:b/>
          <w:bCs/>
          <w:i/>
          <w:iCs/>
          <w:szCs w:val="22"/>
          <w:u w:val="single"/>
          <w:lang w:eastAsia="en-US"/>
        </w:rPr>
      </w:pPr>
      <w:r w:rsidRPr="008676F9">
        <w:rPr>
          <w:rFonts w:ascii="Calibri" w:hAnsi="Calibri" w:cs="Calibri"/>
          <w:b/>
          <w:bCs/>
          <w:i/>
          <w:iCs/>
          <w:szCs w:val="22"/>
          <w:u w:val="single"/>
          <w:lang w:eastAsia="en-US"/>
        </w:rPr>
        <w:t>1. Výstavba, rekonštrukcia a modernizácia objektov</w:t>
      </w:r>
    </w:p>
    <w:p w:rsidR="008676F9" w:rsidRPr="008676F9" w:rsidRDefault="008676F9" w:rsidP="00955DA4">
      <w:pPr>
        <w:numPr>
          <w:ilvl w:val="0"/>
          <w:numId w:val="105"/>
        </w:numPr>
        <w:ind w:left="714" w:hanging="357"/>
        <w:rPr>
          <w:rFonts w:ascii="Calibri" w:hAnsi="Calibri" w:cs="Calibri"/>
          <w:szCs w:val="22"/>
          <w:lang w:eastAsia="en-US"/>
        </w:rPr>
      </w:pPr>
      <w:r w:rsidRPr="008676F9">
        <w:rPr>
          <w:rFonts w:ascii="Calibri" w:hAnsi="Calibri"/>
          <w:szCs w:val="22"/>
          <w:lang w:eastAsia="en-US"/>
        </w:rPr>
        <w:t>na využívanie geotermálnej energie na vykurovanie skleníkov a fóliovníkov a súvisiace investičné činnosti;</w:t>
      </w:r>
    </w:p>
    <w:p w:rsidR="008676F9" w:rsidRPr="008676F9" w:rsidDel="00B47C93" w:rsidRDefault="008676F9" w:rsidP="00955DA4">
      <w:pPr>
        <w:numPr>
          <w:ilvl w:val="0"/>
          <w:numId w:val="105"/>
        </w:numPr>
        <w:ind w:left="714" w:hanging="357"/>
        <w:rPr>
          <w:rFonts w:ascii="Calibri" w:eastAsia="Calibri" w:hAnsi="Calibri"/>
          <w:szCs w:val="22"/>
          <w:lang w:eastAsia="en-US"/>
        </w:rPr>
      </w:pPr>
      <w:r w:rsidRPr="008676F9">
        <w:rPr>
          <w:rFonts w:ascii="Calibri" w:eastAsia="Calibri" w:hAnsi="Calibri"/>
          <w:szCs w:val="22"/>
          <w:lang w:eastAsia="en-US"/>
        </w:rPr>
        <w:t>na zavádzanie technológií na výrobu energie energetickou transformáciou biomasy vyprodukovanej na ostatnej poľnohospodárskej pôde (nevyužitej ornej i TTP) a odpadových druhov biomasy z poľnohospodárstva, vlastnej výroby potravinárskych výrobkov a lesného hospodárstva;</w:t>
      </w:r>
    </w:p>
    <w:p w:rsidR="008676F9" w:rsidRPr="008676F9" w:rsidRDefault="008676F9" w:rsidP="00955DA4">
      <w:pPr>
        <w:numPr>
          <w:ilvl w:val="0"/>
          <w:numId w:val="105"/>
        </w:numPr>
        <w:ind w:left="714" w:hanging="357"/>
        <w:rPr>
          <w:rFonts w:ascii="Calibri" w:eastAsia="Calibri" w:hAnsi="Calibri" w:cs="Calibri"/>
          <w:szCs w:val="22"/>
          <w:lang w:eastAsia="en-US"/>
        </w:rPr>
      </w:pPr>
      <w:r w:rsidRPr="008676F9">
        <w:rPr>
          <w:rFonts w:ascii="Calibri" w:eastAsia="Calibri" w:hAnsi="Calibri"/>
          <w:szCs w:val="22"/>
          <w:lang w:eastAsia="en-US"/>
        </w:rPr>
        <w:t xml:space="preserve">na zriadenie a využívanie geotermálneho vrtu vrátane rozvodov pre vlastnú spotrebu </w:t>
      </w:r>
      <w:r w:rsidR="00204D9D">
        <w:rPr>
          <w:rFonts w:ascii="Calibri" w:eastAsia="Calibri" w:hAnsi="Calibri"/>
          <w:szCs w:val="22"/>
          <w:lang w:eastAsia="en-US"/>
        </w:rPr>
        <w:t>poľnohospodárskeho podniku.</w:t>
      </w:r>
    </w:p>
    <w:p w:rsidR="008676F9" w:rsidRPr="008676F9" w:rsidRDefault="008676F9" w:rsidP="00AA6566">
      <w:pPr>
        <w:tabs>
          <w:tab w:val="num" w:pos="284"/>
        </w:tabs>
        <w:ind w:left="284" w:hanging="284"/>
        <w:rPr>
          <w:rFonts w:ascii="Calibri" w:eastAsia="Calibri" w:hAnsi="Calibri"/>
          <w:szCs w:val="22"/>
          <w:lang w:eastAsia="en-US"/>
        </w:rPr>
      </w:pPr>
    </w:p>
    <w:p w:rsidR="008676F9" w:rsidRPr="008676F9" w:rsidRDefault="008676F9" w:rsidP="00AA6566">
      <w:pPr>
        <w:keepNext/>
        <w:keepLines/>
        <w:outlineLvl w:val="3"/>
        <w:rPr>
          <w:rFonts w:ascii="Calibri" w:hAnsi="Calibri" w:cs="Calibri"/>
          <w:i/>
          <w:iCs/>
          <w:szCs w:val="22"/>
          <w:u w:val="single"/>
          <w:lang w:eastAsia="en-US"/>
        </w:rPr>
      </w:pPr>
      <w:r w:rsidRPr="008676F9">
        <w:rPr>
          <w:rFonts w:ascii="Calibri" w:hAnsi="Calibri" w:cs="Calibri"/>
          <w:b/>
          <w:bCs/>
          <w:i/>
          <w:iCs/>
          <w:szCs w:val="22"/>
          <w:u w:val="single"/>
          <w:lang w:eastAsia="en-US"/>
        </w:rPr>
        <w:t xml:space="preserve">2. Obstaranie a modernizácia  technického a technologického vybavenia </w:t>
      </w:r>
    </w:p>
    <w:p w:rsidR="008676F9" w:rsidRPr="008676F9" w:rsidRDefault="008676F9" w:rsidP="00955DA4">
      <w:pPr>
        <w:numPr>
          <w:ilvl w:val="0"/>
          <w:numId w:val="106"/>
        </w:numPr>
        <w:rPr>
          <w:rFonts w:ascii="Calibri" w:eastAsia="Calibri" w:hAnsi="Calibri" w:cs="Calibri"/>
          <w:szCs w:val="22"/>
          <w:lang w:eastAsia="en-US"/>
        </w:rPr>
      </w:pPr>
      <w:r w:rsidRPr="008676F9">
        <w:rPr>
          <w:rFonts w:ascii="Calibri" w:eastAsia="Calibri" w:hAnsi="Calibri"/>
          <w:szCs w:val="22"/>
          <w:lang w:eastAsia="en-US"/>
        </w:rPr>
        <w:t>na energetickú transformáciu biomasy a to cielene pestovanej biomasy na plochách nevyužívanej poľnohospodárskej pôdy (nevyužitej ornej pôdy a plochy trvalých trávnych porastov), odpadovej biomasy zo živočíšnej výroby, rastlinnej výroby, drevnej hmoty z lesnej pôdy a biomasy z biologicky rozložiteľného odpadu z vlastnej poľnohospodárskej činnosti</w:t>
      </w:r>
      <w:r w:rsidRPr="008676F9">
        <w:rPr>
          <w:rFonts w:ascii="Calibri" w:eastAsia="Calibri" w:hAnsi="Calibri"/>
          <w:szCs w:val="22"/>
          <w:lang w:eastAsia="en-US"/>
        </w:rPr>
        <w:lastRenderedPageBreak/>
        <w:t xml:space="preserve"> a vlastnej výroby potravinárskych výrobkov. Investície budú zamerané na produkciu tepla a elektriny.</w:t>
      </w:r>
    </w:p>
    <w:p w:rsidR="008676F9" w:rsidRPr="008676F9" w:rsidRDefault="008676F9" w:rsidP="00955DA4">
      <w:pPr>
        <w:numPr>
          <w:ilvl w:val="0"/>
          <w:numId w:val="106"/>
        </w:numPr>
        <w:tabs>
          <w:tab w:val="decimal" w:pos="9000"/>
        </w:tabs>
        <w:overflowPunct w:val="0"/>
        <w:autoSpaceDE w:val="0"/>
        <w:autoSpaceDN w:val="0"/>
        <w:adjustRightInd w:val="0"/>
        <w:textAlignment w:val="baseline"/>
        <w:rPr>
          <w:rFonts w:ascii="Calibri" w:hAnsi="Calibri"/>
          <w:szCs w:val="22"/>
          <w:lang w:eastAsia="cs-CZ"/>
        </w:rPr>
      </w:pPr>
      <w:r w:rsidRPr="008676F9">
        <w:rPr>
          <w:rFonts w:ascii="Calibri" w:hAnsi="Calibri"/>
          <w:szCs w:val="22"/>
          <w:lang w:eastAsia="cs-CZ"/>
        </w:rPr>
        <w:t>na technológiu vykurovania skleníkov  pre efektívnejšie využívanie potenciálu geotermálnych vôd priamo za účelom jej získania,  ako aj technológie pre využívanie termálnej vody  priamym ohrevom. Tiež technológie k zefektívneniu využitia termálnej vody s nízkou teplotou, ktorú nie je možné využiť na priame vykurovanie, transformovaním pomocou  tepelných čerpadiel ako zdroj pre priame vykurovanie.</w:t>
      </w:r>
    </w:p>
    <w:p w:rsidR="008676F9" w:rsidRPr="008676F9" w:rsidRDefault="008676F9" w:rsidP="00955DA4">
      <w:pPr>
        <w:numPr>
          <w:ilvl w:val="0"/>
          <w:numId w:val="106"/>
        </w:numPr>
        <w:tabs>
          <w:tab w:val="decimal" w:pos="9000"/>
        </w:tabs>
        <w:overflowPunct w:val="0"/>
        <w:autoSpaceDE w:val="0"/>
        <w:autoSpaceDN w:val="0"/>
        <w:adjustRightInd w:val="0"/>
        <w:textAlignment w:val="baseline"/>
        <w:rPr>
          <w:rFonts w:ascii="Calibri" w:hAnsi="Calibri"/>
          <w:szCs w:val="22"/>
          <w:lang w:eastAsia="cs-CZ"/>
        </w:rPr>
      </w:pPr>
      <w:r w:rsidRPr="008676F9">
        <w:rPr>
          <w:rFonts w:ascii="Calibri" w:hAnsi="Calibri"/>
          <w:szCs w:val="22"/>
          <w:lang w:eastAsia="cs-CZ"/>
        </w:rPr>
        <w:t>na technológiu pre vykurovanie skleníkov na vysoko účinnú kombinovanú výrobu  tepla/elektrickej energie z</w:t>
      </w:r>
      <w:r w:rsidR="00FE2A2D">
        <w:rPr>
          <w:rFonts w:ascii="Calibri" w:hAnsi="Calibri"/>
          <w:szCs w:val="22"/>
          <w:lang w:eastAsia="cs-CZ"/>
        </w:rPr>
        <w:t> bio</w:t>
      </w:r>
      <w:r w:rsidRPr="008676F9">
        <w:rPr>
          <w:rFonts w:ascii="Calibri" w:hAnsi="Calibri"/>
          <w:szCs w:val="22"/>
          <w:lang w:eastAsia="cs-CZ"/>
        </w:rPr>
        <w:t>plynu</w:t>
      </w:r>
      <w:r w:rsidR="00FE2A2D">
        <w:rPr>
          <w:rFonts w:ascii="Calibri" w:hAnsi="Calibri"/>
          <w:szCs w:val="22"/>
          <w:lang w:eastAsia="cs-CZ"/>
        </w:rPr>
        <w:t>/drevoplynu</w:t>
      </w:r>
      <w:r w:rsidRPr="008676F9">
        <w:rPr>
          <w:rFonts w:ascii="Calibri" w:hAnsi="Calibri"/>
          <w:szCs w:val="22"/>
          <w:lang w:eastAsia="cs-CZ"/>
        </w:rPr>
        <w:t xml:space="preserve"> v kombinácii s tepelnými čerpadlami pre spotrebu produkovanej el. energie. Technológie plnia  požiadavky:  produkované teplo sa využije na 100 % pre vlastnú spotrebu a el. energie min. 50 % bude využitá ako pre vlastnú spotrebu, tak aj priamo na technológiu pestovania spolu s technológiou tepelných čerpadiel;</w:t>
      </w:r>
    </w:p>
    <w:p w:rsidR="008676F9" w:rsidRPr="008676F9" w:rsidRDefault="008676F9" w:rsidP="00955DA4">
      <w:pPr>
        <w:numPr>
          <w:ilvl w:val="0"/>
          <w:numId w:val="106"/>
        </w:numPr>
        <w:tabs>
          <w:tab w:val="decimal" w:pos="9000"/>
        </w:tabs>
        <w:overflowPunct w:val="0"/>
        <w:autoSpaceDE w:val="0"/>
        <w:autoSpaceDN w:val="0"/>
        <w:adjustRightInd w:val="0"/>
        <w:textAlignment w:val="baseline"/>
        <w:rPr>
          <w:rFonts w:ascii="Calibri" w:hAnsi="Calibri"/>
          <w:szCs w:val="22"/>
          <w:lang w:eastAsia="cs-CZ"/>
        </w:rPr>
      </w:pPr>
      <w:r w:rsidRPr="008676F9">
        <w:rPr>
          <w:rFonts w:ascii="Calibri" w:hAnsi="Calibri"/>
          <w:szCs w:val="22"/>
          <w:lang w:eastAsia="cs-CZ"/>
        </w:rPr>
        <w:t>na technológiu vykurovania skleníkov pre vysoko efektívne využívanie biomasy ako obnoviteľného zdroja s využitím produkovaného syntetického plynu v kombinovanej výrobe tepla a el. energie, alebo na priame využívanie syntetického plynu pre výrobu tepla s účinnosťou v zmysle vyhlášky MH SR 337/2012, pričom navrhovaná technológia musí garantovať na 100 % využitie tepla pre vlastnú spotrebu.</w:t>
      </w:r>
    </w:p>
    <w:p w:rsidR="008676F9" w:rsidRPr="008676F9" w:rsidRDefault="008676F9" w:rsidP="00955DA4">
      <w:pPr>
        <w:numPr>
          <w:ilvl w:val="0"/>
          <w:numId w:val="106"/>
        </w:numPr>
        <w:rPr>
          <w:rFonts w:ascii="Calibri" w:eastAsia="Calibri" w:hAnsi="Calibri" w:cs="Calibri"/>
          <w:szCs w:val="22"/>
          <w:lang w:eastAsia="en-US"/>
        </w:rPr>
      </w:pPr>
      <w:r w:rsidRPr="008676F9">
        <w:rPr>
          <w:rFonts w:ascii="Calibri" w:eastAsia="Calibri" w:hAnsi="Calibri"/>
          <w:szCs w:val="22"/>
          <w:lang w:eastAsia="en-US"/>
        </w:rPr>
        <w:t>Technológia na využívanie obnoviteľných zdrojov energie (s výnimkou veternej, vodnej a solárnej) na sušenie výrobkov poľnohospodárskej prvovýroby vrátane liečivých rastlín, drobného ovocia, spracovanie šípok, spracovanie priemyselných rajčiakov.</w:t>
      </w:r>
    </w:p>
    <w:p w:rsidR="008676F9" w:rsidRPr="008676F9" w:rsidRDefault="008676F9" w:rsidP="00955DA4">
      <w:pPr>
        <w:numPr>
          <w:ilvl w:val="0"/>
          <w:numId w:val="106"/>
        </w:numPr>
        <w:rPr>
          <w:rFonts w:ascii="Calibri" w:eastAsia="Calibri" w:hAnsi="Calibri"/>
          <w:szCs w:val="22"/>
          <w:lang w:eastAsia="en-US"/>
        </w:rPr>
      </w:pPr>
      <w:r w:rsidRPr="008676F9">
        <w:rPr>
          <w:rFonts w:ascii="Calibri" w:eastAsia="Calibri" w:hAnsi="Calibri" w:cs="Calibri"/>
          <w:szCs w:val="22"/>
          <w:lang w:eastAsia="en-US"/>
        </w:rPr>
        <w:t>na výrobu biomasy pre technické a energetické využitie</w:t>
      </w:r>
      <w:r w:rsidRPr="008676F9">
        <w:rPr>
          <w:rFonts w:ascii="Calibri" w:eastAsia="Calibri" w:hAnsi="Calibri"/>
          <w:szCs w:val="22"/>
          <w:lang w:eastAsia="en-US"/>
        </w:rPr>
        <w:t>.</w:t>
      </w:r>
    </w:p>
    <w:p w:rsidR="008676F9" w:rsidRPr="008676F9" w:rsidRDefault="008676F9" w:rsidP="00AA6566">
      <w:pPr>
        <w:ind w:left="720"/>
        <w:rPr>
          <w:rFonts w:ascii="Calibri" w:eastAsia="Calibri" w:hAnsi="Calibri" w:cs="Calibri"/>
          <w:szCs w:val="22"/>
          <w:lang w:eastAsia="en-US"/>
        </w:rPr>
      </w:pPr>
    </w:p>
    <w:p w:rsidR="008676F9" w:rsidRPr="008676F9" w:rsidRDefault="008676F9" w:rsidP="00AA6566">
      <w:pPr>
        <w:keepNext/>
        <w:keepLines/>
        <w:outlineLvl w:val="3"/>
        <w:rPr>
          <w:rFonts w:ascii="Calibri" w:hAnsi="Calibri" w:cs="Calibri"/>
          <w:i/>
          <w:iCs/>
          <w:szCs w:val="22"/>
          <w:u w:val="single"/>
          <w:lang w:eastAsia="en-US"/>
        </w:rPr>
      </w:pPr>
      <w:r w:rsidRPr="008676F9">
        <w:rPr>
          <w:rFonts w:ascii="Calibri" w:hAnsi="Calibri" w:cs="Calibri"/>
          <w:b/>
          <w:bCs/>
          <w:i/>
          <w:iCs/>
          <w:szCs w:val="22"/>
          <w:u w:val="single"/>
          <w:lang w:eastAsia="en-US"/>
        </w:rPr>
        <w:t>3. Založenie porastov rýchlo rastúcich drevín</w:t>
      </w:r>
      <w:r w:rsidR="00204D9D">
        <w:rPr>
          <w:rFonts w:ascii="Calibri" w:hAnsi="Calibri" w:cs="Calibri"/>
          <w:b/>
          <w:bCs/>
          <w:i/>
          <w:iCs/>
          <w:szCs w:val="22"/>
          <w:u w:val="single"/>
          <w:lang w:eastAsia="en-US"/>
        </w:rPr>
        <w:t xml:space="preserve"> a iných trvalých energetických plodín</w:t>
      </w:r>
      <w:r w:rsidRPr="008676F9">
        <w:rPr>
          <w:rFonts w:ascii="Calibri" w:hAnsi="Calibri" w:cs="Calibri"/>
          <w:b/>
          <w:bCs/>
          <w:i/>
          <w:iCs/>
          <w:szCs w:val="22"/>
          <w:u w:val="single"/>
          <w:lang w:eastAsia="en-US"/>
        </w:rPr>
        <w:t xml:space="preserve"> </w:t>
      </w:r>
    </w:p>
    <w:p w:rsidR="008676F9" w:rsidRPr="008676F9" w:rsidRDefault="008676F9" w:rsidP="00317BFF">
      <w:pPr>
        <w:numPr>
          <w:ilvl w:val="0"/>
          <w:numId w:val="27"/>
        </w:numPr>
        <w:tabs>
          <w:tab w:val="clear" w:pos="720"/>
          <w:tab w:val="num" w:pos="284"/>
          <w:tab w:val="decimal" w:pos="9000"/>
        </w:tabs>
        <w:overflowPunct w:val="0"/>
        <w:autoSpaceDE w:val="0"/>
        <w:autoSpaceDN w:val="0"/>
        <w:adjustRightInd w:val="0"/>
        <w:ind w:left="284" w:hanging="284"/>
        <w:textAlignment w:val="baseline"/>
        <w:rPr>
          <w:rFonts w:ascii="Calibri" w:hAnsi="Calibri"/>
          <w:szCs w:val="22"/>
          <w:lang w:eastAsia="cs-CZ"/>
        </w:rPr>
      </w:pPr>
      <w:r w:rsidRPr="008676F9">
        <w:rPr>
          <w:rFonts w:ascii="Calibri" w:hAnsi="Calibri"/>
          <w:szCs w:val="22"/>
          <w:lang w:eastAsia="cs-CZ"/>
        </w:rPr>
        <w:t>náklady na založenie porastov rýchlo rastúcich drevín</w:t>
      </w:r>
      <w:r w:rsidR="00DE7344">
        <w:rPr>
          <w:rFonts w:ascii="Calibri" w:hAnsi="Calibri"/>
          <w:szCs w:val="22"/>
          <w:lang w:eastAsia="cs-CZ"/>
        </w:rPr>
        <w:t xml:space="preserve"> </w:t>
      </w:r>
      <w:r w:rsidR="00204D9D">
        <w:rPr>
          <w:rFonts w:ascii="Calibri" w:hAnsi="Calibri"/>
          <w:szCs w:val="22"/>
          <w:lang w:eastAsia="cs-CZ"/>
        </w:rPr>
        <w:t xml:space="preserve">a iných trvalých energetických plodín </w:t>
      </w:r>
      <w:r w:rsidR="00DE7344">
        <w:rPr>
          <w:rFonts w:ascii="Calibri" w:hAnsi="Calibri"/>
          <w:szCs w:val="22"/>
          <w:lang w:eastAsia="cs-CZ"/>
        </w:rPr>
        <w:t>na poľnohospodárskej pôde</w:t>
      </w:r>
      <w:r w:rsidRPr="008676F9">
        <w:rPr>
          <w:rFonts w:ascii="Calibri" w:hAnsi="Calibri"/>
          <w:szCs w:val="22"/>
          <w:lang w:eastAsia="cs-CZ"/>
        </w:rPr>
        <w:t>.</w:t>
      </w:r>
    </w:p>
    <w:p w:rsidR="008676F9" w:rsidRPr="008676F9" w:rsidRDefault="008676F9" w:rsidP="00AA6566">
      <w:pPr>
        <w:rPr>
          <w:rFonts w:ascii="Calibri" w:eastAsia="Calibri" w:hAnsi="Calibri" w:cs="Calibri"/>
          <w:bCs/>
          <w:szCs w:val="22"/>
          <w:u w:val="single"/>
          <w:lang w:eastAsia="en-US"/>
        </w:rPr>
      </w:pPr>
    </w:p>
    <w:p w:rsidR="008676F9" w:rsidRPr="008676F9" w:rsidRDefault="008676F9" w:rsidP="00AA6566">
      <w:pPr>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Typ podpory:</w:t>
      </w:r>
    </w:p>
    <w:p w:rsidR="008676F9" w:rsidRPr="008676F9" w:rsidRDefault="008676F9" w:rsidP="00AA6566">
      <w:pPr>
        <w:rPr>
          <w:rFonts w:ascii="Calibri" w:eastAsia="Calibri" w:hAnsi="Calibri" w:cs="Calibri"/>
          <w:bCs/>
          <w:szCs w:val="22"/>
          <w:lang w:eastAsia="en-US"/>
        </w:rPr>
      </w:pPr>
      <w:r w:rsidRPr="008676F9">
        <w:rPr>
          <w:rFonts w:ascii="Calibri" w:eastAsia="Calibri" w:hAnsi="Calibri" w:cs="Calibri"/>
          <w:bCs/>
          <w:szCs w:val="22"/>
          <w:lang w:eastAsia="en-US"/>
        </w:rPr>
        <w:t>Zisková, investičná, nenávratný finančný príspevok.</w:t>
      </w:r>
    </w:p>
    <w:p w:rsidR="008676F9" w:rsidRPr="008676F9" w:rsidRDefault="008676F9" w:rsidP="00AA6566">
      <w:pPr>
        <w:rPr>
          <w:rFonts w:ascii="Calibri" w:eastAsia="Calibri" w:hAnsi="Calibri" w:cs="Calibri"/>
          <w:bCs/>
          <w:szCs w:val="22"/>
          <w:u w:val="single"/>
          <w:lang w:eastAsia="en-US"/>
        </w:rPr>
      </w:pPr>
    </w:p>
    <w:p w:rsidR="008676F9" w:rsidRPr="008676F9" w:rsidRDefault="008676F9" w:rsidP="00AA6566">
      <w:pPr>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Súvislosť s inou legislatívou:</w:t>
      </w:r>
    </w:p>
    <w:p w:rsidR="008676F9" w:rsidRPr="008676F9" w:rsidRDefault="008676F9" w:rsidP="001F5283">
      <w:pPr>
        <w:numPr>
          <w:ilvl w:val="0"/>
          <w:numId w:val="78"/>
        </w:numPr>
        <w:ind w:left="284" w:hanging="284"/>
        <w:rPr>
          <w:rFonts w:ascii="Calibri" w:hAnsi="Calibri" w:cs="Calibri"/>
          <w:bCs/>
          <w:szCs w:val="22"/>
          <w:lang w:eastAsia="en-US"/>
        </w:rPr>
      </w:pPr>
      <w:r w:rsidRPr="008676F9">
        <w:rPr>
          <w:rFonts w:ascii="Calibri" w:hAnsi="Calibri" w:cs="Calibri"/>
          <w:bCs/>
          <w:szCs w:val="22"/>
          <w:lang w:eastAsia="en-US"/>
        </w:rPr>
        <w:t>zákon č. 309/2009 Z.z. o podpore obnoviteľných zdrojov energie a vysokoúčinnej kombinovanej výroby;</w:t>
      </w:r>
    </w:p>
    <w:p w:rsidR="008676F9" w:rsidRPr="008676F9" w:rsidRDefault="008676F9" w:rsidP="001F5283">
      <w:pPr>
        <w:numPr>
          <w:ilvl w:val="0"/>
          <w:numId w:val="78"/>
        </w:numPr>
        <w:ind w:left="284" w:hanging="284"/>
        <w:rPr>
          <w:rFonts w:ascii="Calibri" w:hAnsi="Calibri" w:cs="Calibri"/>
          <w:bCs/>
          <w:szCs w:val="22"/>
          <w:lang w:eastAsia="en-US"/>
        </w:rPr>
      </w:pPr>
      <w:r w:rsidRPr="008676F9">
        <w:rPr>
          <w:rFonts w:ascii="Calibri" w:hAnsi="Calibri" w:cs="Calibri"/>
          <w:bCs/>
          <w:szCs w:val="22"/>
          <w:lang w:eastAsia="en-US"/>
        </w:rPr>
        <w:t>smernica 2009/28/ES o podpore využívania energie z obnoviteľných zdrojov energie;</w:t>
      </w:r>
    </w:p>
    <w:p w:rsidR="008676F9" w:rsidRPr="008676F9" w:rsidRDefault="008676F9" w:rsidP="001F5283">
      <w:pPr>
        <w:numPr>
          <w:ilvl w:val="0"/>
          <w:numId w:val="78"/>
        </w:numPr>
        <w:ind w:left="284" w:hanging="284"/>
        <w:rPr>
          <w:rFonts w:ascii="Calibri" w:hAnsi="Calibri" w:cs="Calibri"/>
          <w:bCs/>
          <w:szCs w:val="22"/>
          <w:lang w:eastAsia="en-US"/>
        </w:rPr>
      </w:pPr>
      <w:r w:rsidRPr="008676F9">
        <w:rPr>
          <w:rFonts w:ascii="Calibri" w:hAnsi="Calibri" w:cs="Calibri"/>
          <w:bCs/>
          <w:szCs w:val="22"/>
          <w:lang w:eastAsia="en-US"/>
        </w:rPr>
        <w:t>zákon č. 24/2006 Z. z. o posudzovaní vplyvov na životné prostredie;</w:t>
      </w:r>
    </w:p>
    <w:p w:rsidR="008676F9" w:rsidRPr="008676F9" w:rsidRDefault="008676F9" w:rsidP="001F5283">
      <w:pPr>
        <w:numPr>
          <w:ilvl w:val="0"/>
          <w:numId w:val="78"/>
        </w:numPr>
        <w:ind w:left="284" w:hanging="284"/>
        <w:rPr>
          <w:rFonts w:ascii="Calibri" w:hAnsi="Calibri" w:cs="Calibri"/>
          <w:bCs/>
          <w:szCs w:val="22"/>
          <w:lang w:eastAsia="en-US"/>
        </w:rPr>
      </w:pPr>
      <w:r w:rsidRPr="008676F9">
        <w:rPr>
          <w:rFonts w:ascii="Calibri" w:hAnsi="Calibri" w:cs="Calibri"/>
          <w:bCs/>
          <w:szCs w:val="22"/>
          <w:lang w:eastAsia="en-US"/>
        </w:rPr>
        <w:t>zákon č. 50/1976 Zb. o územnom plánovaní a stavebnom poriadku;</w:t>
      </w:r>
    </w:p>
    <w:p w:rsidR="008676F9" w:rsidRPr="008676F9" w:rsidRDefault="008676F9" w:rsidP="001F5283">
      <w:pPr>
        <w:numPr>
          <w:ilvl w:val="0"/>
          <w:numId w:val="78"/>
        </w:numPr>
        <w:ind w:left="284" w:hanging="284"/>
        <w:rPr>
          <w:rFonts w:ascii="Calibri" w:hAnsi="Calibri" w:cs="Calibri"/>
          <w:bCs/>
          <w:szCs w:val="22"/>
          <w:lang w:eastAsia="en-US"/>
        </w:rPr>
      </w:pPr>
      <w:r w:rsidRPr="008676F9">
        <w:rPr>
          <w:rFonts w:ascii="Calibri" w:hAnsi="Calibri" w:cs="Calibri"/>
          <w:bCs/>
          <w:szCs w:val="22"/>
          <w:lang w:eastAsia="en-US"/>
        </w:rPr>
        <w:t>zákon č. 220/2004 Z.z. o ochrane a využívaní poľnohospodárskej pôdy</w:t>
      </w:r>
      <w:r w:rsidR="00FE2A2D">
        <w:rPr>
          <w:rFonts w:ascii="Calibri" w:hAnsi="Calibri" w:cs="Calibri"/>
          <w:bCs/>
          <w:szCs w:val="22"/>
          <w:lang w:eastAsia="en-US"/>
        </w:rPr>
        <w:t xml:space="preserve"> a o zmene zákona č. 245/2003 Z.z. o integrovanej prevencii a kontrole znečisťovania životného prostredia</w:t>
      </w:r>
      <w:r w:rsidRPr="008676F9">
        <w:rPr>
          <w:rFonts w:ascii="Calibri" w:hAnsi="Calibri" w:cs="Calibri"/>
          <w:bCs/>
          <w:szCs w:val="22"/>
          <w:lang w:eastAsia="en-US"/>
        </w:rPr>
        <w:t>;</w:t>
      </w:r>
    </w:p>
    <w:p w:rsidR="008676F9" w:rsidRPr="008676F9" w:rsidRDefault="008676F9" w:rsidP="001F5283">
      <w:pPr>
        <w:numPr>
          <w:ilvl w:val="0"/>
          <w:numId w:val="78"/>
        </w:numPr>
        <w:ind w:left="284" w:hanging="284"/>
        <w:rPr>
          <w:rFonts w:ascii="Calibri" w:hAnsi="Calibri" w:cs="Calibri"/>
          <w:bCs/>
          <w:szCs w:val="22"/>
          <w:lang w:eastAsia="en-US"/>
        </w:rPr>
      </w:pPr>
      <w:r w:rsidRPr="008676F9">
        <w:rPr>
          <w:rFonts w:ascii="Calibri" w:hAnsi="Calibri"/>
          <w:szCs w:val="22"/>
          <w:lang w:eastAsia="en-US"/>
        </w:rPr>
        <w:t>vyhláška MH SR 337/2012, ktorou sa ustanovuje energetická účinnosť premeny energie pri prevádzke, rekonštrukcii a budovaní zariadenia na výrobu elektriny a zariadenia na výrobu tepla;</w:t>
      </w:r>
    </w:p>
    <w:p w:rsidR="008676F9" w:rsidRPr="008676F9" w:rsidRDefault="008676F9" w:rsidP="001F5283">
      <w:pPr>
        <w:numPr>
          <w:ilvl w:val="0"/>
          <w:numId w:val="78"/>
        </w:numPr>
        <w:ind w:left="284" w:hanging="284"/>
        <w:rPr>
          <w:rFonts w:ascii="Calibri" w:hAnsi="Calibri"/>
          <w:szCs w:val="22"/>
          <w:lang w:eastAsia="en-US"/>
        </w:rPr>
      </w:pPr>
      <w:r w:rsidRPr="008676F9">
        <w:rPr>
          <w:rFonts w:ascii="Calibri" w:hAnsi="Calibri"/>
          <w:szCs w:val="22"/>
          <w:lang w:eastAsia="en-US"/>
        </w:rPr>
        <w:t>Neprekrývanie podpory v oblasti investícii do OZE s OP Kvalita životného prostredia je zabezpečené rozdielnym výkonom zariadenia a rozdielnym zameraním investície (v rámci OP KŽP sú podporené investície do zariadení s vyššou kapacitou a pri investíciách s nižšou kapacitou je podmienka, že ani časť energie žiadateľ nespotrebuje na vlastnú poľnohospodársku činnosť).</w:t>
      </w:r>
    </w:p>
    <w:p w:rsidR="00AA6566" w:rsidRDefault="00AA6566" w:rsidP="00AA6566">
      <w:pPr>
        <w:rPr>
          <w:rFonts w:ascii="Calibri" w:eastAsia="Calibri" w:hAnsi="Calibri" w:cs="Calibri"/>
          <w:bCs/>
          <w:szCs w:val="22"/>
          <w:u w:val="single"/>
          <w:lang w:eastAsia="en-US"/>
        </w:rPr>
      </w:pPr>
    </w:p>
    <w:p w:rsidR="008676F9" w:rsidRPr="008676F9" w:rsidRDefault="008676F9" w:rsidP="00AA6566">
      <w:pPr>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Oprávnené náklady:</w:t>
      </w:r>
    </w:p>
    <w:p w:rsidR="008676F9" w:rsidRPr="008676F9" w:rsidRDefault="008676F9" w:rsidP="001F5283">
      <w:pPr>
        <w:numPr>
          <w:ilvl w:val="0"/>
          <w:numId w:val="62"/>
        </w:numPr>
        <w:autoSpaceDE w:val="0"/>
        <w:autoSpaceDN w:val="0"/>
        <w:adjustRightInd w:val="0"/>
        <w:rPr>
          <w:rFonts w:ascii="Calibri" w:eastAsia="Calibri" w:hAnsi="Calibri" w:cs="Calibri"/>
          <w:szCs w:val="22"/>
          <w:lang w:eastAsia="en-US"/>
        </w:rPr>
      </w:pPr>
      <w:r w:rsidRPr="008676F9">
        <w:rPr>
          <w:rFonts w:ascii="Calibri" w:eastAsia="Calibri" w:hAnsi="Calibri" w:cs="Calibri"/>
          <w:szCs w:val="22"/>
          <w:lang w:eastAsia="en-US"/>
        </w:rPr>
        <w:t>investície do dlhodobého hmotného majetku;</w:t>
      </w:r>
    </w:p>
    <w:p w:rsidR="008676F9" w:rsidRPr="008676F9" w:rsidRDefault="008676F9" w:rsidP="001F5283">
      <w:pPr>
        <w:numPr>
          <w:ilvl w:val="0"/>
          <w:numId w:val="62"/>
        </w:numPr>
        <w:autoSpaceDE w:val="0"/>
        <w:autoSpaceDN w:val="0"/>
        <w:adjustRightInd w:val="0"/>
        <w:rPr>
          <w:rFonts w:ascii="Calibri" w:eastAsia="Calibri" w:hAnsi="Calibri" w:cs="Calibri"/>
          <w:szCs w:val="22"/>
          <w:lang w:eastAsia="en-US"/>
        </w:rPr>
      </w:pPr>
      <w:r w:rsidRPr="008676F9">
        <w:rPr>
          <w:rFonts w:ascii="Calibri" w:eastAsia="Calibri" w:hAnsi="Calibri" w:cs="Calibri"/>
          <w:szCs w:val="22"/>
          <w:lang w:eastAsia="en-US"/>
        </w:rPr>
        <w:t>investície do dlhodobého nehmotného majetku;</w:t>
      </w:r>
    </w:p>
    <w:p w:rsidR="008676F9" w:rsidRPr="008676F9" w:rsidRDefault="008676F9" w:rsidP="001F5283">
      <w:pPr>
        <w:numPr>
          <w:ilvl w:val="0"/>
          <w:numId w:val="62"/>
        </w:numPr>
        <w:autoSpaceDE w:val="0"/>
        <w:autoSpaceDN w:val="0"/>
        <w:adjustRightInd w:val="0"/>
        <w:rPr>
          <w:rFonts w:ascii="Calibri" w:eastAsia="Calibri" w:hAnsi="Calibri" w:cs="Calibri"/>
          <w:szCs w:val="22"/>
          <w:lang w:eastAsia="en-US"/>
        </w:rPr>
      </w:pPr>
      <w:r w:rsidRPr="008676F9">
        <w:rPr>
          <w:rFonts w:ascii="Calibri" w:eastAsia="Calibri" w:hAnsi="Calibri" w:cs="Calibri"/>
          <w:szCs w:val="22"/>
          <w:lang w:eastAsia="en-US"/>
        </w:rPr>
        <w:t>súvisiace všeobecné náklady.</w:t>
      </w:r>
    </w:p>
    <w:p w:rsidR="00BE36D5" w:rsidRDefault="00BE36D5" w:rsidP="00AA6566">
      <w:pPr>
        <w:rPr>
          <w:rFonts w:ascii="Calibri" w:eastAsia="Calibri" w:hAnsi="Calibri" w:cs="Calibri"/>
          <w:bCs/>
          <w:szCs w:val="22"/>
          <w:u w:val="single"/>
          <w:lang w:eastAsia="en-US"/>
        </w:rPr>
      </w:pPr>
    </w:p>
    <w:p w:rsidR="008676F9" w:rsidRPr="008676F9" w:rsidRDefault="008676F9" w:rsidP="00AA6566">
      <w:pPr>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Prijímateľ podpory:</w:t>
      </w:r>
    </w:p>
    <w:p w:rsidR="008676F9" w:rsidRPr="008676F9" w:rsidRDefault="008676F9" w:rsidP="00AA6566">
      <w:pPr>
        <w:rPr>
          <w:rFonts w:ascii="Calibri" w:eastAsia="Calibri" w:hAnsi="Calibri" w:cs="Calibri"/>
          <w:szCs w:val="22"/>
          <w:lang w:eastAsia="en-US"/>
        </w:rPr>
      </w:pPr>
      <w:r w:rsidRPr="008676F9">
        <w:rPr>
          <w:rFonts w:ascii="Calibri" w:eastAsia="Calibri" w:hAnsi="Calibri" w:cs="Calibri"/>
          <w:szCs w:val="22"/>
          <w:lang w:eastAsia="en-US"/>
        </w:rPr>
        <w:t>Fyzické a právnické osoby podnikajúce v poľnohospodárskej prvovýrobe.</w:t>
      </w:r>
    </w:p>
    <w:p w:rsidR="008676F9" w:rsidRPr="008676F9" w:rsidRDefault="008676F9" w:rsidP="00AA6566">
      <w:pPr>
        <w:rPr>
          <w:rFonts w:ascii="Calibri" w:eastAsia="Calibri" w:hAnsi="Calibri" w:cs="Calibri"/>
          <w:bCs/>
          <w:szCs w:val="22"/>
          <w:lang w:eastAsia="en-US"/>
        </w:rPr>
      </w:pPr>
    </w:p>
    <w:p w:rsidR="008676F9" w:rsidRPr="008676F9" w:rsidRDefault="008676F9" w:rsidP="00AA6566">
      <w:pPr>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Podmienky oprávnenosti:</w:t>
      </w:r>
    </w:p>
    <w:p w:rsidR="008676F9" w:rsidRPr="008676F9" w:rsidRDefault="008676F9" w:rsidP="00955DA4">
      <w:pPr>
        <w:numPr>
          <w:ilvl w:val="0"/>
          <w:numId w:val="107"/>
        </w:numPr>
        <w:spacing w:after="60"/>
        <w:ind w:left="426" w:hanging="284"/>
        <w:rPr>
          <w:rFonts w:ascii="Calibri" w:hAnsi="Calibri"/>
          <w:szCs w:val="22"/>
          <w:lang w:eastAsia="en-US"/>
        </w:rPr>
      </w:pPr>
      <w:r w:rsidRPr="008676F9">
        <w:rPr>
          <w:rFonts w:ascii="Calibri" w:hAnsi="Calibri" w:cs="Calibri"/>
          <w:szCs w:val="22"/>
          <w:lang w:eastAsia="en-US"/>
        </w:rPr>
        <w:t>Podpora nemôže zakladať ďalšie nároky na ornú pôdu, aby nedošlo k prípadnému zhoršeniu podmienok potravinovej bezpečnosti.</w:t>
      </w:r>
    </w:p>
    <w:p w:rsidR="00204D9D" w:rsidRPr="00D601F6" w:rsidRDefault="00204D9D" w:rsidP="00955DA4">
      <w:pPr>
        <w:numPr>
          <w:ilvl w:val="0"/>
          <w:numId w:val="107"/>
        </w:numPr>
        <w:spacing w:after="60"/>
        <w:ind w:left="426" w:hanging="284"/>
        <w:rPr>
          <w:rFonts w:ascii="Calibri" w:hAnsi="Calibri" w:cs="Calibri"/>
          <w:szCs w:val="22"/>
          <w:lang w:eastAsia="en-US"/>
        </w:rPr>
      </w:pPr>
      <w:r w:rsidRPr="008676F9">
        <w:rPr>
          <w:rFonts w:ascii="Calibri" w:hAnsi="Calibri" w:cs="Calibri"/>
          <w:szCs w:val="22"/>
          <w:lang w:eastAsia="en-US"/>
        </w:rPr>
        <w:t>Založenie porastov rýchlorastúcich drevín</w:t>
      </w:r>
      <w:r>
        <w:rPr>
          <w:rFonts w:ascii="Calibri" w:hAnsi="Calibri" w:cs="Calibri"/>
          <w:szCs w:val="22"/>
          <w:lang w:eastAsia="en-US"/>
        </w:rPr>
        <w:t xml:space="preserve"> a iných trvalých energetických plodín</w:t>
      </w:r>
      <w:r w:rsidRPr="008676F9">
        <w:rPr>
          <w:rFonts w:ascii="Calibri" w:hAnsi="Calibri" w:cs="Calibri"/>
          <w:szCs w:val="22"/>
          <w:lang w:eastAsia="en-US"/>
        </w:rPr>
        <w:t xml:space="preserve"> nebude mať negatívny vplyv na biodiverzitu a sústavu NATURA 2000.</w:t>
      </w:r>
      <w:r>
        <w:rPr>
          <w:rFonts w:ascii="Calibri" w:hAnsi="Calibri" w:cs="Calibri"/>
          <w:szCs w:val="22"/>
          <w:lang w:eastAsia="en-US"/>
        </w:rPr>
        <w:t xml:space="preserve"> </w:t>
      </w:r>
      <w:r w:rsidRPr="00D601F6">
        <w:rPr>
          <w:rFonts w:ascii="Calibri" w:hAnsi="Calibri" w:cs="Calibri"/>
          <w:szCs w:val="22"/>
          <w:lang w:eastAsia="en-US"/>
        </w:rPr>
        <w:t xml:space="preserve">Založenie porastu rýchlorastúcich drevín </w:t>
      </w:r>
      <w:r>
        <w:rPr>
          <w:rFonts w:ascii="Calibri" w:hAnsi="Calibri" w:cs="Calibri"/>
          <w:szCs w:val="22"/>
          <w:lang w:eastAsia="en-US"/>
        </w:rPr>
        <w:t>a iných trvalých energetických plodín</w:t>
      </w:r>
      <w:r w:rsidRPr="008676F9">
        <w:rPr>
          <w:rFonts w:ascii="Calibri" w:hAnsi="Calibri" w:cs="Calibri"/>
          <w:szCs w:val="22"/>
          <w:lang w:eastAsia="en-US"/>
        </w:rPr>
        <w:t xml:space="preserve"> </w:t>
      </w:r>
      <w:r w:rsidRPr="00D601F6">
        <w:rPr>
          <w:rFonts w:ascii="Calibri" w:hAnsi="Calibri" w:cs="Calibri"/>
          <w:szCs w:val="22"/>
          <w:lang w:eastAsia="en-US"/>
        </w:rPr>
        <w:t>na poľnohospodárskej pôde musí byť v súlade s ustanovením §18a zákona  č. 220/2004 Z. z. o ochrane a využívaní poľnohospodárskej pôdy a o zmene zákona č. 245/2003 Z. z. o integrovanej prevencii a kontrole znečisťovania životného prostredia.</w:t>
      </w:r>
    </w:p>
    <w:p w:rsidR="00204D9D" w:rsidRDefault="00204D9D" w:rsidP="00955DA4">
      <w:pPr>
        <w:numPr>
          <w:ilvl w:val="0"/>
          <w:numId w:val="107"/>
        </w:numPr>
        <w:spacing w:after="60"/>
        <w:ind w:left="426" w:hanging="284"/>
        <w:rPr>
          <w:rFonts w:ascii="Calibri" w:hAnsi="Calibri" w:cs="Calibri"/>
          <w:szCs w:val="22"/>
          <w:lang w:eastAsia="en-US"/>
        </w:rPr>
      </w:pPr>
      <w:r w:rsidRPr="008676F9">
        <w:rPr>
          <w:rFonts w:ascii="Calibri" w:hAnsi="Calibri" w:cs="Calibri"/>
          <w:szCs w:val="22"/>
          <w:lang w:eastAsia="en-US"/>
        </w:rPr>
        <w:t>Pokiaľ ide o spracovanie biomasy</w:t>
      </w:r>
      <w:r>
        <w:rPr>
          <w:rFonts w:ascii="Calibri" w:hAnsi="Calibri" w:cs="Calibri"/>
          <w:szCs w:val="22"/>
          <w:lang w:eastAsia="en-US"/>
        </w:rPr>
        <w:t xml:space="preserve"> na energiu</w:t>
      </w:r>
      <w:r w:rsidRPr="008676F9">
        <w:rPr>
          <w:rFonts w:ascii="Calibri" w:hAnsi="Calibri" w:cs="Calibri"/>
          <w:szCs w:val="22"/>
          <w:lang w:eastAsia="en-US"/>
        </w:rPr>
        <w:t>, technológia sa zameriava na spracovanie prevažne odpadu a vedľajších produktov</w:t>
      </w:r>
      <w:r>
        <w:rPr>
          <w:rFonts w:ascii="Calibri" w:hAnsi="Calibri" w:cs="Calibri"/>
          <w:szCs w:val="22"/>
          <w:lang w:eastAsia="en-US"/>
        </w:rPr>
        <w:t xml:space="preserve">, </w:t>
      </w:r>
      <w:r w:rsidRPr="008676F9">
        <w:rPr>
          <w:rFonts w:ascii="Calibri" w:hAnsi="Calibri" w:cs="Calibri"/>
          <w:bCs/>
          <w:szCs w:val="22"/>
          <w:lang w:eastAsia="en-US"/>
        </w:rPr>
        <w:t>tzn. odpady a vedľa</w:t>
      </w:r>
      <w:r>
        <w:rPr>
          <w:rFonts w:ascii="Calibri" w:hAnsi="Calibri" w:cs="Calibri"/>
          <w:bCs/>
          <w:szCs w:val="22"/>
          <w:lang w:eastAsia="en-US"/>
        </w:rPr>
        <w:t>jšie produkty tvoria aspoň 5</w:t>
      </w:r>
      <w:r w:rsidRPr="008676F9">
        <w:rPr>
          <w:rFonts w:ascii="Calibri" w:hAnsi="Calibri" w:cs="Calibri"/>
          <w:bCs/>
          <w:szCs w:val="22"/>
          <w:lang w:eastAsia="en-US"/>
        </w:rPr>
        <w:t>0 % vstupov</w:t>
      </w:r>
      <w:r w:rsidRPr="008676F9">
        <w:rPr>
          <w:rFonts w:ascii="Calibri" w:hAnsi="Calibri" w:cs="Calibri"/>
          <w:szCs w:val="22"/>
          <w:lang w:eastAsia="en-US"/>
        </w:rPr>
        <w:t>.</w:t>
      </w:r>
    </w:p>
    <w:p w:rsidR="008676F9" w:rsidRPr="008676F9" w:rsidRDefault="008676F9" w:rsidP="00955DA4">
      <w:pPr>
        <w:numPr>
          <w:ilvl w:val="0"/>
          <w:numId w:val="107"/>
        </w:numPr>
        <w:spacing w:after="60"/>
        <w:ind w:left="426" w:hanging="284"/>
        <w:rPr>
          <w:rFonts w:ascii="Calibri" w:hAnsi="Calibri" w:cs="Calibri"/>
          <w:szCs w:val="22"/>
          <w:lang w:eastAsia="en-US"/>
        </w:rPr>
      </w:pPr>
      <w:r w:rsidRPr="008676F9">
        <w:rPr>
          <w:rFonts w:ascii="Calibri" w:hAnsi="Calibri" w:cs="Calibri"/>
          <w:szCs w:val="22"/>
          <w:lang w:eastAsia="en-US"/>
        </w:rPr>
        <w:t>Pokiaľ ide o výrobu elektriny spaľovaním bioplynu získaného anaeróbnou fermentáciou a elektriny z plynu vyrobeného termochemickým splyňovaním biomasy, musí žiadateľ z ročnej výroby tepla využiť najmenej 50 % na dodávku využiteľného tepla, ktorá nezahŕňa teplo použité na energetické spracovanie zvyšku biologicky rozložiteľného odpadu, ktorý zostal po výrobe bioplynu.</w:t>
      </w:r>
    </w:p>
    <w:p w:rsidR="008676F9" w:rsidRPr="008676F9" w:rsidRDefault="008676F9" w:rsidP="00955DA4">
      <w:pPr>
        <w:numPr>
          <w:ilvl w:val="0"/>
          <w:numId w:val="107"/>
        </w:numPr>
        <w:spacing w:after="60"/>
        <w:ind w:left="426" w:hanging="284"/>
        <w:rPr>
          <w:rFonts w:ascii="Calibri" w:hAnsi="Calibri" w:cs="Calibri"/>
          <w:szCs w:val="22"/>
          <w:lang w:eastAsia="en-US"/>
        </w:rPr>
      </w:pPr>
      <w:r w:rsidRPr="008676F9">
        <w:rPr>
          <w:rFonts w:ascii="Calibri" w:hAnsi="Calibri" w:cs="Calibri"/>
          <w:szCs w:val="22"/>
          <w:lang w:eastAsia="en-US"/>
        </w:rPr>
        <w:t>Pre operácie typ 1: V prípade investícií do výroby energie je podmienkou, že všetka  vyrobená energia sa  spotrebuje výhradne vo vlastnom podniku - v prípade investícií do výroby tepelnej energie a/alebo elektrickej energie z obnoviteľných zdrojov v poľnohospodárskych podnikoch sú zariadenia na výrobu energie z obnoviteľných zdrojov oprávnené na podporu len vtedy, ak ich výrobná kapacita nepresahuje kombinovanú priemernú ročnú spotrebu tepelnej energie a elektrickej energie v danom poľnohospodárskom podniku vrátane domácnosti</w:t>
      </w:r>
      <w:r w:rsidRPr="008676F9">
        <w:rPr>
          <w:rFonts w:ascii="Calibri" w:hAnsi="Calibri" w:cs="Calibri"/>
          <w:szCs w:val="22"/>
          <w:vertAlign w:val="superscript"/>
          <w:lang w:eastAsia="en-US"/>
        </w:rPr>
        <w:footnoteReference w:id="12"/>
      </w:r>
      <w:r w:rsidRPr="008676F9">
        <w:rPr>
          <w:rFonts w:ascii="Calibri" w:hAnsi="Calibri" w:cs="Calibri"/>
          <w:szCs w:val="22"/>
          <w:lang w:eastAsia="en-US"/>
        </w:rPr>
        <w:t>. Uvedená podmienka sa bude posudzovať pred realizáciou investície.</w:t>
      </w:r>
    </w:p>
    <w:p w:rsidR="008676F9" w:rsidRPr="008676F9" w:rsidRDefault="008676F9" w:rsidP="00955DA4">
      <w:pPr>
        <w:numPr>
          <w:ilvl w:val="0"/>
          <w:numId w:val="107"/>
        </w:numPr>
        <w:spacing w:after="60"/>
        <w:ind w:left="426" w:hanging="284"/>
        <w:rPr>
          <w:rFonts w:ascii="Calibri" w:hAnsi="Calibri" w:cs="Calibri"/>
          <w:bCs/>
          <w:szCs w:val="22"/>
          <w:u w:val="single"/>
          <w:lang w:eastAsia="en-US"/>
        </w:rPr>
      </w:pPr>
      <w:r w:rsidRPr="008676F9">
        <w:rPr>
          <w:rFonts w:ascii="Calibri" w:hAnsi="Calibri" w:cs="Calibri"/>
          <w:szCs w:val="22"/>
          <w:lang w:eastAsia="en-US"/>
        </w:rPr>
        <w:t>Pre operácie typ 2: Výrobná kapacita zariadení na výrobu tepelnej a/alebo elektrickej energie z obnoviteľných zdrojov energie presahuje kombinovanú priemernú ročnú spotrebu tepelnej energie a elektrickej energie v danom poľnohospodárskom podniku vrátane domácnosti</w:t>
      </w:r>
      <w:r w:rsidRPr="008676F9">
        <w:rPr>
          <w:rFonts w:ascii="Calibri" w:hAnsi="Calibri" w:cs="Calibri"/>
          <w:szCs w:val="22"/>
          <w:vertAlign w:val="superscript"/>
          <w:lang w:eastAsia="en-US"/>
        </w:rPr>
        <w:t>3</w:t>
      </w:r>
      <w:r w:rsidRPr="008676F9">
        <w:rPr>
          <w:rFonts w:ascii="Calibri" w:hAnsi="Calibri" w:cs="Calibri"/>
          <w:szCs w:val="22"/>
          <w:lang w:eastAsia="en-US"/>
        </w:rPr>
        <w:t>. Uvedená podmienka sa bude posudzovať pred realizáciou investície. Podmienkou je, že poľnohospodársky podnik využite aspoň časť vyrobenej energie na vlastnú poľnohospodársku činnosť.</w:t>
      </w:r>
    </w:p>
    <w:p w:rsidR="008676F9" w:rsidRPr="008676F9" w:rsidRDefault="008676F9" w:rsidP="00955DA4">
      <w:pPr>
        <w:numPr>
          <w:ilvl w:val="0"/>
          <w:numId w:val="107"/>
        </w:numPr>
        <w:ind w:left="426" w:hanging="284"/>
        <w:rPr>
          <w:rFonts w:ascii="Calibri" w:hAnsi="Calibri" w:cs="Calibri"/>
          <w:bCs/>
          <w:szCs w:val="22"/>
          <w:lang w:eastAsia="en-US"/>
        </w:rPr>
      </w:pPr>
      <w:r w:rsidRPr="008676F9">
        <w:rPr>
          <w:rFonts w:ascii="Calibri" w:hAnsi="Calibri" w:cs="Calibri"/>
          <w:bCs/>
          <w:szCs w:val="22"/>
          <w:lang w:eastAsia="en-US"/>
        </w:rPr>
        <w:t>Povinnosť žiadateľa, ktorý sa nachádza na území MAS, predložiť potvrdenie od MAS, že daný projekt nie je realizovaný prostredníctvom stratégie CLLD miestnej akčnej skupiny.</w:t>
      </w:r>
    </w:p>
    <w:p w:rsidR="008676F9" w:rsidRPr="008676F9" w:rsidRDefault="008676F9" w:rsidP="00AA6566">
      <w:pPr>
        <w:ind w:left="714"/>
        <w:rPr>
          <w:rFonts w:ascii="Calibri" w:hAnsi="Calibri" w:cs="Calibri"/>
          <w:bCs/>
          <w:szCs w:val="22"/>
          <w:u w:val="single"/>
          <w:lang w:eastAsia="en-US"/>
        </w:rPr>
      </w:pPr>
    </w:p>
    <w:p w:rsidR="00693323" w:rsidRPr="008676F9" w:rsidRDefault="00693323" w:rsidP="00693323">
      <w:pPr>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Princípy nastavenia výberových kritérií:</w:t>
      </w:r>
    </w:p>
    <w:p w:rsidR="00693323" w:rsidRPr="008676F9" w:rsidRDefault="00693323" w:rsidP="00693323">
      <w:pPr>
        <w:numPr>
          <w:ilvl w:val="0"/>
          <w:numId w:val="64"/>
        </w:numPr>
        <w:ind w:left="284" w:hanging="284"/>
        <w:contextualSpacing/>
        <w:rPr>
          <w:rFonts w:ascii="Calibri" w:hAnsi="Calibri" w:cs="Calibri"/>
          <w:bCs/>
          <w:szCs w:val="22"/>
          <w:lang w:eastAsia="en-US"/>
        </w:rPr>
      </w:pPr>
      <w:r w:rsidRPr="008676F9">
        <w:rPr>
          <w:rFonts w:ascii="Calibri" w:hAnsi="Calibri" w:cs="Calibri"/>
          <w:bCs/>
          <w:szCs w:val="22"/>
          <w:lang w:eastAsia="en-US"/>
        </w:rPr>
        <w:t>udržateľnosť plnenia kritérií žiadateľom;</w:t>
      </w:r>
    </w:p>
    <w:p w:rsidR="00693323" w:rsidRPr="008676F9" w:rsidRDefault="00693323" w:rsidP="00693323">
      <w:pPr>
        <w:numPr>
          <w:ilvl w:val="0"/>
          <w:numId w:val="64"/>
        </w:numPr>
        <w:ind w:left="284" w:hanging="284"/>
        <w:contextualSpacing/>
        <w:rPr>
          <w:rFonts w:ascii="Calibri" w:hAnsi="Calibri" w:cs="Calibri"/>
          <w:bCs/>
          <w:szCs w:val="22"/>
          <w:lang w:eastAsia="en-US"/>
        </w:rPr>
      </w:pPr>
      <w:r w:rsidRPr="008676F9">
        <w:rPr>
          <w:rFonts w:ascii="Calibri" w:hAnsi="Calibri" w:cs="Calibri"/>
          <w:bCs/>
          <w:szCs w:val="22"/>
          <w:lang w:eastAsia="en-US"/>
        </w:rPr>
        <w:t>uprednostnené budú projekty prispievajúce k udržaniu a</w:t>
      </w:r>
      <w:r>
        <w:rPr>
          <w:rFonts w:ascii="Calibri" w:hAnsi="Calibri" w:cs="Calibri"/>
          <w:bCs/>
          <w:szCs w:val="22"/>
          <w:lang w:eastAsia="en-US"/>
        </w:rPr>
        <w:t>lebo</w:t>
      </w:r>
      <w:r w:rsidRPr="008676F9">
        <w:rPr>
          <w:rFonts w:ascii="Calibri" w:hAnsi="Calibri" w:cs="Calibri"/>
          <w:bCs/>
          <w:szCs w:val="22"/>
          <w:lang w:eastAsia="en-US"/>
        </w:rPr>
        <w:t xml:space="preserve"> zvýšeniu zamestnanosti;</w:t>
      </w:r>
    </w:p>
    <w:p w:rsidR="00693323" w:rsidRPr="008676F9" w:rsidRDefault="00693323" w:rsidP="00693323">
      <w:pPr>
        <w:numPr>
          <w:ilvl w:val="0"/>
          <w:numId w:val="64"/>
        </w:numPr>
        <w:ind w:left="284" w:hanging="284"/>
        <w:contextualSpacing/>
        <w:rPr>
          <w:rFonts w:ascii="Calibri" w:hAnsi="Calibri" w:cs="Calibri"/>
          <w:bCs/>
          <w:szCs w:val="22"/>
          <w:lang w:eastAsia="en-US"/>
        </w:rPr>
      </w:pPr>
      <w:r w:rsidRPr="008676F9">
        <w:rPr>
          <w:rFonts w:ascii="Calibri" w:hAnsi="Calibri" w:cs="Calibri"/>
          <w:bCs/>
          <w:szCs w:val="22"/>
          <w:lang w:eastAsia="en-US"/>
        </w:rPr>
        <w:t>uprednostnené budú kolektívne investície v prípade spracovania odpadov zo živočíšnej výroby;</w:t>
      </w:r>
    </w:p>
    <w:p w:rsidR="00693323" w:rsidRDefault="00693323" w:rsidP="00693323">
      <w:pPr>
        <w:numPr>
          <w:ilvl w:val="0"/>
          <w:numId w:val="64"/>
        </w:numPr>
        <w:ind w:left="284" w:hanging="284"/>
        <w:contextualSpacing/>
        <w:rPr>
          <w:rFonts w:ascii="Calibri" w:hAnsi="Calibri" w:cs="Calibri"/>
          <w:bCs/>
          <w:szCs w:val="22"/>
          <w:lang w:eastAsia="en-US"/>
        </w:rPr>
      </w:pPr>
      <w:r w:rsidRPr="008676F9">
        <w:rPr>
          <w:rFonts w:ascii="Calibri" w:hAnsi="Calibri" w:cs="Calibri"/>
          <w:bCs/>
          <w:szCs w:val="22"/>
          <w:lang w:eastAsia="en-US"/>
        </w:rPr>
        <w:t>uprednostnené budú projekty zamerané na spracovanie a využitie najmä odpad</w:t>
      </w:r>
      <w:r>
        <w:rPr>
          <w:rFonts w:ascii="Calibri" w:hAnsi="Calibri" w:cs="Calibri"/>
          <w:bCs/>
          <w:szCs w:val="22"/>
          <w:lang w:eastAsia="en-US"/>
        </w:rPr>
        <w:t>ovej biomasy</w:t>
      </w:r>
      <w:r w:rsidRPr="008676F9">
        <w:rPr>
          <w:rFonts w:ascii="Calibri" w:hAnsi="Calibri" w:cs="Calibri"/>
          <w:bCs/>
          <w:szCs w:val="22"/>
          <w:lang w:eastAsia="en-US"/>
        </w:rPr>
        <w:t>, tzn. odpady a vedľajšie produkty tvoria aspoň 70 % vstupov;</w:t>
      </w:r>
    </w:p>
    <w:p w:rsidR="00693323" w:rsidRPr="008676F9" w:rsidRDefault="00693323" w:rsidP="00693323">
      <w:pPr>
        <w:numPr>
          <w:ilvl w:val="0"/>
          <w:numId w:val="64"/>
        </w:numPr>
        <w:ind w:left="284" w:hanging="284"/>
        <w:contextualSpacing/>
        <w:rPr>
          <w:rFonts w:ascii="Calibri" w:hAnsi="Calibri" w:cs="Calibri"/>
          <w:bCs/>
          <w:szCs w:val="22"/>
          <w:lang w:eastAsia="en-US"/>
        </w:rPr>
      </w:pPr>
      <w:r>
        <w:rPr>
          <w:rFonts w:ascii="Calibri" w:hAnsi="Calibri" w:cs="Calibri"/>
          <w:bCs/>
          <w:szCs w:val="22"/>
          <w:lang w:eastAsia="en-US"/>
        </w:rPr>
        <w:t>prioritne budú podporené nízko emisné technológie</w:t>
      </w:r>
    </w:p>
    <w:p w:rsidR="00693323" w:rsidRPr="008676F9" w:rsidRDefault="00693323" w:rsidP="00693323">
      <w:pPr>
        <w:numPr>
          <w:ilvl w:val="0"/>
          <w:numId w:val="64"/>
        </w:numPr>
        <w:ind w:left="284" w:hanging="284"/>
        <w:contextualSpacing/>
        <w:rPr>
          <w:rFonts w:ascii="Calibri" w:hAnsi="Calibri" w:cs="Calibri"/>
          <w:bCs/>
          <w:szCs w:val="22"/>
          <w:lang w:eastAsia="en-US"/>
        </w:rPr>
      </w:pPr>
      <w:r w:rsidRPr="008676F9">
        <w:rPr>
          <w:rFonts w:ascii="Calibri" w:hAnsi="Calibri" w:cs="Calibri"/>
          <w:bCs/>
          <w:szCs w:val="22"/>
          <w:lang w:eastAsia="en-US"/>
        </w:rPr>
        <w:t>hodnotiť sa bude komplexnosť, udržateľnosť, realizovateľnosť, hospodárnosť a efektívnosť projektu;</w:t>
      </w:r>
    </w:p>
    <w:p w:rsidR="00693323" w:rsidRPr="008676F9" w:rsidRDefault="00693323" w:rsidP="00693323">
      <w:pPr>
        <w:numPr>
          <w:ilvl w:val="0"/>
          <w:numId w:val="64"/>
        </w:numPr>
        <w:ind w:left="284" w:hanging="284"/>
        <w:contextualSpacing/>
        <w:rPr>
          <w:rFonts w:ascii="Calibri" w:hAnsi="Calibri" w:cs="Calibri"/>
          <w:bCs/>
          <w:szCs w:val="22"/>
          <w:lang w:eastAsia="en-US"/>
        </w:rPr>
      </w:pPr>
      <w:r w:rsidRPr="008676F9">
        <w:rPr>
          <w:rFonts w:ascii="Calibri" w:hAnsi="Calibri" w:cs="Calibri"/>
          <w:bCs/>
          <w:szCs w:val="22"/>
          <w:lang w:eastAsia="en-US"/>
        </w:rPr>
        <w:t>uprednostnené budú projekty žiadateľov, ktorí poskytujú možnosť absolvovania praxe pre študentov poľnohospodárskych študijných alebo učebných odborov alebo odborov zameraných na bioenergetiku.</w:t>
      </w:r>
    </w:p>
    <w:p w:rsidR="00693323" w:rsidRDefault="00693323" w:rsidP="00693323">
      <w:pPr>
        <w:rPr>
          <w:rFonts w:ascii="Calibri" w:eastAsia="Calibri" w:hAnsi="Calibri" w:cs="Calibri"/>
          <w:bCs/>
          <w:szCs w:val="22"/>
          <w:lang w:eastAsia="en-US"/>
        </w:rPr>
      </w:pPr>
    </w:p>
    <w:p w:rsidR="00693323" w:rsidRPr="008676F9" w:rsidRDefault="00693323" w:rsidP="00693323">
      <w:pPr>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Výška a miera podpory:</w:t>
      </w:r>
    </w:p>
    <w:p w:rsidR="00693323" w:rsidRPr="008676F9" w:rsidRDefault="00693323" w:rsidP="00693323">
      <w:pPr>
        <w:rPr>
          <w:rFonts w:ascii="Calibri" w:eastAsia="Calibri" w:hAnsi="Calibri" w:cs="Calibri"/>
          <w:szCs w:val="22"/>
          <w:lang w:eastAsia="en-US"/>
        </w:rPr>
      </w:pPr>
      <w:r w:rsidRPr="008676F9">
        <w:rPr>
          <w:rFonts w:ascii="Calibri" w:eastAsia="Calibri" w:hAnsi="Calibri" w:cs="Calibri"/>
          <w:szCs w:val="22"/>
          <w:lang w:eastAsia="en-US"/>
        </w:rPr>
        <w:t>Maximálna výška podpory z celkových oprávnených výdavkov:</w:t>
      </w:r>
    </w:p>
    <w:p w:rsidR="00693323" w:rsidRPr="008676F9" w:rsidRDefault="00871C41" w:rsidP="00955DA4">
      <w:pPr>
        <w:numPr>
          <w:ilvl w:val="0"/>
          <w:numId w:val="97"/>
        </w:numPr>
        <w:rPr>
          <w:rFonts w:ascii="Calibri" w:hAnsi="Calibri" w:cs="Calibri"/>
          <w:szCs w:val="22"/>
          <w:lang w:eastAsia="en-US"/>
        </w:rPr>
      </w:pPr>
      <w:r>
        <w:rPr>
          <w:rFonts w:ascii="Calibri" w:hAnsi="Calibri" w:cs="Calibri"/>
          <w:szCs w:val="22"/>
          <w:lang w:eastAsia="en-US"/>
        </w:rPr>
        <w:t>50</w:t>
      </w:r>
      <w:r w:rsidR="00693323" w:rsidRPr="008676F9">
        <w:rPr>
          <w:rFonts w:ascii="Calibri" w:hAnsi="Calibri" w:cs="Calibri"/>
          <w:szCs w:val="22"/>
          <w:lang w:eastAsia="en-US"/>
        </w:rPr>
        <w:t>% v prípade menej rozvinutých regiónov (mimo Bratislavského kraja);</w:t>
      </w:r>
    </w:p>
    <w:p w:rsidR="00693323" w:rsidRPr="008676F9" w:rsidRDefault="00693323" w:rsidP="00955DA4">
      <w:pPr>
        <w:numPr>
          <w:ilvl w:val="0"/>
          <w:numId w:val="97"/>
        </w:numPr>
        <w:rPr>
          <w:rFonts w:ascii="Calibri" w:hAnsi="Calibri" w:cs="Calibri"/>
          <w:szCs w:val="22"/>
          <w:lang w:eastAsia="en-US"/>
        </w:rPr>
      </w:pPr>
      <w:r w:rsidRPr="008676F9">
        <w:rPr>
          <w:rFonts w:ascii="Calibri" w:hAnsi="Calibri" w:cs="Calibri"/>
          <w:szCs w:val="22"/>
          <w:lang w:eastAsia="en-US"/>
        </w:rPr>
        <w:t>40% v prípade iných regiónov (Bratislavský kraj).</w:t>
      </w:r>
    </w:p>
    <w:p w:rsidR="00693323" w:rsidRDefault="00693323" w:rsidP="00693323">
      <w:pPr>
        <w:rPr>
          <w:rFonts w:ascii="Calibri" w:hAnsi="Calibri" w:cs="Calibri"/>
          <w:szCs w:val="22"/>
          <w:lang w:eastAsia="en-US"/>
        </w:rPr>
      </w:pPr>
    </w:p>
    <w:p w:rsidR="00693323" w:rsidRPr="008676F9" w:rsidRDefault="00693323" w:rsidP="00693323">
      <w:pPr>
        <w:rPr>
          <w:rFonts w:ascii="Calibri" w:hAnsi="Calibri" w:cs="Calibri"/>
          <w:szCs w:val="22"/>
          <w:lang w:eastAsia="en-US"/>
        </w:rPr>
      </w:pPr>
      <w:r>
        <w:rPr>
          <w:rFonts w:ascii="Calibri" w:hAnsi="Calibri" w:cs="Calibri"/>
          <w:szCs w:val="22"/>
          <w:lang w:eastAsia="en-US"/>
        </w:rPr>
        <w:t>Zároveň platí, že m</w:t>
      </w:r>
      <w:r w:rsidRPr="008676F9">
        <w:rPr>
          <w:rFonts w:ascii="Calibri" w:hAnsi="Calibri" w:cs="Calibri"/>
          <w:szCs w:val="22"/>
          <w:lang w:eastAsia="en-US"/>
        </w:rPr>
        <w:t>iera podpory sa môže zvýšiť o 20%:</w:t>
      </w:r>
    </w:p>
    <w:p w:rsidR="008676F9" w:rsidRPr="008676F9" w:rsidRDefault="008676F9" w:rsidP="00AA6566">
      <w:pPr>
        <w:rPr>
          <w:rFonts w:ascii="Calibri" w:hAnsi="Calibri" w:cs="Calibri"/>
          <w:b/>
          <w:szCs w:val="22"/>
          <w:lang w:eastAsia="en-US"/>
        </w:rPr>
      </w:pPr>
      <w:r w:rsidRPr="008676F9">
        <w:rPr>
          <w:rFonts w:ascii="Calibri" w:hAnsi="Calibri" w:cs="Calibri"/>
          <w:b/>
          <w:szCs w:val="22"/>
          <w:lang w:eastAsia="en-US"/>
        </w:rPr>
        <w:t xml:space="preserve"> pre operácie typ 1:</w:t>
      </w:r>
    </w:p>
    <w:p w:rsidR="008676F9" w:rsidRPr="008676F9" w:rsidRDefault="008676F9" w:rsidP="001F5283">
      <w:pPr>
        <w:numPr>
          <w:ilvl w:val="0"/>
          <w:numId w:val="35"/>
        </w:numPr>
        <w:ind w:left="284" w:hanging="284"/>
        <w:rPr>
          <w:rFonts w:ascii="Calibri" w:hAnsi="Calibri" w:cs="Calibri"/>
          <w:i/>
          <w:szCs w:val="22"/>
          <w:lang w:eastAsia="en-US"/>
        </w:rPr>
      </w:pPr>
      <w:r w:rsidRPr="008676F9">
        <w:rPr>
          <w:rFonts w:ascii="Calibri" w:hAnsi="Calibri" w:cs="Calibri"/>
          <w:i/>
          <w:szCs w:val="22"/>
          <w:lang w:eastAsia="en-US"/>
        </w:rPr>
        <w:t>v prípade mladých poľnohospodárov;</w:t>
      </w:r>
    </w:p>
    <w:p w:rsidR="008676F9" w:rsidRPr="008676F9" w:rsidRDefault="008676F9" w:rsidP="001F5283">
      <w:pPr>
        <w:numPr>
          <w:ilvl w:val="0"/>
          <w:numId w:val="35"/>
        </w:numPr>
        <w:ind w:left="284" w:hanging="284"/>
        <w:rPr>
          <w:rFonts w:ascii="Calibri" w:hAnsi="Calibri" w:cs="Calibri"/>
          <w:i/>
          <w:szCs w:val="22"/>
          <w:lang w:eastAsia="en-US"/>
        </w:rPr>
      </w:pPr>
      <w:r w:rsidRPr="008676F9">
        <w:rPr>
          <w:rFonts w:ascii="Calibri" w:hAnsi="Calibri"/>
          <w:i/>
          <w:szCs w:val="22"/>
          <w:lang w:eastAsia="en-US"/>
        </w:rPr>
        <w:t>v oblastiach s prírodnými a inými špecifickými obmedzeniami</w:t>
      </w:r>
      <w:r w:rsidRPr="008676F9">
        <w:rPr>
          <w:rFonts w:ascii="Calibri" w:hAnsi="Calibri" w:cs="Calibri"/>
          <w:i/>
          <w:szCs w:val="22"/>
          <w:lang w:eastAsia="en-US"/>
        </w:rPr>
        <w:t>;</w:t>
      </w:r>
    </w:p>
    <w:p w:rsidR="008676F9" w:rsidRPr="008676F9" w:rsidRDefault="008676F9" w:rsidP="001F5283">
      <w:pPr>
        <w:numPr>
          <w:ilvl w:val="0"/>
          <w:numId w:val="35"/>
        </w:numPr>
        <w:ind w:left="284" w:hanging="284"/>
        <w:rPr>
          <w:rFonts w:ascii="Calibri" w:hAnsi="Calibri" w:cs="Calibri"/>
          <w:i/>
          <w:szCs w:val="22"/>
          <w:lang w:eastAsia="en-US"/>
        </w:rPr>
      </w:pPr>
      <w:r w:rsidRPr="008676F9">
        <w:rPr>
          <w:rFonts w:ascii="Calibri" w:hAnsi="Calibri" w:cs="Calibri"/>
          <w:i/>
          <w:szCs w:val="22"/>
          <w:lang w:eastAsia="en-US"/>
        </w:rPr>
        <w:t>v prípade operácií v rámci operačných skupín EIP;</w:t>
      </w:r>
    </w:p>
    <w:p w:rsidR="008676F9" w:rsidRPr="008676F9" w:rsidRDefault="008676F9" w:rsidP="001F5283">
      <w:pPr>
        <w:numPr>
          <w:ilvl w:val="0"/>
          <w:numId w:val="35"/>
        </w:numPr>
        <w:ind w:left="284" w:hanging="284"/>
        <w:rPr>
          <w:rFonts w:ascii="Calibri" w:hAnsi="Calibri" w:cs="Calibri"/>
          <w:i/>
          <w:szCs w:val="22"/>
          <w:lang w:eastAsia="en-US"/>
        </w:rPr>
      </w:pPr>
      <w:r w:rsidRPr="008676F9">
        <w:rPr>
          <w:rFonts w:ascii="Calibri" w:hAnsi="Calibri" w:cs="Calibri"/>
          <w:i/>
          <w:szCs w:val="22"/>
          <w:lang w:eastAsia="en-US"/>
        </w:rPr>
        <w:t>v prípade kolektívnych (združených) investícií vrátane tých, ktoré súvisia so zlúčením organizácií výrobcov;</w:t>
      </w:r>
    </w:p>
    <w:p w:rsidR="008676F9" w:rsidRPr="008676F9" w:rsidRDefault="008676F9" w:rsidP="001F5283">
      <w:pPr>
        <w:numPr>
          <w:ilvl w:val="0"/>
          <w:numId w:val="35"/>
        </w:numPr>
        <w:ind w:left="284" w:hanging="284"/>
        <w:rPr>
          <w:rFonts w:ascii="Calibri" w:hAnsi="Calibri" w:cs="Calibri"/>
          <w:i/>
          <w:szCs w:val="22"/>
          <w:lang w:eastAsia="en-US"/>
        </w:rPr>
      </w:pPr>
      <w:r w:rsidRPr="008676F9">
        <w:rPr>
          <w:rFonts w:ascii="Calibri" w:hAnsi="Calibri" w:cs="Calibri"/>
          <w:i/>
          <w:szCs w:val="22"/>
          <w:lang w:eastAsia="en-US"/>
        </w:rPr>
        <w:t>v prípade integrovaných projektov;</w:t>
      </w:r>
    </w:p>
    <w:p w:rsidR="008676F9" w:rsidRPr="008676F9" w:rsidRDefault="008676F9" w:rsidP="001F5283">
      <w:pPr>
        <w:numPr>
          <w:ilvl w:val="0"/>
          <w:numId w:val="35"/>
        </w:numPr>
        <w:ind w:left="284" w:hanging="284"/>
        <w:rPr>
          <w:rFonts w:ascii="Calibri" w:hAnsi="Calibri" w:cs="Calibri"/>
          <w:i/>
          <w:szCs w:val="22"/>
          <w:lang w:eastAsia="en-US"/>
        </w:rPr>
      </w:pPr>
      <w:r w:rsidRPr="008676F9">
        <w:rPr>
          <w:rFonts w:ascii="Calibri" w:hAnsi="Calibri" w:cs="Calibri"/>
          <w:szCs w:val="22"/>
          <w:lang w:eastAsia="en-US"/>
        </w:rPr>
        <w:t>v prípade investícií súvisiacich s operáciami podľa opatrení č. 10 a č. 11</w:t>
      </w:r>
      <w:r w:rsidRPr="008676F9">
        <w:rPr>
          <w:rFonts w:ascii="Calibri" w:hAnsi="Calibri" w:cs="Calibri"/>
          <w:i/>
          <w:szCs w:val="22"/>
          <w:lang w:eastAsia="en-US"/>
        </w:rPr>
        <w:t>.</w:t>
      </w:r>
    </w:p>
    <w:p w:rsidR="00BE36D5" w:rsidRDefault="00BE36D5" w:rsidP="00AA6566">
      <w:pPr>
        <w:rPr>
          <w:rFonts w:ascii="Calibri" w:eastAsia="Calibri" w:hAnsi="Calibri" w:cs="Calibri"/>
          <w:b/>
          <w:bCs/>
          <w:szCs w:val="22"/>
          <w:lang w:eastAsia="en-US"/>
        </w:rPr>
      </w:pPr>
    </w:p>
    <w:p w:rsidR="008676F9" w:rsidRPr="008676F9" w:rsidRDefault="008676F9" w:rsidP="00AA6566">
      <w:pPr>
        <w:rPr>
          <w:rFonts w:ascii="Calibri" w:eastAsia="Calibri" w:hAnsi="Calibri" w:cs="Calibri"/>
          <w:b/>
          <w:bCs/>
          <w:szCs w:val="22"/>
          <w:lang w:eastAsia="en-US"/>
        </w:rPr>
      </w:pPr>
      <w:r w:rsidRPr="008676F9">
        <w:rPr>
          <w:rFonts w:ascii="Calibri" w:eastAsia="Calibri" w:hAnsi="Calibri" w:cs="Calibri"/>
          <w:b/>
          <w:bCs/>
          <w:szCs w:val="22"/>
          <w:lang w:eastAsia="en-US"/>
        </w:rPr>
        <w:t>pre operácie typ 2:</w:t>
      </w:r>
    </w:p>
    <w:p w:rsidR="008676F9" w:rsidRPr="008676F9" w:rsidRDefault="008676F9" w:rsidP="001F5283">
      <w:pPr>
        <w:numPr>
          <w:ilvl w:val="0"/>
          <w:numId w:val="35"/>
        </w:numPr>
        <w:ind w:left="284" w:hanging="284"/>
        <w:rPr>
          <w:rFonts w:ascii="Calibri" w:hAnsi="Calibri" w:cs="Calibri"/>
          <w:i/>
          <w:szCs w:val="22"/>
          <w:lang w:eastAsia="en-US"/>
        </w:rPr>
      </w:pPr>
      <w:r w:rsidRPr="008676F9">
        <w:rPr>
          <w:rFonts w:ascii="Calibri" w:hAnsi="Calibri" w:cs="Calibri"/>
          <w:i/>
          <w:szCs w:val="22"/>
          <w:lang w:eastAsia="en-US"/>
        </w:rPr>
        <w:t>v prípade operácií v rámci operačných skupín EIP;</w:t>
      </w:r>
    </w:p>
    <w:p w:rsidR="008676F9" w:rsidRPr="008676F9" w:rsidRDefault="008676F9" w:rsidP="001F5283">
      <w:pPr>
        <w:numPr>
          <w:ilvl w:val="0"/>
          <w:numId w:val="35"/>
        </w:numPr>
        <w:ind w:left="284" w:hanging="284"/>
        <w:rPr>
          <w:rFonts w:ascii="Calibri" w:hAnsi="Calibri" w:cs="Calibri"/>
          <w:i/>
          <w:szCs w:val="22"/>
          <w:lang w:eastAsia="en-US"/>
        </w:rPr>
      </w:pPr>
      <w:r w:rsidRPr="008676F9">
        <w:rPr>
          <w:rFonts w:ascii="Calibri" w:hAnsi="Calibri" w:cs="Calibri"/>
          <w:i/>
          <w:szCs w:val="22"/>
          <w:lang w:eastAsia="en-US"/>
        </w:rPr>
        <w:t>v prípade operácií súvisiacich so zlučovaním organizácií výrobcov.</w:t>
      </w:r>
    </w:p>
    <w:p w:rsidR="008676F9" w:rsidRPr="008676F9" w:rsidRDefault="008676F9" w:rsidP="00AA6566">
      <w:pPr>
        <w:rPr>
          <w:rFonts w:ascii="Calibri" w:eastAsia="Calibri" w:hAnsi="Calibri" w:cs="Calibri"/>
          <w:bCs/>
          <w:szCs w:val="22"/>
          <w:lang w:eastAsia="en-US"/>
        </w:rPr>
      </w:pPr>
    </w:p>
    <w:p w:rsidR="008676F9" w:rsidRPr="008676F9" w:rsidRDefault="008676F9" w:rsidP="00AA6566">
      <w:pPr>
        <w:rPr>
          <w:rFonts w:ascii="Calibri" w:eastAsia="Calibri" w:hAnsi="Calibri" w:cs="Calibri"/>
          <w:bCs/>
          <w:szCs w:val="22"/>
          <w:lang w:eastAsia="en-US"/>
        </w:rPr>
      </w:pPr>
      <w:r w:rsidRPr="008676F9">
        <w:rPr>
          <w:rFonts w:ascii="Calibri" w:eastAsia="Calibri" w:hAnsi="Calibri" w:cs="Calibri"/>
          <w:bCs/>
          <w:szCs w:val="22"/>
          <w:lang w:eastAsia="en-US"/>
        </w:rPr>
        <w:t xml:space="preserve"> Miera podpory pre oba typy operácií sa môže zvýšiť kombinovane najviac do 90% z celkových oprávnených výdavkov.</w:t>
      </w:r>
    </w:p>
    <w:p w:rsidR="008676F9" w:rsidRPr="008676F9" w:rsidRDefault="008676F9" w:rsidP="00AA6566">
      <w:pPr>
        <w:rPr>
          <w:rFonts w:ascii="Calibri" w:eastAsia="Calibri" w:hAnsi="Calibri" w:cs="Calibri"/>
          <w:szCs w:val="22"/>
        </w:rPr>
      </w:pPr>
    </w:p>
    <w:p w:rsidR="008676F9" w:rsidRPr="008676F9" w:rsidRDefault="008676F9" w:rsidP="00AA6566">
      <w:pPr>
        <w:rPr>
          <w:rFonts w:ascii="Calibri" w:eastAsia="Calibri" w:hAnsi="Calibri" w:cs="Calibri"/>
          <w:szCs w:val="22"/>
          <w:u w:val="single"/>
        </w:rPr>
      </w:pPr>
      <w:r w:rsidRPr="008676F9">
        <w:rPr>
          <w:rFonts w:ascii="Calibri" w:eastAsia="Calibri" w:hAnsi="Calibri" w:cs="Calibri"/>
          <w:szCs w:val="22"/>
          <w:u w:val="single"/>
        </w:rPr>
        <w:t>Ďalšie informácie špecifické pre danú operáciu:</w:t>
      </w:r>
    </w:p>
    <w:p w:rsidR="008676F9" w:rsidRPr="008676F9" w:rsidRDefault="008676F9" w:rsidP="00BE36D5">
      <w:pPr>
        <w:spacing w:after="120"/>
        <w:rPr>
          <w:rFonts w:ascii="Calibri" w:eastAsia="Calibri" w:hAnsi="Calibri" w:cs="Calibri"/>
          <w:bCs/>
          <w:szCs w:val="22"/>
          <w:lang w:eastAsia="en-US"/>
        </w:rPr>
      </w:pPr>
      <w:r w:rsidRPr="008676F9">
        <w:rPr>
          <w:rFonts w:ascii="Calibri" w:eastAsia="Calibri" w:hAnsi="Calibri" w:cs="Calibri"/>
          <w:bCs/>
          <w:i/>
          <w:szCs w:val="22"/>
          <w:lang w:eastAsia="en-US"/>
        </w:rPr>
        <w:t xml:space="preserve">Kritické odvetvia: </w:t>
      </w:r>
      <w:r w:rsidRPr="008676F9">
        <w:rPr>
          <w:rFonts w:ascii="Calibri" w:eastAsia="Calibri" w:hAnsi="Calibri" w:cs="Calibri"/>
          <w:bCs/>
          <w:szCs w:val="22"/>
          <w:lang w:eastAsia="en-US"/>
        </w:rPr>
        <w:t>živočíšna výroba, špecializovaná rastlinná výroba.</w:t>
      </w:r>
    </w:p>
    <w:p w:rsidR="00693323" w:rsidRDefault="00693323" w:rsidP="00693323">
      <w:pPr>
        <w:spacing w:after="120"/>
        <w:rPr>
          <w:rFonts w:ascii="Calibri" w:eastAsia="Calibri" w:hAnsi="Calibri" w:cs="Calibri"/>
          <w:bCs/>
          <w:szCs w:val="22"/>
          <w:lang w:eastAsia="en-US"/>
        </w:rPr>
      </w:pPr>
      <w:r>
        <w:rPr>
          <w:rFonts w:ascii="Calibri" w:eastAsia="Calibri" w:hAnsi="Calibri" w:cs="Calibri"/>
          <w:bCs/>
          <w:i/>
          <w:szCs w:val="22"/>
          <w:lang w:eastAsia="en-US"/>
        </w:rPr>
        <w:t xml:space="preserve">Poľnohospodársky produkt: </w:t>
      </w:r>
      <w:r>
        <w:rPr>
          <w:rFonts w:ascii="Calibri" w:eastAsia="Calibri" w:hAnsi="Calibri" w:cs="Calibri"/>
          <w:bCs/>
          <w:szCs w:val="22"/>
          <w:lang w:eastAsia="en-US"/>
        </w:rPr>
        <w:t>produkt uvedený v prílohe I ZFEÚ (s výnimkou rybích produktov) a bavlna. Niektoré poľnohospodárske produkty sú zároveň potravinami.</w:t>
      </w:r>
    </w:p>
    <w:p w:rsidR="00693323" w:rsidRPr="008676F9" w:rsidRDefault="00693323" w:rsidP="00693323">
      <w:pPr>
        <w:spacing w:after="120"/>
        <w:rPr>
          <w:rFonts w:ascii="Calibri" w:eastAsia="Calibri" w:hAnsi="Calibri"/>
          <w:i/>
          <w:szCs w:val="22"/>
          <w:lang w:eastAsia="en-US"/>
        </w:rPr>
      </w:pPr>
      <w:r w:rsidRPr="008676F9">
        <w:rPr>
          <w:rFonts w:ascii="Calibri" w:eastAsia="Calibri" w:hAnsi="Calibri"/>
          <w:i/>
          <w:szCs w:val="22"/>
          <w:lang w:eastAsia="en-US"/>
        </w:rPr>
        <w:t xml:space="preserve">Spracovanie poľnohospodárskych produktov </w:t>
      </w:r>
      <w:r w:rsidRPr="008676F9">
        <w:rPr>
          <w:rFonts w:ascii="Calibri" w:eastAsia="Calibri" w:hAnsi="Calibri"/>
          <w:szCs w:val="22"/>
          <w:lang w:eastAsia="en-US"/>
        </w:rPr>
        <w:t>znamená akékoľvek pôsobenie na poľnohospodársky produkt, výsledkom ktorého je taktiež poľnohospodársky produkt</w:t>
      </w:r>
      <w:r>
        <w:rPr>
          <w:rFonts w:ascii="Calibri" w:eastAsia="Calibri" w:hAnsi="Calibri"/>
          <w:szCs w:val="22"/>
          <w:lang w:eastAsia="en-US"/>
        </w:rPr>
        <w:t>,</w:t>
      </w:r>
      <w:r w:rsidR="00871C41">
        <w:rPr>
          <w:rFonts w:ascii="Calibri" w:eastAsia="Calibri" w:hAnsi="Calibri"/>
          <w:szCs w:val="22"/>
          <w:lang w:eastAsia="en-US"/>
        </w:rPr>
        <w:t xml:space="preserve"> </w:t>
      </w:r>
      <w:r w:rsidRPr="008676F9">
        <w:rPr>
          <w:rFonts w:ascii="Calibri" w:eastAsia="Calibri" w:hAnsi="Calibri"/>
          <w:szCs w:val="22"/>
          <w:lang w:eastAsia="en-US"/>
        </w:rPr>
        <w:t>potravina</w:t>
      </w:r>
      <w:r>
        <w:rPr>
          <w:rFonts w:ascii="Calibri" w:eastAsia="Calibri" w:hAnsi="Calibri"/>
          <w:szCs w:val="22"/>
          <w:lang w:eastAsia="en-US"/>
        </w:rPr>
        <w:t xml:space="preserve"> alebo iný produkt</w:t>
      </w:r>
      <w:r w:rsidRPr="008676F9">
        <w:rPr>
          <w:rFonts w:ascii="Calibri" w:eastAsia="Calibri" w:hAnsi="Calibri"/>
          <w:szCs w:val="22"/>
          <w:lang w:eastAsia="en-US"/>
        </w:rPr>
        <w:t xml:space="preserve"> s výnimkou činností vykonávaných v poľnohospodárskom podniku v súvislosti s prípravou živočíšneho alebo rastlinného produktu na prvý predaj, t.j. činnosti vykonávané v poľnohospodárskom podniku potrebné na prípravu výrobku na prvý predaj ako napr. zber, sekanie a mlátenie obilnín, balenie vajec atď. sa nepovažuje za spracovanie. V prípade produktov rastlinného pôvodu musia byť tieto minimálne očistené, vytriedené a zabalené do maloobchodného spotrebiteľského balenia. Len samostatné umiestnenie v prepravkách sa nepovažuje za primárne spracovanie poľnohospodárskych produktov.</w:t>
      </w:r>
      <w:r>
        <w:rPr>
          <w:rFonts w:ascii="Calibri" w:eastAsia="Calibri" w:hAnsi="Calibri"/>
          <w:szCs w:val="22"/>
          <w:lang w:eastAsia="en-US"/>
        </w:rPr>
        <w:t xml:space="preserve"> Spracovanie poľnohospodárskych produktov teda zahŕňa z veľkej časti aj pojem </w:t>
      </w:r>
      <w:r w:rsidRPr="00234CF5">
        <w:rPr>
          <w:rFonts w:ascii="Calibri" w:eastAsia="Calibri" w:hAnsi="Calibri"/>
          <w:i/>
          <w:szCs w:val="22"/>
          <w:lang w:eastAsia="en-US"/>
        </w:rPr>
        <w:t>výroba potravín</w:t>
      </w:r>
      <w:r>
        <w:rPr>
          <w:rFonts w:ascii="Calibri" w:eastAsia="Calibri" w:hAnsi="Calibri"/>
          <w:i/>
          <w:szCs w:val="22"/>
          <w:lang w:eastAsia="en-US"/>
        </w:rPr>
        <w:t>.</w:t>
      </w:r>
    </w:p>
    <w:p w:rsidR="00693323" w:rsidRPr="008676F9" w:rsidRDefault="00693323" w:rsidP="00693323">
      <w:pPr>
        <w:spacing w:after="120"/>
        <w:rPr>
          <w:rFonts w:ascii="Calibri" w:eastAsia="Calibri" w:hAnsi="Calibri"/>
          <w:szCs w:val="22"/>
          <w:lang w:eastAsia="en-US"/>
        </w:rPr>
      </w:pPr>
      <w:r w:rsidRPr="008676F9">
        <w:rPr>
          <w:rFonts w:ascii="Calibri" w:eastAsia="Calibri" w:hAnsi="Calibri"/>
          <w:i/>
          <w:szCs w:val="22"/>
          <w:lang w:eastAsia="en-US"/>
        </w:rPr>
        <w:t>Kolektívnymi (združenými) investíciami</w:t>
      </w:r>
      <w:r w:rsidRPr="008676F9">
        <w:rPr>
          <w:rFonts w:ascii="Calibri" w:eastAsia="Calibri" w:hAnsi="Calibri"/>
          <w:szCs w:val="22"/>
          <w:lang w:eastAsia="en-US"/>
        </w:rPr>
        <w:t xml:space="preserve"> sa rozumejú investície, ktoré sa realizujú viac ako jedným poľnohospodárom a z uvedeného dôvodu prinášajú synergický efekt. Prijímateľom finančnej podpory môže byť buď vzniknutý právny subjekt (skupina výrobcov, organizácia výrobcov, medziodvetvová organizácia a pod.), alebo jeden subjekt, ktorý na základe zmluvy spolupracuje s iným subjektom/subjektmi a všetci sú beneficientmi a spoluriešitelia projektu. Kolektívne (združené) investície nepriamo prispievajú k cieľom opatrenia Spolupráca.</w:t>
      </w:r>
    </w:p>
    <w:p w:rsidR="00693323" w:rsidRPr="008676F9" w:rsidRDefault="00693323" w:rsidP="00693323">
      <w:pPr>
        <w:spacing w:after="120"/>
        <w:rPr>
          <w:rFonts w:ascii="Calibri" w:eastAsia="Calibri" w:hAnsi="Calibri"/>
          <w:szCs w:val="22"/>
          <w:lang w:eastAsia="en-US"/>
        </w:rPr>
      </w:pPr>
      <w:r w:rsidRPr="008676F9">
        <w:rPr>
          <w:rFonts w:ascii="Calibri" w:eastAsia="Calibri" w:hAnsi="Calibri"/>
          <w:i/>
          <w:szCs w:val="22"/>
          <w:lang w:eastAsia="en-US"/>
        </w:rPr>
        <w:t>Integrovanými projektmi</w:t>
      </w:r>
      <w:r w:rsidRPr="008676F9">
        <w:rPr>
          <w:rFonts w:ascii="Calibri" w:eastAsia="Calibri" w:hAnsi="Calibri"/>
          <w:szCs w:val="22"/>
          <w:lang w:eastAsia="en-US"/>
        </w:rPr>
        <w:t xml:space="preserve"> sa rozumejú projekty zahŕňajúce podporu v rámci viacerých opatrení..</w:t>
      </w:r>
    </w:p>
    <w:p w:rsidR="00693323" w:rsidRPr="008676F9" w:rsidRDefault="00693323" w:rsidP="00693323">
      <w:pPr>
        <w:spacing w:after="120"/>
        <w:rPr>
          <w:rFonts w:ascii="Calibri" w:eastAsia="Calibri" w:hAnsi="Calibri"/>
          <w:szCs w:val="22"/>
          <w:lang w:eastAsia="en-US"/>
        </w:rPr>
      </w:pPr>
      <w:r w:rsidRPr="008676F9">
        <w:rPr>
          <w:rFonts w:ascii="Calibri" w:eastAsia="Calibri" w:hAnsi="Calibri"/>
          <w:i/>
          <w:szCs w:val="22"/>
          <w:lang w:eastAsia="en-US"/>
        </w:rPr>
        <w:t>Projekty prispievajúce k cieľom Európskeho inovačného partnerstva pre udržateľnosť a produktivitu v poľnohospodárstve</w:t>
      </w:r>
      <w:r w:rsidRPr="008676F9">
        <w:rPr>
          <w:rFonts w:ascii="Calibri" w:eastAsia="Calibri" w:hAnsi="Calibri"/>
          <w:b/>
          <w:i/>
          <w:szCs w:val="22"/>
          <w:lang w:eastAsia="en-US"/>
        </w:rPr>
        <w:t xml:space="preserve"> </w:t>
      </w:r>
      <w:r w:rsidRPr="008676F9">
        <w:rPr>
          <w:rFonts w:ascii="Calibri" w:eastAsia="Calibri" w:hAnsi="Calibri"/>
          <w:szCs w:val="22"/>
          <w:lang w:eastAsia="en-US"/>
        </w:rPr>
        <w:t>sú projekty realizované v rámci spolupráce v operačných skupín v zmysle opatrenia Spolupráca.</w:t>
      </w:r>
    </w:p>
    <w:p w:rsidR="00693323" w:rsidRPr="008676F9" w:rsidRDefault="00693323" w:rsidP="00693323">
      <w:pPr>
        <w:autoSpaceDE w:val="0"/>
        <w:autoSpaceDN w:val="0"/>
        <w:adjustRightInd w:val="0"/>
        <w:spacing w:after="120"/>
        <w:rPr>
          <w:rFonts w:ascii="Calibri" w:eastAsia="Calibri" w:hAnsi="Calibri" w:cs="Calibri"/>
          <w:szCs w:val="22"/>
          <w:lang w:eastAsia="en-US"/>
        </w:rPr>
      </w:pPr>
      <w:r w:rsidRPr="008676F9">
        <w:rPr>
          <w:rFonts w:ascii="Calibri" w:eastAsia="Calibri" w:hAnsi="Calibri"/>
          <w:i/>
          <w:szCs w:val="22"/>
          <w:lang w:eastAsia="en-US"/>
        </w:rPr>
        <w:t>Mladý poľnohospodár</w:t>
      </w:r>
      <w:r w:rsidRPr="008676F9">
        <w:rPr>
          <w:rFonts w:ascii="Calibri" w:eastAsia="Calibri" w:hAnsi="Calibri"/>
          <w:b/>
          <w:i/>
          <w:szCs w:val="22"/>
          <w:lang w:eastAsia="en-US"/>
        </w:rPr>
        <w:t>:</w:t>
      </w:r>
      <w:r w:rsidRPr="008676F9">
        <w:rPr>
          <w:rFonts w:ascii="Calibri" w:eastAsia="Calibri" w:hAnsi="Calibri"/>
          <w:szCs w:val="22"/>
          <w:lang w:eastAsia="en-US"/>
        </w:rPr>
        <w:t xml:space="preserve"> s</w:t>
      </w:r>
      <w:r w:rsidRPr="008676F9">
        <w:rPr>
          <w:rFonts w:ascii="Calibri" w:eastAsia="Calibri" w:hAnsi="Calibri" w:cs="Calibri"/>
          <w:szCs w:val="22"/>
          <w:lang w:eastAsia="en-US"/>
        </w:rPr>
        <w:t>ubjekt, ktorý spĺňa definíciu prijímateľa podpory v podopatrení 6.1.</w:t>
      </w:r>
    </w:p>
    <w:p w:rsidR="00693323" w:rsidRDefault="00693323" w:rsidP="00693323">
      <w:pPr>
        <w:autoSpaceDE w:val="0"/>
        <w:autoSpaceDN w:val="0"/>
        <w:adjustRightInd w:val="0"/>
        <w:spacing w:after="60"/>
        <w:rPr>
          <w:rFonts w:ascii="Calibri" w:eastAsia="Calibri" w:hAnsi="Calibri" w:cs="Calibri"/>
          <w:szCs w:val="22"/>
          <w:lang w:eastAsia="en-US"/>
        </w:rPr>
      </w:pPr>
      <w:r w:rsidRPr="008676F9">
        <w:rPr>
          <w:rFonts w:ascii="Calibri" w:eastAsia="Calibri" w:hAnsi="Calibri" w:cs="Calibri"/>
          <w:i/>
          <w:szCs w:val="22"/>
          <w:lang w:eastAsia="en-US"/>
        </w:rPr>
        <w:t>Mal</w:t>
      </w:r>
      <w:r>
        <w:rPr>
          <w:rFonts w:ascii="Calibri" w:eastAsia="Calibri" w:hAnsi="Calibri" w:cs="Calibri"/>
          <w:i/>
          <w:szCs w:val="22"/>
          <w:lang w:eastAsia="en-US"/>
        </w:rPr>
        <w:t>ý poľnohospodársky podnik</w:t>
      </w:r>
      <w:r w:rsidRPr="008676F9">
        <w:rPr>
          <w:rFonts w:ascii="Calibri" w:eastAsia="Calibri" w:hAnsi="Calibri" w:cs="Calibri"/>
          <w:szCs w:val="22"/>
          <w:lang w:eastAsia="en-US"/>
        </w:rPr>
        <w:t>: subjekt, ktorý spĺňa definíciu prijímateľa podpory v podopatrení 6.2.</w:t>
      </w:r>
    </w:p>
    <w:p w:rsidR="00693323" w:rsidRPr="008676F9" w:rsidRDefault="00693323" w:rsidP="00693323">
      <w:pPr>
        <w:autoSpaceDE w:val="0"/>
        <w:autoSpaceDN w:val="0"/>
        <w:adjustRightInd w:val="0"/>
        <w:spacing w:after="60"/>
        <w:rPr>
          <w:rFonts w:ascii="Calibri" w:eastAsia="Calibri" w:hAnsi="Calibri" w:cs="Calibri"/>
          <w:szCs w:val="22"/>
          <w:lang w:eastAsia="en-US"/>
        </w:rPr>
      </w:pPr>
      <w:r>
        <w:rPr>
          <w:rFonts w:ascii="Calibri" w:eastAsia="Calibri" w:hAnsi="Calibri" w:cs="Calibri"/>
          <w:szCs w:val="22"/>
          <w:lang w:eastAsia="en-US"/>
        </w:rPr>
        <w:t>Pri hodnotení projektov bude prihliadané na minimalizovanie subjektívneho faktora.</w:t>
      </w:r>
    </w:p>
    <w:p w:rsidR="008676F9" w:rsidRDefault="008676F9" w:rsidP="008676F9">
      <w:pPr>
        <w:rPr>
          <w:rFonts w:ascii="Calibri" w:eastAsia="Calibri" w:hAnsi="Calibri" w:cs="Calibri"/>
          <w:bCs/>
          <w:szCs w:val="22"/>
          <w:u w:val="single"/>
          <w:lang w:eastAsia="en-US"/>
        </w:rPr>
      </w:pPr>
    </w:p>
    <w:p w:rsidR="008676F9" w:rsidRPr="008676F9" w:rsidRDefault="008676F9" w:rsidP="008676F9">
      <w:pPr>
        <w:shd w:val="clear" w:color="auto" w:fill="EAF1DD"/>
        <w:rPr>
          <w:rFonts w:ascii="Calibri" w:eastAsia="Calibri" w:hAnsi="Calibri" w:cs="Calibri"/>
          <w:bCs/>
          <w:lang w:eastAsia="en-US"/>
        </w:rPr>
      </w:pPr>
      <w:r w:rsidRPr="008676F9">
        <w:rPr>
          <w:rFonts w:ascii="Calibri" w:eastAsia="Calibri" w:hAnsi="Calibri" w:cs="Calibri"/>
          <w:bCs/>
          <w:lang w:eastAsia="en-US"/>
        </w:rPr>
        <w:t xml:space="preserve">Podopatrenie: </w:t>
      </w:r>
      <w:r w:rsidRPr="008676F9">
        <w:rPr>
          <w:rFonts w:ascii="Calibri" w:eastAsia="Calibri" w:hAnsi="Calibri" w:cs="Calibri"/>
          <w:b/>
          <w:bCs/>
          <w:i/>
          <w:lang w:eastAsia="en-US"/>
        </w:rPr>
        <w:t xml:space="preserve">4.1 </w:t>
      </w:r>
      <w:r w:rsidRPr="00E53F6F">
        <w:rPr>
          <w:rFonts w:ascii="Calibri" w:eastAsia="Calibri" w:hAnsi="Calibri" w:cs="Calibri"/>
          <w:b/>
          <w:bCs/>
          <w:i/>
          <w:sz w:val="24"/>
          <w:lang w:eastAsia="en-US"/>
        </w:rPr>
        <w:t>Podpora investícií do poľnohospodárskych podnikov</w:t>
      </w:r>
    </w:p>
    <w:p w:rsidR="008676F9" w:rsidRPr="008676F9" w:rsidRDefault="008676F9" w:rsidP="00871C41">
      <w:pPr>
        <w:shd w:val="clear" w:color="auto" w:fill="EAF1DD"/>
        <w:ind w:left="1701" w:hanging="1701"/>
        <w:jc w:val="left"/>
        <w:rPr>
          <w:rFonts w:ascii="Calibri" w:eastAsia="Calibri" w:hAnsi="Calibri" w:cs="Calibri"/>
          <w:bCs/>
          <w:lang w:eastAsia="en-US"/>
        </w:rPr>
      </w:pPr>
      <w:r w:rsidRPr="008676F9">
        <w:rPr>
          <w:rFonts w:ascii="Calibri" w:eastAsia="Calibri" w:hAnsi="Calibri" w:cs="Calibri"/>
          <w:bCs/>
          <w:lang w:eastAsia="en-US"/>
        </w:rPr>
        <w:t xml:space="preserve">Podopatrenie: </w:t>
      </w:r>
      <w:r w:rsidRPr="008676F9">
        <w:rPr>
          <w:rFonts w:ascii="Calibri" w:eastAsia="Calibri" w:hAnsi="Calibri" w:cs="Calibri"/>
          <w:b/>
          <w:bCs/>
          <w:i/>
          <w:lang w:eastAsia="en-US"/>
        </w:rPr>
        <w:t xml:space="preserve">4.2 </w:t>
      </w:r>
      <w:r w:rsidRPr="00E53F6F">
        <w:rPr>
          <w:rFonts w:ascii="Calibri" w:eastAsia="Calibri" w:hAnsi="Calibri" w:cs="Calibri"/>
          <w:b/>
          <w:bCs/>
          <w:i/>
          <w:sz w:val="24"/>
          <w:lang w:eastAsia="en-US"/>
        </w:rPr>
        <w:t>Podpora investícií do spracovania/uvádzania na trh a/alebo vývoja poľnohospodárskych produktov</w:t>
      </w:r>
    </w:p>
    <w:p w:rsidR="008676F9" w:rsidRPr="008676F9" w:rsidRDefault="008676F9" w:rsidP="008676F9">
      <w:pPr>
        <w:shd w:val="clear" w:color="auto" w:fill="FBD4B4"/>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Názov operácie:</w:t>
      </w:r>
    </w:p>
    <w:p w:rsidR="008676F9" w:rsidRPr="008676F9" w:rsidRDefault="008676F9" w:rsidP="008676F9">
      <w:pPr>
        <w:shd w:val="clear" w:color="auto" w:fill="FBD4B4"/>
        <w:rPr>
          <w:rFonts w:ascii="Calibri" w:eastAsia="Calibri" w:hAnsi="Calibri" w:cs="Calibri"/>
          <w:i/>
          <w:szCs w:val="22"/>
          <w:lang w:eastAsia="en-US"/>
        </w:rPr>
      </w:pPr>
      <w:r w:rsidRPr="008676F9">
        <w:rPr>
          <w:rFonts w:ascii="Calibri" w:eastAsia="Calibri" w:hAnsi="Calibri" w:cs="Calibri"/>
          <w:i/>
          <w:szCs w:val="22"/>
          <w:lang w:eastAsia="en-US"/>
        </w:rPr>
        <w:t>Investície do technológií, ktoré prispievajú k </w:t>
      </w:r>
      <w:r w:rsidRPr="008676F9">
        <w:rPr>
          <w:rFonts w:ascii="Calibri" w:eastAsia="Calibri" w:hAnsi="Calibri" w:cs="Calibri"/>
          <w:b/>
          <w:i/>
          <w:szCs w:val="22"/>
          <w:lang w:eastAsia="en-US"/>
        </w:rPr>
        <w:t>úsporám konečnej energetickej spotreby</w:t>
      </w:r>
    </w:p>
    <w:p w:rsidR="008676F9" w:rsidRPr="008676F9" w:rsidRDefault="008676F9" w:rsidP="008676F9">
      <w:pPr>
        <w:ind w:left="851" w:hanging="851"/>
        <w:rPr>
          <w:rFonts w:ascii="Calibri" w:eastAsia="Calibri" w:hAnsi="Calibri" w:cs="Calibri"/>
          <w:bCs/>
          <w:szCs w:val="22"/>
          <w:u w:val="single"/>
          <w:lang w:eastAsia="en-US"/>
        </w:rPr>
      </w:pPr>
    </w:p>
    <w:p w:rsidR="008676F9" w:rsidRPr="008676F9" w:rsidRDefault="008676F9" w:rsidP="008676F9">
      <w:pPr>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Opis operácie:</w:t>
      </w:r>
    </w:p>
    <w:p w:rsidR="008676F9" w:rsidRPr="008676F9" w:rsidRDefault="008676F9" w:rsidP="008676F9">
      <w:pPr>
        <w:spacing w:after="120"/>
        <w:rPr>
          <w:rFonts w:ascii="Calibri" w:eastAsia="Calibri" w:hAnsi="Calibri" w:cs="Calibri"/>
          <w:bCs/>
          <w:szCs w:val="22"/>
          <w:lang w:eastAsia="en-US"/>
        </w:rPr>
      </w:pPr>
      <w:r w:rsidRPr="008676F9">
        <w:rPr>
          <w:rFonts w:ascii="Calibri" w:eastAsia="Calibri" w:hAnsi="Calibri" w:cs="Calibri"/>
          <w:bCs/>
          <w:szCs w:val="22"/>
          <w:lang w:eastAsia="en-US"/>
        </w:rPr>
        <w:t>Operácia je rozdelená na dva typy podľa podopatrení:</w:t>
      </w:r>
    </w:p>
    <w:p w:rsidR="008676F9" w:rsidRPr="008676F9" w:rsidRDefault="008676F9" w:rsidP="008676F9">
      <w:pPr>
        <w:spacing w:after="120"/>
        <w:rPr>
          <w:rFonts w:ascii="Calibri" w:eastAsia="Calibri" w:hAnsi="Calibri" w:cs="Calibri"/>
          <w:bCs/>
          <w:szCs w:val="22"/>
          <w:lang w:eastAsia="en-US"/>
        </w:rPr>
      </w:pPr>
      <w:r w:rsidRPr="008676F9">
        <w:rPr>
          <w:rFonts w:ascii="Calibri" w:eastAsia="Calibri" w:hAnsi="Calibri" w:cs="Calibri"/>
          <w:bCs/>
          <w:szCs w:val="22"/>
          <w:lang w:eastAsia="en-US"/>
        </w:rPr>
        <w:tab/>
        <w:t>Typ 1: Investície do hmotného majetku, ktoré zvyšujú celkovú výkonnosť a udržateľnosť poľnohospodárskeho podniku a ktoré prispievajú k úsporám energie – operácia v zmysle podopatrenia 4.1</w:t>
      </w:r>
    </w:p>
    <w:p w:rsidR="00693323" w:rsidRPr="008676F9" w:rsidRDefault="008676F9" w:rsidP="00693323">
      <w:pPr>
        <w:spacing w:after="120"/>
        <w:rPr>
          <w:rFonts w:ascii="Calibri" w:eastAsia="Calibri" w:hAnsi="Calibri" w:cs="Calibri"/>
          <w:bCs/>
          <w:szCs w:val="22"/>
          <w:lang w:eastAsia="en-US"/>
        </w:rPr>
      </w:pPr>
      <w:r w:rsidRPr="008676F9">
        <w:rPr>
          <w:rFonts w:ascii="Calibri" w:eastAsia="Calibri" w:hAnsi="Calibri" w:cs="Calibri"/>
          <w:bCs/>
          <w:szCs w:val="22"/>
          <w:lang w:eastAsia="en-US"/>
        </w:rPr>
        <w:tab/>
        <w:t>Typ  2: Investície do hmotného majetku, ktoré sa týkajú spracovania, skladovania, uvádzania na trh a/alebo vývoja poľnohospodárskych</w:t>
      </w:r>
      <w:r w:rsidR="00693323">
        <w:rPr>
          <w:rFonts w:ascii="Calibri" w:eastAsia="Calibri" w:hAnsi="Calibri" w:cs="Calibri"/>
          <w:bCs/>
          <w:szCs w:val="22"/>
          <w:lang w:eastAsia="en-US"/>
        </w:rPr>
        <w:t xml:space="preserve"> produktov</w:t>
      </w:r>
      <w:r w:rsidRPr="008676F9">
        <w:rPr>
          <w:rFonts w:ascii="Calibri" w:eastAsia="Calibri" w:hAnsi="Calibri" w:cs="Calibri"/>
          <w:bCs/>
          <w:szCs w:val="22"/>
          <w:lang w:eastAsia="en-US"/>
        </w:rPr>
        <w:t xml:space="preserve"> alebo potravinárskych výrobkov, na ktoré sa </w:t>
      </w:r>
      <w:r w:rsidR="00693323" w:rsidRPr="008676F9">
        <w:rPr>
          <w:rFonts w:ascii="Calibri" w:eastAsia="Calibri" w:hAnsi="Calibri" w:cs="Calibri"/>
          <w:bCs/>
          <w:szCs w:val="22"/>
          <w:lang w:eastAsia="en-US"/>
        </w:rPr>
        <w:t xml:space="preserve">vzťahuje príloha I ZFEÚ, pričom výstupom výrobného procesu môže byť aj výrobok, na ktorý sa príloha I ZFEÚ nevzťahuje a ktoré </w:t>
      </w:r>
      <w:r w:rsidR="00693323">
        <w:rPr>
          <w:rFonts w:ascii="Calibri" w:eastAsia="Calibri" w:hAnsi="Calibri" w:cs="Calibri"/>
          <w:bCs/>
          <w:szCs w:val="22"/>
          <w:lang w:eastAsia="en-US"/>
        </w:rPr>
        <w:t xml:space="preserve">zároveň </w:t>
      </w:r>
      <w:r w:rsidR="00693323" w:rsidRPr="008676F9">
        <w:rPr>
          <w:rFonts w:ascii="Calibri" w:eastAsia="Calibri" w:hAnsi="Calibri" w:cs="Calibri"/>
          <w:bCs/>
          <w:szCs w:val="22"/>
          <w:lang w:eastAsia="en-US"/>
        </w:rPr>
        <w:t xml:space="preserve">prispievajú k úsporám </w:t>
      </w:r>
      <w:r w:rsidR="00693323">
        <w:rPr>
          <w:rFonts w:ascii="Calibri" w:eastAsia="Calibri" w:hAnsi="Calibri" w:cs="Calibri"/>
          <w:bCs/>
          <w:szCs w:val="22"/>
          <w:lang w:eastAsia="en-US"/>
        </w:rPr>
        <w:t xml:space="preserve">spotreby </w:t>
      </w:r>
      <w:r w:rsidR="00693323" w:rsidRPr="008676F9">
        <w:rPr>
          <w:rFonts w:ascii="Calibri" w:eastAsia="Calibri" w:hAnsi="Calibri" w:cs="Calibri"/>
          <w:bCs/>
          <w:szCs w:val="22"/>
          <w:lang w:eastAsia="en-US"/>
        </w:rPr>
        <w:t>energie</w:t>
      </w:r>
      <w:r w:rsidR="00693323">
        <w:rPr>
          <w:rFonts w:ascii="Calibri" w:eastAsia="Calibri" w:hAnsi="Calibri" w:cs="Calibri"/>
          <w:bCs/>
          <w:szCs w:val="22"/>
          <w:lang w:eastAsia="en-US"/>
        </w:rPr>
        <w:t>.</w:t>
      </w:r>
      <w:r w:rsidR="00693323" w:rsidRPr="008676F9">
        <w:rPr>
          <w:rFonts w:ascii="Calibri" w:eastAsia="Calibri" w:hAnsi="Calibri" w:cs="Calibri"/>
          <w:bCs/>
          <w:szCs w:val="22"/>
          <w:lang w:eastAsia="en-US"/>
        </w:rPr>
        <w:t xml:space="preserve"> Investícia sa týka výlučne vlastnej činnosti</w:t>
      </w:r>
      <w:r w:rsidR="00693323">
        <w:rPr>
          <w:rFonts w:ascii="Calibri" w:eastAsia="Calibri" w:hAnsi="Calibri" w:cs="Calibri"/>
          <w:bCs/>
          <w:szCs w:val="22"/>
          <w:lang w:eastAsia="en-US"/>
        </w:rPr>
        <w:t xml:space="preserve"> podniku</w:t>
      </w:r>
      <w:r w:rsidR="00693323" w:rsidRPr="008676F9">
        <w:rPr>
          <w:rFonts w:ascii="Calibri" w:eastAsia="Calibri" w:hAnsi="Calibri" w:cs="Calibri"/>
          <w:bCs/>
          <w:szCs w:val="22"/>
          <w:lang w:eastAsia="en-US"/>
        </w:rPr>
        <w:t>.</w:t>
      </w:r>
      <w:r w:rsidR="00693323" w:rsidRPr="001B5243">
        <w:rPr>
          <w:rFonts w:ascii="Calibri" w:eastAsia="Calibri" w:hAnsi="Calibri" w:cs="Calibri"/>
          <w:bCs/>
          <w:szCs w:val="22"/>
          <w:lang w:eastAsia="en-US"/>
        </w:rPr>
        <w:t xml:space="preserve"> </w:t>
      </w:r>
      <w:r w:rsidR="00693323" w:rsidRPr="008676F9">
        <w:rPr>
          <w:rFonts w:ascii="Calibri" w:eastAsia="Calibri" w:hAnsi="Calibri" w:cs="Calibri"/>
          <w:bCs/>
          <w:szCs w:val="22"/>
          <w:lang w:eastAsia="en-US"/>
        </w:rPr>
        <w:t>– operácia v zmysle podopatrenia 4.2</w:t>
      </w:r>
    </w:p>
    <w:p w:rsidR="008676F9" w:rsidRPr="008676F9" w:rsidRDefault="008676F9" w:rsidP="008676F9">
      <w:pPr>
        <w:spacing w:after="120"/>
        <w:rPr>
          <w:rFonts w:ascii="Calibri" w:eastAsia="Calibri" w:hAnsi="Calibri" w:cs="Calibri"/>
          <w:bCs/>
          <w:szCs w:val="22"/>
          <w:lang w:eastAsia="en-US"/>
        </w:rPr>
      </w:pPr>
      <w:r w:rsidRPr="008676F9">
        <w:rPr>
          <w:rFonts w:ascii="Calibri" w:eastAsia="Calibri" w:hAnsi="Calibri" w:cs="Calibri"/>
          <w:bCs/>
          <w:i/>
          <w:szCs w:val="22"/>
          <w:lang w:eastAsia="en-US"/>
        </w:rPr>
        <w:t>Pre operácie typ 1</w:t>
      </w:r>
      <w:r w:rsidRPr="008676F9">
        <w:rPr>
          <w:rFonts w:ascii="Calibri" w:eastAsia="Calibri" w:hAnsi="Calibri" w:cs="Calibri"/>
          <w:bCs/>
          <w:szCs w:val="22"/>
          <w:lang w:eastAsia="en-US"/>
        </w:rPr>
        <w:t xml:space="preserve"> sú oprávnené všetky investície do nových technológií, ktoré prispievajú k úsporám energie  a investícia sa týka výhradne vlastnej poľnohospodárskej výroby.</w:t>
      </w:r>
    </w:p>
    <w:p w:rsidR="00693323" w:rsidRDefault="008676F9" w:rsidP="008676F9">
      <w:pPr>
        <w:rPr>
          <w:rFonts w:ascii="Calibri" w:eastAsia="Calibri" w:hAnsi="Calibri" w:cs="Calibri"/>
          <w:bCs/>
          <w:szCs w:val="22"/>
          <w:lang w:eastAsia="en-US"/>
        </w:rPr>
      </w:pPr>
      <w:r w:rsidRPr="008676F9">
        <w:rPr>
          <w:rFonts w:ascii="Calibri" w:eastAsia="Calibri" w:hAnsi="Calibri" w:cs="Calibri"/>
          <w:bCs/>
          <w:i/>
          <w:szCs w:val="22"/>
          <w:lang w:eastAsia="en-US"/>
        </w:rPr>
        <w:t>Pre operácie typ 2</w:t>
      </w:r>
      <w:r w:rsidRPr="008676F9">
        <w:rPr>
          <w:rFonts w:ascii="Calibri" w:eastAsia="Calibri" w:hAnsi="Calibri" w:cs="Calibri"/>
          <w:bCs/>
          <w:szCs w:val="22"/>
          <w:lang w:eastAsia="en-US"/>
        </w:rPr>
        <w:t xml:space="preserve"> sú oprávnené všetky investície prispievajúce k úsporám energie súvisiace s výrobou, spracovaním, skladovaním, uvádzaním na trh a/alebo vývojom poľnohospodárskych produktov a potravinárskych výrobkov, na ktoré sa vzťahuje príloha I ZFEÚ. Výstupom výrobného procesu môže byť aj výrobok, na ktorý sa príloha I ZFEÚ nevzťahuje. </w:t>
      </w:r>
    </w:p>
    <w:p w:rsidR="00693323" w:rsidRDefault="00693323" w:rsidP="008676F9">
      <w:pPr>
        <w:rPr>
          <w:rFonts w:ascii="Calibri" w:eastAsia="Calibri" w:hAnsi="Calibri" w:cs="Calibri"/>
          <w:bCs/>
          <w:szCs w:val="22"/>
          <w:lang w:eastAsia="en-US"/>
        </w:rPr>
      </w:pPr>
    </w:p>
    <w:p w:rsidR="008676F9" w:rsidRPr="008676F9" w:rsidRDefault="008676F9" w:rsidP="008676F9">
      <w:pPr>
        <w:rPr>
          <w:rFonts w:ascii="Calibri" w:eastAsia="Calibri" w:hAnsi="Calibri" w:cs="Calibri"/>
          <w:bCs/>
          <w:szCs w:val="22"/>
          <w:lang w:eastAsia="en-US"/>
        </w:rPr>
      </w:pPr>
      <w:r w:rsidRPr="008676F9">
        <w:rPr>
          <w:rFonts w:ascii="Calibri" w:eastAsia="Calibri" w:hAnsi="Calibri" w:cs="Calibri"/>
          <w:bCs/>
          <w:szCs w:val="22"/>
          <w:lang w:eastAsia="en-US"/>
        </w:rPr>
        <w:t>Operácia prispieva prioritne k fokusovej oblasti 5B.</w:t>
      </w:r>
    </w:p>
    <w:p w:rsidR="008676F9" w:rsidRPr="008676F9" w:rsidRDefault="008676F9" w:rsidP="008676F9">
      <w:pPr>
        <w:rPr>
          <w:rFonts w:ascii="Calibri" w:eastAsia="Calibri" w:hAnsi="Calibri" w:cs="Calibri"/>
          <w:bCs/>
          <w:szCs w:val="22"/>
          <w:lang w:eastAsia="en-US"/>
        </w:rPr>
      </w:pPr>
      <w:r w:rsidRPr="008676F9">
        <w:rPr>
          <w:rFonts w:ascii="Calibri" w:eastAsia="Calibri" w:hAnsi="Calibri" w:cs="Calibri"/>
          <w:bCs/>
          <w:szCs w:val="22"/>
          <w:lang w:eastAsia="en-US"/>
        </w:rPr>
        <w:t>Operácia prispieva sekundárne k fokusovej oblasti 2A, 3A.</w:t>
      </w:r>
    </w:p>
    <w:p w:rsidR="008676F9" w:rsidRPr="008676F9" w:rsidRDefault="008676F9" w:rsidP="008676F9">
      <w:pPr>
        <w:rPr>
          <w:rFonts w:ascii="Calibri" w:eastAsia="Calibri" w:hAnsi="Calibri" w:cs="Calibri"/>
          <w:bCs/>
          <w:szCs w:val="22"/>
          <w:u w:val="single"/>
          <w:lang w:eastAsia="en-US"/>
        </w:rPr>
      </w:pPr>
    </w:p>
    <w:p w:rsidR="008676F9" w:rsidRPr="008676F9" w:rsidRDefault="008676F9" w:rsidP="00AA6566">
      <w:pPr>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Typ podpory:</w:t>
      </w:r>
    </w:p>
    <w:p w:rsidR="008676F9" w:rsidRPr="008676F9" w:rsidRDefault="008676F9" w:rsidP="00AA6566">
      <w:pPr>
        <w:rPr>
          <w:rFonts w:ascii="Calibri" w:eastAsia="Calibri" w:hAnsi="Calibri" w:cs="Calibri"/>
          <w:bCs/>
          <w:szCs w:val="22"/>
          <w:lang w:eastAsia="en-US"/>
        </w:rPr>
      </w:pPr>
      <w:r w:rsidRPr="008676F9">
        <w:rPr>
          <w:rFonts w:ascii="Calibri" w:eastAsia="Calibri" w:hAnsi="Calibri" w:cs="Calibri"/>
          <w:bCs/>
          <w:szCs w:val="22"/>
          <w:lang w:eastAsia="en-US"/>
        </w:rPr>
        <w:t>Zisková, investičná, nenávratný finančný príspevok.</w:t>
      </w:r>
    </w:p>
    <w:p w:rsidR="008676F9" w:rsidRPr="008676F9" w:rsidRDefault="008676F9" w:rsidP="00AA6566">
      <w:pPr>
        <w:rPr>
          <w:rFonts w:ascii="Calibri" w:eastAsia="Calibri" w:hAnsi="Calibri" w:cs="Calibri"/>
          <w:bCs/>
          <w:szCs w:val="22"/>
          <w:lang w:eastAsia="en-US"/>
        </w:rPr>
      </w:pPr>
    </w:p>
    <w:p w:rsidR="008676F9" w:rsidRPr="008676F9" w:rsidRDefault="008676F9" w:rsidP="00AA6566">
      <w:pPr>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Súvislosť s inou legislatívou:</w:t>
      </w:r>
    </w:p>
    <w:p w:rsidR="008676F9" w:rsidRPr="008676F9" w:rsidRDefault="008676F9" w:rsidP="00955DA4">
      <w:pPr>
        <w:numPr>
          <w:ilvl w:val="0"/>
          <w:numId w:val="206"/>
        </w:numPr>
        <w:rPr>
          <w:rFonts w:ascii="Calibri" w:eastAsia="Calibri" w:hAnsi="Calibri" w:cs="Calibri"/>
          <w:bCs/>
          <w:szCs w:val="22"/>
          <w:lang w:eastAsia="en-US"/>
        </w:rPr>
      </w:pPr>
      <w:r w:rsidRPr="008676F9">
        <w:rPr>
          <w:rFonts w:ascii="Calibri" w:eastAsia="Calibri" w:hAnsi="Calibri" w:cs="Calibri"/>
          <w:bCs/>
          <w:szCs w:val="22"/>
          <w:lang w:eastAsia="en-US"/>
        </w:rPr>
        <w:t>zákon č. 476/2008 Z. z. o efektívnosti pri používaní energie;</w:t>
      </w:r>
    </w:p>
    <w:p w:rsidR="008676F9" w:rsidRPr="008676F9" w:rsidRDefault="008676F9" w:rsidP="00955DA4">
      <w:pPr>
        <w:numPr>
          <w:ilvl w:val="0"/>
          <w:numId w:val="206"/>
        </w:numPr>
        <w:rPr>
          <w:rFonts w:ascii="Calibri" w:hAnsi="Calibri" w:cs="Calibri"/>
          <w:bCs/>
          <w:szCs w:val="22"/>
          <w:lang w:eastAsia="en-US"/>
        </w:rPr>
      </w:pPr>
      <w:r w:rsidRPr="008676F9">
        <w:rPr>
          <w:rFonts w:ascii="Calibri" w:hAnsi="Calibri" w:cs="Calibri"/>
          <w:bCs/>
          <w:szCs w:val="22"/>
          <w:lang w:eastAsia="en-US"/>
        </w:rPr>
        <w:t>zákon č. 24/2006 Z. z. o posudzovaní vplyvov na životné prostredie;</w:t>
      </w:r>
    </w:p>
    <w:p w:rsidR="008676F9" w:rsidRPr="008676F9" w:rsidRDefault="008676F9" w:rsidP="00955DA4">
      <w:pPr>
        <w:numPr>
          <w:ilvl w:val="0"/>
          <w:numId w:val="206"/>
        </w:numPr>
        <w:rPr>
          <w:rFonts w:ascii="Calibri" w:hAnsi="Calibri" w:cs="Calibri"/>
          <w:bCs/>
          <w:szCs w:val="22"/>
          <w:lang w:eastAsia="en-US"/>
        </w:rPr>
      </w:pPr>
      <w:r w:rsidRPr="008676F9">
        <w:rPr>
          <w:rFonts w:ascii="Calibri" w:hAnsi="Calibri" w:cs="Calibri"/>
          <w:bCs/>
          <w:szCs w:val="22"/>
          <w:lang w:eastAsia="en-US"/>
        </w:rPr>
        <w:t>zákon č. 50/1976 Zb. o územnom plánovaní a stavebnom poriadku;</w:t>
      </w:r>
    </w:p>
    <w:p w:rsidR="008676F9" w:rsidRPr="008676F9" w:rsidRDefault="008676F9" w:rsidP="00955DA4">
      <w:pPr>
        <w:numPr>
          <w:ilvl w:val="0"/>
          <w:numId w:val="206"/>
        </w:numPr>
        <w:rPr>
          <w:rFonts w:ascii="Calibri" w:eastAsia="Calibri" w:hAnsi="Calibri" w:cs="Calibri"/>
          <w:bCs/>
          <w:szCs w:val="22"/>
          <w:lang w:eastAsia="en-US"/>
        </w:rPr>
      </w:pPr>
      <w:r w:rsidRPr="008676F9">
        <w:rPr>
          <w:rFonts w:ascii="Calibri" w:hAnsi="Calibri" w:cs="Calibri"/>
          <w:szCs w:val="22"/>
          <w:lang w:eastAsia="en-US"/>
        </w:rPr>
        <w:t>zákon č. 152/1995 Z. z. o potravinách;</w:t>
      </w:r>
    </w:p>
    <w:p w:rsidR="00693323" w:rsidRDefault="00693323" w:rsidP="00955DA4">
      <w:pPr>
        <w:numPr>
          <w:ilvl w:val="0"/>
          <w:numId w:val="206"/>
        </w:numPr>
        <w:rPr>
          <w:rFonts w:ascii="Calibri" w:eastAsia="Calibri" w:hAnsi="Calibri" w:cs="Calibri"/>
          <w:bCs/>
          <w:szCs w:val="22"/>
          <w:lang w:eastAsia="en-US"/>
        </w:rPr>
      </w:pPr>
      <w:r w:rsidRPr="008676F9">
        <w:rPr>
          <w:rFonts w:ascii="Calibri" w:eastAsia="Calibri" w:hAnsi="Calibri" w:cs="Calibri"/>
          <w:bCs/>
          <w:szCs w:val="22"/>
          <w:lang w:eastAsia="en-US"/>
        </w:rPr>
        <w:t xml:space="preserve">Neprekrývanie podpory z Operačného programu Kvalita životného prostredia je zabezpečené rozdielnymi prijímateľmi a rozdielnym zameraním investícií (z OP KŽP nebudú podporené investície v poľnohospodárstve a </w:t>
      </w:r>
      <w:r>
        <w:rPr>
          <w:rFonts w:ascii="Calibri" w:eastAsia="Calibri" w:hAnsi="Calibri" w:cs="Calibri"/>
          <w:bCs/>
          <w:szCs w:val="22"/>
          <w:lang w:eastAsia="en-US"/>
        </w:rPr>
        <w:t xml:space="preserve">stavebné investície </w:t>
      </w:r>
      <w:r w:rsidRPr="008676F9">
        <w:rPr>
          <w:rFonts w:ascii="Calibri" w:eastAsia="Calibri" w:hAnsi="Calibri" w:cs="Calibri"/>
          <w:bCs/>
          <w:szCs w:val="22"/>
          <w:lang w:eastAsia="en-US"/>
        </w:rPr>
        <w:t>v sektore potravinárstva).</w:t>
      </w:r>
    </w:p>
    <w:p w:rsidR="00693323" w:rsidRDefault="00693323" w:rsidP="00955DA4">
      <w:pPr>
        <w:numPr>
          <w:ilvl w:val="0"/>
          <w:numId w:val="206"/>
        </w:numPr>
        <w:rPr>
          <w:rFonts w:ascii="Calibri" w:eastAsia="Calibri" w:hAnsi="Calibri" w:cs="Calibri"/>
          <w:bCs/>
          <w:szCs w:val="22"/>
          <w:lang w:eastAsia="en-US"/>
        </w:rPr>
      </w:pPr>
      <w:r>
        <w:rPr>
          <w:rFonts w:ascii="Calibri" w:eastAsia="Calibri" w:hAnsi="Calibri" w:cs="Calibri"/>
          <w:bCs/>
          <w:szCs w:val="22"/>
          <w:lang w:eastAsia="en-US"/>
        </w:rPr>
        <w:t>Neprekrývanie podpory z Operačného programu Výskum a inovácie je zabezpečené rozdieln</w:t>
      </w:r>
      <w:r w:rsidR="001B617C">
        <w:rPr>
          <w:rFonts w:ascii="Calibri" w:eastAsia="Calibri" w:hAnsi="Calibri" w:cs="Calibri"/>
          <w:bCs/>
          <w:szCs w:val="22"/>
          <w:lang w:eastAsia="en-US"/>
        </w:rPr>
        <w:t>ou veľkosťou projektu</w:t>
      </w:r>
      <w:r w:rsidR="00871C41">
        <w:rPr>
          <w:rFonts w:ascii="Calibri" w:eastAsia="Calibri" w:hAnsi="Calibri" w:cs="Calibri"/>
          <w:bCs/>
          <w:szCs w:val="22"/>
          <w:lang w:eastAsia="en-US"/>
        </w:rPr>
        <w:t xml:space="preserve"> a vzájomnou informovanosťou o schválených projektoch</w:t>
      </w:r>
      <w:r w:rsidR="001B617C">
        <w:rPr>
          <w:rFonts w:ascii="Calibri" w:eastAsia="Calibri" w:hAnsi="Calibri" w:cs="Calibri"/>
          <w:bCs/>
          <w:szCs w:val="22"/>
          <w:lang w:eastAsia="en-US"/>
        </w:rPr>
        <w:t xml:space="preserve">. </w:t>
      </w:r>
    </w:p>
    <w:p w:rsidR="0041401C" w:rsidRPr="008676F9" w:rsidRDefault="0041401C" w:rsidP="0041401C">
      <w:pPr>
        <w:ind w:left="720"/>
        <w:rPr>
          <w:rFonts w:ascii="Calibri" w:eastAsia="Calibri" w:hAnsi="Calibri" w:cs="Calibri"/>
          <w:bCs/>
          <w:szCs w:val="22"/>
          <w:lang w:eastAsia="en-US"/>
        </w:rPr>
      </w:pPr>
    </w:p>
    <w:p w:rsidR="008676F9" w:rsidRPr="008676F9" w:rsidRDefault="008676F9" w:rsidP="00AA6566">
      <w:pPr>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Oprávnené náklady:</w:t>
      </w:r>
    </w:p>
    <w:p w:rsidR="008676F9" w:rsidRPr="008676F9" w:rsidRDefault="008676F9" w:rsidP="001F5283">
      <w:pPr>
        <w:numPr>
          <w:ilvl w:val="0"/>
          <w:numId w:val="63"/>
        </w:numPr>
        <w:autoSpaceDE w:val="0"/>
        <w:autoSpaceDN w:val="0"/>
        <w:adjustRightInd w:val="0"/>
        <w:ind w:left="284" w:hanging="284"/>
        <w:rPr>
          <w:rFonts w:ascii="Calibri" w:eastAsia="Calibri" w:hAnsi="Calibri" w:cs="Calibri"/>
          <w:szCs w:val="22"/>
          <w:lang w:eastAsia="en-US"/>
        </w:rPr>
      </w:pPr>
      <w:r w:rsidRPr="008676F9">
        <w:rPr>
          <w:rFonts w:ascii="Calibri" w:eastAsia="Calibri" w:hAnsi="Calibri" w:cs="Calibri"/>
          <w:szCs w:val="22"/>
          <w:lang w:eastAsia="en-US"/>
        </w:rPr>
        <w:t>investície do dlhodobého hmotného majetku;</w:t>
      </w:r>
    </w:p>
    <w:p w:rsidR="008676F9" w:rsidRPr="008676F9" w:rsidRDefault="008676F9" w:rsidP="001F5283">
      <w:pPr>
        <w:numPr>
          <w:ilvl w:val="0"/>
          <w:numId w:val="63"/>
        </w:numPr>
        <w:autoSpaceDE w:val="0"/>
        <w:autoSpaceDN w:val="0"/>
        <w:adjustRightInd w:val="0"/>
        <w:ind w:left="284" w:hanging="284"/>
        <w:rPr>
          <w:rFonts w:ascii="Calibri" w:eastAsia="Calibri" w:hAnsi="Calibri" w:cs="Calibri"/>
          <w:szCs w:val="22"/>
          <w:lang w:eastAsia="en-US"/>
        </w:rPr>
      </w:pPr>
      <w:r w:rsidRPr="008676F9">
        <w:rPr>
          <w:rFonts w:ascii="Calibri" w:eastAsia="Calibri" w:hAnsi="Calibri" w:cs="Calibri"/>
          <w:szCs w:val="22"/>
          <w:lang w:eastAsia="en-US"/>
        </w:rPr>
        <w:t>investície do dlhodobého nehmotného majetku;</w:t>
      </w:r>
    </w:p>
    <w:p w:rsidR="008676F9" w:rsidRPr="008676F9" w:rsidRDefault="008676F9" w:rsidP="001F5283">
      <w:pPr>
        <w:numPr>
          <w:ilvl w:val="0"/>
          <w:numId w:val="63"/>
        </w:numPr>
        <w:autoSpaceDE w:val="0"/>
        <w:autoSpaceDN w:val="0"/>
        <w:adjustRightInd w:val="0"/>
        <w:ind w:left="284" w:hanging="284"/>
        <w:rPr>
          <w:rFonts w:ascii="Calibri" w:eastAsia="Calibri" w:hAnsi="Calibri" w:cs="Calibri"/>
          <w:szCs w:val="22"/>
          <w:lang w:eastAsia="en-US"/>
        </w:rPr>
      </w:pPr>
      <w:r w:rsidRPr="008676F9">
        <w:rPr>
          <w:rFonts w:ascii="Calibri" w:eastAsia="Calibri" w:hAnsi="Calibri" w:cs="Calibri"/>
          <w:szCs w:val="22"/>
          <w:lang w:eastAsia="en-US"/>
        </w:rPr>
        <w:t xml:space="preserve">súvisiace všeobecné náklady. </w:t>
      </w:r>
    </w:p>
    <w:p w:rsidR="008676F9" w:rsidRPr="008676F9" w:rsidRDefault="008676F9" w:rsidP="00AA6566">
      <w:pPr>
        <w:autoSpaceDE w:val="0"/>
        <w:autoSpaceDN w:val="0"/>
        <w:adjustRightInd w:val="0"/>
        <w:rPr>
          <w:rFonts w:ascii="Calibri" w:eastAsia="Calibri" w:hAnsi="Calibri" w:cs="Calibri"/>
          <w:szCs w:val="22"/>
          <w:lang w:eastAsia="en-US"/>
        </w:rPr>
      </w:pPr>
      <w:r w:rsidRPr="008676F9">
        <w:rPr>
          <w:rFonts w:ascii="Calibri" w:eastAsia="Calibri" w:hAnsi="Calibri" w:cs="Calibri"/>
          <w:bCs/>
          <w:szCs w:val="22"/>
          <w:lang w:eastAsia="en-US"/>
        </w:rPr>
        <w:t xml:space="preserve">Oprávnené sú len tie </w:t>
      </w:r>
      <w:r w:rsidRPr="008676F9">
        <w:rPr>
          <w:rFonts w:ascii="Calibri" w:eastAsia="Calibri" w:hAnsi="Calibri" w:cs="Calibri"/>
          <w:szCs w:val="22"/>
          <w:lang w:eastAsia="en-US"/>
        </w:rPr>
        <w:t>investície do majetku, ktoré sa týkajú zvyšovania účinnosti využitia energie.</w:t>
      </w:r>
    </w:p>
    <w:p w:rsidR="008676F9" w:rsidRPr="008676F9" w:rsidRDefault="008676F9" w:rsidP="00AA6566">
      <w:pPr>
        <w:rPr>
          <w:rFonts w:ascii="Calibri" w:eastAsia="Calibri" w:hAnsi="Calibri" w:cs="Calibri"/>
          <w:bCs/>
          <w:szCs w:val="22"/>
          <w:u w:val="single"/>
          <w:lang w:eastAsia="en-US"/>
        </w:rPr>
      </w:pPr>
    </w:p>
    <w:p w:rsidR="008676F9" w:rsidRPr="008676F9" w:rsidRDefault="008676F9" w:rsidP="00AA6566">
      <w:pPr>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Prijímateľ podpory:</w:t>
      </w:r>
    </w:p>
    <w:p w:rsidR="008676F9" w:rsidRPr="008676F9" w:rsidRDefault="008676F9" w:rsidP="00AA6566">
      <w:pPr>
        <w:rPr>
          <w:rFonts w:ascii="Calibri" w:eastAsia="Calibri" w:hAnsi="Calibri" w:cs="Calibri"/>
          <w:i/>
          <w:szCs w:val="22"/>
          <w:lang w:eastAsia="en-US"/>
        </w:rPr>
      </w:pPr>
      <w:r w:rsidRPr="008676F9">
        <w:rPr>
          <w:rFonts w:ascii="Calibri" w:eastAsia="Calibri" w:hAnsi="Calibri" w:cs="Calibri"/>
          <w:i/>
          <w:szCs w:val="22"/>
          <w:lang w:eastAsia="en-US"/>
        </w:rPr>
        <w:t xml:space="preserve">Pre operácie typ 1: </w:t>
      </w:r>
    </w:p>
    <w:p w:rsidR="008676F9" w:rsidRPr="008676F9" w:rsidRDefault="008676F9" w:rsidP="00AA6566">
      <w:pPr>
        <w:rPr>
          <w:rFonts w:ascii="Calibri" w:eastAsia="Calibri" w:hAnsi="Calibri" w:cs="Calibri"/>
          <w:szCs w:val="22"/>
          <w:lang w:eastAsia="en-US"/>
        </w:rPr>
      </w:pPr>
      <w:r w:rsidRPr="008676F9">
        <w:rPr>
          <w:rFonts w:ascii="Calibri" w:eastAsia="Calibri" w:hAnsi="Calibri" w:cs="Calibri"/>
          <w:szCs w:val="22"/>
          <w:lang w:eastAsia="en-US"/>
        </w:rPr>
        <w:t>Fyzické a právnické osoby podnikajúce v poľnohospodárskej prvovýrobe.</w:t>
      </w:r>
    </w:p>
    <w:p w:rsidR="008676F9" w:rsidRPr="008676F9" w:rsidRDefault="008676F9" w:rsidP="00AA6566">
      <w:pPr>
        <w:ind w:left="1701" w:hanging="1701"/>
        <w:rPr>
          <w:rFonts w:ascii="Calibri" w:eastAsia="Calibri" w:hAnsi="Calibri" w:cs="Calibri"/>
          <w:i/>
          <w:szCs w:val="22"/>
          <w:lang w:eastAsia="en-US"/>
        </w:rPr>
      </w:pPr>
      <w:r w:rsidRPr="008676F9">
        <w:rPr>
          <w:rFonts w:ascii="Calibri" w:eastAsia="Calibri" w:hAnsi="Calibri" w:cs="Calibri"/>
          <w:i/>
          <w:szCs w:val="22"/>
          <w:lang w:eastAsia="en-US"/>
        </w:rPr>
        <w:t xml:space="preserve">Pre operácie typ 2: </w:t>
      </w:r>
    </w:p>
    <w:p w:rsidR="008676F9" w:rsidRPr="008676F9" w:rsidRDefault="008676F9" w:rsidP="00AA6566">
      <w:pPr>
        <w:rPr>
          <w:rFonts w:ascii="Calibri" w:eastAsia="Calibri" w:hAnsi="Calibri" w:cs="Calibri"/>
          <w:szCs w:val="22"/>
          <w:lang w:eastAsia="en-US"/>
        </w:rPr>
      </w:pPr>
      <w:r w:rsidRPr="008676F9">
        <w:rPr>
          <w:rFonts w:ascii="Calibri" w:eastAsia="Calibri" w:hAnsi="Calibri" w:cs="Calibri"/>
          <w:szCs w:val="22"/>
          <w:lang w:eastAsia="en-US"/>
        </w:rPr>
        <w:t>Fyzické a právnické osoby  podnikajúce v oblasti spracovania produktov poľnohospodárskej  alebo potravinárskej výroby (s výnimkou rybích produktov).</w:t>
      </w:r>
    </w:p>
    <w:p w:rsidR="008676F9" w:rsidRPr="008676F9" w:rsidRDefault="008676F9" w:rsidP="00AA6566">
      <w:pPr>
        <w:rPr>
          <w:rFonts w:ascii="Calibri" w:eastAsia="Calibri" w:hAnsi="Calibri" w:cs="Calibri"/>
          <w:bCs/>
          <w:szCs w:val="22"/>
          <w:u w:val="single"/>
          <w:lang w:eastAsia="en-US"/>
        </w:rPr>
      </w:pPr>
    </w:p>
    <w:p w:rsidR="008676F9" w:rsidRPr="008676F9" w:rsidRDefault="008676F9" w:rsidP="00AA6566">
      <w:pPr>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Podmienky oprávnenosti:</w:t>
      </w:r>
    </w:p>
    <w:p w:rsidR="008676F9" w:rsidRPr="008676F9" w:rsidRDefault="008676F9" w:rsidP="00955DA4">
      <w:pPr>
        <w:numPr>
          <w:ilvl w:val="0"/>
          <w:numId w:val="113"/>
        </w:numPr>
        <w:ind w:left="426" w:hanging="284"/>
        <w:rPr>
          <w:rFonts w:ascii="Calibri" w:hAnsi="Calibri" w:cs="Calibri"/>
          <w:bCs/>
          <w:szCs w:val="22"/>
          <w:lang w:eastAsia="en-US"/>
        </w:rPr>
      </w:pPr>
      <w:r w:rsidRPr="008676F9">
        <w:rPr>
          <w:rFonts w:ascii="Calibri" w:hAnsi="Calibri" w:cs="Calibri"/>
          <w:bCs/>
          <w:szCs w:val="22"/>
          <w:lang w:eastAsia="en-US"/>
        </w:rPr>
        <w:t>investícia prispeje k úspore energie v absolútnom vyjadrení;</w:t>
      </w:r>
    </w:p>
    <w:p w:rsidR="008676F9" w:rsidRPr="008676F9" w:rsidRDefault="008676F9" w:rsidP="00955DA4">
      <w:pPr>
        <w:numPr>
          <w:ilvl w:val="0"/>
          <w:numId w:val="113"/>
        </w:numPr>
        <w:ind w:left="426" w:hanging="284"/>
        <w:rPr>
          <w:rFonts w:ascii="Calibri" w:hAnsi="Calibri" w:cs="Calibri"/>
          <w:bCs/>
          <w:szCs w:val="22"/>
          <w:lang w:eastAsia="en-US"/>
        </w:rPr>
      </w:pPr>
      <w:r w:rsidRPr="008676F9">
        <w:rPr>
          <w:rFonts w:ascii="Calibri" w:hAnsi="Calibri" w:cs="Calibri"/>
          <w:bCs/>
          <w:szCs w:val="22"/>
          <w:lang w:eastAsia="en-US"/>
        </w:rPr>
        <w:t>investícia prispeje k úspore energie, čo je možné v podniku kvantifikovať;</w:t>
      </w:r>
    </w:p>
    <w:p w:rsidR="008676F9" w:rsidRPr="008676F9" w:rsidRDefault="008676F9" w:rsidP="00955DA4">
      <w:pPr>
        <w:numPr>
          <w:ilvl w:val="0"/>
          <w:numId w:val="113"/>
        </w:numPr>
        <w:ind w:left="426" w:hanging="284"/>
        <w:rPr>
          <w:rFonts w:ascii="Calibri" w:hAnsi="Calibri" w:cs="Calibri"/>
          <w:bCs/>
          <w:szCs w:val="22"/>
          <w:lang w:eastAsia="en-US"/>
        </w:rPr>
      </w:pPr>
      <w:r w:rsidRPr="008676F9">
        <w:rPr>
          <w:rFonts w:ascii="Calibri" w:hAnsi="Calibri" w:cs="Calibri"/>
          <w:bCs/>
          <w:szCs w:val="22"/>
          <w:lang w:eastAsia="en-US"/>
        </w:rPr>
        <w:t>ide o investície vyplývajúce z energetických auditov v zmysle 476/2008 Z. z. o efektívnosti pri používaní energie v znení neskorších predpisov;</w:t>
      </w:r>
    </w:p>
    <w:p w:rsidR="008676F9" w:rsidRPr="008676F9" w:rsidRDefault="008676F9" w:rsidP="00955DA4">
      <w:pPr>
        <w:numPr>
          <w:ilvl w:val="0"/>
          <w:numId w:val="113"/>
        </w:numPr>
        <w:ind w:left="426" w:hanging="284"/>
        <w:rPr>
          <w:rFonts w:ascii="Calibri" w:hAnsi="Calibri" w:cs="Calibri"/>
          <w:bCs/>
          <w:szCs w:val="22"/>
          <w:lang w:eastAsia="en-US"/>
        </w:rPr>
      </w:pPr>
      <w:r w:rsidRPr="008676F9">
        <w:rPr>
          <w:rFonts w:ascii="Calibri" w:hAnsi="Calibri" w:cs="Calibri"/>
          <w:bCs/>
          <w:szCs w:val="22"/>
          <w:lang w:eastAsia="en-US"/>
        </w:rPr>
        <w:t>pre operácie typ 2 sa na vstupy do výrobného procesu vzťahuje príloha I ZFEÚ;</w:t>
      </w:r>
    </w:p>
    <w:p w:rsidR="008676F9" w:rsidRPr="008676F9" w:rsidRDefault="008676F9" w:rsidP="00955DA4">
      <w:pPr>
        <w:numPr>
          <w:ilvl w:val="0"/>
          <w:numId w:val="113"/>
        </w:numPr>
        <w:ind w:left="426" w:hanging="284"/>
        <w:rPr>
          <w:rFonts w:ascii="Calibri" w:hAnsi="Calibri" w:cs="Calibri"/>
          <w:bCs/>
          <w:szCs w:val="22"/>
          <w:lang w:eastAsia="en-US"/>
        </w:rPr>
      </w:pPr>
      <w:r w:rsidRPr="008676F9">
        <w:rPr>
          <w:rFonts w:ascii="Calibri" w:hAnsi="Calibri" w:cs="Calibri"/>
          <w:bCs/>
          <w:szCs w:val="22"/>
          <w:lang w:eastAsia="en-US"/>
        </w:rPr>
        <w:t>pre operácie typ 2 výstupom výrobného procesu môže byť:</w:t>
      </w:r>
    </w:p>
    <w:p w:rsidR="008676F9" w:rsidRPr="008676F9" w:rsidRDefault="008676F9" w:rsidP="00955DA4">
      <w:pPr>
        <w:numPr>
          <w:ilvl w:val="1"/>
          <w:numId w:val="224"/>
        </w:numPr>
        <w:ind w:left="709" w:hanging="283"/>
        <w:rPr>
          <w:rFonts w:ascii="Calibri" w:hAnsi="Calibri" w:cs="Calibri"/>
          <w:bCs/>
          <w:szCs w:val="22"/>
          <w:lang w:eastAsia="en-US"/>
        </w:rPr>
      </w:pPr>
      <w:r w:rsidRPr="008676F9">
        <w:rPr>
          <w:rFonts w:ascii="Calibri" w:hAnsi="Calibri" w:cs="Calibri"/>
          <w:bCs/>
          <w:szCs w:val="22"/>
          <w:lang w:eastAsia="en-US"/>
        </w:rPr>
        <w:t>produkt prílohy I ZFEÚ;</w:t>
      </w:r>
    </w:p>
    <w:p w:rsidR="008676F9" w:rsidRPr="008676F9" w:rsidRDefault="008676F9" w:rsidP="00955DA4">
      <w:pPr>
        <w:numPr>
          <w:ilvl w:val="1"/>
          <w:numId w:val="224"/>
        </w:numPr>
        <w:ind w:left="709" w:hanging="283"/>
        <w:rPr>
          <w:rFonts w:ascii="Calibri" w:hAnsi="Calibri" w:cs="Calibri"/>
          <w:bCs/>
          <w:szCs w:val="22"/>
          <w:lang w:eastAsia="en-US"/>
        </w:rPr>
      </w:pPr>
      <w:r w:rsidRPr="008676F9">
        <w:rPr>
          <w:rFonts w:ascii="Calibri" w:hAnsi="Calibri" w:cs="Calibri"/>
          <w:bCs/>
          <w:szCs w:val="22"/>
          <w:lang w:eastAsia="en-US"/>
        </w:rPr>
        <w:t>ďalšie potraviny v zmysle zákona č. 152/1995 Z. z. o potravinách, ktoré nie sú zahrnuté medzi produktmi prílohy I ZFEÚ;</w:t>
      </w:r>
    </w:p>
    <w:p w:rsidR="008676F9" w:rsidRPr="008676F9" w:rsidRDefault="008676F9" w:rsidP="00955DA4">
      <w:pPr>
        <w:numPr>
          <w:ilvl w:val="0"/>
          <w:numId w:val="240"/>
        </w:numPr>
        <w:ind w:left="426" w:hanging="426"/>
        <w:rPr>
          <w:rFonts w:ascii="Calibri" w:hAnsi="Calibri" w:cs="Calibri"/>
          <w:bCs/>
          <w:szCs w:val="22"/>
          <w:lang w:eastAsia="en-US"/>
        </w:rPr>
      </w:pPr>
      <w:r w:rsidRPr="008676F9">
        <w:rPr>
          <w:rFonts w:ascii="Calibri" w:hAnsi="Calibri" w:cs="Calibri"/>
          <w:bCs/>
          <w:szCs w:val="22"/>
          <w:lang w:eastAsia="en-US"/>
        </w:rPr>
        <w:t>Povinnosť žiadateľa, ktorý sa nachádza na území MAS, predložiť potvrdenie od MAS, že daný projekt nie je realizovaný prostredníctvom stratégie CLLD miestnej akčnej skupiny.</w:t>
      </w:r>
    </w:p>
    <w:p w:rsidR="00AA6566" w:rsidRDefault="00AA6566" w:rsidP="00AA6566">
      <w:pPr>
        <w:rPr>
          <w:rFonts w:ascii="Calibri" w:eastAsia="Calibri" w:hAnsi="Calibri" w:cs="Calibri"/>
          <w:bCs/>
          <w:szCs w:val="22"/>
          <w:u w:val="single"/>
          <w:lang w:eastAsia="en-US"/>
        </w:rPr>
      </w:pPr>
    </w:p>
    <w:p w:rsidR="008676F9" w:rsidRPr="008676F9" w:rsidRDefault="008676F9" w:rsidP="00AA6566">
      <w:pPr>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Princípy nastavenia výberových kritérií:</w:t>
      </w:r>
    </w:p>
    <w:p w:rsidR="008676F9" w:rsidRPr="008676F9" w:rsidRDefault="008676F9" w:rsidP="001F5283">
      <w:pPr>
        <w:numPr>
          <w:ilvl w:val="0"/>
          <w:numId w:val="64"/>
        </w:numPr>
        <w:ind w:left="284" w:hanging="284"/>
        <w:contextualSpacing/>
        <w:rPr>
          <w:rFonts w:ascii="Calibri" w:hAnsi="Calibri" w:cs="Calibri"/>
          <w:bCs/>
          <w:szCs w:val="22"/>
          <w:lang w:eastAsia="en-US"/>
        </w:rPr>
      </w:pPr>
      <w:r w:rsidRPr="008676F9">
        <w:rPr>
          <w:rFonts w:ascii="Calibri" w:hAnsi="Calibri" w:cs="Calibri"/>
          <w:bCs/>
          <w:szCs w:val="22"/>
          <w:lang w:eastAsia="en-US"/>
        </w:rPr>
        <w:t>udržateľnosť plnenia kritérií žiadateľom;</w:t>
      </w:r>
    </w:p>
    <w:p w:rsidR="008676F9" w:rsidRPr="008676F9" w:rsidRDefault="008676F9" w:rsidP="001F5283">
      <w:pPr>
        <w:numPr>
          <w:ilvl w:val="0"/>
          <w:numId w:val="64"/>
        </w:numPr>
        <w:ind w:left="284" w:hanging="284"/>
        <w:contextualSpacing/>
        <w:rPr>
          <w:rFonts w:ascii="Calibri" w:hAnsi="Calibri" w:cs="Calibri"/>
          <w:bCs/>
          <w:szCs w:val="22"/>
          <w:lang w:eastAsia="en-US"/>
        </w:rPr>
      </w:pPr>
      <w:r w:rsidRPr="008676F9">
        <w:rPr>
          <w:rFonts w:ascii="Calibri" w:hAnsi="Calibri" w:cs="Calibri"/>
          <w:bCs/>
          <w:szCs w:val="22"/>
          <w:lang w:eastAsia="en-US"/>
        </w:rPr>
        <w:t xml:space="preserve">príspevok investície k udržaniu alebo </w:t>
      </w:r>
      <w:r w:rsidR="00693323">
        <w:rPr>
          <w:rFonts w:ascii="Calibri" w:hAnsi="Calibri" w:cs="Calibri"/>
          <w:bCs/>
          <w:szCs w:val="22"/>
          <w:lang w:eastAsia="en-US"/>
        </w:rPr>
        <w:t>zvýšeniu zamestnanosti</w:t>
      </w:r>
      <w:r w:rsidRPr="008676F9">
        <w:rPr>
          <w:rFonts w:ascii="Calibri" w:hAnsi="Calibri" w:cs="Calibri"/>
          <w:bCs/>
          <w:szCs w:val="22"/>
          <w:lang w:eastAsia="en-US"/>
        </w:rPr>
        <w:t xml:space="preserve"> alebo k zvyšovaniu efektívnosti výroby;</w:t>
      </w:r>
    </w:p>
    <w:p w:rsidR="008676F9" w:rsidRPr="008676F9" w:rsidRDefault="008676F9" w:rsidP="001F5283">
      <w:pPr>
        <w:numPr>
          <w:ilvl w:val="0"/>
          <w:numId w:val="64"/>
        </w:numPr>
        <w:ind w:left="284" w:hanging="284"/>
        <w:contextualSpacing/>
        <w:rPr>
          <w:rFonts w:ascii="Calibri" w:hAnsi="Calibri" w:cs="Calibri"/>
          <w:bCs/>
          <w:szCs w:val="22"/>
          <w:lang w:eastAsia="en-US"/>
        </w:rPr>
      </w:pPr>
      <w:r w:rsidRPr="008676F9">
        <w:rPr>
          <w:rFonts w:ascii="Calibri" w:hAnsi="Calibri" w:cs="Calibri"/>
          <w:bCs/>
          <w:szCs w:val="22"/>
          <w:lang w:eastAsia="en-US"/>
        </w:rPr>
        <w:t>Uprednostnené budú projekty výrobcov, ktorých výrobky majú Značku kvality SK</w:t>
      </w:r>
      <w:r w:rsidR="00693323">
        <w:rPr>
          <w:rFonts w:ascii="Calibri" w:hAnsi="Calibri" w:cs="Calibri"/>
          <w:bCs/>
          <w:szCs w:val="22"/>
          <w:lang w:eastAsia="en-US"/>
        </w:rPr>
        <w:t>, iný certifikát kvality</w:t>
      </w:r>
      <w:r w:rsidRPr="008676F9">
        <w:rPr>
          <w:rFonts w:ascii="Calibri" w:hAnsi="Calibri" w:cs="Calibri"/>
          <w:bCs/>
          <w:szCs w:val="22"/>
          <w:lang w:eastAsia="en-US"/>
        </w:rPr>
        <w:t xml:space="preserve"> alebo chránené označenie pôvodu, chránené zemepisné označenie alebo sú to výrobky s označením - zaručená tradičná špecialita. </w:t>
      </w:r>
    </w:p>
    <w:p w:rsidR="008676F9" w:rsidRPr="008676F9" w:rsidRDefault="008676F9" w:rsidP="001F5283">
      <w:pPr>
        <w:numPr>
          <w:ilvl w:val="0"/>
          <w:numId w:val="64"/>
        </w:numPr>
        <w:ind w:left="284" w:hanging="284"/>
        <w:contextualSpacing/>
        <w:rPr>
          <w:rFonts w:ascii="Calibri" w:hAnsi="Calibri" w:cs="Calibri"/>
          <w:bCs/>
          <w:szCs w:val="22"/>
          <w:lang w:eastAsia="en-US"/>
        </w:rPr>
      </w:pPr>
      <w:r w:rsidRPr="008676F9">
        <w:rPr>
          <w:rFonts w:ascii="Calibri" w:hAnsi="Calibri" w:cs="Calibri"/>
          <w:bCs/>
          <w:szCs w:val="22"/>
          <w:lang w:eastAsia="en-US"/>
        </w:rPr>
        <w:t>príspevok investície k zvýšeniu produkcie alebo k zvýšeniu kvality výrobkov;</w:t>
      </w:r>
    </w:p>
    <w:p w:rsidR="008676F9" w:rsidRPr="008676F9" w:rsidRDefault="008676F9" w:rsidP="001F5283">
      <w:pPr>
        <w:numPr>
          <w:ilvl w:val="0"/>
          <w:numId w:val="64"/>
        </w:numPr>
        <w:ind w:left="284" w:hanging="284"/>
        <w:contextualSpacing/>
        <w:rPr>
          <w:rFonts w:ascii="Calibri" w:hAnsi="Calibri" w:cs="Calibri"/>
          <w:bCs/>
          <w:szCs w:val="22"/>
          <w:lang w:eastAsia="en-US"/>
        </w:rPr>
      </w:pPr>
      <w:r w:rsidRPr="008676F9">
        <w:rPr>
          <w:rFonts w:ascii="Calibri" w:hAnsi="Calibri" w:cs="Calibri"/>
          <w:bCs/>
          <w:szCs w:val="22"/>
          <w:lang w:eastAsia="en-US"/>
        </w:rPr>
        <w:t>závislosť výšky výdavkov projektu od zvýšenia produkcie, resp. od zvýšenia alebo udržania zamestnanosti;</w:t>
      </w:r>
    </w:p>
    <w:p w:rsidR="008676F9" w:rsidRPr="008676F9" w:rsidRDefault="008676F9" w:rsidP="001F5283">
      <w:pPr>
        <w:numPr>
          <w:ilvl w:val="0"/>
          <w:numId w:val="64"/>
        </w:numPr>
        <w:ind w:left="284" w:hanging="284"/>
        <w:contextualSpacing/>
        <w:rPr>
          <w:rFonts w:ascii="Calibri" w:hAnsi="Calibri" w:cs="Calibri"/>
          <w:bCs/>
          <w:szCs w:val="22"/>
          <w:lang w:eastAsia="en-US"/>
        </w:rPr>
      </w:pPr>
      <w:r w:rsidRPr="008676F9">
        <w:rPr>
          <w:rFonts w:ascii="Calibri" w:hAnsi="Calibri" w:cs="Calibri"/>
          <w:bCs/>
          <w:szCs w:val="22"/>
          <w:lang w:eastAsia="en-US"/>
        </w:rPr>
        <w:t>komplexnosť, udržateľnosť projektu, schopnosť realizácie projektu, hospodárnosť a efektívnosť projektu;</w:t>
      </w:r>
    </w:p>
    <w:p w:rsidR="008676F9" w:rsidRPr="008676F9" w:rsidRDefault="008676F9" w:rsidP="001F5283">
      <w:pPr>
        <w:numPr>
          <w:ilvl w:val="0"/>
          <w:numId w:val="64"/>
        </w:numPr>
        <w:ind w:left="284" w:hanging="284"/>
        <w:contextualSpacing/>
        <w:rPr>
          <w:rFonts w:ascii="Calibri" w:hAnsi="Calibri" w:cs="Calibri"/>
          <w:bCs/>
          <w:szCs w:val="22"/>
          <w:lang w:eastAsia="en-US"/>
        </w:rPr>
      </w:pPr>
      <w:r w:rsidRPr="008676F9">
        <w:rPr>
          <w:rFonts w:ascii="Calibri" w:hAnsi="Calibri" w:cs="Calibri"/>
          <w:bCs/>
          <w:szCs w:val="22"/>
          <w:lang w:eastAsia="en-US"/>
        </w:rPr>
        <w:t>Žiadateľ poskytuje možnosť absolvovania praxe pre študentov poľnohospodárskych alebo potravinárskych študijných alebo učebných odborov.</w:t>
      </w:r>
    </w:p>
    <w:p w:rsidR="008676F9" w:rsidRPr="008676F9" w:rsidRDefault="008676F9" w:rsidP="00AA6566">
      <w:pPr>
        <w:rPr>
          <w:rFonts w:ascii="Calibri" w:eastAsia="Calibri" w:hAnsi="Calibri" w:cs="Calibri"/>
          <w:szCs w:val="22"/>
          <w:u w:val="single"/>
          <w:lang w:eastAsia="en-US"/>
        </w:rPr>
      </w:pPr>
    </w:p>
    <w:p w:rsidR="00693323" w:rsidRPr="008676F9" w:rsidRDefault="00693323" w:rsidP="00693323">
      <w:pPr>
        <w:rPr>
          <w:rFonts w:ascii="Calibri" w:eastAsia="Calibri" w:hAnsi="Calibri" w:cs="Calibri"/>
          <w:szCs w:val="22"/>
          <w:u w:val="single"/>
          <w:lang w:eastAsia="en-US"/>
        </w:rPr>
      </w:pPr>
      <w:r w:rsidRPr="008676F9">
        <w:rPr>
          <w:rFonts w:ascii="Calibri" w:eastAsia="Calibri" w:hAnsi="Calibri" w:cs="Calibri"/>
          <w:szCs w:val="22"/>
          <w:u w:val="single"/>
          <w:lang w:eastAsia="en-US"/>
        </w:rPr>
        <w:t>Výška a miera podpory:</w:t>
      </w:r>
    </w:p>
    <w:p w:rsidR="00693323" w:rsidRPr="008676F9" w:rsidRDefault="00693323" w:rsidP="00693323">
      <w:pPr>
        <w:rPr>
          <w:rFonts w:ascii="Calibri" w:eastAsia="Calibri" w:hAnsi="Calibri" w:cs="Calibri"/>
          <w:szCs w:val="22"/>
          <w:lang w:eastAsia="en-US"/>
        </w:rPr>
      </w:pPr>
      <w:r w:rsidRPr="008676F9">
        <w:rPr>
          <w:rFonts w:ascii="Calibri" w:eastAsia="Calibri" w:hAnsi="Calibri" w:cs="Calibri"/>
          <w:szCs w:val="22"/>
          <w:lang w:eastAsia="en-US"/>
        </w:rPr>
        <w:t>Maximálna výška podpory z celkových oprávnených výdavkov:</w:t>
      </w:r>
    </w:p>
    <w:p w:rsidR="00693323" w:rsidRPr="008676F9" w:rsidRDefault="00871C41" w:rsidP="00955DA4">
      <w:pPr>
        <w:numPr>
          <w:ilvl w:val="0"/>
          <w:numId w:val="97"/>
        </w:numPr>
        <w:rPr>
          <w:rFonts w:ascii="Calibri" w:hAnsi="Calibri" w:cs="Calibri"/>
          <w:szCs w:val="22"/>
          <w:lang w:eastAsia="en-US"/>
        </w:rPr>
      </w:pPr>
      <w:r>
        <w:rPr>
          <w:rFonts w:ascii="Calibri" w:hAnsi="Calibri" w:cs="Calibri"/>
          <w:szCs w:val="22"/>
          <w:lang w:eastAsia="en-US"/>
        </w:rPr>
        <w:t>50</w:t>
      </w:r>
      <w:r w:rsidR="00693323" w:rsidRPr="008676F9">
        <w:rPr>
          <w:rFonts w:ascii="Calibri" w:hAnsi="Calibri" w:cs="Calibri"/>
          <w:szCs w:val="22"/>
          <w:lang w:eastAsia="en-US"/>
        </w:rPr>
        <w:t>% v prípade menej rozvinutých regiónov (mimo Bratislavského kraja);</w:t>
      </w:r>
    </w:p>
    <w:p w:rsidR="00693323" w:rsidRPr="008676F9" w:rsidRDefault="00693323" w:rsidP="00955DA4">
      <w:pPr>
        <w:numPr>
          <w:ilvl w:val="0"/>
          <w:numId w:val="97"/>
        </w:numPr>
        <w:rPr>
          <w:rFonts w:ascii="Calibri" w:hAnsi="Calibri" w:cs="Calibri"/>
          <w:szCs w:val="22"/>
          <w:lang w:eastAsia="en-US"/>
        </w:rPr>
      </w:pPr>
      <w:r w:rsidRPr="008676F9">
        <w:rPr>
          <w:rFonts w:ascii="Calibri" w:hAnsi="Calibri" w:cs="Calibri"/>
          <w:szCs w:val="22"/>
          <w:lang w:eastAsia="en-US"/>
        </w:rPr>
        <w:t>40% v prípade iných regiónov (Bratislavský kraj).</w:t>
      </w:r>
    </w:p>
    <w:p w:rsidR="00693323" w:rsidRDefault="00693323" w:rsidP="00693323">
      <w:pPr>
        <w:rPr>
          <w:rFonts w:ascii="Calibri" w:hAnsi="Calibri" w:cs="Calibri"/>
          <w:szCs w:val="22"/>
          <w:lang w:eastAsia="en-US"/>
        </w:rPr>
      </w:pPr>
    </w:p>
    <w:p w:rsidR="00693323" w:rsidRPr="008676F9" w:rsidRDefault="00693323" w:rsidP="00693323">
      <w:pPr>
        <w:rPr>
          <w:rFonts w:ascii="Calibri" w:hAnsi="Calibri" w:cs="Calibri"/>
          <w:szCs w:val="22"/>
          <w:lang w:eastAsia="en-US"/>
        </w:rPr>
      </w:pPr>
      <w:r>
        <w:rPr>
          <w:rFonts w:ascii="Calibri" w:hAnsi="Calibri" w:cs="Calibri"/>
          <w:szCs w:val="22"/>
          <w:lang w:eastAsia="en-US"/>
        </w:rPr>
        <w:t>Zároveň platí, že m</w:t>
      </w:r>
      <w:r w:rsidRPr="008676F9">
        <w:rPr>
          <w:rFonts w:ascii="Calibri" w:hAnsi="Calibri" w:cs="Calibri"/>
          <w:szCs w:val="22"/>
          <w:lang w:eastAsia="en-US"/>
        </w:rPr>
        <w:t>iera podpory sa môže zvýšiť o 20%:</w:t>
      </w:r>
    </w:p>
    <w:p w:rsidR="008676F9" w:rsidRPr="008676F9" w:rsidRDefault="008676F9" w:rsidP="00AA6566">
      <w:pPr>
        <w:rPr>
          <w:rFonts w:ascii="Calibri" w:hAnsi="Calibri" w:cs="Calibri"/>
          <w:b/>
          <w:szCs w:val="22"/>
          <w:lang w:eastAsia="en-US"/>
        </w:rPr>
      </w:pPr>
      <w:r w:rsidRPr="008676F9">
        <w:rPr>
          <w:rFonts w:ascii="Calibri" w:hAnsi="Calibri" w:cs="Calibri"/>
          <w:b/>
          <w:szCs w:val="22"/>
          <w:lang w:eastAsia="en-US"/>
        </w:rPr>
        <w:t xml:space="preserve"> pre operácie typ 1:</w:t>
      </w:r>
    </w:p>
    <w:p w:rsidR="008676F9" w:rsidRPr="008676F9" w:rsidRDefault="008676F9" w:rsidP="001F5283">
      <w:pPr>
        <w:numPr>
          <w:ilvl w:val="0"/>
          <w:numId w:val="35"/>
        </w:numPr>
        <w:ind w:left="284" w:hanging="284"/>
        <w:rPr>
          <w:rFonts w:ascii="Calibri" w:hAnsi="Calibri" w:cs="Calibri"/>
          <w:i/>
          <w:szCs w:val="22"/>
          <w:lang w:eastAsia="en-US"/>
        </w:rPr>
      </w:pPr>
      <w:r w:rsidRPr="008676F9">
        <w:rPr>
          <w:rFonts w:ascii="Calibri" w:hAnsi="Calibri" w:cs="Calibri"/>
          <w:i/>
          <w:szCs w:val="22"/>
          <w:lang w:eastAsia="en-US"/>
        </w:rPr>
        <w:t>v prípade mladých poľnohospodárov;</w:t>
      </w:r>
    </w:p>
    <w:p w:rsidR="00871C41" w:rsidRPr="00871C41" w:rsidRDefault="008676F9" w:rsidP="001F5283">
      <w:pPr>
        <w:numPr>
          <w:ilvl w:val="0"/>
          <w:numId w:val="35"/>
        </w:numPr>
        <w:ind w:left="284" w:hanging="284"/>
        <w:rPr>
          <w:rFonts w:ascii="Calibri" w:hAnsi="Calibri" w:cs="Calibri"/>
          <w:i/>
          <w:szCs w:val="22"/>
          <w:lang w:eastAsia="en-US"/>
        </w:rPr>
      </w:pPr>
      <w:r w:rsidRPr="00871C41">
        <w:rPr>
          <w:rFonts w:ascii="Calibri" w:hAnsi="Calibri"/>
          <w:i/>
          <w:szCs w:val="22"/>
          <w:lang w:eastAsia="en-US"/>
        </w:rPr>
        <w:t>v oblastiach s prírodnými a inými špecifickými obmedzeniami</w:t>
      </w:r>
      <w:r w:rsidR="00871C41">
        <w:rPr>
          <w:rFonts w:ascii="Calibri" w:hAnsi="Calibri"/>
          <w:i/>
          <w:szCs w:val="22"/>
          <w:lang w:eastAsia="en-US"/>
        </w:rPr>
        <w:t>;</w:t>
      </w:r>
      <w:r w:rsidRPr="00871C41">
        <w:rPr>
          <w:rFonts w:ascii="Calibri" w:hAnsi="Calibri"/>
          <w:i/>
          <w:szCs w:val="22"/>
          <w:lang w:eastAsia="en-US"/>
        </w:rPr>
        <w:t xml:space="preserve"> </w:t>
      </w:r>
    </w:p>
    <w:p w:rsidR="008676F9" w:rsidRPr="00871C41" w:rsidRDefault="008676F9" w:rsidP="001F5283">
      <w:pPr>
        <w:numPr>
          <w:ilvl w:val="0"/>
          <w:numId w:val="35"/>
        </w:numPr>
        <w:ind w:left="284" w:hanging="284"/>
        <w:rPr>
          <w:rFonts w:ascii="Calibri" w:hAnsi="Calibri" w:cs="Calibri"/>
          <w:i/>
          <w:szCs w:val="22"/>
          <w:lang w:eastAsia="en-US"/>
        </w:rPr>
      </w:pPr>
      <w:r w:rsidRPr="00871C41">
        <w:rPr>
          <w:rFonts w:ascii="Calibri" w:hAnsi="Calibri" w:cs="Calibri"/>
          <w:i/>
          <w:szCs w:val="22"/>
          <w:lang w:eastAsia="en-US"/>
        </w:rPr>
        <w:t>v prípade operácií v rámci operačných skupín EIP;</w:t>
      </w:r>
    </w:p>
    <w:p w:rsidR="008676F9" w:rsidRPr="008676F9" w:rsidRDefault="008676F9" w:rsidP="001F5283">
      <w:pPr>
        <w:numPr>
          <w:ilvl w:val="0"/>
          <w:numId w:val="35"/>
        </w:numPr>
        <w:ind w:left="284" w:hanging="284"/>
        <w:rPr>
          <w:rFonts w:ascii="Calibri" w:hAnsi="Calibri" w:cs="Calibri"/>
          <w:i/>
          <w:szCs w:val="22"/>
          <w:lang w:eastAsia="en-US"/>
        </w:rPr>
      </w:pPr>
      <w:r w:rsidRPr="008676F9">
        <w:rPr>
          <w:rFonts w:ascii="Calibri" w:hAnsi="Calibri" w:cs="Calibri"/>
          <w:i/>
          <w:szCs w:val="22"/>
          <w:lang w:eastAsia="en-US"/>
        </w:rPr>
        <w:t>v prípade kolektívnych (združených) investícií vrátane tých, ktoré súvisia so zlúčením organizácií výrobcov;</w:t>
      </w:r>
    </w:p>
    <w:p w:rsidR="008676F9" w:rsidRPr="008676F9" w:rsidRDefault="008676F9" w:rsidP="001F5283">
      <w:pPr>
        <w:numPr>
          <w:ilvl w:val="0"/>
          <w:numId w:val="35"/>
        </w:numPr>
        <w:ind w:left="284" w:hanging="284"/>
        <w:rPr>
          <w:rFonts w:ascii="Calibri" w:hAnsi="Calibri" w:cs="Calibri"/>
          <w:i/>
          <w:szCs w:val="22"/>
          <w:lang w:eastAsia="en-US"/>
        </w:rPr>
      </w:pPr>
      <w:r w:rsidRPr="008676F9">
        <w:rPr>
          <w:rFonts w:ascii="Calibri" w:hAnsi="Calibri" w:cs="Calibri"/>
          <w:i/>
          <w:szCs w:val="22"/>
          <w:lang w:eastAsia="en-US"/>
        </w:rPr>
        <w:t>v prípade integrovaných projektov;</w:t>
      </w:r>
    </w:p>
    <w:p w:rsidR="008676F9" w:rsidRPr="008676F9" w:rsidRDefault="008676F9" w:rsidP="001F5283">
      <w:pPr>
        <w:numPr>
          <w:ilvl w:val="0"/>
          <w:numId w:val="35"/>
        </w:numPr>
        <w:ind w:left="284" w:hanging="284"/>
        <w:rPr>
          <w:rFonts w:ascii="Calibri" w:hAnsi="Calibri" w:cs="Calibri"/>
          <w:i/>
          <w:szCs w:val="22"/>
          <w:lang w:eastAsia="en-US"/>
        </w:rPr>
      </w:pPr>
      <w:r w:rsidRPr="008676F9">
        <w:rPr>
          <w:rFonts w:ascii="Calibri" w:hAnsi="Calibri" w:cs="Calibri"/>
          <w:i/>
          <w:szCs w:val="22"/>
          <w:lang w:eastAsia="en-US"/>
        </w:rPr>
        <w:t>v prípade investícií súvisiacich s operáciami podľa opatrení č. 10 a č. 11.</w:t>
      </w:r>
    </w:p>
    <w:p w:rsidR="000E5C15" w:rsidRDefault="000E5C15" w:rsidP="00AA6566">
      <w:pPr>
        <w:rPr>
          <w:rFonts w:ascii="Calibri" w:eastAsia="Calibri" w:hAnsi="Calibri" w:cs="Calibri"/>
          <w:b/>
          <w:bCs/>
          <w:szCs w:val="22"/>
          <w:lang w:eastAsia="en-US"/>
        </w:rPr>
      </w:pPr>
    </w:p>
    <w:p w:rsidR="008676F9" w:rsidRPr="008676F9" w:rsidRDefault="008676F9" w:rsidP="00AA6566">
      <w:pPr>
        <w:rPr>
          <w:rFonts w:ascii="Calibri" w:eastAsia="Calibri" w:hAnsi="Calibri" w:cs="Calibri"/>
          <w:b/>
          <w:bCs/>
          <w:szCs w:val="22"/>
          <w:lang w:eastAsia="en-US"/>
        </w:rPr>
      </w:pPr>
      <w:r w:rsidRPr="008676F9">
        <w:rPr>
          <w:rFonts w:ascii="Calibri" w:eastAsia="Calibri" w:hAnsi="Calibri" w:cs="Calibri"/>
          <w:b/>
          <w:bCs/>
          <w:szCs w:val="22"/>
          <w:lang w:eastAsia="en-US"/>
        </w:rPr>
        <w:t>pre operácie typ 2:</w:t>
      </w:r>
    </w:p>
    <w:p w:rsidR="008676F9" w:rsidRPr="008676F9" w:rsidRDefault="008676F9" w:rsidP="001F5283">
      <w:pPr>
        <w:numPr>
          <w:ilvl w:val="0"/>
          <w:numId w:val="35"/>
        </w:numPr>
        <w:ind w:left="284" w:hanging="284"/>
        <w:rPr>
          <w:rFonts w:ascii="Calibri" w:hAnsi="Calibri" w:cs="Calibri"/>
          <w:i/>
          <w:szCs w:val="22"/>
          <w:lang w:eastAsia="en-US"/>
        </w:rPr>
      </w:pPr>
      <w:r w:rsidRPr="008676F9">
        <w:rPr>
          <w:rFonts w:ascii="Calibri" w:hAnsi="Calibri" w:cs="Calibri"/>
          <w:i/>
          <w:szCs w:val="22"/>
          <w:lang w:eastAsia="en-US"/>
        </w:rPr>
        <w:t>v prípade operácií v rámci operačných skupín EIP (vzťahuje sa aj na spracovanie, marketing a vývoj);</w:t>
      </w:r>
    </w:p>
    <w:p w:rsidR="008676F9" w:rsidRPr="008676F9" w:rsidRDefault="008676F9" w:rsidP="001F5283">
      <w:pPr>
        <w:numPr>
          <w:ilvl w:val="0"/>
          <w:numId w:val="35"/>
        </w:numPr>
        <w:spacing w:after="120"/>
        <w:ind w:left="284" w:hanging="284"/>
        <w:rPr>
          <w:rFonts w:ascii="Calibri" w:hAnsi="Calibri" w:cs="Calibri"/>
          <w:i/>
          <w:szCs w:val="22"/>
          <w:lang w:eastAsia="en-US"/>
        </w:rPr>
      </w:pPr>
      <w:r w:rsidRPr="008676F9">
        <w:rPr>
          <w:rFonts w:ascii="Calibri" w:hAnsi="Calibri" w:cs="Calibri"/>
          <w:i/>
          <w:szCs w:val="22"/>
          <w:lang w:eastAsia="en-US"/>
        </w:rPr>
        <w:t>v prípade operácií súvisiacich so zlučovaním organizácií výrobcov.</w:t>
      </w:r>
    </w:p>
    <w:p w:rsidR="008676F9" w:rsidRPr="008676F9" w:rsidRDefault="008676F9" w:rsidP="00AA6566">
      <w:pPr>
        <w:rPr>
          <w:rFonts w:ascii="Calibri" w:eastAsia="Calibri" w:hAnsi="Calibri" w:cs="Calibri"/>
          <w:bCs/>
          <w:szCs w:val="22"/>
          <w:lang w:eastAsia="en-US"/>
        </w:rPr>
      </w:pPr>
      <w:r w:rsidRPr="008676F9">
        <w:rPr>
          <w:rFonts w:ascii="Calibri" w:eastAsia="Calibri" w:hAnsi="Calibri" w:cs="Calibri"/>
          <w:bCs/>
          <w:szCs w:val="22"/>
          <w:lang w:eastAsia="en-US"/>
        </w:rPr>
        <w:t>Miera podpory pre oba typy operácií sa môže zvýšiť kombinovane najviac do 90% z celkových oprávnených výdavkov.</w:t>
      </w:r>
    </w:p>
    <w:p w:rsidR="000E5C15" w:rsidRDefault="000E5C15" w:rsidP="001B617C">
      <w:pPr>
        <w:rPr>
          <w:rFonts w:ascii="Calibri" w:eastAsia="Calibri" w:hAnsi="Calibri" w:cs="Calibri"/>
          <w:bCs/>
          <w:szCs w:val="22"/>
          <w:lang w:eastAsia="en-US"/>
        </w:rPr>
      </w:pPr>
    </w:p>
    <w:p w:rsidR="001B617C" w:rsidRDefault="001B617C" w:rsidP="001B617C">
      <w:pPr>
        <w:rPr>
          <w:rFonts w:ascii="Calibri" w:eastAsia="Calibri" w:hAnsi="Calibri" w:cs="Calibri"/>
          <w:bCs/>
          <w:szCs w:val="22"/>
          <w:lang w:eastAsia="en-US"/>
        </w:rPr>
      </w:pPr>
      <w:r>
        <w:rPr>
          <w:rFonts w:ascii="Calibri" w:eastAsia="Calibri" w:hAnsi="Calibri" w:cs="Calibri"/>
          <w:bCs/>
          <w:szCs w:val="22"/>
          <w:lang w:eastAsia="en-US"/>
        </w:rPr>
        <w:t>Maximálna výška oprávnených nákladov na jeden projekt je 2 000 000 €.</w:t>
      </w:r>
    </w:p>
    <w:p w:rsidR="008676F9" w:rsidRPr="008676F9" w:rsidRDefault="008676F9" w:rsidP="00AA6566">
      <w:pPr>
        <w:rPr>
          <w:rFonts w:ascii="Calibri" w:eastAsia="Calibri" w:hAnsi="Calibri" w:cs="Calibri"/>
          <w:bCs/>
          <w:szCs w:val="22"/>
          <w:lang w:eastAsia="en-US"/>
        </w:rPr>
      </w:pPr>
    </w:p>
    <w:p w:rsidR="008676F9" w:rsidRPr="008676F9" w:rsidRDefault="008676F9" w:rsidP="008676F9">
      <w:pPr>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Ďalšie informácie špecifické pre danú operáciu:</w:t>
      </w:r>
    </w:p>
    <w:p w:rsidR="00693323" w:rsidRDefault="00693323" w:rsidP="00693323">
      <w:pPr>
        <w:spacing w:after="120"/>
        <w:rPr>
          <w:rFonts w:ascii="Calibri" w:eastAsia="Calibri" w:hAnsi="Calibri" w:cs="Calibri"/>
          <w:bCs/>
          <w:szCs w:val="22"/>
          <w:lang w:eastAsia="en-US"/>
        </w:rPr>
      </w:pPr>
      <w:r>
        <w:rPr>
          <w:rFonts w:ascii="Calibri" w:eastAsia="Calibri" w:hAnsi="Calibri" w:cs="Calibri"/>
          <w:bCs/>
          <w:i/>
          <w:szCs w:val="22"/>
          <w:lang w:eastAsia="en-US"/>
        </w:rPr>
        <w:t xml:space="preserve">Poľnohospodársky produkt: </w:t>
      </w:r>
      <w:r>
        <w:rPr>
          <w:rFonts w:ascii="Calibri" w:eastAsia="Calibri" w:hAnsi="Calibri" w:cs="Calibri"/>
          <w:bCs/>
          <w:szCs w:val="22"/>
          <w:lang w:eastAsia="en-US"/>
        </w:rPr>
        <w:t>produkt uvedený v prílohe I ZFEÚ (s výnimkou rybích produktov) a bavlna. Niektoré poľnohospodárske produkty sú zároveň potravinami.</w:t>
      </w:r>
    </w:p>
    <w:p w:rsidR="00693323" w:rsidRDefault="00693323" w:rsidP="00693323">
      <w:pPr>
        <w:spacing w:after="120"/>
        <w:rPr>
          <w:rFonts w:ascii="Calibri" w:eastAsia="Calibri" w:hAnsi="Calibri" w:cs="Calibri"/>
          <w:bCs/>
          <w:szCs w:val="22"/>
          <w:lang w:eastAsia="en-US"/>
        </w:rPr>
      </w:pPr>
      <w:r>
        <w:rPr>
          <w:rFonts w:ascii="Calibri" w:eastAsia="Calibri" w:hAnsi="Calibri" w:cs="Calibri"/>
          <w:bCs/>
          <w:i/>
          <w:szCs w:val="22"/>
          <w:lang w:eastAsia="en-US"/>
        </w:rPr>
        <w:t xml:space="preserve">Potraviny: </w:t>
      </w:r>
      <w:r>
        <w:rPr>
          <w:rFonts w:ascii="Calibri" w:eastAsia="Calibri" w:hAnsi="Calibri" w:cs="Calibri"/>
          <w:bCs/>
          <w:szCs w:val="22"/>
          <w:lang w:eastAsia="en-US"/>
        </w:rPr>
        <w:t>potraviny v zmysle zákona č. 152/1995 Z. z. o potravinách. Niektoré potraviny sú zároveň aj produktmi prílohy I ZFEÚ.</w:t>
      </w:r>
    </w:p>
    <w:p w:rsidR="00693323" w:rsidRPr="008676F9" w:rsidRDefault="00693323" w:rsidP="00693323">
      <w:pPr>
        <w:spacing w:after="120"/>
        <w:rPr>
          <w:rFonts w:ascii="Calibri" w:eastAsia="Calibri" w:hAnsi="Calibri"/>
          <w:i/>
          <w:szCs w:val="22"/>
          <w:lang w:eastAsia="en-US"/>
        </w:rPr>
      </w:pPr>
      <w:r w:rsidRPr="008676F9">
        <w:rPr>
          <w:rFonts w:ascii="Calibri" w:eastAsia="Calibri" w:hAnsi="Calibri"/>
          <w:i/>
          <w:szCs w:val="22"/>
          <w:lang w:eastAsia="en-US"/>
        </w:rPr>
        <w:t xml:space="preserve">Spracovanie poľnohospodárskych produktov </w:t>
      </w:r>
      <w:r w:rsidRPr="008676F9">
        <w:rPr>
          <w:rFonts w:ascii="Calibri" w:eastAsia="Calibri" w:hAnsi="Calibri"/>
          <w:szCs w:val="22"/>
          <w:lang w:eastAsia="en-US"/>
        </w:rPr>
        <w:t>znamená akékoľvek pôsobenie na poľnohospodársky produkt, výsledkom ktorého je taktiež poľnohospodársky produkt</w:t>
      </w:r>
      <w:r>
        <w:rPr>
          <w:rFonts w:ascii="Calibri" w:eastAsia="Calibri" w:hAnsi="Calibri"/>
          <w:szCs w:val="22"/>
          <w:lang w:eastAsia="en-US"/>
        </w:rPr>
        <w:t xml:space="preserve">, </w:t>
      </w:r>
      <w:r w:rsidRPr="008676F9">
        <w:rPr>
          <w:rFonts w:ascii="Calibri" w:eastAsia="Calibri" w:hAnsi="Calibri"/>
          <w:szCs w:val="22"/>
          <w:lang w:eastAsia="en-US"/>
        </w:rPr>
        <w:t>potravina</w:t>
      </w:r>
      <w:r>
        <w:rPr>
          <w:rFonts w:ascii="Calibri" w:eastAsia="Calibri" w:hAnsi="Calibri"/>
          <w:szCs w:val="22"/>
          <w:lang w:eastAsia="en-US"/>
        </w:rPr>
        <w:t xml:space="preserve"> alebo iný produkt</w:t>
      </w:r>
      <w:r w:rsidRPr="008676F9">
        <w:rPr>
          <w:rFonts w:ascii="Calibri" w:eastAsia="Calibri" w:hAnsi="Calibri"/>
          <w:szCs w:val="22"/>
          <w:lang w:eastAsia="en-US"/>
        </w:rPr>
        <w:t xml:space="preserve"> s výnimkou činností vykonávaných v poľnohospodárskom podniku v súvislosti s prípravou živočíšneho alebo rastlinného produktu na prvý predaj, t.j. činnosti vykonávané v poľnohospodárskom podniku potrebné na prípravu výrobku na prvý predaj ako napr. zber, sekanie a mlátenie obilnín, balenie vajec atď. sa nepovažuje za spracovanie. V prípade produktov rastlinného pôvodu musia byť tieto minimálne očistené, vytriedené a zabalené do maloobchodného spotrebiteľského balenia. Len samostatné umiestnenie v prepravkách sa nepovažuje za primárne spracovanie poľnohospodárskych produktov.</w:t>
      </w:r>
      <w:r>
        <w:rPr>
          <w:rFonts w:ascii="Calibri" w:eastAsia="Calibri" w:hAnsi="Calibri"/>
          <w:szCs w:val="22"/>
          <w:lang w:eastAsia="en-US"/>
        </w:rPr>
        <w:t xml:space="preserve"> Spracovanie poľnohospodárskych produktov teda zahŕňa z veľkej časti aj pojem </w:t>
      </w:r>
      <w:r w:rsidRPr="00234CF5">
        <w:rPr>
          <w:rFonts w:ascii="Calibri" w:eastAsia="Calibri" w:hAnsi="Calibri"/>
          <w:i/>
          <w:szCs w:val="22"/>
          <w:lang w:eastAsia="en-US"/>
        </w:rPr>
        <w:t>výroba potravín</w:t>
      </w:r>
      <w:r>
        <w:rPr>
          <w:rFonts w:ascii="Calibri" w:eastAsia="Calibri" w:hAnsi="Calibri"/>
          <w:i/>
          <w:szCs w:val="22"/>
          <w:lang w:eastAsia="en-US"/>
        </w:rPr>
        <w:t>.</w:t>
      </w:r>
    </w:p>
    <w:p w:rsidR="008676F9" w:rsidRPr="008676F9" w:rsidRDefault="008676F9" w:rsidP="008676F9">
      <w:pPr>
        <w:spacing w:after="120"/>
        <w:rPr>
          <w:rFonts w:ascii="Calibri" w:eastAsia="Calibri" w:hAnsi="Calibri"/>
          <w:i/>
          <w:szCs w:val="22"/>
          <w:lang w:eastAsia="en-US"/>
        </w:rPr>
      </w:pPr>
      <w:r w:rsidRPr="008676F9">
        <w:rPr>
          <w:rFonts w:ascii="Calibri" w:eastAsia="Calibri" w:hAnsi="Calibri"/>
          <w:i/>
          <w:szCs w:val="22"/>
          <w:lang w:eastAsia="en-US"/>
        </w:rPr>
        <w:t xml:space="preserve">Uvádzanie na trh poľnohospodárskych produktov </w:t>
      </w:r>
      <w:r w:rsidRPr="008676F9">
        <w:rPr>
          <w:rFonts w:ascii="Calibri" w:eastAsia="Calibri" w:hAnsi="Calibri"/>
          <w:szCs w:val="22"/>
          <w:lang w:eastAsia="en-US"/>
        </w:rPr>
        <w:t>znamená vystavenie produktu s cieľom predaja, ponúkania na predaj, dodanie alebo iná forma umiestnenia na trhu s výnimkou prvého predaja prvovýrobcom distribútorovi alebo spracovateľovi a akejkoľvek aktivity súvisiacej s prípravou produktu na prvý predaj. Predaj prvovýrobcom spotrebiteľovi sa považuje za uvádzanie na trh, pokiaľ ide o predaj v samostatných priestoroch určených na ten účel mimo areálu daného podniku</w:t>
      </w:r>
      <w:r w:rsidRPr="008676F9">
        <w:rPr>
          <w:rFonts w:ascii="Calibri" w:eastAsia="Calibri" w:hAnsi="Calibri"/>
          <w:i/>
          <w:szCs w:val="22"/>
          <w:lang w:eastAsia="en-US"/>
        </w:rPr>
        <w:t>.</w:t>
      </w:r>
    </w:p>
    <w:p w:rsidR="008676F9" w:rsidRPr="008676F9" w:rsidRDefault="008676F9" w:rsidP="008676F9">
      <w:pPr>
        <w:spacing w:after="120"/>
        <w:rPr>
          <w:rFonts w:ascii="Calibri" w:eastAsia="Calibri" w:hAnsi="Calibri"/>
          <w:szCs w:val="22"/>
          <w:lang w:eastAsia="en-US"/>
        </w:rPr>
      </w:pPr>
      <w:r w:rsidRPr="008676F9">
        <w:rPr>
          <w:rFonts w:ascii="Calibri" w:eastAsia="Calibri" w:hAnsi="Calibri"/>
          <w:i/>
          <w:szCs w:val="22"/>
          <w:lang w:eastAsia="en-US"/>
        </w:rPr>
        <w:t xml:space="preserve"> Kolektívnymi (združenými) investíciami</w:t>
      </w:r>
      <w:r w:rsidRPr="008676F9">
        <w:rPr>
          <w:rFonts w:ascii="Calibri" w:eastAsia="Calibri" w:hAnsi="Calibri"/>
          <w:szCs w:val="22"/>
          <w:lang w:eastAsia="en-US"/>
        </w:rPr>
        <w:t xml:space="preserve"> sa rozumejú investície, ktoré sa realizujú viac ako jedným poľnohospodárom a z uvedeného dôvodu prinášajú synergický efekt. Prijímateľom finančnej podpory môže byť buď vzniknutý právny subjekt (skupina výrobcov, organizácia výrobcov, medziodvetvová organizácia a pod.), alebo jeden subjekt, ktorý na základe zmluvy spolupracuje s iným subjektom/subjektmi a všetci sú beneficientmi a spoluriešitelia projektu. Kolektívne (združené) investície nepriamo prispievajú k cieľom opatrenia Spolupráca.</w:t>
      </w:r>
    </w:p>
    <w:p w:rsidR="008676F9" w:rsidRPr="008676F9" w:rsidRDefault="008676F9" w:rsidP="008676F9">
      <w:pPr>
        <w:spacing w:after="120"/>
        <w:rPr>
          <w:rFonts w:ascii="Calibri" w:eastAsia="Calibri" w:hAnsi="Calibri"/>
          <w:szCs w:val="22"/>
          <w:lang w:eastAsia="en-US"/>
        </w:rPr>
      </w:pPr>
      <w:r w:rsidRPr="008676F9">
        <w:rPr>
          <w:rFonts w:ascii="Calibri" w:eastAsia="Calibri" w:hAnsi="Calibri"/>
          <w:i/>
          <w:szCs w:val="22"/>
          <w:lang w:eastAsia="en-US"/>
        </w:rPr>
        <w:t>Integrovanými projektmi</w:t>
      </w:r>
      <w:r w:rsidRPr="008676F9">
        <w:rPr>
          <w:rFonts w:ascii="Calibri" w:eastAsia="Calibri" w:hAnsi="Calibri"/>
          <w:szCs w:val="22"/>
          <w:lang w:eastAsia="en-US"/>
        </w:rPr>
        <w:t xml:space="preserve"> sa rozumejú projekty zahŕňajúce podporu v rámci viacerých opatrení..</w:t>
      </w:r>
    </w:p>
    <w:p w:rsidR="008676F9" w:rsidRPr="008676F9" w:rsidRDefault="008676F9" w:rsidP="008676F9">
      <w:pPr>
        <w:spacing w:after="120"/>
        <w:rPr>
          <w:rFonts w:ascii="Calibri" w:eastAsia="Calibri" w:hAnsi="Calibri"/>
          <w:szCs w:val="22"/>
          <w:lang w:eastAsia="en-US"/>
        </w:rPr>
      </w:pPr>
      <w:r w:rsidRPr="008676F9">
        <w:rPr>
          <w:rFonts w:ascii="Calibri" w:eastAsia="Calibri" w:hAnsi="Calibri"/>
          <w:i/>
          <w:szCs w:val="22"/>
          <w:lang w:eastAsia="en-US"/>
        </w:rPr>
        <w:t>Projekty prispievajúce k cieľom Európskeho inovačného partnerstva pre udržateľnosť a produktivitu v poľnohospodárstve</w:t>
      </w:r>
      <w:r w:rsidRPr="008676F9">
        <w:rPr>
          <w:rFonts w:ascii="Calibri" w:eastAsia="Calibri" w:hAnsi="Calibri"/>
          <w:b/>
          <w:i/>
          <w:szCs w:val="22"/>
          <w:lang w:eastAsia="en-US"/>
        </w:rPr>
        <w:t xml:space="preserve"> </w:t>
      </w:r>
      <w:r w:rsidRPr="008676F9">
        <w:rPr>
          <w:rFonts w:ascii="Calibri" w:eastAsia="Calibri" w:hAnsi="Calibri"/>
          <w:szCs w:val="22"/>
          <w:lang w:eastAsia="en-US"/>
        </w:rPr>
        <w:t>sú projekty realizované v rámci spolupráce v operačných skupín v zmysle opatrenia Spolupráca.</w:t>
      </w:r>
    </w:p>
    <w:p w:rsidR="00693323" w:rsidRDefault="00693323" w:rsidP="00693323">
      <w:pPr>
        <w:spacing w:after="120"/>
        <w:rPr>
          <w:rFonts w:ascii="Calibri" w:eastAsia="Calibri" w:hAnsi="Calibri" w:cs="Calibri"/>
          <w:szCs w:val="22"/>
          <w:lang w:eastAsia="en-US"/>
        </w:rPr>
      </w:pPr>
      <w:r>
        <w:rPr>
          <w:rFonts w:ascii="Calibri" w:eastAsia="Calibri" w:hAnsi="Calibri" w:cs="Calibri"/>
          <w:szCs w:val="22"/>
          <w:lang w:eastAsia="en-US"/>
        </w:rPr>
        <w:t>Pri hodnotení projektov bude prihliadané na minimalizovanie subjektívneho faktora</w:t>
      </w:r>
    </w:p>
    <w:p w:rsidR="008676F9" w:rsidRPr="008676F9" w:rsidRDefault="008676F9" w:rsidP="008676F9">
      <w:pPr>
        <w:autoSpaceDE w:val="0"/>
        <w:autoSpaceDN w:val="0"/>
        <w:adjustRightInd w:val="0"/>
        <w:spacing w:after="120"/>
        <w:rPr>
          <w:rFonts w:ascii="Calibri" w:eastAsia="Calibri" w:hAnsi="Calibri" w:cs="Calibri"/>
          <w:szCs w:val="22"/>
          <w:lang w:eastAsia="en-US"/>
        </w:rPr>
      </w:pPr>
      <w:r w:rsidRPr="008676F9">
        <w:rPr>
          <w:rFonts w:ascii="Calibri" w:eastAsia="Calibri" w:hAnsi="Calibri"/>
          <w:i/>
          <w:szCs w:val="22"/>
          <w:lang w:eastAsia="en-US"/>
        </w:rPr>
        <w:t>Mladý poľnohospodár</w:t>
      </w:r>
      <w:r w:rsidRPr="008676F9">
        <w:rPr>
          <w:rFonts w:ascii="Calibri" w:eastAsia="Calibri" w:hAnsi="Calibri"/>
          <w:b/>
          <w:i/>
          <w:szCs w:val="22"/>
          <w:lang w:eastAsia="en-US"/>
        </w:rPr>
        <w:t>:</w:t>
      </w:r>
      <w:r w:rsidRPr="008676F9">
        <w:rPr>
          <w:rFonts w:ascii="Calibri" w:eastAsia="Calibri" w:hAnsi="Calibri"/>
          <w:szCs w:val="22"/>
          <w:lang w:eastAsia="en-US"/>
        </w:rPr>
        <w:t xml:space="preserve"> s</w:t>
      </w:r>
      <w:r w:rsidRPr="008676F9">
        <w:rPr>
          <w:rFonts w:ascii="Calibri" w:eastAsia="Calibri" w:hAnsi="Calibri" w:cs="Calibri"/>
          <w:szCs w:val="22"/>
          <w:lang w:eastAsia="en-US"/>
        </w:rPr>
        <w:t>ubjekt, ktorý spĺňa definíciu prijímateľa podpory v podopatrení 6.1.</w:t>
      </w:r>
    </w:p>
    <w:p w:rsidR="008676F9" w:rsidRPr="008676F9" w:rsidRDefault="008676F9" w:rsidP="008676F9">
      <w:pPr>
        <w:autoSpaceDE w:val="0"/>
        <w:autoSpaceDN w:val="0"/>
        <w:adjustRightInd w:val="0"/>
        <w:spacing w:after="60"/>
        <w:rPr>
          <w:rFonts w:ascii="Calibri" w:eastAsia="Calibri" w:hAnsi="Calibri" w:cs="Calibri"/>
          <w:szCs w:val="22"/>
          <w:lang w:eastAsia="en-US"/>
        </w:rPr>
      </w:pPr>
      <w:r w:rsidRPr="008676F9">
        <w:rPr>
          <w:rFonts w:ascii="Calibri" w:eastAsia="Calibri" w:hAnsi="Calibri" w:cs="Calibri"/>
          <w:i/>
          <w:szCs w:val="22"/>
          <w:lang w:eastAsia="en-US"/>
        </w:rPr>
        <w:t>Malá farma</w:t>
      </w:r>
      <w:r w:rsidRPr="008676F9">
        <w:rPr>
          <w:rFonts w:ascii="Calibri" w:eastAsia="Calibri" w:hAnsi="Calibri" w:cs="Calibri"/>
          <w:szCs w:val="22"/>
          <w:lang w:eastAsia="en-US"/>
        </w:rPr>
        <w:t>: subjekt, ktorý spĺňa definíciu prijímateľa podpory v podopatrení 6.2.</w:t>
      </w:r>
    </w:p>
    <w:p w:rsidR="008676F9" w:rsidRDefault="008676F9" w:rsidP="008676F9">
      <w:pPr>
        <w:rPr>
          <w:rFonts w:ascii="Calibri" w:eastAsia="Calibri" w:hAnsi="Calibri" w:cs="Calibri"/>
          <w:b/>
          <w:bCs/>
          <w:szCs w:val="22"/>
          <w:lang w:eastAsia="en-US"/>
        </w:rPr>
      </w:pPr>
    </w:p>
    <w:p w:rsidR="00BE36D5" w:rsidRPr="008676F9" w:rsidRDefault="00BE36D5" w:rsidP="008676F9">
      <w:pPr>
        <w:rPr>
          <w:rFonts w:ascii="Calibri" w:eastAsia="Calibri" w:hAnsi="Calibri" w:cs="Calibri"/>
          <w:b/>
          <w:bCs/>
          <w:szCs w:val="22"/>
          <w:lang w:eastAsia="en-US"/>
        </w:rPr>
      </w:pPr>
    </w:p>
    <w:p w:rsidR="008676F9" w:rsidRPr="00E53F6F" w:rsidRDefault="008676F9" w:rsidP="00E53F6F">
      <w:pPr>
        <w:shd w:val="clear" w:color="auto" w:fill="D6E3BC"/>
        <w:ind w:left="1701" w:hanging="1701"/>
        <w:jc w:val="left"/>
        <w:rPr>
          <w:rFonts w:ascii="Calibri" w:eastAsia="Calibri" w:hAnsi="Calibri" w:cs="Calibri"/>
          <w:bCs/>
          <w:sz w:val="24"/>
          <w:lang w:eastAsia="en-US"/>
        </w:rPr>
      </w:pPr>
      <w:r w:rsidRPr="008676F9">
        <w:rPr>
          <w:rFonts w:ascii="Calibri" w:eastAsia="Calibri" w:hAnsi="Calibri" w:cs="Calibri"/>
          <w:bCs/>
          <w:lang w:eastAsia="en-US"/>
        </w:rPr>
        <w:t xml:space="preserve">Podopatrenie: </w:t>
      </w:r>
      <w:r w:rsidRPr="008676F9">
        <w:rPr>
          <w:rFonts w:ascii="Calibri" w:eastAsia="Calibri" w:hAnsi="Calibri" w:cs="Calibri"/>
          <w:b/>
          <w:bCs/>
          <w:i/>
          <w:lang w:eastAsia="en-US"/>
        </w:rPr>
        <w:t xml:space="preserve">4.2 </w:t>
      </w:r>
      <w:r w:rsidRPr="00E53F6F">
        <w:rPr>
          <w:rFonts w:ascii="Calibri" w:eastAsia="Calibri" w:hAnsi="Calibri" w:cs="Calibri"/>
          <w:b/>
          <w:bCs/>
          <w:i/>
          <w:sz w:val="24"/>
          <w:lang w:eastAsia="en-US"/>
        </w:rPr>
        <w:t>Podpora investícií do spracovania/uvádzania na trh a/alebo vývoja poľnohospodárskych produktov</w:t>
      </w:r>
    </w:p>
    <w:p w:rsidR="008676F9" w:rsidRPr="008676F9" w:rsidRDefault="008676F9" w:rsidP="008676F9">
      <w:pPr>
        <w:shd w:val="clear" w:color="auto" w:fill="FBD4B4"/>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Názov operácie:</w:t>
      </w:r>
    </w:p>
    <w:p w:rsidR="008676F9" w:rsidRPr="008676F9" w:rsidRDefault="008676F9" w:rsidP="008676F9">
      <w:pPr>
        <w:shd w:val="clear" w:color="auto" w:fill="FBD4B4"/>
        <w:rPr>
          <w:rFonts w:ascii="Calibri" w:eastAsia="Calibri" w:hAnsi="Calibri" w:cs="Calibri"/>
          <w:bCs/>
          <w:i/>
          <w:szCs w:val="22"/>
          <w:lang w:eastAsia="en-US"/>
        </w:rPr>
      </w:pPr>
      <w:r w:rsidRPr="008676F9">
        <w:rPr>
          <w:rFonts w:ascii="Calibri" w:eastAsia="Calibri" w:hAnsi="Calibri" w:cs="Calibri"/>
          <w:i/>
          <w:szCs w:val="22"/>
          <w:lang w:eastAsia="en-US"/>
        </w:rPr>
        <w:t>Investície, ktoré sa týkajú spracovania, uvádzania na trh a/alebo vý</w:t>
      </w:r>
      <w:r w:rsidR="00693323">
        <w:rPr>
          <w:rFonts w:ascii="Calibri" w:eastAsia="Calibri" w:hAnsi="Calibri" w:cs="Calibri"/>
          <w:i/>
          <w:szCs w:val="22"/>
          <w:lang w:eastAsia="en-US"/>
        </w:rPr>
        <w:t>voja poľnohospodárskych výrobkov</w:t>
      </w:r>
      <w:r w:rsidRPr="008676F9">
        <w:rPr>
          <w:rFonts w:ascii="Calibri" w:eastAsia="Calibri" w:hAnsi="Calibri" w:cs="Calibri"/>
          <w:i/>
          <w:szCs w:val="22"/>
          <w:lang w:eastAsia="en-US"/>
        </w:rPr>
        <w:t xml:space="preserve"> alebo potravinárskych výrobkov, pričom výstupom výrobného procesu môže byť výrobok, na ktorý sa vzťahuje príloha I ZFEÚ, aj výrobok, na ktorý sa príloha I ZFEÚ nevzťahuje.</w:t>
      </w:r>
    </w:p>
    <w:p w:rsidR="008676F9" w:rsidRPr="008676F9" w:rsidRDefault="008676F9" w:rsidP="008676F9">
      <w:pPr>
        <w:rPr>
          <w:rFonts w:ascii="Calibri" w:eastAsia="Calibri" w:hAnsi="Calibri" w:cs="Calibri"/>
          <w:bCs/>
          <w:szCs w:val="22"/>
          <w:u w:val="single"/>
          <w:lang w:eastAsia="en-US"/>
        </w:rPr>
      </w:pPr>
    </w:p>
    <w:p w:rsidR="008676F9" w:rsidRPr="008676F9" w:rsidRDefault="008676F9" w:rsidP="008676F9">
      <w:pPr>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Opis operácie:</w:t>
      </w:r>
    </w:p>
    <w:p w:rsidR="008676F9" w:rsidRPr="008676F9" w:rsidRDefault="008676F9" w:rsidP="00BE36D5">
      <w:pPr>
        <w:spacing w:after="120"/>
        <w:rPr>
          <w:rFonts w:ascii="Calibri" w:eastAsia="Calibri" w:hAnsi="Calibri" w:cs="Calibri"/>
          <w:bCs/>
          <w:szCs w:val="22"/>
          <w:lang w:eastAsia="en-US"/>
        </w:rPr>
      </w:pPr>
      <w:r w:rsidRPr="008676F9">
        <w:rPr>
          <w:rFonts w:ascii="Calibri" w:eastAsia="Calibri" w:hAnsi="Calibri" w:cs="Calibri"/>
          <w:bCs/>
          <w:szCs w:val="22"/>
          <w:lang w:eastAsia="en-US"/>
        </w:rPr>
        <w:t xml:space="preserve">Oprávnené sú investície do hmotného majetku, ktoré sa týkajú spracovania, skladovania, uvádzania na trh a/alebo vývoja poľnohospodárskych a potravinárskych výrobkov, na ktoré sa vzťahuje príloha I ZFEÚ alebo výroby, spracovania, skladovania, uvádzania na trh a/alebo vývoja potravinárskych výrobkov, pričom výstupom výrobného procesu môže byť aj výrobok, na ktorý sa príloha I ZFEÚ nevzťahuje. </w:t>
      </w:r>
    </w:p>
    <w:p w:rsidR="008676F9" w:rsidRPr="008676F9" w:rsidRDefault="008676F9" w:rsidP="00AA6566">
      <w:pPr>
        <w:rPr>
          <w:rFonts w:ascii="Calibri" w:eastAsia="Calibri" w:hAnsi="Calibri" w:cs="Calibri"/>
          <w:bCs/>
          <w:szCs w:val="22"/>
          <w:lang w:eastAsia="en-US"/>
        </w:rPr>
      </w:pPr>
      <w:r w:rsidRPr="008676F9">
        <w:rPr>
          <w:rFonts w:ascii="Calibri" w:eastAsia="Calibri" w:hAnsi="Calibri" w:cs="Calibri"/>
          <w:bCs/>
          <w:szCs w:val="22"/>
          <w:lang w:eastAsia="en-US"/>
        </w:rPr>
        <w:t>Operácia prispieva prioritne k fokusovej oblasti 3A.</w:t>
      </w:r>
    </w:p>
    <w:p w:rsidR="008676F9" w:rsidRPr="008676F9" w:rsidRDefault="008676F9" w:rsidP="00AA6566">
      <w:pPr>
        <w:rPr>
          <w:rFonts w:ascii="Calibri" w:eastAsia="Calibri" w:hAnsi="Calibri" w:cs="Calibri"/>
          <w:bCs/>
          <w:szCs w:val="22"/>
          <w:lang w:eastAsia="en-US"/>
        </w:rPr>
      </w:pPr>
      <w:r w:rsidRPr="008676F9">
        <w:rPr>
          <w:rFonts w:ascii="Calibri" w:eastAsia="Calibri" w:hAnsi="Calibri" w:cs="Calibri"/>
          <w:bCs/>
          <w:szCs w:val="22"/>
          <w:lang w:eastAsia="en-US"/>
        </w:rPr>
        <w:t>Operácia prispieva sekundárne k fokusovej oblasti 5B, 6A.</w:t>
      </w:r>
    </w:p>
    <w:p w:rsidR="008676F9" w:rsidRPr="008676F9" w:rsidRDefault="008676F9" w:rsidP="00AA6566">
      <w:pPr>
        <w:rPr>
          <w:rFonts w:ascii="Calibri" w:eastAsia="Calibri" w:hAnsi="Calibri" w:cs="Calibri"/>
          <w:bCs/>
          <w:szCs w:val="22"/>
          <w:lang w:eastAsia="en-US"/>
        </w:rPr>
      </w:pPr>
    </w:p>
    <w:p w:rsidR="008676F9" w:rsidRPr="008676F9" w:rsidRDefault="008676F9" w:rsidP="00AA6566">
      <w:pPr>
        <w:autoSpaceDE w:val="0"/>
        <w:autoSpaceDN w:val="0"/>
        <w:adjustRightInd w:val="0"/>
        <w:rPr>
          <w:rFonts w:ascii="Calibri" w:eastAsia="Calibri" w:hAnsi="Calibri" w:cs="Calibri"/>
          <w:szCs w:val="22"/>
          <w:lang w:eastAsia="en-US"/>
        </w:rPr>
      </w:pPr>
      <w:r w:rsidRPr="008676F9">
        <w:rPr>
          <w:rFonts w:ascii="Calibri" w:eastAsia="Calibri" w:hAnsi="Calibri" w:cs="Calibri"/>
          <w:szCs w:val="22"/>
          <w:lang w:eastAsia="en-US"/>
        </w:rPr>
        <w:t>Rozsah činností:</w:t>
      </w:r>
    </w:p>
    <w:p w:rsidR="008676F9" w:rsidRPr="008676F9" w:rsidRDefault="008676F9" w:rsidP="00955DA4">
      <w:pPr>
        <w:numPr>
          <w:ilvl w:val="0"/>
          <w:numId w:val="108"/>
        </w:numPr>
        <w:autoSpaceDE w:val="0"/>
        <w:autoSpaceDN w:val="0"/>
        <w:adjustRightInd w:val="0"/>
        <w:ind w:left="714" w:hanging="357"/>
        <w:rPr>
          <w:rFonts w:ascii="Calibri" w:hAnsi="Calibri" w:cs="Calibri"/>
          <w:szCs w:val="22"/>
          <w:lang w:eastAsia="en-US"/>
        </w:rPr>
      </w:pPr>
      <w:r w:rsidRPr="008676F9">
        <w:rPr>
          <w:rFonts w:ascii="Calibri" w:hAnsi="Calibri" w:cs="Calibri"/>
          <w:szCs w:val="22"/>
          <w:lang w:eastAsia="en-US"/>
        </w:rPr>
        <w:t xml:space="preserve">výstavba vrátane prípravy staveniska, rekonštrukcia a modernizácia objektov súvisiacich so spracovaním, skladovaním, uvádzaním na trh a/alebo vývojom poľnohospodárskych a potravinárskych výrobkov, vrátane kancelárií (sklady obalových materiálov, čistiacich a dezinfekčných prostriedkov a pomôcok); </w:t>
      </w:r>
    </w:p>
    <w:p w:rsidR="008676F9" w:rsidRPr="008676F9" w:rsidRDefault="008676F9" w:rsidP="00955DA4">
      <w:pPr>
        <w:numPr>
          <w:ilvl w:val="0"/>
          <w:numId w:val="108"/>
        </w:numPr>
        <w:ind w:left="714" w:hanging="357"/>
        <w:rPr>
          <w:rFonts w:ascii="Calibri" w:hAnsi="Calibri" w:cs="Calibri"/>
          <w:szCs w:val="22"/>
          <w:lang w:eastAsia="en-US"/>
        </w:rPr>
      </w:pPr>
      <w:r w:rsidRPr="008676F9">
        <w:rPr>
          <w:rFonts w:ascii="Calibri" w:hAnsi="Calibri" w:cs="Calibri"/>
          <w:szCs w:val="22"/>
          <w:lang w:eastAsia="en-US"/>
        </w:rPr>
        <w:t>obstaranie, rekonštrukcia a modernizácia zariadení, strojov, prístrojov a technológií, spracovateľských a výrobných kapacít, vrátane laboratórneho vybavenia a detektorov kovov v rámci procesu spracovania, skladovania, uvádzania na trh</w:t>
      </w:r>
      <w:r w:rsidRPr="008676F9">
        <w:rPr>
          <w:rFonts w:ascii="Calibri" w:hAnsi="Calibri"/>
          <w:szCs w:val="22"/>
          <w:lang w:eastAsia="en-US"/>
        </w:rPr>
        <w:t xml:space="preserve"> produktov </w:t>
      </w:r>
      <w:r w:rsidRPr="008676F9">
        <w:rPr>
          <w:rFonts w:ascii="Calibri" w:hAnsi="Calibri" w:cs="Calibri"/>
          <w:szCs w:val="22"/>
          <w:lang w:eastAsia="en-US"/>
        </w:rPr>
        <w:t>a /alebo vývoja poľnohospodárskych a potravinárskych výrobkov, vrátane p</w:t>
      </w:r>
      <w:r w:rsidR="00FE2A2D">
        <w:rPr>
          <w:rFonts w:ascii="Calibri" w:hAnsi="Calibri" w:cs="Calibri"/>
          <w:szCs w:val="22"/>
          <w:lang w:eastAsia="en-US"/>
        </w:rPr>
        <w:t>roduktov</w:t>
      </w:r>
      <w:r w:rsidRPr="008676F9">
        <w:rPr>
          <w:rFonts w:ascii="Calibri" w:hAnsi="Calibri" w:cs="Calibri"/>
          <w:szCs w:val="22"/>
          <w:lang w:eastAsia="en-US"/>
        </w:rPr>
        <w:t xml:space="preserve"> s chráneným označením pôvodu, chráneným zemepisným označením a zaručených tradičných špecialít podľa osobitného predpisu (nariadenie</w:t>
      </w:r>
      <w:r w:rsidRPr="008676F9">
        <w:rPr>
          <w:rFonts w:ascii="Calibri" w:hAnsi="Calibri" w:cs="Calibri"/>
          <w:b/>
          <w:szCs w:val="22"/>
          <w:lang w:eastAsia="en-US"/>
        </w:rPr>
        <w:t xml:space="preserve"> </w:t>
      </w:r>
      <w:r w:rsidRPr="008676F9">
        <w:rPr>
          <w:rFonts w:ascii="Calibri" w:eastAsia="Calibri" w:hAnsi="Calibri"/>
          <w:bCs/>
          <w:szCs w:val="22"/>
          <w:lang w:eastAsia="en-US"/>
        </w:rPr>
        <w:t>E</w:t>
      </w:r>
      <w:r w:rsidR="00DE7344">
        <w:rPr>
          <w:rFonts w:ascii="Calibri" w:eastAsia="Calibri" w:hAnsi="Calibri"/>
          <w:bCs/>
          <w:szCs w:val="22"/>
          <w:lang w:eastAsia="en-US"/>
        </w:rPr>
        <w:t>Ú</w:t>
      </w:r>
      <w:r w:rsidRPr="008676F9">
        <w:rPr>
          <w:rFonts w:ascii="Calibri" w:eastAsia="Calibri" w:hAnsi="Calibri"/>
          <w:bCs/>
          <w:szCs w:val="22"/>
          <w:lang w:eastAsia="en-US"/>
        </w:rPr>
        <w:t xml:space="preserve"> č. 1151/2012 z </w:t>
      </w:r>
      <w:r w:rsidR="00DE7344">
        <w:rPr>
          <w:rFonts w:ascii="Calibri" w:eastAsia="Calibri" w:hAnsi="Calibri"/>
          <w:bCs/>
          <w:szCs w:val="22"/>
          <w:lang w:eastAsia="en-US"/>
        </w:rPr>
        <w:t> , nariadenie (EÚ) č. 1308/2013</w:t>
      </w:r>
      <w:r w:rsidRPr="008676F9">
        <w:rPr>
          <w:rFonts w:ascii="Calibri" w:hAnsi="Calibri" w:cs="Calibri"/>
          <w:szCs w:val="22"/>
          <w:lang w:eastAsia="en-US"/>
        </w:rPr>
        <w:t>);</w:t>
      </w:r>
    </w:p>
    <w:p w:rsidR="008676F9" w:rsidRPr="008676F9" w:rsidRDefault="008676F9" w:rsidP="00955DA4">
      <w:pPr>
        <w:numPr>
          <w:ilvl w:val="0"/>
          <w:numId w:val="108"/>
        </w:numPr>
        <w:ind w:left="714" w:hanging="357"/>
        <w:rPr>
          <w:rFonts w:ascii="Calibri" w:hAnsi="Calibri"/>
          <w:szCs w:val="22"/>
          <w:lang w:eastAsia="en-US"/>
        </w:rPr>
      </w:pPr>
      <w:r w:rsidRPr="008676F9">
        <w:rPr>
          <w:rFonts w:ascii="Calibri" w:hAnsi="Calibri"/>
          <w:szCs w:val="22"/>
          <w:lang w:eastAsia="en-US"/>
        </w:rPr>
        <w:t>stavebné alebo technologické investície na vytvorenie alebo modernizáciu miestnej zbernej siete - príjem, skladovanie, úprava, triedenie a balenie;</w:t>
      </w:r>
    </w:p>
    <w:p w:rsidR="008676F9" w:rsidRPr="008676F9" w:rsidRDefault="008676F9" w:rsidP="00955DA4">
      <w:pPr>
        <w:numPr>
          <w:ilvl w:val="0"/>
          <w:numId w:val="108"/>
        </w:numPr>
        <w:ind w:left="714" w:hanging="357"/>
        <w:rPr>
          <w:rFonts w:ascii="Calibri" w:hAnsi="Calibri"/>
          <w:szCs w:val="22"/>
          <w:lang w:eastAsia="en-US"/>
        </w:rPr>
      </w:pPr>
      <w:r w:rsidRPr="008676F9">
        <w:rPr>
          <w:rFonts w:ascii="Calibri" w:hAnsi="Calibri"/>
          <w:szCs w:val="22"/>
          <w:lang w:eastAsia="en-US"/>
        </w:rPr>
        <w:t>nákup chladiarenských, mraziarenských alebo termoizolačných nákladných, osobných alebo špeciálnych automobilov, prívesov a</w:t>
      </w:r>
      <w:r w:rsidR="00693323">
        <w:rPr>
          <w:rFonts w:ascii="Calibri" w:hAnsi="Calibri"/>
          <w:szCs w:val="22"/>
          <w:lang w:eastAsia="en-US"/>
        </w:rPr>
        <w:t> </w:t>
      </w:r>
      <w:r w:rsidRPr="008676F9">
        <w:rPr>
          <w:rFonts w:ascii="Calibri" w:hAnsi="Calibri"/>
          <w:szCs w:val="22"/>
          <w:lang w:eastAsia="en-US"/>
        </w:rPr>
        <w:t>návesov</w:t>
      </w:r>
      <w:r w:rsidR="00693323">
        <w:rPr>
          <w:rFonts w:ascii="Calibri" w:hAnsi="Calibri"/>
          <w:szCs w:val="22"/>
          <w:lang w:eastAsia="en-US"/>
        </w:rPr>
        <w:t>, nákladných automobilov a prívesov (návesov) špecializovaných na prepravu zvierat</w:t>
      </w:r>
      <w:r w:rsidRPr="008676F9">
        <w:rPr>
          <w:rFonts w:ascii="Calibri" w:hAnsi="Calibri"/>
          <w:szCs w:val="22"/>
          <w:lang w:eastAsia="en-US"/>
        </w:rPr>
        <w:t xml:space="preserve"> (aj nad 3,5 t), manipulačných vozíkov v súvislosti so spracovaním, resp. uvádzaním na trh</w:t>
      </w:r>
    </w:p>
    <w:p w:rsidR="008676F9" w:rsidRPr="008676F9" w:rsidRDefault="008676F9" w:rsidP="00955DA4">
      <w:pPr>
        <w:numPr>
          <w:ilvl w:val="0"/>
          <w:numId w:val="108"/>
        </w:numPr>
        <w:ind w:left="714" w:hanging="357"/>
        <w:rPr>
          <w:rFonts w:ascii="Calibri" w:hAnsi="Calibri"/>
          <w:szCs w:val="22"/>
          <w:lang w:eastAsia="en-US"/>
        </w:rPr>
      </w:pPr>
      <w:r w:rsidRPr="008676F9">
        <w:rPr>
          <w:rFonts w:ascii="Calibri" w:hAnsi="Calibri"/>
          <w:szCs w:val="22"/>
          <w:lang w:eastAsia="en-US"/>
        </w:rPr>
        <w:t>zavedenie technológií a postupov s cieľom vytvoriť nové alebo kvalitnejšie výrobky a otvorenie nových trhov, najmä v súvislosti s krátkym dodávateľským reťazcom vrátane podpory uvádzania výrobkov na trh alebo vypracovania programov správnej výrobnej praxe;</w:t>
      </w:r>
    </w:p>
    <w:p w:rsidR="008676F9" w:rsidRPr="008676F9" w:rsidRDefault="008676F9" w:rsidP="00955DA4">
      <w:pPr>
        <w:numPr>
          <w:ilvl w:val="0"/>
          <w:numId w:val="108"/>
        </w:numPr>
        <w:ind w:left="714" w:hanging="357"/>
        <w:rPr>
          <w:rFonts w:ascii="Calibri" w:hAnsi="Calibri" w:cs="Calibri"/>
          <w:szCs w:val="22"/>
          <w:lang w:eastAsia="en-US"/>
        </w:rPr>
      </w:pPr>
      <w:r w:rsidRPr="008676F9">
        <w:rPr>
          <w:rFonts w:ascii="Calibri" w:hAnsi="Calibri" w:cs="Calibri"/>
          <w:szCs w:val="22"/>
          <w:lang w:eastAsia="en-US"/>
        </w:rPr>
        <w:t xml:space="preserve">stavebné alebo technologické investície podporujúce lepšie využitie alebo elimináciu vedľajších produktov alebo odpadu a čistiarne odpadových vôd; </w:t>
      </w:r>
    </w:p>
    <w:p w:rsidR="008676F9" w:rsidRPr="008676F9" w:rsidRDefault="008676F9" w:rsidP="00955DA4">
      <w:pPr>
        <w:numPr>
          <w:ilvl w:val="0"/>
          <w:numId w:val="108"/>
        </w:numPr>
        <w:ind w:left="714" w:hanging="357"/>
        <w:rPr>
          <w:rFonts w:ascii="Calibri" w:hAnsi="Calibri"/>
          <w:szCs w:val="22"/>
          <w:lang w:eastAsia="en-US"/>
        </w:rPr>
      </w:pPr>
      <w:r w:rsidRPr="008676F9">
        <w:rPr>
          <w:rFonts w:ascii="Calibri" w:hAnsi="Calibri"/>
          <w:szCs w:val="22"/>
          <w:lang w:eastAsia="en-US"/>
        </w:rPr>
        <w:t>investície na vybudovanie a zariadenie vlastných podnikových predajní;</w:t>
      </w:r>
    </w:p>
    <w:p w:rsidR="008676F9" w:rsidRPr="008676F9" w:rsidRDefault="008676F9" w:rsidP="00AA6566">
      <w:pPr>
        <w:ind w:left="714"/>
        <w:rPr>
          <w:rFonts w:ascii="Calibri" w:hAnsi="Calibri"/>
          <w:i/>
          <w:sz w:val="20"/>
          <w:szCs w:val="20"/>
          <w:lang w:eastAsia="en-US"/>
        </w:rPr>
      </w:pPr>
      <w:r w:rsidRPr="008676F9">
        <w:rPr>
          <w:rFonts w:ascii="Calibri" w:hAnsi="Calibri"/>
          <w:i/>
          <w:sz w:val="20"/>
          <w:szCs w:val="20"/>
          <w:lang w:eastAsia="en-US"/>
        </w:rPr>
        <w:t xml:space="preserve">Pozn.: V prípade sektora „hrozno a víno“ sú neoprávnenými investíciami investície do nákupu vnútorného vybavenia pre predajné a prezentačné priestory v rámci výrobného </w:t>
      </w:r>
      <w:r w:rsidRPr="008676F9">
        <w:rPr>
          <w:rFonts w:ascii="Calibri" w:hAnsi="Calibri" w:cs="Calibri"/>
          <w:i/>
          <w:sz w:val="20"/>
          <w:szCs w:val="20"/>
          <w:lang w:eastAsia="en-US"/>
        </w:rPr>
        <w:t>podniku</w:t>
      </w:r>
      <w:r w:rsidRPr="008676F9">
        <w:rPr>
          <w:rFonts w:ascii="Calibri" w:hAnsi="Calibri" w:cs="Calibri"/>
          <w:i/>
          <w:sz w:val="20"/>
          <w:szCs w:val="20"/>
          <w:vertAlign w:val="superscript"/>
          <w:lang w:eastAsia="en-US"/>
        </w:rPr>
        <w:footnoteReference w:id="13"/>
      </w:r>
      <w:r w:rsidRPr="008676F9">
        <w:rPr>
          <w:rFonts w:ascii="Calibri" w:hAnsi="Calibri"/>
          <w:i/>
          <w:sz w:val="20"/>
          <w:szCs w:val="20"/>
          <w:lang w:eastAsia="en-US"/>
        </w:rPr>
        <w:t>, pretože tieto investície sú oprávnenými na podporu z Národného podporného programu v rámci SOT s vínom.</w:t>
      </w:r>
    </w:p>
    <w:p w:rsidR="008676F9" w:rsidRPr="008676F9" w:rsidRDefault="008676F9" w:rsidP="00955DA4">
      <w:pPr>
        <w:numPr>
          <w:ilvl w:val="0"/>
          <w:numId w:val="108"/>
        </w:numPr>
        <w:ind w:left="714" w:hanging="357"/>
        <w:rPr>
          <w:rFonts w:ascii="Calibri" w:hAnsi="Calibri"/>
          <w:szCs w:val="22"/>
          <w:lang w:eastAsia="en-US"/>
        </w:rPr>
      </w:pPr>
      <w:r w:rsidRPr="008676F9">
        <w:rPr>
          <w:rFonts w:ascii="Calibri" w:hAnsi="Calibri"/>
          <w:szCs w:val="22"/>
          <w:lang w:eastAsia="en-US"/>
        </w:rPr>
        <w:t>investície do zlepšenia pracovného prostredia  pre zamestnancov (hygienické zariadenia, jedálne, odpočivárne, klimatizácia);</w:t>
      </w:r>
    </w:p>
    <w:p w:rsidR="008676F9" w:rsidRPr="008676F9" w:rsidRDefault="008676F9" w:rsidP="00955DA4">
      <w:pPr>
        <w:numPr>
          <w:ilvl w:val="0"/>
          <w:numId w:val="108"/>
        </w:numPr>
        <w:ind w:left="714" w:hanging="357"/>
        <w:rPr>
          <w:rFonts w:ascii="Calibri" w:hAnsi="Calibri" w:cs="Calibri"/>
          <w:szCs w:val="22"/>
          <w:lang w:eastAsia="en-US"/>
        </w:rPr>
      </w:pPr>
      <w:r w:rsidRPr="008676F9">
        <w:rPr>
          <w:rFonts w:ascii="Calibri" w:hAnsi="Calibri" w:cs="Calibri"/>
          <w:szCs w:val="22"/>
          <w:lang w:eastAsia="en-US"/>
        </w:rPr>
        <w:t>obstaranie výpočtovej techniky (hardvér), programového (softvér) a iného elektronického vybavenia (tlačiarne, skenery a pod.);</w:t>
      </w:r>
    </w:p>
    <w:p w:rsidR="008676F9" w:rsidRPr="008676F9" w:rsidRDefault="008676F9" w:rsidP="00955DA4">
      <w:pPr>
        <w:numPr>
          <w:ilvl w:val="0"/>
          <w:numId w:val="108"/>
        </w:numPr>
        <w:ind w:left="714" w:hanging="357"/>
        <w:rPr>
          <w:rFonts w:ascii="Calibri" w:hAnsi="Calibri" w:cs="Calibri"/>
          <w:szCs w:val="22"/>
          <w:lang w:eastAsia="en-US"/>
        </w:rPr>
      </w:pPr>
      <w:r w:rsidRPr="008676F9">
        <w:rPr>
          <w:rFonts w:ascii="Calibri" w:hAnsi="Calibri" w:cs="Calibri"/>
          <w:szCs w:val="22"/>
          <w:lang w:eastAsia="en-US"/>
        </w:rPr>
        <w:t xml:space="preserve">zriadenie pripojenia k internetu k zefektívneniu činností zvyšujúcich pridanú hodnotu a zlepšujúcich predaj produkcie a zaistenia informatizácie; </w:t>
      </w:r>
    </w:p>
    <w:p w:rsidR="000E5C15" w:rsidRDefault="000E5C15" w:rsidP="00AA6566">
      <w:pPr>
        <w:rPr>
          <w:rFonts w:ascii="Calibri" w:eastAsia="Calibri" w:hAnsi="Calibri" w:cs="Calibri"/>
          <w:bCs/>
          <w:szCs w:val="22"/>
          <w:u w:val="single"/>
          <w:lang w:eastAsia="en-US"/>
        </w:rPr>
      </w:pPr>
    </w:p>
    <w:p w:rsidR="008676F9" w:rsidRPr="008676F9" w:rsidRDefault="008676F9" w:rsidP="00AA6566">
      <w:pPr>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Typ podpory:</w:t>
      </w:r>
    </w:p>
    <w:p w:rsidR="008676F9" w:rsidRPr="008676F9" w:rsidRDefault="008676F9" w:rsidP="00AA6566">
      <w:pPr>
        <w:rPr>
          <w:rFonts w:ascii="Calibri" w:eastAsia="Calibri" w:hAnsi="Calibri" w:cs="Calibri"/>
          <w:bCs/>
          <w:szCs w:val="22"/>
          <w:lang w:eastAsia="en-US"/>
        </w:rPr>
      </w:pPr>
      <w:r w:rsidRPr="008676F9">
        <w:rPr>
          <w:rFonts w:ascii="Calibri" w:eastAsia="Calibri" w:hAnsi="Calibri" w:cs="Calibri"/>
          <w:bCs/>
          <w:szCs w:val="22"/>
          <w:lang w:eastAsia="en-US"/>
        </w:rPr>
        <w:t>Zisková, investičná, nenávratný finančný príspevok</w:t>
      </w:r>
    </w:p>
    <w:p w:rsidR="008676F9" w:rsidRPr="008676F9" w:rsidRDefault="008676F9" w:rsidP="00AA6566">
      <w:pPr>
        <w:rPr>
          <w:rFonts w:ascii="Calibri" w:eastAsia="Calibri" w:hAnsi="Calibri" w:cs="Calibri"/>
          <w:bCs/>
          <w:szCs w:val="22"/>
          <w:lang w:eastAsia="en-US"/>
        </w:rPr>
      </w:pPr>
    </w:p>
    <w:p w:rsidR="008676F9" w:rsidRPr="008676F9" w:rsidRDefault="008676F9" w:rsidP="00AA6566">
      <w:pPr>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Súvislosť s inou legislatívou:</w:t>
      </w:r>
    </w:p>
    <w:p w:rsidR="008676F9" w:rsidRPr="008676F9" w:rsidRDefault="008676F9" w:rsidP="00955DA4">
      <w:pPr>
        <w:numPr>
          <w:ilvl w:val="0"/>
          <w:numId w:val="206"/>
        </w:numPr>
        <w:ind w:left="284" w:hanging="284"/>
        <w:rPr>
          <w:rFonts w:ascii="Calibri" w:hAnsi="Calibri" w:cs="Calibri"/>
          <w:bCs/>
          <w:szCs w:val="22"/>
          <w:lang w:eastAsia="en-US"/>
        </w:rPr>
      </w:pPr>
      <w:r w:rsidRPr="008676F9">
        <w:rPr>
          <w:rFonts w:ascii="Calibri" w:hAnsi="Calibri" w:cs="Calibri"/>
          <w:bCs/>
          <w:szCs w:val="22"/>
          <w:lang w:eastAsia="en-US"/>
        </w:rPr>
        <w:t>zákon č. 152/1995 Z. z. o potravinách;</w:t>
      </w:r>
    </w:p>
    <w:p w:rsidR="008676F9" w:rsidRPr="008676F9" w:rsidRDefault="008676F9" w:rsidP="00955DA4">
      <w:pPr>
        <w:numPr>
          <w:ilvl w:val="0"/>
          <w:numId w:val="206"/>
        </w:numPr>
        <w:ind w:left="284" w:hanging="284"/>
        <w:rPr>
          <w:rFonts w:ascii="Calibri" w:hAnsi="Calibri" w:cs="Calibri"/>
          <w:bCs/>
          <w:szCs w:val="22"/>
          <w:lang w:eastAsia="en-US"/>
        </w:rPr>
      </w:pPr>
      <w:r w:rsidRPr="008676F9">
        <w:rPr>
          <w:rFonts w:ascii="Calibri" w:hAnsi="Calibri" w:cs="Calibri"/>
          <w:bCs/>
          <w:szCs w:val="22"/>
          <w:lang w:eastAsia="en-US"/>
        </w:rPr>
        <w:t>zákon č. 24/2006 Z. z. o posudzovaní vplyvov na životné prostredie;</w:t>
      </w:r>
    </w:p>
    <w:p w:rsidR="008676F9" w:rsidRDefault="008676F9" w:rsidP="00955DA4">
      <w:pPr>
        <w:numPr>
          <w:ilvl w:val="0"/>
          <w:numId w:val="206"/>
        </w:numPr>
        <w:ind w:left="284" w:hanging="284"/>
        <w:rPr>
          <w:rFonts w:ascii="Calibri" w:hAnsi="Calibri" w:cs="Calibri"/>
          <w:bCs/>
          <w:szCs w:val="22"/>
          <w:lang w:eastAsia="en-US"/>
        </w:rPr>
      </w:pPr>
      <w:r w:rsidRPr="008676F9">
        <w:rPr>
          <w:rFonts w:ascii="Calibri" w:hAnsi="Calibri" w:cs="Calibri"/>
          <w:bCs/>
          <w:szCs w:val="22"/>
          <w:lang w:eastAsia="en-US"/>
        </w:rPr>
        <w:t>zákon č. 50/1976 Zb. o územnom plánovaní a stavebnom poriadku;</w:t>
      </w:r>
    </w:p>
    <w:p w:rsidR="00FE2A2D" w:rsidRPr="00FE2A2D" w:rsidRDefault="00FE2A2D" w:rsidP="00955DA4">
      <w:pPr>
        <w:numPr>
          <w:ilvl w:val="0"/>
          <w:numId w:val="206"/>
        </w:numPr>
        <w:ind w:left="284" w:hanging="284"/>
        <w:rPr>
          <w:rFonts w:ascii="Calibri" w:hAnsi="Calibri" w:cs="Calibri"/>
          <w:bCs/>
          <w:szCs w:val="22"/>
          <w:lang w:eastAsia="en-US"/>
        </w:rPr>
      </w:pPr>
      <w:r w:rsidRPr="001C1FC0">
        <w:rPr>
          <w:rFonts w:ascii="Calibri" w:hAnsi="Calibri" w:cs="Calibri"/>
          <w:bCs/>
          <w:szCs w:val="22"/>
          <w:lang w:eastAsia="en-US"/>
        </w:rPr>
        <w:t>zákon č. 313/2009 Z. z. o vinohradníctve a vinárstve</w:t>
      </w:r>
      <w:r w:rsidRPr="008676F9">
        <w:rPr>
          <w:rFonts w:ascii="Calibri" w:hAnsi="Calibri" w:cs="Calibri"/>
          <w:bCs/>
          <w:szCs w:val="22"/>
          <w:lang w:eastAsia="en-US"/>
        </w:rPr>
        <w:t>;</w:t>
      </w:r>
    </w:p>
    <w:p w:rsidR="008676F9" w:rsidRPr="008676F9" w:rsidRDefault="008676F9" w:rsidP="00955DA4">
      <w:pPr>
        <w:numPr>
          <w:ilvl w:val="0"/>
          <w:numId w:val="206"/>
        </w:numPr>
        <w:ind w:left="284" w:hanging="284"/>
        <w:rPr>
          <w:rFonts w:ascii="Calibri" w:hAnsi="Calibri" w:cs="Calibri"/>
          <w:bCs/>
          <w:szCs w:val="22"/>
          <w:lang w:eastAsia="en-US"/>
        </w:rPr>
      </w:pPr>
      <w:r w:rsidRPr="008676F9">
        <w:rPr>
          <w:rFonts w:ascii="Calibri" w:hAnsi="Calibri" w:cs="Calibri"/>
          <w:bCs/>
          <w:szCs w:val="22"/>
          <w:lang w:eastAsia="en-US"/>
        </w:rPr>
        <w:t>nariadenie (EÚ) č. 1310/2013 ktorým sa stanovujú niektoré prechodné ustanovenia o podpore rozvoja vidieka z Európskeho poľnohospodárskeho fondu pre rozvoj vidieka;</w:t>
      </w:r>
    </w:p>
    <w:p w:rsidR="008676F9" w:rsidRPr="008676F9" w:rsidRDefault="008676F9" w:rsidP="00955DA4">
      <w:pPr>
        <w:numPr>
          <w:ilvl w:val="0"/>
          <w:numId w:val="206"/>
        </w:numPr>
        <w:ind w:left="284" w:hanging="284"/>
        <w:rPr>
          <w:rFonts w:ascii="Calibri" w:hAnsi="Calibri" w:cs="Calibri"/>
          <w:bCs/>
          <w:szCs w:val="22"/>
          <w:lang w:eastAsia="en-US"/>
        </w:rPr>
      </w:pPr>
      <w:r w:rsidRPr="008676F9">
        <w:rPr>
          <w:rFonts w:ascii="Calibri" w:hAnsi="Calibri" w:cs="Calibri"/>
          <w:bCs/>
          <w:szCs w:val="22"/>
          <w:lang w:eastAsia="en-US"/>
        </w:rPr>
        <w:t>Neprekrývanie podpory v oblasti spracovania produktov s podporou v rámci podopatrenia 6.4 je zabezpečené odlišnými produktmi vstupujúcimi do spracovania. V rámci podopatrenia 6.4 je vstupom do spracovania produkt mimo prílohy I ZFEÚ a v rámci podopatrenia 4.1 je vstupom do spracovania produkt v rámci prílohy I ZFEÚ.</w:t>
      </w:r>
    </w:p>
    <w:p w:rsidR="00693323" w:rsidRPr="008676F9" w:rsidRDefault="00693323" w:rsidP="00955DA4">
      <w:pPr>
        <w:numPr>
          <w:ilvl w:val="0"/>
          <w:numId w:val="206"/>
        </w:numPr>
        <w:ind w:left="284" w:hanging="284"/>
        <w:rPr>
          <w:rFonts w:ascii="Calibri" w:hAnsi="Calibri" w:cs="Calibri"/>
          <w:bCs/>
          <w:szCs w:val="22"/>
          <w:lang w:eastAsia="en-US"/>
        </w:rPr>
      </w:pPr>
      <w:r w:rsidRPr="008676F9">
        <w:rPr>
          <w:rFonts w:ascii="Calibri" w:hAnsi="Calibri" w:cs="Calibri"/>
          <w:bCs/>
          <w:szCs w:val="22"/>
          <w:lang w:eastAsia="en-US"/>
        </w:rPr>
        <w:t>Neprekrývanie podpory z Operačného programu Výskum a inovácie je zabezpečené rozdieln</w:t>
      </w:r>
      <w:r w:rsidR="00EC29F5">
        <w:rPr>
          <w:rFonts w:ascii="Calibri" w:hAnsi="Calibri" w:cs="Calibri"/>
          <w:bCs/>
          <w:szCs w:val="22"/>
          <w:lang w:eastAsia="en-US"/>
        </w:rPr>
        <w:t>ou veľkosťou projektu</w:t>
      </w:r>
      <w:r w:rsidR="00871C41">
        <w:rPr>
          <w:rFonts w:ascii="Calibri" w:hAnsi="Calibri" w:cs="Calibri"/>
          <w:bCs/>
          <w:szCs w:val="22"/>
          <w:lang w:eastAsia="en-US"/>
        </w:rPr>
        <w:t xml:space="preserve"> a vzájomnou informovanosťou o schválených projektoch</w:t>
      </w:r>
      <w:r>
        <w:rPr>
          <w:rFonts w:ascii="Calibri" w:hAnsi="Calibri" w:cs="Calibri"/>
          <w:bCs/>
          <w:szCs w:val="22"/>
          <w:lang w:eastAsia="en-US"/>
        </w:rPr>
        <w:t>.</w:t>
      </w:r>
    </w:p>
    <w:p w:rsidR="008676F9" w:rsidRPr="008676F9" w:rsidRDefault="008676F9" w:rsidP="00955DA4">
      <w:pPr>
        <w:numPr>
          <w:ilvl w:val="0"/>
          <w:numId w:val="206"/>
        </w:numPr>
        <w:ind w:left="284" w:hanging="284"/>
        <w:rPr>
          <w:rFonts w:ascii="Calibri" w:hAnsi="Calibri" w:cs="Calibri"/>
          <w:bCs/>
          <w:szCs w:val="22"/>
          <w:lang w:eastAsia="en-US"/>
        </w:rPr>
      </w:pPr>
      <w:r w:rsidRPr="008676F9">
        <w:rPr>
          <w:rFonts w:ascii="Calibri" w:hAnsi="Calibri" w:cs="Calibri"/>
          <w:bCs/>
          <w:szCs w:val="22"/>
          <w:lang w:eastAsia="en-US"/>
        </w:rPr>
        <w:t>Neprekrývanie podpory s Národným podporným programom pre víno je zabezpečené rozdielnymi podporenými činnosťami.</w:t>
      </w:r>
    </w:p>
    <w:p w:rsidR="008676F9" w:rsidRPr="008676F9" w:rsidRDefault="008676F9" w:rsidP="00AA6566">
      <w:pPr>
        <w:rPr>
          <w:rFonts w:ascii="Calibri" w:eastAsia="Calibri" w:hAnsi="Calibri" w:cs="Calibri"/>
          <w:bCs/>
          <w:szCs w:val="22"/>
          <w:u w:val="single"/>
          <w:lang w:eastAsia="en-US"/>
        </w:rPr>
      </w:pPr>
    </w:p>
    <w:p w:rsidR="008676F9" w:rsidRPr="008676F9" w:rsidRDefault="008676F9" w:rsidP="00AA6566">
      <w:pPr>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Oprávnené náklady:</w:t>
      </w:r>
    </w:p>
    <w:p w:rsidR="008676F9" w:rsidRPr="008676F9" w:rsidRDefault="008676F9" w:rsidP="001F5283">
      <w:pPr>
        <w:numPr>
          <w:ilvl w:val="0"/>
          <w:numId w:val="77"/>
        </w:numPr>
        <w:autoSpaceDE w:val="0"/>
        <w:autoSpaceDN w:val="0"/>
        <w:adjustRightInd w:val="0"/>
        <w:rPr>
          <w:rFonts w:ascii="Calibri" w:eastAsia="Calibri" w:hAnsi="Calibri" w:cs="Calibri"/>
          <w:szCs w:val="22"/>
          <w:lang w:eastAsia="en-US"/>
        </w:rPr>
      </w:pPr>
      <w:r w:rsidRPr="008676F9">
        <w:rPr>
          <w:rFonts w:ascii="Calibri" w:eastAsia="Calibri" w:hAnsi="Calibri" w:cs="Calibri"/>
          <w:szCs w:val="22"/>
          <w:lang w:eastAsia="en-US"/>
        </w:rPr>
        <w:t>investície do dlhodobého hmotného majetku;</w:t>
      </w:r>
    </w:p>
    <w:p w:rsidR="008676F9" w:rsidRPr="008676F9" w:rsidRDefault="008676F9" w:rsidP="001F5283">
      <w:pPr>
        <w:numPr>
          <w:ilvl w:val="0"/>
          <w:numId w:val="77"/>
        </w:numPr>
        <w:autoSpaceDE w:val="0"/>
        <w:autoSpaceDN w:val="0"/>
        <w:adjustRightInd w:val="0"/>
        <w:rPr>
          <w:rFonts w:ascii="Calibri" w:eastAsia="Calibri" w:hAnsi="Calibri" w:cs="Calibri"/>
          <w:szCs w:val="22"/>
          <w:lang w:eastAsia="en-US"/>
        </w:rPr>
      </w:pPr>
      <w:r w:rsidRPr="008676F9">
        <w:rPr>
          <w:rFonts w:ascii="Calibri" w:eastAsia="Calibri" w:hAnsi="Calibri" w:cs="Calibri"/>
          <w:szCs w:val="22"/>
          <w:lang w:eastAsia="en-US"/>
        </w:rPr>
        <w:t>investície do dlhodobého nehmotného majetku;</w:t>
      </w:r>
    </w:p>
    <w:p w:rsidR="008676F9" w:rsidRPr="008676F9" w:rsidRDefault="008676F9" w:rsidP="001F5283">
      <w:pPr>
        <w:numPr>
          <w:ilvl w:val="0"/>
          <w:numId w:val="77"/>
        </w:numPr>
        <w:autoSpaceDE w:val="0"/>
        <w:autoSpaceDN w:val="0"/>
        <w:adjustRightInd w:val="0"/>
        <w:rPr>
          <w:rFonts w:ascii="Calibri" w:eastAsia="Calibri" w:hAnsi="Calibri" w:cs="Calibri"/>
          <w:szCs w:val="22"/>
          <w:lang w:eastAsia="en-US"/>
        </w:rPr>
      </w:pPr>
      <w:r w:rsidRPr="008676F9">
        <w:rPr>
          <w:rFonts w:ascii="Calibri" w:eastAsia="Calibri" w:hAnsi="Calibri" w:cs="Calibri"/>
          <w:szCs w:val="22"/>
          <w:lang w:eastAsia="en-US"/>
        </w:rPr>
        <w:t xml:space="preserve">súvisiace všeobecné náklady. </w:t>
      </w:r>
    </w:p>
    <w:p w:rsidR="008676F9" w:rsidRPr="008676F9" w:rsidRDefault="008676F9" w:rsidP="00AA6566">
      <w:pPr>
        <w:autoSpaceDE w:val="0"/>
        <w:autoSpaceDN w:val="0"/>
        <w:adjustRightInd w:val="0"/>
        <w:rPr>
          <w:rFonts w:ascii="Calibri" w:eastAsia="Calibri" w:hAnsi="Calibri" w:cs="Calibri"/>
          <w:szCs w:val="22"/>
          <w:lang w:eastAsia="en-US"/>
        </w:rPr>
      </w:pPr>
    </w:p>
    <w:p w:rsidR="008676F9" w:rsidRPr="008676F9" w:rsidRDefault="008676F9" w:rsidP="00AA6566">
      <w:pPr>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Prijímateľ podpory:</w:t>
      </w:r>
    </w:p>
    <w:p w:rsidR="00693323" w:rsidRPr="006017E9" w:rsidRDefault="00693323" w:rsidP="006017E9">
      <w:pPr>
        <w:pStyle w:val="Odsekzoznamu"/>
        <w:numPr>
          <w:ilvl w:val="0"/>
          <w:numId w:val="413"/>
        </w:numPr>
        <w:spacing w:after="120"/>
        <w:ind w:left="714" w:hanging="357"/>
        <w:contextualSpacing w:val="0"/>
        <w:rPr>
          <w:rFonts w:ascii="Calibri" w:eastAsia="Calibri" w:hAnsi="Calibri" w:cs="Calibri"/>
          <w:szCs w:val="22"/>
          <w:lang w:eastAsia="en-US"/>
        </w:rPr>
      </w:pPr>
      <w:r w:rsidRPr="006017E9">
        <w:rPr>
          <w:rFonts w:ascii="Calibri" w:eastAsia="Calibri" w:hAnsi="Calibri" w:cs="Calibri"/>
          <w:szCs w:val="22"/>
          <w:lang w:eastAsia="en-US"/>
        </w:rPr>
        <w:t>Fyzické a právnické osoby  podnikajúce v oblasti spracovania produktov poľnohospodárskej prvovýroby a/alebo potravinárskej výroby (s výnimkou rybích produktov)</w:t>
      </w:r>
      <w:r w:rsidR="006017E9" w:rsidRPr="006017E9">
        <w:rPr>
          <w:rFonts w:ascii="Calibri" w:eastAsia="Calibri" w:hAnsi="Calibri" w:cs="Calibri"/>
          <w:szCs w:val="22"/>
          <w:lang w:eastAsia="en-US"/>
        </w:rPr>
        <w:t xml:space="preserve"> v rámci celého rozsahu činností.</w:t>
      </w:r>
    </w:p>
    <w:p w:rsidR="00693323" w:rsidRPr="006017E9" w:rsidRDefault="006017E9" w:rsidP="006017E9">
      <w:pPr>
        <w:pStyle w:val="Odsekzoznamu"/>
        <w:numPr>
          <w:ilvl w:val="0"/>
          <w:numId w:val="413"/>
        </w:numPr>
        <w:rPr>
          <w:rFonts w:ascii="Calibri" w:eastAsia="Calibri" w:hAnsi="Calibri" w:cs="Calibri"/>
          <w:szCs w:val="22"/>
          <w:lang w:eastAsia="en-US"/>
        </w:rPr>
      </w:pPr>
      <w:r w:rsidRPr="006017E9">
        <w:rPr>
          <w:rFonts w:ascii="Calibri" w:eastAsia="Calibri" w:hAnsi="Calibri" w:cs="Calibri"/>
          <w:szCs w:val="22"/>
          <w:lang w:eastAsia="en-US"/>
        </w:rPr>
        <w:t>Fyzické a právnické osoby podnikajúce v oblasti poľnohospodárskej prvovýroby len v rozsahu činností p</w:t>
      </w:r>
      <w:r w:rsidR="00693323" w:rsidRPr="006017E9">
        <w:rPr>
          <w:rFonts w:ascii="Calibri" w:eastAsia="Calibri" w:hAnsi="Calibri" w:cs="Calibri"/>
          <w:szCs w:val="22"/>
          <w:lang w:eastAsia="en-US"/>
        </w:rPr>
        <w:t>okiaľ ide o</w:t>
      </w:r>
      <w:r w:rsidRPr="006017E9">
        <w:rPr>
          <w:rFonts w:ascii="Calibri" w:eastAsia="Calibri" w:hAnsi="Calibri" w:cs="Calibri"/>
          <w:szCs w:val="22"/>
          <w:lang w:eastAsia="en-US"/>
        </w:rPr>
        <w:t> </w:t>
      </w:r>
      <w:r w:rsidR="00693323" w:rsidRPr="006017E9">
        <w:rPr>
          <w:rFonts w:ascii="Calibri" w:eastAsia="Calibri" w:hAnsi="Calibri" w:cs="Calibri"/>
          <w:szCs w:val="22"/>
          <w:lang w:eastAsia="en-US"/>
        </w:rPr>
        <w:t>investície</w:t>
      </w:r>
      <w:r w:rsidRPr="006017E9">
        <w:rPr>
          <w:rFonts w:ascii="Calibri" w:eastAsia="Calibri" w:hAnsi="Calibri" w:cs="Calibri"/>
          <w:szCs w:val="22"/>
          <w:lang w:eastAsia="en-US"/>
        </w:rPr>
        <w:t xml:space="preserve"> na vybudovanie a zriadenie vlastných</w:t>
      </w:r>
      <w:r w:rsidR="00693323" w:rsidRPr="006017E9">
        <w:rPr>
          <w:rFonts w:ascii="Calibri" w:eastAsia="Calibri" w:hAnsi="Calibri" w:cs="Calibri"/>
          <w:szCs w:val="22"/>
          <w:lang w:eastAsia="en-US"/>
        </w:rPr>
        <w:t xml:space="preserve"> malých podnikových predajní</w:t>
      </w:r>
      <w:r w:rsidRPr="006017E9">
        <w:rPr>
          <w:rFonts w:ascii="Calibri" w:eastAsia="Calibri" w:hAnsi="Calibri" w:cs="Calibri"/>
          <w:szCs w:val="22"/>
          <w:lang w:eastAsia="en-US"/>
        </w:rPr>
        <w:t>. V tomto prípade</w:t>
      </w:r>
      <w:r w:rsidR="00693323" w:rsidRPr="006017E9">
        <w:rPr>
          <w:rFonts w:ascii="Calibri" w:eastAsia="Calibri" w:hAnsi="Calibri" w:cs="Calibri"/>
          <w:szCs w:val="22"/>
          <w:lang w:eastAsia="en-US"/>
        </w:rPr>
        <w:t xml:space="preserve"> prijímateľ podpory bude môcť predávať výhradne výrobky, na ktoré sa vzťahuje príloha I ZFEÚ.</w:t>
      </w:r>
    </w:p>
    <w:p w:rsidR="008676F9" w:rsidRPr="008676F9" w:rsidRDefault="008676F9" w:rsidP="00AA6566">
      <w:pPr>
        <w:rPr>
          <w:rFonts w:ascii="Calibri" w:eastAsia="Calibri" w:hAnsi="Calibri" w:cs="Calibri"/>
          <w:bCs/>
          <w:szCs w:val="22"/>
          <w:u w:val="single"/>
          <w:lang w:eastAsia="en-US"/>
        </w:rPr>
      </w:pPr>
    </w:p>
    <w:p w:rsidR="008676F9" w:rsidRPr="008676F9" w:rsidRDefault="008676F9" w:rsidP="00AA6566">
      <w:pPr>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Podmienky oprávnenosti:</w:t>
      </w:r>
    </w:p>
    <w:p w:rsidR="008676F9" w:rsidRPr="008676F9" w:rsidRDefault="008676F9" w:rsidP="00955DA4">
      <w:pPr>
        <w:numPr>
          <w:ilvl w:val="0"/>
          <w:numId w:val="109"/>
        </w:numPr>
        <w:ind w:left="284" w:hanging="142"/>
        <w:rPr>
          <w:rFonts w:ascii="Calibri" w:hAnsi="Calibri" w:cs="Calibri"/>
          <w:szCs w:val="22"/>
          <w:lang w:eastAsia="en-US"/>
        </w:rPr>
      </w:pPr>
      <w:r w:rsidRPr="008676F9">
        <w:rPr>
          <w:rFonts w:ascii="Calibri" w:hAnsi="Calibri" w:cs="Calibri"/>
          <w:bCs/>
          <w:szCs w:val="22"/>
          <w:lang w:eastAsia="en-US"/>
        </w:rPr>
        <w:t xml:space="preserve">oprávnené sú len tie </w:t>
      </w:r>
      <w:r w:rsidRPr="008676F9">
        <w:rPr>
          <w:rFonts w:ascii="Calibri" w:hAnsi="Calibri" w:cs="Calibri"/>
          <w:szCs w:val="22"/>
          <w:lang w:eastAsia="en-US"/>
        </w:rPr>
        <w:t>investície, ktoré sa týkajú spracovania, uvádzania na trh alebo vývoja poľnohospodárskych a potravinárskych výrobkov v súvislosti so :</w:t>
      </w:r>
    </w:p>
    <w:p w:rsidR="008676F9" w:rsidRPr="008676F9" w:rsidRDefault="008676F9" w:rsidP="00955DA4">
      <w:pPr>
        <w:numPr>
          <w:ilvl w:val="1"/>
          <w:numId w:val="110"/>
        </w:numPr>
        <w:ind w:left="567" w:hanging="283"/>
        <w:rPr>
          <w:rFonts w:ascii="Calibri" w:hAnsi="Calibri" w:cs="Calibri"/>
          <w:szCs w:val="22"/>
          <w:lang w:eastAsia="en-US"/>
        </w:rPr>
      </w:pPr>
      <w:r w:rsidRPr="008676F9">
        <w:rPr>
          <w:rFonts w:ascii="Calibri" w:hAnsi="Calibri" w:cs="Calibri"/>
          <w:szCs w:val="22"/>
          <w:lang w:eastAsia="en-US"/>
        </w:rPr>
        <w:t>zavadzaním výroby nových ako aj tradičných výrobkov</w:t>
      </w:r>
    </w:p>
    <w:p w:rsidR="008676F9" w:rsidRPr="008676F9" w:rsidRDefault="008676F9" w:rsidP="00955DA4">
      <w:pPr>
        <w:numPr>
          <w:ilvl w:val="1"/>
          <w:numId w:val="110"/>
        </w:numPr>
        <w:ind w:left="567" w:hanging="283"/>
        <w:rPr>
          <w:rFonts w:ascii="Calibri" w:hAnsi="Calibri" w:cs="Calibri"/>
          <w:szCs w:val="22"/>
          <w:lang w:eastAsia="en-US"/>
        </w:rPr>
      </w:pPr>
      <w:r w:rsidRPr="008676F9">
        <w:rPr>
          <w:rFonts w:ascii="Calibri" w:hAnsi="Calibri" w:cs="Calibri"/>
          <w:szCs w:val="22"/>
          <w:lang w:eastAsia="en-US"/>
        </w:rPr>
        <w:t>zavádzaním novej techniky/technológií;</w:t>
      </w:r>
    </w:p>
    <w:p w:rsidR="008676F9" w:rsidRPr="008676F9" w:rsidRDefault="008676F9" w:rsidP="00955DA4">
      <w:pPr>
        <w:numPr>
          <w:ilvl w:val="1"/>
          <w:numId w:val="110"/>
        </w:numPr>
        <w:ind w:left="567" w:hanging="283"/>
        <w:rPr>
          <w:rFonts w:ascii="Calibri" w:hAnsi="Calibri" w:cs="Calibri"/>
          <w:szCs w:val="22"/>
          <w:lang w:eastAsia="en-US"/>
        </w:rPr>
      </w:pPr>
      <w:r w:rsidRPr="008676F9">
        <w:rPr>
          <w:rFonts w:ascii="Calibri" w:hAnsi="Calibri" w:cs="Calibri"/>
          <w:szCs w:val="22"/>
          <w:lang w:eastAsia="en-US"/>
        </w:rPr>
        <w:t> rozširovaním výroby</w:t>
      </w:r>
    </w:p>
    <w:p w:rsidR="008676F9" w:rsidRPr="008676F9" w:rsidRDefault="008676F9" w:rsidP="00955DA4">
      <w:pPr>
        <w:numPr>
          <w:ilvl w:val="1"/>
          <w:numId w:val="110"/>
        </w:numPr>
        <w:ind w:left="567" w:hanging="283"/>
        <w:rPr>
          <w:rFonts w:ascii="Calibri" w:hAnsi="Calibri" w:cs="Calibri"/>
          <w:szCs w:val="22"/>
          <w:lang w:eastAsia="en-US"/>
        </w:rPr>
      </w:pPr>
      <w:r w:rsidRPr="008676F9">
        <w:rPr>
          <w:rFonts w:ascii="Calibri" w:hAnsi="Calibri" w:cs="Calibri"/>
          <w:szCs w:val="22"/>
          <w:lang w:eastAsia="en-US"/>
        </w:rPr>
        <w:t> zvýšením efektívnosti výrobného procesu</w:t>
      </w:r>
    </w:p>
    <w:p w:rsidR="008676F9" w:rsidRPr="008676F9" w:rsidRDefault="008676F9" w:rsidP="00955DA4">
      <w:pPr>
        <w:numPr>
          <w:ilvl w:val="1"/>
          <w:numId w:val="110"/>
        </w:numPr>
        <w:ind w:left="567" w:hanging="283"/>
        <w:rPr>
          <w:rFonts w:ascii="Calibri" w:hAnsi="Calibri" w:cs="Calibri"/>
          <w:szCs w:val="22"/>
          <w:lang w:eastAsia="en-US"/>
        </w:rPr>
      </w:pPr>
      <w:r w:rsidRPr="008676F9">
        <w:rPr>
          <w:rFonts w:ascii="Calibri" w:hAnsi="Calibri" w:cs="Calibri"/>
          <w:szCs w:val="22"/>
          <w:lang w:eastAsia="en-US"/>
        </w:rPr>
        <w:t>zavádzaním a rozširovaním informačných a komunikačných technológií;</w:t>
      </w:r>
    </w:p>
    <w:p w:rsidR="008676F9" w:rsidRDefault="008676F9" w:rsidP="00955DA4">
      <w:pPr>
        <w:numPr>
          <w:ilvl w:val="1"/>
          <w:numId w:val="110"/>
        </w:numPr>
        <w:ind w:left="567" w:hanging="283"/>
        <w:rPr>
          <w:rFonts w:ascii="Calibri" w:hAnsi="Calibri"/>
          <w:szCs w:val="22"/>
          <w:lang w:eastAsia="en-US"/>
        </w:rPr>
      </w:pPr>
      <w:r w:rsidRPr="008676F9">
        <w:rPr>
          <w:rFonts w:ascii="Calibri" w:hAnsi="Calibri"/>
          <w:szCs w:val="22"/>
          <w:lang w:eastAsia="en-US"/>
        </w:rPr>
        <w:t>podporou budovania  odbytových miest pre odbyt poľnohospodárskej produkcie a produktov spracovania poľnohospodárskej výroby;</w:t>
      </w:r>
    </w:p>
    <w:p w:rsidR="000E5C15" w:rsidRPr="008676F9" w:rsidRDefault="000E5C15" w:rsidP="000E5C15">
      <w:pPr>
        <w:ind w:left="567"/>
        <w:rPr>
          <w:rFonts w:ascii="Calibri" w:hAnsi="Calibri"/>
          <w:szCs w:val="22"/>
          <w:lang w:eastAsia="en-US"/>
        </w:rPr>
      </w:pPr>
    </w:p>
    <w:p w:rsidR="008676F9" w:rsidRDefault="008676F9" w:rsidP="00955DA4">
      <w:pPr>
        <w:numPr>
          <w:ilvl w:val="0"/>
          <w:numId w:val="109"/>
        </w:numPr>
        <w:ind w:left="426" w:hanging="284"/>
        <w:rPr>
          <w:rFonts w:ascii="Calibri" w:hAnsi="Calibri" w:cs="Calibri"/>
          <w:bCs/>
          <w:szCs w:val="22"/>
          <w:lang w:eastAsia="en-US"/>
        </w:rPr>
      </w:pPr>
      <w:r w:rsidRPr="008676F9">
        <w:rPr>
          <w:rFonts w:ascii="Calibri" w:hAnsi="Calibri" w:cs="Calibri"/>
          <w:bCs/>
          <w:szCs w:val="22"/>
          <w:lang w:eastAsia="en-US"/>
        </w:rPr>
        <w:t>na vstupy do výrobného procesu sa vzťahuje príloha I ZFEÚ;</w:t>
      </w:r>
    </w:p>
    <w:p w:rsidR="000E5C15" w:rsidRPr="008676F9" w:rsidRDefault="000E5C15" w:rsidP="000E5C15">
      <w:pPr>
        <w:ind w:left="426"/>
        <w:rPr>
          <w:rFonts w:ascii="Calibri" w:hAnsi="Calibri" w:cs="Calibri"/>
          <w:bCs/>
          <w:szCs w:val="22"/>
          <w:lang w:eastAsia="en-US"/>
        </w:rPr>
      </w:pPr>
    </w:p>
    <w:p w:rsidR="008676F9" w:rsidRPr="008676F9" w:rsidRDefault="008676F9" w:rsidP="00955DA4">
      <w:pPr>
        <w:numPr>
          <w:ilvl w:val="0"/>
          <w:numId w:val="109"/>
        </w:numPr>
        <w:ind w:left="426" w:hanging="284"/>
        <w:rPr>
          <w:rFonts w:ascii="Calibri" w:hAnsi="Calibri" w:cs="Calibri"/>
          <w:bCs/>
          <w:szCs w:val="22"/>
          <w:lang w:eastAsia="en-US"/>
        </w:rPr>
      </w:pPr>
      <w:r w:rsidRPr="008676F9">
        <w:rPr>
          <w:rFonts w:ascii="Calibri" w:hAnsi="Calibri" w:cs="Calibri"/>
          <w:bCs/>
          <w:szCs w:val="22"/>
          <w:lang w:eastAsia="en-US"/>
        </w:rPr>
        <w:t>výstupom výrobného procesu môže byť:</w:t>
      </w:r>
    </w:p>
    <w:p w:rsidR="008676F9" w:rsidRPr="008676F9" w:rsidRDefault="008676F9" w:rsidP="00955DA4">
      <w:pPr>
        <w:numPr>
          <w:ilvl w:val="1"/>
          <w:numId w:val="111"/>
        </w:numPr>
        <w:ind w:left="567" w:hanging="283"/>
        <w:rPr>
          <w:rFonts w:ascii="Calibri" w:hAnsi="Calibri" w:cs="Calibri"/>
          <w:bCs/>
          <w:szCs w:val="22"/>
          <w:lang w:eastAsia="en-US"/>
        </w:rPr>
      </w:pPr>
      <w:r w:rsidRPr="008676F9">
        <w:rPr>
          <w:rFonts w:ascii="Calibri" w:hAnsi="Calibri" w:cs="Calibri"/>
          <w:bCs/>
          <w:szCs w:val="22"/>
          <w:lang w:eastAsia="en-US"/>
        </w:rPr>
        <w:t>produkt prílohy I ZFEÚ;</w:t>
      </w:r>
    </w:p>
    <w:p w:rsidR="008676F9" w:rsidRDefault="008676F9" w:rsidP="00955DA4">
      <w:pPr>
        <w:numPr>
          <w:ilvl w:val="1"/>
          <w:numId w:val="111"/>
        </w:numPr>
        <w:ind w:left="568" w:hanging="284"/>
        <w:rPr>
          <w:rFonts w:ascii="Calibri" w:hAnsi="Calibri" w:cs="Calibri"/>
          <w:bCs/>
          <w:szCs w:val="22"/>
          <w:lang w:eastAsia="en-US"/>
        </w:rPr>
      </w:pPr>
      <w:r w:rsidRPr="008676F9">
        <w:rPr>
          <w:rFonts w:ascii="Calibri" w:hAnsi="Calibri" w:cs="Calibri"/>
          <w:bCs/>
          <w:szCs w:val="22"/>
          <w:lang w:eastAsia="en-US"/>
        </w:rPr>
        <w:t>ďalšie potraviny v zmysle zákona č. 152/1995 Z. z. o potravinách, ktoré nie sú zahrnuté medzi produktmi prílohy I ZFEÚ.</w:t>
      </w:r>
    </w:p>
    <w:p w:rsidR="000E5C15" w:rsidRPr="008676F9" w:rsidRDefault="000E5C15" w:rsidP="000E5C15">
      <w:pPr>
        <w:ind w:left="568"/>
        <w:rPr>
          <w:rFonts w:ascii="Calibri" w:hAnsi="Calibri" w:cs="Calibri"/>
          <w:bCs/>
          <w:szCs w:val="22"/>
          <w:lang w:eastAsia="en-US"/>
        </w:rPr>
      </w:pPr>
    </w:p>
    <w:p w:rsidR="008676F9" w:rsidRPr="008676F9" w:rsidRDefault="008676F9" w:rsidP="00955DA4">
      <w:pPr>
        <w:numPr>
          <w:ilvl w:val="0"/>
          <w:numId w:val="109"/>
        </w:numPr>
        <w:ind w:left="284" w:hanging="142"/>
        <w:rPr>
          <w:rFonts w:ascii="Calibri" w:hAnsi="Calibri" w:cs="Calibri"/>
          <w:bCs/>
          <w:szCs w:val="22"/>
          <w:lang w:eastAsia="en-US"/>
        </w:rPr>
      </w:pPr>
      <w:r w:rsidRPr="008676F9">
        <w:rPr>
          <w:rFonts w:ascii="Calibri" w:hAnsi="Calibri" w:cs="Calibri"/>
          <w:bCs/>
          <w:szCs w:val="22"/>
          <w:lang w:eastAsia="en-US"/>
        </w:rPr>
        <w:t>Povinnosť žiadateľa, ktorý sa nachádza na území MAS, predložiť potvrdenie od MAS, že daný projekt nie je realizovaný prostredníctvom stratégie CLLD miestnej akčnej skupiny.</w:t>
      </w:r>
    </w:p>
    <w:p w:rsidR="00AA6566" w:rsidRDefault="00AA6566" w:rsidP="00AA6566">
      <w:pPr>
        <w:rPr>
          <w:rFonts w:ascii="Calibri" w:eastAsia="Calibri" w:hAnsi="Calibri" w:cs="Calibri"/>
          <w:bCs/>
          <w:szCs w:val="22"/>
          <w:u w:val="single"/>
          <w:lang w:eastAsia="en-US"/>
        </w:rPr>
      </w:pPr>
    </w:p>
    <w:p w:rsidR="00693323" w:rsidRPr="00693323" w:rsidRDefault="008676F9" w:rsidP="00693323">
      <w:pPr>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Princípy nastavenia výberových kritérií:</w:t>
      </w:r>
    </w:p>
    <w:p w:rsidR="00693323" w:rsidRPr="008676F9" w:rsidRDefault="00693323" w:rsidP="00693323">
      <w:pPr>
        <w:numPr>
          <w:ilvl w:val="0"/>
          <w:numId w:val="64"/>
        </w:numPr>
        <w:ind w:left="284" w:hanging="284"/>
        <w:contextualSpacing/>
        <w:rPr>
          <w:rFonts w:ascii="Calibri" w:hAnsi="Calibri" w:cs="Calibri"/>
          <w:bCs/>
          <w:szCs w:val="22"/>
          <w:lang w:eastAsia="en-US"/>
        </w:rPr>
      </w:pPr>
      <w:r w:rsidRPr="008676F9">
        <w:rPr>
          <w:rFonts w:ascii="Calibri" w:hAnsi="Calibri" w:cs="Calibri"/>
          <w:bCs/>
          <w:szCs w:val="22"/>
          <w:lang w:eastAsia="en-US"/>
        </w:rPr>
        <w:t>udržateľnosť plnenia kritérií žiadateľom;</w:t>
      </w:r>
    </w:p>
    <w:p w:rsidR="00693323" w:rsidRPr="008676F9" w:rsidRDefault="00693323" w:rsidP="00693323">
      <w:pPr>
        <w:numPr>
          <w:ilvl w:val="0"/>
          <w:numId w:val="64"/>
        </w:numPr>
        <w:ind w:left="284" w:hanging="284"/>
        <w:contextualSpacing/>
        <w:rPr>
          <w:rFonts w:ascii="Calibri" w:hAnsi="Calibri" w:cs="Calibri"/>
          <w:bCs/>
          <w:szCs w:val="22"/>
          <w:lang w:eastAsia="en-US"/>
        </w:rPr>
      </w:pPr>
      <w:r w:rsidRPr="008676F9">
        <w:rPr>
          <w:rFonts w:ascii="Calibri" w:eastAsia="Calibri" w:hAnsi="Calibri" w:cs="Calibri"/>
          <w:bCs/>
          <w:szCs w:val="22"/>
          <w:lang w:eastAsia="en-US"/>
        </w:rPr>
        <w:t>príspevok investície k udržaniu a</w:t>
      </w:r>
      <w:r>
        <w:rPr>
          <w:rFonts w:ascii="Calibri" w:eastAsia="Calibri" w:hAnsi="Calibri" w:cs="Calibri"/>
          <w:bCs/>
          <w:szCs w:val="22"/>
          <w:lang w:eastAsia="en-US"/>
        </w:rPr>
        <w:t>lebo</w:t>
      </w:r>
      <w:r w:rsidRPr="008676F9">
        <w:rPr>
          <w:rFonts w:ascii="Calibri" w:eastAsia="Calibri" w:hAnsi="Calibri" w:cs="Calibri"/>
          <w:bCs/>
          <w:szCs w:val="22"/>
          <w:lang w:eastAsia="en-US"/>
        </w:rPr>
        <w:t> </w:t>
      </w:r>
      <w:r>
        <w:rPr>
          <w:rFonts w:ascii="Calibri" w:eastAsia="Calibri" w:hAnsi="Calibri" w:cs="Calibri"/>
          <w:bCs/>
          <w:szCs w:val="22"/>
          <w:lang w:eastAsia="en-US"/>
        </w:rPr>
        <w:t>zvýšeniu zamestnanosti</w:t>
      </w:r>
      <w:r w:rsidRPr="008676F9">
        <w:rPr>
          <w:rFonts w:ascii="Calibri" w:eastAsia="Calibri" w:hAnsi="Calibri" w:cs="Calibri"/>
          <w:bCs/>
          <w:szCs w:val="22"/>
          <w:lang w:eastAsia="en-US"/>
        </w:rPr>
        <w:t xml:space="preserve"> alebo k zvyšovaniu efektívnosti výroby;</w:t>
      </w:r>
    </w:p>
    <w:p w:rsidR="00693323" w:rsidRPr="008676F9" w:rsidRDefault="00693323" w:rsidP="00693323">
      <w:pPr>
        <w:numPr>
          <w:ilvl w:val="0"/>
          <w:numId w:val="64"/>
        </w:numPr>
        <w:ind w:left="284" w:hanging="284"/>
        <w:contextualSpacing/>
        <w:rPr>
          <w:rFonts w:ascii="Calibri" w:hAnsi="Calibri" w:cs="Calibri"/>
          <w:bCs/>
          <w:szCs w:val="22"/>
          <w:lang w:eastAsia="en-US"/>
        </w:rPr>
      </w:pPr>
      <w:r w:rsidRPr="008676F9">
        <w:rPr>
          <w:rFonts w:ascii="Calibri" w:eastAsia="Calibri" w:hAnsi="Calibri" w:cs="Calibri"/>
          <w:bCs/>
          <w:szCs w:val="22"/>
          <w:lang w:eastAsia="en-US"/>
        </w:rPr>
        <w:t xml:space="preserve">Investícia sa týka </w:t>
      </w:r>
      <w:r>
        <w:rPr>
          <w:rFonts w:ascii="Calibri" w:eastAsia="Calibri" w:hAnsi="Calibri" w:cs="Calibri"/>
          <w:bCs/>
          <w:szCs w:val="22"/>
          <w:lang w:eastAsia="en-US"/>
        </w:rPr>
        <w:t>výrobcov</w:t>
      </w:r>
      <w:r w:rsidRPr="008676F9">
        <w:rPr>
          <w:rFonts w:ascii="Calibri" w:eastAsia="Calibri" w:hAnsi="Calibri" w:cs="Calibri"/>
          <w:bCs/>
          <w:szCs w:val="22"/>
          <w:lang w:eastAsia="en-US"/>
        </w:rPr>
        <w:t>, ktor</w:t>
      </w:r>
      <w:r>
        <w:rPr>
          <w:rFonts w:ascii="Calibri" w:eastAsia="Calibri" w:hAnsi="Calibri" w:cs="Calibri"/>
          <w:bCs/>
          <w:szCs w:val="22"/>
          <w:lang w:eastAsia="en-US"/>
        </w:rPr>
        <w:t>ých výrobky</w:t>
      </w:r>
      <w:r w:rsidRPr="008676F9">
        <w:rPr>
          <w:rFonts w:ascii="Calibri" w:eastAsia="Calibri" w:hAnsi="Calibri" w:cs="Calibri"/>
          <w:bCs/>
          <w:szCs w:val="22"/>
          <w:lang w:eastAsia="en-US"/>
        </w:rPr>
        <w:t xml:space="preserve"> majú Značku kvality SK,</w:t>
      </w:r>
      <w:r>
        <w:rPr>
          <w:rFonts w:ascii="Calibri" w:eastAsia="Calibri" w:hAnsi="Calibri" w:cs="Calibri"/>
          <w:bCs/>
          <w:szCs w:val="22"/>
          <w:lang w:eastAsia="en-US"/>
        </w:rPr>
        <w:t xml:space="preserve"> iný certifikát kvality</w:t>
      </w:r>
      <w:r w:rsidRPr="008676F9">
        <w:rPr>
          <w:rFonts w:ascii="Calibri" w:eastAsia="Calibri" w:hAnsi="Calibri" w:cs="Calibri"/>
          <w:bCs/>
          <w:szCs w:val="22"/>
          <w:lang w:eastAsia="en-US"/>
        </w:rPr>
        <w:t xml:space="preserve"> alebo </w:t>
      </w:r>
      <w:r w:rsidRPr="008676F9">
        <w:rPr>
          <w:rFonts w:ascii="Calibri" w:eastAsia="Calibri" w:hAnsi="Calibri" w:cs="Calibri"/>
          <w:szCs w:val="22"/>
          <w:lang w:eastAsia="en-US"/>
        </w:rPr>
        <w:t>chránen</w:t>
      </w:r>
      <w:r>
        <w:rPr>
          <w:rFonts w:ascii="Calibri" w:eastAsia="Calibri" w:hAnsi="Calibri" w:cs="Calibri"/>
          <w:szCs w:val="22"/>
          <w:lang w:eastAsia="en-US"/>
        </w:rPr>
        <w:t>é</w:t>
      </w:r>
      <w:r w:rsidRPr="008676F9">
        <w:rPr>
          <w:rFonts w:ascii="Calibri" w:eastAsia="Calibri" w:hAnsi="Calibri" w:cs="Calibri"/>
          <w:szCs w:val="22"/>
          <w:lang w:eastAsia="en-US"/>
        </w:rPr>
        <w:t xml:space="preserve"> označen</w:t>
      </w:r>
      <w:r>
        <w:rPr>
          <w:rFonts w:ascii="Calibri" w:eastAsia="Calibri" w:hAnsi="Calibri" w:cs="Calibri"/>
          <w:szCs w:val="22"/>
          <w:lang w:eastAsia="en-US"/>
        </w:rPr>
        <w:t>ie</w:t>
      </w:r>
      <w:r w:rsidRPr="008676F9">
        <w:rPr>
          <w:rFonts w:ascii="Calibri" w:eastAsia="Calibri" w:hAnsi="Calibri" w:cs="Calibri"/>
          <w:szCs w:val="22"/>
          <w:lang w:eastAsia="en-US"/>
        </w:rPr>
        <w:t xml:space="preserve"> pôvodu, chránen</w:t>
      </w:r>
      <w:r>
        <w:rPr>
          <w:rFonts w:ascii="Calibri" w:eastAsia="Calibri" w:hAnsi="Calibri" w:cs="Calibri"/>
          <w:szCs w:val="22"/>
          <w:lang w:eastAsia="en-US"/>
        </w:rPr>
        <w:t>é</w:t>
      </w:r>
      <w:r w:rsidRPr="008676F9">
        <w:rPr>
          <w:rFonts w:ascii="Calibri" w:eastAsia="Calibri" w:hAnsi="Calibri" w:cs="Calibri"/>
          <w:szCs w:val="22"/>
          <w:lang w:eastAsia="en-US"/>
        </w:rPr>
        <w:t xml:space="preserve"> zemepisn</w:t>
      </w:r>
      <w:r>
        <w:rPr>
          <w:rFonts w:ascii="Calibri" w:eastAsia="Calibri" w:hAnsi="Calibri" w:cs="Calibri"/>
          <w:szCs w:val="22"/>
          <w:lang w:eastAsia="en-US"/>
        </w:rPr>
        <w:t>é</w:t>
      </w:r>
      <w:r w:rsidRPr="008676F9">
        <w:rPr>
          <w:rFonts w:ascii="Calibri" w:eastAsia="Calibri" w:hAnsi="Calibri" w:cs="Calibri"/>
          <w:szCs w:val="22"/>
          <w:lang w:eastAsia="en-US"/>
        </w:rPr>
        <w:t xml:space="preserve"> označen</w:t>
      </w:r>
      <w:r>
        <w:rPr>
          <w:rFonts w:ascii="Calibri" w:eastAsia="Calibri" w:hAnsi="Calibri" w:cs="Calibri"/>
          <w:szCs w:val="22"/>
          <w:lang w:eastAsia="en-US"/>
        </w:rPr>
        <w:t>ie</w:t>
      </w:r>
      <w:r w:rsidRPr="008676F9">
        <w:rPr>
          <w:rFonts w:ascii="Calibri" w:eastAsia="Calibri" w:hAnsi="Calibri" w:cs="Calibri"/>
          <w:szCs w:val="22"/>
          <w:lang w:eastAsia="en-US"/>
        </w:rPr>
        <w:t xml:space="preserve"> a</w:t>
      </w:r>
      <w:r>
        <w:rPr>
          <w:rFonts w:ascii="Calibri" w:eastAsia="Calibri" w:hAnsi="Calibri" w:cs="Calibri"/>
          <w:szCs w:val="22"/>
          <w:lang w:eastAsia="en-US"/>
        </w:rPr>
        <w:t xml:space="preserve">lebo sú to výrobky s označením </w:t>
      </w:r>
      <w:r w:rsidRPr="008676F9">
        <w:rPr>
          <w:rFonts w:ascii="Calibri" w:eastAsia="Calibri" w:hAnsi="Calibri" w:cs="Calibri"/>
          <w:szCs w:val="22"/>
          <w:lang w:eastAsia="en-US"/>
        </w:rPr>
        <w:t>zaručen</w:t>
      </w:r>
      <w:r>
        <w:rPr>
          <w:rFonts w:ascii="Calibri" w:eastAsia="Calibri" w:hAnsi="Calibri" w:cs="Calibri"/>
          <w:szCs w:val="22"/>
          <w:lang w:eastAsia="en-US"/>
        </w:rPr>
        <w:t>á</w:t>
      </w:r>
      <w:r w:rsidRPr="008676F9">
        <w:rPr>
          <w:rFonts w:ascii="Calibri" w:eastAsia="Calibri" w:hAnsi="Calibri" w:cs="Calibri"/>
          <w:szCs w:val="22"/>
          <w:lang w:eastAsia="en-US"/>
        </w:rPr>
        <w:t xml:space="preserve"> tradičn</w:t>
      </w:r>
      <w:r>
        <w:rPr>
          <w:rFonts w:ascii="Calibri" w:eastAsia="Calibri" w:hAnsi="Calibri" w:cs="Calibri"/>
          <w:szCs w:val="22"/>
          <w:lang w:eastAsia="en-US"/>
        </w:rPr>
        <w:t>á</w:t>
      </w:r>
      <w:r w:rsidRPr="008676F9">
        <w:rPr>
          <w:rFonts w:ascii="Calibri" w:eastAsia="Calibri" w:hAnsi="Calibri" w:cs="Calibri"/>
          <w:szCs w:val="22"/>
          <w:lang w:eastAsia="en-US"/>
        </w:rPr>
        <w:t xml:space="preserve"> špecial</w:t>
      </w:r>
      <w:r>
        <w:rPr>
          <w:rFonts w:ascii="Calibri" w:eastAsia="Calibri" w:hAnsi="Calibri" w:cs="Calibri"/>
          <w:szCs w:val="22"/>
          <w:lang w:eastAsia="en-US"/>
        </w:rPr>
        <w:t>i</w:t>
      </w:r>
      <w:r w:rsidRPr="008676F9">
        <w:rPr>
          <w:rFonts w:ascii="Calibri" w:eastAsia="Calibri" w:hAnsi="Calibri" w:cs="Calibri"/>
          <w:szCs w:val="22"/>
          <w:lang w:eastAsia="en-US"/>
        </w:rPr>
        <w:t>t</w:t>
      </w:r>
      <w:r>
        <w:rPr>
          <w:rFonts w:ascii="Calibri" w:eastAsia="Calibri" w:hAnsi="Calibri" w:cs="Calibri"/>
          <w:szCs w:val="22"/>
          <w:lang w:eastAsia="en-US"/>
        </w:rPr>
        <w:t>a</w:t>
      </w:r>
      <w:r w:rsidRPr="008676F9">
        <w:rPr>
          <w:rFonts w:ascii="Calibri" w:eastAsia="Calibri" w:hAnsi="Calibri" w:cs="Calibri"/>
          <w:szCs w:val="22"/>
          <w:lang w:eastAsia="en-US"/>
        </w:rPr>
        <w:t>.</w:t>
      </w:r>
    </w:p>
    <w:p w:rsidR="00693323" w:rsidRPr="008676F9" w:rsidRDefault="00693323" w:rsidP="00693323">
      <w:pPr>
        <w:numPr>
          <w:ilvl w:val="0"/>
          <w:numId w:val="64"/>
        </w:numPr>
        <w:ind w:left="284" w:hanging="284"/>
        <w:contextualSpacing/>
        <w:rPr>
          <w:rFonts w:ascii="Calibri" w:hAnsi="Calibri" w:cs="Calibri"/>
          <w:bCs/>
          <w:szCs w:val="22"/>
          <w:lang w:eastAsia="en-US"/>
        </w:rPr>
      </w:pPr>
      <w:r w:rsidRPr="008676F9">
        <w:rPr>
          <w:rFonts w:ascii="Calibri" w:eastAsia="Calibri" w:hAnsi="Calibri" w:cs="Calibri"/>
          <w:szCs w:val="22"/>
          <w:lang w:eastAsia="en-US"/>
        </w:rPr>
        <w:t>príspevok investície k zvýšeniu produkcie alebo k zvýšeniu kvality výrobkov;</w:t>
      </w:r>
    </w:p>
    <w:p w:rsidR="00693323" w:rsidRPr="008676F9" w:rsidRDefault="00693323" w:rsidP="00693323">
      <w:pPr>
        <w:numPr>
          <w:ilvl w:val="0"/>
          <w:numId w:val="64"/>
        </w:numPr>
        <w:ind w:left="284" w:hanging="284"/>
        <w:contextualSpacing/>
        <w:rPr>
          <w:rFonts w:ascii="Calibri" w:hAnsi="Calibri" w:cs="Calibri"/>
          <w:bCs/>
          <w:szCs w:val="22"/>
          <w:lang w:eastAsia="en-US"/>
        </w:rPr>
      </w:pPr>
      <w:r>
        <w:rPr>
          <w:rFonts w:ascii="Calibri" w:eastAsia="Calibri" w:hAnsi="Calibri" w:cs="Calibri"/>
          <w:szCs w:val="22"/>
          <w:lang w:eastAsia="en-US"/>
        </w:rPr>
        <w:t xml:space="preserve">hodnotiť sa bude inovatívnosť technológie, </w:t>
      </w:r>
      <w:r w:rsidRPr="008676F9">
        <w:rPr>
          <w:rFonts w:ascii="Calibri" w:eastAsia="Calibri" w:hAnsi="Calibri" w:cs="Calibri"/>
          <w:szCs w:val="22"/>
          <w:lang w:eastAsia="en-US"/>
        </w:rPr>
        <w:t xml:space="preserve">komplexnosť, </w:t>
      </w:r>
      <w:r w:rsidRPr="008676F9">
        <w:rPr>
          <w:rFonts w:ascii="Calibri" w:eastAsia="Calibri" w:hAnsi="Calibri" w:cs="Calibri"/>
          <w:bCs/>
          <w:szCs w:val="22"/>
          <w:lang w:eastAsia="en-US"/>
        </w:rPr>
        <w:t>udržateľnosť projektu, schopnosť realizácie projektu, hospodárnosť a efektívnosť projektu;</w:t>
      </w:r>
    </w:p>
    <w:p w:rsidR="00693323" w:rsidRPr="008676F9" w:rsidRDefault="00693323" w:rsidP="00693323">
      <w:pPr>
        <w:numPr>
          <w:ilvl w:val="0"/>
          <w:numId w:val="64"/>
        </w:numPr>
        <w:ind w:left="284" w:hanging="284"/>
        <w:contextualSpacing/>
        <w:rPr>
          <w:rFonts w:ascii="Calibri" w:hAnsi="Calibri" w:cs="Calibri"/>
          <w:bCs/>
          <w:szCs w:val="22"/>
          <w:lang w:eastAsia="en-US"/>
        </w:rPr>
      </w:pPr>
      <w:r w:rsidRPr="008676F9">
        <w:rPr>
          <w:rFonts w:ascii="Calibri" w:eastAsia="Calibri" w:hAnsi="Calibri"/>
          <w:szCs w:val="22"/>
          <w:lang w:eastAsia="en-US"/>
        </w:rPr>
        <w:t>Žiadateľ poskytuje možnosť absolvovania praxe pre študentov potravinárskych a poľnohospodárskych študijných alebo učebných odborov.</w:t>
      </w:r>
    </w:p>
    <w:p w:rsidR="008676F9" w:rsidRPr="008676F9" w:rsidRDefault="008676F9" w:rsidP="00AA6566">
      <w:pPr>
        <w:rPr>
          <w:rFonts w:ascii="Calibri" w:eastAsia="Calibri" w:hAnsi="Calibri" w:cs="Calibri"/>
          <w:szCs w:val="22"/>
          <w:u w:val="single"/>
          <w:lang w:eastAsia="en-US"/>
        </w:rPr>
      </w:pPr>
    </w:p>
    <w:p w:rsidR="008676F9" w:rsidRPr="008676F9" w:rsidRDefault="008676F9" w:rsidP="00AA6566">
      <w:pPr>
        <w:rPr>
          <w:rFonts w:ascii="Calibri" w:eastAsia="Calibri" w:hAnsi="Calibri" w:cs="Calibri"/>
          <w:szCs w:val="22"/>
          <w:u w:val="single"/>
          <w:lang w:eastAsia="en-US"/>
        </w:rPr>
      </w:pPr>
      <w:r w:rsidRPr="008676F9">
        <w:rPr>
          <w:rFonts w:ascii="Calibri" w:eastAsia="Calibri" w:hAnsi="Calibri" w:cs="Calibri"/>
          <w:szCs w:val="22"/>
          <w:u w:val="single"/>
          <w:lang w:eastAsia="en-US"/>
        </w:rPr>
        <w:t>Výška a miera podpory:</w:t>
      </w:r>
    </w:p>
    <w:p w:rsidR="00693323" w:rsidRPr="008676F9" w:rsidRDefault="00693323" w:rsidP="00693323">
      <w:pPr>
        <w:rPr>
          <w:rFonts w:ascii="Calibri" w:eastAsia="Calibri" w:hAnsi="Calibri" w:cs="Calibri"/>
          <w:szCs w:val="22"/>
          <w:lang w:eastAsia="en-US"/>
        </w:rPr>
      </w:pPr>
      <w:r w:rsidRPr="008676F9">
        <w:rPr>
          <w:rFonts w:ascii="Calibri" w:eastAsia="Calibri" w:hAnsi="Calibri" w:cs="Calibri"/>
          <w:szCs w:val="22"/>
          <w:lang w:eastAsia="en-US"/>
        </w:rPr>
        <w:t>Maximálna výška podpory z celkových oprávnených výdavkov:</w:t>
      </w:r>
    </w:p>
    <w:p w:rsidR="00693323" w:rsidRPr="008676F9" w:rsidRDefault="00871C41" w:rsidP="00955DA4">
      <w:pPr>
        <w:numPr>
          <w:ilvl w:val="0"/>
          <w:numId w:val="97"/>
        </w:numPr>
        <w:rPr>
          <w:rFonts w:ascii="Calibri" w:hAnsi="Calibri" w:cs="Calibri"/>
          <w:szCs w:val="22"/>
          <w:lang w:eastAsia="en-US"/>
        </w:rPr>
      </w:pPr>
      <w:r>
        <w:rPr>
          <w:rFonts w:ascii="Calibri" w:hAnsi="Calibri" w:cs="Calibri"/>
          <w:szCs w:val="22"/>
          <w:lang w:eastAsia="en-US"/>
        </w:rPr>
        <w:t>50</w:t>
      </w:r>
      <w:r w:rsidR="00693323" w:rsidRPr="008676F9">
        <w:rPr>
          <w:rFonts w:ascii="Calibri" w:hAnsi="Calibri" w:cs="Calibri"/>
          <w:szCs w:val="22"/>
          <w:lang w:eastAsia="en-US"/>
        </w:rPr>
        <w:t>% v prípade menej rozvinutých regiónov (mimo Bratislavského kraja);</w:t>
      </w:r>
    </w:p>
    <w:p w:rsidR="00693323" w:rsidRPr="008676F9" w:rsidRDefault="00693323" w:rsidP="00955DA4">
      <w:pPr>
        <w:numPr>
          <w:ilvl w:val="0"/>
          <w:numId w:val="97"/>
        </w:numPr>
        <w:rPr>
          <w:rFonts w:ascii="Calibri" w:hAnsi="Calibri" w:cs="Calibri"/>
          <w:szCs w:val="22"/>
          <w:lang w:eastAsia="en-US"/>
        </w:rPr>
      </w:pPr>
      <w:r w:rsidRPr="008676F9">
        <w:rPr>
          <w:rFonts w:ascii="Calibri" w:hAnsi="Calibri" w:cs="Calibri"/>
          <w:szCs w:val="22"/>
          <w:lang w:eastAsia="en-US"/>
        </w:rPr>
        <w:t>40% v prípade iných regiónov (Bratislavský kraj).</w:t>
      </w:r>
    </w:p>
    <w:p w:rsidR="00693323" w:rsidRDefault="00693323" w:rsidP="00693323">
      <w:pPr>
        <w:rPr>
          <w:rFonts w:ascii="Calibri" w:hAnsi="Calibri" w:cs="Calibri"/>
          <w:szCs w:val="22"/>
          <w:lang w:eastAsia="en-US"/>
        </w:rPr>
      </w:pPr>
    </w:p>
    <w:p w:rsidR="00693323" w:rsidRPr="008676F9" w:rsidRDefault="00693323" w:rsidP="00693323">
      <w:pPr>
        <w:rPr>
          <w:rFonts w:ascii="Calibri" w:hAnsi="Calibri" w:cs="Calibri"/>
          <w:szCs w:val="22"/>
          <w:lang w:eastAsia="en-US"/>
        </w:rPr>
      </w:pPr>
      <w:r>
        <w:rPr>
          <w:rFonts w:ascii="Calibri" w:hAnsi="Calibri" w:cs="Calibri"/>
          <w:szCs w:val="22"/>
          <w:lang w:eastAsia="en-US"/>
        </w:rPr>
        <w:t>Zároveň platí, že m</w:t>
      </w:r>
      <w:r w:rsidRPr="008676F9">
        <w:rPr>
          <w:rFonts w:ascii="Calibri" w:hAnsi="Calibri" w:cs="Calibri"/>
          <w:szCs w:val="22"/>
          <w:lang w:eastAsia="en-US"/>
        </w:rPr>
        <w:t>iera podpory sa môže zvýšiť o 20%:</w:t>
      </w:r>
    </w:p>
    <w:p w:rsidR="008676F9" w:rsidRPr="008676F9" w:rsidRDefault="008676F9" w:rsidP="001F5283">
      <w:pPr>
        <w:numPr>
          <w:ilvl w:val="0"/>
          <w:numId w:val="35"/>
        </w:numPr>
        <w:ind w:left="284" w:hanging="284"/>
        <w:rPr>
          <w:rFonts w:ascii="Calibri" w:hAnsi="Calibri" w:cs="Calibri"/>
          <w:i/>
          <w:szCs w:val="22"/>
          <w:lang w:eastAsia="en-US"/>
        </w:rPr>
      </w:pPr>
      <w:r w:rsidRPr="008676F9">
        <w:rPr>
          <w:rFonts w:ascii="Calibri" w:hAnsi="Calibri" w:cs="Calibri"/>
          <w:i/>
          <w:szCs w:val="22"/>
          <w:lang w:eastAsia="en-US"/>
        </w:rPr>
        <w:t>v prípade operácií v rámci operačných skupín EIP (vzťahuje sa aj na spracovanie, marketing a vývoj);</w:t>
      </w:r>
    </w:p>
    <w:p w:rsidR="008676F9" w:rsidRPr="008676F9" w:rsidRDefault="008676F9" w:rsidP="001F5283">
      <w:pPr>
        <w:numPr>
          <w:ilvl w:val="0"/>
          <w:numId w:val="35"/>
        </w:numPr>
        <w:spacing w:after="120"/>
        <w:ind w:left="284" w:hanging="284"/>
        <w:rPr>
          <w:rFonts w:ascii="Calibri" w:hAnsi="Calibri" w:cs="Calibri"/>
          <w:i/>
          <w:szCs w:val="22"/>
          <w:lang w:eastAsia="en-US"/>
        </w:rPr>
      </w:pPr>
      <w:r w:rsidRPr="008676F9">
        <w:rPr>
          <w:rFonts w:ascii="Calibri" w:hAnsi="Calibri" w:cs="Calibri"/>
          <w:i/>
          <w:szCs w:val="22"/>
          <w:lang w:eastAsia="en-US"/>
        </w:rPr>
        <w:t>v prípade operácií súvisiacich so zlučovaním organizácií výrobcov.</w:t>
      </w:r>
    </w:p>
    <w:p w:rsidR="008676F9" w:rsidRPr="008676F9" w:rsidRDefault="008676F9" w:rsidP="00AA6566">
      <w:pPr>
        <w:rPr>
          <w:rFonts w:ascii="Calibri" w:eastAsia="Calibri" w:hAnsi="Calibri" w:cs="Calibri"/>
          <w:bCs/>
          <w:szCs w:val="22"/>
          <w:lang w:eastAsia="en-US"/>
        </w:rPr>
      </w:pPr>
      <w:r w:rsidRPr="008676F9">
        <w:rPr>
          <w:rFonts w:ascii="Calibri" w:eastAsia="Calibri" w:hAnsi="Calibri" w:cs="Calibri"/>
          <w:bCs/>
          <w:szCs w:val="22"/>
          <w:lang w:eastAsia="en-US"/>
        </w:rPr>
        <w:t>Miera podpory sa môže zvýšiť kombinovane najviac do 90% z celkových oprávnených výdavkov.</w:t>
      </w:r>
    </w:p>
    <w:p w:rsidR="00EC29F5" w:rsidRDefault="00EC29F5" w:rsidP="00EC29F5">
      <w:pPr>
        <w:rPr>
          <w:rFonts w:ascii="Calibri" w:eastAsia="Calibri" w:hAnsi="Calibri" w:cs="Calibri"/>
          <w:bCs/>
          <w:szCs w:val="22"/>
          <w:lang w:eastAsia="en-US"/>
        </w:rPr>
      </w:pPr>
      <w:r>
        <w:rPr>
          <w:rFonts w:ascii="Calibri" w:eastAsia="Calibri" w:hAnsi="Calibri" w:cs="Calibri"/>
          <w:bCs/>
          <w:szCs w:val="22"/>
          <w:lang w:eastAsia="en-US"/>
        </w:rPr>
        <w:t>Maximálna výška oprávnených nákladov na jeden projekt je 2 000 000 €.</w:t>
      </w:r>
    </w:p>
    <w:p w:rsidR="008676F9" w:rsidRPr="008676F9" w:rsidRDefault="008676F9" w:rsidP="00AA6566">
      <w:pPr>
        <w:rPr>
          <w:rFonts w:ascii="Calibri" w:eastAsia="Calibri" w:hAnsi="Calibri" w:cs="Calibri"/>
          <w:szCs w:val="22"/>
        </w:rPr>
      </w:pPr>
    </w:p>
    <w:p w:rsidR="008676F9" w:rsidRPr="008676F9" w:rsidRDefault="008676F9" w:rsidP="008676F9">
      <w:pPr>
        <w:rPr>
          <w:rFonts w:ascii="Calibri" w:eastAsia="Calibri" w:hAnsi="Calibri" w:cs="Calibri"/>
          <w:szCs w:val="22"/>
          <w:u w:val="single"/>
        </w:rPr>
      </w:pPr>
      <w:r w:rsidRPr="008676F9">
        <w:rPr>
          <w:rFonts w:ascii="Calibri" w:eastAsia="Calibri" w:hAnsi="Calibri" w:cs="Calibri"/>
          <w:szCs w:val="22"/>
          <w:u w:val="single"/>
        </w:rPr>
        <w:t>Ďalšie informácie špecifické pre danú operáciu:</w:t>
      </w:r>
    </w:p>
    <w:p w:rsidR="00693323" w:rsidRDefault="00693323" w:rsidP="00693323">
      <w:pPr>
        <w:spacing w:after="120"/>
        <w:rPr>
          <w:rFonts w:ascii="Calibri" w:eastAsia="Calibri" w:hAnsi="Calibri" w:cs="Calibri"/>
          <w:bCs/>
          <w:szCs w:val="22"/>
          <w:lang w:eastAsia="en-US"/>
        </w:rPr>
      </w:pPr>
      <w:r>
        <w:rPr>
          <w:rFonts w:ascii="Calibri" w:eastAsia="Calibri" w:hAnsi="Calibri" w:cs="Calibri"/>
          <w:bCs/>
          <w:i/>
          <w:szCs w:val="22"/>
          <w:lang w:eastAsia="en-US"/>
        </w:rPr>
        <w:t xml:space="preserve">Poľnohospodársky produkt: </w:t>
      </w:r>
      <w:r>
        <w:rPr>
          <w:rFonts w:ascii="Calibri" w:eastAsia="Calibri" w:hAnsi="Calibri" w:cs="Calibri"/>
          <w:bCs/>
          <w:szCs w:val="22"/>
          <w:lang w:eastAsia="en-US"/>
        </w:rPr>
        <w:t>produkt uvedený v prílohe I ZFEÚ (s výnimkou rybích produktov) a bavlna. Niektoré poľnohospodárske produkty sú zároveň potravinami.</w:t>
      </w:r>
    </w:p>
    <w:p w:rsidR="00693323" w:rsidRDefault="00693323" w:rsidP="00693323">
      <w:pPr>
        <w:spacing w:after="120"/>
        <w:rPr>
          <w:rFonts w:ascii="Calibri" w:eastAsia="Calibri" w:hAnsi="Calibri" w:cs="Calibri"/>
          <w:bCs/>
          <w:szCs w:val="22"/>
          <w:lang w:eastAsia="en-US"/>
        </w:rPr>
      </w:pPr>
      <w:r>
        <w:rPr>
          <w:rFonts w:ascii="Calibri" w:eastAsia="Calibri" w:hAnsi="Calibri" w:cs="Calibri"/>
          <w:bCs/>
          <w:i/>
          <w:szCs w:val="22"/>
          <w:lang w:eastAsia="en-US"/>
        </w:rPr>
        <w:t xml:space="preserve">Potraviny: </w:t>
      </w:r>
      <w:r>
        <w:rPr>
          <w:rFonts w:ascii="Calibri" w:eastAsia="Calibri" w:hAnsi="Calibri" w:cs="Calibri"/>
          <w:bCs/>
          <w:szCs w:val="22"/>
          <w:lang w:eastAsia="en-US"/>
        </w:rPr>
        <w:t>potraviny v zmysle zákona č. 152/1995 Z. z. o potravinách. Niektoré potraviny sú zároveň aj produktmi prílohy I ZFEÚ.</w:t>
      </w:r>
    </w:p>
    <w:p w:rsidR="00693323" w:rsidRPr="008676F9" w:rsidRDefault="00693323" w:rsidP="00693323">
      <w:pPr>
        <w:spacing w:after="120"/>
        <w:rPr>
          <w:rFonts w:ascii="Calibri" w:eastAsia="Calibri" w:hAnsi="Calibri"/>
          <w:i/>
          <w:szCs w:val="22"/>
          <w:lang w:eastAsia="en-US"/>
        </w:rPr>
      </w:pPr>
      <w:r w:rsidRPr="008676F9">
        <w:rPr>
          <w:rFonts w:ascii="Calibri" w:eastAsia="Calibri" w:hAnsi="Calibri"/>
          <w:i/>
          <w:szCs w:val="22"/>
          <w:lang w:eastAsia="en-US"/>
        </w:rPr>
        <w:t xml:space="preserve">Spracovanie poľnohospodárskych produktov </w:t>
      </w:r>
      <w:r w:rsidRPr="008676F9">
        <w:rPr>
          <w:rFonts w:ascii="Calibri" w:eastAsia="Calibri" w:hAnsi="Calibri"/>
          <w:szCs w:val="22"/>
          <w:lang w:eastAsia="en-US"/>
        </w:rPr>
        <w:t>znamená akékoľvek pôsobenie na poľnohospodársky produkt, výsledkom ktorého je taktiež poľnohospodársky produkt</w:t>
      </w:r>
      <w:r>
        <w:rPr>
          <w:rFonts w:ascii="Calibri" w:eastAsia="Calibri" w:hAnsi="Calibri"/>
          <w:szCs w:val="22"/>
          <w:lang w:eastAsia="en-US"/>
        </w:rPr>
        <w:t>,</w:t>
      </w:r>
      <w:r w:rsidR="00871C41">
        <w:rPr>
          <w:rFonts w:ascii="Calibri" w:eastAsia="Calibri" w:hAnsi="Calibri"/>
          <w:szCs w:val="22"/>
          <w:lang w:eastAsia="en-US"/>
        </w:rPr>
        <w:t xml:space="preserve"> </w:t>
      </w:r>
      <w:r w:rsidRPr="008676F9">
        <w:rPr>
          <w:rFonts w:ascii="Calibri" w:eastAsia="Calibri" w:hAnsi="Calibri"/>
          <w:szCs w:val="22"/>
          <w:lang w:eastAsia="en-US"/>
        </w:rPr>
        <w:t>potravina</w:t>
      </w:r>
      <w:r>
        <w:rPr>
          <w:rFonts w:ascii="Calibri" w:eastAsia="Calibri" w:hAnsi="Calibri"/>
          <w:szCs w:val="22"/>
          <w:lang w:eastAsia="en-US"/>
        </w:rPr>
        <w:t>, alebo iný produkt</w:t>
      </w:r>
      <w:r w:rsidRPr="008676F9">
        <w:rPr>
          <w:rFonts w:ascii="Calibri" w:eastAsia="Calibri" w:hAnsi="Calibri"/>
          <w:szCs w:val="22"/>
          <w:lang w:eastAsia="en-US"/>
        </w:rPr>
        <w:t xml:space="preserve"> s výnimkou činností vykonávaných v poľnohospodárskom podniku v súvislosti s prípravou živočíšneho alebo rastlinného produktu na prvý predaj, t.j. činnosti vykonávané v poľnohospodárskom podniku potrebné na prípravu výrobku na prvý predaj ako napr. zber, sekanie a mlátenie obilnín, balenie vajec atď. sa nepovažuje za spracovanie. V prípade produktov rastlinného pôvodu musia byť tieto minimálne očistené, vytriedené a zabalené do maloobchodného spotrebiteľského balenia. Len samostatné umiestnenie v prepravkách sa nepovažuje za primárne spracovanie poľnohospodárskych produktov.</w:t>
      </w:r>
      <w:r>
        <w:rPr>
          <w:rFonts w:ascii="Calibri" w:eastAsia="Calibri" w:hAnsi="Calibri"/>
          <w:szCs w:val="22"/>
          <w:lang w:eastAsia="en-US"/>
        </w:rPr>
        <w:t xml:space="preserve"> Spracovanie poľnohospodárskych produktov teda zahŕňa z veľkej časti aj pojem </w:t>
      </w:r>
      <w:r w:rsidRPr="00234CF5">
        <w:rPr>
          <w:rFonts w:ascii="Calibri" w:eastAsia="Calibri" w:hAnsi="Calibri"/>
          <w:i/>
          <w:szCs w:val="22"/>
          <w:lang w:eastAsia="en-US"/>
        </w:rPr>
        <w:t>výroba potravín</w:t>
      </w:r>
      <w:r>
        <w:rPr>
          <w:rFonts w:ascii="Calibri" w:eastAsia="Calibri" w:hAnsi="Calibri"/>
          <w:i/>
          <w:szCs w:val="22"/>
          <w:lang w:eastAsia="en-US"/>
        </w:rPr>
        <w:t>.</w:t>
      </w:r>
    </w:p>
    <w:p w:rsidR="00693323" w:rsidRPr="008676F9" w:rsidRDefault="00693323" w:rsidP="00693323">
      <w:pPr>
        <w:spacing w:after="120"/>
        <w:rPr>
          <w:rFonts w:ascii="Calibri" w:eastAsia="Calibri" w:hAnsi="Calibri"/>
          <w:i/>
          <w:szCs w:val="22"/>
          <w:lang w:eastAsia="en-US"/>
        </w:rPr>
      </w:pPr>
      <w:r w:rsidRPr="008676F9">
        <w:rPr>
          <w:rFonts w:ascii="Calibri" w:eastAsia="Calibri" w:hAnsi="Calibri"/>
          <w:i/>
          <w:szCs w:val="22"/>
          <w:lang w:eastAsia="en-US"/>
        </w:rPr>
        <w:t xml:space="preserve">Uvádzanie poľnohospodárskych produktov na trh </w:t>
      </w:r>
      <w:r w:rsidRPr="008676F9">
        <w:rPr>
          <w:rFonts w:ascii="Calibri" w:eastAsia="Calibri" w:hAnsi="Calibri"/>
          <w:szCs w:val="22"/>
          <w:lang w:eastAsia="en-US"/>
        </w:rPr>
        <w:t>znamená vystavenie produktu s cieľom predaja, ponúkania na predaj, dodanie alebo iná forma umiestnenia na trhu s výnimkou prvého predaja prvovýrobcom distribútorovi alebo spracovateľovi a akejkoľvek aktivity súvisiacej s prípravou produktu na prvý predaj. Predaj prvovýrobcom spotrebiteľovi sa považuje za uvádzanie na trh, pokiaľ ide o predaj v samostatných priestoroch určených na ten účel mimo areálu daného podniku</w:t>
      </w:r>
      <w:r w:rsidRPr="008676F9">
        <w:rPr>
          <w:rFonts w:ascii="Calibri" w:eastAsia="Calibri" w:hAnsi="Calibri"/>
          <w:i/>
          <w:szCs w:val="22"/>
          <w:lang w:eastAsia="en-US"/>
        </w:rPr>
        <w:t>.</w:t>
      </w:r>
    </w:p>
    <w:p w:rsidR="00693323" w:rsidRDefault="00693323" w:rsidP="00693323">
      <w:pPr>
        <w:spacing w:after="120"/>
        <w:rPr>
          <w:rFonts w:ascii="Calibri" w:eastAsia="Calibri" w:hAnsi="Calibri"/>
          <w:szCs w:val="22"/>
          <w:lang w:eastAsia="en-US"/>
        </w:rPr>
      </w:pPr>
      <w:r w:rsidRPr="008676F9">
        <w:rPr>
          <w:rFonts w:ascii="Calibri" w:eastAsia="Calibri" w:hAnsi="Calibri"/>
          <w:i/>
          <w:szCs w:val="22"/>
          <w:lang w:eastAsia="en-US"/>
        </w:rPr>
        <w:t xml:space="preserve"> Projekty prispievajúce k cieľom Európskeho inovačného partnerstva pre udržateľnosť a produktivitu v poľnohospodárstve</w:t>
      </w:r>
      <w:r w:rsidRPr="008676F9">
        <w:rPr>
          <w:rFonts w:ascii="Calibri" w:eastAsia="Calibri" w:hAnsi="Calibri"/>
          <w:b/>
          <w:i/>
          <w:szCs w:val="22"/>
          <w:lang w:eastAsia="en-US"/>
        </w:rPr>
        <w:t xml:space="preserve"> </w:t>
      </w:r>
      <w:r w:rsidRPr="008676F9">
        <w:rPr>
          <w:rFonts w:ascii="Calibri" w:eastAsia="Calibri" w:hAnsi="Calibri"/>
          <w:szCs w:val="22"/>
          <w:lang w:eastAsia="en-US"/>
        </w:rPr>
        <w:t>sú projekty realizované v rámci spolupráce v operačných skupín v zmysle opatrenia Spolupráca.</w:t>
      </w:r>
    </w:p>
    <w:p w:rsidR="00693323" w:rsidRDefault="00693323" w:rsidP="00693323">
      <w:pPr>
        <w:spacing w:after="120"/>
        <w:rPr>
          <w:rFonts w:ascii="Calibri" w:eastAsia="Calibri" w:hAnsi="Calibri" w:cs="Calibri"/>
          <w:szCs w:val="22"/>
          <w:lang w:eastAsia="en-US"/>
        </w:rPr>
      </w:pPr>
      <w:r>
        <w:rPr>
          <w:rFonts w:ascii="Calibri" w:eastAsia="Calibri" w:hAnsi="Calibri" w:cs="Calibri"/>
          <w:szCs w:val="22"/>
          <w:lang w:eastAsia="en-US"/>
        </w:rPr>
        <w:t>Pri hodnotení projektov bude prihliadané na minimalizovanie subjektívneho faktora.</w:t>
      </w:r>
    </w:p>
    <w:p w:rsidR="001F3673" w:rsidRPr="00693323" w:rsidRDefault="001F3673" w:rsidP="00955DA4">
      <w:pPr>
        <w:numPr>
          <w:ilvl w:val="0"/>
          <w:numId w:val="97"/>
        </w:numPr>
        <w:rPr>
          <w:rFonts w:ascii="Calibri" w:eastAsia="Calibri" w:hAnsi="Calibri" w:cs="Calibri"/>
          <w:bCs/>
          <w:szCs w:val="22"/>
          <w:u w:val="single"/>
          <w:lang w:eastAsia="en-US"/>
        </w:rPr>
      </w:pPr>
      <w:r w:rsidRPr="00693323">
        <w:rPr>
          <w:rFonts w:ascii="Calibri" w:eastAsia="Calibri" w:hAnsi="Calibri" w:cs="Calibri"/>
          <w:b/>
          <w:bCs/>
          <w:szCs w:val="22"/>
          <w:lang w:eastAsia="en-US"/>
        </w:rPr>
        <w:br w:type="page"/>
      </w:r>
    </w:p>
    <w:p w:rsidR="008676F9" w:rsidRPr="008676F9" w:rsidRDefault="008676F9" w:rsidP="00E53F6F">
      <w:pPr>
        <w:shd w:val="clear" w:color="auto" w:fill="D6E3BC"/>
        <w:ind w:left="1701" w:hanging="1701"/>
        <w:jc w:val="left"/>
        <w:rPr>
          <w:rFonts w:ascii="Calibri" w:eastAsia="Calibri" w:hAnsi="Calibri" w:cs="Calibri"/>
          <w:bCs/>
          <w:i/>
          <w:szCs w:val="22"/>
          <w:lang w:eastAsia="en-US"/>
        </w:rPr>
      </w:pPr>
      <w:r w:rsidRPr="008676F9">
        <w:rPr>
          <w:rFonts w:ascii="Calibri" w:eastAsia="Calibri" w:hAnsi="Calibri" w:cs="Calibri"/>
          <w:bCs/>
          <w:szCs w:val="22"/>
          <w:lang w:eastAsia="en-US"/>
        </w:rPr>
        <w:t xml:space="preserve">Podopatrenie: </w:t>
      </w:r>
      <w:r w:rsidRPr="008676F9">
        <w:rPr>
          <w:rFonts w:ascii="Calibri" w:eastAsia="Calibri" w:hAnsi="Calibri" w:cs="Calibri"/>
          <w:b/>
          <w:bCs/>
          <w:i/>
          <w:szCs w:val="22"/>
          <w:lang w:eastAsia="en-US"/>
        </w:rPr>
        <w:t xml:space="preserve">4.3 </w:t>
      </w:r>
      <w:r w:rsidRPr="00E53F6F">
        <w:rPr>
          <w:rFonts w:ascii="Calibri" w:eastAsia="Calibri" w:hAnsi="Calibri" w:cs="Calibri"/>
          <w:b/>
          <w:bCs/>
          <w:i/>
          <w:sz w:val="24"/>
          <w:lang w:eastAsia="en-US"/>
        </w:rPr>
        <w:t>Podpora investícií do infraštruktúry týkajúcej sa rozvoja, modernizácie alebo adaptácie poľnohospodárstva a lesníctva</w:t>
      </w:r>
    </w:p>
    <w:p w:rsidR="008676F9" w:rsidRPr="008676F9" w:rsidRDefault="008676F9" w:rsidP="008676F9">
      <w:pPr>
        <w:shd w:val="clear" w:color="auto" w:fill="FBD4B4"/>
        <w:rPr>
          <w:rFonts w:ascii="Calibri" w:eastAsia="Calibri" w:hAnsi="Calibri" w:cs="Calibri"/>
          <w:szCs w:val="22"/>
          <w:u w:val="single"/>
          <w:lang w:eastAsia="en-US"/>
        </w:rPr>
      </w:pPr>
      <w:r w:rsidRPr="008676F9">
        <w:rPr>
          <w:rFonts w:ascii="Calibri" w:eastAsia="Calibri" w:hAnsi="Calibri" w:cs="Calibri"/>
          <w:szCs w:val="22"/>
          <w:u w:val="single"/>
          <w:lang w:eastAsia="en-US"/>
        </w:rPr>
        <w:t xml:space="preserve">Názov operácie: </w:t>
      </w:r>
    </w:p>
    <w:p w:rsidR="008676F9" w:rsidRPr="008676F9" w:rsidRDefault="008676F9" w:rsidP="008676F9">
      <w:pPr>
        <w:shd w:val="clear" w:color="auto" w:fill="FBD4B4"/>
        <w:rPr>
          <w:rFonts w:ascii="Calibri" w:eastAsia="Calibri" w:hAnsi="Calibri" w:cs="Calibri"/>
          <w:i/>
          <w:szCs w:val="22"/>
          <w:lang w:eastAsia="en-US"/>
        </w:rPr>
      </w:pPr>
      <w:r w:rsidRPr="008676F9">
        <w:rPr>
          <w:rFonts w:ascii="Calibri" w:eastAsia="Calibri" w:hAnsi="Calibri" w:cs="Calibri"/>
          <w:i/>
          <w:szCs w:val="22"/>
          <w:lang w:eastAsia="en-US"/>
        </w:rPr>
        <w:t>Vypracovanie a vykonanie projektov pozemkových úprav</w:t>
      </w:r>
    </w:p>
    <w:p w:rsidR="008676F9" w:rsidRPr="008676F9" w:rsidRDefault="008676F9" w:rsidP="008676F9">
      <w:pPr>
        <w:rPr>
          <w:rFonts w:ascii="Calibri" w:eastAsia="Calibri" w:hAnsi="Calibri" w:cs="Calibri"/>
          <w:bCs/>
          <w:szCs w:val="22"/>
          <w:u w:val="single"/>
          <w:lang w:eastAsia="en-US"/>
        </w:rPr>
      </w:pPr>
    </w:p>
    <w:p w:rsidR="008676F9" w:rsidRPr="008676F9" w:rsidRDefault="008676F9" w:rsidP="00AA6566">
      <w:pPr>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 xml:space="preserve">Opis operácie: </w:t>
      </w:r>
    </w:p>
    <w:p w:rsidR="008676F9" w:rsidRPr="008676F9" w:rsidRDefault="008676F9" w:rsidP="00AA6566">
      <w:pPr>
        <w:tabs>
          <w:tab w:val="left" w:pos="708"/>
        </w:tabs>
        <w:suppressAutoHyphens/>
        <w:rPr>
          <w:rFonts w:ascii="Calibri" w:eastAsia="Calibri" w:hAnsi="Calibri" w:cs="Calibri"/>
          <w:bCs/>
          <w:szCs w:val="22"/>
          <w:lang w:eastAsia="en-US"/>
        </w:rPr>
      </w:pPr>
      <w:r w:rsidRPr="008676F9">
        <w:rPr>
          <w:rFonts w:ascii="Calibri" w:eastAsia="Calibri" w:hAnsi="Calibri" w:cs="Calibri"/>
          <w:bCs/>
          <w:szCs w:val="22"/>
          <w:lang w:eastAsia="en-US"/>
        </w:rPr>
        <w:t xml:space="preserve">Investície, ktoré prispievajú k </w:t>
      </w:r>
    </w:p>
    <w:p w:rsidR="008676F9" w:rsidRPr="008676F9" w:rsidRDefault="008676F9" w:rsidP="00955DA4">
      <w:pPr>
        <w:numPr>
          <w:ilvl w:val="0"/>
          <w:numId w:val="97"/>
        </w:numPr>
        <w:tabs>
          <w:tab w:val="left" w:pos="708"/>
        </w:tabs>
        <w:suppressAutoHyphens/>
        <w:rPr>
          <w:rFonts w:ascii="Calibri" w:eastAsia="Calibri" w:hAnsi="Calibri" w:cs="Calibri"/>
          <w:bCs/>
          <w:szCs w:val="22"/>
          <w:lang w:eastAsia="en-US"/>
        </w:rPr>
      </w:pPr>
      <w:r w:rsidRPr="008676F9">
        <w:rPr>
          <w:rFonts w:ascii="Calibri" w:eastAsia="Calibri" w:hAnsi="Calibri" w:cs="Calibri"/>
          <w:bCs/>
          <w:szCs w:val="22"/>
          <w:lang w:eastAsia="en-US"/>
        </w:rPr>
        <w:t>zníženiu fragmentácie pozemkového vlastníctva;</w:t>
      </w:r>
    </w:p>
    <w:p w:rsidR="008676F9" w:rsidRPr="008676F9" w:rsidRDefault="008676F9" w:rsidP="00955DA4">
      <w:pPr>
        <w:numPr>
          <w:ilvl w:val="0"/>
          <w:numId w:val="97"/>
        </w:numPr>
        <w:tabs>
          <w:tab w:val="left" w:pos="708"/>
        </w:tabs>
        <w:suppressAutoHyphens/>
        <w:rPr>
          <w:rFonts w:ascii="Calibri" w:eastAsia="Calibri" w:hAnsi="Calibri" w:cs="Calibri"/>
          <w:bCs/>
          <w:szCs w:val="22"/>
          <w:lang w:eastAsia="en-US"/>
        </w:rPr>
      </w:pPr>
      <w:r w:rsidRPr="008676F9">
        <w:rPr>
          <w:rFonts w:ascii="Calibri" w:eastAsia="Calibri" w:hAnsi="Calibri" w:cs="Calibri"/>
          <w:bCs/>
          <w:szCs w:val="22"/>
          <w:lang w:eastAsia="en-US"/>
        </w:rPr>
        <w:t xml:space="preserve">obnove evidencie pozemkov a podpore hospodárenia na pozemkoch; </w:t>
      </w:r>
    </w:p>
    <w:p w:rsidR="008676F9" w:rsidRPr="008676F9" w:rsidRDefault="008676F9" w:rsidP="00955DA4">
      <w:pPr>
        <w:numPr>
          <w:ilvl w:val="0"/>
          <w:numId w:val="97"/>
        </w:numPr>
        <w:tabs>
          <w:tab w:val="left" w:pos="708"/>
        </w:tabs>
        <w:suppressAutoHyphens/>
        <w:rPr>
          <w:rFonts w:ascii="Calibri" w:eastAsia="Calibri" w:hAnsi="Calibri" w:cs="Calibri"/>
          <w:bCs/>
          <w:szCs w:val="22"/>
          <w:lang w:eastAsia="en-US"/>
        </w:rPr>
      </w:pPr>
      <w:r w:rsidRPr="008676F9">
        <w:rPr>
          <w:rFonts w:ascii="Calibri" w:eastAsia="Calibri" w:hAnsi="Calibri" w:cs="Calibri"/>
          <w:bCs/>
          <w:szCs w:val="22"/>
          <w:lang w:eastAsia="en-US"/>
        </w:rPr>
        <w:t xml:space="preserve">vytvoreniu novej evidencie pozemkového vlastníctva na zabezpečenie súladu medzi pozemkami produkčných celkov z LPIS a údajmi v katastri nehnuteľností so skutkovým stavom v teréne; </w:t>
      </w:r>
    </w:p>
    <w:p w:rsidR="008676F9" w:rsidRPr="008676F9" w:rsidRDefault="008676F9" w:rsidP="00955DA4">
      <w:pPr>
        <w:numPr>
          <w:ilvl w:val="0"/>
          <w:numId w:val="97"/>
        </w:numPr>
        <w:tabs>
          <w:tab w:val="left" w:pos="708"/>
        </w:tabs>
        <w:suppressAutoHyphens/>
        <w:rPr>
          <w:rFonts w:ascii="Calibri" w:eastAsia="Calibri" w:hAnsi="Calibri" w:cs="Calibri"/>
          <w:bCs/>
          <w:szCs w:val="22"/>
          <w:lang w:eastAsia="en-US"/>
        </w:rPr>
      </w:pPr>
      <w:r w:rsidRPr="008676F9">
        <w:rPr>
          <w:rFonts w:ascii="Calibri" w:eastAsia="Calibri" w:hAnsi="Calibri" w:cs="Calibri"/>
          <w:bCs/>
          <w:szCs w:val="22"/>
          <w:lang w:eastAsia="en-US"/>
        </w:rPr>
        <w:t>vytvoreniu podmienok  pre korektné nájomné vzťahy k pozemkom ako základný predpoklad pre poskytovanie priamych platieb na pôdu; </w:t>
      </w:r>
    </w:p>
    <w:p w:rsidR="008676F9" w:rsidRPr="008676F9" w:rsidRDefault="008676F9" w:rsidP="00955DA4">
      <w:pPr>
        <w:numPr>
          <w:ilvl w:val="0"/>
          <w:numId w:val="97"/>
        </w:numPr>
        <w:tabs>
          <w:tab w:val="left" w:pos="708"/>
        </w:tabs>
        <w:suppressAutoHyphens/>
        <w:rPr>
          <w:rFonts w:ascii="Calibri" w:eastAsia="Calibri" w:hAnsi="Calibri" w:cs="Calibri"/>
          <w:bCs/>
          <w:szCs w:val="22"/>
          <w:lang w:eastAsia="en-US"/>
        </w:rPr>
      </w:pPr>
      <w:r w:rsidRPr="008676F9">
        <w:rPr>
          <w:rFonts w:ascii="Calibri" w:eastAsia="Calibri" w:hAnsi="Calibri" w:cs="Calibri"/>
          <w:bCs/>
          <w:szCs w:val="22"/>
          <w:lang w:eastAsia="en-US"/>
        </w:rPr>
        <w:t>podpore hospodárenia na upravených pozemkoch vytvára predpoklad pre rozvoj trhu s pôdou s cieľom zlepšenia podmienok obhospodarovania pozemkov za účelom zlepšenia podnikania  na pôde.</w:t>
      </w:r>
    </w:p>
    <w:p w:rsidR="008676F9" w:rsidRPr="008676F9" w:rsidRDefault="008676F9" w:rsidP="00AA6566">
      <w:pPr>
        <w:rPr>
          <w:rFonts w:ascii="Calibri" w:eastAsia="Calibri" w:hAnsi="Calibri" w:cs="Calibri"/>
          <w:bCs/>
          <w:szCs w:val="22"/>
          <w:lang w:eastAsia="en-US"/>
        </w:rPr>
      </w:pPr>
    </w:p>
    <w:p w:rsidR="008676F9" w:rsidRPr="008676F9" w:rsidRDefault="008676F9" w:rsidP="00AA6566">
      <w:pPr>
        <w:rPr>
          <w:rFonts w:ascii="Calibri" w:eastAsia="Calibri" w:hAnsi="Calibri" w:cs="Calibri"/>
          <w:bCs/>
          <w:szCs w:val="22"/>
          <w:lang w:eastAsia="en-US"/>
        </w:rPr>
      </w:pPr>
      <w:r w:rsidRPr="008676F9">
        <w:rPr>
          <w:rFonts w:ascii="Calibri" w:eastAsia="Calibri" w:hAnsi="Calibri" w:cs="Calibri"/>
          <w:bCs/>
          <w:szCs w:val="22"/>
          <w:lang w:eastAsia="en-US"/>
        </w:rPr>
        <w:t>Operácia prispieva prioritne k fokusovej oblasti 2A.</w:t>
      </w:r>
    </w:p>
    <w:p w:rsidR="008676F9" w:rsidRPr="008676F9" w:rsidRDefault="008676F9" w:rsidP="00AA6566">
      <w:pPr>
        <w:rPr>
          <w:rFonts w:ascii="Calibri" w:eastAsia="Calibri" w:hAnsi="Calibri" w:cs="Calibri"/>
          <w:bCs/>
          <w:szCs w:val="22"/>
          <w:lang w:eastAsia="en-US"/>
        </w:rPr>
      </w:pPr>
      <w:r w:rsidRPr="008676F9">
        <w:rPr>
          <w:rFonts w:ascii="Calibri" w:eastAsia="Calibri" w:hAnsi="Calibri" w:cs="Calibri"/>
          <w:bCs/>
          <w:szCs w:val="22"/>
          <w:lang w:eastAsia="en-US"/>
        </w:rPr>
        <w:t>Operácia prispieva sekundárne k fokusovej oblasti  2B, 6A, 4A, 4B, 4C, 5E.</w:t>
      </w:r>
    </w:p>
    <w:p w:rsidR="008676F9" w:rsidRPr="008676F9" w:rsidRDefault="008676F9" w:rsidP="00AA6566">
      <w:pPr>
        <w:rPr>
          <w:rFonts w:ascii="Calibri" w:eastAsia="Calibri" w:hAnsi="Calibri" w:cs="Calibri"/>
          <w:bCs/>
          <w:szCs w:val="22"/>
          <w:u w:val="single"/>
          <w:lang w:eastAsia="en-US"/>
        </w:rPr>
      </w:pPr>
    </w:p>
    <w:p w:rsidR="008676F9" w:rsidRPr="008676F9" w:rsidRDefault="008676F9" w:rsidP="00AA6566">
      <w:pPr>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Typ podpory:</w:t>
      </w:r>
    </w:p>
    <w:p w:rsidR="008676F9" w:rsidRPr="008676F9" w:rsidRDefault="008676F9" w:rsidP="00AA6566">
      <w:pPr>
        <w:rPr>
          <w:rFonts w:ascii="Calibri" w:eastAsia="Calibri" w:hAnsi="Calibri" w:cs="Calibri"/>
          <w:bCs/>
          <w:szCs w:val="22"/>
          <w:lang w:eastAsia="en-US"/>
        </w:rPr>
      </w:pPr>
      <w:r w:rsidRPr="008676F9">
        <w:rPr>
          <w:rFonts w:ascii="Calibri" w:eastAsia="Calibri" w:hAnsi="Calibri" w:cs="Calibri"/>
          <w:bCs/>
          <w:szCs w:val="22"/>
          <w:lang w:eastAsia="en-US"/>
        </w:rPr>
        <w:t>Investičná, nezisková, nenávratný finančný príspevok</w:t>
      </w:r>
      <w:r w:rsidR="00437817">
        <w:rPr>
          <w:rFonts w:ascii="Calibri" w:eastAsia="Calibri" w:hAnsi="Calibri" w:cs="Calibri"/>
          <w:bCs/>
          <w:szCs w:val="22"/>
          <w:lang w:eastAsia="en-US"/>
        </w:rPr>
        <w:t>, zálohové/refundačné/paušálne platby</w:t>
      </w:r>
      <w:r w:rsidRPr="008676F9">
        <w:rPr>
          <w:rFonts w:ascii="Calibri" w:eastAsia="Calibri" w:hAnsi="Calibri" w:cs="Calibri"/>
          <w:bCs/>
          <w:szCs w:val="22"/>
          <w:lang w:eastAsia="en-US"/>
        </w:rPr>
        <w:t>.</w:t>
      </w:r>
    </w:p>
    <w:p w:rsidR="00437817" w:rsidRDefault="00437817" w:rsidP="00AA6566">
      <w:pPr>
        <w:rPr>
          <w:rFonts w:ascii="Calibri" w:eastAsia="Calibri" w:hAnsi="Calibri" w:cs="Calibri"/>
          <w:bCs/>
          <w:szCs w:val="22"/>
          <w:u w:val="single"/>
          <w:lang w:eastAsia="en-US"/>
        </w:rPr>
      </w:pPr>
    </w:p>
    <w:p w:rsidR="008676F9" w:rsidRPr="008676F9" w:rsidRDefault="008676F9" w:rsidP="00AA6566">
      <w:pPr>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Súvislosť s inou legislatívou:</w:t>
      </w:r>
    </w:p>
    <w:p w:rsidR="008676F9" w:rsidRPr="008676F9" w:rsidRDefault="008676F9" w:rsidP="00955DA4">
      <w:pPr>
        <w:numPr>
          <w:ilvl w:val="0"/>
          <w:numId w:val="207"/>
        </w:numPr>
        <w:tabs>
          <w:tab w:val="left" w:pos="708"/>
        </w:tabs>
        <w:suppressAutoHyphens/>
        <w:rPr>
          <w:rFonts w:ascii="Calibri" w:eastAsia="Calibri" w:hAnsi="Calibri" w:cs="Calibri"/>
          <w:szCs w:val="22"/>
          <w:lang w:eastAsia="en-US"/>
        </w:rPr>
      </w:pPr>
      <w:r w:rsidRPr="008676F9">
        <w:rPr>
          <w:rFonts w:ascii="Calibri" w:eastAsia="Calibri" w:hAnsi="Calibri" w:cs="Calibri"/>
          <w:szCs w:val="22"/>
          <w:lang w:eastAsia="en-US"/>
        </w:rPr>
        <w:t>zákon č. 330/1991 Zb. o pozemkových úpravách, usporiadaní pozemkového vlastníctva, pozemkových úradoch, pozemkovom fonde a o pozemkových spoločenstvách;</w:t>
      </w:r>
    </w:p>
    <w:p w:rsidR="008676F9" w:rsidRPr="008676F9" w:rsidRDefault="008676F9" w:rsidP="00955DA4">
      <w:pPr>
        <w:numPr>
          <w:ilvl w:val="0"/>
          <w:numId w:val="207"/>
        </w:numPr>
        <w:tabs>
          <w:tab w:val="left" w:pos="708"/>
        </w:tabs>
        <w:suppressAutoHyphens/>
        <w:rPr>
          <w:rFonts w:ascii="Calibri" w:eastAsia="Calibri" w:hAnsi="Calibri" w:cs="Calibri"/>
          <w:szCs w:val="22"/>
          <w:lang w:eastAsia="en-US"/>
        </w:rPr>
      </w:pPr>
      <w:r w:rsidRPr="008676F9">
        <w:rPr>
          <w:rFonts w:ascii="Calibri" w:eastAsia="Calibri" w:hAnsi="Calibri" w:cs="Calibri"/>
          <w:szCs w:val="22"/>
          <w:lang w:eastAsia="en-US"/>
        </w:rPr>
        <w:t>zákon č. 50/1976 Zb. o územnom plánovaní a stavebnom poriadku;</w:t>
      </w:r>
    </w:p>
    <w:p w:rsidR="008676F9" w:rsidRPr="008676F9" w:rsidRDefault="008676F9" w:rsidP="00955DA4">
      <w:pPr>
        <w:numPr>
          <w:ilvl w:val="0"/>
          <w:numId w:val="207"/>
        </w:numPr>
        <w:tabs>
          <w:tab w:val="left" w:pos="708"/>
        </w:tabs>
        <w:suppressAutoHyphens/>
        <w:rPr>
          <w:rFonts w:ascii="Calibri" w:eastAsia="Calibri" w:hAnsi="Calibri" w:cs="Calibri"/>
          <w:szCs w:val="22"/>
          <w:lang w:eastAsia="en-US"/>
        </w:rPr>
      </w:pPr>
      <w:r w:rsidRPr="008676F9">
        <w:rPr>
          <w:rFonts w:ascii="Calibri" w:eastAsia="Calibri" w:hAnsi="Calibri" w:cs="Calibri"/>
          <w:szCs w:val="22"/>
          <w:lang w:eastAsia="en-US"/>
        </w:rPr>
        <w:t xml:space="preserve">zákon č. 25/2006 Z.z. o verejnom obstarávaní. </w:t>
      </w:r>
    </w:p>
    <w:p w:rsidR="008676F9" w:rsidRPr="008676F9" w:rsidRDefault="008676F9" w:rsidP="00AA6566">
      <w:pPr>
        <w:tabs>
          <w:tab w:val="left" w:pos="708"/>
        </w:tabs>
        <w:suppressAutoHyphens/>
        <w:rPr>
          <w:rFonts w:ascii="Calibri" w:eastAsia="Calibri" w:hAnsi="Calibri" w:cs="Calibri"/>
          <w:bCs/>
          <w:szCs w:val="22"/>
          <w:u w:val="single"/>
          <w:lang w:eastAsia="en-US"/>
        </w:rPr>
      </w:pPr>
    </w:p>
    <w:p w:rsidR="008676F9" w:rsidRPr="008676F9" w:rsidRDefault="008676F9" w:rsidP="00AA6566">
      <w:pPr>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Prijímateľ podpory:</w:t>
      </w:r>
    </w:p>
    <w:p w:rsidR="008676F9" w:rsidRPr="008676F9" w:rsidRDefault="008676F9" w:rsidP="00AA6566">
      <w:pPr>
        <w:rPr>
          <w:rFonts w:ascii="Calibri" w:eastAsia="Calibri" w:hAnsi="Calibri" w:cs="Calibri"/>
          <w:bCs/>
          <w:szCs w:val="22"/>
          <w:lang w:eastAsia="en-US"/>
        </w:rPr>
      </w:pPr>
      <w:r w:rsidRPr="008676F9">
        <w:rPr>
          <w:rFonts w:ascii="Calibri" w:eastAsia="Calibri" w:hAnsi="Calibri" w:cs="Calibri"/>
          <w:bCs/>
          <w:szCs w:val="22"/>
          <w:lang w:eastAsia="en-US"/>
        </w:rPr>
        <w:t>Ministerstvo pôdohospodárstva a rozvoja vidieka SR.</w:t>
      </w:r>
    </w:p>
    <w:p w:rsidR="008676F9" w:rsidRPr="008676F9" w:rsidRDefault="008676F9" w:rsidP="00AA6566">
      <w:pPr>
        <w:rPr>
          <w:rFonts w:ascii="Calibri" w:eastAsia="Calibri" w:hAnsi="Calibri" w:cs="Calibri"/>
          <w:bCs/>
          <w:szCs w:val="22"/>
          <w:lang w:eastAsia="en-US"/>
        </w:rPr>
      </w:pPr>
    </w:p>
    <w:p w:rsidR="008676F9" w:rsidRPr="008676F9" w:rsidRDefault="008676F9" w:rsidP="00AA6566">
      <w:pPr>
        <w:rPr>
          <w:rFonts w:ascii="Calibri" w:eastAsia="Calibri" w:hAnsi="Calibri" w:cs="Calibri"/>
          <w:bCs/>
          <w:szCs w:val="22"/>
          <w:lang w:eastAsia="en-US"/>
        </w:rPr>
      </w:pPr>
      <w:r w:rsidRPr="008676F9">
        <w:rPr>
          <w:rFonts w:ascii="Calibri" w:eastAsia="Calibri" w:hAnsi="Calibri" w:cs="Calibri"/>
          <w:bCs/>
          <w:szCs w:val="22"/>
          <w:lang w:eastAsia="en-US"/>
        </w:rPr>
        <w:t>Užívateľ:</w:t>
      </w:r>
    </w:p>
    <w:p w:rsidR="008676F9" w:rsidRPr="008676F9" w:rsidRDefault="008676F9" w:rsidP="00AA6566">
      <w:pPr>
        <w:rPr>
          <w:rFonts w:ascii="Calibri" w:eastAsia="Calibri" w:hAnsi="Calibri" w:cs="Calibri"/>
          <w:bCs/>
          <w:szCs w:val="22"/>
          <w:lang w:eastAsia="en-US"/>
        </w:rPr>
      </w:pPr>
      <w:r w:rsidRPr="008676F9">
        <w:rPr>
          <w:rFonts w:ascii="Calibri" w:eastAsia="Calibri" w:hAnsi="Calibri" w:cs="Calibri"/>
          <w:bCs/>
          <w:szCs w:val="22"/>
          <w:lang w:eastAsia="en-US"/>
        </w:rPr>
        <w:t xml:space="preserve">Priamy – štátna správa v oblasti pozemkových úprav a ochrany poľnohospodárskej pôdy. </w:t>
      </w:r>
    </w:p>
    <w:p w:rsidR="008676F9" w:rsidRPr="008676F9" w:rsidRDefault="008676F9" w:rsidP="00AA6566">
      <w:pPr>
        <w:rPr>
          <w:rFonts w:ascii="Calibri" w:eastAsia="Calibri" w:hAnsi="Calibri" w:cs="Calibri"/>
          <w:bCs/>
          <w:szCs w:val="22"/>
          <w:lang w:eastAsia="en-US"/>
        </w:rPr>
      </w:pPr>
      <w:r w:rsidRPr="008676F9">
        <w:rPr>
          <w:rFonts w:ascii="Calibri" w:eastAsia="Calibri" w:hAnsi="Calibri" w:cs="Calibri"/>
          <w:bCs/>
          <w:szCs w:val="22"/>
          <w:lang w:eastAsia="en-US"/>
        </w:rPr>
        <w:t>Nepriamy – obhospodarovatelia a vlastníci pôdy a miestna územná samospráva.</w:t>
      </w:r>
    </w:p>
    <w:p w:rsidR="008676F9" w:rsidRPr="008676F9" w:rsidRDefault="008676F9" w:rsidP="00AA6566">
      <w:pPr>
        <w:rPr>
          <w:rFonts w:ascii="Calibri" w:eastAsia="Calibri" w:hAnsi="Calibri" w:cs="Calibri"/>
          <w:bCs/>
          <w:szCs w:val="22"/>
          <w:lang w:eastAsia="en-US"/>
        </w:rPr>
      </w:pPr>
    </w:p>
    <w:p w:rsidR="008676F9" w:rsidRDefault="008676F9" w:rsidP="00AA6566">
      <w:pPr>
        <w:rPr>
          <w:rFonts w:ascii="Calibri" w:eastAsia="Calibri" w:hAnsi="Calibri" w:cs="Calibri"/>
          <w:szCs w:val="22"/>
          <w:u w:val="single"/>
          <w:lang w:eastAsia="en-US"/>
        </w:rPr>
      </w:pPr>
      <w:r w:rsidRPr="008676F9">
        <w:rPr>
          <w:rFonts w:ascii="Calibri" w:eastAsia="Calibri" w:hAnsi="Calibri" w:cs="Calibri"/>
          <w:bCs/>
          <w:szCs w:val="22"/>
          <w:u w:val="single"/>
          <w:lang w:eastAsia="en-US"/>
        </w:rPr>
        <w:t>Oprávnené náklady</w:t>
      </w:r>
      <w:r w:rsidRPr="008676F9">
        <w:rPr>
          <w:rFonts w:ascii="Calibri" w:eastAsia="Calibri" w:hAnsi="Calibri" w:cs="Calibri"/>
          <w:szCs w:val="22"/>
          <w:u w:val="single"/>
          <w:lang w:eastAsia="en-US"/>
        </w:rPr>
        <w:t xml:space="preserve">: </w:t>
      </w:r>
    </w:p>
    <w:p w:rsidR="008676F9" w:rsidRPr="00916A52" w:rsidRDefault="00916A52" w:rsidP="00916A52">
      <w:pPr>
        <w:rPr>
          <w:rFonts w:ascii="Calibri" w:eastAsia="Calibri" w:hAnsi="Calibri" w:cs="Calibri"/>
          <w:szCs w:val="22"/>
          <w:lang w:eastAsia="en-US"/>
        </w:rPr>
      </w:pPr>
      <w:r>
        <w:rPr>
          <w:rFonts w:ascii="Calibri" w:eastAsia="Calibri" w:hAnsi="Calibri" w:cs="Calibri"/>
          <w:szCs w:val="22"/>
          <w:lang w:eastAsia="en-US"/>
        </w:rPr>
        <w:t xml:space="preserve">Súvisiace všeobecné náklady  - </w:t>
      </w:r>
      <w:r w:rsidR="008676F9" w:rsidRPr="00916A52">
        <w:rPr>
          <w:rFonts w:ascii="Calibri" w:eastAsia="Calibri" w:hAnsi="Calibri" w:cs="Calibri"/>
          <w:szCs w:val="22"/>
          <w:lang w:eastAsia="en-US"/>
        </w:rPr>
        <w:t>náklady na riadenie projektu.</w:t>
      </w:r>
    </w:p>
    <w:p w:rsidR="008676F9" w:rsidRPr="008676F9" w:rsidRDefault="008676F9" w:rsidP="00AA6566">
      <w:pPr>
        <w:ind w:left="284" w:hanging="284"/>
        <w:rPr>
          <w:rFonts w:ascii="Calibri" w:eastAsia="Calibri" w:hAnsi="Calibri" w:cs="Calibri"/>
          <w:szCs w:val="22"/>
          <w:lang w:eastAsia="en-US"/>
        </w:rPr>
      </w:pPr>
    </w:p>
    <w:p w:rsidR="008676F9" w:rsidRPr="008676F9" w:rsidRDefault="008676F9" w:rsidP="00AA6566">
      <w:pPr>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Podmienky oprávnenosti:</w:t>
      </w:r>
    </w:p>
    <w:p w:rsidR="008676F9" w:rsidRPr="008676F9" w:rsidRDefault="008676F9" w:rsidP="00AA6566">
      <w:pPr>
        <w:rPr>
          <w:rFonts w:ascii="Calibri" w:eastAsia="Calibri" w:hAnsi="Calibri" w:cs="Calibri"/>
          <w:bCs/>
          <w:szCs w:val="22"/>
          <w:lang w:eastAsia="en-US"/>
        </w:rPr>
      </w:pPr>
      <w:r w:rsidRPr="008676F9">
        <w:rPr>
          <w:rFonts w:ascii="Calibri" w:eastAsia="Calibri" w:hAnsi="Calibri" w:cs="Calibri"/>
          <w:bCs/>
          <w:szCs w:val="22"/>
          <w:lang w:eastAsia="en-US"/>
        </w:rPr>
        <w:t>Oprávnené sú len tie činnosti, ktoré zabezpečia kontinuitu pozemkových úprav v súlade s príslušnými právnymi predpismi EÚ a ktoré sú definované platnými právnymi, metodickými a technickými predpismi, a to:</w:t>
      </w:r>
    </w:p>
    <w:p w:rsidR="008676F9" w:rsidRPr="008676F9" w:rsidRDefault="008676F9" w:rsidP="00955DA4">
      <w:pPr>
        <w:numPr>
          <w:ilvl w:val="0"/>
          <w:numId w:val="157"/>
        </w:numPr>
        <w:rPr>
          <w:rFonts w:ascii="Calibri" w:eastAsia="Calibri" w:hAnsi="Calibri" w:cs="Calibri"/>
          <w:bCs/>
          <w:szCs w:val="22"/>
          <w:lang w:eastAsia="en-US"/>
        </w:rPr>
      </w:pPr>
      <w:r w:rsidRPr="008676F9">
        <w:rPr>
          <w:rFonts w:ascii="Calibri" w:eastAsia="Calibri" w:hAnsi="Calibri" w:cs="Calibri"/>
          <w:bCs/>
          <w:lang w:eastAsia="en-US"/>
        </w:rPr>
        <w:t xml:space="preserve">investície </w:t>
      </w:r>
      <w:r w:rsidRPr="008676F9">
        <w:rPr>
          <w:rFonts w:ascii="Calibri" w:eastAsia="Calibri" w:hAnsi="Calibri" w:cs="Calibri"/>
          <w:bCs/>
          <w:szCs w:val="22"/>
          <w:lang w:eastAsia="en-US"/>
        </w:rPr>
        <w:t>spojené so znížením rozdrobenosti pozemkového vlastníctva zabezpečením kontinuity pozemkových úprav;</w:t>
      </w:r>
    </w:p>
    <w:p w:rsidR="008676F9" w:rsidRPr="008676F9" w:rsidRDefault="008676F9" w:rsidP="00955DA4">
      <w:pPr>
        <w:numPr>
          <w:ilvl w:val="0"/>
          <w:numId w:val="157"/>
        </w:numPr>
        <w:rPr>
          <w:rFonts w:ascii="Calibri" w:eastAsia="Calibri" w:hAnsi="Calibri" w:cs="Calibri"/>
          <w:bCs/>
          <w:szCs w:val="22"/>
          <w:lang w:eastAsia="en-US"/>
        </w:rPr>
      </w:pPr>
      <w:r w:rsidRPr="008676F9">
        <w:rPr>
          <w:rFonts w:ascii="Calibri" w:eastAsia="Calibri" w:hAnsi="Calibri" w:cs="Calibri"/>
          <w:bCs/>
          <w:szCs w:val="22"/>
          <w:lang w:eastAsia="en-US"/>
        </w:rPr>
        <w:t>investície spojené s vytvorením novej  evidencie pozemkového vlastníctva;</w:t>
      </w:r>
    </w:p>
    <w:p w:rsidR="008676F9" w:rsidRPr="008676F9" w:rsidRDefault="008676F9" w:rsidP="00955DA4">
      <w:pPr>
        <w:numPr>
          <w:ilvl w:val="0"/>
          <w:numId w:val="157"/>
        </w:numPr>
        <w:rPr>
          <w:rFonts w:ascii="Calibri" w:eastAsia="Calibri" w:hAnsi="Calibri" w:cs="Calibri"/>
          <w:bCs/>
          <w:szCs w:val="22"/>
          <w:lang w:eastAsia="en-US"/>
        </w:rPr>
      </w:pPr>
      <w:r w:rsidRPr="008676F9">
        <w:rPr>
          <w:rFonts w:ascii="Calibri" w:eastAsia="Calibri" w:hAnsi="Calibri" w:cs="Calibri"/>
          <w:bCs/>
          <w:szCs w:val="22"/>
          <w:lang w:eastAsia="en-US"/>
        </w:rPr>
        <w:t>investície spojené s podporou hospodárenia na pozemkoch;</w:t>
      </w:r>
    </w:p>
    <w:p w:rsidR="008676F9" w:rsidRPr="008676F9" w:rsidRDefault="008676F9" w:rsidP="00955DA4">
      <w:pPr>
        <w:numPr>
          <w:ilvl w:val="0"/>
          <w:numId w:val="157"/>
        </w:numPr>
        <w:rPr>
          <w:rFonts w:ascii="Calibri" w:eastAsia="Calibri" w:hAnsi="Calibri" w:cs="Calibri"/>
          <w:bCs/>
          <w:szCs w:val="22"/>
          <w:lang w:eastAsia="en-US"/>
        </w:rPr>
      </w:pPr>
      <w:r w:rsidRPr="008676F9">
        <w:rPr>
          <w:rFonts w:ascii="Calibri" w:eastAsia="Calibri" w:hAnsi="Calibri" w:cs="Calibri"/>
          <w:bCs/>
          <w:szCs w:val="22"/>
          <w:lang w:eastAsia="en-US"/>
        </w:rPr>
        <w:t>Investície spojené s vytvorením podmienok pre korektné nájomné vzťahy k pozemkom;</w:t>
      </w:r>
    </w:p>
    <w:p w:rsidR="008676F9" w:rsidRPr="008676F9" w:rsidRDefault="008676F9" w:rsidP="00AA6566">
      <w:pPr>
        <w:rPr>
          <w:rFonts w:ascii="Calibri" w:eastAsia="Calibri" w:hAnsi="Calibri" w:cs="Calibri"/>
          <w:bCs/>
          <w:szCs w:val="22"/>
          <w:lang w:eastAsia="en-US"/>
        </w:rPr>
      </w:pPr>
    </w:p>
    <w:p w:rsidR="008676F9" w:rsidRPr="008676F9" w:rsidRDefault="008676F9" w:rsidP="00AA6566">
      <w:pPr>
        <w:rPr>
          <w:rFonts w:ascii="Calibri" w:eastAsia="Calibri" w:hAnsi="Calibri" w:cs="Calibri"/>
          <w:bCs/>
          <w:szCs w:val="22"/>
          <w:lang w:eastAsia="en-US"/>
        </w:rPr>
      </w:pPr>
      <w:r w:rsidRPr="008676F9">
        <w:rPr>
          <w:rFonts w:ascii="Calibri" w:eastAsia="Calibri" w:hAnsi="Calibri" w:cs="Calibri"/>
          <w:bCs/>
          <w:szCs w:val="22"/>
          <w:lang w:eastAsia="en-US"/>
        </w:rPr>
        <w:t>Prostriedky nie je možné čerpať na katastrálne územia ležiace mimo územia Slovenska.</w:t>
      </w:r>
    </w:p>
    <w:p w:rsidR="008676F9" w:rsidRPr="008676F9" w:rsidRDefault="008676F9" w:rsidP="00AA6566">
      <w:pPr>
        <w:ind w:left="284" w:hanging="284"/>
        <w:rPr>
          <w:rFonts w:ascii="Calibri" w:eastAsia="Calibri" w:hAnsi="Calibri" w:cs="Calibri"/>
          <w:szCs w:val="22"/>
          <w:u w:val="single"/>
          <w:lang w:eastAsia="en-US"/>
        </w:rPr>
      </w:pPr>
      <w:r w:rsidRPr="008676F9">
        <w:rPr>
          <w:rFonts w:ascii="Calibri" w:eastAsia="Calibri" w:hAnsi="Calibri" w:cs="Calibri"/>
          <w:szCs w:val="22"/>
          <w:lang w:eastAsia="en-US"/>
        </w:rPr>
        <w:t xml:space="preserve"> </w:t>
      </w:r>
      <w:r w:rsidRPr="008676F9">
        <w:rPr>
          <w:rFonts w:ascii="Calibri" w:eastAsia="Calibri" w:hAnsi="Calibri" w:cs="Calibri"/>
          <w:szCs w:val="22"/>
          <w:u w:val="single"/>
          <w:lang w:eastAsia="en-US"/>
        </w:rPr>
        <w:t>Princípy nastavenia výberových kritérií:</w:t>
      </w:r>
    </w:p>
    <w:p w:rsidR="008676F9" w:rsidRPr="008676F9" w:rsidRDefault="008676F9" w:rsidP="00955DA4">
      <w:pPr>
        <w:numPr>
          <w:ilvl w:val="0"/>
          <w:numId w:val="208"/>
        </w:numPr>
        <w:ind w:left="714" w:hanging="357"/>
        <w:rPr>
          <w:rFonts w:ascii="Calibri" w:eastAsia="Calibri" w:hAnsi="Calibri"/>
          <w:szCs w:val="22"/>
          <w:lang w:eastAsia="en-US"/>
        </w:rPr>
      </w:pPr>
      <w:r w:rsidRPr="008676F9">
        <w:rPr>
          <w:rFonts w:ascii="Calibri" w:eastAsia="Calibri" w:hAnsi="Calibri" w:cs="Calibri"/>
          <w:szCs w:val="22"/>
          <w:lang w:eastAsia="en-US"/>
        </w:rPr>
        <w:t>príspevok investície k naplneniu cieľa</w:t>
      </w:r>
      <w:r w:rsidRPr="008676F9">
        <w:rPr>
          <w:rFonts w:ascii="Calibri" w:eastAsia="Calibri" w:hAnsi="Calibri"/>
          <w:szCs w:val="22"/>
          <w:lang w:eastAsia="en-US"/>
        </w:rPr>
        <w:t>;</w:t>
      </w:r>
    </w:p>
    <w:p w:rsidR="008676F9" w:rsidRPr="008676F9" w:rsidRDefault="008676F9" w:rsidP="00955DA4">
      <w:pPr>
        <w:numPr>
          <w:ilvl w:val="0"/>
          <w:numId w:val="208"/>
        </w:numPr>
        <w:ind w:left="714" w:hanging="357"/>
        <w:rPr>
          <w:rFonts w:ascii="Calibri" w:eastAsia="Calibri" w:hAnsi="Calibri"/>
          <w:szCs w:val="22"/>
          <w:lang w:eastAsia="en-US"/>
        </w:rPr>
      </w:pPr>
      <w:r w:rsidRPr="008676F9">
        <w:rPr>
          <w:rFonts w:ascii="Calibri" w:eastAsia="Calibri" w:hAnsi="Calibri" w:cs="Calibri"/>
          <w:szCs w:val="22"/>
          <w:lang w:eastAsia="en-US"/>
        </w:rPr>
        <w:t xml:space="preserve">komplexnosť, </w:t>
      </w:r>
      <w:r w:rsidRPr="008676F9">
        <w:rPr>
          <w:rFonts w:ascii="Calibri" w:eastAsia="Calibri" w:hAnsi="Calibri" w:cs="Calibri"/>
          <w:bCs/>
          <w:szCs w:val="22"/>
          <w:lang w:eastAsia="en-US"/>
        </w:rPr>
        <w:t>udržateľnosť, efektívnosť projektu, schopnosť realizácie projektu, hospodárnosť projektu</w:t>
      </w:r>
      <w:r w:rsidRPr="008676F9">
        <w:rPr>
          <w:rFonts w:ascii="Calibri" w:eastAsia="Calibri" w:hAnsi="Calibri"/>
          <w:szCs w:val="22"/>
          <w:lang w:eastAsia="en-US"/>
        </w:rPr>
        <w:t>.</w:t>
      </w:r>
    </w:p>
    <w:p w:rsidR="008676F9" w:rsidRPr="008676F9" w:rsidRDefault="008676F9" w:rsidP="008676F9">
      <w:pPr>
        <w:rPr>
          <w:rFonts w:ascii="Calibri" w:eastAsia="Calibri" w:hAnsi="Calibri" w:cs="Calibri"/>
          <w:bCs/>
          <w:szCs w:val="22"/>
          <w:u w:val="single"/>
          <w:lang w:eastAsia="en-US"/>
        </w:rPr>
      </w:pPr>
    </w:p>
    <w:p w:rsidR="008676F9" w:rsidRPr="008676F9" w:rsidRDefault="008676F9" w:rsidP="008676F9">
      <w:pPr>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Výška a miera podpory:</w:t>
      </w:r>
    </w:p>
    <w:p w:rsidR="008676F9" w:rsidRPr="008676F9" w:rsidRDefault="008676F9" w:rsidP="008676F9">
      <w:pPr>
        <w:rPr>
          <w:rFonts w:ascii="Calibri" w:eastAsia="Calibri" w:hAnsi="Calibri" w:cs="Calibri"/>
          <w:bCs/>
          <w:szCs w:val="22"/>
          <w:lang w:eastAsia="en-US"/>
        </w:rPr>
      </w:pPr>
      <w:r w:rsidRPr="008676F9">
        <w:rPr>
          <w:rFonts w:ascii="Calibri" w:eastAsia="Calibri" w:hAnsi="Calibri" w:cs="Calibri"/>
          <w:bCs/>
          <w:szCs w:val="22"/>
          <w:lang w:eastAsia="en-US"/>
        </w:rPr>
        <w:t xml:space="preserve">Maximálna výška podpory z celkových oprávnených výdavkov: </w:t>
      </w:r>
    </w:p>
    <w:p w:rsidR="008676F9" w:rsidRPr="008676F9" w:rsidRDefault="008676F9" w:rsidP="00955DA4">
      <w:pPr>
        <w:numPr>
          <w:ilvl w:val="0"/>
          <w:numId w:val="97"/>
        </w:numPr>
        <w:spacing w:after="200" w:line="276" w:lineRule="auto"/>
        <w:rPr>
          <w:rFonts w:ascii="Calibri" w:eastAsia="Calibri" w:hAnsi="Calibri"/>
          <w:szCs w:val="22"/>
          <w:lang w:eastAsia="en-US"/>
        </w:rPr>
      </w:pPr>
      <w:r w:rsidRPr="008676F9">
        <w:rPr>
          <w:rFonts w:ascii="Calibri" w:eastAsia="Calibri" w:hAnsi="Calibri"/>
          <w:szCs w:val="22"/>
          <w:lang w:eastAsia="en-US"/>
        </w:rPr>
        <w:t>100%.</w:t>
      </w:r>
    </w:p>
    <w:p w:rsidR="008676F9" w:rsidRPr="008676F9" w:rsidRDefault="008676F9" w:rsidP="008676F9">
      <w:pPr>
        <w:tabs>
          <w:tab w:val="left" w:pos="142"/>
        </w:tabs>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Ďalšie informácie špecifické pre danú operáciu:</w:t>
      </w:r>
    </w:p>
    <w:p w:rsidR="008676F9" w:rsidRPr="008676F9" w:rsidRDefault="008676F9" w:rsidP="008676F9">
      <w:pPr>
        <w:tabs>
          <w:tab w:val="left" w:pos="142"/>
        </w:tabs>
        <w:spacing w:after="120"/>
        <w:rPr>
          <w:rFonts w:ascii="Calibri" w:eastAsia="Calibri" w:hAnsi="Calibri" w:cs="Calibri"/>
          <w:bCs/>
          <w:szCs w:val="22"/>
          <w:lang w:eastAsia="en-US"/>
        </w:rPr>
      </w:pPr>
      <w:r w:rsidRPr="008676F9">
        <w:rPr>
          <w:rFonts w:ascii="Calibri" w:eastAsia="Calibri" w:hAnsi="Calibri" w:cs="Calibri"/>
          <w:bCs/>
          <w:szCs w:val="22"/>
          <w:lang w:eastAsia="en-US"/>
        </w:rPr>
        <w:t xml:space="preserve">Finančná pomoc v zmluvách na vypracovanie a vykonanie projektov pozemkových úprav spolufinancovaných EÚ je vo väčšine prípadov, vzhľadom na časový a finančný horizont projektov pozemkových úprav, rozdelená na dve programovacie obdobia, v tomto prípade na programovacie obdobie 2007 – 2013 s fakturovaním do 31.3.2015 a na programovacie obdobie 2014 – 2020. </w:t>
      </w:r>
    </w:p>
    <w:p w:rsidR="002E6EC8" w:rsidRPr="002E6EC8" w:rsidRDefault="008676F9" w:rsidP="002E6EC8">
      <w:pPr>
        <w:tabs>
          <w:tab w:val="left" w:pos="142"/>
        </w:tabs>
        <w:spacing w:after="120"/>
        <w:rPr>
          <w:rFonts w:ascii="Calibri" w:eastAsia="Calibri" w:hAnsi="Calibri" w:cs="Calibri"/>
          <w:bCs/>
          <w:szCs w:val="22"/>
          <w:lang w:eastAsia="en-US"/>
        </w:rPr>
      </w:pPr>
      <w:r w:rsidRPr="008676F9">
        <w:rPr>
          <w:rFonts w:ascii="Calibri" w:eastAsia="Calibri" w:hAnsi="Calibri" w:cs="Calibri"/>
          <w:bCs/>
          <w:szCs w:val="22"/>
          <w:lang w:eastAsia="en-US"/>
        </w:rPr>
        <w:t>Z Programu rozvoja vidieka SR 2014 – 2020 je potreba finančných prostriedkov  v objeme cca</w:t>
      </w:r>
      <w:r w:rsidR="002E6EC8">
        <w:rPr>
          <w:rFonts w:ascii="Calibri" w:eastAsia="Calibri" w:hAnsi="Calibri" w:cs="Calibri"/>
          <w:bCs/>
          <w:szCs w:val="22"/>
          <w:lang w:eastAsia="en-US"/>
        </w:rPr>
        <w:t xml:space="preserve"> 55</w:t>
      </w:r>
      <w:r w:rsidRPr="008676F9">
        <w:rPr>
          <w:rFonts w:ascii="Calibri" w:eastAsia="Calibri" w:hAnsi="Calibri" w:cs="Calibri"/>
          <w:bCs/>
          <w:szCs w:val="22"/>
          <w:lang w:eastAsia="en-US"/>
        </w:rPr>
        <w:t xml:space="preserve"> mil. € </w:t>
      </w:r>
      <w:r w:rsidR="002E6EC8" w:rsidRPr="002E6EC8">
        <w:rPr>
          <w:rFonts w:ascii="Calibri" w:eastAsia="Calibri" w:hAnsi="Calibri" w:cs="Calibri"/>
          <w:bCs/>
          <w:szCs w:val="22"/>
          <w:lang w:eastAsia="en-US"/>
        </w:rPr>
        <w:t>na realizáciu projektov pozemkových úprav, pričom v objeme 35 mil. € sú pripravené projekty pozemkových úprav s predpokladom začatia realizácie prác do roku 2015 a zvyšný objem finančných prostriedkov sa použije na práce súvisiace s vyhotovením projektov pozemkových úprav, ktoré budú verejne obstarané a vypracované do roku 2016. Okrem toho sa predpokladá prechod záväzkov z PRV SR 2007-2013 do PRV SR 2014-2020 vo výške 2 mil. €.</w:t>
      </w:r>
    </w:p>
    <w:p w:rsidR="008676F9" w:rsidRPr="008676F9" w:rsidRDefault="008676F9" w:rsidP="002E6EC8">
      <w:pPr>
        <w:tabs>
          <w:tab w:val="left" w:pos="142"/>
        </w:tabs>
        <w:spacing w:after="120"/>
        <w:rPr>
          <w:rFonts w:ascii="Calibri" w:eastAsia="Calibri" w:hAnsi="Calibri" w:cs="Calibri"/>
          <w:bCs/>
          <w:szCs w:val="22"/>
          <w:lang w:eastAsia="en-US"/>
        </w:rPr>
      </w:pPr>
      <w:r w:rsidRPr="008676F9">
        <w:rPr>
          <w:rFonts w:ascii="Calibri" w:eastAsia="Calibri" w:hAnsi="Calibri" w:cs="Calibri"/>
          <w:bCs/>
          <w:szCs w:val="22"/>
          <w:lang w:eastAsia="en-US"/>
        </w:rPr>
        <w:t xml:space="preserve">Práce súvisiace so zabezpečením vypracovania a vykonania projektu pozemkových úprav sú rozdelené do viacerých etáp, pričom priemerná doba trvania vypracovania a vykonania projektu je                  5 - 6 rokov. Ich prípadné prerušenie a ukončenie  niektorej z etáp je neefektívne. Čiastkové výsledky sú nepoužiteľné, pretože výsledkom musí byť právoplatné rozhodnutie správneho orgánu, ktorým sa zakladajú, menia a rušia vlastnícke vzťahy k pozemkom. </w:t>
      </w:r>
    </w:p>
    <w:p w:rsidR="008676F9" w:rsidRPr="008676F9" w:rsidRDefault="008676F9" w:rsidP="008676F9">
      <w:pPr>
        <w:tabs>
          <w:tab w:val="left" w:pos="142"/>
        </w:tabs>
        <w:spacing w:after="120"/>
        <w:rPr>
          <w:rFonts w:ascii="Calibri" w:eastAsia="Calibri" w:hAnsi="Calibri" w:cs="Calibri"/>
          <w:bCs/>
          <w:szCs w:val="22"/>
          <w:lang w:eastAsia="en-US"/>
        </w:rPr>
      </w:pPr>
      <w:r w:rsidRPr="008676F9">
        <w:rPr>
          <w:rFonts w:ascii="Calibri" w:eastAsia="Calibri" w:hAnsi="Calibri" w:cs="Calibri"/>
          <w:bCs/>
          <w:szCs w:val="22"/>
          <w:lang w:eastAsia="en-US"/>
        </w:rPr>
        <w:t xml:space="preserve">V prípadoch nepokračovania začatých konaní a prác spojených s pozemkovými úpravami by to bolo neefektívne vynakladanie finančných prostriedkov. </w:t>
      </w:r>
    </w:p>
    <w:p w:rsidR="00AA6566" w:rsidRDefault="00AA6566" w:rsidP="008676F9">
      <w:pPr>
        <w:tabs>
          <w:tab w:val="left" w:pos="142"/>
        </w:tabs>
        <w:rPr>
          <w:rFonts w:ascii="Calibri" w:eastAsia="Calibri" w:hAnsi="Calibri" w:cs="Calibri"/>
          <w:bCs/>
          <w:szCs w:val="22"/>
          <w:lang w:eastAsia="en-US"/>
        </w:rPr>
      </w:pPr>
    </w:p>
    <w:p w:rsidR="008676F9" w:rsidRPr="008676F9" w:rsidRDefault="008676F9" w:rsidP="00E53F6F">
      <w:pPr>
        <w:shd w:val="clear" w:color="auto" w:fill="D6E3BC"/>
        <w:ind w:left="1701" w:hanging="1701"/>
        <w:jc w:val="left"/>
        <w:rPr>
          <w:rFonts w:ascii="Calibri" w:eastAsia="Calibri" w:hAnsi="Calibri" w:cs="Calibri"/>
          <w:bCs/>
          <w:i/>
          <w:szCs w:val="22"/>
          <w:lang w:eastAsia="en-US"/>
        </w:rPr>
      </w:pPr>
      <w:r w:rsidRPr="008676F9">
        <w:rPr>
          <w:rFonts w:ascii="Calibri" w:eastAsia="Calibri" w:hAnsi="Calibri" w:cs="Calibri"/>
          <w:bCs/>
          <w:szCs w:val="22"/>
          <w:lang w:eastAsia="en-US"/>
        </w:rPr>
        <w:t xml:space="preserve">Podopatrenie: </w:t>
      </w:r>
      <w:r w:rsidRPr="008676F9">
        <w:rPr>
          <w:rFonts w:ascii="Calibri" w:eastAsia="Calibri" w:hAnsi="Calibri" w:cs="Calibri"/>
          <w:b/>
          <w:bCs/>
          <w:i/>
          <w:szCs w:val="22"/>
          <w:lang w:eastAsia="en-US"/>
        </w:rPr>
        <w:t xml:space="preserve">4.3 </w:t>
      </w:r>
      <w:r w:rsidRPr="00E53F6F">
        <w:rPr>
          <w:rFonts w:ascii="Calibri" w:eastAsia="Calibri" w:hAnsi="Calibri" w:cs="Calibri"/>
          <w:b/>
          <w:bCs/>
          <w:i/>
          <w:sz w:val="24"/>
          <w:lang w:eastAsia="en-US"/>
        </w:rPr>
        <w:t>Podpora investícií do infraštruktúry týkajúcej sa rozvoja, modernizácie alebo adaptácie poľnohospodárstva a lesníctva</w:t>
      </w:r>
    </w:p>
    <w:p w:rsidR="008676F9" w:rsidRPr="008676F9" w:rsidRDefault="008676F9" w:rsidP="008676F9">
      <w:pPr>
        <w:shd w:val="clear" w:color="auto" w:fill="FBD4B4"/>
        <w:rPr>
          <w:rFonts w:ascii="Calibri" w:eastAsia="Calibri" w:hAnsi="Calibri" w:cs="Calibri"/>
          <w:i/>
          <w:szCs w:val="22"/>
          <w:u w:val="single"/>
          <w:lang w:eastAsia="en-US"/>
        </w:rPr>
      </w:pPr>
      <w:r w:rsidRPr="008676F9">
        <w:rPr>
          <w:rFonts w:ascii="Calibri" w:eastAsia="Calibri" w:hAnsi="Calibri" w:cs="Calibri"/>
          <w:i/>
          <w:szCs w:val="22"/>
          <w:u w:val="single"/>
          <w:lang w:eastAsia="en-US"/>
        </w:rPr>
        <w:t xml:space="preserve">Názov operácie: </w:t>
      </w:r>
    </w:p>
    <w:p w:rsidR="008676F9" w:rsidRPr="008676F9" w:rsidRDefault="008676F9" w:rsidP="008676F9">
      <w:pPr>
        <w:shd w:val="clear" w:color="auto" w:fill="FBD4B4"/>
        <w:rPr>
          <w:rFonts w:ascii="Calibri" w:eastAsia="Calibri" w:hAnsi="Calibri" w:cs="Calibri"/>
          <w:i/>
          <w:szCs w:val="22"/>
          <w:u w:val="single"/>
          <w:lang w:eastAsia="en-US"/>
        </w:rPr>
      </w:pPr>
      <w:r w:rsidRPr="008676F9">
        <w:rPr>
          <w:rFonts w:ascii="Calibri" w:eastAsia="Calibri" w:hAnsi="Calibri" w:cs="Calibri"/>
          <w:i/>
          <w:szCs w:val="22"/>
          <w:lang w:eastAsia="en-US"/>
        </w:rPr>
        <w:t>Vybudovanie spoločných zariadení</w:t>
      </w:r>
      <w:r w:rsidR="00E867CB">
        <w:rPr>
          <w:rFonts w:ascii="Calibri" w:eastAsia="Calibri" w:hAnsi="Calibri" w:cs="Calibri"/>
          <w:i/>
          <w:szCs w:val="22"/>
          <w:lang w:eastAsia="en-US"/>
        </w:rPr>
        <w:t xml:space="preserve"> a opatrení</w:t>
      </w:r>
    </w:p>
    <w:p w:rsidR="008676F9" w:rsidRPr="008676F9" w:rsidRDefault="008676F9" w:rsidP="008676F9">
      <w:pPr>
        <w:tabs>
          <w:tab w:val="left" w:pos="708"/>
        </w:tabs>
        <w:suppressAutoHyphens/>
        <w:rPr>
          <w:rFonts w:ascii="Calibri" w:eastAsia="Calibri" w:hAnsi="Calibri" w:cs="Calibri"/>
          <w:bCs/>
          <w:szCs w:val="22"/>
          <w:u w:val="single"/>
          <w:lang w:eastAsia="en-US"/>
        </w:rPr>
      </w:pPr>
    </w:p>
    <w:p w:rsidR="008676F9" w:rsidRPr="008676F9" w:rsidRDefault="008676F9" w:rsidP="008676F9">
      <w:pPr>
        <w:tabs>
          <w:tab w:val="left" w:pos="708"/>
        </w:tabs>
        <w:suppressAutoHyphens/>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Opis operácie:</w:t>
      </w:r>
    </w:p>
    <w:p w:rsidR="008676F9" w:rsidRPr="008676F9" w:rsidRDefault="008676F9" w:rsidP="00AA6566">
      <w:pPr>
        <w:tabs>
          <w:tab w:val="left" w:pos="708"/>
        </w:tabs>
        <w:suppressAutoHyphens/>
        <w:rPr>
          <w:rFonts w:ascii="Calibri" w:eastAsia="Calibri" w:hAnsi="Calibri" w:cs="Calibri"/>
          <w:bCs/>
          <w:szCs w:val="22"/>
          <w:lang w:eastAsia="en-US"/>
        </w:rPr>
      </w:pPr>
      <w:r w:rsidRPr="008676F9">
        <w:rPr>
          <w:rFonts w:ascii="Calibri" w:eastAsia="Calibri" w:hAnsi="Calibri" w:cs="Calibri"/>
          <w:bCs/>
          <w:szCs w:val="22"/>
          <w:lang w:eastAsia="en-US"/>
        </w:rPr>
        <w:t xml:space="preserve">Vybudovaním  spoločných zariadení </w:t>
      </w:r>
      <w:r w:rsidR="00E867CB">
        <w:rPr>
          <w:rFonts w:ascii="Calibri" w:eastAsia="Calibri" w:hAnsi="Calibri" w:cs="Calibri"/>
          <w:bCs/>
          <w:szCs w:val="22"/>
          <w:lang w:eastAsia="en-US"/>
        </w:rPr>
        <w:t xml:space="preserve">a opatrení </w:t>
      </w:r>
      <w:r w:rsidRPr="008676F9">
        <w:rPr>
          <w:rFonts w:ascii="Calibri" w:eastAsia="Calibri" w:hAnsi="Calibri" w:cs="Calibri"/>
          <w:bCs/>
          <w:szCs w:val="22"/>
          <w:lang w:eastAsia="en-US"/>
        </w:rPr>
        <w:t xml:space="preserve">na pozemkoch, ktoré sú výsledkom projektov pozemkových úprav dochádza v územiach, na ktorých boli vykonané PPÚ k reálnemu predpokladu zníženia nákladov na prepravu materiálov (osív, sadív, hnojív a pod.); k optimálnej kultivácii a ošetrovaniu pozemkov vplyvom racionálnejšieho rozmiestnenia a tvaru parciel; k modernizácii a prispôsobením poľnohospodárstva a lesného hospodárstva vrátane lepšieho prístupu k poľnohospodárskej a lesnej pôde;  a  tým dochádza k úspore energií, najmä pohonných hmôt. </w:t>
      </w:r>
    </w:p>
    <w:p w:rsidR="008676F9" w:rsidRPr="008676F9" w:rsidRDefault="008676F9" w:rsidP="00AA6566">
      <w:pPr>
        <w:tabs>
          <w:tab w:val="left" w:pos="708"/>
        </w:tabs>
        <w:suppressAutoHyphens/>
        <w:rPr>
          <w:rFonts w:ascii="Calibri" w:eastAsia="Calibri" w:hAnsi="Calibri" w:cs="Calibri"/>
          <w:bCs/>
          <w:szCs w:val="22"/>
          <w:lang w:eastAsia="en-US"/>
        </w:rPr>
      </w:pPr>
      <w:r w:rsidRPr="008676F9">
        <w:rPr>
          <w:rFonts w:ascii="Calibri" w:eastAsia="Calibri" w:hAnsi="Calibri" w:cs="Calibri"/>
          <w:bCs/>
          <w:szCs w:val="22"/>
          <w:lang w:eastAsia="en-US"/>
        </w:rPr>
        <w:t xml:space="preserve">Operácia prispieva prioritne k fokusovej oblasti 4C </w:t>
      </w:r>
    </w:p>
    <w:p w:rsidR="008676F9" w:rsidRPr="008676F9" w:rsidRDefault="008676F9" w:rsidP="00AA6566">
      <w:pPr>
        <w:tabs>
          <w:tab w:val="left" w:pos="708"/>
        </w:tabs>
        <w:suppressAutoHyphens/>
        <w:rPr>
          <w:rFonts w:ascii="Calibri" w:eastAsia="Calibri" w:hAnsi="Calibri" w:cs="Calibri"/>
          <w:bCs/>
          <w:szCs w:val="22"/>
          <w:u w:val="single"/>
          <w:lang w:eastAsia="en-US"/>
        </w:rPr>
      </w:pPr>
    </w:p>
    <w:p w:rsidR="008676F9" w:rsidRPr="008676F9" w:rsidRDefault="008676F9" w:rsidP="00AA6566">
      <w:pPr>
        <w:tabs>
          <w:tab w:val="left" w:pos="708"/>
        </w:tabs>
        <w:suppressAutoHyphens/>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 xml:space="preserve">Typ podpory: </w:t>
      </w:r>
    </w:p>
    <w:p w:rsidR="008676F9" w:rsidRPr="008676F9" w:rsidRDefault="008676F9" w:rsidP="00AA6566">
      <w:pPr>
        <w:tabs>
          <w:tab w:val="left" w:pos="708"/>
        </w:tabs>
        <w:suppressAutoHyphens/>
        <w:rPr>
          <w:rFonts w:ascii="Calibri" w:hAnsi="Calibri"/>
          <w:szCs w:val="22"/>
        </w:rPr>
      </w:pPr>
      <w:r w:rsidRPr="008676F9">
        <w:rPr>
          <w:rFonts w:ascii="Calibri" w:eastAsia="Calibri" w:hAnsi="Calibri" w:cs="Calibri"/>
          <w:bCs/>
          <w:szCs w:val="22"/>
          <w:lang w:eastAsia="en-US"/>
        </w:rPr>
        <w:t>Investičná, nezisková, nenávratný finančný príspevok</w:t>
      </w:r>
      <w:r w:rsidR="00437817">
        <w:rPr>
          <w:rFonts w:ascii="Calibri" w:eastAsia="Calibri" w:hAnsi="Calibri" w:cs="Calibri"/>
          <w:bCs/>
          <w:szCs w:val="22"/>
          <w:lang w:eastAsia="en-US"/>
        </w:rPr>
        <w:t>, zálohové/refundačné/paušálne platby</w:t>
      </w:r>
      <w:r w:rsidRPr="008676F9">
        <w:rPr>
          <w:rFonts w:ascii="Calibri" w:eastAsia="Calibri" w:hAnsi="Calibri" w:cs="Calibri"/>
          <w:bCs/>
          <w:szCs w:val="22"/>
          <w:lang w:eastAsia="en-US"/>
        </w:rPr>
        <w:t>.</w:t>
      </w:r>
    </w:p>
    <w:p w:rsidR="008676F9" w:rsidRPr="008676F9" w:rsidRDefault="008676F9" w:rsidP="00AA6566">
      <w:pPr>
        <w:tabs>
          <w:tab w:val="left" w:pos="708"/>
        </w:tabs>
        <w:suppressAutoHyphens/>
        <w:rPr>
          <w:rFonts w:ascii="Calibri" w:hAnsi="Calibri"/>
          <w:szCs w:val="22"/>
        </w:rPr>
      </w:pPr>
    </w:p>
    <w:p w:rsidR="008676F9" w:rsidRPr="008676F9" w:rsidRDefault="008676F9" w:rsidP="00AA6566">
      <w:pPr>
        <w:tabs>
          <w:tab w:val="left" w:pos="708"/>
        </w:tabs>
        <w:suppressAutoHyphens/>
        <w:rPr>
          <w:rFonts w:ascii="Calibri" w:hAnsi="Calibri"/>
          <w:szCs w:val="22"/>
        </w:rPr>
      </w:pPr>
      <w:r w:rsidRPr="008676F9">
        <w:rPr>
          <w:rFonts w:ascii="Calibri" w:eastAsia="Calibri" w:hAnsi="Calibri" w:cs="Calibri"/>
          <w:bCs/>
          <w:szCs w:val="22"/>
          <w:u w:val="single"/>
          <w:lang w:eastAsia="en-US"/>
        </w:rPr>
        <w:t>Súvislosť s ostatnou legislatívou:</w:t>
      </w:r>
    </w:p>
    <w:p w:rsidR="008676F9" w:rsidRPr="008676F9" w:rsidRDefault="008676F9" w:rsidP="00955DA4">
      <w:pPr>
        <w:numPr>
          <w:ilvl w:val="0"/>
          <w:numId w:val="207"/>
        </w:numPr>
        <w:tabs>
          <w:tab w:val="left" w:pos="708"/>
        </w:tabs>
        <w:suppressAutoHyphens/>
        <w:rPr>
          <w:rFonts w:ascii="Calibri" w:eastAsia="Calibri" w:hAnsi="Calibri" w:cs="Calibri"/>
          <w:szCs w:val="22"/>
          <w:lang w:eastAsia="en-US"/>
        </w:rPr>
      </w:pPr>
      <w:r w:rsidRPr="008676F9">
        <w:rPr>
          <w:rFonts w:ascii="Calibri" w:eastAsia="Calibri" w:hAnsi="Calibri" w:cs="Calibri"/>
          <w:szCs w:val="22"/>
          <w:lang w:eastAsia="en-US"/>
        </w:rPr>
        <w:t>zákon č. 330/1991 Zb. o pozemkových úpravách, usporiadaní pozemkového vlastníctva, pozemkových úradoch, pozemkovom fonde a o pozemkových spoločenstvách;</w:t>
      </w:r>
    </w:p>
    <w:p w:rsidR="008676F9" w:rsidRPr="008676F9" w:rsidRDefault="008676F9" w:rsidP="00955DA4">
      <w:pPr>
        <w:numPr>
          <w:ilvl w:val="0"/>
          <w:numId w:val="207"/>
        </w:numPr>
        <w:tabs>
          <w:tab w:val="left" w:pos="708"/>
        </w:tabs>
        <w:suppressAutoHyphens/>
        <w:rPr>
          <w:rFonts w:ascii="Calibri" w:eastAsia="Calibri" w:hAnsi="Calibri" w:cs="Calibri"/>
          <w:szCs w:val="22"/>
          <w:lang w:eastAsia="en-US"/>
        </w:rPr>
      </w:pPr>
      <w:r w:rsidRPr="008676F9">
        <w:rPr>
          <w:rFonts w:ascii="Calibri" w:eastAsia="Calibri" w:hAnsi="Calibri" w:cs="Calibri"/>
          <w:szCs w:val="22"/>
          <w:lang w:eastAsia="en-US"/>
        </w:rPr>
        <w:t>zákon č. 50/1976 Zb. o územnom plánovaní a stavebnom poriadku;</w:t>
      </w:r>
    </w:p>
    <w:p w:rsidR="008676F9" w:rsidRPr="008676F9" w:rsidRDefault="008676F9" w:rsidP="00955DA4">
      <w:pPr>
        <w:numPr>
          <w:ilvl w:val="0"/>
          <w:numId w:val="207"/>
        </w:numPr>
        <w:tabs>
          <w:tab w:val="left" w:pos="708"/>
        </w:tabs>
        <w:suppressAutoHyphens/>
        <w:rPr>
          <w:rFonts w:ascii="Calibri" w:eastAsia="Calibri" w:hAnsi="Calibri" w:cs="Calibri"/>
          <w:szCs w:val="22"/>
          <w:lang w:eastAsia="en-US"/>
        </w:rPr>
      </w:pPr>
      <w:r w:rsidRPr="008676F9">
        <w:rPr>
          <w:rFonts w:ascii="Calibri" w:eastAsia="Calibri" w:hAnsi="Calibri" w:cs="Calibri"/>
          <w:szCs w:val="22"/>
          <w:lang w:eastAsia="en-US"/>
        </w:rPr>
        <w:t xml:space="preserve">zákon č. 25/2006 Z.z. o verejnom obstarávaní. </w:t>
      </w:r>
    </w:p>
    <w:p w:rsidR="008676F9" w:rsidRPr="008676F9" w:rsidRDefault="008676F9" w:rsidP="00AA6566">
      <w:pPr>
        <w:tabs>
          <w:tab w:val="left" w:pos="708"/>
        </w:tabs>
        <w:suppressAutoHyphens/>
        <w:rPr>
          <w:rFonts w:ascii="Calibri" w:hAnsi="Calibri"/>
          <w:szCs w:val="22"/>
          <w:u w:val="single"/>
        </w:rPr>
      </w:pPr>
      <w:r w:rsidRPr="008676F9">
        <w:rPr>
          <w:rFonts w:ascii="Calibri" w:eastAsia="Calibri" w:hAnsi="Calibri" w:cs="Calibri"/>
          <w:bCs/>
          <w:szCs w:val="22"/>
          <w:u w:val="single"/>
          <w:lang w:eastAsia="en-US"/>
        </w:rPr>
        <w:t>Prijímateľ podpory:</w:t>
      </w:r>
    </w:p>
    <w:p w:rsidR="008676F9" w:rsidRPr="008676F9" w:rsidRDefault="008676F9" w:rsidP="00AA6566">
      <w:pPr>
        <w:tabs>
          <w:tab w:val="left" w:pos="708"/>
        </w:tabs>
        <w:suppressAutoHyphens/>
        <w:rPr>
          <w:rFonts w:ascii="Calibri" w:hAnsi="Calibri"/>
          <w:szCs w:val="22"/>
        </w:rPr>
      </w:pPr>
      <w:r w:rsidRPr="008676F9">
        <w:rPr>
          <w:rFonts w:ascii="Calibri" w:eastAsia="Calibri" w:hAnsi="Calibri" w:cs="Calibri"/>
          <w:bCs/>
          <w:szCs w:val="22"/>
          <w:lang w:eastAsia="en-US"/>
        </w:rPr>
        <w:t>Ministerstvo pôdohospodárstva a rozvoja vidieka SR a miestna územná samospráva.</w:t>
      </w:r>
    </w:p>
    <w:p w:rsidR="008676F9" w:rsidRPr="008676F9" w:rsidRDefault="008676F9" w:rsidP="00AA6566">
      <w:pPr>
        <w:tabs>
          <w:tab w:val="left" w:pos="708"/>
        </w:tabs>
        <w:suppressAutoHyphens/>
        <w:rPr>
          <w:rFonts w:ascii="Calibri" w:hAnsi="Calibri"/>
          <w:szCs w:val="22"/>
        </w:rPr>
      </w:pPr>
      <w:r w:rsidRPr="008676F9">
        <w:rPr>
          <w:rFonts w:ascii="Calibri" w:eastAsia="Calibri" w:hAnsi="Calibri" w:cs="Calibri"/>
          <w:bCs/>
          <w:szCs w:val="22"/>
          <w:lang w:eastAsia="en-US"/>
        </w:rPr>
        <w:t>Užívateľ:</w:t>
      </w:r>
    </w:p>
    <w:p w:rsidR="008676F9" w:rsidRPr="008676F9" w:rsidRDefault="008676F9" w:rsidP="00AA6566">
      <w:pPr>
        <w:tabs>
          <w:tab w:val="left" w:pos="708"/>
        </w:tabs>
        <w:suppressAutoHyphens/>
        <w:rPr>
          <w:rFonts w:ascii="Calibri" w:hAnsi="Calibri"/>
          <w:szCs w:val="22"/>
        </w:rPr>
      </w:pPr>
      <w:r w:rsidRPr="008676F9">
        <w:rPr>
          <w:rFonts w:ascii="Calibri" w:eastAsia="Calibri" w:hAnsi="Calibri" w:cs="Calibri"/>
          <w:bCs/>
          <w:szCs w:val="22"/>
          <w:lang w:eastAsia="en-US"/>
        </w:rPr>
        <w:t xml:space="preserve">Priamy – štátna správa v oblasti pozemkových úprav a ochrany poľnohospodárskej pôdy. </w:t>
      </w:r>
    </w:p>
    <w:p w:rsidR="008676F9" w:rsidRPr="008676F9" w:rsidRDefault="008676F9" w:rsidP="00AA6566">
      <w:pPr>
        <w:tabs>
          <w:tab w:val="left" w:pos="708"/>
        </w:tabs>
        <w:suppressAutoHyphens/>
        <w:rPr>
          <w:rFonts w:ascii="Calibri" w:hAnsi="Calibri"/>
          <w:szCs w:val="22"/>
        </w:rPr>
      </w:pPr>
      <w:r w:rsidRPr="008676F9">
        <w:rPr>
          <w:rFonts w:ascii="Calibri" w:eastAsia="Calibri" w:hAnsi="Calibri" w:cs="Calibri"/>
          <w:bCs/>
          <w:szCs w:val="22"/>
          <w:lang w:eastAsia="en-US"/>
        </w:rPr>
        <w:t>Nepriamy – obhospodarovatelia a vlastníci pôdy a miestna územná samospráva.</w:t>
      </w:r>
    </w:p>
    <w:p w:rsidR="008676F9" w:rsidRPr="008676F9" w:rsidRDefault="008676F9" w:rsidP="00AA6566">
      <w:pPr>
        <w:tabs>
          <w:tab w:val="left" w:pos="708"/>
        </w:tabs>
        <w:suppressAutoHyphens/>
        <w:rPr>
          <w:rFonts w:ascii="Calibri" w:hAnsi="Calibri"/>
          <w:szCs w:val="22"/>
        </w:rPr>
      </w:pPr>
    </w:p>
    <w:p w:rsidR="008676F9" w:rsidRPr="008676F9" w:rsidRDefault="008676F9" w:rsidP="00AA6566">
      <w:pPr>
        <w:tabs>
          <w:tab w:val="left" w:pos="708"/>
        </w:tabs>
        <w:suppressAutoHyphens/>
        <w:rPr>
          <w:rFonts w:ascii="Calibri" w:eastAsia="Calibri" w:hAnsi="Calibri" w:cs="Calibri"/>
          <w:szCs w:val="22"/>
          <w:u w:val="single"/>
          <w:lang w:eastAsia="en-US"/>
        </w:rPr>
      </w:pPr>
      <w:r w:rsidRPr="008676F9">
        <w:rPr>
          <w:rFonts w:ascii="Calibri" w:eastAsia="Calibri" w:hAnsi="Calibri" w:cs="Calibri"/>
          <w:bCs/>
          <w:szCs w:val="22"/>
          <w:u w:val="single"/>
          <w:lang w:eastAsia="en-US"/>
        </w:rPr>
        <w:t>Oprávnené náklady</w:t>
      </w:r>
      <w:r w:rsidRPr="008676F9">
        <w:rPr>
          <w:rFonts w:ascii="Calibri" w:eastAsia="Calibri" w:hAnsi="Calibri" w:cs="Calibri"/>
          <w:szCs w:val="22"/>
          <w:u w:val="single"/>
          <w:lang w:eastAsia="en-US"/>
        </w:rPr>
        <w:t xml:space="preserve">: </w:t>
      </w:r>
    </w:p>
    <w:p w:rsidR="008676F9" w:rsidRPr="008676F9" w:rsidRDefault="008676F9" w:rsidP="00955DA4">
      <w:pPr>
        <w:numPr>
          <w:ilvl w:val="0"/>
          <w:numId w:val="159"/>
        </w:numPr>
        <w:suppressAutoHyphens/>
        <w:autoSpaceDE w:val="0"/>
        <w:autoSpaceDN w:val="0"/>
        <w:adjustRightInd w:val="0"/>
        <w:contextualSpacing/>
        <w:rPr>
          <w:rFonts w:ascii="Calibri" w:eastAsia="Calibri" w:hAnsi="Calibri" w:cs="Calibri"/>
          <w:szCs w:val="22"/>
          <w:lang w:eastAsia="en-US"/>
        </w:rPr>
      </w:pPr>
      <w:r w:rsidRPr="008676F9">
        <w:rPr>
          <w:rFonts w:ascii="Calibri" w:eastAsia="Calibri" w:hAnsi="Calibri" w:cs="Calibri"/>
          <w:szCs w:val="22"/>
          <w:lang w:eastAsia="en-US"/>
        </w:rPr>
        <w:t>Investície do dlhodobého hmotného majetku:</w:t>
      </w:r>
    </w:p>
    <w:p w:rsidR="008676F9" w:rsidRPr="008676F9" w:rsidRDefault="008676F9" w:rsidP="00955DA4">
      <w:pPr>
        <w:numPr>
          <w:ilvl w:val="0"/>
          <w:numId w:val="160"/>
        </w:numPr>
        <w:tabs>
          <w:tab w:val="left" w:pos="708"/>
        </w:tabs>
        <w:suppressAutoHyphens/>
        <w:autoSpaceDE w:val="0"/>
        <w:autoSpaceDN w:val="0"/>
        <w:adjustRightInd w:val="0"/>
        <w:contextualSpacing/>
        <w:rPr>
          <w:rFonts w:ascii="Calibri" w:eastAsia="Calibri" w:hAnsi="Calibri" w:cs="Calibri"/>
          <w:szCs w:val="22"/>
          <w:lang w:eastAsia="en-US"/>
        </w:rPr>
      </w:pPr>
      <w:r w:rsidRPr="008676F9">
        <w:rPr>
          <w:rFonts w:ascii="Calibri" w:eastAsia="Calibri" w:hAnsi="Calibri" w:cs="Calibri"/>
          <w:szCs w:val="22"/>
          <w:lang w:eastAsia="en-US"/>
        </w:rPr>
        <w:t>na výstavbu nehnuteľného majetku;</w:t>
      </w:r>
    </w:p>
    <w:p w:rsidR="008676F9" w:rsidRPr="008676F9" w:rsidRDefault="008676F9" w:rsidP="00955DA4">
      <w:pPr>
        <w:numPr>
          <w:ilvl w:val="0"/>
          <w:numId w:val="160"/>
        </w:numPr>
        <w:tabs>
          <w:tab w:val="left" w:pos="708"/>
        </w:tabs>
        <w:suppressAutoHyphens/>
        <w:autoSpaceDE w:val="0"/>
        <w:autoSpaceDN w:val="0"/>
        <w:adjustRightInd w:val="0"/>
        <w:contextualSpacing/>
        <w:rPr>
          <w:rFonts w:ascii="Calibri" w:eastAsia="Calibri" w:hAnsi="Calibri" w:cs="Calibri"/>
          <w:szCs w:val="22"/>
          <w:lang w:eastAsia="en-US"/>
        </w:rPr>
      </w:pPr>
      <w:r w:rsidRPr="008676F9">
        <w:rPr>
          <w:rFonts w:ascii="Calibri" w:eastAsia="Calibri" w:hAnsi="Calibri" w:cs="Calibri"/>
          <w:szCs w:val="22"/>
          <w:lang w:eastAsia="en-US"/>
        </w:rPr>
        <w:t>na vylepšenie nehnuteľného majetku;</w:t>
      </w:r>
    </w:p>
    <w:p w:rsidR="008676F9" w:rsidRPr="008676F9" w:rsidRDefault="008676F9" w:rsidP="00955DA4">
      <w:pPr>
        <w:numPr>
          <w:ilvl w:val="0"/>
          <w:numId w:val="160"/>
        </w:numPr>
        <w:tabs>
          <w:tab w:val="left" w:pos="708"/>
        </w:tabs>
        <w:suppressAutoHyphens/>
        <w:autoSpaceDE w:val="0"/>
        <w:autoSpaceDN w:val="0"/>
        <w:adjustRightInd w:val="0"/>
        <w:ind w:left="714" w:hanging="357"/>
        <w:rPr>
          <w:rFonts w:ascii="Calibri" w:eastAsia="Calibri" w:hAnsi="Calibri" w:cs="Calibri"/>
          <w:szCs w:val="22"/>
          <w:lang w:eastAsia="en-US"/>
        </w:rPr>
      </w:pPr>
      <w:r w:rsidRPr="008676F9">
        <w:rPr>
          <w:rFonts w:ascii="Calibri" w:eastAsia="Calibri" w:hAnsi="Calibri" w:cs="Calibri"/>
          <w:szCs w:val="22"/>
          <w:lang w:eastAsia="en-US"/>
        </w:rPr>
        <w:t> na úpravu nehnuteľného majetku.</w:t>
      </w:r>
    </w:p>
    <w:p w:rsidR="008676F9" w:rsidRPr="008676F9" w:rsidRDefault="008676F9" w:rsidP="00955DA4">
      <w:pPr>
        <w:numPr>
          <w:ilvl w:val="0"/>
          <w:numId w:val="159"/>
        </w:numPr>
        <w:suppressAutoHyphens/>
        <w:autoSpaceDE w:val="0"/>
        <w:autoSpaceDN w:val="0"/>
        <w:adjustRightInd w:val="0"/>
        <w:contextualSpacing/>
        <w:rPr>
          <w:rFonts w:ascii="Calibri" w:eastAsia="Calibri" w:hAnsi="Calibri" w:cs="Calibri"/>
          <w:szCs w:val="22"/>
          <w:lang w:eastAsia="en-US"/>
        </w:rPr>
      </w:pPr>
      <w:r w:rsidRPr="008676F9">
        <w:rPr>
          <w:rFonts w:ascii="Calibri" w:eastAsia="Calibri" w:hAnsi="Calibri" w:cs="Calibri"/>
          <w:szCs w:val="22"/>
          <w:lang w:eastAsia="en-US"/>
        </w:rPr>
        <w:t>Súvisiace všeobecné náklady:</w:t>
      </w:r>
    </w:p>
    <w:p w:rsidR="008676F9" w:rsidRPr="008676F9" w:rsidRDefault="008676F9" w:rsidP="00955DA4">
      <w:pPr>
        <w:numPr>
          <w:ilvl w:val="0"/>
          <w:numId w:val="161"/>
        </w:numPr>
        <w:suppressAutoHyphens/>
        <w:autoSpaceDE w:val="0"/>
        <w:autoSpaceDN w:val="0"/>
        <w:adjustRightInd w:val="0"/>
        <w:contextualSpacing/>
        <w:rPr>
          <w:rFonts w:ascii="Calibri" w:eastAsia="Calibri" w:hAnsi="Calibri" w:cs="Calibri"/>
          <w:szCs w:val="22"/>
          <w:lang w:eastAsia="en-US"/>
        </w:rPr>
      </w:pPr>
      <w:r w:rsidRPr="008676F9">
        <w:rPr>
          <w:rFonts w:ascii="Calibri" w:eastAsia="Calibri" w:hAnsi="Calibri" w:cs="Calibri"/>
          <w:szCs w:val="22"/>
          <w:lang w:eastAsia="en-US"/>
        </w:rPr>
        <w:t>náklady na projektovú dokumentáciu;</w:t>
      </w:r>
    </w:p>
    <w:p w:rsidR="008676F9" w:rsidRPr="008676F9" w:rsidRDefault="008676F9" w:rsidP="00955DA4">
      <w:pPr>
        <w:numPr>
          <w:ilvl w:val="0"/>
          <w:numId w:val="161"/>
        </w:numPr>
        <w:suppressAutoHyphens/>
        <w:autoSpaceDE w:val="0"/>
        <w:autoSpaceDN w:val="0"/>
        <w:adjustRightInd w:val="0"/>
        <w:contextualSpacing/>
        <w:rPr>
          <w:rFonts w:ascii="Calibri" w:eastAsia="Calibri" w:hAnsi="Calibri" w:cs="Calibri"/>
          <w:szCs w:val="22"/>
          <w:lang w:eastAsia="en-US"/>
        </w:rPr>
      </w:pPr>
      <w:r w:rsidRPr="008676F9">
        <w:rPr>
          <w:rFonts w:ascii="Calibri" w:eastAsia="Calibri" w:hAnsi="Calibri" w:cs="Calibri"/>
          <w:szCs w:val="22"/>
          <w:lang w:eastAsia="en-US"/>
        </w:rPr>
        <w:t>náklady na riadenie projektu.</w:t>
      </w:r>
    </w:p>
    <w:p w:rsidR="008676F9" w:rsidRPr="008676F9" w:rsidRDefault="008676F9" w:rsidP="00AA6566">
      <w:pPr>
        <w:tabs>
          <w:tab w:val="left" w:pos="708"/>
        </w:tabs>
        <w:suppressAutoHyphens/>
        <w:rPr>
          <w:rFonts w:ascii="Calibri" w:eastAsia="Calibri" w:hAnsi="Calibri" w:cs="Calibri"/>
          <w:bCs/>
          <w:color w:val="000000"/>
          <w:szCs w:val="22"/>
          <w:u w:val="single"/>
          <w:lang w:eastAsia="en-US"/>
        </w:rPr>
      </w:pPr>
    </w:p>
    <w:p w:rsidR="008676F9" w:rsidRPr="008676F9" w:rsidRDefault="008676F9" w:rsidP="00AA6566">
      <w:pPr>
        <w:tabs>
          <w:tab w:val="left" w:pos="708"/>
        </w:tabs>
        <w:suppressAutoHyphens/>
        <w:rPr>
          <w:rFonts w:ascii="Calibri" w:hAnsi="Calibri"/>
          <w:color w:val="000000"/>
          <w:szCs w:val="22"/>
        </w:rPr>
      </w:pPr>
      <w:r w:rsidRPr="008676F9">
        <w:rPr>
          <w:rFonts w:ascii="Calibri" w:eastAsia="Calibri" w:hAnsi="Calibri" w:cs="Calibri"/>
          <w:bCs/>
          <w:color w:val="000000"/>
          <w:szCs w:val="22"/>
          <w:u w:val="single"/>
          <w:lang w:eastAsia="en-US"/>
        </w:rPr>
        <w:t>Podmienky oprávnenosti:</w:t>
      </w:r>
    </w:p>
    <w:p w:rsidR="008676F9" w:rsidRPr="008676F9" w:rsidRDefault="008676F9" w:rsidP="00AA6566">
      <w:pPr>
        <w:tabs>
          <w:tab w:val="left" w:pos="708"/>
        </w:tabs>
        <w:suppressAutoHyphens/>
        <w:rPr>
          <w:rFonts w:ascii="Calibri" w:hAnsi="Calibri"/>
          <w:szCs w:val="22"/>
        </w:rPr>
      </w:pPr>
      <w:r w:rsidRPr="008676F9">
        <w:rPr>
          <w:rFonts w:ascii="Calibri" w:eastAsia="Calibri" w:hAnsi="Calibri" w:cs="Calibri"/>
          <w:bCs/>
          <w:szCs w:val="22"/>
          <w:lang w:eastAsia="en-US"/>
        </w:rPr>
        <w:t xml:space="preserve">Budú uplatňované kritéria spôsobilosti definované platnými právnymi, metodickými a technickými predpismi a </w:t>
      </w:r>
      <w:r w:rsidRPr="008676F9">
        <w:rPr>
          <w:rFonts w:ascii="Calibri" w:hAnsi="Calibri" w:cs="Calibri"/>
          <w:bCs/>
          <w:szCs w:val="22"/>
          <w:lang w:eastAsia="en-US"/>
        </w:rPr>
        <w:t xml:space="preserve">oprávnené sú len tie činnosti, ktoré  zabezpečia </w:t>
      </w:r>
      <w:r w:rsidRPr="008676F9">
        <w:rPr>
          <w:rFonts w:ascii="Calibri" w:eastAsia="Calibri" w:hAnsi="Calibri"/>
          <w:szCs w:val="22"/>
          <w:lang w:eastAsia="en-US"/>
        </w:rPr>
        <w:t xml:space="preserve">kontinuitu pozemkových úprav  </w:t>
      </w:r>
      <w:r w:rsidRPr="008676F9" w:rsidDel="00964C0B">
        <w:rPr>
          <w:rFonts w:ascii="Calibri" w:eastAsia="Calibri" w:hAnsi="Calibri" w:cs="Calibri"/>
          <w:bCs/>
          <w:szCs w:val="22"/>
          <w:lang w:eastAsia="en-US"/>
        </w:rPr>
        <w:t xml:space="preserve"> </w:t>
      </w:r>
      <w:r w:rsidRPr="008676F9">
        <w:rPr>
          <w:rFonts w:ascii="Calibri" w:eastAsia="Calibri" w:hAnsi="Calibri" w:cs="Calibri"/>
          <w:szCs w:val="22"/>
          <w:lang w:eastAsia="en-US"/>
        </w:rPr>
        <w:t>v súlade s príslušnými právnymi predpismi EÚ</w:t>
      </w:r>
      <w:r w:rsidRPr="008676F9">
        <w:rPr>
          <w:rFonts w:ascii="Calibri" w:eastAsia="Calibri" w:hAnsi="Calibri" w:cs="Calibri"/>
          <w:bCs/>
          <w:i/>
          <w:szCs w:val="22"/>
          <w:lang w:eastAsia="en-US"/>
        </w:rPr>
        <w:t>.</w:t>
      </w:r>
    </w:p>
    <w:p w:rsidR="008676F9" w:rsidRPr="008676F9" w:rsidRDefault="008676F9" w:rsidP="00AA6566">
      <w:pPr>
        <w:tabs>
          <w:tab w:val="left" w:pos="708"/>
        </w:tabs>
        <w:suppressAutoHyphens/>
        <w:rPr>
          <w:rFonts w:ascii="Calibri" w:hAnsi="Calibri"/>
          <w:szCs w:val="22"/>
        </w:rPr>
      </w:pPr>
      <w:r w:rsidRPr="008676F9">
        <w:rPr>
          <w:rFonts w:ascii="Calibri" w:eastAsia="Calibri" w:hAnsi="Calibri" w:cs="Calibri"/>
          <w:bCs/>
          <w:i/>
          <w:szCs w:val="22"/>
          <w:lang w:eastAsia="en-US"/>
        </w:rPr>
        <w:t xml:space="preserve"> </w:t>
      </w:r>
    </w:p>
    <w:p w:rsidR="008676F9" w:rsidRPr="008676F9" w:rsidRDefault="008676F9" w:rsidP="00AA6566">
      <w:pPr>
        <w:tabs>
          <w:tab w:val="left" w:pos="708"/>
        </w:tabs>
        <w:suppressAutoHyphens/>
        <w:rPr>
          <w:rFonts w:ascii="Calibri" w:hAnsi="Calibri"/>
          <w:szCs w:val="22"/>
        </w:rPr>
      </w:pPr>
      <w:r w:rsidRPr="008676F9">
        <w:rPr>
          <w:rFonts w:ascii="Calibri" w:eastAsia="Calibri" w:hAnsi="Calibri" w:cs="Calibri"/>
          <w:bCs/>
          <w:szCs w:val="22"/>
          <w:u w:val="single"/>
          <w:lang w:eastAsia="en-US"/>
        </w:rPr>
        <w:t>Princípy nastavenia výberových kritérií:</w:t>
      </w:r>
    </w:p>
    <w:p w:rsidR="008676F9" w:rsidRPr="008676F9" w:rsidRDefault="008676F9" w:rsidP="00955DA4">
      <w:pPr>
        <w:numPr>
          <w:ilvl w:val="0"/>
          <w:numId w:val="209"/>
        </w:numPr>
        <w:tabs>
          <w:tab w:val="left" w:pos="708"/>
        </w:tabs>
        <w:suppressAutoHyphens/>
        <w:contextualSpacing/>
        <w:rPr>
          <w:rFonts w:ascii="Calibri" w:hAnsi="Calibri"/>
          <w:szCs w:val="22"/>
        </w:rPr>
      </w:pPr>
      <w:r w:rsidRPr="008676F9">
        <w:rPr>
          <w:rFonts w:ascii="Calibri" w:eastAsia="Calibri" w:hAnsi="Calibri" w:cs="Calibri"/>
          <w:szCs w:val="22"/>
          <w:lang w:eastAsia="en-US"/>
        </w:rPr>
        <w:t>príspevok investície k naplneniu cieľa;</w:t>
      </w:r>
    </w:p>
    <w:p w:rsidR="008676F9" w:rsidRPr="008676F9" w:rsidRDefault="008676F9" w:rsidP="00955DA4">
      <w:pPr>
        <w:numPr>
          <w:ilvl w:val="0"/>
          <w:numId w:val="209"/>
        </w:numPr>
        <w:tabs>
          <w:tab w:val="left" w:pos="708"/>
        </w:tabs>
        <w:suppressAutoHyphens/>
        <w:spacing w:after="200" w:line="100" w:lineRule="atLeast"/>
        <w:contextualSpacing/>
        <w:rPr>
          <w:rFonts w:ascii="Calibri" w:hAnsi="Calibri"/>
          <w:szCs w:val="22"/>
        </w:rPr>
      </w:pPr>
      <w:r w:rsidRPr="008676F9">
        <w:rPr>
          <w:rFonts w:ascii="Calibri" w:hAnsi="Calibri" w:cs="Calibri"/>
          <w:bCs/>
          <w:szCs w:val="22"/>
          <w:lang w:eastAsia="en-US"/>
        </w:rPr>
        <w:t> </w:t>
      </w:r>
      <w:r w:rsidRPr="008676F9">
        <w:rPr>
          <w:rFonts w:ascii="Calibri" w:eastAsia="Calibri" w:hAnsi="Calibri" w:cs="Calibri"/>
          <w:szCs w:val="22"/>
          <w:lang w:eastAsia="en-US"/>
        </w:rPr>
        <w:t xml:space="preserve">komplexnosť, </w:t>
      </w:r>
      <w:r w:rsidRPr="008676F9">
        <w:rPr>
          <w:rFonts w:ascii="Calibri" w:eastAsia="Calibri" w:hAnsi="Calibri" w:cs="Calibri"/>
          <w:bCs/>
          <w:szCs w:val="22"/>
          <w:lang w:eastAsia="en-US"/>
        </w:rPr>
        <w:t xml:space="preserve">udržateľnosť a efektívnosť projektu, schopnosť realizácie projektu, hospodárnosť projektu. </w:t>
      </w:r>
    </w:p>
    <w:p w:rsidR="008676F9" w:rsidRPr="008676F9" w:rsidRDefault="008676F9" w:rsidP="008676F9">
      <w:pPr>
        <w:tabs>
          <w:tab w:val="left" w:pos="708"/>
        </w:tabs>
        <w:suppressAutoHyphens/>
        <w:spacing w:line="100" w:lineRule="atLeast"/>
        <w:rPr>
          <w:rFonts w:ascii="Calibri" w:eastAsia="Calibri" w:hAnsi="Calibri" w:cs="Calibri"/>
          <w:bCs/>
          <w:szCs w:val="22"/>
          <w:u w:val="single"/>
          <w:lang w:eastAsia="en-US"/>
        </w:rPr>
      </w:pPr>
    </w:p>
    <w:p w:rsidR="008676F9" w:rsidRPr="008676F9" w:rsidRDefault="008676F9" w:rsidP="008676F9">
      <w:pPr>
        <w:tabs>
          <w:tab w:val="left" w:pos="708"/>
        </w:tabs>
        <w:suppressAutoHyphens/>
        <w:spacing w:line="100" w:lineRule="atLeast"/>
        <w:rPr>
          <w:rFonts w:ascii="Calibri" w:hAnsi="Calibri"/>
          <w:szCs w:val="22"/>
        </w:rPr>
      </w:pPr>
      <w:r w:rsidRPr="008676F9">
        <w:rPr>
          <w:rFonts w:ascii="Calibri" w:eastAsia="Calibri" w:hAnsi="Calibri" w:cs="Calibri"/>
          <w:bCs/>
          <w:szCs w:val="22"/>
          <w:u w:val="single"/>
          <w:lang w:eastAsia="en-US"/>
        </w:rPr>
        <w:t>Výška a miera podpory:</w:t>
      </w:r>
    </w:p>
    <w:p w:rsidR="008676F9" w:rsidRPr="008676F9" w:rsidRDefault="008676F9" w:rsidP="008676F9">
      <w:pPr>
        <w:tabs>
          <w:tab w:val="left" w:pos="708"/>
        </w:tabs>
        <w:suppressAutoHyphens/>
        <w:spacing w:line="100" w:lineRule="atLeast"/>
        <w:rPr>
          <w:rFonts w:ascii="Calibri" w:hAnsi="Calibri"/>
          <w:szCs w:val="22"/>
        </w:rPr>
      </w:pPr>
      <w:r w:rsidRPr="008676F9">
        <w:rPr>
          <w:rFonts w:ascii="Calibri" w:eastAsia="Calibri" w:hAnsi="Calibri" w:cs="Calibri"/>
          <w:bCs/>
          <w:szCs w:val="22"/>
          <w:lang w:eastAsia="en-US"/>
        </w:rPr>
        <w:t>Maximálna výška podpory z celkových oprávnených výdavkov:</w:t>
      </w:r>
    </w:p>
    <w:p w:rsidR="008676F9" w:rsidRPr="008676F9" w:rsidRDefault="008676F9" w:rsidP="00955DA4">
      <w:pPr>
        <w:numPr>
          <w:ilvl w:val="0"/>
          <w:numId w:val="158"/>
        </w:numPr>
        <w:tabs>
          <w:tab w:val="left" w:pos="708"/>
        </w:tabs>
        <w:suppressAutoHyphens/>
        <w:spacing w:after="200" w:line="100" w:lineRule="atLeast"/>
        <w:contextualSpacing/>
        <w:rPr>
          <w:rFonts w:ascii="Calibri" w:hAnsi="Calibri"/>
          <w:szCs w:val="22"/>
        </w:rPr>
      </w:pPr>
      <w:r w:rsidRPr="008676F9">
        <w:rPr>
          <w:rFonts w:ascii="Calibri" w:eastAsia="Calibri" w:hAnsi="Calibri" w:cs="Calibri"/>
          <w:bCs/>
          <w:szCs w:val="22"/>
          <w:lang w:eastAsia="en-US"/>
        </w:rPr>
        <w:t>100%.</w:t>
      </w:r>
    </w:p>
    <w:p w:rsidR="008676F9" w:rsidRPr="008676F9" w:rsidRDefault="008676F9" w:rsidP="008676F9">
      <w:pPr>
        <w:tabs>
          <w:tab w:val="left" w:pos="708"/>
        </w:tabs>
        <w:suppressAutoHyphens/>
        <w:spacing w:line="100" w:lineRule="atLeast"/>
        <w:ind w:left="720"/>
        <w:contextualSpacing/>
        <w:rPr>
          <w:rFonts w:ascii="Calibri" w:hAnsi="Calibri"/>
          <w:szCs w:val="22"/>
        </w:rPr>
      </w:pPr>
    </w:p>
    <w:p w:rsidR="008676F9" w:rsidRPr="008676F9" w:rsidRDefault="008676F9" w:rsidP="008676F9">
      <w:pPr>
        <w:rPr>
          <w:rFonts w:ascii="Calibri" w:eastAsia="Calibri" w:hAnsi="Calibri" w:cs="Calibri"/>
          <w:szCs w:val="22"/>
          <w:u w:val="single"/>
        </w:rPr>
      </w:pPr>
      <w:r w:rsidRPr="008676F9">
        <w:rPr>
          <w:rFonts w:ascii="Calibri" w:eastAsia="Calibri" w:hAnsi="Calibri" w:cs="Calibri"/>
          <w:szCs w:val="22"/>
          <w:u w:val="single"/>
        </w:rPr>
        <w:t>Ďalšie informácie špecifické pre danú operáciu:</w:t>
      </w:r>
    </w:p>
    <w:p w:rsidR="008676F9" w:rsidRPr="008676F9" w:rsidRDefault="008676F9" w:rsidP="008676F9">
      <w:pPr>
        <w:tabs>
          <w:tab w:val="left" w:pos="0"/>
        </w:tabs>
        <w:suppressAutoHyphens/>
        <w:spacing w:after="120"/>
      </w:pPr>
      <w:r w:rsidRPr="008676F9">
        <w:rPr>
          <w:rFonts w:ascii="Calibri" w:eastAsia="Calibri" w:hAnsi="Calibri" w:cs="Calibri"/>
          <w:szCs w:val="22"/>
          <w:lang w:eastAsia="en-US"/>
        </w:rPr>
        <w:t>Spoločné zariadenia a opatrenia sú: komunikačné (poľné a lesné cesty), protierózne (zariadenia a opatrenia zabraňujúce vodnej a veternej erózii), protipovodňové (zariadenia a opatrenia zabezpečujúce zadržiavanie vody v území a ochranu pre povodňami), vodohospodárske (úpravy vodných tokov a výstavba vodohospodárskych zariadení a opatrení), ekologické (výsadba zelene)  zrealizované a skolaudované.</w:t>
      </w:r>
    </w:p>
    <w:p w:rsidR="008676F9" w:rsidRDefault="008676F9" w:rsidP="008676F9">
      <w:pPr>
        <w:tabs>
          <w:tab w:val="left" w:pos="0"/>
        </w:tabs>
        <w:suppressAutoHyphens/>
        <w:spacing w:after="120"/>
        <w:rPr>
          <w:rFonts w:ascii="Calibri" w:eastAsia="Calibri" w:hAnsi="Calibri" w:cs="Calibri"/>
          <w:szCs w:val="22"/>
          <w:lang w:eastAsia="en-US"/>
        </w:rPr>
      </w:pPr>
      <w:r w:rsidRPr="008676F9">
        <w:rPr>
          <w:rFonts w:ascii="Calibri" w:eastAsia="Calibri" w:hAnsi="Calibri" w:cs="Calibri"/>
          <w:szCs w:val="22"/>
          <w:lang w:eastAsia="en-US"/>
        </w:rPr>
        <w:t xml:space="preserve">Dôvodmi pre pokračovanie v </w:t>
      </w:r>
      <w:r w:rsidR="002E6EC8">
        <w:rPr>
          <w:rFonts w:ascii="Calibri" w:eastAsia="Calibri" w:hAnsi="Calibri" w:cs="Calibri"/>
          <w:szCs w:val="22"/>
          <w:lang w:eastAsia="en-US"/>
        </w:rPr>
        <w:t>realizácii v</w:t>
      </w:r>
      <w:r w:rsidRPr="008676F9">
        <w:rPr>
          <w:rFonts w:ascii="Calibri" w:eastAsia="Calibri" w:hAnsi="Calibri" w:cs="Calibri"/>
          <w:szCs w:val="22"/>
          <w:lang w:eastAsia="en-US"/>
        </w:rPr>
        <w:t xml:space="preserve">ybudovania spoločných zariadení </w:t>
      </w:r>
      <w:r w:rsidR="00E867CB">
        <w:rPr>
          <w:rFonts w:ascii="Calibri" w:eastAsia="Calibri" w:hAnsi="Calibri" w:cs="Calibri"/>
          <w:szCs w:val="22"/>
          <w:lang w:eastAsia="en-US"/>
        </w:rPr>
        <w:t xml:space="preserve">a opatrení </w:t>
      </w:r>
      <w:r w:rsidRPr="008676F9">
        <w:rPr>
          <w:rFonts w:ascii="Calibri" w:eastAsia="Calibri" w:hAnsi="Calibri" w:cs="Calibri"/>
          <w:szCs w:val="22"/>
          <w:lang w:eastAsia="en-US"/>
        </w:rPr>
        <w:t>podporených v predchádzajúcich programovacích obdobiach sú prebiehajúce negatívne procesy vo vidieckej a poľnohospodárskej krajine ako sú: nízka podpora rozvoja malých podnikov osobitne SHR, nevysporiadané vlastnícke vzťahy k pozemkom tvoriacich  existujúcu infraštruktúru</w:t>
      </w:r>
      <w:r w:rsidRPr="008676F9">
        <w:rPr>
          <w:rFonts w:ascii="Calibri" w:eastAsia="Calibri" w:hAnsi="Calibri"/>
          <w:color w:val="000000"/>
          <w:szCs w:val="22"/>
          <w:lang w:eastAsia="en-US"/>
        </w:rPr>
        <w:t xml:space="preserve"> (väčšina súčasných poľných a lesných ciest nie je majetkovoprávne usporiadaná), </w:t>
      </w:r>
      <w:r w:rsidRPr="008676F9">
        <w:rPr>
          <w:rFonts w:ascii="Calibri" w:eastAsia="Calibri" w:hAnsi="Calibri"/>
          <w:szCs w:val="22"/>
          <w:lang w:eastAsia="en-US"/>
        </w:rPr>
        <w:t xml:space="preserve">nezrovnalosti v evidencii pozemkového vlastníctva, čo vedie k tomu, že </w:t>
      </w:r>
      <w:r w:rsidRPr="008676F9">
        <w:rPr>
          <w:rFonts w:ascii="Calibri" w:eastAsia="Calibri" w:hAnsi="Calibri"/>
          <w:color w:val="000000"/>
          <w:szCs w:val="22"/>
          <w:lang w:eastAsia="en-US"/>
        </w:rPr>
        <w:t>súčasní obhospodarovatelia pozemkov nemajú možnosť uzatvoriť korektné nájomné zmluvy k reálnym pozemkom</w:t>
      </w:r>
      <w:r w:rsidRPr="008676F9">
        <w:rPr>
          <w:rFonts w:ascii="Calibri" w:eastAsia="Calibri" w:hAnsi="Calibri"/>
          <w:szCs w:val="22"/>
          <w:lang w:eastAsia="en-US"/>
        </w:rPr>
        <w:t xml:space="preserve">. Tieto </w:t>
      </w:r>
      <w:r w:rsidRPr="008676F9">
        <w:rPr>
          <w:rFonts w:ascii="Calibri" w:eastAsia="Calibri" w:hAnsi="Calibri"/>
          <w:color w:val="000000"/>
          <w:szCs w:val="22"/>
          <w:lang w:eastAsia="en-US"/>
        </w:rPr>
        <w:t>problém</w:t>
      </w:r>
      <w:r w:rsidRPr="008676F9">
        <w:rPr>
          <w:rFonts w:ascii="Calibri" w:eastAsia="Calibri" w:hAnsi="Calibri"/>
          <w:szCs w:val="22"/>
          <w:lang w:eastAsia="en-US"/>
        </w:rPr>
        <w:t>y</w:t>
      </w:r>
      <w:r w:rsidRPr="008676F9">
        <w:rPr>
          <w:rFonts w:ascii="Calibri" w:eastAsia="Calibri" w:hAnsi="Calibri"/>
          <w:color w:val="000000"/>
          <w:szCs w:val="22"/>
          <w:lang w:eastAsia="en-US"/>
        </w:rPr>
        <w:t xml:space="preserve"> riešia práve pozemkové úpravy, ktoré dávajú </w:t>
      </w:r>
      <w:r w:rsidRPr="008676F9">
        <w:rPr>
          <w:rFonts w:ascii="Calibri" w:eastAsia="Calibri" w:hAnsi="Calibri"/>
          <w:szCs w:val="22"/>
          <w:lang w:eastAsia="en-US"/>
        </w:rPr>
        <w:t>predpoklady pre rozvoj trhu s pôdou s cieľom zlepšenia podmienok obhospodarovania pozemkov za účelom zlepšenia podmienok podnikania na pôde</w:t>
      </w:r>
      <w:r w:rsidRPr="008676F9">
        <w:rPr>
          <w:rFonts w:ascii="Calibri" w:eastAsia="Calibri" w:hAnsi="Calibri" w:cs="Calibri"/>
          <w:szCs w:val="22"/>
          <w:lang w:eastAsia="en-US"/>
        </w:rPr>
        <w:t xml:space="preserve">); nízka ekologická stabilita krajiny, zmeny v štruktúre vidieckeho obyvateľstva, zmeny v spôsobe hospodárenia na poľnohospodárskej pôde. </w:t>
      </w:r>
    </w:p>
    <w:p w:rsidR="00E867CB" w:rsidRDefault="00E867CB" w:rsidP="00E867CB">
      <w:pPr>
        <w:rPr>
          <w:rFonts w:ascii="Calibri" w:hAnsi="Calibri"/>
          <w:szCs w:val="22"/>
        </w:rPr>
      </w:pPr>
      <w:r w:rsidRPr="00E867CB">
        <w:rPr>
          <w:rFonts w:ascii="Calibri" w:hAnsi="Calibri"/>
          <w:szCs w:val="22"/>
        </w:rPr>
        <w:t>Práce súvisiace s realizáciou navrhovaných spoločných zariadení a opatrení sú časovo kratšie ako vypracovanie a vykonanie projektov pozemkových úprav, priemerná doba výstavby je 1-2 roky, ale sú finančné podstatne náročnejšie. Zároveň je možné ich zrealizovať len na majetkovoprávne usporiadaných pozemkoch, ktoré sa stanú vlastníctvom obce alebo štátu až po zapísaní projektu</w:t>
      </w:r>
      <w:r w:rsidRPr="00E867CB">
        <w:rPr>
          <w:rFonts w:ascii="Calibri" w:hAnsi="Calibri"/>
          <w:szCs w:val="22"/>
        </w:rPr>
        <w:lastRenderedPageBreak/>
        <w:t xml:space="preserve"> pozemkových úprav do katastra nehnuteľností.  Ide najmä o projekty začaté a rozpracované v rámci predchádzajúcich podporných programov a programovacieho obdobia 2007 – 2013. </w:t>
      </w:r>
    </w:p>
    <w:p w:rsidR="002E6EC8" w:rsidRPr="002E6EC8" w:rsidRDefault="002E6EC8" w:rsidP="00E867CB">
      <w:r w:rsidRPr="002E6EC8">
        <w:rPr>
          <w:rFonts w:ascii="Calibri" w:hAnsi="Calibri"/>
          <w:szCs w:val="22"/>
        </w:rPr>
        <w:t>Objem finančných prostriedkov na realizáciu vybudovania spoločný</w:t>
      </w:r>
      <w:r w:rsidR="00E867CB">
        <w:rPr>
          <w:rFonts w:ascii="Calibri" w:hAnsi="Calibri"/>
          <w:szCs w:val="22"/>
        </w:rPr>
        <w:t xml:space="preserve">ch zariadení predstavuje 30 mil. </w:t>
      </w:r>
      <w:r w:rsidR="00646537">
        <w:rPr>
          <w:rFonts w:ascii="Calibri" w:hAnsi="Calibri"/>
          <w:szCs w:val="22"/>
        </w:rPr>
        <w:t>€</w:t>
      </w:r>
      <w:r w:rsidRPr="002E6EC8">
        <w:rPr>
          <w:rFonts w:ascii="Calibri" w:eastAsia="Calibri" w:hAnsi="Calibri" w:cs="Calibri"/>
          <w:bCs/>
          <w:szCs w:val="22"/>
          <w:lang w:eastAsia="en-US"/>
        </w:rPr>
        <w:t>.</w:t>
      </w:r>
    </w:p>
    <w:p w:rsidR="002E6EC8" w:rsidRPr="008676F9" w:rsidRDefault="002E6EC8" w:rsidP="008676F9">
      <w:pPr>
        <w:tabs>
          <w:tab w:val="left" w:pos="0"/>
        </w:tabs>
        <w:suppressAutoHyphens/>
        <w:spacing w:after="120"/>
        <w:rPr>
          <w:rFonts w:ascii="Calibri" w:eastAsia="Calibri" w:hAnsi="Calibri" w:cs="Calibri"/>
          <w:szCs w:val="22"/>
          <w:lang w:eastAsia="en-US"/>
        </w:rPr>
      </w:pPr>
    </w:p>
    <w:p w:rsidR="008676F9" w:rsidRPr="008676F9" w:rsidRDefault="008676F9" w:rsidP="00A03A77">
      <w:pPr>
        <w:shd w:val="clear" w:color="auto" w:fill="D6E3BC"/>
        <w:ind w:left="1701" w:hanging="1701"/>
        <w:jc w:val="left"/>
        <w:rPr>
          <w:rFonts w:ascii="Calibri" w:eastAsia="Calibri" w:hAnsi="Calibri" w:cs="Calibri"/>
          <w:bCs/>
          <w:i/>
          <w:lang w:eastAsia="en-US"/>
        </w:rPr>
      </w:pPr>
      <w:r w:rsidRPr="008676F9">
        <w:rPr>
          <w:rFonts w:ascii="Calibri" w:eastAsia="Calibri" w:hAnsi="Calibri" w:cs="Calibri"/>
          <w:bCs/>
          <w:lang w:eastAsia="en-US"/>
        </w:rPr>
        <w:t xml:space="preserve">Podopatrenie: </w:t>
      </w:r>
      <w:r w:rsidRPr="008676F9">
        <w:rPr>
          <w:rFonts w:ascii="Calibri" w:eastAsia="Calibri" w:hAnsi="Calibri" w:cs="Calibri"/>
          <w:b/>
          <w:bCs/>
          <w:i/>
          <w:lang w:eastAsia="en-US"/>
        </w:rPr>
        <w:t xml:space="preserve">4.3 </w:t>
      </w:r>
      <w:r w:rsidRPr="00A03A77">
        <w:rPr>
          <w:rFonts w:ascii="Calibri" w:eastAsia="Calibri" w:hAnsi="Calibri" w:cs="Calibri"/>
          <w:b/>
          <w:bCs/>
          <w:i/>
          <w:sz w:val="24"/>
          <w:lang w:eastAsia="en-US"/>
        </w:rPr>
        <w:t>Podpora investícií do infraštruktúry týkajúcej sa rozvoja, modernizácie alebo adaptácie poľnohospodárstva a lesníctva</w:t>
      </w:r>
    </w:p>
    <w:p w:rsidR="008676F9" w:rsidRPr="008676F9" w:rsidRDefault="008676F9" w:rsidP="008676F9">
      <w:pPr>
        <w:shd w:val="clear" w:color="auto" w:fill="FBD4B4"/>
        <w:rPr>
          <w:rFonts w:ascii="Calibri" w:eastAsia="Calibri" w:hAnsi="Calibri" w:cs="Calibri"/>
          <w:i/>
          <w:szCs w:val="22"/>
          <w:u w:val="single"/>
          <w:lang w:eastAsia="en-US"/>
        </w:rPr>
      </w:pPr>
      <w:r w:rsidRPr="008676F9">
        <w:rPr>
          <w:rFonts w:ascii="Calibri" w:eastAsia="Calibri" w:hAnsi="Calibri" w:cs="Calibri"/>
          <w:i/>
          <w:szCs w:val="22"/>
          <w:u w:val="single"/>
          <w:lang w:eastAsia="en-US"/>
        </w:rPr>
        <w:t>Názov operácie:</w:t>
      </w:r>
    </w:p>
    <w:p w:rsidR="008676F9" w:rsidRPr="008676F9" w:rsidRDefault="008676F9" w:rsidP="008676F9">
      <w:pPr>
        <w:shd w:val="clear" w:color="auto" w:fill="FBD4B4"/>
        <w:rPr>
          <w:rFonts w:ascii="Calibri" w:eastAsia="Calibri" w:hAnsi="Calibri" w:cs="Calibri"/>
          <w:i/>
          <w:szCs w:val="22"/>
          <w:lang w:eastAsia="en-US"/>
        </w:rPr>
      </w:pPr>
      <w:r w:rsidRPr="008676F9">
        <w:rPr>
          <w:rFonts w:ascii="Calibri" w:eastAsia="Calibri" w:hAnsi="Calibri" w:cs="Calibri"/>
          <w:i/>
          <w:szCs w:val="22"/>
          <w:lang w:eastAsia="en-US"/>
        </w:rPr>
        <w:t xml:space="preserve"> </w:t>
      </w:r>
      <w:r w:rsidRPr="008676F9">
        <w:rPr>
          <w:rFonts w:ascii="Calibri" w:eastAsia="Calibri" w:hAnsi="Calibri" w:cs="Calibri"/>
          <w:bCs/>
          <w:i/>
          <w:szCs w:val="22"/>
          <w:lang w:eastAsia="en-US"/>
        </w:rPr>
        <w:t>Investície týkajúce sa infraštruktúry a prístupu k lesnej pôde</w:t>
      </w:r>
    </w:p>
    <w:p w:rsidR="008676F9" w:rsidRPr="008676F9" w:rsidRDefault="008676F9" w:rsidP="008676F9">
      <w:pPr>
        <w:spacing w:line="276" w:lineRule="auto"/>
        <w:rPr>
          <w:rFonts w:ascii="Calibri" w:eastAsia="Calibri" w:hAnsi="Calibri" w:cs="Calibri"/>
          <w:bCs/>
          <w:szCs w:val="22"/>
          <w:u w:val="single"/>
          <w:lang w:eastAsia="en-US"/>
        </w:rPr>
      </w:pPr>
    </w:p>
    <w:p w:rsidR="008676F9" w:rsidRPr="008676F9" w:rsidRDefault="008676F9" w:rsidP="008676F9">
      <w:pPr>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Opis operácie:</w:t>
      </w:r>
    </w:p>
    <w:p w:rsidR="008676F9" w:rsidRPr="008676F9" w:rsidRDefault="008676F9" w:rsidP="00AA6566">
      <w:pPr>
        <w:tabs>
          <w:tab w:val="left" w:pos="708"/>
        </w:tabs>
        <w:suppressAutoHyphens/>
        <w:contextualSpacing/>
        <w:rPr>
          <w:rFonts w:ascii="Calibri" w:eastAsia="Calibri" w:hAnsi="Calibri"/>
          <w:szCs w:val="22"/>
          <w:lang w:eastAsia="en-US"/>
        </w:rPr>
      </w:pPr>
      <w:r w:rsidRPr="008676F9">
        <w:rPr>
          <w:rFonts w:ascii="Calibri" w:eastAsia="Calibri" w:hAnsi="Calibri"/>
          <w:szCs w:val="22"/>
          <w:lang w:eastAsia="en-US"/>
        </w:rPr>
        <w:t>Oprávnené sú tie činnosti, ktoré sa týkajú infraštruktúry súvisiacej s výstavbou, dostavbou, prestavbou a rekonštrukciou lesných ciest a prístupu k lesnej pôde s výnimkou protipožiarnych lesných ciest. Oprávnená bude výstavba lesných ciest kategórií 1L a 2L</w:t>
      </w:r>
      <w:r w:rsidRPr="008676F9">
        <w:rPr>
          <w:rFonts w:ascii="Calibri" w:eastAsia="Calibri" w:hAnsi="Calibri"/>
          <w:szCs w:val="22"/>
          <w:vertAlign w:val="superscript"/>
          <w:lang w:eastAsia="en-US"/>
        </w:rPr>
        <w:footnoteReference w:id="14"/>
      </w:r>
      <w:r w:rsidRPr="008676F9">
        <w:rPr>
          <w:rFonts w:ascii="Calibri" w:eastAsia="Calibri" w:hAnsi="Calibri"/>
          <w:szCs w:val="22"/>
          <w:lang w:eastAsia="en-US"/>
        </w:rPr>
        <w:t>, ktoré slúžia pre odvoz dreva, prístup hasičskej techniky a technologických vozidiel</w:t>
      </w:r>
      <w:r w:rsidR="00DB352A">
        <w:rPr>
          <w:rFonts w:ascii="Calibri" w:eastAsia="Calibri" w:hAnsi="Calibri"/>
          <w:szCs w:val="22"/>
          <w:lang w:eastAsia="en-US"/>
        </w:rPr>
        <w:t xml:space="preserve"> a so súčasným zohľadňovaním cieľov ochrany biodiverzity</w:t>
      </w:r>
      <w:r w:rsidRPr="008676F9">
        <w:rPr>
          <w:rFonts w:ascii="Calibri" w:eastAsia="Calibri" w:hAnsi="Calibri"/>
          <w:szCs w:val="22"/>
          <w:lang w:eastAsia="en-US"/>
        </w:rPr>
        <w:t>.</w:t>
      </w:r>
    </w:p>
    <w:p w:rsidR="008676F9" w:rsidRPr="008676F9" w:rsidRDefault="008676F9" w:rsidP="00AA6566">
      <w:pPr>
        <w:rPr>
          <w:rFonts w:ascii="Calibri" w:eastAsia="Calibri" w:hAnsi="Calibri" w:cs="Calibri"/>
          <w:bCs/>
          <w:szCs w:val="22"/>
          <w:lang w:eastAsia="en-US"/>
        </w:rPr>
      </w:pPr>
      <w:r w:rsidRPr="008676F9">
        <w:rPr>
          <w:rFonts w:ascii="Calibri" w:eastAsia="Calibri" w:hAnsi="Calibri" w:cs="Calibri"/>
          <w:bCs/>
          <w:szCs w:val="22"/>
          <w:lang w:eastAsia="en-US"/>
        </w:rPr>
        <w:t>Operácia prispieva prioritne k fokusovej oblasti 2C.</w:t>
      </w:r>
    </w:p>
    <w:p w:rsidR="008676F9" w:rsidRPr="008676F9" w:rsidRDefault="008676F9" w:rsidP="00AA6566">
      <w:pPr>
        <w:tabs>
          <w:tab w:val="left" w:pos="708"/>
        </w:tabs>
        <w:suppressAutoHyphens/>
        <w:contextualSpacing/>
        <w:rPr>
          <w:rFonts w:ascii="Calibri" w:eastAsia="Calibri" w:hAnsi="Calibri"/>
          <w:szCs w:val="22"/>
          <w:lang w:eastAsia="en-US"/>
        </w:rPr>
      </w:pPr>
    </w:p>
    <w:p w:rsidR="008676F9" w:rsidRPr="008676F9" w:rsidRDefault="008676F9" w:rsidP="00AA6566">
      <w:pPr>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Typ podpory:</w:t>
      </w:r>
    </w:p>
    <w:p w:rsidR="008676F9" w:rsidRPr="008676F9" w:rsidRDefault="008676F9" w:rsidP="001F5283">
      <w:pPr>
        <w:numPr>
          <w:ilvl w:val="0"/>
          <w:numId w:val="48"/>
        </w:numPr>
        <w:ind w:left="426"/>
        <w:rPr>
          <w:rFonts w:ascii="Calibri" w:eastAsia="Calibri" w:hAnsi="Calibri" w:cs="Calibri"/>
          <w:bCs/>
          <w:szCs w:val="22"/>
          <w:lang w:eastAsia="en-US"/>
        </w:rPr>
      </w:pPr>
      <w:r w:rsidRPr="008676F9">
        <w:rPr>
          <w:rFonts w:ascii="Calibri" w:eastAsia="Calibri" w:hAnsi="Calibri" w:cs="Calibri"/>
          <w:bCs/>
          <w:szCs w:val="22"/>
          <w:lang w:eastAsia="en-US"/>
        </w:rPr>
        <w:t>Investičná, zisková, nenávratný finančný príspevok</w:t>
      </w:r>
    </w:p>
    <w:p w:rsidR="008676F9" w:rsidRPr="008676F9" w:rsidRDefault="008676F9" w:rsidP="00AA6566">
      <w:pPr>
        <w:rPr>
          <w:rFonts w:ascii="Calibri" w:eastAsia="Calibri" w:hAnsi="Calibri" w:cs="Calibri"/>
          <w:bCs/>
          <w:szCs w:val="22"/>
          <w:u w:val="single"/>
          <w:lang w:eastAsia="en-US"/>
        </w:rPr>
      </w:pPr>
    </w:p>
    <w:p w:rsidR="008676F9" w:rsidRPr="008676F9" w:rsidRDefault="008676F9" w:rsidP="00AA6566">
      <w:pPr>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Súvislosť s inou legislatívou:</w:t>
      </w:r>
    </w:p>
    <w:p w:rsidR="008676F9" w:rsidRPr="008676F9" w:rsidRDefault="008676F9" w:rsidP="001F5283">
      <w:pPr>
        <w:numPr>
          <w:ilvl w:val="0"/>
          <w:numId w:val="48"/>
        </w:numPr>
        <w:ind w:left="426"/>
        <w:contextualSpacing/>
        <w:rPr>
          <w:rFonts w:ascii="Calibri" w:hAnsi="Calibri" w:cs="Calibri"/>
          <w:bCs/>
          <w:szCs w:val="22"/>
          <w:u w:val="single"/>
          <w:lang w:eastAsia="en-US"/>
        </w:rPr>
      </w:pPr>
      <w:r w:rsidRPr="008676F9">
        <w:rPr>
          <w:rFonts w:ascii="Calibri" w:hAnsi="Calibri"/>
          <w:szCs w:val="22"/>
          <w:lang w:eastAsia="en-US"/>
        </w:rPr>
        <w:t>usmernenia EÚ pre štátnu pomoc v poľnohospodárstve a lesnom hospodárstve 2014 – 2020;</w:t>
      </w:r>
    </w:p>
    <w:p w:rsidR="008676F9" w:rsidRPr="008676F9" w:rsidRDefault="008676F9" w:rsidP="001F5283">
      <w:pPr>
        <w:numPr>
          <w:ilvl w:val="0"/>
          <w:numId w:val="37"/>
        </w:numPr>
        <w:ind w:left="426"/>
        <w:contextualSpacing/>
        <w:rPr>
          <w:rFonts w:ascii="Calibri" w:hAnsi="Calibri" w:cs="Calibri"/>
          <w:bCs/>
          <w:szCs w:val="22"/>
          <w:u w:val="single"/>
          <w:lang w:eastAsia="en-US"/>
        </w:rPr>
      </w:pPr>
      <w:r w:rsidRPr="008676F9">
        <w:rPr>
          <w:rFonts w:ascii="Calibri" w:hAnsi="Calibri" w:cs="Calibri"/>
          <w:szCs w:val="22"/>
        </w:rPr>
        <w:t>zákon č. 326/2005 Z. z. o lesoch;</w:t>
      </w:r>
    </w:p>
    <w:p w:rsidR="008676F9" w:rsidRPr="008676F9" w:rsidRDefault="008676F9" w:rsidP="001F5283">
      <w:pPr>
        <w:numPr>
          <w:ilvl w:val="0"/>
          <w:numId w:val="37"/>
        </w:numPr>
        <w:ind w:left="426"/>
        <w:contextualSpacing/>
        <w:rPr>
          <w:rFonts w:ascii="Calibri" w:hAnsi="Calibri" w:cs="Calibri"/>
          <w:bCs/>
          <w:szCs w:val="22"/>
          <w:u w:val="single"/>
          <w:lang w:eastAsia="en-US"/>
        </w:rPr>
      </w:pPr>
      <w:r w:rsidRPr="008676F9">
        <w:rPr>
          <w:rFonts w:ascii="Calibri" w:eastAsia="Calibri" w:hAnsi="Calibri"/>
          <w:szCs w:val="22"/>
          <w:lang w:eastAsia="en-US"/>
        </w:rPr>
        <w:t>Neprekrývanie podpory v rámci podopatrenia 4.3 s podporou v rámci podopatrenia  8.3 je zabezpečené rozdielnym typom oprávnených aktivít (v rámci podopatrenia 4.3 je oprávnená výstavba a rekonštrukcia lesných ciest a prístupu k lesnej pôde s výnimkou protipožiarnych lesných ciest, v rámci podopatrenia 8.3 je oprávnená výstavba a rekonštrukcia protipožiarnych lesných ciest).</w:t>
      </w:r>
    </w:p>
    <w:p w:rsidR="008676F9" w:rsidRPr="008676F9" w:rsidRDefault="008676F9" w:rsidP="00AA6566">
      <w:pPr>
        <w:ind w:left="426"/>
        <w:contextualSpacing/>
        <w:rPr>
          <w:rFonts w:ascii="Calibri" w:hAnsi="Calibri" w:cs="Calibri"/>
          <w:bCs/>
          <w:szCs w:val="22"/>
          <w:u w:val="single"/>
          <w:lang w:eastAsia="en-US"/>
        </w:rPr>
      </w:pPr>
    </w:p>
    <w:p w:rsidR="008676F9" w:rsidRPr="008676F9" w:rsidRDefault="008676F9" w:rsidP="00AA6566">
      <w:pPr>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Prijímateľ podpory:</w:t>
      </w:r>
    </w:p>
    <w:p w:rsidR="008676F9" w:rsidRPr="008676F9" w:rsidRDefault="008676F9" w:rsidP="001F5283">
      <w:pPr>
        <w:numPr>
          <w:ilvl w:val="0"/>
          <w:numId w:val="39"/>
        </w:numPr>
        <w:ind w:left="426"/>
        <w:contextualSpacing/>
        <w:rPr>
          <w:rFonts w:ascii="Calibri" w:hAnsi="Calibri" w:cs="Calibri"/>
          <w:bCs/>
          <w:szCs w:val="22"/>
          <w:lang w:eastAsia="en-US"/>
        </w:rPr>
      </w:pPr>
      <w:r w:rsidRPr="008676F9">
        <w:rPr>
          <w:rFonts w:ascii="Calibri" w:hAnsi="Calibri" w:cs="Calibri"/>
          <w:bCs/>
          <w:szCs w:val="22"/>
          <w:lang w:eastAsia="en-US"/>
        </w:rPr>
        <w:t>obhospodarovateľ lesa v zmysle zákona č. 326/2005 Z. z. o lesoch.</w:t>
      </w:r>
    </w:p>
    <w:p w:rsidR="008676F9" w:rsidRPr="008676F9" w:rsidRDefault="008676F9" w:rsidP="00AA6566">
      <w:pPr>
        <w:ind w:left="426"/>
        <w:rPr>
          <w:rFonts w:ascii="Calibri" w:hAnsi="Calibri" w:cs="Calibri"/>
          <w:bCs/>
          <w:szCs w:val="22"/>
          <w:u w:val="single"/>
          <w:lang w:val="en-GB" w:eastAsia="en-US"/>
        </w:rPr>
      </w:pPr>
    </w:p>
    <w:p w:rsidR="008676F9" w:rsidRPr="008676F9" w:rsidRDefault="008676F9" w:rsidP="00AA6566">
      <w:pPr>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Oprávnené náklady:</w:t>
      </w:r>
    </w:p>
    <w:p w:rsidR="008676F9" w:rsidRPr="008676F9" w:rsidRDefault="008676F9" w:rsidP="001F5283">
      <w:pPr>
        <w:numPr>
          <w:ilvl w:val="0"/>
          <w:numId w:val="48"/>
        </w:numPr>
        <w:ind w:left="426"/>
        <w:contextualSpacing/>
        <w:rPr>
          <w:rFonts w:ascii="Calibri" w:hAnsi="Calibri" w:cs="Calibri"/>
          <w:bCs/>
          <w:szCs w:val="22"/>
          <w:lang w:eastAsia="en-US"/>
        </w:rPr>
      </w:pPr>
      <w:r w:rsidRPr="008676F9">
        <w:rPr>
          <w:rFonts w:ascii="Calibri" w:hAnsi="Calibri" w:cs="Calibri"/>
          <w:bCs/>
          <w:szCs w:val="22"/>
          <w:lang w:eastAsia="en-US"/>
        </w:rPr>
        <w:t>náklady na hmotné investície súvisiace s budovaním, dostavbou, prestavbou a rekonštrukciou lesných ciest;</w:t>
      </w:r>
    </w:p>
    <w:p w:rsidR="008676F9" w:rsidRPr="008676F9" w:rsidRDefault="00DB352A" w:rsidP="001F5283">
      <w:pPr>
        <w:numPr>
          <w:ilvl w:val="0"/>
          <w:numId w:val="48"/>
        </w:numPr>
        <w:ind w:left="426"/>
        <w:contextualSpacing/>
        <w:rPr>
          <w:rFonts w:ascii="Calibri" w:hAnsi="Calibri" w:cs="Calibri"/>
          <w:bCs/>
          <w:szCs w:val="22"/>
          <w:lang w:eastAsia="en-US"/>
        </w:rPr>
      </w:pPr>
      <w:r>
        <w:rPr>
          <w:rFonts w:ascii="Calibri" w:hAnsi="Calibri" w:cs="Calibri"/>
          <w:bCs/>
          <w:szCs w:val="22"/>
          <w:lang w:eastAsia="en-US"/>
        </w:rPr>
        <w:t>riadenie projektu</w:t>
      </w:r>
      <w:r w:rsidR="008676F9" w:rsidRPr="008676F9">
        <w:rPr>
          <w:rFonts w:ascii="Calibri" w:hAnsi="Calibri" w:cs="Calibri"/>
          <w:szCs w:val="22"/>
          <w:lang w:eastAsia="en-US"/>
        </w:rPr>
        <w:t>.</w:t>
      </w:r>
    </w:p>
    <w:p w:rsidR="00AA6566" w:rsidRDefault="00AA6566" w:rsidP="00AA6566">
      <w:pPr>
        <w:rPr>
          <w:rFonts w:ascii="Calibri" w:eastAsia="Calibri" w:hAnsi="Calibri" w:cs="Calibri"/>
          <w:bCs/>
          <w:szCs w:val="22"/>
          <w:u w:val="single"/>
          <w:lang w:eastAsia="en-US"/>
        </w:rPr>
      </w:pPr>
    </w:p>
    <w:p w:rsidR="008676F9" w:rsidRPr="008676F9" w:rsidRDefault="008676F9" w:rsidP="00AA6566">
      <w:pPr>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Podmienky oprávnenosti:</w:t>
      </w:r>
    </w:p>
    <w:p w:rsidR="008676F9" w:rsidRPr="008676F9" w:rsidRDefault="008676F9" w:rsidP="001F5283">
      <w:pPr>
        <w:numPr>
          <w:ilvl w:val="0"/>
          <w:numId w:val="41"/>
        </w:numPr>
        <w:ind w:left="426" w:hanging="426"/>
        <w:contextualSpacing/>
        <w:rPr>
          <w:rFonts w:ascii="Calibri" w:eastAsia="Calibri" w:hAnsi="Calibri" w:cs="Calibri"/>
          <w:bCs/>
          <w:szCs w:val="22"/>
          <w:u w:val="single"/>
          <w:lang w:eastAsia="en-US"/>
        </w:rPr>
      </w:pPr>
      <w:r w:rsidRPr="008676F9">
        <w:rPr>
          <w:rFonts w:ascii="Calibri" w:eastAsia="Calibri" w:hAnsi="Calibri" w:cs="Calibri"/>
          <w:bCs/>
          <w:szCs w:val="22"/>
          <w:lang w:eastAsia="en-US"/>
        </w:rPr>
        <w:t>Kritériá vzťahujúce sa k investíciám.</w:t>
      </w:r>
    </w:p>
    <w:p w:rsidR="008676F9" w:rsidRPr="008676F9" w:rsidRDefault="008676F9" w:rsidP="001F5283">
      <w:pPr>
        <w:numPr>
          <w:ilvl w:val="0"/>
          <w:numId w:val="41"/>
        </w:numPr>
        <w:ind w:left="426" w:hanging="426"/>
        <w:contextualSpacing/>
        <w:rPr>
          <w:rFonts w:ascii="Calibri" w:eastAsia="Calibri" w:hAnsi="Calibri" w:cs="Calibri"/>
          <w:bCs/>
          <w:szCs w:val="22"/>
          <w:u w:val="single"/>
          <w:lang w:eastAsia="en-US"/>
        </w:rPr>
      </w:pPr>
      <w:r w:rsidRPr="008676F9">
        <w:rPr>
          <w:rFonts w:ascii="Calibri" w:eastAsia="Calibri" w:hAnsi="Calibri" w:cs="Calibri"/>
          <w:bCs/>
          <w:szCs w:val="22"/>
          <w:lang w:eastAsia="en-US"/>
        </w:rPr>
        <w:t>Verejné obstarávanie.</w:t>
      </w:r>
    </w:p>
    <w:p w:rsidR="008676F9" w:rsidRPr="008676F9" w:rsidRDefault="008676F9" w:rsidP="001F5283">
      <w:pPr>
        <w:numPr>
          <w:ilvl w:val="0"/>
          <w:numId w:val="41"/>
        </w:numPr>
        <w:ind w:left="426" w:hanging="426"/>
        <w:contextualSpacing/>
        <w:rPr>
          <w:rFonts w:ascii="Calibri" w:eastAsia="Calibri" w:hAnsi="Calibri" w:cs="Calibri"/>
          <w:bCs/>
          <w:szCs w:val="22"/>
          <w:u w:val="single"/>
          <w:lang w:eastAsia="en-US"/>
        </w:rPr>
      </w:pPr>
      <w:r w:rsidRPr="008676F9">
        <w:rPr>
          <w:rFonts w:ascii="Calibri" w:eastAsia="Calibri" w:hAnsi="Calibri" w:cs="Calibri"/>
          <w:bCs/>
          <w:szCs w:val="22"/>
          <w:lang w:eastAsia="en-US"/>
        </w:rPr>
        <w:t>Žiadateľ obhospodaruje minimálne 10 ha lesa.</w:t>
      </w:r>
    </w:p>
    <w:p w:rsidR="008676F9" w:rsidRPr="008676F9" w:rsidRDefault="008676F9" w:rsidP="001F5283">
      <w:pPr>
        <w:numPr>
          <w:ilvl w:val="0"/>
          <w:numId w:val="41"/>
        </w:numPr>
        <w:ind w:left="426" w:hanging="426"/>
        <w:rPr>
          <w:rFonts w:ascii="Calibri" w:eastAsia="Calibri" w:hAnsi="Calibri" w:cs="Calibri"/>
          <w:bCs/>
          <w:szCs w:val="22"/>
          <w:lang w:eastAsia="en-US"/>
        </w:rPr>
      </w:pPr>
      <w:r w:rsidRPr="008676F9">
        <w:rPr>
          <w:rFonts w:ascii="Calibri" w:eastAsia="Calibri" w:hAnsi="Calibri" w:cs="Calibri"/>
          <w:bCs/>
          <w:szCs w:val="22"/>
          <w:lang w:eastAsia="en-US"/>
        </w:rPr>
        <w:t>Povinnosť žiadateľa, ktorý sa nachádza na území MAS, predložiť potvrdenie od MAS, že daný projekt nie je realizovaný prostredníctvom stratégie CLLD miestnej akčnej skupiny.</w:t>
      </w:r>
    </w:p>
    <w:p w:rsidR="00AA6566" w:rsidRDefault="00AA6566" w:rsidP="00AA6566">
      <w:pPr>
        <w:rPr>
          <w:rFonts w:ascii="Calibri" w:eastAsia="Calibri" w:hAnsi="Calibri" w:cs="Calibri"/>
          <w:bCs/>
          <w:szCs w:val="22"/>
          <w:u w:val="single"/>
          <w:lang w:eastAsia="en-US"/>
        </w:rPr>
      </w:pPr>
    </w:p>
    <w:p w:rsidR="008676F9" w:rsidRPr="008676F9" w:rsidRDefault="008676F9" w:rsidP="00AA6566">
      <w:pPr>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Princípy nastavenia výberových kritérií:</w:t>
      </w:r>
    </w:p>
    <w:p w:rsidR="008676F9" w:rsidRPr="008676F9" w:rsidRDefault="008676F9" w:rsidP="001F5283">
      <w:pPr>
        <w:numPr>
          <w:ilvl w:val="0"/>
          <w:numId w:val="44"/>
        </w:numPr>
        <w:ind w:left="426"/>
        <w:contextualSpacing/>
        <w:rPr>
          <w:rFonts w:ascii="Calibri" w:hAnsi="Calibri" w:cs="Calibri"/>
          <w:bCs/>
          <w:szCs w:val="22"/>
          <w:u w:val="single"/>
          <w:lang w:eastAsia="en-US"/>
        </w:rPr>
      </w:pPr>
      <w:r w:rsidRPr="008676F9">
        <w:rPr>
          <w:rFonts w:ascii="Calibri" w:hAnsi="Calibri"/>
          <w:szCs w:val="22"/>
          <w:lang w:eastAsia="en-US"/>
        </w:rPr>
        <w:t xml:space="preserve">Princíp nediskriminácie, efektivity. </w:t>
      </w:r>
    </w:p>
    <w:p w:rsidR="00DB352A" w:rsidRDefault="00DB352A" w:rsidP="001F5283">
      <w:pPr>
        <w:numPr>
          <w:ilvl w:val="0"/>
          <w:numId w:val="44"/>
        </w:numPr>
        <w:ind w:left="426"/>
        <w:contextualSpacing/>
        <w:rPr>
          <w:rFonts w:ascii="Calibri" w:hAnsi="Calibri" w:cs="Calibri"/>
          <w:bCs/>
          <w:szCs w:val="22"/>
          <w:lang w:eastAsia="en-US"/>
        </w:rPr>
      </w:pPr>
      <w:r>
        <w:rPr>
          <w:rFonts w:ascii="Calibri" w:hAnsi="Calibri" w:cs="Calibri"/>
          <w:bCs/>
          <w:szCs w:val="22"/>
          <w:lang w:eastAsia="en-US"/>
        </w:rPr>
        <w:t>Kolektívne investície.</w:t>
      </w:r>
    </w:p>
    <w:p w:rsidR="008676F9" w:rsidRPr="008676F9" w:rsidRDefault="00DB352A" w:rsidP="001F5283">
      <w:pPr>
        <w:numPr>
          <w:ilvl w:val="0"/>
          <w:numId w:val="44"/>
        </w:numPr>
        <w:ind w:left="426"/>
        <w:contextualSpacing/>
        <w:rPr>
          <w:rFonts w:ascii="Calibri" w:hAnsi="Calibri" w:cs="Calibri"/>
          <w:bCs/>
          <w:szCs w:val="22"/>
          <w:lang w:eastAsia="en-US"/>
        </w:rPr>
      </w:pPr>
      <w:r w:rsidRPr="008676F9">
        <w:rPr>
          <w:rFonts w:ascii="Calibri" w:hAnsi="Calibri" w:cs="Calibri"/>
          <w:bCs/>
          <w:szCs w:val="22"/>
          <w:lang w:eastAsia="en-US"/>
        </w:rPr>
        <w:t xml:space="preserve">Udržateľnosť </w:t>
      </w:r>
      <w:r>
        <w:rPr>
          <w:rFonts w:ascii="Calibri" w:hAnsi="Calibri" w:cs="Calibri"/>
          <w:bCs/>
          <w:szCs w:val="22"/>
          <w:lang w:eastAsia="en-US"/>
        </w:rPr>
        <w:t>projektu.</w:t>
      </w:r>
    </w:p>
    <w:p w:rsidR="008676F9" w:rsidRPr="008676F9" w:rsidRDefault="00DB352A" w:rsidP="001F5283">
      <w:pPr>
        <w:numPr>
          <w:ilvl w:val="0"/>
          <w:numId w:val="44"/>
        </w:numPr>
        <w:ind w:left="426"/>
        <w:contextualSpacing/>
        <w:rPr>
          <w:rFonts w:ascii="Calibri" w:hAnsi="Calibri" w:cs="Calibri"/>
          <w:bCs/>
          <w:szCs w:val="22"/>
          <w:lang w:eastAsia="en-US"/>
        </w:rPr>
      </w:pPr>
      <w:r w:rsidRPr="008676F9">
        <w:rPr>
          <w:rFonts w:ascii="Calibri" w:hAnsi="Calibri" w:cs="Calibri"/>
          <w:bCs/>
          <w:szCs w:val="22"/>
          <w:lang w:eastAsia="en-US"/>
        </w:rPr>
        <w:t>Vply</w:t>
      </w:r>
      <w:r>
        <w:rPr>
          <w:rFonts w:ascii="Calibri" w:hAnsi="Calibri" w:cs="Calibri"/>
          <w:bCs/>
          <w:szCs w:val="22"/>
          <w:lang w:eastAsia="en-US"/>
        </w:rPr>
        <w:t>v na životné prostredie a klímu.</w:t>
      </w:r>
    </w:p>
    <w:p w:rsidR="008676F9" w:rsidRPr="008676F9" w:rsidRDefault="00DB352A" w:rsidP="001F5283">
      <w:pPr>
        <w:numPr>
          <w:ilvl w:val="0"/>
          <w:numId w:val="44"/>
        </w:numPr>
        <w:ind w:left="426"/>
        <w:contextualSpacing/>
        <w:rPr>
          <w:rFonts w:ascii="Calibri" w:hAnsi="Calibri" w:cs="Calibri"/>
          <w:bCs/>
          <w:szCs w:val="22"/>
          <w:lang w:eastAsia="en-US"/>
        </w:rPr>
      </w:pPr>
      <w:r w:rsidRPr="008676F9">
        <w:rPr>
          <w:rFonts w:ascii="Calibri" w:hAnsi="Calibri" w:cs="Calibri"/>
          <w:bCs/>
          <w:szCs w:val="22"/>
          <w:lang w:eastAsia="en-US"/>
        </w:rPr>
        <w:t xml:space="preserve">Komplexnosť projektu. </w:t>
      </w:r>
    </w:p>
    <w:p w:rsidR="008676F9" w:rsidRPr="008676F9" w:rsidRDefault="008676F9" w:rsidP="00AA6566">
      <w:pPr>
        <w:rPr>
          <w:rFonts w:ascii="Calibri" w:eastAsia="Calibri" w:hAnsi="Calibri" w:cs="Calibri"/>
          <w:bCs/>
          <w:szCs w:val="22"/>
          <w:u w:val="single"/>
          <w:lang w:eastAsia="en-US"/>
        </w:rPr>
      </w:pPr>
    </w:p>
    <w:p w:rsidR="008676F9" w:rsidRPr="008676F9" w:rsidRDefault="008676F9" w:rsidP="00AA6566">
      <w:pPr>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Výška a miera podpory:</w:t>
      </w:r>
    </w:p>
    <w:p w:rsidR="008676F9" w:rsidRPr="008676F9" w:rsidRDefault="008676F9" w:rsidP="00AA6566">
      <w:pPr>
        <w:rPr>
          <w:rFonts w:ascii="Calibri" w:eastAsia="Calibri" w:hAnsi="Calibri" w:cs="Calibri"/>
          <w:szCs w:val="22"/>
          <w:lang w:eastAsia="en-US"/>
        </w:rPr>
      </w:pPr>
      <w:r w:rsidRPr="008676F9">
        <w:rPr>
          <w:rFonts w:ascii="Calibri" w:eastAsia="Calibri" w:hAnsi="Calibri" w:cs="Calibri"/>
          <w:szCs w:val="22"/>
          <w:lang w:eastAsia="en-US"/>
        </w:rPr>
        <w:t>Maximálna výška podpory z celkových oprávnených výdavkov:</w:t>
      </w:r>
    </w:p>
    <w:p w:rsidR="008676F9" w:rsidRPr="008676F9" w:rsidRDefault="008676F9" w:rsidP="00955DA4">
      <w:pPr>
        <w:numPr>
          <w:ilvl w:val="0"/>
          <w:numId w:val="158"/>
        </w:numPr>
        <w:rPr>
          <w:rFonts w:ascii="Calibri" w:hAnsi="Calibri" w:cs="Calibri"/>
          <w:szCs w:val="22"/>
          <w:lang w:val="en-GB" w:eastAsia="en-US"/>
        </w:rPr>
      </w:pPr>
      <w:r w:rsidRPr="008676F9">
        <w:rPr>
          <w:rFonts w:ascii="Calibri" w:hAnsi="Calibri" w:cs="Calibri"/>
          <w:szCs w:val="22"/>
          <w:lang w:val="en-GB" w:eastAsia="en-US"/>
        </w:rPr>
        <w:t xml:space="preserve">80%. </w:t>
      </w:r>
    </w:p>
    <w:p w:rsidR="008676F9" w:rsidRDefault="008676F9" w:rsidP="00AA6566">
      <w:pPr>
        <w:tabs>
          <w:tab w:val="left" w:pos="708"/>
        </w:tabs>
        <w:suppressAutoHyphens/>
        <w:contextualSpacing/>
        <w:rPr>
          <w:rFonts w:ascii="Calibri" w:eastAsia="Calibri" w:hAnsi="Calibri" w:cs="Calibri"/>
          <w:bCs/>
          <w:szCs w:val="22"/>
          <w:lang w:eastAsia="en-US"/>
        </w:rPr>
      </w:pPr>
    </w:p>
    <w:p w:rsidR="001F3673" w:rsidRPr="008676F9" w:rsidRDefault="001F3673" w:rsidP="00AA6566">
      <w:pPr>
        <w:tabs>
          <w:tab w:val="left" w:pos="708"/>
        </w:tabs>
        <w:suppressAutoHyphens/>
        <w:contextualSpacing/>
        <w:rPr>
          <w:rFonts w:ascii="Calibri" w:eastAsia="Calibri" w:hAnsi="Calibri" w:cs="Calibri"/>
          <w:bCs/>
          <w:szCs w:val="22"/>
          <w:lang w:eastAsia="en-US"/>
        </w:rPr>
      </w:pPr>
    </w:p>
    <w:p w:rsidR="008676F9" w:rsidRPr="00A03A77" w:rsidRDefault="008676F9" w:rsidP="00A03A77">
      <w:pPr>
        <w:shd w:val="clear" w:color="auto" w:fill="D6E3BC"/>
        <w:ind w:left="1701" w:hanging="1701"/>
        <w:jc w:val="left"/>
        <w:rPr>
          <w:rFonts w:ascii="Calibri" w:eastAsia="Calibri" w:hAnsi="Calibri" w:cs="Calibri"/>
          <w:bCs/>
          <w:sz w:val="24"/>
          <w:lang w:eastAsia="en-US"/>
        </w:rPr>
      </w:pPr>
      <w:r w:rsidRPr="008676F9">
        <w:rPr>
          <w:rFonts w:ascii="Calibri" w:eastAsia="Calibri" w:hAnsi="Calibri" w:cs="Calibri"/>
          <w:bCs/>
          <w:lang w:eastAsia="en-US"/>
        </w:rPr>
        <w:t xml:space="preserve">Podopatrenie: </w:t>
      </w:r>
      <w:r w:rsidRPr="008676F9">
        <w:rPr>
          <w:rFonts w:ascii="Calibri" w:eastAsia="Calibri" w:hAnsi="Calibri" w:cs="Calibri"/>
          <w:b/>
          <w:bCs/>
          <w:i/>
          <w:lang w:eastAsia="en-US"/>
        </w:rPr>
        <w:t xml:space="preserve">4.4 </w:t>
      </w:r>
      <w:r w:rsidRPr="00A03A77">
        <w:rPr>
          <w:rFonts w:ascii="Calibri" w:eastAsia="Calibri" w:hAnsi="Calibri" w:cs="Calibri"/>
          <w:b/>
          <w:bCs/>
          <w:i/>
          <w:sz w:val="24"/>
          <w:lang w:eastAsia="en-US"/>
        </w:rPr>
        <w:t>Podpora neproduktívnych investícií spojených s plnením agro-environmentálnych cieľov súvisiacich s klímou</w:t>
      </w:r>
    </w:p>
    <w:p w:rsidR="008676F9" w:rsidRPr="008676F9" w:rsidRDefault="008676F9" w:rsidP="00AA6566">
      <w:pPr>
        <w:shd w:val="clear" w:color="auto" w:fill="FBD4B4"/>
        <w:rPr>
          <w:rFonts w:ascii="Calibri" w:eastAsia="Calibri" w:hAnsi="Calibri" w:cs="Calibri"/>
          <w:i/>
          <w:szCs w:val="22"/>
          <w:u w:val="single"/>
          <w:lang w:eastAsia="en-US"/>
        </w:rPr>
      </w:pPr>
      <w:r w:rsidRPr="008676F9">
        <w:rPr>
          <w:rFonts w:ascii="Calibri" w:eastAsia="Calibri" w:hAnsi="Calibri" w:cs="Calibri"/>
          <w:i/>
          <w:szCs w:val="22"/>
          <w:u w:val="single"/>
          <w:lang w:eastAsia="en-US"/>
        </w:rPr>
        <w:t>Názov operácie:</w:t>
      </w:r>
    </w:p>
    <w:p w:rsidR="008676F9" w:rsidRPr="008676F9" w:rsidRDefault="008676F9" w:rsidP="00AA6566">
      <w:pPr>
        <w:shd w:val="clear" w:color="auto" w:fill="FBD4B4"/>
        <w:rPr>
          <w:rFonts w:ascii="Calibri" w:eastAsia="Calibri" w:hAnsi="Calibri" w:cs="Calibri"/>
          <w:bCs/>
          <w:i/>
          <w:szCs w:val="22"/>
          <w:lang w:eastAsia="en-US"/>
        </w:rPr>
      </w:pPr>
      <w:r w:rsidRPr="008676F9">
        <w:rPr>
          <w:rFonts w:ascii="Calibri" w:eastAsia="Calibri" w:hAnsi="Calibri" w:cs="Calibri"/>
          <w:i/>
          <w:szCs w:val="22"/>
          <w:lang w:eastAsia="en-US"/>
        </w:rPr>
        <w:t>Neziskové investície do výstavby, rekonštrukcie, opravy a modernizácie zariadení na skladovanie, spracovanie a nakladanie s odpadovou vodou a hospodárskymi hnojivami a neziskové investície pre ustajnenie a chov hospodárskych zvierat s využitím nových technológií na znižovanie emisií skleníkových plynov.</w:t>
      </w:r>
    </w:p>
    <w:p w:rsidR="008676F9" w:rsidRPr="008676F9" w:rsidRDefault="008676F9" w:rsidP="00AA6566">
      <w:pPr>
        <w:rPr>
          <w:rFonts w:ascii="Calibri" w:eastAsia="Calibri" w:hAnsi="Calibri" w:cs="Calibri"/>
          <w:bCs/>
          <w:szCs w:val="22"/>
          <w:u w:val="single"/>
          <w:lang w:eastAsia="en-US"/>
        </w:rPr>
      </w:pPr>
    </w:p>
    <w:p w:rsidR="008676F9" w:rsidRPr="008676F9" w:rsidRDefault="008676F9" w:rsidP="00AA6566">
      <w:pPr>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Opis operácie:</w:t>
      </w:r>
    </w:p>
    <w:p w:rsidR="008676F9" w:rsidRPr="008676F9" w:rsidRDefault="008676F9" w:rsidP="00AA6566">
      <w:pPr>
        <w:rPr>
          <w:rFonts w:ascii="Calibri" w:eastAsia="Calibri" w:hAnsi="Calibri" w:cs="Calibri"/>
          <w:szCs w:val="22"/>
          <w:lang w:eastAsia="en-US"/>
        </w:rPr>
      </w:pPr>
      <w:r w:rsidRPr="008676F9">
        <w:rPr>
          <w:rFonts w:ascii="Calibri" w:eastAsia="Calibri" w:hAnsi="Calibri" w:cs="Calibri"/>
          <w:szCs w:val="22"/>
          <w:lang w:eastAsia="en-US"/>
        </w:rPr>
        <w:t xml:space="preserve">Výstavba, rekonštrukcia, modernizácia skladovacích kapacít pre odpadovú vodu a hospodárske hnojivá a technológie na znižovanie emisií skleníkových plynov v chovoch hospodárskych zvierat. </w:t>
      </w:r>
    </w:p>
    <w:p w:rsidR="008676F9" w:rsidRPr="008676F9" w:rsidRDefault="008676F9" w:rsidP="00AA6566">
      <w:pPr>
        <w:rPr>
          <w:rFonts w:ascii="Calibri" w:eastAsia="Calibri" w:hAnsi="Calibri" w:cs="Calibri"/>
          <w:szCs w:val="22"/>
          <w:lang w:eastAsia="en-US"/>
        </w:rPr>
      </w:pPr>
      <w:r w:rsidRPr="008676F9">
        <w:rPr>
          <w:rFonts w:ascii="Calibri" w:eastAsia="Calibri" w:hAnsi="Calibri" w:cs="Calibri"/>
          <w:szCs w:val="22"/>
          <w:lang w:eastAsia="en-US"/>
        </w:rPr>
        <w:t>Rozsah činností:</w:t>
      </w:r>
    </w:p>
    <w:p w:rsidR="008676F9" w:rsidRPr="008676F9" w:rsidRDefault="008676F9" w:rsidP="00317BFF">
      <w:pPr>
        <w:numPr>
          <w:ilvl w:val="0"/>
          <w:numId w:val="26"/>
        </w:numPr>
        <w:tabs>
          <w:tab w:val="num" w:pos="284"/>
        </w:tabs>
        <w:ind w:left="284" w:hanging="284"/>
        <w:rPr>
          <w:rFonts w:ascii="Calibri" w:eastAsia="Calibri" w:hAnsi="Calibri"/>
          <w:szCs w:val="22"/>
          <w:lang w:eastAsia="en-US"/>
        </w:rPr>
      </w:pPr>
      <w:r w:rsidRPr="008676F9">
        <w:rPr>
          <w:rFonts w:ascii="Calibri" w:eastAsia="Calibri" w:hAnsi="Calibri"/>
          <w:szCs w:val="22"/>
          <w:lang w:eastAsia="en-US"/>
        </w:rPr>
        <w:t>do objektov a technológií na bezpečné uskladnenie a nakladanie s hospodárskymi hnojivami a inými vedľajšími produktmi vlastnej živočíšnej výroby (výstavba hnojísk, uskladňovacích nádrží alebo žúmp);</w:t>
      </w:r>
    </w:p>
    <w:p w:rsidR="008676F9" w:rsidRPr="008676F9" w:rsidRDefault="008676F9" w:rsidP="00317BFF">
      <w:pPr>
        <w:numPr>
          <w:ilvl w:val="0"/>
          <w:numId w:val="26"/>
        </w:numPr>
        <w:tabs>
          <w:tab w:val="num" w:pos="284"/>
        </w:tabs>
        <w:spacing w:after="120"/>
        <w:ind w:left="284" w:hanging="284"/>
        <w:rPr>
          <w:rFonts w:ascii="Calibri" w:eastAsia="Calibri" w:hAnsi="Calibri" w:cs="Calibri"/>
          <w:szCs w:val="22"/>
          <w:lang w:eastAsia="en-US"/>
        </w:rPr>
      </w:pPr>
      <w:r w:rsidRPr="008676F9">
        <w:rPr>
          <w:rFonts w:ascii="Calibri" w:eastAsia="Calibri" w:hAnsi="Calibri"/>
          <w:szCs w:val="22"/>
          <w:lang w:eastAsia="en-US"/>
        </w:rPr>
        <w:t>do nových technológií na znižovanie emisií skleníkových plynov v ustajnení hospodárskych zvierat.</w:t>
      </w:r>
    </w:p>
    <w:p w:rsidR="008676F9" w:rsidRPr="008676F9" w:rsidRDefault="008676F9" w:rsidP="00AA6566">
      <w:pPr>
        <w:rPr>
          <w:rFonts w:ascii="Calibri" w:eastAsia="Calibri" w:hAnsi="Calibri" w:cs="Calibri"/>
          <w:bCs/>
          <w:szCs w:val="22"/>
          <w:lang w:eastAsia="en-US"/>
        </w:rPr>
      </w:pPr>
      <w:r w:rsidRPr="008676F9">
        <w:rPr>
          <w:rFonts w:ascii="Calibri" w:eastAsia="Calibri" w:hAnsi="Calibri" w:cs="Calibri"/>
          <w:bCs/>
          <w:szCs w:val="22"/>
          <w:lang w:eastAsia="en-US"/>
        </w:rPr>
        <w:t xml:space="preserve">Operácia prispieva prioritne k fokusovej oblasti 5D a zároveň prispieva k fokusovej oblasti 4B. </w:t>
      </w:r>
    </w:p>
    <w:p w:rsidR="008676F9" w:rsidRPr="008676F9" w:rsidRDefault="008676F9" w:rsidP="00AA6566">
      <w:pPr>
        <w:rPr>
          <w:rFonts w:ascii="Calibri" w:eastAsia="Calibri" w:hAnsi="Calibri" w:cs="Calibri"/>
          <w:bCs/>
          <w:szCs w:val="22"/>
          <w:u w:val="single"/>
          <w:lang w:eastAsia="en-US"/>
        </w:rPr>
      </w:pPr>
    </w:p>
    <w:p w:rsidR="008676F9" w:rsidRPr="008676F9" w:rsidRDefault="008676F9" w:rsidP="00AA6566">
      <w:pPr>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Typ podpory:</w:t>
      </w:r>
    </w:p>
    <w:p w:rsidR="008676F9" w:rsidRPr="008676F9" w:rsidRDefault="008676F9" w:rsidP="00AA6566">
      <w:pPr>
        <w:rPr>
          <w:rFonts w:ascii="Calibri" w:eastAsia="Calibri" w:hAnsi="Calibri" w:cs="Calibri"/>
          <w:bCs/>
          <w:szCs w:val="22"/>
          <w:lang w:eastAsia="en-US"/>
        </w:rPr>
      </w:pPr>
      <w:r w:rsidRPr="008676F9">
        <w:rPr>
          <w:rFonts w:ascii="Calibri" w:eastAsia="Calibri" w:hAnsi="Calibri" w:cs="Calibri"/>
          <w:bCs/>
          <w:szCs w:val="22"/>
          <w:lang w:eastAsia="en-US"/>
        </w:rPr>
        <w:t>Investičná, nezisková, nenávratný finančný príspevok.</w:t>
      </w:r>
    </w:p>
    <w:p w:rsidR="008676F9" w:rsidRPr="008676F9" w:rsidRDefault="008676F9" w:rsidP="00AA6566">
      <w:pPr>
        <w:rPr>
          <w:rFonts w:ascii="Calibri" w:eastAsia="Calibri" w:hAnsi="Calibri" w:cs="Calibri"/>
          <w:bCs/>
          <w:szCs w:val="22"/>
          <w:u w:val="single"/>
          <w:lang w:eastAsia="en-US"/>
        </w:rPr>
      </w:pPr>
    </w:p>
    <w:p w:rsidR="008676F9" w:rsidRPr="008676F9" w:rsidRDefault="008676F9" w:rsidP="00AA6566">
      <w:pPr>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Súvislosť s inou legislatívou:</w:t>
      </w:r>
    </w:p>
    <w:p w:rsidR="008676F9" w:rsidRPr="008676F9" w:rsidRDefault="008676F9" w:rsidP="001F5283">
      <w:pPr>
        <w:numPr>
          <w:ilvl w:val="0"/>
          <w:numId w:val="37"/>
        </w:numPr>
        <w:ind w:left="426"/>
        <w:contextualSpacing/>
        <w:rPr>
          <w:rFonts w:ascii="Calibri" w:hAnsi="Calibri" w:cs="Calibri"/>
          <w:bCs/>
          <w:szCs w:val="22"/>
          <w:u w:val="single"/>
          <w:lang w:eastAsia="en-US"/>
        </w:rPr>
      </w:pPr>
      <w:r w:rsidRPr="008676F9">
        <w:rPr>
          <w:rFonts w:ascii="Calibri" w:hAnsi="Calibri"/>
          <w:color w:val="000000"/>
          <w:szCs w:val="22"/>
          <w:shd w:val="clear" w:color="auto" w:fill="FFFFFF"/>
          <w:lang w:eastAsia="en-US"/>
        </w:rPr>
        <w:t>smernica 91/676/EC o ochrane vodných zdrojov pred znečistením dusičnanmi pochádzajúcimi z poľnohospodárstva;</w:t>
      </w:r>
    </w:p>
    <w:p w:rsidR="008676F9" w:rsidRPr="008676F9" w:rsidRDefault="008676F9" w:rsidP="001F5283">
      <w:pPr>
        <w:numPr>
          <w:ilvl w:val="0"/>
          <w:numId w:val="37"/>
        </w:numPr>
        <w:ind w:left="426"/>
        <w:contextualSpacing/>
        <w:rPr>
          <w:rFonts w:ascii="Calibri" w:hAnsi="Calibri" w:cs="Calibri"/>
          <w:bCs/>
          <w:szCs w:val="22"/>
          <w:u w:val="single"/>
          <w:lang w:eastAsia="en-US"/>
        </w:rPr>
      </w:pPr>
      <w:r w:rsidRPr="008676F9">
        <w:rPr>
          <w:rFonts w:ascii="Calibri" w:hAnsi="Calibri" w:cs="Calibri"/>
          <w:szCs w:val="22"/>
          <w:lang w:eastAsia="en-US"/>
        </w:rPr>
        <w:t>smernica 2010/75/EÚ o priemyselných emisiách;</w:t>
      </w:r>
    </w:p>
    <w:p w:rsidR="008676F9" w:rsidRPr="008676F9" w:rsidRDefault="008676F9" w:rsidP="001F5283">
      <w:pPr>
        <w:numPr>
          <w:ilvl w:val="0"/>
          <w:numId w:val="37"/>
        </w:numPr>
        <w:ind w:left="426"/>
        <w:contextualSpacing/>
        <w:rPr>
          <w:rFonts w:ascii="Calibri" w:hAnsi="Calibri" w:cs="Calibri"/>
          <w:bCs/>
          <w:szCs w:val="22"/>
          <w:u w:val="single"/>
          <w:lang w:eastAsia="en-US"/>
        </w:rPr>
      </w:pPr>
      <w:r w:rsidRPr="008676F9">
        <w:rPr>
          <w:rFonts w:ascii="Calibri" w:hAnsi="Calibri" w:cs="Calibri"/>
          <w:szCs w:val="22"/>
          <w:lang w:eastAsia="en-US"/>
        </w:rPr>
        <w:t>smernica 2008/1/ES o integrovanej prevencii a obmedzovaní znečistenia;</w:t>
      </w:r>
    </w:p>
    <w:p w:rsidR="008676F9" w:rsidRPr="008676F9" w:rsidRDefault="008676F9" w:rsidP="001F5283">
      <w:pPr>
        <w:numPr>
          <w:ilvl w:val="0"/>
          <w:numId w:val="37"/>
        </w:numPr>
        <w:ind w:left="426"/>
        <w:contextualSpacing/>
        <w:rPr>
          <w:rFonts w:ascii="Calibri" w:hAnsi="Calibri" w:cs="Calibri"/>
          <w:bCs/>
          <w:szCs w:val="22"/>
          <w:u w:val="single"/>
          <w:lang w:eastAsia="en-US"/>
        </w:rPr>
      </w:pPr>
      <w:r w:rsidRPr="008676F9">
        <w:rPr>
          <w:rFonts w:ascii="Calibri" w:hAnsi="Calibri" w:cs="Calibri"/>
          <w:szCs w:val="22"/>
          <w:lang w:eastAsia="en-US"/>
        </w:rPr>
        <w:t>zákon č. 24/2006 Z. z. o posudzovaní vplyvov na životné prostredie;</w:t>
      </w:r>
    </w:p>
    <w:p w:rsidR="008676F9" w:rsidRPr="008676F9" w:rsidRDefault="008676F9" w:rsidP="001F5283">
      <w:pPr>
        <w:numPr>
          <w:ilvl w:val="0"/>
          <w:numId w:val="37"/>
        </w:numPr>
        <w:ind w:left="426"/>
        <w:contextualSpacing/>
        <w:rPr>
          <w:rFonts w:ascii="Calibri" w:hAnsi="Calibri" w:cs="Calibri"/>
          <w:bCs/>
          <w:szCs w:val="22"/>
          <w:u w:val="single"/>
          <w:lang w:eastAsia="en-US"/>
        </w:rPr>
      </w:pPr>
      <w:r w:rsidRPr="008676F9">
        <w:rPr>
          <w:rFonts w:ascii="Calibri" w:hAnsi="Calibri" w:cs="Calibri"/>
          <w:szCs w:val="22"/>
          <w:lang w:eastAsia="en-US"/>
        </w:rPr>
        <w:t>zákon č. 50/1976 Zb. o územnom plánovaní a stavebnom poriadku;</w:t>
      </w:r>
    </w:p>
    <w:p w:rsidR="008676F9" w:rsidRPr="008676F9" w:rsidRDefault="008676F9" w:rsidP="001F5283">
      <w:pPr>
        <w:numPr>
          <w:ilvl w:val="0"/>
          <w:numId w:val="37"/>
        </w:numPr>
        <w:ind w:left="426"/>
        <w:contextualSpacing/>
        <w:rPr>
          <w:rFonts w:ascii="Calibri" w:hAnsi="Calibri" w:cs="Calibri"/>
          <w:bCs/>
          <w:szCs w:val="22"/>
          <w:u w:val="single"/>
          <w:lang w:eastAsia="en-US"/>
        </w:rPr>
      </w:pPr>
      <w:r w:rsidRPr="008676F9">
        <w:rPr>
          <w:rFonts w:ascii="Calibri" w:hAnsi="Calibri" w:cs="Calibri"/>
          <w:szCs w:val="22"/>
          <w:lang w:eastAsia="en-US"/>
        </w:rPr>
        <w:t>zákon č. 136/2000 Z.z. o hnojivách;</w:t>
      </w:r>
    </w:p>
    <w:p w:rsidR="008676F9" w:rsidRPr="008676F9" w:rsidRDefault="008676F9" w:rsidP="001F5283">
      <w:pPr>
        <w:numPr>
          <w:ilvl w:val="0"/>
          <w:numId w:val="37"/>
        </w:numPr>
        <w:ind w:left="426"/>
        <w:contextualSpacing/>
        <w:rPr>
          <w:rFonts w:ascii="Calibri" w:hAnsi="Calibri" w:cs="Calibri"/>
          <w:bCs/>
          <w:szCs w:val="22"/>
          <w:u w:val="single"/>
          <w:lang w:eastAsia="en-US"/>
        </w:rPr>
      </w:pPr>
      <w:r w:rsidRPr="008676F9">
        <w:rPr>
          <w:rFonts w:ascii="Calibri" w:hAnsi="Calibri" w:cs="Calibri"/>
          <w:szCs w:val="22"/>
          <w:lang w:eastAsia="en-US"/>
        </w:rPr>
        <w:t>zákon č. 137/2010 Z.z. o ovzduší;</w:t>
      </w:r>
    </w:p>
    <w:p w:rsidR="008676F9" w:rsidRPr="008676F9" w:rsidRDefault="008676F9" w:rsidP="001F5283">
      <w:pPr>
        <w:numPr>
          <w:ilvl w:val="0"/>
          <w:numId w:val="37"/>
        </w:numPr>
        <w:ind w:left="426"/>
        <w:contextualSpacing/>
        <w:rPr>
          <w:rFonts w:ascii="Calibri" w:hAnsi="Calibri" w:cs="Calibri"/>
          <w:bCs/>
          <w:szCs w:val="22"/>
          <w:u w:val="single"/>
          <w:lang w:eastAsia="en-US"/>
        </w:rPr>
      </w:pPr>
      <w:r w:rsidRPr="008676F9">
        <w:rPr>
          <w:rFonts w:ascii="Calibri" w:hAnsi="Calibri" w:cs="Calibri"/>
          <w:szCs w:val="22"/>
          <w:lang w:eastAsia="en-US"/>
        </w:rPr>
        <w:t>zákon č. 346/2004 o vodách.</w:t>
      </w:r>
    </w:p>
    <w:p w:rsidR="00AA6566" w:rsidRDefault="00AA6566" w:rsidP="00AA6566">
      <w:pPr>
        <w:rPr>
          <w:rFonts w:ascii="Calibri" w:eastAsia="Calibri" w:hAnsi="Calibri" w:cs="Calibri"/>
          <w:bCs/>
          <w:szCs w:val="22"/>
          <w:u w:val="single"/>
          <w:lang w:eastAsia="en-US"/>
        </w:rPr>
      </w:pPr>
    </w:p>
    <w:p w:rsidR="008676F9" w:rsidRPr="008676F9" w:rsidRDefault="008676F9" w:rsidP="00AA6566">
      <w:pPr>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Prijímateľ podpory:</w:t>
      </w:r>
    </w:p>
    <w:p w:rsidR="008676F9" w:rsidRPr="008676F9" w:rsidRDefault="008676F9" w:rsidP="001F5283">
      <w:pPr>
        <w:numPr>
          <w:ilvl w:val="0"/>
          <w:numId w:val="60"/>
        </w:numPr>
        <w:ind w:left="426" w:hanging="426"/>
        <w:rPr>
          <w:rFonts w:ascii="Calibri" w:eastAsia="Calibri" w:hAnsi="Calibri" w:cs="Calibri"/>
          <w:szCs w:val="22"/>
          <w:lang w:eastAsia="en-US"/>
        </w:rPr>
      </w:pPr>
      <w:r w:rsidRPr="008676F9">
        <w:rPr>
          <w:rFonts w:ascii="Calibri" w:eastAsia="Calibri" w:hAnsi="Calibri" w:cs="Calibri"/>
          <w:szCs w:val="22"/>
          <w:lang w:eastAsia="en-US"/>
        </w:rPr>
        <w:t>Právnické alebo fyzické osoby podnikajúce v poľnohospodárskej prvovýrobe.</w:t>
      </w:r>
    </w:p>
    <w:p w:rsidR="008676F9" w:rsidRPr="008676F9" w:rsidRDefault="008676F9" w:rsidP="00AA6566">
      <w:pPr>
        <w:rPr>
          <w:rFonts w:ascii="Calibri" w:eastAsia="Calibri" w:hAnsi="Calibri" w:cs="Calibri"/>
          <w:bCs/>
          <w:szCs w:val="22"/>
          <w:u w:val="single"/>
          <w:lang w:eastAsia="en-US"/>
        </w:rPr>
      </w:pPr>
    </w:p>
    <w:p w:rsidR="008676F9" w:rsidRPr="008676F9" w:rsidRDefault="008676F9" w:rsidP="00AA6566">
      <w:pPr>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Oprávnené náklady:</w:t>
      </w:r>
    </w:p>
    <w:p w:rsidR="008676F9" w:rsidRPr="008676F9" w:rsidRDefault="008676F9" w:rsidP="00317BFF">
      <w:pPr>
        <w:numPr>
          <w:ilvl w:val="0"/>
          <w:numId w:val="28"/>
        </w:numPr>
        <w:tabs>
          <w:tab w:val="num" w:pos="426"/>
        </w:tabs>
        <w:ind w:left="426"/>
        <w:rPr>
          <w:rFonts w:ascii="Calibri" w:eastAsia="Calibri" w:hAnsi="Calibri" w:cs="Calibri"/>
          <w:szCs w:val="22"/>
          <w:lang w:eastAsia="en-US"/>
        </w:rPr>
      </w:pPr>
      <w:r w:rsidRPr="008676F9">
        <w:rPr>
          <w:rFonts w:ascii="Calibri" w:eastAsia="Calibri" w:hAnsi="Calibri" w:cs="Calibri"/>
          <w:szCs w:val="22"/>
          <w:lang w:eastAsia="en-US"/>
        </w:rPr>
        <w:t>Investície do dlhodobého hmotného majetku;</w:t>
      </w:r>
    </w:p>
    <w:p w:rsidR="008676F9" w:rsidRDefault="008676F9" w:rsidP="00317BFF">
      <w:pPr>
        <w:numPr>
          <w:ilvl w:val="0"/>
          <w:numId w:val="28"/>
        </w:numPr>
        <w:tabs>
          <w:tab w:val="num" w:pos="426"/>
        </w:tabs>
        <w:ind w:left="426"/>
        <w:rPr>
          <w:rFonts w:ascii="Calibri" w:eastAsia="Calibri" w:hAnsi="Calibri" w:cs="Calibri"/>
          <w:szCs w:val="22"/>
          <w:lang w:eastAsia="en-US"/>
        </w:rPr>
      </w:pPr>
      <w:r w:rsidRPr="008676F9">
        <w:rPr>
          <w:rFonts w:ascii="Calibri" w:eastAsia="Calibri" w:hAnsi="Calibri" w:cs="Calibri"/>
          <w:szCs w:val="22"/>
          <w:lang w:eastAsia="en-US"/>
        </w:rPr>
        <w:t>súvisiace všeobecné náklady.</w:t>
      </w:r>
    </w:p>
    <w:p w:rsidR="00A03A77" w:rsidRPr="008676F9" w:rsidRDefault="00A03A77" w:rsidP="00A03A77">
      <w:pPr>
        <w:ind w:left="426"/>
        <w:rPr>
          <w:rFonts w:ascii="Calibri" w:eastAsia="Calibri" w:hAnsi="Calibri" w:cs="Calibri"/>
          <w:szCs w:val="22"/>
          <w:lang w:eastAsia="en-US"/>
        </w:rPr>
      </w:pPr>
    </w:p>
    <w:p w:rsidR="008676F9" w:rsidRPr="008676F9" w:rsidRDefault="008676F9" w:rsidP="00AA6566">
      <w:pPr>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Podmienky oprávnenosti:</w:t>
      </w:r>
    </w:p>
    <w:p w:rsidR="008676F9" w:rsidRPr="008676F9" w:rsidRDefault="008676F9" w:rsidP="001F5283">
      <w:pPr>
        <w:numPr>
          <w:ilvl w:val="0"/>
          <w:numId w:val="41"/>
        </w:numPr>
        <w:ind w:left="426" w:hanging="426"/>
        <w:contextualSpacing/>
        <w:rPr>
          <w:rFonts w:ascii="Calibri" w:hAnsi="Calibri" w:cs="Calibri"/>
          <w:bCs/>
          <w:szCs w:val="22"/>
          <w:u w:val="single"/>
          <w:lang w:eastAsia="en-US"/>
        </w:rPr>
      </w:pPr>
      <w:r w:rsidRPr="008676F9">
        <w:rPr>
          <w:rFonts w:ascii="Calibri" w:hAnsi="Calibri" w:cs="Calibri"/>
          <w:bCs/>
          <w:szCs w:val="22"/>
          <w:lang w:eastAsia="en-US"/>
        </w:rPr>
        <w:t>kritériá vzťahujúce sa k investíciám;</w:t>
      </w:r>
    </w:p>
    <w:p w:rsidR="008676F9" w:rsidRPr="008676F9" w:rsidRDefault="008676F9" w:rsidP="001F5283">
      <w:pPr>
        <w:numPr>
          <w:ilvl w:val="0"/>
          <w:numId w:val="41"/>
        </w:numPr>
        <w:ind w:left="426" w:hanging="426"/>
        <w:contextualSpacing/>
        <w:rPr>
          <w:rFonts w:ascii="Calibri" w:hAnsi="Calibri" w:cs="Calibri"/>
          <w:bCs/>
          <w:szCs w:val="22"/>
          <w:u w:val="single"/>
          <w:lang w:eastAsia="en-US"/>
        </w:rPr>
      </w:pPr>
      <w:r w:rsidRPr="008676F9">
        <w:rPr>
          <w:rFonts w:ascii="Calibri" w:hAnsi="Calibri" w:cs="Calibri"/>
          <w:bCs/>
          <w:szCs w:val="22"/>
          <w:lang w:eastAsia="en-US"/>
        </w:rPr>
        <w:t>verejné obstarávanie;</w:t>
      </w:r>
    </w:p>
    <w:p w:rsidR="008676F9" w:rsidRPr="008676F9" w:rsidRDefault="008676F9" w:rsidP="001F5283">
      <w:pPr>
        <w:numPr>
          <w:ilvl w:val="0"/>
          <w:numId w:val="41"/>
        </w:numPr>
        <w:ind w:left="426" w:hanging="426"/>
        <w:contextualSpacing/>
        <w:rPr>
          <w:rFonts w:ascii="Calibri" w:hAnsi="Calibri" w:cs="Calibri"/>
          <w:bCs/>
          <w:szCs w:val="22"/>
          <w:u w:val="single"/>
          <w:lang w:eastAsia="en-US"/>
        </w:rPr>
      </w:pPr>
      <w:r w:rsidRPr="008676F9">
        <w:rPr>
          <w:rFonts w:ascii="Calibri" w:hAnsi="Calibri" w:cs="Calibri"/>
          <w:bCs/>
          <w:szCs w:val="22"/>
          <w:lang w:eastAsia="en-US"/>
        </w:rPr>
        <w:t xml:space="preserve">kritériá pre nové technológie v ustajnení </w:t>
      </w:r>
      <w:r w:rsidRPr="008676F9">
        <w:rPr>
          <w:rFonts w:ascii="Calibri" w:eastAsia="Calibri" w:hAnsi="Calibri"/>
          <w:szCs w:val="22"/>
          <w:lang w:eastAsia="en-US"/>
        </w:rPr>
        <w:t>hospodárskych zvierat zamerané na znižovanie emisií skleníkových plynov (najlepšie dostupné techniky v zmysle smernice 2008/1/ES o integrovanej prevencii a obmedzovaní znečistenia);</w:t>
      </w:r>
    </w:p>
    <w:p w:rsidR="008676F9" w:rsidRPr="008676F9" w:rsidRDefault="008676F9" w:rsidP="001F5283">
      <w:pPr>
        <w:numPr>
          <w:ilvl w:val="0"/>
          <w:numId w:val="41"/>
        </w:numPr>
        <w:ind w:left="426" w:hanging="426"/>
        <w:rPr>
          <w:rFonts w:ascii="Calibri" w:eastAsia="Calibri" w:hAnsi="Calibri" w:cs="Calibri"/>
          <w:bCs/>
          <w:szCs w:val="22"/>
          <w:lang w:eastAsia="en-US"/>
        </w:rPr>
      </w:pPr>
      <w:r w:rsidRPr="008676F9">
        <w:rPr>
          <w:rFonts w:ascii="Calibri" w:eastAsia="Calibri" w:hAnsi="Calibri" w:cs="Calibri"/>
          <w:bCs/>
          <w:szCs w:val="22"/>
          <w:lang w:eastAsia="en-US"/>
        </w:rPr>
        <w:t>Povinnosť žiadateľa, ktorý sa nachádza na území MAS, predložiť potvrdenie od MAS, že daný projekt nie je realizovaný prostredníctvom stratégie CLLD miestnej akčnej skupiny.</w:t>
      </w:r>
    </w:p>
    <w:p w:rsidR="00AA6566" w:rsidRDefault="00AA6566" w:rsidP="00AA6566">
      <w:pPr>
        <w:rPr>
          <w:rFonts w:ascii="Calibri" w:eastAsia="Calibri" w:hAnsi="Calibri" w:cs="Calibri"/>
          <w:bCs/>
          <w:szCs w:val="22"/>
          <w:u w:val="single"/>
          <w:lang w:eastAsia="en-US"/>
        </w:rPr>
      </w:pPr>
    </w:p>
    <w:p w:rsidR="008676F9" w:rsidRPr="008676F9" w:rsidRDefault="008676F9" w:rsidP="00AA6566">
      <w:pPr>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Princípy nastavenia výberových kritérií:</w:t>
      </w:r>
    </w:p>
    <w:p w:rsidR="00E02BDB" w:rsidRPr="00E02BDB" w:rsidRDefault="00E02BDB" w:rsidP="001F5283">
      <w:pPr>
        <w:numPr>
          <w:ilvl w:val="0"/>
          <w:numId w:val="61"/>
        </w:numPr>
        <w:ind w:left="426" w:hanging="426"/>
        <w:contextualSpacing/>
        <w:rPr>
          <w:rFonts w:ascii="Calibri" w:hAnsi="Calibri" w:cs="Calibri"/>
          <w:bCs/>
          <w:szCs w:val="22"/>
          <w:lang w:eastAsia="en-US"/>
        </w:rPr>
      </w:pPr>
      <w:r>
        <w:rPr>
          <w:rFonts w:ascii="Calibri" w:hAnsi="Calibri" w:cs="Calibri"/>
          <w:bCs/>
          <w:szCs w:val="22"/>
          <w:lang w:eastAsia="en-US"/>
        </w:rPr>
        <w:t xml:space="preserve"> komplexnosť, udržateľnosť, </w:t>
      </w:r>
      <w:r w:rsidRPr="00E02BDB">
        <w:rPr>
          <w:rFonts w:ascii="Calibri" w:hAnsi="Calibri" w:cs="Calibri"/>
          <w:bCs/>
          <w:szCs w:val="22"/>
          <w:lang w:eastAsia="en-US"/>
        </w:rPr>
        <w:t>realizovateľnosť</w:t>
      </w:r>
      <w:r>
        <w:rPr>
          <w:rFonts w:ascii="Calibri" w:hAnsi="Calibri" w:cs="Calibri"/>
          <w:bCs/>
          <w:szCs w:val="22"/>
          <w:lang w:eastAsia="en-US"/>
        </w:rPr>
        <w:t>, hospodárnosť a efektívnosť projektu;</w:t>
      </w:r>
    </w:p>
    <w:p w:rsidR="008676F9" w:rsidRPr="008676F9" w:rsidRDefault="008676F9" w:rsidP="001F5283">
      <w:pPr>
        <w:numPr>
          <w:ilvl w:val="0"/>
          <w:numId w:val="61"/>
        </w:numPr>
        <w:ind w:left="426" w:hanging="426"/>
        <w:contextualSpacing/>
        <w:rPr>
          <w:rFonts w:ascii="Calibri" w:hAnsi="Calibri" w:cs="Calibri"/>
          <w:bCs/>
          <w:szCs w:val="22"/>
          <w:lang w:eastAsia="en-US"/>
        </w:rPr>
      </w:pPr>
      <w:r w:rsidRPr="008676F9">
        <w:rPr>
          <w:rFonts w:ascii="Calibri" w:hAnsi="Calibri" w:cs="Calibri"/>
          <w:bCs/>
          <w:szCs w:val="22"/>
          <w:lang w:eastAsia="en-US"/>
        </w:rPr>
        <w:t>kategórie zraniteľných oblastí  (pôdny portál VÚPOP)</w:t>
      </w:r>
      <w:r w:rsidR="00E02BDB">
        <w:rPr>
          <w:rFonts w:ascii="Calibri" w:hAnsi="Calibri" w:cs="Calibri"/>
          <w:bCs/>
          <w:szCs w:val="22"/>
          <w:lang w:eastAsia="en-US"/>
        </w:rPr>
        <w:t>;</w:t>
      </w:r>
    </w:p>
    <w:p w:rsidR="008676F9" w:rsidRPr="008676F9" w:rsidRDefault="008676F9" w:rsidP="001F5283">
      <w:pPr>
        <w:numPr>
          <w:ilvl w:val="0"/>
          <w:numId w:val="61"/>
        </w:numPr>
        <w:ind w:left="426" w:hanging="426"/>
        <w:contextualSpacing/>
        <w:rPr>
          <w:rFonts w:ascii="Calibri" w:hAnsi="Calibri" w:cs="Calibri"/>
          <w:bCs/>
          <w:szCs w:val="22"/>
          <w:lang w:eastAsia="en-US"/>
        </w:rPr>
      </w:pPr>
      <w:r w:rsidRPr="008676F9">
        <w:rPr>
          <w:rFonts w:ascii="Calibri" w:hAnsi="Calibri" w:cs="Calibri"/>
          <w:bCs/>
          <w:szCs w:val="22"/>
          <w:lang w:eastAsia="en-US"/>
        </w:rPr>
        <w:t>nižšia intenzita podpory požadovaná prijímateľom.</w:t>
      </w:r>
    </w:p>
    <w:p w:rsidR="008676F9" w:rsidRPr="008676F9" w:rsidRDefault="008676F9" w:rsidP="00AA6566">
      <w:pPr>
        <w:rPr>
          <w:rFonts w:ascii="Calibri" w:eastAsia="Calibri" w:hAnsi="Calibri" w:cs="Calibri"/>
          <w:bCs/>
          <w:szCs w:val="22"/>
          <w:u w:val="single"/>
          <w:lang w:eastAsia="en-US"/>
        </w:rPr>
      </w:pPr>
    </w:p>
    <w:p w:rsidR="008676F9" w:rsidRPr="008676F9" w:rsidRDefault="008676F9" w:rsidP="00AA6566">
      <w:pPr>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Výška a miera podpory:</w:t>
      </w:r>
    </w:p>
    <w:p w:rsidR="008676F9" w:rsidRPr="008676F9" w:rsidRDefault="008676F9" w:rsidP="00AA6566">
      <w:pPr>
        <w:rPr>
          <w:rFonts w:ascii="Calibri" w:eastAsia="Calibri" w:hAnsi="Calibri" w:cs="Calibri"/>
          <w:szCs w:val="22"/>
          <w:lang w:eastAsia="en-US"/>
        </w:rPr>
      </w:pPr>
      <w:r w:rsidRPr="008676F9">
        <w:rPr>
          <w:rFonts w:ascii="Calibri" w:eastAsia="Calibri" w:hAnsi="Calibri" w:cs="Calibri"/>
          <w:szCs w:val="22"/>
          <w:lang w:eastAsia="en-US"/>
        </w:rPr>
        <w:t>Maximálna výška podpory z celkových oprávnených výdavkov:</w:t>
      </w:r>
    </w:p>
    <w:p w:rsidR="008676F9" w:rsidRPr="008676F9" w:rsidRDefault="009D42CC" w:rsidP="001F5283">
      <w:pPr>
        <w:numPr>
          <w:ilvl w:val="0"/>
          <w:numId w:val="59"/>
        </w:numPr>
        <w:tabs>
          <w:tab w:val="num" w:pos="426"/>
        </w:tabs>
        <w:ind w:left="426" w:hanging="426"/>
        <w:rPr>
          <w:rFonts w:ascii="Calibri" w:eastAsia="Calibri" w:hAnsi="Calibri" w:cs="Calibri"/>
          <w:szCs w:val="22"/>
          <w:lang w:eastAsia="en-US"/>
        </w:rPr>
      </w:pPr>
      <w:r>
        <w:rPr>
          <w:rFonts w:ascii="Calibri" w:eastAsia="Calibri" w:hAnsi="Calibri" w:cs="Calibri"/>
          <w:szCs w:val="22"/>
          <w:lang w:eastAsia="en-US"/>
        </w:rPr>
        <w:t>75</w:t>
      </w:r>
      <w:r w:rsidR="008676F9" w:rsidRPr="008676F9">
        <w:rPr>
          <w:rFonts w:ascii="Calibri" w:eastAsia="Calibri" w:hAnsi="Calibri" w:cs="Calibri"/>
          <w:szCs w:val="22"/>
          <w:lang w:eastAsia="en-US"/>
        </w:rPr>
        <w:t xml:space="preserve"> %.</w:t>
      </w:r>
    </w:p>
    <w:p w:rsidR="008676F9" w:rsidRPr="008676F9" w:rsidRDefault="008676F9" w:rsidP="00AA6566">
      <w:pPr>
        <w:tabs>
          <w:tab w:val="left" w:pos="142"/>
        </w:tabs>
        <w:ind w:left="851" w:hanging="851"/>
        <w:rPr>
          <w:rFonts w:ascii="Calibri" w:eastAsia="Calibri" w:hAnsi="Calibri" w:cs="Calibri"/>
          <w:b/>
          <w:bCs/>
          <w:szCs w:val="22"/>
          <w:lang w:eastAsia="en-US"/>
        </w:rPr>
      </w:pPr>
    </w:p>
    <w:p w:rsidR="008676F9" w:rsidRPr="008676F9" w:rsidRDefault="008676F9" w:rsidP="008676F9">
      <w:pPr>
        <w:rPr>
          <w:rFonts w:ascii="Calibri" w:eastAsia="Calibri" w:hAnsi="Calibri" w:cs="Calibri"/>
          <w:szCs w:val="22"/>
          <w:u w:val="single"/>
        </w:rPr>
      </w:pPr>
      <w:r w:rsidRPr="008676F9">
        <w:rPr>
          <w:rFonts w:ascii="Calibri" w:eastAsia="Calibri" w:hAnsi="Calibri" w:cs="Calibri"/>
          <w:szCs w:val="22"/>
          <w:u w:val="single"/>
        </w:rPr>
        <w:t>Ďalšie informácie špecifické pre danú operáciu:</w:t>
      </w:r>
    </w:p>
    <w:p w:rsidR="008676F9" w:rsidRPr="008676F9" w:rsidRDefault="008676F9" w:rsidP="008676F9">
      <w:pPr>
        <w:spacing w:after="120"/>
        <w:rPr>
          <w:rFonts w:ascii="Calibri" w:eastAsia="Calibri" w:hAnsi="Calibri"/>
          <w:szCs w:val="22"/>
          <w:lang w:eastAsia="en-US"/>
        </w:rPr>
      </w:pPr>
      <w:r w:rsidRPr="008676F9">
        <w:rPr>
          <w:rFonts w:ascii="Calibri" w:eastAsia="Calibri" w:hAnsi="Calibri"/>
          <w:i/>
          <w:szCs w:val="22"/>
          <w:lang w:eastAsia="en-US"/>
        </w:rPr>
        <w:t>Kolektívnymi (združenými) investíciami</w:t>
      </w:r>
      <w:r w:rsidRPr="008676F9">
        <w:rPr>
          <w:rFonts w:ascii="Calibri" w:eastAsia="Calibri" w:hAnsi="Calibri"/>
          <w:szCs w:val="22"/>
          <w:lang w:eastAsia="en-US"/>
        </w:rPr>
        <w:t xml:space="preserve"> sa rozumejú investície, ktoré sa realizujú viac ako jedným poľnohospodárom a z uvedeného dôvodu prinášajú synergický efekt. Prijímateľom finančnej podpory môže byť buď vzniknutý právny subjekt (skupina výrobcov, organizácia výrobcov, medziodvetvová organizácia a pod.), alebo jeden subjekt, ktorý na základe zmluvy spolupracuje s iným subjektom/subjektmi a všetci sú beneficientmi a spoluriešitelia projektu. Kolektívne (združené) investície nepriamo prispievajú k cieľom opatrenia Spolupráca.</w:t>
      </w:r>
    </w:p>
    <w:p w:rsidR="008676F9" w:rsidRPr="008676F9" w:rsidRDefault="008676F9" w:rsidP="008676F9">
      <w:pPr>
        <w:spacing w:after="120"/>
        <w:rPr>
          <w:rFonts w:ascii="Calibri" w:eastAsia="Calibri" w:hAnsi="Calibri"/>
          <w:szCs w:val="22"/>
          <w:lang w:eastAsia="en-US"/>
        </w:rPr>
      </w:pPr>
      <w:r w:rsidRPr="008676F9">
        <w:rPr>
          <w:rFonts w:ascii="Calibri" w:eastAsia="Calibri" w:hAnsi="Calibri"/>
          <w:i/>
          <w:szCs w:val="22"/>
          <w:lang w:eastAsia="en-US"/>
        </w:rPr>
        <w:t>Integrovanými projektmi</w:t>
      </w:r>
      <w:r w:rsidRPr="008676F9">
        <w:rPr>
          <w:rFonts w:ascii="Calibri" w:eastAsia="Calibri" w:hAnsi="Calibri"/>
          <w:szCs w:val="22"/>
          <w:lang w:eastAsia="en-US"/>
        </w:rPr>
        <w:t xml:space="preserve"> sa rozumejú projekty zahŕňajúce podporu v rámci viacerých opatrení.</w:t>
      </w:r>
    </w:p>
    <w:p w:rsidR="008676F9" w:rsidRPr="008676F9" w:rsidRDefault="008676F9" w:rsidP="008676F9">
      <w:pPr>
        <w:spacing w:after="120"/>
        <w:rPr>
          <w:rFonts w:ascii="Calibri" w:eastAsia="Calibri" w:hAnsi="Calibri"/>
          <w:szCs w:val="22"/>
          <w:lang w:eastAsia="en-US"/>
        </w:rPr>
      </w:pPr>
      <w:r w:rsidRPr="008676F9">
        <w:rPr>
          <w:rFonts w:ascii="Calibri" w:eastAsia="Calibri" w:hAnsi="Calibri"/>
          <w:i/>
          <w:szCs w:val="22"/>
          <w:lang w:eastAsia="en-US"/>
        </w:rPr>
        <w:t>Projekty prispievajúce k cieľom Európskeho inovačného partnerstva pre udržateľnosť a produktivitu v poľnohospodárstve</w:t>
      </w:r>
      <w:r w:rsidRPr="008676F9">
        <w:rPr>
          <w:rFonts w:ascii="Calibri" w:eastAsia="Calibri" w:hAnsi="Calibri"/>
          <w:b/>
          <w:i/>
          <w:szCs w:val="22"/>
          <w:lang w:eastAsia="en-US"/>
        </w:rPr>
        <w:t xml:space="preserve"> </w:t>
      </w:r>
      <w:r w:rsidRPr="008676F9">
        <w:rPr>
          <w:rFonts w:ascii="Calibri" w:eastAsia="Calibri" w:hAnsi="Calibri"/>
          <w:szCs w:val="22"/>
          <w:lang w:eastAsia="en-US"/>
        </w:rPr>
        <w:t>sú projekty realizované v rámci spolupráce v operačných skupín v zmysle opatrenia Spolupráca.</w:t>
      </w:r>
    </w:p>
    <w:p w:rsidR="008676F9" w:rsidRPr="008676F9" w:rsidRDefault="008676F9" w:rsidP="008676F9">
      <w:pPr>
        <w:autoSpaceDE w:val="0"/>
        <w:autoSpaceDN w:val="0"/>
        <w:adjustRightInd w:val="0"/>
        <w:spacing w:after="60"/>
        <w:rPr>
          <w:rFonts w:ascii="Calibri" w:eastAsia="Calibri" w:hAnsi="Calibri" w:cs="Calibri"/>
          <w:szCs w:val="22"/>
          <w:lang w:eastAsia="en-US"/>
        </w:rPr>
      </w:pPr>
      <w:r w:rsidRPr="008676F9">
        <w:rPr>
          <w:rFonts w:ascii="Calibri" w:eastAsia="Calibri" w:hAnsi="Calibri" w:cs="Calibri"/>
          <w:i/>
          <w:szCs w:val="22"/>
          <w:lang w:eastAsia="en-US"/>
        </w:rPr>
        <w:t>Neproduktívne investície</w:t>
      </w:r>
      <w:r w:rsidRPr="008676F9">
        <w:rPr>
          <w:rFonts w:ascii="Calibri" w:eastAsia="Calibri" w:hAnsi="Calibri" w:cs="Calibri"/>
          <w:szCs w:val="22"/>
          <w:lang w:eastAsia="en-US"/>
        </w:rPr>
        <w:t>: investície, ktoré nevedú k žiadnemu značnému zvýšeniu hodnoty alebo výnosnosti podniku.</w:t>
      </w:r>
    </w:p>
    <w:p w:rsidR="008676F9" w:rsidRPr="008676F9" w:rsidRDefault="008676F9" w:rsidP="008676F9">
      <w:pPr>
        <w:tabs>
          <w:tab w:val="left" w:pos="142"/>
        </w:tabs>
        <w:ind w:left="851" w:hanging="851"/>
        <w:rPr>
          <w:rFonts w:ascii="Calibri" w:eastAsia="Calibri" w:hAnsi="Calibri" w:cs="Calibri"/>
          <w:b/>
          <w:bCs/>
          <w:szCs w:val="22"/>
          <w:lang w:eastAsia="en-US"/>
        </w:rPr>
      </w:pPr>
    </w:p>
    <w:p w:rsidR="008676F9" w:rsidRPr="008676F9" w:rsidRDefault="008676F9" w:rsidP="00AA6566">
      <w:pPr>
        <w:ind w:left="851" w:hanging="851"/>
        <w:rPr>
          <w:rFonts w:ascii="Calibri" w:eastAsia="Calibri" w:hAnsi="Calibri" w:cs="Calibri"/>
          <w:b/>
          <w:bCs/>
          <w:szCs w:val="22"/>
          <w:lang w:eastAsia="en-US"/>
        </w:rPr>
      </w:pPr>
      <w:r w:rsidRPr="008676F9">
        <w:rPr>
          <w:rFonts w:ascii="Calibri" w:eastAsia="Calibri" w:hAnsi="Calibri" w:cs="Calibri"/>
          <w:b/>
          <w:bCs/>
          <w:szCs w:val="22"/>
          <w:lang w:eastAsia="en-US"/>
        </w:rPr>
        <w:t>8.2.3.4. Overiteľnosť a kontrolovateľnosť opatrenia:</w:t>
      </w:r>
    </w:p>
    <w:p w:rsidR="008676F9" w:rsidRPr="008676F9" w:rsidRDefault="008676F9" w:rsidP="00AA6566">
      <w:pPr>
        <w:rPr>
          <w:rFonts w:ascii="Calibri" w:eastAsia="Calibri" w:hAnsi="Calibri" w:cs="Calibri"/>
          <w:szCs w:val="22"/>
          <w:u w:val="single"/>
        </w:rPr>
      </w:pPr>
      <w:r w:rsidRPr="008676F9">
        <w:rPr>
          <w:rFonts w:ascii="Calibri" w:eastAsia="Calibri" w:hAnsi="Calibri" w:cs="Calibri"/>
          <w:szCs w:val="22"/>
          <w:u w:val="single"/>
        </w:rPr>
        <w:t>Riziko implementácie opatrenia:</w:t>
      </w:r>
    </w:p>
    <w:p w:rsidR="008676F9" w:rsidRPr="008676F9" w:rsidRDefault="008676F9" w:rsidP="00955DA4">
      <w:pPr>
        <w:numPr>
          <w:ilvl w:val="0"/>
          <w:numId w:val="210"/>
        </w:numPr>
        <w:rPr>
          <w:rFonts w:ascii="Calibri" w:hAnsi="Calibri" w:cs="Calibri"/>
          <w:szCs w:val="22"/>
        </w:rPr>
      </w:pPr>
      <w:r w:rsidRPr="008676F9">
        <w:rPr>
          <w:rFonts w:ascii="Calibri" w:hAnsi="Calibri" w:cs="Calibri"/>
          <w:szCs w:val="22"/>
        </w:rPr>
        <w:t xml:space="preserve">Výška oprávnených nákladov investície. </w:t>
      </w:r>
    </w:p>
    <w:p w:rsidR="008676F9" w:rsidRPr="008676F9" w:rsidRDefault="008676F9" w:rsidP="00955DA4">
      <w:pPr>
        <w:numPr>
          <w:ilvl w:val="0"/>
          <w:numId w:val="210"/>
        </w:numPr>
        <w:rPr>
          <w:rFonts w:ascii="Calibri" w:hAnsi="Calibri" w:cs="Calibri"/>
          <w:szCs w:val="22"/>
        </w:rPr>
      </w:pPr>
      <w:r w:rsidRPr="008676F9">
        <w:rPr>
          <w:rFonts w:ascii="Calibri" w:hAnsi="Calibri" w:cs="Calibri"/>
          <w:szCs w:val="22"/>
        </w:rPr>
        <w:t>Postupy verejného obstarávania.</w:t>
      </w:r>
    </w:p>
    <w:p w:rsidR="008676F9" w:rsidRPr="008676F9" w:rsidRDefault="008676F9" w:rsidP="00955DA4">
      <w:pPr>
        <w:numPr>
          <w:ilvl w:val="0"/>
          <w:numId w:val="210"/>
        </w:numPr>
        <w:tabs>
          <w:tab w:val="left" w:pos="708"/>
        </w:tabs>
        <w:suppressAutoHyphens/>
        <w:contextualSpacing/>
        <w:rPr>
          <w:rFonts w:ascii="Calibri" w:hAnsi="Calibri"/>
          <w:szCs w:val="22"/>
          <w:lang w:eastAsia="en-US"/>
        </w:rPr>
      </w:pPr>
      <w:r w:rsidRPr="008676F9">
        <w:rPr>
          <w:rFonts w:ascii="Calibri" w:hAnsi="Calibri"/>
          <w:szCs w:val="22"/>
          <w:lang w:eastAsia="en-US"/>
        </w:rPr>
        <w:t>Efektívnosť a primeranosť vynaložených finančných prostriedkov na projekty pozemkových úprav.</w:t>
      </w:r>
    </w:p>
    <w:p w:rsidR="008676F9" w:rsidRPr="008676F9" w:rsidRDefault="008676F9" w:rsidP="00955DA4">
      <w:pPr>
        <w:numPr>
          <w:ilvl w:val="0"/>
          <w:numId w:val="210"/>
        </w:numPr>
        <w:tabs>
          <w:tab w:val="left" w:pos="708"/>
        </w:tabs>
        <w:suppressAutoHyphens/>
        <w:contextualSpacing/>
        <w:rPr>
          <w:rFonts w:ascii="Calibri" w:hAnsi="Calibri"/>
          <w:szCs w:val="22"/>
          <w:lang w:eastAsia="en-US"/>
        </w:rPr>
      </w:pPr>
      <w:r w:rsidRPr="008676F9">
        <w:rPr>
          <w:rFonts w:ascii="Calibri" w:hAnsi="Calibri"/>
          <w:szCs w:val="22"/>
          <w:lang w:eastAsia="en-US"/>
        </w:rPr>
        <w:t>Nákladovosť realizácie  projektov pozemkových úprav.</w:t>
      </w:r>
    </w:p>
    <w:p w:rsidR="008676F9" w:rsidRPr="008676F9" w:rsidRDefault="008676F9" w:rsidP="00955DA4">
      <w:pPr>
        <w:numPr>
          <w:ilvl w:val="0"/>
          <w:numId w:val="210"/>
        </w:numPr>
        <w:tabs>
          <w:tab w:val="left" w:pos="708"/>
        </w:tabs>
        <w:suppressAutoHyphens/>
        <w:contextualSpacing/>
        <w:rPr>
          <w:rFonts w:ascii="Calibri" w:hAnsi="Calibri"/>
          <w:szCs w:val="22"/>
          <w:lang w:eastAsia="en-US"/>
        </w:rPr>
      </w:pPr>
      <w:r w:rsidRPr="008676F9">
        <w:rPr>
          <w:rFonts w:ascii="Calibri" w:hAnsi="Calibri"/>
          <w:szCs w:val="22"/>
          <w:lang w:eastAsia="en-US"/>
        </w:rPr>
        <w:t>Časová  náročnosť projektov pozemkových úprav.</w:t>
      </w:r>
    </w:p>
    <w:p w:rsidR="008676F9" w:rsidRPr="008676F9" w:rsidRDefault="008676F9" w:rsidP="00955DA4">
      <w:pPr>
        <w:numPr>
          <w:ilvl w:val="0"/>
          <w:numId w:val="210"/>
        </w:numPr>
        <w:tabs>
          <w:tab w:val="left" w:pos="708"/>
        </w:tabs>
        <w:suppressAutoHyphens/>
        <w:contextualSpacing/>
        <w:rPr>
          <w:rFonts w:ascii="Calibri" w:hAnsi="Calibri"/>
          <w:szCs w:val="22"/>
          <w:lang w:eastAsia="en-US"/>
        </w:rPr>
      </w:pPr>
      <w:r w:rsidRPr="008676F9">
        <w:rPr>
          <w:rFonts w:ascii="Calibri" w:hAnsi="Calibri"/>
          <w:szCs w:val="22"/>
          <w:lang w:eastAsia="en-US"/>
        </w:rPr>
        <w:t>Náročnosť národnej legislatívy v oblasti pozemkových úprav.</w:t>
      </w:r>
    </w:p>
    <w:p w:rsidR="00AA6566" w:rsidRDefault="00AA6566" w:rsidP="00AA6566">
      <w:pPr>
        <w:rPr>
          <w:rFonts w:ascii="Calibri" w:eastAsia="Calibri" w:hAnsi="Calibri" w:cs="Calibri"/>
          <w:szCs w:val="22"/>
          <w:u w:val="single"/>
        </w:rPr>
      </w:pPr>
    </w:p>
    <w:p w:rsidR="008676F9" w:rsidRPr="008676F9" w:rsidRDefault="008676F9" w:rsidP="00AA6566">
      <w:pPr>
        <w:rPr>
          <w:rFonts w:ascii="Calibri" w:eastAsia="Calibri" w:hAnsi="Calibri" w:cs="Calibri"/>
          <w:szCs w:val="22"/>
          <w:u w:val="single"/>
        </w:rPr>
      </w:pPr>
      <w:r w:rsidRPr="008676F9">
        <w:rPr>
          <w:rFonts w:ascii="Calibri" w:eastAsia="Calibri" w:hAnsi="Calibri" w:cs="Calibri"/>
          <w:szCs w:val="22"/>
          <w:u w:val="single"/>
        </w:rPr>
        <w:t>Opatrenia na zmiernenie rizika implementácie:</w:t>
      </w:r>
    </w:p>
    <w:p w:rsidR="008676F9" w:rsidRPr="008676F9" w:rsidRDefault="008676F9" w:rsidP="001F3673">
      <w:pPr>
        <w:spacing w:after="120"/>
        <w:rPr>
          <w:rFonts w:ascii="Calibri" w:eastAsia="Calibri" w:hAnsi="Calibri" w:cs="Calibri"/>
          <w:szCs w:val="22"/>
        </w:rPr>
      </w:pPr>
      <w:r w:rsidRPr="008676F9">
        <w:rPr>
          <w:rFonts w:ascii="Calibri" w:eastAsia="Calibri" w:hAnsi="Calibri" w:cs="Calibri"/>
          <w:szCs w:val="22"/>
        </w:rPr>
        <w:t>Povinnosť postupovať v zmysle zákona č. 25/2006 Z. z. o verejnom obstarávaní, resp. podľa usmernenia pre obstarávanie prác, tovarov a služieb.</w:t>
      </w:r>
    </w:p>
    <w:p w:rsidR="008676F9" w:rsidRPr="008676F9" w:rsidRDefault="008676F9" w:rsidP="001F3673">
      <w:pPr>
        <w:spacing w:after="120"/>
        <w:rPr>
          <w:rFonts w:ascii="Calibri" w:eastAsia="Calibri" w:hAnsi="Calibri" w:cs="Calibri"/>
          <w:szCs w:val="22"/>
          <w:u w:val="single"/>
        </w:rPr>
      </w:pPr>
      <w:r w:rsidRPr="008676F9">
        <w:rPr>
          <w:rFonts w:ascii="Calibri" w:eastAsia="Calibri" w:hAnsi="Calibri" w:cs="Calibri"/>
          <w:szCs w:val="22"/>
        </w:rPr>
        <w:t xml:space="preserve">Overiteľnosť a kontrolovateľnosť investícií je zabezpečená systémom administratívnych kontrol a kontrol na mieste v zmysle legislatívy upravujúcej kontroly investičných opatrení. </w:t>
      </w:r>
    </w:p>
    <w:p w:rsidR="008676F9" w:rsidRPr="008676F9" w:rsidRDefault="008676F9" w:rsidP="00AA6566">
      <w:pPr>
        <w:rPr>
          <w:rFonts w:ascii="Calibri" w:eastAsia="Calibri" w:hAnsi="Calibri" w:cs="Calibri"/>
          <w:szCs w:val="22"/>
          <w:lang w:eastAsia="en-US"/>
        </w:rPr>
      </w:pPr>
      <w:r w:rsidRPr="008676F9">
        <w:rPr>
          <w:rFonts w:ascii="Calibri" w:eastAsia="Calibri" w:hAnsi="Calibri" w:cs="Calibri"/>
          <w:szCs w:val="22"/>
          <w:lang w:eastAsia="en-US"/>
        </w:rPr>
        <w:t>Overiteľnosť a kontrolovateľnosť podopatrenia 4.3 vychádza z kontroly:</w:t>
      </w:r>
    </w:p>
    <w:p w:rsidR="008676F9" w:rsidRPr="008676F9" w:rsidRDefault="008676F9" w:rsidP="00955DA4">
      <w:pPr>
        <w:numPr>
          <w:ilvl w:val="0"/>
          <w:numId w:val="116"/>
        </w:numPr>
        <w:spacing w:after="120"/>
        <w:ind w:left="426" w:hanging="284"/>
        <w:rPr>
          <w:rFonts w:ascii="Calibri" w:eastAsia="Calibri" w:hAnsi="Calibri" w:cs="Calibri"/>
          <w:szCs w:val="22"/>
          <w:lang w:eastAsia="en-US"/>
        </w:rPr>
      </w:pPr>
      <w:r w:rsidRPr="008676F9">
        <w:rPr>
          <w:rFonts w:ascii="Calibri" w:eastAsia="Calibri" w:hAnsi="Calibri" w:cs="Calibri"/>
          <w:szCs w:val="22"/>
          <w:lang w:eastAsia="en-US"/>
        </w:rPr>
        <w:t>Počtu ukončených, schválených a do katastra nehnuteľností zapísaných projektov  (údaje eviduje ÚGKK SR na základe zapísaných projektov do katastra nehnuteľností);</w:t>
      </w:r>
    </w:p>
    <w:p w:rsidR="008676F9" w:rsidRPr="008676F9" w:rsidRDefault="008676F9" w:rsidP="00955DA4">
      <w:pPr>
        <w:numPr>
          <w:ilvl w:val="0"/>
          <w:numId w:val="116"/>
        </w:numPr>
        <w:spacing w:after="120"/>
        <w:ind w:left="426" w:hanging="284"/>
        <w:rPr>
          <w:rFonts w:ascii="Calibri" w:eastAsia="Calibri" w:hAnsi="Calibri" w:cs="Calibri"/>
          <w:szCs w:val="22"/>
          <w:lang w:eastAsia="en-US"/>
        </w:rPr>
      </w:pPr>
      <w:r w:rsidRPr="008676F9">
        <w:rPr>
          <w:rFonts w:ascii="Calibri" w:eastAsia="Calibri" w:hAnsi="Calibri" w:cs="Calibri"/>
          <w:szCs w:val="22"/>
          <w:lang w:eastAsia="en-US"/>
        </w:rPr>
        <w:t>Počtu vybudovaných spoločných zariadení a opatrení (údaje eviduje priamo MPRV SR, resp. príslušné pozemkové úrady na základe zrealizovaných a skolaudovaných spoločných zariadení a opatrení).</w:t>
      </w:r>
    </w:p>
    <w:p w:rsidR="008676F9" w:rsidRPr="008676F9" w:rsidRDefault="008676F9" w:rsidP="00955DA4">
      <w:pPr>
        <w:numPr>
          <w:ilvl w:val="0"/>
          <w:numId w:val="116"/>
        </w:numPr>
        <w:ind w:left="426" w:hanging="284"/>
        <w:rPr>
          <w:rFonts w:ascii="Calibri" w:eastAsia="Calibri" w:hAnsi="Calibri" w:cs="Calibri"/>
          <w:szCs w:val="22"/>
          <w:lang w:eastAsia="en-US"/>
        </w:rPr>
      </w:pPr>
      <w:r w:rsidRPr="008676F9">
        <w:rPr>
          <w:rFonts w:ascii="Calibri" w:eastAsia="Calibri" w:hAnsi="Calibri" w:cs="Calibri"/>
          <w:szCs w:val="22"/>
          <w:lang w:eastAsia="en-US"/>
        </w:rPr>
        <w:t>Pomeru rozdielu počtu vlastníckych vzťahov pred a po vykonaní a zapísaní projektu pozemkových úprav do katastra a počtu vlastníckych vzťahov pred vykonaním a zapísaním projektu (fragmentácia vlastníctva), vyjadreného v percentách (údaje eviduje priamo MPRV SR alebo príslušné pozemkové úrady na základe štatistických údajov uvedených v projektoch).</w:t>
      </w:r>
    </w:p>
    <w:p w:rsidR="008676F9" w:rsidRPr="008676F9" w:rsidRDefault="008676F9" w:rsidP="00AA6566">
      <w:pPr>
        <w:rPr>
          <w:rFonts w:ascii="Calibri" w:eastAsia="Calibri" w:hAnsi="Calibri" w:cs="Calibri"/>
          <w:szCs w:val="22"/>
          <w:u w:val="single"/>
        </w:rPr>
      </w:pPr>
    </w:p>
    <w:p w:rsidR="008676F9" w:rsidRPr="008676F9" w:rsidRDefault="008676F9" w:rsidP="00AA6566">
      <w:pPr>
        <w:rPr>
          <w:rFonts w:ascii="Calibri" w:eastAsia="Calibri" w:hAnsi="Calibri" w:cs="Calibri"/>
          <w:szCs w:val="22"/>
          <w:u w:val="single"/>
        </w:rPr>
      </w:pPr>
      <w:r w:rsidRPr="008676F9">
        <w:rPr>
          <w:rFonts w:ascii="Calibri" w:eastAsia="Calibri" w:hAnsi="Calibri" w:cs="Calibri"/>
          <w:szCs w:val="22"/>
          <w:u w:val="single"/>
        </w:rPr>
        <w:t>Celkové posúdenie opatrenia:</w:t>
      </w:r>
    </w:p>
    <w:p w:rsidR="008676F9" w:rsidRPr="008676F9" w:rsidRDefault="008676F9" w:rsidP="00EB6F57">
      <w:pPr>
        <w:spacing w:after="120"/>
        <w:rPr>
          <w:rFonts w:ascii="Calibri" w:eastAsia="Calibri" w:hAnsi="Calibri" w:cs="Calibri"/>
          <w:szCs w:val="22"/>
          <w:u w:val="single"/>
        </w:rPr>
      </w:pPr>
      <w:r w:rsidRPr="008676F9">
        <w:rPr>
          <w:rFonts w:ascii="Calibri" w:eastAsia="Calibri" w:hAnsi="Calibri" w:cs="Calibri"/>
          <w:szCs w:val="22"/>
        </w:rPr>
        <w:t>Pri danom opatrení je možné dokumentovať stav pred investíciou a následne efektívne skontrolovať parametre investície fyzickou kontrolou oprávnených výdavkov na mieste po ukončení investície a taktiež oprávnenosť výdavkov administratívnou kontrolou.</w:t>
      </w:r>
    </w:p>
    <w:p w:rsidR="008676F9" w:rsidRPr="008676F9" w:rsidRDefault="008676F9" w:rsidP="00AA6566">
      <w:pPr>
        <w:tabs>
          <w:tab w:val="left" w:pos="708"/>
        </w:tabs>
        <w:suppressAutoHyphens/>
        <w:rPr>
          <w:rFonts w:ascii="Calibri" w:eastAsia="Calibri" w:hAnsi="Calibri" w:cs="Calibri"/>
          <w:szCs w:val="22"/>
          <w:lang w:eastAsia="en-US"/>
        </w:rPr>
      </w:pPr>
      <w:r w:rsidRPr="008676F9">
        <w:rPr>
          <w:rFonts w:ascii="Calibri" w:eastAsia="Calibri" w:hAnsi="Calibri" w:cs="Calibri"/>
          <w:szCs w:val="22"/>
          <w:lang w:eastAsia="en-US"/>
        </w:rPr>
        <w:t>Pri podopatrení Podpora investícií do infraštruktúry týkajúcej sa rozvoja, modernizácie alebo adaptácie poľnohospodárstva a lesníctva je možné zdokumentovanie stavu pred implementáciou projektov pozemkových úprav a po ukončení procesu pozemkových úprav ukončených zápisom do katastra nehnuteľností a vydania listu vlastníctva a</w:t>
      </w:r>
      <w:r w:rsidRPr="008676F9">
        <w:rPr>
          <w:rFonts w:ascii="Calibri" w:eastAsia="Calibri" w:hAnsi="Calibri" w:cs="Calibri"/>
          <w:szCs w:val="22"/>
        </w:rPr>
        <w:t xml:space="preserve"> oprávnenosť výdavkov administratívnou kontrolou</w:t>
      </w:r>
      <w:r w:rsidRPr="008676F9">
        <w:rPr>
          <w:rFonts w:ascii="Calibri" w:eastAsia="Calibri" w:hAnsi="Calibri" w:cs="Calibri"/>
          <w:szCs w:val="22"/>
          <w:lang w:eastAsia="en-US"/>
        </w:rPr>
        <w:t xml:space="preserve">. Výstupom pozemkových úprav je </w:t>
      </w:r>
      <w:r w:rsidR="000E5C15" w:rsidRPr="008676F9">
        <w:rPr>
          <w:rFonts w:ascii="Calibri" w:eastAsia="Calibri" w:hAnsi="Calibri" w:cs="Calibri"/>
          <w:szCs w:val="22"/>
          <w:lang w:eastAsia="en-US"/>
        </w:rPr>
        <w:t>defragmentácia</w:t>
      </w:r>
      <w:r w:rsidRPr="008676F9">
        <w:rPr>
          <w:rFonts w:ascii="Calibri" w:eastAsia="Calibri" w:hAnsi="Calibri" w:cs="Calibri"/>
          <w:szCs w:val="22"/>
          <w:lang w:eastAsia="en-US"/>
        </w:rPr>
        <w:t xml:space="preserve"> vlastníckych vzťahov k pôde a prístupnosť k pozemkom cez spoločné zariadenia.</w:t>
      </w:r>
      <w:r w:rsidRPr="008676F9">
        <w:rPr>
          <w:rFonts w:ascii="Calibri" w:eastAsia="Calibri" w:hAnsi="Calibri" w:cs="Calibri"/>
          <w:szCs w:val="22"/>
          <w:lang w:eastAsia="en-US"/>
        </w:rPr>
        <w:br w:type="page"/>
      </w:r>
    </w:p>
    <w:p w:rsidR="003A7956" w:rsidRPr="008676F9" w:rsidRDefault="003A7956" w:rsidP="003A7956">
      <w:pPr>
        <w:pStyle w:val="Nadpis1"/>
        <w:shd w:val="clear" w:color="auto" w:fill="DDD9C3"/>
        <w:spacing w:before="0" w:after="0"/>
        <w:ind w:left="2410" w:hanging="2410"/>
        <w:jc w:val="left"/>
        <w:rPr>
          <w:rFonts w:ascii="Calibri" w:hAnsi="Calibri" w:cs="Calibri"/>
          <w:caps/>
          <w:sz w:val="28"/>
          <w:szCs w:val="28"/>
          <w:lang w:eastAsia="en-US"/>
        </w:rPr>
      </w:pPr>
      <w:r w:rsidRPr="008676F9">
        <w:rPr>
          <w:rFonts w:ascii="Calibri" w:hAnsi="Calibri" w:cs="Calibri"/>
          <w:caps/>
          <w:sz w:val="28"/>
          <w:szCs w:val="28"/>
          <w:lang w:eastAsia="en-US"/>
        </w:rPr>
        <w:t>8.2.4 Opatrenie 5: Obnova potenciálu poľnohospodárskej výroby zničeného prírodnými pohromami a katastrofickými udalosťami a zavedenie vhodných preventívnych opatrení</w:t>
      </w:r>
    </w:p>
    <w:p w:rsidR="008676F9" w:rsidRPr="008676F9" w:rsidRDefault="008676F9" w:rsidP="008676F9">
      <w:pPr>
        <w:rPr>
          <w:rFonts w:ascii="Calibri" w:eastAsia="Calibri" w:hAnsi="Calibri" w:cs="Calibri"/>
          <w:b/>
          <w:bCs/>
          <w:szCs w:val="22"/>
          <w:lang w:eastAsia="en-US"/>
        </w:rPr>
      </w:pPr>
    </w:p>
    <w:p w:rsidR="008676F9" w:rsidRPr="008676F9" w:rsidRDefault="008676F9" w:rsidP="00AA6566">
      <w:pPr>
        <w:rPr>
          <w:rFonts w:ascii="Calibri" w:eastAsia="Calibri" w:hAnsi="Calibri" w:cs="Calibri"/>
          <w:b/>
          <w:bCs/>
          <w:szCs w:val="22"/>
          <w:lang w:eastAsia="en-US"/>
        </w:rPr>
      </w:pPr>
      <w:r w:rsidRPr="008676F9">
        <w:rPr>
          <w:rFonts w:ascii="Calibri" w:eastAsia="Calibri" w:hAnsi="Calibri" w:cs="Calibri"/>
          <w:b/>
          <w:bCs/>
          <w:szCs w:val="22"/>
          <w:lang w:eastAsia="en-US"/>
        </w:rPr>
        <w:t>8.2.4.1. Právny základ</w:t>
      </w:r>
    </w:p>
    <w:p w:rsidR="008676F9" w:rsidRPr="00425CA0" w:rsidRDefault="00425CA0" w:rsidP="00955DA4">
      <w:pPr>
        <w:numPr>
          <w:ilvl w:val="0"/>
          <w:numId w:val="141"/>
        </w:numPr>
        <w:ind w:left="142" w:hanging="142"/>
        <w:rPr>
          <w:rFonts w:ascii="Calibri" w:hAnsi="Calibri" w:cs="Calibri"/>
          <w:szCs w:val="22"/>
          <w:lang w:eastAsia="en-US"/>
        </w:rPr>
      </w:pPr>
      <w:r>
        <w:rPr>
          <w:rFonts w:ascii="Calibri" w:hAnsi="Calibri" w:cs="Calibri"/>
          <w:szCs w:val="22"/>
        </w:rPr>
        <w:t>č</w:t>
      </w:r>
      <w:r w:rsidR="008676F9" w:rsidRPr="008676F9">
        <w:rPr>
          <w:rFonts w:ascii="Calibri" w:hAnsi="Calibri" w:cs="Calibri"/>
          <w:szCs w:val="22"/>
        </w:rPr>
        <w:t xml:space="preserve">lánok 18 nariadenia </w:t>
      </w:r>
      <w:r>
        <w:rPr>
          <w:rFonts w:ascii="Calibri" w:hAnsi="Calibri" w:cs="Calibri"/>
          <w:szCs w:val="22"/>
          <w:lang w:eastAsia="en-US"/>
        </w:rPr>
        <w:t xml:space="preserve">(EÚ) </w:t>
      </w:r>
      <w:r w:rsidRPr="008676F9">
        <w:rPr>
          <w:rFonts w:ascii="Calibri" w:hAnsi="Calibri" w:cs="Calibri"/>
          <w:szCs w:val="22"/>
          <w:lang w:eastAsia="en-US"/>
        </w:rPr>
        <w:t xml:space="preserve">č. 1305/2013 o podpore rozvoja vidieka </w:t>
      </w:r>
      <w:r w:rsidR="00E81F0F">
        <w:rPr>
          <w:rFonts w:ascii="Calibri" w:hAnsi="Calibri" w:cs="Calibri"/>
          <w:szCs w:val="22"/>
          <w:lang w:eastAsia="en-US"/>
        </w:rPr>
        <w:t>z</w:t>
      </w:r>
      <w:r w:rsidRPr="008676F9">
        <w:rPr>
          <w:rFonts w:ascii="Calibri" w:hAnsi="Calibri" w:cs="Calibri"/>
          <w:szCs w:val="22"/>
          <w:lang w:eastAsia="en-US"/>
        </w:rPr>
        <w:t xml:space="preserve"> EPFRV</w:t>
      </w:r>
      <w:r w:rsidR="008676F9" w:rsidRPr="00425CA0">
        <w:rPr>
          <w:rFonts w:ascii="Calibri" w:hAnsi="Calibri" w:cs="Calibri"/>
          <w:szCs w:val="22"/>
        </w:rPr>
        <w:t>.</w:t>
      </w:r>
    </w:p>
    <w:p w:rsidR="008676F9" w:rsidRPr="008676F9" w:rsidRDefault="008676F9" w:rsidP="00AA6566">
      <w:pPr>
        <w:rPr>
          <w:rFonts w:ascii="Calibri" w:hAnsi="Calibri" w:cs="Calibri"/>
          <w:szCs w:val="22"/>
        </w:rPr>
      </w:pPr>
    </w:p>
    <w:p w:rsidR="008676F9" w:rsidRPr="008676F9" w:rsidRDefault="008676F9" w:rsidP="00AA6566">
      <w:pPr>
        <w:ind w:left="709" w:hanging="709"/>
        <w:rPr>
          <w:rFonts w:ascii="Calibri" w:eastAsia="Calibri" w:hAnsi="Calibri" w:cs="Calibri"/>
          <w:b/>
          <w:szCs w:val="22"/>
          <w:lang w:eastAsia="en-US"/>
        </w:rPr>
      </w:pPr>
      <w:r w:rsidRPr="008676F9">
        <w:rPr>
          <w:rFonts w:ascii="Calibri" w:eastAsia="Calibri" w:hAnsi="Calibri" w:cs="Calibri"/>
          <w:b/>
          <w:szCs w:val="22"/>
          <w:lang w:eastAsia="en-US"/>
        </w:rPr>
        <w:t>8.2.4.2 Všeobecný opis opatrenia vrátane intervenčnej logiky a príspevku k fokusovým oblastiam a prierezovým cieľom</w:t>
      </w:r>
    </w:p>
    <w:p w:rsidR="008676F9" w:rsidRPr="008676F9" w:rsidRDefault="008676F9" w:rsidP="00865BF9">
      <w:pPr>
        <w:spacing w:after="120"/>
        <w:rPr>
          <w:rFonts w:ascii="Calibri" w:eastAsia="Calibri" w:hAnsi="Calibri" w:cs="Calibri"/>
          <w:szCs w:val="22"/>
          <w:lang w:eastAsia="en-US"/>
        </w:rPr>
      </w:pPr>
      <w:r w:rsidRPr="008676F9">
        <w:rPr>
          <w:rFonts w:ascii="Calibri" w:eastAsia="Calibri" w:hAnsi="Calibri" w:cs="Calibri"/>
          <w:szCs w:val="22"/>
          <w:lang w:eastAsia="en-US"/>
        </w:rPr>
        <w:t>Na zmiernenie negatívnych dôsledkov potenciálnych povodní, zamokrenia a zaplavenia poľnohospodárskej krajiny by mali byť podporované preventívne opatrenia investičného charakteru, ktoré by na odvodňovacích kanáloch a na ich zariadeniach zabezpečili  ochranu poľnohospodárskej pôdy a priľahlej krajiny (aj obcí) pred ich nepriaznivými účinkami.</w:t>
      </w:r>
    </w:p>
    <w:p w:rsidR="008676F9" w:rsidRPr="008676F9" w:rsidRDefault="008676F9" w:rsidP="00865BF9">
      <w:pPr>
        <w:spacing w:after="120"/>
        <w:rPr>
          <w:rFonts w:ascii="Calibri" w:eastAsia="Calibri" w:hAnsi="Calibri" w:cs="Calibri"/>
          <w:szCs w:val="22"/>
          <w:lang w:eastAsia="en-US"/>
        </w:rPr>
      </w:pPr>
      <w:r w:rsidRPr="008676F9">
        <w:rPr>
          <w:rFonts w:ascii="Calibri" w:eastAsia="Calibri" w:hAnsi="Calibri" w:cs="Calibri"/>
          <w:szCs w:val="22"/>
          <w:lang w:eastAsia="en-US"/>
        </w:rPr>
        <w:t xml:space="preserve">Tieto hydromelioračné kanály a čerpacie stanice môžu zohrať významnú úlohu v prevencii pred škodami na poľnohospodárskej produkcii spôsobenými záplavami a zamokrením poľnohospodárskej pôdy,  poľnohospodárskej krajine v širšom poňatí, ako sú obce, podnikateľské aktivity, infraštruktúra, pričom </w:t>
      </w:r>
      <w:r w:rsidR="003A7956">
        <w:rPr>
          <w:rFonts w:ascii="Calibri" w:eastAsia="Calibri" w:hAnsi="Calibri" w:cs="Calibri"/>
          <w:szCs w:val="22"/>
          <w:lang w:eastAsia="en-US"/>
        </w:rPr>
        <w:t xml:space="preserve">sa zabezpečí, aby </w:t>
      </w:r>
      <w:r w:rsidRPr="008676F9">
        <w:rPr>
          <w:rFonts w:ascii="Calibri" w:eastAsia="Calibri" w:hAnsi="Calibri" w:cs="Calibri"/>
          <w:szCs w:val="22"/>
          <w:lang w:eastAsia="en-US"/>
        </w:rPr>
        <w:t>neohrozi</w:t>
      </w:r>
      <w:r w:rsidR="003A7956">
        <w:rPr>
          <w:rFonts w:ascii="Calibri" w:eastAsia="Calibri" w:hAnsi="Calibri" w:cs="Calibri"/>
          <w:szCs w:val="22"/>
          <w:lang w:eastAsia="en-US"/>
        </w:rPr>
        <w:t>li</w:t>
      </w:r>
      <w:r w:rsidRPr="008676F9">
        <w:rPr>
          <w:rFonts w:ascii="Calibri" w:eastAsia="Calibri" w:hAnsi="Calibri" w:cs="Calibri"/>
          <w:szCs w:val="22"/>
          <w:lang w:eastAsia="en-US"/>
        </w:rPr>
        <w:t xml:space="preserve"> existujúce mokradné lokality. Na druhej strane je potrebné podporiť výstavbu, rekonštrukciu, modernizáciu, dostavbu a opravu takých hydromelioračných kanálov, ktoré majú kapacitný potenciál aj na zadržanie vody v danej oblasti v období sucha  ako aj na privedenie vody do oblastí z nedostatkom vodných zdrojov.</w:t>
      </w:r>
    </w:p>
    <w:p w:rsidR="008676F9" w:rsidRPr="008676F9" w:rsidRDefault="008676F9" w:rsidP="00865BF9">
      <w:pPr>
        <w:spacing w:after="120"/>
        <w:rPr>
          <w:rFonts w:ascii="Calibri" w:eastAsia="Calibri" w:hAnsi="Calibri" w:cs="Calibri"/>
          <w:szCs w:val="22"/>
          <w:lang w:eastAsia="en-US"/>
        </w:rPr>
      </w:pPr>
      <w:r w:rsidRPr="008676F9">
        <w:rPr>
          <w:rFonts w:ascii="Calibri" w:eastAsia="Calibri" w:hAnsi="Calibri" w:cs="Calibri"/>
          <w:szCs w:val="22"/>
          <w:lang w:eastAsia="en-US"/>
        </w:rPr>
        <w:t xml:space="preserve">Okrem uvedených negatívnych dôsledkov je nutné brať do úvahy aj riziko vodnej erózie pôdy ako dôsledok intenzívnych (prívalových) dažďov ale aj zadržanie vody v krajine pre obdobia dlhotrvajúceho sucha. Jedným z dôležitých opatrení je preto zabezpečenie efektívnej regulácie odtoku vody z poľnohospodárskej krajiny hydromelioračnými kanálmi. </w:t>
      </w:r>
    </w:p>
    <w:p w:rsidR="008676F9" w:rsidRPr="008676F9" w:rsidRDefault="008676F9" w:rsidP="00AA6566">
      <w:pPr>
        <w:rPr>
          <w:rFonts w:ascii="Calibri" w:eastAsia="Calibri" w:hAnsi="Calibri" w:cs="Calibri"/>
          <w:szCs w:val="22"/>
          <w:lang w:eastAsia="en-US"/>
        </w:rPr>
      </w:pPr>
      <w:r w:rsidRPr="008676F9">
        <w:rPr>
          <w:rFonts w:ascii="Calibri" w:eastAsia="Calibri" w:hAnsi="Calibri" w:cs="Calibri"/>
          <w:szCs w:val="22"/>
          <w:lang w:eastAsia="en-US"/>
        </w:rPr>
        <w:t>Štátny podnik Hydromeliorácie spravuje 5 851 km odvodňovacích kanálov, ktoré boli vybudované na odvodnenie poľnohospodárskej pôdy a 24 odvodňovacích čerpacích staníc na odvádzanie vnútorných vôd z poľnohospodárskej pôdy a krajiny. Tieto kanály a zariadenia vybudoval štát a sú v  jeho vlastníctve ako hydromelioračný majetok odvodnenia. Vzhľadom na ich vek, technický stav  a pôvodné projektované parametre však v súčasnosti môžu tieto funkcie napĺňať iba po  kapacitnej rekonštrukcii a stavebnej a technologickej obnove.</w:t>
      </w:r>
    </w:p>
    <w:p w:rsidR="008676F9" w:rsidRPr="008676F9" w:rsidRDefault="008676F9" w:rsidP="00AA6566">
      <w:pPr>
        <w:rPr>
          <w:rFonts w:ascii="Calibri" w:eastAsia="Calibri" w:hAnsi="Calibri" w:cs="Calibri"/>
          <w:b/>
          <w:bCs/>
          <w:szCs w:val="22"/>
          <w:lang w:eastAsia="en-US"/>
        </w:rPr>
      </w:pPr>
    </w:p>
    <w:p w:rsidR="008676F9" w:rsidRPr="008676F9" w:rsidRDefault="008676F9" w:rsidP="00AA6566">
      <w:pPr>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Príspevok k fokusovej oblasti</w:t>
      </w:r>
    </w:p>
    <w:p w:rsidR="008676F9" w:rsidRPr="008676F9" w:rsidRDefault="008676F9" w:rsidP="00AA6566">
      <w:pPr>
        <w:pStyle w:val="Predmetkomentra"/>
        <w:shd w:val="clear" w:color="auto" w:fill="FFFFFF"/>
        <w:rPr>
          <w:rFonts w:ascii="Calibri" w:eastAsia="Calibri" w:hAnsi="Calibri" w:cs="Calibri"/>
          <w:i/>
          <w:sz w:val="22"/>
          <w:szCs w:val="22"/>
          <w:lang w:eastAsia="en-US"/>
        </w:rPr>
      </w:pPr>
      <w:r w:rsidRPr="008676F9">
        <w:rPr>
          <w:rFonts w:ascii="Calibri" w:eastAsia="Calibri" w:hAnsi="Calibri" w:cs="Calibri"/>
          <w:i/>
          <w:sz w:val="22"/>
          <w:szCs w:val="22"/>
          <w:lang w:eastAsia="en-US"/>
        </w:rPr>
        <w:t>3B Podpora riadenia rizík poľnohospodárskych podnikov a ich predchádzania;</w:t>
      </w:r>
    </w:p>
    <w:p w:rsidR="008676F9" w:rsidRPr="008676F9" w:rsidRDefault="008676F9" w:rsidP="00AA6566">
      <w:pPr>
        <w:rPr>
          <w:rFonts w:ascii="Calibri" w:eastAsia="Calibri" w:hAnsi="Calibri" w:cs="Calibri"/>
          <w:bCs/>
          <w:szCs w:val="22"/>
          <w:lang w:eastAsia="en-US"/>
        </w:rPr>
      </w:pPr>
      <w:r w:rsidRPr="008676F9">
        <w:rPr>
          <w:rFonts w:ascii="Calibri" w:eastAsia="Calibri" w:hAnsi="Calibri" w:cs="Calibri"/>
          <w:bCs/>
          <w:szCs w:val="22"/>
          <w:lang w:eastAsia="en-US"/>
        </w:rPr>
        <w:t>Investičnou podporu na výstavbu, rekonštrukciu, modernizáciu, dostavbu a opravu hydromelioračných systémov – kanálov s regulovaným odtokom a čerpacích staníc a ich zariadení sa prispeje k zníženiu rizika zamokrenia a zaplavenia v dôsledku povodní počas intenzívnych (prívalových) dažďov, čo zamedzí potenciálnym škodám na pôde, ako základného výrobného faktora v poľnohospodárskych podnikoch. Na druhej strane, v obdobiach sucha, môžu tieto systémy s regulovaným odtokom zohrať významnú úlohu v súvislosti s aktívnou reguláciou odtoku vody a privádzaní vody do oblastí s jej nedostatkom.</w:t>
      </w:r>
    </w:p>
    <w:p w:rsidR="008676F9" w:rsidRPr="008676F9" w:rsidRDefault="008676F9" w:rsidP="00AA6566">
      <w:pPr>
        <w:rPr>
          <w:rFonts w:ascii="Calibri" w:eastAsia="Calibri" w:hAnsi="Calibri" w:cs="Calibri"/>
          <w:bCs/>
          <w:szCs w:val="22"/>
          <w:lang w:eastAsia="en-US"/>
        </w:rPr>
      </w:pPr>
    </w:p>
    <w:p w:rsidR="008676F9" w:rsidRPr="008676F9" w:rsidRDefault="008676F9" w:rsidP="00AA6566">
      <w:pPr>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Príspevok k prierezovým cieľom</w:t>
      </w:r>
    </w:p>
    <w:p w:rsidR="008676F9" w:rsidRPr="008676F9" w:rsidRDefault="008676F9" w:rsidP="001F5283">
      <w:pPr>
        <w:numPr>
          <w:ilvl w:val="0"/>
          <w:numId w:val="87"/>
        </w:numPr>
        <w:rPr>
          <w:rFonts w:ascii="Calibri" w:eastAsia="Calibri" w:hAnsi="Calibri" w:cs="Calibri"/>
          <w:szCs w:val="22"/>
          <w:lang w:eastAsia="en-US"/>
        </w:rPr>
      </w:pPr>
      <w:r w:rsidRPr="008676F9">
        <w:rPr>
          <w:rFonts w:ascii="Calibri" w:eastAsia="Calibri" w:hAnsi="Calibri" w:cs="Calibri"/>
          <w:szCs w:val="22"/>
          <w:lang w:eastAsia="en-US"/>
        </w:rPr>
        <w:t>Životné prostredie</w:t>
      </w:r>
    </w:p>
    <w:p w:rsidR="008676F9" w:rsidRPr="008676F9" w:rsidRDefault="008676F9" w:rsidP="001F5283">
      <w:pPr>
        <w:numPr>
          <w:ilvl w:val="0"/>
          <w:numId w:val="87"/>
        </w:numPr>
        <w:rPr>
          <w:rFonts w:ascii="Calibri" w:eastAsia="Calibri" w:hAnsi="Calibri" w:cs="Calibri"/>
          <w:bCs/>
          <w:szCs w:val="22"/>
          <w:lang w:eastAsia="en-US"/>
        </w:rPr>
      </w:pPr>
      <w:r w:rsidRPr="008676F9">
        <w:rPr>
          <w:rFonts w:ascii="Calibri" w:eastAsia="Calibri" w:hAnsi="Calibri" w:cs="Calibri"/>
          <w:szCs w:val="22"/>
          <w:lang w:eastAsia="en-US"/>
        </w:rPr>
        <w:t>Zmierňovanie zmeny klímy a adaptácia na ňu</w:t>
      </w:r>
    </w:p>
    <w:p w:rsidR="00AA6566" w:rsidRDefault="00AA6566" w:rsidP="008676F9">
      <w:pPr>
        <w:rPr>
          <w:rFonts w:ascii="Calibri" w:eastAsia="Calibri" w:hAnsi="Calibri" w:cs="Calibri"/>
          <w:bCs/>
          <w:szCs w:val="22"/>
          <w:lang w:eastAsia="en-US"/>
        </w:rPr>
      </w:pPr>
    </w:p>
    <w:p w:rsidR="008676F9" w:rsidRDefault="008676F9" w:rsidP="008676F9">
      <w:pPr>
        <w:rPr>
          <w:rFonts w:ascii="Calibri" w:eastAsia="Calibri" w:hAnsi="Calibri" w:cs="Calibri"/>
          <w:bCs/>
          <w:szCs w:val="22"/>
          <w:lang w:eastAsia="en-US"/>
        </w:rPr>
      </w:pPr>
      <w:r w:rsidRPr="008676F9">
        <w:rPr>
          <w:rFonts w:ascii="Calibri" w:eastAsia="Calibri" w:hAnsi="Calibri" w:cs="Calibri"/>
          <w:bCs/>
          <w:szCs w:val="22"/>
          <w:lang w:eastAsia="en-US"/>
        </w:rPr>
        <w:t>Navrhnuté opatrenie priamo reaguje na zmeny klímy a adaptuje poľnohospodársku výrobu na jej dôsledky. Zároveň prispieva k cieľom v oblasti životného prostredia, konkrétne k prevencii pred zhoršovaním kvality pôdy v dôsledku dlhotrvajúceho sucha, vodnej a veternej erózie.</w:t>
      </w:r>
    </w:p>
    <w:p w:rsidR="008676F9" w:rsidRDefault="008676F9" w:rsidP="008676F9">
      <w:pPr>
        <w:rPr>
          <w:rFonts w:ascii="Calibri" w:eastAsia="Calibri" w:hAnsi="Calibri" w:cs="Calibri"/>
          <w:b/>
          <w:bCs/>
          <w:szCs w:val="22"/>
          <w:lang w:eastAsia="en-US"/>
        </w:rPr>
      </w:pPr>
      <w:r w:rsidRPr="008676F9">
        <w:rPr>
          <w:rFonts w:ascii="Calibri" w:eastAsia="Calibri" w:hAnsi="Calibri" w:cs="Calibri"/>
          <w:b/>
          <w:bCs/>
          <w:szCs w:val="22"/>
          <w:lang w:eastAsia="en-US"/>
        </w:rPr>
        <w:t>8.2.4.3. Rozsah, úroveň podpory a ďalšie informácie  v členení podľa podopatrení a typu operácie</w:t>
      </w:r>
    </w:p>
    <w:p w:rsidR="001F3673" w:rsidRPr="008676F9" w:rsidRDefault="001F3673" w:rsidP="008676F9">
      <w:pPr>
        <w:rPr>
          <w:rFonts w:ascii="Calibri" w:eastAsia="Calibri" w:hAnsi="Calibri" w:cs="Calibri"/>
          <w:b/>
          <w:bCs/>
          <w:szCs w:val="22"/>
          <w:lang w:eastAsia="en-US"/>
        </w:rPr>
      </w:pPr>
    </w:p>
    <w:p w:rsidR="008676F9" w:rsidRPr="000E5C15" w:rsidRDefault="008676F9" w:rsidP="000E5C15">
      <w:pPr>
        <w:shd w:val="clear" w:color="auto" w:fill="EAF1DD"/>
        <w:ind w:left="1843" w:hanging="1843"/>
        <w:rPr>
          <w:rFonts w:ascii="Calibri" w:eastAsia="Calibri" w:hAnsi="Calibri" w:cs="Calibri"/>
          <w:b/>
          <w:bCs/>
          <w:i/>
          <w:sz w:val="24"/>
          <w:lang w:eastAsia="en-US"/>
        </w:rPr>
      </w:pPr>
      <w:r w:rsidRPr="008676F9">
        <w:rPr>
          <w:rFonts w:ascii="Calibri" w:eastAsia="Calibri" w:hAnsi="Calibri" w:cs="Calibri"/>
          <w:bCs/>
          <w:lang w:eastAsia="en-US"/>
        </w:rPr>
        <w:t xml:space="preserve">Podopatrenie: </w:t>
      </w:r>
      <w:r w:rsidRPr="008676F9">
        <w:rPr>
          <w:rFonts w:ascii="Calibri" w:eastAsia="Calibri" w:hAnsi="Calibri" w:cs="Calibri"/>
          <w:b/>
          <w:bCs/>
          <w:lang w:eastAsia="en-US"/>
        </w:rPr>
        <w:t xml:space="preserve">5.1 </w:t>
      </w:r>
      <w:r w:rsidRPr="000E5C15">
        <w:rPr>
          <w:rFonts w:ascii="Calibri" w:eastAsia="Calibri" w:hAnsi="Calibri" w:cs="Calibri"/>
          <w:b/>
          <w:bCs/>
          <w:i/>
          <w:sz w:val="24"/>
          <w:lang w:eastAsia="en-US"/>
        </w:rPr>
        <w:t>Podpora investícií do preventívnych opatrení na zníženie následkov pravdepodobných prírodných pohrôm, nepriaznivých klimatických a katastrofických udalostí</w:t>
      </w:r>
    </w:p>
    <w:p w:rsidR="008676F9" w:rsidRPr="008676F9" w:rsidRDefault="008676F9" w:rsidP="008676F9">
      <w:pPr>
        <w:shd w:val="clear" w:color="auto" w:fill="FDE9D9"/>
        <w:rPr>
          <w:rFonts w:ascii="Calibri" w:eastAsia="Calibri" w:hAnsi="Calibri" w:cs="Calibri"/>
          <w:bCs/>
          <w:i/>
          <w:szCs w:val="22"/>
          <w:u w:val="single"/>
          <w:lang w:eastAsia="en-US"/>
        </w:rPr>
      </w:pPr>
      <w:r w:rsidRPr="008676F9">
        <w:rPr>
          <w:rFonts w:ascii="Calibri" w:eastAsia="Calibri" w:hAnsi="Calibri" w:cs="Calibri"/>
          <w:bCs/>
          <w:i/>
          <w:szCs w:val="22"/>
          <w:u w:val="single"/>
          <w:lang w:eastAsia="en-US"/>
        </w:rPr>
        <w:t>Názov operácie:</w:t>
      </w:r>
    </w:p>
    <w:p w:rsidR="008676F9" w:rsidRPr="008676F9" w:rsidRDefault="008676F9" w:rsidP="008676F9">
      <w:pPr>
        <w:shd w:val="clear" w:color="auto" w:fill="FDE9D9"/>
        <w:rPr>
          <w:rFonts w:ascii="Calibri" w:eastAsia="Calibri" w:hAnsi="Calibri" w:cs="Calibri"/>
          <w:bCs/>
          <w:i/>
          <w:szCs w:val="22"/>
          <w:lang w:eastAsia="en-US"/>
        </w:rPr>
      </w:pPr>
      <w:r w:rsidRPr="008676F9">
        <w:rPr>
          <w:rFonts w:ascii="Calibri" w:eastAsia="Calibri" w:hAnsi="Calibri" w:cs="Calibri"/>
          <w:b/>
          <w:i/>
          <w:szCs w:val="22"/>
          <w:lang w:eastAsia="en-US"/>
        </w:rPr>
        <w:t>Preventívne opatrenia</w:t>
      </w:r>
      <w:r w:rsidRPr="008676F9">
        <w:rPr>
          <w:rFonts w:ascii="Calibri" w:eastAsia="Calibri" w:hAnsi="Calibri" w:cs="Calibri"/>
          <w:i/>
          <w:szCs w:val="22"/>
          <w:lang w:eastAsia="en-US"/>
        </w:rPr>
        <w:t xml:space="preserve"> pred negatívnymi dôsledkami prírodných katastrofických udalostí a nepriaznivých pomerov na potenciál poľnohospodárskej výroby vo väzbe na prebiehajúce klimatické zmeny</w:t>
      </w:r>
    </w:p>
    <w:p w:rsidR="008676F9" w:rsidRPr="008676F9" w:rsidRDefault="008676F9" w:rsidP="00AA6566">
      <w:pPr>
        <w:rPr>
          <w:rFonts w:ascii="Calibri" w:eastAsia="Calibri" w:hAnsi="Calibri" w:cs="Calibri"/>
          <w:bCs/>
          <w:szCs w:val="22"/>
          <w:u w:val="single"/>
          <w:lang w:eastAsia="en-US"/>
        </w:rPr>
      </w:pPr>
    </w:p>
    <w:p w:rsidR="008676F9" w:rsidRPr="008676F9" w:rsidRDefault="008676F9" w:rsidP="00AA6566">
      <w:pPr>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Opis operácie:</w:t>
      </w:r>
    </w:p>
    <w:p w:rsidR="008676F9" w:rsidRPr="008676F9" w:rsidRDefault="008676F9" w:rsidP="001F3673">
      <w:pPr>
        <w:spacing w:after="120"/>
        <w:rPr>
          <w:rFonts w:ascii="Calibri" w:eastAsia="Calibri" w:hAnsi="Calibri" w:cs="Calibri"/>
          <w:szCs w:val="22"/>
          <w:lang w:eastAsia="en-US"/>
        </w:rPr>
      </w:pPr>
      <w:r w:rsidRPr="008676F9">
        <w:rPr>
          <w:rFonts w:ascii="Calibri" w:eastAsia="Calibri" w:hAnsi="Calibri" w:cs="Calibri"/>
          <w:szCs w:val="22"/>
          <w:lang w:eastAsia="en-US"/>
        </w:rPr>
        <w:t>Výstavba nových, rekonštrukcia, modernizácia, oprava a dostavba odvodňovacích systémov, kanálov s regulovaným odtokom a čerpacích staníc a ich zariadení, ktoré sú v súlade s relevantnými plánmi manažmentu povodia.</w:t>
      </w:r>
    </w:p>
    <w:p w:rsidR="008676F9" w:rsidRPr="008676F9" w:rsidRDefault="008676F9" w:rsidP="00AA6566">
      <w:pPr>
        <w:rPr>
          <w:rFonts w:ascii="Calibri" w:eastAsia="Calibri" w:hAnsi="Calibri" w:cs="Calibri"/>
          <w:bCs/>
          <w:szCs w:val="22"/>
          <w:lang w:eastAsia="en-US"/>
        </w:rPr>
      </w:pPr>
      <w:r w:rsidRPr="008676F9">
        <w:rPr>
          <w:rFonts w:ascii="Calibri" w:eastAsia="Calibri" w:hAnsi="Calibri" w:cs="Calibri"/>
          <w:bCs/>
          <w:szCs w:val="22"/>
          <w:lang w:eastAsia="en-US"/>
        </w:rPr>
        <w:t>Opatrenie prispieva prioritne k fokusovej oblasti 3B.</w:t>
      </w:r>
    </w:p>
    <w:p w:rsidR="008676F9" w:rsidRPr="008676F9" w:rsidRDefault="008676F9" w:rsidP="00AA6566">
      <w:pPr>
        <w:rPr>
          <w:rFonts w:ascii="Calibri" w:eastAsia="Calibri" w:hAnsi="Calibri" w:cs="Calibri"/>
          <w:bCs/>
          <w:szCs w:val="22"/>
          <w:lang w:eastAsia="en-US"/>
        </w:rPr>
      </w:pPr>
      <w:r w:rsidRPr="008676F9">
        <w:rPr>
          <w:rFonts w:ascii="Calibri" w:eastAsia="Calibri" w:hAnsi="Calibri" w:cs="Calibri"/>
          <w:bCs/>
          <w:szCs w:val="22"/>
          <w:lang w:eastAsia="en-US"/>
        </w:rPr>
        <w:t>Opatrenie prispieva sekundárne k fokusovej oblasti 5A, 4B.</w:t>
      </w:r>
    </w:p>
    <w:p w:rsidR="008676F9" w:rsidRPr="008676F9" w:rsidRDefault="008676F9" w:rsidP="00AA6566">
      <w:pPr>
        <w:rPr>
          <w:rFonts w:ascii="Calibri" w:eastAsia="Calibri" w:hAnsi="Calibri" w:cs="Calibri"/>
          <w:bCs/>
          <w:szCs w:val="22"/>
          <w:u w:val="single"/>
          <w:lang w:eastAsia="en-US"/>
        </w:rPr>
      </w:pPr>
    </w:p>
    <w:p w:rsidR="008676F9" w:rsidRPr="008676F9" w:rsidRDefault="008676F9" w:rsidP="00AA6566">
      <w:pPr>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Typ podpory:</w:t>
      </w:r>
    </w:p>
    <w:p w:rsidR="008676F9" w:rsidRPr="008676F9" w:rsidRDefault="008676F9" w:rsidP="00AA6566">
      <w:pPr>
        <w:rPr>
          <w:rFonts w:ascii="Calibri" w:eastAsia="Calibri" w:hAnsi="Calibri" w:cs="Calibri"/>
          <w:bCs/>
          <w:szCs w:val="22"/>
          <w:lang w:eastAsia="en-US"/>
        </w:rPr>
      </w:pPr>
      <w:r w:rsidRPr="008676F9">
        <w:rPr>
          <w:rFonts w:ascii="Calibri" w:eastAsia="Calibri" w:hAnsi="Calibri" w:cs="Calibri"/>
          <w:bCs/>
          <w:szCs w:val="22"/>
          <w:lang w:eastAsia="en-US"/>
        </w:rPr>
        <w:t>Investičná, nezisková, nenávratný finančný príspevok</w:t>
      </w:r>
    </w:p>
    <w:p w:rsidR="008676F9" w:rsidRPr="008676F9" w:rsidRDefault="008676F9" w:rsidP="00AA6566">
      <w:pPr>
        <w:rPr>
          <w:rFonts w:ascii="Calibri" w:eastAsia="Calibri" w:hAnsi="Calibri" w:cs="Calibri"/>
          <w:bCs/>
          <w:szCs w:val="22"/>
          <w:u w:val="single"/>
          <w:lang w:eastAsia="en-US"/>
        </w:rPr>
      </w:pPr>
    </w:p>
    <w:p w:rsidR="008676F9" w:rsidRPr="008676F9" w:rsidRDefault="008676F9" w:rsidP="00AA6566">
      <w:pPr>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Súvislosť s inou legislatívou:</w:t>
      </w:r>
    </w:p>
    <w:p w:rsidR="00204D9D" w:rsidRPr="008676F9" w:rsidRDefault="00204D9D" w:rsidP="00204D9D">
      <w:pPr>
        <w:numPr>
          <w:ilvl w:val="0"/>
          <w:numId w:val="88"/>
        </w:numPr>
        <w:ind w:left="284" w:hanging="284"/>
        <w:rPr>
          <w:rFonts w:ascii="Calibri" w:hAnsi="Calibri" w:cs="Calibri"/>
          <w:bCs/>
          <w:szCs w:val="22"/>
          <w:lang w:eastAsia="en-US"/>
        </w:rPr>
      </w:pPr>
      <w:r w:rsidRPr="008676F9">
        <w:rPr>
          <w:rFonts w:ascii="Calibri" w:hAnsi="Calibri" w:cs="Calibri"/>
          <w:bCs/>
          <w:szCs w:val="22"/>
          <w:lang w:eastAsia="en-US"/>
        </w:rPr>
        <w:t>smernica 2007/60/ES o hodnotení a riadení povodňových rizík;</w:t>
      </w:r>
    </w:p>
    <w:p w:rsidR="00204D9D" w:rsidRDefault="00204D9D" w:rsidP="00204D9D">
      <w:pPr>
        <w:numPr>
          <w:ilvl w:val="0"/>
          <w:numId w:val="88"/>
        </w:numPr>
        <w:ind w:left="284" w:hanging="284"/>
        <w:rPr>
          <w:rFonts w:ascii="Calibri" w:hAnsi="Calibri" w:cs="Calibri"/>
          <w:bCs/>
          <w:szCs w:val="22"/>
          <w:lang w:eastAsia="en-US"/>
        </w:rPr>
      </w:pPr>
      <w:r w:rsidRPr="008676F9">
        <w:rPr>
          <w:rFonts w:ascii="Calibri" w:hAnsi="Calibri" w:cs="Calibri"/>
          <w:bCs/>
          <w:szCs w:val="22"/>
          <w:lang w:eastAsia="en-US"/>
        </w:rPr>
        <w:t>§ 4 zákona č. 7/2010 Z. z. o ochrane pred povodňami, do ktorého bola transponovaná smernica 2007/60/ES o hodnotení a riadení povodňových rizík</w:t>
      </w:r>
      <w:r>
        <w:rPr>
          <w:rFonts w:ascii="Calibri" w:hAnsi="Calibri" w:cs="Calibri"/>
          <w:bCs/>
          <w:szCs w:val="22"/>
          <w:lang w:eastAsia="en-US"/>
        </w:rPr>
        <w:t>;</w:t>
      </w:r>
    </w:p>
    <w:p w:rsidR="00204D9D" w:rsidRDefault="00204D9D" w:rsidP="00204D9D">
      <w:pPr>
        <w:numPr>
          <w:ilvl w:val="0"/>
          <w:numId w:val="88"/>
        </w:numPr>
        <w:ind w:left="284"/>
        <w:rPr>
          <w:rFonts w:ascii="Calibri" w:hAnsi="Calibri" w:cs="Calibri"/>
          <w:bCs/>
          <w:szCs w:val="22"/>
          <w:lang w:eastAsia="en-US"/>
        </w:rPr>
      </w:pPr>
      <w:r w:rsidRPr="008676F9">
        <w:rPr>
          <w:rFonts w:ascii="Calibri" w:hAnsi="Calibri" w:cs="Calibri"/>
          <w:bCs/>
          <w:szCs w:val="22"/>
          <w:lang w:eastAsia="en-US"/>
        </w:rPr>
        <w:t>zákon č.</w:t>
      </w:r>
      <w:r>
        <w:rPr>
          <w:rFonts w:ascii="Calibri" w:hAnsi="Calibri" w:cs="Calibri"/>
          <w:bCs/>
          <w:szCs w:val="22"/>
          <w:lang w:eastAsia="en-US"/>
        </w:rPr>
        <w:t>543/2002 Z. z. o ochrane prírody a krajiny</w:t>
      </w:r>
      <w:r w:rsidRPr="008676F9">
        <w:rPr>
          <w:rFonts w:ascii="Calibri" w:hAnsi="Calibri" w:cs="Calibri"/>
          <w:bCs/>
          <w:szCs w:val="22"/>
          <w:lang w:eastAsia="en-US"/>
        </w:rPr>
        <w:t>;</w:t>
      </w:r>
    </w:p>
    <w:p w:rsidR="00204D9D" w:rsidRDefault="00204D9D" w:rsidP="00204D9D">
      <w:pPr>
        <w:numPr>
          <w:ilvl w:val="0"/>
          <w:numId w:val="88"/>
        </w:numPr>
        <w:ind w:left="284"/>
        <w:rPr>
          <w:rFonts w:ascii="Calibri" w:hAnsi="Calibri" w:cs="Calibri"/>
          <w:bCs/>
          <w:szCs w:val="22"/>
          <w:lang w:eastAsia="en-US"/>
        </w:rPr>
      </w:pPr>
      <w:r w:rsidRPr="008676F9">
        <w:rPr>
          <w:rFonts w:ascii="Calibri" w:hAnsi="Calibri" w:cs="Calibri"/>
          <w:bCs/>
          <w:szCs w:val="22"/>
          <w:lang w:eastAsia="en-US"/>
        </w:rPr>
        <w:t>zákon č. 50/1976 Zb. o územnom plánovaní a stavebnom poriadku</w:t>
      </w:r>
    </w:p>
    <w:p w:rsidR="008676F9" w:rsidRPr="008676F9" w:rsidRDefault="008676F9" w:rsidP="00AA6566">
      <w:pPr>
        <w:rPr>
          <w:rFonts w:ascii="Calibri" w:eastAsia="Calibri" w:hAnsi="Calibri" w:cs="Calibri"/>
          <w:bCs/>
          <w:szCs w:val="22"/>
          <w:u w:val="single"/>
          <w:lang w:eastAsia="en-US"/>
        </w:rPr>
      </w:pPr>
    </w:p>
    <w:p w:rsidR="008676F9" w:rsidRPr="008676F9" w:rsidRDefault="008676F9" w:rsidP="00AA6566">
      <w:pPr>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Prijímateľ podpory:</w:t>
      </w:r>
    </w:p>
    <w:p w:rsidR="008676F9" w:rsidRPr="008676F9" w:rsidRDefault="008676F9" w:rsidP="001F5283">
      <w:pPr>
        <w:numPr>
          <w:ilvl w:val="0"/>
          <w:numId w:val="60"/>
        </w:numPr>
        <w:ind w:left="426" w:hanging="426"/>
        <w:rPr>
          <w:rFonts w:ascii="Calibri" w:eastAsia="Calibri" w:hAnsi="Calibri" w:cs="Calibri"/>
          <w:szCs w:val="22"/>
          <w:lang w:eastAsia="en-US"/>
        </w:rPr>
      </w:pPr>
      <w:r w:rsidRPr="008676F9">
        <w:rPr>
          <w:rFonts w:ascii="Calibri" w:eastAsia="Calibri" w:hAnsi="Calibri" w:cs="Calibri"/>
          <w:szCs w:val="22"/>
          <w:lang w:eastAsia="en-US"/>
        </w:rPr>
        <w:t>Právnická alebo fyzická osoba podnikajúca v poľnohospodárskej prvovýrobe.</w:t>
      </w:r>
    </w:p>
    <w:p w:rsidR="008676F9" w:rsidRPr="008676F9" w:rsidRDefault="008676F9" w:rsidP="001F5283">
      <w:pPr>
        <w:numPr>
          <w:ilvl w:val="0"/>
          <w:numId w:val="60"/>
        </w:numPr>
        <w:ind w:left="426" w:hanging="426"/>
        <w:rPr>
          <w:rFonts w:ascii="Calibri" w:eastAsia="Calibri" w:hAnsi="Calibri" w:cs="Calibri"/>
          <w:szCs w:val="22"/>
          <w:lang w:eastAsia="en-US"/>
        </w:rPr>
      </w:pPr>
      <w:r w:rsidRPr="00865BF9">
        <w:rPr>
          <w:rFonts w:ascii="Calibri" w:eastAsia="Calibri" w:hAnsi="Calibri" w:cs="Calibri"/>
          <w:szCs w:val="22"/>
          <w:lang w:eastAsia="en-US"/>
        </w:rPr>
        <w:t>Verejný subjekt,</w:t>
      </w:r>
      <w:r w:rsidRPr="008676F9">
        <w:rPr>
          <w:rFonts w:ascii="Calibri" w:eastAsia="Calibri" w:hAnsi="Calibri" w:cs="Calibri"/>
          <w:szCs w:val="22"/>
          <w:lang w:eastAsia="en-US"/>
        </w:rPr>
        <w:t xml:space="preserve"> ak preukáže prepojenie medzi realizovanými investíciami a potenciálom poľnohospodárskej výroby</w:t>
      </w:r>
      <w:r w:rsidR="002E6EC8">
        <w:rPr>
          <w:rFonts w:ascii="Calibri" w:eastAsia="Calibri" w:hAnsi="Calibri" w:cs="Calibri"/>
          <w:szCs w:val="22"/>
          <w:lang w:eastAsia="en-US"/>
        </w:rPr>
        <w:t xml:space="preserve"> (Hydromeliorácie, š.p.)</w:t>
      </w:r>
      <w:r w:rsidRPr="008676F9">
        <w:rPr>
          <w:rFonts w:ascii="Calibri" w:eastAsia="Calibri" w:hAnsi="Calibri" w:cs="Calibri"/>
          <w:szCs w:val="22"/>
          <w:lang w:eastAsia="en-US"/>
        </w:rPr>
        <w:t>.</w:t>
      </w:r>
    </w:p>
    <w:p w:rsidR="008676F9" w:rsidRPr="008676F9" w:rsidRDefault="008676F9" w:rsidP="00AA6566">
      <w:pPr>
        <w:rPr>
          <w:rFonts w:ascii="Calibri" w:eastAsia="Calibri" w:hAnsi="Calibri" w:cs="Calibri"/>
          <w:bCs/>
          <w:szCs w:val="22"/>
          <w:lang w:eastAsia="en-US"/>
        </w:rPr>
      </w:pPr>
    </w:p>
    <w:p w:rsidR="008676F9" w:rsidRPr="008676F9" w:rsidRDefault="008676F9" w:rsidP="00AA6566">
      <w:pPr>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Oprávnené náklady:</w:t>
      </w:r>
    </w:p>
    <w:p w:rsidR="008676F9" w:rsidRPr="008676F9" w:rsidRDefault="008676F9" w:rsidP="001F5283">
      <w:pPr>
        <w:numPr>
          <w:ilvl w:val="0"/>
          <w:numId w:val="90"/>
        </w:numPr>
        <w:ind w:left="714" w:hanging="357"/>
        <w:rPr>
          <w:rFonts w:ascii="Calibri" w:eastAsia="Calibri" w:hAnsi="Calibri" w:cs="Calibri"/>
          <w:szCs w:val="22"/>
          <w:lang w:eastAsia="en-US"/>
        </w:rPr>
      </w:pPr>
      <w:r w:rsidRPr="008676F9">
        <w:rPr>
          <w:rFonts w:ascii="Calibri" w:eastAsia="Calibri" w:hAnsi="Calibri" w:cs="Calibri"/>
          <w:szCs w:val="22"/>
          <w:lang w:eastAsia="en-US"/>
        </w:rPr>
        <w:t>náklady na hmotné investície na výstavbu/rekonštrukciu/opravu a modernizáciu odvodňovacích systémov, kanálov s regulovaným odtokom a čerpacích staníc a ich zariadení;</w:t>
      </w:r>
    </w:p>
    <w:p w:rsidR="00865BF9" w:rsidRDefault="008676F9" w:rsidP="001F5283">
      <w:pPr>
        <w:numPr>
          <w:ilvl w:val="0"/>
          <w:numId w:val="90"/>
        </w:numPr>
        <w:rPr>
          <w:rFonts w:ascii="Calibri" w:eastAsia="Calibri" w:hAnsi="Calibri" w:cs="Calibri"/>
          <w:szCs w:val="22"/>
          <w:lang w:eastAsia="en-US"/>
        </w:rPr>
      </w:pPr>
      <w:r w:rsidRPr="008676F9">
        <w:rPr>
          <w:rFonts w:ascii="Calibri" w:eastAsia="Calibri" w:hAnsi="Calibri" w:cs="Calibri"/>
          <w:szCs w:val="22"/>
          <w:lang w:eastAsia="en-US"/>
        </w:rPr>
        <w:t>súvisiace všeobecné náklady ako sú  projektová dokumentácia, inžinierska činnosť, poradenská činnosť a štúdie realizovateľnosti</w:t>
      </w:r>
      <w:r w:rsidR="00865BF9">
        <w:rPr>
          <w:rFonts w:ascii="Calibri" w:eastAsia="Calibri" w:hAnsi="Calibri" w:cs="Calibri"/>
          <w:szCs w:val="22"/>
          <w:lang w:eastAsia="en-US"/>
        </w:rPr>
        <w:t>;</w:t>
      </w:r>
    </w:p>
    <w:p w:rsidR="008676F9" w:rsidRPr="008676F9" w:rsidRDefault="00865BF9" w:rsidP="001F5283">
      <w:pPr>
        <w:numPr>
          <w:ilvl w:val="0"/>
          <w:numId w:val="90"/>
        </w:numPr>
        <w:rPr>
          <w:rFonts w:ascii="Calibri" w:eastAsia="Calibri" w:hAnsi="Calibri" w:cs="Calibri"/>
          <w:szCs w:val="22"/>
          <w:lang w:eastAsia="en-US"/>
        </w:rPr>
      </w:pPr>
      <w:r>
        <w:rPr>
          <w:rFonts w:ascii="Calibri" w:eastAsia="Calibri" w:hAnsi="Calibri" w:cs="Calibri"/>
          <w:szCs w:val="22"/>
          <w:lang w:eastAsia="en-US"/>
        </w:rPr>
        <w:t>náklady na riadenie projektu</w:t>
      </w:r>
      <w:r w:rsidR="008676F9" w:rsidRPr="008676F9">
        <w:rPr>
          <w:rFonts w:ascii="Calibri" w:eastAsia="Calibri" w:hAnsi="Calibri" w:cs="Calibri"/>
          <w:szCs w:val="22"/>
          <w:lang w:eastAsia="en-US"/>
        </w:rPr>
        <w:t>.</w:t>
      </w:r>
    </w:p>
    <w:p w:rsidR="008676F9" w:rsidRPr="008676F9" w:rsidRDefault="008676F9" w:rsidP="00AA6566">
      <w:pPr>
        <w:rPr>
          <w:rFonts w:ascii="Calibri" w:eastAsia="Calibri" w:hAnsi="Calibri" w:cs="Calibri"/>
          <w:bCs/>
          <w:szCs w:val="22"/>
          <w:u w:val="single"/>
          <w:lang w:eastAsia="en-US"/>
        </w:rPr>
      </w:pPr>
    </w:p>
    <w:p w:rsidR="008676F9" w:rsidRPr="008676F9" w:rsidRDefault="008676F9" w:rsidP="00AA6566">
      <w:pPr>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Podmienky oprávnenosti:</w:t>
      </w:r>
    </w:p>
    <w:p w:rsidR="008676F9" w:rsidRPr="008676F9" w:rsidRDefault="008676F9" w:rsidP="001F5283">
      <w:pPr>
        <w:numPr>
          <w:ilvl w:val="0"/>
          <w:numId w:val="89"/>
        </w:numPr>
        <w:ind w:left="714" w:hanging="357"/>
        <w:rPr>
          <w:rFonts w:ascii="Calibri" w:hAnsi="Calibri" w:cs="Calibri"/>
          <w:bCs/>
          <w:szCs w:val="22"/>
          <w:u w:val="single"/>
          <w:lang w:eastAsia="en-US"/>
        </w:rPr>
      </w:pPr>
      <w:r w:rsidRPr="008676F9">
        <w:rPr>
          <w:rFonts w:ascii="Calibri" w:hAnsi="Calibri" w:cs="Calibri"/>
          <w:bCs/>
          <w:szCs w:val="22"/>
          <w:lang w:eastAsia="en-US"/>
        </w:rPr>
        <w:t>Kritériá vzťahujúce sa k investíciám.</w:t>
      </w:r>
    </w:p>
    <w:p w:rsidR="008676F9" w:rsidRPr="008676F9" w:rsidRDefault="008676F9" w:rsidP="001F5283">
      <w:pPr>
        <w:numPr>
          <w:ilvl w:val="0"/>
          <w:numId w:val="89"/>
        </w:numPr>
        <w:ind w:left="714" w:hanging="357"/>
        <w:rPr>
          <w:rFonts w:ascii="Calibri" w:hAnsi="Calibri" w:cs="Calibri"/>
          <w:bCs/>
          <w:szCs w:val="22"/>
          <w:u w:val="single"/>
          <w:lang w:eastAsia="en-US"/>
        </w:rPr>
      </w:pPr>
      <w:r w:rsidRPr="008676F9">
        <w:rPr>
          <w:rFonts w:ascii="Calibri" w:hAnsi="Calibri" w:cs="Calibri"/>
          <w:bCs/>
          <w:szCs w:val="22"/>
          <w:lang w:eastAsia="en-US"/>
        </w:rPr>
        <w:t>Verejné obstarávanie.</w:t>
      </w:r>
    </w:p>
    <w:p w:rsidR="008676F9" w:rsidRPr="008676F9" w:rsidRDefault="008676F9" w:rsidP="001F5283">
      <w:pPr>
        <w:numPr>
          <w:ilvl w:val="0"/>
          <w:numId w:val="89"/>
        </w:numPr>
        <w:ind w:left="714" w:hanging="357"/>
        <w:rPr>
          <w:rFonts w:ascii="Calibri" w:hAnsi="Calibri" w:cs="Calibri"/>
          <w:bCs/>
          <w:szCs w:val="22"/>
          <w:u w:val="single"/>
          <w:lang w:eastAsia="en-US"/>
        </w:rPr>
      </w:pPr>
      <w:r w:rsidRPr="008676F9">
        <w:rPr>
          <w:rFonts w:ascii="Calibri" w:hAnsi="Calibri" w:cs="Calibri"/>
          <w:szCs w:val="22"/>
          <w:lang w:eastAsia="en-US"/>
        </w:rPr>
        <w:t>Ak je žiadateľom verejný subjekt, musí preukázať prepojenie medzi realizovanými investíciami a potenciálom poľnohospodárskej pôdy.</w:t>
      </w:r>
    </w:p>
    <w:p w:rsidR="008676F9" w:rsidRPr="008676F9" w:rsidRDefault="008676F9" w:rsidP="001F5283">
      <w:pPr>
        <w:numPr>
          <w:ilvl w:val="0"/>
          <w:numId w:val="89"/>
        </w:numPr>
        <w:ind w:left="714" w:hanging="357"/>
        <w:rPr>
          <w:rFonts w:ascii="Calibri" w:hAnsi="Calibri" w:cs="Calibri"/>
          <w:bCs/>
          <w:szCs w:val="22"/>
          <w:u w:val="single"/>
          <w:lang w:eastAsia="en-US"/>
        </w:rPr>
      </w:pPr>
      <w:r w:rsidRPr="008676F9">
        <w:rPr>
          <w:rFonts w:ascii="Calibri" w:hAnsi="Calibri" w:cs="Calibri"/>
          <w:szCs w:val="22"/>
          <w:lang w:eastAsia="en-US"/>
        </w:rPr>
        <w:t>Komplexnosť projektu vrátane zabezpečenia odstránenia kalu.</w:t>
      </w:r>
    </w:p>
    <w:p w:rsidR="00204D9D" w:rsidRPr="008676F9" w:rsidRDefault="00204D9D" w:rsidP="00204D9D">
      <w:pPr>
        <w:numPr>
          <w:ilvl w:val="0"/>
          <w:numId w:val="89"/>
        </w:numPr>
        <w:ind w:left="714" w:hanging="357"/>
        <w:rPr>
          <w:rFonts w:ascii="Calibri" w:hAnsi="Calibri" w:cs="Calibri"/>
          <w:bCs/>
          <w:szCs w:val="22"/>
          <w:u w:val="single"/>
          <w:lang w:eastAsia="en-US"/>
        </w:rPr>
      </w:pPr>
      <w:r>
        <w:rPr>
          <w:rFonts w:ascii="Calibri" w:hAnsi="Calibri" w:cs="Calibri"/>
          <w:szCs w:val="22"/>
          <w:lang w:eastAsia="en-US"/>
        </w:rPr>
        <w:t>Podmienky povinne vyplývajúce zo zákona č. 543/2002 Z .z. o ochrane prírody a krajiny</w:t>
      </w:r>
    </w:p>
    <w:p w:rsidR="008676F9" w:rsidRPr="008676F9" w:rsidRDefault="008676F9" w:rsidP="00AA6566">
      <w:pPr>
        <w:ind w:left="426"/>
        <w:contextualSpacing/>
        <w:rPr>
          <w:rFonts w:ascii="Calibri" w:hAnsi="Calibri" w:cs="Calibri"/>
          <w:bCs/>
          <w:szCs w:val="22"/>
          <w:u w:val="single"/>
          <w:lang w:eastAsia="en-US"/>
        </w:rPr>
      </w:pPr>
    </w:p>
    <w:p w:rsidR="008676F9" w:rsidRPr="008676F9" w:rsidRDefault="008676F9" w:rsidP="00AA6566">
      <w:pPr>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Princípy nastavenia výberových kritérií:</w:t>
      </w:r>
    </w:p>
    <w:p w:rsidR="008676F9" w:rsidRPr="008676F9" w:rsidRDefault="008676F9" w:rsidP="008676F9">
      <w:pPr>
        <w:rPr>
          <w:rFonts w:ascii="Calibri" w:eastAsia="Calibri" w:hAnsi="Calibri" w:cs="Calibri"/>
          <w:bCs/>
          <w:szCs w:val="22"/>
          <w:u w:val="single"/>
          <w:lang w:eastAsia="en-US"/>
        </w:rPr>
      </w:pPr>
      <w:r w:rsidRPr="008676F9">
        <w:rPr>
          <w:rFonts w:ascii="Calibri" w:eastAsia="Calibri" w:hAnsi="Calibri" w:cs="Calibri"/>
          <w:szCs w:val="22"/>
          <w:lang w:eastAsia="en-US"/>
        </w:rPr>
        <w:t>Riadiaci orgán pri výbere operácií na financovanie bude brať do úvahy predovšetkým výšku rizika povodňových stavov, zaplavenia a zamokrenia poľnohospodárskej pôdy v jednotlivých nížinných a podhorských oblastiach Slovenska.</w:t>
      </w:r>
    </w:p>
    <w:p w:rsidR="008676F9" w:rsidRPr="008676F9" w:rsidRDefault="008676F9" w:rsidP="008676F9">
      <w:pPr>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Výška a miera podpory:</w:t>
      </w:r>
    </w:p>
    <w:p w:rsidR="008676F9" w:rsidRPr="008676F9" w:rsidRDefault="008676F9" w:rsidP="008676F9">
      <w:pPr>
        <w:rPr>
          <w:rFonts w:ascii="Calibri" w:eastAsia="Calibri" w:hAnsi="Calibri" w:cs="Calibri"/>
          <w:szCs w:val="22"/>
          <w:lang w:eastAsia="en-US"/>
        </w:rPr>
      </w:pPr>
      <w:r w:rsidRPr="008676F9">
        <w:rPr>
          <w:rFonts w:ascii="Calibri" w:eastAsia="Calibri" w:hAnsi="Calibri" w:cs="Calibri"/>
          <w:szCs w:val="22"/>
          <w:lang w:eastAsia="en-US"/>
        </w:rPr>
        <w:t>Maximálna výška podpory z celkových oprávnených výdavkov:</w:t>
      </w:r>
    </w:p>
    <w:p w:rsidR="008676F9" w:rsidRPr="008676F9" w:rsidRDefault="008676F9" w:rsidP="001F5283">
      <w:pPr>
        <w:numPr>
          <w:ilvl w:val="0"/>
          <w:numId w:val="59"/>
        </w:numPr>
        <w:tabs>
          <w:tab w:val="num" w:pos="426"/>
        </w:tabs>
        <w:spacing w:after="200" w:line="276" w:lineRule="auto"/>
        <w:ind w:left="426" w:hanging="426"/>
        <w:rPr>
          <w:rFonts w:ascii="Calibri" w:eastAsia="Calibri" w:hAnsi="Calibri" w:cs="Calibri"/>
          <w:szCs w:val="22"/>
          <w:lang w:eastAsia="en-US"/>
        </w:rPr>
      </w:pPr>
      <w:r w:rsidRPr="008676F9">
        <w:rPr>
          <w:rFonts w:ascii="Calibri" w:eastAsia="Calibri" w:hAnsi="Calibri" w:cs="Calibri"/>
          <w:szCs w:val="22"/>
          <w:lang w:eastAsia="en-US"/>
        </w:rPr>
        <w:t xml:space="preserve">80% na činnosti vykonávane individuálne jedným poľnohospodárskym podnikom; </w:t>
      </w:r>
    </w:p>
    <w:p w:rsidR="008676F9" w:rsidRPr="008676F9" w:rsidRDefault="008676F9" w:rsidP="001F5283">
      <w:pPr>
        <w:numPr>
          <w:ilvl w:val="0"/>
          <w:numId w:val="59"/>
        </w:numPr>
        <w:tabs>
          <w:tab w:val="num" w:pos="426"/>
        </w:tabs>
        <w:ind w:left="426" w:hanging="426"/>
        <w:rPr>
          <w:rFonts w:ascii="Calibri" w:eastAsia="Calibri" w:hAnsi="Calibri" w:cs="Calibri"/>
          <w:szCs w:val="22"/>
          <w:lang w:eastAsia="en-US"/>
        </w:rPr>
      </w:pPr>
      <w:r w:rsidRPr="008676F9">
        <w:rPr>
          <w:rFonts w:ascii="Calibri" w:eastAsia="Calibri" w:hAnsi="Calibri" w:cs="Calibri"/>
          <w:szCs w:val="22"/>
          <w:lang w:eastAsia="en-US"/>
        </w:rPr>
        <w:t>100% na činnosti vykonávané verejným subjektom, ak preukážu prepojenie medzi realizovanými investíciami a potenciálom poľnohospodárskej výroby.</w:t>
      </w:r>
    </w:p>
    <w:p w:rsidR="008676F9" w:rsidRPr="008676F9" w:rsidRDefault="008676F9" w:rsidP="00AA6566">
      <w:pPr>
        <w:rPr>
          <w:rFonts w:ascii="Calibri" w:eastAsia="Calibri" w:hAnsi="Calibri" w:cs="Calibri"/>
          <w:bCs/>
          <w:szCs w:val="22"/>
          <w:lang w:eastAsia="en-US"/>
        </w:rPr>
      </w:pPr>
    </w:p>
    <w:p w:rsidR="008676F9" w:rsidRPr="008676F9" w:rsidRDefault="008676F9" w:rsidP="00AA6566">
      <w:pPr>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Ďalšie informácie špecifické pre podopatrenie</w:t>
      </w:r>
    </w:p>
    <w:p w:rsidR="008676F9" w:rsidRPr="008676F9" w:rsidRDefault="008676F9" w:rsidP="00AA6566">
      <w:pPr>
        <w:rPr>
          <w:rFonts w:ascii="Calibri" w:eastAsia="Calibri" w:hAnsi="Calibri" w:cs="Calibri"/>
          <w:bCs/>
          <w:szCs w:val="22"/>
          <w:lang w:eastAsia="en-US"/>
        </w:rPr>
      </w:pPr>
      <w:r w:rsidRPr="008676F9">
        <w:rPr>
          <w:rFonts w:ascii="Calibri" w:eastAsia="Calibri" w:hAnsi="Calibri" w:cs="Calibri"/>
          <w:bCs/>
          <w:szCs w:val="22"/>
          <w:lang w:eastAsia="en-US"/>
        </w:rPr>
        <w:t>Pre toto opatrenie je prijímateľom finančnej podpory popri verejnom subjekte uvedenom v bode 8.2.4.3  jeden poľnohospodársky podnik, pričom zmluvnými spoluriešiteľmi projektu a zároveň spoluinvestormi môžu byť ďalšie poľnohospodárske podniky. V takomto prípade ide o kolektívne (združené) investície, ktorými sa rozumejú investície realizované viac ako jedným poľnohospodárskym podnikom a z uvedeného dôvodu prinášajú synergický efekt. Synergickým efektom kolektívnej investície sa rozumie vyšší účinok investície ako účinok individuálnych investícií spolu.</w:t>
      </w:r>
    </w:p>
    <w:p w:rsidR="008676F9" w:rsidRPr="008676F9" w:rsidRDefault="008676F9" w:rsidP="00AA6566">
      <w:pPr>
        <w:rPr>
          <w:rFonts w:ascii="Calibri" w:eastAsia="Calibri" w:hAnsi="Calibri" w:cs="Calibri"/>
          <w:bCs/>
          <w:szCs w:val="22"/>
          <w:lang w:eastAsia="en-US"/>
        </w:rPr>
      </w:pPr>
      <w:r w:rsidRPr="008676F9">
        <w:rPr>
          <w:rFonts w:ascii="Calibri" w:eastAsia="Calibri" w:hAnsi="Calibri" w:cs="Calibri"/>
          <w:bCs/>
          <w:i/>
          <w:szCs w:val="22"/>
          <w:lang w:eastAsia="en-US"/>
        </w:rPr>
        <w:t>Zálohová platba</w:t>
      </w:r>
      <w:r w:rsidRPr="008676F9">
        <w:rPr>
          <w:rFonts w:ascii="Calibri" w:eastAsia="Calibri" w:hAnsi="Calibri" w:cs="Calibri"/>
          <w:bCs/>
          <w:szCs w:val="22"/>
          <w:lang w:eastAsia="en-US"/>
        </w:rPr>
        <w:t xml:space="preserve"> môže byť poskytnutá len verejnému subjektu.</w:t>
      </w:r>
    </w:p>
    <w:p w:rsidR="008676F9" w:rsidRPr="008676F9" w:rsidRDefault="008676F9" w:rsidP="00AA6566">
      <w:pPr>
        <w:rPr>
          <w:rFonts w:ascii="Calibri" w:eastAsia="Calibri" w:hAnsi="Calibri" w:cs="Calibri"/>
          <w:bCs/>
          <w:szCs w:val="22"/>
          <w:lang w:eastAsia="en-US"/>
        </w:rPr>
      </w:pPr>
    </w:p>
    <w:p w:rsidR="008676F9" w:rsidRPr="008676F9" w:rsidRDefault="008676F9" w:rsidP="00AA6566">
      <w:pPr>
        <w:rPr>
          <w:rFonts w:ascii="Calibri" w:eastAsia="Calibri" w:hAnsi="Calibri" w:cs="Calibri"/>
          <w:bCs/>
          <w:szCs w:val="22"/>
          <w:lang w:eastAsia="en-US"/>
        </w:rPr>
      </w:pPr>
      <w:r w:rsidRPr="008676F9">
        <w:rPr>
          <w:rFonts w:ascii="Calibri" w:eastAsia="Calibri" w:hAnsi="Calibri" w:cs="Calibri"/>
          <w:bCs/>
          <w:szCs w:val="22"/>
          <w:lang w:eastAsia="en-US"/>
        </w:rPr>
        <w:t>Neoprávnené náklady:</w:t>
      </w:r>
    </w:p>
    <w:p w:rsidR="008676F9" w:rsidRPr="008676F9" w:rsidRDefault="008676F9" w:rsidP="00AA6566">
      <w:pPr>
        <w:rPr>
          <w:rFonts w:ascii="Calibri" w:eastAsia="Calibri" w:hAnsi="Calibri" w:cs="Calibri"/>
          <w:bCs/>
          <w:szCs w:val="22"/>
          <w:lang w:eastAsia="en-US"/>
        </w:rPr>
      </w:pPr>
      <w:r w:rsidRPr="008676F9">
        <w:rPr>
          <w:rFonts w:ascii="Calibri" w:eastAsia="Calibri" w:hAnsi="Calibri" w:cs="Calibri"/>
          <w:bCs/>
          <w:szCs w:val="22"/>
          <w:lang w:eastAsia="en-US"/>
        </w:rPr>
        <w:t>•</w:t>
      </w:r>
      <w:r w:rsidRPr="008676F9">
        <w:rPr>
          <w:rFonts w:ascii="Calibri" w:eastAsia="Calibri" w:hAnsi="Calibri" w:cs="Calibri"/>
          <w:bCs/>
          <w:szCs w:val="22"/>
          <w:lang w:eastAsia="en-US"/>
        </w:rPr>
        <w:tab/>
        <w:t>náhrady za stratu príjmov v dôsledku prírodnej katastrofy alebo katastrofickej udalosti;</w:t>
      </w:r>
    </w:p>
    <w:p w:rsidR="008676F9" w:rsidRPr="008676F9" w:rsidRDefault="008676F9" w:rsidP="00AA6566">
      <w:pPr>
        <w:rPr>
          <w:rFonts w:ascii="Calibri" w:eastAsia="Calibri" w:hAnsi="Calibri" w:cs="Calibri"/>
          <w:bCs/>
          <w:szCs w:val="22"/>
          <w:lang w:eastAsia="en-US"/>
        </w:rPr>
      </w:pPr>
      <w:r w:rsidRPr="008676F9">
        <w:rPr>
          <w:rFonts w:ascii="Calibri" w:eastAsia="Calibri" w:hAnsi="Calibri" w:cs="Calibri"/>
          <w:bCs/>
          <w:szCs w:val="22"/>
          <w:lang w:eastAsia="en-US"/>
        </w:rPr>
        <w:t>•</w:t>
      </w:r>
      <w:r w:rsidRPr="008676F9">
        <w:rPr>
          <w:rFonts w:ascii="Calibri" w:eastAsia="Calibri" w:hAnsi="Calibri" w:cs="Calibri"/>
          <w:bCs/>
          <w:szCs w:val="22"/>
          <w:lang w:eastAsia="en-US"/>
        </w:rPr>
        <w:tab/>
        <w:t>kúpa poľnohospodárskych práv, platobných nárokov, jednoročných rastlín a ich pestovanie;</w:t>
      </w:r>
    </w:p>
    <w:p w:rsidR="008676F9" w:rsidRPr="008676F9" w:rsidRDefault="008676F9" w:rsidP="00AA6566">
      <w:pPr>
        <w:rPr>
          <w:rFonts w:ascii="Calibri" w:eastAsia="Calibri" w:hAnsi="Calibri" w:cs="Calibri"/>
          <w:bCs/>
          <w:szCs w:val="22"/>
          <w:lang w:eastAsia="en-US"/>
        </w:rPr>
      </w:pPr>
      <w:r w:rsidRPr="008676F9">
        <w:rPr>
          <w:rFonts w:ascii="Calibri" w:eastAsia="Calibri" w:hAnsi="Calibri" w:cs="Calibri"/>
          <w:bCs/>
          <w:szCs w:val="22"/>
          <w:lang w:eastAsia="en-US"/>
        </w:rPr>
        <w:t>•</w:t>
      </w:r>
      <w:r w:rsidRPr="008676F9">
        <w:rPr>
          <w:rFonts w:ascii="Calibri" w:eastAsia="Calibri" w:hAnsi="Calibri" w:cs="Calibri"/>
          <w:bCs/>
          <w:szCs w:val="22"/>
          <w:lang w:eastAsia="en-US"/>
        </w:rPr>
        <w:tab/>
        <w:t>náklady na bežnú údržbu.</w:t>
      </w:r>
    </w:p>
    <w:p w:rsidR="008676F9" w:rsidRPr="008676F9" w:rsidRDefault="008676F9" w:rsidP="00AA6566">
      <w:pPr>
        <w:rPr>
          <w:rFonts w:ascii="Calibri" w:eastAsia="Calibri" w:hAnsi="Calibri" w:cs="Calibri"/>
          <w:bCs/>
          <w:szCs w:val="22"/>
          <w:lang w:eastAsia="en-US"/>
        </w:rPr>
      </w:pPr>
    </w:p>
    <w:p w:rsidR="008676F9" w:rsidRPr="008676F9" w:rsidRDefault="008676F9" w:rsidP="00AA6566">
      <w:pPr>
        <w:ind w:left="709" w:hanging="709"/>
        <w:rPr>
          <w:rFonts w:ascii="Calibri" w:eastAsia="Calibri" w:hAnsi="Calibri" w:cs="Calibri"/>
          <w:b/>
          <w:bCs/>
          <w:szCs w:val="22"/>
          <w:lang w:eastAsia="en-US"/>
        </w:rPr>
      </w:pPr>
      <w:r w:rsidRPr="008676F9">
        <w:rPr>
          <w:rFonts w:ascii="Calibri" w:eastAsia="Calibri" w:hAnsi="Calibri" w:cs="Calibri"/>
          <w:b/>
          <w:bCs/>
          <w:szCs w:val="22"/>
          <w:lang w:eastAsia="en-US"/>
        </w:rPr>
        <w:t>8.2.4.4. Overiteľnosť a kontrolovateľnosť opatrenia</w:t>
      </w:r>
    </w:p>
    <w:p w:rsidR="008676F9" w:rsidRPr="008676F9" w:rsidRDefault="008676F9" w:rsidP="00AA6566">
      <w:pPr>
        <w:rPr>
          <w:rFonts w:ascii="Calibri" w:eastAsia="Calibri" w:hAnsi="Calibri" w:cs="Calibri"/>
          <w:szCs w:val="22"/>
          <w:u w:val="single"/>
        </w:rPr>
      </w:pPr>
      <w:r w:rsidRPr="008676F9">
        <w:rPr>
          <w:rFonts w:ascii="Calibri" w:eastAsia="Calibri" w:hAnsi="Calibri" w:cs="Calibri"/>
          <w:szCs w:val="22"/>
          <w:u w:val="single"/>
        </w:rPr>
        <w:t>Riziko implementácie opatrenia:</w:t>
      </w:r>
    </w:p>
    <w:p w:rsidR="008676F9" w:rsidRPr="008676F9" w:rsidRDefault="008676F9" w:rsidP="00AA6566">
      <w:pPr>
        <w:rPr>
          <w:rFonts w:ascii="Calibri" w:eastAsia="Calibri" w:hAnsi="Calibri" w:cs="Calibri"/>
          <w:szCs w:val="22"/>
        </w:rPr>
      </w:pPr>
      <w:r w:rsidRPr="008676F9">
        <w:rPr>
          <w:rFonts w:ascii="Calibri" w:eastAsia="Calibri" w:hAnsi="Calibri" w:cs="Calibri"/>
          <w:szCs w:val="22"/>
        </w:rPr>
        <w:t>Výška oprávnených nákladov investície. Postupy verejného obstarávania.</w:t>
      </w:r>
    </w:p>
    <w:p w:rsidR="008676F9" w:rsidRPr="008676F9" w:rsidRDefault="008676F9" w:rsidP="00AA6566">
      <w:pPr>
        <w:rPr>
          <w:rFonts w:ascii="Calibri" w:eastAsia="Calibri" w:hAnsi="Calibri" w:cs="Calibri"/>
          <w:szCs w:val="22"/>
          <w:u w:val="single"/>
        </w:rPr>
      </w:pPr>
    </w:p>
    <w:p w:rsidR="008676F9" w:rsidRPr="008676F9" w:rsidRDefault="008676F9" w:rsidP="00AA6566">
      <w:pPr>
        <w:rPr>
          <w:rFonts w:ascii="Calibri" w:eastAsia="Calibri" w:hAnsi="Calibri" w:cs="Calibri"/>
          <w:szCs w:val="22"/>
          <w:u w:val="single"/>
        </w:rPr>
      </w:pPr>
      <w:r w:rsidRPr="008676F9">
        <w:rPr>
          <w:rFonts w:ascii="Calibri" w:eastAsia="Calibri" w:hAnsi="Calibri" w:cs="Calibri"/>
          <w:szCs w:val="22"/>
          <w:u w:val="single"/>
        </w:rPr>
        <w:t>Opatrenia na zmiernenie rizika implementácie:</w:t>
      </w:r>
    </w:p>
    <w:p w:rsidR="008676F9" w:rsidRPr="008676F9" w:rsidRDefault="008676F9" w:rsidP="00AA6566">
      <w:pPr>
        <w:rPr>
          <w:rFonts w:ascii="Calibri" w:eastAsia="Calibri" w:hAnsi="Calibri" w:cs="Calibri"/>
          <w:szCs w:val="22"/>
        </w:rPr>
      </w:pPr>
      <w:r w:rsidRPr="008676F9">
        <w:rPr>
          <w:rFonts w:ascii="Calibri" w:eastAsia="Calibri" w:hAnsi="Calibri" w:cs="Calibri"/>
          <w:szCs w:val="22"/>
        </w:rPr>
        <w:t>Povinnosť postupovať v zmysle zákona č. 25/2006 Z. z. o verejnom obstarávaní.</w:t>
      </w:r>
    </w:p>
    <w:p w:rsidR="008676F9" w:rsidRPr="008676F9" w:rsidRDefault="008676F9" w:rsidP="00AA6566">
      <w:pPr>
        <w:rPr>
          <w:rFonts w:ascii="Calibri" w:eastAsia="Calibri" w:hAnsi="Calibri" w:cs="Calibri"/>
          <w:szCs w:val="22"/>
          <w:u w:val="single"/>
        </w:rPr>
      </w:pPr>
      <w:r w:rsidRPr="008676F9">
        <w:rPr>
          <w:rFonts w:ascii="Calibri" w:eastAsia="Calibri" w:hAnsi="Calibri" w:cs="Calibri"/>
          <w:szCs w:val="22"/>
        </w:rPr>
        <w:t xml:space="preserve">Overiteľnosť a kontrolovateľnosť investícií je zabezpečená systémom administratívnych kontrol a kontrol na mieste v zmysle legislatívy upravujúcej kontroly investičných opatrení. </w:t>
      </w:r>
    </w:p>
    <w:p w:rsidR="008676F9" w:rsidRPr="008676F9" w:rsidRDefault="008676F9" w:rsidP="00AA6566">
      <w:pPr>
        <w:rPr>
          <w:rFonts w:ascii="Calibri" w:eastAsia="Calibri" w:hAnsi="Calibri" w:cs="Calibri"/>
          <w:szCs w:val="22"/>
          <w:u w:val="single"/>
        </w:rPr>
      </w:pPr>
    </w:p>
    <w:p w:rsidR="008676F9" w:rsidRPr="008676F9" w:rsidRDefault="008676F9" w:rsidP="00AA6566">
      <w:pPr>
        <w:rPr>
          <w:rFonts w:ascii="Calibri" w:eastAsia="Calibri" w:hAnsi="Calibri" w:cs="Calibri"/>
          <w:szCs w:val="22"/>
          <w:u w:val="single"/>
        </w:rPr>
      </w:pPr>
      <w:r w:rsidRPr="008676F9">
        <w:rPr>
          <w:rFonts w:ascii="Calibri" w:eastAsia="Calibri" w:hAnsi="Calibri" w:cs="Calibri"/>
          <w:szCs w:val="22"/>
          <w:u w:val="single"/>
        </w:rPr>
        <w:t>Celkové posúdenie opatrenia:</w:t>
      </w:r>
    </w:p>
    <w:p w:rsidR="008676F9" w:rsidRPr="008676F9" w:rsidRDefault="008676F9" w:rsidP="00AA6566">
      <w:pPr>
        <w:rPr>
          <w:rFonts w:ascii="Calibri" w:eastAsia="Calibri" w:hAnsi="Calibri" w:cs="Calibri"/>
          <w:szCs w:val="22"/>
        </w:rPr>
      </w:pPr>
      <w:r w:rsidRPr="008676F9">
        <w:rPr>
          <w:rFonts w:ascii="Calibri" w:eastAsia="Calibri" w:hAnsi="Calibri" w:cs="Calibri"/>
          <w:szCs w:val="22"/>
        </w:rPr>
        <w:t>Pri danom opatrení je možné dokumentovať stav pred investíciou a následne efektívne skontrolovať parametre investície fyzickou kontrolou oprávnených výdavkov na mieste po ukončení investície a taktiež oprávnenosť výdavkov administratívnou kontrolou.</w:t>
      </w:r>
      <w:r w:rsidRPr="008676F9">
        <w:rPr>
          <w:rFonts w:ascii="Calibri" w:eastAsia="Calibri" w:hAnsi="Calibri" w:cs="Calibri"/>
          <w:szCs w:val="22"/>
        </w:rPr>
        <w:br w:type="page"/>
      </w:r>
    </w:p>
    <w:p w:rsidR="00AA30CA" w:rsidRDefault="008676F9" w:rsidP="00AA30CA">
      <w:pPr>
        <w:pStyle w:val="Opatrenie"/>
      </w:pPr>
      <w:bookmarkStart w:id="83" w:name="_Toc387041324"/>
      <w:r w:rsidRPr="008676F9">
        <w:rPr>
          <w:smallCaps/>
        </w:rPr>
        <w:t>8.2.5 OPATRENIE   6</w:t>
      </w:r>
      <w:r w:rsidRPr="008676F9">
        <w:rPr>
          <w:smallCaps/>
        </w:rPr>
        <w:tab/>
      </w:r>
      <w:r w:rsidRPr="008676F9">
        <w:t>rozvoj poľnohospodárskych podnikov a</w:t>
      </w:r>
      <w:bookmarkEnd w:id="83"/>
      <w:r w:rsidRPr="008676F9">
        <w:t xml:space="preserve"> </w:t>
      </w:r>
    </w:p>
    <w:p w:rsidR="008676F9" w:rsidRPr="008676F9" w:rsidRDefault="008676F9" w:rsidP="00AA30CA">
      <w:pPr>
        <w:pStyle w:val="Opatrenie"/>
        <w:ind w:left="2556" w:firstLine="276"/>
        <w:rPr>
          <w:smallCaps/>
        </w:rPr>
      </w:pPr>
      <w:bookmarkStart w:id="84" w:name="_Toc387041325"/>
      <w:r w:rsidRPr="008676F9">
        <w:t>podnika</w:t>
      </w:r>
      <w:r w:rsidR="00955DA4">
        <w:t>teľskej činnosti</w:t>
      </w:r>
      <w:bookmarkEnd w:id="84"/>
    </w:p>
    <w:p w:rsidR="008676F9" w:rsidRPr="008676F9" w:rsidRDefault="008676F9" w:rsidP="00AA6566">
      <w:pPr>
        <w:ind w:left="720"/>
        <w:rPr>
          <w:rFonts w:ascii="Calibri" w:eastAsia="Calibri" w:hAnsi="Calibri" w:cs="Calibri"/>
          <w:szCs w:val="22"/>
          <w:lang w:eastAsia="en-US"/>
        </w:rPr>
      </w:pPr>
    </w:p>
    <w:p w:rsidR="008676F9" w:rsidRPr="008676F9" w:rsidRDefault="008676F9" w:rsidP="00AA6566">
      <w:pPr>
        <w:rPr>
          <w:rFonts w:ascii="Calibri" w:eastAsia="Calibri" w:hAnsi="Calibri" w:cs="Calibri"/>
          <w:b/>
          <w:bCs/>
          <w:szCs w:val="22"/>
          <w:lang w:eastAsia="en-US"/>
        </w:rPr>
      </w:pPr>
      <w:r w:rsidRPr="008676F9">
        <w:rPr>
          <w:rFonts w:ascii="Calibri" w:eastAsia="Calibri" w:hAnsi="Calibri" w:cs="Calibri"/>
          <w:b/>
          <w:bCs/>
          <w:szCs w:val="22"/>
          <w:lang w:eastAsia="en-US"/>
        </w:rPr>
        <w:t>8.2.5.1.Právny základ</w:t>
      </w:r>
    </w:p>
    <w:p w:rsidR="008676F9" w:rsidRPr="008676F9" w:rsidRDefault="008676F9" w:rsidP="00955DA4">
      <w:pPr>
        <w:numPr>
          <w:ilvl w:val="0"/>
          <w:numId w:val="121"/>
        </w:numPr>
        <w:rPr>
          <w:rFonts w:ascii="Calibri" w:hAnsi="Calibri" w:cs="Calibri"/>
          <w:szCs w:val="22"/>
        </w:rPr>
      </w:pPr>
      <w:r w:rsidRPr="008676F9">
        <w:rPr>
          <w:rFonts w:ascii="Calibri" w:hAnsi="Calibri" w:cs="Calibri"/>
          <w:szCs w:val="22"/>
        </w:rPr>
        <w:t xml:space="preserve">článok 19 nariadenia (EÚ) č. 1305/2013 o podpore rozvoja vidieka z EPFRV; </w:t>
      </w:r>
    </w:p>
    <w:p w:rsidR="008676F9" w:rsidRPr="008676F9" w:rsidRDefault="008676F9" w:rsidP="00955DA4">
      <w:pPr>
        <w:numPr>
          <w:ilvl w:val="0"/>
          <w:numId w:val="121"/>
        </w:numPr>
        <w:rPr>
          <w:rFonts w:ascii="Calibri" w:hAnsi="Calibri" w:cs="Calibri"/>
          <w:szCs w:val="22"/>
        </w:rPr>
      </w:pPr>
      <w:r w:rsidRPr="008676F9">
        <w:rPr>
          <w:rFonts w:ascii="Calibri" w:hAnsi="Calibri" w:cs="Calibri"/>
          <w:szCs w:val="22"/>
        </w:rPr>
        <w:t>článok 2, 5, 13 delegovaného nariadenia Komisie č. xxxx/2014;</w:t>
      </w:r>
    </w:p>
    <w:p w:rsidR="008676F9" w:rsidRPr="008676F9" w:rsidRDefault="008676F9" w:rsidP="00955DA4">
      <w:pPr>
        <w:numPr>
          <w:ilvl w:val="0"/>
          <w:numId w:val="121"/>
        </w:numPr>
        <w:rPr>
          <w:rFonts w:ascii="Calibri" w:hAnsi="Calibri" w:cs="Calibri"/>
          <w:szCs w:val="22"/>
        </w:rPr>
      </w:pPr>
      <w:r w:rsidRPr="008676F9">
        <w:rPr>
          <w:rFonts w:ascii="Calibri" w:hAnsi="Calibri" w:cs="Calibri"/>
          <w:szCs w:val="22"/>
        </w:rPr>
        <w:t>príloha I bod 8.6 vykonávacieho nariadenia Komisie č...../2014.</w:t>
      </w:r>
    </w:p>
    <w:p w:rsidR="008676F9" w:rsidRPr="008676F9" w:rsidRDefault="008676F9" w:rsidP="00AA6566">
      <w:pPr>
        <w:rPr>
          <w:rFonts w:ascii="Calibri" w:hAnsi="Calibri" w:cs="Calibri"/>
          <w:szCs w:val="22"/>
        </w:rPr>
      </w:pPr>
    </w:p>
    <w:p w:rsidR="008676F9" w:rsidRPr="008676F9" w:rsidRDefault="008676F9" w:rsidP="00AA6566">
      <w:pPr>
        <w:ind w:left="709" w:hanging="709"/>
        <w:rPr>
          <w:rFonts w:ascii="Calibri" w:hAnsi="Calibri" w:cs="Calibri"/>
          <w:b/>
          <w:szCs w:val="22"/>
        </w:rPr>
      </w:pPr>
      <w:r w:rsidRPr="008676F9">
        <w:rPr>
          <w:rFonts w:ascii="Calibri" w:hAnsi="Calibri" w:cs="Calibri"/>
          <w:b/>
          <w:szCs w:val="22"/>
        </w:rPr>
        <w:t>8.2.5.2. Všeobecný opis opatrenia vrátane intervenčnej logiky a príspevku k fokusovým oblastiam a prierezovým cieľom</w:t>
      </w:r>
    </w:p>
    <w:p w:rsidR="008676F9" w:rsidRPr="008676F9" w:rsidRDefault="008676F9" w:rsidP="00551D5C">
      <w:pPr>
        <w:spacing w:after="120"/>
        <w:rPr>
          <w:rFonts w:ascii="Calibri" w:eastAsia="Calibri" w:hAnsi="Calibri" w:cs="Calibri"/>
          <w:szCs w:val="22"/>
          <w:lang w:eastAsia="en-US"/>
        </w:rPr>
      </w:pPr>
      <w:r w:rsidRPr="008676F9">
        <w:rPr>
          <w:rFonts w:ascii="Calibri" w:eastAsia="Calibri" w:hAnsi="Calibri" w:cs="Calibri"/>
          <w:szCs w:val="22"/>
          <w:lang w:eastAsia="en-US"/>
        </w:rPr>
        <w:t xml:space="preserve">Poľnohospodárstvo predstavuje na vidieku jedno z mála odvetví, ktoré má potenciál vytvárať pracovné miesta a zamestnávať aj starších a menej kvalifikovaných zamestnancov, ktorí sa v inom odvetví nedokážu uplatniť. Zároveň predstavuje zastúpenie domácej produkcie na trhu a tvorbu pridanej hodnoty.  </w:t>
      </w:r>
    </w:p>
    <w:p w:rsidR="008676F9" w:rsidRPr="008676F9" w:rsidRDefault="008676F9" w:rsidP="00551D5C">
      <w:pPr>
        <w:spacing w:after="120"/>
        <w:rPr>
          <w:rFonts w:ascii="Calibri" w:eastAsia="Calibri" w:hAnsi="Calibri"/>
          <w:b/>
          <w:i/>
          <w:lang w:eastAsia="en-US"/>
        </w:rPr>
      </w:pPr>
      <w:r w:rsidRPr="008676F9">
        <w:rPr>
          <w:rFonts w:ascii="Calibri" w:eastAsia="Calibri" w:hAnsi="Calibri" w:cs="Calibri"/>
          <w:szCs w:val="22"/>
          <w:lang w:eastAsia="en-US"/>
        </w:rPr>
        <w:t xml:space="preserve">Priemerný vek pracovníkov v poľnohospodárstve sa od 90. rokov minulého storočia začína zvyšovať a poľnohospodárska populácia začína výrazne starnúť. Oproti minulosti, kedy v poľnohospodárstve pracovala cca jedna pätina až šestina trvalo činných pracovníkov v poproduktívnom veku, v roku 2011 predstavuje tento podiel už len 5,6 %. To znamená, že podiel poproduktívnych pracovníkov sa ďalej znižoval, ale priemerný vek sa výrazne zvyšoval. </w:t>
      </w:r>
      <w:r w:rsidRPr="008676F9">
        <w:rPr>
          <w:rFonts w:ascii="Calibri" w:eastAsia="Calibri" w:hAnsi="Calibri"/>
          <w:lang w:eastAsia="en-US"/>
        </w:rPr>
        <w:t xml:space="preserve">Ku koncu roka 1989 činil priemerný vek pracovníkov v poľnohospodárstve v SR 41,1 roka, v roku 2012 došlo k zvýšeniu na 46 rokov. V ostatných rokoch absentoval prísun mladej generácie a dochádzalo k zvyšovaniu podielu vyšších vekových kategórií zamestnancov. V podmienkach SR prevažujú poľnohospodárske podniky so starším manažmentom od 45-64 rokov, čo potvrdzuje fakt, že v roku 2010 bolo len 7,1% manažérov pod 35 rokov z celkového počtu 24 260 riadiacich pracovníkov na farmách. Podopatrenie 6.1 preto reaguje na potrebu podpory vstupu mladých poľnohospodárov do odvetvia poľnohospodárstva, ktorého implementácia prispeje k napĺňaniu fokusovej oblasti </w:t>
      </w:r>
      <w:r w:rsidRPr="008676F9">
        <w:rPr>
          <w:rFonts w:ascii="Calibri" w:eastAsia="Calibri" w:hAnsi="Calibri"/>
          <w:b/>
          <w:lang w:eastAsia="en-US"/>
        </w:rPr>
        <w:t>2B</w:t>
      </w:r>
      <w:r w:rsidRPr="008676F9">
        <w:rPr>
          <w:rFonts w:ascii="Calibri" w:eastAsia="Calibri" w:hAnsi="Calibri"/>
          <w:lang w:eastAsia="en-US"/>
        </w:rPr>
        <w:t xml:space="preserve"> </w:t>
      </w:r>
      <w:r w:rsidRPr="008676F9">
        <w:rPr>
          <w:rFonts w:ascii="Calibri" w:eastAsia="Calibri" w:hAnsi="Calibri"/>
          <w:b/>
          <w:i/>
          <w:lang w:eastAsia="en-US"/>
        </w:rPr>
        <w:t xml:space="preserve">Uľahčenie vstupu poľnohospodárov s primeranými zručnosťami do odvetvia poľnohospodárstva, a najmä generačnej výmeny tým, že </w:t>
      </w:r>
      <w:r w:rsidR="00955DA4">
        <w:rPr>
          <w:rFonts w:ascii="Calibri" w:eastAsia="Calibri" w:hAnsi="Calibri"/>
          <w:b/>
          <w:i/>
          <w:lang w:eastAsia="en-US"/>
        </w:rPr>
        <w:t xml:space="preserve">sa </w:t>
      </w:r>
      <w:r w:rsidRPr="008676F9">
        <w:rPr>
          <w:rFonts w:ascii="Calibri" w:eastAsia="Calibri" w:hAnsi="Calibri"/>
          <w:b/>
          <w:i/>
          <w:lang w:eastAsia="en-US"/>
        </w:rPr>
        <w:t>mladým poľnohospodárom do 40 rokov poskytne finančnú podporu na začatie ich poľnohospodárskej podnikateľskej činnosti.</w:t>
      </w:r>
    </w:p>
    <w:p w:rsidR="008676F9" w:rsidRPr="008676F9" w:rsidRDefault="008676F9" w:rsidP="00551D5C">
      <w:pPr>
        <w:spacing w:after="120"/>
        <w:rPr>
          <w:rFonts w:ascii="Calibri" w:eastAsia="Calibri" w:hAnsi="Calibri" w:cs="Calibri"/>
          <w:bCs/>
          <w:szCs w:val="22"/>
          <w:lang w:eastAsia="en-US"/>
        </w:rPr>
      </w:pPr>
      <w:r w:rsidRPr="008676F9">
        <w:rPr>
          <w:rFonts w:ascii="Calibri" w:eastAsia="Calibri" w:hAnsi="Calibri"/>
          <w:lang w:eastAsia="en-US"/>
        </w:rPr>
        <w:t xml:space="preserve">Slovenské poľnohospodárstvo je zároveň charakteristické duálnou štruktúrou výroby (82% podnikov, prevažne rodinného charakteru, obhospodaruje len 5% poľnohospodárskej pôdy, zvyšných 18% podnikov hospodári na 95%). Štruktúra fariem na Slovensku a ekonomicky rozhodujúca časť slovenského poľnohospodárstva je definovaná veľkými právnickými osobami (družstvá a obchodné spoločnosti), ktoré majú komparatívne výhody v kapitálovo náročnej rastlinnej výrobe, ako je produkcia obilnín a olejnín. Menej konkurencieschopné sú však v živočíšnej výrobe a špecializovanej rastlinnej výrobe, náročnej na prácu, ktorej produktivita pri porovnaní rokov na Slovensku klesá. Produkcia živočíšnej výroby a špecializovanej rastlinnej výroby na Slovensku, ale aj v celej EÚ, klesá a práve tu je prítomný potenciál malých fariem. Význam malých fariem narastá najmä v menej produkčných oblastiach Slovenska, ktoré majú značný potenciál najmä v nižších nákladoch. Podopatrenie 6.3 reaguje na potrebu podpory investičných aktivít malých poľnohospodárskych podnikov, ktoré majú obmedzený prístup k zdrojom financovania a ktoré prispeje k fokusovej oblasti </w:t>
      </w:r>
      <w:r w:rsidRPr="008676F9">
        <w:rPr>
          <w:rFonts w:ascii="Calibri" w:eastAsia="Calibri" w:hAnsi="Calibri"/>
          <w:b/>
          <w:lang w:eastAsia="en-US"/>
        </w:rPr>
        <w:t xml:space="preserve">2A </w:t>
      </w:r>
      <w:r w:rsidRPr="008676F9">
        <w:rPr>
          <w:rFonts w:ascii="Calibri" w:eastAsia="Calibri" w:hAnsi="Calibri" w:cs="Calibri"/>
          <w:b/>
          <w:bCs/>
          <w:i/>
          <w:szCs w:val="22"/>
          <w:lang w:eastAsia="en-US"/>
        </w:rPr>
        <w:t xml:space="preserve">Zlepšenie hospodárskeho výkonu všetkých poľnohospodárskych podnikov a uľahčenie reštrukturalizácie a modernizácie poľnohospodárskych podnikov, najmä na účely zvýšenia ich účasti na trhu, zamerania na trh a poľnohospodárskej diverzifikácie </w:t>
      </w:r>
      <w:r w:rsidRPr="008676F9">
        <w:rPr>
          <w:rFonts w:ascii="Calibri" w:eastAsia="Calibri" w:hAnsi="Calibri" w:cs="Calibri"/>
          <w:bCs/>
          <w:szCs w:val="22"/>
          <w:lang w:eastAsia="en-US"/>
        </w:rPr>
        <w:t>tým, že malým poľnohospodárskym podnikom umožní získať podporu na ich ekonomickú životaschopnosť.</w:t>
      </w:r>
    </w:p>
    <w:p w:rsidR="008676F9" w:rsidRPr="008676F9" w:rsidRDefault="008676F9" w:rsidP="00551D5C">
      <w:pPr>
        <w:spacing w:after="120"/>
        <w:rPr>
          <w:rFonts w:ascii="Calibri" w:eastAsia="Calibri" w:hAnsi="Calibri" w:cs="Calibri"/>
          <w:bCs/>
          <w:szCs w:val="22"/>
          <w:lang w:eastAsia="en-US"/>
        </w:rPr>
      </w:pPr>
      <w:r w:rsidRPr="008676F9">
        <w:rPr>
          <w:rFonts w:ascii="Calibri" w:eastAsia="Calibri" w:hAnsi="Calibri" w:cs="Calibri"/>
          <w:bCs/>
          <w:szCs w:val="22"/>
          <w:lang w:eastAsia="en-US"/>
        </w:rPr>
        <w:t>Živočíšna výroba má nezastupiteľný a multiprodukčný význam v štruktúre celého národného hospodárstva. Napriek tomu sa od roku 2002 do roku 2010 celková poľnohospodárska produkcia v bežných cenách znížila o 12,7%, čo bolo spôsobené aj poklesom celkovej hrubej živočíšnej produkcie až o 25,9%. Podiel hrubej živočíšnej produkcie na celkovej poľnohospodárskej produkcii sa v tomto období znížil o 8%.  Najväčší úbytok v živočíšnej výrobe predstavuje najmä pokles produkcie</w:t>
      </w:r>
      <w:r w:rsidRPr="008676F9">
        <w:rPr>
          <w:rFonts w:ascii="Calibri" w:eastAsia="Calibri" w:hAnsi="Calibri" w:cs="Calibri"/>
          <w:bCs/>
          <w:szCs w:val="22"/>
          <w:lang w:eastAsia="en-US"/>
        </w:rPr>
        <w:lastRenderedPageBreak/>
        <w:t xml:space="preserve"> hydiny (16,6%) a kritický úbytok pri ošípaných (63%). Podobná situácia je prítomná aj v oblasti špecializovanej rastlinnej výrobe, kde produkcia zeleniny pokrýva len 56,97% dopytu a ovocie mierneho pásma len 41,99%. Podopatrenia 6.1 a 6.3 preto reagujú na podporu týchto odvetví poľnohospodárstva, a to aj vzhľadom na to, že tento systém podpory je v podmienkach SR pilotným systémom a na dané podopatrenia je vyčlenený menší finančný objem.  Zároveň je však podpora pre mladých poľnohospodárov umožnená aj v rámci podopatrenia 4.1, kde je pre túto skupinu žiadateľov vyčlenený samostatný finančný objem investícii. Podpora malých poľnohospodárskych podnikov je zabezpečená aj prostredníctvom prístupu LEADER, v rámci ktorého sú pre implementáciu tohto podopatrenia vyčlenené ďalšie finančné prostriedky. </w:t>
      </w:r>
    </w:p>
    <w:p w:rsidR="008676F9" w:rsidRPr="008676F9" w:rsidRDefault="008676F9" w:rsidP="00551D5C">
      <w:pPr>
        <w:spacing w:after="120"/>
        <w:rPr>
          <w:rFonts w:ascii="Calibri" w:eastAsia="Calibri" w:hAnsi="Calibri"/>
          <w:lang w:eastAsia="en-US"/>
        </w:rPr>
      </w:pPr>
      <w:r w:rsidRPr="008676F9">
        <w:rPr>
          <w:rFonts w:ascii="Calibri" w:eastAsia="Calibri" w:hAnsi="Calibri"/>
          <w:lang w:eastAsia="en-US"/>
        </w:rPr>
        <w:t xml:space="preserve">Zamestnanosť v terciárnom sektore má na vidieku značný rastový potenciál. Podiel pracujúcich z celkového počtu obyvateľov v produktívnom veku príslušného regiónu (15-64 rokov) je vo vidieckych regiónoch podstatne nižší ako v mestských regiónoch. Podiel miery zamestnanosti vo vidieckych oblastiach činí 56,2%, ktorý je nižší ako celkovo pre SR (59,5%). Vyplýva to zo stále nedostatočnej ekonomickej infraštruktúry a nízkej podnikateľskej hustoty na vidieku. Miera zamestnanosti  vo vidieckych regiónoch bola v roku 2011 14,7%, čo je viac ako celková miera nezamestnanosti na SR (13,5%). </w:t>
      </w:r>
    </w:p>
    <w:p w:rsidR="008676F9" w:rsidRPr="008676F9" w:rsidRDefault="008676F9" w:rsidP="00551D5C">
      <w:pPr>
        <w:spacing w:after="120"/>
        <w:rPr>
          <w:rFonts w:ascii="Calibri" w:eastAsia="Calibri" w:hAnsi="Calibri"/>
          <w:lang w:eastAsia="en-US"/>
        </w:rPr>
      </w:pPr>
      <w:r w:rsidRPr="008676F9">
        <w:rPr>
          <w:rFonts w:ascii="Calibri" w:eastAsia="Calibri" w:hAnsi="Calibri"/>
          <w:lang w:eastAsia="en-US"/>
        </w:rPr>
        <w:t xml:space="preserve">Pôdohospodárstvo bolo v roku 2012 odvetvím s piatym najvyšším stavom uchádzačov o zamestnanie, ktorí majú obmedzené perspektívy reintegrácie do trhu práce a nízky potenciál širších zručností. Príspevok poľnohospodárskeho sektoru k zamestnanosti neustále klesá.  </w:t>
      </w:r>
    </w:p>
    <w:p w:rsidR="008676F9" w:rsidRPr="008676F9" w:rsidRDefault="008676F9" w:rsidP="00551D5C">
      <w:pPr>
        <w:spacing w:after="120"/>
        <w:rPr>
          <w:rFonts w:ascii="Calibri" w:eastAsia="Calibri" w:hAnsi="Calibri"/>
          <w:lang w:eastAsia="en-US"/>
        </w:rPr>
      </w:pPr>
      <w:r w:rsidRPr="008676F9">
        <w:rPr>
          <w:rFonts w:ascii="Calibri" w:eastAsia="Calibri" w:hAnsi="Calibri"/>
          <w:lang w:eastAsia="en-US"/>
        </w:rPr>
        <w:t xml:space="preserve">Zamestnanosť v lesnom hospodárstve v roku 2012 mierne stúpla (o 1,6%), kde sa čiastočné oživenie výroby v lesnom hospodárstve začalo pomaly premietať do stavu zamestnanosti. Aj napriek tomu podiel pracujúcich v lesnom hospodárstve na celkovom počte pracujúcich v národnom hospodárstve SR predstavoval v roku 2012 0,8%.  </w:t>
      </w:r>
    </w:p>
    <w:p w:rsidR="008676F9" w:rsidRPr="008676F9" w:rsidRDefault="008676F9" w:rsidP="00551D5C">
      <w:pPr>
        <w:spacing w:after="120"/>
        <w:rPr>
          <w:rFonts w:ascii="Calibri" w:eastAsia="Calibri" w:hAnsi="Calibri"/>
          <w:lang w:eastAsia="en-US"/>
        </w:rPr>
      </w:pPr>
      <w:r w:rsidRPr="008676F9">
        <w:rPr>
          <w:rFonts w:ascii="Calibri" w:eastAsia="Calibri" w:hAnsi="Calibri"/>
          <w:lang w:eastAsia="en-US"/>
        </w:rPr>
        <w:t xml:space="preserve">Podopatrenie 6.4 reaguje na potrebu udržania a vytvárania nových pracovných miest na vidieku, vrátane podpory diverzifikácie príjmu v oblasti poľnohospodárstva a lesného hospodárstva, realizácia ktorého prispeje k napĺňaniu fokusovej oblasti </w:t>
      </w:r>
      <w:r w:rsidRPr="008676F9">
        <w:rPr>
          <w:rFonts w:ascii="Calibri" w:eastAsia="Calibri" w:hAnsi="Calibri"/>
          <w:b/>
          <w:lang w:eastAsia="en-US"/>
        </w:rPr>
        <w:t xml:space="preserve">6A </w:t>
      </w:r>
      <w:r w:rsidRPr="008676F9">
        <w:rPr>
          <w:rFonts w:ascii="Calibri" w:eastAsia="Calibri" w:hAnsi="Calibri" w:cs="Calibri"/>
          <w:b/>
          <w:bCs/>
          <w:i/>
          <w:szCs w:val="22"/>
          <w:lang w:eastAsia="en-US"/>
        </w:rPr>
        <w:t>Uľahčenie diverzifikácie, zakladania a rozvoja malých podnikov ako aj  vytvárania pracovných miest.</w:t>
      </w:r>
      <w:r w:rsidRPr="008676F9">
        <w:rPr>
          <w:rFonts w:ascii="Calibri" w:eastAsia="Calibri" w:hAnsi="Calibri"/>
          <w:lang w:eastAsia="en-US"/>
        </w:rPr>
        <w:t xml:space="preserve"> </w:t>
      </w:r>
    </w:p>
    <w:p w:rsidR="008676F9" w:rsidRPr="008676F9" w:rsidRDefault="008676F9" w:rsidP="00551D5C">
      <w:pPr>
        <w:shd w:val="clear" w:color="auto" w:fill="FFFFFF"/>
        <w:spacing w:after="120"/>
        <w:rPr>
          <w:rFonts w:ascii="Calibri" w:eastAsia="Calibri" w:hAnsi="Calibri" w:cs="Calibri"/>
          <w:b/>
          <w:bCs/>
          <w:i/>
          <w:szCs w:val="22"/>
          <w:lang w:eastAsia="en-US"/>
        </w:rPr>
      </w:pPr>
      <w:r w:rsidRPr="008676F9">
        <w:rPr>
          <w:rFonts w:ascii="Calibri" w:eastAsia="Calibri" w:hAnsi="Calibri"/>
          <w:szCs w:val="22"/>
          <w:lang w:eastAsia="en-US"/>
        </w:rPr>
        <w:t xml:space="preserve">V podmienkach SR je značný potenciál využívania obnoviteľných zdrojov energie, ale zatiaľ využívaný len na cca 30 %. Drevná biomasa je v podmienkach SR významným dodatočným a vo väčšom rozsahu dostupným obnoviteľným zdrojom energie, čo vyplýva aj z povahy lesnatosti územia SR, ako aj veterná a solárna energia.  Aj vzhľadom na ambiciózne ciele zvyšovania energetickej bezpečnosti, ktoré stanovuje Smernica o podpore využívania obnoviteľných zdrojov energie (Renewable Energy Directive) 2009/28/EC je dôležité podporovať spracovanie a využívanie obnoviteľných zdrojov energie. Zároveň podpora OZE prispeje k posilneniu ekonomickej životaschopnosti daného podniku a zvýši jeho konkurencieschopnosť znížením jeho vlastných výrobných nákladov.  Podopatrenie 6.4 preto reaguje aj na potrebu zvýšenia využívania a spracovania drevnej biomasy a veternej a solárnej energie ako OZE, čo prispeje k napĺňaniu fokusovej oblasti </w:t>
      </w:r>
      <w:r w:rsidRPr="008676F9">
        <w:rPr>
          <w:rFonts w:ascii="Calibri" w:eastAsia="Calibri" w:hAnsi="Calibri"/>
          <w:b/>
          <w:szCs w:val="22"/>
          <w:lang w:eastAsia="en-US"/>
        </w:rPr>
        <w:t xml:space="preserve">5C </w:t>
      </w:r>
      <w:r w:rsidRPr="008676F9">
        <w:rPr>
          <w:rFonts w:ascii="Calibri" w:eastAsia="Calibri" w:hAnsi="Calibri" w:cs="Calibri"/>
          <w:b/>
          <w:bCs/>
          <w:i/>
          <w:szCs w:val="22"/>
          <w:lang w:eastAsia="en-US"/>
        </w:rPr>
        <w:t>Uľahčenie dodávok a využívania obnoviteľných zdrojov energie, vedľajších produktov, odpadov, zvyškov a iných nepotravinových surovín na účely bioekonomiky.</w:t>
      </w:r>
    </w:p>
    <w:p w:rsidR="008676F9" w:rsidRPr="008676F9" w:rsidRDefault="008676F9" w:rsidP="00AA6566">
      <w:pPr>
        <w:rPr>
          <w:rFonts w:ascii="Calibri" w:eastAsia="Calibri" w:hAnsi="Calibri" w:cs="Calibri"/>
          <w:bCs/>
          <w:szCs w:val="22"/>
          <w:lang w:eastAsia="en-US"/>
        </w:rPr>
      </w:pPr>
      <w:r w:rsidRPr="008676F9">
        <w:rPr>
          <w:rFonts w:ascii="Calibri" w:eastAsia="Calibri" w:hAnsi="Calibri" w:cs="Calibri"/>
          <w:bCs/>
          <w:szCs w:val="22"/>
          <w:lang w:eastAsia="en-US"/>
        </w:rPr>
        <w:t>Toto opatrenia bude zároveň prispievať k prierezovému cieľu:</w:t>
      </w:r>
      <w:r w:rsidRPr="008676F9">
        <w:rPr>
          <w:rFonts w:ascii="Calibri" w:eastAsia="Calibri" w:hAnsi="Calibri" w:cs="Calibri"/>
          <w:b/>
          <w:bCs/>
          <w:i/>
          <w:szCs w:val="22"/>
          <w:lang w:eastAsia="en-US"/>
        </w:rPr>
        <w:t xml:space="preserve"> inovácie, životné prostredie a klíma.</w:t>
      </w:r>
      <w:r w:rsidRPr="008676F9">
        <w:rPr>
          <w:rFonts w:ascii="Calibri" w:eastAsia="Calibri" w:hAnsi="Calibri" w:cs="Calibri"/>
          <w:bCs/>
          <w:szCs w:val="22"/>
          <w:lang w:eastAsia="en-US"/>
        </w:rPr>
        <w:t xml:space="preserve"> </w:t>
      </w:r>
    </w:p>
    <w:p w:rsidR="008676F9" w:rsidRDefault="008676F9" w:rsidP="00AA6566">
      <w:pPr>
        <w:rPr>
          <w:rFonts w:ascii="Calibri" w:eastAsia="Calibri" w:hAnsi="Calibri" w:cs="Calibri"/>
          <w:b/>
          <w:bCs/>
          <w:szCs w:val="22"/>
          <w:lang w:eastAsia="en-US"/>
        </w:rPr>
      </w:pPr>
    </w:p>
    <w:p w:rsidR="00BD13CE" w:rsidRDefault="00BD13CE">
      <w:pPr>
        <w:jc w:val="left"/>
        <w:rPr>
          <w:rFonts w:ascii="Calibri" w:eastAsia="Calibri" w:hAnsi="Calibri" w:cs="Calibri"/>
          <w:b/>
          <w:bCs/>
          <w:szCs w:val="22"/>
          <w:lang w:eastAsia="en-US"/>
        </w:rPr>
      </w:pPr>
      <w:r>
        <w:rPr>
          <w:rFonts w:ascii="Calibri" w:eastAsia="Calibri" w:hAnsi="Calibri" w:cs="Calibri"/>
          <w:b/>
          <w:bCs/>
          <w:szCs w:val="22"/>
          <w:lang w:eastAsia="en-US"/>
        </w:rPr>
        <w:br w:type="page"/>
      </w:r>
    </w:p>
    <w:p w:rsidR="008676F9" w:rsidRDefault="008676F9" w:rsidP="00AA6566">
      <w:pPr>
        <w:rPr>
          <w:rFonts w:ascii="Calibri" w:eastAsia="Calibri" w:hAnsi="Calibri" w:cs="Calibri"/>
          <w:bCs/>
          <w:szCs w:val="22"/>
          <w:lang w:eastAsia="en-US"/>
        </w:rPr>
      </w:pPr>
      <w:r w:rsidRPr="008676F9">
        <w:rPr>
          <w:rFonts w:ascii="Calibri" w:eastAsia="Calibri" w:hAnsi="Calibri" w:cs="Calibri"/>
          <w:b/>
          <w:bCs/>
          <w:szCs w:val="22"/>
          <w:lang w:eastAsia="en-US"/>
        </w:rPr>
        <w:t xml:space="preserve">8.2.5.3. Rozsah, úroveň podpory a ďalšie informácie </w:t>
      </w:r>
      <w:r w:rsidRPr="008676F9">
        <w:rPr>
          <w:rFonts w:ascii="Calibri" w:eastAsia="Calibri" w:hAnsi="Calibri" w:cs="Calibri"/>
          <w:bCs/>
          <w:szCs w:val="22"/>
          <w:lang w:eastAsia="en-US"/>
        </w:rPr>
        <w:t>(v členení podľa podopatrení a typov operácie)</w:t>
      </w:r>
    </w:p>
    <w:p w:rsidR="00A03A77" w:rsidRPr="008676F9" w:rsidRDefault="00A03A77" w:rsidP="00AA6566">
      <w:pPr>
        <w:rPr>
          <w:rFonts w:ascii="Calibri" w:eastAsia="Calibri" w:hAnsi="Calibri" w:cs="Calibri"/>
          <w:bCs/>
          <w:szCs w:val="22"/>
          <w:lang w:eastAsia="en-US"/>
        </w:rPr>
      </w:pPr>
    </w:p>
    <w:p w:rsidR="008676F9" w:rsidRPr="000E5C15" w:rsidRDefault="008676F9" w:rsidP="00A03A77">
      <w:pPr>
        <w:shd w:val="clear" w:color="auto" w:fill="D6E3BC"/>
        <w:ind w:left="1843" w:hanging="1843"/>
        <w:jc w:val="left"/>
        <w:rPr>
          <w:rFonts w:ascii="Calibri" w:eastAsia="Calibri" w:hAnsi="Calibri" w:cs="Calibri"/>
          <w:b/>
          <w:bCs/>
          <w:i/>
          <w:sz w:val="24"/>
          <w:lang w:eastAsia="en-US"/>
        </w:rPr>
      </w:pPr>
      <w:r w:rsidRPr="000E5C15">
        <w:rPr>
          <w:rFonts w:ascii="Calibri" w:eastAsia="Calibri" w:hAnsi="Calibri" w:cs="Calibri"/>
          <w:bCs/>
          <w:sz w:val="24"/>
          <w:lang w:eastAsia="en-US"/>
        </w:rPr>
        <w:t xml:space="preserve">Podopatrenie: </w:t>
      </w:r>
      <w:r w:rsidRPr="000E5C15">
        <w:rPr>
          <w:rFonts w:ascii="Calibri" w:eastAsia="Calibri" w:hAnsi="Calibri" w:cs="Calibri"/>
          <w:b/>
          <w:bCs/>
          <w:i/>
          <w:sz w:val="24"/>
          <w:lang w:eastAsia="en-US"/>
        </w:rPr>
        <w:t>6.1 Podpora na začatie podnika</w:t>
      </w:r>
      <w:r w:rsidR="00955DA4" w:rsidRPr="000E5C15">
        <w:rPr>
          <w:rFonts w:ascii="Calibri" w:eastAsia="Calibri" w:hAnsi="Calibri" w:cs="Calibri"/>
          <w:b/>
          <w:bCs/>
          <w:i/>
          <w:sz w:val="24"/>
          <w:lang w:eastAsia="en-US"/>
        </w:rPr>
        <w:t>teľskej činnosti</w:t>
      </w:r>
      <w:r w:rsidRPr="000E5C15">
        <w:rPr>
          <w:rFonts w:ascii="Calibri" w:eastAsia="Calibri" w:hAnsi="Calibri" w:cs="Calibri"/>
          <w:b/>
          <w:bCs/>
          <w:i/>
          <w:sz w:val="24"/>
          <w:lang w:eastAsia="en-US"/>
        </w:rPr>
        <w:t xml:space="preserve"> pre mladých poľnohospodárov</w:t>
      </w:r>
    </w:p>
    <w:p w:rsidR="008676F9" w:rsidRPr="008676F9" w:rsidRDefault="008676F9" w:rsidP="00AA6566">
      <w:pPr>
        <w:shd w:val="clear" w:color="auto" w:fill="FBD4B4"/>
        <w:rPr>
          <w:rFonts w:ascii="Calibri" w:eastAsia="Calibri" w:hAnsi="Calibri" w:cs="Calibri"/>
          <w:bCs/>
          <w:i/>
          <w:szCs w:val="22"/>
          <w:u w:val="single"/>
          <w:lang w:eastAsia="en-US"/>
        </w:rPr>
      </w:pPr>
      <w:r w:rsidRPr="008676F9">
        <w:rPr>
          <w:rFonts w:ascii="Calibri" w:eastAsia="Calibri" w:hAnsi="Calibri" w:cs="Calibri"/>
          <w:bCs/>
          <w:i/>
          <w:szCs w:val="22"/>
          <w:u w:val="single"/>
          <w:lang w:eastAsia="en-US"/>
        </w:rPr>
        <w:t>Názov operácie:</w:t>
      </w:r>
    </w:p>
    <w:p w:rsidR="008676F9" w:rsidRPr="008676F9" w:rsidRDefault="008676F9" w:rsidP="00AA6566">
      <w:pPr>
        <w:shd w:val="clear" w:color="auto" w:fill="FBD4B4"/>
        <w:rPr>
          <w:rFonts w:ascii="Calibri" w:eastAsia="Calibri" w:hAnsi="Calibri" w:cs="Calibri"/>
          <w:bCs/>
          <w:i/>
          <w:szCs w:val="22"/>
          <w:u w:val="single"/>
          <w:lang w:eastAsia="en-US"/>
        </w:rPr>
      </w:pPr>
      <w:r w:rsidRPr="008676F9">
        <w:rPr>
          <w:rFonts w:ascii="Calibri" w:eastAsia="Calibri" w:hAnsi="Calibri" w:cs="Calibri"/>
          <w:i/>
          <w:szCs w:val="22"/>
          <w:lang w:eastAsia="en-US"/>
        </w:rPr>
        <w:t xml:space="preserve">Uľahčenie vstupu mladých poľnohospodárov s primeranými zručnosťami do poľnohospodárstva </w:t>
      </w:r>
    </w:p>
    <w:p w:rsidR="008676F9" w:rsidRPr="008676F9" w:rsidRDefault="008676F9" w:rsidP="00AA6566">
      <w:pPr>
        <w:rPr>
          <w:rFonts w:ascii="Calibri" w:eastAsia="Calibri" w:hAnsi="Calibri" w:cs="Calibri"/>
          <w:bCs/>
          <w:szCs w:val="22"/>
          <w:u w:val="single"/>
          <w:lang w:eastAsia="en-US"/>
        </w:rPr>
      </w:pPr>
    </w:p>
    <w:p w:rsidR="008676F9" w:rsidRPr="008676F9" w:rsidRDefault="008676F9" w:rsidP="00AA6566">
      <w:pPr>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Opis operácie:</w:t>
      </w:r>
    </w:p>
    <w:p w:rsidR="008676F9" w:rsidRPr="008676F9" w:rsidRDefault="008676F9" w:rsidP="00AA6566">
      <w:pPr>
        <w:rPr>
          <w:rFonts w:ascii="Calibri" w:hAnsi="Calibri" w:cs="Calibri"/>
          <w:szCs w:val="22"/>
          <w:lang w:eastAsia="en-US"/>
        </w:rPr>
      </w:pPr>
      <w:r w:rsidRPr="008676F9">
        <w:rPr>
          <w:rFonts w:ascii="Calibri" w:hAnsi="Calibri" w:cs="Calibri"/>
          <w:szCs w:val="22"/>
          <w:lang w:eastAsia="en-US"/>
        </w:rPr>
        <w:t xml:space="preserve">Podpora sa poskytuje mladému poľnohospodárovi na začatie jeho podnikateľskej činnosti v oblasti živočíšnej a špecializovanej rastlinnej výroby na realizáciu podnikateľského plánu. </w:t>
      </w:r>
    </w:p>
    <w:p w:rsidR="008676F9" w:rsidRPr="008676F9" w:rsidRDefault="008676F9" w:rsidP="00AA6566">
      <w:pPr>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Typ podpory:</w:t>
      </w:r>
    </w:p>
    <w:p w:rsidR="008676F9" w:rsidRPr="008676F9" w:rsidRDefault="008676F9" w:rsidP="00955DA4">
      <w:pPr>
        <w:numPr>
          <w:ilvl w:val="0"/>
          <w:numId w:val="122"/>
        </w:numPr>
        <w:rPr>
          <w:rFonts w:ascii="Calibri" w:hAnsi="Calibri" w:cs="Calibri"/>
          <w:szCs w:val="22"/>
          <w:lang w:eastAsia="en-US"/>
        </w:rPr>
      </w:pPr>
      <w:r w:rsidRPr="008676F9">
        <w:rPr>
          <w:rFonts w:ascii="Calibri" w:hAnsi="Calibri" w:cs="Calibri"/>
          <w:szCs w:val="22"/>
          <w:lang w:eastAsia="en-US"/>
        </w:rPr>
        <w:t>podpora na začatie podnikania vo forme nenávratného finančného príspevku – paušálna platba.</w:t>
      </w:r>
    </w:p>
    <w:p w:rsidR="00551D5C" w:rsidRDefault="00551D5C" w:rsidP="00AA6566">
      <w:pPr>
        <w:rPr>
          <w:rFonts w:ascii="Calibri" w:eastAsia="Calibri" w:hAnsi="Calibri" w:cs="Calibri"/>
          <w:bCs/>
          <w:szCs w:val="22"/>
          <w:u w:val="single"/>
          <w:lang w:eastAsia="en-US"/>
        </w:rPr>
      </w:pPr>
    </w:p>
    <w:p w:rsidR="008676F9" w:rsidRPr="008676F9" w:rsidRDefault="008676F9" w:rsidP="00AA6566">
      <w:pPr>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Súvislosť s inou legislatívou:</w:t>
      </w:r>
    </w:p>
    <w:p w:rsidR="008676F9" w:rsidRPr="008676F9" w:rsidRDefault="008676F9" w:rsidP="001F3673">
      <w:pPr>
        <w:spacing w:after="120"/>
        <w:rPr>
          <w:rFonts w:ascii="Calibri" w:hAnsi="Calibri" w:cs="Calibri"/>
          <w:szCs w:val="22"/>
        </w:rPr>
      </w:pPr>
      <w:r w:rsidRPr="008676F9">
        <w:rPr>
          <w:rFonts w:ascii="Calibri" w:hAnsi="Calibri" w:cs="Calibri"/>
          <w:szCs w:val="22"/>
        </w:rPr>
        <w:t xml:space="preserve">Podpora v rámci tejto operácie dopĺňa/nadväzuje na podporu v oblasti zamestnanosti v rámci </w:t>
      </w:r>
      <w:r w:rsidRPr="008676F9">
        <w:rPr>
          <w:rFonts w:ascii="Calibri" w:hAnsi="Calibri" w:cs="Calibri"/>
          <w:b/>
          <w:szCs w:val="22"/>
        </w:rPr>
        <w:t>OP Ľudské zdroje</w:t>
      </w:r>
      <w:r w:rsidRPr="008676F9">
        <w:rPr>
          <w:rFonts w:ascii="Calibri" w:hAnsi="Calibri" w:cs="Calibri"/>
          <w:szCs w:val="22"/>
        </w:rPr>
        <w:t xml:space="preserve">  tým, že poskytuje podporu pre subjekty, ktoré majú oprávnenie podnikať (t.j. nie nezamestnaných), a to formou </w:t>
      </w:r>
      <w:r w:rsidRPr="008676F9">
        <w:rPr>
          <w:rFonts w:ascii="Calibri" w:hAnsi="Calibri" w:cs="Calibri"/>
          <w:b/>
          <w:szCs w:val="22"/>
        </w:rPr>
        <w:t>paušálnej platby</w:t>
      </w:r>
      <w:r w:rsidRPr="008676F9">
        <w:rPr>
          <w:rFonts w:ascii="Calibri" w:hAnsi="Calibri" w:cs="Calibri"/>
          <w:szCs w:val="22"/>
        </w:rPr>
        <w:t xml:space="preserve"> pre </w:t>
      </w:r>
      <w:r w:rsidRPr="008676F9">
        <w:rPr>
          <w:rFonts w:ascii="Calibri" w:hAnsi="Calibri" w:cs="Calibri"/>
          <w:i/>
          <w:szCs w:val="22"/>
        </w:rPr>
        <w:t>mladého poľnohospodára</w:t>
      </w:r>
      <w:r w:rsidRPr="008676F9">
        <w:rPr>
          <w:rFonts w:ascii="Calibri" w:hAnsi="Calibri" w:cs="Calibri"/>
          <w:szCs w:val="22"/>
        </w:rPr>
        <w:t>, ktorý po prvýkrát zakladá poľnohospodársky podnik.</w:t>
      </w:r>
    </w:p>
    <w:p w:rsidR="008676F9" w:rsidRPr="008676F9" w:rsidRDefault="008676F9" w:rsidP="00AA6566">
      <w:pPr>
        <w:rPr>
          <w:rFonts w:ascii="Calibri" w:eastAsia="Calibri" w:hAnsi="Calibri"/>
          <w:iCs/>
        </w:rPr>
      </w:pPr>
      <w:r w:rsidRPr="008676F9">
        <w:rPr>
          <w:rFonts w:ascii="Calibri" w:eastAsia="Calibri" w:hAnsi="Calibri"/>
          <w:iCs/>
        </w:rPr>
        <w:t xml:space="preserve">Podpora v rámci tejto operácie dopĺňa/nadväzuje na podporu v rámci </w:t>
      </w:r>
      <w:r w:rsidRPr="008676F9">
        <w:rPr>
          <w:rFonts w:ascii="Calibri" w:eastAsia="Calibri" w:hAnsi="Calibri"/>
          <w:b/>
          <w:iCs/>
        </w:rPr>
        <w:t>„schémy pre mladých farmárov“ I. piliera Spoločnej poľnohospodárskej politiky v oblasti priamych platieb</w:t>
      </w:r>
      <w:r w:rsidRPr="008676F9">
        <w:rPr>
          <w:rFonts w:ascii="Calibri" w:eastAsia="Calibri" w:hAnsi="Calibri"/>
          <w:iCs/>
        </w:rPr>
        <w:t>, ktorej cieľom je rovnako uľahčiť mladým poľnohospodárom zakladanie podnikov a to zvýšenou mierou základného príjmu farmára prostredníctvom poskytnutia ročnej platby navyše k základnej platbe, ktorá zmierňuje riziko problémov súvisiacich s podnikaním (v rámci tejto operácie sa poskytuje podpora na podnikateľský plán na začatie podnikateľskej činnosti).</w:t>
      </w:r>
    </w:p>
    <w:p w:rsidR="008676F9" w:rsidRPr="008676F9" w:rsidRDefault="008676F9" w:rsidP="00AA6566">
      <w:pPr>
        <w:rPr>
          <w:rFonts w:ascii="Calibri" w:eastAsia="Calibri" w:hAnsi="Calibri" w:cs="Calibri"/>
          <w:bCs/>
          <w:color w:val="FF0000"/>
          <w:szCs w:val="22"/>
          <w:u w:val="single"/>
          <w:lang w:eastAsia="en-US"/>
        </w:rPr>
      </w:pPr>
    </w:p>
    <w:p w:rsidR="008676F9" w:rsidRPr="008676F9" w:rsidRDefault="008676F9" w:rsidP="00AA6566">
      <w:pPr>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Prijímateľ podpory:</w:t>
      </w:r>
    </w:p>
    <w:p w:rsidR="008676F9" w:rsidRPr="008676F9" w:rsidRDefault="008676F9" w:rsidP="00AA6566">
      <w:pPr>
        <w:autoSpaceDE w:val="0"/>
        <w:autoSpaceDN w:val="0"/>
        <w:adjustRightInd w:val="0"/>
        <w:rPr>
          <w:rFonts w:ascii="Calibri" w:eastAsia="Calibri" w:hAnsi="Calibri" w:cs="Calibri"/>
          <w:szCs w:val="22"/>
          <w:lang w:eastAsia="en-US"/>
        </w:rPr>
      </w:pPr>
      <w:r w:rsidRPr="008676F9">
        <w:rPr>
          <w:rFonts w:ascii="Calibri" w:eastAsia="Calibri" w:hAnsi="Calibri" w:cs="Calibri"/>
          <w:i/>
          <w:szCs w:val="22"/>
          <w:lang w:eastAsia="en-US"/>
        </w:rPr>
        <w:t>Samostatne hospodáriaci roľník</w:t>
      </w:r>
      <w:r w:rsidRPr="008676F9">
        <w:rPr>
          <w:rFonts w:ascii="Calibri" w:eastAsia="Calibri" w:hAnsi="Calibri" w:cs="Calibri"/>
          <w:szCs w:val="22"/>
          <w:lang w:eastAsia="en-US"/>
        </w:rPr>
        <w:t xml:space="preserve"> – mladý poľnohospodár, tzn. fyzická osoba (mikropodnik alebo malý podnik v zmysle odporúčania Komisie 2003/361/ES), ktorá  vykonáva poľnohospodársku výrobu ako sústavnú a samostatnú činnosť pod vlastným menom, na vlastnú zodpovednosť a za účelom dosiahnutia zisku, ktorý je hlavným zdrojom jeho príjmu. Táto fyzická osoba nedosiahla</w:t>
      </w:r>
      <w:r w:rsidR="00955DA4">
        <w:rPr>
          <w:rFonts w:ascii="Calibri" w:eastAsia="Calibri" w:hAnsi="Calibri" w:cs="Calibri"/>
          <w:szCs w:val="22"/>
          <w:lang w:eastAsia="en-US"/>
        </w:rPr>
        <w:t xml:space="preserve"> do 01.01.2014</w:t>
      </w:r>
      <w:r w:rsidRPr="008676F9">
        <w:rPr>
          <w:rFonts w:ascii="Calibri" w:eastAsia="Calibri" w:hAnsi="Calibri" w:cs="Calibri"/>
          <w:szCs w:val="22"/>
          <w:lang w:eastAsia="en-US"/>
        </w:rPr>
        <w:t xml:space="preserve"> vek 40 rokov, má zodpovedajúce profesijné zručnosti a schopnosti a prvýkrát zakladá poľnohospodársky podnik ako jeho najvyšší predstaviteľ alebo tento podnik založil najviac 5 rokov pred podaním ŽoNFP.</w:t>
      </w:r>
    </w:p>
    <w:p w:rsidR="00AA6566" w:rsidRDefault="00AA6566" w:rsidP="00AA6566">
      <w:pPr>
        <w:rPr>
          <w:rFonts w:ascii="Calibri" w:eastAsia="Calibri" w:hAnsi="Calibri" w:cs="Calibri"/>
          <w:bCs/>
          <w:szCs w:val="22"/>
          <w:u w:val="single"/>
          <w:lang w:eastAsia="en-US"/>
        </w:rPr>
      </w:pPr>
    </w:p>
    <w:p w:rsidR="008676F9" w:rsidRPr="008676F9" w:rsidRDefault="008676F9" w:rsidP="00AA6566">
      <w:pPr>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Oprávnené náklady:</w:t>
      </w:r>
    </w:p>
    <w:p w:rsidR="008676F9" w:rsidRPr="008676F9" w:rsidRDefault="008676F9" w:rsidP="001F3673">
      <w:pPr>
        <w:spacing w:after="120"/>
        <w:rPr>
          <w:rFonts w:ascii="Calibri" w:eastAsia="Calibri" w:hAnsi="Calibri" w:cs="Calibri"/>
          <w:szCs w:val="22"/>
          <w:lang w:eastAsia="en-US"/>
        </w:rPr>
      </w:pPr>
      <w:r w:rsidRPr="008676F9">
        <w:rPr>
          <w:rFonts w:ascii="Calibri" w:eastAsia="Calibri" w:hAnsi="Calibri" w:cs="Calibri"/>
          <w:szCs w:val="22"/>
          <w:lang w:eastAsia="en-US"/>
        </w:rPr>
        <w:t xml:space="preserve">Prijímateľ podpory nie je povinný preukazovať skutočný účel použitia </w:t>
      </w:r>
      <w:r w:rsidR="00AD2E19">
        <w:rPr>
          <w:rFonts w:ascii="Calibri" w:eastAsia="Calibri" w:hAnsi="Calibri" w:cs="Calibri"/>
          <w:szCs w:val="22"/>
          <w:lang w:eastAsia="en-US"/>
        </w:rPr>
        <w:t>NFP</w:t>
      </w:r>
      <w:r w:rsidRPr="008676F9">
        <w:rPr>
          <w:rFonts w:ascii="Calibri" w:eastAsia="Calibri" w:hAnsi="Calibri" w:cs="Calibri"/>
          <w:szCs w:val="22"/>
          <w:lang w:eastAsia="en-US"/>
        </w:rPr>
        <w:t xml:space="preserve"> na jednotlivé typy nákladov uvedených v podnikateľskom pláne.</w:t>
      </w:r>
    </w:p>
    <w:p w:rsidR="008676F9" w:rsidRPr="008676F9" w:rsidRDefault="008676F9" w:rsidP="00AA6566">
      <w:pPr>
        <w:rPr>
          <w:rFonts w:ascii="Calibri" w:eastAsia="Calibri" w:hAnsi="Calibri" w:cs="Calibri"/>
          <w:szCs w:val="22"/>
          <w:lang w:eastAsia="en-US"/>
        </w:rPr>
      </w:pPr>
      <w:r w:rsidRPr="008676F9">
        <w:rPr>
          <w:rFonts w:ascii="Calibri" w:eastAsia="Calibri" w:hAnsi="Calibri" w:cs="Calibri"/>
          <w:szCs w:val="22"/>
          <w:lang w:eastAsia="en-US"/>
        </w:rPr>
        <w:t xml:space="preserve">Zároveň je však povinný preukázať, že realizácia jeho poľnohospodárskej činnosti je v súlade s podnikateľským plánom. </w:t>
      </w:r>
    </w:p>
    <w:p w:rsidR="008676F9" w:rsidRPr="008676F9" w:rsidRDefault="008676F9" w:rsidP="00AA6566">
      <w:pPr>
        <w:rPr>
          <w:rFonts w:ascii="Calibri" w:eastAsia="Calibri" w:hAnsi="Calibri" w:cs="Calibri"/>
          <w:bCs/>
          <w:szCs w:val="22"/>
          <w:u w:val="single"/>
          <w:lang w:eastAsia="en-US"/>
        </w:rPr>
      </w:pPr>
    </w:p>
    <w:p w:rsidR="008676F9" w:rsidRPr="008676F9" w:rsidRDefault="008676F9" w:rsidP="00AA6566">
      <w:pPr>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Podmienky oprávnenosti:</w:t>
      </w:r>
    </w:p>
    <w:p w:rsidR="00955DA4" w:rsidRPr="008676F9" w:rsidRDefault="00955DA4" w:rsidP="00955DA4">
      <w:pPr>
        <w:numPr>
          <w:ilvl w:val="0"/>
          <w:numId w:val="38"/>
        </w:numPr>
        <w:spacing w:after="120"/>
        <w:ind w:left="425" w:hanging="357"/>
        <w:rPr>
          <w:rFonts w:ascii="Calibri" w:hAnsi="Calibri" w:cs="Arial"/>
          <w:bCs/>
          <w:szCs w:val="22"/>
          <w:u w:val="single"/>
          <w:lang w:eastAsia="en-US"/>
        </w:rPr>
      </w:pPr>
      <w:r w:rsidRPr="008676F9">
        <w:rPr>
          <w:rFonts w:ascii="Calibri" w:hAnsi="Calibri" w:cs="Arial"/>
          <w:b/>
          <w:szCs w:val="22"/>
          <w:lang w:eastAsia="en-US"/>
        </w:rPr>
        <w:t>Podiel</w:t>
      </w:r>
      <w:r w:rsidRPr="008676F9">
        <w:rPr>
          <w:rFonts w:ascii="Calibri" w:hAnsi="Calibri" w:cs="Arial"/>
          <w:szCs w:val="22"/>
          <w:lang w:eastAsia="en-US"/>
        </w:rPr>
        <w:t xml:space="preserve"> poľnohospodárskej produkcie, uvádzanej na trh, na celkovej poľnohospodárskej produkcii podniku je </w:t>
      </w:r>
      <w:r w:rsidRPr="008676F9">
        <w:rPr>
          <w:rFonts w:ascii="Calibri" w:hAnsi="Calibri" w:cs="Arial"/>
          <w:b/>
          <w:szCs w:val="22"/>
          <w:lang w:eastAsia="en-US"/>
        </w:rPr>
        <w:t>vyšší ako 30%</w:t>
      </w:r>
      <w:r>
        <w:rPr>
          <w:rFonts w:ascii="Calibri" w:hAnsi="Calibri" w:cs="Arial"/>
          <w:b/>
          <w:szCs w:val="22"/>
          <w:lang w:eastAsia="en-US"/>
        </w:rPr>
        <w:t xml:space="preserve"> </w:t>
      </w:r>
      <w:r w:rsidRPr="00955DA4">
        <w:rPr>
          <w:rFonts w:ascii="Calibri" w:hAnsi="Calibri" w:cs="Arial"/>
          <w:szCs w:val="22"/>
          <w:lang w:eastAsia="en-US"/>
        </w:rPr>
        <w:t>(vychádza z finančného vyjadrenia v súlade s účtovníctvom);</w:t>
      </w:r>
    </w:p>
    <w:p w:rsidR="00955DA4" w:rsidRPr="008676F9" w:rsidRDefault="00955DA4" w:rsidP="00955DA4">
      <w:pPr>
        <w:numPr>
          <w:ilvl w:val="0"/>
          <w:numId w:val="38"/>
        </w:numPr>
        <w:shd w:val="clear" w:color="auto" w:fill="FFFFFF"/>
        <w:ind w:left="426" w:hanging="426"/>
        <w:contextualSpacing/>
        <w:rPr>
          <w:rFonts w:ascii="Calibri" w:eastAsia="Calibri" w:hAnsi="Calibri" w:cs="Calibri"/>
          <w:szCs w:val="22"/>
          <w:lang w:eastAsia="en-US"/>
        </w:rPr>
      </w:pPr>
      <w:r w:rsidRPr="008676F9">
        <w:rPr>
          <w:rFonts w:ascii="Calibri" w:eastAsia="Calibri" w:hAnsi="Calibri" w:cs="Calibri"/>
          <w:szCs w:val="22"/>
          <w:lang w:eastAsia="en-US"/>
        </w:rPr>
        <w:t xml:space="preserve">predloženie podnikateľského plánu s nasledovnými minimálnymi požiadavkami: </w:t>
      </w:r>
    </w:p>
    <w:p w:rsidR="00955DA4" w:rsidRPr="008676F9" w:rsidRDefault="00955DA4" w:rsidP="00955DA4">
      <w:pPr>
        <w:numPr>
          <w:ilvl w:val="0"/>
          <w:numId w:val="57"/>
        </w:numPr>
        <w:ind w:hanging="294"/>
        <w:rPr>
          <w:rFonts w:ascii="Calibri" w:eastAsia="Calibri" w:hAnsi="Calibri" w:cs="Calibri"/>
          <w:i/>
          <w:szCs w:val="22"/>
          <w:lang w:eastAsia="en-US"/>
        </w:rPr>
      </w:pPr>
      <w:r w:rsidRPr="008676F9">
        <w:rPr>
          <w:rFonts w:ascii="Calibri" w:eastAsia="Calibri" w:hAnsi="Calibri" w:cs="Calibri"/>
          <w:i/>
          <w:szCs w:val="22"/>
          <w:lang w:eastAsia="en-US"/>
        </w:rPr>
        <w:t>počiatočná situácia podniku;</w:t>
      </w:r>
    </w:p>
    <w:p w:rsidR="00955DA4" w:rsidRPr="006A6B3A" w:rsidRDefault="00955DA4" w:rsidP="00955DA4">
      <w:pPr>
        <w:numPr>
          <w:ilvl w:val="0"/>
          <w:numId w:val="57"/>
        </w:numPr>
        <w:ind w:hanging="294"/>
        <w:rPr>
          <w:rFonts w:ascii="Calibri" w:eastAsia="Calibri" w:hAnsi="Calibri" w:cs="Calibri"/>
          <w:i/>
          <w:szCs w:val="22"/>
          <w:lang w:eastAsia="en-US"/>
        </w:rPr>
      </w:pPr>
      <w:r w:rsidRPr="008676F9">
        <w:rPr>
          <w:rFonts w:ascii="Calibri" w:eastAsia="Calibri" w:hAnsi="Calibri" w:cs="Calibri"/>
          <w:i/>
          <w:szCs w:val="22"/>
          <w:lang w:eastAsia="en-US"/>
        </w:rPr>
        <w:t xml:space="preserve">plánované </w:t>
      </w:r>
      <w:r w:rsidRPr="006A6B3A">
        <w:rPr>
          <w:rFonts w:ascii="Calibri" w:eastAsia="Calibri" w:hAnsi="Calibri" w:cs="Calibri"/>
          <w:i/>
          <w:szCs w:val="22"/>
          <w:lang w:eastAsia="en-US"/>
        </w:rPr>
        <w:t>ciele;</w:t>
      </w:r>
    </w:p>
    <w:p w:rsidR="00955DA4" w:rsidRPr="006A6B3A" w:rsidRDefault="00955DA4" w:rsidP="00955DA4">
      <w:pPr>
        <w:numPr>
          <w:ilvl w:val="0"/>
          <w:numId w:val="57"/>
        </w:numPr>
        <w:ind w:hanging="294"/>
        <w:rPr>
          <w:rFonts w:ascii="Calibri" w:eastAsia="Calibri" w:hAnsi="Calibri" w:cs="Calibri"/>
          <w:i/>
          <w:szCs w:val="22"/>
          <w:lang w:eastAsia="en-US"/>
        </w:rPr>
      </w:pPr>
      <w:r w:rsidRPr="006A6B3A">
        <w:rPr>
          <w:rFonts w:ascii="Calibri" w:eastAsia="Calibri" w:hAnsi="Calibri" w:cs="Calibri"/>
          <w:i/>
          <w:szCs w:val="22"/>
          <w:lang w:eastAsia="en-US"/>
        </w:rPr>
        <w:t>údaje o činnostiach/aktivitách na dosiahnutie stanovených cieľov, vrátane tých, ktoré sa týkajú trvalej udržateľnosti životného prostredia, efektívnosti využívania zdrojov a rozpočtu;</w:t>
      </w:r>
    </w:p>
    <w:p w:rsidR="00955DA4" w:rsidRPr="008676F9" w:rsidRDefault="00955DA4" w:rsidP="00955DA4">
      <w:pPr>
        <w:numPr>
          <w:ilvl w:val="0"/>
          <w:numId w:val="57"/>
        </w:numPr>
        <w:ind w:hanging="294"/>
        <w:rPr>
          <w:rFonts w:ascii="Calibri" w:hAnsi="Calibri" w:cs="Calibri"/>
          <w:i/>
          <w:szCs w:val="22"/>
          <w:lang w:eastAsia="en-US"/>
        </w:rPr>
      </w:pPr>
      <w:r w:rsidRPr="006A6B3A">
        <w:rPr>
          <w:rFonts w:ascii="Calibri" w:hAnsi="Calibri" w:cs="Calibri"/>
          <w:i/>
          <w:szCs w:val="22"/>
          <w:lang w:eastAsia="en-US"/>
        </w:rPr>
        <w:t>v podnikateľskom pláne sa uvádza, že mladý poľnohospodár do 18 mesiacov odo dňa začatia činnosti splní požiadavku na aktívneho</w:t>
      </w:r>
      <w:r w:rsidRPr="008676F9">
        <w:rPr>
          <w:rFonts w:ascii="Calibri" w:hAnsi="Calibri" w:cs="Calibri"/>
          <w:i/>
          <w:szCs w:val="22"/>
          <w:lang w:eastAsia="en-US"/>
        </w:rPr>
        <w:t xml:space="preserve"> poľnohospodára</w:t>
      </w:r>
      <w:r w:rsidRPr="008676F9">
        <w:rPr>
          <w:rFonts w:ascii="Calibri" w:hAnsi="Calibri" w:cs="Calibri"/>
          <w:i/>
          <w:szCs w:val="22"/>
          <w:vertAlign w:val="superscript"/>
          <w:lang w:eastAsia="en-US"/>
        </w:rPr>
        <w:t xml:space="preserve"> </w:t>
      </w:r>
      <w:r w:rsidRPr="008676F9">
        <w:rPr>
          <w:rFonts w:ascii="Calibri" w:hAnsi="Calibri" w:cs="Calibri"/>
          <w:i/>
          <w:szCs w:val="22"/>
          <w:lang w:eastAsia="en-US"/>
        </w:rPr>
        <w:t>podľa čl. 9 nariadenia (EÚ) č. 1307/2013 o priamych platbách;</w:t>
      </w:r>
    </w:p>
    <w:p w:rsidR="00955DA4" w:rsidRPr="008676F9" w:rsidRDefault="00955DA4" w:rsidP="00955DA4">
      <w:pPr>
        <w:numPr>
          <w:ilvl w:val="0"/>
          <w:numId w:val="57"/>
        </w:numPr>
        <w:ind w:left="714" w:hanging="357"/>
        <w:rPr>
          <w:rFonts w:ascii="Calibri" w:hAnsi="Calibri" w:cs="Calibri"/>
          <w:i/>
          <w:szCs w:val="22"/>
          <w:lang w:eastAsia="en-US"/>
        </w:rPr>
      </w:pPr>
      <w:r w:rsidRPr="008676F9">
        <w:rPr>
          <w:rFonts w:ascii="Calibri" w:hAnsi="Calibri" w:cs="Calibri"/>
          <w:i/>
          <w:szCs w:val="22"/>
          <w:lang w:eastAsia="en-US"/>
        </w:rPr>
        <w:t>v podnikateľskom pláne sa uvádza, že podiel poľnohospodárskej produkcie, uvádzanej na trh, z celkovej poľnohospodárskej produkcie je vyšší ako 30%</w:t>
      </w:r>
      <w:r>
        <w:rPr>
          <w:rFonts w:ascii="Calibri" w:hAnsi="Calibri" w:cs="Calibri"/>
          <w:i/>
          <w:szCs w:val="22"/>
          <w:lang w:eastAsia="en-US"/>
        </w:rPr>
        <w:t xml:space="preserve"> (vychádza z finančného vyjadrenia v súlade s účtovníctvom</w:t>
      </w:r>
      <w:r w:rsidRPr="008676F9">
        <w:rPr>
          <w:rFonts w:ascii="Calibri" w:hAnsi="Calibri" w:cs="Calibri"/>
          <w:i/>
          <w:szCs w:val="22"/>
          <w:lang w:eastAsia="en-US"/>
        </w:rPr>
        <w:t>;</w:t>
      </w:r>
    </w:p>
    <w:p w:rsidR="00955DA4" w:rsidRPr="008676F9" w:rsidRDefault="00955DA4" w:rsidP="00955DA4">
      <w:pPr>
        <w:numPr>
          <w:ilvl w:val="0"/>
          <w:numId w:val="57"/>
        </w:numPr>
        <w:spacing w:after="120"/>
        <w:ind w:hanging="295"/>
        <w:rPr>
          <w:rFonts w:ascii="Calibri" w:hAnsi="Calibri" w:cs="Calibri"/>
          <w:i/>
          <w:szCs w:val="22"/>
          <w:lang w:eastAsia="en-US"/>
        </w:rPr>
      </w:pPr>
      <w:r w:rsidRPr="008676F9">
        <w:rPr>
          <w:rFonts w:ascii="Calibri" w:hAnsi="Calibri" w:cs="Calibri"/>
          <w:i/>
          <w:szCs w:val="22"/>
          <w:lang w:eastAsia="en-US"/>
        </w:rPr>
        <w:t>ď</w:t>
      </w:r>
      <w:r w:rsidRPr="008676F9">
        <w:rPr>
          <w:rFonts w:ascii="Calibri" w:eastAsia="Calibri" w:hAnsi="Calibri" w:cs="Calibri"/>
          <w:i/>
          <w:szCs w:val="22"/>
          <w:lang w:eastAsia="en-US"/>
        </w:rPr>
        <w:t>alšie požiadavky súvisiace s obsahom podnikateľského plánu budú stanovené v Príručke pre žiadateľa o poskytnutie NFP</w:t>
      </w:r>
      <w:r w:rsidRPr="008676F9">
        <w:rPr>
          <w:rFonts w:ascii="Calibri" w:eastAsia="Calibri" w:hAnsi="Calibri" w:cs="Calibri"/>
          <w:b/>
          <w:bCs/>
          <w:i/>
          <w:szCs w:val="22"/>
          <w:lang w:eastAsia="en-US"/>
        </w:rPr>
        <w:t xml:space="preserve">. </w:t>
      </w:r>
    </w:p>
    <w:p w:rsidR="00955DA4" w:rsidRPr="008676F9" w:rsidRDefault="00955DA4" w:rsidP="00BD13CE">
      <w:pPr>
        <w:numPr>
          <w:ilvl w:val="0"/>
          <w:numId w:val="38"/>
        </w:numPr>
        <w:spacing w:after="120"/>
        <w:ind w:left="426" w:hanging="284"/>
        <w:rPr>
          <w:rFonts w:ascii="Calibri" w:eastAsia="Calibri" w:hAnsi="Calibri" w:cs="Calibri"/>
          <w:bCs/>
          <w:szCs w:val="22"/>
          <w:lang w:eastAsia="en-US"/>
        </w:rPr>
      </w:pPr>
      <w:r w:rsidRPr="008676F9">
        <w:rPr>
          <w:rFonts w:ascii="Calibri" w:eastAsia="Calibri" w:hAnsi="Calibri" w:cs="Calibri"/>
          <w:bCs/>
          <w:szCs w:val="22"/>
          <w:lang w:eastAsia="en-US"/>
        </w:rPr>
        <w:t xml:space="preserve">realizácia podnikateľského plánu sa musí začať do 9 mesiacov od dátumu </w:t>
      </w:r>
      <w:r>
        <w:rPr>
          <w:rFonts w:ascii="Calibri" w:eastAsia="Calibri" w:hAnsi="Calibri" w:cs="Calibri"/>
          <w:bCs/>
          <w:szCs w:val="22"/>
          <w:lang w:eastAsia="en-US"/>
        </w:rPr>
        <w:t>podpisu Zmluvy o poskytnutí nenávratného finančného príspevku</w:t>
      </w:r>
      <w:r w:rsidRPr="008676F9">
        <w:rPr>
          <w:rFonts w:ascii="Calibri" w:eastAsia="Calibri" w:hAnsi="Calibri" w:cs="Calibri"/>
          <w:bCs/>
          <w:szCs w:val="22"/>
          <w:lang w:eastAsia="en-US"/>
        </w:rPr>
        <w:t>;</w:t>
      </w:r>
    </w:p>
    <w:p w:rsidR="00955DA4" w:rsidRPr="008676F9" w:rsidRDefault="00955DA4" w:rsidP="00955DA4">
      <w:pPr>
        <w:numPr>
          <w:ilvl w:val="0"/>
          <w:numId w:val="38"/>
        </w:numPr>
        <w:ind w:left="426" w:hanging="284"/>
        <w:rPr>
          <w:rFonts w:ascii="Calibri" w:eastAsia="Calibri" w:hAnsi="Calibri" w:cs="Calibri"/>
          <w:bCs/>
          <w:szCs w:val="22"/>
          <w:lang w:eastAsia="en-US"/>
        </w:rPr>
      </w:pPr>
      <w:r w:rsidRPr="008676F9">
        <w:rPr>
          <w:rFonts w:ascii="Calibri" w:hAnsi="Calibri" w:cs="Calibri"/>
          <w:szCs w:val="22"/>
          <w:lang w:eastAsia="en-US"/>
        </w:rPr>
        <w:t>z</w:t>
      </w:r>
      <w:r w:rsidRPr="008676F9">
        <w:rPr>
          <w:rFonts w:ascii="Calibri" w:eastAsia="Calibri" w:hAnsi="Calibri" w:cs="Calibri"/>
          <w:szCs w:val="22"/>
          <w:lang w:eastAsia="en-US"/>
        </w:rPr>
        <w:t>odpovedajúce primerané zručnosti a schopnosti</w:t>
      </w:r>
      <w:r w:rsidRPr="008676F9">
        <w:rPr>
          <w:rFonts w:ascii="Calibri" w:eastAsia="Calibri" w:hAnsi="Calibri"/>
          <w:szCs w:val="22"/>
          <w:vertAlign w:val="superscript"/>
          <w:lang w:eastAsia="en-US"/>
        </w:rPr>
        <w:footnoteReference w:id="15"/>
      </w:r>
      <w:r w:rsidRPr="008676F9">
        <w:rPr>
          <w:rFonts w:ascii="Calibri" w:eastAsia="Calibri" w:hAnsi="Calibri" w:cs="Calibri"/>
          <w:szCs w:val="22"/>
          <w:lang w:eastAsia="en-US"/>
        </w:rPr>
        <w:t xml:space="preserve">: </w:t>
      </w:r>
    </w:p>
    <w:p w:rsidR="00955DA4" w:rsidRPr="008676F9" w:rsidRDefault="00955DA4" w:rsidP="00955DA4">
      <w:pPr>
        <w:numPr>
          <w:ilvl w:val="1"/>
          <w:numId w:val="58"/>
        </w:numPr>
        <w:ind w:left="709" w:hanging="283"/>
        <w:rPr>
          <w:rFonts w:ascii="Calibri" w:hAnsi="Calibri" w:cs="Calibri"/>
          <w:szCs w:val="22"/>
          <w:lang w:eastAsia="en-US"/>
        </w:rPr>
      </w:pPr>
      <w:r>
        <w:rPr>
          <w:rFonts w:ascii="Calibri" w:hAnsi="Calibri" w:cs="Calibri"/>
          <w:szCs w:val="22"/>
          <w:lang w:eastAsia="en-US"/>
        </w:rPr>
        <w:t xml:space="preserve">minimálne stredoškolské vzdelanie v oblasti </w:t>
      </w:r>
      <w:r w:rsidRPr="008676F9">
        <w:rPr>
          <w:rFonts w:ascii="Calibri" w:hAnsi="Calibri" w:cs="Calibri"/>
          <w:szCs w:val="22"/>
          <w:lang w:eastAsia="en-US"/>
        </w:rPr>
        <w:t>poľnohospodárs</w:t>
      </w:r>
      <w:r>
        <w:rPr>
          <w:rFonts w:ascii="Calibri" w:hAnsi="Calibri" w:cs="Calibri"/>
          <w:szCs w:val="22"/>
          <w:lang w:eastAsia="en-US"/>
        </w:rPr>
        <w:t>tva</w:t>
      </w:r>
      <w:r w:rsidRPr="008676F9">
        <w:rPr>
          <w:rFonts w:ascii="Calibri" w:hAnsi="Calibri" w:cs="Calibri"/>
          <w:szCs w:val="22"/>
          <w:lang w:eastAsia="en-US"/>
        </w:rPr>
        <w:t xml:space="preserve"> alebo potravinárs</w:t>
      </w:r>
      <w:r>
        <w:rPr>
          <w:rFonts w:ascii="Calibri" w:hAnsi="Calibri" w:cs="Calibri"/>
          <w:szCs w:val="22"/>
          <w:lang w:eastAsia="en-US"/>
        </w:rPr>
        <w:t>tva</w:t>
      </w:r>
      <w:r w:rsidRPr="008676F9">
        <w:rPr>
          <w:rFonts w:ascii="Calibri" w:hAnsi="Calibri" w:cs="Calibri"/>
          <w:szCs w:val="22"/>
          <w:lang w:eastAsia="en-US"/>
        </w:rPr>
        <w:t xml:space="preserve"> </w:t>
      </w:r>
      <w:r w:rsidRPr="008676F9">
        <w:rPr>
          <w:rFonts w:ascii="Calibri" w:hAnsi="Calibri" w:cs="Calibri"/>
          <w:b/>
          <w:szCs w:val="22"/>
          <w:lang w:eastAsia="en-US"/>
        </w:rPr>
        <w:t>ALEBO</w:t>
      </w:r>
    </w:p>
    <w:p w:rsidR="00955DA4" w:rsidRPr="008676F9" w:rsidRDefault="00955DA4" w:rsidP="00955DA4">
      <w:pPr>
        <w:numPr>
          <w:ilvl w:val="1"/>
          <w:numId w:val="58"/>
        </w:numPr>
        <w:ind w:left="709" w:hanging="283"/>
        <w:rPr>
          <w:rFonts w:ascii="Calibri" w:hAnsi="Calibri" w:cs="Calibri"/>
          <w:szCs w:val="22"/>
          <w:lang w:eastAsia="en-US"/>
        </w:rPr>
      </w:pPr>
      <w:r w:rsidRPr="008676F9">
        <w:rPr>
          <w:rFonts w:ascii="Calibri" w:hAnsi="Calibri" w:cs="Calibri"/>
          <w:szCs w:val="22"/>
          <w:lang w:eastAsia="en-US"/>
        </w:rPr>
        <w:t>min. 2 roky praxe v poľnohospodárstve a absolvovanie akreditovaného  poradenského kurzu (programu) zameraného na poľnohospodárske podnikanie. Za prax sa nepovažuje prax v administratíve;</w:t>
      </w:r>
    </w:p>
    <w:p w:rsidR="00955DA4" w:rsidRPr="008676F9" w:rsidRDefault="00955DA4" w:rsidP="00955DA4">
      <w:pPr>
        <w:numPr>
          <w:ilvl w:val="1"/>
          <w:numId w:val="58"/>
        </w:numPr>
        <w:spacing w:after="120"/>
        <w:ind w:left="709" w:hanging="283"/>
        <w:rPr>
          <w:rFonts w:ascii="Calibri" w:hAnsi="Calibri" w:cs="Calibri"/>
          <w:szCs w:val="22"/>
          <w:lang w:eastAsia="en-US"/>
        </w:rPr>
      </w:pPr>
      <w:r w:rsidRPr="008676F9">
        <w:rPr>
          <w:rFonts w:ascii="Calibri" w:eastAsia="Calibri" w:hAnsi="Calibri" w:cs="Calibri"/>
          <w:szCs w:val="22"/>
          <w:lang w:eastAsia="en-US"/>
        </w:rPr>
        <w:t xml:space="preserve">v prípade potreby môže byť na splnenie tejto podmienky poskytnutá tolerančná lehota max. 36 mesiacov </w:t>
      </w:r>
      <w:r>
        <w:rPr>
          <w:rFonts w:ascii="Calibri" w:eastAsia="Calibri" w:hAnsi="Calibri" w:cs="Calibri"/>
          <w:szCs w:val="22"/>
          <w:lang w:eastAsia="en-US"/>
        </w:rPr>
        <w:t xml:space="preserve">od </w:t>
      </w:r>
      <w:r w:rsidRPr="008676F9">
        <w:rPr>
          <w:rFonts w:ascii="Calibri" w:eastAsia="Calibri" w:hAnsi="Calibri" w:cs="Calibri"/>
          <w:bCs/>
          <w:szCs w:val="22"/>
          <w:lang w:eastAsia="en-US"/>
        </w:rPr>
        <w:t xml:space="preserve">dátumu </w:t>
      </w:r>
      <w:r>
        <w:rPr>
          <w:rFonts w:ascii="Calibri" w:eastAsia="Calibri" w:hAnsi="Calibri" w:cs="Calibri"/>
          <w:bCs/>
          <w:szCs w:val="22"/>
          <w:lang w:eastAsia="en-US"/>
        </w:rPr>
        <w:t>podpisu Zmluvy o poskytnutí nenávratného finančného príspevku</w:t>
      </w:r>
      <w:r w:rsidRPr="008676F9">
        <w:rPr>
          <w:rFonts w:ascii="Calibri" w:eastAsia="Calibri" w:hAnsi="Calibri" w:cs="Calibri"/>
          <w:szCs w:val="22"/>
          <w:lang w:eastAsia="en-US"/>
        </w:rPr>
        <w:t>, pokiaľ je tento zámer súčasťou podnikateľského plánu;</w:t>
      </w:r>
    </w:p>
    <w:p w:rsidR="00955DA4" w:rsidRPr="008676F9" w:rsidRDefault="00955DA4" w:rsidP="00955DA4">
      <w:pPr>
        <w:numPr>
          <w:ilvl w:val="0"/>
          <w:numId w:val="38"/>
        </w:numPr>
        <w:autoSpaceDE w:val="0"/>
        <w:autoSpaceDN w:val="0"/>
        <w:adjustRightInd w:val="0"/>
        <w:spacing w:after="120"/>
        <w:ind w:left="426" w:hanging="284"/>
        <w:rPr>
          <w:rFonts w:ascii="Calibri" w:hAnsi="Calibri" w:cs="Calibri"/>
          <w:bCs/>
          <w:szCs w:val="22"/>
          <w:lang w:eastAsia="en-US"/>
        </w:rPr>
      </w:pPr>
      <w:r w:rsidRPr="008676F9">
        <w:rPr>
          <w:rFonts w:ascii="Calibri" w:hAnsi="Calibri" w:cs="Calibri"/>
          <w:bCs/>
          <w:szCs w:val="22"/>
          <w:lang w:eastAsia="en-US"/>
        </w:rPr>
        <w:t xml:space="preserve">žiadateľ musí spolu s podaním poslednej </w:t>
      </w:r>
      <w:r>
        <w:rPr>
          <w:rFonts w:ascii="Calibri" w:hAnsi="Calibri" w:cs="Calibri"/>
          <w:bCs/>
          <w:szCs w:val="22"/>
          <w:lang w:eastAsia="en-US"/>
        </w:rPr>
        <w:t>žiadosti o platbu</w:t>
      </w:r>
      <w:r w:rsidRPr="008676F9">
        <w:rPr>
          <w:rFonts w:ascii="Calibri" w:hAnsi="Calibri" w:cs="Calibri"/>
          <w:bCs/>
          <w:szCs w:val="22"/>
          <w:lang w:eastAsia="en-US"/>
        </w:rPr>
        <w:t xml:space="preserve"> preukázať, že tržby z RV a/alebo ŽV presahujú 30 % z celkových tržieb podniku;</w:t>
      </w:r>
    </w:p>
    <w:p w:rsidR="00955DA4" w:rsidRPr="008676F9" w:rsidRDefault="00955DA4" w:rsidP="00955DA4">
      <w:pPr>
        <w:numPr>
          <w:ilvl w:val="0"/>
          <w:numId w:val="38"/>
        </w:numPr>
        <w:autoSpaceDE w:val="0"/>
        <w:autoSpaceDN w:val="0"/>
        <w:adjustRightInd w:val="0"/>
        <w:ind w:left="426" w:hanging="284"/>
        <w:contextualSpacing/>
        <w:rPr>
          <w:rFonts w:ascii="Calibri" w:hAnsi="Calibri" w:cs="Calibri"/>
          <w:bCs/>
          <w:szCs w:val="22"/>
          <w:lang w:eastAsia="en-US"/>
        </w:rPr>
      </w:pPr>
      <w:r w:rsidRPr="008676F9">
        <w:rPr>
          <w:rFonts w:ascii="Calibri" w:hAnsi="Calibri" w:cs="Calibri"/>
          <w:bCs/>
          <w:szCs w:val="22"/>
          <w:lang w:eastAsia="en-US"/>
        </w:rPr>
        <w:t xml:space="preserve">predloženie potvrdenia, že príjemca podpory nie je príjemcom podpory </w:t>
      </w:r>
      <w:r>
        <w:rPr>
          <w:rFonts w:ascii="Calibri" w:hAnsi="Calibri" w:cs="Calibri"/>
          <w:bCs/>
          <w:szCs w:val="22"/>
          <w:lang w:eastAsia="en-US"/>
        </w:rPr>
        <w:t xml:space="preserve">rovnakého projektového zámeru v rámci </w:t>
      </w:r>
      <w:r w:rsidRPr="008676F9">
        <w:rPr>
          <w:rFonts w:ascii="Calibri" w:hAnsi="Calibri" w:cs="Calibri"/>
          <w:bCs/>
          <w:szCs w:val="22"/>
          <w:lang w:eastAsia="en-US"/>
        </w:rPr>
        <w:t>opatrenia LEADER.</w:t>
      </w:r>
    </w:p>
    <w:p w:rsidR="008676F9" w:rsidRPr="008676F9" w:rsidRDefault="008676F9" w:rsidP="00AA6566">
      <w:pPr>
        <w:rPr>
          <w:rFonts w:ascii="Calibri" w:eastAsia="Calibri" w:hAnsi="Calibri" w:cs="Calibri"/>
          <w:bCs/>
          <w:szCs w:val="22"/>
          <w:u w:val="single"/>
          <w:lang w:eastAsia="en-US"/>
        </w:rPr>
      </w:pPr>
    </w:p>
    <w:p w:rsidR="008676F9" w:rsidRPr="008676F9" w:rsidRDefault="008676F9" w:rsidP="00AA6566">
      <w:pPr>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Princípy nastavenia výberových kritérií:</w:t>
      </w:r>
    </w:p>
    <w:p w:rsidR="008676F9" w:rsidRPr="008676F9" w:rsidRDefault="008676F9" w:rsidP="00BD13CE">
      <w:pPr>
        <w:numPr>
          <w:ilvl w:val="0"/>
          <w:numId w:val="163"/>
        </w:numPr>
        <w:ind w:left="284" w:hanging="284"/>
        <w:rPr>
          <w:rFonts w:ascii="Calibri" w:eastAsia="Calibri" w:hAnsi="Calibri" w:cs="Calibri"/>
          <w:bCs/>
          <w:szCs w:val="22"/>
          <w:lang w:eastAsia="en-US"/>
        </w:rPr>
      </w:pPr>
      <w:r w:rsidRPr="008676F9">
        <w:rPr>
          <w:rFonts w:ascii="Calibri" w:eastAsia="Calibri" w:hAnsi="Calibri" w:cs="Calibri"/>
          <w:bCs/>
          <w:szCs w:val="22"/>
          <w:lang w:eastAsia="en-US"/>
        </w:rPr>
        <w:t>uprednostnené budú projekty s vyšším podielom poľnohospodárskej produkcie uvádzanej na trh;</w:t>
      </w:r>
    </w:p>
    <w:p w:rsidR="008676F9" w:rsidRPr="008676F9" w:rsidRDefault="008676F9" w:rsidP="00BD13CE">
      <w:pPr>
        <w:numPr>
          <w:ilvl w:val="0"/>
          <w:numId w:val="163"/>
        </w:numPr>
        <w:ind w:left="284" w:hanging="284"/>
        <w:rPr>
          <w:rFonts w:ascii="Calibri" w:eastAsia="Calibri" w:hAnsi="Calibri" w:cs="Calibri"/>
          <w:bCs/>
          <w:szCs w:val="22"/>
          <w:lang w:eastAsia="en-US"/>
        </w:rPr>
      </w:pPr>
      <w:r w:rsidRPr="008676F9">
        <w:rPr>
          <w:rFonts w:ascii="Calibri" w:eastAsia="Calibri" w:hAnsi="Calibri" w:cs="Calibri"/>
          <w:bCs/>
          <w:szCs w:val="22"/>
          <w:lang w:eastAsia="en-US"/>
        </w:rPr>
        <w:t>uprednostnené budú integrované projekty;</w:t>
      </w:r>
    </w:p>
    <w:p w:rsidR="008676F9" w:rsidRDefault="008676F9" w:rsidP="00BD13CE">
      <w:pPr>
        <w:numPr>
          <w:ilvl w:val="0"/>
          <w:numId w:val="163"/>
        </w:numPr>
        <w:ind w:left="284" w:hanging="284"/>
        <w:rPr>
          <w:rFonts w:ascii="Calibri" w:eastAsia="Calibri" w:hAnsi="Calibri" w:cs="Calibri"/>
          <w:bCs/>
          <w:szCs w:val="22"/>
          <w:lang w:eastAsia="en-US"/>
        </w:rPr>
      </w:pPr>
      <w:r w:rsidRPr="008676F9">
        <w:rPr>
          <w:rFonts w:ascii="Calibri" w:eastAsia="Calibri" w:hAnsi="Calibri" w:cs="Calibri"/>
          <w:bCs/>
          <w:szCs w:val="22"/>
          <w:lang w:eastAsia="en-US"/>
        </w:rPr>
        <w:t>uprednostnené budú projekty s vyšším počtom vytvorených pracovných miest;</w:t>
      </w:r>
    </w:p>
    <w:p w:rsidR="006A6B3A" w:rsidRPr="008676F9" w:rsidRDefault="006A6B3A" w:rsidP="009D42CC">
      <w:pPr>
        <w:numPr>
          <w:ilvl w:val="0"/>
          <w:numId w:val="163"/>
        </w:numPr>
        <w:ind w:left="284" w:hanging="284"/>
        <w:jc w:val="left"/>
        <w:rPr>
          <w:rFonts w:ascii="Calibri" w:eastAsia="Calibri" w:hAnsi="Calibri" w:cs="Calibri"/>
          <w:bCs/>
          <w:szCs w:val="22"/>
          <w:lang w:eastAsia="en-US"/>
        </w:rPr>
      </w:pPr>
      <w:r>
        <w:rPr>
          <w:rFonts w:ascii="Calibri" w:eastAsia="Calibri" w:hAnsi="Calibri" w:cs="Calibri"/>
          <w:bCs/>
          <w:szCs w:val="22"/>
          <w:lang w:eastAsia="en-US"/>
        </w:rPr>
        <w:t>uprednostnené budú podnikateľské plány zamerané na využívanie nevyužívaných poľnohospodárskych dvorov pred podporou nových stavieb;</w:t>
      </w:r>
    </w:p>
    <w:p w:rsidR="008676F9" w:rsidRPr="008676F9" w:rsidRDefault="008676F9" w:rsidP="00BD13CE">
      <w:pPr>
        <w:numPr>
          <w:ilvl w:val="0"/>
          <w:numId w:val="163"/>
        </w:numPr>
        <w:ind w:left="284" w:hanging="284"/>
        <w:rPr>
          <w:rFonts w:ascii="Calibri" w:eastAsia="Calibri" w:hAnsi="Calibri" w:cs="Calibri"/>
          <w:bCs/>
          <w:szCs w:val="22"/>
          <w:lang w:eastAsia="en-US"/>
        </w:rPr>
      </w:pPr>
      <w:r w:rsidRPr="008676F9">
        <w:rPr>
          <w:rFonts w:ascii="Calibri" w:eastAsia="Calibri" w:hAnsi="Calibri" w:cs="Calibri"/>
          <w:bCs/>
          <w:szCs w:val="22"/>
          <w:lang w:eastAsia="en-US"/>
        </w:rPr>
        <w:t>uprednostnení budú žiadatelia s kratšou podnikateľskou históriou.</w:t>
      </w:r>
    </w:p>
    <w:p w:rsidR="008676F9" w:rsidRPr="008676F9" w:rsidRDefault="008676F9" w:rsidP="00AA6566">
      <w:pPr>
        <w:rPr>
          <w:rFonts w:ascii="Calibri" w:eastAsia="Calibri" w:hAnsi="Calibri" w:cs="Calibri"/>
          <w:bCs/>
          <w:szCs w:val="22"/>
          <w:u w:val="single"/>
          <w:lang w:eastAsia="en-US"/>
        </w:rPr>
      </w:pPr>
    </w:p>
    <w:p w:rsidR="008676F9" w:rsidRPr="008676F9" w:rsidRDefault="008676F9" w:rsidP="00AA6566">
      <w:pPr>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Výška a miera podpory:</w:t>
      </w:r>
    </w:p>
    <w:p w:rsidR="008676F9" w:rsidRPr="008676F9" w:rsidRDefault="008676F9" w:rsidP="00955DA4">
      <w:pPr>
        <w:numPr>
          <w:ilvl w:val="1"/>
          <w:numId w:val="123"/>
        </w:numPr>
        <w:ind w:left="142" w:hanging="142"/>
        <w:rPr>
          <w:rFonts w:ascii="Calibri" w:hAnsi="Calibri" w:cs="Calibri"/>
          <w:bCs/>
          <w:szCs w:val="22"/>
          <w:lang w:eastAsia="en-US"/>
        </w:rPr>
      </w:pPr>
      <w:r w:rsidRPr="008676F9">
        <w:rPr>
          <w:rFonts w:ascii="Calibri" w:hAnsi="Calibri" w:cs="Calibri"/>
          <w:b/>
          <w:bCs/>
          <w:szCs w:val="22"/>
          <w:lang w:eastAsia="en-US"/>
        </w:rPr>
        <w:t xml:space="preserve">max. </w:t>
      </w:r>
      <w:r w:rsidR="009D42CC">
        <w:rPr>
          <w:rFonts w:ascii="Calibri" w:hAnsi="Calibri" w:cs="Calibri"/>
          <w:b/>
          <w:bCs/>
          <w:szCs w:val="22"/>
          <w:lang w:eastAsia="en-US"/>
        </w:rPr>
        <w:t>4</w:t>
      </w:r>
      <w:r w:rsidRPr="008676F9">
        <w:rPr>
          <w:rFonts w:ascii="Calibri" w:hAnsi="Calibri" w:cs="Calibri"/>
          <w:b/>
          <w:bCs/>
          <w:szCs w:val="22"/>
          <w:lang w:eastAsia="en-US"/>
        </w:rPr>
        <w:t>0</w:t>
      </w:r>
      <w:r w:rsidR="00CC047C">
        <w:rPr>
          <w:rFonts w:ascii="Calibri" w:hAnsi="Calibri" w:cs="Calibri"/>
          <w:b/>
          <w:bCs/>
          <w:szCs w:val="22"/>
          <w:lang w:eastAsia="en-US"/>
        </w:rPr>
        <w:t> </w:t>
      </w:r>
      <w:r w:rsidRPr="008676F9">
        <w:rPr>
          <w:rFonts w:ascii="Calibri" w:hAnsi="Calibri" w:cs="Calibri"/>
          <w:b/>
          <w:bCs/>
          <w:szCs w:val="22"/>
          <w:lang w:eastAsia="en-US"/>
        </w:rPr>
        <w:t>000</w:t>
      </w:r>
      <w:r w:rsidR="00CC047C">
        <w:rPr>
          <w:rFonts w:ascii="Calibri" w:hAnsi="Calibri" w:cs="Calibri"/>
          <w:b/>
          <w:bCs/>
          <w:szCs w:val="22"/>
          <w:lang w:eastAsia="en-US"/>
        </w:rPr>
        <w:t xml:space="preserve"> </w:t>
      </w:r>
      <w:r w:rsidRPr="008676F9">
        <w:rPr>
          <w:rFonts w:ascii="Calibri" w:hAnsi="Calibri" w:cs="Calibri"/>
          <w:b/>
          <w:bCs/>
          <w:szCs w:val="22"/>
          <w:lang w:eastAsia="en-US"/>
        </w:rPr>
        <w:t>€ na 1 mladého poľnohospodára</w:t>
      </w:r>
      <w:r w:rsidRPr="008676F9">
        <w:rPr>
          <w:rFonts w:ascii="Calibri" w:hAnsi="Calibri" w:cs="Calibri"/>
          <w:bCs/>
          <w:szCs w:val="22"/>
          <w:lang w:eastAsia="en-US"/>
        </w:rPr>
        <w:t xml:space="preserve"> vo forme 2 splátok po dobu max. 5 rokov, pričom 50% podpory sa vypláca po schválení ŽoNFP a 50% po realizácii projektu.</w:t>
      </w:r>
    </w:p>
    <w:p w:rsidR="008676F9" w:rsidRPr="008676F9" w:rsidRDefault="008676F9" w:rsidP="00AA6566">
      <w:pPr>
        <w:rPr>
          <w:rFonts w:ascii="Calibri" w:eastAsia="Calibri" w:hAnsi="Calibri" w:cs="Calibri"/>
          <w:bCs/>
          <w:szCs w:val="22"/>
          <w:lang w:eastAsia="en-US"/>
        </w:rPr>
      </w:pPr>
    </w:p>
    <w:p w:rsidR="008676F9" w:rsidRPr="008676F9" w:rsidRDefault="008676F9" w:rsidP="00AA6566">
      <w:pPr>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Ďalšie informácie špecifické pre podopatrenie:</w:t>
      </w:r>
    </w:p>
    <w:p w:rsidR="008676F9" w:rsidRPr="008676F9" w:rsidRDefault="008676F9" w:rsidP="00551D5C">
      <w:pPr>
        <w:spacing w:after="120"/>
        <w:rPr>
          <w:rFonts w:ascii="Calibri" w:eastAsia="Calibri" w:hAnsi="Calibri" w:cs="Calibri"/>
          <w:bCs/>
          <w:szCs w:val="22"/>
          <w:lang w:eastAsia="en-US"/>
        </w:rPr>
      </w:pPr>
      <w:r w:rsidRPr="008676F9">
        <w:rPr>
          <w:rFonts w:ascii="Calibri" w:eastAsia="Calibri" w:hAnsi="Calibri" w:cs="Calibri"/>
          <w:bCs/>
          <w:i/>
          <w:szCs w:val="22"/>
          <w:lang w:eastAsia="en-US"/>
        </w:rPr>
        <w:t>Špecifické podmienky pre podporu mladého poľnohospodára</w:t>
      </w:r>
      <w:r w:rsidRPr="008676F9">
        <w:rPr>
          <w:rFonts w:ascii="Calibri" w:eastAsia="Calibri" w:hAnsi="Calibri" w:cs="Calibri"/>
          <w:bCs/>
          <w:szCs w:val="22"/>
          <w:lang w:eastAsia="en-US"/>
        </w:rPr>
        <w:t xml:space="preserve">, ak nezakladá podnik sám v zmysle článku 2(1) delegovaného nariadenia Komisie ..../2014: v rámci podopatrenia 6.1 je príjemcom Samostatne hospodáriaci roľník, ktorý je jediným predstaviteľom podniku. </w:t>
      </w:r>
    </w:p>
    <w:p w:rsidR="00985792" w:rsidRPr="008676F9" w:rsidRDefault="00985792" w:rsidP="00985792">
      <w:pPr>
        <w:spacing w:after="120"/>
        <w:rPr>
          <w:rFonts w:ascii="Calibri" w:eastAsia="Calibri" w:hAnsi="Calibri" w:cs="Calibri"/>
          <w:bCs/>
          <w:szCs w:val="22"/>
          <w:lang w:eastAsia="en-US"/>
        </w:rPr>
      </w:pPr>
      <w:r w:rsidRPr="008676F9">
        <w:rPr>
          <w:rFonts w:ascii="Calibri" w:eastAsia="Calibri" w:hAnsi="Calibri" w:cs="Calibri"/>
          <w:bCs/>
          <w:i/>
          <w:szCs w:val="22"/>
          <w:lang w:eastAsia="en-US"/>
        </w:rPr>
        <w:t>Definícia dolného a horného limitu</w:t>
      </w:r>
      <w:r w:rsidRPr="008676F9">
        <w:rPr>
          <w:rFonts w:ascii="Calibri" w:eastAsia="Calibri" w:hAnsi="Calibri" w:cs="Calibri"/>
          <w:bCs/>
          <w:szCs w:val="22"/>
          <w:lang w:eastAsia="en-US"/>
        </w:rPr>
        <w:t xml:space="preserve"> v zmysle článku 19(4): dolný a horný limit prahovej hodnoty pre povolenie prístupu poľnohospodárskym podnikom k podpore v rámci opatrenia 6.1 a 6.3 je % </w:t>
      </w:r>
      <w:r>
        <w:rPr>
          <w:rFonts w:ascii="Calibri" w:eastAsia="Calibri" w:hAnsi="Calibri" w:cs="Calibri"/>
          <w:bCs/>
          <w:szCs w:val="22"/>
          <w:lang w:eastAsia="en-US"/>
        </w:rPr>
        <w:t>podiel</w:t>
      </w:r>
      <w:r w:rsidRPr="008676F9">
        <w:rPr>
          <w:rFonts w:ascii="Calibri" w:eastAsia="Calibri" w:hAnsi="Calibri" w:cs="Calibri"/>
          <w:bCs/>
          <w:szCs w:val="22"/>
          <w:lang w:eastAsia="en-US"/>
        </w:rPr>
        <w:t xml:space="preserve"> poľnohospodárskej produkcie uvádzanej na trh z celkovej poľnohospodárskej produkcie. V prípade podopatrenia 6.1 je podmienkou pre vstup do podpory uvádzať viac ako 30% svojej </w:t>
      </w:r>
      <w:r>
        <w:rPr>
          <w:rFonts w:ascii="Calibri" w:eastAsia="Calibri" w:hAnsi="Calibri" w:cs="Calibri"/>
          <w:bCs/>
          <w:szCs w:val="22"/>
          <w:lang w:eastAsia="en-US"/>
        </w:rPr>
        <w:t xml:space="preserve">celkovej </w:t>
      </w:r>
      <w:r w:rsidRPr="008676F9">
        <w:rPr>
          <w:rFonts w:ascii="Calibri" w:eastAsia="Calibri" w:hAnsi="Calibri" w:cs="Calibri"/>
          <w:bCs/>
          <w:szCs w:val="22"/>
          <w:lang w:eastAsia="en-US"/>
        </w:rPr>
        <w:t>poľnohospodárskej produkcie na trh a v prípade podopatrenie 6.3 uvádzať na trh m</w:t>
      </w:r>
      <w:r>
        <w:rPr>
          <w:rFonts w:ascii="Calibri" w:eastAsia="Calibri" w:hAnsi="Calibri" w:cs="Calibri"/>
          <w:bCs/>
          <w:szCs w:val="22"/>
          <w:lang w:eastAsia="en-US"/>
        </w:rPr>
        <w:t xml:space="preserve">enej ako 30% zo svojej celkovej </w:t>
      </w:r>
      <w:r w:rsidRPr="008676F9">
        <w:rPr>
          <w:rFonts w:ascii="Calibri" w:eastAsia="Calibri" w:hAnsi="Calibri" w:cs="Calibri"/>
          <w:bCs/>
          <w:szCs w:val="22"/>
          <w:lang w:eastAsia="en-US"/>
        </w:rPr>
        <w:t>poľnohospodárskej produkcie</w:t>
      </w:r>
      <w:r w:rsidR="00955DA4">
        <w:rPr>
          <w:rFonts w:ascii="Calibri" w:eastAsia="Calibri" w:hAnsi="Calibri" w:cs="Calibri"/>
          <w:bCs/>
          <w:szCs w:val="22"/>
          <w:lang w:eastAsia="en-US"/>
        </w:rPr>
        <w:t>(vychádza z finančného vyjadrenia v súlade s účtovníctvom)</w:t>
      </w:r>
      <w:r w:rsidR="00955DA4" w:rsidRPr="008676F9">
        <w:rPr>
          <w:rFonts w:ascii="Calibri" w:eastAsia="Calibri" w:hAnsi="Calibri" w:cs="Calibri"/>
          <w:bCs/>
          <w:szCs w:val="22"/>
          <w:lang w:eastAsia="en-US"/>
        </w:rPr>
        <w:t xml:space="preserve">.  </w:t>
      </w:r>
      <w:r w:rsidRPr="008676F9">
        <w:rPr>
          <w:rFonts w:ascii="Calibri" w:eastAsia="Calibri" w:hAnsi="Calibri" w:cs="Calibri"/>
          <w:bCs/>
          <w:szCs w:val="22"/>
          <w:lang w:eastAsia="en-US"/>
        </w:rPr>
        <w:t xml:space="preserve">  </w:t>
      </w:r>
    </w:p>
    <w:p w:rsidR="008676F9" w:rsidRPr="008676F9" w:rsidRDefault="008676F9" w:rsidP="00551D5C">
      <w:pPr>
        <w:spacing w:after="120"/>
        <w:rPr>
          <w:rFonts w:ascii="Calibri" w:eastAsia="Calibri" w:hAnsi="Calibri" w:cs="Calibri"/>
          <w:bCs/>
          <w:szCs w:val="22"/>
          <w:lang w:eastAsia="en-US"/>
        </w:rPr>
      </w:pPr>
      <w:r w:rsidRPr="008676F9">
        <w:rPr>
          <w:rFonts w:ascii="Calibri" w:eastAsia="Calibri" w:hAnsi="Calibri" w:cs="Calibri"/>
          <w:bCs/>
          <w:szCs w:val="22"/>
          <w:lang w:eastAsia="en-US"/>
        </w:rPr>
        <w:t>Informácia o využití možnosti kombinovania podpôr z rôznych opatrení na realizáciu podnikateľského plánu: schválenie Ž</w:t>
      </w:r>
      <w:r w:rsidR="00985792">
        <w:rPr>
          <w:rFonts w:ascii="Calibri" w:eastAsia="Calibri" w:hAnsi="Calibri" w:cs="Calibri"/>
          <w:bCs/>
          <w:szCs w:val="22"/>
          <w:lang w:eastAsia="en-US"/>
        </w:rPr>
        <w:t>oNFP</w:t>
      </w:r>
      <w:r w:rsidRPr="008676F9">
        <w:rPr>
          <w:rFonts w:ascii="Calibri" w:eastAsia="Calibri" w:hAnsi="Calibri" w:cs="Calibri"/>
          <w:bCs/>
          <w:szCs w:val="22"/>
          <w:lang w:eastAsia="en-US"/>
        </w:rPr>
        <w:t xml:space="preserve"> v rámci podopatrenia 6.1 poskytuje prijímateľovi prístup do podopatrenia 4.1, v rámci ktorého si môže uplatniť nárok na investície, ktoré sú v súlade s predloženým podnikateľským plánom a zároveň podmienkami a rozsahom podpory v rámci podopatrenia 4.1.</w:t>
      </w:r>
    </w:p>
    <w:p w:rsidR="008676F9" w:rsidRPr="008676F9" w:rsidRDefault="008676F9" w:rsidP="00551D5C">
      <w:pPr>
        <w:spacing w:after="120"/>
        <w:rPr>
          <w:rFonts w:ascii="Calibri" w:eastAsia="Calibri" w:hAnsi="Calibri" w:cs="Calibri"/>
          <w:bCs/>
          <w:szCs w:val="22"/>
          <w:lang w:eastAsia="en-US"/>
        </w:rPr>
      </w:pPr>
      <w:r w:rsidRPr="008676F9">
        <w:rPr>
          <w:rFonts w:ascii="Calibri" w:eastAsia="Calibri" w:hAnsi="Calibri" w:cs="Calibri"/>
          <w:bCs/>
          <w:i/>
          <w:szCs w:val="22"/>
          <w:lang w:eastAsia="en-US"/>
        </w:rPr>
        <w:t>Špecializovaná rastlinná výroba</w:t>
      </w:r>
      <w:r w:rsidRPr="008676F9">
        <w:rPr>
          <w:rFonts w:ascii="Calibri" w:eastAsia="Calibri" w:hAnsi="Calibri" w:cs="Calibri"/>
          <w:bCs/>
          <w:szCs w:val="22"/>
          <w:lang w:eastAsia="en-US"/>
        </w:rPr>
        <w:t xml:space="preserve"> je poľnohospodárska prvovýroba zameraná na pestovanie plodín mierneho pásma, ktoré sú uvedené v kapitole 07 „Zelenina, jedlé rastliny, korene a hľuzy“ a v kapitole 08 „Jedlé ovocie a orechy, šupy citrusových plodov alebo melónov“ Kombinovanej nomenklatúry zatriedenia tovaru a aromatické a liečivé rastliny. Číselné označenie kapitol sa môže meniť, záväzný je názov kapitoly.</w:t>
      </w:r>
    </w:p>
    <w:p w:rsidR="008676F9" w:rsidRPr="008676F9" w:rsidRDefault="008676F9" w:rsidP="00AA6566">
      <w:pPr>
        <w:rPr>
          <w:rFonts w:ascii="Calibri" w:eastAsia="Calibri" w:hAnsi="Calibri" w:cs="Calibri"/>
          <w:bCs/>
          <w:szCs w:val="22"/>
          <w:lang w:eastAsia="en-US"/>
        </w:rPr>
      </w:pPr>
      <w:r w:rsidRPr="008676F9">
        <w:rPr>
          <w:rFonts w:ascii="Calibri" w:eastAsia="Calibri" w:hAnsi="Calibri" w:cs="Calibri"/>
          <w:bCs/>
          <w:i/>
          <w:szCs w:val="22"/>
          <w:lang w:eastAsia="en-US"/>
        </w:rPr>
        <w:t>Integrovaným projektom</w:t>
      </w:r>
      <w:r w:rsidRPr="008676F9">
        <w:rPr>
          <w:rFonts w:ascii="Calibri" w:eastAsia="Calibri" w:hAnsi="Calibri" w:cs="Calibri"/>
          <w:bCs/>
          <w:szCs w:val="22"/>
          <w:lang w:eastAsia="en-US"/>
        </w:rPr>
        <w:t xml:space="preserve"> sa rozumie projekt, ktorý zahŕňa podporu z viacerých opatrení a ktorý zároveň priamo prispieva k vytváraniu pracovných miest.</w:t>
      </w:r>
    </w:p>
    <w:p w:rsidR="008676F9" w:rsidRPr="008676F9" w:rsidRDefault="008676F9" w:rsidP="00AA6566">
      <w:pPr>
        <w:rPr>
          <w:rFonts w:ascii="Calibri" w:eastAsia="Calibri" w:hAnsi="Calibri" w:cs="Calibri"/>
          <w:bCs/>
          <w:szCs w:val="22"/>
          <w:lang w:eastAsia="en-US"/>
        </w:rPr>
      </w:pPr>
      <w:r w:rsidRPr="008676F9">
        <w:rPr>
          <w:rFonts w:ascii="Calibri" w:eastAsia="Calibri" w:hAnsi="Calibri" w:cs="Calibri"/>
          <w:bCs/>
          <w:szCs w:val="22"/>
          <w:lang w:eastAsia="en-US"/>
        </w:rPr>
        <w:br w:type="page"/>
      </w:r>
    </w:p>
    <w:p w:rsidR="008676F9" w:rsidRPr="00BD13CE" w:rsidRDefault="008676F9" w:rsidP="00A03A77">
      <w:pPr>
        <w:shd w:val="clear" w:color="auto" w:fill="D6E3BC"/>
        <w:ind w:left="1701" w:hanging="1701"/>
        <w:jc w:val="left"/>
        <w:rPr>
          <w:rFonts w:ascii="Calibri" w:eastAsia="Calibri" w:hAnsi="Calibri" w:cs="Calibri"/>
          <w:b/>
          <w:bCs/>
          <w:i/>
          <w:sz w:val="24"/>
          <w:lang w:eastAsia="en-US"/>
        </w:rPr>
      </w:pPr>
      <w:r w:rsidRPr="008676F9">
        <w:rPr>
          <w:rFonts w:ascii="Calibri" w:eastAsia="Calibri" w:hAnsi="Calibri" w:cs="Calibri"/>
          <w:bCs/>
          <w:lang w:eastAsia="en-US"/>
        </w:rPr>
        <w:t xml:space="preserve">Podopatrenie: </w:t>
      </w:r>
      <w:r w:rsidRPr="008676F9">
        <w:rPr>
          <w:rFonts w:ascii="Calibri" w:eastAsia="Calibri" w:hAnsi="Calibri" w:cs="Calibri"/>
          <w:b/>
          <w:bCs/>
          <w:i/>
          <w:lang w:eastAsia="en-US"/>
        </w:rPr>
        <w:t xml:space="preserve">6.3 </w:t>
      </w:r>
      <w:r w:rsidRPr="00BD13CE">
        <w:rPr>
          <w:rFonts w:ascii="Calibri" w:eastAsia="Calibri" w:hAnsi="Calibri" w:cs="Calibri"/>
          <w:b/>
          <w:bCs/>
          <w:i/>
          <w:sz w:val="24"/>
          <w:lang w:eastAsia="en-US"/>
        </w:rPr>
        <w:t>Podpora na začatie podnika</w:t>
      </w:r>
      <w:r w:rsidR="00955DA4" w:rsidRPr="00BD13CE">
        <w:rPr>
          <w:rFonts w:ascii="Calibri" w:eastAsia="Calibri" w:hAnsi="Calibri" w:cs="Calibri"/>
          <w:b/>
          <w:bCs/>
          <w:i/>
          <w:sz w:val="24"/>
          <w:lang w:eastAsia="en-US"/>
        </w:rPr>
        <w:t>teľskej činnosti</w:t>
      </w:r>
      <w:r w:rsidRPr="00BD13CE">
        <w:rPr>
          <w:rFonts w:ascii="Calibri" w:eastAsia="Calibri" w:hAnsi="Calibri" w:cs="Calibri"/>
          <w:b/>
          <w:bCs/>
          <w:i/>
          <w:sz w:val="24"/>
          <w:lang w:eastAsia="en-US"/>
        </w:rPr>
        <w:t xml:space="preserve"> pre </w:t>
      </w:r>
      <w:r w:rsidR="00955DA4" w:rsidRPr="00BD13CE">
        <w:rPr>
          <w:rFonts w:ascii="Calibri" w:eastAsia="Calibri" w:hAnsi="Calibri" w:cs="Calibri"/>
          <w:b/>
          <w:bCs/>
          <w:i/>
          <w:sz w:val="24"/>
          <w:lang w:eastAsia="en-US"/>
        </w:rPr>
        <w:t>rozvoj malých</w:t>
      </w:r>
      <w:r w:rsidRPr="00BD13CE">
        <w:rPr>
          <w:rFonts w:ascii="Calibri" w:eastAsia="Calibri" w:hAnsi="Calibri" w:cs="Calibri"/>
          <w:b/>
          <w:bCs/>
          <w:i/>
          <w:sz w:val="24"/>
          <w:lang w:eastAsia="en-US"/>
        </w:rPr>
        <w:t xml:space="preserve"> poľnohospodársk</w:t>
      </w:r>
      <w:r w:rsidR="00955DA4" w:rsidRPr="00BD13CE">
        <w:rPr>
          <w:rFonts w:ascii="Calibri" w:eastAsia="Calibri" w:hAnsi="Calibri" w:cs="Calibri"/>
          <w:b/>
          <w:bCs/>
          <w:i/>
          <w:sz w:val="24"/>
          <w:lang w:eastAsia="en-US"/>
        </w:rPr>
        <w:t>ych</w:t>
      </w:r>
      <w:r w:rsidRPr="00BD13CE">
        <w:rPr>
          <w:rFonts w:ascii="Calibri" w:eastAsia="Calibri" w:hAnsi="Calibri" w:cs="Calibri"/>
          <w:b/>
          <w:bCs/>
          <w:i/>
          <w:sz w:val="24"/>
          <w:lang w:eastAsia="en-US"/>
        </w:rPr>
        <w:t xml:space="preserve"> podnik</w:t>
      </w:r>
      <w:r w:rsidR="00955DA4" w:rsidRPr="00BD13CE">
        <w:rPr>
          <w:rFonts w:ascii="Calibri" w:eastAsia="Calibri" w:hAnsi="Calibri" w:cs="Calibri"/>
          <w:b/>
          <w:bCs/>
          <w:i/>
          <w:sz w:val="24"/>
          <w:lang w:eastAsia="en-US"/>
        </w:rPr>
        <w:t>ov</w:t>
      </w:r>
    </w:p>
    <w:p w:rsidR="008676F9" w:rsidRPr="008676F9" w:rsidRDefault="008676F9" w:rsidP="00AA6566">
      <w:pPr>
        <w:shd w:val="clear" w:color="auto" w:fill="FBD4B4"/>
        <w:rPr>
          <w:rFonts w:ascii="Calibri" w:eastAsia="Calibri" w:hAnsi="Calibri" w:cs="Calibri"/>
          <w:bCs/>
          <w:szCs w:val="22"/>
          <w:lang w:eastAsia="en-US"/>
        </w:rPr>
      </w:pPr>
      <w:r w:rsidRPr="008676F9">
        <w:rPr>
          <w:rFonts w:ascii="Calibri" w:eastAsia="Calibri" w:hAnsi="Calibri" w:cs="Calibri"/>
          <w:bCs/>
          <w:szCs w:val="22"/>
          <w:u w:val="single"/>
          <w:lang w:eastAsia="en-US"/>
        </w:rPr>
        <w:t>Názov operácie</w:t>
      </w:r>
      <w:r w:rsidRPr="008676F9">
        <w:rPr>
          <w:rFonts w:ascii="Calibri" w:eastAsia="Calibri" w:hAnsi="Calibri" w:cs="Calibri"/>
          <w:bCs/>
          <w:szCs w:val="22"/>
          <w:lang w:eastAsia="en-US"/>
        </w:rPr>
        <w:t xml:space="preserve">: </w:t>
      </w:r>
    </w:p>
    <w:p w:rsidR="008676F9" w:rsidRPr="008676F9" w:rsidRDefault="008676F9" w:rsidP="00AA6566">
      <w:pPr>
        <w:shd w:val="clear" w:color="auto" w:fill="FBD4B4"/>
        <w:rPr>
          <w:rFonts w:ascii="Calibri" w:eastAsia="Calibri" w:hAnsi="Calibri" w:cs="Calibri"/>
          <w:bCs/>
          <w:i/>
          <w:szCs w:val="22"/>
          <w:lang w:eastAsia="en-US"/>
        </w:rPr>
      </w:pPr>
      <w:r w:rsidRPr="008676F9">
        <w:rPr>
          <w:rFonts w:ascii="Calibri" w:eastAsia="Calibri" w:hAnsi="Calibri" w:cs="Calibri"/>
          <w:bCs/>
          <w:i/>
          <w:szCs w:val="22"/>
          <w:lang w:eastAsia="en-US"/>
        </w:rPr>
        <w:t>Zlepšenie hospodárskeho výkonu malých poľnohospodárskych podnikov.</w:t>
      </w:r>
    </w:p>
    <w:p w:rsidR="008676F9" w:rsidRPr="008676F9" w:rsidRDefault="008676F9" w:rsidP="00AA6566">
      <w:pPr>
        <w:rPr>
          <w:rFonts w:ascii="Calibri" w:eastAsia="Calibri" w:hAnsi="Calibri" w:cs="Calibri"/>
          <w:bCs/>
          <w:szCs w:val="22"/>
          <w:lang w:eastAsia="en-US"/>
        </w:rPr>
      </w:pPr>
    </w:p>
    <w:p w:rsidR="008676F9" w:rsidRPr="008676F9" w:rsidRDefault="008676F9" w:rsidP="00AA6566">
      <w:pPr>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Opis operácie:</w:t>
      </w:r>
    </w:p>
    <w:p w:rsidR="008676F9" w:rsidRPr="008676F9" w:rsidRDefault="008676F9" w:rsidP="00AA6566">
      <w:pPr>
        <w:rPr>
          <w:rFonts w:ascii="Calibri" w:eastAsia="Calibri" w:hAnsi="Calibri" w:cs="Calibri"/>
          <w:bCs/>
          <w:szCs w:val="22"/>
          <w:lang w:eastAsia="en-US"/>
        </w:rPr>
      </w:pPr>
      <w:r w:rsidRPr="008676F9">
        <w:rPr>
          <w:rFonts w:ascii="Calibri" w:eastAsia="Calibri" w:hAnsi="Calibri" w:cs="Calibri"/>
          <w:bCs/>
          <w:szCs w:val="22"/>
          <w:lang w:eastAsia="en-US"/>
        </w:rPr>
        <w:t>Podpora sa poskytuje malému poľnohospodárskemu podniku na začatie jeho podnikateľskej činnosti na úhradu nákladov spojených s realizáciou jeho podnikateľského plánu v oblasti živočíšnej a špecializovanej rastlinnej výroby.</w:t>
      </w:r>
    </w:p>
    <w:p w:rsidR="008676F9" w:rsidRPr="008676F9" w:rsidRDefault="008676F9" w:rsidP="00AA6566">
      <w:pPr>
        <w:rPr>
          <w:rFonts w:ascii="Calibri" w:eastAsia="Calibri" w:hAnsi="Calibri" w:cs="Calibri"/>
          <w:bCs/>
          <w:szCs w:val="22"/>
          <w:lang w:eastAsia="en-US"/>
        </w:rPr>
      </w:pPr>
    </w:p>
    <w:p w:rsidR="008676F9" w:rsidRPr="008676F9" w:rsidRDefault="008676F9" w:rsidP="00AA6566">
      <w:pPr>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Typ podpory:</w:t>
      </w:r>
    </w:p>
    <w:p w:rsidR="008676F9" w:rsidRPr="008676F9" w:rsidRDefault="008676F9" w:rsidP="00BD13CE">
      <w:pPr>
        <w:numPr>
          <w:ilvl w:val="0"/>
          <w:numId w:val="122"/>
        </w:numPr>
        <w:ind w:left="142" w:hanging="142"/>
        <w:rPr>
          <w:rFonts w:ascii="Calibri" w:hAnsi="Calibri" w:cs="Calibri"/>
          <w:szCs w:val="22"/>
          <w:lang w:eastAsia="en-US"/>
        </w:rPr>
      </w:pPr>
      <w:r w:rsidRPr="008676F9">
        <w:rPr>
          <w:rFonts w:ascii="Calibri" w:hAnsi="Calibri" w:cs="Calibri"/>
          <w:szCs w:val="22"/>
          <w:lang w:eastAsia="en-US"/>
        </w:rPr>
        <w:t>podpora na začatie podnikania vo forme nenávratného finančného príspevku – paušálna platba.</w:t>
      </w:r>
    </w:p>
    <w:p w:rsidR="008676F9" w:rsidRPr="008676F9" w:rsidRDefault="008676F9" w:rsidP="00AA6566">
      <w:pPr>
        <w:rPr>
          <w:rFonts w:ascii="Calibri" w:eastAsia="Calibri" w:hAnsi="Calibri" w:cs="Calibri"/>
          <w:bCs/>
          <w:szCs w:val="22"/>
          <w:lang w:eastAsia="en-US"/>
        </w:rPr>
      </w:pPr>
    </w:p>
    <w:p w:rsidR="008676F9" w:rsidRPr="008676F9" w:rsidRDefault="008676F9" w:rsidP="00AA6566">
      <w:pPr>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Súvislosť s inou legislatívou:</w:t>
      </w:r>
    </w:p>
    <w:p w:rsidR="008676F9" w:rsidRPr="008676F9" w:rsidRDefault="008676F9" w:rsidP="00AA6566">
      <w:pPr>
        <w:rPr>
          <w:rFonts w:ascii="Calibri" w:eastAsia="Calibri" w:hAnsi="Calibri" w:cs="Calibri"/>
          <w:szCs w:val="22"/>
        </w:rPr>
      </w:pPr>
      <w:r w:rsidRPr="008676F9">
        <w:rPr>
          <w:rFonts w:ascii="Calibri" w:eastAsia="Calibri" w:hAnsi="Calibri" w:cs="Calibri"/>
          <w:szCs w:val="22"/>
        </w:rPr>
        <w:t xml:space="preserve">Podpora v rámci tohto opatrenia dopĺňa/nadväzuje na podporu v oblasti zamestnanosti v rámci </w:t>
      </w:r>
      <w:r w:rsidRPr="008676F9">
        <w:rPr>
          <w:rFonts w:ascii="Calibri" w:eastAsia="Calibri" w:hAnsi="Calibri" w:cs="Calibri"/>
          <w:b/>
          <w:szCs w:val="22"/>
        </w:rPr>
        <w:t>OP Ľudské zdroje</w:t>
      </w:r>
      <w:r w:rsidRPr="008676F9">
        <w:rPr>
          <w:rFonts w:ascii="Calibri" w:eastAsia="Calibri" w:hAnsi="Calibri" w:cs="Calibri"/>
          <w:szCs w:val="22"/>
        </w:rPr>
        <w:t xml:space="preserve">  tým, že poskytuje podporu pre subjekty, ktoré majú oprávnenie podnikať (t.j. nie nezamestnaných), a to formou </w:t>
      </w:r>
      <w:r w:rsidRPr="008676F9">
        <w:rPr>
          <w:rFonts w:ascii="Calibri" w:eastAsia="Calibri" w:hAnsi="Calibri" w:cs="Calibri"/>
          <w:b/>
          <w:szCs w:val="22"/>
        </w:rPr>
        <w:t>paušálnej platby</w:t>
      </w:r>
      <w:r w:rsidRPr="008676F9">
        <w:rPr>
          <w:rFonts w:ascii="Calibri" w:eastAsia="Calibri" w:hAnsi="Calibri" w:cs="Calibri"/>
          <w:szCs w:val="22"/>
        </w:rPr>
        <w:t xml:space="preserve"> na začatie podnikania pre </w:t>
      </w:r>
      <w:r w:rsidRPr="008676F9">
        <w:rPr>
          <w:rFonts w:ascii="Calibri" w:eastAsia="Calibri" w:hAnsi="Calibri" w:cs="Calibri"/>
          <w:i/>
          <w:szCs w:val="22"/>
        </w:rPr>
        <w:t>poľnohospodársky mikropodnik</w:t>
      </w:r>
      <w:r w:rsidRPr="008676F9">
        <w:rPr>
          <w:rFonts w:ascii="Calibri" w:eastAsia="Calibri" w:hAnsi="Calibri" w:cs="Calibri"/>
          <w:szCs w:val="22"/>
        </w:rPr>
        <w:t xml:space="preserve"> na realizáciu podnikateľského plánu.   </w:t>
      </w:r>
    </w:p>
    <w:p w:rsidR="008676F9" w:rsidRPr="008676F9" w:rsidRDefault="008676F9" w:rsidP="00AA6566">
      <w:pPr>
        <w:rPr>
          <w:rFonts w:ascii="Calibri" w:eastAsia="Calibri" w:hAnsi="Calibri" w:cs="Calibri"/>
          <w:bCs/>
          <w:color w:val="FF0000"/>
          <w:szCs w:val="22"/>
          <w:u w:val="single"/>
          <w:lang w:eastAsia="en-US"/>
        </w:rPr>
      </w:pPr>
    </w:p>
    <w:p w:rsidR="00955DA4" w:rsidRPr="008676F9" w:rsidRDefault="00955DA4" w:rsidP="00955DA4">
      <w:pPr>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Prijímateľ podpory:</w:t>
      </w:r>
    </w:p>
    <w:p w:rsidR="00955DA4" w:rsidRPr="008676F9" w:rsidRDefault="00955DA4" w:rsidP="00955DA4">
      <w:pPr>
        <w:autoSpaceDE w:val="0"/>
        <w:autoSpaceDN w:val="0"/>
        <w:adjustRightInd w:val="0"/>
        <w:rPr>
          <w:rFonts w:ascii="Calibri" w:eastAsia="Calibri" w:hAnsi="Calibri" w:cs="Calibri"/>
          <w:szCs w:val="22"/>
          <w:lang w:eastAsia="en-US"/>
        </w:rPr>
      </w:pPr>
      <w:r w:rsidRPr="008676F9">
        <w:rPr>
          <w:rFonts w:ascii="Calibri" w:eastAsia="Calibri" w:hAnsi="Calibri" w:cs="Calibri"/>
          <w:szCs w:val="22"/>
          <w:lang w:eastAsia="en-US"/>
        </w:rPr>
        <w:t>Samostatne hospodáriaci roľník (mikropodnik v zmysle odporúčania Komisie 2003/361/ES) podnikajúci v poľnohospodárskej prvovýrobe, ktorého ročná miera produkcie uvádzanej n trh z celkovej produkcie</w:t>
      </w:r>
      <w:r>
        <w:rPr>
          <w:rFonts w:ascii="Calibri" w:eastAsia="Calibri" w:hAnsi="Calibri" w:cs="Calibri"/>
          <w:szCs w:val="22"/>
          <w:lang w:eastAsia="en-US"/>
        </w:rPr>
        <w:t xml:space="preserve"> podniku</w:t>
      </w:r>
      <w:r w:rsidRPr="008676F9">
        <w:rPr>
          <w:rFonts w:ascii="Calibri" w:eastAsia="Calibri" w:hAnsi="Calibri" w:cs="Calibri"/>
          <w:szCs w:val="22"/>
          <w:lang w:eastAsia="en-US"/>
        </w:rPr>
        <w:t xml:space="preserve"> nepresahuje 30%</w:t>
      </w:r>
      <w:r>
        <w:rPr>
          <w:rFonts w:ascii="Calibri" w:eastAsia="Calibri" w:hAnsi="Calibri" w:cs="Calibri"/>
          <w:szCs w:val="22"/>
          <w:lang w:eastAsia="en-US"/>
        </w:rPr>
        <w:t xml:space="preserve"> (vychádza z finančného vyjadrenia v súlade s účtovníctvom)</w:t>
      </w:r>
      <w:r w:rsidRPr="008676F9">
        <w:rPr>
          <w:rFonts w:ascii="Calibri" w:eastAsia="Calibri" w:hAnsi="Calibri" w:cs="Calibri"/>
          <w:szCs w:val="22"/>
          <w:lang w:eastAsia="en-US"/>
        </w:rPr>
        <w:t xml:space="preserve"> - malý poľnohospodársky podnik.</w:t>
      </w:r>
    </w:p>
    <w:p w:rsidR="00955DA4" w:rsidRPr="008676F9" w:rsidRDefault="00955DA4" w:rsidP="00955DA4">
      <w:pPr>
        <w:rPr>
          <w:rFonts w:ascii="Calibri" w:eastAsia="Calibri" w:hAnsi="Calibri" w:cs="Calibri"/>
          <w:bCs/>
          <w:szCs w:val="22"/>
          <w:lang w:eastAsia="en-US"/>
        </w:rPr>
      </w:pPr>
    </w:p>
    <w:p w:rsidR="00955DA4" w:rsidRPr="008676F9" w:rsidRDefault="00955DA4" w:rsidP="00955DA4">
      <w:pPr>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Oprávnené náklady:</w:t>
      </w:r>
    </w:p>
    <w:p w:rsidR="00955DA4" w:rsidRPr="008676F9" w:rsidRDefault="00955DA4" w:rsidP="00955DA4">
      <w:pPr>
        <w:rPr>
          <w:rFonts w:ascii="Calibri" w:eastAsia="Calibri" w:hAnsi="Calibri" w:cs="Calibri"/>
          <w:szCs w:val="22"/>
          <w:lang w:eastAsia="en-US"/>
        </w:rPr>
      </w:pPr>
      <w:r w:rsidRPr="008676F9">
        <w:rPr>
          <w:rFonts w:ascii="Calibri" w:eastAsia="Calibri" w:hAnsi="Calibri" w:cs="Calibri"/>
          <w:szCs w:val="22"/>
          <w:lang w:eastAsia="en-US"/>
        </w:rPr>
        <w:t>Prijímateľ podpory nie je povinný preukazovať skutočný účel použitia</w:t>
      </w:r>
      <w:r>
        <w:rPr>
          <w:rFonts w:ascii="Calibri" w:eastAsia="Calibri" w:hAnsi="Calibri" w:cs="Calibri"/>
          <w:szCs w:val="22"/>
          <w:lang w:eastAsia="en-US"/>
        </w:rPr>
        <w:t xml:space="preserve"> NFP</w:t>
      </w:r>
      <w:r w:rsidRPr="008676F9">
        <w:rPr>
          <w:rFonts w:ascii="Calibri" w:eastAsia="Calibri" w:hAnsi="Calibri" w:cs="Calibri"/>
          <w:szCs w:val="22"/>
          <w:lang w:eastAsia="en-US"/>
        </w:rPr>
        <w:t xml:space="preserve"> na jednotlivé typy nákladov uvedených v podnikateľskom pláne.</w:t>
      </w:r>
    </w:p>
    <w:p w:rsidR="00955DA4" w:rsidRPr="008676F9" w:rsidRDefault="00955DA4" w:rsidP="00955DA4">
      <w:pPr>
        <w:rPr>
          <w:rFonts w:ascii="Calibri" w:eastAsia="Calibri" w:hAnsi="Calibri" w:cs="Calibri"/>
          <w:szCs w:val="22"/>
          <w:lang w:eastAsia="en-US"/>
        </w:rPr>
      </w:pPr>
      <w:r w:rsidRPr="008676F9">
        <w:rPr>
          <w:rFonts w:ascii="Calibri" w:eastAsia="Calibri" w:hAnsi="Calibri" w:cs="Calibri"/>
          <w:szCs w:val="22"/>
          <w:lang w:eastAsia="en-US"/>
        </w:rPr>
        <w:t xml:space="preserve">Zároveň je však povinný preukázať, že realizácia jeho poľnohospodárskej činnosti je v súlade s podnikateľským plánom. </w:t>
      </w:r>
    </w:p>
    <w:p w:rsidR="00955DA4" w:rsidRPr="008676F9" w:rsidRDefault="00955DA4" w:rsidP="00955DA4">
      <w:pPr>
        <w:rPr>
          <w:rFonts w:ascii="Calibri" w:eastAsia="Calibri" w:hAnsi="Calibri" w:cs="Calibri"/>
          <w:bCs/>
          <w:szCs w:val="22"/>
          <w:lang w:eastAsia="en-US"/>
        </w:rPr>
      </w:pPr>
    </w:p>
    <w:p w:rsidR="00955DA4" w:rsidRPr="008676F9" w:rsidRDefault="00955DA4" w:rsidP="00955DA4">
      <w:pPr>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Podmienky oprávnenosti:</w:t>
      </w:r>
    </w:p>
    <w:p w:rsidR="00955DA4" w:rsidRPr="008676F9" w:rsidRDefault="00955DA4" w:rsidP="00955DA4">
      <w:pPr>
        <w:numPr>
          <w:ilvl w:val="0"/>
          <w:numId w:val="124"/>
        </w:numPr>
        <w:spacing w:after="120"/>
        <w:ind w:left="714" w:hanging="357"/>
        <w:rPr>
          <w:rFonts w:ascii="Calibri" w:hAnsi="Calibri" w:cs="Calibri"/>
          <w:bCs/>
          <w:szCs w:val="22"/>
          <w:lang w:eastAsia="en-US"/>
        </w:rPr>
      </w:pPr>
      <w:r w:rsidRPr="008676F9">
        <w:rPr>
          <w:rFonts w:ascii="Calibri" w:hAnsi="Calibri" w:cs="Calibri"/>
          <w:bCs/>
          <w:szCs w:val="22"/>
          <w:lang w:eastAsia="en-US"/>
        </w:rPr>
        <w:t>Podiel poľnohospodárskej produkcie, uvádzanej na trh, na celkovej poľnohospodárskej produkcii podniku nepresahuje 30%</w:t>
      </w:r>
      <w:r>
        <w:rPr>
          <w:rFonts w:ascii="Calibri" w:hAnsi="Calibri" w:cs="Calibri"/>
          <w:bCs/>
          <w:szCs w:val="22"/>
          <w:lang w:eastAsia="en-US"/>
        </w:rPr>
        <w:t xml:space="preserve"> (vychádza z finančného vyjadrenia v súlade s účtovníctvom)</w:t>
      </w:r>
      <w:r w:rsidRPr="008676F9">
        <w:rPr>
          <w:rFonts w:ascii="Calibri" w:hAnsi="Calibri" w:cs="Calibri"/>
          <w:bCs/>
          <w:szCs w:val="22"/>
          <w:lang w:eastAsia="en-US"/>
        </w:rPr>
        <w:t>;</w:t>
      </w:r>
    </w:p>
    <w:p w:rsidR="008676F9" w:rsidRPr="008676F9" w:rsidRDefault="008676F9" w:rsidP="00BD13CE">
      <w:pPr>
        <w:numPr>
          <w:ilvl w:val="0"/>
          <w:numId w:val="124"/>
        </w:numPr>
        <w:spacing w:after="120"/>
        <w:ind w:left="714" w:hanging="357"/>
        <w:rPr>
          <w:rFonts w:ascii="Calibri" w:hAnsi="Calibri" w:cs="Calibri"/>
          <w:bCs/>
          <w:szCs w:val="22"/>
          <w:lang w:eastAsia="en-US"/>
        </w:rPr>
      </w:pPr>
      <w:r w:rsidRPr="008676F9">
        <w:rPr>
          <w:rFonts w:ascii="Calibri" w:hAnsi="Calibri" w:cs="Calibri"/>
          <w:bCs/>
          <w:szCs w:val="22"/>
          <w:lang w:eastAsia="en-US"/>
        </w:rPr>
        <w:t>predloženie podnikateľského plánu, ktorý má nasledovné minimálne požiadavky:</w:t>
      </w:r>
    </w:p>
    <w:p w:rsidR="008676F9" w:rsidRPr="008676F9" w:rsidRDefault="008676F9" w:rsidP="00BD13CE">
      <w:pPr>
        <w:numPr>
          <w:ilvl w:val="0"/>
          <w:numId w:val="125"/>
        </w:numPr>
        <w:spacing w:after="120"/>
        <w:ind w:left="993" w:hanging="284"/>
        <w:rPr>
          <w:rFonts w:ascii="Calibri" w:hAnsi="Calibri" w:cs="Calibri"/>
          <w:bCs/>
          <w:i/>
          <w:szCs w:val="22"/>
          <w:lang w:eastAsia="en-US"/>
        </w:rPr>
      </w:pPr>
      <w:r w:rsidRPr="008676F9">
        <w:rPr>
          <w:rFonts w:ascii="Calibri" w:hAnsi="Calibri" w:cs="Calibri"/>
          <w:bCs/>
          <w:i/>
          <w:szCs w:val="22"/>
          <w:lang w:eastAsia="en-US"/>
        </w:rPr>
        <w:t>opis aktuálnej ekonomickej a finančnej situácie poľnohospodárskeho podniku;</w:t>
      </w:r>
    </w:p>
    <w:p w:rsidR="008676F9" w:rsidRPr="006A6B3A" w:rsidRDefault="008676F9" w:rsidP="00BD13CE">
      <w:pPr>
        <w:numPr>
          <w:ilvl w:val="0"/>
          <w:numId w:val="125"/>
        </w:numPr>
        <w:spacing w:after="120"/>
        <w:ind w:left="993" w:hanging="284"/>
        <w:rPr>
          <w:rFonts w:ascii="Calibri" w:hAnsi="Calibri" w:cs="Calibri"/>
          <w:bCs/>
          <w:i/>
          <w:szCs w:val="22"/>
          <w:lang w:eastAsia="en-US"/>
        </w:rPr>
      </w:pPr>
      <w:r w:rsidRPr="008676F9">
        <w:rPr>
          <w:rFonts w:ascii="Calibri" w:hAnsi="Calibri" w:cs="Calibri"/>
          <w:bCs/>
          <w:i/>
          <w:szCs w:val="22"/>
          <w:lang w:eastAsia="en-US"/>
        </w:rPr>
        <w:t xml:space="preserve">opis </w:t>
      </w:r>
      <w:r w:rsidRPr="006A6B3A">
        <w:rPr>
          <w:rFonts w:ascii="Calibri" w:hAnsi="Calibri" w:cs="Calibri"/>
          <w:bCs/>
          <w:i/>
          <w:szCs w:val="22"/>
          <w:lang w:eastAsia="en-US"/>
        </w:rPr>
        <w:t xml:space="preserve">opatrení na dosiahnutie ekonomickej životaschopnosti podniku, vrátane opisu investícii, </w:t>
      </w:r>
      <w:r w:rsidR="006A6B3A" w:rsidRPr="006A6B3A">
        <w:rPr>
          <w:rFonts w:ascii="Calibri" w:eastAsia="Calibri" w:hAnsi="Calibri" w:cs="Calibri"/>
          <w:i/>
        </w:rPr>
        <w:t xml:space="preserve">opatrení týkajúcich sa trvalej udržateľnosti životného prostredia, efektívnosti využívania zdrojov </w:t>
      </w:r>
      <w:r w:rsidRPr="006A6B3A">
        <w:rPr>
          <w:rFonts w:ascii="Calibri" w:hAnsi="Calibri" w:cs="Calibri"/>
          <w:bCs/>
          <w:i/>
          <w:szCs w:val="22"/>
          <w:lang w:eastAsia="en-US"/>
        </w:rPr>
        <w:t xml:space="preserve">a zámeru zvýšiť podiel poľnohospodárskej produkcie uvádzanej na trh; </w:t>
      </w:r>
    </w:p>
    <w:p w:rsidR="008676F9" w:rsidRPr="008676F9" w:rsidRDefault="008676F9" w:rsidP="00BD13CE">
      <w:pPr>
        <w:numPr>
          <w:ilvl w:val="0"/>
          <w:numId w:val="125"/>
        </w:numPr>
        <w:spacing w:after="120"/>
        <w:ind w:left="993" w:hanging="284"/>
        <w:rPr>
          <w:rFonts w:ascii="Calibri" w:hAnsi="Calibri" w:cs="Calibri"/>
          <w:bCs/>
          <w:i/>
          <w:szCs w:val="22"/>
          <w:lang w:eastAsia="en-US"/>
        </w:rPr>
      </w:pPr>
      <w:r w:rsidRPr="008676F9">
        <w:rPr>
          <w:rFonts w:ascii="Calibri" w:hAnsi="Calibri" w:cs="Calibri"/>
          <w:bCs/>
          <w:i/>
          <w:szCs w:val="22"/>
          <w:lang w:eastAsia="en-US"/>
        </w:rPr>
        <w:t xml:space="preserve">ďalšie požiadavky podnikateľského plánu budú stanovené v Príručke pre žiadateľa o </w:t>
      </w:r>
      <w:r w:rsidR="00985792">
        <w:rPr>
          <w:rFonts w:ascii="Calibri" w:hAnsi="Calibri" w:cs="Calibri"/>
          <w:bCs/>
          <w:i/>
          <w:szCs w:val="22"/>
          <w:lang w:eastAsia="en-US"/>
        </w:rPr>
        <w:t>NFP</w:t>
      </w:r>
      <w:r w:rsidRPr="008676F9">
        <w:rPr>
          <w:rFonts w:ascii="Calibri" w:hAnsi="Calibri" w:cs="Calibri"/>
          <w:bCs/>
          <w:i/>
          <w:szCs w:val="22"/>
          <w:lang w:eastAsia="en-US"/>
        </w:rPr>
        <w:t xml:space="preserve">. </w:t>
      </w:r>
    </w:p>
    <w:p w:rsidR="008676F9" w:rsidRPr="008676F9" w:rsidRDefault="008676F9" w:rsidP="00955DA4">
      <w:pPr>
        <w:numPr>
          <w:ilvl w:val="0"/>
          <w:numId w:val="124"/>
        </w:numPr>
        <w:spacing w:after="120"/>
        <w:ind w:left="714" w:hanging="357"/>
        <w:rPr>
          <w:rFonts w:ascii="Calibri" w:hAnsi="Calibri" w:cs="Calibri"/>
          <w:bCs/>
          <w:szCs w:val="22"/>
          <w:lang w:eastAsia="en-US"/>
        </w:rPr>
      </w:pPr>
      <w:r w:rsidRPr="008676F9">
        <w:rPr>
          <w:rFonts w:ascii="Calibri" w:hAnsi="Calibri" w:cs="Calibri"/>
          <w:bCs/>
          <w:szCs w:val="22"/>
          <w:lang w:eastAsia="en-US"/>
        </w:rPr>
        <w:t>realizácia podnikateľského plánu sa musí začať do 9 mesiacov od dátumu rozhodnutia o poskytnutí podpory;</w:t>
      </w:r>
    </w:p>
    <w:p w:rsidR="008676F9" w:rsidRPr="008676F9" w:rsidRDefault="008676F9" w:rsidP="00955DA4">
      <w:pPr>
        <w:numPr>
          <w:ilvl w:val="0"/>
          <w:numId w:val="124"/>
        </w:numPr>
        <w:spacing w:after="120"/>
        <w:ind w:left="714" w:hanging="357"/>
        <w:rPr>
          <w:rFonts w:ascii="Calibri" w:hAnsi="Calibri" w:cs="Calibri"/>
          <w:bCs/>
          <w:szCs w:val="22"/>
          <w:lang w:eastAsia="en-US"/>
        </w:rPr>
      </w:pPr>
      <w:r w:rsidRPr="008676F9">
        <w:rPr>
          <w:rFonts w:ascii="Calibri" w:hAnsi="Calibri" w:cs="Calibri"/>
          <w:bCs/>
          <w:szCs w:val="22"/>
          <w:lang w:eastAsia="en-US"/>
        </w:rPr>
        <w:t>žiadateľ musí spolu s podaním poslednej žiadosti o platbu preukázať, že tržby za vlastné výrobky z RV a/alebo ŽV prekračujú 30 % z celkových tržieb podniku;</w:t>
      </w:r>
    </w:p>
    <w:p w:rsidR="008676F9" w:rsidRPr="008676F9" w:rsidRDefault="008676F9" w:rsidP="00955DA4">
      <w:pPr>
        <w:numPr>
          <w:ilvl w:val="0"/>
          <w:numId w:val="124"/>
        </w:numPr>
        <w:rPr>
          <w:rFonts w:ascii="Calibri" w:hAnsi="Calibri" w:cs="Calibri"/>
          <w:bCs/>
          <w:szCs w:val="22"/>
          <w:lang w:eastAsia="en-US"/>
        </w:rPr>
      </w:pPr>
      <w:r w:rsidRPr="008676F9">
        <w:rPr>
          <w:rFonts w:ascii="Calibri" w:hAnsi="Calibri" w:cs="Calibri"/>
          <w:bCs/>
          <w:szCs w:val="22"/>
          <w:lang w:eastAsia="en-US"/>
        </w:rPr>
        <w:t>povinnosť žiadateľa, ktorý sa nachádza na území MAS, predložiť potvrdenie od MAS, že daný projekt nie je realizovaný prostredníctvom stratégie CLLD miestnej akčnej skupiny.</w:t>
      </w:r>
    </w:p>
    <w:p w:rsidR="00AA6566" w:rsidRDefault="00AA6566" w:rsidP="00AA6566">
      <w:pPr>
        <w:rPr>
          <w:rFonts w:ascii="Calibri" w:eastAsia="Calibri" w:hAnsi="Calibri" w:cs="Calibri"/>
          <w:bCs/>
          <w:szCs w:val="22"/>
          <w:u w:val="single"/>
          <w:lang w:eastAsia="en-US"/>
        </w:rPr>
      </w:pPr>
    </w:p>
    <w:p w:rsidR="008676F9" w:rsidRPr="008676F9" w:rsidRDefault="008676F9" w:rsidP="00AA6566">
      <w:pPr>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Princípy nastavenia výberových kritérií:</w:t>
      </w:r>
    </w:p>
    <w:p w:rsidR="008676F9" w:rsidRPr="008676F9" w:rsidRDefault="008676F9" w:rsidP="00955DA4">
      <w:pPr>
        <w:numPr>
          <w:ilvl w:val="0"/>
          <w:numId w:val="164"/>
        </w:numPr>
        <w:rPr>
          <w:rFonts w:ascii="Calibri" w:hAnsi="Calibri" w:cs="Calibri"/>
          <w:bCs/>
          <w:szCs w:val="22"/>
          <w:lang w:eastAsia="en-US"/>
        </w:rPr>
      </w:pPr>
      <w:r w:rsidRPr="008676F9">
        <w:rPr>
          <w:rFonts w:ascii="Calibri" w:hAnsi="Calibri" w:cs="Calibri"/>
          <w:bCs/>
          <w:szCs w:val="22"/>
          <w:lang w:eastAsia="en-US"/>
        </w:rPr>
        <w:t>uprednostnené budú projekty, ktoré budú mať v podnikateľskom pláne uvedené väčšie zvýšenie podielu poľnohospodárskej produkcie uvádzanej na trh;</w:t>
      </w:r>
    </w:p>
    <w:p w:rsidR="006A6B3A" w:rsidRPr="006A6B3A" w:rsidRDefault="006A6B3A" w:rsidP="00955DA4">
      <w:pPr>
        <w:pStyle w:val="Odsekzoznamu"/>
        <w:numPr>
          <w:ilvl w:val="0"/>
          <w:numId w:val="164"/>
        </w:numPr>
        <w:rPr>
          <w:rFonts w:ascii="Calibri" w:hAnsi="Calibri" w:cs="Calibri"/>
          <w:bCs/>
          <w:szCs w:val="22"/>
          <w:lang w:eastAsia="en-US"/>
        </w:rPr>
      </w:pPr>
      <w:r w:rsidRPr="006A6B3A">
        <w:rPr>
          <w:rFonts w:ascii="Calibri" w:hAnsi="Calibri" w:cs="Calibri"/>
          <w:bCs/>
          <w:szCs w:val="22"/>
          <w:lang w:eastAsia="en-US"/>
        </w:rPr>
        <w:t xml:space="preserve">uprednostnené budú podnikateľské plány zamerané na využívanie nevyužívaných poľnohospodárskych dvorov pred podporou nových stavieb; </w:t>
      </w:r>
    </w:p>
    <w:p w:rsidR="00955DA4" w:rsidRPr="006A6B3A" w:rsidRDefault="00955DA4" w:rsidP="00955DA4">
      <w:pPr>
        <w:pStyle w:val="Odsekzoznamu"/>
        <w:numPr>
          <w:ilvl w:val="0"/>
          <w:numId w:val="164"/>
        </w:numPr>
        <w:rPr>
          <w:rFonts w:ascii="Calibri" w:hAnsi="Calibri" w:cs="Calibri"/>
          <w:bCs/>
          <w:szCs w:val="22"/>
          <w:lang w:eastAsia="en-US"/>
        </w:rPr>
      </w:pPr>
      <w:r>
        <w:rPr>
          <w:rFonts w:ascii="Calibri" w:hAnsi="Calibri" w:cs="Calibri"/>
          <w:bCs/>
          <w:szCs w:val="22"/>
          <w:lang w:eastAsia="en-US"/>
        </w:rPr>
        <w:t>uprednostnené budú malé poľnohospodárske podniky s obratom do 100 000 Eur/ročne;</w:t>
      </w:r>
    </w:p>
    <w:p w:rsidR="008676F9" w:rsidRPr="008676F9" w:rsidRDefault="008676F9" w:rsidP="00955DA4">
      <w:pPr>
        <w:numPr>
          <w:ilvl w:val="0"/>
          <w:numId w:val="164"/>
        </w:numPr>
        <w:rPr>
          <w:rFonts w:ascii="Calibri" w:hAnsi="Calibri" w:cs="Calibri"/>
          <w:bCs/>
          <w:szCs w:val="22"/>
          <w:lang w:eastAsia="en-US"/>
        </w:rPr>
      </w:pPr>
      <w:r w:rsidRPr="008676F9">
        <w:rPr>
          <w:rFonts w:ascii="Calibri" w:hAnsi="Calibri" w:cs="Calibri"/>
          <w:bCs/>
          <w:szCs w:val="22"/>
          <w:lang w:eastAsia="en-US"/>
        </w:rPr>
        <w:t>uprednostnené budú projekty s vyšším počtom vytvorených pracovných miest.</w:t>
      </w:r>
    </w:p>
    <w:p w:rsidR="008676F9" w:rsidRPr="008676F9" w:rsidRDefault="008676F9" w:rsidP="00AA6566">
      <w:pPr>
        <w:rPr>
          <w:rFonts w:ascii="Calibri" w:eastAsia="Calibri" w:hAnsi="Calibri" w:cs="Calibri"/>
          <w:bCs/>
          <w:szCs w:val="22"/>
          <w:u w:val="single"/>
          <w:lang w:eastAsia="en-US"/>
        </w:rPr>
      </w:pPr>
    </w:p>
    <w:p w:rsidR="008676F9" w:rsidRPr="008676F9" w:rsidRDefault="008676F9" w:rsidP="00AA6566">
      <w:pPr>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Výška a miera podpory:</w:t>
      </w:r>
    </w:p>
    <w:p w:rsidR="008676F9" w:rsidRPr="008676F9" w:rsidRDefault="008676F9" w:rsidP="00955DA4">
      <w:pPr>
        <w:numPr>
          <w:ilvl w:val="1"/>
          <w:numId w:val="126"/>
        </w:numPr>
        <w:ind w:left="142" w:hanging="142"/>
        <w:rPr>
          <w:rFonts w:ascii="Calibri" w:hAnsi="Calibri" w:cs="Calibri"/>
          <w:bCs/>
          <w:szCs w:val="22"/>
          <w:lang w:eastAsia="en-US"/>
        </w:rPr>
      </w:pPr>
      <w:r w:rsidRPr="008676F9">
        <w:rPr>
          <w:rFonts w:ascii="Calibri" w:hAnsi="Calibri" w:cs="Calibri"/>
          <w:b/>
          <w:bCs/>
          <w:szCs w:val="22"/>
          <w:lang w:eastAsia="en-US"/>
        </w:rPr>
        <w:t>max. 15 000€ na 1 malý poľnohospodársky podnik</w:t>
      </w:r>
      <w:r w:rsidRPr="008676F9">
        <w:rPr>
          <w:rFonts w:ascii="Calibri" w:hAnsi="Calibri" w:cs="Calibri"/>
          <w:bCs/>
          <w:szCs w:val="22"/>
          <w:lang w:eastAsia="en-US"/>
        </w:rPr>
        <w:t xml:space="preserve"> vo forme 2 splátok po dobu max. 5 rokov, pričom 50% podpory sa vypláca po schválení ŽoNFP a 50% po realizácii projektu.</w:t>
      </w:r>
    </w:p>
    <w:p w:rsidR="008676F9" w:rsidRPr="008676F9" w:rsidRDefault="008676F9" w:rsidP="00AA6566">
      <w:pPr>
        <w:rPr>
          <w:rFonts w:ascii="Calibri" w:eastAsia="Calibri" w:hAnsi="Calibri" w:cs="Calibri"/>
          <w:bCs/>
          <w:szCs w:val="22"/>
          <w:lang w:eastAsia="en-US"/>
        </w:rPr>
      </w:pPr>
    </w:p>
    <w:p w:rsidR="008676F9" w:rsidRPr="008676F9" w:rsidRDefault="008676F9" w:rsidP="00AA6566">
      <w:pPr>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Ďalšie informácie špecifické pre podopatrenie:</w:t>
      </w:r>
    </w:p>
    <w:p w:rsidR="00955DA4" w:rsidRPr="008676F9" w:rsidRDefault="00955DA4" w:rsidP="00955DA4">
      <w:pPr>
        <w:spacing w:after="120"/>
        <w:rPr>
          <w:rFonts w:ascii="Calibri" w:eastAsia="Calibri" w:hAnsi="Calibri" w:cs="Calibri"/>
          <w:bCs/>
          <w:szCs w:val="22"/>
          <w:lang w:eastAsia="en-US"/>
        </w:rPr>
      </w:pPr>
      <w:r w:rsidRPr="008676F9">
        <w:rPr>
          <w:rFonts w:ascii="Calibri" w:eastAsia="Calibri" w:hAnsi="Calibri" w:cs="Calibri"/>
          <w:bCs/>
          <w:i/>
          <w:szCs w:val="22"/>
          <w:lang w:eastAsia="en-US"/>
        </w:rPr>
        <w:t>Definícia malej farmy</w:t>
      </w:r>
      <w:r w:rsidRPr="008676F9">
        <w:rPr>
          <w:rFonts w:ascii="Calibri" w:eastAsia="Calibri" w:hAnsi="Calibri" w:cs="Calibri"/>
          <w:bCs/>
          <w:szCs w:val="22"/>
          <w:lang w:eastAsia="en-US"/>
        </w:rPr>
        <w:t xml:space="preserve"> v zmysle článku 19(1)(a)(i):pre účely PRV SR 2014-2020 sa malou farmou rozumie Samostatne hospodáriaci roľník (mikropodnik v zmysle odporúčania Komisie 2003/361/ES) podnikajúci v poľnohospodárskej prvovýrobe, ktorého ročný podiel poľnohospodárskej produkcie uvádzanej na trh nepresahuje 30% z celkovej poľnohospodárskej produkcie</w:t>
      </w:r>
      <w:r>
        <w:rPr>
          <w:rFonts w:ascii="Calibri" w:eastAsia="Calibri" w:hAnsi="Calibri" w:cs="Calibri"/>
          <w:bCs/>
          <w:szCs w:val="22"/>
          <w:lang w:eastAsia="en-US"/>
        </w:rPr>
        <w:t xml:space="preserve"> (vychádza z finančného vyjadrenia v súlade s účtovníctvom)</w:t>
      </w:r>
      <w:r w:rsidRPr="008676F9">
        <w:rPr>
          <w:rFonts w:ascii="Calibri" w:eastAsia="Calibri" w:hAnsi="Calibri" w:cs="Calibri"/>
          <w:bCs/>
          <w:szCs w:val="22"/>
          <w:lang w:eastAsia="en-US"/>
        </w:rPr>
        <w:t>.</w:t>
      </w:r>
    </w:p>
    <w:p w:rsidR="00955DA4" w:rsidRDefault="00955DA4" w:rsidP="00955DA4">
      <w:pPr>
        <w:spacing w:after="120"/>
        <w:rPr>
          <w:rFonts w:ascii="Calibri" w:eastAsia="Calibri" w:hAnsi="Calibri" w:cs="Calibri"/>
          <w:bCs/>
          <w:szCs w:val="22"/>
          <w:lang w:eastAsia="en-US"/>
        </w:rPr>
      </w:pPr>
      <w:r w:rsidRPr="008676F9">
        <w:rPr>
          <w:rFonts w:ascii="Calibri" w:eastAsia="Calibri" w:hAnsi="Calibri" w:cs="Calibri"/>
          <w:bCs/>
          <w:i/>
          <w:szCs w:val="22"/>
          <w:lang w:eastAsia="en-US"/>
        </w:rPr>
        <w:t>Definícia dolného a horného limitu</w:t>
      </w:r>
      <w:r w:rsidRPr="008676F9">
        <w:rPr>
          <w:rFonts w:ascii="Calibri" w:eastAsia="Calibri" w:hAnsi="Calibri" w:cs="Calibri"/>
          <w:bCs/>
          <w:szCs w:val="22"/>
          <w:lang w:eastAsia="en-US"/>
        </w:rPr>
        <w:t xml:space="preserve"> v zmysle článku 19(4): dolný a horný limit prahovej hodnoty pre povolenie prístupu poľnohospodárskym podnikom k podpore v rámci opatrenia 6.1 a 6.3 je % </w:t>
      </w:r>
      <w:r>
        <w:rPr>
          <w:rFonts w:ascii="Calibri" w:eastAsia="Calibri" w:hAnsi="Calibri" w:cs="Calibri"/>
          <w:bCs/>
          <w:szCs w:val="22"/>
          <w:lang w:eastAsia="en-US"/>
        </w:rPr>
        <w:t>podiel</w:t>
      </w:r>
      <w:r w:rsidRPr="008676F9">
        <w:rPr>
          <w:rFonts w:ascii="Calibri" w:eastAsia="Calibri" w:hAnsi="Calibri" w:cs="Calibri"/>
          <w:bCs/>
          <w:szCs w:val="22"/>
          <w:lang w:eastAsia="en-US"/>
        </w:rPr>
        <w:t xml:space="preserve"> poľnohospodárskej produkcie uvádzanej na trh z celkovej poľnohospodárskej produkcie</w:t>
      </w:r>
      <w:r>
        <w:rPr>
          <w:rFonts w:ascii="Calibri" w:eastAsia="Calibri" w:hAnsi="Calibri" w:cs="Calibri"/>
          <w:bCs/>
          <w:szCs w:val="22"/>
          <w:lang w:eastAsia="en-US"/>
        </w:rPr>
        <w:t xml:space="preserve"> (vychádza z finančného vyjadrenia v súlade s účtovníctvom)</w:t>
      </w:r>
      <w:r w:rsidRPr="008676F9">
        <w:rPr>
          <w:rFonts w:ascii="Calibri" w:eastAsia="Calibri" w:hAnsi="Calibri" w:cs="Calibri"/>
          <w:bCs/>
          <w:szCs w:val="22"/>
          <w:lang w:eastAsia="en-US"/>
        </w:rPr>
        <w:t>. V prípade podopatrenia 6.1 je podmienkou pre vstup do podpory uvádzať viac ako 30% svojej</w:t>
      </w:r>
      <w:r>
        <w:rPr>
          <w:rFonts w:ascii="Calibri" w:eastAsia="Calibri" w:hAnsi="Calibri" w:cs="Calibri"/>
          <w:bCs/>
          <w:szCs w:val="22"/>
          <w:lang w:eastAsia="en-US"/>
        </w:rPr>
        <w:t xml:space="preserve"> celkovej</w:t>
      </w:r>
      <w:r w:rsidRPr="008676F9">
        <w:rPr>
          <w:rFonts w:ascii="Calibri" w:eastAsia="Calibri" w:hAnsi="Calibri" w:cs="Calibri"/>
          <w:bCs/>
          <w:szCs w:val="22"/>
          <w:lang w:eastAsia="en-US"/>
        </w:rPr>
        <w:t xml:space="preserve"> poľnohospodárskej produkcie na trh a v prípade podopatrenie 6.3 uvádzať na trh menej ako 30% zo svojej celkovej poľnohospodárskej produkcie.</w:t>
      </w:r>
    </w:p>
    <w:p w:rsidR="00985792" w:rsidRPr="008676F9" w:rsidRDefault="00985792" w:rsidP="00985792">
      <w:pPr>
        <w:spacing w:after="120"/>
        <w:rPr>
          <w:rFonts w:ascii="Calibri" w:eastAsia="Calibri" w:hAnsi="Calibri" w:cs="Calibri"/>
          <w:bCs/>
          <w:szCs w:val="22"/>
          <w:lang w:eastAsia="en-US"/>
        </w:rPr>
      </w:pPr>
      <w:r w:rsidRPr="008676F9">
        <w:rPr>
          <w:rFonts w:ascii="Calibri" w:eastAsia="Calibri" w:hAnsi="Calibri" w:cs="Calibri"/>
          <w:bCs/>
          <w:i/>
          <w:szCs w:val="22"/>
          <w:lang w:eastAsia="en-US"/>
        </w:rPr>
        <w:t>Špecializovaná rastlinná výroba</w:t>
      </w:r>
      <w:r w:rsidRPr="008676F9">
        <w:rPr>
          <w:rFonts w:ascii="Calibri" w:eastAsia="Calibri" w:hAnsi="Calibri" w:cs="Calibri"/>
          <w:bCs/>
          <w:szCs w:val="22"/>
          <w:lang w:eastAsia="en-US"/>
        </w:rPr>
        <w:t xml:space="preserve"> je poľnohospodárska prvovýroba zameraná na pestovanie plodín mierneho pásma, ktoré sú uvedené v kapitole 07 „Zelenina, jedlé rastliny, korene a hľuzy“ a v kapitole 08 „Jedlé ovocie a orechy, šupy citrusových plodov alebo melónov“ Kombinovanej nomenklatúry zatriedenia tovaru a aromatické a liečivé rastliny. Číselné označenie kapitol sa môže meniť, záväzný je názov kapitoly.</w:t>
      </w:r>
    </w:p>
    <w:p w:rsidR="008676F9" w:rsidRPr="008676F9" w:rsidRDefault="008676F9" w:rsidP="00AA6566">
      <w:pPr>
        <w:rPr>
          <w:rFonts w:ascii="Calibri" w:eastAsia="Calibri" w:hAnsi="Calibri" w:cs="Calibri"/>
          <w:bCs/>
          <w:szCs w:val="22"/>
          <w:lang w:eastAsia="en-US"/>
        </w:rPr>
      </w:pPr>
      <w:r w:rsidRPr="008676F9">
        <w:rPr>
          <w:rFonts w:ascii="Calibri" w:eastAsia="Calibri" w:hAnsi="Calibri" w:cs="Calibri"/>
          <w:bCs/>
          <w:szCs w:val="22"/>
          <w:lang w:eastAsia="en-US"/>
        </w:rPr>
        <w:t xml:space="preserve">  </w:t>
      </w:r>
    </w:p>
    <w:p w:rsidR="008676F9" w:rsidRPr="008676F9" w:rsidRDefault="008676F9" w:rsidP="00AA6566">
      <w:pPr>
        <w:rPr>
          <w:rFonts w:ascii="Calibri" w:eastAsia="Calibri" w:hAnsi="Calibri" w:cs="Calibri"/>
          <w:bCs/>
          <w:szCs w:val="22"/>
          <w:lang w:eastAsia="en-US"/>
        </w:rPr>
      </w:pPr>
      <w:r w:rsidRPr="008676F9">
        <w:rPr>
          <w:rFonts w:ascii="Calibri" w:eastAsia="Calibri" w:hAnsi="Calibri" w:cs="Calibri"/>
          <w:bCs/>
          <w:szCs w:val="22"/>
          <w:lang w:eastAsia="en-US"/>
        </w:rPr>
        <w:br w:type="page"/>
      </w:r>
    </w:p>
    <w:p w:rsidR="008676F9" w:rsidRPr="008676F9" w:rsidRDefault="008676F9" w:rsidP="00AA6566">
      <w:pPr>
        <w:shd w:val="clear" w:color="auto" w:fill="D6E3BC"/>
        <w:ind w:left="1985" w:hanging="1985"/>
        <w:rPr>
          <w:rFonts w:ascii="Calibri" w:eastAsia="Calibri" w:hAnsi="Calibri" w:cs="Calibri"/>
          <w:b/>
          <w:bCs/>
          <w:i/>
          <w:lang w:eastAsia="en-US"/>
        </w:rPr>
      </w:pPr>
      <w:r w:rsidRPr="008676F9">
        <w:rPr>
          <w:rFonts w:ascii="Calibri" w:eastAsia="Calibri" w:hAnsi="Calibri" w:cs="Calibri"/>
          <w:bCs/>
          <w:lang w:eastAsia="en-US"/>
        </w:rPr>
        <w:t xml:space="preserve">Podopatrenie: </w:t>
      </w:r>
      <w:r w:rsidRPr="008676F9">
        <w:rPr>
          <w:rFonts w:ascii="Calibri" w:eastAsia="Calibri" w:hAnsi="Calibri" w:cs="Calibri"/>
          <w:b/>
          <w:bCs/>
          <w:i/>
          <w:lang w:eastAsia="en-US"/>
        </w:rPr>
        <w:t xml:space="preserve">6.4 </w:t>
      </w:r>
      <w:r w:rsidRPr="00BD13CE">
        <w:rPr>
          <w:rFonts w:ascii="Calibri" w:eastAsia="Calibri" w:hAnsi="Calibri" w:cs="Calibri"/>
          <w:b/>
          <w:bCs/>
          <w:i/>
          <w:sz w:val="24"/>
          <w:lang w:eastAsia="en-US"/>
        </w:rPr>
        <w:t>Podpora investícií do vytvárania a rozvoja nepoľnohospodárskych činností</w:t>
      </w:r>
    </w:p>
    <w:p w:rsidR="008676F9" w:rsidRPr="008676F9" w:rsidRDefault="008676F9" w:rsidP="00AA6566">
      <w:pPr>
        <w:shd w:val="clear" w:color="auto" w:fill="FBD4B4"/>
        <w:rPr>
          <w:rFonts w:ascii="Calibri" w:eastAsia="Calibri" w:hAnsi="Calibri" w:cs="Calibri"/>
          <w:bCs/>
          <w:szCs w:val="22"/>
          <w:lang w:eastAsia="en-US"/>
        </w:rPr>
      </w:pPr>
      <w:r w:rsidRPr="008676F9">
        <w:rPr>
          <w:rFonts w:ascii="Calibri" w:eastAsia="Calibri" w:hAnsi="Calibri" w:cs="Calibri"/>
          <w:bCs/>
          <w:szCs w:val="22"/>
          <w:u w:val="single"/>
          <w:lang w:eastAsia="en-US"/>
        </w:rPr>
        <w:t>Názov operácie</w:t>
      </w:r>
      <w:r w:rsidRPr="008676F9">
        <w:rPr>
          <w:rFonts w:ascii="Calibri" w:eastAsia="Calibri" w:hAnsi="Calibri" w:cs="Calibri"/>
          <w:bCs/>
          <w:szCs w:val="22"/>
          <w:lang w:eastAsia="en-US"/>
        </w:rPr>
        <w:t xml:space="preserve">: </w:t>
      </w:r>
    </w:p>
    <w:p w:rsidR="008676F9" w:rsidRPr="008676F9" w:rsidRDefault="008676F9" w:rsidP="00AA6566">
      <w:pPr>
        <w:shd w:val="clear" w:color="auto" w:fill="FBD4B4"/>
        <w:rPr>
          <w:rFonts w:ascii="Calibri" w:eastAsia="Calibri" w:hAnsi="Calibri" w:cs="Calibri"/>
          <w:bCs/>
          <w:i/>
          <w:szCs w:val="22"/>
          <w:lang w:eastAsia="en-US"/>
        </w:rPr>
      </w:pPr>
      <w:r w:rsidRPr="008676F9">
        <w:rPr>
          <w:rFonts w:ascii="Calibri" w:eastAsia="Calibri" w:hAnsi="Calibri" w:cs="Calibri"/>
          <w:bCs/>
          <w:i/>
          <w:szCs w:val="22"/>
          <w:lang w:eastAsia="en-US"/>
        </w:rPr>
        <w:t>Uľahčenie diverzifikácie a vytváranie pracovných miest vo vidieckych oblastiach.</w:t>
      </w:r>
    </w:p>
    <w:p w:rsidR="008676F9" w:rsidRPr="008676F9" w:rsidRDefault="008676F9" w:rsidP="00AA6566">
      <w:pPr>
        <w:rPr>
          <w:rFonts w:ascii="Calibri" w:eastAsia="Calibri" w:hAnsi="Calibri" w:cs="Calibri"/>
          <w:bCs/>
          <w:szCs w:val="22"/>
          <w:lang w:eastAsia="en-US"/>
        </w:rPr>
      </w:pPr>
    </w:p>
    <w:p w:rsidR="008676F9" w:rsidRPr="008676F9" w:rsidRDefault="008676F9" w:rsidP="00AA6566">
      <w:pPr>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Opis operácie:</w:t>
      </w:r>
    </w:p>
    <w:p w:rsidR="00955DA4" w:rsidRPr="008676F9" w:rsidRDefault="00955DA4" w:rsidP="00BD13CE">
      <w:pPr>
        <w:spacing w:after="120"/>
        <w:rPr>
          <w:rFonts w:ascii="Calibri" w:hAnsi="Calibri" w:cs="Calibri"/>
          <w:szCs w:val="22"/>
          <w:lang w:eastAsia="en-US"/>
        </w:rPr>
      </w:pPr>
      <w:r w:rsidRPr="008676F9">
        <w:rPr>
          <w:rFonts w:ascii="Calibri" w:hAnsi="Calibri" w:cs="Calibri"/>
          <w:b/>
          <w:szCs w:val="22"/>
          <w:lang w:eastAsia="en-US"/>
        </w:rPr>
        <w:t xml:space="preserve">Činnosť 1: </w:t>
      </w:r>
      <w:r w:rsidRPr="008676F9">
        <w:rPr>
          <w:rFonts w:ascii="Calibri" w:hAnsi="Calibri" w:cs="Calibri"/>
          <w:szCs w:val="22"/>
          <w:lang w:eastAsia="en-US"/>
        </w:rPr>
        <w:t>činnosti spojené s </w:t>
      </w:r>
      <w:r w:rsidRPr="008676F9">
        <w:rPr>
          <w:rFonts w:ascii="Calibri" w:hAnsi="Calibri" w:cs="Calibri"/>
          <w:b/>
          <w:i/>
          <w:szCs w:val="22"/>
          <w:lang w:eastAsia="en-US"/>
        </w:rPr>
        <w:t>vidieckym cestovným ruchom a agroturistikou</w:t>
      </w:r>
      <w:r w:rsidRPr="008676F9">
        <w:rPr>
          <w:rFonts w:ascii="Calibri" w:hAnsi="Calibri" w:cs="Calibri"/>
          <w:szCs w:val="22"/>
          <w:lang w:eastAsia="en-US"/>
        </w:rPr>
        <w:t xml:space="preserve"> zamerané na vytváranie podmienok pre rekreačné a relaxačné činnosti, vrátane vytvárania podmienok na poskytovanie vzdelávania a vytvorenie konferenčných priestorov. </w:t>
      </w:r>
    </w:p>
    <w:p w:rsidR="00955DA4" w:rsidRPr="008676F9" w:rsidRDefault="00955DA4" w:rsidP="00955DA4">
      <w:pPr>
        <w:rPr>
          <w:rFonts w:ascii="Calibri" w:hAnsi="Calibri" w:cs="Calibri"/>
          <w:b/>
          <w:szCs w:val="22"/>
          <w:lang w:eastAsia="en-US"/>
        </w:rPr>
      </w:pPr>
      <w:r w:rsidRPr="008676F9">
        <w:rPr>
          <w:rFonts w:ascii="Calibri" w:hAnsi="Calibri" w:cs="Calibri"/>
          <w:szCs w:val="22"/>
          <w:lang w:eastAsia="en-US"/>
        </w:rPr>
        <w:t xml:space="preserve">V rámci tejto činnosti nie je oprávnená výstavba ubytovacích zariadení. Oprávnená je len rekonštrukcia a modernizácia existujúcich ubytovacích zariadení </w:t>
      </w:r>
      <w:r>
        <w:rPr>
          <w:rFonts w:ascii="Calibri" w:hAnsi="Calibri" w:cs="Calibri"/>
          <w:szCs w:val="22"/>
          <w:lang w:eastAsia="en-US"/>
        </w:rPr>
        <w:t xml:space="preserve">s kapacitou </w:t>
      </w:r>
      <w:r w:rsidRPr="008676F9">
        <w:rPr>
          <w:rFonts w:ascii="Calibri" w:hAnsi="Calibri" w:cs="Calibri"/>
          <w:szCs w:val="22"/>
          <w:lang w:eastAsia="en-US"/>
        </w:rPr>
        <w:t xml:space="preserve">do </w:t>
      </w:r>
      <w:r>
        <w:rPr>
          <w:rFonts w:ascii="Calibri" w:hAnsi="Calibri" w:cs="Calibri"/>
          <w:szCs w:val="22"/>
          <w:lang w:eastAsia="en-US"/>
        </w:rPr>
        <w:t>10</w:t>
      </w:r>
      <w:r w:rsidRPr="008676F9">
        <w:rPr>
          <w:rFonts w:ascii="Calibri" w:hAnsi="Calibri" w:cs="Calibri"/>
          <w:szCs w:val="22"/>
          <w:lang w:eastAsia="en-US"/>
        </w:rPr>
        <w:t xml:space="preserve"> lôžok, ako aj nevyužívaných objektov </w:t>
      </w:r>
      <w:r>
        <w:rPr>
          <w:rFonts w:ascii="Calibri" w:hAnsi="Calibri" w:cs="Calibri"/>
          <w:szCs w:val="22"/>
          <w:lang w:eastAsia="en-US"/>
        </w:rPr>
        <w:t xml:space="preserve">s kapacitou </w:t>
      </w:r>
      <w:r w:rsidRPr="008676F9">
        <w:rPr>
          <w:rFonts w:ascii="Calibri" w:hAnsi="Calibri" w:cs="Calibri"/>
          <w:szCs w:val="22"/>
          <w:lang w:eastAsia="en-US"/>
        </w:rPr>
        <w:t xml:space="preserve">do </w:t>
      </w:r>
      <w:r>
        <w:rPr>
          <w:rFonts w:ascii="Calibri" w:hAnsi="Calibri" w:cs="Calibri"/>
          <w:szCs w:val="22"/>
          <w:lang w:eastAsia="en-US"/>
        </w:rPr>
        <w:t>10</w:t>
      </w:r>
      <w:r w:rsidRPr="008676F9">
        <w:rPr>
          <w:rFonts w:ascii="Calibri" w:hAnsi="Calibri" w:cs="Calibri"/>
          <w:szCs w:val="22"/>
          <w:lang w:eastAsia="en-US"/>
        </w:rPr>
        <w:t xml:space="preserve"> lôžok, a to len v nadväznosti na vytvorenie alebo modernizáciu areálu na rozvoj rekreačných a relaxačných činností;</w:t>
      </w:r>
    </w:p>
    <w:p w:rsidR="00955DA4" w:rsidRDefault="00955DA4" w:rsidP="00955DA4">
      <w:pPr>
        <w:autoSpaceDE w:val="0"/>
        <w:autoSpaceDN w:val="0"/>
        <w:adjustRightInd w:val="0"/>
        <w:rPr>
          <w:rFonts w:ascii="Calibri" w:hAnsi="Calibri" w:cs="Calibri"/>
          <w:b/>
          <w:szCs w:val="22"/>
          <w:lang w:eastAsia="en-US"/>
        </w:rPr>
      </w:pPr>
    </w:p>
    <w:p w:rsidR="00955DA4" w:rsidRPr="008676F9" w:rsidRDefault="00955DA4" w:rsidP="00955DA4">
      <w:pPr>
        <w:autoSpaceDE w:val="0"/>
        <w:autoSpaceDN w:val="0"/>
        <w:adjustRightInd w:val="0"/>
        <w:rPr>
          <w:rFonts w:ascii="Calibri" w:hAnsi="Calibri" w:cs="Calibri"/>
          <w:b/>
          <w:szCs w:val="22"/>
          <w:lang w:eastAsia="en-US"/>
        </w:rPr>
      </w:pPr>
      <w:r w:rsidRPr="008676F9">
        <w:rPr>
          <w:rFonts w:ascii="Calibri" w:hAnsi="Calibri" w:cs="Calibri"/>
          <w:b/>
          <w:szCs w:val="22"/>
          <w:lang w:eastAsia="en-US"/>
        </w:rPr>
        <w:t xml:space="preserve">Činnosť 2: </w:t>
      </w:r>
      <w:r w:rsidRPr="008676F9">
        <w:rPr>
          <w:rFonts w:ascii="Calibri" w:hAnsi="Calibri" w:cs="Calibri"/>
          <w:szCs w:val="22"/>
          <w:lang w:eastAsia="en-US"/>
        </w:rPr>
        <w:t xml:space="preserve">činnosti spojené s poskytovaním služieb pre cieľovú skupinu: </w:t>
      </w:r>
      <w:r w:rsidRPr="008676F9">
        <w:rPr>
          <w:rFonts w:ascii="Calibri" w:hAnsi="Calibri" w:cs="Calibri"/>
          <w:b/>
          <w:i/>
          <w:szCs w:val="22"/>
          <w:lang w:eastAsia="en-US"/>
        </w:rPr>
        <w:t>deti, seniori a občania so zníženou schopnosťou pohybu</w:t>
      </w:r>
      <w:r w:rsidRPr="008676F9">
        <w:rPr>
          <w:rFonts w:ascii="Calibri" w:hAnsi="Calibri" w:cs="Calibri"/>
          <w:i/>
          <w:szCs w:val="22"/>
          <w:lang w:eastAsia="en-US"/>
        </w:rPr>
        <w:t>.</w:t>
      </w:r>
      <w:r w:rsidRPr="008676F9">
        <w:rPr>
          <w:rFonts w:ascii="Calibri" w:hAnsi="Calibri" w:cs="Calibri"/>
          <w:szCs w:val="22"/>
          <w:lang w:eastAsia="en-US"/>
        </w:rPr>
        <w:t xml:space="preserve"> V rámci danej oblasti je možné sa zamerať aj na terapie (hipoterapia, </w:t>
      </w:r>
      <w:r w:rsidRPr="008676F9">
        <w:rPr>
          <w:rFonts w:ascii="Calibri" w:hAnsi="Calibri"/>
          <w:szCs w:val="22"/>
          <w:lang w:eastAsia="en-US"/>
        </w:rPr>
        <w:t>animoterapia)</w:t>
      </w:r>
      <w:r w:rsidRPr="008676F9">
        <w:rPr>
          <w:rFonts w:ascii="Calibri" w:hAnsi="Calibri" w:cs="Calibri"/>
          <w:szCs w:val="22"/>
          <w:lang w:eastAsia="en-US"/>
        </w:rPr>
        <w:t xml:space="preserve">, lesnú pedagogiku a pod., ktoré prispievajú k rekonvalescencii, lepšiemu začleneniu do spoločenského života, </w:t>
      </w:r>
      <w:r>
        <w:rPr>
          <w:rFonts w:ascii="Calibri" w:hAnsi="Calibri" w:cs="Calibri"/>
          <w:szCs w:val="22"/>
          <w:lang w:eastAsia="en-US"/>
        </w:rPr>
        <w:t>zvýšeniu motoriky</w:t>
      </w:r>
      <w:r w:rsidRPr="008676F9">
        <w:rPr>
          <w:rFonts w:ascii="Calibri" w:hAnsi="Calibri" w:cs="Calibri"/>
          <w:szCs w:val="22"/>
          <w:lang w:eastAsia="en-US"/>
        </w:rPr>
        <w:t xml:space="preserve"> cieľovej skupiny; </w:t>
      </w:r>
    </w:p>
    <w:p w:rsidR="00955DA4" w:rsidRDefault="00955DA4" w:rsidP="00955DA4">
      <w:pPr>
        <w:rPr>
          <w:rFonts w:ascii="Calibri" w:hAnsi="Calibri" w:cs="Calibri"/>
          <w:b/>
          <w:szCs w:val="22"/>
          <w:lang w:eastAsia="en-US"/>
        </w:rPr>
      </w:pPr>
    </w:p>
    <w:p w:rsidR="00AB1B3F" w:rsidRPr="008676F9" w:rsidRDefault="00955DA4" w:rsidP="00AB1B3F">
      <w:pPr>
        <w:rPr>
          <w:rFonts w:ascii="Calibri" w:hAnsi="Calibri" w:cs="Calibri"/>
          <w:szCs w:val="22"/>
          <w:lang w:eastAsia="en-US"/>
        </w:rPr>
      </w:pPr>
      <w:r w:rsidRPr="008676F9">
        <w:rPr>
          <w:rFonts w:ascii="Calibri" w:hAnsi="Calibri" w:cs="Calibri"/>
          <w:b/>
          <w:szCs w:val="22"/>
          <w:lang w:eastAsia="en-US"/>
        </w:rPr>
        <w:t>Činnosť 3:</w:t>
      </w:r>
      <w:r w:rsidRPr="008676F9">
        <w:rPr>
          <w:rFonts w:ascii="Calibri" w:hAnsi="Calibri" w:cs="Calibri"/>
          <w:szCs w:val="22"/>
          <w:lang w:eastAsia="en-US"/>
        </w:rPr>
        <w:t xml:space="preserve"> </w:t>
      </w:r>
      <w:r w:rsidRPr="008676F9">
        <w:rPr>
          <w:rFonts w:ascii="Calibri" w:hAnsi="Calibri" w:cs="Calibri"/>
          <w:b/>
          <w:i/>
          <w:szCs w:val="22"/>
          <w:lang w:eastAsia="en-US"/>
        </w:rPr>
        <w:t>spracovanie a uvádzanie na trh produktov mimo poľnohospodárstva a potravinárstva</w:t>
      </w:r>
      <w:r w:rsidRPr="008676F9">
        <w:rPr>
          <w:rFonts w:ascii="Calibri" w:hAnsi="Calibri" w:cs="Calibri"/>
          <w:szCs w:val="22"/>
          <w:lang w:eastAsia="en-US"/>
        </w:rPr>
        <w:t>, (ktorých vstup a výstup spracovania nespadá do prílohy I ZFEÚ) vrátane doplnkovej výroby nepoľnohospodárskeho</w:t>
      </w:r>
      <w:r>
        <w:rPr>
          <w:rFonts w:ascii="Calibri" w:hAnsi="Calibri" w:cs="Calibri"/>
          <w:szCs w:val="22"/>
          <w:lang w:eastAsia="en-US"/>
        </w:rPr>
        <w:t>,</w:t>
      </w:r>
      <w:r w:rsidRPr="008676F9">
        <w:rPr>
          <w:rFonts w:ascii="Calibri" w:hAnsi="Calibri" w:cs="Calibri"/>
          <w:szCs w:val="22"/>
          <w:lang w:eastAsia="en-US"/>
        </w:rPr>
        <w:t> nelesného</w:t>
      </w:r>
      <w:r>
        <w:rPr>
          <w:rFonts w:ascii="Calibri" w:hAnsi="Calibri" w:cs="Calibri"/>
          <w:szCs w:val="22"/>
          <w:lang w:eastAsia="en-US"/>
        </w:rPr>
        <w:t xml:space="preserve"> a neakvakultúrneho</w:t>
      </w:r>
      <w:r w:rsidRPr="008676F9">
        <w:rPr>
          <w:rFonts w:ascii="Calibri" w:hAnsi="Calibri" w:cs="Calibri"/>
          <w:szCs w:val="22"/>
          <w:lang w:eastAsia="en-US"/>
        </w:rPr>
        <w:t xml:space="preserve"> charakteru, ako aj predaj vlastných produktov (vrátane zriadenia mobilných predajných miest) a výrobkov a/alebo produktov iných poľnohospodárov a obhospodarovateľov lesa a akvakultúrnych podnikov za účelom ekonomického rozvoja daného územia. </w:t>
      </w:r>
      <w:r w:rsidR="00AB1B3F">
        <w:rPr>
          <w:rFonts w:ascii="Calibri" w:hAnsi="Calibri" w:cs="Calibri"/>
          <w:szCs w:val="22"/>
          <w:lang w:eastAsia="en-US"/>
        </w:rPr>
        <w:t xml:space="preserve">Oprávnená je aj tvorba a rozvoj činností spojených s poskytovaním služieb, najmä služieb súvisiacich so skladovaním, logistikou a dopravou. </w:t>
      </w:r>
    </w:p>
    <w:p w:rsidR="00955DA4" w:rsidRPr="008676F9" w:rsidRDefault="00955DA4" w:rsidP="00955DA4">
      <w:pPr>
        <w:rPr>
          <w:rFonts w:ascii="Calibri" w:hAnsi="Calibri" w:cs="Calibri"/>
          <w:szCs w:val="22"/>
          <w:lang w:eastAsia="en-US"/>
        </w:rPr>
      </w:pPr>
    </w:p>
    <w:p w:rsidR="00955DA4" w:rsidRPr="008676F9" w:rsidRDefault="00955DA4" w:rsidP="00955DA4">
      <w:pPr>
        <w:spacing w:after="120"/>
        <w:rPr>
          <w:rFonts w:ascii="Calibri" w:eastAsia="Calibri" w:hAnsi="Calibri" w:cs="Calibri"/>
          <w:szCs w:val="22"/>
          <w:lang w:eastAsia="en-US"/>
        </w:rPr>
      </w:pPr>
      <w:r w:rsidRPr="008676F9">
        <w:rPr>
          <w:rFonts w:ascii="Calibri" w:hAnsi="Calibri" w:cs="Calibri"/>
          <w:szCs w:val="22"/>
          <w:lang w:eastAsia="en-US"/>
        </w:rPr>
        <w:t>V</w:t>
      </w:r>
      <w:r w:rsidRPr="008676F9">
        <w:rPr>
          <w:rFonts w:ascii="Calibri" w:eastAsia="Calibri" w:hAnsi="Calibri" w:cs="Calibri"/>
          <w:szCs w:val="22"/>
          <w:lang w:eastAsia="en-US"/>
        </w:rPr>
        <w:t xml:space="preserve"> rámci využívania </w:t>
      </w:r>
      <w:r w:rsidRPr="008676F9">
        <w:rPr>
          <w:rFonts w:ascii="Calibri" w:eastAsia="Calibri" w:hAnsi="Calibri" w:cs="Calibri"/>
          <w:b/>
          <w:i/>
          <w:szCs w:val="22"/>
          <w:lang w:eastAsia="en-US"/>
        </w:rPr>
        <w:t>obnoviteľných zdrojov energie</w:t>
      </w:r>
      <w:r w:rsidRPr="008676F9">
        <w:rPr>
          <w:rFonts w:ascii="Calibri" w:eastAsia="Calibri" w:hAnsi="Calibri" w:cs="Calibri"/>
          <w:szCs w:val="22"/>
          <w:lang w:eastAsia="en-US"/>
        </w:rPr>
        <w:t xml:space="preserve"> sú oprávnené nasledovné investície za podmienky, že časť energie prijímateľ podpory spotrebuje vo vlastnom podniku</w:t>
      </w:r>
      <w:r>
        <w:rPr>
          <w:rFonts w:ascii="Calibri" w:eastAsia="Calibri" w:hAnsi="Calibri" w:cs="Calibri"/>
          <w:szCs w:val="22"/>
          <w:lang w:eastAsia="en-US"/>
        </w:rPr>
        <w:t xml:space="preserve"> a v prípade využívania solárnej energie, táto pokryje aj časť jeho spotreby tepla resp. bude vyrobená elektrina použitá na klimatizáciu a pod.</w:t>
      </w:r>
      <w:r w:rsidRPr="008676F9">
        <w:rPr>
          <w:rFonts w:ascii="Calibri" w:eastAsia="Calibri" w:hAnsi="Calibri" w:cs="Calibri"/>
          <w:szCs w:val="22"/>
          <w:lang w:eastAsia="en-US"/>
        </w:rPr>
        <w:t>:</w:t>
      </w:r>
    </w:p>
    <w:p w:rsidR="00955DA4" w:rsidRPr="008676F9" w:rsidRDefault="00955DA4" w:rsidP="00955DA4">
      <w:pPr>
        <w:numPr>
          <w:ilvl w:val="0"/>
          <w:numId w:val="165"/>
        </w:numPr>
        <w:spacing w:after="120"/>
        <w:rPr>
          <w:rFonts w:ascii="Calibri" w:hAnsi="Calibri" w:cs="Calibri"/>
          <w:szCs w:val="22"/>
          <w:lang w:eastAsia="en-US"/>
        </w:rPr>
      </w:pPr>
      <w:r w:rsidRPr="008676F9">
        <w:rPr>
          <w:rFonts w:ascii="Calibri" w:hAnsi="Calibri" w:cs="Calibri"/>
          <w:szCs w:val="22"/>
          <w:lang w:eastAsia="en-US"/>
        </w:rPr>
        <w:t>investície</w:t>
      </w:r>
      <w:r w:rsidRPr="008676F9">
        <w:rPr>
          <w:rFonts w:ascii="Calibri" w:hAnsi="Calibri"/>
          <w:szCs w:val="22"/>
          <w:lang w:eastAsia="en-US"/>
        </w:rPr>
        <w:t xml:space="preserve"> na budovanie zariadení na energetické využívanie </w:t>
      </w:r>
      <w:r w:rsidRPr="008676F9">
        <w:rPr>
          <w:rFonts w:ascii="Calibri" w:hAnsi="Calibri"/>
          <w:i/>
          <w:szCs w:val="22"/>
          <w:lang w:eastAsia="en-US"/>
        </w:rPr>
        <w:t>drevnej biomasy</w:t>
      </w:r>
      <w:r w:rsidRPr="008676F9">
        <w:rPr>
          <w:rFonts w:ascii="Calibri" w:hAnsi="Calibri"/>
          <w:szCs w:val="22"/>
          <w:lang w:eastAsia="en-US"/>
        </w:rPr>
        <w:t xml:space="preserve"> na výrobu elektriny a tepla spaľovaním plynu vyrobeného</w:t>
      </w:r>
      <w:r>
        <w:rPr>
          <w:rFonts w:ascii="Calibri" w:hAnsi="Calibri"/>
          <w:szCs w:val="22"/>
          <w:lang w:eastAsia="en-US"/>
        </w:rPr>
        <w:t xml:space="preserve"> termochemickou konverziou s max. elektrickým výkonom do 500 kW;</w:t>
      </w:r>
      <w:r w:rsidRPr="008676F9">
        <w:rPr>
          <w:rFonts w:ascii="Calibri" w:hAnsi="Calibri"/>
          <w:szCs w:val="22"/>
          <w:lang w:eastAsia="en-US"/>
        </w:rPr>
        <w:t xml:space="preserve"> </w:t>
      </w:r>
    </w:p>
    <w:p w:rsidR="00955DA4" w:rsidRPr="008676F9" w:rsidRDefault="00955DA4" w:rsidP="00955DA4">
      <w:pPr>
        <w:numPr>
          <w:ilvl w:val="0"/>
          <w:numId w:val="165"/>
        </w:numPr>
        <w:spacing w:after="120"/>
        <w:rPr>
          <w:rFonts w:ascii="Calibri" w:hAnsi="Calibri" w:cs="Calibri"/>
          <w:szCs w:val="22"/>
          <w:lang w:eastAsia="en-US"/>
        </w:rPr>
      </w:pPr>
      <w:r w:rsidRPr="008676F9">
        <w:rPr>
          <w:rFonts w:ascii="Calibri" w:hAnsi="Calibri"/>
          <w:szCs w:val="22"/>
          <w:lang w:eastAsia="en-US"/>
        </w:rPr>
        <w:t xml:space="preserve">investície na budovanie zariadení na energetické využívanie </w:t>
      </w:r>
      <w:r w:rsidRPr="008676F9">
        <w:rPr>
          <w:rFonts w:ascii="Calibri" w:hAnsi="Calibri"/>
          <w:i/>
          <w:szCs w:val="22"/>
          <w:lang w:eastAsia="en-US"/>
        </w:rPr>
        <w:t>drevnej biomasy</w:t>
      </w:r>
      <w:r w:rsidRPr="008676F9">
        <w:rPr>
          <w:rFonts w:ascii="Calibri" w:hAnsi="Calibri"/>
          <w:szCs w:val="22"/>
          <w:lang w:eastAsia="en-US"/>
        </w:rPr>
        <w:t xml:space="preserve"> na výrobu tepla a vykurovanie s max. tepelným výkonom do 500 kW;</w:t>
      </w:r>
    </w:p>
    <w:p w:rsidR="00955DA4" w:rsidRPr="008676F9" w:rsidRDefault="00955DA4" w:rsidP="00955DA4">
      <w:pPr>
        <w:numPr>
          <w:ilvl w:val="0"/>
          <w:numId w:val="165"/>
        </w:numPr>
        <w:spacing w:after="120"/>
        <w:rPr>
          <w:rFonts w:ascii="Calibri" w:hAnsi="Calibri" w:cs="Calibri"/>
          <w:szCs w:val="22"/>
          <w:lang w:eastAsia="en-US"/>
        </w:rPr>
      </w:pPr>
      <w:r w:rsidRPr="008676F9">
        <w:rPr>
          <w:rFonts w:ascii="Calibri" w:hAnsi="Calibri"/>
          <w:szCs w:val="22"/>
          <w:lang w:eastAsia="en-US"/>
        </w:rPr>
        <w:t xml:space="preserve">investície na budovanie zariadení na energetické využívanie </w:t>
      </w:r>
      <w:r w:rsidRPr="008676F9">
        <w:rPr>
          <w:rFonts w:ascii="Calibri" w:hAnsi="Calibri"/>
          <w:i/>
          <w:szCs w:val="22"/>
          <w:lang w:eastAsia="en-US"/>
        </w:rPr>
        <w:t>solárnej energie</w:t>
      </w:r>
      <w:r w:rsidRPr="008676F9">
        <w:rPr>
          <w:rFonts w:ascii="Calibri" w:hAnsi="Calibri"/>
          <w:szCs w:val="22"/>
          <w:lang w:eastAsia="en-US"/>
        </w:rPr>
        <w:t xml:space="preserve"> s max. výkonom 250 kW;</w:t>
      </w:r>
    </w:p>
    <w:p w:rsidR="00955DA4" w:rsidRPr="008676F9" w:rsidRDefault="00955DA4" w:rsidP="00955DA4">
      <w:pPr>
        <w:numPr>
          <w:ilvl w:val="0"/>
          <w:numId w:val="165"/>
        </w:numPr>
        <w:spacing w:after="120"/>
        <w:rPr>
          <w:rFonts w:ascii="Calibri" w:hAnsi="Calibri" w:cs="Calibri"/>
          <w:szCs w:val="22"/>
          <w:lang w:eastAsia="en-US"/>
        </w:rPr>
      </w:pPr>
      <w:r w:rsidRPr="008676F9">
        <w:rPr>
          <w:rFonts w:ascii="Calibri" w:hAnsi="Calibri"/>
          <w:szCs w:val="22"/>
          <w:lang w:eastAsia="en-US"/>
        </w:rPr>
        <w:t xml:space="preserve">investície na budovanie zariadení na energetické využívanie </w:t>
      </w:r>
      <w:r w:rsidRPr="008676F9">
        <w:rPr>
          <w:rFonts w:ascii="Calibri" w:hAnsi="Calibri"/>
          <w:i/>
          <w:szCs w:val="22"/>
          <w:lang w:eastAsia="en-US"/>
        </w:rPr>
        <w:t>veternej energie</w:t>
      </w:r>
      <w:r w:rsidRPr="008676F9">
        <w:rPr>
          <w:rFonts w:ascii="Calibri" w:hAnsi="Calibri"/>
          <w:szCs w:val="22"/>
          <w:lang w:eastAsia="en-US"/>
        </w:rPr>
        <w:t xml:space="preserve"> s max. výkonom 250 KW;</w:t>
      </w:r>
    </w:p>
    <w:p w:rsidR="00955DA4" w:rsidRPr="008676F9" w:rsidRDefault="00955DA4" w:rsidP="00955DA4">
      <w:pPr>
        <w:numPr>
          <w:ilvl w:val="0"/>
          <w:numId w:val="165"/>
        </w:numPr>
        <w:spacing w:after="120"/>
        <w:ind w:left="714" w:hanging="357"/>
        <w:rPr>
          <w:rFonts w:ascii="Calibri" w:eastAsia="Calibri" w:hAnsi="Calibri"/>
          <w:szCs w:val="22"/>
          <w:lang w:eastAsia="en-US"/>
        </w:rPr>
      </w:pPr>
      <w:r w:rsidRPr="008676F9">
        <w:rPr>
          <w:rFonts w:ascii="Calibri" w:eastAsia="Calibri" w:hAnsi="Calibri"/>
          <w:szCs w:val="22"/>
          <w:lang w:eastAsia="en-US"/>
        </w:rPr>
        <w:t xml:space="preserve">investície na budovanie zariadení na energetické využívanie </w:t>
      </w:r>
      <w:r w:rsidRPr="008676F9">
        <w:rPr>
          <w:rFonts w:ascii="Calibri" w:eastAsia="Calibri" w:hAnsi="Calibri"/>
          <w:i/>
          <w:szCs w:val="22"/>
          <w:lang w:eastAsia="en-US"/>
        </w:rPr>
        <w:t>vodnej energie</w:t>
      </w:r>
      <w:r w:rsidRPr="008676F9">
        <w:rPr>
          <w:rFonts w:ascii="Calibri" w:eastAsia="Calibri" w:hAnsi="Calibri"/>
          <w:szCs w:val="22"/>
          <w:lang w:eastAsia="en-US"/>
        </w:rPr>
        <w:t xml:space="preserve"> s max. výkonom 250 KW. </w:t>
      </w:r>
    </w:p>
    <w:p w:rsidR="008676F9" w:rsidRPr="008676F9" w:rsidRDefault="008676F9" w:rsidP="00AA6566">
      <w:pPr>
        <w:rPr>
          <w:rFonts w:ascii="Calibri" w:eastAsia="Calibri" w:hAnsi="Calibri" w:cs="Calibri"/>
          <w:szCs w:val="22"/>
          <w:lang w:eastAsia="en-US"/>
        </w:rPr>
      </w:pPr>
      <w:r w:rsidRPr="008676F9">
        <w:rPr>
          <w:rFonts w:ascii="Calibri" w:eastAsia="Calibri" w:hAnsi="Calibri"/>
          <w:szCs w:val="22"/>
          <w:lang w:eastAsia="en-US"/>
        </w:rPr>
        <w:t>Činnosti spojené s využívan</w:t>
      </w:r>
      <w:r w:rsidR="00C365E4">
        <w:rPr>
          <w:rFonts w:ascii="Calibri" w:eastAsia="Calibri" w:hAnsi="Calibri"/>
          <w:szCs w:val="22"/>
          <w:lang w:eastAsia="en-US"/>
        </w:rPr>
        <w:t>ím</w:t>
      </w:r>
      <w:r w:rsidRPr="008676F9">
        <w:rPr>
          <w:rFonts w:ascii="Calibri" w:eastAsia="Calibri" w:hAnsi="Calibri"/>
          <w:szCs w:val="22"/>
          <w:lang w:eastAsia="en-US"/>
        </w:rPr>
        <w:t xml:space="preserve"> OZE prispievajú k fokusovej oblasti 5C.  </w:t>
      </w:r>
    </w:p>
    <w:p w:rsidR="008676F9" w:rsidRPr="008676F9" w:rsidRDefault="008676F9" w:rsidP="00AA6566">
      <w:pPr>
        <w:rPr>
          <w:rFonts w:ascii="Calibri" w:eastAsia="Calibri" w:hAnsi="Calibri" w:cs="Calibri"/>
          <w:bCs/>
          <w:szCs w:val="22"/>
          <w:lang w:eastAsia="en-US"/>
        </w:rPr>
      </w:pPr>
    </w:p>
    <w:p w:rsidR="008676F9" w:rsidRPr="008676F9" w:rsidRDefault="008676F9" w:rsidP="00AA6566">
      <w:pPr>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Typ podpory:</w:t>
      </w:r>
    </w:p>
    <w:p w:rsidR="008676F9" w:rsidRPr="008676F9" w:rsidRDefault="008676F9" w:rsidP="00AA6566">
      <w:pPr>
        <w:rPr>
          <w:rFonts w:ascii="Calibri" w:eastAsia="Calibri" w:hAnsi="Calibri" w:cs="Calibri"/>
          <w:bCs/>
          <w:szCs w:val="22"/>
          <w:lang w:eastAsia="en-US"/>
        </w:rPr>
      </w:pPr>
      <w:r w:rsidRPr="008676F9">
        <w:rPr>
          <w:rFonts w:ascii="Calibri" w:eastAsia="Calibri" w:hAnsi="Calibri" w:cs="Calibri"/>
          <w:bCs/>
          <w:szCs w:val="22"/>
          <w:lang w:eastAsia="en-US"/>
        </w:rPr>
        <w:t xml:space="preserve"> – refundácia skutočne vynaložených a uhradených oprávnených výdavkov.</w:t>
      </w:r>
    </w:p>
    <w:p w:rsidR="008676F9" w:rsidRPr="008676F9" w:rsidRDefault="008676F9" w:rsidP="00AA6566">
      <w:pPr>
        <w:rPr>
          <w:rFonts w:ascii="Calibri" w:eastAsia="Calibri" w:hAnsi="Calibri" w:cs="Calibri"/>
          <w:bCs/>
          <w:szCs w:val="22"/>
          <w:lang w:eastAsia="en-US"/>
        </w:rPr>
      </w:pPr>
    </w:p>
    <w:p w:rsidR="008676F9" w:rsidRPr="008676F9" w:rsidRDefault="008676F9" w:rsidP="00AA6566">
      <w:pPr>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Súvislosť s inou legislatívou:</w:t>
      </w:r>
    </w:p>
    <w:p w:rsidR="008676F9" w:rsidRPr="008676F9" w:rsidRDefault="008676F9" w:rsidP="001F3673">
      <w:pPr>
        <w:spacing w:after="120"/>
        <w:rPr>
          <w:rFonts w:ascii="Calibri" w:hAnsi="Calibri" w:cs="Calibri"/>
          <w:szCs w:val="22"/>
          <w:lang w:eastAsia="en-US"/>
        </w:rPr>
      </w:pPr>
      <w:r w:rsidRPr="008676F9">
        <w:rPr>
          <w:rFonts w:ascii="Calibri" w:hAnsi="Calibri" w:cs="Calibri"/>
          <w:szCs w:val="22"/>
          <w:lang w:eastAsia="en-US"/>
        </w:rPr>
        <w:t xml:space="preserve">Neprekrývanie podpory </w:t>
      </w:r>
      <w:r w:rsidRPr="008676F9">
        <w:rPr>
          <w:rFonts w:ascii="Calibri" w:hAnsi="Calibri" w:cs="Calibri"/>
          <w:i/>
          <w:szCs w:val="22"/>
          <w:lang w:eastAsia="en-US"/>
        </w:rPr>
        <w:t>v oblasti spracovania produktov</w:t>
      </w:r>
      <w:r w:rsidRPr="008676F9">
        <w:rPr>
          <w:rFonts w:ascii="Calibri" w:hAnsi="Calibri" w:cs="Calibri"/>
          <w:szCs w:val="22"/>
          <w:lang w:eastAsia="en-US"/>
        </w:rPr>
        <w:t xml:space="preserve"> v rámci podopatrenia 6.4 s podporou v rámci podopatrenia 4.1 je zabezpečené odlišnými produktmi vstupujúcimi do spracovania. V rámci podopatrenia 6.4 je vstupom do spracovania produkt mimo prílohy I ZFEÚ a v rámci podopatrenia 4.1 je vstupom do spracovania produkt v rámci prílohy I ZFEÚ. </w:t>
      </w:r>
    </w:p>
    <w:p w:rsidR="008676F9" w:rsidRDefault="008676F9" w:rsidP="001F3673">
      <w:pPr>
        <w:spacing w:after="120"/>
        <w:rPr>
          <w:rFonts w:ascii="Calibri" w:hAnsi="Calibri" w:cs="Calibri"/>
          <w:szCs w:val="22"/>
          <w:lang w:eastAsia="en-US"/>
        </w:rPr>
      </w:pPr>
      <w:r w:rsidRPr="008676F9">
        <w:rPr>
          <w:rFonts w:ascii="Calibri" w:hAnsi="Calibri" w:cs="Calibri"/>
          <w:szCs w:val="22"/>
          <w:lang w:eastAsia="en-US"/>
        </w:rPr>
        <w:t>Neprekrývanie podpory v rámci podopatrenia 6.4 a podopatrenia 8.5 je zabezpečené rozdielnym typom oprávnených aktivít (pre obhospodarovateľov lesa nie je v rámci podopatrenia 6.4 oprávnená obnova a budovanie občianskej a poznávacej infraštruktúry).</w:t>
      </w:r>
    </w:p>
    <w:p w:rsidR="008676F9" w:rsidRDefault="008676F9" w:rsidP="001F3673">
      <w:pPr>
        <w:spacing w:after="120"/>
        <w:rPr>
          <w:rFonts w:ascii="Calibri" w:hAnsi="Calibri" w:cs="Calibri"/>
          <w:szCs w:val="22"/>
          <w:lang w:eastAsia="en-US"/>
        </w:rPr>
      </w:pPr>
      <w:r w:rsidRPr="008676F9">
        <w:rPr>
          <w:rFonts w:ascii="Calibri" w:hAnsi="Calibri" w:cs="Calibri"/>
          <w:szCs w:val="22"/>
          <w:lang w:eastAsia="en-US"/>
        </w:rPr>
        <w:t>Neprekrývanie podpory podopatrenia 6.4 s</w:t>
      </w:r>
      <w:r w:rsidR="00985792">
        <w:rPr>
          <w:rFonts w:ascii="Calibri" w:hAnsi="Calibri" w:cs="Calibri"/>
          <w:szCs w:val="22"/>
          <w:lang w:eastAsia="en-US"/>
        </w:rPr>
        <w:t> </w:t>
      </w:r>
      <w:r w:rsidR="00985792" w:rsidRPr="008676F9">
        <w:rPr>
          <w:rFonts w:ascii="Calibri" w:hAnsi="Calibri" w:cs="Calibri"/>
          <w:szCs w:val="22"/>
          <w:lang w:eastAsia="en-US"/>
        </w:rPr>
        <w:t>podporou</w:t>
      </w:r>
      <w:r w:rsidR="00985792">
        <w:rPr>
          <w:rFonts w:ascii="Calibri" w:hAnsi="Calibri" w:cs="Calibri"/>
          <w:szCs w:val="22"/>
          <w:lang w:eastAsia="en-US"/>
        </w:rPr>
        <w:t xml:space="preserve"> v rámci stratégie </w:t>
      </w:r>
      <w:r w:rsidRPr="008676F9">
        <w:rPr>
          <w:rFonts w:ascii="Calibri" w:hAnsi="Calibri" w:cs="Calibri"/>
          <w:i/>
          <w:szCs w:val="22"/>
          <w:lang w:eastAsia="en-US"/>
        </w:rPr>
        <w:t>CLLD</w:t>
      </w:r>
      <w:r w:rsidRPr="008676F9">
        <w:rPr>
          <w:rFonts w:ascii="Calibri" w:hAnsi="Calibri" w:cs="Calibri"/>
          <w:szCs w:val="22"/>
          <w:lang w:eastAsia="en-US"/>
        </w:rPr>
        <w:t xml:space="preserve"> je zabezpečené rozdieln</w:t>
      </w:r>
      <w:r w:rsidR="00985792">
        <w:rPr>
          <w:rFonts w:ascii="Calibri" w:hAnsi="Calibri" w:cs="Calibri"/>
          <w:szCs w:val="22"/>
          <w:lang w:eastAsia="en-US"/>
        </w:rPr>
        <w:t>ym prijímateľom podpory</w:t>
      </w:r>
      <w:r w:rsidRPr="008676F9">
        <w:rPr>
          <w:rFonts w:ascii="Calibri" w:hAnsi="Calibri" w:cs="Calibri"/>
          <w:szCs w:val="22"/>
          <w:lang w:eastAsia="en-US"/>
        </w:rPr>
        <w:t xml:space="preserve"> (v rámci </w:t>
      </w:r>
      <w:r w:rsidR="00985792">
        <w:rPr>
          <w:rFonts w:ascii="Calibri" w:hAnsi="Calibri" w:cs="Calibri"/>
          <w:szCs w:val="22"/>
          <w:lang w:eastAsia="en-US"/>
        </w:rPr>
        <w:t xml:space="preserve">činnosti 3 </w:t>
      </w:r>
      <w:r w:rsidRPr="008676F9">
        <w:rPr>
          <w:rFonts w:ascii="Calibri" w:hAnsi="Calibri" w:cs="Calibri"/>
          <w:szCs w:val="22"/>
          <w:lang w:eastAsia="en-US"/>
        </w:rPr>
        <w:t xml:space="preserve">podopatrenia 6.4 </w:t>
      </w:r>
      <w:r w:rsidR="00985792">
        <w:rPr>
          <w:rFonts w:ascii="Calibri" w:hAnsi="Calibri" w:cs="Calibri"/>
          <w:szCs w:val="22"/>
          <w:lang w:eastAsia="en-US"/>
        </w:rPr>
        <w:t>pochádza min. 30% tržieb/príjmov prijímateľa z vlastnej poľnohospodárskej, lesníckej alebo akvakultúrnej činnosti, v prípade stratégie CLLD je prijímateľom podpory mikropodnik alebo malý podnik s podielom tržieb/príjmov z vlastnej poľnohospodárskej, lesníckej alebo akvakultúrnej činnosti nižším ako 30%</w:t>
      </w:r>
      <w:r w:rsidRPr="008676F9">
        <w:rPr>
          <w:rFonts w:ascii="Calibri" w:hAnsi="Calibri" w:cs="Calibri"/>
          <w:szCs w:val="22"/>
          <w:lang w:eastAsia="en-US"/>
        </w:rPr>
        <w:t>.</w:t>
      </w:r>
    </w:p>
    <w:p w:rsidR="008676F9" w:rsidRDefault="008676F9" w:rsidP="001F3673">
      <w:pPr>
        <w:spacing w:after="120"/>
        <w:rPr>
          <w:rFonts w:ascii="Calibri" w:hAnsi="Calibri" w:cs="Calibri"/>
          <w:szCs w:val="22"/>
          <w:lang w:eastAsia="en-US"/>
        </w:rPr>
      </w:pPr>
      <w:r w:rsidRPr="008676F9">
        <w:rPr>
          <w:rFonts w:ascii="Calibri" w:hAnsi="Calibri" w:cs="Calibri"/>
          <w:szCs w:val="22"/>
          <w:lang w:eastAsia="en-US"/>
        </w:rPr>
        <w:t>Neprekrývanie podpory podopatrenia 6.4 s </w:t>
      </w:r>
      <w:r w:rsidRPr="008676F9">
        <w:rPr>
          <w:rFonts w:ascii="Calibri" w:hAnsi="Calibri" w:cs="Calibri"/>
          <w:b/>
          <w:szCs w:val="22"/>
          <w:lang w:eastAsia="en-US"/>
        </w:rPr>
        <w:t>OP Rybné hospodárstvo</w:t>
      </w:r>
      <w:r w:rsidRPr="008676F9">
        <w:rPr>
          <w:rFonts w:ascii="Calibri" w:hAnsi="Calibri" w:cs="Calibri"/>
          <w:szCs w:val="22"/>
          <w:lang w:eastAsia="en-US"/>
        </w:rPr>
        <w:t xml:space="preserve"> je zabezpečené rozdielnym typom </w:t>
      </w:r>
      <w:r w:rsidR="00985792">
        <w:rPr>
          <w:rFonts w:ascii="Calibri" w:hAnsi="Calibri" w:cs="Calibri"/>
          <w:szCs w:val="22"/>
          <w:lang w:eastAsia="en-US"/>
        </w:rPr>
        <w:t xml:space="preserve">oprávnených </w:t>
      </w:r>
      <w:r w:rsidRPr="008676F9">
        <w:rPr>
          <w:rFonts w:ascii="Calibri" w:hAnsi="Calibri" w:cs="Calibri"/>
          <w:szCs w:val="22"/>
          <w:lang w:eastAsia="en-US"/>
        </w:rPr>
        <w:t xml:space="preserve">činností (v rámci OP RH sú </w:t>
      </w:r>
      <w:r w:rsidR="00985792">
        <w:rPr>
          <w:rFonts w:ascii="Calibri" w:hAnsi="Calibri" w:cs="Calibri"/>
          <w:szCs w:val="22"/>
          <w:lang w:eastAsia="en-US"/>
        </w:rPr>
        <w:t xml:space="preserve">v rámci diverzifikácie </w:t>
      </w:r>
      <w:r w:rsidRPr="008676F9">
        <w:rPr>
          <w:rFonts w:ascii="Calibri" w:hAnsi="Calibri" w:cs="Calibri"/>
          <w:szCs w:val="22"/>
          <w:lang w:eastAsia="en-US"/>
        </w:rPr>
        <w:t xml:space="preserve">podporované aktivity nadväzujúce na akvakultúru, v rámci podopatrenia 6.4 sú v prípade podnikov pôsobiacich v oblasti akvakultúry oprávnené aktivity, ktoré nenadväzujú na akvakultúru). Zároveň podopatrenie 6.4 dopĺňa/nadväzuje na podporu v rámci OP RH tým, že umožňuje mikro a malým podnikom pôsobiacim v oblasti akvakultúry získať podporu na činnosti, ktoré diverzifikujú ich príjem a nie sú podporované v rámci OP RH. </w:t>
      </w:r>
    </w:p>
    <w:p w:rsidR="008676F9" w:rsidRDefault="008676F9" w:rsidP="001F3673">
      <w:pPr>
        <w:spacing w:after="120"/>
        <w:rPr>
          <w:rFonts w:ascii="Calibri" w:hAnsi="Calibri" w:cs="Calibri"/>
          <w:szCs w:val="22"/>
          <w:lang w:eastAsia="en-US"/>
        </w:rPr>
      </w:pPr>
      <w:r w:rsidRPr="008676F9">
        <w:rPr>
          <w:rFonts w:ascii="Calibri" w:hAnsi="Calibri" w:cs="Calibri"/>
          <w:szCs w:val="22"/>
          <w:lang w:eastAsia="en-US"/>
        </w:rPr>
        <w:t xml:space="preserve">Neprekrývanie podpory podopatrenia 6.4 </w:t>
      </w:r>
      <w:r w:rsidRPr="008676F9">
        <w:rPr>
          <w:rFonts w:ascii="Calibri" w:hAnsi="Calibri" w:cs="Calibri"/>
          <w:i/>
          <w:szCs w:val="22"/>
          <w:lang w:eastAsia="en-US"/>
        </w:rPr>
        <w:t>v oblasti investícii do OZE</w:t>
      </w:r>
      <w:r w:rsidRPr="008676F9">
        <w:rPr>
          <w:rFonts w:ascii="Calibri" w:hAnsi="Calibri" w:cs="Calibri"/>
          <w:szCs w:val="22"/>
          <w:lang w:eastAsia="en-US"/>
        </w:rPr>
        <w:t xml:space="preserve"> s </w:t>
      </w:r>
      <w:r w:rsidRPr="008676F9">
        <w:rPr>
          <w:rFonts w:ascii="Calibri" w:hAnsi="Calibri" w:cs="Calibri"/>
          <w:b/>
          <w:szCs w:val="22"/>
          <w:lang w:eastAsia="en-US"/>
        </w:rPr>
        <w:t>OP Kvalita životného prostredia</w:t>
      </w:r>
      <w:r w:rsidRPr="008676F9">
        <w:rPr>
          <w:rFonts w:ascii="Calibri" w:hAnsi="Calibri" w:cs="Calibri"/>
          <w:szCs w:val="22"/>
          <w:lang w:eastAsia="en-US"/>
        </w:rPr>
        <w:t xml:space="preserve">  je zabezpečené rozdielnym výkonom zariadenia (v rámci podopatrenia 6.4 je pre zariadenia využívajúce drevnú biomasu </w:t>
      </w:r>
      <w:r w:rsidR="00985792">
        <w:rPr>
          <w:rFonts w:ascii="Calibri" w:hAnsi="Calibri" w:cs="Calibri"/>
          <w:szCs w:val="22"/>
          <w:lang w:eastAsia="en-US"/>
        </w:rPr>
        <w:t xml:space="preserve"> oprávnený </w:t>
      </w:r>
      <w:r w:rsidRPr="008676F9">
        <w:rPr>
          <w:rFonts w:ascii="Calibri" w:hAnsi="Calibri" w:cs="Calibri"/>
          <w:szCs w:val="22"/>
          <w:lang w:eastAsia="en-US"/>
        </w:rPr>
        <w:t>maximálny výkon 500kWt  a zariadenia využívajúce solárnu, veternú a vodnú energiu s maximálnym výkonom do  250kWt, v rámci OP KŽP</w:t>
      </w:r>
      <w:r w:rsidR="00985792">
        <w:rPr>
          <w:rFonts w:ascii="Calibri" w:hAnsi="Calibri" w:cs="Calibri"/>
          <w:szCs w:val="22"/>
          <w:lang w:eastAsia="en-US"/>
        </w:rPr>
        <w:t xml:space="preserve"> sú oprávnené zariadenia s </w:t>
      </w:r>
      <w:r w:rsidRPr="008676F9">
        <w:rPr>
          <w:rFonts w:ascii="Calibri" w:hAnsi="Calibri" w:cs="Calibri"/>
          <w:szCs w:val="22"/>
          <w:lang w:eastAsia="en-US"/>
        </w:rPr>
        <w:t>výkon</w:t>
      </w:r>
      <w:r w:rsidR="00985792">
        <w:rPr>
          <w:rFonts w:ascii="Calibri" w:hAnsi="Calibri" w:cs="Calibri"/>
          <w:szCs w:val="22"/>
          <w:lang w:eastAsia="en-US"/>
        </w:rPr>
        <w:t>om</w:t>
      </w:r>
      <w:r w:rsidRPr="008676F9">
        <w:rPr>
          <w:rFonts w:ascii="Calibri" w:hAnsi="Calibri" w:cs="Calibri"/>
          <w:szCs w:val="22"/>
          <w:lang w:eastAsia="en-US"/>
        </w:rPr>
        <w:t xml:space="preserve"> nad 500kWt pri drevnej biomase a nad 250kWt pri veternej, solárnej a vodnej energii).  </w:t>
      </w:r>
    </w:p>
    <w:p w:rsidR="000E44E2" w:rsidRPr="000E44E2" w:rsidRDefault="000E44E2" w:rsidP="001F3673">
      <w:pPr>
        <w:spacing w:after="120"/>
      </w:pPr>
      <w:r>
        <w:t>Neprekrývanie podpory podopatrenia 6.4 s </w:t>
      </w:r>
      <w:r>
        <w:rPr>
          <w:b/>
          <w:bCs/>
        </w:rPr>
        <w:t>OP Výskum a inovácie</w:t>
      </w:r>
      <w:r>
        <w:t xml:space="preserve"> v oblasti spracovania a uvádzania na trh produktov mimo Prílohy I ZFEÚ je zabezpečené rozdielnym typom oprávnených aktivít (v rámci operácie 6.4 nie je oprávnená podpora </w:t>
      </w:r>
      <w:r w:rsidRPr="000E44E2">
        <w:t>drevospracujúceho priemyslu, v rámci OP VaI je podpora smerovaná aj do drevospracujúceho priemyslu) a zároveň súčinnosťou a vzájomnou informovanosťou riadiacich orgánov takým spôsobom, aby nedochádzalo k dvojitému financovaniu.</w:t>
      </w:r>
    </w:p>
    <w:p w:rsidR="008676F9" w:rsidRPr="008676F9" w:rsidRDefault="008676F9" w:rsidP="001F3673">
      <w:pPr>
        <w:spacing w:after="120"/>
        <w:rPr>
          <w:rFonts w:ascii="Calibri" w:hAnsi="Calibri" w:cs="Calibri"/>
          <w:szCs w:val="22"/>
          <w:lang w:eastAsia="en-US"/>
        </w:rPr>
      </w:pPr>
      <w:r w:rsidRPr="008676F9">
        <w:rPr>
          <w:rFonts w:ascii="Calibri" w:hAnsi="Calibri" w:cs="Calibri"/>
          <w:szCs w:val="22"/>
          <w:lang w:eastAsia="en-US"/>
        </w:rPr>
        <w:t xml:space="preserve">Podpora v rámci tohto opatrenia dopĺňa/nadväzuje na podporu v oblasti zamestnanosti v rámci </w:t>
      </w:r>
      <w:r w:rsidRPr="008676F9">
        <w:rPr>
          <w:rFonts w:ascii="Calibri" w:hAnsi="Calibri" w:cs="Calibri"/>
          <w:b/>
          <w:szCs w:val="22"/>
          <w:lang w:eastAsia="en-US"/>
        </w:rPr>
        <w:t>OP Ľudské zdroje</w:t>
      </w:r>
      <w:r w:rsidRPr="008676F9">
        <w:rPr>
          <w:rFonts w:ascii="Calibri" w:hAnsi="Calibri" w:cs="Calibri"/>
          <w:szCs w:val="22"/>
          <w:lang w:eastAsia="en-US"/>
        </w:rPr>
        <w:t xml:space="preserve">  tým, že:  </w:t>
      </w:r>
    </w:p>
    <w:p w:rsidR="008676F9" w:rsidRPr="008676F9" w:rsidRDefault="008676F9" w:rsidP="00955DA4">
      <w:pPr>
        <w:numPr>
          <w:ilvl w:val="0"/>
          <w:numId w:val="166"/>
        </w:numPr>
        <w:spacing w:after="120"/>
        <w:rPr>
          <w:rFonts w:ascii="Calibri" w:hAnsi="Calibri" w:cs="Calibri"/>
          <w:szCs w:val="22"/>
          <w:lang w:eastAsia="en-US"/>
        </w:rPr>
      </w:pPr>
      <w:r w:rsidRPr="008676F9">
        <w:rPr>
          <w:rFonts w:ascii="Calibri" w:hAnsi="Calibri" w:cs="Calibri"/>
          <w:szCs w:val="22"/>
          <w:lang w:eastAsia="en-US"/>
        </w:rPr>
        <w:t>poskytuje podporu pre poľnohospodárske/lesné/akvakultúrne subjekty, ktoré majú oprávnenie podnikať (t.j. nie nezamestnaných), a to formou nenávratného finančného príspevku na investície do nepoľnohospodárskych/nelesných</w:t>
      </w:r>
      <w:r w:rsidR="00985792">
        <w:rPr>
          <w:rFonts w:ascii="Calibri" w:hAnsi="Calibri" w:cs="Calibri"/>
          <w:szCs w:val="22"/>
          <w:lang w:eastAsia="en-US"/>
        </w:rPr>
        <w:t>/neakvakultúrnych</w:t>
      </w:r>
      <w:r w:rsidRPr="008676F9">
        <w:rPr>
          <w:rFonts w:ascii="Calibri" w:hAnsi="Calibri" w:cs="Calibri"/>
          <w:szCs w:val="22"/>
          <w:lang w:eastAsia="en-US"/>
        </w:rPr>
        <w:t xml:space="preserve"> činností s cieľom podporiť diverzifikáciu týchto podnikov, čím nepriamo prispieva aj k tvorbe/udržaniu pracovných miest v týchto podnikoch; </w:t>
      </w:r>
    </w:p>
    <w:p w:rsidR="008676F9" w:rsidRPr="008676F9" w:rsidRDefault="008676F9" w:rsidP="00955DA4">
      <w:pPr>
        <w:numPr>
          <w:ilvl w:val="0"/>
          <w:numId w:val="166"/>
        </w:numPr>
        <w:rPr>
          <w:rFonts w:ascii="Calibri" w:hAnsi="Calibri" w:cs="Calibri"/>
          <w:szCs w:val="22"/>
          <w:lang w:eastAsia="en-US"/>
        </w:rPr>
      </w:pPr>
      <w:r w:rsidRPr="008676F9">
        <w:rPr>
          <w:rFonts w:ascii="Calibri" w:hAnsi="Calibri" w:cs="Calibri"/>
          <w:szCs w:val="22"/>
          <w:lang w:eastAsia="en-US"/>
        </w:rPr>
        <w:t>poskytuje podporu pre nepoľnohospodárske/nelesné/neakvakultúrne subjekty vo vidieckych oblastiach, ktoré majú oprávnenie podnikať (t.j. nie nezamestnaných), a to formou nenávratného finančného príspevku na investície do vidieckeho cestovného ruchu, resp. do poskytovania služieb pre deti, seniorov a občanov so zníženou schopnosťou pohybu, čím nepriamo prispieva aj k tvorbe/udržaniu pracovných miest v týchto podnikoch.</w:t>
      </w:r>
    </w:p>
    <w:p w:rsidR="008676F9" w:rsidRPr="008676F9" w:rsidRDefault="008676F9" w:rsidP="00AA6566">
      <w:pPr>
        <w:rPr>
          <w:rFonts w:ascii="Calibri" w:eastAsia="Calibri" w:hAnsi="Calibri" w:cs="Calibri"/>
          <w:bCs/>
          <w:szCs w:val="22"/>
          <w:lang w:eastAsia="en-US"/>
        </w:rPr>
      </w:pPr>
    </w:p>
    <w:p w:rsidR="008676F9" w:rsidRPr="008676F9" w:rsidRDefault="008676F9" w:rsidP="00AA6566">
      <w:pPr>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Prijímateľ podpory:</w:t>
      </w:r>
    </w:p>
    <w:p w:rsidR="008676F9" w:rsidRPr="008676F9" w:rsidRDefault="008676F9" w:rsidP="00AA6566">
      <w:pPr>
        <w:rPr>
          <w:rFonts w:ascii="Calibri" w:eastAsia="Calibri" w:hAnsi="Calibri" w:cs="Calibri"/>
          <w:b/>
          <w:bCs/>
          <w:szCs w:val="22"/>
          <w:lang w:eastAsia="en-US"/>
        </w:rPr>
      </w:pPr>
      <w:r w:rsidRPr="008676F9">
        <w:rPr>
          <w:rFonts w:ascii="Calibri" w:eastAsia="Calibri" w:hAnsi="Calibri" w:cs="Calibri"/>
          <w:b/>
          <w:bCs/>
          <w:szCs w:val="22"/>
          <w:lang w:eastAsia="en-US"/>
        </w:rPr>
        <w:t>Činnosť 1 a 2:</w:t>
      </w:r>
    </w:p>
    <w:p w:rsidR="008676F9" w:rsidRPr="008676F9" w:rsidRDefault="008676F9" w:rsidP="00AA6566">
      <w:pPr>
        <w:rPr>
          <w:rFonts w:ascii="Calibri" w:eastAsia="Calibri" w:hAnsi="Calibri" w:cs="Calibri"/>
          <w:bCs/>
          <w:szCs w:val="22"/>
          <w:lang w:eastAsia="en-US"/>
        </w:rPr>
      </w:pPr>
      <w:r w:rsidRPr="008676F9">
        <w:rPr>
          <w:rFonts w:ascii="Calibri" w:eastAsia="Calibri" w:hAnsi="Calibri" w:cs="Calibri"/>
          <w:bCs/>
          <w:szCs w:val="22"/>
          <w:lang w:eastAsia="en-US"/>
        </w:rPr>
        <w:t xml:space="preserve">Mikropodniky a malé podniky (v zmysle odporúčania Komisie 2003/361/ES) vo vidieckych oblastiach. </w:t>
      </w:r>
    </w:p>
    <w:p w:rsidR="008676F9" w:rsidRDefault="008676F9" w:rsidP="00AA6566">
      <w:pPr>
        <w:rPr>
          <w:rFonts w:ascii="Calibri" w:eastAsia="Calibri" w:hAnsi="Calibri" w:cs="Calibri"/>
          <w:bCs/>
          <w:szCs w:val="22"/>
          <w:lang w:eastAsia="en-US"/>
        </w:rPr>
      </w:pPr>
    </w:p>
    <w:p w:rsidR="00A03A77" w:rsidRPr="008676F9" w:rsidRDefault="00A03A77" w:rsidP="00AA6566">
      <w:pPr>
        <w:rPr>
          <w:rFonts w:ascii="Calibri" w:eastAsia="Calibri" w:hAnsi="Calibri" w:cs="Calibri"/>
          <w:bCs/>
          <w:szCs w:val="22"/>
          <w:lang w:eastAsia="en-US"/>
        </w:rPr>
      </w:pPr>
    </w:p>
    <w:p w:rsidR="008676F9" w:rsidRPr="008676F9" w:rsidRDefault="008676F9" w:rsidP="00AA6566">
      <w:pPr>
        <w:rPr>
          <w:rFonts w:ascii="Calibri" w:eastAsia="Calibri" w:hAnsi="Calibri" w:cs="Calibri"/>
          <w:b/>
          <w:bCs/>
          <w:szCs w:val="22"/>
          <w:lang w:eastAsia="en-US"/>
        </w:rPr>
      </w:pPr>
      <w:r w:rsidRPr="008676F9">
        <w:rPr>
          <w:rFonts w:ascii="Calibri" w:eastAsia="Calibri" w:hAnsi="Calibri" w:cs="Calibri"/>
          <w:b/>
          <w:bCs/>
          <w:szCs w:val="22"/>
          <w:lang w:eastAsia="en-US"/>
        </w:rPr>
        <w:t xml:space="preserve">Činnosť 1 až 3: </w:t>
      </w:r>
    </w:p>
    <w:p w:rsidR="008676F9" w:rsidRPr="008676F9" w:rsidRDefault="008676F9" w:rsidP="00955DA4">
      <w:pPr>
        <w:numPr>
          <w:ilvl w:val="3"/>
          <w:numId w:val="127"/>
        </w:numPr>
        <w:ind w:left="284" w:hanging="284"/>
        <w:rPr>
          <w:rFonts w:ascii="Calibri" w:hAnsi="Calibri" w:cs="Calibri"/>
          <w:bCs/>
          <w:szCs w:val="22"/>
          <w:lang w:eastAsia="en-US"/>
        </w:rPr>
      </w:pPr>
      <w:r w:rsidRPr="008676F9">
        <w:rPr>
          <w:rFonts w:ascii="Calibri" w:hAnsi="Calibri" w:cs="Calibri"/>
          <w:bCs/>
          <w:szCs w:val="22"/>
          <w:lang w:eastAsia="en-US"/>
        </w:rPr>
        <w:t xml:space="preserve">Fyzické a právnické osoby podnikajúce v oblasti poľnohospodárskej prvovýroby. </w:t>
      </w:r>
    </w:p>
    <w:p w:rsidR="008676F9" w:rsidRPr="008676F9" w:rsidRDefault="008676F9" w:rsidP="00955DA4">
      <w:pPr>
        <w:numPr>
          <w:ilvl w:val="3"/>
          <w:numId w:val="127"/>
        </w:numPr>
        <w:ind w:left="284" w:hanging="284"/>
        <w:rPr>
          <w:rFonts w:ascii="Calibri" w:hAnsi="Calibri" w:cs="Calibri"/>
          <w:bCs/>
          <w:szCs w:val="22"/>
          <w:lang w:eastAsia="en-US"/>
        </w:rPr>
      </w:pPr>
      <w:r w:rsidRPr="008676F9">
        <w:rPr>
          <w:rFonts w:ascii="Calibri" w:hAnsi="Calibri" w:cs="Calibri"/>
          <w:bCs/>
          <w:szCs w:val="22"/>
          <w:lang w:eastAsia="en-US"/>
        </w:rPr>
        <w:t xml:space="preserve">Fyzické a právnické osoby (mikropodniky a malé podniky vo vidieckych oblastiach v zmysle odporúčania Komisie 2003/361/ES)  obhospodarujúce lesy vo vlastníctve: </w:t>
      </w:r>
    </w:p>
    <w:p w:rsidR="008676F9" w:rsidRPr="008676F9" w:rsidRDefault="008676F9" w:rsidP="00955DA4">
      <w:pPr>
        <w:numPr>
          <w:ilvl w:val="0"/>
          <w:numId w:val="128"/>
        </w:numPr>
        <w:rPr>
          <w:rFonts w:ascii="Calibri" w:hAnsi="Calibri" w:cs="Calibri"/>
          <w:bCs/>
          <w:szCs w:val="22"/>
          <w:lang w:eastAsia="en-US"/>
        </w:rPr>
      </w:pPr>
      <w:r w:rsidRPr="008676F9">
        <w:rPr>
          <w:rFonts w:ascii="Calibri" w:hAnsi="Calibri" w:cs="Calibri"/>
          <w:bCs/>
          <w:szCs w:val="22"/>
          <w:lang w:eastAsia="en-US"/>
        </w:rPr>
        <w:t xml:space="preserve">súkromných vlastníkov a ich združení; </w:t>
      </w:r>
    </w:p>
    <w:p w:rsidR="008676F9" w:rsidRPr="008676F9" w:rsidRDefault="008676F9" w:rsidP="00955DA4">
      <w:pPr>
        <w:numPr>
          <w:ilvl w:val="0"/>
          <w:numId w:val="128"/>
        </w:numPr>
        <w:rPr>
          <w:rFonts w:ascii="Calibri" w:hAnsi="Calibri" w:cs="Calibri"/>
          <w:bCs/>
          <w:szCs w:val="22"/>
          <w:lang w:eastAsia="en-US"/>
        </w:rPr>
      </w:pPr>
      <w:r w:rsidRPr="008676F9">
        <w:rPr>
          <w:rFonts w:ascii="Calibri" w:hAnsi="Calibri" w:cs="Calibri"/>
          <w:bCs/>
          <w:szCs w:val="22"/>
          <w:lang w:eastAsia="en-US"/>
        </w:rPr>
        <w:t xml:space="preserve">obcí a ich združení; </w:t>
      </w:r>
    </w:p>
    <w:p w:rsidR="008676F9" w:rsidRPr="008676F9" w:rsidRDefault="008676F9" w:rsidP="00955DA4">
      <w:pPr>
        <w:numPr>
          <w:ilvl w:val="0"/>
          <w:numId w:val="128"/>
        </w:numPr>
        <w:spacing w:after="120"/>
        <w:ind w:left="714" w:hanging="357"/>
        <w:rPr>
          <w:rFonts w:ascii="Calibri" w:hAnsi="Calibri" w:cs="Calibri"/>
          <w:bCs/>
          <w:szCs w:val="22"/>
          <w:lang w:eastAsia="en-US"/>
        </w:rPr>
      </w:pPr>
      <w:r w:rsidRPr="008676F9">
        <w:rPr>
          <w:rFonts w:ascii="Calibri" w:hAnsi="Calibri" w:cs="Calibri"/>
          <w:bCs/>
          <w:szCs w:val="22"/>
          <w:lang w:eastAsia="en-US"/>
        </w:rPr>
        <w:t>cirkvi, ktorej majetok možno podľa právneho poriadku SR považovať za súkromný, pokiaľ ide o jeho správu a nakladanie s ním.</w:t>
      </w:r>
    </w:p>
    <w:p w:rsidR="008676F9" w:rsidRPr="008676F9" w:rsidRDefault="008676F9" w:rsidP="00955DA4">
      <w:pPr>
        <w:numPr>
          <w:ilvl w:val="3"/>
          <w:numId w:val="127"/>
        </w:numPr>
        <w:ind w:left="284" w:hanging="284"/>
        <w:rPr>
          <w:rFonts w:ascii="Calibri" w:hAnsi="Calibri" w:cs="Calibri"/>
          <w:bCs/>
          <w:szCs w:val="22"/>
          <w:lang w:eastAsia="en-US"/>
        </w:rPr>
      </w:pPr>
      <w:r w:rsidRPr="008676F9">
        <w:rPr>
          <w:rFonts w:ascii="Calibri" w:hAnsi="Calibri" w:cs="Calibri"/>
          <w:bCs/>
          <w:szCs w:val="22"/>
          <w:lang w:eastAsia="en-US"/>
        </w:rPr>
        <w:t>Fyzické a právnické osoby (mikropodniky a malé podniky vo vidieckych oblastiach v zmysle odporúčania Komisie 2003/361/ES)  podnikajúce v oblasti hospodárskeho chovu rýb</w:t>
      </w:r>
      <w:r w:rsidR="00985792">
        <w:rPr>
          <w:rFonts w:ascii="Calibri" w:hAnsi="Calibri" w:cs="Calibri"/>
          <w:bCs/>
          <w:szCs w:val="22"/>
          <w:lang w:eastAsia="en-US"/>
        </w:rPr>
        <w:t xml:space="preserve"> (akvakultúry)</w:t>
      </w:r>
      <w:r w:rsidRPr="008676F9">
        <w:rPr>
          <w:rFonts w:ascii="Calibri" w:hAnsi="Calibri" w:cs="Calibri"/>
          <w:bCs/>
          <w:szCs w:val="22"/>
          <w:lang w:eastAsia="en-US"/>
        </w:rPr>
        <w:t>.</w:t>
      </w:r>
    </w:p>
    <w:p w:rsidR="006F5151" w:rsidRDefault="006F5151" w:rsidP="00AA6566">
      <w:pPr>
        <w:rPr>
          <w:rFonts w:ascii="Calibri" w:eastAsia="Calibri" w:hAnsi="Calibri" w:cs="Calibri"/>
          <w:bCs/>
          <w:szCs w:val="22"/>
          <w:u w:val="single"/>
          <w:lang w:eastAsia="en-US"/>
        </w:rPr>
      </w:pPr>
    </w:p>
    <w:p w:rsidR="008676F9" w:rsidRPr="008676F9" w:rsidRDefault="008676F9" w:rsidP="00AA6566">
      <w:pPr>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Oprávnené náklady</w:t>
      </w:r>
      <w:r w:rsidRPr="008676F9">
        <w:rPr>
          <w:rFonts w:ascii="Calibri" w:eastAsia="Calibri" w:hAnsi="Calibri" w:cs="Calibri"/>
          <w:bCs/>
          <w:szCs w:val="22"/>
          <w:u w:val="single"/>
          <w:vertAlign w:val="superscript"/>
          <w:lang w:eastAsia="en-US"/>
        </w:rPr>
        <w:footnoteReference w:id="16"/>
      </w:r>
      <w:r w:rsidRPr="008676F9">
        <w:rPr>
          <w:rFonts w:ascii="Calibri" w:eastAsia="Calibri" w:hAnsi="Calibri" w:cs="Calibri"/>
          <w:bCs/>
          <w:szCs w:val="22"/>
          <w:u w:val="single"/>
          <w:lang w:eastAsia="en-US"/>
        </w:rPr>
        <w:t>:</w:t>
      </w:r>
    </w:p>
    <w:p w:rsidR="008676F9" w:rsidRPr="008676F9" w:rsidRDefault="008676F9" w:rsidP="00955DA4">
      <w:pPr>
        <w:numPr>
          <w:ilvl w:val="0"/>
          <w:numId w:val="129"/>
        </w:numPr>
        <w:rPr>
          <w:rFonts w:ascii="Calibri" w:hAnsi="Calibri" w:cs="Calibri"/>
          <w:bCs/>
          <w:szCs w:val="22"/>
          <w:lang w:eastAsia="en-US"/>
        </w:rPr>
      </w:pPr>
      <w:r w:rsidRPr="008676F9">
        <w:rPr>
          <w:rFonts w:ascii="Calibri" w:hAnsi="Calibri" w:cs="Calibri"/>
          <w:bCs/>
          <w:szCs w:val="22"/>
          <w:lang w:eastAsia="en-US"/>
        </w:rPr>
        <w:t>investície do dlhodobého hmotného majetku;</w:t>
      </w:r>
    </w:p>
    <w:p w:rsidR="008676F9" w:rsidRPr="008676F9" w:rsidRDefault="008676F9" w:rsidP="00955DA4">
      <w:pPr>
        <w:numPr>
          <w:ilvl w:val="0"/>
          <w:numId w:val="129"/>
        </w:numPr>
        <w:rPr>
          <w:rFonts w:ascii="Calibri" w:hAnsi="Calibri" w:cs="Calibri"/>
          <w:bCs/>
          <w:szCs w:val="22"/>
          <w:lang w:eastAsia="en-US"/>
        </w:rPr>
      </w:pPr>
      <w:r w:rsidRPr="008676F9">
        <w:rPr>
          <w:rFonts w:ascii="Calibri" w:hAnsi="Calibri" w:cs="Calibri"/>
          <w:bCs/>
          <w:szCs w:val="22"/>
          <w:lang w:eastAsia="en-US"/>
        </w:rPr>
        <w:t>investície do dlhodobého nehmotného majetku;</w:t>
      </w:r>
    </w:p>
    <w:p w:rsidR="00865BF9" w:rsidRDefault="008676F9" w:rsidP="00955DA4">
      <w:pPr>
        <w:numPr>
          <w:ilvl w:val="0"/>
          <w:numId w:val="129"/>
        </w:numPr>
        <w:rPr>
          <w:rFonts w:ascii="Calibri" w:hAnsi="Calibri" w:cs="Calibri"/>
          <w:bCs/>
          <w:szCs w:val="22"/>
          <w:lang w:eastAsia="en-US"/>
        </w:rPr>
      </w:pPr>
      <w:r w:rsidRPr="008676F9">
        <w:rPr>
          <w:rFonts w:ascii="Calibri" w:hAnsi="Calibri" w:cs="Calibri"/>
          <w:bCs/>
          <w:szCs w:val="22"/>
          <w:lang w:eastAsia="en-US"/>
        </w:rPr>
        <w:t>súvisiace všeobecné náklady – náklady na projektovú dokumentáciu, náklady na verejné obstarávanie</w:t>
      </w:r>
      <w:r w:rsidR="00865BF9">
        <w:rPr>
          <w:rFonts w:ascii="Calibri" w:hAnsi="Calibri" w:cs="Calibri"/>
          <w:bCs/>
          <w:szCs w:val="22"/>
          <w:lang w:eastAsia="en-US"/>
        </w:rPr>
        <w:t>;</w:t>
      </w:r>
    </w:p>
    <w:p w:rsidR="008676F9" w:rsidRPr="008676F9" w:rsidRDefault="008676F9" w:rsidP="00955DA4">
      <w:pPr>
        <w:numPr>
          <w:ilvl w:val="0"/>
          <w:numId w:val="129"/>
        </w:numPr>
        <w:rPr>
          <w:rFonts w:ascii="Calibri" w:hAnsi="Calibri" w:cs="Calibri"/>
          <w:bCs/>
          <w:szCs w:val="22"/>
          <w:lang w:eastAsia="en-US"/>
        </w:rPr>
      </w:pPr>
      <w:r w:rsidRPr="008676F9">
        <w:rPr>
          <w:rFonts w:ascii="Calibri" w:hAnsi="Calibri" w:cs="Calibri"/>
          <w:bCs/>
          <w:szCs w:val="22"/>
          <w:lang w:eastAsia="en-US"/>
        </w:rPr>
        <w:t>náklady na riadenie projektu.</w:t>
      </w:r>
    </w:p>
    <w:p w:rsidR="008676F9" w:rsidRPr="008676F9" w:rsidRDefault="008676F9" w:rsidP="00AA6566">
      <w:pPr>
        <w:rPr>
          <w:rFonts w:ascii="Calibri" w:eastAsia="Calibri" w:hAnsi="Calibri" w:cs="Calibri"/>
          <w:bCs/>
          <w:szCs w:val="22"/>
          <w:lang w:eastAsia="en-US"/>
        </w:rPr>
      </w:pPr>
    </w:p>
    <w:p w:rsidR="008676F9" w:rsidRPr="008676F9" w:rsidRDefault="008676F9" w:rsidP="00AA6566">
      <w:pPr>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Podmienky oprávnenosti:</w:t>
      </w:r>
    </w:p>
    <w:p w:rsidR="008676F9" w:rsidRPr="008676F9" w:rsidRDefault="008676F9" w:rsidP="00955DA4">
      <w:pPr>
        <w:numPr>
          <w:ilvl w:val="0"/>
          <w:numId w:val="130"/>
        </w:numPr>
        <w:spacing w:after="120"/>
        <w:ind w:left="714" w:hanging="357"/>
        <w:rPr>
          <w:rFonts w:ascii="Calibri" w:hAnsi="Calibri" w:cs="Calibri"/>
          <w:bCs/>
          <w:szCs w:val="22"/>
          <w:lang w:eastAsia="en-US"/>
        </w:rPr>
      </w:pPr>
      <w:r w:rsidRPr="008676F9">
        <w:rPr>
          <w:rFonts w:ascii="Calibri" w:hAnsi="Calibri" w:cs="Calibri"/>
          <w:bCs/>
          <w:szCs w:val="22"/>
          <w:lang w:eastAsia="en-US"/>
        </w:rPr>
        <w:t>v prípade poľnohospodárskych podnikov podiel ročných tržieb/príjmov z poľnohospodárskej prvovýroby na celkových tržbách/príjmoch predstavuje minimálne 30%;</w:t>
      </w:r>
    </w:p>
    <w:p w:rsidR="008676F9" w:rsidRPr="008676F9" w:rsidRDefault="008676F9" w:rsidP="00955DA4">
      <w:pPr>
        <w:numPr>
          <w:ilvl w:val="0"/>
          <w:numId w:val="130"/>
        </w:numPr>
        <w:spacing w:after="120"/>
        <w:ind w:left="714" w:hanging="357"/>
        <w:rPr>
          <w:rFonts w:ascii="Calibri" w:hAnsi="Calibri" w:cs="Calibri"/>
          <w:bCs/>
          <w:szCs w:val="22"/>
          <w:lang w:eastAsia="en-US"/>
        </w:rPr>
      </w:pPr>
      <w:r w:rsidRPr="008676F9">
        <w:rPr>
          <w:rFonts w:ascii="Calibri" w:hAnsi="Calibri" w:cs="Calibri"/>
          <w:bCs/>
          <w:szCs w:val="22"/>
          <w:lang w:eastAsia="en-US"/>
        </w:rPr>
        <w:t>v prípade podnikov akvakultúry podiel ročných tržieb/príjmov z akvakultúry na celkových tržbách/príjmoch predstavuje minimálne 30%;</w:t>
      </w:r>
    </w:p>
    <w:p w:rsidR="008676F9" w:rsidRPr="008676F9" w:rsidRDefault="008676F9" w:rsidP="00955DA4">
      <w:pPr>
        <w:numPr>
          <w:ilvl w:val="0"/>
          <w:numId w:val="130"/>
        </w:numPr>
        <w:spacing w:after="120"/>
        <w:ind w:left="714" w:hanging="357"/>
        <w:rPr>
          <w:rFonts w:ascii="Calibri" w:hAnsi="Calibri" w:cs="Calibri"/>
          <w:bCs/>
          <w:szCs w:val="22"/>
          <w:lang w:eastAsia="en-US"/>
        </w:rPr>
      </w:pPr>
      <w:r w:rsidRPr="008676F9">
        <w:rPr>
          <w:rFonts w:ascii="Calibri" w:hAnsi="Calibri" w:cs="Calibri"/>
          <w:bCs/>
          <w:szCs w:val="22"/>
          <w:lang w:eastAsia="en-US"/>
        </w:rPr>
        <w:t>v prípade obhospodarovateľov lesa podiel ročných tržieb/príjmov z lesníckej výroby na celkových tržbách/príjmoch predstavuje minimálne 30%;</w:t>
      </w:r>
    </w:p>
    <w:p w:rsidR="008676F9" w:rsidRPr="008676F9" w:rsidRDefault="008676F9" w:rsidP="00955DA4">
      <w:pPr>
        <w:numPr>
          <w:ilvl w:val="0"/>
          <w:numId w:val="130"/>
        </w:numPr>
        <w:spacing w:after="120"/>
        <w:ind w:left="714" w:hanging="357"/>
        <w:rPr>
          <w:rFonts w:ascii="Calibri" w:hAnsi="Calibri" w:cs="Calibri"/>
          <w:bCs/>
          <w:szCs w:val="22"/>
          <w:lang w:eastAsia="en-US"/>
        </w:rPr>
      </w:pPr>
      <w:r w:rsidRPr="008676F9">
        <w:rPr>
          <w:rFonts w:ascii="Calibri" w:hAnsi="Calibri" w:cs="Calibri"/>
          <w:bCs/>
          <w:szCs w:val="22"/>
          <w:lang w:eastAsia="en-US"/>
        </w:rPr>
        <w:t xml:space="preserve">veľkosť  nepoľnohospodárskeho podniku (mikro a malý podnik v zmysle odporúčanie Komisie 2003/361/ES);  </w:t>
      </w:r>
    </w:p>
    <w:p w:rsidR="008676F9" w:rsidRPr="008676F9" w:rsidRDefault="008676F9" w:rsidP="00955DA4">
      <w:pPr>
        <w:numPr>
          <w:ilvl w:val="0"/>
          <w:numId w:val="130"/>
        </w:numPr>
        <w:spacing w:after="120"/>
        <w:ind w:left="714" w:hanging="357"/>
        <w:rPr>
          <w:rFonts w:ascii="Calibri" w:hAnsi="Calibri" w:cs="Calibri"/>
          <w:bCs/>
          <w:szCs w:val="22"/>
          <w:lang w:eastAsia="en-US"/>
        </w:rPr>
      </w:pPr>
      <w:r w:rsidRPr="008676F9">
        <w:rPr>
          <w:rFonts w:ascii="Calibri" w:hAnsi="Calibri" w:cs="Calibri"/>
          <w:bCs/>
          <w:szCs w:val="22"/>
          <w:lang w:eastAsia="en-US"/>
        </w:rPr>
        <w:t>realizácia projektu nepoľnohospodárskeho podniku vo vidieckej oblasti;</w:t>
      </w:r>
    </w:p>
    <w:p w:rsidR="008676F9" w:rsidRPr="008676F9" w:rsidRDefault="008676F9" w:rsidP="00955DA4">
      <w:pPr>
        <w:numPr>
          <w:ilvl w:val="0"/>
          <w:numId w:val="130"/>
        </w:numPr>
        <w:spacing w:after="120"/>
        <w:ind w:left="714" w:hanging="357"/>
        <w:rPr>
          <w:rFonts w:ascii="Calibri" w:hAnsi="Calibri" w:cs="Calibri"/>
          <w:bCs/>
          <w:szCs w:val="22"/>
          <w:lang w:eastAsia="en-US"/>
        </w:rPr>
      </w:pPr>
      <w:r w:rsidRPr="008676F9">
        <w:rPr>
          <w:rFonts w:ascii="Calibri" w:hAnsi="Calibri"/>
          <w:szCs w:val="22"/>
          <w:lang w:eastAsia="en-US"/>
        </w:rPr>
        <w:t>výsledkom</w:t>
      </w:r>
      <w:r w:rsidRPr="008676F9">
        <w:rPr>
          <w:rFonts w:ascii="Calibri" w:hAnsi="Calibri"/>
          <w:b/>
          <w:szCs w:val="22"/>
          <w:lang w:eastAsia="en-US"/>
        </w:rPr>
        <w:t xml:space="preserve"> investície </w:t>
      </w:r>
      <w:r w:rsidRPr="008676F9">
        <w:rPr>
          <w:rFonts w:ascii="Calibri" w:hAnsi="Calibri"/>
          <w:szCs w:val="22"/>
          <w:lang w:eastAsia="en-US"/>
        </w:rPr>
        <w:t>nesmie byť poľnohospodárska činnosť alebo podpora takej aktivity, ktorej vstup a výstup sa nachádza na prílohe I ZFEÚ;</w:t>
      </w:r>
    </w:p>
    <w:p w:rsidR="008676F9" w:rsidRPr="008676F9" w:rsidRDefault="008676F9" w:rsidP="00955DA4">
      <w:pPr>
        <w:numPr>
          <w:ilvl w:val="0"/>
          <w:numId w:val="130"/>
        </w:numPr>
        <w:spacing w:after="120"/>
        <w:ind w:left="714" w:hanging="357"/>
        <w:rPr>
          <w:rFonts w:ascii="Calibri" w:hAnsi="Calibri" w:cs="Calibri"/>
          <w:bCs/>
          <w:szCs w:val="22"/>
          <w:lang w:eastAsia="en-US"/>
        </w:rPr>
      </w:pPr>
      <w:r w:rsidRPr="008676F9">
        <w:rPr>
          <w:rFonts w:ascii="Calibri" w:hAnsi="Calibri"/>
          <w:szCs w:val="22"/>
          <w:lang w:eastAsia="en-US"/>
        </w:rPr>
        <w:t>náklady vynaložené po predložení projektu na PPA s výnimkou všeobecných nákladov;</w:t>
      </w:r>
    </w:p>
    <w:p w:rsidR="008676F9" w:rsidRPr="008676F9" w:rsidRDefault="008676F9" w:rsidP="00955DA4">
      <w:pPr>
        <w:numPr>
          <w:ilvl w:val="0"/>
          <w:numId w:val="130"/>
        </w:numPr>
        <w:ind w:left="714" w:hanging="357"/>
        <w:rPr>
          <w:rFonts w:ascii="Calibri" w:hAnsi="Calibri"/>
          <w:szCs w:val="22"/>
          <w:lang w:eastAsia="en-US"/>
        </w:rPr>
      </w:pPr>
      <w:r w:rsidRPr="008676F9">
        <w:rPr>
          <w:rFonts w:ascii="Calibri" w:hAnsi="Calibri"/>
          <w:szCs w:val="22"/>
          <w:lang w:eastAsia="en-US"/>
        </w:rPr>
        <w:t>povinnosť žiadateľa, ktorý sa nachádza na území MAS, predložiť potvrdenie od MAS, že daný projekt nie je realizovaný prostredníctvom stratégie CLLD miestnej akčnej skupiny.</w:t>
      </w:r>
    </w:p>
    <w:p w:rsidR="008676F9" w:rsidRPr="008676F9" w:rsidRDefault="008676F9" w:rsidP="00AA6566">
      <w:pPr>
        <w:rPr>
          <w:rFonts w:ascii="Calibri" w:eastAsia="Calibri" w:hAnsi="Calibri" w:cs="Calibri"/>
          <w:bCs/>
          <w:szCs w:val="22"/>
          <w:u w:val="single"/>
          <w:lang w:eastAsia="en-US"/>
        </w:rPr>
      </w:pPr>
    </w:p>
    <w:p w:rsidR="008676F9" w:rsidRPr="008676F9" w:rsidRDefault="008676F9" w:rsidP="00AA6566">
      <w:pPr>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Princípy nastavenia výberových kritérií:</w:t>
      </w:r>
    </w:p>
    <w:p w:rsidR="00440989" w:rsidRDefault="00440989" w:rsidP="00955DA4">
      <w:pPr>
        <w:numPr>
          <w:ilvl w:val="0"/>
          <w:numId w:val="167"/>
        </w:numPr>
        <w:ind w:left="714" w:hanging="357"/>
        <w:rPr>
          <w:rFonts w:ascii="Calibri" w:hAnsi="Calibri"/>
          <w:szCs w:val="22"/>
          <w:lang w:eastAsia="en-US"/>
        </w:rPr>
      </w:pPr>
      <w:r>
        <w:rPr>
          <w:rFonts w:ascii="Calibri" w:hAnsi="Calibri"/>
          <w:szCs w:val="22"/>
          <w:lang w:eastAsia="en-US"/>
        </w:rPr>
        <w:t>komplexnosť, udržateľnosť, realizovateľnosť, hospodárnosť a efektívnosť projektu;</w:t>
      </w:r>
    </w:p>
    <w:p w:rsidR="008676F9" w:rsidRPr="008676F9" w:rsidRDefault="008676F9" w:rsidP="00955DA4">
      <w:pPr>
        <w:numPr>
          <w:ilvl w:val="0"/>
          <w:numId w:val="167"/>
        </w:numPr>
        <w:ind w:left="714" w:hanging="357"/>
        <w:rPr>
          <w:rFonts w:ascii="Calibri" w:hAnsi="Calibri"/>
          <w:szCs w:val="22"/>
          <w:lang w:eastAsia="en-US"/>
        </w:rPr>
      </w:pPr>
      <w:r w:rsidRPr="008676F9">
        <w:rPr>
          <w:rFonts w:ascii="Calibri" w:hAnsi="Calibri"/>
          <w:szCs w:val="22"/>
          <w:lang w:eastAsia="en-US"/>
        </w:rPr>
        <w:t>uprednostnené budú projekty s vyšším počtom tvorby/udržania pracovných miest;</w:t>
      </w:r>
    </w:p>
    <w:p w:rsidR="008676F9" w:rsidRPr="008676F9" w:rsidRDefault="008676F9" w:rsidP="00955DA4">
      <w:pPr>
        <w:numPr>
          <w:ilvl w:val="0"/>
          <w:numId w:val="167"/>
        </w:numPr>
        <w:ind w:left="714" w:hanging="357"/>
        <w:rPr>
          <w:rFonts w:ascii="Calibri" w:hAnsi="Calibri"/>
          <w:szCs w:val="22"/>
          <w:lang w:eastAsia="en-US"/>
        </w:rPr>
      </w:pPr>
      <w:r w:rsidRPr="008676F9">
        <w:rPr>
          <w:rFonts w:ascii="Calibri" w:hAnsi="Calibri"/>
          <w:szCs w:val="22"/>
          <w:lang w:eastAsia="en-US"/>
        </w:rPr>
        <w:t>uprednostnené budú projekty primárne prispievajúce k životnému prostrediu a klíme;</w:t>
      </w:r>
    </w:p>
    <w:p w:rsidR="008676F9" w:rsidRPr="008676F9" w:rsidRDefault="008676F9" w:rsidP="00955DA4">
      <w:pPr>
        <w:numPr>
          <w:ilvl w:val="0"/>
          <w:numId w:val="167"/>
        </w:numPr>
        <w:spacing w:after="200" w:line="276" w:lineRule="auto"/>
        <w:ind w:left="714" w:hanging="357"/>
        <w:rPr>
          <w:rFonts w:ascii="Calibri" w:hAnsi="Calibri"/>
          <w:szCs w:val="22"/>
          <w:lang w:eastAsia="en-US"/>
        </w:rPr>
      </w:pPr>
      <w:r w:rsidRPr="008676F9">
        <w:rPr>
          <w:rFonts w:ascii="Calibri" w:hAnsi="Calibri"/>
          <w:szCs w:val="22"/>
          <w:lang w:eastAsia="en-US"/>
        </w:rPr>
        <w:t>v prípade spracovania drevnej biomasy budú uprednostnení prijímatelia s vyšším podielom vlastných vstupov.</w:t>
      </w:r>
    </w:p>
    <w:p w:rsidR="008676F9" w:rsidRPr="008676F9" w:rsidRDefault="008676F9" w:rsidP="006F5151">
      <w:pPr>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Výška a  miera podpory:</w:t>
      </w:r>
    </w:p>
    <w:p w:rsidR="008676F9" w:rsidRPr="008676F9" w:rsidRDefault="008676F9" w:rsidP="006F5151">
      <w:pPr>
        <w:rPr>
          <w:rFonts w:ascii="Calibri" w:eastAsia="Calibri" w:hAnsi="Calibri" w:cs="Calibri"/>
          <w:bCs/>
          <w:szCs w:val="22"/>
          <w:lang w:eastAsia="en-US"/>
        </w:rPr>
      </w:pPr>
      <w:r w:rsidRPr="008676F9">
        <w:rPr>
          <w:rFonts w:ascii="Calibri" w:eastAsia="Calibri" w:hAnsi="Calibri" w:cs="Calibri"/>
          <w:bCs/>
          <w:szCs w:val="22"/>
          <w:lang w:eastAsia="en-US"/>
        </w:rPr>
        <w:t>Maximálna výška podpory z celkových oprávnených výdavkov:</w:t>
      </w:r>
    </w:p>
    <w:p w:rsidR="008676F9" w:rsidRPr="008676F9" w:rsidRDefault="008676F9" w:rsidP="00955DA4">
      <w:pPr>
        <w:numPr>
          <w:ilvl w:val="0"/>
          <w:numId w:val="131"/>
        </w:numPr>
        <w:rPr>
          <w:rFonts w:ascii="Calibri" w:hAnsi="Calibri" w:cs="Calibri"/>
          <w:bCs/>
          <w:szCs w:val="22"/>
          <w:lang w:eastAsia="en-US"/>
        </w:rPr>
      </w:pPr>
      <w:r w:rsidRPr="008676F9">
        <w:rPr>
          <w:rFonts w:ascii="Calibri" w:hAnsi="Calibri" w:cs="Calibri"/>
          <w:bCs/>
          <w:szCs w:val="22"/>
          <w:lang w:eastAsia="en-US"/>
        </w:rPr>
        <w:t xml:space="preserve">55 % v nasledovných krajoch SR: PO, KE, BB, ZA; </w:t>
      </w:r>
    </w:p>
    <w:p w:rsidR="008676F9" w:rsidRPr="008676F9" w:rsidRDefault="008676F9" w:rsidP="00955DA4">
      <w:pPr>
        <w:numPr>
          <w:ilvl w:val="0"/>
          <w:numId w:val="131"/>
        </w:numPr>
        <w:rPr>
          <w:rFonts w:ascii="Calibri" w:hAnsi="Calibri" w:cs="Calibri"/>
          <w:bCs/>
          <w:szCs w:val="22"/>
          <w:lang w:eastAsia="en-US"/>
        </w:rPr>
      </w:pPr>
      <w:r w:rsidRPr="008676F9">
        <w:rPr>
          <w:rFonts w:ascii="Calibri" w:hAnsi="Calibri" w:cs="Calibri"/>
          <w:bCs/>
          <w:szCs w:val="22"/>
          <w:lang w:eastAsia="en-US"/>
        </w:rPr>
        <w:t>45% v  nasledovných krajoch SR: TN, NR, TT;</w:t>
      </w:r>
    </w:p>
    <w:p w:rsidR="008676F9" w:rsidRDefault="008676F9" w:rsidP="00955DA4">
      <w:pPr>
        <w:numPr>
          <w:ilvl w:val="0"/>
          <w:numId w:val="131"/>
        </w:numPr>
        <w:rPr>
          <w:rFonts w:ascii="Calibri" w:hAnsi="Calibri" w:cs="Calibri"/>
          <w:bCs/>
          <w:szCs w:val="22"/>
          <w:lang w:eastAsia="en-US"/>
        </w:rPr>
      </w:pPr>
      <w:r w:rsidRPr="008676F9">
        <w:rPr>
          <w:rFonts w:ascii="Calibri" w:hAnsi="Calibri" w:cs="Calibri"/>
          <w:bCs/>
          <w:szCs w:val="22"/>
          <w:lang w:eastAsia="en-US"/>
        </w:rPr>
        <w:t>45%  v nasledovných krajoch SR: BA</w:t>
      </w:r>
      <w:r w:rsidRPr="008676F9">
        <w:rPr>
          <w:rFonts w:ascii="Calibri" w:hAnsi="Calibri" w:cs="Calibri"/>
          <w:bCs/>
          <w:szCs w:val="22"/>
          <w:vertAlign w:val="superscript"/>
          <w:lang w:eastAsia="en-US"/>
        </w:rPr>
        <w:footnoteReference w:id="17"/>
      </w:r>
      <w:r w:rsidRPr="008676F9">
        <w:rPr>
          <w:rFonts w:ascii="Calibri" w:hAnsi="Calibri" w:cs="Calibri"/>
          <w:bCs/>
          <w:szCs w:val="22"/>
          <w:lang w:eastAsia="en-US"/>
        </w:rPr>
        <w:t>.</w:t>
      </w:r>
    </w:p>
    <w:p w:rsidR="001F3673" w:rsidRPr="008676F9" w:rsidRDefault="001F3673" w:rsidP="00955DA4">
      <w:pPr>
        <w:numPr>
          <w:ilvl w:val="0"/>
          <w:numId w:val="131"/>
        </w:numPr>
        <w:rPr>
          <w:rFonts w:ascii="Calibri" w:hAnsi="Calibri" w:cs="Calibri"/>
          <w:bCs/>
          <w:szCs w:val="22"/>
          <w:lang w:eastAsia="en-US"/>
        </w:rPr>
      </w:pPr>
    </w:p>
    <w:p w:rsidR="008676F9" w:rsidRPr="008676F9" w:rsidRDefault="008676F9" w:rsidP="006F5151">
      <w:pPr>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Ďalšie informácie špecifické pre podopatrenie:</w:t>
      </w:r>
    </w:p>
    <w:p w:rsidR="008676F9" w:rsidRPr="008676F9" w:rsidRDefault="008676F9" w:rsidP="006F5151">
      <w:pPr>
        <w:rPr>
          <w:rFonts w:ascii="Calibri" w:eastAsia="Calibri" w:hAnsi="Calibri" w:cs="Calibri"/>
          <w:bCs/>
          <w:szCs w:val="22"/>
          <w:lang w:eastAsia="en-US"/>
        </w:rPr>
      </w:pPr>
      <w:r w:rsidRPr="008676F9">
        <w:rPr>
          <w:rFonts w:ascii="Calibri" w:eastAsia="Calibri" w:hAnsi="Calibri" w:cs="Calibri"/>
          <w:bCs/>
          <w:szCs w:val="22"/>
          <w:lang w:eastAsia="en-US"/>
        </w:rPr>
        <w:t xml:space="preserve">Oprávnené oblasti diverzifikácie: </w:t>
      </w:r>
    </w:p>
    <w:p w:rsidR="008676F9" w:rsidRPr="008676F9" w:rsidRDefault="008676F9" w:rsidP="00955DA4">
      <w:pPr>
        <w:numPr>
          <w:ilvl w:val="0"/>
          <w:numId w:val="169"/>
        </w:numPr>
        <w:rPr>
          <w:rFonts w:ascii="Calibri" w:hAnsi="Calibri" w:cs="Calibri"/>
          <w:bCs/>
          <w:szCs w:val="22"/>
          <w:lang w:eastAsia="en-US"/>
        </w:rPr>
      </w:pPr>
      <w:r w:rsidRPr="008676F9">
        <w:rPr>
          <w:rFonts w:ascii="Calibri" w:hAnsi="Calibri" w:cs="Calibri"/>
          <w:bCs/>
          <w:szCs w:val="22"/>
          <w:lang w:eastAsia="en-US"/>
        </w:rPr>
        <w:t>investície do rekreačných a relaxačných činností spojených s vidieckym cestovným ruchom;</w:t>
      </w:r>
    </w:p>
    <w:p w:rsidR="008676F9" w:rsidRPr="008676F9" w:rsidRDefault="008676F9" w:rsidP="00955DA4">
      <w:pPr>
        <w:numPr>
          <w:ilvl w:val="0"/>
          <w:numId w:val="169"/>
        </w:numPr>
        <w:rPr>
          <w:rFonts w:ascii="Calibri" w:hAnsi="Calibri" w:cs="Calibri"/>
          <w:bCs/>
          <w:szCs w:val="22"/>
          <w:lang w:eastAsia="en-US"/>
        </w:rPr>
      </w:pPr>
      <w:r w:rsidRPr="008676F9">
        <w:rPr>
          <w:rFonts w:ascii="Calibri" w:hAnsi="Calibri" w:cs="Calibri"/>
          <w:bCs/>
          <w:szCs w:val="22"/>
          <w:lang w:eastAsia="en-US"/>
        </w:rPr>
        <w:t>investície do činností spojených s cieľovou skupinou deti, seniori a občania so zníženou schopnosťou pohybu;</w:t>
      </w:r>
    </w:p>
    <w:p w:rsidR="008676F9" w:rsidRPr="008676F9" w:rsidRDefault="008676F9" w:rsidP="00955DA4">
      <w:pPr>
        <w:numPr>
          <w:ilvl w:val="0"/>
          <w:numId w:val="169"/>
        </w:numPr>
        <w:rPr>
          <w:rFonts w:ascii="Calibri" w:hAnsi="Calibri" w:cs="Calibri"/>
          <w:bCs/>
          <w:szCs w:val="22"/>
          <w:lang w:eastAsia="en-US"/>
        </w:rPr>
      </w:pPr>
      <w:r w:rsidRPr="008676F9">
        <w:rPr>
          <w:rFonts w:ascii="Calibri" w:hAnsi="Calibri" w:cs="Calibri"/>
          <w:bCs/>
          <w:szCs w:val="22"/>
          <w:lang w:eastAsia="en-US"/>
        </w:rPr>
        <w:t>investície do spracovania a uvádzania na trh produktov, ktorých vstup a výstup nespadá do prílohy I ZFEÚ;</w:t>
      </w:r>
    </w:p>
    <w:p w:rsidR="008676F9" w:rsidRPr="008676F9" w:rsidRDefault="008676F9" w:rsidP="00955DA4">
      <w:pPr>
        <w:numPr>
          <w:ilvl w:val="0"/>
          <w:numId w:val="169"/>
        </w:numPr>
        <w:rPr>
          <w:rFonts w:ascii="Calibri" w:hAnsi="Calibri" w:cs="Calibri"/>
          <w:bCs/>
          <w:szCs w:val="22"/>
          <w:lang w:eastAsia="en-US"/>
        </w:rPr>
      </w:pPr>
      <w:r w:rsidRPr="008676F9">
        <w:rPr>
          <w:rFonts w:ascii="Calibri" w:hAnsi="Calibri" w:cs="Calibri"/>
          <w:bCs/>
          <w:szCs w:val="22"/>
          <w:lang w:eastAsia="en-US"/>
        </w:rPr>
        <w:t>investície do OZE.</w:t>
      </w:r>
    </w:p>
    <w:p w:rsidR="008676F9" w:rsidRPr="008676F9" w:rsidRDefault="008676F9" w:rsidP="006F5151">
      <w:pPr>
        <w:rPr>
          <w:rFonts w:ascii="Calibri" w:eastAsia="Calibri" w:hAnsi="Calibri" w:cs="Calibri"/>
          <w:bCs/>
          <w:szCs w:val="22"/>
          <w:lang w:eastAsia="en-US"/>
        </w:rPr>
      </w:pPr>
    </w:p>
    <w:p w:rsidR="008676F9" w:rsidRPr="008676F9" w:rsidRDefault="008676F9" w:rsidP="00551D5C">
      <w:pPr>
        <w:spacing w:after="120"/>
        <w:rPr>
          <w:rFonts w:ascii="Calibri" w:eastAsia="Calibri" w:hAnsi="Calibri" w:cs="Calibri"/>
          <w:bCs/>
          <w:szCs w:val="22"/>
          <w:lang w:eastAsia="en-US"/>
        </w:rPr>
      </w:pPr>
      <w:r w:rsidRPr="008676F9">
        <w:rPr>
          <w:rFonts w:ascii="Calibri" w:eastAsia="Calibri" w:hAnsi="Calibri" w:cs="Calibri"/>
          <w:bCs/>
          <w:i/>
          <w:szCs w:val="22"/>
          <w:lang w:eastAsia="en-US"/>
        </w:rPr>
        <w:t>Predajné miesto:</w:t>
      </w:r>
      <w:r w:rsidRPr="008676F9">
        <w:rPr>
          <w:rFonts w:ascii="Calibri" w:eastAsia="Calibri" w:hAnsi="Calibri" w:cs="Calibri"/>
          <w:bCs/>
          <w:szCs w:val="22"/>
          <w:lang w:eastAsia="en-US"/>
        </w:rPr>
        <w:t xml:space="preserve"> je miesto priamo na farme alebo lesnom podniku, alebo miesto dostupné pre návštevníkov daného regiónu, kde prijímateľ podpory môže predávať svoje výrobky vyrobené v rámci tohto opatrenia, ktoré musia byť nepoľnohospodárskeho a nepotravinárskeho charakteru alebo takéto výrobky iných poľnohospodárov a lesných hospodárov.</w:t>
      </w:r>
    </w:p>
    <w:p w:rsidR="008676F9" w:rsidRPr="008676F9" w:rsidRDefault="008676F9" w:rsidP="006F5151">
      <w:pPr>
        <w:rPr>
          <w:rFonts w:ascii="Calibri" w:eastAsia="Calibri" w:hAnsi="Calibri" w:cs="Calibri"/>
          <w:bCs/>
          <w:szCs w:val="22"/>
          <w:lang w:eastAsia="en-US"/>
        </w:rPr>
      </w:pPr>
      <w:r w:rsidRPr="008676F9">
        <w:rPr>
          <w:rFonts w:ascii="Calibri" w:eastAsia="Calibri" w:hAnsi="Calibri" w:cs="Calibri"/>
          <w:bCs/>
          <w:i/>
          <w:szCs w:val="22"/>
          <w:lang w:eastAsia="en-US"/>
        </w:rPr>
        <w:t xml:space="preserve">Občianska a poznávacia infraštruktúra: </w:t>
      </w:r>
      <w:r w:rsidRPr="008676F9">
        <w:rPr>
          <w:rFonts w:ascii="Calibri" w:eastAsia="Calibri" w:hAnsi="Calibri"/>
          <w:szCs w:val="22"/>
          <w:lang w:eastAsia="en-US"/>
        </w:rPr>
        <w:t>náučné a turistické chodníky, cyklotrasy, odpočívadlá, pozorovateľne, mostíky, turistické značenie, mapové panely, informačné tabule, turistické útulne, ohniská, odpadkové koše, vyhliadkové veže, lanové dráhy, schody, rebríky, chodníky, objekty a centrá biodiverzity na pozorovanie – mokrade, malé vodné plochy, ukážkové lesné biotopy.</w:t>
      </w:r>
    </w:p>
    <w:p w:rsidR="008676F9" w:rsidRPr="008676F9" w:rsidRDefault="008676F9" w:rsidP="006F5151">
      <w:pPr>
        <w:rPr>
          <w:rFonts w:ascii="Calibri" w:eastAsia="Calibri" w:hAnsi="Calibri" w:cs="Calibri"/>
          <w:bCs/>
          <w:szCs w:val="22"/>
          <w:lang w:eastAsia="en-US"/>
        </w:rPr>
      </w:pPr>
    </w:p>
    <w:p w:rsidR="008676F9" w:rsidRPr="008676F9" w:rsidRDefault="008676F9" w:rsidP="006F5151">
      <w:pPr>
        <w:ind w:left="993" w:hanging="993"/>
        <w:rPr>
          <w:rFonts w:ascii="Calibri" w:eastAsia="Calibri" w:hAnsi="Calibri" w:cs="Calibri"/>
          <w:b/>
          <w:bCs/>
          <w:szCs w:val="22"/>
          <w:lang w:eastAsia="en-US"/>
        </w:rPr>
      </w:pPr>
      <w:r w:rsidRPr="008676F9">
        <w:rPr>
          <w:rFonts w:ascii="Calibri" w:eastAsia="Calibri" w:hAnsi="Calibri" w:cs="Calibri"/>
          <w:b/>
          <w:bCs/>
          <w:szCs w:val="22"/>
          <w:lang w:eastAsia="en-US"/>
        </w:rPr>
        <w:t>8.2.5.4. Overiteľnosť a kontrolovateľnosť opatrenia:</w:t>
      </w:r>
    </w:p>
    <w:p w:rsidR="008676F9" w:rsidRPr="008676F9" w:rsidRDefault="008676F9" w:rsidP="006F5151">
      <w:pPr>
        <w:ind w:left="993" w:hanging="993"/>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Riziko implementácie opatrenia</w:t>
      </w:r>
    </w:p>
    <w:p w:rsidR="008676F9" w:rsidRPr="008676F9" w:rsidRDefault="008676F9" w:rsidP="00955DA4">
      <w:pPr>
        <w:numPr>
          <w:ilvl w:val="0"/>
          <w:numId w:val="168"/>
        </w:numPr>
        <w:rPr>
          <w:rFonts w:ascii="Calibri" w:hAnsi="Calibri" w:cs="Calibri"/>
          <w:bCs/>
          <w:szCs w:val="22"/>
          <w:lang w:eastAsia="en-US"/>
        </w:rPr>
      </w:pPr>
      <w:r w:rsidRPr="008676F9">
        <w:rPr>
          <w:rFonts w:ascii="Calibri" w:hAnsi="Calibri" w:cs="Calibri"/>
          <w:bCs/>
          <w:szCs w:val="22"/>
          <w:lang w:eastAsia="en-US"/>
        </w:rPr>
        <w:t>postupy verejného obstarávania;</w:t>
      </w:r>
    </w:p>
    <w:p w:rsidR="008676F9" w:rsidRPr="008676F9" w:rsidRDefault="008676F9" w:rsidP="00955DA4">
      <w:pPr>
        <w:numPr>
          <w:ilvl w:val="0"/>
          <w:numId w:val="168"/>
        </w:numPr>
        <w:rPr>
          <w:rFonts w:ascii="Calibri" w:hAnsi="Calibri" w:cs="Calibri"/>
          <w:bCs/>
          <w:szCs w:val="22"/>
          <w:lang w:eastAsia="en-US"/>
        </w:rPr>
      </w:pPr>
      <w:r w:rsidRPr="008676F9">
        <w:rPr>
          <w:rFonts w:ascii="Calibri" w:hAnsi="Calibri" w:cs="Calibri"/>
          <w:bCs/>
          <w:szCs w:val="22"/>
          <w:lang w:eastAsia="en-US"/>
        </w:rPr>
        <w:t>výber prijímateľov;</w:t>
      </w:r>
    </w:p>
    <w:p w:rsidR="008676F9" w:rsidRPr="008676F9" w:rsidRDefault="008676F9" w:rsidP="00955DA4">
      <w:pPr>
        <w:numPr>
          <w:ilvl w:val="0"/>
          <w:numId w:val="168"/>
        </w:numPr>
        <w:rPr>
          <w:rFonts w:ascii="Calibri" w:hAnsi="Calibri" w:cs="Calibri"/>
          <w:bCs/>
          <w:szCs w:val="22"/>
          <w:lang w:eastAsia="en-US"/>
        </w:rPr>
      </w:pPr>
      <w:r w:rsidRPr="008676F9">
        <w:rPr>
          <w:rFonts w:ascii="Calibri" w:hAnsi="Calibri" w:cs="Calibri"/>
          <w:bCs/>
          <w:szCs w:val="22"/>
          <w:lang w:eastAsia="en-US"/>
        </w:rPr>
        <w:t>riadiaci a kontrolný systém;</w:t>
      </w:r>
    </w:p>
    <w:p w:rsidR="008676F9" w:rsidRPr="008676F9" w:rsidRDefault="008676F9" w:rsidP="00955DA4">
      <w:pPr>
        <w:numPr>
          <w:ilvl w:val="0"/>
          <w:numId w:val="168"/>
        </w:numPr>
        <w:rPr>
          <w:rFonts w:ascii="Calibri" w:hAnsi="Calibri" w:cs="Calibri"/>
          <w:bCs/>
          <w:szCs w:val="22"/>
          <w:lang w:eastAsia="en-US"/>
        </w:rPr>
      </w:pPr>
      <w:r w:rsidRPr="008676F9">
        <w:rPr>
          <w:rFonts w:ascii="Calibri" w:hAnsi="Calibri" w:cs="Calibri"/>
          <w:bCs/>
          <w:szCs w:val="22"/>
          <w:lang w:eastAsia="en-US"/>
        </w:rPr>
        <w:t>efektívnosť a primeranosť oprávnených nákladov.</w:t>
      </w:r>
    </w:p>
    <w:p w:rsidR="008676F9" w:rsidRPr="008676F9" w:rsidRDefault="008676F9" w:rsidP="006F5151">
      <w:pPr>
        <w:ind w:left="993" w:hanging="993"/>
        <w:rPr>
          <w:rFonts w:ascii="Calibri" w:eastAsia="Calibri" w:hAnsi="Calibri" w:cs="Calibri"/>
          <w:bCs/>
          <w:szCs w:val="22"/>
          <w:u w:val="single"/>
          <w:lang w:eastAsia="en-US"/>
        </w:rPr>
      </w:pPr>
    </w:p>
    <w:p w:rsidR="008676F9" w:rsidRPr="008676F9" w:rsidRDefault="008676F9" w:rsidP="006F5151">
      <w:pPr>
        <w:rPr>
          <w:rFonts w:ascii="Calibri" w:eastAsia="Calibri" w:hAnsi="Calibri" w:cs="Calibri"/>
          <w:szCs w:val="22"/>
          <w:u w:val="single"/>
        </w:rPr>
      </w:pPr>
      <w:r w:rsidRPr="008676F9">
        <w:rPr>
          <w:rFonts w:ascii="Calibri" w:eastAsia="Calibri" w:hAnsi="Calibri" w:cs="Calibri"/>
          <w:szCs w:val="22"/>
          <w:u w:val="single"/>
        </w:rPr>
        <w:t>Opatrenia na zmiernenie rizika implementácie:</w:t>
      </w:r>
    </w:p>
    <w:p w:rsidR="008676F9" w:rsidRPr="008676F9" w:rsidRDefault="008676F9" w:rsidP="00955DA4">
      <w:pPr>
        <w:numPr>
          <w:ilvl w:val="0"/>
          <w:numId w:val="168"/>
        </w:numPr>
        <w:ind w:left="714" w:hanging="357"/>
        <w:rPr>
          <w:rFonts w:ascii="Calibri" w:hAnsi="Calibri" w:cs="Calibri"/>
          <w:bCs/>
          <w:szCs w:val="22"/>
          <w:lang w:eastAsia="en-US"/>
        </w:rPr>
      </w:pPr>
      <w:r w:rsidRPr="008676F9">
        <w:rPr>
          <w:rFonts w:ascii="Calibri" w:hAnsi="Calibri" w:cs="Calibri"/>
          <w:bCs/>
          <w:szCs w:val="22"/>
          <w:lang w:eastAsia="en-US"/>
        </w:rPr>
        <w:t>povinnosť postupovať v zmysle zákona NR SR č. 25/2006 Z. z. o verejnom obstarávaní;</w:t>
      </w:r>
    </w:p>
    <w:p w:rsidR="008676F9" w:rsidRPr="008676F9" w:rsidRDefault="008676F9" w:rsidP="00955DA4">
      <w:pPr>
        <w:numPr>
          <w:ilvl w:val="0"/>
          <w:numId w:val="168"/>
        </w:numPr>
        <w:rPr>
          <w:rFonts w:ascii="Calibri" w:hAnsi="Calibri" w:cs="Calibri"/>
          <w:bCs/>
          <w:szCs w:val="22"/>
          <w:lang w:eastAsia="en-US"/>
        </w:rPr>
      </w:pPr>
      <w:r w:rsidRPr="008676F9">
        <w:rPr>
          <w:rFonts w:ascii="Calibri" w:hAnsi="Calibri" w:cs="Calibri"/>
          <w:bCs/>
          <w:szCs w:val="22"/>
          <w:lang w:eastAsia="en-US"/>
        </w:rPr>
        <w:t xml:space="preserve">systém riadenia a kontroly je zabezpečený uplatnením pravidiel vnútroštátnej legislatívy príslušnými útvarmi a delegovaním tejto povinnosti na Pôdohospodársku platobnú agentúru, ktorá bude pre tento účel postupovať podľa kontrolného softwarového systému.  </w:t>
      </w:r>
    </w:p>
    <w:p w:rsidR="008676F9" w:rsidRPr="008676F9" w:rsidRDefault="008676F9" w:rsidP="006F5151">
      <w:pPr>
        <w:ind w:left="993" w:hanging="993"/>
        <w:rPr>
          <w:rFonts w:ascii="Calibri" w:eastAsia="Calibri" w:hAnsi="Calibri" w:cs="Calibri"/>
          <w:bCs/>
          <w:szCs w:val="22"/>
          <w:u w:val="single"/>
          <w:lang w:eastAsia="en-US"/>
        </w:rPr>
      </w:pPr>
    </w:p>
    <w:p w:rsidR="008676F9" w:rsidRPr="008676F9" w:rsidRDefault="008676F9" w:rsidP="006F5151">
      <w:pPr>
        <w:ind w:left="993" w:hanging="993"/>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Celkové posúdenie opatrenia</w:t>
      </w:r>
    </w:p>
    <w:p w:rsidR="008676F9" w:rsidRPr="008676F9" w:rsidRDefault="008676F9" w:rsidP="001F3673">
      <w:pPr>
        <w:spacing w:after="120"/>
        <w:rPr>
          <w:rFonts w:ascii="Calibri" w:eastAsia="Calibri" w:hAnsi="Calibri" w:cs="Calibri"/>
          <w:szCs w:val="22"/>
        </w:rPr>
      </w:pPr>
      <w:r w:rsidRPr="008676F9">
        <w:rPr>
          <w:rFonts w:ascii="Calibri" w:eastAsia="Calibri" w:hAnsi="Calibri" w:cs="Calibri"/>
          <w:szCs w:val="22"/>
        </w:rPr>
        <w:t>Overiteľnosť a kontrolovateľnosť opatrenia bude predmetom posúdenia ex-ante, mid-term a ex-post hodnotenia.</w:t>
      </w:r>
    </w:p>
    <w:p w:rsidR="008676F9" w:rsidRPr="008676F9" w:rsidRDefault="008676F9" w:rsidP="006F5151">
      <w:pPr>
        <w:rPr>
          <w:rFonts w:ascii="Calibri" w:eastAsia="Calibri" w:hAnsi="Calibri" w:cs="Calibri"/>
          <w:szCs w:val="22"/>
        </w:rPr>
      </w:pPr>
      <w:r w:rsidRPr="008676F9">
        <w:rPr>
          <w:rFonts w:ascii="Calibri" w:eastAsia="Calibri" w:hAnsi="Calibri" w:cs="Calibri"/>
          <w:szCs w:val="22"/>
        </w:rPr>
        <w:t xml:space="preserve">V rámci opatrenia sú stanovené presné podmienky oprávnenosti, ktoré určujú oprávnenosť žiadateľa a navrhovaného projektu. Ich dodržiavanie musí žiadateľ preukázať, príp. deklarovať pri predložení ŽoNFP. K plneniu kritérií spôsobilosti, ktoré sa preukazujú pri podaní ŽoP, sa konečný prijímateľ podpory zaviaže pri podpise zmluvy o poskytnutí NFP.  Kontrola kritérií spôsobilosti zo strany PPA bude predmetom administratívnej kontroly, resp. kontroly na mieste. V prípade ich neplnenia nebude žiadateľovi schválená ŽoNFP resp. nebude  mu vyplatená finančná čiastka v rámci ŽoP, prípadne PPA odstúpi od uzavretej zmluvy o poskytnutí NFP.  </w:t>
      </w:r>
    </w:p>
    <w:p w:rsidR="00AA30CA" w:rsidRDefault="008676F9" w:rsidP="00AA30CA">
      <w:pPr>
        <w:pStyle w:val="Opatrenie"/>
      </w:pPr>
      <w:bookmarkStart w:id="85" w:name="_Toc387041326"/>
      <w:r w:rsidRPr="008676F9">
        <w:t xml:space="preserve">8.2.6 OPATRENIE 7 </w:t>
      </w:r>
      <w:r w:rsidRPr="008676F9">
        <w:tab/>
        <w:t>základné sluŽby a obnova dedín VO VIDIECKYCH</w:t>
      </w:r>
      <w:bookmarkEnd w:id="85"/>
      <w:r w:rsidRPr="008676F9">
        <w:t xml:space="preserve"> </w:t>
      </w:r>
    </w:p>
    <w:p w:rsidR="008676F9" w:rsidRPr="008676F9" w:rsidRDefault="008676F9" w:rsidP="00AA30CA">
      <w:pPr>
        <w:pStyle w:val="Opatrenie"/>
        <w:ind w:left="2556" w:firstLine="276"/>
      </w:pPr>
      <w:bookmarkStart w:id="86" w:name="_Toc384111049"/>
      <w:bookmarkStart w:id="87" w:name="_Toc387041327"/>
      <w:r w:rsidRPr="008676F9">
        <w:t>OBLASTIACH</w:t>
      </w:r>
      <w:bookmarkEnd w:id="86"/>
      <w:bookmarkEnd w:id="87"/>
    </w:p>
    <w:p w:rsidR="008676F9" w:rsidRPr="008676F9" w:rsidRDefault="008676F9" w:rsidP="008676F9">
      <w:pPr>
        <w:rPr>
          <w:rFonts w:ascii="Calibri" w:eastAsia="Calibri" w:hAnsi="Calibri" w:cs="Calibri"/>
          <w:b/>
          <w:bCs/>
          <w:szCs w:val="22"/>
          <w:lang w:eastAsia="en-US"/>
        </w:rPr>
      </w:pPr>
    </w:p>
    <w:p w:rsidR="008676F9" w:rsidRPr="008676F9" w:rsidRDefault="008676F9" w:rsidP="008676F9">
      <w:pPr>
        <w:rPr>
          <w:rFonts w:ascii="Calibri" w:eastAsia="Calibri" w:hAnsi="Calibri" w:cs="Calibri"/>
          <w:b/>
          <w:bCs/>
          <w:szCs w:val="22"/>
          <w:lang w:eastAsia="en-US"/>
        </w:rPr>
      </w:pPr>
      <w:r w:rsidRPr="008676F9">
        <w:rPr>
          <w:rFonts w:ascii="Calibri" w:eastAsia="Calibri" w:hAnsi="Calibri" w:cs="Calibri"/>
          <w:b/>
          <w:bCs/>
          <w:szCs w:val="22"/>
          <w:lang w:eastAsia="en-US"/>
        </w:rPr>
        <w:t>8.2.6.1. Právny základ</w:t>
      </w:r>
    </w:p>
    <w:p w:rsidR="008676F9" w:rsidRPr="008676F9" w:rsidRDefault="008676F9" w:rsidP="00955DA4">
      <w:pPr>
        <w:numPr>
          <w:ilvl w:val="0"/>
          <w:numId w:val="118"/>
        </w:numPr>
        <w:ind w:left="284" w:hanging="284"/>
        <w:rPr>
          <w:rFonts w:ascii="Calibri" w:hAnsi="Calibri" w:cs="Calibri"/>
          <w:bCs/>
          <w:szCs w:val="22"/>
        </w:rPr>
      </w:pPr>
      <w:r w:rsidRPr="008676F9">
        <w:rPr>
          <w:rFonts w:ascii="Calibri" w:hAnsi="Calibri" w:cs="Calibri"/>
          <w:bCs/>
          <w:szCs w:val="22"/>
        </w:rPr>
        <w:t>č</w:t>
      </w:r>
      <w:r w:rsidRPr="008676F9">
        <w:rPr>
          <w:rFonts w:ascii="Calibri" w:eastAsia="Calibri" w:hAnsi="Calibri" w:cs="Calibri"/>
          <w:bCs/>
          <w:szCs w:val="22"/>
        </w:rPr>
        <w:t xml:space="preserve">lánok 20 </w:t>
      </w:r>
      <w:r w:rsidRPr="008676F9">
        <w:rPr>
          <w:rFonts w:ascii="Calibri" w:eastAsia="Calibri" w:hAnsi="Calibri" w:cs="Calibri"/>
          <w:szCs w:val="22"/>
        </w:rPr>
        <w:t xml:space="preserve">nariadenia (EÚ) č. 1305/2013 o podpore rozvoja vidieka </w:t>
      </w:r>
      <w:r w:rsidR="00E81F0F">
        <w:rPr>
          <w:rFonts w:ascii="Calibri" w:eastAsia="Calibri" w:hAnsi="Calibri" w:cs="Calibri"/>
          <w:szCs w:val="22"/>
        </w:rPr>
        <w:t>z</w:t>
      </w:r>
      <w:r w:rsidRPr="008676F9">
        <w:rPr>
          <w:rFonts w:ascii="Calibri" w:eastAsia="Calibri" w:hAnsi="Calibri" w:cs="Calibri"/>
          <w:szCs w:val="22"/>
        </w:rPr>
        <w:t xml:space="preserve"> EPFRV;</w:t>
      </w:r>
    </w:p>
    <w:p w:rsidR="008676F9" w:rsidRPr="008676F9" w:rsidRDefault="008676F9" w:rsidP="00955DA4">
      <w:pPr>
        <w:numPr>
          <w:ilvl w:val="0"/>
          <w:numId w:val="118"/>
        </w:numPr>
        <w:ind w:left="284" w:hanging="284"/>
        <w:rPr>
          <w:rFonts w:ascii="Calibri" w:hAnsi="Calibri" w:cs="Calibri"/>
          <w:bCs/>
          <w:szCs w:val="22"/>
        </w:rPr>
      </w:pPr>
      <w:r w:rsidRPr="008676F9">
        <w:rPr>
          <w:rFonts w:ascii="Calibri" w:eastAsia="Calibri" w:hAnsi="Calibri" w:cs="Calibri"/>
          <w:szCs w:val="22"/>
        </w:rPr>
        <w:t>príloha I bod 8.7. implementačného aktu Komisie č. ...../2014.</w:t>
      </w:r>
    </w:p>
    <w:p w:rsidR="008676F9" w:rsidRPr="008676F9" w:rsidRDefault="008676F9" w:rsidP="006F5151">
      <w:pPr>
        <w:ind w:left="284"/>
        <w:rPr>
          <w:rFonts w:ascii="Calibri" w:hAnsi="Calibri" w:cs="Calibri"/>
          <w:bCs/>
          <w:szCs w:val="22"/>
        </w:rPr>
      </w:pPr>
    </w:p>
    <w:p w:rsidR="008676F9" w:rsidRPr="008676F9" w:rsidRDefault="008676F9" w:rsidP="006F5151">
      <w:pPr>
        <w:keepNext/>
        <w:ind w:left="576" w:hanging="576"/>
        <w:outlineLvl w:val="1"/>
        <w:rPr>
          <w:rFonts w:ascii="Calibri" w:hAnsi="Calibri" w:cs="Calibri"/>
          <w:b/>
          <w:bCs/>
          <w:szCs w:val="22"/>
          <w:lang w:eastAsia="en-US"/>
        </w:rPr>
      </w:pPr>
      <w:r w:rsidRPr="008676F9">
        <w:rPr>
          <w:rFonts w:ascii="Calibri" w:hAnsi="Calibri" w:cs="Calibri"/>
          <w:b/>
          <w:bCs/>
          <w:szCs w:val="22"/>
          <w:lang w:eastAsia="en-US"/>
        </w:rPr>
        <w:t>8.2.6.2.Všeobecný opis opatrenia vrátane intervenčnej logiky a príspevku k fokusovým oblastiam a prierezovým cieľom</w:t>
      </w:r>
    </w:p>
    <w:p w:rsidR="008676F9" w:rsidRPr="008676F9" w:rsidRDefault="008676F9" w:rsidP="001F3673">
      <w:pPr>
        <w:spacing w:after="120"/>
        <w:rPr>
          <w:rFonts w:ascii="Calibri" w:eastAsia="Calibri" w:hAnsi="Calibri" w:cs="Calibri"/>
          <w:szCs w:val="22"/>
          <w:lang w:eastAsia="en-US"/>
        </w:rPr>
      </w:pPr>
      <w:r w:rsidRPr="008676F9">
        <w:rPr>
          <w:rFonts w:ascii="Calibri" w:eastAsia="Calibri" w:hAnsi="Calibri" w:cs="Calibri"/>
          <w:szCs w:val="22"/>
          <w:lang w:eastAsia="en-US"/>
        </w:rPr>
        <w:t>Na území SR bolo 2890 obcí na úrovni LAU2 ku koncu roka 2011, z toho so štatútom mesta je 138 obcí. Najväčší podiel na sídelnej štruktúre v SR majú vidiecke obce do 5 000 obyvateľov. Tvor</w:t>
      </w:r>
      <w:r w:rsidR="00FF4D9D">
        <w:rPr>
          <w:rFonts w:ascii="Calibri" w:eastAsia="Calibri" w:hAnsi="Calibri" w:cs="Calibri"/>
          <w:szCs w:val="22"/>
          <w:lang w:eastAsia="en-US"/>
        </w:rPr>
        <w:t>ia</w:t>
      </w:r>
      <w:r w:rsidRPr="008676F9">
        <w:rPr>
          <w:rFonts w:ascii="Calibri" w:eastAsia="Calibri" w:hAnsi="Calibri" w:cs="Calibri"/>
          <w:szCs w:val="22"/>
          <w:lang w:eastAsia="en-US"/>
        </w:rPr>
        <w:t xml:space="preserve"> až 2 756 obcí (95,4 % z celkového počtu obcí v SR), v ktorých žije 2 450 030 obyvateľov t. j. 45,3 % z celkového počtu obyvateľov SR. V sídelnej štruktúre SR prevládajú malé obce do 1 000 obyvateľov, ktorých je až 66,2 % z celkového počtu. Žije v nich len 854 566 obyvateľov (t. j. 15,8 %) Slovenska s miernou prevahou žien (50,5 %). V SR bolo v roku 2011 1 913 obcí do 1 000 obyvateľov (66,2 % zo všetkých 2 890 obcí a žije v nich 15,1 % obyvateľstva). Malých obcí do 500 obyvateľov je 1 142, čo tvorí 39,5 % z celkového počtu sídiel v SR. Tieto malé vidiecke obce však tvoria prirodzenú reprodukčnú základňu pracovných síl pre poľnohospodársku prvovýrobu. Vývoj v prvej dekáde tohto storočia ukazuje, že dochádza k poklesu počtu obyvateľov v obciach do 1 000 obyvateľov a</w:t>
      </w:r>
      <w:r w:rsidR="00FF4D9D">
        <w:rPr>
          <w:rFonts w:ascii="Calibri" w:eastAsia="Calibri" w:hAnsi="Calibri" w:cs="Calibri"/>
          <w:szCs w:val="22"/>
          <w:lang w:eastAsia="en-US"/>
        </w:rPr>
        <w:t xml:space="preserve"> v </w:t>
      </w:r>
      <w:r w:rsidRPr="008676F9">
        <w:rPr>
          <w:rFonts w:ascii="Calibri" w:eastAsia="Calibri" w:hAnsi="Calibri" w:cs="Calibri"/>
          <w:szCs w:val="22"/>
          <w:lang w:eastAsia="en-US"/>
        </w:rPr>
        <w:t>mestách nad 50 000 obyvateľov a sústavnému rastu počtu obyvateľov v sídlach od 1 000 do 50 000 obyvateľov. Pritom k najvyššiemu rastu počtu obyvateľov dochádza v sídlach od 5 000 do 10 000 obyvateľov  a v sídlach od 2 000 do 5 000 obyvateľov. Najvyšší počet malých vidieckych obcí je na severovýchodnom Slovensku a v južnej časti stredného Slovenska. V Prešovskom (56 %) a Banskobystrickom (54 %) kraji tvoria najmenšie obce do 500 obyvateľov nadpolovičnú väčšinu všetkých sídiel. V týchto dvoch krajoch tvoria sídla do 1000 obyvateľov až 79 % z celkového počtu sídiel v týchto krajoch. Naopak najmenší podiel obcí do 500 obyvateľov je v Bratislavskom (9 %) a Trnavskom (18%) kraji.</w:t>
      </w:r>
    </w:p>
    <w:p w:rsidR="008676F9" w:rsidRPr="008676F9" w:rsidRDefault="008676F9" w:rsidP="00BD13CE">
      <w:pPr>
        <w:rPr>
          <w:rFonts w:ascii="Calibri" w:eastAsia="Calibri" w:hAnsi="Calibri" w:cs="Calibri"/>
          <w:szCs w:val="22"/>
          <w:lang w:eastAsia="en-US"/>
        </w:rPr>
      </w:pPr>
      <w:r w:rsidRPr="008676F9">
        <w:rPr>
          <w:rFonts w:ascii="Calibri" w:eastAsia="Calibri" w:hAnsi="Calibri" w:cs="Calibri"/>
          <w:szCs w:val="22"/>
          <w:lang w:eastAsia="en-US"/>
        </w:rPr>
        <w:t>V nadväznosti na identifikované slabé stránky vidieckych oblastí je potrebné zlepšenie kvality života a podpora ekonomického rozvoja vrátane formovania vidieckych komunít s dôrazom na využitie miestneho kultúrno-historického potenciálu, rozvoj IKT vo vidieckych obciach a zvýšenie podielu využívania a spracovania odpadovej biomasy, rastlinných zvyškov a exkrementov živočíšnej výroby a iných OZE na produkciu energie. Napĺňanie týchto potrieb bude prispievať k</w:t>
      </w:r>
      <w:r w:rsidR="00FF4D9D">
        <w:rPr>
          <w:rFonts w:ascii="Calibri" w:eastAsia="Calibri" w:hAnsi="Calibri" w:cs="Calibri"/>
          <w:szCs w:val="22"/>
          <w:lang w:eastAsia="en-US"/>
        </w:rPr>
        <w:t xml:space="preserve"> nasledovným </w:t>
      </w:r>
      <w:r w:rsidRPr="008676F9">
        <w:rPr>
          <w:rFonts w:ascii="Calibri" w:eastAsia="Calibri" w:hAnsi="Calibri" w:cs="Calibri"/>
          <w:szCs w:val="22"/>
          <w:lang w:eastAsia="en-US"/>
        </w:rPr>
        <w:t xml:space="preserve">špecifickým cieľom podpora miestneho rozvoja vo vidieckych oblastiach, rozšírenie prístupnosti, využívania a kvality informačných a komunikačných technológií a uľahčenie dodávok a využitia obnoviteľných zdrojov energie. Pre naplnenie týchto cieľov a potrieb je potrebné smerovať podporu na aktivity v rámci opatrenia základné služby a obnova dedín na vidieku. Kvalita života úzko súvisí s miestnym ekonomickým rozvojom, ako aj </w:t>
      </w:r>
      <w:r w:rsidR="00FF4D9D">
        <w:rPr>
          <w:rFonts w:ascii="Calibri" w:eastAsia="Calibri" w:hAnsi="Calibri" w:cs="Calibri"/>
          <w:szCs w:val="22"/>
          <w:lang w:eastAsia="en-US"/>
        </w:rPr>
        <w:t xml:space="preserve">so </w:t>
      </w:r>
      <w:r w:rsidRPr="008676F9">
        <w:rPr>
          <w:rFonts w:ascii="Calibri" w:eastAsia="Calibri" w:hAnsi="Calibri" w:cs="Calibri"/>
          <w:szCs w:val="22"/>
          <w:lang w:eastAsia="en-US"/>
        </w:rPr>
        <w:t>zastaven</w:t>
      </w:r>
      <w:r w:rsidR="00FF4D9D">
        <w:rPr>
          <w:rFonts w:ascii="Calibri" w:eastAsia="Calibri" w:hAnsi="Calibri" w:cs="Calibri"/>
          <w:szCs w:val="22"/>
          <w:lang w:eastAsia="en-US"/>
        </w:rPr>
        <w:t>ím</w:t>
      </w:r>
      <w:r w:rsidRPr="008676F9">
        <w:rPr>
          <w:rFonts w:ascii="Calibri" w:eastAsia="Calibri" w:hAnsi="Calibri" w:cs="Calibri"/>
          <w:szCs w:val="22"/>
          <w:lang w:eastAsia="en-US"/>
        </w:rPr>
        <w:t xml:space="preserve"> odlivu obyvateľstva z vidieka. Pre jej zvýšenie je potrebná kvalitná infraštruktúra vrátane využívania obnoviteľných zdrojov energie a dostupnosť miestnych služieb pre obyvateľov – využívanie nevyužitých objektov pre podnikateľskú a komunitnú činnosť, kvalitné verejné priestory pre obyvateľov, vytvorenie prístupu k širokopásmovému internetu a využívanie IKT a pod. Samotné investície zlepšujúce kvalitu života (infraštruktúra, miestne služby) budú mať vplyv na miestny ekonomický rozvoj v podobe vytvorenia podmienok pre podnikateľov. Pre efektívny a udržateľný rast vidieckych oblastí je vzhľadom na veľký potenciál vidieckeho cestovného ruchu týchto oblastí dôležité podporovať investície </w:t>
      </w:r>
      <w:r w:rsidR="00FF4D9D">
        <w:rPr>
          <w:rFonts w:ascii="Calibri" w:eastAsia="Calibri" w:hAnsi="Calibri" w:cs="Calibri"/>
          <w:szCs w:val="22"/>
          <w:lang w:eastAsia="en-US"/>
        </w:rPr>
        <w:t>do</w:t>
      </w:r>
      <w:r w:rsidRPr="008676F9">
        <w:rPr>
          <w:rFonts w:ascii="Calibri" w:eastAsia="Calibri" w:hAnsi="Calibri" w:cs="Calibri"/>
          <w:szCs w:val="22"/>
          <w:lang w:eastAsia="en-US"/>
        </w:rPr>
        <w:t xml:space="preserve"> rozvoj</w:t>
      </w:r>
      <w:r w:rsidR="00FF4D9D">
        <w:rPr>
          <w:rFonts w:ascii="Calibri" w:eastAsia="Calibri" w:hAnsi="Calibri" w:cs="Calibri"/>
          <w:szCs w:val="22"/>
          <w:lang w:eastAsia="en-US"/>
        </w:rPr>
        <w:t>a</w:t>
      </w:r>
      <w:r w:rsidRPr="008676F9">
        <w:rPr>
          <w:rFonts w:ascii="Calibri" w:eastAsia="Calibri" w:hAnsi="Calibri" w:cs="Calibri"/>
          <w:szCs w:val="22"/>
          <w:lang w:eastAsia="en-US"/>
        </w:rPr>
        <w:t xml:space="preserve"> a marketing</w:t>
      </w:r>
      <w:r w:rsidR="00FF4D9D">
        <w:rPr>
          <w:rFonts w:ascii="Calibri" w:eastAsia="Calibri" w:hAnsi="Calibri" w:cs="Calibri"/>
          <w:szCs w:val="22"/>
          <w:lang w:eastAsia="en-US"/>
        </w:rPr>
        <w:t>u</w:t>
      </w:r>
      <w:r w:rsidRPr="008676F9">
        <w:rPr>
          <w:rFonts w:ascii="Calibri" w:eastAsia="Calibri" w:hAnsi="Calibri" w:cs="Calibri"/>
          <w:szCs w:val="22"/>
          <w:lang w:eastAsia="en-US"/>
        </w:rPr>
        <w:t xml:space="preserve"> vidieckeho cestovného ruchu. V domácom cestovnom ruchu by perspektívne malo dochádzať k presúvaniu finančných prostriedkov z tzv. “výrobných“ a bohatších regiónov do regiónov so zachovaným prírodným  potenciálom, čo sekundárne povedie k vyrovnávaniu disproporcií regiónov a k rastu zamestnanosti v týchto regiónov nielen v cestovnom ruchu, ale aj v nadväzných odvetviach. Využitie kapacít ubytovacích zariadení  v SR je v priebehu roka veľmi kolísavé vzhľadom na výrazný vplyv sezónnosti. Celoročné využitie kapacity ubytovacích zariadení na Slovensku je veľmi nízke. Je preto nevyhnutné vykonať operácie, ktoré zvýšia využitie kapacít ubytovacích zariadení.</w:t>
      </w:r>
      <w:r w:rsidRPr="008676F9">
        <w:rPr>
          <w:rFonts w:ascii="Calibri" w:eastAsia="Calibri" w:hAnsi="Calibri" w:cs="Calibri"/>
          <w:szCs w:val="22"/>
          <w:lang w:eastAsia="en-US"/>
        </w:rPr>
        <w:lastRenderedPageBreak/>
        <w:t xml:space="preserve"> Prísun turistov do územia bude mať za následok zvýšenie príjmov obyvateľstva, diverzifikáciu ponúkaných služieb a v konečnom dôsledku zlepšenie ekonomického postavenia samotných obcí. </w:t>
      </w:r>
    </w:p>
    <w:p w:rsidR="008676F9" w:rsidRPr="008676F9" w:rsidRDefault="008676F9" w:rsidP="008676F9">
      <w:pPr>
        <w:rPr>
          <w:rFonts w:ascii="Calibri" w:eastAsia="Calibri" w:hAnsi="Calibri" w:cs="Calibri"/>
          <w:b/>
          <w:bCs/>
          <w:szCs w:val="22"/>
          <w:lang w:eastAsia="en-US"/>
        </w:rPr>
      </w:pPr>
    </w:p>
    <w:p w:rsidR="008676F9" w:rsidRPr="008676F9" w:rsidRDefault="008676F9" w:rsidP="008676F9">
      <w:pPr>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Príspevok k fokusovej oblasti</w:t>
      </w:r>
    </w:p>
    <w:p w:rsidR="008676F9" w:rsidRPr="008676F9" w:rsidRDefault="008676F9" w:rsidP="008676F9">
      <w:pPr>
        <w:spacing w:after="120"/>
        <w:ind w:left="425" w:hanging="425"/>
        <w:rPr>
          <w:rFonts w:ascii="Calibri" w:eastAsia="Calibri" w:hAnsi="Calibri" w:cs="Calibri"/>
          <w:bCs/>
          <w:i/>
          <w:szCs w:val="22"/>
          <w:lang w:eastAsia="en-US"/>
        </w:rPr>
      </w:pPr>
      <w:r w:rsidRPr="008676F9">
        <w:rPr>
          <w:rFonts w:ascii="Calibri" w:eastAsia="Calibri" w:hAnsi="Calibri" w:cs="Calibri"/>
          <w:bCs/>
          <w:i/>
          <w:szCs w:val="22"/>
          <w:lang w:eastAsia="en-US"/>
        </w:rPr>
        <w:t>5C Uľahčenie dodávok a využívania obnoviteľných zdrojov energie, vedľajších produktov, odpadov, zvyškov a iných nepotravinových surovín na účely bioekonomiky;</w:t>
      </w:r>
    </w:p>
    <w:p w:rsidR="008676F9" w:rsidRPr="008676F9" w:rsidRDefault="008676F9" w:rsidP="008676F9">
      <w:pPr>
        <w:spacing w:after="120"/>
        <w:ind w:left="425" w:hanging="425"/>
        <w:rPr>
          <w:rFonts w:ascii="Calibri" w:eastAsia="Calibri" w:hAnsi="Calibri" w:cs="Calibri"/>
          <w:i/>
          <w:szCs w:val="22"/>
          <w:lang w:eastAsia="en-US"/>
        </w:rPr>
      </w:pPr>
      <w:r w:rsidRPr="008676F9">
        <w:rPr>
          <w:rFonts w:ascii="Calibri" w:eastAsia="Calibri" w:hAnsi="Calibri" w:cs="Calibri"/>
          <w:bCs/>
          <w:i/>
          <w:szCs w:val="22"/>
          <w:lang w:eastAsia="en-US"/>
        </w:rPr>
        <w:t xml:space="preserve">6B </w:t>
      </w:r>
      <w:r w:rsidRPr="008676F9">
        <w:rPr>
          <w:rFonts w:ascii="Calibri" w:eastAsia="Calibri" w:hAnsi="Calibri" w:cs="Calibri"/>
          <w:i/>
          <w:szCs w:val="22"/>
          <w:lang w:eastAsia="en-US"/>
        </w:rPr>
        <w:t>Podpora miestneho rozvoja vo vidieckych oblastiach;</w:t>
      </w:r>
    </w:p>
    <w:p w:rsidR="008676F9" w:rsidRPr="008676F9" w:rsidRDefault="008676F9" w:rsidP="008676F9">
      <w:pPr>
        <w:ind w:left="426" w:hanging="426"/>
        <w:rPr>
          <w:rFonts w:ascii="Calibri" w:eastAsia="Calibri" w:hAnsi="Calibri" w:cs="Calibri"/>
          <w:bCs/>
          <w:i/>
          <w:szCs w:val="22"/>
          <w:lang w:eastAsia="en-US"/>
        </w:rPr>
      </w:pPr>
      <w:r w:rsidRPr="008676F9">
        <w:rPr>
          <w:rFonts w:ascii="Calibri" w:eastAsia="Calibri" w:hAnsi="Calibri" w:cs="Calibri"/>
          <w:i/>
          <w:szCs w:val="22"/>
          <w:lang w:eastAsia="en-US"/>
        </w:rPr>
        <w:t>6C Rozšírenie prístupnosti, využívania a kvality informačných a komunikačných technológií vo vidieckych oblastiach.</w:t>
      </w:r>
    </w:p>
    <w:p w:rsidR="008676F9" w:rsidRPr="008676F9" w:rsidRDefault="008676F9" w:rsidP="008676F9">
      <w:pPr>
        <w:rPr>
          <w:rFonts w:ascii="Calibri" w:eastAsia="Calibri" w:hAnsi="Calibri" w:cs="Calibri"/>
          <w:bCs/>
          <w:szCs w:val="22"/>
          <w:lang w:eastAsia="en-US"/>
        </w:rPr>
      </w:pPr>
    </w:p>
    <w:p w:rsidR="008676F9" w:rsidRPr="008676F9" w:rsidRDefault="008676F9" w:rsidP="008676F9">
      <w:pPr>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Príspevok k prierezovým cieľom</w:t>
      </w:r>
    </w:p>
    <w:p w:rsidR="008676F9" w:rsidRPr="008676F9" w:rsidRDefault="008676F9" w:rsidP="008676F9">
      <w:pPr>
        <w:rPr>
          <w:rFonts w:ascii="Calibri" w:eastAsia="Calibri" w:hAnsi="Calibri" w:cs="Calibri"/>
          <w:szCs w:val="22"/>
          <w:lang w:eastAsia="en-US"/>
        </w:rPr>
      </w:pPr>
      <w:r w:rsidRPr="008676F9">
        <w:rPr>
          <w:rFonts w:ascii="Calibri" w:eastAsia="Calibri" w:hAnsi="Calibri" w:cs="Calibri"/>
          <w:szCs w:val="22"/>
          <w:lang w:eastAsia="en-US"/>
        </w:rPr>
        <w:t>Životné prostredie</w:t>
      </w:r>
    </w:p>
    <w:p w:rsidR="008676F9" w:rsidRPr="008676F9" w:rsidRDefault="008676F9" w:rsidP="008676F9">
      <w:pPr>
        <w:rPr>
          <w:rFonts w:ascii="Calibri" w:eastAsia="Calibri" w:hAnsi="Calibri" w:cs="Calibri"/>
          <w:bCs/>
          <w:szCs w:val="22"/>
          <w:lang w:eastAsia="en-US"/>
        </w:rPr>
      </w:pPr>
      <w:r w:rsidRPr="008676F9">
        <w:rPr>
          <w:rFonts w:ascii="Calibri" w:eastAsia="Calibri" w:hAnsi="Calibri" w:cs="Calibri"/>
          <w:szCs w:val="22"/>
          <w:lang w:eastAsia="en-US"/>
        </w:rPr>
        <w:t>Zmierňovanie zmeny klímy a adaptácia na ňu</w:t>
      </w:r>
    </w:p>
    <w:p w:rsidR="008676F9" w:rsidRDefault="008676F9" w:rsidP="008676F9">
      <w:pPr>
        <w:rPr>
          <w:rFonts w:ascii="Calibri" w:eastAsia="Calibri" w:hAnsi="Calibri" w:cs="Calibri"/>
          <w:b/>
          <w:bCs/>
          <w:szCs w:val="22"/>
          <w:lang w:eastAsia="en-US"/>
        </w:rPr>
      </w:pPr>
    </w:p>
    <w:p w:rsidR="00BD13CE" w:rsidRPr="008676F9" w:rsidRDefault="00BD13CE" w:rsidP="008676F9">
      <w:pPr>
        <w:rPr>
          <w:rFonts w:ascii="Calibri" w:eastAsia="Calibri" w:hAnsi="Calibri" w:cs="Calibri"/>
          <w:b/>
          <w:bCs/>
          <w:szCs w:val="22"/>
          <w:lang w:eastAsia="en-US"/>
        </w:rPr>
      </w:pPr>
    </w:p>
    <w:p w:rsidR="008676F9" w:rsidRDefault="008676F9" w:rsidP="008676F9">
      <w:pPr>
        <w:rPr>
          <w:rFonts w:ascii="Calibri" w:eastAsia="Calibri" w:hAnsi="Calibri" w:cs="Calibri"/>
          <w:bCs/>
          <w:szCs w:val="22"/>
          <w:lang w:eastAsia="en-US"/>
        </w:rPr>
      </w:pPr>
      <w:r w:rsidRPr="008676F9">
        <w:rPr>
          <w:rFonts w:ascii="Calibri" w:eastAsia="Calibri" w:hAnsi="Calibri" w:cs="Calibri"/>
          <w:b/>
          <w:bCs/>
          <w:szCs w:val="22"/>
          <w:lang w:eastAsia="en-US"/>
        </w:rPr>
        <w:t xml:space="preserve">8.2.6.3. Rozsah, úroveň podpory a ďalšie informácie </w:t>
      </w:r>
      <w:r w:rsidRPr="008676F9">
        <w:rPr>
          <w:rFonts w:ascii="Calibri" w:eastAsia="Calibri" w:hAnsi="Calibri" w:cs="Calibri"/>
          <w:bCs/>
          <w:szCs w:val="22"/>
          <w:lang w:eastAsia="en-US"/>
        </w:rPr>
        <w:t>(v členení podľa podopatrení a typu operácie)</w:t>
      </w:r>
    </w:p>
    <w:p w:rsidR="001F3673" w:rsidRPr="008676F9" w:rsidRDefault="001F3673" w:rsidP="008676F9">
      <w:pPr>
        <w:rPr>
          <w:rFonts w:ascii="Calibri" w:eastAsia="Calibri" w:hAnsi="Calibri" w:cs="Calibri"/>
          <w:b/>
          <w:bCs/>
          <w:szCs w:val="22"/>
          <w:lang w:eastAsia="en-US"/>
        </w:rPr>
      </w:pPr>
    </w:p>
    <w:p w:rsidR="008676F9" w:rsidRPr="00BD13CE" w:rsidRDefault="008676F9" w:rsidP="00BD13CE">
      <w:pPr>
        <w:shd w:val="clear" w:color="auto" w:fill="EAF1DD"/>
        <w:ind w:left="1701" w:hanging="1701"/>
        <w:rPr>
          <w:rFonts w:ascii="Calibri" w:eastAsia="Calibri" w:hAnsi="Calibri" w:cs="Calibri"/>
          <w:b/>
          <w:bCs/>
          <w:sz w:val="24"/>
          <w:lang w:eastAsia="en-US"/>
        </w:rPr>
      </w:pPr>
      <w:r w:rsidRPr="008676F9">
        <w:rPr>
          <w:rFonts w:ascii="Calibri" w:eastAsia="Calibri" w:hAnsi="Calibri" w:cs="Calibri"/>
          <w:bCs/>
          <w:lang w:eastAsia="en-US"/>
        </w:rPr>
        <w:t xml:space="preserve">Podopatrenie: </w:t>
      </w:r>
      <w:r w:rsidRPr="008676F9">
        <w:rPr>
          <w:rFonts w:ascii="Calibri" w:eastAsia="Calibri" w:hAnsi="Calibri" w:cs="Calibri"/>
          <w:b/>
          <w:bCs/>
          <w:i/>
          <w:lang w:eastAsia="en-US"/>
        </w:rPr>
        <w:t xml:space="preserve">7.2 </w:t>
      </w:r>
      <w:r w:rsidRPr="00BD13CE">
        <w:rPr>
          <w:rFonts w:ascii="Calibri" w:eastAsia="Calibri" w:hAnsi="Calibri" w:cs="Calibri"/>
          <w:b/>
          <w:bCs/>
          <w:i/>
          <w:sz w:val="24"/>
          <w:lang w:eastAsia="en-US"/>
        </w:rPr>
        <w:t>Podpora investícií do budovania, zlepšenia alebo rozšírenia všetkých typov malej infraštruktúry vrátane investícií do obnoviteľných zdrojov energie a úspor energie</w:t>
      </w:r>
    </w:p>
    <w:p w:rsidR="008676F9" w:rsidRPr="008676F9" w:rsidRDefault="008676F9" w:rsidP="008676F9">
      <w:pPr>
        <w:shd w:val="clear" w:color="auto" w:fill="FBD4B4"/>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Názov operácie:</w:t>
      </w:r>
    </w:p>
    <w:p w:rsidR="008676F9" w:rsidRPr="008676F9" w:rsidRDefault="008676F9" w:rsidP="008676F9">
      <w:pPr>
        <w:shd w:val="clear" w:color="auto" w:fill="FBD4B4"/>
        <w:rPr>
          <w:rFonts w:ascii="Calibri" w:eastAsia="Calibri" w:hAnsi="Calibri" w:cs="Calibri"/>
          <w:bCs/>
          <w:i/>
          <w:szCs w:val="22"/>
          <w:lang w:eastAsia="en-US"/>
        </w:rPr>
      </w:pPr>
      <w:r w:rsidRPr="008676F9">
        <w:rPr>
          <w:rFonts w:ascii="Calibri" w:eastAsia="Calibri" w:hAnsi="Calibri" w:cs="Calibri"/>
          <w:i/>
          <w:szCs w:val="22"/>
          <w:lang w:eastAsia="en-US"/>
        </w:rPr>
        <w:t>Využitie obnoviteľných zdrojov energie</w:t>
      </w:r>
    </w:p>
    <w:p w:rsidR="008676F9" w:rsidRPr="008676F9" w:rsidRDefault="008676F9" w:rsidP="008676F9">
      <w:pPr>
        <w:rPr>
          <w:rFonts w:ascii="Calibri" w:eastAsia="Calibri" w:hAnsi="Calibri" w:cs="Calibri"/>
          <w:bCs/>
          <w:szCs w:val="22"/>
          <w:u w:val="single"/>
          <w:lang w:eastAsia="en-US"/>
        </w:rPr>
      </w:pPr>
    </w:p>
    <w:p w:rsidR="008676F9" w:rsidRPr="008676F9" w:rsidRDefault="008676F9" w:rsidP="008676F9">
      <w:pPr>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Opis operácie:</w:t>
      </w:r>
    </w:p>
    <w:p w:rsidR="008676F9" w:rsidRPr="008676F9" w:rsidRDefault="008676F9" w:rsidP="006F5151">
      <w:pPr>
        <w:rPr>
          <w:rFonts w:ascii="Calibri" w:eastAsia="Calibri" w:hAnsi="Calibri" w:cs="Calibri"/>
          <w:szCs w:val="22"/>
          <w:lang w:eastAsia="en-US"/>
        </w:rPr>
      </w:pPr>
      <w:r w:rsidRPr="008676F9">
        <w:rPr>
          <w:rFonts w:ascii="Calibri" w:eastAsia="Calibri" w:hAnsi="Calibri" w:cs="Calibri"/>
          <w:szCs w:val="22"/>
          <w:lang w:eastAsia="en-US"/>
        </w:rPr>
        <w:t xml:space="preserve">Výstavba nových, rekonštrukcia, modernizácia a oprava zariadení na využívanie OZE pre spotrebu energie v budove – napr. zriaďovanie kotolní a príslušných rozvodov pre budovy v majetku obce </w:t>
      </w:r>
      <w:r w:rsidR="00FF4D9D">
        <w:rPr>
          <w:rFonts w:ascii="Calibri" w:eastAsia="Calibri" w:hAnsi="Calibri" w:cs="Calibri"/>
          <w:szCs w:val="22"/>
          <w:lang w:eastAsia="en-US"/>
        </w:rPr>
        <w:t>(</w:t>
      </w:r>
      <w:r w:rsidRPr="008676F9">
        <w:rPr>
          <w:rFonts w:ascii="Calibri" w:eastAsia="Calibri" w:hAnsi="Calibri" w:cs="Calibri"/>
          <w:szCs w:val="22"/>
          <w:lang w:eastAsia="en-US"/>
        </w:rPr>
        <w:t>napr. vykurovanie a zohrievanie vody v obecnom úrade, nájomných bytov, kultúrneho domu a pod.</w:t>
      </w:r>
      <w:r w:rsidR="00FF4D9D">
        <w:rPr>
          <w:rFonts w:ascii="Calibri" w:eastAsia="Calibri" w:hAnsi="Calibri" w:cs="Calibri"/>
          <w:szCs w:val="22"/>
          <w:lang w:eastAsia="en-US"/>
        </w:rPr>
        <w:t>).</w:t>
      </w:r>
      <w:r w:rsidRPr="008676F9">
        <w:rPr>
          <w:rFonts w:ascii="Calibri" w:eastAsia="Calibri" w:hAnsi="Calibri" w:cs="Calibri"/>
          <w:szCs w:val="22"/>
          <w:lang w:eastAsia="en-US"/>
        </w:rPr>
        <w:t xml:space="preserve"> </w:t>
      </w:r>
      <w:r w:rsidR="00FF4D9D">
        <w:rPr>
          <w:rFonts w:ascii="Calibri" w:eastAsia="Calibri" w:hAnsi="Calibri" w:cs="Calibri"/>
          <w:szCs w:val="22"/>
          <w:lang w:eastAsia="en-US"/>
        </w:rPr>
        <w:t>O</w:t>
      </w:r>
      <w:r w:rsidRPr="008676F9">
        <w:rPr>
          <w:rFonts w:ascii="Calibri" w:eastAsia="Calibri" w:hAnsi="Calibri" w:cs="Calibri"/>
          <w:szCs w:val="22"/>
          <w:lang w:eastAsia="en-US"/>
        </w:rPr>
        <w:t>právnenými môžu byť aj investície smerujúce k zvyšovaniu energetickej efektívnosti budov (napr. zatepľovanie, výmena okien, regulácia vykurovacej sústavy), ale len ak sú súčasťou projektu, ktorý je spojený s využívaním OZE.</w:t>
      </w:r>
    </w:p>
    <w:p w:rsidR="008676F9" w:rsidRPr="008676F9" w:rsidRDefault="008676F9" w:rsidP="006F5151">
      <w:pPr>
        <w:rPr>
          <w:rFonts w:ascii="Calibri" w:eastAsia="Calibri" w:hAnsi="Calibri" w:cs="Calibri"/>
          <w:bCs/>
          <w:szCs w:val="22"/>
          <w:u w:val="single"/>
          <w:lang w:eastAsia="en-US"/>
        </w:rPr>
      </w:pPr>
    </w:p>
    <w:p w:rsidR="008676F9" w:rsidRPr="008676F9" w:rsidRDefault="008676F9" w:rsidP="006F5151">
      <w:pPr>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Typ podpory:</w:t>
      </w:r>
    </w:p>
    <w:p w:rsidR="008676F9" w:rsidRPr="008676F9" w:rsidRDefault="008676F9" w:rsidP="006F5151">
      <w:pPr>
        <w:rPr>
          <w:rFonts w:ascii="Calibri" w:eastAsia="Calibri" w:hAnsi="Calibri" w:cs="Calibri"/>
          <w:bCs/>
          <w:szCs w:val="22"/>
          <w:lang w:eastAsia="en-US"/>
        </w:rPr>
      </w:pPr>
      <w:r w:rsidRPr="008676F9">
        <w:rPr>
          <w:rFonts w:ascii="Calibri" w:eastAsia="Calibri" w:hAnsi="Calibri" w:cs="Calibri"/>
          <w:bCs/>
          <w:szCs w:val="22"/>
          <w:lang w:eastAsia="en-US"/>
        </w:rPr>
        <w:t>Investičná, nezisková, nenávratný finančný príspevok, možnosť poskytnutia zálohovej platby do výšky 50 % oprávnených nákladov.</w:t>
      </w:r>
    </w:p>
    <w:p w:rsidR="008676F9" w:rsidRPr="008676F9" w:rsidRDefault="008676F9" w:rsidP="006F5151">
      <w:pPr>
        <w:rPr>
          <w:rFonts w:ascii="Calibri" w:eastAsia="Calibri" w:hAnsi="Calibri" w:cs="Calibri"/>
          <w:bCs/>
          <w:szCs w:val="22"/>
          <w:u w:val="single"/>
          <w:lang w:eastAsia="en-US"/>
        </w:rPr>
      </w:pPr>
    </w:p>
    <w:p w:rsidR="008676F9" w:rsidRPr="008676F9" w:rsidRDefault="008676F9" w:rsidP="006F5151">
      <w:pPr>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Súvislosť s inou legislatívou:</w:t>
      </w:r>
    </w:p>
    <w:p w:rsidR="008676F9" w:rsidRPr="008676F9" w:rsidRDefault="008676F9" w:rsidP="00955DA4">
      <w:pPr>
        <w:numPr>
          <w:ilvl w:val="0"/>
          <w:numId w:val="119"/>
        </w:numPr>
        <w:rPr>
          <w:rFonts w:ascii="Calibri" w:hAnsi="Calibri" w:cs="Calibri"/>
          <w:szCs w:val="22"/>
        </w:rPr>
      </w:pPr>
      <w:r w:rsidRPr="008676F9">
        <w:rPr>
          <w:rFonts w:ascii="Calibri" w:hAnsi="Calibri" w:cs="Calibri"/>
          <w:szCs w:val="22"/>
        </w:rPr>
        <w:t>Národná stratégia regionálneho rozvoja SR;</w:t>
      </w:r>
    </w:p>
    <w:p w:rsidR="008676F9" w:rsidRPr="008676F9" w:rsidRDefault="008676F9" w:rsidP="00955DA4">
      <w:pPr>
        <w:numPr>
          <w:ilvl w:val="0"/>
          <w:numId w:val="119"/>
        </w:numPr>
        <w:rPr>
          <w:rFonts w:ascii="Calibri" w:hAnsi="Calibri" w:cs="Calibri"/>
          <w:szCs w:val="22"/>
        </w:rPr>
      </w:pPr>
      <w:r w:rsidRPr="008676F9">
        <w:rPr>
          <w:rFonts w:ascii="Calibri" w:hAnsi="Calibri" w:cs="Calibri"/>
          <w:szCs w:val="22"/>
        </w:rPr>
        <w:t>OP Kvalita životného prostredia – komplementarita/doplnkovosť v oblasti rovnakých investícií týkajúcich sa OZE je zabezpečená rozdielnym typom prijímateľom, kedy v rámci PRV budú oprávnené obce s počtom obyvateľov do 1000 (vrátane) a v rámci OP KŽP obce nad 1000 obyvateľov.</w:t>
      </w:r>
    </w:p>
    <w:p w:rsidR="006F5151" w:rsidRDefault="006F5151" w:rsidP="006F5151">
      <w:pPr>
        <w:rPr>
          <w:rFonts w:ascii="Calibri" w:eastAsia="Calibri" w:hAnsi="Calibri" w:cs="Calibri"/>
          <w:bCs/>
          <w:szCs w:val="22"/>
          <w:u w:val="single"/>
          <w:lang w:eastAsia="en-US"/>
        </w:rPr>
      </w:pPr>
    </w:p>
    <w:p w:rsidR="008676F9" w:rsidRPr="008676F9" w:rsidRDefault="008676F9" w:rsidP="006F5151">
      <w:pPr>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Prijímateľ podpory:</w:t>
      </w:r>
    </w:p>
    <w:p w:rsidR="008676F9" w:rsidRPr="008676F9" w:rsidRDefault="008676F9" w:rsidP="001F5283">
      <w:pPr>
        <w:numPr>
          <w:ilvl w:val="0"/>
          <w:numId w:val="60"/>
        </w:numPr>
        <w:ind w:left="426" w:hanging="426"/>
        <w:rPr>
          <w:rFonts w:ascii="Calibri" w:eastAsia="Calibri" w:hAnsi="Calibri" w:cs="Calibri"/>
          <w:bCs/>
          <w:szCs w:val="22"/>
          <w:u w:val="single"/>
          <w:lang w:eastAsia="en-US"/>
        </w:rPr>
      </w:pPr>
      <w:r w:rsidRPr="008676F9">
        <w:rPr>
          <w:rFonts w:ascii="Calibri" w:eastAsia="Calibri" w:hAnsi="Calibri" w:cs="Calibri"/>
          <w:szCs w:val="22"/>
          <w:lang w:eastAsia="en-US"/>
        </w:rPr>
        <w:t>obce vo vidieckych oblastiach s počtom obyvateľov do 1000</w:t>
      </w:r>
      <w:r w:rsidR="00FF4D9D">
        <w:rPr>
          <w:rFonts w:ascii="Calibri" w:eastAsia="Calibri" w:hAnsi="Calibri" w:cs="Calibri"/>
          <w:szCs w:val="22"/>
          <w:lang w:eastAsia="en-US"/>
        </w:rPr>
        <w:t xml:space="preserve"> </w:t>
      </w:r>
      <w:r w:rsidRPr="008676F9">
        <w:rPr>
          <w:rFonts w:ascii="Calibri" w:eastAsia="SimSun" w:hAnsi="Calibri" w:cs="Calibri"/>
          <w:kern w:val="1"/>
          <w:szCs w:val="22"/>
          <w:lang w:eastAsia="ar-SA"/>
        </w:rPr>
        <w:t>(vrátane)</w:t>
      </w:r>
      <w:r w:rsidRPr="008676F9">
        <w:rPr>
          <w:rFonts w:ascii="Calibri" w:eastAsia="Calibri" w:hAnsi="Calibri" w:cs="Calibri"/>
          <w:szCs w:val="22"/>
          <w:lang w:eastAsia="en-US"/>
        </w:rPr>
        <w:t>.</w:t>
      </w:r>
    </w:p>
    <w:p w:rsidR="008676F9" w:rsidRPr="008676F9" w:rsidRDefault="008676F9" w:rsidP="006F5151">
      <w:pPr>
        <w:ind w:left="426"/>
        <w:rPr>
          <w:rFonts w:ascii="Calibri" w:eastAsia="Calibri" w:hAnsi="Calibri" w:cs="Calibri"/>
          <w:bCs/>
          <w:szCs w:val="22"/>
          <w:u w:val="single"/>
          <w:lang w:eastAsia="en-US"/>
        </w:rPr>
      </w:pPr>
    </w:p>
    <w:p w:rsidR="008676F9" w:rsidRPr="008676F9" w:rsidRDefault="008676F9" w:rsidP="006F5151">
      <w:pPr>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Oprávnené náklady:</w:t>
      </w:r>
    </w:p>
    <w:p w:rsidR="008676F9" w:rsidRPr="008676F9" w:rsidRDefault="008676F9" w:rsidP="00CE203B">
      <w:pPr>
        <w:numPr>
          <w:ilvl w:val="0"/>
          <w:numId w:val="320"/>
        </w:numPr>
        <w:spacing w:after="120"/>
        <w:rPr>
          <w:rFonts w:ascii="Calibri" w:eastAsia="Calibri" w:hAnsi="Calibri" w:cs="Calibri"/>
          <w:szCs w:val="22"/>
          <w:lang w:eastAsia="en-US"/>
        </w:rPr>
      </w:pPr>
      <w:r w:rsidRPr="008676F9">
        <w:rPr>
          <w:rFonts w:ascii="Calibri" w:eastAsia="Calibri" w:hAnsi="Calibri" w:cs="Calibri"/>
          <w:szCs w:val="22"/>
          <w:lang w:eastAsia="en-US"/>
        </w:rPr>
        <w:t>náklady na hmotné investície na výstavbu/rekonštrukciu/opravu a  modernizáciu zariadení na využívanie OZE,</w:t>
      </w:r>
    </w:p>
    <w:p w:rsidR="008676F9" w:rsidRPr="008676F9" w:rsidRDefault="008676F9" w:rsidP="00CE203B">
      <w:pPr>
        <w:numPr>
          <w:ilvl w:val="0"/>
          <w:numId w:val="320"/>
        </w:numPr>
        <w:spacing w:after="120"/>
        <w:rPr>
          <w:rFonts w:ascii="Calibri" w:eastAsia="Calibri" w:hAnsi="Calibri" w:cs="Calibri"/>
          <w:szCs w:val="22"/>
          <w:lang w:eastAsia="en-US"/>
        </w:rPr>
      </w:pPr>
      <w:r w:rsidRPr="008676F9">
        <w:rPr>
          <w:rFonts w:ascii="Calibri" w:eastAsia="Calibri" w:hAnsi="Calibri" w:cs="Calibri"/>
          <w:szCs w:val="22"/>
          <w:lang w:eastAsia="en-US"/>
        </w:rPr>
        <w:t>investície smerujúce k zvyšovaniu energetickej efektívnosti budov za predpokladu, že sú súčasťou projektu, ktorý je spojený s využívaním OZE,</w:t>
      </w:r>
    </w:p>
    <w:p w:rsidR="00FF4D9D" w:rsidRDefault="008676F9" w:rsidP="00CE203B">
      <w:pPr>
        <w:numPr>
          <w:ilvl w:val="0"/>
          <w:numId w:val="320"/>
        </w:numPr>
        <w:spacing w:after="120"/>
        <w:ind w:left="714" w:hanging="357"/>
        <w:rPr>
          <w:rFonts w:ascii="Calibri" w:eastAsia="Calibri" w:hAnsi="Calibri" w:cs="Calibri"/>
          <w:szCs w:val="22"/>
          <w:lang w:eastAsia="en-US"/>
        </w:rPr>
      </w:pPr>
      <w:r w:rsidRPr="008676F9">
        <w:rPr>
          <w:rFonts w:ascii="Calibri" w:eastAsia="Calibri" w:hAnsi="Calibri" w:cs="Calibri"/>
          <w:szCs w:val="22"/>
          <w:lang w:eastAsia="en-US"/>
        </w:rPr>
        <w:t>súvisiace všeobecné náklady ako sú projektová dokumentácia, výdavky súvisiace s verejným obstarávaním a s externým manažmentom projektov</w:t>
      </w:r>
      <w:r w:rsidR="00FF4D9D">
        <w:rPr>
          <w:rFonts w:ascii="Calibri" w:eastAsia="Calibri" w:hAnsi="Calibri" w:cs="Calibri"/>
          <w:szCs w:val="22"/>
          <w:lang w:eastAsia="en-US"/>
        </w:rPr>
        <w:t>;</w:t>
      </w:r>
    </w:p>
    <w:p w:rsidR="00FF4D9D" w:rsidRDefault="00FF4D9D" w:rsidP="00CE203B">
      <w:pPr>
        <w:numPr>
          <w:ilvl w:val="0"/>
          <w:numId w:val="320"/>
        </w:numPr>
        <w:rPr>
          <w:rFonts w:ascii="Calibri" w:eastAsia="Calibri" w:hAnsi="Calibri" w:cs="Calibri"/>
          <w:szCs w:val="22"/>
          <w:lang w:eastAsia="en-US"/>
        </w:rPr>
      </w:pPr>
      <w:r>
        <w:rPr>
          <w:rFonts w:ascii="Calibri" w:eastAsia="Calibri" w:hAnsi="Calibri" w:cs="Calibri"/>
          <w:szCs w:val="22"/>
          <w:lang w:eastAsia="en-US"/>
        </w:rPr>
        <w:t>náklady na riadenie projektu.</w:t>
      </w:r>
    </w:p>
    <w:p w:rsidR="008676F9" w:rsidRPr="008676F9" w:rsidRDefault="008676F9" w:rsidP="00FF4D9D">
      <w:pPr>
        <w:ind w:left="426"/>
        <w:rPr>
          <w:rFonts w:ascii="Calibri" w:eastAsia="Calibri" w:hAnsi="Calibri" w:cs="Calibri"/>
          <w:szCs w:val="22"/>
          <w:lang w:eastAsia="en-US"/>
        </w:rPr>
      </w:pPr>
    </w:p>
    <w:p w:rsidR="008D12E7" w:rsidRPr="008676F9" w:rsidRDefault="008D12E7" w:rsidP="008D12E7">
      <w:pPr>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Podmienky oprávnenosti:</w:t>
      </w:r>
    </w:p>
    <w:p w:rsidR="008D12E7" w:rsidRPr="00DE705D" w:rsidRDefault="008D12E7" w:rsidP="001F5283">
      <w:pPr>
        <w:numPr>
          <w:ilvl w:val="0"/>
          <w:numId w:val="41"/>
        </w:numPr>
        <w:ind w:left="426" w:hanging="426"/>
        <w:contextualSpacing/>
        <w:rPr>
          <w:rFonts w:ascii="Calibri" w:hAnsi="Calibri" w:cs="Calibri"/>
          <w:bCs/>
          <w:szCs w:val="22"/>
          <w:u w:val="single"/>
          <w:lang w:eastAsia="en-US"/>
        </w:rPr>
      </w:pPr>
      <w:r w:rsidRPr="008676F9">
        <w:rPr>
          <w:rFonts w:ascii="Calibri" w:hAnsi="Calibri" w:cs="Calibri"/>
          <w:bCs/>
          <w:szCs w:val="22"/>
          <w:lang w:eastAsia="en-US"/>
        </w:rPr>
        <w:t>Investície v rámci tejto operácie sú oprávnené na podporu, ak sa príslušné operácie vykonávajú v súlade s plánmi rozvoja obcí a dedín vo vidieckych oblastiach a ich základných služieb, ak takéto plány existujú, a sú konzistentné s akoukoľvek príslušnou stratégiou miestneho rozvoja.</w:t>
      </w:r>
    </w:p>
    <w:p w:rsidR="008D12E7" w:rsidRPr="008676F9" w:rsidRDefault="008D12E7" w:rsidP="001F5283">
      <w:pPr>
        <w:numPr>
          <w:ilvl w:val="0"/>
          <w:numId w:val="41"/>
        </w:numPr>
        <w:ind w:left="426" w:hanging="426"/>
        <w:contextualSpacing/>
        <w:rPr>
          <w:rFonts w:ascii="Calibri" w:hAnsi="Calibri" w:cs="Calibri"/>
          <w:bCs/>
          <w:szCs w:val="22"/>
          <w:u w:val="single"/>
          <w:lang w:eastAsia="en-US"/>
        </w:rPr>
      </w:pPr>
      <w:r>
        <w:rPr>
          <w:rFonts w:ascii="Calibri" w:hAnsi="Calibri" w:cs="Calibri"/>
          <w:bCs/>
          <w:szCs w:val="22"/>
          <w:lang w:eastAsia="en-US"/>
        </w:rPr>
        <w:t>Povinnosť uplatňovať sociálny aspekt pri verejnom obstarávaní.</w:t>
      </w:r>
    </w:p>
    <w:p w:rsidR="008D12E7" w:rsidRPr="008676F9" w:rsidRDefault="008D12E7" w:rsidP="008D12E7">
      <w:pPr>
        <w:rPr>
          <w:rFonts w:ascii="Calibri" w:eastAsia="Calibri" w:hAnsi="Calibri" w:cs="Calibri"/>
          <w:bCs/>
          <w:szCs w:val="22"/>
          <w:u w:val="single"/>
          <w:lang w:eastAsia="en-US"/>
        </w:rPr>
      </w:pPr>
    </w:p>
    <w:p w:rsidR="008D12E7" w:rsidRPr="008676F9" w:rsidRDefault="008D12E7" w:rsidP="008D12E7">
      <w:pPr>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Princípy nastavenia výberových kritérií:</w:t>
      </w:r>
    </w:p>
    <w:p w:rsidR="008D12E7" w:rsidRPr="008676F9" w:rsidRDefault="008D12E7" w:rsidP="008D12E7">
      <w:pPr>
        <w:rPr>
          <w:rFonts w:ascii="Calibri" w:eastAsia="Calibri" w:hAnsi="Calibri" w:cs="Calibri"/>
          <w:bCs/>
          <w:szCs w:val="22"/>
          <w:lang w:eastAsia="en-US"/>
        </w:rPr>
      </w:pPr>
      <w:r w:rsidRPr="008676F9">
        <w:rPr>
          <w:rFonts w:ascii="Calibri" w:eastAsia="Calibri" w:hAnsi="Calibri" w:cs="Calibri"/>
          <w:bCs/>
          <w:szCs w:val="22"/>
          <w:lang w:eastAsia="en-US"/>
        </w:rPr>
        <w:t>Pri výbere projektov sa budú posudzovať nasledovné princípy:</w:t>
      </w:r>
    </w:p>
    <w:p w:rsidR="008D12E7" w:rsidRDefault="008D12E7" w:rsidP="00955DA4">
      <w:pPr>
        <w:numPr>
          <w:ilvl w:val="0"/>
          <w:numId w:val="168"/>
        </w:numPr>
        <w:rPr>
          <w:rFonts w:ascii="Calibri" w:hAnsi="Calibri" w:cs="Calibri"/>
          <w:bCs/>
          <w:szCs w:val="22"/>
          <w:lang w:eastAsia="en-US"/>
        </w:rPr>
      </w:pPr>
      <w:r w:rsidRPr="008676F9">
        <w:rPr>
          <w:rFonts w:ascii="Calibri" w:hAnsi="Calibri" w:cs="Calibri"/>
          <w:bCs/>
          <w:szCs w:val="22"/>
          <w:lang w:eastAsia="en-US"/>
        </w:rPr>
        <w:t>komplexnosť</w:t>
      </w:r>
      <w:r>
        <w:rPr>
          <w:rFonts w:ascii="Calibri" w:hAnsi="Calibri" w:cs="Calibri"/>
          <w:bCs/>
          <w:szCs w:val="22"/>
          <w:lang w:eastAsia="en-US"/>
        </w:rPr>
        <w:t>, udržateľnosť, realizovateľnosť, hospodárnosť a efektívnosť</w:t>
      </w:r>
      <w:r w:rsidRPr="008676F9">
        <w:rPr>
          <w:rFonts w:ascii="Calibri" w:hAnsi="Calibri" w:cs="Calibri"/>
          <w:bCs/>
          <w:szCs w:val="22"/>
          <w:lang w:eastAsia="en-US"/>
        </w:rPr>
        <w:t xml:space="preserve"> projektu</w:t>
      </w:r>
    </w:p>
    <w:p w:rsidR="008D12E7" w:rsidRPr="008676F9" w:rsidRDefault="008D12E7" w:rsidP="00955DA4">
      <w:pPr>
        <w:numPr>
          <w:ilvl w:val="0"/>
          <w:numId w:val="168"/>
        </w:numPr>
        <w:rPr>
          <w:rFonts w:ascii="Calibri" w:hAnsi="Calibri" w:cs="Calibri"/>
          <w:bCs/>
          <w:szCs w:val="22"/>
          <w:lang w:eastAsia="en-US"/>
        </w:rPr>
      </w:pPr>
      <w:r>
        <w:rPr>
          <w:rFonts w:ascii="Calibri" w:hAnsi="Calibri" w:cs="Calibri"/>
          <w:bCs/>
          <w:szCs w:val="22"/>
          <w:lang w:eastAsia="en-US"/>
        </w:rPr>
        <w:t>uprednostnené budú projekty obcí do 500 obyvateľov (vrátane) pred projektmi obcí s vyšším počtom obyvateľov.</w:t>
      </w:r>
    </w:p>
    <w:p w:rsidR="008676F9" w:rsidRPr="008676F9" w:rsidRDefault="008676F9" w:rsidP="006F5151">
      <w:pPr>
        <w:rPr>
          <w:rFonts w:ascii="Calibri" w:eastAsia="Calibri" w:hAnsi="Calibri" w:cs="Calibri"/>
          <w:bCs/>
          <w:szCs w:val="22"/>
          <w:u w:val="single"/>
          <w:lang w:eastAsia="en-US"/>
        </w:rPr>
      </w:pPr>
    </w:p>
    <w:p w:rsidR="008676F9" w:rsidRPr="008676F9" w:rsidRDefault="008676F9" w:rsidP="006F5151">
      <w:pPr>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Výška a miera podpory:</w:t>
      </w:r>
    </w:p>
    <w:p w:rsidR="008676F9" w:rsidRPr="008676F9" w:rsidRDefault="008676F9" w:rsidP="006F5151">
      <w:pPr>
        <w:rPr>
          <w:rFonts w:ascii="Calibri" w:eastAsia="Calibri" w:hAnsi="Calibri" w:cs="Calibri"/>
          <w:szCs w:val="22"/>
          <w:lang w:eastAsia="en-US"/>
        </w:rPr>
      </w:pPr>
      <w:r w:rsidRPr="008676F9">
        <w:rPr>
          <w:rFonts w:ascii="Calibri" w:eastAsia="Calibri" w:hAnsi="Calibri" w:cs="Calibri"/>
          <w:szCs w:val="22"/>
          <w:lang w:eastAsia="en-US"/>
        </w:rPr>
        <w:t>Max. výška podpory z celkových oprávnených nákladov:</w:t>
      </w:r>
    </w:p>
    <w:p w:rsidR="008676F9" w:rsidRPr="00551D5C" w:rsidRDefault="008676F9" w:rsidP="00955DA4">
      <w:pPr>
        <w:numPr>
          <w:ilvl w:val="0"/>
          <w:numId w:val="119"/>
        </w:numPr>
        <w:rPr>
          <w:rFonts w:ascii="Calibri" w:hAnsi="Calibri" w:cs="Calibri"/>
          <w:bCs/>
          <w:szCs w:val="22"/>
          <w:lang w:eastAsia="en-US"/>
        </w:rPr>
      </w:pPr>
      <w:r w:rsidRPr="008676F9">
        <w:rPr>
          <w:rFonts w:ascii="Calibri" w:hAnsi="Calibri" w:cs="Calibri"/>
          <w:bCs/>
          <w:szCs w:val="22"/>
          <w:lang w:eastAsia="en-US"/>
        </w:rPr>
        <w:t>100%</w:t>
      </w:r>
      <w:r w:rsidR="00551D5C">
        <w:rPr>
          <w:rFonts w:ascii="Calibri" w:hAnsi="Calibri" w:cs="Calibri"/>
          <w:bCs/>
          <w:szCs w:val="22"/>
          <w:lang w:eastAsia="en-US"/>
        </w:rPr>
        <w:t xml:space="preserve"> s max. limitom </w:t>
      </w:r>
      <w:r w:rsidR="00440989" w:rsidRPr="00551D5C">
        <w:rPr>
          <w:rFonts w:ascii="Calibri" w:eastAsia="Calibri" w:hAnsi="Calibri" w:cs="Calibri"/>
          <w:bCs/>
          <w:szCs w:val="22"/>
          <w:lang w:eastAsia="en-US"/>
        </w:rPr>
        <w:t xml:space="preserve">300 000 </w:t>
      </w:r>
      <w:r w:rsidR="00551D5C">
        <w:rPr>
          <w:rFonts w:ascii="Calibri" w:eastAsia="Calibri" w:hAnsi="Calibri" w:cs="Calibri"/>
          <w:bCs/>
          <w:szCs w:val="22"/>
          <w:lang w:eastAsia="en-US"/>
        </w:rPr>
        <w:t>€</w:t>
      </w:r>
      <w:r w:rsidRPr="00551D5C">
        <w:rPr>
          <w:rFonts w:ascii="Calibri" w:hAnsi="Calibri" w:cs="Calibri"/>
          <w:bCs/>
          <w:szCs w:val="22"/>
          <w:lang w:eastAsia="en-US"/>
        </w:rPr>
        <w:t>.</w:t>
      </w:r>
    </w:p>
    <w:p w:rsidR="008676F9" w:rsidRDefault="008676F9" w:rsidP="006F5151">
      <w:pPr>
        <w:rPr>
          <w:rFonts w:ascii="Calibri" w:eastAsia="Calibri" w:hAnsi="Calibri" w:cs="Calibri"/>
          <w:bCs/>
          <w:szCs w:val="22"/>
          <w:lang w:eastAsia="en-US"/>
        </w:rPr>
      </w:pPr>
    </w:p>
    <w:p w:rsidR="001F3673" w:rsidRPr="008676F9" w:rsidRDefault="001F3673" w:rsidP="006F5151">
      <w:pPr>
        <w:rPr>
          <w:rFonts w:ascii="Calibri" w:eastAsia="Calibri" w:hAnsi="Calibri" w:cs="Calibri"/>
          <w:bCs/>
          <w:szCs w:val="22"/>
          <w:lang w:eastAsia="en-US"/>
        </w:rPr>
      </w:pPr>
    </w:p>
    <w:p w:rsidR="008676F9" w:rsidRPr="008676F9" w:rsidRDefault="008676F9" w:rsidP="006F5151">
      <w:pPr>
        <w:shd w:val="clear" w:color="auto" w:fill="FBD4B4"/>
        <w:suppressAutoHyphens/>
        <w:rPr>
          <w:rFonts w:ascii="Calibri" w:eastAsia="SimSun" w:hAnsi="Calibri" w:cs="Calibri"/>
          <w:bCs/>
          <w:i/>
          <w:kern w:val="1"/>
          <w:szCs w:val="22"/>
          <w:lang w:eastAsia="ar-SA"/>
        </w:rPr>
      </w:pPr>
      <w:r w:rsidRPr="008676F9">
        <w:rPr>
          <w:rFonts w:ascii="Calibri" w:eastAsia="SimSun" w:hAnsi="Calibri" w:cs="Calibri"/>
          <w:bCs/>
          <w:kern w:val="1"/>
          <w:szCs w:val="22"/>
          <w:u w:val="single"/>
          <w:lang w:eastAsia="ar-SA"/>
        </w:rPr>
        <w:t>Názov operácie:</w:t>
      </w:r>
    </w:p>
    <w:p w:rsidR="008676F9" w:rsidRPr="008676F9" w:rsidRDefault="008676F9" w:rsidP="006F5151">
      <w:pPr>
        <w:shd w:val="clear" w:color="auto" w:fill="FBD4B4"/>
        <w:suppressAutoHyphens/>
        <w:rPr>
          <w:rFonts w:ascii="Calibri" w:eastAsia="SimSun" w:hAnsi="Calibri" w:cs="Calibri"/>
          <w:bCs/>
          <w:kern w:val="1"/>
          <w:szCs w:val="22"/>
          <w:u w:val="single"/>
          <w:lang w:eastAsia="ar-SA"/>
        </w:rPr>
      </w:pPr>
      <w:r w:rsidRPr="008676F9">
        <w:rPr>
          <w:rFonts w:ascii="Calibri" w:eastAsia="SimSun" w:hAnsi="Calibri" w:cs="Calibri"/>
          <w:bCs/>
          <w:i/>
          <w:kern w:val="1"/>
          <w:szCs w:val="22"/>
          <w:lang w:eastAsia="ar-SA"/>
        </w:rPr>
        <w:t>Investície do vytvárania, zlepšovania alebo rozširovania všetkých druhov infraštruktúr malých rozmerov</w:t>
      </w:r>
    </w:p>
    <w:p w:rsidR="008676F9" w:rsidRPr="008676F9" w:rsidRDefault="008676F9" w:rsidP="006F5151">
      <w:pPr>
        <w:suppressAutoHyphens/>
        <w:rPr>
          <w:rFonts w:ascii="Calibri" w:eastAsia="SimSun" w:hAnsi="Calibri" w:cs="Calibri"/>
          <w:bCs/>
          <w:kern w:val="1"/>
          <w:szCs w:val="22"/>
          <w:u w:val="single"/>
          <w:lang w:eastAsia="ar-SA"/>
        </w:rPr>
      </w:pPr>
    </w:p>
    <w:p w:rsidR="008676F9" w:rsidRPr="008676F9" w:rsidRDefault="008676F9" w:rsidP="006F5151">
      <w:pPr>
        <w:suppressAutoHyphens/>
        <w:rPr>
          <w:rFonts w:ascii="Calibri" w:eastAsia="SimSun" w:hAnsi="Calibri" w:cs="Calibri"/>
          <w:bCs/>
          <w:kern w:val="1"/>
          <w:szCs w:val="22"/>
          <w:lang w:eastAsia="ar-SA"/>
        </w:rPr>
      </w:pPr>
      <w:r w:rsidRPr="008676F9">
        <w:rPr>
          <w:rFonts w:ascii="Calibri" w:eastAsia="SimSun" w:hAnsi="Calibri" w:cs="Calibri"/>
          <w:bCs/>
          <w:kern w:val="1"/>
          <w:szCs w:val="22"/>
          <w:u w:val="single"/>
          <w:lang w:eastAsia="ar-SA"/>
        </w:rPr>
        <w:t>Opis operácie:</w:t>
      </w:r>
    </w:p>
    <w:p w:rsidR="008676F9" w:rsidRPr="008676F9" w:rsidRDefault="008676F9" w:rsidP="00955DA4">
      <w:pPr>
        <w:numPr>
          <w:ilvl w:val="0"/>
          <w:numId w:val="189"/>
        </w:numPr>
        <w:suppressAutoHyphens/>
        <w:rPr>
          <w:rFonts w:ascii="Calibri" w:eastAsia="SimSun" w:hAnsi="Calibri" w:cs="Calibri"/>
          <w:bCs/>
          <w:kern w:val="1"/>
          <w:szCs w:val="22"/>
          <w:lang w:eastAsia="ar-SA"/>
        </w:rPr>
      </w:pPr>
      <w:r w:rsidRPr="008676F9">
        <w:rPr>
          <w:rFonts w:ascii="Calibri" w:eastAsia="SimSun" w:hAnsi="Calibri" w:cs="Calibri"/>
          <w:bCs/>
          <w:kern w:val="1"/>
          <w:szCs w:val="22"/>
          <w:lang w:eastAsia="ar-SA"/>
        </w:rPr>
        <w:t>výstavba, rekonštrukcia, modernizácia, dostavba kanalizácie, vodovodu, alebo čistiarne odpadových vôd;</w:t>
      </w:r>
    </w:p>
    <w:p w:rsidR="008676F9" w:rsidRPr="008676F9" w:rsidRDefault="008676F9" w:rsidP="00955DA4">
      <w:pPr>
        <w:numPr>
          <w:ilvl w:val="0"/>
          <w:numId w:val="189"/>
        </w:numPr>
        <w:suppressAutoHyphens/>
        <w:rPr>
          <w:rFonts w:ascii="Calibri" w:eastAsia="SimSun" w:hAnsi="Calibri" w:cs="Calibri"/>
          <w:bCs/>
          <w:kern w:val="1"/>
          <w:szCs w:val="22"/>
          <w:lang w:eastAsia="ar-SA"/>
        </w:rPr>
      </w:pPr>
      <w:r w:rsidRPr="008676F9">
        <w:rPr>
          <w:rFonts w:ascii="Calibri" w:eastAsia="SimSun" w:hAnsi="Calibri" w:cs="Calibri"/>
          <w:bCs/>
          <w:kern w:val="1"/>
          <w:szCs w:val="22"/>
          <w:lang w:eastAsia="ar-SA"/>
        </w:rPr>
        <w:t>výstavba a rekonštrukcia miestnych komunikácií, lávok, mostov, chodníkov  a záchytných parkovísk, autobusových zastávok – za predpokladu, že prispievajú k ekonomickému rozvoju, verejnému záujmu, k rozvoju vidieckeho cestovného ruchu a bezpečnosti obyvateľov</w:t>
      </w:r>
      <w:r w:rsidR="00B70D1F">
        <w:rPr>
          <w:rFonts w:ascii="Calibri" w:eastAsia="SimSun" w:hAnsi="Calibri" w:cs="Calibri"/>
          <w:bCs/>
          <w:kern w:val="1"/>
          <w:szCs w:val="22"/>
          <w:lang w:eastAsia="ar-SA"/>
        </w:rPr>
        <w:t>,</w:t>
      </w:r>
      <w:r w:rsidRPr="008676F9">
        <w:rPr>
          <w:rFonts w:ascii="Calibri" w:eastAsia="SimSun" w:hAnsi="Calibri" w:cs="Calibri"/>
          <w:bCs/>
          <w:kern w:val="1"/>
          <w:szCs w:val="22"/>
          <w:lang w:eastAsia="ar-SA"/>
        </w:rPr>
        <w:t xml:space="preserve"> výstavba,  rekonštrukcia a údržba odvodňovacích kanálov, prehlbovanie existujúcich  obecných studní.</w:t>
      </w:r>
    </w:p>
    <w:p w:rsidR="008676F9" w:rsidRPr="008676F9" w:rsidRDefault="008676F9" w:rsidP="006F5151">
      <w:pPr>
        <w:suppressAutoHyphens/>
        <w:rPr>
          <w:rFonts w:ascii="Calibri" w:eastAsia="SimSun" w:hAnsi="Calibri" w:cs="Calibri"/>
          <w:bCs/>
          <w:kern w:val="1"/>
          <w:szCs w:val="22"/>
          <w:u w:val="single"/>
          <w:lang w:eastAsia="ar-SA"/>
        </w:rPr>
      </w:pPr>
    </w:p>
    <w:p w:rsidR="008676F9" w:rsidRPr="008676F9" w:rsidRDefault="008676F9" w:rsidP="006F5151">
      <w:pPr>
        <w:suppressAutoHyphens/>
        <w:rPr>
          <w:rFonts w:ascii="Calibri" w:eastAsia="SimSun" w:hAnsi="Calibri" w:cs="Calibri"/>
          <w:bCs/>
          <w:kern w:val="1"/>
          <w:szCs w:val="22"/>
          <w:lang w:eastAsia="ar-SA"/>
        </w:rPr>
      </w:pPr>
      <w:r w:rsidRPr="008676F9">
        <w:rPr>
          <w:rFonts w:ascii="Calibri" w:eastAsia="SimSun" w:hAnsi="Calibri" w:cs="Calibri"/>
          <w:bCs/>
          <w:kern w:val="1"/>
          <w:szCs w:val="22"/>
          <w:u w:val="single"/>
          <w:lang w:eastAsia="ar-SA"/>
        </w:rPr>
        <w:t>Typ podpory:</w:t>
      </w:r>
    </w:p>
    <w:p w:rsidR="008676F9" w:rsidRPr="008676F9" w:rsidRDefault="008676F9" w:rsidP="006F5151">
      <w:pPr>
        <w:suppressAutoHyphens/>
        <w:rPr>
          <w:rFonts w:ascii="Calibri" w:eastAsia="SimSun" w:hAnsi="Calibri" w:cs="Calibri"/>
          <w:bCs/>
          <w:kern w:val="1"/>
          <w:szCs w:val="22"/>
          <w:lang w:eastAsia="ar-SA"/>
        </w:rPr>
      </w:pPr>
      <w:r w:rsidRPr="008676F9">
        <w:rPr>
          <w:rFonts w:ascii="Calibri" w:eastAsia="SimSun" w:hAnsi="Calibri" w:cs="Calibri"/>
          <w:bCs/>
          <w:kern w:val="1"/>
          <w:szCs w:val="22"/>
          <w:lang w:eastAsia="ar-SA"/>
        </w:rPr>
        <w:t>Investičná, nezisková, nenávratný finančný príspevok, možnosť poskytnutia zálohovej platby do výšky 50 % oprávnených nákladov.</w:t>
      </w:r>
    </w:p>
    <w:p w:rsidR="008676F9" w:rsidRPr="008676F9" w:rsidRDefault="008676F9" w:rsidP="006F5151">
      <w:pPr>
        <w:suppressAutoHyphens/>
        <w:rPr>
          <w:rFonts w:ascii="Calibri" w:eastAsia="SimSun" w:hAnsi="Calibri" w:cs="Calibri"/>
          <w:bCs/>
          <w:kern w:val="1"/>
          <w:szCs w:val="22"/>
          <w:u w:val="single"/>
          <w:lang w:eastAsia="ar-SA"/>
        </w:rPr>
      </w:pPr>
    </w:p>
    <w:p w:rsidR="008676F9" w:rsidRPr="008676F9" w:rsidRDefault="008676F9" w:rsidP="006F5151">
      <w:pPr>
        <w:suppressAutoHyphens/>
        <w:rPr>
          <w:rFonts w:ascii="Calibri" w:eastAsia="SimSun" w:hAnsi="Calibri" w:cs="Calibri"/>
          <w:kern w:val="1"/>
          <w:szCs w:val="22"/>
          <w:lang w:eastAsia="ar-SA"/>
        </w:rPr>
      </w:pPr>
      <w:r w:rsidRPr="008676F9">
        <w:rPr>
          <w:rFonts w:ascii="Calibri" w:eastAsia="SimSun" w:hAnsi="Calibri" w:cs="Calibri"/>
          <w:bCs/>
          <w:kern w:val="1"/>
          <w:szCs w:val="22"/>
          <w:u w:val="single"/>
          <w:lang w:eastAsia="ar-SA"/>
        </w:rPr>
        <w:t>Súvislosť s inou legislatívou:</w:t>
      </w:r>
    </w:p>
    <w:p w:rsidR="008676F9" w:rsidRPr="008676F9" w:rsidRDefault="008676F9" w:rsidP="00955DA4">
      <w:pPr>
        <w:numPr>
          <w:ilvl w:val="0"/>
          <w:numId w:val="180"/>
        </w:numPr>
        <w:suppressAutoHyphens/>
        <w:ind w:left="426" w:hanging="426"/>
        <w:rPr>
          <w:rFonts w:ascii="Calibri" w:hAnsi="Calibri" w:cs="Calibri"/>
          <w:kern w:val="1"/>
          <w:szCs w:val="22"/>
          <w:lang w:eastAsia="ar-SA"/>
        </w:rPr>
      </w:pPr>
      <w:r w:rsidRPr="008676F9">
        <w:rPr>
          <w:rFonts w:ascii="Calibri" w:hAnsi="Calibri" w:cs="Calibri"/>
          <w:kern w:val="1"/>
          <w:szCs w:val="22"/>
          <w:lang w:eastAsia="ar-SA"/>
        </w:rPr>
        <w:t>Národná stratégia regionálneho rozvoja SR;</w:t>
      </w:r>
    </w:p>
    <w:p w:rsidR="008676F9" w:rsidRPr="008676F9" w:rsidRDefault="008676F9" w:rsidP="00955DA4">
      <w:pPr>
        <w:numPr>
          <w:ilvl w:val="0"/>
          <w:numId w:val="180"/>
        </w:numPr>
        <w:suppressAutoHyphens/>
        <w:rPr>
          <w:rFonts w:ascii="Calibri" w:hAnsi="Calibri" w:cs="Calibri"/>
          <w:kern w:val="1"/>
          <w:szCs w:val="22"/>
          <w:lang w:eastAsia="ar-SA"/>
        </w:rPr>
      </w:pPr>
      <w:r w:rsidRPr="008676F9">
        <w:rPr>
          <w:rFonts w:ascii="Calibri" w:hAnsi="Calibri" w:cs="Calibri"/>
          <w:kern w:val="1"/>
          <w:szCs w:val="22"/>
          <w:lang w:eastAsia="ar-SA"/>
        </w:rPr>
        <w:t xml:space="preserve">OP Kvalita životného prostredia – doplnkovosť v oblasti investícií do vodného hospodárstva je zabezpečená rozdielnym typom prijímateľom, kedy v rámci PRV budú oprávnené obce s počtom obyvateľov do 1000 (vrátane) a zároveň tieto nie sú súčasťou aglomerácií oprávnených v rámci OP KŽP. </w:t>
      </w:r>
    </w:p>
    <w:p w:rsidR="008676F9" w:rsidRPr="008676F9" w:rsidRDefault="008676F9" w:rsidP="00955DA4">
      <w:pPr>
        <w:numPr>
          <w:ilvl w:val="0"/>
          <w:numId w:val="180"/>
        </w:numPr>
        <w:suppressAutoHyphens/>
        <w:rPr>
          <w:rFonts w:ascii="Calibri" w:hAnsi="Calibri" w:cs="Calibri"/>
          <w:kern w:val="1"/>
          <w:szCs w:val="22"/>
          <w:lang w:eastAsia="ar-SA"/>
        </w:rPr>
      </w:pPr>
      <w:r w:rsidRPr="008676F9">
        <w:rPr>
          <w:rFonts w:ascii="Calibri" w:hAnsi="Calibri" w:cs="Calibri"/>
          <w:kern w:val="1"/>
          <w:szCs w:val="22"/>
          <w:lang w:eastAsia="ar-SA"/>
        </w:rPr>
        <w:t>Integrovaný regionálny operačný program - doplnkovosť v oblasti investícií do vodného hospodárstva  (rekonštrukcia stokovej siete, rekonštrukcia/výstavba vodovodnej siete, výstavba/rekonštrukcia zdrojov pitnej vody), ak sa daný projekt bude realizovať prostredníctvom integrovanej územnej stratégie v rámci IROP, nebude oprávnený v rámci PRV.</w:t>
      </w:r>
    </w:p>
    <w:p w:rsidR="008676F9" w:rsidRPr="008676F9" w:rsidRDefault="008676F9" w:rsidP="00955DA4">
      <w:pPr>
        <w:numPr>
          <w:ilvl w:val="0"/>
          <w:numId w:val="180"/>
        </w:numPr>
        <w:suppressAutoHyphens/>
        <w:rPr>
          <w:rFonts w:ascii="Calibri" w:hAnsi="Calibri" w:cs="Calibri"/>
          <w:kern w:val="1"/>
          <w:szCs w:val="22"/>
          <w:lang w:eastAsia="ar-SA"/>
        </w:rPr>
      </w:pPr>
      <w:r w:rsidRPr="008676F9">
        <w:rPr>
          <w:rFonts w:ascii="Calibri" w:hAnsi="Calibri" w:cs="Calibri"/>
          <w:kern w:val="1"/>
          <w:szCs w:val="22"/>
          <w:lang w:eastAsia="ar-SA"/>
        </w:rPr>
        <w:t>Integrovaný regionálny operačný program - doplnkovosť v oblasti rozvoja verejnej osobnej dopravy vo vzťahu investíciám ako sú: výstavba a rekonštrukcia záchytných parkovísk a autobusových zastávok, avšak pre účely integrovaných dopravných systémov, ak sa daný projekt</w:t>
      </w:r>
      <w:r w:rsidRPr="008676F9">
        <w:rPr>
          <w:rFonts w:ascii="Calibri" w:hAnsi="Calibri" w:cs="Calibri"/>
          <w:kern w:val="1"/>
          <w:szCs w:val="22"/>
          <w:lang w:eastAsia="ar-SA"/>
        </w:rPr>
        <w:lastRenderedPageBreak/>
        <w:t xml:space="preserve"> bude realizovať prostredníctvom integrovanej územnej stratégie v rámci IROP, nebude oprávnený v rámci PRV.</w:t>
      </w:r>
    </w:p>
    <w:p w:rsidR="008D12E7" w:rsidRPr="008676F9" w:rsidRDefault="008D12E7" w:rsidP="00955DA4">
      <w:pPr>
        <w:numPr>
          <w:ilvl w:val="0"/>
          <w:numId w:val="180"/>
        </w:numPr>
        <w:suppressAutoHyphens/>
        <w:rPr>
          <w:rFonts w:ascii="Calibri" w:hAnsi="Calibri" w:cs="Calibri"/>
          <w:kern w:val="1"/>
          <w:szCs w:val="22"/>
          <w:lang w:eastAsia="ar-SA"/>
        </w:rPr>
      </w:pPr>
      <w:r>
        <w:rPr>
          <w:rFonts w:ascii="Calibri" w:hAnsi="Calibri" w:cs="Calibri"/>
          <w:kern w:val="1"/>
          <w:szCs w:val="22"/>
          <w:lang w:eastAsia="ar-SA"/>
        </w:rPr>
        <w:t xml:space="preserve">OP Ľudské zdroje - </w:t>
      </w:r>
      <w:r w:rsidRPr="00614CF9">
        <w:rPr>
          <w:rFonts w:ascii="Calibri" w:hAnsi="Calibri" w:cs="Calibri"/>
          <w:bCs/>
          <w:kern w:val="1"/>
          <w:szCs w:val="22"/>
          <w:lang w:eastAsia="ar-SA"/>
        </w:rPr>
        <w:t>S cieľom zlepšenia životných podmienok a kvality bývania obyvateľov MRK budú v rámci Operačného programu Ľudské zdroje, prioritnej osi 5, špecifického cieľa 5.1.1 aktivity „</w:t>
      </w:r>
      <w:r w:rsidRPr="00614CF9">
        <w:rPr>
          <w:rFonts w:ascii="Calibri" w:hAnsi="Calibri" w:cs="Calibri"/>
          <w:bCs/>
          <w:i/>
          <w:iCs/>
          <w:kern w:val="1"/>
          <w:szCs w:val="22"/>
          <w:lang w:eastAsia="ar-SA"/>
        </w:rPr>
        <w:t xml:space="preserve">zavedenie inžinierskych sietí, prístup k pitnej a úžitkovej vode, výstavba prístupových ciest a odvoz komunálneho odpadu“ </w:t>
      </w:r>
      <w:r w:rsidRPr="00614CF9">
        <w:rPr>
          <w:rFonts w:ascii="Calibri" w:hAnsi="Calibri" w:cs="Calibri"/>
          <w:bCs/>
          <w:kern w:val="1"/>
          <w:szCs w:val="22"/>
          <w:lang w:eastAsia="ar-SA"/>
        </w:rPr>
        <w:t>doplnkového charakteru v záujme dodržania komplexného prístupu.</w:t>
      </w:r>
      <w:r>
        <w:rPr>
          <w:rFonts w:ascii="Calibri" w:hAnsi="Calibri" w:cs="Calibri"/>
          <w:bCs/>
          <w:kern w:val="1"/>
          <w:szCs w:val="22"/>
          <w:lang w:eastAsia="ar-SA"/>
        </w:rPr>
        <w:t xml:space="preserve">  V rámci PRV sú podobné investície v rámci infraštruktúry, avšak </w:t>
      </w:r>
      <w:r w:rsidRPr="008676F9">
        <w:rPr>
          <w:rFonts w:ascii="Calibri" w:eastAsia="SimSun" w:hAnsi="Calibri" w:cs="Calibri"/>
          <w:bCs/>
          <w:kern w:val="1"/>
          <w:szCs w:val="22"/>
          <w:lang w:eastAsia="ar-SA"/>
        </w:rPr>
        <w:t>za predpokladu, že prispievajú k</w:t>
      </w:r>
      <w:r>
        <w:rPr>
          <w:rFonts w:ascii="Calibri" w:eastAsia="SimSun" w:hAnsi="Calibri" w:cs="Calibri"/>
          <w:bCs/>
          <w:kern w:val="1"/>
          <w:szCs w:val="22"/>
          <w:lang w:eastAsia="ar-SA"/>
        </w:rPr>
        <w:t> sociálno-</w:t>
      </w:r>
      <w:r w:rsidRPr="008676F9">
        <w:rPr>
          <w:rFonts w:ascii="Calibri" w:eastAsia="SimSun" w:hAnsi="Calibri" w:cs="Calibri"/>
          <w:bCs/>
          <w:kern w:val="1"/>
          <w:szCs w:val="22"/>
          <w:lang w:eastAsia="ar-SA"/>
        </w:rPr>
        <w:t>ekonomickému rozvoju, verejnému záujmu, k rozvoju vidieckeho cestovného ruchu a bezpečnosti obyvateľov</w:t>
      </w:r>
      <w:r>
        <w:rPr>
          <w:rFonts w:ascii="Calibri" w:eastAsia="SimSun" w:hAnsi="Calibri" w:cs="Calibri"/>
          <w:bCs/>
          <w:kern w:val="1"/>
          <w:szCs w:val="22"/>
          <w:lang w:eastAsia="ar-SA"/>
        </w:rPr>
        <w:t>.</w:t>
      </w:r>
      <w:r>
        <w:rPr>
          <w:rFonts w:ascii="Calibri" w:hAnsi="Calibri" w:cs="Calibri"/>
          <w:bCs/>
          <w:kern w:val="1"/>
          <w:szCs w:val="22"/>
          <w:lang w:eastAsia="ar-SA"/>
        </w:rPr>
        <w:t xml:space="preserve"> Demarkácia bude zabezpečená na úrovni projektu.</w:t>
      </w:r>
    </w:p>
    <w:p w:rsidR="008676F9" w:rsidRPr="008676F9" w:rsidRDefault="008676F9" w:rsidP="006F5151">
      <w:pPr>
        <w:suppressAutoHyphens/>
        <w:rPr>
          <w:rFonts w:ascii="Calibri" w:hAnsi="Calibri" w:cs="Calibri"/>
          <w:kern w:val="1"/>
          <w:szCs w:val="22"/>
          <w:lang w:eastAsia="ar-SA"/>
        </w:rPr>
      </w:pPr>
    </w:p>
    <w:p w:rsidR="008676F9" w:rsidRPr="008676F9" w:rsidRDefault="008676F9" w:rsidP="006F5151">
      <w:pPr>
        <w:suppressAutoHyphens/>
        <w:rPr>
          <w:rFonts w:ascii="Calibri" w:eastAsia="SimSun" w:hAnsi="Calibri" w:cs="Calibri"/>
          <w:kern w:val="1"/>
          <w:szCs w:val="22"/>
          <w:lang w:eastAsia="ar-SA"/>
        </w:rPr>
      </w:pPr>
      <w:r w:rsidRPr="008676F9">
        <w:rPr>
          <w:rFonts w:ascii="Calibri" w:eastAsia="SimSun" w:hAnsi="Calibri" w:cs="Calibri"/>
          <w:bCs/>
          <w:kern w:val="1"/>
          <w:szCs w:val="22"/>
          <w:u w:val="single"/>
          <w:lang w:eastAsia="ar-SA"/>
        </w:rPr>
        <w:t>Prijímateľ podpory:</w:t>
      </w:r>
    </w:p>
    <w:p w:rsidR="00E93F82" w:rsidRDefault="008676F9" w:rsidP="00955DA4">
      <w:pPr>
        <w:numPr>
          <w:ilvl w:val="0"/>
          <w:numId w:val="190"/>
        </w:numPr>
        <w:suppressAutoHyphens/>
        <w:rPr>
          <w:rFonts w:ascii="Calibri" w:eastAsia="SimSun" w:hAnsi="Calibri" w:cs="Calibri"/>
          <w:kern w:val="1"/>
          <w:szCs w:val="22"/>
          <w:lang w:eastAsia="ar-SA"/>
        </w:rPr>
      </w:pPr>
      <w:r w:rsidRPr="008676F9">
        <w:rPr>
          <w:rFonts w:ascii="Calibri" w:eastAsia="SimSun" w:hAnsi="Calibri" w:cs="Calibri"/>
          <w:kern w:val="1"/>
          <w:szCs w:val="22"/>
          <w:lang w:eastAsia="ar-SA"/>
        </w:rPr>
        <w:t>obce vo vidieckych oblastiach s počtom obyvateľov do 1000</w:t>
      </w:r>
      <w:r w:rsidRPr="008676F9">
        <w:rPr>
          <w:rFonts w:ascii="Calibri" w:eastAsia="Calibri" w:hAnsi="Calibri" w:cs="Calibri"/>
          <w:szCs w:val="22"/>
          <w:lang w:eastAsia="en-US"/>
        </w:rPr>
        <w:t xml:space="preserve"> </w:t>
      </w:r>
      <w:r w:rsidRPr="008676F9">
        <w:rPr>
          <w:rFonts w:ascii="Calibri" w:eastAsia="SimSun" w:hAnsi="Calibri" w:cs="Calibri"/>
          <w:kern w:val="1"/>
          <w:szCs w:val="22"/>
          <w:lang w:eastAsia="ar-SA"/>
        </w:rPr>
        <w:t>(vrátane)</w:t>
      </w:r>
      <w:r w:rsidR="00FF4D9D">
        <w:rPr>
          <w:rFonts w:ascii="Calibri" w:eastAsia="SimSun" w:hAnsi="Calibri" w:cs="Calibri"/>
          <w:kern w:val="1"/>
          <w:szCs w:val="22"/>
          <w:lang w:eastAsia="ar-SA"/>
        </w:rPr>
        <w:t>,</w:t>
      </w:r>
    </w:p>
    <w:p w:rsidR="008676F9" w:rsidRPr="008676F9" w:rsidRDefault="00FF4D9D" w:rsidP="00955DA4">
      <w:pPr>
        <w:numPr>
          <w:ilvl w:val="0"/>
          <w:numId w:val="190"/>
        </w:numPr>
        <w:suppressAutoHyphens/>
        <w:rPr>
          <w:rFonts w:ascii="Calibri" w:eastAsia="SimSun" w:hAnsi="Calibri" w:cs="Calibri"/>
          <w:kern w:val="1"/>
          <w:szCs w:val="22"/>
          <w:lang w:eastAsia="ar-SA"/>
        </w:rPr>
      </w:pPr>
      <w:r>
        <w:rPr>
          <w:rFonts w:ascii="Calibri" w:eastAsia="SimSun" w:hAnsi="Calibri" w:cs="Calibri"/>
          <w:kern w:val="1"/>
          <w:szCs w:val="22"/>
          <w:lang w:eastAsia="ar-SA"/>
        </w:rPr>
        <w:t xml:space="preserve">pri </w:t>
      </w:r>
      <w:r w:rsidR="00E93F82">
        <w:rPr>
          <w:rFonts w:ascii="Calibri" w:eastAsia="SimSun" w:hAnsi="Calibri" w:cs="Calibri"/>
          <w:kern w:val="1"/>
          <w:szCs w:val="22"/>
          <w:lang w:eastAsia="ar-SA"/>
        </w:rPr>
        <w:t xml:space="preserve">investíciách do </w:t>
      </w:r>
      <w:r>
        <w:rPr>
          <w:rFonts w:ascii="Calibri" w:eastAsia="SimSun" w:hAnsi="Calibri" w:cs="Calibri"/>
          <w:kern w:val="1"/>
          <w:szCs w:val="22"/>
          <w:lang w:eastAsia="ar-SA"/>
        </w:rPr>
        <w:t>kanalizáci</w:t>
      </w:r>
      <w:r w:rsidR="00E93F82">
        <w:rPr>
          <w:rFonts w:ascii="Calibri" w:eastAsia="SimSun" w:hAnsi="Calibri" w:cs="Calibri"/>
          <w:kern w:val="1"/>
          <w:szCs w:val="22"/>
          <w:lang w:eastAsia="ar-SA"/>
        </w:rPr>
        <w:t>í</w:t>
      </w:r>
      <w:r>
        <w:rPr>
          <w:rFonts w:ascii="Calibri" w:eastAsia="SimSun" w:hAnsi="Calibri" w:cs="Calibri"/>
          <w:kern w:val="1"/>
          <w:szCs w:val="22"/>
          <w:lang w:eastAsia="ar-SA"/>
        </w:rPr>
        <w:t xml:space="preserve"> a ČOV </w:t>
      </w:r>
      <w:r w:rsidR="00E93F82">
        <w:rPr>
          <w:rFonts w:ascii="Calibri" w:eastAsia="SimSun" w:hAnsi="Calibri" w:cs="Calibri"/>
          <w:kern w:val="1"/>
          <w:szCs w:val="22"/>
          <w:lang w:eastAsia="ar-SA"/>
        </w:rPr>
        <w:t xml:space="preserve">- </w:t>
      </w:r>
      <w:r>
        <w:rPr>
          <w:rFonts w:ascii="Calibri" w:eastAsia="SimSun" w:hAnsi="Calibri" w:cs="Calibri"/>
          <w:kern w:val="1"/>
          <w:szCs w:val="22"/>
          <w:lang w:eastAsia="ar-SA"/>
        </w:rPr>
        <w:t>obce vo vidieckych oblastiach s počtom obyvateľov do 1000 (vrátane)</w:t>
      </w:r>
      <w:r w:rsidR="008676F9" w:rsidRPr="008676F9">
        <w:rPr>
          <w:rFonts w:ascii="Calibri" w:eastAsia="SimSun" w:hAnsi="Calibri" w:cs="Calibri"/>
          <w:kern w:val="1"/>
          <w:szCs w:val="22"/>
          <w:lang w:eastAsia="ar-SA"/>
        </w:rPr>
        <w:t xml:space="preserve"> </w:t>
      </w:r>
      <w:r w:rsidR="008676F9" w:rsidRPr="008676F9">
        <w:rPr>
          <w:rFonts w:ascii="Calibri" w:eastAsia="Calibri" w:hAnsi="Calibri" w:cs="Calibri"/>
          <w:szCs w:val="22"/>
          <w:lang w:eastAsia="en-US"/>
        </w:rPr>
        <w:t>s výnimkou obcí, ktoré sú súčasťou aglomerácie nad 2000 EO ako aj aglomerácie pod 2000 EO, ktorá zasahuje do chránených vodohospodárskych oblastí.</w:t>
      </w:r>
    </w:p>
    <w:p w:rsidR="008676F9" w:rsidRPr="008676F9" w:rsidRDefault="008676F9" w:rsidP="00955DA4">
      <w:pPr>
        <w:numPr>
          <w:ilvl w:val="0"/>
          <w:numId w:val="190"/>
        </w:numPr>
        <w:suppressAutoHyphens/>
        <w:rPr>
          <w:rFonts w:ascii="Calibri" w:eastAsia="SimSun" w:hAnsi="Calibri" w:cs="Calibri"/>
          <w:bCs/>
          <w:kern w:val="1"/>
          <w:szCs w:val="22"/>
          <w:u w:val="single"/>
          <w:lang w:eastAsia="ar-SA"/>
        </w:rPr>
      </w:pPr>
      <w:r w:rsidRPr="008676F9">
        <w:rPr>
          <w:rFonts w:ascii="Calibri" w:eastAsia="SimSun" w:hAnsi="Calibri" w:cs="Calibri"/>
          <w:kern w:val="1"/>
          <w:szCs w:val="22"/>
          <w:lang w:eastAsia="ar-SA"/>
        </w:rPr>
        <w:t>združenia obcí/skupiny obcí.</w:t>
      </w:r>
    </w:p>
    <w:p w:rsidR="00E93F82" w:rsidRDefault="00E93F82" w:rsidP="006F5151">
      <w:pPr>
        <w:suppressAutoHyphens/>
        <w:rPr>
          <w:rFonts w:ascii="Calibri" w:eastAsia="SimSun" w:hAnsi="Calibri" w:cs="Calibri"/>
          <w:bCs/>
          <w:kern w:val="1"/>
          <w:szCs w:val="22"/>
          <w:u w:val="single"/>
          <w:lang w:eastAsia="ar-SA"/>
        </w:rPr>
      </w:pPr>
    </w:p>
    <w:p w:rsidR="008676F9" w:rsidRPr="008676F9" w:rsidRDefault="008676F9" w:rsidP="006F5151">
      <w:pPr>
        <w:suppressAutoHyphens/>
        <w:rPr>
          <w:rFonts w:ascii="Calibri" w:eastAsia="SimSun" w:hAnsi="Calibri" w:cs="Calibri"/>
          <w:kern w:val="1"/>
          <w:szCs w:val="22"/>
          <w:lang w:eastAsia="ar-SA"/>
        </w:rPr>
      </w:pPr>
      <w:r w:rsidRPr="008676F9">
        <w:rPr>
          <w:rFonts w:ascii="Calibri" w:eastAsia="SimSun" w:hAnsi="Calibri" w:cs="Calibri"/>
          <w:bCs/>
          <w:kern w:val="1"/>
          <w:szCs w:val="22"/>
          <w:u w:val="single"/>
          <w:lang w:eastAsia="ar-SA"/>
        </w:rPr>
        <w:t>Oprávnené náklady:</w:t>
      </w:r>
    </w:p>
    <w:p w:rsidR="008676F9" w:rsidRPr="008676F9" w:rsidRDefault="008676F9" w:rsidP="00955DA4">
      <w:pPr>
        <w:numPr>
          <w:ilvl w:val="0"/>
          <w:numId w:val="178"/>
        </w:numPr>
        <w:tabs>
          <w:tab w:val="left" w:pos="426"/>
        </w:tabs>
        <w:suppressAutoHyphens/>
        <w:spacing w:after="120"/>
        <w:ind w:left="426" w:hanging="284"/>
        <w:rPr>
          <w:rFonts w:ascii="Calibri" w:eastAsia="SimSun" w:hAnsi="Calibri" w:cs="Calibri"/>
          <w:kern w:val="1"/>
          <w:szCs w:val="22"/>
          <w:lang w:eastAsia="ar-SA"/>
        </w:rPr>
      </w:pPr>
      <w:r w:rsidRPr="008676F9">
        <w:rPr>
          <w:rFonts w:ascii="Calibri" w:eastAsia="SimSun" w:hAnsi="Calibri" w:cs="Calibri"/>
          <w:kern w:val="1"/>
          <w:szCs w:val="22"/>
          <w:lang w:eastAsia="ar-SA"/>
        </w:rPr>
        <w:t xml:space="preserve">výdavky na hmotné investície do </w:t>
      </w:r>
      <w:r w:rsidRPr="008676F9">
        <w:rPr>
          <w:rFonts w:ascii="Calibri" w:eastAsia="SimSun" w:hAnsi="Calibri" w:cs="Calibri"/>
          <w:bCs/>
          <w:kern w:val="1"/>
          <w:szCs w:val="22"/>
          <w:lang w:eastAsia="ar-SA"/>
        </w:rPr>
        <w:t>vytvárania, zlepšovania alebo rozširovania všetkých druhov infraštruktúr malých rozmerov</w:t>
      </w:r>
      <w:r w:rsidRPr="008676F9">
        <w:rPr>
          <w:rFonts w:ascii="Calibri" w:eastAsia="SimSun" w:hAnsi="Calibri" w:cs="Calibri"/>
          <w:kern w:val="1"/>
          <w:szCs w:val="22"/>
          <w:lang w:eastAsia="ar-SA"/>
        </w:rPr>
        <w:t>;</w:t>
      </w:r>
    </w:p>
    <w:p w:rsidR="00FF4D9D" w:rsidRPr="00FF4D9D" w:rsidRDefault="008676F9" w:rsidP="00955DA4">
      <w:pPr>
        <w:numPr>
          <w:ilvl w:val="0"/>
          <w:numId w:val="178"/>
        </w:numPr>
        <w:tabs>
          <w:tab w:val="left" w:pos="426"/>
        </w:tabs>
        <w:suppressAutoHyphens/>
        <w:spacing w:after="120"/>
        <w:ind w:left="426" w:hanging="284"/>
        <w:rPr>
          <w:rFonts w:ascii="Calibri" w:eastAsia="SimSun" w:hAnsi="Calibri" w:cs="Calibri"/>
          <w:bCs/>
          <w:kern w:val="1"/>
          <w:szCs w:val="22"/>
          <w:lang w:eastAsia="ar-SA"/>
        </w:rPr>
      </w:pPr>
      <w:r w:rsidRPr="008676F9">
        <w:rPr>
          <w:rFonts w:ascii="Calibri" w:eastAsia="SimSun" w:hAnsi="Calibri" w:cs="Calibri"/>
          <w:kern w:val="1"/>
          <w:szCs w:val="22"/>
          <w:lang w:eastAsia="ar-SA"/>
        </w:rPr>
        <w:t>súvisiace všeobecné náklady, ako sú  projektová dokumentácia, výdavky súvisiace s verejným obstarávaním a s externým manažmentom projektov</w:t>
      </w:r>
      <w:r w:rsidR="00FF4D9D">
        <w:rPr>
          <w:rFonts w:ascii="Calibri" w:eastAsia="SimSun" w:hAnsi="Calibri" w:cs="Calibri"/>
          <w:kern w:val="1"/>
          <w:szCs w:val="22"/>
          <w:lang w:eastAsia="ar-SA"/>
        </w:rPr>
        <w:t>;</w:t>
      </w:r>
    </w:p>
    <w:p w:rsidR="008676F9" w:rsidRPr="008676F9" w:rsidRDefault="00FF4D9D" w:rsidP="00955DA4">
      <w:pPr>
        <w:numPr>
          <w:ilvl w:val="0"/>
          <w:numId w:val="178"/>
        </w:numPr>
        <w:tabs>
          <w:tab w:val="left" w:pos="426"/>
        </w:tabs>
        <w:suppressAutoHyphens/>
        <w:ind w:left="426" w:hanging="284"/>
        <w:rPr>
          <w:rFonts w:ascii="Calibri" w:eastAsia="SimSun" w:hAnsi="Calibri" w:cs="Calibri"/>
          <w:bCs/>
          <w:kern w:val="1"/>
          <w:szCs w:val="22"/>
          <w:lang w:eastAsia="ar-SA"/>
        </w:rPr>
      </w:pPr>
      <w:r>
        <w:rPr>
          <w:rFonts w:ascii="Calibri" w:eastAsia="SimSun" w:hAnsi="Calibri" w:cs="Calibri"/>
          <w:kern w:val="1"/>
          <w:szCs w:val="22"/>
          <w:lang w:eastAsia="ar-SA"/>
        </w:rPr>
        <w:t>náklady na riadenie projektu</w:t>
      </w:r>
      <w:r w:rsidR="008676F9" w:rsidRPr="008676F9">
        <w:rPr>
          <w:rFonts w:ascii="Calibri" w:eastAsia="SimSun" w:hAnsi="Calibri" w:cs="Calibri"/>
          <w:kern w:val="1"/>
          <w:szCs w:val="22"/>
          <w:lang w:eastAsia="ar-SA"/>
        </w:rPr>
        <w:t>.</w:t>
      </w:r>
    </w:p>
    <w:p w:rsidR="008676F9" w:rsidRPr="008676F9" w:rsidRDefault="008676F9" w:rsidP="006F5151">
      <w:pPr>
        <w:suppressAutoHyphens/>
        <w:rPr>
          <w:rFonts w:ascii="Calibri" w:eastAsia="SimSun" w:hAnsi="Calibri" w:cs="Calibri"/>
          <w:bCs/>
          <w:kern w:val="1"/>
          <w:szCs w:val="22"/>
          <w:lang w:eastAsia="ar-SA"/>
        </w:rPr>
      </w:pPr>
    </w:p>
    <w:p w:rsidR="008D12E7" w:rsidRPr="008676F9" w:rsidRDefault="008D12E7" w:rsidP="008D12E7">
      <w:pPr>
        <w:suppressAutoHyphens/>
        <w:rPr>
          <w:rFonts w:ascii="Calibri" w:eastAsia="SimSun" w:hAnsi="Calibri" w:cs="Calibri"/>
          <w:bCs/>
          <w:kern w:val="1"/>
          <w:szCs w:val="22"/>
          <w:lang w:eastAsia="ar-SA"/>
        </w:rPr>
      </w:pPr>
      <w:r w:rsidRPr="008676F9">
        <w:rPr>
          <w:rFonts w:ascii="Calibri" w:eastAsia="SimSun" w:hAnsi="Calibri" w:cs="Calibri"/>
          <w:bCs/>
          <w:kern w:val="1"/>
          <w:szCs w:val="22"/>
          <w:u w:val="single"/>
          <w:lang w:eastAsia="ar-SA"/>
        </w:rPr>
        <w:t>Podmienky oprávnenosti:</w:t>
      </w:r>
    </w:p>
    <w:p w:rsidR="008D12E7" w:rsidRPr="00DE705D" w:rsidRDefault="008D12E7" w:rsidP="00CE203B">
      <w:pPr>
        <w:pStyle w:val="Odsekzoznamu"/>
        <w:numPr>
          <w:ilvl w:val="0"/>
          <w:numId w:val="379"/>
        </w:numPr>
        <w:suppressAutoHyphens/>
        <w:rPr>
          <w:rFonts w:ascii="Calibri" w:hAnsi="Calibri" w:cs="Calibri"/>
          <w:bCs/>
          <w:kern w:val="1"/>
          <w:szCs w:val="22"/>
          <w:lang w:eastAsia="ar-SA"/>
        </w:rPr>
      </w:pPr>
      <w:r w:rsidRPr="00DE705D">
        <w:rPr>
          <w:rFonts w:ascii="Calibri" w:hAnsi="Calibri" w:cs="Calibri"/>
          <w:bCs/>
          <w:kern w:val="1"/>
          <w:szCs w:val="22"/>
          <w:lang w:eastAsia="ar-SA"/>
        </w:rPr>
        <w:t>Investície v rámci tejto operácie sú oprávnené na podporu, ak sa príslušné operácie vykonávajú v súlade s plánmi rozvoja obcí a dedín vo vidieckych oblastiach a ich základných služieb, ak takéto plány existujú, a sú konzistentné s akoukoľvek príslušnou stratégiou miestneho rozvoja.</w:t>
      </w:r>
    </w:p>
    <w:p w:rsidR="008D12E7" w:rsidRPr="008676F9" w:rsidRDefault="008D12E7" w:rsidP="001F5283">
      <w:pPr>
        <w:numPr>
          <w:ilvl w:val="0"/>
          <w:numId w:val="41"/>
        </w:numPr>
        <w:ind w:left="426" w:hanging="426"/>
        <w:contextualSpacing/>
        <w:rPr>
          <w:rFonts w:ascii="Calibri" w:hAnsi="Calibri" w:cs="Calibri"/>
          <w:bCs/>
          <w:szCs w:val="22"/>
          <w:u w:val="single"/>
          <w:lang w:eastAsia="en-US"/>
        </w:rPr>
      </w:pPr>
      <w:r>
        <w:rPr>
          <w:rFonts w:ascii="Calibri" w:hAnsi="Calibri" w:cs="Calibri"/>
          <w:bCs/>
          <w:szCs w:val="22"/>
          <w:lang w:eastAsia="en-US"/>
        </w:rPr>
        <w:t>Povinnosť uplatňovať sociálny aspekt pri verejnom obstarávaní.</w:t>
      </w:r>
    </w:p>
    <w:p w:rsidR="008D12E7" w:rsidRPr="008676F9" w:rsidRDefault="008D12E7" w:rsidP="008D12E7">
      <w:pPr>
        <w:suppressAutoHyphens/>
        <w:rPr>
          <w:rFonts w:cs="Calibri"/>
          <w:bCs/>
          <w:kern w:val="1"/>
          <w:u w:val="single"/>
          <w:lang w:eastAsia="ar-SA"/>
        </w:rPr>
      </w:pPr>
    </w:p>
    <w:p w:rsidR="008D12E7" w:rsidRPr="008676F9" w:rsidRDefault="008D12E7" w:rsidP="008D12E7">
      <w:pPr>
        <w:suppressAutoHyphens/>
        <w:rPr>
          <w:rFonts w:ascii="Calibri" w:eastAsia="SimSun" w:hAnsi="Calibri" w:cs="Calibri"/>
          <w:bCs/>
          <w:kern w:val="1"/>
          <w:szCs w:val="22"/>
          <w:u w:val="single"/>
          <w:lang w:eastAsia="ar-SA"/>
        </w:rPr>
      </w:pPr>
      <w:r w:rsidRPr="008676F9">
        <w:rPr>
          <w:rFonts w:ascii="Calibri" w:eastAsia="SimSun" w:hAnsi="Calibri" w:cs="Calibri"/>
          <w:bCs/>
          <w:kern w:val="1"/>
          <w:szCs w:val="22"/>
          <w:u w:val="single"/>
          <w:lang w:eastAsia="ar-SA"/>
        </w:rPr>
        <w:t>Princípy nastavenia výberových kritérií:</w:t>
      </w:r>
    </w:p>
    <w:p w:rsidR="008D12E7" w:rsidRDefault="008D12E7" w:rsidP="00955DA4">
      <w:pPr>
        <w:numPr>
          <w:ilvl w:val="0"/>
          <w:numId w:val="168"/>
        </w:numPr>
        <w:suppressAutoHyphens/>
        <w:rPr>
          <w:rFonts w:ascii="Calibri" w:eastAsia="SimSun" w:hAnsi="Calibri" w:cs="Calibri"/>
          <w:bCs/>
          <w:kern w:val="1"/>
          <w:szCs w:val="22"/>
          <w:lang w:eastAsia="ar-SA"/>
        </w:rPr>
      </w:pPr>
      <w:r>
        <w:rPr>
          <w:rFonts w:ascii="Calibri" w:eastAsia="SimSun" w:hAnsi="Calibri" w:cs="Calibri"/>
          <w:bCs/>
          <w:kern w:val="1"/>
          <w:szCs w:val="22"/>
          <w:lang w:eastAsia="ar-SA"/>
        </w:rPr>
        <w:t>komplexnosť, udržateľnosť, realizovateľnosť, hospodárnosť a efektívnosť projektu;</w:t>
      </w:r>
    </w:p>
    <w:p w:rsidR="008D12E7" w:rsidRPr="008676F9" w:rsidRDefault="008D12E7" w:rsidP="00955DA4">
      <w:pPr>
        <w:numPr>
          <w:ilvl w:val="0"/>
          <w:numId w:val="168"/>
        </w:numPr>
        <w:suppressAutoHyphens/>
        <w:rPr>
          <w:rFonts w:ascii="Calibri" w:eastAsia="SimSun" w:hAnsi="Calibri" w:cs="Calibri"/>
          <w:bCs/>
          <w:kern w:val="1"/>
          <w:szCs w:val="22"/>
          <w:lang w:eastAsia="ar-SA"/>
        </w:rPr>
      </w:pPr>
      <w:r>
        <w:rPr>
          <w:rFonts w:ascii="Calibri" w:eastAsia="SimSun" w:hAnsi="Calibri" w:cs="Calibri"/>
          <w:bCs/>
          <w:kern w:val="1"/>
          <w:szCs w:val="22"/>
          <w:lang w:eastAsia="ar-SA"/>
        </w:rPr>
        <w:t>u</w:t>
      </w:r>
      <w:r w:rsidRPr="008676F9">
        <w:rPr>
          <w:rFonts w:ascii="Calibri" w:eastAsia="SimSun" w:hAnsi="Calibri" w:cs="Calibri"/>
          <w:bCs/>
          <w:kern w:val="1"/>
          <w:szCs w:val="22"/>
          <w:lang w:eastAsia="ar-SA"/>
        </w:rPr>
        <w:t>prednostnené budú projekty súvisiace s ekonomickým rozvojom;</w:t>
      </w:r>
    </w:p>
    <w:p w:rsidR="008D12E7" w:rsidRPr="00DE705D" w:rsidRDefault="008D12E7" w:rsidP="00955DA4">
      <w:pPr>
        <w:numPr>
          <w:ilvl w:val="0"/>
          <w:numId w:val="168"/>
        </w:numPr>
        <w:suppressAutoHyphens/>
        <w:rPr>
          <w:rFonts w:ascii="Calibri" w:eastAsia="SimSun" w:hAnsi="Calibri" w:cs="Calibri"/>
          <w:bCs/>
          <w:kern w:val="1"/>
          <w:szCs w:val="22"/>
          <w:u w:val="single"/>
          <w:lang w:eastAsia="ar-SA"/>
        </w:rPr>
      </w:pPr>
      <w:r>
        <w:rPr>
          <w:rFonts w:ascii="Calibri" w:eastAsia="SimSun" w:hAnsi="Calibri" w:cs="Calibri"/>
          <w:bCs/>
          <w:kern w:val="1"/>
          <w:szCs w:val="22"/>
          <w:lang w:eastAsia="ar-SA"/>
        </w:rPr>
        <w:t>u</w:t>
      </w:r>
      <w:r w:rsidRPr="008676F9">
        <w:rPr>
          <w:rFonts w:ascii="Calibri" w:eastAsia="SimSun" w:hAnsi="Calibri" w:cs="Calibri"/>
          <w:bCs/>
          <w:kern w:val="1"/>
          <w:szCs w:val="22"/>
          <w:lang w:eastAsia="ar-SA"/>
        </w:rPr>
        <w:t>prednostnené budú projekty, v rámci ktorých budú mať realizované operácie dopad na širšie územie viacerých katastrov obcí a budú predkladané združeniami/skupinami obcí</w:t>
      </w:r>
    </w:p>
    <w:p w:rsidR="008D12E7" w:rsidRPr="008676F9" w:rsidRDefault="008D12E7" w:rsidP="00955DA4">
      <w:pPr>
        <w:numPr>
          <w:ilvl w:val="0"/>
          <w:numId w:val="168"/>
        </w:numPr>
        <w:suppressAutoHyphens/>
        <w:rPr>
          <w:rFonts w:ascii="Calibri" w:eastAsia="SimSun" w:hAnsi="Calibri" w:cs="Calibri"/>
          <w:bCs/>
          <w:kern w:val="1"/>
          <w:szCs w:val="22"/>
          <w:u w:val="single"/>
          <w:lang w:eastAsia="ar-SA"/>
        </w:rPr>
      </w:pPr>
      <w:r>
        <w:rPr>
          <w:rFonts w:ascii="Calibri" w:hAnsi="Calibri" w:cs="Calibri"/>
          <w:bCs/>
          <w:szCs w:val="22"/>
          <w:lang w:eastAsia="en-US"/>
        </w:rPr>
        <w:t>uprednostnené budú projekty obcí do 500 obyvateľov (vrátane) pred projektmi obcí s vyšším počtom obyvateľov</w:t>
      </w:r>
      <w:r w:rsidRPr="008676F9">
        <w:rPr>
          <w:rFonts w:ascii="Calibri" w:eastAsia="SimSun" w:hAnsi="Calibri" w:cs="Calibri"/>
          <w:bCs/>
          <w:kern w:val="1"/>
          <w:szCs w:val="22"/>
          <w:lang w:eastAsia="ar-SA"/>
        </w:rPr>
        <w:t>.</w:t>
      </w:r>
    </w:p>
    <w:p w:rsidR="008D12E7" w:rsidRDefault="008D12E7" w:rsidP="006F5151">
      <w:pPr>
        <w:suppressAutoHyphens/>
        <w:rPr>
          <w:rFonts w:ascii="Calibri" w:eastAsia="SimSun" w:hAnsi="Calibri" w:cs="Calibri"/>
          <w:bCs/>
          <w:kern w:val="1"/>
          <w:szCs w:val="22"/>
          <w:u w:val="single"/>
          <w:lang w:eastAsia="ar-SA"/>
        </w:rPr>
      </w:pPr>
    </w:p>
    <w:p w:rsidR="008676F9" w:rsidRPr="008676F9" w:rsidRDefault="008676F9" w:rsidP="006F5151">
      <w:pPr>
        <w:suppressAutoHyphens/>
        <w:rPr>
          <w:rFonts w:ascii="Calibri" w:eastAsia="SimSun" w:hAnsi="Calibri" w:cs="Calibri"/>
          <w:bCs/>
          <w:kern w:val="1"/>
          <w:szCs w:val="22"/>
          <w:lang w:eastAsia="ar-SA"/>
        </w:rPr>
      </w:pPr>
      <w:r w:rsidRPr="008676F9">
        <w:rPr>
          <w:rFonts w:ascii="Calibri" w:eastAsia="SimSun" w:hAnsi="Calibri" w:cs="Calibri"/>
          <w:bCs/>
          <w:kern w:val="1"/>
          <w:szCs w:val="22"/>
          <w:u w:val="single"/>
          <w:lang w:eastAsia="ar-SA"/>
        </w:rPr>
        <w:t>Výška a miera podpory:</w:t>
      </w:r>
    </w:p>
    <w:p w:rsidR="008676F9" w:rsidRPr="008676F9" w:rsidRDefault="008676F9" w:rsidP="006F5151">
      <w:pPr>
        <w:suppressAutoHyphens/>
        <w:rPr>
          <w:rFonts w:ascii="Calibri" w:eastAsia="SimSun" w:hAnsi="Calibri" w:cs="Calibri"/>
          <w:bCs/>
          <w:kern w:val="1"/>
          <w:szCs w:val="22"/>
          <w:lang w:eastAsia="ar-SA"/>
        </w:rPr>
      </w:pPr>
      <w:r w:rsidRPr="008676F9">
        <w:rPr>
          <w:rFonts w:ascii="Calibri" w:eastAsia="SimSun" w:hAnsi="Calibri" w:cs="Calibri"/>
          <w:bCs/>
          <w:kern w:val="1"/>
          <w:szCs w:val="22"/>
          <w:lang w:eastAsia="ar-SA"/>
        </w:rPr>
        <w:t>Maximálna výška podpory z celkových oprávnených nákladov:</w:t>
      </w:r>
    </w:p>
    <w:p w:rsidR="008676F9" w:rsidRPr="008676F9" w:rsidRDefault="008676F9" w:rsidP="00955DA4">
      <w:pPr>
        <w:numPr>
          <w:ilvl w:val="0"/>
          <w:numId w:val="189"/>
        </w:numPr>
        <w:suppressAutoHyphens/>
        <w:rPr>
          <w:rFonts w:ascii="Calibri" w:eastAsia="SimSun" w:hAnsi="Calibri" w:cs="Calibri"/>
          <w:bCs/>
          <w:kern w:val="1"/>
          <w:szCs w:val="22"/>
          <w:lang w:eastAsia="ar-SA"/>
        </w:rPr>
      </w:pPr>
      <w:r w:rsidRPr="008676F9">
        <w:rPr>
          <w:rFonts w:ascii="Calibri" w:eastAsia="SimSun" w:hAnsi="Calibri" w:cs="Calibri"/>
          <w:bCs/>
          <w:kern w:val="1"/>
          <w:szCs w:val="22"/>
          <w:lang w:eastAsia="ar-SA"/>
        </w:rPr>
        <w:t>100%</w:t>
      </w:r>
      <w:r w:rsidR="00551D5C">
        <w:rPr>
          <w:rFonts w:ascii="Calibri" w:eastAsia="SimSun" w:hAnsi="Calibri" w:cs="Calibri"/>
          <w:bCs/>
          <w:kern w:val="1"/>
          <w:szCs w:val="22"/>
          <w:lang w:eastAsia="ar-SA"/>
        </w:rPr>
        <w:t xml:space="preserve"> s maximálnym limitom 150 000 €</w:t>
      </w:r>
      <w:r w:rsidRPr="008676F9">
        <w:rPr>
          <w:rFonts w:ascii="Calibri" w:eastAsia="SimSun" w:hAnsi="Calibri" w:cs="Calibri"/>
          <w:bCs/>
          <w:kern w:val="1"/>
          <w:szCs w:val="22"/>
          <w:lang w:eastAsia="ar-SA"/>
        </w:rPr>
        <w:t>.</w:t>
      </w:r>
    </w:p>
    <w:p w:rsidR="008676F9" w:rsidRPr="008676F9" w:rsidRDefault="008676F9" w:rsidP="006F5151">
      <w:pPr>
        <w:rPr>
          <w:rFonts w:ascii="Calibri" w:eastAsia="Calibri" w:hAnsi="Calibri" w:cs="Calibri"/>
          <w:bCs/>
          <w:szCs w:val="22"/>
          <w:lang w:eastAsia="en-US"/>
        </w:rPr>
      </w:pPr>
    </w:p>
    <w:p w:rsidR="00BD13CE" w:rsidRDefault="00BD13CE">
      <w:pPr>
        <w:jc w:val="left"/>
        <w:rPr>
          <w:rFonts w:ascii="Calibri" w:eastAsia="Calibri" w:hAnsi="Calibri" w:cs="Calibri"/>
          <w:bCs/>
          <w:szCs w:val="22"/>
          <w:lang w:eastAsia="en-US"/>
        </w:rPr>
      </w:pPr>
      <w:r>
        <w:rPr>
          <w:rFonts w:ascii="Calibri" w:eastAsia="Calibri" w:hAnsi="Calibri" w:cs="Calibri"/>
          <w:bCs/>
          <w:szCs w:val="22"/>
          <w:lang w:eastAsia="en-US"/>
        </w:rPr>
        <w:br w:type="page"/>
      </w:r>
    </w:p>
    <w:p w:rsidR="008676F9" w:rsidRPr="00BD13CE" w:rsidRDefault="008676F9" w:rsidP="00BD13CE">
      <w:pPr>
        <w:shd w:val="clear" w:color="auto" w:fill="EAF1DD"/>
        <w:ind w:left="1701" w:hanging="1701"/>
        <w:rPr>
          <w:rFonts w:ascii="Calibri" w:eastAsia="Calibri" w:hAnsi="Calibri" w:cs="Calibri"/>
          <w:b/>
          <w:bCs/>
          <w:sz w:val="24"/>
          <w:lang w:eastAsia="en-US"/>
        </w:rPr>
      </w:pPr>
      <w:r w:rsidRPr="008676F9">
        <w:rPr>
          <w:rFonts w:ascii="Calibri" w:eastAsia="Calibri" w:hAnsi="Calibri" w:cs="Calibri"/>
          <w:bCs/>
          <w:lang w:eastAsia="en-US"/>
        </w:rPr>
        <w:t xml:space="preserve">Podopatrenie: </w:t>
      </w:r>
      <w:r w:rsidRPr="008676F9">
        <w:rPr>
          <w:rFonts w:ascii="Calibri" w:eastAsia="Calibri" w:hAnsi="Calibri" w:cs="Calibri"/>
          <w:b/>
          <w:bCs/>
          <w:i/>
          <w:lang w:eastAsia="en-US"/>
        </w:rPr>
        <w:t xml:space="preserve">7.3 </w:t>
      </w:r>
      <w:r w:rsidRPr="00BD13CE">
        <w:rPr>
          <w:rFonts w:ascii="Calibri" w:eastAsia="Calibri" w:hAnsi="Calibri" w:cs="Calibri"/>
          <w:b/>
          <w:bCs/>
          <w:i/>
          <w:sz w:val="24"/>
          <w:lang w:eastAsia="en-US"/>
        </w:rPr>
        <w:t>Podpora infraštruktúry širokopásmového internetu vrátane jej budovania, zlepšenia a rozšírenia, podpora pasívnej infraštruktúry širokopásmového internetu a zabezpečenie prístupu k širokopásmovému internetu a verejnému e-governmentu</w:t>
      </w:r>
    </w:p>
    <w:p w:rsidR="008676F9" w:rsidRPr="008676F9" w:rsidRDefault="008676F9" w:rsidP="006F5151">
      <w:pPr>
        <w:shd w:val="clear" w:color="auto" w:fill="FBD4B4"/>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Názov operácie:</w:t>
      </w:r>
    </w:p>
    <w:p w:rsidR="008676F9" w:rsidRPr="008676F9" w:rsidRDefault="008676F9" w:rsidP="006F5151">
      <w:pPr>
        <w:shd w:val="clear" w:color="auto" w:fill="FBD4B4"/>
        <w:rPr>
          <w:rFonts w:ascii="Calibri" w:eastAsia="Calibri" w:hAnsi="Calibri" w:cs="Calibri"/>
          <w:bCs/>
          <w:i/>
          <w:szCs w:val="22"/>
          <w:lang w:eastAsia="en-US"/>
        </w:rPr>
      </w:pPr>
      <w:r w:rsidRPr="008676F9">
        <w:rPr>
          <w:rFonts w:ascii="Calibri" w:eastAsia="Calibri" w:hAnsi="Calibri" w:cs="Calibri"/>
          <w:bCs/>
          <w:i/>
          <w:szCs w:val="22"/>
          <w:lang w:eastAsia="en-US"/>
        </w:rPr>
        <w:t>Budovanie širokopásmového internetu</w:t>
      </w:r>
    </w:p>
    <w:p w:rsidR="008676F9" w:rsidRPr="008676F9" w:rsidRDefault="008676F9" w:rsidP="006F5151">
      <w:pPr>
        <w:rPr>
          <w:rFonts w:ascii="Calibri" w:eastAsia="Calibri" w:hAnsi="Calibri" w:cs="Calibri"/>
          <w:bCs/>
          <w:szCs w:val="22"/>
          <w:u w:val="single"/>
          <w:lang w:eastAsia="en-US"/>
        </w:rPr>
      </w:pPr>
    </w:p>
    <w:p w:rsidR="008676F9" w:rsidRPr="008676F9" w:rsidRDefault="008676F9" w:rsidP="006F5151">
      <w:pPr>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Opis operácie:</w:t>
      </w:r>
    </w:p>
    <w:p w:rsidR="008676F9" w:rsidRPr="008676F9" w:rsidRDefault="008676F9" w:rsidP="006F5151">
      <w:pPr>
        <w:rPr>
          <w:rFonts w:ascii="Calibri" w:eastAsia="Calibri" w:hAnsi="Calibri" w:cs="Calibri"/>
          <w:bCs/>
          <w:szCs w:val="22"/>
          <w:u w:val="single"/>
          <w:lang w:eastAsia="en-US"/>
        </w:rPr>
      </w:pPr>
      <w:r w:rsidRPr="008676F9">
        <w:rPr>
          <w:rFonts w:ascii="Calibri" w:eastAsia="Calibri" w:hAnsi="Calibri" w:cs="Calibri"/>
          <w:bCs/>
          <w:szCs w:val="22"/>
          <w:lang w:eastAsia="en-US"/>
        </w:rPr>
        <w:t>Vytvorenie prístupu k širokopásmovému internetu prostredníctvom budovania</w:t>
      </w:r>
      <w:r w:rsidR="008D12E7">
        <w:rPr>
          <w:rFonts w:ascii="Calibri" w:eastAsia="Calibri" w:hAnsi="Calibri" w:cs="Calibri"/>
          <w:bCs/>
          <w:szCs w:val="22"/>
          <w:lang w:eastAsia="en-US"/>
        </w:rPr>
        <w:t xml:space="preserve"> prístupových sietí</w:t>
      </w:r>
      <w:r w:rsidRPr="008676F9">
        <w:rPr>
          <w:rFonts w:ascii="Calibri" w:eastAsia="Calibri" w:hAnsi="Calibri" w:cs="Calibri"/>
          <w:bCs/>
          <w:szCs w:val="22"/>
          <w:lang w:eastAsia="en-US"/>
        </w:rPr>
        <w:t xml:space="preserve"> vrátane zriadenia verejne prístupného miesta.</w:t>
      </w:r>
    </w:p>
    <w:p w:rsidR="008676F9" w:rsidRPr="008676F9" w:rsidRDefault="008676F9" w:rsidP="006F5151">
      <w:pPr>
        <w:rPr>
          <w:rFonts w:ascii="Calibri" w:eastAsia="Calibri" w:hAnsi="Calibri" w:cs="Calibri"/>
          <w:bCs/>
          <w:szCs w:val="22"/>
          <w:u w:val="single"/>
          <w:lang w:eastAsia="en-US"/>
        </w:rPr>
      </w:pPr>
    </w:p>
    <w:p w:rsidR="008676F9" w:rsidRPr="008676F9" w:rsidRDefault="008676F9" w:rsidP="006F5151">
      <w:pPr>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Typ podpory:</w:t>
      </w:r>
    </w:p>
    <w:p w:rsidR="008676F9" w:rsidRPr="008676F9" w:rsidRDefault="008676F9" w:rsidP="006F5151">
      <w:pPr>
        <w:rPr>
          <w:rFonts w:ascii="Calibri" w:eastAsia="Calibri" w:hAnsi="Calibri" w:cs="Calibri"/>
          <w:bCs/>
          <w:szCs w:val="22"/>
          <w:lang w:eastAsia="en-US"/>
        </w:rPr>
      </w:pPr>
      <w:r w:rsidRPr="008676F9">
        <w:rPr>
          <w:rFonts w:ascii="Calibri" w:eastAsia="Calibri" w:hAnsi="Calibri" w:cs="Calibri"/>
          <w:bCs/>
          <w:szCs w:val="22"/>
          <w:lang w:eastAsia="en-US"/>
        </w:rPr>
        <w:t>Investičná, nezisková, nenávratný finančný príspevok, možnosť poskytnutia zálohovej platby do výšky 50 % oprávnených nákladov.</w:t>
      </w:r>
    </w:p>
    <w:p w:rsidR="008676F9" w:rsidRPr="008676F9" w:rsidRDefault="008676F9" w:rsidP="006F5151">
      <w:pPr>
        <w:rPr>
          <w:rFonts w:ascii="Calibri" w:eastAsia="Calibri" w:hAnsi="Calibri" w:cs="Calibri"/>
          <w:bCs/>
          <w:szCs w:val="22"/>
          <w:u w:val="single"/>
          <w:lang w:eastAsia="en-US"/>
        </w:rPr>
      </w:pPr>
    </w:p>
    <w:p w:rsidR="008676F9" w:rsidRPr="008676F9" w:rsidRDefault="008676F9" w:rsidP="006F5151">
      <w:pPr>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Súvislosť s inou legislatívou:</w:t>
      </w:r>
    </w:p>
    <w:p w:rsidR="008676F9" w:rsidRPr="008676F9" w:rsidRDefault="008676F9" w:rsidP="006F5151">
      <w:pPr>
        <w:rPr>
          <w:rFonts w:ascii="Calibri" w:eastAsia="Calibri" w:hAnsi="Calibri" w:cs="Calibri"/>
          <w:bCs/>
          <w:szCs w:val="22"/>
          <w:lang w:eastAsia="en-US"/>
        </w:rPr>
      </w:pPr>
      <w:r w:rsidRPr="008676F9">
        <w:rPr>
          <w:rFonts w:ascii="Calibri" w:eastAsia="Calibri" w:hAnsi="Calibri" w:cs="Calibri"/>
          <w:bCs/>
          <w:szCs w:val="22"/>
          <w:lang w:eastAsia="en-US"/>
        </w:rPr>
        <w:t>Národná stratégia pre širokopásmový prístup v SR.</w:t>
      </w:r>
    </w:p>
    <w:p w:rsidR="008676F9" w:rsidRPr="008676F9" w:rsidRDefault="008676F9" w:rsidP="006F5151">
      <w:pPr>
        <w:rPr>
          <w:rFonts w:ascii="Calibri" w:eastAsia="Calibri" w:hAnsi="Calibri" w:cs="Calibri"/>
          <w:bCs/>
          <w:szCs w:val="22"/>
          <w:lang w:eastAsia="en-US"/>
        </w:rPr>
      </w:pPr>
      <w:r w:rsidRPr="008676F9">
        <w:rPr>
          <w:rFonts w:ascii="Calibri" w:eastAsia="Calibri" w:hAnsi="Calibri" w:cs="Calibri"/>
          <w:bCs/>
          <w:szCs w:val="22"/>
          <w:lang w:eastAsia="en-US"/>
        </w:rPr>
        <w:t>Operačný program Integrovaná infraštruktúra (OPII) – operácia v rámci opatrenia v PRV komplementárne doplní operácie v rámci OPII a prispeje k cieľu 100 % pokrytia širokopásmovým internetom. OPII podporí realizáciu budovania širokopásmového pripojenia a zavádzanie sietí nových generácií. Pri riešení bielych miest širokopásmovým internetom o minimálnej rýchlosti 30 Mbit/s sa zameria na výstavbu národných regionálnych sietí a budovanie prístupových sietí prostredníctvom dopytových projektov v oblastiach zlyhania trhu. OPII tiež zabezpečí príslušné analytické práce a koordináciu výstavby sietí. PRV bude realizovať dopytové projekty pre budovanie prístupových sietí v jednotlivých obciach (do 500 obyvateľov), ktoré spadajú do bielych miest.</w:t>
      </w:r>
    </w:p>
    <w:p w:rsidR="008676F9" w:rsidRPr="008676F9" w:rsidRDefault="008676F9" w:rsidP="006F5151">
      <w:pPr>
        <w:rPr>
          <w:rFonts w:ascii="Calibri" w:eastAsia="Calibri" w:hAnsi="Calibri" w:cs="Calibri"/>
          <w:bCs/>
          <w:szCs w:val="22"/>
          <w:u w:val="single"/>
          <w:lang w:eastAsia="en-US"/>
        </w:rPr>
      </w:pPr>
    </w:p>
    <w:p w:rsidR="008676F9" w:rsidRPr="008676F9" w:rsidRDefault="008676F9" w:rsidP="006F5151">
      <w:pPr>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Prijímateľ podpory:</w:t>
      </w:r>
    </w:p>
    <w:p w:rsidR="008676F9" w:rsidRPr="008676F9" w:rsidRDefault="008676F9" w:rsidP="00955DA4">
      <w:pPr>
        <w:numPr>
          <w:ilvl w:val="0"/>
          <w:numId w:val="191"/>
        </w:numPr>
        <w:rPr>
          <w:rFonts w:ascii="Calibri" w:hAnsi="Calibri" w:cs="Calibri"/>
          <w:bCs/>
          <w:szCs w:val="22"/>
          <w:lang w:eastAsia="en-US"/>
        </w:rPr>
      </w:pPr>
      <w:r w:rsidRPr="008676F9">
        <w:rPr>
          <w:rFonts w:ascii="Calibri" w:hAnsi="Calibri" w:cs="Calibri"/>
          <w:bCs/>
          <w:szCs w:val="22"/>
          <w:lang w:eastAsia="en-US"/>
        </w:rPr>
        <w:t>Obce vo vidieckych oblastiach do 500 obyvateľov</w:t>
      </w:r>
      <w:r w:rsidRPr="008676F9">
        <w:rPr>
          <w:rFonts w:ascii="Calibri" w:eastAsia="SimSun" w:hAnsi="Calibri" w:cs="Calibri"/>
          <w:kern w:val="1"/>
          <w:lang w:eastAsia="ar-SA"/>
        </w:rPr>
        <w:t>(vrátane)</w:t>
      </w:r>
      <w:r w:rsidRPr="008676F9">
        <w:rPr>
          <w:rFonts w:ascii="Calibri" w:hAnsi="Calibri" w:cs="Calibri"/>
          <w:bCs/>
          <w:szCs w:val="22"/>
          <w:lang w:eastAsia="en-US"/>
        </w:rPr>
        <w:t xml:space="preserve"> definované ako biele miesta z hľadiska pokrytia širokopásmovým internetom;</w:t>
      </w:r>
    </w:p>
    <w:p w:rsidR="008676F9" w:rsidRPr="008676F9" w:rsidRDefault="008676F9" w:rsidP="00955DA4">
      <w:pPr>
        <w:numPr>
          <w:ilvl w:val="0"/>
          <w:numId w:val="191"/>
        </w:numPr>
        <w:rPr>
          <w:rFonts w:ascii="Calibri" w:hAnsi="Calibri" w:cs="Calibri"/>
          <w:bCs/>
          <w:szCs w:val="22"/>
          <w:lang w:eastAsia="en-US"/>
        </w:rPr>
      </w:pPr>
      <w:r w:rsidRPr="008676F9">
        <w:rPr>
          <w:rFonts w:ascii="Calibri" w:hAnsi="Calibri" w:cs="Calibri"/>
          <w:bCs/>
          <w:szCs w:val="22"/>
          <w:lang w:eastAsia="en-US"/>
        </w:rPr>
        <w:t>združenia/skupiny obcí.</w:t>
      </w:r>
    </w:p>
    <w:p w:rsidR="002E78E6" w:rsidRDefault="002E78E6" w:rsidP="006F5151">
      <w:pPr>
        <w:rPr>
          <w:rFonts w:ascii="Calibri" w:eastAsia="Calibri" w:hAnsi="Calibri" w:cs="Calibri"/>
          <w:bCs/>
          <w:szCs w:val="22"/>
          <w:u w:val="single"/>
          <w:lang w:eastAsia="en-US"/>
        </w:rPr>
      </w:pPr>
    </w:p>
    <w:p w:rsidR="008676F9" w:rsidRPr="008676F9" w:rsidRDefault="008676F9" w:rsidP="006F5151">
      <w:pPr>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Oprávnené náklady:</w:t>
      </w:r>
    </w:p>
    <w:p w:rsidR="00FF4D9D" w:rsidRDefault="00FF4D9D" w:rsidP="00955DA4">
      <w:pPr>
        <w:pStyle w:val="Odsekzoznamu"/>
        <w:numPr>
          <w:ilvl w:val="0"/>
          <w:numId w:val="189"/>
        </w:numPr>
        <w:rPr>
          <w:rFonts w:ascii="Calibri" w:eastAsia="Calibri" w:hAnsi="Calibri" w:cs="Calibri"/>
          <w:bCs/>
          <w:szCs w:val="22"/>
          <w:lang w:eastAsia="en-US"/>
        </w:rPr>
      </w:pPr>
      <w:r>
        <w:rPr>
          <w:rFonts w:ascii="Calibri" w:eastAsia="Calibri" w:hAnsi="Calibri" w:cs="Calibri"/>
          <w:bCs/>
          <w:szCs w:val="22"/>
          <w:lang w:eastAsia="en-US"/>
        </w:rPr>
        <w:t>v</w:t>
      </w:r>
      <w:r w:rsidR="008676F9" w:rsidRPr="00FF4D9D">
        <w:rPr>
          <w:rFonts w:ascii="Calibri" w:eastAsia="Calibri" w:hAnsi="Calibri" w:cs="Calibri"/>
          <w:bCs/>
          <w:szCs w:val="22"/>
          <w:lang w:eastAsia="en-US"/>
        </w:rPr>
        <w:t>ýdavky na hmotné investície súvisiace s budovaním širokopásmovej infraštruktúry</w:t>
      </w:r>
      <w:r>
        <w:rPr>
          <w:rFonts w:ascii="Calibri" w:eastAsia="Calibri" w:hAnsi="Calibri" w:cs="Calibri"/>
          <w:bCs/>
          <w:szCs w:val="22"/>
          <w:lang w:eastAsia="en-US"/>
        </w:rPr>
        <w:t>;</w:t>
      </w:r>
    </w:p>
    <w:p w:rsidR="008676F9" w:rsidRPr="00FF4D9D" w:rsidRDefault="00FF4D9D" w:rsidP="00955DA4">
      <w:pPr>
        <w:pStyle w:val="Odsekzoznamu"/>
        <w:numPr>
          <w:ilvl w:val="0"/>
          <w:numId w:val="189"/>
        </w:numPr>
        <w:rPr>
          <w:rFonts w:ascii="Calibri" w:eastAsia="Calibri" w:hAnsi="Calibri" w:cs="Calibri"/>
          <w:bCs/>
          <w:szCs w:val="22"/>
          <w:lang w:eastAsia="en-US"/>
        </w:rPr>
      </w:pPr>
      <w:r>
        <w:rPr>
          <w:rFonts w:ascii="Calibri" w:eastAsia="Calibri" w:hAnsi="Calibri" w:cs="Calibri"/>
          <w:bCs/>
          <w:szCs w:val="22"/>
          <w:lang w:eastAsia="en-US"/>
        </w:rPr>
        <w:t>výdavky na riadenie projektu</w:t>
      </w:r>
      <w:r w:rsidR="008676F9" w:rsidRPr="00FF4D9D">
        <w:rPr>
          <w:rFonts w:ascii="Calibri" w:eastAsia="Calibri" w:hAnsi="Calibri" w:cs="Calibri"/>
          <w:bCs/>
          <w:szCs w:val="22"/>
          <w:lang w:eastAsia="en-US"/>
        </w:rPr>
        <w:t>.</w:t>
      </w:r>
    </w:p>
    <w:p w:rsidR="008676F9" w:rsidRPr="008676F9" w:rsidRDefault="008676F9" w:rsidP="006F5151">
      <w:pPr>
        <w:rPr>
          <w:rFonts w:ascii="Calibri" w:eastAsia="Calibri" w:hAnsi="Calibri" w:cs="Calibri"/>
          <w:bCs/>
          <w:szCs w:val="22"/>
          <w:u w:val="single"/>
          <w:lang w:eastAsia="en-US"/>
        </w:rPr>
      </w:pPr>
    </w:p>
    <w:p w:rsidR="008D12E7" w:rsidRPr="008676F9" w:rsidRDefault="008D12E7" w:rsidP="008D12E7">
      <w:pPr>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Podmienky oprávnenosti:</w:t>
      </w:r>
    </w:p>
    <w:p w:rsidR="008D12E7" w:rsidRPr="00C178B2" w:rsidRDefault="008D12E7" w:rsidP="001F5283">
      <w:pPr>
        <w:pStyle w:val="Odsekzoznamu"/>
        <w:numPr>
          <w:ilvl w:val="0"/>
          <w:numId w:val="41"/>
        </w:numPr>
        <w:rPr>
          <w:rFonts w:ascii="Calibri" w:eastAsia="Calibri" w:hAnsi="Calibri" w:cs="Calibri"/>
          <w:bCs/>
          <w:szCs w:val="22"/>
          <w:lang w:eastAsia="en-US"/>
        </w:rPr>
      </w:pPr>
      <w:r w:rsidRPr="00C178B2">
        <w:rPr>
          <w:rFonts w:ascii="Calibri" w:eastAsia="Calibri" w:hAnsi="Calibri" w:cs="Calibri"/>
          <w:bCs/>
          <w:szCs w:val="22"/>
          <w:lang w:eastAsia="en-US"/>
        </w:rPr>
        <w:t>Oprávnené sú operácie v bielych miestach, t.j. v miestach ktoré nie sú pokryté internetom.</w:t>
      </w:r>
    </w:p>
    <w:p w:rsidR="008D12E7" w:rsidRPr="008676F9" w:rsidRDefault="008D12E7" w:rsidP="001F5283">
      <w:pPr>
        <w:numPr>
          <w:ilvl w:val="0"/>
          <w:numId w:val="41"/>
        </w:numPr>
        <w:contextualSpacing/>
        <w:rPr>
          <w:rFonts w:ascii="Calibri" w:hAnsi="Calibri" w:cs="Calibri"/>
          <w:bCs/>
          <w:szCs w:val="22"/>
          <w:u w:val="single"/>
          <w:lang w:eastAsia="en-US"/>
        </w:rPr>
      </w:pPr>
      <w:r>
        <w:rPr>
          <w:rFonts w:ascii="Calibri" w:hAnsi="Calibri" w:cs="Calibri"/>
          <w:bCs/>
          <w:szCs w:val="22"/>
          <w:lang w:eastAsia="en-US"/>
        </w:rPr>
        <w:t>Povinnosť uplatňovať sociálny aspekt pri verejnom obstarávaní.</w:t>
      </w:r>
    </w:p>
    <w:p w:rsidR="008D12E7" w:rsidRPr="008676F9" w:rsidRDefault="008D12E7" w:rsidP="008D12E7">
      <w:pPr>
        <w:rPr>
          <w:rFonts w:ascii="Calibri" w:eastAsia="Calibri" w:hAnsi="Calibri" w:cs="Calibri"/>
          <w:bCs/>
          <w:szCs w:val="22"/>
          <w:lang w:eastAsia="en-US"/>
        </w:rPr>
      </w:pPr>
    </w:p>
    <w:p w:rsidR="008676F9" w:rsidRPr="008676F9" w:rsidRDefault="008676F9" w:rsidP="006F5151">
      <w:pPr>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Princípy nastavenia výberových kritérií:</w:t>
      </w:r>
    </w:p>
    <w:p w:rsidR="008676F9" w:rsidRPr="008676F9" w:rsidRDefault="008676F9" w:rsidP="006F5151">
      <w:pPr>
        <w:rPr>
          <w:rFonts w:ascii="Calibri" w:eastAsia="Calibri" w:hAnsi="Calibri" w:cs="Calibri"/>
          <w:bCs/>
          <w:szCs w:val="22"/>
          <w:lang w:eastAsia="en-US"/>
        </w:rPr>
      </w:pPr>
      <w:r w:rsidRPr="008676F9">
        <w:rPr>
          <w:rFonts w:ascii="Calibri" w:eastAsia="Calibri" w:hAnsi="Calibri" w:cs="Calibri"/>
          <w:bCs/>
          <w:szCs w:val="22"/>
          <w:lang w:eastAsia="en-US"/>
        </w:rPr>
        <w:t>Súlad s Národnou stratégiou pre širokopásmový internet v SR.</w:t>
      </w:r>
    </w:p>
    <w:p w:rsidR="008676F9" w:rsidRPr="008676F9" w:rsidRDefault="008676F9" w:rsidP="006F5151">
      <w:pPr>
        <w:rPr>
          <w:rFonts w:ascii="Calibri" w:eastAsia="Calibri" w:hAnsi="Calibri" w:cs="Calibri"/>
          <w:bCs/>
          <w:szCs w:val="22"/>
          <w:u w:val="single"/>
          <w:lang w:eastAsia="en-US"/>
        </w:rPr>
      </w:pPr>
    </w:p>
    <w:p w:rsidR="008676F9" w:rsidRPr="008676F9" w:rsidRDefault="008676F9" w:rsidP="006F5151">
      <w:pPr>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Výška a miera podpory:</w:t>
      </w:r>
    </w:p>
    <w:p w:rsidR="008676F9" w:rsidRPr="008676F9" w:rsidRDefault="008676F9" w:rsidP="006F5151">
      <w:pPr>
        <w:suppressAutoHyphens/>
        <w:rPr>
          <w:rFonts w:ascii="Calibri" w:eastAsia="SimSun" w:hAnsi="Calibri" w:cs="Calibri"/>
          <w:bCs/>
          <w:kern w:val="1"/>
          <w:szCs w:val="22"/>
          <w:lang w:eastAsia="ar-SA"/>
        </w:rPr>
      </w:pPr>
      <w:r w:rsidRPr="008676F9">
        <w:rPr>
          <w:rFonts w:ascii="Calibri" w:eastAsia="SimSun" w:hAnsi="Calibri" w:cs="Calibri"/>
          <w:bCs/>
          <w:kern w:val="1"/>
          <w:szCs w:val="22"/>
          <w:lang w:eastAsia="ar-SA"/>
        </w:rPr>
        <w:t>Maximálna výška podpory z celkových oprávnených nákladov:</w:t>
      </w:r>
    </w:p>
    <w:p w:rsidR="008676F9" w:rsidRPr="00551D5C" w:rsidRDefault="008676F9" w:rsidP="00955DA4">
      <w:pPr>
        <w:numPr>
          <w:ilvl w:val="0"/>
          <w:numId w:val="189"/>
        </w:numPr>
        <w:suppressAutoHyphens/>
        <w:rPr>
          <w:rFonts w:ascii="Calibri" w:eastAsia="SimSun" w:hAnsi="Calibri" w:cs="Calibri"/>
          <w:bCs/>
          <w:kern w:val="1"/>
          <w:szCs w:val="22"/>
          <w:lang w:eastAsia="ar-SA"/>
        </w:rPr>
      </w:pPr>
      <w:r w:rsidRPr="008676F9">
        <w:rPr>
          <w:rFonts w:ascii="Calibri" w:eastAsia="SimSun" w:hAnsi="Calibri" w:cs="Calibri"/>
          <w:bCs/>
          <w:kern w:val="1"/>
          <w:szCs w:val="22"/>
          <w:lang w:eastAsia="ar-SA"/>
        </w:rPr>
        <w:t>100%</w:t>
      </w:r>
      <w:r w:rsidR="00551D5C">
        <w:rPr>
          <w:rFonts w:ascii="Calibri" w:eastAsia="SimSun" w:hAnsi="Calibri" w:cs="Calibri"/>
          <w:bCs/>
          <w:kern w:val="1"/>
          <w:szCs w:val="22"/>
          <w:lang w:eastAsia="ar-SA"/>
        </w:rPr>
        <w:t xml:space="preserve"> s maximálnym limitom </w:t>
      </w:r>
      <w:r w:rsidRPr="00551D5C">
        <w:rPr>
          <w:rFonts w:ascii="Calibri" w:eastAsia="SimSun" w:hAnsi="Calibri" w:cs="Calibri"/>
          <w:bCs/>
          <w:kern w:val="1"/>
          <w:szCs w:val="22"/>
          <w:lang w:eastAsia="ar-SA"/>
        </w:rPr>
        <w:t xml:space="preserve">200 000 </w:t>
      </w:r>
      <w:r w:rsidR="00551D5C">
        <w:rPr>
          <w:rFonts w:ascii="Calibri" w:eastAsia="SimSun" w:hAnsi="Calibri" w:cs="Calibri"/>
          <w:bCs/>
          <w:kern w:val="1"/>
          <w:szCs w:val="22"/>
          <w:lang w:eastAsia="ar-SA"/>
        </w:rPr>
        <w:t>€</w:t>
      </w:r>
      <w:r w:rsidRPr="00551D5C">
        <w:rPr>
          <w:rFonts w:ascii="Calibri" w:eastAsia="SimSun" w:hAnsi="Calibri" w:cs="Calibri"/>
          <w:bCs/>
          <w:kern w:val="1"/>
          <w:szCs w:val="22"/>
          <w:lang w:eastAsia="ar-SA"/>
        </w:rPr>
        <w:t>.</w:t>
      </w:r>
    </w:p>
    <w:p w:rsidR="00BD13CE" w:rsidRDefault="00BD13CE">
      <w:pPr>
        <w:jc w:val="left"/>
        <w:rPr>
          <w:rFonts w:ascii="Calibri" w:eastAsia="Calibri" w:hAnsi="Calibri" w:cs="Calibri"/>
          <w:bCs/>
          <w:szCs w:val="22"/>
          <w:lang w:eastAsia="en-US"/>
        </w:rPr>
      </w:pPr>
      <w:r>
        <w:rPr>
          <w:rFonts w:ascii="Calibri" w:eastAsia="Calibri" w:hAnsi="Calibri" w:cs="Calibri"/>
          <w:bCs/>
          <w:szCs w:val="22"/>
          <w:lang w:eastAsia="en-US"/>
        </w:rPr>
        <w:br w:type="page"/>
      </w:r>
    </w:p>
    <w:p w:rsidR="008676F9" w:rsidRPr="00BD13CE" w:rsidRDefault="008676F9" w:rsidP="00A03A77">
      <w:pPr>
        <w:shd w:val="clear" w:color="auto" w:fill="EAF1DD"/>
        <w:ind w:left="1701" w:hanging="1701"/>
        <w:jc w:val="left"/>
        <w:rPr>
          <w:rFonts w:ascii="Calibri" w:eastAsia="Calibri" w:hAnsi="Calibri" w:cs="Calibri"/>
          <w:b/>
          <w:bCs/>
          <w:sz w:val="24"/>
          <w:lang w:eastAsia="en-US"/>
        </w:rPr>
      </w:pPr>
      <w:r w:rsidRPr="008676F9">
        <w:rPr>
          <w:rFonts w:ascii="Calibri" w:eastAsia="Calibri" w:hAnsi="Calibri" w:cs="Calibri"/>
          <w:bCs/>
          <w:lang w:eastAsia="en-US"/>
        </w:rPr>
        <w:t xml:space="preserve">Podopatrenie: </w:t>
      </w:r>
      <w:r w:rsidRPr="008676F9">
        <w:rPr>
          <w:rFonts w:ascii="Calibri" w:eastAsia="Calibri" w:hAnsi="Calibri" w:cs="Calibri"/>
          <w:b/>
          <w:bCs/>
          <w:i/>
          <w:lang w:eastAsia="en-US"/>
        </w:rPr>
        <w:t xml:space="preserve">7.4 </w:t>
      </w:r>
      <w:r w:rsidRPr="00BD13CE">
        <w:rPr>
          <w:rFonts w:ascii="Calibri" w:eastAsia="Calibri" w:hAnsi="Calibri" w:cs="Calibri"/>
          <w:b/>
          <w:bCs/>
          <w:i/>
          <w:sz w:val="24"/>
          <w:lang w:eastAsia="en-US"/>
        </w:rPr>
        <w:t>Podpora investícií do zriaďovania, zlepšenia alebo rozšírenia miestnych základných služieb pre vidiecke obyvateľstvo vrátane služieb v oblasti voľného času a kultúry a do súvisiacej infraštruktúry</w:t>
      </w:r>
    </w:p>
    <w:p w:rsidR="008676F9" w:rsidRPr="008676F9" w:rsidRDefault="008676F9" w:rsidP="006F5151">
      <w:pPr>
        <w:shd w:val="clear" w:color="auto" w:fill="FBD4B4"/>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Názov operácie:</w:t>
      </w:r>
    </w:p>
    <w:p w:rsidR="008676F9" w:rsidRPr="008676F9" w:rsidRDefault="008676F9" w:rsidP="006F5151">
      <w:pPr>
        <w:shd w:val="clear" w:color="auto" w:fill="FBD4B4"/>
        <w:rPr>
          <w:rFonts w:ascii="Calibri" w:eastAsia="Calibri" w:hAnsi="Calibri" w:cs="Calibri"/>
          <w:i/>
          <w:szCs w:val="22"/>
          <w:lang w:eastAsia="en-US"/>
        </w:rPr>
      </w:pPr>
      <w:r w:rsidRPr="008676F9">
        <w:rPr>
          <w:rFonts w:ascii="Calibri" w:eastAsia="Calibri" w:hAnsi="Calibri" w:cs="Calibri"/>
          <w:i/>
          <w:szCs w:val="22"/>
          <w:lang w:eastAsia="en-US"/>
        </w:rPr>
        <w:t>Investície do vytvárania, zlepšovania alebo rozširovania miestnych základných služieb vrátane voľného času a kultúry a súvisiacej infraštruktúry</w:t>
      </w:r>
    </w:p>
    <w:p w:rsidR="008676F9" w:rsidRPr="008676F9" w:rsidRDefault="008676F9" w:rsidP="006F5151">
      <w:pPr>
        <w:rPr>
          <w:rFonts w:ascii="Calibri" w:eastAsia="Calibri" w:hAnsi="Calibri" w:cs="Calibri"/>
          <w:bCs/>
          <w:szCs w:val="22"/>
          <w:u w:val="single"/>
          <w:lang w:eastAsia="en-US"/>
        </w:rPr>
      </w:pPr>
    </w:p>
    <w:p w:rsidR="008676F9" w:rsidRPr="008676F9" w:rsidRDefault="008676F9" w:rsidP="006F5151">
      <w:pPr>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Opis operácie:</w:t>
      </w:r>
    </w:p>
    <w:p w:rsidR="008D12E7" w:rsidRDefault="008D12E7" w:rsidP="00955DA4">
      <w:pPr>
        <w:numPr>
          <w:ilvl w:val="0"/>
          <w:numId w:val="192"/>
        </w:numPr>
        <w:rPr>
          <w:rFonts w:ascii="Calibri" w:hAnsi="Calibri" w:cs="Calibri"/>
          <w:bCs/>
          <w:szCs w:val="22"/>
          <w:lang w:eastAsia="en-US"/>
        </w:rPr>
      </w:pPr>
      <w:r w:rsidRPr="008676F9">
        <w:rPr>
          <w:rFonts w:ascii="Calibri" w:hAnsi="Calibri" w:cs="Calibri"/>
          <w:bCs/>
          <w:szCs w:val="22"/>
          <w:lang w:eastAsia="en-US"/>
        </w:rPr>
        <w:t>investície súvisiace so zlepšovaním vzhľadu obcí a s vytváraním podmienok pre trávenie voľného času vrátane príslušnej infraštruktúry – úprava verejných priestranstiev, tvorba parkov, výstavba/rekonštrukcia/modernizácia športovísk a detských ihrísk, amfiteátrov, investície do rekonštrukcie nevyužívaných objektov v obci pre komunitnú/spolkovú činnosť vrátane rekonštrukcie existujúcich kultúrnych domov;</w:t>
      </w:r>
    </w:p>
    <w:p w:rsidR="008D12E7" w:rsidRDefault="008D12E7" w:rsidP="00955DA4">
      <w:pPr>
        <w:numPr>
          <w:ilvl w:val="0"/>
          <w:numId w:val="192"/>
        </w:numPr>
        <w:rPr>
          <w:rFonts w:ascii="Calibri" w:hAnsi="Calibri" w:cs="Calibri"/>
          <w:bCs/>
          <w:szCs w:val="22"/>
          <w:lang w:eastAsia="en-US"/>
        </w:rPr>
      </w:pPr>
      <w:r>
        <w:rPr>
          <w:rFonts w:ascii="Calibri" w:hAnsi="Calibri" w:cs="Calibri"/>
          <w:bCs/>
          <w:szCs w:val="22"/>
          <w:lang w:eastAsia="en-US"/>
        </w:rPr>
        <w:t>zriadenie nových, prístavba, prestavba, rekonštrukcia a modernizácia existujúcich domov smútku vrátane ich okolia</w:t>
      </w:r>
    </w:p>
    <w:p w:rsidR="008D12E7" w:rsidRPr="008676F9" w:rsidRDefault="008D12E7" w:rsidP="00955DA4">
      <w:pPr>
        <w:numPr>
          <w:ilvl w:val="0"/>
          <w:numId w:val="192"/>
        </w:numPr>
        <w:rPr>
          <w:rFonts w:ascii="Calibri" w:hAnsi="Calibri" w:cs="Calibri"/>
          <w:bCs/>
          <w:szCs w:val="22"/>
          <w:lang w:eastAsia="en-US"/>
        </w:rPr>
      </w:pPr>
      <w:r>
        <w:rPr>
          <w:rFonts w:ascii="Calibri" w:hAnsi="Calibri" w:cs="Calibri"/>
          <w:bCs/>
          <w:szCs w:val="22"/>
          <w:lang w:eastAsia="en-US"/>
        </w:rPr>
        <w:t xml:space="preserve">investície </w:t>
      </w:r>
      <w:r w:rsidR="00195DD8">
        <w:rPr>
          <w:rFonts w:ascii="Calibri" w:hAnsi="Calibri" w:cs="Calibri"/>
          <w:bCs/>
          <w:szCs w:val="22"/>
          <w:lang w:eastAsia="en-US"/>
        </w:rPr>
        <w:t>súvisiace</w:t>
      </w:r>
      <w:r>
        <w:rPr>
          <w:rFonts w:ascii="Calibri" w:hAnsi="Calibri" w:cs="Calibri"/>
          <w:bCs/>
          <w:szCs w:val="22"/>
          <w:lang w:eastAsia="en-US"/>
        </w:rPr>
        <w:t xml:space="preserve"> so zvyšovaním kvality života obyvateľov – investície spojené s odstraňovaním malých tzv. divokých skládok odpadov resp. opusteného odpadu</w:t>
      </w:r>
    </w:p>
    <w:p w:rsidR="008D12E7" w:rsidRPr="008676F9" w:rsidRDefault="008D12E7" w:rsidP="00955DA4">
      <w:pPr>
        <w:numPr>
          <w:ilvl w:val="0"/>
          <w:numId w:val="192"/>
        </w:numPr>
        <w:rPr>
          <w:rFonts w:ascii="Calibri" w:hAnsi="Calibri" w:cs="Calibri"/>
          <w:bCs/>
          <w:szCs w:val="22"/>
          <w:lang w:eastAsia="en-US"/>
        </w:rPr>
      </w:pPr>
      <w:r w:rsidRPr="008676F9">
        <w:rPr>
          <w:rFonts w:ascii="Calibri" w:hAnsi="Calibri" w:cs="Calibri"/>
          <w:bCs/>
          <w:szCs w:val="22"/>
          <w:lang w:eastAsia="en-US"/>
        </w:rPr>
        <w:t xml:space="preserve">Investície súvisiace so zvýšením bezpečnosti a prevencie proti vandalizmu na verejných priestoroch (montáž kamerových systémov a iných bezpečnostných prvkov) </w:t>
      </w:r>
    </w:p>
    <w:p w:rsidR="008D12E7" w:rsidRPr="008676F9" w:rsidRDefault="008D12E7" w:rsidP="00955DA4">
      <w:pPr>
        <w:numPr>
          <w:ilvl w:val="0"/>
          <w:numId w:val="192"/>
        </w:numPr>
        <w:rPr>
          <w:rFonts w:ascii="Calibri" w:hAnsi="Calibri" w:cs="Calibri"/>
          <w:bCs/>
          <w:szCs w:val="22"/>
          <w:lang w:eastAsia="en-US"/>
        </w:rPr>
      </w:pPr>
      <w:r w:rsidRPr="008676F9">
        <w:rPr>
          <w:rFonts w:ascii="Calibri" w:hAnsi="Calibri" w:cs="Calibri"/>
          <w:bCs/>
          <w:szCs w:val="22"/>
          <w:lang w:eastAsia="en-US"/>
        </w:rPr>
        <w:t>investície súvisiace s vytváraním podmienok pre rozvoj podnikania – rekonštrukcie nevyužívaných objektov v obci pre podnikateľskú činnosť, výstavba/rekonštrukcia tržníc pre podporu predaja miestnych produktov</w:t>
      </w:r>
    </w:p>
    <w:p w:rsidR="008676F9" w:rsidRPr="008676F9" w:rsidRDefault="008676F9" w:rsidP="006F5151">
      <w:pPr>
        <w:rPr>
          <w:rFonts w:ascii="Calibri" w:eastAsia="Calibri" w:hAnsi="Calibri" w:cs="Calibri"/>
          <w:bCs/>
          <w:szCs w:val="22"/>
          <w:u w:val="single"/>
          <w:lang w:eastAsia="en-US"/>
        </w:rPr>
      </w:pPr>
    </w:p>
    <w:p w:rsidR="008676F9" w:rsidRPr="008676F9" w:rsidRDefault="008676F9" w:rsidP="006F5151">
      <w:pPr>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Typ podpory:</w:t>
      </w:r>
    </w:p>
    <w:p w:rsidR="008676F9" w:rsidRPr="008676F9" w:rsidRDefault="008676F9" w:rsidP="006F5151">
      <w:pPr>
        <w:rPr>
          <w:rFonts w:ascii="Calibri" w:eastAsia="Calibri" w:hAnsi="Calibri" w:cs="Calibri"/>
          <w:bCs/>
          <w:szCs w:val="22"/>
          <w:lang w:eastAsia="en-US"/>
        </w:rPr>
      </w:pPr>
      <w:r w:rsidRPr="008676F9">
        <w:rPr>
          <w:rFonts w:ascii="Calibri" w:eastAsia="Calibri" w:hAnsi="Calibri" w:cs="Calibri"/>
          <w:bCs/>
          <w:szCs w:val="22"/>
          <w:lang w:eastAsia="en-US"/>
        </w:rPr>
        <w:t>Investičná, nezisková, nenávratný finančný príspevok, možnosť poskytnutia zálohovej platby do výšky 50 % oprávnených nákladov.</w:t>
      </w:r>
    </w:p>
    <w:p w:rsidR="008676F9" w:rsidRPr="008676F9" w:rsidRDefault="008676F9" w:rsidP="006F5151">
      <w:pPr>
        <w:rPr>
          <w:rFonts w:ascii="Calibri" w:eastAsia="Calibri" w:hAnsi="Calibri" w:cs="Calibri"/>
          <w:bCs/>
          <w:szCs w:val="22"/>
          <w:u w:val="single"/>
          <w:lang w:eastAsia="en-US"/>
        </w:rPr>
      </w:pPr>
    </w:p>
    <w:p w:rsidR="008676F9" w:rsidRPr="008676F9" w:rsidRDefault="008676F9" w:rsidP="006F5151">
      <w:pPr>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Súvislosť s inou legislatívou:</w:t>
      </w:r>
    </w:p>
    <w:p w:rsidR="008676F9" w:rsidRPr="008676F9" w:rsidRDefault="008676F9" w:rsidP="006F5151">
      <w:pPr>
        <w:rPr>
          <w:rFonts w:ascii="Calibri" w:eastAsia="Calibri" w:hAnsi="Calibri" w:cs="Calibri"/>
          <w:bCs/>
          <w:szCs w:val="22"/>
          <w:lang w:eastAsia="en-US"/>
        </w:rPr>
      </w:pPr>
      <w:r w:rsidRPr="008676F9">
        <w:rPr>
          <w:rFonts w:ascii="Calibri" w:eastAsia="Calibri" w:hAnsi="Calibri" w:cs="Calibri"/>
          <w:bCs/>
          <w:szCs w:val="22"/>
          <w:lang w:eastAsia="en-US"/>
        </w:rPr>
        <w:t>Národná stratégia regionálneho rozvoja SR</w:t>
      </w:r>
    </w:p>
    <w:p w:rsidR="008676F9" w:rsidRPr="008676F9" w:rsidRDefault="008676F9" w:rsidP="006F5151">
      <w:pPr>
        <w:rPr>
          <w:rFonts w:ascii="Calibri" w:eastAsia="Calibri" w:hAnsi="Calibri" w:cs="Calibri"/>
          <w:bCs/>
          <w:szCs w:val="22"/>
          <w:lang w:eastAsia="en-US"/>
        </w:rPr>
      </w:pPr>
      <w:r w:rsidRPr="008676F9">
        <w:rPr>
          <w:rFonts w:ascii="Calibri" w:eastAsia="Calibri" w:hAnsi="Calibri" w:cs="Calibri"/>
          <w:bCs/>
          <w:szCs w:val="22"/>
          <w:lang w:eastAsia="en-US"/>
        </w:rPr>
        <w:t>Integrovaný regionálny operačný program – doplnkovosť v oblasti revitalizácie nevyužívaných plôch a objektov na ich nové funkčné využitie, ak sa daný projekt bude realizovať prostredníctvom integrovanej územnej stratégie v rámci IROP, nebude oprávnený v rámci PRV.</w:t>
      </w:r>
    </w:p>
    <w:p w:rsidR="008676F9" w:rsidRPr="008676F9" w:rsidRDefault="008676F9" w:rsidP="006F5151">
      <w:pPr>
        <w:rPr>
          <w:rFonts w:ascii="Calibri" w:eastAsia="Calibri" w:hAnsi="Calibri" w:cs="Calibri"/>
          <w:bCs/>
          <w:szCs w:val="22"/>
          <w:u w:val="single"/>
          <w:lang w:eastAsia="en-US"/>
        </w:rPr>
      </w:pPr>
    </w:p>
    <w:p w:rsidR="008676F9" w:rsidRPr="008676F9" w:rsidRDefault="008676F9" w:rsidP="006F5151">
      <w:pPr>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Prijímateľ podpory:</w:t>
      </w:r>
    </w:p>
    <w:p w:rsidR="008676F9" w:rsidRPr="008676F9" w:rsidRDefault="008676F9" w:rsidP="001F5283">
      <w:pPr>
        <w:numPr>
          <w:ilvl w:val="0"/>
          <w:numId w:val="60"/>
        </w:numPr>
        <w:ind w:left="426" w:hanging="426"/>
        <w:rPr>
          <w:rFonts w:ascii="Calibri" w:eastAsia="Calibri" w:hAnsi="Calibri" w:cs="Calibri"/>
          <w:bCs/>
          <w:szCs w:val="22"/>
          <w:u w:val="single"/>
          <w:lang w:eastAsia="en-US"/>
        </w:rPr>
      </w:pPr>
      <w:r w:rsidRPr="008676F9">
        <w:rPr>
          <w:rFonts w:ascii="Calibri" w:eastAsia="Calibri" w:hAnsi="Calibri" w:cs="Calibri"/>
          <w:szCs w:val="22"/>
          <w:lang w:eastAsia="en-US"/>
        </w:rPr>
        <w:t>obce vo vidieckych oblastiach s počtom obyvateľov do 1000</w:t>
      </w:r>
      <w:r w:rsidRPr="008676F9">
        <w:rPr>
          <w:rFonts w:ascii="Calibri" w:eastAsia="SimSun" w:hAnsi="Calibri" w:cs="Calibri"/>
          <w:kern w:val="1"/>
          <w:szCs w:val="22"/>
          <w:lang w:eastAsia="ar-SA"/>
        </w:rPr>
        <w:t>(vrátane)</w:t>
      </w:r>
      <w:r w:rsidRPr="008676F9">
        <w:rPr>
          <w:rFonts w:ascii="Calibri" w:eastAsia="Calibri" w:hAnsi="Calibri" w:cs="Calibri"/>
          <w:szCs w:val="22"/>
          <w:lang w:eastAsia="en-US"/>
        </w:rPr>
        <w:t>;</w:t>
      </w:r>
    </w:p>
    <w:p w:rsidR="008676F9" w:rsidRPr="008676F9" w:rsidRDefault="008676F9" w:rsidP="001F5283">
      <w:pPr>
        <w:numPr>
          <w:ilvl w:val="0"/>
          <w:numId w:val="60"/>
        </w:numPr>
        <w:ind w:left="426" w:hanging="426"/>
        <w:rPr>
          <w:rFonts w:ascii="Calibri" w:eastAsia="Calibri" w:hAnsi="Calibri" w:cs="Calibri"/>
          <w:bCs/>
          <w:szCs w:val="22"/>
          <w:u w:val="single"/>
          <w:lang w:eastAsia="en-US"/>
        </w:rPr>
      </w:pPr>
      <w:r w:rsidRPr="008676F9">
        <w:rPr>
          <w:rFonts w:ascii="Calibri" w:eastAsia="Calibri" w:hAnsi="Calibri" w:cs="Calibri"/>
          <w:szCs w:val="22"/>
          <w:lang w:eastAsia="en-US"/>
        </w:rPr>
        <w:t>združenia/skupiny obcí.</w:t>
      </w:r>
    </w:p>
    <w:p w:rsidR="008676F9" w:rsidRPr="008676F9" w:rsidRDefault="008676F9" w:rsidP="006F5151">
      <w:pPr>
        <w:rPr>
          <w:rFonts w:ascii="Calibri" w:eastAsia="Calibri" w:hAnsi="Calibri" w:cs="Calibri"/>
          <w:bCs/>
          <w:szCs w:val="22"/>
          <w:u w:val="single"/>
          <w:lang w:eastAsia="en-US"/>
        </w:rPr>
      </w:pPr>
    </w:p>
    <w:p w:rsidR="008676F9" w:rsidRPr="008676F9" w:rsidRDefault="008676F9" w:rsidP="006F5151">
      <w:pPr>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Oprávnené náklady:</w:t>
      </w:r>
    </w:p>
    <w:p w:rsidR="008676F9" w:rsidRPr="008676F9" w:rsidRDefault="008676F9" w:rsidP="00955DA4">
      <w:pPr>
        <w:numPr>
          <w:ilvl w:val="0"/>
          <w:numId w:val="120"/>
        </w:numPr>
        <w:ind w:left="714" w:hanging="357"/>
        <w:rPr>
          <w:rFonts w:ascii="Calibri" w:eastAsia="Calibri" w:hAnsi="Calibri" w:cs="Calibri"/>
          <w:szCs w:val="22"/>
          <w:lang w:eastAsia="en-US"/>
        </w:rPr>
      </w:pPr>
      <w:r w:rsidRPr="008676F9">
        <w:rPr>
          <w:rFonts w:ascii="Calibri" w:eastAsia="Calibri" w:hAnsi="Calibri" w:cs="Calibri"/>
          <w:bCs/>
          <w:szCs w:val="22"/>
          <w:lang w:eastAsia="en-US"/>
        </w:rPr>
        <w:t>investície do vytvárania, zlepšovania alebo rozširovania miestnych základných služieb – náklady spojené s úpravou verejných priestranstiev, stavebné náklady spojené s rekonštrukciou nevyužívaných a iných objektov;</w:t>
      </w:r>
    </w:p>
    <w:p w:rsidR="00FF4D9D" w:rsidRDefault="008676F9" w:rsidP="00955DA4">
      <w:pPr>
        <w:numPr>
          <w:ilvl w:val="0"/>
          <w:numId w:val="120"/>
        </w:numPr>
        <w:ind w:left="714" w:hanging="357"/>
        <w:rPr>
          <w:rFonts w:ascii="Calibri" w:eastAsia="Calibri" w:hAnsi="Calibri" w:cs="Calibri"/>
          <w:szCs w:val="22"/>
          <w:lang w:eastAsia="en-US"/>
        </w:rPr>
      </w:pPr>
      <w:r w:rsidRPr="008676F9">
        <w:rPr>
          <w:rFonts w:ascii="Calibri" w:eastAsia="Calibri" w:hAnsi="Calibri" w:cs="Calibri"/>
          <w:szCs w:val="22"/>
          <w:lang w:eastAsia="en-US"/>
        </w:rPr>
        <w:t>súvisiace všeobecné náklady, ako sú  projektová dokumentácia, výdavky súvisiace s verejným obstarávaním a s externým manažmentom projektov</w:t>
      </w:r>
      <w:r w:rsidR="00FF4D9D">
        <w:rPr>
          <w:rFonts w:ascii="Calibri" w:eastAsia="Calibri" w:hAnsi="Calibri" w:cs="Calibri"/>
          <w:szCs w:val="22"/>
          <w:lang w:eastAsia="en-US"/>
        </w:rPr>
        <w:t>;</w:t>
      </w:r>
    </w:p>
    <w:p w:rsidR="008676F9" w:rsidRPr="008676F9" w:rsidRDefault="00FF4D9D" w:rsidP="00955DA4">
      <w:pPr>
        <w:numPr>
          <w:ilvl w:val="0"/>
          <w:numId w:val="120"/>
        </w:numPr>
        <w:ind w:left="714" w:hanging="357"/>
        <w:rPr>
          <w:rFonts w:ascii="Calibri" w:eastAsia="Calibri" w:hAnsi="Calibri" w:cs="Calibri"/>
          <w:szCs w:val="22"/>
          <w:lang w:eastAsia="en-US"/>
        </w:rPr>
      </w:pPr>
      <w:r>
        <w:rPr>
          <w:rFonts w:ascii="Calibri" w:eastAsia="Calibri" w:hAnsi="Calibri" w:cs="Calibri"/>
          <w:szCs w:val="22"/>
          <w:lang w:eastAsia="en-US"/>
        </w:rPr>
        <w:t>náklady na riadenie projektu</w:t>
      </w:r>
      <w:r w:rsidR="008676F9" w:rsidRPr="008676F9">
        <w:rPr>
          <w:rFonts w:ascii="Calibri" w:eastAsia="Calibri" w:hAnsi="Calibri" w:cs="Calibri"/>
          <w:szCs w:val="22"/>
          <w:lang w:eastAsia="en-US"/>
        </w:rPr>
        <w:t>.</w:t>
      </w:r>
    </w:p>
    <w:p w:rsidR="008676F9" w:rsidRPr="008676F9" w:rsidRDefault="008676F9" w:rsidP="006F5151">
      <w:pPr>
        <w:rPr>
          <w:rFonts w:ascii="Calibri" w:eastAsia="Calibri" w:hAnsi="Calibri" w:cs="Calibri"/>
          <w:bCs/>
          <w:szCs w:val="22"/>
          <w:lang w:eastAsia="en-US"/>
        </w:rPr>
      </w:pPr>
    </w:p>
    <w:p w:rsidR="008D12E7" w:rsidRPr="008676F9" w:rsidRDefault="008D12E7" w:rsidP="008D12E7">
      <w:pPr>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Podmienky oprávnenosti:</w:t>
      </w:r>
    </w:p>
    <w:p w:rsidR="008D12E7" w:rsidRPr="00C178B2" w:rsidRDefault="008D12E7" w:rsidP="00CE203B">
      <w:pPr>
        <w:pStyle w:val="Odsekzoznamu"/>
        <w:numPr>
          <w:ilvl w:val="0"/>
          <w:numId w:val="380"/>
        </w:numPr>
        <w:rPr>
          <w:rFonts w:ascii="Calibri" w:eastAsia="Calibri" w:hAnsi="Calibri" w:cs="Calibri"/>
          <w:bCs/>
          <w:szCs w:val="22"/>
          <w:lang w:eastAsia="en-US"/>
        </w:rPr>
      </w:pPr>
      <w:r w:rsidRPr="00C178B2">
        <w:rPr>
          <w:rFonts w:ascii="Calibri" w:eastAsia="Calibri" w:hAnsi="Calibri" w:cs="Calibri"/>
          <w:bCs/>
          <w:szCs w:val="22"/>
          <w:lang w:eastAsia="en-US"/>
        </w:rPr>
        <w:t>Investície v rámci tejto operácie sú oprávnené na podporu, ak sa príslušné operácie vykonávajú v súlade s plánmi rozvoja obcí a dedín vo vidieckych oblastiach a ich základných služieb, ak takéto plány existujú, a sú konzistentné s akoukoľvek príslušnou stratégiou miestneho rozvoja.</w:t>
      </w:r>
    </w:p>
    <w:p w:rsidR="008D12E7" w:rsidRPr="008676F9" w:rsidRDefault="008D12E7" w:rsidP="001F5283">
      <w:pPr>
        <w:numPr>
          <w:ilvl w:val="0"/>
          <w:numId w:val="41"/>
        </w:numPr>
        <w:ind w:left="426" w:hanging="426"/>
        <w:contextualSpacing/>
        <w:rPr>
          <w:rFonts w:ascii="Calibri" w:hAnsi="Calibri" w:cs="Calibri"/>
          <w:bCs/>
          <w:szCs w:val="22"/>
          <w:u w:val="single"/>
          <w:lang w:eastAsia="en-US"/>
        </w:rPr>
      </w:pPr>
      <w:r>
        <w:rPr>
          <w:rFonts w:ascii="Calibri" w:hAnsi="Calibri" w:cs="Calibri"/>
          <w:bCs/>
          <w:szCs w:val="22"/>
          <w:lang w:eastAsia="en-US"/>
        </w:rPr>
        <w:t>Povinnosť uplatňovať sociálny aspekt pri verejnom obstarávaní.</w:t>
      </w:r>
    </w:p>
    <w:p w:rsidR="008D12E7" w:rsidRPr="008676F9" w:rsidRDefault="008D12E7" w:rsidP="008D12E7">
      <w:pPr>
        <w:contextualSpacing/>
        <w:rPr>
          <w:rFonts w:ascii="Calibri" w:eastAsia="Calibri" w:hAnsi="Calibri" w:cs="Calibri"/>
          <w:bCs/>
          <w:szCs w:val="22"/>
          <w:lang w:eastAsia="en-US"/>
        </w:rPr>
      </w:pPr>
    </w:p>
    <w:p w:rsidR="008D12E7" w:rsidRPr="008676F9" w:rsidRDefault="008D12E7" w:rsidP="008D12E7">
      <w:pPr>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Princípy nastavenia výberových kritérií:</w:t>
      </w:r>
    </w:p>
    <w:p w:rsidR="008D12E7" w:rsidRDefault="008D12E7" w:rsidP="001F5283">
      <w:pPr>
        <w:numPr>
          <w:ilvl w:val="0"/>
          <w:numId w:val="41"/>
        </w:numPr>
        <w:suppressAutoHyphens/>
        <w:rPr>
          <w:rFonts w:ascii="Calibri" w:eastAsia="SimSun" w:hAnsi="Calibri" w:cs="Calibri"/>
          <w:bCs/>
          <w:kern w:val="1"/>
          <w:szCs w:val="22"/>
          <w:lang w:eastAsia="ar-SA"/>
        </w:rPr>
      </w:pPr>
      <w:r>
        <w:rPr>
          <w:rFonts w:ascii="Calibri" w:eastAsia="SimSun" w:hAnsi="Calibri" w:cs="Calibri"/>
          <w:bCs/>
          <w:kern w:val="1"/>
          <w:szCs w:val="22"/>
          <w:lang w:eastAsia="ar-SA"/>
        </w:rPr>
        <w:t>komplexnosť, udržateľnosť, realizovateľnosť, hospodárnosť a efektívnosť projektu;</w:t>
      </w:r>
    </w:p>
    <w:p w:rsidR="008D12E7" w:rsidRPr="008676F9" w:rsidRDefault="008D12E7" w:rsidP="001F5283">
      <w:pPr>
        <w:numPr>
          <w:ilvl w:val="0"/>
          <w:numId w:val="41"/>
        </w:numPr>
        <w:rPr>
          <w:rFonts w:ascii="Calibri" w:eastAsia="Calibri" w:hAnsi="Calibri" w:cs="Calibri"/>
          <w:bCs/>
          <w:szCs w:val="22"/>
          <w:lang w:eastAsia="en-US"/>
        </w:rPr>
      </w:pPr>
      <w:r>
        <w:rPr>
          <w:rFonts w:ascii="Calibri" w:eastAsia="Calibri" w:hAnsi="Calibri" w:cs="Calibri"/>
          <w:bCs/>
          <w:szCs w:val="22"/>
          <w:lang w:eastAsia="en-US"/>
        </w:rPr>
        <w:t>u</w:t>
      </w:r>
      <w:r w:rsidRPr="008676F9">
        <w:rPr>
          <w:rFonts w:ascii="Calibri" w:eastAsia="Calibri" w:hAnsi="Calibri" w:cs="Calibri"/>
          <w:bCs/>
          <w:szCs w:val="22"/>
          <w:lang w:eastAsia="en-US"/>
        </w:rPr>
        <w:t>prednostnené budú projekty súvisiace s ekonomickým rozvojom</w:t>
      </w:r>
      <w:r>
        <w:rPr>
          <w:rFonts w:ascii="Calibri" w:eastAsia="Calibri" w:hAnsi="Calibri" w:cs="Calibri"/>
          <w:bCs/>
          <w:szCs w:val="22"/>
          <w:lang w:eastAsia="en-US"/>
        </w:rPr>
        <w:t>;</w:t>
      </w:r>
    </w:p>
    <w:p w:rsidR="008D12E7" w:rsidRDefault="008D12E7" w:rsidP="001F5283">
      <w:pPr>
        <w:numPr>
          <w:ilvl w:val="0"/>
          <w:numId w:val="41"/>
        </w:numPr>
        <w:rPr>
          <w:rFonts w:ascii="Calibri" w:eastAsia="Calibri" w:hAnsi="Calibri" w:cs="Calibri"/>
          <w:bCs/>
          <w:szCs w:val="22"/>
          <w:lang w:eastAsia="en-US"/>
        </w:rPr>
      </w:pPr>
      <w:r>
        <w:rPr>
          <w:rFonts w:ascii="Calibri" w:eastAsia="Calibri" w:hAnsi="Calibri" w:cs="Calibri"/>
          <w:bCs/>
          <w:szCs w:val="22"/>
          <w:lang w:eastAsia="en-US"/>
        </w:rPr>
        <w:t>u</w:t>
      </w:r>
      <w:r w:rsidRPr="008676F9">
        <w:rPr>
          <w:rFonts w:ascii="Calibri" w:eastAsia="Calibri" w:hAnsi="Calibri" w:cs="Calibri"/>
          <w:bCs/>
          <w:szCs w:val="22"/>
          <w:lang w:eastAsia="en-US"/>
        </w:rPr>
        <w:t>prednostnené budú projekty, v rámci ktorých budú mať realizované operácie dopad na širšie územie viacerých katastrov obcí a budú predkladané združeniami/skupinami obcí</w:t>
      </w:r>
    </w:p>
    <w:p w:rsidR="008D12E7" w:rsidRPr="008676F9" w:rsidRDefault="008D12E7" w:rsidP="001F5283">
      <w:pPr>
        <w:numPr>
          <w:ilvl w:val="0"/>
          <w:numId w:val="41"/>
        </w:numPr>
        <w:rPr>
          <w:rFonts w:ascii="Calibri" w:eastAsia="Calibri" w:hAnsi="Calibri" w:cs="Calibri"/>
          <w:bCs/>
          <w:szCs w:val="22"/>
          <w:lang w:eastAsia="en-US"/>
        </w:rPr>
      </w:pPr>
      <w:r>
        <w:rPr>
          <w:rFonts w:ascii="Calibri" w:hAnsi="Calibri" w:cs="Calibri"/>
          <w:bCs/>
          <w:szCs w:val="22"/>
          <w:lang w:eastAsia="en-US"/>
        </w:rPr>
        <w:t>uprednostnené budú projekty obcí do 500 obyvateľov (vrátane) pred projektmi obcí s vyšším počtom obyvateľov</w:t>
      </w:r>
      <w:r w:rsidRPr="008676F9">
        <w:rPr>
          <w:rFonts w:ascii="Calibri" w:eastAsia="Calibri" w:hAnsi="Calibri" w:cs="Calibri"/>
          <w:bCs/>
          <w:szCs w:val="22"/>
          <w:lang w:eastAsia="en-US"/>
        </w:rPr>
        <w:t>.</w:t>
      </w:r>
    </w:p>
    <w:p w:rsidR="008676F9" w:rsidRPr="008676F9" w:rsidRDefault="008676F9" w:rsidP="006F5151">
      <w:pPr>
        <w:rPr>
          <w:rFonts w:ascii="Calibri" w:eastAsia="Calibri" w:hAnsi="Calibri" w:cs="Calibri"/>
          <w:bCs/>
          <w:szCs w:val="22"/>
          <w:u w:val="single"/>
          <w:lang w:eastAsia="en-US"/>
        </w:rPr>
      </w:pPr>
    </w:p>
    <w:p w:rsidR="008676F9" w:rsidRPr="008676F9" w:rsidRDefault="008676F9" w:rsidP="006F5151">
      <w:pPr>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Výška a miera podpory:</w:t>
      </w:r>
    </w:p>
    <w:p w:rsidR="002E78E6" w:rsidRDefault="008676F9" w:rsidP="006F5151">
      <w:pPr>
        <w:rPr>
          <w:rFonts w:ascii="Calibri" w:eastAsia="Calibri" w:hAnsi="Calibri" w:cs="Calibri"/>
          <w:szCs w:val="22"/>
          <w:lang w:eastAsia="en-US"/>
        </w:rPr>
      </w:pPr>
      <w:r w:rsidRPr="008676F9">
        <w:rPr>
          <w:rFonts w:ascii="Calibri" w:eastAsia="Calibri" w:hAnsi="Calibri" w:cs="Calibri"/>
          <w:szCs w:val="22"/>
          <w:lang w:eastAsia="en-US"/>
        </w:rPr>
        <w:t xml:space="preserve">Max. </w:t>
      </w:r>
      <w:r w:rsidR="002E78E6">
        <w:rPr>
          <w:rFonts w:ascii="Calibri" w:eastAsia="Calibri" w:hAnsi="Calibri" w:cs="Calibri"/>
          <w:szCs w:val="22"/>
          <w:lang w:eastAsia="en-US"/>
        </w:rPr>
        <w:t>výška podpory z celkových oprávnených nákladov:</w:t>
      </w:r>
    </w:p>
    <w:p w:rsidR="008676F9" w:rsidRPr="002E78E6" w:rsidRDefault="002E78E6" w:rsidP="00955DA4">
      <w:pPr>
        <w:pStyle w:val="Odsekzoznamu"/>
        <w:numPr>
          <w:ilvl w:val="0"/>
          <w:numId w:val="189"/>
        </w:numPr>
        <w:rPr>
          <w:rFonts w:ascii="Calibri" w:eastAsia="Calibri" w:hAnsi="Calibri" w:cs="Calibri"/>
          <w:szCs w:val="22"/>
          <w:lang w:eastAsia="en-US"/>
        </w:rPr>
      </w:pPr>
      <w:r>
        <w:rPr>
          <w:rFonts w:ascii="Calibri" w:eastAsia="Calibri" w:hAnsi="Calibri" w:cs="Calibri"/>
          <w:szCs w:val="22"/>
          <w:lang w:eastAsia="en-US"/>
        </w:rPr>
        <w:t>100 %</w:t>
      </w:r>
      <w:r w:rsidR="00FF4D9D">
        <w:rPr>
          <w:rFonts w:ascii="Calibri" w:eastAsia="Calibri" w:hAnsi="Calibri" w:cs="Calibri"/>
          <w:szCs w:val="22"/>
          <w:lang w:eastAsia="en-US"/>
        </w:rPr>
        <w:t xml:space="preserve"> s maximálnym limitom 150 000 </w:t>
      </w:r>
      <w:r w:rsidR="00646537">
        <w:rPr>
          <w:rFonts w:ascii="Calibri" w:eastAsia="Calibri" w:hAnsi="Calibri" w:cs="Calibri"/>
          <w:szCs w:val="22"/>
          <w:lang w:eastAsia="en-US"/>
        </w:rPr>
        <w:t>€</w:t>
      </w:r>
      <w:r w:rsidR="00FF4D9D">
        <w:rPr>
          <w:rFonts w:ascii="Calibri" w:eastAsia="Calibri" w:hAnsi="Calibri" w:cs="Calibri"/>
          <w:szCs w:val="22"/>
          <w:lang w:eastAsia="en-US"/>
        </w:rPr>
        <w:t>.</w:t>
      </w:r>
    </w:p>
    <w:p w:rsidR="00BD13CE" w:rsidRDefault="00BD13CE">
      <w:pPr>
        <w:jc w:val="left"/>
        <w:rPr>
          <w:rFonts w:ascii="Calibri" w:eastAsia="Calibri" w:hAnsi="Calibri" w:cs="Calibri"/>
          <w:szCs w:val="22"/>
          <w:lang w:eastAsia="en-US"/>
        </w:rPr>
      </w:pPr>
      <w:r>
        <w:rPr>
          <w:rFonts w:ascii="Calibri" w:eastAsia="Calibri" w:hAnsi="Calibri" w:cs="Calibri"/>
          <w:szCs w:val="22"/>
          <w:lang w:eastAsia="en-US"/>
        </w:rPr>
        <w:br w:type="page"/>
      </w:r>
    </w:p>
    <w:p w:rsidR="008676F9" w:rsidRPr="008676F9" w:rsidRDefault="008676F9" w:rsidP="00BD13CE">
      <w:pPr>
        <w:shd w:val="clear" w:color="auto" w:fill="EAF1DD"/>
        <w:suppressAutoHyphens/>
        <w:ind w:left="1843" w:hanging="1843"/>
        <w:rPr>
          <w:rFonts w:ascii="Calibri" w:eastAsia="SimSun" w:hAnsi="Calibri" w:cs="Calibri"/>
          <w:bCs/>
          <w:kern w:val="1"/>
          <w:szCs w:val="22"/>
          <w:u w:val="single"/>
          <w:lang w:eastAsia="ar-SA"/>
        </w:rPr>
      </w:pPr>
      <w:r w:rsidRPr="008676F9">
        <w:rPr>
          <w:rFonts w:ascii="Calibri" w:eastAsia="SimSun" w:hAnsi="Calibri" w:cs="Calibri"/>
          <w:bCs/>
          <w:kern w:val="1"/>
          <w:lang w:eastAsia="ar-SA"/>
        </w:rPr>
        <w:t xml:space="preserve">Podopatrenie: </w:t>
      </w:r>
      <w:r w:rsidRPr="008676F9">
        <w:rPr>
          <w:rFonts w:ascii="Calibri" w:eastAsia="SimSun" w:hAnsi="Calibri" w:cs="Calibri"/>
          <w:b/>
          <w:bCs/>
          <w:i/>
          <w:kern w:val="1"/>
          <w:lang w:eastAsia="ar-SA"/>
        </w:rPr>
        <w:t xml:space="preserve">7.5 </w:t>
      </w:r>
      <w:r w:rsidRPr="00BD13CE">
        <w:rPr>
          <w:rFonts w:ascii="Calibri" w:eastAsia="SimSun" w:hAnsi="Calibri" w:cs="Calibri"/>
          <w:b/>
          <w:bCs/>
          <w:i/>
          <w:kern w:val="1"/>
          <w:sz w:val="24"/>
          <w:lang w:eastAsia="ar-SA"/>
        </w:rPr>
        <w:t>Podpora investícií pre verejné využívanie rekreačnej infraštruktúry, informačnej a drobnej infraštruktúry cestovného ruchu</w:t>
      </w:r>
      <w:r w:rsidRPr="008676F9">
        <w:rPr>
          <w:rFonts w:ascii="Calibri" w:eastAsia="SimSun" w:hAnsi="Calibri" w:cs="Calibri"/>
          <w:b/>
          <w:bCs/>
          <w:i/>
          <w:kern w:val="1"/>
          <w:lang w:eastAsia="ar-SA"/>
        </w:rPr>
        <w:t xml:space="preserve"> </w:t>
      </w:r>
    </w:p>
    <w:p w:rsidR="008676F9" w:rsidRPr="008676F9" w:rsidRDefault="008676F9" w:rsidP="006F5151">
      <w:pPr>
        <w:shd w:val="clear" w:color="auto" w:fill="FBD4B4"/>
        <w:suppressAutoHyphens/>
        <w:rPr>
          <w:rFonts w:ascii="Calibri" w:eastAsia="SimSun" w:hAnsi="Calibri" w:cs="Calibri"/>
          <w:i/>
          <w:kern w:val="1"/>
          <w:szCs w:val="22"/>
          <w:lang w:eastAsia="ar-SA"/>
        </w:rPr>
      </w:pPr>
      <w:r w:rsidRPr="008676F9">
        <w:rPr>
          <w:rFonts w:ascii="Calibri" w:eastAsia="SimSun" w:hAnsi="Calibri" w:cs="Calibri"/>
          <w:bCs/>
          <w:kern w:val="1"/>
          <w:szCs w:val="22"/>
          <w:u w:val="single"/>
          <w:lang w:eastAsia="ar-SA"/>
        </w:rPr>
        <w:t>Názov operácie:</w:t>
      </w:r>
    </w:p>
    <w:p w:rsidR="008676F9" w:rsidRPr="008676F9" w:rsidRDefault="008676F9" w:rsidP="006F5151">
      <w:pPr>
        <w:shd w:val="clear" w:color="auto" w:fill="FBD4B4"/>
        <w:suppressAutoHyphens/>
        <w:rPr>
          <w:rFonts w:ascii="Calibri" w:eastAsia="SimSun" w:hAnsi="Calibri" w:cs="Calibri"/>
          <w:bCs/>
          <w:kern w:val="1"/>
          <w:szCs w:val="22"/>
          <w:u w:val="single"/>
          <w:lang w:eastAsia="ar-SA"/>
        </w:rPr>
      </w:pPr>
      <w:r w:rsidRPr="008676F9">
        <w:rPr>
          <w:rFonts w:ascii="Calibri" w:eastAsia="SimSun" w:hAnsi="Calibri" w:cs="Calibri"/>
          <w:i/>
          <w:kern w:val="1"/>
          <w:szCs w:val="22"/>
          <w:lang w:eastAsia="ar-SA"/>
        </w:rPr>
        <w:t xml:space="preserve">Rozvoj a marketing vidieckeho cestovného ruchu </w:t>
      </w:r>
    </w:p>
    <w:p w:rsidR="008676F9" w:rsidRPr="008676F9" w:rsidRDefault="008676F9" w:rsidP="006F5151">
      <w:pPr>
        <w:suppressAutoHyphens/>
        <w:rPr>
          <w:rFonts w:ascii="Calibri" w:eastAsia="SimSun" w:hAnsi="Calibri" w:cs="Calibri"/>
          <w:bCs/>
          <w:kern w:val="1"/>
          <w:szCs w:val="22"/>
          <w:u w:val="single"/>
          <w:lang w:eastAsia="ar-SA"/>
        </w:rPr>
      </w:pPr>
    </w:p>
    <w:p w:rsidR="008676F9" w:rsidRPr="008676F9" w:rsidRDefault="008676F9" w:rsidP="006F5151">
      <w:pPr>
        <w:suppressAutoHyphens/>
        <w:rPr>
          <w:rFonts w:ascii="Calibri" w:eastAsia="SimSun" w:hAnsi="Calibri" w:cs="Calibri"/>
          <w:bCs/>
          <w:i/>
          <w:kern w:val="1"/>
          <w:szCs w:val="22"/>
          <w:lang w:eastAsia="ar-SA"/>
        </w:rPr>
      </w:pPr>
      <w:r w:rsidRPr="008676F9">
        <w:rPr>
          <w:rFonts w:ascii="Calibri" w:eastAsia="SimSun" w:hAnsi="Calibri" w:cs="Calibri"/>
          <w:bCs/>
          <w:kern w:val="1"/>
          <w:szCs w:val="22"/>
          <w:u w:val="single"/>
          <w:lang w:eastAsia="ar-SA"/>
        </w:rPr>
        <w:t>Opis operácie:</w:t>
      </w:r>
    </w:p>
    <w:p w:rsidR="008D12E7" w:rsidRPr="008676F9" w:rsidRDefault="008D12E7" w:rsidP="00955DA4">
      <w:pPr>
        <w:numPr>
          <w:ilvl w:val="0"/>
          <w:numId w:val="194"/>
        </w:numPr>
        <w:suppressAutoHyphens/>
        <w:rPr>
          <w:rFonts w:ascii="Calibri" w:eastAsia="SimSun" w:hAnsi="Calibri" w:cs="Calibri"/>
          <w:bCs/>
          <w:kern w:val="1"/>
          <w:szCs w:val="22"/>
          <w:lang w:eastAsia="ar-SA"/>
        </w:rPr>
      </w:pPr>
      <w:r w:rsidRPr="008676F9">
        <w:rPr>
          <w:rFonts w:ascii="Calibri" w:eastAsia="SimSun" w:hAnsi="Calibri" w:cs="Calibri"/>
          <w:bCs/>
          <w:kern w:val="1"/>
          <w:szCs w:val="22"/>
          <w:lang w:eastAsia="ar-SA"/>
        </w:rPr>
        <w:t>investície, ktoré súvisia s vytvorením, udržiavaním, obnovou a skvalitňovaním turisticky zaujímavých bodov a miest vrátane príslušnej infraštruktúry  - kultúrne a prírodné dedičstvo,</w:t>
      </w:r>
      <w:r>
        <w:rPr>
          <w:rFonts w:ascii="Calibri" w:eastAsia="SimSun" w:hAnsi="Calibri" w:cs="Calibri"/>
          <w:bCs/>
          <w:kern w:val="1"/>
          <w:szCs w:val="22"/>
          <w:lang w:eastAsia="ar-SA"/>
        </w:rPr>
        <w:t xml:space="preserve"> </w:t>
      </w:r>
      <w:r w:rsidRPr="003231FD">
        <w:rPr>
          <w:rFonts w:ascii="Calibri" w:eastAsia="SimSun" w:hAnsi="Calibri" w:cs="Calibri"/>
          <w:bCs/>
          <w:kern w:val="1"/>
          <w:szCs w:val="22"/>
          <w:lang w:eastAsia="ar-SA"/>
        </w:rPr>
        <w:t>národné kultúrne pamiatky a pamiatkové územia</w:t>
      </w:r>
      <w:r>
        <w:rPr>
          <w:rFonts w:ascii="Calibri" w:eastAsia="SimSun" w:hAnsi="Calibri" w:cs="Calibri"/>
          <w:bCs/>
          <w:kern w:val="1"/>
          <w:szCs w:val="22"/>
          <w:lang w:eastAsia="ar-SA"/>
        </w:rPr>
        <w:t>,</w:t>
      </w:r>
      <w:r w:rsidRPr="008676F9">
        <w:rPr>
          <w:rFonts w:ascii="Calibri" w:eastAsia="SimSun" w:hAnsi="Calibri" w:cs="Calibri"/>
          <w:bCs/>
          <w:kern w:val="1"/>
          <w:szCs w:val="22"/>
          <w:lang w:eastAsia="ar-SA"/>
        </w:rPr>
        <w:t xml:space="preserve"> prírodné úkazy, historické, prírodné a iné zaujímavosti, </w:t>
      </w:r>
      <w:r w:rsidRPr="003231FD">
        <w:rPr>
          <w:rFonts w:ascii="Calibri" w:eastAsia="SimSun" w:hAnsi="Calibri" w:cs="Calibri"/>
          <w:bCs/>
          <w:kern w:val="1"/>
          <w:szCs w:val="22"/>
          <w:lang w:eastAsia="ar-SA"/>
        </w:rPr>
        <w:t>zriadenie múzejných zariadení a galerijných zariadení</w:t>
      </w:r>
      <w:r>
        <w:rPr>
          <w:rFonts w:ascii="Calibri" w:eastAsia="SimSun" w:hAnsi="Calibri" w:cs="Calibri"/>
          <w:bCs/>
          <w:kern w:val="1"/>
          <w:szCs w:val="22"/>
          <w:lang w:eastAsia="ar-SA"/>
        </w:rPr>
        <w:t xml:space="preserve"> </w:t>
      </w:r>
      <w:r w:rsidRPr="008676F9">
        <w:rPr>
          <w:rFonts w:ascii="Calibri" w:eastAsia="SimSun" w:hAnsi="Calibri" w:cs="Calibri"/>
          <w:bCs/>
          <w:kern w:val="1"/>
          <w:szCs w:val="22"/>
          <w:lang w:eastAsia="ar-SA"/>
        </w:rPr>
        <w:t>a pod.;</w:t>
      </w:r>
    </w:p>
    <w:p w:rsidR="008676F9" w:rsidRPr="008676F9" w:rsidRDefault="008676F9" w:rsidP="00955DA4">
      <w:pPr>
        <w:numPr>
          <w:ilvl w:val="0"/>
          <w:numId w:val="194"/>
        </w:numPr>
        <w:suppressAutoHyphens/>
        <w:rPr>
          <w:rFonts w:ascii="Calibri" w:eastAsia="SimSun" w:hAnsi="Calibri" w:cs="Calibri"/>
          <w:bCs/>
          <w:kern w:val="1"/>
          <w:szCs w:val="22"/>
          <w:lang w:eastAsia="ar-SA"/>
        </w:rPr>
      </w:pPr>
      <w:r w:rsidRPr="008676F9">
        <w:rPr>
          <w:rFonts w:ascii="Calibri" w:eastAsia="SimSun" w:hAnsi="Calibri" w:cs="Calibri"/>
          <w:bCs/>
          <w:kern w:val="1"/>
          <w:szCs w:val="22"/>
          <w:lang w:eastAsia="ar-SA"/>
        </w:rPr>
        <w:t xml:space="preserve">investície do rekreačnej infraštruktúry, turistických informácií a informačných tabúľ v turistických lokalitách  na verejné využitie, budovanie drobných obslužných zariadení pre turistov; </w:t>
      </w:r>
    </w:p>
    <w:p w:rsidR="008676F9" w:rsidRPr="008676F9" w:rsidRDefault="008676F9" w:rsidP="00955DA4">
      <w:pPr>
        <w:numPr>
          <w:ilvl w:val="0"/>
          <w:numId w:val="194"/>
        </w:numPr>
        <w:suppressAutoHyphens/>
        <w:rPr>
          <w:rFonts w:ascii="Calibri" w:eastAsia="SimSun" w:hAnsi="Calibri" w:cs="Calibri"/>
          <w:bCs/>
          <w:kern w:val="1"/>
          <w:szCs w:val="22"/>
          <w:lang w:eastAsia="ar-SA"/>
        </w:rPr>
      </w:pPr>
      <w:r w:rsidRPr="008676F9">
        <w:rPr>
          <w:rFonts w:ascii="Calibri" w:eastAsia="SimSun" w:hAnsi="Calibri" w:cs="Calibri"/>
          <w:bCs/>
          <w:kern w:val="1"/>
          <w:szCs w:val="22"/>
          <w:lang w:eastAsia="ar-SA"/>
        </w:rPr>
        <w:t xml:space="preserve">marketing a manažment služieb vidieckeho cestovného ruchu </w:t>
      </w:r>
      <w:r w:rsidR="00FF4D9D">
        <w:rPr>
          <w:rFonts w:ascii="Calibri" w:eastAsia="SimSun" w:hAnsi="Calibri" w:cs="Calibri"/>
          <w:bCs/>
          <w:kern w:val="1"/>
          <w:szCs w:val="22"/>
          <w:lang w:eastAsia="ar-SA"/>
        </w:rPr>
        <w:t xml:space="preserve">a </w:t>
      </w:r>
      <w:r w:rsidRPr="008676F9">
        <w:rPr>
          <w:rFonts w:ascii="Calibri" w:eastAsia="SimSun" w:hAnsi="Calibri" w:cs="Calibri"/>
          <w:bCs/>
          <w:kern w:val="1"/>
          <w:szCs w:val="22"/>
          <w:lang w:eastAsia="ar-SA"/>
        </w:rPr>
        <w:t>propagácie územia rôznymi formami (tlačené</w:t>
      </w:r>
      <w:r w:rsidR="00FF4D9D">
        <w:rPr>
          <w:rFonts w:ascii="Calibri" w:eastAsia="SimSun" w:hAnsi="Calibri" w:cs="Calibri"/>
          <w:bCs/>
          <w:kern w:val="1"/>
          <w:szCs w:val="22"/>
          <w:lang w:eastAsia="ar-SA"/>
        </w:rPr>
        <w:t>/</w:t>
      </w:r>
      <w:r w:rsidRPr="008676F9">
        <w:rPr>
          <w:rFonts w:ascii="Calibri" w:eastAsia="SimSun" w:hAnsi="Calibri" w:cs="Calibri"/>
          <w:bCs/>
          <w:kern w:val="1"/>
          <w:szCs w:val="22"/>
          <w:lang w:eastAsia="ar-SA"/>
        </w:rPr>
        <w:t>elektronické</w:t>
      </w:r>
      <w:r w:rsidR="00FF4D9D">
        <w:rPr>
          <w:rFonts w:ascii="Calibri" w:eastAsia="SimSun" w:hAnsi="Calibri" w:cs="Calibri"/>
          <w:bCs/>
          <w:kern w:val="1"/>
          <w:szCs w:val="22"/>
          <w:lang w:eastAsia="ar-SA"/>
        </w:rPr>
        <w:t xml:space="preserve"> formy propagácie</w:t>
      </w:r>
      <w:r w:rsidRPr="008676F9">
        <w:rPr>
          <w:rFonts w:ascii="Calibri" w:eastAsia="SimSun" w:hAnsi="Calibri" w:cs="Calibri"/>
          <w:bCs/>
          <w:kern w:val="1"/>
          <w:szCs w:val="22"/>
          <w:lang w:eastAsia="ar-SA"/>
        </w:rPr>
        <w:t>, podujatia zamerané na propagáciu , veľtrhy ...);</w:t>
      </w:r>
    </w:p>
    <w:p w:rsidR="008676F9" w:rsidRPr="008676F9" w:rsidRDefault="008676F9" w:rsidP="00955DA4">
      <w:pPr>
        <w:numPr>
          <w:ilvl w:val="0"/>
          <w:numId w:val="193"/>
        </w:numPr>
        <w:suppressAutoHyphens/>
        <w:rPr>
          <w:rFonts w:ascii="Calibri" w:eastAsia="SimSun" w:hAnsi="Calibri" w:cs="Calibri"/>
          <w:bCs/>
          <w:kern w:val="1"/>
          <w:szCs w:val="22"/>
          <w:lang w:eastAsia="ar-SA"/>
        </w:rPr>
      </w:pPr>
      <w:r w:rsidRPr="008676F9">
        <w:rPr>
          <w:rFonts w:ascii="Calibri" w:eastAsia="SimSun" w:hAnsi="Calibri" w:cs="Calibri"/>
          <w:bCs/>
          <w:kern w:val="1"/>
          <w:szCs w:val="22"/>
          <w:lang w:eastAsia="ar-SA"/>
        </w:rPr>
        <w:t>budovanie, rekonštrukcia náučných chodníkov, cykloturistických chodníkov, ich napojenie na náučné chodníky, budovanie doplnkovej infraštruktúry (odpočinkové miesta, prístrešk</w:t>
      </w:r>
      <w:r w:rsidR="00FF4D9D">
        <w:rPr>
          <w:rFonts w:ascii="Calibri" w:eastAsia="SimSun" w:hAnsi="Calibri" w:cs="Calibri"/>
          <w:bCs/>
          <w:kern w:val="1"/>
          <w:szCs w:val="22"/>
          <w:lang w:eastAsia="ar-SA"/>
        </w:rPr>
        <w:t>y</w:t>
      </w:r>
      <w:r w:rsidRPr="008676F9">
        <w:rPr>
          <w:rFonts w:ascii="Calibri" w:eastAsia="SimSun" w:hAnsi="Calibri" w:cs="Calibri"/>
          <w:bCs/>
          <w:kern w:val="1"/>
          <w:szCs w:val="22"/>
          <w:lang w:eastAsia="ar-SA"/>
        </w:rPr>
        <w:t>, stojany na bicykle a pod.), výstavba vyhliadkových veží, budovanie, údržba a obnova cykloturistického značenia na existujúcich cykloturistických trasách;</w:t>
      </w:r>
    </w:p>
    <w:p w:rsidR="008676F9" w:rsidRPr="008676F9" w:rsidRDefault="008676F9" w:rsidP="00955DA4">
      <w:pPr>
        <w:numPr>
          <w:ilvl w:val="0"/>
          <w:numId w:val="193"/>
        </w:numPr>
        <w:suppressAutoHyphens/>
        <w:rPr>
          <w:rFonts w:ascii="Calibri" w:eastAsia="SimSun" w:hAnsi="Calibri" w:cs="Calibri"/>
          <w:bCs/>
          <w:kern w:val="1"/>
          <w:szCs w:val="22"/>
          <w:u w:val="single"/>
          <w:lang w:eastAsia="ar-SA"/>
        </w:rPr>
      </w:pPr>
      <w:r w:rsidRPr="008676F9">
        <w:rPr>
          <w:rFonts w:ascii="Calibri" w:eastAsia="SimSun" w:hAnsi="Calibri" w:cs="Calibri"/>
          <w:bCs/>
          <w:kern w:val="1"/>
          <w:szCs w:val="22"/>
          <w:lang w:eastAsia="ar-SA"/>
        </w:rPr>
        <w:t>informačné body, smerové tabule, KIOSK.</w:t>
      </w:r>
    </w:p>
    <w:p w:rsidR="008676F9" w:rsidRPr="008676F9" w:rsidRDefault="008676F9" w:rsidP="006F5151">
      <w:pPr>
        <w:suppressAutoHyphens/>
        <w:rPr>
          <w:rFonts w:ascii="Calibri" w:eastAsia="SimSun" w:hAnsi="Calibri" w:cs="Calibri"/>
          <w:bCs/>
          <w:kern w:val="1"/>
          <w:szCs w:val="22"/>
          <w:u w:val="single"/>
          <w:lang w:eastAsia="ar-SA"/>
        </w:rPr>
      </w:pPr>
    </w:p>
    <w:p w:rsidR="008676F9" w:rsidRPr="008676F9" w:rsidRDefault="008676F9" w:rsidP="006F5151">
      <w:pPr>
        <w:suppressAutoHyphens/>
        <w:rPr>
          <w:rFonts w:ascii="Calibri" w:eastAsia="SimSun" w:hAnsi="Calibri" w:cs="Calibri"/>
          <w:bCs/>
          <w:kern w:val="1"/>
          <w:szCs w:val="22"/>
          <w:lang w:eastAsia="ar-SA"/>
        </w:rPr>
      </w:pPr>
      <w:r w:rsidRPr="008676F9">
        <w:rPr>
          <w:rFonts w:ascii="Calibri" w:eastAsia="SimSun" w:hAnsi="Calibri" w:cs="Calibri"/>
          <w:bCs/>
          <w:kern w:val="1"/>
          <w:szCs w:val="22"/>
          <w:u w:val="single"/>
          <w:lang w:eastAsia="ar-SA"/>
        </w:rPr>
        <w:t>Typ podpory:</w:t>
      </w:r>
    </w:p>
    <w:p w:rsidR="008676F9" w:rsidRPr="008676F9" w:rsidRDefault="008676F9" w:rsidP="006F5151">
      <w:pPr>
        <w:suppressAutoHyphens/>
        <w:rPr>
          <w:rFonts w:ascii="Calibri" w:eastAsia="SimSun" w:hAnsi="Calibri" w:cs="Calibri"/>
          <w:bCs/>
          <w:kern w:val="1"/>
          <w:szCs w:val="22"/>
          <w:u w:val="single"/>
          <w:lang w:eastAsia="ar-SA"/>
        </w:rPr>
      </w:pPr>
      <w:r w:rsidRPr="008676F9">
        <w:rPr>
          <w:rFonts w:ascii="Calibri" w:eastAsia="SimSun" w:hAnsi="Calibri" w:cs="Calibri"/>
          <w:bCs/>
          <w:kern w:val="1"/>
          <w:szCs w:val="22"/>
          <w:lang w:eastAsia="ar-SA"/>
        </w:rPr>
        <w:t>Investičná/neinvestičná, nezisková, nenávratný finančný príspevok, možnosť poskytnutia zálohovej platby do výšky 50 % oprávnených nákladov.</w:t>
      </w:r>
    </w:p>
    <w:p w:rsidR="008676F9" w:rsidRPr="008676F9" w:rsidRDefault="008676F9" w:rsidP="006F5151">
      <w:pPr>
        <w:suppressAutoHyphens/>
        <w:rPr>
          <w:rFonts w:ascii="Calibri" w:eastAsia="SimSun" w:hAnsi="Calibri" w:cs="Calibri"/>
          <w:bCs/>
          <w:kern w:val="1"/>
          <w:szCs w:val="22"/>
          <w:u w:val="single"/>
          <w:lang w:eastAsia="ar-SA"/>
        </w:rPr>
      </w:pPr>
    </w:p>
    <w:p w:rsidR="008676F9" w:rsidRPr="008676F9" w:rsidRDefault="008676F9" w:rsidP="006F5151">
      <w:pPr>
        <w:suppressAutoHyphens/>
        <w:rPr>
          <w:rFonts w:ascii="Calibri" w:eastAsia="SimSun" w:hAnsi="Calibri" w:cs="Calibri"/>
          <w:bCs/>
          <w:kern w:val="1"/>
          <w:szCs w:val="22"/>
          <w:lang w:eastAsia="ar-SA"/>
        </w:rPr>
      </w:pPr>
      <w:r w:rsidRPr="008676F9">
        <w:rPr>
          <w:rFonts w:ascii="Calibri" w:eastAsia="SimSun" w:hAnsi="Calibri" w:cs="Calibri"/>
          <w:bCs/>
          <w:kern w:val="1"/>
          <w:szCs w:val="22"/>
          <w:u w:val="single"/>
          <w:lang w:eastAsia="ar-SA"/>
        </w:rPr>
        <w:t>Súvislosť s inou legislatívou:</w:t>
      </w:r>
    </w:p>
    <w:p w:rsidR="008676F9" w:rsidRPr="008676F9" w:rsidRDefault="008676F9" w:rsidP="00955DA4">
      <w:pPr>
        <w:numPr>
          <w:ilvl w:val="0"/>
          <w:numId w:val="180"/>
        </w:numPr>
        <w:suppressAutoHyphens/>
        <w:ind w:left="720"/>
        <w:rPr>
          <w:rFonts w:ascii="Calibri" w:hAnsi="Calibri" w:cs="Calibri"/>
          <w:kern w:val="1"/>
          <w:szCs w:val="22"/>
          <w:lang w:eastAsia="ar-SA"/>
        </w:rPr>
      </w:pPr>
      <w:r w:rsidRPr="008676F9">
        <w:rPr>
          <w:rFonts w:ascii="Calibri" w:hAnsi="Calibri" w:cs="Calibri"/>
          <w:bCs/>
          <w:kern w:val="1"/>
          <w:szCs w:val="22"/>
          <w:lang w:eastAsia="ar-SA"/>
        </w:rPr>
        <w:t>Národná stratégia rozvoja cykl</w:t>
      </w:r>
      <w:r w:rsidR="00FF4D9D">
        <w:rPr>
          <w:rFonts w:ascii="Calibri" w:hAnsi="Calibri" w:cs="Calibri"/>
          <w:bCs/>
          <w:kern w:val="1"/>
          <w:szCs w:val="22"/>
          <w:lang w:eastAsia="ar-SA"/>
        </w:rPr>
        <w:t>istickej dopravy a cyklo</w:t>
      </w:r>
      <w:r w:rsidRPr="008676F9">
        <w:rPr>
          <w:rFonts w:ascii="Calibri" w:hAnsi="Calibri" w:cs="Calibri"/>
          <w:bCs/>
          <w:kern w:val="1"/>
          <w:szCs w:val="22"/>
          <w:lang w:eastAsia="ar-SA"/>
        </w:rPr>
        <w:t>turistiky v Slovenskej republike.</w:t>
      </w:r>
    </w:p>
    <w:p w:rsidR="008676F9" w:rsidRPr="008676F9" w:rsidRDefault="008676F9" w:rsidP="00955DA4">
      <w:pPr>
        <w:numPr>
          <w:ilvl w:val="0"/>
          <w:numId w:val="180"/>
        </w:numPr>
        <w:suppressAutoHyphens/>
        <w:ind w:left="720"/>
        <w:rPr>
          <w:rFonts w:ascii="Calibri" w:hAnsi="Calibri" w:cs="Calibri"/>
          <w:kern w:val="1"/>
          <w:szCs w:val="22"/>
          <w:lang w:eastAsia="ar-SA"/>
        </w:rPr>
      </w:pPr>
      <w:r w:rsidRPr="008676F9">
        <w:rPr>
          <w:rFonts w:ascii="Calibri" w:hAnsi="Calibri" w:cs="Calibri"/>
          <w:kern w:val="1"/>
          <w:szCs w:val="22"/>
          <w:lang w:eastAsia="ar-SA"/>
        </w:rPr>
        <w:t>Národná stratégia regionálneho rozvoja SR.</w:t>
      </w:r>
    </w:p>
    <w:p w:rsidR="008676F9" w:rsidRPr="008676F9" w:rsidRDefault="008676F9" w:rsidP="00955DA4">
      <w:pPr>
        <w:numPr>
          <w:ilvl w:val="0"/>
          <w:numId w:val="180"/>
        </w:numPr>
        <w:suppressAutoHyphens/>
        <w:ind w:left="720"/>
        <w:rPr>
          <w:rFonts w:ascii="Calibri" w:hAnsi="Calibri" w:cs="Calibri"/>
          <w:kern w:val="1"/>
          <w:szCs w:val="22"/>
          <w:lang w:eastAsia="ar-SA"/>
        </w:rPr>
      </w:pPr>
      <w:r w:rsidRPr="008676F9">
        <w:rPr>
          <w:rFonts w:ascii="Calibri" w:eastAsia="Calibri" w:hAnsi="Calibri" w:cs="Calibri"/>
          <w:kern w:val="1"/>
          <w:szCs w:val="22"/>
          <w:lang w:eastAsia="ar-SA"/>
        </w:rPr>
        <w:t xml:space="preserve">Integrovaný regionálny operačný program – doplnkovosť </w:t>
      </w:r>
      <w:r w:rsidR="00A008B6">
        <w:rPr>
          <w:rFonts w:ascii="Calibri" w:eastAsia="Calibri" w:hAnsi="Calibri" w:cs="Calibri"/>
          <w:kern w:val="1"/>
          <w:szCs w:val="22"/>
          <w:lang w:eastAsia="ar-SA"/>
        </w:rPr>
        <w:t>v oblasti investícií do</w:t>
      </w:r>
      <w:r w:rsidRPr="008676F9">
        <w:rPr>
          <w:rFonts w:ascii="Calibri" w:eastAsia="Calibri" w:hAnsi="Calibri" w:cs="Calibri"/>
          <w:kern w:val="1"/>
          <w:szCs w:val="22"/>
          <w:lang w:eastAsia="ar-SA"/>
        </w:rPr>
        <w:t xml:space="preserve"> cyklistickej infraštruktúry v </w:t>
      </w:r>
      <w:r w:rsidR="00A008B6">
        <w:rPr>
          <w:rFonts w:ascii="Calibri" w:eastAsia="Calibri" w:hAnsi="Calibri" w:cs="Calibri"/>
          <w:kern w:val="1"/>
          <w:szCs w:val="22"/>
          <w:lang w:eastAsia="ar-SA"/>
        </w:rPr>
        <w:t xml:space="preserve">mestách a mestských </w:t>
      </w:r>
      <w:r w:rsidRPr="008676F9">
        <w:rPr>
          <w:rFonts w:ascii="Calibri" w:eastAsia="Calibri" w:hAnsi="Calibri" w:cs="Calibri"/>
          <w:kern w:val="1"/>
          <w:szCs w:val="22"/>
          <w:lang w:eastAsia="ar-SA"/>
        </w:rPr>
        <w:t>oblastiach</w:t>
      </w:r>
      <w:r w:rsidR="00A008B6">
        <w:rPr>
          <w:rFonts w:ascii="Calibri" w:eastAsia="Calibri" w:hAnsi="Calibri" w:cs="Calibri"/>
          <w:kern w:val="1"/>
          <w:szCs w:val="22"/>
          <w:lang w:eastAsia="ar-SA"/>
        </w:rPr>
        <w:t xml:space="preserve"> (budovanie cyklokomunikácií a doplnkovej infraštruktúry), ak sa daný projekt bude realizovať prostredníctvom integrovanej územnej stratégie v rámci IROP, nebude oprávnený v rámci PRV</w:t>
      </w:r>
      <w:r w:rsidRPr="008676F9">
        <w:rPr>
          <w:rFonts w:ascii="Calibri" w:eastAsia="Calibri" w:hAnsi="Calibri" w:cs="Calibri"/>
          <w:kern w:val="1"/>
          <w:szCs w:val="22"/>
          <w:lang w:eastAsia="ar-SA"/>
        </w:rPr>
        <w:t>.</w:t>
      </w:r>
    </w:p>
    <w:p w:rsidR="008676F9" w:rsidRPr="008676F9" w:rsidRDefault="008676F9" w:rsidP="006F5151">
      <w:pPr>
        <w:suppressAutoHyphens/>
        <w:rPr>
          <w:rFonts w:ascii="Calibri" w:hAnsi="Calibri" w:cs="Calibri"/>
          <w:kern w:val="1"/>
          <w:szCs w:val="22"/>
          <w:lang w:eastAsia="ar-SA"/>
        </w:rPr>
      </w:pPr>
    </w:p>
    <w:p w:rsidR="008676F9" w:rsidRPr="008676F9" w:rsidRDefault="008676F9" w:rsidP="006F5151">
      <w:pPr>
        <w:suppressAutoHyphens/>
        <w:rPr>
          <w:rFonts w:ascii="Calibri" w:eastAsia="SimSun" w:hAnsi="Calibri" w:cs="Calibri"/>
          <w:kern w:val="1"/>
          <w:szCs w:val="22"/>
          <w:lang w:eastAsia="ar-SA"/>
        </w:rPr>
      </w:pPr>
      <w:r w:rsidRPr="008676F9">
        <w:rPr>
          <w:rFonts w:ascii="Calibri" w:eastAsia="SimSun" w:hAnsi="Calibri" w:cs="Calibri"/>
          <w:bCs/>
          <w:kern w:val="1"/>
          <w:szCs w:val="22"/>
          <w:u w:val="single"/>
          <w:lang w:eastAsia="ar-SA"/>
        </w:rPr>
        <w:t>Prijímateľ podpory:</w:t>
      </w:r>
    </w:p>
    <w:p w:rsidR="008676F9" w:rsidRPr="008676F9" w:rsidRDefault="008676F9" w:rsidP="00955DA4">
      <w:pPr>
        <w:numPr>
          <w:ilvl w:val="0"/>
          <w:numId w:val="195"/>
        </w:numPr>
        <w:suppressAutoHyphens/>
        <w:rPr>
          <w:rFonts w:ascii="Calibri" w:eastAsia="SimSun" w:hAnsi="Calibri" w:cs="Calibri"/>
          <w:kern w:val="1"/>
          <w:szCs w:val="22"/>
          <w:lang w:eastAsia="ar-SA"/>
        </w:rPr>
      </w:pPr>
      <w:r w:rsidRPr="008676F9">
        <w:rPr>
          <w:rFonts w:ascii="Calibri" w:eastAsia="SimSun" w:hAnsi="Calibri" w:cs="Calibri"/>
          <w:kern w:val="1"/>
          <w:szCs w:val="22"/>
          <w:lang w:eastAsia="ar-SA"/>
        </w:rPr>
        <w:t>obce vo vidieckych oblastiach s počtom obyvateľov do 1000 (vrátane).</w:t>
      </w:r>
    </w:p>
    <w:p w:rsidR="008676F9" w:rsidRPr="008676F9" w:rsidRDefault="008676F9" w:rsidP="00955DA4">
      <w:pPr>
        <w:numPr>
          <w:ilvl w:val="0"/>
          <w:numId w:val="195"/>
        </w:numPr>
        <w:suppressAutoHyphens/>
        <w:rPr>
          <w:rFonts w:ascii="Calibri" w:eastAsia="SimSun" w:hAnsi="Calibri" w:cs="Calibri"/>
          <w:bCs/>
          <w:kern w:val="1"/>
          <w:szCs w:val="22"/>
          <w:u w:val="single"/>
          <w:lang w:eastAsia="ar-SA"/>
        </w:rPr>
      </w:pPr>
      <w:r w:rsidRPr="008676F9">
        <w:rPr>
          <w:rFonts w:ascii="Calibri" w:eastAsia="SimSun" w:hAnsi="Calibri" w:cs="Calibri"/>
          <w:kern w:val="1"/>
          <w:szCs w:val="22"/>
          <w:lang w:eastAsia="ar-SA"/>
        </w:rPr>
        <w:t>združenia/skupiny obcí.</w:t>
      </w:r>
    </w:p>
    <w:p w:rsidR="002E78E6" w:rsidRDefault="002E78E6" w:rsidP="006F5151">
      <w:pPr>
        <w:suppressAutoHyphens/>
        <w:rPr>
          <w:rFonts w:ascii="Calibri" w:eastAsia="SimSun" w:hAnsi="Calibri" w:cs="Calibri"/>
          <w:bCs/>
          <w:kern w:val="1"/>
          <w:szCs w:val="22"/>
          <w:u w:val="single"/>
          <w:lang w:eastAsia="ar-SA"/>
        </w:rPr>
      </w:pPr>
    </w:p>
    <w:p w:rsidR="008676F9" w:rsidRPr="008676F9" w:rsidRDefault="008676F9" w:rsidP="006F5151">
      <w:pPr>
        <w:suppressAutoHyphens/>
        <w:rPr>
          <w:rFonts w:ascii="Calibri" w:eastAsia="SimSun" w:hAnsi="Calibri" w:cs="Calibri"/>
          <w:kern w:val="1"/>
          <w:szCs w:val="22"/>
          <w:lang w:eastAsia="ar-SA"/>
        </w:rPr>
      </w:pPr>
      <w:r w:rsidRPr="008676F9">
        <w:rPr>
          <w:rFonts w:ascii="Calibri" w:eastAsia="SimSun" w:hAnsi="Calibri" w:cs="Calibri"/>
          <w:bCs/>
          <w:kern w:val="1"/>
          <w:szCs w:val="22"/>
          <w:u w:val="single"/>
          <w:lang w:eastAsia="ar-SA"/>
        </w:rPr>
        <w:t>Oprávnené náklady:</w:t>
      </w:r>
    </w:p>
    <w:p w:rsidR="008676F9" w:rsidRPr="008676F9" w:rsidRDefault="008676F9" w:rsidP="00955DA4">
      <w:pPr>
        <w:numPr>
          <w:ilvl w:val="0"/>
          <w:numId w:val="196"/>
        </w:numPr>
        <w:tabs>
          <w:tab w:val="left" w:pos="426"/>
        </w:tabs>
        <w:suppressAutoHyphens/>
        <w:ind w:left="357" w:hanging="215"/>
        <w:rPr>
          <w:rFonts w:ascii="Calibri" w:eastAsia="SimSun" w:hAnsi="Calibri" w:cs="Calibri"/>
          <w:kern w:val="1"/>
          <w:szCs w:val="22"/>
          <w:lang w:eastAsia="ar-SA"/>
        </w:rPr>
      </w:pPr>
      <w:r w:rsidRPr="008676F9">
        <w:rPr>
          <w:rFonts w:ascii="Calibri" w:eastAsia="SimSun" w:hAnsi="Calibri" w:cs="Calibri"/>
          <w:kern w:val="1"/>
          <w:szCs w:val="22"/>
          <w:lang w:eastAsia="ar-SA"/>
        </w:rPr>
        <w:t xml:space="preserve">hmotné a nehmotné investície súvisiace s rozvojom a marketingom vidieckeho cestovného ruchu; </w:t>
      </w:r>
    </w:p>
    <w:p w:rsidR="00FF4D9D" w:rsidRPr="00FF4D9D" w:rsidRDefault="008676F9" w:rsidP="00955DA4">
      <w:pPr>
        <w:numPr>
          <w:ilvl w:val="0"/>
          <w:numId w:val="196"/>
        </w:numPr>
        <w:tabs>
          <w:tab w:val="left" w:pos="426"/>
        </w:tabs>
        <w:suppressAutoHyphens/>
        <w:ind w:left="357" w:hanging="215"/>
        <w:rPr>
          <w:rFonts w:ascii="Calibri" w:eastAsia="SimSun" w:hAnsi="Calibri" w:cs="Calibri"/>
          <w:bCs/>
          <w:kern w:val="1"/>
          <w:szCs w:val="22"/>
          <w:lang w:eastAsia="ar-SA"/>
        </w:rPr>
      </w:pPr>
      <w:r w:rsidRPr="008676F9">
        <w:rPr>
          <w:rFonts w:ascii="Calibri" w:eastAsia="SimSun" w:hAnsi="Calibri" w:cs="Calibri"/>
          <w:kern w:val="1"/>
          <w:szCs w:val="22"/>
          <w:lang w:eastAsia="ar-SA"/>
        </w:rPr>
        <w:t>súvisiace všeobecné náklady ako sú projektová dokumentácia, výdavky súvisiace s verejným obstarávaním a s externým manažmentom projektov</w:t>
      </w:r>
      <w:r w:rsidR="00FF4D9D">
        <w:rPr>
          <w:rFonts w:ascii="Calibri" w:eastAsia="SimSun" w:hAnsi="Calibri" w:cs="Calibri"/>
          <w:kern w:val="1"/>
          <w:szCs w:val="22"/>
          <w:lang w:eastAsia="ar-SA"/>
        </w:rPr>
        <w:t>;</w:t>
      </w:r>
    </w:p>
    <w:p w:rsidR="008676F9" w:rsidRPr="008676F9" w:rsidRDefault="00FF4D9D" w:rsidP="00955DA4">
      <w:pPr>
        <w:numPr>
          <w:ilvl w:val="0"/>
          <w:numId w:val="196"/>
        </w:numPr>
        <w:tabs>
          <w:tab w:val="left" w:pos="426"/>
        </w:tabs>
        <w:suppressAutoHyphens/>
        <w:ind w:left="357" w:hanging="215"/>
        <w:rPr>
          <w:rFonts w:ascii="Calibri" w:eastAsia="SimSun" w:hAnsi="Calibri" w:cs="Calibri"/>
          <w:bCs/>
          <w:kern w:val="1"/>
          <w:szCs w:val="22"/>
          <w:lang w:eastAsia="ar-SA"/>
        </w:rPr>
      </w:pPr>
      <w:r>
        <w:rPr>
          <w:rFonts w:ascii="Calibri" w:eastAsia="SimSun" w:hAnsi="Calibri" w:cs="Calibri"/>
          <w:kern w:val="1"/>
          <w:szCs w:val="22"/>
          <w:lang w:eastAsia="ar-SA"/>
        </w:rPr>
        <w:t>náklady na riadenie projektu</w:t>
      </w:r>
      <w:r w:rsidR="008676F9" w:rsidRPr="008676F9">
        <w:rPr>
          <w:rFonts w:ascii="Calibri" w:eastAsia="SimSun" w:hAnsi="Calibri" w:cs="Calibri"/>
          <w:kern w:val="1"/>
          <w:szCs w:val="22"/>
          <w:lang w:eastAsia="ar-SA"/>
        </w:rPr>
        <w:t>.</w:t>
      </w:r>
    </w:p>
    <w:p w:rsidR="008676F9" w:rsidRPr="008676F9" w:rsidRDefault="008676F9" w:rsidP="006F5151">
      <w:pPr>
        <w:suppressAutoHyphens/>
        <w:rPr>
          <w:rFonts w:ascii="Calibri" w:eastAsia="SimSun" w:hAnsi="Calibri" w:cs="Calibri"/>
          <w:bCs/>
          <w:kern w:val="1"/>
          <w:szCs w:val="22"/>
          <w:lang w:eastAsia="ar-SA"/>
        </w:rPr>
      </w:pPr>
    </w:p>
    <w:p w:rsidR="008D12E7" w:rsidRPr="008676F9" w:rsidRDefault="008D12E7" w:rsidP="008D12E7">
      <w:pPr>
        <w:suppressAutoHyphens/>
        <w:spacing w:line="100" w:lineRule="atLeast"/>
        <w:rPr>
          <w:rFonts w:ascii="Calibri" w:eastAsia="SimSun" w:hAnsi="Calibri" w:cs="Calibri"/>
          <w:bCs/>
          <w:kern w:val="1"/>
          <w:szCs w:val="22"/>
          <w:lang w:eastAsia="ar-SA"/>
        </w:rPr>
      </w:pPr>
      <w:r w:rsidRPr="008676F9">
        <w:rPr>
          <w:rFonts w:ascii="Calibri" w:eastAsia="SimSun" w:hAnsi="Calibri" w:cs="Calibri"/>
          <w:bCs/>
          <w:kern w:val="1"/>
          <w:szCs w:val="22"/>
          <w:u w:val="single"/>
          <w:lang w:eastAsia="ar-SA"/>
        </w:rPr>
        <w:t>Podmienky oprávnenosti:</w:t>
      </w:r>
    </w:p>
    <w:p w:rsidR="008D12E7" w:rsidRPr="00C178B2" w:rsidRDefault="008D12E7" w:rsidP="00CE203B">
      <w:pPr>
        <w:pStyle w:val="Odsekzoznamu"/>
        <w:numPr>
          <w:ilvl w:val="0"/>
          <w:numId w:val="381"/>
        </w:numPr>
        <w:suppressAutoHyphens/>
        <w:spacing w:line="100" w:lineRule="atLeast"/>
        <w:rPr>
          <w:rFonts w:ascii="Calibri" w:hAnsi="Calibri" w:cs="Calibri"/>
          <w:bCs/>
          <w:kern w:val="1"/>
          <w:szCs w:val="22"/>
          <w:lang w:eastAsia="ar-SA"/>
        </w:rPr>
      </w:pPr>
      <w:r w:rsidRPr="00C178B2">
        <w:rPr>
          <w:rFonts w:ascii="Calibri" w:hAnsi="Calibri" w:cs="Calibri"/>
          <w:bCs/>
          <w:kern w:val="1"/>
          <w:szCs w:val="22"/>
          <w:lang w:eastAsia="ar-SA"/>
        </w:rPr>
        <w:t>Investície v rámci tejto operácie sú oprávnené na podporu, ak sa príslušné operácie vykonávajú v súlade s plánmi rozvoja obcí a dedín vo vidieckych oblastiach a ich základných služieb, ak takéto plány existujú, a sú konzistentné s akoukoľvek príslušnou stratégiou miestneho rozvoja.</w:t>
      </w:r>
    </w:p>
    <w:p w:rsidR="008D12E7" w:rsidRPr="008676F9" w:rsidRDefault="008D12E7" w:rsidP="001F5283">
      <w:pPr>
        <w:numPr>
          <w:ilvl w:val="0"/>
          <w:numId w:val="41"/>
        </w:numPr>
        <w:ind w:left="426" w:hanging="426"/>
        <w:contextualSpacing/>
        <w:rPr>
          <w:rFonts w:ascii="Calibri" w:hAnsi="Calibri" w:cs="Calibri"/>
          <w:bCs/>
          <w:szCs w:val="22"/>
          <w:u w:val="single"/>
          <w:lang w:eastAsia="en-US"/>
        </w:rPr>
      </w:pPr>
      <w:r>
        <w:rPr>
          <w:rFonts w:ascii="Calibri" w:hAnsi="Calibri" w:cs="Calibri"/>
          <w:bCs/>
          <w:szCs w:val="22"/>
          <w:lang w:eastAsia="en-US"/>
        </w:rPr>
        <w:t>Povinnosť uplatňovať sociálny aspekt pri verejnom obstarávaní.</w:t>
      </w:r>
    </w:p>
    <w:p w:rsidR="008D12E7" w:rsidRPr="008676F9" w:rsidRDefault="008D12E7" w:rsidP="008D12E7">
      <w:pPr>
        <w:suppressAutoHyphens/>
        <w:spacing w:line="100" w:lineRule="atLeast"/>
        <w:rPr>
          <w:rFonts w:cs="Calibri"/>
          <w:bCs/>
          <w:kern w:val="1"/>
          <w:u w:val="single"/>
          <w:lang w:eastAsia="ar-SA"/>
        </w:rPr>
      </w:pPr>
    </w:p>
    <w:p w:rsidR="008D12E7" w:rsidRPr="008676F9" w:rsidRDefault="008D12E7" w:rsidP="008D12E7">
      <w:pPr>
        <w:suppressAutoHyphens/>
        <w:spacing w:line="100" w:lineRule="atLeast"/>
        <w:rPr>
          <w:rFonts w:ascii="Calibri" w:eastAsia="SimSun" w:hAnsi="Calibri" w:cs="Calibri"/>
          <w:bCs/>
          <w:kern w:val="1"/>
          <w:szCs w:val="22"/>
          <w:u w:val="single"/>
          <w:lang w:eastAsia="ar-SA"/>
        </w:rPr>
      </w:pPr>
    </w:p>
    <w:p w:rsidR="008D12E7" w:rsidRPr="008676F9" w:rsidRDefault="008D12E7" w:rsidP="008D12E7">
      <w:pPr>
        <w:suppressAutoHyphens/>
        <w:spacing w:line="100" w:lineRule="atLeast"/>
        <w:rPr>
          <w:rFonts w:ascii="Calibri" w:eastAsia="SimSun" w:hAnsi="Calibri" w:cs="Calibri"/>
          <w:bCs/>
          <w:kern w:val="1"/>
          <w:szCs w:val="22"/>
          <w:lang w:eastAsia="ar-SA"/>
        </w:rPr>
      </w:pPr>
      <w:r w:rsidRPr="008676F9">
        <w:rPr>
          <w:rFonts w:ascii="Calibri" w:eastAsia="SimSun" w:hAnsi="Calibri" w:cs="Calibri"/>
          <w:bCs/>
          <w:kern w:val="1"/>
          <w:szCs w:val="22"/>
          <w:u w:val="single"/>
          <w:lang w:eastAsia="ar-SA"/>
        </w:rPr>
        <w:t>Princípy nastavenia výberových kritérií:</w:t>
      </w:r>
    </w:p>
    <w:p w:rsidR="008D12E7" w:rsidRDefault="008D12E7" w:rsidP="00955DA4">
      <w:pPr>
        <w:numPr>
          <w:ilvl w:val="0"/>
          <w:numId w:val="168"/>
        </w:numPr>
        <w:suppressAutoHyphens/>
        <w:rPr>
          <w:rFonts w:ascii="Calibri" w:eastAsia="SimSun" w:hAnsi="Calibri" w:cs="Calibri"/>
          <w:bCs/>
          <w:kern w:val="1"/>
          <w:szCs w:val="22"/>
          <w:lang w:eastAsia="ar-SA"/>
        </w:rPr>
      </w:pPr>
      <w:r>
        <w:rPr>
          <w:rFonts w:ascii="Calibri" w:eastAsia="SimSun" w:hAnsi="Calibri" w:cs="Calibri"/>
          <w:bCs/>
          <w:kern w:val="1"/>
          <w:szCs w:val="22"/>
          <w:lang w:eastAsia="ar-SA"/>
        </w:rPr>
        <w:t>komplexnosť, udržateľnosť, realizovateľnosť, hospodárnosť a efektívnosť projektu;</w:t>
      </w:r>
    </w:p>
    <w:p w:rsidR="008D12E7" w:rsidRPr="00A31BD5" w:rsidRDefault="008D12E7" w:rsidP="00955DA4">
      <w:pPr>
        <w:numPr>
          <w:ilvl w:val="0"/>
          <w:numId w:val="168"/>
        </w:numPr>
        <w:suppressAutoHyphens/>
        <w:rPr>
          <w:rFonts w:ascii="Calibri" w:eastAsia="SimSun" w:hAnsi="Calibri" w:cs="Calibri"/>
          <w:bCs/>
          <w:kern w:val="1"/>
          <w:szCs w:val="22"/>
          <w:lang w:eastAsia="ar-SA"/>
        </w:rPr>
      </w:pPr>
      <w:r>
        <w:rPr>
          <w:rFonts w:ascii="Calibri" w:eastAsia="SimSun" w:hAnsi="Calibri" w:cs="Calibri"/>
          <w:bCs/>
          <w:kern w:val="1"/>
          <w:szCs w:val="22"/>
          <w:lang w:eastAsia="ar-SA"/>
        </w:rPr>
        <w:t>p</w:t>
      </w:r>
      <w:r w:rsidRPr="00A31BD5">
        <w:rPr>
          <w:rFonts w:ascii="Calibri" w:eastAsia="SimSun" w:hAnsi="Calibri" w:cs="Calibri"/>
          <w:bCs/>
          <w:kern w:val="1"/>
          <w:szCs w:val="22"/>
          <w:lang w:eastAsia="ar-SA"/>
        </w:rPr>
        <w:t>ri investíciách súvisiacich s vidieckym cestovným ruchom budú uprednostnené projekty presahujúce katastre viacerých obcí (spoločný projekt viacerých obcí)</w:t>
      </w:r>
      <w:r>
        <w:rPr>
          <w:rFonts w:ascii="Calibri" w:eastAsia="SimSun" w:hAnsi="Calibri" w:cs="Calibri"/>
          <w:bCs/>
          <w:kern w:val="1"/>
          <w:szCs w:val="22"/>
          <w:lang w:eastAsia="ar-SA"/>
        </w:rPr>
        <w:t>;</w:t>
      </w:r>
    </w:p>
    <w:p w:rsidR="008D12E7" w:rsidRDefault="008D12E7" w:rsidP="00955DA4">
      <w:pPr>
        <w:numPr>
          <w:ilvl w:val="0"/>
          <w:numId w:val="168"/>
        </w:numPr>
        <w:suppressAutoHyphens/>
        <w:rPr>
          <w:rFonts w:ascii="Calibri" w:eastAsia="SimSun" w:hAnsi="Calibri" w:cs="Calibri"/>
          <w:bCs/>
          <w:kern w:val="1"/>
          <w:szCs w:val="22"/>
          <w:lang w:eastAsia="ar-SA"/>
        </w:rPr>
      </w:pPr>
      <w:r>
        <w:rPr>
          <w:rFonts w:ascii="Calibri" w:eastAsia="SimSun" w:hAnsi="Calibri" w:cs="Calibri"/>
          <w:bCs/>
          <w:kern w:val="1"/>
          <w:szCs w:val="22"/>
          <w:lang w:eastAsia="ar-SA"/>
        </w:rPr>
        <w:t>u</w:t>
      </w:r>
      <w:r w:rsidRPr="00A31BD5">
        <w:rPr>
          <w:rFonts w:ascii="Calibri" w:eastAsia="SimSun" w:hAnsi="Calibri" w:cs="Calibri"/>
          <w:bCs/>
          <w:kern w:val="1"/>
          <w:szCs w:val="22"/>
          <w:lang w:eastAsia="ar-SA"/>
        </w:rPr>
        <w:t>prednostnené budú projekty kombinujúce viacero súvisiacich činností podporujúcich rozvoj vidieckeho cestovného ruchu</w:t>
      </w:r>
    </w:p>
    <w:p w:rsidR="008D12E7" w:rsidRPr="00A31BD5" w:rsidRDefault="008D12E7" w:rsidP="00955DA4">
      <w:pPr>
        <w:numPr>
          <w:ilvl w:val="0"/>
          <w:numId w:val="168"/>
        </w:numPr>
        <w:suppressAutoHyphens/>
        <w:rPr>
          <w:rFonts w:ascii="Calibri" w:eastAsia="SimSun" w:hAnsi="Calibri" w:cs="Calibri"/>
          <w:bCs/>
          <w:kern w:val="1"/>
          <w:szCs w:val="22"/>
          <w:lang w:eastAsia="ar-SA"/>
        </w:rPr>
      </w:pPr>
      <w:r>
        <w:rPr>
          <w:rFonts w:ascii="Calibri" w:hAnsi="Calibri" w:cs="Calibri"/>
          <w:bCs/>
          <w:szCs w:val="22"/>
          <w:lang w:eastAsia="en-US"/>
        </w:rPr>
        <w:t>uprednostnené budú projekty obcí do 500 obyvateľov (vrátane) pred projektmi obcí s vyšším počtom obyvateľov</w:t>
      </w:r>
      <w:r w:rsidRPr="00A31BD5">
        <w:rPr>
          <w:rFonts w:ascii="Calibri" w:eastAsia="SimSun" w:hAnsi="Calibri" w:cs="Calibri"/>
          <w:bCs/>
          <w:kern w:val="1"/>
          <w:szCs w:val="22"/>
          <w:lang w:eastAsia="ar-SA"/>
        </w:rPr>
        <w:t>.</w:t>
      </w:r>
    </w:p>
    <w:p w:rsidR="008D12E7" w:rsidRPr="008676F9" w:rsidRDefault="008D12E7" w:rsidP="008D12E7">
      <w:pPr>
        <w:suppressAutoHyphens/>
        <w:spacing w:line="100" w:lineRule="atLeast"/>
        <w:rPr>
          <w:rFonts w:ascii="Calibri" w:eastAsia="SimSun" w:hAnsi="Calibri" w:cs="Calibri"/>
          <w:bCs/>
          <w:kern w:val="1"/>
          <w:szCs w:val="22"/>
          <w:u w:val="single"/>
          <w:lang w:eastAsia="ar-SA"/>
        </w:rPr>
      </w:pPr>
    </w:p>
    <w:p w:rsidR="008676F9" w:rsidRPr="008676F9" w:rsidRDefault="008676F9" w:rsidP="008676F9">
      <w:pPr>
        <w:suppressAutoHyphens/>
        <w:spacing w:line="100" w:lineRule="atLeast"/>
        <w:rPr>
          <w:rFonts w:ascii="Calibri" w:eastAsia="SimSun" w:hAnsi="Calibri" w:cs="Calibri"/>
          <w:bCs/>
          <w:kern w:val="1"/>
          <w:szCs w:val="22"/>
          <w:lang w:eastAsia="ar-SA"/>
        </w:rPr>
      </w:pPr>
      <w:r w:rsidRPr="008676F9">
        <w:rPr>
          <w:rFonts w:ascii="Calibri" w:eastAsia="SimSun" w:hAnsi="Calibri" w:cs="Calibri"/>
          <w:bCs/>
          <w:kern w:val="1"/>
          <w:szCs w:val="22"/>
          <w:u w:val="single"/>
          <w:lang w:eastAsia="ar-SA"/>
        </w:rPr>
        <w:t>Výška a miera podpory:</w:t>
      </w:r>
    </w:p>
    <w:p w:rsidR="002E78E6" w:rsidRDefault="002E78E6" w:rsidP="002E78E6">
      <w:pPr>
        <w:rPr>
          <w:rFonts w:ascii="Calibri" w:eastAsia="Calibri" w:hAnsi="Calibri" w:cs="Calibri"/>
          <w:szCs w:val="22"/>
          <w:lang w:eastAsia="en-US"/>
        </w:rPr>
      </w:pPr>
      <w:r w:rsidRPr="008676F9">
        <w:rPr>
          <w:rFonts w:ascii="Calibri" w:eastAsia="Calibri" w:hAnsi="Calibri" w:cs="Calibri"/>
          <w:szCs w:val="22"/>
          <w:lang w:eastAsia="en-US"/>
        </w:rPr>
        <w:t xml:space="preserve">Max. </w:t>
      </w:r>
      <w:r>
        <w:rPr>
          <w:rFonts w:ascii="Calibri" w:eastAsia="Calibri" w:hAnsi="Calibri" w:cs="Calibri"/>
          <w:szCs w:val="22"/>
          <w:lang w:eastAsia="en-US"/>
        </w:rPr>
        <w:t>výška podpory z celkových oprávnených nákladov:</w:t>
      </w:r>
    </w:p>
    <w:p w:rsidR="002E78E6" w:rsidRPr="002E78E6" w:rsidRDefault="002E78E6" w:rsidP="00955DA4">
      <w:pPr>
        <w:pStyle w:val="Odsekzoznamu"/>
        <w:numPr>
          <w:ilvl w:val="0"/>
          <w:numId w:val="189"/>
        </w:numPr>
        <w:rPr>
          <w:rFonts w:ascii="Calibri" w:eastAsia="Calibri" w:hAnsi="Calibri" w:cs="Calibri"/>
          <w:szCs w:val="22"/>
          <w:lang w:eastAsia="en-US"/>
        </w:rPr>
      </w:pPr>
      <w:r>
        <w:rPr>
          <w:rFonts w:ascii="Calibri" w:eastAsia="Calibri" w:hAnsi="Calibri" w:cs="Calibri"/>
          <w:szCs w:val="22"/>
          <w:lang w:eastAsia="en-US"/>
        </w:rPr>
        <w:t>100 %</w:t>
      </w:r>
      <w:r w:rsidR="00FF4D9D">
        <w:rPr>
          <w:rFonts w:ascii="Calibri" w:eastAsia="Calibri" w:hAnsi="Calibri" w:cs="Calibri"/>
          <w:szCs w:val="22"/>
          <w:lang w:eastAsia="en-US"/>
        </w:rPr>
        <w:t xml:space="preserve"> s maximálnym limitom 150 000 </w:t>
      </w:r>
      <w:r w:rsidR="00646537">
        <w:rPr>
          <w:rFonts w:ascii="Calibri" w:eastAsia="Calibri" w:hAnsi="Calibri" w:cs="Calibri"/>
          <w:szCs w:val="22"/>
          <w:lang w:eastAsia="en-US"/>
        </w:rPr>
        <w:t>€</w:t>
      </w:r>
      <w:r w:rsidRPr="002E78E6">
        <w:rPr>
          <w:rFonts w:ascii="Calibri" w:eastAsia="Calibri" w:hAnsi="Calibri" w:cs="Calibri"/>
          <w:szCs w:val="22"/>
          <w:lang w:eastAsia="en-US"/>
        </w:rPr>
        <w:t>.</w:t>
      </w:r>
    </w:p>
    <w:p w:rsidR="002E78E6" w:rsidRDefault="002E78E6" w:rsidP="008676F9">
      <w:pPr>
        <w:rPr>
          <w:rFonts w:ascii="Calibri" w:eastAsia="Calibri" w:hAnsi="Calibri" w:cs="Calibri"/>
          <w:bCs/>
          <w:szCs w:val="22"/>
          <w:u w:val="single"/>
          <w:lang w:eastAsia="en-US"/>
        </w:rPr>
      </w:pPr>
    </w:p>
    <w:p w:rsidR="008676F9" w:rsidRPr="008676F9" w:rsidRDefault="008676F9" w:rsidP="008676F9">
      <w:pPr>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Ďalšie informácie špecifické pre opatrenie:</w:t>
      </w:r>
    </w:p>
    <w:p w:rsidR="008676F9" w:rsidRPr="008676F9" w:rsidRDefault="008676F9" w:rsidP="008676F9">
      <w:pPr>
        <w:rPr>
          <w:rFonts w:ascii="Calibri" w:eastAsia="Calibri" w:hAnsi="Calibri" w:cs="Calibri"/>
          <w:bCs/>
          <w:szCs w:val="22"/>
          <w:lang w:eastAsia="en-US"/>
        </w:rPr>
      </w:pPr>
      <w:r w:rsidRPr="008676F9">
        <w:rPr>
          <w:rFonts w:ascii="Calibri" w:eastAsia="Calibri" w:hAnsi="Calibri" w:cs="Calibri"/>
          <w:bCs/>
          <w:szCs w:val="22"/>
          <w:lang w:eastAsia="en-US"/>
        </w:rPr>
        <w:t xml:space="preserve">Malá infraštruktúra: investície do malej infraštruktúry sú investície nepresahujúce maximálnu výšku oprávnených nákladov 150 000 </w:t>
      </w:r>
      <w:r w:rsidR="00646537">
        <w:rPr>
          <w:rFonts w:ascii="Calibri" w:eastAsia="Calibri" w:hAnsi="Calibri" w:cs="Calibri"/>
          <w:bCs/>
          <w:szCs w:val="22"/>
          <w:lang w:eastAsia="en-US"/>
        </w:rPr>
        <w:t>€</w:t>
      </w:r>
      <w:r w:rsidRPr="008676F9">
        <w:rPr>
          <w:rFonts w:ascii="Calibri" w:eastAsia="Calibri" w:hAnsi="Calibri" w:cs="Calibri"/>
          <w:bCs/>
          <w:szCs w:val="22"/>
          <w:lang w:eastAsia="en-US"/>
        </w:rPr>
        <w:t xml:space="preserve">. Odchýlne od tejto definície sa stanovuje výška maximálnych oprávnených nákladov v rámci investícií do využívania OZE na 300 000 </w:t>
      </w:r>
      <w:r w:rsidR="00646537">
        <w:rPr>
          <w:rFonts w:ascii="Calibri" w:eastAsia="Calibri" w:hAnsi="Calibri" w:cs="Calibri"/>
          <w:bCs/>
          <w:szCs w:val="22"/>
          <w:lang w:eastAsia="en-US"/>
        </w:rPr>
        <w:t>€</w:t>
      </w:r>
      <w:r w:rsidRPr="008676F9">
        <w:rPr>
          <w:rFonts w:ascii="Calibri" w:eastAsia="Calibri" w:hAnsi="Calibri" w:cs="Calibri"/>
          <w:bCs/>
          <w:szCs w:val="22"/>
          <w:lang w:eastAsia="en-US"/>
        </w:rPr>
        <w:t xml:space="preserve"> a v rámci budovania širokopásmového internetu na 200 000 </w:t>
      </w:r>
      <w:r w:rsidR="00646537">
        <w:rPr>
          <w:rFonts w:ascii="Calibri" w:eastAsia="Calibri" w:hAnsi="Calibri" w:cs="Calibri"/>
          <w:bCs/>
          <w:szCs w:val="22"/>
          <w:lang w:eastAsia="en-US"/>
        </w:rPr>
        <w:t>€</w:t>
      </w:r>
      <w:r w:rsidRPr="008676F9">
        <w:rPr>
          <w:rFonts w:ascii="Calibri" w:eastAsia="Calibri" w:hAnsi="Calibri" w:cs="Calibri"/>
          <w:bCs/>
          <w:szCs w:val="22"/>
          <w:lang w:eastAsia="en-US"/>
        </w:rPr>
        <w:t>.</w:t>
      </w:r>
    </w:p>
    <w:p w:rsidR="008676F9" w:rsidRPr="008676F9" w:rsidRDefault="008676F9" w:rsidP="008676F9">
      <w:pPr>
        <w:ind w:left="851" w:hanging="851"/>
        <w:rPr>
          <w:rFonts w:ascii="Calibri" w:eastAsia="Calibri" w:hAnsi="Calibri" w:cs="Calibri"/>
          <w:b/>
          <w:bCs/>
          <w:szCs w:val="22"/>
          <w:lang w:eastAsia="en-US"/>
        </w:rPr>
      </w:pPr>
    </w:p>
    <w:p w:rsidR="008676F9" w:rsidRPr="008676F9" w:rsidRDefault="008676F9" w:rsidP="006F5151">
      <w:pPr>
        <w:ind w:left="851" w:hanging="851"/>
        <w:rPr>
          <w:rFonts w:ascii="Calibri" w:eastAsia="Calibri" w:hAnsi="Calibri" w:cs="Calibri"/>
          <w:b/>
          <w:bCs/>
          <w:szCs w:val="22"/>
          <w:lang w:eastAsia="en-US"/>
        </w:rPr>
      </w:pPr>
      <w:r w:rsidRPr="008676F9">
        <w:rPr>
          <w:rFonts w:ascii="Calibri" w:eastAsia="Calibri" w:hAnsi="Calibri" w:cs="Calibri"/>
          <w:b/>
          <w:bCs/>
          <w:szCs w:val="22"/>
          <w:lang w:eastAsia="en-US"/>
        </w:rPr>
        <w:t>8.2.6.4. Overiteľnosť a kontrolovateľnosť opatrenia:</w:t>
      </w:r>
    </w:p>
    <w:p w:rsidR="008676F9" w:rsidRPr="008676F9" w:rsidRDefault="008676F9" w:rsidP="006F5151">
      <w:pPr>
        <w:ind w:left="851" w:hanging="851"/>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Riziká implementácie opatrenia</w:t>
      </w:r>
    </w:p>
    <w:p w:rsidR="008676F9" w:rsidRPr="008676F9" w:rsidRDefault="00FF4D9D" w:rsidP="00955DA4">
      <w:pPr>
        <w:numPr>
          <w:ilvl w:val="0"/>
          <w:numId w:val="197"/>
        </w:numPr>
        <w:rPr>
          <w:rFonts w:ascii="Calibri" w:hAnsi="Calibri" w:cs="Calibri"/>
          <w:bCs/>
          <w:szCs w:val="22"/>
          <w:lang w:eastAsia="en-US"/>
        </w:rPr>
      </w:pPr>
      <w:r>
        <w:rPr>
          <w:rFonts w:ascii="Calibri" w:hAnsi="Calibri" w:cs="Calibri"/>
          <w:bCs/>
          <w:szCs w:val="22"/>
          <w:lang w:eastAsia="en-US"/>
        </w:rPr>
        <w:t>p</w:t>
      </w:r>
      <w:r w:rsidR="008676F9" w:rsidRPr="008676F9">
        <w:rPr>
          <w:rFonts w:ascii="Calibri" w:hAnsi="Calibri" w:cs="Calibri"/>
          <w:bCs/>
          <w:szCs w:val="22"/>
          <w:lang w:eastAsia="en-US"/>
        </w:rPr>
        <w:t>rocesy verejného obstarávania</w:t>
      </w:r>
    </w:p>
    <w:p w:rsidR="008676F9" w:rsidRPr="008676F9" w:rsidRDefault="008676F9" w:rsidP="00955DA4">
      <w:pPr>
        <w:numPr>
          <w:ilvl w:val="0"/>
          <w:numId w:val="197"/>
        </w:numPr>
        <w:rPr>
          <w:rFonts w:ascii="Calibri" w:hAnsi="Calibri" w:cs="Calibri"/>
          <w:bCs/>
          <w:szCs w:val="22"/>
          <w:lang w:eastAsia="en-US"/>
        </w:rPr>
      </w:pPr>
      <w:r w:rsidRPr="008676F9">
        <w:rPr>
          <w:rFonts w:ascii="Calibri" w:hAnsi="Calibri" w:cs="Calibri"/>
          <w:bCs/>
          <w:szCs w:val="22"/>
          <w:lang w:eastAsia="en-US"/>
        </w:rPr>
        <w:t>výber prijímateľov</w:t>
      </w:r>
    </w:p>
    <w:p w:rsidR="008676F9" w:rsidRPr="008676F9" w:rsidRDefault="008676F9" w:rsidP="00955DA4">
      <w:pPr>
        <w:numPr>
          <w:ilvl w:val="0"/>
          <w:numId w:val="197"/>
        </w:numPr>
        <w:rPr>
          <w:rFonts w:ascii="Calibri" w:hAnsi="Calibri" w:cs="Calibri"/>
          <w:bCs/>
          <w:szCs w:val="22"/>
          <w:lang w:eastAsia="en-US"/>
        </w:rPr>
      </w:pPr>
      <w:r w:rsidRPr="008676F9">
        <w:rPr>
          <w:rFonts w:ascii="Calibri" w:hAnsi="Calibri" w:cs="Calibri"/>
          <w:bCs/>
          <w:szCs w:val="22"/>
          <w:lang w:eastAsia="en-US"/>
        </w:rPr>
        <w:t>informačný systém</w:t>
      </w:r>
    </w:p>
    <w:p w:rsidR="008676F9" w:rsidRPr="008676F9" w:rsidRDefault="008676F9" w:rsidP="00955DA4">
      <w:pPr>
        <w:numPr>
          <w:ilvl w:val="0"/>
          <w:numId w:val="197"/>
        </w:numPr>
        <w:rPr>
          <w:rFonts w:ascii="Calibri" w:hAnsi="Calibri" w:cs="Calibri"/>
          <w:bCs/>
          <w:szCs w:val="22"/>
          <w:lang w:eastAsia="en-US"/>
        </w:rPr>
      </w:pPr>
      <w:r w:rsidRPr="008676F9">
        <w:rPr>
          <w:rFonts w:ascii="Calibri" w:hAnsi="Calibri" w:cs="Calibri"/>
          <w:bCs/>
          <w:szCs w:val="22"/>
          <w:lang w:eastAsia="en-US"/>
        </w:rPr>
        <w:t>kontrola žiadostí o platbu</w:t>
      </w:r>
    </w:p>
    <w:p w:rsidR="008676F9" w:rsidRPr="008676F9" w:rsidRDefault="008676F9" w:rsidP="006F5151">
      <w:pPr>
        <w:ind w:left="851" w:hanging="851"/>
        <w:rPr>
          <w:rFonts w:ascii="Calibri" w:eastAsia="Calibri" w:hAnsi="Calibri" w:cs="Calibri"/>
          <w:bCs/>
          <w:szCs w:val="22"/>
          <w:u w:val="single"/>
          <w:lang w:eastAsia="en-US"/>
        </w:rPr>
      </w:pPr>
    </w:p>
    <w:p w:rsidR="008676F9" w:rsidRPr="008676F9" w:rsidRDefault="008676F9" w:rsidP="006F5151">
      <w:pPr>
        <w:ind w:left="851" w:hanging="851"/>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Opatrenia na zmiernenie rizika implementácie:</w:t>
      </w:r>
    </w:p>
    <w:p w:rsidR="008676F9" w:rsidRPr="008676F9" w:rsidRDefault="008676F9" w:rsidP="006F5151">
      <w:pPr>
        <w:ind w:left="284" w:hanging="284"/>
        <w:rPr>
          <w:rFonts w:ascii="Calibri" w:eastAsia="Calibri" w:hAnsi="Calibri" w:cs="Calibri"/>
          <w:bCs/>
          <w:szCs w:val="22"/>
          <w:lang w:eastAsia="en-US"/>
        </w:rPr>
      </w:pPr>
      <w:r w:rsidRPr="008676F9">
        <w:rPr>
          <w:rFonts w:ascii="Calibri" w:eastAsia="Calibri" w:hAnsi="Calibri" w:cs="Calibri"/>
          <w:bCs/>
          <w:szCs w:val="22"/>
          <w:lang w:eastAsia="en-US"/>
        </w:rPr>
        <w:t>•</w:t>
      </w:r>
      <w:r w:rsidRPr="008676F9">
        <w:rPr>
          <w:rFonts w:ascii="Calibri" w:eastAsia="Calibri" w:hAnsi="Calibri" w:cs="Calibri"/>
          <w:bCs/>
          <w:szCs w:val="22"/>
          <w:lang w:eastAsia="en-US"/>
        </w:rPr>
        <w:tab/>
        <w:t>povinnosť postupovať v zmysle legislatívy o verejnom obstarávaní</w:t>
      </w:r>
      <w:r w:rsidR="008D12E7">
        <w:rPr>
          <w:rFonts w:ascii="Calibri" w:eastAsia="Calibri" w:hAnsi="Calibri" w:cs="Calibri"/>
          <w:bCs/>
          <w:szCs w:val="22"/>
          <w:lang w:eastAsia="en-US"/>
        </w:rPr>
        <w:t xml:space="preserve"> vrátane aplikovania sociálneho aspektu pri verejnom obstarávaní;</w:t>
      </w:r>
    </w:p>
    <w:p w:rsidR="008676F9" w:rsidRPr="008676F9" w:rsidRDefault="008676F9" w:rsidP="006F5151">
      <w:pPr>
        <w:ind w:left="284" w:hanging="284"/>
        <w:rPr>
          <w:rFonts w:ascii="Calibri" w:eastAsia="Calibri" w:hAnsi="Calibri" w:cs="Calibri"/>
          <w:bCs/>
          <w:szCs w:val="22"/>
          <w:lang w:eastAsia="en-US"/>
        </w:rPr>
      </w:pPr>
      <w:r w:rsidRPr="008676F9">
        <w:rPr>
          <w:rFonts w:ascii="Calibri" w:eastAsia="Calibri" w:hAnsi="Calibri" w:cs="Calibri"/>
          <w:bCs/>
          <w:szCs w:val="22"/>
          <w:lang w:eastAsia="en-US"/>
        </w:rPr>
        <w:t>•</w:t>
      </w:r>
      <w:r w:rsidRPr="008676F9">
        <w:rPr>
          <w:rFonts w:ascii="Calibri" w:eastAsia="Calibri" w:hAnsi="Calibri" w:cs="Calibri"/>
          <w:bCs/>
          <w:szCs w:val="22"/>
          <w:lang w:eastAsia="en-US"/>
        </w:rPr>
        <w:tab/>
        <w:t>overiteľnosť a kontrolovateľnosť je zabezpečená systémom administratívnych kontrol a kontrol na mieste v zmysle legislatívy upravujúcej kontroly investičných opatrení.</w:t>
      </w:r>
    </w:p>
    <w:p w:rsidR="008676F9" w:rsidRPr="008676F9" w:rsidRDefault="008676F9" w:rsidP="006F5151">
      <w:pPr>
        <w:ind w:left="851" w:hanging="851"/>
        <w:rPr>
          <w:rFonts w:ascii="Calibri" w:eastAsia="Calibri" w:hAnsi="Calibri" w:cs="Calibri"/>
          <w:bCs/>
          <w:szCs w:val="22"/>
          <w:u w:val="single"/>
          <w:lang w:eastAsia="en-US"/>
        </w:rPr>
      </w:pPr>
    </w:p>
    <w:p w:rsidR="008676F9" w:rsidRPr="008676F9" w:rsidRDefault="008676F9" w:rsidP="006F5151">
      <w:pPr>
        <w:ind w:left="851" w:hanging="851"/>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8.2.6.4.3. Celkové posúdenie opatrenia</w:t>
      </w:r>
    </w:p>
    <w:p w:rsidR="008676F9" w:rsidRPr="008676F9" w:rsidRDefault="008676F9" w:rsidP="006F5151">
      <w:pPr>
        <w:rPr>
          <w:rFonts w:ascii="Calibri" w:eastAsia="Calibri" w:hAnsi="Calibri" w:cs="Calibri"/>
          <w:bCs/>
          <w:szCs w:val="22"/>
        </w:rPr>
      </w:pPr>
      <w:r w:rsidRPr="008676F9">
        <w:rPr>
          <w:rFonts w:ascii="Calibri" w:eastAsia="Calibri" w:hAnsi="Calibri" w:cs="Calibri"/>
          <w:bCs/>
          <w:szCs w:val="22"/>
        </w:rPr>
        <w:t>Overiteľnosť a kontrolovateľnosť opatrenia bude predmetom posúdenia ex-ante hodnotenia.</w:t>
      </w:r>
    </w:p>
    <w:p w:rsidR="008424BA" w:rsidRDefault="008676F9" w:rsidP="008676F9">
      <w:pPr>
        <w:rPr>
          <w:rFonts w:ascii="Calibri" w:eastAsia="Calibri" w:hAnsi="Calibri" w:cs="Calibri"/>
          <w:bCs/>
          <w:szCs w:val="22"/>
        </w:rPr>
      </w:pPr>
      <w:r w:rsidRPr="008676F9">
        <w:rPr>
          <w:rFonts w:ascii="Calibri" w:eastAsia="Calibri" w:hAnsi="Calibri" w:cs="Calibri"/>
          <w:bCs/>
          <w:szCs w:val="22"/>
        </w:rPr>
        <w:t xml:space="preserve">V rámci opatrenia budú stanovené presné kritériá spôsobilosti, ktoré budú určovať oprávnenosť navrhovaného projektu. Ich dodržiavanie musí konečný prijímateľ deklarovať pri predložení ŽoNFP a k ich plneniu sa prijímateľ podpory zaviaže pri podpise zmluvy o poskytnutí NFP.  Kontrola kritérií spôsobilosti bude predmetom administratívnej kontroly a kontroly na mieste platobnej agentúry. V prípade ich neplnenia nebude žiadateľovi schválená ŽoNFP resp. vyplatená finančná čiastka v rámci ŽoP. </w:t>
      </w:r>
    </w:p>
    <w:p w:rsidR="008676F9" w:rsidRPr="008676F9" w:rsidRDefault="008676F9" w:rsidP="008676F9">
      <w:pPr>
        <w:rPr>
          <w:rFonts w:ascii="Calibri" w:eastAsia="Calibri" w:hAnsi="Calibri" w:cs="Calibri"/>
          <w:bCs/>
          <w:szCs w:val="22"/>
        </w:rPr>
      </w:pPr>
      <w:r w:rsidRPr="008676F9">
        <w:rPr>
          <w:rFonts w:ascii="Calibri" w:eastAsia="Calibri" w:hAnsi="Calibri" w:cs="Calibri"/>
          <w:bCs/>
          <w:szCs w:val="22"/>
        </w:rPr>
        <w:br w:type="page"/>
      </w:r>
    </w:p>
    <w:p w:rsidR="00AA30CA" w:rsidRDefault="008676F9" w:rsidP="00AA30CA">
      <w:pPr>
        <w:pStyle w:val="Opatrenie"/>
        <w:rPr>
          <w:rFonts w:eastAsia="Calibri"/>
        </w:rPr>
      </w:pPr>
      <w:bookmarkStart w:id="88" w:name="_Toc387041328"/>
      <w:r w:rsidRPr="008676F9">
        <w:rPr>
          <w:rFonts w:eastAsia="Calibri"/>
        </w:rPr>
        <w:t>8.2.7 OPATRENIE 8</w:t>
      </w:r>
      <w:r w:rsidR="00BD13CE">
        <w:rPr>
          <w:rFonts w:eastAsia="Calibri"/>
        </w:rPr>
        <w:tab/>
      </w:r>
      <w:r w:rsidRPr="008676F9">
        <w:rPr>
          <w:rFonts w:eastAsia="Calibri"/>
        </w:rPr>
        <w:t xml:space="preserve"> INVESTÍCIE DO ROZVOJA LESNÝCH OBLASTÍ</w:t>
      </w:r>
      <w:bookmarkEnd w:id="88"/>
      <w:r w:rsidRPr="008676F9">
        <w:rPr>
          <w:rFonts w:eastAsia="Calibri"/>
        </w:rPr>
        <w:t xml:space="preserve"> </w:t>
      </w:r>
    </w:p>
    <w:p w:rsidR="008676F9" w:rsidRPr="008676F9" w:rsidRDefault="00AA30CA" w:rsidP="00AA30CA">
      <w:pPr>
        <w:pStyle w:val="Opatrenie"/>
        <w:ind w:left="2556" w:firstLine="276"/>
        <w:rPr>
          <w:rFonts w:eastAsia="Calibri"/>
        </w:rPr>
      </w:pPr>
      <w:r>
        <w:rPr>
          <w:rFonts w:eastAsia="Calibri"/>
        </w:rPr>
        <w:t xml:space="preserve">  </w:t>
      </w:r>
      <w:bookmarkStart w:id="89" w:name="_Toc384111051"/>
      <w:bookmarkStart w:id="90" w:name="_Toc387041329"/>
      <w:r w:rsidR="008676F9" w:rsidRPr="008676F9">
        <w:rPr>
          <w:rFonts w:eastAsia="Calibri"/>
        </w:rPr>
        <w:t>A ZLEPŠENIE ŽIVOTASCHOPNOSTI LESOV</w:t>
      </w:r>
      <w:bookmarkEnd w:id="89"/>
      <w:bookmarkEnd w:id="90"/>
    </w:p>
    <w:p w:rsidR="008676F9" w:rsidRPr="008676F9" w:rsidRDefault="008676F9" w:rsidP="008676F9">
      <w:pPr>
        <w:keepNext/>
        <w:ind w:left="576" w:hanging="576"/>
        <w:outlineLvl w:val="1"/>
        <w:rPr>
          <w:rFonts w:ascii="Calibri" w:hAnsi="Calibri" w:cs="Calibri"/>
          <w:b/>
          <w:bCs/>
          <w:szCs w:val="22"/>
          <w:lang w:eastAsia="en-US"/>
        </w:rPr>
      </w:pPr>
    </w:p>
    <w:p w:rsidR="008676F9" w:rsidRPr="008676F9" w:rsidRDefault="008676F9" w:rsidP="006F5151">
      <w:pPr>
        <w:rPr>
          <w:rFonts w:ascii="Calibri" w:eastAsia="Calibri" w:hAnsi="Calibri" w:cs="Calibri"/>
          <w:b/>
          <w:bCs/>
          <w:szCs w:val="22"/>
          <w:lang w:eastAsia="en-US"/>
        </w:rPr>
      </w:pPr>
      <w:r w:rsidRPr="008676F9">
        <w:rPr>
          <w:rFonts w:ascii="Calibri" w:eastAsia="Calibri" w:hAnsi="Calibri" w:cs="Calibri"/>
          <w:b/>
          <w:bCs/>
          <w:szCs w:val="22"/>
          <w:lang w:eastAsia="en-US"/>
        </w:rPr>
        <w:t>8.2.7.1. Právny základ</w:t>
      </w:r>
    </w:p>
    <w:p w:rsidR="008676F9" w:rsidRPr="008676F9" w:rsidRDefault="008676F9" w:rsidP="00955DA4">
      <w:pPr>
        <w:numPr>
          <w:ilvl w:val="0"/>
          <w:numId w:val="132"/>
        </w:numPr>
        <w:ind w:left="284" w:hanging="284"/>
        <w:rPr>
          <w:rFonts w:ascii="Calibri" w:hAnsi="Calibri" w:cs="Calibri"/>
          <w:szCs w:val="22"/>
          <w:lang w:eastAsia="en-US"/>
        </w:rPr>
      </w:pPr>
      <w:r w:rsidRPr="008676F9">
        <w:rPr>
          <w:rFonts w:ascii="Calibri" w:hAnsi="Calibri" w:cs="Calibri"/>
          <w:szCs w:val="22"/>
          <w:lang w:eastAsia="en-US"/>
        </w:rPr>
        <w:t xml:space="preserve">články 21c), 21d), 21e), 24, 25 a 26 nariadenia </w:t>
      </w:r>
      <w:r w:rsidR="00425CA0">
        <w:rPr>
          <w:rFonts w:ascii="Calibri" w:hAnsi="Calibri" w:cs="Calibri"/>
          <w:szCs w:val="22"/>
          <w:lang w:eastAsia="en-US"/>
        </w:rPr>
        <w:t xml:space="preserve">(EÚ) </w:t>
      </w:r>
      <w:r w:rsidRPr="008676F9">
        <w:rPr>
          <w:rFonts w:ascii="Calibri" w:hAnsi="Calibri" w:cs="Calibri"/>
          <w:szCs w:val="22"/>
          <w:lang w:eastAsia="en-US"/>
        </w:rPr>
        <w:t xml:space="preserve">č. 1305/2013 o podpore rozvoja vidieka </w:t>
      </w:r>
      <w:r w:rsidR="00E81F0F">
        <w:rPr>
          <w:rFonts w:ascii="Calibri" w:hAnsi="Calibri" w:cs="Calibri"/>
          <w:szCs w:val="22"/>
          <w:lang w:eastAsia="en-US"/>
        </w:rPr>
        <w:t>z</w:t>
      </w:r>
      <w:r w:rsidRPr="008676F9">
        <w:rPr>
          <w:rFonts w:ascii="Calibri" w:hAnsi="Calibri" w:cs="Calibri"/>
          <w:szCs w:val="22"/>
          <w:lang w:eastAsia="en-US"/>
        </w:rPr>
        <w:t xml:space="preserve"> EPFRV;</w:t>
      </w:r>
    </w:p>
    <w:p w:rsidR="008676F9" w:rsidRPr="008676F9" w:rsidRDefault="008676F9" w:rsidP="00955DA4">
      <w:pPr>
        <w:numPr>
          <w:ilvl w:val="0"/>
          <w:numId w:val="132"/>
        </w:numPr>
        <w:ind w:left="284" w:hanging="284"/>
        <w:rPr>
          <w:rFonts w:ascii="Calibri" w:hAnsi="Calibri" w:cs="Calibri"/>
          <w:szCs w:val="22"/>
          <w:lang w:eastAsia="en-US"/>
        </w:rPr>
      </w:pPr>
      <w:r w:rsidRPr="008676F9">
        <w:rPr>
          <w:rFonts w:ascii="Calibri" w:hAnsi="Calibri" w:cs="Calibri"/>
          <w:szCs w:val="22"/>
          <w:lang w:eastAsia="en-US"/>
        </w:rPr>
        <w:t xml:space="preserve">článok 13 delegovaného nariadenia Komisie č. xxxx/2014; </w:t>
      </w:r>
    </w:p>
    <w:p w:rsidR="008676F9" w:rsidRPr="008676F9" w:rsidRDefault="008676F9" w:rsidP="00955DA4">
      <w:pPr>
        <w:numPr>
          <w:ilvl w:val="0"/>
          <w:numId w:val="132"/>
        </w:numPr>
        <w:ind w:left="284" w:hanging="284"/>
        <w:rPr>
          <w:rFonts w:ascii="Calibri" w:hAnsi="Calibri" w:cs="Calibri"/>
          <w:szCs w:val="22"/>
        </w:rPr>
      </w:pPr>
      <w:r w:rsidRPr="008676F9">
        <w:rPr>
          <w:rFonts w:ascii="Calibri" w:hAnsi="Calibri" w:cs="Calibri"/>
          <w:szCs w:val="22"/>
          <w:lang w:eastAsia="en-US"/>
        </w:rPr>
        <w:t>príloha I bod 8.8</w:t>
      </w:r>
      <w:r w:rsidRPr="008676F9">
        <w:rPr>
          <w:rFonts w:ascii="Calibri" w:hAnsi="Calibri" w:cs="Calibri"/>
          <w:szCs w:val="22"/>
        </w:rPr>
        <w:t xml:space="preserve"> vykonávacieho nariadenia Komisie č. xxxx/2014.</w:t>
      </w:r>
    </w:p>
    <w:p w:rsidR="008676F9" w:rsidRPr="008676F9" w:rsidRDefault="008676F9" w:rsidP="008676F9">
      <w:pPr>
        <w:rPr>
          <w:rFonts w:ascii="Calibri" w:hAnsi="Calibri" w:cs="Calibri"/>
          <w:szCs w:val="22"/>
        </w:rPr>
      </w:pPr>
    </w:p>
    <w:p w:rsidR="008676F9" w:rsidRPr="008676F9" w:rsidRDefault="008676F9" w:rsidP="008676F9">
      <w:pPr>
        <w:ind w:left="709" w:hanging="709"/>
        <w:rPr>
          <w:rFonts w:ascii="Calibri" w:hAnsi="Calibri" w:cs="Calibri"/>
          <w:b/>
          <w:szCs w:val="22"/>
        </w:rPr>
      </w:pPr>
      <w:r w:rsidRPr="008676F9">
        <w:rPr>
          <w:rFonts w:ascii="Calibri" w:hAnsi="Calibri" w:cs="Calibri"/>
          <w:b/>
          <w:szCs w:val="22"/>
        </w:rPr>
        <w:t>8.2.7.2. Všeobecný opis opatrenia vrátane intervenčnej logiky a príspevku k fokusovej oblasti a prierezovým cieľom</w:t>
      </w:r>
    </w:p>
    <w:p w:rsidR="006C71EE" w:rsidRPr="008676F9" w:rsidRDefault="006C71EE" w:rsidP="00BD13CE">
      <w:pPr>
        <w:spacing w:after="120"/>
        <w:rPr>
          <w:rFonts w:ascii="Calibri" w:eastAsia="Calibri" w:hAnsi="Calibri"/>
          <w:bCs/>
          <w:lang w:eastAsia="en-US"/>
        </w:rPr>
      </w:pPr>
      <w:r w:rsidRPr="008676F9">
        <w:rPr>
          <w:rFonts w:ascii="Calibri" w:eastAsia="Calibri" w:hAnsi="Calibri"/>
          <w:bCs/>
          <w:szCs w:val="22"/>
          <w:lang w:eastAsia="en-US"/>
        </w:rPr>
        <w:t>Lesy zaberajú 41 % územia Slovenskej republiky, čo radí Slovensko medzi popredné krajiny EÚ z hľadiska lesnatosti. Preto je aj lesníctvo na Slovensku chápané ako jedno z pilierových odvetí rozvoja vidieka. Napriek relatívne vysokej lesnatosti má Slovensko v oblasti lesníctva veľký problém so zdravotným stavom lesov. Viac ako 50 % lesov je v stredom a vyššom stupni poškodenia. Svedčí o tom objem náhodných ťažieb, ktorých výška pravidelne presahuje 50 % celkového objemu ťažieb dreva (napr. r. 2011 to bolo až 52 % ). Poškodzovanými a destabilizovanými sú najmä ihličnaté lesy, ale problémy s vitalitou a stabilitou majú aj ostatné lesné ekosystémy. Negatívny trend v zdravotnom stave lesov sa prejavil, najmä v poslednom decéniu, keď sa vplyvom klimatických zmien</w:t>
      </w:r>
      <w:r>
        <w:rPr>
          <w:rFonts w:ascii="Calibri" w:eastAsia="Calibri" w:hAnsi="Calibri"/>
          <w:bCs/>
          <w:szCs w:val="22"/>
          <w:lang w:eastAsia="en-US"/>
        </w:rPr>
        <w:t xml:space="preserve">, </w:t>
      </w:r>
      <w:r>
        <w:rPr>
          <w:rFonts w:ascii="Calibri" w:eastAsia="Calibri" w:hAnsi="Calibri"/>
          <w:bCs/>
          <w:lang w:eastAsia="en-US"/>
        </w:rPr>
        <w:t>ktoré popisuje aj Stratégia adaptácie Slovenskej republiky na nepriaznivé dôsledky zmeny klímy,</w:t>
      </w:r>
      <w:r w:rsidRPr="008676F9">
        <w:rPr>
          <w:rFonts w:ascii="Calibri" w:eastAsia="Calibri" w:hAnsi="Calibri"/>
          <w:bCs/>
          <w:szCs w:val="22"/>
          <w:lang w:eastAsia="en-US"/>
        </w:rPr>
        <w:t xml:space="preserve"> zmenilo aj rozloženie zrážok v priebehu vegetačného obdobia. </w:t>
      </w:r>
      <w:r>
        <w:rPr>
          <w:rFonts w:ascii="Calibri" w:eastAsia="Calibri" w:hAnsi="Calibri"/>
          <w:bCs/>
          <w:lang w:eastAsia="en-US"/>
        </w:rPr>
        <w:t>V</w:t>
      </w:r>
      <w:r w:rsidRPr="008676F9">
        <w:rPr>
          <w:rFonts w:ascii="Calibri" w:eastAsia="Calibri" w:hAnsi="Calibri"/>
          <w:bCs/>
          <w:lang w:eastAsia="en-US"/>
        </w:rPr>
        <w:t> lesoch</w:t>
      </w:r>
      <w:r>
        <w:rPr>
          <w:rFonts w:ascii="Calibri" w:eastAsia="Calibri" w:hAnsi="Calibri"/>
          <w:bCs/>
          <w:lang w:eastAsia="en-US"/>
        </w:rPr>
        <w:t xml:space="preserve"> sa</w:t>
      </w:r>
      <w:r w:rsidRPr="008676F9">
        <w:rPr>
          <w:rFonts w:ascii="Calibri" w:eastAsia="Calibri" w:hAnsi="Calibri"/>
          <w:bCs/>
          <w:lang w:eastAsia="en-US"/>
        </w:rPr>
        <w:t xml:space="preserve"> stále častejšie vyskytujú periódy sucha, čo spolu s vysokými teplotami spôsobuje preschnutie pôd a vytvára optimálne podmienky na zvyšovanie početnosti  podkôrneho hmyzu</w:t>
      </w:r>
      <w:r>
        <w:rPr>
          <w:rFonts w:ascii="Calibri" w:eastAsia="Calibri" w:hAnsi="Calibri"/>
          <w:bCs/>
          <w:lang w:eastAsia="en-US"/>
        </w:rPr>
        <w:t>, ako aj zvýšeného rizika vzniku a šírenia požiarov</w:t>
      </w:r>
      <w:r w:rsidRPr="008676F9">
        <w:rPr>
          <w:rFonts w:ascii="Calibri" w:eastAsia="Calibri" w:hAnsi="Calibri"/>
          <w:bCs/>
          <w:lang w:eastAsia="en-US"/>
        </w:rPr>
        <w:t xml:space="preserve">. Ďalším dôsledkom klimatickej zmeny sú lokálne prívalové dažde, okrem podpory stability lesných porastov s vysokou absorpčnou schopnosť je nutné podporovať protipovodňové opatrenia na horských tokoch, najmä zachytávanie zrážok a pod. Podopatrenie 8.3 reaguje na potrebu podpory prevencie proti prírodným katastrofám a pôdnej erózii, do posilnenia ochrannej funkcie lesa a jeho obnovy po prírodných katastrofách a podpory udržateľného obhospodarovania lesa. </w:t>
      </w:r>
    </w:p>
    <w:p w:rsidR="006C71EE" w:rsidRPr="008676F9" w:rsidRDefault="006C71EE" w:rsidP="00BD13CE">
      <w:pPr>
        <w:spacing w:after="120"/>
        <w:rPr>
          <w:rFonts w:ascii="Calibri" w:eastAsia="Calibri" w:hAnsi="Calibri"/>
          <w:bCs/>
          <w:lang w:eastAsia="en-US"/>
        </w:rPr>
      </w:pPr>
      <w:r w:rsidRPr="008676F9">
        <w:rPr>
          <w:rFonts w:ascii="Calibri" w:eastAsia="Calibri" w:hAnsi="Calibri"/>
          <w:bCs/>
          <w:lang w:eastAsia="en-US"/>
        </w:rPr>
        <w:t xml:space="preserve">Realizácia aktivít podopatrenia 8.3 prispeje k napĺňaniu fokusovej oblasti </w:t>
      </w:r>
      <w:r w:rsidRPr="008676F9">
        <w:rPr>
          <w:rFonts w:ascii="Calibri" w:eastAsia="Calibri" w:hAnsi="Calibri"/>
          <w:b/>
          <w:bCs/>
          <w:lang w:eastAsia="en-US"/>
        </w:rPr>
        <w:t xml:space="preserve">4A </w:t>
      </w:r>
      <w:r w:rsidRPr="008676F9">
        <w:rPr>
          <w:rFonts w:ascii="Calibri" w:eastAsia="Calibri" w:hAnsi="Calibri"/>
          <w:b/>
          <w:bCs/>
          <w:i/>
          <w:lang w:eastAsia="en-US"/>
        </w:rPr>
        <w:t>Obnova, zachovanie a zvýšenie biologickej diverzity, vrátane na územiach sústavy NATURA 2000 a v oblastiach s prírodnými alebo inými špecifickými obmedzeniami a v poľnohospodárskej činnosti s vysokou prírodnou hodnotou a obnova, zachovanie ako aj zlepšenie stavu krajinných oblastí Európy</w:t>
      </w:r>
      <w:r w:rsidRPr="008676F9">
        <w:rPr>
          <w:rFonts w:ascii="Calibri" w:eastAsia="Calibri" w:hAnsi="Calibri"/>
          <w:bCs/>
          <w:lang w:eastAsia="en-US"/>
        </w:rPr>
        <w:t xml:space="preserve"> prostredníctvom podpory investícií do rozvoja lesných oblastí (infraštruktúry) a zlepšenia životaschopnosti lesov. Časté požiare a poškodenia lesa spôsobujú nevyčísliteľné škody na biodiverzite, preto je nutné lesné porasty revitalizovať po prírodných katastrofách tak, aby sa čo najskôr obnovili všetky funkcie lesa. Posilnením ochrannej funkcie lesa, budovaním infraštruktúry v lesoch a jeho obnovou po prírodných katastrofách bude podporené aj udržateľné obhospodarovanie lesa, prevencia pôdnej erózie a ochrana vody v lesoch, ktoré prispejú k napĺňaniu fokusových oblastí </w:t>
      </w:r>
      <w:r w:rsidRPr="008676F9">
        <w:rPr>
          <w:rFonts w:ascii="Calibri" w:eastAsia="Calibri" w:hAnsi="Calibri"/>
          <w:b/>
          <w:bCs/>
          <w:lang w:eastAsia="en-US"/>
        </w:rPr>
        <w:t xml:space="preserve">4B </w:t>
      </w:r>
      <w:r w:rsidRPr="008676F9">
        <w:rPr>
          <w:rFonts w:ascii="Calibri" w:eastAsia="Calibri" w:hAnsi="Calibri"/>
          <w:b/>
          <w:bCs/>
          <w:i/>
          <w:lang w:eastAsia="en-US"/>
        </w:rPr>
        <w:t xml:space="preserve">Zlepšenie vodného hospodárstva vrátane </w:t>
      </w:r>
      <w:r>
        <w:rPr>
          <w:rFonts w:ascii="Calibri" w:eastAsia="Calibri" w:hAnsi="Calibri"/>
          <w:b/>
          <w:bCs/>
          <w:i/>
          <w:lang w:eastAsia="en-US"/>
        </w:rPr>
        <w:t xml:space="preserve">riadenia používania </w:t>
      </w:r>
      <w:r w:rsidRPr="008676F9">
        <w:rPr>
          <w:rFonts w:ascii="Calibri" w:eastAsia="Calibri" w:hAnsi="Calibri"/>
          <w:b/>
          <w:bCs/>
          <w:i/>
          <w:lang w:eastAsia="en-US"/>
        </w:rPr>
        <w:t>hnojív a pesticídov</w:t>
      </w:r>
      <w:r w:rsidRPr="008676F9">
        <w:rPr>
          <w:rFonts w:ascii="Calibri" w:eastAsia="Calibri" w:hAnsi="Calibri"/>
          <w:bCs/>
          <w:lang w:eastAsia="en-US"/>
        </w:rPr>
        <w:t xml:space="preserve"> a </w:t>
      </w:r>
      <w:r w:rsidRPr="008676F9">
        <w:rPr>
          <w:rFonts w:ascii="Calibri" w:eastAsia="Calibri" w:hAnsi="Calibri"/>
          <w:b/>
          <w:bCs/>
          <w:lang w:eastAsia="en-US"/>
        </w:rPr>
        <w:t xml:space="preserve">4C </w:t>
      </w:r>
      <w:r w:rsidRPr="008676F9">
        <w:rPr>
          <w:rFonts w:ascii="Calibri" w:eastAsia="Calibri" w:hAnsi="Calibri"/>
          <w:b/>
          <w:bCs/>
          <w:i/>
          <w:lang w:eastAsia="en-US"/>
        </w:rPr>
        <w:t>Pre</w:t>
      </w:r>
      <w:r>
        <w:rPr>
          <w:rFonts w:ascii="Calibri" w:eastAsia="Calibri" w:hAnsi="Calibri"/>
          <w:b/>
          <w:bCs/>
          <w:i/>
          <w:lang w:eastAsia="en-US"/>
        </w:rPr>
        <w:t>dchádzanie erózii pôdy</w:t>
      </w:r>
      <w:r w:rsidRPr="008676F9">
        <w:rPr>
          <w:rFonts w:ascii="Calibri" w:eastAsia="Calibri" w:hAnsi="Calibri"/>
          <w:b/>
          <w:bCs/>
          <w:i/>
          <w:lang w:eastAsia="en-US"/>
        </w:rPr>
        <w:t xml:space="preserve"> a zlepšenie </w:t>
      </w:r>
      <w:r>
        <w:rPr>
          <w:rFonts w:ascii="Calibri" w:eastAsia="Calibri" w:hAnsi="Calibri"/>
          <w:b/>
          <w:bCs/>
          <w:i/>
          <w:lang w:eastAsia="en-US"/>
        </w:rPr>
        <w:t xml:space="preserve">jej </w:t>
      </w:r>
      <w:r w:rsidRPr="008676F9">
        <w:rPr>
          <w:rFonts w:ascii="Calibri" w:eastAsia="Calibri" w:hAnsi="Calibri"/>
          <w:b/>
          <w:bCs/>
          <w:i/>
          <w:lang w:eastAsia="en-US"/>
        </w:rPr>
        <w:t>obhospodarovania</w:t>
      </w:r>
      <w:r w:rsidRPr="008676F9">
        <w:rPr>
          <w:rFonts w:ascii="Calibri" w:eastAsia="Calibri" w:hAnsi="Calibri"/>
          <w:bCs/>
          <w:lang w:eastAsia="en-US"/>
        </w:rPr>
        <w:t>.</w:t>
      </w:r>
    </w:p>
    <w:p w:rsidR="008676F9" w:rsidRPr="008676F9" w:rsidRDefault="008676F9" w:rsidP="008676F9">
      <w:pPr>
        <w:spacing w:after="60"/>
        <w:rPr>
          <w:rFonts w:ascii="Calibri" w:eastAsia="Calibri" w:hAnsi="Calibri"/>
          <w:bCs/>
          <w:lang w:eastAsia="en-US"/>
        </w:rPr>
      </w:pPr>
      <w:r w:rsidRPr="008676F9">
        <w:rPr>
          <w:rFonts w:ascii="Calibri" w:eastAsia="Calibri" w:hAnsi="Calibri"/>
          <w:bCs/>
          <w:lang w:eastAsia="en-US"/>
        </w:rPr>
        <w:t>Strategickým cieľom SR, ktorý vychádza z Koncepcie pôdohospodárstva SR na roky 2013-2020, je trvalo udržateľný rozvoj pôdohospodárstva a konkurencieschopné pôdohospodárstvo, ktorý prispeje k napĺňaniu cieľov Stratégie Európa 2020. Zo SWOT analýzy vyplýva, že podiel lesného hospodárstva na hrubom domácom produkte sa znižuje. Na zvýšenie tohto podielu je potrebné investovať do tejto oblasti, aby sa zvýšila ekonomická hodnota lesného hospodárstva a jeho hospodársky výkon. V lesnom hospodárstve na Slovensku stále pracuje vysoké percento mechanizmov a technológií po dobe životnosti, ktoré sú fyzicky, ale i morálne opotrebované. Technické parametre takýchto mechanizmov, na rozdiel od nových prístrojov a zariadení, neumožňujú používanie moderných technológií, priaznivejších k životnému prostrediu, ktoré prispievajú k udržateľnému obhospodarovaniu lesov a zavádzaniu inovácií do lesného hospodárstva. Podopatrenie 8.6 preto</w:t>
      </w:r>
      <w:r w:rsidRPr="008676F9">
        <w:rPr>
          <w:rFonts w:ascii="Calibri" w:eastAsia="Calibri" w:hAnsi="Calibri"/>
          <w:bCs/>
          <w:lang w:eastAsia="en-US"/>
        </w:rPr>
        <w:lastRenderedPageBreak/>
        <w:t xml:space="preserve"> reaguje na potrebu podpory lesného hospodárstva v tejto oblasti , ktorá prispeje k napĺňaniu fokusovej oblasti </w:t>
      </w:r>
      <w:r w:rsidRPr="008676F9">
        <w:rPr>
          <w:rFonts w:ascii="Calibri" w:eastAsia="Calibri" w:hAnsi="Calibri"/>
          <w:b/>
          <w:bCs/>
          <w:lang w:eastAsia="en-US"/>
        </w:rPr>
        <w:t xml:space="preserve">2C </w:t>
      </w:r>
      <w:r w:rsidRPr="008676F9">
        <w:rPr>
          <w:rFonts w:ascii="Calibri" w:eastAsia="Calibri" w:hAnsi="Calibri"/>
          <w:b/>
          <w:bCs/>
          <w:i/>
          <w:lang w:eastAsia="en-US"/>
        </w:rPr>
        <w:t>Zlepšenie hospodárskeho výkonu lesného hospodárstva</w:t>
      </w:r>
      <w:r w:rsidRPr="008676F9">
        <w:rPr>
          <w:rFonts w:ascii="Calibri" w:eastAsia="Calibri" w:hAnsi="Calibri"/>
          <w:bCs/>
          <w:lang w:eastAsia="en-US"/>
        </w:rPr>
        <w:t>.</w:t>
      </w:r>
    </w:p>
    <w:p w:rsidR="008676F9" w:rsidRPr="008676F9" w:rsidRDefault="008676F9" w:rsidP="008676F9">
      <w:pPr>
        <w:spacing w:after="60"/>
        <w:rPr>
          <w:rFonts w:ascii="Calibri" w:eastAsia="Calibri" w:hAnsi="Calibri"/>
          <w:bCs/>
          <w:lang w:eastAsia="en-US"/>
        </w:rPr>
      </w:pPr>
      <w:r w:rsidRPr="008676F9">
        <w:rPr>
          <w:rFonts w:ascii="Calibri" w:eastAsia="Calibri" w:hAnsi="Calibri"/>
          <w:bCs/>
          <w:lang w:eastAsia="en-US"/>
        </w:rPr>
        <w:t xml:space="preserve"> V súvislosti so záväzkom SR dosiahnuť do roku 2020 14% podiel energie z obnoviteľných zdrojov (OZE) na hrubej konečnej spotrebe energie, je potrebné aj zvýšenie podielu využívania a spracovania odpadovej biomasy, rastlinných zvyškov, exkrementov živočíšnej výroby a iných OZE na produkciu energie. Jednou z ciest ako dosiahnuť stanovený cieľ je prispievať k zvýšeniu podielu spracovania a využívania OZE v lesníctve, na čo rovnako reaguje podopatrenie 8.6 podporou aktivít na využívanie ťažbových zvyškov, hmoty z prerezávok a sortimentov nižšej kvality na výrobu lesnej energetickej štiepky a pod., ktoré prispejú k napĺňaniu fokusovej oblasti 5C Uľahčenie dodávok a využívania obnoviteľných zdrojov energie, vedľajších produktov, odpadov, zvyškov a iných nepotravinových surovín na účely biohospodárstva. </w:t>
      </w:r>
    </w:p>
    <w:p w:rsidR="008676F9" w:rsidRPr="008676F9" w:rsidRDefault="008676F9" w:rsidP="008676F9">
      <w:pPr>
        <w:spacing w:after="60"/>
        <w:rPr>
          <w:rFonts w:ascii="Calibri" w:eastAsia="Calibri" w:hAnsi="Calibri"/>
          <w:bCs/>
          <w:lang w:eastAsia="en-US"/>
        </w:rPr>
      </w:pPr>
      <w:r w:rsidRPr="008676F9">
        <w:rPr>
          <w:rFonts w:ascii="Calibri" w:eastAsia="Calibri" w:hAnsi="Calibri"/>
          <w:bCs/>
          <w:lang w:eastAsia="en-US"/>
        </w:rPr>
        <w:t>Na Slovensku je približne 45 % lesov začlenených do chráneného územia národného alebo európskeho významu, pričom 75 % chránených území tvoria lesy. Lesy sú polyfunkčné a slúžia predovšetkým na hospodárske, sociálne a environmentálne účely. Zvlášť tieto chránené lesy by mali byť využívané najmä pre environmentálne účely. Zohrávajú významnú úlohu pri poskytovaní ekosystémových služieb ako je zmierňovanie klimatických zmien, pričom rozsiahle spoločenské prínosy by mali byť v podobe prínosov pre ľudské zdravie, voľný čas a cestovný ruch. Na zlepšenie odolnosti a na zabezpečenie týchto služieb je nevyhnutné vykonávať aktívne opatrenia v lesných ekosystémoch, ktoré musia byť sprístupnené citlivo budovanou infraštruktúrou, ktorá z dlhodobého hľadiska bude prispievať aj k naplneniu hospodárskych a sociálnych funkcií lesov.</w:t>
      </w:r>
    </w:p>
    <w:p w:rsidR="008676F9" w:rsidRPr="008676F9" w:rsidRDefault="008676F9" w:rsidP="008676F9">
      <w:pPr>
        <w:spacing w:after="60"/>
        <w:rPr>
          <w:rFonts w:ascii="Calibri" w:eastAsia="Calibri" w:hAnsi="Calibri"/>
          <w:bCs/>
          <w:szCs w:val="22"/>
          <w:lang w:eastAsia="en-US"/>
        </w:rPr>
      </w:pPr>
      <w:r w:rsidRPr="008676F9">
        <w:rPr>
          <w:rFonts w:ascii="Calibri" w:eastAsia="Calibri" w:hAnsi="Calibri"/>
          <w:bCs/>
          <w:lang w:eastAsia="en-US"/>
        </w:rPr>
        <w:t>Pod</w:t>
      </w:r>
      <w:r w:rsidR="008424BA">
        <w:rPr>
          <w:rFonts w:ascii="Calibri" w:eastAsia="Calibri" w:hAnsi="Calibri"/>
          <w:bCs/>
          <w:lang w:eastAsia="en-US"/>
        </w:rPr>
        <w:t>o</w:t>
      </w:r>
      <w:r w:rsidRPr="008676F9">
        <w:rPr>
          <w:rFonts w:ascii="Calibri" w:eastAsia="Calibri" w:hAnsi="Calibri"/>
          <w:bCs/>
          <w:lang w:eastAsia="en-US"/>
        </w:rPr>
        <w:t xml:space="preserve">patrenie 8.5 reaguje na potrebu zlepšenia odolnosti a environmentálnej hodnoty lesných ekosystémov </w:t>
      </w:r>
      <w:r w:rsidRPr="008676F9">
        <w:rPr>
          <w:rFonts w:ascii="Calibri" w:eastAsia="Calibri" w:hAnsi="Calibri"/>
          <w:bCs/>
          <w:szCs w:val="22"/>
          <w:lang w:eastAsia="en-US"/>
        </w:rPr>
        <w:t xml:space="preserve">predovšetkým </w:t>
      </w:r>
      <w:r w:rsidR="002B304D">
        <w:rPr>
          <w:rFonts w:ascii="Calibri" w:eastAsia="Calibri" w:hAnsi="Calibri"/>
          <w:bCs/>
          <w:szCs w:val="22"/>
          <w:lang w:eastAsia="en-US"/>
        </w:rPr>
        <w:t>umelou obnovou ochranných lesov a lesov osobitného určenia</w:t>
      </w:r>
      <w:r w:rsidRPr="008676F9">
        <w:rPr>
          <w:rFonts w:ascii="Calibri" w:eastAsia="Calibri" w:hAnsi="Calibri"/>
          <w:bCs/>
          <w:szCs w:val="22"/>
          <w:lang w:eastAsia="en-US"/>
        </w:rPr>
        <w:t xml:space="preserve">, podporou hniezdnych príležitostí vtákov v lese a iných prvkov biodiverzity. Taktiež rozvojom občianskej a poznávacej infraštruktúry v lesných ekosystémoch, čo rovnako </w:t>
      </w:r>
      <w:r w:rsidRPr="008676F9">
        <w:rPr>
          <w:rFonts w:ascii="Calibri" w:eastAsia="Calibri" w:hAnsi="Calibri"/>
          <w:bCs/>
          <w:lang w:eastAsia="en-US"/>
        </w:rPr>
        <w:t xml:space="preserve">prispeje k napĺňaniu fokusovej oblasti </w:t>
      </w:r>
      <w:r w:rsidRPr="008676F9">
        <w:rPr>
          <w:rFonts w:ascii="Calibri" w:eastAsia="Calibri" w:hAnsi="Calibri"/>
          <w:b/>
          <w:bCs/>
          <w:lang w:eastAsia="en-US"/>
        </w:rPr>
        <w:t>4A Obnova, zachovanie a zvýšenie biologickej diverzity, vrátane na územiach sústavy Natura 2000 a v oblastiach s prírodnými alebo inými špecifickými obmedzeniami a v poľnohospodárskej činnosti s vysokou prírodnou hodnotou a obnova, zachovanie, ako aj zlepšenie stavu krajinných oblastí Európy.</w:t>
      </w:r>
      <w:r w:rsidRPr="008676F9">
        <w:rPr>
          <w:rFonts w:ascii="Calibri" w:eastAsia="Calibri" w:hAnsi="Calibri"/>
          <w:bCs/>
          <w:lang w:eastAsia="en-US"/>
        </w:rPr>
        <w:t xml:space="preserve"> </w:t>
      </w:r>
      <w:r w:rsidRPr="008676F9">
        <w:rPr>
          <w:rFonts w:ascii="Calibri" w:eastAsia="Calibri" w:hAnsi="Calibri"/>
          <w:bCs/>
          <w:szCs w:val="22"/>
          <w:lang w:eastAsia="en-US"/>
        </w:rPr>
        <w:t xml:space="preserve">Cieľom </w:t>
      </w:r>
      <w:r w:rsidR="002B304D">
        <w:rPr>
          <w:rFonts w:ascii="Calibri" w:eastAsia="Calibri" w:hAnsi="Calibri"/>
          <w:bCs/>
          <w:szCs w:val="22"/>
          <w:lang w:eastAsia="en-US"/>
        </w:rPr>
        <w:t xml:space="preserve">umelej obnovy ochranných lesov a lesov osobitného určenia </w:t>
      </w:r>
      <w:r w:rsidRPr="008676F9">
        <w:rPr>
          <w:rFonts w:ascii="Calibri" w:eastAsia="Calibri" w:hAnsi="Calibri"/>
          <w:bCs/>
          <w:szCs w:val="22"/>
          <w:lang w:eastAsia="en-US"/>
        </w:rPr>
        <w:t xml:space="preserve"> je podsadbou zabezpečiť zmenu drevinovej skladby</w:t>
      </w:r>
      <w:r w:rsidR="002B304D">
        <w:rPr>
          <w:rFonts w:ascii="Calibri" w:eastAsia="Calibri" w:hAnsi="Calibri"/>
          <w:bCs/>
          <w:szCs w:val="22"/>
          <w:lang w:eastAsia="en-US"/>
        </w:rPr>
        <w:t>, zvýšiť odolnosť lesných porastov a podporovať obnovu lesa, ktorý stratil túto schopnosť</w:t>
      </w:r>
      <w:r w:rsidRPr="008676F9">
        <w:rPr>
          <w:rFonts w:ascii="Calibri" w:eastAsia="Calibri" w:hAnsi="Calibri"/>
          <w:bCs/>
          <w:szCs w:val="22"/>
          <w:lang w:eastAsia="en-US"/>
        </w:rPr>
        <w:t xml:space="preserve">. Podpora environmentálne priaznivých a efektívnych technologických postupov pri podsadbách sadeníc </w:t>
      </w:r>
      <w:r w:rsidR="002B304D">
        <w:rPr>
          <w:rFonts w:ascii="Calibri" w:eastAsia="Calibri" w:hAnsi="Calibri"/>
          <w:bCs/>
          <w:szCs w:val="22"/>
          <w:lang w:eastAsia="en-US"/>
        </w:rPr>
        <w:t xml:space="preserve">je realizovaná </w:t>
      </w:r>
      <w:r w:rsidRPr="008676F9">
        <w:rPr>
          <w:rFonts w:ascii="Calibri" w:eastAsia="Calibri" w:hAnsi="Calibri"/>
          <w:bCs/>
          <w:szCs w:val="22"/>
          <w:lang w:eastAsia="en-US"/>
        </w:rPr>
        <w:t>na základe najnovších výskumov.</w:t>
      </w:r>
    </w:p>
    <w:p w:rsidR="008676F9" w:rsidRPr="008676F9" w:rsidRDefault="008676F9" w:rsidP="008676F9">
      <w:pPr>
        <w:rPr>
          <w:rFonts w:ascii="Calibri" w:eastAsia="Calibri" w:hAnsi="Calibri" w:cs="Calibri"/>
          <w:b/>
          <w:bCs/>
          <w:szCs w:val="22"/>
          <w:lang w:eastAsia="en-US"/>
        </w:rPr>
      </w:pPr>
    </w:p>
    <w:p w:rsidR="008676F9" w:rsidRPr="008676F9" w:rsidRDefault="008676F9" w:rsidP="008676F9">
      <w:pPr>
        <w:rPr>
          <w:rFonts w:ascii="Calibri" w:eastAsia="Calibri" w:hAnsi="Calibri" w:cs="Calibri"/>
          <w:bCs/>
          <w:szCs w:val="22"/>
          <w:u w:val="single"/>
        </w:rPr>
      </w:pPr>
      <w:r w:rsidRPr="008676F9">
        <w:rPr>
          <w:rFonts w:ascii="Calibri" w:eastAsia="Calibri" w:hAnsi="Calibri" w:cs="Calibri"/>
          <w:bCs/>
          <w:szCs w:val="22"/>
          <w:u w:val="single"/>
        </w:rPr>
        <w:t>Potenciálny príspevok k iným fokusovým oblastiam</w:t>
      </w:r>
    </w:p>
    <w:p w:rsidR="008676F9" w:rsidRPr="008676F9" w:rsidRDefault="008676F9" w:rsidP="008676F9">
      <w:pPr>
        <w:ind w:left="426" w:hanging="426"/>
        <w:rPr>
          <w:rFonts w:ascii="Calibri" w:eastAsia="Calibri" w:hAnsi="Calibri"/>
          <w:i/>
          <w:szCs w:val="22"/>
        </w:rPr>
      </w:pPr>
      <w:r w:rsidRPr="008676F9">
        <w:rPr>
          <w:rFonts w:ascii="Calibri" w:eastAsia="Calibri" w:hAnsi="Calibri" w:cs="Calibri"/>
          <w:bCs/>
          <w:i/>
          <w:szCs w:val="22"/>
        </w:rPr>
        <w:t xml:space="preserve">5E </w:t>
      </w:r>
      <w:r w:rsidRPr="008676F9">
        <w:rPr>
          <w:rFonts w:ascii="Calibri" w:eastAsia="Calibri" w:hAnsi="Calibri" w:cs="Calibri"/>
          <w:bCs/>
          <w:i/>
          <w:szCs w:val="22"/>
        </w:rPr>
        <w:tab/>
      </w:r>
      <w:r w:rsidRPr="008676F9">
        <w:rPr>
          <w:rFonts w:ascii="Calibri" w:hAnsi="Calibri"/>
          <w:bCs/>
          <w:i/>
          <w:color w:val="000000"/>
          <w:szCs w:val="22"/>
        </w:rPr>
        <w:t>Podpora sekvestrácie oxidu uhličitého v poľnohospodárstve a lesnom hospodárstve</w:t>
      </w:r>
    </w:p>
    <w:p w:rsidR="008676F9" w:rsidRPr="008676F9" w:rsidRDefault="008676F9" w:rsidP="008676F9">
      <w:pPr>
        <w:rPr>
          <w:rFonts w:ascii="Calibri" w:eastAsia="Calibri" w:hAnsi="Calibri" w:cs="Calibri"/>
          <w:b/>
          <w:bCs/>
          <w:szCs w:val="22"/>
          <w:u w:val="single"/>
          <w:lang w:eastAsia="en-US"/>
        </w:rPr>
      </w:pPr>
    </w:p>
    <w:p w:rsidR="008676F9" w:rsidRPr="008676F9" w:rsidRDefault="008676F9" w:rsidP="008676F9">
      <w:pPr>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Príspevok k prierezovým cieľom</w:t>
      </w:r>
    </w:p>
    <w:p w:rsidR="008676F9" w:rsidRPr="008676F9" w:rsidRDefault="008676F9" w:rsidP="008676F9">
      <w:pPr>
        <w:rPr>
          <w:rFonts w:ascii="Calibri" w:eastAsia="Calibri" w:hAnsi="Calibri" w:cs="Calibri"/>
          <w:szCs w:val="22"/>
          <w:lang w:eastAsia="en-US"/>
        </w:rPr>
      </w:pPr>
      <w:r w:rsidRPr="008676F9">
        <w:rPr>
          <w:rFonts w:ascii="Calibri" w:eastAsia="Calibri" w:hAnsi="Calibri" w:cs="Calibri"/>
          <w:szCs w:val="22"/>
          <w:lang w:eastAsia="en-US"/>
        </w:rPr>
        <w:t>Inovácie</w:t>
      </w:r>
    </w:p>
    <w:p w:rsidR="008676F9" w:rsidRPr="008676F9" w:rsidRDefault="008676F9" w:rsidP="008676F9">
      <w:pPr>
        <w:rPr>
          <w:rFonts w:ascii="Calibri" w:eastAsia="Calibri" w:hAnsi="Calibri" w:cs="Calibri"/>
          <w:szCs w:val="22"/>
          <w:lang w:eastAsia="en-US"/>
        </w:rPr>
      </w:pPr>
      <w:r w:rsidRPr="008676F9">
        <w:rPr>
          <w:rFonts w:ascii="Calibri" w:eastAsia="Calibri" w:hAnsi="Calibri" w:cs="Calibri"/>
          <w:szCs w:val="22"/>
          <w:lang w:eastAsia="en-US"/>
        </w:rPr>
        <w:t>Životné prostredie</w:t>
      </w:r>
    </w:p>
    <w:p w:rsidR="008676F9" w:rsidRPr="008676F9" w:rsidRDefault="008676F9" w:rsidP="008676F9">
      <w:pPr>
        <w:rPr>
          <w:rFonts w:ascii="Calibri" w:eastAsia="Calibri" w:hAnsi="Calibri" w:cs="Calibri"/>
          <w:bCs/>
          <w:szCs w:val="22"/>
          <w:lang w:eastAsia="en-US"/>
        </w:rPr>
      </w:pPr>
      <w:r w:rsidRPr="008676F9">
        <w:rPr>
          <w:rFonts w:ascii="Calibri" w:eastAsia="Calibri" w:hAnsi="Calibri" w:cs="Calibri"/>
          <w:szCs w:val="22"/>
          <w:lang w:eastAsia="en-US"/>
        </w:rPr>
        <w:t>Zmierňovanie zmeny klímy a adaptácia na ňu</w:t>
      </w:r>
    </w:p>
    <w:p w:rsidR="008676F9" w:rsidRPr="008676F9" w:rsidRDefault="008676F9" w:rsidP="008676F9">
      <w:pPr>
        <w:rPr>
          <w:rFonts w:ascii="Calibri" w:eastAsia="Calibri" w:hAnsi="Calibri" w:cs="Calibri"/>
          <w:b/>
          <w:bCs/>
          <w:szCs w:val="22"/>
          <w:lang w:eastAsia="en-US"/>
        </w:rPr>
      </w:pPr>
    </w:p>
    <w:p w:rsidR="008676F9" w:rsidRDefault="008676F9" w:rsidP="008676F9">
      <w:pPr>
        <w:rPr>
          <w:rFonts w:ascii="Calibri" w:eastAsia="Calibri" w:hAnsi="Calibri" w:cs="Calibri"/>
          <w:bCs/>
          <w:szCs w:val="22"/>
          <w:lang w:eastAsia="en-US"/>
        </w:rPr>
      </w:pPr>
      <w:r w:rsidRPr="008676F9">
        <w:rPr>
          <w:rFonts w:ascii="Calibri" w:eastAsia="Calibri" w:hAnsi="Calibri" w:cs="Calibri"/>
          <w:b/>
          <w:bCs/>
          <w:szCs w:val="22"/>
          <w:lang w:eastAsia="en-US"/>
        </w:rPr>
        <w:t xml:space="preserve">8.2.7.3 Rozsah, úroveň podpory a ďalšie informácie </w:t>
      </w:r>
      <w:r w:rsidRPr="008676F9">
        <w:rPr>
          <w:rFonts w:ascii="Calibri" w:eastAsia="Calibri" w:hAnsi="Calibri" w:cs="Calibri"/>
          <w:bCs/>
          <w:szCs w:val="22"/>
          <w:lang w:eastAsia="en-US"/>
        </w:rPr>
        <w:t>(v členení podľa podopatrení a typov operácie)</w:t>
      </w:r>
    </w:p>
    <w:p w:rsidR="00A03A77" w:rsidRPr="008676F9" w:rsidRDefault="00A03A77" w:rsidP="008676F9">
      <w:pPr>
        <w:rPr>
          <w:rFonts w:ascii="Calibri" w:eastAsia="Calibri" w:hAnsi="Calibri" w:cs="Calibri"/>
          <w:b/>
          <w:bCs/>
          <w:szCs w:val="22"/>
          <w:lang w:eastAsia="en-US"/>
        </w:rPr>
      </w:pPr>
    </w:p>
    <w:p w:rsidR="008676F9" w:rsidRPr="008676F9" w:rsidRDefault="008676F9" w:rsidP="00A03A77">
      <w:pPr>
        <w:shd w:val="clear" w:color="auto" w:fill="EAF1DD"/>
        <w:ind w:left="1843" w:hanging="1843"/>
        <w:rPr>
          <w:rFonts w:ascii="Calibri" w:eastAsia="Calibri" w:hAnsi="Calibri" w:cs="Calibri"/>
          <w:b/>
          <w:bCs/>
          <w:lang w:eastAsia="en-US"/>
        </w:rPr>
      </w:pPr>
      <w:r w:rsidRPr="008676F9">
        <w:rPr>
          <w:rFonts w:ascii="Calibri" w:eastAsia="Calibri" w:hAnsi="Calibri" w:cs="Calibri"/>
          <w:bCs/>
          <w:lang w:eastAsia="en-US"/>
        </w:rPr>
        <w:t xml:space="preserve">Podopatrenie: </w:t>
      </w:r>
      <w:r w:rsidRPr="008676F9">
        <w:rPr>
          <w:rFonts w:ascii="Calibri" w:eastAsia="Calibri" w:hAnsi="Calibri" w:cs="Calibri"/>
          <w:b/>
          <w:bCs/>
          <w:i/>
          <w:lang w:eastAsia="en-US"/>
        </w:rPr>
        <w:t xml:space="preserve">8.3. </w:t>
      </w:r>
      <w:r w:rsidRPr="00BD13CE">
        <w:rPr>
          <w:rFonts w:ascii="Calibri" w:eastAsia="Calibri" w:hAnsi="Calibri" w:cs="Calibri"/>
          <w:b/>
          <w:bCs/>
          <w:i/>
          <w:sz w:val="24"/>
          <w:lang w:eastAsia="en-US"/>
        </w:rPr>
        <w:t>Podpora prevencie poškodzovania lesov lesnými požiarmi</w:t>
      </w:r>
      <w:r w:rsidR="003A72F5" w:rsidRPr="00BD13CE">
        <w:rPr>
          <w:rFonts w:ascii="Calibri" w:eastAsia="Calibri" w:hAnsi="Calibri" w:cs="Calibri"/>
          <w:b/>
          <w:bCs/>
          <w:i/>
          <w:sz w:val="24"/>
          <w:lang w:eastAsia="en-US"/>
        </w:rPr>
        <w:t>,</w:t>
      </w:r>
      <w:r w:rsidRPr="00BD13CE">
        <w:rPr>
          <w:rFonts w:ascii="Calibri" w:eastAsia="Calibri" w:hAnsi="Calibri" w:cs="Calibri"/>
          <w:b/>
          <w:bCs/>
          <w:i/>
          <w:sz w:val="24"/>
          <w:lang w:eastAsia="en-US"/>
        </w:rPr>
        <w:t> prírodnými pohromami a katastrofickými udalosťami</w:t>
      </w:r>
      <w:r w:rsidRPr="008676F9">
        <w:rPr>
          <w:rFonts w:ascii="Calibri" w:eastAsia="Calibri" w:hAnsi="Calibri" w:cs="Calibri"/>
          <w:b/>
          <w:bCs/>
          <w:i/>
          <w:lang w:eastAsia="en-US"/>
        </w:rPr>
        <w:t xml:space="preserve"> </w:t>
      </w:r>
    </w:p>
    <w:p w:rsidR="008676F9" w:rsidRPr="008676F9" w:rsidRDefault="008676F9" w:rsidP="008676F9">
      <w:pPr>
        <w:shd w:val="clear" w:color="auto" w:fill="FBD4B4"/>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Názov operácie:</w:t>
      </w:r>
    </w:p>
    <w:p w:rsidR="008676F9" w:rsidRPr="008676F9" w:rsidRDefault="008676F9" w:rsidP="008676F9">
      <w:pPr>
        <w:shd w:val="clear" w:color="auto" w:fill="FBD4B4"/>
        <w:rPr>
          <w:rFonts w:ascii="Calibri" w:eastAsia="Calibri" w:hAnsi="Calibri" w:cs="Calibri"/>
          <w:bCs/>
          <w:i/>
          <w:szCs w:val="22"/>
          <w:u w:val="single"/>
          <w:lang w:eastAsia="en-US"/>
        </w:rPr>
      </w:pPr>
      <w:r w:rsidRPr="008676F9">
        <w:rPr>
          <w:rFonts w:ascii="Calibri" w:eastAsia="Calibri" w:hAnsi="Calibri"/>
          <w:bCs/>
          <w:i/>
          <w:szCs w:val="22"/>
          <w:lang w:eastAsia="en-US"/>
        </w:rPr>
        <w:t>Podpora preventívnych protipovodňových a protipožiarnych opatrení za účelom zlepšenia vodného hospodárstva v lese</w:t>
      </w:r>
    </w:p>
    <w:p w:rsidR="008676F9" w:rsidRPr="008676F9" w:rsidRDefault="008676F9" w:rsidP="008676F9">
      <w:pPr>
        <w:rPr>
          <w:rFonts w:ascii="Calibri" w:eastAsia="Calibri" w:hAnsi="Calibri" w:cs="Calibri"/>
          <w:bCs/>
          <w:szCs w:val="22"/>
          <w:u w:val="single"/>
          <w:lang w:eastAsia="en-US"/>
        </w:rPr>
      </w:pPr>
    </w:p>
    <w:p w:rsidR="008676F9" w:rsidRPr="008676F9" w:rsidRDefault="008676F9" w:rsidP="006F5151">
      <w:pPr>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Opis operácie:</w:t>
      </w:r>
    </w:p>
    <w:p w:rsidR="008676F9" w:rsidRPr="008676F9" w:rsidRDefault="008676F9" w:rsidP="00317BFF">
      <w:pPr>
        <w:numPr>
          <w:ilvl w:val="0"/>
          <w:numId w:val="32"/>
        </w:numPr>
        <w:ind w:left="357" w:hanging="357"/>
        <w:rPr>
          <w:rFonts w:ascii="Calibri" w:hAnsi="Calibri"/>
          <w:lang w:val="en-GB" w:eastAsia="en-US"/>
        </w:rPr>
      </w:pPr>
      <w:r w:rsidRPr="008676F9">
        <w:rPr>
          <w:rFonts w:ascii="Calibri" w:hAnsi="Calibri"/>
          <w:lang w:eastAsia="en-US"/>
        </w:rPr>
        <w:t>zahrádzanie bystrín v lesoch podľa § 27 zákona č. 326/200</w:t>
      </w:r>
      <w:r w:rsidR="006C71EE">
        <w:rPr>
          <w:rFonts w:ascii="Calibri" w:hAnsi="Calibri"/>
          <w:lang w:eastAsia="en-US"/>
        </w:rPr>
        <w:t>5</w:t>
      </w:r>
      <w:r w:rsidRPr="008676F9">
        <w:rPr>
          <w:rFonts w:ascii="Calibri" w:hAnsi="Calibri"/>
          <w:lang w:eastAsia="en-US"/>
        </w:rPr>
        <w:t xml:space="preserve"> Z. z. (budovanie a rekonštrukcia prehrádzok, malé vodné stupne alebo  ich zoskupenia  a úpravy korýt na bystrinách);</w:t>
      </w:r>
    </w:p>
    <w:p w:rsidR="008676F9" w:rsidRPr="008676F9" w:rsidRDefault="008676F9" w:rsidP="00317BFF">
      <w:pPr>
        <w:numPr>
          <w:ilvl w:val="0"/>
          <w:numId w:val="32"/>
        </w:numPr>
        <w:ind w:left="357" w:hanging="357"/>
        <w:rPr>
          <w:rFonts w:ascii="Calibri" w:eastAsia="Calibri" w:hAnsi="Calibri"/>
          <w:szCs w:val="22"/>
          <w:lang w:eastAsia="en-US"/>
        </w:rPr>
      </w:pPr>
      <w:r w:rsidRPr="008676F9">
        <w:rPr>
          <w:rFonts w:ascii="Calibri" w:eastAsia="Calibri" w:hAnsi="Calibri"/>
          <w:szCs w:val="22"/>
          <w:lang w:eastAsia="en-US"/>
        </w:rPr>
        <w:t xml:space="preserve">budovanie a rekonštrukcia technických diel </w:t>
      </w:r>
      <w:r w:rsidR="003A72F5">
        <w:rPr>
          <w:rFonts w:ascii="Calibri" w:eastAsia="Calibri" w:hAnsi="Calibri"/>
          <w:szCs w:val="22"/>
          <w:lang w:eastAsia="en-US"/>
        </w:rPr>
        <w:t xml:space="preserve">v lesoch </w:t>
      </w:r>
      <w:r w:rsidRPr="008676F9">
        <w:rPr>
          <w:rFonts w:ascii="Calibri" w:eastAsia="Calibri" w:hAnsi="Calibri"/>
          <w:szCs w:val="22"/>
          <w:lang w:eastAsia="en-US"/>
        </w:rPr>
        <w:t>pre akumuláciu vody na účely ochrany pred požiarmi podľa § 27 zákona č. 326/200</w:t>
      </w:r>
      <w:r w:rsidR="006C71EE">
        <w:rPr>
          <w:rFonts w:ascii="Calibri" w:eastAsia="Calibri" w:hAnsi="Calibri"/>
          <w:szCs w:val="22"/>
          <w:lang w:eastAsia="en-US"/>
        </w:rPr>
        <w:t>5</w:t>
      </w:r>
      <w:r w:rsidRPr="008676F9">
        <w:rPr>
          <w:rFonts w:ascii="Calibri" w:eastAsia="Calibri" w:hAnsi="Calibri"/>
          <w:szCs w:val="22"/>
          <w:lang w:eastAsia="en-US"/>
        </w:rPr>
        <w:t xml:space="preserve"> Z. z.; </w:t>
      </w:r>
    </w:p>
    <w:p w:rsidR="008676F9" w:rsidRPr="008676F9" w:rsidRDefault="008676F9" w:rsidP="00317BFF">
      <w:pPr>
        <w:numPr>
          <w:ilvl w:val="0"/>
          <w:numId w:val="32"/>
        </w:numPr>
        <w:rPr>
          <w:rFonts w:ascii="Calibri" w:eastAsia="Calibri" w:hAnsi="Calibri"/>
          <w:szCs w:val="22"/>
          <w:lang w:eastAsia="en-US"/>
        </w:rPr>
      </w:pPr>
      <w:r w:rsidRPr="008676F9">
        <w:rPr>
          <w:rFonts w:ascii="Calibri" w:eastAsia="Calibri" w:hAnsi="Calibri"/>
          <w:szCs w:val="22"/>
          <w:lang w:eastAsia="en-US"/>
        </w:rPr>
        <w:t>budovanie jednoduchých objektov protipovodňovej ochrany</w:t>
      </w:r>
      <w:r w:rsidR="003A72F5">
        <w:rPr>
          <w:rFonts w:ascii="Calibri" w:eastAsia="Calibri" w:hAnsi="Calibri"/>
          <w:szCs w:val="22"/>
          <w:lang w:eastAsia="en-US"/>
        </w:rPr>
        <w:t xml:space="preserve"> v lesoch – drobných prekladaných drevených hrádzok (zrubov) alebo sypaných kamenných hrádzok na lesných pozemkoch zabezpečujúcich záchyt splavenín, udržanie vody v krajine, resp</w:t>
      </w:r>
      <w:r w:rsidRPr="008676F9">
        <w:rPr>
          <w:rFonts w:ascii="Calibri" w:eastAsia="Calibri" w:hAnsi="Calibri"/>
          <w:szCs w:val="22"/>
          <w:lang w:eastAsia="en-US"/>
        </w:rPr>
        <w:t>.</w:t>
      </w:r>
      <w:r w:rsidR="003A72F5">
        <w:rPr>
          <w:rFonts w:ascii="Calibri" w:eastAsia="Calibri" w:hAnsi="Calibri"/>
          <w:szCs w:val="22"/>
          <w:lang w:eastAsia="en-US"/>
        </w:rPr>
        <w:t xml:space="preserve"> spomalenie jej odtoku.</w:t>
      </w:r>
    </w:p>
    <w:p w:rsidR="008676F9" w:rsidRPr="008676F9" w:rsidRDefault="008676F9" w:rsidP="006F5151">
      <w:pPr>
        <w:rPr>
          <w:rFonts w:ascii="Calibri" w:eastAsia="Calibri" w:hAnsi="Calibri" w:cs="Calibri"/>
          <w:bCs/>
          <w:szCs w:val="22"/>
          <w:u w:val="single"/>
          <w:lang w:eastAsia="en-US"/>
        </w:rPr>
      </w:pPr>
    </w:p>
    <w:p w:rsidR="008676F9" w:rsidRPr="008676F9" w:rsidRDefault="008676F9" w:rsidP="006F5151">
      <w:pPr>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Typ podpory:</w:t>
      </w:r>
    </w:p>
    <w:p w:rsidR="008676F9" w:rsidRPr="008676F9" w:rsidRDefault="008676F9" w:rsidP="006F5151">
      <w:pPr>
        <w:rPr>
          <w:rFonts w:ascii="Calibri" w:eastAsia="Calibri" w:hAnsi="Calibri" w:cs="Calibri"/>
          <w:bCs/>
          <w:szCs w:val="22"/>
          <w:lang w:eastAsia="en-US"/>
        </w:rPr>
      </w:pPr>
      <w:r w:rsidRPr="008676F9">
        <w:rPr>
          <w:rFonts w:ascii="Calibri" w:eastAsia="Calibri" w:hAnsi="Calibri" w:cs="Calibri"/>
          <w:bCs/>
          <w:szCs w:val="22"/>
          <w:lang w:eastAsia="en-US"/>
        </w:rPr>
        <w:t>Investičná, nezisková, nenávratný finančný príspevok, možnosť poskytnutia zálohovej platby do max. 50% oprávnených výdavkov.</w:t>
      </w:r>
    </w:p>
    <w:p w:rsidR="008676F9" w:rsidRPr="008676F9" w:rsidRDefault="008676F9" w:rsidP="006F5151">
      <w:pPr>
        <w:rPr>
          <w:rFonts w:ascii="Calibri" w:eastAsia="Calibri" w:hAnsi="Calibri" w:cs="Calibri"/>
          <w:bCs/>
          <w:szCs w:val="22"/>
          <w:u w:val="single"/>
          <w:lang w:eastAsia="en-US"/>
        </w:rPr>
      </w:pPr>
    </w:p>
    <w:p w:rsidR="008676F9" w:rsidRPr="008676F9" w:rsidRDefault="008676F9" w:rsidP="006F5151">
      <w:pPr>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Súvislosť s inou legislatívou:</w:t>
      </w:r>
    </w:p>
    <w:p w:rsidR="006C71EE" w:rsidRPr="008676F9" w:rsidRDefault="006C71EE" w:rsidP="006C71EE">
      <w:pPr>
        <w:rPr>
          <w:rFonts w:ascii="Calibri" w:hAnsi="Calibri" w:cs="Calibri"/>
          <w:bCs/>
          <w:szCs w:val="22"/>
          <w:lang w:eastAsia="en-US"/>
        </w:rPr>
      </w:pPr>
      <w:r>
        <w:rPr>
          <w:rFonts w:ascii="Calibri" w:hAnsi="Calibri" w:cs="Calibri"/>
          <w:bCs/>
          <w:szCs w:val="22"/>
          <w:lang w:eastAsia="en-US"/>
        </w:rPr>
        <w:t>N</w:t>
      </w:r>
      <w:r w:rsidRPr="008676F9">
        <w:rPr>
          <w:rFonts w:ascii="Calibri" w:hAnsi="Calibri" w:cs="Calibri"/>
          <w:bCs/>
          <w:szCs w:val="22"/>
          <w:lang w:eastAsia="en-US"/>
        </w:rPr>
        <w:t>ariadenie (EÚ) č. 1310/2013 ktorým sa stanovujú niektoré prechodné ustanovenia o podpore rozvoja vidieka z Európskeho poľnohospodá</w:t>
      </w:r>
      <w:r>
        <w:rPr>
          <w:rFonts w:ascii="Calibri" w:hAnsi="Calibri" w:cs="Calibri"/>
          <w:bCs/>
          <w:szCs w:val="22"/>
          <w:lang w:eastAsia="en-US"/>
        </w:rPr>
        <w:t>rskeho fondu pre rozvoj vidieka.</w:t>
      </w:r>
    </w:p>
    <w:p w:rsidR="006C71EE" w:rsidRPr="008676F9" w:rsidRDefault="006C71EE" w:rsidP="006C71EE">
      <w:pPr>
        <w:rPr>
          <w:rFonts w:ascii="Calibri" w:hAnsi="Calibri"/>
          <w:szCs w:val="22"/>
          <w:lang w:eastAsia="en-US"/>
        </w:rPr>
      </w:pPr>
      <w:r w:rsidRPr="008676F9">
        <w:rPr>
          <w:rFonts w:ascii="Calibri" w:hAnsi="Calibri"/>
          <w:szCs w:val="22"/>
          <w:lang w:eastAsia="en-US"/>
        </w:rPr>
        <w:t xml:space="preserve">Neprekrývanie podpory v rámci </w:t>
      </w:r>
      <w:r>
        <w:rPr>
          <w:rFonts w:ascii="Calibri" w:hAnsi="Calibri"/>
          <w:szCs w:val="22"/>
          <w:lang w:eastAsia="en-US"/>
        </w:rPr>
        <w:t xml:space="preserve">tejto </w:t>
      </w:r>
      <w:r w:rsidRPr="008676F9">
        <w:rPr>
          <w:rFonts w:ascii="Calibri" w:hAnsi="Calibri"/>
          <w:szCs w:val="22"/>
          <w:lang w:eastAsia="en-US"/>
        </w:rPr>
        <w:t xml:space="preserve">operácie s podporou v rámci </w:t>
      </w:r>
      <w:r w:rsidRPr="003A72F5">
        <w:rPr>
          <w:rFonts w:ascii="Calibri" w:hAnsi="Calibri"/>
          <w:b/>
          <w:szCs w:val="22"/>
          <w:lang w:eastAsia="en-US"/>
        </w:rPr>
        <w:t>OP Kvalita životného prostredia</w:t>
      </w:r>
      <w:r w:rsidRPr="008676F9">
        <w:rPr>
          <w:rFonts w:ascii="Calibri" w:hAnsi="Calibri"/>
          <w:szCs w:val="22"/>
          <w:lang w:eastAsia="en-US"/>
        </w:rPr>
        <w:t xml:space="preserve"> je zabezpečené rozdielnym typom oprávnených aktivít (v rámci OP KŽP budú oprávnené aktivity mimo oprávnených aktivít v rámci tejto operácie).  </w:t>
      </w:r>
    </w:p>
    <w:p w:rsidR="008676F9" w:rsidRPr="008676F9" w:rsidRDefault="008676F9" w:rsidP="006F5151">
      <w:pPr>
        <w:rPr>
          <w:rFonts w:ascii="Calibri" w:hAnsi="Calibri" w:cs="Calibri"/>
          <w:bCs/>
          <w:szCs w:val="22"/>
          <w:u w:val="single"/>
          <w:lang w:eastAsia="en-US"/>
        </w:rPr>
      </w:pPr>
    </w:p>
    <w:p w:rsidR="006C71EE" w:rsidRPr="008676F9" w:rsidRDefault="006C71EE" w:rsidP="006C71EE">
      <w:pPr>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Prijímateľ podpory:</w:t>
      </w:r>
    </w:p>
    <w:p w:rsidR="006C71EE" w:rsidRPr="008676F9" w:rsidRDefault="006C71EE" w:rsidP="006C71EE">
      <w:pPr>
        <w:rPr>
          <w:rFonts w:ascii="Calibri" w:hAnsi="Calibri" w:cs="Calibri"/>
          <w:bCs/>
          <w:szCs w:val="22"/>
          <w:lang w:eastAsia="en-US"/>
        </w:rPr>
      </w:pPr>
      <w:r w:rsidRPr="008676F9">
        <w:rPr>
          <w:rFonts w:ascii="Calibri" w:hAnsi="Calibri" w:cs="Calibri"/>
          <w:bCs/>
          <w:szCs w:val="22"/>
          <w:lang w:eastAsia="en-US"/>
        </w:rPr>
        <w:t>Fyzické a právnické osoby</w:t>
      </w:r>
      <w:r>
        <w:rPr>
          <w:rStyle w:val="Odkaznapoznmkupodiarou"/>
          <w:rFonts w:ascii="Calibri" w:hAnsi="Calibri" w:cs="Calibri"/>
          <w:bCs/>
          <w:szCs w:val="22"/>
          <w:lang w:eastAsia="en-US"/>
        </w:rPr>
        <w:footnoteReference w:id="18"/>
      </w:r>
      <w:r w:rsidRPr="008676F9">
        <w:rPr>
          <w:rFonts w:ascii="Calibri" w:hAnsi="Calibri" w:cs="Calibri"/>
          <w:bCs/>
          <w:szCs w:val="22"/>
          <w:lang w:eastAsia="en-US"/>
        </w:rPr>
        <w:t xml:space="preserve"> obhospodarujúce lesy vo vlastníctve:</w:t>
      </w:r>
    </w:p>
    <w:p w:rsidR="006C71EE" w:rsidRPr="008676F9" w:rsidRDefault="006C71EE" w:rsidP="00955DA4">
      <w:pPr>
        <w:numPr>
          <w:ilvl w:val="0"/>
          <w:numId w:val="173"/>
        </w:numPr>
        <w:rPr>
          <w:rFonts w:ascii="Calibri" w:hAnsi="Calibri" w:cs="Calibri"/>
          <w:bCs/>
          <w:szCs w:val="22"/>
          <w:lang w:eastAsia="en-US"/>
        </w:rPr>
      </w:pPr>
      <w:r w:rsidRPr="008676F9">
        <w:rPr>
          <w:rFonts w:ascii="Calibri" w:hAnsi="Calibri" w:cs="Calibri"/>
          <w:bCs/>
          <w:szCs w:val="22"/>
          <w:lang w:eastAsia="en-US"/>
        </w:rPr>
        <w:t>súkromných vlastníkov a ich združení;</w:t>
      </w:r>
    </w:p>
    <w:p w:rsidR="006C71EE" w:rsidRPr="008676F9" w:rsidRDefault="006C71EE" w:rsidP="00955DA4">
      <w:pPr>
        <w:numPr>
          <w:ilvl w:val="0"/>
          <w:numId w:val="173"/>
        </w:numPr>
        <w:rPr>
          <w:rFonts w:ascii="Calibri" w:hAnsi="Calibri" w:cs="Calibri"/>
          <w:bCs/>
          <w:szCs w:val="22"/>
          <w:lang w:eastAsia="en-US"/>
        </w:rPr>
      </w:pPr>
      <w:r w:rsidRPr="008676F9">
        <w:rPr>
          <w:rFonts w:ascii="Calibri" w:hAnsi="Calibri" w:cs="Calibri"/>
          <w:bCs/>
          <w:szCs w:val="22"/>
          <w:lang w:eastAsia="en-US"/>
        </w:rPr>
        <w:t>obcí a ich združení;</w:t>
      </w:r>
    </w:p>
    <w:p w:rsidR="006C71EE" w:rsidRPr="008676F9" w:rsidRDefault="006C71EE" w:rsidP="00955DA4">
      <w:pPr>
        <w:numPr>
          <w:ilvl w:val="0"/>
          <w:numId w:val="173"/>
        </w:numPr>
        <w:rPr>
          <w:rFonts w:ascii="Calibri" w:hAnsi="Calibri" w:cs="Calibri"/>
          <w:bCs/>
          <w:szCs w:val="22"/>
          <w:lang w:eastAsia="en-US"/>
        </w:rPr>
      </w:pPr>
      <w:r w:rsidRPr="008676F9">
        <w:rPr>
          <w:rFonts w:ascii="Calibri" w:hAnsi="Calibri" w:cs="Calibri"/>
          <w:bCs/>
          <w:szCs w:val="22"/>
          <w:lang w:eastAsia="en-US"/>
        </w:rPr>
        <w:t>cirkvi, ktorej majetok možno podľa vnútroštátneho právneho poriadku považovať za súkromný, pokiaľ ide o jeho správu a nakladanie s ním;</w:t>
      </w:r>
    </w:p>
    <w:p w:rsidR="00D855A4" w:rsidRDefault="006C71EE" w:rsidP="00955DA4">
      <w:pPr>
        <w:numPr>
          <w:ilvl w:val="0"/>
          <w:numId w:val="173"/>
        </w:numPr>
        <w:rPr>
          <w:rFonts w:ascii="Calibri" w:hAnsi="Calibri" w:cs="Calibri"/>
          <w:bCs/>
          <w:szCs w:val="22"/>
          <w:lang w:eastAsia="en-US"/>
        </w:rPr>
      </w:pPr>
      <w:r w:rsidRPr="008676F9">
        <w:rPr>
          <w:rFonts w:ascii="Calibri" w:hAnsi="Calibri" w:cs="Calibri"/>
          <w:bCs/>
          <w:szCs w:val="22"/>
          <w:lang w:eastAsia="en-US"/>
        </w:rPr>
        <w:t>štátu</w:t>
      </w:r>
      <w:r>
        <w:rPr>
          <w:rFonts w:ascii="Calibri" w:hAnsi="Calibri" w:cs="Calibri"/>
          <w:bCs/>
          <w:szCs w:val="22"/>
          <w:lang w:eastAsia="en-US"/>
        </w:rPr>
        <w:t xml:space="preserve"> (LESY SR, š.p.; Vojenské lesy a majetky SR, š.p.; Štátne lesy TANAP-u; Lesohospodársky podnik Ulič, š.p.)</w:t>
      </w:r>
      <w:r w:rsidRPr="008676F9">
        <w:rPr>
          <w:rFonts w:ascii="Calibri" w:hAnsi="Calibri" w:cs="Calibri"/>
          <w:bCs/>
          <w:szCs w:val="22"/>
          <w:lang w:eastAsia="en-US"/>
        </w:rPr>
        <w:t>;</w:t>
      </w:r>
    </w:p>
    <w:p w:rsidR="006C71EE" w:rsidRDefault="006C71EE" w:rsidP="00955DA4">
      <w:pPr>
        <w:numPr>
          <w:ilvl w:val="0"/>
          <w:numId w:val="173"/>
        </w:numPr>
        <w:rPr>
          <w:rFonts w:ascii="Calibri" w:hAnsi="Calibri" w:cs="Calibri"/>
          <w:bCs/>
          <w:szCs w:val="22"/>
          <w:lang w:eastAsia="en-US"/>
        </w:rPr>
      </w:pPr>
      <w:r w:rsidRPr="008676F9">
        <w:rPr>
          <w:rFonts w:ascii="Calibri" w:hAnsi="Calibri" w:cs="Calibri"/>
          <w:bCs/>
          <w:szCs w:val="22"/>
          <w:lang w:eastAsia="en-US"/>
        </w:rPr>
        <w:t>pri stavebných investíciách (hmotné investície) na drobných vodných tokoch iba správcovia drobných vodných tokov resp. právnických osôb majúcich k správe drobných vodných tokov právny vzťah (prenájom a pod.), ktorí sú zároveň obhospodarovateľmi lesa</w:t>
      </w:r>
      <w:r w:rsidR="00D855A4">
        <w:rPr>
          <w:rFonts w:ascii="Calibri" w:hAnsi="Calibri" w:cs="Calibri"/>
          <w:bCs/>
          <w:szCs w:val="22"/>
          <w:lang w:eastAsia="en-US"/>
        </w:rPr>
        <w:t>.</w:t>
      </w:r>
    </w:p>
    <w:p w:rsidR="006C71EE" w:rsidRPr="008676F9" w:rsidRDefault="006C71EE" w:rsidP="006C71EE">
      <w:pPr>
        <w:rPr>
          <w:rFonts w:ascii="Calibri" w:eastAsia="Calibri" w:hAnsi="Calibri" w:cs="Calibri"/>
          <w:bCs/>
          <w:szCs w:val="22"/>
          <w:u w:val="single"/>
          <w:lang w:eastAsia="en-US"/>
        </w:rPr>
      </w:pPr>
    </w:p>
    <w:p w:rsidR="006C71EE" w:rsidRPr="008676F9" w:rsidRDefault="006C71EE" w:rsidP="006C71EE">
      <w:pPr>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Oprávnené náklady</w:t>
      </w:r>
      <w:r w:rsidRPr="008676F9">
        <w:rPr>
          <w:rFonts w:ascii="Calibri" w:eastAsia="Calibri" w:hAnsi="Calibri" w:cs="Calibri"/>
          <w:bCs/>
          <w:szCs w:val="22"/>
          <w:u w:val="single"/>
          <w:vertAlign w:val="superscript"/>
          <w:lang w:eastAsia="en-US"/>
        </w:rPr>
        <w:footnoteReference w:id="19"/>
      </w:r>
      <w:r w:rsidRPr="008676F9">
        <w:rPr>
          <w:rFonts w:ascii="Calibri" w:eastAsia="Calibri" w:hAnsi="Calibri" w:cs="Calibri"/>
          <w:bCs/>
          <w:szCs w:val="22"/>
          <w:u w:val="single"/>
          <w:lang w:eastAsia="en-US"/>
        </w:rPr>
        <w:t>:</w:t>
      </w:r>
    </w:p>
    <w:p w:rsidR="006C71EE" w:rsidRPr="008676F9" w:rsidRDefault="006C71EE" w:rsidP="00955DA4">
      <w:pPr>
        <w:numPr>
          <w:ilvl w:val="0"/>
          <w:numId w:val="135"/>
        </w:numPr>
        <w:ind w:left="714" w:hanging="357"/>
        <w:rPr>
          <w:rFonts w:ascii="Calibri" w:eastAsia="Calibri" w:hAnsi="Calibri" w:cs="Calibri"/>
          <w:szCs w:val="22"/>
          <w:lang w:eastAsia="en-US"/>
        </w:rPr>
      </w:pPr>
      <w:r w:rsidRPr="008676F9">
        <w:rPr>
          <w:rFonts w:ascii="Calibri" w:eastAsia="Calibri" w:hAnsi="Calibri" w:cs="Calibri"/>
          <w:bCs/>
          <w:szCs w:val="22"/>
          <w:lang w:eastAsia="en-US"/>
        </w:rPr>
        <w:t xml:space="preserve">výdavky na hmotné a nehmotné investície súvisiace s protipovodňovými  opatreniami </w:t>
      </w:r>
      <w:r w:rsidRPr="008676F9">
        <w:rPr>
          <w:rFonts w:ascii="Calibri" w:eastAsia="Calibri" w:hAnsi="Calibri"/>
          <w:bCs/>
          <w:szCs w:val="22"/>
          <w:lang w:eastAsia="en-US"/>
        </w:rPr>
        <w:t>v podobe objektov hradenia bystrín, technických diel pre akumuláciu vody a budovanie protipovodňovej ochrany, ktoré budú plniť okrem protipovodňového účelu aj úlohu zásobníkov vody pre protipožiarnu ochranu lesa a</w:t>
      </w:r>
      <w:r w:rsidRPr="008676F9">
        <w:rPr>
          <w:rFonts w:ascii="Calibri" w:eastAsia="Calibri" w:hAnsi="Calibri" w:cs="Calibri"/>
          <w:szCs w:val="22"/>
          <w:lang w:eastAsia="en-US"/>
        </w:rPr>
        <w:t xml:space="preserve"> </w:t>
      </w:r>
      <w:r w:rsidRPr="008676F9">
        <w:rPr>
          <w:rFonts w:ascii="Calibri" w:eastAsia="Calibri" w:hAnsi="Calibri" w:cs="Calibri"/>
          <w:szCs w:val="22"/>
        </w:rPr>
        <w:t>zlepšia vodné hospodárstvo;</w:t>
      </w:r>
    </w:p>
    <w:p w:rsidR="006C71EE" w:rsidRPr="008676F9" w:rsidRDefault="006C71EE" w:rsidP="00955DA4">
      <w:pPr>
        <w:numPr>
          <w:ilvl w:val="0"/>
          <w:numId w:val="135"/>
        </w:numPr>
        <w:ind w:left="714" w:hanging="357"/>
        <w:rPr>
          <w:rFonts w:ascii="Calibri" w:eastAsia="Calibri" w:hAnsi="Calibri" w:cs="Calibri"/>
          <w:szCs w:val="22"/>
          <w:lang w:eastAsia="en-US"/>
        </w:rPr>
      </w:pPr>
      <w:r>
        <w:rPr>
          <w:rFonts w:ascii="Calibri" w:eastAsia="Calibri" w:hAnsi="Calibri" w:cs="Calibri"/>
          <w:szCs w:val="22"/>
          <w:lang w:eastAsia="en-US"/>
        </w:rPr>
        <w:t>náklady na riadenie projektu</w:t>
      </w:r>
      <w:r w:rsidRPr="008676F9">
        <w:rPr>
          <w:rFonts w:ascii="Calibri" w:eastAsia="Calibri" w:hAnsi="Calibri" w:cs="Calibri"/>
          <w:szCs w:val="22"/>
          <w:lang w:eastAsia="en-US"/>
        </w:rPr>
        <w:t>.</w:t>
      </w:r>
    </w:p>
    <w:p w:rsidR="008676F9" w:rsidRPr="008676F9" w:rsidRDefault="008676F9" w:rsidP="006F5151">
      <w:pPr>
        <w:rPr>
          <w:rFonts w:ascii="Calibri" w:hAnsi="Calibri" w:cs="Calibri"/>
          <w:bCs/>
          <w:szCs w:val="22"/>
          <w:lang w:eastAsia="en-US"/>
        </w:rPr>
      </w:pPr>
    </w:p>
    <w:p w:rsidR="008676F9" w:rsidRPr="008676F9" w:rsidRDefault="008676F9" w:rsidP="006F5151">
      <w:pPr>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Podmienky oprávnenosti:</w:t>
      </w:r>
    </w:p>
    <w:p w:rsidR="008676F9" w:rsidRPr="008676F9" w:rsidRDefault="008676F9" w:rsidP="00955DA4">
      <w:pPr>
        <w:numPr>
          <w:ilvl w:val="0"/>
          <w:numId w:val="136"/>
        </w:numPr>
        <w:spacing w:after="120"/>
        <w:ind w:left="714" w:hanging="357"/>
        <w:rPr>
          <w:rFonts w:ascii="Calibri" w:hAnsi="Calibri" w:cs="Calibri"/>
          <w:bCs/>
          <w:szCs w:val="22"/>
          <w:lang w:eastAsia="en-US"/>
        </w:rPr>
      </w:pPr>
      <w:r w:rsidRPr="008676F9">
        <w:rPr>
          <w:rFonts w:ascii="Calibri" w:eastAsia="Calibri" w:hAnsi="Calibri"/>
          <w:szCs w:val="22"/>
          <w:lang w:eastAsia="en-US"/>
        </w:rPr>
        <w:t xml:space="preserve">V prípade </w:t>
      </w:r>
      <w:r w:rsidRPr="008676F9">
        <w:rPr>
          <w:rFonts w:ascii="Calibri" w:eastAsia="Calibri" w:hAnsi="Calibri"/>
          <w:b/>
          <w:szCs w:val="22"/>
          <w:lang w:eastAsia="en-US"/>
        </w:rPr>
        <w:t xml:space="preserve">budovania a rekonštrukcie protipovodňových technických diel zahrádzania bystrín </w:t>
      </w:r>
      <w:r w:rsidRPr="008676F9">
        <w:rPr>
          <w:rFonts w:ascii="Calibri" w:eastAsia="Calibri" w:hAnsi="Calibri"/>
          <w:szCs w:val="22"/>
          <w:lang w:eastAsia="en-US"/>
        </w:rPr>
        <w:t xml:space="preserve">sú oprávnené iba výdavky tých prijímateľov, ktorí sú </w:t>
      </w:r>
      <w:r w:rsidRPr="008676F9">
        <w:rPr>
          <w:rFonts w:ascii="Calibri" w:hAnsi="Calibri" w:cs="Calibri"/>
          <w:bCs/>
          <w:szCs w:val="22"/>
          <w:lang w:eastAsia="en-US"/>
        </w:rPr>
        <w:t>správcami drobných vodných tokov resp. majú k správe drobných vodných tokov právny vzťah (prenájom a pod.).</w:t>
      </w:r>
    </w:p>
    <w:p w:rsidR="008676F9" w:rsidRPr="008676F9" w:rsidRDefault="008676F9" w:rsidP="00955DA4">
      <w:pPr>
        <w:numPr>
          <w:ilvl w:val="0"/>
          <w:numId w:val="136"/>
        </w:numPr>
        <w:spacing w:after="120"/>
        <w:ind w:left="714" w:hanging="357"/>
        <w:rPr>
          <w:rFonts w:ascii="Calibri" w:eastAsia="Calibri" w:hAnsi="Calibri"/>
          <w:szCs w:val="22"/>
          <w:lang w:eastAsia="en-US"/>
        </w:rPr>
      </w:pPr>
      <w:r w:rsidRPr="008676F9">
        <w:rPr>
          <w:rFonts w:ascii="Calibri" w:eastAsia="Calibri" w:hAnsi="Calibri"/>
          <w:szCs w:val="22"/>
          <w:lang w:eastAsia="en-US"/>
        </w:rPr>
        <w:t>V prípade</w:t>
      </w:r>
      <w:r w:rsidRPr="008676F9">
        <w:rPr>
          <w:rFonts w:ascii="Calibri" w:eastAsia="Calibri" w:hAnsi="Calibri"/>
          <w:b/>
          <w:szCs w:val="22"/>
          <w:lang w:eastAsia="en-US"/>
        </w:rPr>
        <w:t xml:space="preserve"> budovania jednoduchých objektov protipovodňovej ochrany, zabezpečujúcich udržanie vody v krajine resp. spomalenie jej odtoku </w:t>
      </w:r>
      <w:r w:rsidRPr="008676F9">
        <w:rPr>
          <w:rFonts w:ascii="Calibri" w:eastAsia="Calibri" w:hAnsi="Calibri"/>
          <w:szCs w:val="22"/>
          <w:lang w:eastAsia="en-US"/>
        </w:rPr>
        <w:t>sú oprávnené iba výdavky na tie projekty, ktorých naliehavosť je doložená relevantnými dokumentmi. Takými dokumentmi môže byť odborné stanovisko správcu DVT</w:t>
      </w:r>
      <w:r w:rsidRPr="008676F9">
        <w:rPr>
          <w:rFonts w:ascii="Calibri" w:eastAsia="Calibri" w:hAnsi="Calibri"/>
          <w:szCs w:val="22"/>
          <w:vertAlign w:val="superscript"/>
          <w:lang w:eastAsia="en-US"/>
        </w:rPr>
        <w:footnoteReference w:id="20"/>
      </w:r>
      <w:r w:rsidRPr="008676F9">
        <w:rPr>
          <w:rFonts w:ascii="Calibri" w:eastAsia="Calibri" w:hAnsi="Calibri"/>
          <w:szCs w:val="22"/>
          <w:lang w:eastAsia="en-US"/>
        </w:rPr>
        <w:t xml:space="preserve">, </w:t>
      </w:r>
      <w:r w:rsidRPr="008676F9">
        <w:rPr>
          <w:rFonts w:ascii="Calibri" w:hAnsi="Calibri" w:cs="Calibri"/>
          <w:szCs w:val="22"/>
          <w:lang w:eastAsia="en-US"/>
        </w:rPr>
        <w:t xml:space="preserve">odborná štúdia spracovaná relevantnou inštitúciou, stanovisko miestne príslušnej samosprávy patriacej do povodia DVT (obecné a mestské úrady) o povodňových rizikách v nimi spravovanom území a pod. </w:t>
      </w:r>
    </w:p>
    <w:p w:rsidR="008676F9" w:rsidRPr="003A72F5" w:rsidRDefault="008676F9" w:rsidP="00955DA4">
      <w:pPr>
        <w:numPr>
          <w:ilvl w:val="0"/>
          <w:numId w:val="136"/>
        </w:numPr>
        <w:spacing w:after="120"/>
        <w:ind w:left="714" w:hanging="357"/>
        <w:rPr>
          <w:rFonts w:ascii="Calibri" w:hAnsi="Calibri"/>
          <w:szCs w:val="22"/>
          <w:lang w:eastAsia="en-US"/>
        </w:rPr>
      </w:pPr>
      <w:r w:rsidRPr="008676F9">
        <w:rPr>
          <w:rFonts w:ascii="Calibri" w:hAnsi="Calibri"/>
          <w:bCs/>
          <w:szCs w:val="22"/>
          <w:lang w:eastAsia="en-US"/>
        </w:rPr>
        <w:t xml:space="preserve">V prípade </w:t>
      </w:r>
      <w:r w:rsidRPr="008676F9">
        <w:rPr>
          <w:rFonts w:ascii="Calibri" w:hAnsi="Calibri"/>
          <w:b/>
          <w:bCs/>
          <w:szCs w:val="22"/>
          <w:lang w:eastAsia="en-US"/>
        </w:rPr>
        <w:t>budovania a rekonštrukcie technických diel pre akumuláciu vody na účely ochrany pred požiarmi</w:t>
      </w:r>
      <w:r w:rsidRPr="008676F9">
        <w:rPr>
          <w:rFonts w:ascii="Calibri" w:hAnsi="Calibri"/>
          <w:bCs/>
          <w:szCs w:val="22"/>
          <w:lang w:eastAsia="en-US"/>
        </w:rPr>
        <w:t xml:space="preserve"> sú oprávnené iba projekty realizované v lesných oblastiach klasifikovaných ako oblasti so stredným až vysokým stupňom rizika lesných požiarov (oblasti so stredným až vysokým stupňom rizika lesných požiarov sú v SR taxatívne určené všeobecne záväzným právnym predpisom - vyhláška č. 453/2006 Z. z. o hospodárskej úprave lesov a ohrane lesa v prílohe č. 11).</w:t>
      </w:r>
    </w:p>
    <w:p w:rsidR="003A72F5" w:rsidRPr="008676F9" w:rsidRDefault="003A72F5" w:rsidP="00955DA4">
      <w:pPr>
        <w:numPr>
          <w:ilvl w:val="0"/>
          <w:numId w:val="136"/>
        </w:numPr>
        <w:spacing w:after="120"/>
        <w:ind w:left="714" w:hanging="357"/>
        <w:rPr>
          <w:rFonts w:ascii="Calibri" w:hAnsi="Calibri"/>
          <w:szCs w:val="22"/>
          <w:lang w:eastAsia="en-US"/>
        </w:rPr>
      </w:pPr>
      <w:r>
        <w:rPr>
          <w:rFonts w:ascii="Calibri" w:hAnsi="Calibri"/>
          <w:bCs/>
          <w:szCs w:val="22"/>
          <w:lang w:eastAsia="en-US"/>
        </w:rPr>
        <w:t>Oprávnené operácie sú v súlade s Programom starostlivosti o les.</w:t>
      </w:r>
    </w:p>
    <w:p w:rsidR="006C71EE" w:rsidRPr="008676F9" w:rsidRDefault="006C71EE" w:rsidP="00955DA4">
      <w:pPr>
        <w:numPr>
          <w:ilvl w:val="0"/>
          <w:numId w:val="136"/>
        </w:numPr>
        <w:rPr>
          <w:rFonts w:ascii="Calibri" w:hAnsi="Calibri"/>
          <w:szCs w:val="22"/>
          <w:lang w:eastAsia="en-US"/>
        </w:rPr>
      </w:pPr>
      <w:r w:rsidRPr="008676F9">
        <w:rPr>
          <w:rFonts w:ascii="Calibri" w:hAnsi="Calibri" w:cs="Calibri"/>
          <w:szCs w:val="22"/>
          <w:lang w:eastAsia="en-US"/>
        </w:rPr>
        <w:t>Predloženie relevantných informácií z Programu starostlivosti o</w:t>
      </w:r>
      <w:r>
        <w:rPr>
          <w:rFonts w:ascii="Calibri" w:hAnsi="Calibri" w:cs="Calibri"/>
          <w:szCs w:val="22"/>
          <w:lang w:eastAsia="en-US"/>
        </w:rPr>
        <w:t> </w:t>
      </w:r>
      <w:r w:rsidRPr="008676F9">
        <w:rPr>
          <w:rFonts w:ascii="Calibri" w:hAnsi="Calibri" w:cs="Calibri"/>
          <w:szCs w:val="22"/>
          <w:lang w:eastAsia="en-US"/>
        </w:rPr>
        <w:t>les</w:t>
      </w:r>
      <w:r>
        <w:rPr>
          <w:rFonts w:ascii="Calibri" w:hAnsi="Calibri" w:cs="Calibri"/>
          <w:szCs w:val="22"/>
          <w:lang w:eastAsia="en-US"/>
        </w:rPr>
        <w:t xml:space="preserve"> </w:t>
      </w:r>
      <w:r w:rsidRPr="008676F9">
        <w:rPr>
          <w:rFonts w:ascii="Calibri" w:hAnsi="Calibri" w:cs="Calibri"/>
          <w:szCs w:val="22"/>
          <w:lang w:eastAsia="en-US"/>
        </w:rPr>
        <w:t>(</w:t>
      </w:r>
      <w:r w:rsidRPr="008676F9">
        <w:rPr>
          <w:rFonts w:ascii="Calibri" w:hAnsi="Calibri"/>
          <w:bCs/>
          <w:szCs w:val="22"/>
          <w:lang w:eastAsia="en-US"/>
        </w:rPr>
        <w:t>§47 zákona č.326/2005 Z.z.)</w:t>
      </w:r>
      <w:r>
        <w:rPr>
          <w:rFonts w:ascii="Calibri" w:hAnsi="Calibri"/>
          <w:bCs/>
          <w:szCs w:val="22"/>
          <w:lang w:eastAsia="en-US"/>
        </w:rPr>
        <w:t xml:space="preserve"> a prípadne inej dokumentácie ochrany prírody podľa §54 zákona č.543/2002 Z. z.</w:t>
      </w:r>
      <w:r w:rsidRPr="008676F9">
        <w:rPr>
          <w:rFonts w:ascii="Calibri" w:hAnsi="Calibri"/>
          <w:bCs/>
          <w:szCs w:val="22"/>
          <w:lang w:eastAsia="en-US"/>
        </w:rPr>
        <w:t>.</w:t>
      </w:r>
    </w:p>
    <w:p w:rsidR="006C71EE" w:rsidRPr="008676F9" w:rsidRDefault="006C71EE" w:rsidP="006C71EE">
      <w:pPr>
        <w:ind w:left="426"/>
        <w:rPr>
          <w:rFonts w:ascii="Calibri" w:hAnsi="Calibri" w:cs="Calibri"/>
          <w:bCs/>
          <w:szCs w:val="22"/>
          <w:u w:val="single"/>
          <w:lang w:eastAsia="en-US"/>
        </w:rPr>
      </w:pPr>
    </w:p>
    <w:p w:rsidR="006C71EE" w:rsidRPr="008676F9" w:rsidRDefault="006C71EE" w:rsidP="006C71EE">
      <w:pPr>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Princípy nastavenia výberových kritérií:</w:t>
      </w:r>
    </w:p>
    <w:p w:rsidR="006C71EE" w:rsidRDefault="006C71EE" w:rsidP="00955DA4">
      <w:pPr>
        <w:numPr>
          <w:ilvl w:val="0"/>
          <w:numId w:val="171"/>
        </w:numPr>
        <w:rPr>
          <w:rFonts w:ascii="Calibri" w:hAnsi="Calibri"/>
          <w:bCs/>
          <w:szCs w:val="22"/>
          <w:lang w:eastAsia="en-US"/>
        </w:rPr>
      </w:pPr>
      <w:r>
        <w:rPr>
          <w:rFonts w:ascii="Calibri" w:hAnsi="Calibri"/>
          <w:bCs/>
          <w:szCs w:val="22"/>
          <w:lang w:eastAsia="en-US"/>
        </w:rPr>
        <w:t>komplexnosť, udržateľnosť, realizovateľnosť, hospodárnosť a efektívnosť projektu;</w:t>
      </w:r>
    </w:p>
    <w:p w:rsidR="006C71EE" w:rsidRDefault="006C71EE" w:rsidP="00955DA4">
      <w:pPr>
        <w:numPr>
          <w:ilvl w:val="0"/>
          <w:numId w:val="171"/>
        </w:numPr>
        <w:rPr>
          <w:rFonts w:ascii="Calibri" w:hAnsi="Calibri"/>
          <w:bCs/>
          <w:szCs w:val="22"/>
          <w:lang w:eastAsia="en-US"/>
        </w:rPr>
      </w:pPr>
      <w:r>
        <w:rPr>
          <w:rFonts w:ascii="Calibri" w:hAnsi="Calibri"/>
          <w:bCs/>
          <w:szCs w:val="22"/>
          <w:lang w:eastAsia="en-US"/>
        </w:rPr>
        <w:t>uprednostnené budú projekty prepojené s podopatrením 8.4;</w:t>
      </w:r>
    </w:p>
    <w:p w:rsidR="006C71EE" w:rsidRPr="008676F9" w:rsidRDefault="006C71EE" w:rsidP="00955DA4">
      <w:pPr>
        <w:numPr>
          <w:ilvl w:val="0"/>
          <w:numId w:val="171"/>
        </w:numPr>
        <w:rPr>
          <w:rFonts w:ascii="Calibri" w:hAnsi="Calibri"/>
          <w:bCs/>
          <w:szCs w:val="22"/>
          <w:lang w:eastAsia="en-US"/>
        </w:rPr>
      </w:pPr>
      <w:r w:rsidRPr="008676F9">
        <w:rPr>
          <w:rFonts w:ascii="Calibri" w:hAnsi="Calibri"/>
          <w:bCs/>
          <w:szCs w:val="22"/>
          <w:lang w:eastAsia="en-US"/>
        </w:rPr>
        <w:t>uprednostnené budú projekty v oblasti s vyšším rizikom povodní;</w:t>
      </w:r>
    </w:p>
    <w:p w:rsidR="006C71EE" w:rsidRPr="008676F9" w:rsidRDefault="006C71EE" w:rsidP="00955DA4">
      <w:pPr>
        <w:numPr>
          <w:ilvl w:val="0"/>
          <w:numId w:val="171"/>
        </w:numPr>
        <w:rPr>
          <w:rFonts w:ascii="Calibri" w:hAnsi="Calibri"/>
          <w:bCs/>
          <w:szCs w:val="22"/>
          <w:lang w:eastAsia="en-US"/>
        </w:rPr>
      </w:pPr>
      <w:r w:rsidRPr="008676F9">
        <w:rPr>
          <w:rFonts w:ascii="Calibri" w:hAnsi="Calibri"/>
          <w:bCs/>
          <w:szCs w:val="22"/>
          <w:lang w:eastAsia="en-US"/>
        </w:rPr>
        <w:t>uprednostnené budú projekty v oblasti s vyšším rizikom výskytu požiaru.</w:t>
      </w:r>
    </w:p>
    <w:p w:rsidR="006C71EE" w:rsidRPr="008676F9" w:rsidRDefault="006C71EE" w:rsidP="006C71EE">
      <w:pPr>
        <w:rPr>
          <w:rFonts w:ascii="Calibri" w:eastAsia="Calibri" w:hAnsi="Calibri" w:cs="Calibri"/>
          <w:bCs/>
          <w:szCs w:val="22"/>
          <w:u w:val="single"/>
          <w:lang w:eastAsia="en-US"/>
        </w:rPr>
      </w:pPr>
    </w:p>
    <w:p w:rsidR="006C71EE" w:rsidRPr="008676F9" w:rsidRDefault="006C71EE" w:rsidP="006C71EE">
      <w:pPr>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Výška a miera podpory:</w:t>
      </w:r>
    </w:p>
    <w:p w:rsidR="006C71EE" w:rsidRPr="008676F9" w:rsidRDefault="006C71EE" w:rsidP="006C71EE">
      <w:pPr>
        <w:rPr>
          <w:rFonts w:ascii="Calibri" w:eastAsia="Calibri" w:hAnsi="Calibri" w:cs="Calibri"/>
          <w:szCs w:val="22"/>
          <w:lang w:eastAsia="en-US"/>
        </w:rPr>
      </w:pPr>
      <w:r w:rsidRPr="008676F9">
        <w:rPr>
          <w:rFonts w:ascii="Calibri" w:eastAsia="Calibri" w:hAnsi="Calibri" w:cs="Calibri"/>
          <w:szCs w:val="22"/>
          <w:lang w:eastAsia="en-US"/>
        </w:rPr>
        <w:t>Maximálna výška podpory z celkových oprávnených nákladov:</w:t>
      </w:r>
    </w:p>
    <w:p w:rsidR="006C71EE" w:rsidRDefault="006C71EE" w:rsidP="00955DA4">
      <w:pPr>
        <w:numPr>
          <w:ilvl w:val="0"/>
          <w:numId w:val="134"/>
        </w:numPr>
        <w:rPr>
          <w:rFonts w:ascii="Calibri" w:hAnsi="Calibri" w:cs="Calibri"/>
          <w:szCs w:val="22"/>
          <w:lang w:eastAsia="en-US"/>
        </w:rPr>
      </w:pPr>
      <w:r w:rsidRPr="008676F9">
        <w:rPr>
          <w:rFonts w:ascii="Calibri" w:hAnsi="Calibri" w:cs="Calibri"/>
          <w:szCs w:val="22"/>
          <w:lang w:eastAsia="en-US"/>
        </w:rPr>
        <w:t>100%.</w:t>
      </w:r>
    </w:p>
    <w:p w:rsidR="00BD13CE" w:rsidRDefault="00BD13CE" w:rsidP="006C71EE">
      <w:pPr>
        <w:rPr>
          <w:rFonts w:ascii="Calibri" w:hAnsi="Calibri" w:cs="Calibri"/>
          <w:szCs w:val="22"/>
          <w:lang w:eastAsia="en-US"/>
        </w:rPr>
      </w:pPr>
    </w:p>
    <w:p w:rsidR="006C71EE" w:rsidRPr="008676F9" w:rsidRDefault="006C71EE" w:rsidP="006C71EE">
      <w:pPr>
        <w:rPr>
          <w:rFonts w:ascii="Calibri" w:hAnsi="Calibri" w:cs="Calibri"/>
          <w:szCs w:val="22"/>
          <w:lang w:eastAsia="en-US"/>
        </w:rPr>
      </w:pPr>
      <w:r>
        <w:rPr>
          <w:rFonts w:ascii="Calibri" w:hAnsi="Calibri" w:cs="Calibri"/>
          <w:szCs w:val="22"/>
          <w:lang w:eastAsia="en-US"/>
        </w:rPr>
        <w:t xml:space="preserve">Pri vyhlasovaní Výziev na predkladanie Žiadostí o poskytnutie nenávratného finančného príspevku môže byť znížená výška podpory na 80%. </w:t>
      </w:r>
    </w:p>
    <w:p w:rsidR="008676F9" w:rsidRDefault="008676F9" w:rsidP="006F5151">
      <w:pPr>
        <w:rPr>
          <w:rFonts w:ascii="Calibri" w:eastAsia="Calibri" w:hAnsi="Calibri"/>
          <w:i/>
          <w:szCs w:val="22"/>
          <w:lang w:eastAsia="en-US"/>
        </w:rPr>
      </w:pPr>
    </w:p>
    <w:p w:rsidR="00BD13CE" w:rsidRDefault="00BD13CE" w:rsidP="006F5151">
      <w:pPr>
        <w:rPr>
          <w:rFonts w:ascii="Calibri" w:eastAsia="Calibri" w:hAnsi="Calibri"/>
          <w:i/>
          <w:szCs w:val="22"/>
          <w:lang w:eastAsia="en-US"/>
        </w:rPr>
      </w:pPr>
    </w:p>
    <w:p w:rsidR="00A03A77" w:rsidRPr="008676F9" w:rsidRDefault="00A03A77" w:rsidP="006F5151">
      <w:pPr>
        <w:rPr>
          <w:rFonts w:ascii="Calibri" w:eastAsia="Calibri" w:hAnsi="Calibri"/>
          <w:i/>
          <w:szCs w:val="22"/>
          <w:lang w:eastAsia="en-US"/>
        </w:rPr>
      </w:pPr>
    </w:p>
    <w:p w:rsidR="008676F9" w:rsidRPr="008676F9" w:rsidRDefault="008676F9" w:rsidP="006F5151">
      <w:pPr>
        <w:shd w:val="clear" w:color="auto" w:fill="FBD4B4"/>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Názov operácie:</w:t>
      </w:r>
    </w:p>
    <w:p w:rsidR="008676F9" w:rsidRPr="008676F9" w:rsidRDefault="008676F9" w:rsidP="006F5151">
      <w:pPr>
        <w:shd w:val="clear" w:color="auto" w:fill="FBD4B4"/>
        <w:rPr>
          <w:rFonts w:ascii="Calibri" w:eastAsia="Calibri" w:hAnsi="Calibri" w:cs="Calibri"/>
          <w:i/>
          <w:szCs w:val="22"/>
          <w:lang w:eastAsia="en-US"/>
        </w:rPr>
      </w:pPr>
      <w:r w:rsidRPr="008676F9">
        <w:rPr>
          <w:rFonts w:ascii="Calibri" w:eastAsia="Calibri" w:hAnsi="Calibri"/>
          <w:i/>
          <w:szCs w:val="22"/>
        </w:rPr>
        <w:t>Podpora vytvorenia ochrannej protipožiarnej infraštruktúry</w:t>
      </w:r>
    </w:p>
    <w:p w:rsidR="008676F9" w:rsidRPr="008676F9" w:rsidRDefault="008676F9" w:rsidP="006F5151">
      <w:pPr>
        <w:rPr>
          <w:rFonts w:ascii="Calibri" w:eastAsia="Calibri" w:hAnsi="Calibri" w:cs="Calibri"/>
          <w:bCs/>
          <w:szCs w:val="22"/>
          <w:u w:val="single"/>
          <w:lang w:eastAsia="en-US"/>
        </w:rPr>
      </w:pPr>
    </w:p>
    <w:p w:rsidR="008676F9" w:rsidRPr="008676F9" w:rsidRDefault="008676F9" w:rsidP="006F5151">
      <w:pPr>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Opis operácie:</w:t>
      </w:r>
    </w:p>
    <w:p w:rsidR="008676F9" w:rsidRPr="008676F9" w:rsidRDefault="008676F9" w:rsidP="00317BFF">
      <w:pPr>
        <w:numPr>
          <w:ilvl w:val="0"/>
          <w:numId w:val="32"/>
        </w:numPr>
        <w:rPr>
          <w:rFonts w:ascii="Calibri" w:eastAsia="Calibri" w:hAnsi="Calibri"/>
          <w:szCs w:val="22"/>
          <w:lang w:eastAsia="en-US"/>
        </w:rPr>
      </w:pPr>
      <w:r w:rsidRPr="008676F9">
        <w:rPr>
          <w:rFonts w:ascii="Calibri" w:eastAsia="Calibri" w:hAnsi="Calibri"/>
          <w:szCs w:val="22"/>
          <w:lang w:eastAsia="en-US"/>
        </w:rPr>
        <w:t xml:space="preserve">budovanie protipožiarnych </w:t>
      </w:r>
      <w:r w:rsidRPr="008676F9">
        <w:rPr>
          <w:rFonts w:ascii="Calibri" w:eastAsia="Calibri" w:hAnsi="Calibri"/>
          <w:b/>
          <w:szCs w:val="22"/>
          <w:lang w:eastAsia="en-US"/>
        </w:rPr>
        <w:t>nádrží</w:t>
      </w:r>
      <w:r w:rsidRPr="008676F9">
        <w:rPr>
          <w:rFonts w:ascii="Calibri" w:eastAsia="Calibri" w:hAnsi="Calibri"/>
          <w:szCs w:val="22"/>
          <w:lang w:eastAsia="en-US"/>
        </w:rPr>
        <w:t xml:space="preserve"> miestneho významu v lesnej krajine;</w:t>
      </w:r>
    </w:p>
    <w:p w:rsidR="008676F9" w:rsidRPr="008676F9" w:rsidRDefault="008676F9" w:rsidP="00317BFF">
      <w:pPr>
        <w:numPr>
          <w:ilvl w:val="0"/>
          <w:numId w:val="32"/>
        </w:numPr>
        <w:rPr>
          <w:rFonts w:ascii="Calibri" w:eastAsia="Calibri" w:hAnsi="Calibri"/>
          <w:szCs w:val="22"/>
          <w:lang w:eastAsia="en-US"/>
        </w:rPr>
      </w:pPr>
      <w:r w:rsidRPr="008676F9">
        <w:rPr>
          <w:rFonts w:ascii="Calibri" w:eastAsia="Calibri" w:hAnsi="Calibri"/>
          <w:szCs w:val="22"/>
          <w:lang w:eastAsia="en-US"/>
        </w:rPr>
        <w:t xml:space="preserve">budovanie a údržba protipožiarnych </w:t>
      </w:r>
      <w:r w:rsidRPr="008676F9">
        <w:rPr>
          <w:rFonts w:ascii="Calibri" w:eastAsia="Calibri" w:hAnsi="Calibri"/>
          <w:b/>
          <w:szCs w:val="22"/>
          <w:lang w:eastAsia="en-US"/>
        </w:rPr>
        <w:t>pásov a priesekov</w:t>
      </w:r>
      <w:r w:rsidRPr="008676F9">
        <w:rPr>
          <w:rFonts w:ascii="Calibri" w:eastAsia="Calibri" w:hAnsi="Calibri"/>
          <w:szCs w:val="22"/>
          <w:lang w:eastAsia="en-US"/>
        </w:rPr>
        <w:t xml:space="preserve"> v lesných porastoch;</w:t>
      </w:r>
    </w:p>
    <w:p w:rsidR="008676F9" w:rsidRPr="008676F9" w:rsidRDefault="008676F9" w:rsidP="00317BFF">
      <w:pPr>
        <w:numPr>
          <w:ilvl w:val="0"/>
          <w:numId w:val="32"/>
        </w:numPr>
        <w:rPr>
          <w:rFonts w:ascii="Calibri" w:eastAsia="Calibri" w:hAnsi="Calibri"/>
          <w:szCs w:val="22"/>
          <w:lang w:eastAsia="en-US"/>
        </w:rPr>
      </w:pPr>
      <w:r w:rsidRPr="008676F9">
        <w:rPr>
          <w:rFonts w:ascii="Calibri" w:eastAsia="Calibri" w:hAnsi="Calibri"/>
          <w:szCs w:val="22"/>
          <w:lang w:eastAsia="en-US"/>
        </w:rPr>
        <w:t xml:space="preserve">výstavba, rekonštrukcia protipožiarnych </w:t>
      </w:r>
      <w:r w:rsidRPr="008676F9">
        <w:rPr>
          <w:rFonts w:ascii="Calibri" w:eastAsia="Calibri" w:hAnsi="Calibri"/>
          <w:b/>
          <w:szCs w:val="22"/>
          <w:lang w:eastAsia="en-US"/>
        </w:rPr>
        <w:t>lesných ciest</w:t>
      </w:r>
      <w:r w:rsidR="006C71EE">
        <w:rPr>
          <w:rFonts w:ascii="Calibri" w:eastAsia="Calibri" w:hAnsi="Calibri"/>
          <w:b/>
          <w:szCs w:val="22"/>
          <w:lang w:eastAsia="en-US"/>
        </w:rPr>
        <w:t>,</w:t>
      </w:r>
      <w:r w:rsidRPr="008676F9">
        <w:rPr>
          <w:rFonts w:ascii="Calibri" w:eastAsia="Calibri" w:hAnsi="Calibri"/>
          <w:szCs w:val="22"/>
          <w:lang w:eastAsia="en-US"/>
        </w:rPr>
        <w:t xml:space="preserve"> ak slúžia ako prístup k vybudovaným objektom v rámci tohto podopatrenia</w:t>
      </w:r>
      <w:r w:rsidR="006C71EE">
        <w:rPr>
          <w:rFonts w:ascii="Calibri" w:eastAsia="Calibri" w:hAnsi="Calibri"/>
          <w:szCs w:val="22"/>
          <w:lang w:eastAsia="en-US"/>
        </w:rPr>
        <w:t xml:space="preserve"> a podopatrenia 8.4</w:t>
      </w:r>
      <w:r w:rsidRPr="008676F9">
        <w:rPr>
          <w:rFonts w:ascii="Calibri" w:eastAsia="Calibri" w:hAnsi="Calibri"/>
          <w:szCs w:val="22"/>
          <w:lang w:eastAsia="en-US"/>
        </w:rPr>
        <w:t>.</w:t>
      </w:r>
    </w:p>
    <w:p w:rsidR="008676F9" w:rsidRPr="008676F9" w:rsidRDefault="008676F9" w:rsidP="006F5151">
      <w:pPr>
        <w:ind w:left="360"/>
        <w:rPr>
          <w:rFonts w:ascii="Calibri" w:eastAsia="Calibri" w:hAnsi="Calibri"/>
          <w:szCs w:val="22"/>
          <w:lang w:eastAsia="en-US"/>
        </w:rPr>
      </w:pPr>
    </w:p>
    <w:p w:rsidR="008676F9" w:rsidRPr="008676F9" w:rsidRDefault="008676F9" w:rsidP="006F5151">
      <w:pPr>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Typ podpory:</w:t>
      </w:r>
    </w:p>
    <w:p w:rsidR="008676F9" w:rsidRPr="008676F9" w:rsidRDefault="008676F9" w:rsidP="006F5151">
      <w:pPr>
        <w:rPr>
          <w:rFonts w:ascii="Calibri" w:eastAsia="Calibri" w:hAnsi="Calibri" w:cs="Calibri"/>
          <w:bCs/>
          <w:szCs w:val="22"/>
          <w:lang w:eastAsia="en-US"/>
        </w:rPr>
      </w:pPr>
      <w:r w:rsidRPr="008676F9">
        <w:rPr>
          <w:rFonts w:ascii="Calibri" w:eastAsia="Calibri" w:hAnsi="Calibri" w:cs="Calibri"/>
          <w:bCs/>
          <w:szCs w:val="22"/>
          <w:lang w:eastAsia="en-US"/>
        </w:rPr>
        <w:t>Investičná, nezisková, nenávratný finančný príspevok; možnosť poskytnutia zálohovej platby do výšky max. 50% oprávnených nákladov.</w:t>
      </w:r>
    </w:p>
    <w:p w:rsidR="008676F9" w:rsidRPr="008676F9" w:rsidRDefault="008676F9" w:rsidP="006F5151">
      <w:pPr>
        <w:rPr>
          <w:rFonts w:ascii="Calibri" w:eastAsia="Calibri" w:hAnsi="Calibri" w:cs="Calibri"/>
          <w:bCs/>
          <w:szCs w:val="22"/>
          <w:u w:val="single"/>
          <w:lang w:eastAsia="en-US"/>
        </w:rPr>
      </w:pPr>
    </w:p>
    <w:p w:rsidR="008676F9" w:rsidRPr="008676F9" w:rsidRDefault="008676F9" w:rsidP="006F5151">
      <w:pPr>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Súvislosť s inou legislatívou:</w:t>
      </w:r>
    </w:p>
    <w:p w:rsidR="008676F9" w:rsidRPr="008676F9" w:rsidRDefault="008676F9" w:rsidP="00955DA4">
      <w:pPr>
        <w:numPr>
          <w:ilvl w:val="0"/>
          <w:numId w:val="203"/>
        </w:numPr>
        <w:rPr>
          <w:rFonts w:ascii="Calibri" w:hAnsi="Calibri" w:cs="Calibri"/>
          <w:bCs/>
          <w:szCs w:val="22"/>
          <w:lang w:eastAsia="en-US"/>
        </w:rPr>
      </w:pPr>
      <w:r w:rsidRPr="008676F9">
        <w:rPr>
          <w:rFonts w:ascii="Calibri" w:hAnsi="Calibri" w:cs="Calibri"/>
          <w:bCs/>
          <w:szCs w:val="22"/>
          <w:lang w:eastAsia="en-US"/>
        </w:rPr>
        <w:t>nariadenie (EÚ) č. 1310/2013 ktorým sa stanovujú niektoré prechodné ustanovenia o podpore rozvoja vidieka z Európskeho poľnohospodárskeho fondu pre rozvoj vidieka;</w:t>
      </w:r>
    </w:p>
    <w:p w:rsidR="008676F9" w:rsidRPr="008676F9" w:rsidRDefault="008676F9" w:rsidP="00955DA4">
      <w:pPr>
        <w:numPr>
          <w:ilvl w:val="0"/>
          <w:numId w:val="203"/>
        </w:numPr>
        <w:rPr>
          <w:rFonts w:ascii="Calibri" w:hAnsi="Calibri" w:cs="Calibri"/>
          <w:bCs/>
          <w:szCs w:val="22"/>
          <w:lang w:eastAsia="en-US"/>
        </w:rPr>
      </w:pPr>
      <w:r w:rsidRPr="008676F9">
        <w:rPr>
          <w:rFonts w:ascii="Calibri" w:hAnsi="Calibri" w:cs="Calibri"/>
          <w:bCs/>
          <w:szCs w:val="22"/>
          <w:lang w:eastAsia="en-US"/>
        </w:rPr>
        <w:t>podpora v rámci operácie dopĺňa/nadväzuje na podporu OP Kvalita životné prostredia  tým, že poskytuje podporu na dostupnejší prístup k prípadným lesným požiarom a zároveň prispieva k prevencii vzniku požiarov;</w:t>
      </w:r>
    </w:p>
    <w:p w:rsidR="008676F9" w:rsidRPr="008676F9" w:rsidRDefault="008676F9" w:rsidP="00955DA4">
      <w:pPr>
        <w:numPr>
          <w:ilvl w:val="0"/>
          <w:numId w:val="203"/>
        </w:numPr>
        <w:rPr>
          <w:rFonts w:ascii="Calibri" w:hAnsi="Calibri" w:cs="Calibri"/>
          <w:bCs/>
          <w:szCs w:val="22"/>
          <w:lang w:eastAsia="en-US"/>
        </w:rPr>
      </w:pPr>
      <w:r w:rsidRPr="008676F9">
        <w:rPr>
          <w:rFonts w:ascii="Calibri" w:hAnsi="Calibri" w:cs="Calibri"/>
          <w:bCs/>
          <w:szCs w:val="22"/>
          <w:lang w:eastAsia="en-US"/>
        </w:rPr>
        <w:t xml:space="preserve">neprekrývanie podpory v rámci podopatrenia 8.3 s podporou v rámci podopatrenia  4.3 je zabezpečené rozdielnym typom oprávnených aktivít (v rámci podopatrenia 8.3 je oprávnená výstavba a rekonštrukcia protipožiarnych lesných ciest, v rámci podopatrenia 4.3 je oprávnená výstavba a rekonštrukcia lesných ciest a prístupu k lesnej pôde s výnimkou protipožiarnych lesných ciest). </w:t>
      </w:r>
    </w:p>
    <w:p w:rsidR="008676F9" w:rsidRPr="008676F9" w:rsidRDefault="008676F9" w:rsidP="006F5151">
      <w:pPr>
        <w:rPr>
          <w:rFonts w:ascii="Calibri" w:eastAsia="Calibri" w:hAnsi="Calibri" w:cs="Calibri"/>
          <w:bCs/>
          <w:szCs w:val="22"/>
          <w:u w:val="single"/>
          <w:lang w:eastAsia="en-US"/>
        </w:rPr>
      </w:pPr>
    </w:p>
    <w:p w:rsidR="006C71EE" w:rsidRPr="008676F9" w:rsidRDefault="006C71EE" w:rsidP="006C71EE">
      <w:pPr>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Prijímateľ podpory:</w:t>
      </w:r>
    </w:p>
    <w:p w:rsidR="006C71EE" w:rsidRPr="008676F9" w:rsidRDefault="006C71EE" w:rsidP="006C71EE">
      <w:pPr>
        <w:rPr>
          <w:rFonts w:ascii="Calibri" w:eastAsia="Calibri" w:hAnsi="Calibri" w:cs="Calibri"/>
          <w:bCs/>
          <w:szCs w:val="22"/>
          <w:lang w:eastAsia="en-US"/>
        </w:rPr>
      </w:pPr>
      <w:r w:rsidRPr="008676F9">
        <w:rPr>
          <w:rFonts w:ascii="Calibri" w:eastAsia="Calibri" w:hAnsi="Calibri" w:cs="Calibri"/>
          <w:bCs/>
          <w:szCs w:val="22"/>
          <w:lang w:eastAsia="en-US"/>
        </w:rPr>
        <w:t>Fyzické a právnické osoby</w:t>
      </w:r>
      <w:r>
        <w:rPr>
          <w:rStyle w:val="Odkaznapoznmkupodiarou"/>
          <w:rFonts w:ascii="Calibri" w:eastAsia="Calibri" w:hAnsi="Calibri" w:cs="Calibri"/>
          <w:bCs/>
          <w:szCs w:val="22"/>
          <w:lang w:eastAsia="en-US"/>
        </w:rPr>
        <w:footnoteReference w:id="21"/>
      </w:r>
      <w:r w:rsidRPr="008676F9">
        <w:rPr>
          <w:rFonts w:ascii="Calibri" w:eastAsia="Calibri" w:hAnsi="Calibri" w:cs="Calibri"/>
          <w:bCs/>
          <w:szCs w:val="22"/>
          <w:lang w:eastAsia="en-US"/>
        </w:rPr>
        <w:t xml:space="preserve"> obhospodarujúce lesy vo vlastníctve:</w:t>
      </w:r>
    </w:p>
    <w:p w:rsidR="006C71EE" w:rsidRPr="008676F9" w:rsidRDefault="006C71EE" w:rsidP="00955DA4">
      <w:pPr>
        <w:numPr>
          <w:ilvl w:val="0"/>
          <w:numId w:val="172"/>
        </w:numPr>
        <w:rPr>
          <w:rFonts w:ascii="Calibri" w:hAnsi="Calibri" w:cs="Calibri"/>
          <w:bCs/>
          <w:szCs w:val="22"/>
          <w:lang w:eastAsia="en-US"/>
        </w:rPr>
      </w:pPr>
      <w:r w:rsidRPr="008676F9">
        <w:rPr>
          <w:rFonts w:ascii="Calibri" w:hAnsi="Calibri" w:cs="Calibri"/>
          <w:bCs/>
          <w:szCs w:val="22"/>
          <w:lang w:eastAsia="en-US"/>
        </w:rPr>
        <w:t>súkromných vlastníkov a ich združení;</w:t>
      </w:r>
    </w:p>
    <w:p w:rsidR="006C71EE" w:rsidRPr="008676F9" w:rsidRDefault="006C71EE" w:rsidP="00955DA4">
      <w:pPr>
        <w:numPr>
          <w:ilvl w:val="0"/>
          <w:numId w:val="172"/>
        </w:numPr>
        <w:rPr>
          <w:rFonts w:ascii="Calibri" w:hAnsi="Calibri" w:cs="Calibri"/>
          <w:bCs/>
          <w:szCs w:val="22"/>
          <w:lang w:eastAsia="en-US"/>
        </w:rPr>
      </w:pPr>
      <w:r w:rsidRPr="008676F9">
        <w:rPr>
          <w:rFonts w:ascii="Calibri" w:hAnsi="Calibri" w:cs="Calibri"/>
          <w:bCs/>
          <w:szCs w:val="22"/>
          <w:lang w:eastAsia="en-US"/>
        </w:rPr>
        <w:t>obcí a ich združení;</w:t>
      </w:r>
    </w:p>
    <w:p w:rsidR="006C71EE" w:rsidRPr="008676F9" w:rsidRDefault="006C71EE" w:rsidP="00955DA4">
      <w:pPr>
        <w:numPr>
          <w:ilvl w:val="0"/>
          <w:numId w:val="172"/>
        </w:numPr>
        <w:rPr>
          <w:rFonts w:ascii="Calibri" w:hAnsi="Calibri" w:cs="Calibri"/>
          <w:bCs/>
          <w:szCs w:val="22"/>
          <w:lang w:eastAsia="en-US"/>
        </w:rPr>
      </w:pPr>
      <w:r w:rsidRPr="008676F9">
        <w:rPr>
          <w:rFonts w:ascii="Calibri" w:hAnsi="Calibri" w:cs="Calibri"/>
          <w:bCs/>
          <w:szCs w:val="22"/>
          <w:lang w:eastAsia="en-US"/>
        </w:rPr>
        <w:t>cirkvi, ktorej majetok možno podľa vnútroštátneho právneho poriadku považovať za súkromný, pokiaľ ide o jeho správu a nakladanie s ním;</w:t>
      </w:r>
    </w:p>
    <w:p w:rsidR="006C71EE" w:rsidRPr="008676F9" w:rsidRDefault="006C71EE" w:rsidP="00955DA4">
      <w:pPr>
        <w:numPr>
          <w:ilvl w:val="0"/>
          <w:numId w:val="172"/>
        </w:numPr>
        <w:rPr>
          <w:rFonts w:ascii="Calibri" w:hAnsi="Calibri" w:cs="Calibri"/>
          <w:bCs/>
          <w:szCs w:val="22"/>
          <w:lang w:eastAsia="en-US"/>
        </w:rPr>
      </w:pPr>
      <w:r w:rsidRPr="008676F9">
        <w:rPr>
          <w:rFonts w:ascii="Calibri" w:eastAsia="Calibri" w:hAnsi="Calibri" w:cs="Calibri"/>
          <w:bCs/>
          <w:szCs w:val="22"/>
          <w:lang w:eastAsia="en-US"/>
        </w:rPr>
        <w:t>štátu</w:t>
      </w:r>
      <w:r>
        <w:rPr>
          <w:rFonts w:ascii="Calibri" w:eastAsia="Calibri" w:hAnsi="Calibri" w:cs="Calibri"/>
          <w:bCs/>
          <w:szCs w:val="22"/>
          <w:lang w:eastAsia="en-US"/>
        </w:rPr>
        <w:t xml:space="preserve"> (</w:t>
      </w:r>
      <w:r>
        <w:rPr>
          <w:rFonts w:ascii="Calibri" w:hAnsi="Calibri" w:cs="Calibri"/>
          <w:bCs/>
          <w:szCs w:val="22"/>
          <w:lang w:eastAsia="en-US"/>
        </w:rPr>
        <w:t>LESY SR, š.p.; Vojenské lesy a majetky SR, š.p.; Štátne lesy TANAP-u; Lesohospodársky podnik Ulič, š.p.</w:t>
      </w:r>
      <w:r>
        <w:rPr>
          <w:rFonts w:ascii="Calibri" w:eastAsia="Calibri" w:hAnsi="Calibri" w:cs="Calibri"/>
          <w:bCs/>
          <w:szCs w:val="22"/>
          <w:lang w:eastAsia="en-US"/>
        </w:rPr>
        <w:t xml:space="preserve">). </w:t>
      </w:r>
    </w:p>
    <w:p w:rsidR="006C71EE" w:rsidRPr="008676F9" w:rsidRDefault="006C71EE" w:rsidP="006C71EE">
      <w:pPr>
        <w:rPr>
          <w:rFonts w:ascii="Calibri" w:eastAsia="Calibri" w:hAnsi="Calibri" w:cs="Calibri"/>
          <w:bCs/>
          <w:szCs w:val="22"/>
          <w:u w:val="single"/>
          <w:lang w:eastAsia="en-US"/>
        </w:rPr>
      </w:pPr>
    </w:p>
    <w:p w:rsidR="006C71EE" w:rsidRPr="008676F9" w:rsidRDefault="006C71EE" w:rsidP="006C71EE">
      <w:pPr>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Oprávnené náklady</w:t>
      </w:r>
      <w:r w:rsidRPr="008676F9">
        <w:rPr>
          <w:rFonts w:ascii="Calibri" w:eastAsia="Calibri" w:hAnsi="Calibri" w:cs="Calibri"/>
          <w:bCs/>
          <w:szCs w:val="22"/>
          <w:u w:val="single"/>
          <w:vertAlign w:val="superscript"/>
          <w:lang w:eastAsia="en-US"/>
        </w:rPr>
        <w:footnoteReference w:id="22"/>
      </w:r>
      <w:r w:rsidRPr="008676F9">
        <w:rPr>
          <w:rFonts w:ascii="Calibri" w:eastAsia="Calibri" w:hAnsi="Calibri" w:cs="Calibri"/>
          <w:bCs/>
          <w:szCs w:val="22"/>
          <w:u w:val="single"/>
          <w:lang w:eastAsia="en-US"/>
        </w:rPr>
        <w:t>:</w:t>
      </w:r>
    </w:p>
    <w:p w:rsidR="006C71EE" w:rsidRPr="008676F9" w:rsidRDefault="006C71EE" w:rsidP="006C71EE">
      <w:pPr>
        <w:numPr>
          <w:ilvl w:val="0"/>
          <w:numId w:val="28"/>
        </w:numPr>
        <w:tabs>
          <w:tab w:val="num" w:pos="426"/>
        </w:tabs>
        <w:ind w:left="426"/>
        <w:rPr>
          <w:rFonts w:ascii="Calibri" w:eastAsia="Calibri" w:hAnsi="Calibri" w:cs="Calibri"/>
          <w:szCs w:val="22"/>
          <w:lang w:eastAsia="en-US"/>
        </w:rPr>
      </w:pPr>
      <w:r w:rsidRPr="008676F9">
        <w:rPr>
          <w:rFonts w:ascii="Calibri" w:eastAsia="Calibri" w:hAnsi="Calibri" w:cs="Calibri"/>
          <w:bCs/>
          <w:szCs w:val="22"/>
          <w:lang w:eastAsia="en-US"/>
        </w:rPr>
        <w:t>výdavky na hmotné a nehmotné investície súvisiace s budovaním ochrannej protipožiarnej infraštruktúry</w:t>
      </w:r>
      <w:r w:rsidRPr="008676F9">
        <w:rPr>
          <w:rFonts w:ascii="Calibri" w:eastAsia="Calibri" w:hAnsi="Calibri" w:cs="Calibri"/>
          <w:szCs w:val="22"/>
        </w:rPr>
        <w:t>;</w:t>
      </w:r>
    </w:p>
    <w:p w:rsidR="006C71EE" w:rsidRPr="008676F9" w:rsidRDefault="006C71EE" w:rsidP="006C71EE">
      <w:pPr>
        <w:numPr>
          <w:ilvl w:val="0"/>
          <w:numId w:val="28"/>
        </w:numPr>
        <w:tabs>
          <w:tab w:val="num" w:pos="426"/>
        </w:tabs>
        <w:ind w:left="426"/>
        <w:rPr>
          <w:rFonts w:ascii="Calibri" w:eastAsia="Calibri" w:hAnsi="Calibri" w:cs="Calibri"/>
          <w:szCs w:val="22"/>
          <w:lang w:eastAsia="en-US"/>
        </w:rPr>
      </w:pPr>
      <w:r>
        <w:rPr>
          <w:rFonts w:ascii="Calibri" w:eastAsia="Calibri" w:hAnsi="Calibri" w:cs="Calibri"/>
          <w:szCs w:val="22"/>
          <w:lang w:eastAsia="en-US"/>
        </w:rPr>
        <w:t>náklady na riadenie projektu</w:t>
      </w:r>
      <w:r w:rsidRPr="008676F9">
        <w:rPr>
          <w:rFonts w:ascii="Calibri" w:eastAsia="Calibri" w:hAnsi="Calibri" w:cs="Calibri"/>
          <w:szCs w:val="22"/>
          <w:lang w:eastAsia="en-US"/>
        </w:rPr>
        <w:t>.</w:t>
      </w:r>
    </w:p>
    <w:p w:rsidR="008676F9" w:rsidRPr="008676F9" w:rsidRDefault="008676F9" w:rsidP="006F5151">
      <w:pPr>
        <w:rPr>
          <w:rFonts w:ascii="Calibri" w:eastAsia="Calibri" w:hAnsi="Calibri" w:cs="Calibri"/>
          <w:bCs/>
          <w:szCs w:val="22"/>
          <w:u w:val="single"/>
          <w:lang w:eastAsia="en-US"/>
        </w:rPr>
      </w:pPr>
    </w:p>
    <w:p w:rsidR="006C71EE" w:rsidRPr="008676F9" w:rsidRDefault="006C71EE" w:rsidP="006C71EE">
      <w:pPr>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Podmienky oprávnenosti:</w:t>
      </w:r>
    </w:p>
    <w:p w:rsidR="006C71EE" w:rsidRPr="003A72F5" w:rsidRDefault="006C71EE" w:rsidP="00955DA4">
      <w:pPr>
        <w:numPr>
          <w:ilvl w:val="0"/>
          <w:numId w:val="137"/>
        </w:numPr>
        <w:rPr>
          <w:rFonts w:ascii="Calibri" w:eastAsia="Calibri" w:hAnsi="Calibri"/>
          <w:szCs w:val="22"/>
          <w:lang w:eastAsia="en-US"/>
        </w:rPr>
      </w:pPr>
      <w:r w:rsidRPr="008676F9">
        <w:rPr>
          <w:rFonts w:ascii="Calibri" w:hAnsi="Calibri"/>
          <w:bCs/>
          <w:szCs w:val="22"/>
          <w:lang w:eastAsia="en-US"/>
        </w:rPr>
        <w:t>oprávnené sú lesné oblasti klasifikované ako oblasti so stredným až vysokým rizikom lesných požiarov (oblasti so stredným až vysokým rizikom lesných požiarov sú v SR taxatívne určené všeobecne záväzným právnym predpisom - vyhláška č. 453/2006 Z. z. o hospodárskej úprave lesov a ohrane lesa v prílohe č. 11);</w:t>
      </w:r>
    </w:p>
    <w:p w:rsidR="006C71EE" w:rsidRPr="008676F9" w:rsidRDefault="006C71EE" w:rsidP="00955DA4">
      <w:pPr>
        <w:numPr>
          <w:ilvl w:val="0"/>
          <w:numId w:val="137"/>
        </w:numPr>
        <w:rPr>
          <w:rFonts w:ascii="Calibri" w:eastAsia="Calibri" w:hAnsi="Calibri"/>
          <w:szCs w:val="22"/>
          <w:lang w:eastAsia="en-US"/>
        </w:rPr>
      </w:pPr>
      <w:r>
        <w:rPr>
          <w:rFonts w:ascii="Calibri" w:hAnsi="Calibri"/>
          <w:bCs/>
          <w:szCs w:val="22"/>
          <w:lang w:eastAsia="en-US"/>
        </w:rPr>
        <w:t>oprávnené operácie sú v súlade s Programom starostlivosti o les;</w:t>
      </w:r>
    </w:p>
    <w:p w:rsidR="006C71EE" w:rsidRPr="008676F9" w:rsidRDefault="006C71EE" w:rsidP="00955DA4">
      <w:pPr>
        <w:numPr>
          <w:ilvl w:val="0"/>
          <w:numId w:val="137"/>
        </w:numPr>
        <w:ind w:left="714" w:hanging="357"/>
        <w:rPr>
          <w:rFonts w:ascii="Calibri" w:hAnsi="Calibri"/>
          <w:bCs/>
          <w:szCs w:val="22"/>
          <w:lang w:eastAsia="en-US"/>
        </w:rPr>
      </w:pPr>
      <w:r w:rsidRPr="008676F9">
        <w:rPr>
          <w:rFonts w:ascii="Calibri" w:hAnsi="Calibri"/>
          <w:bCs/>
          <w:szCs w:val="22"/>
          <w:lang w:eastAsia="en-US"/>
        </w:rPr>
        <w:t>predloženie relevantných informácií z Programu starostlivosti o les(§47 zákona č.326/2005 Z.z.)</w:t>
      </w:r>
      <w:r w:rsidRPr="002F6039">
        <w:rPr>
          <w:rFonts w:ascii="Calibri" w:hAnsi="Calibri"/>
          <w:bCs/>
          <w:szCs w:val="22"/>
          <w:lang w:eastAsia="en-US"/>
        </w:rPr>
        <w:t xml:space="preserve"> </w:t>
      </w:r>
      <w:r>
        <w:rPr>
          <w:rFonts w:ascii="Calibri" w:hAnsi="Calibri"/>
          <w:bCs/>
          <w:szCs w:val="22"/>
          <w:lang w:eastAsia="en-US"/>
        </w:rPr>
        <w:t>a prípadne inej dokumentácie ochrany prírody podľa §54 zákona č.543/2002 Z. z.</w:t>
      </w:r>
      <w:r w:rsidRPr="008676F9">
        <w:rPr>
          <w:rFonts w:ascii="Calibri" w:hAnsi="Calibri"/>
          <w:bCs/>
          <w:szCs w:val="22"/>
          <w:lang w:eastAsia="en-US"/>
        </w:rPr>
        <w:t>.</w:t>
      </w:r>
    </w:p>
    <w:p w:rsidR="006C71EE" w:rsidRPr="008676F9" w:rsidRDefault="006C71EE" w:rsidP="006C71EE">
      <w:pPr>
        <w:ind w:left="714"/>
        <w:rPr>
          <w:rFonts w:ascii="Calibri" w:hAnsi="Calibri"/>
          <w:bCs/>
          <w:szCs w:val="22"/>
          <w:lang w:eastAsia="en-US"/>
        </w:rPr>
      </w:pPr>
    </w:p>
    <w:p w:rsidR="006C71EE" w:rsidRPr="008676F9" w:rsidRDefault="006C71EE" w:rsidP="006C71EE">
      <w:pPr>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Princípy nastavenia výberových kritérií:</w:t>
      </w:r>
    </w:p>
    <w:p w:rsidR="006C71EE" w:rsidRDefault="006C71EE" w:rsidP="006C71EE">
      <w:pPr>
        <w:numPr>
          <w:ilvl w:val="0"/>
          <w:numId w:val="40"/>
        </w:numPr>
        <w:rPr>
          <w:rFonts w:ascii="Calibri" w:hAnsi="Calibri"/>
          <w:bCs/>
          <w:szCs w:val="22"/>
          <w:lang w:eastAsia="en-US"/>
        </w:rPr>
      </w:pPr>
      <w:r>
        <w:rPr>
          <w:rFonts w:ascii="Calibri" w:hAnsi="Calibri"/>
          <w:bCs/>
          <w:szCs w:val="22"/>
          <w:lang w:eastAsia="en-US"/>
        </w:rPr>
        <w:t>komplexnosť, udržateľnosť, realizovateľnosť, hospodárnosť a efektívnosť projektu;</w:t>
      </w:r>
    </w:p>
    <w:p w:rsidR="006C71EE" w:rsidRDefault="006C71EE" w:rsidP="006C71EE">
      <w:pPr>
        <w:numPr>
          <w:ilvl w:val="0"/>
          <w:numId w:val="40"/>
        </w:numPr>
        <w:rPr>
          <w:rFonts w:ascii="Calibri" w:hAnsi="Calibri"/>
          <w:bCs/>
          <w:szCs w:val="22"/>
          <w:lang w:eastAsia="en-US"/>
        </w:rPr>
      </w:pPr>
      <w:r>
        <w:rPr>
          <w:rFonts w:ascii="Calibri" w:hAnsi="Calibri"/>
          <w:bCs/>
          <w:szCs w:val="22"/>
          <w:lang w:eastAsia="en-US"/>
        </w:rPr>
        <w:t>uprednostnená bude výstavba a rekonštrukcia protipožiarnych lesných ciest k objektom vybudovaným v rámci tohto podopatrenia;</w:t>
      </w:r>
    </w:p>
    <w:p w:rsidR="006C71EE" w:rsidRPr="00BC7C04" w:rsidRDefault="006C71EE" w:rsidP="006C71EE">
      <w:pPr>
        <w:numPr>
          <w:ilvl w:val="0"/>
          <w:numId w:val="40"/>
        </w:numPr>
        <w:rPr>
          <w:rFonts w:ascii="Calibri" w:hAnsi="Calibri"/>
          <w:bCs/>
          <w:szCs w:val="22"/>
          <w:lang w:eastAsia="en-US"/>
        </w:rPr>
      </w:pPr>
      <w:r>
        <w:rPr>
          <w:rFonts w:ascii="Calibri" w:hAnsi="Calibri"/>
          <w:bCs/>
          <w:szCs w:val="22"/>
          <w:lang w:eastAsia="en-US"/>
        </w:rPr>
        <w:t>uprednostnené budú projekty prepojené s podopatrením 8.4;</w:t>
      </w:r>
    </w:p>
    <w:p w:rsidR="006C71EE" w:rsidRPr="008676F9" w:rsidRDefault="006C71EE" w:rsidP="006C71EE">
      <w:pPr>
        <w:numPr>
          <w:ilvl w:val="0"/>
          <w:numId w:val="40"/>
        </w:numPr>
        <w:contextualSpacing/>
        <w:rPr>
          <w:rFonts w:ascii="Calibri" w:hAnsi="Calibri" w:cs="Calibri"/>
          <w:bCs/>
          <w:szCs w:val="22"/>
          <w:lang w:eastAsia="en-US"/>
        </w:rPr>
      </w:pPr>
      <w:r w:rsidRPr="008676F9">
        <w:rPr>
          <w:rFonts w:ascii="Calibri" w:hAnsi="Calibri" w:cs="Calibri"/>
          <w:bCs/>
          <w:szCs w:val="22"/>
          <w:lang w:eastAsia="en-US"/>
        </w:rPr>
        <w:t>uprednostnené budú projekty v oblasti s vyšším rizikom požiaru.</w:t>
      </w:r>
    </w:p>
    <w:p w:rsidR="006C71EE" w:rsidRPr="008676F9" w:rsidRDefault="006C71EE" w:rsidP="006C71EE">
      <w:pPr>
        <w:rPr>
          <w:rFonts w:ascii="Calibri" w:eastAsia="Calibri" w:hAnsi="Calibri" w:cs="Calibri"/>
          <w:bCs/>
          <w:szCs w:val="22"/>
          <w:u w:val="single"/>
          <w:lang w:eastAsia="en-US"/>
        </w:rPr>
      </w:pPr>
    </w:p>
    <w:p w:rsidR="006C71EE" w:rsidRPr="008676F9" w:rsidRDefault="006C71EE" w:rsidP="006C71EE">
      <w:pPr>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Výška a miera podpory:</w:t>
      </w:r>
    </w:p>
    <w:p w:rsidR="006C71EE" w:rsidRPr="008676F9" w:rsidRDefault="006C71EE" w:rsidP="006C71EE">
      <w:pPr>
        <w:rPr>
          <w:rFonts w:ascii="Calibri" w:eastAsia="Calibri" w:hAnsi="Calibri" w:cs="Calibri"/>
          <w:szCs w:val="22"/>
          <w:lang w:eastAsia="en-US"/>
        </w:rPr>
      </w:pPr>
      <w:r w:rsidRPr="008676F9">
        <w:rPr>
          <w:rFonts w:ascii="Calibri" w:eastAsia="Calibri" w:hAnsi="Calibri" w:cs="Calibri"/>
          <w:szCs w:val="22"/>
          <w:lang w:eastAsia="en-US"/>
        </w:rPr>
        <w:t>Maximálna výška podpory z celkových oprávnených nákladov:</w:t>
      </w:r>
    </w:p>
    <w:p w:rsidR="006C71EE" w:rsidRDefault="006C71EE" w:rsidP="00955DA4">
      <w:pPr>
        <w:numPr>
          <w:ilvl w:val="0"/>
          <w:numId w:val="134"/>
        </w:numPr>
        <w:rPr>
          <w:rFonts w:ascii="Calibri" w:hAnsi="Calibri" w:cs="Calibri"/>
          <w:szCs w:val="22"/>
          <w:lang w:eastAsia="en-US"/>
        </w:rPr>
      </w:pPr>
      <w:r w:rsidRPr="008676F9">
        <w:rPr>
          <w:rFonts w:ascii="Calibri" w:hAnsi="Calibri" w:cs="Calibri"/>
          <w:szCs w:val="22"/>
          <w:lang w:eastAsia="en-US"/>
        </w:rPr>
        <w:t>100%.</w:t>
      </w:r>
    </w:p>
    <w:p w:rsidR="006C71EE" w:rsidRPr="004923A5" w:rsidRDefault="006C71EE" w:rsidP="006C71EE">
      <w:pPr>
        <w:rPr>
          <w:rFonts w:ascii="Calibri" w:hAnsi="Calibri" w:cs="Calibri"/>
          <w:szCs w:val="22"/>
          <w:lang w:eastAsia="en-US"/>
        </w:rPr>
      </w:pPr>
      <w:r w:rsidRPr="004923A5">
        <w:rPr>
          <w:rFonts w:ascii="Calibri" w:hAnsi="Calibri" w:cs="Calibri"/>
          <w:szCs w:val="22"/>
          <w:lang w:eastAsia="en-US"/>
        </w:rPr>
        <w:t xml:space="preserve">Pri vyhlasovaní Výziev na predkladanie Žiadostí o poskytnutie nenávratného finančného príspevku môže byť znížená výška podpory na 80%. </w:t>
      </w:r>
    </w:p>
    <w:p w:rsidR="008676F9" w:rsidRPr="008676F9" w:rsidRDefault="008676F9" w:rsidP="006F5151">
      <w:pPr>
        <w:ind w:left="720"/>
        <w:rPr>
          <w:rFonts w:ascii="Calibri" w:hAnsi="Calibri" w:cs="Calibri"/>
          <w:szCs w:val="22"/>
          <w:lang w:eastAsia="en-US"/>
        </w:rPr>
      </w:pPr>
    </w:p>
    <w:p w:rsidR="008676F9" w:rsidRPr="008676F9" w:rsidRDefault="008676F9" w:rsidP="006F5151">
      <w:pPr>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Ďalšie informácie špecifické pre podopatrenie:</w:t>
      </w:r>
    </w:p>
    <w:p w:rsidR="008676F9" w:rsidRPr="008676F9" w:rsidRDefault="008676F9" w:rsidP="001F3673">
      <w:pPr>
        <w:spacing w:after="120"/>
        <w:rPr>
          <w:rFonts w:ascii="Calibri" w:eastAsia="Calibri" w:hAnsi="Calibri" w:cs="Arial"/>
          <w:color w:val="000000"/>
          <w:szCs w:val="22"/>
          <w:lang w:eastAsia="en-US"/>
        </w:rPr>
      </w:pPr>
      <w:r w:rsidRPr="008676F9">
        <w:rPr>
          <w:rFonts w:ascii="Calibri" w:eastAsia="Calibri" w:hAnsi="Calibri"/>
          <w:i/>
          <w:szCs w:val="22"/>
          <w:lang w:eastAsia="en-US"/>
        </w:rPr>
        <w:t>Les:</w:t>
      </w:r>
      <w:r w:rsidRPr="008676F9">
        <w:rPr>
          <w:rFonts w:ascii="Calibri" w:eastAsia="Calibri" w:hAnsi="Calibri"/>
          <w:szCs w:val="22"/>
          <w:lang w:eastAsia="en-US"/>
        </w:rPr>
        <w:t xml:space="preserve"> </w:t>
      </w:r>
      <w:r w:rsidRPr="008676F9">
        <w:rPr>
          <w:rFonts w:ascii="Calibri" w:eastAsia="Calibri" w:hAnsi="Calibri" w:cs="Arial"/>
          <w:color w:val="000000"/>
          <w:szCs w:val="22"/>
          <w:lang w:eastAsia="en-US"/>
        </w:rPr>
        <w:t xml:space="preserve">ekosystém, ktorý tvorí lesný pozemok s lesným porastom a faktormi jeho vzdušného prostredia, rastlinné druhy, živočíšne druhy a pôda s jej hydrologickým a vzdušným režimom. </w:t>
      </w:r>
      <w:r w:rsidRPr="008676F9">
        <w:rPr>
          <w:rFonts w:ascii="Calibri" w:eastAsia="Calibri" w:hAnsi="Calibri"/>
          <w:szCs w:val="22"/>
          <w:lang w:eastAsia="en-US"/>
        </w:rPr>
        <w:t xml:space="preserve">Podpora sa vzťahuje na lesné pozemky zadefinované podľa § 3 zákona č.326/2005. </w:t>
      </w:r>
      <w:r w:rsidRPr="008676F9">
        <w:rPr>
          <w:rFonts w:ascii="Calibri" w:eastAsia="Calibri" w:hAnsi="Calibri" w:cs="Arial"/>
          <w:color w:val="000000"/>
          <w:szCs w:val="22"/>
          <w:lang w:eastAsia="en-US"/>
        </w:rPr>
        <w:t>Lesným porastom sa rozumie súbor rastúcich stromovitých drevín, krovitých drevín alebo ich zmesí na lesných pozemkoch.</w:t>
      </w:r>
    </w:p>
    <w:p w:rsidR="008676F9" w:rsidRPr="008676F9" w:rsidRDefault="008676F9" w:rsidP="008676F9">
      <w:pPr>
        <w:keepNext/>
        <w:spacing w:line="276" w:lineRule="auto"/>
        <w:outlineLvl w:val="1"/>
        <w:rPr>
          <w:rFonts w:ascii="Calibri" w:eastAsia="Calibri" w:hAnsi="Calibri" w:cs="Calibri"/>
          <w:bCs/>
          <w:szCs w:val="22"/>
          <w:lang w:eastAsia="en-US"/>
        </w:rPr>
      </w:pPr>
      <w:r w:rsidRPr="008676F9">
        <w:rPr>
          <w:rFonts w:ascii="Calibri" w:eastAsia="Calibri" w:hAnsi="Calibri" w:cs="Calibri"/>
          <w:bCs/>
          <w:szCs w:val="22"/>
          <w:lang w:eastAsia="en-US"/>
        </w:rPr>
        <w:t>V rámci podopatrenia 8.</w:t>
      </w:r>
      <w:r w:rsidR="006C71EE">
        <w:rPr>
          <w:rFonts w:ascii="Calibri" w:eastAsia="Calibri" w:hAnsi="Calibri" w:cs="Calibri"/>
          <w:bCs/>
          <w:szCs w:val="22"/>
          <w:lang w:eastAsia="en-US"/>
        </w:rPr>
        <w:t>3</w:t>
      </w:r>
      <w:r w:rsidRPr="008676F9">
        <w:rPr>
          <w:rFonts w:ascii="Calibri" w:eastAsia="Calibri" w:hAnsi="Calibri" w:cs="Calibri"/>
          <w:bCs/>
          <w:szCs w:val="22"/>
          <w:lang w:eastAsia="en-US"/>
        </w:rPr>
        <w:t xml:space="preserve"> sú financované záväzky z PRV SR 2007-2013 pre opatrenie226. </w:t>
      </w:r>
    </w:p>
    <w:p w:rsidR="00BD13CE" w:rsidRDefault="00BD13CE">
      <w:pPr>
        <w:jc w:val="left"/>
        <w:rPr>
          <w:rFonts w:ascii="Calibri" w:eastAsia="Calibri" w:hAnsi="Calibri" w:cs="Calibri"/>
          <w:szCs w:val="22"/>
          <w:lang w:eastAsia="en-US"/>
        </w:rPr>
      </w:pPr>
      <w:r>
        <w:rPr>
          <w:rFonts w:ascii="Calibri" w:eastAsia="Calibri" w:hAnsi="Calibri" w:cs="Calibri"/>
          <w:szCs w:val="22"/>
          <w:lang w:eastAsia="en-US"/>
        </w:rPr>
        <w:br w:type="page"/>
      </w:r>
    </w:p>
    <w:p w:rsidR="008676F9" w:rsidRPr="00BD13CE" w:rsidRDefault="008676F9" w:rsidP="00BD13CE">
      <w:pPr>
        <w:shd w:val="clear" w:color="auto" w:fill="EAF1DD"/>
        <w:ind w:left="1843" w:hanging="1843"/>
        <w:rPr>
          <w:rFonts w:ascii="Calibri" w:eastAsia="Calibri" w:hAnsi="Calibri" w:cs="Calibri"/>
          <w:b/>
          <w:bCs/>
          <w:sz w:val="24"/>
          <w:lang w:eastAsia="en-US"/>
        </w:rPr>
      </w:pPr>
      <w:r w:rsidRPr="008676F9">
        <w:rPr>
          <w:rFonts w:ascii="Calibri" w:eastAsia="Calibri" w:hAnsi="Calibri" w:cs="Calibri"/>
          <w:bCs/>
          <w:lang w:eastAsia="en-US"/>
        </w:rPr>
        <w:t xml:space="preserve">Podopatrenie: </w:t>
      </w:r>
      <w:r w:rsidRPr="008676F9">
        <w:rPr>
          <w:rFonts w:ascii="Calibri" w:eastAsia="Calibri" w:hAnsi="Calibri" w:cs="Calibri"/>
          <w:b/>
          <w:bCs/>
          <w:i/>
          <w:lang w:eastAsia="en-US"/>
        </w:rPr>
        <w:t xml:space="preserve">8.4. </w:t>
      </w:r>
      <w:r w:rsidRPr="00BD13CE">
        <w:rPr>
          <w:rFonts w:ascii="Calibri" w:eastAsia="Calibri" w:hAnsi="Calibri" w:cs="Calibri"/>
          <w:b/>
          <w:bCs/>
          <w:i/>
          <w:sz w:val="24"/>
          <w:lang w:eastAsia="en-US"/>
        </w:rPr>
        <w:t>Podpora prevencie poškodzovania lesov lesnými požiarmi</w:t>
      </w:r>
      <w:r w:rsidR="003A72F5" w:rsidRPr="00BD13CE">
        <w:rPr>
          <w:rFonts w:ascii="Calibri" w:eastAsia="Calibri" w:hAnsi="Calibri" w:cs="Calibri"/>
          <w:b/>
          <w:bCs/>
          <w:i/>
          <w:sz w:val="24"/>
          <w:lang w:eastAsia="en-US"/>
        </w:rPr>
        <w:t>,</w:t>
      </w:r>
      <w:r w:rsidRPr="00BD13CE">
        <w:rPr>
          <w:rFonts w:ascii="Calibri" w:eastAsia="Calibri" w:hAnsi="Calibri" w:cs="Calibri"/>
          <w:b/>
          <w:bCs/>
          <w:i/>
          <w:sz w:val="24"/>
          <w:lang w:eastAsia="en-US"/>
        </w:rPr>
        <w:t> prírodnými pohromami</w:t>
      </w:r>
      <w:r w:rsidR="003A72F5" w:rsidRPr="00BD13CE">
        <w:rPr>
          <w:rFonts w:ascii="Calibri" w:eastAsia="Calibri" w:hAnsi="Calibri" w:cs="Calibri"/>
          <w:b/>
          <w:bCs/>
          <w:i/>
          <w:sz w:val="24"/>
          <w:lang w:eastAsia="en-US"/>
        </w:rPr>
        <w:t>,</w:t>
      </w:r>
      <w:r w:rsidRPr="00BD13CE">
        <w:rPr>
          <w:rFonts w:ascii="Calibri" w:eastAsia="Calibri" w:hAnsi="Calibri" w:cs="Calibri"/>
          <w:b/>
          <w:bCs/>
          <w:i/>
          <w:sz w:val="24"/>
          <w:lang w:eastAsia="en-US"/>
        </w:rPr>
        <w:t> katastrofickými udalosťami a obnova poškodených lesov</w:t>
      </w:r>
    </w:p>
    <w:p w:rsidR="008676F9" w:rsidRPr="008676F9" w:rsidRDefault="008676F9" w:rsidP="008676F9">
      <w:pPr>
        <w:shd w:val="clear" w:color="auto" w:fill="FBD4B4"/>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Názov operácie:</w:t>
      </w:r>
    </w:p>
    <w:p w:rsidR="008676F9" w:rsidRPr="008676F9" w:rsidRDefault="008676F9" w:rsidP="008676F9">
      <w:pPr>
        <w:shd w:val="clear" w:color="auto" w:fill="FBD4B4"/>
        <w:rPr>
          <w:rFonts w:ascii="Calibri" w:eastAsia="Calibri" w:hAnsi="Calibri" w:cs="Calibri"/>
          <w:i/>
          <w:szCs w:val="22"/>
          <w:lang w:eastAsia="en-US"/>
        </w:rPr>
      </w:pPr>
      <w:r w:rsidRPr="008676F9">
        <w:rPr>
          <w:rFonts w:ascii="Calibri" w:eastAsia="Calibri" w:hAnsi="Calibri" w:cs="Calibri"/>
          <w:i/>
          <w:szCs w:val="22"/>
          <w:lang w:eastAsia="en-US"/>
        </w:rPr>
        <w:t xml:space="preserve">Podpora obnovy </w:t>
      </w:r>
      <w:r w:rsidRPr="008676F9">
        <w:rPr>
          <w:rFonts w:ascii="Calibri" w:eastAsia="Calibri" w:hAnsi="Calibri"/>
          <w:i/>
          <w:szCs w:val="22"/>
          <w:lang w:eastAsia="en-US"/>
        </w:rPr>
        <w:t>lesného potenciálu za účelom</w:t>
      </w:r>
      <w:r w:rsidRPr="008676F9">
        <w:rPr>
          <w:rFonts w:ascii="Calibri" w:eastAsia="Calibri" w:hAnsi="Calibri" w:cs="Calibri"/>
          <w:i/>
          <w:szCs w:val="22"/>
          <w:lang w:eastAsia="en-US"/>
        </w:rPr>
        <w:t xml:space="preserve"> </w:t>
      </w:r>
      <w:r w:rsidRPr="008676F9">
        <w:rPr>
          <w:rFonts w:ascii="Calibri" w:eastAsia="Calibri" w:hAnsi="Calibri" w:cs="Calibri"/>
          <w:i/>
          <w:szCs w:val="22"/>
        </w:rPr>
        <w:t>obnovy</w:t>
      </w:r>
      <w:r w:rsidRPr="008676F9">
        <w:rPr>
          <w:rFonts w:ascii="Calibri" w:eastAsia="Calibri" w:hAnsi="Calibri" w:cs="Calibri"/>
          <w:bCs/>
          <w:i/>
          <w:szCs w:val="22"/>
        </w:rPr>
        <w:t>,</w:t>
      </w:r>
      <w:r w:rsidRPr="008676F9">
        <w:rPr>
          <w:rFonts w:ascii="Calibri" w:eastAsia="Calibri" w:hAnsi="Calibri" w:cs="Calibri"/>
          <w:i/>
          <w:szCs w:val="22"/>
        </w:rPr>
        <w:t xml:space="preserve"> zachovania </w:t>
      </w:r>
      <w:r w:rsidRPr="008676F9">
        <w:rPr>
          <w:rFonts w:ascii="Calibri" w:eastAsia="Calibri" w:hAnsi="Calibri" w:cs="Calibri"/>
          <w:bCs/>
          <w:i/>
          <w:szCs w:val="22"/>
        </w:rPr>
        <w:t>a zvýšenie</w:t>
      </w:r>
      <w:r w:rsidRPr="008676F9">
        <w:rPr>
          <w:rFonts w:ascii="Calibri" w:eastAsia="Calibri" w:hAnsi="Calibri" w:cs="Calibri"/>
          <w:i/>
          <w:szCs w:val="22"/>
        </w:rPr>
        <w:t xml:space="preserve"> biologickej diverzity</w:t>
      </w:r>
    </w:p>
    <w:p w:rsidR="008676F9" w:rsidRPr="008676F9" w:rsidRDefault="008676F9" w:rsidP="008676F9">
      <w:pPr>
        <w:rPr>
          <w:rFonts w:ascii="Calibri" w:eastAsia="Calibri" w:hAnsi="Calibri" w:cs="Calibri"/>
          <w:bCs/>
          <w:szCs w:val="22"/>
          <w:u w:val="single"/>
          <w:lang w:eastAsia="en-US"/>
        </w:rPr>
      </w:pPr>
    </w:p>
    <w:p w:rsidR="008676F9" w:rsidRPr="008676F9" w:rsidRDefault="008676F9" w:rsidP="006F5151">
      <w:pPr>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Opis operácie:</w:t>
      </w:r>
    </w:p>
    <w:p w:rsidR="008676F9" w:rsidRPr="008676F9" w:rsidRDefault="008676F9" w:rsidP="006F5151">
      <w:pPr>
        <w:rPr>
          <w:rFonts w:ascii="Calibri" w:eastAsia="Calibri" w:hAnsi="Calibri" w:cs="Calibri"/>
          <w:bCs/>
          <w:szCs w:val="22"/>
          <w:lang w:eastAsia="en-US"/>
        </w:rPr>
      </w:pPr>
      <w:r w:rsidRPr="008676F9">
        <w:rPr>
          <w:rFonts w:ascii="Calibri" w:eastAsia="Calibri" w:hAnsi="Calibri" w:cs="Calibri"/>
          <w:bCs/>
          <w:szCs w:val="22"/>
          <w:lang w:eastAsia="en-US"/>
        </w:rPr>
        <w:t>V rámci danej operácie budú aktivity zamerané na:</w:t>
      </w:r>
    </w:p>
    <w:p w:rsidR="008676F9" w:rsidRPr="008676F9" w:rsidRDefault="008676F9" w:rsidP="00317BFF">
      <w:pPr>
        <w:numPr>
          <w:ilvl w:val="0"/>
          <w:numId w:val="32"/>
        </w:numPr>
        <w:ind w:left="357" w:hanging="357"/>
        <w:rPr>
          <w:rFonts w:ascii="Calibri" w:eastAsia="Calibri" w:hAnsi="Calibri"/>
          <w:szCs w:val="22"/>
          <w:lang w:eastAsia="en-US"/>
        </w:rPr>
      </w:pPr>
      <w:r w:rsidRPr="008676F9">
        <w:rPr>
          <w:rFonts w:ascii="Calibri" w:eastAsia="Calibri" w:hAnsi="Calibri"/>
          <w:szCs w:val="22"/>
          <w:lang w:eastAsia="en-US"/>
        </w:rPr>
        <w:t>projekty revitalizácie a obnovy lesných spoločenstiev (vrátane obnovy lesných porastov, ochrany, ošetrovania a výchovy lesov) zničených alebo výrazne destabilizovaných</w:t>
      </w:r>
      <w:r w:rsidR="003A72F5">
        <w:rPr>
          <w:rFonts w:ascii="Calibri" w:eastAsia="Calibri" w:hAnsi="Calibri"/>
          <w:szCs w:val="22"/>
          <w:lang w:eastAsia="en-US"/>
        </w:rPr>
        <w:t xml:space="preserve"> lesnými požiarmi,</w:t>
      </w:r>
      <w:r w:rsidRPr="008676F9">
        <w:rPr>
          <w:rFonts w:ascii="Calibri" w:eastAsia="Calibri" w:hAnsi="Calibri"/>
          <w:szCs w:val="22"/>
          <w:lang w:eastAsia="en-US"/>
        </w:rPr>
        <w:t xml:space="preserve"> prírodnými </w:t>
      </w:r>
      <w:r w:rsidR="003A72F5">
        <w:rPr>
          <w:rFonts w:ascii="Calibri" w:eastAsia="Calibri" w:hAnsi="Calibri"/>
          <w:szCs w:val="22"/>
          <w:lang w:eastAsia="en-US"/>
        </w:rPr>
        <w:t>pohromami</w:t>
      </w:r>
      <w:r w:rsidRPr="008676F9">
        <w:rPr>
          <w:rFonts w:ascii="Calibri" w:eastAsia="Calibri" w:hAnsi="Calibri"/>
          <w:szCs w:val="22"/>
          <w:lang w:eastAsia="en-US"/>
        </w:rPr>
        <w:t xml:space="preserve"> a katastrofickými udalosťami;</w:t>
      </w:r>
    </w:p>
    <w:p w:rsidR="008676F9" w:rsidRPr="008676F9" w:rsidRDefault="008676F9" w:rsidP="00317BFF">
      <w:pPr>
        <w:numPr>
          <w:ilvl w:val="0"/>
          <w:numId w:val="32"/>
        </w:numPr>
        <w:ind w:left="357" w:hanging="357"/>
        <w:rPr>
          <w:rFonts w:ascii="Calibri" w:eastAsia="Calibri" w:hAnsi="Calibri"/>
          <w:szCs w:val="22"/>
          <w:lang w:eastAsia="en-US"/>
        </w:rPr>
      </w:pPr>
      <w:r w:rsidRPr="008676F9">
        <w:rPr>
          <w:rFonts w:ascii="Calibri" w:eastAsia="Calibri" w:hAnsi="Calibri"/>
          <w:szCs w:val="22"/>
          <w:lang w:eastAsia="en-US"/>
        </w:rPr>
        <w:t>projekty ozdravných opatrení v lesoch poškodených v dôsledku zmeny klímy, premnožením kalamitných škodcov či vplyvom iných významných biotických, abiotických a antropogénnych škodlivých činiteľov;</w:t>
      </w:r>
    </w:p>
    <w:p w:rsidR="008676F9" w:rsidRPr="008676F9" w:rsidRDefault="008676F9" w:rsidP="00317BFF">
      <w:pPr>
        <w:numPr>
          <w:ilvl w:val="0"/>
          <w:numId w:val="32"/>
        </w:numPr>
        <w:ind w:left="357" w:hanging="357"/>
        <w:rPr>
          <w:rFonts w:ascii="Calibri" w:eastAsia="Calibri" w:hAnsi="Calibri"/>
          <w:szCs w:val="22"/>
          <w:lang w:eastAsia="en-US"/>
        </w:rPr>
      </w:pPr>
      <w:r w:rsidRPr="008676F9">
        <w:rPr>
          <w:rFonts w:ascii="Calibri" w:eastAsia="Calibri" w:hAnsi="Calibri"/>
          <w:szCs w:val="22"/>
          <w:lang w:eastAsia="en-US"/>
        </w:rPr>
        <w:t>projekty konverzie smrečín v rozpad</w:t>
      </w:r>
      <w:r w:rsidR="003A72F5">
        <w:rPr>
          <w:rFonts w:ascii="Calibri" w:eastAsia="Calibri" w:hAnsi="Calibri"/>
          <w:szCs w:val="22"/>
          <w:lang w:eastAsia="en-US"/>
        </w:rPr>
        <w:t>e (destabilizované prírodnými pohromami a katastrofickými udalosťami)</w:t>
      </w:r>
      <w:r w:rsidRPr="008676F9">
        <w:rPr>
          <w:rFonts w:ascii="Calibri" w:eastAsia="Calibri" w:hAnsi="Calibri"/>
          <w:szCs w:val="22"/>
          <w:lang w:eastAsia="en-US"/>
        </w:rPr>
        <w:t xml:space="preserve"> na lesy zmiešane s vysokou ekologickou stabilitou s osobitným dôrazom na horské smrečiny a  lesné spoločenstvá na hornej hranici lesa.</w:t>
      </w:r>
    </w:p>
    <w:p w:rsidR="008676F9" w:rsidRPr="008676F9" w:rsidRDefault="008676F9" w:rsidP="006F5151">
      <w:pPr>
        <w:rPr>
          <w:rFonts w:ascii="Calibri" w:eastAsia="Calibri" w:hAnsi="Calibri" w:cs="Calibri"/>
          <w:bCs/>
          <w:szCs w:val="22"/>
          <w:u w:val="single"/>
          <w:lang w:eastAsia="en-US"/>
        </w:rPr>
      </w:pPr>
    </w:p>
    <w:p w:rsidR="008676F9" w:rsidRPr="008676F9" w:rsidRDefault="008676F9" w:rsidP="006F5151">
      <w:pPr>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Typ podpory:</w:t>
      </w:r>
    </w:p>
    <w:p w:rsidR="008676F9" w:rsidRPr="008676F9" w:rsidRDefault="008676F9" w:rsidP="006F5151">
      <w:pPr>
        <w:rPr>
          <w:rFonts w:ascii="Calibri" w:eastAsia="Calibri" w:hAnsi="Calibri" w:cs="Calibri"/>
          <w:bCs/>
          <w:szCs w:val="22"/>
          <w:lang w:eastAsia="en-US"/>
        </w:rPr>
      </w:pPr>
      <w:r w:rsidRPr="008676F9">
        <w:rPr>
          <w:rFonts w:ascii="Calibri" w:eastAsia="Calibri" w:hAnsi="Calibri" w:cs="Calibri"/>
          <w:bCs/>
          <w:szCs w:val="22"/>
          <w:lang w:eastAsia="en-US"/>
        </w:rPr>
        <w:t>Investičná, nezisková, nenávratný finančný príspevok, možnosť poskytnutia zálohovej platby do výšky max. 50% oprávnených nákladov.</w:t>
      </w:r>
    </w:p>
    <w:p w:rsidR="008676F9" w:rsidRPr="008676F9" w:rsidRDefault="008676F9" w:rsidP="006F5151">
      <w:pPr>
        <w:rPr>
          <w:rFonts w:ascii="Calibri" w:eastAsia="Calibri" w:hAnsi="Calibri" w:cs="Calibri"/>
          <w:bCs/>
          <w:szCs w:val="22"/>
          <w:u w:val="single"/>
          <w:lang w:eastAsia="en-US"/>
        </w:rPr>
      </w:pPr>
    </w:p>
    <w:p w:rsidR="006C71EE" w:rsidRPr="008676F9" w:rsidRDefault="006C71EE" w:rsidP="006C71EE">
      <w:pPr>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Súvislosť s inou legislatívou:</w:t>
      </w:r>
    </w:p>
    <w:p w:rsidR="006C71EE" w:rsidRPr="006C71EE" w:rsidRDefault="006C71EE" w:rsidP="00CE203B">
      <w:pPr>
        <w:pStyle w:val="Odsekzoznamu"/>
        <w:numPr>
          <w:ilvl w:val="0"/>
          <w:numId w:val="397"/>
        </w:numPr>
        <w:rPr>
          <w:rFonts w:ascii="Calibri" w:hAnsi="Calibri" w:cs="Calibri"/>
          <w:bCs/>
          <w:szCs w:val="22"/>
          <w:lang w:eastAsia="en-US"/>
        </w:rPr>
      </w:pPr>
      <w:r w:rsidRPr="006C71EE">
        <w:rPr>
          <w:rFonts w:ascii="Calibri" w:hAnsi="Calibri" w:cs="Calibri"/>
          <w:bCs/>
          <w:szCs w:val="22"/>
          <w:lang w:eastAsia="en-US"/>
        </w:rPr>
        <w:t>Nariadenie (EÚ) č. 1310/2013 ktorým sa stanovujú niektoré prechodné ustanovenia o podpore rozvoja vidieka z Európskeho poľnohospodárskeho fondu pre rozvoj vidieka.</w:t>
      </w:r>
    </w:p>
    <w:p w:rsidR="006C71EE" w:rsidRPr="006C71EE" w:rsidRDefault="006C71EE" w:rsidP="00CE203B">
      <w:pPr>
        <w:pStyle w:val="Odsekzoznamu"/>
        <w:numPr>
          <w:ilvl w:val="0"/>
          <w:numId w:val="397"/>
        </w:numPr>
        <w:rPr>
          <w:rFonts w:ascii="Calibri" w:eastAsia="Calibri" w:hAnsi="Calibri"/>
          <w:szCs w:val="22"/>
          <w:lang w:eastAsia="en-US"/>
        </w:rPr>
      </w:pPr>
      <w:r w:rsidRPr="006C71EE">
        <w:rPr>
          <w:rFonts w:ascii="Calibri" w:eastAsia="Calibri" w:hAnsi="Calibri"/>
          <w:szCs w:val="22"/>
          <w:lang w:eastAsia="en-US"/>
        </w:rPr>
        <w:t>Neprekrývanie podpory v rámci tejto operácie a podpory v rámci podopatrenia 8.5 je zabezpečené rozdielnym typom oprávnených činností (v rámci podopatrenia 8.5 je podpora zameraná na obnovu ochranných lesov a lesov osobitného určenia podsadbou lesných porastov, ktoré nie sú destabilizované prírodnými pohromami a katastrofickými udalosťami; v rámci tejto operácie je oprávnená obnova lesov všetkých kategórií, ktoré sú destabilizované prírodnými pohromami a katastrofickými udalosťami).</w:t>
      </w:r>
    </w:p>
    <w:p w:rsidR="006C71EE" w:rsidRPr="008676F9" w:rsidRDefault="006C71EE" w:rsidP="006C71EE">
      <w:pPr>
        <w:rPr>
          <w:rFonts w:ascii="Calibri" w:eastAsia="Calibri" w:hAnsi="Calibri"/>
          <w:szCs w:val="22"/>
          <w:lang w:eastAsia="en-US"/>
        </w:rPr>
      </w:pPr>
    </w:p>
    <w:p w:rsidR="006C71EE" w:rsidRPr="008676F9" w:rsidRDefault="006C71EE" w:rsidP="006C71EE">
      <w:pPr>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Prijímateľ podpory:</w:t>
      </w:r>
    </w:p>
    <w:p w:rsidR="006C71EE" w:rsidRPr="008676F9" w:rsidRDefault="006C71EE" w:rsidP="006C71EE">
      <w:pPr>
        <w:rPr>
          <w:rFonts w:ascii="Calibri" w:eastAsia="Calibri" w:hAnsi="Calibri" w:cs="Calibri"/>
          <w:bCs/>
          <w:szCs w:val="22"/>
          <w:lang w:eastAsia="en-US"/>
        </w:rPr>
      </w:pPr>
      <w:r w:rsidRPr="008676F9">
        <w:rPr>
          <w:rFonts w:ascii="Calibri" w:eastAsia="Calibri" w:hAnsi="Calibri" w:cs="Calibri"/>
          <w:bCs/>
          <w:szCs w:val="22"/>
          <w:lang w:eastAsia="en-US"/>
        </w:rPr>
        <w:t>Fyzické a právnické osoby</w:t>
      </w:r>
      <w:r>
        <w:rPr>
          <w:rStyle w:val="Odkaznapoznmkupodiarou"/>
          <w:rFonts w:ascii="Calibri" w:eastAsia="Calibri" w:hAnsi="Calibri" w:cs="Calibri"/>
          <w:bCs/>
          <w:szCs w:val="22"/>
          <w:lang w:eastAsia="en-US"/>
        </w:rPr>
        <w:footnoteReference w:id="23"/>
      </w:r>
      <w:r w:rsidRPr="008676F9">
        <w:rPr>
          <w:rFonts w:ascii="Calibri" w:eastAsia="Calibri" w:hAnsi="Calibri" w:cs="Calibri"/>
          <w:bCs/>
          <w:szCs w:val="22"/>
          <w:lang w:eastAsia="en-US"/>
        </w:rPr>
        <w:t xml:space="preserve"> obhospodarujúce lesy vo vlastníctve:</w:t>
      </w:r>
    </w:p>
    <w:p w:rsidR="006C71EE" w:rsidRPr="008676F9" w:rsidRDefault="006C71EE" w:rsidP="00955DA4">
      <w:pPr>
        <w:numPr>
          <w:ilvl w:val="0"/>
          <w:numId w:val="172"/>
        </w:numPr>
        <w:rPr>
          <w:rFonts w:ascii="Calibri" w:hAnsi="Calibri" w:cs="Calibri"/>
          <w:bCs/>
          <w:szCs w:val="22"/>
          <w:lang w:eastAsia="en-US"/>
        </w:rPr>
      </w:pPr>
      <w:r w:rsidRPr="008676F9">
        <w:rPr>
          <w:rFonts w:ascii="Calibri" w:hAnsi="Calibri" w:cs="Calibri"/>
          <w:bCs/>
          <w:i/>
          <w:szCs w:val="22"/>
          <w:lang w:eastAsia="en-US"/>
        </w:rPr>
        <w:t>súkromných vlastníkov a ich združení</w:t>
      </w:r>
      <w:r w:rsidRPr="008676F9">
        <w:rPr>
          <w:rFonts w:ascii="Calibri" w:hAnsi="Calibri" w:cs="Calibri"/>
          <w:bCs/>
          <w:szCs w:val="22"/>
          <w:lang w:eastAsia="en-US"/>
        </w:rPr>
        <w:t>;</w:t>
      </w:r>
    </w:p>
    <w:p w:rsidR="006C71EE" w:rsidRPr="008676F9" w:rsidRDefault="006C71EE" w:rsidP="00955DA4">
      <w:pPr>
        <w:numPr>
          <w:ilvl w:val="0"/>
          <w:numId w:val="172"/>
        </w:numPr>
        <w:rPr>
          <w:rFonts w:ascii="Calibri" w:hAnsi="Calibri" w:cs="Calibri"/>
          <w:bCs/>
          <w:szCs w:val="22"/>
          <w:lang w:eastAsia="en-US"/>
        </w:rPr>
      </w:pPr>
      <w:r w:rsidRPr="008676F9">
        <w:rPr>
          <w:rFonts w:ascii="Calibri" w:hAnsi="Calibri" w:cs="Calibri"/>
          <w:bCs/>
          <w:i/>
          <w:szCs w:val="22"/>
          <w:lang w:eastAsia="en-US"/>
        </w:rPr>
        <w:t>obcí a ich združení</w:t>
      </w:r>
      <w:r w:rsidRPr="008676F9">
        <w:rPr>
          <w:rFonts w:ascii="Calibri" w:hAnsi="Calibri" w:cs="Calibri"/>
          <w:bCs/>
          <w:szCs w:val="22"/>
          <w:lang w:eastAsia="en-US"/>
        </w:rPr>
        <w:t>;</w:t>
      </w:r>
    </w:p>
    <w:p w:rsidR="006C71EE" w:rsidRPr="008676F9" w:rsidRDefault="006C71EE" w:rsidP="00955DA4">
      <w:pPr>
        <w:numPr>
          <w:ilvl w:val="0"/>
          <w:numId w:val="172"/>
        </w:numPr>
        <w:rPr>
          <w:rFonts w:ascii="Calibri" w:hAnsi="Calibri" w:cs="Calibri"/>
          <w:bCs/>
          <w:szCs w:val="22"/>
          <w:lang w:eastAsia="en-US"/>
        </w:rPr>
      </w:pPr>
      <w:r w:rsidRPr="008676F9">
        <w:rPr>
          <w:rFonts w:ascii="Calibri" w:hAnsi="Calibri" w:cs="Calibri"/>
          <w:bCs/>
          <w:i/>
          <w:szCs w:val="22"/>
          <w:lang w:eastAsia="en-US"/>
        </w:rPr>
        <w:t>cirkvi</w:t>
      </w:r>
      <w:r w:rsidRPr="008676F9">
        <w:rPr>
          <w:rFonts w:ascii="Calibri" w:hAnsi="Calibri" w:cs="Calibri"/>
          <w:bCs/>
          <w:szCs w:val="22"/>
          <w:lang w:eastAsia="en-US"/>
        </w:rPr>
        <w:t>, ktorej majetok možno podľa vnútroštátneho právneho poriadku považovať za súkromný, pokiaľ ide o jeho správu a nakladanie s ním;</w:t>
      </w:r>
    </w:p>
    <w:p w:rsidR="008676F9" w:rsidRPr="006C71EE" w:rsidRDefault="006C71EE" w:rsidP="00955DA4">
      <w:pPr>
        <w:numPr>
          <w:ilvl w:val="0"/>
          <w:numId w:val="172"/>
        </w:numPr>
        <w:rPr>
          <w:rFonts w:ascii="Calibri" w:hAnsi="Calibri" w:cs="Calibri"/>
          <w:bCs/>
          <w:szCs w:val="22"/>
          <w:u w:val="single"/>
          <w:lang w:eastAsia="en-US"/>
        </w:rPr>
      </w:pPr>
      <w:r w:rsidRPr="008676F9">
        <w:rPr>
          <w:rFonts w:ascii="Calibri" w:hAnsi="Calibri" w:cs="Calibri"/>
          <w:bCs/>
          <w:i/>
          <w:szCs w:val="22"/>
          <w:lang w:eastAsia="en-US"/>
        </w:rPr>
        <w:t>štátu</w:t>
      </w:r>
      <w:r>
        <w:rPr>
          <w:rFonts w:ascii="Calibri" w:hAnsi="Calibri" w:cs="Calibri"/>
          <w:bCs/>
          <w:szCs w:val="22"/>
          <w:lang w:eastAsia="en-US"/>
        </w:rPr>
        <w:t xml:space="preserve"> (LESY SR, š.p.; Vojenské lesy a majetky SR, š.p.; Štátne lesy TANAP-u; Lesohospodársky podnik Ulič, š.p.).</w:t>
      </w:r>
    </w:p>
    <w:p w:rsidR="008676F9" w:rsidRPr="008676F9" w:rsidRDefault="008676F9" w:rsidP="006F5151">
      <w:pPr>
        <w:rPr>
          <w:rFonts w:ascii="Calibri" w:eastAsia="Calibri" w:hAnsi="Calibri" w:cs="Calibri"/>
          <w:bCs/>
          <w:szCs w:val="22"/>
          <w:u w:val="single"/>
          <w:lang w:eastAsia="en-US"/>
        </w:rPr>
      </w:pPr>
    </w:p>
    <w:p w:rsidR="008676F9" w:rsidRPr="008676F9" w:rsidRDefault="008676F9" w:rsidP="006F5151">
      <w:pPr>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Oprávnené náklady</w:t>
      </w:r>
      <w:r w:rsidRPr="008676F9">
        <w:rPr>
          <w:rFonts w:ascii="Calibri" w:eastAsia="Calibri" w:hAnsi="Calibri" w:cs="Calibri"/>
          <w:bCs/>
          <w:szCs w:val="22"/>
          <w:u w:val="single"/>
          <w:vertAlign w:val="superscript"/>
          <w:lang w:eastAsia="en-US"/>
        </w:rPr>
        <w:footnoteReference w:id="24"/>
      </w:r>
      <w:r w:rsidRPr="008676F9">
        <w:rPr>
          <w:rFonts w:ascii="Calibri" w:eastAsia="Calibri" w:hAnsi="Calibri" w:cs="Calibri"/>
          <w:bCs/>
          <w:szCs w:val="22"/>
          <w:u w:val="single"/>
          <w:lang w:eastAsia="en-US"/>
        </w:rPr>
        <w:t>:</w:t>
      </w:r>
    </w:p>
    <w:p w:rsidR="008676F9" w:rsidRPr="008676F9" w:rsidRDefault="008676F9" w:rsidP="00BD13CE">
      <w:pPr>
        <w:numPr>
          <w:ilvl w:val="0"/>
          <w:numId w:val="133"/>
        </w:numPr>
        <w:spacing w:after="120"/>
        <w:ind w:left="714" w:hanging="357"/>
        <w:rPr>
          <w:rFonts w:ascii="Calibri" w:eastAsia="Calibri" w:hAnsi="Calibri" w:cs="Calibri"/>
          <w:szCs w:val="22"/>
          <w:lang w:eastAsia="en-US"/>
        </w:rPr>
      </w:pPr>
      <w:r w:rsidRPr="008676F9">
        <w:rPr>
          <w:rFonts w:ascii="Calibri" w:eastAsia="Calibri" w:hAnsi="Calibri" w:cs="Calibri"/>
          <w:bCs/>
          <w:szCs w:val="22"/>
          <w:lang w:eastAsia="en-US"/>
        </w:rPr>
        <w:t>výdavky na hmotné a nehmotné investície súvisiace s obnovou lesného potenciálu zničeného požiarmi a inými prírodnými katastrofami a katastrofickými udalosťami a v dôsledku zmeny klímy (napr. vyrúbanie zničeného lesa a opätovná výsadba, výsadba vegetácie vysokého environmentálneho záujmu – obnova habitatu, obnova zničených investícií, ochranných zariadení, inžinierskych prác, inštalácií, chodníkov);</w:t>
      </w:r>
    </w:p>
    <w:p w:rsidR="00865BF9" w:rsidRPr="008676F9" w:rsidRDefault="00865BF9" w:rsidP="00955DA4">
      <w:pPr>
        <w:numPr>
          <w:ilvl w:val="0"/>
          <w:numId w:val="133"/>
        </w:numPr>
        <w:ind w:left="714" w:hanging="357"/>
        <w:rPr>
          <w:rFonts w:ascii="Calibri" w:eastAsia="Calibri" w:hAnsi="Calibri" w:cs="Calibri"/>
          <w:szCs w:val="22"/>
          <w:lang w:eastAsia="en-US"/>
        </w:rPr>
      </w:pPr>
      <w:r>
        <w:rPr>
          <w:rFonts w:ascii="Calibri" w:eastAsia="Calibri" w:hAnsi="Calibri" w:cs="Calibri"/>
          <w:szCs w:val="22"/>
          <w:lang w:eastAsia="en-US"/>
        </w:rPr>
        <w:t>náklady na riadenie projektu.</w:t>
      </w:r>
    </w:p>
    <w:p w:rsidR="008676F9" w:rsidRPr="008676F9" w:rsidRDefault="008676F9" w:rsidP="006F5151">
      <w:pPr>
        <w:rPr>
          <w:rFonts w:ascii="Calibri" w:eastAsia="Calibri" w:hAnsi="Calibri" w:cs="Calibri"/>
          <w:bCs/>
          <w:szCs w:val="22"/>
          <w:u w:val="single"/>
          <w:lang w:eastAsia="en-US"/>
        </w:rPr>
      </w:pPr>
    </w:p>
    <w:p w:rsidR="008676F9" w:rsidRPr="008676F9" w:rsidRDefault="008676F9" w:rsidP="006F5151">
      <w:pPr>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Podmienky oprávnenosti:</w:t>
      </w:r>
    </w:p>
    <w:p w:rsidR="008676F9" w:rsidRPr="008676F9" w:rsidRDefault="008676F9" w:rsidP="00955DA4">
      <w:pPr>
        <w:numPr>
          <w:ilvl w:val="0"/>
          <w:numId w:val="174"/>
        </w:numPr>
        <w:rPr>
          <w:rFonts w:ascii="Calibri" w:eastAsia="Calibri" w:hAnsi="Calibri" w:cs="Calibri"/>
          <w:bCs/>
          <w:szCs w:val="22"/>
          <w:lang w:eastAsia="en-US"/>
        </w:rPr>
      </w:pPr>
      <w:r w:rsidRPr="008676F9">
        <w:rPr>
          <w:rFonts w:ascii="Calibri" w:eastAsia="Calibri" w:hAnsi="Calibri" w:cs="Calibri"/>
          <w:bCs/>
          <w:szCs w:val="22"/>
          <w:lang w:eastAsia="en-US"/>
        </w:rPr>
        <w:t>formálne uznanie kompetentným verejným orgánom, že sa stala prírodná katastrofa;</w:t>
      </w:r>
    </w:p>
    <w:p w:rsidR="008676F9" w:rsidRDefault="008676F9" w:rsidP="00955DA4">
      <w:pPr>
        <w:numPr>
          <w:ilvl w:val="0"/>
          <w:numId w:val="174"/>
        </w:numPr>
        <w:rPr>
          <w:rFonts w:ascii="Calibri" w:eastAsia="Calibri" w:hAnsi="Calibri" w:cs="Calibri"/>
          <w:bCs/>
          <w:szCs w:val="22"/>
          <w:lang w:eastAsia="en-US"/>
        </w:rPr>
      </w:pPr>
      <w:r w:rsidRPr="008676F9">
        <w:rPr>
          <w:rFonts w:ascii="Calibri" w:eastAsia="Calibri" w:hAnsi="Calibri" w:cs="Calibri"/>
          <w:bCs/>
          <w:szCs w:val="22"/>
          <w:lang w:eastAsia="en-US"/>
        </w:rPr>
        <w:t>predmetná katastrofa alebo opatrenia prijaté v súlade so smernicou 2000/29/ES na eradikáciu alebo zabránenie šíreniu choroby rastlín alebo škodcov spôsobili zničenie najmenej 20% príslušného lesného potenciálu (20% územia z celkového územia obhospodarovaného príjemcom podpory);</w:t>
      </w:r>
    </w:p>
    <w:p w:rsidR="004135E6" w:rsidRPr="008676F9" w:rsidRDefault="004135E6" w:rsidP="00955DA4">
      <w:pPr>
        <w:numPr>
          <w:ilvl w:val="0"/>
          <w:numId w:val="174"/>
        </w:numPr>
        <w:rPr>
          <w:rFonts w:ascii="Calibri" w:eastAsia="Calibri" w:hAnsi="Calibri" w:cs="Calibri"/>
          <w:bCs/>
          <w:szCs w:val="22"/>
          <w:lang w:eastAsia="en-US"/>
        </w:rPr>
      </w:pPr>
      <w:r>
        <w:rPr>
          <w:rFonts w:ascii="Calibri" w:eastAsia="Calibri" w:hAnsi="Calibri" w:cs="Calibri"/>
          <w:bCs/>
          <w:szCs w:val="22"/>
          <w:lang w:eastAsia="en-US"/>
        </w:rPr>
        <w:t>oprávnené operácie sú v súlade s Programom starostlivosti o les;</w:t>
      </w:r>
    </w:p>
    <w:p w:rsidR="005C7530" w:rsidRPr="008676F9" w:rsidRDefault="008676F9" w:rsidP="00955DA4">
      <w:pPr>
        <w:numPr>
          <w:ilvl w:val="0"/>
          <w:numId w:val="174"/>
        </w:numPr>
        <w:rPr>
          <w:rFonts w:ascii="Calibri" w:hAnsi="Calibri" w:cs="Calibri"/>
          <w:szCs w:val="22"/>
          <w:lang w:eastAsia="en-US"/>
        </w:rPr>
      </w:pPr>
      <w:r w:rsidRPr="008676F9">
        <w:rPr>
          <w:rFonts w:ascii="Calibri" w:eastAsia="Calibri" w:hAnsi="Calibri" w:cs="Calibri"/>
          <w:bCs/>
          <w:szCs w:val="22"/>
          <w:lang w:eastAsia="en-US"/>
        </w:rPr>
        <w:t>predloženie relevantných informácií z Programu starostlivosti o les(§47 zákona</w:t>
      </w:r>
      <w:r w:rsidRPr="008676F9">
        <w:rPr>
          <w:rFonts w:ascii="Calibri" w:hAnsi="Calibri" w:cs="Calibri"/>
          <w:szCs w:val="22"/>
          <w:lang w:eastAsia="en-US"/>
        </w:rPr>
        <w:t xml:space="preserve"> č.326/2005 Z.z.)</w:t>
      </w:r>
      <w:r w:rsidR="005C7530">
        <w:rPr>
          <w:rFonts w:ascii="Calibri" w:hAnsi="Calibri" w:cs="Calibri"/>
          <w:szCs w:val="22"/>
          <w:lang w:eastAsia="en-US"/>
        </w:rPr>
        <w:t xml:space="preserve"> </w:t>
      </w:r>
      <w:r w:rsidR="005C7530">
        <w:rPr>
          <w:rFonts w:ascii="Calibri" w:hAnsi="Calibri"/>
          <w:bCs/>
          <w:szCs w:val="22"/>
          <w:lang w:eastAsia="en-US"/>
        </w:rPr>
        <w:t>a prípadne inej dokumentácie ochrany prírody podľa §54 zákona č.543/2002 Z. z.</w:t>
      </w:r>
      <w:r w:rsidR="005C7530" w:rsidRPr="008676F9">
        <w:rPr>
          <w:rFonts w:ascii="Calibri" w:hAnsi="Calibri" w:cs="Calibri"/>
          <w:szCs w:val="22"/>
          <w:lang w:eastAsia="en-US"/>
        </w:rPr>
        <w:t>.</w:t>
      </w:r>
    </w:p>
    <w:p w:rsidR="005C7530" w:rsidRPr="008676F9" w:rsidRDefault="005C7530" w:rsidP="005C7530">
      <w:pPr>
        <w:rPr>
          <w:rFonts w:ascii="Calibri" w:eastAsia="Calibri" w:hAnsi="Calibri" w:cs="Calibri"/>
          <w:bCs/>
          <w:szCs w:val="22"/>
          <w:u w:val="single"/>
          <w:lang w:eastAsia="en-US"/>
        </w:rPr>
      </w:pPr>
    </w:p>
    <w:p w:rsidR="005C7530" w:rsidRPr="008676F9" w:rsidRDefault="005C7530" w:rsidP="005C7530">
      <w:pPr>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Princípy nastavenia výberových kritérií:</w:t>
      </w:r>
    </w:p>
    <w:p w:rsidR="005C7530" w:rsidRDefault="005C7530" w:rsidP="005C7530">
      <w:pPr>
        <w:numPr>
          <w:ilvl w:val="0"/>
          <w:numId w:val="40"/>
        </w:numPr>
        <w:rPr>
          <w:rFonts w:ascii="Calibri" w:hAnsi="Calibri"/>
          <w:bCs/>
          <w:szCs w:val="22"/>
          <w:lang w:eastAsia="en-US"/>
        </w:rPr>
      </w:pPr>
      <w:r>
        <w:rPr>
          <w:rFonts w:ascii="Calibri" w:hAnsi="Calibri"/>
          <w:bCs/>
          <w:szCs w:val="22"/>
          <w:lang w:eastAsia="en-US"/>
        </w:rPr>
        <w:t>komplexnosť, udržateľnosť, realizovateľnosť, hospodárnosť a efektívnosť projektu;</w:t>
      </w:r>
    </w:p>
    <w:p w:rsidR="005C7530" w:rsidRPr="00BC7C04" w:rsidRDefault="005C7530" w:rsidP="005C7530">
      <w:pPr>
        <w:numPr>
          <w:ilvl w:val="0"/>
          <w:numId w:val="40"/>
        </w:numPr>
        <w:rPr>
          <w:rFonts w:ascii="Calibri" w:hAnsi="Calibri"/>
          <w:bCs/>
          <w:szCs w:val="22"/>
          <w:lang w:eastAsia="en-US"/>
        </w:rPr>
      </w:pPr>
      <w:r>
        <w:rPr>
          <w:rFonts w:ascii="Calibri" w:hAnsi="Calibri"/>
          <w:bCs/>
          <w:szCs w:val="22"/>
          <w:lang w:eastAsia="en-US"/>
        </w:rPr>
        <w:t>uprednostnené budú projekty prepojené s podopatrením 8.3;</w:t>
      </w:r>
    </w:p>
    <w:p w:rsidR="005C7530" w:rsidRPr="008676F9" w:rsidRDefault="005C7530" w:rsidP="005C7530">
      <w:pPr>
        <w:numPr>
          <w:ilvl w:val="0"/>
          <w:numId w:val="40"/>
        </w:numPr>
        <w:contextualSpacing/>
        <w:rPr>
          <w:rFonts w:ascii="Calibri" w:hAnsi="Calibri" w:cs="Calibri"/>
          <w:bCs/>
          <w:szCs w:val="22"/>
          <w:lang w:eastAsia="en-US"/>
        </w:rPr>
      </w:pPr>
      <w:r w:rsidRPr="008676F9">
        <w:rPr>
          <w:rFonts w:ascii="Calibri" w:hAnsi="Calibri" w:cs="Calibri"/>
          <w:bCs/>
          <w:szCs w:val="22"/>
          <w:lang w:eastAsia="en-US"/>
        </w:rPr>
        <w:t>uprednostnené budú projekty s väčším pomerom poškodeného územia.</w:t>
      </w:r>
    </w:p>
    <w:p w:rsidR="005C7530" w:rsidRPr="008676F9" w:rsidRDefault="005C7530" w:rsidP="005C7530">
      <w:pPr>
        <w:rPr>
          <w:rFonts w:ascii="Calibri" w:eastAsia="Calibri" w:hAnsi="Calibri" w:cs="Calibri"/>
          <w:bCs/>
          <w:szCs w:val="22"/>
          <w:u w:val="single"/>
          <w:lang w:eastAsia="en-US"/>
        </w:rPr>
      </w:pPr>
    </w:p>
    <w:p w:rsidR="005C7530" w:rsidRPr="008676F9" w:rsidRDefault="005C7530" w:rsidP="005C7530">
      <w:pPr>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Výška a miera podpory:</w:t>
      </w:r>
    </w:p>
    <w:p w:rsidR="005C7530" w:rsidRPr="008676F9" w:rsidRDefault="005C7530" w:rsidP="005C7530">
      <w:pPr>
        <w:rPr>
          <w:rFonts w:ascii="Calibri" w:eastAsia="Calibri" w:hAnsi="Calibri" w:cs="Calibri"/>
          <w:szCs w:val="22"/>
          <w:lang w:eastAsia="en-US"/>
        </w:rPr>
      </w:pPr>
      <w:r w:rsidRPr="008676F9">
        <w:rPr>
          <w:rFonts w:ascii="Calibri" w:eastAsia="Calibri" w:hAnsi="Calibri" w:cs="Calibri"/>
          <w:szCs w:val="22"/>
          <w:lang w:eastAsia="en-US"/>
        </w:rPr>
        <w:t>Maximálna výška podpory z celkových oprávnených nákladov:</w:t>
      </w:r>
    </w:p>
    <w:p w:rsidR="005C7530" w:rsidRDefault="005C7530" w:rsidP="00955DA4">
      <w:pPr>
        <w:numPr>
          <w:ilvl w:val="0"/>
          <w:numId w:val="134"/>
        </w:numPr>
        <w:rPr>
          <w:rFonts w:ascii="Calibri" w:hAnsi="Calibri" w:cs="Calibri"/>
          <w:szCs w:val="22"/>
          <w:lang w:eastAsia="en-US"/>
        </w:rPr>
      </w:pPr>
      <w:r w:rsidRPr="008676F9">
        <w:rPr>
          <w:rFonts w:ascii="Calibri" w:hAnsi="Calibri" w:cs="Calibri"/>
          <w:szCs w:val="22"/>
          <w:lang w:eastAsia="en-US"/>
        </w:rPr>
        <w:t>100%.</w:t>
      </w:r>
    </w:p>
    <w:p w:rsidR="005C7530" w:rsidRPr="00F3378C" w:rsidRDefault="005C7530" w:rsidP="005C7530">
      <w:pPr>
        <w:rPr>
          <w:rFonts w:ascii="Calibri" w:hAnsi="Calibri" w:cs="Calibri"/>
          <w:szCs w:val="22"/>
          <w:lang w:eastAsia="en-US"/>
        </w:rPr>
      </w:pPr>
      <w:r w:rsidRPr="00F3378C">
        <w:rPr>
          <w:rFonts w:ascii="Calibri" w:hAnsi="Calibri" w:cs="Calibri"/>
          <w:szCs w:val="22"/>
          <w:lang w:eastAsia="en-US"/>
        </w:rPr>
        <w:t xml:space="preserve">Pri vyhlasovaní Výziev na predkladanie Žiadostí o poskytnutie nenávratného finančného príspevku môže byť znížená výška podpory na 80%. </w:t>
      </w:r>
    </w:p>
    <w:p w:rsidR="008676F9" w:rsidRPr="008676F9" w:rsidRDefault="008676F9" w:rsidP="005C7530">
      <w:pPr>
        <w:ind w:left="720"/>
        <w:rPr>
          <w:rFonts w:ascii="Calibri" w:eastAsia="Calibri" w:hAnsi="Calibri" w:cs="Calibri"/>
          <w:szCs w:val="22"/>
          <w:lang w:eastAsia="en-US"/>
        </w:rPr>
      </w:pPr>
    </w:p>
    <w:p w:rsidR="008676F9" w:rsidRPr="008676F9" w:rsidRDefault="008676F9" w:rsidP="006F5151">
      <w:pPr>
        <w:rPr>
          <w:rFonts w:ascii="Calibri" w:eastAsia="Calibri" w:hAnsi="Calibri" w:cs="Calibri"/>
          <w:szCs w:val="22"/>
          <w:u w:val="single"/>
          <w:lang w:eastAsia="en-US"/>
        </w:rPr>
      </w:pPr>
      <w:r w:rsidRPr="008676F9">
        <w:rPr>
          <w:rFonts w:ascii="Calibri" w:eastAsia="Calibri" w:hAnsi="Calibri" w:cs="Calibri"/>
          <w:szCs w:val="22"/>
          <w:u w:val="single"/>
          <w:lang w:eastAsia="en-US"/>
        </w:rPr>
        <w:t>Ďalšie informácie špecifické pre danú operáciu:</w:t>
      </w:r>
    </w:p>
    <w:p w:rsidR="008676F9" w:rsidRPr="008676F9" w:rsidRDefault="008676F9" w:rsidP="006F5151">
      <w:pPr>
        <w:rPr>
          <w:rFonts w:ascii="Calibri" w:eastAsia="Calibri" w:hAnsi="Calibri" w:cs="Arial"/>
          <w:color w:val="000000"/>
          <w:szCs w:val="22"/>
          <w:lang w:eastAsia="en-US"/>
        </w:rPr>
      </w:pPr>
      <w:r w:rsidRPr="008676F9">
        <w:rPr>
          <w:rFonts w:ascii="Calibri" w:eastAsia="Calibri" w:hAnsi="Calibri"/>
          <w:i/>
          <w:szCs w:val="22"/>
          <w:lang w:eastAsia="en-US"/>
        </w:rPr>
        <w:t>Les:</w:t>
      </w:r>
      <w:r w:rsidRPr="008676F9">
        <w:rPr>
          <w:rFonts w:ascii="Calibri" w:eastAsia="Calibri" w:hAnsi="Calibri"/>
          <w:szCs w:val="22"/>
          <w:lang w:eastAsia="en-US"/>
        </w:rPr>
        <w:t xml:space="preserve"> </w:t>
      </w:r>
      <w:r w:rsidRPr="008676F9">
        <w:rPr>
          <w:rFonts w:ascii="Calibri" w:eastAsia="Calibri" w:hAnsi="Calibri" w:cs="Arial"/>
          <w:color w:val="000000"/>
          <w:szCs w:val="22"/>
          <w:lang w:eastAsia="en-US"/>
        </w:rPr>
        <w:t xml:space="preserve">ekosystém, ktorý tvorí lesný pozemok s lesným porastom a faktormi jeho vzdušného prostredia, rastlinné druhy, živočíšne druhy a pôda s jej hydrologickým a vzdušným režimom. </w:t>
      </w:r>
      <w:r w:rsidRPr="008676F9">
        <w:rPr>
          <w:rFonts w:ascii="Calibri" w:eastAsia="Calibri" w:hAnsi="Calibri"/>
          <w:szCs w:val="22"/>
          <w:lang w:eastAsia="en-US"/>
        </w:rPr>
        <w:t xml:space="preserve">Podpora sa vzťahuje na lesné pozemky zadefinované podľa § 3 zákona č.326/2005. </w:t>
      </w:r>
      <w:r w:rsidRPr="008676F9">
        <w:rPr>
          <w:rFonts w:ascii="Calibri" w:eastAsia="Calibri" w:hAnsi="Calibri" w:cs="Arial"/>
          <w:color w:val="000000"/>
          <w:szCs w:val="22"/>
          <w:lang w:eastAsia="en-US"/>
        </w:rPr>
        <w:t>Lesným porastom sa rozumie súbor rastúcich stromovitých drevín, krovitých drevín alebo ich zmesí na lesných pozemkoch.</w:t>
      </w:r>
    </w:p>
    <w:p w:rsidR="008676F9" w:rsidRDefault="008676F9" w:rsidP="006F5151">
      <w:pPr>
        <w:rPr>
          <w:rFonts w:ascii="Calibri" w:eastAsia="Calibri" w:hAnsi="Calibri" w:cs="Arial"/>
          <w:color w:val="000000"/>
          <w:szCs w:val="22"/>
          <w:lang w:eastAsia="en-US"/>
        </w:rPr>
      </w:pPr>
    </w:p>
    <w:p w:rsidR="008424BA" w:rsidRPr="008676F9" w:rsidRDefault="008424BA" w:rsidP="006F5151">
      <w:pPr>
        <w:rPr>
          <w:rFonts w:ascii="Calibri" w:eastAsia="Calibri" w:hAnsi="Calibri" w:cs="Arial"/>
          <w:color w:val="000000"/>
          <w:szCs w:val="22"/>
          <w:lang w:eastAsia="en-US"/>
        </w:rPr>
      </w:pPr>
    </w:p>
    <w:p w:rsidR="008676F9" w:rsidRPr="008676F9" w:rsidRDefault="008676F9" w:rsidP="006F5151">
      <w:pPr>
        <w:shd w:val="clear" w:color="auto" w:fill="FBD4B4"/>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Názov operácie:</w:t>
      </w:r>
    </w:p>
    <w:p w:rsidR="008676F9" w:rsidRPr="008676F9" w:rsidRDefault="008676F9" w:rsidP="006F5151">
      <w:pPr>
        <w:shd w:val="clear" w:color="auto" w:fill="FBD4B4"/>
        <w:rPr>
          <w:rFonts w:ascii="Calibri" w:eastAsia="Calibri" w:hAnsi="Calibri" w:cs="Calibri"/>
          <w:i/>
          <w:szCs w:val="22"/>
          <w:lang w:eastAsia="en-US"/>
        </w:rPr>
      </w:pPr>
      <w:r w:rsidRPr="008676F9">
        <w:rPr>
          <w:rFonts w:ascii="Calibri" w:eastAsia="Calibri" w:hAnsi="Calibri" w:cs="Calibri"/>
          <w:i/>
          <w:szCs w:val="22"/>
          <w:lang w:eastAsia="en-US"/>
        </w:rPr>
        <w:t>Podpora prevencie</w:t>
      </w:r>
      <w:r w:rsidRPr="008676F9">
        <w:rPr>
          <w:rFonts w:ascii="Calibri" w:eastAsia="Calibri" w:hAnsi="Calibri"/>
          <w:i/>
          <w:szCs w:val="22"/>
          <w:lang w:eastAsia="en-US"/>
        </w:rPr>
        <w:t xml:space="preserve"> lesných požiarov, prírodných katastrof a katastrofických udalostí  za účelom</w:t>
      </w:r>
      <w:r w:rsidRPr="008676F9">
        <w:rPr>
          <w:rFonts w:ascii="Calibri" w:eastAsia="Calibri" w:hAnsi="Calibri" w:cs="Calibri"/>
          <w:i/>
          <w:szCs w:val="22"/>
          <w:lang w:eastAsia="en-US"/>
        </w:rPr>
        <w:t xml:space="preserve"> </w:t>
      </w:r>
      <w:r w:rsidRPr="008676F9">
        <w:rPr>
          <w:rFonts w:ascii="Calibri" w:eastAsia="Calibri" w:hAnsi="Calibri" w:cs="Calibri"/>
          <w:i/>
          <w:szCs w:val="22"/>
        </w:rPr>
        <w:t>obnovy</w:t>
      </w:r>
      <w:r w:rsidRPr="008676F9">
        <w:rPr>
          <w:rFonts w:ascii="Calibri" w:eastAsia="Calibri" w:hAnsi="Calibri" w:cs="Calibri"/>
          <w:bCs/>
          <w:i/>
          <w:szCs w:val="22"/>
        </w:rPr>
        <w:t>,</w:t>
      </w:r>
      <w:r w:rsidRPr="008676F9">
        <w:rPr>
          <w:rFonts w:ascii="Calibri" w:eastAsia="Calibri" w:hAnsi="Calibri" w:cs="Calibri"/>
          <w:i/>
          <w:szCs w:val="22"/>
        </w:rPr>
        <w:t xml:space="preserve"> zachovania </w:t>
      </w:r>
      <w:r w:rsidRPr="008676F9">
        <w:rPr>
          <w:rFonts w:ascii="Calibri" w:eastAsia="Calibri" w:hAnsi="Calibri" w:cs="Calibri"/>
          <w:bCs/>
          <w:i/>
          <w:szCs w:val="22"/>
        </w:rPr>
        <w:t>a zvýšenie</w:t>
      </w:r>
      <w:r w:rsidRPr="008676F9">
        <w:rPr>
          <w:rFonts w:ascii="Calibri" w:eastAsia="Calibri" w:hAnsi="Calibri" w:cs="Calibri"/>
          <w:i/>
          <w:szCs w:val="22"/>
        </w:rPr>
        <w:t xml:space="preserve"> biologickej diverzity</w:t>
      </w:r>
    </w:p>
    <w:p w:rsidR="008676F9" w:rsidRPr="008676F9" w:rsidRDefault="008676F9" w:rsidP="006F5151">
      <w:pPr>
        <w:rPr>
          <w:rFonts w:ascii="Calibri" w:eastAsia="Calibri" w:hAnsi="Calibri" w:cs="Calibri"/>
          <w:bCs/>
          <w:szCs w:val="22"/>
          <w:u w:val="single"/>
          <w:lang w:eastAsia="en-US"/>
        </w:rPr>
      </w:pPr>
    </w:p>
    <w:p w:rsidR="008676F9" w:rsidRPr="008676F9" w:rsidRDefault="008676F9" w:rsidP="006F5151">
      <w:pPr>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Opis operácie:</w:t>
      </w:r>
    </w:p>
    <w:p w:rsidR="008676F9" w:rsidRPr="008676F9" w:rsidRDefault="008676F9" w:rsidP="006F5151">
      <w:pPr>
        <w:rPr>
          <w:rFonts w:ascii="Calibri" w:eastAsia="Calibri" w:hAnsi="Calibri" w:cs="Calibri"/>
          <w:bCs/>
          <w:szCs w:val="22"/>
          <w:lang w:eastAsia="en-US"/>
        </w:rPr>
      </w:pPr>
      <w:r w:rsidRPr="008676F9">
        <w:rPr>
          <w:rFonts w:ascii="Calibri" w:eastAsia="Calibri" w:hAnsi="Calibri" w:cs="Calibri"/>
          <w:bCs/>
          <w:szCs w:val="22"/>
          <w:lang w:eastAsia="en-US"/>
        </w:rPr>
        <w:t>V rámci danej operácie budú aktivity zamerané na:</w:t>
      </w:r>
    </w:p>
    <w:p w:rsidR="008676F9" w:rsidRPr="008676F9" w:rsidRDefault="008676F9" w:rsidP="00317BFF">
      <w:pPr>
        <w:numPr>
          <w:ilvl w:val="0"/>
          <w:numId w:val="32"/>
        </w:numPr>
        <w:rPr>
          <w:rFonts w:ascii="Calibri" w:eastAsia="Calibri" w:hAnsi="Calibri"/>
          <w:szCs w:val="22"/>
          <w:lang w:eastAsia="en-US"/>
        </w:rPr>
      </w:pPr>
      <w:r w:rsidRPr="008676F9">
        <w:rPr>
          <w:rFonts w:ascii="Calibri" w:eastAsia="Calibri" w:hAnsi="Calibri"/>
          <w:szCs w:val="22"/>
          <w:lang w:eastAsia="en-US"/>
        </w:rPr>
        <w:t>realizácia opatrení miestneho významu a malého rozsahu proti kalamitným biotickým škodcom formou kladenia a asanácie lapákov, inštalácie a prevádzky feromónových lapačov a aplikácie chemických prípravkov v lesných porastoch;</w:t>
      </w:r>
    </w:p>
    <w:p w:rsidR="008676F9" w:rsidRPr="008676F9" w:rsidRDefault="008676F9" w:rsidP="00317BFF">
      <w:pPr>
        <w:numPr>
          <w:ilvl w:val="0"/>
          <w:numId w:val="32"/>
        </w:numPr>
        <w:rPr>
          <w:rFonts w:ascii="Calibri" w:eastAsia="Calibri" w:hAnsi="Calibri"/>
          <w:szCs w:val="22"/>
          <w:lang w:eastAsia="en-US"/>
        </w:rPr>
      </w:pPr>
      <w:r w:rsidRPr="008676F9">
        <w:rPr>
          <w:rFonts w:ascii="Calibri" w:eastAsia="Calibri" w:hAnsi="Calibri"/>
          <w:szCs w:val="22"/>
          <w:lang w:eastAsia="en-US"/>
        </w:rPr>
        <w:t>realizácia projektov komplexného protipožiarneho monitorovacieho systému v lesnej krajine s vysokým stupňom požiarovosti;</w:t>
      </w:r>
    </w:p>
    <w:p w:rsidR="008676F9" w:rsidRPr="008676F9" w:rsidRDefault="008676F9" w:rsidP="00317BFF">
      <w:pPr>
        <w:numPr>
          <w:ilvl w:val="0"/>
          <w:numId w:val="32"/>
        </w:numPr>
        <w:rPr>
          <w:rFonts w:ascii="Calibri" w:eastAsia="Calibri" w:hAnsi="Calibri"/>
          <w:szCs w:val="22"/>
          <w:lang w:eastAsia="en-US"/>
        </w:rPr>
      </w:pPr>
      <w:r w:rsidRPr="008676F9">
        <w:rPr>
          <w:rFonts w:ascii="Calibri" w:eastAsia="Calibri" w:hAnsi="Calibri"/>
          <w:szCs w:val="22"/>
          <w:lang w:eastAsia="en-US"/>
        </w:rPr>
        <w:t>výstavba, rekonštrukcia a dodávka protipožiarnych monitorovacích veží a súvisiacich prostriedkov komunikácie.</w:t>
      </w:r>
    </w:p>
    <w:p w:rsidR="001F3673" w:rsidRDefault="001F3673" w:rsidP="006F5151">
      <w:pPr>
        <w:rPr>
          <w:rFonts w:ascii="Calibri" w:eastAsia="Calibri" w:hAnsi="Calibri" w:cs="Calibri"/>
          <w:bCs/>
          <w:szCs w:val="22"/>
          <w:u w:val="single"/>
          <w:lang w:eastAsia="en-US"/>
        </w:rPr>
      </w:pPr>
    </w:p>
    <w:p w:rsidR="008676F9" w:rsidRPr="008676F9" w:rsidRDefault="008676F9" w:rsidP="006F5151">
      <w:pPr>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Typ podpory:</w:t>
      </w:r>
    </w:p>
    <w:p w:rsidR="008676F9" w:rsidRPr="008676F9" w:rsidRDefault="008676F9" w:rsidP="006F5151">
      <w:pPr>
        <w:rPr>
          <w:rFonts w:ascii="Calibri" w:eastAsia="Calibri" w:hAnsi="Calibri" w:cs="Calibri"/>
          <w:bCs/>
          <w:szCs w:val="22"/>
          <w:lang w:eastAsia="en-US"/>
        </w:rPr>
      </w:pPr>
      <w:r w:rsidRPr="008676F9">
        <w:rPr>
          <w:rFonts w:ascii="Calibri" w:eastAsia="Calibri" w:hAnsi="Calibri" w:cs="Calibri"/>
          <w:bCs/>
          <w:szCs w:val="22"/>
          <w:lang w:eastAsia="en-US"/>
        </w:rPr>
        <w:t>Investičná, nezisková, nenávratný finančný príspevok, možnosť poskytnutia zálohovej platby do max. 50% oprávnených nákladov.</w:t>
      </w:r>
    </w:p>
    <w:p w:rsidR="008676F9" w:rsidRPr="008676F9" w:rsidRDefault="008676F9" w:rsidP="006F5151">
      <w:pPr>
        <w:rPr>
          <w:rFonts w:ascii="Calibri" w:eastAsia="Calibri" w:hAnsi="Calibri" w:cs="Calibri"/>
          <w:bCs/>
          <w:szCs w:val="22"/>
          <w:u w:val="single"/>
          <w:lang w:eastAsia="en-US"/>
        </w:rPr>
      </w:pPr>
    </w:p>
    <w:p w:rsidR="005C7530" w:rsidRPr="008676F9" w:rsidRDefault="005C7530" w:rsidP="005C7530">
      <w:pPr>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Súvislosť s inou legislatívou:</w:t>
      </w:r>
    </w:p>
    <w:p w:rsidR="005C7530" w:rsidRPr="008676F9" w:rsidRDefault="005C7530" w:rsidP="005C7530">
      <w:pPr>
        <w:rPr>
          <w:rFonts w:ascii="Calibri" w:hAnsi="Calibri" w:cs="Calibri"/>
          <w:bCs/>
          <w:szCs w:val="22"/>
          <w:lang w:eastAsia="en-US"/>
        </w:rPr>
      </w:pPr>
      <w:r>
        <w:rPr>
          <w:rFonts w:ascii="Calibri" w:hAnsi="Calibri" w:cs="Calibri"/>
          <w:bCs/>
          <w:szCs w:val="22"/>
          <w:lang w:eastAsia="en-US"/>
        </w:rPr>
        <w:t>N</w:t>
      </w:r>
      <w:r w:rsidRPr="008676F9">
        <w:rPr>
          <w:rFonts w:ascii="Calibri" w:hAnsi="Calibri" w:cs="Calibri"/>
          <w:bCs/>
          <w:szCs w:val="22"/>
          <w:lang w:eastAsia="en-US"/>
        </w:rPr>
        <w:t>ariadenie (EÚ) č. 1310/2013 ktorým sa stanovujú niektoré prechodné ustanovenia o podpore rozvoja vidieka z Európskeho poľnohospodá</w:t>
      </w:r>
      <w:r>
        <w:rPr>
          <w:rFonts w:ascii="Calibri" w:hAnsi="Calibri" w:cs="Calibri"/>
          <w:bCs/>
          <w:szCs w:val="22"/>
          <w:lang w:eastAsia="en-US"/>
        </w:rPr>
        <w:t>rskeho fondu pre rozvoj vidieka.</w:t>
      </w:r>
    </w:p>
    <w:p w:rsidR="005C7530" w:rsidRPr="008676F9" w:rsidRDefault="005C7530" w:rsidP="005C7530">
      <w:pPr>
        <w:rPr>
          <w:rFonts w:ascii="Calibri" w:hAnsi="Calibri" w:cs="Calibri"/>
          <w:szCs w:val="22"/>
          <w:lang w:eastAsia="en-US"/>
        </w:rPr>
      </w:pPr>
      <w:r w:rsidRPr="008676F9">
        <w:rPr>
          <w:rFonts w:ascii="Calibri" w:hAnsi="Calibri" w:cs="Calibri"/>
          <w:szCs w:val="22"/>
          <w:lang w:eastAsia="en-US"/>
        </w:rPr>
        <w:t xml:space="preserve">Podpora v rámci operácie dopĺňa/nadväzuje na podporu </w:t>
      </w:r>
      <w:r w:rsidRPr="008676F9">
        <w:rPr>
          <w:rFonts w:ascii="Calibri" w:hAnsi="Calibri" w:cs="Calibri"/>
          <w:b/>
          <w:szCs w:val="22"/>
          <w:lang w:eastAsia="en-US"/>
        </w:rPr>
        <w:t>OP Kvalita životné prostredia</w:t>
      </w:r>
      <w:r w:rsidRPr="008676F9">
        <w:rPr>
          <w:rFonts w:ascii="Calibri" w:hAnsi="Calibri" w:cs="Calibri"/>
          <w:szCs w:val="22"/>
          <w:lang w:eastAsia="en-US"/>
        </w:rPr>
        <w:t xml:space="preserve">  tým, že poskytuje podporu na lepší monitoring požiarov (v rámci OP KŽP je podpora smerovaná do protipožiarneho letového monitoringu).</w:t>
      </w:r>
    </w:p>
    <w:p w:rsidR="005C7530" w:rsidRPr="008676F9" w:rsidRDefault="005C7530" w:rsidP="005C7530">
      <w:pPr>
        <w:rPr>
          <w:rFonts w:ascii="Calibri" w:eastAsia="Calibri" w:hAnsi="Calibri" w:cs="Calibri"/>
          <w:bCs/>
          <w:szCs w:val="22"/>
          <w:u w:val="single"/>
          <w:lang w:eastAsia="en-US"/>
        </w:rPr>
      </w:pPr>
    </w:p>
    <w:p w:rsidR="005C7530" w:rsidRPr="008676F9" w:rsidRDefault="005C7530" w:rsidP="005C7530">
      <w:pPr>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Prijímateľ podpory:</w:t>
      </w:r>
    </w:p>
    <w:p w:rsidR="005C7530" w:rsidRPr="008676F9" w:rsidRDefault="005C7530" w:rsidP="005C7530">
      <w:pPr>
        <w:rPr>
          <w:rFonts w:ascii="Calibri" w:eastAsia="Calibri" w:hAnsi="Calibri" w:cs="Calibri"/>
          <w:bCs/>
          <w:szCs w:val="22"/>
          <w:lang w:eastAsia="en-US"/>
        </w:rPr>
      </w:pPr>
      <w:r w:rsidRPr="008676F9">
        <w:rPr>
          <w:rFonts w:ascii="Calibri" w:eastAsia="Calibri" w:hAnsi="Calibri" w:cs="Calibri"/>
          <w:bCs/>
          <w:szCs w:val="22"/>
          <w:lang w:eastAsia="en-US"/>
        </w:rPr>
        <w:t>Fyzické a právnické osoby</w:t>
      </w:r>
      <w:r>
        <w:rPr>
          <w:rStyle w:val="Odkaznapoznmkupodiarou"/>
          <w:rFonts w:ascii="Calibri" w:eastAsia="Calibri" w:hAnsi="Calibri" w:cs="Calibri"/>
          <w:bCs/>
          <w:szCs w:val="22"/>
          <w:lang w:eastAsia="en-US"/>
        </w:rPr>
        <w:footnoteReference w:id="25"/>
      </w:r>
      <w:r w:rsidRPr="008676F9">
        <w:rPr>
          <w:rFonts w:ascii="Calibri" w:eastAsia="Calibri" w:hAnsi="Calibri" w:cs="Calibri"/>
          <w:bCs/>
          <w:szCs w:val="22"/>
          <w:lang w:eastAsia="en-US"/>
        </w:rPr>
        <w:t xml:space="preserve"> obhospodarujúce lesy vo vlastníctve:</w:t>
      </w:r>
    </w:p>
    <w:p w:rsidR="005C7530" w:rsidRPr="008676F9" w:rsidRDefault="005C7530" w:rsidP="00955DA4">
      <w:pPr>
        <w:numPr>
          <w:ilvl w:val="0"/>
          <w:numId w:val="172"/>
        </w:numPr>
        <w:rPr>
          <w:rFonts w:ascii="Calibri" w:hAnsi="Calibri" w:cs="Calibri"/>
          <w:bCs/>
          <w:i/>
          <w:szCs w:val="22"/>
          <w:lang w:eastAsia="en-US"/>
        </w:rPr>
      </w:pPr>
      <w:r w:rsidRPr="008676F9">
        <w:rPr>
          <w:rFonts w:ascii="Calibri" w:hAnsi="Calibri" w:cs="Calibri"/>
          <w:bCs/>
          <w:i/>
          <w:szCs w:val="22"/>
          <w:lang w:eastAsia="en-US"/>
        </w:rPr>
        <w:t>súkromných vlastníkov a ich združení;</w:t>
      </w:r>
    </w:p>
    <w:p w:rsidR="005C7530" w:rsidRPr="008676F9" w:rsidRDefault="005C7530" w:rsidP="00955DA4">
      <w:pPr>
        <w:numPr>
          <w:ilvl w:val="0"/>
          <w:numId w:val="172"/>
        </w:numPr>
        <w:rPr>
          <w:rFonts w:ascii="Calibri" w:hAnsi="Calibri" w:cs="Calibri"/>
          <w:bCs/>
          <w:i/>
          <w:szCs w:val="22"/>
          <w:lang w:eastAsia="en-US"/>
        </w:rPr>
      </w:pPr>
      <w:r w:rsidRPr="008676F9">
        <w:rPr>
          <w:rFonts w:ascii="Calibri" w:hAnsi="Calibri" w:cs="Calibri"/>
          <w:bCs/>
          <w:i/>
          <w:szCs w:val="22"/>
          <w:lang w:eastAsia="en-US"/>
        </w:rPr>
        <w:t>obcí a ich združení;</w:t>
      </w:r>
    </w:p>
    <w:p w:rsidR="005C7530" w:rsidRPr="008676F9" w:rsidRDefault="005C7530" w:rsidP="00955DA4">
      <w:pPr>
        <w:numPr>
          <w:ilvl w:val="0"/>
          <w:numId w:val="172"/>
        </w:numPr>
        <w:rPr>
          <w:rFonts w:ascii="Calibri" w:hAnsi="Calibri" w:cs="Calibri"/>
          <w:bCs/>
          <w:szCs w:val="22"/>
          <w:lang w:eastAsia="en-US"/>
        </w:rPr>
      </w:pPr>
      <w:r w:rsidRPr="008676F9">
        <w:rPr>
          <w:rFonts w:ascii="Calibri" w:hAnsi="Calibri" w:cs="Calibri"/>
          <w:bCs/>
          <w:i/>
          <w:szCs w:val="22"/>
          <w:lang w:eastAsia="en-US"/>
        </w:rPr>
        <w:t>cirkvi,</w:t>
      </w:r>
      <w:r w:rsidRPr="008676F9">
        <w:rPr>
          <w:rFonts w:ascii="Calibri" w:hAnsi="Calibri" w:cs="Calibri"/>
          <w:bCs/>
          <w:szCs w:val="22"/>
          <w:lang w:eastAsia="en-US"/>
        </w:rPr>
        <w:t xml:space="preserve"> ktorej majetok možno podľa vnútroštátneho právneho poriadku považovať za súkromný, pokiaľ ide o jeho správu a nakladanie s ním;</w:t>
      </w:r>
    </w:p>
    <w:p w:rsidR="005C7530" w:rsidRPr="008676F9" w:rsidRDefault="005C7530" w:rsidP="00955DA4">
      <w:pPr>
        <w:numPr>
          <w:ilvl w:val="0"/>
          <w:numId w:val="172"/>
        </w:numPr>
        <w:rPr>
          <w:rFonts w:ascii="Calibri" w:hAnsi="Calibri" w:cs="Calibri"/>
          <w:bCs/>
          <w:szCs w:val="22"/>
          <w:u w:val="single"/>
          <w:lang w:eastAsia="en-US"/>
        </w:rPr>
      </w:pPr>
      <w:r w:rsidRPr="008676F9">
        <w:rPr>
          <w:rFonts w:ascii="Calibri" w:hAnsi="Calibri" w:cs="Calibri"/>
          <w:bCs/>
          <w:i/>
          <w:szCs w:val="22"/>
          <w:lang w:eastAsia="en-US"/>
        </w:rPr>
        <w:t>štátu</w:t>
      </w:r>
      <w:r>
        <w:rPr>
          <w:rFonts w:ascii="Calibri" w:hAnsi="Calibri" w:cs="Calibri"/>
          <w:bCs/>
          <w:i/>
          <w:szCs w:val="22"/>
          <w:lang w:eastAsia="en-US"/>
        </w:rPr>
        <w:t xml:space="preserve"> </w:t>
      </w:r>
      <w:r>
        <w:rPr>
          <w:rFonts w:ascii="Calibri" w:hAnsi="Calibri" w:cs="Calibri"/>
          <w:bCs/>
          <w:szCs w:val="22"/>
          <w:lang w:eastAsia="en-US"/>
        </w:rPr>
        <w:t>(LESY SR, š.p.; Vojenské lesy a majetky SR, š.p.; Štátne lesy TANAP-u; Lesohospodársky podnik Ulič, š.p.).</w:t>
      </w:r>
    </w:p>
    <w:p w:rsidR="005C7530" w:rsidRPr="008676F9" w:rsidRDefault="005C7530" w:rsidP="005C7530">
      <w:pPr>
        <w:rPr>
          <w:rFonts w:ascii="Calibri" w:eastAsia="Calibri" w:hAnsi="Calibri" w:cs="Calibri"/>
          <w:bCs/>
          <w:szCs w:val="22"/>
          <w:u w:val="single"/>
          <w:lang w:eastAsia="en-US"/>
        </w:rPr>
      </w:pPr>
    </w:p>
    <w:p w:rsidR="005C7530" w:rsidRPr="008676F9" w:rsidRDefault="005C7530" w:rsidP="005C7530">
      <w:pPr>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Oprávnené náklady</w:t>
      </w:r>
      <w:r w:rsidRPr="008676F9">
        <w:rPr>
          <w:rFonts w:ascii="Calibri" w:eastAsia="Calibri" w:hAnsi="Calibri" w:cs="Calibri"/>
          <w:bCs/>
          <w:szCs w:val="22"/>
          <w:u w:val="single"/>
          <w:vertAlign w:val="superscript"/>
          <w:lang w:eastAsia="en-US"/>
        </w:rPr>
        <w:footnoteReference w:id="26"/>
      </w:r>
      <w:r w:rsidRPr="008676F9">
        <w:rPr>
          <w:rFonts w:ascii="Calibri" w:eastAsia="Calibri" w:hAnsi="Calibri" w:cs="Calibri"/>
          <w:bCs/>
          <w:szCs w:val="22"/>
          <w:u w:val="single"/>
          <w:lang w:eastAsia="en-US"/>
        </w:rPr>
        <w:t>:</w:t>
      </w:r>
    </w:p>
    <w:p w:rsidR="005C7530" w:rsidRPr="008676F9" w:rsidRDefault="005C7530" w:rsidP="00955DA4">
      <w:pPr>
        <w:numPr>
          <w:ilvl w:val="0"/>
          <w:numId w:val="175"/>
        </w:numPr>
        <w:rPr>
          <w:rFonts w:ascii="Calibri" w:eastAsia="Calibri" w:hAnsi="Calibri" w:cs="Calibri"/>
          <w:szCs w:val="22"/>
          <w:lang w:eastAsia="en-US"/>
        </w:rPr>
      </w:pPr>
      <w:r w:rsidRPr="008676F9">
        <w:rPr>
          <w:rFonts w:ascii="Calibri" w:eastAsia="Calibri" w:hAnsi="Calibri" w:cs="Calibri"/>
          <w:bCs/>
          <w:szCs w:val="22"/>
          <w:lang w:eastAsia="en-US"/>
        </w:rPr>
        <w:t>výdavky na hmotné a nehmotné investície súvisiace s </w:t>
      </w:r>
      <w:r w:rsidRPr="008676F9">
        <w:rPr>
          <w:rFonts w:ascii="Calibri" w:eastAsia="Calibri" w:hAnsi="Calibri"/>
          <w:szCs w:val="22"/>
          <w:lang w:eastAsia="en-US"/>
        </w:rPr>
        <w:t>vytvorením a zlepšením zariadení na monitorovanie lesných požiarov;</w:t>
      </w:r>
    </w:p>
    <w:p w:rsidR="005C7530" w:rsidRPr="008676F9" w:rsidRDefault="005C7530" w:rsidP="00955DA4">
      <w:pPr>
        <w:numPr>
          <w:ilvl w:val="0"/>
          <w:numId w:val="175"/>
        </w:numPr>
        <w:ind w:left="714" w:hanging="357"/>
        <w:rPr>
          <w:rFonts w:ascii="Calibri" w:eastAsia="Calibri" w:hAnsi="Calibri" w:cs="Calibri"/>
          <w:szCs w:val="22"/>
          <w:lang w:eastAsia="en-US"/>
        </w:rPr>
      </w:pPr>
      <w:r w:rsidRPr="008676F9">
        <w:rPr>
          <w:rFonts w:ascii="Calibri" w:eastAsia="Calibri" w:hAnsi="Calibri" w:cs="Calibri"/>
          <w:bCs/>
          <w:szCs w:val="22"/>
          <w:lang w:eastAsia="en-US"/>
        </w:rPr>
        <w:t xml:space="preserve">výdavky na hmotné a nehmotné investície súvisiace s realizáciou </w:t>
      </w:r>
      <w:r>
        <w:rPr>
          <w:rFonts w:ascii="Calibri" w:eastAsia="Calibri" w:hAnsi="Calibri" w:cs="Calibri"/>
          <w:bCs/>
          <w:szCs w:val="22"/>
          <w:lang w:eastAsia="en-US"/>
        </w:rPr>
        <w:t xml:space="preserve">opatrení </w:t>
      </w:r>
      <w:r w:rsidRPr="008676F9">
        <w:rPr>
          <w:rFonts w:ascii="Calibri" w:eastAsia="Calibri" w:hAnsi="Calibri" w:cs="Calibri"/>
          <w:bCs/>
          <w:szCs w:val="22"/>
          <w:lang w:eastAsia="en-US"/>
        </w:rPr>
        <w:t>miestneho významu a malého rozsahu proti kalamitným biotickým škodcom;</w:t>
      </w:r>
    </w:p>
    <w:p w:rsidR="005C7530" w:rsidRPr="008676F9" w:rsidRDefault="005C7530" w:rsidP="00955DA4">
      <w:pPr>
        <w:numPr>
          <w:ilvl w:val="0"/>
          <w:numId w:val="175"/>
        </w:numPr>
        <w:ind w:left="714" w:hanging="357"/>
        <w:rPr>
          <w:rFonts w:ascii="Calibri" w:eastAsia="Calibri" w:hAnsi="Calibri" w:cs="Calibri"/>
          <w:szCs w:val="22"/>
          <w:lang w:eastAsia="en-US"/>
        </w:rPr>
      </w:pPr>
      <w:r>
        <w:rPr>
          <w:rFonts w:ascii="Calibri" w:eastAsia="Calibri" w:hAnsi="Calibri" w:cs="Calibri"/>
          <w:szCs w:val="22"/>
          <w:lang w:eastAsia="en-US"/>
        </w:rPr>
        <w:t>náklady na riadenie projektu</w:t>
      </w:r>
      <w:r w:rsidRPr="008676F9">
        <w:rPr>
          <w:rFonts w:ascii="Calibri" w:eastAsia="Calibri" w:hAnsi="Calibri" w:cs="Calibri"/>
          <w:szCs w:val="22"/>
          <w:lang w:eastAsia="en-US"/>
        </w:rPr>
        <w:t>.</w:t>
      </w:r>
    </w:p>
    <w:p w:rsidR="008676F9" w:rsidRPr="008676F9" w:rsidRDefault="008676F9" w:rsidP="006F5151">
      <w:pPr>
        <w:rPr>
          <w:rFonts w:ascii="Calibri" w:eastAsia="Calibri" w:hAnsi="Calibri" w:cs="Calibri"/>
          <w:bCs/>
          <w:szCs w:val="22"/>
          <w:u w:val="single"/>
          <w:lang w:eastAsia="en-US"/>
        </w:rPr>
      </w:pPr>
    </w:p>
    <w:p w:rsidR="008676F9" w:rsidRPr="008676F9" w:rsidRDefault="008676F9" w:rsidP="006F5151">
      <w:pPr>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Podmienky oprávnenosti:</w:t>
      </w:r>
    </w:p>
    <w:p w:rsidR="008676F9" w:rsidRPr="008676F9" w:rsidRDefault="008676F9" w:rsidP="00955DA4">
      <w:pPr>
        <w:numPr>
          <w:ilvl w:val="0"/>
          <w:numId w:val="176"/>
        </w:numPr>
        <w:spacing w:after="120"/>
        <w:ind w:left="714" w:hanging="357"/>
        <w:rPr>
          <w:rFonts w:ascii="Calibri" w:eastAsia="Calibri" w:hAnsi="Calibri"/>
          <w:szCs w:val="22"/>
          <w:lang w:eastAsia="en-US"/>
        </w:rPr>
      </w:pPr>
      <w:r w:rsidRPr="008676F9">
        <w:rPr>
          <w:rFonts w:ascii="Calibri" w:eastAsia="Calibri" w:hAnsi="Calibri" w:cs="Calibri"/>
          <w:bCs/>
          <w:szCs w:val="22"/>
          <w:lang w:eastAsia="en-US"/>
        </w:rPr>
        <w:t xml:space="preserve">v prípade </w:t>
      </w:r>
      <w:r w:rsidRPr="008676F9">
        <w:rPr>
          <w:rFonts w:ascii="Calibri" w:eastAsia="Calibri" w:hAnsi="Calibri" w:cs="Calibri"/>
          <w:b/>
          <w:bCs/>
          <w:szCs w:val="22"/>
          <w:lang w:eastAsia="en-US"/>
        </w:rPr>
        <w:t>preventívnych</w:t>
      </w:r>
      <w:r w:rsidRPr="008676F9">
        <w:rPr>
          <w:rFonts w:ascii="Calibri" w:eastAsia="Calibri" w:hAnsi="Calibri" w:cs="Calibri"/>
          <w:bCs/>
          <w:szCs w:val="22"/>
          <w:lang w:eastAsia="en-US"/>
        </w:rPr>
        <w:t xml:space="preserve"> opatrení týkajúcich sa škodcov a chorôb musí byť riziko výskytu príslušnej katastrofy podporené vedeckými dôkazmi a uznané Národným lesníckym centrom. </w:t>
      </w:r>
    </w:p>
    <w:p w:rsidR="008676F9" w:rsidRPr="004135E6" w:rsidRDefault="008676F9" w:rsidP="00955DA4">
      <w:pPr>
        <w:numPr>
          <w:ilvl w:val="0"/>
          <w:numId w:val="176"/>
        </w:numPr>
        <w:spacing w:after="120"/>
        <w:ind w:left="714" w:hanging="357"/>
        <w:rPr>
          <w:rFonts w:ascii="Calibri" w:eastAsia="Calibri" w:hAnsi="Calibri"/>
          <w:szCs w:val="22"/>
          <w:lang w:eastAsia="en-US"/>
        </w:rPr>
      </w:pPr>
      <w:r w:rsidRPr="008676F9">
        <w:rPr>
          <w:rFonts w:ascii="Calibri" w:hAnsi="Calibri"/>
          <w:bCs/>
          <w:szCs w:val="22"/>
          <w:lang w:eastAsia="en-US"/>
        </w:rPr>
        <w:t xml:space="preserve">v prípade </w:t>
      </w:r>
      <w:r w:rsidRPr="008676F9">
        <w:rPr>
          <w:rFonts w:ascii="Calibri" w:hAnsi="Calibri"/>
          <w:b/>
          <w:bCs/>
          <w:szCs w:val="22"/>
          <w:lang w:eastAsia="en-US"/>
        </w:rPr>
        <w:t>prevencie lesných požiarov</w:t>
      </w:r>
      <w:r w:rsidRPr="008676F9">
        <w:rPr>
          <w:rFonts w:ascii="Calibri" w:hAnsi="Calibri"/>
          <w:bCs/>
          <w:szCs w:val="22"/>
          <w:lang w:eastAsia="en-US"/>
        </w:rPr>
        <w:t xml:space="preserve"> sú oprávnenými na podporu len lesné oblasti klasifikované ako oblasti so stredným až vysokým rizikom lesných požiarov (oblasti so stredným až vysokým rizikom lesných požiarov sú v SR taxatívne určené všeobecne záväzným právnym predpisom - vyhláška č. 453/2006 Z. z. o hospodárskej úprave lesov a ohrane lesa v prílohe č. 11);</w:t>
      </w:r>
    </w:p>
    <w:p w:rsidR="004135E6" w:rsidRPr="008676F9" w:rsidRDefault="004135E6" w:rsidP="00955DA4">
      <w:pPr>
        <w:numPr>
          <w:ilvl w:val="0"/>
          <w:numId w:val="176"/>
        </w:numPr>
        <w:spacing w:after="120"/>
        <w:ind w:left="714" w:hanging="357"/>
        <w:rPr>
          <w:rFonts w:ascii="Calibri" w:eastAsia="Calibri" w:hAnsi="Calibri"/>
          <w:szCs w:val="22"/>
          <w:lang w:eastAsia="en-US"/>
        </w:rPr>
      </w:pPr>
      <w:r>
        <w:rPr>
          <w:rFonts w:ascii="Calibri" w:hAnsi="Calibri"/>
          <w:bCs/>
          <w:szCs w:val="22"/>
          <w:lang w:eastAsia="en-US"/>
        </w:rPr>
        <w:t>oprávnené operácie sú v súlade s Programom starostlivosti o les;</w:t>
      </w:r>
    </w:p>
    <w:p w:rsidR="008676F9" w:rsidRPr="008676F9" w:rsidRDefault="008676F9" w:rsidP="00955DA4">
      <w:pPr>
        <w:numPr>
          <w:ilvl w:val="0"/>
          <w:numId w:val="176"/>
        </w:numPr>
        <w:rPr>
          <w:rFonts w:ascii="Calibri" w:hAnsi="Calibri"/>
          <w:lang w:eastAsia="en-US"/>
        </w:rPr>
      </w:pPr>
      <w:r w:rsidRPr="008676F9">
        <w:rPr>
          <w:rFonts w:ascii="Calibri" w:hAnsi="Calibri" w:cs="Calibri"/>
          <w:szCs w:val="22"/>
          <w:lang w:eastAsia="en-US"/>
        </w:rPr>
        <w:t xml:space="preserve">predloženie relevantných informácií z Programu starostlivosti o les </w:t>
      </w:r>
      <w:r w:rsidRPr="008676F9">
        <w:rPr>
          <w:rFonts w:ascii="Calibri" w:hAnsi="Calibri" w:cs="Calibri"/>
          <w:lang w:eastAsia="en-US"/>
        </w:rPr>
        <w:t>(</w:t>
      </w:r>
      <w:r w:rsidRPr="008676F9">
        <w:rPr>
          <w:rFonts w:ascii="Calibri" w:hAnsi="Calibri"/>
          <w:bCs/>
          <w:lang w:eastAsia="en-US"/>
        </w:rPr>
        <w:t>§47 zákona č.326/2005 Z.z.)</w:t>
      </w:r>
      <w:r w:rsidR="005C7530" w:rsidRPr="005C7530">
        <w:rPr>
          <w:rFonts w:ascii="Calibri" w:hAnsi="Calibri"/>
          <w:bCs/>
          <w:szCs w:val="22"/>
          <w:lang w:eastAsia="en-US"/>
        </w:rPr>
        <w:t xml:space="preserve"> </w:t>
      </w:r>
      <w:r w:rsidR="005C7530">
        <w:rPr>
          <w:rFonts w:ascii="Calibri" w:hAnsi="Calibri"/>
          <w:bCs/>
          <w:szCs w:val="22"/>
          <w:lang w:eastAsia="en-US"/>
        </w:rPr>
        <w:t>a prípadne inej dokumentácie ochrany prírody podľa §54 zákona č.543/2002 Z. z.</w:t>
      </w:r>
      <w:r w:rsidRPr="008676F9">
        <w:rPr>
          <w:rFonts w:ascii="Calibri" w:hAnsi="Calibri"/>
          <w:bCs/>
          <w:lang w:eastAsia="en-US"/>
        </w:rPr>
        <w:t>.</w:t>
      </w:r>
    </w:p>
    <w:p w:rsidR="008676F9" w:rsidRPr="008676F9" w:rsidRDefault="008676F9" w:rsidP="006F5151">
      <w:pPr>
        <w:rPr>
          <w:rFonts w:ascii="Calibri" w:eastAsia="Calibri" w:hAnsi="Calibri" w:cs="Calibri"/>
          <w:bCs/>
          <w:szCs w:val="22"/>
          <w:u w:val="single"/>
          <w:lang w:eastAsia="en-US"/>
        </w:rPr>
      </w:pPr>
    </w:p>
    <w:p w:rsidR="008676F9" w:rsidRPr="008676F9" w:rsidRDefault="008676F9" w:rsidP="006F5151">
      <w:pPr>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Princípy nastavenia výberových kritérií:</w:t>
      </w:r>
    </w:p>
    <w:p w:rsidR="00051CB5" w:rsidRDefault="00051CB5" w:rsidP="001F5283">
      <w:pPr>
        <w:numPr>
          <w:ilvl w:val="0"/>
          <w:numId w:val="40"/>
        </w:numPr>
        <w:rPr>
          <w:rFonts w:ascii="Calibri" w:hAnsi="Calibri"/>
          <w:bCs/>
          <w:szCs w:val="22"/>
          <w:lang w:eastAsia="en-US"/>
        </w:rPr>
      </w:pPr>
      <w:r>
        <w:rPr>
          <w:rFonts w:ascii="Calibri" w:hAnsi="Calibri"/>
          <w:bCs/>
          <w:szCs w:val="22"/>
          <w:lang w:eastAsia="en-US"/>
        </w:rPr>
        <w:t>komplexnosť, udržateľnosť, realizovateľnosť, hospodárnosť a efektívnosť projektu;</w:t>
      </w:r>
    </w:p>
    <w:p w:rsidR="008676F9" w:rsidRPr="008676F9" w:rsidRDefault="008676F9" w:rsidP="001F5283">
      <w:pPr>
        <w:numPr>
          <w:ilvl w:val="0"/>
          <w:numId w:val="40"/>
        </w:numPr>
        <w:contextualSpacing/>
        <w:rPr>
          <w:rFonts w:ascii="Calibri" w:hAnsi="Calibri" w:cs="Calibri"/>
          <w:bCs/>
          <w:szCs w:val="22"/>
          <w:lang w:eastAsia="en-US"/>
        </w:rPr>
      </w:pPr>
      <w:r w:rsidRPr="008676F9">
        <w:rPr>
          <w:rFonts w:ascii="Calibri" w:hAnsi="Calibri" w:cs="Calibri"/>
          <w:bCs/>
          <w:szCs w:val="22"/>
          <w:lang w:eastAsia="en-US"/>
        </w:rPr>
        <w:t>uprednostnené budú projekty v oblasti vyššieho rizika výskytu požiarov;</w:t>
      </w:r>
    </w:p>
    <w:p w:rsidR="008676F9" w:rsidRPr="008676F9" w:rsidRDefault="008676F9" w:rsidP="001F5283">
      <w:pPr>
        <w:numPr>
          <w:ilvl w:val="0"/>
          <w:numId w:val="40"/>
        </w:numPr>
        <w:contextualSpacing/>
        <w:rPr>
          <w:rFonts w:ascii="Calibri" w:hAnsi="Calibri" w:cs="Calibri"/>
          <w:bCs/>
          <w:szCs w:val="22"/>
          <w:lang w:eastAsia="en-US"/>
        </w:rPr>
      </w:pPr>
      <w:r w:rsidRPr="008676F9">
        <w:rPr>
          <w:rFonts w:ascii="Calibri" w:hAnsi="Calibri" w:cs="Calibri"/>
          <w:bCs/>
          <w:szCs w:val="22"/>
          <w:lang w:eastAsia="en-US"/>
        </w:rPr>
        <w:t>uprednostnené budú projekty v oblasti s vyšším výskytom škodcov;</w:t>
      </w:r>
    </w:p>
    <w:p w:rsidR="008676F9" w:rsidRPr="008676F9" w:rsidRDefault="008676F9" w:rsidP="001F5283">
      <w:pPr>
        <w:numPr>
          <w:ilvl w:val="0"/>
          <w:numId w:val="40"/>
        </w:numPr>
        <w:contextualSpacing/>
        <w:rPr>
          <w:rFonts w:ascii="Calibri" w:hAnsi="Calibri" w:cs="Calibri"/>
          <w:bCs/>
          <w:szCs w:val="22"/>
          <w:lang w:eastAsia="en-US"/>
        </w:rPr>
      </w:pPr>
      <w:r w:rsidRPr="008676F9">
        <w:rPr>
          <w:rFonts w:ascii="Calibri" w:hAnsi="Calibri" w:cs="Calibri"/>
          <w:bCs/>
          <w:szCs w:val="22"/>
          <w:lang w:eastAsia="en-US"/>
        </w:rPr>
        <w:t>uprednostnené budú projekty s vyšším spádovým územím;</w:t>
      </w:r>
    </w:p>
    <w:p w:rsidR="005C7530" w:rsidRDefault="005C7530" w:rsidP="005C7530">
      <w:pPr>
        <w:numPr>
          <w:ilvl w:val="0"/>
          <w:numId w:val="40"/>
        </w:numPr>
        <w:rPr>
          <w:rFonts w:ascii="Calibri" w:hAnsi="Calibri"/>
          <w:bCs/>
          <w:szCs w:val="22"/>
          <w:lang w:eastAsia="en-US"/>
        </w:rPr>
      </w:pPr>
      <w:r>
        <w:rPr>
          <w:rFonts w:ascii="Calibri" w:hAnsi="Calibri"/>
          <w:bCs/>
          <w:szCs w:val="22"/>
          <w:lang w:eastAsia="en-US"/>
        </w:rPr>
        <w:t>uprednostnené budú projekty prepojené s podopatrením 8.3.</w:t>
      </w:r>
    </w:p>
    <w:p w:rsidR="008676F9" w:rsidRPr="008676F9" w:rsidRDefault="008676F9" w:rsidP="006F5151">
      <w:pPr>
        <w:rPr>
          <w:rFonts w:ascii="Calibri" w:eastAsia="Calibri" w:hAnsi="Calibri" w:cs="Calibri"/>
          <w:bCs/>
          <w:szCs w:val="22"/>
          <w:u w:val="single"/>
          <w:lang w:eastAsia="en-US"/>
        </w:rPr>
      </w:pPr>
    </w:p>
    <w:p w:rsidR="008676F9" w:rsidRPr="008676F9" w:rsidRDefault="008676F9" w:rsidP="006F5151">
      <w:pPr>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Výška a miera podpory:</w:t>
      </w:r>
    </w:p>
    <w:p w:rsidR="008676F9" w:rsidRPr="008676F9" w:rsidRDefault="008676F9" w:rsidP="006F5151">
      <w:pPr>
        <w:rPr>
          <w:rFonts w:ascii="Calibri" w:eastAsia="Calibri" w:hAnsi="Calibri" w:cs="Calibri"/>
          <w:szCs w:val="22"/>
          <w:lang w:eastAsia="en-US"/>
        </w:rPr>
      </w:pPr>
      <w:r w:rsidRPr="008676F9">
        <w:rPr>
          <w:rFonts w:ascii="Calibri" w:eastAsia="Calibri" w:hAnsi="Calibri" w:cs="Calibri"/>
          <w:szCs w:val="22"/>
          <w:lang w:eastAsia="en-US"/>
        </w:rPr>
        <w:t>Maximálna výška podpory z celkových oprávnených nákladov:</w:t>
      </w:r>
    </w:p>
    <w:p w:rsidR="008676F9" w:rsidRPr="008676F9" w:rsidRDefault="008676F9" w:rsidP="00955DA4">
      <w:pPr>
        <w:numPr>
          <w:ilvl w:val="0"/>
          <w:numId w:val="134"/>
        </w:numPr>
        <w:rPr>
          <w:rFonts w:ascii="Calibri" w:hAnsi="Calibri" w:cs="Calibri"/>
          <w:szCs w:val="22"/>
          <w:lang w:eastAsia="en-US"/>
        </w:rPr>
      </w:pPr>
      <w:r w:rsidRPr="008676F9">
        <w:rPr>
          <w:rFonts w:ascii="Calibri" w:hAnsi="Calibri" w:cs="Calibri"/>
          <w:szCs w:val="22"/>
          <w:lang w:eastAsia="en-US"/>
        </w:rPr>
        <w:t>100%.</w:t>
      </w:r>
    </w:p>
    <w:p w:rsidR="00BD13CE" w:rsidRDefault="00BD13CE" w:rsidP="005C7530">
      <w:pPr>
        <w:rPr>
          <w:rFonts w:ascii="Calibri" w:hAnsi="Calibri" w:cs="Calibri"/>
          <w:szCs w:val="22"/>
          <w:lang w:eastAsia="en-US"/>
        </w:rPr>
      </w:pPr>
    </w:p>
    <w:p w:rsidR="005C7530" w:rsidRPr="005C7530" w:rsidRDefault="005C7530" w:rsidP="005C7530">
      <w:pPr>
        <w:rPr>
          <w:rFonts w:ascii="Calibri" w:hAnsi="Calibri" w:cs="Calibri"/>
          <w:szCs w:val="22"/>
          <w:lang w:eastAsia="en-US"/>
        </w:rPr>
      </w:pPr>
      <w:r w:rsidRPr="005C7530">
        <w:rPr>
          <w:rFonts w:ascii="Calibri" w:hAnsi="Calibri" w:cs="Calibri"/>
          <w:szCs w:val="22"/>
          <w:lang w:eastAsia="en-US"/>
        </w:rPr>
        <w:t xml:space="preserve">Pri vyhlasovaní Výziev na predkladanie Žiadostí o poskytnutie nenávratného finančného príspevku môže byť znížená výška podpory na 80%. </w:t>
      </w:r>
    </w:p>
    <w:p w:rsidR="008676F9" w:rsidRPr="008676F9" w:rsidRDefault="008676F9" w:rsidP="006F5151">
      <w:pPr>
        <w:rPr>
          <w:rFonts w:ascii="Calibri" w:eastAsia="Calibri" w:hAnsi="Calibri" w:cs="Calibri"/>
          <w:bCs/>
          <w:szCs w:val="22"/>
          <w:u w:val="single"/>
          <w:lang w:eastAsia="en-US"/>
        </w:rPr>
      </w:pPr>
    </w:p>
    <w:p w:rsidR="008676F9" w:rsidRPr="008676F9" w:rsidRDefault="008676F9" w:rsidP="006F5151">
      <w:pPr>
        <w:rPr>
          <w:rFonts w:ascii="Calibri" w:eastAsia="Calibri" w:hAnsi="Calibri" w:cs="Calibri"/>
          <w:szCs w:val="22"/>
          <w:u w:val="single"/>
          <w:lang w:eastAsia="en-US"/>
        </w:rPr>
      </w:pPr>
      <w:r w:rsidRPr="008676F9">
        <w:rPr>
          <w:rFonts w:ascii="Calibri" w:eastAsia="Calibri" w:hAnsi="Calibri" w:cs="Calibri"/>
          <w:szCs w:val="22"/>
          <w:u w:val="single"/>
          <w:lang w:eastAsia="en-US"/>
        </w:rPr>
        <w:t>Ďalšie informácie špecifické pre danú operáciu:</w:t>
      </w:r>
    </w:p>
    <w:p w:rsidR="008676F9" w:rsidRPr="008676F9" w:rsidRDefault="008676F9" w:rsidP="006F5151">
      <w:pPr>
        <w:rPr>
          <w:rFonts w:ascii="Calibri" w:eastAsia="Calibri" w:hAnsi="Calibri" w:cs="Arial"/>
          <w:color w:val="000000"/>
          <w:szCs w:val="22"/>
          <w:lang w:eastAsia="en-US"/>
        </w:rPr>
      </w:pPr>
      <w:r w:rsidRPr="008676F9">
        <w:rPr>
          <w:rFonts w:ascii="Calibri" w:eastAsia="Calibri" w:hAnsi="Calibri"/>
          <w:i/>
          <w:szCs w:val="22"/>
          <w:lang w:eastAsia="en-US"/>
        </w:rPr>
        <w:t>Les:</w:t>
      </w:r>
      <w:r w:rsidRPr="008676F9">
        <w:rPr>
          <w:rFonts w:ascii="Calibri" w:eastAsia="Calibri" w:hAnsi="Calibri"/>
          <w:szCs w:val="22"/>
          <w:lang w:eastAsia="en-US"/>
        </w:rPr>
        <w:t xml:space="preserve"> </w:t>
      </w:r>
      <w:r w:rsidRPr="008676F9">
        <w:rPr>
          <w:rFonts w:ascii="Calibri" w:eastAsia="Calibri" w:hAnsi="Calibri" w:cs="Arial"/>
          <w:color w:val="000000"/>
          <w:szCs w:val="22"/>
          <w:lang w:eastAsia="en-US"/>
        </w:rPr>
        <w:t xml:space="preserve">ekosystém, ktorý tvorí lesný pozemok s lesným porastom a faktormi jeho vzdušného prostredia, rastlinné druhy, živočíšne druhy a pôda s jej hydrologickým a vzdušným režimom. </w:t>
      </w:r>
      <w:r w:rsidRPr="008676F9">
        <w:rPr>
          <w:rFonts w:ascii="Calibri" w:eastAsia="Calibri" w:hAnsi="Calibri"/>
          <w:szCs w:val="22"/>
          <w:lang w:eastAsia="en-US"/>
        </w:rPr>
        <w:t xml:space="preserve">Podpora sa vzťahuje na lesné pozemky zadefinované podľa § 3 zákona č.326/2005. </w:t>
      </w:r>
      <w:r w:rsidRPr="008676F9">
        <w:rPr>
          <w:rFonts w:ascii="Calibri" w:eastAsia="Calibri" w:hAnsi="Calibri" w:cs="Arial"/>
          <w:color w:val="000000"/>
          <w:szCs w:val="22"/>
          <w:lang w:eastAsia="en-US"/>
        </w:rPr>
        <w:t>Lesným porastom sa rozumie súbor rastúcich stromovitých drevín, krovitých drevín alebo ich zmesí na lesných pozemkoch.</w:t>
      </w:r>
    </w:p>
    <w:p w:rsidR="008676F9" w:rsidRPr="008676F9" w:rsidRDefault="008676F9" w:rsidP="008676F9">
      <w:pPr>
        <w:spacing w:line="276" w:lineRule="auto"/>
        <w:rPr>
          <w:rFonts w:ascii="Calibri" w:eastAsia="Calibri" w:hAnsi="Calibri"/>
          <w:b/>
          <w:szCs w:val="22"/>
          <w:lang w:eastAsia="en-US"/>
        </w:rPr>
      </w:pPr>
      <w:r w:rsidRPr="008676F9">
        <w:rPr>
          <w:rFonts w:ascii="Calibri" w:eastAsia="Calibri" w:hAnsi="Calibri"/>
          <w:b/>
          <w:szCs w:val="22"/>
          <w:lang w:eastAsia="en-US"/>
        </w:rPr>
        <w:t xml:space="preserve">Zoznam druhov organizmov škodlivých v lesnom hospodárstve </w:t>
      </w:r>
    </w:p>
    <w:tbl>
      <w:tblPr>
        <w:tblW w:w="9009" w:type="dxa"/>
        <w:tblInd w:w="70" w:type="dxa"/>
        <w:tblCellMar>
          <w:left w:w="70" w:type="dxa"/>
          <w:right w:w="70" w:type="dxa"/>
        </w:tblCellMar>
        <w:tblLook w:val="04A0" w:firstRow="1" w:lastRow="0" w:firstColumn="1" w:lastColumn="0" w:noHBand="0" w:noVBand="1"/>
      </w:tblPr>
      <w:tblGrid>
        <w:gridCol w:w="1434"/>
        <w:gridCol w:w="1346"/>
        <w:gridCol w:w="1442"/>
        <w:gridCol w:w="1403"/>
        <w:gridCol w:w="1785"/>
        <w:gridCol w:w="1599"/>
      </w:tblGrid>
      <w:tr w:rsidR="008676F9" w:rsidRPr="008676F9" w:rsidTr="00BB33FC">
        <w:trPr>
          <w:trHeight w:val="315"/>
        </w:trPr>
        <w:tc>
          <w:tcPr>
            <w:tcW w:w="7410" w:type="dxa"/>
            <w:gridSpan w:val="5"/>
            <w:tcBorders>
              <w:top w:val="single" w:sz="8" w:space="0" w:color="auto"/>
              <w:left w:val="single" w:sz="8" w:space="0" w:color="auto"/>
              <w:bottom w:val="single" w:sz="8" w:space="0" w:color="auto"/>
              <w:right w:val="single" w:sz="8" w:space="0" w:color="000000"/>
            </w:tcBorders>
            <w:shd w:val="clear" w:color="000000" w:fill="76933C"/>
            <w:vAlign w:val="center"/>
            <w:hideMark/>
          </w:tcPr>
          <w:p w:rsidR="008676F9" w:rsidRPr="008676F9" w:rsidRDefault="008676F9" w:rsidP="008676F9">
            <w:pPr>
              <w:jc w:val="center"/>
              <w:rPr>
                <w:rFonts w:ascii="Calibri" w:hAnsi="Calibri"/>
                <w:b/>
                <w:bCs/>
                <w:color w:val="000000"/>
                <w:sz w:val="20"/>
                <w:szCs w:val="20"/>
              </w:rPr>
            </w:pPr>
            <w:r w:rsidRPr="008676F9">
              <w:rPr>
                <w:rFonts w:ascii="Calibri" w:hAnsi="Calibri"/>
                <w:b/>
                <w:bCs/>
                <w:color w:val="000000"/>
                <w:sz w:val="20"/>
                <w:szCs w:val="20"/>
              </w:rPr>
              <w:t>HMYZ</w:t>
            </w:r>
          </w:p>
        </w:tc>
        <w:tc>
          <w:tcPr>
            <w:tcW w:w="1599" w:type="dxa"/>
            <w:vMerge w:val="restart"/>
            <w:tcBorders>
              <w:top w:val="single" w:sz="8" w:space="0" w:color="auto"/>
              <w:left w:val="single" w:sz="8" w:space="0" w:color="auto"/>
              <w:bottom w:val="single" w:sz="8" w:space="0" w:color="000000"/>
              <w:right w:val="single" w:sz="8" w:space="0" w:color="auto"/>
            </w:tcBorders>
            <w:shd w:val="clear" w:color="000000" w:fill="76933C"/>
            <w:vAlign w:val="center"/>
            <w:hideMark/>
          </w:tcPr>
          <w:p w:rsidR="008676F9" w:rsidRPr="008676F9" w:rsidRDefault="008676F9" w:rsidP="008676F9">
            <w:pPr>
              <w:jc w:val="center"/>
              <w:rPr>
                <w:rFonts w:ascii="Calibri" w:hAnsi="Calibri"/>
                <w:b/>
                <w:bCs/>
                <w:color w:val="000000"/>
                <w:sz w:val="20"/>
                <w:szCs w:val="20"/>
              </w:rPr>
            </w:pPr>
            <w:r w:rsidRPr="008676F9">
              <w:rPr>
                <w:rFonts w:ascii="Calibri" w:hAnsi="Calibri"/>
                <w:b/>
                <w:bCs/>
                <w:color w:val="000000"/>
                <w:sz w:val="20"/>
                <w:szCs w:val="20"/>
              </w:rPr>
              <w:t>HUBY</w:t>
            </w:r>
          </w:p>
        </w:tc>
      </w:tr>
      <w:tr w:rsidR="008676F9" w:rsidRPr="008676F9" w:rsidTr="00BB33FC">
        <w:trPr>
          <w:trHeight w:val="315"/>
        </w:trPr>
        <w:tc>
          <w:tcPr>
            <w:tcW w:w="1434" w:type="dxa"/>
            <w:vMerge w:val="restart"/>
            <w:tcBorders>
              <w:top w:val="nil"/>
              <w:left w:val="single" w:sz="8" w:space="0" w:color="auto"/>
              <w:bottom w:val="single" w:sz="8" w:space="0" w:color="000000"/>
              <w:right w:val="single" w:sz="8" w:space="0" w:color="auto"/>
            </w:tcBorders>
            <w:shd w:val="clear" w:color="000000" w:fill="92D050"/>
            <w:vAlign w:val="center"/>
            <w:hideMark/>
          </w:tcPr>
          <w:p w:rsidR="008676F9" w:rsidRPr="008676F9" w:rsidRDefault="008676F9" w:rsidP="008676F9">
            <w:pPr>
              <w:jc w:val="center"/>
              <w:rPr>
                <w:rFonts w:ascii="Calibri" w:hAnsi="Calibri"/>
                <w:b/>
                <w:bCs/>
                <w:noProof/>
                <w:color w:val="000000"/>
                <w:sz w:val="20"/>
                <w:szCs w:val="20"/>
              </w:rPr>
            </w:pPr>
            <w:r w:rsidRPr="008676F9">
              <w:rPr>
                <w:rFonts w:ascii="Calibri" w:hAnsi="Calibri"/>
                <w:b/>
                <w:bCs/>
                <w:noProof/>
                <w:color w:val="000000"/>
                <w:sz w:val="20"/>
                <w:szCs w:val="20"/>
              </w:rPr>
              <w:t>listožravce</w:t>
            </w:r>
          </w:p>
        </w:tc>
        <w:tc>
          <w:tcPr>
            <w:tcW w:w="1346" w:type="dxa"/>
            <w:vMerge w:val="restart"/>
            <w:tcBorders>
              <w:top w:val="nil"/>
              <w:left w:val="single" w:sz="8" w:space="0" w:color="auto"/>
              <w:bottom w:val="single" w:sz="8" w:space="0" w:color="000000"/>
              <w:right w:val="single" w:sz="8" w:space="0" w:color="auto"/>
            </w:tcBorders>
            <w:shd w:val="clear" w:color="000000" w:fill="92D050"/>
            <w:vAlign w:val="center"/>
            <w:hideMark/>
          </w:tcPr>
          <w:p w:rsidR="008676F9" w:rsidRPr="008676F9" w:rsidRDefault="008676F9" w:rsidP="008676F9">
            <w:pPr>
              <w:jc w:val="center"/>
              <w:rPr>
                <w:rFonts w:ascii="Calibri" w:hAnsi="Calibri"/>
                <w:b/>
                <w:bCs/>
                <w:noProof/>
                <w:color w:val="000000"/>
                <w:sz w:val="20"/>
                <w:szCs w:val="20"/>
              </w:rPr>
            </w:pPr>
            <w:r w:rsidRPr="008676F9">
              <w:rPr>
                <w:rFonts w:ascii="Calibri" w:hAnsi="Calibri"/>
                <w:b/>
                <w:bCs/>
                <w:noProof/>
                <w:color w:val="000000"/>
                <w:sz w:val="20"/>
                <w:szCs w:val="20"/>
              </w:rPr>
              <w:t>škodcovia výsadieb</w:t>
            </w:r>
          </w:p>
        </w:tc>
        <w:tc>
          <w:tcPr>
            <w:tcW w:w="4630" w:type="dxa"/>
            <w:gridSpan w:val="3"/>
            <w:tcBorders>
              <w:top w:val="single" w:sz="8" w:space="0" w:color="auto"/>
              <w:left w:val="nil"/>
              <w:bottom w:val="single" w:sz="8" w:space="0" w:color="auto"/>
              <w:right w:val="single" w:sz="8" w:space="0" w:color="000000"/>
            </w:tcBorders>
            <w:shd w:val="clear" w:color="000000" w:fill="92D050"/>
            <w:vAlign w:val="center"/>
            <w:hideMark/>
          </w:tcPr>
          <w:p w:rsidR="008676F9" w:rsidRPr="008676F9" w:rsidRDefault="008676F9" w:rsidP="008676F9">
            <w:pPr>
              <w:jc w:val="center"/>
              <w:rPr>
                <w:rFonts w:ascii="Calibri" w:hAnsi="Calibri"/>
                <w:b/>
                <w:bCs/>
                <w:noProof/>
                <w:color w:val="000000"/>
                <w:sz w:val="20"/>
                <w:szCs w:val="20"/>
              </w:rPr>
            </w:pPr>
            <w:r w:rsidRPr="008676F9">
              <w:rPr>
                <w:rFonts w:ascii="Calibri" w:hAnsi="Calibri"/>
                <w:b/>
                <w:bCs/>
                <w:noProof/>
                <w:color w:val="000000"/>
                <w:sz w:val="20"/>
                <w:szCs w:val="20"/>
              </w:rPr>
              <w:t>podkôrny a drevokazný hmyz</w:t>
            </w:r>
          </w:p>
        </w:tc>
        <w:tc>
          <w:tcPr>
            <w:tcW w:w="1599" w:type="dxa"/>
            <w:vMerge/>
            <w:tcBorders>
              <w:top w:val="single" w:sz="8" w:space="0" w:color="auto"/>
              <w:left w:val="single" w:sz="8" w:space="0" w:color="auto"/>
              <w:bottom w:val="single" w:sz="8" w:space="0" w:color="000000"/>
              <w:right w:val="single" w:sz="8" w:space="0" w:color="auto"/>
            </w:tcBorders>
            <w:vAlign w:val="center"/>
            <w:hideMark/>
          </w:tcPr>
          <w:p w:rsidR="008676F9" w:rsidRPr="008676F9" w:rsidRDefault="008676F9" w:rsidP="008676F9">
            <w:pPr>
              <w:rPr>
                <w:rFonts w:ascii="Calibri" w:hAnsi="Calibri"/>
                <w:b/>
                <w:bCs/>
                <w:noProof/>
                <w:color w:val="000000"/>
                <w:sz w:val="20"/>
                <w:szCs w:val="20"/>
              </w:rPr>
            </w:pPr>
          </w:p>
        </w:tc>
      </w:tr>
      <w:tr w:rsidR="008676F9" w:rsidRPr="008676F9" w:rsidTr="00BB33FC">
        <w:trPr>
          <w:trHeight w:val="315"/>
        </w:trPr>
        <w:tc>
          <w:tcPr>
            <w:tcW w:w="1434" w:type="dxa"/>
            <w:vMerge/>
            <w:tcBorders>
              <w:top w:val="nil"/>
              <w:left w:val="single" w:sz="8" w:space="0" w:color="auto"/>
              <w:bottom w:val="single" w:sz="8" w:space="0" w:color="000000"/>
              <w:right w:val="single" w:sz="8" w:space="0" w:color="auto"/>
            </w:tcBorders>
            <w:vAlign w:val="center"/>
            <w:hideMark/>
          </w:tcPr>
          <w:p w:rsidR="008676F9" w:rsidRPr="008676F9" w:rsidRDefault="008676F9" w:rsidP="008676F9">
            <w:pPr>
              <w:rPr>
                <w:rFonts w:ascii="Calibri" w:hAnsi="Calibri"/>
                <w:b/>
                <w:bCs/>
                <w:noProof/>
                <w:color w:val="000000"/>
                <w:sz w:val="20"/>
                <w:szCs w:val="20"/>
              </w:rPr>
            </w:pPr>
          </w:p>
        </w:tc>
        <w:tc>
          <w:tcPr>
            <w:tcW w:w="1346" w:type="dxa"/>
            <w:vMerge/>
            <w:tcBorders>
              <w:top w:val="nil"/>
              <w:left w:val="single" w:sz="8" w:space="0" w:color="auto"/>
              <w:bottom w:val="single" w:sz="8" w:space="0" w:color="000000"/>
              <w:right w:val="single" w:sz="8" w:space="0" w:color="auto"/>
            </w:tcBorders>
            <w:vAlign w:val="center"/>
            <w:hideMark/>
          </w:tcPr>
          <w:p w:rsidR="008676F9" w:rsidRPr="008676F9" w:rsidRDefault="008676F9" w:rsidP="008676F9">
            <w:pPr>
              <w:rPr>
                <w:rFonts w:ascii="Calibri" w:hAnsi="Calibri"/>
                <w:b/>
                <w:bCs/>
                <w:noProof/>
                <w:color w:val="000000"/>
                <w:sz w:val="20"/>
                <w:szCs w:val="20"/>
              </w:rPr>
            </w:pPr>
          </w:p>
        </w:tc>
        <w:tc>
          <w:tcPr>
            <w:tcW w:w="1442" w:type="dxa"/>
            <w:tcBorders>
              <w:top w:val="nil"/>
              <w:left w:val="nil"/>
              <w:bottom w:val="single" w:sz="8" w:space="0" w:color="auto"/>
              <w:right w:val="single" w:sz="8" w:space="0" w:color="auto"/>
            </w:tcBorders>
            <w:shd w:val="clear" w:color="000000" w:fill="C4D79B"/>
            <w:vAlign w:val="center"/>
            <w:hideMark/>
          </w:tcPr>
          <w:p w:rsidR="008676F9" w:rsidRPr="008676F9" w:rsidRDefault="008676F9" w:rsidP="008676F9">
            <w:pPr>
              <w:jc w:val="center"/>
              <w:rPr>
                <w:rFonts w:ascii="Calibri" w:hAnsi="Calibri"/>
                <w:b/>
                <w:bCs/>
                <w:noProof/>
                <w:color w:val="000000"/>
                <w:sz w:val="20"/>
                <w:szCs w:val="20"/>
              </w:rPr>
            </w:pPr>
            <w:r w:rsidRPr="008676F9">
              <w:rPr>
                <w:rFonts w:ascii="Calibri" w:hAnsi="Calibri"/>
                <w:b/>
                <w:bCs/>
                <w:noProof/>
                <w:color w:val="000000"/>
                <w:sz w:val="20"/>
                <w:szCs w:val="20"/>
              </w:rPr>
              <w:t>smrečina</w:t>
            </w:r>
          </w:p>
        </w:tc>
        <w:tc>
          <w:tcPr>
            <w:tcW w:w="1403" w:type="dxa"/>
            <w:tcBorders>
              <w:top w:val="nil"/>
              <w:left w:val="nil"/>
              <w:bottom w:val="single" w:sz="8" w:space="0" w:color="auto"/>
              <w:right w:val="single" w:sz="8" w:space="0" w:color="auto"/>
            </w:tcBorders>
            <w:shd w:val="clear" w:color="000000" w:fill="C4D79B"/>
            <w:vAlign w:val="center"/>
            <w:hideMark/>
          </w:tcPr>
          <w:p w:rsidR="008676F9" w:rsidRPr="008676F9" w:rsidRDefault="008676F9" w:rsidP="008676F9">
            <w:pPr>
              <w:jc w:val="center"/>
              <w:rPr>
                <w:rFonts w:ascii="Calibri" w:hAnsi="Calibri"/>
                <w:b/>
                <w:bCs/>
                <w:noProof/>
                <w:color w:val="000000"/>
                <w:sz w:val="20"/>
                <w:szCs w:val="20"/>
              </w:rPr>
            </w:pPr>
            <w:r w:rsidRPr="008676F9">
              <w:rPr>
                <w:rFonts w:ascii="Calibri" w:hAnsi="Calibri"/>
                <w:b/>
                <w:bCs/>
                <w:noProof/>
                <w:color w:val="000000"/>
                <w:sz w:val="20"/>
                <w:szCs w:val="20"/>
              </w:rPr>
              <w:t>borovice</w:t>
            </w:r>
          </w:p>
        </w:tc>
        <w:tc>
          <w:tcPr>
            <w:tcW w:w="1785" w:type="dxa"/>
            <w:tcBorders>
              <w:top w:val="nil"/>
              <w:left w:val="nil"/>
              <w:bottom w:val="single" w:sz="8" w:space="0" w:color="auto"/>
              <w:right w:val="single" w:sz="8" w:space="0" w:color="auto"/>
            </w:tcBorders>
            <w:shd w:val="clear" w:color="000000" w:fill="C4D79B"/>
            <w:vAlign w:val="center"/>
            <w:hideMark/>
          </w:tcPr>
          <w:p w:rsidR="008676F9" w:rsidRPr="008676F9" w:rsidRDefault="008676F9" w:rsidP="008676F9">
            <w:pPr>
              <w:jc w:val="center"/>
              <w:rPr>
                <w:rFonts w:ascii="Calibri" w:hAnsi="Calibri"/>
                <w:b/>
                <w:bCs/>
                <w:noProof/>
                <w:color w:val="000000"/>
                <w:sz w:val="20"/>
                <w:szCs w:val="20"/>
              </w:rPr>
            </w:pPr>
            <w:r w:rsidRPr="008676F9">
              <w:rPr>
                <w:rFonts w:ascii="Calibri" w:hAnsi="Calibri"/>
                <w:b/>
                <w:bCs/>
                <w:noProof/>
                <w:color w:val="000000"/>
                <w:sz w:val="20"/>
                <w:szCs w:val="20"/>
              </w:rPr>
              <w:t>listnaté dreviny</w:t>
            </w:r>
          </w:p>
        </w:tc>
        <w:tc>
          <w:tcPr>
            <w:tcW w:w="1599" w:type="dxa"/>
            <w:vMerge/>
            <w:tcBorders>
              <w:top w:val="single" w:sz="8" w:space="0" w:color="auto"/>
              <w:left w:val="single" w:sz="8" w:space="0" w:color="auto"/>
              <w:bottom w:val="single" w:sz="8" w:space="0" w:color="000000"/>
              <w:right w:val="single" w:sz="8" w:space="0" w:color="auto"/>
            </w:tcBorders>
            <w:vAlign w:val="center"/>
            <w:hideMark/>
          </w:tcPr>
          <w:p w:rsidR="008676F9" w:rsidRPr="008676F9" w:rsidRDefault="008676F9" w:rsidP="008676F9">
            <w:pPr>
              <w:rPr>
                <w:rFonts w:ascii="Calibri" w:hAnsi="Calibri"/>
                <w:b/>
                <w:bCs/>
                <w:noProof/>
                <w:color w:val="000000"/>
                <w:sz w:val="20"/>
                <w:szCs w:val="20"/>
              </w:rPr>
            </w:pPr>
          </w:p>
        </w:tc>
      </w:tr>
      <w:tr w:rsidR="008676F9" w:rsidRPr="008676F9" w:rsidTr="00BB33FC">
        <w:trPr>
          <w:trHeight w:val="780"/>
        </w:trPr>
        <w:tc>
          <w:tcPr>
            <w:tcW w:w="1434" w:type="dxa"/>
            <w:tcBorders>
              <w:top w:val="nil"/>
              <w:left w:val="single" w:sz="8" w:space="0" w:color="auto"/>
              <w:bottom w:val="single" w:sz="8" w:space="0" w:color="auto"/>
              <w:right w:val="single" w:sz="8" w:space="0" w:color="auto"/>
            </w:tcBorders>
            <w:shd w:val="clear" w:color="auto" w:fill="auto"/>
            <w:vAlign w:val="center"/>
            <w:hideMark/>
          </w:tcPr>
          <w:p w:rsidR="008676F9" w:rsidRPr="008676F9" w:rsidRDefault="008676F9" w:rsidP="008676F9">
            <w:pPr>
              <w:rPr>
                <w:rFonts w:ascii="Calibri" w:hAnsi="Calibri"/>
                <w:i/>
                <w:iCs/>
                <w:noProof/>
                <w:color w:val="000000"/>
                <w:sz w:val="20"/>
                <w:szCs w:val="20"/>
              </w:rPr>
            </w:pPr>
            <w:r w:rsidRPr="008676F9">
              <w:rPr>
                <w:rFonts w:ascii="Calibri" w:hAnsi="Calibri"/>
                <w:i/>
                <w:iCs/>
                <w:noProof/>
                <w:color w:val="000000"/>
                <w:sz w:val="20"/>
                <w:szCs w:val="20"/>
              </w:rPr>
              <w:t>Lymantria dispar</w:t>
            </w:r>
          </w:p>
        </w:tc>
        <w:tc>
          <w:tcPr>
            <w:tcW w:w="1346" w:type="dxa"/>
            <w:tcBorders>
              <w:top w:val="nil"/>
              <w:left w:val="nil"/>
              <w:bottom w:val="single" w:sz="8" w:space="0" w:color="auto"/>
              <w:right w:val="single" w:sz="8" w:space="0" w:color="auto"/>
            </w:tcBorders>
            <w:shd w:val="clear" w:color="auto" w:fill="auto"/>
            <w:vAlign w:val="center"/>
            <w:hideMark/>
          </w:tcPr>
          <w:p w:rsidR="008676F9" w:rsidRPr="008676F9" w:rsidRDefault="008676F9" w:rsidP="008676F9">
            <w:pPr>
              <w:rPr>
                <w:rFonts w:ascii="Calibri" w:hAnsi="Calibri"/>
                <w:i/>
                <w:iCs/>
                <w:noProof/>
                <w:color w:val="000000"/>
                <w:sz w:val="20"/>
                <w:szCs w:val="20"/>
              </w:rPr>
            </w:pPr>
            <w:r w:rsidRPr="008676F9">
              <w:rPr>
                <w:rFonts w:ascii="Calibri" w:hAnsi="Calibri"/>
                <w:i/>
                <w:iCs/>
                <w:noProof/>
                <w:color w:val="000000"/>
                <w:sz w:val="20"/>
                <w:szCs w:val="20"/>
              </w:rPr>
              <w:t>Hylobius abietis</w:t>
            </w:r>
          </w:p>
        </w:tc>
        <w:tc>
          <w:tcPr>
            <w:tcW w:w="1442" w:type="dxa"/>
            <w:tcBorders>
              <w:top w:val="nil"/>
              <w:left w:val="nil"/>
              <w:bottom w:val="single" w:sz="8" w:space="0" w:color="auto"/>
              <w:right w:val="single" w:sz="8" w:space="0" w:color="auto"/>
            </w:tcBorders>
            <w:shd w:val="clear" w:color="auto" w:fill="auto"/>
            <w:vAlign w:val="center"/>
            <w:hideMark/>
          </w:tcPr>
          <w:p w:rsidR="008676F9" w:rsidRPr="008676F9" w:rsidRDefault="008676F9" w:rsidP="008676F9">
            <w:pPr>
              <w:rPr>
                <w:rFonts w:ascii="Calibri" w:hAnsi="Calibri"/>
                <w:i/>
                <w:iCs/>
                <w:noProof/>
                <w:color w:val="000000"/>
                <w:sz w:val="20"/>
                <w:szCs w:val="20"/>
              </w:rPr>
            </w:pPr>
            <w:r w:rsidRPr="008676F9">
              <w:rPr>
                <w:rFonts w:ascii="Calibri" w:hAnsi="Calibri"/>
                <w:i/>
                <w:iCs/>
                <w:noProof/>
                <w:color w:val="000000"/>
                <w:sz w:val="20"/>
                <w:szCs w:val="20"/>
              </w:rPr>
              <w:t>Ips typographus</w:t>
            </w:r>
          </w:p>
        </w:tc>
        <w:tc>
          <w:tcPr>
            <w:tcW w:w="1403" w:type="dxa"/>
            <w:tcBorders>
              <w:top w:val="nil"/>
              <w:left w:val="nil"/>
              <w:bottom w:val="single" w:sz="8" w:space="0" w:color="auto"/>
              <w:right w:val="single" w:sz="8" w:space="0" w:color="auto"/>
            </w:tcBorders>
            <w:shd w:val="clear" w:color="auto" w:fill="auto"/>
            <w:vAlign w:val="center"/>
            <w:hideMark/>
          </w:tcPr>
          <w:p w:rsidR="008676F9" w:rsidRPr="008676F9" w:rsidRDefault="008676F9" w:rsidP="008676F9">
            <w:pPr>
              <w:rPr>
                <w:rFonts w:ascii="Calibri" w:hAnsi="Calibri"/>
                <w:i/>
                <w:iCs/>
                <w:noProof/>
                <w:color w:val="000000"/>
                <w:sz w:val="20"/>
                <w:szCs w:val="20"/>
              </w:rPr>
            </w:pPr>
            <w:r w:rsidRPr="008676F9">
              <w:rPr>
                <w:rFonts w:ascii="Calibri" w:hAnsi="Calibri"/>
                <w:i/>
                <w:iCs/>
                <w:noProof/>
                <w:color w:val="000000"/>
                <w:sz w:val="20"/>
                <w:szCs w:val="20"/>
              </w:rPr>
              <w:t>Ips acuminatus</w:t>
            </w:r>
          </w:p>
        </w:tc>
        <w:tc>
          <w:tcPr>
            <w:tcW w:w="1785" w:type="dxa"/>
            <w:tcBorders>
              <w:top w:val="nil"/>
              <w:left w:val="nil"/>
              <w:bottom w:val="single" w:sz="8" w:space="0" w:color="auto"/>
              <w:right w:val="single" w:sz="8" w:space="0" w:color="auto"/>
            </w:tcBorders>
            <w:shd w:val="clear" w:color="auto" w:fill="auto"/>
            <w:vAlign w:val="center"/>
            <w:hideMark/>
          </w:tcPr>
          <w:p w:rsidR="008676F9" w:rsidRPr="008676F9" w:rsidRDefault="008676F9" w:rsidP="008676F9">
            <w:pPr>
              <w:rPr>
                <w:rFonts w:ascii="Calibri" w:hAnsi="Calibri"/>
                <w:i/>
                <w:iCs/>
                <w:noProof/>
                <w:color w:val="000000"/>
                <w:sz w:val="20"/>
                <w:szCs w:val="20"/>
              </w:rPr>
            </w:pPr>
            <w:r w:rsidRPr="008676F9">
              <w:rPr>
                <w:rFonts w:ascii="Calibri" w:hAnsi="Calibri"/>
                <w:i/>
                <w:iCs/>
                <w:noProof/>
                <w:color w:val="000000"/>
                <w:sz w:val="20"/>
                <w:szCs w:val="20"/>
              </w:rPr>
              <w:t>Leperisinus fraxini</w:t>
            </w:r>
          </w:p>
        </w:tc>
        <w:tc>
          <w:tcPr>
            <w:tcW w:w="1599" w:type="dxa"/>
            <w:vMerge w:val="restart"/>
            <w:tcBorders>
              <w:top w:val="nil"/>
              <w:left w:val="nil"/>
              <w:right w:val="single" w:sz="8" w:space="0" w:color="auto"/>
            </w:tcBorders>
            <w:shd w:val="clear" w:color="auto" w:fill="auto"/>
            <w:vAlign w:val="center"/>
            <w:hideMark/>
          </w:tcPr>
          <w:p w:rsidR="008676F9" w:rsidRPr="008676F9" w:rsidRDefault="008676F9" w:rsidP="008676F9">
            <w:pPr>
              <w:rPr>
                <w:rFonts w:ascii="Calibri" w:hAnsi="Calibri"/>
                <w:i/>
                <w:iCs/>
                <w:noProof/>
                <w:color w:val="000000"/>
                <w:sz w:val="20"/>
                <w:szCs w:val="20"/>
              </w:rPr>
            </w:pPr>
            <w:r w:rsidRPr="008676F9">
              <w:rPr>
                <w:rFonts w:ascii="Calibri" w:hAnsi="Calibri"/>
                <w:i/>
                <w:iCs/>
                <w:noProof/>
                <w:color w:val="000000"/>
                <w:sz w:val="20"/>
                <w:szCs w:val="20"/>
              </w:rPr>
              <w:t>Chalara fraxinea (syn. Hymenoscyphus pseudoalbidus)</w:t>
            </w:r>
          </w:p>
          <w:p w:rsidR="008676F9" w:rsidRPr="008676F9" w:rsidRDefault="008676F9" w:rsidP="008676F9">
            <w:pPr>
              <w:rPr>
                <w:rFonts w:ascii="Calibri" w:hAnsi="Calibri"/>
                <w:i/>
                <w:iCs/>
                <w:noProof/>
                <w:color w:val="000000"/>
                <w:sz w:val="20"/>
                <w:szCs w:val="20"/>
              </w:rPr>
            </w:pPr>
            <w:r w:rsidRPr="008676F9">
              <w:rPr>
                <w:rFonts w:ascii="Calibri" w:hAnsi="Calibri"/>
                <w:noProof/>
                <w:color w:val="000000"/>
                <w:szCs w:val="22"/>
              </w:rPr>
              <w:t> </w:t>
            </w:r>
          </w:p>
        </w:tc>
      </w:tr>
      <w:tr w:rsidR="008676F9" w:rsidRPr="008676F9" w:rsidTr="00BB33FC">
        <w:trPr>
          <w:trHeight w:val="525"/>
        </w:trPr>
        <w:tc>
          <w:tcPr>
            <w:tcW w:w="1434" w:type="dxa"/>
            <w:tcBorders>
              <w:top w:val="nil"/>
              <w:left w:val="single" w:sz="8" w:space="0" w:color="auto"/>
              <w:bottom w:val="single" w:sz="8" w:space="0" w:color="auto"/>
              <w:right w:val="single" w:sz="8" w:space="0" w:color="auto"/>
            </w:tcBorders>
            <w:shd w:val="clear" w:color="auto" w:fill="auto"/>
            <w:vAlign w:val="center"/>
            <w:hideMark/>
          </w:tcPr>
          <w:p w:rsidR="008676F9" w:rsidRPr="008676F9" w:rsidRDefault="008676F9" w:rsidP="008676F9">
            <w:pPr>
              <w:rPr>
                <w:rFonts w:ascii="Calibri" w:hAnsi="Calibri"/>
                <w:i/>
                <w:iCs/>
                <w:noProof/>
                <w:color w:val="000000"/>
                <w:sz w:val="20"/>
                <w:szCs w:val="20"/>
              </w:rPr>
            </w:pPr>
            <w:r w:rsidRPr="008676F9">
              <w:rPr>
                <w:rFonts w:ascii="Calibri" w:hAnsi="Calibri"/>
                <w:i/>
                <w:iCs/>
                <w:noProof/>
                <w:color w:val="000000"/>
                <w:sz w:val="20"/>
                <w:szCs w:val="20"/>
              </w:rPr>
              <w:t>Adelges laricis</w:t>
            </w:r>
          </w:p>
        </w:tc>
        <w:tc>
          <w:tcPr>
            <w:tcW w:w="1346" w:type="dxa"/>
            <w:tcBorders>
              <w:top w:val="nil"/>
              <w:left w:val="nil"/>
              <w:bottom w:val="single" w:sz="8" w:space="0" w:color="auto"/>
              <w:right w:val="single" w:sz="8" w:space="0" w:color="auto"/>
            </w:tcBorders>
            <w:shd w:val="clear" w:color="auto" w:fill="auto"/>
            <w:vAlign w:val="center"/>
            <w:hideMark/>
          </w:tcPr>
          <w:p w:rsidR="008676F9" w:rsidRPr="008676F9" w:rsidRDefault="008676F9" w:rsidP="008676F9">
            <w:pPr>
              <w:rPr>
                <w:rFonts w:ascii="Calibri" w:hAnsi="Calibri"/>
                <w:i/>
                <w:iCs/>
                <w:noProof/>
                <w:color w:val="000000"/>
                <w:sz w:val="20"/>
                <w:szCs w:val="20"/>
              </w:rPr>
            </w:pPr>
            <w:r w:rsidRPr="008676F9">
              <w:rPr>
                <w:rFonts w:ascii="Calibri" w:hAnsi="Calibri"/>
                <w:i/>
                <w:iCs/>
                <w:noProof/>
                <w:color w:val="000000"/>
                <w:sz w:val="20"/>
                <w:szCs w:val="20"/>
              </w:rPr>
              <w:t>Hylastes spp.</w:t>
            </w:r>
          </w:p>
        </w:tc>
        <w:tc>
          <w:tcPr>
            <w:tcW w:w="1442" w:type="dxa"/>
            <w:tcBorders>
              <w:top w:val="nil"/>
              <w:left w:val="nil"/>
              <w:bottom w:val="single" w:sz="8" w:space="0" w:color="auto"/>
              <w:right w:val="single" w:sz="8" w:space="0" w:color="auto"/>
            </w:tcBorders>
            <w:shd w:val="clear" w:color="auto" w:fill="auto"/>
            <w:vAlign w:val="center"/>
            <w:hideMark/>
          </w:tcPr>
          <w:p w:rsidR="008676F9" w:rsidRPr="008676F9" w:rsidRDefault="008676F9" w:rsidP="008676F9">
            <w:pPr>
              <w:rPr>
                <w:rFonts w:ascii="Calibri" w:hAnsi="Calibri"/>
                <w:i/>
                <w:iCs/>
                <w:noProof/>
                <w:color w:val="000000"/>
                <w:sz w:val="20"/>
                <w:szCs w:val="20"/>
              </w:rPr>
            </w:pPr>
            <w:r w:rsidRPr="008676F9">
              <w:rPr>
                <w:rFonts w:ascii="Calibri" w:hAnsi="Calibri"/>
                <w:i/>
                <w:iCs/>
                <w:noProof/>
                <w:color w:val="000000"/>
                <w:sz w:val="20"/>
                <w:szCs w:val="20"/>
              </w:rPr>
              <w:t>Pityogenes chalcographus</w:t>
            </w:r>
          </w:p>
        </w:tc>
        <w:tc>
          <w:tcPr>
            <w:tcW w:w="1403" w:type="dxa"/>
            <w:tcBorders>
              <w:top w:val="nil"/>
              <w:left w:val="nil"/>
              <w:bottom w:val="single" w:sz="8" w:space="0" w:color="auto"/>
              <w:right w:val="single" w:sz="8" w:space="0" w:color="auto"/>
            </w:tcBorders>
            <w:shd w:val="clear" w:color="auto" w:fill="auto"/>
            <w:vAlign w:val="center"/>
            <w:hideMark/>
          </w:tcPr>
          <w:p w:rsidR="008676F9" w:rsidRPr="008676F9" w:rsidRDefault="008676F9" w:rsidP="008676F9">
            <w:pPr>
              <w:rPr>
                <w:rFonts w:ascii="Calibri" w:hAnsi="Calibri"/>
                <w:i/>
                <w:iCs/>
                <w:noProof/>
                <w:color w:val="000000"/>
                <w:sz w:val="20"/>
                <w:szCs w:val="20"/>
              </w:rPr>
            </w:pPr>
            <w:r w:rsidRPr="008676F9">
              <w:rPr>
                <w:rFonts w:ascii="Calibri" w:hAnsi="Calibri"/>
                <w:i/>
                <w:iCs/>
                <w:noProof/>
                <w:color w:val="000000"/>
                <w:sz w:val="20"/>
                <w:szCs w:val="20"/>
              </w:rPr>
              <w:t>Ips sexdentatus</w:t>
            </w:r>
          </w:p>
        </w:tc>
        <w:tc>
          <w:tcPr>
            <w:tcW w:w="1785" w:type="dxa"/>
            <w:tcBorders>
              <w:top w:val="nil"/>
              <w:left w:val="nil"/>
              <w:bottom w:val="single" w:sz="8" w:space="0" w:color="auto"/>
              <w:right w:val="single" w:sz="8" w:space="0" w:color="auto"/>
            </w:tcBorders>
            <w:shd w:val="clear" w:color="auto" w:fill="auto"/>
            <w:vAlign w:val="center"/>
            <w:hideMark/>
          </w:tcPr>
          <w:p w:rsidR="008676F9" w:rsidRPr="008676F9" w:rsidRDefault="008676F9" w:rsidP="008676F9">
            <w:pPr>
              <w:rPr>
                <w:rFonts w:ascii="Calibri" w:hAnsi="Calibri"/>
                <w:i/>
                <w:iCs/>
                <w:noProof/>
                <w:color w:val="000000"/>
                <w:sz w:val="20"/>
                <w:szCs w:val="20"/>
              </w:rPr>
            </w:pPr>
            <w:r w:rsidRPr="008676F9">
              <w:rPr>
                <w:rFonts w:ascii="Calibri" w:hAnsi="Calibri"/>
                <w:i/>
                <w:iCs/>
                <w:noProof/>
                <w:color w:val="000000"/>
                <w:sz w:val="20"/>
                <w:szCs w:val="20"/>
              </w:rPr>
              <w:t>Scolytus intricatus</w:t>
            </w:r>
          </w:p>
        </w:tc>
        <w:tc>
          <w:tcPr>
            <w:tcW w:w="1599" w:type="dxa"/>
            <w:vMerge/>
            <w:tcBorders>
              <w:left w:val="nil"/>
              <w:bottom w:val="single" w:sz="8" w:space="0" w:color="auto"/>
              <w:right w:val="single" w:sz="8" w:space="0" w:color="auto"/>
            </w:tcBorders>
            <w:shd w:val="clear" w:color="auto" w:fill="auto"/>
            <w:vAlign w:val="center"/>
            <w:hideMark/>
          </w:tcPr>
          <w:p w:rsidR="008676F9" w:rsidRPr="008676F9" w:rsidRDefault="008676F9" w:rsidP="008676F9">
            <w:pPr>
              <w:rPr>
                <w:rFonts w:ascii="Calibri" w:hAnsi="Calibri"/>
                <w:noProof/>
                <w:color w:val="000000"/>
                <w:szCs w:val="22"/>
              </w:rPr>
            </w:pPr>
          </w:p>
        </w:tc>
      </w:tr>
      <w:tr w:rsidR="008676F9" w:rsidRPr="008676F9" w:rsidTr="00BB33FC">
        <w:trPr>
          <w:trHeight w:val="334"/>
        </w:trPr>
        <w:tc>
          <w:tcPr>
            <w:tcW w:w="1434" w:type="dxa"/>
            <w:tcBorders>
              <w:top w:val="nil"/>
              <w:left w:val="single" w:sz="8" w:space="0" w:color="auto"/>
              <w:bottom w:val="single" w:sz="8" w:space="0" w:color="auto"/>
              <w:right w:val="single" w:sz="8" w:space="0" w:color="auto"/>
            </w:tcBorders>
            <w:shd w:val="clear" w:color="auto" w:fill="auto"/>
            <w:vAlign w:val="center"/>
            <w:hideMark/>
          </w:tcPr>
          <w:p w:rsidR="008676F9" w:rsidRPr="008676F9" w:rsidRDefault="008676F9" w:rsidP="008676F9">
            <w:pPr>
              <w:rPr>
                <w:rFonts w:ascii="Calibri" w:hAnsi="Calibri"/>
                <w:i/>
                <w:iCs/>
                <w:noProof/>
                <w:color w:val="000000"/>
                <w:sz w:val="20"/>
                <w:szCs w:val="20"/>
              </w:rPr>
            </w:pPr>
            <w:r w:rsidRPr="008676F9">
              <w:rPr>
                <w:rFonts w:ascii="Calibri" w:hAnsi="Calibri"/>
                <w:i/>
                <w:iCs/>
                <w:noProof/>
                <w:color w:val="000000"/>
                <w:sz w:val="20"/>
                <w:szCs w:val="20"/>
              </w:rPr>
              <w:t>Sacchiphantes viridis</w:t>
            </w:r>
          </w:p>
        </w:tc>
        <w:tc>
          <w:tcPr>
            <w:tcW w:w="1346" w:type="dxa"/>
            <w:tcBorders>
              <w:top w:val="nil"/>
              <w:left w:val="nil"/>
              <w:bottom w:val="single" w:sz="8" w:space="0" w:color="auto"/>
              <w:right w:val="single" w:sz="8" w:space="0" w:color="auto"/>
            </w:tcBorders>
            <w:shd w:val="clear" w:color="auto" w:fill="auto"/>
            <w:vAlign w:val="center"/>
            <w:hideMark/>
          </w:tcPr>
          <w:p w:rsidR="008676F9" w:rsidRPr="008676F9" w:rsidRDefault="008676F9" w:rsidP="008676F9">
            <w:pPr>
              <w:rPr>
                <w:rFonts w:ascii="Calibri" w:hAnsi="Calibri"/>
                <w:noProof/>
                <w:color w:val="000000"/>
                <w:sz w:val="20"/>
                <w:szCs w:val="20"/>
              </w:rPr>
            </w:pPr>
            <w:r w:rsidRPr="008676F9">
              <w:rPr>
                <w:rFonts w:ascii="Calibri" w:hAnsi="Calibri"/>
                <w:noProof/>
                <w:color w:val="000000"/>
                <w:sz w:val="20"/>
                <w:szCs w:val="20"/>
              </w:rPr>
              <w:t> </w:t>
            </w:r>
          </w:p>
        </w:tc>
        <w:tc>
          <w:tcPr>
            <w:tcW w:w="1442" w:type="dxa"/>
            <w:tcBorders>
              <w:top w:val="nil"/>
              <w:left w:val="nil"/>
              <w:bottom w:val="single" w:sz="8" w:space="0" w:color="auto"/>
              <w:right w:val="single" w:sz="8" w:space="0" w:color="auto"/>
            </w:tcBorders>
            <w:shd w:val="clear" w:color="auto" w:fill="auto"/>
            <w:vAlign w:val="center"/>
            <w:hideMark/>
          </w:tcPr>
          <w:p w:rsidR="008676F9" w:rsidRPr="008676F9" w:rsidRDefault="008676F9" w:rsidP="008676F9">
            <w:pPr>
              <w:rPr>
                <w:rFonts w:ascii="Calibri" w:hAnsi="Calibri"/>
                <w:i/>
                <w:iCs/>
                <w:noProof/>
                <w:color w:val="000000"/>
                <w:sz w:val="20"/>
                <w:szCs w:val="20"/>
              </w:rPr>
            </w:pPr>
            <w:r w:rsidRPr="008676F9">
              <w:rPr>
                <w:rFonts w:ascii="Calibri" w:hAnsi="Calibri"/>
                <w:i/>
                <w:iCs/>
                <w:noProof/>
                <w:color w:val="000000"/>
                <w:sz w:val="20"/>
                <w:szCs w:val="20"/>
              </w:rPr>
              <w:t>Ips duplicatus</w:t>
            </w:r>
          </w:p>
        </w:tc>
        <w:tc>
          <w:tcPr>
            <w:tcW w:w="1403" w:type="dxa"/>
            <w:tcBorders>
              <w:top w:val="nil"/>
              <w:left w:val="nil"/>
              <w:bottom w:val="single" w:sz="8" w:space="0" w:color="auto"/>
              <w:right w:val="single" w:sz="8" w:space="0" w:color="auto"/>
            </w:tcBorders>
            <w:shd w:val="clear" w:color="auto" w:fill="auto"/>
            <w:vAlign w:val="center"/>
            <w:hideMark/>
          </w:tcPr>
          <w:p w:rsidR="008676F9" w:rsidRPr="008676F9" w:rsidRDefault="008676F9" w:rsidP="008676F9">
            <w:pPr>
              <w:rPr>
                <w:rFonts w:ascii="Calibri" w:hAnsi="Calibri"/>
                <w:i/>
                <w:iCs/>
                <w:noProof/>
                <w:color w:val="000000"/>
                <w:sz w:val="20"/>
                <w:szCs w:val="20"/>
              </w:rPr>
            </w:pPr>
            <w:r w:rsidRPr="008676F9">
              <w:rPr>
                <w:rFonts w:ascii="Calibri" w:hAnsi="Calibri"/>
                <w:i/>
                <w:iCs/>
                <w:noProof/>
                <w:color w:val="000000"/>
                <w:sz w:val="20"/>
                <w:szCs w:val="20"/>
              </w:rPr>
              <w:t>Tomicus spp.</w:t>
            </w:r>
          </w:p>
        </w:tc>
        <w:tc>
          <w:tcPr>
            <w:tcW w:w="1785" w:type="dxa"/>
            <w:tcBorders>
              <w:top w:val="nil"/>
              <w:left w:val="nil"/>
              <w:bottom w:val="single" w:sz="8" w:space="0" w:color="auto"/>
              <w:right w:val="single" w:sz="8" w:space="0" w:color="auto"/>
            </w:tcBorders>
            <w:shd w:val="clear" w:color="auto" w:fill="auto"/>
            <w:vAlign w:val="center"/>
            <w:hideMark/>
          </w:tcPr>
          <w:p w:rsidR="008676F9" w:rsidRPr="008676F9" w:rsidRDefault="008676F9" w:rsidP="008676F9">
            <w:pPr>
              <w:rPr>
                <w:rFonts w:ascii="Calibri" w:hAnsi="Calibri"/>
                <w:noProof/>
                <w:color w:val="000000"/>
                <w:sz w:val="20"/>
                <w:szCs w:val="20"/>
              </w:rPr>
            </w:pPr>
            <w:r w:rsidRPr="008676F9">
              <w:rPr>
                <w:rFonts w:ascii="Calibri" w:hAnsi="Calibri"/>
                <w:noProof/>
                <w:color w:val="000000"/>
                <w:sz w:val="20"/>
                <w:szCs w:val="20"/>
              </w:rPr>
              <w:t> </w:t>
            </w:r>
          </w:p>
        </w:tc>
        <w:tc>
          <w:tcPr>
            <w:tcW w:w="1599" w:type="dxa"/>
            <w:tcBorders>
              <w:top w:val="nil"/>
              <w:left w:val="nil"/>
              <w:bottom w:val="single" w:sz="8" w:space="0" w:color="auto"/>
              <w:right w:val="single" w:sz="8" w:space="0" w:color="auto"/>
            </w:tcBorders>
            <w:shd w:val="clear" w:color="auto" w:fill="auto"/>
            <w:vAlign w:val="center"/>
            <w:hideMark/>
          </w:tcPr>
          <w:p w:rsidR="008676F9" w:rsidRPr="008676F9" w:rsidRDefault="008676F9" w:rsidP="008676F9">
            <w:pPr>
              <w:rPr>
                <w:rFonts w:ascii="Calibri" w:hAnsi="Calibri"/>
                <w:noProof/>
                <w:color w:val="000000"/>
                <w:szCs w:val="22"/>
              </w:rPr>
            </w:pPr>
            <w:r w:rsidRPr="008676F9">
              <w:rPr>
                <w:rFonts w:ascii="Calibri" w:hAnsi="Calibri"/>
                <w:noProof/>
                <w:color w:val="000000"/>
                <w:szCs w:val="22"/>
              </w:rPr>
              <w:t> </w:t>
            </w:r>
          </w:p>
        </w:tc>
      </w:tr>
      <w:tr w:rsidR="008676F9" w:rsidRPr="008676F9" w:rsidTr="00BB33FC">
        <w:trPr>
          <w:trHeight w:val="384"/>
        </w:trPr>
        <w:tc>
          <w:tcPr>
            <w:tcW w:w="1434" w:type="dxa"/>
            <w:tcBorders>
              <w:top w:val="nil"/>
              <w:left w:val="single" w:sz="8" w:space="0" w:color="auto"/>
              <w:bottom w:val="single" w:sz="8" w:space="0" w:color="auto"/>
              <w:right w:val="single" w:sz="8" w:space="0" w:color="auto"/>
            </w:tcBorders>
            <w:shd w:val="clear" w:color="auto" w:fill="auto"/>
            <w:vAlign w:val="center"/>
            <w:hideMark/>
          </w:tcPr>
          <w:p w:rsidR="008676F9" w:rsidRPr="008676F9" w:rsidRDefault="008676F9" w:rsidP="008676F9">
            <w:pPr>
              <w:rPr>
                <w:rFonts w:ascii="Calibri" w:hAnsi="Calibri"/>
                <w:i/>
                <w:iCs/>
                <w:noProof/>
                <w:color w:val="000000"/>
                <w:sz w:val="20"/>
                <w:szCs w:val="20"/>
              </w:rPr>
            </w:pPr>
            <w:r w:rsidRPr="008676F9">
              <w:rPr>
                <w:rFonts w:ascii="Calibri" w:hAnsi="Calibri"/>
                <w:i/>
                <w:iCs/>
                <w:noProof/>
                <w:color w:val="000000"/>
                <w:sz w:val="20"/>
                <w:szCs w:val="20"/>
              </w:rPr>
              <w:t>Dreyphusia nordmannianae</w:t>
            </w:r>
          </w:p>
        </w:tc>
        <w:tc>
          <w:tcPr>
            <w:tcW w:w="1346" w:type="dxa"/>
            <w:tcBorders>
              <w:top w:val="nil"/>
              <w:left w:val="nil"/>
              <w:bottom w:val="single" w:sz="8" w:space="0" w:color="auto"/>
              <w:right w:val="single" w:sz="8" w:space="0" w:color="auto"/>
            </w:tcBorders>
            <w:shd w:val="clear" w:color="auto" w:fill="auto"/>
            <w:vAlign w:val="center"/>
            <w:hideMark/>
          </w:tcPr>
          <w:p w:rsidR="008676F9" w:rsidRPr="008676F9" w:rsidRDefault="008676F9" w:rsidP="008676F9">
            <w:pPr>
              <w:rPr>
                <w:rFonts w:ascii="Calibri" w:hAnsi="Calibri"/>
                <w:noProof/>
                <w:color w:val="000000"/>
                <w:sz w:val="20"/>
                <w:szCs w:val="20"/>
              </w:rPr>
            </w:pPr>
            <w:r w:rsidRPr="008676F9">
              <w:rPr>
                <w:rFonts w:ascii="Calibri" w:hAnsi="Calibri"/>
                <w:noProof/>
                <w:color w:val="000000"/>
                <w:sz w:val="20"/>
                <w:szCs w:val="20"/>
              </w:rPr>
              <w:t> </w:t>
            </w:r>
          </w:p>
        </w:tc>
        <w:tc>
          <w:tcPr>
            <w:tcW w:w="1442" w:type="dxa"/>
            <w:tcBorders>
              <w:top w:val="nil"/>
              <w:left w:val="nil"/>
              <w:bottom w:val="single" w:sz="8" w:space="0" w:color="auto"/>
              <w:right w:val="single" w:sz="8" w:space="0" w:color="auto"/>
            </w:tcBorders>
            <w:shd w:val="clear" w:color="auto" w:fill="auto"/>
            <w:vAlign w:val="center"/>
            <w:hideMark/>
          </w:tcPr>
          <w:p w:rsidR="008676F9" w:rsidRPr="008676F9" w:rsidRDefault="008676F9" w:rsidP="008676F9">
            <w:pPr>
              <w:rPr>
                <w:rFonts w:ascii="Calibri" w:hAnsi="Calibri"/>
                <w:i/>
                <w:iCs/>
                <w:noProof/>
                <w:color w:val="000000"/>
                <w:sz w:val="20"/>
                <w:szCs w:val="20"/>
              </w:rPr>
            </w:pPr>
            <w:r w:rsidRPr="008676F9">
              <w:rPr>
                <w:rFonts w:ascii="Calibri" w:hAnsi="Calibri"/>
                <w:i/>
                <w:iCs/>
                <w:noProof/>
                <w:color w:val="000000"/>
                <w:sz w:val="20"/>
                <w:szCs w:val="20"/>
              </w:rPr>
              <w:t>Ips amitinus</w:t>
            </w:r>
          </w:p>
        </w:tc>
        <w:tc>
          <w:tcPr>
            <w:tcW w:w="1403" w:type="dxa"/>
            <w:tcBorders>
              <w:top w:val="nil"/>
              <w:left w:val="nil"/>
              <w:bottom w:val="single" w:sz="8" w:space="0" w:color="auto"/>
              <w:right w:val="single" w:sz="8" w:space="0" w:color="auto"/>
            </w:tcBorders>
            <w:shd w:val="clear" w:color="auto" w:fill="auto"/>
            <w:vAlign w:val="center"/>
            <w:hideMark/>
          </w:tcPr>
          <w:p w:rsidR="008676F9" w:rsidRPr="008676F9" w:rsidRDefault="008676F9" w:rsidP="008676F9">
            <w:pPr>
              <w:rPr>
                <w:rFonts w:ascii="Calibri" w:hAnsi="Calibri"/>
                <w:i/>
                <w:iCs/>
                <w:noProof/>
                <w:color w:val="000000"/>
                <w:sz w:val="20"/>
                <w:szCs w:val="20"/>
              </w:rPr>
            </w:pPr>
            <w:r w:rsidRPr="008676F9">
              <w:rPr>
                <w:rFonts w:ascii="Calibri" w:hAnsi="Calibri"/>
                <w:i/>
                <w:iCs/>
                <w:noProof/>
                <w:color w:val="000000"/>
                <w:sz w:val="20"/>
                <w:szCs w:val="20"/>
              </w:rPr>
              <w:t>Phaenops cyanea</w:t>
            </w:r>
          </w:p>
        </w:tc>
        <w:tc>
          <w:tcPr>
            <w:tcW w:w="1785" w:type="dxa"/>
            <w:tcBorders>
              <w:top w:val="nil"/>
              <w:left w:val="nil"/>
              <w:bottom w:val="single" w:sz="8" w:space="0" w:color="auto"/>
              <w:right w:val="single" w:sz="8" w:space="0" w:color="auto"/>
            </w:tcBorders>
            <w:shd w:val="clear" w:color="auto" w:fill="auto"/>
            <w:vAlign w:val="center"/>
            <w:hideMark/>
          </w:tcPr>
          <w:p w:rsidR="008676F9" w:rsidRPr="008676F9" w:rsidRDefault="008676F9" w:rsidP="008676F9">
            <w:pPr>
              <w:rPr>
                <w:rFonts w:ascii="Calibri" w:hAnsi="Calibri"/>
                <w:noProof/>
                <w:color w:val="000000"/>
                <w:sz w:val="20"/>
                <w:szCs w:val="20"/>
              </w:rPr>
            </w:pPr>
            <w:r w:rsidRPr="008676F9">
              <w:rPr>
                <w:rFonts w:ascii="Calibri" w:hAnsi="Calibri"/>
                <w:noProof/>
                <w:color w:val="000000"/>
                <w:sz w:val="20"/>
                <w:szCs w:val="20"/>
              </w:rPr>
              <w:t> </w:t>
            </w:r>
          </w:p>
        </w:tc>
        <w:tc>
          <w:tcPr>
            <w:tcW w:w="1599" w:type="dxa"/>
            <w:tcBorders>
              <w:top w:val="nil"/>
              <w:left w:val="nil"/>
              <w:bottom w:val="single" w:sz="8" w:space="0" w:color="auto"/>
              <w:right w:val="single" w:sz="8" w:space="0" w:color="auto"/>
            </w:tcBorders>
            <w:shd w:val="clear" w:color="auto" w:fill="auto"/>
            <w:vAlign w:val="center"/>
            <w:hideMark/>
          </w:tcPr>
          <w:p w:rsidR="008676F9" w:rsidRPr="008676F9" w:rsidRDefault="008676F9" w:rsidP="008676F9">
            <w:pPr>
              <w:rPr>
                <w:rFonts w:ascii="Calibri" w:hAnsi="Calibri"/>
                <w:noProof/>
                <w:color w:val="000000"/>
                <w:szCs w:val="22"/>
              </w:rPr>
            </w:pPr>
            <w:r w:rsidRPr="008676F9">
              <w:rPr>
                <w:rFonts w:ascii="Calibri" w:hAnsi="Calibri"/>
                <w:noProof/>
                <w:color w:val="000000"/>
                <w:szCs w:val="22"/>
              </w:rPr>
              <w:t> </w:t>
            </w:r>
          </w:p>
        </w:tc>
      </w:tr>
      <w:tr w:rsidR="008676F9" w:rsidRPr="008676F9" w:rsidTr="00BB33FC">
        <w:trPr>
          <w:trHeight w:val="315"/>
        </w:trPr>
        <w:tc>
          <w:tcPr>
            <w:tcW w:w="1434" w:type="dxa"/>
            <w:tcBorders>
              <w:top w:val="nil"/>
              <w:left w:val="single" w:sz="8" w:space="0" w:color="auto"/>
              <w:bottom w:val="single" w:sz="8" w:space="0" w:color="auto"/>
              <w:right w:val="single" w:sz="8" w:space="0" w:color="auto"/>
            </w:tcBorders>
            <w:shd w:val="clear" w:color="auto" w:fill="auto"/>
            <w:vAlign w:val="center"/>
            <w:hideMark/>
          </w:tcPr>
          <w:p w:rsidR="008676F9" w:rsidRPr="008676F9" w:rsidRDefault="008676F9" w:rsidP="008676F9">
            <w:pPr>
              <w:rPr>
                <w:rFonts w:ascii="Calibri" w:hAnsi="Calibri"/>
                <w:noProof/>
                <w:color w:val="000000"/>
                <w:sz w:val="20"/>
                <w:szCs w:val="20"/>
              </w:rPr>
            </w:pPr>
            <w:r w:rsidRPr="008676F9">
              <w:rPr>
                <w:rFonts w:ascii="Calibri" w:hAnsi="Calibri"/>
                <w:noProof/>
                <w:color w:val="000000"/>
                <w:sz w:val="20"/>
                <w:szCs w:val="20"/>
              </w:rPr>
              <w:t> </w:t>
            </w:r>
          </w:p>
        </w:tc>
        <w:tc>
          <w:tcPr>
            <w:tcW w:w="1346" w:type="dxa"/>
            <w:tcBorders>
              <w:top w:val="nil"/>
              <w:left w:val="nil"/>
              <w:bottom w:val="single" w:sz="8" w:space="0" w:color="auto"/>
              <w:right w:val="single" w:sz="8" w:space="0" w:color="auto"/>
            </w:tcBorders>
            <w:shd w:val="clear" w:color="auto" w:fill="auto"/>
            <w:vAlign w:val="center"/>
            <w:hideMark/>
          </w:tcPr>
          <w:p w:rsidR="008676F9" w:rsidRPr="008676F9" w:rsidRDefault="008676F9" w:rsidP="008676F9">
            <w:pPr>
              <w:rPr>
                <w:rFonts w:ascii="Calibri" w:hAnsi="Calibri"/>
                <w:noProof/>
                <w:color w:val="000000"/>
                <w:sz w:val="20"/>
                <w:szCs w:val="20"/>
              </w:rPr>
            </w:pPr>
            <w:r w:rsidRPr="008676F9">
              <w:rPr>
                <w:rFonts w:ascii="Calibri" w:hAnsi="Calibri"/>
                <w:noProof/>
                <w:color w:val="000000"/>
                <w:sz w:val="20"/>
                <w:szCs w:val="20"/>
              </w:rPr>
              <w:t> </w:t>
            </w:r>
          </w:p>
        </w:tc>
        <w:tc>
          <w:tcPr>
            <w:tcW w:w="1442" w:type="dxa"/>
            <w:tcBorders>
              <w:top w:val="nil"/>
              <w:left w:val="nil"/>
              <w:bottom w:val="single" w:sz="8" w:space="0" w:color="auto"/>
              <w:right w:val="single" w:sz="8" w:space="0" w:color="auto"/>
            </w:tcBorders>
            <w:shd w:val="clear" w:color="auto" w:fill="auto"/>
            <w:vAlign w:val="center"/>
            <w:hideMark/>
          </w:tcPr>
          <w:p w:rsidR="008676F9" w:rsidRPr="008676F9" w:rsidRDefault="008676F9" w:rsidP="008676F9">
            <w:pPr>
              <w:rPr>
                <w:rFonts w:ascii="Calibri" w:hAnsi="Calibri"/>
                <w:i/>
                <w:iCs/>
                <w:noProof/>
                <w:color w:val="000000"/>
                <w:sz w:val="20"/>
                <w:szCs w:val="20"/>
              </w:rPr>
            </w:pPr>
            <w:r w:rsidRPr="008676F9">
              <w:rPr>
                <w:rFonts w:ascii="Calibri" w:hAnsi="Calibri"/>
                <w:i/>
                <w:iCs/>
                <w:noProof/>
                <w:color w:val="000000"/>
                <w:sz w:val="20"/>
                <w:szCs w:val="20"/>
              </w:rPr>
              <w:t>Ips accuminatus</w:t>
            </w:r>
          </w:p>
        </w:tc>
        <w:tc>
          <w:tcPr>
            <w:tcW w:w="1403" w:type="dxa"/>
            <w:tcBorders>
              <w:top w:val="nil"/>
              <w:left w:val="nil"/>
              <w:bottom w:val="single" w:sz="8" w:space="0" w:color="auto"/>
              <w:right w:val="single" w:sz="8" w:space="0" w:color="auto"/>
            </w:tcBorders>
            <w:shd w:val="clear" w:color="auto" w:fill="auto"/>
            <w:vAlign w:val="center"/>
            <w:hideMark/>
          </w:tcPr>
          <w:p w:rsidR="008676F9" w:rsidRPr="008676F9" w:rsidRDefault="008676F9" w:rsidP="008676F9">
            <w:pPr>
              <w:rPr>
                <w:rFonts w:ascii="Calibri" w:hAnsi="Calibri"/>
                <w:noProof/>
                <w:color w:val="000000"/>
                <w:sz w:val="20"/>
                <w:szCs w:val="20"/>
              </w:rPr>
            </w:pPr>
            <w:r w:rsidRPr="008676F9">
              <w:rPr>
                <w:rFonts w:ascii="Calibri" w:hAnsi="Calibri"/>
                <w:noProof/>
                <w:color w:val="000000"/>
                <w:sz w:val="20"/>
                <w:szCs w:val="20"/>
              </w:rPr>
              <w:t> </w:t>
            </w:r>
          </w:p>
        </w:tc>
        <w:tc>
          <w:tcPr>
            <w:tcW w:w="1785" w:type="dxa"/>
            <w:tcBorders>
              <w:top w:val="nil"/>
              <w:left w:val="nil"/>
              <w:bottom w:val="single" w:sz="8" w:space="0" w:color="auto"/>
              <w:right w:val="single" w:sz="8" w:space="0" w:color="auto"/>
            </w:tcBorders>
            <w:shd w:val="clear" w:color="auto" w:fill="auto"/>
            <w:vAlign w:val="center"/>
            <w:hideMark/>
          </w:tcPr>
          <w:p w:rsidR="008676F9" w:rsidRPr="008676F9" w:rsidRDefault="008676F9" w:rsidP="008676F9">
            <w:pPr>
              <w:rPr>
                <w:rFonts w:ascii="Calibri" w:hAnsi="Calibri"/>
                <w:noProof/>
                <w:color w:val="000000"/>
                <w:sz w:val="20"/>
                <w:szCs w:val="20"/>
              </w:rPr>
            </w:pPr>
            <w:r w:rsidRPr="008676F9">
              <w:rPr>
                <w:rFonts w:ascii="Calibri" w:hAnsi="Calibri"/>
                <w:noProof/>
                <w:color w:val="000000"/>
                <w:sz w:val="20"/>
                <w:szCs w:val="20"/>
              </w:rPr>
              <w:t> </w:t>
            </w:r>
          </w:p>
        </w:tc>
        <w:tc>
          <w:tcPr>
            <w:tcW w:w="1599" w:type="dxa"/>
            <w:tcBorders>
              <w:top w:val="nil"/>
              <w:left w:val="nil"/>
              <w:bottom w:val="single" w:sz="8" w:space="0" w:color="auto"/>
              <w:right w:val="single" w:sz="8" w:space="0" w:color="auto"/>
            </w:tcBorders>
            <w:shd w:val="clear" w:color="auto" w:fill="auto"/>
            <w:vAlign w:val="center"/>
            <w:hideMark/>
          </w:tcPr>
          <w:p w:rsidR="008676F9" w:rsidRPr="008676F9" w:rsidRDefault="008676F9" w:rsidP="008676F9">
            <w:pPr>
              <w:rPr>
                <w:rFonts w:ascii="Calibri" w:hAnsi="Calibri"/>
                <w:noProof/>
                <w:color w:val="000000"/>
                <w:szCs w:val="22"/>
              </w:rPr>
            </w:pPr>
            <w:r w:rsidRPr="008676F9">
              <w:rPr>
                <w:rFonts w:ascii="Calibri" w:hAnsi="Calibri"/>
                <w:noProof/>
                <w:color w:val="000000"/>
                <w:szCs w:val="22"/>
              </w:rPr>
              <w:t> </w:t>
            </w:r>
          </w:p>
        </w:tc>
      </w:tr>
    </w:tbl>
    <w:p w:rsidR="008676F9" w:rsidRPr="008676F9" w:rsidRDefault="008676F9" w:rsidP="008676F9">
      <w:pPr>
        <w:spacing w:line="276" w:lineRule="auto"/>
        <w:rPr>
          <w:rFonts w:ascii="Calibri" w:eastAsia="Calibri" w:hAnsi="Calibri"/>
          <w:szCs w:val="22"/>
          <w:lang w:eastAsia="en-US"/>
        </w:rPr>
      </w:pPr>
    </w:p>
    <w:p w:rsidR="008676F9" w:rsidRPr="008676F9" w:rsidRDefault="008676F9" w:rsidP="008676F9">
      <w:pPr>
        <w:keepNext/>
        <w:spacing w:line="276" w:lineRule="auto"/>
        <w:outlineLvl w:val="1"/>
        <w:rPr>
          <w:rFonts w:ascii="Calibri" w:eastAsia="Calibri" w:hAnsi="Calibri" w:cs="Calibri"/>
          <w:b/>
          <w:bCs/>
          <w:szCs w:val="22"/>
          <w:lang w:eastAsia="en-US"/>
        </w:rPr>
      </w:pPr>
      <w:r w:rsidRPr="008676F9">
        <w:rPr>
          <w:rFonts w:ascii="Calibri" w:eastAsia="Calibri" w:hAnsi="Calibri" w:cs="Calibri"/>
          <w:b/>
          <w:bCs/>
          <w:szCs w:val="22"/>
          <w:lang w:eastAsia="en-US"/>
        </w:rPr>
        <w:t>Klasifikácia lesov s vysokým a stredným stupňom ohrozenia požiarom</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36"/>
        <w:gridCol w:w="4424"/>
      </w:tblGrid>
      <w:tr w:rsidR="008676F9" w:rsidRPr="008676F9" w:rsidTr="00BB33FC">
        <w:tc>
          <w:tcPr>
            <w:tcW w:w="4536" w:type="dxa"/>
            <w:shd w:val="clear" w:color="auto" w:fill="92D050"/>
          </w:tcPr>
          <w:p w:rsidR="008676F9" w:rsidRPr="008676F9" w:rsidRDefault="008676F9" w:rsidP="008676F9">
            <w:pPr>
              <w:autoSpaceDE w:val="0"/>
              <w:autoSpaceDN w:val="0"/>
              <w:adjustRightInd w:val="0"/>
              <w:spacing w:line="276" w:lineRule="auto"/>
              <w:rPr>
                <w:rFonts w:ascii="Calibri" w:eastAsia="Calibri" w:hAnsi="Calibri"/>
                <w:b/>
                <w:noProof/>
                <w:szCs w:val="22"/>
              </w:rPr>
            </w:pPr>
            <w:r w:rsidRPr="008676F9">
              <w:rPr>
                <w:rFonts w:ascii="Calibri" w:eastAsia="Calibri" w:hAnsi="Calibri"/>
                <w:b/>
                <w:noProof/>
                <w:szCs w:val="22"/>
              </w:rPr>
              <w:t>Kategória A</w:t>
            </w:r>
          </w:p>
        </w:tc>
        <w:tc>
          <w:tcPr>
            <w:tcW w:w="4424" w:type="dxa"/>
            <w:shd w:val="clear" w:color="auto" w:fill="92D050"/>
          </w:tcPr>
          <w:p w:rsidR="008676F9" w:rsidRPr="008676F9" w:rsidRDefault="008676F9" w:rsidP="008676F9">
            <w:pPr>
              <w:autoSpaceDE w:val="0"/>
              <w:autoSpaceDN w:val="0"/>
              <w:adjustRightInd w:val="0"/>
              <w:spacing w:line="276" w:lineRule="auto"/>
              <w:rPr>
                <w:rFonts w:ascii="Calibri" w:eastAsia="Calibri" w:hAnsi="Calibri"/>
                <w:b/>
                <w:noProof/>
                <w:szCs w:val="22"/>
              </w:rPr>
            </w:pPr>
            <w:r w:rsidRPr="008676F9">
              <w:rPr>
                <w:rFonts w:ascii="Calibri" w:eastAsia="Calibri" w:hAnsi="Calibri"/>
                <w:b/>
                <w:noProof/>
                <w:szCs w:val="22"/>
              </w:rPr>
              <w:t>Kategória B</w:t>
            </w:r>
          </w:p>
        </w:tc>
      </w:tr>
      <w:tr w:rsidR="008676F9" w:rsidRPr="008676F9" w:rsidTr="00BB33FC">
        <w:tc>
          <w:tcPr>
            <w:tcW w:w="4536" w:type="dxa"/>
            <w:shd w:val="clear" w:color="auto" w:fill="FFFF00"/>
          </w:tcPr>
          <w:p w:rsidR="008676F9" w:rsidRPr="008676F9" w:rsidRDefault="008676F9" w:rsidP="008676F9">
            <w:pPr>
              <w:autoSpaceDE w:val="0"/>
              <w:autoSpaceDN w:val="0"/>
              <w:adjustRightInd w:val="0"/>
              <w:rPr>
                <w:rFonts w:ascii="Calibri" w:eastAsia="Calibri" w:hAnsi="Calibri"/>
                <w:b/>
                <w:noProof/>
                <w:sz w:val="20"/>
                <w:szCs w:val="20"/>
              </w:rPr>
            </w:pPr>
            <w:r w:rsidRPr="008676F9">
              <w:rPr>
                <w:rFonts w:ascii="Calibri" w:eastAsia="Calibri" w:hAnsi="Calibri"/>
                <w:b/>
                <w:noProof/>
                <w:sz w:val="20"/>
                <w:szCs w:val="20"/>
              </w:rPr>
              <w:t>Lesy s vysokým stupňom ohrozenia požiarom</w:t>
            </w:r>
          </w:p>
        </w:tc>
        <w:tc>
          <w:tcPr>
            <w:tcW w:w="4424" w:type="dxa"/>
            <w:shd w:val="clear" w:color="auto" w:fill="FFFF00"/>
          </w:tcPr>
          <w:p w:rsidR="008676F9" w:rsidRPr="008676F9" w:rsidRDefault="008676F9" w:rsidP="008676F9">
            <w:pPr>
              <w:autoSpaceDE w:val="0"/>
              <w:autoSpaceDN w:val="0"/>
              <w:adjustRightInd w:val="0"/>
              <w:rPr>
                <w:rFonts w:ascii="Calibri" w:eastAsia="Calibri" w:hAnsi="Calibri"/>
                <w:b/>
                <w:noProof/>
                <w:sz w:val="20"/>
                <w:szCs w:val="20"/>
              </w:rPr>
            </w:pPr>
            <w:r w:rsidRPr="008676F9">
              <w:rPr>
                <w:rFonts w:ascii="Calibri" w:eastAsia="Calibri" w:hAnsi="Calibri"/>
                <w:b/>
                <w:noProof/>
                <w:sz w:val="20"/>
                <w:szCs w:val="20"/>
              </w:rPr>
              <w:t>Lesy so stredným stupňom ohrozenia požiarom</w:t>
            </w:r>
          </w:p>
        </w:tc>
      </w:tr>
      <w:tr w:rsidR="008676F9" w:rsidRPr="008676F9" w:rsidTr="00BB33FC">
        <w:tc>
          <w:tcPr>
            <w:tcW w:w="4536" w:type="dxa"/>
          </w:tcPr>
          <w:p w:rsidR="008676F9" w:rsidRPr="008676F9" w:rsidRDefault="008676F9" w:rsidP="008676F9">
            <w:pPr>
              <w:autoSpaceDE w:val="0"/>
              <w:autoSpaceDN w:val="0"/>
              <w:adjustRightInd w:val="0"/>
              <w:rPr>
                <w:rFonts w:ascii="Calibri" w:eastAsia="Calibri" w:hAnsi="Calibri"/>
                <w:noProof/>
                <w:sz w:val="20"/>
                <w:szCs w:val="20"/>
              </w:rPr>
            </w:pPr>
            <w:r w:rsidRPr="008676F9">
              <w:rPr>
                <w:rFonts w:ascii="Calibri" w:eastAsia="Calibri" w:hAnsi="Calibri"/>
                <w:noProof/>
                <w:sz w:val="20"/>
                <w:szCs w:val="20"/>
              </w:rPr>
              <w:t>01A Borská nížina</w:t>
            </w:r>
          </w:p>
        </w:tc>
        <w:tc>
          <w:tcPr>
            <w:tcW w:w="4424" w:type="dxa"/>
          </w:tcPr>
          <w:p w:rsidR="008676F9" w:rsidRPr="008676F9" w:rsidRDefault="008676F9" w:rsidP="008676F9">
            <w:pPr>
              <w:autoSpaceDE w:val="0"/>
              <w:autoSpaceDN w:val="0"/>
              <w:adjustRightInd w:val="0"/>
              <w:rPr>
                <w:rFonts w:ascii="Calibri" w:eastAsia="Calibri" w:hAnsi="Calibri"/>
                <w:noProof/>
                <w:sz w:val="20"/>
                <w:szCs w:val="20"/>
              </w:rPr>
            </w:pPr>
            <w:r w:rsidRPr="008676F9">
              <w:rPr>
                <w:rFonts w:ascii="Calibri" w:eastAsia="Calibri" w:hAnsi="Calibri"/>
                <w:noProof/>
                <w:sz w:val="20"/>
                <w:szCs w:val="20"/>
              </w:rPr>
              <w:t>05 Považský Inovec</w:t>
            </w:r>
          </w:p>
        </w:tc>
      </w:tr>
      <w:tr w:rsidR="008676F9" w:rsidRPr="008676F9" w:rsidTr="00BB33FC">
        <w:tc>
          <w:tcPr>
            <w:tcW w:w="4536" w:type="dxa"/>
          </w:tcPr>
          <w:p w:rsidR="008676F9" w:rsidRPr="008676F9" w:rsidRDefault="008676F9" w:rsidP="008676F9">
            <w:pPr>
              <w:autoSpaceDE w:val="0"/>
              <w:autoSpaceDN w:val="0"/>
              <w:adjustRightInd w:val="0"/>
              <w:rPr>
                <w:rFonts w:ascii="Calibri" w:eastAsia="Calibri" w:hAnsi="Calibri"/>
                <w:noProof/>
                <w:sz w:val="20"/>
                <w:szCs w:val="20"/>
              </w:rPr>
            </w:pPr>
            <w:r w:rsidRPr="008676F9">
              <w:rPr>
                <w:rFonts w:ascii="Calibri" w:eastAsia="Calibri" w:hAnsi="Calibri"/>
                <w:noProof/>
                <w:sz w:val="20"/>
                <w:szCs w:val="20"/>
              </w:rPr>
              <w:t>01B Chvojnícka pahorkatina</w:t>
            </w:r>
          </w:p>
        </w:tc>
        <w:tc>
          <w:tcPr>
            <w:tcW w:w="4424" w:type="dxa"/>
          </w:tcPr>
          <w:p w:rsidR="008676F9" w:rsidRPr="008676F9" w:rsidRDefault="008676F9" w:rsidP="008676F9">
            <w:pPr>
              <w:autoSpaceDE w:val="0"/>
              <w:autoSpaceDN w:val="0"/>
              <w:adjustRightInd w:val="0"/>
              <w:rPr>
                <w:rFonts w:ascii="Calibri" w:eastAsia="Calibri" w:hAnsi="Calibri"/>
                <w:noProof/>
                <w:sz w:val="20"/>
                <w:szCs w:val="20"/>
              </w:rPr>
            </w:pPr>
            <w:r w:rsidRPr="008676F9">
              <w:rPr>
                <w:rFonts w:ascii="Calibri" w:eastAsia="Calibri" w:hAnsi="Calibri"/>
                <w:noProof/>
                <w:sz w:val="20"/>
                <w:szCs w:val="20"/>
              </w:rPr>
              <w:t>07 Tríbeč</w:t>
            </w:r>
          </w:p>
        </w:tc>
      </w:tr>
      <w:tr w:rsidR="008676F9" w:rsidRPr="008676F9" w:rsidTr="00BB33FC">
        <w:tc>
          <w:tcPr>
            <w:tcW w:w="4536" w:type="dxa"/>
          </w:tcPr>
          <w:p w:rsidR="008676F9" w:rsidRPr="008676F9" w:rsidRDefault="008676F9" w:rsidP="008676F9">
            <w:pPr>
              <w:autoSpaceDE w:val="0"/>
              <w:autoSpaceDN w:val="0"/>
              <w:adjustRightInd w:val="0"/>
              <w:rPr>
                <w:rFonts w:ascii="Calibri" w:eastAsia="Calibri" w:hAnsi="Calibri"/>
                <w:noProof/>
                <w:sz w:val="20"/>
                <w:szCs w:val="20"/>
              </w:rPr>
            </w:pPr>
            <w:r w:rsidRPr="008676F9">
              <w:rPr>
                <w:rFonts w:ascii="Calibri" w:eastAsia="Calibri" w:hAnsi="Calibri"/>
                <w:noProof/>
                <w:sz w:val="20"/>
                <w:szCs w:val="20"/>
              </w:rPr>
              <w:t>18 Revúcka vrchovina, Rožnavská kotlina</w:t>
            </w:r>
          </w:p>
        </w:tc>
        <w:tc>
          <w:tcPr>
            <w:tcW w:w="4424" w:type="dxa"/>
          </w:tcPr>
          <w:p w:rsidR="008676F9" w:rsidRPr="008676F9" w:rsidRDefault="008676F9" w:rsidP="008676F9">
            <w:pPr>
              <w:autoSpaceDE w:val="0"/>
              <w:autoSpaceDN w:val="0"/>
              <w:adjustRightInd w:val="0"/>
              <w:rPr>
                <w:rFonts w:ascii="Calibri" w:eastAsia="Calibri" w:hAnsi="Calibri"/>
                <w:noProof/>
                <w:sz w:val="20"/>
                <w:szCs w:val="20"/>
              </w:rPr>
            </w:pPr>
            <w:r w:rsidRPr="008676F9">
              <w:rPr>
                <w:rFonts w:ascii="Calibri" w:eastAsia="Calibri" w:hAnsi="Calibri"/>
                <w:noProof/>
                <w:sz w:val="20"/>
                <w:szCs w:val="20"/>
              </w:rPr>
              <w:t>08 Žiarska kotlina</w:t>
            </w:r>
          </w:p>
        </w:tc>
      </w:tr>
      <w:tr w:rsidR="008676F9" w:rsidRPr="008676F9" w:rsidTr="00BB33FC">
        <w:tc>
          <w:tcPr>
            <w:tcW w:w="4536" w:type="dxa"/>
          </w:tcPr>
          <w:p w:rsidR="008676F9" w:rsidRPr="008676F9" w:rsidRDefault="008676F9" w:rsidP="008676F9">
            <w:pPr>
              <w:autoSpaceDE w:val="0"/>
              <w:autoSpaceDN w:val="0"/>
              <w:adjustRightInd w:val="0"/>
              <w:rPr>
                <w:rFonts w:ascii="Calibri" w:eastAsia="Calibri" w:hAnsi="Calibri"/>
                <w:noProof/>
                <w:sz w:val="20"/>
                <w:szCs w:val="20"/>
              </w:rPr>
            </w:pPr>
            <w:r w:rsidRPr="008676F9">
              <w:rPr>
                <w:rFonts w:ascii="Calibri" w:eastAsia="Calibri" w:hAnsi="Calibri"/>
                <w:noProof/>
                <w:sz w:val="20"/>
                <w:szCs w:val="20"/>
              </w:rPr>
              <w:t>19 Slovenský kras</w:t>
            </w:r>
          </w:p>
        </w:tc>
        <w:tc>
          <w:tcPr>
            <w:tcW w:w="4424" w:type="dxa"/>
          </w:tcPr>
          <w:p w:rsidR="008676F9" w:rsidRPr="008676F9" w:rsidRDefault="008676F9" w:rsidP="008676F9">
            <w:pPr>
              <w:autoSpaceDE w:val="0"/>
              <w:autoSpaceDN w:val="0"/>
              <w:adjustRightInd w:val="0"/>
              <w:rPr>
                <w:rFonts w:ascii="Calibri" w:eastAsia="Calibri" w:hAnsi="Calibri"/>
                <w:noProof/>
                <w:sz w:val="20"/>
                <w:szCs w:val="20"/>
              </w:rPr>
            </w:pPr>
            <w:r w:rsidRPr="008676F9">
              <w:rPr>
                <w:rFonts w:ascii="Calibri" w:eastAsia="Calibri" w:hAnsi="Calibri"/>
                <w:noProof/>
                <w:sz w:val="20"/>
                <w:szCs w:val="20"/>
              </w:rPr>
              <w:t>09 Krupinská planina, Ostrôžky</w:t>
            </w:r>
          </w:p>
        </w:tc>
      </w:tr>
      <w:tr w:rsidR="008676F9" w:rsidRPr="008676F9" w:rsidTr="00BB33FC">
        <w:tc>
          <w:tcPr>
            <w:tcW w:w="4536" w:type="dxa"/>
          </w:tcPr>
          <w:p w:rsidR="008676F9" w:rsidRPr="008676F9" w:rsidRDefault="008676F9" w:rsidP="008676F9">
            <w:pPr>
              <w:autoSpaceDE w:val="0"/>
              <w:autoSpaceDN w:val="0"/>
              <w:adjustRightInd w:val="0"/>
              <w:rPr>
                <w:rFonts w:ascii="Calibri" w:eastAsia="Calibri" w:hAnsi="Calibri"/>
                <w:noProof/>
                <w:sz w:val="20"/>
                <w:szCs w:val="20"/>
              </w:rPr>
            </w:pPr>
            <w:r w:rsidRPr="008676F9">
              <w:rPr>
                <w:rFonts w:ascii="Calibri" w:eastAsia="Calibri" w:hAnsi="Calibri"/>
                <w:noProof/>
                <w:sz w:val="20"/>
                <w:szCs w:val="20"/>
              </w:rPr>
              <w:t>23 Javorníky</w:t>
            </w:r>
          </w:p>
        </w:tc>
        <w:tc>
          <w:tcPr>
            <w:tcW w:w="4424" w:type="dxa"/>
          </w:tcPr>
          <w:p w:rsidR="008676F9" w:rsidRPr="008676F9" w:rsidRDefault="008676F9" w:rsidP="008676F9">
            <w:pPr>
              <w:autoSpaceDE w:val="0"/>
              <w:autoSpaceDN w:val="0"/>
              <w:adjustRightInd w:val="0"/>
              <w:rPr>
                <w:rFonts w:ascii="Calibri" w:eastAsia="Calibri" w:hAnsi="Calibri"/>
                <w:noProof/>
                <w:sz w:val="20"/>
                <w:szCs w:val="20"/>
              </w:rPr>
            </w:pPr>
            <w:r w:rsidRPr="008676F9">
              <w:rPr>
                <w:rFonts w:ascii="Calibri" w:eastAsia="Calibri" w:hAnsi="Calibri"/>
                <w:noProof/>
                <w:sz w:val="20"/>
                <w:szCs w:val="20"/>
              </w:rPr>
              <w:t xml:space="preserve">11 Cerová vrchovina </w:t>
            </w:r>
          </w:p>
        </w:tc>
      </w:tr>
      <w:tr w:rsidR="008676F9" w:rsidRPr="008676F9" w:rsidTr="00BB33FC">
        <w:tc>
          <w:tcPr>
            <w:tcW w:w="4536" w:type="dxa"/>
          </w:tcPr>
          <w:p w:rsidR="008676F9" w:rsidRPr="008676F9" w:rsidRDefault="008676F9" w:rsidP="008676F9">
            <w:pPr>
              <w:autoSpaceDE w:val="0"/>
              <w:autoSpaceDN w:val="0"/>
              <w:adjustRightInd w:val="0"/>
              <w:rPr>
                <w:rFonts w:ascii="Calibri" w:eastAsia="Calibri" w:hAnsi="Calibri"/>
                <w:noProof/>
                <w:sz w:val="20"/>
                <w:szCs w:val="20"/>
              </w:rPr>
            </w:pPr>
            <w:r w:rsidRPr="008676F9">
              <w:rPr>
                <w:rFonts w:ascii="Calibri" w:eastAsia="Calibri" w:hAnsi="Calibri"/>
                <w:noProof/>
                <w:sz w:val="20"/>
                <w:szCs w:val="20"/>
              </w:rPr>
              <w:t>28 Volovské vrchy, Čierna hora</w:t>
            </w:r>
          </w:p>
        </w:tc>
        <w:tc>
          <w:tcPr>
            <w:tcW w:w="4424" w:type="dxa"/>
          </w:tcPr>
          <w:p w:rsidR="008676F9" w:rsidRPr="008676F9" w:rsidRDefault="008676F9" w:rsidP="008676F9">
            <w:pPr>
              <w:autoSpaceDE w:val="0"/>
              <w:autoSpaceDN w:val="0"/>
              <w:adjustRightInd w:val="0"/>
              <w:rPr>
                <w:rFonts w:ascii="Calibri" w:eastAsia="Calibri" w:hAnsi="Calibri"/>
                <w:noProof/>
                <w:sz w:val="20"/>
                <w:szCs w:val="20"/>
              </w:rPr>
            </w:pPr>
            <w:r w:rsidRPr="008676F9">
              <w:rPr>
                <w:rFonts w:ascii="Calibri" w:eastAsia="Calibri" w:hAnsi="Calibri"/>
                <w:noProof/>
                <w:sz w:val="20"/>
                <w:szCs w:val="20"/>
              </w:rPr>
              <w:t>13 Malé Karpaty</w:t>
            </w:r>
          </w:p>
        </w:tc>
      </w:tr>
      <w:tr w:rsidR="008676F9" w:rsidRPr="008676F9" w:rsidTr="00BB33FC">
        <w:tc>
          <w:tcPr>
            <w:tcW w:w="4536" w:type="dxa"/>
          </w:tcPr>
          <w:p w:rsidR="008676F9" w:rsidRPr="008676F9" w:rsidRDefault="008676F9" w:rsidP="008676F9">
            <w:pPr>
              <w:autoSpaceDE w:val="0"/>
              <w:autoSpaceDN w:val="0"/>
              <w:adjustRightInd w:val="0"/>
              <w:rPr>
                <w:rFonts w:ascii="Calibri" w:eastAsia="Calibri" w:hAnsi="Calibri"/>
                <w:noProof/>
                <w:sz w:val="20"/>
                <w:szCs w:val="20"/>
              </w:rPr>
            </w:pPr>
            <w:r w:rsidRPr="008676F9">
              <w:rPr>
                <w:rFonts w:ascii="Calibri" w:eastAsia="Calibri" w:hAnsi="Calibri"/>
                <w:noProof/>
                <w:sz w:val="20"/>
                <w:szCs w:val="20"/>
              </w:rPr>
              <w:t>29 Hornádska kotlina</w:t>
            </w:r>
          </w:p>
        </w:tc>
        <w:tc>
          <w:tcPr>
            <w:tcW w:w="4424" w:type="dxa"/>
          </w:tcPr>
          <w:p w:rsidR="008676F9" w:rsidRPr="008676F9" w:rsidRDefault="008676F9" w:rsidP="008676F9">
            <w:pPr>
              <w:autoSpaceDE w:val="0"/>
              <w:autoSpaceDN w:val="0"/>
              <w:adjustRightInd w:val="0"/>
              <w:rPr>
                <w:rFonts w:ascii="Calibri" w:eastAsia="Calibri" w:hAnsi="Calibri"/>
                <w:noProof/>
                <w:sz w:val="20"/>
                <w:szCs w:val="20"/>
              </w:rPr>
            </w:pPr>
            <w:r w:rsidRPr="008676F9">
              <w:rPr>
                <w:rFonts w:ascii="Calibri" w:eastAsia="Calibri" w:hAnsi="Calibri"/>
                <w:noProof/>
                <w:sz w:val="20"/>
                <w:szCs w:val="20"/>
              </w:rPr>
              <w:t>14 Myjavská pahorkatina</w:t>
            </w:r>
          </w:p>
        </w:tc>
      </w:tr>
      <w:tr w:rsidR="008676F9" w:rsidRPr="008676F9" w:rsidTr="00BB33FC">
        <w:tc>
          <w:tcPr>
            <w:tcW w:w="4536" w:type="dxa"/>
          </w:tcPr>
          <w:p w:rsidR="008676F9" w:rsidRPr="008676F9" w:rsidRDefault="008676F9" w:rsidP="008676F9">
            <w:pPr>
              <w:autoSpaceDE w:val="0"/>
              <w:autoSpaceDN w:val="0"/>
              <w:adjustRightInd w:val="0"/>
              <w:rPr>
                <w:rFonts w:ascii="Calibri" w:eastAsia="Calibri" w:hAnsi="Calibri"/>
                <w:noProof/>
                <w:sz w:val="20"/>
                <w:szCs w:val="20"/>
              </w:rPr>
            </w:pPr>
            <w:r w:rsidRPr="008676F9">
              <w:rPr>
                <w:rFonts w:ascii="Calibri" w:eastAsia="Calibri" w:hAnsi="Calibri"/>
                <w:noProof/>
                <w:sz w:val="20"/>
                <w:szCs w:val="20"/>
              </w:rPr>
              <w:t>32 Západné Beskydy</w:t>
            </w:r>
          </w:p>
        </w:tc>
        <w:tc>
          <w:tcPr>
            <w:tcW w:w="4424" w:type="dxa"/>
          </w:tcPr>
          <w:p w:rsidR="008676F9" w:rsidRPr="008676F9" w:rsidRDefault="008676F9" w:rsidP="008676F9">
            <w:pPr>
              <w:autoSpaceDE w:val="0"/>
              <w:autoSpaceDN w:val="0"/>
              <w:adjustRightInd w:val="0"/>
              <w:rPr>
                <w:rFonts w:ascii="Calibri" w:eastAsia="Calibri" w:hAnsi="Calibri"/>
                <w:noProof/>
                <w:sz w:val="20"/>
                <w:szCs w:val="20"/>
              </w:rPr>
            </w:pPr>
            <w:r w:rsidRPr="008676F9">
              <w:rPr>
                <w:rFonts w:ascii="Calibri" w:eastAsia="Calibri" w:hAnsi="Calibri"/>
                <w:noProof/>
                <w:sz w:val="20"/>
                <w:szCs w:val="20"/>
              </w:rPr>
              <w:t>15 Biele Karpaty</w:t>
            </w:r>
          </w:p>
        </w:tc>
      </w:tr>
      <w:tr w:rsidR="008676F9" w:rsidRPr="008676F9" w:rsidTr="00BB33FC">
        <w:tc>
          <w:tcPr>
            <w:tcW w:w="4536" w:type="dxa"/>
          </w:tcPr>
          <w:p w:rsidR="008676F9" w:rsidRPr="008676F9" w:rsidRDefault="008676F9" w:rsidP="008676F9">
            <w:pPr>
              <w:autoSpaceDE w:val="0"/>
              <w:autoSpaceDN w:val="0"/>
              <w:adjustRightInd w:val="0"/>
              <w:rPr>
                <w:rFonts w:ascii="Calibri" w:eastAsia="Calibri" w:hAnsi="Calibri"/>
                <w:noProof/>
                <w:sz w:val="20"/>
                <w:szCs w:val="20"/>
              </w:rPr>
            </w:pPr>
            <w:r w:rsidRPr="008676F9">
              <w:rPr>
                <w:rFonts w:ascii="Calibri" w:eastAsia="Calibri" w:hAnsi="Calibri"/>
                <w:noProof/>
                <w:sz w:val="20"/>
                <w:szCs w:val="20"/>
              </w:rPr>
              <w:t>33 Stredné Beskydy</w:t>
            </w:r>
          </w:p>
        </w:tc>
        <w:tc>
          <w:tcPr>
            <w:tcW w:w="4424" w:type="dxa"/>
          </w:tcPr>
          <w:p w:rsidR="008676F9" w:rsidRPr="008676F9" w:rsidRDefault="008676F9" w:rsidP="008676F9">
            <w:pPr>
              <w:autoSpaceDE w:val="0"/>
              <w:autoSpaceDN w:val="0"/>
              <w:adjustRightInd w:val="0"/>
              <w:rPr>
                <w:rFonts w:ascii="Calibri" w:eastAsia="Calibri" w:hAnsi="Calibri"/>
                <w:noProof/>
                <w:sz w:val="20"/>
                <w:szCs w:val="20"/>
              </w:rPr>
            </w:pPr>
            <w:r w:rsidRPr="008676F9">
              <w:rPr>
                <w:rFonts w:ascii="Calibri" w:eastAsia="Calibri" w:hAnsi="Calibri"/>
                <w:noProof/>
                <w:sz w:val="20"/>
                <w:szCs w:val="20"/>
              </w:rPr>
              <w:t>17 Zvolenská kotlina</w:t>
            </w:r>
          </w:p>
        </w:tc>
      </w:tr>
      <w:tr w:rsidR="008676F9" w:rsidRPr="008676F9" w:rsidTr="00BB33FC">
        <w:tc>
          <w:tcPr>
            <w:tcW w:w="4536" w:type="dxa"/>
          </w:tcPr>
          <w:p w:rsidR="008676F9" w:rsidRPr="008676F9" w:rsidRDefault="008676F9" w:rsidP="008676F9">
            <w:pPr>
              <w:autoSpaceDE w:val="0"/>
              <w:autoSpaceDN w:val="0"/>
              <w:adjustRightInd w:val="0"/>
              <w:rPr>
                <w:rFonts w:ascii="Calibri" w:eastAsia="Calibri" w:hAnsi="Calibri"/>
                <w:noProof/>
                <w:sz w:val="20"/>
                <w:szCs w:val="20"/>
              </w:rPr>
            </w:pPr>
            <w:r w:rsidRPr="008676F9">
              <w:rPr>
                <w:rFonts w:ascii="Calibri" w:eastAsia="Calibri" w:hAnsi="Calibri"/>
                <w:noProof/>
                <w:sz w:val="20"/>
                <w:szCs w:val="20"/>
              </w:rPr>
              <w:t>34 Malá Fatra, Žiar</w:t>
            </w:r>
          </w:p>
        </w:tc>
        <w:tc>
          <w:tcPr>
            <w:tcW w:w="4424" w:type="dxa"/>
          </w:tcPr>
          <w:p w:rsidR="008676F9" w:rsidRPr="008676F9" w:rsidRDefault="008676F9" w:rsidP="008676F9">
            <w:pPr>
              <w:autoSpaceDE w:val="0"/>
              <w:autoSpaceDN w:val="0"/>
              <w:adjustRightInd w:val="0"/>
              <w:rPr>
                <w:rFonts w:ascii="Calibri" w:eastAsia="Calibri" w:hAnsi="Calibri"/>
                <w:noProof/>
                <w:sz w:val="20"/>
                <w:szCs w:val="20"/>
              </w:rPr>
            </w:pPr>
            <w:r w:rsidRPr="008676F9">
              <w:rPr>
                <w:rFonts w:ascii="Calibri" w:eastAsia="Calibri" w:hAnsi="Calibri"/>
                <w:noProof/>
                <w:sz w:val="20"/>
                <w:szCs w:val="20"/>
              </w:rPr>
              <w:t>20 Slánské vrchy</w:t>
            </w:r>
          </w:p>
        </w:tc>
      </w:tr>
      <w:tr w:rsidR="008676F9" w:rsidRPr="008676F9" w:rsidTr="00BB33FC">
        <w:tc>
          <w:tcPr>
            <w:tcW w:w="4536" w:type="dxa"/>
          </w:tcPr>
          <w:p w:rsidR="008676F9" w:rsidRPr="008676F9" w:rsidRDefault="008676F9" w:rsidP="008676F9">
            <w:pPr>
              <w:autoSpaceDE w:val="0"/>
              <w:autoSpaceDN w:val="0"/>
              <w:adjustRightInd w:val="0"/>
              <w:rPr>
                <w:rFonts w:ascii="Calibri" w:eastAsia="Calibri" w:hAnsi="Calibri"/>
                <w:noProof/>
                <w:sz w:val="20"/>
                <w:szCs w:val="20"/>
              </w:rPr>
            </w:pPr>
            <w:r w:rsidRPr="008676F9">
              <w:rPr>
                <w:rFonts w:ascii="Calibri" w:eastAsia="Calibri" w:hAnsi="Calibri"/>
                <w:noProof/>
                <w:sz w:val="20"/>
                <w:szCs w:val="20"/>
              </w:rPr>
              <w:t>35 Veľká Fatra, Starohoské vrchy, Chočské    vrchy</w:t>
            </w:r>
          </w:p>
        </w:tc>
        <w:tc>
          <w:tcPr>
            <w:tcW w:w="4424" w:type="dxa"/>
          </w:tcPr>
          <w:p w:rsidR="008676F9" w:rsidRPr="008676F9" w:rsidRDefault="008676F9" w:rsidP="008676F9">
            <w:pPr>
              <w:autoSpaceDE w:val="0"/>
              <w:autoSpaceDN w:val="0"/>
              <w:adjustRightInd w:val="0"/>
              <w:rPr>
                <w:rFonts w:ascii="Calibri" w:eastAsia="Calibri" w:hAnsi="Calibri"/>
                <w:noProof/>
                <w:sz w:val="20"/>
                <w:szCs w:val="20"/>
              </w:rPr>
            </w:pPr>
            <w:r w:rsidRPr="008676F9">
              <w:rPr>
                <w:rFonts w:ascii="Calibri" w:eastAsia="Calibri" w:hAnsi="Calibri"/>
                <w:noProof/>
                <w:sz w:val="20"/>
                <w:szCs w:val="20"/>
              </w:rPr>
              <w:t>21 Nízke Beskydy</w:t>
            </w:r>
          </w:p>
        </w:tc>
      </w:tr>
      <w:tr w:rsidR="008676F9" w:rsidRPr="008676F9" w:rsidTr="00BB33FC">
        <w:tc>
          <w:tcPr>
            <w:tcW w:w="4536" w:type="dxa"/>
          </w:tcPr>
          <w:p w:rsidR="008676F9" w:rsidRPr="008676F9" w:rsidRDefault="008676F9" w:rsidP="008676F9">
            <w:pPr>
              <w:autoSpaceDE w:val="0"/>
              <w:autoSpaceDN w:val="0"/>
              <w:adjustRightInd w:val="0"/>
              <w:rPr>
                <w:rFonts w:ascii="Calibri" w:eastAsia="Calibri" w:hAnsi="Calibri"/>
                <w:noProof/>
                <w:sz w:val="20"/>
                <w:szCs w:val="20"/>
              </w:rPr>
            </w:pPr>
            <w:r w:rsidRPr="008676F9">
              <w:rPr>
                <w:rFonts w:ascii="Calibri" w:eastAsia="Calibri" w:hAnsi="Calibri"/>
                <w:noProof/>
                <w:sz w:val="20"/>
                <w:szCs w:val="20"/>
              </w:rPr>
              <w:t>37 Poľana</w:t>
            </w:r>
          </w:p>
        </w:tc>
        <w:tc>
          <w:tcPr>
            <w:tcW w:w="4424" w:type="dxa"/>
          </w:tcPr>
          <w:p w:rsidR="008676F9" w:rsidRPr="008676F9" w:rsidRDefault="008676F9" w:rsidP="008676F9">
            <w:pPr>
              <w:autoSpaceDE w:val="0"/>
              <w:autoSpaceDN w:val="0"/>
              <w:adjustRightInd w:val="0"/>
              <w:rPr>
                <w:rFonts w:ascii="Calibri" w:eastAsia="Calibri" w:hAnsi="Calibri"/>
                <w:noProof/>
                <w:sz w:val="20"/>
                <w:szCs w:val="20"/>
              </w:rPr>
            </w:pPr>
            <w:r w:rsidRPr="008676F9">
              <w:rPr>
                <w:rFonts w:ascii="Calibri" w:eastAsia="Calibri" w:hAnsi="Calibri"/>
                <w:noProof/>
                <w:sz w:val="20"/>
                <w:szCs w:val="20"/>
              </w:rPr>
              <w:t xml:space="preserve">22 Šarišská vrchovina, Spišsko-šarišské  medzihorie </w:t>
            </w:r>
          </w:p>
        </w:tc>
      </w:tr>
      <w:tr w:rsidR="008676F9" w:rsidRPr="008676F9" w:rsidTr="00BB33FC">
        <w:tc>
          <w:tcPr>
            <w:tcW w:w="4536" w:type="dxa"/>
          </w:tcPr>
          <w:p w:rsidR="008676F9" w:rsidRPr="008676F9" w:rsidRDefault="008676F9" w:rsidP="008676F9">
            <w:pPr>
              <w:autoSpaceDE w:val="0"/>
              <w:autoSpaceDN w:val="0"/>
              <w:adjustRightInd w:val="0"/>
              <w:rPr>
                <w:rFonts w:ascii="Calibri" w:eastAsia="Calibri" w:hAnsi="Calibri"/>
                <w:noProof/>
                <w:sz w:val="20"/>
                <w:szCs w:val="20"/>
              </w:rPr>
            </w:pPr>
            <w:r w:rsidRPr="008676F9">
              <w:rPr>
                <w:rFonts w:ascii="Calibri" w:eastAsia="Calibri" w:hAnsi="Calibri"/>
                <w:noProof/>
                <w:sz w:val="20"/>
                <w:szCs w:val="20"/>
              </w:rPr>
              <w:t>38 Veporské vrchy, Stolické vrchy</w:t>
            </w:r>
          </w:p>
        </w:tc>
        <w:tc>
          <w:tcPr>
            <w:tcW w:w="4424" w:type="dxa"/>
          </w:tcPr>
          <w:p w:rsidR="008676F9" w:rsidRPr="008676F9" w:rsidRDefault="008676F9" w:rsidP="008676F9">
            <w:pPr>
              <w:autoSpaceDE w:val="0"/>
              <w:autoSpaceDN w:val="0"/>
              <w:adjustRightInd w:val="0"/>
              <w:rPr>
                <w:rFonts w:ascii="Calibri" w:eastAsia="Calibri" w:hAnsi="Calibri"/>
                <w:noProof/>
                <w:sz w:val="20"/>
                <w:szCs w:val="20"/>
              </w:rPr>
            </w:pPr>
            <w:r w:rsidRPr="008676F9">
              <w:rPr>
                <w:rFonts w:ascii="Calibri" w:eastAsia="Calibri" w:hAnsi="Calibri"/>
                <w:noProof/>
                <w:sz w:val="20"/>
                <w:szCs w:val="20"/>
              </w:rPr>
              <w:t>24 Žilinská kotlina</w:t>
            </w:r>
          </w:p>
        </w:tc>
      </w:tr>
      <w:tr w:rsidR="008676F9" w:rsidRPr="008676F9" w:rsidTr="00BB33FC">
        <w:tc>
          <w:tcPr>
            <w:tcW w:w="4536" w:type="dxa"/>
          </w:tcPr>
          <w:p w:rsidR="008676F9" w:rsidRPr="008676F9" w:rsidRDefault="008676F9" w:rsidP="008676F9">
            <w:pPr>
              <w:autoSpaceDE w:val="0"/>
              <w:autoSpaceDN w:val="0"/>
              <w:adjustRightInd w:val="0"/>
              <w:rPr>
                <w:rFonts w:ascii="Calibri" w:eastAsia="Calibri" w:hAnsi="Calibri"/>
                <w:noProof/>
                <w:sz w:val="20"/>
                <w:szCs w:val="20"/>
              </w:rPr>
            </w:pPr>
            <w:r w:rsidRPr="008676F9">
              <w:rPr>
                <w:rFonts w:ascii="Calibri" w:eastAsia="Calibri" w:hAnsi="Calibri"/>
                <w:noProof/>
                <w:sz w:val="20"/>
                <w:szCs w:val="20"/>
              </w:rPr>
              <w:t>39 Spišsko-gemerský kras</w:t>
            </w:r>
          </w:p>
        </w:tc>
        <w:tc>
          <w:tcPr>
            <w:tcW w:w="4424" w:type="dxa"/>
          </w:tcPr>
          <w:p w:rsidR="008676F9" w:rsidRPr="008676F9" w:rsidRDefault="008676F9" w:rsidP="008676F9">
            <w:pPr>
              <w:autoSpaceDE w:val="0"/>
              <w:autoSpaceDN w:val="0"/>
              <w:adjustRightInd w:val="0"/>
              <w:rPr>
                <w:rFonts w:ascii="Calibri" w:eastAsia="Calibri" w:hAnsi="Calibri"/>
                <w:noProof/>
                <w:sz w:val="20"/>
                <w:szCs w:val="20"/>
              </w:rPr>
            </w:pPr>
            <w:r w:rsidRPr="008676F9">
              <w:rPr>
                <w:rFonts w:ascii="Calibri" w:eastAsia="Calibri" w:hAnsi="Calibri"/>
                <w:noProof/>
                <w:sz w:val="20"/>
                <w:szCs w:val="20"/>
              </w:rPr>
              <w:t>25 Strážovské vrchy, Súľovské vrchy</w:t>
            </w:r>
          </w:p>
        </w:tc>
      </w:tr>
      <w:tr w:rsidR="008676F9" w:rsidRPr="008676F9" w:rsidTr="00BB33FC">
        <w:tc>
          <w:tcPr>
            <w:tcW w:w="4536" w:type="dxa"/>
          </w:tcPr>
          <w:p w:rsidR="008676F9" w:rsidRPr="008676F9" w:rsidRDefault="008676F9" w:rsidP="008676F9">
            <w:pPr>
              <w:autoSpaceDE w:val="0"/>
              <w:autoSpaceDN w:val="0"/>
              <w:adjustRightInd w:val="0"/>
              <w:rPr>
                <w:rFonts w:ascii="Calibri" w:eastAsia="Calibri" w:hAnsi="Calibri"/>
                <w:noProof/>
                <w:sz w:val="20"/>
                <w:szCs w:val="20"/>
              </w:rPr>
            </w:pPr>
            <w:r w:rsidRPr="008676F9">
              <w:rPr>
                <w:rFonts w:ascii="Calibri" w:eastAsia="Calibri" w:hAnsi="Calibri"/>
                <w:noProof/>
                <w:sz w:val="20"/>
                <w:szCs w:val="20"/>
              </w:rPr>
              <w:t>40 Branisko</w:t>
            </w:r>
          </w:p>
        </w:tc>
        <w:tc>
          <w:tcPr>
            <w:tcW w:w="4424" w:type="dxa"/>
          </w:tcPr>
          <w:p w:rsidR="008676F9" w:rsidRPr="008676F9" w:rsidRDefault="008676F9" w:rsidP="008676F9">
            <w:pPr>
              <w:autoSpaceDE w:val="0"/>
              <w:autoSpaceDN w:val="0"/>
              <w:adjustRightInd w:val="0"/>
              <w:rPr>
                <w:rFonts w:ascii="Calibri" w:eastAsia="Calibri" w:hAnsi="Calibri"/>
                <w:noProof/>
                <w:sz w:val="20"/>
                <w:szCs w:val="20"/>
              </w:rPr>
            </w:pPr>
            <w:r w:rsidRPr="008676F9">
              <w:rPr>
                <w:rFonts w:ascii="Calibri" w:eastAsia="Calibri" w:hAnsi="Calibri"/>
                <w:noProof/>
                <w:sz w:val="20"/>
                <w:szCs w:val="20"/>
              </w:rPr>
              <w:t>26 Turčianska kotlina</w:t>
            </w:r>
          </w:p>
        </w:tc>
      </w:tr>
      <w:tr w:rsidR="008676F9" w:rsidRPr="008676F9" w:rsidTr="00BB33FC">
        <w:tc>
          <w:tcPr>
            <w:tcW w:w="4536" w:type="dxa"/>
          </w:tcPr>
          <w:p w:rsidR="008676F9" w:rsidRPr="008676F9" w:rsidRDefault="008676F9" w:rsidP="008676F9">
            <w:pPr>
              <w:autoSpaceDE w:val="0"/>
              <w:autoSpaceDN w:val="0"/>
              <w:adjustRightInd w:val="0"/>
              <w:rPr>
                <w:rFonts w:ascii="Calibri" w:eastAsia="Calibri" w:hAnsi="Calibri"/>
                <w:noProof/>
                <w:sz w:val="20"/>
                <w:szCs w:val="20"/>
              </w:rPr>
            </w:pPr>
            <w:r w:rsidRPr="008676F9">
              <w:rPr>
                <w:rFonts w:ascii="Calibri" w:eastAsia="Calibri" w:hAnsi="Calibri"/>
                <w:noProof/>
                <w:sz w:val="20"/>
                <w:szCs w:val="20"/>
              </w:rPr>
              <w:t>44 Oravská kotlina</w:t>
            </w:r>
          </w:p>
        </w:tc>
        <w:tc>
          <w:tcPr>
            <w:tcW w:w="4424" w:type="dxa"/>
          </w:tcPr>
          <w:p w:rsidR="008676F9" w:rsidRPr="008676F9" w:rsidRDefault="008676F9" w:rsidP="008676F9">
            <w:pPr>
              <w:autoSpaceDE w:val="0"/>
              <w:autoSpaceDN w:val="0"/>
              <w:adjustRightInd w:val="0"/>
              <w:rPr>
                <w:rFonts w:ascii="Calibri" w:eastAsia="Calibri" w:hAnsi="Calibri"/>
                <w:noProof/>
                <w:sz w:val="20"/>
                <w:szCs w:val="20"/>
              </w:rPr>
            </w:pPr>
            <w:r w:rsidRPr="008676F9">
              <w:rPr>
                <w:rFonts w:ascii="Calibri" w:eastAsia="Calibri" w:hAnsi="Calibri"/>
                <w:noProof/>
                <w:sz w:val="20"/>
                <w:szCs w:val="20"/>
              </w:rPr>
              <w:t>27 Štiavnické vrchy, Javorie, Pliešovská kotlina, Pohronský Inovec, Vtáčnik, Kremnické vrchy</w:t>
            </w:r>
          </w:p>
        </w:tc>
      </w:tr>
      <w:tr w:rsidR="008676F9" w:rsidRPr="008676F9" w:rsidTr="00BB33FC">
        <w:tc>
          <w:tcPr>
            <w:tcW w:w="4536" w:type="dxa"/>
          </w:tcPr>
          <w:p w:rsidR="008676F9" w:rsidRPr="008676F9" w:rsidRDefault="008676F9" w:rsidP="008676F9">
            <w:pPr>
              <w:autoSpaceDE w:val="0"/>
              <w:autoSpaceDN w:val="0"/>
              <w:adjustRightInd w:val="0"/>
              <w:rPr>
                <w:rFonts w:ascii="Calibri" w:eastAsia="Calibri" w:hAnsi="Calibri"/>
                <w:noProof/>
                <w:sz w:val="20"/>
                <w:szCs w:val="20"/>
              </w:rPr>
            </w:pPr>
            <w:r w:rsidRPr="008676F9">
              <w:rPr>
                <w:rFonts w:ascii="Calibri" w:eastAsia="Calibri" w:hAnsi="Calibri"/>
                <w:noProof/>
                <w:sz w:val="20"/>
                <w:szCs w:val="20"/>
              </w:rPr>
              <w:t>45 Skorušínske vrchy, Zuberská brázda</w:t>
            </w:r>
          </w:p>
        </w:tc>
        <w:tc>
          <w:tcPr>
            <w:tcW w:w="4424" w:type="dxa"/>
          </w:tcPr>
          <w:p w:rsidR="008676F9" w:rsidRPr="008676F9" w:rsidRDefault="008676F9" w:rsidP="008676F9">
            <w:pPr>
              <w:autoSpaceDE w:val="0"/>
              <w:autoSpaceDN w:val="0"/>
              <w:adjustRightInd w:val="0"/>
              <w:rPr>
                <w:rFonts w:ascii="Calibri" w:eastAsia="Calibri" w:hAnsi="Calibri"/>
                <w:noProof/>
                <w:sz w:val="20"/>
                <w:szCs w:val="20"/>
              </w:rPr>
            </w:pPr>
            <w:r w:rsidRPr="008676F9">
              <w:rPr>
                <w:rFonts w:ascii="Calibri" w:eastAsia="Calibri" w:hAnsi="Calibri"/>
                <w:noProof/>
                <w:sz w:val="20"/>
                <w:szCs w:val="20"/>
              </w:rPr>
              <w:t>30  Vihorlatské vrchy</w:t>
            </w:r>
          </w:p>
        </w:tc>
      </w:tr>
      <w:tr w:rsidR="008676F9" w:rsidRPr="008676F9" w:rsidTr="00BB33FC">
        <w:tc>
          <w:tcPr>
            <w:tcW w:w="4536" w:type="dxa"/>
          </w:tcPr>
          <w:p w:rsidR="008676F9" w:rsidRPr="008676F9" w:rsidRDefault="008676F9" w:rsidP="008676F9">
            <w:pPr>
              <w:autoSpaceDE w:val="0"/>
              <w:autoSpaceDN w:val="0"/>
              <w:adjustRightInd w:val="0"/>
              <w:rPr>
                <w:rFonts w:ascii="Calibri" w:eastAsia="Calibri" w:hAnsi="Calibri"/>
                <w:noProof/>
                <w:sz w:val="20"/>
                <w:szCs w:val="20"/>
              </w:rPr>
            </w:pPr>
            <w:r w:rsidRPr="008676F9">
              <w:rPr>
                <w:rFonts w:ascii="Calibri" w:eastAsia="Calibri" w:hAnsi="Calibri"/>
                <w:noProof/>
                <w:sz w:val="20"/>
                <w:szCs w:val="20"/>
              </w:rPr>
              <w:t>46 Nízke Tatry, Kozie Chrbty</w:t>
            </w:r>
          </w:p>
        </w:tc>
        <w:tc>
          <w:tcPr>
            <w:tcW w:w="4424" w:type="dxa"/>
          </w:tcPr>
          <w:p w:rsidR="008676F9" w:rsidRPr="008676F9" w:rsidRDefault="008676F9" w:rsidP="008676F9">
            <w:pPr>
              <w:autoSpaceDE w:val="0"/>
              <w:autoSpaceDN w:val="0"/>
              <w:adjustRightInd w:val="0"/>
              <w:rPr>
                <w:rFonts w:ascii="Calibri" w:eastAsia="Calibri" w:hAnsi="Calibri"/>
                <w:noProof/>
                <w:sz w:val="20"/>
                <w:szCs w:val="20"/>
              </w:rPr>
            </w:pPr>
            <w:r w:rsidRPr="008676F9">
              <w:rPr>
                <w:rFonts w:ascii="Calibri" w:eastAsia="Calibri" w:hAnsi="Calibri"/>
                <w:noProof/>
                <w:sz w:val="20"/>
                <w:szCs w:val="20"/>
              </w:rPr>
              <w:t>31 Bukovské vrchy</w:t>
            </w:r>
          </w:p>
        </w:tc>
      </w:tr>
      <w:tr w:rsidR="008676F9" w:rsidRPr="008676F9" w:rsidTr="00BB33FC">
        <w:tc>
          <w:tcPr>
            <w:tcW w:w="4536" w:type="dxa"/>
          </w:tcPr>
          <w:p w:rsidR="008676F9" w:rsidRPr="008676F9" w:rsidRDefault="008676F9" w:rsidP="008676F9">
            <w:pPr>
              <w:autoSpaceDE w:val="0"/>
              <w:autoSpaceDN w:val="0"/>
              <w:adjustRightInd w:val="0"/>
              <w:rPr>
                <w:rFonts w:ascii="Calibri" w:eastAsia="Calibri" w:hAnsi="Calibri"/>
                <w:noProof/>
                <w:sz w:val="20"/>
                <w:szCs w:val="20"/>
              </w:rPr>
            </w:pPr>
            <w:r w:rsidRPr="008676F9">
              <w:rPr>
                <w:rFonts w:ascii="Calibri" w:eastAsia="Calibri" w:hAnsi="Calibri"/>
                <w:noProof/>
                <w:sz w:val="20"/>
                <w:szCs w:val="20"/>
              </w:rPr>
              <w:t>47 Tatry</w:t>
            </w:r>
          </w:p>
        </w:tc>
        <w:tc>
          <w:tcPr>
            <w:tcW w:w="4424" w:type="dxa"/>
          </w:tcPr>
          <w:p w:rsidR="008676F9" w:rsidRPr="008676F9" w:rsidRDefault="008676F9" w:rsidP="008676F9">
            <w:pPr>
              <w:autoSpaceDE w:val="0"/>
              <w:autoSpaceDN w:val="0"/>
              <w:adjustRightInd w:val="0"/>
              <w:rPr>
                <w:rFonts w:ascii="Calibri" w:eastAsia="Calibri" w:hAnsi="Calibri"/>
                <w:noProof/>
                <w:sz w:val="20"/>
                <w:szCs w:val="20"/>
              </w:rPr>
            </w:pPr>
            <w:r w:rsidRPr="008676F9">
              <w:rPr>
                <w:rFonts w:ascii="Calibri" w:eastAsia="Calibri" w:hAnsi="Calibri"/>
                <w:noProof/>
                <w:sz w:val="20"/>
                <w:szCs w:val="20"/>
              </w:rPr>
              <w:t>36 Horehronské Podolie</w:t>
            </w:r>
          </w:p>
        </w:tc>
      </w:tr>
      <w:tr w:rsidR="008676F9" w:rsidRPr="008676F9" w:rsidTr="00BB33FC">
        <w:tc>
          <w:tcPr>
            <w:tcW w:w="4536" w:type="dxa"/>
          </w:tcPr>
          <w:p w:rsidR="008676F9" w:rsidRPr="008676F9" w:rsidRDefault="008676F9" w:rsidP="008676F9">
            <w:pPr>
              <w:autoSpaceDE w:val="0"/>
              <w:autoSpaceDN w:val="0"/>
              <w:adjustRightInd w:val="0"/>
              <w:rPr>
                <w:rFonts w:ascii="Calibri" w:eastAsia="Calibri" w:hAnsi="Calibri"/>
                <w:noProof/>
                <w:sz w:val="20"/>
                <w:szCs w:val="20"/>
              </w:rPr>
            </w:pPr>
          </w:p>
        </w:tc>
        <w:tc>
          <w:tcPr>
            <w:tcW w:w="4424" w:type="dxa"/>
          </w:tcPr>
          <w:p w:rsidR="008676F9" w:rsidRPr="008676F9" w:rsidRDefault="008676F9" w:rsidP="008676F9">
            <w:pPr>
              <w:autoSpaceDE w:val="0"/>
              <w:autoSpaceDN w:val="0"/>
              <w:adjustRightInd w:val="0"/>
              <w:rPr>
                <w:rFonts w:ascii="Calibri" w:eastAsia="Calibri" w:hAnsi="Calibri"/>
                <w:noProof/>
                <w:sz w:val="20"/>
                <w:szCs w:val="20"/>
              </w:rPr>
            </w:pPr>
            <w:r w:rsidRPr="008676F9">
              <w:rPr>
                <w:rFonts w:ascii="Calibri" w:eastAsia="Calibri" w:hAnsi="Calibri"/>
                <w:noProof/>
                <w:sz w:val="20"/>
                <w:szCs w:val="20"/>
              </w:rPr>
              <w:t>41 Východné Beskydy</w:t>
            </w:r>
          </w:p>
        </w:tc>
      </w:tr>
      <w:tr w:rsidR="008676F9" w:rsidRPr="008676F9" w:rsidTr="00BB33FC">
        <w:tc>
          <w:tcPr>
            <w:tcW w:w="4536" w:type="dxa"/>
          </w:tcPr>
          <w:p w:rsidR="008676F9" w:rsidRPr="008676F9" w:rsidRDefault="008676F9" w:rsidP="008676F9">
            <w:pPr>
              <w:autoSpaceDE w:val="0"/>
              <w:autoSpaceDN w:val="0"/>
              <w:adjustRightInd w:val="0"/>
              <w:rPr>
                <w:rFonts w:ascii="Calibri" w:eastAsia="Calibri" w:hAnsi="Calibri"/>
                <w:noProof/>
                <w:sz w:val="20"/>
                <w:szCs w:val="20"/>
              </w:rPr>
            </w:pPr>
          </w:p>
        </w:tc>
        <w:tc>
          <w:tcPr>
            <w:tcW w:w="4424" w:type="dxa"/>
          </w:tcPr>
          <w:p w:rsidR="008676F9" w:rsidRPr="008676F9" w:rsidRDefault="008676F9" w:rsidP="008676F9">
            <w:pPr>
              <w:autoSpaceDE w:val="0"/>
              <w:autoSpaceDN w:val="0"/>
              <w:adjustRightInd w:val="0"/>
              <w:rPr>
                <w:rFonts w:ascii="Calibri" w:eastAsia="Calibri" w:hAnsi="Calibri"/>
                <w:noProof/>
                <w:sz w:val="20"/>
                <w:szCs w:val="20"/>
              </w:rPr>
            </w:pPr>
            <w:r w:rsidRPr="008676F9">
              <w:rPr>
                <w:rFonts w:ascii="Calibri" w:eastAsia="Calibri" w:hAnsi="Calibri"/>
                <w:noProof/>
                <w:sz w:val="20"/>
                <w:szCs w:val="20"/>
              </w:rPr>
              <w:t>42 Levočské vrchy, Bachureň, Spišská Magura, Žiarska brázda</w:t>
            </w:r>
          </w:p>
        </w:tc>
      </w:tr>
      <w:tr w:rsidR="008676F9" w:rsidRPr="008676F9" w:rsidTr="00BB33FC">
        <w:tc>
          <w:tcPr>
            <w:tcW w:w="4536" w:type="dxa"/>
          </w:tcPr>
          <w:p w:rsidR="008676F9" w:rsidRPr="008676F9" w:rsidRDefault="008676F9" w:rsidP="008676F9">
            <w:pPr>
              <w:autoSpaceDE w:val="0"/>
              <w:autoSpaceDN w:val="0"/>
              <w:adjustRightInd w:val="0"/>
              <w:rPr>
                <w:rFonts w:ascii="Calibri" w:eastAsia="Calibri" w:hAnsi="Calibri"/>
                <w:noProof/>
                <w:sz w:val="20"/>
                <w:szCs w:val="20"/>
              </w:rPr>
            </w:pPr>
          </w:p>
        </w:tc>
        <w:tc>
          <w:tcPr>
            <w:tcW w:w="4424" w:type="dxa"/>
          </w:tcPr>
          <w:p w:rsidR="008676F9" w:rsidRPr="008676F9" w:rsidRDefault="008676F9" w:rsidP="008676F9">
            <w:pPr>
              <w:autoSpaceDE w:val="0"/>
              <w:autoSpaceDN w:val="0"/>
              <w:adjustRightInd w:val="0"/>
              <w:rPr>
                <w:rFonts w:ascii="Calibri" w:eastAsia="Calibri" w:hAnsi="Calibri"/>
                <w:noProof/>
                <w:sz w:val="20"/>
                <w:szCs w:val="20"/>
              </w:rPr>
            </w:pPr>
            <w:r w:rsidRPr="008676F9">
              <w:rPr>
                <w:rFonts w:ascii="Calibri" w:eastAsia="Calibri" w:hAnsi="Calibri"/>
                <w:noProof/>
                <w:sz w:val="20"/>
                <w:szCs w:val="20"/>
              </w:rPr>
              <w:t>43 Podtatranská kotlina</w:t>
            </w:r>
          </w:p>
        </w:tc>
      </w:tr>
    </w:tbl>
    <w:p w:rsidR="008676F9" w:rsidRPr="008676F9" w:rsidRDefault="008676F9" w:rsidP="008676F9">
      <w:pPr>
        <w:autoSpaceDE w:val="0"/>
        <w:autoSpaceDN w:val="0"/>
        <w:adjustRightInd w:val="0"/>
        <w:spacing w:line="276" w:lineRule="auto"/>
        <w:rPr>
          <w:rFonts w:ascii="Calibri" w:eastAsia="Calibri" w:hAnsi="Calibri"/>
          <w:i/>
          <w:sz w:val="18"/>
          <w:szCs w:val="18"/>
        </w:rPr>
      </w:pPr>
      <w:r w:rsidRPr="008676F9">
        <w:rPr>
          <w:rFonts w:ascii="Calibri" w:eastAsia="Calibri" w:hAnsi="Calibri"/>
          <w:i/>
          <w:sz w:val="18"/>
          <w:szCs w:val="18"/>
        </w:rPr>
        <w:t>Zdroj: Príloha č. 11 vyhlášky 453/2006 Z. z. o hospodárskej úprave lesa a ochrane lesa</w:t>
      </w:r>
    </w:p>
    <w:p w:rsidR="008676F9" w:rsidRDefault="008676F9" w:rsidP="008676F9">
      <w:pPr>
        <w:autoSpaceDE w:val="0"/>
        <w:autoSpaceDN w:val="0"/>
        <w:adjustRightInd w:val="0"/>
        <w:spacing w:line="276" w:lineRule="auto"/>
        <w:rPr>
          <w:rFonts w:ascii="Calibri" w:eastAsia="Calibri" w:hAnsi="Calibri"/>
          <w:i/>
          <w:sz w:val="18"/>
          <w:szCs w:val="18"/>
        </w:rPr>
      </w:pPr>
    </w:p>
    <w:p w:rsidR="005C7530" w:rsidRPr="005725B3" w:rsidRDefault="005C7530" w:rsidP="005C7530">
      <w:pPr>
        <w:keepNext/>
        <w:spacing w:line="276" w:lineRule="auto"/>
        <w:outlineLvl w:val="1"/>
        <w:rPr>
          <w:rFonts w:ascii="Calibri" w:eastAsia="Calibri" w:hAnsi="Calibri" w:cs="Calibri"/>
          <w:bCs/>
          <w:szCs w:val="22"/>
          <w:lang w:eastAsia="en-US"/>
        </w:rPr>
      </w:pPr>
      <w:r w:rsidRPr="008676F9">
        <w:rPr>
          <w:rFonts w:ascii="Calibri" w:eastAsia="Calibri" w:hAnsi="Calibri" w:cs="Calibri"/>
          <w:bCs/>
          <w:szCs w:val="22"/>
          <w:lang w:eastAsia="en-US"/>
        </w:rPr>
        <w:t>V rámci podopatrenia 8.</w:t>
      </w:r>
      <w:r>
        <w:rPr>
          <w:rFonts w:ascii="Calibri" w:eastAsia="Calibri" w:hAnsi="Calibri" w:cs="Calibri"/>
          <w:bCs/>
          <w:szCs w:val="22"/>
          <w:lang w:eastAsia="en-US"/>
        </w:rPr>
        <w:t>4</w:t>
      </w:r>
      <w:r w:rsidRPr="008676F9">
        <w:rPr>
          <w:rFonts w:ascii="Calibri" w:eastAsia="Calibri" w:hAnsi="Calibri" w:cs="Calibri"/>
          <w:bCs/>
          <w:szCs w:val="22"/>
          <w:lang w:eastAsia="en-US"/>
        </w:rPr>
        <w:t xml:space="preserve"> sú financované záväzky z PRV SR 2007-2013 pre opatrenie</w:t>
      </w:r>
      <w:r>
        <w:rPr>
          <w:rFonts w:ascii="Calibri" w:eastAsia="Calibri" w:hAnsi="Calibri" w:cs="Calibri"/>
          <w:bCs/>
          <w:szCs w:val="22"/>
          <w:lang w:eastAsia="en-US"/>
        </w:rPr>
        <w:t xml:space="preserve"> </w:t>
      </w:r>
      <w:r w:rsidRPr="008676F9">
        <w:rPr>
          <w:rFonts w:ascii="Calibri" w:eastAsia="Calibri" w:hAnsi="Calibri" w:cs="Calibri"/>
          <w:bCs/>
          <w:szCs w:val="22"/>
          <w:lang w:eastAsia="en-US"/>
        </w:rPr>
        <w:t xml:space="preserve">226. </w:t>
      </w:r>
    </w:p>
    <w:p w:rsidR="001F3673" w:rsidRDefault="001F3673" w:rsidP="008676F9">
      <w:pPr>
        <w:autoSpaceDE w:val="0"/>
        <w:autoSpaceDN w:val="0"/>
        <w:adjustRightInd w:val="0"/>
        <w:spacing w:line="276" w:lineRule="auto"/>
        <w:rPr>
          <w:rFonts w:ascii="Calibri" w:eastAsia="Calibri" w:hAnsi="Calibri"/>
          <w:i/>
          <w:sz w:val="18"/>
          <w:szCs w:val="18"/>
        </w:rPr>
      </w:pPr>
    </w:p>
    <w:p w:rsidR="008676F9" w:rsidRPr="00BD13CE" w:rsidRDefault="008676F9" w:rsidP="00A03A77">
      <w:pPr>
        <w:shd w:val="clear" w:color="auto" w:fill="EAF1DD"/>
        <w:ind w:left="1843" w:hanging="1843"/>
        <w:rPr>
          <w:rFonts w:ascii="Calibri" w:eastAsia="Calibri" w:hAnsi="Calibri" w:cs="Calibri"/>
          <w:b/>
          <w:bCs/>
          <w:sz w:val="24"/>
          <w:lang w:eastAsia="en-US"/>
        </w:rPr>
      </w:pPr>
      <w:r w:rsidRPr="008676F9">
        <w:rPr>
          <w:rFonts w:ascii="Calibri" w:eastAsia="Calibri" w:hAnsi="Calibri" w:cs="Calibri"/>
          <w:bCs/>
          <w:lang w:eastAsia="en-US"/>
        </w:rPr>
        <w:t xml:space="preserve">Podopatrenie: </w:t>
      </w:r>
      <w:r w:rsidRPr="008676F9">
        <w:rPr>
          <w:rFonts w:ascii="Calibri" w:eastAsia="Calibri" w:hAnsi="Calibri" w:cs="Calibri"/>
          <w:b/>
          <w:bCs/>
          <w:i/>
          <w:lang w:eastAsia="en-US"/>
        </w:rPr>
        <w:t xml:space="preserve">8.5. </w:t>
      </w:r>
      <w:r w:rsidRPr="00BD13CE">
        <w:rPr>
          <w:rFonts w:ascii="Calibri" w:eastAsia="Calibri" w:hAnsi="Calibri" w:cs="Calibri"/>
          <w:b/>
          <w:bCs/>
          <w:i/>
          <w:sz w:val="24"/>
          <w:lang w:eastAsia="en-US"/>
        </w:rPr>
        <w:t>Podpora investícií zlepšujúcich odolnosť a environmentálnu hodnotu lesných ekosystémov</w:t>
      </w:r>
    </w:p>
    <w:p w:rsidR="008676F9" w:rsidRPr="008676F9" w:rsidRDefault="008676F9" w:rsidP="008676F9">
      <w:pPr>
        <w:shd w:val="clear" w:color="auto" w:fill="FBD4B4"/>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Názov operácie:</w:t>
      </w:r>
    </w:p>
    <w:p w:rsidR="008676F9" w:rsidRPr="008676F9" w:rsidRDefault="00024E82" w:rsidP="008676F9">
      <w:pPr>
        <w:shd w:val="clear" w:color="auto" w:fill="FBD4B4"/>
        <w:rPr>
          <w:rFonts w:ascii="Calibri" w:eastAsia="Calibri" w:hAnsi="Calibri" w:cs="Calibri"/>
          <w:i/>
          <w:szCs w:val="22"/>
          <w:lang w:eastAsia="en-US"/>
        </w:rPr>
      </w:pPr>
      <w:r>
        <w:rPr>
          <w:rFonts w:ascii="Calibri" w:eastAsia="Calibri" w:hAnsi="Calibri" w:cs="Calibri"/>
          <w:i/>
          <w:szCs w:val="22"/>
          <w:lang w:eastAsia="en-US"/>
        </w:rPr>
        <w:t>Obnova</w:t>
      </w:r>
      <w:r w:rsidR="00EC15F8">
        <w:rPr>
          <w:rFonts w:ascii="Calibri" w:eastAsia="Calibri" w:hAnsi="Calibri" w:cs="Calibri"/>
          <w:i/>
          <w:szCs w:val="22"/>
          <w:lang w:eastAsia="en-US"/>
        </w:rPr>
        <w:t xml:space="preserve"> ochranných</w:t>
      </w:r>
      <w:r>
        <w:rPr>
          <w:rFonts w:ascii="Calibri" w:eastAsia="Calibri" w:hAnsi="Calibri" w:cs="Calibri"/>
          <w:i/>
          <w:szCs w:val="22"/>
          <w:lang w:eastAsia="en-US"/>
        </w:rPr>
        <w:t xml:space="preserve"> lesov a lesov osobitného určenia</w:t>
      </w:r>
      <w:r w:rsidR="008676F9" w:rsidRPr="008676F9">
        <w:rPr>
          <w:rFonts w:ascii="Calibri" w:eastAsia="Calibri" w:hAnsi="Calibri" w:cs="Calibri"/>
          <w:i/>
          <w:szCs w:val="22"/>
          <w:lang w:eastAsia="en-US"/>
        </w:rPr>
        <w:t>, hniezdnych príležitosti vtákov a rozvoja občianskej a poznávacej infraštruktúry v lesných ekosystémoch</w:t>
      </w:r>
    </w:p>
    <w:p w:rsidR="008676F9" w:rsidRPr="008676F9" w:rsidRDefault="008676F9" w:rsidP="008676F9">
      <w:pPr>
        <w:rPr>
          <w:rFonts w:ascii="Calibri" w:eastAsia="Calibri" w:hAnsi="Calibri" w:cs="Calibri"/>
          <w:bCs/>
          <w:szCs w:val="22"/>
          <w:u w:val="single"/>
          <w:lang w:eastAsia="en-US"/>
        </w:rPr>
      </w:pPr>
    </w:p>
    <w:p w:rsidR="008676F9" w:rsidRPr="008676F9" w:rsidRDefault="008676F9" w:rsidP="008676F9">
      <w:pPr>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Opis operácie:</w:t>
      </w:r>
    </w:p>
    <w:p w:rsidR="00024E82" w:rsidRDefault="008676F9" w:rsidP="00024E82">
      <w:pPr>
        <w:spacing w:after="120"/>
        <w:rPr>
          <w:rFonts w:ascii="Calibri" w:eastAsia="Calibri" w:hAnsi="Calibri" w:cs="Calibri"/>
          <w:bCs/>
          <w:szCs w:val="22"/>
          <w:lang w:eastAsia="en-US"/>
        </w:rPr>
      </w:pPr>
      <w:r w:rsidRPr="008676F9">
        <w:rPr>
          <w:rFonts w:ascii="Calibri" w:eastAsia="Calibri" w:hAnsi="Calibri" w:cs="Calibri"/>
          <w:b/>
          <w:bCs/>
          <w:szCs w:val="22"/>
          <w:lang w:eastAsia="en-US"/>
        </w:rPr>
        <w:t>Činnosť 1:</w:t>
      </w:r>
      <w:r w:rsidRPr="008676F9">
        <w:rPr>
          <w:rFonts w:ascii="Calibri" w:eastAsia="Calibri" w:hAnsi="Calibri" w:cs="Calibri"/>
          <w:bCs/>
          <w:szCs w:val="22"/>
          <w:lang w:eastAsia="en-US"/>
        </w:rPr>
        <w:t xml:space="preserve"> </w:t>
      </w:r>
      <w:r w:rsidR="00024E82">
        <w:rPr>
          <w:rFonts w:ascii="Calibri" w:eastAsia="Calibri" w:hAnsi="Calibri" w:cs="Calibri"/>
          <w:bCs/>
          <w:szCs w:val="22"/>
          <w:lang w:eastAsia="en-US"/>
        </w:rPr>
        <w:t xml:space="preserve">umelá obnova </w:t>
      </w:r>
      <w:r w:rsidR="005C7530">
        <w:rPr>
          <w:rFonts w:ascii="Calibri" w:eastAsia="Calibri" w:hAnsi="Calibri" w:cs="Calibri"/>
          <w:bCs/>
          <w:szCs w:val="22"/>
          <w:lang w:eastAsia="en-US"/>
        </w:rPr>
        <w:t xml:space="preserve">a výchova </w:t>
      </w:r>
      <w:r w:rsidR="00024E82">
        <w:rPr>
          <w:rFonts w:ascii="Calibri" w:eastAsia="Calibri" w:hAnsi="Calibri" w:cs="Calibri"/>
          <w:bCs/>
          <w:szCs w:val="22"/>
          <w:lang w:eastAsia="en-US"/>
        </w:rPr>
        <w:t>ochranných lesov a lesov osobitného určenia</w:t>
      </w:r>
      <w:r w:rsidR="005C7530">
        <w:rPr>
          <w:rFonts w:ascii="Calibri" w:eastAsia="Calibri" w:hAnsi="Calibri" w:cs="Calibri"/>
          <w:bCs/>
          <w:szCs w:val="22"/>
          <w:lang w:eastAsia="en-US"/>
        </w:rPr>
        <w:t>, najmä</w:t>
      </w:r>
      <w:r w:rsidR="004135E6">
        <w:rPr>
          <w:rFonts w:ascii="Calibri" w:eastAsia="Calibri" w:hAnsi="Calibri" w:cs="Calibri"/>
          <w:bCs/>
          <w:szCs w:val="22"/>
          <w:lang w:eastAsia="en-US"/>
        </w:rPr>
        <w:t xml:space="preserve"> podsadbou lesných porastov</w:t>
      </w:r>
      <w:r w:rsidR="00024E82">
        <w:rPr>
          <w:rFonts w:ascii="Calibri" w:eastAsia="Calibri" w:hAnsi="Calibri" w:cs="Calibri"/>
          <w:bCs/>
          <w:szCs w:val="22"/>
          <w:lang w:eastAsia="en-US"/>
        </w:rPr>
        <w:t>.</w:t>
      </w:r>
    </w:p>
    <w:p w:rsidR="008676F9" w:rsidRDefault="008676F9" w:rsidP="002A743D">
      <w:pPr>
        <w:rPr>
          <w:rFonts w:ascii="Calibri" w:eastAsia="Calibri" w:hAnsi="Calibri"/>
          <w:szCs w:val="22"/>
          <w:lang w:eastAsia="en-US"/>
        </w:rPr>
      </w:pPr>
      <w:r w:rsidRPr="008676F9">
        <w:rPr>
          <w:rFonts w:ascii="Calibri" w:eastAsia="Calibri" w:hAnsi="Calibri"/>
          <w:b/>
          <w:szCs w:val="22"/>
          <w:lang w:eastAsia="en-US"/>
        </w:rPr>
        <w:t xml:space="preserve">Činnosť 2: </w:t>
      </w:r>
      <w:r w:rsidRPr="008676F9">
        <w:rPr>
          <w:rFonts w:ascii="Calibri" w:eastAsia="Calibri" w:hAnsi="Calibri"/>
          <w:szCs w:val="22"/>
          <w:lang w:eastAsia="en-US"/>
        </w:rPr>
        <w:t>budovanie a obnova občianskej a poznávacej infraštruktúry v lesných ekosystémoch (náučné a turistické chodníky, cyklotrasy, odpočívadlá, pozorovateľne, mostíky, turistické značenie, mapové panely, informačné tabule, turistické útulne, ohniská, odpadkové koše, vyhliadkové veže, lanové dráhy, schody, rebríky, chodníky, objekty a centrá biodiverzity na pozorovanie – mokrade, malé vodné plochy, ukážkové lesné biotopy).</w:t>
      </w:r>
    </w:p>
    <w:p w:rsidR="002A743D" w:rsidRPr="008676F9" w:rsidRDefault="002A743D" w:rsidP="00024E82">
      <w:pPr>
        <w:ind w:left="426" w:hanging="426"/>
        <w:rPr>
          <w:rFonts w:ascii="Calibri" w:eastAsia="Calibri" w:hAnsi="Calibri"/>
          <w:b/>
          <w:szCs w:val="22"/>
          <w:lang w:eastAsia="en-US"/>
        </w:rPr>
      </w:pPr>
    </w:p>
    <w:p w:rsidR="008676F9" w:rsidRPr="008676F9" w:rsidRDefault="008676F9" w:rsidP="006F5151">
      <w:pPr>
        <w:rPr>
          <w:rFonts w:ascii="Calibri" w:eastAsia="Calibri" w:hAnsi="Calibri" w:cs="Calibri"/>
          <w:bCs/>
          <w:szCs w:val="22"/>
          <w:lang w:eastAsia="en-US"/>
        </w:rPr>
      </w:pPr>
      <w:r w:rsidRPr="008676F9">
        <w:rPr>
          <w:rFonts w:ascii="Calibri" w:eastAsia="Calibri" w:hAnsi="Calibri"/>
          <w:b/>
          <w:szCs w:val="22"/>
          <w:lang w:eastAsia="en-US"/>
        </w:rPr>
        <w:t xml:space="preserve">Činnosť 3: </w:t>
      </w:r>
      <w:r w:rsidRPr="008676F9">
        <w:rPr>
          <w:rFonts w:ascii="Calibri" w:eastAsia="Calibri" w:hAnsi="Calibri" w:cs="Calibri"/>
          <w:bCs/>
          <w:szCs w:val="22"/>
          <w:lang w:eastAsia="en-US"/>
        </w:rPr>
        <w:t>zlepšenie hniezdnych príležitostí vtákov v lese a iných prvkov zvyšujúcich biodiverzitu lesných ekosystémov</w:t>
      </w:r>
      <w:r w:rsidR="001F3673">
        <w:rPr>
          <w:rFonts w:ascii="Calibri" w:eastAsia="Calibri" w:hAnsi="Calibri" w:cs="Calibri"/>
          <w:bCs/>
          <w:szCs w:val="22"/>
          <w:lang w:eastAsia="en-US"/>
        </w:rPr>
        <w:t>, a</w:t>
      </w:r>
      <w:r w:rsidRPr="008676F9">
        <w:rPr>
          <w:rFonts w:ascii="Calibri" w:eastAsia="Calibri" w:hAnsi="Calibri" w:cs="Calibri"/>
          <w:bCs/>
          <w:szCs w:val="22"/>
          <w:lang w:eastAsia="en-US"/>
        </w:rPr>
        <w:t xml:space="preserve"> to hlavne:</w:t>
      </w:r>
    </w:p>
    <w:p w:rsidR="008676F9" w:rsidRPr="008676F9" w:rsidRDefault="008676F9" w:rsidP="00095683">
      <w:pPr>
        <w:numPr>
          <w:ilvl w:val="0"/>
          <w:numId w:val="44"/>
        </w:numPr>
        <w:spacing w:after="120"/>
        <w:ind w:left="714" w:hanging="357"/>
        <w:rPr>
          <w:rFonts w:ascii="Calibri" w:hAnsi="Calibri" w:cs="Calibri"/>
          <w:bCs/>
          <w:szCs w:val="22"/>
          <w:lang w:eastAsia="en-US"/>
        </w:rPr>
      </w:pPr>
      <w:r w:rsidRPr="008676F9">
        <w:rPr>
          <w:rFonts w:ascii="Calibri" w:hAnsi="Calibri" w:cs="Calibri"/>
          <w:bCs/>
          <w:szCs w:val="22"/>
          <w:lang w:eastAsia="en-US"/>
        </w:rPr>
        <w:t xml:space="preserve">výrobou a inštaláciou hniezdnych búdok pre dutinové hniezdiče (predovšetkým pôtik kapcavý, sova obyčajná, sova dlhochvostá) a hmyzožravé spevavce; </w:t>
      </w:r>
    </w:p>
    <w:p w:rsidR="008676F9" w:rsidRPr="008676F9" w:rsidRDefault="008676F9" w:rsidP="001F5283">
      <w:pPr>
        <w:numPr>
          <w:ilvl w:val="0"/>
          <w:numId w:val="44"/>
        </w:numPr>
        <w:rPr>
          <w:rFonts w:ascii="Calibri" w:hAnsi="Calibri" w:cs="Calibri"/>
          <w:bCs/>
          <w:szCs w:val="22"/>
          <w:lang w:eastAsia="en-US"/>
        </w:rPr>
      </w:pPr>
      <w:r w:rsidRPr="008676F9">
        <w:rPr>
          <w:rFonts w:ascii="Calibri" w:hAnsi="Calibri" w:cs="Calibri"/>
          <w:bCs/>
          <w:szCs w:val="22"/>
          <w:lang w:eastAsia="en-US"/>
        </w:rPr>
        <w:t xml:space="preserve">výrobou a inštaláciou iných prvkov infraštruktúry biodiverzity pre ochranu, resp. podporu </w:t>
      </w:r>
      <w:r w:rsidR="004135E6">
        <w:rPr>
          <w:rFonts w:ascii="Calibri" w:hAnsi="Calibri" w:cs="Calibri"/>
          <w:bCs/>
          <w:szCs w:val="22"/>
          <w:lang w:eastAsia="en-US"/>
        </w:rPr>
        <w:t>chránených</w:t>
      </w:r>
      <w:r w:rsidRPr="008676F9">
        <w:rPr>
          <w:rFonts w:ascii="Calibri" w:hAnsi="Calibri" w:cs="Calibri"/>
          <w:bCs/>
          <w:szCs w:val="22"/>
          <w:lang w:eastAsia="en-US"/>
        </w:rPr>
        <w:t xml:space="preserve"> druhov živočíchov.</w:t>
      </w:r>
    </w:p>
    <w:p w:rsidR="008676F9" w:rsidRPr="008676F9" w:rsidRDefault="008676F9" w:rsidP="006F5151">
      <w:pPr>
        <w:rPr>
          <w:rFonts w:ascii="Calibri" w:eastAsia="Calibri" w:hAnsi="Calibri" w:cs="Calibri"/>
          <w:bCs/>
          <w:szCs w:val="22"/>
          <w:lang w:eastAsia="en-US"/>
        </w:rPr>
      </w:pPr>
    </w:p>
    <w:p w:rsidR="008676F9" w:rsidRPr="008676F9" w:rsidRDefault="008676F9" w:rsidP="006F5151">
      <w:pPr>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Typ podpory:</w:t>
      </w:r>
    </w:p>
    <w:p w:rsidR="008676F9" w:rsidRPr="008676F9" w:rsidRDefault="008676F9" w:rsidP="001F5283">
      <w:pPr>
        <w:numPr>
          <w:ilvl w:val="0"/>
          <w:numId w:val="48"/>
        </w:numPr>
        <w:ind w:left="426"/>
        <w:rPr>
          <w:rFonts w:ascii="Calibri" w:eastAsia="Calibri" w:hAnsi="Calibri" w:cs="Calibri"/>
          <w:bCs/>
          <w:szCs w:val="22"/>
          <w:lang w:eastAsia="en-US"/>
        </w:rPr>
      </w:pPr>
      <w:r w:rsidRPr="008676F9">
        <w:rPr>
          <w:rFonts w:ascii="Calibri" w:eastAsia="Calibri" w:hAnsi="Calibri" w:cs="Calibri"/>
          <w:bCs/>
          <w:szCs w:val="22"/>
          <w:lang w:eastAsia="en-US"/>
        </w:rPr>
        <w:t>Investičná, nezisková, nenávratný finančný príspevok.</w:t>
      </w:r>
    </w:p>
    <w:p w:rsidR="001F3673" w:rsidRDefault="001F3673" w:rsidP="006F5151">
      <w:pPr>
        <w:rPr>
          <w:rFonts w:ascii="Calibri" w:eastAsia="Calibri" w:hAnsi="Calibri" w:cs="Calibri"/>
          <w:bCs/>
          <w:szCs w:val="22"/>
          <w:u w:val="single"/>
          <w:lang w:eastAsia="en-US"/>
        </w:rPr>
      </w:pPr>
    </w:p>
    <w:p w:rsidR="008676F9" w:rsidRPr="008676F9" w:rsidRDefault="008676F9" w:rsidP="006F5151">
      <w:pPr>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Súvislosť s inou legislatívou:</w:t>
      </w:r>
    </w:p>
    <w:p w:rsidR="008676F9" w:rsidRPr="008676F9" w:rsidRDefault="008676F9" w:rsidP="002A743D">
      <w:pPr>
        <w:spacing w:after="120"/>
        <w:rPr>
          <w:rFonts w:ascii="Calibri" w:eastAsia="Calibri" w:hAnsi="Calibri"/>
          <w:szCs w:val="22"/>
          <w:lang w:eastAsia="en-US"/>
        </w:rPr>
      </w:pPr>
      <w:r w:rsidRPr="008676F9">
        <w:rPr>
          <w:rFonts w:ascii="Calibri" w:eastAsia="Calibri" w:hAnsi="Calibri"/>
          <w:szCs w:val="22"/>
          <w:lang w:eastAsia="en-US"/>
        </w:rPr>
        <w:t xml:space="preserve">Neprekrývanie podpory v rámci tejto operácie s podporou v rámci podopatrenia 6.4 je zabezpečené rozdielnym typom oprávnených činnosti (v rámci podopatrenia 6.4 je v prípade obhospodarovateľov lesa oprávnená podpora aktivít, mimo aktivít oprávnených v rámci tejto operácie) . </w:t>
      </w:r>
    </w:p>
    <w:p w:rsidR="008676F9" w:rsidRPr="008676F9" w:rsidRDefault="008676F9" w:rsidP="006F5151">
      <w:pPr>
        <w:rPr>
          <w:rFonts w:ascii="Calibri" w:eastAsia="Calibri" w:hAnsi="Calibri" w:cs="Calibri"/>
          <w:bCs/>
          <w:szCs w:val="22"/>
          <w:u w:val="single"/>
          <w:lang w:eastAsia="en-US"/>
        </w:rPr>
      </w:pPr>
      <w:r w:rsidRPr="008676F9">
        <w:rPr>
          <w:rFonts w:ascii="Calibri" w:eastAsia="Calibri" w:hAnsi="Calibri"/>
          <w:szCs w:val="22"/>
          <w:lang w:eastAsia="en-US"/>
        </w:rPr>
        <w:t>Neprekrývanie podpory v rámci tejto operácie a podpory v rámci podopatrenia 8.</w:t>
      </w:r>
      <w:r w:rsidR="004135E6">
        <w:rPr>
          <w:rFonts w:ascii="Calibri" w:eastAsia="Calibri" w:hAnsi="Calibri"/>
          <w:szCs w:val="22"/>
          <w:lang w:eastAsia="en-US"/>
        </w:rPr>
        <w:t>4</w:t>
      </w:r>
      <w:r w:rsidRPr="008676F9">
        <w:rPr>
          <w:rFonts w:ascii="Calibri" w:eastAsia="Calibri" w:hAnsi="Calibri"/>
          <w:szCs w:val="22"/>
          <w:lang w:eastAsia="en-US"/>
        </w:rPr>
        <w:t xml:space="preserve">  je zabezpečené rozdielnym typom oprávnených činnosti (v rámci </w:t>
      </w:r>
      <w:r w:rsidR="004135E6">
        <w:rPr>
          <w:rFonts w:ascii="Calibri" w:eastAsia="Calibri" w:hAnsi="Calibri"/>
          <w:szCs w:val="22"/>
          <w:lang w:eastAsia="en-US"/>
        </w:rPr>
        <w:t xml:space="preserve">tejto operácie je podpora zameraná na obnovu ochranných lesov a lesov osobitného určenia podsadbou lesných porastov, ktoré nie sú destabilizované prírodnými pohromami a katastrofickými udalosťami; v rámci </w:t>
      </w:r>
      <w:r w:rsidRPr="008676F9">
        <w:rPr>
          <w:rFonts w:ascii="Calibri" w:eastAsia="Calibri" w:hAnsi="Calibri"/>
          <w:szCs w:val="22"/>
          <w:lang w:eastAsia="en-US"/>
        </w:rPr>
        <w:t>podopatrenia 8.</w:t>
      </w:r>
      <w:r w:rsidR="004135E6">
        <w:rPr>
          <w:rFonts w:ascii="Calibri" w:eastAsia="Calibri" w:hAnsi="Calibri"/>
          <w:szCs w:val="22"/>
          <w:lang w:eastAsia="en-US"/>
        </w:rPr>
        <w:t>4</w:t>
      </w:r>
      <w:r w:rsidRPr="008676F9">
        <w:rPr>
          <w:rFonts w:ascii="Calibri" w:eastAsia="Calibri" w:hAnsi="Calibri"/>
          <w:szCs w:val="22"/>
          <w:lang w:eastAsia="en-US"/>
        </w:rPr>
        <w:t xml:space="preserve"> je oprávnen</w:t>
      </w:r>
      <w:r w:rsidR="004135E6">
        <w:rPr>
          <w:rFonts w:ascii="Calibri" w:eastAsia="Calibri" w:hAnsi="Calibri"/>
          <w:szCs w:val="22"/>
          <w:lang w:eastAsia="en-US"/>
        </w:rPr>
        <w:t>á</w:t>
      </w:r>
      <w:r w:rsidRPr="008676F9">
        <w:rPr>
          <w:rFonts w:ascii="Calibri" w:eastAsia="Calibri" w:hAnsi="Calibri"/>
          <w:szCs w:val="22"/>
          <w:lang w:eastAsia="en-US"/>
        </w:rPr>
        <w:t xml:space="preserve"> obnova lesov </w:t>
      </w:r>
      <w:r w:rsidR="004135E6">
        <w:rPr>
          <w:rFonts w:ascii="Calibri" w:eastAsia="Calibri" w:hAnsi="Calibri"/>
          <w:szCs w:val="22"/>
          <w:lang w:eastAsia="en-US"/>
        </w:rPr>
        <w:t>všetkých kategórií, ktoré sú destabilizované prírodnými pohromami a katastrofickými udalosťami</w:t>
      </w:r>
      <w:r w:rsidRPr="008676F9">
        <w:rPr>
          <w:rFonts w:ascii="Calibri" w:eastAsia="Calibri" w:hAnsi="Calibri"/>
          <w:szCs w:val="22"/>
          <w:lang w:eastAsia="en-US"/>
        </w:rPr>
        <w:t>).</w:t>
      </w:r>
    </w:p>
    <w:p w:rsidR="008676F9" w:rsidRPr="008676F9" w:rsidRDefault="008676F9" w:rsidP="006F5151">
      <w:pPr>
        <w:rPr>
          <w:rFonts w:ascii="Calibri" w:eastAsia="Calibri" w:hAnsi="Calibri" w:cs="Calibri"/>
          <w:bCs/>
          <w:szCs w:val="22"/>
          <w:u w:val="single"/>
          <w:lang w:eastAsia="en-US"/>
        </w:rPr>
      </w:pPr>
    </w:p>
    <w:p w:rsidR="008676F9" w:rsidRPr="008676F9" w:rsidRDefault="008676F9" w:rsidP="006F5151">
      <w:pPr>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Prijímateľ podpory:</w:t>
      </w:r>
    </w:p>
    <w:p w:rsidR="008676F9" w:rsidRPr="008676F9" w:rsidRDefault="008676F9" w:rsidP="00955DA4">
      <w:pPr>
        <w:numPr>
          <w:ilvl w:val="0"/>
          <w:numId w:val="248"/>
        </w:numPr>
        <w:ind w:left="426"/>
        <w:rPr>
          <w:rFonts w:ascii="Calibri" w:hAnsi="Calibri" w:cs="Calibri"/>
          <w:bCs/>
          <w:szCs w:val="22"/>
          <w:lang w:eastAsia="en-US"/>
        </w:rPr>
      </w:pPr>
      <w:r w:rsidRPr="008676F9">
        <w:rPr>
          <w:rFonts w:ascii="Calibri" w:hAnsi="Calibri" w:cs="Calibri"/>
          <w:bCs/>
          <w:szCs w:val="22"/>
          <w:lang w:eastAsia="en-US"/>
        </w:rPr>
        <w:t>Fyzické a právnické osoby obhospodarujúce lesy vo vlastníctve:</w:t>
      </w:r>
    </w:p>
    <w:p w:rsidR="008676F9" w:rsidRPr="008676F9" w:rsidRDefault="008676F9" w:rsidP="001F5283">
      <w:pPr>
        <w:numPr>
          <w:ilvl w:val="0"/>
          <w:numId w:val="39"/>
        </w:numPr>
        <w:rPr>
          <w:rFonts w:ascii="Calibri" w:hAnsi="Calibri" w:cs="Calibri"/>
          <w:bCs/>
          <w:szCs w:val="22"/>
          <w:lang w:eastAsia="en-US"/>
        </w:rPr>
      </w:pPr>
      <w:r w:rsidRPr="008676F9">
        <w:rPr>
          <w:rFonts w:ascii="Calibri" w:hAnsi="Calibri" w:cs="Calibri"/>
          <w:bCs/>
          <w:i/>
          <w:szCs w:val="22"/>
          <w:lang w:eastAsia="en-US"/>
        </w:rPr>
        <w:t>súkromných vlastníkov a ich združení</w:t>
      </w:r>
      <w:r w:rsidRPr="008676F9">
        <w:rPr>
          <w:rFonts w:ascii="Calibri" w:hAnsi="Calibri" w:cs="Calibri"/>
          <w:bCs/>
          <w:szCs w:val="22"/>
          <w:lang w:eastAsia="en-US"/>
        </w:rPr>
        <w:t>;</w:t>
      </w:r>
    </w:p>
    <w:p w:rsidR="008676F9" w:rsidRPr="008676F9" w:rsidRDefault="008676F9" w:rsidP="001F5283">
      <w:pPr>
        <w:numPr>
          <w:ilvl w:val="0"/>
          <w:numId w:val="39"/>
        </w:numPr>
        <w:rPr>
          <w:rFonts w:ascii="Calibri" w:hAnsi="Calibri" w:cs="Calibri"/>
          <w:bCs/>
          <w:szCs w:val="22"/>
          <w:lang w:eastAsia="en-US"/>
        </w:rPr>
      </w:pPr>
      <w:r w:rsidRPr="008676F9">
        <w:rPr>
          <w:rFonts w:ascii="Calibri" w:hAnsi="Calibri" w:cs="Calibri"/>
          <w:bCs/>
          <w:i/>
          <w:szCs w:val="22"/>
          <w:lang w:eastAsia="en-US"/>
        </w:rPr>
        <w:t>obcí a ich združení</w:t>
      </w:r>
      <w:r w:rsidRPr="008676F9">
        <w:rPr>
          <w:rFonts w:ascii="Calibri" w:hAnsi="Calibri" w:cs="Calibri"/>
          <w:bCs/>
          <w:szCs w:val="22"/>
          <w:lang w:eastAsia="en-US"/>
        </w:rPr>
        <w:t>;</w:t>
      </w:r>
    </w:p>
    <w:p w:rsidR="008676F9" w:rsidRPr="008676F9" w:rsidRDefault="008676F9" w:rsidP="001F5283">
      <w:pPr>
        <w:numPr>
          <w:ilvl w:val="0"/>
          <w:numId w:val="39"/>
        </w:numPr>
        <w:rPr>
          <w:rFonts w:ascii="Calibri" w:hAnsi="Calibri" w:cs="Calibri"/>
          <w:bCs/>
          <w:szCs w:val="22"/>
          <w:lang w:eastAsia="en-US"/>
        </w:rPr>
      </w:pPr>
      <w:r w:rsidRPr="008676F9">
        <w:rPr>
          <w:rFonts w:ascii="Calibri" w:hAnsi="Calibri" w:cs="Calibri"/>
          <w:bCs/>
          <w:i/>
          <w:szCs w:val="22"/>
          <w:lang w:eastAsia="en-US"/>
        </w:rPr>
        <w:t>cirkvi</w:t>
      </w:r>
      <w:r w:rsidRPr="008676F9">
        <w:rPr>
          <w:rFonts w:ascii="Calibri" w:hAnsi="Calibri" w:cs="Calibri"/>
          <w:bCs/>
          <w:szCs w:val="22"/>
          <w:lang w:eastAsia="en-US"/>
        </w:rPr>
        <w:t>, ktorej majetok možno podľa vnútroštátneho právneho poriadku považovať za súkromný, pokiaľ ide o jeho správu a nakladanie s ním;</w:t>
      </w:r>
    </w:p>
    <w:p w:rsidR="002A743D" w:rsidRDefault="005C7530" w:rsidP="002A743D">
      <w:pPr>
        <w:ind w:left="720"/>
        <w:rPr>
          <w:rFonts w:ascii="Calibri" w:hAnsi="Calibri" w:cs="Calibri"/>
          <w:bCs/>
          <w:szCs w:val="22"/>
          <w:lang w:eastAsia="en-US"/>
        </w:rPr>
      </w:pPr>
      <w:r w:rsidRPr="008676F9">
        <w:rPr>
          <w:rFonts w:ascii="Calibri" w:hAnsi="Calibri" w:cs="Calibri"/>
          <w:bCs/>
          <w:i/>
          <w:szCs w:val="22"/>
          <w:lang w:eastAsia="en-US"/>
        </w:rPr>
        <w:t>štátu</w:t>
      </w:r>
      <w:r>
        <w:rPr>
          <w:rFonts w:ascii="Calibri" w:hAnsi="Calibri" w:cs="Calibri"/>
          <w:bCs/>
          <w:i/>
          <w:szCs w:val="22"/>
          <w:lang w:eastAsia="en-US"/>
        </w:rPr>
        <w:t xml:space="preserve"> </w:t>
      </w:r>
      <w:r>
        <w:rPr>
          <w:rFonts w:ascii="Calibri" w:hAnsi="Calibri" w:cs="Calibri"/>
          <w:bCs/>
          <w:szCs w:val="22"/>
          <w:lang w:eastAsia="en-US"/>
        </w:rPr>
        <w:t>(LESY SR, š.p.; Vojenské lesy a majetky SR, š.p.; Štátne lesy TANAP-u; Lesohospodársky podnik Ulič, š.p.).</w:t>
      </w:r>
    </w:p>
    <w:p w:rsidR="005C7530" w:rsidRPr="008676F9" w:rsidRDefault="005C7530" w:rsidP="002A743D">
      <w:pPr>
        <w:ind w:left="720"/>
        <w:rPr>
          <w:rFonts w:ascii="Calibri" w:hAnsi="Calibri" w:cs="Calibri"/>
          <w:bCs/>
          <w:szCs w:val="22"/>
          <w:u w:val="single"/>
          <w:lang w:eastAsia="en-US"/>
        </w:rPr>
      </w:pPr>
    </w:p>
    <w:p w:rsidR="008676F9" w:rsidRPr="008676F9" w:rsidRDefault="008676F9" w:rsidP="00955DA4">
      <w:pPr>
        <w:numPr>
          <w:ilvl w:val="0"/>
          <w:numId w:val="248"/>
        </w:numPr>
        <w:ind w:left="426"/>
        <w:rPr>
          <w:rFonts w:ascii="Calibri" w:hAnsi="Calibri" w:cs="Calibri"/>
          <w:bCs/>
          <w:szCs w:val="22"/>
          <w:lang w:eastAsia="en-US"/>
        </w:rPr>
      </w:pPr>
      <w:r w:rsidRPr="008676F9">
        <w:rPr>
          <w:rFonts w:ascii="Calibri" w:hAnsi="Calibri" w:cs="Calibri"/>
          <w:bCs/>
          <w:szCs w:val="22"/>
          <w:lang w:eastAsia="en-US"/>
        </w:rPr>
        <w:t>Občianske združenie v zmysle zákona č.</w:t>
      </w:r>
      <w:r w:rsidR="004135E6">
        <w:rPr>
          <w:rFonts w:ascii="Calibri" w:hAnsi="Calibri" w:cs="Calibri"/>
          <w:bCs/>
          <w:szCs w:val="22"/>
          <w:lang w:eastAsia="en-US"/>
        </w:rPr>
        <w:t xml:space="preserve"> </w:t>
      </w:r>
      <w:r w:rsidRPr="008676F9">
        <w:rPr>
          <w:rFonts w:ascii="Calibri" w:hAnsi="Calibri" w:cs="Calibri"/>
          <w:bCs/>
          <w:szCs w:val="22"/>
          <w:lang w:eastAsia="en-US"/>
        </w:rPr>
        <w:t>83/1990 Z.z.</w:t>
      </w:r>
      <w:r w:rsidR="004135E6">
        <w:rPr>
          <w:rFonts w:ascii="Calibri" w:hAnsi="Calibri" w:cs="Calibri"/>
          <w:bCs/>
          <w:szCs w:val="22"/>
          <w:lang w:eastAsia="en-US"/>
        </w:rPr>
        <w:t xml:space="preserve"> o združovaní občanov</w:t>
      </w:r>
      <w:r w:rsidRPr="008676F9">
        <w:rPr>
          <w:rFonts w:ascii="Calibri" w:hAnsi="Calibri" w:cs="Calibri"/>
          <w:bCs/>
          <w:szCs w:val="22"/>
          <w:lang w:eastAsia="en-US"/>
        </w:rPr>
        <w:t xml:space="preserve"> len so súhlasom obhospodarovateľa lesa daného územia. </w:t>
      </w:r>
    </w:p>
    <w:p w:rsidR="008676F9" w:rsidRDefault="008676F9" w:rsidP="006F5151">
      <w:pPr>
        <w:rPr>
          <w:rFonts w:ascii="Calibri" w:eastAsia="Calibri" w:hAnsi="Calibri" w:cs="Calibri"/>
          <w:bCs/>
          <w:szCs w:val="22"/>
          <w:u w:val="single"/>
          <w:lang w:eastAsia="en-US"/>
        </w:rPr>
      </w:pPr>
    </w:p>
    <w:p w:rsidR="008676F9" w:rsidRPr="008676F9" w:rsidRDefault="008676F9" w:rsidP="006F5151">
      <w:pPr>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Oprávnené náklady:</w:t>
      </w:r>
    </w:p>
    <w:p w:rsidR="008676F9" w:rsidRPr="008676F9" w:rsidRDefault="008676F9" w:rsidP="004135E6">
      <w:pPr>
        <w:rPr>
          <w:rFonts w:ascii="Calibri" w:eastAsia="Calibri" w:hAnsi="Calibri" w:cs="Calibri"/>
          <w:bCs/>
          <w:szCs w:val="22"/>
          <w:lang w:eastAsia="en-US"/>
        </w:rPr>
      </w:pPr>
      <w:r w:rsidRPr="008676F9">
        <w:rPr>
          <w:rFonts w:ascii="Calibri" w:eastAsia="Calibri" w:hAnsi="Calibri" w:cs="Calibri"/>
          <w:bCs/>
          <w:szCs w:val="22"/>
          <w:lang w:eastAsia="en-US"/>
        </w:rPr>
        <w:t xml:space="preserve">V prípade </w:t>
      </w:r>
      <w:r w:rsidRPr="008676F9">
        <w:rPr>
          <w:rFonts w:ascii="Calibri" w:eastAsia="Calibri" w:hAnsi="Calibri" w:cs="Calibri"/>
          <w:b/>
          <w:bCs/>
          <w:szCs w:val="22"/>
          <w:lang w:eastAsia="en-US"/>
        </w:rPr>
        <w:t>činnosti 1:</w:t>
      </w:r>
    </w:p>
    <w:p w:rsidR="00865BF9" w:rsidRDefault="004135E6" w:rsidP="00CE203B">
      <w:pPr>
        <w:numPr>
          <w:ilvl w:val="0"/>
          <w:numId w:val="303"/>
        </w:numPr>
        <w:contextualSpacing/>
        <w:rPr>
          <w:rFonts w:ascii="Calibri" w:eastAsia="Calibri" w:hAnsi="Calibri" w:cs="Calibri"/>
          <w:bCs/>
          <w:szCs w:val="22"/>
          <w:lang w:eastAsia="en-US"/>
        </w:rPr>
      </w:pPr>
      <w:r>
        <w:rPr>
          <w:rFonts w:ascii="Calibri" w:eastAsia="Calibri" w:hAnsi="Calibri" w:cs="Calibri"/>
          <w:bCs/>
          <w:szCs w:val="22"/>
          <w:lang w:eastAsia="en-US"/>
        </w:rPr>
        <w:t>výdavky na hmotné a nehmotné investície súvisiace s</w:t>
      </w:r>
      <w:r w:rsidR="002A743D" w:rsidRPr="002A743D">
        <w:rPr>
          <w:rFonts w:ascii="Calibri" w:eastAsia="Calibri" w:hAnsi="Calibri" w:cs="Calibri"/>
          <w:bCs/>
          <w:szCs w:val="22"/>
          <w:lang w:eastAsia="en-US"/>
        </w:rPr>
        <w:t xml:space="preserve"> umel</w:t>
      </w:r>
      <w:r>
        <w:rPr>
          <w:rFonts w:ascii="Calibri" w:eastAsia="Calibri" w:hAnsi="Calibri" w:cs="Calibri"/>
          <w:bCs/>
          <w:szCs w:val="22"/>
          <w:lang w:eastAsia="en-US"/>
        </w:rPr>
        <w:t>ou</w:t>
      </w:r>
      <w:r w:rsidR="002A743D" w:rsidRPr="002A743D">
        <w:rPr>
          <w:rFonts w:ascii="Calibri" w:eastAsia="Calibri" w:hAnsi="Calibri" w:cs="Calibri"/>
          <w:bCs/>
          <w:szCs w:val="22"/>
          <w:lang w:eastAsia="en-US"/>
        </w:rPr>
        <w:t xml:space="preserve"> obnov</w:t>
      </w:r>
      <w:r>
        <w:rPr>
          <w:rFonts w:ascii="Calibri" w:eastAsia="Calibri" w:hAnsi="Calibri" w:cs="Calibri"/>
          <w:bCs/>
          <w:szCs w:val="22"/>
          <w:lang w:eastAsia="en-US"/>
        </w:rPr>
        <w:t>o</w:t>
      </w:r>
      <w:r w:rsidR="002A743D" w:rsidRPr="002A743D">
        <w:rPr>
          <w:rFonts w:ascii="Calibri" w:eastAsia="Calibri" w:hAnsi="Calibri" w:cs="Calibri"/>
          <w:bCs/>
          <w:szCs w:val="22"/>
          <w:lang w:eastAsia="en-US"/>
        </w:rPr>
        <w:t>u lesa</w:t>
      </w:r>
      <w:r>
        <w:rPr>
          <w:rFonts w:ascii="Calibri" w:eastAsia="Calibri" w:hAnsi="Calibri" w:cs="Calibri"/>
          <w:bCs/>
          <w:szCs w:val="22"/>
          <w:lang w:eastAsia="en-US"/>
        </w:rPr>
        <w:t xml:space="preserve"> podsadbou lesných porastov </w:t>
      </w:r>
      <w:r w:rsidR="002A743D" w:rsidRPr="002A743D">
        <w:rPr>
          <w:rFonts w:ascii="Calibri" w:eastAsia="Calibri" w:hAnsi="Calibri" w:cs="Calibri"/>
          <w:bCs/>
          <w:szCs w:val="22"/>
          <w:lang w:eastAsia="en-US"/>
        </w:rPr>
        <w:t>a následn</w:t>
      </w:r>
      <w:r>
        <w:rPr>
          <w:rFonts w:ascii="Calibri" w:eastAsia="Calibri" w:hAnsi="Calibri" w:cs="Calibri"/>
          <w:bCs/>
          <w:szCs w:val="22"/>
          <w:lang w:eastAsia="en-US"/>
        </w:rPr>
        <w:t>ou</w:t>
      </w:r>
      <w:r w:rsidR="002A743D" w:rsidRPr="002A743D">
        <w:rPr>
          <w:rFonts w:ascii="Calibri" w:eastAsia="Calibri" w:hAnsi="Calibri" w:cs="Calibri"/>
          <w:bCs/>
          <w:szCs w:val="22"/>
          <w:lang w:eastAsia="en-US"/>
        </w:rPr>
        <w:t xml:space="preserve"> starostlivosť</w:t>
      </w:r>
      <w:r>
        <w:rPr>
          <w:rFonts w:ascii="Calibri" w:eastAsia="Calibri" w:hAnsi="Calibri" w:cs="Calibri"/>
          <w:bCs/>
          <w:szCs w:val="22"/>
          <w:lang w:eastAsia="en-US"/>
        </w:rPr>
        <w:t>ou</w:t>
      </w:r>
      <w:r w:rsidR="002A743D" w:rsidRPr="002A743D">
        <w:rPr>
          <w:rFonts w:ascii="Calibri" w:eastAsia="Calibri" w:hAnsi="Calibri" w:cs="Calibri"/>
          <w:bCs/>
          <w:szCs w:val="22"/>
          <w:lang w:eastAsia="en-US"/>
        </w:rPr>
        <w:t xml:space="preserve"> o založené mladé </w:t>
      </w:r>
      <w:r>
        <w:rPr>
          <w:rFonts w:ascii="Calibri" w:eastAsia="Calibri" w:hAnsi="Calibri" w:cs="Calibri"/>
          <w:bCs/>
          <w:szCs w:val="22"/>
          <w:lang w:eastAsia="en-US"/>
        </w:rPr>
        <w:t xml:space="preserve">lesné </w:t>
      </w:r>
      <w:r w:rsidR="002A743D" w:rsidRPr="002A743D">
        <w:rPr>
          <w:rFonts w:ascii="Calibri" w:eastAsia="Calibri" w:hAnsi="Calibri" w:cs="Calibri"/>
          <w:bCs/>
          <w:szCs w:val="22"/>
          <w:lang w:eastAsia="en-US"/>
        </w:rPr>
        <w:t>porasty</w:t>
      </w:r>
      <w:r w:rsidR="00865BF9">
        <w:rPr>
          <w:rFonts w:ascii="Calibri" w:eastAsia="Calibri" w:hAnsi="Calibri" w:cs="Calibri"/>
          <w:bCs/>
          <w:szCs w:val="22"/>
          <w:lang w:eastAsia="en-US"/>
        </w:rPr>
        <w:t>;</w:t>
      </w:r>
    </w:p>
    <w:p w:rsidR="002A743D" w:rsidRDefault="00865BF9" w:rsidP="00CE203B">
      <w:pPr>
        <w:numPr>
          <w:ilvl w:val="0"/>
          <w:numId w:val="303"/>
        </w:numPr>
        <w:contextualSpacing/>
        <w:rPr>
          <w:rFonts w:ascii="Calibri" w:eastAsia="Calibri" w:hAnsi="Calibri" w:cs="Calibri"/>
          <w:bCs/>
          <w:szCs w:val="22"/>
          <w:lang w:eastAsia="en-US"/>
        </w:rPr>
      </w:pPr>
      <w:r>
        <w:rPr>
          <w:rFonts w:ascii="Calibri" w:eastAsia="Calibri" w:hAnsi="Calibri" w:cs="Calibri"/>
          <w:bCs/>
          <w:szCs w:val="22"/>
          <w:lang w:eastAsia="en-US"/>
        </w:rPr>
        <w:t>náklady na riadenie projektu</w:t>
      </w:r>
      <w:r w:rsidR="002A743D">
        <w:rPr>
          <w:rFonts w:ascii="Calibri" w:eastAsia="Calibri" w:hAnsi="Calibri" w:cs="Calibri"/>
          <w:bCs/>
          <w:szCs w:val="22"/>
          <w:lang w:eastAsia="en-US"/>
        </w:rPr>
        <w:t>.</w:t>
      </w:r>
    </w:p>
    <w:p w:rsidR="002A743D" w:rsidRPr="002A743D" w:rsidRDefault="002A743D" w:rsidP="004135E6">
      <w:pPr>
        <w:ind w:left="720"/>
        <w:contextualSpacing/>
        <w:rPr>
          <w:rFonts w:ascii="Calibri" w:eastAsia="Calibri" w:hAnsi="Calibri" w:cs="Calibri"/>
          <w:bCs/>
          <w:szCs w:val="22"/>
          <w:lang w:eastAsia="en-US"/>
        </w:rPr>
      </w:pPr>
    </w:p>
    <w:p w:rsidR="008676F9" w:rsidRPr="008676F9" w:rsidRDefault="008676F9" w:rsidP="004135E6">
      <w:pPr>
        <w:ind w:left="66"/>
        <w:contextualSpacing/>
        <w:rPr>
          <w:rFonts w:ascii="Calibri" w:eastAsia="Calibri" w:hAnsi="Calibri" w:cs="Calibri"/>
          <w:b/>
          <w:szCs w:val="22"/>
          <w:lang w:eastAsia="en-US"/>
        </w:rPr>
      </w:pPr>
      <w:r w:rsidRPr="008676F9">
        <w:rPr>
          <w:rFonts w:ascii="Calibri" w:eastAsia="Calibri" w:hAnsi="Calibri" w:cs="Calibri"/>
          <w:szCs w:val="22"/>
          <w:lang w:eastAsia="en-US"/>
        </w:rPr>
        <w:t xml:space="preserve">V prípade </w:t>
      </w:r>
      <w:r w:rsidRPr="008676F9">
        <w:rPr>
          <w:rFonts w:ascii="Calibri" w:eastAsia="Calibri" w:hAnsi="Calibri" w:cs="Calibri"/>
          <w:b/>
          <w:szCs w:val="22"/>
          <w:lang w:eastAsia="en-US"/>
        </w:rPr>
        <w:t>činnosti 2:</w:t>
      </w:r>
    </w:p>
    <w:p w:rsidR="008676F9" w:rsidRDefault="008676F9" w:rsidP="00955DA4">
      <w:pPr>
        <w:numPr>
          <w:ilvl w:val="0"/>
          <w:numId w:val="249"/>
        </w:numPr>
        <w:ind w:left="425" w:hanging="357"/>
        <w:rPr>
          <w:rFonts w:ascii="Calibri" w:hAnsi="Calibri" w:cs="Calibri"/>
          <w:bCs/>
          <w:szCs w:val="22"/>
          <w:lang w:eastAsia="en-US"/>
        </w:rPr>
      </w:pPr>
      <w:r w:rsidRPr="008676F9">
        <w:rPr>
          <w:rFonts w:ascii="Calibri" w:hAnsi="Calibri" w:cs="Calibri"/>
          <w:bCs/>
          <w:szCs w:val="22"/>
          <w:lang w:eastAsia="en-US"/>
        </w:rPr>
        <w:t>výdavky na hmotné a nehmotné investície súvisiace s budovaním a inštaláciou prvkov občianskej a poznávacej infraš</w:t>
      </w:r>
      <w:r w:rsidR="005C7530">
        <w:rPr>
          <w:rFonts w:ascii="Calibri" w:hAnsi="Calibri" w:cs="Calibri"/>
          <w:bCs/>
          <w:szCs w:val="22"/>
          <w:lang w:eastAsia="en-US"/>
        </w:rPr>
        <w:t>truktúry v lesných ekosystémoch;</w:t>
      </w:r>
    </w:p>
    <w:p w:rsidR="005C7530" w:rsidRDefault="005C7530" w:rsidP="00955DA4">
      <w:pPr>
        <w:numPr>
          <w:ilvl w:val="0"/>
          <w:numId w:val="249"/>
        </w:numPr>
        <w:ind w:left="425" w:hanging="357"/>
        <w:rPr>
          <w:rFonts w:ascii="Calibri" w:hAnsi="Calibri" w:cs="Calibri"/>
          <w:bCs/>
          <w:szCs w:val="22"/>
          <w:lang w:eastAsia="en-US"/>
        </w:rPr>
      </w:pPr>
      <w:r>
        <w:rPr>
          <w:rFonts w:ascii="Calibri" w:hAnsi="Calibri" w:cs="Calibri"/>
          <w:bCs/>
          <w:szCs w:val="22"/>
          <w:lang w:eastAsia="en-US"/>
        </w:rPr>
        <w:t>náklady na riadenie projektu.</w:t>
      </w:r>
    </w:p>
    <w:p w:rsidR="002A743D" w:rsidRPr="008676F9" w:rsidRDefault="002A743D" w:rsidP="004135E6">
      <w:pPr>
        <w:ind w:left="425"/>
        <w:rPr>
          <w:rFonts w:ascii="Calibri" w:hAnsi="Calibri" w:cs="Calibri"/>
          <w:bCs/>
          <w:szCs w:val="22"/>
          <w:lang w:eastAsia="en-US"/>
        </w:rPr>
      </w:pPr>
    </w:p>
    <w:p w:rsidR="008676F9" w:rsidRPr="008676F9" w:rsidRDefault="008676F9" w:rsidP="004135E6">
      <w:pPr>
        <w:ind w:left="66"/>
        <w:rPr>
          <w:rFonts w:ascii="Calibri" w:eastAsia="Calibri" w:hAnsi="Calibri" w:cs="Calibri"/>
          <w:b/>
          <w:bCs/>
          <w:szCs w:val="22"/>
          <w:lang w:eastAsia="en-US"/>
        </w:rPr>
      </w:pPr>
      <w:r w:rsidRPr="008676F9">
        <w:rPr>
          <w:rFonts w:ascii="Calibri" w:eastAsia="Calibri" w:hAnsi="Calibri" w:cs="Calibri"/>
          <w:bCs/>
          <w:szCs w:val="22"/>
          <w:lang w:eastAsia="en-US"/>
        </w:rPr>
        <w:t xml:space="preserve">V prípade </w:t>
      </w:r>
      <w:r w:rsidRPr="008676F9">
        <w:rPr>
          <w:rFonts w:ascii="Calibri" w:eastAsia="Calibri" w:hAnsi="Calibri" w:cs="Calibri"/>
          <w:b/>
          <w:bCs/>
          <w:szCs w:val="22"/>
          <w:lang w:eastAsia="en-US"/>
        </w:rPr>
        <w:t>činnosti 3:</w:t>
      </w:r>
    </w:p>
    <w:p w:rsidR="008676F9" w:rsidRPr="008676F9" w:rsidRDefault="008676F9" w:rsidP="00955DA4">
      <w:pPr>
        <w:numPr>
          <w:ilvl w:val="0"/>
          <w:numId w:val="250"/>
        </w:numPr>
        <w:ind w:left="426"/>
        <w:rPr>
          <w:rFonts w:ascii="Calibri" w:hAnsi="Calibri" w:cs="Calibri"/>
          <w:bCs/>
          <w:szCs w:val="22"/>
          <w:lang w:eastAsia="en-US"/>
        </w:rPr>
      </w:pPr>
      <w:r w:rsidRPr="008676F9">
        <w:rPr>
          <w:rFonts w:ascii="Calibri" w:hAnsi="Calibri" w:cs="Calibri"/>
          <w:bCs/>
          <w:szCs w:val="22"/>
          <w:lang w:eastAsia="en-US"/>
        </w:rPr>
        <w:t>výdavky na hmotné a nehmotné investície súvisiace s inštaláciou a výrobou búdok a iných prv</w:t>
      </w:r>
      <w:r w:rsidR="005C7530">
        <w:rPr>
          <w:rFonts w:ascii="Calibri" w:hAnsi="Calibri" w:cs="Calibri"/>
          <w:bCs/>
          <w:szCs w:val="22"/>
          <w:lang w:eastAsia="en-US"/>
        </w:rPr>
        <w:t>kov infraštruktúry biodiverzity;</w:t>
      </w:r>
      <w:r w:rsidRPr="008676F9">
        <w:rPr>
          <w:rFonts w:ascii="Calibri" w:hAnsi="Calibri" w:cs="Calibri"/>
          <w:bCs/>
          <w:szCs w:val="22"/>
          <w:lang w:eastAsia="en-US"/>
        </w:rPr>
        <w:t xml:space="preserve"> </w:t>
      </w:r>
    </w:p>
    <w:p w:rsidR="005C7530" w:rsidRDefault="005C7530" w:rsidP="00955DA4">
      <w:pPr>
        <w:numPr>
          <w:ilvl w:val="0"/>
          <w:numId w:val="250"/>
        </w:numPr>
        <w:rPr>
          <w:rFonts w:ascii="Calibri" w:hAnsi="Calibri" w:cs="Calibri"/>
          <w:bCs/>
          <w:szCs w:val="22"/>
          <w:lang w:eastAsia="en-US"/>
        </w:rPr>
      </w:pPr>
      <w:r>
        <w:rPr>
          <w:rFonts w:ascii="Calibri" w:hAnsi="Calibri" w:cs="Calibri"/>
          <w:bCs/>
          <w:szCs w:val="22"/>
          <w:lang w:eastAsia="en-US"/>
        </w:rPr>
        <w:t>náklady na riadenie projektu.</w:t>
      </w:r>
    </w:p>
    <w:p w:rsidR="008676F9" w:rsidRPr="008676F9" w:rsidRDefault="008676F9" w:rsidP="006F5151">
      <w:pPr>
        <w:rPr>
          <w:rFonts w:ascii="Calibri" w:eastAsia="Calibri" w:hAnsi="Calibri"/>
          <w:szCs w:val="22"/>
        </w:rPr>
      </w:pPr>
    </w:p>
    <w:p w:rsidR="008676F9" w:rsidRPr="008676F9" w:rsidRDefault="008676F9" w:rsidP="006F5151">
      <w:pPr>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Podmienky oprávnenosti:</w:t>
      </w:r>
    </w:p>
    <w:p w:rsidR="008676F9" w:rsidRDefault="004135E6" w:rsidP="00955DA4">
      <w:pPr>
        <w:numPr>
          <w:ilvl w:val="0"/>
          <w:numId w:val="251"/>
        </w:numPr>
        <w:spacing w:after="120"/>
        <w:ind w:left="426" w:hanging="284"/>
        <w:rPr>
          <w:rFonts w:ascii="Calibri" w:eastAsia="Calibri" w:hAnsi="Calibri"/>
          <w:szCs w:val="22"/>
          <w:lang w:eastAsia="en-US"/>
        </w:rPr>
      </w:pPr>
      <w:r>
        <w:rPr>
          <w:rFonts w:ascii="Calibri" w:eastAsia="Calibri" w:hAnsi="Calibri"/>
          <w:szCs w:val="22"/>
          <w:lang w:eastAsia="en-US"/>
        </w:rPr>
        <w:t>v prípade ochranných lesov je oprávnená umelá obnova lesa podsadbou lesných porastov vo všetkých subkategóriách tak, ako sú uvedené v zákone č. 326/2005 Z.z. o lese, § 13 ods. 2;</w:t>
      </w:r>
    </w:p>
    <w:p w:rsidR="004135E6" w:rsidRPr="008676F9" w:rsidRDefault="004135E6" w:rsidP="00955DA4">
      <w:pPr>
        <w:numPr>
          <w:ilvl w:val="0"/>
          <w:numId w:val="251"/>
        </w:numPr>
        <w:spacing w:after="120"/>
        <w:ind w:left="426" w:hanging="284"/>
        <w:rPr>
          <w:rFonts w:ascii="Calibri" w:eastAsia="Calibri" w:hAnsi="Calibri"/>
          <w:szCs w:val="22"/>
          <w:lang w:eastAsia="en-US"/>
        </w:rPr>
      </w:pPr>
      <w:r>
        <w:rPr>
          <w:rFonts w:ascii="Calibri" w:eastAsia="Calibri" w:hAnsi="Calibri"/>
          <w:szCs w:val="22"/>
          <w:lang w:eastAsia="en-US"/>
        </w:rPr>
        <w:t>v prípade lesov osobitného určenia je oprávnená umelá obnova lesa podsadb</w:t>
      </w:r>
      <w:r w:rsidR="00B70D1F">
        <w:rPr>
          <w:rFonts w:ascii="Calibri" w:eastAsia="Calibri" w:hAnsi="Calibri"/>
          <w:szCs w:val="22"/>
          <w:lang w:eastAsia="en-US"/>
        </w:rPr>
        <w:t>ou lesných porastov v </w:t>
      </w:r>
      <w:r>
        <w:rPr>
          <w:rFonts w:ascii="Calibri" w:eastAsia="Calibri" w:hAnsi="Calibri"/>
          <w:szCs w:val="22"/>
          <w:lang w:eastAsia="en-US"/>
        </w:rPr>
        <w:t>subkategóriách</w:t>
      </w:r>
      <w:r w:rsidR="00B70D1F">
        <w:rPr>
          <w:rFonts w:ascii="Calibri" w:eastAsia="Calibri" w:hAnsi="Calibri"/>
          <w:szCs w:val="22"/>
          <w:lang w:eastAsia="en-US"/>
        </w:rPr>
        <w:t>, ktoré</w:t>
      </w:r>
      <w:r>
        <w:rPr>
          <w:rFonts w:ascii="Calibri" w:eastAsia="Calibri" w:hAnsi="Calibri"/>
          <w:szCs w:val="22"/>
          <w:lang w:eastAsia="en-US"/>
        </w:rPr>
        <w:t xml:space="preserve"> sú uvedené v zákon</w:t>
      </w:r>
      <w:r w:rsidR="00B70D1F">
        <w:rPr>
          <w:rFonts w:ascii="Calibri" w:eastAsia="Calibri" w:hAnsi="Calibri"/>
          <w:szCs w:val="22"/>
          <w:lang w:eastAsia="en-US"/>
        </w:rPr>
        <w:t>e</w:t>
      </w:r>
      <w:r>
        <w:rPr>
          <w:rFonts w:ascii="Calibri" w:eastAsia="Calibri" w:hAnsi="Calibri"/>
          <w:szCs w:val="22"/>
          <w:lang w:eastAsia="en-US"/>
        </w:rPr>
        <w:t xml:space="preserve"> č. 326/2005 Z.z. o lese, § 14 ods. 2</w:t>
      </w:r>
      <w:r w:rsidR="00B70D1F">
        <w:rPr>
          <w:rFonts w:ascii="Calibri" w:eastAsia="Calibri" w:hAnsi="Calibri"/>
          <w:szCs w:val="22"/>
          <w:lang w:eastAsia="en-US"/>
        </w:rPr>
        <w:t>, písm. a), b), e), f) a g)</w:t>
      </w:r>
      <w:r>
        <w:rPr>
          <w:rFonts w:ascii="Calibri" w:eastAsia="Calibri" w:hAnsi="Calibri"/>
          <w:szCs w:val="22"/>
          <w:lang w:eastAsia="en-US"/>
        </w:rPr>
        <w:t>;</w:t>
      </w:r>
    </w:p>
    <w:p w:rsidR="008676F9" w:rsidRPr="002A743D" w:rsidRDefault="004135E6" w:rsidP="00955DA4">
      <w:pPr>
        <w:numPr>
          <w:ilvl w:val="0"/>
          <w:numId w:val="251"/>
        </w:numPr>
        <w:spacing w:after="120"/>
        <w:ind w:left="426" w:hanging="284"/>
        <w:rPr>
          <w:rFonts w:ascii="Calibri" w:eastAsia="Calibri" w:hAnsi="Calibri" w:cs="Calibri"/>
          <w:bCs/>
          <w:szCs w:val="22"/>
          <w:u w:val="single"/>
          <w:lang w:eastAsia="en-US"/>
        </w:rPr>
      </w:pPr>
      <w:r>
        <w:rPr>
          <w:rFonts w:ascii="Calibri" w:eastAsia="Calibri" w:hAnsi="Calibri"/>
          <w:szCs w:val="22"/>
          <w:lang w:eastAsia="en-US"/>
        </w:rPr>
        <w:t>i</w:t>
      </w:r>
      <w:r w:rsidR="008676F9" w:rsidRPr="008676F9">
        <w:rPr>
          <w:rFonts w:ascii="Calibri" w:eastAsia="Calibri" w:hAnsi="Calibri"/>
          <w:szCs w:val="22"/>
          <w:lang w:eastAsia="en-US"/>
        </w:rPr>
        <w:t>nvestície sa zameriavajú na splnenie záväzkov prijatých na environmentálne účely alebo na poskytovanie služieb pre ekosystémy a/alebo záväzkov, ktoré zvyšujú spoločenskú hodnotu lesa a zalesnenej pôdy v príslušnej oblasti, alebo zlepšujú potenciál ekosystémov zmierňovať zmenu klímy bez toho, aby sa vylučovali ekonomické výhody z dlhodobého hľadiska</w:t>
      </w:r>
      <w:r>
        <w:rPr>
          <w:rFonts w:ascii="Calibri" w:eastAsia="Calibri" w:hAnsi="Calibri"/>
          <w:szCs w:val="22"/>
          <w:lang w:eastAsia="en-US"/>
        </w:rPr>
        <w:t>;</w:t>
      </w:r>
    </w:p>
    <w:p w:rsidR="009951B6" w:rsidRPr="009951B6" w:rsidRDefault="009951B6" w:rsidP="00955DA4">
      <w:pPr>
        <w:numPr>
          <w:ilvl w:val="0"/>
          <w:numId w:val="251"/>
        </w:numPr>
        <w:spacing w:after="120"/>
        <w:ind w:left="426" w:hanging="284"/>
        <w:rPr>
          <w:rFonts w:ascii="Calibri" w:eastAsia="Calibri" w:hAnsi="Calibri" w:cs="Calibri"/>
          <w:bCs/>
          <w:szCs w:val="22"/>
          <w:lang w:eastAsia="en-US"/>
        </w:rPr>
      </w:pPr>
      <w:r w:rsidRPr="009951B6">
        <w:rPr>
          <w:rFonts w:ascii="Calibri" w:eastAsia="Calibri" w:hAnsi="Calibri" w:cs="Calibri"/>
          <w:bCs/>
          <w:szCs w:val="22"/>
          <w:lang w:eastAsia="en-US"/>
        </w:rPr>
        <w:t>dreviny použité pri obnove</w:t>
      </w:r>
      <w:r>
        <w:rPr>
          <w:rFonts w:ascii="Calibri" w:eastAsia="Calibri" w:hAnsi="Calibri" w:cs="Calibri"/>
          <w:bCs/>
          <w:szCs w:val="22"/>
          <w:lang w:eastAsia="en-US"/>
        </w:rPr>
        <w:t xml:space="preserve"> musia byť odolné pôvodné druhy biotopovo najlepšie vyhovujúce a najživotaschopnejšie v podmienkach daného územia (smrek obyčajný, jedľa biela, borovica lesná, smrekovec opadavý, javor horský, buk lesný, duby, resp. iné </w:t>
      </w:r>
      <w:r w:rsidR="00B70D1F">
        <w:rPr>
          <w:rFonts w:ascii="Calibri" w:eastAsia="Calibri" w:hAnsi="Calibri" w:cs="Calibri"/>
          <w:bCs/>
          <w:szCs w:val="22"/>
          <w:lang w:eastAsia="en-US"/>
        </w:rPr>
        <w:t>konkrétnemu stanovištu</w:t>
      </w:r>
      <w:r>
        <w:rPr>
          <w:rFonts w:ascii="Calibri" w:eastAsia="Calibri" w:hAnsi="Calibri" w:cs="Calibri"/>
          <w:bCs/>
          <w:szCs w:val="22"/>
          <w:lang w:eastAsia="en-US"/>
        </w:rPr>
        <w:t xml:space="preserve"> vhodné dreviny);</w:t>
      </w:r>
    </w:p>
    <w:p w:rsidR="002A743D" w:rsidRPr="008676F9" w:rsidRDefault="002A743D" w:rsidP="00955DA4">
      <w:pPr>
        <w:numPr>
          <w:ilvl w:val="0"/>
          <w:numId w:val="251"/>
        </w:numPr>
        <w:spacing w:after="120"/>
        <w:ind w:left="426" w:hanging="284"/>
        <w:rPr>
          <w:rFonts w:ascii="Calibri" w:eastAsia="Calibri" w:hAnsi="Calibri" w:cs="Calibri"/>
          <w:bCs/>
          <w:szCs w:val="22"/>
          <w:u w:val="single"/>
          <w:lang w:eastAsia="en-US"/>
        </w:rPr>
      </w:pPr>
      <w:r>
        <w:rPr>
          <w:rFonts w:ascii="Calibri" w:eastAsia="Calibri" w:hAnsi="Calibri"/>
          <w:szCs w:val="22"/>
          <w:lang w:eastAsia="en-US"/>
        </w:rPr>
        <w:t xml:space="preserve">trvanie projektu maximálne </w:t>
      </w:r>
      <w:r w:rsidR="009951B6">
        <w:rPr>
          <w:rFonts w:ascii="Calibri" w:eastAsia="Calibri" w:hAnsi="Calibri"/>
          <w:szCs w:val="22"/>
          <w:lang w:eastAsia="en-US"/>
        </w:rPr>
        <w:t xml:space="preserve">5 </w:t>
      </w:r>
      <w:r>
        <w:rPr>
          <w:rFonts w:ascii="Calibri" w:eastAsia="Calibri" w:hAnsi="Calibri"/>
          <w:szCs w:val="22"/>
          <w:lang w:eastAsia="en-US"/>
        </w:rPr>
        <w:t>rok</w:t>
      </w:r>
      <w:r w:rsidR="009951B6">
        <w:rPr>
          <w:rFonts w:ascii="Calibri" w:eastAsia="Calibri" w:hAnsi="Calibri"/>
          <w:szCs w:val="22"/>
          <w:lang w:eastAsia="en-US"/>
        </w:rPr>
        <w:t>ov</w:t>
      </w:r>
      <w:r>
        <w:rPr>
          <w:rFonts w:ascii="Calibri" w:eastAsia="Calibri" w:hAnsi="Calibri"/>
          <w:szCs w:val="22"/>
          <w:lang w:eastAsia="en-US"/>
        </w:rPr>
        <w:t>;</w:t>
      </w:r>
    </w:p>
    <w:p w:rsidR="008676F9" w:rsidRPr="005C7530" w:rsidRDefault="008676F9" w:rsidP="00955DA4">
      <w:pPr>
        <w:numPr>
          <w:ilvl w:val="0"/>
          <w:numId w:val="251"/>
        </w:numPr>
        <w:ind w:left="426" w:hanging="284"/>
        <w:rPr>
          <w:rFonts w:ascii="Calibri" w:eastAsia="Calibri" w:hAnsi="Calibri"/>
          <w:szCs w:val="22"/>
          <w:lang w:eastAsia="en-US"/>
        </w:rPr>
      </w:pPr>
      <w:r w:rsidRPr="008676F9">
        <w:rPr>
          <w:rFonts w:ascii="Calibri" w:hAnsi="Calibri" w:cs="Calibri"/>
          <w:szCs w:val="22"/>
          <w:lang w:eastAsia="en-US"/>
        </w:rPr>
        <w:t>predloženie relevantných informácií z Programu starostlivosti o les (</w:t>
      </w:r>
      <w:r w:rsidRPr="008676F9">
        <w:rPr>
          <w:rFonts w:ascii="Calibri" w:hAnsi="Calibri"/>
          <w:bCs/>
          <w:szCs w:val="22"/>
          <w:lang w:eastAsia="en-US"/>
        </w:rPr>
        <w:t>§47 zákona č.326/2005 Z.z.)</w:t>
      </w:r>
      <w:r w:rsidR="005C7530" w:rsidRPr="005C7530">
        <w:rPr>
          <w:rFonts w:ascii="Calibri" w:hAnsi="Calibri"/>
          <w:bCs/>
          <w:szCs w:val="22"/>
          <w:lang w:eastAsia="en-US"/>
        </w:rPr>
        <w:t xml:space="preserve"> </w:t>
      </w:r>
      <w:r w:rsidR="005C7530">
        <w:rPr>
          <w:rFonts w:ascii="Calibri" w:hAnsi="Calibri"/>
          <w:bCs/>
          <w:szCs w:val="22"/>
          <w:lang w:eastAsia="en-US"/>
        </w:rPr>
        <w:t>a prípadne inej dokumentácie ochrany prírody podľa §54 zákona č.543/2002 Z. z.</w:t>
      </w:r>
      <w:r w:rsidR="005C7530" w:rsidRPr="008676F9">
        <w:rPr>
          <w:rFonts w:ascii="Calibri" w:hAnsi="Calibri"/>
          <w:bCs/>
          <w:szCs w:val="22"/>
          <w:lang w:eastAsia="en-US"/>
        </w:rPr>
        <w:t>.</w:t>
      </w:r>
    </w:p>
    <w:p w:rsidR="008676F9" w:rsidRPr="008676F9" w:rsidRDefault="008676F9" w:rsidP="006F5151">
      <w:pPr>
        <w:ind w:left="720"/>
        <w:contextualSpacing/>
        <w:rPr>
          <w:rFonts w:ascii="Calibri" w:eastAsia="Calibri" w:hAnsi="Calibri" w:cs="Calibri"/>
          <w:bCs/>
          <w:u w:val="single"/>
          <w:lang w:val="en-GB" w:eastAsia="en-US"/>
        </w:rPr>
      </w:pPr>
    </w:p>
    <w:p w:rsidR="008676F9" w:rsidRPr="008676F9" w:rsidRDefault="008676F9" w:rsidP="006F5151">
      <w:pPr>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Princípy nastavenia výberových kritérií:</w:t>
      </w:r>
    </w:p>
    <w:p w:rsidR="002A743D" w:rsidRPr="002A743D" w:rsidRDefault="002A743D" w:rsidP="001F5283">
      <w:pPr>
        <w:numPr>
          <w:ilvl w:val="0"/>
          <w:numId w:val="44"/>
        </w:numPr>
        <w:ind w:left="426"/>
        <w:contextualSpacing/>
        <w:rPr>
          <w:rFonts w:ascii="Calibri" w:eastAsia="Calibri" w:hAnsi="Calibri" w:cs="Calibri"/>
          <w:bCs/>
          <w:szCs w:val="22"/>
          <w:u w:val="single"/>
          <w:lang w:eastAsia="en-US"/>
        </w:rPr>
      </w:pPr>
      <w:r>
        <w:rPr>
          <w:rFonts w:ascii="Calibri" w:hAnsi="Calibri"/>
          <w:szCs w:val="22"/>
          <w:lang w:eastAsia="en-US"/>
        </w:rPr>
        <w:t>uprednostnené budú projekty obnovy lesov na hornej hranici lesa;</w:t>
      </w:r>
    </w:p>
    <w:p w:rsidR="002A743D" w:rsidRPr="002A743D" w:rsidRDefault="002A743D" w:rsidP="001F5283">
      <w:pPr>
        <w:numPr>
          <w:ilvl w:val="0"/>
          <w:numId w:val="44"/>
        </w:numPr>
        <w:ind w:left="426"/>
        <w:contextualSpacing/>
        <w:rPr>
          <w:rFonts w:ascii="Calibri" w:eastAsia="Calibri" w:hAnsi="Calibri" w:cs="Calibri"/>
          <w:bCs/>
          <w:szCs w:val="22"/>
          <w:u w:val="single"/>
          <w:lang w:eastAsia="en-US"/>
        </w:rPr>
      </w:pPr>
      <w:r>
        <w:rPr>
          <w:rFonts w:ascii="Calibri" w:hAnsi="Calibri"/>
          <w:szCs w:val="22"/>
          <w:lang w:eastAsia="en-US"/>
        </w:rPr>
        <w:t>uprednostnené budú projekty obnovy lesov, ktoré stratili schopnosť prirodzenej obnovy;</w:t>
      </w:r>
    </w:p>
    <w:p w:rsidR="002A743D" w:rsidRPr="002A743D" w:rsidRDefault="002A743D" w:rsidP="001F5283">
      <w:pPr>
        <w:numPr>
          <w:ilvl w:val="0"/>
          <w:numId w:val="44"/>
        </w:numPr>
        <w:ind w:left="426"/>
        <w:contextualSpacing/>
        <w:rPr>
          <w:rFonts w:ascii="Calibri" w:eastAsia="Calibri" w:hAnsi="Calibri" w:cs="Calibri"/>
          <w:bCs/>
          <w:szCs w:val="22"/>
          <w:u w:val="single"/>
          <w:lang w:eastAsia="en-US"/>
        </w:rPr>
      </w:pPr>
      <w:r>
        <w:rPr>
          <w:rFonts w:ascii="Calibri" w:hAnsi="Calibri"/>
          <w:szCs w:val="22"/>
          <w:lang w:eastAsia="en-US"/>
        </w:rPr>
        <w:t>uprednostnené budú projekty obnovy lesov so zastúpením smreka vyšším ako 60%</w:t>
      </w:r>
      <w:r w:rsidR="009951B6">
        <w:rPr>
          <w:rFonts w:ascii="Calibri" w:hAnsi="Calibri"/>
          <w:szCs w:val="22"/>
          <w:lang w:eastAsia="en-US"/>
        </w:rPr>
        <w:t xml:space="preserve"> a s vekom viac ako 60 rokov</w:t>
      </w:r>
      <w:r>
        <w:rPr>
          <w:rFonts w:ascii="Calibri" w:hAnsi="Calibri"/>
          <w:szCs w:val="22"/>
          <w:lang w:eastAsia="en-US"/>
        </w:rPr>
        <w:t>;</w:t>
      </w:r>
    </w:p>
    <w:p w:rsidR="008676F9" w:rsidRPr="008676F9" w:rsidRDefault="008676F9" w:rsidP="001F5283">
      <w:pPr>
        <w:numPr>
          <w:ilvl w:val="0"/>
          <w:numId w:val="44"/>
        </w:numPr>
        <w:ind w:left="426"/>
        <w:contextualSpacing/>
        <w:rPr>
          <w:rFonts w:ascii="Calibri" w:eastAsia="Calibri" w:hAnsi="Calibri" w:cs="Calibri"/>
          <w:bCs/>
          <w:szCs w:val="22"/>
          <w:u w:val="single"/>
          <w:lang w:eastAsia="en-US"/>
        </w:rPr>
      </w:pPr>
      <w:r w:rsidRPr="008676F9">
        <w:rPr>
          <w:rFonts w:ascii="Calibri" w:hAnsi="Calibri"/>
          <w:szCs w:val="22"/>
          <w:lang w:eastAsia="en-US"/>
        </w:rPr>
        <w:t>uprednostnené budú projekty na Územiach európskeho významu alebo v nadväzujúcich územiach;</w:t>
      </w:r>
    </w:p>
    <w:p w:rsidR="008676F9" w:rsidRPr="008676F9" w:rsidRDefault="008676F9" w:rsidP="001F5283">
      <w:pPr>
        <w:numPr>
          <w:ilvl w:val="0"/>
          <w:numId w:val="44"/>
        </w:numPr>
        <w:ind w:left="426"/>
        <w:contextualSpacing/>
        <w:rPr>
          <w:rFonts w:ascii="Calibri" w:eastAsia="Calibri" w:hAnsi="Calibri" w:cs="Calibri"/>
          <w:bCs/>
          <w:szCs w:val="22"/>
          <w:u w:val="single"/>
          <w:lang w:eastAsia="en-US"/>
        </w:rPr>
      </w:pPr>
      <w:r w:rsidRPr="008676F9">
        <w:rPr>
          <w:rFonts w:ascii="Calibri" w:hAnsi="Calibri"/>
          <w:szCs w:val="22"/>
          <w:lang w:eastAsia="en-US"/>
        </w:rPr>
        <w:t xml:space="preserve">v prípade aktivít zameraných na hniezdne príležitosti vtákov budú uprednostnené projekty v oblasti Chránených vtáčích území; </w:t>
      </w:r>
    </w:p>
    <w:p w:rsidR="008676F9" w:rsidRPr="008676F9" w:rsidRDefault="008676F9" w:rsidP="001F5283">
      <w:pPr>
        <w:numPr>
          <w:ilvl w:val="0"/>
          <w:numId w:val="44"/>
        </w:numPr>
        <w:ind w:left="426"/>
        <w:contextualSpacing/>
        <w:rPr>
          <w:rFonts w:ascii="Calibri" w:eastAsia="Calibri" w:hAnsi="Calibri" w:cs="Calibri"/>
          <w:bCs/>
          <w:szCs w:val="22"/>
          <w:u w:val="single"/>
          <w:lang w:eastAsia="en-US"/>
        </w:rPr>
      </w:pPr>
      <w:r w:rsidRPr="008676F9">
        <w:rPr>
          <w:rFonts w:ascii="Calibri" w:hAnsi="Calibri"/>
          <w:szCs w:val="22"/>
          <w:lang w:eastAsia="en-US"/>
        </w:rPr>
        <w:t xml:space="preserve">v prípade </w:t>
      </w:r>
      <w:r w:rsidRPr="008676F9">
        <w:rPr>
          <w:rFonts w:ascii="Calibri" w:eastAsia="Calibri" w:hAnsi="Calibri"/>
          <w:szCs w:val="22"/>
          <w:lang w:eastAsia="en-US"/>
        </w:rPr>
        <w:t xml:space="preserve">budovania a obnovy občianskej a poznávacej infraštruktúry budú </w:t>
      </w:r>
      <w:r w:rsidRPr="008676F9">
        <w:rPr>
          <w:rFonts w:ascii="Calibri" w:hAnsi="Calibri"/>
          <w:szCs w:val="22"/>
          <w:lang w:eastAsia="en-US"/>
        </w:rPr>
        <w:t>uprednostnené projekty s pedagogicko-náučným  dopadom zameraným na ochranu lesných ekosystémov.</w:t>
      </w:r>
    </w:p>
    <w:p w:rsidR="008676F9" w:rsidRPr="008676F9" w:rsidRDefault="008676F9" w:rsidP="006F5151">
      <w:pPr>
        <w:rPr>
          <w:rFonts w:ascii="Calibri" w:eastAsia="Calibri" w:hAnsi="Calibri" w:cs="Calibri"/>
          <w:bCs/>
          <w:szCs w:val="22"/>
          <w:u w:val="single"/>
          <w:lang w:eastAsia="en-US"/>
        </w:rPr>
      </w:pPr>
    </w:p>
    <w:p w:rsidR="008676F9" w:rsidRPr="008676F9" w:rsidRDefault="008676F9" w:rsidP="006F5151">
      <w:pPr>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Výška a miera podpory:</w:t>
      </w:r>
    </w:p>
    <w:p w:rsidR="008676F9" w:rsidRPr="008676F9" w:rsidRDefault="008676F9" w:rsidP="006F5151">
      <w:pPr>
        <w:rPr>
          <w:rFonts w:ascii="Calibri" w:eastAsia="Calibri" w:hAnsi="Calibri" w:cs="Calibri"/>
          <w:szCs w:val="22"/>
          <w:lang w:eastAsia="en-US"/>
        </w:rPr>
      </w:pPr>
      <w:r w:rsidRPr="008676F9">
        <w:rPr>
          <w:rFonts w:ascii="Calibri" w:eastAsia="Calibri" w:hAnsi="Calibri" w:cs="Calibri"/>
          <w:szCs w:val="22"/>
          <w:lang w:eastAsia="en-US"/>
        </w:rPr>
        <w:t>Maximálna výška podpory z celkových oprávnených výdavkov:</w:t>
      </w:r>
    </w:p>
    <w:p w:rsidR="008676F9" w:rsidRPr="008676F9" w:rsidRDefault="008676F9" w:rsidP="00955DA4">
      <w:pPr>
        <w:numPr>
          <w:ilvl w:val="0"/>
          <w:numId w:val="134"/>
        </w:numPr>
        <w:rPr>
          <w:rFonts w:ascii="Calibri" w:hAnsi="Calibri" w:cs="Calibri"/>
          <w:szCs w:val="22"/>
          <w:lang w:eastAsia="en-US"/>
        </w:rPr>
      </w:pPr>
      <w:r w:rsidRPr="008676F9">
        <w:rPr>
          <w:rFonts w:ascii="Calibri" w:hAnsi="Calibri" w:cs="Calibri"/>
          <w:szCs w:val="22"/>
          <w:lang w:eastAsia="en-US"/>
        </w:rPr>
        <w:t>100%.</w:t>
      </w:r>
    </w:p>
    <w:p w:rsidR="005C7530" w:rsidRPr="005C7530" w:rsidRDefault="005C7530" w:rsidP="005C7530">
      <w:pPr>
        <w:rPr>
          <w:rFonts w:ascii="Calibri" w:hAnsi="Calibri" w:cs="Calibri"/>
          <w:szCs w:val="22"/>
          <w:lang w:eastAsia="en-US"/>
        </w:rPr>
      </w:pPr>
      <w:r w:rsidRPr="005C7530">
        <w:rPr>
          <w:rFonts w:ascii="Calibri" w:hAnsi="Calibri" w:cs="Calibri"/>
          <w:szCs w:val="22"/>
          <w:lang w:eastAsia="en-US"/>
        </w:rPr>
        <w:t xml:space="preserve">Pri vyhlasovaní Výziev na predkladanie Žiadostí o poskytnutie nenávratného finančného príspevku môže byť znížená výška podpory na 80%. </w:t>
      </w:r>
    </w:p>
    <w:p w:rsidR="008676F9" w:rsidRPr="008676F9" w:rsidRDefault="008676F9" w:rsidP="006F5151">
      <w:pPr>
        <w:rPr>
          <w:rFonts w:ascii="Calibri" w:eastAsia="Calibri" w:hAnsi="Calibri" w:cs="Calibri"/>
          <w:szCs w:val="22"/>
          <w:u w:val="single"/>
          <w:lang w:eastAsia="en-US"/>
        </w:rPr>
      </w:pPr>
      <w:r w:rsidRPr="008676F9">
        <w:rPr>
          <w:rFonts w:ascii="Calibri" w:eastAsia="Calibri" w:hAnsi="Calibri" w:cs="Calibri"/>
          <w:szCs w:val="22"/>
          <w:u w:val="single"/>
          <w:lang w:eastAsia="en-US"/>
        </w:rPr>
        <w:t>Ďalšie informácie špecifické pre podopatrenie:</w:t>
      </w:r>
    </w:p>
    <w:p w:rsidR="008676F9" w:rsidRPr="008676F9" w:rsidRDefault="008676F9" w:rsidP="006F5151">
      <w:pPr>
        <w:rPr>
          <w:rFonts w:ascii="Calibri" w:eastAsia="Calibri" w:hAnsi="Calibri" w:cs="Arial"/>
          <w:color w:val="000000"/>
          <w:szCs w:val="22"/>
          <w:lang w:eastAsia="en-US"/>
        </w:rPr>
      </w:pPr>
      <w:r w:rsidRPr="008676F9">
        <w:rPr>
          <w:rFonts w:ascii="Calibri" w:eastAsia="Calibri" w:hAnsi="Calibri"/>
          <w:i/>
          <w:szCs w:val="22"/>
          <w:lang w:eastAsia="en-US"/>
        </w:rPr>
        <w:t>Les:</w:t>
      </w:r>
      <w:r w:rsidRPr="008676F9">
        <w:rPr>
          <w:rFonts w:ascii="Calibri" w:eastAsia="Calibri" w:hAnsi="Calibri"/>
          <w:szCs w:val="22"/>
          <w:lang w:eastAsia="en-US"/>
        </w:rPr>
        <w:t xml:space="preserve"> </w:t>
      </w:r>
      <w:r w:rsidRPr="008676F9">
        <w:rPr>
          <w:rFonts w:ascii="Calibri" w:eastAsia="Calibri" w:hAnsi="Calibri" w:cs="Arial"/>
          <w:color w:val="000000"/>
          <w:szCs w:val="22"/>
          <w:lang w:eastAsia="en-US"/>
        </w:rPr>
        <w:t xml:space="preserve">ekosystém, ktorý tvorí lesný pozemok s lesným porastom a faktormi jeho vzdušného prostredia, rastlinné druhy, živočíšne druhy a pôda s jej hydrologickým a vzdušným režimom. </w:t>
      </w:r>
      <w:r w:rsidRPr="008676F9">
        <w:rPr>
          <w:rFonts w:ascii="Calibri" w:eastAsia="Calibri" w:hAnsi="Calibri"/>
          <w:szCs w:val="22"/>
          <w:lang w:eastAsia="en-US"/>
        </w:rPr>
        <w:t xml:space="preserve">Podpora sa vzťahuje na lesné pozemky zadefinované podľa § 3 zákona č.326/2005. </w:t>
      </w:r>
      <w:r w:rsidRPr="008676F9">
        <w:rPr>
          <w:rFonts w:ascii="Calibri" w:eastAsia="Calibri" w:hAnsi="Calibri" w:cs="Arial"/>
          <w:color w:val="000000"/>
          <w:szCs w:val="22"/>
          <w:lang w:eastAsia="en-US"/>
        </w:rPr>
        <w:t>Lesným porastom sa rozumie súbor rastúcich stromovitých drevín, krovitých drevín alebo ich zmesí na lesných pozemkoch.</w:t>
      </w:r>
    </w:p>
    <w:p w:rsidR="008676F9" w:rsidRDefault="008676F9" w:rsidP="006F5151">
      <w:pPr>
        <w:rPr>
          <w:rFonts w:ascii="Calibri" w:eastAsia="Calibri" w:hAnsi="Calibri" w:cs="Calibri"/>
          <w:szCs w:val="22"/>
          <w:lang w:eastAsia="en-US"/>
        </w:rPr>
      </w:pPr>
    </w:p>
    <w:p w:rsidR="008424BA" w:rsidRPr="008676F9" w:rsidRDefault="008424BA" w:rsidP="006F5151">
      <w:pPr>
        <w:rPr>
          <w:rFonts w:ascii="Calibri" w:eastAsia="Calibri" w:hAnsi="Calibri" w:cs="Calibri"/>
          <w:szCs w:val="22"/>
          <w:lang w:eastAsia="en-US"/>
        </w:rPr>
      </w:pPr>
    </w:p>
    <w:p w:rsidR="008676F9" w:rsidRPr="00095683" w:rsidRDefault="008676F9" w:rsidP="006F5151">
      <w:pPr>
        <w:shd w:val="clear" w:color="auto" w:fill="EAF1DD"/>
        <w:ind w:left="1843" w:hanging="1843"/>
        <w:rPr>
          <w:rFonts w:ascii="Calibri" w:eastAsia="Calibri" w:hAnsi="Calibri" w:cs="Calibri"/>
          <w:b/>
          <w:bCs/>
          <w:sz w:val="24"/>
          <w:lang w:eastAsia="en-US"/>
        </w:rPr>
      </w:pPr>
      <w:r w:rsidRPr="008676F9">
        <w:rPr>
          <w:rFonts w:ascii="Calibri" w:eastAsia="Calibri" w:hAnsi="Calibri" w:cs="Calibri"/>
          <w:bCs/>
          <w:lang w:eastAsia="en-US"/>
        </w:rPr>
        <w:t xml:space="preserve">Podopatrenie: </w:t>
      </w:r>
      <w:r w:rsidRPr="008676F9">
        <w:rPr>
          <w:rFonts w:ascii="Calibri" w:eastAsia="Calibri" w:hAnsi="Calibri" w:cs="Calibri"/>
          <w:b/>
          <w:bCs/>
          <w:i/>
          <w:lang w:eastAsia="en-US"/>
        </w:rPr>
        <w:t>8.6.</w:t>
      </w:r>
      <w:r w:rsidR="005C7530" w:rsidRPr="005C7530">
        <w:rPr>
          <w:rFonts w:ascii="Calibri" w:eastAsia="Calibri" w:hAnsi="Calibri" w:cs="Calibri"/>
          <w:b/>
          <w:bCs/>
          <w:i/>
          <w:lang w:eastAsia="en-US"/>
        </w:rPr>
        <w:t xml:space="preserve"> </w:t>
      </w:r>
      <w:r w:rsidR="005C7530" w:rsidRPr="00095683">
        <w:rPr>
          <w:rFonts w:ascii="Calibri" w:eastAsia="Calibri" w:hAnsi="Calibri" w:cs="Calibri"/>
          <w:b/>
          <w:bCs/>
          <w:i/>
          <w:sz w:val="24"/>
          <w:lang w:eastAsia="en-US"/>
        </w:rPr>
        <w:t>Podpora investícií do lesných technológií a spracovania, do mobilizácie lesníckych výrobkov a ich uvádzania na trh</w:t>
      </w:r>
    </w:p>
    <w:p w:rsidR="008676F9" w:rsidRPr="008676F9" w:rsidRDefault="008676F9" w:rsidP="006F5151">
      <w:pPr>
        <w:shd w:val="clear" w:color="auto" w:fill="FBD4B4"/>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Názov operácie:</w:t>
      </w:r>
    </w:p>
    <w:p w:rsidR="008676F9" w:rsidRPr="008676F9" w:rsidRDefault="008676F9" w:rsidP="006F5151">
      <w:pPr>
        <w:shd w:val="clear" w:color="auto" w:fill="FBD4B4"/>
        <w:rPr>
          <w:rFonts w:ascii="Calibri" w:eastAsia="Calibri" w:hAnsi="Calibri" w:cs="Calibri"/>
          <w:i/>
          <w:szCs w:val="22"/>
          <w:lang w:eastAsia="en-US"/>
        </w:rPr>
      </w:pPr>
      <w:r w:rsidRPr="008676F9">
        <w:rPr>
          <w:rFonts w:ascii="Calibri" w:eastAsia="Calibri" w:hAnsi="Calibri"/>
          <w:i/>
          <w:szCs w:val="22"/>
        </w:rPr>
        <w:t>Podpora investícií lesných technológií, spracovania, mobilizácie a marketingu lesných produktov</w:t>
      </w:r>
    </w:p>
    <w:p w:rsidR="008676F9" w:rsidRPr="008676F9" w:rsidRDefault="008676F9" w:rsidP="006F5151">
      <w:pPr>
        <w:rPr>
          <w:rFonts w:ascii="Calibri" w:eastAsia="Calibri" w:hAnsi="Calibri" w:cs="Calibri"/>
          <w:bCs/>
          <w:szCs w:val="22"/>
          <w:u w:val="single"/>
          <w:lang w:eastAsia="en-US"/>
        </w:rPr>
      </w:pPr>
    </w:p>
    <w:p w:rsidR="008676F9" w:rsidRPr="008676F9" w:rsidRDefault="008676F9" w:rsidP="006F5151">
      <w:pPr>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Opis operácie:</w:t>
      </w:r>
    </w:p>
    <w:p w:rsidR="008676F9" w:rsidRPr="008676F9" w:rsidRDefault="008676F9" w:rsidP="006F5151">
      <w:pPr>
        <w:rPr>
          <w:rFonts w:ascii="Calibri" w:eastAsia="Calibri" w:hAnsi="Calibri" w:cs="Calibri"/>
          <w:bCs/>
          <w:szCs w:val="22"/>
          <w:lang w:eastAsia="en-US"/>
        </w:rPr>
      </w:pPr>
      <w:r w:rsidRPr="008676F9">
        <w:rPr>
          <w:rFonts w:ascii="Calibri" w:eastAsia="Calibri" w:hAnsi="Calibri" w:cs="Calibri"/>
          <w:bCs/>
          <w:szCs w:val="22"/>
          <w:lang w:eastAsia="en-US"/>
        </w:rPr>
        <w:t xml:space="preserve">V rámci danej operácie budú podporované nasledovné aktivity, ktoré budú prioritne prispievať k fokusovej oblasti 2C: </w:t>
      </w:r>
    </w:p>
    <w:p w:rsidR="008676F9" w:rsidRPr="008676F9" w:rsidRDefault="008676F9" w:rsidP="001F5283">
      <w:pPr>
        <w:numPr>
          <w:ilvl w:val="0"/>
          <w:numId w:val="43"/>
        </w:numPr>
        <w:ind w:left="714" w:hanging="357"/>
        <w:rPr>
          <w:rFonts w:ascii="Calibri" w:eastAsia="Calibri" w:hAnsi="Calibri"/>
          <w:bCs/>
          <w:szCs w:val="22"/>
          <w:lang w:eastAsia="en-US"/>
        </w:rPr>
      </w:pPr>
      <w:r w:rsidRPr="008676F9">
        <w:rPr>
          <w:rFonts w:ascii="Calibri" w:eastAsia="Calibri" w:hAnsi="Calibri"/>
          <w:bCs/>
          <w:szCs w:val="22"/>
          <w:lang w:eastAsia="en-US"/>
        </w:rPr>
        <w:t>zvýšenie ekonomickej hodnoty lesa prostredníctvom lepších postupov obhospodarovania lesov, ktoré sú odôvodnené z hľadiska očakávaného zlepšenia lesa jedného alebo viacerých podnikov, ktoré sa musia realizovať na úrovni majiteľa resp. obhospodarovateľa lesa;</w:t>
      </w:r>
    </w:p>
    <w:p w:rsidR="008676F9" w:rsidRPr="008676F9" w:rsidRDefault="008676F9" w:rsidP="001F5283">
      <w:pPr>
        <w:numPr>
          <w:ilvl w:val="0"/>
          <w:numId w:val="43"/>
        </w:numPr>
        <w:ind w:left="714" w:hanging="357"/>
        <w:rPr>
          <w:rFonts w:ascii="Calibri" w:eastAsia="Calibri" w:hAnsi="Calibri"/>
          <w:bCs/>
          <w:szCs w:val="22"/>
          <w:lang w:eastAsia="en-US"/>
        </w:rPr>
      </w:pPr>
      <w:r w:rsidRPr="008676F9">
        <w:rPr>
          <w:rFonts w:ascii="Calibri" w:eastAsia="Calibri" w:hAnsi="Calibri"/>
          <w:bCs/>
          <w:szCs w:val="22"/>
          <w:lang w:eastAsia="en-US"/>
        </w:rPr>
        <w:t>spracovanie lesných produktov, ktoré takýmto spôsobom získavajú pridanú hodnotu a tiež ich uvádzanie na trh;</w:t>
      </w:r>
    </w:p>
    <w:p w:rsidR="008676F9" w:rsidRPr="008676F9" w:rsidRDefault="008676F9" w:rsidP="001F5283">
      <w:pPr>
        <w:numPr>
          <w:ilvl w:val="0"/>
          <w:numId w:val="43"/>
        </w:numPr>
        <w:rPr>
          <w:rFonts w:ascii="Calibri" w:eastAsia="Calibri" w:hAnsi="Calibri"/>
          <w:bCs/>
          <w:szCs w:val="22"/>
          <w:lang w:eastAsia="en-US"/>
        </w:rPr>
      </w:pPr>
      <w:r w:rsidRPr="008676F9">
        <w:rPr>
          <w:rFonts w:ascii="Calibri" w:eastAsia="Calibri" w:hAnsi="Calibri"/>
          <w:bCs/>
          <w:szCs w:val="22"/>
          <w:lang w:eastAsia="en-US"/>
        </w:rPr>
        <w:t>rozvoj IKT v lesníctve a v sektore spracovania lesných produktov.</w:t>
      </w:r>
      <w:r w:rsidRPr="008676F9">
        <w:rPr>
          <w:rFonts w:ascii="Calibri" w:eastAsia="Calibri" w:hAnsi="Calibri"/>
          <w:bCs/>
          <w:lang w:eastAsia="en-US"/>
        </w:rPr>
        <w:t xml:space="preserve"> </w:t>
      </w:r>
    </w:p>
    <w:p w:rsidR="00095683" w:rsidRDefault="00095683" w:rsidP="006F5151">
      <w:pPr>
        <w:rPr>
          <w:rFonts w:ascii="Calibri" w:eastAsia="Calibri" w:hAnsi="Calibri" w:cs="Calibri"/>
          <w:bCs/>
          <w:szCs w:val="22"/>
          <w:lang w:eastAsia="en-US"/>
        </w:rPr>
      </w:pPr>
    </w:p>
    <w:p w:rsidR="008676F9" w:rsidRPr="008676F9" w:rsidRDefault="008676F9" w:rsidP="006F5151">
      <w:pPr>
        <w:rPr>
          <w:rFonts w:ascii="Calibri" w:eastAsia="Calibri" w:hAnsi="Calibri" w:cs="Calibri"/>
          <w:bCs/>
          <w:szCs w:val="22"/>
          <w:lang w:eastAsia="en-US"/>
        </w:rPr>
      </w:pPr>
      <w:r w:rsidRPr="008676F9">
        <w:rPr>
          <w:rFonts w:ascii="Calibri" w:eastAsia="Calibri" w:hAnsi="Calibri" w:cs="Calibri"/>
          <w:bCs/>
          <w:szCs w:val="22"/>
          <w:lang w:eastAsia="en-US"/>
        </w:rPr>
        <w:t xml:space="preserve">V rámci danej operácie budú podporované nasledovné aktivity, ktoré budú prioritne prispievať k fokusovej oblasti 5C: </w:t>
      </w:r>
    </w:p>
    <w:p w:rsidR="008676F9" w:rsidRPr="008676F9" w:rsidRDefault="008676F9" w:rsidP="00955DA4">
      <w:pPr>
        <w:numPr>
          <w:ilvl w:val="0"/>
          <w:numId w:val="138"/>
        </w:numPr>
        <w:rPr>
          <w:rFonts w:ascii="Calibri" w:eastAsia="Calibri" w:hAnsi="Calibri"/>
          <w:bCs/>
          <w:szCs w:val="22"/>
          <w:lang w:eastAsia="en-US"/>
        </w:rPr>
      </w:pPr>
      <w:r w:rsidRPr="008676F9">
        <w:rPr>
          <w:rFonts w:ascii="Calibri" w:eastAsia="Calibri" w:hAnsi="Calibri"/>
          <w:bCs/>
          <w:szCs w:val="22"/>
          <w:lang w:eastAsia="en-US"/>
        </w:rPr>
        <w:t>podporu efektívneho využívania dreva ako suroviny alebo zdroja energie.</w:t>
      </w:r>
    </w:p>
    <w:p w:rsidR="008676F9" w:rsidRPr="008676F9" w:rsidRDefault="008676F9" w:rsidP="006F5151">
      <w:pPr>
        <w:rPr>
          <w:rFonts w:ascii="Calibri" w:eastAsia="Calibri" w:hAnsi="Calibri" w:cs="Calibri"/>
          <w:bCs/>
          <w:szCs w:val="22"/>
          <w:u w:val="single"/>
          <w:lang w:eastAsia="en-US"/>
        </w:rPr>
      </w:pPr>
    </w:p>
    <w:p w:rsidR="008676F9" w:rsidRPr="008676F9" w:rsidRDefault="008676F9" w:rsidP="006F5151">
      <w:pPr>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Typ podpory:</w:t>
      </w:r>
    </w:p>
    <w:p w:rsidR="008676F9" w:rsidRPr="008676F9" w:rsidRDefault="008676F9" w:rsidP="006F5151">
      <w:pPr>
        <w:rPr>
          <w:rFonts w:ascii="Calibri" w:eastAsia="Calibri" w:hAnsi="Calibri" w:cs="Calibri"/>
          <w:bCs/>
          <w:szCs w:val="22"/>
          <w:lang w:eastAsia="en-US"/>
        </w:rPr>
      </w:pPr>
      <w:r w:rsidRPr="008676F9">
        <w:rPr>
          <w:rFonts w:ascii="Calibri" w:eastAsia="Calibri" w:hAnsi="Calibri" w:cs="Calibri"/>
          <w:bCs/>
          <w:szCs w:val="22"/>
          <w:lang w:eastAsia="en-US"/>
        </w:rPr>
        <w:t>Investičná, zisková, nenávratný finančný príspevok.</w:t>
      </w:r>
    </w:p>
    <w:p w:rsidR="008676F9" w:rsidRPr="008676F9" w:rsidRDefault="008676F9" w:rsidP="006F5151">
      <w:pPr>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Súvislosť s inou legislatívou:</w:t>
      </w:r>
    </w:p>
    <w:p w:rsidR="008676F9" w:rsidRPr="008676F9" w:rsidRDefault="008676F9" w:rsidP="002E78E6">
      <w:pPr>
        <w:spacing w:after="120"/>
        <w:rPr>
          <w:rFonts w:ascii="Calibri" w:eastAsia="Calibri" w:hAnsi="Calibri" w:cs="Calibri"/>
          <w:bCs/>
          <w:szCs w:val="22"/>
          <w:lang w:eastAsia="en-US"/>
        </w:rPr>
      </w:pPr>
      <w:r w:rsidRPr="008676F9">
        <w:rPr>
          <w:rFonts w:ascii="Calibri" w:eastAsia="Calibri" w:hAnsi="Calibri" w:cs="Calibri"/>
          <w:bCs/>
          <w:szCs w:val="22"/>
          <w:lang w:eastAsia="en-US"/>
        </w:rPr>
        <w:t xml:space="preserve">Neprekrývanie podpory v oblasti využívania dreva ako suroviny alebo zdroja energie v rámci podopatrenia 8.6 s podporou v rámci </w:t>
      </w:r>
      <w:r w:rsidRPr="008676F9">
        <w:rPr>
          <w:rFonts w:ascii="Calibri" w:eastAsia="Calibri" w:hAnsi="Calibri" w:cs="Calibri"/>
          <w:b/>
          <w:bCs/>
          <w:szCs w:val="22"/>
          <w:lang w:eastAsia="en-US"/>
        </w:rPr>
        <w:t>OP Kvalita životného prostredia</w:t>
      </w:r>
      <w:r w:rsidRPr="008676F9">
        <w:rPr>
          <w:rFonts w:ascii="Calibri" w:eastAsia="Calibri" w:hAnsi="Calibri" w:cs="Calibri"/>
          <w:bCs/>
          <w:szCs w:val="22"/>
          <w:lang w:eastAsia="en-US"/>
        </w:rPr>
        <w:t xml:space="preserve"> je zabezpečené </w:t>
      </w:r>
      <w:r w:rsidR="009951B6">
        <w:rPr>
          <w:rFonts w:ascii="Calibri" w:eastAsia="Calibri" w:hAnsi="Calibri" w:cs="Calibri"/>
          <w:bCs/>
          <w:szCs w:val="22"/>
          <w:lang w:eastAsia="en-US"/>
        </w:rPr>
        <w:t>odlišným</w:t>
      </w:r>
      <w:r w:rsidRPr="008676F9">
        <w:rPr>
          <w:rFonts w:ascii="Calibri" w:eastAsia="Calibri" w:hAnsi="Calibri" w:cs="Calibri"/>
          <w:bCs/>
          <w:szCs w:val="22"/>
          <w:lang w:eastAsia="en-US"/>
        </w:rPr>
        <w:t xml:space="preserve"> prijímateľ</w:t>
      </w:r>
      <w:r w:rsidR="009951B6">
        <w:rPr>
          <w:rFonts w:ascii="Calibri" w:eastAsia="Calibri" w:hAnsi="Calibri" w:cs="Calibri"/>
          <w:bCs/>
          <w:szCs w:val="22"/>
          <w:lang w:eastAsia="en-US"/>
        </w:rPr>
        <w:t>om</w:t>
      </w:r>
      <w:r w:rsidRPr="008676F9">
        <w:rPr>
          <w:rFonts w:ascii="Calibri" w:eastAsia="Calibri" w:hAnsi="Calibri" w:cs="Calibri"/>
          <w:bCs/>
          <w:szCs w:val="22"/>
          <w:lang w:eastAsia="en-US"/>
        </w:rPr>
        <w:t xml:space="preserve"> podpory (V rámci OP KŽP budú oprávnení na podporu prijímatelia mimo prijímateľov podpory v rámci </w:t>
      </w:r>
      <w:r w:rsidR="009951B6">
        <w:rPr>
          <w:rFonts w:ascii="Calibri" w:eastAsia="Calibri" w:hAnsi="Calibri" w:cs="Calibri"/>
          <w:bCs/>
          <w:szCs w:val="22"/>
          <w:lang w:eastAsia="en-US"/>
        </w:rPr>
        <w:t>tejto operácie</w:t>
      </w:r>
      <w:r w:rsidRPr="008676F9">
        <w:rPr>
          <w:rFonts w:ascii="Calibri" w:eastAsia="Calibri" w:hAnsi="Calibri" w:cs="Calibri"/>
          <w:bCs/>
          <w:szCs w:val="22"/>
          <w:lang w:eastAsia="en-US"/>
        </w:rPr>
        <w:t xml:space="preserve">). </w:t>
      </w:r>
    </w:p>
    <w:p w:rsidR="008676F9" w:rsidRPr="008676F9" w:rsidRDefault="008676F9" w:rsidP="006F5151">
      <w:pPr>
        <w:rPr>
          <w:rFonts w:ascii="Calibri" w:eastAsia="Calibri" w:hAnsi="Calibri" w:cs="Calibri"/>
          <w:bCs/>
          <w:szCs w:val="22"/>
          <w:lang w:eastAsia="en-US"/>
        </w:rPr>
      </w:pPr>
      <w:r w:rsidRPr="008676F9">
        <w:rPr>
          <w:rFonts w:ascii="Calibri" w:eastAsia="Calibri" w:hAnsi="Calibri" w:cs="Calibri"/>
          <w:bCs/>
          <w:szCs w:val="22"/>
          <w:lang w:eastAsia="en-US"/>
        </w:rPr>
        <w:t xml:space="preserve">Neprekrývanie podpory v rámci tejto operácie s podporou v rámci </w:t>
      </w:r>
      <w:r w:rsidRPr="008676F9">
        <w:rPr>
          <w:rFonts w:ascii="Calibri" w:eastAsia="Calibri" w:hAnsi="Calibri" w:cs="Calibri"/>
          <w:b/>
          <w:bCs/>
          <w:szCs w:val="22"/>
          <w:lang w:eastAsia="en-US"/>
        </w:rPr>
        <w:t>OP Výskum a inovácie</w:t>
      </w:r>
      <w:r w:rsidRPr="008676F9">
        <w:rPr>
          <w:rFonts w:ascii="Calibri" w:eastAsia="Calibri" w:hAnsi="Calibri" w:cs="Calibri"/>
          <w:bCs/>
          <w:szCs w:val="22"/>
          <w:lang w:eastAsia="en-US"/>
        </w:rPr>
        <w:t xml:space="preserve"> je zabezpečené rozdielnymi oprávnenými výdavkami (v rámci OP VaI sú oprávnené výdavky súvisiace s priemyselným spracovaním dreva, v rámci podopatrenia 8.6 sú oprávnené výdavky súvisiace so spracovaním dreva pred jeho priemyselným spracovaním).  </w:t>
      </w:r>
    </w:p>
    <w:p w:rsidR="008676F9" w:rsidRPr="008676F9" w:rsidRDefault="008676F9" w:rsidP="006F5151">
      <w:pPr>
        <w:rPr>
          <w:rFonts w:ascii="Calibri" w:eastAsia="Calibri" w:hAnsi="Calibri" w:cs="Calibri"/>
          <w:bCs/>
          <w:szCs w:val="22"/>
          <w:lang w:eastAsia="en-US"/>
        </w:rPr>
      </w:pPr>
    </w:p>
    <w:p w:rsidR="008676F9" w:rsidRPr="008676F9" w:rsidRDefault="008676F9" w:rsidP="006F5151">
      <w:pPr>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Prijímateľ podpory:</w:t>
      </w:r>
    </w:p>
    <w:p w:rsidR="008676F9" w:rsidRPr="008676F9" w:rsidRDefault="008676F9" w:rsidP="001F5283">
      <w:pPr>
        <w:numPr>
          <w:ilvl w:val="0"/>
          <w:numId w:val="36"/>
        </w:numPr>
        <w:ind w:left="284" w:hanging="284"/>
        <w:rPr>
          <w:rFonts w:ascii="Calibri" w:eastAsia="Calibri" w:hAnsi="Calibri"/>
          <w:bCs/>
          <w:szCs w:val="22"/>
        </w:rPr>
      </w:pPr>
      <w:r w:rsidRPr="008676F9">
        <w:rPr>
          <w:rFonts w:ascii="Calibri" w:eastAsia="Calibri" w:hAnsi="Calibri"/>
          <w:bCs/>
          <w:szCs w:val="22"/>
        </w:rPr>
        <w:t>Fyzické a právnické osoby</w:t>
      </w:r>
      <w:r w:rsidRPr="008676F9">
        <w:rPr>
          <w:rFonts w:ascii="Calibri" w:eastAsia="Calibri" w:hAnsi="Calibri"/>
          <w:bCs/>
          <w:szCs w:val="22"/>
          <w:vertAlign w:val="superscript"/>
        </w:rPr>
        <w:footnoteReference w:id="27"/>
      </w:r>
      <w:r w:rsidRPr="008676F9">
        <w:rPr>
          <w:rFonts w:ascii="Calibri" w:eastAsia="Calibri" w:hAnsi="Calibri"/>
          <w:bCs/>
          <w:szCs w:val="22"/>
        </w:rPr>
        <w:t xml:space="preserve"> (malé a stredné podniky v zmysle odporúčania Komisie 2003/361/ES) obhospodarujúce lesy vo vlastníctve:</w:t>
      </w:r>
    </w:p>
    <w:p w:rsidR="008676F9" w:rsidRPr="008676F9" w:rsidRDefault="008676F9" w:rsidP="001F5283">
      <w:pPr>
        <w:numPr>
          <w:ilvl w:val="1"/>
          <w:numId w:val="45"/>
        </w:numPr>
        <w:ind w:left="567" w:hanging="283"/>
        <w:rPr>
          <w:rFonts w:ascii="Calibri" w:eastAsia="Calibri" w:hAnsi="Calibri"/>
          <w:bCs/>
          <w:i/>
          <w:szCs w:val="22"/>
        </w:rPr>
      </w:pPr>
      <w:r w:rsidRPr="008676F9">
        <w:rPr>
          <w:rFonts w:ascii="Calibri" w:eastAsia="Calibri" w:hAnsi="Calibri"/>
          <w:bCs/>
          <w:i/>
          <w:szCs w:val="22"/>
        </w:rPr>
        <w:t>súkromných vlastníkov a ich združení</w:t>
      </w:r>
      <w:r w:rsidR="005C7530">
        <w:rPr>
          <w:rFonts w:ascii="Calibri" w:eastAsia="Calibri" w:hAnsi="Calibri"/>
          <w:bCs/>
          <w:i/>
          <w:szCs w:val="22"/>
        </w:rPr>
        <w:t>;</w:t>
      </w:r>
      <w:r w:rsidRPr="008676F9">
        <w:rPr>
          <w:rFonts w:ascii="Calibri" w:eastAsia="Calibri" w:hAnsi="Calibri"/>
          <w:bCs/>
          <w:i/>
          <w:szCs w:val="22"/>
        </w:rPr>
        <w:t xml:space="preserve"> </w:t>
      </w:r>
    </w:p>
    <w:p w:rsidR="008676F9" w:rsidRPr="008676F9" w:rsidRDefault="008676F9" w:rsidP="001F5283">
      <w:pPr>
        <w:numPr>
          <w:ilvl w:val="1"/>
          <w:numId w:val="45"/>
        </w:numPr>
        <w:ind w:left="567" w:hanging="283"/>
        <w:rPr>
          <w:rFonts w:ascii="Calibri" w:eastAsia="Calibri" w:hAnsi="Calibri"/>
          <w:bCs/>
          <w:i/>
          <w:szCs w:val="22"/>
        </w:rPr>
      </w:pPr>
      <w:r w:rsidRPr="008676F9">
        <w:rPr>
          <w:rFonts w:ascii="Calibri" w:eastAsia="Calibri" w:hAnsi="Calibri"/>
          <w:bCs/>
          <w:i/>
          <w:szCs w:val="22"/>
        </w:rPr>
        <w:t>obcí a ich združení</w:t>
      </w:r>
      <w:r w:rsidR="005C7530">
        <w:rPr>
          <w:rFonts w:ascii="Calibri" w:eastAsia="Calibri" w:hAnsi="Calibri"/>
          <w:bCs/>
          <w:i/>
          <w:szCs w:val="22"/>
        </w:rPr>
        <w:t>;</w:t>
      </w:r>
    </w:p>
    <w:p w:rsidR="008676F9" w:rsidRPr="008676F9" w:rsidRDefault="008676F9" w:rsidP="001F5283">
      <w:pPr>
        <w:numPr>
          <w:ilvl w:val="1"/>
          <w:numId w:val="45"/>
        </w:numPr>
        <w:ind w:left="567" w:hanging="283"/>
        <w:rPr>
          <w:rFonts w:ascii="Calibri" w:eastAsia="Calibri" w:hAnsi="Calibri"/>
          <w:bCs/>
          <w:szCs w:val="22"/>
        </w:rPr>
      </w:pPr>
      <w:r w:rsidRPr="008676F9">
        <w:rPr>
          <w:rFonts w:ascii="Calibri" w:eastAsia="Calibri" w:hAnsi="Calibri"/>
          <w:bCs/>
          <w:i/>
          <w:szCs w:val="22"/>
        </w:rPr>
        <w:t>cirkvi,</w:t>
      </w:r>
      <w:r w:rsidRPr="008676F9">
        <w:rPr>
          <w:rFonts w:ascii="Calibri" w:eastAsia="Calibri" w:hAnsi="Calibri"/>
          <w:bCs/>
          <w:szCs w:val="22"/>
        </w:rPr>
        <w:t xml:space="preserve"> ktorej majetok možno podľa právneho poriadku SR považovať za súkromný, pokiaľ ide o jeho správu a nakladanie s ním. </w:t>
      </w:r>
    </w:p>
    <w:p w:rsidR="008676F9" w:rsidRPr="008676F9" w:rsidRDefault="008676F9" w:rsidP="006F5151">
      <w:pPr>
        <w:ind w:left="284" w:hanging="284"/>
        <w:rPr>
          <w:rFonts w:ascii="Calibri" w:eastAsia="Calibri" w:hAnsi="Calibri"/>
          <w:bCs/>
          <w:szCs w:val="22"/>
        </w:rPr>
      </w:pPr>
    </w:p>
    <w:p w:rsidR="008676F9" w:rsidRPr="008676F9" w:rsidRDefault="008676F9" w:rsidP="001F5283">
      <w:pPr>
        <w:numPr>
          <w:ilvl w:val="0"/>
          <w:numId w:val="36"/>
        </w:numPr>
        <w:ind w:left="284" w:hanging="284"/>
        <w:rPr>
          <w:rFonts w:ascii="Calibri" w:eastAsia="Calibri" w:hAnsi="Calibri"/>
          <w:szCs w:val="22"/>
        </w:rPr>
      </w:pPr>
      <w:r w:rsidRPr="008676F9">
        <w:rPr>
          <w:rFonts w:ascii="Calibri" w:eastAsia="Calibri" w:hAnsi="Calibri"/>
          <w:bCs/>
          <w:szCs w:val="22"/>
        </w:rPr>
        <w:t>Fyzické a právnické osoby (malé a stredné podniky v zmysle odporúčania Komisie 2003/361/ES) poskytujúce služby v lesníctve za predpokladu poskytnutia týchto služieb subjektom uvedeným v bode a).</w:t>
      </w:r>
    </w:p>
    <w:p w:rsidR="008676F9" w:rsidRPr="008676F9" w:rsidRDefault="008676F9" w:rsidP="006F5151">
      <w:pPr>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Oprávnené výdavky</w:t>
      </w:r>
      <w:r w:rsidRPr="008676F9">
        <w:rPr>
          <w:rFonts w:ascii="Calibri" w:eastAsia="Calibri" w:hAnsi="Calibri" w:cs="Calibri"/>
          <w:bCs/>
          <w:szCs w:val="22"/>
          <w:u w:val="single"/>
          <w:vertAlign w:val="superscript"/>
          <w:lang w:eastAsia="en-US"/>
        </w:rPr>
        <w:footnoteReference w:id="28"/>
      </w:r>
      <w:r w:rsidRPr="008676F9">
        <w:rPr>
          <w:rFonts w:ascii="Calibri" w:eastAsia="Calibri" w:hAnsi="Calibri" w:cs="Calibri"/>
          <w:bCs/>
          <w:szCs w:val="22"/>
          <w:u w:val="single"/>
          <w:lang w:eastAsia="en-US"/>
        </w:rPr>
        <w:t>:</w:t>
      </w:r>
    </w:p>
    <w:p w:rsidR="008676F9" w:rsidRPr="008676F9" w:rsidRDefault="008676F9" w:rsidP="00955DA4">
      <w:pPr>
        <w:numPr>
          <w:ilvl w:val="0"/>
          <w:numId w:val="139"/>
        </w:numPr>
        <w:spacing w:after="120"/>
        <w:ind w:left="714" w:hanging="357"/>
        <w:rPr>
          <w:rFonts w:ascii="Calibri" w:hAnsi="Calibri"/>
          <w:snapToGrid w:val="0"/>
          <w:szCs w:val="22"/>
          <w:lang w:eastAsia="fr-BE"/>
        </w:rPr>
      </w:pPr>
      <w:r w:rsidRPr="008676F9">
        <w:rPr>
          <w:rFonts w:ascii="Calibri" w:hAnsi="Calibri"/>
          <w:i/>
          <w:snapToGrid w:val="0"/>
          <w:szCs w:val="22"/>
          <w:lang w:eastAsia="fr-BE"/>
        </w:rPr>
        <w:t>investície zlepšujúce postupy obhospodarovania lesa</w:t>
      </w:r>
      <w:r w:rsidRPr="008676F9">
        <w:rPr>
          <w:rFonts w:ascii="Calibri" w:hAnsi="Calibri"/>
          <w:snapToGrid w:val="0"/>
          <w:szCs w:val="22"/>
          <w:lang w:eastAsia="fr-BE"/>
        </w:rPr>
        <w:t xml:space="preserve"> - investície do strojného zariadenia na ťažbu a do postupov ťažby, vrátane približovania dreva, odvozu dreva a manipulácie s drevom a tiež investície súvisiace s pestovaním lesa, vrátane investícii do technológií a mechanizmov pre lesné škôlky, ktoré sú súčasťou daného podniku a produkcia z tejto škôlky slúži len pre vlastnú potrebu, ktoré sú šetrné voči pôde a prírodným zdrojom;</w:t>
      </w:r>
    </w:p>
    <w:p w:rsidR="008676F9" w:rsidRPr="008676F9" w:rsidRDefault="008676F9" w:rsidP="00955DA4">
      <w:pPr>
        <w:numPr>
          <w:ilvl w:val="0"/>
          <w:numId w:val="139"/>
        </w:numPr>
        <w:spacing w:after="120"/>
        <w:ind w:left="714" w:hanging="357"/>
        <w:rPr>
          <w:rFonts w:ascii="Calibri" w:hAnsi="Calibri"/>
          <w:snapToGrid w:val="0"/>
          <w:szCs w:val="22"/>
          <w:lang w:eastAsia="fr-BE"/>
        </w:rPr>
      </w:pPr>
      <w:r w:rsidRPr="008676F9">
        <w:rPr>
          <w:rFonts w:ascii="Calibri" w:hAnsi="Calibri"/>
          <w:i/>
          <w:snapToGrid w:val="0"/>
          <w:szCs w:val="22"/>
          <w:lang w:eastAsia="fr-BE"/>
        </w:rPr>
        <w:t>investície súvisiace so spracovaním a marketingom lesných produktov</w:t>
      </w:r>
      <w:r w:rsidRPr="008676F9">
        <w:rPr>
          <w:rFonts w:ascii="Calibri" w:hAnsi="Calibri"/>
          <w:snapToGrid w:val="0"/>
          <w:szCs w:val="22"/>
          <w:lang w:eastAsia="fr-BE"/>
        </w:rPr>
        <w:t xml:space="preserve"> - investície do rozvoja a racionalizácie marketingu a spracovania dreva ako výrub, manipulácia, uskladnenie a iné pracovné operácie pred priemyselným spracovaním dreva;</w:t>
      </w:r>
    </w:p>
    <w:p w:rsidR="008676F9" w:rsidRPr="008676F9" w:rsidRDefault="008676F9" w:rsidP="00955DA4">
      <w:pPr>
        <w:numPr>
          <w:ilvl w:val="0"/>
          <w:numId w:val="139"/>
        </w:numPr>
        <w:spacing w:after="120"/>
        <w:ind w:left="714" w:hanging="357"/>
        <w:rPr>
          <w:rFonts w:ascii="Calibri" w:hAnsi="Calibri"/>
          <w:bCs/>
          <w:szCs w:val="22"/>
          <w:lang w:eastAsia="en-US"/>
        </w:rPr>
      </w:pPr>
      <w:r w:rsidRPr="008676F9">
        <w:rPr>
          <w:rFonts w:ascii="Calibri" w:hAnsi="Calibri"/>
          <w:i/>
          <w:szCs w:val="22"/>
          <w:lang w:eastAsia="en-US"/>
        </w:rPr>
        <w:t>investície súvisiace s využívaním dreva ako suroviny alebo zdroja energie</w:t>
      </w:r>
      <w:r w:rsidRPr="008676F9">
        <w:rPr>
          <w:rFonts w:ascii="Calibri" w:hAnsi="Calibri"/>
          <w:szCs w:val="22"/>
          <w:lang w:eastAsia="en-US"/>
        </w:rPr>
        <w:t xml:space="preserve">, a to na všetky pracovné operácie, ktoré sú realizované pred priemyselným spracovaním dreva, vrátane prípravy materiálu na výrobu energie a mobilizácie nevyužitého alebo málo využívaného dreva, prepravy dreva špecializovanými zariadeniami lesného hospodárstva s výnimkou štandardných dopravných činností. Malokapacitná výroba štiepky a s tým súvisiace činnosti v lese sú oprávnené.  </w:t>
      </w:r>
    </w:p>
    <w:p w:rsidR="00865BF9" w:rsidRPr="00865BF9" w:rsidRDefault="008676F9" w:rsidP="00955DA4">
      <w:pPr>
        <w:numPr>
          <w:ilvl w:val="0"/>
          <w:numId w:val="139"/>
        </w:numPr>
        <w:spacing w:after="120"/>
        <w:ind w:left="714" w:hanging="357"/>
        <w:rPr>
          <w:rFonts w:ascii="Calibri" w:hAnsi="Calibri"/>
          <w:bCs/>
          <w:szCs w:val="22"/>
          <w:lang w:eastAsia="en-US"/>
        </w:rPr>
      </w:pPr>
      <w:r w:rsidRPr="008676F9">
        <w:rPr>
          <w:rFonts w:ascii="Calibri" w:hAnsi="Calibri"/>
          <w:i/>
          <w:szCs w:val="22"/>
          <w:lang w:eastAsia="en-US"/>
        </w:rPr>
        <w:t>investície do IKT</w:t>
      </w:r>
      <w:r w:rsidRPr="008676F9">
        <w:rPr>
          <w:rFonts w:ascii="Calibri" w:hAnsi="Calibri"/>
          <w:szCs w:val="22"/>
          <w:lang w:eastAsia="en-US"/>
        </w:rPr>
        <w:t xml:space="preserve"> (hardware, software), vrátane pripojenia na internet</w:t>
      </w:r>
      <w:r w:rsidR="00865BF9">
        <w:rPr>
          <w:rFonts w:ascii="Calibri" w:hAnsi="Calibri"/>
          <w:szCs w:val="22"/>
          <w:lang w:eastAsia="en-US"/>
        </w:rPr>
        <w:t>;</w:t>
      </w:r>
    </w:p>
    <w:p w:rsidR="008676F9" w:rsidRPr="00865BF9" w:rsidRDefault="00865BF9" w:rsidP="00955DA4">
      <w:pPr>
        <w:numPr>
          <w:ilvl w:val="0"/>
          <w:numId w:val="139"/>
        </w:numPr>
        <w:ind w:left="714" w:hanging="357"/>
        <w:rPr>
          <w:rFonts w:ascii="Calibri" w:hAnsi="Calibri"/>
          <w:bCs/>
          <w:szCs w:val="22"/>
          <w:lang w:eastAsia="en-US"/>
        </w:rPr>
      </w:pPr>
      <w:r w:rsidRPr="00865BF9">
        <w:rPr>
          <w:rFonts w:ascii="Calibri" w:hAnsi="Calibri"/>
          <w:szCs w:val="22"/>
          <w:lang w:eastAsia="en-US"/>
        </w:rPr>
        <w:t>náklady na riadenie projektu</w:t>
      </w:r>
      <w:r w:rsidR="008676F9" w:rsidRPr="00865BF9">
        <w:rPr>
          <w:rFonts w:ascii="Calibri" w:hAnsi="Calibri"/>
          <w:szCs w:val="22"/>
          <w:lang w:eastAsia="en-US"/>
        </w:rPr>
        <w:t>.</w:t>
      </w:r>
    </w:p>
    <w:p w:rsidR="008676F9" w:rsidRPr="008676F9" w:rsidRDefault="008676F9" w:rsidP="006F5151">
      <w:pPr>
        <w:rPr>
          <w:rFonts w:ascii="Calibri" w:eastAsia="Calibri" w:hAnsi="Calibri" w:cs="Calibri"/>
          <w:bCs/>
          <w:szCs w:val="22"/>
          <w:u w:val="single"/>
          <w:lang w:eastAsia="en-US"/>
        </w:rPr>
      </w:pPr>
    </w:p>
    <w:p w:rsidR="008676F9" w:rsidRPr="008676F9" w:rsidRDefault="008676F9" w:rsidP="006F5151">
      <w:pPr>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Podmienky oprávnenosti:</w:t>
      </w:r>
    </w:p>
    <w:p w:rsidR="005C7530" w:rsidRPr="008676F9" w:rsidRDefault="005C7530" w:rsidP="005C7530">
      <w:pPr>
        <w:numPr>
          <w:ilvl w:val="0"/>
          <w:numId w:val="41"/>
        </w:numPr>
        <w:ind w:left="425" w:hanging="425"/>
        <w:rPr>
          <w:rFonts w:ascii="Calibri" w:hAnsi="Calibri" w:cs="Calibri"/>
          <w:szCs w:val="22"/>
          <w:lang w:eastAsia="en-US"/>
        </w:rPr>
      </w:pPr>
      <w:r w:rsidRPr="008676F9">
        <w:rPr>
          <w:rFonts w:ascii="Calibri" w:hAnsi="Calibri" w:cs="Calibri"/>
          <w:szCs w:val="22"/>
          <w:lang w:eastAsia="en-US"/>
        </w:rPr>
        <w:t>predloženie relevantných informácií z programu starostlivosti o les (§47 zákona č.326/2005 Z.z.) v prípade prijímateľa podpory podľa písm. a)</w:t>
      </w:r>
      <w:r>
        <w:rPr>
          <w:rFonts w:ascii="Calibri" w:hAnsi="Calibri" w:cs="Calibri"/>
          <w:szCs w:val="22"/>
          <w:lang w:eastAsia="en-US"/>
        </w:rPr>
        <w:t xml:space="preserve"> </w:t>
      </w:r>
      <w:r>
        <w:rPr>
          <w:rFonts w:ascii="Calibri" w:hAnsi="Calibri"/>
          <w:bCs/>
          <w:szCs w:val="22"/>
          <w:lang w:eastAsia="en-US"/>
        </w:rPr>
        <w:t>a prípadne inej dokumentácie ochrany prírody podľa §54 zákona č.543/2002 Z. z.</w:t>
      </w:r>
      <w:r w:rsidRPr="008676F9">
        <w:rPr>
          <w:rFonts w:ascii="Calibri" w:hAnsi="Calibri" w:cs="Calibri"/>
          <w:szCs w:val="22"/>
          <w:lang w:eastAsia="en-US"/>
        </w:rPr>
        <w:t xml:space="preserve">; </w:t>
      </w:r>
    </w:p>
    <w:p w:rsidR="005C7530" w:rsidRPr="008676F9" w:rsidRDefault="005C7530" w:rsidP="005C7530">
      <w:pPr>
        <w:numPr>
          <w:ilvl w:val="0"/>
          <w:numId w:val="41"/>
        </w:numPr>
        <w:ind w:left="425" w:hanging="425"/>
        <w:rPr>
          <w:rFonts w:ascii="Calibri" w:eastAsia="Calibri" w:hAnsi="Calibri" w:cs="Calibri"/>
          <w:bCs/>
          <w:szCs w:val="22"/>
          <w:u w:val="single"/>
          <w:lang w:eastAsia="en-US"/>
        </w:rPr>
      </w:pPr>
      <w:r w:rsidRPr="008676F9">
        <w:rPr>
          <w:rFonts w:ascii="Calibri" w:hAnsi="Calibri" w:cs="Calibri"/>
          <w:szCs w:val="22"/>
          <w:lang w:eastAsia="en-US"/>
        </w:rPr>
        <w:t xml:space="preserve">podiel ročných tržieb z lesníckej výroby </w:t>
      </w:r>
      <w:r w:rsidRPr="008676F9">
        <w:rPr>
          <w:rFonts w:ascii="Calibri" w:eastAsia="Calibri" w:hAnsi="Calibri" w:cs="Calibri"/>
          <w:szCs w:val="22"/>
          <w:lang w:eastAsia="en-US"/>
        </w:rPr>
        <w:t>alebo poskytovaných lesníckych služieb</w:t>
      </w:r>
      <w:r w:rsidRPr="008676F9">
        <w:rPr>
          <w:rFonts w:ascii="Calibri" w:hAnsi="Calibri" w:cs="Calibri"/>
          <w:szCs w:val="22"/>
          <w:lang w:eastAsia="en-US"/>
        </w:rPr>
        <w:t xml:space="preserve"> k celkovým tržbám musí byť viac ako </w:t>
      </w:r>
      <w:r>
        <w:rPr>
          <w:rFonts w:ascii="Calibri" w:hAnsi="Calibri" w:cs="Calibri"/>
          <w:szCs w:val="22"/>
          <w:lang w:eastAsia="en-US"/>
        </w:rPr>
        <w:t>7</w:t>
      </w:r>
      <w:r w:rsidRPr="008676F9">
        <w:rPr>
          <w:rFonts w:ascii="Calibri" w:hAnsi="Calibri" w:cs="Calibri"/>
          <w:szCs w:val="22"/>
          <w:lang w:eastAsia="en-US"/>
        </w:rPr>
        <w:t>0%;</w:t>
      </w:r>
    </w:p>
    <w:p w:rsidR="005C7530" w:rsidRPr="008676F9" w:rsidRDefault="005C7530" w:rsidP="005C7530">
      <w:pPr>
        <w:numPr>
          <w:ilvl w:val="0"/>
          <w:numId w:val="41"/>
        </w:numPr>
        <w:ind w:left="426" w:hanging="426"/>
        <w:rPr>
          <w:rFonts w:ascii="Calibri" w:hAnsi="Calibri"/>
          <w:szCs w:val="22"/>
          <w:lang w:eastAsia="en-US"/>
        </w:rPr>
      </w:pPr>
      <w:r w:rsidRPr="008676F9">
        <w:rPr>
          <w:rFonts w:ascii="Calibri" w:hAnsi="Calibri"/>
          <w:szCs w:val="22"/>
          <w:lang w:eastAsia="en-US"/>
        </w:rPr>
        <w:t>povinnosť žiadateľa, ktorý sa nachádza na území MAS, predložiť potvrdenie od MAS, že daný projekt nie je realizovaný prostredníctvom stratégie CLLD miestnej akčnej skupiny.</w:t>
      </w:r>
    </w:p>
    <w:p w:rsidR="008676F9" w:rsidRPr="008676F9" w:rsidRDefault="008676F9" w:rsidP="006F5151">
      <w:pPr>
        <w:rPr>
          <w:rFonts w:ascii="Calibri" w:eastAsia="Calibri" w:hAnsi="Calibri" w:cs="Calibri"/>
          <w:bCs/>
          <w:szCs w:val="22"/>
          <w:u w:val="single"/>
          <w:lang w:eastAsia="en-US"/>
        </w:rPr>
      </w:pPr>
    </w:p>
    <w:p w:rsidR="008676F9" w:rsidRPr="008676F9" w:rsidRDefault="008676F9" w:rsidP="006F5151">
      <w:pPr>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Princípy nastavenia kritérií oprávnenosti:</w:t>
      </w:r>
    </w:p>
    <w:p w:rsidR="008676F9" w:rsidRPr="008676F9" w:rsidRDefault="008676F9" w:rsidP="00955DA4">
      <w:pPr>
        <w:numPr>
          <w:ilvl w:val="0"/>
          <w:numId w:val="134"/>
        </w:numPr>
        <w:rPr>
          <w:rFonts w:ascii="Calibri" w:hAnsi="Calibri" w:cs="Calibri"/>
          <w:bCs/>
          <w:szCs w:val="22"/>
          <w:lang w:eastAsia="en-US"/>
        </w:rPr>
      </w:pPr>
      <w:r w:rsidRPr="008676F9">
        <w:rPr>
          <w:rFonts w:ascii="Calibri" w:hAnsi="Calibri" w:cs="Calibri"/>
          <w:bCs/>
          <w:szCs w:val="22"/>
          <w:lang w:eastAsia="en-US"/>
        </w:rPr>
        <w:t>uprednostnené budú projekty s vyšším počtom tvorby/udržania pracovných miest;</w:t>
      </w:r>
    </w:p>
    <w:p w:rsidR="008676F9" w:rsidRPr="008676F9" w:rsidRDefault="008676F9" w:rsidP="00955DA4">
      <w:pPr>
        <w:numPr>
          <w:ilvl w:val="0"/>
          <w:numId w:val="134"/>
        </w:numPr>
        <w:rPr>
          <w:rFonts w:ascii="Calibri" w:hAnsi="Calibri" w:cs="Calibri"/>
          <w:bCs/>
          <w:szCs w:val="22"/>
          <w:lang w:eastAsia="en-US"/>
        </w:rPr>
      </w:pPr>
      <w:r w:rsidRPr="008676F9">
        <w:rPr>
          <w:rFonts w:ascii="Calibri" w:hAnsi="Calibri" w:cs="Calibri"/>
          <w:bCs/>
          <w:szCs w:val="22"/>
          <w:lang w:eastAsia="en-US"/>
        </w:rPr>
        <w:t>uprednostnené budú projekty primárne prispievajúce k životnému prostrediu a klíme.</w:t>
      </w:r>
    </w:p>
    <w:p w:rsidR="00095683" w:rsidRDefault="00095683" w:rsidP="006F5151">
      <w:pPr>
        <w:rPr>
          <w:rFonts w:ascii="Calibri" w:eastAsia="Calibri" w:hAnsi="Calibri" w:cs="Calibri"/>
          <w:bCs/>
          <w:szCs w:val="22"/>
          <w:u w:val="single"/>
          <w:lang w:eastAsia="en-US"/>
        </w:rPr>
      </w:pPr>
    </w:p>
    <w:p w:rsidR="008676F9" w:rsidRPr="008676F9" w:rsidRDefault="008676F9" w:rsidP="006F5151">
      <w:pPr>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Miera a miera podpory:</w:t>
      </w:r>
    </w:p>
    <w:p w:rsidR="008676F9" w:rsidRPr="008676F9" w:rsidRDefault="008676F9" w:rsidP="006F5151">
      <w:pPr>
        <w:rPr>
          <w:rFonts w:ascii="Calibri" w:eastAsia="Calibri" w:hAnsi="Calibri" w:cs="Calibri"/>
          <w:szCs w:val="22"/>
          <w:lang w:eastAsia="en-US"/>
        </w:rPr>
      </w:pPr>
      <w:r w:rsidRPr="008676F9">
        <w:rPr>
          <w:rFonts w:ascii="Calibri" w:eastAsia="Calibri" w:hAnsi="Calibri" w:cs="Calibri"/>
          <w:szCs w:val="22"/>
          <w:lang w:eastAsia="en-US"/>
        </w:rPr>
        <w:t>Maximálna výška podpory z celkových oprávnených výdavkov:</w:t>
      </w:r>
    </w:p>
    <w:p w:rsidR="008676F9" w:rsidRPr="008676F9" w:rsidRDefault="008676F9" w:rsidP="001F5283">
      <w:pPr>
        <w:numPr>
          <w:ilvl w:val="0"/>
          <w:numId w:val="42"/>
        </w:numPr>
        <w:contextualSpacing/>
        <w:rPr>
          <w:rFonts w:ascii="Calibri" w:hAnsi="Calibri"/>
          <w:szCs w:val="22"/>
          <w:lang w:eastAsia="en-US"/>
        </w:rPr>
      </w:pPr>
      <w:r w:rsidRPr="008676F9">
        <w:rPr>
          <w:rFonts w:ascii="Calibri" w:hAnsi="Calibri"/>
          <w:szCs w:val="22"/>
          <w:lang w:eastAsia="en-US"/>
        </w:rPr>
        <w:t>50 % oprávnených nákladov pre menej rozvinuté regióny;</w:t>
      </w:r>
    </w:p>
    <w:p w:rsidR="008676F9" w:rsidRPr="008676F9" w:rsidRDefault="008676F9" w:rsidP="001F5283">
      <w:pPr>
        <w:numPr>
          <w:ilvl w:val="0"/>
          <w:numId w:val="42"/>
        </w:numPr>
        <w:contextualSpacing/>
        <w:rPr>
          <w:rFonts w:ascii="Calibri" w:eastAsia="Calibri" w:hAnsi="Calibri" w:cs="Calibri"/>
          <w:szCs w:val="22"/>
          <w:lang w:eastAsia="en-US"/>
        </w:rPr>
      </w:pPr>
      <w:r w:rsidRPr="008676F9">
        <w:rPr>
          <w:rFonts w:ascii="Calibri" w:hAnsi="Calibri"/>
          <w:szCs w:val="22"/>
          <w:lang w:eastAsia="en-US"/>
        </w:rPr>
        <w:t>40 % oprávnených nákladov v ostatných regiónoch.</w:t>
      </w:r>
    </w:p>
    <w:p w:rsidR="008676F9" w:rsidRPr="008676F9" w:rsidRDefault="008676F9" w:rsidP="006F5151">
      <w:pPr>
        <w:ind w:left="851" w:hanging="851"/>
        <w:rPr>
          <w:rFonts w:ascii="Calibri" w:eastAsia="Calibri" w:hAnsi="Calibri" w:cs="Calibri"/>
          <w:b/>
          <w:bCs/>
          <w:szCs w:val="22"/>
          <w:lang w:eastAsia="en-US"/>
        </w:rPr>
      </w:pPr>
    </w:p>
    <w:p w:rsidR="008676F9" w:rsidRPr="008676F9" w:rsidRDefault="008676F9" w:rsidP="006F5151">
      <w:pPr>
        <w:rPr>
          <w:rFonts w:ascii="Calibri" w:eastAsia="Calibri" w:hAnsi="Calibri" w:cs="Calibri"/>
          <w:szCs w:val="22"/>
          <w:u w:val="single"/>
          <w:lang w:eastAsia="en-US"/>
        </w:rPr>
      </w:pPr>
      <w:r w:rsidRPr="008676F9">
        <w:rPr>
          <w:rFonts w:ascii="Calibri" w:eastAsia="Calibri" w:hAnsi="Calibri" w:cs="Calibri"/>
          <w:szCs w:val="22"/>
          <w:u w:val="single"/>
          <w:lang w:eastAsia="en-US"/>
        </w:rPr>
        <w:t>Ďalšie informácie špecifické pre podopatrenie:</w:t>
      </w:r>
    </w:p>
    <w:p w:rsidR="008676F9" w:rsidRPr="008676F9" w:rsidRDefault="008676F9" w:rsidP="002E78E6">
      <w:pPr>
        <w:spacing w:after="120"/>
        <w:rPr>
          <w:rFonts w:ascii="Calibri" w:eastAsia="Calibri" w:hAnsi="Calibri" w:cs="Arial"/>
          <w:color w:val="000000"/>
          <w:szCs w:val="22"/>
          <w:lang w:eastAsia="en-US"/>
        </w:rPr>
      </w:pPr>
      <w:r w:rsidRPr="008676F9">
        <w:rPr>
          <w:rFonts w:ascii="Calibri" w:eastAsia="Calibri" w:hAnsi="Calibri"/>
          <w:i/>
          <w:szCs w:val="22"/>
          <w:lang w:eastAsia="en-US"/>
        </w:rPr>
        <w:t>Les:</w:t>
      </w:r>
      <w:r w:rsidRPr="008676F9">
        <w:rPr>
          <w:rFonts w:ascii="Calibri" w:eastAsia="Calibri" w:hAnsi="Calibri"/>
          <w:szCs w:val="22"/>
          <w:lang w:eastAsia="en-US"/>
        </w:rPr>
        <w:t xml:space="preserve"> </w:t>
      </w:r>
      <w:r w:rsidRPr="008676F9">
        <w:rPr>
          <w:rFonts w:ascii="Calibri" w:eastAsia="Calibri" w:hAnsi="Calibri" w:cs="Arial"/>
          <w:color w:val="000000"/>
          <w:szCs w:val="22"/>
          <w:lang w:eastAsia="en-US"/>
        </w:rPr>
        <w:t xml:space="preserve">ekosystém, ktorý tvorí lesný pozemok s lesným porastom a faktormi jeho vzdušného prostredia, rastlinné druhy, živočíšne druhy a pôda s jej hydrologickým a vzdušným režimom. </w:t>
      </w:r>
      <w:r w:rsidRPr="008676F9">
        <w:rPr>
          <w:rFonts w:ascii="Calibri" w:eastAsia="Calibri" w:hAnsi="Calibri"/>
          <w:szCs w:val="22"/>
          <w:lang w:eastAsia="en-US"/>
        </w:rPr>
        <w:t xml:space="preserve">Podpora sa vzťahuje na lesné pozemky zadefinované podľa § 3 zákona č.326/2005. </w:t>
      </w:r>
      <w:r w:rsidRPr="008676F9">
        <w:rPr>
          <w:rFonts w:ascii="Calibri" w:eastAsia="Calibri" w:hAnsi="Calibri" w:cs="Arial"/>
          <w:color w:val="000000"/>
          <w:szCs w:val="22"/>
          <w:lang w:eastAsia="en-US"/>
        </w:rPr>
        <w:t>Lesným porastom sa rozumie súbor rastúcich stromovitých drevín, krovitých drevín alebo ich zmesí na lesných pozemkoch.</w:t>
      </w:r>
    </w:p>
    <w:p w:rsidR="008676F9" w:rsidRPr="008676F9" w:rsidRDefault="008676F9" w:rsidP="006F5151">
      <w:pPr>
        <w:autoSpaceDE w:val="0"/>
        <w:autoSpaceDN w:val="0"/>
        <w:adjustRightInd w:val="0"/>
        <w:rPr>
          <w:rFonts w:ascii="Calibri" w:eastAsia="TimesNewRoman,Bold" w:hAnsi="Calibri" w:cs="TimesNewRoman"/>
          <w:szCs w:val="22"/>
          <w:lang w:eastAsia="en-US"/>
        </w:rPr>
      </w:pPr>
      <w:r w:rsidRPr="008676F9">
        <w:rPr>
          <w:rFonts w:ascii="Calibri" w:eastAsia="TimesNewRoman,Bold" w:hAnsi="Calibri" w:cs="TimesNewRoman,Bold"/>
          <w:bCs/>
          <w:i/>
          <w:szCs w:val="22"/>
          <w:lang w:eastAsia="en-US"/>
        </w:rPr>
        <w:t>Operácie pred priemyselným spracovaním dreva</w:t>
      </w:r>
      <w:r w:rsidRPr="008676F9">
        <w:rPr>
          <w:rFonts w:ascii="Calibri" w:eastAsia="TimesNewRoman,Bold" w:hAnsi="Calibri" w:cs="TimesNewRoman,Bold"/>
          <w:b/>
          <w:bCs/>
          <w:szCs w:val="22"/>
          <w:lang w:eastAsia="en-US"/>
        </w:rPr>
        <w:t xml:space="preserve">: </w:t>
      </w:r>
      <w:r w:rsidRPr="008676F9">
        <w:rPr>
          <w:rFonts w:ascii="Calibri" w:eastAsia="TimesNewRoman,Bold" w:hAnsi="Calibri" w:cs="TimesNewRoman"/>
          <w:szCs w:val="22"/>
          <w:lang w:eastAsia="en-US"/>
        </w:rPr>
        <w:t>operácie chápané ako manipulácia a druhovanie dreva (vrátane triedenia dreva). Operácie pred priemyselným spracovaním nezahŕňajú pozdĺžny porez guľatiny ani následné operácie. Manipulácia a druhovanie dreva je činnosť, pri ktorej sa z odvetvených stromov vyrábajú (krátením, štiepaním, triedením, štiepkovaním) v súlade s obchodnými predpismi jednotlivé sortimenty. Táto činnosť sa môže vykonávať ručne a mechanicky (motorové píly, manipulačné linky, hydraulické štiepačky, štiepkovače a pod.). Manipulácia a</w:t>
      </w:r>
      <w:r w:rsidRPr="008676F9">
        <w:rPr>
          <w:rFonts w:ascii="Calibri" w:eastAsia="TimesNewRoman,Bold" w:hAnsi="Calibri" w:cs="TimesNewRoman"/>
          <w:szCs w:val="22"/>
          <w:lang w:eastAsia="en-US"/>
        </w:rPr>
        <w:lastRenderedPageBreak/>
        <w:t xml:space="preserve"> druhovanie dreva sa nesmie zamieňať s manipuláciou s drevom. Manipulácia s drevom je súhrnné označenie rôznych nevyhnutných pomocných činností spojených s výrobou sortimentov surového dreva napr. premiestňovanie, otáčanie, zdvíhanie, ukladanie, nakladanie a pod. vykonávané ručne a mechanicky.</w:t>
      </w:r>
    </w:p>
    <w:p w:rsidR="008676F9" w:rsidRPr="008676F9" w:rsidRDefault="008676F9" w:rsidP="006F5151">
      <w:pPr>
        <w:ind w:left="851" w:hanging="851"/>
        <w:rPr>
          <w:rFonts w:ascii="Calibri" w:eastAsia="Calibri" w:hAnsi="Calibri" w:cs="Calibri"/>
          <w:b/>
          <w:bCs/>
          <w:szCs w:val="22"/>
          <w:lang w:eastAsia="en-US"/>
        </w:rPr>
      </w:pPr>
    </w:p>
    <w:p w:rsidR="008676F9" w:rsidRPr="008676F9" w:rsidRDefault="008676F9" w:rsidP="006F5151">
      <w:pPr>
        <w:ind w:left="851" w:hanging="851"/>
        <w:rPr>
          <w:rFonts w:ascii="Calibri" w:eastAsia="Calibri" w:hAnsi="Calibri" w:cs="Calibri"/>
          <w:b/>
          <w:bCs/>
          <w:szCs w:val="22"/>
          <w:lang w:eastAsia="en-US"/>
        </w:rPr>
      </w:pPr>
      <w:r w:rsidRPr="008676F9">
        <w:rPr>
          <w:rFonts w:ascii="Calibri" w:eastAsia="Calibri" w:hAnsi="Calibri" w:cs="Calibri"/>
          <w:b/>
          <w:bCs/>
          <w:szCs w:val="22"/>
          <w:lang w:eastAsia="en-US"/>
        </w:rPr>
        <w:t xml:space="preserve">8.2.7.4. Overiteľnosť a kontrolovateľnosť opatrenia </w:t>
      </w:r>
    </w:p>
    <w:p w:rsidR="008676F9" w:rsidRPr="008676F9" w:rsidRDefault="008676F9" w:rsidP="006F5151">
      <w:pPr>
        <w:ind w:left="851" w:hanging="851"/>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Riziká implementácie opatrenia</w:t>
      </w:r>
    </w:p>
    <w:p w:rsidR="008676F9" w:rsidRPr="008676F9" w:rsidRDefault="008676F9" w:rsidP="00955DA4">
      <w:pPr>
        <w:numPr>
          <w:ilvl w:val="0"/>
          <w:numId w:val="177"/>
        </w:numPr>
        <w:rPr>
          <w:rFonts w:ascii="Calibri" w:hAnsi="Calibri" w:cs="Calibri"/>
          <w:bCs/>
          <w:szCs w:val="22"/>
          <w:lang w:eastAsia="en-US"/>
        </w:rPr>
      </w:pPr>
      <w:r w:rsidRPr="008676F9">
        <w:rPr>
          <w:rFonts w:ascii="Calibri" w:hAnsi="Calibri" w:cs="Calibri"/>
          <w:bCs/>
          <w:szCs w:val="22"/>
          <w:lang w:eastAsia="en-US"/>
        </w:rPr>
        <w:t>postupy verejného obstarávania;</w:t>
      </w:r>
    </w:p>
    <w:p w:rsidR="008676F9" w:rsidRPr="008676F9" w:rsidRDefault="008676F9" w:rsidP="00955DA4">
      <w:pPr>
        <w:numPr>
          <w:ilvl w:val="0"/>
          <w:numId w:val="177"/>
        </w:numPr>
        <w:rPr>
          <w:rFonts w:ascii="Calibri" w:hAnsi="Calibri" w:cs="Calibri"/>
          <w:bCs/>
          <w:szCs w:val="22"/>
          <w:lang w:eastAsia="en-US"/>
        </w:rPr>
      </w:pPr>
      <w:r w:rsidRPr="008676F9">
        <w:rPr>
          <w:rFonts w:ascii="Calibri" w:hAnsi="Calibri" w:cs="Calibri"/>
          <w:bCs/>
          <w:szCs w:val="22"/>
          <w:lang w:eastAsia="en-US"/>
        </w:rPr>
        <w:t>výber prijímateľov;</w:t>
      </w:r>
    </w:p>
    <w:p w:rsidR="008676F9" w:rsidRPr="008676F9" w:rsidRDefault="008676F9" w:rsidP="00955DA4">
      <w:pPr>
        <w:numPr>
          <w:ilvl w:val="0"/>
          <w:numId w:val="177"/>
        </w:numPr>
        <w:rPr>
          <w:rFonts w:ascii="Calibri" w:hAnsi="Calibri" w:cs="Calibri"/>
          <w:bCs/>
          <w:szCs w:val="22"/>
          <w:lang w:eastAsia="en-US"/>
        </w:rPr>
      </w:pPr>
      <w:r w:rsidRPr="008676F9">
        <w:rPr>
          <w:rFonts w:ascii="Calibri" w:hAnsi="Calibri" w:cs="Calibri"/>
          <w:bCs/>
          <w:szCs w:val="22"/>
          <w:lang w:eastAsia="en-US"/>
        </w:rPr>
        <w:t>riadiaci a kontrolný systém;</w:t>
      </w:r>
    </w:p>
    <w:p w:rsidR="008676F9" w:rsidRPr="008676F9" w:rsidRDefault="008676F9" w:rsidP="00955DA4">
      <w:pPr>
        <w:numPr>
          <w:ilvl w:val="0"/>
          <w:numId w:val="177"/>
        </w:numPr>
        <w:rPr>
          <w:rFonts w:ascii="Calibri" w:hAnsi="Calibri" w:cs="Calibri"/>
          <w:bCs/>
          <w:lang w:eastAsia="en-US"/>
        </w:rPr>
      </w:pPr>
      <w:r w:rsidRPr="008676F9">
        <w:rPr>
          <w:rFonts w:ascii="Calibri" w:hAnsi="Calibri" w:cs="Calibri"/>
          <w:bCs/>
          <w:lang w:eastAsia="en-US"/>
        </w:rPr>
        <w:t xml:space="preserve">efektívnosť a primeranosť oprávnených nákladov. </w:t>
      </w:r>
    </w:p>
    <w:p w:rsidR="008676F9" w:rsidRPr="008676F9" w:rsidRDefault="008676F9" w:rsidP="006F5151">
      <w:pPr>
        <w:ind w:left="851" w:hanging="851"/>
        <w:rPr>
          <w:rFonts w:ascii="Calibri" w:eastAsia="Calibri" w:hAnsi="Calibri" w:cs="Calibri"/>
          <w:bCs/>
          <w:szCs w:val="22"/>
          <w:lang w:eastAsia="en-US"/>
        </w:rPr>
      </w:pPr>
    </w:p>
    <w:p w:rsidR="008676F9" w:rsidRPr="008676F9" w:rsidRDefault="008676F9" w:rsidP="006F5151">
      <w:pPr>
        <w:ind w:left="851" w:hanging="851"/>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Opatrenia na zmiernenie rizika implementácie</w:t>
      </w:r>
    </w:p>
    <w:p w:rsidR="008676F9" w:rsidRPr="008676F9" w:rsidRDefault="008676F9" w:rsidP="00955DA4">
      <w:pPr>
        <w:numPr>
          <w:ilvl w:val="0"/>
          <w:numId w:val="170"/>
        </w:numPr>
        <w:rPr>
          <w:rFonts w:ascii="Calibri" w:hAnsi="Calibri" w:cs="Calibri"/>
        </w:rPr>
      </w:pPr>
      <w:r w:rsidRPr="008676F9">
        <w:rPr>
          <w:rFonts w:ascii="Calibri" w:hAnsi="Calibri" w:cs="Calibri"/>
        </w:rPr>
        <w:t>povinnosť postupovať v zmysle zákona NR SR č. 25/2006 Z. z. o verejnom obstarávaní v znení neskorších predpisov;</w:t>
      </w:r>
    </w:p>
    <w:p w:rsidR="008676F9" w:rsidRPr="008676F9" w:rsidRDefault="008676F9" w:rsidP="00955DA4">
      <w:pPr>
        <w:numPr>
          <w:ilvl w:val="0"/>
          <w:numId w:val="170"/>
        </w:numPr>
        <w:rPr>
          <w:rFonts w:ascii="Calibri" w:hAnsi="Calibri" w:cs="Calibri"/>
          <w:bCs/>
          <w:lang w:eastAsia="en-US"/>
        </w:rPr>
      </w:pPr>
      <w:r w:rsidRPr="008676F9">
        <w:rPr>
          <w:rFonts w:ascii="Calibri" w:hAnsi="Calibri" w:cs="Calibri"/>
          <w:bCs/>
          <w:lang w:eastAsia="en-US"/>
        </w:rPr>
        <w:t>systém riadenia a kontroly je zabezpečený administratívnymi kontrolami a kontrolami na mieste podľa platnej legislatívy.</w:t>
      </w:r>
    </w:p>
    <w:p w:rsidR="008676F9" w:rsidRPr="008676F9" w:rsidRDefault="008676F9" w:rsidP="006F5151">
      <w:pPr>
        <w:ind w:left="851" w:hanging="851"/>
        <w:rPr>
          <w:rFonts w:ascii="Calibri" w:eastAsia="Calibri" w:hAnsi="Calibri" w:cs="Calibri"/>
          <w:bCs/>
          <w:szCs w:val="22"/>
          <w:u w:val="single"/>
          <w:lang w:eastAsia="en-US"/>
        </w:rPr>
      </w:pPr>
    </w:p>
    <w:p w:rsidR="008676F9" w:rsidRPr="008676F9" w:rsidRDefault="008676F9" w:rsidP="006F5151">
      <w:pPr>
        <w:ind w:left="851" w:hanging="851"/>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Celkové posúdenie opatrenia</w:t>
      </w:r>
    </w:p>
    <w:p w:rsidR="008676F9" w:rsidRPr="008676F9" w:rsidRDefault="008676F9" w:rsidP="001F3673">
      <w:pPr>
        <w:spacing w:after="120"/>
        <w:rPr>
          <w:rFonts w:ascii="Calibri" w:eastAsia="Calibri" w:hAnsi="Calibri"/>
          <w:szCs w:val="22"/>
          <w:lang w:eastAsia="en-US"/>
        </w:rPr>
      </w:pPr>
      <w:r w:rsidRPr="008676F9">
        <w:rPr>
          <w:rFonts w:ascii="Calibri" w:eastAsia="Calibri" w:hAnsi="Calibri"/>
          <w:szCs w:val="22"/>
          <w:lang w:eastAsia="en-US"/>
        </w:rPr>
        <w:t>Overiteľnosť a kontrolovateľnosť opatrenia bude predmetom posúdenia ex-ante, mid-term a ex-post hodnotenia.</w:t>
      </w:r>
    </w:p>
    <w:p w:rsidR="008676F9" w:rsidRPr="008676F9" w:rsidRDefault="008676F9" w:rsidP="006F5151">
      <w:pPr>
        <w:rPr>
          <w:rFonts w:ascii="Calibri" w:eastAsia="Calibri" w:hAnsi="Calibri"/>
          <w:szCs w:val="22"/>
          <w:lang w:eastAsia="en-US"/>
        </w:rPr>
      </w:pPr>
      <w:r w:rsidRPr="008676F9">
        <w:rPr>
          <w:rFonts w:ascii="Calibri" w:eastAsia="Calibri" w:hAnsi="Calibri"/>
          <w:szCs w:val="22"/>
          <w:lang w:eastAsia="en-US"/>
        </w:rPr>
        <w:t xml:space="preserve">V rámci opatrenia budú stanovené presné </w:t>
      </w:r>
      <w:r w:rsidRPr="008676F9">
        <w:rPr>
          <w:rFonts w:ascii="Calibri" w:eastAsia="Calibri" w:hAnsi="Calibri"/>
          <w:b/>
          <w:szCs w:val="22"/>
          <w:lang w:eastAsia="en-US"/>
        </w:rPr>
        <w:t>podmienky oprávnenosti</w:t>
      </w:r>
      <w:r w:rsidRPr="008676F9">
        <w:rPr>
          <w:rFonts w:ascii="Calibri" w:eastAsia="Calibri" w:hAnsi="Calibri"/>
          <w:szCs w:val="22"/>
          <w:lang w:eastAsia="en-US"/>
        </w:rPr>
        <w:t xml:space="preserve">, ktoré budú určovať oprávnenosť žiadateľa a navrhovaného projektu. Ich dodržiavanie musí žiadateľ preukázať, príp. deklarovať pri predložení ŽoNFP. K plneniu kritérií spôsobilosti, ktoré sa preukazujú pri podaní ŽoP, sa konečný prijímateľ podpory zaviaže pri podpise zmluvy o poskytnutí NFP.  Kontrola kritérií spôsobilosti zo strany PPA bude predmetom administratívnej kontroly, resp. kontroly na mieste. V prípade ich neplnenia nebude žiadateľovi schválená ŽoNFP resp. nebude  mu vyplatená finančná čiastka v rámci ŽoP, príp. PPA odstúpi od zmluvy o poskytnutí NFP. </w:t>
      </w:r>
      <w:r w:rsidRPr="008676F9">
        <w:rPr>
          <w:rFonts w:ascii="Calibri" w:eastAsia="Calibri" w:hAnsi="Calibri"/>
          <w:szCs w:val="22"/>
          <w:lang w:eastAsia="en-US"/>
        </w:rPr>
        <w:br w:type="page"/>
      </w:r>
    </w:p>
    <w:p w:rsidR="008676F9" w:rsidRPr="008676F9" w:rsidRDefault="008676F9" w:rsidP="00AA30CA">
      <w:pPr>
        <w:pStyle w:val="Opatrenie"/>
      </w:pPr>
      <w:bookmarkStart w:id="91" w:name="_Toc387041330"/>
      <w:r w:rsidRPr="008676F9">
        <w:t xml:space="preserve">8.2.8 opatrenie </w:t>
      </w:r>
      <w:r w:rsidRPr="008676F9">
        <w:tab/>
        <w:t>9 Zakladanie skupín a organizácií výrobcov</w:t>
      </w:r>
      <w:bookmarkEnd w:id="91"/>
    </w:p>
    <w:p w:rsidR="008676F9" w:rsidRPr="008676F9" w:rsidRDefault="008676F9" w:rsidP="006F5151">
      <w:pPr>
        <w:keepNext/>
        <w:outlineLvl w:val="1"/>
        <w:rPr>
          <w:rFonts w:ascii="Calibri" w:hAnsi="Calibri" w:cs="Calibri"/>
          <w:b/>
          <w:bCs/>
          <w:noProof/>
          <w:szCs w:val="22"/>
          <w:lang w:eastAsia="en-US"/>
        </w:rPr>
      </w:pPr>
    </w:p>
    <w:p w:rsidR="008676F9" w:rsidRPr="008676F9" w:rsidRDefault="008676F9" w:rsidP="006F5151">
      <w:pPr>
        <w:rPr>
          <w:rFonts w:ascii="Calibri" w:eastAsia="Calibri" w:hAnsi="Calibri" w:cs="Calibri"/>
          <w:b/>
          <w:bCs/>
          <w:szCs w:val="22"/>
          <w:lang w:eastAsia="en-US"/>
        </w:rPr>
      </w:pPr>
      <w:r w:rsidRPr="008676F9">
        <w:rPr>
          <w:rFonts w:ascii="Calibri" w:eastAsia="Calibri" w:hAnsi="Calibri" w:cs="Calibri"/>
          <w:b/>
          <w:bCs/>
          <w:szCs w:val="22"/>
          <w:lang w:eastAsia="en-US"/>
        </w:rPr>
        <w:t>8.2.8.1. Právny základ</w:t>
      </w:r>
    </w:p>
    <w:p w:rsidR="008676F9" w:rsidRPr="008676F9" w:rsidRDefault="008676F9" w:rsidP="006F5151">
      <w:pPr>
        <w:rPr>
          <w:rFonts w:ascii="Calibri" w:eastAsia="Calibri" w:hAnsi="Calibri" w:cs="Calibri"/>
          <w:szCs w:val="22"/>
          <w:lang w:eastAsia="en-US"/>
        </w:rPr>
      </w:pPr>
      <w:r w:rsidRPr="008676F9">
        <w:rPr>
          <w:rFonts w:ascii="Calibri" w:eastAsia="Calibri" w:hAnsi="Calibri" w:cs="Calibri"/>
          <w:b/>
          <w:bCs/>
          <w:szCs w:val="22"/>
          <w:lang w:eastAsia="en-US"/>
        </w:rPr>
        <w:t xml:space="preserve">- </w:t>
      </w:r>
      <w:r w:rsidRPr="008676F9">
        <w:rPr>
          <w:rFonts w:ascii="Calibri" w:eastAsia="Calibri" w:hAnsi="Calibri" w:cs="Calibri"/>
          <w:bCs/>
          <w:szCs w:val="22"/>
          <w:lang w:eastAsia="en-US"/>
        </w:rPr>
        <w:t>článok 27</w:t>
      </w:r>
      <w:r w:rsidRPr="008676F9">
        <w:rPr>
          <w:rFonts w:ascii="Calibri" w:eastAsia="Calibri" w:hAnsi="Calibri" w:cs="Calibri"/>
          <w:b/>
          <w:bCs/>
          <w:szCs w:val="22"/>
          <w:lang w:eastAsia="en-US"/>
        </w:rPr>
        <w:t xml:space="preserve"> </w:t>
      </w:r>
      <w:r w:rsidRPr="008676F9">
        <w:rPr>
          <w:rFonts w:ascii="Calibri" w:eastAsia="Calibri" w:hAnsi="Calibri" w:cs="Calibri"/>
          <w:szCs w:val="22"/>
          <w:lang w:eastAsia="en-US"/>
        </w:rPr>
        <w:t xml:space="preserve">nariadenia (EÚ) č. 1305/2013 o podpore rozvoja vidieka </w:t>
      </w:r>
      <w:r w:rsidR="00E81F0F">
        <w:rPr>
          <w:rFonts w:ascii="Calibri" w:eastAsia="Calibri" w:hAnsi="Calibri" w:cs="Calibri"/>
          <w:szCs w:val="22"/>
          <w:lang w:eastAsia="en-US"/>
        </w:rPr>
        <w:t>z</w:t>
      </w:r>
      <w:r w:rsidRPr="008676F9">
        <w:rPr>
          <w:rFonts w:ascii="Calibri" w:eastAsia="Calibri" w:hAnsi="Calibri" w:cs="Calibri"/>
          <w:szCs w:val="22"/>
          <w:lang w:eastAsia="en-US"/>
        </w:rPr>
        <w:t xml:space="preserve"> EPFRV;</w:t>
      </w:r>
    </w:p>
    <w:p w:rsidR="008676F9" w:rsidRPr="008676F9" w:rsidRDefault="008676F9" w:rsidP="006F5151">
      <w:pPr>
        <w:rPr>
          <w:rFonts w:ascii="Calibri" w:eastAsia="Calibri" w:hAnsi="Calibri" w:cs="Calibri"/>
          <w:szCs w:val="22"/>
          <w:lang w:eastAsia="en-US"/>
        </w:rPr>
      </w:pPr>
      <w:r w:rsidRPr="008676F9">
        <w:rPr>
          <w:rFonts w:ascii="Calibri" w:eastAsia="Calibri" w:hAnsi="Calibri" w:cs="Calibri"/>
          <w:szCs w:val="22"/>
          <w:lang w:eastAsia="en-US"/>
        </w:rPr>
        <w:t>- príloha I bod 8.9. vykonávacieh</w:t>
      </w:r>
      <w:r w:rsidR="008424BA">
        <w:rPr>
          <w:rFonts w:ascii="Calibri" w:eastAsia="Calibri" w:hAnsi="Calibri" w:cs="Calibri"/>
          <w:szCs w:val="22"/>
          <w:lang w:eastAsia="en-US"/>
        </w:rPr>
        <w:t>o nariadenia Komisie č..../2014.</w:t>
      </w:r>
    </w:p>
    <w:p w:rsidR="008676F9" w:rsidRPr="008676F9" w:rsidRDefault="008676F9" w:rsidP="006F5151">
      <w:pPr>
        <w:rPr>
          <w:rFonts w:ascii="Calibri" w:eastAsia="Calibri" w:hAnsi="Calibri" w:cs="Calibri"/>
          <w:szCs w:val="22"/>
          <w:lang w:eastAsia="en-US"/>
        </w:rPr>
      </w:pPr>
    </w:p>
    <w:p w:rsidR="008676F9" w:rsidRPr="008676F9" w:rsidRDefault="008676F9" w:rsidP="006F5151">
      <w:pPr>
        <w:ind w:left="709" w:hanging="709"/>
        <w:rPr>
          <w:rFonts w:ascii="Calibri" w:eastAsia="Calibri" w:hAnsi="Calibri" w:cs="Calibri"/>
          <w:b/>
          <w:szCs w:val="22"/>
          <w:lang w:eastAsia="en-US"/>
        </w:rPr>
      </w:pPr>
      <w:r w:rsidRPr="008676F9">
        <w:rPr>
          <w:rFonts w:ascii="Calibri" w:eastAsia="Calibri" w:hAnsi="Calibri" w:cs="Calibri"/>
          <w:b/>
          <w:szCs w:val="22"/>
          <w:lang w:eastAsia="en-US"/>
        </w:rPr>
        <w:t>8.2.8.2. Všeobecný opis opatrenia vrátane intervenčnej logiky a príspevku k fokusovej oblasti a prierezovým cieľom</w:t>
      </w:r>
    </w:p>
    <w:p w:rsidR="00DB352A" w:rsidRPr="008676F9" w:rsidRDefault="008676F9" w:rsidP="00DB352A">
      <w:pPr>
        <w:spacing w:after="120"/>
        <w:rPr>
          <w:rFonts w:ascii="Calibri" w:eastAsia="Calibri" w:hAnsi="Calibri"/>
          <w:szCs w:val="22"/>
          <w:lang w:eastAsia="en-US"/>
        </w:rPr>
      </w:pPr>
      <w:r w:rsidRPr="008676F9">
        <w:rPr>
          <w:rFonts w:ascii="Calibri" w:eastAsia="Calibri" w:hAnsi="Calibri"/>
          <w:szCs w:val="22"/>
          <w:lang w:eastAsia="en-US"/>
        </w:rPr>
        <w:t xml:space="preserve">V období hospodárskej recesie je pre domácich výrobcov potravín kľúčové udržať si pozíciu na domácom trhu, pričom z hľadiska </w:t>
      </w:r>
      <w:r w:rsidR="00DB352A" w:rsidRPr="008676F9">
        <w:rPr>
          <w:rFonts w:ascii="Calibri" w:eastAsia="Calibri" w:hAnsi="Calibri"/>
          <w:szCs w:val="22"/>
          <w:lang w:eastAsia="en-US"/>
        </w:rPr>
        <w:t xml:space="preserve">udržania obratu sa zvyšuje význam miestnych a regionálnych trhov. Je preto nevyhnutné podporiť odbytové cesty </w:t>
      </w:r>
      <w:r w:rsidR="00DB352A">
        <w:rPr>
          <w:rFonts w:ascii="Calibri" w:eastAsia="Calibri" w:hAnsi="Calibri"/>
          <w:szCs w:val="22"/>
          <w:lang w:eastAsia="en-US"/>
        </w:rPr>
        <w:t xml:space="preserve">a marketing poľnohospodárskych a lesníckych </w:t>
      </w:r>
      <w:r w:rsidR="00DB352A" w:rsidRPr="008676F9">
        <w:rPr>
          <w:rFonts w:ascii="Calibri" w:eastAsia="Calibri" w:hAnsi="Calibri"/>
          <w:szCs w:val="22"/>
          <w:lang w:eastAsia="en-US"/>
        </w:rPr>
        <w:t>produktov na domácom trhu rôznymi nástrojmi, predovšetkým podporou spolupráce prvovýrobcov, spracovateľov a</w:t>
      </w:r>
      <w:r w:rsidR="00DB352A">
        <w:rPr>
          <w:rFonts w:ascii="Calibri" w:eastAsia="Calibri" w:hAnsi="Calibri"/>
          <w:szCs w:val="22"/>
          <w:lang w:eastAsia="en-US"/>
        </w:rPr>
        <w:t> skupín a </w:t>
      </w:r>
      <w:r w:rsidR="00DB352A" w:rsidRPr="008676F9">
        <w:rPr>
          <w:rFonts w:ascii="Calibri" w:eastAsia="Calibri" w:hAnsi="Calibri"/>
          <w:szCs w:val="22"/>
          <w:lang w:eastAsia="en-US"/>
        </w:rPr>
        <w:t>organizácií</w:t>
      </w:r>
      <w:r w:rsidR="00DB352A">
        <w:rPr>
          <w:rFonts w:ascii="Calibri" w:eastAsia="Calibri" w:hAnsi="Calibri"/>
          <w:szCs w:val="22"/>
          <w:lang w:eastAsia="en-US"/>
        </w:rPr>
        <w:t xml:space="preserve"> výrobcov (pozn. v zmysle zákona č. 491/2001 Z.z. § 10 ods. 2 sa nimi rozumejú skupiny výrobcov, organizácie výrobcov, združenia organizácií výrobcov a medziodvetvových organizácií výrobcov)</w:t>
      </w:r>
      <w:r w:rsidR="00DB352A" w:rsidRPr="008676F9">
        <w:rPr>
          <w:rFonts w:ascii="Calibri" w:eastAsia="Calibri" w:hAnsi="Calibri"/>
          <w:szCs w:val="22"/>
          <w:lang w:eastAsia="en-US"/>
        </w:rPr>
        <w:t>, ako aj investície do vytvárania vlastných predajných miest, či marketingových  a propagačných aktivít. Je potrebné posilniť výrobnú diverzifikáciu a zlepšiť pozíciu poľnohospodárskych</w:t>
      </w:r>
      <w:r w:rsidR="00DB352A">
        <w:rPr>
          <w:rFonts w:ascii="Calibri" w:eastAsia="Calibri" w:hAnsi="Calibri"/>
          <w:szCs w:val="22"/>
          <w:lang w:eastAsia="en-US"/>
        </w:rPr>
        <w:t xml:space="preserve">, lesníckych </w:t>
      </w:r>
      <w:r w:rsidR="00DB352A" w:rsidRPr="008676F9">
        <w:rPr>
          <w:rFonts w:ascii="Calibri" w:eastAsia="Calibri" w:hAnsi="Calibri"/>
          <w:szCs w:val="22"/>
          <w:lang w:eastAsia="en-US"/>
        </w:rPr>
        <w:t>a spracovateľ</w:t>
      </w:r>
      <w:r w:rsidR="00DB352A">
        <w:rPr>
          <w:rFonts w:ascii="Calibri" w:eastAsia="Calibri" w:hAnsi="Calibri"/>
          <w:szCs w:val="22"/>
          <w:lang w:eastAsia="en-US"/>
        </w:rPr>
        <w:t>ských</w:t>
      </w:r>
      <w:r w:rsidR="00DB352A" w:rsidRPr="008676F9">
        <w:rPr>
          <w:rFonts w:ascii="Calibri" w:eastAsia="Calibri" w:hAnsi="Calibri"/>
          <w:szCs w:val="22"/>
          <w:lang w:eastAsia="en-US"/>
        </w:rPr>
        <w:t xml:space="preserve"> podnikov voči príliš silnej rokovacej pozícii veľkých obchodných reťazcov. Rozmanitosť a charakteristické znaky európskych výrobkov sa musia zachovávať aj pomocou korektného informovania spotrebiteľov.</w:t>
      </w:r>
    </w:p>
    <w:p w:rsidR="00DB352A" w:rsidRPr="008676F9" w:rsidRDefault="00DB352A" w:rsidP="00DB352A">
      <w:pPr>
        <w:spacing w:after="120"/>
        <w:rPr>
          <w:rFonts w:ascii="Calibri" w:eastAsia="Calibri" w:hAnsi="Calibri"/>
          <w:szCs w:val="22"/>
          <w:lang w:eastAsia="en-US"/>
        </w:rPr>
      </w:pPr>
      <w:r w:rsidRPr="008676F9">
        <w:rPr>
          <w:rFonts w:ascii="Calibri" w:eastAsia="Calibri" w:hAnsi="Calibri"/>
          <w:szCs w:val="22"/>
          <w:lang w:eastAsia="en-US"/>
        </w:rPr>
        <w:t xml:space="preserve">Pre efektívny odbyt poľnohospodárskych </w:t>
      </w:r>
      <w:r>
        <w:rPr>
          <w:rFonts w:ascii="Calibri" w:eastAsia="Calibri" w:hAnsi="Calibri"/>
          <w:szCs w:val="22"/>
          <w:lang w:eastAsia="en-US"/>
        </w:rPr>
        <w:t xml:space="preserve">a lesníckych </w:t>
      </w:r>
      <w:r w:rsidRPr="008676F9">
        <w:rPr>
          <w:rFonts w:ascii="Calibri" w:eastAsia="Calibri" w:hAnsi="Calibri"/>
          <w:szCs w:val="22"/>
          <w:lang w:eastAsia="en-US"/>
        </w:rPr>
        <w:t xml:space="preserve">produktov v súčasných podmienkach na agrárnom trhu EÚ je pre poľnohospodárskych </w:t>
      </w:r>
      <w:r>
        <w:rPr>
          <w:rFonts w:ascii="Calibri" w:eastAsia="Calibri" w:hAnsi="Calibri"/>
          <w:szCs w:val="22"/>
          <w:lang w:eastAsia="en-US"/>
        </w:rPr>
        <w:t xml:space="preserve">a lesníckych </w:t>
      </w:r>
      <w:r w:rsidRPr="008676F9">
        <w:rPr>
          <w:rFonts w:ascii="Calibri" w:eastAsia="Calibri" w:hAnsi="Calibri"/>
          <w:szCs w:val="22"/>
          <w:lang w:eastAsia="en-US"/>
        </w:rPr>
        <w:t xml:space="preserve">prvovýrobcov nutné, aby sa združovali do špecializovaných </w:t>
      </w:r>
      <w:r>
        <w:rPr>
          <w:rFonts w:ascii="Calibri" w:eastAsia="Calibri" w:hAnsi="Calibri"/>
          <w:szCs w:val="22"/>
          <w:lang w:eastAsia="en-US"/>
        </w:rPr>
        <w:t xml:space="preserve">skupín a </w:t>
      </w:r>
      <w:r w:rsidRPr="008676F9">
        <w:rPr>
          <w:rFonts w:ascii="Calibri" w:eastAsia="Calibri" w:hAnsi="Calibri"/>
          <w:szCs w:val="22"/>
          <w:lang w:eastAsia="en-US"/>
        </w:rPr>
        <w:t>organizácií výrobcov</w:t>
      </w:r>
      <w:r>
        <w:rPr>
          <w:rFonts w:ascii="Calibri" w:eastAsia="Calibri" w:hAnsi="Calibri"/>
          <w:szCs w:val="22"/>
          <w:lang w:eastAsia="en-US"/>
        </w:rPr>
        <w:t xml:space="preserve"> (ďalej len SaOV)</w:t>
      </w:r>
      <w:r w:rsidRPr="008676F9">
        <w:rPr>
          <w:rFonts w:ascii="Calibri" w:eastAsia="Calibri" w:hAnsi="Calibri"/>
          <w:szCs w:val="22"/>
          <w:lang w:eastAsia="en-US"/>
        </w:rPr>
        <w:t xml:space="preserve">. </w:t>
      </w:r>
    </w:p>
    <w:p w:rsidR="008676F9" w:rsidRPr="008676F9" w:rsidRDefault="008676F9" w:rsidP="00DB352A">
      <w:pPr>
        <w:spacing w:after="120"/>
        <w:rPr>
          <w:rFonts w:ascii="Calibri" w:eastAsia="Calibri" w:hAnsi="Calibri"/>
          <w:szCs w:val="22"/>
          <w:lang w:eastAsia="en-US"/>
        </w:rPr>
      </w:pPr>
      <w:r w:rsidRPr="008676F9">
        <w:rPr>
          <w:rFonts w:ascii="Calibri" w:eastAsia="Calibri" w:hAnsi="Calibri"/>
          <w:szCs w:val="22"/>
          <w:lang w:eastAsia="en-US"/>
        </w:rPr>
        <w:t xml:space="preserve">. Na strane odberateľov sú čoraz náročnejšie požiadavky na kvantitu, kvalitu a cenu. Popri informáciách a radách sú pre zakladanie </w:t>
      </w:r>
      <w:r w:rsidR="00EC4289">
        <w:rPr>
          <w:rFonts w:ascii="Calibri" w:eastAsia="Calibri" w:hAnsi="Calibri"/>
          <w:szCs w:val="22"/>
          <w:lang w:eastAsia="en-US"/>
        </w:rPr>
        <w:t>SaOV</w:t>
      </w:r>
      <w:r w:rsidRPr="008676F9">
        <w:rPr>
          <w:rFonts w:ascii="Calibri" w:eastAsia="Calibri" w:hAnsi="Calibri"/>
          <w:szCs w:val="22"/>
          <w:lang w:eastAsia="en-US"/>
        </w:rPr>
        <w:t xml:space="preserve"> veľmi potrebné stimuly</w:t>
      </w:r>
      <w:r w:rsidR="00EC4289">
        <w:rPr>
          <w:rFonts w:ascii="Calibri" w:eastAsia="Calibri" w:hAnsi="Calibri"/>
          <w:szCs w:val="22"/>
          <w:lang w:eastAsia="en-US"/>
        </w:rPr>
        <w:t xml:space="preserve"> napr.</w:t>
      </w:r>
      <w:r w:rsidRPr="008676F9">
        <w:rPr>
          <w:rFonts w:ascii="Calibri" w:eastAsia="Calibri" w:hAnsi="Calibri"/>
          <w:szCs w:val="22"/>
          <w:lang w:eastAsia="en-US"/>
        </w:rPr>
        <w:t xml:space="preserve"> vo forme finančnej podpory pre </w:t>
      </w:r>
      <w:r w:rsidR="00EC4289">
        <w:rPr>
          <w:rFonts w:ascii="Calibri" w:eastAsia="Calibri" w:hAnsi="Calibri"/>
          <w:szCs w:val="22"/>
          <w:lang w:eastAsia="en-US"/>
        </w:rPr>
        <w:t xml:space="preserve">ich </w:t>
      </w:r>
      <w:r w:rsidRPr="008676F9">
        <w:rPr>
          <w:rFonts w:ascii="Calibri" w:eastAsia="Calibri" w:hAnsi="Calibri"/>
          <w:szCs w:val="22"/>
          <w:lang w:eastAsia="en-US"/>
        </w:rPr>
        <w:t>zakladanie a činnosť.</w:t>
      </w:r>
    </w:p>
    <w:p w:rsidR="008676F9" w:rsidRPr="008676F9" w:rsidRDefault="008676F9" w:rsidP="006F5151">
      <w:pPr>
        <w:rPr>
          <w:rFonts w:ascii="Calibri" w:eastAsia="Calibri" w:hAnsi="Calibri"/>
          <w:szCs w:val="22"/>
          <w:lang w:eastAsia="en-US"/>
        </w:rPr>
      </w:pPr>
    </w:p>
    <w:p w:rsidR="008676F9" w:rsidRPr="008676F9" w:rsidRDefault="008676F9" w:rsidP="006F5151">
      <w:pPr>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Príspevok k fokusovej oblasti</w:t>
      </w:r>
    </w:p>
    <w:p w:rsidR="008676F9" w:rsidRPr="008676F9" w:rsidRDefault="008676F9" w:rsidP="006F5151">
      <w:pPr>
        <w:shd w:val="clear" w:color="auto" w:fill="FFFFFF"/>
        <w:ind w:left="425" w:hanging="425"/>
        <w:rPr>
          <w:rFonts w:ascii="Calibri" w:eastAsia="Calibri" w:hAnsi="Calibri" w:cs="Calibri"/>
          <w:bCs/>
          <w:i/>
          <w:szCs w:val="22"/>
          <w:lang w:eastAsia="en-US"/>
        </w:rPr>
      </w:pPr>
      <w:r w:rsidRPr="008676F9">
        <w:rPr>
          <w:rFonts w:ascii="Calibri" w:eastAsia="Calibri" w:hAnsi="Calibri" w:cs="Calibri"/>
          <w:bCs/>
          <w:i/>
          <w:szCs w:val="22"/>
          <w:lang w:eastAsia="en-US"/>
        </w:rPr>
        <w:t xml:space="preserve">3A Zvýšenie konkurencieschopnosti prvovýrobcov prostredníctvom ich lepšej </w:t>
      </w:r>
      <w:r w:rsidRPr="008676F9">
        <w:rPr>
          <w:rFonts w:ascii="Calibri" w:eastAsia="Calibri" w:hAnsi="Calibri" w:cs="Calibri"/>
          <w:b/>
          <w:bCs/>
          <w:i/>
          <w:szCs w:val="22"/>
          <w:lang w:eastAsia="en-US"/>
        </w:rPr>
        <w:t>integrácie do poľnohospodársko-potravinárskeho reťazca</w:t>
      </w:r>
      <w:r w:rsidRPr="008676F9">
        <w:rPr>
          <w:rFonts w:ascii="Calibri" w:eastAsia="Calibri" w:hAnsi="Calibri" w:cs="Calibri"/>
          <w:bCs/>
          <w:i/>
          <w:szCs w:val="22"/>
          <w:lang w:eastAsia="en-US"/>
        </w:rPr>
        <w:t xml:space="preserve"> pomocou systémov kvality, pridávania hodnoty poľnohospodárskym produktom, propagácie na miestnych trhoch a v krátkych dodávateľských reťazcoch, skupín a organizácií výrobcov a medziodvetvových organizácií</w:t>
      </w:r>
    </w:p>
    <w:p w:rsidR="002E78E6" w:rsidRDefault="002E78E6" w:rsidP="006F5151">
      <w:pPr>
        <w:rPr>
          <w:rFonts w:ascii="Calibri" w:eastAsia="Calibri" w:hAnsi="Calibri" w:cs="Calibri"/>
          <w:bCs/>
          <w:szCs w:val="22"/>
          <w:u w:val="single"/>
          <w:lang w:eastAsia="en-US"/>
        </w:rPr>
      </w:pPr>
    </w:p>
    <w:p w:rsidR="008676F9" w:rsidRPr="008676F9" w:rsidRDefault="008676F9" w:rsidP="006F5151">
      <w:pPr>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Príspevok k prierezovým cieľom</w:t>
      </w:r>
    </w:p>
    <w:p w:rsidR="008676F9" w:rsidRPr="008676F9" w:rsidRDefault="008676F9" w:rsidP="006F5151">
      <w:pPr>
        <w:rPr>
          <w:rFonts w:ascii="Calibri" w:eastAsia="Calibri" w:hAnsi="Calibri" w:cs="Calibri"/>
          <w:bCs/>
          <w:szCs w:val="22"/>
          <w:lang w:eastAsia="en-US"/>
        </w:rPr>
      </w:pPr>
      <w:r w:rsidRPr="008676F9">
        <w:rPr>
          <w:rFonts w:ascii="Calibri" w:eastAsia="Calibri" w:hAnsi="Calibri" w:cs="Calibri"/>
          <w:bCs/>
          <w:szCs w:val="22"/>
          <w:lang w:eastAsia="en-US"/>
        </w:rPr>
        <w:t>Inovácie</w:t>
      </w:r>
    </w:p>
    <w:p w:rsidR="008676F9" w:rsidRPr="008676F9" w:rsidRDefault="008676F9" w:rsidP="006F5151">
      <w:pPr>
        <w:rPr>
          <w:rFonts w:ascii="Calibri" w:eastAsia="Calibri" w:hAnsi="Calibri" w:cs="Calibri"/>
          <w:bCs/>
          <w:szCs w:val="22"/>
          <w:lang w:eastAsia="en-US"/>
        </w:rPr>
      </w:pPr>
    </w:p>
    <w:p w:rsidR="008676F9" w:rsidRPr="008676F9" w:rsidRDefault="008676F9" w:rsidP="006F5151">
      <w:pPr>
        <w:rPr>
          <w:rFonts w:ascii="Calibri" w:eastAsia="Calibri" w:hAnsi="Calibri" w:cs="Calibri"/>
          <w:b/>
          <w:bCs/>
          <w:szCs w:val="22"/>
          <w:lang w:eastAsia="en-US"/>
        </w:rPr>
      </w:pPr>
      <w:r w:rsidRPr="008676F9">
        <w:rPr>
          <w:rFonts w:ascii="Calibri" w:eastAsia="Calibri" w:hAnsi="Calibri" w:cs="Calibri"/>
          <w:b/>
          <w:bCs/>
          <w:szCs w:val="22"/>
          <w:lang w:eastAsia="en-US"/>
        </w:rPr>
        <w:t xml:space="preserve">8.2.8.3. Rozsah, úroveň podpory a ďalšie informácie </w:t>
      </w:r>
    </w:p>
    <w:p w:rsidR="008676F9" w:rsidRPr="008676F9" w:rsidRDefault="008676F9" w:rsidP="006F5151">
      <w:pPr>
        <w:shd w:val="clear" w:color="auto" w:fill="FBD4B4"/>
        <w:rPr>
          <w:rFonts w:ascii="Calibri" w:eastAsia="Calibri" w:hAnsi="Calibri" w:cs="Calibri"/>
          <w:szCs w:val="22"/>
          <w:lang w:eastAsia="en-US"/>
        </w:rPr>
      </w:pPr>
      <w:r w:rsidRPr="008676F9">
        <w:rPr>
          <w:rFonts w:ascii="Calibri" w:eastAsia="Calibri" w:hAnsi="Calibri" w:cs="Calibri"/>
          <w:bCs/>
          <w:szCs w:val="22"/>
          <w:u w:val="single"/>
          <w:lang w:eastAsia="en-US"/>
        </w:rPr>
        <w:t>Názov operácie:</w:t>
      </w:r>
      <w:r w:rsidRPr="008676F9">
        <w:rPr>
          <w:rFonts w:ascii="Calibri" w:eastAsia="Calibri" w:hAnsi="Calibri" w:cs="Calibri"/>
          <w:szCs w:val="22"/>
          <w:lang w:eastAsia="en-US"/>
        </w:rPr>
        <w:t xml:space="preserve"> </w:t>
      </w:r>
    </w:p>
    <w:p w:rsidR="008676F9" w:rsidRPr="008676F9" w:rsidRDefault="008676F9" w:rsidP="006F5151">
      <w:pPr>
        <w:shd w:val="clear" w:color="auto" w:fill="FBD4B4"/>
        <w:rPr>
          <w:rFonts w:ascii="Calibri" w:eastAsia="Calibri" w:hAnsi="Calibri" w:cs="Calibri"/>
          <w:bCs/>
          <w:i/>
          <w:szCs w:val="22"/>
          <w:lang w:eastAsia="en-US"/>
        </w:rPr>
      </w:pPr>
      <w:r w:rsidRPr="008676F9">
        <w:rPr>
          <w:rFonts w:ascii="Calibri" w:eastAsia="Calibri" w:hAnsi="Calibri" w:cs="Calibri"/>
          <w:i/>
          <w:szCs w:val="22"/>
          <w:lang w:eastAsia="en-US"/>
        </w:rPr>
        <w:t xml:space="preserve">Zakladanie skupín </w:t>
      </w:r>
      <w:r w:rsidR="007C0900">
        <w:rPr>
          <w:rFonts w:ascii="Calibri" w:eastAsia="Calibri" w:hAnsi="Calibri" w:cs="Calibri"/>
          <w:i/>
          <w:szCs w:val="22"/>
          <w:lang w:eastAsia="en-US"/>
        </w:rPr>
        <w:t xml:space="preserve">a organizácií </w:t>
      </w:r>
      <w:r w:rsidRPr="008676F9">
        <w:rPr>
          <w:rFonts w:ascii="Calibri" w:eastAsia="Calibri" w:hAnsi="Calibri" w:cs="Calibri"/>
          <w:i/>
          <w:szCs w:val="22"/>
          <w:lang w:eastAsia="en-US"/>
        </w:rPr>
        <w:t>výrobcov</w:t>
      </w:r>
    </w:p>
    <w:p w:rsidR="008676F9" w:rsidRPr="008676F9" w:rsidRDefault="008676F9" w:rsidP="006F5151">
      <w:pPr>
        <w:rPr>
          <w:rFonts w:ascii="Calibri" w:eastAsia="Calibri" w:hAnsi="Calibri" w:cs="Calibri"/>
          <w:bCs/>
          <w:szCs w:val="22"/>
          <w:u w:val="single"/>
          <w:lang w:eastAsia="en-US"/>
        </w:rPr>
      </w:pPr>
    </w:p>
    <w:p w:rsidR="008676F9" w:rsidRPr="008676F9" w:rsidRDefault="008676F9" w:rsidP="006F5151">
      <w:pPr>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Opis operácie:</w:t>
      </w:r>
    </w:p>
    <w:p w:rsidR="008676F9" w:rsidRPr="008676F9" w:rsidRDefault="008676F9" w:rsidP="006F5151">
      <w:pPr>
        <w:rPr>
          <w:rFonts w:ascii="Calibri" w:eastAsia="Calibri" w:hAnsi="Calibri" w:cs="Calibri"/>
          <w:bCs/>
          <w:szCs w:val="22"/>
          <w:lang w:eastAsia="en-US"/>
        </w:rPr>
      </w:pPr>
      <w:r w:rsidRPr="008676F9">
        <w:rPr>
          <w:rFonts w:ascii="Calibri" w:eastAsia="Calibri" w:hAnsi="Calibri" w:cs="Calibri"/>
          <w:bCs/>
          <w:szCs w:val="22"/>
          <w:lang w:eastAsia="en-US"/>
        </w:rPr>
        <w:t xml:space="preserve">Uľahčiť zakladanie skupín </w:t>
      </w:r>
      <w:r w:rsidR="00EC4289">
        <w:rPr>
          <w:rFonts w:ascii="Calibri" w:eastAsia="Calibri" w:hAnsi="Calibri" w:cs="Calibri"/>
          <w:bCs/>
          <w:szCs w:val="22"/>
          <w:lang w:eastAsia="en-US"/>
        </w:rPr>
        <w:t xml:space="preserve">a organizácií </w:t>
      </w:r>
      <w:r w:rsidRPr="008676F9">
        <w:rPr>
          <w:rFonts w:ascii="Calibri" w:eastAsia="Calibri" w:hAnsi="Calibri" w:cs="Calibri"/>
          <w:bCs/>
          <w:szCs w:val="22"/>
          <w:lang w:eastAsia="en-US"/>
        </w:rPr>
        <w:t xml:space="preserve">výrobcov v poľnohospodárstve. </w:t>
      </w:r>
    </w:p>
    <w:p w:rsidR="008676F9" w:rsidRPr="008676F9" w:rsidRDefault="008676F9" w:rsidP="006F5151">
      <w:pPr>
        <w:rPr>
          <w:rFonts w:ascii="Calibri" w:eastAsia="Calibri" w:hAnsi="Calibri"/>
          <w:szCs w:val="22"/>
          <w:lang w:eastAsia="en-US"/>
        </w:rPr>
      </w:pPr>
      <w:r w:rsidRPr="008676F9">
        <w:rPr>
          <w:rFonts w:ascii="Calibri" w:eastAsia="Calibri" w:hAnsi="Calibri"/>
          <w:szCs w:val="22"/>
          <w:lang w:eastAsia="en-US"/>
        </w:rPr>
        <w:t>Podporované budú aktivity pre založenie a</w:t>
      </w:r>
      <w:r w:rsidR="00EC4289">
        <w:rPr>
          <w:rFonts w:ascii="Calibri" w:eastAsia="Calibri" w:hAnsi="Calibri"/>
          <w:szCs w:val="22"/>
          <w:lang w:eastAsia="en-US"/>
        </w:rPr>
        <w:t xml:space="preserve"> začínajúce </w:t>
      </w:r>
      <w:r w:rsidRPr="008676F9">
        <w:rPr>
          <w:rFonts w:ascii="Calibri" w:eastAsia="Calibri" w:hAnsi="Calibri"/>
          <w:szCs w:val="22"/>
          <w:lang w:eastAsia="en-US"/>
        </w:rPr>
        <w:t>činnosti</w:t>
      </w:r>
      <w:r w:rsidR="00EC4289">
        <w:rPr>
          <w:rFonts w:ascii="Calibri" w:eastAsia="Calibri" w:hAnsi="Calibri"/>
          <w:szCs w:val="22"/>
          <w:lang w:eastAsia="en-US"/>
        </w:rPr>
        <w:t xml:space="preserve"> SaOV (v predchádzajúcom programovacom období 2007-2013 označované ako OOV)</w:t>
      </w:r>
      <w:r w:rsidRPr="008676F9">
        <w:rPr>
          <w:rFonts w:ascii="Calibri" w:eastAsia="Calibri" w:hAnsi="Calibri"/>
          <w:szCs w:val="22"/>
          <w:lang w:eastAsia="en-US"/>
        </w:rPr>
        <w:t>, ktorých členovia budú fyzické alebo právnické osoby podnikajúce v poľnohospodárstve na území Slovenska a vyrábajúce nasledovné živočíšne alebo rastlinné komodity:</w:t>
      </w:r>
    </w:p>
    <w:p w:rsidR="008676F9" w:rsidRPr="008676F9" w:rsidRDefault="008676F9" w:rsidP="00317BFF">
      <w:pPr>
        <w:numPr>
          <w:ilvl w:val="0"/>
          <w:numId w:val="25"/>
        </w:numPr>
        <w:autoSpaceDE w:val="0"/>
        <w:autoSpaceDN w:val="0"/>
        <w:adjustRightInd w:val="0"/>
        <w:rPr>
          <w:rFonts w:ascii="Calibri" w:hAnsi="Calibri" w:cs="Calibri"/>
          <w:szCs w:val="22"/>
          <w:lang w:eastAsia="en-US"/>
        </w:rPr>
      </w:pPr>
      <w:r w:rsidRPr="008676F9">
        <w:rPr>
          <w:rFonts w:ascii="Calibri" w:hAnsi="Calibri" w:cs="Calibri"/>
          <w:szCs w:val="22"/>
          <w:lang w:eastAsia="en-US"/>
        </w:rPr>
        <w:t>mlieko;</w:t>
      </w:r>
    </w:p>
    <w:p w:rsidR="008676F9" w:rsidRPr="008676F9" w:rsidRDefault="008676F9" w:rsidP="00317BFF">
      <w:pPr>
        <w:numPr>
          <w:ilvl w:val="0"/>
          <w:numId w:val="25"/>
        </w:numPr>
        <w:autoSpaceDE w:val="0"/>
        <w:autoSpaceDN w:val="0"/>
        <w:adjustRightInd w:val="0"/>
        <w:rPr>
          <w:rFonts w:ascii="Calibri" w:hAnsi="Calibri" w:cs="Calibri"/>
          <w:szCs w:val="22"/>
          <w:lang w:eastAsia="en-US"/>
        </w:rPr>
      </w:pPr>
      <w:r w:rsidRPr="008676F9">
        <w:rPr>
          <w:rFonts w:ascii="Calibri" w:hAnsi="Calibri" w:cs="Calibri"/>
          <w:szCs w:val="22"/>
          <w:lang w:eastAsia="en-US"/>
        </w:rPr>
        <w:t>jatočný hovädzí dobytok;</w:t>
      </w:r>
    </w:p>
    <w:p w:rsidR="008676F9" w:rsidRPr="008676F9" w:rsidRDefault="008676F9" w:rsidP="00317BFF">
      <w:pPr>
        <w:numPr>
          <w:ilvl w:val="0"/>
          <w:numId w:val="25"/>
        </w:numPr>
        <w:autoSpaceDE w:val="0"/>
        <w:autoSpaceDN w:val="0"/>
        <w:adjustRightInd w:val="0"/>
        <w:rPr>
          <w:rFonts w:ascii="Calibri" w:hAnsi="Calibri" w:cs="Calibri"/>
          <w:szCs w:val="22"/>
          <w:lang w:eastAsia="en-US"/>
        </w:rPr>
      </w:pPr>
      <w:r w:rsidRPr="008676F9">
        <w:rPr>
          <w:rFonts w:ascii="Calibri" w:hAnsi="Calibri" w:cs="Calibri"/>
          <w:szCs w:val="22"/>
          <w:lang w:eastAsia="en-US"/>
        </w:rPr>
        <w:t>jatočné ošípané;</w:t>
      </w:r>
    </w:p>
    <w:p w:rsidR="008676F9" w:rsidRDefault="008676F9" w:rsidP="00317BFF">
      <w:pPr>
        <w:numPr>
          <w:ilvl w:val="0"/>
          <w:numId w:val="25"/>
        </w:numPr>
        <w:autoSpaceDE w:val="0"/>
        <w:autoSpaceDN w:val="0"/>
        <w:adjustRightInd w:val="0"/>
        <w:rPr>
          <w:rFonts w:ascii="Calibri" w:hAnsi="Calibri" w:cs="Calibri"/>
          <w:szCs w:val="22"/>
          <w:lang w:eastAsia="en-US"/>
        </w:rPr>
      </w:pPr>
      <w:r w:rsidRPr="008676F9">
        <w:rPr>
          <w:rFonts w:ascii="Calibri" w:hAnsi="Calibri" w:cs="Calibri"/>
          <w:szCs w:val="22"/>
          <w:lang w:eastAsia="en-US"/>
        </w:rPr>
        <w:t>hydina a vajcia;</w:t>
      </w:r>
    </w:p>
    <w:p w:rsidR="00774550" w:rsidRPr="008676F9" w:rsidRDefault="00774550" w:rsidP="00317BFF">
      <w:pPr>
        <w:numPr>
          <w:ilvl w:val="0"/>
          <w:numId w:val="25"/>
        </w:numPr>
        <w:autoSpaceDE w:val="0"/>
        <w:autoSpaceDN w:val="0"/>
        <w:adjustRightInd w:val="0"/>
        <w:rPr>
          <w:rFonts w:ascii="Calibri" w:hAnsi="Calibri" w:cs="Calibri"/>
          <w:szCs w:val="22"/>
          <w:lang w:eastAsia="en-US"/>
        </w:rPr>
      </w:pPr>
      <w:r>
        <w:rPr>
          <w:rFonts w:ascii="Calibri" w:hAnsi="Calibri" w:cs="Calibri"/>
          <w:szCs w:val="22"/>
          <w:lang w:eastAsia="en-US"/>
        </w:rPr>
        <w:t>ovocie a zelenina;</w:t>
      </w:r>
    </w:p>
    <w:p w:rsidR="008676F9" w:rsidRPr="008676F9" w:rsidRDefault="008676F9" w:rsidP="00317BFF">
      <w:pPr>
        <w:numPr>
          <w:ilvl w:val="0"/>
          <w:numId w:val="25"/>
        </w:numPr>
        <w:autoSpaceDE w:val="0"/>
        <w:autoSpaceDN w:val="0"/>
        <w:adjustRightInd w:val="0"/>
        <w:rPr>
          <w:rFonts w:ascii="Calibri" w:hAnsi="Calibri" w:cs="Calibri"/>
          <w:szCs w:val="22"/>
          <w:lang w:eastAsia="en-US"/>
        </w:rPr>
      </w:pPr>
      <w:r w:rsidRPr="008676F9">
        <w:rPr>
          <w:rFonts w:ascii="Calibri" w:hAnsi="Calibri" w:cs="Calibri"/>
          <w:szCs w:val="22"/>
          <w:lang w:eastAsia="en-US"/>
        </w:rPr>
        <w:t>zemiaky;</w:t>
      </w:r>
    </w:p>
    <w:p w:rsidR="008676F9" w:rsidRPr="008676F9" w:rsidRDefault="008676F9" w:rsidP="00317BFF">
      <w:pPr>
        <w:numPr>
          <w:ilvl w:val="0"/>
          <w:numId w:val="25"/>
        </w:numPr>
        <w:autoSpaceDE w:val="0"/>
        <w:autoSpaceDN w:val="0"/>
        <w:adjustRightInd w:val="0"/>
        <w:rPr>
          <w:rFonts w:ascii="Calibri" w:hAnsi="Calibri" w:cs="Calibri"/>
          <w:szCs w:val="22"/>
          <w:lang w:eastAsia="en-US"/>
        </w:rPr>
      </w:pPr>
      <w:r w:rsidRPr="008676F9">
        <w:rPr>
          <w:rFonts w:ascii="Calibri" w:hAnsi="Calibri" w:cs="Calibri"/>
          <w:szCs w:val="22"/>
          <w:lang w:eastAsia="en-US"/>
        </w:rPr>
        <w:t>obilniny;</w:t>
      </w:r>
    </w:p>
    <w:p w:rsidR="008676F9" w:rsidRPr="008676F9" w:rsidRDefault="008676F9" w:rsidP="00317BFF">
      <w:pPr>
        <w:numPr>
          <w:ilvl w:val="0"/>
          <w:numId w:val="25"/>
        </w:numPr>
        <w:autoSpaceDE w:val="0"/>
        <w:autoSpaceDN w:val="0"/>
        <w:adjustRightInd w:val="0"/>
        <w:rPr>
          <w:rFonts w:ascii="Calibri" w:hAnsi="Calibri" w:cs="Calibri"/>
          <w:szCs w:val="22"/>
          <w:lang w:eastAsia="en-US"/>
        </w:rPr>
      </w:pPr>
      <w:r w:rsidRPr="008676F9">
        <w:rPr>
          <w:rFonts w:ascii="Calibri" w:hAnsi="Calibri" w:cs="Calibri"/>
          <w:szCs w:val="22"/>
          <w:lang w:eastAsia="en-US"/>
        </w:rPr>
        <w:t>olejniny a strukoviny;</w:t>
      </w:r>
    </w:p>
    <w:p w:rsidR="008676F9" w:rsidRPr="008676F9" w:rsidRDefault="008676F9" w:rsidP="00317BFF">
      <w:pPr>
        <w:numPr>
          <w:ilvl w:val="0"/>
          <w:numId w:val="25"/>
        </w:numPr>
        <w:autoSpaceDE w:val="0"/>
        <w:autoSpaceDN w:val="0"/>
        <w:adjustRightInd w:val="0"/>
        <w:rPr>
          <w:rFonts w:ascii="Calibri" w:hAnsi="Calibri" w:cs="Calibri"/>
          <w:szCs w:val="22"/>
          <w:lang w:eastAsia="en-US"/>
        </w:rPr>
      </w:pPr>
      <w:r w:rsidRPr="008676F9">
        <w:rPr>
          <w:rFonts w:ascii="Calibri" w:hAnsi="Calibri" w:cs="Calibri"/>
          <w:szCs w:val="22"/>
          <w:lang w:eastAsia="en-US"/>
        </w:rPr>
        <w:t>chmeľ;</w:t>
      </w:r>
    </w:p>
    <w:p w:rsidR="008676F9" w:rsidRPr="008676F9" w:rsidRDefault="008676F9" w:rsidP="00317BFF">
      <w:pPr>
        <w:numPr>
          <w:ilvl w:val="0"/>
          <w:numId w:val="25"/>
        </w:numPr>
        <w:autoSpaceDE w:val="0"/>
        <w:autoSpaceDN w:val="0"/>
        <w:adjustRightInd w:val="0"/>
        <w:rPr>
          <w:rFonts w:ascii="Calibri" w:hAnsi="Calibri" w:cs="Calibri"/>
          <w:szCs w:val="22"/>
          <w:lang w:eastAsia="en-US"/>
        </w:rPr>
      </w:pPr>
      <w:r w:rsidRPr="008676F9">
        <w:rPr>
          <w:rFonts w:ascii="Calibri" w:hAnsi="Calibri" w:cs="Calibri"/>
          <w:szCs w:val="22"/>
          <w:lang w:eastAsia="en-US"/>
        </w:rPr>
        <w:t>ovce;</w:t>
      </w:r>
    </w:p>
    <w:p w:rsidR="008676F9" w:rsidRPr="008676F9" w:rsidRDefault="008676F9" w:rsidP="00317BFF">
      <w:pPr>
        <w:numPr>
          <w:ilvl w:val="0"/>
          <w:numId w:val="25"/>
        </w:numPr>
        <w:autoSpaceDE w:val="0"/>
        <w:autoSpaceDN w:val="0"/>
        <w:adjustRightInd w:val="0"/>
        <w:rPr>
          <w:rFonts w:ascii="Calibri" w:hAnsi="Calibri" w:cs="Calibri"/>
          <w:szCs w:val="22"/>
          <w:lang w:eastAsia="en-US"/>
        </w:rPr>
      </w:pPr>
      <w:r w:rsidRPr="008676F9">
        <w:rPr>
          <w:rFonts w:ascii="Calibri" w:hAnsi="Calibri" w:cs="Calibri"/>
          <w:szCs w:val="22"/>
          <w:lang w:eastAsia="en-US"/>
        </w:rPr>
        <w:t>kozy;</w:t>
      </w:r>
    </w:p>
    <w:p w:rsidR="008676F9" w:rsidRPr="008676F9" w:rsidRDefault="008676F9" w:rsidP="00317BFF">
      <w:pPr>
        <w:numPr>
          <w:ilvl w:val="0"/>
          <w:numId w:val="25"/>
        </w:numPr>
        <w:autoSpaceDE w:val="0"/>
        <w:autoSpaceDN w:val="0"/>
        <w:adjustRightInd w:val="0"/>
        <w:rPr>
          <w:rFonts w:ascii="Calibri" w:hAnsi="Calibri" w:cs="Calibri"/>
          <w:szCs w:val="22"/>
          <w:lang w:eastAsia="en-US"/>
        </w:rPr>
      </w:pPr>
      <w:r w:rsidRPr="008676F9">
        <w:rPr>
          <w:rFonts w:ascii="Calibri" w:hAnsi="Calibri" w:cs="Calibri"/>
          <w:szCs w:val="22"/>
          <w:lang w:eastAsia="en-US"/>
        </w:rPr>
        <w:t>včelie produkty;</w:t>
      </w:r>
    </w:p>
    <w:p w:rsidR="008676F9" w:rsidRPr="008676F9" w:rsidRDefault="008676F9" w:rsidP="00317BFF">
      <w:pPr>
        <w:numPr>
          <w:ilvl w:val="0"/>
          <w:numId w:val="25"/>
        </w:numPr>
        <w:autoSpaceDE w:val="0"/>
        <w:autoSpaceDN w:val="0"/>
        <w:adjustRightInd w:val="0"/>
        <w:rPr>
          <w:rFonts w:ascii="Calibri" w:hAnsi="Calibri" w:cs="Calibri"/>
          <w:szCs w:val="22"/>
          <w:lang w:eastAsia="en-US"/>
        </w:rPr>
      </w:pPr>
      <w:r w:rsidRPr="008676F9">
        <w:rPr>
          <w:rFonts w:ascii="Calibri" w:hAnsi="Calibri" w:cs="Calibri"/>
          <w:szCs w:val="22"/>
          <w:lang w:eastAsia="en-US"/>
        </w:rPr>
        <w:t>muštové hrozno</w:t>
      </w:r>
      <w:r w:rsidR="00EA1298">
        <w:rPr>
          <w:rFonts w:ascii="Calibri" w:hAnsi="Calibri" w:cs="Calibri"/>
          <w:szCs w:val="22"/>
          <w:lang w:eastAsia="en-US"/>
        </w:rPr>
        <w:t xml:space="preserve"> a produkty z neho</w:t>
      </w:r>
      <w:r w:rsidRPr="008676F9">
        <w:rPr>
          <w:rFonts w:ascii="Calibri" w:hAnsi="Calibri" w:cs="Calibri"/>
          <w:szCs w:val="22"/>
          <w:lang w:eastAsia="en-US"/>
        </w:rPr>
        <w:t>;</w:t>
      </w:r>
    </w:p>
    <w:p w:rsidR="00DB352A" w:rsidRDefault="008676F9" w:rsidP="00317BFF">
      <w:pPr>
        <w:numPr>
          <w:ilvl w:val="0"/>
          <w:numId w:val="25"/>
        </w:numPr>
        <w:autoSpaceDE w:val="0"/>
        <w:autoSpaceDN w:val="0"/>
        <w:adjustRightInd w:val="0"/>
        <w:ind w:left="714" w:hanging="357"/>
        <w:rPr>
          <w:rFonts w:ascii="Calibri" w:hAnsi="Calibri" w:cs="Calibri"/>
          <w:szCs w:val="22"/>
          <w:lang w:eastAsia="en-US"/>
        </w:rPr>
      </w:pPr>
      <w:r w:rsidRPr="008676F9">
        <w:rPr>
          <w:rFonts w:ascii="Calibri" w:hAnsi="Calibri" w:cs="Calibri"/>
          <w:szCs w:val="22"/>
          <w:lang w:eastAsia="en-US"/>
        </w:rPr>
        <w:t>liečivé, aromatické a koreninové rastliny</w:t>
      </w:r>
      <w:r w:rsidR="00DB352A">
        <w:rPr>
          <w:rFonts w:ascii="Calibri" w:hAnsi="Calibri" w:cs="Calibri"/>
          <w:szCs w:val="22"/>
          <w:lang w:eastAsia="en-US"/>
        </w:rPr>
        <w:t>;</w:t>
      </w:r>
    </w:p>
    <w:p w:rsidR="008676F9" w:rsidRPr="008676F9" w:rsidRDefault="00DB352A" w:rsidP="00317BFF">
      <w:pPr>
        <w:numPr>
          <w:ilvl w:val="0"/>
          <w:numId w:val="25"/>
        </w:numPr>
        <w:autoSpaceDE w:val="0"/>
        <w:autoSpaceDN w:val="0"/>
        <w:adjustRightInd w:val="0"/>
        <w:ind w:left="714" w:hanging="357"/>
        <w:rPr>
          <w:rFonts w:ascii="Calibri" w:hAnsi="Calibri" w:cs="Calibri"/>
          <w:szCs w:val="22"/>
          <w:lang w:eastAsia="en-US"/>
        </w:rPr>
      </w:pPr>
      <w:r>
        <w:rPr>
          <w:rFonts w:ascii="Calibri" w:hAnsi="Calibri" w:cs="Calibri"/>
          <w:szCs w:val="22"/>
          <w:lang w:eastAsia="en-US"/>
        </w:rPr>
        <w:t>drevo a ostatné drevné produkty lesa.</w:t>
      </w:r>
    </w:p>
    <w:p w:rsidR="006F5151" w:rsidRDefault="006F5151" w:rsidP="006F5151">
      <w:pPr>
        <w:rPr>
          <w:rFonts w:ascii="Calibri" w:eastAsia="Calibri" w:hAnsi="Calibri" w:cs="Calibri"/>
          <w:bCs/>
          <w:szCs w:val="22"/>
          <w:u w:val="single"/>
          <w:lang w:eastAsia="en-US"/>
        </w:rPr>
      </w:pPr>
    </w:p>
    <w:p w:rsidR="008676F9" w:rsidRPr="008676F9" w:rsidRDefault="008676F9" w:rsidP="006F5151">
      <w:pPr>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Typ podpory:</w:t>
      </w:r>
    </w:p>
    <w:p w:rsidR="008676F9" w:rsidRPr="008676F9" w:rsidRDefault="008676F9" w:rsidP="006F5151">
      <w:pPr>
        <w:rPr>
          <w:rFonts w:ascii="Calibri" w:eastAsia="Calibri" w:hAnsi="Calibri" w:cs="Calibri"/>
          <w:bCs/>
          <w:szCs w:val="22"/>
          <w:lang w:eastAsia="en-US"/>
        </w:rPr>
      </w:pPr>
      <w:r w:rsidRPr="008676F9">
        <w:rPr>
          <w:rFonts w:ascii="Calibri" w:eastAsia="Calibri" w:hAnsi="Calibri" w:cs="Calibri"/>
          <w:bCs/>
          <w:szCs w:val="22"/>
          <w:lang w:eastAsia="en-US"/>
        </w:rPr>
        <w:t>Nezisková, paušálna platba, nenávratný finančný príspevok.</w:t>
      </w:r>
    </w:p>
    <w:p w:rsidR="008676F9" w:rsidRPr="008676F9" w:rsidRDefault="008676F9" w:rsidP="006F5151">
      <w:pPr>
        <w:rPr>
          <w:rFonts w:ascii="Calibri" w:eastAsia="Calibri" w:hAnsi="Calibri" w:cs="Calibri"/>
          <w:bCs/>
          <w:szCs w:val="22"/>
          <w:lang w:eastAsia="en-US"/>
        </w:rPr>
      </w:pPr>
    </w:p>
    <w:p w:rsidR="008676F9" w:rsidRPr="008676F9" w:rsidRDefault="008676F9" w:rsidP="006F5151">
      <w:pPr>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Súvislosť s inou legislatívou:</w:t>
      </w:r>
    </w:p>
    <w:p w:rsidR="008676F9" w:rsidRPr="00EA1298" w:rsidRDefault="00EA1298" w:rsidP="001F5283">
      <w:pPr>
        <w:pStyle w:val="Odsekzoznamu"/>
        <w:numPr>
          <w:ilvl w:val="0"/>
          <w:numId w:val="42"/>
        </w:numPr>
        <w:rPr>
          <w:rFonts w:ascii="Calibri" w:eastAsia="Calibri" w:hAnsi="Calibri" w:cs="Calibri"/>
          <w:bCs/>
          <w:szCs w:val="22"/>
          <w:u w:val="single"/>
          <w:lang w:eastAsia="en-US"/>
        </w:rPr>
      </w:pPr>
      <w:r>
        <w:rPr>
          <w:rFonts w:ascii="Calibri" w:eastAsia="Calibri" w:hAnsi="Calibri"/>
          <w:szCs w:val="22"/>
          <w:lang w:eastAsia="en-US"/>
        </w:rPr>
        <w:t>z</w:t>
      </w:r>
      <w:r w:rsidR="008676F9" w:rsidRPr="00EA1298">
        <w:rPr>
          <w:rFonts w:ascii="Calibri" w:eastAsia="Calibri" w:hAnsi="Calibri"/>
          <w:szCs w:val="22"/>
          <w:lang w:eastAsia="en-US"/>
        </w:rPr>
        <w:t>ákon č. 513/1991 Zb. – Obchodný zákonník v znení neskorších predpisov, § 2 ods. 2.</w:t>
      </w:r>
      <w:r>
        <w:rPr>
          <w:rFonts w:ascii="Calibri" w:eastAsia="Calibri" w:hAnsi="Calibri"/>
          <w:szCs w:val="22"/>
          <w:lang w:eastAsia="en-US"/>
        </w:rPr>
        <w:t>;</w:t>
      </w:r>
    </w:p>
    <w:p w:rsidR="00EA1298" w:rsidRPr="00EA1298" w:rsidRDefault="00EA1298" w:rsidP="001F5283">
      <w:pPr>
        <w:pStyle w:val="Odsekzoznamu"/>
        <w:numPr>
          <w:ilvl w:val="0"/>
          <w:numId w:val="42"/>
        </w:numPr>
        <w:rPr>
          <w:rFonts w:ascii="Calibri" w:eastAsia="Calibri" w:hAnsi="Calibri" w:cs="Calibri"/>
          <w:bCs/>
          <w:szCs w:val="22"/>
          <w:u w:val="single"/>
          <w:lang w:eastAsia="en-US"/>
        </w:rPr>
      </w:pPr>
      <w:r>
        <w:rPr>
          <w:rFonts w:ascii="Calibri" w:eastAsia="Calibri" w:hAnsi="Calibri"/>
          <w:szCs w:val="22"/>
          <w:lang w:eastAsia="en-US"/>
        </w:rPr>
        <w:t>zákon č. 491/2001 Z.z. o organizovaní trhu s vybranými poľnohospodárskymi výrobkami.</w:t>
      </w:r>
    </w:p>
    <w:p w:rsidR="008676F9" w:rsidRPr="008676F9" w:rsidRDefault="008676F9" w:rsidP="006F5151">
      <w:pPr>
        <w:rPr>
          <w:rFonts w:ascii="Calibri" w:eastAsia="Calibri" w:hAnsi="Calibri" w:cs="Calibri"/>
          <w:bCs/>
          <w:szCs w:val="22"/>
          <w:u w:val="single"/>
          <w:lang w:eastAsia="en-US"/>
        </w:rPr>
      </w:pPr>
    </w:p>
    <w:p w:rsidR="008676F9" w:rsidRPr="008676F9" w:rsidRDefault="008676F9" w:rsidP="006F5151">
      <w:pPr>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Prijímateľ podpory:</w:t>
      </w:r>
    </w:p>
    <w:p w:rsidR="008676F9" w:rsidRPr="008676F9" w:rsidRDefault="00EC4289" w:rsidP="006F5151">
      <w:pPr>
        <w:rPr>
          <w:rFonts w:ascii="Calibri" w:eastAsia="Calibri" w:hAnsi="Calibri" w:cs="Calibri"/>
          <w:szCs w:val="22"/>
          <w:lang w:eastAsia="en-US"/>
        </w:rPr>
      </w:pPr>
      <w:r>
        <w:rPr>
          <w:rFonts w:ascii="Calibri" w:eastAsia="Calibri" w:hAnsi="Calibri" w:cs="Calibri"/>
          <w:szCs w:val="22"/>
          <w:lang w:eastAsia="en-US"/>
        </w:rPr>
        <w:t xml:space="preserve">Skupiny a </w:t>
      </w:r>
      <w:r w:rsidR="008676F9" w:rsidRPr="008676F9">
        <w:rPr>
          <w:rFonts w:ascii="Calibri" w:eastAsia="Calibri" w:hAnsi="Calibri" w:cs="Calibri"/>
          <w:szCs w:val="22"/>
          <w:lang w:eastAsia="en-US"/>
        </w:rPr>
        <w:t>organizácie výrobcov oficiálne uznané príslušnou inštitúciou do konca programovacieho obdobia (do 31. decembra 2020), ktoré spĺňajú definíciu malého a stredného podniku.</w:t>
      </w:r>
    </w:p>
    <w:p w:rsidR="008676F9" w:rsidRPr="008676F9" w:rsidRDefault="008676F9" w:rsidP="006F5151">
      <w:pPr>
        <w:rPr>
          <w:rFonts w:ascii="Calibri" w:eastAsia="Calibri" w:hAnsi="Calibri" w:cs="Calibri"/>
          <w:bCs/>
          <w:szCs w:val="22"/>
          <w:u w:val="single"/>
          <w:lang w:eastAsia="en-US"/>
        </w:rPr>
      </w:pPr>
    </w:p>
    <w:p w:rsidR="008676F9" w:rsidRPr="008676F9" w:rsidRDefault="008676F9" w:rsidP="006F5151">
      <w:pPr>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Oprávnené náklady:</w:t>
      </w:r>
    </w:p>
    <w:p w:rsidR="008676F9" w:rsidRPr="008676F9" w:rsidRDefault="008676F9" w:rsidP="001F5283">
      <w:pPr>
        <w:numPr>
          <w:ilvl w:val="0"/>
          <w:numId w:val="42"/>
        </w:numPr>
        <w:rPr>
          <w:rFonts w:ascii="Calibri" w:hAnsi="Calibri" w:cs="Calibri"/>
          <w:bCs/>
          <w:szCs w:val="22"/>
          <w:lang w:eastAsia="en-US"/>
        </w:rPr>
      </w:pPr>
      <w:r w:rsidRPr="008676F9">
        <w:rPr>
          <w:rFonts w:ascii="Calibri" w:hAnsi="Calibri" w:cs="Calibri"/>
          <w:bCs/>
          <w:szCs w:val="22"/>
          <w:lang w:eastAsia="en-US"/>
        </w:rPr>
        <w:t xml:space="preserve">všetky výdavky vynaložené v súlade s podnikateľským plánom </w:t>
      </w:r>
      <w:r w:rsidR="00EC4289">
        <w:rPr>
          <w:rFonts w:ascii="Calibri" w:hAnsi="Calibri" w:cs="Calibri"/>
          <w:bCs/>
          <w:szCs w:val="22"/>
          <w:lang w:eastAsia="en-US"/>
        </w:rPr>
        <w:t>Sa</w:t>
      </w:r>
      <w:r w:rsidRPr="008676F9">
        <w:rPr>
          <w:rFonts w:ascii="Calibri" w:hAnsi="Calibri" w:cs="Calibri"/>
          <w:bCs/>
          <w:szCs w:val="22"/>
          <w:lang w:eastAsia="en-US"/>
        </w:rPr>
        <w:t>OV.</w:t>
      </w:r>
    </w:p>
    <w:p w:rsidR="008676F9" w:rsidRPr="008676F9" w:rsidRDefault="008676F9" w:rsidP="006F5151">
      <w:pPr>
        <w:ind w:left="720"/>
        <w:rPr>
          <w:rFonts w:cs="Calibri"/>
          <w:bCs/>
          <w:lang w:eastAsia="en-US"/>
        </w:rPr>
      </w:pPr>
    </w:p>
    <w:p w:rsidR="008676F9" w:rsidRPr="008676F9" w:rsidRDefault="008676F9" w:rsidP="006F5151">
      <w:pPr>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Podmienky oprávnenosti:</w:t>
      </w:r>
    </w:p>
    <w:p w:rsidR="008676F9" w:rsidRPr="008676F9" w:rsidRDefault="008676F9" w:rsidP="006F5151">
      <w:pPr>
        <w:ind w:left="142" w:hanging="142"/>
        <w:rPr>
          <w:rFonts w:ascii="Calibri" w:eastAsia="Calibri" w:hAnsi="Calibri" w:cs="Calibri"/>
          <w:bCs/>
          <w:szCs w:val="22"/>
          <w:lang w:eastAsia="en-US"/>
        </w:rPr>
      </w:pPr>
      <w:r w:rsidRPr="008676F9">
        <w:rPr>
          <w:rFonts w:ascii="Calibri" w:eastAsia="Calibri" w:hAnsi="Calibri" w:cs="Calibri"/>
          <w:bCs/>
          <w:szCs w:val="22"/>
          <w:lang w:eastAsia="en-US"/>
        </w:rPr>
        <w:t xml:space="preserve">- oficiálne uznanie </w:t>
      </w:r>
      <w:r w:rsidR="00EC4289">
        <w:rPr>
          <w:rFonts w:ascii="Calibri" w:eastAsia="Calibri" w:hAnsi="Calibri" w:cs="Calibri"/>
          <w:bCs/>
          <w:szCs w:val="22"/>
          <w:lang w:eastAsia="en-US"/>
        </w:rPr>
        <w:t>SaOV MPRV SR dochádza</w:t>
      </w:r>
      <w:r w:rsidRPr="008676F9">
        <w:rPr>
          <w:rFonts w:ascii="Calibri" w:eastAsia="Calibri" w:hAnsi="Calibri" w:cs="Calibri"/>
          <w:bCs/>
          <w:szCs w:val="22"/>
          <w:lang w:eastAsia="en-US"/>
        </w:rPr>
        <w:t xml:space="preserve"> na základe podnikateľského plánu, ktorý musí obsahovať informácie o plánovaných aktivitách organizácie týkajúce sa:</w:t>
      </w:r>
    </w:p>
    <w:p w:rsidR="008676F9" w:rsidRPr="008676F9" w:rsidRDefault="008676F9" w:rsidP="00955DA4">
      <w:pPr>
        <w:numPr>
          <w:ilvl w:val="0"/>
          <w:numId w:val="140"/>
        </w:numPr>
        <w:ind w:left="426" w:hanging="284"/>
        <w:rPr>
          <w:rFonts w:ascii="Calibri" w:hAnsi="Calibri" w:cs="Calibri"/>
          <w:bCs/>
          <w:i/>
          <w:szCs w:val="22"/>
          <w:lang w:eastAsia="en-US"/>
        </w:rPr>
      </w:pPr>
      <w:r w:rsidRPr="008676F9">
        <w:rPr>
          <w:rFonts w:ascii="Calibri" w:hAnsi="Calibri" w:cs="Calibri"/>
          <w:bCs/>
          <w:i/>
          <w:szCs w:val="22"/>
          <w:lang w:eastAsia="en-US"/>
        </w:rPr>
        <w:t>prispôsobenia produkcie a objemu produkcie výrobcov, ktorí sú členmi takýchto organizácií, trhovým požiadavkám;</w:t>
      </w:r>
    </w:p>
    <w:p w:rsidR="008676F9" w:rsidRPr="008676F9" w:rsidRDefault="008676F9" w:rsidP="00955DA4">
      <w:pPr>
        <w:numPr>
          <w:ilvl w:val="0"/>
          <w:numId w:val="140"/>
        </w:numPr>
        <w:ind w:left="426" w:hanging="284"/>
        <w:rPr>
          <w:rFonts w:ascii="Calibri" w:hAnsi="Calibri" w:cs="Calibri"/>
          <w:bCs/>
          <w:i/>
          <w:szCs w:val="22"/>
          <w:lang w:eastAsia="en-US"/>
        </w:rPr>
      </w:pPr>
      <w:r w:rsidRPr="008676F9">
        <w:rPr>
          <w:rFonts w:ascii="Calibri" w:hAnsi="Calibri" w:cs="Calibri"/>
          <w:bCs/>
          <w:i/>
          <w:szCs w:val="22"/>
          <w:lang w:eastAsia="en-US"/>
        </w:rPr>
        <w:t>spoločného umiestňovania tovaru na trh vrátane prípravy na predaj, centralizácie predaja a dodávok pre veľkoodberateľov;</w:t>
      </w:r>
    </w:p>
    <w:p w:rsidR="008676F9" w:rsidRPr="008676F9" w:rsidRDefault="008676F9" w:rsidP="00955DA4">
      <w:pPr>
        <w:numPr>
          <w:ilvl w:val="0"/>
          <w:numId w:val="140"/>
        </w:numPr>
        <w:ind w:left="426" w:hanging="284"/>
        <w:rPr>
          <w:rFonts w:ascii="Calibri" w:hAnsi="Calibri" w:cs="Calibri"/>
          <w:bCs/>
          <w:i/>
          <w:szCs w:val="22"/>
          <w:lang w:eastAsia="en-US"/>
        </w:rPr>
      </w:pPr>
      <w:r w:rsidRPr="008676F9">
        <w:rPr>
          <w:rFonts w:ascii="Calibri" w:hAnsi="Calibri" w:cs="Calibri"/>
          <w:bCs/>
          <w:i/>
          <w:szCs w:val="22"/>
          <w:lang w:eastAsia="en-US"/>
        </w:rPr>
        <w:t>vytvorenia spoločných pravidiel pre informácie o produkcii, najmä o zbere úrody a dostupnosti;</w:t>
      </w:r>
    </w:p>
    <w:p w:rsidR="008676F9" w:rsidRPr="008676F9" w:rsidRDefault="008676F9" w:rsidP="00955DA4">
      <w:pPr>
        <w:numPr>
          <w:ilvl w:val="0"/>
          <w:numId w:val="140"/>
        </w:numPr>
        <w:ind w:left="426" w:hanging="284"/>
        <w:contextualSpacing/>
        <w:rPr>
          <w:rFonts w:ascii="Calibri" w:hAnsi="Calibri" w:cs="Calibri"/>
          <w:bCs/>
          <w:i/>
          <w:szCs w:val="22"/>
          <w:lang w:eastAsia="en-US"/>
        </w:rPr>
      </w:pPr>
      <w:r w:rsidRPr="008676F9">
        <w:rPr>
          <w:rFonts w:ascii="Calibri" w:hAnsi="Calibri" w:cs="Calibri"/>
          <w:bCs/>
          <w:i/>
          <w:szCs w:val="22"/>
          <w:lang w:eastAsia="en-US"/>
        </w:rPr>
        <w:t xml:space="preserve">iných činností, ktoré môžu vykonávať </w:t>
      </w:r>
      <w:r w:rsidR="00EC4289">
        <w:rPr>
          <w:rFonts w:ascii="Calibri" w:hAnsi="Calibri" w:cs="Calibri"/>
          <w:bCs/>
          <w:i/>
          <w:szCs w:val="22"/>
          <w:lang w:eastAsia="en-US"/>
        </w:rPr>
        <w:t>SaOV</w:t>
      </w:r>
      <w:r w:rsidRPr="008676F9">
        <w:rPr>
          <w:rFonts w:ascii="Calibri" w:hAnsi="Calibri" w:cs="Calibri"/>
          <w:bCs/>
          <w:i/>
          <w:szCs w:val="22"/>
          <w:lang w:eastAsia="en-US"/>
        </w:rPr>
        <w:t xml:space="preserve">, napríklad rozvoj obchodných a marketingových zručností a organizácia a uľahčovanie inovačných procesov. </w:t>
      </w:r>
    </w:p>
    <w:p w:rsidR="008676F9" w:rsidRPr="008676F9" w:rsidRDefault="008676F9" w:rsidP="006F5151">
      <w:pPr>
        <w:rPr>
          <w:rFonts w:ascii="Calibri" w:hAnsi="Calibri"/>
          <w:szCs w:val="22"/>
          <w:lang w:eastAsia="en-US"/>
        </w:rPr>
      </w:pPr>
    </w:p>
    <w:p w:rsidR="008676F9" w:rsidRPr="008676F9" w:rsidRDefault="008676F9" w:rsidP="006F5151">
      <w:pPr>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Princípy nastavenia výberových kritérií:</w:t>
      </w:r>
    </w:p>
    <w:p w:rsidR="008676F9" w:rsidRPr="008676F9" w:rsidRDefault="008676F9" w:rsidP="001F5283">
      <w:pPr>
        <w:numPr>
          <w:ilvl w:val="0"/>
          <w:numId w:val="64"/>
        </w:numPr>
        <w:ind w:left="284" w:hanging="284"/>
        <w:contextualSpacing/>
        <w:rPr>
          <w:rFonts w:ascii="Calibri" w:hAnsi="Calibri" w:cs="Calibri"/>
          <w:bCs/>
          <w:szCs w:val="22"/>
          <w:lang w:eastAsia="en-US"/>
        </w:rPr>
      </w:pPr>
      <w:r w:rsidRPr="008676F9">
        <w:rPr>
          <w:rFonts w:ascii="Calibri" w:hAnsi="Calibri" w:cs="Calibri"/>
          <w:bCs/>
          <w:szCs w:val="22"/>
          <w:lang w:eastAsia="en-US"/>
        </w:rPr>
        <w:t>udržateľnosť plnenia kritérií žiadateľom</w:t>
      </w:r>
      <w:r w:rsidR="00081CCD">
        <w:rPr>
          <w:rFonts w:ascii="Calibri" w:hAnsi="Calibri" w:cs="Calibri"/>
          <w:bCs/>
          <w:szCs w:val="22"/>
          <w:lang w:eastAsia="en-US"/>
        </w:rPr>
        <w:t>;</w:t>
      </w:r>
    </w:p>
    <w:p w:rsidR="002E6EC8" w:rsidRDefault="008676F9" w:rsidP="001F5283">
      <w:pPr>
        <w:numPr>
          <w:ilvl w:val="0"/>
          <w:numId w:val="64"/>
        </w:numPr>
        <w:ind w:left="284" w:hanging="284"/>
        <w:contextualSpacing/>
        <w:rPr>
          <w:rFonts w:ascii="Calibri" w:hAnsi="Calibri" w:cs="Calibri"/>
          <w:bCs/>
          <w:szCs w:val="22"/>
          <w:lang w:eastAsia="en-US"/>
        </w:rPr>
      </w:pPr>
      <w:r w:rsidRPr="008676F9">
        <w:rPr>
          <w:rFonts w:ascii="Calibri" w:hAnsi="Calibri" w:cs="Calibri"/>
          <w:bCs/>
          <w:szCs w:val="22"/>
          <w:lang w:eastAsia="en-US"/>
        </w:rPr>
        <w:t>podnikateľský plán</w:t>
      </w:r>
    </w:p>
    <w:p w:rsidR="002E6EC8" w:rsidRDefault="002E6EC8" w:rsidP="001F5283">
      <w:pPr>
        <w:numPr>
          <w:ilvl w:val="0"/>
          <w:numId w:val="64"/>
        </w:numPr>
        <w:ind w:left="284" w:hanging="284"/>
        <w:contextualSpacing/>
        <w:rPr>
          <w:rFonts w:ascii="Calibri" w:hAnsi="Calibri" w:cs="Calibri"/>
          <w:bCs/>
          <w:szCs w:val="22"/>
          <w:lang w:eastAsia="en-US"/>
        </w:rPr>
      </w:pPr>
      <w:r>
        <w:rPr>
          <w:rFonts w:ascii="Calibri" w:hAnsi="Calibri" w:cs="Calibri"/>
          <w:bCs/>
          <w:szCs w:val="22"/>
          <w:lang w:eastAsia="en-US"/>
        </w:rPr>
        <w:t>zastrešenie viacerých komodít;</w:t>
      </w:r>
    </w:p>
    <w:p w:rsidR="008676F9" w:rsidRPr="008676F9" w:rsidRDefault="002E6EC8" w:rsidP="001F5283">
      <w:pPr>
        <w:numPr>
          <w:ilvl w:val="0"/>
          <w:numId w:val="64"/>
        </w:numPr>
        <w:ind w:left="284" w:hanging="284"/>
        <w:contextualSpacing/>
        <w:rPr>
          <w:rFonts w:ascii="Calibri" w:hAnsi="Calibri" w:cs="Calibri"/>
          <w:bCs/>
          <w:szCs w:val="22"/>
          <w:lang w:eastAsia="en-US"/>
        </w:rPr>
      </w:pPr>
      <w:r>
        <w:rPr>
          <w:rFonts w:ascii="Calibri" w:hAnsi="Calibri" w:cs="Calibri"/>
          <w:bCs/>
          <w:szCs w:val="22"/>
          <w:lang w:eastAsia="en-US"/>
        </w:rPr>
        <w:t>združenie aj za účelom spoločného nákupu vstupov</w:t>
      </w:r>
      <w:r w:rsidR="00081CCD">
        <w:rPr>
          <w:rFonts w:ascii="Calibri" w:hAnsi="Calibri" w:cs="Calibri"/>
          <w:bCs/>
          <w:szCs w:val="22"/>
          <w:lang w:eastAsia="en-US"/>
        </w:rPr>
        <w:t>.</w:t>
      </w:r>
    </w:p>
    <w:p w:rsidR="008676F9" w:rsidRPr="008676F9" w:rsidRDefault="008676F9" w:rsidP="006F5151">
      <w:pPr>
        <w:rPr>
          <w:rFonts w:ascii="Calibri" w:eastAsia="Calibri" w:hAnsi="Calibri" w:cs="Calibri"/>
          <w:bCs/>
          <w:szCs w:val="22"/>
          <w:lang w:eastAsia="en-US"/>
        </w:rPr>
      </w:pPr>
    </w:p>
    <w:p w:rsidR="008676F9" w:rsidRPr="008676F9" w:rsidRDefault="008676F9" w:rsidP="006F5151">
      <w:pPr>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Výška a miera podpory:</w:t>
      </w:r>
    </w:p>
    <w:p w:rsidR="008676F9" w:rsidRPr="008676F9" w:rsidRDefault="008676F9" w:rsidP="001F5283">
      <w:pPr>
        <w:numPr>
          <w:ilvl w:val="0"/>
          <w:numId w:val="42"/>
        </w:numPr>
        <w:ind w:left="284" w:hanging="284"/>
        <w:rPr>
          <w:rFonts w:ascii="Calibri" w:hAnsi="Calibri"/>
          <w:szCs w:val="22"/>
          <w:lang w:eastAsia="en-US"/>
        </w:rPr>
      </w:pPr>
      <w:r w:rsidRPr="008676F9">
        <w:rPr>
          <w:rFonts w:ascii="Calibri" w:hAnsi="Calibri"/>
          <w:szCs w:val="22"/>
          <w:lang w:eastAsia="en-US"/>
        </w:rPr>
        <w:t xml:space="preserve">paušálna platba v ročných splátkach počas prvých piatich rokov odo dňa, keď bola </w:t>
      </w:r>
      <w:r w:rsidR="00EC4289">
        <w:rPr>
          <w:rFonts w:ascii="Calibri" w:hAnsi="Calibri"/>
          <w:szCs w:val="22"/>
          <w:lang w:eastAsia="en-US"/>
        </w:rPr>
        <w:t>SaOV</w:t>
      </w:r>
      <w:r w:rsidRPr="008676F9">
        <w:rPr>
          <w:rFonts w:ascii="Calibri" w:hAnsi="Calibri"/>
          <w:szCs w:val="22"/>
          <w:lang w:eastAsia="en-US"/>
        </w:rPr>
        <w:t xml:space="preserve"> výrobcov uznaná na základe jej podnikateľského plánu</w:t>
      </w:r>
      <w:r w:rsidR="00EC4289">
        <w:rPr>
          <w:rFonts w:ascii="Calibri" w:hAnsi="Calibri"/>
          <w:szCs w:val="22"/>
          <w:lang w:eastAsia="en-US"/>
        </w:rPr>
        <w:t>;</w:t>
      </w:r>
    </w:p>
    <w:p w:rsidR="008676F9" w:rsidRPr="008676F9" w:rsidRDefault="008676F9" w:rsidP="001F5283">
      <w:pPr>
        <w:numPr>
          <w:ilvl w:val="0"/>
          <w:numId w:val="42"/>
        </w:numPr>
        <w:ind w:left="284" w:hanging="284"/>
        <w:rPr>
          <w:rFonts w:ascii="Calibri" w:hAnsi="Calibri"/>
          <w:szCs w:val="22"/>
          <w:lang w:eastAsia="en-US"/>
        </w:rPr>
      </w:pPr>
      <w:r w:rsidRPr="008676F9">
        <w:rPr>
          <w:rFonts w:ascii="Calibri" w:hAnsi="Calibri"/>
          <w:szCs w:val="22"/>
          <w:lang w:eastAsia="en-US"/>
        </w:rPr>
        <w:t xml:space="preserve">podpora je limitovaná max. 10% </w:t>
      </w:r>
      <w:r w:rsidR="00EC4289">
        <w:rPr>
          <w:rFonts w:ascii="Calibri" w:hAnsi="Calibri"/>
          <w:szCs w:val="22"/>
          <w:lang w:eastAsia="en-US"/>
        </w:rPr>
        <w:t xml:space="preserve">predanej </w:t>
      </w:r>
      <w:r w:rsidRPr="008676F9">
        <w:rPr>
          <w:rFonts w:ascii="Calibri" w:hAnsi="Calibri"/>
          <w:szCs w:val="22"/>
          <w:lang w:eastAsia="en-US"/>
        </w:rPr>
        <w:t xml:space="preserve">produkcie </w:t>
      </w:r>
      <w:r w:rsidR="00EC4289">
        <w:rPr>
          <w:rFonts w:ascii="Calibri" w:hAnsi="Calibri"/>
          <w:szCs w:val="22"/>
          <w:lang w:eastAsia="en-US"/>
        </w:rPr>
        <w:t>Sa</w:t>
      </w:r>
      <w:r w:rsidRPr="008676F9">
        <w:rPr>
          <w:rFonts w:ascii="Calibri" w:hAnsi="Calibri"/>
          <w:szCs w:val="22"/>
          <w:lang w:eastAsia="en-US"/>
        </w:rPr>
        <w:t>OV počas prvých 5rokov avšak max. 100 000 Eur ročne</w:t>
      </w:r>
      <w:r w:rsidR="00EC4289">
        <w:rPr>
          <w:rFonts w:ascii="Calibri" w:hAnsi="Calibri"/>
          <w:szCs w:val="22"/>
          <w:lang w:eastAsia="en-US"/>
        </w:rPr>
        <w:t>;</w:t>
      </w:r>
    </w:p>
    <w:p w:rsidR="008676F9" w:rsidRPr="008676F9" w:rsidRDefault="008676F9" w:rsidP="001F5283">
      <w:pPr>
        <w:numPr>
          <w:ilvl w:val="0"/>
          <w:numId w:val="42"/>
        </w:numPr>
        <w:ind w:left="284" w:hanging="284"/>
        <w:rPr>
          <w:rFonts w:ascii="Calibri" w:hAnsi="Calibri"/>
          <w:szCs w:val="22"/>
          <w:lang w:eastAsia="en-US"/>
        </w:rPr>
      </w:pPr>
      <w:r w:rsidRPr="008676F9">
        <w:rPr>
          <w:rFonts w:ascii="Calibri" w:hAnsi="Calibri"/>
          <w:szCs w:val="22"/>
          <w:lang w:eastAsia="en-US"/>
        </w:rPr>
        <w:t>degresívna</w:t>
      </w:r>
      <w:r w:rsidR="00EC4289">
        <w:rPr>
          <w:rFonts w:ascii="Calibri" w:hAnsi="Calibri"/>
          <w:szCs w:val="22"/>
          <w:lang w:eastAsia="en-US"/>
        </w:rPr>
        <w:t xml:space="preserve"> platba;</w:t>
      </w:r>
      <w:r w:rsidRPr="008676F9">
        <w:rPr>
          <w:rFonts w:ascii="Calibri" w:hAnsi="Calibri"/>
          <w:szCs w:val="22"/>
          <w:lang w:eastAsia="en-US"/>
        </w:rPr>
        <w:t xml:space="preserve"> </w:t>
      </w:r>
    </w:p>
    <w:p w:rsidR="008676F9" w:rsidRPr="008676F9" w:rsidRDefault="00EC4289" w:rsidP="001F5283">
      <w:pPr>
        <w:numPr>
          <w:ilvl w:val="0"/>
          <w:numId w:val="42"/>
        </w:numPr>
        <w:ind w:left="284" w:hanging="284"/>
        <w:rPr>
          <w:rFonts w:ascii="Calibri" w:hAnsi="Calibri"/>
          <w:szCs w:val="22"/>
          <w:lang w:eastAsia="en-US"/>
        </w:rPr>
      </w:pPr>
      <w:r>
        <w:rPr>
          <w:rFonts w:ascii="Calibri" w:hAnsi="Calibri"/>
          <w:szCs w:val="22"/>
          <w:lang w:eastAsia="en-US"/>
        </w:rPr>
        <w:t xml:space="preserve">uhradenie </w:t>
      </w:r>
      <w:r w:rsidR="008676F9" w:rsidRPr="008676F9">
        <w:rPr>
          <w:rFonts w:ascii="Calibri" w:hAnsi="Calibri"/>
          <w:szCs w:val="22"/>
          <w:lang w:eastAsia="en-US"/>
        </w:rPr>
        <w:t>posledn</w:t>
      </w:r>
      <w:r>
        <w:rPr>
          <w:rFonts w:ascii="Calibri" w:hAnsi="Calibri"/>
          <w:szCs w:val="22"/>
          <w:lang w:eastAsia="en-US"/>
        </w:rPr>
        <w:t>ej</w:t>
      </w:r>
      <w:r w:rsidR="008676F9" w:rsidRPr="008676F9">
        <w:rPr>
          <w:rFonts w:ascii="Calibri" w:hAnsi="Calibri"/>
          <w:szCs w:val="22"/>
          <w:lang w:eastAsia="en-US"/>
        </w:rPr>
        <w:t xml:space="preserve"> splátk</w:t>
      </w:r>
      <w:r>
        <w:rPr>
          <w:rFonts w:ascii="Calibri" w:hAnsi="Calibri"/>
          <w:szCs w:val="22"/>
          <w:lang w:eastAsia="en-US"/>
        </w:rPr>
        <w:t>y až po overení správneho realizovania</w:t>
      </w:r>
      <w:r w:rsidR="008676F9" w:rsidRPr="008676F9">
        <w:rPr>
          <w:rFonts w:ascii="Calibri" w:hAnsi="Calibri"/>
          <w:szCs w:val="22"/>
          <w:lang w:eastAsia="en-US"/>
        </w:rPr>
        <w:t xml:space="preserve"> podnikateľsk</w:t>
      </w:r>
      <w:r>
        <w:rPr>
          <w:rFonts w:ascii="Calibri" w:hAnsi="Calibri"/>
          <w:szCs w:val="22"/>
          <w:lang w:eastAsia="en-US"/>
        </w:rPr>
        <w:t>ého</w:t>
      </w:r>
      <w:r w:rsidR="008676F9" w:rsidRPr="008676F9">
        <w:rPr>
          <w:rFonts w:ascii="Calibri" w:hAnsi="Calibri"/>
          <w:szCs w:val="22"/>
          <w:lang w:eastAsia="en-US"/>
        </w:rPr>
        <w:t xml:space="preserve"> plán</w:t>
      </w:r>
      <w:r>
        <w:rPr>
          <w:rFonts w:ascii="Calibri" w:hAnsi="Calibri"/>
          <w:szCs w:val="22"/>
          <w:lang w:eastAsia="en-US"/>
        </w:rPr>
        <w:t>u</w:t>
      </w:r>
      <w:r w:rsidR="008676F9" w:rsidRPr="008676F9">
        <w:rPr>
          <w:rFonts w:ascii="Calibri" w:hAnsi="Calibri"/>
          <w:szCs w:val="22"/>
          <w:lang w:eastAsia="en-US"/>
        </w:rPr>
        <w:t xml:space="preserve">.  </w:t>
      </w:r>
    </w:p>
    <w:p w:rsidR="008676F9" w:rsidRPr="008676F9" w:rsidRDefault="008676F9" w:rsidP="006F5151">
      <w:pPr>
        <w:rPr>
          <w:rFonts w:ascii="Calibri" w:eastAsia="Calibri" w:hAnsi="Calibri" w:cs="Calibri"/>
          <w:b/>
          <w:bCs/>
          <w:szCs w:val="22"/>
          <w:lang w:eastAsia="en-US"/>
        </w:rPr>
      </w:pPr>
    </w:p>
    <w:p w:rsidR="00095683" w:rsidRDefault="00095683" w:rsidP="006F5151">
      <w:pPr>
        <w:rPr>
          <w:rFonts w:ascii="Calibri" w:eastAsia="Calibri" w:hAnsi="Calibri" w:cs="Calibri"/>
          <w:szCs w:val="22"/>
          <w:u w:val="single"/>
        </w:rPr>
      </w:pPr>
    </w:p>
    <w:p w:rsidR="008676F9" w:rsidRPr="008676F9" w:rsidRDefault="008676F9" w:rsidP="006F5151">
      <w:pPr>
        <w:rPr>
          <w:rFonts w:ascii="Calibri" w:eastAsia="Calibri" w:hAnsi="Calibri" w:cs="Calibri"/>
          <w:szCs w:val="22"/>
          <w:u w:val="single"/>
        </w:rPr>
      </w:pPr>
      <w:r w:rsidRPr="008676F9">
        <w:rPr>
          <w:rFonts w:ascii="Calibri" w:eastAsia="Calibri" w:hAnsi="Calibri" w:cs="Calibri"/>
          <w:szCs w:val="22"/>
          <w:u w:val="single"/>
        </w:rPr>
        <w:t>Ďalšie informácie špecifické pre opatrenie</w:t>
      </w:r>
    </w:p>
    <w:p w:rsidR="008676F9" w:rsidRPr="008676F9" w:rsidRDefault="008676F9" w:rsidP="006F5151">
      <w:pPr>
        <w:rPr>
          <w:rFonts w:ascii="Calibri" w:eastAsia="Calibri" w:hAnsi="Calibri"/>
          <w:szCs w:val="22"/>
          <w:lang w:eastAsia="en-US"/>
        </w:rPr>
      </w:pPr>
      <w:r w:rsidRPr="008676F9">
        <w:rPr>
          <w:rFonts w:ascii="Calibri" w:eastAsia="Calibri" w:hAnsi="Calibri" w:cs="Calibri"/>
          <w:i/>
          <w:szCs w:val="22"/>
        </w:rPr>
        <w:t xml:space="preserve">Opis oficiálneho postupu uznávania skupín: </w:t>
      </w:r>
      <w:r w:rsidRPr="008676F9">
        <w:rPr>
          <w:rFonts w:ascii="Calibri" w:eastAsia="Calibri" w:hAnsi="Calibri" w:cs="Calibri"/>
          <w:bCs/>
          <w:szCs w:val="22"/>
          <w:lang w:eastAsia="en-US"/>
        </w:rPr>
        <w:t xml:space="preserve">oficiálne uznanie </w:t>
      </w:r>
      <w:r w:rsidR="00EC4289">
        <w:rPr>
          <w:rFonts w:ascii="Calibri" w:eastAsia="Calibri" w:hAnsi="Calibri" w:cs="Calibri"/>
          <w:bCs/>
          <w:szCs w:val="22"/>
          <w:lang w:eastAsia="en-US"/>
        </w:rPr>
        <w:t>SaOV MPRV SR</w:t>
      </w:r>
      <w:r w:rsidRPr="008676F9">
        <w:rPr>
          <w:rFonts w:ascii="Calibri" w:eastAsia="Calibri" w:hAnsi="Calibri" w:cs="Calibri"/>
          <w:bCs/>
          <w:szCs w:val="22"/>
          <w:lang w:eastAsia="en-US"/>
        </w:rPr>
        <w:t xml:space="preserve"> dochádza na základe podnikateľského plánu, ktorý musí obsahovať informácie o plánovaných aktivitách organizácie</w:t>
      </w:r>
      <w:r w:rsidRPr="008676F9">
        <w:rPr>
          <w:rFonts w:ascii="Calibri" w:eastAsia="Calibri" w:hAnsi="Calibri"/>
          <w:szCs w:val="22"/>
          <w:lang w:eastAsia="en-US"/>
        </w:rPr>
        <w:t xml:space="preserve">. </w:t>
      </w:r>
    </w:p>
    <w:p w:rsidR="008676F9" w:rsidRPr="008676F9" w:rsidRDefault="008676F9" w:rsidP="006F5151">
      <w:pPr>
        <w:rPr>
          <w:rFonts w:ascii="Calibri" w:hAnsi="Calibri"/>
          <w:szCs w:val="22"/>
          <w:u w:val="single"/>
          <w:lang w:eastAsia="en-US"/>
        </w:rPr>
      </w:pPr>
    </w:p>
    <w:p w:rsidR="008676F9" w:rsidRPr="008676F9" w:rsidRDefault="008676F9" w:rsidP="006F5151">
      <w:pPr>
        <w:rPr>
          <w:rFonts w:ascii="Calibri" w:hAnsi="Calibri"/>
          <w:i/>
          <w:szCs w:val="22"/>
          <w:lang w:eastAsia="en-US"/>
        </w:rPr>
      </w:pPr>
      <w:r w:rsidRPr="008676F9">
        <w:rPr>
          <w:rFonts w:ascii="Calibri" w:hAnsi="Calibri"/>
          <w:i/>
          <w:szCs w:val="22"/>
          <w:lang w:eastAsia="en-US"/>
        </w:rPr>
        <w:t>Kritériá pre uznanie</w:t>
      </w:r>
      <w:r w:rsidR="00EC4289">
        <w:rPr>
          <w:rFonts w:ascii="Calibri" w:hAnsi="Calibri"/>
          <w:i/>
          <w:szCs w:val="22"/>
          <w:lang w:eastAsia="en-US"/>
        </w:rPr>
        <w:t xml:space="preserve"> Sa</w:t>
      </w:r>
      <w:r w:rsidRPr="008676F9">
        <w:rPr>
          <w:rFonts w:ascii="Calibri" w:hAnsi="Calibri"/>
          <w:i/>
          <w:szCs w:val="22"/>
          <w:lang w:eastAsia="en-US"/>
        </w:rPr>
        <w:t>OV:</w:t>
      </w:r>
    </w:p>
    <w:p w:rsidR="008676F9" w:rsidRPr="008676F9" w:rsidRDefault="007C0900" w:rsidP="00426524">
      <w:pPr>
        <w:spacing w:after="120"/>
        <w:rPr>
          <w:rFonts w:ascii="Calibri" w:hAnsi="Calibri"/>
          <w:szCs w:val="22"/>
          <w:lang w:eastAsia="en-US"/>
        </w:rPr>
      </w:pPr>
      <w:r>
        <w:rPr>
          <w:rFonts w:ascii="Calibri" w:hAnsi="Calibri"/>
          <w:szCs w:val="22"/>
          <w:lang w:eastAsia="en-US"/>
        </w:rPr>
        <w:t>Skupiny a</w:t>
      </w:r>
      <w:r w:rsidR="008676F9" w:rsidRPr="008676F9">
        <w:rPr>
          <w:rFonts w:ascii="Calibri" w:hAnsi="Calibri"/>
          <w:szCs w:val="22"/>
          <w:lang w:eastAsia="en-US"/>
        </w:rPr>
        <w:t xml:space="preserve"> organizácie výrobcov sú uznávané </w:t>
      </w:r>
      <w:r>
        <w:rPr>
          <w:rFonts w:ascii="Calibri" w:hAnsi="Calibri"/>
          <w:szCs w:val="22"/>
          <w:lang w:eastAsia="en-US"/>
        </w:rPr>
        <w:t>MPRV SR</w:t>
      </w:r>
      <w:r w:rsidR="008676F9" w:rsidRPr="008676F9">
        <w:rPr>
          <w:rFonts w:ascii="Calibri" w:hAnsi="Calibri"/>
          <w:szCs w:val="22"/>
          <w:lang w:eastAsia="en-US"/>
        </w:rPr>
        <w:t>, ktor</w:t>
      </w:r>
      <w:r>
        <w:rPr>
          <w:rFonts w:ascii="Calibri" w:hAnsi="Calibri"/>
          <w:szCs w:val="22"/>
          <w:lang w:eastAsia="en-US"/>
        </w:rPr>
        <w:t>é</w:t>
      </w:r>
      <w:r w:rsidR="008676F9" w:rsidRPr="008676F9">
        <w:rPr>
          <w:rFonts w:ascii="Calibri" w:hAnsi="Calibri"/>
          <w:szCs w:val="22"/>
          <w:lang w:eastAsia="en-US"/>
        </w:rPr>
        <w:t xml:space="preserve"> overuje splnenie týchto hlavných kritérií pre uznanie:</w:t>
      </w:r>
    </w:p>
    <w:p w:rsidR="008676F9" w:rsidRPr="008676F9" w:rsidRDefault="008676F9" w:rsidP="001F5283">
      <w:pPr>
        <w:numPr>
          <w:ilvl w:val="0"/>
          <w:numId w:val="68"/>
        </w:numPr>
        <w:tabs>
          <w:tab w:val="num" w:pos="360"/>
        </w:tabs>
        <w:spacing w:after="120"/>
        <w:ind w:left="360"/>
        <w:rPr>
          <w:rFonts w:ascii="Calibri" w:eastAsia="Calibri" w:hAnsi="Calibri"/>
          <w:szCs w:val="22"/>
          <w:lang w:eastAsia="en-US"/>
        </w:rPr>
      </w:pPr>
      <w:r w:rsidRPr="008676F9">
        <w:rPr>
          <w:rFonts w:ascii="Calibri" w:eastAsia="Calibri" w:hAnsi="Calibri"/>
          <w:szCs w:val="22"/>
          <w:lang w:eastAsia="en-US"/>
        </w:rPr>
        <w:t xml:space="preserve">právna forma </w:t>
      </w:r>
      <w:r w:rsidR="00ED7832">
        <w:rPr>
          <w:rFonts w:ascii="Calibri" w:eastAsia="Calibri" w:hAnsi="Calibri"/>
          <w:szCs w:val="22"/>
          <w:lang w:eastAsia="en-US"/>
        </w:rPr>
        <w:t>SaOV</w:t>
      </w:r>
      <w:r w:rsidRPr="008676F9">
        <w:rPr>
          <w:rFonts w:ascii="Calibri" w:eastAsia="Calibri" w:hAnsi="Calibri"/>
          <w:szCs w:val="22"/>
          <w:lang w:eastAsia="en-US"/>
        </w:rPr>
        <w:t xml:space="preserve"> je podľa zákona č. 513/1991 Zb. – Obchodný zákonník v znení neskorších predpisov, § 2 ods. 2;</w:t>
      </w:r>
    </w:p>
    <w:p w:rsidR="008676F9" w:rsidRPr="008676F9" w:rsidRDefault="008676F9" w:rsidP="001F5283">
      <w:pPr>
        <w:numPr>
          <w:ilvl w:val="0"/>
          <w:numId w:val="68"/>
        </w:numPr>
        <w:tabs>
          <w:tab w:val="num" w:pos="360"/>
        </w:tabs>
        <w:spacing w:after="120"/>
        <w:ind w:left="360"/>
        <w:rPr>
          <w:rFonts w:ascii="Calibri" w:eastAsia="Calibri" w:hAnsi="Calibri"/>
          <w:szCs w:val="22"/>
          <w:lang w:eastAsia="en-US"/>
        </w:rPr>
      </w:pPr>
      <w:r w:rsidRPr="008676F9">
        <w:rPr>
          <w:rFonts w:ascii="Calibri" w:eastAsia="Calibri" w:hAnsi="Calibri"/>
          <w:szCs w:val="22"/>
          <w:lang w:eastAsia="en-US"/>
        </w:rPr>
        <w:t xml:space="preserve">o podporu môžu žiadať len </w:t>
      </w:r>
      <w:r w:rsidR="00ED7832">
        <w:rPr>
          <w:rFonts w:ascii="Calibri" w:eastAsia="Calibri" w:hAnsi="Calibri"/>
          <w:szCs w:val="22"/>
          <w:lang w:eastAsia="en-US"/>
        </w:rPr>
        <w:t>SaOV</w:t>
      </w:r>
      <w:r w:rsidRPr="008676F9">
        <w:rPr>
          <w:rFonts w:ascii="Calibri" w:eastAsia="Calibri" w:hAnsi="Calibri"/>
          <w:szCs w:val="22"/>
          <w:lang w:eastAsia="en-US"/>
        </w:rPr>
        <w:t xml:space="preserve"> poľnohospodárskych </w:t>
      </w:r>
      <w:r w:rsidR="00DB352A">
        <w:rPr>
          <w:rFonts w:ascii="Calibri" w:eastAsia="Calibri" w:hAnsi="Calibri"/>
          <w:szCs w:val="22"/>
          <w:lang w:eastAsia="en-US"/>
        </w:rPr>
        <w:t xml:space="preserve">a lesníckych </w:t>
      </w:r>
      <w:r w:rsidRPr="008676F9">
        <w:rPr>
          <w:rFonts w:ascii="Calibri" w:eastAsia="Calibri" w:hAnsi="Calibri"/>
          <w:szCs w:val="22"/>
          <w:lang w:eastAsia="en-US"/>
        </w:rPr>
        <w:t>prvovýrobcov;</w:t>
      </w:r>
    </w:p>
    <w:p w:rsidR="008676F9" w:rsidRPr="008676F9" w:rsidRDefault="008676F9" w:rsidP="001F5283">
      <w:pPr>
        <w:numPr>
          <w:ilvl w:val="0"/>
          <w:numId w:val="68"/>
        </w:numPr>
        <w:tabs>
          <w:tab w:val="num" w:pos="360"/>
        </w:tabs>
        <w:spacing w:after="120"/>
        <w:ind w:left="360"/>
        <w:rPr>
          <w:rFonts w:ascii="Calibri" w:eastAsia="Calibri" w:hAnsi="Calibri"/>
          <w:szCs w:val="22"/>
          <w:lang w:eastAsia="en-US"/>
        </w:rPr>
      </w:pPr>
      <w:r w:rsidRPr="008676F9">
        <w:rPr>
          <w:rFonts w:ascii="Calibri" w:eastAsia="Calibri" w:hAnsi="Calibri"/>
          <w:szCs w:val="22"/>
          <w:lang w:eastAsia="en-US"/>
        </w:rPr>
        <w:t xml:space="preserve">minimálny počet členov </w:t>
      </w:r>
      <w:r w:rsidR="00ED7832">
        <w:rPr>
          <w:rFonts w:ascii="Calibri" w:eastAsia="Calibri" w:hAnsi="Calibri"/>
          <w:szCs w:val="22"/>
          <w:lang w:eastAsia="en-US"/>
        </w:rPr>
        <w:t>SaO</w:t>
      </w:r>
      <w:r w:rsidRPr="008676F9">
        <w:rPr>
          <w:rFonts w:ascii="Calibri" w:eastAsia="Calibri" w:hAnsi="Calibri"/>
          <w:szCs w:val="22"/>
          <w:lang w:eastAsia="en-US"/>
        </w:rPr>
        <w:t xml:space="preserve">V je </w:t>
      </w:r>
      <w:r w:rsidR="00DB352A">
        <w:rPr>
          <w:rFonts w:ascii="Calibri" w:eastAsia="Calibri" w:hAnsi="Calibri"/>
          <w:szCs w:val="22"/>
          <w:lang w:eastAsia="en-US"/>
        </w:rPr>
        <w:t>15</w:t>
      </w:r>
      <w:r w:rsidRPr="008676F9">
        <w:rPr>
          <w:rFonts w:ascii="Calibri" w:eastAsia="Calibri" w:hAnsi="Calibri"/>
          <w:szCs w:val="22"/>
          <w:lang w:eastAsia="en-US"/>
        </w:rPr>
        <w:t>;</w:t>
      </w:r>
    </w:p>
    <w:p w:rsidR="008676F9" w:rsidRPr="008676F9" w:rsidRDefault="008676F9" w:rsidP="001F5283">
      <w:pPr>
        <w:numPr>
          <w:ilvl w:val="0"/>
          <w:numId w:val="68"/>
        </w:numPr>
        <w:tabs>
          <w:tab w:val="num" w:pos="360"/>
        </w:tabs>
        <w:spacing w:after="120"/>
        <w:ind w:left="360"/>
        <w:rPr>
          <w:rFonts w:ascii="Calibri" w:eastAsia="Calibri" w:hAnsi="Calibri"/>
          <w:szCs w:val="22"/>
          <w:lang w:eastAsia="en-US"/>
        </w:rPr>
      </w:pPr>
      <w:r w:rsidRPr="008676F9">
        <w:rPr>
          <w:rFonts w:ascii="Calibri" w:eastAsia="Calibri" w:hAnsi="Calibri"/>
          <w:szCs w:val="22"/>
          <w:lang w:eastAsia="en-US"/>
        </w:rPr>
        <w:t xml:space="preserve">každý člen </w:t>
      </w:r>
      <w:r w:rsidR="00ED7832">
        <w:rPr>
          <w:rFonts w:ascii="Calibri" w:eastAsia="Calibri" w:hAnsi="Calibri"/>
          <w:szCs w:val="22"/>
          <w:lang w:eastAsia="en-US"/>
        </w:rPr>
        <w:t>SaOV</w:t>
      </w:r>
      <w:r w:rsidRPr="008676F9">
        <w:rPr>
          <w:rFonts w:ascii="Calibri" w:eastAsia="Calibri" w:hAnsi="Calibri"/>
          <w:szCs w:val="22"/>
          <w:lang w:eastAsia="en-US"/>
        </w:rPr>
        <w:t xml:space="preserve"> musí predať prostredníctvom tejto organizácie minimálne 80 % objemu vlastnej trhovej produkcie príslušnej komodity (t.j. produkcie komodity bez vlastnej spotreby a výrobných strát), na ktorú bola uznaná;</w:t>
      </w:r>
    </w:p>
    <w:p w:rsidR="008676F9" w:rsidRPr="008676F9" w:rsidRDefault="008676F9" w:rsidP="001F5283">
      <w:pPr>
        <w:numPr>
          <w:ilvl w:val="0"/>
          <w:numId w:val="68"/>
        </w:numPr>
        <w:tabs>
          <w:tab w:val="num" w:pos="360"/>
        </w:tabs>
        <w:ind w:left="360"/>
        <w:rPr>
          <w:rFonts w:ascii="Calibri" w:eastAsia="Calibri" w:hAnsi="Calibri"/>
          <w:szCs w:val="22"/>
          <w:lang w:eastAsia="en-US"/>
        </w:rPr>
      </w:pPr>
      <w:r w:rsidRPr="008676F9">
        <w:rPr>
          <w:rFonts w:ascii="Calibri" w:eastAsia="Calibri" w:hAnsi="Calibri"/>
          <w:szCs w:val="22"/>
          <w:lang w:eastAsia="en-US"/>
        </w:rPr>
        <w:t xml:space="preserve">predloží stanovy </w:t>
      </w:r>
      <w:r w:rsidR="00ED7832">
        <w:rPr>
          <w:rFonts w:ascii="Calibri" w:eastAsia="Calibri" w:hAnsi="Calibri"/>
          <w:szCs w:val="22"/>
          <w:lang w:eastAsia="en-US"/>
        </w:rPr>
        <w:t>SaOV</w:t>
      </w:r>
      <w:r w:rsidRPr="008676F9">
        <w:rPr>
          <w:rFonts w:ascii="Calibri" w:eastAsia="Calibri" w:hAnsi="Calibri"/>
          <w:szCs w:val="22"/>
          <w:lang w:eastAsia="en-US"/>
        </w:rPr>
        <w:t>,  ktoré budú obsahovať minimálne nasledovné pravidlá:</w:t>
      </w:r>
    </w:p>
    <w:p w:rsidR="008676F9" w:rsidRPr="008676F9" w:rsidRDefault="008676F9" w:rsidP="001F5283">
      <w:pPr>
        <w:numPr>
          <w:ilvl w:val="0"/>
          <w:numId w:val="69"/>
        </w:numPr>
        <w:rPr>
          <w:rFonts w:ascii="Calibri" w:eastAsia="Calibri" w:hAnsi="Calibri"/>
          <w:szCs w:val="22"/>
          <w:lang w:eastAsia="en-US"/>
        </w:rPr>
      </w:pPr>
      <w:r w:rsidRPr="008676F9">
        <w:rPr>
          <w:rFonts w:ascii="Calibri" w:eastAsia="Calibri" w:hAnsi="Calibri"/>
          <w:szCs w:val="22"/>
          <w:lang w:eastAsia="en-US"/>
        </w:rPr>
        <w:t>prijímania nových členov;</w:t>
      </w:r>
    </w:p>
    <w:p w:rsidR="008676F9" w:rsidRPr="008676F9" w:rsidRDefault="008676F9" w:rsidP="001F5283">
      <w:pPr>
        <w:numPr>
          <w:ilvl w:val="0"/>
          <w:numId w:val="70"/>
        </w:numPr>
        <w:rPr>
          <w:rFonts w:ascii="Calibri" w:eastAsia="Calibri" w:hAnsi="Calibri"/>
          <w:szCs w:val="22"/>
          <w:lang w:eastAsia="en-US"/>
        </w:rPr>
      </w:pPr>
      <w:r w:rsidRPr="008676F9">
        <w:rPr>
          <w:rFonts w:ascii="Calibri" w:eastAsia="Calibri" w:hAnsi="Calibri"/>
          <w:szCs w:val="22"/>
          <w:lang w:eastAsia="en-US"/>
        </w:rPr>
        <w:t>ukončenia členstva v </w:t>
      </w:r>
      <w:r w:rsidR="00ED7832">
        <w:rPr>
          <w:rFonts w:ascii="Calibri" w:eastAsia="Calibri" w:hAnsi="Calibri"/>
          <w:szCs w:val="22"/>
          <w:lang w:eastAsia="en-US"/>
        </w:rPr>
        <w:t>SaOV</w:t>
      </w:r>
      <w:r w:rsidRPr="008676F9">
        <w:rPr>
          <w:rFonts w:ascii="Calibri" w:eastAsia="Calibri" w:hAnsi="Calibri"/>
          <w:szCs w:val="22"/>
          <w:lang w:eastAsia="en-US"/>
        </w:rPr>
        <w:t>;</w:t>
      </w:r>
    </w:p>
    <w:p w:rsidR="008676F9" w:rsidRPr="008676F9" w:rsidRDefault="008676F9" w:rsidP="001F5283">
      <w:pPr>
        <w:numPr>
          <w:ilvl w:val="0"/>
          <w:numId w:val="71"/>
        </w:numPr>
        <w:rPr>
          <w:rFonts w:ascii="Calibri" w:eastAsia="Calibri" w:hAnsi="Calibri"/>
          <w:szCs w:val="22"/>
          <w:lang w:eastAsia="en-US"/>
        </w:rPr>
      </w:pPr>
      <w:r w:rsidRPr="008676F9">
        <w:rPr>
          <w:rFonts w:ascii="Calibri" w:eastAsia="Calibri" w:hAnsi="Calibri"/>
          <w:szCs w:val="22"/>
          <w:lang w:eastAsia="en-US"/>
        </w:rPr>
        <w:t>vyradenia z </w:t>
      </w:r>
      <w:r w:rsidR="00ED7832">
        <w:rPr>
          <w:rFonts w:ascii="Calibri" w:eastAsia="Calibri" w:hAnsi="Calibri"/>
          <w:szCs w:val="22"/>
          <w:lang w:eastAsia="en-US"/>
        </w:rPr>
        <w:t>SaOV</w:t>
      </w:r>
      <w:r w:rsidRPr="008676F9">
        <w:rPr>
          <w:rFonts w:ascii="Calibri" w:eastAsia="Calibri" w:hAnsi="Calibri"/>
          <w:szCs w:val="22"/>
          <w:lang w:eastAsia="en-US"/>
        </w:rPr>
        <w:t>;</w:t>
      </w:r>
    </w:p>
    <w:p w:rsidR="008676F9" w:rsidRPr="008676F9" w:rsidRDefault="008676F9" w:rsidP="001F5283">
      <w:pPr>
        <w:numPr>
          <w:ilvl w:val="0"/>
          <w:numId w:val="72"/>
        </w:numPr>
        <w:spacing w:after="120"/>
        <w:ind w:left="714" w:hanging="357"/>
        <w:rPr>
          <w:rFonts w:ascii="Calibri" w:eastAsia="Calibri" w:hAnsi="Calibri"/>
          <w:szCs w:val="22"/>
          <w:lang w:eastAsia="en-US"/>
        </w:rPr>
      </w:pPr>
      <w:r w:rsidRPr="008676F9">
        <w:rPr>
          <w:rFonts w:ascii="Calibri" w:eastAsia="Calibri" w:hAnsi="Calibri"/>
          <w:szCs w:val="22"/>
          <w:lang w:eastAsia="en-US"/>
        </w:rPr>
        <w:t>a minimálnu dobu členstva v </w:t>
      </w:r>
      <w:r w:rsidR="00ED7832">
        <w:rPr>
          <w:rFonts w:ascii="Calibri" w:eastAsia="Calibri" w:hAnsi="Calibri"/>
          <w:szCs w:val="22"/>
          <w:lang w:eastAsia="en-US"/>
        </w:rPr>
        <w:t>SaOV</w:t>
      </w:r>
      <w:r w:rsidRPr="008676F9">
        <w:rPr>
          <w:rFonts w:ascii="Calibri" w:eastAsia="Calibri" w:hAnsi="Calibri"/>
          <w:szCs w:val="22"/>
          <w:lang w:eastAsia="en-US"/>
        </w:rPr>
        <w:t>, ktorá musí byť minimálne 1 kalendárny rok.</w:t>
      </w:r>
    </w:p>
    <w:p w:rsidR="008676F9" w:rsidRPr="008676F9" w:rsidRDefault="008676F9" w:rsidP="001F5283">
      <w:pPr>
        <w:numPr>
          <w:ilvl w:val="0"/>
          <w:numId w:val="68"/>
        </w:numPr>
        <w:tabs>
          <w:tab w:val="num" w:pos="360"/>
        </w:tabs>
        <w:spacing w:after="120"/>
        <w:ind w:left="357" w:hanging="357"/>
        <w:rPr>
          <w:rFonts w:ascii="Calibri" w:eastAsia="Calibri" w:hAnsi="Calibri"/>
          <w:szCs w:val="22"/>
          <w:lang w:eastAsia="en-US"/>
        </w:rPr>
      </w:pPr>
      <w:r w:rsidRPr="008676F9">
        <w:rPr>
          <w:rFonts w:ascii="Calibri" w:eastAsia="Calibri" w:hAnsi="Calibri"/>
          <w:szCs w:val="22"/>
          <w:lang w:eastAsia="en-US"/>
        </w:rPr>
        <w:t xml:space="preserve">výrobcovia sú členmi len jednej </w:t>
      </w:r>
      <w:r w:rsidR="00ED7832">
        <w:rPr>
          <w:rFonts w:ascii="Calibri" w:eastAsia="Calibri" w:hAnsi="Calibri"/>
          <w:szCs w:val="22"/>
          <w:lang w:eastAsia="en-US"/>
        </w:rPr>
        <w:t>SaOV</w:t>
      </w:r>
      <w:r w:rsidRPr="008676F9">
        <w:rPr>
          <w:rFonts w:ascii="Calibri" w:eastAsia="Calibri" w:hAnsi="Calibri"/>
          <w:szCs w:val="22"/>
          <w:lang w:eastAsia="en-US"/>
        </w:rPr>
        <w:t xml:space="preserve"> v rámci príslušnej komodity;</w:t>
      </w:r>
    </w:p>
    <w:p w:rsidR="008676F9" w:rsidRPr="008676F9" w:rsidRDefault="00ED7832" w:rsidP="001F5283">
      <w:pPr>
        <w:numPr>
          <w:ilvl w:val="0"/>
          <w:numId w:val="68"/>
        </w:numPr>
        <w:tabs>
          <w:tab w:val="num" w:pos="360"/>
        </w:tabs>
        <w:spacing w:after="120"/>
        <w:ind w:left="357" w:hanging="357"/>
        <w:rPr>
          <w:rFonts w:ascii="Calibri" w:eastAsia="Calibri" w:hAnsi="Calibri"/>
          <w:szCs w:val="22"/>
          <w:lang w:eastAsia="en-US"/>
        </w:rPr>
      </w:pPr>
      <w:r>
        <w:rPr>
          <w:rFonts w:ascii="Calibri" w:eastAsia="Calibri" w:hAnsi="Calibri"/>
          <w:szCs w:val="22"/>
          <w:lang w:eastAsia="en-US"/>
        </w:rPr>
        <w:t>SaOV</w:t>
      </w:r>
      <w:r w:rsidR="008676F9" w:rsidRPr="008676F9">
        <w:rPr>
          <w:rFonts w:ascii="Calibri" w:eastAsia="Calibri" w:hAnsi="Calibri"/>
          <w:szCs w:val="22"/>
          <w:lang w:eastAsia="en-US"/>
        </w:rPr>
        <w:t xml:space="preserve"> uzatvorí so svojimi členmi zmluvy o spôsobe a výške úhrad za nákup a predaj produkcie;</w:t>
      </w:r>
    </w:p>
    <w:p w:rsidR="008676F9" w:rsidRPr="008676F9" w:rsidRDefault="00ED7832" w:rsidP="001F5283">
      <w:pPr>
        <w:numPr>
          <w:ilvl w:val="0"/>
          <w:numId w:val="68"/>
        </w:numPr>
        <w:tabs>
          <w:tab w:val="num" w:pos="360"/>
        </w:tabs>
        <w:ind w:left="360"/>
        <w:rPr>
          <w:rFonts w:ascii="Calibri" w:eastAsia="Calibri" w:hAnsi="Calibri"/>
          <w:szCs w:val="22"/>
          <w:lang w:eastAsia="en-US"/>
        </w:rPr>
      </w:pPr>
      <w:r>
        <w:rPr>
          <w:rFonts w:ascii="Calibri" w:eastAsia="Calibri" w:hAnsi="Calibri"/>
          <w:szCs w:val="22"/>
          <w:lang w:eastAsia="en-US"/>
        </w:rPr>
        <w:t>SaOV</w:t>
      </w:r>
      <w:r w:rsidR="008676F9" w:rsidRPr="008676F9">
        <w:rPr>
          <w:rFonts w:ascii="Calibri" w:eastAsia="Calibri" w:hAnsi="Calibri"/>
          <w:szCs w:val="22"/>
          <w:lang w:eastAsia="en-US"/>
        </w:rPr>
        <w:t xml:space="preserve"> musí mať pravidlá:</w:t>
      </w:r>
    </w:p>
    <w:p w:rsidR="008676F9" w:rsidRPr="008676F9" w:rsidRDefault="008676F9" w:rsidP="001F5283">
      <w:pPr>
        <w:numPr>
          <w:ilvl w:val="0"/>
          <w:numId w:val="73"/>
        </w:numPr>
        <w:rPr>
          <w:rFonts w:ascii="Calibri" w:eastAsia="Calibri" w:hAnsi="Calibri"/>
          <w:szCs w:val="22"/>
          <w:lang w:eastAsia="en-US"/>
        </w:rPr>
      </w:pPr>
      <w:r w:rsidRPr="008676F9">
        <w:rPr>
          <w:rFonts w:ascii="Calibri" w:eastAsia="Calibri" w:hAnsi="Calibri"/>
          <w:szCs w:val="22"/>
          <w:lang w:eastAsia="en-US"/>
        </w:rPr>
        <w:t>pre kvalitu produktov;</w:t>
      </w:r>
    </w:p>
    <w:p w:rsidR="008676F9" w:rsidRPr="008676F9" w:rsidRDefault="008676F9" w:rsidP="001F5283">
      <w:pPr>
        <w:numPr>
          <w:ilvl w:val="0"/>
          <w:numId w:val="74"/>
        </w:numPr>
        <w:rPr>
          <w:rFonts w:ascii="Calibri" w:eastAsia="Calibri" w:hAnsi="Calibri"/>
          <w:szCs w:val="22"/>
          <w:lang w:eastAsia="en-US"/>
        </w:rPr>
      </w:pPr>
      <w:r w:rsidRPr="008676F9">
        <w:rPr>
          <w:rFonts w:ascii="Calibri" w:eastAsia="Calibri" w:hAnsi="Calibri"/>
          <w:szCs w:val="22"/>
          <w:lang w:eastAsia="en-US"/>
        </w:rPr>
        <w:t>pre umiestňovanie výrobkov na trh, resp. do spracovateľských podnikov, resp. do školských zariadení v prípade školského mlieka;</w:t>
      </w:r>
    </w:p>
    <w:p w:rsidR="008676F9" w:rsidRPr="008676F9" w:rsidRDefault="008676F9" w:rsidP="001F5283">
      <w:pPr>
        <w:numPr>
          <w:ilvl w:val="0"/>
          <w:numId w:val="75"/>
        </w:numPr>
        <w:spacing w:after="120"/>
        <w:ind w:hanging="357"/>
        <w:rPr>
          <w:rFonts w:ascii="Calibri" w:eastAsia="Calibri" w:hAnsi="Calibri"/>
          <w:szCs w:val="22"/>
          <w:lang w:eastAsia="en-US"/>
        </w:rPr>
      </w:pPr>
      <w:r w:rsidRPr="008676F9">
        <w:rPr>
          <w:rFonts w:ascii="Calibri" w:eastAsia="Calibri" w:hAnsi="Calibri"/>
          <w:szCs w:val="22"/>
          <w:lang w:eastAsia="en-US"/>
        </w:rPr>
        <w:t>pre výrobné informácie najmä so zreteľom na zber úrody/produkciu a dostupnosť.</w:t>
      </w:r>
    </w:p>
    <w:p w:rsidR="008676F9" w:rsidRPr="008676F9" w:rsidRDefault="008676F9" w:rsidP="001F5283">
      <w:pPr>
        <w:numPr>
          <w:ilvl w:val="0"/>
          <w:numId w:val="68"/>
        </w:numPr>
        <w:tabs>
          <w:tab w:val="num" w:pos="360"/>
        </w:tabs>
        <w:spacing w:after="120"/>
        <w:ind w:left="360" w:hanging="357"/>
        <w:rPr>
          <w:rFonts w:ascii="Calibri" w:eastAsia="Calibri" w:hAnsi="Calibri"/>
          <w:szCs w:val="22"/>
          <w:lang w:eastAsia="en-US"/>
        </w:rPr>
      </w:pPr>
      <w:r w:rsidRPr="008676F9">
        <w:rPr>
          <w:rFonts w:ascii="Calibri" w:eastAsia="Calibri" w:hAnsi="Calibri"/>
          <w:szCs w:val="22"/>
          <w:lang w:eastAsia="en-US"/>
        </w:rPr>
        <w:t xml:space="preserve">hlavnou činnosťou </w:t>
      </w:r>
      <w:r w:rsidR="00ED7832">
        <w:rPr>
          <w:rFonts w:ascii="Calibri" w:eastAsia="Calibri" w:hAnsi="Calibri"/>
          <w:szCs w:val="22"/>
          <w:lang w:eastAsia="en-US"/>
        </w:rPr>
        <w:t>SaOV</w:t>
      </w:r>
      <w:r w:rsidRPr="008676F9">
        <w:rPr>
          <w:rFonts w:ascii="Calibri" w:eastAsia="Calibri" w:hAnsi="Calibri"/>
          <w:szCs w:val="22"/>
          <w:lang w:eastAsia="en-US"/>
        </w:rPr>
        <w:t xml:space="preserve"> je spoločný odbyt produktov svojich členov, na ktoré bola </w:t>
      </w:r>
      <w:r w:rsidR="00ED7832">
        <w:rPr>
          <w:rFonts w:ascii="Calibri" w:eastAsia="Calibri" w:hAnsi="Calibri"/>
          <w:szCs w:val="22"/>
          <w:lang w:eastAsia="en-US"/>
        </w:rPr>
        <w:t>SaOV</w:t>
      </w:r>
      <w:r w:rsidRPr="008676F9">
        <w:rPr>
          <w:rFonts w:ascii="Calibri" w:eastAsia="Calibri" w:hAnsi="Calibri"/>
          <w:szCs w:val="22"/>
          <w:lang w:eastAsia="en-US"/>
        </w:rPr>
        <w:t xml:space="preserve"> uznaná, pričom nesmie nakupovať a predávať produkty aj od nečlenských subjektov, okrem prípadov ak </w:t>
      </w:r>
      <w:r w:rsidR="00ED7832">
        <w:rPr>
          <w:rFonts w:ascii="Calibri" w:eastAsia="Calibri" w:hAnsi="Calibri"/>
          <w:szCs w:val="22"/>
          <w:lang w:eastAsia="en-US"/>
        </w:rPr>
        <w:t>SaOV</w:t>
      </w:r>
      <w:r w:rsidRPr="008676F9">
        <w:rPr>
          <w:rFonts w:ascii="Calibri" w:eastAsia="Calibri" w:hAnsi="Calibri"/>
          <w:szCs w:val="22"/>
          <w:lang w:eastAsia="en-US"/>
        </w:rPr>
        <w:t xml:space="preserve"> musí splniť dodávateľské záväzky za svojho člena, ktorý nedodal dohodnuté množstvo, pričom množstvo produktu nakúpeného od nečlenských subjektov nepresiahne 20 % množstva naturálneho objemu stanoveného členskými subjektmi na príslušný hospodársky rok;</w:t>
      </w:r>
    </w:p>
    <w:p w:rsidR="008676F9" w:rsidRPr="008676F9" w:rsidRDefault="00ED7832" w:rsidP="001F5283">
      <w:pPr>
        <w:numPr>
          <w:ilvl w:val="0"/>
          <w:numId w:val="68"/>
        </w:numPr>
        <w:tabs>
          <w:tab w:val="num" w:pos="360"/>
        </w:tabs>
        <w:spacing w:after="120"/>
        <w:ind w:left="360" w:hanging="357"/>
        <w:rPr>
          <w:rFonts w:ascii="Calibri" w:eastAsia="Calibri" w:hAnsi="Calibri"/>
          <w:szCs w:val="22"/>
          <w:lang w:eastAsia="en-US"/>
        </w:rPr>
      </w:pPr>
      <w:r>
        <w:rPr>
          <w:rFonts w:ascii="Calibri" w:eastAsia="Calibri" w:hAnsi="Calibri"/>
          <w:szCs w:val="22"/>
          <w:lang w:eastAsia="en-US"/>
        </w:rPr>
        <w:t>SaOV</w:t>
      </w:r>
      <w:r w:rsidR="008676F9" w:rsidRPr="008676F9">
        <w:rPr>
          <w:rFonts w:ascii="Calibri" w:eastAsia="Calibri" w:hAnsi="Calibri"/>
          <w:szCs w:val="22"/>
          <w:lang w:eastAsia="en-US"/>
        </w:rPr>
        <w:t xml:space="preserve"> vedie samostatné účtovníctvo, z ktorého sa dá zistiť podiel a výška hlavnej činnosti, pre potreby určenia výšky paušálnej platby;  </w:t>
      </w:r>
    </w:p>
    <w:p w:rsidR="008676F9" w:rsidRPr="008676F9" w:rsidRDefault="00ED7832" w:rsidP="001F5283">
      <w:pPr>
        <w:numPr>
          <w:ilvl w:val="0"/>
          <w:numId w:val="68"/>
        </w:numPr>
        <w:tabs>
          <w:tab w:val="num" w:pos="360"/>
        </w:tabs>
        <w:spacing w:after="120"/>
        <w:ind w:left="363" w:hanging="357"/>
        <w:rPr>
          <w:rFonts w:ascii="Calibri" w:eastAsia="Calibri" w:hAnsi="Calibri"/>
          <w:szCs w:val="22"/>
          <w:lang w:eastAsia="en-US"/>
        </w:rPr>
      </w:pPr>
      <w:r>
        <w:rPr>
          <w:rFonts w:ascii="Calibri" w:eastAsia="Calibri" w:hAnsi="Calibri"/>
          <w:szCs w:val="22"/>
          <w:lang w:eastAsia="en-US"/>
        </w:rPr>
        <w:t xml:space="preserve">SaOV </w:t>
      </w:r>
      <w:r w:rsidR="008676F9" w:rsidRPr="008676F9">
        <w:rPr>
          <w:rFonts w:ascii="Calibri" w:eastAsia="Calibri" w:hAnsi="Calibri"/>
          <w:szCs w:val="22"/>
          <w:lang w:eastAsia="en-US"/>
        </w:rPr>
        <w:t xml:space="preserve">nesmie uzatvárať kartelové, prípadne iné dohody, ktoré by obmedzovali súťaž na trhu; </w:t>
      </w:r>
    </w:p>
    <w:p w:rsidR="008676F9" w:rsidRPr="008676F9" w:rsidRDefault="00ED7832" w:rsidP="001F5283">
      <w:pPr>
        <w:numPr>
          <w:ilvl w:val="0"/>
          <w:numId w:val="68"/>
        </w:numPr>
        <w:tabs>
          <w:tab w:val="num" w:pos="360"/>
        </w:tabs>
        <w:ind w:left="360"/>
        <w:rPr>
          <w:rFonts w:ascii="Calibri" w:eastAsia="Calibri" w:hAnsi="Calibri"/>
          <w:szCs w:val="22"/>
          <w:lang w:eastAsia="en-US"/>
        </w:rPr>
      </w:pPr>
      <w:r>
        <w:rPr>
          <w:rFonts w:ascii="Calibri" w:eastAsia="Calibri" w:hAnsi="Calibri"/>
          <w:szCs w:val="22"/>
          <w:lang w:eastAsia="en-US"/>
        </w:rPr>
        <w:t>SaOV</w:t>
      </w:r>
      <w:r w:rsidR="008676F9" w:rsidRPr="008676F9">
        <w:rPr>
          <w:rFonts w:ascii="Calibri" w:eastAsia="Calibri" w:hAnsi="Calibri"/>
          <w:szCs w:val="22"/>
          <w:lang w:eastAsia="en-US"/>
        </w:rPr>
        <w:t xml:space="preserve"> sa zaviaže poskytovať informácie pre potreby rezortnej štatistiky, umožniť prístup finančným a kontrolným orgánom do svojich prevádzkových priestorov a účtovných dokladov. </w:t>
      </w:r>
    </w:p>
    <w:p w:rsidR="008676F9" w:rsidRPr="008676F9" w:rsidRDefault="008676F9" w:rsidP="006F5151">
      <w:pPr>
        <w:rPr>
          <w:rFonts w:ascii="Calibri" w:eastAsia="Calibri" w:hAnsi="Calibri" w:cs="Calibri"/>
          <w:szCs w:val="22"/>
        </w:rPr>
      </w:pPr>
    </w:p>
    <w:p w:rsidR="008676F9" w:rsidRPr="008676F9" w:rsidRDefault="008676F9" w:rsidP="006F5151">
      <w:pPr>
        <w:rPr>
          <w:rFonts w:ascii="Calibri" w:eastAsia="Calibri" w:hAnsi="Calibri" w:cs="Calibri"/>
          <w:szCs w:val="22"/>
          <w:u w:val="single"/>
        </w:rPr>
      </w:pPr>
      <w:r w:rsidRPr="008676F9">
        <w:rPr>
          <w:rFonts w:ascii="Calibri" w:eastAsia="Calibri" w:hAnsi="Calibri" w:cs="Calibri"/>
          <w:szCs w:val="22"/>
          <w:u w:val="single"/>
        </w:rPr>
        <w:t>Ďalšie informácie špecifické pre opatrenie</w:t>
      </w:r>
    </w:p>
    <w:p w:rsidR="008676F9" w:rsidRPr="008676F9" w:rsidRDefault="008676F9" w:rsidP="006F5151">
      <w:pPr>
        <w:rPr>
          <w:rFonts w:ascii="Calibri" w:eastAsia="Calibri" w:hAnsi="Calibri" w:cs="Calibri"/>
          <w:szCs w:val="22"/>
        </w:rPr>
      </w:pPr>
      <w:r w:rsidRPr="008676F9">
        <w:rPr>
          <w:rFonts w:ascii="Calibri" w:eastAsia="Calibri" w:hAnsi="Calibri" w:cs="Calibri"/>
          <w:szCs w:val="22"/>
        </w:rPr>
        <w:t>Opis oficiálneho postupu uznávania skupín:</w:t>
      </w:r>
    </w:p>
    <w:p w:rsidR="008676F9" w:rsidRPr="008676F9" w:rsidRDefault="008676F9" w:rsidP="006F5151">
      <w:pPr>
        <w:rPr>
          <w:rFonts w:ascii="Calibri" w:eastAsia="Calibri" w:hAnsi="Calibri" w:cs="Calibri"/>
          <w:szCs w:val="22"/>
        </w:rPr>
      </w:pPr>
      <w:r w:rsidRPr="008676F9">
        <w:rPr>
          <w:rFonts w:ascii="Calibri" w:eastAsia="Calibri" w:hAnsi="Calibri" w:cs="Calibri"/>
          <w:bCs/>
          <w:szCs w:val="22"/>
          <w:lang w:eastAsia="en-US"/>
        </w:rPr>
        <w:t xml:space="preserve">Oficiálne uznanie </w:t>
      </w:r>
      <w:r w:rsidR="00ED7832">
        <w:rPr>
          <w:rFonts w:ascii="Calibri" w:eastAsia="Calibri" w:hAnsi="Calibri" w:cs="Calibri"/>
          <w:bCs/>
          <w:szCs w:val="22"/>
          <w:lang w:eastAsia="en-US"/>
        </w:rPr>
        <w:t>skupín a organizácií</w:t>
      </w:r>
      <w:r w:rsidRPr="008676F9">
        <w:rPr>
          <w:rFonts w:ascii="Calibri" w:eastAsia="Calibri" w:hAnsi="Calibri" w:cs="Calibri"/>
          <w:bCs/>
          <w:szCs w:val="22"/>
          <w:lang w:eastAsia="en-US"/>
        </w:rPr>
        <w:t xml:space="preserve"> výrobcov</w:t>
      </w:r>
      <w:r w:rsidR="00ED7832">
        <w:rPr>
          <w:rFonts w:ascii="Calibri" w:eastAsia="Calibri" w:hAnsi="Calibri" w:cs="Calibri"/>
          <w:bCs/>
          <w:szCs w:val="22"/>
          <w:lang w:eastAsia="en-US"/>
        </w:rPr>
        <w:t xml:space="preserve"> MPRV SR</w:t>
      </w:r>
      <w:r w:rsidRPr="008676F9">
        <w:rPr>
          <w:rFonts w:ascii="Calibri" w:eastAsia="Calibri" w:hAnsi="Calibri" w:cs="Calibri"/>
          <w:bCs/>
          <w:szCs w:val="22"/>
          <w:lang w:eastAsia="en-US"/>
        </w:rPr>
        <w:t xml:space="preserve"> dochádza na základe podnikateľského plánu, ktorý musí obsahovať informácie o plánovaných aktivitách organizácie</w:t>
      </w:r>
      <w:r w:rsidRPr="008676F9">
        <w:rPr>
          <w:rFonts w:ascii="Calibri" w:eastAsia="Calibri" w:hAnsi="Calibri"/>
          <w:szCs w:val="22"/>
          <w:lang w:eastAsia="en-US"/>
        </w:rPr>
        <w:t xml:space="preserve">. PPA v priebehu spracovania ŽoNFP </w:t>
      </w:r>
      <w:r w:rsidR="00E24A2A">
        <w:rPr>
          <w:rFonts w:ascii="Calibri" w:eastAsia="Calibri" w:hAnsi="Calibri"/>
          <w:szCs w:val="22"/>
          <w:lang w:eastAsia="en-US"/>
        </w:rPr>
        <w:t>overí</w:t>
      </w:r>
      <w:r w:rsidRPr="008676F9">
        <w:rPr>
          <w:rFonts w:ascii="Calibri" w:eastAsia="Calibri" w:hAnsi="Calibri"/>
          <w:szCs w:val="22"/>
          <w:lang w:eastAsia="en-US"/>
        </w:rPr>
        <w:t xml:space="preserve"> splnen</w:t>
      </w:r>
      <w:r w:rsidR="00E24A2A">
        <w:rPr>
          <w:rFonts w:ascii="Calibri" w:eastAsia="Calibri" w:hAnsi="Calibri"/>
          <w:szCs w:val="22"/>
          <w:lang w:eastAsia="en-US"/>
        </w:rPr>
        <w:t>ie</w:t>
      </w:r>
      <w:r w:rsidRPr="008676F9">
        <w:rPr>
          <w:rFonts w:ascii="Calibri" w:eastAsia="Calibri" w:hAnsi="Calibri"/>
          <w:szCs w:val="22"/>
          <w:lang w:eastAsia="en-US"/>
        </w:rPr>
        <w:t xml:space="preserve"> kritérií spôsobilosti</w:t>
      </w:r>
      <w:r w:rsidR="00ED7832">
        <w:rPr>
          <w:rFonts w:ascii="Calibri" w:eastAsia="Calibri" w:hAnsi="Calibri"/>
          <w:szCs w:val="22"/>
          <w:lang w:eastAsia="en-US"/>
        </w:rPr>
        <w:t xml:space="preserve"> SaOV a jej uznania MPRV SR</w:t>
      </w:r>
      <w:r w:rsidRPr="008676F9">
        <w:rPr>
          <w:rFonts w:ascii="Calibri" w:eastAsia="Calibri" w:hAnsi="Calibri"/>
          <w:szCs w:val="22"/>
          <w:lang w:eastAsia="en-US"/>
        </w:rPr>
        <w:t xml:space="preserve">, pričom si </w:t>
      </w:r>
      <w:r w:rsidR="00ED7832">
        <w:rPr>
          <w:rFonts w:ascii="Calibri" w:eastAsia="Calibri" w:hAnsi="Calibri"/>
          <w:szCs w:val="22"/>
          <w:lang w:eastAsia="en-US"/>
        </w:rPr>
        <w:t>SaOV</w:t>
      </w:r>
      <w:r w:rsidRPr="008676F9">
        <w:rPr>
          <w:rFonts w:ascii="Calibri" w:eastAsia="Calibri" w:hAnsi="Calibri"/>
          <w:szCs w:val="22"/>
          <w:lang w:eastAsia="en-US"/>
        </w:rPr>
        <w:t xml:space="preserve"> môže uplatniť tržby z predaja produkcie odo dňa 1. januára príslušného kalendárneho roka, v ktorom podala ŽoNFP, resp. dňom vzniku oprávnenia na výkon podnikateľskej činnosti </w:t>
      </w:r>
      <w:r w:rsidR="00ED7832">
        <w:rPr>
          <w:rFonts w:ascii="Calibri" w:eastAsia="Calibri" w:hAnsi="Calibri"/>
          <w:szCs w:val="22"/>
          <w:lang w:eastAsia="en-US"/>
        </w:rPr>
        <w:t>SaOV</w:t>
      </w:r>
      <w:r w:rsidRPr="008676F9">
        <w:rPr>
          <w:rFonts w:ascii="Calibri" w:eastAsia="Calibri" w:hAnsi="Calibri"/>
          <w:szCs w:val="22"/>
          <w:lang w:eastAsia="en-US"/>
        </w:rPr>
        <w:t xml:space="preserve"> (ak je tento po 1. januári príslušného kalendárneho roka</w:t>
      </w:r>
      <w:r w:rsidR="00ED7832">
        <w:rPr>
          <w:rFonts w:ascii="Calibri" w:eastAsia="Calibri" w:hAnsi="Calibri"/>
          <w:szCs w:val="22"/>
          <w:lang w:eastAsia="en-US"/>
        </w:rPr>
        <w:t>,</w:t>
      </w:r>
      <w:r w:rsidRPr="008676F9">
        <w:rPr>
          <w:rFonts w:ascii="Calibri" w:eastAsia="Calibri" w:hAnsi="Calibri"/>
          <w:szCs w:val="22"/>
          <w:lang w:eastAsia="en-US"/>
        </w:rPr>
        <w:t xml:space="preserve"> v ktorom </w:t>
      </w:r>
      <w:r w:rsidR="00ED7832">
        <w:rPr>
          <w:rFonts w:ascii="Calibri" w:eastAsia="Calibri" w:hAnsi="Calibri"/>
          <w:szCs w:val="22"/>
          <w:lang w:eastAsia="en-US"/>
        </w:rPr>
        <w:t>SaOV</w:t>
      </w:r>
      <w:r w:rsidRPr="008676F9">
        <w:rPr>
          <w:rFonts w:ascii="Calibri" w:eastAsia="Calibri" w:hAnsi="Calibri"/>
          <w:szCs w:val="22"/>
          <w:lang w:eastAsia="en-US"/>
        </w:rPr>
        <w:t xml:space="preserve"> podala ŽoNFP). </w:t>
      </w:r>
      <w:r w:rsidRPr="008676F9">
        <w:rPr>
          <w:rFonts w:ascii="Calibri" w:eastAsia="Calibri" w:hAnsi="Calibri"/>
          <w:color w:val="000000"/>
          <w:szCs w:val="22"/>
          <w:lang w:eastAsia="en-US"/>
        </w:rPr>
        <w:t xml:space="preserve">Výnimku tvoria ŽoNFP v rámci prvej </w:t>
      </w:r>
      <w:r w:rsidR="00ED7832">
        <w:rPr>
          <w:rFonts w:ascii="Calibri" w:eastAsia="Calibri" w:hAnsi="Calibri"/>
          <w:color w:val="000000"/>
          <w:szCs w:val="22"/>
          <w:lang w:eastAsia="en-US"/>
        </w:rPr>
        <w:t>v</w:t>
      </w:r>
      <w:r w:rsidRPr="008676F9">
        <w:rPr>
          <w:rFonts w:ascii="Calibri" w:eastAsia="Calibri" w:hAnsi="Calibri"/>
          <w:color w:val="000000"/>
          <w:szCs w:val="22"/>
          <w:lang w:eastAsia="en-US"/>
        </w:rPr>
        <w:t xml:space="preserve">ýzvy, kde si žiadatelia môžu uplatniť tržby od </w:t>
      </w:r>
      <w:r w:rsidR="002E6EC8">
        <w:rPr>
          <w:rFonts w:ascii="Calibri" w:eastAsia="Calibri" w:hAnsi="Calibri"/>
          <w:color w:val="000000"/>
          <w:szCs w:val="22"/>
          <w:lang w:eastAsia="en-US"/>
        </w:rPr>
        <w:t>dátumu podania ŽoNFP</w:t>
      </w:r>
      <w:r w:rsidRPr="008676F9">
        <w:rPr>
          <w:rFonts w:ascii="Calibri" w:eastAsia="Calibri" w:hAnsi="Calibri"/>
          <w:color w:val="000000"/>
          <w:szCs w:val="22"/>
          <w:lang w:eastAsia="en-US"/>
        </w:rPr>
        <w:t>.</w:t>
      </w:r>
    </w:p>
    <w:p w:rsidR="008676F9" w:rsidRPr="008676F9" w:rsidRDefault="008676F9" w:rsidP="006F5151">
      <w:pPr>
        <w:ind w:left="851" w:hanging="851"/>
        <w:rPr>
          <w:rFonts w:ascii="Calibri" w:eastAsia="Calibri" w:hAnsi="Calibri" w:cs="Calibri"/>
          <w:b/>
          <w:bCs/>
          <w:szCs w:val="22"/>
          <w:lang w:eastAsia="en-US"/>
        </w:rPr>
      </w:pPr>
      <w:r w:rsidRPr="008676F9">
        <w:rPr>
          <w:rFonts w:ascii="Calibri" w:eastAsia="Calibri" w:hAnsi="Calibri" w:cs="Calibri"/>
          <w:b/>
          <w:bCs/>
          <w:szCs w:val="22"/>
          <w:lang w:eastAsia="en-US"/>
        </w:rPr>
        <w:t>8.2.8.4. Overiteľnosť a kontrolovateľnosť opatrenia:</w:t>
      </w:r>
    </w:p>
    <w:p w:rsidR="008676F9" w:rsidRPr="008676F9" w:rsidRDefault="008676F9" w:rsidP="006F5151">
      <w:pPr>
        <w:rPr>
          <w:rFonts w:ascii="Calibri" w:eastAsia="Calibri" w:hAnsi="Calibri" w:cs="Calibri"/>
          <w:szCs w:val="22"/>
          <w:u w:val="single"/>
        </w:rPr>
      </w:pPr>
      <w:r w:rsidRPr="008676F9">
        <w:rPr>
          <w:rFonts w:ascii="Calibri" w:eastAsia="Calibri" w:hAnsi="Calibri" w:cs="Calibri"/>
          <w:szCs w:val="22"/>
          <w:u w:val="single"/>
        </w:rPr>
        <w:t>Riziko implementácie opatrenia:</w:t>
      </w:r>
    </w:p>
    <w:p w:rsidR="008676F9" w:rsidRPr="008676F9" w:rsidRDefault="008676F9" w:rsidP="00955DA4">
      <w:pPr>
        <w:numPr>
          <w:ilvl w:val="0"/>
          <w:numId w:val="211"/>
        </w:numPr>
        <w:rPr>
          <w:rFonts w:ascii="Calibri" w:hAnsi="Calibri" w:cs="Calibri"/>
          <w:szCs w:val="22"/>
        </w:rPr>
      </w:pPr>
      <w:r w:rsidRPr="008676F9">
        <w:rPr>
          <w:rFonts w:ascii="Calibri" w:hAnsi="Calibri" w:cs="Calibri"/>
          <w:szCs w:val="22"/>
        </w:rPr>
        <w:t xml:space="preserve">Výška oprávnených nákladov. </w:t>
      </w:r>
    </w:p>
    <w:p w:rsidR="008676F9" w:rsidRPr="008676F9" w:rsidRDefault="008676F9" w:rsidP="00955DA4">
      <w:pPr>
        <w:numPr>
          <w:ilvl w:val="0"/>
          <w:numId w:val="211"/>
        </w:numPr>
        <w:rPr>
          <w:rFonts w:ascii="Calibri" w:hAnsi="Calibri" w:cs="Calibri"/>
          <w:szCs w:val="22"/>
        </w:rPr>
      </w:pPr>
      <w:r w:rsidRPr="008676F9">
        <w:rPr>
          <w:rFonts w:ascii="Calibri" w:hAnsi="Calibri" w:cs="Calibri"/>
          <w:szCs w:val="22"/>
        </w:rPr>
        <w:t xml:space="preserve">Presun členov z jednej podporenej </w:t>
      </w:r>
      <w:r w:rsidR="00ED7832">
        <w:rPr>
          <w:rFonts w:ascii="Calibri" w:hAnsi="Calibri" w:cs="Calibri"/>
          <w:szCs w:val="22"/>
        </w:rPr>
        <w:t>SaOV</w:t>
      </w:r>
      <w:r w:rsidRPr="008676F9">
        <w:rPr>
          <w:rFonts w:ascii="Calibri" w:hAnsi="Calibri" w:cs="Calibri"/>
          <w:szCs w:val="22"/>
        </w:rPr>
        <w:t xml:space="preserve"> do ďalšej </w:t>
      </w:r>
      <w:r w:rsidR="00ED7832">
        <w:rPr>
          <w:rFonts w:ascii="Calibri" w:hAnsi="Calibri" w:cs="Calibri"/>
          <w:szCs w:val="22"/>
        </w:rPr>
        <w:t>SaOV</w:t>
      </w:r>
      <w:r w:rsidRPr="008676F9">
        <w:rPr>
          <w:rFonts w:ascii="Calibri" w:hAnsi="Calibri" w:cs="Calibri"/>
          <w:szCs w:val="22"/>
        </w:rPr>
        <w:t xml:space="preserve"> za účelom čerpania financií za tým istým účelom dvakrát, resp. formálne zakladania </w:t>
      </w:r>
      <w:r w:rsidR="00ED7832">
        <w:rPr>
          <w:rFonts w:ascii="Calibri" w:hAnsi="Calibri" w:cs="Calibri"/>
          <w:szCs w:val="22"/>
        </w:rPr>
        <w:t>SaOV</w:t>
      </w:r>
      <w:r w:rsidRPr="008676F9">
        <w:rPr>
          <w:rFonts w:ascii="Calibri" w:hAnsi="Calibri" w:cs="Calibri"/>
          <w:szCs w:val="22"/>
        </w:rPr>
        <w:t xml:space="preserve"> len za účelom čerpania finančnej podpory a po jej ukončení okamžitý zánik </w:t>
      </w:r>
      <w:r w:rsidR="00ED7832">
        <w:rPr>
          <w:rFonts w:ascii="Calibri" w:hAnsi="Calibri" w:cs="Calibri"/>
          <w:szCs w:val="22"/>
        </w:rPr>
        <w:t>SaOV</w:t>
      </w:r>
      <w:r w:rsidRPr="008676F9">
        <w:rPr>
          <w:rFonts w:ascii="Calibri" w:hAnsi="Calibri" w:cs="Calibri"/>
          <w:szCs w:val="22"/>
        </w:rPr>
        <w:t xml:space="preserve">, resp. ukončenie činnosti po 5 rokoch a vytvorenie novej </w:t>
      </w:r>
      <w:r w:rsidR="00ED7832">
        <w:rPr>
          <w:rFonts w:ascii="Calibri" w:hAnsi="Calibri" w:cs="Calibri"/>
          <w:szCs w:val="22"/>
        </w:rPr>
        <w:t>SaOV</w:t>
      </w:r>
      <w:r w:rsidRPr="008676F9">
        <w:rPr>
          <w:rFonts w:ascii="Calibri" w:hAnsi="Calibri" w:cs="Calibri"/>
          <w:szCs w:val="22"/>
        </w:rPr>
        <w:t xml:space="preserve"> pod iným názvom za účelom čerpania podpory v rámci tohto opatrenia.</w:t>
      </w:r>
    </w:p>
    <w:p w:rsidR="008676F9" w:rsidRPr="008676F9" w:rsidRDefault="008676F9" w:rsidP="006F5151">
      <w:pPr>
        <w:rPr>
          <w:rFonts w:ascii="Calibri" w:eastAsia="Calibri" w:hAnsi="Calibri" w:cs="Calibri"/>
          <w:szCs w:val="22"/>
          <w:u w:val="single"/>
        </w:rPr>
      </w:pPr>
    </w:p>
    <w:p w:rsidR="008676F9" w:rsidRPr="008676F9" w:rsidRDefault="008676F9" w:rsidP="006F5151">
      <w:pPr>
        <w:rPr>
          <w:rFonts w:ascii="Calibri" w:eastAsia="Calibri" w:hAnsi="Calibri" w:cs="Calibri"/>
          <w:szCs w:val="22"/>
          <w:u w:val="single"/>
        </w:rPr>
      </w:pPr>
      <w:r w:rsidRPr="008676F9">
        <w:rPr>
          <w:rFonts w:ascii="Calibri" w:eastAsia="Calibri" w:hAnsi="Calibri" w:cs="Calibri"/>
          <w:szCs w:val="22"/>
          <w:u w:val="single"/>
        </w:rPr>
        <w:t>Opatrenia na zmiernenie rizika implementácie</w:t>
      </w:r>
    </w:p>
    <w:p w:rsidR="008676F9" w:rsidRPr="008676F9" w:rsidRDefault="008676F9" w:rsidP="006F5151">
      <w:pPr>
        <w:rPr>
          <w:rFonts w:ascii="Calibri" w:eastAsia="Calibri" w:hAnsi="Calibri" w:cs="Calibri"/>
          <w:szCs w:val="22"/>
          <w:u w:val="single"/>
        </w:rPr>
      </w:pPr>
      <w:r w:rsidRPr="008676F9">
        <w:rPr>
          <w:rFonts w:ascii="Calibri" w:eastAsia="Calibri" w:hAnsi="Calibri" w:cs="Calibri"/>
          <w:szCs w:val="22"/>
        </w:rPr>
        <w:t xml:space="preserve">Overiteľnosť a kontrolovateľnosť je zabezpečená systémom administratívnych kontrol a kontrol na mieste v zmysle legislatívy upravujúcej kontroly opatrení. </w:t>
      </w:r>
    </w:p>
    <w:p w:rsidR="008676F9" w:rsidRPr="008676F9" w:rsidRDefault="008676F9" w:rsidP="006F5151">
      <w:pPr>
        <w:rPr>
          <w:rFonts w:ascii="Calibri" w:eastAsia="Calibri" w:hAnsi="Calibri" w:cs="Calibri"/>
          <w:szCs w:val="22"/>
          <w:u w:val="single"/>
        </w:rPr>
      </w:pPr>
    </w:p>
    <w:p w:rsidR="008676F9" w:rsidRPr="008676F9" w:rsidRDefault="008676F9" w:rsidP="006F5151">
      <w:pPr>
        <w:rPr>
          <w:rFonts w:ascii="Calibri" w:eastAsia="Calibri" w:hAnsi="Calibri" w:cs="Calibri"/>
          <w:szCs w:val="22"/>
          <w:u w:val="single"/>
        </w:rPr>
      </w:pPr>
      <w:r w:rsidRPr="008676F9">
        <w:rPr>
          <w:rFonts w:ascii="Calibri" w:eastAsia="Calibri" w:hAnsi="Calibri" w:cs="Calibri"/>
          <w:szCs w:val="22"/>
          <w:u w:val="single"/>
        </w:rPr>
        <w:t>Celkové posúdenie opatrenia:</w:t>
      </w:r>
    </w:p>
    <w:p w:rsidR="008676F9" w:rsidRPr="008676F9" w:rsidRDefault="008676F9" w:rsidP="006F5151">
      <w:pPr>
        <w:rPr>
          <w:rFonts w:ascii="Calibri" w:eastAsia="Calibri" w:hAnsi="Calibri" w:cs="Calibri"/>
          <w:szCs w:val="22"/>
        </w:rPr>
      </w:pPr>
      <w:r w:rsidRPr="008676F9">
        <w:rPr>
          <w:rFonts w:ascii="Calibri" w:eastAsia="Calibri" w:hAnsi="Calibri" w:cs="Calibri"/>
          <w:szCs w:val="22"/>
        </w:rPr>
        <w:t>Pri danom opatrení je možné dokumentovať stav pred a následne efektívne skontrolovať finančné parametre fyzickou kontrolou oprávnených výdavkov na mieste po ukončení platnosti paušálnej platby a taktiež oprávnenosť výdavkov administratívnou kontrolou.</w:t>
      </w:r>
    </w:p>
    <w:p w:rsidR="008676F9" w:rsidRPr="008676F9" w:rsidRDefault="008676F9" w:rsidP="006F5151">
      <w:pPr>
        <w:rPr>
          <w:rFonts w:ascii="Calibri" w:eastAsia="Calibri" w:hAnsi="Calibri" w:cs="Calibri"/>
          <w:szCs w:val="22"/>
        </w:rPr>
      </w:pPr>
    </w:p>
    <w:p w:rsidR="008676F9" w:rsidRPr="008676F9" w:rsidRDefault="008676F9" w:rsidP="006F5151">
      <w:pPr>
        <w:rPr>
          <w:rFonts w:ascii="Calibri" w:eastAsia="Calibri" w:hAnsi="Calibri" w:cs="Calibri"/>
          <w:b/>
          <w:szCs w:val="22"/>
        </w:rPr>
      </w:pPr>
      <w:r w:rsidRPr="008676F9">
        <w:rPr>
          <w:rFonts w:ascii="Calibri" w:eastAsia="Calibri" w:hAnsi="Calibri" w:cs="Calibri"/>
          <w:b/>
          <w:szCs w:val="22"/>
        </w:rPr>
        <w:t>8.2.8.5. Metodika výpočtu výšky podpory:</w:t>
      </w:r>
    </w:p>
    <w:p w:rsidR="008676F9" w:rsidRPr="008676F9" w:rsidRDefault="008676F9" w:rsidP="006F5151">
      <w:pPr>
        <w:rPr>
          <w:rFonts w:ascii="Calibri" w:eastAsia="Calibri" w:hAnsi="Calibri" w:cs="Calibri"/>
          <w:szCs w:val="22"/>
        </w:rPr>
      </w:pPr>
      <w:r w:rsidRPr="008676F9">
        <w:rPr>
          <w:rFonts w:ascii="Calibri" w:eastAsia="Calibri" w:hAnsi="Calibri" w:cs="Calibri"/>
          <w:szCs w:val="22"/>
        </w:rPr>
        <w:t xml:space="preserve">Podpora sa vypočíta na základe ročného odbytu produkcie </w:t>
      </w:r>
      <w:r w:rsidR="00ED7832">
        <w:rPr>
          <w:rFonts w:ascii="Calibri" w:eastAsia="Calibri" w:hAnsi="Calibri" w:cs="Calibri"/>
          <w:szCs w:val="22"/>
        </w:rPr>
        <w:t>SaOV</w:t>
      </w:r>
      <w:r w:rsidRPr="008676F9">
        <w:rPr>
          <w:rFonts w:ascii="Calibri" w:eastAsia="Calibri" w:hAnsi="Calibri" w:cs="Calibri"/>
          <w:szCs w:val="22"/>
        </w:rPr>
        <w:t xml:space="preserve">. V prvom roku sa podpora vypočíta z priemernej ročnej hodnoty odbytu produkcie členov </w:t>
      </w:r>
      <w:r w:rsidR="00ED7832">
        <w:rPr>
          <w:rFonts w:ascii="Calibri" w:eastAsia="Calibri" w:hAnsi="Calibri" w:cs="Calibri"/>
          <w:szCs w:val="22"/>
        </w:rPr>
        <w:t>SaOV</w:t>
      </w:r>
      <w:r w:rsidRPr="008676F9">
        <w:rPr>
          <w:rFonts w:ascii="Calibri" w:eastAsia="Calibri" w:hAnsi="Calibri" w:cs="Calibri"/>
          <w:szCs w:val="22"/>
        </w:rPr>
        <w:t xml:space="preserve">. </w:t>
      </w:r>
      <w:r w:rsidRPr="008676F9">
        <w:rPr>
          <w:rFonts w:ascii="Calibri" w:eastAsia="Calibri" w:hAnsi="Calibri" w:cs="Calibri"/>
          <w:szCs w:val="22"/>
        </w:rPr>
        <w:br w:type="page"/>
      </w:r>
    </w:p>
    <w:p w:rsidR="008676F9" w:rsidRPr="008676F9" w:rsidRDefault="008676F9" w:rsidP="00AA30CA">
      <w:pPr>
        <w:pStyle w:val="Opatrenie"/>
        <w:rPr>
          <w:rFonts w:eastAsia="Calibri"/>
        </w:rPr>
      </w:pPr>
      <w:bookmarkStart w:id="92" w:name="_Toc387041331"/>
      <w:r w:rsidRPr="008676F9">
        <w:rPr>
          <w:rFonts w:eastAsia="Calibri"/>
        </w:rPr>
        <w:t>8.2.9 OPATRENIE</w:t>
      </w:r>
      <w:r w:rsidRPr="008676F9">
        <w:rPr>
          <w:rFonts w:eastAsia="Calibri"/>
        </w:rPr>
        <w:tab/>
        <w:t xml:space="preserve"> 10 </w:t>
      </w:r>
      <w:r w:rsidRPr="008676F9">
        <w:rPr>
          <w:rFonts w:eastAsia="Calibri"/>
        </w:rPr>
        <w:tab/>
        <w:t>AGROENVIRONMENTÁLNO-KLIMATICKÉ OPATRENIE</w:t>
      </w:r>
      <w:bookmarkEnd w:id="92"/>
    </w:p>
    <w:p w:rsidR="008676F9" w:rsidRPr="008676F9" w:rsidRDefault="008676F9" w:rsidP="006F5151">
      <w:pPr>
        <w:rPr>
          <w:rFonts w:ascii="Calibri" w:eastAsia="Calibri" w:hAnsi="Calibri"/>
          <w:b/>
          <w:bCs/>
          <w:szCs w:val="22"/>
          <w:lang w:eastAsia="en-US"/>
        </w:rPr>
      </w:pPr>
    </w:p>
    <w:p w:rsidR="00ED1FEE" w:rsidRDefault="00A378F5" w:rsidP="00ED1FEE">
      <w:pPr>
        <w:keepNext/>
        <w:outlineLvl w:val="3"/>
        <w:rPr>
          <w:rFonts w:ascii="Calibri" w:hAnsi="Calibri"/>
          <w:b/>
          <w:szCs w:val="22"/>
          <w:lang w:eastAsia="en-GB"/>
        </w:rPr>
      </w:pPr>
      <w:r>
        <w:rPr>
          <w:rFonts w:ascii="Calibri" w:hAnsi="Calibri"/>
          <w:b/>
          <w:szCs w:val="22"/>
          <w:lang w:eastAsia="en-GB"/>
        </w:rPr>
        <w:t>8</w:t>
      </w:r>
      <w:r w:rsidR="00ED1FEE">
        <w:rPr>
          <w:rFonts w:ascii="Calibri" w:hAnsi="Calibri"/>
          <w:b/>
          <w:szCs w:val="22"/>
          <w:lang w:eastAsia="en-GB"/>
        </w:rPr>
        <w:t>.2.9.1. Právny základ</w:t>
      </w:r>
    </w:p>
    <w:p w:rsidR="00ED1FEE" w:rsidRDefault="00ED1FEE" w:rsidP="00955DA4">
      <w:pPr>
        <w:numPr>
          <w:ilvl w:val="0"/>
          <w:numId w:val="141"/>
        </w:numPr>
        <w:ind w:left="142" w:hanging="142"/>
        <w:rPr>
          <w:rFonts w:ascii="Calibri" w:hAnsi="Calibri" w:cs="Calibri"/>
          <w:szCs w:val="22"/>
          <w:lang w:eastAsia="en-US"/>
        </w:rPr>
      </w:pPr>
      <w:r>
        <w:rPr>
          <w:rFonts w:ascii="Calibri" w:eastAsia="Calibri" w:hAnsi="Calibri" w:cs="Calibri"/>
          <w:szCs w:val="22"/>
        </w:rPr>
        <w:t xml:space="preserve">článok 28 nariadenia </w:t>
      </w:r>
      <w:r>
        <w:rPr>
          <w:rFonts w:ascii="Calibri" w:hAnsi="Calibri" w:cs="Calibri"/>
          <w:szCs w:val="22"/>
          <w:lang w:eastAsia="en-US"/>
        </w:rPr>
        <w:t>(EÚ) č. 1305/2013 o podpore rozvoja vidieka z EPFRV</w:t>
      </w:r>
      <w:r>
        <w:rPr>
          <w:rFonts w:ascii="Calibri" w:eastAsia="Calibri" w:hAnsi="Calibri" w:cs="Calibri"/>
          <w:szCs w:val="22"/>
        </w:rPr>
        <w:t>.</w:t>
      </w:r>
    </w:p>
    <w:p w:rsidR="00ED1FEE" w:rsidRDefault="00ED1FEE" w:rsidP="00ED1FEE">
      <w:pPr>
        <w:keepNext/>
        <w:outlineLvl w:val="3"/>
        <w:rPr>
          <w:rFonts w:ascii="Calibri" w:hAnsi="Calibri"/>
          <w:b/>
          <w:szCs w:val="22"/>
          <w:lang w:eastAsia="en-GB"/>
        </w:rPr>
      </w:pPr>
    </w:p>
    <w:p w:rsidR="00ED1FEE" w:rsidRDefault="00ED1FEE" w:rsidP="00ED1FEE">
      <w:pPr>
        <w:keepNext/>
        <w:ind w:left="709" w:hanging="709"/>
        <w:outlineLvl w:val="3"/>
        <w:rPr>
          <w:rFonts w:ascii="Calibri" w:hAnsi="Calibri"/>
          <w:b/>
          <w:szCs w:val="22"/>
          <w:lang w:eastAsia="en-GB"/>
        </w:rPr>
      </w:pPr>
      <w:r>
        <w:rPr>
          <w:rFonts w:ascii="Calibri" w:hAnsi="Calibri"/>
          <w:b/>
          <w:szCs w:val="22"/>
          <w:lang w:eastAsia="en-GB"/>
        </w:rPr>
        <w:t>8.2.9.2. Všeobecný opis opatrenia vrátane intervenčnej logiky a príspevku k fokusovým oblastiam a prierezovým cieľom</w:t>
      </w:r>
    </w:p>
    <w:p w:rsidR="00ED1FEE" w:rsidRDefault="00ED1FEE" w:rsidP="00ED1FEE">
      <w:pPr>
        <w:keepNext/>
        <w:outlineLvl w:val="3"/>
        <w:rPr>
          <w:rFonts w:ascii="Calibri" w:hAnsi="Calibri"/>
          <w:szCs w:val="22"/>
          <w:lang w:eastAsia="en-GB"/>
        </w:rPr>
      </w:pPr>
      <w:r>
        <w:rPr>
          <w:rFonts w:ascii="Calibri" w:eastAsia="Calibri" w:hAnsi="Calibri" w:cs="Calibri"/>
          <w:szCs w:val="22"/>
          <w:lang w:eastAsia="en-US"/>
        </w:rPr>
        <w:t xml:space="preserve">Agroenvironmentálno - klimatické platby zohrávajú kľúčovú úlohu pri podpore udržateľného rozvoja vidieckych oblastí a ako reakcia na zvýšený dopyt spoločnosti po environmentálnych službách. Mali by naďalej povzbudzovať poľnohospodárov aby slúžili spoločnosti ako celku tak, že zavedú alebo budú ďalej uplatňovať poľnohospodársku prax, ktorá prispieva k zmierňovaniu zmeny klímy a prispôsobovaniu sa tejto zmene a ktorá je zlučiteľná s ochranou a zlepšovaním životného prostredia, krajiny a jej charakteristík, prírodných zdrojov, pôdy a genetickej rozmanitosti. </w:t>
      </w:r>
    </w:p>
    <w:p w:rsidR="00ED1FEE" w:rsidRDefault="00ED1FEE" w:rsidP="00ED1FEE">
      <w:pPr>
        <w:rPr>
          <w:rFonts w:ascii="Calibri" w:eastAsia="Calibri" w:hAnsi="Calibri" w:cs="Calibri"/>
          <w:szCs w:val="22"/>
          <w:lang w:eastAsia="en-US"/>
        </w:rPr>
      </w:pPr>
      <w:r>
        <w:rPr>
          <w:rFonts w:ascii="Calibri" w:eastAsia="Calibri" w:hAnsi="Calibri" w:cs="Calibri"/>
          <w:bCs/>
          <w:szCs w:val="22"/>
          <w:lang w:eastAsia="en-US"/>
        </w:rPr>
        <w:t xml:space="preserve">Cieľom opatrenia je najmä </w:t>
      </w:r>
      <w:r>
        <w:rPr>
          <w:rFonts w:ascii="Calibri" w:eastAsia="Calibri" w:hAnsi="Calibri" w:cs="Calibri"/>
          <w:szCs w:val="22"/>
          <w:lang w:eastAsia="en-US"/>
        </w:rPr>
        <w:t xml:space="preserve">realizovať poľnohospodárske výrobné postupy zlučiteľné s ochranou a zlepšením životného prostredia, prírodných zdrojov (voda, pôda, biodiverzita) a zmiernenie klimatickej zmeny  prostredníctvom </w:t>
      </w:r>
      <w:r>
        <w:rPr>
          <w:rFonts w:ascii="Calibri" w:eastAsia="Calibri" w:hAnsi="Calibri" w:cs="Calibri"/>
          <w:szCs w:val="22"/>
        </w:rPr>
        <w:t>podpory poľnohospodárstva a pastevného hospodárstva primeranej intenzity priateľské k životnému prostrediu,</w:t>
      </w:r>
      <w:r>
        <w:rPr>
          <w:rFonts w:ascii="Calibri" w:eastAsia="Calibri" w:hAnsi="Calibri" w:cs="Calibri"/>
          <w:szCs w:val="22"/>
          <w:lang w:eastAsia="en-US"/>
        </w:rPr>
        <w:t xml:space="preserve"> </w:t>
      </w:r>
      <w:r>
        <w:rPr>
          <w:rFonts w:ascii="Calibri" w:eastAsia="Calibri" w:hAnsi="Calibri" w:cs="Calibri"/>
          <w:szCs w:val="22"/>
        </w:rPr>
        <w:t>obnovy ekologickej stability poľnohospodárskej krajiny cez ochranu a obnovu sietí ekostabilizačných prvkov,  zachovania krajinného a historického dedičstva na poľnohospodárskych plochách</w:t>
      </w:r>
      <w:r>
        <w:rPr>
          <w:rFonts w:ascii="Calibri" w:eastAsia="Calibri" w:hAnsi="Calibri" w:cs="Calibri"/>
          <w:szCs w:val="22"/>
          <w:lang w:eastAsia="en-US"/>
        </w:rPr>
        <w:t xml:space="preserve">. Z environmentálneho hľadiska je povinnou podmienkou taktiež zrieknutie sa používania kalov z čistiarní odpadových vôd a dnových sedimentov na celej výmere pôdy. Významnou úlohou pri realizácii poľnohospodárskych činností  je vzdelávanie farmárov ako aj poradenstvo. Vzdelávanie je  zamerané hlavne na zvýšenie odborných informácii  pre hospodárenie na pôde a tiež pre lepšie pochopenie plnenia stanovených podmienok. Povinnosť absolvovať komplexný školiaci kurz v rozsahu 14 hodín je v prvom roku záväzku. Záväzky  v rámci opatrenia sú plánované na  5 rokov od vstupu do záväzku s možnosťou ich predĺženia. </w:t>
      </w:r>
    </w:p>
    <w:p w:rsidR="00ED1FEE" w:rsidRDefault="00ED1FEE" w:rsidP="00ED1FEE">
      <w:pPr>
        <w:rPr>
          <w:rFonts w:ascii="Calibri" w:eastAsia="Calibri" w:hAnsi="Calibri" w:cs="Calibri"/>
          <w:szCs w:val="22"/>
          <w:lang w:eastAsia="en-US"/>
        </w:rPr>
      </w:pPr>
    </w:p>
    <w:p w:rsidR="00ED1FEE" w:rsidRDefault="00ED1FEE" w:rsidP="00ED1FEE">
      <w:pPr>
        <w:rPr>
          <w:rFonts w:ascii="Calibri" w:eastAsia="Calibri" w:hAnsi="Calibri" w:cs="Calibri"/>
          <w:szCs w:val="22"/>
          <w:lang w:eastAsia="en-US"/>
        </w:rPr>
      </w:pPr>
      <w:r>
        <w:rPr>
          <w:rFonts w:ascii="Calibri" w:eastAsia="Calibri" w:hAnsi="Calibri" w:cs="Calibri"/>
          <w:szCs w:val="22"/>
          <w:lang w:eastAsia="en-US"/>
        </w:rPr>
        <w:t xml:space="preserve">Ciele opatrenia prispievajú k viacerým fokusovým oblastiam   </w:t>
      </w:r>
    </w:p>
    <w:p w:rsidR="00ED1FEE" w:rsidRDefault="00ED1FEE" w:rsidP="00ED1FEE">
      <w:pPr>
        <w:ind w:left="426" w:hanging="426"/>
        <w:rPr>
          <w:rFonts w:ascii="Calibri" w:eastAsia="Calibri" w:hAnsi="Calibri" w:cs="Calibri"/>
          <w:i/>
          <w:szCs w:val="22"/>
          <w:lang w:eastAsia="en-US"/>
        </w:rPr>
      </w:pPr>
      <w:r>
        <w:rPr>
          <w:rFonts w:ascii="Calibri" w:eastAsia="Calibri" w:hAnsi="Calibri" w:cs="Calibri"/>
          <w:i/>
          <w:szCs w:val="22"/>
          <w:lang w:eastAsia="en-US"/>
        </w:rPr>
        <w:t>4A</w:t>
      </w:r>
      <w:r>
        <w:rPr>
          <w:rFonts w:ascii="Calibri" w:eastAsia="Calibri" w:hAnsi="Calibri" w:cs="Calibri"/>
          <w:i/>
          <w:szCs w:val="22"/>
          <w:lang w:eastAsia="en-US"/>
        </w:rPr>
        <w:tab/>
        <w:t xml:space="preserve"> Obnova a zachovanie biologickej diverzity vrátane lokalít sústavy Natura 2000 a poľnohospodárskej činnosti s vysokou prírodnou hodnotou a stavu krajinných oblastí Európy</w:t>
      </w:r>
    </w:p>
    <w:p w:rsidR="00ED1FEE" w:rsidRDefault="00ED1FEE" w:rsidP="00ED1FEE">
      <w:pPr>
        <w:spacing w:after="120"/>
        <w:rPr>
          <w:rFonts w:ascii="Calibri" w:eastAsia="Calibri" w:hAnsi="Calibri" w:cs="Calibri"/>
          <w:szCs w:val="22"/>
          <w:u w:val="single"/>
          <w:lang w:eastAsia="en-US"/>
        </w:rPr>
      </w:pPr>
      <w:r>
        <w:rPr>
          <w:rFonts w:ascii="Calibri" w:eastAsia="Calibri" w:hAnsi="Calibri" w:cs="Calibri"/>
          <w:szCs w:val="22"/>
          <w:lang w:eastAsia="en-US"/>
        </w:rPr>
        <w:t>Realizáciou agroenvironmentálno-klimatického opatrenia  sa budú uplatňovať podmienky šetrné   k  životnému prostrediu čo je predpoklad pre zachovanie a rozvoj rastlinnej a živočíšnej rozmanitosti pôvodnej krajiny. Ochrana ohrozených biotopov trávnych porastov ako aj ich zachovanie sa odvíja od prispôsobenia poľnohospodárskych aktivít v danej lokalite. Biotopy trvalých trávnych porastov patria do kategórie území s vysokou prírodnou hodnotou.  K zachovaniu biologickej diverzity prispieva i ochrana živočíchov, ktoré sú na zozname najviac ohrozených druhov a to dropa fúzatého a sysľa pasienkového. Nemenej významným príspevkom k podpore druhovej diverzity je podpora chovu a udržania ohrozených druhov zvierat,  v rámci ktorej sa zabezpečí udržanie takých druhov zvierat, ktorým by hrozilo zaniknutie. Dôležitou súčasťou je vzdelávanie v oblasti.</w:t>
      </w:r>
    </w:p>
    <w:p w:rsidR="00ED1FEE" w:rsidRDefault="00ED1FEE" w:rsidP="00ED1FEE">
      <w:pPr>
        <w:keepNext/>
        <w:ind w:left="426" w:hanging="426"/>
        <w:outlineLvl w:val="3"/>
        <w:rPr>
          <w:rFonts w:ascii="Calibri" w:eastAsia="Calibri" w:hAnsi="Calibri" w:cs="Calibri"/>
          <w:i/>
          <w:szCs w:val="22"/>
          <w:lang w:eastAsia="en-US"/>
        </w:rPr>
      </w:pPr>
      <w:r>
        <w:rPr>
          <w:rFonts w:ascii="Calibri" w:eastAsia="Calibri" w:hAnsi="Calibri" w:cs="Calibri"/>
          <w:i/>
          <w:szCs w:val="22"/>
          <w:lang w:eastAsia="en-US"/>
        </w:rPr>
        <w:t>4B</w:t>
      </w:r>
      <w:r>
        <w:rPr>
          <w:rFonts w:ascii="Calibri" w:eastAsia="Calibri" w:hAnsi="Calibri" w:cs="Calibri"/>
          <w:i/>
          <w:szCs w:val="22"/>
          <w:lang w:eastAsia="en-US"/>
        </w:rPr>
        <w:tab/>
        <w:t>Zlepšenie vodného hospodárstva</w:t>
      </w:r>
    </w:p>
    <w:p w:rsidR="00ED1FEE" w:rsidRDefault="00ED1FEE" w:rsidP="00ED1FEE">
      <w:pPr>
        <w:spacing w:after="120"/>
        <w:outlineLvl w:val="4"/>
        <w:rPr>
          <w:rFonts w:ascii="Calibri" w:eastAsia="Calibri" w:hAnsi="Calibri" w:cs="Calibri"/>
          <w:szCs w:val="22"/>
          <w:lang w:eastAsia="en-US"/>
        </w:rPr>
      </w:pPr>
      <w:r>
        <w:rPr>
          <w:rFonts w:ascii="Calibri" w:eastAsia="Calibri" w:hAnsi="Calibri" w:cs="Calibri"/>
          <w:szCs w:val="22"/>
          <w:lang w:eastAsia="en-US"/>
        </w:rPr>
        <w:t xml:space="preserve">Podporou ekologicky šetrných postupov v kombinácii s obmedzením   vstupov hnojivých látok a prípravkov na ochranu rastlín  sa sleduje zníženie kontaminácie povrchových a podzemných vôd. Efektívnym nástrojom je zisťovanie obsahu dusíka v pôde, čím sa čiastočne eliminuje dávka dodávaných hnojív v súlade s  potrebami pestovaných plodín. </w:t>
      </w:r>
    </w:p>
    <w:p w:rsidR="00ED1FEE" w:rsidRDefault="00ED1FEE" w:rsidP="00ED1FEE">
      <w:pPr>
        <w:outlineLvl w:val="4"/>
        <w:rPr>
          <w:rFonts w:ascii="Calibri" w:eastAsia="Calibri" w:hAnsi="Calibri" w:cs="Calibri"/>
          <w:szCs w:val="22"/>
          <w:lang w:eastAsia="en-US"/>
        </w:rPr>
      </w:pPr>
      <w:r>
        <w:rPr>
          <w:rFonts w:ascii="Calibri" w:eastAsia="Calibri" w:hAnsi="Calibri" w:cs="Calibri"/>
          <w:i/>
          <w:szCs w:val="22"/>
          <w:lang w:eastAsia="en-US"/>
        </w:rPr>
        <w:t>4C   Zlepšenie obhospodarovania pôdy</w:t>
      </w:r>
      <w:r>
        <w:rPr>
          <w:rFonts w:ascii="Calibri" w:eastAsia="Calibri" w:hAnsi="Calibri" w:cs="Calibri"/>
          <w:szCs w:val="22"/>
          <w:lang w:eastAsia="en-US"/>
        </w:rPr>
        <w:t xml:space="preserve"> </w:t>
      </w:r>
    </w:p>
    <w:p w:rsidR="00ED1FEE" w:rsidRDefault="00ED1FEE" w:rsidP="00ED1FEE">
      <w:pPr>
        <w:outlineLvl w:val="4"/>
        <w:rPr>
          <w:rFonts w:ascii="Calibri" w:eastAsia="Calibri" w:hAnsi="Calibri" w:cs="Calibri"/>
          <w:szCs w:val="22"/>
          <w:lang w:eastAsia="en-US"/>
        </w:rPr>
      </w:pPr>
      <w:r>
        <w:rPr>
          <w:rFonts w:ascii="Calibri" w:eastAsia="Calibri" w:hAnsi="Calibri" w:cs="Calibri"/>
          <w:szCs w:val="22"/>
          <w:lang w:eastAsia="en-US"/>
        </w:rPr>
        <w:t>Nižšia intenzita hospodárenia a protierózne opatrenie majú pozitívny vplyv na vodu aj pôdu. Striedanie plodín a prevencia proti erózii pôdy napomáha k udržaniu priaznivých vlastností pôdy. Pre zabezpečenie dodržiavania poľnohospodárskych postupov šetrných k životnému prostrediu je vzdelávanie a získavanie informácii pre príjemcov podpory povinné a to vo všetkých relevantných oblastiach nevynímajúc úlohu poradenstva.</w:t>
      </w:r>
    </w:p>
    <w:p w:rsidR="00ED1FEE" w:rsidRDefault="00ED1FEE" w:rsidP="00ED1FEE">
      <w:pPr>
        <w:keepNext/>
        <w:ind w:left="426" w:hanging="426"/>
        <w:outlineLvl w:val="3"/>
        <w:rPr>
          <w:rFonts w:ascii="Calibri" w:eastAsia="Calibri" w:hAnsi="Calibri" w:cs="Calibri"/>
          <w:i/>
          <w:szCs w:val="22"/>
          <w:lang w:eastAsia="en-US"/>
        </w:rPr>
      </w:pPr>
      <w:r>
        <w:rPr>
          <w:rFonts w:ascii="Calibri" w:eastAsia="Calibri" w:hAnsi="Calibri" w:cs="Calibri"/>
          <w:i/>
          <w:szCs w:val="22"/>
          <w:lang w:eastAsia="en-US"/>
        </w:rPr>
        <w:t>5D</w:t>
      </w:r>
      <w:r>
        <w:rPr>
          <w:rFonts w:ascii="Calibri" w:eastAsia="Calibri" w:hAnsi="Calibri" w:cs="Calibri"/>
          <w:i/>
          <w:szCs w:val="22"/>
          <w:lang w:eastAsia="en-US"/>
        </w:rPr>
        <w:tab/>
        <w:t>Zníženie emisií oxidu dusného a metánu z poľnohospodárstva</w:t>
      </w:r>
    </w:p>
    <w:p w:rsidR="00ED1FEE" w:rsidRDefault="00ED1FEE" w:rsidP="00ED1FEE">
      <w:pPr>
        <w:outlineLvl w:val="4"/>
        <w:rPr>
          <w:rFonts w:ascii="Calibri" w:eastAsia="Calibri" w:hAnsi="Calibri" w:cs="Calibri"/>
          <w:szCs w:val="22"/>
          <w:lang w:eastAsia="en-US"/>
        </w:rPr>
      </w:pPr>
      <w:r>
        <w:rPr>
          <w:rFonts w:ascii="Calibri" w:eastAsia="Calibri" w:hAnsi="Calibri" w:cs="Calibri"/>
          <w:szCs w:val="22"/>
          <w:lang w:eastAsia="en-US"/>
        </w:rPr>
        <w:t xml:space="preserve">Významným prvkom pri implementácii článku 28 je obmedzenie používania alebo vylúčenie minerálnych dusíkatých  hnojív a prípravkov na ochranu rastlín, čím sa prispeje k zníženej tvorbe skleníkových plynov a zachovaniu alebo zlepšeniu kvality vôd.   </w:t>
      </w:r>
    </w:p>
    <w:p w:rsidR="00ED1FEE" w:rsidRDefault="00ED1FEE" w:rsidP="00ED1FEE">
      <w:pPr>
        <w:rPr>
          <w:rFonts w:ascii="Calibri" w:eastAsia="Calibri" w:hAnsi="Calibri" w:cs="Calibri"/>
          <w:szCs w:val="22"/>
          <w:lang w:eastAsia="en-US"/>
        </w:rPr>
      </w:pPr>
    </w:p>
    <w:p w:rsidR="00ED1FEE" w:rsidRDefault="00ED1FEE" w:rsidP="00ED1FEE">
      <w:pPr>
        <w:rPr>
          <w:rFonts w:ascii="Calibri" w:eastAsia="Calibri" w:hAnsi="Calibri" w:cs="Calibri"/>
          <w:szCs w:val="22"/>
          <w:lang w:eastAsia="en-US"/>
        </w:rPr>
      </w:pPr>
      <w:r>
        <w:rPr>
          <w:rFonts w:ascii="Calibri" w:eastAsia="Calibri" w:hAnsi="Calibri" w:cs="Calibri"/>
          <w:szCs w:val="22"/>
          <w:lang w:eastAsia="en-US"/>
        </w:rPr>
        <w:t>Opatrenie prispieva hlavne k  cieľu životné prostredie, ktoré je prierezové cez všetky prioritné oblasti, zvlášť pre synergické pôsobenie na zložky životného prostredia – voda, pôda ovzdušie.</w:t>
      </w:r>
    </w:p>
    <w:p w:rsidR="00ED1FEE" w:rsidRDefault="00ED1FEE" w:rsidP="00ED1FEE">
      <w:pPr>
        <w:rPr>
          <w:rFonts w:ascii="Calibri" w:eastAsia="Calibri" w:hAnsi="Calibri" w:cs="Calibri"/>
          <w:szCs w:val="22"/>
          <w:lang w:eastAsia="en-US"/>
        </w:rPr>
      </w:pPr>
    </w:p>
    <w:tbl>
      <w:tblPr>
        <w:tblW w:w="91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343"/>
        <w:gridCol w:w="426"/>
        <w:gridCol w:w="425"/>
        <w:gridCol w:w="426"/>
        <w:gridCol w:w="425"/>
        <w:gridCol w:w="567"/>
        <w:gridCol w:w="568"/>
      </w:tblGrid>
      <w:tr w:rsidR="00ED1FEE" w:rsidTr="00ED1FEE">
        <w:trPr>
          <w:trHeight w:val="258"/>
        </w:trPr>
        <w:tc>
          <w:tcPr>
            <w:tcW w:w="6344" w:type="dxa"/>
            <w:vMerge w:val="restart"/>
            <w:tcBorders>
              <w:top w:val="single" w:sz="4" w:space="0" w:color="auto"/>
              <w:left w:val="single" w:sz="4" w:space="0" w:color="auto"/>
              <w:bottom w:val="single" w:sz="4" w:space="0" w:color="auto"/>
              <w:right w:val="single" w:sz="4" w:space="0" w:color="auto"/>
            </w:tcBorders>
            <w:shd w:val="clear" w:color="auto" w:fill="FBD4B4"/>
          </w:tcPr>
          <w:p w:rsidR="00ED1FEE" w:rsidRDefault="00ED1FEE" w:rsidP="00ED1FEE">
            <w:pPr>
              <w:keepNext/>
              <w:spacing w:after="200" w:line="276" w:lineRule="auto"/>
              <w:outlineLvl w:val="4"/>
              <w:rPr>
                <w:rFonts w:ascii="Calibri" w:eastAsia="Calibri" w:hAnsi="Calibri"/>
                <w:b/>
                <w:sz w:val="18"/>
                <w:szCs w:val="18"/>
                <w:lang w:eastAsia="en-GB"/>
              </w:rPr>
            </w:pPr>
          </w:p>
          <w:p w:rsidR="00ED1FEE" w:rsidRDefault="00ED1FEE" w:rsidP="00ED1FEE">
            <w:pPr>
              <w:keepNext/>
              <w:spacing w:after="200" w:line="276" w:lineRule="auto"/>
              <w:outlineLvl w:val="4"/>
              <w:rPr>
                <w:rFonts w:ascii="Calibri" w:eastAsia="Calibri" w:hAnsi="Calibri"/>
                <w:b/>
                <w:sz w:val="18"/>
                <w:szCs w:val="18"/>
                <w:lang w:eastAsia="en-GB"/>
              </w:rPr>
            </w:pPr>
          </w:p>
          <w:p w:rsidR="00ED1FEE" w:rsidRDefault="00ED1FEE" w:rsidP="00ED1FEE">
            <w:pPr>
              <w:keepNext/>
              <w:spacing w:after="200" w:line="276" w:lineRule="auto"/>
              <w:outlineLvl w:val="4"/>
              <w:rPr>
                <w:rFonts w:ascii="Calibri" w:eastAsia="Calibri" w:hAnsi="Calibri"/>
                <w:b/>
                <w:sz w:val="18"/>
                <w:szCs w:val="18"/>
                <w:lang w:eastAsia="en-GB"/>
              </w:rPr>
            </w:pPr>
            <w:r>
              <w:rPr>
                <w:rFonts w:ascii="Calibri" w:eastAsia="Calibri" w:hAnsi="Calibri"/>
                <w:b/>
                <w:sz w:val="18"/>
                <w:szCs w:val="18"/>
                <w:lang w:eastAsia="en-GB"/>
              </w:rPr>
              <w:t>Podopatrenia a typy operácií</w:t>
            </w:r>
          </w:p>
        </w:tc>
        <w:tc>
          <w:tcPr>
            <w:tcW w:w="2268" w:type="dxa"/>
            <w:gridSpan w:val="5"/>
            <w:tcBorders>
              <w:top w:val="single" w:sz="4" w:space="0" w:color="auto"/>
              <w:left w:val="single" w:sz="4" w:space="0" w:color="auto"/>
              <w:bottom w:val="single" w:sz="4" w:space="0" w:color="auto"/>
              <w:right w:val="single" w:sz="4" w:space="0" w:color="auto"/>
            </w:tcBorders>
            <w:shd w:val="clear" w:color="auto" w:fill="FBD4B4"/>
            <w:hideMark/>
          </w:tcPr>
          <w:p w:rsidR="00ED1FEE" w:rsidRDefault="00ED1FEE" w:rsidP="00ED1FEE">
            <w:pPr>
              <w:keepNext/>
              <w:spacing w:after="200" w:line="276" w:lineRule="auto"/>
              <w:jc w:val="center"/>
              <w:outlineLvl w:val="4"/>
              <w:rPr>
                <w:rFonts w:ascii="Calibri" w:eastAsia="Calibri" w:hAnsi="Calibri"/>
                <w:b/>
                <w:sz w:val="18"/>
                <w:szCs w:val="18"/>
                <w:lang w:eastAsia="en-GB"/>
              </w:rPr>
            </w:pPr>
            <w:r>
              <w:rPr>
                <w:rFonts w:ascii="Calibri" w:eastAsia="Calibri" w:hAnsi="Calibri"/>
                <w:b/>
                <w:sz w:val="18"/>
                <w:szCs w:val="18"/>
                <w:lang w:eastAsia="en-GB"/>
              </w:rPr>
              <w:t>Príspevok k prioritám</w:t>
            </w:r>
          </w:p>
        </w:tc>
        <w:tc>
          <w:tcPr>
            <w:tcW w:w="568" w:type="dxa"/>
            <w:vMerge w:val="restart"/>
            <w:tcBorders>
              <w:top w:val="single" w:sz="4" w:space="0" w:color="auto"/>
              <w:left w:val="single" w:sz="4" w:space="0" w:color="auto"/>
              <w:right w:val="single" w:sz="4" w:space="0" w:color="auto"/>
            </w:tcBorders>
          </w:tcPr>
          <w:p w:rsidR="00ED1FEE" w:rsidRDefault="00ED1FEE" w:rsidP="00ED1FEE">
            <w:pPr>
              <w:keepNext/>
              <w:spacing w:after="200" w:line="276" w:lineRule="auto"/>
              <w:outlineLvl w:val="4"/>
              <w:rPr>
                <w:rFonts w:ascii="Calibri" w:eastAsia="Calibri" w:hAnsi="Calibri"/>
                <w:b/>
                <w:sz w:val="18"/>
                <w:szCs w:val="18"/>
                <w:lang w:eastAsia="en-GB"/>
              </w:rPr>
            </w:pPr>
          </w:p>
        </w:tc>
      </w:tr>
      <w:tr w:rsidR="00ED1FEE" w:rsidTr="00ED1FEE">
        <w:trPr>
          <w:trHeight w:val="190"/>
        </w:trPr>
        <w:tc>
          <w:tcPr>
            <w:tcW w:w="6344" w:type="dxa"/>
            <w:vMerge/>
            <w:tcBorders>
              <w:top w:val="single" w:sz="4" w:space="0" w:color="auto"/>
              <w:left w:val="single" w:sz="4" w:space="0" w:color="auto"/>
              <w:bottom w:val="single" w:sz="4" w:space="0" w:color="auto"/>
              <w:right w:val="single" w:sz="4" w:space="0" w:color="auto"/>
            </w:tcBorders>
            <w:shd w:val="clear" w:color="auto" w:fill="FBD4B4"/>
          </w:tcPr>
          <w:p w:rsidR="00ED1FEE" w:rsidRDefault="00ED1FEE" w:rsidP="00ED1FEE">
            <w:pPr>
              <w:keepNext/>
              <w:spacing w:after="200" w:line="276" w:lineRule="auto"/>
              <w:outlineLvl w:val="4"/>
              <w:rPr>
                <w:rFonts w:ascii="Calibri" w:eastAsia="Calibri" w:hAnsi="Calibri"/>
                <w:b/>
                <w:sz w:val="18"/>
                <w:szCs w:val="18"/>
                <w:lang w:eastAsia="en-GB"/>
              </w:rPr>
            </w:pPr>
          </w:p>
        </w:tc>
        <w:tc>
          <w:tcPr>
            <w:tcW w:w="1277" w:type="dxa"/>
            <w:gridSpan w:val="3"/>
            <w:tcBorders>
              <w:top w:val="single" w:sz="4" w:space="0" w:color="auto"/>
              <w:left w:val="single" w:sz="4" w:space="0" w:color="auto"/>
              <w:bottom w:val="single" w:sz="4" w:space="0" w:color="auto"/>
              <w:right w:val="single" w:sz="4" w:space="0" w:color="auto"/>
            </w:tcBorders>
            <w:shd w:val="clear" w:color="auto" w:fill="FBD4B4"/>
          </w:tcPr>
          <w:p w:rsidR="00ED1FEE" w:rsidRDefault="00ED1FEE" w:rsidP="00ED1FEE">
            <w:pPr>
              <w:keepNext/>
              <w:spacing w:after="200" w:line="276" w:lineRule="auto"/>
              <w:jc w:val="center"/>
              <w:outlineLvl w:val="4"/>
              <w:rPr>
                <w:rFonts w:ascii="Calibri" w:eastAsia="Calibri" w:hAnsi="Calibri"/>
                <w:b/>
                <w:sz w:val="18"/>
                <w:szCs w:val="18"/>
                <w:lang w:eastAsia="en-GB"/>
              </w:rPr>
            </w:pPr>
            <w:r>
              <w:rPr>
                <w:rFonts w:ascii="Calibri" w:eastAsia="Calibri" w:hAnsi="Calibri"/>
                <w:b/>
                <w:sz w:val="18"/>
                <w:szCs w:val="18"/>
                <w:lang w:eastAsia="en-GB"/>
              </w:rPr>
              <w:t>P4</w:t>
            </w:r>
          </w:p>
        </w:tc>
        <w:tc>
          <w:tcPr>
            <w:tcW w:w="991" w:type="dxa"/>
            <w:gridSpan w:val="2"/>
            <w:tcBorders>
              <w:top w:val="single" w:sz="4" w:space="0" w:color="auto"/>
              <w:left w:val="single" w:sz="4" w:space="0" w:color="auto"/>
              <w:bottom w:val="single" w:sz="4" w:space="0" w:color="auto"/>
              <w:right w:val="single" w:sz="4" w:space="0" w:color="auto"/>
            </w:tcBorders>
            <w:shd w:val="clear" w:color="auto" w:fill="FBD4B4"/>
          </w:tcPr>
          <w:p w:rsidR="00ED1FEE" w:rsidRDefault="00ED1FEE" w:rsidP="00ED1FEE">
            <w:pPr>
              <w:keepNext/>
              <w:spacing w:after="200" w:line="276" w:lineRule="auto"/>
              <w:jc w:val="center"/>
              <w:outlineLvl w:val="4"/>
              <w:rPr>
                <w:rFonts w:ascii="Calibri" w:eastAsia="Calibri" w:hAnsi="Calibri"/>
                <w:b/>
                <w:sz w:val="18"/>
                <w:szCs w:val="18"/>
                <w:lang w:eastAsia="en-GB"/>
              </w:rPr>
            </w:pPr>
            <w:r>
              <w:rPr>
                <w:rFonts w:ascii="Calibri" w:eastAsia="Calibri" w:hAnsi="Calibri"/>
                <w:b/>
                <w:sz w:val="18"/>
                <w:szCs w:val="18"/>
                <w:lang w:eastAsia="en-GB"/>
              </w:rPr>
              <w:t>P5</w:t>
            </w:r>
          </w:p>
        </w:tc>
        <w:tc>
          <w:tcPr>
            <w:tcW w:w="568" w:type="dxa"/>
            <w:vMerge/>
            <w:tcBorders>
              <w:left w:val="single" w:sz="4" w:space="0" w:color="auto"/>
              <w:bottom w:val="single" w:sz="4" w:space="0" w:color="auto"/>
              <w:right w:val="single" w:sz="4" w:space="0" w:color="auto"/>
            </w:tcBorders>
          </w:tcPr>
          <w:p w:rsidR="00ED1FEE" w:rsidRDefault="00ED1FEE" w:rsidP="00ED1FEE">
            <w:pPr>
              <w:keepNext/>
              <w:spacing w:after="200" w:line="276" w:lineRule="auto"/>
              <w:outlineLvl w:val="4"/>
              <w:rPr>
                <w:rFonts w:ascii="Calibri" w:eastAsia="Calibri" w:hAnsi="Calibri"/>
                <w:b/>
                <w:sz w:val="18"/>
                <w:szCs w:val="18"/>
                <w:lang w:eastAsia="en-GB"/>
              </w:rPr>
            </w:pPr>
          </w:p>
        </w:tc>
      </w:tr>
      <w:tr w:rsidR="00ED1FEE" w:rsidTr="00ED1FEE">
        <w:trPr>
          <w:cantSplit/>
          <w:trHeight w:val="1020"/>
        </w:trPr>
        <w:tc>
          <w:tcPr>
            <w:tcW w:w="6344" w:type="dxa"/>
            <w:vMerge/>
            <w:tcBorders>
              <w:top w:val="single" w:sz="4" w:space="0" w:color="auto"/>
              <w:left w:val="single" w:sz="4" w:space="0" w:color="auto"/>
              <w:bottom w:val="single" w:sz="4" w:space="0" w:color="auto"/>
              <w:right w:val="single" w:sz="4" w:space="0" w:color="auto"/>
            </w:tcBorders>
            <w:vAlign w:val="center"/>
            <w:hideMark/>
          </w:tcPr>
          <w:p w:rsidR="00ED1FEE" w:rsidRDefault="00ED1FEE" w:rsidP="00ED1FEE">
            <w:pPr>
              <w:rPr>
                <w:rFonts w:ascii="Calibri" w:eastAsia="Calibri" w:hAnsi="Calibri"/>
                <w:b/>
                <w:sz w:val="18"/>
                <w:szCs w:val="18"/>
                <w:lang w:eastAsia="en-GB"/>
              </w:rPr>
            </w:pPr>
          </w:p>
        </w:tc>
        <w:tc>
          <w:tcPr>
            <w:tcW w:w="426" w:type="dxa"/>
            <w:tcBorders>
              <w:top w:val="single" w:sz="4" w:space="0" w:color="auto"/>
              <w:left w:val="single" w:sz="4" w:space="0" w:color="auto"/>
              <w:bottom w:val="single" w:sz="4" w:space="0" w:color="auto"/>
              <w:right w:val="single" w:sz="4" w:space="0" w:color="auto"/>
            </w:tcBorders>
            <w:textDirection w:val="btLr"/>
            <w:hideMark/>
          </w:tcPr>
          <w:p w:rsidR="00ED1FEE" w:rsidRDefault="00ED1FEE" w:rsidP="00ED1FEE">
            <w:pPr>
              <w:keepNext/>
              <w:spacing w:after="200" w:line="276" w:lineRule="auto"/>
              <w:outlineLvl w:val="4"/>
              <w:rPr>
                <w:rFonts w:ascii="Calibri" w:eastAsia="Calibri" w:hAnsi="Calibri"/>
                <w:b/>
                <w:sz w:val="18"/>
                <w:szCs w:val="18"/>
                <w:lang w:eastAsia="en-GB"/>
              </w:rPr>
            </w:pPr>
            <w:r>
              <w:rPr>
                <w:rFonts w:ascii="Calibri" w:eastAsia="Calibri" w:hAnsi="Calibri"/>
                <w:b/>
                <w:sz w:val="18"/>
                <w:szCs w:val="18"/>
                <w:lang w:eastAsia="en-GB"/>
              </w:rPr>
              <w:t>biodiverzita</w:t>
            </w:r>
          </w:p>
        </w:tc>
        <w:tc>
          <w:tcPr>
            <w:tcW w:w="425" w:type="dxa"/>
            <w:tcBorders>
              <w:top w:val="single" w:sz="4" w:space="0" w:color="auto"/>
              <w:left w:val="single" w:sz="4" w:space="0" w:color="auto"/>
              <w:bottom w:val="single" w:sz="4" w:space="0" w:color="auto"/>
              <w:right w:val="single" w:sz="4" w:space="0" w:color="auto"/>
            </w:tcBorders>
            <w:textDirection w:val="btLr"/>
            <w:hideMark/>
          </w:tcPr>
          <w:p w:rsidR="00ED1FEE" w:rsidRDefault="00ED1FEE" w:rsidP="00ED1FEE">
            <w:pPr>
              <w:keepNext/>
              <w:spacing w:after="200" w:line="276" w:lineRule="auto"/>
              <w:outlineLvl w:val="4"/>
              <w:rPr>
                <w:rFonts w:ascii="Calibri" w:eastAsia="Calibri" w:hAnsi="Calibri"/>
                <w:b/>
                <w:sz w:val="18"/>
                <w:szCs w:val="18"/>
                <w:lang w:eastAsia="en-GB"/>
              </w:rPr>
            </w:pPr>
            <w:r>
              <w:rPr>
                <w:rFonts w:ascii="Calibri" w:eastAsia="Calibri" w:hAnsi="Calibri"/>
                <w:b/>
                <w:sz w:val="18"/>
                <w:szCs w:val="18"/>
                <w:lang w:eastAsia="en-GB"/>
              </w:rPr>
              <w:t>voda</w:t>
            </w:r>
          </w:p>
        </w:tc>
        <w:tc>
          <w:tcPr>
            <w:tcW w:w="425" w:type="dxa"/>
            <w:tcBorders>
              <w:top w:val="single" w:sz="4" w:space="0" w:color="auto"/>
              <w:left w:val="single" w:sz="4" w:space="0" w:color="auto"/>
              <w:bottom w:val="single" w:sz="4" w:space="0" w:color="auto"/>
              <w:right w:val="single" w:sz="4" w:space="0" w:color="auto"/>
            </w:tcBorders>
            <w:textDirection w:val="btLr"/>
            <w:hideMark/>
          </w:tcPr>
          <w:p w:rsidR="00ED1FEE" w:rsidRDefault="00ED1FEE" w:rsidP="00ED1FEE">
            <w:pPr>
              <w:keepNext/>
              <w:spacing w:after="200" w:line="276" w:lineRule="auto"/>
              <w:outlineLvl w:val="4"/>
              <w:rPr>
                <w:rFonts w:ascii="Calibri" w:eastAsia="Calibri" w:hAnsi="Calibri"/>
                <w:b/>
                <w:sz w:val="18"/>
                <w:szCs w:val="18"/>
                <w:lang w:eastAsia="en-GB"/>
              </w:rPr>
            </w:pPr>
            <w:r>
              <w:rPr>
                <w:rFonts w:ascii="Calibri" w:eastAsia="Calibri" w:hAnsi="Calibri"/>
                <w:b/>
                <w:sz w:val="18"/>
                <w:szCs w:val="18"/>
                <w:lang w:eastAsia="en-GB"/>
              </w:rPr>
              <w:t>pôda</w:t>
            </w:r>
          </w:p>
        </w:tc>
        <w:tc>
          <w:tcPr>
            <w:tcW w:w="425" w:type="dxa"/>
            <w:tcBorders>
              <w:top w:val="single" w:sz="4" w:space="0" w:color="auto"/>
              <w:left w:val="single" w:sz="4" w:space="0" w:color="auto"/>
              <w:bottom w:val="single" w:sz="4" w:space="0" w:color="auto"/>
              <w:right w:val="single" w:sz="4" w:space="0" w:color="auto"/>
            </w:tcBorders>
            <w:textDirection w:val="btLr"/>
            <w:hideMark/>
          </w:tcPr>
          <w:p w:rsidR="00ED1FEE" w:rsidRDefault="00ED1FEE" w:rsidP="00ED1FEE">
            <w:pPr>
              <w:keepNext/>
              <w:spacing w:after="200" w:line="276" w:lineRule="auto"/>
              <w:outlineLvl w:val="4"/>
              <w:rPr>
                <w:rFonts w:ascii="Calibri" w:eastAsia="Calibri" w:hAnsi="Calibri"/>
                <w:b/>
                <w:sz w:val="18"/>
                <w:szCs w:val="18"/>
                <w:lang w:eastAsia="en-GB"/>
              </w:rPr>
            </w:pPr>
            <w:r>
              <w:rPr>
                <w:rFonts w:ascii="Calibri" w:eastAsia="Calibri" w:hAnsi="Calibri"/>
                <w:b/>
                <w:sz w:val="18"/>
                <w:szCs w:val="18"/>
                <w:lang w:eastAsia="en-GB"/>
              </w:rPr>
              <w:t>ovzdušie</w:t>
            </w:r>
          </w:p>
        </w:tc>
        <w:tc>
          <w:tcPr>
            <w:tcW w:w="567" w:type="dxa"/>
            <w:tcBorders>
              <w:top w:val="single" w:sz="4" w:space="0" w:color="auto"/>
              <w:left w:val="single" w:sz="4" w:space="0" w:color="auto"/>
              <w:bottom w:val="single" w:sz="4" w:space="0" w:color="auto"/>
              <w:right w:val="single" w:sz="4" w:space="0" w:color="auto"/>
            </w:tcBorders>
            <w:textDirection w:val="btLr"/>
            <w:hideMark/>
          </w:tcPr>
          <w:p w:rsidR="00ED1FEE" w:rsidRDefault="00ED1FEE" w:rsidP="00ED1FEE">
            <w:pPr>
              <w:keepNext/>
              <w:spacing w:after="200" w:line="276" w:lineRule="auto"/>
              <w:outlineLvl w:val="4"/>
              <w:rPr>
                <w:rFonts w:ascii="Calibri" w:eastAsia="Calibri" w:hAnsi="Calibri"/>
                <w:b/>
                <w:sz w:val="18"/>
                <w:szCs w:val="18"/>
                <w:lang w:eastAsia="en-GB"/>
              </w:rPr>
            </w:pPr>
            <w:r>
              <w:rPr>
                <w:rFonts w:ascii="Calibri" w:eastAsia="Calibri" w:hAnsi="Calibri"/>
                <w:b/>
                <w:sz w:val="18"/>
                <w:szCs w:val="18"/>
                <w:lang w:eastAsia="en-GB"/>
              </w:rPr>
              <w:t>Seqestrácia uhlíka</w:t>
            </w:r>
          </w:p>
        </w:tc>
        <w:tc>
          <w:tcPr>
            <w:tcW w:w="568" w:type="dxa"/>
            <w:tcBorders>
              <w:top w:val="single" w:sz="4" w:space="0" w:color="auto"/>
              <w:left w:val="single" w:sz="4" w:space="0" w:color="auto"/>
              <w:bottom w:val="single" w:sz="4" w:space="0" w:color="auto"/>
              <w:right w:val="single" w:sz="4" w:space="0" w:color="auto"/>
            </w:tcBorders>
            <w:textDirection w:val="btLr"/>
            <w:hideMark/>
          </w:tcPr>
          <w:p w:rsidR="00ED1FEE" w:rsidRDefault="00ED1FEE" w:rsidP="00ED1FEE">
            <w:pPr>
              <w:keepNext/>
              <w:spacing w:after="200" w:line="276" w:lineRule="auto"/>
              <w:outlineLvl w:val="4"/>
              <w:rPr>
                <w:rFonts w:ascii="Calibri" w:eastAsia="Calibri" w:hAnsi="Calibri"/>
                <w:b/>
                <w:sz w:val="18"/>
                <w:szCs w:val="18"/>
                <w:lang w:eastAsia="en-GB"/>
              </w:rPr>
            </w:pPr>
            <w:r>
              <w:rPr>
                <w:rFonts w:ascii="Calibri" w:eastAsia="Calibri" w:hAnsi="Calibri"/>
                <w:b/>
                <w:sz w:val="18"/>
                <w:szCs w:val="18"/>
                <w:lang w:eastAsia="en-GB"/>
              </w:rPr>
              <w:t>vzdelávanie</w:t>
            </w:r>
          </w:p>
        </w:tc>
      </w:tr>
      <w:tr w:rsidR="00ED1FEE" w:rsidTr="00ED1FEE">
        <w:trPr>
          <w:trHeight w:val="381"/>
        </w:trPr>
        <w:tc>
          <w:tcPr>
            <w:tcW w:w="6344" w:type="dxa"/>
            <w:tcBorders>
              <w:top w:val="single" w:sz="4" w:space="0" w:color="auto"/>
              <w:left w:val="single" w:sz="4" w:space="0" w:color="auto"/>
              <w:bottom w:val="single" w:sz="4" w:space="0" w:color="auto"/>
              <w:right w:val="single" w:sz="4" w:space="0" w:color="auto"/>
            </w:tcBorders>
            <w:shd w:val="clear" w:color="auto" w:fill="00B0F0"/>
            <w:vAlign w:val="center"/>
          </w:tcPr>
          <w:p w:rsidR="00ED1FEE" w:rsidRPr="00593752" w:rsidRDefault="00ED1FEE" w:rsidP="00ED1FEE">
            <w:pPr>
              <w:keepNext/>
              <w:outlineLvl w:val="4"/>
              <w:rPr>
                <w:rFonts w:ascii="Calibri" w:eastAsia="Calibri" w:hAnsi="Calibri"/>
                <w:b/>
                <w:sz w:val="20"/>
                <w:szCs w:val="20"/>
                <w:lang w:eastAsia="en-GB"/>
              </w:rPr>
            </w:pPr>
            <w:r w:rsidRPr="00593752">
              <w:rPr>
                <w:rFonts w:ascii="Calibri" w:eastAsia="Calibri" w:hAnsi="Calibri"/>
                <w:b/>
                <w:sz w:val="20"/>
                <w:szCs w:val="20"/>
                <w:lang w:eastAsia="en-GB"/>
              </w:rPr>
              <w:t>Platby za a</w:t>
            </w:r>
            <w:r>
              <w:rPr>
                <w:rFonts w:ascii="Calibri" w:eastAsia="Calibri" w:hAnsi="Calibri"/>
                <w:b/>
                <w:sz w:val="20"/>
                <w:szCs w:val="20"/>
                <w:lang w:eastAsia="en-GB"/>
              </w:rPr>
              <w:t>g</w:t>
            </w:r>
            <w:r w:rsidRPr="00593752">
              <w:rPr>
                <w:rFonts w:ascii="Calibri" w:eastAsia="Calibri" w:hAnsi="Calibri"/>
                <w:b/>
                <w:sz w:val="20"/>
                <w:szCs w:val="20"/>
                <w:lang w:eastAsia="en-GB"/>
              </w:rPr>
              <w:t>roenvironmentálno-klimatické záväzky</w:t>
            </w:r>
          </w:p>
        </w:tc>
        <w:tc>
          <w:tcPr>
            <w:tcW w:w="2836" w:type="dxa"/>
            <w:gridSpan w:val="6"/>
            <w:tcBorders>
              <w:top w:val="single" w:sz="4" w:space="0" w:color="auto"/>
              <w:left w:val="single" w:sz="4" w:space="0" w:color="auto"/>
              <w:bottom w:val="single" w:sz="4" w:space="0" w:color="auto"/>
              <w:right w:val="single" w:sz="4" w:space="0" w:color="auto"/>
            </w:tcBorders>
            <w:shd w:val="clear" w:color="auto" w:fill="00B0F0"/>
            <w:vAlign w:val="center"/>
          </w:tcPr>
          <w:p w:rsidR="00ED1FEE" w:rsidRDefault="00ED1FEE" w:rsidP="00ED1FEE">
            <w:pPr>
              <w:keepNext/>
              <w:jc w:val="center"/>
              <w:outlineLvl w:val="4"/>
              <w:rPr>
                <w:rFonts w:ascii="Calibri" w:eastAsia="Calibri" w:hAnsi="Calibri"/>
                <w:sz w:val="20"/>
                <w:szCs w:val="20"/>
                <w:lang w:eastAsia="en-GB"/>
              </w:rPr>
            </w:pPr>
          </w:p>
        </w:tc>
      </w:tr>
      <w:tr w:rsidR="00ED1FEE" w:rsidTr="00ED1FEE">
        <w:trPr>
          <w:trHeight w:val="381"/>
        </w:trPr>
        <w:tc>
          <w:tcPr>
            <w:tcW w:w="6344" w:type="dxa"/>
            <w:tcBorders>
              <w:top w:val="single" w:sz="4" w:space="0" w:color="auto"/>
              <w:left w:val="single" w:sz="4" w:space="0" w:color="auto"/>
              <w:bottom w:val="single" w:sz="4" w:space="0" w:color="auto"/>
              <w:right w:val="single" w:sz="4" w:space="0" w:color="auto"/>
            </w:tcBorders>
            <w:vAlign w:val="center"/>
            <w:hideMark/>
          </w:tcPr>
          <w:p w:rsidR="00ED1FEE" w:rsidRDefault="00ED1FEE" w:rsidP="00ED1FEE">
            <w:pPr>
              <w:keepNext/>
              <w:outlineLvl w:val="4"/>
              <w:rPr>
                <w:rFonts w:ascii="Calibri" w:eastAsia="Calibri" w:hAnsi="Calibri"/>
                <w:sz w:val="20"/>
                <w:szCs w:val="20"/>
                <w:lang w:eastAsia="en-GB"/>
              </w:rPr>
            </w:pPr>
            <w:r>
              <w:rPr>
                <w:rFonts w:ascii="Calibri" w:eastAsia="Calibri" w:hAnsi="Calibri"/>
                <w:sz w:val="20"/>
                <w:szCs w:val="20"/>
                <w:lang w:eastAsia="en-GB"/>
              </w:rPr>
              <w:t>Integrovaná produkcia v ovocinárstve</w:t>
            </w:r>
          </w:p>
        </w:tc>
        <w:tc>
          <w:tcPr>
            <w:tcW w:w="426" w:type="dxa"/>
            <w:tcBorders>
              <w:top w:val="single" w:sz="4" w:space="0" w:color="auto"/>
              <w:left w:val="single" w:sz="4" w:space="0" w:color="auto"/>
              <w:bottom w:val="single" w:sz="4" w:space="0" w:color="auto"/>
              <w:right w:val="single" w:sz="4" w:space="0" w:color="auto"/>
            </w:tcBorders>
            <w:vAlign w:val="center"/>
            <w:hideMark/>
          </w:tcPr>
          <w:p w:rsidR="00ED1FEE" w:rsidRDefault="00ED1FEE" w:rsidP="00ED1FEE">
            <w:pPr>
              <w:keepNext/>
              <w:jc w:val="center"/>
              <w:outlineLvl w:val="4"/>
              <w:rPr>
                <w:rFonts w:ascii="Calibri" w:eastAsia="Calibri" w:hAnsi="Calibri"/>
                <w:sz w:val="20"/>
                <w:szCs w:val="20"/>
                <w:lang w:eastAsia="en-GB"/>
              </w:rPr>
            </w:pPr>
            <w:r>
              <w:rPr>
                <w:rFonts w:ascii="Calibri" w:eastAsia="Calibri" w:hAnsi="Calibri"/>
                <w:sz w:val="20"/>
                <w:szCs w:val="20"/>
                <w:lang w:eastAsia="en-GB"/>
              </w:rPr>
              <w:t>x</w:t>
            </w:r>
          </w:p>
        </w:tc>
        <w:tc>
          <w:tcPr>
            <w:tcW w:w="425" w:type="dxa"/>
            <w:tcBorders>
              <w:top w:val="single" w:sz="4" w:space="0" w:color="auto"/>
              <w:left w:val="single" w:sz="4" w:space="0" w:color="auto"/>
              <w:bottom w:val="single" w:sz="4" w:space="0" w:color="auto"/>
              <w:right w:val="single" w:sz="4" w:space="0" w:color="auto"/>
            </w:tcBorders>
            <w:vAlign w:val="center"/>
            <w:hideMark/>
          </w:tcPr>
          <w:p w:rsidR="00ED1FEE" w:rsidRDefault="00ED1FEE" w:rsidP="00ED1FEE">
            <w:pPr>
              <w:keepNext/>
              <w:jc w:val="center"/>
              <w:outlineLvl w:val="4"/>
              <w:rPr>
                <w:rFonts w:ascii="Calibri" w:eastAsia="Calibri" w:hAnsi="Calibri"/>
                <w:sz w:val="20"/>
                <w:szCs w:val="20"/>
                <w:lang w:eastAsia="en-GB"/>
              </w:rPr>
            </w:pPr>
            <w:r>
              <w:rPr>
                <w:rFonts w:ascii="Calibri" w:eastAsia="Calibri" w:hAnsi="Calibri"/>
                <w:sz w:val="20"/>
                <w:szCs w:val="20"/>
                <w:lang w:eastAsia="en-GB"/>
              </w:rPr>
              <w:t>x</w:t>
            </w:r>
          </w:p>
        </w:tc>
        <w:tc>
          <w:tcPr>
            <w:tcW w:w="425" w:type="dxa"/>
            <w:tcBorders>
              <w:top w:val="single" w:sz="4" w:space="0" w:color="auto"/>
              <w:left w:val="single" w:sz="4" w:space="0" w:color="auto"/>
              <w:bottom w:val="single" w:sz="4" w:space="0" w:color="auto"/>
              <w:right w:val="single" w:sz="4" w:space="0" w:color="auto"/>
            </w:tcBorders>
            <w:vAlign w:val="center"/>
          </w:tcPr>
          <w:p w:rsidR="00ED1FEE" w:rsidRDefault="00ED1FEE" w:rsidP="00ED1FEE">
            <w:pPr>
              <w:keepNext/>
              <w:jc w:val="center"/>
              <w:outlineLvl w:val="4"/>
              <w:rPr>
                <w:rFonts w:ascii="Calibri" w:eastAsia="Calibri" w:hAnsi="Calibri"/>
                <w:sz w:val="20"/>
                <w:szCs w:val="20"/>
                <w:lang w:eastAsia="en-GB"/>
              </w:rPr>
            </w:pPr>
          </w:p>
        </w:tc>
        <w:tc>
          <w:tcPr>
            <w:tcW w:w="425" w:type="dxa"/>
            <w:tcBorders>
              <w:top w:val="single" w:sz="4" w:space="0" w:color="auto"/>
              <w:left w:val="single" w:sz="4" w:space="0" w:color="auto"/>
              <w:bottom w:val="single" w:sz="4" w:space="0" w:color="auto"/>
              <w:right w:val="single" w:sz="4" w:space="0" w:color="auto"/>
            </w:tcBorders>
            <w:vAlign w:val="center"/>
            <w:hideMark/>
          </w:tcPr>
          <w:p w:rsidR="00ED1FEE" w:rsidRDefault="00ED1FEE" w:rsidP="00ED1FEE">
            <w:pPr>
              <w:keepNext/>
              <w:jc w:val="center"/>
              <w:outlineLvl w:val="4"/>
              <w:rPr>
                <w:rFonts w:ascii="Calibri" w:eastAsia="Calibri" w:hAnsi="Calibri"/>
                <w:sz w:val="20"/>
                <w:szCs w:val="20"/>
                <w:lang w:eastAsia="en-GB"/>
              </w:rPr>
            </w:pPr>
            <w:r>
              <w:rPr>
                <w:rFonts w:ascii="Calibri" w:eastAsia="Calibri" w:hAnsi="Calibri"/>
                <w:sz w:val="20"/>
                <w:szCs w:val="20"/>
                <w:lang w:eastAsia="en-GB"/>
              </w:rPr>
              <w:t>x</w:t>
            </w:r>
          </w:p>
        </w:tc>
        <w:tc>
          <w:tcPr>
            <w:tcW w:w="567" w:type="dxa"/>
            <w:tcBorders>
              <w:top w:val="single" w:sz="4" w:space="0" w:color="auto"/>
              <w:left w:val="single" w:sz="4" w:space="0" w:color="auto"/>
              <w:bottom w:val="single" w:sz="4" w:space="0" w:color="auto"/>
              <w:right w:val="single" w:sz="4" w:space="0" w:color="auto"/>
            </w:tcBorders>
            <w:vAlign w:val="center"/>
          </w:tcPr>
          <w:p w:rsidR="00ED1FEE" w:rsidRDefault="00ED1FEE" w:rsidP="00ED1FEE">
            <w:pPr>
              <w:keepNext/>
              <w:jc w:val="center"/>
              <w:outlineLvl w:val="4"/>
              <w:rPr>
                <w:rFonts w:ascii="Calibri" w:eastAsia="Calibri" w:hAnsi="Calibri"/>
                <w:sz w:val="20"/>
                <w:szCs w:val="20"/>
                <w:lang w:eastAsia="en-GB"/>
              </w:rPr>
            </w:pPr>
          </w:p>
        </w:tc>
        <w:tc>
          <w:tcPr>
            <w:tcW w:w="568" w:type="dxa"/>
            <w:tcBorders>
              <w:top w:val="single" w:sz="4" w:space="0" w:color="auto"/>
              <w:left w:val="single" w:sz="4" w:space="0" w:color="auto"/>
              <w:bottom w:val="single" w:sz="4" w:space="0" w:color="auto"/>
              <w:right w:val="single" w:sz="4" w:space="0" w:color="auto"/>
            </w:tcBorders>
            <w:vAlign w:val="center"/>
            <w:hideMark/>
          </w:tcPr>
          <w:p w:rsidR="00ED1FEE" w:rsidRDefault="00ED1FEE" w:rsidP="00ED1FEE">
            <w:pPr>
              <w:keepNext/>
              <w:jc w:val="center"/>
              <w:outlineLvl w:val="4"/>
              <w:rPr>
                <w:rFonts w:ascii="Calibri" w:eastAsia="Calibri" w:hAnsi="Calibri"/>
                <w:sz w:val="20"/>
                <w:szCs w:val="20"/>
                <w:lang w:eastAsia="en-GB"/>
              </w:rPr>
            </w:pPr>
            <w:r>
              <w:rPr>
                <w:rFonts w:ascii="Calibri" w:eastAsia="Calibri" w:hAnsi="Calibri"/>
                <w:sz w:val="20"/>
                <w:szCs w:val="20"/>
                <w:lang w:eastAsia="en-GB"/>
              </w:rPr>
              <w:t>X</w:t>
            </w:r>
          </w:p>
        </w:tc>
      </w:tr>
      <w:tr w:rsidR="00ED1FEE" w:rsidTr="00ED1FEE">
        <w:trPr>
          <w:trHeight w:val="381"/>
        </w:trPr>
        <w:tc>
          <w:tcPr>
            <w:tcW w:w="6344" w:type="dxa"/>
            <w:tcBorders>
              <w:top w:val="single" w:sz="4" w:space="0" w:color="auto"/>
              <w:left w:val="single" w:sz="4" w:space="0" w:color="auto"/>
              <w:bottom w:val="single" w:sz="4" w:space="0" w:color="auto"/>
              <w:right w:val="single" w:sz="4" w:space="0" w:color="auto"/>
            </w:tcBorders>
            <w:vAlign w:val="center"/>
            <w:hideMark/>
          </w:tcPr>
          <w:p w:rsidR="00ED1FEE" w:rsidRDefault="00ED1FEE" w:rsidP="00ED1FEE">
            <w:pPr>
              <w:keepNext/>
              <w:tabs>
                <w:tab w:val="left" w:pos="3861"/>
              </w:tabs>
              <w:outlineLvl w:val="4"/>
              <w:rPr>
                <w:rFonts w:ascii="Calibri" w:eastAsia="Calibri" w:hAnsi="Calibri"/>
                <w:sz w:val="20"/>
                <w:szCs w:val="20"/>
                <w:lang w:eastAsia="en-GB"/>
              </w:rPr>
            </w:pPr>
            <w:r>
              <w:rPr>
                <w:rFonts w:ascii="Calibri" w:eastAsia="Calibri" w:hAnsi="Calibri"/>
                <w:sz w:val="20"/>
                <w:szCs w:val="20"/>
                <w:lang w:eastAsia="en-GB"/>
              </w:rPr>
              <w:t xml:space="preserve">Integrovaná produkcia v zeleninárstve/zemiaky </w:t>
            </w:r>
          </w:p>
        </w:tc>
        <w:tc>
          <w:tcPr>
            <w:tcW w:w="426" w:type="dxa"/>
            <w:tcBorders>
              <w:top w:val="single" w:sz="4" w:space="0" w:color="auto"/>
              <w:left w:val="single" w:sz="4" w:space="0" w:color="auto"/>
              <w:bottom w:val="single" w:sz="4" w:space="0" w:color="auto"/>
              <w:right w:val="single" w:sz="4" w:space="0" w:color="auto"/>
            </w:tcBorders>
            <w:vAlign w:val="center"/>
          </w:tcPr>
          <w:p w:rsidR="00ED1FEE" w:rsidRDefault="00ED1FEE" w:rsidP="00ED1FEE">
            <w:pPr>
              <w:keepNext/>
              <w:jc w:val="center"/>
              <w:outlineLvl w:val="4"/>
              <w:rPr>
                <w:rFonts w:ascii="Calibri" w:eastAsia="Calibri" w:hAnsi="Calibri"/>
                <w:sz w:val="20"/>
                <w:szCs w:val="20"/>
                <w:lang w:eastAsia="en-GB"/>
              </w:rPr>
            </w:pPr>
          </w:p>
        </w:tc>
        <w:tc>
          <w:tcPr>
            <w:tcW w:w="425" w:type="dxa"/>
            <w:tcBorders>
              <w:top w:val="single" w:sz="4" w:space="0" w:color="auto"/>
              <w:left w:val="single" w:sz="4" w:space="0" w:color="auto"/>
              <w:bottom w:val="single" w:sz="4" w:space="0" w:color="auto"/>
              <w:right w:val="single" w:sz="4" w:space="0" w:color="auto"/>
            </w:tcBorders>
            <w:vAlign w:val="center"/>
            <w:hideMark/>
          </w:tcPr>
          <w:p w:rsidR="00ED1FEE" w:rsidRDefault="00ED1FEE" w:rsidP="00ED1FEE">
            <w:pPr>
              <w:keepNext/>
              <w:jc w:val="center"/>
              <w:outlineLvl w:val="4"/>
              <w:rPr>
                <w:rFonts w:ascii="Calibri" w:eastAsia="Calibri" w:hAnsi="Calibri"/>
                <w:sz w:val="20"/>
                <w:szCs w:val="20"/>
                <w:lang w:eastAsia="en-GB"/>
              </w:rPr>
            </w:pPr>
            <w:r>
              <w:rPr>
                <w:rFonts w:ascii="Calibri" w:eastAsia="Calibri" w:hAnsi="Calibri"/>
                <w:sz w:val="20"/>
                <w:szCs w:val="20"/>
                <w:lang w:eastAsia="en-GB"/>
              </w:rPr>
              <w:t>x</w:t>
            </w:r>
          </w:p>
        </w:tc>
        <w:tc>
          <w:tcPr>
            <w:tcW w:w="425" w:type="dxa"/>
            <w:tcBorders>
              <w:top w:val="single" w:sz="4" w:space="0" w:color="auto"/>
              <w:left w:val="single" w:sz="4" w:space="0" w:color="auto"/>
              <w:bottom w:val="single" w:sz="4" w:space="0" w:color="auto"/>
              <w:right w:val="single" w:sz="4" w:space="0" w:color="auto"/>
            </w:tcBorders>
            <w:vAlign w:val="center"/>
            <w:hideMark/>
          </w:tcPr>
          <w:p w:rsidR="00ED1FEE" w:rsidRDefault="00ED1FEE" w:rsidP="00ED1FEE">
            <w:pPr>
              <w:keepNext/>
              <w:jc w:val="center"/>
              <w:outlineLvl w:val="4"/>
              <w:rPr>
                <w:rFonts w:ascii="Calibri" w:eastAsia="Calibri" w:hAnsi="Calibri"/>
                <w:sz w:val="20"/>
                <w:szCs w:val="20"/>
                <w:lang w:eastAsia="en-GB"/>
              </w:rPr>
            </w:pPr>
            <w:r>
              <w:rPr>
                <w:rFonts w:ascii="Calibri" w:eastAsia="Calibri" w:hAnsi="Calibri"/>
                <w:sz w:val="20"/>
                <w:szCs w:val="20"/>
                <w:lang w:eastAsia="en-GB"/>
              </w:rPr>
              <w:t>x</w:t>
            </w:r>
          </w:p>
        </w:tc>
        <w:tc>
          <w:tcPr>
            <w:tcW w:w="425" w:type="dxa"/>
            <w:tcBorders>
              <w:top w:val="single" w:sz="4" w:space="0" w:color="auto"/>
              <w:left w:val="single" w:sz="4" w:space="0" w:color="auto"/>
              <w:bottom w:val="single" w:sz="4" w:space="0" w:color="auto"/>
              <w:right w:val="single" w:sz="4" w:space="0" w:color="auto"/>
            </w:tcBorders>
            <w:vAlign w:val="center"/>
            <w:hideMark/>
          </w:tcPr>
          <w:p w:rsidR="00ED1FEE" w:rsidRDefault="00ED1FEE" w:rsidP="00ED1FEE">
            <w:pPr>
              <w:keepNext/>
              <w:jc w:val="center"/>
              <w:outlineLvl w:val="4"/>
              <w:rPr>
                <w:rFonts w:ascii="Calibri" w:eastAsia="Calibri" w:hAnsi="Calibri"/>
                <w:sz w:val="20"/>
                <w:szCs w:val="20"/>
                <w:lang w:eastAsia="en-GB"/>
              </w:rPr>
            </w:pPr>
            <w:r>
              <w:rPr>
                <w:rFonts w:ascii="Calibri" w:eastAsia="Calibri" w:hAnsi="Calibri"/>
                <w:sz w:val="20"/>
                <w:szCs w:val="20"/>
                <w:lang w:eastAsia="en-GB"/>
              </w:rPr>
              <w:t>x</w:t>
            </w:r>
          </w:p>
        </w:tc>
        <w:tc>
          <w:tcPr>
            <w:tcW w:w="567" w:type="dxa"/>
            <w:tcBorders>
              <w:top w:val="single" w:sz="4" w:space="0" w:color="auto"/>
              <w:left w:val="single" w:sz="4" w:space="0" w:color="auto"/>
              <w:bottom w:val="single" w:sz="4" w:space="0" w:color="auto"/>
              <w:right w:val="single" w:sz="4" w:space="0" w:color="auto"/>
            </w:tcBorders>
            <w:vAlign w:val="center"/>
          </w:tcPr>
          <w:p w:rsidR="00ED1FEE" w:rsidRDefault="00ED1FEE" w:rsidP="00ED1FEE">
            <w:pPr>
              <w:keepNext/>
              <w:jc w:val="center"/>
              <w:outlineLvl w:val="4"/>
              <w:rPr>
                <w:rFonts w:ascii="Calibri" w:eastAsia="Calibri" w:hAnsi="Calibri"/>
                <w:sz w:val="20"/>
                <w:szCs w:val="20"/>
                <w:lang w:eastAsia="en-GB"/>
              </w:rPr>
            </w:pPr>
          </w:p>
        </w:tc>
        <w:tc>
          <w:tcPr>
            <w:tcW w:w="568" w:type="dxa"/>
            <w:tcBorders>
              <w:top w:val="single" w:sz="4" w:space="0" w:color="auto"/>
              <w:left w:val="single" w:sz="4" w:space="0" w:color="auto"/>
              <w:bottom w:val="single" w:sz="4" w:space="0" w:color="auto"/>
              <w:right w:val="single" w:sz="4" w:space="0" w:color="auto"/>
            </w:tcBorders>
            <w:vAlign w:val="center"/>
            <w:hideMark/>
          </w:tcPr>
          <w:p w:rsidR="00ED1FEE" w:rsidRDefault="00ED1FEE" w:rsidP="00ED1FEE">
            <w:pPr>
              <w:keepNext/>
              <w:jc w:val="center"/>
              <w:outlineLvl w:val="4"/>
              <w:rPr>
                <w:rFonts w:ascii="Calibri" w:eastAsia="Calibri" w:hAnsi="Calibri"/>
                <w:sz w:val="20"/>
                <w:szCs w:val="20"/>
                <w:lang w:eastAsia="en-GB"/>
              </w:rPr>
            </w:pPr>
            <w:r>
              <w:rPr>
                <w:rFonts w:ascii="Calibri" w:eastAsia="Calibri" w:hAnsi="Calibri"/>
                <w:sz w:val="20"/>
                <w:szCs w:val="20"/>
                <w:lang w:eastAsia="en-GB"/>
              </w:rPr>
              <w:t>X</w:t>
            </w:r>
          </w:p>
        </w:tc>
      </w:tr>
      <w:tr w:rsidR="00ED1FEE" w:rsidTr="00ED1FEE">
        <w:trPr>
          <w:trHeight w:val="381"/>
        </w:trPr>
        <w:tc>
          <w:tcPr>
            <w:tcW w:w="6344" w:type="dxa"/>
            <w:tcBorders>
              <w:top w:val="single" w:sz="4" w:space="0" w:color="auto"/>
              <w:left w:val="single" w:sz="4" w:space="0" w:color="auto"/>
              <w:bottom w:val="single" w:sz="4" w:space="0" w:color="auto"/>
              <w:right w:val="single" w:sz="4" w:space="0" w:color="auto"/>
            </w:tcBorders>
            <w:vAlign w:val="center"/>
            <w:hideMark/>
          </w:tcPr>
          <w:p w:rsidR="00ED1FEE" w:rsidRDefault="00ED1FEE" w:rsidP="00ED1FEE">
            <w:pPr>
              <w:keepNext/>
              <w:outlineLvl w:val="4"/>
              <w:rPr>
                <w:rFonts w:ascii="Calibri" w:eastAsia="Calibri" w:hAnsi="Calibri"/>
                <w:sz w:val="20"/>
                <w:szCs w:val="20"/>
                <w:lang w:eastAsia="en-GB"/>
              </w:rPr>
            </w:pPr>
            <w:r>
              <w:rPr>
                <w:rFonts w:ascii="Calibri" w:eastAsia="Calibri" w:hAnsi="Calibri"/>
                <w:sz w:val="20"/>
                <w:szCs w:val="20"/>
                <w:lang w:eastAsia="en-GB"/>
              </w:rPr>
              <w:t>Integrovaná produkcia vo vinohradoch</w:t>
            </w:r>
          </w:p>
        </w:tc>
        <w:tc>
          <w:tcPr>
            <w:tcW w:w="426" w:type="dxa"/>
            <w:tcBorders>
              <w:top w:val="single" w:sz="4" w:space="0" w:color="auto"/>
              <w:left w:val="single" w:sz="4" w:space="0" w:color="auto"/>
              <w:bottom w:val="single" w:sz="4" w:space="0" w:color="auto"/>
              <w:right w:val="single" w:sz="4" w:space="0" w:color="auto"/>
            </w:tcBorders>
            <w:vAlign w:val="center"/>
            <w:hideMark/>
          </w:tcPr>
          <w:p w:rsidR="00ED1FEE" w:rsidRDefault="00ED1FEE" w:rsidP="00ED1FEE">
            <w:pPr>
              <w:keepNext/>
              <w:jc w:val="center"/>
              <w:outlineLvl w:val="4"/>
              <w:rPr>
                <w:rFonts w:ascii="Calibri" w:eastAsia="Calibri" w:hAnsi="Calibri"/>
                <w:sz w:val="20"/>
                <w:szCs w:val="20"/>
                <w:lang w:eastAsia="en-GB"/>
              </w:rPr>
            </w:pPr>
            <w:r>
              <w:rPr>
                <w:rFonts w:ascii="Calibri" w:eastAsia="Calibri" w:hAnsi="Calibri"/>
                <w:sz w:val="20"/>
                <w:szCs w:val="20"/>
                <w:lang w:eastAsia="en-GB"/>
              </w:rPr>
              <w:t>x</w:t>
            </w:r>
          </w:p>
        </w:tc>
        <w:tc>
          <w:tcPr>
            <w:tcW w:w="425" w:type="dxa"/>
            <w:tcBorders>
              <w:top w:val="single" w:sz="4" w:space="0" w:color="auto"/>
              <w:left w:val="single" w:sz="4" w:space="0" w:color="auto"/>
              <w:bottom w:val="single" w:sz="4" w:space="0" w:color="auto"/>
              <w:right w:val="single" w:sz="4" w:space="0" w:color="auto"/>
            </w:tcBorders>
            <w:vAlign w:val="center"/>
            <w:hideMark/>
          </w:tcPr>
          <w:p w:rsidR="00ED1FEE" w:rsidRDefault="00ED1FEE" w:rsidP="00ED1FEE">
            <w:pPr>
              <w:keepNext/>
              <w:jc w:val="center"/>
              <w:outlineLvl w:val="4"/>
              <w:rPr>
                <w:rFonts w:ascii="Calibri" w:eastAsia="Calibri" w:hAnsi="Calibri"/>
                <w:sz w:val="20"/>
                <w:szCs w:val="20"/>
                <w:lang w:eastAsia="en-GB"/>
              </w:rPr>
            </w:pPr>
            <w:r>
              <w:rPr>
                <w:rFonts w:ascii="Calibri" w:eastAsia="Calibri" w:hAnsi="Calibri"/>
                <w:sz w:val="20"/>
                <w:szCs w:val="20"/>
                <w:lang w:eastAsia="en-GB"/>
              </w:rPr>
              <w:t>x</w:t>
            </w:r>
          </w:p>
        </w:tc>
        <w:tc>
          <w:tcPr>
            <w:tcW w:w="425" w:type="dxa"/>
            <w:tcBorders>
              <w:top w:val="single" w:sz="4" w:space="0" w:color="auto"/>
              <w:left w:val="single" w:sz="4" w:space="0" w:color="auto"/>
              <w:bottom w:val="single" w:sz="4" w:space="0" w:color="auto"/>
              <w:right w:val="single" w:sz="4" w:space="0" w:color="auto"/>
            </w:tcBorders>
            <w:vAlign w:val="center"/>
          </w:tcPr>
          <w:p w:rsidR="00ED1FEE" w:rsidRDefault="00ED1FEE" w:rsidP="00ED1FEE">
            <w:pPr>
              <w:keepNext/>
              <w:jc w:val="center"/>
              <w:outlineLvl w:val="4"/>
              <w:rPr>
                <w:rFonts w:ascii="Calibri" w:eastAsia="Calibri" w:hAnsi="Calibri"/>
                <w:sz w:val="20"/>
                <w:szCs w:val="20"/>
                <w:lang w:eastAsia="en-GB"/>
              </w:rPr>
            </w:pPr>
          </w:p>
        </w:tc>
        <w:tc>
          <w:tcPr>
            <w:tcW w:w="425" w:type="dxa"/>
            <w:tcBorders>
              <w:top w:val="single" w:sz="4" w:space="0" w:color="auto"/>
              <w:left w:val="single" w:sz="4" w:space="0" w:color="auto"/>
              <w:bottom w:val="single" w:sz="4" w:space="0" w:color="auto"/>
              <w:right w:val="single" w:sz="4" w:space="0" w:color="auto"/>
            </w:tcBorders>
            <w:vAlign w:val="center"/>
            <w:hideMark/>
          </w:tcPr>
          <w:p w:rsidR="00ED1FEE" w:rsidRDefault="00ED1FEE" w:rsidP="00ED1FEE">
            <w:pPr>
              <w:keepNext/>
              <w:jc w:val="center"/>
              <w:outlineLvl w:val="4"/>
              <w:rPr>
                <w:rFonts w:ascii="Calibri" w:eastAsia="Calibri" w:hAnsi="Calibri"/>
                <w:sz w:val="20"/>
                <w:szCs w:val="20"/>
                <w:lang w:eastAsia="en-GB"/>
              </w:rPr>
            </w:pPr>
            <w:r>
              <w:rPr>
                <w:rFonts w:ascii="Calibri" w:eastAsia="Calibri" w:hAnsi="Calibri"/>
                <w:sz w:val="20"/>
                <w:szCs w:val="20"/>
                <w:lang w:eastAsia="en-GB"/>
              </w:rPr>
              <w:t>x</w:t>
            </w:r>
          </w:p>
        </w:tc>
        <w:tc>
          <w:tcPr>
            <w:tcW w:w="567" w:type="dxa"/>
            <w:tcBorders>
              <w:top w:val="single" w:sz="4" w:space="0" w:color="auto"/>
              <w:left w:val="single" w:sz="4" w:space="0" w:color="auto"/>
              <w:bottom w:val="single" w:sz="4" w:space="0" w:color="auto"/>
              <w:right w:val="single" w:sz="4" w:space="0" w:color="auto"/>
            </w:tcBorders>
            <w:vAlign w:val="center"/>
          </w:tcPr>
          <w:p w:rsidR="00ED1FEE" w:rsidRDefault="00ED1FEE" w:rsidP="00ED1FEE">
            <w:pPr>
              <w:keepNext/>
              <w:jc w:val="center"/>
              <w:outlineLvl w:val="4"/>
              <w:rPr>
                <w:rFonts w:ascii="Calibri" w:eastAsia="Calibri" w:hAnsi="Calibri"/>
                <w:sz w:val="20"/>
                <w:szCs w:val="20"/>
                <w:lang w:eastAsia="en-GB"/>
              </w:rPr>
            </w:pPr>
          </w:p>
        </w:tc>
        <w:tc>
          <w:tcPr>
            <w:tcW w:w="568" w:type="dxa"/>
            <w:tcBorders>
              <w:top w:val="single" w:sz="4" w:space="0" w:color="auto"/>
              <w:left w:val="single" w:sz="4" w:space="0" w:color="auto"/>
              <w:bottom w:val="single" w:sz="4" w:space="0" w:color="auto"/>
              <w:right w:val="single" w:sz="4" w:space="0" w:color="auto"/>
            </w:tcBorders>
            <w:vAlign w:val="center"/>
            <w:hideMark/>
          </w:tcPr>
          <w:p w:rsidR="00ED1FEE" w:rsidRDefault="00ED1FEE" w:rsidP="00ED1FEE">
            <w:pPr>
              <w:keepNext/>
              <w:jc w:val="center"/>
              <w:outlineLvl w:val="4"/>
              <w:rPr>
                <w:rFonts w:ascii="Calibri" w:eastAsia="Calibri" w:hAnsi="Calibri"/>
                <w:sz w:val="20"/>
                <w:szCs w:val="20"/>
                <w:lang w:eastAsia="en-GB"/>
              </w:rPr>
            </w:pPr>
            <w:r>
              <w:rPr>
                <w:rFonts w:ascii="Calibri" w:eastAsia="Calibri" w:hAnsi="Calibri"/>
                <w:sz w:val="20"/>
                <w:szCs w:val="20"/>
                <w:lang w:eastAsia="en-GB"/>
              </w:rPr>
              <w:t>X</w:t>
            </w:r>
          </w:p>
        </w:tc>
      </w:tr>
      <w:tr w:rsidR="00ED1FEE" w:rsidTr="00ED1FEE">
        <w:trPr>
          <w:trHeight w:val="381"/>
        </w:trPr>
        <w:tc>
          <w:tcPr>
            <w:tcW w:w="6344" w:type="dxa"/>
            <w:tcBorders>
              <w:top w:val="single" w:sz="4" w:space="0" w:color="auto"/>
              <w:left w:val="single" w:sz="4" w:space="0" w:color="auto"/>
              <w:bottom w:val="single" w:sz="4" w:space="0" w:color="auto"/>
              <w:right w:val="single" w:sz="4" w:space="0" w:color="auto"/>
            </w:tcBorders>
            <w:vAlign w:val="center"/>
            <w:hideMark/>
          </w:tcPr>
          <w:p w:rsidR="00ED1FEE" w:rsidRDefault="00ED1FEE" w:rsidP="00ED1FEE">
            <w:pPr>
              <w:keepNext/>
              <w:outlineLvl w:val="4"/>
              <w:rPr>
                <w:rFonts w:ascii="Calibri" w:eastAsia="Calibri" w:hAnsi="Calibri"/>
                <w:sz w:val="20"/>
                <w:szCs w:val="20"/>
                <w:lang w:eastAsia="en-GB"/>
              </w:rPr>
            </w:pPr>
            <w:r>
              <w:rPr>
                <w:rFonts w:ascii="Calibri" w:eastAsia="Calibri" w:hAnsi="Calibri"/>
                <w:sz w:val="20"/>
                <w:szCs w:val="20"/>
                <w:lang w:eastAsia="en-GB"/>
              </w:rPr>
              <w:t xml:space="preserve">Ochrana biotopov poloprírodných a prírodných trávnych porastov </w:t>
            </w:r>
          </w:p>
        </w:tc>
        <w:tc>
          <w:tcPr>
            <w:tcW w:w="426" w:type="dxa"/>
            <w:tcBorders>
              <w:top w:val="single" w:sz="4" w:space="0" w:color="auto"/>
              <w:left w:val="single" w:sz="4" w:space="0" w:color="auto"/>
              <w:bottom w:val="single" w:sz="4" w:space="0" w:color="auto"/>
              <w:right w:val="single" w:sz="4" w:space="0" w:color="auto"/>
            </w:tcBorders>
            <w:vAlign w:val="center"/>
            <w:hideMark/>
          </w:tcPr>
          <w:p w:rsidR="00ED1FEE" w:rsidRDefault="00ED1FEE" w:rsidP="00ED1FEE">
            <w:pPr>
              <w:keepNext/>
              <w:jc w:val="center"/>
              <w:outlineLvl w:val="4"/>
              <w:rPr>
                <w:rFonts w:ascii="Calibri" w:eastAsia="Calibri" w:hAnsi="Calibri"/>
                <w:sz w:val="20"/>
                <w:szCs w:val="20"/>
                <w:lang w:eastAsia="en-GB"/>
              </w:rPr>
            </w:pPr>
            <w:r>
              <w:rPr>
                <w:rFonts w:ascii="Calibri" w:eastAsia="Calibri" w:hAnsi="Calibri"/>
                <w:sz w:val="20"/>
                <w:szCs w:val="20"/>
                <w:lang w:eastAsia="en-GB"/>
              </w:rPr>
              <w:t>x</w:t>
            </w:r>
          </w:p>
        </w:tc>
        <w:tc>
          <w:tcPr>
            <w:tcW w:w="425" w:type="dxa"/>
            <w:tcBorders>
              <w:top w:val="single" w:sz="4" w:space="0" w:color="auto"/>
              <w:left w:val="single" w:sz="4" w:space="0" w:color="auto"/>
              <w:bottom w:val="single" w:sz="4" w:space="0" w:color="auto"/>
              <w:right w:val="single" w:sz="4" w:space="0" w:color="auto"/>
            </w:tcBorders>
            <w:vAlign w:val="center"/>
          </w:tcPr>
          <w:p w:rsidR="00ED1FEE" w:rsidRDefault="00ED1FEE" w:rsidP="00ED1FEE">
            <w:pPr>
              <w:keepNext/>
              <w:jc w:val="center"/>
              <w:outlineLvl w:val="4"/>
              <w:rPr>
                <w:rFonts w:ascii="Calibri" w:eastAsia="Calibri" w:hAnsi="Calibri"/>
                <w:sz w:val="20"/>
                <w:szCs w:val="20"/>
                <w:lang w:eastAsia="en-GB"/>
              </w:rPr>
            </w:pPr>
          </w:p>
        </w:tc>
        <w:tc>
          <w:tcPr>
            <w:tcW w:w="425" w:type="dxa"/>
            <w:tcBorders>
              <w:top w:val="single" w:sz="4" w:space="0" w:color="auto"/>
              <w:left w:val="single" w:sz="4" w:space="0" w:color="auto"/>
              <w:bottom w:val="single" w:sz="4" w:space="0" w:color="auto"/>
              <w:right w:val="single" w:sz="4" w:space="0" w:color="auto"/>
            </w:tcBorders>
            <w:vAlign w:val="center"/>
          </w:tcPr>
          <w:p w:rsidR="00ED1FEE" w:rsidRDefault="00ED1FEE" w:rsidP="00ED1FEE">
            <w:pPr>
              <w:keepNext/>
              <w:jc w:val="center"/>
              <w:outlineLvl w:val="4"/>
              <w:rPr>
                <w:rFonts w:ascii="Calibri" w:eastAsia="Calibri" w:hAnsi="Calibri"/>
                <w:sz w:val="20"/>
                <w:szCs w:val="20"/>
                <w:lang w:eastAsia="en-GB"/>
              </w:rPr>
            </w:pPr>
          </w:p>
        </w:tc>
        <w:tc>
          <w:tcPr>
            <w:tcW w:w="425" w:type="dxa"/>
            <w:tcBorders>
              <w:top w:val="single" w:sz="4" w:space="0" w:color="auto"/>
              <w:left w:val="single" w:sz="4" w:space="0" w:color="auto"/>
              <w:bottom w:val="single" w:sz="4" w:space="0" w:color="auto"/>
              <w:right w:val="single" w:sz="4" w:space="0" w:color="auto"/>
            </w:tcBorders>
            <w:vAlign w:val="center"/>
          </w:tcPr>
          <w:p w:rsidR="00ED1FEE" w:rsidRDefault="00ED1FEE" w:rsidP="00ED1FEE">
            <w:pPr>
              <w:keepNext/>
              <w:jc w:val="center"/>
              <w:outlineLvl w:val="4"/>
              <w:rPr>
                <w:rFonts w:ascii="Calibri" w:eastAsia="Calibri" w:hAnsi="Calibri"/>
                <w:sz w:val="20"/>
                <w:szCs w:val="20"/>
                <w:lang w:eastAsia="en-GB"/>
              </w:rPr>
            </w:pPr>
          </w:p>
        </w:tc>
        <w:tc>
          <w:tcPr>
            <w:tcW w:w="567" w:type="dxa"/>
            <w:tcBorders>
              <w:top w:val="single" w:sz="4" w:space="0" w:color="auto"/>
              <w:left w:val="single" w:sz="4" w:space="0" w:color="auto"/>
              <w:bottom w:val="single" w:sz="4" w:space="0" w:color="auto"/>
              <w:right w:val="single" w:sz="4" w:space="0" w:color="auto"/>
            </w:tcBorders>
            <w:vAlign w:val="center"/>
            <w:hideMark/>
          </w:tcPr>
          <w:p w:rsidR="00ED1FEE" w:rsidRDefault="00ED1FEE" w:rsidP="00ED1FEE">
            <w:pPr>
              <w:keepNext/>
              <w:jc w:val="center"/>
              <w:outlineLvl w:val="4"/>
              <w:rPr>
                <w:rFonts w:ascii="Calibri" w:eastAsia="Calibri" w:hAnsi="Calibri"/>
                <w:sz w:val="20"/>
                <w:szCs w:val="20"/>
                <w:lang w:eastAsia="en-GB"/>
              </w:rPr>
            </w:pPr>
            <w:r>
              <w:rPr>
                <w:rFonts w:ascii="Calibri" w:eastAsia="Calibri" w:hAnsi="Calibri"/>
                <w:sz w:val="20"/>
                <w:szCs w:val="20"/>
                <w:lang w:eastAsia="en-GB"/>
              </w:rPr>
              <w:t>x</w:t>
            </w:r>
          </w:p>
        </w:tc>
        <w:tc>
          <w:tcPr>
            <w:tcW w:w="568" w:type="dxa"/>
            <w:tcBorders>
              <w:top w:val="single" w:sz="4" w:space="0" w:color="auto"/>
              <w:left w:val="single" w:sz="4" w:space="0" w:color="auto"/>
              <w:bottom w:val="single" w:sz="4" w:space="0" w:color="auto"/>
              <w:right w:val="single" w:sz="4" w:space="0" w:color="auto"/>
            </w:tcBorders>
            <w:vAlign w:val="center"/>
            <w:hideMark/>
          </w:tcPr>
          <w:p w:rsidR="00ED1FEE" w:rsidRDefault="00ED1FEE" w:rsidP="00ED1FEE">
            <w:pPr>
              <w:keepNext/>
              <w:jc w:val="center"/>
              <w:outlineLvl w:val="4"/>
              <w:rPr>
                <w:rFonts w:ascii="Calibri" w:eastAsia="Calibri" w:hAnsi="Calibri"/>
                <w:sz w:val="20"/>
                <w:szCs w:val="20"/>
                <w:lang w:eastAsia="en-GB"/>
              </w:rPr>
            </w:pPr>
            <w:r>
              <w:rPr>
                <w:rFonts w:ascii="Calibri" w:eastAsia="Calibri" w:hAnsi="Calibri"/>
                <w:sz w:val="20"/>
                <w:szCs w:val="20"/>
                <w:lang w:eastAsia="en-GB"/>
              </w:rPr>
              <w:t>X</w:t>
            </w:r>
          </w:p>
        </w:tc>
      </w:tr>
      <w:tr w:rsidR="00ED1FEE" w:rsidTr="00ED1FEE">
        <w:trPr>
          <w:trHeight w:val="381"/>
        </w:trPr>
        <w:tc>
          <w:tcPr>
            <w:tcW w:w="6344" w:type="dxa"/>
            <w:tcBorders>
              <w:top w:val="single" w:sz="4" w:space="0" w:color="auto"/>
              <w:left w:val="single" w:sz="4" w:space="0" w:color="auto"/>
              <w:bottom w:val="single" w:sz="4" w:space="0" w:color="auto"/>
              <w:right w:val="single" w:sz="4" w:space="0" w:color="auto"/>
            </w:tcBorders>
            <w:vAlign w:val="center"/>
            <w:hideMark/>
          </w:tcPr>
          <w:p w:rsidR="00ED1FEE" w:rsidRDefault="00ED1FEE" w:rsidP="00ED1FEE">
            <w:pPr>
              <w:keepNext/>
              <w:outlineLvl w:val="4"/>
              <w:rPr>
                <w:rFonts w:ascii="Calibri" w:eastAsia="Calibri" w:hAnsi="Calibri"/>
                <w:sz w:val="20"/>
                <w:szCs w:val="20"/>
                <w:lang w:eastAsia="en-GB"/>
              </w:rPr>
            </w:pPr>
            <w:r>
              <w:rPr>
                <w:rFonts w:ascii="Calibri" w:eastAsia="Calibri" w:hAnsi="Calibri"/>
                <w:sz w:val="20"/>
                <w:szCs w:val="20"/>
                <w:lang w:eastAsia="en-GB"/>
              </w:rPr>
              <w:t>Ochrana proti erózii pôdy vytváraním stabilizujúcich  pásov</w:t>
            </w:r>
          </w:p>
        </w:tc>
        <w:tc>
          <w:tcPr>
            <w:tcW w:w="426" w:type="dxa"/>
            <w:tcBorders>
              <w:top w:val="single" w:sz="4" w:space="0" w:color="auto"/>
              <w:left w:val="single" w:sz="4" w:space="0" w:color="auto"/>
              <w:bottom w:val="single" w:sz="4" w:space="0" w:color="auto"/>
              <w:right w:val="single" w:sz="4" w:space="0" w:color="auto"/>
            </w:tcBorders>
            <w:vAlign w:val="center"/>
          </w:tcPr>
          <w:p w:rsidR="00ED1FEE" w:rsidRDefault="00ED1FEE" w:rsidP="00ED1FEE">
            <w:pPr>
              <w:keepNext/>
              <w:jc w:val="center"/>
              <w:outlineLvl w:val="4"/>
              <w:rPr>
                <w:rFonts w:ascii="Calibri" w:eastAsia="Calibri" w:hAnsi="Calibri"/>
                <w:sz w:val="20"/>
                <w:szCs w:val="20"/>
                <w:lang w:eastAsia="en-GB"/>
              </w:rPr>
            </w:pPr>
          </w:p>
        </w:tc>
        <w:tc>
          <w:tcPr>
            <w:tcW w:w="425" w:type="dxa"/>
            <w:tcBorders>
              <w:top w:val="single" w:sz="4" w:space="0" w:color="auto"/>
              <w:left w:val="single" w:sz="4" w:space="0" w:color="auto"/>
              <w:bottom w:val="single" w:sz="4" w:space="0" w:color="auto"/>
              <w:right w:val="single" w:sz="4" w:space="0" w:color="auto"/>
            </w:tcBorders>
            <w:vAlign w:val="center"/>
          </w:tcPr>
          <w:p w:rsidR="00ED1FEE" w:rsidRDefault="00ED1FEE" w:rsidP="00ED1FEE">
            <w:pPr>
              <w:keepNext/>
              <w:jc w:val="center"/>
              <w:outlineLvl w:val="4"/>
              <w:rPr>
                <w:rFonts w:ascii="Calibri" w:eastAsia="Calibri" w:hAnsi="Calibri"/>
                <w:sz w:val="20"/>
                <w:szCs w:val="20"/>
                <w:lang w:eastAsia="en-GB"/>
              </w:rPr>
            </w:pPr>
          </w:p>
        </w:tc>
        <w:tc>
          <w:tcPr>
            <w:tcW w:w="425" w:type="dxa"/>
            <w:tcBorders>
              <w:top w:val="single" w:sz="4" w:space="0" w:color="auto"/>
              <w:left w:val="single" w:sz="4" w:space="0" w:color="auto"/>
              <w:bottom w:val="single" w:sz="4" w:space="0" w:color="auto"/>
              <w:right w:val="single" w:sz="4" w:space="0" w:color="auto"/>
            </w:tcBorders>
            <w:vAlign w:val="center"/>
            <w:hideMark/>
          </w:tcPr>
          <w:p w:rsidR="00ED1FEE" w:rsidRDefault="00ED1FEE" w:rsidP="00ED1FEE">
            <w:pPr>
              <w:keepNext/>
              <w:jc w:val="center"/>
              <w:outlineLvl w:val="4"/>
              <w:rPr>
                <w:rFonts w:ascii="Calibri" w:eastAsia="Calibri" w:hAnsi="Calibri"/>
                <w:sz w:val="20"/>
                <w:szCs w:val="20"/>
                <w:lang w:eastAsia="en-GB"/>
              </w:rPr>
            </w:pPr>
            <w:r>
              <w:rPr>
                <w:rFonts w:ascii="Calibri" w:eastAsia="Calibri" w:hAnsi="Calibri"/>
                <w:sz w:val="20"/>
                <w:szCs w:val="20"/>
                <w:lang w:eastAsia="en-GB"/>
              </w:rPr>
              <w:t>x</w:t>
            </w:r>
          </w:p>
        </w:tc>
        <w:tc>
          <w:tcPr>
            <w:tcW w:w="425" w:type="dxa"/>
            <w:tcBorders>
              <w:top w:val="single" w:sz="4" w:space="0" w:color="auto"/>
              <w:left w:val="single" w:sz="4" w:space="0" w:color="auto"/>
              <w:bottom w:val="single" w:sz="4" w:space="0" w:color="auto"/>
              <w:right w:val="single" w:sz="4" w:space="0" w:color="auto"/>
            </w:tcBorders>
            <w:vAlign w:val="center"/>
          </w:tcPr>
          <w:p w:rsidR="00ED1FEE" w:rsidRDefault="00ED1FEE" w:rsidP="00ED1FEE">
            <w:pPr>
              <w:keepNext/>
              <w:jc w:val="center"/>
              <w:outlineLvl w:val="4"/>
              <w:rPr>
                <w:rFonts w:ascii="Calibri" w:eastAsia="Calibri" w:hAnsi="Calibri"/>
                <w:sz w:val="20"/>
                <w:szCs w:val="20"/>
                <w:lang w:eastAsia="en-GB"/>
              </w:rPr>
            </w:pPr>
          </w:p>
        </w:tc>
        <w:tc>
          <w:tcPr>
            <w:tcW w:w="567" w:type="dxa"/>
            <w:tcBorders>
              <w:top w:val="single" w:sz="4" w:space="0" w:color="auto"/>
              <w:left w:val="single" w:sz="4" w:space="0" w:color="auto"/>
              <w:bottom w:val="single" w:sz="4" w:space="0" w:color="auto"/>
              <w:right w:val="single" w:sz="4" w:space="0" w:color="auto"/>
            </w:tcBorders>
            <w:vAlign w:val="center"/>
            <w:hideMark/>
          </w:tcPr>
          <w:p w:rsidR="00ED1FEE" w:rsidRDefault="00ED1FEE" w:rsidP="00ED1FEE">
            <w:pPr>
              <w:keepNext/>
              <w:jc w:val="center"/>
              <w:outlineLvl w:val="4"/>
              <w:rPr>
                <w:rFonts w:ascii="Calibri" w:eastAsia="Calibri" w:hAnsi="Calibri"/>
                <w:sz w:val="20"/>
                <w:szCs w:val="20"/>
                <w:lang w:eastAsia="en-GB"/>
              </w:rPr>
            </w:pPr>
            <w:r>
              <w:rPr>
                <w:rFonts w:ascii="Calibri" w:eastAsia="Calibri" w:hAnsi="Calibri"/>
                <w:sz w:val="20"/>
                <w:szCs w:val="20"/>
                <w:lang w:eastAsia="en-GB"/>
              </w:rPr>
              <w:t>x</w:t>
            </w:r>
          </w:p>
        </w:tc>
        <w:tc>
          <w:tcPr>
            <w:tcW w:w="568" w:type="dxa"/>
            <w:tcBorders>
              <w:top w:val="single" w:sz="4" w:space="0" w:color="auto"/>
              <w:left w:val="single" w:sz="4" w:space="0" w:color="auto"/>
              <w:bottom w:val="single" w:sz="4" w:space="0" w:color="auto"/>
              <w:right w:val="single" w:sz="4" w:space="0" w:color="auto"/>
            </w:tcBorders>
            <w:vAlign w:val="center"/>
            <w:hideMark/>
          </w:tcPr>
          <w:p w:rsidR="00ED1FEE" w:rsidRDefault="00ED1FEE" w:rsidP="00ED1FEE">
            <w:pPr>
              <w:keepNext/>
              <w:jc w:val="center"/>
              <w:outlineLvl w:val="4"/>
              <w:rPr>
                <w:rFonts w:ascii="Calibri" w:eastAsia="Calibri" w:hAnsi="Calibri"/>
                <w:sz w:val="20"/>
                <w:szCs w:val="20"/>
                <w:lang w:eastAsia="en-GB"/>
              </w:rPr>
            </w:pPr>
            <w:r>
              <w:rPr>
                <w:rFonts w:ascii="Calibri" w:eastAsia="Calibri" w:hAnsi="Calibri"/>
                <w:sz w:val="20"/>
                <w:szCs w:val="20"/>
                <w:lang w:eastAsia="en-GB"/>
              </w:rPr>
              <w:t>X</w:t>
            </w:r>
          </w:p>
        </w:tc>
      </w:tr>
      <w:tr w:rsidR="00ED1FEE" w:rsidTr="00ED1FEE">
        <w:trPr>
          <w:trHeight w:val="381"/>
        </w:trPr>
        <w:tc>
          <w:tcPr>
            <w:tcW w:w="6344" w:type="dxa"/>
            <w:tcBorders>
              <w:top w:val="single" w:sz="4" w:space="0" w:color="auto"/>
              <w:left w:val="single" w:sz="4" w:space="0" w:color="auto"/>
              <w:bottom w:val="single" w:sz="4" w:space="0" w:color="auto"/>
              <w:right w:val="single" w:sz="4" w:space="0" w:color="auto"/>
            </w:tcBorders>
            <w:shd w:val="clear" w:color="auto" w:fill="auto"/>
            <w:vAlign w:val="center"/>
          </w:tcPr>
          <w:p w:rsidR="00ED1FEE" w:rsidRPr="007F7731" w:rsidRDefault="00ED1FEE" w:rsidP="00ED1FEE">
            <w:pPr>
              <w:keepNext/>
              <w:outlineLvl w:val="4"/>
              <w:rPr>
                <w:rFonts w:ascii="Calibri" w:eastAsia="Calibri" w:hAnsi="Calibri"/>
                <w:sz w:val="20"/>
                <w:szCs w:val="20"/>
                <w:lang w:eastAsia="en-GB"/>
              </w:rPr>
            </w:pPr>
            <w:r w:rsidRPr="007F7731">
              <w:rPr>
                <w:rFonts w:ascii="Calibri" w:eastAsia="Calibri" w:hAnsi="Calibri"/>
                <w:sz w:val="20"/>
                <w:szCs w:val="20"/>
                <w:lang w:eastAsia="en-GB"/>
              </w:rPr>
              <w:t>Multifunkčné okraje polí</w:t>
            </w:r>
          </w:p>
        </w:tc>
        <w:tc>
          <w:tcPr>
            <w:tcW w:w="426" w:type="dxa"/>
            <w:tcBorders>
              <w:top w:val="single" w:sz="4" w:space="0" w:color="auto"/>
              <w:left w:val="single" w:sz="4" w:space="0" w:color="auto"/>
              <w:bottom w:val="single" w:sz="4" w:space="0" w:color="auto"/>
              <w:right w:val="single" w:sz="4" w:space="0" w:color="auto"/>
            </w:tcBorders>
            <w:shd w:val="clear" w:color="auto" w:fill="auto"/>
            <w:vAlign w:val="center"/>
          </w:tcPr>
          <w:p w:rsidR="00ED1FEE" w:rsidRPr="007F7731" w:rsidRDefault="00ED1FEE" w:rsidP="00ED1FEE">
            <w:pPr>
              <w:keepNext/>
              <w:jc w:val="center"/>
              <w:outlineLvl w:val="4"/>
              <w:rPr>
                <w:rFonts w:ascii="Calibri" w:eastAsia="Calibri" w:hAnsi="Calibri"/>
                <w:sz w:val="20"/>
                <w:szCs w:val="20"/>
                <w:lang w:eastAsia="en-GB"/>
              </w:rPr>
            </w:pPr>
            <w:r w:rsidRPr="007F7731">
              <w:rPr>
                <w:rFonts w:ascii="Calibri" w:eastAsia="Calibri" w:hAnsi="Calibri"/>
                <w:sz w:val="20"/>
                <w:szCs w:val="20"/>
                <w:lang w:eastAsia="en-GB"/>
              </w:rPr>
              <w:t>x</w:t>
            </w:r>
          </w:p>
        </w:tc>
        <w:tc>
          <w:tcPr>
            <w:tcW w:w="425" w:type="dxa"/>
            <w:tcBorders>
              <w:top w:val="single" w:sz="4" w:space="0" w:color="auto"/>
              <w:left w:val="single" w:sz="4" w:space="0" w:color="auto"/>
              <w:bottom w:val="single" w:sz="4" w:space="0" w:color="auto"/>
              <w:right w:val="single" w:sz="4" w:space="0" w:color="auto"/>
            </w:tcBorders>
            <w:shd w:val="clear" w:color="auto" w:fill="auto"/>
            <w:vAlign w:val="center"/>
          </w:tcPr>
          <w:p w:rsidR="00ED1FEE" w:rsidRPr="007F7731" w:rsidRDefault="00ED1FEE" w:rsidP="00ED1FEE">
            <w:pPr>
              <w:keepNext/>
              <w:jc w:val="center"/>
              <w:outlineLvl w:val="4"/>
              <w:rPr>
                <w:rFonts w:ascii="Calibri" w:eastAsia="Calibri" w:hAnsi="Calibri"/>
                <w:sz w:val="20"/>
                <w:szCs w:val="20"/>
                <w:lang w:eastAsia="en-GB"/>
              </w:rPr>
            </w:pPr>
            <w:r w:rsidRPr="007F7731">
              <w:rPr>
                <w:rFonts w:ascii="Calibri" w:eastAsia="Calibri" w:hAnsi="Calibri"/>
                <w:sz w:val="20"/>
                <w:szCs w:val="20"/>
                <w:lang w:eastAsia="en-GB"/>
              </w:rPr>
              <w:t>x</w:t>
            </w:r>
          </w:p>
        </w:tc>
        <w:tc>
          <w:tcPr>
            <w:tcW w:w="425" w:type="dxa"/>
            <w:tcBorders>
              <w:top w:val="single" w:sz="4" w:space="0" w:color="auto"/>
              <w:left w:val="single" w:sz="4" w:space="0" w:color="auto"/>
              <w:bottom w:val="single" w:sz="4" w:space="0" w:color="auto"/>
              <w:right w:val="single" w:sz="4" w:space="0" w:color="auto"/>
            </w:tcBorders>
            <w:shd w:val="clear" w:color="auto" w:fill="auto"/>
            <w:vAlign w:val="center"/>
          </w:tcPr>
          <w:p w:rsidR="00ED1FEE" w:rsidRPr="007F7731" w:rsidRDefault="00ED1FEE" w:rsidP="00ED1FEE">
            <w:pPr>
              <w:keepNext/>
              <w:jc w:val="center"/>
              <w:outlineLvl w:val="4"/>
              <w:rPr>
                <w:rFonts w:ascii="Calibri" w:eastAsia="Calibri" w:hAnsi="Calibri"/>
                <w:sz w:val="20"/>
                <w:szCs w:val="20"/>
                <w:lang w:eastAsia="en-GB"/>
              </w:rPr>
            </w:pPr>
          </w:p>
        </w:tc>
        <w:tc>
          <w:tcPr>
            <w:tcW w:w="425" w:type="dxa"/>
            <w:tcBorders>
              <w:top w:val="single" w:sz="4" w:space="0" w:color="auto"/>
              <w:left w:val="single" w:sz="4" w:space="0" w:color="auto"/>
              <w:bottom w:val="single" w:sz="4" w:space="0" w:color="auto"/>
              <w:right w:val="single" w:sz="4" w:space="0" w:color="auto"/>
            </w:tcBorders>
            <w:shd w:val="clear" w:color="auto" w:fill="auto"/>
            <w:vAlign w:val="center"/>
          </w:tcPr>
          <w:p w:rsidR="00ED1FEE" w:rsidRPr="007F7731" w:rsidRDefault="00ED1FEE" w:rsidP="00ED1FEE">
            <w:pPr>
              <w:keepNext/>
              <w:jc w:val="center"/>
              <w:outlineLvl w:val="4"/>
              <w:rPr>
                <w:rFonts w:ascii="Calibri" w:eastAsia="Calibri" w:hAnsi="Calibri"/>
                <w:sz w:val="20"/>
                <w:szCs w:val="20"/>
                <w:lang w:eastAsia="en-GB"/>
              </w:rPr>
            </w:pPr>
            <w:r w:rsidRPr="007F7731">
              <w:rPr>
                <w:rFonts w:ascii="Calibri" w:eastAsia="Calibri" w:hAnsi="Calibri"/>
                <w:sz w:val="20"/>
                <w:szCs w:val="20"/>
                <w:lang w:eastAsia="en-GB"/>
              </w:rPr>
              <w:t>x</w:t>
            </w:r>
          </w:p>
        </w:tc>
        <w:tc>
          <w:tcPr>
            <w:tcW w:w="567" w:type="dxa"/>
            <w:tcBorders>
              <w:top w:val="single" w:sz="4" w:space="0" w:color="auto"/>
              <w:left w:val="single" w:sz="4" w:space="0" w:color="auto"/>
              <w:bottom w:val="single" w:sz="4" w:space="0" w:color="auto"/>
              <w:right w:val="single" w:sz="4" w:space="0" w:color="auto"/>
            </w:tcBorders>
            <w:shd w:val="clear" w:color="auto" w:fill="auto"/>
            <w:vAlign w:val="center"/>
          </w:tcPr>
          <w:p w:rsidR="00ED1FEE" w:rsidRPr="007F7731" w:rsidRDefault="00ED1FEE" w:rsidP="00ED1FEE">
            <w:pPr>
              <w:keepNext/>
              <w:jc w:val="center"/>
              <w:outlineLvl w:val="4"/>
              <w:rPr>
                <w:rFonts w:ascii="Calibri" w:eastAsia="Calibri" w:hAnsi="Calibri"/>
                <w:sz w:val="20"/>
                <w:szCs w:val="20"/>
                <w:lang w:eastAsia="en-GB"/>
              </w:rPr>
            </w:pPr>
            <w:r w:rsidRPr="007F7731">
              <w:rPr>
                <w:rFonts w:ascii="Calibri" w:eastAsia="Calibri" w:hAnsi="Calibri"/>
                <w:sz w:val="20"/>
                <w:szCs w:val="20"/>
                <w:lang w:eastAsia="en-GB"/>
              </w:rPr>
              <w:t>x</w:t>
            </w:r>
          </w:p>
        </w:tc>
        <w:tc>
          <w:tcPr>
            <w:tcW w:w="568" w:type="dxa"/>
            <w:tcBorders>
              <w:top w:val="single" w:sz="4" w:space="0" w:color="auto"/>
              <w:left w:val="single" w:sz="4" w:space="0" w:color="auto"/>
              <w:bottom w:val="single" w:sz="4" w:space="0" w:color="auto"/>
              <w:right w:val="single" w:sz="4" w:space="0" w:color="auto"/>
            </w:tcBorders>
            <w:shd w:val="clear" w:color="auto" w:fill="auto"/>
            <w:vAlign w:val="center"/>
          </w:tcPr>
          <w:p w:rsidR="00ED1FEE" w:rsidRPr="007F7731" w:rsidRDefault="00ED1FEE" w:rsidP="00ED1FEE">
            <w:pPr>
              <w:keepNext/>
              <w:jc w:val="center"/>
              <w:outlineLvl w:val="4"/>
              <w:rPr>
                <w:rFonts w:ascii="Calibri" w:eastAsia="Calibri" w:hAnsi="Calibri"/>
                <w:sz w:val="20"/>
                <w:szCs w:val="20"/>
                <w:lang w:eastAsia="en-GB"/>
              </w:rPr>
            </w:pPr>
            <w:r w:rsidRPr="007F7731">
              <w:rPr>
                <w:rFonts w:ascii="Calibri" w:eastAsia="Calibri" w:hAnsi="Calibri"/>
                <w:sz w:val="20"/>
                <w:szCs w:val="20"/>
                <w:lang w:eastAsia="en-GB"/>
              </w:rPr>
              <w:t>x</w:t>
            </w:r>
          </w:p>
        </w:tc>
      </w:tr>
      <w:tr w:rsidR="00ED1FEE" w:rsidTr="00ED1FEE">
        <w:trPr>
          <w:trHeight w:val="381"/>
        </w:trPr>
        <w:tc>
          <w:tcPr>
            <w:tcW w:w="6344" w:type="dxa"/>
            <w:tcBorders>
              <w:top w:val="single" w:sz="4" w:space="0" w:color="auto"/>
              <w:left w:val="single" w:sz="4" w:space="0" w:color="auto"/>
              <w:bottom w:val="single" w:sz="4" w:space="0" w:color="auto"/>
              <w:right w:val="single" w:sz="4" w:space="0" w:color="auto"/>
            </w:tcBorders>
            <w:shd w:val="clear" w:color="auto" w:fill="auto"/>
            <w:vAlign w:val="center"/>
          </w:tcPr>
          <w:p w:rsidR="00ED1FEE" w:rsidRPr="007F7731" w:rsidRDefault="00ED1FEE" w:rsidP="00ED1FEE">
            <w:pPr>
              <w:keepNext/>
              <w:outlineLvl w:val="4"/>
              <w:rPr>
                <w:rFonts w:ascii="Calibri" w:eastAsia="Calibri" w:hAnsi="Calibri"/>
                <w:sz w:val="20"/>
                <w:szCs w:val="20"/>
                <w:lang w:eastAsia="en-GB"/>
              </w:rPr>
            </w:pPr>
            <w:r w:rsidRPr="007F7731">
              <w:rPr>
                <w:rFonts w:ascii="Calibri" w:eastAsia="Calibri" w:hAnsi="Calibri"/>
                <w:sz w:val="20"/>
                <w:szCs w:val="20"/>
                <w:lang w:eastAsia="en-GB"/>
              </w:rPr>
              <w:t>Ochrana vodných zdrojov - CHVO Žitný ostrov</w:t>
            </w:r>
          </w:p>
        </w:tc>
        <w:tc>
          <w:tcPr>
            <w:tcW w:w="426" w:type="dxa"/>
            <w:tcBorders>
              <w:top w:val="single" w:sz="4" w:space="0" w:color="auto"/>
              <w:left w:val="single" w:sz="4" w:space="0" w:color="auto"/>
              <w:bottom w:val="single" w:sz="4" w:space="0" w:color="auto"/>
              <w:right w:val="single" w:sz="4" w:space="0" w:color="auto"/>
            </w:tcBorders>
            <w:shd w:val="clear" w:color="auto" w:fill="auto"/>
            <w:vAlign w:val="center"/>
          </w:tcPr>
          <w:p w:rsidR="00ED1FEE" w:rsidRPr="007F7731" w:rsidRDefault="00ED1FEE" w:rsidP="00ED1FEE">
            <w:pPr>
              <w:keepNext/>
              <w:jc w:val="center"/>
              <w:outlineLvl w:val="4"/>
              <w:rPr>
                <w:rFonts w:ascii="Calibri" w:eastAsia="Calibri" w:hAnsi="Calibri"/>
                <w:sz w:val="20"/>
                <w:szCs w:val="20"/>
                <w:lang w:eastAsia="en-GB"/>
              </w:rPr>
            </w:pPr>
          </w:p>
        </w:tc>
        <w:tc>
          <w:tcPr>
            <w:tcW w:w="425" w:type="dxa"/>
            <w:tcBorders>
              <w:top w:val="single" w:sz="4" w:space="0" w:color="auto"/>
              <w:left w:val="single" w:sz="4" w:space="0" w:color="auto"/>
              <w:bottom w:val="single" w:sz="4" w:space="0" w:color="auto"/>
              <w:right w:val="single" w:sz="4" w:space="0" w:color="auto"/>
            </w:tcBorders>
            <w:shd w:val="clear" w:color="auto" w:fill="auto"/>
            <w:vAlign w:val="center"/>
          </w:tcPr>
          <w:p w:rsidR="00ED1FEE" w:rsidRPr="007F7731" w:rsidRDefault="00ED1FEE" w:rsidP="00ED1FEE">
            <w:pPr>
              <w:keepNext/>
              <w:jc w:val="center"/>
              <w:outlineLvl w:val="4"/>
              <w:rPr>
                <w:rFonts w:ascii="Calibri" w:eastAsia="Calibri" w:hAnsi="Calibri"/>
                <w:sz w:val="20"/>
                <w:szCs w:val="20"/>
                <w:lang w:eastAsia="en-GB"/>
              </w:rPr>
            </w:pPr>
            <w:r w:rsidRPr="007F7731">
              <w:rPr>
                <w:rFonts w:ascii="Calibri" w:eastAsia="Calibri" w:hAnsi="Calibri"/>
                <w:sz w:val="20"/>
                <w:szCs w:val="20"/>
                <w:lang w:eastAsia="en-GB"/>
              </w:rPr>
              <w:t>x</w:t>
            </w:r>
          </w:p>
        </w:tc>
        <w:tc>
          <w:tcPr>
            <w:tcW w:w="425" w:type="dxa"/>
            <w:tcBorders>
              <w:top w:val="single" w:sz="4" w:space="0" w:color="auto"/>
              <w:left w:val="single" w:sz="4" w:space="0" w:color="auto"/>
              <w:bottom w:val="single" w:sz="4" w:space="0" w:color="auto"/>
              <w:right w:val="single" w:sz="4" w:space="0" w:color="auto"/>
            </w:tcBorders>
            <w:shd w:val="clear" w:color="auto" w:fill="auto"/>
            <w:vAlign w:val="center"/>
          </w:tcPr>
          <w:p w:rsidR="00ED1FEE" w:rsidRPr="007F7731" w:rsidRDefault="00ED1FEE" w:rsidP="00ED1FEE">
            <w:pPr>
              <w:keepNext/>
              <w:jc w:val="center"/>
              <w:outlineLvl w:val="4"/>
              <w:rPr>
                <w:rFonts w:ascii="Calibri" w:eastAsia="Calibri" w:hAnsi="Calibri"/>
                <w:sz w:val="20"/>
                <w:szCs w:val="20"/>
                <w:lang w:eastAsia="en-GB"/>
              </w:rPr>
            </w:pPr>
          </w:p>
        </w:tc>
        <w:tc>
          <w:tcPr>
            <w:tcW w:w="425" w:type="dxa"/>
            <w:tcBorders>
              <w:top w:val="single" w:sz="4" w:space="0" w:color="auto"/>
              <w:left w:val="single" w:sz="4" w:space="0" w:color="auto"/>
              <w:bottom w:val="single" w:sz="4" w:space="0" w:color="auto"/>
              <w:right w:val="single" w:sz="4" w:space="0" w:color="auto"/>
            </w:tcBorders>
            <w:shd w:val="clear" w:color="auto" w:fill="auto"/>
            <w:vAlign w:val="center"/>
          </w:tcPr>
          <w:p w:rsidR="00ED1FEE" w:rsidRPr="007F7731" w:rsidRDefault="00ED1FEE" w:rsidP="00ED1FEE">
            <w:pPr>
              <w:keepNext/>
              <w:jc w:val="center"/>
              <w:outlineLvl w:val="4"/>
              <w:rPr>
                <w:rFonts w:ascii="Calibri" w:eastAsia="Calibri" w:hAnsi="Calibri"/>
                <w:sz w:val="20"/>
                <w:szCs w:val="20"/>
                <w:lang w:eastAsia="en-GB"/>
              </w:rPr>
            </w:pPr>
            <w:r w:rsidRPr="007F7731">
              <w:rPr>
                <w:rFonts w:ascii="Calibri" w:eastAsia="Calibri" w:hAnsi="Calibri"/>
                <w:sz w:val="20"/>
                <w:szCs w:val="20"/>
                <w:lang w:eastAsia="en-GB"/>
              </w:rPr>
              <w:t>x</w:t>
            </w:r>
          </w:p>
        </w:tc>
        <w:tc>
          <w:tcPr>
            <w:tcW w:w="567" w:type="dxa"/>
            <w:tcBorders>
              <w:top w:val="single" w:sz="4" w:space="0" w:color="auto"/>
              <w:left w:val="single" w:sz="4" w:space="0" w:color="auto"/>
              <w:bottom w:val="single" w:sz="4" w:space="0" w:color="auto"/>
              <w:right w:val="single" w:sz="4" w:space="0" w:color="auto"/>
            </w:tcBorders>
            <w:shd w:val="clear" w:color="auto" w:fill="auto"/>
            <w:vAlign w:val="center"/>
          </w:tcPr>
          <w:p w:rsidR="00ED1FEE" w:rsidRPr="007F7731" w:rsidRDefault="00ED1FEE" w:rsidP="00ED1FEE">
            <w:pPr>
              <w:keepNext/>
              <w:jc w:val="center"/>
              <w:outlineLvl w:val="4"/>
              <w:rPr>
                <w:rFonts w:ascii="Calibri" w:eastAsia="Calibri" w:hAnsi="Calibri"/>
                <w:sz w:val="20"/>
                <w:szCs w:val="20"/>
                <w:lang w:eastAsia="en-GB"/>
              </w:rPr>
            </w:pPr>
          </w:p>
        </w:tc>
        <w:tc>
          <w:tcPr>
            <w:tcW w:w="568" w:type="dxa"/>
            <w:tcBorders>
              <w:top w:val="single" w:sz="4" w:space="0" w:color="auto"/>
              <w:left w:val="single" w:sz="4" w:space="0" w:color="auto"/>
              <w:bottom w:val="single" w:sz="4" w:space="0" w:color="auto"/>
              <w:right w:val="single" w:sz="4" w:space="0" w:color="auto"/>
            </w:tcBorders>
            <w:shd w:val="clear" w:color="auto" w:fill="auto"/>
            <w:vAlign w:val="center"/>
          </w:tcPr>
          <w:p w:rsidR="00ED1FEE" w:rsidRPr="007F7731" w:rsidRDefault="00ED1FEE" w:rsidP="00ED1FEE">
            <w:pPr>
              <w:keepNext/>
              <w:jc w:val="center"/>
              <w:outlineLvl w:val="4"/>
              <w:rPr>
                <w:rFonts w:ascii="Calibri" w:eastAsia="Calibri" w:hAnsi="Calibri"/>
                <w:sz w:val="20"/>
                <w:szCs w:val="20"/>
                <w:lang w:eastAsia="en-GB"/>
              </w:rPr>
            </w:pPr>
            <w:r w:rsidRPr="007F7731">
              <w:rPr>
                <w:rFonts w:ascii="Calibri" w:eastAsia="Calibri" w:hAnsi="Calibri"/>
                <w:sz w:val="20"/>
                <w:szCs w:val="20"/>
                <w:lang w:eastAsia="en-GB"/>
              </w:rPr>
              <w:t>x</w:t>
            </w:r>
          </w:p>
        </w:tc>
      </w:tr>
      <w:tr w:rsidR="00ED1FEE" w:rsidTr="00ED1FEE">
        <w:trPr>
          <w:trHeight w:val="381"/>
        </w:trPr>
        <w:tc>
          <w:tcPr>
            <w:tcW w:w="6344" w:type="dxa"/>
            <w:tcBorders>
              <w:top w:val="single" w:sz="4" w:space="0" w:color="auto"/>
              <w:left w:val="single" w:sz="4" w:space="0" w:color="auto"/>
              <w:bottom w:val="single" w:sz="4" w:space="0" w:color="auto"/>
              <w:right w:val="single" w:sz="4" w:space="0" w:color="auto"/>
            </w:tcBorders>
            <w:shd w:val="clear" w:color="auto" w:fill="auto"/>
            <w:vAlign w:val="center"/>
          </w:tcPr>
          <w:p w:rsidR="00ED1FEE" w:rsidRPr="007F7731" w:rsidRDefault="00ED1FEE" w:rsidP="00ED1FEE">
            <w:pPr>
              <w:keepNext/>
              <w:outlineLvl w:val="4"/>
              <w:rPr>
                <w:rFonts w:ascii="Calibri" w:eastAsia="Calibri" w:hAnsi="Calibri"/>
                <w:sz w:val="20"/>
                <w:szCs w:val="20"/>
                <w:lang w:eastAsia="en-GB"/>
              </w:rPr>
            </w:pPr>
            <w:r w:rsidRPr="007F7731">
              <w:rPr>
                <w:rFonts w:ascii="Calibri" w:eastAsia="Calibri" w:hAnsi="Calibri"/>
                <w:sz w:val="20"/>
                <w:szCs w:val="20"/>
                <w:lang w:eastAsia="en-GB"/>
              </w:rPr>
              <w:t>Ochrana dropa fúzatého</w:t>
            </w:r>
          </w:p>
        </w:tc>
        <w:tc>
          <w:tcPr>
            <w:tcW w:w="426" w:type="dxa"/>
            <w:tcBorders>
              <w:top w:val="single" w:sz="4" w:space="0" w:color="auto"/>
              <w:left w:val="single" w:sz="4" w:space="0" w:color="auto"/>
              <w:bottom w:val="single" w:sz="4" w:space="0" w:color="auto"/>
              <w:right w:val="single" w:sz="4" w:space="0" w:color="auto"/>
            </w:tcBorders>
            <w:shd w:val="clear" w:color="auto" w:fill="auto"/>
            <w:vAlign w:val="center"/>
          </w:tcPr>
          <w:p w:rsidR="00ED1FEE" w:rsidRPr="007F7731" w:rsidRDefault="00ED1FEE" w:rsidP="00ED1FEE">
            <w:pPr>
              <w:keepNext/>
              <w:jc w:val="center"/>
              <w:outlineLvl w:val="4"/>
              <w:rPr>
                <w:rFonts w:ascii="Calibri" w:eastAsia="Calibri" w:hAnsi="Calibri"/>
                <w:sz w:val="20"/>
                <w:szCs w:val="20"/>
                <w:lang w:eastAsia="en-GB"/>
              </w:rPr>
            </w:pPr>
            <w:r w:rsidRPr="007F7731">
              <w:rPr>
                <w:rFonts w:ascii="Calibri" w:eastAsia="Calibri" w:hAnsi="Calibri"/>
                <w:sz w:val="20"/>
                <w:szCs w:val="20"/>
                <w:lang w:eastAsia="en-GB"/>
              </w:rPr>
              <w:t>x</w:t>
            </w:r>
          </w:p>
        </w:tc>
        <w:tc>
          <w:tcPr>
            <w:tcW w:w="425" w:type="dxa"/>
            <w:tcBorders>
              <w:top w:val="single" w:sz="4" w:space="0" w:color="auto"/>
              <w:left w:val="single" w:sz="4" w:space="0" w:color="auto"/>
              <w:bottom w:val="single" w:sz="4" w:space="0" w:color="auto"/>
              <w:right w:val="single" w:sz="4" w:space="0" w:color="auto"/>
            </w:tcBorders>
            <w:shd w:val="clear" w:color="auto" w:fill="auto"/>
            <w:vAlign w:val="center"/>
          </w:tcPr>
          <w:p w:rsidR="00ED1FEE" w:rsidRPr="007F7731" w:rsidRDefault="00ED1FEE" w:rsidP="00ED1FEE">
            <w:pPr>
              <w:keepNext/>
              <w:jc w:val="center"/>
              <w:outlineLvl w:val="4"/>
              <w:rPr>
                <w:rFonts w:ascii="Calibri" w:eastAsia="Calibri" w:hAnsi="Calibri"/>
                <w:sz w:val="20"/>
                <w:szCs w:val="20"/>
                <w:lang w:eastAsia="en-GB"/>
              </w:rPr>
            </w:pPr>
            <w:r w:rsidRPr="007F7731">
              <w:rPr>
                <w:rFonts w:ascii="Calibri" w:eastAsia="Calibri" w:hAnsi="Calibri"/>
                <w:sz w:val="20"/>
                <w:szCs w:val="20"/>
                <w:lang w:eastAsia="en-GB"/>
              </w:rPr>
              <w:t>x</w:t>
            </w:r>
          </w:p>
        </w:tc>
        <w:tc>
          <w:tcPr>
            <w:tcW w:w="425" w:type="dxa"/>
            <w:tcBorders>
              <w:top w:val="single" w:sz="4" w:space="0" w:color="auto"/>
              <w:left w:val="single" w:sz="4" w:space="0" w:color="auto"/>
              <w:bottom w:val="single" w:sz="4" w:space="0" w:color="auto"/>
              <w:right w:val="single" w:sz="4" w:space="0" w:color="auto"/>
            </w:tcBorders>
            <w:shd w:val="clear" w:color="auto" w:fill="auto"/>
            <w:vAlign w:val="center"/>
          </w:tcPr>
          <w:p w:rsidR="00ED1FEE" w:rsidRPr="007F7731" w:rsidRDefault="00ED1FEE" w:rsidP="00ED1FEE">
            <w:pPr>
              <w:keepNext/>
              <w:jc w:val="center"/>
              <w:outlineLvl w:val="4"/>
              <w:rPr>
                <w:rFonts w:ascii="Calibri" w:eastAsia="Calibri" w:hAnsi="Calibri"/>
                <w:sz w:val="20"/>
                <w:szCs w:val="20"/>
                <w:lang w:eastAsia="en-GB"/>
              </w:rPr>
            </w:pPr>
          </w:p>
        </w:tc>
        <w:tc>
          <w:tcPr>
            <w:tcW w:w="425" w:type="dxa"/>
            <w:tcBorders>
              <w:top w:val="single" w:sz="4" w:space="0" w:color="auto"/>
              <w:left w:val="single" w:sz="4" w:space="0" w:color="auto"/>
              <w:bottom w:val="single" w:sz="4" w:space="0" w:color="auto"/>
              <w:right w:val="single" w:sz="4" w:space="0" w:color="auto"/>
            </w:tcBorders>
            <w:shd w:val="clear" w:color="auto" w:fill="auto"/>
            <w:vAlign w:val="center"/>
          </w:tcPr>
          <w:p w:rsidR="00ED1FEE" w:rsidRPr="007F7731" w:rsidRDefault="00ED1FEE" w:rsidP="00ED1FEE">
            <w:pPr>
              <w:keepNext/>
              <w:jc w:val="center"/>
              <w:outlineLvl w:val="4"/>
              <w:rPr>
                <w:rFonts w:ascii="Calibri" w:eastAsia="Calibri" w:hAnsi="Calibri"/>
                <w:sz w:val="20"/>
                <w:szCs w:val="20"/>
                <w:lang w:eastAsia="en-GB"/>
              </w:rPr>
            </w:pPr>
            <w:r w:rsidRPr="007F7731">
              <w:rPr>
                <w:rFonts w:ascii="Calibri" w:eastAsia="Calibri" w:hAnsi="Calibri"/>
                <w:sz w:val="20"/>
                <w:szCs w:val="20"/>
                <w:lang w:eastAsia="en-GB"/>
              </w:rPr>
              <w:t>x</w:t>
            </w:r>
          </w:p>
        </w:tc>
        <w:tc>
          <w:tcPr>
            <w:tcW w:w="567" w:type="dxa"/>
            <w:tcBorders>
              <w:top w:val="single" w:sz="4" w:space="0" w:color="auto"/>
              <w:left w:val="single" w:sz="4" w:space="0" w:color="auto"/>
              <w:bottom w:val="single" w:sz="4" w:space="0" w:color="auto"/>
              <w:right w:val="single" w:sz="4" w:space="0" w:color="auto"/>
            </w:tcBorders>
            <w:shd w:val="clear" w:color="auto" w:fill="auto"/>
            <w:vAlign w:val="center"/>
          </w:tcPr>
          <w:p w:rsidR="00ED1FEE" w:rsidRPr="007F7731" w:rsidRDefault="00ED1FEE" w:rsidP="00ED1FEE">
            <w:pPr>
              <w:keepNext/>
              <w:jc w:val="center"/>
              <w:outlineLvl w:val="4"/>
              <w:rPr>
                <w:rFonts w:ascii="Calibri" w:eastAsia="Calibri" w:hAnsi="Calibri"/>
                <w:sz w:val="20"/>
                <w:szCs w:val="20"/>
                <w:lang w:eastAsia="en-GB"/>
              </w:rPr>
            </w:pPr>
          </w:p>
        </w:tc>
        <w:tc>
          <w:tcPr>
            <w:tcW w:w="568" w:type="dxa"/>
            <w:tcBorders>
              <w:top w:val="single" w:sz="4" w:space="0" w:color="auto"/>
              <w:left w:val="single" w:sz="4" w:space="0" w:color="auto"/>
              <w:bottom w:val="single" w:sz="4" w:space="0" w:color="auto"/>
              <w:right w:val="single" w:sz="4" w:space="0" w:color="auto"/>
            </w:tcBorders>
            <w:shd w:val="clear" w:color="auto" w:fill="auto"/>
            <w:vAlign w:val="center"/>
          </w:tcPr>
          <w:p w:rsidR="00ED1FEE" w:rsidRPr="007F7731" w:rsidRDefault="00ED1FEE" w:rsidP="00ED1FEE">
            <w:pPr>
              <w:keepNext/>
              <w:jc w:val="center"/>
              <w:outlineLvl w:val="4"/>
              <w:rPr>
                <w:rFonts w:ascii="Calibri" w:eastAsia="Calibri" w:hAnsi="Calibri"/>
                <w:sz w:val="20"/>
                <w:szCs w:val="20"/>
                <w:lang w:eastAsia="en-GB"/>
              </w:rPr>
            </w:pPr>
            <w:r w:rsidRPr="007F7731">
              <w:rPr>
                <w:rFonts w:ascii="Calibri" w:eastAsia="Calibri" w:hAnsi="Calibri"/>
                <w:sz w:val="20"/>
                <w:szCs w:val="20"/>
                <w:lang w:eastAsia="en-GB"/>
              </w:rPr>
              <w:t>x</w:t>
            </w:r>
          </w:p>
        </w:tc>
      </w:tr>
      <w:tr w:rsidR="00ED1FEE" w:rsidTr="00ED1FEE">
        <w:trPr>
          <w:trHeight w:val="381"/>
        </w:trPr>
        <w:tc>
          <w:tcPr>
            <w:tcW w:w="6344" w:type="dxa"/>
            <w:tcBorders>
              <w:top w:val="single" w:sz="4" w:space="0" w:color="auto"/>
              <w:left w:val="single" w:sz="4" w:space="0" w:color="auto"/>
              <w:bottom w:val="single" w:sz="4" w:space="0" w:color="auto"/>
              <w:right w:val="single" w:sz="4" w:space="0" w:color="auto"/>
            </w:tcBorders>
            <w:shd w:val="clear" w:color="auto" w:fill="auto"/>
            <w:vAlign w:val="center"/>
          </w:tcPr>
          <w:p w:rsidR="00ED1FEE" w:rsidRPr="007F7731" w:rsidRDefault="00ED1FEE" w:rsidP="00ED1FEE">
            <w:pPr>
              <w:keepNext/>
              <w:outlineLvl w:val="4"/>
              <w:rPr>
                <w:rFonts w:ascii="Calibri" w:eastAsia="Calibri" w:hAnsi="Calibri"/>
                <w:sz w:val="20"/>
                <w:szCs w:val="20"/>
                <w:lang w:eastAsia="en-GB"/>
              </w:rPr>
            </w:pPr>
            <w:r w:rsidRPr="007F7731">
              <w:rPr>
                <w:rFonts w:ascii="Calibri" w:eastAsia="Calibri" w:hAnsi="Calibri"/>
                <w:sz w:val="20"/>
                <w:szCs w:val="20"/>
                <w:lang w:eastAsia="en-GB"/>
              </w:rPr>
              <w:t>Ochrana biotopov sysľa pasienkového</w:t>
            </w:r>
          </w:p>
        </w:tc>
        <w:tc>
          <w:tcPr>
            <w:tcW w:w="426" w:type="dxa"/>
            <w:tcBorders>
              <w:top w:val="single" w:sz="4" w:space="0" w:color="auto"/>
              <w:left w:val="single" w:sz="4" w:space="0" w:color="auto"/>
              <w:bottom w:val="single" w:sz="4" w:space="0" w:color="auto"/>
              <w:right w:val="single" w:sz="4" w:space="0" w:color="auto"/>
            </w:tcBorders>
            <w:shd w:val="clear" w:color="auto" w:fill="auto"/>
            <w:vAlign w:val="center"/>
          </w:tcPr>
          <w:p w:rsidR="00ED1FEE" w:rsidRPr="007F7731" w:rsidRDefault="00ED1FEE" w:rsidP="00ED1FEE">
            <w:pPr>
              <w:keepNext/>
              <w:jc w:val="center"/>
              <w:outlineLvl w:val="4"/>
              <w:rPr>
                <w:rFonts w:ascii="Calibri" w:eastAsia="Calibri" w:hAnsi="Calibri"/>
                <w:sz w:val="20"/>
                <w:szCs w:val="20"/>
                <w:lang w:eastAsia="en-GB"/>
              </w:rPr>
            </w:pPr>
            <w:r w:rsidRPr="007F7731">
              <w:rPr>
                <w:rFonts w:ascii="Calibri" w:eastAsia="Calibri" w:hAnsi="Calibri"/>
                <w:sz w:val="20"/>
                <w:szCs w:val="20"/>
                <w:lang w:eastAsia="en-GB"/>
              </w:rPr>
              <w:t>x</w:t>
            </w:r>
          </w:p>
        </w:tc>
        <w:tc>
          <w:tcPr>
            <w:tcW w:w="425" w:type="dxa"/>
            <w:tcBorders>
              <w:top w:val="single" w:sz="4" w:space="0" w:color="auto"/>
              <w:left w:val="single" w:sz="4" w:space="0" w:color="auto"/>
              <w:bottom w:val="single" w:sz="4" w:space="0" w:color="auto"/>
              <w:right w:val="single" w:sz="4" w:space="0" w:color="auto"/>
            </w:tcBorders>
            <w:shd w:val="clear" w:color="auto" w:fill="auto"/>
            <w:vAlign w:val="center"/>
          </w:tcPr>
          <w:p w:rsidR="00ED1FEE" w:rsidRPr="007F7731" w:rsidRDefault="00ED1FEE" w:rsidP="00ED1FEE">
            <w:pPr>
              <w:keepNext/>
              <w:jc w:val="center"/>
              <w:outlineLvl w:val="4"/>
              <w:rPr>
                <w:rFonts w:ascii="Calibri" w:eastAsia="Calibri" w:hAnsi="Calibri"/>
                <w:sz w:val="20"/>
                <w:szCs w:val="20"/>
                <w:lang w:eastAsia="en-GB"/>
              </w:rPr>
            </w:pPr>
            <w:r w:rsidRPr="007F7731">
              <w:rPr>
                <w:rFonts w:ascii="Calibri" w:eastAsia="Calibri" w:hAnsi="Calibri"/>
                <w:sz w:val="20"/>
                <w:szCs w:val="20"/>
                <w:lang w:eastAsia="en-GB"/>
              </w:rPr>
              <w:t>x</w:t>
            </w:r>
          </w:p>
        </w:tc>
        <w:tc>
          <w:tcPr>
            <w:tcW w:w="425" w:type="dxa"/>
            <w:tcBorders>
              <w:top w:val="single" w:sz="4" w:space="0" w:color="auto"/>
              <w:left w:val="single" w:sz="4" w:space="0" w:color="auto"/>
              <w:bottom w:val="single" w:sz="4" w:space="0" w:color="auto"/>
              <w:right w:val="single" w:sz="4" w:space="0" w:color="auto"/>
            </w:tcBorders>
            <w:shd w:val="clear" w:color="auto" w:fill="auto"/>
            <w:vAlign w:val="center"/>
          </w:tcPr>
          <w:p w:rsidR="00ED1FEE" w:rsidRPr="007F7731" w:rsidRDefault="00ED1FEE" w:rsidP="00ED1FEE">
            <w:pPr>
              <w:keepNext/>
              <w:jc w:val="center"/>
              <w:outlineLvl w:val="4"/>
              <w:rPr>
                <w:rFonts w:ascii="Calibri" w:eastAsia="Calibri" w:hAnsi="Calibri"/>
                <w:sz w:val="20"/>
                <w:szCs w:val="20"/>
                <w:lang w:eastAsia="en-GB"/>
              </w:rPr>
            </w:pPr>
          </w:p>
        </w:tc>
        <w:tc>
          <w:tcPr>
            <w:tcW w:w="425" w:type="dxa"/>
            <w:tcBorders>
              <w:top w:val="single" w:sz="4" w:space="0" w:color="auto"/>
              <w:left w:val="single" w:sz="4" w:space="0" w:color="auto"/>
              <w:bottom w:val="single" w:sz="4" w:space="0" w:color="auto"/>
              <w:right w:val="single" w:sz="4" w:space="0" w:color="auto"/>
            </w:tcBorders>
            <w:shd w:val="clear" w:color="auto" w:fill="auto"/>
            <w:vAlign w:val="center"/>
          </w:tcPr>
          <w:p w:rsidR="00ED1FEE" w:rsidRPr="007F7731" w:rsidRDefault="00ED1FEE" w:rsidP="00ED1FEE">
            <w:pPr>
              <w:keepNext/>
              <w:jc w:val="center"/>
              <w:outlineLvl w:val="4"/>
              <w:rPr>
                <w:rFonts w:ascii="Calibri" w:eastAsia="Calibri" w:hAnsi="Calibri"/>
                <w:sz w:val="20"/>
                <w:szCs w:val="20"/>
                <w:lang w:eastAsia="en-GB"/>
              </w:rPr>
            </w:pPr>
            <w:r w:rsidRPr="007F7731">
              <w:rPr>
                <w:rFonts w:ascii="Calibri" w:eastAsia="Calibri" w:hAnsi="Calibri"/>
                <w:sz w:val="20"/>
                <w:szCs w:val="20"/>
                <w:lang w:eastAsia="en-GB"/>
              </w:rPr>
              <w:t>x</w:t>
            </w:r>
          </w:p>
        </w:tc>
        <w:tc>
          <w:tcPr>
            <w:tcW w:w="567" w:type="dxa"/>
            <w:tcBorders>
              <w:top w:val="single" w:sz="4" w:space="0" w:color="auto"/>
              <w:left w:val="single" w:sz="4" w:space="0" w:color="auto"/>
              <w:bottom w:val="single" w:sz="4" w:space="0" w:color="auto"/>
              <w:right w:val="single" w:sz="4" w:space="0" w:color="auto"/>
            </w:tcBorders>
            <w:shd w:val="clear" w:color="auto" w:fill="auto"/>
            <w:vAlign w:val="center"/>
          </w:tcPr>
          <w:p w:rsidR="00ED1FEE" w:rsidRPr="007F7731" w:rsidRDefault="00ED1FEE" w:rsidP="00ED1FEE">
            <w:pPr>
              <w:keepNext/>
              <w:jc w:val="center"/>
              <w:outlineLvl w:val="4"/>
              <w:rPr>
                <w:rFonts w:ascii="Calibri" w:eastAsia="Calibri" w:hAnsi="Calibri"/>
                <w:sz w:val="20"/>
                <w:szCs w:val="20"/>
                <w:lang w:eastAsia="en-GB"/>
              </w:rPr>
            </w:pPr>
          </w:p>
        </w:tc>
        <w:tc>
          <w:tcPr>
            <w:tcW w:w="568" w:type="dxa"/>
            <w:tcBorders>
              <w:top w:val="single" w:sz="4" w:space="0" w:color="auto"/>
              <w:left w:val="single" w:sz="4" w:space="0" w:color="auto"/>
              <w:bottom w:val="single" w:sz="4" w:space="0" w:color="auto"/>
              <w:right w:val="single" w:sz="4" w:space="0" w:color="auto"/>
            </w:tcBorders>
            <w:shd w:val="clear" w:color="auto" w:fill="auto"/>
            <w:vAlign w:val="center"/>
          </w:tcPr>
          <w:p w:rsidR="00ED1FEE" w:rsidRPr="007F7731" w:rsidRDefault="00ED1FEE" w:rsidP="00ED1FEE">
            <w:pPr>
              <w:keepNext/>
              <w:jc w:val="center"/>
              <w:outlineLvl w:val="4"/>
              <w:rPr>
                <w:rFonts w:ascii="Calibri" w:eastAsia="Calibri" w:hAnsi="Calibri"/>
                <w:sz w:val="20"/>
                <w:szCs w:val="20"/>
                <w:lang w:eastAsia="en-GB"/>
              </w:rPr>
            </w:pPr>
            <w:r w:rsidRPr="007F7731">
              <w:rPr>
                <w:rFonts w:ascii="Calibri" w:eastAsia="Calibri" w:hAnsi="Calibri"/>
                <w:sz w:val="20"/>
                <w:szCs w:val="20"/>
                <w:lang w:eastAsia="en-GB"/>
              </w:rPr>
              <w:t>x</w:t>
            </w:r>
          </w:p>
        </w:tc>
      </w:tr>
      <w:tr w:rsidR="00ED1FEE" w:rsidTr="00ED1FEE">
        <w:trPr>
          <w:trHeight w:val="381"/>
        </w:trPr>
        <w:tc>
          <w:tcPr>
            <w:tcW w:w="6344" w:type="dxa"/>
            <w:tcBorders>
              <w:top w:val="single" w:sz="4" w:space="0" w:color="auto"/>
              <w:left w:val="single" w:sz="4" w:space="0" w:color="auto"/>
              <w:bottom w:val="single" w:sz="4" w:space="0" w:color="auto"/>
              <w:right w:val="single" w:sz="4" w:space="0" w:color="auto"/>
            </w:tcBorders>
            <w:shd w:val="clear" w:color="auto" w:fill="00B0F0"/>
            <w:vAlign w:val="center"/>
          </w:tcPr>
          <w:p w:rsidR="00ED1FEE" w:rsidRPr="00593752" w:rsidRDefault="00ED1FEE" w:rsidP="00ED1FEE">
            <w:pPr>
              <w:keepNext/>
              <w:outlineLvl w:val="4"/>
              <w:rPr>
                <w:rFonts w:ascii="Calibri" w:eastAsia="Calibri" w:hAnsi="Calibri"/>
                <w:b/>
                <w:sz w:val="20"/>
                <w:szCs w:val="20"/>
                <w:lang w:eastAsia="en-GB"/>
              </w:rPr>
            </w:pPr>
            <w:r w:rsidRPr="00DF05CD">
              <w:rPr>
                <w:rFonts w:ascii="Calibri" w:eastAsia="Calibri" w:hAnsi="Calibri" w:cs="Calibri"/>
                <w:b/>
                <w:bCs/>
                <w:sz w:val="20"/>
                <w:szCs w:val="20"/>
                <w:lang w:eastAsia="en-US"/>
              </w:rPr>
              <w:t>Podpora na zachovanie a udržateľné využívanie a rozvoj genetických zdrojov v poľnohospodárstve</w:t>
            </w:r>
          </w:p>
        </w:tc>
        <w:tc>
          <w:tcPr>
            <w:tcW w:w="2836" w:type="dxa"/>
            <w:gridSpan w:val="6"/>
            <w:tcBorders>
              <w:top w:val="single" w:sz="4" w:space="0" w:color="auto"/>
              <w:left w:val="single" w:sz="4" w:space="0" w:color="auto"/>
              <w:bottom w:val="single" w:sz="4" w:space="0" w:color="auto"/>
              <w:right w:val="single" w:sz="4" w:space="0" w:color="auto"/>
            </w:tcBorders>
            <w:shd w:val="clear" w:color="auto" w:fill="00B0F0"/>
            <w:vAlign w:val="center"/>
          </w:tcPr>
          <w:p w:rsidR="00ED1FEE" w:rsidRDefault="00ED1FEE" w:rsidP="00ED1FEE">
            <w:pPr>
              <w:keepNext/>
              <w:jc w:val="center"/>
              <w:outlineLvl w:val="4"/>
              <w:rPr>
                <w:rFonts w:ascii="Calibri" w:eastAsia="Calibri" w:hAnsi="Calibri"/>
                <w:sz w:val="20"/>
                <w:szCs w:val="20"/>
                <w:lang w:eastAsia="en-GB"/>
              </w:rPr>
            </w:pPr>
          </w:p>
        </w:tc>
      </w:tr>
      <w:tr w:rsidR="00ED1FEE" w:rsidTr="00ED1FEE">
        <w:trPr>
          <w:trHeight w:val="381"/>
        </w:trPr>
        <w:tc>
          <w:tcPr>
            <w:tcW w:w="6344" w:type="dxa"/>
            <w:tcBorders>
              <w:top w:val="single" w:sz="4" w:space="0" w:color="auto"/>
              <w:left w:val="single" w:sz="4" w:space="0" w:color="auto"/>
              <w:bottom w:val="single" w:sz="4" w:space="0" w:color="auto"/>
              <w:right w:val="single" w:sz="4" w:space="0" w:color="auto"/>
            </w:tcBorders>
            <w:vAlign w:val="center"/>
            <w:hideMark/>
          </w:tcPr>
          <w:p w:rsidR="00ED1FEE" w:rsidRPr="00DF05CD" w:rsidRDefault="00ED1FEE" w:rsidP="00ED1FEE">
            <w:pPr>
              <w:keepNext/>
              <w:outlineLvl w:val="4"/>
              <w:rPr>
                <w:rFonts w:ascii="Calibri" w:eastAsia="Calibri" w:hAnsi="Calibri"/>
                <w:sz w:val="20"/>
                <w:szCs w:val="20"/>
                <w:lang w:eastAsia="en-GB"/>
              </w:rPr>
            </w:pPr>
            <w:r w:rsidRPr="00DF05CD">
              <w:rPr>
                <w:rFonts w:ascii="Calibri" w:eastAsia="Calibri" w:hAnsi="Calibri"/>
                <w:sz w:val="20"/>
                <w:szCs w:val="20"/>
                <w:lang w:eastAsia="en-GB"/>
              </w:rPr>
              <w:t>Chov a udržanie ohrozených druhov zvierat</w:t>
            </w:r>
          </w:p>
        </w:tc>
        <w:tc>
          <w:tcPr>
            <w:tcW w:w="426" w:type="dxa"/>
            <w:tcBorders>
              <w:top w:val="single" w:sz="4" w:space="0" w:color="auto"/>
              <w:left w:val="single" w:sz="4" w:space="0" w:color="auto"/>
              <w:bottom w:val="single" w:sz="4" w:space="0" w:color="auto"/>
              <w:right w:val="single" w:sz="4" w:space="0" w:color="auto"/>
            </w:tcBorders>
            <w:vAlign w:val="center"/>
            <w:hideMark/>
          </w:tcPr>
          <w:p w:rsidR="00ED1FEE" w:rsidRDefault="00ED1FEE" w:rsidP="00ED1FEE">
            <w:pPr>
              <w:keepNext/>
              <w:jc w:val="center"/>
              <w:outlineLvl w:val="4"/>
              <w:rPr>
                <w:rFonts w:ascii="Calibri" w:eastAsia="Calibri" w:hAnsi="Calibri"/>
                <w:sz w:val="20"/>
                <w:szCs w:val="20"/>
                <w:lang w:eastAsia="en-GB"/>
              </w:rPr>
            </w:pPr>
            <w:r>
              <w:rPr>
                <w:rFonts w:ascii="Calibri" w:eastAsia="Calibri" w:hAnsi="Calibri"/>
                <w:sz w:val="20"/>
                <w:szCs w:val="20"/>
                <w:lang w:eastAsia="en-GB"/>
              </w:rPr>
              <w:t>x</w:t>
            </w:r>
          </w:p>
        </w:tc>
        <w:tc>
          <w:tcPr>
            <w:tcW w:w="425" w:type="dxa"/>
            <w:tcBorders>
              <w:top w:val="single" w:sz="4" w:space="0" w:color="auto"/>
              <w:left w:val="single" w:sz="4" w:space="0" w:color="auto"/>
              <w:bottom w:val="single" w:sz="4" w:space="0" w:color="auto"/>
              <w:right w:val="single" w:sz="4" w:space="0" w:color="auto"/>
            </w:tcBorders>
            <w:vAlign w:val="center"/>
          </w:tcPr>
          <w:p w:rsidR="00ED1FEE" w:rsidRDefault="00ED1FEE" w:rsidP="00ED1FEE">
            <w:pPr>
              <w:keepNext/>
              <w:jc w:val="center"/>
              <w:outlineLvl w:val="4"/>
              <w:rPr>
                <w:rFonts w:ascii="Calibri" w:eastAsia="Calibri" w:hAnsi="Calibri"/>
                <w:sz w:val="20"/>
                <w:szCs w:val="20"/>
                <w:lang w:eastAsia="en-GB"/>
              </w:rPr>
            </w:pPr>
          </w:p>
        </w:tc>
        <w:tc>
          <w:tcPr>
            <w:tcW w:w="425" w:type="dxa"/>
            <w:tcBorders>
              <w:top w:val="single" w:sz="4" w:space="0" w:color="auto"/>
              <w:left w:val="single" w:sz="4" w:space="0" w:color="auto"/>
              <w:bottom w:val="single" w:sz="4" w:space="0" w:color="auto"/>
              <w:right w:val="single" w:sz="4" w:space="0" w:color="auto"/>
            </w:tcBorders>
            <w:vAlign w:val="center"/>
          </w:tcPr>
          <w:p w:rsidR="00ED1FEE" w:rsidRDefault="00ED1FEE" w:rsidP="00ED1FEE">
            <w:pPr>
              <w:keepNext/>
              <w:jc w:val="center"/>
              <w:outlineLvl w:val="4"/>
              <w:rPr>
                <w:rFonts w:ascii="Calibri" w:eastAsia="Calibri" w:hAnsi="Calibri"/>
                <w:sz w:val="20"/>
                <w:szCs w:val="20"/>
                <w:lang w:eastAsia="en-GB"/>
              </w:rPr>
            </w:pPr>
          </w:p>
        </w:tc>
        <w:tc>
          <w:tcPr>
            <w:tcW w:w="425" w:type="dxa"/>
            <w:tcBorders>
              <w:top w:val="single" w:sz="4" w:space="0" w:color="auto"/>
              <w:left w:val="single" w:sz="4" w:space="0" w:color="auto"/>
              <w:bottom w:val="single" w:sz="4" w:space="0" w:color="auto"/>
              <w:right w:val="single" w:sz="4" w:space="0" w:color="auto"/>
            </w:tcBorders>
            <w:vAlign w:val="center"/>
          </w:tcPr>
          <w:p w:rsidR="00ED1FEE" w:rsidRDefault="00ED1FEE" w:rsidP="00ED1FEE">
            <w:pPr>
              <w:keepNext/>
              <w:jc w:val="center"/>
              <w:outlineLvl w:val="4"/>
              <w:rPr>
                <w:rFonts w:ascii="Calibri" w:eastAsia="Calibri" w:hAnsi="Calibri"/>
                <w:sz w:val="20"/>
                <w:szCs w:val="20"/>
                <w:lang w:eastAsia="en-GB"/>
              </w:rPr>
            </w:pPr>
          </w:p>
        </w:tc>
        <w:tc>
          <w:tcPr>
            <w:tcW w:w="567" w:type="dxa"/>
            <w:tcBorders>
              <w:top w:val="single" w:sz="4" w:space="0" w:color="auto"/>
              <w:left w:val="single" w:sz="4" w:space="0" w:color="auto"/>
              <w:bottom w:val="single" w:sz="4" w:space="0" w:color="auto"/>
              <w:right w:val="single" w:sz="4" w:space="0" w:color="auto"/>
            </w:tcBorders>
            <w:vAlign w:val="center"/>
          </w:tcPr>
          <w:p w:rsidR="00ED1FEE" w:rsidRDefault="00ED1FEE" w:rsidP="00ED1FEE">
            <w:pPr>
              <w:keepNext/>
              <w:jc w:val="center"/>
              <w:outlineLvl w:val="4"/>
              <w:rPr>
                <w:rFonts w:ascii="Calibri" w:eastAsia="Calibri" w:hAnsi="Calibri"/>
                <w:sz w:val="20"/>
                <w:szCs w:val="20"/>
                <w:lang w:eastAsia="en-GB"/>
              </w:rPr>
            </w:pPr>
          </w:p>
        </w:tc>
        <w:tc>
          <w:tcPr>
            <w:tcW w:w="568" w:type="dxa"/>
            <w:tcBorders>
              <w:top w:val="single" w:sz="4" w:space="0" w:color="auto"/>
              <w:left w:val="single" w:sz="4" w:space="0" w:color="auto"/>
              <w:bottom w:val="single" w:sz="4" w:space="0" w:color="auto"/>
              <w:right w:val="single" w:sz="4" w:space="0" w:color="auto"/>
            </w:tcBorders>
            <w:vAlign w:val="center"/>
            <w:hideMark/>
          </w:tcPr>
          <w:p w:rsidR="00ED1FEE" w:rsidRDefault="00ED1FEE" w:rsidP="00ED1FEE">
            <w:pPr>
              <w:keepNext/>
              <w:jc w:val="center"/>
              <w:outlineLvl w:val="4"/>
              <w:rPr>
                <w:rFonts w:ascii="Calibri" w:eastAsia="Calibri" w:hAnsi="Calibri"/>
                <w:sz w:val="20"/>
                <w:szCs w:val="20"/>
                <w:lang w:eastAsia="en-GB"/>
              </w:rPr>
            </w:pPr>
            <w:r>
              <w:rPr>
                <w:rFonts w:ascii="Calibri" w:eastAsia="Calibri" w:hAnsi="Calibri"/>
                <w:sz w:val="20"/>
                <w:szCs w:val="20"/>
                <w:lang w:eastAsia="en-GB"/>
              </w:rPr>
              <w:t>x</w:t>
            </w:r>
          </w:p>
        </w:tc>
      </w:tr>
    </w:tbl>
    <w:p w:rsidR="00ED1FEE" w:rsidRDefault="00ED1FEE" w:rsidP="00ED1FEE">
      <w:pPr>
        <w:rPr>
          <w:rFonts w:ascii="Calibri" w:eastAsia="Calibri" w:hAnsi="Calibri" w:cs="Calibri"/>
          <w:szCs w:val="22"/>
          <w:lang w:eastAsia="en-US"/>
        </w:rPr>
      </w:pPr>
    </w:p>
    <w:p w:rsidR="00ED1FEE" w:rsidRDefault="00ED1FEE" w:rsidP="00ED1FEE">
      <w:pPr>
        <w:rPr>
          <w:rFonts w:ascii="Calibri" w:eastAsia="Calibri" w:hAnsi="Calibri" w:cs="Calibri"/>
          <w:szCs w:val="22"/>
          <w:lang w:eastAsia="en-US"/>
        </w:rPr>
      </w:pPr>
    </w:p>
    <w:p w:rsidR="00ED1FEE" w:rsidRDefault="00ED1FEE" w:rsidP="00ED1FEE">
      <w:pPr>
        <w:rPr>
          <w:rFonts w:ascii="Calibri" w:hAnsi="Calibri"/>
          <w:szCs w:val="22"/>
          <w:lang w:eastAsia="en-US"/>
        </w:rPr>
      </w:pPr>
      <w:r>
        <w:rPr>
          <w:rFonts w:ascii="Calibri" w:hAnsi="Calibri"/>
          <w:b/>
          <w:szCs w:val="22"/>
          <w:lang w:eastAsia="en-US"/>
        </w:rPr>
        <w:t xml:space="preserve">8.2.9.3. Rozsah, úroveň podpory a ostatné informácie </w:t>
      </w:r>
      <w:r>
        <w:rPr>
          <w:rFonts w:ascii="Calibri" w:hAnsi="Calibri"/>
          <w:szCs w:val="22"/>
          <w:lang w:eastAsia="en-US"/>
        </w:rPr>
        <w:t>(členené podľa podopatrenia a typu operácie)</w:t>
      </w:r>
    </w:p>
    <w:p w:rsidR="00ED1FEE" w:rsidRDefault="00ED1FEE" w:rsidP="00ED1FEE">
      <w:pPr>
        <w:rPr>
          <w:rFonts w:ascii="Calibri" w:hAnsi="Calibri"/>
          <w:b/>
          <w:szCs w:val="22"/>
          <w:lang w:eastAsia="en-US"/>
        </w:rPr>
      </w:pPr>
    </w:p>
    <w:p w:rsidR="00ED1FEE" w:rsidRPr="00ED1FEE" w:rsidRDefault="00ED1FEE" w:rsidP="00ED1FEE">
      <w:pPr>
        <w:shd w:val="clear" w:color="auto" w:fill="EAF1DD"/>
        <w:ind w:left="1843" w:hanging="1843"/>
        <w:rPr>
          <w:rFonts w:ascii="Calibri" w:eastAsia="Calibri" w:hAnsi="Calibri" w:cs="Calibri"/>
          <w:b/>
          <w:bCs/>
          <w:sz w:val="24"/>
          <w:lang w:eastAsia="en-US"/>
        </w:rPr>
      </w:pPr>
      <w:r w:rsidRPr="00ED1FEE">
        <w:rPr>
          <w:rFonts w:ascii="Calibri" w:eastAsia="Calibri" w:hAnsi="Calibri" w:cs="Calibri"/>
          <w:bCs/>
          <w:sz w:val="24"/>
          <w:lang w:eastAsia="en-US"/>
        </w:rPr>
        <w:t>Podopatrenie 10.1:</w:t>
      </w:r>
      <w:r w:rsidRPr="00ED1FEE">
        <w:rPr>
          <w:rFonts w:ascii="Calibri" w:eastAsia="Calibri" w:hAnsi="Calibri" w:cs="Calibri"/>
          <w:b/>
          <w:bCs/>
          <w:i/>
          <w:sz w:val="24"/>
          <w:lang w:eastAsia="en-US"/>
        </w:rPr>
        <w:t xml:space="preserve"> Platby za agroenvironmentálno-klimatické záväzky</w:t>
      </w:r>
    </w:p>
    <w:p w:rsidR="00ED1FEE" w:rsidRDefault="00ED1FEE" w:rsidP="00ED1FEE">
      <w:pPr>
        <w:shd w:val="clear" w:color="auto" w:fill="FBD4B4"/>
        <w:rPr>
          <w:rFonts w:ascii="Calibri" w:eastAsia="Calibri" w:hAnsi="Calibri" w:cs="Calibri"/>
          <w:b/>
          <w:szCs w:val="22"/>
          <w:lang w:eastAsia="en-US"/>
        </w:rPr>
      </w:pPr>
      <w:r>
        <w:rPr>
          <w:rFonts w:ascii="Calibri" w:eastAsia="Calibri" w:hAnsi="Calibri" w:cs="Calibri"/>
          <w:bCs/>
          <w:szCs w:val="22"/>
          <w:u w:val="single"/>
          <w:lang w:eastAsia="en-US"/>
        </w:rPr>
        <w:t>Názov operácie</w:t>
      </w:r>
      <w:r>
        <w:rPr>
          <w:rFonts w:ascii="Calibri" w:eastAsia="Calibri" w:hAnsi="Calibri" w:cs="Calibri"/>
          <w:b/>
          <w:bCs/>
          <w:szCs w:val="22"/>
          <w:u w:val="single"/>
          <w:lang w:eastAsia="en-US"/>
        </w:rPr>
        <w:t>:</w:t>
      </w:r>
      <w:r>
        <w:rPr>
          <w:rFonts w:ascii="Calibri" w:eastAsia="Calibri" w:hAnsi="Calibri" w:cs="Calibri"/>
          <w:b/>
          <w:szCs w:val="22"/>
          <w:lang w:eastAsia="en-US"/>
        </w:rPr>
        <w:t xml:space="preserve"> </w:t>
      </w:r>
    </w:p>
    <w:p w:rsidR="00ED1FEE" w:rsidRDefault="00ED1FEE" w:rsidP="00ED1FEE">
      <w:pPr>
        <w:shd w:val="clear" w:color="auto" w:fill="FBD4B4"/>
        <w:rPr>
          <w:rFonts w:ascii="Calibri" w:eastAsia="Calibri" w:hAnsi="Calibri" w:cs="Calibri"/>
          <w:bCs/>
          <w:i/>
          <w:szCs w:val="22"/>
          <w:lang w:eastAsia="en-US"/>
        </w:rPr>
      </w:pPr>
      <w:r>
        <w:rPr>
          <w:rFonts w:ascii="Calibri" w:eastAsia="Calibri" w:hAnsi="Calibri" w:cs="Calibri"/>
          <w:i/>
          <w:szCs w:val="22"/>
          <w:lang w:eastAsia="en-US"/>
        </w:rPr>
        <w:t>Integrovaná produkcia v ovocinárstve</w:t>
      </w:r>
    </w:p>
    <w:p w:rsidR="00ED1FEE" w:rsidRDefault="00ED1FEE" w:rsidP="00ED1FEE">
      <w:pPr>
        <w:spacing w:line="276" w:lineRule="auto"/>
        <w:rPr>
          <w:rFonts w:ascii="Calibri" w:eastAsia="Calibri" w:hAnsi="Calibri" w:cs="Calibri"/>
          <w:bCs/>
          <w:szCs w:val="22"/>
          <w:u w:val="single"/>
          <w:lang w:eastAsia="en-US"/>
        </w:rPr>
      </w:pPr>
    </w:p>
    <w:p w:rsidR="00ED1FEE" w:rsidRDefault="00ED1FEE" w:rsidP="00ED1FEE">
      <w:pPr>
        <w:spacing w:line="276" w:lineRule="auto"/>
        <w:rPr>
          <w:rFonts w:ascii="Calibri" w:eastAsia="Calibri" w:hAnsi="Calibri" w:cs="Calibri"/>
          <w:bCs/>
          <w:szCs w:val="22"/>
          <w:u w:val="single"/>
          <w:lang w:eastAsia="en-US"/>
        </w:rPr>
      </w:pPr>
      <w:r>
        <w:rPr>
          <w:rFonts w:ascii="Calibri" w:eastAsia="Calibri" w:hAnsi="Calibri" w:cs="Calibri"/>
          <w:bCs/>
          <w:szCs w:val="22"/>
          <w:u w:val="single"/>
          <w:lang w:eastAsia="en-US"/>
        </w:rPr>
        <w:t>Opis operácie:</w:t>
      </w:r>
    </w:p>
    <w:p w:rsidR="00ED1FEE" w:rsidRDefault="00ED1FEE" w:rsidP="00ED1FEE">
      <w:pPr>
        <w:tabs>
          <w:tab w:val="left" w:pos="7515"/>
        </w:tabs>
        <w:rPr>
          <w:rFonts w:ascii="Calibri" w:eastAsia="Calibri" w:hAnsi="Calibri" w:cs="Calibri"/>
          <w:bCs/>
          <w:szCs w:val="22"/>
          <w:lang w:eastAsia="en-US"/>
        </w:rPr>
      </w:pPr>
      <w:r>
        <w:rPr>
          <w:rFonts w:ascii="Calibri" w:eastAsia="Calibri" w:hAnsi="Calibri" w:cs="Calibri"/>
          <w:szCs w:val="22"/>
          <w:lang w:eastAsia="en-US"/>
        </w:rPr>
        <w:t xml:space="preserve">Podopatrenie je zamerané na kontrolované pestovanie ovocia, ktoré uprednostňuje ekologicky bezpečnejšie postupy, minimalizujúce vedľajšie nežiaduce účinky, znižovaním počtu zásahov prípravkov na ochranu rastlín a hnojenia a tým zvyšuje bezpečnosť pre životné prostredie.  Jedným z cieľov integrovanej ochrany je aj zabezpečenie udržania a rozvoja prirodzeného biologického života na plochách oprávnených na podporu. </w:t>
      </w:r>
      <w:r>
        <w:rPr>
          <w:rFonts w:ascii="Calibri" w:eastAsia="Calibri" w:hAnsi="Calibri" w:cs="Calibri"/>
          <w:bCs/>
          <w:szCs w:val="22"/>
          <w:lang w:eastAsia="en-US"/>
        </w:rPr>
        <w:t>Integrovaný spôsob pestovania spočíva okrem povinných podmienok aj dodržiavanie  počas  celého 5 ročného záväzku podmienky operácie ako sú:  používať biologické ochranné prípravky a vylúčiť alebo minimalizovať chemické prípravky na ochranu rastlín a to  len v akútnych prípadoch signalizačnej výstrahy a len ak sú povolené v integrovanej produkcii alebo   vykonávať pravidelné ošetrenie ako je rez kríkov/stromov,  zabezpečiť rozbor pôdy raz za tri</w:t>
      </w:r>
      <w:r>
        <w:rPr>
          <w:rFonts w:ascii="Calibri" w:eastAsia="Calibri" w:hAnsi="Calibri" w:cs="Calibri"/>
          <w:bCs/>
          <w:szCs w:val="22"/>
          <w:lang w:eastAsia="en-US"/>
        </w:rPr>
        <w:lastRenderedPageBreak/>
        <w:t xml:space="preserve"> roky  a plodov každoročne na vybrané rizikové látky, zabezpečiť stanovený počet jedincov. Jedným z dôležitých prvkov integrovaného spôsobu pestovania ovocných sadov je aj zabezpečenie celoročného zeleného krytu pôdy</w:t>
      </w:r>
      <w:r>
        <w:rPr>
          <w:rFonts w:ascii="Calibri" w:eastAsia="Calibri" w:hAnsi="Calibri" w:cs="Calibri"/>
          <w:szCs w:val="22"/>
          <w:lang w:eastAsia="en-US"/>
        </w:rPr>
        <w:t xml:space="preserve"> porastom bylinných alebo trávových zmesí, slamou, senom alebo iným mulčovacím materiálom minimálne v každej druhej uličke ovocného  sadu alebo hospodáriť na terasách; alebo zabezpečiť pokrytie pôdy bylinným porastom bohato kvitnúcich rastlín (opeľovačmi).</w:t>
      </w:r>
      <w:r>
        <w:rPr>
          <w:rFonts w:ascii="Calibri" w:eastAsia="Calibri" w:hAnsi="Calibri" w:cs="Calibri"/>
          <w:bCs/>
          <w:szCs w:val="22"/>
          <w:lang w:eastAsia="en-US"/>
        </w:rPr>
        <w:t xml:space="preserve"> </w:t>
      </w:r>
      <w:r>
        <w:rPr>
          <w:rFonts w:ascii="Calibri" w:eastAsia="Calibri" w:hAnsi="Calibri" w:cs="Calibri"/>
          <w:szCs w:val="22"/>
          <w:lang w:eastAsia="en-US"/>
        </w:rPr>
        <w:t xml:space="preserve">Viesť a uchovávať všetky záznamy o pestovateľských postupoch. </w:t>
      </w:r>
      <w:r>
        <w:rPr>
          <w:rFonts w:ascii="Calibri" w:eastAsia="Calibri" w:hAnsi="Calibri" w:cs="Calibri"/>
          <w:bCs/>
          <w:szCs w:val="22"/>
          <w:lang w:eastAsia="en-US"/>
        </w:rPr>
        <w:t xml:space="preserve"> Podporené budú druhy ovocia -jadroviny, kôstkoviny škrupinové  a drobné ovocné druhy.</w:t>
      </w:r>
    </w:p>
    <w:p w:rsidR="00ED1FEE" w:rsidRDefault="00ED1FEE" w:rsidP="00ED1FEE">
      <w:pPr>
        <w:rPr>
          <w:rFonts w:ascii="Calibri" w:hAnsi="Calibri"/>
          <w:b/>
          <w:szCs w:val="22"/>
          <w:lang w:eastAsia="en-GB"/>
        </w:rPr>
      </w:pPr>
    </w:p>
    <w:p w:rsidR="00ED1FEE" w:rsidRDefault="00ED1FEE" w:rsidP="00ED1FEE">
      <w:pPr>
        <w:rPr>
          <w:rFonts w:ascii="Calibri" w:eastAsia="Calibri" w:hAnsi="Calibri"/>
          <w:noProof/>
          <w:szCs w:val="22"/>
          <w:u w:val="single"/>
          <w:lang w:eastAsia="en-GB"/>
        </w:rPr>
      </w:pPr>
      <w:r>
        <w:rPr>
          <w:rFonts w:ascii="Calibri" w:eastAsia="Calibri" w:hAnsi="Calibri"/>
          <w:noProof/>
          <w:szCs w:val="22"/>
          <w:u w:val="single"/>
          <w:lang w:eastAsia="en-GB"/>
        </w:rPr>
        <w:t>Typ podpory:</w:t>
      </w:r>
    </w:p>
    <w:p w:rsidR="00ED1FEE" w:rsidRDefault="00ED1FEE" w:rsidP="00ED1FEE">
      <w:pPr>
        <w:rPr>
          <w:rFonts w:ascii="Calibri" w:eastAsia="Calibri" w:hAnsi="Calibri"/>
          <w:noProof/>
          <w:szCs w:val="22"/>
          <w:u w:val="single"/>
          <w:lang w:eastAsia="en-GB"/>
        </w:rPr>
      </w:pPr>
      <w:r>
        <w:rPr>
          <w:rFonts w:ascii="Calibri" w:eastAsia="Calibri" w:hAnsi="Calibri"/>
          <w:noProof/>
          <w:szCs w:val="22"/>
          <w:lang w:eastAsia="en-GB"/>
        </w:rPr>
        <w:t xml:space="preserve">Nezisková ročná platba na 1 hektár ovocného sadu. </w:t>
      </w:r>
    </w:p>
    <w:p w:rsidR="00ED1FEE" w:rsidRDefault="00ED1FEE" w:rsidP="00ED1FEE">
      <w:pPr>
        <w:rPr>
          <w:rFonts w:ascii="Calibri" w:hAnsi="Calibri"/>
          <w:szCs w:val="22"/>
          <w:u w:val="single"/>
          <w:lang w:eastAsia="en-GB"/>
        </w:rPr>
      </w:pPr>
    </w:p>
    <w:p w:rsidR="00ED1FEE" w:rsidRDefault="00ED1FEE" w:rsidP="00ED1FEE">
      <w:pPr>
        <w:rPr>
          <w:rFonts w:ascii="Calibri" w:eastAsia="Calibri" w:hAnsi="Calibri" w:cs="Calibri"/>
          <w:bCs/>
          <w:szCs w:val="22"/>
          <w:u w:val="single"/>
          <w:lang w:eastAsia="en-US"/>
        </w:rPr>
      </w:pPr>
      <w:r>
        <w:rPr>
          <w:rFonts w:ascii="Calibri" w:eastAsia="Calibri" w:hAnsi="Calibri" w:cs="Calibri"/>
          <w:bCs/>
          <w:szCs w:val="22"/>
          <w:u w:val="single"/>
          <w:lang w:eastAsia="en-US"/>
        </w:rPr>
        <w:t>Súvislosť s inou legislatívou:</w:t>
      </w:r>
    </w:p>
    <w:p w:rsidR="00ED1FEE" w:rsidRDefault="00ED1FEE" w:rsidP="00955DA4">
      <w:pPr>
        <w:numPr>
          <w:ilvl w:val="0"/>
          <w:numId w:val="198"/>
        </w:numPr>
        <w:ind w:left="284" w:hanging="284"/>
        <w:rPr>
          <w:rFonts w:ascii="Calibri" w:hAnsi="Calibri" w:cs="EUAlbertina"/>
          <w:bCs/>
          <w:szCs w:val="22"/>
        </w:rPr>
      </w:pPr>
      <w:r>
        <w:rPr>
          <w:rFonts w:ascii="Calibri" w:hAnsi="Calibri"/>
          <w:szCs w:val="22"/>
        </w:rPr>
        <w:t xml:space="preserve">nariadenie (EÚ) č. 1306/2013 </w:t>
      </w:r>
      <w:r>
        <w:rPr>
          <w:rFonts w:ascii="Calibri" w:hAnsi="Calibri" w:cs="EUAlbertina"/>
          <w:bCs/>
          <w:szCs w:val="22"/>
        </w:rPr>
        <w:t>o financovaní, riadení a monitorovaní spoločnej poľnohospodárskej politiky;</w:t>
      </w:r>
    </w:p>
    <w:p w:rsidR="00ED1FEE" w:rsidRDefault="00ED1FEE" w:rsidP="00955DA4">
      <w:pPr>
        <w:numPr>
          <w:ilvl w:val="0"/>
          <w:numId w:val="198"/>
        </w:numPr>
        <w:ind w:left="284" w:hanging="284"/>
        <w:rPr>
          <w:rFonts w:ascii="Calibri" w:hAnsi="Calibri" w:cs="Calibri"/>
          <w:bCs/>
          <w:szCs w:val="22"/>
          <w:lang w:eastAsia="en-US"/>
        </w:rPr>
      </w:pPr>
      <w:r>
        <w:rPr>
          <w:rFonts w:ascii="Calibri" w:hAnsi="Calibri" w:cs="EUAlbertina"/>
          <w:bCs/>
          <w:szCs w:val="22"/>
        </w:rPr>
        <w:t>nariadenie (EÚ) 1307/2013;</w:t>
      </w:r>
    </w:p>
    <w:p w:rsidR="00ED1FEE" w:rsidRDefault="00ED1FEE" w:rsidP="00955DA4">
      <w:pPr>
        <w:numPr>
          <w:ilvl w:val="0"/>
          <w:numId w:val="198"/>
        </w:numPr>
        <w:ind w:left="284" w:hanging="284"/>
        <w:rPr>
          <w:rFonts w:ascii="Calibri" w:hAnsi="Calibri"/>
          <w:szCs w:val="22"/>
          <w:lang w:eastAsia="en-US"/>
        </w:rPr>
      </w:pPr>
      <w:r>
        <w:rPr>
          <w:rFonts w:ascii="Calibri" w:hAnsi="Calibri"/>
          <w:szCs w:val="22"/>
          <w:lang w:eastAsia="en-US"/>
        </w:rPr>
        <w:t>zákon č. 597/2006 Z. z. o pôsobnosti orgánov štátnej správy v oblasti registrácie odrôd pestovaných rastlín a uvádzaní množiteľského materiálu pestovaných rastlín na trh;</w:t>
      </w:r>
    </w:p>
    <w:p w:rsidR="00ED1FEE" w:rsidRDefault="00ED1FEE" w:rsidP="00955DA4">
      <w:pPr>
        <w:numPr>
          <w:ilvl w:val="0"/>
          <w:numId w:val="198"/>
        </w:numPr>
        <w:ind w:left="284" w:hanging="284"/>
        <w:rPr>
          <w:rFonts w:ascii="Calibri" w:hAnsi="Calibri"/>
          <w:szCs w:val="22"/>
          <w:lang w:eastAsia="en-US"/>
        </w:rPr>
      </w:pPr>
      <w:r>
        <w:rPr>
          <w:rFonts w:ascii="Calibri" w:hAnsi="Calibri"/>
          <w:szCs w:val="22"/>
          <w:lang w:eastAsia="en-US"/>
        </w:rPr>
        <w:t>zákon č.313/2009 Z.z o vinohradoch a vinohradníctve;</w:t>
      </w:r>
    </w:p>
    <w:p w:rsidR="00ED1FEE" w:rsidRDefault="00ED1FEE" w:rsidP="00955DA4">
      <w:pPr>
        <w:numPr>
          <w:ilvl w:val="0"/>
          <w:numId w:val="198"/>
        </w:numPr>
        <w:ind w:left="284" w:hanging="284"/>
        <w:rPr>
          <w:rFonts w:ascii="Calibri" w:hAnsi="Calibri"/>
          <w:szCs w:val="22"/>
          <w:lang w:eastAsia="en-US"/>
        </w:rPr>
      </w:pPr>
      <w:r>
        <w:rPr>
          <w:rFonts w:ascii="Calibri" w:hAnsi="Calibri"/>
          <w:szCs w:val="22"/>
          <w:lang w:eastAsia="en-US"/>
        </w:rPr>
        <w:t>zákon č. 405/2011 Z.z. o rastlinolekárskej starostlivosti;</w:t>
      </w:r>
    </w:p>
    <w:p w:rsidR="00ED1FEE" w:rsidRDefault="00ED1FEE" w:rsidP="00955DA4">
      <w:pPr>
        <w:numPr>
          <w:ilvl w:val="0"/>
          <w:numId w:val="198"/>
        </w:numPr>
        <w:ind w:left="284" w:hanging="284"/>
        <w:rPr>
          <w:rFonts w:ascii="Calibri" w:hAnsi="Calibri"/>
          <w:szCs w:val="22"/>
          <w:lang w:eastAsia="en-US"/>
        </w:rPr>
      </w:pPr>
      <w:r>
        <w:rPr>
          <w:rFonts w:ascii="Calibri" w:hAnsi="Calibri"/>
          <w:szCs w:val="22"/>
          <w:lang w:eastAsia="en-US"/>
        </w:rPr>
        <w:t>zákon č. 136/2000 Z.z. o hnojivách.</w:t>
      </w:r>
    </w:p>
    <w:p w:rsidR="00ED1FEE" w:rsidRDefault="00ED1FEE" w:rsidP="00ED1FEE">
      <w:pPr>
        <w:rPr>
          <w:rFonts w:ascii="Calibri" w:eastAsia="Calibri" w:hAnsi="Calibri"/>
          <w:szCs w:val="22"/>
          <w:lang w:eastAsia="en-US"/>
        </w:rPr>
      </w:pPr>
    </w:p>
    <w:p w:rsidR="00ED1FEE" w:rsidRDefault="00ED1FEE" w:rsidP="00ED1FEE">
      <w:pPr>
        <w:rPr>
          <w:rFonts w:ascii="Calibri" w:eastAsia="Calibri" w:hAnsi="Calibri" w:cs="Calibri"/>
          <w:bCs/>
          <w:szCs w:val="22"/>
          <w:u w:val="single"/>
          <w:lang w:eastAsia="en-US"/>
        </w:rPr>
      </w:pPr>
      <w:r>
        <w:rPr>
          <w:rFonts w:ascii="Calibri" w:eastAsia="Calibri" w:hAnsi="Calibri" w:cs="Calibri"/>
          <w:bCs/>
          <w:szCs w:val="22"/>
          <w:u w:val="single"/>
          <w:lang w:eastAsia="en-US"/>
        </w:rPr>
        <w:t>Prijímateľ podpory:</w:t>
      </w:r>
    </w:p>
    <w:p w:rsidR="00ED1FEE" w:rsidRDefault="00ED1FEE" w:rsidP="00ED1FEE">
      <w:pPr>
        <w:rPr>
          <w:rFonts w:ascii="Calibri" w:eastAsia="Calibri" w:hAnsi="Calibri" w:cs="Calibri"/>
          <w:bCs/>
          <w:szCs w:val="22"/>
          <w:lang w:eastAsia="en-US"/>
        </w:rPr>
      </w:pPr>
      <w:r>
        <w:rPr>
          <w:rFonts w:ascii="Calibri" w:eastAsia="Calibri" w:hAnsi="Calibri"/>
          <w:noProof/>
          <w:szCs w:val="22"/>
          <w:lang w:eastAsia="en-US"/>
        </w:rPr>
        <w:t>Fyzické a právnické osoby podnikajúce v poľnohospodárskej prvovýrobe spĺňajúce definíciu aktívneho farmára podľa čl. 9 nariadenia (EÚ) č. 1307/2013.</w:t>
      </w:r>
    </w:p>
    <w:p w:rsidR="00ED1FEE" w:rsidRDefault="00ED1FEE" w:rsidP="00ED1FEE">
      <w:pPr>
        <w:rPr>
          <w:rFonts w:ascii="Calibri" w:eastAsia="Calibri" w:hAnsi="Calibri" w:cs="Calibri"/>
          <w:bCs/>
          <w:szCs w:val="22"/>
          <w:u w:val="single"/>
          <w:lang w:eastAsia="en-US"/>
        </w:rPr>
      </w:pPr>
    </w:p>
    <w:p w:rsidR="00ED1FEE" w:rsidRDefault="00ED1FEE" w:rsidP="00ED1FEE">
      <w:pPr>
        <w:rPr>
          <w:rFonts w:ascii="Calibri" w:eastAsia="Calibri" w:hAnsi="Calibri" w:cs="Calibri"/>
          <w:bCs/>
          <w:szCs w:val="22"/>
          <w:u w:val="single"/>
          <w:lang w:eastAsia="en-US"/>
        </w:rPr>
      </w:pPr>
      <w:r>
        <w:rPr>
          <w:rFonts w:ascii="Calibri" w:eastAsia="Calibri" w:hAnsi="Calibri" w:cs="Calibri"/>
          <w:bCs/>
          <w:szCs w:val="22"/>
          <w:u w:val="single"/>
          <w:lang w:eastAsia="en-US"/>
        </w:rPr>
        <w:t>Oprávnené náklady:</w:t>
      </w:r>
    </w:p>
    <w:p w:rsidR="00ED1FEE" w:rsidRDefault="00ED1FEE" w:rsidP="00ED1FEE">
      <w:pPr>
        <w:rPr>
          <w:rFonts w:ascii="Calibri" w:eastAsia="Calibri" w:hAnsi="Calibri" w:cs="Calibri"/>
          <w:szCs w:val="22"/>
          <w:lang w:eastAsia="en-US"/>
        </w:rPr>
      </w:pPr>
      <w:r>
        <w:rPr>
          <w:rFonts w:ascii="Calibri" w:eastAsia="Calibri" w:hAnsi="Calibri" w:cs="Calibri"/>
          <w:szCs w:val="22"/>
          <w:lang w:eastAsia="en-US"/>
        </w:rPr>
        <w:t xml:space="preserve">Oprávnené sú všetky náklady spojené so zvýšenými nárokmi spojenými s použitím prostriedkov biologickej ochrany  a obmedzenie používania priemyselných hnojív. Dodatočné náklady vznikajú pri povinnosti uskutočňovať v stanovených termínoch povinné rozbory pôdy a plodov. </w:t>
      </w:r>
      <w:r>
        <w:rPr>
          <w:rFonts w:ascii="Calibri" w:eastAsia="Calibri" w:hAnsi="Calibri" w:cs="Calibri"/>
          <w:bCs/>
          <w:szCs w:val="22"/>
          <w:lang w:eastAsia="en-US"/>
        </w:rPr>
        <w:t xml:space="preserve">Zvýšené náklady vznikajú aj v súvislosti so zabezpečením bylinného krytu hlavne </w:t>
      </w:r>
      <w:r>
        <w:rPr>
          <w:rFonts w:ascii="Calibri" w:eastAsia="Calibri" w:hAnsi="Calibri" w:cs="Calibri"/>
          <w:szCs w:val="22"/>
          <w:lang w:eastAsia="en-US"/>
        </w:rPr>
        <w:t>bohato kvitnúcich rastlín.</w:t>
      </w:r>
    </w:p>
    <w:p w:rsidR="00ED1FEE" w:rsidRDefault="00ED1FEE" w:rsidP="00ED1FEE">
      <w:pPr>
        <w:autoSpaceDE w:val="0"/>
        <w:autoSpaceDN w:val="0"/>
        <w:adjustRightInd w:val="0"/>
        <w:rPr>
          <w:rFonts w:ascii="Calibri" w:eastAsia="Calibri" w:hAnsi="Calibri" w:cs="Calibri"/>
          <w:szCs w:val="22"/>
          <w:u w:val="single"/>
          <w:lang w:eastAsia="en-US"/>
        </w:rPr>
      </w:pPr>
    </w:p>
    <w:p w:rsidR="00ED1FEE" w:rsidRDefault="00ED1FEE" w:rsidP="00ED1FEE">
      <w:pPr>
        <w:autoSpaceDE w:val="0"/>
        <w:autoSpaceDN w:val="0"/>
        <w:adjustRightInd w:val="0"/>
        <w:rPr>
          <w:rFonts w:ascii="Calibri" w:eastAsia="Calibri" w:hAnsi="Calibri" w:cs="Calibri"/>
          <w:szCs w:val="22"/>
          <w:u w:val="single"/>
          <w:lang w:eastAsia="en-US"/>
        </w:rPr>
      </w:pPr>
      <w:r>
        <w:rPr>
          <w:rFonts w:ascii="Calibri" w:eastAsia="Calibri" w:hAnsi="Calibri" w:cs="Calibri"/>
          <w:szCs w:val="22"/>
          <w:u w:val="single"/>
          <w:lang w:eastAsia="en-US"/>
        </w:rPr>
        <w:t>Podmienky oprávnenosti :</w:t>
      </w:r>
    </w:p>
    <w:p w:rsidR="00ED1FEE" w:rsidRDefault="00ED1FEE" w:rsidP="00CE203B">
      <w:pPr>
        <w:numPr>
          <w:ilvl w:val="0"/>
          <w:numId w:val="286"/>
        </w:numPr>
        <w:tabs>
          <w:tab w:val="left" w:pos="2410"/>
        </w:tabs>
        <w:autoSpaceDE w:val="0"/>
        <w:autoSpaceDN w:val="0"/>
        <w:adjustRightInd w:val="0"/>
        <w:rPr>
          <w:rFonts w:ascii="Calibri" w:hAnsi="Calibri" w:cs="Calibri"/>
          <w:szCs w:val="22"/>
          <w:lang w:eastAsia="en-US"/>
        </w:rPr>
      </w:pPr>
      <w:r>
        <w:rPr>
          <w:rFonts w:ascii="Calibri" w:hAnsi="Calibri" w:cs="Calibri"/>
          <w:szCs w:val="22"/>
          <w:lang w:eastAsia="en-US"/>
        </w:rPr>
        <w:t>vylučuje sa súbežné pestovanie ovocia v konvenčnom a integrovanom systéme u jedného pestovateľa;</w:t>
      </w:r>
    </w:p>
    <w:p w:rsidR="00ED1FEE" w:rsidRDefault="00ED1FEE" w:rsidP="00CE203B">
      <w:pPr>
        <w:numPr>
          <w:ilvl w:val="0"/>
          <w:numId w:val="286"/>
        </w:numPr>
        <w:rPr>
          <w:rFonts w:ascii="Calibri" w:hAnsi="Calibri" w:cs="Calibri"/>
          <w:szCs w:val="22"/>
          <w:lang w:eastAsia="en-US"/>
        </w:rPr>
      </w:pPr>
      <w:r>
        <w:rPr>
          <w:rFonts w:ascii="Calibri" w:hAnsi="Calibri" w:cs="Calibri"/>
          <w:szCs w:val="22"/>
          <w:lang w:eastAsia="en-US"/>
        </w:rPr>
        <w:t>počas celej doby trvania záväzku musí byť žiadateľ  a plochy v záväzku evidované v Registri ovocných sadov  vedenom kontrolným ústavom,</w:t>
      </w:r>
    </w:p>
    <w:p w:rsidR="00ED1FEE" w:rsidRDefault="00ED1FEE" w:rsidP="00CE203B">
      <w:pPr>
        <w:numPr>
          <w:ilvl w:val="0"/>
          <w:numId w:val="286"/>
        </w:numPr>
        <w:rPr>
          <w:rFonts w:ascii="Calibri" w:hAnsi="Calibri" w:cs="Calibri"/>
          <w:szCs w:val="22"/>
          <w:lang w:eastAsia="en-US"/>
        </w:rPr>
      </w:pPr>
      <w:r>
        <w:rPr>
          <w:rFonts w:ascii="Calibri" w:hAnsi="Calibri" w:cs="Calibri"/>
          <w:szCs w:val="22"/>
          <w:lang w:eastAsia="en-US"/>
        </w:rPr>
        <w:t>oprávnené sú len produkčné ovocné sady,</w:t>
      </w:r>
    </w:p>
    <w:p w:rsidR="00ED1FEE" w:rsidRPr="00DC2ED8" w:rsidRDefault="00ED1FEE" w:rsidP="00CE203B">
      <w:pPr>
        <w:numPr>
          <w:ilvl w:val="0"/>
          <w:numId w:val="286"/>
        </w:numPr>
        <w:rPr>
          <w:rFonts w:ascii="Calibri" w:hAnsi="Calibri" w:cs="Calibri"/>
          <w:szCs w:val="22"/>
          <w:lang w:eastAsia="en-US"/>
        </w:rPr>
      </w:pPr>
      <w:r>
        <w:rPr>
          <w:rFonts w:ascii="Calibri" w:hAnsi="Calibri" w:cs="Calibri"/>
          <w:szCs w:val="22"/>
          <w:lang w:eastAsia="en-US"/>
        </w:rPr>
        <w:t>vstúpiť do opatrenia s minimálne 0,5 ha ovocného sadu vedeného  v registri/LPIS</w:t>
      </w:r>
    </w:p>
    <w:p w:rsidR="00ED1FEE" w:rsidRDefault="00ED1FEE" w:rsidP="00ED1FEE">
      <w:pPr>
        <w:rPr>
          <w:rFonts w:ascii="Calibri" w:hAnsi="Calibri" w:cs="Calibri"/>
          <w:szCs w:val="22"/>
          <w:u w:val="single"/>
          <w:lang w:eastAsia="en-US"/>
        </w:rPr>
      </w:pPr>
    </w:p>
    <w:p w:rsidR="00ED1FEE" w:rsidRPr="00491B9D" w:rsidRDefault="00ED1FEE" w:rsidP="00ED1FEE">
      <w:pPr>
        <w:rPr>
          <w:rFonts w:ascii="Calibri" w:hAnsi="Calibri" w:cs="Calibri"/>
          <w:szCs w:val="22"/>
          <w:lang w:eastAsia="en-US"/>
        </w:rPr>
      </w:pPr>
      <w:r w:rsidRPr="00DD7895">
        <w:rPr>
          <w:rFonts w:ascii="Calibri" w:hAnsi="Calibri" w:cs="Calibri"/>
          <w:szCs w:val="22"/>
          <w:u w:val="single"/>
          <w:lang w:eastAsia="en-US"/>
        </w:rPr>
        <w:t>Podmienky podpory</w:t>
      </w:r>
      <w:r>
        <w:rPr>
          <w:rFonts w:ascii="Calibri" w:hAnsi="Calibri" w:cs="Calibri"/>
          <w:szCs w:val="22"/>
          <w:u w:val="single"/>
          <w:lang w:eastAsia="en-US"/>
        </w:rPr>
        <w:t>:</w:t>
      </w:r>
    </w:p>
    <w:p w:rsidR="00ED1FEE" w:rsidRPr="00DD7895" w:rsidRDefault="00ED1FEE" w:rsidP="00CE203B">
      <w:pPr>
        <w:pStyle w:val="Odsekzoznamu"/>
        <w:numPr>
          <w:ilvl w:val="0"/>
          <w:numId w:val="364"/>
        </w:numPr>
        <w:tabs>
          <w:tab w:val="left" w:pos="7515"/>
        </w:tabs>
        <w:rPr>
          <w:rFonts w:ascii="Calibri" w:hAnsi="Calibri" w:cs="Calibri"/>
          <w:bCs/>
          <w:szCs w:val="22"/>
          <w:lang w:eastAsia="en-US"/>
        </w:rPr>
      </w:pPr>
      <w:r w:rsidRPr="00DD7895">
        <w:rPr>
          <w:rFonts w:ascii="Calibri" w:hAnsi="Calibri" w:cs="Calibri"/>
          <w:bCs/>
          <w:szCs w:val="22"/>
          <w:lang w:eastAsia="en-US"/>
        </w:rPr>
        <w:t xml:space="preserve">používať na celej výmere biologické ochranné prípravky a  minimalizovať chemické prípravky na ochranu rastlín a to  len v odôvodnených prípadoch – signalizačná výstraha  a len ak sú povolené v integrovanej produkcii </w:t>
      </w:r>
    </w:p>
    <w:p w:rsidR="00ED1FEE" w:rsidRDefault="00ED1FEE" w:rsidP="00CE203B">
      <w:pPr>
        <w:numPr>
          <w:ilvl w:val="0"/>
          <w:numId w:val="286"/>
        </w:numPr>
        <w:tabs>
          <w:tab w:val="left" w:pos="7515"/>
        </w:tabs>
        <w:contextualSpacing/>
        <w:rPr>
          <w:rFonts w:ascii="Calibri" w:hAnsi="Calibri" w:cs="Calibri"/>
          <w:bCs/>
          <w:szCs w:val="22"/>
          <w:lang w:eastAsia="en-US"/>
        </w:rPr>
      </w:pPr>
      <w:r>
        <w:rPr>
          <w:rFonts w:ascii="Calibri" w:hAnsi="Calibri" w:cs="Calibri"/>
          <w:bCs/>
          <w:szCs w:val="22"/>
          <w:lang w:eastAsia="en-US"/>
        </w:rPr>
        <w:t xml:space="preserve">vykonávať pravidelné ošetrenie ako je rez kríkov/stromov, </w:t>
      </w:r>
    </w:p>
    <w:p w:rsidR="00ED1FEE" w:rsidRDefault="00ED1FEE" w:rsidP="00CE203B">
      <w:pPr>
        <w:numPr>
          <w:ilvl w:val="0"/>
          <w:numId w:val="286"/>
        </w:numPr>
        <w:tabs>
          <w:tab w:val="left" w:pos="7515"/>
        </w:tabs>
        <w:contextualSpacing/>
        <w:rPr>
          <w:rFonts w:ascii="Calibri" w:hAnsi="Calibri" w:cs="Calibri"/>
          <w:bCs/>
          <w:szCs w:val="22"/>
          <w:lang w:eastAsia="en-US"/>
        </w:rPr>
      </w:pPr>
      <w:r>
        <w:rPr>
          <w:rFonts w:ascii="Calibri" w:hAnsi="Calibri" w:cs="Calibri"/>
          <w:bCs/>
          <w:szCs w:val="22"/>
          <w:lang w:eastAsia="en-US"/>
        </w:rPr>
        <w:t>zabezpečiť rozbor pôdy raz za tri roky  a plodov každoročne  každého pestovaného druhu  akreditovanou inštitúciou na vybrané, používané  rizikové látky,</w:t>
      </w:r>
    </w:p>
    <w:p w:rsidR="00ED1FEE" w:rsidRDefault="00ED1FEE" w:rsidP="00CE203B">
      <w:pPr>
        <w:numPr>
          <w:ilvl w:val="0"/>
          <w:numId w:val="286"/>
        </w:numPr>
        <w:tabs>
          <w:tab w:val="left" w:pos="7515"/>
        </w:tabs>
        <w:contextualSpacing/>
        <w:rPr>
          <w:rFonts w:ascii="Calibri" w:hAnsi="Calibri" w:cs="Calibri"/>
          <w:bCs/>
          <w:szCs w:val="22"/>
          <w:lang w:eastAsia="en-US"/>
        </w:rPr>
      </w:pPr>
      <w:r>
        <w:rPr>
          <w:rFonts w:ascii="Calibri" w:hAnsi="Calibri" w:cs="Calibri"/>
          <w:bCs/>
          <w:szCs w:val="22"/>
          <w:lang w:eastAsia="en-US"/>
        </w:rPr>
        <w:t>zabezpečiť stanovený  počet jedincov na 1 ha sadu podľa druhu ovocia; stanovenie vo vnútroštátnom právnom predpise,</w:t>
      </w:r>
    </w:p>
    <w:p w:rsidR="00ED1FEE" w:rsidRDefault="00ED1FEE" w:rsidP="00CE203B">
      <w:pPr>
        <w:numPr>
          <w:ilvl w:val="0"/>
          <w:numId w:val="286"/>
        </w:numPr>
        <w:tabs>
          <w:tab w:val="left" w:pos="7515"/>
        </w:tabs>
        <w:contextualSpacing/>
        <w:rPr>
          <w:rFonts w:ascii="Calibri" w:hAnsi="Calibri" w:cs="Calibri"/>
          <w:bCs/>
          <w:szCs w:val="22"/>
          <w:lang w:eastAsia="en-US"/>
        </w:rPr>
      </w:pPr>
      <w:r>
        <w:rPr>
          <w:rFonts w:ascii="Calibri" w:hAnsi="Calibri" w:cs="Calibri"/>
          <w:bCs/>
          <w:szCs w:val="22"/>
          <w:lang w:eastAsia="en-US"/>
        </w:rPr>
        <w:t>zabezpečiť celoročne zelený kryt pôdy</w:t>
      </w:r>
      <w:r>
        <w:rPr>
          <w:rFonts w:ascii="Calibri" w:hAnsi="Calibri" w:cs="Calibri"/>
          <w:szCs w:val="22"/>
          <w:lang w:eastAsia="en-US"/>
        </w:rPr>
        <w:t xml:space="preserve"> porastom bylinných alebo trávových zmesí, slamou, senom alebo iným mulčovacím materiálom minimálne v každej druhej uličke ovocného  sadu</w:t>
      </w:r>
      <w:r>
        <w:rPr>
          <w:rFonts w:ascii="Calibri" w:hAnsi="Calibri" w:cs="Calibri"/>
          <w:szCs w:val="22"/>
          <w:lang w:eastAsia="en-US"/>
        </w:rPr>
        <w:lastRenderedPageBreak/>
        <w:t xml:space="preserve"> alebo hospodáriť na terasách; alebo zabezpečiť pokrytie pôdy bylinným porastom bohato kvitnúcich rastlín; </w:t>
      </w:r>
      <w:r>
        <w:rPr>
          <w:rFonts w:ascii="Calibri" w:hAnsi="Calibri" w:cs="Calibri"/>
          <w:szCs w:val="22"/>
          <w:lang w:eastAsia="en-US"/>
        </w:rPr>
        <w:tab/>
      </w:r>
    </w:p>
    <w:p w:rsidR="00ED1FEE" w:rsidRDefault="00ED1FEE" w:rsidP="00CE203B">
      <w:pPr>
        <w:numPr>
          <w:ilvl w:val="0"/>
          <w:numId w:val="286"/>
        </w:numPr>
        <w:tabs>
          <w:tab w:val="left" w:pos="7515"/>
        </w:tabs>
        <w:contextualSpacing/>
        <w:rPr>
          <w:rFonts w:ascii="Calibri" w:hAnsi="Calibri" w:cs="Calibri"/>
          <w:bCs/>
          <w:szCs w:val="22"/>
          <w:lang w:eastAsia="en-US"/>
        </w:rPr>
      </w:pPr>
      <w:r>
        <w:rPr>
          <w:rFonts w:ascii="Calibri" w:hAnsi="Calibri" w:cs="Calibri"/>
          <w:szCs w:val="22"/>
          <w:lang w:eastAsia="en-US"/>
        </w:rPr>
        <w:t>zrieknutie sa priamej aplikácie čistiarenského kalu a dnových sedimentov</w:t>
      </w:r>
    </w:p>
    <w:p w:rsidR="00ED1FEE" w:rsidRPr="0042145D" w:rsidRDefault="00ED1FEE" w:rsidP="00CE203B">
      <w:pPr>
        <w:numPr>
          <w:ilvl w:val="0"/>
          <w:numId w:val="286"/>
        </w:numPr>
        <w:tabs>
          <w:tab w:val="left" w:pos="7515"/>
        </w:tabs>
        <w:contextualSpacing/>
        <w:rPr>
          <w:rFonts w:ascii="Calibri" w:hAnsi="Calibri" w:cs="Calibri"/>
          <w:bCs/>
          <w:szCs w:val="22"/>
          <w:lang w:eastAsia="en-US"/>
        </w:rPr>
      </w:pPr>
      <w:r>
        <w:rPr>
          <w:rFonts w:ascii="Calibri" w:hAnsi="Calibri" w:cs="Calibri"/>
          <w:szCs w:val="22"/>
          <w:lang w:eastAsia="en-US"/>
        </w:rPr>
        <w:t>povinnosť absolvovať školiaci kurz k správne vykonávaným podmienkam opatrenia</w:t>
      </w:r>
    </w:p>
    <w:p w:rsidR="00ED1FEE" w:rsidRPr="00DD7895" w:rsidRDefault="00ED1FEE" w:rsidP="00CE203B">
      <w:pPr>
        <w:numPr>
          <w:ilvl w:val="0"/>
          <w:numId w:val="286"/>
        </w:numPr>
        <w:tabs>
          <w:tab w:val="left" w:pos="7515"/>
        </w:tabs>
        <w:contextualSpacing/>
        <w:rPr>
          <w:rFonts w:ascii="Calibri" w:hAnsi="Calibri" w:cs="Calibri"/>
        </w:rPr>
      </w:pPr>
      <w:r w:rsidRPr="00DD7895">
        <w:rPr>
          <w:rFonts w:ascii="Calibri" w:hAnsi="Calibri" w:cs="Calibri"/>
          <w:szCs w:val="22"/>
          <w:lang w:eastAsia="en-US"/>
        </w:rPr>
        <w:t>viesť a uchovávať všetky záznamy o pestovateľských postupoch a súvisiacich činnostiach</w:t>
      </w:r>
      <w:r>
        <w:rPr>
          <w:rFonts w:ascii="Calibri" w:hAnsi="Calibri" w:cs="Calibri"/>
        </w:rPr>
        <w:t>.</w:t>
      </w:r>
    </w:p>
    <w:p w:rsidR="00ED1FEE" w:rsidRDefault="00ED1FEE" w:rsidP="00ED1FEE">
      <w:pPr>
        <w:rPr>
          <w:rFonts w:ascii="Calibri" w:eastAsia="Calibri" w:hAnsi="Calibri" w:cs="Calibri"/>
          <w:color w:val="000000"/>
          <w:szCs w:val="22"/>
          <w:u w:val="single"/>
          <w:lang w:eastAsia="en-US"/>
        </w:rPr>
      </w:pPr>
    </w:p>
    <w:p w:rsidR="00ED1FEE" w:rsidRDefault="00ED1FEE" w:rsidP="00ED1FEE">
      <w:pPr>
        <w:rPr>
          <w:rFonts w:ascii="Calibri" w:eastAsia="Calibri" w:hAnsi="Calibri" w:cs="Calibri"/>
          <w:szCs w:val="22"/>
          <w:u w:val="single"/>
          <w:lang w:eastAsia="en-US"/>
        </w:rPr>
      </w:pPr>
      <w:r>
        <w:rPr>
          <w:rFonts w:ascii="Calibri" w:eastAsia="Calibri" w:hAnsi="Calibri" w:cs="Calibri"/>
          <w:szCs w:val="22"/>
          <w:u w:val="single"/>
          <w:lang w:eastAsia="en-US"/>
        </w:rPr>
        <w:t>Princípy nastavenia výberových kritérií:</w:t>
      </w:r>
    </w:p>
    <w:p w:rsidR="00ED1FEE" w:rsidRDefault="00ED1FEE" w:rsidP="00CE203B">
      <w:pPr>
        <w:numPr>
          <w:ilvl w:val="0"/>
          <w:numId w:val="350"/>
        </w:numPr>
        <w:tabs>
          <w:tab w:val="left" w:pos="7515"/>
        </w:tabs>
        <w:contextualSpacing/>
        <w:rPr>
          <w:rFonts w:ascii="Calibri" w:hAnsi="Calibri" w:cs="Calibri"/>
          <w:szCs w:val="22"/>
          <w:lang w:eastAsia="en-US"/>
        </w:rPr>
      </w:pPr>
      <w:r>
        <w:rPr>
          <w:rFonts w:ascii="Calibri" w:hAnsi="Calibri" w:cs="Calibri"/>
          <w:szCs w:val="22"/>
          <w:lang w:eastAsia="en-US"/>
        </w:rPr>
        <w:t>výmera ovocných sadov zaradených v IP v zostupnej tendencii;</w:t>
      </w:r>
    </w:p>
    <w:p w:rsidR="00ED1FEE" w:rsidRDefault="00ED1FEE" w:rsidP="00CE203B">
      <w:pPr>
        <w:numPr>
          <w:ilvl w:val="0"/>
          <w:numId w:val="350"/>
        </w:numPr>
        <w:tabs>
          <w:tab w:val="left" w:pos="7515"/>
        </w:tabs>
        <w:contextualSpacing/>
        <w:rPr>
          <w:rFonts w:ascii="Calibri" w:hAnsi="Calibri" w:cs="Calibri"/>
          <w:szCs w:val="22"/>
          <w:lang w:eastAsia="en-US"/>
        </w:rPr>
      </w:pPr>
      <w:r>
        <w:rPr>
          <w:rFonts w:ascii="Calibri" w:hAnsi="Calibri" w:cs="Calibri"/>
          <w:szCs w:val="22"/>
          <w:lang w:eastAsia="en-US"/>
        </w:rPr>
        <w:t>podiel ovocných sadov k celkovej výmere podniku v zostupnej tendencii;</w:t>
      </w:r>
    </w:p>
    <w:p w:rsidR="00ED1FEE" w:rsidRDefault="00ED1FEE" w:rsidP="00CE203B">
      <w:pPr>
        <w:numPr>
          <w:ilvl w:val="0"/>
          <w:numId w:val="350"/>
        </w:numPr>
        <w:tabs>
          <w:tab w:val="left" w:pos="7515"/>
        </w:tabs>
        <w:contextualSpacing/>
        <w:rPr>
          <w:rFonts w:ascii="Calibri" w:hAnsi="Calibri" w:cs="Calibri"/>
          <w:szCs w:val="22"/>
          <w:lang w:eastAsia="en-US"/>
        </w:rPr>
      </w:pPr>
      <w:r>
        <w:rPr>
          <w:rFonts w:ascii="Calibri" w:hAnsi="Calibri" w:cs="Calibri"/>
          <w:szCs w:val="22"/>
          <w:lang w:eastAsia="en-US"/>
        </w:rPr>
        <w:t>hodnotenie úrovne agrotechniky v zostupnej tendencii.</w:t>
      </w:r>
    </w:p>
    <w:p w:rsidR="00ED1FEE" w:rsidRDefault="00ED1FEE" w:rsidP="00ED1FEE">
      <w:pPr>
        <w:tabs>
          <w:tab w:val="left" w:pos="7515"/>
        </w:tabs>
        <w:ind w:left="720"/>
        <w:contextualSpacing/>
        <w:rPr>
          <w:rFonts w:ascii="Calibri" w:hAnsi="Calibri" w:cs="Calibri"/>
          <w:szCs w:val="22"/>
          <w:lang w:eastAsia="en-US"/>
        </w:rPr>
      </w:pPr>
    </w:p>
    <w:p w:rsidR="00ED1FEE" w:rsidRDefault="00ED1FEE" w:rsidP="00ED1FEE">
      <w:pPr>
        <w:rPr>
          <w:rFonts w:ascii="Calibri" w:hAnsi="Calibri"/>
          <w:szCs w:val="22"/>
          <w:u w:val="single"/>
          <w:lang w:eastAsia="en-GB"/>
        </w:rPr>
      </w:pPr>
      <w:r>
        <w:rPr>
          <w:rFonts w:ascii="Calibri" w:hAnsi="Calibri"/>
          <w:szCs w:val="22"/>
          <w:u w:val="single"/>
          <w:lang w:eastAsia="en-GB"/>
        </w:rPr>
        <w:t>Výška a miera podpory:</w:t>
      </w:r>
    </w:p>
    <w:p w:rsidR="00ED1FEE" w:rsidRDefault="00ED1FEE" w:rsidP="00ED1FEE">
      <w:pPr>
        <w:tabs>
          <w:tab w:val="left" w:pos="4111"/>
        </w:tabs>
        <w:rPr>
          <w:rFonts w:ascii="Calibri" w:eastAsia="Calibri" w:hAnsi="Calibri" w:cs="Calibri"/>
          <w:bCs/>
          <w:szCs w:val="22"/>
          <w:lang w:eastAsia="en-US"/>
        </w:rPr>
      </w:pPr>
      <w:r>
        <w:rPr>
          <w:rFonts w:ascii="Calibri" w:eastAsia="Calibri" w:hAnsi="Calibri" w:cs="Calibri"/>
          <w:bCs/>
          <w:szCs w:val="22"/>
          <w:lang w:eastAsia="en-US"/>
        </w:rPr>
        <w:t>Rodiace sady</w:t>
      </w:r>
      <w:r>
        <w:rPr>
          <w:rFonts w:ascii="Calibri" w:eastAsia="Calibri" w:hAnsi="Calibri" w:cs="Calibri"/>
          <w:bCs/>
          <w:szCs w:val="22"/>
          <w:lang w:eastAsia="en-US"/>
        </w:rPr>
        <w:tab/>
        <w:t>mladé sady (do 3 rokov po výsadbe)</w:t>
      </w:r>
    </w:p>
    <w:p w:rsidR="00ED1FEE" w:rsidRDefault="00ED1FEE" w:rsidP="00ED1FEE">
      <w:pPr>
        <w:tabs>
          <w:tab w:val="left" w:pos="4111"/>
        </w:tabs>
        <w:rPr>
          <w:rFonts w:ascii="Calibri" w:eastAsia="Calibri" w:hAnsi="Calibri" w:cs="Calibri"/>
          <w:bCs/>
          <w:szCs w:val="22"/>
          <w:lang w:eastAsia="en-US"/>
        </w:rPr>
      </w:pPr>
      <w:r>
        <w:rPr>
          <w:rFonts w:ascii="Calibri" w:eastAsia="Calibri" w:hAnsi="Calibri" w:cs="Calibri"/>
          <w:bCs/>
          <w:szCs w:val="22"/>
          <w:lang w:eastAsia="en-US"/>
        </w:rPr>
        <w:t xml:space="preserve">Jadroviny  517 €/ha, </w:t>
      </w:r>
      <w:r>
        <w:rPr>
          <w:rFonts w:ascii="Calibri" w:eastAsia="Calibri" w:hAnsi="Calibri" w:cs="Calibri"/>
          <w:bCs/>
          <w:szCs w:val="22"/>
          <w:lang w:eastAsia="en-US"/>
        </w:rPr>
        <w:tab/>
      </w:r>
      <w:r>
        <w:rPr>
          <w:rFonts w:ascii="Calibri" w:eastAsia="Calibri" w:hAnsi="Calibri" w:cs="Calibri"/>
          <w:bCs/>
          <w:szCs w:val="22"/>
          <w:lang w:eastAsia="en-US"/>
        </w:rPr>
        <w:tab/>
        <w:t>397 €/ha</w:t>
      </w:r>
    </w:p>
    <w:p w:rsidR="00ED1FEE" w:rsidRDefault="00ED1FEE" w:rsidP="00ED1FEE">
      <w:pPr>
        <w:rPr>
          <w:rFonts w:ascii="Calibri" w:eastAsia="Calibri" w:hAnsi="Calibri" w:cs="Calibri"/>
          <w:bCs/>
          <w:szCs w:val="22"/>
          <w:lang w:eastAsia="en-US"/>
        </w:rPr>
      </w:pPr>
      <w:r>
        <w:rPr>
          <w:rFonts w:ascii="Calibri" w:eastAsia="Calibri" w:hAnsi="Calibri" w:cs="Calibri"/>
          <w:bCs/>
          <w:szCs w:val="22"/>
          <w:lang w:eastAsia="en-US"/>
        </w:rPr>
        <w:t>Kôstkoviny 367</w:t>
      </w:r>
      <w:r>
        <w:rPr>
          <w:rFonts w:ascii="Calibri" w:eastAsia="Calibri" w:hAnsi="Calibri" w:cs="Calibri"/>
          <w:bCs/>
          <w:i/>
          <w:szCs w:val="22"/>
          <w:lang w:eastAsia="en-US"/>
        </w:rPr>
        <w:t xml:space="preserve"> </w:t>
      </w:r>
      <w:r>
        <w:rPr>
          <w:rFonts w:ascii="Calibri" w:eastAsia="Calibri" w:hAnsi="Calibri" w:cs="Calibri"/>
          <w:bCs/>
          <w:szCs w:val="22"/>
          <w:lang w:eastAsia="en-US"/>
        </w:rPr>
        <w:t xml:space="preserve">€/ha, </w:t>
      </w:r>
      <w:r>
        <w:rPr>
          <w:rFonts w:ascii="Calibri" w:eastAsia="Calibri" w:hAnsi="Calibri" w:cs="Calibri"/>
          <w:bCs/>
          <w:szCs w:val="22"/>
          <w:lang w:eastAsia="en-US"/>
        </w:rPr>
        <w:tab/>
      </w:r>
      <w:r>
        <w:rPr>
          <w:rFonts w:ascii="Calibri" w:eastAsia="Calibri" w:hAnsi="Calibri" w:cs="Calibri"/>
          <w:bCs/>
          <w:szCs w:val="22"/>
          <w:lang w:eastAsia="en-US"/>
        </w:rPr>
        <w:tab/>
      </w:r>
      <w:r>
        <w:rPr>
          <w:rFonts w:ascii="Calibri" w:eastAsia="Calibri" w:hAnsi="Calibri" w:cs="Calibri"/>
          <w:bCs/>
          <w:szCs w:val="22"/>
          <w:lang w:eastAsia="en-US"/>
        </w:rPr>
        <w:tab/>
      </w:r>
      <w:r>
        <w:rPr>
          <w:rFonts w:ascii="Calibri" w:eastAsia="Calibri" w:hAnsi="Calibri" w:cs="Calibri"/>
          <w:bCs/>
          <w:szCs w:val="22"/>
          <w:lang w:eastAsia="en-US"/>
        </w:rPr>
        <w:tab/>
        <w:t>282 €/ha</w:t>
      </w:r>
    </w:p>
    <w:p w:rsidR="00ED1FEE" w:rsidRDefault="00ED1FEE" w:rsidP="00ED1FEE">
      <w:pPr>
        <w:rPr>
          <w:rFonts w:ascii="Calibri" w:eastAsia="Calibri" w:hAnsi="Calibri" w:cs="Calibri"/>
          <w:bCs/>
          <w:szCs w:val="22"/>
          <w:lang w:eastAsia="en-US"/>
        </w:rPr>
      </w:pPr>
      <w:r>
        <w:rPr>
          <w:rFonts w:ascii="Calibri" w:eastAsia="Calibri" w:hAnsi="Calibri" w:cs="Calibri"/>
          <w:bCs/>
          <w:szCs w:val="22"/>
          <w:lang w:eastAsia="en-US"/>
        </w:rPr>
        <w:t xml:space="preserve">Škrupinové 267€/ha, </w:t>
      </w:r>
      <w:r>
        <w:rPr>
          <w:rFonts w:ascii="Calibri" w:eastAsia="Calibri" w:hAnsi="Calibri" w:cs="Calibri"/>
          <w:bCs/>
          <w:szCs w:val="22"/>
          <w:lang w:eastAsia="en-US"/>
        </w:rPr>
        <w:tab/>
      </w:r>
      <w:r>
        <w:rPr>
          <w:rFonts w:ascii="Calibri" w:eastAsia="Calibri" w:hAnsi="Calibri" w:cs="Calibri"/>
          <w:bCs/>
          <w:szCs w:val="22"/>
          <w:lang w:eastAsia="en-US"/>
        </w:rPr>
        <w:tab/>
      </w:r>
      <w:r>
        <w:rPr>
          <w:rFonts w:ascii="Calibri" w:eastAsia="Calibri" w:hAnsi="Calibri" w:cs="Calibri"/>
          <w:bCs/>
          <w:szCs w:val="22"/>
          <w:lang w:eastAsia="en-US"/>
        </w:rPr>
        <w:tab/>
      </w:r>
      <w:r>
        <w:rPr>
          <w:rFonts w:ascii="Calibri" w:eastAsia="Calibri" w:hAnsi="Calibri" w:cs="Calibri"/>
          <w:bCs/>
          <w:szCs w:val="22"/>
          <w:lang w:eastAsia="en-US"/>
        </w:rPr>
        <w:tab/>
        <w:t>205 €/ha</w:t>
      </w:r>
    </w:p>
    <w:p w:rsidR="00ED1FEE" w:rsidRDefault="00ED1FEE" w:rsidP="00ED1FEE">
      <w:pPr>
        <w:rPr>
          <w:rFonts w:ascii="Calibri" w:eastAsia="Calibri" w:hAnsi="Calibri" w:cs="Calibri"/>
          <w:bCs/>
          <w:szCs w:val="22"/>
          <w:lang w:eastAsia="en-US"/>
        </w:rPr>
      </w:pPr>
      <w:r>
        <w:rPr>
          <w:rFonts w:ascii="Calibri" w:eastAsia="Calibri" w:hAnsi="Calibri" w:cs="Calibri"/>
          <w:bCs/>
          <w:szCs w:val="22"/>
          <w:lang w:eastAsia="en-US"/>
        </w:rPr>
        <w:t>Drobné ovocné druhy 167€/ha</w:t>
      </w:r>
      <w:r>
        <w:rPr>
          <w:rFonts w:ascii="Calibri" w:eastAsia="Calibri" w:hAnsi="Calibri" w:cs="Calibri"/>
          <w:bCs/>
          <w:szCs w:val="22"/>
          <w:lang w:eastAsia="en-US"/>
        </w:rPr>
        <w:tab/>
      </w:r>
      <w:r>
        <w:rPr>
          <w:rFonts w:ascii="Calibri" w:eastAsia="Calibri" w:hAnsi="Calibri" w:cs="Calibri"/>
          <w:bCs/>
          <w:szCs w:val="22"/>
          <w:lang w:eastAsia="en-US"/>
        </w:rPr>
        <w:tab/>
      </w:r>
      <w:r>
        <w:rPr>
          <w:rFonts w:ascii="Calibri" w:eastAsia="Calibri" w:hAnsi="Calibri" w:cs="Calibri"/>
          <w:bCs/>
          <w:szCs w:val="22"/>
          <w:lang w:eastAsia="en-US"/>
        </w:rPr>
        <w:tab/>
        <w:t>128 €/ha</w:t>
      </w:r>
    </w:p>
    <w:p w:rsidR="00ED1FEE" w:rsidRDefault="00ED1FEE" w:rsidP="00ED1FEE">
      <w:pPr>
        <w:rPr>
          <w:rFonts w:ascii="Calibri" w:eastAsia="Calibri" w:hAnsi="Calibri"/>
          <w:iCs/>
          <w:noProof/>
          <w:szCs w:val="22"/>
          <w:lang w:eastAsia="en-US"/>
        </w:rPr>
      </w:pPr>
    </w:p>
    <w:p w:rsidR="00ED1FEE" w:rsidRDefault="00ED1FEE" w:rsidP="00ED1FEE">
      <w:pPr>
        <w:shd w:val="clear" w:color="auto" w:fill="FBD4B4"/>
        <w:rPr>
          <w:rFonts w:ascii="Calibri" w:eastAsia="Calibri" w:hAnsi="Calibri" w:cs="Calibri"/>
          <w:szCs w:val="22"/>
          <w:lang w:eastAsia="en-US"/>
        </w:rPr>
      </w:pPr>
      <w:r>
        <w:rPr>
          <w:rFonts w:ascii="Calibri" w:eastAsia="Calibri" w:hAnsi="Calibri" w:cs="Calibri"/>
          <w:bCs/>
          <w:szCs w:val="22"/>
          <w:u w:val="single"/>
          <w:lang w:eastAsia="en-US"/>
        </w:rPr>
        <w:t>Názov operácie:</w:t>
      </w:r>
      <w:r>
        <w:rPr>
          <w:rFonts w:ascii="Calibri" w:eastAsia="Calibri" w:hAnsi="Calibri" w:cs="Calibri"/>
          <w:szCs w:val="22"/>
          <w:lang w:eastAsia="en-US"/>
        </w:rPr>
        <w:t xml:space="preserve"> </w:t>
      </w:r>
    </w:p>
    <w:p w:rsidR="00ED1FEE" w:rsidRDefault="00ED1FEE" w:rsidP="00ED1FEE">
      <w:pPr>
        <w:shd w:val="clear" w:color="auto" w:fill="FBD4B4"/>
        <w:rPr>
          <w:rFonts w:ascii="Calibri" w:eastAsia="Calibri" w:hAnsi="Calibri" w:cs="Calibri"/>
          <w:bCs/>
          <w:i/>
          <w:szCs w:val="22"/>
          <w:lang w:eastAsia="en-US"/>
        </w:rPr>
      </w:pPr>
      <w:r>
        <w:rPr>
          <w:rFonts w:ascii="Calibri" w:eastAsia="Calibri" w:hAnsi="Calibri" w:cs="Calibri"/>
          <w:i/>
          <w:szCs w:val="22"/>
          <w:lang w:eastAsia="en-US"/>
        </w:rPr>
        <w:t>Integrovaná produkcia v zeleninárstve</w:t>
      </w:r>
    </w:p>
    <w:p w:rsidR="00ED1FEE" w:rsidRDefault="00ED1FEE" w:rsidP="00ED1FEE">
      <w:pPr>
        <w:rPr>
          <w:rFonts w:ascii="Calibri" w:eastAsia="Calibri" w:hAnsi="Calibri" w:cs="Calibri"/>
          <w:bCs/>
          <w:szCs w:val="22"/>
          <w:u w:val="single"/>
          <w:lang w:eastAsia="en-US"/>
        </w:rPr>
      </w:pPr>
    </w:p>
    <w:p w:rsidR="00ED1FEE" w:rsidRDefault="00ED1FEE" w:rsidP="00ED1FEE">
      <w:pPr>
        <w:rPr>
          <w:rFonts w:ascii="Calibri" w:eastAsia="Calibri" w:hAnsi="Calibri" w:cs="Calibri"/>
          <w:bCs/>
          <w:szCs w:val="22"/>
          <w:u w:val="single"/>
          <w:lang w:eastAsia="en-US"/>
        </w:rPr>
      </w:pPr>
      <w:r>
        <w:rPr>
          <w:rFonts w:ascii="Calibri" w:eastAsia="Calibri" w:hAnsi="Calibri" w:cs="Calibri"/>
          <w:bCs/>
          <w:szCs w:val="22"/>
          <w:u w:val="single"/>
          <w:lang w:eastAsia="en-US"/>
        </w:rPr>
        <w:t>Opis operácie:</w:t>
      </w:r>
    </w:p>
    <w:p w:rsidR="00ED1FEE" w:rsidRDefault="00ED1FEE" w:rsidP="00ED1FEE">
      <w:pPr>
        <w:tabs>
          <w:tab w:val="left" w:pos="7515"/>
        </w:tabs>
        <w:spacing w:after="120"/>
        <w:rPr>
          <w:rFonts w:ascii="Calibri" w:eastAsia="Calibri" w:hAnsi="Calibri" w:cs="Arial"/>
          <w:szCs w:val="22"/>
          <w:lang w:eastAsia="en-US"/>
        </w:rPr>
      </w:pPr>
      <w:r>
        <w:rPr>
          <w:rFonts w:ascii="Calibri" w:eastAsia="Calibri" w:hAnsi="Calibri" w:cs="Calibri"/>
          <w:szCs w:val="22"/>
          <w:lang w:eastAsia="en-US"/>
        </w:rPr>
        <w:t xml:space="preserve">Operácia je </w:t>
      </w:r>
      <w:r>
        <w:rPr>
          <w:rFonts w:ascii="Calibri" w:eastAsia="Calibri" w:hAnsi="Calibri" w:cs="Arial"/>
          <w:szCs w:val="22"/>
          <w:lang w:eastAsia="en-US"/>
        </w:rPr>
        <w:t xml:space="preserve">zameraná na kontrolované pestovanie zeleniny a konzumných zemiakov, ktoré uprednostňuje ekologicky bezpečnejšie postupy, minimalizujúce vedľajšie nežiaduce účinky znižovaním počtu zásahov chemických prípravkov na ochranu rastlín, hlavne fungicídy,  insekticídy a rastové stimulátory a eliminácia alebo maximálne zníženie dávok hnojenia čím sa zvyšuje bezpečnosť pre životné prostredie.  </w:t>
      </w:r>
    </w:p>
    <w:p w:rsidR="00ED1FEE" w:rsidRDefault="00ED1FEE" w:rsidP="00ED1FEE">
      <w:pPr>
        <w:tabs>
          <w:tab w:val="left" w:pos="7515"/>
        </w:tabs>
        <w:spacing w:after="120"/>
        <w:rPr>
          <w:rFonts w:ascii="Calibri" w:eastAsia="Calibri" w:hAnsi="Calibri" w:cs="Calibri"/>
          <w:szCs w:val="22"/>
          <w:lang w:eastAsia="en-US"/>
        </w:rPr>
      </w:pPr>
      <w:r>
        <w:rPr>
          <w:rFonts w:ascii="Calibri" w:eastAsia="Calibri" w:hAnsi="Calibri" w:cs="Calibri"/>
          <w:szCs w:val="22"/>
          <w:lang w:eastAsia="en-US"/>
        </w:rPr>
        <w:t>Podmienky pre Integrovaný spôsob pestovania zeleniny a</w:t>
      </w:r>
      <w:r w:rsidR="008612D8">
        <w:rPr>
          <w:rFonts w:ascii="Calibri" w:eastAsia="Calibri" w:hAnsi="Calibri" w:cs="Calibri"/>
          <w:szCs w:val="22"/>
          <w:lang w:eastAsia="en-US"/>
        </w:rPr>
        <w:t xml:space="preserve"> konzumných </w:t>
      </w:r>
      <w:r>
        <w:rPr>
          <w:rFonts w:ascii="Calibri" w:eastAsia="Calibri" w:hAnsi="Calibri" w:cs="Calibri"/>
          <w:szCs w:val="22"/>
          <w:lang w:eastAsia="en-US"/>
        </w:rPr>
        <w:t xml:space="preserve">zemiakov sa uplatňujú nad rámec povinných noriem  a povinnosť ich dodržiavania je počas celého 5 ročného záväzku , a to najmä zabezpečením  vyvážených osevných postupov podľa druhov pestovanej zeleniny a štvorročný  pre zemiaky tak, aby sa obmedzilo používanie dusíkatých minerálnych hnojív. Realizovať len  biologickú ochranu, minimalizovať chemické prípravky na ochranu rastlín aj to len zo zoznamu povolených prípravkov, okrem ohrozenia /signalizačné správy/dokladovanie, každoročne zabezpečiť rozbor každého druhu pestovanej zeleniny/ konzumných zemiakov na vybrané chemické látky a dusičnany a rozbor pôdnych vzoriek  na vybrané, používané  chemické látky v prvom roku a následné  raz za tri roky. </w:t>
      </w:r>
    </w:p>
    <w:p w:rsidR="00ED1FEE" w:rsidRDefault="00ED1FEE" w:rsidP="00ED1FEE">
      <w:pPr>
        <w:tabs>
          <w:tab w:val="left" w:pos="7515"/>
        </w:tabs>
        <w:rPr>
          <w:rFonts w:ascii="Calibri" w:eastAsia="Calibri" w:hAnsi="Calibri" w:cs="Calibri"/>
          <w:szCs w:val="22"/>
          <w:lang w:eastAsia="en-US"/>
        </w:rPr>
      </w:pPr>
      <w:r>
        <w:rPr>
          <w:rFonts w:ascii="Calibri" w:eastAsia="Calibri" w:hAnsi="Calibri" w:cs="Calibri"/>
          <w:szCs w:val="22"/>
          <w:lang w:eastAsia="en-US"/>
        </w:rPr>
        <w:t>Na zamedzenie kumulácie dusičnanov  v dôsledku nadmerného pôdneho dusíka sa pri plánovaní hnojenia  dusíkom musí započítať množstvo minerálneho dusíka v pôde (Nmin).</w:t>
      </w:r>
    </w:p>
    <w:p w:rsidR="00ED1FEE" w:rsidRDefault="00ED1FEE" w:rsidP="00ED1FEE">
      <w:pPr>
        <w:tabs>
          <w:tab w:val="left" w:pos="7515"/>
        </w:tabs>
        <w:rPr>
          <w:rFonts w:ascii="Calibri" w:eastAsia="Calibri" w:hAnsi="Calibri" w:cs="Calibri"/>
          <w:szCs w:val="22"/>
          <w:lang w:eastAsia="en-US"/>
        </w:rPr>
      </w:pPr>
      <w:r>
        <w:rPr>
          <w:rFonts w:ascii="Calibri" w:eastAsia="Calibri" w:hAnsi="Calibri" w:cs="Calibri"/>
          <w:szCs w:val="22"/>
          <w:lang w:eastAsia="en-US"/>
        </w:rPr>
        <w:t xml:space="preserve">Pre integrovaný spôsob pestovania je dôležité používať  štandardné osivo zelenín a certifikované sadivo konzumných zemiakov.  O všetkých činnostiach sa vedú a uchovávajú záznamy . </w:t>
      </w:r>
    </w:p>
    <w:p w:rsidR="00ED1FEE" w:rsidRDefault="00ED1FEE" w:rsidP="00ED1FEE">
      <w:pPr>
        <w:tabs>
          <w:tab w:val="left" w:pos="7515"/>
        </w:tabs>
        <w:rPr>
          <w:rFonts w:ascii="Calibri" w:eastAsia="Calibri" w:hAnsi="Calibri" w:cs="Calibri"/>
          <w:szCs w:val="22"/>
          <w:lang w:eastAsia="en-US"/>
        </w:rPr>
      </w:pPr>
    </w:p>
    <w:p w:rsidR="00ED1FEE" w:rsidRDefault="00ED1FEE" w:rsidP="00ED1FEE">
      <w:pPr>
        <w:tabs>
          <w:tab w:val="left" w:pos="7515"/>
        </w:tabs>
        <w:rPr>
          <w:rFonts w:ascii="Calibri" w:eastAsia="Calibri" w:hAnsi="Calibri" w:cs="Calibri"/>
          <w:szCs w:val="22"/>
          <w:lang w:eastAsia="en-US"/>
        </w:rPr>
      </w:pPr>
      <w:r>
        <w:rPr>
          <w:rFonts w:ascii="Calibri" w:eastAsia="Calibri" w:hAnsi="Calibri" w:cs="Calibri"/>
          <w:i/>
          <w:szCs w:val="22"/>
          <w:lang w:eastAsia="en-US"/>
        </w:rPr>
        <w:t>Jahody - ovocie, pre účely podpory budú podmienky podpory uvádzané obdobne ako pre druh zelenina.</w:t>
      </w:r>
    </w:p>
    <w:p w:rsidR="00ED1FEE" w:rsidRDefault="00ED1FEE" w:rsidP="00ED1FEE">
      <w:pPr>
        <w:rPr>
          <w:rFonts w:ascii="Calibri" w:eastAsia="Calibri" w:hAnsi="Calibri"/>
          <w:noProof/>
          <w:szCs w:val="22"/>
          <w:u w:val="single"/>
          <w:lang w:eastAsia="en-GB"/>
        </w:rPr>
      </w:pPr>
      <w:r>
        <w:rPr>
          <w:rFonts w:ascii="Calibri" w:eastAsia="Calibri" w:hAnsi="Calibri"/>
          <w:noProof/>
          <w:szCs w:val="22"/>
          <w:u w:val="single"/>
          <w:lang w:eastAsia="en-GB"/>
        </w:rPr>
        <w:t>Typ podpory:</w:t>
      </w:r>
    </w:p>
    <w:p w:rsidR="00ED1FEE" w:rsidRDefault="00ED1FEE" w:rsidP="00ED1FEE">
      <w:pPr>
        <w:rPr>
          <w:rFonts w:ascii="Calibri" w:eastAsia="Calibri" w:hAnsi="Calibri"/>
          <w:noProof/>
          <w:szCs w:val="22"/>
          <w:lang w:eastAsia="en-GB"/>
        </w:rPr>
      </w:pPr>
      <w:r>
        <w:rPr>
          <w:rFonts w:ascii="Calibri" w:eastAsia="Calibri" w:hAnsi="Calibri"/>
          <w:noProof/>
          <w:szCs w:val="22"/>
          <w:lang w:eastAsia="en-GB"/>
        </w:rPr>
        <w:t>Nezisková ročná platba na 1 hektár zeleniny  pestovanej na ornej pôde.</w:t>
      </w:r>
    </w:p>
    <w:p w:rsidR="00ED1FEE" w:rsidRDefault="00ED1FEE" w:rsidP="00ED1FEE">
      <w:pPr>
        <w:rPr>
          <w:rFonts w:ascii="Calibri" w:hAnsi="Calibri"/>
          <w:szCs w:val="22"/>
          <w:u w:val="single"/>
          <w:lang w:eastAsia="en-GB"/>
        </w:rPr>
      </w:pPr>
    </w:p>
    <w:p w:rsidR="00ED1FEE" w:rsidRDefault="00ED1FEE" w:rsidP="00ED1FEE">
      <w:pPr>
        <w:rPr>
          <w:rFonts w:ascii="Calibri" w:eastAsia="Calibri" w:hAnsi="Calibri" w:cs="Calibri"/>
          <w:bCs/>
          <w:szCs w:val="22"/>
          <w:u w:val="single"/>
          <w:lang w:eastAsia="en-US"/>
        </w:rPr>
      </w:pPr>
      <w:r>
        <w:rPr>
          <w:rFonts w:ascii="Calibri" w:eastAsia="Calibri" w:hAnsi="Calibri" w:cs="Calibri"/>
          <w:bCs/>
          <w:szCs w:val="22"/>
          <w:u w:val="single"/>
          <w:lang w:eastAsia="en-US"/>
        </w:rPr>
        <w:t>Súvislosť s inou legislatívou:</w:t>
      </w:r>
    </w:p>
    <w:p w:rsidR="00ED1FEE" w:rsidRDefault="00ED1FEE" w:rsidP="00955DA4">
      <w:pPr>
        <w:numPr>
          <w:ilvl w:val="0"/>
          <w:numId w:val="198"/>
        </w:numPr>
        <w:ind w:left="284" w:hanging="284"/>
        <w:rPr>
          <w:rFonts w:ascii="Calibri" w:hAnsi="Calibri" w:cs="EUAlbertina"/>
          <w:bCs/>
          <w:szCs w:val="22"/>
        </w:rPr>
      </w:pPr>
      <w:r>
        <w:rPr>
          <w:rFonts w:ascii="Calibri" w:hAnsi="Calibri" w:cs="EUAlbertina"/>
          <w:bCs/>
          <w:szCs w:val="22"/>
        </w:rPr>
        <w:t>nariadenie (EÚ) č. 1306/2013 o financovaní, riadení a monitorovaní spoločnej poľnohospodárskej politiky;</w:t>
      </w:r>
    </w:p>
    <w:p w:rsidR="00ED1FEE" w:rsidRDefault="00ED1FEE" w:rsidP="00955DA4">
      <w:pPr>
        <w:numPr>
          <w:ilvl w:val="0"/>
          <w:numId w:val="198"/>
        </w:numPr>
        <w:ind w:left="284" w:hanging="284"/>
        <w:rPr>
          <w:rFonts w:ascii="Calibri" w:hAnsi="Calibri" w:cs="EUAlbertina"/>
          <w:bCs/>
          <w:szCs w:val="22"/>
        </w:rPr>
      </w:pPr>
      <w:r>
        <w:rPr>
          <w:rFonts w:ascii="Calibri" w:hAnsi="Calibri" w:cs="EUAlbertina"/>
          <w:bCs/>
          <w:szCs w:val="22"/>
        </w:rPr>
        <w:t>nariadenie (EÚ) 1307/2013;</w:t>
      </w:r>
    </w:p>
    <w:p w:rsidR="00ED1FEE" w:rsidRDefault="00ED1FEE" w:rsidP="00955DA4">
      <w:pPr>
        <w:numPr>
          <w:ilvl w:val="0"/>
          <w:numId w:val="198"/>
        </w:numPr>
        <w:ind w:left="284" w:hanging="284"/>
        <w:rPr>
          <w:rFonts w:ascii="Calibri" w:hAnsi="Calibri" w:cs="EUAlbertina"/>
          <w:bCs/>
          <w:szCs w:val="22"/>
        </w:rPr>
      </w:pPr>
      <w:r>
        <w:rPr>
          <w:rFonts w:ascii="Calibri" w:hAnsi="Calibri" w:cs="EUAlbertina"/>
          <w:bCs/>
          <w:szCs w:val="22"/>
        </w:rPr>
        <w:t>zákon č. 405/2011 Z.z. o rastlinolekárskej starostlivosti;</w:t>
      </w:r>
    </w:p>
    <w:p w:rsidR="00ED1FEE" w:rsidRDefault="00ED1FEE" w:rsidP="00955DA4">
      <w:pPr>
        <w:numPr>
          <w:ilvl w:val="0"/>
          <w:numId w:val="198"/>
        </w:numPr>
        <w:ind w:left="284" w:hanging="284"/>
        <w:rPr>
          <w:rFonts w:ascii="Calibri" w:hAnsi="Calibri" w:cs="EUAlbertina"/>
          <w:bCs/>
          <w:szCs w:val="22"/>
        </w:rPr>
      </w:pPr>
      <w:r>
        <w:rPr>
          <w:rFonts w:ascii="Calibri" w:hAnsi="Calibri" w:cs="EUAlbertina"/>
          <w:bCs/>
          <w:szCs w:val="22"/>
        </w:rPr>
        <w:t>zákon č. 136/2000 Z.z. o hnojivách.</w:t>
      </w:r>
    </w:p>
    <w:p w:rsidR="00ED1FEE" w:rsidRDefault="00ED1FEE" w:rsidP="00ED1FEE">
      <w:pPr>
        <w:rPr>
          <w:rFonts w:ascii="Calibri" w:eastAsia="Calibri" w:hAnsi="Calibri" w:cs="Calibri"/>
          <w:bCs/>
          <w:szCs w:val="22"/>
          <w:lang w:eastAsia="en-US"/>
        </w:rPr>
      </w:pPr>
    </w:p>
    <w:p w:rsidR="00ED1FEE" w:rsidRDefault="00ED1FEE" w:rsidP="00ED1FEE">
      <w:pPr>
        <w:rPr>
          <w:rFonts w:ascii="Calibri" w:eastAsia="Calibri" w:hAnsi="Calibri" w:cs="Calibri"/>
          <w:bCs/>
          <w:szCs w:val="22"/>
          <w:u w:val="single"/>
          <w:lang w:eastAsia="en-US"/>
        </w:rPr>
      </w:pPr>
      <w:r>
        <w:rPr>
          <w:rFonts w:ascii="Calibri" w:eastAsia="Calibri" w:hAnsi="Calibri" w:cs="Calibri"/>
          <w:bCs/>
          <w:szCs w:val="22"/>
          <w:u w:val="single"/>
          <w:lang w:eastAsia="en-US"/>
        </w:rPr>
        <w:t>Prijímateľ podpory:</w:t>
      </w:r>
    </w:p>
    <w:p w:rsidR="00ED1FEE" w:rsidRDefault="00ED1FEE" w:rsidP="00ED1FEE">
      <w:pPr>
        <w:rPr>
          <w:rFonts w:ascii="Calibri" w:eastAsia="Calibri" w:hAnsi="Calibri" w:cs="Calibri"/>
          <w:bCs/>
          <w:szCs w:val="22"/>
          <w:lang w:eastAsia="en-US"/>
        </w:rPr>
      </w:pPr>
      <w:r>
        <w:rPr>
          <w:rFonts w:ascii="Calibri" w:eastAsia="Calibri" w:hAnsi="Calibri"/>
          <w:noProof/>
          <w:szCs w:val="22"/>
          <w:lang w:eastAsia="en-US"/>
        </w:rPr>
        <w:t>Fyzické a právnické osoby podnikajúce v poľnohospodárskej prvovýrobe spĺňajúce definíciu aktívneho farmára podľa čl. 9 nariadenia (EÚ) č. 1307/2013.</w:t>
      </w:r>
    </w:p>
    <w:p w:rsidR="00ED1FEE" w:rsidRDefault="00ED1FEE" w:rsidP="00ED1FEE">
      <w:pPr>
        <w:rPr>
          <w:rFonts w:ascii="Calibri" w:eastAsia="Calibri" w:hAnsi="Calibri" w:cs="Calibri"/>
          <w:bCs/>
          <w:szCs w:val="22"/>
          <w:lang w:eastAsia="en-US"/>
        </w:rPr>
      </w:pPr>
    </w:p>
    <w:p w:rsidR="00ED1FEE" w:rsidRDefault="00ED1FEE" w:rsidP="00ED1FEE">
      <w:pPr>
        <w:rPr>
          <w:rFonts w:ascii="Calibri" w:eastAsia="Calibri" w:hAnsi="Calibri" w:cs="Calibri"/>
          <w:bCs/>
          <w:szCs w:val="22"/>
          <w:u w:val="single"/>
          <w:lang w:eastAsia="en-US"/>
        </w:rPr>
      </w:pPr>
      <w:r>
        <w:rPr>
          <w:rFonts w:ascii="Calibri" w:eastAsia="Calibri" w:hAnsi="Calibri" w:cs="Calibri"/>
          <w:bCs/>
          <w:szCs w:val="22"/>
          <w:u w:val="single"/>
          <w:lang w:eastAsia="en-US"/>
        </w:rPr>
        <w:t>Oprávnené náklady:</w:t>
      </w:r>
    </w:p>
    <w:p w:rsidR="00ED1FEE" w:rsidRDefault="00ED1FEE" w:rsidP="00ED1FEE">
      <w:pPr>
        <w:rPr>
          <w:rFonts w:ascii="Calibri" w:eastAsia="Calibri" w:hAnsi="Calibri" w:cs="Calibri"/>
          <w:szCs w:val="22"/>
          <w:lang w:eastAsia="en-US"/>
        </w:rPr>
      </w:pPr>
      <w:r>
        <w:rPr>
          <w:rFonts w:ascii="Calibri" w:eastAsia="Calibri" w:hAnsi="Calibri" w:cs="Calibri"/>
          <w:szCs w:val="22"/>
          <w:lang w:eastAsia="en-US"/>
        </w:rPr>
        <w:t>Oprávnené sú všetky náklady spojené so zvýšenými nárokmi spojenými s  použitím prostriedkov biologickej ochrany  a nepoužívania priemyselných hnojív. Vyššie náklady vznikajú na pracovné sily, certifikované osivo, špecifické agrotechnické opatrenia, nižší hektárový výnos.</w:t>
      </w:r>
    </w:p>
    <w:p w:rsidR="00ED1FEE" w:rsidRDefault="00ED1FEE" w:rsidP="00ED1FEE">
      <w:pPr>
        <w:rPr>
          <w:rFonts w:ascii="Calibri" w:eastAsia="Calibri" w:hAnsi="Calibri" w:cs="Calibri"/>
          <w:szCs w:val="22"/>
          <w:lang w:eastAsia="en-US"/>
        </w:rPr>
      </w:pPr>
      <w:r>
        <w:rPr>
          <w:rFonts w:ascii="Calibri" w:eastAsia="Calibri" w:hAnsi="Calibri" w:cs="Calibri"/>
          <w:szCs w:val="22"/>
          <w:lang w:eastAsia="en-US"/>
        </w:rPr>
        <w:t xml:space="preserve">Dodatočné náklady vznikajú pri povinnosti uskutočňovať v stanovených termínoch povinné rozbory pôdy a zeleniny/zemiakov vrátane stanovenia Nmin v pôde.  </w:t>
      </w:r>
    </w:p>
    <w:p w:rsidR="00ED1FEE" w:rsidRDefault="00ED1FEE" w:rsidP="00ED1FEE">
      <w:pPr>
        <w:rPr>
          <w:rFonts w:ascii="Calibri" w:eastAsia="Calibri" w:hAnsi="Calibri" w:cs="Calibri"/>
          <w:bCs/>
          <w:szCs w:val="22"/>
          <w:u w:val="single"/>
          <w:lang w:eastAsia="en-US"/>
        </w:rPr>
      </w:pPr>
    </w:p>
    <w:p w:rsidR="00ED1FEE" w:rsidRDefault="00ED1FEE" w:rsidP="00ED1FEE">
      <w:pPr>
        <w:rPr>
          <w:rFonts w:ascii="Calibri" w:eastAsia="Calibri" w:hAnsi="Calibri" w:cs="Calibri"/>
          <w:bCs/>
          <w:szCs w:val="22"/>
          <w:u w:val="single"/>
          <w:lang w:eastAsia="en-US"/>
        </w:rPr>
      </w:pPr>
      <w:r>
        <w:rPr>
          <w:rFonts w:ascii="Calibri" w:eastAsia="Calibri" w:hAnsi="Calibri" w:cs="Calibri"/>
          <w:bCs/>
          <w:szCs w:val="22"/>
          <w:u w:val="single"/>
          <w:lang w:eastAsia="en-US"/>
        </w:rPr>
        <w:t>Podmienky oprávnenosti:</w:t>
      </w:r>
    </w:p>
    <w:p w:rsidR="00ED1FEE" w:rsidRDefault="00ED1FEE" w:rsidP="00CE203B">
      <w:pPr>
        <w:pStyle w:val="Odsekzoznamu"/>
        <w:numPr>
          <w:ilvl w:val="0"/>
          <w:numId w:val="354"/>
        </w:numPr>
        <w:rPr>
          <w:rFonts w:ascii="Calibri" w:eastAsia="Calibri" w:hAnsi="Calibri" w:cs="Calibri"/>
          <w:szCs w:val="22"/>
          <w:lang w:eastAsia="en-US"/>
        </w:rPr>
      </w:pPr>
      <w:r>
        <w:rPr>
          <w:rFonts w:ascii="Calibri" w:eastAsia="Calibri" w:hAnsi="Calibri" w:cs="Calibri"/>
          <w:szCs w:val="22"/>
          <w:lang w:eastAsia="en-US"/>
        </w:rPr>
        <w:t xml:space="preserve">vylučuje sa súbežné pestovanie zeleniny/zemiakov/jahôd v systéme konvenčnom a integrovanom u </w:t>
      </w:r>
      <w:r w:rsidRPr="0042145D">
        <w:rPr>
          <w:rFonts w:ascii="Calibri" w:eastAsia="Calibri" w:hAnsi="Calibri" w:cs="Calibri"/>
          <w:szCs w:val="22"/>
          <w:lang w:eastAsia="en-US"/>
        </w:rPr>
        <w:t xml:space="preserve">jedného pestovateľa na celej výmere ornej pôdy,  </w:t>
      </w:r>
    </w:p>
    <w:p w:rsidR="00ED1FEE" w:rsidRPr="00DD7895" w:rsidRDefault="00ED1FEE" w:rsidP="00CE203B">
      <w:pPr>
        <w:pStyle w:val="Odsekzoznamu"/>
        <w:numPr>
          <w:ilvl w:val="0"/>
          <w:numId w:val="354"/>
        </w:numPr>
        <w:rPr>
          <w:rFonts w:ascii="Calibri" w:eastAsia="Calibri" w:hAnsi="Calibri" w:cs="Calibri"/>
          <w:szCs w:val="22"/>
          <w:lang w:eastAsia="en-US"/>
        </w:rPr>
      </w:pPr>
      <w:r w:rsidRPr="007B5142">
        <w:rPr>
          <w:rFonts w:ascii="Calibri" w:eastAsia="Calibri" w:hAnsi="Calibri" w:cs="Calibri"/>
          <w:szCs w:val="22"/>
          <w:lang w:eastAsia="en-US"/>
        </w:rPr>
        <w:t>vstúpiť do opatrenia minimálne s 0,5 ha ornej pôdy vedenej v LPIS.</w:t>
      </w:r>
    </w:p>
    <w:p w:rsidR="00ED1FEE" w:rsidRDefault="00ED1FEE" w:rsidP="00ED1FEE">
      <w:pPr>
        <w:rPr>
          <w:rFonts w:ascii="Calibri" w:hAnsi="Calibri" w:cs="Calibri"/>
          <w:szCs w:val="22"/>
          <w:lang w:eastAsia="en-US"/>
        </w:rPr>
      </w:pPr>
    </w:p>
    <w:p w:rsidR="00ED1FEE" w:rsidRDefault="00ED1FEE" w:rsidP="00ED1FEE">
      <w:pPr>
        <w:rPr>
          <w:rFonts w:ascii="Calibri" w:eastAsia="Calibri" w:hAnsi="Calibri" w:cs="Calibri"/>
          <w:szCs w:val="22"/>
          <w:lang w:eastAsia="en-US"/>
        </w:rPr>
      </w:pPr>
      <w:r w:rsidRPr="00DD7895">
        <w:rPr>
          <w:rFonts w:ascii="Calibri" w:hAnsi="Calibri" w:cs="Calibri"/>
          <w:szCs w:val="22"/>
          <w:u w:val="single"/>
          <w:lang w:eastAsia="en-US"/>
        </w:rPr>
        <w:t>Podmienky podpory</w:t>
      </w:r>
      <w:r>
        <w:rPr>
          <w:rFonts w:ascii="Calibri" w:hAnsi="Calibri" w:cs="Calibri"/>
          <w:szCs w:val="22"/>
          <w:u w:val="single"/>
          <w:lang w:eastAsia="en-US"/>
        </w:rPr>
        <w:t>:</w:t>
      </w:r>
      <w:r>
        <w:rPr>
          <w:rFonts w:ascii="Calibri" w:eastAsia="Calibri" w:hAnsi="Calibri" w:cs="Calibri"/>
          <w:szCs w:val="22"/>
          <w:lang w:eastAsia="en-US"/>
        </w:rPr>
        <w:t xml:space="preserve"> </w:t>
      </w:r>
    </w:p>
    <w:p w:rsidR="00ED1FEE" w:rsidRDefault="00ED1FEE" w:rsidP="00CE203B">
      <w:pPr>
        <w:pStyle w:val="Odsekzoznamu"/>
        <w:numPr>
          <w:ilvl w:val="0"/>
          <w:numId w:val="361"/>
        </w:numPr>
        <w:rPr>
          <w:rFonts w:ascii="Calibri" w:eastAsia="Calibri" w:hAnsi="Calibri" w:cs="Calibri"/>
          <w:szCs w:val="22"/>
          <w:lang w:eastAsia="en-US"/>
        </w:rPr>
      </w:pPr>
      <w:r w:rsidRPr="00DD7895">
        <w:rPr>
          <w:rFonts w:ascii="Calibri" w:eastAsia="Calibri" w:hAnsi="Calibri" w:cs="Calibri"/>
          <w:szCs w:val="22"/>
          <w:lang w:eastAsia="en-US"/>
        </w:rPr>
        <w:t>obmedziť používanie dusíkatých minerálnych hnojív; obmedzenie  upraví vnútroštátny právny predpis</w:t>
      </w:r>
    </w:p>
    <w:p w:rsidR="00ED1FEE" w:rsidRPr="00E83EEF" w:rsidRDefault="00ED1FEE" w:rsidP="00CE203B">
      <w:pPr>
        <w:pStyle w:val="Odsekzoznamu"/>
        <w:numPr>
          <w:ilvl w:val="0"/>
          <w:numId w:val="361"/>
        </w:numPr>
        <w:rPr>
          <w:rFonts w:eastAsia="Calibri"/>
          <w:lang w:eastAsia="en-US"/>
        </w:rPr>
      </w:pPr>
      <w:r w:rsidRPr="00E83EEF">
        <w:rPr>
          <w:rFonts w:ascii="Calibri" w:eastAsia="Calibri" w:hAnsi="Calibri" w:cs="Calibri"/>
          <w:szCs w:val="22"/>
          <w:lang w:eastAsia="en-US"/>
        </w:rPr>
        <w:t>používať na celej výmere biologické ochranné prípravky a  minimalizovať chemické prípravky na ochranu rastlín a to  len v odôvodnených prípadoch – signalizačná výstraha  a len ak sú povolené v integrovanej produkcii</w:t>
      </w:r>
      <w:r w:rsidRPr="00E83EEF">
        <w:rPr>
          <w:rFonts w:eastAsia="Calibri"/>
          <w:lang w:eastAsia="en-US"/>
        </w:rPr>
        <w:t>,</w:t>
      </w:r>
    </w:p>
    <w:p w:rsidR="00ED1FEE" w:rsidRPr="007B5142" w:rsidRDefault="00ED1FEE" w:rsidP="00CE203B">
      <w:pPr>
        <w:pStyle w:val="Odsekzoznamu"/>
        <w:numPr>
          <w:ilvl w:val="0"/>
          <w:numId w:val="355"/>
        </w:numPr>
        <w:rPr>
          <w:rFonts w:ascii="Calibri" w:eastAsia="Calibri" w:hAnsi="Calibri" w:cs="Calibri"/>
          <w:szCs w:val="22"/>
          <w:lang w:eastAsia="en-US"/>
        </w:rPr>
      </w:pPr>
      <w:r w:rsidRPr="007B5142">
        <w:rPr>
          <w:rFonts w:ascii="Calibri" w:eastAsia="Calibri" w:hAnsi="Calibri" w:cs="Calibri"/>
          <w:szCs w:val="22"/>
          <w:lang w:eastAsia="en-US"/>
        </w:rPr>
        <w:t xml:space="preserve">zabezpečiť vyvážený osevný postup /rotáciu plodín podľa druhu pestovanej zeleniny/4 ročný </w:t>
      </w:r>
    </w:p>
    <w:p w:rsidR="00ED1FEE" w:rsidRPr="007B5142" w:rsidRDefault="00ED1FEE" w:rsidP="00ED1FEE">
      <w:pPr>
        <w:pStyle w:val="Odsekzoznamu"/>
        <w:rPr>
          <w:rFonts w:ascii="Calibri" w:eastAsia="Calibri" w:hAnsi="Calibri" w:cs="Calibri"/>
          <w:szCs w:val="22"/>
          <w:lang w:eastAsia="en-US"/>
        </w:rPr>
      </w:pPr>
      <w:r w:rsidRPr="007B5142">
        <w:rPr>
          <w:rFonts w:ascii="Calibri" w:eastAsia="Calibri" w:hAnsi="Calibri" w:cs="Calibri"/>
          <w:szCs w:val="22"/>
          <w:lang w:eastAsia="en-US"/>
        </w:rPr>
        <w:t>pre zemiaky</w:t>
      </w:r>
      <w:r>
        <w:rPr>
          <w:rFonts w:ascii="Calibri" w:eastAsia="Calibri" w:hAnsi="Calibri" w:cs="Calibri"/>
          <w:szCs w:val="22"/>
          <w:lang w:eastAsia="en-US"/>
        </w:rPr>
        <w:t>,</w:t>
      </w:r>
    </w:p>
    <w:p w:rsidR="00ED1FEE" w:rsidRPr="007B5142" w:rsidRDefault="00ED1FEE" w:rsidP="00CE203B">
      <w:pPr>
        <w:pStyle w:val="Odsekzoznamu"/>
        <w:numPr>
          <w:ilvl w:val="0"/>
          <w:numId w:val="355"/>
        </w:numPr>
        <w:rPr>
          <w:rFonts w:ascii="Calibri" w:eastAsia="Calibri" w:hAnsi="Calibri" w:cs="Calibri"/>
          <w:szCs w:val="22"/>
          <w:lang w:eastAsia="en-US"/>
        </w:rPr>
      </w:pPr>
      <w:r w:rsidRPr="007B5142">
        <w:rPr>
          <w:rFonts w:ascii="Calibri" w:eastAsia="Calibri" w:hAnsi="Calibri" w:cs="Calibri"/>
          <w:szCs w:val="22"/>
          <w:lang w:eastAsia="en-US"/>
        </w:rPr>
        <w:t>každoročne zabezpečiť rozbor každého pestovaného druhu zeleniny/zemiakov na vybrané</w:t>
      </w:r>
    </w:p>
    <w:p w:rsidR="00ED1FEE" w:rsidRPr="007B5142" w:rsidRDefault="00ED1FEE" w:rsidP="00ED1FEE">
      <w:pPr>
        <w:pStyle w:val="Odsekzoznamu"/>
        <w:rPr>
          <w:rFonts w:ascii="Calibri" w:eastAsia="Calibri" w:hAnsi="Calibri" w:cs="Calibri"/>
          <w:szCs w:val="22"/>
          <w:lang w:eastAsia="en-US"/>
        </w:rPr>
      </w:pPr>
      <w:r w:rsidRPr="007B5142">
        <w:rPr>
          <w:rFonts w:ascii="Calibri" w:eastAsia="Calibri" w:hAnsi="Calibri" w:cs="Calibri"/>
          <w:szCs w:val="22"/>
          <w:lang w:eastAsia="en-US"/>
        </w:rPr>
        <w:t>chemické látky a  dusičnany akreditovanou inštitúciou,</w:t>
      </w:r>
    </w:p>
    <w:p w:rsidR="00ED1FEE" w:rsidRPr="007B5142" w:rsidRDefault="00ED1FEE" w:rsidP="00CE203B">
      <w:pPr>
        <w:pStyle w:val="Odsekzoznamu"/>
        <w:numPr>
          <w:ilvl w:val="0"/>
          <w:numId w:val="355"/>
        </w:numPr>
        <w:rPr>
          <w:rFonts w:ascii="Calibri" w:eastAsia="Calibri" w:hAnsi="Calibri" w:cs="Calibri"/>
          <w:szCs w:val="22"/>
          <w:lang w:eastAsia="en-US"/>
        </w:rPr>
      </w:pPr>
      <w:r w:rsidRPr="007B5142">
        <w:rPr>
          <w:rFonts w:ascii="Calibri" w:eastAsia="Calibri" w:hAnsi="Calibri" w:cs="Calibri"/>
          <w:szCs w:val="22"/>
          <w:lang w:eastAsia="en-US"/>
        </w:rPr>
        <w:t>rozbor pôdnych vzoriek  na vybrané</w:t>
      </w:r>
      <w:r>
        <w:rPr>
          <w:rFonts w:ascii="Calibri" w:eastAsia="Calibri" w:hAnsi="Calibri" w:cs="Calibri"/>
          <w:szCs w:val="22"/>
          <w:lang w:eastAsia="en-US"/>
        </w:rPr>
        <w:t>, používané</w:t>
      </w:r>
      <w:r w:rsidRPr="007B5142">
        <w:rPr>
          <w:rFonts w:ascii="Calibri" w:eastAsia="Calibri" w:hAnsi="Calibri" w:cs="Calibri"/>
          <w:szCs w:val="22"/>
          <w:lang w:eastAsia="en-US"/>
        </w:rPr>
        <w:t xml:space="preserve"> chemické látky/pH, P,K v prvom roku a následné  raz za </w:t>
      </w:r>
      <w:r w:rsidRPr="00A53731">
        <w:rPr>
          <w:rFonts w:ascii="Calibri" w:eastAsia="Calibri" w:hAnsi="Calibri" w:cs="Calibri"/>
          <w:szCs w:val="22"/>
          <w:lang w:eastAsia="en-US"/>
        </w:rPr>
        <w:t>tri roky akreditovanou inštitúciou</w:t>
      </w:r>
      <w:r>
        <w:rPr>
          <w:rFonts w:ascii="Calibri" w:eastAsia="Calibri" w:hAnsi="Calibri" w:cs="Calibri"/>
          <w:szCs w:val="22"/>
          <w:lang w:eastAsia="en-US"/>
        </w:rPr>
        <w:t xml:space="preserve"> </w:t>
      </w:r>
      <w:r w:rsidRPr="007B5142">
        <w:rPr>
          <w:rFonts w:ascii="Calibri" w:eastAsia="Calibri" w:hAnsi="Calibri" w:cs="Calibri"/>
          <w:szCs w:val="22"/>
          <w:lang w:eastAsia="en-US"/>
        </w:rPr>
        <w:t>zabezpečiť stanovenie minerálneho dusíka v pôde (Nmin) pred založením úrody,</w:t>
      </w:r>
    </w:p>
    <w:p w:rsidR="00ED1FEE" w:rsidRPr="007B5142" w:rsidRDefault="00ED1FEE" w:rsidP="00CE203B">
      <w:pPr>
        <w:pStyle w:val="Odsekzoznamu"/>
        <w:numPr>
          <w:ilvl w:val="0"/>
          <w:numId w:val="355"/>
        </w:numPr>
        <w:rPr>
          <w:rFonts w:ascii="Calibri" w:eastAsia="Calibri" w:hAnsi="Calibri" w:cs="Calibri"/>
          <w:szCs w:val="22"/>
          <w:lang w:eastAsia="en-US"/>
        </w:rPr>
      </w:pPr>
      <w:r w:rsidRPr="007B5142">
        <w:rPr>
          <w:rFonts w:ascii="Calibri" w:eastAsia="Calibri" w:hAnsi="Calibri" w:cs="Calibri"/>
          <w:szCs w:val="22"/>
          <w:lang w:eastAsia="en-US"/>
        </w:rPr>
        <w:t xml:space="preserve">používať štandardné osivo zelenín a certifikované sadivo </w:t>
      </w:r>
      <w:r>
        <w:rPr>
          <w:rFonts w:ascii="Calibri" w:eastAsia="Calibri" w:hAnsi="Calibri" w:cs="Calibri"/>
          <w:szCs w:val="22"/>
          <w:lang w:eastAsia="en-US"/>
        </w:rPr>
        <w:t xml:space="preserve">konzumných </w:t>
      </w:r>
      <w:r w:rsidRPr="007B5142">
        <w:rPr>
          <w:rFonts w:ascii="Calibri" w:eastAsia="Calibri" w:hAnsi="Calibri" w:cs="Calibri"/>
          <w:szCs w:val="22"/>
          <w:lang w:eastAsia="en-US"/>
        </w:rPr>
        <w:t xml:space="preserve">zemiakov. </w:t>
      </w:r>
    </w:p>
    <w:p w:rsidR="00ED1FEE" w:rsidRPr="007B5142" w:rsidRDefault="00ED1FEE" w:rsidP="00CE203B">
      <w:pPr>
        <w:pStyle w:val="Odsekzoznamu"/>
        <w:numPr>
          <w:ilvl w:val="0"/>
          <w:numId w:val="355"/>
        </w:numPr>
        <w:rPr>
          <w:rFonts w:ascii="Calibri" w:eastAsia="Calibri" w:hAnsi="Calibri" w:cs="Calibri"/>
          <w:szCs w:val="22"/>
          <w:lang w:eastAsia="en-US"/>
        </w:rPr>
      </w:pPr>
      <w:r w:rsidRPr="007B5142">
        <w:rPr>
          <w:rFonts w:ascii="Calibri" w:eastAsia="Calibri" w:hAnsi="Calibri" w:cs="Calibri"/>
          <w:szCs w:val="22"/>
          <w:lang w:eastAsia="en-US"/>
        </w:rPr>
        <w:t>zrieknuť sa priamej aplikácie čistiarenského kalu a dnových sedimentov</w:t>
      </w:r>
    </w:p>
    <w:p w:rsidR="00ED1FEE" w:rsidRPr="007B5142" w:rsidRDefault="00ED1FEE" w:rsidP="00CE203B">
      <w:pPr>
        <w:pStyle w:val="Odsekzoznamu"/>
        <w:numPr>
          <w:ilvl w:val="0"/>
          <w:numId w:val="355"/>
        </w:numPr>
        <w:rPr>
          <w:rFonts w:ascii="Calibri" w:eastAsia="Calibri" w:hAnsi="Calibri" w:cs="Calibri"/>
          <w:szCs w:val="22"/>
          <w:lang w:eastAsia="en-US"/>
        </w:rPr>
      </w:pPr>
      <w:r w:rsidRPr="007B5142">
        <w:rPr>
          <w:rFonts w:ascii="Calibri" w:eastAsia="Calibri" w:hAnsi="Calibri" w:cs="Calibri"/>
          <w:szCs w:val="22"/>
          <w:lang w:eastAsia="en-US"/>
        </w:rPr>
        <w:t>povinnosť absolvovať školiaci kurz k správne vykonávaným podmienkam opatrenia</w:t>
      </w:r>
    </w:p>
    <w:p w:rsidR="00ED1FEE" w:rsidRPr="00DD7895" w:rsidRDefault="00ED1FEE" w:rsidP="00CE203B">
      <w:pPr>
        <w:numPr>
          <w:ilvl w:val="0"/>
          <w:numId w:val="355"/>
        </w:numPr>
        <w:tabs>
          <w:tab w:val="left" w:pos="7515"/>
        </w:tabs>
        <w:contextualSpacing/>
        <w:rPr>
          <w:rFonts w:ascii="Calibri" w:eastAsia="Calibri" w:hAnsi="Calibri" w:cs="Calibri"/>
          <w:szCs w:val="22"/>
          <w:lang w:eastAsia="en-US"/>
        </w:rPr>
      </w:pPr>
      <w:r w:rsidRPr="00DD7895">
        <w:rPr>
          <w:rFonts w:ascii="Calibri" w:eastAsia="Calibri" w:hAnsi="Calibri" w:cs="Calibri"/>
          <w:szCs w:val="22"/>
          <w:lang w:eastAsia="en-US"/>
        </w:rPr>
        <w:t>viesť a uchovávať všetky záznamy o pestovateľských postupoch a súvisiacich činnostiach.</w:t>
      </w:r>
    </w:p>
    <w:p w:rsidR="00ED1FEE" w:rsidRDefault="00ED1FEE" w:rsidP="00ED1FEE">
      <w:pPr>
        <w:rPr>
          <w:rFonts w:ascii="Calibri" w:eastAsia="Calibri" w:hAnsi="Calibri" w:cs="Calibri"/>
          <w:szCs w:val="22"/>
          <w:lang w:eastAsia="en-US"/>
        </w:rPr>
      </w:pPr>
    </w:p>
    <w:p w:rsidR="00ED1FEE" w:rsidRDefault="00ED1FEE" w:rsidP="00ED1FEE">
      <w:pPr>
        <w:rPr>
          <w:rFonts w:ascii="Calibri" w:eastAsia="Calibri" w:hAnsi="Calibri" w:cs="Calibri"/>
          <w:szCs w:val="22"/>
          <w:u w:val="single"/>
          <w:lang w:eastAsia="en-US"/>
        </w:rPr>
      </w:pPr>
      <w:r>
        <w:rPr>
          <w:rFonts w:ascii="Calibri" w:eastAsia="Calibri" w:hAnsi="Calibri" w:cs="Calibri"/>
          <w:szCs w:val="22"/>
          <w:u w:val="single"/>
          <w:lang w:eastAsia="en-US"/>
        </w:rPr>
        <w:t>Princípy nastavenia výberových kritérií:</w:t>
      </w:r>
    </w:p>
    <w:p w:rsidR="00ED1FEE" w:rsidRDefault="00ED1FEE" w:rsidP="00CE203B">
      <w:pPr>
        <w:numPr>
          <w:ilvl w:val="0"/>
          <w:numId w:val="351"/>
        </w:numPr>
        <w:rPr>
          <w:rFonts w:ascii="Calibri" w:hAnsi="Calibri" w:cs="Calibri"/>
          <w:szCs w:val="22"/>
          <w:lang w:eastAsia="en-US"/>
        </w:rPr>
      </w:pPr>
      <w:r>
        <w:rPr>
          <w:rFonts w:ascii="Calibri" w:hAnsi="Calibri" w:cs="Calibri"/>
          <w:szCs w:val="22"/>
          <w:lang w:eastAsia="en-US"/>
        </w:rPr>
        <w:t>výmera zeleniny; zemiakov; jahôd  zaradená v IP v zostupnej tendencii;</w:t>
      </w:r>
    </w:p>
    <w:p w:rsidR="00ED1FEE" w:rsidRDefault="00ED1FEE" w:rsidP="00CE203B">
      <w:pPr>
        <w:numPr>
          <w:ilvl w:val="0"/>
          <w:numId w:val="351"/>
        </w:numPr>
        <w:rPr>
          <w:rFonts w:ascii="Calibri" w:hAnsi="Calibri" w:cs="Calibri"/>
          <w:szCs w:val="22"/>
          <w:lang w:eastAsia="en-US"/>
        </w:rPr>
      </w:pPr>
      <w:r>
        <w:rPr>
          <w:rFonts w:ascii="Calibri" w:hAnsi="Calibri" w:cs="Calibri"/>
          <w:szCs w:val="22"/>
          <w:lang w:eastAsia="en-US"/>
        </w:rPr>
        <w:t>podiel zeleniny; zemiakov; jahôd k celkovej výmere podniku v zostupnej tendencii.</w:t>
      </w:r>
    </w:p>
    <w:p w:rsidR="00ED1FEE" w:rsidRDefault="00ED1FEE" w:rsidP="00ED1FEE">
      <w:pPr>
        <w:rPr>
          <w:rFonts w:ascii="Calibri" w:hAnsi="Calibri"/>
          <w:szCs w:val="22"/>
          <w:u w:val="single"/>
          <w:lang w:eastAsia="en-GB"/>
        </w:rPr>
      </w:pPr>
    </w:p>
    <w:p w:rsidR="00ED1FEE" w:rsidRDefault="00ED1FEE" w:rsidP="00ED1FEE">
      <w:pPr>
        <w:rPr>
          <w:rFonts w:ascii="Calibri" w:hAnsi="Calibri"/>
          <w:szCs w:val="22"/>
          <w:u w:val="single"/>
          <w:lang w:eastAsia="en-GB"/>
        </w:rPr>
      </w:pPr>
      <w:r>
        <w:rPr>
          <w:rFonts w:ascii="Calibri" w:hAnsi="Calibri"/>
          <w:szCs w:val="22"/>
          <w:u w:val="single"/>
          <w:lang w:eastAsia="en-GB"/>
        </w:rPr>
        <w:t>Výška a miera podpory:</w:t>
      </w:r>
    </w:p>
    <w:p w:rsidR="00ED1FEE" w:rsidRDefault="00ED1FEE" w:rsidP="00ED1FEE">
      <w:pPr>
        <w:tabs>
          <w:tab w:val="left" w:pos="7515"/>
        </w:tabs>
        <w:rPr>
          <w:rFonts w:ascii="Calibri" w:eastAsia="Calibri" w:hAnsi="Calibri" w:cs="Calibri"/>
          <w:bCs/>
          <w:szCs w:val="22"/>
          <w:lang w:eastAsia="en-US"/>
        </w:rPr>
      </w:pPr>
      <w:r>
        <w:rPr>
          <w:rFonts w:ascii="Calibri" w:eastAsia="Calibri" w:hAnsi="Calibri" w:cs="Calibri"/>
          <w:bCs/>
          <w:szCs w:val="22"/>
          <w:lang w:eastAsia="en-US"/>
        </w:rPr>
        <w:t>zelenina  436 €/ha pestovanej zeleniny</w:t>
      </w:r>
    </w:p>
    <w:p w:rsidR="00ED1FEE" w:rsidRDefault="00ED1FEE" w:rsidP="00ED1FEE">
      <w:pPr>
        <w:tabs>
          <w:tab w:val="left" w:pos="7515"/>
        </w:tabs>
        <w:rPr>
          <w:rFonts w:ascii="Calibri" w:eastAsia="Calibri" w:hAnsi="Calibri" w:cs="Calibri"/>
          <w:bCs/>
          <w:szCs w:val="22"/>
          <w:lang w:eastAsia="en-US"/>
        </w:rPr>
      </w:pPr>
      <w:r>
        <w:rPr>
          <w:rFonts w:ascii="Calibri" w:eastAsia="Calibri" w:hAnsi="Calibri" w:cs="Calibri"/>
          <w:bCs/>
          <w:szCs w:val="22"/>
          <w:lang w:eastAsia="en-US"/>
        </w:rPr>
        <w:t xml:space="preserve">konzumné zemiaky 241 €/ha </w:t>
      </w:r>
    </w:p>
    <w:p w:rsidR="00ED1FEE" w:rsidRDefault="00ED1FEE" w:rsidP="00ED1FEE">
      <w:pPr>
        <w:tabs>
          <w:tab w:val="left" w:pos="7515"/>
        </w:tabs>
        <w:rPr>
          <w:rFonts w:ascii="Calibri" w:eastAsia="Calibri" w:hAnsi="Calibri"/>
          <w:iCs/>
          <w:noProof/>
          <w:szCs w:val="22"/>
          <w:lang w:eastAsia="en-US"/>
        </w:rPr>
      </w:pPr>
      <w:r>
        <w:rPr>
          <w:rFonts w:ascii="Calibri" w:eastAsia="Calibri" w:hAnsi="Calibri" w:cs="Calibri"/>
          <w:bCs/>
          <w:szCs w:val="22"/>
          <w:lang w:eastAsia="en-US"/>
        </w:rPr>
        <w:t>jahody   436 €/ha</w:t>
      </w:r>
    </w:p>
    <w:p w:rsidR="00095683" w:rsidRDefault="00095683">
      <w:pPr>
        <w:jc w:val="left"/>
        <w:rPr>
          <w:rFonts w:ascii="Calibri" w:eastAsia="Calibri" w:hAnsi="Calibri"/>
          <w:iCs/>
          <w:noProof/>
          <w:szCs w:val="22"/>
          <w:lang w:eastAsia="en-US"/>
        </w:rPr>
      </w:pPr>
      <w:r>
        <w:rPr>
          <w:rFonts w:ascii="Calibri" w:eastAsia="Calibri" w:hAnsi="Calibri"/>
          <w:iCs/>
          <w:noProof/>
          <w:szCs w:val="22"/>
          <w:lang w:eastAsia="en-US"/>
        </w:rPr>
        <w:br w:type="page"/>
      </w:r>
    </w:p>
    <w:p w:rsidR="00ED1FEE" w:rsidRDefault="00ED1FEE" w:rsidP="00ED1FEE">
      <w:pPr>
        <w:shd w:val="clear" w:color="auto" w:fill="FBD4B4"/>
        <w:rPr>
          <w:rFonts w:ascii="Calibri" w:eastAsia="Calibri" w:hAnsi="Calibri" w:cs="Calibri"/>
          <w:szCs w:val="22"/>
          <w:lang w:eastAsia="en-US"/>
        </w:rPr>
      </w:pPr>
      <w:r>
        <w:rPr>
          <w:rFonts w:ascii="Calibri" w:eastAsia="Calibri" w:hAnsi="Calibri" w:cs="Calibri"/>
          <w:bCs/>
          <w:szCs w:val="22"/>
          <w:u w:val="single"/>
          <w:lang w:eastAsia="en-US"/>
        </w:rPr>
        <w:t>Názov operácie:</w:t>
      </w:r>
      <w:r>
        <w:rPr>
          <w:rFonts w:ascii="Calibri" w:eastAsia="Calibri" w:hAnsi="Calibri" w:cs="Calibri"/>
          <w:szCs w:val="22"/>
          <w:lang w:eastAsia="en-US"/>
        </w:rPr>
        <w:t xml:space="preserve"> </w:t>
      </w:r>
    </w:p>
    <w:p w:rsidR="00ED1FEE" w:rsidRDefault="00ED1FEE" w:rsidP="00ED1FEE">
      <w:pPr>
        <w:shd w:val="clear" w:color="auto" w:fill="FBD4B4"/>
        <w:rPr>
          <w:rFonts w:ascii="Calibri" w:eastAsia="Calibri" w:hAnsi="Calibri" w:cs="Calibri"/>
          <w:bCs/>
          <w:i/>
          <w:szCs w:val="22"/>
          <w:lang w:eastAsia="en-US"/>
        </w:rPr>
      </w:pPr>
      <w:r>
        <w:rPr>
          <w:rFonts w:ascii="Calibri" w:eastAsia="Calibri" w:hAnsi="Calibri" w:cs="Calibri"/>
          <w:i/>
          <w:szCs w:val="22"/>
          <w:lang w:eastAsia="en-US"/>
        </w:rPr>
        <w:t>Integrovaná produkcia vo vinohradníctve</w:t>
      </w:r>
    </w:p>
    <w:p w:rsidR="00ED1FEE" w:rsidRDefault="00ED1FEE" w:rsidP="00ED1FEE">
      <w:pPr>
        <w:rPr>
          <w:rFonts w:ascii="Calibri" w:eastAsia="Calibri" w:hAnsi="Calibri" w:cs="Calibri"/>
          <w:bCs/>
          <w:szCs w:val="22"/>
          <w:u w:val="single"/>
          <w:lang w:eastAsia="en-US"/>
        </w:rPr>
      </w:pPr>
    </w:p>
    <w:p w:rsidR="00ED1FEE" w:rsidRDefault="00ED1FEE" w:rsidP="00ED1FEE">
      <w:pPr>
        <w:rPr>
          <w:rFonts w:ascii="Calibri" w:eastAsia="Calibri" w:hAnsi="Calibri" w:cs="Calibri"/>
          <w:bCs/>
          <w:szCs w:val="22"/>
          <w:u w:val="single"/>
          <w:lang w:eastAsia="en-US"/>
        </w:rPr>
      </w:pPr>
      <w:r>
        <w:rPr>
          <w:rFonts w:ascii="Calibri" w:eastAsia="Calibri" w:hAnsi="Calibri" w:cs="Calibri"/>
          <w:bCs/>
          <w:szCs w:val="22"/>
          <w:u w:val="single"/>
          <w:lang w:eastAsia="en-US"/>
        </w:rPr>
        <w:t>Opis operácie:</w:t>
      </w:r>
    </w:p>
    <w:p w:rsidR="00ED1FEE" w:rsidRDefault="00ED1FEE" w:rsidP="00ED1FEE">
      <w:pPr>
        <w:rPr>
          <w:rFonts w:ascii="Calibri" w:eastAsia="Calibri" w:hAnsi="Calibri" w:cs="Calibri"/>
          <w:szCs w:val="22"/>
          <w:lang w:eastAsia="en-US"/>
        </w:rPr>
      </w:pPr>
      <w:r>
        <w:rPr>
          <w:rFonts w:ascii="Calibri" w:eastAsia="Calibri" w:hAnsi="Calibri" w:cs="Calibri"/>
          <w:szCs w:val="22"/>
          <w:lang w:eastAsia="en-US"/>
        </w:rPr>
        <w:t xml:space="preserve">Ide o kontrolované pestovanie viniča, ktoré uprednostňuje ekologicky bezpečnejšie postupy, minimalizujúce vedľajšie nežiaduce účinky, obmedzením počtu zásahov prípravkov na ochranu rastlín a redukciu  hnojenia a tým zvyšuje bezpečnosť pre životné prostredie.  </w:t>
      </w:r>
      <w:r>
        <w:rPr>
          <w:rFonts w:ascii="Calibri" w:eastAsia="Calibri" w:hAnsi="Calibri" w:cs="Calibri"/>
          <w:bCs/>
          <w:szCs w:val="22"/>
          <w:lang w:eastAsia="en-US"/>
        </w:rPr>
        <w:t xml:space="preserve">Integrovaný spôsob pestovania spočíva okrem  dodržiavania povinných podmienok dodržiavanie aj   počas  trvania 5 ročného záväzku najmä týchto podmienok: </w:t>
      </w:r>
      <w:r>
        <w:rPr>
          <w:rFonts w:ascii="Calibri" w:eastAsia="Calibri" w:hAnsi="Calibri" w:cs="Calibri"/>
          <w:szCs w:val="22"/>
          <w:lang w:eastAsia="en-US"/>
        </w:rPr>
        <w:t xml:space="preserve"> </w:t>
      </w:r>
      <w:r>
        <w:rPr>
          <w:rFonts w:ascii="Calibri" w:eastAsia="Calibri" w:hAnsi="Calibri" w:cs="Calibri"/>
          <w:bCs/>
          <w:szCs w:val="22"/>
          <w:lang w:eastAsia="en-US"/>
        </w:rPr>
        <w:t xml:space="preserve">používať biologické ochranné prípravky a vylúčiť alebo minimalizovať chemické prípravky na ochranu rastlín a to  len v výnimočných  prípadoch  -signalizačná výstraha a len ak sú povolené v integrovanej produkcii, </w:t>
      </w:r>
      <w:r>
        <w:rPr>
          <w:rFonts w:ascii="Calibri" w:eastAsia="Calibri" w:hAnsi="Calibri" w:cs="Calibri"/>
          <w:szCs w:val="22"/>
          <w:lang w:eastAsia="en-US"/>
        </w:rPr>
        <w:t xml:space="preserve"> </w:t>
      </w:r>
      <w:r>
        <w:rPr>
          <w:rFonts w:ascii="Calibri" w:eastAsia="Calibri" w:hAnsi="Calibri" w:cs="Calibri"/>
          <w:bCs/>
          <w:szCs w:val="22"/>
          <w:lang w:eastAsia="en-US"/>
        </w:rPr>
        <w:t xml:space="preserve">použiť v celkovej ročnej dávke najviac 2 kg medi/ha vinohradu a najviac 50 kg dusíka/ha  ročne vrátane maštaľného hnoja, </w:t>
      </w:r>
      <w:r>
        <w:rPr>
          <w:rFonts w:ascii="Calibri" w:eastAsia="Calibri" w:hAnsi="Calibri" w:cs="Calibri"/>
          <w:szCs w:val="22"/>
          <w:lang w:eastAsia="en-US"/>
        </w:rPr>
        <w:t xml:space="preserve"> </w:t>
      </w:r>
      <w:r>
        <w:rPr>
          <w:rFonts w:ascii="Calibri" w:eastAsia="Calibri" w:hAnsi="Calibri" w:cs="Calibri"/>
          <w:bCs/>
          <w:szCs w:val="22"/>
          <w:lang w:eastAsia="en-US"/>
        </w:rPr>
        <w:t>hnojenie fosforom a draslíkom robiť len na základe pôdnych a listových analýz raz za dva roky.</w:t>
      </w:r>
      <w:r>
        <w:rPr>
          <w:rFonts w:ascii="Calibri" w:eastAsia="Calibri" w:hAnsi="Calibri" w:cs="Calibri"/>
          <w:szCs w:val="22"/>
          <w:lang w:eastAsia="en-US"/>
        </w:rPr>
        <w:t xml:space="preserve"> </w:t>
      </w:r>
      <w:r>
        <w:rPr>
          <w:rFonts w:ascii="Calibri" w:eastAsia="Calibri" w:hAnsi="Calibri" w:cs="Calibri"/>
          <w:bCs/>
          <w:szCs w:val="22"/>
          <w:lang w:eastAsia="en-US"/>
        </w:rPr>
        <w:t xml:space="preserve">Jedným z dôležitých prvkov integrovaného spôsobu pestovania viniča je aj zabezpečenie celoročného zeleného krytu pôdy zatrávnením, zazelenením bylinným porastom bohato kvitnúcich rastlín (opeľovačmi) pričom počet rodiacich  jedincov na ploche zaradenej do tohto systému nesmie klesnúť pod  65 % výsadby rodiacich jedincov. </w:t>
      </w:r>
    </w:p>
    <w:p w:rsidR="00ED1FEE" w:rsidRDefault="00ED1FEE" w:rsidP="00ED1FEE">
      <w:pPr>
        <w:rPr>
          <w:rFonts w:ascii="Calibri" w:eastAsia="Calibri" w:hAnsi="Calibri" w:cs="Calibri"/>
          <w:bCs/>
          <w:szCs w:val="22"/>
          <w:lang w:eastAsia="en-US"/>
        </w:rPr>
      </w:pPr>
      <w:r>
        <w:rPr>
          <w:rFonts w:ascii="Calibri" w:eastAsia="Calibri" w:hAnsi="Calibri" w:cs="Calibri"/>
          <w:bCs/>
          <w:szCs w:val="22"/>
          <w:lang w:eastAsia="en-US"/>
        </w:rPr>
        <w:t xml:space="preserve">Viesť a uchovávať všetky záznamy o pestovateľských postupoch a súvisiacich činnostiach  </w:t>
      </w:r>
    </w:p>
    <w:p w:rsidR="00ED1FEE" w:rsidRDefault="00ED1FEE" w:rsidP="00ED1FEE">
      <w:pPr>
        <w:rPr>
          <w:rFonts w:ascii="Calibri" w:eastAsia="Calibri" w:hAnsi="Calibri" w:cs="Calibri"/>
          <w:bCs/>
          <w:szCs w:val="22"/>
          <w:lang w:eastAsia="en-US"/>
        </w:rPr>
      </w:pPr>
    </w:p>
    <w:p w:rsidR="00ED1FEE" w:rsidRDefault="00ED1FEE" w:rsidP="00ED1FEE">
      <w:pPr>
        <w:rPr>
          <w:rFonts w:ascii="Calibri" w:eastAsia="Calibri" w:hAnsi="Calibri"/>
          <w:noProof/>
          <w:szCs w:val="22"/>
          <w:u w:val="single"/>
          <w:lang w:eastAsia="en-GB"/>
        </w:rPr>
      </w:pPr>
      <w:r>
        <w:rPr>
          <w:rFonts w:ascii="Calibri" w:eastAsia="Calibri" w:hAnsi="Calibri"/>
          <w:noProof/>
          <w:szCs w:val="22"/>
          <w:u w:val="single"/>
          <w:lang w:eastAsia="en-GB"/>
        </w:rPr>
        <w:t>Typ podpory:</w:t>
      </w:r>
    </w:p>
    <w:p w:rsidR="00ED1FEE" w:rsidRDefault="00ED1FEE" w:rsidP="00ED1FEE">
      <w:pPr>
        <w:rPr>
          <w:rFonts w:ascii="Calibri" w:hAnsi="Calibri"/>
          <w:szCs w:val="22"/>
          <w:u w:val="single"/>
          <w:lang w:eastAsia="en-GB"/>
        </w:rPr>
      </w:pPr>
      <w:r>
        <w:rPr>
          <w:rFonts w:ascii="Calibri" w:eastAsia="Calibri" w:hAnsi="Calibri"/>
          <w:noProof/>
          <w:szCs w:val="22"/>
          <w:lang w:eastAsia="en-GB"/>
        </w:rPr>
        <w:t>Nezisková ročná platba na hektár vinohradu.</w:t>
      </w:r>
    </w:p>
    <w:p w:rsidR="00095683" w:rsidRDefault="00095683" w:rsidP="00ED1FEE">
      <w:pPr>
        <w:rPr>
          <w:rFonts w:ascii="Calibri" w:eastAsia="Calibri" w:hAnsi="Calibri" w:cs="Calibri"/>
          <w:bCs/>
          <w:szCs w:val="22"/>
          <w:u w:val="single"/>
          <w:lang w:eastAsia="en-US"/>
        </w:rPr>
      </w:pPr>
    </w:p>
    <w:p w:rsidR="00ED1FEE" w:rsidRDefault="00ED1FEE" w:rsidP="00ED1FEE">
      <w:pPr>
        <w:rPr>
          <w:rFonts w:ascii="Calibri" w:eastAsia="Calibri" w:hAnsi="Calibri" w:cs="Calibri"/>
          <w:bCs/>
          <w:szCs w:val="22"/>
          <w:u w:val="single"/>
          <w:lang w:eastAsia="en-US"/>
        </w:rPr>
      </w:pPr>
      <w:r>
        <w:rPr>
          <w:rFonts w:ascii="Calibri" w:eastAsia="Calibri" w:hAnsi="Calibri" w:cs="Calibri"/>
          <w:bCs/>
          <w:szCs w:val="22"/>
          <w:u w:val="single"/>
          <w:lang w:eastAsia="en-US"/>
        </w:rPr>
        <w:t>Súvislosť s inou legislatívou:</w:t>
      </w:r>
    </w:p>
    <w:p w:rsidR="00ED1FEE" w:rsidRDefault="00ED1FEE" w:rsidP="00955DA4">
      <w:pPr>
        <w:numPr>
          <w:ilvl w:val="0"/>
          <w:numId w:val="199"/>
        </w:numPr>
        <w:jc w:val="left"/>
        <w:rPr>
          <w:rFonts w:ascii="Calibri" w:hAnsi="Calibri" w:cs="EUAlbertina"/>
          <w:bCs/>
          <w:szCs w:val="22"/>
        </w:rPr>
      </w:pPr>
      <w:r>
        <w:rPr>
          <w:rFonts w:ascii="Calibri" w:hAnsi="Calibri"/>
          <w:szCs w:val="22"/>
        </w:rPr>
        <w:t xml:space="preserve">nariadenie č. 1306/2013 </w:t>
      </w:r>
      <w:r>
        <w:rPr>
          <w:rFonts w:ascii="Calibri" w:hAnsi="Calibri" w:cs="EUAlbertina"/>
          <w:bCs/>
          <w:szCs w:val="22"/>
        </w:rPr>
        <w:t>zo 17.decembra 2013 o financovaní, riadení a monitorovaní spoločnej poľnohospodárskej politiky;</w:t>
      </w:r>
    </w:p>
    <w:p w:rsidR="00ED1FEE" w:rsidRDefault="00ED1FEE" w:rsidP="00955DA4">
      <w:pPr>
        <w:numPr>
          <w:ilvl w:val="0"/>
          <w:numId w:val="199"/>
        </w:numPr>
        <w:jc w:val="left"/>
        <w:rPr>
          <w:rFonts w:ascii="Calibri" w:eastAsia="Calibri" w:hAnsi="Calibri" w:cs="Calibri"/>
          <w:bCs/>
          <w:szCs w:val="22"/>
          <w:lang w:eastAsia="en-US"/>
        </w:rPr>
      </w:pPr>
      <w:r>
        <w:rPr>
          <w:rFonts w:ascii="Calibri" w:hAnsi="Calibri" w:cs="EUAlbertina"/>
          <w:bCs/>
          <w:szCs w:val="22"/>
        </w:rPr>
        <w:t>nariadenie (EÚ) 1307/2013;</w:t>
      </w:r>
    </w:p>
    <w:p w:rsidR="00ED1FEE" w:rsidRDefault="00ED1FEE" w:rsidP="00955DA4">
      <w:pPr>
        <w:numPr>
          <w:ilvl w:val="0"/>
          <w:numId w:val="199"/>
        </w:numPr>
        <w:rPr>
          <w:rFonts w:ascii="Calibri" w:eastAsia="Calibri" w:hAnsi="Calibri"/>
          <w:szCs w:val="22"/>
          <w:lang w:eastAsia="en-US"/>
        </w:rPr>
      </w:pPr>
      <w:r>
        <w:rPr>
          <w:rFonts w:ascii="Calibri" w:eastAsia="Calibri" w:hAnsi="Calibri"/>
          <w:szCs w:val="22"/>
          <w:lang w:eastAsia="en-US"/>
        </w:rPr>
        <w:t>zákon č. 405/2011 Z.z. o rastlinolekárskej starostlivosti;</w:t>
      </w:r>
    </w:p>
    <w:p w:rsidR="00ED1FEE" w:rsidRDefault="00ED1FEE" w:rsidP="00955DA4">
      <w:pPr>
        <w:numPr>
          <w:ilvl w:val="0"/>
          <w:numId w:val="199"/>
        </w:numPr>
        <w:rPr>
          <w:rFonts w:ascii="Calibri" w:eastAsia="Calibri" w:hAnsi="Calibri"/>
          <w:szCs w:val="22"/>
          <w:lang w:eastAsia="en-US"/>
        </w:rPr>
      </w:pPr>
      <w:r>
        <w:rPr>
          <w:rFonts w:ascii="Calibri" w:eastAsia="Calibri" w:hAnsi="Calibri"/>
          <w:szCs w:val="22"/>
          <w:lang w:eastAsia="en-US"/>
        </w:rPr>
        <w:t>zákon č. 136/2000 Z.z. o hnojivách.</w:t>
      </w:r>
    </w:p>
    <w:p w:rsidR="00ED1FEE" w:rsidRDefault="00ED1FEE" w:rsidP="00ED1FEE">
      <w:pPr>
        <w:rPr>
          <w:rFonts w:ascii="Calibri" w:eastAsia="Calibri" w:hAnsi="Calibri" w:cs="Calibri"/>
          <w:bCs/>
          <w:szCs w:val="22"/>
          <w:lang w:eastAsia="en-US"/>
        </w:rPr>
      </w:pPr>
    </w:p>
    <w:p w:rsidR="00ED1FEE" w:rsidRDefault="00ED1FEE" w:rsidP="00ED1FEE">
      <w:pPr>
        <w:rPr>
          <w:rFonts w:ascii="Calibri" w:eastAsia="Calibri" w:hAnsi="Calibri" w:cs="Calibri"/>
          <w:bCs/>
          <w:szCs w:val="22"/>
          <w:lang w:eastAsia="en-US"/>
        </w:rPr>
      </w:pPr>
      <w:r>
        <w:rPr>
          <w:rFonts w:ascii="Calibri" w:eastAsia="Calibri" w:hAnsi="Calibri" w:cs="Calibri"/>
          <w:bCs/>
          <w:szCs w:val="22"/>
          <w:u w:val="single"/>
          <w:lang w:eastAsia="en-US"/>
        </w:rPr>
        <w:t>Prijímateľ podpory:</w:t>
      </w:r>
    </w:p>
    <w:p w:rsidR="00ED1FEE" w:rsidRDefault="00ED1FEE" w:rsidP="00ED1FEE">
      <w:pPr>
        <w:rPr>
          <w:rFonts w:ascii="Calibri" w:eastAsia="Calibri" w:hAnsi="Calibri" w:cs="Calibri"/>
          <w:bCs/>
          <w:szCs w:val="22"/>
          <w:lang w:eastAsia="en-US"/>
        </w:rPr>
      </w:pPr>
      <w:r>
        <w:rPr>
          <w:rFonts w:ascii="Calibri" w:eastAsia="Calibri" w:hAnsi="Calibri"/>
          <w:noProof/>
          <w:szCs w:val="22"/>
          <w:lang w:eastAsia="en-US"/>
        </w:rPr>
        <w:t>Fyzické a právnické osoby podnikajúce v poľnohospodárskej prvovýrobe spĺňajúce definíciu aktívneho farmára podľa čl. 9 nariadenia (EÚ) č. 1307/2013.</w:t>
      </w:r>
    </w:p>
    <w:p w:rsidR="00ED1FEE" w:rsidRDefault="00ED1FEE" w:rsidP="00ED1FEE">
      <w:pPr>
        <w:autoSpaceDE w:val="0"/>
        <w:autoSpaceDN w:val="0"/>
        <w:adjustRightInd w:val="0"/>
        <w:rPr>
          <w:rFonts w:ascii="Calibri" w:eastAsia="Calibri" w:hAnsi="Calibri" w:cs="Calibri"/>
          <w:szCs w:val="22"/>
          <w:u w:val="single"/>
          <w:lang w:eastAsia="en-US"/>
        </w:rPr>
      </w:pPr>
    </w:p>
    <w:p w:rsidR="00ED1FEE" w:rsidRDefault="00ED1FEE" w:rsidP="00ED1FEE">
      <w:pPr>
        <w:rPr>
          <w:rFonts w:ascii="Calibri" w:eastAsia="Calibri" w:hAnsi="Calibri" w:cs="Calibri"/>
          <w:szCs w:val="22"/>
          <w:u w:val="single"/>
          <w:lang w:eastAsia="en-US"/>
        </w:rPr>
      </w:pPr>
      <w:r>
        <w:rPr>
          <w:rFonts w:ascii="Calibri" w:eastAsia="Calibri" w:hAnsi="Calibri" w:cs="Calibri"/>
          <w:szCs w:val="22"/>
          <w:u w:val="single"/>
          <w:lang w:eastAsia="en-US"/>
        </w:rPr>
        <w:t>Oprávnené náklady:</w:t>
      </w:r>
    </w:p>
    <w:p w:rsidR="00ED1FEE" w:rsidRDefault="00ED1FEE" w:rsidP="00ED1FEE">
      <w:pPr>
        <w:autoSpaceDE w:val="0"/>
        <w:autoSpaceDN w:val="0"/>
        <w:adjustRightInd w:val="0"/>
        <w:rPr>
          <w:rFonts w:ascii="Calibri" w:eastAsia="Calibri" w:hAnsi="Calibri" w:cs="Calibri"/>
          <w:szCs w:val="22"/>
          <w:lang w:eastAsia="en-US"/>
        </w:rPr>
      </w:pPr>
      <w:r>
        <w:rPr>
          <w:rFonts w:ascii="Calibri" w:eastAsia="Calibri" w:hAnsi="Calibri" w:cs="Calibri"/>
          <w:szCs w:val="22"/>
          <w:lang w:eastAsia="en-US"/>
        </w:rPr>
        <w:t xml:space="preserve">Oprávnené sú všetky náklady spojené so zvýšenými nárokmi spojenými so zníženým výnosom a s prednostným použitím prostriedkov biologickej ochrany  a obmedzenie používania priemyselných hnojív. Dodatočné náklady vznikajú pri povinnosti uskutočňovať v stanovených termínoch povinné rozbory pôdy a plodov a v odôvodnených prípadoch a listov. </w:t>
      </w:r>
      <w:r>
        <w:rPr>
          <w:rFonts w:ascii="Calibri" w:eastAsia="Calibri" w:hAnsi="Calibri" w:cs="Calibri"/>
          <w:bCs/>
          <w:szCs w:val="22"/>
          <w:lang w:eastAsia="en-US"/>
        </w:rPr>
        <w:t xml:space="preserve">Zvýšené náklady vznikajú aj v súvislosti so zabezpečením bylinného krytu hlavne </w:t>
      </w:r>
      <w:r>
        <w:rPr>
          <w:rFonts w:ascii="Calibri" w:eastAsia="Calibri" w:hAnsi="Calibri" w:cs="Calibri"/>
          <w:szCs w:val="22"/>
          <w:lang w:eastAsia="en-US"/>
        </w:rPr>
        <w:t>bohato kvitnúcich rastlín a zvýšené nároky na manuálne sily.</w:t>
      </w:r>
    </w:p>
    <w:p w:rsidR="00ED1FEE" w:rsidRDefault="00ED1FEE" w:rsidP="00ED1FEE">
      <w:pPr>
        <w:autoSpaceDE w:val="0"/>
        <w:autoSpaceDN w:val="0"/>
        <w:adjustRightInd w:val="0"/>
        <w:rPr>
          <w:rFonts w:ascii="Calibri" w:eastAsia="Calibri" w:hAnsi="Calibri" w:cs="Calibri"/>
          <w:szCs w:val="22"/>
          <w:u w:val="single"/>
          <w:lang w:eastAsia="en-US"/>
        </w:rPr>
      </w:pPr>
    </w:p>
    <w:p w:rsidR="00ED1FEE" w:rsidRDefault="00ED1FEE" w:rsidP="00ED1FEE">
      <w:pPr>
        <w:autoSpaceDE w:val="0"/>
        <w:autoSpaceDN w:val="0"/>
        <w:adjustRightInd w:val="0"/>
        <w:rPr>
          <w:rFonts w:ascii="Calibri" w:eastAsia="Calibri" w:hAnsi="Calibri" w:cs="Calibri"/>
          <w:szCs w:val="22"/>
          <w:u w:val="single"/>
          <w:lang w:eastAsia="en-US"/>
        </w:rPr>
      </w:pPr>
      <w:r>
        <w:rPr>
          <w:rFonts w:ascii="Calibri" w:eastAsia="Calibri" w:hAnsi="Calibri" w:cs="Calibri"/>
          <w:szCs w:val="22"/>
          <w:u w:val="single"/>
          <w:lang w:eastAsia="en-US"/>
        </w:rPr>
        <w:t xml:space="preserve">Podmienky oprávnenosti </w:t>
      </w:r>
    </w:p>
    <w:p w:rsidR="00ED1FEE" w:rsidRPr="0022202F" w:rsidRDefault="00ED1FEE" w:rsidP="00CE203B">
      <w:pPr>
        <w:numPr>
          <w:ilvl w:val="0"/>
          <w:numId w:val="272"/>
        </w:numPr>
        <w:tabs>
          <w:tab w:val="left" w:pos="2410"/>
        </w:tabs>
        <w:autoSpaceDE w:val="0"/>
        <w:autoSpaceDN w:val="0"/>
        <w:adjustRightInd w:val="0"/>
        <w:rPr>
          <w:rFonts w:ascii="Calibri" w:hAnsi="Calibri" w:cs="Calibri"/>
          <w:szCs w:val="22"/>
          <w:lang w:eastAsia="en-US"/>
        </w:rPr>
      </w:pPr>
      <w:r w:rsidRPr="0022202F">
        <w:rPr>
          <w:rFonts w:ascii="Calibri" w:hAnsi="Calibri" w:cs="Calibri"/>
        </w:rPr>
        <w:t xml:space="preserve"> </w:t>
      </w:r>
      <w:r w:rsidRPr="00DD7895">
        <w:rPr>
          <w:rFonts w:ascii="Calibri" w:hAnsi="Calibri" w:cs="Calibri"/>
          <w:szCs w:val="22"/>
          <w:lang w:eastAsia="en-US"/>
        </w:rPr>
        <w:t>vylučuje sa súbežné pestovanie ovocia v konvenčnom a integrovanom systéme u jedného pestovateľa;</w:t>
      </w:r>
    </w:p>
    <w:p w:rsidR="00ED1FEE" w:rsidRDefault="00ED1FEE" w:rsidP="00CE203B">
      <w:pPr>
        <w:numPr>
          <w:ilvl w:val="0"/>
          <w:numId w:val="272"/>
        </w:numPr>
        <w:rPr>
          <w:rFonts w:ascii="Calibri" w:hAnsi="Calibri" w:cs="Calibri"/>
          <w:szCs w:val="22"/>
          <w:lang w:eastAsia="en-US"/>
        </w:rPr>
      </w:pPr>
      <w:r>
        <w:rPr>
          <w:rFonts w:ascii="Calibri" w:hAnsi="Calibri" w:cs="Calibri"/>
          <w:szCs w:val="22"/>
          <w:lang w:eastAsia="en-US"/>
        </w:rPr>
        <w:t xml:space="preserve">počas celej doby trvania záväzku musí byť žiadateľ  a plochy v opatrení evidované v Registri vinohradov  vedenom kontrolným ústavom; evidencia v </w:t>
      </w:r>
      <w:r>
        <w:rPr>
          <w:rFonts w:ascii="Calibri" w:hAnsi="Calibri" w:cs="Calibri"/>
          <w:i/>
          <w:szCs w:val="22"/>
          <w:lang w:eastAsia="en-US"/>
        </w:rPr>
        <w:t>LPIS</w:t>
      </w:r>
    </w:p>
    <w:p w:rsidR="00ED1FEE" w:rsidRDefault="00ED1FEE" w:rsidP="00CE203B">
      <w:pPr>
        <w:numPr>
          <w:ilvl w:val="0"/>
          <w:numId w:val="272"/>
        </w:numPr>
        <w:rPr>
          <w:rFonts w:ascii="Calibri" w:hAnsi="Calibri" w:cs="Calibri"/>
          <w:szCs w:val="22"/>
          <w:lang w:eastAsia="en-US"/>
        </w:rPr>
      </w:pPr>
      <w:r>
        <w:rPr>
          <w:rFonts w:ascii="Calibri" w:hAnsi="Calibri" w:cs="Calibri"/>
          <w:szCs w:val="22"/>
          <w:lang w:eastAsia="en-US"/>
        </w:rPr>
        <w:t>vstúpiť do opatrenia minimálne s 0,5 ha vinohradu vedenom v  LPIS /registri</w:t>
      </w:r>
    </w:p>
    <w:p w:rsidR="00095683" w:rsidRDefault="00095683" w:rsidP="00ED1FEE">
      <w:pPr>
        <w:rPr>
          <w:rFonts w:ascii="Calibri" w:hAnsi="Calibri" w:cs="Calibri"/>
          <w:szCs w:val="22"/>
          <w:u w:val="single"/>
          <w:lang w:eastAsia="en-US"/>
        </w:rPr>
      </w:pPr>
    </w:p>
    <w:p w:rsidR="00ED1FEE" w:rsidRPr="00DD7895" w:rsidRDefault="00ED1FEE" w:rsidP="00ED1FEE">
      <w:pPr>
        <w:rPr>
          <w:rFonts w:ascii="Calibri" w:hAnsi="Calibri" w:cs="Calibri"/>
          <w:szCs w:val="22"/>
          <w:u w:val="single"/>
          <w:lang w:eastAsia="en-US"/>
        </w:rPr>
      </w:pPr>
      <w:r w:rsidRPr="00DD7895">
        <w:rPr>
          <w:rFonts w:ascii="Calibri" w:hAnsi="Calibri" w:cs="Calibri"/>
          <w:szCs w:val="22"/>
          <w:u w:val="single"/>
          <w:lang w:eastAsia="en-US"/>
        </w:rPr>
        <w:t>Podmienky podpory</w:t>
      </w:r>
    </w:p>
    <w:p w:rsidR="00ED1FEE" w:rsidRDefault="00ED1FEE" w:rsidP="00CE203B">
      <w:pPr>
        <w:numPr>
          <w:ilvl w:val="0"/>
          <w:numId w:val="272"/>
        </w:numPr>
        <w:rPr>
          <w:rFonts w:ascii="Calibri" w:hAnsi="Calibri" w:cs="Calibri"/>
          <w:szCs w:val="22"/>
          <w:lang w:eastAsia="en-US"/>
        </w:rPr>
      </w:pPr>
      <w:r w:rsidRPr="009634FF">
        <w:rPr>
          <w:rFonts w:ascii="Calibri" w:eastAsia="Calibri" w:hAnsi="Calibri" w:cs="Calibri"/>
          <w:szCs w:val="22"/>
          <w:lang w:eastAsia="en-US"/>
        </w:rPr>
        <w:t xml:space="preserve">používať na celej výmere biologické ochranné prípravky </w:t>
      </w:r>
      <w:r>
        <w:rPr>
          <w:rFonts w:ascii="Calibri" w:eastAsia="Calibri" w:hAnsi="Calibri" w:cs="Calibri"/>
          <w:szCs w:val="22"/>
          <w:lang w:eastAsia="en-US"/>
        </w:rPr>
        <w:t xml:space="preserve"> na ochranu rastlín a </w:t>
      </w:r>
      <w:r>
        <w:rPr>
          <w:rFonts w:ascii="Calibri" w:hAnsi="Calibri" w:cs="Calibri"/>
          <w:bCs/>
          <w:szCs w:val="22"/>
          <w:lang w:eastAsia="en-US"/>
        </w:rPr>
        <w:t>minimalizovať chemické prípravky na ochranu rastlín, a to len vo výnimočných  prípadoch a len ak sú povolené v integrovanej produkcii</w:t>
      </w:r>
      <w:r>
        <w:rPr>
          <w:rFonts w:ascii="Calibri" w:hAnsi="Calibri" w:cs="Calibri"/>
          <w:szCs w:val="22"/>
          <w:lang w:eastAsia="en-US"/>
        </w:rPr>
        <w:t>,</w:t>
      </w:r>
      <w:r>
        <w:rPr>
          <w:rFonts w:ascii="Calibri" w:eastAsia="Calibri" w:hAnsi="Calibri" w:cs="Calibri"/>
          <w:szCs w:val="22"/>
          <w:lang w:eastAsia="en-US"/>
        </w:rPr>
        <w:t xml:space="preserve"> </w:t>
      </w:r>
      <w:r>
        <w:rPr>
          <w:rFonts w:ascii="Calibri" w:hAnsi="Calibri" w:cs="Calibri"/>
          <w:szCs w:val="22"/>
          <w:lang w:eastAsia="en-US"/>
        </w:rPr>
        <w:t>najviac za rok :</w:t>
      </w:r>
    </w:p>
    <w:p w:rsidR="00ED1FEE" w:rsidRDefault="00ED1FEE" w:rsidP="00CE203B">
      <w:pPr>
        <w:numPr>
          <w:ilvl w:val="0"/>
          <w:numId w:val="362"/>
        </w:numPr>
        <w:tabs>
          <w:tab w:val="left" w:pos="993"/>
        </w:tabs>
        <w:ind w:hanging="11"/>
        <w:contextualSpacing/>
        <w:rPr>
          <w:rFonts w:ascii="Calibri" w:hAnsi="Calibri" w:cs="Calibri"/>
          <w:szCs w:val="22"/>
          <w:lang w:eastAsia="en-US"/>
        </w:rPr>
      </w:pPr>
      <w:r>
        <w:rPr>
          <w:rFonts w:ascii="Calibri" w:hAnsi="Calibri" w:cs="Calibri"/>
          <w:szCs w:val="22"/>
          <w:lang w:eastAsia="en-US"/>
        </w:rPr>
        <w:t> 6 aplikácii prípravkov na ochranu rastlín, okrem biologických prípravkov, proti perenospóre,</w:t>
      </w:r>
    </w:p>
    <w:p w:rsidR="00ED1FEE" w:rsidRDefault="00ED1FEE" w:rsidP="00CE203B">
      <w:pPr>
        <w:numPr>
          <w:ilvl w:val="0"/>
          <w:numId w:val="362"/>
        </w:numPr>
        <w:tabs>
          <w:tab w:val="left" w:pos="993"/>
        </w:tabs>
        <w:ind w:hanging="11"/>
        <w:contextualSpacing/>
        <w:rPr>
          <w:rFonts w:ascii="Calibri" w:hAnsi="Calibri" w:cs="Calibri"/>
          <w:szCs w:val="22"/>
          <w:lang w:eastAsia="en-US"/>
        </w:rPr>
      </w:pPr>
      <w:r>
        <w:rPr>
          <w:rFonts w:ascii="Calibri" w:hAnsi="Calibri" w:cs="Calibri"/>
          <w:szCs w:val="22"/>
          <w:lang w:eastAsia="en-US"/>
        </w:rPr>
        <w:t>5  aplikácii prípravkov na ochranu rastlín, okrem biologických prípravkov, proti múčnatke,</w:t>
      </w:r>
    </w:p>
    <w:p w:rsidR="00ED1FEE" w:rsidRDefault="00ED1FEE" w:rsidP="00CE203B">
      <w:pPr>
        <w:numPr>
          <w:ilvl w:val="0"/>
          <w:numId w:val="362"/>
        </w:numPr>
        <w:tabs>
          <w:tab w:val="left" w:pos="993"/>
        </w:tabs>
        <w:ind w:hanging="11"/>
        <w:contextualSpacing/>
        <w:rPr>
          <w:rFonts w:ascii="Calibri" w:hAnsi="Calibri" w:cs="Calibri"/>
          <w:szCs w:val="22"/>
          <w:lang w:eastAsia="en-US"/>
        </w:rPr>
      </w:pPr>
      <w:r>
        <w:rPr>
          <w:rFonts w:ascii="Calibri" w:hAnsi="Calibri" w:cs="Calibri"/>
          <w:szCs w:val="22"/>
          <w:lang w:eastAsia="en-US"/>
        </w:rPr>
        <w:t>1  aplikáciu prípravkov na ochranu rastlín, okrem biologických prípravkov proti plesni sivej</w:t>
      </w:r>
    </w:p>
    <w:p w:rsidR="00ED1FEE" w:rsidRDefault="00ED1FEE" w:rsidP="00ED1FEE">
      <w:pPr>
        <w:ind w:left="993"/>
        <w:contextualSpacing/>
        <w:rPr>
          <w:rFonts w:ascii="Calibri" w:hAnsi="Calibri" w:cs="Calibri"/>
          <w:szCs w:val="22"/>
          <w:lang w:eastAsia="en-US"/>
        </w:rPr>
      </w:pPr>
      <w:r>
        <w:rPr>
          <w:rFonts w:ascii="Calibri" w:hAnsi="Calibri" w:cs="Calibri"/>
          <w:szCs w:val="22"/>
          <w:lang w:eastAsia="en-US"/>
        </w:rPr>
        <w:t xml:space="preserve">  po 1. auguste,</w:t>
      </w:r>
    </w:p>
    <w:p w:rsidR="00ED1FEE" w:rsidRDefault="00ED1FEE" w:rsidP="00CE203B">
      <w:pPr>
        <w:numPr>
          <w:ilvl w:val="0"/>
          <w:numId w:val="272"/>
        </w:numPr>
        <w:rPr>
          <w:rFonts w:ascii="Calibri" w:hAnsi="Calibri" w:cs="Calibri"/>
          <w:szCs w:val="22"/>
          <w:lang w:eastAsia="en-US"/>
        </w:rPr>
      </w:pPr>
      <w:r>
        <w:rPr>
          <w:rFonts w:ascii="Calibri" w:hAnsi="Calibri" w:cs="Calibri"/>
          <w:bCs/>
          <w:szCs w:val="22"/>
          <w:lang w:eastAsia="en-US"/>
        </w:rPr>
        <w:t>proti obaľovačom ošetrovať len biologickými prípravkami na ochranu rastlín alebo pomocnými prípravkami</w:t>
      </w:r>
      <w:r>
        <w:rPr>
          <w:rFonts w:ascii="Calibri" w:hAnsi="Calibri" w:cs="Calibri"/>
          <w:szCs w:val="22"/>
          <w:lang w:eastAsia="en-US"/>
        </w:rPr>
        <w:t xml:space="preserve">, </w:t>
      </w:r>
    </w:p>
    <w:p w:rsidR="00ED1FEE" w:rsidRDefault="00ED1FEE" w:rsidP="00CE203B">
      <w:pPr>
        <w:numPr>
          <w:ilvl w:val="0"/>
          <w:numId w:val="272"/>
        </w:numPr>
        <w:rPr>
          <w:rFonts w:ascii="Calibri" w:hAnsi="Calibri" w:cs="Calibri"/>
          <w:szCs w:val="22"/>
          <w:lang w:eastAsia="en-US"/>
        </w:rPr>
      </w:pPr>
      <w:r>
        <w:rPr>
          <w:rFonts w:ascii="Calibri" w:hAnsi="Calibri" w:cs="Calibri"/>
          <w:szCs w:val="22"/>
          <w:lang w:eastAsia="en-US"/>
        </w:rPr>
        <w:t xml:space="preserve">použiť v celkovej ročnej dávke najviac 2 kg medi/ha vinohradu a </w:t>
      </w:r>
    </w:p>
    <w:p w:rsidR="00ED1FEE" w:rsidRDefault="00ED1FEE" w:rsidP="00CE203B">
      <w:pPr>
        <w:numPr>
          <w:ilvl w:val="0"/>
          <w:numId w:val="272"/>
        </w:numPr>
        <w:rPr>
          <w:rFonts w:ascii="Calibri" w:hAnsi="Calibri" w:cs="Calibri"/>
          <w:szCs w:val="22"/>
          <w:lang w:eastAsia="en-US"/>
        </w:rPr>
      </w:pPr>
      <w:r>
        <w:rPr>
          <w:rFonts w:ascii="Calibri" w:hAnsi="Calibri" w:cs="Calibri"/>
          <w:szCs w:val="22"/>
          <w:lang w:eastAsia="en-US"/>
        </w:rPr>
        <w:t xml:space="preserve">najviac 50 kg dusíka/ha  ročne vrátane maštaľného hnoja, </w:t>
      </w:r>
    </w:p>
    <w:p w:rsidR="00ED1FEE" w:rsidRDefault="00ED1FEE" w:rsidP="00CE203B">
      <w:pPr>
        <w:numPr>
          <w:ilvl w:val="0"/>
          <w:numId w:val="272"/>
        </w:numPr>
        <w:rPr>
          <w:rFonts w:ascii="Calibri" w:hAnsi="Calibri" w:cs="Calibri"/>
          <w:bCs/>
          <w:szCs w:val="22"/>
          <w:lang w:eastAsia="en-US"/>
        </w:rPr>
      </w:pPr>
      <w:r>
        <w:rPr>
          <w:rFonts w:ascii="Calibri" w:hAnsi="Calibri" w:cs="Calibri"/>
          <w:szCs w:val="22"/>
          <w:lang w:eastAsia="en-US"/>
        </w:rPr>
        <w:t>hnojenie fosforom a draslíkom robiť len na základe pôdnych a listových analýz raz za dva roky.</w:t>
      </w:r>
    </w:p>
    <w:p w:rsidR="00ED1FEE" w:rsidRDefault="00ED1FEE" w:rsidP="00CE203B">
      <w:pPr>
        <w:numPr>
          <w:ilvl w:val="0"/>
          <w:numId w:val="272"/>
        </w:numPr>
        <w:rPr>
          <w:rFonts w:ascii="Calibri" w:hAnsi="Calibri" w:cs="Calibri"/>
          <w:szCs w:val="22"/>
          <w:lang w:eastAsia="en-US"/>
        </w:rPr>
      </w:pPr>
      <w:r>
        <w:rPr>
          <w:rFonts w:ascii="Calibri" w:hAnsi="Calibri" w:cs="Calibri"/>
          <w:bCs/>
          <w:szCs w:val="22"/>
          <w:lang w:eastAsia="en-US"/>
        </w:rPr>
        <w:t>zabezpečenie celoročného zeleného krytu pôdy</w:t>
      </w:r>
      <w:r>
        <w:rPr>
          <w:rFonts w:ascii="Calibri" w:hAnsi="Calibri" w:cs="Calibri"/>
          <w:szCs w:val="22"/>
          <w:lang w:eastAsia="en-US"/>
        </w:rPr>
        <w:t xml:space="preserve"> zatrávnením, zazelenením bylinným porastom bohato kvitnúcich rastlín. </w:t>
      </w:r>
    </w:p>
    <w:p w:rsidR="00ED1FEE" w:rsidRDefault="00ED1FEE" w:rsidP="00CE203B">
      <w:pPr>
        <w:numPr>
          <w:ilvl w:val="0"/>
          <w:numId w:val="272"/>
        </w:numPr>
        <w:rPr>
          <w:rFonts w:ascii="Calibri" w:hAnsi="Calibri" w:cs="Calibri"/>
          <w:szCs w:val="22"/>
          <w:lang w:eastAsia="en-US"/>
        </w:rPr>
      </w:pPr>
      <w:r>
        <w:rPr>
          <w:rFonts w:ascii="Calibri" w:hAnsi="Calibri" w:cs="Calibri"/>
          <w:szCs w:val="22"/>
          <w:lang w:eastAsia="en-US"/>
        </w:rPr>
        <w:t xml:space="preserve">počet  jedincov na ploche zaradenej do tohto systému nesmie klesnúť pod  65 %. </w:t>
      </w:r>
    </w:p>
    <w:p w:rsidR="00ED1FEE" w:rsidRDefault="00ED1FEE" w:rsidP="00CE203B">
      <w:pPr>
        <w:numPr>
          <w:ilvl w:val="0"/>
          <w:numId w:val="272"/>
        </w:numPr>
        <w:tabs>
          <w:tab w:val="left" w:pos="7515"/>
        </w:tabs>
        <w:contextualSpacing/>
        <w:rPr>
          <w:rFonts w:ascii="Calibri" w:hAnsi="Calibri" w:cs="Calibri"/>
          <w:bCs/>
          <w:szCs w:val="22"/>
          <w:lang w:eastAsia="en-US"/>
        </w:rPr>
      </w:pPr>
      <w:r>
        <w:rPr>
          <w:rFonts w:ascii="Calibri" w:hAnsi="Calibri" w:cs="Calibri"/>
          <w:szCs w:val="22"/>
          <w:lang w:eastAsia="en-US"/>
        </w:rPr>
        <w:t>zrieknutie sa priamej aplikácie čistiarenského kalu a dnových sedimentov</w:t>
      </w:r>
    </w:p>
    <w:p w:rsidR="00ED1FEE" w:rsidRDefault="00ED1FEE" w:rsidP="00CE203B">
      <w:pPr>
        <w:numPr>
          <w:ilvl w:val="0"/>
          <w:numId w:val="272"/>
        </w:numPr>
        <w:tabs>
          <w:tab w:val="left" w:pos="7515"/>
        </w:tabs>
        <w:contextualSpacing/>
        <w:rPr>
          <w:rFonts w:ascii="Calibri" w:hAnsi="Calibri" w:cs="Calibri"/>
          <w:bCs/>
          <w:szCs w:val="22"/>
          <w:lang w:eastAsia="en-US"/>
        </w:rPr>
      </w:pPr>
      <w:r>
        <w:rPr>
          <w:rFonts w:ascii="Calibri" w:hAnsi="Calibri" w:cs="Calibri"/>
          <w:szCs w:val="22"/>
          <w:lang w:eastAsia="en-US"/>
        </w:rPr>
        <w:t>povinnosť absolvovať školiaci kurz k správne vykonávaným podmienkam opatrenia</w:t>
      </w:r>
    </w:p>
    <w:p w:rsidR="00ED1FEE" w:rsidRDefault="00ED1FEE" w:rsidP="00CE203B">
      <w:pPr>
        <w:numPr>
          <w:ilvl w:val="0"/>
          <w:numId w:val="272"/>
        </w:numPr>
        <w:tabs>
          <w:tab w:val="left" w:pos="7515"/>
        </w:tabs>
        <w:contextualSpacing/>
        <w:rPr>
          <w:rFonts w:ascii="Calibri" w:hAnsi="Calibri" w:cs="Calibri"/>
          <w:szCs w:val="22"/>
          <w:lang w:eastAsia="en-US"/>
        </w:rPr>
      </w:pPr>
      <w:r>
        <w:rPr>
          <w:rFonts w:ascii="Calibri" w:hAnsi="Calibri" w:cs="Calibri"/>
          <w:szCs w:val="22"/>
          <w:lang w:eastAsia="en-US"/>
        </w:rPr>
        <w:t>viesť a uchovávať všetky záznamy o pestovateľských postupoch a súvisiacich činnostiach</w:t>
      </w:r>
    </w:p>
    <w:p w:rsidR="00ED1FEE" w:rsidRDefault="00ED1FEE" w:rsidP="00ED1FEE">
      <w:pPr>
        <w:rPr>
          <w:rFonts w:ascii="Calibri" w:eastAsia="Calibri" w:hAnsi="Calibri" w:cs="Calibri"/>
          <w:szCs w:val="22"/>
          <w:lang w:eastAsia="en-US"/>
        </w:rPr>
      </w:pPr>
    </w:p>
    <w:p w:rsidR="00ED1FEE" w:rsidRDefault="00ED1FEE" w:rsidP="00ED1FEE">
      <w:pPr>
        <w:rPr>
          <w:rFonts w:ascii="Calibri" w:eastAsia="Calibri" w:hAnsi="Calibri" w:cs="Calibri"/>
          <w:szCs w:val="22"/>
          <w:lang w:eastAsia="en-US"/>
        </w:rPr>
      </w:pPr>
      <w:r>
        <w:rPr>
          <w:rFonts w:ascii="Calibri" w:eastAsia="Calibri" w:hAnsi="Calibri" w:cs="Calibri"/>
          <w:szCs w:val="22"/>
          <w:lang w:eastAsia="en-US"/>
        </w:rPr>
        <w:t>Pre mladé vinohrady (1.- 3. rok po výsadbe) sa stanovujú dodatočné podmienky:</w:t>
      </w:r>
    </w:p>
    <w:p w:rsidR="00ED1FEE" w:rsidRDefault="00ED1FEE" w:rsidP="00CE203B">
      <w:pPr>
        <w:numPr>
          <w:ilvl w:val="0"/>
          <w:numId w:val="272"/>
        </w:numPr>
        <w:rPr>
          <w:rFonts w:ascii="Calibri" w:hAnsi="Calibri" w:cs="Calibri"/>
          <w:szCs w:val="22"/>
          <w:lang w:eastAsia="en-US"/>
        </w:rPr>
      </w:pPr>
      <w:r>
        <w:rPr>
          <w:rFonts w:ascii="Calibri" w:hAnsi="Calibri" w:cs="Calibri"/>
          <w:szCs w:val="22"/>
          <w:lang w:eastAsia="en-US"/>
        </w:rPr>
        <w:t>do konca tretieho roka v každom druhom medziradí zabezpečiť  súvislý bylinný porast (zatrávnenie, zazelenenie) a</w:t>
      </w:r>
    </w:p>
    <w:p w:rsidR="00ED1FEE" w:rsidRDefault="00ED1FEE" w:rsidP="00CE203B">
      <w:pPr>
        <w:numPr>
          <w:ilvl w:val="0"/>
          <w:numId w:val="272"/>
        </w:numPr>
        <w:rPr>
          <w:rFonts w:ascii="Calibri" w:hAnsi="Calibri" w:cs="Calibri"/>
          <w:szCs w:val="22"/>
          <w:lang w:eastAsia="en-US"/>
        </w:rPr>
      </w:pPr>
      <w:r>
        <w:rPr>
          <w:rFonts w:ascii="Calibri" w:hAnsi="Calibri" w:cs="Calibri"/>
          <w:szCs w:val="22"/>
          <w:lang w:eastAsia="en-US"/>
        </w:rPr>
        <w:t>v prvých troch rokoch po výsadbe minimálne jedenkrát aplikovať zelené hnojenie vysiatím a zapravením vhodných plodín do pôdy.</w:t>
      </w:r>
    </w:p>
    <w:p w:rsidR="00ED1FEE" w:rsidRDefault="00ED1FEE" w:rsidP="00ED1FEE">
      <w:pPr>
        <w:rPr>
          <w:rFonts w:ascii="Calibri" w:eastAsia="Calibri" w:hAnsi="Calibri" w:cs="Calibri"/>
          <w:szCs w:val="22"/>
          <w:u w:val="single"/>
          <w:lang w:eastAsia="en-US"/>
        </w:rPr>
      </w:pPr>
    </w:p>
    <w:p w:rsidR="00ED1FEE" w:rsidRDefault="00ED1FEE" w:rsidP="00ED1FEE">
      <w:pPr>
        <w:rPr>
          <w:rFonts w:ascii="Calibri" w:eastAsia="Calibri" w:hAnsi="Calibri" w:cs="Calibri"/>
          <w:szCs w:val="22"/>
          <w:u w:val="single"/>
          <w:lang w:eastAsia="en-US"/>
        </w:rPr>
      </w:pPr>
      <w:r>
        <w:rPr>
          <w:rFonts w:ascii="Calibri" w:eastAsia="Calibri" w:hAnsi="Calibri" w:cs="Calibri"/>
          <w:szCs w:val="22"/>
          <w:u w:val="single"/>
          <w:lang w:eastAsia="en-US"/>
        </w:rPr>
        <w:t>Princípy nastavenia výberových kritérií:</w:t>
      </w:r>
    </w:p>
    <w:p w:rsidR="00ED1FEE" w:rsidRDefault="00ED1FEE" w:rsidP="00CE203B">
      <w:pPr>
        <w:numPr>
          <w:ilvl w:val="0"/>
          <w:numId w:val="352"/>
        </w:numPr>
        <w:rPr>
          <w:rFonts w:ascii="Calibri" w:hAnsi="Calibri" w:cs="Calibri"/>
          <w:szCs w:val="22"/>
          <w:lang w:eastAsia="en-US"/>
        </w:rPr>
      </w:pPr>
      <w:r>
        <w:rPr>
          <w:rFonts w:ascii="Calibri" w:hAnsi="Calibri" w:cs="Calibri"/>
          <w:szCs w:val="22"/>
          <w:lang w:eastAsia="en-US"/>
        </w:rPr>
        <w:t>výmera vinohradov zaradených v IP v zostupnej tendencii;</w:t>
      </w:r>
    </w:p>
    <w:p w:rsidR="00ED1FEE" w:rsidRDefault="00ED1FEE" w:rsidP="00CE203B">
      <w:pPr>
        <w:numPr>
          <w:ilvl w:val="0"/>
          <w:numId w:val="352"/>
        </w:numPr>
        <w:rPr>
          <w:rFonts w:ascii="Calibri" w:hAnsi="Calibri" w:cs="Calibri"/>
          <w:szCs w:val="22"/>
          <w:lang w:eastAsia="en-US"/>
        </w:rPr>
      </w:pPr>
      <w:r>
        <w:rPr>
          <w:rFonts w:ascii="Calibri" w:hAnsi="Calibri" w:cs="Calibri"/>
          <w:szCs w:val="22"/>
          <w:lang w:eastAsia="en-US"/>
        </w:rPr>
        <w:t>podiel vinohradov k celkovej výmere podniku v zostupnej tendencii.</w:t>
      </w:r>
    </w:p>
    <w:p w:rsidR="00ED1FEE" w:rsidRDefault="00ED1FEE" w:rsidP="00ED1FEE">
      <w:pPr>
        <w:rPr>
          <w:rFonts w:ascii="Calibri" w:hAnsi="Calibri"/>
          <w:szCs w:val="22"/>
          <w:u w:val="single"/>
          <w:lang w:eastAsia="en-GB"/>
        </w:rPr>
      </w:pPr>
    </w:p>
    <w:p w:rsidR="00ED1FEE" w:rsidRDefault="00ED1FEE" w:rsidP="00ED1FEE">
      <w:pPr>
        <w:rPr>
          <w:rFonts w:ascii="Calibri" w:hAnsi="Calibri"/>
          <w:szCs w:val="22"/>
          <w:u w:val="single"/>
          <w:lang w:eastAsia="en-GB"/>
        </w:rPr>
      </w:pPr>
      <w:r>
        <w:rPr>
          <w:rFonts w:ascii="Calibri" w:hAnsi="Calibri"/>
          <w:szCs w:val="22"/>
          <w:u w:val="single"/>
          <w:lang w:eastAsia="en-GB"/>
        </w:rPr>
        <w:t>Výška  a miera podpory:</w:t>
      </w:r>
    </w:p>
    <w:p w:rsidR="00ED1FEE" w:rsidRDefault="00ED1FEE" w:rsidP="00ED1FEE">
      <w:pPr>
        <w:tabs>
          <w:tab w:val="left" w:pos="7515"/>
        </w:tabs>
        <w:rPr>
          <w:rFonts w:ascii="Calibri" w:eastAsia="Calibri" w:hAnsi="Calibri" w:cs="Calibri"/>
          <w:bCs/>
          <w:szCs w:val="22"/>
          <w:lang w:eastAsia="en-US"/>
        </w:rPr>
      </w:pPr>
      <w:r>
        <w:rPr>
          <w:rFonts w:ascii="Calibri" w:eastAsia="Calibri" w:hAnsi="Calibri" w:cs="Calibri"/>
          <w:bCs/>
          <w:szCs w:val="22"/>
          <w:lang w:eastAsia="en-US"/>
        </w:rPr>
        <w:t>rodiace vinohrady  503 €/ha</w:t>
      </w:r>
    </w:p>
    <w:p w:rsidR="00ED1FEE" w:rsidRDefault="00ED1FEE" w:rsidP="00ED1FEE">
      <w:pPr>
        <w:tabs>
          <w:tab w:val="left" w:pos="7515"/>
        </w:tabs>
        <w:rPr>
          <w:rFonts w:ascii="Calibri" w:eastAsia="Calibri" w:hAnsi="Calibri"/>
          <w:iCs/>
          <w:noProof/>
          <w:szCs w:val="22"/>
          <w:lang w:eastAsia="en-US"/>
        </w:rPr>
      </w:pPr>
      <w:r>
        <w:rPr>
          <w:rFonts w:ascii="Calibri" w:eastAsia="Calibri" w:hAnsi="Calibri" w:cs="Calibri"/>
          <w:bCs/>
          <w:szCs w:val="22"/>
          <w:lang w:eastAsia="en-US"/>
        </w:rPr>
        <w:t>mladé vinohrady  387 €/ha</w:t>
      </w:r>
    </w:p>
    <w:p w:rsidR="00ED1FEE" w:rsidRDefault="00ED1FEE" w:rsidP="00ED1FEE">
      <w:pPr>
        <w:rPr>
          <w:rFonts w:ascii="Calibri" w:eastAsia="Calibri" w:hAnsi="Calibri"/>
          <w:iCs/>
          <w:noProof/>
          <w:szCs w:val="22"/>
          <w:lang w:eastAsia="en-US"/>
        </w:rPr>
      </w:pPr>
    </w:p>
    <w:p w:rsidR="00095683" w:rsidRDefault="00095683" w:rsidP="00ED1FEE">
      <w:pPr>
        <w:rPr>
          <w:rFonts w:ascii="Calibri" w:eastAsia="Calibri" w:hAnsi="Calibri"/>
          <w:iCs/>
          <w:noProof/>
          <w:szCs w:val="22"/>
          <w:lang w:eastAsia="en-US"/>
        </w:rPr>
      </w:pPr>
    </w:p>
    <w:p w:rsidR="00ED1FEE" w:rsidRDefault="00ED1FEE" w:rsidP="00ED1FEE">
      <w:pPr>
        <w:shd w:val="clear" w:color="auto" w:fill="FBD4B4"/>
        <w:rPr>
          <w:rFonts w:ascii="Calibri" w:eastAsia="Calibri" w:hAnsi="Calibri" w:cs="Calibri"/>
          <w:bCs/>
          <w:szCs w:val="22"/>
          <w:lang w:eastAsia="en-US"/>
        </w:rPr>
      </w:pPr>
      <w:r>
        <w:rPr>
          <w:rFonts w:ascii="Calibri" w:eastAsia="Calibri" w:hAnsi="Calibri" w:cs="Calibri"/>
          <w:bCs/>
          <w:szCs w:val="22"/>
          <w:u w:val="single"/>
          <w:lang w:eastAsia="en-US"/>
        </w:rPr>
        <w:t>Názov operácie:</w:t>
      </w:r>
      <w:r>
        <w:rPr>
          <w:rFonts w:ascii="Calibri" w:eastAsia="Calibri" w:hAnsi="Calibri" w:cs="Calibri"/>
          <w:bCs/>
          <w:szCs w:val="22"/>
          <w:lang w:eastAsia="en-US"/>
        </w:rPr>
        <w:t xml:space="preserve"> </w:t>
      </w:r>
    </w:p>
    <w:p w:rsidR="00ED1FEE" w:rsidRDefault="00ED1FEE" w:rsidP="00ED1FEE">
      <w:pPr>
        <w:shd w:val="clear" w:color="auto" w:fill="FBD4B4"/>
        <w:rPr>
          <w:rFonts w:ascii="Calibri" w:eastAsia="Calibri" w:hAnsi="Calibri" w:cs="Calibri"/>
          <w:bCs/>
          <w:i/>
          <w:szCs w:val="22"/>
          <w:lang w:eastAsia="en-US"/>
        </w:rPr>
      </w:pPr>
      <w:r>
        <w:rPr>
          <w:rFonts w:ascii="Calibri" w:eastAsia="Calibri" w:hAnsi="Calibri" w:cs="Calibri"/>
          <w:bCs/>
          <w:i/>
          <w:szCs w:val="22"/>
          <w:lang w:eastAsia="en-US"/>
        </w:rPr>
        <w:t>Ochrana proti erózii pôdy</w:t>
      </w:r>
    </w:p>
    <w:p w:rsidR="00ED1FEE" w:rsidRDefault="00ED1FEE" w:rsidP="00ED1FEE">
      <w:pPr>
        <w:autoSpaceDE w:val="0"/>
        <w:autoSpaceDN w:val="0"/>
        <w:adjustRightInd w:val="0"/>
        <w:rPr>
          <w:rFonts w:ascii="Calibri" w:eastAsia="Calibri" w:hAnsi="Calibri" w:cs="Calibri"/>
          <w:bCs/>
          <w:szCs w:val="22"/>
          <w:u w:val="single"/>
          <w:lang w:eastAsia="en-US"/>
        </w:rPr>
      </w:pPr>
    </w:p>
    <w:p w:rsidR="00ED1FEE" w:rsidRDefault="00ED1FEE" w:rsidP="00ED1FEE">
      <w:pPr>
        <w:autoSpaceDE w:val="0"/>
        <w:autoSpaceDN w:val="0"/>
        <w:adjustRightInd w:val="0"/>
        <w:rPr>
          <w:rFonts w:ascii="Calibri" w:eastAsia="Calibri" w:hAnsi="Calibri" w:cs="Calibri"/>
          <w:bCs/>
          <w:szCs w:val="22"/>
          <w:u w:val="single"/>
          <w:lang w:eastAsia="en-US"/>
        </w:rPr>
      </w:pPr>
      <w:r>
        <w:rPr>
          <w:rFonts w:ascii="Calibri" w:eastAsia="Calibri" w:hAnsi="Calibri" w:cs="Calibri"/>
          <w:bCs/>
          <w:szCs w:val="22"/>
          <w:u w:val="single"/>
          <w:lang w:eastAsia="en-US"/>
        </w:rPr>
        <w:t>Opis operácie:</w:t>
      </w:r>
    </w:p>
    <w:p w:rsidR="00ED1FEE" w:rsidRDefault="00ED1FEE" w:rsidP="00ED1FEE">
      <w:pPr>
        <w:rPr>
          <w:rFonts w:ascii="Calibri" w:eastAsia="Calibri" w:hAnsi="Calibri" w:cs="Calibri"/>
          <w:szCs w:val="22"/>
          <w:lang w:eastAsia="en-US"/>
        </w:rPr>
      </w:pPr>
      <w:r>
        <w:rPr>
          <w:rFonts w:ascii="Calibri" w:eastAsia="Calibri" w:hAnsi="Calibri" w:cs="Calibri"/>
          <w:szCs w:val="22"/>
          <w:lang w:eastAsia="en-US"/>
        </w:rPr>
        <w:t>Hlavným cieľom ochran</w:t>
      </w:r>
      <w:r w:rsidR="008612D8">
        <w:rPr>
          <w:rFonts w:ascii="Calibri" w:eastAsia="Calibri" w:hAnsi="Calibri" w:cs="Calibri"/>
          <w:szCs w:val="22"/>
          <w:lang w:eastAsia="en-US"/>
        </w:rPr>
        <w:t>y</w:t>
      </w:r>
      <w:r>
        <w:rPr>
          <w:rFonts w:ascii="Calibri" w:eastAsia="Calibri" w:hAnsi="Calibri" w:cs="Calibri"/>
          <w:szCs w:val="22"/>
          <w:lang w:eastAsia="en-US"/>
        </w:rPr>
        <w:t xml:space="preserve"> proti erózii pôdy vytváraním stabilizujúcich pásov je  zníženie rizika erózie pôdy.  Ďalším efektom je spomalenie povrchového odtoku vôd na ornej pôde, čo môže prispieť k minimalizácii sezónnych nedostatkov vody a zabráneniu krátkodobému zvýšeniu prietokov vôd. Uvedené postupy okrem ochrany základných zložiek životného prostredia (voda, pôda) tiež prispievajú k ochrane a zvyšovaniu biodiverzity prostredníctvom rozširovania zelených plôch (stabilizujúce pásy) a podieľajú sa tiež na  zmierňovaní klimatickej zmeny redukciou skleníkových plynov  a zvyšovaní záchytov týchto plynov. Podmienkou podopatrenia je  rozdeliť užívanú výmeru dielu pôdneho bloku na menšie časti vytvorením  minimálne 10 metrov širokých  stabilizujúcich pásov, pričom  dva najbližšie stabilizujúce pásy môžu byť od seba vzdialené najviac 200 metrov  a ich obsiatie uznaným osivom ďatelinotráv, lucernotráv alebo trávami na semeno v stanovenom termíne, po vrstevniciach. Stanovuje sa spôsob  kosby a zakazuje sa aplikácia herbicídov na zatrávnených stabilizujúcich pásoch počas prvých dvoch rokov. Minimálna plocha  stabilizujúceho pásu oprávnená na podporu je 0,3 ha</w:t>
      </w:r>
    </w:p>
    <w:p w:rsidR="00ED1FEE" w:rsidRDefault="00ED1FEE" w:rsidP="00ED1FEE">
      <w:pPr>
        <w:rPr>
          <w:rFonts w:ascii="Calibri" w:eastAsia="Calibri" w:hAnsi="Calibri" w:cs="Calibri"/>
          <w:bCs/>
          <w:smallCaps/>
          <w:szCs w:val="22"/>
          <w:lang w:eastAsia="en-US"/>
        </w:rPr>
      </w:pPr>
    </w:p>
    <w:p w:rsidR="00ED1FEE" w:rsidRDefault="00ED1FEE" w:rsidP="00ED1FEE">
      <w:pPr>
        <w:rPr>
          <w:rFonts w:ascii="Calibri" w:eastAsia="Calibri" w:hAnsi="Calibri"/>
          <w:noProof/>
          <w:szCs w:val="22"/>
          <w:u w:val="single"/>
          <w:lang w:eastAsia="en-GB"/>
        </w:rPr>
      </w:pPr>
      <w:r>
        <w:rPr>
          <w:rFonts w:ascii="Calibri" w:eastAsia="Calibri" w:hAnsi="Calibri"/>
          <w:noProof/>
          <w:szCs w:val="22"/>
          <w:u w:val="single"/>
          <w:lang w:eastAsia="en-GB"/>
        </w:rPr>
        <w:t>Typ podpory:</w:t>
      </w:r>
    </w:p>
    <w:p w:rsidR="00ED1FEE" w:rsidRDefault="00ED1FEE" w:rsidP="00ED1FEE">
      <w:pPr>
        <w:rPr>
          <w:rFonts w:ascii="Calibri" w:eastAsia="Calibri" w:hAnsi="Calibri"/>
          <w:noProof/>
          <w:szCs w:val="22"/>
          <w:lang w:eastAsia="en-GB"/>
        </w:rPr>
      </w:pPr>
      <w:r>
        <w:rPr>
          <w:rFonts w:ascii="Calibri" w:eastAsia="Calibri" w:hAnsi="Calibri"/>
          <w:szCs w:val="22"/>
          <w:lang w:eastAsia="en-US"/>
        </w:rPr>
        <w:t xml:space="preserve">Nezisková ročná platba na hektár </w:t>
      </w:r>
      <w:r>
        <w:rPr>
          <w:rFonts w:ascii="Calibri" w:eastAsia="Calibri" w:hAnsi="Calibri" w:cs="Calibri"/>
          <w:szCs w:val="22"/>
          <w:lang w:eastAsia="en-US"/>
        </w:rPr>
        <w:t>ornej pôdy chránenej protieróznymi pásmi (vrátane plochy pásov).</w:t>
      </w:r>
    </w:p>
    <w:p w:rsidR="00ED1FEE" w:rsidRDefault="00ED1FEE" w:rsidP="00ED1FEE">
      <w:pPr>
        <w:rPr>
          <w:rFonts w:ascii="Calibri" w:eastAsia="Calibri" w:hAnsi="Calibri" w:cs="Calibri"/>
          <w:bCs/>
          <w:szCs w:val="22"/>
          <w:u w:val="single"/>
          <w:lang w:eastAsia="en-US"/>
        </w:rPr>
      </w:pPr>
    </w:p>
    <w:p w:rsidR="00ED1FEE" w:rsidRDefault="00ED1FEE" w:rsidP="00ED1FEE">
      <w:pPr>
        <w:rPr>
          <w:rFonts w:ascii="Calibri" w:eastAsia="Calibri" w:hAnsi="Calibri" w:cs="Calibri"/>
          <w:bCs/>
          <w:szCs w:val="22"/>
          <w:u w:val="single"/>
          <w:lang w:eastAsia="en-US"/>
        </w:rPr>
      </w:pPr>
      <w:r>
        <w:rPr>
          <w:rFonts w:ascii="Calibri" w:eastAsia="Calibri" w:hAnsi="Calibri" w:cs="Calibri"/>
          <w:bCs/>
          <w:szCs w:val="22"/>
          <w:u w:val="single"/>
          <w:lang w:eastAsia="en-US"/>
        </w:rPr>
        <w:t>Súvislosť s inou legislatívou:</w:t>
      </w:r>
    </w:p>
    <w:p w:rsidR="00ED1FEE" w:rsidRDefault="00ED1FEE" w:rsidP="00955DA4">
      <w:pPr>
        <w:numPr>
          <w:ilvl w:val="0"/>
          <w:numId w:val="200"/>
        </w:numPr>
        <w:rPr>
          <w:rFonts w:ascii="Calibri" w:hAnsi="Calibri" w:cs="EUAlbertina"/>
          <w:bCs/>
          <w:szCs w:val="22"/>
        </w:rPr>
      </w:pPr>
      <w:r>
        <w:rPr>
          <w:rFonts w:ascii="Calibri" w:hAnsi="Calibri"/>
          <w:szCs w:val="22"/>
        </w:rPr>
        <w:t xml:space="preserve">nariadenie (EÚ) č. 1306/2013 </w:t>
      </w:r>
      <w:r>
        <w:rPr>
          <w:rFonts w:ascii="Calibri" w:hAnsi="Calibri" w:cs="EUAlbertina"/>
          <w:bCs/>
          <w:szCs w:val="22"/>
        </w:rPr>
        <w:t>o financovaní, riadení a monitorovaní spoločnej poľnohospodárskej politiky;</w:t>
      </w:r>
    </w:p>
    <w:p w:rsidR="00ED1FEE" w:rsidRDefault="00ED1FEE" w:rsidP="00955DA4">
      <w:pPr>
        <w:numPr>
          <w:ilvl w:val="0"/>
          <w:numId w:val="200"/>
        </w:numPr>
        <w:rPr>
          <w:rFonts w:ascii="Calibri" w:hAnsi="Calibri" w:cs="EUAlbertina"/>
          <w:bCs/>
          <w:szCs w:val="22"/>
        </w:rPr>
      </w:pPr>
      <w:r>
        <w:rPr>
          <w:rFonts w:ascii="Calibri" w:hAnsi="Calibri" w:cs="EUAlbertina"/>
          <w:bCs/>
          <w:szCs w:val="22"/>
        </w:rPr>
        <w:t>nariadenie (EÚ) 1307/2013;</w:t>
      </w:r>
    </w:p>
    <w:p w:rsidR="00ED1FEE" w:rsidRDefault="00ED1FEE" w:rsidP="00955DA4">
      <w:pPr>
        <w:numPr>
          <w:ilvl w:val="0"/>
          <w:numId w:val="200"/>
        </w:numPr>
        <w:rPr>
          <w:rFonts w:ascii="Calibri" w:hAnsi="Calibri"/>
          <w:szCs w:val="22"/>
        </w:rPr>
      </w:pPr>
      <w:r>
        <w:rPr>
          <w:rFonts w:ascii="Calibri" w:hAnsi="Calibri"/>
          <w:szCs w:val="22"/>
        </w:rPr>
        <w:t>zákon č. 220/2004 Z.z. o ochrane a využívaní poľnohospodárskej pôdy.</w:t>
      </w:r>
    </w:p>
    <w:p w:rsidR="00ED1FEE" w:rsidRDefault="00ED1FEE" w:rsidP="00ED1FEE">
      <w:pPr>
        <w:rPr>
          <w:rFonts w:ascii="Calibri" w:eastAsia="Calibri" w:hAnsi="Calibri" w:cs="Calibri"/>
          <w:bCs/>
          <w:szCs w:val="22"/>
          <w:lang w:eastAsia="en-US"/>
        </w:rPr>
      </w:pPr>
    </w:p>
    <w:p w:rsidR="00ED1FEE" w:rsidRDefault="00ED1FEE" w:rsidP="00ED1FEE">
      <w:pPr>
        <w:rPr>
          <w:rFonts w:ascii="Calibri" w:eastAsia="Calibri" w:hAnsi="Calibri" w:cs="Calibri"/>
          <w:bCs/>
          <w:szCs w:val="22"/>
          <w:lang w:eastAsia="en-US"/>
        </w:rPr>
      </w:pPr>
      <w:r>
        <w:rPr>
          <w:rFonts w:ascii="Calibri" w:eastAsia="Calibri" w:hAnsi="Calibri" w:cs="Calibri"/>
          <w:bCs/>
          <w:szCs w:val="22"/>
          <w:u w:val="single"/>
          <w:lang w:eastAsia="en-US"/>
        </w:rPr>
        <w:t>Prijímateľ podpory:</w:t>
      </w:r>
    </w:p>
    <w:p w:rsidR="00ED1FEE" w:rsidRDefault="00ED1FEE" w:rsidP="00ED1FEE">
      <w:pPr>
        <w:rPr>
          <w:rFonts w:ascii="Calibri" w:eastAsia="Calibri" w:hAnsi="Calibri" w:cs="Calibri"/>
          <w:bCs/>
          <w:szCs w:val="22"/>
          <w:lang w:eastAsia="en-US"/>
        </w:rPr>
      </w:pPr>
      <w:r>
        <w:rPr>
          <w:rFonts w:ascii="Calibri" w:eastAsia="Calibri" w:hAnsi="Calibri"/>
          <w:noProof/>
          <w:szCs w:val="22"/>
          <w:lang w:eastAsia="en-US"/>
        </w:rPr>
        <w:t>Fyzické a právnické osoby podnikajúce v poľnohospodárskej prvovýrobe spĺňajúce definíciu aktívneho farmára podľa čl. 9 nariadenia (EÚ) č. 1307/2013.</w:t>
      </w:r>
    </w:p>
    <w:p w:rsidR="00ED1FEE" w:rsidRDefault="00ED1FEE" w:rsidP="00ED1FEE">
      <w:pPr>
        <w:rPr>
          <w:rFonts w:ascii="Calibri" w:eastAsia="Calibri" w:hAnsi="Calibri" w:cs="Calibri"/>
          <w:bCs/>
          <w:szCs w:val="22"/>
          <w:lang w:eastAsia="en-US"/>
        </w:rPr>
      </w:pPr>
    </w:p>
    <w:p w:rsidR="00ED1FEE" w:rsidRDefault="00ED1FEE" w:rsidP="00ED1FEE">
      <w:pPr>
        <w:rPr>
          <w:rFonts w:ascii="Calibri" w:eastAsia="Calibri" w:hAnsi="Calibri" w:cs="Calibri"/>
          <w:bCs/>
          <w:szCs w:val="22"/>
          <w:u w:val="single"/>
          <w:lang w:eastAsia="en-US"/>
        </w:rPr>
      </w:pPr>
      <w:r>
        <w:rPr>
          <w:rFonts w:ascii="Calibri" w:eastAsia="Calibri" w:hAnsi="Calibri" w:cs="Calibri"/>
          <w:bCs/>
          <w:szCs w:val="22"/>
          <w:u w:val="single"/>
          <w:lang w:eastAsia="en-US"/>
        </w:rPr>
        <w:t>Oprávnené náklady:</w:t>
      </w:r>
    </w:p>
    <w:p w:rsidR="00ED1FEE" w:rsidRDefault="00ED1FEE" w:rsidP="00ED1FEE">
      <w:pPr>
        <w:rPr>
          <w:rFonts w:ascii="Calibri" w:eastAsia="Calibri" w:hAnsi="Calibri" w:cs="Calibri"/>
          <w:bCs/>
          <w:szCs w:val="22"/>
          <w:lang w:eastAsia="en-US"/>
        </w:rPr>
      </w:pPr>
      <w:r>
        <w:rPr>
          <w:rFonts w:ascii="Calibri" w:eastAsia="Calibri" w:hAnsi="Calibri" w:cs="Calibri"/>
          <w:bCs/>
          <w:szCs w:val="22"/>
          <w:lang w:eastAsia="en-US"/>
        </w:rPr>
        <w:t>Oprávnené sú náklady spojené so stratou príjmu vzniknutej z pestovania plodín na ornej pôde zatrávňovaním pásov. Navýšené náklady spočívajú v potrebe zvýšenia agrotechnických prác v dôsledku prerušenia súvislej plochy ornej pôdy. Na zatrávnených pásoch  dochádza k zvýšeniu pracovných nákladov v dôsledku sťaženého obhospodarovania  spôsobeného ich malou šírkou.</w:t>
      </w:r>
    </w:p>
    <w:p w:rsidR="00ED1FEE" w:rsidRDefault="00ED1FEE" w:rsidP="00ED1FEE">
      <w:pPr>
        <w:rPr>
          <w:rFonts w:ascii="Calibri" w:eastAsia="Calibri" w:hAnsi="Calibri" w:cs="Calibri"/>
          <w:bCs/>
          <w:szCs w:val="22"/>
          <w:u w:val="single"/>
          <w:lang w:eastAsia="en-US"/>
        </w:rPr>
      </w:pPr>
    </w:p>
    <w:p w:rsidR="00ED1FEE" w:rsidRDefault="00ED1FEE" w:rsidP="00ED1FEE">
      <w:pPr>
        <w:rPr>
          <w:rFonts w:ascii="Calibri" w:eastAsia="Calibri" w:hAnsi="Calibri" w:cs="Calibri"/>
          <w:bCs/>
          <w:szCs w:val="22"/>
          <w:u w:val="single"/>
          <w:lang w:eastAsia="en-US"/>
        </w:rPr>
      </w:pPr>
      <w:r>
        <w:rPr>
          <w:rFonts w:ascii="Calibri" w:eastAsia="Calibri" w:hAnsi="Calibri" w:cs="Calibri"/>
          <w:bCs/>
          <w:szCs w:val="22"/>
          <w:u w:val="single"/>
          <w:lang w:eastAsia="en-US"/>
        </w:rPr>
        <w:t>Podmienky oprávnenosti:</w:t>
      </w:r>
    </w:p>
    <w:p w:rsidR="00ED1FEE" w:rsidRDefault="00ED1FEE" w:rsidP="00CE203B">
      <w:pPr>
        <w:numPr>
          <w:ilvl w:val="0"/>
          <w:numId w:val="273"/>
        </w:numPr>
        <w:rPr>
          <w:rFonts w:ascii="Calibri" w:hAnsi="Calibri" w:cs="Calibri"/>
          <w:szCs w:val="22"/>
          <w:lang w:eastAsia="en-US"/>
        </w:rPr>
      </w:pPr>
      <w:r>
        <w:rPr>
          <w:rFonts w:ascii="Calibri" w:hAnsi="Calibri" w:cs="Calibri"/>
          <w:szCs w:val="22"/>
          <w:lang w:eastAsia="en-US"/>
        </w:rPr>
        <w:t>na vybraných orných pôdach podniku na dieloch pôdnych blokov alebo časti pôdneho bloku  so svahovitosťou nad 7</w:t>
      </w:r>
      <w:r>
        <w:rPr>
          <w:rFonts w:ascii="Calibri" w:hAnsi="Calibri" w:cs="Calibri"/>
          <w:szCs w:val="22"/>
          <w:vertAlign w:val="superscript"/>
          <w:lang w:eastAsia="en-US"/>
        </w:rPr>
        <w:t xml:space="preserve">0 </w:t>
      </w:r>
      <w:r>
        <w:rPr>
          <w:rFonts w:ascii="Calibri" w:hAnsi="Calibri" w:cs="Calibri"/>
          <w:szCs w:val="22"/>
          <w:lang w:eastAsia="en-US"/>
        </w:rPr>
        <w:t>podľa stanovených podmienok. Oprávnenosť na podporu musí žiadateľ dokladovať stanoviskom /podkladom odbornej organizácie (NPPC/VUPOP)/  o vhodnosti realizácie podopatrenia na navrhovanom pôdnom bloku poľnohospodárskej pôdy.</w:t>
      </w:r>
    </w:p>
    <w:p w:rsidR="00ED1FEE" w:rsidRDefault="00ED1FEE" w:rsidP="00CE203B">
      <w:pPr>
        <w:numPr>
          <w:ilvl w:val="0"/>
          <w:numId w:val="273"/>
        </w:numPr>
        <w:rPr>
          <w:rFonts w:ascii="Calibri" w:hAnsi="Calibri" w:cs="Calibri"/>
          <w:szCs w:val="22"/>
          <w:lang w:eastAsia="en-US"/>
        </w:rPr>
      </w:pPr>
      <w:r>
        <w:rPr>
          <w:rFonts w:ascii="Calibri" w:hAnsi="Calibri" w:cs="Calibri"/>
          <w:szCs w:val="22"/>
          <w:lang w:eastAsia="en-US"/>
        </w:rPr>
        <w:t xml:space="preserve">vstúpiť do opatrenia minimálne s 3 ha poľnohospodárskej pôdy vedenej v LPIS </w:t>
      </w:r>
    </w:p>
    <w:p w:rsidR="00ED1FEE" w:rsidRDefault="00ED1FEE" w:rsidP="00ED1FEE">
      <w:pPr>
        <w:rPr>
          <w:rFonts w:ascii="Calibri" w:eastAsia="Calibri" w:hAnsi="Calibri" w:cs="Calibri"/>
          <w:szCs w:val="22"/>
          <w:lang w:eastAsia="en-US"/>
        </w:rPr>
      </w:pPr>
    </w:p>
    <w:p w:rsidR="00ED1FEE" w:rsidRDefault="00ED1FEE" w:rsidP="00ED1FEE">
      <w:pPr>
        <w:rPr>
          <w:rFonts w:ascii="Calibri" w:hAnsi="Calibri" w:cs="Calibri"/>
          <w:szCs w:val="22"/>
          <w:lang w:eastAsia="en-US"/>
        </w:rPr>
      </w:pPr>
      <w:r w:rsidRPr="00DD7895">
        <w:rPr>
          <w:rFonts w:ascii="Calibri" w:eastAsia="Calibri" w:hAnsi="Calibri" w:cs="Calibri"/>
          <w:szCs w:val="22"/>
          <w:u w:val="single"/>
          <w:lang w:eastAsia="en-US"/>
        </w:rPr>
        <w:t>Podmienky podpory</w:t>
      </w:r>
    </w:p>
    <w:p w:rsidR="00ED1FEE" w:rsidRPr="00DD7895" w:rsidRDefault="00ED1FEE" w:rsidP="00CE203B">
      <w:pPr>
        <w:pStyle w:val="Odsekzoznamu"/>
        <w:numPr>
          <w:ilvl w:val="0"/>
          <w:numId w:val="356"/>
        </w:numPr>
        <w:jc w:val="left"/>
        <w:rPr>
          <w:rFonts w:ascii="Calibri" w:hAnsi="Calibri" w:cs="Calibri"/>
          <w:szCs w:val="22"/>
          <w:lang w:eastAsia="en-US"/>
        </w:rPr>
      </w:pPr>
      <w:r w:rsidRPr="00797FF0">
        <w:rPr>
          <w:rFonts w:ascii="Calibri" w:hAnsi="Calibri" w:cs="Calibri"/>
          <w:szCs w:val="22"/>
          <w:lang w:eastAsia="en-US"/>
        </w:rPr>
        <w:t>rozdeliť užívanú výmeru dielu pôdneho bloku ornej pôdy na menšie časti vytvorením minimálne 10 metrov širokých  stabilizujúcich pásov, pričom  dva najbližšie stabilizujúce pásy môžu byť od seba vzdialené najviac 200 metrov po vrstevniciach,</w:t>
      </w:r>
    </w:p>
    <w:p w:rsidR="00ED1FEE" w:rsidRDefault="00ED1FEE" w:rsidP="00CE203B">
      <w:pPr>
        <w:numPr>
          <w:ilvl w:val="0"/>
          <w:numId w:val="356"/>
        </w:numPr>
        <w:contextualSpacing/>
        <w:rPr>
          <w:rFonts w:ascii="Calibri" w:hAnsi="Calibri" w:cs="Calibri"/>
          <w:szCs w:val="22"/>
          <w:lang w:eastAsia="en-US"/>
        </w:rPr>
      </w:pPr>
      <w:r>
        <w:rPr>
          <w:rFonts w:ascii="Calibri" w:hAnsi="Calibri" w:cs="Calibri"/>
          <w:szCs w:val="22"/>
          <w:lang w:eastAsia="en-US"/>
        </w:rPr>
        <w:t>obsiať založené pásy uznaným osivom ďatelinotráv, lucernotráv alebo trávami na semeno v stanovenom termíne,</w:t>
      </w:r>
    </w:p>
    <w:p w:rsidR="00ED1FEE" w:rsidRDefault="00ED1FEE" w:rsidP="00CE203B">
      <w:pPr>
        <w:numPr>
          <w:ilvl w:val="0"/>
          <w:numId w:val="356"/>
        </w:numPr>
        <w:contextualSpacing/>
        <w:rPr>
          <w:rFonts w:ascii="Calibri" w:hAnsi="Calibri" w:cs="Calibri"/>
          <w:szCs w:val="22"/>
          <w:lang w:eastAsia="en-US"/>
        </w:rPr>
      </w:pPr>
      <w:r>
        <w:rPr>
          <w:rFonts w:ascii="Calibri" w:hAnsi="Calibri" w:cs="Calibri"/>
          <w:szCs w:val="22"/>
          <w:lang w:eastAsia="en-US"/>
        </w:rPr>
        <w:t>pokosiť zatrávnenú plochu  minimálne 1 krát ročne a pokosenú hmotu odstraňovať, </w:t>
      </w:r>
    </w:p>
    <w:p w:rsidR="00ED1FEE" w:rsidRDefault="00ED1FEE" w:rsidP="00CE203B">
      <w:pPr>
        <w:numPr>
          <w:ilvl w:val="0"/>
          <w:numId w:val="356"/>
        </w:numPr>
        <w:contextualSpacing/>
        <w:rPr>
          <w:rFonts w:ascii="Calibri" w:hAnsi="Calibri" w:cs="Calibri"/>
          <w:szCs w:val="22"/>
          <w:lang w:eastAsia="en-US"/>
        </w:rPr>
      </w:pPr>
      <w:r>
        <w:rPr>
          <w:rFonts w:ascii="Calibri" w:hAnsi="Calibri" w:cs="Calibri"/>
          <w:szCs w:val="22"/>
          <w:lang w:eastAsia="en-US"/>
        </w:rPr>
        <w:t>zákaz aplikácie herbicídov na zatrávnených stabilizujúcich pásoch počas prvých dvoch rokov.</w:t>
      </w:r>
    </w:p>
    <w:p w:rsidR="00ED1FEE" w:rsidRDefault="00ED1FEE" w:rsidP="00CE203B">
      <w:pPr>
        <w:numPr>
          <w:ilvl w:val="0"/>
          <w:numId w:val="356"/>
        </w:numPr>
        <w:rPr>
          <w:rFonts w:ascii="Calibri" w:hAnsi="Calibri" w:cs="Calibri"/>
          <w:bCs/>
          <w:szCs w:val="22"/>
          <w:lang w:eastAsia="en-US"/>
        </w:rPr>
      </w:pPr>
      <w:r>
        <w:rPr>
          <w:rFonts w:ascii="Calibri" w:hAnsi="Calibri" w:cs="Calibri"/>
          <w:bCs/>
          <w:szCs w:val="22"/>
          <w:lang w:eastAsia="en-US"/>
        </w:rPr>
        <w:t>minimálna plocha  stabilizujúceho pásu oprávnená na podporu je 0,3 ha</w:t>
      </w:r>
    </w:p>
    <w:p w:rsidR="00ED1FEE" w:rsidRDefault="00ED1FEE" w:rsidP="00CE203B">
      <w:pPr>
        <w:numPr>
          <w:ilvl w:val="0"/>
          <w:numId w:val="356"/>
        </w:numPr>
        <w:tabs>
          <w:tab w:val="left" w:pos="7515"/>
        </w:tabs>
        <w:contextualSpacing/>
        <w:rPr>
          <w:rFonts w:ascii="Calibri" w:hAnsi="Calibri" w:cs="Calibri"/>
          <w:bCs/>
          <w:szCs w:val="22"/>
          <w:lang w:eastAsia="en-US"/>
        </w:rPr>
      </w:pPr>
      <w:r>
        <w:rPr>
          <w:rFonts w:ascii="Calibri" w:hAnsi="Calibri" w:cs="Calibri"/>
          <w:szCs w:val="22"/>
          <w:lang w:eastAsia="en-US"/>
        </w:rPr>
        <w:t>zrieknuť sa priamej aplikácie čistiarenského kalu a dnových sedimentov</w:t>
      </w:r>
    </w:p>
    <w:p w:rsidR="00ED1FEE" w:rsidRDefault="00ED1FEE" w:rsidP="00CE203B">
      <w:pPr>
        <w:numPr>
          <w:ilvl w:val="0"/>
          <w:numId w:val="356"/>
        </w:numPr>
        <w:tabs>
          <w:tab w:val="left" w:pos="7515"/>
        </w:tabs>
        <w:contextualSpacing/>
        <w:rPr>
          <w:rFonts w:ascii="Calibri" w:hAnsi="Calibri" w:cs="Calibri"/>
          <w:bCs/>
          <w:szCs w:val="22"/>
          <w:lang w:eastAsia="en-US"/>
        </w:rPr>
      </w:pPr>
      <w:r>
        <w:rPr>
          <w:rFonts w:ascii="Calibri" w:hAnsi="Calibri" w:cs="Calibri"/>
          <w:szCs w:val="22"/>
          <w:lang w:eastAsia="en-US"/>
        </w:rPr>
        <w:t>povinnosť absolvovať školiaci kurz k správne vykonávaným podmienkam opatrenia</w:t>
      </w:r>
    </w:p>
    <w:p w:rsidR="00ED1FEE" w:rsidRDefault="00ED1FEE" w:rsidP="00ED1FEE">
      <w:pPr>
        <w:rPr>
          <w:rFonts w:ascii="Calibri" w:eastAsia="Calibri" w:hAnsi="Calibri" w:cs="Calibri"/>
          <w:szCs w:val="22"/>
          <w:lang w:eastAsia="en-US"/>
        </w:rPr>
      </w:pPr>
    </w:p>
    <w:p w:rsidR="00ED1FEE" w:rsidRDefault="00ED1FEE" w:rsidP="00ED1FEE">
      <w:pPr>
        <w:rPr>
          <w:rFonts w:ascii="Calibri" w:eastAsia="Calibri" w:hAnsi="Calibri" w:cs="Calibri"/>
          <w:szCs w:val="22"/>
          <w:u w:val="single"/>
          <w:lang w:eastAsia="en-US"/>
        </w:rPr>
      </w:pPr>
      <w:r>
        <w:rPr>
          <w:rFonts w:ascii="Calibri" w:eastAsia="Calibri" w:hAnsi="Calibri" w:cs="Calibri"/>
          <w:szCs w:val="22"/>
          <w:u w:val="single"/>
          <w:lang w:eastAsia="en-US"/>
        </w:rPr>
        <w:t>Princípy nastavenia výberových kritérií:</w:t>
      </w:r>
    </w:p>
    <w:p w:rsidR="00ED1FEE" w:rsidRDefault="00ED1FEE" w:rsidP="00CE203B">
      <w:pPr>
        <w:numPr>
          <w:ilvl w:val="0"/>
          <w:numId w:val="353"/>
        </w:numPr>
        <w:rPr>
          <w:rFonts w:ascii="Calibri" w:hAnsi="Calibri" w:cs="Calibri"/>
          <w:szCs w:val="22"/>
          <w:lang w:eastAsia="en-US"/>
        </w:rPr>
      </w:pPr>
      <w:r>
        <w:rPr>
          <w:rFonts w:ascii="Calibri" w:hAnsi="Calibri" w:cs="Calibri"/>
          <w:szCs w:val="22"/>
          <w:lang w:eastAsia="en-US"/>
        </w:rPr>
        <w:t>svahovitosť zaradenej ornej pôdy  v zostupnej tendencii;</w:t>
      </w:r>
    </w:p>
    <w:p w:rsidR="00ED1FEE" w:rsidRDefault="00ED1FEE" w:rsidP="00CE203B">
      <w:pPr>
        <w:numPr>
          <w:ilvl w:val="0"/>
          <w:numId w:val="353"/>
        </w:numPr>
        <w:rPr>
          <w:rFonts w:ascii="Calibri" w:hAnsi="Calibri" w:cs="Calibri"/>
          <w:szCs w:val="22"/>
          <w:lang w:eastAsia="en-US"/>
        </w:rPr>
      </w:pPr>
      <w:r>
        <w:rPr>
          <w:rFonts w:ascii="Calibri" w:hAnsi="Calibri" w:cs="Calibri"/>
          <w:szCs w:val="22"/>
          <w:lang w:eastAsia="en-US"/>
        </w:rPr>
        <w:t>výmera zaradenej ornej pôdy  v zostupnej tendencii;</w:t>
      </w:r>
    </w:p>
    <w:p w:rsidR="00ED1FEE" w:rsidRDefault="00ED1FEE" w:rsidP="00CE203B">
      <w:pPr>
        <w:numPr>
          <w:ilvl w:val="0"/>
          <w:numId w:val="353"/>
        </w:numPr>
        <w:rPr>
          <w:rFonts w:ascii="Calibri" w:hAnsi="Calibri" w:cs="Calibri"/>
          <w:szCs w:val="22"/>
          <w:lang w:eastAsia="en-US"/>
        </w:rPr>
      </w:pPr>
      <w:r>
        <w:rPr>
          <w:rFonts w:ascii="Calibri" w:hAnsi="Calibri" w:cs="Calibri"/>
          <w:szCs w:val="22"/>
          <w:lang w:eastAsia="en-US"/>
        </w:rPr>
        <w:t>kategória erodovateľnosti zaradenej ornej pôdy v zostupnej tendencii (VÚPOP).</w:t>
      </w:r>
    </w:p>
    <w:p w:rsidR="00ED1FEE" w:rsidRDefault="00ED1FEE" w:rsidP="00ED1FEE">
      <w:pPr>
        <w:rPr>
          <w:rFonts w:ascii="Calibri" w:hAnsi="Calibri"/>
          <w:szCs w:val="22"/>
          <w:u w:val="single"/>
          <w:lang w:eastAsia="en-GB"/>
        </w:rPr>
      </w:pPr>
    </w:p>
    <w:p w:rsidR="00ED1FEE" w:rsidRDefault="00ED1FEE" w:rsidP="00ED1FEE">
      <w:pPr>
        <w:rPr>
          <w:rFonts w:ascii="Calibri" w:hAnsi="Calibri"/>
          <w:szCs w:val="22"/>
          <w:u w:val="single"/>
          <w:lang w:eastAsia="en-GB"/>
        </w:rPr>
      </w:pPr>
      <w:r>
        <w:rPr>
          <w:rFonts w:ascii="Calibri" w:hAnsi="Calibri"/>
          <w:szCs w:val="22"/>
          <w:u w:val="single"/>
          <w:lang w:eastAsia="en-GB"/>
        </w:rPr>
        <w:t>Výška a miera podpory:</w:t>
      </w:r>
    </w:p>
    <w:p w:rsidR="00ED1FEE" w:rsidRDefault="00ED1FEE" w:rsidP="00ED1FEE">
      <w:pPr>
        <w:rPr>
          <w:rFonts w:ascii="Calibri" w:eastAsia="Calibri" w:hAnsi="Calibri" w:cs="Calibri"/>
          <w:szCs w:val="22"/>
          <w:lang w:eastAsia="en-US"/>
        </w:rPr>
      </w:pPr>
      <w:r>
        <w:rPr>
          <w:rFonts w:ascii="Calibri" w:eastAsia="Calibri" w:hAnsi="Calibri" w:cs="Calibri"/>
          <w:szCs w:val="22"/>
          <w:lang w:eastAsia="en-US"/>
        </w:rPr>
        <w:t>Výška podpory:         50 €/ha ornej pôdy chránenej protieróznymi pásmi (vrátane plochy pásov).</w:t>
      </w:r>
    </w:p>
    <w:p w:rsidR="00095683" w:rsidRDefault="00095683">
      <w:pPr>
        <w:jc w:val="left"/>
        <w:rPr>
          <w:rFonts w:ascii="Calibri" w:eastAsia="Calibri" w:hAnsi="Calibri"/>
          <w:iCs/>
          <w:noProof/>
          <w:szCs w:val="22"/>
          <w:lang w:eastAsia="en-US"/>
        </w:rPr>
      </w:pPr>
      <w:r>
        <w:rPr>
          <w:rFonts w:ascii="Calibri" w:eastAsia="Calibri" w:hAnsi="Calibri"/>
          <w:iCs/>
          <w:noProof/>
          <w:szCs w:val="22"/>
          <w:lang w:eastAsia="en-US"/>
        </w:rPr>
        <w:br w:type="page"/>
      </w:r>
    </w:p>
    <w:p w:rsidR="00ED1FEE" w:rsidRDefault="00ED1FEE" w:rsidP="00ED1FEE">
      <w:pPr>
        <w:shd w:val="clear" w:color="auto" w:fill="FBD4B4"/>
        <w:rPr>
          <w:rFonts w:ascii="Calibri" w:eastAsia="Calibri" w:hAnsi="Calibri" w:cs="Calibri"/>
          <w:bCs/>
          <w:szCs w:val="22"/>
          <w:lang w:eastAsia="en-US"/>
        </w:rPr>
      </w:pPr>
      <w:bookmarkStart w:id="93" w:name="_Toc369609061"/>
      <w:bookmarkEnd w:id="93"/>
      <w:r>
        <w:rPr>
          <w:rFonts w:ascii="Calibri" w:eastAsia="Calibri" w:hAnsi="Calibri" w:cs="Calibri"/>
          <w:bCs/>
          <w:szCs w:val="22"/>
          <w:u w:val="single"/>
          <w:lang w:eastAsia="en-US"/>
        </w:rPr>
        <w:t>Názov operácie:</w:t>
      </w:r>
      <w:r>
        <w:rPr>
          <w:rFonts w:ascii="Calibri" w:eastAsia="Calibri" w:hAnsi="Calibri" w:cs="Calibri"/>
          <w:bCs/>
          <w:szCs w:val="22"/>
          <w:lang w:eastAsia="en-US"/>
        </w:rPr>
        <w:t xml:space="preserve"> </w:t>
      </w:r>
    </w:p>
    <w:p w:rsidR="00ED1FEE" w:rsidRDefault="00ED1FEE" w:rsidP="00ED1FEE">
      <w:pPr>
        <w:shd w:val="clear" w:color="auto" w:fill="FBD4B4"/>
        <w:rPr>
          <w:rFonts w:ascii="Calibri" w:eastAsia="Calibri" w:hAnsi="Calibri" w:cs="Calibri"/>
          <w:bCs/>
          <w:i/>
          <w:szCs w:val="22"/>
          <w:lang w:eastAsia="en-US"/>
        </w:rPr>
      </w:pPr>
      <w:r>
        <w:rPr>
          <w:rFonts w:ascii="Calibri" w:eastAsia="Calibri" w:hAnsi="Calibri" w:cs="Calibri"/>
          <w:bCs/>
          <w:i/>
          <w:szCs w:val="22"/>
          <w:lang w:eastAsia="en-US"/>
        </w:rPr>
        <w:t>Ochrana biotopov poloprírodných a prírodných trávnych porastov</w:t>
      </w:r>
    </w:p>
    <w:p w:rsidR="00ED1FEE" w:rsidRDefault="00ED1FEE" w:rsidP="00ED1FEE">
      <w:pPr>
        <w:rPr>
          <w:rFonts w:ascii="Calibri" w:eastAsia="Calibri" w:hAnsi="Calibri" w:cs="Calibri"/>
          <w:szCs w:val="22"/>
          <w:u w:val="single"/>
          <w:lang w:eastAsia="en-US"/>
        </w:rPr>
      </w:pPr>
    </w:p>
    <w:p w:rsidR="00ED1FEE" w:rsidRDefault="00ED1FEE" w:rsidP="00ED1FEE">
      <w:pPr>
        <w:rPr>
          <w:rFonts w:ascii="Calibri" w:eastAsia="Calibri" w:hAnsi="Calibri" w:cs="Calibri"/>
          <w:szCs w:val="22"/>
          <w:u w:val="single"/>
          <w:lang w:eastAsia="en-US"/>
        </w:rPr>
      </w:pPr>
      <w:r>
        <w:rPr>
          <w:rFonts w:ascii="Calibri" w:eastAsia="Calibri" w:hAnsi="Calibri" w:cs="Calibri"/>
          <w:szCs w:val="22"/>
          <w:u w:val="single"/>
          <w:lang w:eastAsia="en-US"/>
        </w:rPr>
        <w:t>Opis opatrenia:</w:t>
      </w:r>
    </w:p>
    <w:p w:rsidR="00ED1FEE" w:rsidRDefault="00ED1FEE" w:rsidP="00ED1FEE">
      <w:pPr>
        <w:rPr>
          <w:rFonts w:ascii="Calibri" w:eastAsia="Calibri" w:hAnsi="Calibri" w:cs="Calibri"/>
          <w:szCs w:val="22"/>
          <w:lang w:eastAsia="en-US"/>
        </w:rPr>
      </w:pPr>
      <w:r>
        <w:rPr>
          <w:rFonts w:ascii="Calibri" w:eastAsia="Calibri" w:hAnsi="Calibri" w:cs="Calibri"/>
          <w:szCs w:val="22"/>
          <w:lang w:eastAsia="en-US"/>
        </w:rPr>
        <w:t xml:space="preserve">Obhospodarovanie vybratých plôch 7 typov poloprírodných a prírodných trávnych porastov má za cieľ prispieť k zachovaniu biodiverzity, hlavne v územiach európskeho významu  a územiach s vysokou prírodnou hodnotou. Operácia tiež prispieva k zvyšovaniu biologickej rôznorodosti a ekologickej stabilite krajiny. Trávne porasty sú rozdelené do siedmich kategórií podľa príslušných biotopov.  </w:t>
      </w:r>
      <w:r>
        <w:rPr>
          <w:rFonts w:ascii="Calibri" w:eastAsia="Calibri" w:hAnsi="Calibri" w:cs="Calibri"/>
          <w:iCs/>
          <w:szCs w:val="22"/>
          <w:lang w:eastAsia="en-US"/>
        </w:rPr>
        <w:t>Medzi poloprírodné a prírodné trvalé trávne porasty patria druhy podľa databázy trávnych porastov patria typy:</w:t>
      </w:r>
    </w:p>
    <w:p w:rsidR="00ED1FEE" w:rsidRDefault="00ED1FEE" w:rsidP="00ED1FEE">
      <w:pPr>
        <w:rPr>
          <w:rFonts w:ascii="Calibri" w:eastAsia="Calibri" w:hAnsi="Calibri" w:cs="Calibri"/>
          <w:szCs w:val="22"/>
          <w:lang w:eastAsia="en-US"/>
        </w:rPr>
      </w:pPr>
      <w:r>
        <w:rPr>
          <w:rFonts w:ascii="Calibri" w:eastAsia="Calibri" w:hAnsi="Calibri" w:cs="Calibri"/>
          <w:i/>
          <w:iCs/>
          <w:szCs w:val="22"/>
          <w:lang w:eastAsia="en-US"/>
        </w:rPr>
        <w:t>A: Teplo a suchomilné trvalé trávne porasty (Tr1, Tr2, Tr3, Tr4, Tr5)</w:t>
      </w:r>
    </w:p>
    <w:p w:rsidR="00ED1FEE" w:rsidRDefault="00ED1FEE" w:rsidP="00ED1FEE">
      <w:pPr>
        <w:rPr>
          <w:rFonts w:ascii="Calibri" w:eastAsia="Calibri" w:hAnsi="Calibri" w:cs="Calibri"/>
          <w:i/>
          <w:iCs/>
          <w:szCs w:val="22"/>
          <w:lang w:eastAsia="en-US"/>
        </w:rPr>
      </w:pPr>
      <w:r>
        <w:rPr>
          <w:rFonts w:ascii="Calibri" w:eastAsia="Calibri" w:hAnsi="Calibri" w:cs="Calibri"/>
          <w:i/>
          <w:iCs/>
          <w:szCs w:val="22"/>
          <w:lang w:eastAsia="en-US"/>
        </w:rPr>
        <w:t>B: Mezofilné trvalé trávne porasty (Lk1, Lk3, Tr8b)</w:t>
      </w:r>
    </w:p>
    <w:p w:rsidR="00ED1FEE" w:rsidRDefault="00ED1FEE" w:rsidP="00ED1FEE">
      <w:pPr>
        <w:rPr>
          <w:rFonts w:ascii="Calibri" w:eastAsia="Calibri" w:hAnsi="Calibri" w:cs="Calibri"/>
          <w:i/>
          <w:iCs/>
          <w:szCs w:val="22"/>
          <w:lang w:eastAsia="en-US"/>
        </w:rPr>
      </w:pPr>
      <w:r>
        <w:rPr>
          <w:rFonts w:ascii="Calibri" w:eastAsia="Calibri" w:hAnsi="Calibri" w:cs="Calibri"/>
          <w:i/>
          <w:iCs/>
          <w:szCs w:val="22"/>
          <w:lang w:eastAsia="en-US"/>
        </w:rPr>
        <w:t>C: Horské kosné lúky (Lk2)</w:t>
      </w:r>
    </w:p>
    <w:p w:rsidR="00ED1FEE" w:rsidRDefault="00ED1FEE" w:rsidP="00ED1FEE">
      <w:pPr>
        <w:rPr>
          <w:rFonts w:ascii="Calibri" w:eastAsia="Calibri" w:hAnsi="Calibri" w:cs="Calibri"/>
          <w:i/>
          <w:iCs/>
          <w:szCs w:val="22"/>
          <w:lang w:eastAsia="en-US"/>
        </w:rPr>
      </w:pPr>
      <w:r>
        <w:rPr>
          <w:rFonts w:ascii="Calibri" w:eastAsia="Calibri" w:hAnsi="Calibri" w:cs="Calibri"/>
          <w:i/>
          <w:iCs/>
          <w:szCs w:val="22"/>
          <w:lang w:eastAsia="en-US"/>
        </w:rPr>
        <w:t>D: Vlhkomilné porasty nižších plôch (Lk7, Lk9, Lk10, Lk11, Sl1, Sl3, Sl4)</w:t>
      </w:r>
    </w:p>
    <w:p w:rsidR="00ED1FEE" w:rsidRDefault="00ED1FEE" w:rsidP="00ED1FEE">
      <w:pPr>
        <w:rPr>
          <w:rFonts w:ascii="Calibri" w:eastAsia="Calibri" w:hAnsi="Calibri" w:cs="Calibri"/>
          <w:i/>
          <w:iCs/>
          <w:szCs w:val="22"/>
          <w:lang w:eastAsia="en-US"/>
        </w:rPr>
      </w:pPr>
      <w:r>
        <w:rPr>
          <w:rFonts w:ascii="Calibri" w:eastAsia="Calibri" w:hAnsi="Calibri" w:cs="Calibri"/>
          <w:i/>
          <w:iCs/>
          <w:szCs w:val="22"/>
          <w:lang w:eastAsia="en-US"/>
        </w:rPr>
        <w:t>E: Nížinné aluviálne lúky (Lk8)</w:t>
      </w:r>
    </w:p>
    <w:p w:rsidR="00ED1FEE" w:rsidRDefault="00ED1FEE" w:rsidP="00ED1FEE">
      <w:pPr>
        <w:rPr>
          <w:rFonts w:ascii="Calibri" w:eastAsia="Calibri" w:hAnsi="Calibri" w:cs="Calibri"/>
          <w:i/>
          <w:iCs/>
          <w:szCs w:val="22"/>
          <w:lang w:eastAsia="en-US"/>
        </w:rPr>
      </w:pPr>
      <w:r>
        <w:rPr>
          <w:rFonts w:ascii="Calibri" w:eastAsia="Calibri" w:hAnsi="Calibri" w:cs="Calibri"/>
          <w:i/>
          <w:iCs/>
          <w:szCs w:val="22"/>
          <w:lang w:eastAsia="en-US"/>
        </w:rPr>
        <w:t xml:space="preserve">F: Vlhkomilné porasty vyšších polôh, slatinné a bezkolencové lúky (Lk4, Lk5, Lk6, Ra3, Ra5, </w:t>
      </w:r>
    </w:p>
    <w:p w:rsidR="00ED1FEE" w:rsidRDefault="00ED1FEE" w:rsidP="00ED1FEE">
      <w:pPr>
        <w:rPr>
          <w:rFonts w:ascii="Calibri" w:eastAsia="Calibri" w:hAnsi="Calibri" w:cs="Calibri"/>
          <w:i/>
          <w:iCs/>
          <w:szCs w:val="22"/>
          <w:lang w:eastAsia="en-US"/>
        </w:rPr>
      </w:pPr>
      <w:r>
        <w:rPr>
          <w:rFonts w:ascii="Calibri" w:eastAsia="Calibri" w:hAnsi="Calibri" w:cs="Calibri"/>
          <w:i/>
          <w:iCs/>
          <w:szCs w:val="22"/>
          <w:lang w:eastAsia="en-US"/>
        </w:rPr>
        <w:t xml:space="preserve">     Ra6, Ra7, Sl2)</w:t>
      </w:r>
    </w:p>
    <w:p w:rsidR="00ED1FEE" w:rsidRDefault="00ED1FEE" w:rsidP="00ED1FEE">
      <w:pPr>
        <w:rPr>
          <w:rFonts w:ascii="Calibri" w:eastAsia="Calibri" w:hAnsi="Calibri" w:cs="Calibri"/>
          <w:i/>
          <w:iCs/>
          <w:szCs w:val="22"/>
          <w:lang w:eastAsia="en-US"/>
        </w:rPr>
      </w:pPr>
      <w:r>
        <w:rPr>
          <w:rFonts w:ascii="Calibri" w:eastAsia="Calibri" w:hAnsi="Calibri" w:cs="Calibri"/>
          <w:i/>
          <w:iCs/>
          <w:szCs w:val="22"/>
          <w:lang w:eastAsia="en-US"/>
        </w:rPr>
        <w:t>G: Vysokohorské trávne porasty (Tr8a, Al1, Al3, Al6, Al8)</w:t>
      </w:r>
    </w:p>
    <w:p w:rsidR="00ED1FEE" w:rsidRDefault="00ED1FEE" w:rsidP="00ED1FEE">
      <w:pPr>
        <w:rPr>
          <w:rFonts w:ascii="Calibri" w:eastAsia="Calibri" w:hAnsi="Calibri" w:cs="Calibri"/>
          <w:iCs/>
          <w:szCs w:val="22"/>
          <w:lang w:eastAsia="en-US"/>
        </w:rPr>
      </w:pPr>
    </w:p>
    <w:p w:rsidR="00ED1FEE" w:rsidRDefault="00ED1FEE" w:rsidP="00ED1FEE">
      <w:pPr>
        <w:rPr>
          <w:rFonts w:ascii="Calibri" w:eastAsia="Calibri" w:hAnsi="Calibri" w:cs="Calibri"/>
          <w:szCs w:val="22"/>
          <w:lang w:eastAsia="en-US"/>
        </w:rPr>
      </w:pPr>
      <w:r>
        <w:rPr>
          <w:rFonts w:ascii="Calibri" w:eastAsia="Calibri" w:hAnsi="Calibri" w:cs="Calibri"/>
          <w:iCs/>
          <w:szCs w:val="22"/>
          <w:lang w:eastAsia="en-US"/>
        </w:rPr>
        <w:t xml:space="preserve">Databázu vedie a udržiava správca LPIS z podkladov </w:t>
      </w:r>
      <w:r>
        <w:rPr>
          <w:rFonts w:ascii="Calibri" w:eastAsia="Calibri" w:hAnsi="Calibri" w:cs="Calibri"/>
          <w:i/>
          <w:iCs/>
          <w:szCs w:val="22"/>
          <w:lang w:eastAsia="en-US"/>
        </w:rPr>
        <w:t>Štátnej ochrany prírody</w:t>
      </w:r>
      <w:r>
        <w:rPr>
          <w:rFonts w:ascii="Calibri" w:eastAsia="Calibri" w:hAnsi="Calibri" w:cs="Calibri"/>
          <w:iCs/>
          <w:szCs w:val="22"/>
          <w:lang w:eastAsia="en-US"/>
        </w:rPr>
        <w:t xml:space="preserve">. </w:t>
      </w:r>
      <w:r>
        <w:rPr>
          <w:rFonts w:ascii="Calibri" w:eastAsia="Calibri" w:hAnsi="Calibri" w:cs="Calibri"/>
          <w:szCs w:val="22"/>
          <w:lang w:eastAsia="en-US"/>
        </w:rPr>
        <w:t xml:space="preserve">Každá kategória má stanovený spôsob a podmienky obhospodarovania na ich ochranu a udržanie v oblasti  obmedzenej aplikácie hnojív a neaplikovaním prípravkov na ochranu rastlín,   v oblasti spôsobu kosenia  podľa typu tráv a počtu kosieb, podmienok pasenia a prípustného zaťaženia zvieratami na trávnych porastoch, možnosti košarovania a oplôtkového pasenia. Na plochách biotopov  je možné realizovať prísevy len rovnakým druhom tráv a zakázané je  diskovanie alebo orba a  odvodňovacie opatrenia. Vzdelávanie v danej oblasti je povinné. Stanovené podmienky pre operáciu sú nad rámec povinných podmienok a príjemcovia sú povinní ich dodržiavať počas celého 5 ročného záväzkového obdobia. </w:t>
      </w:r>
    </w:p>
    <w:p w:rsidR="00ED1FEE" w:rsidRDefault="00ED1FEE" w:rsidP="00ED1FEE">
      <w:pPr>
        <w:rPr>
          <w:rFonts w:ascii="Calibri" w:eastAsia="Calibri" w:hAnsi="Calibri"/>
          <w:noProof/>
          <w:szCs w:val="22"/>
          <w:u w:val="single"/>
          <w:lang w:eastAsia="en-GB"/>
        </w:rPr>
      </w:pPr>
    </w:p>
    <w:p w:rsidR="00ED1FEE" w:rsidRDefault="00ED1FEE" w:rsidP="00ED1FEE">
      <w:pPr>
        <w:rPr>
          <w:rFonts w:ascii="Calibri" w:eastAsia="Calibri" w:hAnsi="Calibri" w:cs="Calibri"/>
          <w:szCs w:val="22"/>
          <w:lang w:eastAsia="en-US"/>
        </w:rPr>
      </w:pPr>
      <w:r>
        <w:rPr>
          <w:rFonts w:ascii="Calibri" w:eastAsia="Calibri" w:hAnsi="Calibri"/>
          <w:noProof/>
          <w:szCs w:val="22"/>
          <w:u w:val="single"/>
          <w:lang w:eastAsia="en-GB"/>
        </w:rPr>
        <w:t>Typ podpory</w:t>
      </w:r>
      <w:r>
        <w:rPr>
          <w:rFonts w:ascii="Calibri" w:eastAsia="Calibri" w:hAnsi="Calibri"/>
          <w:noProof/>
          <w:szCs w:val="22"/>
          <w:lang w:eastAsia="en-GB"/>
        </w:rPr>
        <w:t>:</w:t>
      </w:r>
    </w:p>
    <w:p w:rsidR="00ED1FEE" w:rsidRDefault="00ED1FEE" w:rsidP="00ED1FEE">
      <w:pPr>
        <w:rPr>
          <w:rFonts w:ascii="Calibri" w:eastAsia="Calibri" w:hAnsi="Calibri"/>
          <w:szCs w:val="22"/>
          <w:lang w:eastAsia="en-US"/>
        </w:rPr>
      </w:pPr>
      <w:r>
        <w:rPr>
          <w:rFonts w:ascii="Calibri" w:eastAsia="Calibri" w:hAnsi="Calibri"/>
          <w:szCs w:val="22"/>
          <w:lang w:eastAsia="en-US"/>
        </w:rPr>
        <w:t>Nezisková ročná platba na hektár biotopu trávneho porastu.</w:t>
      </w:r>
    </w:p>
    <w:p w:rsidR="00ED1FEE" w:rsidRDefault="00ED1FEE" w:rsidP="00ED1FEE">
      <w:pPr>
        <w:rPr>
          <w:rFonts w:ascii="Calibri" w:eastAsia="Calibri" w:hAnsi="Calibri"/>
          <w:noProof/>
          <w:szCs w:val="22"/>
          <w:u w:val="single"/>
          <w:lang w:eastAsia="en-GB"/>
        </w:rPr>
      </w:pPr>
    </w:p>
    <w:p w:rsidR="00ED1FEE" w:rsidRDefault="00ED1FEE" w:rsidP="00ED1FEE">
      <w:pPr>
        <w:rPr>
          <w:rFonts w:ascii="Calibri" w:eastAsia="Calibri" w:hAnsi="Calibri" w:cs="Calibri"/>
          <w:bCs/>
          <w:szCs w:val="22"/>
          <w:u w:val="single"/>
          <w:lang w:eastAsia="en-US"/>
        </w:rPr>
      </w:pPr>
      <w:r>
        <w:rPr>
          <w:rFonts w:ascii="Calibri" w:eastAsia="Calibri" w:hAnsi="Calibri" w:cs="Calibri"/>
          <w:bCs/>
          <w:szCs w:val="22"/>
          <w:u w:val="single"/>
          <w:lang w:eastAsia="en-US"/>
        </w:rPr>
        <w:t>Súvislosť s inou legislatívou:</w:t>
      </w:r>
    </w:p>
    <w:p w:rsidR="00ED1FEE" w:rsidRDefault="00ED1FEE" w:rsidP="00955DA4">
      <w:pPr>
        <w:numPr>
          <w:ilvl w:val="0"/>
          <w:numId w:val="200"/>
        </w:numPr>
        <w:rPr>
          <w:rFonts w:ascii="Calibri" w:hAnsi="Calibri" w:cs="EUAlbertina"/>
          <w:bCs/>
          <w:szCs w:val="22"/>
        </w:rPr>
      </w:pPr>
      <w:r>
        <w:rPr>
          <w:rFonts w:ascii="Calibri" w:hAnsi="Calibri"/>
          <w:szCs w:val="22"/>
        </w:rPr>
        <w:t xml:space="preserve">nariadenie (EÚ) č. 1306/2013 </w:t>
      </w:r>
      <w:r>
        <w:rPr>
          <w:rFonts w:ascii="Calibri" w:hAnsi="Calibri" w:cs="EUAlbertina"/>
          <w:bCs/>
          <w:szCs w:val="22"/>
        </w:rPr>
        <w:t>o financovaní, riadení a monitorovaní spoločnej poľnohospodárskej politiky;</w:t>
      </w:r>
    </w:p>
    <w:p w:rsidR="00ED1FEE" w:rsidRDefault="00ED1FEE" w:rsidP="00955DA4">
      <w:pPr>
        <w:numPr>
          <w:ilvl w:val="0"/>
          <w:numId w:val="200"/>
        </w:numPr>
        <w:rPr>
          <w:rFonts w:ascii="Calibri" w:hAnsi="Calibri" w:cs="EUAlbertina"/>
          <w:bCs/>
          <w:szCs w:val="22"/>
        </w:rPr>
      </w:pPr>
      <w:r>
        <w:rPr>
          <w:rFonts w:ascii="Calibri" w:hAnsi="Calibri" w:cs="EUAlbertina"/>
          <w:bCs/>
          <w:szCs w:val="22"/>
        </w:rPr>
        <w:t>nariadenie (EÚ) 1307/2013.</w:t>
      </w:r>
    </w:p>
    <w:p w:rsidR="00ED1FEE" w:rsidRDefault="00ED1FEE" w:rsidP="00ED1FEE">
      <w:pPr>
        <w:rPr>
          <w:rFonts w:ascii="Calibri" w:eastAsia="Calibri" w:hAnsi="Calibri" w:cs="Calibri"/>
          <w:bCs/>
          <w:szCs w:val="22"/>
          <w:u w:val="single"/>
          <w:lang w:eastAsia="en-US"/>
        </w:rPr>
      </w:pPr>
    </w:p>
    <w:p w:rsidR="00ED1FEE" w:rsidRDefault="00ED1FEE" w:rsidP="00ED1FEE">
      <w:pPr>
        <w:rPr>
          <w:rFonts w:ascii="Calibri" w:eastAsia="Calibri" w:hAnsi="Calibri" w:cs="Calibri"/>
          <w:bCs/>
          <w:szCs w:val="22"/>
          <w:lang w:eastAsia="en-US"/>
        </w:rPr>
      </w:pPr>
      <w:r>
        <w:rPr>
          <w:rFonts w:ascii="Calibri" w:eastAsia="Calibri" w:hAnsi="Calibri" w:cs="Calibri"/>
          <w:bCs/>
          <w:szCs w:val="22"/>
          <w:u w:val="single"/>
          <w:lang w:eastAsia="en-US"/>
        </w:rPr>
        <w:t>Prijímateľ podpory:</w:t>
      </w:r>
    </w:p>
    <w:p w:rsidR="00ED1FEE" w:rsidRDefault="00ED1FEE" w:rsidP="00ED1FEE">
      <w:pPr>
        <w:rPr>
          <w:rFonts w:ascii="Calibri" w:eastAsia="Calibri" w:hAnsi="Calibri" w:cs="Calibri"/>
          <w:bCs/>
          <w:szCs w:val="22"/>
          <w:lang w:eastAsia="en-US"/>
        </w:rPr>
      </w:pPr>
      <w:r>
        <w:rPr>
          <w:rFonts w:ascii="Calibri" w:eastAsia="Calibri" w:hAnsi="Calibri"/>
          <w:noProof/>
          <w:szCs w:val="22"/>
          <w:lang w:eastAsia="en-US"/>
        </w:rPr>
        <w:t>Fyzické a právnické osoby podnikajúce v poľnohospodárskej prvovýrobe spĺňajúce definíciu aktívneho farmára podľa čl. 9 nariadenia (EÚ) č. 1307/2013.</w:t>
      </w:r>
    </w:p>
    <w:p w:rsidR="00ED1FEE" w:rsidRDefault="00ED1FEE" w:rsidP="00ED1FEE">
      <w:pPr>
        <w:rPr>
          <w:rFonts w:ascii="Calibri" w:eastAsia="Calibri" w:hAnsi="Calibri" w:cs="Calibri"/>
          <w:bCs/>
          <w:szCs w:val="22"/>
          <w:lang w:eastAsia="en-US"/>
        </w:rPr>
      </w:pPr>
    </w:p>
    <w:p w:rsidR="00ED1FEE" w:rsidRDefault="00ED1FEE" w:rsidP="00ED1FEE">
      <w:pPr>
        <w:rPr>
          <w:rFonts w:ascii="Calibri" w:eastAsia="Calibri" w:hAnsi="Calibri" w:cs="Calibri"/>
          <w:bCs/>
          <w:szCs w:val="22"/>
          <w:u w:val="single"/>
          <w:lang w:eastAsia="en-US"/>
        </w:rPr>
      </w:pPr>
      <w:r>
        <w:rPr>
          <w:rFonts w:ascii="Calibri" w:eastAsia="Calibri" w:hAnsi="Calibri" w:cs="Calibri"/>
          <w:bCs/>
          <w:szCs w:val="22"/>
          <w:u w:val="single"/>
          <w:lang w:eastAsia="en-US"/>
        </w:rPr>
        <w:t>Oprávnené náklady:</w:t>
      </w:r>
    </w:p>
    <w:p w:rsidR="00ED1FEE" w:rsidRDefault="00ED1FEE" w:rsidP="00ED1FEE">
      <w:pPr>
        <w:rPr>
          <w:rFonts w:ascii="Calibri" w:eastAsia="Calibri" w:hAnsi="Calibri" w:cs="Calibri"/>
          <w:bCs/>
          <w:szCs w:val="22"/>
          <w:lang w:eastAsia="en-US"/>
        </w:rPr>
      </w:pPr>
      <w:r>
        <w:rPr>
          <w:rFonts w:ascii="Calibri" w:eastAsia="Calibri" w:hAnsi="Calibri" w:cs="Calibri"/>
          <w:bCs/>
          <w:szCs w:val="22"/>
          <w:lang w:eastAsia="en-US"/>
        </w:rPr>
        <w:t>Oprávnené sú náklady, ktoré sú stanovené nad rámec  všetkých povinných podmienok a kompenzujú stratu príjmov zo zníženia úrod trávnych porastov, zníženia výnosov v dôsledku vylúčenia priemyselných hnojív, hnojovice a chemických prostriedkov. Tiež sa zohľadňuje zvýšená prácnosť na kosbu, smer aj  opakovanosť kosby, a zvýšené prevádzkové náklady na pastvu pod dozorom pastiera.</w:t>
      </w:r>
    </w:p>
    <w:p w:rsidR="00ED1FEE" w:rsidRDefault="00ED1FEE" w:rsidP="00ED1FEE">
      <w:pPr>
        <w:tabs>
          <w:tab w:val="left" w:pos="900"/>
          <w:tab w:val="decimal" w:pos="9000"/>
        </w:tabs>
        <w:overflowPunct w:val="0"/>
        <w:autoSpaceDE w:val="0"/>
        <w:autoSpaceDN w:val="0"/>
        <w:adjustRightInd w:val="0"/>
        <w:textAlignment w:val="baseline"/>
        <w:rPr>
          <w:rFonts w:ascii="Calibri" w:eastAsia="MinionPro-Regular" w:hAnsi="Calibri"/>
          <w:szCs w:val="22"/>
          <w:lang w:eastAsia="en-GB"/>
        </w:rPr>
      </w:pPr>
    </w:p>
    <w:p w:rsidR="00ED1FEE" w:rsidRDefault="00ED1FEE" w:rsidP="00ED1FEE">
      <w:pPr>
        <w:rPr>
          <w:rFonts w:ascii="Calibri" w:eastAsia="Calibri" w:hAnsi="Calibri" w:cs="Calibri"/>
          <w:bCs/>
          <w:szCs w:val="22"/>
          <w:u w:val="single"/>
          <w:lang w:eastAsia="en-US"/>
        </w:rPr>
      </w:pPr>
      <w:r>
        <w:rPr>
          <w:rFonts w:ascii="Calibri" w:eastAsia="Calibri" w:hAnsi="Calibri" w:cs="Calibri"/>
          <w:bCs/>
          <w:szCs w:val="22"/>
          <w:u w:val="single"/>
          <w:lang w:eastAsia="en-US"/>
        </w:rPr>
        <w:t>Podmienky oprávnenosti:</w:t>
      </w:r>
    </w:p>
    <w:p w:rsidR="00ED1FEE" w:rsidRDefault="00ED1FEE" w:rsidP="00CE203B">
      <w:pPr>
        <w:numPr>
          <w:ilvl w:val="0"/>
          <w:numId w:val="274"/>
        </w:numPr>
        <w:ind w:left="360"/>
        <w:rPr>
          <w:rFonts w:ascii="Calibri" w:hAnsi="Calibri" w:cs="Calibri"/>
          <w:szCs w:val="22"/>
          <w:lang w:eastAsia="en-US"/>
        </w:rPr>
      </w:pPr>
      <w:r>
        <w:rPr>
          <w:rFonts w:ascii="Calibri" w:hAnsi="Calibri" w:cs="Calibri"/>
          <w:szCs w:val="22"/>
          <w:lang w:eastAsia="en-US"/>
        </w:rPr>
        <w:t xml:space="preserve">vstúpiť do opatrenia minimálne s 1 ha biotopu trávneho porastu vedeného v LPIS </w:t>
      </w:r>
    </w:p>
    <w:p w:rsidR="00ED1FEE" w:rsidRPr="00F34534" w:rsidRDefault="00ED1FEE" w:rsidP="00CE203B">
      <w:pPr>
        <w:numPr>
          <w:ilvl w:val="0"/>
          <w:numId w:val="274"/>
        </w:numPr>
        <w:ind w:left="360"/>
        <w:rPr>
          <w:rFonts w:ascii="Calibri" w:hAnsi="Calibri" w:cs="Calibri"/>
          <w:szCs w:val="22"/>
          <w:lang w:eastAsia="en-US"/>
        </w:rPr>
      </w:pPr>
      <w:r>
        <w:rPr>
          <w:rFonts w:ascii="Calibri" w:hAnsi="Calibri" w:cs="Calibri"/>
          <w:szCs w:val="22"/>
          <w:lang w:eastAsia="en-US"/>
        </w:rPr>
        <w:t>obhospodarovať vybraté plochy poloprírodných a prírodných trávnych porastov nachádzajúce sa na území poľnohospodárskeho podniku podľa stanovených podmienok a zaradenia trávnych porastov do niektorej kategórie A až G,</w:t>
      </w:r>
    </w:p>
    <w:p w:rsidR="00ED1FEE" w:rsidRDefault="00ED1FEE" w:rsidP="00ED1FEE">
      <w:pPr>
        <w:rPr>
          <w:rFonts w:ascii="Calibri" w:eastAsia="Calibri" w:hAnsi="Calibri" w:cs="Calibri"/>
          <w:b/>
          <w:szCs w:val="22"/>
          <w:lang w:eastAsia="en-US"/>
        </w:rPr>
      </w:pPr>
    </w:p>
    <w:p w:rsidR="00ED1FEE" w:rsidRPr="00DD7895" w:rsidRDefault="00ED1FEE" w:rsidP="00ED1FEE">
      <w:pPr>
        <w:rPr>
          <w:rFonts w:ascii="Calibri" w:eastAsia="Calibri" w:hAnsi="Calibri" w:cs="Calibri"/>
          <w:szCs w:val="22"/>
          <w:u w:val="single"/>
          <w:lang w:eastAsia="en-US"/>
        </w:rPr>
      </w:pPr>
      <w:r w:rsidRPr="00DD7895">
        <w:rPr>
          <w:rFonts w:ascii="Calibri" w:eastAsia="Calibri" w:hAnsi="Calibri" w:cs="Calibri"/>
          <w:szCs w:val="22"/>
          <w:u w:val="single"/>
          <w:lang w:eastAsia="en-US"/>
        </w:rPr>
        <w:t>Podmienky podpory</w:t>
      </w:r>
      <w:r>
        <w:rPr>
          <w:rFonts w:ascii="Calibri" w:eastAsia="Calibri" w:hAnsi="Calibri" w:cs="Calibri"/>
          <w:szCs w:val="22"/>
          <w:u w:val="single"/>
          <w:lang w:eastAsia="en-US"/>
        </w:rPr>
        <w:t>:</w:t>
      </w:r>
    </w:p>
    <w:p w:rsidR="00ED1FEE" w:rsidRDefault="00ED1FEE" w:rsidP="00ED1FEE">
      <w:pPr>
        <w:rPr>
          <w:rFonts w:ascii="Calibri" w:eastAsia="Calibri" w:hAnsi="Calibri" w:cs="Calibri"/>
          <w:b/>
          <w:bCs/>
          <w:szCs w:val="22"/>
          <w:lang w:eastAsia="en-US"/>
        </w:rPr>
      </w:pPr>
      <w:r>
        <w:rPr>
          <w:rFonts w:ascii="Calibri" w:eastAsia="Calibri" w:hAnsi="Calibri" w:cs="Calibri"/>
          <w:b/>
          <w:szCs w:val="22"/>
          <w:lang w:eastAsia="en-US"/>
        </w:rPr>
        <w:t>a</w:t>
      </w:r>
      <w:r>
        <w:rPr>
          <w:rFonts w:ascii="Calibri" w:eastAsia="Calibri" w:hAnsi="Calibri" w:cs="Calibri"/>
          <w:b/>
          <w:bCs/>
          <w:szCs w:val="22"/>
          <w:lang w:eastAsia="en-US"/>
        </w:rPr>
        <w:t xml:space="preserve">plikácia hnojív a prípravkov na ochranu rastlín </w:t>
      </w:r>
    </w:p>
    <w:p w:rsidR="00ED1FEE" w:rsidRDefault="00ED1FEE" w:rsidP="00CE203B">
      <w:pPr>
        <w:numPr>
          <w:ilvl w:val="0"/>
          <w:numId w:val="274"/>
        </w:numPr>
        <w:ind w:left="360"/>
        <w:rPr>
          <w:rFonts w:ascii="Calibri" w:hAnsi="Calibri" w:cs="Calibri"/>
          <w:bCs/>
          <w:szCs w:val="22"/>
          <w:lang w:eastAsia="en-US"/>
        </w:rPr>
      </w:pPr>
      <w:r>
        <w:rPr>
          <w:rFonts w:ascii="Calibri" w:hAnsi="Calibri" w:cs="Calibri"/>
          <w:bCs/>
          <w:szCs w:val="22"/>
          <w:lang w:eastAsia="en-US"/>
        </w:rPr>
        <w:t xml:space="preserve">úplné vylúčenie minerálnych hnojív a hnojovice na všetkých typoch trávnych biotopov, </w:t>
      </w:r>
    </w:p>
    <w:p w:rsidR="00ED1FEE" w:rsidRDefault="00ED1FEE" w:rsidP="00CE203B">
      <w:pPr>
        <w:numPr>
          <w:ilvl w:val="0"/>
          <w:numId w:val="274"/>
        </w:numPr>
        <w:ind w:left="360"/>
        <w:rPr>
          <w:rFonts w:ascii="Calibri" w:hAnsi="Calibri" w:cs="Calibri"/>
          <w:bCs/>
          <w:szCs w:val="22"/>
          <w:lang w:eastAsia="en-US"/>
        </w:rPr>
      </w:pPr>
      <w:r>
        <w:rPr>
          <w:rFonts w:ascii="Calibri" w:hAnsi="Calibri" w:cs="Calibri"/>
          <w:bCs/>
          <w:szCs w:val="22"/>
          <w:lang w:eastAsia="en-US"/>
        </w:rPr>
        <w:t>obmedzené použitie organických hnojív podľa typu tráv B,C; maximálna dávka organických hnojív je 50 kg N/ha biotopu raz za 2 roky (exkrementy pasúcich sa zvierat sa do limitu nezapočítavajú)</w:t>
      </w:r>
    </w:p>
    <w:p w:rsidR="00ED1FEE" w:rsidRDefault="00ED1FEE" w:rsidP="00ED1FEE">
      <w:pPr>
        <w:rPr>
          <w:rFonts w:ascii="Calibri" w:eastAsia="Calibri" w:hAnsi="Calibri" w:cs="Calibri"/>
          <w:b/>
          <w:bCs/>
          <w:szCs w:val="22"/>
          <w:lang w:eastAsia="en-US"/>
        </w:rPr>
      </w:pPr>
    </w:p>
    <w:p w:rsidR="00ED1FEE" w:rsidRDefault="00ED1FEE" w:rsidP="00ED1FEE">
      <w:pPr>
        <w:rPr>
          <w:rFonts w:ascii="Calibri" w:eastAsia="Calibri" w:hAnsi="Calibri" w:cs="Calibri"/>
          <w:b/>
          <w:bCs/>
          <w:szCs w:val="22"/>
          <w:lang w:eastAsia="en-US"/>
        </w:rPr>
      </w:pPr>
      <w:r>
        <w:rPr>
          <w:rFonts w:ascii="Calibri" w:eastAsia="Calibri" w:hAnsi="Calibri" w:cs="Calibri"/>
          <w:b/>
          <w:bCs/>
          <w:szCs w:val="22"/>
          <w:lang w:eastAsia="en-US"/>
        </w:rPr>
        <w:t>aplikácia chemických prípravkov</w:t>
      </w:r>
    </w:p>
    <w:p w:rsidR="00ED1FEE" w:rsidRDefault="00ED1FEE" w:rsidP="00CE203B">
      <w:pPr>
        <w:numPr>
          <w:ilvl w:val="0"/>
          <w:numId w:val="274"/>
        </w:numPr>
        <w:ind w:left="360"/>
        <w:rPr>
          <w:rFonts w:ascii="Calibri" w:hAnsi="Calibri" w:cs="Calibri"/>
          <w:bCs/>
          <w:szCs w:val="22"/>
          <w:lang w:eastAsia="en-US"/>
        </w:rPr>
      </w:pPr>
      <w:r>
        <w:rPr>
          <w:rFonts w:ascii="Calibri" w:hAnsi="Calibri" w:cs="Calibri"/>
          <w:bCs/>
          <w:szCs w:val="22"/>
          <w:lang w:eastAsia="en-US"/>
        </w:rPr>
        <w:t>na celej ploche biotopu vylúčiť používanie prípravkov na ochranu rastlín,</w:t>
      </w:r>
    </w:p>
    <w:p w:rsidR="00ED1FEE" w:rsidRDefault="00ED1FEE" w:rsidP="00ED1FEE">
      <w:pPr>
        <w:rPr>
          <w:rFonts w:ascii="Calibri" w:eastAsia="Calibri" w:hAnsi="Calibri" w:cs="Calibri"/>
          <w:b/>
          <w:bCs/>
          <w:szCs w:val="22"/>
          <w:lang w:eastAsia="en-US"/>
        </w:rPr>
      </w:pPr>
    </w:p>
    <w:p w:rsidR="00ED1FEE" w:rsidRDefault="00ED1FEE" w:rsidP="00ED1FEE">
      <w:pPr>
        <w:rPr>
          <w:rFonts w:ascii="Calibri" w:eastAsia="Calibri" w:hAnsi="Calibri" w:cs="Calibri"/>
          <w:bCs/>
          <w:szCs w:val="22"/>
          <w:lang w:eastAsia="en-US"/>
        </w:rPr>
      </w:pPr>
      <w:r>
        <w:rPr>
          <w:rFonts w:ascii="Calibri" w:eastAsia="Calibri" w:hAnsi="Calibri" w:cs="Calibri"/>
          <w:b/>
          <w:bCs/>
          <w:szCs w:val="22"/>
          <w:lang w:eastAsia="en-US"/>
        </w:rPr>
        <w:t xml:space="preserve">spôsoby kosenia </w:t>
      </w:r>
    </w:p>
    <w:p w:rsidR="00ED1FEE" w:rsidRDefault="00ED1FEE" w:rsidP="00CE203B">
      <w:pPr>
        <w:numPr>
          <w:ilvl w:val="0"/>
          <w:numId w:val="274"/>
        </w:numPr>
        <w:ind w:left="360"/>
        <w:rPr>
          <w:rFonts w:ascii="Calibri" w:hAnsi="Calibri" w:cs="Calibri"/>
          <w:bCs/>
          <w:szCs w:val="22"/>
          <w:lang w:eastAsia="en-US"/>
        </w:rPr>
      </w:pPr>
      <w:r>
        <w:rPr>
          <w:rFonts w:ascii="Calibri" w:hAnsi="Calibri" w:cs="Calibri"/>
          <w:bCs/>
          <w:szCs w:val="22"/>
          <w:lang w:eastAsia="en-US"/>
        </w:rPr>
        <w:t>prvú kosbu trávnych porastov je potrebné vykonať najneskôr do 30. júla  (v odôvodnených prípadoch posunutia kosieb dáva súhlas príslušná organizácia ochrany prírody);</w:t>
      </w:r>
    </w:p>
    <w:p w:rsidR="00ED1FEE" w:rsidRDefault="00ED1FEE" w:rsidP="00CE203B">
      <w:pPr>
        <w:numPr>
          <w:ilvl w:val="0"/>
          <w:numId w:val="274"/>
        </w:numPr>
        <w:ind w:left="360"/>
        <w:rPr>
          <w:rFonts w:ascii="Calibri" w:hAnsi="Calibri" w:cs="Calibri"/>
          <w:bCs/>
          <w:szCs w:val="22"/>
          <w:lang w:eastAsia="en-US"/>
        </w:rPr>
      </w:pPr>
      <w:r>
        <w:rPr>
          <w:rFonts w:ascii="Calibri" w:hAnsi="Calibri" w:cs="Calibri"/>
          <w:bCs/>
          <w:szCs w:val="22"/>
          <w:lang w:eastAsia="en-US"/>
        </w:rPr>
        <w:t xml:space="preserve">kosiť maximálne 2-krát ročne je možné typy </w:t>
      </w:r>
      <w:r>
        <w:rPr>
          <w:rFonts w:ascii="Calibri" w:hAnsi="Calibri" w:cs="Calibri"/>
          <w:bCs/>
          <w:i/>
          <w:szCs w:val="22"/>
          <w:lang w:eastAsia="en-US"/>
        </w:rPr>
        <w:t>B,C,D,E,F</w:t>
      </w:r>
    </w:p>
    <w:p w:rsidR="00ED1FEE" w:rsidRDefault="00ED1FEE" w:rsidP="00CE203B">
      <w:pPr>
        <w:numPr>
          <w:ilvl w:val="0"/>
          <w:numId w:val="274"/>
        </w:numPr>
        <w:ind w:left="360"/>
        <w:rPr>
          <w:rFonts w:ascii="Calibri" w:hAnsi="Calibri" w:cs="Calibri"/>
          <w:bCs/>
          <w:szCs w:val="22"/>
          <w:lang w:eastAsia="en-US"/>
        </w:rPr>
      </w:pPr>
      <w:r>
        <w:rPr>
          <w:rFonts w:ascii="Calibri" w:hAnsi="Calibri" w:cs="Calibri"/>
          <w:bCs/>
          <w:szCs w:val="22"/>
          <w:lang w:eastAsia="en-US"/>
        </w:rPr>
        <w:t xml:space="preserve">kosiť maximálne 1-krát ročne je možné typy </w:t>
      </w:r>
      <w:r>
        <w:rPr>
          <w:rFonts w:ascii="Calibri" w:hAnsi="Calibri" w:cs="Calibri"/>
          <w:bCs/>
          <w:i/>
          <w:szCs w:val="22"/>
          <w:lang w:eastAsia="en-US"/>
        </w:rPr>
        <w:t>A a G;</w:t>
      </w:r>
      <w:r>
        <w:rPr>
          <w:rFonts w:ascii="Calibri" w:hAnsi="Calibri" w:cs="Calibri"/>
          <w:bCs/>
          <w:szCs w:val="22"/>
          <w:lang w:eastAsia="en-US"/>
        </w:rPr>
        <w:t xml:space="preserve"> </w:t>
      </w:r>
    </w:p>
    <w:p w:rsidR="00ED1FEE" w:rsidRDefault="00ED1FEE" w:rsidP="00CE203B">
      <w:pPr>
        <w:numPr>
          <w:ilvl w:val="0"/>
          <w:numId w:val="274"/>
        </w:numPr>
        <w:ind w:left="360"/>
        <w:rPr>
          <w:rFonts w:ascii="Calibri" w:hAnsi="Calibri" w:cs="Calibri"/>
          <w:bCs/>
          <w:szCs w:val="22"/>
          <w:lang w:eastAsia="en-US"/>
        </w:rPr>
      </w:pPr>
      <w:r>
        <w:rPr>
          <w:rFonts w:ascii="Calibri" w:hAnsi="Calibri" w:cs="Calibri"/>
          <w:bCs/>
          <w:szCs w:val="22"/>
          <w:lang w:eastAsia="en-US"/>
        </w:rPr>
        <w:t xml:space="preserve">ručné kosenie s pomocou ľahkých mechanizmov (F)  </w:t>
      </w:r>
    </w:p>
    <w:p w:rsidR="00ED1FEE" w:rsidRDefault="00ED1FEE" w:rsidP="00CE203B">
      <w:pPr>
        <w:numPr>
          <w:ilvl w:val="0"/>
          <w:numId w:val="274"/>
        </w:numPr>
        <w:ind w:left="360"/>
        <w:rPr>
          <w:rFonts w:ascii="Calibri" w:hAnsi="Calibri" w:cs="Calibri"/>
          <w:bCs/>
          <w:szCs w:val="22"/>
          <w:lang w:eastAsia="en-US"/>
        </w:rPr>
      </w:pPr>
      <w:r>
        <w:rPr>
          <w:rFonts w:ascii="Calibri" w:hAnsi="Calibri" w:cs="Calibri"/>
          <w:bCs/>
          <w:szCs w:val="22"/>
          <w:lang w:eastAsia="en-US"/>
        </w:rPr>
        <w:t xml:space="preserve">trávne porasty je potrebné kosiť smerom od stredu k okrajom porastu  alebo od jednej strany pozemku na druhú stranu.  </w:t>
      </w:r>
    </w:p>
    <w:p w:rsidR="00ED1FEE" w:rsidRDefault="00ED1FEE" w:rsidP="00ED1FEE">
      <w:pPr>
        <w:rPr>
          <w:rFonts w:ascii="Calibri" w:eastAsia="Calibri" w:hAnsi="Calibri" w:cs="Calibri"/>
          <w:b/>
          <w:bCs/>
          <w:szCs w:val="22"/>
          <w:lang w:eastAsia="en-US"/>
        </w:rPr>
      </w:pPr>
    </w:p>
    <w:p w:rsidR="00ED1FEE" w:rsidRDefault="00ED1FEE" w:rsidP="00ED1FEE">
      <w:pPr>
        <w:rPr>
          <w:rFonts w:ascii="Calibri" w:eastAsia="Calibri" w:hAnsi="Calibri" w:cs="Calibri"/>
          <w:b/>
          <w:bCs/>
          <w:szCs w:val="22"/>
          <w:lang w:eastAsia="en-US"/>
        </w:rPr>
      </w:pPr>
      <w:r>
        <w:rPr>
          <w:rFonts w:ascii="Calibri" w:eastAsia="Calibri" w:hAnsi="Calibri" w:cs="Calibri"/>
          <w:b/>
          <w:bCs/>
          <w:szCs w:val="22"/>
          <w:lang w:eastAsia="en-US"/>
        </w:rPr>
        <w:t>podmienky pasenia</w:t>
      </w:r>
    </w:p>
    <w:p w:rsidR="00ED1FEE" w:rsidRDefault="00ED1FEE" w:rsidP="00CE203B">
      <w:pPr>
        <w:numPr>
          <w:ilvl w:val="0"/>
          <w:numId w:val="274"/>
        </w:numPr>
        <w:tabs>
          <w:tab w:val="left" w:pos="900"/>
          <w:tab w:val="decimal" w:pos="9000"/>
        </w:tabs>
        <w:overflowPunct w:val="0"/>
        <w:autoSpaceDE w:val="0"/>
        <w:autoSpaceDN w:val="0"/>
        <w:adjustRightInd w:val="0"/>
        <w:ind w:left="360"/>
        <w:contextualSpacing/>
        <w:textAlignment w:val="baseline"/>
        <w:rPr>
          <w:rFonts w:ascii="Calibri" w:hAnsi="Calibri"/>
          <w:szCs w:val="22"/>
          <w:lang w:eastAsia="cs-CZ"/>
        </w:rPr>
      </w:pPr>
      <w:r>
        <w:rPr>
          <w:rFonts w:ascii="Calibri" w:hAnsi="Calibri"/>
          <w:szCs w:val="22"/>
          <w:lang w:eastAsia="cs-CZ"/>
        </w:rPr>
        <w:t xml:space="preserve">pasenie je vylúčené pre typ </w:t>
      </w:r>
      <w:r>
        <w:rPr>
          <w:rFonts w:ascii="Calibri" w:hAnsi="Calibri" w:cs="Calibri"/>
          <w:i/>
          <w:iCs/>
          <w:szCs w:val="22"/>
          <w:lang w:eastAsia="en-US"/>
        </w:rPr>
        <w:t>F</w:t>
      </w:r>
      <w:r>
        <w:rPr>
          <w:rFonts w:ascii="Calibri" w:hAnsi="Calibri"/>
          <w:szCs w:val="22"/>
          <w:lang w:eastAsia="cs-CZ"/>
        </w:rPr>
        <w:t xml:space="preserve"> </w:t>
      </w:r>
    </w:p>
    <w:p w:rsidR="00ED1FEE" w:rsidRDefault="00ED1FEE" w:rsidP="00CE203B">
      <w:pPr>
        <w:numPr>
          <w:ilvl w:val="0"/>
          <w:numId w:val="274"/>
        </w:numPr>
        <w:tabs>
          <w:tab w:val="left" w:pos="900"/>
          <w:tab w:val="decimal" w:pos="9000"/>
        </w:tabs>
        <w:overflowPunct w:val="0"/>
        <w:autoSpaceDE w:val="0"/>
        <w:autoSpaceDN w:val="0"/>
        <w:adjustRightInd w:val="0"/>
        <w:ind w:left="360"/>
        <w:contextualSpacing/>
        <w:textAlignment w:val="baseline"/>
        <w:rPr>
          <w:rFonts w:ascii="Calibri" w:hAnsi="Calibri"/>
          <w:b/>
          <w:bCs/>
          <w:szCs w:val="22"/>
          <w:lang w:eastAsia="cs-CZ"/>
        </w:rPr>
      </w:pPr>
      <w:r>
        <w:rPr>
          <w:rFonts w:ascii="Calibri" w:hAnsi="Calibri"/>
          <w:szCs w:val="22"/>
          <w:lang w:eastAsia="cs-CZ"/>
        </w:rPr>
        <w:t xml:space="preserve">pasenie pre porasty typu  </w:t>
      </w:r>
      <w:r>
        <w:rPr>
          <w:rFonts w:ascii="Calibri" w:hAnsi="Calibri" w:cs="Calibri"/>
          <w:i/>
          <w:iCs/>
          <w:szCs w:val="22"/>
          <w:lang w:eastAsia="en-US"/>
        </w:rPr>
        <w:t>C a E je</w:t>
      </w:r>
      <w:r>
        <w:rPr>
          <w:rFonts w:ascii="Calibri" w:hAnsi="Calibri"/>
          <w:szCs w:val="22"/>
          <w:lang w:eastAsia="cs-CZ"/>
        </w:rPr>
        <w:t xml:space="preserve">  možné iba po prvej kosbe v rámci záväzkového obdobia  na dopásanie mládzí; a to zaťažením max. 0,3 DJ počítanej na plochy stanoveného biotopu v záväzku, ktorá je spásaná </w:t>
      </w:r>
    </w:p>
    <w:p w:rsidR="00ED1FEE" w:rsidRDefault="00ED1FEE" w:rsidP="00CE203B">
      <w:pPr>
        <w:numPr>
          <w:ilvl w:val="0"/>
          <w:numId w:val="274"/>
        </w:numPr>
        <w:tabs>
          <w:tab w:val="left" w:pos="900"/>
          <w:tab w:val="decimal" w:pos="9000"/>
        </w:tabs>
        <w:overflowPunct w:val="0"/>
        <w:autoSpaceDE w:val="0"/>
        <w:autoSpaceDN w:val="0"/>
        <w:adjustRightInd w:val="0"/>
        <w:ind w:left="360"/>
        <w:contextualSpacing/>
        <w:textAlignment w:val="baseline"/>
        <w:rPr>
          <w:rFonts w:ascii="Calibri" w:hAnsi="Calibri"/>
          <w:b/>
          <w:bCs/>
          <w:szCs w:val="22"/>
          <w:lang w:eastAsia="cs-CZ"/>
        </w:rPr>
      </w:pPr>
      <w:r>
        <w:rPr>
          <w:rFonts w:ascii="Calibri" w:hAnsi="Calibri"/>
          <w:szCs w:val="22"/>
          <w:lang w:eastAsia="cs-CZ"/>
        </w:rPr>
        <w:t>dodržiavanie zásady šetrného košarovania (min. plocha na 1VDJ – 10m</w:t>
      </w:r>
      <w:r>
        <w:rPr>
          <w:rFonts w:ascii="Calibri" w:hAnsi="Calibri"/>
          <w:szCs w:val="22"/>
          <w:vertAlign w:val="superscript"/>
          <w:lang w:eastAsia="cs-CZ"/>
        </w:rPr>
        <w:t>2</w:t>
      </w:r>
      <w:r>
        <w:rPr>
          <w:rFonts w:ascii="Calibri" w:hAnsi="Calibri"/>
          <w:szCs w:val="22"/>
          <w:lang w:eastAsia="cs-CZ"/>
        </w:rPr>
        <w:t>, pravidelné denné prekladanie košiarov); pri pasení mladého HD je možnosť využívania nočného košiara umiesteného stabilne (so súhlasom príslušnej odbornej organizácie)</w:t>
      </w:r>
    </w:p>
    <w:p w:rsidR="00ED1FEE" w:rsidRPr="00F6073F" w:rsidRDefault="00ED1FEE" w:rsidP="00CE203B">
      <w:pPr>
        <w:numPr>
          <w:ilvl w:val="0"/>
          <w:numId w:val="274"/>
        </w:numPr>
        <w:tabs>
          <w:tab w:val="left" w:pos="900"/>
          <w:tab w:val="decimal" w:pos="9000"/>
        </w:tabs>
        <w:overflowPunct w:val="0"/>
        <w:autoSpaceDE w:val="0"/>
        <w:autoSpaceDN w:val="0"/>
        <w:adjustRightInd w:val="0"/>
        <w:ind w:left="360"/>
        <w:contextualSpacing/>
        <w:textAlignment w:val="baseline"/>
        <w:rPr>
          <w:rFonts w:ascii="Calibri" w:hAnsi="Calibri"/>
          <w:szCs w:val="22"/>
          <w:lang w:eastAsia="cs-CZ"/>
        </w:rPr>
      </w:pPr>
      <w:r>
        <w:rPr>
          <w:rFonts w:ascii="Calibri" w:hAnsi="Calibri"/>
          <w:szCs w:val="22"/>
          <w:lang w:eastAsia="cs-CZ"/>
        </w:rPr>
        <w:t>dodržiavať zaťaženie  minimálne 0,3 DJ/ hektár a maximálne 1,9 DJ/hektár plochy povolenej pre pasenie (zaťaženie zvieratami (polygastre a kone)</w:t>
      </w:r>
      <w:r w:rsidRPr="00F6073F">
        <w:rPr>
          <w:rFonts w:ascii="Calibri" w:hAnsi="Calibri" w:cs="Calibri"/>
        </w:rPr>
        <w:t xml:space="preserve"> </w:t>
      </w:r>
      <w:r w:rsidRPr="00F6073F">
        <w:rPr>
          <w:rFonts w:ascii="Calibri" w:hAnsi="Calibri" w:cs="Calibri"/>
          <w:szCs w:val="22"/>
        </w:rPr>
        <w:t>v období od   1. apríla do 31. októbra každého roka záväzku</w:t>
      </w:r>
      <w:r w:rsidRPr="00F6073F">
        <w:rPr>
          <w:rFonts w:ascii="Calibri" w:hAnsi="Calibri"/>
          <w:szCs w:val="22"/>
          <w:lang w:eastAsia="cs-CZ"/>
        </w:rPr>
        <w:t xml:space="preserve"> , </w:t>
      </w:r>
    </w:p>
    <w:p w:rsidR="00ED1FEE" w:rsidRDefault="00ED1FEE" w:rsidP="00CE203B">
      <w:pPr>
        <w:numPr>
          <w:ilvl w:val="0"/>
          <w:numId w:val="274"/>
        </w:numPr>
        <w:tabs>
          <w:tab w:val="left" w:pos="900"/>
          <w:tab w:val="decimal" w:pos="9000"/>
        </w:tabs>
        <w:overflowPunct w:val="0"/>
        <w:autoSpaceDE w:val="0"/>
        <w:autoSpaceDN w:val="0"/>
        <w:adjustRightInd w:val="0"/>
        <w:ind w:left="360"/>
        <w:contextualSpacing/>
        <w:textAlignment w:val="baseline"/>
        <w:rPr>
          <w:rFonts w:ascii="Calibri" w:hAnsi="Calibri"/>
          <w:szCs w:val="22"/>
          <w:lang w:eastAsia="cs-CZ"/>
        </w:rPr>
      </w:pPr>
      <w:r>
        <w:rPr>
          <w:rFonts w:ascii="Calibri" w:hAnsi="Calibri"/>
          <w:szCs w:val="22"/>
          <w:lang w:eastAsia="cs-CZ"/>
        </w:rPr>
        <w:t>oplôtkové pasenie je povolené, pričom musí byť dodržané povolené zaťaženie, ktoré sa prepočítava na celkovú plochu oploteného areálu.</w:t>
      </w:r>
      <w:r w:rsidRPr="00F34534">
        <w:rPr>
          <w:rFonts w:ascii="Calibri" w:hAnsi="Calibri"/>
          <w:szCs w:val="22"/>
          <w:lang w:eastAsia="cs-CZ"/>
        </w:rPr>
        <w:t xml:space="preserve"> </w:t>
      </w:r>
    </w:p>
    <w:p w:rsidR="00ED1FEE" w:rsidRDefault="00ED1FEE" w:rsidP="00ED1FEE">
      <w:pPr>
        <w:tabs>
          <w:tab w:val="left" w:pos="900"/>
          <w:tab w:val="decimal" w:pos="9000"/>
        </w:tabs>
        <w:overflowPunct w:val="0"/>
        <w:autoSpaceDE w:val="0"/>
        <w:autoSpaceDN w:val="0"/>
        <w:adjustRightInd w:val="0"/>
        <w:contextualSpacing/>
        <w:textAlignment w:val="baseline"/>
        <w:rPr>
          <w:rFonts w:ascii="Calibri" w:hAnsi="Calibri"/>
          <w:szCs w:val="22"/>
          <w:lang w:eastAsia="cs-CZ"/>
        </w:rPr>
      </w:pPr>
    </w:p>
    <w:p w:rsidR="00ED1FEE" w:rsidRPr="00F34534" w:rsidRDefault="00ED1FEE" w:rsidP="00ED1FEE">
      <w:pPr>
        <w:tabs>
          <w:tab w:val="decimal" w:pos="0"/>
        </w:tabs>
        <w:overflowPunct w:val="0"/>
        <w:autoSpaceDE w:val="0"/>
        <w:autoSpaceDN w:val="0"/>
        <w:adjustRightInd w:val="0"/>
        <w:contextualSpacing/>
        <w:textAlignment w:val="baseline"/>
        <w:rPr>
          <w:rFonts w:ascii="Calibri" w:hAnsi="Calibri"/>
          <w:szCs w:val="22"/>
          <w:lang w:eastAsia="cs-CZ"/>
        </w:rPr>
      </w:pPr>
      <w:r>
        <w:rPr>
          <w:rFonts w:ascii="Calibri" w:hAnsi="Calibri"/>
          <w:b/>
          <w:szCs w:val="22"/>
          <w:lang w:eastAsia="cs-CZ"/>
        </w:rPr>
        <w:t xml:space="preserve">ostatné </w:t>
      </w:r>
      <w:r w:rsidRPr="00F34534">
        <w:rPr>
          <w:rFonts w:ascii="Calibri" w:hAnsi="Calibri"/>
          <w:b/>
          <w:szCs w:val="22"/>
          <w:lang w:eastAsia="cs-CZ"/>
        </w:rPr>
        <w:t xml:space="preserve">podmienky </w:t>
      </w:r>
    </w:p>
    <w:p w:rsidR="00ED1FEE" w:rsidRDefault="00ED1FEE" w:rsidP="00CE203B">
      <w:pPr>
        <w:numPr>
          <w:ilvl w:val="0"/>
          <w:numId w:val="274"/>
        </w:numPr>
        <w:tabs>
          <w:tab w:val="left" w:pos="900"/>
          <w:tab w:val="decimal" w:pos="9000"/>
        </w:tabs>
        <w:overflowPunct w:val="0"/>
        <w:autoSpaceDE w:val="0"/>
        <w:autoSpaceDN w:val="0"/>
        <w:adjustRightInd w:val="0"/>
        <w:ind w:left="360"/>
        <w:contextualSpacing/>
        <w:textAlignment w:val="baseline"/>
        <w:rPr>
          <w:rFonts w:ascii="Calibri" w:hAnsi="Calibri"/>
          <w:szCs w:val="22"/>
          <w:lang w:eastAsia="cs-CZ"/>
        </w:rPr>
      </w:pPr>
      <w:r>
        <w:rPr>
          <w:rFonts w:ascii="Calibri" w:hAnsi="Calibri"/>
          <w:szCs w:val="22"/>
          <w:lang w:eastAsia="cs-CZ"/>
        </w:rPr>
        <w:t>na plochách biotopov  je možné realizovať prísevy len rovnakým druhom tráv,</w:t>
      </w:r>
    </w:p>
    <w:p w:rsidR="00ED1FEE" w:rsidRDefault="00ED1FEE" w:rsidP="00CE203B">
      <w:pPr>
        <w:numPr>
          <w:ilvl w:val="0"/>
          <w:numId w:val="274"/>
        </w:numPr>
        <w:tabs>
          <w:tab w:val="left" w:pos="900"/>
          <w:tab w:val="decimal" w:pos="9000"/>
        </w:tabs>
        <w:overflowPunct w:val="0"/>
        <w:autoSpaceDE w:val="0"/>
        <w:autoSpaceDN w:val="0"/>
        <w:adjustRightInd w:val="0"/>
        <w:ind w:left="360"/>
        <w:contextualSpacing/>
        <w:textAlignment w:val="baseline"/>
        <w:rPr>
          <w:rFonts w:ascii="Calibri" w:hAnsi="Calibri"/>
          <w:szCs w:val="22"/>
          <w:lang w:eastAsia="cs-CZ"/>
        </w:rPr>
      </w:pPr>
      <w:r>
        <w:rPr>
          <w:rFonts w:ascii="Calibri" w:hAnsi="Calibri"/>
          <w:szCs w:val="22"/>
          <w:lang w:eastAsia="cs-CZ"/>
        </w:rPr>
        <w:t xml:space="preserve">zakázané je diskovanie alebo orba a  odvodňovanie  trávnych porastov, </w:t>
      </w:r>
    </w:p>
    <w:p w:rsidR="00ED1FEE" w:rsidRPr="00236966" w:rsidRDefault="00ED1FEE" w:rsidP="00CE203B">
      <w:pPr>
        <w:numPr>
          <w:ilvl w:val="0"/>
          <w:numId w:val="274"/>
        </w:numPr>
        <w:tabs>
          <w:tab w:val="left" w:pos="567"/>
          <w:tab w:val="left" w:pos="900"/>
          <w:tab w:val="decimal" w:pos="9000"/>
        </w:tabs>
        <w:overflowPunct w:val="0"/>
        <w:autoSpaceDE w:val="0"/>
        <w:autoSpaceDN w:val="0"/>
        <w:adjustRightInd w:val="0"/>
        <w:ind w:left="426" w:hanging="426"/>
        <w:contextualSpacing/>
        <w:textAlignment w:val="baseline"/>
        <w:rPr>
          <w:rFonts w:ascii="Calibri" w:hAnsi="Calibri"/>
          <w:szCs w:val="22"/>
          <w:lang w:eastAsia="cs-CZ"/>
        </w:rPr>
      </w:pPr>
      <w:r w:rsidRPr="00DD7895">
        <w:rPr>
          <w:rFonts w:ascii="Calibri" w:hAnsi="Calibri"/>
          <w:szCs w:val="22"/>
          <w:lang w:eastAsia="cs-CZ"/>
        </w:rPr>
        <w:t>mulčovanie je možné na rovnakej ploche 2 krát počas trvania záväzku ako doplnkové agrotechnické opatrenie zamerané proti šíreniu náletových drevín,</w:t>
      </w:r>
    </w:p>
    <w:p w:rsidR="00ED1FEE" w:rsidRDefault="00ED1FEE" w:rsidP="00CE203B">
      <w:pPr>
        <w:numPr>
          <w:ilvl w:val="0"/>
          <w:numId w:val="274"/>
        </w:numPr>
        <w:tabs>
          <w:tab w:val="left" w:pos="7515"/>
        </w:tabs>
        <w:ind w:left="360"/>
        <w:contextualSpacing/>
        <w:rPr>
          <w:rFonts w:ascii="Calibri" w:hAnsi="Calibri" w:cs="Calibri"/>
          <w:bCs/>
          <w:szCs w:val="22"/>
          <w:lang w:eastAsia="en-US"/>
        </w:rPr>
      </w:pPr>
      <w:r>
        <w:rPr>
          <w:rFonts w:ascii="Calibri" w:hAnsi="Calibri" w:cs="Calibri"/>
          <w:szCs w:val="22"/>
          <w:lang w:eastAsia="en-US"/>
        </w:rPr>
        <w:t>zrieknutie sa priamej aplikácie čistiarenského kalu a dnových sedimentov</w:t>
      </w:r>
    </w:p>
    <w:p w:rsidR="00ED1FEE" w:rsidRDefault="00ED1FEE" w:rsidP="00CE203B">
      <w:pPr>
        <w:numPr>
          <w:ilvl w:val="0"/>
          <w:numId w:val="274"/>
        </w:numPr>
        <w:tabs>
          <w:tab w:val="left" w:pos="7515"/>
        </w:tabs>
        <w:ind w:left="360"/>
        <w:contextualSpacing/>
        <w:rPr>
          <w:rFonts w:ascii="Calibri" w:hAnsi="Calibri" w:cs="Calibri"/>
          <w:bCs/>
          <w:szCs w:val="22"/>
          <w:lang w:eastAsia="en-US"/>
        </w:rPr>
      </w:pPr>
      <w:r>
        <w:rPr>
          <w:rFonts w:ascii="Calibri" w:hAnsi="Calibri" w:cs="Calibri"/>
          <w:szCs w:val="22"/>
          <w:lang w:eastAsia="en-US"/>
        </w:rPr>
        <w:t>povinnosť absolvovať školiaci kurz k správne vykonávaným podmienkam opatrenia</w:t>
      </w:r>
    </w:p>
    <w:p w:rsidR="00ED1FEE" w:rsidRDefault="00ED1FEE" w:rsidP="00ED1FEE">
      <w:pPr>
        <w:rPr>
          <w:rFonts w:ascii="Calibri" w:eastAsia="Calibri" w:hAnsi="Calibri" w:cs="Calibri"/>
          <w:szCs w:val="22"/>
          <w:u w:val="single"/>
          <w:lang w:eastAsia="en-US"/>
        </w:rPr>
      </w:pPr>
    </w:p>
    <w:p w:rsidR="00ED1FEE" w:rsidRDefault="00ED1FEE" w:rsidP="00ED1FEE">
      <w:pPr>
        <w:rPr>
          <w:rFonts w:ascii="Calibri" w:eastAsia="Calibri" w:hAnsi="Calibri" w:cs="Calibri"/>
          <w:szCs w:val="22"/>
          <w:u w:val="single"/>
          <w:lang w:eastAsia="en-US"/>
        </w:rPr>
      </w:pPr>
      <w:r>
        <w:rPr>
          <w:rFonts w:ascii="Calibri" w:eastAsia="Calibri" w:hAnsi="Calibri" w:cs="Calibri"/>
          <w:szCs w:val="22"/>
          <w:u w:val="single"/>
          <w:lang w:eastAsia="en-US"/>
        </w:rPr>
        <w:t>Princípy nastavenia výberových kritérií:</w:t>
      </w:r>
    </w:p>
    <w:p w:rsidR="00ED1FEE" w:rsidRDefault="00ED1FEE" w:rsidP="00ED1FEE">
      <w:pPr>
        <w:rPr>
          <w:rFonts w:ascii="Calibri" w:eastAsia="Calibri" w:hAnsi="Calibri" w:cs="Calibri"/>
          <w:szCs w:val="22"/>
          <w:lang w:eastAsia="en-US"/>
        </w:rPr>
      </w:pPr>
      <w:r>
        <w:rPr>
          <w:rFonts w:ascii="Calibri" w:eastAsia="Calibri" w:hAnsi="Calibri" w:cs="Calibri"/>
          <w:szCs w:val="22"/>
          <w:lang w:eastAsia="en-US"/>
        </w:rPr>
        <w:t>1.</w:t>
      </w:r>
      <w:r>
        <w:rPr>
          <w:rFonts w:ascii="Calibri" w:eastAsia="Calibri" w:hAnsi="Calibri" w:cs="Calibri"/>
          <w:szCs w:val="22"/>
          <w:lang w:eastAsia="en-US"/>
        </w:rPr>
        <w:tab/>
        <w:t>plocha biotopu v chránenej oblasti (Natura 2000, NP, CHKO, CHVO) v zostupnej tendencii;</w:t>
      </w:r>
    </w:p>
    <w:p w:rsidR="00ED1FEE" w:rsidRDefault="00ED1FEE" w:rsidP="00ED1FEE">
      <w:pPr>
        <w:rPr>
          <w:rFonts w:ascii="Calibri" w:eastAsia="Calibri" w:hAnsi="Calibri" w:cs="Calibri"/>
          <w:szCs w:val="22"/>
          <w:lang w:eastAsia="en-US"/>
        </w:rPr>
      </w:pPr>
      <w:r>
        <w:rPr>
          <w:rFonts w:ascii="Calibri" w:eastAsia="Calibri" w:hAnsi="Calibri" w:cs="Calibri"/>
          <w:szCs w:val="22"/>
          <w:lang w:eastAsia="en-US"/>
        </w:rPr>
        <w:t>2.</w:t>
      </w:r>
      <w:r>
        <w:rPr>
          <w:rFonts w:ascii="Calibri" w:eastAsia="Calibri" w:hAnsi="Calibri" w:cs="Calibri"/>
          <w:szCs w:val="22"/>
          <w:lang w:eastAsia="en-US"/>
        </w:rPr>
        <w:tab/>
        <w:t>plocha biotopu mimo chránenej oblasti, ale v území LFA, ZO v zostupnej tendencii;</w:t>
      </w:r>
    </w:p>
    <w:p w:rsidR="00ED1FEE" w:rsidRDefault="00ED1FEE" w:rsidP="00ED1FEE">
      <w:pPr>
        <w:rPr>
          <w:rFonts w:ascii="Calibri" w:eastAsia="Calibri" w:hAnsi="Calibri" w:cs="Calibri"/>
          <w:szCs w:val="22"/>
          <w:lang w:eastAsia="en-US"/>
        </w:rPr>
      </w:pPr>
      <w:r>
        <w:rPr>
          <w:rFonts w:ascii="Calibri" w:eastAsia="Calibri" w:hAnsi="Calibri" w:cs="Calibri"/>
          <w:szCs w:val="22"/>
          <w:lang w:eastAsia="en-US"/>
        </w:rPr>
        <w:t>3.</w:t>
      </w:r>
      <w:r>
        <w:rPr>
          <w:rFonts w:ascii="Calibri" w:eastAsia="Calibri" w:hAnsi="Calibri" w:cs="Calibri"/>
          <w:szCs w:val="22"/>
          <w:lang w:eastAsia="en-US"/>
        </w:rPr>
        <w:tab/>
        <w:t>plocha biotopu v ostatnom území v zostupnej tendencii.</w:t>
      </w:r>
    </w:p>
    <w:p w:rsidR="00ED1FEE" w:rsidRDefault="00ED1FEE" w:rsidP="00ED1FEE">
      <w:pPr>
        <w:rPr>
          <w:rFonts w:ascii="Calibri" w:hAnsi="Calibri"/>
          <w:bCs/>
          <w:szCs w:val="22"/>
          <w:lang w:eastAsia="en-GB"/>
        </w:rPr>
      </w:pPr>
    </w:p>
    <w:p w:rsidR="00ED1FEE" w:rsidRDefault="00ED1FEE" w:rsidP="00ED1FEE">
      <w:pPr>
        <w:rPr>
          <w:rFonts w:ascii="Calibri" w:hAnsi="Calibri"/>
          <w:szCs w:val="22"/>
          <w:u w:val="single"/>
          <w:lang w:eastAsia="en-GB"/>
        </w:rPr>
      </w:pPr>
      <w:r>
        <w:rPr>
          <w:rFonts w:ascii="Calibri" w:hAnsi="Calibri"/>
          <w:szCs w:val="22"/>
          <w:u w:val="single"/>
          <w:lang w:eastAsia="en-GB"/>
        </w:rPr>
        <w:t>Výška  a miera podpory:</w:t>
      </w:r>
    </w:p>
    <w:p w:rsidR="00ED1FEE" w:rsidRDefault="00ED1FEE" w:rsidP="00ED1FEE">
      <w:pPr>
        <w:rPr>
          <w:rFonts w:ascii="Calibri" w:eastAsia="Calibri" w:hAnsi="Calibri" w:cs="Calibri"/>
          <w:szCs w:val="22"/>
          <w:lang w:eastAsia="en-US"/>
        </w:rPr>
      </w:pPr>
      <w:r>
        <w:rPr>
          <w:rFonts w:ascii="Calibri" w:eastAsia="Calibri" w:hAnsi="Calibri" w:cs="Calibri"/>
          <w:szCs w:val="22"/>
          <w:lang w:eastAsia="en-US"/>
        </w:rPr>
        <w:t>Výška podpory:         87,33 €/ha biotopu trávneho porastu.</w:t>
      </w:r>
    </w:p>
    <w:p w:rsidR="00ED1FEE" w:rsidRDefault="00ED1FEE" w:rsidP="00ED1FEE">
      <w:pPr>
        <w:rPr>
          <w:rFonts w:ascii="Calibri" w:eastAsia="Calibri" w:hAnsi="Calibri" w:cs="Calibri"/>
          <w:szCs w:val="22"/>
          <w:lang w:eastAsia="en-US"/>
        </w:rPr>
      </w:pPr>
      <w:r>
        <w:rPr>
          <w:rFonts w:ascii="Calibri" w:eastAsia="Calibri" w:hAnsi="Calibri" w:cs="Calibri"/>
          <w:szCs w:val="22"/>
          <w:lang w:eastAsia="en-US"/>
        </w:rPr>
        <w:t xml:space="preserve">                                     25,13 €/ha biotopu trávneho porastu ak je podpora realizovaná aj </w:t>
      </w:r>
    </w:p>
    <w:p w:rsidR="00ED1FEE" w:rsidRDefault="00ED1FEE" w:rsidP="00ED1FEE">
      <w:pPr>
        <w:rPr>
          <w:rFonts w:ascii="Calibri" w:eastAsia="Calibri" w:hAnsi="Calibri" w:cs="Calibri"/>
          <w:szCs w:val="22"/>
          <w:lang w:eastAsia="en-US"/>
        </w:rPr>
      </w:pPr>
      <w:r>
        <w:rPr>
          <w:rFonts w:ascii="Calibri" w:eastAsia="Calibri" w:hAnsi="Calibri" w:cs="Calibri"/>
          <w:szCs w:val="22"/>
          <w:lang w:eastAsia="en-US"/>
        </w:rPr>
        <w:t xml:space="preserve">                                                   prostredníctvom  podopatrenia 12.1</w:t>
      </w:r>
    </w:p>
    <w:p w:rsidR="00095683" w:rsidRDefault="00095683">
      <w:pPr>
        <w:jc w:val="left"/>
        <w:rPr>
          <w:rFonts w:ascii="Calibri" w:eastAsia="Calibri" w:hAnsi="Calibri" w:cs="Calibri"/>
          <w:szCs w:val="22"/>
          <w:lang w:eastAsia="en-US"/>
        </w:rPr>
      </w:pPr>
      <w:r>
        <w:rPr>
          <w:rFonts w:ascii="Calibri" w:eastAsia="Calibri" w:hAnsi="Calibri" w:cs="Calibri"/>
          <w:szCs w:val="22"/>
          <w:lang w:eastAsia="en-US"/>
        </w:rPr>
        <w:br w:type="page"/>
      </w:r>
    </w:p>
    <w:p w:rsidR="00ED1FEE" w:rsidRDefault="00ED1FEE" w:rsidP="00ED1FEE">
      <w:pPr>
        <w:shd w:val="clear" w:color="auto" w:fill="FBD4B4"/>
        <w:rPr>
          <w:rFonts w:ascii="Calibri" w:eastAsia="Calibri" w:hAnsi="Calibri" w:cs="Calibri"/>
          <w:bCs/>
          <w:szCs w:val="22"/>
          <w:lang w:eastAsia="en-US"/>
        </w:rPr>
      </w:pPr>
      <w:r>
        <w:rPr>
          <w:rFonts w:ascii="Calibri" w:eastAsia="Calibri" w:hAnsi="Calibri" w:cs="Calibri"/>
          <w:bCs/>
          <w:szCs w:val="22"/>
          <w:u w:val="single"/>
          <w:lang w:eastAsia="en-US"/>
        </w:rPr>
        <w:t>Názov operácie:</w:t>
      </w:r>
      <w:r>
        <w:rPr>
          <w:rFonts w:ascii="Calibri" w:eastAsia="Calibri" w:hAnsi="Calibri" w:cs="Calibri"/>
          <w:bCs/>
          <w:szCs w:val="22"/>
          <w:lang w:eastAsia="en-US"/>
        </w:rPr>
        <w:t xml:space="preserve"> </w:t>
      </w:r>
    </w:p>
    <w:p w:rsidR="00ED1FEE" w:rsidRDefault="00ED1FEE" w:rsidP="00ED1FEE">
      <w:pPr>
        <w:shd w:val="clear" w:color="auto" w:fill="FBD4B4"/>
        <w:rPr>
          <w:rFonts w:ascii="Calibri" w:eastAsia="Calibri" w:hAnsi="Calibri" w:cs="Calibri"/>
          <w:bCs/>
          <w:i/>
          <w:szCs w:val="22"/>
          <w:lang w:eastAsia="en-US"/>
        </w:rPr>
      </w:pPr>
      <w:r>
        <w:rPr>
          <w:rFonts w:ascii="Calibri" w:eastAsia="Calibri" w:hAnsi="Calibri" w:cs="Calibri"/>
          <w:bCs/>
          <w:i/>
          <w:szCs w:val="22"/>
          <w:lang w:eastAsia="en-US"/>
        </w:rPr>
        <w:t>Multifunkčné okraje polí  - biopásy na ornej pôde</w:t>
      </w:r>
    </w:p>
    <w:p w:rsidR="00ED1FEE" w:rsidRDefault="00ED1FEE" w:rsidP="00ED1FEE">
      <w:pPr>
        <w:rPr>
          <w:rFonts w:ascii="Calibri" w:eastAsia="Calibri" w:hAnsi="Calibri" w:cs="Calibri"/>
          <w:szCs w:val="22"/>
          <w:lang w:eastAsia="en-US"/>
        </w:rPr>
      </w:pPr>
    </w:p>
    <w:p w:rsidR="00ED1FEE" w:rsidRDefault="00ED1FEE" w:rsidP="00ED1FEE">
      <w:pPr>
        <w:autoSpaceDE w:val="0"/>
        <w:autoSpaceDN w:val="0"/>
        <w:adjustRightInd w:val="0"/>
        <w:rPr>
          <w:rFonts w:ascii="Calibri" w:eastAsia="Calibri" w:hAnsi="Calibri" w:cs="Calibri"/>
          <w:bCs/>
          <w:szCs w:val="22"/>
          <w:u w:val="single"/>
          <w:lang w:eastAsia="en-US"/>
        </w:rPr>
      </w:pPr>
      <w:r>
        <w:rPr>
          <w:rFonts w:ascii="Calibri" w:eastAsia="Calibri" w:hAnsi="Calibri" w:cs="Calibri"/>
          <w:bCs/>
          <w:szCs w:val="22"/>
          <w:u w:val="single"/>
          <w:lang w:eastAsia="en-US"/>
        </w:rPr>
        <w:t>Opis operácie:</w:t>
      </w:r>
    </w:p>
    <w:p w:rsidR="00ED1FEE" w:rsidRDefault="00ED1FEE" w:rsidP="00ED1FEE">
      <w:pPr>
        <w:rPr>
          <w:rFonts w:ascii="Calibri" w:eastAsia="Calibri" w:hAnsi="Calibri" w:cs="Calibri"/>
          <w:szCs w:val="22"/>
          <w:lang w:eastAsia="en-US"/>
        </w:rPr>
      </w:pPr>
      <w:r>
        <w:rPr>
          <w:rFonts w:ascii="Calibri" w:eastAsia="Calibri" w:hAnsi="Calibri" w:cs="Calibri"/>
          <w:szCs w:val="22"/>
          <w:lang w:eastAsia="en-US"/>
        </w:rPr>
        <w:t>V najúrodnejších rovinatých oblastiach Slovenskej republiky (Podunajská nížina, Trnavská tabuľa, Východoslovenská nížina, Záhorská nížina), v ktorých dominuje intenzívne poľnohospodárstvo  sa prejavuje nízka biodiverzita druhov, ktorá je spôsobená veľkoplošným systémom obhospodarovania poľnohospodárskych pozemkov. Nízka hustota biocentier nelesnej drevinovej vegetácie   a rozsiahle vzdialenosti  zelených  biokoridorov nevytvárajú  pre príslušné populácie vtákov, ale aj živočíchov dostatočný priestor pre ich životné potreby. Rozsiahle  lány monokultúrnych plodín znižujú možnosť nevyhnutného pôsobenia opeľovačov v poľnohospodárskej krajine.</w:t>
      </w:r>
    </w:p>
    <w:p w:rsidR="00ED1FEE" w:rsidRDefault="00ED1FEE" w:rsidP="00ED1FEE">
      <w:pPr>
        <w:rPr>
          <w:rFonts w:ascii="Calibri" w:eastAsia="Calibri" w:hAnsi="Calibri" w:cs="Calibri"/>
          <w:szCs w:val="22"/>
          <w:lang w:eastAsia="en-US"/>
        </w:rPr>
      </w:pPr>
      <w:r>
        <w:rPr>
          <w:rFonts w:ascii="Calibri" w:eastAsia="Calibri" w:hAnsi="Calibri" w:cs="Calibri"/>
          <w:szCs w:val="22"/>
          <w:lang w:eastAsia="en-US"/>
        </w:rPr>
        <w:t xml:space="preserve"> </w:t>
      </w:r>
    </w:p>
    <w:p w:rsidR="00ED1FEE" w:rsidRDefault="00ED1FEE" w:rsidP="00ED1FEE">
      <w:pPr>
        <w:rPr>
          <w:rFonts w:ascii="Calibri" w:eastAsia="Calibri" w:hAnsi="Calibri" w:cs="Calibri"/>
          <w:szCs w:val="22"/>
          <w:lang w:eastAsia="en-US"/>
        </w:rPr>
      </w:pPr>
      <w:r>
        <w:rPr>
          <w:rFonts w:ascii="Calibri" w:eastAsia="Calibri" w:hAnsi="Calibri" w:cs="Calibri"/>
          <w:szCs w:val="22"/>
          <w:lang w:eastAsia="en-US"/>
        </w:rPr>
        <w:t>Hlavným cieľom podpory zvýšenia biodiverzity v týchto oblastiach je prostredníctvom  vytvárania multifunkčných okrajov polí  osiatych celoročne kvitnúcimi zmesami rastlín bez chemického ošetrovania, vytvoriť podmienky a priestor  pre hniezdenie príslušných druhov vtákov, priestor pre ochranu drobných živočíchov a podmienky pre vegetačnú činnosť opeľovačov v poľnohospodárskej krajine.  Uvedené postupy  okrem ochrany a zvyšovania biodiverzity prostredníctvom rozširovania celovegetačne kvitnúcich multifunkčných okrajov polí, prispievajú aj k ochrane  základných zložiek životného prostredia (voda, pôda) tiež sa podieľajú na  zmierňovaní klimatickej zmeny redukciou skleníkových plynov  a zvyšovaní záchytov týchto plynov.</w:t>
      </w:r>
    </w:p>
    <w:p w:rsidR="00ED1FEE" w:rsidRDefault="00ED1FEE" w:rsidP="00ED1FEE">
      <w:pPr>
        <w:rPr>
          <w:rFonts w:ascii="Calibri" w:eastAsia="Calibri" w:hAnsi="Calibri" w:cs="Calibri"/>
          <w:szCs w:val="22"/>
          <w:lang w:eastAsia="en-US"/>
        </w:rPr>
      </w:pPr>
      <w:r>
        <w:rPr>
          <w:rFonts w:ascii="Calibri" w:eastAsia="Calibri" w:hAnsi="Calibri" w:cs="Calibri"/>
          <w:szCs w:val="22"/>
          <w:lang w:eastAsia="en-US"/>
        </w:rPr>
        <w:t>Podmienkou operácie je  vytvárať na  dieloch pôdnych blokov 5  metrov široké  jednoročné pásy osiate celoročne (vegetačne) kvitnúcimi zmesami rastlín. Vzhľadom k tomu , že ide o minimálne 5 ročný záväzok, pásy sa každoročne obnovujú pričom sa realizujú na okrajoch polí hlavne popri poľných cestách, nelesnej drevinovej vegetácii (v niektorých prípadoch aj medzi plochami rôznych dominantných plodín) a ich výmera je každoročne rovnaká. Multifunkčné okraje polí  sú bez chemického ošetrovania a hnojenia a  bez prejazdov  poľnohospodárskej techniky.</w:t>
      </w:r>
    </w:p>
    <w:p w:rsidR="00ED1FEE" w:rsidRDefault="00ED1FEE" w:rsidP="00ED1FEE">
      <w:pPr>
        <w:rPr>
          <w:rFonts w:ascii="Calibri" w:eastAsia="Calibri" w:hAnsi="Calibri" w:cs="Calibri"/>
          <w:bCs/>
          <w:smallCaps/>
          <w:szCs w:val="22"/>
          <w:lang w:eastAsia="en-US"/>
        </w:rPr>
      </w:pPr>
    </w:p>
    <w:p w:rsidR="00ED1FEE" w:rsidRDefault="00ED1FEE" w:rsidP="00ED1FEE">
      <w:pPr>
        <w:rPr>
          <w:rFonts w:ascii="Calibri" w:eastAsia="Calibri" w:hAnsi="Calibri"/>
          <w:noProof/>
          <w:szCs w:val="22"/>
          <w:u w:val="single"/>
          <w:lang w:eastAsia="en-GB"/>
        </w:rPr>
      </w:pPr>
      <w:r>
        <w:rPr>
          <w:rFonts w:ascii="Calibri" w:eastAsia="Calibri" w:hAnsi="Calibri"/>
          <w:noProof/>
          <w:szCs w:val="22"/>
          <w:u w:val="single"/>
          <w:lang w:eastAsia="en-GB"/>
        </w:rPr>
        <w:t>Typ podpory:</w:t>
      </w:r>
    </w:p>
    <w:p w:rsidR="00ED1FEE" w:rsidRDefault="00ED1FEE" w:rsidP="00ED1FEE">
      <w:pPr>
        <w:rPr>
          <w:rFonts w:ascii="Calibri" w:eastAsia="Calibri" w:hAnsi="Calibri"/>
          <w:noProof/>
          <w:szCs w:val="22"/>
          <w:lang w:eastAsia="en-GB"/>
        </w:rPr>
      </w:pPr>
      <w:r>
        <w:rPr>
          <w:rFonts w:ascii="Calibri" w:eastAsia="Calibri" w:hAnsi="Calibri"/>
          <w:szCs w:val="22"/>
          <w:lang w:eastAsia="en-US"/>
        </w:rPr>
        <w:t xml:space="preserve">Nezisková ročná platba na hektár </w:t>
      </w:r>
      <w:r>
        <w:rPr>
          <w:rFonts w:ascii="Calibri" w:eastAsia="Calibri" w:hAnsi="Calibri"/>
          <w:noProof/>
          <w:szCs w:val="22"/>
          <w:lang w:eastAsia="en-GB"/>
        </w:rPr>
        <w:t>vytvoreného multifunčného pásu na ornej pôde</w:t>
      </w:r>
      <w:r>
        <w:rPr>
          <w:rFonts w:ascii="Calibri" w:eastAsia="Calibri" w:hAnsi="Calibri" w:cs="Calibri"/>
          <w:bCs/>
          <w:szCs w:val="22"/>
          <w:lang w:eastAsia="en-US"/>
        </w:rPr>
        <w:t>.</w:t>
      </w:r>
    </w:p>
    <w:p w:rsidR="00ED1FEE" w:rsidRDefault="00ED1FEE" w:rsidP="00ED1FEE">
      <w:pPr>
        <w:rPr>
          <w:rFonts w:ascii="Calibri" w:eastAsia="Calibri" w:hAnsi="Calibri" w:cs="Calibri"/>
          <w:bCs/>
          <w:szCs w:val="22"/>
          <w:u w:val="single"/>
          <w:lang w:eastAsia="en-US"/>
        </w:rPr>
      </w:pPr>
    </w:p>
    <w:p w:rsidR="00ED1FEE" w:rsidRDefault="00ED1FEE" w:rsidP="00ED1FEE">
      <w:pPr>
        <w:rPr>
          <w:rFonts w:ascii="Calibri" w:eastAsia="Calibri" w:hAnsi="Calibri" w:cs="Calibri"/>
          <w:bCs/>
          <w:szCs w:val="22"/>
          <w:u w:val="single"/>
          <w:lang w:eastAsia="en-US"/>
        </w:rPr>
      </w:pPr>
      <w:r>
        <w:rPr>
          <w:rFonts w:ascii="Calibri" w:eastAsia="Calibri" w:hAnsi="Calibri" w:cs="Calibri"/>
          <w:bCs/>
          <w:szCs w:val="22"/>
          <w:u w:val="single"/>
          <w:lang w:eastAsia="en-US"/>
        </w:rPr>
        <w:t>Súvislosť s inou legislatívou:</w:t>
      </w:r>
    </w:p>
    <w:p w:rsidR="00ED1FEE" w:rsidRDefault="00ED1FEE" w:rsidP="00955DA4">
      <w:pPr>
        <w:numPr>
          <w:ilvl w:val="0"/>
          <w:numId w:val="200"/>
        </w:numPr>
        <w:rPr>
          <w:rFonts w:ascii="Calibri" w:hAnsi="Calibri" w:cs="EUAlbertina"/>
          <w:bCs/>
          <w:szCs w:val="22"/>
        </w:rPr>
      </w:pPr>
      <w:r>
        <w:rPr>
          <w:rFonts w:ascii="Calibri" w:hAnsi="Calibri"/>
          <w:szCs w:val="22"/>
        </w:rPr>
        <w:t xml:space="preserve">nariadenie (EÚ) č. 1306/2013 </w:t>
      </w:r>
      <w:r>
        <w:rPr>
          <w:rFonts w:ascii="Calibri" w:hAnsi="Calibri" w:cs="EUAlbertina"/>
          <w:bCs/>
          <w:szCs w:val="22"/>
        </w:rPr>
        <w:t>o financovaní, riadení a monitorovaní spoločnej poľnohospodárskej politiky;</w:t>
      </w:r>
    </w:p>
    <w:p w:rsidR="00ED1FEE" w:rsidRDefault="00ED1FEE" w:rsidP="00955DA4">
      <w:pPr>
        <w:numPr>
          <w:ilvl w:val="0"/>
          <w:numId w:val="200"/>
        </w:numPr>
        <w:rPr>
          <w:rFonts w:ascii="Calibri" w:hAnsi="Calibri" w:cs="EUAlbertina"/>
          <w:bCs/>
          <w:szCs w:val="22"/>
        </w:rPr>
      </w:pPr>
      <w:r>
        <w:rPr>
          <w:rFonts w:ascii="Calibri" w:hAnsi="Calibri" w:cs="EUAlbertina"/>
          <w:bCs/>
          <w:szCs w:val="22"/>
        </w:rPr>
        <w:t>nariadenie (EÚ) 1307/2013;</w:t>
      </w:r>
    </w:p>
    <w:p w:rsidR="00ED1FEE" w:rsidRDefault="00ED1FEE" w:rsidP="00955DA4">
      <w:pPr>
        <w:numPr>
          <w:ilvl w:val="0"/>
          <w:numId w:val="200"/>
        </w:numPr>
        <w:rPr>
          <w:rFonts w:ascii="Calibri" w:hAnsi="Calibri"/>
          <w:szCs w:val="22"/>
        </w:rPr>
      </w:pPr>
      <w:r>
        <w:rPr>
          <w:rFonts w:ascii="Calibri" w:hAnsi="Calibri"/>
          <w:szCs w:val="22"/>
        </w:rPr>
        <w:t>zákon č. 220/2004 Z.z. o ochrane a využívaní poľnohospodárskej pôdy  v znení neskorších predpisov.</w:t>
      </w:r>
    </w:p>
    <w:p w:rsidR="00ED1FEE" w:rsidRDefault="00ED1FEE" w:rsidP="00ED1FEE">
      <w:pPr>
        <w:rPr>
          <w:rFonts w:ascii="Calibri" w:eastAsia="Calibri" w:hAnsi="Calibri" w:cs="Calibri"/>
          <w:bCs/>
          <w:szCs w:val="22"/>
          <w:lang w:eastAsia="en-US"/>
        </w:rPr>
      </w:pPr>
    </w:p>
    <w:p w:rsidR="00ED1FEE" w:rsidRDefault="00ED1FEE" w:rsidP="00ED1FEE">
      <w:pPr>
        <w:rPr>
          <w:rFonts w:ascii="Calibri" w:eastAsia="Calibri" w:hAnsi="Calibri" w:cs="Calibri"/>
          <w:bCs/>
          <w:szCs w:val="22"/>
          <w:lang w:eastAsia="en-US"/>
        </w:rPr>
      </w:pPr>
      <w:r>
        <w:rPr>
          <w:rFonts w:ascii="Calibri" w:eastAsia="Calibri" w:hAnsi="Calibri" w:cs="Calibri"/>
          <w:bCs/>
          <w:szCs w:val="22"/>
          <w:u w:val="single"/>
          <w:lang w:eastAsia="en-US"/>
        </w:rPr>
        <w:t>Prijímateľ podpory:</w:t>
      </w:r>
    </w:p>
    <w:p w:rsidR="00ED1FEE" w:rsidRDefault="00ED1FEE" w:rsidP="00ED1FEE">
      <w:pPr>
        <w:rPr>
          <w:rFonts w:ascii="Calibri" w:eastAsia="Calibri" w:hAnsi="Calibri" w:cs="Calibri"/>
          <w:bCs/>
          <w:szCs w:val="22"/>
          <w:lang w:eastAsia="en-US"/>
        </w:rPr>
      </w:pPr>
      <w:r>
        <w:rPr>
          <w:rFonts w:ascii="Calibri" w:eastAsia="Calibri" w:hAnsi="Calibri"/>
          <w:noProof/>
          <w:szCs w:val="22"/>
          <w:lang w:eastAsia="en-US"/>
        </w:rPr>
        <w:t>Fyzické a právnické osoby podnikajúce v poľnohospodárskej prvovýrobe spĺňajúce definíciu aktívneho farmára podľa čl. 9 nariadenia (EÚ) č. 1307/2013.</w:t>
      </w:r>
    </w:p>
    <w:p w:rsidR="00ED1FEE" w:rsidRDefault="00ED1FEE" w:rsidP="00ED1FEE">
      <w:pPr>
        <w:rPr>
          <w:rFonts w:ascii="Calibri" w:eastAsia="Calibri" w:hAnsi="Calibri" w:cs="Calibri"/>
          <w:bCs/>
          <w:szCs w:val="22"/>
          <w:lang w:eastAsia="en-US"/>
        </w:rPr>
      </w:pPr>
    </w:p>
    <w:p w:rsidR="00ED1FEE" w:rsidRDefault="00ED1FEE" w:rsidP="00ED1FEE">
      <w:pPr>
        <w:rPr>
          <w:rFonts w:ascii="Calibri" w:eastAsia="Calibri" w:hAnsi="Calibri" w:cs="Calibri"/>
          <w:bCs/>
          <w:szCs w:val="22"/>
          <w:u w:val="single"/>
          <w:lang w:eastAsia="en-US"/>
        </w:rPr>
      </w:pPr>
      <w:r>
        <w:rPr>
          <w:rFonts w:ascii="Calibri" w:eastAsia="Calibri" w:hAnsi="Calibri" w:cs="Calibri"/>
          <w:bCs/>
          <w:szCs w:val="22"/>
          <w:u w:val="single"/>
          <w:lang w:eastAsia="en-US"/>
        </w:rPr>
        <w:t>Oprávnené náklady:</w:t>
      </w:r>
    </w:p>
    <w:p w:rsidR="00ED1FEE" w:rsidRDefault="00ED1FEE" w:rsidP="00ED1FEE">
      <w:pPr>
        <w:rPr>
          <w:rFonts w:ascii="Calibri" w:eastAsia="Calibri" w:hAnsi="Calibri" w:cs="Calibri"/>
          <w:bCs/>
          <w:szCs w:val="22"/>
          <w:lang w:eastAsia="en-US"/>
        </w:rPr>
      </w:pPr>
      <w:r>
        <w:rPr>
          <w:rFonts w:ascii="Calibri" w:eastAsia="Calibri" w:hAnsi="Calibri" w:cs="Calibri"/>
          <w:bCs/>
          <w:szCs w:val="22"/>
          <w:lang w:eastAsia="en-US"/>
        </w:rPr>
        <w:t xml:space="preserve">Oprávnené náklady prestavujú dodatočné finančné zdroje hlavne na nákup uznaných osív </w:t>
      </w:r>
      <w:r>
        <w:rPr>
          <w:rFonts w:ascii="Calibri" w:eastAsia="Calibri" w:hAnsi="Calibri" w:cs="Calibri"/>
          <w:szCs w:val="22"/>
          <w:lang w:eastAsia="en-US"/>
        </w:rPr>
        <w:t>celoročne kvitnúcich zmesí, ako aj zvýšené náklady na prípravu a zapracovanie osív do pôdy. Celkovo však dodatočné náklady a ušlý príjem ( vylúčením týchto plôch z intenzívnej výroby), je kalkulovaný so zamedzením dvojitého financovania v rámci čl.43  a 46 nariadenia č.1307/2013 – oblasť ekologického záujmu.</w:t>
      </w:r>
    </w:p>
    <w:p w:rsidR="00ED1FEE" w:rsidRDefault="00ED1FEE" w:rsidP="00ED1FEE">
      <w:pPr>
        <w:rPr>
          <w:rFonts w:ascii="Calibri" w:eastAsia="Calibri" w:hAnsi="Calibri" w:cs="Calibri"/>
          <w:bCs/>
          <w:szCs w:val="22"/>
          <w:u w:val="single"/>
          <w:lang w:eastAsia="en-US"/>
        </w:rPr>
      </w:pPr>
    </w:p>
    <w:p w:rsidR="00ED1FEE" w:rsidRDefault="00ED1FEE" w:rsidP="00ED1FEE">
      <w:pPr>
        <w:rPr>
          <w:rFonts w:ascii="Calibri" w:eastAsia="Calibri" w:hAnsi="Calibri" w:cs="Calibri"/>
          <w:bCs/>
          <w:szCs w:val="22"/>
          <w:u w:val="single"/>
          <w:lang w:eastAsia="en-US"/>
        </w:rPr>
      </w:pPr>
      <w:r>
        <w:rPr>
          <w:rFonts w:ascii="Calibri" w:eastAsia="Calibri" w:hAnsi="Calibri" w:cs="Calibri"/>
          <w:bCs/>
          <w:szCs w:val="22"/>
          <w:u w:val="single"/>
          <w:lang w:eastAsia="en-US"/>
        </w:rPr>
        <w:t>Podmienky oprávnenosti:</w:t>
      </w:r>
    </w:p>
    <w:p w:rsidR="00ED1FEE" w:rsidRDefault="00ED1FEE" w:rsidP="00CE203B">
      <w:pPr>
        <w:numPr>
          <w:ilvl w:val="0"/>
          <w:numId w:val="273"/>
        </w:numPr>
        <w:rPr>
          <w:rFonts w:ascii="Calibri" w:hAnsi="Calibri" w:cs="Calibri"/>
          <w:szCs w:val="22"/>
          <w:lang w:eastAsia="en-US"/>
        </w:rPr>
      </w:pPr>
      <w:r>
        <w:rPr>
          <w:rFonts w:ascii="Calibri" w:hAnsi="Calibri" w:cs="Calibri"/>
          <w:szCs w:val="22"/>
          <w:lang w:eastAsia="en-US"/>
        </w:rPr>
        <w:t>do podpory môžu byť zaradené orné pôdy hlavne v nížinných oblastiach SR (</w:t>
      </w:r>
      <w:r>
        <w:rPr>
          <w:rFonts w:ascii="Calibri" w:eastAsia="Calibri" w:hAnsi="Calibri" w:cs="Calibri"/>
          <w:szCs w:val="22"/>
          <w:lang w:eastAsia="en-US"/>
        </w:rPr>
        <w:t>Podunajská nížina, Trnavská tabuľa, Východoslovenská nížina, Záhorská nížina)</w:t>
      </w:r>
    </w:p>
    <w:p w:rsidR="00ED1FEE" w:rsidRDefault="00ED1FEE" w:rsidP="00CE203B">
      <w:pPr>
        <w:numPr>
          <w:ilvl w:val="0"/>
          <w:numId w:val="273"/>
        </w:numPr>
        <w:rPr>
          <w:rFonts w:ascii="Calibri" w:hAnsi="Calibri" w:cs="Calibri"/>
          <w:szCs w:val="22"/>
          <w:lang w:eastAsia="en-US"/>
        </w:rPr>
      </w:pPr>
      <w:r>
        <w:rPr>
          <w:rFonts w:ascii="Calibri" w:hAnsi="Calibri" w:cs="Calibri"/>
          <w:szCs w:val="22"/>
          <w:lang w:eastAsia="en-US"/>
        </w:rPr>
        <w:t xml:space="preserve">vstúpiť do opatrenia minimálne s 3 ha ornej pôdy vedenej v LPIS </w:t>
      </w:r>
    </w:p>
    <w:p w:rsidR="00ED1FEE" w:rsidRPr="00DD7895" w:rsidRDefault="00ED1FEE" w:rsidP="00ED1FEE">
      <w:pPr>
        <w:rPr>
          <w:rFonts w:ascii="Calibri" w:eastAsia="Calibri" w:hAnsi="Calibri" w:cs="Calibri"/>
          <w:szCs w:val="22"/>
          <w:lang w:eastAsia="en-US"/>
        </w:rPr>
      </w:pPr>
      <w:r w:rsidRPr="00DD7895">
        <w:rPr>
          <w:rFonts w:ascii="Calibri" w:eastAsia="Calibri" w:hAnsi="Calibri" w:cs="Calibri"/>
          <w:szCs w:val="22"/>
          <w:u w:val="single"/>
          <w:lang w:eastAsia="en-US"/>
        </w:rPr>
        <w:t>Podmienky podpory</w:t>
      </w:r>
    </w:p>
    <w:p w:rsidR="00ED1FEE" w:rsidRDefault="00ED1FEE" w:rsidP="00CE203B">
      <w:pPr>
        <w:numPr>
          <w:ilvl w:val="0"/>
          <w:numId w:val="356"/>
        </w:numPr>
        <w:contextualSpacing/>
        <w:rPr>
          <w:rFonts w:ascii="Calibri" w:hAnsi="Calibri" w:cs="Calibri"/>
          <w:szCs w:val="22"/>
          <w:lang w:eastAsia="en-US"/>
        </w:rPr>
      </w:pPr>
      <w:r w:rsidRPr="00024C0C">
        <w:rPr>
          <w:rFonts w:ascii="Calibri" w:eastAsia="Calibri" w:hAnsi="Calibri" w:cs="Calibri"/>
          <w:szCs w:val="22"/>
          <w:lang w:eastAsia="en-US"/>
        </w:rPr>
        <w:t>každoročne (počas obdobia trvania záväzku) osiať zmesou  celoročne kvitnúcich zmesí</w:t>
      </w:r>
      <w:r w:rsidRPr="00024C0C">
        <w:rPr>
          <w:rFonts w:ascii="Calibri" w:hAnsi="Calibri" w:cs="Calibri"/>
          <w:szCs w:val="22"/>
          <w:lang w:eastAsia="en-US"/>
        </w:rPr>
        <w:t xml:space="preserve"> minimálne 5 metrov široké  multifunkčné pásy ornej pôdy v</w:t>
      </w:r>
      <w:r>
        <w:rPr>
          <w:rFonts w:ascii="Calibri" w:hAnsi="Calibri" w:cs="Calibri"/>
          <w:szCs w:val="22"/>
          <w:lang w:eastAsia="en-US"/>
        </w:rPr>
        <w:t> </w:t>
      </w:r>
      <w:r w:rsidRPr="00024C0C">
        <w:rPr>
          <w:rFonts w:ascii="Calibri" w:hAnsi="Calibri" w:cs="Calibri"/>
          <w:szCs w:val="22"/>
          <w:lang w:eastAsia="en-US"/>
        </w:rPr>
        <w:t>dĺžke</w:t>
      </w:r>
      <w:r>
        <w:rPr>
          <w:rFonts w:ascii="Calibri" w:hAnsi="Calibri" w:cs="Calibri"/>
          <w:szCs w:val="22"/>
          <w:lang w:eastAsia="en-US"/>
        </w:rPr>
        <w:t xml:space="preserve"> najmenej </w:t>
      </w:r>
      <w:r w:rsidRPr="00024C0C">
        <w:rPr>
          <w:rFonts w:ascii="Calibri" w:hAnsi="Calibri" w:cs="Calibri"/>
          <w:szCs w:val="22"/>
          <w:lang w:eastAsia="en-US"/>
        </w:rPr>
        <w:t>200 m (plocha 1000</w:t>
      </w:r>
      <w:r>
        <w:rPr>
          <w:rFonts w:ascii="Calibri" w:hAnsi="Calibri" w:cs="Calibri"/>
          <w:szCs w:val="22"/>
          <w:lang w:eastAsia="en-US"/>
        </w:rPr>
        <w:t xml:space="preserve"> </w:t>
      </w:r>
      <w:r w:rsidRPr="00024C0C">
        <w:rPr>
          <w:rFonts w:ascii="Calibri" w:hAnsi="Calibri" w:cs="Calibri"/>
          <w:szCs w:val="22"/>
          <w:lang w:eastAsia="en-US"/>
        </w:rPr>
        <w:t>m</w:t>
      </w:r>
      <w:r w:rsidRPr="00024C0C">
        <w:rPr>
          <w:rFonts w:ascii="Calibri" w:hAnsi="Calibri" w:cs="Calibri"/>
          <w:szCs w:val="22"/>
          <w:vertAlign w:val="superscript"/>
          <w:lang w:eastAsia="en-US"/>
        </w:rPr>
        <w:t>2</w:t>
      </w:r>
      <w:r w:rsidRPr="00024C0C">
        <w:rPr>
          <w:rFonts w:ascii="Calibri" w:hAnsi="Calibri" w:cs="Calibri"/>
          <w:szCs w:val="22"/>
          <w:lang w:eastAsia="en-US"/>
        </w:rPr>
        <w:t>),</w:t>
      </w:r>
      <w:r w:rsidRPr="00024C0C">
        <w:rPr>
          <w:rFonts w:eastAsiaTheme="minorHAnsi" w:cstheme="minorBidi"/>
          <w:noProof/>
          <w:szCs w:val="22"/>
          <w:lang w:eastAsia="en-US"/>
        </w:rPr>
        <w:t xml:space="preserve"> </w:t>
      </w:r>
      <w:r w:rsidRPr="00024C0C">
        <w:rPr>
          <w:rFonts w:ascii="Calibri" w:hAnsi="Calibri" w:cs="Calibri"/>
          <w:szCs w:val="22"/>
          <w:lang w:eastAsia="en-US"/>
        </w:rPr>
        <w:t>ktorý bude umiestnený na okraji alebo vo vnútri pôdneho bloku ornej pôdy</w:t>
      </w:r>
      <w:r>
        <w:rPr>
          <w:rFonts w:ascii="Calibri" w:hAnsi="Calibri" w:cs="Calibri"/>
          <w:szCs w:val="22"/>
          <w:lang w:eastAsia="en-US"/>
        </w:rPr>
        <w:t xml:space="preserve"> medzi dvoma pestovanými plodinami, </w:t>
      </w:r>
    </w:p>
    <w:p w:rsidR="00ED1FEE" w:rsidRPr="00024C0C" w:rsidRDefault="00ED1FEE" w:rsidP="00CE203B">
      <w:pPr>
        <w:numPr>
          <w:ilvl w:val="0"/>
          <w:numId w:val="356"/>
        </w:numPr>
        <w:contextualSpacing/>
        <w:rPr>
          <w:rFonts w:ascii="Calibri" w:hAnsi="Calibri" w:cs="Calibri"/>
          <w:szCs w:val="22"/>
          <w:lang w:eastAsia="en-US"/>
        </w:rPr>
      </w:pPr>
      <w:r w:rsidRPr="00024C0C">
        <w:rPr>
          <w:rFonts w:ascii="Calibri" w:hAnsi="Calibri" w:cs="Calibri"/>
          <w:szCs w:val="22"/>
          <w:lang w:eastAsia="en-US"/>
        </w:rPr>
        <w:t>výsev multifunkčných pásov realizovať do konca apríla príslušného roku,</w:t>
      </w:r>
    </w:p>
    <w:p w:rsidR="00ED1FEE" w:rsidRDefault="00ED1FEE" w:rsidP="00CE203B">
      <w:pPr>
        <w:numPr>
          <w:ilvl w:val="0"/>
          <w:numId w:val="356"/>
        </w:numPr>
        <w:contextualSpacing/>
        <w:rPr>
          <w:rFonts w:ascii="Calibri" w:hAnsi="Calibri" w:cs="Calibri"/>
          <w:szCs w:val="22"/>
          <w:lang w:eastAsia="en-US"/>
        </w:rPr>
      </w:pPr>
      <w:r>
        <w:rPr>
          <w:rFonts w:ascii="Calibri" w:hAnsi="Calibri" w:cs="Calibri"/>
          <w:szCs w:val="22"/>
          <w:lang w:eastAsia="en-US"/>
        </w:rPr>
        <w:t>na vytvorených multifunkčných biopásoch celoročne neaplikovať chemické prípravky na ochranu rastlín ani minerálne hnojivá ,</w:t>
      </w:r>
    </w:p>
    <w:p w:rsidR="00ED1FEE" w:rsidRDefault="00ED1FEE" w:rsidP="00CE203B">
      <w:pPr>
        <w:numPr>
          <w:ilvl w:val="0"/>
          <w:numId w:val="356"/>
        </w:numPr>
        <w:contextualSpacing/>
        <w:rPr>
          <w:rFonts w:ascii="Calibri" w:hAnsi="Calibri" w:cs="Calibri"/>
          <w:szCs w:val="22"/>
          <w:lang w:eastAsia="en-US"/>
        </w:rPr>
      </w:pPr>
      <w:r>
        <w:rPr>
          <w:rFonts w:ascii="Calibri" w:hAnsi="Calibri" w:cs="Calibri"/>
          <w:szCs w:val="22"/>
          <w:lang w:eastAsia="en-US"/>
        </w:rPr>
        <w:t>celoročne multifunkčné biopásy nekosiť (povolená je len jedna kosba alebo mulčovanie pri premnožení burín a to do 6 týždňa po výseve)</w:t>
      </w:r>
    </w:p>
    <w:p w:rsidR="00ED1FEE" w:rsidRDefault="00ED1FEE" w:rsidP="00CE203B">
      <w:pPr>
        <w:numPr>
          <w:ilvl w:val="0"/>
          <w:numId w:val="356"/>
        </w:numPr>
        <w:tabs>
          <w:tab w:val="left" w:pos="7515"/>
        </w:tabs>
        <w:contextualSpacing/>
        <w:rPr>
          <w:rFonts w:ascii="Calibri" w:hAnsi="Calibri" w:cs="Calibri"/>
          <w:bCs/>
          <w:szCs w:val="22"/>
          <w:lang w:eastAsia="en-US"/>
        </w:rPr>
      </w:pPr>
      <w:r>
        <w:rPr>
          <w:rFonts w:ascii="Calibri" w:hAnsi="Calibri" w:cs="Calibri"/>
          <w:szCs w:val="22"/>
          <w:lang w:eastAsia="en-US"/>
        </w:rPr>
        <w:t>zrieknutie sa priamej aplikácie čistiarenského kalu a dnových sedimentov</w:t>
      </w:r>
    </w:p>
    <w:p w:rsidR="00ED1FEE" w:rsidRDefault="00ED1FEE" w:rsidP="00CE203B">
      <w:pPr>
        <w:numPr>
          <w:ilvl w:val="0"/>
          <w:numId w:val="356"/>
        </w:numPr>
        <w:tabs>
          <w:tab w:val="left" w:pos="7515"/>
        </w:tabs>
        <w:contextualSpacing/>
        <w:rPr>
          <w:rFonts w:ascii="Calibri" w:hAnsi="Calibri" w:cs="Calibri"/>
          <w:bCs/>
          <w:szCs w:val="22"/>
          <w:lang w:eastAsia="en-US"/>
        </w:rPr>
      </w:pPr>
      <w:r>
        <w:rPr>
          <w:rFonts w:ascii="Calibri" w:hAnsi="Calibri" w:cs="Calibri"/>
          <w:szCs w:val="22"/>
          <w:lang w:eastAsia="en-US"/>
        </w:rPr>
        <w:t>povinnosť absolvovať školiaci kurz k správne vykonávaným podmienkam opatrenia</w:t>
      </w:r>
    </w:p>
    <w:p w:rsidR="00ED1FEE" w:rsidRDefault="00ED1FEE" w:rsidP="00ED1FEE">
      <w:pPr>
        <w:rPr>
          <w:rFonts w:ascii="Calibri" w:eastAsia="Calibri" w:hAnsi="Calibri" w:cs="Calibri"/>
          <w:szCs w:val="22"/>
          <w:lang w:eastAsia="en-US"/>
        </w:rPr>
      </w:pPr>
    </w:p>
    <w:p w:rsidR="00ED1FEE" w:rsidRDefault="00ED1FEE" w:rsidP="00ED1FEE">
      <w:pPr>
        <w:rPr>
          <w:rFonts w:ascii="Calibri" w:eastAsia="Calibri" w:hAnsi="Calibri" w:cs="Calibri"/>
          <w:szCs w:val="22"/>
          <w:u w:val="single"/>
          <w:lang w:eastAsia="en-US"/>
        </w:rPr>
      </w:pPr>
      <w:r>
        <w:rPr>
          <w:rFonts w:ascii="Calibri" w:eastAsia="Calibri" w:hAnsi="Calibri" w:cs="Calibri"/>
          <w:szCs w:val="22"/>
          <w:u w:val="single"/>
          <w:lang w:eastAsia="en-US"/>
        </w:rPr>
        <w:t>Princípy nastavenia výberových kritérií:</w:t>
      </w:r>
    </w:p>
    <w:p w:rsidR="00ED1FEE" w:rsidRPr="00B2600F" w:rsidRDefault="00ED1FEE" w:rsidP="00CE203B">
      <w:pPr>
        <w:pStyle w:val="Odsekzoznamu"/>
        <w:numPr>
          <w:ilvl w:val="0"/>
          <w:numId w:val="357"/>
        </w:numPr>
        <w:rPr>
          <w:rFonts w:ascii="Calibri" w:hAnsi="Calibri"/>
          <w:szCs w:val="22"/>
          <w:lang w:eastAsia="en-GB"/>
        </w:rPr>
      </w:pPr>
      <w:r w:rsidRPr="00B2600F">
        <w:rPr>
          <w:rFonts w:ascii="Calibri" w:hAnsi="Calibri"/>
          <w:szCs w:val="22"/>
          <w:lang w:eastAsia="en-GB"/>
        </w:rPr>
        <w:t>uprednost</w:t>
      </w:r>
      <w:r w:rsidR="00095683">
        <w:rPr>
          <w:rFonts w:ascii="Calibri" w:hAnsi="Calibri"/>
          <w:szCs w:val="22"/>
          <w:lang w:eastAsia="en-GB"/>
        </w:rPr>
        <w:t>n</w:t>
      </w:r>
      <w:r w:rsidRPr="00B2600F">
        <w:rPr>
          <w:rFonts w:ascii="Calibri" w:hAnsi="Calibri"/>
          <w:szCs w:val="22"/>
          <w:lang w:eastAsia="en-GB"/>
        </w:rPr>
        <w:t xml:space="preserve">ené budú lokality nížinných oblasti SR </w:t>
      </w:r>
      <w:r w:rsidRPr="00B2600F">
        <w:rPr>
          <w:rFonts w:ascii="Calibri" w:hAnsi="Calibri" w:cs="Calibri"/>
          <w:szCs w:val="22"/>
          <w:lang w:eastAsia="en-US"/>
        </w:rPr>
        <w:t>(</w:t>
      </w:r>
      <w:r w:rsidRPr="00B2600F">
        <w:rPr>
          <w:rFonts w:ascii="Calibri" w:eastAsia="Calibri" w:hAnsi="Calibri" w:cs="Calibri"/>
          <w:szCs w:val="22"/>
          <w:lang w:eastAsia="en-US"/>
        </w:rPr>
        <w:t>Podunajská nížina, Trnavská tabuľa, Východoslovenská nížina, Záhorská nížina)</w:t>
      </w:r>
    </w:p>
    <w:p w:rsidR="00ED1FEE" w:rsidRPr="00B2600F" w:rsidRDefault="00ED1FEE" w:rsidP="00CE203B">
      <w:pPr>
        <w:pStyle w:val="Odsekzoznamu"/>
        <w:numPr>
          <w:ilvl w:val="0"/>
          <w:numId w:val="357"/>
        </w:numPr>
        <w:rPr>
          <w:rFonts w:ascii="Calibri" w:hAnsi="Calibri"/>
          <w:szCs w:val="22"/>
          <w:lang w:eastAsia="en-GB"/>
        </w:rPr>
      </w:pPr>
      <w:r w:rsidRPr="00B2600F">
        <w:rPr>
          <w:rFonts w:ascii="Calibri" w:hAnsi="Calibri"/>
          <w:szCs w:val="22"/>
          <w:lang w:eastAsia="en-GB"/>
        </w:rPr>
        <w:t>podiel multifunkčných pásov na celkovej výmere podniku v zostupnej tendencii</w:t>
      </w:r>
    </w:p>
    <w:p w:rsidR="00ED1FEE" w:rsidRPr="00B2600F" w:rsidRDefault="00ED1FEE" w:rsidP="00CE203B">
      <w:pPr>
        <w:pStyle w:val="Odsekzoznamu"/>
        <w:numPr>
          <w:ilvl w:val="0"/>
          <w:numId w:val="357"/>
        </w:numPr>
        <w:rPr>
          <w:rFonts w:ascii="Calibri" w:hAnsi="Calibri"/>
          <w:szCs w:val="22"/>
          <w:lang w:eastAsia="en-GB"/>
        </w:rPr>
      </w:pPr>
      <w:r w:rsidRPr="00B2600F">
        <w:rPr>
          <w:rFonts w:ascii="Calibri" w:hAnsi="Calibri"/>
          <w:szCs w:val="22"/>
          <w:lang w:eastAsia="en-GB"/>
        </w:rPr>
        <w:t>celková výmera multifunkčných pásov v zostupnej tendencii v podniku</w:t>
      </w:r>
    </w:p>
    <w:p w:rsidR="00ED1FEE" w:rsidRPr="00C5467B" w:rsidRDefault="00ED1FEE" w:rsidP="00ED1FEE">
      <w:pPr>
        <w:pStyle w:val="Odsekzoznamu"/>
        <w:rPr>
          <w:rFonts w:ascii="Calibri" w:hAnsi="Calibri"/>
          <w:szCs w:val="22"/>
          <w:u w:val="single"/>
          <w:lang w:eastAsia="en-GB"/>
        </w:rPr>
      </w:pPr>
    </w:p>
    <w:p w:rsidR="00ED1FEE" w:rsidRDefault="00ED1FEE" w:rsidP="00ED1FEE">
      <w:pPr>
        <w:rPr>
          <w:rFonts w:ascii="Calibri" w:hAnsi="Calibri"/>
          <w:szCs w:val="22"/>
          <w:u w:val="single"/>
          <w:lang w:eastAsia="en-GB"/>
        </w:rPr>
      </w:pPr>
      <w:r>
        <w:rPr>
          <w:rFonts w:ascii="Calibri" w:hAnsi="Calibri"/>
          <w:szCs w:val="22"/>
          <w:u w:val="single"/>
          <w:lang w:eastAsia="en-GB"/>
        </w:rPr>
        <w:t>Výška a miera podpory:</w:t>
      </w:r>
    </w:p>
    <w:p w:rsidR="00ED1FEE" w:rsidRDefault="00ED1FEE" w:rsidP="00ED1FEE">
      <w:pPr>
        <w:rPr>
          <w:rFonts w:ascii="Calibri" w:eastAsia="Calibri" w:hAnsi="Calibri" w:cs="Calibri"/>
          <w:szCs w:val="22"/>
          <w:lang w:eastAsia="en-US"/>
        </w:rPr>
      </w:pPr>
      <w:r>
        <w:rPr>
          <w:rFonts w:ascii="Calibri" w:eastAsia="Calibri" w:hAnsi="Calibri" w:cs="Calibri"/>
          <w:szCs w:val="22"/>
          <w:lang w:eastAsia="en-US"/>
        </w:rPr>
        <w:t>Výška podpory:     350 €/ha plochy ornej pôdy s vytvoreným multifunkčným pásom.</w:t>
      </w:r>
    </w:p>
    <w:p w:rsidR="00ED1FEE" w:rsidRDefault="00ED1FEE" w:rsidP="00ED1FEE">
      <w:pPr>
        <w:rPr>
          <w:rFonts w:ascii="Calibri" w:eastAsia="Calibri" w:hAnsi="Calibri" w:cs="Calibri"/>
          <w:szCs w:val="22"/>
          <w:lang w:eastAsia="en-US"/>
        </w:rPr>
      </w:pPr>
    </w:p>
    <w:p w:rsidR="00095683" w:rsidRDefault="00095683" w:rsidP="00ED1FEE">
      <w:pPr>
        <w:rPr>
          <w:rFonts w:ascii="Calibri" w:eastAsia="Calibri" w:hAnsi="Calibri" w:cs="Calibri"/>
          <w:szCs w:val="22"/>
          <w:lang w:eastAsia="en-US"/>
        </w:rPr>
      </w:pPr>
    </w:p>
    <w:p w:rsidR="00ED1FEE" w:rsidRDefault="00ED1FEE" w:rsidP="00ED1FEE">
      <w:pPr>
        <w:shd w:val="clear" w:color="auto" w:fill="FBD4B4"/>
        <w:rPr>
          <w:rFonts w:ascii="Calibri" w:eastAsia="Calibri" w:hAnsi="Calibri" w:cs="Calibri"/>
          <w:bCs/>
          <w:szCs w:val="22"/>
          <w:lang w:eastAsia="en-US"/>
        </w:rPr>
      </w:pPr>
      <w:r>
        <w:rPr>
          <w:rFonts w:ascii="Calibri" w:eastAsia="Calibri" w:hAnsi="Calibri" w:cs="Calibri"/>
          <w:bCs/>
          <w:szCs w:val="22"/>
          <w:u w:val="single"/>
          <w:lang w:eastAsia="en-US"/>
        </w:rPr>
        <w:t>Názov operácie:</w:t>
      </w:r>
      <w:r>
        <w:rPr>
          <w:rFonts w:ascii="Calibri" w:eastAsia="Calibri" w:hAnsi="Calibri" w:cs="Calibri"/>
          <w:bCs/>
          <w:szCs w:val="22"/>
          <w:lang w:eastAsia="en-US"/>
        </w:rPr>
        <w:t xml:space="preserve"> </w:t>
      </w:r>
    </w:p>
    <w:p w:rsidR="00ED1FEE" w:rsidRDefault="00ED1FEE" w:rsidP="00ED1FEE">
      <w:pPr>
        <w:shd w:val="clear" w:color="auto" w:fill="FBD4B4"/>
        <w:rPr>
          <w:rFonts w:ascii="Calibri" w:eastAsia="Calibri" w:hAnsi="Calibri" w:cs="Calibri"/>
          <w:bCs/>
          <w:i/>
          <w:szCs w:val="22"/>
          <w:lang w:eastAsia="en-US"/>
        </w:rPr>
      </w:pPr>
      <w:r>
        <w:rPr>
          <w:rFonts w:ascii="Calibri" w:eastAsia="Calibri" w:hAnsi="Calibri" w:cs="Calibri"/>
          <w:bCs/>
          <w:i/>
          <w:szCs w:val="22"/>
          <w:lang w:eastAsia="en-US"/>
        </w:rPr>
        <w:t>Ochrana vodných zdrojov – CHVO Žitný ostrov</w:t>
      </w:r>
    </w:p>
    <w:p w:rsidR="00ED1FEE" w:rsidRDefault="00ED1FEE" w:rsidP="00ED1FEE">
      <w:pPr>
        <w:rPr>
          <w:rFonts w:ascii="Calibri" w:eastAsia="Calibri" w:hAnsi="Calibri" w:cs="Calibri"/>
          <w:szCs w:val="22"/>
          <w:lang w:eastAsia="en-US"/>
        </w:rPr>
      </w:pPr>
    </w:p>
    <w:p w:rsidR="00ED1FEE" w:rsidRDefault="00ED1FEE" w:rsidP="00ED1FEE">
      <w:pPr>
        <w:autoSpaceDE w:val="0"/>
        <w:autoSpaceDN w:val="0"/>
        <w:adjustRightInd w:val="0"/>
        <w:rPr>
          <w:rFonts w:ascii="Calibri" w:eastAsia="Calibri" w:hAnsi="Calibri" w:cs="Calibri"/>
          <w:bCs/>
          <w:szCs w:val="22"/>
          <w:u w:val="single"/>
          <w:lang w:eastAsia="en-US"/>
        </w:rPr>
      </w:pPr>
      <w:r>
        <w:rPr>
          <w:rFonts w:ascii="Calibri" w:eastAsia="Calibri" w:hAnsi="Calibri" w:cs="Calibri"/>
          <w:bCs/>
          <w:szCs w:val="22"/>
          <w:u w:val="single"/>
          <w:lang w:eastAsia="en-US"/>
        </w:rPr>
        <w:t>Opis operácie:</w:t>
      </w:r>
    </w:p>
    <w:p w:rsidR="00ED1FEE" w:rsidRDefault="00ED1FEE" w:rsidP="00ED1FEE">
      <w:pPr>
        <w:rPr>
          <w:rFonts w:ascii="Calibri" w:eastAsia="Calibri" w:hAnsi="Calibri" w:cs="Calibri"/>
          <w:szCs w:val="22"/>
          <w:lang w:eastAsia="en-US"/>
        </w:rPr>
      </w:pPr>
      <w:r>
        <w:rPr>
          <w:rFonts w:ascii="Calibri" w:eastAsia="Calibri" w:hAnsi="Calibri" w:cs="Calibri"/>
          <w:szCs w:val="22"/>
          <w:lang w:eastAsia="en-US"/>
        </w:rPr>
        <w:t xml:space="preserve">Slovenská republika má podľa zákona č.364/2004 Z.z. o vodách v znení neskorších predpisov, vyhlásených 6 vodohospodársky chránených veľkoplošných oblastí podzemných vodných zdrojov. Jednou z týchto oblastí je aj Chránená vodohospodárska oblasť (CHVO) Žitný ostrov. Oproti ostatným oblastiam je atypická tým, že je to najväčšia oblasť zdrojov podzemných vôd v strednej Európe a na druhej strane, že táto oblasť patrí z hľadiska poľnohospodárskej výroby k najúrodnejším lokalitám SR. Uvedená lokalita je v zmysle  dusičnanovej smernice ES č. 91/676/EEC tiež zaradená do zraniteľných oblastí SR. </w:t>
      </w:r>
    </w:p>
    <w:p w:rsidR="00ED1FEE" w:rsidRDefault="00ED1FEE" w:rsidP="00ED1FEE">
      <w:pPr>
        <w:rPr>
          <w:rFonts w:ascii="Calibri" w:eastAsia="Calibri" w:hAnsi="Calibri" w:cs="Calibri"/>
          <w:szCs w:val="22"/>
          <w:lang w:eastAsia="en-US"/>
        </w:rPr>
      </w:pPr>
      <w:r>
        <w:rPr>
          <w:rFonts w:ascii="Calibri" w:eastAsia="Calibri" w:hAnsi="Calibri" w:cs="Calibri"/>
          <w:szCs w:val="22"/>
          <w:lang w:eastAsia="en-US"/>
        </w:rPr>
        <w:t>Cieľom navrhovanej podpory je zosúladiť na jednej strane ochranu vodných zdrojov a na strane druhej stáročia realizovanú poľnohospodársku činnosť.</w:t>
      </w:r>
    </w:p>
    <w:p w:rsidR="00ED1FEE" w:rsidRDefault="00ED1FEE" w:rsidP="00ED1FEE">
      <w:pPr>
        <w:rPr>
          <w:rFonts w:ascii="Calibri" w:eastAsia="Calibri" w:hAnsi="Calibri" w:cs="Calibri"/>
          <w:szCs w:val="22"/>
          <w:lang w:eastAsia="en-US"/>
        </w:rPr>
      </w:pPr>
      <w:r>
        <w:rPr>
          <w:rFonts w:ascii="Calibri" w:eastAsia="Calibri" w:hAnsi="Calibri" w:cs="Calibri"/>
          <w:szCs w:val="22"/>
          <w:lang w:eastAsia="en-US"/>
        </w:rPr>
        <w:t>Precízne hnojenie (alebo presné hnojenie poľnohospodárskych pôd) podložené relevantnými ročnými rozbormi obsahu minerálneho dusíka v pôde,  vybilancovaného prostredníctvom dôsledných analytických rozborov pôdy a príslušného osevného postupu, má na týchto podkladoch  umožniť v intenciách povolených hodnôt výšky aplikácie dusíka, aby v prvom rade bola zabezpečená ochrana podzemných vodných zdrojov a na strane druhej mohla pokračovať adekvátne poľnohospodárska činnosť.</w:t>
      </w:r>
    </w:p>
    <w:p w:rsidR="00ED1FEE" w:rsidRDefault="00ED1FEE" w:rsidP="00ED1FEE">
      <w:pPr>
        <w:rPr>
          <w:rFonts w:ascii="Calibri" w:eastAsia="Calibri" w:hAnsi="Calibri" w:cs="Calibri"/>
          <w:szCs w:val="22"/>
          <w:lang w:eastAsia="en-US"/>
        </w:rPr>
      </w:pPr>
      <w:r>
        <w:rPr>
          <w:rFonts w:ascii="Calibri" w:eastAsia="Calibri" w:hAnsi="Calibri" w:cs="Calibri"/>
          <w:szCs w:val="22"/>
          <w:lang w:eastAsia="en-US"/>
        </w:rPr>
        <w:t>Realizácia týchto postupov bude každoročne monitorovaná príslušnými inštitúciami zodpovednými za monitoring obsahu dusičnanom  v podzemných vodách.</w:t>
      </w:r>
    </w:p>
    <w:p w:rsidR="00ED1FEE" w:rsidRDefault="00ED1FEE" w:rsidP="00ED1FEE">
      <w:pPr>
        <w:rPr>
          <w:rFonts w:ascii="Calibri" w:eastAsia="Calibri" w:hAnsi="Calibri" w:cs="Calibri"/>
          <w:szCs w:val="22"/>
          <w:lang w:eastAsia="en-US"/>
        </w:rPr>
      </w:pPr>
    </w:p>
    <w:p w:rsidR="00ED1FEE" w:rsidRDefault="00ED1FEE" w:rsidP="00ED1FEE">
      <w:pPr>
        <w:rPr>
          <w:rFonts w:ascii="Calibri" w:eastAsia="Calibri" w:hAnsi="Calibri"/>
          <w:noProof/>
          <w:szCs w:val="22"/>
          <w:u w:val="single"/>
          <w:lang w:eastAsia="en-GB"/>
        </w:rPr>
      </w:pPr>
      <w:r>
        <w:rPr>
          <w:rFonts w:ascii="Calibri" w:eastAsia="Calibri" w:hAnsi="Calibri"/>
          <w:noProof/>
          <w:szCs w:val="22"/>
          <w:u w:val="single"/>
          <w:lang w:eastAsia="en-GB"/>
        </w:rPr>
        <w:t>Typ podpory:</w:t>
      </w:r>
    </w:p>
    <w:p w:rsidR="00ED1FEE" w:rsidRDefault="00ED1FEE" w:rsidP="00ED1FEE">
      <w:pPr>
        <w:rPr>
          <w:rFonts w:ascii="Calibri" w:eastAsia="Calibri" w:hAnsi="Calibri"/>
          <w:noProof/>
          <w:szCs w:val="22"/>
          <w:lang w:eastAsia="en-GB"/>
        </w:rPr>
      </w:pPr>
      <w:r>
        <w:rPr>
          <w:rFonts w:ascii="Calibri" w:eastAsia="Calibri" w:hAnsi="Calibri"/>
          <w:szCs w:val="22"/>
          <w:lang w:eastAsia="en-US"/>
        </w:rPr>
        <w:t xml:space="preserve">Nezisková ročná platba na hektár </w:t>
      </w:r>
      <w:r>
        <w:rPr>
          <w:rFonts w:ascii="Calibri" w:eastAsia="Calibri" w:hAnsi="Calibri"/>
          <w:noProof/>
          <w:szCs w:val="22"/>
          <w:lang w:eastAsia="en-GB"/>
        </w:rPr>
        <w:t>onej pôdy s aplikáciou precízneho hnojenia</w:t>
      </w:r>
      <w:r>
        <w:rPr>
          <w:rFonts w:ascii="Calibri" w:eastAsia="Calibri" w:hAnsi="Calibri" w:cs="Calibri"/>
          <w:bCs/>
          <w:szCs w:val="22"/>
          <w:lang w:eastAsia="en-US"/>
        </w:rPr>
        <w:t>.</w:t>
      </w:r>
    </w:p>
    <w:p w:rsidR="00ED1FEE" w:rsidRDefault="00ED1FEE" w:rsidP="00ED1FEE">
      <w:pPr>
        <w:rPr>
          <w:rFonts w:ascii="Calibri" w:eastAsia="Calibri" w:hAnsi="Calibri" w:cs="Calibri"/>
          <w:bCs/>
          <w:szCs w:val="22"/>
          <w:u w:val="single"/>
          <w:lang w:eastAsia="en-US"/>
        </w:rPr>
      </w:pPr>
    </w:p>
    <w:p w:rsidR="00ED1FEE" w:rsidRDefault="00ED1FEE" w:rsidP="00ED1FEE">
      <w:pPr>
        <w:rPr>
          <w:rFonts w:ascii="Calibri" w:eastAsia="Calibri" w:hAnsi="Calibri" w:cs="Calibri"/>
          <w:bCs/>
          <w:szCs w:val="22"/>
          <w:u w:val="single"/>
          <w:lang w:eastAsia="en-US"/>
        </w:rPr>
      </w:pPr>
      <w:r>
        <w:rPr>
          <w:rFonts w:ascii="Calibri" w:eastAsia="Calibri" w:hAnsi="Calibri" w:cs="Calibri"/>
          <w:bCs/>
          <w:szCs w:val="22"/>
          <w:u w:val="single"/>
          <w:lang w:eastAsia="en-US"/>
        </w:rPr>
        <w:t>Súvislosť s inou legislatívou:</w:t>
      </w:r>
    </w:p>
    <w:p w:rsidR="00ED1FEE" w:rsidRDefault="00ED1FEE" w:rsidP="00955DA4">
      <w:pPr>
        <w:numPr>
          <w:ilvl w:val="0"/>
          <w:numId w:val="200"/>
        </w:numPr>
        <w:rPr>
          <w:rFonts w:ascii="Calibri" w:hAnsi="Calibri" w:cs="EUAlbertina"/>
          <w:bCs/>
          <w:szCs w:val="22"/>
        </w:rPr>
      </w:pPr>
      <w:r>
        <w:rPr>
          <w:rFonts w:ascii="Calibri" w:hAnsi="Calibri"/>
          <w:szCs w:val="22"/>
        </w:rPr>
        <w:t xml:space="preserve">nariadenie (EÚ) č. 1306/2013 </w:t>
      </w:r>
      <w:r>
        <w:rPr>
          <w:rFonts w:ascii="Calibri" w:hAnsi="Calibri" w:cs="EUAlbertina"/>
          <w:bCs/>
          <w:szCs w:val="22"/>
        </w:rPr>
        <w:t>o financovaní, riadení a monitorovaní spoločnej poľnohospodárskej politiky;</w:t>
      </w:r>
    </w:p>
    <w:p w:rsidR="00ED1FEE" w:rsidRDefault="00ED1FEE" w:rsidP="00955DA4">
      <w:pPr>
        <w:numPr>
          <w:ilvl w:val="0"/>
          <w:numId w:val="200"/>
        </w:numPr>
        <w:rPr>
          <w:rFonts w:ascii="Calibri" w:hAnsi="Calibri" w:cs="EUAlbertina"/>
          <w:bCs/>
          <w:szCs w:val="22"/>
        </w:rPr>
      </w:pPr>
      <w:r>
        <w:rPr>
          <w:rFonts w:ascii="Calibri" w:hAnsi="Calibri" w:cs="EUAlbertina"/>
          <w:bCs/>
          <w:szCs w:val="22"/>
        </w:rPr>
        <w:t>nariadenie (EÚ) 1307/2013;</w:t>
      </w:r>
    </w:p>
    <w:p w:rsidR="00ED1FEE" w:rsidRDefault="00ED1FEE" w:rsidP="00955DA4">
      <w:pPr>
        <w:numPr>
          <w:ilvl w:val="0"/>
          <w:numId w:val="200"/>
        </w:numPr>
        <w:rPr>
          <w:rFonts w:ascii="Calibri" w:hAnsi="Calibri"/>
          <w:szCs w:val="22"/>
        </w:rPr>
      </w:pPr>
      <w:r>
        <w:rPr>
          <w:rFonts w:ascii="Calibri" w:hAnsi="Calibri"/>
          <w:szCs w:val="22"/>
        </w:rPr>
        <w:t>zákon č. 364/2004 Z.z. o vodách.</w:t>
      </w:r>
    </w:p>
    <w:p w:rsidR="00ED1FEE" w:rsidRDefault="00ED1FEE" w:rsidP="00ED1FEE">
      <w:pPr>
        <w:rPr>
          <w:rFonts w:ascii="Calibri" w:eastAsia="Calibri" w:hAnsi="Calibri" w:cs="Calibri"/>
          <w:bCs/>
          <w:szCs w:val="22"/>
          <w:lang w:eastAsia="en-US"/>
        </w:rPr>
      </w:pPr>
    </w:p>
    <w:p w:rsidR="00ED1FEE" w:rsidRDefault="00ED1FEE" w:rsidP="00ED1FEE">
      <w:pPr>
        <w:rPr>
          <w:rFonts w:ascii="Calibri" w:eastAsia="Calibri" w:hAnsi="Calibri" w:cs="Calibri"/>
          <w:bCs/>
          <w:szCs w:val="22"/>
          <w:lang w:eastAsia="en-US"/>
        </w:rPr>
      </w:pPr>
      <w:r>
        <w:rPr>
          <w:rFonts w:ascii="Calibri" w:eastAsia="Calibri" w:hAnsi="Calibri" w:cs="Calibri"/>
          <w:bCs/>
          <w:szCs w:val="22"/>
          <w:u w:val="single"/>
          <w:lang w:eastAsia="en-US"/>
        </w:rPr>
        <w:t>Prijímateľ podpory:</w:t>
      </w:r>
    </w:p>
    <w:p w:rsidR="00ED1FEE" w:rsidRDefault="00ED1FEE" w:rsidP="00ED1FEE">
      <w:pPr>
        <w:rPr>
          <w:rFonts w:ascii="Calibri" w:eastAsia="Calibri" w:hAnsi="Calibri" w:cs="Calibri"/>
          <w:bCs/>
          <w:szCs w:val="22"/>
          <w:lang w:eastAsia="en-US"/>
        </w:rPr>
      </w:pPr>
      <w:r>
        <w:rPr>
          <w:rFonts w:ascii="Calibri" w:eastAsia="Calibri" w:hAnsi="Calibri"/>
          <w:noProof/>
          <w:szCs w:val="22"/>
          <w:lang w:eastAsia="en-US"/>
        </w:rPr>
        <w:t>Fyzické a právnické osoby podnikajúce v poľnohospodárskej prvovýrobe na území  CHVO  Žitný ostrov a spĺňajúce definíciu aktívneho farmára podľa čl. 9 nariadenia (EÚ) č. 1307/2013.</w:t>
      </w:r>
    </w:p>
    <w:p w:rsidR="00ED1FEE" w:rsidRDefault="00ED1FEE" w:rsidP="00ED1FEE">
      <w:pPr>
        <w:rPr>
          <w:rFonts w:ascii="Calibri" w:eastAsia="Calibri" w:hAnsi="Calibri" w:cs="Calibri"/>
          <w:bCs/>
          <w:szCs w:val="22"/>
          <w:lang w:eastAsia="en-US"/>
        </w:rPr>
      </w:pPr>
    </w:p>
    <w:p w:rsidR="00ED1FEE" w:rsidRDefault="00ED1FEE" w:rsidP="00ED1FEE">
      <w:pPr>
        <w:rPr>
          <w:rFonts w:ascii="Calibri" w:eastAsia="Calibri" w:hAnsi="Calibri" w:cs="Calibri"/>
          <w:bCs/>
          <w:szCs w:val="22"/>
          <w:u w:val="single"/>
          <w:lang w:eastAsia="en-US"/>
        </w:rPr>
      </w:pPr>
      <w:r>
        <w:rPr>
          <w:rFonts w:ascii="Calibri" w:eastAsia="Calibri" w:hAnsi="Calibri" w:cs="Calibri"/>
          <w:bCs/>
          <w:szCs w:val="22"/>
          <w:u w:val="single"/>
          <w:lang w:eastAsia="en-US"/>
        </w:rPr>
        <w:t>Oprávnené náklady:</w:t>
      </w:r>
    </w:p>
    <w:p w:rsidR="00ED1FEE" w:rsidRDefault="00ED1FEE" w:rsidP="00ED1FEE">
      <w:pPr>
        <w:rPr>
          <w:rFonts w:ascii="Calibri" w:eastAsia="Calibri" w:hAnsi="Calibri" w:cs="Calibri"/>
          <w:bCs/>
          <w:szCs w:val="22"/>
          <w:lang w:eastAsia="en-US"/>
        </w:rPr>
      </w:pPr>
      <w:r>
        <w:rPr>
          <w:rFonts w:ascii="Calibri" w:eastAsia="Calibri" w:hAnsi="Calibri" w:cs="Calibri"/>
          <w:bCs/>
          <w:szCs w:val="22"/>
          <w:lang w:eastAsia="en-US"/>
        </w:rPr>
        <w:t xml:space="preserve">Oprávnené náklady prestavujú dodatočné finančné zdroje na každoročnú bilanciu obsahu mineralizovaného dusíka v pôde vypracovanú oprávnenou inštitúciou , vypracovanie máp zásoby živín, vyhotovenie plánu precízneho hnojenia na základe stanoveného osevného postupu, dodržanie stanovených limitov hnojenia, zabezpečenie aplikácie precízneho hnojenia prostredníctvom programov v palubných počítačoch strojov , zabezpečenie GPS systémov kompatibilných z bilančných analýz a aplikačných metód, odovzdávanie bilančných a aplikačných  podkladov pre nezávislú výskumnú inštitúciu (VUPOP). </w:t>
      </w:r>
    </w:p>
    <w:p w:rsidR="00ED1FEE" w:rsidRDefault="00ED1FEE" w:rsidP="00ED1FEE">
      <w:pPr>
        <w:rPr>
          <w:rFonts w:ascii="Calibri" w:eastAsia="Calibri" w:hAnsi="Calibri" w:cs="Calibri"/>
          <w:bCs/>
          <w:szCs w:val="22"/>
          <w:u w:val="single"/>
          <w:lang w:eastAsia="en-US"/>
        </w:rPr>
      </w:pPr>
    </w:p>
    <w:p w:rsidR="00ED1FEE" w:rsidRDefault="00ED1FEE" w:rsidP="00ED1FEE">
      <w:pPr>
        <w:rPr>
          <w:rFonts w:ascii="Calibri" w:eastAsia="Calibri" w:hAnsi="Calibri" w:cs="Calibri"/>
          <w:bCs/>
          <w:szCs w:val="22"/>
          <w:u w:val="single"/>
          <w:lang w:eastAsia="en-US"/>
        </w:rPr>
      </w:pPr>
      <w:r>
        <w:rPr>
          <w:rFonts w:ascii="Calibri" w:eastAsia="Calibri" w:hAnsi="Calibri" w:cs="Calibri"/>
          <w:bCs/>
          <w:szCs w:val="22"/>
          <w:u w:val="single"/>
          <w:lang w:eastAsia="en-US"/>
        </w:rPr>
        <w:t>Podmienky oprávnenosti:</w:t>
      </w:r>
    </w:p>
    <w:p w:rsidR="00ED1FEE" w:rsidRDefault="00ED1FEE" w:rsidP="00CE203B">
      <w:pPr>
        <w:numPr>
          <w:ilvl w:val="0"/>
          <w:numId w:val="273"/>
        </w:numPr>
        <w:rPr>
          <w:rFonts w:ascii="Calibri" w:hAnsi="Calibri" w:cs="Calibri"/>
          <w:szCs w:val="22"/>
          <w:lang w:eastAsia="en-US"/>
        </w:rPr>
      </w:pPr>
      <w:r>
        <w:rPr>
          <w:rFonts w:ascii="Calibri" w:hAnsi="Calibri" w:cs="Calibri"/>
          <w:szCs w:val="22"/>
          <w:lang w:eastAsia="en-US"/>
        </w:rPr>
        <w:t>do podpory môžu byť zaradené orné pôdy nachádzajúce sa v CHVO Žitný ostrov, okrem plôch na ktorých je v súlade s GEAC aplikácia dusičnanov zakázaná (10 m od brehovej čiary  vodného toku)</w:t>
      </w:r>
    </w:p>
    <w:p w:rsidR="00ED1FEE" w:rsidRDefault="00ED1FEE" w:rsidP="00CE203B">
      <w:pPr>
        <w:numPr>
          <w:ilvl w:val="0"/>
          <w:numId w:val="273"/>
        </w:numPr>
        <w:rPr>
          <w:rFonts w:ascii="Calibri" w:hAnsi="Calibri" w:cs="Calibri"/>
          <w:szCs w:val="22"/>
          <w:lang w:eastAsia="en-US"/>
        </w:rPr>
      </w:pPr>
      <w:r>
        <w:rPr>
          <w:rFonts w:ascii="Calibri" w:hAnsi="Calibri" w:cs="Calibri"/>
          <w:szCs w:val="22"/>
          <w:lang w:eastAsia="en-US"/>
        </w:rPr>
        <w:t xml:space="preserve">vstúpiť do opatrenia minimálne s 1 ha ornej pôdy vedenej v LPIS </w:t>
      </w:r>
    </w:p>
    <w:p w:rsidR="00ED1FEE" w:rsidRDefault="00ED1FEE" w:rsidP="00ED1FEE">
      <w:pPr>
        <w:rPr>
          <w:rFonts w:ascii="Calibri" w:eastAsia="Calibri" w:hAnsi="Calibri" w:cs="Calibri"/>
          <w:szCs w:val="22"/>
          <w:u w:val="single"/>
          <w:lang w:eastAsia="en-US"/>
        </w:rPr>
      </w:pPr>
    </w:p>
    <w:p w:rsidR="00ED1FEE" w:rsidRPr="00DD7895" w:rsidRDefault="00ED1FEE" w:rsidP="00ED1FEE">
      <w:pPr>
        <w:rPr>
          <w:rFonts w:ascii="Calibri" w:eastAsia="Calibri" w:hAnsi="Calibri" w:cs="Calibri"/>
          <w:szCs w:val="22"/>
          <w:u w:val="single"/>
          <w:lang w:eastAsia="en-US"/>
        </w:rPr>
      </w:pPr>
      <w:r w:rsidRPr="00DD7895">
        <w:rPr>
          <w:rFonts w:ascii="Calibri" w:eastAsia="Calibri" w:hAnsi="Calibri" w:cs="Calibri"/>
          <w:szCs w:val="22"/>
          <w:u w:val="single"/>
          <w:lang w:eastAsia="en-US"/>
        </w:rPr>
        <w:t>Podmienky podpory</w:t>
      </w:r>
    </w:p>
    <w:p w:rsidR="00ED1FEE" w:rsidRDefault="00ED1FEE" w:rsidP="00CE203B">
      <w:pPr>
        <w:numPr>
          <w:ilvl w:val="0"/>
          <w:numId w:val="356"/>
        </w:numPr>
        <w:contextualSpacing/>
        <w:rPr>
          <w:rFonts w:ascii="Calibri" w:hAnsi="Calibri" w:cs="Calibri"/>
          <w:szCs w:val="22"/>
          <w:lang w:eastAsia="en-US"/>
        </w:rPr>
      </w:pPr>
      <w:r>
        <w:rPr>
          <w:rFonts w:ascii="Calibri" w:hAnsi="Calibri" w:cs="Calibri"/>
          <w:szCs w:val="22"/>
          <w:lang w:eastAsia="en-US"/>
        </w:rPr>
        <w:t>v prvom  roku realizácie operácie (jar 201</w:t>
      </w:r>
      <w:r w:rsidR="008612D8">
        <w:rPr>
          <w:rFonts w:ascii="Calibri" w:hAnsi="Calibri" w:cs="Calibri"/>
          <w:szCs w:val="22"/>
          <w:lang w:eastAsia="en-US"/>
        </w:rPr>
        <w:t>5</w:t>
      </w:r>
      <w:r>
        <w:rPr>
          <w:rFonts w:ascii="Calibri" w:hAnsi="Calibri" w:cs="Calibri"/>
          <w:szCs w:val="22"/>
          <w:lang w:eastAsia="en-US"/>
        </w:rPr>
        <w:t>) zabezpečiť prostredníctvom oprávnenej inštitúcie (laboratória) celkový rozbor ornej pôdy (1 sonda na 10 ha) na obsah N</w:t>
      </w:r>
      <w:r>
        <w:rPr>
          <w:rFonts w:ascii="Calibri" w:hAnsi="Calibri" w:cs="Calibri"/>
          <w:szCs w:val="22"/>
          <w:vertAlign w:val="subscript"/>
          <w:lang w:eastAsia="en-US"/>
        </w:rPr>
        <w:t xml:space="preserve">min. </w:t>
      </w:r>
      <w:r>
        <w:rPr>
          <w:rFonts w:ascii="Calibri" w:hAnsi="Calibri" w:cs="Calibri"/>
          <w:szCs w:val="22"/>
          <w:lang w:eastAsia="en-US"/>
        </w:rPr>
        <w:t>P,K, pH a taktiež v tom roku (jeseň 201</w:t>
      </w:r>
      <w:r w:rsidR="008612D8">
        <w:rPr>
          <w:rFonts w:ascii="Calibri" w:hAnsi="Calibri" w:cs="Calibri"/>
          <w:szCs w:val="22"/>
          <w:lang w:eastAsia="en-US"/>
        </w:rPr>
        <w:t>5</w:t>
      </w:r>
      <w:r>
        <w:rPr>
          <w:rFonts w:ascii="Calibri" w:hAnsi="Calibri" w:cs="Calibri"/>
          <w:szCs w:val="22"/>
          <w:lang w:eastAsia="en-US"/>
        </w:rPr>
        <w:t>) na obsah N</w:t>
      </w:r>
      <w:r>
        <w:rPr>
          <w:rFonts w:ascii="Calibri" w:hAnsi="Calibri" w:cs="Calibri"/>
          <w:szCs w:val="22"/>
          <w:vertAlign w:val="subscript"/>
          <w:lang w:eastAsia="en-US"/>
        </w:rPr>
        <w:t>min.</w:t>
      </w:r>
      <w:r>
        <w:rPr>
          <w:rFonts w:ascii="Calibri" w:hAnsi="Calibri" w:cs="Calibri"/>
          <w:szCs w:val="22"/>
          <w:lang w:eastAsia="en-US"/>
        </w:rPr>
        <w:t xml:space="preserve"> (realizovaný systémom GPS)  </w:t>
      </w:r>
    </w:p>
    <w:p w:rsidR="00ED1FEE" w:rsidRDefault="00ED1FEE" w:rsidP="00CE203B">
      <w:pPr>
        <w:numPr>
          <w:ilvl w:val="0"/>
          <w:numId w:val="356"/>
        </w:numPr>
        <w:contextualSpacing/>
        <w:rPr>
          <w:rFonts w:ascii="Calibri" w:hAnsi="Calibri" w:cs="Calibri"/>
          <w:szCs w:val="22"/>
          <w:lang w:eastAsia="en-US"/>
        </w:rPr>
      </w:pPr>
      <w:r>
        <w:rPr>
          <w:rFonts w:ascii="Calibri" w:hAnsi="Calibri" w:cs="Calibri"/>
          <w:szCs w:val="22"/>
          <w:lang w:eastAsia="en-US"/>
        </w:rPr>
        <w:t>v následných 3 rokoch zabezpečiť prostredníctvom oprávnenej inštitúcie (laboratória) celkový jesenný rozbor ornej pôdy (1 sonda na 10 ha) na obsah N</w:t>
      </w:r>
      <w:r>
        <w:rPr>
          <w:rFonts w:ascii="Calibri" w:hAnsi="Calibri" w:cs="Calibri"/>
          <w:szCs w:val="22"/>
          <w:vertAlign w:val="subscript"/>
          <w:lang w:eastAsia="en-US"/>
        </w:rPr>
        <w:t>min.</w:t>
      </w:r>
      <w:r>
        <w:rPr>
          <w:rFonts w:ascii="Calibri" w:hAnsi="Calibri" w:cs="Calibri"/>
          <w:szCs w:val="22"/>
          <w:lang w:eastAsia="en-US"/>
        </w:rPr>
        <w:t xml:space="preserve"> (realizovaný systémom GPS)  </w:t>
      </w:r>
    </w:p>
    <w:p w:rsidR="00ED1FEE" w:rsidRDefault="00ED1FEE" w:rsidP="00CE203B">
      <w:pPr>
        <w:numPr>
          <w:ilvl w:val="0"/>
          <w:numId w:val="356"/>
        </w:numPr>
        <w:contextualSpacing/>
        <w:rPr>
          <w:rFonts w:ascii="Calibri" w:hAnsi="Calibri" w:cs="Calibri"/>
          <w:szCs w:val="22"/>
          <w:lang w:eastAsia="en-US"/>
        </w:rPr>
      </w:pPr>
      <w:r>
        <w:rPr>
          <w:rFonts w:ascii="Calibri" w:hAnsi="Calibri" w:cs="Calibri"/>
          <w:szCs w:val="22"/>
          <w:lang w:eastAsia="en-US"/>
        </w:rPr>
        <w:t>každoročne na základe výsledkov jesenného rozboru obsahu N</w:t>
      </w:r>
      <w:r>
        <w:rPr>
          <w:rFonts w:ascii="Calibri" w:hAnsi="Calibri" w:cs="Calibri"/>
          <w:szCs w:val="22"/>
          <w:vertAlign w:val="subscript"/>
          <w:lang w:eastAsia="en-US"/>
        </w:rPr>
        <w:t>min</w:t>
      </w:r>
      <w:r>
        <w:rPr>
          <w:rFonts w:ascii="Calibri" w:hAnsi="Calibri" w:cs="Calibri"/>
          <w:szCs w:val="22"/>
          <w:lang w:eastAsia="en-US"/>
        </w:rPr>
        <w:t xml:space="preserve"> vypracovať mapu zásob živín a na základe týchto podkladov stanoviť  plán hnojenia (podľa osevného postupu)</w:t>
      </w:r>
    </w:p>
    <w:p w:rsidR="00ED1FEE" w:rsidRPr="00DD7895" w:rsidRDefault="00ED1FEE" w:rsidP="00CE203B">
      <w:pPr>
        <w:numPr>
          <w:ilvl w:val="0"/>
          <w:numId w:val="359"/>
        </w:numPr>
        <w:spacing w:after="200" w:line="276" w:lineRule="auto"/>
        <w:contextualSpacing/>
        <w:rPr>
          <w:rFonts w:ascii="Calibri" w:hAnsi="Calibri" w:cs="Calibri"/>
          <w:szCs w:val="22"/>
          <w:lang w:eastAsia="en-US"/>
        </w:rPr>
      </w:pPr>
      <w:r>
        <w:rPr>
          <w:rFonts w:ascii="Calibri" w:hAnsi="Calibri" w:cs="Calibri"/>
          <w:szCs w:val="22"/>
          <w:lang w:eastAsia="en-US"/>
        </w:rPr>
        <w:t xml:space="preserve">na základe plánu hnojenia  zabezpečiť vypracovanie programu do palubného počítača strojov  </w:t>
      </w:r>
      <w:r w:rsidRPr="00DD7895">
        <w:rPr>
          <w:rFonts w:ascii="Calibri" w:hAnsi="Calibri" w:cs="Calibri"/>
          <w:szCs w:val="22"/>
          <w:lang w:eastAsia="en-US"/>
        </w:rPr>
        <w:t xml:space="preserve">na zabezpečenie rovnomernej </w:t>
      </w:r>
      <w:r w:rsidRPr="00DB0864">
        <w:rPr>
          <w:rFonts w:ascii="Calibri" w:hAnsi="Calibri" w:cs="Calibri"/>
          <w:szCs w:val="22"/>
          <w:lang w:eastAsia="en-US"/>
        </w:rPr>
        <w:t>aplikácie</w:t>
      </w:r>
      <w:r w:rsidRPr="00DD7895">
        <w:rPr>
          <w:rFonts w:ascii="Calibri" w:hAnsi="Calibri" w:cs="Calibri"/>
          <w:szCs w:val="22"/>
          <w:lang w:eastAsia="en-US"/>
        </w:rPr>
        <w:t xml:space="preserve"> stanoveného </w:t>
      </w:r>
      <w:r w:rsidRPr="00DB0864">
        <w:rPr>
          <w:rFonts w:ascii="Calibri" w:hAnsi="Calibri" w:cs="Calibri"/>
          <w:szCs w:val="22"/>
          <w:lang w:eastAsia="en-US"/>
        </w:rPr>
        <w:t>množstva</w:t>
      </w:r>
      <w:r w:rsidRPr="00DD7895">
        <w:rPr>
          <w:rFonts w:ascii="Calibri" w:hAnsi="Calibri" w:cs="Calibri"/>
          <w:szCs w:val="22"/>
          <w:lang w:eastAsia="en-US"/>
        </w:rPr>
        <w:t xml:space="preserve"> </w:t>
      </w:r>
      <w:r w:rsidRPr="00DB0864">
        <w:rPr>
          <w:rFonts w:ascii="Calibri" w:hAnsi="Calibri" w:cs="Calibri"/>
          <w:szCs w:val="22"/>
          <w:lang w:eastAsia="en-US"/>
        </w:rPr>
        <w:t>hnojív</w:t>
      </w:r>
      <w:r w:rsidRPr="00DD7895">
        <w:rPr>
          <w:rFonts w:ascii="Calibri" w:hAnsi="Calibri" w:cs="Calibri"/>
          <w:szCs w:val="22"/>
          <w:lang w:eastAsia="en-US"/>
        </w:rPr>
        <w:t>.</w:t>
      </w:r>
    </w:p>
    <w:p w:rsidR="00ED1FEE" w:rsidRDefault="00ED1FEE" w:rsidP="00CE203B">
      <w:pPr>
        <w:numPr>
          <w:ilvl w:val="0"/>
          <w:numId w:val="356"/>
        </w:numPr>
        <w:tabs>
          <w:tab w:val="left" w:pos="7515"/>
        </w:tabs>
        <w:contextualSpacing/>
        <w:rPr>
          <w:rFonts w:ascii="Calibri" w:hAnsi="Calibri" w:cs="Calibri"/>
          <w:bCs/>
          <w:szCs w:val="22"/>
          <w:lang w:eastAsia="en-US"/>
        </w:rPr>
      </w:pPr>
      <w:r>
        <w:rPr>
          <w:rFonts w:ascii="Calibri" w:hAnsi="Calibri" w:cs="Calibri"/>
          <w:bCs/>
          <w:szCs w:val="22"/>
          <w:lang w:eastAsia="en-US"/>
        </w:rPr>
        <w:t>nevyhnutnou súčasťou aplikačných strojov hnojenia musí byť aj systém GPS</w:t>
      </w:r>
    </w:p>
    <w:p w:rsidR="00ED1FEE" w:rsidRDefault="00ED1FEE" w:rsidP="00CE203B">
      <w:pPr>
        <w:numPr>
          <w:ilvl w:val="0"/>
          <w:numId w:val="356"/>
        </w:numPr>
        <w:tabs>
          <w:tab w:val="left" w:pos="7515"/>
        </w:tabs>
        <w:contextualSpacing/>
        <w:rPr>
          <w:rFonts w:ascii="Calibri" w:hAnsi="Calibri" w:cs="Calibri"/>
          <w:bCs/>
          <w:szCs w:val="22"/>
          <w:lang w:eastAsia="en-US"/>
        </w:rPr>
      </w:pPr>
      <w:r>
        <w:rPr>
          <w:rFonts w:ascii="Calibri" w:hAnsi="Calibri" w:cs="Calibri"/>
          <w:szCs w:val="22"/>
          <w:lang w:eastAsia="en-US"/>
        </w:rPr>
        <w:t>zrieknutie sa priamej aplikácie čistiarenského kalu a dnových sedimentov</w:t>
      </w:r>
    </w:p>
    <w:p w:rsidR="00ED1FEE" w:rsidRPr="00DB0864" w:rsidRDefault="00ED1FEE" w:rsidP="00CE203B">
      <w:pPr>
        <w:numPr>
          <w:ilvl w:val="0"/>
          <w:numId w:val="356"/>
        </w:numPr>
        <w:tabs>
          <w:tab w:val="left" w:pos="7515"/>
        </w:tabs>
        <w:contextualSpacing/>
        <w:rPr>
          <w:rFonts w:ascii="Calibri" w:hAnsi="Calibri" w:cs="Calibri"/>
          <w:bCs/>
          <w:szCs w:val="22"/>
          <w:lang w:eastAsia="en-US"/>
        </w:rPr>
      </w:pPr>
      <w:r>
        <w:rPr>
          <w:rFonts w:ascii="Calibri" w:hAnsi="Calibri" w:cs="Calibri"/>
          <w:szCs w:val="22"/>
          <w:lang w:eastAsia="en-US"/>
        </w:rPr>
        <w:t>povinnosť absolvovať školiaci kurz k správne vykonávaným podmienkam opatrenia</w:t>
      </w:r>
    </w:p>
    <w:p w:rsidR="00ED1FEE" w:rsidRDefault="00ED1FEE" w:rsidP="00ED1FEE">
      <w:pPr>
        <w:rPr>
          <w:rFonts w:ascii="Calibri" w:eastAsia="Calibri" w:hAnsi="Calibri" w:cs="Calibri"/>
          <w:szCs w:val="22"/>
          <w:lang w:eastAsia="en-US"/>
        </w:rPr>
      </w:pPr>
    </w:p>
    <w:p w:rsidR="00ED1FEE" w:rsidRDefault="00ED1FEE" w:rsidP="00ED1FEE">
      <w:pPr>
        <w:rPr>
          <w:rFonts w:ascii="Calibri" w:eastAsia="Calibri" w:hAnsi="Calibri" w:cs="Calibri"/>
          <w:szCs w:val="22"/>
          <w:u w:val="single"/>
          <w:lang w:eastAsia="en-US"/>
        </w:rPr>
      </w:pPr>
      <w:r>
        <w:rPr>
          <w:rFonts w:ascii="Calibri" w:eastAsia="Calibri" w:hAnsi="Calibri" w:cs="Calibri"/>
          <w:szCs w:val="22"/>
          <w:u w:val="single"/>
          <w:lang w:eastAsia="en-US"/>
        </w:rPr>
        <w:t>Princípy nastavenia výberových kritérií:</w:t>
      </w:r>
    </w:p>
    <w:p w:rsidR="00ED1FEE" w:rsidRPr="00DD7895" w:rsidRDefault="00ED1FEE" w:rsidP="00CE203B">
      <w:pPr>
        <w:pStyle w:val="Odsekzoznamu"/>
        <w:numPr>
          <w:ilvl w:val="0"/>
          <w:numId w:val="357"/>
        </w:numPr>
        <w:rPr>
          <w:rFonts w:ascii="Calibri" w:hAnsi="Calibri"/>
          <w:szCs w:val="22"/>
          <w:lang w:eastAsia="en-GB"/>
        </w:rPr>
      </w:pPr>
      <w:r w:rsidRPr="00DD7895">
        <w:rPr>
          <w:rFonts w:ascii="Calibri" w:hAnsi="Calibri"/>
          <w:szCs w:val="22"/>
          <w:lang w:eastAsia="en-GB"/>
        </w:rPr>
        <w:t>výberové kritériá sa neuplatňujú</w:t>
      </w:r>
    </w:p>
    <w:p w:rsidR="00ED1FEE" w:rsidRPr="00C5467B" w:rsidRDefault="00ED1FEE" w:rsidP="00ED1FEE">
      <w:pPr>
        <w:pStyle w:val="Odsekzoznamu"/>
        <w:rPr>
          <w:rFonts w:ascii="Calibri" w:hAnsi="Calibri"/>
          <w:szCs w:val="22"/>
          <w:u w:val="single"/>
          <w:lang w:eastAsia="en-GB"/>
        </w:rPr>
      </w:pPr>
    </w:p>
    <w:p w:rsidR="00ED1FEE" w:rsidRDefault="00ED1FEE" w:rsidP="00ED1FEE">
      <w:pPr>
        <w:rPr>
          <w:rFonts w:ascii="Calibri" w:hAnsi="Calibri"/>
          <w:szCs w:val="22"/>
          <w:u w:val="single"/>
          <w:lang w:eastAsia="en-GB"/>
        </w:rPr>
      </w:pPr>
      <w:r>
        <w:rPr>
          <w:rFonts w:ascii="Calibri" w:hAnsi="Calibri"/>
          <w:szCs w:val="22"/>
          <w:u w:val="single"/>
          <w:lang w:eastAsia="en-GB"/>
        </w:rPr>
        <w:t>Výška a miera podpory:</w:t>
      </w:r>
    </w:p>
    <w:p w:rsidR="00ED1FEE" w:rsidRDefault="00ED1FEE" w:rsidP="00ED1FEE">
      <w:pPr>
        <w:rPr>
          <w:rFonts w:ascii="Calibri" w:eastAsia="Calibri" w:hAnsi="Calibri" w:cs="Calibri"/>
          <w:szCs w:val="22"/>
          <w:lang w:eastAsia="en-US"/>
        </w:rPr>
      </w:pPr>
      <w:r>
        <w:rPr>
          <w:rFonts w:ascii="Calibri" w:eastAsia="Calibri" w:hAnsi="Calibri" w:cs="Calibri"/>
          <w:szCs w:val="22"/>
          <w:lang w:eastAsia="en-US"/>
        </w:rPr>
        <w:t>Výška podpory:     25 €/ha plochy ornej pôdy s aplikáciou precízneho hnojenia.</w:t>
      </w:r>
    </w:p>
    <w:p w:rsidR="00ED1FEE" w:rsidRDefault="00ED1FEE" w:rsidP="00ED1FEE">
      <w:pPr>
        <w:rPr>
          <w:rFonts w:ascii="Calibri" w:eastAsia="Calibri" w:hAnsi="Calibri" w:cs="Calibri"/>
          <w:szCs w:val="22"/>
          <w:lang w:eastAsia="en-US"/>
        </w:rPr>
      </w:pPr>
    </w:p>
    <w:p w:rsidR="00095683" w:rsidRDefault="00095683" w:rsidP="00ED1FEE">
      <w:pPr>
        <w:rPr>
          <w:rFonts w:ascii="Calibri" w:eastAsia="Calibri" w:hAnsi="Calibri" w:cs="Calibri"/>
          <w:szCs w:val="22"/>
          <w:lang w:eastAsia="en-US"/>
        </w:rPr>
      </w:pPr>
    </w:p>
    <w:p w:rsidR="00ED1FEE" w:rsidRDefault="00ED1FEE" w:rsidP="00ED1FEE">
      <w:pPr>
        <w:shd w:val="clear" w:color="auto" w:fill="FBD4B4"/>
        <w:rPr>
          <w:rFonts w:ascii="Calibri" w:eastAsia="Calibri" w:hAnsi="Calibri" w:cs="Calibri"/>
          <w:bCs/>
          <w:szCs w:val="22"/>
          <w:lang w:eastAsia="en-US"/>
        </w:rPr>
      </w:pPr>
      <w:r>
        <w:rPr>
          <w:rFonts w:ascii="Calibri" w:eastAsia="Calibri" w:hAnsi="Calibri" w:cs="Calibri"/>
          <w:bCs/>
          <w:szCs w:val="22"/>
          <w:u w:val="single"/>
          <w:lang w:eastAsia="en-US"/>
        </w:rPr>
        <w:t>Názov operácie:</w:t>
      </w:r>
      <w:r>
        <w:rPr>
          <w:rFonts w:ascii="Calibri" w:eastAsia="Calibri" w:hAnsi="Calibri" w:cs="Calibri"/>
          <w:bCs/>
          <w:szCs w:val="22"/>
          <w:lang w:eastAsia="en-US"/>
        </w:rPr>
        <w:t xml:space="preserve"> </w:t>
      </w:r>
    </w:p>
    <w:p w:rsidR="00ED1FEE" w:rsidRDefault="00ED1FEE" w:rsidP="00ED1FEE">
      <w:pPr>
        <w:shd w:val="clear" w:color="auto" w:fill="FBD4B4"/>
        <w:rPr>
          <w:rFonts w:ascii="Calibri" w:eastAsia="Calibri" w:hAnsi="Calibri" w:cs="Calibri"/>
          <w:bCs/>
          <w:i/>
          <w:szCs w:val="22"/>
          <w:lang w:eastAsia="en-US"/>
        </w:rPr>
      </w:pPr>
      <w:r>
        <w:rPr>
          <w:rFonts w:ascii="Calibri" w:eastAsia="Calibri" w:hAnsi="Calibri" w:cs="Calibri"/>
          <w:bCs/>
          <w:i/>
          <w:szCs w:val="22"/>
          <w:lang w:eastAsia="en-US"/>
        </w:rPr>
        <w:t xml:space="preserve">Ochrana dropa fúzatého </w:t>
      </w:r>
    </w:p>
    <w:p w:rsidR="00ED1FEE" w:rsidRDefault="00ED1FEE" w:rsidP="00ED1FEE">
      <w:pPr>
        <w:rPr>
          <w:rFonts w:ascii="Calibri" w:eastAsia="Calibri" w:hAnsi="Calibri" w:cs="Calibri"/>
          <w:szCs w:val="22"/>
          <w:lang w:eastAsia="en-US"/>
        </w:rPr>
      </w:pPr>
    </w:p>
    <w:p w:rsidR="00ED1FEE" w:rsidRDefault="00ED1FEE" w:rsidP="00ED1FEE">
      <w:pPr>
        <w:autoSpaceDE w:val="0"/>
        <w:autoSpaceDN w:val="0"/>
        <w:adjustRightInd w:val="0"/>
        <w:rPr>
          <w:rFonts w:ascii="Calibri" w:eastAsia="Calibri" w:hAnsi="Calibri" w:cs="Calibri"/>
          <w:bCs/>
          <w:szCs w:val="22"/>
          <w:u w:val="single"/>
          <w:lang w:eastAsia="en-US"/>
        </w:rPr>
      </w:pPr>
      <w:r>
        <w:rPr>
          <w:rFonts w:ascii="Calibri" w:eastAsia="Calibri" w:hAnsi="Calibri" w:cs="Calibri"/>
          <w:bCs/>
          <w:szCs w:val="22"/>
          <w:u w:val="single"/>
          <w:lang w:eastAsia="en-US"/>
        </w:rPr>
        <w:t>Opis operácie:</w:t>
      </w:r>
    </w:p>
    <w:p w:rsidR="00ED1FEE" w:rsidRDefault="00ED1FEE" w:rsidP="00ED1FEE">
      <w:pPr>
        <w:rPr>
          <w:rFonts w:eastAsiaTheme="minorHAnsi" w:cs="PacellaItcTOT-Book"/>
          <w:szCs w:val="22"/>
          <w:lang w:eastAsia="en-US"/>
        </w:rPr>
      </w:pPr>
      <w:r w:rsidRPr="00DD7895">
        <w:rPr>
          <w:rFonts w:eastAsiaTheme="minorHAnsi" w:cs="PacellaItcTOT-Book"/>
          <w:szCs w:val="22"/>
          <w:lang w:eastAsia="en-US"/>
        </w:rPr>
        <w:t>Drop fúzatý (Otis tarda) je najohrozenejším slovenským vtákom. Na Slovensku sú už len dve posledné lokality (CHVÚ Lehnice a CHVÚ Sysľovské polia), kde sa tieto stepné vtáky ojedinele vyskytujú. V</w:t>
      </w:r>
      <w:r w:rsidRPr="00087EAF">
        <w:rPr>
          <w:rFonts w:eastAsiaTheme="minorHAnsi" w:cs="PacellaItcTOT-Book"/>
          <w:szCs w:val="22"/>
          <w:lang w:eastAsia="en-US"/>
        </w:rPr>
        <w:t xml:space="preserve">ýskyt dropa </w:t>
      </w:r>
      <w:r>
        <w:rPr>
          <w:rFonts w:eastAsiaTheme="minorHAnsi" w:cs="PacellaItcTOT-Book"/>
          <w:szCs w:val="22"/>
          <w:lang w:eastAsia="en-US"/>
        </w:rPr>
        <w:t xml:space="preserve">sa </w:t>
      </w:r>
      <w:r w:rsidRPr="00087EAF">
        <w:rPr>
          <w:rFonts w:eastAsiaTheme="minorHAnsi" w:cs="PacellaItcTOT-Book"/>
          <w:szCs w:val="22"/>
          <w:lang w:eastAsia="en-US"/>
        </w:rPr>
        <w:t>obmedz</w:t>
      </w:r>
      <w:r>
        <w:rPr>
          <w:rFonts w:eastAsiaTheme="minorHAnsi" w:cs="PacellaItcTOT-Book"/>
          <w:szCs w:val="22"/>
          <w:lang w:eastAsia="en-US"/>
        </w:rPr>
        <w:t>uje</w:t>
      </w:r>
      <w:r w:rsidRPr="00087EAF">
        <w:rPr>
          <w:rFonts w:eastAsiaTheme="minorHAnsi" w:cs="PacellaItcTOT-Book"/>
          <w:szCs w:val="22"/>
          <w:lang w:eastAsia="en-US"/>
        </w:rPr>
        <w:t xml:space="preserve"> na územia</w:t>
      </w:r>
      <w:r>
        <w:rPr>
          <w:rFonts w:eastAsiaTheme="minorHAnsi" w:cs="PacellaItcTOT-Book"/>
          <w:szCs w:val="22"/>
          <w:lang w:eastAsia="en-US"/>
        </w:rPr>
        <w:t xml:space="preserve"> </w:t>
      </w:r>
      <w:r w:rsidRPr="00087EAF">
        <w:rPr>
          <w:rFonts w:eastAsiaTheme="minorHAnsi" w:cs="PacellaItcTOT-Book"/>
          <w:szCs w:val="22"/>
          <w:lang w:eastAsia="en-US"/>
        </w:rPr>
        <w:t>s mozaikovitým usporiadaním poľnohospodárskych</w:t>
      </w:r>
      <w:r>
        <w:rPr>
          <w:rFonts w:eastAsiaTheme="minorHAnsi" w:cs="PacellaItcTOT-Book"/>
          <w:szCs w:val="22"/>
          <w:lang w:eastAsia="en-US"/>
        </w:rPr>
        <w:t xml:space="preserve"> </w:t>
      </w:r>
      <w:r w:rsidRPr="00087EAF">
        <w:rPr>
          <w:rFonts w:eastAsiaTheme="minorHAnsi" w:cs="PacellaItcTOT-Book"/>
          <w:szCs w:val="22"/>
          <w:lang w:eastAsia="en-US"/>
        </w:rPr>
        <w:t>kultúr</w:t>
      </w:r>
      <w:r>
        <w:rPr>
          <w:rFonts w:eastAsiaTheme="minorHAnsi" w:cs="PacellaItcTOT-Book"/>
          <w:szCs w:val="22"/>
          <w:lang w:eastAsia="en-US"/>
        </w:rPr>
        <w:t xml:space="preserve"> pričom</w:t>
      </w:r>
      <w:r>
        <w:rPr>
          <w:rFonts w:eastAsiaTheme="minorHAnsi" w:cs="PacellaItcTOT-Book"/>
          <w:szCs w:val="22"/>
          <w:lang w:eastAsia="en-US"/>
        </w:rPr>
        <w:lastRenderedPageBreak/>
        <w:t xml:space="preserve"> dôležitým prvkom sú </w:t>
      </w:r>
      <w:r w:rsidRPr="00087EAF">
        <w:rPr>
          <w:rFonts w:eastAsiaTheme="minorHAnsi" w:cs="PacellaItcTOT-Book"/>
          <w:szCs w:val="22"/>
          <w:lang w:eastAsia="en-US"/>
        </w:rPr>
        <w:t xml:space="preserve"> nízke porasty</w:t>
      </w:r>
      <w:r>
        <w:rPr>
          <w:rFonts w:eastAsiaTheme="minorHAnsi" w:cs="PacellaItcTOT-Book"/>
          <w:szCs w:val="22"/>
          <w:lang w:eastAsia="en-US"/>
        </w:rPr>
        <w:t xml:space="preserve"> viacročných krmovín</w:t>
      </w:r>
      <w:r w:rsidRPr="00087EAF">
        <w:rPr>
          <w:rFonts w:eastAsiaTheme="minorHAnsi" w:cs="PacellaItcTOT-Book"/>
          <w:szCs w:val="22"/>
          <w:lang w:eastAsia="en-US"/>
        </w:rPr>
        <w:t>, tráv na ornej pôde</w:t>
      </w:r>
      <w:r>
        <w:rPr>
          <w:rFonts w:eastAsiaTheme="minorHAnsi" w:cs="PacellaItcTOT-Book"/>
          <w:szCs w:val="22"/>
          <w:lang w:eastAsia="en-US"/>
        </w:rPr>
        <w:t>, ozimných obilnín, ozimnej repky a strukovinových plodín.  Veľmi nevýhodnou plodinou je kukurica na zrno.</w:t>
      </w:r>
    </w:p>
    <w:p w:rsidR="00ED1FEE" w:rsidRDefault="00ED1FEE" w:rsidP="00ED1FEE">
      <w:pPr>
        <w:rPr>
          <w:rFonts w:eastAsiaTheme="minorHAnsi" w:cs="PacellaItcTOT-Book"/>
          <w:szCs w:val="22"/>
          <w:lang w:eastAsia="en-US"/>
        </w:rPr>
      </w:pPr>
      <w:r>
        <w:rPr>
          <w:rFonts w:eastAsiaTheme="minorHAnsi" w:cs="PacellaItcTOT-Book"/>
          <w:szCs w:val="22"/>
          <w:lang w:eastAsia="en-US"/>
        </w:rPr>
        <w:t>Cieľom podpory je v uvedených chránených vtáčích územiach realizovať osevné postupy s mozaikovým usporiadaním poľnohospodárskych kultúr  a stanoveným percentuálnym zastúpením príslušných plodín, ktoré vytvárajú vhodné životné podmienky pre dropa fúzatého.</w:t>
      </w:r>
    </w:p>
    <w:p w:rsidR="00ED1FEE" w:rsidRPr="00087EAF" w:rsidRDefault="00ED1FEE" w:rsidP="00ED1FEE">
      <w:pPr>
        <w:rPr>
          <w:rFonts w:eastAsia="Calibri" w:cs="Calibri"/>
          <w:szCs w:val="22"/>
          <w:lang w:eastAsia="en-US"/>
        </w:rPr>
      </w:pPr>
      <w:r>
        <w:rPr>
          <w:rFonts w:eastAsiaTheme="minorHAnsi" w:cs="PacellaItcTOT-Book"/>
          <w:szCs w:val="22"/>
          <w:lang w:eastAsia="en-US"/>
        </w:rPr>
        <w:t xml:space="preserve">  </w:t>
      </w:r>
    </w:p>
    <w:p w:rsidR="00ED1FEE" w:rsidRDefault="00ED1FEE" w:rsidP="00ED1FEE">
      <w:pPr>
        <w:rPr>
          <w:rFonts w:ascii="Calibri" w:eastAsia="Calibri" w:hAnsi="Calibri"/>
          <w:noProof/>
          <w:szCs w:val="22"/>
          <w:u w:val="single"/>
          <w:lang w:eastAsia="en-GB"/>
        </w:rPr>
      </w:pPr>
      <w:r>
        <w:rPr>
          <w:rFonts w:ascii="Calibri" w:eastAsia="Calibri" w:hAnsi="Calibri"/>
          <w:noProof/>
          <w:szCs w:val="22"/>
          <w:u w:val="single"/>
          <w:lang w:eastAsia="en-GB"/>
        </w:rPr>
        <w:t>Typ podpory:</w:t>
      </w:r>
    </w:p>
    <w:p w:rsidR="00ED1FEE" w:rsidRDefault="00ED1FEE" w:rsidP="00ED1FEE">
      <w:pPr>
        <w:rPr>
          <w:rFonts w:ascii="Calibri" w:eastAsia="Calibri" w:hAnsi="Calibri"/>
          <w:noProof/>
          <w:szCs w:val="22"/>
          <w:lang w:eastAsia="en-GB"/>
        </w:rPr>
      </w:pPr>
      <w:r>
        <w:rPr>
          <w:rFonts w:ascii="Calibri" w:eastAsia="Calibri" w:hAnsi="Calibri"/>
          <w:szCs w:val="22"/>
          <w:lang w:eastAsia="en-US"/>
        </w:rPr>
        <w:t xml:space="preserve">Nezisková ročná platba na hektár </w:t>
      </w:r>
      <w:r>
        <w:rPr>
          <w:rFonts w:ascii="Calibri" w:eastAsia="Calibri" w:hAnsi="Calibri"/>
          <w:noProof/>
          <w:szCs w:val="22"/>
          <w:lang w:eastAsia="en-GB"/>
        </w:rPr>
        <w:t>ornej pôdy so stanoveným osevným postupom</w:t>
      </w:r>
      <w:r>
        <w:rPr>
          <w:rFonts w:ascii="Calibri" w:eastAsia="Calibri" w:hAnsi="Calibri" w:cs="Calibri"/>
          <w:bCs/>
          <w:szCs w:val="22"/>
          <w:lang w:eastAsia="en-US"/>
        </w:rPr>
        <w:t>.</w:t>
      </w:r>
    </w:p>
    <w:p w:rsidR="00ED1FEE" w:rsidRDefault="00ED1FEE" w:rsidP="00ED1FEE">
      <w:pPr>
        <w:rPr>
          <w:rFonts w:ascii="Calibri" w:eastAsia="Calibri" w:hAnsi="Calibri" w:cs="Calibri"/>
          <w:bCs/>
          <w:szCs w:val="22"/>
          <w:u w:val="single"/>
          <w:lang w:eastAsia="en-US"/>
        </w:rPr>
      </w:pPr>
    </w:p>
    <w:p w:rsidR="00ED1FEE" w:rsidRDefault="00ED1FEE" w:rsidP="00ED1FEE">
      <w:pPr>
        <w:rPr>
          <w:rFonts w:ascii="Calibri" w:eastAsia="Calibri" w:hAnsi="Calibri" w:cs="Calibri"/>
          <w:bCs/>
          <w:szCs w:val="22"/>
          <w:u w:val="single"/>
          <w:lang w:eastAsia="en-US"/>
        </w:rPr>
      </w:pPr>
      <w:r>
        <w:rPr>
          <w:rFonts w:ascii="Calibri" w:eastAsia="Calibri" w:hAnsi="Calibri" w:cs="Calibri"/>
          <w:bCs/>
          <w:szCs w:val="22"/>
          <w:u w:val="single"/>
          <w:lang w:eastAsia="en-US"/>
        </w:rPr>
        <w:t>Súvislosť s inou legislatívou:</w:t>
      </w:r>
    </w:p>
    <w:p w:rsidR="00ED1FEE" w:rsidRDefault="00ED1FEE" w:rsidP="00955DA4">
      <w:pPr>
        <w:numPr>
          <w:ilvl w:val="0"/>
          <w:numId w:val="200"/>
        </w:numPr>
        <w:rPr>
          <w:rFonts w:ascii="Calibri" w:hAnsi="Calibri" w:cs="EUAlbertina"/>
          <w:bCs/>
          <w:szCs w:val="22"/>
        </w:rPr>
      </w:pPr>
      <w:r>
        <w:rPr>
          <w:rFonts w:ascii="Calibri" w:hAnsi="Calibri"/>
          <w:szCs w:val="22"/>
        </w:rPr>
        <w:t xml:space="preserve">nariadenie (EÚ) č. 1306/2013 </w:t>
      </w:r>
      <w:r>
        <w:rPr>
          <w:rFonts w:ascii="Calibri" w:hAnsi="Calibri" w:cs="EUAlbertina"/>
          <w:bCs/>
          <w:szCs w:val="22"/>
        </w:rPr>
        <w:t>o financovaní, riadení a monitorovaní spoločnej poľnohospodárskej politiky;</w:t>
      </w:r>
    </w:p>
    <w:p w:rsidR="00ED1FEE" w:rsidRDefault="00ED1FEE" w:rsidP="00955DA4">
      <w:pPr>
        <w:numPr>
          <w:ilvl w:val="0"/>
          <w:numId w:val="200"/>
        </w:numPr>
        <w:rPr>
          <w:rFonts w:ascii="Calibri" w:hAnsi="Calibri" w:cs="EUAlbertina"/>
          <w:bCs/>
          <w:szCs w:val="22"/>
        </w:rPr>
      </w:pPr>
      <w:r>
        <w:rPr>
          <w:rFonts w:ascii="Calibri" w:hAnsi="Calibri" w:cs="EUAlbertina"/>
          <w:bCs/>
          <w:szCs w:val="22"/>
        </w:rPr>
        <w:t>nariadenie (EÚ) 1307/2013;</w:t>
      </w:r>
    </w:p>
    <w:p w:rsidR="00ED1FEE" w:rsidRDefault="00ED1FEE" w:rsidP="00955DA4">
      <w:pPr>
        <w:numPr>
          <w:ilvl w:val="0"/>
          <w:numId w:val="200"/>
        </w:numPr>
        <w:rPr>
          <w:rFonts w:ascii="Calibri" w:hAnsi="Calibri"/>
          <w:szCs w:val="22"/>
        </w:rPr>
      </w:pPr>
      <w:r>
        <w:rPr>
          <w:rFonts w:ascii="Calibri" w:hAnsi="Calibri"/>
          <w:szCs w:val="22"/>
        </w:rPr>
        <w:t xml:space="preserve">zákon č. </w:t>
      </w:r>
      <w:r w:rsidRPr="00AA1EC2">
        <w:rPr>
          <w:rFonts w:ascii="Calibri" w:hAnsi="Calibri"/>
          <w:szCs w:val="22"/>
        </w:rPr>
        <w:t>543</w:t>
      </w:r>
      <w:r>
        <w:rPr>
          <w:rFonts w:ascii="Calibri" w:hAnsi="Calibri"/>
          <w:szCs w:val="22"/>
        </w:rPr>
        <w:t>/</w:t>
      </w:r>
      <w:r w:rsidRPr="00AA1EC2">
        <w:rPr>
          <w:rFonts w:ascii="Calibri" w:hAnsi="Calibri"/>
          <w:szCs w:val="22"/>
        </w:rPr>
        <w:t>2002</w:t>
      </w:r>
      <w:r>
        <w:rPr>
          <w:rFonts w:ascii="Calibri" w:hAnsi="Calibri"/>
          <w:szCs w:val="22"/>
        </w:rPr>
        <w:t xml:space="preserve"> Z.z.</w:t>
      </w:r>
      <w:r w:rsidRPr="00AA1EC2">
        <w:rPr>
          <w:rFonts w:ascii="Calibri" w:hAnsi="Calibri"/>
          <w:szCs w:val="22"/>
        </w:rPr>
        <w:t xml:space="preserve"> o ochrane prírody a</w:t>
      </w:r>
      <w:r>
        <w:rPr>
          <w:rFonts w:ascii="Calibri" w:hAnsi="Calibri"/>
          <w:szCs w:val="22"/>
        </w:rPr>
        <w:t> </w:t>
      </w:r>
      <w:r w:rsidRPr="00AA1EC2">
        <w:rPr>
          <w:rFonts w:ascii="Calibri" w:hAnsi="Calibri"/>
          <w:szCs w:val="22"/>
        </w:rPr>
        <w:t>krajiny</w:t>
      </w:r>
      <w:r>
        <w:rPr>
          <w:rFonts w:ascii="Calibri" w:hAnsi="Calibri"/>
          <w:szCs w:val="22"/>
        </w:rPr>
        <w:t xml:space="preserve"> v znení neskorších predpisov</w:t>
      </w:r>
    </w:p>
    <w:p w:rsidR="00ED1FEE" w:rsidRDefault="00ED1FEE" w:rsidP="00ED1FEE">
      <w:pPr>
        <w:rPr>
          <w:rFonts w:ascii="Calibri" w:eastAsia="Calibri" w:hAnsi="Calibri" w:cs="Calibri"/>
          <w:bCs/>
          <w:szCs w:val="22"/>
          <w:lang w:eastAsia="en-US"/>
        </w:rPr>
      </w:pPr>
    </w:p>
    <w:p w:rsidR="00ED1FEE" w:rsidRDefault="00ED1FEE" w:rsidP="00ED1FEE">
      <w:pPr>
        <w:rPr>
          <w:rFonts w:ascii="Calibri" w:eastAsia="Calibri" w:hAnsi="Calibri" w:cs="Calibri"/>
          <w:bCs/>
          <w:szCs w:val="22"/>
          <w:lang w:eastAsia="en-US"/>
        </w:rPr>
      </w:pPr>
      <w:r>
        <w:rPr>
          <w:rFonts w:ascii="Calibri" w:eastAsia="Calibri" w:hAnsi="Calibri" w:cs="Calibri"/>
          <w:bCs/>
          <w:szCs w:val="22"/>
          <w:u w:val="single"/>
          <w:lang w:eastAsia="en-US"/>
        </w:rPr>
        <w:t>Prijímateľ podpory:</w:t>
      </w:r>
    </w:p>
    <w:p w:rsidR="00ED1FEE" w:rsidRDefault="00ED1FEE" w:rsidP="00ED1FEE">
      <w:pPr>
        <w:rPr>
          <w:rFonts w:ascii="Calibri" w:eastAsia="Calibri" w:hAnsi="Calibri" w:cs="Calibri"/>
          <w:bCs/>
          <w:szCs w:val="22"/>
          <w:lang w:eastAsia="en-US"/>
        </w:rPr>
      </w:pPr>
      <w:r>
        <w:rPr>
          <w:rFonts w:ascii="Calibri" w:eastAsia="Calibri" w:hAnsi="Calibri"/>
          <w:noProof/>
          <w:szCs w:val="22"/>
          <w:lang w:eastAsia="en-US"/>
        </w:rPr>
        <w:t>Fyzické a právnické osoby podnikajúce v poľnohospodárskej prvovýrobe v  stanovených chránených vtáčích územiach  s výskytom dropa fúzatého  a spĺňajúce definíciu aktívneho farmára podľa čl. 9 nariadenia (EÚ) č. 1307/2013.</w:t>
      </w:r>
    </w:p>
    <w:p w:rsidR="00ED1FEE" w:rsidRDefault="00ED1FEE" w:rsidP="00ED1FEE">
      <w:pPr>
        <w:rPr>
          <w:rFonts w:ascii="Calibri" w:eastAsia="Calibri" w:hAnsi="Calibri" w:cs="Calibri"/>
          <w:bCs/>
          <w:szCs w:val="22"/>
          <w:u w:val="single"/>
          <w:lang w:eastAsia="en-US"/>
        </w:rPr>
      </w:pPr>
    </w:p>
    <w:p w:rsidR="00ED1FEE" w:rsidRDefault="00ED1FEE" w:rsidP="00ED1FEE">
      <w:pPr>
        <w:rPr>
          <w:rFonts w:ascii="Calibri" w:eastAsia="Calibri" w:hAnsi="Calibri" w:cs="Calibri"/>
          <w:bCs/>
          <w:szCs w:val="22"/>
          <w:u w:val="single"/>
          <w:lang w:eastAsia="en-US"/>
        </w:rPr>
      </w:pPr>
      <w:r>
        <w:rPr>
          <w:rFonts w:ascii="Calibri" w:eastAsia="Calibri" w:hAnsi="Calibri" w:cs="Calibri"/>
          <w:bCs/>
          <w:szCs w:val="22"/>
          <w:u w:val="single"/>
          <w:lang w:eastAsia="en-US"/>
        </w:rPr>
        <w:t>Oprávnené náklady:</w:t>
      </w:r>
    </w:p>
    <w:p w:rsidR="00ED1FEE" w:rsidRDefault="00ED1FEE" w:rsidP="00ED1FEE">
      <w:pPr>
        <w:rPr>
          <w:rFonts w:ascii="Calibri" w:eastAsia="Calibri" w:hAnsi="Calibri" w:cs="Calibri"/>
          <w:bCs/>
          <w:szCs w:val="22"/>
          <w:lang w:eastAsia="en-US"/>
        </w:rPr>
      </w:pPr>
      <w:r>
        <w:rPr>
          <w:rFonts w:ascii="Calibri" w:eastAsia="Calibri" w:hAnsi="Calibri" w:cs="Calibri"/>
          <w:bCs/>
          <w:szCs w:val="22"/>
          <w:lang w:eastAsia="en-US"/>
        </w:rPr>
        <w:t>Oprávnené  náklady, ktoré sú stanovené nad rámec  všetkých povinných podmienok a kompenzujú stratu príjmov z realizácie stanovených osevných postupov . Tiež sa zohľadňujú dodatočné náklady vznikajúce zo stanovených spôsobov  kosieb.</w:t>
      </w:r>
      <w:r w:rsidRPr="00591099">
        <w:rPr>
          <w:rFonts w:ascii="Calibri" w:eastAsia="Calibri" w:hAnsi="Calibri" w:cs="Calibri"/>
          <w:szCs w:val="22"/>
          <w:lang w:eastAsia="en-US"/>
        </w:rPr>
        <w:t xml:space="preserve"> </w:t>
      </w:r>
      <w:r>
        <w:rPr>
          <w:rFonts w:ascii="Calibri" w:eastAsia="Calibri" w:hAnsi="Calibri" w:cs="Calibri"/>
          <w:szCs w:val="22"/>
          <w:lang w:eastAsia="en-US"/>
        </w:rPr>
        <w:t>Náklady sú kalkulované so zamedzením dvojitého financovania v rámci čl.43  a 46 nariadenia č.1307/2013 – oblasť ekologického záujmu.</w:t>
      </w:r>
    </w:p>
    <w:p w:rsidR="00ED1FEE" w:rsidRDefault="00ED1FEE" w:rsidP="00ED1FEE">
      <w:pPr>
        <w:rPr>
          <w:rFonts w:ascii="Calibri" w:eastAsia="Calibri" w:hAnsi="Calibri" w:cs="Calibri"/>
          <w:bCs/>
          <w:szCs w:val="22"/>
          <w:lang w:eastAsia="en-US"/>
        </w:rPr>
      </w:pPr>
    </w:p>
    <w:p w:rsidR="00ED1FEE" w:rsidRDefault="00ED1FEE" w:rsidP="00ED1FEE">
      <w:pPr>
        <w:rPr>
          <w:rFonts w:ascii="Calibri" w:eastAsia="Calibri" w:hAnsi="Calibri" w:cs="Calibri"/>
          <w:bCs/>
          <w:szCs w:val="22"/>
          <w:u w:val="single"/>
          <w:lang w:eastAsia="en-US"/>
        </w:rPr>
      </w:pPr>
      <w:r>
        <w:rPr>
          <w:rFonts w:ascii="Calibri" w:eastAsia="Calibri" w:hAnsi="Calibri" w:cs="Calibri"/>
          <w:bCs/>
          <w:szCs w:val="22"/>
          <w:u w:val="single"/>
          <w:lang w:eastAsia="en-US"/>
        </w:rPr>
        <w:t>Podmienky oprávnenosti:</w:t>
      </w:r>
    </w:p>
    <w:p w:rsidR="00ED1FEE" w:rsidRDefault="00ED1FEE" w:rsidP="00CE203B">
      <w:pPr>
        <w:numPr>
          <w:ilvl w:val="0"/>
          <w:numId w:val="274"/>
        </w:numPr>
        <w:ind w:left="360"/>
        <w:rPr>
          <w:rFonts w:ascii="Calibri" w:hAnsi="Calibri" w:cs="Calibri"/>
          <w:szCs w:val="22"/>
          <w:lang w:eastAsia="en-US"/>
        </w:rPr>
      </w:pPr>
      <w:r>
        <w:rPr>
          <w:rFonts w:ascii="Calibri" w:hAnsi="Calibri" w:cs="Calibri"/>
          <w:szCs w:val="22"/>
          <w:lang w:eastAsia="en-US"/>
        </w:rPr>
        <w:t>vstúpiť do opatrenia minimálne s 1 ha orných pôd vedených v LPIS a nachádzajúcich sa v CHVÚ Lehnice alebo CHVÚ Sysľovské polia</w:t>
      </w:r>
    </w:p>
    <w:p w:rsidR="00ED1FEE" w:rsidRDefault="00ED1FEE" w:rsidP="00ED1FEE">
      <w:pPr>
        <w:rPr>
          <w:rFonts w:ascii="Calibri" w:eastAsia="Calibri" w:hAnsi="Calibri" w:cs="Calibri"/>
          <w:bCs/>
          <w:szCs w:val="22"/>
          <w:u w:val="single"/>
          <w:lang w:eastAsia="en-US"/>
        </w:rPr>
      </w:pPr>
    </w:p>
    <w:p w:rsidR="00ED1FEE" w:rsidRPr="00DD7895" w:rsidRDefault="00ED1FEE" w:rsidP="00ED1FEE">
      <w:pPr>
        <w:rPr>
          <w:rFonts w:ascii="Calibri" w:eastAsia="Calibri" w:hAnsi="Calibri" w:cs="Calibri"/>
          <w:szCs w:val="22"/>
          <w:u w:val="single"/>
          <w:lang w:eastAsia="en-US"/>
        </w:rPr>
      </w:pPr>
      <w:r w:rsidRPr="00DD7895">
        <w:rPr>
          <w:rFonts w:ascii="Calibri" w:eastAsia="Calibri" w:hAnsi="Calibri" w:cs="Calibri"/>
          <w:szCs w:val="22"/>
          <w:u w:val="single"/>
          <w:lang w:eastAsia="en-US"/>
        </w:rPr>
        <w:t>Podmienky podpory</w:t>
      </w:r>
    </w:p>
    <w:p w:rsidR="00ED1FEE" w:rsidRPr="00DD7895" w:rsidRDefault="00ED1FEE" w:rsidP="00CE203B">
      <w:pPr>
        <w:numPr>
          <w:ilvl w:val="0"/>
          <w:numId w:val="274"/>
        </w:numPr>
        <w:ind w:left="360"/>
        <w:rPr>
          <w:rFonts w:ascii="Calibri" w:eastAsia="Calibri" w:hAnsi="Calibri" w:cs="Calibri"/>
          <w:bCs/>
          <w:szCs w:val="22"/>
          <w:lang w:eastAsia="en-US"/>
        </w:rPr>
      </w:pPr>
      <w:r w:rsidRPr="00DD7895">
        <w:rPr>
          <w:rFonts w:ascii="Calibri" w:eastAsia="Calibri" w:hAnsi="Calibri" w:cs="Calibri"/>
          <w:bCs/>
          <w:szCs w:val="22"/>
          <w:lang w:eastAsia="en-US"/>
        </w:rPr>
        <w:t>realizovať stanovený osevný postup</w:t>
      </w:r>
    </w:p>
    <w:p w:rsidR="00ED1FEE" w:rsidRPr="00DD7895" w:rsidRDefault="00ED1FEE" w:rsidP="00CE203B">
      <w:pPr>
        <w:pStyle w:val="Odsekzoznamu"/>
        <w:numPr>
          <w:ilvl w:val="0"/>
          <w:numId w:val="363"/>
        </w:numPr>
        <w:rPr>
          <w:rFonts w:ascii="Calibri" w:eastAsia="Calibri" w:hAnsi="Calibri" w:cs="Calibri"/>
          <w:bCs/>
          <w:szCs w:val="22"/>
          <w:lang w:eastAsia="en-US"/>
        </w:rPr>
      </w:pPr>
      <w:r w:rsidRPr="00DD7895">
        <w:rPr>
          <w:rFonts w:ascii="Calibri" w:eastAsia="Calibri" w:hAnsi="Calibri" w:cs="Calibri"/>
          <w:bCs/>
          <w:szCs w:val="22"/>
          <w:lang w:eastAsia="en-US"/>
        </w:rPr>
        <w:t>pestovať minimálne 4 druhy hlavných plodín</w:t>
      </w:r>
    </w:p>
    <w:p w:rsidR="00ED1FEE" w:rsidRPr="00DD7895" w:rsidRDefault="00ED1FEE" w:rsidP="00CE203B">
      <w:pPr>
        <w:pStyle w:val="Odsekzoznamu"/>
        <w:numPr>
          <w:ilvl w:val="0"/>
          <w:numId w:val="363"/>
        </w:numPr>
        <w:rPr>
          <w:rFonts w:ascii="Calibri" w:eastAsia="Calibri" w:hAnsi="Calibri" w:cs="Calibri"/>
          <w:bCs/>
          <w:szCs w:val="22"/>
          <w:lang w:eastAsia="en-US"/>
        </w:rPr>
      </w:pPr>
      <w:r w:rsidRPr="00DD7895">
        <w:rPr>
          <w:rFonts w:ascii="Calibri" w:eastAsia="Calibri" w:hAnsi="Calibri" w:cs="Calibri"/>
          <w:bCs/>
          <w:szCs w:val="22"/>
          <w:lang w:eastAsia="en-US"/>
        </w:rPr>
        <w:t>celkový podiel ozimných obilnín, repky olejnej, viacročných krmovín, tráv na ornej pôde a medziplodín spolu minimálne 70%</w:t>
      </w:r>
      <w:r>
        <w:rPr>
          <w:rFonts w:ascii="Calibri" w:eastAsia="Calibri" w:hAnsi="Calibri" w:cs="Calibri"/>
          <w:bCs/>
          <w:szCs w:val="22"/>
          <w:lang w:eastAsia="en-US"/>
        </w:rPr>
        <w:t xml:space="preserve"> , z toho</w:t>
      </w:r>
    </w:p>
    <w:p w:rsidR="00ED1FEE" w:rsidRPr="00DD7895" w:rsidRDefault="00ED1FEE" w:rsidP="00CE203B">
      <w:pPr>
        <w:pStyle w:val="Odsekzoznamu"/>
        <w:numPr>
          <w:ilvl w:val="0"/>
          <w:numId w:val="363"/>
        </w:numPr>
        <w:rPr>
          <w:rFonts w:ascii="Calibri" w:eastAsia="Calibri" w:hAnsi="Calibri" w:cs="Calibri"/>
          <w:bCs/>
          <w:szCs w:val="22"/>
          <w:lang w:eastAsia="en-US"/>
        </w:rPr>
      </w:pPr>
      <w:r w:rsidRPr="00DD7895">
        <w:rPr>
          <w:rFonts w:ascii="Calibri" w:eastAsia="Calibri" w:hAnsi="Calibri" w:cs="Calibri"/>
          <w:bCs/>
          <w:szCs w:val="22"/>
          <w:lang w:eastAsia="en-US"/>
        </w:rPr>
        <w:t>podiel repky olejnej alebo viacročných krmovín (lucerna) minimálne 15%</w:t>
      </w:r>
      <w:r>
        <w:rPr>
          <w:rFonts w:ascii="Calibri" w:eastAsia="Calibri" w:hAnsi="Calibri" w:cs="Calibri"/>
          <w:bCs/>
          <w:szCs w:val="22"/>
          <w:lang w:eastAsia="en-US"/>
        </w:rPr>
        <w:t>,</w:t>
      </w:r>
    </w:p>
    <w:p w:rsidR="00ED1FEE" w:rsidRPr="00DD7895" w:rsidRDefault="00ED1FEE" w:rsidP="00CE203B">
      <w:pPr>
        <w:pStyle w:val="Odsekzoznamu"/>
        <w:numPr>
          <w:ilvl w:val="0"/>
          <w:numId w:val="363"/>
        </w:numPr>
        <w:rPr>
          <w:rFonts w:ascii="Calibri" w:eastAsia="Calibri" w:hAnsi="Calibri" w:cs="Calibri"/>
          <w:bCs/>
          <w:szCs w:val="22"/>
          <w:lang w:eastAsia="en-US"/>
        </w:rPr>
      </w:pPr>
      <w:r w:rsidRPr="00DD7895">
        <w:rPr>
          <w:rFonts w:ascii="Calibri" w:eastAsia="Calibri" w:hAnsi="Calibri" w:cs="Calibri"/>
          <w:bCs/>
          <w:szCs w:val="22"/>
          <w:lang w:eastAsia="en-US"/>
        </w:rPr>
        <w:t xml:space="preserve">podiel tráv na ornej pôde kosených po 15.7. </w:t>
      </w:r>
      <w:r>
        <w:rPr>
          <w:rFonts w:ascii="Calibri" w:eastAsia="Calibri" w:hAnsi="Calibri" w:cs="Calibri"/>
          <w:bCs/>
          <w:szCs w:val="22"/>
          <w:lang w:eastAsia="en-US"/>
        </w:rPr>
        <w:t>je</w:t>
      </w:r>
      <w:r w:rsidRPr="00DD7895">
        <w:rPr>
          <w:rFonts w:ascii="Calibri" w:eastAsia="Calibri" w:hAnsi="Calibri" w:cs="Calibri"/>
          <w:bCs/>
          <w:szCs w:val="22"/>
          <w:lang w:eastAsia="en-US"/>
        </w:rPr>
        <w:t xml:space="preserve"> minimálne 5 %</w:t>
      </w:r>
      <w:r>
        <w:rPr>
          <w:rFonts w:ascii="Calibri" w:eastAsia="Calibri" w:hAnsi="Calibri" w:cs="Calibri"/>
          <w:bCs/>
          <w:szCs w:val="22"/>
          <w:lang w:eastAsia="en-US"/>
        </w:rPr>
        <w:t>,</w:t>
      </w:r>
      <w:r w:rsidRPr="00DD7895">
        <w:rPr>
          <w:rFonts w:ascii="Calibri" w:eastAsia="Calibri" w:hAnsi="Calibri" w:cs="Calibri"/>
          <w:bCs/>
          <w:szCs w:val="22"/>
          <w:lang w:eastAsia="en-US"/>
        </w:rPr>
        <w:t xml:space="preserve"> </w:t>
      </w:r>
    </w:p>
    <w:p w:rsidR="00ED1FEE" w:rsidRPr="00DD7895" w:rsidRDefault="00ED1FEE" w:rsidP="00CE203B">
      <w:pPr>
        <w:numPr>
          <w:ilvl w:val="0"/>
          <w:numId w:val="274"/>
        </w:numPr>
        <w:ind w:left="360"/>
        <w:rPr>
          <w:rFonts w:ascii="Calibri" w:eastAsia="Calibri" w:hAnsi="Calibri" w:cs="Calibri"/>
          <w:bCs/>
          <w:szCs w:val="22"/>
          <w:lang w:eastAsia="en-US"/>
        </w:rPr>
      </w:pPr>
      <w:r w:rsidRPr="00DD7895">
        <w:rPr>
          <w:rFonts w:ascii="Calibri" w:eastAsia="Calibri" w:hAnsi="Calibri" w:cs="Calibri"/>
          <w:bCs/>
          <w:szCs w:val="22"/>
          <w:lang w:eastAsia="en-US"/>
        </w:rPr>
        <w:t>úplné vylúč</w:t>
      </w:r>
      <w:r>
        <w:rPr>
          <w:rFonts w:ascii="Calibri" w:eastAsia="Calibri" w:hAnsi="Calibri" w:cs="Calibri"/>
          <w:bCs/>
          <w:szCs w:val="22"/>
          <w:lang w:eastAsia="en-US"/>
        </w:rPr>
        <w:t>iť</w:t>
      </w:r>
      <w:r w:rsidRPr="00DD7895">
        <w:rPr>
          <w:rFonts w:ascii="Calibri" w:eastAsia="Calibri" w:hAnsi="Calibri" w:cs="Calibri"/>
          <w:bCs/>
          <w:szCs w:val="22"/>
          <w:lang w:eastAsia="en-US"/>
        </w:rPr>
        <w:t xml:space="preserve"> aplikáci</w:t>
      </w:r>
      <w:r>
        <w:rPr>
          <w:rFonts w:ascii="Calibri" w:eastAsia="Calibri" w:hAnsi="Calibri" w:cs="Calibri"/>
          <w:bCs/>
          <w:szCs w:val="22"/>
          <w:lang w:eastAsia="en-US"/>
        </w:rPr>
        <w:t>u</w:t>
      </w:r>
      <w:r w:rsidRPr="00DD7895">
        <w:rPr>
          <w:rFonts w:ascii="Calibri" w:eastAsia="Calibri" w:hAnsi="Calibri" w:cs="Calibri"/>
          <w:bCs/>
          <w:szCs w:val="22"/>
          <w:lang w:eastAsia="en-US"/>
        </w:rPr>
        <w:t xml:space="preserve"> stanovených prípravkov na ochranu rastlín,</w:t>
      </w:r>
    </w:p>
    <w:p w:rsidR="00ED1FEE" w:rsidRPr="00DD7895" w:rsidRDefault="00ED1FEE" w:rsidP="00CE203B">
      <w:pPr>
        <w:numPr>
          <w:ilvl w:val="0"/>
          <w:numId w:val="274"/>
        </w:numPr>
        <w:ind w:left="360"/>
        <w:rPr>
          <w:rFonts w:ascii="Calibri" w:eastAsia="Calibri" w:hAnsi="Calibri" w:cs="Calibri"/>
          <w:bCs/>
          <w:szCs w:val="22"/>
          <w:lang w:eastAsia="en-US"/>
        </w:rPr>
      </w:pPr>
      <w:r w:rsidRPr="00DD7895">
        <w:rPr>
          <w:rFonts w:ascii="Calibri" w:eastAsia="Calibri" w:hAnsi="Calibri" w:cs="Calibri"/>
          <w:bCs/>
          <w:szCs w:val="22"/>
          <w:lang w:eastAsia="en-US"/>
        </w:rPr>
        <w:t xml:space="preserve">kosiť a vykonávať žatevné práce vždy od stredu smerom k okrajom alebo od jednej strany pozemku k druhej strane pozemku;  pri kosbe a žatve používať výstražné zariadenia </w:t>
      </w:r>
    </w:p>
    <w:p w:rsidR="00ED1FEE" w:rsidRPr="00DD7895" w:rsidRDefault="00ED1FEE" w:rsidP="00ED1FEE">
      <w:pPr>
        <w:rPr>
          <w:rFonts w:ascii="Calibri" w:eastAsia="Calibri" w:hAnsi="Calibri" w:cs="Calibri"/>
          <w:bCs/>
          <w:szCs w:val="22"/>
          <w:lang w:eastAsia="en-US"/>
        </w:rPr>
      </w:pPr>
    </w:p>
    <w:p w:rsidR="00ED1FEE" w:rsidRDefault="00ED1FEE" w:rsidP="00ED1FEE">
      <w:pPr>
        <w:rPr>
          <w:rFonts w:ascii="Calibri" w:eastAsia="Calibri" w:hAnsi="Calibri" w:cs="Calibri"/>
          <w:szCs w:val="22"/>
          <w:u w:val="single"/>
          <w:lang w:eastAsia="en-US"/>
        </w:rPr>
      </w:pPr>
      <w:r>
        <w:rPr>
          <w:rFonts w:ascii="Calibri" w:eastAsia="Calibri" w:hAnsi="Calibri" w:cs="Calibri"/>
          <w:szCs w:val="22"/>
          <w:u w:val="single"/>
          <w:lang w:eastAsia="en-US"/>
        </w:rPr>
        <w:t>Princípy nastavenia výberových kritérií:</w:t>
      </w:r>
    </w:p>
    <w:p w:rsidR="00ED1FEE" w:rsidRPr="00DD7895" w:rsidRDefault="00ED1FEE" w:rsidP="00CE203B">
      <w:pPr>
        <w:pStyle w:val="Odsekzoznamu"/>
        <w:numPr>
          <w:ilvl w:val="0"/>
          <w:numId w:val="357"/>
        </w:numPr>
        <w:rPr>
          <w:rFonts w:ascii="Calibri" w:hAnsi="Calibri"/>
          <w:szCs w:val="22"/>
          <w:lang w:eastAsia="en-GB"/>
        </w:rPr>
      </w:pPr>
      <w:r w:rsidRPr="00DD7895">
        <w:rPr>
          <w:rFonts w:ascii="Calibri" w:hAnsi="Calibri"/>
          <w:szCs w:val="22"/>
          <w:lang w:eastAsia="en-GB"/>
        </w:rPr>
        <w:t>výberové kritériá sa neuplatňujú</w:t>
      </w:r>
    </w:p>
    <w:p w:rsidR="00ED1FEE" w:rsidRPr="00C5467B" w:rsidRDefault="00ED1FEE" w:rsidP="00ED1FEE">
      <w:pPr>
        <w:pStyle w:val="Odsekzoznamu"/>
        <w:rPr>
          <w:rFonts w:ascii="Calibri" w:hAnsi="Calibri"/>
          <w:szCs w:val="22"/>
          <w:u w:val="single"/>
          <w:lang w:eastAsia="en-GB"/>
        </w:rPr>
      </w:pPr>
    </w:p>
    <w:p w:rsidR="00ED1FEE" w:rsidRDefault="00ED1FEE" w:rsidP="00ED1FEE">
      <w:pPr>
        <w:rPr>
          <w:rFonts w:ascii="Calibri" w:hAnsi="Calibri"/>
          <w:szCs w:val="22"/>
          <w:u w:val="single"/>
          <w:lang w:eastAsia="en-GB"/>
        </w:rPr>
      </w:pPr>
      <w:r>
        <w:rPr>
          <w:rFonts w:ascii="Calibri" w:hAnsi="Calibri"/>
          <w:szCs w:val="22"/>
          <w:u w:val="single"/>
          <w:lang w:eastAsia="en-GB"/>
        </w:rPr>
        <w:t>Výška a miera podpory:</w:t>
      </w:r>
    </w:p>
    <w:p w:rsidR="00ED1FEE" w:rsidRDefault="00ED1FEE" w:rsidP="00ED1FEE">
      <w:pPr>
        <w:rPr>
          <w:rFonts w:ascii="Calibri" w:eastAsia="Calibri" w:hAnsi="Calibri" w:cs="Calibri"/>
          <w:szCs w:val="22"/>
          <w:lang w:eastAsia="en-US"/>
        </w:rPr>
      </w:pPr>
      <w:r>
        <w:rPr>
          <w:rFonts w:ascii="Calibri" w:eastAsia="Calibri" w:hAnsi="Calibri" w:cs="Calibri"/>
          <w:szCs w:val="22"/>
          <w:lang w:eastAsia="en-US"/>
        </w:rPr>
        <w:t>Výška podpory:     86 €/ha plochy ornej pôdy</w:t>
      </w:r>
    </w:p>
    <w:p w:rsidR="00095683" w:rsidRDefault="00095683">
      <w:pPr>
        <w:jc w:val="left"/>
        <w:rPr>
          <w:rFonts w:ascii="Calibri" w:eastAsia="Calibri" w:hAnsi="Calibri" w:cs="Calibri"/>
          <w:szCs w:val="22"/>
          <w:lang w:eastAsia="en-US"/>
        </w:rPr>
      </w:pPr>
      <w:r>
        <w:rPr>
          <w:rFonts w:ascii="Calibri" w:eastAsia="Calibri" w:hAnsi="Calibri" w:cs="Calibri"/>
          <w:szCs w:val="22"/>
          <w:lang w:eastAsia="en-US"/>
        </w:rPr>
        <w:br w:type="page"/>
      </w:r>
    </w:p>
    <w:p w:rsidR="00ED1FEE" w:rsidRDefault="00ED1FEE" w:rsidP="00ED1FEE">
      <w:pPr>
        <w:shd w:val="clear" w:color="auto" w:fill="FBD4B4"/>
        <w:rPr>
          <w:rFonts w:ascii="Calibri" w:eastAsia="Calibri" w:hAnsi="Calibri" w:cs="Calibri"/>
          <w:bCs/>
          <w:szCs w:val="22"/>
          <w:lang w:eastAsia="en-US"/>
        </w:rPr>
      </w:pPr>
      <w:r>
        <w:rPr>
          <w:rFonts w:ascii="Calibri" w:eastAsia="Calibri" w:hAnsi="Calibri" w:cs="Calibri"/>
          <w:bCs/>
          <w:szCs w:val="22"/>
          <w:u w:val="single"/>
          <w:lang w:eastAsia="en-US"/>
        </w:rPr>
        <w:t>Názov operácie:</w:t>
      </w:r>
      <w:r>
        <w:rPr>
          <w:rFonts w:ascii="Calibri" w:eastAsia="Calibri" w:hAnsi="Calibri" w:cs="Calibri"/>
          <w:bCs/>
          <w:szCs w:val="22"/>
          <w:lang w:eastAsia="en-US"/>
        </w:rPr>
        <w:t xml:space="preserve"> </w:t>
      </w:r>
    </w:p>
    <w:p w:rsidR="00ED1FEE" w:rsidRDefault="00ED1FEE" w:rsidP="00ED1FEE">
      <w:pPr>
        <w:shd w:val="clear" w:color="auto" w:fill="FBD4B4"/>
        <w:rPr>
          <w:rFonts w:ascii="Calibri" w:eastAsia="Calibri" w:hAnsi="Calibri" w:cs="Calibri"/>
          <w:bCs/>
          <w:i/>
          <w:szCs w:val="22"/>
          <w:lang w:eastAsia="en-US"/>
        </w:rPr>
      </w:pPr>
      <w:r>
        <w:rPr>
          <w:rFonts w:ascii="Calibri" w:eastAsia="Calibri" w:hAnsi="Calibri" w:cs="Calibri"/>
          <w:bCs/>
          <w:i/>
          <w:szCs w:val="22"/>
          <w:lang w:eastAsia="en-US"/>
        </w:rPr>
        <w:t xml:space="preserve">Ochrana biotopov sysľa pasienkového </w:t>
      </w:r>
    </w:p>
    <w:p w:rsidR="00ED1FEE" w:rsidRDefault="00ED1FEE" w:rsidP="00ED1FEE">
      <w:pPr>
        <w:rPr>
          <w:rFonts w:ascii="Calibri" w:eastAsia="Calibri" w:hAnsi="Calibri" w:cs="Calibri"/>
          <w:szCs w:val="22"/>
          <w:lang w:eastAsia="en-US"/>
        </w:rPr>
      </w:pPr>
    </w:p>
    <w:p w:rsidR="00ED1FEE" w:rsidRDefault="00ED1FEE" w:rsidP="00ED1FEE">
      <w:pPr>
        <w:autoSpaceDE w:val="0"/>
        <w:autoSpaceDN w:val="0"/>
        <w:adjustRightInd w:val="0"/>
        <w:rPr>
          <w:rFonts w:ascii="Calibri" w:eastAsia="Calibri" w:hAnsi="Calibri" w:cs="Calibri"/>
          <w:bCs/>
          <w:szCs w:val="22"/>
          <w:u w:val="single"/>
          <w:lang w:eastAsia="en-US"/>
        </w:rPr>
      </w:pPr>
      <w:r>
        <w:rPr>
          <w:rFonts w:ascii="Calibri" w:eastAsia="Calibri" w:hAnsi="Calibri" w:cs="Calibri"/>
          <w:bCs/>
          <w:szCs w:val="22"/>
          <w:u w:val="single"/>
          <w:lang w:eastAsia="en-US"/>
        </w:rPr>
        <w:t>Opis operácie:</w:t>
      </w:r>
    </w:p>
    <w:p w:rsidR="00ED1FEE" w:rsidRPr="00DD7895" w:rsidRDefault="00ED1FEE" w:rsidP="00095683">
      <w:pPr>
        <w:pStyle w:val="Odsekzoznamu"/>
        <w:spacing w:after="120"/>
        <w:ind w:left="0"/>
        <w:contextualSpacing w:val="0"/>
        <w:rPr>
          <w:rFonts w:ascii="Calibri" w:eastAsia="Calibri" w:hAnsi="Calibri" w:cs="Calibri"/>
          <w:szCs w:val="22"/>
          <w:lang w:eastAsia="en-US"/>
        </w:rPr>
      </w:pPr>
      <w:r w:rsidRPr="00DD7895">
        <w:rPr>
          <w:rFonts w:ascii="Calibri" w:eastAsia="Calibri" w:hAnsi="Calibri" w:cs="Calibri"/>
          <w:szCs w:val="22"/>
          <w:lang w:eastAsia="en-US"/>
        </w:rPr>
        <w:t xml:space="preserve">Syseľ pasienkový </w:t>
      </w:r>
      <w:r w:rsidR="00A378F5">
        <w:rPr>
          <w:rFonts w:ascii="Calibri" w:eastAsia="Calibri" w:hAnsi="Calibri" w:cs="Calibri"/>
          <w:szCs w:val="22"/>
          <w:lang w:eastAsia="en-US"/>
        </w:rPr>
        <w:t>(</w:t>
      </w:r>
      <w:r w:rsidRPr="00DD7895">
        <w:rPr>
          <w:rFonts w:ascii="Calibri" w:eastAsia="Calibri" w:hAnsi="Calibri" w:cs="Calibri"/>
          <w:szCs w:val="22"/>
          <w:lang w:eastAsia="en-US"/>
        </w:rPr>
        <w:t>Spermophilus citellus</w:t>
      </w:r>
      <w:r w:rsidR="00A378F5">
        <w:rPr>
          <w:rFonts w:ascii="Calibri" w:eastAsia="Calibri" w:hAnsi="Calibri" w:cs="Calibri"/>
          <w:szCs w:val="22"/>
          <w:lang w:eastAsia="en-US"/>
        </w:rPr>
        <w:t>)</w:t>
      </w:r>
      <w:r w:rsidRPr="00DD7895">
        <w:rPr>
          <w:rFonts w:ascii="Calibri" w:eastAsia="Calibri" w:hAnsi="Calibri" w:cs="Calibri"/>
          <w:szCs w:val="22"/>
          <w:lang w:eastAsia="en-US"/>
        </w:rPr>
        <w:t xml:space="preserve"> je ohrozeným a chráneným druhom, ktorý sa okrem územia Európy nevyskytuje inde na svete. Jeho populácie sú roztrieštené a čelia dramatickým poklesom početnosti v celom areáli výskytu druhu. Je nepochybne významnou súčasťou stepných trávinných ekosystémov a zároveň dáždnikovým druhom. Syseľ pasienkový je zaradený do prílohy II. (druhy živočíchov a rastlín, o ktoré má Spoločenstvo záujem a ktoré si vyžaduje prísnu ochranu) smernice Rady č. 92/43/EHS o ochrane prirodzených biotopov a voľne žijúcich živočíchov a rastlín. Status druhu podľa uvedenej smernice je nepriaznivý. Syseľ pasienkový je v Červenom zozname cicavcov Slovenska hodnotený ako ohrozený druh. V Červenom zozname IUCN je tento druh vedený v kategórii ohrozenosti ako zraniteľný.</w:t>
      </w:r>
    </w:p>
    <w:p w:rsidR="00ED1FEE" w:rsidRPr="00DD7895" w:rsidRDefault="00ED1FEE" w:rsidP="00ED1FEE">
      <w:pPr>
        <w:pStyle w:val="Odsekzoznamu"/>
        <w:ind w:left="0"/>
        <w:rPr>
          <w:rFonts w:ascii="Calibri" w:eastAsia="Calibri" w:hAnsi="Calibri" w:cs="Calibri"/>
          <w:szCs w:val="22"/>
          <w:lang w:eastAsia="en-US"/>
        </w:rPr>
      </w:pPr>
      <w:r w:rsidRPr="00DD7895">
        <w:rPr>
          <w:rFonts w:ascii="Calibri" w:eastAsia="Calibri" w:hAnsi="Calibri" w:cs="Calibri"/>
          <w:szCs w:val="22"/>
          <w:lang w:eastAsia="en-US"/>
        </w:rPr>
        <w:t>Cieľom podpory je na presne stanovených lokalitách trávnych porastov realizovať poľnohospodárske aktivity umožňujúce záchranu populácie sysľa pasienkového a zachovanie jeho biotopov na Slovensku. Stanovené manažovanie trávnych porastov predstavuje pravidelná kosba lúk a dostatočné spásanie pasienkov hospodárskymi zvieratami s cieľom dosiahnutia požadovanej výšky trávneho porastu, vylúčenie chemických látok a obmedzenie hnojenia organickými hnojivami, vylúčenie akýkoľvek úprav terénu. Plnenie týchto nadštandardných podmienok bude  v súlade s ekologickými nárokmi sysľa pasienkového.</w:t>
      </w:r>
    </w:p>
    <w:p w:rsidR="00ED1FEE" w:rsidRPr="00D804E5" w:rsidRDefault="00ED1FEE" w:rsidP="00ED1FEE">
      <w:pPr>
        <w:autoSpaceDE w:val="0"/>
        <w:autoSpaceDN w:val="0"/>
        <w:adjustRightInd w:val="0"/>
        <w:rPr>
          <w:rFonts w:ascii="Calibri" w:hAnsi="Calibri"/>
          <w:szCs w:val="22"/>
          <w:lang w:eastAsia="en-US"/>
        </w:rPr>
      </w:pPr>
      <w:r w:rsidRPr="00D804E5">
        <w:rPr>
          <w:rFonts w:ascii="Calibri" w:hAnsi="Calibri"/>
          <w:szCs w:val="22"/>
          <w:lang w:eastAsia="en-US"/>
        </w:rPr>
        <w:t>Zoznam oprávnených lokalít bude obsiahnutý v nariadení vlády SR pre poskytovanie podpory z programu rozvoja vidieka.</w:t>
      </w:r>
    </w:p>
    <w:p w:rsidR="00ED1FEE" w:rsidRDefault="00ED1FEE" w:rsidP="00ED1FEE">
      <w:pPr>
        <w:autoSpaceDE w:val="0"/>
        <w:autoSpaceDN w:val="0"/>
        <w:adjustRightInd w:val="0"/>
      </w:pPr>
    </w:p>
    <w:p w:rsidR="00ED1FEE" w:rsidRDefault="00ED1FEE" w:rsidP="00ED1FEE">
      <w:pPr>
        <w:rPr>
          <w:rFonts w:ascii="Calibri" w:eastAsia="Calibri" w:hAnsi="Calibri"/>
          <w:noProof/>
          <w:szCs w:val="22"/>
          <w:u w:val="single"/>
          <w:lang w:eastAsia="en-GB"/>
        </w:rPr>
      </w:pPr>
      <w:r>
        <w:rPr>
          <w:rFonts w:ascii="Calibri" w:eastAsia="Calibri" w:hAnsi="Calibri"/>
          <w:noProof/>
          <w:szCs w:val="22"/>
          <w:u w:val="single"/>
          <w:lang w:eastAsia="en-GB"/>
        </w:rPr>
        <w:t>Typ podpory:</w:t>
      </w:r>
    </w:p>
    <w:p w:rsidR="00ED1FEE" w:rsidRDefault="00ED1FEE" w:rsidP="00ED1FEE">
      <w:pPr>
        <w:rPr>
          <w:rFonts w:ascii="Calibri" w:eastAsia="Calibri" w:hAnsi="Calibri"/>
          <w:noProof/>
          <w:szCs w:val="22"/>
          <w:lang w:eastAsia="en-GB"/>
        </w:rPr>
      </w:pPr>
      <w:r>
        <w:rPr>
          <w:rFonts w:ascii="Calibri" w:eastAsia="Calibri" w:hAnsi="Calibri"/>
          <w:szCs w:val="22"/>
          <w:lang w:eastAsia="en-US"/>
        </w:rPr>
        <w:t xml:space="preserve">Nezisková ročná platba na hektár </w:t>
      </w:r>
      <w:r>
        <w:rPr>
          <w:rFonts w:ascii="Calibri" w:eastAsia="Calibri" w:hAnsi="Calibri"/>
          <w:noProof/>
          <w:szCs w:val="22"/>
          <w:lang w:eastAsia="en-GB"/>
        </w:rPr>
        <w:t>trvalého trávneho porastu s výskytom sysľa pasienkového</w:t>
      </w:r>
    </w:p>
    <w:p w:rsidR="00ED1FEE" w:rsidRDefault="00ED1FEE" w:rsidP="00ED1FEE">
      <w:pPr>
        <w:rPr>
          <w:rFonts w:ascii="Calibri" w:eastAsia="Calibri" w:hAnsi="Calibri" w:cs="Calibri"/>
          <w:bCs/>
          <w:szCs w:val="22"/>
          <w:lang w:eastAsia="en-US"/>
        </w:rPr>
      </w:pPr>
    </w:p>
    <w:p w:rsidR="00ED1FEE" w:rsidRDefault="00ED1FEE" w:rsidP="00ED1FEE">
      <w:pPr>
        <w:rPr>
          <w:rFonts w:ascii="Calibri" w:eastAsia="Calibri" w:hAnsi="Calibri" w:cs="Calibri"/>
          <w:bCs/>
          <w:szCs w:val="22"/>
          <w:u w:val="single"/>
          <w:lang w:eastAsia="en-US"/>
        </w:rPr>
      </w:pPr>
      <w:r>
        <w:rPr>
          <w:rFonts w:ascii="Calibri" w:eastAsia="Calibri" w:hAnsi="Calibri" w:cs="Calibri"/>
          <w:bCs/>
          <w:szCs w:val="22"/>
          <w:u w:val="single"/>
          <w:lang w:eastAsia="en-US"/>
        </w:rPr>
        <w:t>Súvislosť s inou legislatívou:</w:t>
      </w:r>
    </w:p>
    <w:p w:rsidR="00ED1FEE" w:rsidRDefault="00ED1FEE" w:rsidP="00955DA4">
      <w:pPr>
        <w:numPr>
          <w:ilvl w:val="0"/>
          <w:numId w:val="200"/>
        </w:numPr>
        <w:rPr>
          <w:rFonts w:ascii="Calibri" w:hAnsi="Calibri" w:cs="EUAlbertina"/>
          <w:bCs/>
          <w:szCs w:val="22"/>
        </w:rPr>
      </w:pPr>
      <w:r>
        <w:rPr>
          <w:rFonts w:ascii="Calibri" w:hAnsi="Calibri"/>
          <w:szCs w:val="22"/>
        </w:rPr>
        <w:t xml:space="preserve">nariadenie (EÚ) č. 1306/2013 </w:t>
      </w:r>
      <w:r>
        <w:rPr>
          <w:rFonts w:ascii="Calibri" w:hAnsi="Calibri" w:cs="EUAlbertina"/>
          <w:bCs/>
          <w:szCs w:val="22"/>
        </w:rPr>
        <w:t>o financovaní, riadení a monitorovaní spoločnej poľnohospodárskej politiky;</w:t>
      </w:r>
    </w:p>
    <w:p w:rsidR="00ED1FEE" w:rsidRDefault="00ED1FEE" w:rsidP="00955DA4">
      <w:pPr>
        <w:numPr>
          <w:ilvl w:val="0"/>
          <w:numId w:val="200"/>
        </w:numPr>
        <w:rPr>
          <w:rFonts w:ascii="Calibri" w:hAnsi="Calibri" w:cs="EUAlbertina"/>
          <w:bCs/>
          <w:szCs w:val="22"/>
        </w:rPr>
      </w:pPr>
      <w:r>
        <w:rPr>
          <w:rFonts w:ascii="Calibri" w:hAnsi="Calibri" w:cs="EUAlbertina"/>
          <w:bCs/>
          <w:szCs w:val="22"/>
        </w:rPr>
        <w:t>nariadenie (EÚ) 1307/2013;</w:t>
      </w:r>
    </w:p>
    <w:p w:rsidR="00ED1FEE" w:rsidRDefault="00ED1FEE" w:rsidP="00955DA4">
      <w:pPr>
        <w:numPr>
          <w:ilvl w:val="0"/>
          <w:numId w:val="200"/>
        </w:numPr>
        <w:rPr>
          <w:rFonts w:ascii="Calibri" w:hAnsi="Calibri"/>
          <w:szCs w:val="22"/>
        </w:rPr>
      </w:pPr>
      <w:r>
        <w:rPr>
          <w:rFonts w:ascii="Calibri" w:hAnsi="Calibri"/>
          <w:szCs w:val="22"/>
        </w:rPr>
        <w:t xml:space="preserve">zákon č. </w:t>
      </w:r>
      <w:r w:rsidRPr="00AA1EC2">
        <w:rPr>
          <w:rFonts w:ascii="Calibri" w:hAnsi="Calibri"/>
          <w:szCs w:val="22"/>
        </w:rPr>
        <w:t>543</w:t>
      </w:r>
      <w:r>
        <w:rPr>
          <w:rFonts w:ascii="Calibri" w:hAnsi="Calibri"/>
          <w:szCs w:val="22"/>
        </w:rPr>
        <w:t>/</w:t>
      </w:r>
      <w:r w:rsidRPr="00AA1EC2">
        <w:rPr>
          <w:rFonts w:ascii="Calibri" w:hAnsi="Calibri"/>
          <w:szCs w:val="22"/>
        </w:rPr>
        <w:t>2002</w:t>
      </w:r>
      <w:r>
        <w:rPr>
          <w:rFonts w:ascii="Calibri" w:hAnsi="Calibri"/>
          <w:szCs w:val="22"/>
        </w:rPr>
        <w:t xml:space="preserve"> Z.z.</w:t>
      </w:r>
      <w:r w:rsidRPr="00AA1EC2">
        <w:rPr>
          <w:rFonts w:ascii="Calibri" w:hAnsi="Calibri"/>
          <w:szCs w:val="22"/>
        </w:rPr>
        <w:t xml:space="preserve"> o ochrane prírody a</w:t>
      </w:r>
      <w:r>
        <w:rPr>
          <w:rFonts w:ascii="Calibri" w:hAnsi="Calibri"/>
          <w:szCs w:val="22"/>
        </w:rPr>
        <w:t> </w:t>
      </w:r>
      <w:r w:rsidRPr="00AA1EC2">
        <w:rPr>
          <w:rFonts w:ascii="Calibri" w:hAnsi="Calibri"/>
          <w:szCs w:val="22"/>
        </w:rPr>
        <w:t>krajiny</w:t>
      </w:r>
      <w:r>
        <w:rPr>
          <w:rFonts w:ascii="Calibri" w:hAnsi="Calibri"/>
          <w:szCs w:val="22"/>
        </w:rPr>
        <w:t xml:space="preserve"> v znení neskorších predpisov</w:t>
      </w:r>
    </w:p>
    <w:p w:rsidR="00ED1FEE" w:rsidRDefault="00ED1FEE" w:rsidP="00ED1FEE">
      <w:pPr>
        <w:rPr>
          <w:rFonts w:ascii="Calibri" w:eastAsia="Calibri" w:hAnsi="Calibri" w:cs="Calibri"/>
          <w:bCs/>
          <w:szCs w:val="22"/>
          <w:lang w:eastAsia="en-US"/>
        </w:rPr>
      </w:pPr>
    </w:p>
    <w:p w:rsidR="00ED1FEE" w:rsidRDefault="00ED1FEE" w:rsidP="00ED1FEE">
      <w:pPr>
        <w:rPr>
          <w:rFonts w:ascii="Calibri" w:eastAsia="Calibri" w:hAnsi="Calibri" w:cs="Calibri"/>
          <w:bCs/>
          <w:szCs w:val="22"/>
          <w:lang w:eastAsia="en-US"/>
        </w:rPr>
      </w:pPr>
      <w:r>
        <w:rPr>
          <w:rFonts w:ascii="Calibri" w:eastAsia="Calibri" w:hAnsi="Calibri" w:cs="Calibri"/>
          <w:bCs/>
          <w:szCs w:val="22"/>
          <w:u w:val="single"/>
          <w:lang w:eastAsia="en-US"/>
        </w:rPr>
        <w:t>Prijímateľ podpory:</w:t>
      </w:r>
    </w:p>
    <w:p w:rsidR="00ED1FEE" w:rsidRDefault="00ED1FEE" w:rsidP="00ED1FEE">
      <w:pPr>
        <w:rPr>
          <w:rFonts w:ascii="Calibri" w:eastAsia="Calibri" w:hAnsi="Calibri" w:cs="Calibri"/>
          <w:bCs/>
          <w:szCs w:val="22"/>
          <w:lang w:eastAsia="en-US"/>
        </w:rPr>
      </w:pPr>
      <w:r>
        <w:rPr>
          <w:rFonts w:ascii="Calibri" w:eastAsia="Calibri" w:hAnsi="Calibri"/>
          <w:noProof/>
          <w:szCs w:val="22"/>
          <w:lang w:eastAsia="en-US"/>
        </w:rPr>
        <w:t>Fyzické a právnické osoby podnikajúce v poľnohospodárskej prvovýrobe na stanovených lokalitách s výskytom sysľa pasienkového  a spĺňajúce definíciu aktívneho farmára podľa čl. 9 nariadenia (EÚ) č. 1307/2013.</w:t>
      </w:r>
    </w:p>
    <w:p w:rsidR="00ED1FEE" w:rsidRDefault="00ED1FEE" w:rsidP="00ED1FEE">
      <w:pPr>
        <w:rPr>
          <w:rFonts w:ascii="Calibri" w:eastAsia="Calibri" w:hAnsi="Calibri" w:cs="Calibri"/>
          <w:bCs/>
          <w:szCs w:val="22"/>
          <w:u w:val="single"/>
          <w:lang w:eastAsia="en-US"/>
        </w:rPr>
      </w:pPr>
    </w:p>
    <w:p w:rsidR="00ED1FEE" w:rsidRDefault="00ED1FEE" w:rsidP="00ED1FEE">
      <w:pPr>
        <w:rPr>
          <w:rFonts w:ascii="Calibri" w:eastAsia="Calibri" w:hAnsi="Calibri" w:cs="Calibri"/>
          <w:bCs/>
          <w:szCs w:val="22"/>
          <w:u w:val="single"/>
          <w:lang w:eastAsia="en-US"/>
        </w:rPr>
      </w:pPr>
      <w:r>
        <w:rPr>
          <w:rFonts w:ascii="Calibri" w:eastAsia="Calibri" w:hAnsi="Calibri" w:cs="Calibri"/>
          <w:bCs/>
          <w:szCs w:val="22"/>
          <w:u w:val="single"/>
          <w:lang w:eastAsia="en-US"/>
        </w:rPr>
        <w:t>Oprávnené náklady:</w:t>
      </w:r>
    </w:p>
    <w:p w:rsidR="00ED1FEE" w:rsidRDefault="00ED1FEE" w:rsidP="00ED1FEE">
      <w:pPr>
        <w:rPr>
          <w:rFonts w:ascii="Calibri" w:eastAsia="Calibri" w:hAnsi="Calibri" w:cs="Calibri"/>
          <w:bCs/>
          <w:szCs w:val="22"/>
          <w:lang w:eastAsia="en-US"/>
        </w:rPr>
      </w:pPr>
      <w:r>
        <w:rPr>
          <w:rFonts w:ascii="Calibri" w:eastAsia="Calibri" w:hAnsi="Calibri" w:cs="Calibri"/>
          <w:bCs/>
          <w:szCs w:val="22"/>
          <w:lang w:eastAsia="en-US"/>
        </w:rPr>
        <w:t>Oprávnené  náklady, ktoré sú stanovené nad rámec  všetkých povinných podmienok a kompenzujú stratu príjmov zo zníženia úrod trávnych porastov, zníženia výnosov v dôsledku vylúčenia  chemických prostriedkov. Tiež sa zohľadňuje zvýšená prácnosť na kosbu, smer aj  opakovanosť kosby a zvýšené náklady na pastvu.</w:t>
      </w:r>
    </w:p>
    <w:p w:rsidR="00ED1FEE" w:rsidRDefault="00ED1FEE" w:rsidP="00ED1FEE">
      <w:pPr>
        <w:rPr>
          <w:rFonts w:ascii="Calibri" w:eastAsia="Calibri" w:hAnsi="Calibri" w:cs="Calibri"/>
          <w:bCs/>
          <w:szCs w:val="22"/>
          <w:u w:val="single"/>
          <w:lang w:eastAsia="en-US"/>
        </w:rPr>
      </w:pPr>
    </w:p>
    <w:p w:rsidR="00ED1FEE" w:rsidRDefault="00ED1FEE" w:rsidP="00ED1FEE">
      <w:pPr>
        <w:rPr>
          <w:rFonts w:ascii="Calibri" w:eastAsia="Calibri" w:hAnsi="Calibri" w:cs="Calibri"/>
          <w:bCs/>
          <w:szCs w:val="22"/>
          <w:u w:val="single"/>
          <w:lang w:eastAsia="en-US"/>
        </w:rPr>
      </w:pPr>
      <w:r>
        <w:rPr>
          <w:rFonts w:ascii="Calibri" w:eastAsia="Calibri" w:hAnsi="Calibri" w:cs="Calibri"/>
          <w:bCs/>
          <w:szCs w:val="22"/>
          <w:u w:val="single"/>
          <w:lang w:eastAsia="en-US"/>
        </w:rPr>
        <w:t>Podmienky oprávnenosti:</w:t>
      </w:r>
    </w:p>
    <w:p w:rsidR="00ED1FEE" w:rsidRDefault="00ED1FEE" w:rsidP="00CE203B">
      <w:pPr>
        <w:numPr>
          <w:ilvl w:val="0"/>
          <w:numId w:val="274"/>
        </w:numPr>
        <w:ind w:left="360"/>
        <w:rPr>
          <w:rFonts w:ascii="Calibri" w:hAnsi="Calibri" w:cs="Calibri"/>
          <w:szCs w:val="22"/>
          <w:lang w:eastAsia="en-US"/>
        </w:rPr>
      </w:pPr>
      <w:r>
        <w:rPr>
          <w:rFonts w:ascii="Calibri" w:hAnsi="Calibri" w:cs="Calibri"/>
          <w:szCs w:val="22"/>
          <w:lang w:eastAsia="en-US"/>
        </w:rPr>
        <w:t>vstúpiť do opatrenia minimálne s 1 ha trávnych porastov vedených v LPIS a nachádzajúcich sa v stanovených lokalitách</w:t>
      </w:r>
    </w:p>
    <w:p w:rsidR="00ED1FEE" w:rsidRPr="00F34534" w:rsidRDefault="00ED1FEE" w:rsidP="00CE203B">
      <w:pPr>
        <w:numPr>
          <w:ilvl w:val="0"/>
          <w:numId w:val="274"/>
        </w:numPr>
        <w:ind w:left="360"/>
        <w:rPr>
          <w:rFonts w:ascii="Calibri" w:hAnsi="Calibri" w:cs="Calibri"/>
          <w:szCs w:val="22"/>
          <w:lang w:eastAsia="en-US"/>
        </w:rPr>
      </w:pPr>
      <w:r>
        <w:rPr>
          <w:rFonts w:ascii="Calibri" w:hAnsi="Calibri" w:cs="Calibri"/>
          <w:szCs w:val="22"/>
          <w:lang w:eastAsia="en-US"/>
        </w:rPr>
        <w:t>preukázať potvrdenie Štátnej ochrany prírody o výskyte sysľa pasienkového na konkrétnych pôdnych blokoch,</w:t>
      </w:r>
    </w:p>
    <w:p w:rsidR="00ED1FEE" w:rsidRDefault="00ED1FEE" w:rsidP="00ED1FEE">
      <w:pPr>
        <w:rPr>
          <w:rFonts w:ascii="Calibri" w:eastAsia="Calibri" w:hAnsi="Calibri" w:cs="Calibri"/>
          <w:bCs/>
          <w:szCs w:val="22"/>
          <w:u w:val="single"/>
          <w:lang w:eastAsia="en-US"/>
        </w:rPr>
      </w:pPr>
    </w:p>
    <w:p w:rsidR="00ED1FEE" w:rsidRPr="00DD7895" w:rsidRDefault="00ED1FEE" w:rsidP="00ED1FEE">
      <w:pPr>
        <w:rPr>
          <w:rFonts w:ascii="Calibri" w:eastAsia="Calibri" w:hAnsi="Calibri" w:cs="Calibri"/>
          <w:szCs w:val="22"/>
          <w:u w:val="single"/>
          <w:lang w:eastAsia="en-US"/>
        </w:rPr>
      </w:pPr>
      <w:r w:rsidRPr="00DD7895">
        <w:rPr>
          <w:rFonts w:ascii="Calibri" w:eastAsia="Calibri" w:hAnsi="Calibri" w:cs="Calibri"/>
          <w:szCs w:val="22"/>
          <w:u w:val="single"/>
          <w:lang w:eastAsia="en-US"/>
        </w:rPr>
        <w:t>Podmienky podpory:</w:t>
      </w:r>
    </w:p>
    <w:p w:rsidR="00ED1FEE" w:rsidRDefault="00ED1FEE" w:rsidP="00CE203B">
      <w:pPr>
        <w:numPr>
          <w:ilvl w:val="0"/>
          <w:numId w:val="274"/>
        </w:numPr>
        <w:ind w:left="360"/>
        <w:rPr>
          <w:rFonts w:ascii="Calibri" w:hAnsi="Calibri" w:cs="Calibri"/>
          <w:bCs/>
          <w:szCs w:val="22"/>
          <w:lang w:eastAsia="en-US"/>
        </w:rPr>
      </w:pPr>
      <w:r>
        <w:rPr>
          <w:rFonts w:ascii="Calibri" w:hAnsi="Calibri" w:cs="Calibri"/>
          <w:bCs/>
          <w:szCs w:val="22"/>
          <w:lang w:eastAsia="en-US"/>
        </w:rPr>
        <w:t xml:space="preserve">úplné vylúčenie všetkých druhov hnojív (povolené je len hnojenie pasúcimi sa zvieratami), </w:t>
      </w:r>
    </w:p>
    <w:p w:rsidR="00ED1FEE" w:rsidRDefault="00ED1FEE" w:rsidP="00CE203B">
      <w:pPr>
        <w:numPr>
          <w:ilvl w:val="0"/>
          <w:numId w:val="274"/>
        </w:numPr>
        <w:ind w:left="360"/>
        <w:rPr>
          <w:rFonts w:ascii="Calibri" w:hAnsi="Calibri" w:cs="Calibri"/>
          <w:bCs/>
          <w:szCs w:val="22"/>
          <w:lang w:eastAsia="en-US"/>
        </w:rPr>
      </w:pPr>
      <w:r>
        <w:rPr>
          <w:rFonts w:ascii="Calibri" w:hAnsi="Calibri" w:cs="Calibri"/>
          <w:bCs/>
          <w:szCs w:val="22"/>
          <w:lang w:eastAsia="en-US"/>
        </w:rPr>
        <w:t>úplné vylúčenie aplikácie prípravkov na ochranu rastlín,</w:t>
      </w:r>
    </w:p>
    <w:p w:rsidR="00ED1FEE" w:rsidRDefault="00ED1FEE" w:rsidP="00CE203B">
      <w:pPr>
        <w:numPr>
          <w:ilvl w:val="0"/>
          <w:numId w:val="274"/>
        </w:numPr>
        <w:ind w:left="360"/>
        <w:rPr>
          <w:rFonts w:ascii="Calibri" w:hAnsi="Calibri" w:cs="Calibri"/>
          <w:bCs/>
          <w:szCs w:val="22"/>
          <w:lang w:eastAsia="en-US"/>
        </w:rPr>
      </w:pPr>
      <w:r>
        <w:rPr>
          <w:rFonts w:ascii="Calibri" w:hAnsi="Calibri" w:cs="Calibri"/>
          <w:bCs/>
          <w:szCs w:val="22"/>
          <w:lang w:eastAsia="en-US"/>
        </w:rPr>
        <w:t>prvú kosbu trávnych porastov vykonať v termíne do 31. mája  a následné kosby tak, aby priemerná výška trávneho porastu vo vegetačnom období  nepresahovala 20 cm,</w:t>
      </w:r>
    </w:p>
    <w:p w:rsidR="00ED1FEE" w:rsidRPr="006C7B98" w:rsidRDefault="00ED1FEE" w:rsidP="00CE203B">
      <w:pPr>
        <w:numPr>
          <w:ilvl w:val="0"/>
          <w:numId w:val="274"/>
        </w:numPr>
        <w:ind w:left="360"/>
        <w:rPr>
          <w:rFonts w:ascii="Calibri" w:hAnsi="Calibri" w:cs="Calibri"/>
          <w:bCs/>
          <w:szCs w:val="22"/>
          <w:lang w:eastAsia="en-US"/>
        </w:rPr>
      </w:pPr>
      <w:r w:rsidRPr="00DD7895">
        <w:rPr>
          <w:rFonts w:ascii="Calibri" w:hAnsi="Calibri" w:cs="Calibri"/>
          <w:bCs/>
          <w:szCs w:val="22"/>
          <w:lang w:eastAsia="en-US"/>
        </w:rPr>
        <w:t>kosby na pôdnych blokoch alebo na ich dieloch realizovať od stredu ku krajom alebo od jednej strany pozemku k druhej strane pozemku,</w:t>
      </w:r>
    </w:p>
    <w:p w:rsidR="00ED1FEE" w:rsidRDefault="00ED1FEE" w:rsidP="00CE203B">
      <w:pPr>
        <w:numPr>
          <w:ilvl w:val="0"/>
          <w:numId w:val="274"/>
        </w:numPr>
        <w:ind w:left="360"/>
        <w:rPr>
          <w:rFonts w:ascii="Calibri" w:hAnsi="Calibri" w:cs="Calibri"/>
          <w:bCs/>
          <w:szCs w:val="22"/>
          <w:lang w:eastAsia="en-US"/>
        </w:rPr>
      </w:pPr>
      <w:r>
        <w:rPr>
          <w:rFonts w:ascii="Calibri" w:hAnsi="Calibri" w:cs="Calibri"/>
          <w:bCs/>
          <w:szCs w:val="22"/>
          <w:lang w:eastAsia="en-US"/>
        </w:rPr>
        <w:t>pastvu začať v apríli a zabezpečiť , aby spásané plochy trávnych porastov počas pastevnej sezóny nepresahovali výšku 20 cm (oplôtkové pasenie je povolené),</w:t>
      </w:r>
    </w:p>
    <w:p w:rsidR="00ED1FEE" w:rsidRDefault="00ED1FEE" w:rsidP="00CE203B">
      <w:pPr>
        <w:numPr>
          <w:ilvl w:val="0"/>
          <w:numId w:val="274"/>
        </w:numPr>
        <w:tabs>
          <w:tab w:val="left" w:pos="900"/>
          <w:tab w:val="decimal" w:pos="9000"/>
        </w:tabs>
        <w:overflowPunct w:val="0"/>
        <w:autoSpaceDE w:val="0"/>
        <w:autoSpaceDN w:val="0"/>
        <w:adjustRightInd w:val="0"/>
        <w:ind w:left="360"/>
        <w:contextualSpacing/>
        <w:textAlignment w:val="baseline"/>
        <w:rPr>
          <w:rFonts w:ascii="Calibri" w:hAnsi="Calibri"/>
          <w:szCs w:val="22"/>
          <w:lang w:eastAsia="cs-CZ"/>
        </w:rPr>
      </w:pPr>
      <w:r>
        <w:rPr>
          <w:rFonts w:ascii="Calibri" w:hAnsi="Calibri"/>
          <w:szCs w:val="22"/>
          <w:lang w:eastAsia="cs-CZ"/>
        </w:rPr>
        <w:t xml:space="preserve">zakázané je diskovanie alebo orba a  odvodňovanie  trávnych porastov, </w:t>
      </w:r>
    </w:p>
    <w:p w:rsidR="00ED1FEE" w:rsidRDefault="00ED1FEE" w:rsidP="00CE203B">
      <w:pPr>
        <w:numPr>
          <w:ilvl w:val="0"/>
          <w:numId w:val="274"/>
        </w:numPr>
        <w:tabs>
          <w:tab w:val="left" w:pos="7515"/>
        </w:tabs>
        <w:ind w:left="360"/>
        <w:contextualSpacing/>
        <w:rPr>
          <w:rFonts w:ascii="Calibri" w:hAnsi="Calibri" w:cs="Calibri"/>
          <w:bCs/>
          <w:szCs w:val="22"/>
          <w:lang w:eastAsia="en-US"/>
        </w:rPr>
      </w:pPr>
      <w:r>
        <w:rPr>
          <w:rFonts w:ascii="Calibri" w:hAnsi="Calibri" w:cs="Calibri"/>
          <w:szCs w:val="22"/>
          <w:lang w:eastAsia="en-US"/>
        </w:rPr>
        <w:t>vylúčenie aplikácie čistiarenského kalu a dnových sedimentov</w:t>
      </w:r>
    </w:p>
    <w:p w:rsidR="00ED1FEE" w:rsidRDefault="00ED1FEE" w:rsidP="00CE203B">
      <w:pPr>
        <w:numPr>
          <w:ilvl w:val="0"/>
          <w:numId w:val="274"/>
        </w:numPr>
        <w:tabs>
          <w:tab w:val="left" w:pos="7515"/>
        </w:tabs>
        <w:ind w:left="360"/>
        <w:contextualSpacing/>
        <w:rPr>
          <w:rFonts w:ascii="Calibri" w:hAnsi="Calibri" w:cs="Calibri"/>
          <w:bCs/>
          <w:szCs w:val="22"/>
          <w:lang w:eastAsia="en-US"/>
        </w:rPr>
      </w:pPr>
      <w:r>
        <w:rPr>
          <w:rFonts w:ascii="Calibri" w:hAnsi="Calibri" w:cs="Calibri"/>
          <w:szCs w:val="22"/>
          <w:lang w:eastAsia="en-US"/>
        </w:rPr>
        <w:t>povinnosť absolvovať školiaci kurz k správne vykonávaným podmienkam opatrenia.</w:t>
      </w:r>
    </w:p>
    <w:p w:rsidR="00ED1FEE" w:rsidRDefault="00ED1FEE" w:rsidP="00ED1FEE">
      <w:pPr>
        <w:rPr>
          <w:rFonts w:ascii="Calibri" w:eastAsia="Calibri" w:hAnsi="Calibri" w:cs="Calibri"/>
          <w:b/>
          <w:bCs/>
          <w:szCs w:val="22"/>
          <w:lang w:eastAsia="en-US"/>
        </w:rPr>
      </w:pPr>
    </w:p>
    <w:p w:rsidR="00ED1FEE" w:rsidRDefault="00ED1FEE" w:rsidP="00ED1FEE">
      <w:pPr>
        <w:rPr>
          <w:rFonts w:ascii="Calibri" w:eastAsia="Calibri" w:hAnsi="Calibri" w:cs="Calibri"/>
          <w:szCs w:val="22"/>
          <w:u w:val="single"/>
          <w:lang w:eastAsia="en-US"/>
        </w:rPr>
      </w:pPr>
      <w:r>
        <w:rPr>
          <w:rFonts w:ascii="Calibri" w:eastAsia="Calibri" w:hAnsi="Calibri" w:cs="Calibri"/>
          <w:szCs w:val="22"/>
          <w:u w:val="single"/>
          <w:lang w:eastAsia="en-US"/>
        </w:rPr>
        <w:t>Princípy nastavenia výberových kritérií:</w:t>
      </w:r>
    </w:p>
    <w:p w:rsidR="00ED1FEE" w:rsidRDefault="00ED1FEE" w:rsidP="00CE203B">
      <w:pPr>
        <w:pStyle w:val="Odsekzoznamu"/>
        <w:numPr>
          <w:ilvl w:val="0"/>
          <w:numId w:val="358"/>
        </w:numPr>
        <w:jc w:val="left"/>
        <w:rPr>
          <w:rFonts w:ascii="Calibri" w:eastAsia="Calibri" w:hAnsi="Calibri" w:cs="Calibri"/>
          <w:szCs w:val="22"/>
          <w:lang w:eastAsia="en-US"/>
        </w:rPr>
      </w:pPr>
      <w:r w:rsidRPr="00D70C46">
        <w:rPr>
          <w:rFonts w:ascii="Calibri" w:eastAsia="Calibri" w:hAnsi="Calibri" w:cs="Calibri"/>
          <w:szCs w:val="22"/>
          <w:lang w:eastAsia="en-US"/>
        </w:rPr>
        <w:t>plocha biotopu sysľa pasienkového v chránenej oblasti (N</w:t>
      </w:r>
      <w:r>
        <w:rPr>
          <w:rFonts w:ascii="Calibri" w:eastAsia="Calibri" w:hAnsi="Calibri" w:cs="Calibri"/>
          <w:szCs w:val="22"/>
          <w:lang w:eastAsia="en-US"/>
        </w:rPr>
        <w:t>atura</w:t>
      </w:r>
      <w:r w:rsidRPr="00D70C46">
        <w:rPr>
          <w:rFonts w:ascii="Calibri" w:eastAsia="Calibri" w:hAnsi="Calibri" w:cs="Calibri"/>
          <w:szCs w:val="22"/>
          <w:lang w:eastAsia="en-US"/>
        </w:rPr>
        <w:t xml:space="preserve"> 2000, NP, CHKO, CHVO) v zostupnej tendencii;</w:t>
      </w:r>
    </w:p>
    <w:p w:rsidR="00ED1FEE" w:rsidRDefault="00ED1FEE" w:rsidP="00CE203B">
      <w:pPr>
        <w:pStyle w:val="Odsekzoznamu"/>
        <w:numPr>
          <w:ilvl w:val="0"/>
          <w:numId w:val="358"/>
        </w:numPr>
        <w:jc w:val="left"/>
        <w:rPr>
          <w:rFonts w:ascii="Calibri" w:eastAsia="Calibri" w:hAnsi="Calibri" w:cs="Calibri"/>
          <w:szCs w:val="22"/>
          <w:lang w:eastAsia="en-US"/>
        </w:rPr>
      </w:pPr>
      <w:r w:rsidRPr="00D70C46">
        <w:rPr>
          <w:rFonts w:ascii="Calibri" w:eastAsia="Calibri" w:hAnsi="Calibri" w:cs="Calibri"/>
          <w:szCs w:val="22"/>
          <w:lang w:eastAsia="en-US"/>
        </w:rPr>
        <w:t>plocha biotopu</w:t>
      </w:r>
      <w:r>
        <w:rPr>
          <w:rFonts w:ascii="Calibri" w:eastAsia="Calibri" w:hAnsi="Calibri" w:cs="Calibri"/>
          <w:szCs w:val="22"/>
          <w:lang w:eastAsia="en-US"/>
        </w:rPr>
        <w:t xml:space="preserve"> sysľa pasienkového </w:t>
      </w:r>
      <w:r w:rsidRPr="00D70C46">
        <w:rPr>
          <w:rFonts w:ascii="Calibri" w:eastAsia="Calibri" w:hAnsi="Calibri" w:cs="Calibri"/>
          <w:szCs w:val="22"/>
          <w:lang w:eastAsia="en-US"/>
        </w:rPr>
        <w:t xml:space="preserve"> mimo chránenej oblasti, ale v území LFA, ZO v zostupnej tendencii;</w:t>
      </w:r>
    </w:p>
    <w:p w:rsidR="00ED1FEE" w:rsidRPr="00D70C46" w:rsidRDefault="00ED1FEE" w:rsidP="00CE203B">
      <w:pPr>
        <w:pStyle w:val="Odsekzoznamu"/>
        <w:numPr>
          <w:ilvl w:val="0"/>
          <w:numId w:val="358"/>
        </w:numPr>
        <w:jc w:val="left"/>
        <w:rPr>
          <w:rFonts w:ascii="Calibri" w:eastAsia="Calibri" w:hAnsi="Calibri" w:cs="Calibri"/>
          <w:szCs w:val="22"/>
          <w:lang w:eastAsia="en-US"/>
        </w:rPr>
      </w:pPr>
      <w:r w:rsidRPr="00D70C46">
        <w:rPr>
          <w:rFonts w:ascii="Calibri" w:eastAsia="Calibri" w:hAnsi="Calibri" w:cs="Calibri"/>
          <w:szCs w:val="22"/>
          <w:lang w:eastAsia="en-US"/>
        </w:rPr>
        <w:t xml:space="preserve">plocha biotopu </w:t>
      </w:r>
      <w:r>
        <w:rPr>
          <w:rFonts w:ascii="Calibri" w:eastAsia="Calibri" w:hAnsi="Calibri" w:cs="Calibri"/>
          <w:szCs w:val="22"/>
          <w:lang w:eastAsia="en-US"/>
        </w:rPr>
        <w:t xml:space="preserve">sysľa pasienkového </w:t>
      </w:r>
      <w:r w:rsidRPr="00D70C46">
        <w:rPr>
          <w:rFonts w:ascii="Calibri" w:eastAsia="Calibri" w:hAnsi="Calibri" w:cs="Calibri"/>
          <w:szCs w:val="22"/>
          <w:lang w:eastAsia="en-US"/>
        </w:rPr>
        <w:t>v ostatnom území v zostupnej tendencii.</w:t>
      </w:r>
    </w:p>
    <w:p w:rsidR="00ED1FEE" w:rsidRPr="00433F4B" w:rsidRDefault="00ED1FEE" w:rsidP="00ED1FEE">
      <w:pPr>
        <w:rPr>
          <w:rFonts w:ascii="Calibri" w:hAnsi="Calibri"/>
          <w:szCs w:val="22"/>
          <w:u w:val="single"/>
          <w:lang w:eastAsia="en-GB"/>
        </w:rPr>
      </w:pPr>
    </w:p>
    <w:p w:rsidR="00ED1FEE" w:rsidRDefault="00ED1FEE" w:rsidP="00ED1FEE">
      <w:pPr>
        <w:rPr>
          <w:rFonts w:ascii="Calibri" w:hAnsi="Calibri"/>
          <w:szCs w:val="22"/>
          <w:u w:val="single"/>
          <w:lang w:eastAsia="en-GB"/>
        </w:rPr>
      </w:pPr>
      <w:r>
        <w:rPr>
          <w:rFonts w:ascii="Calibri" w:hAnsi="Calibri"/>
          <w:szCs w:val="22"/>
          <w:u w:val="single"/>
          <w:lang w:eastAsia="en-GB"/>
        </w:rPr>
        <w:t>Výška a miera podpory:</w:t>
      </w:r>
    </w:p>
    <w:p w:rsidR="00ED1FEE" w:rsidRDefault="00ED1FEE" w:rsidP="00ED1FEE">
      <w:pPr>
        <w:rPr>
          <w:rFonts w:ascii="Calibri" w:eastAsia="Calibri" w:hAnsi="Calibri" w:cs="Calibri"/>
          <w:szCs w:val="22"/>
          <w:lang w:eastAsia="en-US"/>
        </w:rPr>
      </w:pPr>
      <w:r>
        <w:rPr>
          <w:rFonts w:ascii="Calibri" w:eastAsia="Calibri" w:hAnsi="Calibri" w:cs="Calibri"/>
          <w:szCs w:val="22"/>
          <w:lang w:eastAsia="en-US"/>
        </w:rPr>
        <w:t>Výška podpory:     70 €/ha plochy trávnych porastov s výskytom sysľa pasienkového</w:t>
      </w:r>
    </w:p>
    <w:p w:rsidR="00ED1FEE" w:rsidRDefault="00ED1FEE" w:rsidP="00ED1FEE">
      <w:pPr>
        <w:rPr>
          <w:rFonts w:ascii="Calibri" w:eastAsia="Calibri" w:hAnsi="Calibri" w:cs="Calibri"/>
          <w:szCs w:val="22"/>
          <w:lang w:eastAsia="en-US"/>
        </w:rPr>
      </w:pPr>
    </w:p>
    <w:p w:rsidR="00ED1FEE" w:rsidRPr="00E244D8" w:rsidRDefault="00ED1FEE" w:rsidP="00ED1FEE">
      <w:pPr>
        <w:rPr>
          <w:rFonts w:ascii="Calibri" w:eastAsia="Calibri" w:hAnsi="Calibri" w:cs="Calibri"/>
          <w:i/>
          <w:sz w:val="20"/>
          <w:szCs w:val="20"/>
          <w:lang w:eastAsia="en-US"/>
        </w:rPr>
      </w:pPr>
      <w:r w:rsidRPr="00E244D8">
        <w:rPr>
          <w:rFonts w:ascii="Calibri" w:eastAsia="Calibri" w:hAnsi="Calibri" w:cs="Calibri"/>
          <w:i/>
          <w:sz w:val="20"/>
          <w:szCs w:val="20"/>
          <w:lang w:eastAsia="en-US"/>
        </w:rPr>
        <w:t>Poznámka: Vylúčená je kombinácia podpory na tej istej ploche biotopu sysľa pasienkového a biotopu poloprírodných a prírodných trávnych porastov</w:t>
      </w:r>
    </w:p>
    <w:p w:rsidR="00ED1FEE" w:rsidRDefault="00ED1FEE" w:rsidP="00ED1FEE">
      <w:pPr>
        <w:rPr>
          <w:rFonts w:ascii="Calibri" w:eastAsia="Calibri" w:hAnsi="Calibri" w:cs="Calibri"/>
          <w:szCs w:val="22"/>
          <w:lang w:eastAsia="en-US"/>
        </w:rPr>
      </w:pPr>
    </w:p>
    <w:p w:rsidR="00095683" w:rsidRDefault="00095683" w:rsidP="00ED1FEE">
      <w:pPr>
        <w:rPr>
          <w:rFonts w:ascii="Calibri" w:eastAsia="Calibri" w:hAnsi="Calibri" w:cs="Calibri"/>
          <w:szCs w:val="22"/>
          <w:lang w:eastAsia="en-US"/>
        </w:rPr>
      </w:pPr>
    </w:p>
    <w:p w:rsidR="00ED1FEE" w:rsidRPr="00ED1FEE" w:rsidRDefault="00ED1FEE" w:rsidP="00ED1FEE">
      <w:pPr>
        <w:shd w:val="clear" w:color="auto" w:fill="EAF1DD"/>
        <w:ind w:left="1985" w:hanging="1985"/>
        <w:rPr>
          <w:rFonts w:ascii="Calibri" w:eastAsia="Calibri" w:hAnsi="Calibri" w:cs="Calibri"/>
          <w:b/>
          <w:bCs/>
          <w:sz w:val="24"/>
          <w:lang w:eastAsia="en-US"/>
        </w:rPr>
      </w:pPr>
      <w:r w:rsidRPr="00ED1FEE">
        <w:rPr>
          <w:rFonts w:ascii="Calibri" w:eastAsia="Calibri" w:hAnsi="Calibri" w:cs="Calibri"/>
          <w:bCs/>
          <w:sz w:val="24"/>
          <w:lang w:eastAsia="en-US"/>
        </w:rPr>
        <w:t>Podopatrenie 10.2:</w:t>
      </w:r>
      <w:r w:rsidRPr="00ED1FEE">
        <w:rPr>
          <w:rFonts w:ascii="Calibri" w:eastAsia="Calibri" w:hAnsi="Calibri" w:cs="Calibri"/>
          <w:b/>
          <w:bCs/>
          <w:i/>
          <w:sz w:val="24"/>
          <w:lang w:eastAsia="en-US"/>
        </w:rPr>
        <w:t xml:space="preserve"> Podpora na zachovanie a udržateľné využívanie a rozvoj genetických zdrojov v poľnohospodárstve</w:t>
      </w:r>
    </w:p>
    <w:p w:rsidR="00ED1FEE" w:rsidRDefault="00ED1FEE" w:rsidP="00ED1FEE">
      <w:pPr>
        <w:shd w:val="clear" w:color="auto" w:fill="FBD4B4"/>
        <w:rPr>
          <w:rFonts w:ascii="Calibri" w:eastAsia="Calibri" w:hAnsi="Calibri" w:cs="Calibri"/>
          <w:b/>
          <w:szCs w:val="22"/>
          <w:lang w:eastAsia="en-US"/>
        </w:rPr>
      </w:pPr>
      <w:r>
        <w:rPr>
          <w:rFonts w:ascii="Calibri" w:eastAsia="Calibri" w:hAnsi="Calibri" w:cs="Calibri"/>
          <w:bCs/>
          <w:szCs w:val="22"/>
          <w:u w:val="single"/>
          <w:lang w:eastAsia="en-US"/>
        </w:rPr>
        <w:t>Názov operácie</w:t>
      </w:r>
      <w:r>
        <w:rPr>
          <w:rFonts w:ascii="Calibri" w:eastAsia="Calibri" w:hAnsi="Calibri" w:cs="Calibri"/>
          <w:b/>
          <w:bCs/>
          <w:szCs w:val="22"/>
          <w:u w:val="single"/>
          <w:lang w:eastAsia="en-US"/>
        </w:rPr>
        <w:t>:</w:t>
      </w:r>
      <w:r>
        <w:rPr>
          <w:rFonts w:ascii="Calibri" w:eastAsia="Calibri" w:hAnsi="Calibri" w:cs="Calibri"/>
          <w:b/>
          <w:szCs w:val="22"/>
          <w:lang w:eastAsia="en-US"/>
        </w:rPr>
        <w:t xml:space="preserve"> </w:t>
      </w:r>
    </w:p>
    <w:p w:rsidR="00ED1FEE" w:rsidRDefault="00ED1FEE" w:rsidP="00ED1FEE">
      <w:pPr>
        <w:shd w:val="clear" w:color="auto" w:fill="FBD4B4"/>
        <w:rPr>
          <w:rFonts w:ascii="Calibri" w:eastAsia="Calibri" w:hAnsi="Calibri" w:cs="Calibri"/>
          <w:bCs/>
          <w:i/>
          <w:szCs w:val="22"/>
          <w:lang w:eastAsia="en-US"/>
        </w:rPr>
      </w:pPr>
      <w:r>
        <w:rPr>
          <w:rFonts w:ascii="Calibri" w:eastAsia="Calibri" w:hAnsi="Calibri" w:cs="Calibri"/>
          <w:i/>
          <w:szCs w:val="22"/>
          <w:lang w:eastAsia="en-US"/>
        </w:rPr>
        <w:t>Chov a udržanie ohrozených druhov zvierat</w:t>
      </w:r>
    </w:p>
    <w:p w:rsidR="00ED1FEE" w:rsidRDefault="00ED1FEE" w:rsidP="00ED1FEE">
      <w:pPr>
        <w:rPr>
          <w:rFonts w:ascii="Calibri" w:hAnsi="Calibri"/>
          <w:bCs/>
          <w:szCs w:val="22"/>
          <w:lang w:eastAsia="en-GB"/>
        </w:rPr>
      </w:pPr>
    </w:p>
    <w:p w:rsidR="00ED1FEE" w:rsidRDefault="00ED1FEE" w:rsidP="00ED1FEE">
      <w:pPr>
        <w:rPr>
          <w:rFonts w:ascii="Calibri" w:eastAsia="Calibri" w:hAnsi="Calibri" w:cs="Calibri"/>
          <w:bCs/>
          <w:szCs w:val="22"/>
          <w:lang w:eastAsia="en-US"/>
        </w:rPr>
      </w:pPr>
      <w:r>
        <w:rPr>
          <w:rFonts w:ascii="Calibri" w:eastAsia="Calibri" w:hAnsi="Calibri" w:cs="Calibri"/>
          <w:bCs/>
          <w:szCs w:val="22"/>
          <w:u w:val="single"/>
          <w:lang w:eastAsia="en-US"/>
        </w:rPr>
        <w:t>Opis operácie</w:t>
      </w:r>
      <w:r>
        <w:rPr>
          <w:rFonts w:ascii="Calibri" w:eastAsia="Calibri" w:hAnsi="Calibri" w:cs="Calibri"/>
          <w:bCs/>
          <w:szCs w:val="22"/>
          <w:lang w:eastAsia="en-US"/>
        </w:rPr>
        <w:t>:</w:t>
      </w:r>
    </w:p>
    <w:p w:rsidR="00ED1FEE" w:rsidRDefault="00ED1FEE" w:rsidP="00ED1FEE">
      <w:pPr>
        <w:spacing w:after="120"/>
        <w:rPr>
          <w:rFonts w:ascii="Calibri" w:eastAsia="Calibri" w:hAnsi="Calibri" w:cs="Calibri"/>
          <w:szCs w:val="22"/>
          <w:lang w:eastAsia="en-US"/>
        </w:rPr>
      </w:pPr>
      <w:r>
        <w:rPr>
          <w:rFonts w:ascii="Calibri" w:eastAsia="Calibri" w:hAnsi="Calibri" w:cs="Calibri"/>
          <w:szCs w:val="22"/>
          <w:lang w:eastAsia="en-US"/>
        </w:rPr>
        <w:t xml:space="preserve">Chov a udržanie ohrozených druhov zvierat má za cieľ podporiť také chovy zvierat, ktorých stavy klesli pod kritickú úroveň. Ich zachovanie prispieva k rôznorodosti druhových plemien často krát chovaných iba v príslušnom regióne. Identifikáciu ohrozených druhov SR z databázy FAO, databázy EAAP, národných správ o živočíšnych genetických zdrojoch zbilancovala príslušná odborná autorita SR ktorou je Národné poľnohospodárske a potravinárske centrum – </w:t>
      </w:r>
      <w:r>
        <w:rPr>
          <w:rFonts w:ascii="Calibri" w:eastAsia="Calibri" w:hAnsi="Calibri" w:cs="Calibri"/>
          <w:i/>
          <w:szCs w:val="22"/>
          <w:lang w:eastAsia="en-US"/>
        </w:rPr>
        <w:t>Výskumný ústav živočíšnej výroby</w:t>
      </w:r>
      <w:r>
        <w:rPr>
          <w:rFonts w:ascii="Calibri" w:eastAsia="Calibri" w:hAnsi="Calibri" w:cs="Calibri"/>
          <w:szCs w:val="22"/>
          <w:lang w:eastAsia="en-US"/>
        </w:rPr>
        <w:t>.</w:t>
      </w:r>
    </w:p>
    <w:p w:rsidR="00ED1FEE" w:rsidRDefault="00ED1FEE" w:rsidP="00ED1FEE">
      <w:pPr>
        <w:shd w:val="clear" w:color="auto" w:fill="FFFFFF"/>
        <w:rPr>
          <w:rFonts w:ascii="Calibri" w:hAnsi="Calibri" w:cs="Calibri"/>
          <w:i/>
          <w:szCs w:val="22"/>
          <w:lang w:eastAsia="en-US"/>
        </w:rPr>
      </w:pPr>
      <w:r>
        <w:rPr>
          <w:rFonts w:ascii="Calibri" w:hAnsi="Calibri" w:cs="Calibri"/>
          <w:i/>
          <w:szCs w:val="22"/>
          <w:lang w:eastAsia="en-US"/>
        </w:rPr>
        <w:t>Zoznam ohrozených druhov zvierat:</w:t>
      </w:r>
    </w:p>
    <w:p w:rsidR="00ED1FEE" w:rsidRDefault="00ED1FEE" w:rsidP="00ED1FEE">
      <w:pPr>
        <w:shd w:val="clear" w:color="auto" w:fill="FFFFFF"/>
        <w:rPr>
          <w:rFonts w:ascii="Calibri" w:hAnsi="Calibri"/>
          <w:szCs w:val="22"/>
        </w:rPr>
      </w:pPr>
      <w:r>
        <w:rPr>
          <w:rFonts w:ascii="Calibri" w:hAnsi="Calibri"/>
          <w:szCs w:val="22"/>
        </w:rPr>
        <w:t>V  tabuľke sú uvedené počty čistokrvných plemenníc registrovaných v plemenných knihách alebo registroch tak, ako boli uvedené k 31.12.2012. Počty plemenníc v ostatných členských štátoch EÚ sú uvádzané tak, ako ich uviedli v celosvetovej databáze DAD-IS jednotlivé členské krajiny EÚ (počty nemusia odzrkadľovať skutočný stav). Stav ohrozenosti je vypočítaný na základe počtu plemenníc a plemenníkov jednotlivých plemien určených k čistokrvnej plemenitbe.</w:t>
      </w:r>
    </w:p>
    <w:p w:rsidR="00ED1FEE" w:rsidRDefault="00ED1FEE" w:rsidP="00ED1FEE">
      <w:pPr>
        <w:shd w:val="clear" w:color="auto" w:fill="FFFFFF"/>
        <w:rPr>
          <w:rFonts w:ascii="Calibri" w:hAnsi="Calibri" w:cs="Calibri"/>
          <w:szCs w:val="22"/>
          <w:lang w:eastAsia="en-US"/>
        </w:rPr>
      </w:pPr>
    </w:p>
    <w:tbl>
      <w:tblPr>
        <w:tblW w:w="964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21"/>
        <w:gridCol w:w="1418"/>
        <w:gridCol w:w="3263"/>
        <w:gridCol w:w="1843"/>
      </w:tblGrid>
      <w:tr w:rsidR="00ED1FEE" w:rsidTr="00ED1FEE">
        <w:tc>
          <w:tcPr>
            <w:tcW w:w="3119" w:type="dxa"/>
            <w:tcBorders>
              <w:top w:val="single" w:sz="4" w:space="0" w:color="auto"/>
              <w:left w:val="single" w:sz="4" w:space="0" w:color="auto"/>
              <w:bottom w:val="single" w:sz="4" w:space="0" w:color="auto"/>
              <w:right w:val="single" w:sz="4" w:space="0" w:color="auto"/>
            </w:tcBorders>
            <w:shd w:val="clear" w:color="auto" w:fill="DDD9C3"/>
            <w:vAlign w:val="center"/>
            <w:hideMark/>
          </w:tcPr>
          <w:p w:rsidR="00ED1FEE" w:rsidRDefault="00ED1FEE" w:rsidP="00ED1FEE">
            <w:pPr>
              <w:jc w:val="center"/>
              <w:rPr>
                <w:rFonts w:ascii="Calibri" w:hAnsi="Calibri"/>
                <w:b/>
                <w:i/>
                <w:sz w:val="18"/>
                <w:szCs w:val="18"/>
              </w:rPr>
            </w:pPr>
            <w:r>
              <w:rPr>
                <w:rFonts w:ascii="Calibri" w:hAnsi="Calibri"/>
                <w:b/>
                <w:i/>
                <w:sz w:val="18"/>
                <w:szCs w:val="18"/>
              </w:rPr>
              <w:t>Druh/Plemeno</w:t>
            </w:r>
          </w:p>
        </w:tc>
        <w:tc>
          <w:tcPr>
            <w:tcW w:w="1417" w:type="dxa"/>
            <w:tcBorders>
              <w:top w:val="single" w:sz="4" w:space="0" w:color="auto"/>
              <w:left w:val="single" w:sz="4" w:space="0" w:color="auto"/>
              <w:bottom w:val="single" w:sz="4" w:space="0" w:color="auto"/>
              <w:right w:val="single" w:sz="4" w:space="0" w:color="auto"/>
            </w:tcBorders>
            <w:shd w:val="clear" w:color="auto" w:fill="DDD9C3"/>
            <w:vAlign w:val="center"/>
            <w:hideMark/>
          </w:tcPr>
          <w:p w:rsidR="00ED1FEE" w:rsidRDefault="00ED1FEE" w:rsidP="00ED1FEE">
            <w:pPr>
              <w:jc w:val="center"/>
              <w:rPr>
                <w:rFonts w:ascii="Calibri" w:hAnsi="Calibri"/>
                <w:b/>
                <w:i/>
                <w:sz w:val="18"/>
                <w:szCs w:val="18"/>
              </w:rPr>
            </w:pPr>
            <w:r>
              <w:rPr>
                <w:rFonts w:ascii="Calibri" w:hAnsi="Calibri"/>
                <w:b/>
                <w:i/>
                <w:sz w:val="18"/>
                <w:szCs w:val="18"/>
              </w:rPr>
              <w:t>Počet čistokrvných plemenníc registrovaných v PK</w:t>
            </w:r>
          </w:p>
        </w:tc>
        <w:tc>
          <w:tcPr>
            <w:tcW w:w="3261" w:type="dxa"/>
            <w:tcBorders>
              <w:top w:val="single" w:sz="4" w:space="0" w:color="auto"/>
              <w:left w:val="single" w:sz="4" w:space="0" w:color="auto"/>
              <w:bottom w:val="single" w:sz="4" w:space="0" w:color="auto"/>
              <w:right w:val="single" w:sz="4" w:space="0" w:color="auto"/>
            </w:tcBorders>
            <w:shd w:val="clear" w:color="auto" w:fill="DDD9C3"/>
            <w:vAlign w:val="center"/>
            <w:hideMark/>
          </w:tcPr>
          <w:p w:rsidR="00ED1FEE" w:rsidRDefault="00ED1FEE" w:rsidP="00ED1FEE">
            <w:pPr>
              <w:jc w:val="center"/>
              <w:rPr>
                <w:rFonts w:ascii="Calibri" w:hAnsi="Calibri"/>
                <w:b/>
                <w:i/>
                <w:sz w:val="18"/>
                <w:szCs w:val="18"/>
              </w:rPr>
            </w:pPr>
            <w:r>
              <w:rPr>
                <w:rFonts w:ascii="Calibri" w:hAnsi="Calibri"/>
                <w:b/>
                <w:i/>
                <w:sz w:val="18"/>
                <w:szCs w:val="18"/>
              </w:rPr>
              <w:t>Počet plemenníc v ostatných ČŠ EÚ</w:t>
            </w:r>
          </w:p>
        </w:tc>
        <w:tc>
          <w:tcPr>
            <w:tcW w:w="1842" w:type="dxa"/>
            <w:tcBorders>
              <w:top w:val="single" w:sz="4" w:space="0" w:color="auto"/>
              <w:left w:val="single" w:sz="4" w:space="0" w:color="auto"/>
              <w:bottom w:val="single" w:sz="4" w:space="0" w:color="auto"/>
              <w:right w:val="single" w:sz="4" w:space="0" w:color="auto"/>
            </w:tcBorders>
            <w:shd w:val="clear" w:color="auto" w:fill="DDD9C3"/>
            <w:vAlign w:val="center"/>
            <w:hideMark/>
          </w:tcPr>
          <w:p w:rsidR="00ED1FEE" w:rsidRDefault="00ED1FEE" w:rsidP="00ED1FEE">
            <w:pPr>
              <w:jc w:val="center"/>
              <w:rPr>
                <w:rFonts w:ascii="Calibri" w:hAnsi="Calibri"/>
                <w:b/>
                <w:i/>
                <w:sz w:val="18"/>
                <w:szCs w:val="18"/>
              </w:rPr>
            </w:pPr>
            <w:r>
              <w:rPr>
                <w:rFonts w:ascii="Calibri" w:hAnsi="Calibri"/>
                <w:b/>
                <w:i/>
                <w:sz w:val="18"/>
                <w:szCs w:val="18"/>
              </w:rPr>
              <w:t>Stav ohrozenosti podľa efektívnej veľkosti populácie (čistokrvné)</w:t>
            </w:r>
          </w:p>
        </w:tc>
      </w:tr>
      <w:tr w:rsidR="00ED1FEE" w:rsidTr="00ED1FEE">
        <w:tc>
          <w:tcPr>
            <w:tcW w:w="3119" w:type="dxa"/>
            <w:tcBorders>
              <w:top w:val="single" w:sz="4" w:space="0" w:color="auto"/>
              <w:left w:val="single" w:sz="4" w:space="0" w:color="auto"/>
              <w:bottom w:val="single" w:sz="4" w:space="0" w:color="auto"/>
              <w:right w:val="single" w:sz="4" w:space="0" w:color="auto"/>
            </w:tcBorders>
            <w:vAlign w:val="center"/>
            <w:hideMark/>
          </w:tcPr>
          <w:p w:rsidR="00ED1FEE" w:rsidRDefault="00ED1FEE" w:rsidP="00ED1FEE">
            <w:pPr>
              <w:rPr>
                <w:rFonts w:ascii="Calibri" w:hAnsi="Calibri"/>
                <w:sz w:val="20"/>
                <w:szCs w:val="20"/>
              </w:rPr>
            </w:pPr>
            <w:r>
              <w:rPr>
                <w:rFonts w:ascii="Calibri" w:hAnsi="Calibri"/>
                <w:sz w:val="20"/>
                <w:szCs w:val="20"/>
              </w:rPr>
              <w:t>HD/Slovenský pinzgauský dobytok</w:t>
            </w:r>
          </w:p>
        </w:tc>
        <w:tc>
          <w:tcPr>
            <w:tcW w:w="1417" w:type="dxa"/>
            <w:tcBorders>
              <w:top w:val="single" w:sz="4" w:space="0" w:color="auto"/>
              <w:left w:val="single" w:sz="4" w:space="0" w:color="auto"/>
              <w:bottom w:val="single" w:sz="4" w:space="0" w:color="auto"/>
              <w:right w:val="single" w:sz="4" w:space="0" w:color="auto"/>
            </w:tcBorders>
            <w:vAlign w:val="center"/>
            <w:hideMark/>
          </w:tcPr>
          <w:p w:rsidR="00ED1FEE" w:rsidRDefault="00ED1FEE" w:rsidP="00ED1FEE">
            <w:pPr>
              <w:ind w:right="600"/>
              <w:jc w:val="right"/>
              <w:rPr>
                <w:rFonts w:ascii="Calibri" w:hAnsi="Calibri"/>
                <w:sz w:val="20"/>
                <w:szCs w:val="20"/>
              </w:rPr>
            </w:pPr>
            <w:r>
              <w:rPr>
                <w:rFonts w:ascii="Calibri" w:hAnsi="Calibri"/>
                <w:sz w:val="20"/>
                <w:szCs w:val="20"/>
              </w:rPr>
              <w:t>1 697</w:t>
            </w:r>
          </w:p>
        </w:tc>
        <w:tc>
          <w:tcPr>
            <w:tcW w:w="3261" w:type="dxa"/>
            <w:tcBorders>
              <w:top w:val="single" w:sz="4" w:space="0" w:color="auto"/>
              <w:left w:val="single" w:sz="4" w:space="0" w:color="auto"/>
              <w:bottom w:val="single" w:sz="4" w:space="0" w:color="auto"/>
              <w:right w:val="single" w:sz="4" w:space="0" w:color="auto"/>
            </w:tcBorders>
            <w:vAlign w:val="center"/>
            <w:hideMark/>
          </w:tcPr>
          <w:p w:rsidR="00ED1FEE" w:rsidRDefault="00ED1FEE" w:rsidP="00ED1FEE">
            <w:pPr>
              <w:jc w:val="right"/>
              <w:rPr>
                <w:rFonts w:ascii="Calibri" w:hAnsi="Calibri"/>
                <w:sz w:val="20"/>
                <w:szCs w:val="20"/>
              </w:rPr>
            </w:pPr>
            <w:r>
              <w:rPr>
                <w:rFonts w:ascii="Calibri" w:hAnsi="Calibri"/>
                <w:sz w:val="20"/>
                <w:szCs w:val="20"/>
              </w:rPr>
              <w:t>7647 (Rakúsko, Nemecko)</w:t>
            </w:r>
          </w:p>
        </w:tc>
        <w:tc>
          <w:tcPr>
            <w:tcW w:w="1842" w:type="dxa"/>
            <w:tcBorders>
              <w:top w:val="single" w:sz="4" w:space="0" w:color="auto"/>
              <w:left w:val="single" w:sz="4" w:space="0" w:color="auto"/>
              <w:bottom w:val="single" w:sz="4" w:space="0" w:color="auto"/>
              <w:right w:val="single" w:sz="4" w:space="0" w:color="auto"/>
            </w:tcBorders>
            <w:vAlign w:val="center"/>
            <w:hideMark/>
          </w:tcPr>
          <w:p w:rsidR="00ED1FEE" w:rsidRDefault="00ED1FEE" w:rsidP="00ED1FEE">
            <w:pPr>
              <w:jc w:val="center"/>
              <w:rPr>
                <w:rFonts w:ascii="Calibri" w:hAnsi="Calibri"/>
                <w:sz w:val="20"/>
                <w:szCs w:val="20"/>
              </w:rPr>
            </w:pPr>
            <w:r>
              <w:rPr>
                <w:rFonts w:ascii="Calibri" w:hAnsi="Calibri"/>
                <w:sz w:val="20"/>
                <w:szCs w:val="20"/>
              </w:rPr>
              <w:t>Ohrozené</w:t>
            </w:r>
          </w:p>
        </w:tc>
      </w:tr>
      <w:tr w:rsidR="00ED1FEE" w:rsidTr="00ED1FEE">
        <w:tc>
          <w:tcPr>
            <w:tcW w:w="3119" w:type="dxa"/>
            <w:tcBorders>
              <w:top w:val="single" w:sz="4" w:space="0" w:color="auto"/>
              <w:left w:val="single" w:sz="4" w:space="0" w:color="auto"/>
              <w:bottom w:val="single" w:sz="4" w:space="0" w:color="auto"/>
              <w:right w:val="single" w:sz="4" w:space="0" w:color="auto"/>
            </w:tcBorders>
            <w:vAlign w:val="center"/>
            <w:hideMark/>
          </w:tcPr>
          <w:p w:rsidR="00ED1FEE" w:rsidRDefault="00ED1FEE" w:rsidP="00ED1FEE">
            <w:pPr>
              <w:rPr>
                <w:rFonts w:ascii="Calibri" w:hAnsi="Calibri"/>
                <w:sz w:val="20"/>
                <w:szCs w:val="20"/>
              </w:rPr>
            </w:pPr>
            <w:r>
              <w:rPr>
                <w:rFonts w:ascii="Calibri" w:hAnsi="Calibri"/>
                <w:sz w:val="20"/>
                <w:szCs w:val="20"/>
              </w:rPr>
              <w:t>Ovce/Valaška, pôvodný typ</w:t>
            </w:r>
          </w:p>
        </w:tc>
        <w:tc>
          <w:tcPr>
            <w:tcW w:w="1417" w:type="dxa"/>
            <w:tcBorders>
              <w:top w:val="single" w:sz="4" w:space="0" w:color="auto"/>
              <w:left w:val="single" w:sz="4" w:space="0" w:color="auto"/>
              <w:bottom w:val="single" w:sz="4" w:space="0" w:color="auto"/>
              <w:right w:val="single" w:sz="4" w:space="0" w:color="auto"/>
            </w:tcBorders>
            <w:vAlign w:val="center"/>
            <w:hideMark/>
          </w:tcPr>
          <w:p w:rsidR="00ED1FEE" w:rsidRDefault="00ED1FEE" w:rsidP="00ED1FEE">
            <w:pPr>
              <w:ind w:right="600"/>
              <w:jc w:val="right"/>
              <w:rPr>
                <w:rFonts w:ascii="Calibri" w:hAnsi="Calibri"/>
                <w:sz w:val="20"/>
                <w:szCs w:val="20"/>
              </w:rPr>
            </w:pPr>
            <w:r>
              <w:rPr>
                <w:rFonts w:ascii="Calibri" w:hAnsi="Calibri"/>
                <w:sz w:val="20"/>
                <w:szCs w:val="20"/>
              </w:rPr>
              <w:t>225</w:t>
            </w:r>
          </w:p>
        </w:tc>
        <w:tc>
          <w:tcPr>
            <w:tcW w:w="3261" w:type="dxa"/>
            <w:tcBorders>
              <w:top w:val="single" w:sz="4" w:space="0" w:color="auto"/>
              <w:left w:val="single" w:sz="4" w:space="0" w:color="auto"/>
              <w:bottom w:val="single" w:sz="4" w:space="0" w:color="auto"/>
              <w:right w:val="single" w:sz="4" w:space="0" w:color="auto"/>
            </w:tcBorders>
            <w:vAlign w:val="center"/>
            <w:hideMark/>
          </w:tcPr>
          <w:p w:rsidR="00ED1FEE" w:rsidRDefault="00ED1FEE" w:rsidP="00ED1FEE">
            <w:pPr>
              <w:jc w:val="right"/>
              <w:rPr>
                <w:rFonts w:ascii="Calibri" w:hAnsi="Calibri"/>
                <w:sz w:val="20"/>
                <w:szCs w:val="20"/>
              </w:rPr>
            </w:pPr>
            <w:r>
              <w:rPr>
                <w:rFonts w:ascii="Calibri" w:hAnsi="Calibri"/>
                <w:sz w:val="20"/>
                <w:szCs w:val="20"/>
              </w:rPr>
              <w:t>320 (ČR, Nemecko)</w:t>
            </w:r>
          </w:p>
        </w:tc>
        <w:tc>
          <w:tcPr>
            <w:tcW w:w="1842" w:type="dxa"/>
            <w:tcBorders>
              <w:top w:val="single" w:sz="4" w:space="0" w:color="auto"/>
              <w:left w:val="single" w:sz="4" w:space="0" w:color="auto"/>
              <w:bottom w:val="single" w:sz="4" w:space="0" w:color="auto"/>
              <w:right w:val="single" w:sz="4" w:space="0" w:color="auto"/>
            </w:tcBorders>
            <w:vAlign w:val="center"/>
            <w:hideMark/>
          </w:tcPr>
          <w:p w:rsidR="00ED1FEE" w:rsidRDefault="00ED1FEE" w:rsidP="00ED1FEE">
            <w:pPr>
              <w:jc w:val="center"/>
              <w:rPr>
                <w:rFonts w:ascii="Calibri" w:hAnsi="Calibri"/>
                <w:sz w:val="20"/>
                <w:szCs w:val="20"/>
              </w:rPr>
            </w:pPr>
            <w:r>
              <w:rPr>
                <w:rFonts w:ascii="Calibri" w:hAnsi="Calibri"/>
                <w:sz w:val="20"/>
                <w:szCs w:val="20"/>
              </w:rPr>
              <w:t>Ohrozené</w:t>
            </w:r>
          </w:p>
        </w:tc>
      </w:tr>
      <w:tr w:rsidR="00ED1FEE" w:rsidTr="00ED1FEE">
        <w:tc>
          <w:tcPr>
            <w:tcW w:w="3119" w:type="dxa"/>
            <w:tcBorders>
              <w:top w:val="single" w:sz="4" w:space="0" w:color="auto"/>
              <w:left w:val="single" w:sz="4" w:space="0" w:color="auto"/>
              <w:bottom w:val="single" w:sz="4" w:space="0" w:color="auto"/>
              <w:right w:val="single" w:sz="4" w:space="0" w:color="auto"/>
            </w:tcBorders>
            <w:vAlign w:val="center"/>
            <w:hideMark/>
          </w:tcPr>
          <w:p w:rsidR="00ED1FEE" w:rsidRDefault="00ED1FEE" w:rsidP="00ED1FEE">
            <w:pPr>
              <w:rPr>
                <w:rFonts w:ascii="Calibri" w:hAnsi="Calibri"/>
                <w:sz w:val="20"/>
                <w:szCs w:val="20"/>
              </w:rPr>
            </w:pPr>
            <w:r>
              <w:rPr>
                <w:rFonts w:ascii="Calibri" w:hAnsi="Calibri"/>
                <w:sz w:val="20"/>
                <w:szCs w:val="20"/>
              </w:rPr>
              <w:t>Ovce/Askánske merino</w:t>
            </w:r>
          </w:p>
        </w:tc>
        <w:tc>
          <w:tcPr>
            <w:tcW w:w="1417" w:type="dxa"/>
            <w:tcBorders>
              <w:top w:val="single" w:sz="4" w:space="0" w:color="auto"/>
              <w:left w:val="single" w:sz="4" w:space="0" w:color="auto"/>
              <w:bottom w:val="single" w:sz="4" w:space="0" w:color="auto"/>
              <w:right w:val="single" w:sz="4" w:space="0" w:color="auto"/>
            </w:tcBorders>
            <w:vAlign w:val="center"/>
            <w:hideMark/>
          </w:tcPr>
          <w:p w:rsidR="00ED1FEE" w:rsidRDefault="00ED1FEE" w:rsidP="00ED1FEE">
            <w:pPr>
              <w:ind w:right="600"/>
              <w:jc w:val="right"/>
              <w:rPr>
                <w:rFonts w:ascii="Calibri" w:hAnsi="Calibri"/>
                <w:sz w:val="20"/>
                <w:szCs w:val="20"/>
              </w:rPr>
            </w:pPr>
            <w:r>
              <w:rPr>
                <w:rFonts w:ascii="Calibri" w:hAnsi="Calibri"/>
                <w:sz w:val="20"/>
                <w:szCs w:val="20"/>
              </w:rPr>
              <w:t>34</w:t>
            </w:r>
          </w:p>
        </w:tc>
        <w:tc>
          <w:tcPr>
            <w:tcW w:w="3261" w:type="dxa"/>
            <w:tcBorders>
              <w:top w:val="single" w:sz="4" w:space="0" w:color="auto"/>
              <w:left w:val="single" w:sz="4" w:space="0" w:color="auto"/>
              <w:bottom w:val="single" w:sz="4" w:space="0" w:color="auto"/>
              <w:right w:val="single" w:sz="4" w:space="0" w:color="auto"/>
            </w:tcBorders>
            <w:vAlign w:val="center"/>
            <w:hideMark/>
          </w:tcPr>
          <w:p w:rsidR="00ED1FEE" w:rsidRDefault="00ED1FEE" w:rsidP="00ED1FEE">
            <w:pPr>
              <w:jc w:val="right"/>
              <w:rPr>
                <w:rFonts w:ascii="Calibri" w:hAnsi="Calibri"/>
                <w:sz w:val="20"/>
                <w:szCs w:val="20"/>
              </w:rPr>
            </w:pPr>
            <w:r>
              <w:rPr>
                <w:rFonts w:ascii="Calibri" w:hAnsi="Calibri"/>
                <w:sz w:val="20"/>
                <w:szCs w:val="20"/>
              </w:rPr>
              <w:t>150 (Bulharsko)</w:t>
            </w:r>
          </w:p>
        </w:tc>
        <w:tc>
          <w:tcPr>
            <w:tcW w:w="1842" w:type="dxa"/>
            <w:tcBorders>
              <w:top w:val="single" w:sz="4" w:space="0" w:color="auto"/>
              <w:left w:val="single" w:sz="4" w:space="0" w:color="auto"/>
              <w:bottom w:val="single" w:sz="4" w:space="0" w:color="auto"/>
              <w:right w:val="single" w:sz="4" w:space="0" w:color="auto"/>
            </w:tcBorders>
            <w:vAlign w:val="center"/>
            <w:hideMark/>
          </w:tcPr>
          <w:p w:rsidR="00ED1FEE" w:rsidRDefault="00ED1FEE" w:rsidP="00ED1FEE">
            <w:pPr>
              <w:jc w:val="center"/>
              <w:rPr>
                <w:rFonts w:ascii="Calibri" w:hAnsi="Calibri"/>
                <w:sz w:val="20"/>
                <w:szCs w:val="20"/>
              </w:rPr>
            </w:pPr>
            <w:r>
              <w:rPr>
                <w:rFonts w:ascii="Calibri" w:hAnsi="Calibri"/>
                <w:sz w:val="20"/>
                <w:szCs w:val="20"/>
              </w:rPr>
              <w:t>Kriticky ohrozené</w:t>
            </w:r>
          </w:p>
        </w:tc>
      </w:tr>
      <w:tr w:rsidR="00ED1FEE" w:rsidTr="00ED1FEE">
        <w:tc>
          <w:tcPr>
            <w:tcW w:w="3119" w:type="dxa"/>
            <w:tcBorders>
              <w:top w:val="single" w:sz="4" w:space="0" w:color="auto"/>
              <w:left w:val="single" w:sz="4" w:space="0" w:color="auto"/>
              <w:bottom w:val="single" w:sz="4" w:space="0" w:color="auto"/>
              <w:right w:val="single" w:sz="4" w:space="0" w:color="auto"/>
            </w:tcBorders>
            <w:vAlign w:val="center"/>
            <w:hideMark/>
          </w:tcPr>
          <w:p w:rsidR="00ED1FEE" w:rsidRDefault="00ED1FEE" w:rsidP="00ED1FEE">
            <w:pPr>
              <w:rPr>
                <w:rFonts w:ascii="Calibri" w:hAnsi="Calibri"/>
                <w:sz w:val="20"/>
                <w:szCs w:val="20"/>
              </w:rPr>
            </w:pPr>
            <w:r>
              <w:rPr>
                <w:rFonts w:ascii="Calibri" w:hAnsi="Calibri"/>
                <w:sz w:val="20"/>
                <w:szCs w:val="20"/>
              </w:rPr>
              <w:t>Ovce/Cigája</w:t>
            </w:r>
          </w:p>
        </w:tc>
        <w:tc>
          <w:tcPr>
            <w:tcW w:w="1417" w:type="dxa"/>
            <w:tcBorders>
              <w:top w:val="single" w:sz="4" w:space="0" w:color="auto"/>
              <w:left w:val="single" w:sz="4" w:space="0" w:color="auto"/>
              <w:bottom w:val="single" w:sz="4" w:space="0" w:color="auto"/>
              <w:right w:val="single" w:sz="4" w:space="0" w:color="auto"/>
            </w:tcBorders>
            <w:vAlign w:val="center"/>
            <w:hideMark/>
          </w:tcPr>
          <w:p w:rsidR="00ED1FEE" w:rsidRDefault="00ED1FEE" w:rsidP="00ED1FEE">
            <w:pPr>
              <w:ind w:right="600"/>
              <w:jc w:val="right"/>
              <w:rPr>
                <w:rFonts w:ascii="Calibri" w:hAnsi="Calibri"/>
                <w:sz w:val="20"/>
                <w:szCs w:val="20"/>
              </w:rPr>
            </w:pPr>
            <w:r>
              <w:rPr>
                <w:rFonts w:ascii="Calibri" w:hAnsi="Calibri"/>
                <w:sz w:val="20"/>
                <w:szCs w:val="20"/>
              </w:rPr>
              <w:t>12 734</w:t>
            </w:r>
          </w:p>
        </w:tc>
        <w:tc>
          <w:tcPr>
            <w:tcW w:w="3261" w:type="dxa"/>
            <w:tcBorders>
              <w:top w:val="single" w:sz="4" w:space="0" w:color="auto"/>
              <w:left w:val="single" w:sz="4" w:space="0" w:color="auto"/>
              <w:bottom w:val="single" w:sz="4" w:space="0" w:color="auto"/>
              <w:right w:val="single" w:sz="4" w:space="0" w:color="auto"/>
            </w:tcBorders>
            <w:vAlign w:val="center"/>
            <w:hideMark/>
          </w:tcPr>
          <w:p w:rsidR="00ED1FEE" w:rsidRDefault="00ED1FEE" w:rsidP="00ED1FEE">
            <w:pPr>
              <w:jc w:val="right"/>
              <w:rPr>
                <w:rFonts w:ascii="Calibri" w:hAnsi="Calibri"/>
                <w:sz w:val="20"/>
                <w:szCs w:val="20"/>
              </w:rPr>
            </w:pPr>
            <w:r>
              <w:rPr>
                <w:rFonts w:ascii="Calibri" w:hAnsi="Calibri"/>
                <w:sz w:val="20"/>
                <w:szCs w:val="20"/>
              </w:rPr>
              <w:t>2715 (ČR, Maďarsko)</w:t>
            </w:r>
          </w:p>
        </w:tc>
        <w:tc>
          <w:tcPr>
            <w:tcW w:w="1842" w:type="dxa"/>
            <w:tcBorders>
              <w:top w:val="single" w:sz="4" w:space="0" w:color="auto"/>
              <w:left w:val="single" w:sz="4" w:space="0" w:color="auto"/>
              <w:bottom w:val="single" w:sz="4" w:space="0" w:color="auto"/>
              <w:right w:val="single" w:sz="4" w:space="0" w:color="auto"/>
            </w:tcBorders>
            <w:vAlign w:val="center"/>
            <w:hideMark/>
          </w:tcPr>
          <w:p w:rsidR="00ED1FEE" w:rsidRDefault="00ED1FEE" w:rsidP="00ED1FEE">
            <w:pPr>
              <w:jc w:val="center"/>
              <w:rPr>
                <w:rFonts w:ascii="Calibri" w:hAnsi="Calibri"/>
                <w:sz w:val="20"/>
                <w:szCs w:val="20"/>
              </w:rPr>
            </w:pPr>
            <w:r>
              <w:rPr>
                <w:rFonts w:ascii="Calibri" w:hAnsi="Calibri"/>
                <w:sz w:val="20"/>
                <w:szCs w:val="20"/>
              </w:rPr>
              <w:t>Neohrozené</w:t>
            </w:r>
          </w:p>
        </w:tc>
      </w:tr>
      <w:tr w:rsidR="00ED1FEE" w:rsidTr="00ED1FEE">
        <w:tc>
          <w:tcPr>
            <w:tcW w:w="3119" w:type="dxa"/>
            <w:tcBorders>
              <w:top w:val="single" w:sz="4" w:space="0" w:color="auto"/>
              <w:left w:val="single" w:sz="4" w:space="0" w:color="auto"/>
              <w:bottom w:val="single" w:sz="4" w:space="0" w:color="auto"/>
              <w:right w:val="single" w:sz="4" w:space="0" w:color="auto"/>
            </w:tcBorders>
            <w:vAlign w:val="center"/>
            <w:hideMark/>
          </w:tcPr>
          <w:p w:rsidR="00ED1FEE" w:rsidRDefault="00ED1FEE" w:rsidP="00ED1FEE">
            <w:pPr>
              <w:rPr>
                <w:rFonts w:ascii="Calibri" w:hAnsi="Calibri"/>
                <w:sz w:val="20"/>
                <w:szCs w:val="20"/>
              </w:rPr>
            </w:pPr>
            <w:r>
              <w:rPr>
                <w:rFonts w:ascii="Calibri" w:hAnsi="Calibri"/>
                <w:sz w:val="20"/>
                <w:szCs w:val="20"/>
              </w:rPr>
              <w:t>Kozy/Biela krátkosrstá</w:t>
            </w:r>
          </w:p>
        </w:tc>
        <w:tc>
          <w:tcPr>
            <w:tcW w:w="1417" w:type="dxa"/>
            <w:tcBorders>
              <w:top w:val="single" w:sz="4" w:space="0" w:color="auto"/>
              <w:left w:val="single" w:sz="4" w:space="0" w:color="auto"/>
              <w:bottom w:val="single" w:sz="4" w:space="0" w:color="auto"/>
              <w:right w:val="single" w:sz="4" w:space="0" w:color="auto"/>
            </w:tcBorders>
            <w:vAlign w:val="center"/>
            <w:hideMark/>
          </w:tcPr>
          <w:p w:rsidR="00ED1FEE" w:rsidRDefault="00ED1FEE" w:rsidP="00ED1FEE">
            <w:pPr>
              <w:ind w:right="600"/>
              <w:jc w:val="right"/>
              <w:rPr>
                <w:rFonts w:ascii="Calibri" w:hAnsi="Calibri"/>
                <w:sz w:val="20"/>
                <w:szCs w:val="20"/>
              </w:rPr>
            </w:pPr>
            <w:r>
              <w:rPr>
                <w:rFonts w:ascii="Calibri" w:hAnsi="Calibri"/>
                <w:sz w:val="20"/>
                <w:szCs w:val="20"/>
              </w:rPr>
              <w:t>832</w:t>
            </w:r>
          </w:p>
        </w:tc>
        <w:tc>
          <w:tcPr>
            <w:tcW w:w="3261" w:type="dxa"/>
            <w:tcBorders>
              <w:top w:val="single" w:sz="4" w:space="0" w:color="auto"/>
              <w:left w:val="single" w:sz="4" w:space="0" w:color="auto"/>
              <w:bottom w:val="single" w:sz="4" w:space="0" w:color="auto"/>
              <w:right w:val="single" w:sz="4" w:space="0" w:color="auto"/>
            </w:tcBorders>
            <w:vAlign w:val="center"/>
            <w:hideMark/>
          </w:tcPr>
          <w:p w:rsidR="00ED1FEE" w:rsidRDefault="00ED1FEE" w:rsidP="00ED1FEE">
            <w:pPr>
              <w:jc w:val="right"/>
              <w:rPr>
                <w:rFonts w:ascii="Calibri" w:hAnsi="Calibri"/>
                <w:sz w:val="20"/>
                <w:szCs w:val="20"/>
              </w:rPr>
            </w:pPr>
            <w:r>
              <w:rPr>
                <w:rFonts w:ascii="Calibri" w:hAnsi="Calibri"/>
                <w:sz w:val="20"/>
                <w:szCs w:val="20"/>
              </w:rPr>
              <w:t>14 000 (ČR)</w:t>
            </w:r>
          </w:p>
        </w:tc>
        <w:tc>
          <w:tcPr>
            <w:tcW w:w="1842" w:type="dxa"/>
            <w:tcBorders>
              <w:top w:val="single" w:sz="4" w:space="0" w:color="auto"/>
              <w:left w:val="single" w:sz="4" w:space="0" w:color="auto"/>
              <w:bottom w:val="single" w:sz="4" w:space="0" w:color="auto"/>
              <w:right w:val="single" w:sz="4" w:space="0" w:color="auto"/>
            </w:tcBorders>
            <w:vAlign w:val="center"/>
            <w:hideMark/>
          </w:tcPr>
          <w:p w:rsidR="00ED1FEE" w:rsidRDefault="00ED1FEE" w:rsidP="00ED1FEE">
            <w:pPr>
              <w:jc w:val="center"/>
              <w:rPr>
                <w:rFonts w:ascii="Calibri" w:hAnsi="Calibri"/>
                <w:sz w:val="20"/>
                <w:szCs w:val="20"/>
              </w:rPr>
            </w:pPr>
            <w:r>
              <w:rPr>
                <w:rFonts w:ascii="Calibri" w:hAnsi="Calibri"/>
                <w:sz w:val="20"/>
                <w:szCs w:val="20"/>
              </w:rPr>
              <w:t>Monitorované</w:t>
            </w:r>
          </w:p>
        </w:tc>
      </w:tr>
      <w:tr w:rsidR="00ED1FEE" w:rsidTr="00ED1FEE">
        <w:tc>
          <w:tcPr>
            <w:tcW w:w="3119" w:type="dxa"/>
            <w:tcBorders>
              <w:top w:val="single" w:sz="4" w:space="0" w:color="auto"/>
              <w:left w:val="single" w:sz="4" w:space="0" w:color="auto"/>
              <w:bottom w:val="single" w:sz="4" w:space="0" w:color="auto"/>
              <w:right w:val="single" w:sz="4" w:space="0" w:color="auto"/>
            </w:tcBorders>
            <w:vAlign w:val="center"/>
            <w:hideMark/>
          </w:tcPr>
          <w:p w:rsidR="00ED1FEE" w:rsidRDefault="00ED1FEE" w:rsidP="00ED1FEE">
            <w:pPr>
              <w:rPr>
                <w:rFonts w:ascii="Calibri" w:hAnsi="Calibri"/>
                <w:sz w:val="20"/>
                <w:szCs w:val="20"/>
              </w:rPr>
            </w:pPr>
            <w:r>
              <w:rPr>
                <w:rFonts w:ascii="Calibri" w:hAnsi="Calibri"/>
                <w:sz w:val="20"/>
                <w:szCs w:val="20"/>
              </w:rPr>
              <w:t>Kozy/Hnedá krátkosrstá</w:t>
            </w:r>
          </w:p>
        </w:tc>
        <w:tc>
          <w:tcPr>
            <w:tcW w:w="1417" w:type="dxa"/>
            <w:tcBorders>
              <w:top w:val="single" w:sz="4" w:space="0" w:color="auto"/>
              <w:left w:val="single" w:sz="4" w:space="0" w:color="auto"/>
              <w:bottom w:val="single" w:sz="4" w:space="0" w:color="auto"/>
              <w:right w:val="single" w:sz="4" w:space="0" w:color="auto"/>
            </w:tcBorders>
            <w:vAlign w:val="center"/>
            <w:hideMark/>
          </w:tcPr>
          <w:p w:rsidR="00ED1FEE" w:rsidRDefault="00ED1FEE" w:rsidP="00ED1FEE">
            <w:pPr>
              <w:ind w:right="600"/>
              <w:jc w:val="right"/>
              <w:rPr>
                <w:rFonts w:ascii="Calibri" w:hAnsi="Calibri"/>
                <w:sz w:val="20"/>
                <w:szCs w:val="20"/>
              </w:rPr>
            </w:pPr>
            <w:r>
              <w:rPr>
                <w:rFonts w:ascii="Calibri" w:hAnsi="Calibri"/>
                <w:sz w:val="20"/>
                <w:szCs w:val="20"/>
              </w:rPr>
              <w:t>122</w:t>
            </w:r>
          </w:p>
        </w:tc>
        <w:tc>
          <w:tcPr>
            <w:tcW w:w="3261" w:type="dxa"/>
            <w:tcBorders>
              <w:top w:val="single" w:sz="4" w:space="0" w:color="auto"/>
              <w:left w:val="single" w:sz="4" w:space="0" w:color="auto"/>
              <w:bottom w:val="single" w:sz="4" w:space="0" w:color="auto"/>
              <w:right w:val="single" w:sz="4" w:space="0" w:color="auto"/>
            </w:tcBorders>
            <w:vAlign w:val="center"/>
            <w:hideMark/>
          </w:tcPr>
          <w:p w:rsidR="00ED1FEE" w:rsidRDefault="00ED1FEE" w:rsidP="00ED1FEE">
            <w:pPr>
              <w:jc w:val="right"/>
              <w:rPr>
                <w:rFonts w:ascii="Calibri" w:hAnsi="Calibri"/>
                <w:sz w:val="20"/>
                <w:szCs w:val="20"/>
              </w:rPr>
            </w:pPr>
            <w:r>
              <w:rPr>
                <w:rFonts w:ascii="Calibri" w:hAnsi="Calibri"/>
                <w:sz w:val="20"/>
                <w:szCs w:val="20"/>
              </w:rPr>
              <w:t>850 (ČR)</w:t>
            </w:r>
          </w:p>
        </w:tc>
        <w:tc>
          <w:tcPr>
            <w:tcW w:w="1842" w:type="dxa"/>
            <w:tcBorders>
              <w:top w:val="single" w:sz="4" w:space="0" w:color="auto"/>
              <w:left w:val="single" w:sz="4" w:space="0" w:color="auto"/>
              <w:bottom w:val="single" w:sz="4" w:space="0" w:color="auto"/>
              <w:right w:val="single" w:sz="4" w:space="0" w:color="auto"/>
            </w:tcBorders>
            <w:vAlign w:val="center"/>
            <w:hideMark/>
          </w:tcPr>
          <w:p w:rsidR="00ED1FEE" w:rsidRDefault="00ED1FEE" w:rsidP="00ED1FEE">
            <w:pPr>
              <w:jc w:val="center"/>
              <w:rPr>
                <w:rFonts w:ascii="Calibri" w:hAnsi="Calibri"/>
                <w:sz w:val="20"/>
                <w:szCs w:val="20"/>
              </w:rPr>
            </w:pPr>
            <w:r>
              <w:rPr>
                <w:rFonts w:ascii="Calibri" w:hAnsi="Calibri"/>
                <w:sz w:val="20"/>
                <w:szCs w:val="20"/>
              </w:rPr>
              <w:t>Kriticky ohrozené</w:t>
            </w:r>
          </w:p>
        </w:tc>
      </w:tr>
      <w:tr w:rsidR="00ED1FEE" w:rsidTr="00ED1FEE">
        <w:tc>
          <w:tcPr>
            <w:tcW w:w="3119" w:type="dxa"/>
            <w:tcBorders>
              <w:top w:val="single" w:sz="4" w:space="0" w:color="auto"/>
              <w:left w:val="single" w:sz="4" w:space="0" w:color="auto"/>
              <w:bottom w:val="single" w:sz="4" w:space="0" w:color="auto"/>
              <w:right w:val="single" w:sz="4" w:space="0" w:color="auto"/>
            </w:tcBorders>
            <w:vAlign w:val="center"/>
            <w:hideMark/>
          </w:tcPr>
          <w:p w:rsidR="00ED1FEE" w:rsidRDefault="00ED1FEE" w:rsidP="00ED1FEE">
            <w:pPr>
              <w:rPr>
                <w:rFonts w:ascii="Calibri" w:hAnsi="Calibri"/>
                <w:sz w:val="20"/>
                <w:szCs w:val="20"/>
              </w:rPr>
            </w:pPr>
            <w:r>
              <w:rPr>
                <w:rFonts w:ascii="Calibri" w:hAnsi="Calibri"/>
                <w:sz w:val="20"/>
                <w:szCs w:val="20"/>
              </w:rPr>
              <w:t>Kone/ Slovenský teplokrvník</w:t>
            </w:r>
          </w:p>
        </w:tc>
        <w:tc>
          <w:tcPr>
            <w:tcW w:w="1417" w:type="dxa"/>
            <w:tcBorders>
              <w:top w:val="single" w:sz="4" w:space="0" w:color="auto"/>
              <w:left w:val="single" w:sz="4" w:space="0" w:color="auto"/>
              <w:bottom w:val="single" w:sz="4" w:space="0" w:color="auto"/>
              <w:right w:val="single" w:sz="4" w:space="0" w:color="auto"/>
            </w:tcBorders>
            <w:vAlign w:val="center"/>
            <w:hideMark/>
          </w:tcPr>
          <w:p w:rsidR="00ED1FEE" w:rsidRDefault="00ED1FEE" w:rsidP="00ED1FEE">
            <w:pPr>
              <w:ind w:right="600"/>
              <w:jc w:val="right"/>
              <w:rPr>
                <w:rFonts w:ascii="Calibri" w:hAnsi="Calibri"/>
                <w:sz w:val="20"/>
                <w:szCs w:val="20"/>
              </w:rPr>
            </w:pPr>
            <w:r>
              <w:rPr>
                <w:rFonts w:ascii="Calibri" w:hAnsi="Calibri"/>
                <w:sz w:val="20"/>
                <w:szCs w:val="20"/>
              </w:rPr>
              <w:t>868</w:t>
            </w:r>
          </w:p>
        </w:tc>
        <w:tc>
          <w:tcPr>
            <w:tcW w:w="3261" w:type="dxa"/>
            <w:tcBorders>
              <w:top w:val="single" w:sz="4" w:space="0" w:color="auto"/>
              <w:left w:val="single" w:sz="4" w:space="0" w:color="auto"/>
              <w:bottom w:val="single" w:sz="4" w:space="0" w:color="auto"/>
              <w:right w:val="single" w:sz="4" w:space="0" w:color="auto"/>
            </w:tcBorders>
            <w:vAlign w:val="center"/>
            <w:hideMark/>
          </w:tcPr>
          <w:p w:rsidR="00ED1FEE" w:rsidRDefault="00ED1FEE" w:rsidP="00ED1FEE">
            <w:pPr>
              <w:jc w:val="right"/>
              <w:rPr>
                <w:rFonts w:ascii="Calibri" w:hAnsi="Calibri"/>
                <w:sz w:val="20"/>
                <w:szCs w:val="20"/>
              </w:rPr>
            </w:pPr>
            <w:r>
              <w:rPr>
                <w:rFonts w:ascii="Calibri" w:hAnsi="Calibri"/>
                <w:sz w:val="20"/>
                <w:szCs w:val="20"/>
              </w:rPr>
              <w:t>--</w:t>
            </w:r>
          </w:p>
        </w:tc>
        <w:tc>
          <w:tcPr>
            <w:tcW w:w="1842" w:type="dxa"/>
            <w:tcBorders>
              <w:top w:val="single" w:sz="4" w:space="0" w:color="auto"/>
              <w:left w:val="single" w:sz="4" w:space="0" w:color="auto"/>
              <w:bottom w:val="single" w:sz="4" w:space="0" w:color="auto"/>
              <w:right w:val="single" w:sz="4" w:space="0" w:color="auto"/>
            </w:tcBorders>
            <w:vAlign w:val="center"/>
            <w:hideMark/>
          </w:tcPr>
          <w:p w:rsidR="00ED1FEE" w:rsidRDefault="00ED1FEE" w:rsidP="00ED1FEE">
            <w:pPr>
              <w:jc w:val="center"/>
              <w:rPr>
                <w:rFonts w:ascii="Calibri" w:hAnsi="Calibri"/>
                <w:sz w:val="20"/>
                <w:szCs w:val="20"/>
              </w:rPr>
            </w:pPr>
            <w:r>
              <w:rPr>
                <w:rFonts w:ascii="Calibri" w:hAnsi="Calibri"/>
                <w:sz w:val="20"/>
                <w:szCs w:val="20"/>
              </w:rPr>
              <w:t>Ohrozené</w:t>
            </w:r>
          </w:p>
        </w:tc>
      </w:tr>
      <w:tr w:rsidR="00ED1FEE" w:rsidTr="00ED1FEE">
        <w:tc>
          <w:tcPr>
            <w:tcW w:w="3119" w:type="dxa"/>
            <w:tcBorders>
              <w:top w:val="single" w:sz="4" w:space="0" w:color="auto"/>
              <w:left w:val="single" w:sz="4" w:space="0" w:color="auto"/>
              <w:bottom w:val="single" w:sz="4" w:space="0" w:color="auto"/>
              <w:right w:val="single" w:sz="4" w:space="0" w:color="auto"/>
            </w:tcBorders>
            <w:vAlign w:val="center"/>
            <w:hideMark/>
          </w:tcPr>
          <w:p w:rsidR="00ED1FEE" w:rsidRDefault="00ED1FEE" w:rsidP="00ED1FEE">
            <w:pPr>
              <w:rPr>
                <w:rFonts w:ascii="Calibri" w:hAnsi="Calibri"/>
                <w:sz w:val="20"/>
                <w:szCs w:val="20"/>
              </w:rPr>
            </w:pPr>
            <w:r>
              <w:rPr>
                <w:rFonts w:ascii="Calibri" w:hAnsi="Calibri"/>
                <w:sz w:val="20"/>
                <w:szCs w:val="20"/>
              </w:rPr>
              <w:t>Kone/Hucul</w:t>
            </w:r>
          </w:p>
        </w:tc>
        <w:tc>
          <w:tcPr>
            <w:tcW w:w="1417" w:type="dxa"/>
            <w:tcBorders>
              <w:top w:val="single" w:sz="4" w:space="0" w:color="auto"/>
              <w:left w:val="single" w:sz="4" w:space="0" w:color="auto"/>
              <w:bottom w:val="single" w:sz="4" w:space="0" w:color="auto"/>
              <w:right w:val="single" w:sz="4" w:space="0" w:color="auto"/>
            </w:tcBorders>
            <w:vAlign w:val="center"/>
            <w:hideMark/>
          </w:tcPr>
          <w:p w:rsidR="00ED1FEE" w:rsidRDefault="00ED1FEE" w:rsidP="00ED1FEE">
            <w:pPr>
              <w:ind w:right="600"/>
              <w:jc w:val="right"/>
              <w:rPr>
                <w:rFonts w:ascii="Calibri" w:hAnsi="Calibri"/>
                <w:sz w:val="20"/>
                <w:szCs w:val="20"/>
              </w:rPr>
            </w:pPr>
            <w:r>
              <w:rPr>
                <w:rFonts w:ascii="Calibri" w:hAnsi="Calibri"/>
                <w:sz w:val="20"/>
                <w:szCs w:val="20"/>
              </w:rPr>
              <w:t>110</w:t>
            </w:r>
          </w:p>
        </w:tc>
        <w:tc>
          <w:tcPr>
            <w:tcW w:w="3261" w:type="dxa"/>
            <w:tcBorders>
              <w:top w:val="single" w:sz="4" w:space="0" w:color="auto"/>
              <w:left w:val="single" w:sz="4" w:space="0" w:color="auto"/>
              <w:bottom w:val="single" w:sz="4" w:space="0" w:color="auto"/>
              <w:right w:val="single" w:sz="4" w:space="0" w:color="auto"/>
            </w:tcBorders>
            <w:vAlign w:val="center"/>
            <w:hideMark/>
          </w:tcPr>
          <w:p w:rsidR="00ED1FEE" w:rsidRDefault="00ED1FEE" w:rsidP="00ED1FEE">
            <w:pPr>
              <w:jc w:val="right"/>
              <w:rPr>
                <w:rFonts w:ascii="Calibri" w:hAnsi="Calibri"/>
                <w:sz w:val="20"/>
                <w:szCs w:val="20"/>
              </w:rPr>
            </w:pPr>
            <w:r>
              <w:rPr>
                <w:rFonts w:ascii="Calibri" w:hAnsi="Calibri"/>
                <w:sz w:val="20"/>
                <w:szCs w:val="20"/>
              </w:rPr>
              <w:t>1 943 (ČR, Maďarsko, Poľsko, Nemecko, Rakúsko)</w:t>
            </w:r>
          </w:p>
        </w:tc>
        <w:tc>
          <w:tcPr>
            <w:tcW w:w="1842" w:type="dxa"/>
            <w:tcBorders>
              <w:top w:val="single" w:sz="4" w:space="0" w:color="auto"/>
              <w:left w:val="single" w:sz="4" w:space="0" w:color="auto"/>
              <w:bottom w:val="single" w:sz="4" w:space="0" w:color="auto"/>
              <w:right w:val="single" w:sz="4" w:space="0" w:color="auto"/>
            </w:tcBorders>
            <w:vAlign w:val="center"/>
            <w:hideMark/>
          </w:tcPr>
          <w:p w:rsidR="00ED1FEE" w:rsidRDefault="00ED1FEE" w:rsidP="00ED1FEE">
            <w:pPr>
              <w:jc w:val="center"/>
              <w:rPr>
                <w:rFonts w:ascii="Calibri" w:hAnsi="Calibri"/>
                <w:sz w:val="20"/>
                <w:szCs w:val="20"/>
              </w:rPr>
            </w:pPr>
            <w:r>
              <w:rPr>
                <w:rFonts w:ascii="Calibri" w:hAnsi="Calibri"/>
                <w:sz w:val="20"/>
                <w:szCs w:val="20"/>
              </w:rPr>
              <w:t>Kriticky ohrozené</w:t>
            </w:r>
          </w:p>
        </w:tc>
      </w:tr>
      <w:tr w:rsidR="00ED1FEE" w:rsidTr="00ED1FEE">
        <w:tc>
          <w:tcPr>
            <w:tcW w:w="3119" w:type="dxa"/>
            <w:tcBorders>
              <w:top w:val="single" w:sz="4" w:space="0" w:color="auto"/>
              <w:left w:val="single" w:sz="4" w:space="0" w:color="auto"/>
              <w:bottom w:val="single" w:sz="4" w:space="0" w:color="auto"/>
              <w:right w:val="single" w:sz="4" w:space="0" w:color="auto"/>
            </w:tcBorders>
            <w:vAlign w:val="center"/>
            <w:hideMark/>
          </w:tcPr>
          <w:p w:rsidR="00ED1FEE" w:rsidRDefault="00ED1FEE" w:rsidP="00ED1FEE">
            <w:pPr>
              <w:rPr>
                <w:rFonts w:ascii="Calibri" w:hAnsi="Calibri"/>
                <w:sz w:val="20"/>
                <w:szCs w:val="20"/>
              </w:rPr>
            </w:pPr>
            <w:r>
              <w:rPr>
                <w:rFonts w:ascii="Calibri" w:hAnsi="Calibri"/>
                <w:sz w:val="20"/>
                <w:szCs w:val="20"/>
              </w:rPr>
              <w:t>Kone/Lipican</w:t>
            </w:r>
          </w:p>
        </w:tc>
        <w:tc>
          <w:tcPr>
            <w:tcW w:w="1417" w:type="dxa"/>
            <w:tcBorders>
              <w:top w:val="single" w:sz="4" w:space="0" w:color="auto"/>
              <w:left w:val="single" w:sz="4" w:space="0" w:color="auto"/>
              <w:bottom w:val="single" w:sz="4" w:space="0" w:color="auto"/>
              <w:right w:val="single" w:sz="4" w:space="0" w:color="auto"/>
            </w:tcBorders>
            <w:vAlign w:val="center"/>
            <w:hideMark/>
          </w:tcPr>
          <w:p w:rsidR="00ED1FEE" w:rsidRDefault="00ED1FEE" w:rsidP="00ED1FEE">
            <w:pPr>
              <w:ind w:right="600"/>
              <w:jc w:val="right"/>
              <w:rPr>
                <w:rFonts w:ascii="Calibri" w:hAnsi="Calibri"/>
                <w:sz w:val="20"/>
                <w:szCs w:val="20"/>
              </w:rPr>
            </w:pPr>
            <w:r>
              <w:rPr>
                <w:rFonts w:ascii="Calibri" w:hAnsi="Calibri"/>
                <w:sz w:val="20"/>
                <w:szCs w:val="20"/>
              </w:rPr>
              <w:t>186</w:t>
            </w:r>
          </w:p>
        </w:tc>
        <w:tc>
          <w:tcPr>
            <w:tcW w:w="3261" w:type="dxa"/>
            <w:tcBorders>
              <w:top w:val="single" w:sz="4" w:space="0" w:color="auto"/>
              <w:left w:val="single" w:sz="4" w:space="0" w:color="auto"/>
              <w:bottom w:val="single" w:sz="4" w:space="0" w:color="auto"/>
              <w:right w:val="single" w:sz="4" w:space="0" w:color="auto"/>
            </w:tcBorders>
            <w:vAlign w:val="center"/>
            <w:hideMark/>
          </w:tcPr>
          <w:p w:rsidR="00ED1FEE" w:rsidRDefault="00ED1FEE" w:rsidP="00ED1FEE">
            <w:pPr>
              <w:jc w:val="right"/>
              <w:rPr>
                <w:rFonts w:ascii="Calibri" w:hAnsi="Calibri"/>
                <w:sz w:val="20"/>
                <w:szCs w:val="20"/>
              </w:rPr>
            </w:pPr>
            <w:r>
              <w:rPr>
                <w:rFonts w:ascii="Calibri" w:hAnsi="Calibri"/>
                <w:sz w:val="20"/>
                <w:szCs w:val="20"/>
              </w:rPr>
              <w:t>1 940 (Rakúsko, Belgicko, Chorvátsko, Francúzsko, Maďarsko, Slovinsko, Nemecko, ČR)</w:t>
            </w:r>
          </w:p>
        </w:tc>
        <w:tc>
          <w:tcPr>
            <w:tcW w:w="1842" w:type="dxa"/>
            <w:tcBorders>
              <w:top w:val="single" w:sz="4" w:space="0" w:color="auto"/>
              <w:left w:val="single" w:sz="4" w:space="0" w:color="auto"/>
              <w:bottom w:val="single" w:sz="4" w:space="0" w:color="auto"/>
              <w:right w:val="single" w:sz="4" w:space="0" w:color="auto"/>
            </w:tcBorders>
            <w:vAlign w:val="center"/>
            <w:hideMark/>
          </w:tcPr>
          <w:p w:rsidR="00ED1FEE" w:rsidRDefault="00ED1FEE" w:rsidP="00ED1FEE">
            <w:pPr>
              <w:jc w:val="center"/>
              <w:rPr>
                <w:rFonts w:ascii="Calibri" w:hAnsi="Calibri"/>
                <w:sz w:val="20"/>
                <w:szCs w:val="20"/>
              </w:rPr>
            </w:pPr>
            <w:r>
              <w:rPr>
                <w:rFonts w:ascii="Calibri" w:hAnsi="Calibri"/>
                <w:sz w:val="20"/>
                <w:szCs w:val="20"/>
              </w:rPr>
              <w:t>Kriticky ohrozené</w:t>
            </w:r>
          </w:p>
        </w:tc>
      </w:tr>
      <w:tr w:rsidR="00ED1FEE" w:rsidTr="00ED1FEE">
        <w:tc>
          <w:tcPr>
            <w:tcW w:w="3119" w:type="dxa"/>
            <w:tcBorders>
              <w:top w:val="single" w:sz="4" w:space="0" w:color="auto"/>
              <w:left w:val="single" w:sz="4" w:space="0" w:color="auto"/>
              <w:bottom w:val="single" w:sz="4" w:space="0" w:color="auto"/>
              <w:right w:val="single" w:sz="4" w:space="0" w:color="auto"/>
            </w:tcBorders>
            <w:vAlign w:val="center"/>
            <w:hideMark/>
          </w:tcPr>
          <w:p w:rsidR="00ED1FEE" w:rsidRDefault="00ED1FEE" w:rsidP="00ED1FEE">
            <w:pPr>
              <w:rPr>
                <w:rFonts w:ascii="Calibri" w:hAnsi="Calibri"/>
                <w:sz w:val="20"/>
                <w:szCs w:val="20"/>
              </w:rPr>
            </w:pPr>
            <w:r>
              <w:rPr>
                <w:rFonts w:ascii="Calibri" w:hAnsi="Calibri"/>
                <w:sz w:val="20"/>
                <w:szCs w:val="20"/>
              </w:rPr>
              <w:t>Kone/Nonius</w:t>
            </w:r>
          </w:p>
        </w:tc>
        <w:tc>
          <w:tcPr>
            <w:tcW w:w="1417" w:type="dxa"/>
            <w:tcBorders>
              <w:top w:val="single" w:sz="4" w:space="0" w:color="auto"/>
              <w:left w:val="single" w:sz="4" w:space="0" w:color="auto"/>
              <w:bottom w:val="single" w:sz="4" w:space="0" w:color="auto"/>
              <w:right w:val="single" w:sz="4" w:space="0" w:color="auto"/>
            </w:tcBorders>
            <w:vAlign w:val="center"/>
            <w:hideMark/>
          </w:tcPr>
          <w:p w:rsidR="00ED1FEE" w:rsidRDefault="00ED1FEE" w:rsidP="00ED1FEE">
            <w:pPr>
              <w:ind w:right="600"/>
              <w:jc w:val="right"/>
              <w:rPr>
                <w:rFonts w:ascii="Calibri" w:hAnsi="Calibri"/>
                <w:sz w:val="20"/>
                <w:szCs w:val="20"/>
              </w:rPr>
            </w:pPr>
            <w:r>
              <w:rPr>
                <w:rFonts w:ascii="Calibri" w:hAnsi="Calibri"/>
                <w:sz w:val="20"/>
                <w:szCs w:val="20"/>
              </w:rPr>
              <w:t>26</w:t>
            </w:r>
          </w:p>
        </w:tc>
        <w:tc>
          <w:tcPr>
            <w:tcW w:w="3261" w:type="dxa"/>
            <w:tcBorders>
              <w:top w:val="single" w:sz="4" w:space="0" w:color="auto"/>
              <w:left w:val="single" w:sz="4" w:space="0" w:color="auto"/>
              <w:bottom w:val="single" w:sz="4" w:space="0" w:color="auto"/>
              <w:right w:val="single" w:sz="4" w:space="0" w:color="auto"/>
            </w:tcBorders>
            <w:vAlign w:val="center"/>
            <w:hideMark/>
          </w:tcPr>
          <w:p w:rsidR="00ED1FEE" w:rsidRDefault="00ED1FEE" w:rsidP="00ED1FEE">
            <w:pPr>
              <w:jc w:val="right"/>
              <w:rPr>
                <w:rFonts w:ascii="Calibri" w:hAnsi="Calibri"/>
                <w:sz w:val="20"/>
                <w:szCs w:val="20"/>
              </w:rPr>
            </w:pPr>
            <w:r>
              <w:rPr>
                <w:rFonts w:ascii="Calibri" w:hAnsi="Calibri"/>
                <w:sz w:val="20"/>
                <w:szCs w:val="20"/>
              </w:rPr>
              <w:t>618 (Maďarsko)</w:t>
            </w:r>
          </w:p>
        </w:tc>
        <w:tc>
          <w:tcPr>
            <w:tcW w:w="1842" w:type="dxa"/>
            <w:tcBorders>
              <w:top w:val="single" w:sz="4" w:space="0" w:color="auto"/>
              <w:left w:val="single" w:sz="4" w:space="0" w:color="auto"/>
              <w:bottom w:val="single" w:sz="4" w:space="0" w:color="auto"/>
              <w:right w:val="single" w:sz="4" w:space="0" w:color="auto"/>
            </w:tcBorders>
            <w:vAlign w:val="center"/>
            <w:hideMark/>
          </w:tcPr>
          <w:p w:rsidR="00ED1FEE" w:rsidRDefault="00ED1FEE" w:rsidP="00ED1FEE">
            <w:pPr>
              <w:jc w:val="center"/>
              <w:rPr>
                <w:rFonts w:ascii="Calibri" w:hAnsi="Calibri"/>
                <w:sz w:val="20"/>
                <w:szCs w:val="20"/>
              </w:rPr>
            </w:pPr>
            <w:r>
              <w:rPr>
                <w:rFonts w:ascii="Calibri" w:hAnsi="Calibri"/>
                <w:sz w:val="20"/>
                <w:szCs w:val="20"/>
              </w:rPr>
              <w:t>Kriticky ohrozené</w:t>
            </w:r>
          </w:p>
        </w:tc>
      </w:tr>
      <w:tr w:rsidR="00ED1FEE" w:rsidTr="00ED1FEE">
        <w:tc>
          <w:tcPr>
            <w:tcW w:w="3119" w:type="dxa"/>
            <w:tcBorders>
              <w:top w:val="single" w:sz="4" w:space="0" w:color="auto"/>
              <w:left w:val="single" w:sz="4" w:space="0" w:color="auto"/>
              <w:bottom w:val="single" w:sz="4" w:space="0" w:color="auto"/>
              <w:right w:val="single" w:sz="4" w:space="0" w:color="auto"/>
            </w:tcBorders>
            <w:vAlign w:val="center"/>
            <w:hideMark/>
          </w:tcPr>
          <w:p w:rsidR="00ED1FEE" w:rsidRDefault="00ED1FEE" w:rsidP="00ED1FEE">
            <w:pPr>
              <w:rPr>
                <w:rFonts w:ascii="Calibri" w:hAnsi="Calibri"/>
                <w:sz w:val="20"/>
                <w:szCs w:val="20"/>
              </w:rPr>
            </w:pPr>
            <w:r>
              <w:rPr>
                <w:rFonts w:ascii="Calibri" w:hAnsi="Calibri"/>
                <w:sz w:val="20"/>
                <w:szCs w:val="20"/>
              </w:rPr>
              <w:t>Kone/Furioso</w:t>
            </w:r>
          </w:p>
        </w:tc>
        <w:tc>
          <w:tcPr>
            <w:tcW w:w="1417" w:type="dxa"/>
            <w:tcBorders>
              <w:top w:val="single" w:sz="4" w:space="0" w:color="auto"/>
              <w:left w:val="single" w:sz="4" w:space="0" w:color="auto"/>
              <w:bottom w:val="single" w:sz="4" w:space="0" w:color="auto"/>
              <w:right w:val="single" w:sz="4" w:space="0" w:color="auto"/>
            </w:tcBorders>
            <w:vAlign w:val="center"/>
            <w:hideMark/>
          </w:tcPr>
          <w:p w:rsidR="00ED1FEE" w:rsidRDefault="00ED1FEE" w:rsidP="00ED1FEE">
            <w:pPr>
              <w:ind w:right="600"/>
              <w:jc w:val="right"/>
              <w:rPr>
                <w:rFonts w:ascii="Calibri" w:hAnsi="Calibri"/>
                <w:sz w:val="20"/>
                <w:szCs w:val="20"/>
              </w:rPr>
            </w:pPr>
            <w:r>
              <w:rPr>
                <w:rFonts w:ascii="Calibri" w:hAnsi="Calibri"/>
                <w:sz w:val="20"/>
                <w:szCs w:val="20"/>
              </w:rPr>
              <w:t>162</w:t>
            </w:r>
          </w:p>
        </w:tc>
        <w:tc>
          <w:tcPr>
            <w:tcW w:w="3261" w:type="dxa"/>
            <w:tcBorders>
              <w:top w:val="single" w:sz="4" w:space="0" w:color="auto"/>
              <w:left w:val="single" w:sz="4" w:space="0" w:color="auto"/>
              <w:bottom w:val="single" w:sz="4" w:space="0" w:color="auto"/>
              <w:right w:val="single" w:sz="4" w:space="0" w:color="auto"/>
            </w:tcBorders>
            <w:vAlign w:val="center"/>
            <w:hideMark/>
          </w:tcPr>
          <w:p w:rsidR="00ED1FEE" w:rsidRDefault="00ED1FEE" w:rsidP="00ED1FEE">
            <w:pPr>
              <w:jc w:val="right"/>
              <w:rPr>
                <w:rFonts w:ascii="Calibri" w:hAnsi="Calibri"/>
                <w:sz w:val="20"/>
                <w:szCs w:val="20"/>
              </w:rPr>
            </w:pPr>
            <w:r>
              <w:rPr>
                <w:rFonts w:ascii="Calibri" w:hAnsi="Calibri"/>
                <w:sz w:val="20"/>
                <w:szCs w:val="20"/>
              </w:rPr>
              <w:t>561 (Maďarsko, Rakúsko)</w:t>
            </w:r>
          </w:p>
        </w:tc>
        <w:tc>
          <w:tcPr>
            <w:tcW w:w="1842" w:type="dxa"/>
            <w:tcBorders>
              <w:top w:val="single" w:sz="4" w:space="0" w:color="auto"/>
              <w:left w:val="single" w:sz="4" w:space="0" w:color="auto"/>
              <w:bottom w:val="single" w:sz="4" w:space="0" w:color="auto"/>
              <w:right w:val="single" w:sz="4" w:space="0" w:color="auto"/>
            </w:tcBorders>
            <w:vAlign w:val="center"/>
            <w:hideMark/>
          </w:tcPr>
          <w:p w:rsidR="00ED1FEE" w:rsidRDefault="00ED1FEE" w:rsidP="00ED1FEE">
            <w:pPr>
              <w:jc w:val="center"/>
              <w:rPr>
                <w:rFonts w:ascii="Calibri" w:hAnsi="Calibri"/>
                <w:sz w:val="20"/>
                <w:szCs w:val="20"/>
              </w:rPr>
            </w:pPr>
            <w:r>
              <w:rPr>
                <w:rFonts w:ascii="Calibri" w:hAnsi="Calibri"/>
                <w:sz w:val="20"/>
                <w:szCs w:val="20"/>
              </w:rPr>
              <w:t>Ohrozené</w:t>
            </w:r>
          </w:p>
        </w:tc>
      </w:tr>
      <w:tr w:rsidR="00ED1FEE" w:rsidTr="00ED1FEE">
        <w:tc>
          <w:tcPr>
            <w:tcW w:w="3119" w:type="dxa"/>
            <w:tcBorders>
              <w:top w:val="single" w:sz="4" w:space="0" w:color="auto"/>
              <w:left w:val="single" w:sz="4" w:space="0" w:color="auto"/>
              <w:bottom w:val="single" w:sz="4" w:space="0" w:color="auto"/>
              <w:right w:val="single" w:sz="4" w:space="0" w:color="auto"/>
            </w:tcBorders>
            <w:vAlign w:val="center"/>
            <w:hideMark/>
          </w:tcPr>
          <w:p w:rsidR="00ED1FEE" w:rsidRDefault="00ED1FEE" w:rsidP="00ED1FEE">
            <w:pPr>
              <w:rPr>
                <w:rFonts w:ascii="Calibri" w:hAnsi="Calibri"/>
                <w:sz w:val="20"/>
                <w:szCs w:val="20"/>
              </w:rPr>
            </w:pPr>
            <w:r>
              <w:rPr>
                <w:rFonts w:ascii="Calibri" w:hAnsi="Calibri"/>
                <w:sz w:val="20"/>
                <w:szCs w:val="20"/>
              </w:rPr>
              <w:t>Kone/Shagya-Arab</w:t>
            </w:r>
          </w:p>
        </w:tc>
        <w:tc>
          <w:tcPr>
            <w:tcW w:w="1417" w:type="dxa"/>
            <w:tcBorders>
              <w:top w:val="single" w:sz="4" w:space="0" w:color="auto"/>
              <w:left w:val="single" w:sz="4" w:space="0" w:color="auto"/>
              <w:bottom w:val="single" w:sz="4" w:space="0" w:color="auto"/>
              <w:right w:val="single" w:sz="4" w:space="0" w:color="auto"/>
            </w:tcBorders>
            <w:vAlign w:val="center"/>
            <w:hideMark/>
          </w:tcPr>
          <w:p w:rsidR="00ED1FEE" w:rsidRDefault="00ED1FEE" w:rsidP="00ED1FEE">
            <w:pPr>
              <w:ind w:right="600"/>
              <w:jc w:val="right"/>
              <w:rPr>
                <w:rFonts w:ascii="Calibri" w:hAnsi="Calibri"/>
                <w:sz w:val="20"/>
                <w:szCs w:val="20"/>
              </w:rPr>
            </w:pPr>
            <w:r>
              <w:rPr>
                <w:rFonts w:ascii="Calibri" w:hAnsi="Calibri"/>
                <w:sz w:val="20"/>
                <w:szCs w:val="20"/>
              </w:rPr>
              <w:t>197</w:t>
            </w:r>
          </w:p>
        </w:tc>
        <w:tc>
          <w:tcPr>
            <w:tcW w:w="3261" w:type="dxa"/>
            <w:tcBorders>
              <w:top w:val="single" w:sz="4" w:space="0" w:color="auto"/>
              <w:left w:val="single" w:sz="4" w:space="0" w:color="auto"/>
              <w:bottom w:val="single" w:sz="4" w:space="0" w:color="auto"/>
              <w:right w:val="single" w:sz="4" w:space="0" w:color="auto"/>
            </w:tcBorders>
            <w:vAlign w:val="center"/>
            <w:hideMark/>
          </w:tcPr>
          <w:p w:rsidR="00ED1FEE" w:rsidRDefault="00ED1FEE" w:rsidP="00ED1FEE">
            <w:pPr>
              <w:jc w:val="right"/>
              <w:rPr>
                <w:rFonts w:ascii="Calibri" w:hAnsi="Calibri"/>
                <w:sz w:val="20"/>
                <w:szCs w:val="20"/>
              </w:rPr>
            </w:pPr>
            <w:r>
              <w:rPr>
                <w:rFonts w:ascii="Calibri" w:hAnsi="Calibri"/>
                <w:sz w:val="20"/>
                <w:szCs w:val="20"/>
              </w:rPr>
              <w:t>1232 (Rakúsko, Maďarsko, Nemecko)</w:t>
            </w:r>
          </w:p>
        </w:tc>
        <w:tc>
          <w:tcPr>
            <w:tcW w:w="1842" w:type="dxa"/>
            <w:tcBorders>
              <w:top w:val="single" w:sz="4" w:space="0" w:color="auto"/>
              <w:left w:val="single" w:sz="4" w:space="0" w:color="auto"/>
              <w:bottom w:val="single" w:sz="4" w:space="0" w:color="auto"/>
              <w:right w:val="single" w:sz="4" w:space="0" w:color="auto"/>
            </w:tcBorders>
            <w:vAlign w:val="center"/>
            <w:hideMark/>
          </w:tcPr>
          <w:p w:rsidR="00ED1FEE" w:rsidRDefault="00ED1FEE" w:rsidP="00ED1FEE">
            <w:pPr>
              <w:jc w:val="center"/>
              <w:rPr>
                <w:rFonts w:ascii="Calibri" w:hAnsi="Calibri"/>
                <w:sz w:val="20"/>
                <w:szCs w:val="20"/>
              </w:rPr>
            </w:pPr>
            <w:r>
              <w:rPr>
                <w:rFonts w:ascii="Calibri" w:hAnsi="Calibri"/>
                <w:sz w:val="20"/>
                <w:szCs w:val="20"/>
              </w:rPr>
              <w:t>Ohrozené</w:t>
            </w:r>
          </w:p>
        </w:tc>
      </w:tr>
      <w:tr w:rsidR="00ED1FEE" w:rsidTr="00ED1FEE">
        <w:tc>
          <w:tcPr>
            <w:tcW w:w="3119" w:type="dxa"/>
            <w:tcBorders>
              <w:top w:val="single" w:sz="4" w:space="0" w:color="auto"/>
              <w:left w:val="single" w:sz="4" w:space="0" w:color="auto"/>
              <w:bottom w:val="single" w:sz="4" w:space="0" w:color="auto"/>
              <w:right w:val="single" w:sz="4" w:space="0" w:color="auto"/>
            </w:tcBorders>
            <w:vAlign w:val="center"/>
            <w:hideMark/>
          </w:tcPr>
          <w:p w:rsidR="00ED1FEE" w:rsidRDefault="00ED1FEE" w:rsidP="00ED1FEE">
            <w:pPr>
              <w:rPr>
                <w:rFonts w:ascii="Calibri" w:hAnsi="Calibri"/>
                <w:sz w:val="20"/>
                <w:szCs w:val="20"/>
              </w:rPr>
            </w:pPr>
            <w:r>
              <w:rPr>
                <w:rFonts w:ascii="Calibri" w:hAnsi="Calibri"/>
                <w:sz w:val="20"/>
                <w:szCs w:val="20"/>
              </w:rPr>
              <w:t>Kone/Norik muránskeho typu</w:t>
            </w:r>
          </w:p>
        </w:tc>
        <w:tc>
          <w:tcPr>
            <w:tcW w:w="1417" w:type="dxa"/>
            <w:tcBorders>
              <w:top w:val="single" w:sz="4" w:space="0" w:color="auto"/>
              <w:left w:val="single" w:sz="4" w:space="0" w:color="auto"/>
              <w:bottom w:val="single" w:sz="4" w:space="0" w:color="auto"/>
              <w:right w:val="single" w:sz="4" w:space="0" w:color="auto"/>
            </w:tcBorders>
            <w:vAlign w:val="center"/>
            <w:hideMark/>
          </w:tcPr>
          <w:p w:rsidR="00ED1FEE" w:rsidRDefault="00ED1FEE" w:rsidP="00ED1FEE">
            <w:pPr>
              <w:ind w:right="600"/>
              <w:jc w:val="right"/>
              <w:rPr>
                <w:rFonts w:ascii="Calibri" w:hAnsi="Calibri"/>
                <w:sz w:val="20"/>
                <w:szCs w:val="20"/>
              </w:rPr>
            </w:pPr>
            <w:r>
              <w:rPr>
                <w:rFonts w:ascii="Calibri" w:hAnsi="Calibri"/>
                <w:sz w:val="20"/>
                <w:szCs w:val="20"/>
              </w:rPr>
              <w:t>104</w:t>
            </w:r>
          </w:p>
        </w:tc>
        <w:tc>
          <w:tcPr>
            <w:tcW w:w="3261" w:type="dxa"/>
            <w:tcBorders>
              <w:top w:val="single" w:sz="4" w:space="0" w:color="auto"/>
              <w:left w:val="single" w:sz="4" w:space="0" w:color="auto"/>
              <w:bottom w:val="single" w:sz="4" w:space="0" w:color="auto"/>
              <w:right w:val="single" w:sz="4" w:space="0" w:color="auto"/>
            </w:tcBorders>
            <w:vAlign w:val="center"/>
            <w:hideMark/>
          </w:tcPr>
          <w:p w:rsidR="00ED1FEE" w:rsidRDefault="00ED1FEE" w:rsidP="00ED1FEE">
            <w:pPr>
              <w:jc w:val="right"/>
              <w:rPr>
                <w:rFonts w:ascii="Calibri" w:hAnsi="Calibri"/>
                <w:sz w:val="20"/>
                <w:szCs w:val="20"/>
              </w:rPr>
            </w:pPr>
            <w:r>
              <w:rPr>
                <w:rFonts w:ascii="Calibri" w:hAnsi="Calibri"/>
                <w:sz w:val="20"/>
                <w:szCs w:val="20"/>
              </w:rPr>
              <w:t>5050 (Nemecko, Rakúsko)</w:t>
            </w:r>
          </w:p>
        </w:tc>
        <w:tc>
          <w:tcPr>
            <w:tcW w:w="1842" w:type="dxa"/>
            <w:tcBorders>
              <w:top w:val="single" w:sz="4" w:space="0" w:color="auto"/>
              <w:left w:val="single" w:sz="4" w:space="0" w:color="auto"/>
              <w:bottom w:val="single" w:sz="4" w:space="0" w:color="auto"/>
              <w:right w:val="single" w:sz="4" w:space="0" w:color="auto"/>
            </w:tcBorders>
            <w:vAlign w:val="center"/>
            <w:hideMark/>
          </w:tcPr>
          <w:p w:rsidR="00ED1FEE" w:rsidRDefault="00ED1FEE" w:rsidP="00ED1FEE">
            <w:pPr>
              <w:jc w:val="center"/>
              <w:rPr>
                <w:rFonts w:ascii="Calibri" w:hAnsi="Calibri"/>
                <w:sz w:val="20"/>
                <w:szCs w:val="20"/>
              </w:rPr>
            </w:pPr>
            <w:r>
              <w:rPr>
                <w:rFonts w:ascii="Calibri" w:hAnsi="Calibri"/>
                <w:sz w:val="20"/>
                <w:szCs w:val="20"/>
              </w:rPr>
              <w:t>Ohrozené</w:t>
            </w:r>
          </w:p>
        </w:tc>
      </w:tr>
      <w:tr w:rsidR="00ED1FEE" w:rsidTr="00ED1FEE">
        <w:tc>
          <w:tcPr>
            <w:tcW w:w="3119" w:type="dxa"/>
            <w:tcBorders>
              <w:top w:val="single" w:sz="4" w:space="0" w:color="auto"/>
              <w:left w:val="single" w:sz="4" w:space="0" w:color="auto"/>
              <w:bottom w:val="single" w:sz="4" w:space="0" w:color="auto"/>
              <w:right w:val="single" w:sz="4" w:space="0" w:color="auto"/>
            </w:tcBorders>
            <w:vAlign w:val="center"/>
            <w:hideMark/>
          </w:tcPr>
          <w:p w:rsidR="00ED1FEE" w:rsidRDefault="00ED1FEE" w:rsidP="00ED1FEE">
            <w:pPr>
              <w:rPr>
                <w:rFonts w:ascii="Calibri" w:hAnsi="Calibri"/>
                <w:sz w:val="20"/>
                <w:szCs w:val="20"/>
              </w:rPr>
            </w:pPr>
            <w:r>
              <w:rPr>
                <w:rFonts w:ascii="Calibri" w:hAnsi="Calibri"/>
                <w:sz w:val="20"/>
                <w:szCs w:val="20"/>
              </w:rPr>
              <w:t>Kone/Slovenský športový pony</w:t>
            </w:r>
          </w:p>
        </w:tc>
        <w:tc>
          <w:tcPr>
            <w:tcW w:w="1417" w:type="dxa"/>
            <w:tcBorders>
              <w:top w:val="single" w:sz="4" w:space="0" w:color="auto"/>
              <w:left w:val="single" w:sz="4" w:space="0" w:color="auto"/>
              <w:bottom w:val="single" w:sz="4" w:space="0" w:color="auto"/>
              <w:right w:val="single" w:sz="4" w:space="0" w:color="auto"/>
            </w:tcBorders>
            <w:vAlign w:val="center"/>
            <w:hideMark/>
          </w:tcPr>
          <w:p w:rsidR="00ED1FEE" w:rsidRDefault="00ED1FEE" w:rsidP="00ED1FEE">
            <w:pPr>
              <w:ind w:right="600"/>
              <w:jc w:val="right"/>
              <w:rPr>
                <w:rFonts w:ascii="Calibri" w:hAnsi="Calibri"/>
                <w:sz w:val="20"/>
                <w:szCs w:val="20"/>
              </w:rPr>
            </w:pPr>
            <w:r>
              <w:rPr>
                <w:rFonts w:ascii="Calibri" w:hAnsi="Calibri"/>
                <w:sz w:val="20"/>
                <w:szCs w:val="20"/>
              </w:rPr>
              <w:t>92</w:t>
            </w:r>
          </w:p>
        </w:tc>
        <w:tc>
          <w:tcPr>
            <w:tcW w:w="3261" w:type="dxa"/>
            <w:tcBorders>
              <w:top w:val="single" w:sz="4" w:space="0" w:color="auto"/>
              <w:left w:val="single" w:sz="4" w:space="0" w:color="auto"/>
              <w:bottom w:val="single" w:sz="4" w:space="0" w:color="auto"/>
              <w:right w:val="single" w:sz="4" w:space="0" w:color="auto"/>
            </w:tcBorders>
            <w:vAlign w:val="center"/>
            <w:hideMark/>
          </w:tcPr>
          <w:p w:rsidR="00ED1FEE" w:rsidRDefault="00ED1FEE" w:rsidP="00ED1FEE">
            <w:pPr>
              <w:jc w:val="right"/>
              <w:rPr>
                <w:rFonts w:ascii="Calibri" w:hAnsi="Calibri"/>
                <w:sz w:val="20"/>
                <w:szCs w:val="20"/>
              </w:rPr>
            </w:pPr>
            <w:r>
              <w:rPr>
                <w:rFonts w:ascii="Calibri" w:hAnsi="Calibri"/>
                <w:sz w:val="20"/>
                <w:szCs w:val="20"/>
              </w:rPr>
              <w:t>--</w:t>
            </w:r>
          </w:p>
        </w:tc>
        <w:tc>
          <w:tcPr>
            <w:tcW w:w="1842" w:type="dxa"/>
            <w:tcBorders>
              <w:top w:val="single" w:sz="4" w:space="0" w:color="auto"/>
              <w:left w:val="single" w:sz="4" w:space="0" w:color="auto"/>
              <w:bottom w:val="single" w:sz="4" w:space="0" w:color="auto"/>
              <w:right w:val="single" w:sz="4" w:space="0" w:color="auto"/>
            </w:tcBorders>
            <w:vAlign w:val="center"/>
            <w:hideMark/>
          </w:tcPr>
          <w:p w:rsidR="00ED1FEE" w:rsidRDefault="00ED1FEE" w:rsidP="00ED1FEE">
            <w:pPr>
              <w:jc w:val="center"/>
              <w:rPr>
                <w:rFonts w:ascii="Calibri" w:hAnsi="Calibri"/>
                <w:sz w:val="20"/>
                <w:szCs w:val="20"/>
              </w:rPr>
            </w:pPr>
            <w:r>
              <w:rPr>
                <w:rFonts w:ascii="Calibri" w:hAnsi="Calibri"/>
                <w:sz w:val="20"/>
                <w:szCs w:val="20"/>
              </w:rPr>
              <w:t>Kriticky ohrozené</w:t>
            </w:r>
          </w:p>
        </w:tc>
      </w:tr>
    </w:tbl>
    <w:p w:rsidR="00095683" w:rsidRDefault="00095683" w:rsidP="00ED1FEE">
      <w:pPr>
        <w:rPr>
          <w:rFonts w:ascii="Calibri" w:hAnsi="Calibri"/>
          <w:szCs w:val="22"/>
        </w:rPr>
      </w:pPr>
    </w:p>
    <w:p w:rsidR="00ED1FEE" w:rsidRDefault="00ED1FEE" w:rsidP="00ED1FEE">
      <w:pPr>
        <w:rPr>
          <w:rFonts w:ascii="Calibri" w:hAnsi="Calibri"/>
          <w:szCs w:val="22"/>
        </w:rPr>
      </w:pPr>
      <w:r>
        <w:rPr>
          <w:rFonts w:ascii="Calibri" w:hAnsi="Calibri"/>
          <w:szCs w:val="22"/>
        </w:rPr>
        <w:t xml:space="preserve">Príslušná odborná autorita každoročne monitoruje populácie hospodárskych zvierat na Slovensku. Údaje získané prostredníctvom spolupráce s chovateľskými zväzmi a združeniami a Plemenárskymi službami, š.p. sú použité pri aktualizácii národnej databázy živočíšnych genetických zdrojov EFABIS, ktorá je prepojená na európsku a celosvetovú databázu živočíšnych genetických zdrojov (DAD-IS). </w:t>
      </w:r>
    </w:p>
    <w:p w:rsidR="00ED1FEE" w:rsidRDefault="00ED1FEE" w:rsidP="00ED1FEE">
      <w:pPr>
        <w:rPr>
          <w:rFonts w:ascii="Calibri" w:eastAsia="Calibri" w:hAnsi="Calibri" w:cs="Calibri"/>
          <w:bCs/>
          <w:szCs w:val="22"/>
          <w:lang w:eastAsia="en-US"/>
        </w:rPr>
      </w:pPr>
      <w:r>
        <w:rPr>
          <w:rFonts w:ascii="Calibri" w:eastAsia="Calibri" w:hAnsi="Calibri" w:cs="Calibri"/>
          <w:szCs w:val="22"/>
          <w:lang w:eastAsia="en-US"/>
        </w:rPr>
        <w:t xml:space="preserve">Rozsah podpory podopatrenia je </w:t>
      </w:r>
      <w:r>
        <w:rPr>
          <w:rFonts w:ascii="Calibri" w:eastAsia="Calibri" w:hAnsi="Calibri" w:cs="Calibri"/>
          <w:bCs/>
          <w:szCs w:val="22"/>
          <w:lang w:eastAsia="en-US"/>
        </w:rPr>
        <w:t>3 600 DJ ohrozených druhov zvierat.  Pre stanovenie dobytčej jednotky pre jednotlivé kategórie zvierat sa vzťahuje prepočítavací koeficient podľa prílohy II k článku 9 odseku 2 vykonávacieho nariadenia Komisie.</w:t>
      </w:r>
    </w:p>
    <w:p w:rsidR="00ED1FEE" w:rsidRDefault="00ED1FEE" w:rsidP="00ED1FEE">
      <w:pPr>
        <w:rPr>
          <w:rFonts w:ascii="Calibri" w:eastAsia="Calibri" w:hAnsi="Calibri" w:cs="Calibri"/>
          <w:szCs w:val="22"/>
          <w:lang w:eastAsia="en-US"/>
        </w:rPr>
      </w:pPr>
    </w:p>
    <w:p w:rsidR="00ED1FEE" w:rsidRDefault="00ED1FEE" w:rsidP="00ED1FEE">
      <w:pPr>
        <w:rPr>
          <w:rFonts w:ascii="Calibri" w:eastAsia="Calibri" w:hAnsi="Calibri" w:cs="Calibri"/>
          <w:szCs w:val="22"/>
          <w:u w:val="single"/>
          <w:lang w:eastAsia="en-US"/>
        </w:rPr>
      </w:pPr>
      <w:r>
        <w:rPr>
          <w:rFonts w:ascii="Calibri" w:eastAsia="Calibri" w:hAnsi="Calibri" w:cs="Calibri"/>
          <w:szCs w:val="22"/>
          <w:u w:val="single"/>
          <w:lang w:eastAsia="en-US"/>
        </w:rPr>
        <w:t>Podporené druhy zvierat:</w:t>
      </w:r>
    </w:p>
    <w:tbl>
      <w:tblPr>
        <w:tblW w:w="0" w:type="auto"/>
        <w:tblLook w:val="04A0" w:firstRow="1" w:lastRow="0" w:firstColumn="1" w:lastColumn="0" w:noHBand="0" w:noVBand="1"/>
      </w:tblPr>
      <w:tblGrid>
        <w:gridCol w:w="1809"/>
        <w:gridCol w:w="7403"/>
      </w:tblGrid>
      <w:tr w:rsidR="00ED1FEE" w:rsidTr="00ED1FEE">
        <w:tc>
          <w:tcPr>
            <w:tcW w:w="1809" w:type="dxa"/>
            <w:hideMark/>
          </w:tcPr>
          <w:p w:rsidR="00ED1FEE" w:rsidRDefault="00ED1FEE" w:rsidP="00ED1FEE">
            <w:pPr>
              <w:rPr>
                <w:rFonts w:ascii="Calibri" w:eastAsia="Calibri" w:hAnsi="Calibri" w:cs="Calibri"/>
                <w:lang w:eastAsia="en-US"/>
              </w:rPr>
            </w:pPr>
            <w:r>
              <w:rPr>
                <w:rFonts w:ascii="Calibri" w:eastAsia="Calibri" w:hAnsi="Calibri" w:cs="Calibri"/>
                <w:szCs w:val="22"/>
                <w:lang w:eastAsia="en-US"/>
              </w:rPr>
              <w:t>Hovädzí dobytok</w:t>
            </w:r>
          </w:p>
        </w:tc>
        <w:tc>
          <w:tcPr>
            <w:tcW w:w="7403" w:type="dxa"/>
            <w:hideMark/>
          </w:tcPr>
          <w:p w:rsidR="00ED1FEE" w:rsidRDefault="00ED1FEE" w:rsidP="00ED1FEE">
            <w:pPr>
              <w:rPr>
                <w:rFonts w:ascii="Calibri" w:eastAsia="Calibri" w:hAnsi="Calibri" w:cs="Calibri"/>
                <w:lang w:eastAsia="en-US"/>
              </w:rPr>
            </w:pPr>
            <w:r>
              <w:rPr>
                <w:rFonts w:ascii="Calibri" w:eastAsia="Calibri" w:hAnsi="Calibri" w:cs="Calibri"/>
                <w:szCs w:val="22"/>
                <w:lang w:eastAsia="en-US"/>
              </w:rPr>
              <w:t>- slovenský pinzgauský dobytok</w:t>
            </w:r>
          </w:p>
        </w:tc>
      </w:tr>
      <w:tr w:rsidR="00ED1FEE" w:rsidTr="00ED1FEE">
        <w:tc>
          <w:tcPr>
            <w:tcW w:w="1809" w:type="dxa"/>
            <w:hideMark/>
          </w:tcPr>
          <w:p w:rsidR="00ED1FEE" w:rsidRDefault="00ED1FEE" w:rsidP="00ED1FEE">
            <w:pPr>
              <w:rPr>
                <w:rFonts w:ascii="Calibri" w:eastAsia="Calibri" w:hAnsi="Calibri" w:cs="Calibri"/>
                <w:lang w:eastAsia="en-US"/>
              </w:rPr>
            </w:pPr>
            <w:r>
              <w:rPr>
                <w:rFonts w:ascii="Calibri" w:eastAsia="Calibri" w:hAnsi="Calibri" w:cs="Calibri"/>
                <w:szCs w:val="22"/>
                <w:lang w:eastAsia="en-US"/>
              </w:rPr>
              <w:t>Ovce</w:t>
            </w:r>
          </w:p>
        </w:tc>
        <w:tc>
          <w:tcPr>
            <w:tcW w:w="7403" w:type="dxa"/>
            <w:hideMark/>
          </w:tcPr>
          <w:p w:rsidR="00ED1FEE" w:rsidRDefault="00ED1FEE" w:rsidP="00ED1FEE">
            <w:pPr>
              <w:rPr>
                <w:rFonts w:ascii="Calibri" w:eastAsia="Calibri" w:hAnsi="Calibri" w:cs="Calibri"/>
                <w:lang w:eastAsia="en-US"/>
              </w:rPr>
            </w:pPr>
            <w:r>
              <w:rPr>
                <w:rFonts w:ascii="Calibri" w:eastAsia="Calibri" w:hAnsi="Calibri" w:cs="Calibri"/>
                <w:szCs w:val="22"/>
                <w:lang w:eastAsia="en-US"/>
              </w:rPr>
              <w:t xml:space="preserve">- pôvodná valaška, Askánske merino  </w:t>
            </w:r>
          </w:p>
        </w:tc>
      </w:tr>
      <w:tr w:rsidR="00ED1FEE" w:rsidTr="00ED1FEE">
        <w:tc>
          <w:tcPr>
            <w:tcW w:w="1809" w:type="dxa"/>
            <w:hideMark/>
          </w:tcPr>
          <w:p w:rsidR="00ED1FEE" w:rsidRDefault="00ED1FEE" w:rsidP="00ED1FEE">
            <w:pPr>
              <w:rPr>
                <w:rFonts w:ascii="Calibri" w:eastAsia="Calibri" w:hAnsi="Calibri" w:cs="Calibri"/>
                <w:lang w:eastAsia="en-US"/>
              </w:rPr>
            </w:pPr>
            <w:r>
              <w:rPr>
                <w:rFonts w:ascii="Calibri" w:eastAsia="Calibri" w:hAnsi="Calibri" w:cs="Calibri"/>
                <w:szCs w:val="22"/>
                <w:lang w:eastAsia="en-US"/>
              </w:rPr>
              <w:t>Kozy</w:t>
            </w:r>
            <w:r>
              <w:rPr>
                <w:rFonts w:ascii="Calibri" w:eastAsia="Calibri" w:hAnsi="Calibri" w:cs="Calibri"/>
                <w:szCs w:val="22"/>
                <w:lang w:eastAsia="en-US"/>
              </w:rPr>
              <w:tab/>
            </w:r>
          </w:p>
        </w:tc>
        <w:tc>
          <w:tcPr>
            <w:tcW w:w="7403" w:type="dxa"/>
            <w:hideMark/>
          </w:tcPr>
          <w:p w:rsidR="00ED1FEE" w:rsidRDefault="00ED1FEE" w:rsidP="00ED1FEE">
            <w:pPr>
              <w:rPr>
                <w:rFonts w:ascii="Calibri" w:eastAsia="Calibri" w:hAnsi="Calibri" w:cs="Calibri"/>
                <w:lang w:eastAsia="en-US"/>
              </w:rPr>
            </w:pPr>
            <w:r>
              <w:rPr>
                <w:rFonts w:ascii="Calibri" w:eastAsia="Calibri" w:hAnsi="Calibri" w:cs="Calibri"/>
                <w:szCs w:val="22"/>
                <w:lang w:eastAsia="en-US"/>
              </w:rPr>
              <w:t>- biela krátkosrstá koza, hnedá krátkosrstá koza</w:t>
            </w:r>
          </w:p>
        </w:tc>
      </w:tr>
      <w:tr w:rsidR="00ED1FEE" w:rsidTr="00ED1FEE">
        <w:tc>
          <w:tcPr>
            <w:tcW w:w="1809" w:type="dxa"/>
            <w:hideMark/>
          </w:tcPr>
          <w:p w:rsidR="00ED1FEE" w:rsidRDefault="00ED1FEE" w:rsidP="00ED1FEE">
            <w:pPr>
              <w:rPr>
                <w:rFonts w:ascii="Calibri" w:eastAsia="Calibri" w:hAnsi="Calibri" w:cs="Calibri"/>
                <w:lang w:eastAsia="en-US"/>
              </w:rPr>
            </w:pPr>
            <w:r>
              <w:rPr>
                <w:rFonts w:ascii="Calibri" w:eastAsia="Calibri" w:hAnsi="Calibri" w:cs="Calibri"/>
                <w:szCs w:val="22"/>
                <w:lang w:eastAsia="en-US"/>
              </w:rPr>
              <w:t>Kone</w:t>
            </w:r>
          </w:p>
        </w:tc>
        <w:tc>
          <w:tcPr>
            <w:tcW w:w="7403" w:type="dxa"/>
            <w:hideMark/>
          </w:tcPr>
          <w:p w:rsidR="00ED1FEE" w:rsidRDefault="00ED1FEE" w:rsidP="00ED1FEE">
            <w:pPr>
              <w:ind w:left="176" w:hanging="176"/>
              <w:rPr>
                <w:rFonts w:ascii="Calibri" w:eastAsia="Calibri" w:hAnsi="Calibri" w:cs="Calibri"/>
                <w:lang w:eastAsia="en-US"/>
              </w:rPr>
            </w:pPr>
            <w:r>
              <w:rPr>
                <w:rFonts w:ascii="Calibri" w:eastAsia="Calibri" w:hAnsi="Calibri" w:cs="Calibri"/>
                <w:szCs w:val="22"/>
                <w:lang w:eastAsia="en-US"/>
              </w:rPr>
              <w:t>- slovenský teplokrvník, Hucul, Furioso, Nonius, slovenský športový pony,     Lipican, Shagya-arab, Norik muránskeho typu</w:t>
            </w:r>
          </w:p>
        </w:tc>
      </w:tr>
    </w:tbl>
    <w:p w:rsidR="00ED1FEE" w:rsidRDefault="00ED1FEE" w:rsidP="00ED1FEE">
      <w:pPr>
        <w:rPr>
          <w:rFonts w:ascii="Calibri" w:eastAsia="Calibri" w:hAnsi="Calibri" w:cs="Calibri"/>
          <w:szCs w:val="22"/>
          <w:lang w:eastAsia="en-US"/>
        </w:rPr>
      </w:pPr>
    </w:p>
    <w:p w:rsidR="00ED1FEE" w:rsidRDefault="00ED1FEE" w:rsidP="00ED1FEE">
      <w:pPr>
        <w:rPr>
          <w:rFonts w:ascii="Calibri" w:eastAsia="Calibri" w:hAnsi="Calibri"/>
          <w:noProof/>
          <w:szCs w:val="22"/>
          <w:u w:val="single"/>
          <w:lang w:eastAsia="en-GB"/>
        </w:rPr>
      </w:pPr>
      <w:r>
        <w:rPr>
          <w:rFonts w:ascii="Calibri" w:eastAsia="Calibri" w:hAnsi="Calibri"/>
          <w:noProof/>
          <w:szCs w:val="22"/>
          <w:u w:val="single"/>
          <w:lang w:eastAsia="en-GB"/>
        </w:rPr>
        <w:t>Typ podpory:</w:t>
      </w:r>
    </w:p>
    <w:p w:rsidR="00ED1FEE" w:rsidRDefault="00ED1FEE" w:rsidP="00ED1FEE">
      <w:pPr>
        <w:rPr>
          <w:rFonts w:ascii="Calibri" w:eastAsia="Calibri" w:hAnsi="Calibri"/>
          <w:noProof/>
          <w:szCs w:val="22"/>
          <w:lang w:eastAsia="en-GB"/>
        </w:rPr>
      </w:pPr>
      <w:r>
        <w:rPr>
          <w:rFonts w:ascii="Calibri" w:eastAsia="Calibri" w:hAnsi="Calibri"/>
          <w:noProof/>
          <w:szCs w:val="22"/>
          <w:lang w:eastAsia="en-GB"/>
        </w:rPr>
        <w:t>Nezisková ročná platba na 1 DJ.</w:t>
      </w:r>
    </w:p>
    <w:p w:rsidR="00ED1FEE" w:rsidRDefault="00ED1FEE" w:rsidP="00ED1FEE">
      <w:pPr>
        <w:rPr>
          <w:rFonts w:ascii="Calibri" w:hAnsi="Calibri"/>
          <w:szCs w:val="22"/>
          <w:u w:val="single"/>
          <w:lang w:eastAsia="en-GB"/>
        </w:rPr>
      </w:pPr>
    </w:p>
    <w:p w:rsidR="00ED1FEE" w:rsidRDefault="00ED1FEE" w:rsidP="00ED1FEE">
      <w:pPr>
        <w:rPr>
          <w:rFonts w:ascii="Calibri" w:eastAsia="Calibri" w:hAnsi="Calibri" w:cs="Calibri"/>
          <w:bCs/>
          <w:szCs w:val="22"/>
          <w:u w:val="single"/>
          <w:lang w:eastAsia="en-US"/>
        </w:rPr>
      </w:pPr>
      <w:r>
        <w:rPr>
          <w:rFonts w:ascii="Calibri" w:eastAsia="Calibri" w:hAnsi="Calibri" w:cs="Calibri"/>
          <w:bCs/>
          <w:szCs w:val="22"/>
          <w:u w:val="single"/>
          <w:lang w:eastAsia="en-US"/>
        </w:rPr>
        <w:t>Súvislosť s inou legislatívou:</w:t>
      </w:r>
    </w:p>
    <w:p w:rsidR="00ED1FEE" w:rsidRDefault="00ED1FEE" w:rsidP="00955DA4">
      <w:pPr>
        <w:numPr>
          <w:ilvl w:val="0"/>
          <w:numId w:val="201"/>
        </w:numPr>
        <w:rPr>
          <w:rFonts w:ascii="Calibri" w:hAnsi="Calibri" w:cs="EUAlbertina"/>
          <w:bCs/>
          <w:szCs w:val="22"/>
        </w:rPr>
      </w:pPr>
      <w:r>
        <w:rPr>
          <w:rFonts w:ascii="Calibri" w:hAnsi="Calibri"/>
          <w:szCs w:val="22"/>
        </w:rPr>
        <w:t xml:space="preserve">nariadenie (EÚ) č. 1306/2013 </w:t>
      </w:r>
      <w:r>
        <w:rPr>
          <w:rFonts w:ascii="Calibri" w:hAnsi="Calibri" w:cs="EUAlbertina"/>
          <w:bCs/>
          <w:szCs w:val="22"/>
        </w:rPr>
        <w:t>o financovaní, riadení a monitorovaní spoločnej poľnohospodárskej politiky;</w:t>
      </w:r>
    </w:p>
    <w:p w:rsidR="00ED1FEE" w:rsidRDefault="00ED1FEE" w:rsidP="00955DA4">
      <w:pPr>
        <w:numPr>
          <w:ilvl w:val="0"/>
          <w:numId w:val="201"/>
        </w:numPr>
        <w:rPr>
          <w:rFonts w:ascii="Calibri" w:hAnsi="Calibri" w:cs="EUAlbertina"/>
          <w:bCs/>
          <w:szCs w:val="22"/>
        </w:rPr>
      </w:pPr>
      <w:r>
        <w:rPr>
          <w:rFonts w:ascii="Calibri" w:hAnsi="Calibri" w:cs="EUAlbertina"/>
          <w:bCs/>
          <w:szCs w:val="22"/>
        </w:rPr>
        <w:t>nariadenie (EÚ) 1307/2013;</w:t>
      </w:r>
    </w:p>
    <w:p w:rsidR="00ED1FEE" w:rsidRDefault="00ED1FEE" w:rsidP="00955DA4">
      <w:pPr>
        <w:numPr>
          <w:ilvl w:val="0"/>
          <w:numId w:val="201"/>
        </w:numPr>
        <w:jc w:val="left"/>
        <w:rPr>
          <w:rFonts w:ascii="Calibri" w:hAnsi="Calibri" w:cs="EUAlbertina"/>
          <w:bCs/>
          <w:szCs w:val="22"/>
        </w:rPr>
      </w:pPr>
      <w:r>
        <w:rPr>
          <w:rFonts w:ascii="Calibri" w:hAnsi="Calibri" w:cs="EUAlbertina"/>
          <w:bCs/>
          <w:szCs w:val="22"/>
        </w:rPr>
        <w:t>zákon č. 39/2007 Z.z. o veterinárnej starostlivosti;</w:t>
      </w:r>
    </w:p>
    <w:p w:rsidR="00ED1FEE" w:rsidRDefault="00ED1FEE" w:rsidP="00955DA4">
      <w:pPr>
        <w:numPr>
          <w:ilvl w:val="0"/>
          <w:numId w:val="201"/>
        </w:numPr>
        <w:jc w:val="left"/>
        <w:rPr>
          <w:rFonts w:ascii="Calibri" w:hAnsi="Calibri" w:cs="EUAlbertina"/>
          <w:bCs/>
          <w:szCs w:val="22"/>
        </w:rPr>
      </w:pPr>
      <w:r>
        <w:rPr>
          <w:rFonts w:ascii="Calibri" w:hAnsi="Calibri" w:cs="EUAlbertina"/>
          <w:bCs/>
          <w:szCs w:val="22"/>
        </w:rPr>
        <w:t>zákon č.  194/1998 Z. z. o šľachtení a plemenitbe hospodárskych zvierat;</w:t>
      </w:r>
    </w:p>
    <w:p w:rsidR="00ED1FEE" w:rsidRDefault="00ED1FEE" w:rsidP="00955DA4">
      <w:pPr>
        <w:numPr>
          <w:ilvl w:val="0"/>
          <w:numId w:val="201"/>
        </w:numPr>
        <w:rPr>
          <w:rFonts w:ascii="Calibri" w:hAnsi="Calibri" w:cs="EUAlbertina"/>
          <w:bCs/>
          <w:szCs w:val="22"/>
        </w:rPr>
      </w:pPr>
      <w:r>
        <w:rPr>
          <w:rFonts w:ascii="Calibri" w:hAnsi="Calibri" w:cs="EUAlbertina"/>
          <w:bCs/>
          <w:szCs w:val="22"/>
        </w:rPr>
        <w:t>vyhláška Ministerstva pôdohospodárstva SR č. 18/2001 Z.z. o vykonávaní kontroly úžitkovosti, kontroly dedičnosti a testovania úžitkových vlastností, kontroly zdravia, kontroly dedičnosti a testovania zdravia, hodnotenia zovňajška hospodárskych zvierat, o založení a vedení plemennej knihy, založení a vedení plemenného registra, vedení predpísanej evidencie a o overovaní pôvodu hospodárskych zvierat.</w:t>
      </w:r>
    </w:p>
    <w:p w:rsidR="00ED1FEE" w:rsidRDefault="00ED1FEE" w:rsidP="00ED1FEE">
      <w:pPr>
        <w:ind w:left="720"/>
        <w:contextualSpacing/>
        <w:rPr>
          <w:rFonts w:ascii="Calibri" w:hAnsi="Calibri" w:cs="EUAlbertina"/>
          <w:bCs/>
          <w:szCs w:val="22"/>
        </w:rPr>
      </w:pPr>
    </w:p>
    <w:p w:rsidR="00ED1FEE" w:rsidRDefault="00ED1FEE" w:rsidP="00ED1FEE">
      <w:pPr>
        <w:rPr>
          <w:rFonts w:ascii="Calibri" w:eastAsia="Calibri" w:hAnsi="Calibri" w:cs="Calibri"/>
          <w:bCs/>
          <w:szCs w:val="22"/>
          <w:lang w:eastAsia="en-US"/>
        </w:rPr>
      </w:pPr>
      <w:r>
        <w:rPr>
          <w:rFonts w:ascii="Calibri" w:eastAsia="Calibri" w:hAnsi="Calibri" w:cs="Calibri"/>
          <w:bCs/>
          <w:szCs w:val="22"/>
          <w:u w:val="single"/>
          <w:lang w:eastAsia="en-US"/>
        </w:rPr>
        <w:t>Prijímateľ podpory:</w:t>
      </w:r>
    </w:p>
    <w:p w:rsidR="00ED1FEE" w:rsidRDefault="00ED1FEE" w:rsidP="00ED1FEE">
      <w:pPr>
        <w:rPr>
          <w:rFonts w:ascii="Calibri" w:eastAsia="Calibri" w:hAnsi="Calibri" w:cs="Calibri"/>
          <w:bCs/>
          <w:szCs w:val="22"/>
          <w:lang w:eastAsia="en-US"/>
        </w:rPr>
      </w:pPr>
      <w:r>
        <w:rPr>
          <w:rFonts w:ascii="Calibri" w:eastAsia="Calibri" w:hAnsi="Calibri"/>
          <w:noProof/>
          <w:szCs w:val="22"/>
          <w:lang w:eastAsia="en-US"/>
        </w:rPr>
        <w:t>Fyzické a právnické osoby podnikajúce v poľnohospodárskej prvovýrobe spĺňajúce definíciu aktívneho farmára podľa čl. 9 nariadenia (EÚ) č. 1307/2013.</w:t>
      </w:r>
    </w:p>
    <w:p w:rsidR="00ED1FEE" w:rsidRDefault="00ED1FEE" w:rsidP="00ED1FEE">
      <w:pPr>
        <w:rPr>
          <w:rFonts w:ascii="Calibri" w:eastAsia="Calibri" w:hAnsi="Calibri" w:cs="Calibri"/>
          <w:bCs/>
          <w:szCs w:val="22"/>
          <w:lang w:eastAsia="en-US"/>
        </w:rPr>
      </w:pPr>
    </w:p>
    <w:p w:rsidR="00ED1FEE" w:rsidRDefault="00ED1FEE" w:rsidP="00ED1FEE">
      <w:pPr>
        <w:rPr>
          <w:rFonts w:ascii="Calibri" w:eastAsia="Calibri" w:hAnsi="Calibri" w:cs="Calibri"/>
          <w:bCs/>
          <w:szCs w:val="22"/>
          <w:u w:val="single"/>
          <w:lang w:eastAsia="en-US"/>
        </w:rPr>
      </w:pPr>
      <w:r>
        <w:rPr>
          <w:rFonts w:ascii="Calibri" w:eastAsia="Calibri" w:hAnsi="Calibri" w:cs="Calibri"/>
          <w:bCs/>
          <w:szCs w:val="22"/>
          <w:u w:val="single"/>
          <w:lang w:eastAsia="en-US"/>
        </w:rPr>
        <w:t>Oprávnené náklady:</w:t>
      </w:r>
    </w:p>
    <w:p w:rsidR="00ED1FEE" w:rsidRDefault="00ED1FEE" w:rsidP="00ED1FEE">
      <w:pPr>
        <w:rPr>
          <w:rFonts w:ascii="Calibri" w:eastAsia="Calibri" w:hAnsi="Calibri" w:cs="Calibri"/>
          <w:bCs/>
          <w:szCs w:val="22"/>
          <w:u w:val="single"/>
          <w:lang w:eastAsia="en-US"/>
        </w:rPr>
      </w:pPr>
      <w:r>
        <w:rPr>
          <w:rFonts w:ascii="Calibri" w:eastAsia="Calibri" w:hAnsi="Calibri" w:cs="Calibri"/>
          <w:bCs/>
          <w:szCs w:val="22"/>
          <w:lang w:eastAsia="en-US"/>
        </w:rPr>
        <w:t>Náklady spojené zo znížených výnosov z produkcie zvierat podľa zamerania chovu, zníženej dojnosti, zníženej plodnosti, špecifickosť ustajnenia, krmiva, veterinárna starostlivosť alebo reprodukcia.</w:t>
      </w:r>
    </w:p>
    <w:p w:rsidR="00ED1FEE" w:rsidRDefault="00ED1FEE" w:rsidP="00ED1FEE">
      <w:pPr>
        <w:rPr>
          <w:rFonts w:ascii="Calibri" w:eastAsia="Calibri" w:hAnsi="Calibri" w:cs="Calibri"/>
          <w:bCs/>
          <w:szCs w:val="22"/>
          <w:u w:val="single"/>
          <w:lang w:eastAsia="en-US"/>
        </w:rPr>
      </w:pPr>
    </w:p>
    <w:p w:rsidR="00ED1FEE" w:rsidRDefault="00ED1FEE" w:rsidP="00ED1FEE">
      <w:pPr>
        <w:rPr>
          <w:rFonts w:ascii="Calibri" w:eastAsia="Calibri" w:hAnsi="Calibri" w:cs="Calibri"/>
          <w:bCs/>
          <w:szCs w:val="22"/>
          <w:u w:val="single"/>
          <w:lang w:eastAsia="en-US"/>
        </w:rPr>
      </w:pPr>
      <w:r>
        <w:rPr>
          <w:rFonts w:ascii="Calibri" w:eastAsia="Calibri" w:hAnsi="Calibri" w:cs="Calibri"/>
          <w:bCs/>
          <w:szCs w:val="22"/>
          <w:u w:val="single"/>
          <w:lang w:eastAsia="en-US"/>
        </w:rPr>
        <w:t>Podmienky oprávnenosti :</w:t>
      </w:r>
    </w:p>
    <w:p w:rsidR="00ED1FEE" w:rsidRDefault="00ED1FEE" w:rsidP="00CE203B">
      <w:pPr>
        <w:numPr>
          <w:ilvl w:val="0"/>
          <w:numId w:val="275"/>
        </w:numPr>
        <w:rPr>
          <w:rFonts w:ascii="Calibri" w:eastAsia="Calibri" w:hAnsi="Calibri" w:cs="Calibri"/>
          <w:bCs/>
          <w:szCs w:val="22"/>
          <w:lang w:eastAsia="en-US"/>
        </w:rPr>
      </w:pPr>
      <w:r>
        <w:rPr>
          <w:rFonts w:ascii="Calibri" w:eastAsia="Calibri" w:hAnsi="Calibri" w:cs="Calibri"/>
          <w:bCs/>
          <w:szCs w:val="22"/>
          <w:lang w:eastAsia="en-US"/>
        </w:rPr>
        <w:t>preukázať sa potvrdením od príslušnej chovateľskej organizácie o zápise zvieraťa do plemennej knihy alebo do plemenárskej evidencie v súlade s národnou legislatívou;</w:t>
      </w:r>
    </w:p>
    <w:p w:rsidR="00095683" w:rsidRDefault="00095683" w:rsidP="00ED1FEE">
      <w:pPr>
        <w:rPr>
          <w:rFonts w:ascii="Calibri" w:eastAsia="Calibri" w:hAnsi="Calibri" w:cs="Calibri"/>
          <w:bCs/>
          <w:szCs w:val="22"/>
          <w:u w:val="single"/>
          <w:lang w:eastAsia="en-US"/>
        </w:rPr>
      </w:pPr>
    </w:p>
    <w:p w:rsidR="00ED1FEE" w:rsidRPr="007F0D48" w:rsidRDefault="00ED1FEE" w:rsidP="00ED1FEE">
      <w:pPr>
        <w:rPr>
          <w:rFonts w:ascii="Calibri" w:eastAsia="Calibri" w:hAnsi="Calibri" w:cs="Calibri"/>
          <w:bCs/>
          <w:szCs w:val="22"/>
          <w:u w:val="single"/>
          <w:lang w:eastAsia="en-US"/>
        </w:rPr>
      </w:pPr>
      <w:r w:rsidRPr="007F0D48">
        <w:rPr>
          <w:rFonts w:ascii="Calibri" w:eastAsia="Calibri" w:hAnsi="Calibri" w:cs="Calibri"/>
          <w:bCs/>
          <w:szCs w:val="22"/>
          <w:u w:val="single"/>
          <w:lang w:eastAsia="en-US"/>
        </w:rPr>
        <w:t>Podmienky podpory:</w:t>
      </w:r>
    </w:p>
    <w:p w:rsidR="00ED1FEE" w:rsidRPr="007F0D48" w:rsidRDefault="00ED1FEE" w:rsidP="00CE203B">
      <w:pPr>
        <w:pStyle w:val="Odsekzoznamu"/>
        <w:numPr>
          <w:ilvl w:val="0"/>
          <w:numId w:val="275"/>
        </w:numPr>
        <w:rPr>
          <w:rFonts w:ascii="Calibri" w:eastAsia="Calibri" w:hAnsi="Calibri" w:cs="Calibri"/>
          <w:bCs/>
          <w:szCs w:val="22"/>
          <w:lang w:eastAsia="en-US"/>
        </w:rPr>
      </w:pPr>
      <w:r>
        <w:rPr>
          <w:rFonts w:ascii="Calibri" w:eastAsia="Calibri" w:hAnsi="Calibri" w:cs="Calibri"/>
          <w:bCs/>
          <w:szCs w:val="22"/>
          <w:lang w:eastAsia="en-US"/>
        </w:rPr>
        <w:t>udržať stav zvierat počas obdobia trvania záväzku (obmena a náhrada toho istého druhu je možná s povinnosťou oznámenia na PPA)</w:t>
      </w:r>
    </w:p>
    <w:p w:rsidR="00ED1FEE" w:rsidRDefault="00ED1FEE" w:rsidP="00CE203B">
      <w:pPr>
        <w:numPr>
          <w:ilvl w:val="0"/>
          <w:numId w:val="275"/>
        </w:numPr>
        <w:rPr>
          <w:rFonts w:ascii="Calibri" w:eastAsia="Calibri" w:hAnsi="Calibri" w:cs="Calibri"/>
          <w:bCs/>
          <w:szCs w:val="22"/>
          <w:lang w:eastAsia="en-US"/>
        </w:rPr>
      </w:pPr>
      <w:r>
        <w:rPr>
          <w:rFonts w:ascii="Calibri" w:eastAsia="Calibri" w:hAnsi="Calibri" w:cs="Calibri"/>
          <w:bCs/>
          <w:szCs w:val="22"/>
          <w:lang w:eastAsia="en-US"/>
        </w:rPr>
        <w:t>povinnosť absolvovať školiaci kurz k správne vykonávaným podmienkam opatrenia</w:t>
      </w:r>
    </w:p>
    <w:p w:rsidR="00ED1FEE" w:rsidRDefault="00ED1FEE" w:rsidP="00ED1FEE">
      <w:pPr>
        <w:rPr>
          <w:rFonts w:ascii="Calibri" w:eastAsia="Calibri" w:hAnsi="Calibri" w:cs="Calibri"/>
          <w:szCs w:val="22"/>
          <w:lang w:eastAsia="en-US"/>
        </w:rPr>
      </w:pPr>
    </w:p>
    <w:p w:rsidR="00ED1FEE" w:rsidRDefault="00ED1FEE" w:rsidP="00ED1FEE">
      <w:pPr>
        <w:rPr>
          <w:rFonts w:ascii="Calibri" w:eastAsia="Calibri" w:hAnsi="Calibri" w:cs="Calibri"/>
          <w:szCs w:val="22"/>
          <w:u w:val="single"/>
          <w:lang w:eastAsia="en-US"/>
        </w:rPr>
      </w:pPr>
      <w:r>
        <w:rPr>
          <w:rFonts w:ascii="Calibri" w:eastAsia="Calibri" w:hAnsi="Calibri" w:cs="Calibri"/>
          <w:szCs w:val="22"/>
          <w:u w:val="single"/>
          <w:lang w:eastAsia="en-US"/>
        </w:rPr>
        <w:t>Princípy nastavenia výberových kritérií:</w:t>
      </w:r>
    </w:p>
    <w:p w:rsidR="00ED1FEE" w:rsidRDefault="00ED1FEE" w:rsidP="00ED1FEE">
      <w:pPr>
        <w:rPr>
          <w:rFonts w:ascii="Calibri" w:hAnsi="Calibri" w:cs="Calibri"/>
          <w:szCs w:val="22"/>
          <w:lang w:eastAsia="en-US"/>
        </w:rPr>
      </w:pPr>
      <w:r>
        <w:rPr>
          <w:rFonts w:ascii="Calibri" w:hAnsi="Calibri" w:cs="Calibri"/>
          <w:szCs w:val="22"/>
          <w:lang w:eastAsia="en-US"/>
        </w:rPr>
        <w:t>Vzhľadom na zachovanie ohrozených druhov sa výberové kritéria neuplatňujú.</w:t>
      </w:r>
    </w:p>
    <w:p w:rsidR="00ED1FEE" w:rsidRDefault="00ED1FEE" w:rsidP="00ED1FEE">
      <w:pPr>
        <w:rPr>
          <w:rFonts w:ascii="Calibri" w:hAnsi="Calibri"/>
          <w:szCs w:val="22"/>
          <w:lang w:eastAsia="en-GB"/>
        </w:rPr>
      </w:pPr>
    </w:p>
    <w:p w:rsidR="00ED1FEE" w:rsidRDefault="00ED1FEE" w:rsidP="00ED1FEE">
      <w:pPr>
        <w:rPr>
          <w:rFonts w:ascii="Calibri" w:hAnsi="Calibri"/>
          <w:szCs w:val="22"/>
          <w:u w:val="single"/>
          <w:lang w:eastAsia="en-GB"/>
        </w:rPr>
      </w:pPr>
      <w:r>
        <w:rPr>
          <w:rFonts w:ascii="Calibri" w:hAnsi="Calibri"/>
          <w:szCs w:val="22"/>
          <w:u w:val="single"/>
          <w:lang w:eastAsia="en-GB"/>
        </w:rPr>
        <w:t>Výška a miera podpory:</w:t>
      </w:r>
    </w:p>
    <w:p w:rsidR="00ED1FEE" w:rsidRDefault="00ED1FEE" w:rsidP="00ED1FEE">
      <w:pPr>
        <w:rPr>
          <w:rFonts w:ascii="Calibri" w:eastAsia="Calibri" w:hAnsi="Calibri" w:cs="Calibri"/>
          <w:szCs w:val="22"/>
          <w:lang w:eastAsia="en-US"/>
        </w:rPr>
      </w:pPr>
      <w:r>
        <w:rPr>
          <w:rFonts w:ascii="Calibri" w:eastAsia="Calibri" w:hAnsi="Calibri" w:cs="Calibri"/>
          <w:szCs w:val="22"/>
          <w:lang w:eastAsia="en-US"/>
        </w:rPr>
        <w:t>Výška podpory:         200 €/DJ.</w:t>
      </w:r>
    </w:p>
    <w:p w:rsidR="009C42D1" w:rsidRDefault="009C42D1" w:rsidP="00ED1FEE">
      <w:pPr>
        <w:rPr>
          <w:rFonts w:ascii="Calibri" w:eastAsia="Calibri" w:hAnsi="Calibri"/>
          <w:szCs w:val="22"/>
          <w:lang w:eastAsia="cs-CZ"/>
        </w:rPr>
      </w:pPr>
    </w:p>
    <w:p w:rsidR="00ED1FEE" w:rsidRDefault="00ED1FEE" w:rsidP="00ED1FEE">
      <w:pPr>
        <w:rPr>
          <w:rFonts w:ascii="Calibri" w:eastAsia="Calibri" w:hAnsi="Calibri" w:cs="Calibri"/>
          <w:b/>
          <w:bCs/>
          <w:szCs w:val="22"/>
          <w:lang w:eastAsia="en-US"/>
        </w:rPr>
      </w:pPr>
      <w:r>
        <w:rPr>
          <w:rFonts w:ascii="Calibri" w:hAnsi="Calibri"/>
          <w:b/>
          <w:szCs w:val="22"/>
          <w:lang w:eastAsia="en-US"/>
        </w:rPr>
        <w:t xml:space="preserve">8.2.9.4. </w:t>
      </w:r>
      <w:r>
        <w:rPr>
          <w:rFonts w:ascii="Calibri" w:eastAsia="Calibri" w:hAnsi="Calibri" w:cs="Calibri"/>
          <w:b/>
          <w:bCs/>
          <w:szCs w:val="22"/>
          <w:lang w:eastAsia="en-US"/>
        </w:rPr>
        <w:t xml:space="preserve">Overiteľnosť a kontrolovateľnosť opatrenia </w:t>
      </w:r>
    </w:p>
    <w:p w:rsidR="00ED1FEE" w:rsidRDefault="00ED1FEE" w:rsidP="00ED1FEE">
      <w:pPr>
        <w:rPr>
          <w:rFonts w:ascii="Calibri" w:eastAsia="Calibri" w:hAnsi="Calibri"/>
          <w:szCs w:val="22"/>
          <w:u w:val="single"/>
          <w:lang w:eastAsia="en-US"/>
        </w:rPr>
      </w:pPr>
      <w:r>
        <w:rPr>
          <w:rFonts w:ascii="Calibri" w:eastAsia="Calibri" w:hAnsi="Calibri"/>
          <w:szCs w:val="22"/>
          <w:u w:val="single"/>
          <w:lang w:eastAsia="en-US"/>
        </w:rPr>
        <w:t>Riziká v implementácii opatrenia:</w:t>
      </w:r>
      <w:r>
        <w:rPr>
          <w:rFonts w:ascii="Calibri" w:eastAsia="Calibri" w:hAnsi="Calibri"/>
          <w:szCs w:val="22"/>
          <w:lang w:eastAsia="en-US"/>
        </w:rPr>
        <w:t xml:space="preserve"> </w:t>
      </w:r>
    </w:p>
    <w:p w:rsidR="00ED1FEE" w:rsidRDefault="00ED1FEE" w:rsidP="00ED1FEE">
      <w:pPr>
        <w:rPr>
          <w:rFonts w:ascii="Calibri" w:eastAsia="Calibri" w:hAnsi="Calibri"/>
          <w:szCs w:val="22"/>
          <w:lang w:eastAsia="en-US"/>
        </w:rPr>
      </w:pPr>
      <w:r>
        <w:rPr>
          <w:rFonts w:ascii="Calibri" w:eastAsia="Calibri" w:hAnsi="Calibri"/>
          <w:szCs w:val="22"/>
          <w:lang w:eastAsia="en-US"/>
        </w:rPr>
        <w:t>Vzhľadom na zameranie opatrenia,  stanovené podmienky je možné kon</w:t>
      </w:r>
      <w:r w:rsidR="009C42D1">
        <w:rPr>
          <w:rFonts w:ascii="Calibri" w:eastAsia="Calibri" w:hAnsi="Calibri"/>
          <w:szCs w:val="22"/>
          <w:lang w:eastAsia="en-US"/>
        </w:rPr>
        <w:t>tr</w:t>
      </w:r>
      <w:r>
        <w:rPr>
          <w:rFonts w:ascii="Calibri" w:eastAsia="Calibri" w:hAnsi="Calibri"/>
          <w:szCs w:val="22"/>
          <w:lang w:eastAsia="en-US"/>
        </w:rPr>
        <w:t>olovať  prevažne len, kontrolou na mieste čo zvyšuje riziko kontrolovateľnosti stanovených podmienok (miera výberu príjemcov na kontrolu)  Rovnako  riziká v implementácii podopatrení predstavujú podmienky v prípadoch vizuálnej kontroly (napríklad súvislý bylinný porast)alebo v prípade zníženia vstupov čo môže značne ovplyvniť mieru chybovosti. Riziková je tiež možná nad deklarácia výmer,</w:t>
      </w:r>
    </w:p>
    <w:p w:rsidR="00ED1FEE" w:rsidRDefault="00ED1FEE" w:rsidP="00ED1FEE">
      <w:pPr>
        <w:rPr>
          <w:rFonts w:ascii="Calibri" w:eastAsia="Calibri" w:hAnsi="Calibri"/>
          <w:szCs w:val="22"/>
          <w:lang w:eastAsia="en-US"/>
        </w:rPr>
      </w:pPr>
    </w:p>
    <w:p w:rsidR="00ED1FEE" w:rsidRDefault="00ED1FEE" w:rsidP="00ED1FEE">
      <w:pPr>
        <w:rPr>
          <w:rFonts w:ascii="Calibri" w:eastAsia="Calibri" w:hAnsi="Calibri"/>
          <w:szCs w:val="22"/>
          <w:u w:val="single"/>
          <w:lang w:eastAsia="en-US"/>
        </w:rPr>
      </w:pPr>
      <w:r>
        <w:rPr>
          <w:rFonts w:ascii="Calibri" w:eastAsia="Calibri" w:hAnsi="Calibri"/>
          <w:szCs w:val="22"/>
          <w:u w:val="single"/>
          <w:lang w:eastAsia="en-US"/>
        </w:rPr>
        <w:t>Opatrenia prijaté na zmiernenie rizika implementácie:</w:t>
      </w:r>
    </w:p>
    <w:p w:rsidR="00ED1FEE" w:rsidRDefault="00ED1FEE" w:rsidP="00ED1FEE">
      <w:pPr>
        <w:rPr>
          <w:rFonts w:ascii="Calibri" w:eastAsia="Calibri" w:hAnsi="Calibri"/>
          <w:szCs w:val="22"/>
          <w:lang w:eastAsia="en-US"/>
        </w:rPr>
      </w:pPr>
      <w:r>
        <w:rPr>
          <w:rFonts w:ascii="Calibri" w:eastAsia="Calibri" w:hAnsi="Calibri"/>
          <w:szCs w:val="22"/>
          <w:lang w:eastAsia="en-US"/>
        </w:rPr>
        <w:t>Dodatočne  v rámci vnútroštátneho právneho predpisu bude doplnený presný počet  aplikácii, alebo konkrétne  číslo vyjadrené v % alebo v  kg/ha.  Vypracovanie podrobných manuálov pre jednoznačne hodnotenie podmienok v teréne v prípa</w:t>
      </w:r>
      <w:r w:rsidR="00095683">
        <w:rPr>
          <w:rFonts w:ascii="Calibri" w:eastAsia="Calibri" w:hAnsi="Calibri"/>
          <w:szCs w:val="22"/>
          <w:lang w:eastAsia="en-US"/>
        </w:rPr>
        <w:t>de vizuálnej kontroly.</w:t>
      </w:r>
    </w:p>
    <w:p w:rsidR="00095683" w:rsidRDefault="00095683" w:rsidP="00ED1FEE">
      <w:pPr>
        <w:rPr>
          <w:rFonts w:ascii="Calibri" w:eastAsia="Calibri" w:hAnsi="Calibri"/>
          <w:szCs w:val="22"/>
          <w:lang w:eastAsia="en-US"/>
        </w:rPr>
      </w:pPr>
    </w:p>
    <w:p w:rsidR="00ED1FEE" w:rsidRDefault="00ED1FEE" w:rsidP="00ED1FEE">
      <w:pPr>
        <w:rPr>
          <w:rFonts w:ascii="Calibri" w:eastAsia="Calibri" w:hAnsi="Calibri"/>
          <w:szCs w:val="22"/>
          <w:u w:val="single"/>
          <w:lang w:eastAsia="en-US"/>
        </w:rPr>
      </w:pPr>
      <w:r>
        <w:rPr>
          <w:rFonts w:ascii="Calibri" w:eastAsia="Calibri" w:hAnsi="Calibri"/>
          <w:szCs w:val="22"/>
          <w:u w:val="single"/>
          <w:lang w:eastAsia="en-US"/>
        </w:rPr>
        <w:t>Celkové hodnotenie opatrenia:</w:t>
      </w:r>
    </w:p>
    <w:p w:rsidR="00ED1FEE" w:rsidRDefault="00ED1FEE" w:rsidP="00ED1FEE">
      <w:pPr>
        <w:rPr>
          <w:rFonts w:ascii="Calibri" w:eastAsia="Calibri" w:hAnsi="Calibri"/>
          <w:szCs w:val="22"/>
          <w:lang w:eastAsia="en-US"/>
        </w:rPr>
      </w:pPr>
      <w:r>
        <w:rPr>
          <w:rFonts w:ascii="Calibri" w:eastAsia="Calibri" w:hAnsi="Calibri"/>
          <w:szCs w:val="22"/>
          <w:lang w:eastAsia="en-US"/>
        </w:rPr>
        <w:t>Bude vyhodnotené po vypracovaní zhodnotenia vykonateľnosti a kontrolovateľnosti v praxi.</w:t>
      </w:r>
    </w:p>
    <w:p w:rsidR="00ED1FEE" w:rsidRDefault="00ED1FEE" w:rsidP="00ED1FEE">
      <w:pPr>
        <w:rPr>
          <w:rFonts w:ascii="Calibri" w:eastAsia="Calibri" w:hAnsi="Calibri"/>
          <w:szCs w:val="22"/>
          <w:lang w:eastAsia="en-US"/>
        </w:rPr>
      </w:pPr>
    </w:p>
    <w:p w:rsidR="00ED1FEE" w:rsidRDefault="00ED1FEE" w:rsidP="00ED1FEE">
      <w:pPr>
        <w:rPr>
          <w:rFonts w:ascii="Calibri" w:eastAsia="Calibri" w:hAnsi="Calibri"/>
          <w:b/>
          <w:szCs w:val="22"/>
          <w:lang w:eastAsia="en-US"/>
        </w:rPr>
      </w:pPr>
      <w:r>
        <w:rPr>
          <w:rFonts w:ascii="Calibri" w:eastAsia="Calibri" w:hAnsi="Calibri"/>
          <w:b/>
          <w:szCs w:val="22"/>
          <w:lang w:eastAsia="en-US"/>
        </w:rPr>
        <w:t>8.2.9.5 Metodika výpočtu podpory</w:t>
      </w:r>
    </w:p>
    <w:p w:rsidR="00ED1FEE" w:rsidRDefault="00ED1FEE" w:rsidP="00ED1FEE">
      <w:pPr>
        <w:spacing w:after="120"/>
        <w:rPr>
          <w:rFonts w:ascii="Calibri" w:eastAsia="Calibri" w:hAnsi="Calibri" w:cs="Calibri"/>
          <w:szCs w:val="22"/>
          <w:lang w:eastAsia="en-US"/>
        </w:rPr>
      </w:pPr>
      <w:r>
        <w:rPr>
          <w:rFonts w:ascii="Calibri" w:eastAsia="Calibri" w:hAnsi="Calibri"/>
          <w:szCs w:val="22"/>
          <w:lang w:eastAsia="en-US"/>
        </w:rPr>
        <w:t xml:space="preserve">Agroenvironmentálno-klimatické platby sa vzťahujú len na tie záväzky resp. podmienky, ktoré presahujú rámec </w:t>
      </w:r>
      <w:r>
        <w:rPr>
          <w:rFonts w:ascii="Calibri" w:eastAsia="Calibri" w:hAnsi="Calibri" w:cs="Calibri"/>
          <w:szCs w:val="22"/>
          <w:lang w:eastAsia="en-US"/>
        </w:rPr>
        <w:t xml:space="preserve">bežnej poľnohospodárskej praxe a </w:t>
      </w:r>
      <w:r>
        <w:rPr>
          <w:rFonts w:ascii="Calibri" w:eastAsia="Calibri" w:hAnsi="Calibri"/>
          <w:szCs w:val="22"/>
          <w:lang w:eastAsia="en-US"/>
        </w:rPr>
        <w:t xml:space="preserve">príslušných povinných noriem.  </w:t>
      </w:r>
      <w:r>
        <w:rPr>
          <w:rFonts w:ascii="Calibri" w:eastAsia="Calibri" w:hAnsi="Calibri" w:cs="Calibri"/>
          <w:szCs w:val="22"/>
          <w:lang w:eastAsia="en-US"/>
        </w:rPr>
        <w:t>Výška podpory je stanovená ako kompenzácia straty príjmov zo zníženej produkcie z titulu obmedzenia intenzity výroby alebo zachovania jej extenzity a náhradu dodatočných nákladov z podmienok vyplývajúcich pre typ operácie. Podkladom pre výpočet platieb boli informačné databázy relevantných inštitúcii, rezortné výskumné ústavy,  Štatistický úrad SR, a pod. o dosahovaných produkčných a ekonomických parametroch v rokoch 2009-2012. Ako zdroj údajov boli použité aj aktuálne komoditné správy a štúdie za sledované poľnohospodárske komodity a databáza Slovstat v správe Štatistického úradu SR.</w:t>
      </w:r>
    </w:p>
    <w:p w:rsidR="00ED1FEE" w:rsidRDefault="00ED1FEE" w:rsidP="00ED1FEE">
      <w:pPr>
        <w:rPr>
          <w:rFonts w:ascii="Calibri" w:eastAsia="Calibri" w:hAnsi="Calibri"/>
          <w:b/>
          <w:szCs w:val="22"/>
          <w:lang w:eastAsia="en-US"/>
        </w:rPr>
      </w:pPr>
      <w:r>
        <w:rPr>
          <w:rFonts w:ascii="Calibri" w:eastAsia="Calibri" w:hAnsi="Calibri"/>
          <w:szCs w:val="22"/>
          <w:lang w:eastAsia="en-US"/>
        </w:rPr>
        <w:t xml:space="preserve">Metodiku a výpočty platieb pre jednotlivé podopatrenia a typy operácii posúdila nezávislá odborná inštitúcia - </w:t>
      </w:r>
      <w:r>
        <w:rPr>
          <w:rFonts w:ascii="Calibri" w:eastAsia="Calibri" w:hAnsi="Calibri"/>
          <w:b/>
          <w:szCs w:val="22"/>
          <w:lang w:eastAsia="en-US"/>
        </w:rPr>
        <w:t>Národné poľnohospodárske a potravinárske centrum – Výskumný ústav pôdoznalectva a ochrany pôdy Bratislava a Výskumný ústav živočíšnej výroby Nitra.</w:t>
      </w:r>
    </w:p>
    <w:p w:rsidR="00ED1FEE" w:rsidRDefault="00ED1FEE" w:rsidP="00ED1FEE">
      <w:pPr>
        <w:pStyle w:val="Default"/>
        <w:rPr>
          <w:rFonts w:ascii="Calibri" w:hAnsi="Calibri" w:cs="Calibri"/>
          <w:b/>
          <w:color w:val="auto"/>
          <w:sz w:val="22"/>
          <w:szCs w:val="22"/>
        </w:rPr>
      </w:pPr>
    </w:p>
    <w:p w:rsidR="00ED1FEE" w:rsidRPr="00DD7895" w:rsidRDefault="00ED1FEE" w:rsidP="00ED1FEE">
      <w:pPr>
        <w:pStyle w:val="Default"/>
        <w:rPr>
          <w:rFonts w:ascii="Calibri" w:hAnsi="Calibri" w:cs="Calibri"/>
          <w:b/>
          <w:color w:val="auto"/>
          <w:sz w:val="22"/>
          <w:szCs w:val="22"/>
          <w:u w:val="single"/>
        </w:rPr>
      </w:pPr>
      <w:r w:rsidRPr="00DD7895">
        <w:rPr>
          <w:rFonts w:ascii="Calibri" w:hAnsi="Calibri" w:cs="Calibri"/>
          <w:b/>
          <w:color w:val="auto"/>
          <w:sz w:val="22"/>
          <w:szCs w:val="22"/>
          <w:u w:val="single"/>
        </w:rPr>
        <w:t>Informácie špecifické pre opatrenie</w:t>
      </w:r>
    </w:p>
    <w:p w:rsidR="00ED1FEE" w:rsidRPr="00E37200" w:rsidRDefault="00ED1FEE" w:rsidP="00CE203B">
      <w:pPr>
        <w:pStyle w:val="Default"/>
        <w:numPr>
          <w:ilvl w:val="0"/>
          <w:numId w:val="360"/>
        </w:numPr>
        <w:jc w:val="both"/>
        <w:rPr>
          <w:rFonts w:ascii="Calibri" w:hAnsi="Calibri" w:cs="Calibri"/>
          <w:color w:val="auto"/>
          <w:sz w:val="22"/>
          <w:szCs w:val="22"/>
        </w:rPr>
      </w:pPr>
      <w:r w:rsidRPr="00E37200">
        <w:rPr>
          <w:rFonts w:ascii="Calibri" w:hAnsi="Calibri" w:cs="Calibri"/>
          <w:color w:val="auto"/>
          <w:sz w:val="22"/>
          <w:szCs w:val="22"/>
        </w:rPr>
        <w:t>pri operácii IP zelenina môže dochádzať k medziročnej zmene plochy pod záväzkom v súvislosti so striedaním plodín v osevnom postupe.</w:t>
      </w:r>
    </w:p>
    <w:p w:rsidR="00ED1FEE" w:rsidRPr="00FC4995" w:rsidRDefault="00ED1FEE" w:rsidP="00CE203B">
      <w:pPr>
        <w:pStyle w:val="Odsekzoznamu"/>
        <w:numPr>
          <w:ilvl w:val="0"/>
          <w:numId w:val="360"/>
        </w:numPr>
      </w:pPr>
      <w:r w:rsidRPr="00DD7895">
        <w:rPr>
          <w:rFonts w:ascii="Calibri" w:eastAsia="Calibri" w:hAnsi="Calibri" w:cs="Calibri"/>
          <w:szCs w:val="22"/>
        </w:rPr>
        <w:t>pri operácii IP vo vinohradoch</w:t>
      </w:r>
      <w:r>
        <w:rPr>
          <w:rFonts w:ascii="Calibri" w:eastAsia="Calibri" w:hAnsi="Calibri" w:cs="Calibri"/>
          <w:szCs w:val="22"/>
        </w:rPr>
        <w:t xml:space="preserve"> a ovocných sadoch</w:t>
      </w:r>
      <w:r w:rsidRPr="00DD7895">
        <w:rPr>
          <w:rFonts w:ascii="Calibri" w:eastAsia="Calibri" w:hAnsi="Calibri" w:cs="Calibri"/>
          <w:szCs w:val="22"/>
        </w:rPr>
        <w:t xml:space="preserve">  sa plocha s ktorou žiadateľ vstupuje do opatrenia nemení</w:t>
      </w:r>
      <w:r>
        <w:rPr>
          <w:rFonts w:ascii="Calibri" w:eastAsia="Calibri" w:hAnsi="Calibri" w:cs="Calibri"/>
          <w:szCs w:val="22"/>
        </w:rPr>
        <w:t>,</w:t>
      </w:r>
      <w:r w:rsidRPr="00DD7895">
        <w:rPr>
          <w:rFonts w:ascii="Calibri" w:eastAsia="Calibri" w:hAnsi="Calibri" w:cs="Calibri"/>
          <w:szCs w:val="22"/>
        </w:rPr>
        <w:t xml:space="preserve"> avšak výmera vinohradu</w:t>
      </w:r>
      <w:r>
        <w:rPr>
          <w:rFonts w:ascii="Calibri" w:eastAsia="Calibri" w:hAnsi="Calibri" w:cs="Calibri"/>
          <w:szCs w:val="22"/>
        </w:rPr>
        <w:t xml:space="preserve">/ovocného sadu </w:t>
      </w:r>
      <w:r w:rsidRPr="00DD7895">
        <w:rPr>
          <w:rFonts w:ascii="Calibri" w:eastAsia="Calibri" w:hAnsi="Calibri" w:cs="Calibri"/>
          <w:szCs w:val="22"/>
        </w:rPr>
        <w:t xml:space="preserve"> v členení mladé a rodiace sa môže meniť podľa veku</w:t>
      </w:r>
      <w:r>
        <w:rPr>
          <w:rFonts w:ascii="Calibri" w:eastAsia="Calibri" w:hAnsi="Calibri" w:cs="Calibri"/>
          <w:szCs w:val="22"/>
        </w:rPr>
        <w:t>.</w:t>
      </w:r>
    </w:p>
    <w:p w:rsidR="00ED1FEE" w:rsidRPr="00ED1FEE" w:rsidRDefault="00ED1FEE" w:rsidP="00CE203B">
      <w:pPr>
        <w:pStyle w:val="Odsekzoznamu"/>
        <w:numPr>
          <w:ilvl w:val="0"/>
          <w:numId w:val="360"/>
        </w:numPr>
      </w:pPr>
      <w:r>
        <w:rPr>
          <w:rFonts w:ascii="Calibri" w:eastAsia="Calibri" w:hAnsi="Calibri" w:cs="Calibri"/>
          <w:szCs w:val="22"/>
        </w:rPr>
        <w:t>záväzky pri operácii Integrovaná produkcia, ktoré pokračujú z programového obdobia 2007-2013, musia akceptovať doložku o revízii (čl.48 nariadenia č.1305/2013) – prispôsobenie právnemu rámcu nového programového obdobia.</w:t>
      </w:r>
    </w:p>
    <w:p w:rsidR="00ED1FEE" w:rsidRDefault="00ED1FEE">
      <w:pPr>
        <w:jc w:val="left"/>
        <w:rPr>
          <w:rFonts w:ascii="Calibri" w:eastAsia="Calibri" w:hAnsi="Calibri" w:cs="Calibri"/>
          <w:szCs w:val="22"/>
        </w:rPr>
      </w:pPr>
      <w:r>
        <w:rPr>
          <w:rFonts w:ascii="Calibri" w:eastAsia="Calibri" w:hAnsi="Calibri" w:cs="Calibri"/>
          <w:szCs w:val="22"/>
        </w:rPr>
        <w:br w:type="page"/>
      </w:r>
    </w:p>
    <w:p w:rsidR="0054499C" w:rsidRPr="00C87BF6" w:rsidRDefault="0054499C" w:rsidP="00197171">
      <w:pPr>
        <w:pStyle w:val="Opatrenie"/>
      </w:pPr>
      <w:bookmarkStart w:id="94" w:name="_Toc387041332"/>
      <w:r w:rsidRPr="00C87BF6">
        <w:t xml:space="preserve">8.2.10 Opatrenie 11  </w:t>
      </w:r>
      <w:r w:rsidRPr="00C87BF6">
        <w:tab/>
        <w:t>Ekologické poľnohospodárstvo</w:t>
      </w:r>
      <w:bookmarkEnd w:id="94"/>
    </w:p>
    <w:p w:rsidR="0054499C" w:rsidRPr="00C87BF6" w:rsidRDefault="0054499C" w:rsidP="0054499C">
      <w:pPr>
        <w:rPr>
          <w:rFonts w:ascii="Calibri" w:eastAsia="Calibri" w:hAnsi="Calibri"/>
          <w:b/>
        </w:rPr>
      </w:pPr>
    </w:p>
    <w:p w:rsidR="0054499C" w:rsidRPr="00C87BF6" w:rsidRDefault="0054499C" w:rsidP="0054499C">
      <w:pPr>
        <w:keepNext/>
        <w:outlineLvl w:val="3"/>
        <w:rPr>
          <w:rFonts w:ascii="Calibri" w:hAnsi="Calibri"/>
          <w:b/>
          <w:iCs/>
          <w:lang w:eastAsia="en-GB"/>
        </w:rPr>
      </w:pPr>
      <w:r w:rsidRPr="00C87BF6">
        <w:rPr>
          <w:rFonts w:ascii="Calibri" w:hAnsi="Calibri"/>
          <w:b/>
          <w:iCs/>
          <w:lang w:eastAsia="en-GB"/>
        </w:rPr>
        <w:t>8.2.10.1. Právny základ</w:t>
      </w:r>
    </w:p>
    <w:p w:rsidR="0054499C" w:rsidRPr="00C87BF6" w:rsidRDefault="0054499C" w:rsidP="00CE203B">
      <w:pPr>
        <w:numPr>
          <w:ilvl w:val="0"/>
          <w:numId w:val="305"/>
        </w:numPr>
        <w:rPr>
          <w:rFonts w:ascii="Calibri" w:hAnsi="Calibri" w:cs="Calibri"/>
        </w:rPr>
      </w:pPr>
      <w:r w:rsidRPr="00C87BF6">
        <w:rPr>
          <w:rFonts w:ascii="Calibri" w:hAnsi="Calibri"/>
        </w:rPr>
        <w:t xml:space="preserve">článok 29 nariadenia </w:t>
      </w:r>
      <w:r w:rsidRPr="00C87BF6">
        <w:rPr>
          <w:rFonts w:ascii="Calibri" w:hAnsi="Calibri" w:cs="Calibri"/>
        </w:rPr>
        <w:t>(EÚ) č. 1305/2013 o podpore rozvoja vidieka z EPFRV;</w:t>
      </w:r>
      <w:r w:rsidRPr="00C87BF6">
        <w:rPr>
          <w:rFonts w:ascii="Calibri" w:hAnsi="Calibri"/>
        </w:rPr>
        <w:t xml:space="preserve"> </w:t>
      </w:r>
    </w:p>
    <w:p w:rsidR="0054499C" w:rsidRPr="00C87BF6" w:rsidRDefault="0054499C" w:rsidP="0054499C">
      <w:pPr>
        <w:keepNext/>
        <w:outlineLvl w:val="3"/>
        <w:rPr>
          <w:rFonts w:ascii="Calibri" w:hAnsi="Calibri"/>
          <w:i/>
          <w:iCs/>
          <w:lang w:eastAsia="en-GB"/>
        </w:rPr>
      </w:pPr>
    </w:p>
    <w:p w:rsidR="0054499C" w:rsidRPr="00C87BF6" w:rsidRDefault="0054499C" w:rsidP="0054499C">
      <w:pPr>
        <w:keepNext/>
        <w:ind w:left="851" w:hanging="851"/>
        <w:outlineLvl w:val="3"/>
        <w:rPr>
          <w:rFonts w:ascii="Calibri" w:hAnsi="Calibri"/>
          <w:b/>
          <w:iCs/>
          <w:lang w:eastAsia="en-GB"/>
        </w:rPr>
      </w:pPr>
      <w:r w:rsidRPr="00C87BF6">
        <w:rPr>
          <w:rFonts w:ascii="Calibri" w:hAnsi="Calibri"/>
          <w:b/>
          <w:iCs/>
          <w:lang w:eastAsia="en-GB"/>
        </w:rPr>
        <w:t>8.2.10.2 Všeobecný opis opatrenia vrátane intervenčnej logiky a príspevku k fokusovej oblasti a prierezovým cieľom</w:t>
      </w:r>
    </w:p>
    <w:p w:rsidR="0054499C" w:rsidRPr="00C87BF6" w:rsidRDefault="0054499C" w:rsidP="0054499C">
      <w:pPr>
        <w:widowControl w:val="0"/>
        <w:rPr>
          <w:rFonts w:ascii="Calibri" w:hAnsi="Calibri"/>
        </w:rPr>
      </w:pPr>
      <w:r w:rsidRPr="00C87BF6">
        <w:rPr>
          <w:rFonts w:ascii="Calibri" w:hAnsi="Calibri"/>
        </w:rPr>
        <w:t xml:space="preserve">Ekologické obhospodarovanie poľnohospodárskej pôdy podniku  sa vykonáva v  súlade  s nariadením Rady (ES) č. 834/2007 v znení neskorších predpisov. Zo SWOT analýzy vyplýva, že na podporu biodiverzity má jeden z najväčších vplyvov ekologické poľnohospodárstvo  a  v záujme zachovania biodiverzity je nevyhnutné túto pozitívnu synergiu kontinuálne a vo väčšej miere podporovať aj v novom programovacom období. Zároveň tento spôsob hospodárenia nespôsobuje kontamináciu zložiek životného prostredia  ani v krátkodobej  ani v dlhodobej perspektíve a tiež ekologická poľnohospodárska výroba prispieva k zachovaniu prírodného stavu, kvality pôdy a vody. Podľa štatistických zisťovaní ekologická poľnohospodárska výroba priaznivo vplýva na udržanie, resp. mierny nárast pracovných miest v pôdohospodárstve. </w:t>
      </w:r>
    </w:p>
    <w:p w:rsidR="0054499C" w:rsidRPr="00C87BF6" w:rsidRDefault="0054499C" w:rsidP="0054499C">
      <w:pPr>
        <w:rPr>
          <w:rFonts w:ascii="Calibri" w:hAnsi="Calibri"/>
          <w:b/>
          <w:bCs/>
        </w:rPr>
      </w:pPr>
    </w:p>
    <w:p w:rsidR="0054499C" w:rsidRPr="00C87BF6" w:rsidRDefault="0054499C" w:rsidP="0054499C">
      <w:pPr>
        <w:keepNext/>
        <w:outlineLvl w:val="3"/>
        <w:rPr>
          <w:rFonts w:ascii="Calibri" w:hAnsi="Calibri"/>
          <w:u w:val="single"/>
        </w:rPr>
      </w:pPr>
      <w:r w:rsidRPr="00C87BF6">
        <w:rPr>
          <w:rFonts w:ascii="Calibri" w:hAnsi="Calibri"/>
          <w:u w:val="single"/>
        </w:rPr>
        <w:t>Príspevok k fokusovej oblasti</w:t>
      </w:r>
    </w:p>
    <w:p w:rsidR="0054499C" w:rsidRPr="00C87BF6" w:rsidRDefault="0054499C" w:rsidP="0054499C">
      <w:pPr>
        <w:keepNext/>
        <w:ind w:left="357" w:hanging="357"/>
        <w:outlineLvl w:val="2"/>
        <w:rPr>
          <w:rFonts w:ascii="Calibri" w:hAnsi="Calibri"/>
          <w:b/>
        </w:rPr>
      </w:pPr>
      <w:r w:rsidRPr="00C87BF6">
        <w:rPr>
          <w:rFonts w:ascii="Calibri" w:hAnsi="Calibri"/>
          <w:i/>
          <w:iCs/>
        </w:rPr>
        <w:t>4A O</w:t>
      </w:r>
      <w:r w:rsidRPr="00C87BF6">
        <w:rPr>
          <w:rFonts w:ascii="Calibri" w:hAnsi="Calibri"/>
          <w:i/>
        </w:rPr>
        <w:t xml:space="preserve">bnova, zachovanie a zvýšenie biologickej diverzity vrátane na územiach sústavy Natura 2000 a v oblastiach s prírodnými alebo inými osobitnými obmedzeniami a v poľnohospodárskej činnosti s vysokou prírodnou hodnotou a obnova, zachovanie ako aj zlepšenie stavu krajinných oblastí Európy; </w:t>
      </w:r>
    </w:p>
    <w:p w:rsidR="0054499C" w:rsidRPr="00C87BF6" w:rsidRDefault="0054499C" w:rsidP="0054499C">
      <w:pPr>
        <w:keepNext/>
        <w:spacing w:after="120"/>
        <w:ind w:left="426" w:hanging="426"/>
        <w:outlineLvl w:val="2"/>
        <w:rPr>
          <w:rFonts w:ascii="Calibri" w:hAnsi="Calibri"/>
          <w:b/>
        </w:rPr>
      </w:pPr>
      <w:r w:rsidRPr="00C87BF6">
        <w:rPr>
          <w:rFonts w:ascii="Calibri" w:hAnsi="Calibri"/>
        </w:rPr>
        <w:t xml:space="preserve">         Nepoužívaním  chemických prípravkov na ochranu rastlín, obmedzením používania povolených hnojív a dodržiavaním viacdruhových osevných postupov ekologické poľnohospodárstvo významne prispieva ku zvyšovaniu rozmanitosti v živočíšnej a rastlinnej oblasti.</w:t>
      </w:r>
    </w:p>
    <w:p w:rsidR="0054499C" w:rsidRPr="00C87BF6" w:rsidRDefault="0054499C" w:rsidP="0054499C">
      <w:pPr>
        <w:keepNext/>
        <w:ind w:left="425" w:hanging="425"/>
        <w:outlineLvl w:val="2"/>
        <w:rPr>
          <w:rFonts w:ascii="Calibri" w:hAnsi="Calibri"/>
          <w:i/>
        </w:rPr>
      </w:pPr>
      <w:r w:rsidRPr="00C87BF6">
        <w:rPr>
          <w:rFonts w:ascii="Calibri" w:hAnsi="Calibri"/>
          <w:i/>
        </w:rPr>
        <w:t xml:space="preserve"> 4B    Zlepšenie vodného hospodárstva vrátane riadenia používania hnojív a pesticídov;</w:t>
      </w:r>
    </w:p>
    <w:p w:rsidR="0054499C" w:rsidRPr="00C87BF6" w:rsidRDefault="0054499C" w:rsidP="0054499C">
      <w:pPr>
        <w:keepNext/>
        <w:spacing w:after="120"/>
        <w:ind w:left="426" w:hanging="426"/>
        <w:outlineLvl w:val="2"/>
        <w:rPr>
          <w:rFonts w:ascii="Calibri" w:hAnsi="Calibri"/>
        </w:rPr>
      </w:pPr>
      <w:r w:rsidRPr="00C87BF6">
        <w:rPr>
          <w:rFonts w:ascii="Calibri" w:hAnsi="Calibri"/>
        </w:rPr>
        <w:t xml:space="preserve">         Silnou redukciou</w:t>
      </w:r>
      <w:r w:rsidRPr="00C87BF6">
        <w:rPr>
          <w:rFonts w:ascii="Calibri" w:hAnsi="Calibri"/>
          <w:i/>
        </w:rPr>
        <w:t xml:space="preserve"> </w:t>
      </w:r>
      <w:r w:rsidRPr="00C87BF6">
        <w:rPr>
          <w:rFonts w:ascii="Calibri" w:hAnsi="Calibri"/>
        </w:rPr>
        <w:t>chemickej ochrany rastlín a hnojenia dochádza k znižovaniu nežiaducej kontaminácie vôd a zároveň aj k zníženiu exportu nežiaducich látok do povrchových a ostatných vôd. Okrem toho prostredníctvom ekologického poľnohospodárstva sa zvyšuje schopnosť pôdy zadržiavať vodu, čo je významným faktorom v súvislosti s klimatickou zmenou (otepľovanie) najmä  v oblastiach chudobných na zrážky.</w:t>
      </w:r>
    </w:p>
    <w:p w:rsidR="0054499C" w:rsidRPr="00C87BF6" w:rsidRDefault="0054499C" w:rsidP="0054499C">
      <w:pPr>
        <w:keepNext/>
        <w:ind w:left="425" w:hanging="425"/>
        <w:outlineLvl w:val="2"/>
        <w:rPr>
          <w:rFonts w:ascii="Calibri" w:hAnsi="Calibri"/>
          <w:i/>
        </w:rPr>
      </w:pPr>
      <w:r w:rsidRPr="00C87BF6">
        <w:rPr>
          <w:rFonts w:ascii="Calibri" w:hAnsi="Calibri"/>
          <w:i/>
        </w:rPr>
        <w:t> 4C   Predchádzanie erózii pôdy a zlepšenie jej obhospodarovania.</w:t>
      </w:r>
    </w:p>
    <w:p w:rsidR="0054499C" w:rsidRPr="00C87BF6" w:rsidRDefault="0054499C" w:rsidP="0054499C">
      <w:pPr>
        <w:keepNext/>
        <w:spacing w:after="120"/>
        <w:ind w:left="426" w:hanging="426"/>
        <w:outlineLvl w:val="2"/>
        <w:rPr>
          <w:rFonts w:ascii="Calibri" w:hAnsi="Calibri" w:cs="Calibri"/>
        </w:rPr>
      </w:pPr>
      <w:r w:rsidRPr="00C87BF6">
        <w:rPr>
          <w:rFonts w:ascii="Calibri" w:hAnsi="Calibri" w:cs="Arial"/>
          <w:color w:val="FF0000"/>
        </w:rPr>
        <w:t xml:space="preserve">         </w:t>
      </w:r>
      <w:r w:rsidRPr="00C87BF6">
        <w:rPr>
          <w:rFonts w:ascii="Calibri" w:hAnsi="Calibri" w:cs="Arial"/>
          <w:color w:val="000000"/>
        </w:rPr>
        <w:t>Ekologické poľnohospodárstvo významne prispieva k zachovaniu úrodnosti poľnohospodárskych pôd. Hnojenie v ekologickom poľnohospodárstve sa zameriava predovšetkým na udržanie úrodnosti pôdy.</w:t>
      </w:r>
      <w:r w:rsidRPr="00C87BF6">
        <w:rPr>
          <w:rFonts w:ascii="Calibri" w:hAnsi="Calibri" w:cs="Arial"/>
          <w:color w:val="FF0000"/>
        </w:rPr>
        <w:t xml:space="preserve"> </w:t>
      </w:r>
      <w:r w:rsidRPr="00C87BF6">
        <w:rPr>
          <w:rFonts w:ascii="Calibri" w:hAnsi="Calibri"/>
        </w:rPr>
        <w:t xml:space="preserve">Aplikáciou organických hnojív, výberom vhodných druhov rastlín, používaním rôznorodých osevných postupov ekologické poľnohospodárstvo významne napomáha k zlepšeniu štruktúry pôdy, zvyšovaniu obsahu humusu  a k znižovaniu pôdnej erózie. </w:t>
      </w:r>
      <w:r w:rsidRPr="00C87BF6">
        <w:rPr>
          <w:rFonts w:ascii="Calibri" w:hAnsi="Calibri" w:cs="Calibri"/>
        </w:rPr>
        <w:t>Pôdy bohaté na humus sú oveľa lepšie prispôsobené extrémnym výkyvom počasia a majú porovnateľne vyššiu kapacitu zadržiavania vody.</w:t>
      </w:r>
    </w:p>
    <w:p w:rsidR="0054499C" w:rsidRPr="00C87BF6" w:rsidRDefault="0054499C" w:rsidP="0054499C">
      <w:pPr>
        <w:autoSpaceDE w:val="0"/>
        <w:autoSpaceDN w:val="0"/>
        <w:adjustRightInd w:val="0"/>
        <w:ind w:left="360" w:hanging="360"/>
        <w:rPr>
          <w:rFonts w:ascii="Calibri" w:hAnsi="Calibri"/>
          <w:i/>
        </w:rPr>
      </w:pPr>
      <w:r w:rsidRPr="00C87BF6">
        <w:rPr>
          <w:rFonts w:ascii="Calibri" w:hAnsi="Calibri"/>
          <w:i/>
        </w:rPr>
        <w:t>5E   Podpora zachovania a sekvestrácie oxidu uhličitého v poľnohospodárstve a lesnom hospodárstve.</w:t>
      </w:r>
    </w:p>
    <w:p w:rsidR="0054499C" w:rsidRPr="00C87BF6" w:rsidRDefault="0054499C" w:rsidP="0054499C">
      <w:pPr>
        <w:autoSpaceDE w:val="0"/>
        <w:autoSpaceDN w:val="0"/>
        <w:adjustRightInd w:val="0"/>
        <w:ind w:left="360" w:hanging="360"/>
        <w:rPr>
          <w:rFonts w:ascii="Myriad Pro" w:hAnsi="Myriad Pro" w:cs="Myriad Pro"/>
          <w:color w:val="000000"/>
          <w:sz w:val="24"/>
        </w:rPr>
      </w:pPr>
      <w:r w:rsidRPr="00C87BF6">
        <w:rPr>
          <w:rFonts w:ascii="Myriad Pro" w:hAnsi="Myriad Pro" w:cs="Myriad Pro"/>
          <w:color w:val="000000"/>
          <w:sz w:val="24"/>
        </w:rPr>
        <w:t xml:space="preserve">      </w:t>
      </w:r>
      <w:r w:rsidRPr="00C87BF6">
        <w:rPr>
          <w:rFonts w:ascii="Calibri" w:hAnsi="Calibri" w:cs="Myriad Pro"/>
          <w:color w:val="000000"/>
        </w:rPr>
        <w:t>Ekologickým spôsobom obhospodarované poľnohospodárske pôdy majú vysokú náročnosť na organické látky a v tejto súvislosti tu hrá významnú úlohu hnojenie organickými hnojivami. Zákazom používania dusíkatých priemyselných hnojív je pôdna výživa dusíkom realizovaná prostredníctvom mineralizácie dusíka práve z organických hnojív. Organické hnojenie prispieva k zvyšovaniu obsahu humusu v pôde a zlepšeniu bilancie uhlíka</w:t>
      </w:r>
      <w:r w:rsidRPr="00C87BF6">
        <w:rPr>
          <w:rFonts w:ascii="Myriad Pro" w:hAnsi="Myriad Pro" w:cs="Myriad Pro"/>
          <w:color w:val="000000"/>
          <w:sz w:val="24"/>
        </w:rPr>
        <w:t>.</w:t>
      </w:r>
    </w:p>
    <w:p w:rsidR="0054499C" w:rsidRPr="00C87BF6" w:rsidRDefault="0054499C" w:rsidP="0054499C">
      <w:pPr>
        <w:outlineLvl w:val="4"/>
        <w:rPr>
          <w:rFonts w:ascii="Calibri" w:eastAsia="Calibri" w:hAnsi="Calibri"/>
          <w:u w:val="single"/>
        </w:rPr>
      </w:pPr>
    </w:p>
    <w:p w:rsidR="0054499C" w:rsidRPr="00C87BF6" w:rsidRDefault="0054499C" w:rsidP="0054499C">
      <w:pPr>
        <w:outlineLvl w:val="4"/>
        <w:rPr>
          <w:rFonts w:ascii="Calibri" w:eastAsia="Calibri" w:hAnsi="Calibri"/>
          <w:u w:val="single"/>
        </w:rPr>
      </w:pPr>
      <w:r w:rsidRPr="00C87BF6">
        <w:rPr>
          <w:rFonts w:ascii="Calibri" w:eastAsia="Calibri" w:hAnsi="Calibri"/>
          <w:u w:val="single"/>
        </w:rPr>
        <w:t>Príspevok k prierezovým cieľom:</w:t>
      </w:r>
    </w:p>
    <w:p w:rsidR="0054499C" w:rsidRPr="00C87BF6" w:rsidRDefault="0054499C" w:rsidP="0054499C">
      <w:pPr>
        <w:outlineLvl w:val="4"/>
        <w:rPr>
          <w:rFonts w:ascii="Calibri" w:eastAsia="Calibri" w:hAnsi="Calibri"/>
        </w:rPr>
      </w:pPr>
      <w:r w:rsidRPr="00C87BF6">
        <w:rPr>
          <w:rFonts w:ascii="Calibri" w:eastAsia="Calibri" w:hAnsi="Calibri"/>
        </w:rPr>
        <w:t>Životné prostredie.</w:t>
      </w:r>
    </w:p>
    <w:p w:rsidR="0054499C" w:rsidRPr="00C87BF6" w:rsidRDefault="0054499C" w:rsidP="0054499C">
      <w:pPr>
        <w:keepNext/>
        <w:spacing w:after="120"/>
        <w:ind w:left="851" w:hanging="851"/>
        <w:outlineLvl w:val="4"/>
        <w:rPr>
          <w:rFonts w:ascii="Calibri" w:eastAsia="Calibri" w:hAnsi="Calibri"/>
          <w:iCs/>
          <w:lang w:eastAsia="en-GB"/>
        </w:rPr>
      </w:pPr>
      <w:r w:rsidRPr="00C87BF6">
        <w:rPr>
          <w:rFonts w:ascii="Calibri" w:eastAsia="Calibri" w:hAnsi="Calibri"/>
          <w:b/>
        </w:rPr>
        <w:t xml:space="preserve">8.2.10.3. </w:t>
      </w:r>
      <w:r w:rsidRPr="00C87BF6">
        <w:rPr>
          <w:rFonts w:ascii="Calibri" w:eastAsia="Calibri" w:hAnsi="Calibri"/>
          <w:b/>
          <w:iCs/>
          <w:lang w:eastAsia="en-GB"/>
        </w:rPr>
        <w:t xml:space="preserve">Rozsah, úroveň podpory a ďalšie informácie </w:t>
      </w:r>
      <w:r w:rsidRPr="00C87BF6">
        <w:rPr>
          <w:rFonts w:ascii="Calibri" w:eastAsia="Calibri" w:hAnsi="Calibri"/>
          <w:iCs/>
          <w:lang w:eastAsia="en-GB"/>
        </w:rPr>
        <w:t>(v členení podľa podopatrenia a typu operácie)</w:t>
      </w:r>
    </w:p>
    <w:p w:rsidR="0054499C" w:rsidRPr="00C87BF6" w:rsidRDefault="0054499C" w:rsidP="0054499C">
      <w:pPr>
        <w:keepNext/>
        <w:shd w:val="clear" w:color="auto" w:fill="EAF1DD"/>
        <w:autoSpaceDN w:val="0"/>
        <w:outlineLvl w:val="4"/>
        <w:rPr>
          <w:rFonts w:ascii="Calibri" w:eastAsia="Calibri" w:hAnsi="Calibri"/>
          <w:sz w:val="24"/>
        </w:rPr>
      </w:pPr>
      <w:r w:rsidRPr="00C87BF6">
        <w:rPr>
          <w:rFonts w:ascii="Calibri" w:eastAsia="Calibri" w:hAnsi="Calibri"/>
          <w:sz w:val="24"/>
        </w:rPr>
        <w:t xml:space="preserve">Podopatrenie: </w:t>
      </w:r>
      <w:r w:rsidRPr="00C87BF6">
        <w:rPr>
          <w:rFonts w:ascii="Calibri" w:eastAsia="Calibri" w:hAnsi="Calibri"/>
          <w:b/>
          <w:i/>
          <w:sz w:val="24"/>
        </w:rPr>
        <w:t>11.1 Platby na konverziu na ekologické poľnohospodárstvo</w:t>
      </w:r>
    </w:p>
    <w:p w:rsidR="0054499C" w:rsidRPr="00C87BF6" w:rsidRDefault="0054499C" w:rsidP="0054499C">
      <w:pPr>
        <w:shd w:val="clear" w:color="auto" w:fill="FBD4B4"/>
        <w:ind w:left="1701" w:hanging="1701"/>
        <w:rPr>
          <w:rFonts w:ascii="Calibri" w:eastAsia="Calibri" w:hAnsi="Calibri"/>
          <w:lang w:eastAsia="en-GB"/>
        </w:rPr>
      </w:pPr>
      <w:r w:rsidRPr="00C87BF6">
        <w:rPr>
          <w:rFonts w:ascii="Calibri" w:eastAsia="Calibri" w:hAnsi="Calibri"/>
          <w:u w:val="single"/>
          <w:lang w:eastAsia="en-GB"/>
        </w:rPr>
        <w:t>Názov operácie:</w:t>
      </w:r>
      <w:r w:rsidRPr="00C87BF6">
        <w:rPr>
          <w:rFonts w:ascii="Calibri" w:eastAsia="Calibri" w:hAnsi="Calibri"/>
          <w:lang w:eastAsia="en-GB"/>
        </w:rPr>
        <w:t xml:space="preserve"> </w:t>
      </w:r>
    </w:p>
    <w:p w:rsidR="0054499C" w:rsidRPr="00C87BF6" w:rsidRDefault="0054499C" w:rsidP="0054499C">
      <w:pPr>
        <w:shd w:val="clear" w:color="auto" w:fill="FBD4B4"/>
        <w:rPr>
          <w:rFonts w:ascii="Calibri" w:eastAsia="Calibri" w:hAnsi="Calibri"/>
          <w:u w:val="single"/>
        </w:rPr>
      </w:pPr>
      <w:r w:rsidRPr="00C87BF6">
        <w:rPr>
          <w:rFonts w:ascii="Calibri" w:eastAsia="Calibri" w:hAnsi="Calibri"/>
          <w:i/>
        </w:rPr>
        <w:t>Podpora obhospodarovania poľnohospodárskej pôdy v kontrolovanom a registrovanom systéme ekologickej poľnohospodárskej výroby počas obdobia konverzie(prechodu) na ekologické poľnohospodárstvo.</w:t>
      </w:r>
    </w:p>
    <w:p w:rsidR="0054499C" w:rsidRPr="00C87BF6" w:rsidRDefault="0054499C" w:rsidP="0054499C">
      <w:pPr>
        <w:rPr>
          <w:rFonts w:ascii="Calibri" w:eastAsia="Calibri" w:hAnsi="Calibri"/>
          <w:lang w:eastAsia="en-GB"/>
        </w:rPr>
      </w:pPr>
    </w:p>
    <w:p w:rsidR="0054499C" w:rsidRPr="00C87BF6" w:rsidRDefault="0054499C" w:rsidP="0054499C">
      <w:pPr>
        <w:rPr>
          <w:rFonts w:ascii="Calibri" w:eastAsia="Calibri" w:hAnsi="Calibri"/>
          <w:u w:val="single"/>
          <w:lang w:eastAsia="en-GB"/>
        </w:rPr>
      </w:pPr>
      <w:r w:rsidRPr="00C87BF6">
        <w:rPr>
          <w:rFonts w:ascii="Calibri" w:eastAsia="Calibri" w:hAnsi="Calibri"/>
          <w:u w:val="single"/>
          <w:lang w:eastAsia="en-GB"/>
        </w:rPr>
        <w:t>Opis operácie:</w:t>
      </w:r>
    </w:p>
    <w:p w:rsidR="0054499C" w:rsidRPr="00C87BF6" w:rsidRDefault="0054499C" w:rsidP="0054499C">
      <w:pPr>
        <w:rPr>
          <w:rFonts w:ascii="Calibri" w:hAnsi="Calibri"/>
          <w:lang w:eastAsia="en-GB"/>
        </w:rPr>
      </w:pPr>
      <w:r w:rsidRPr="00C87BF6">
        <w:rPr>
          <w:rFonts w:ascii="Calibri" w:hAnsi="Calibri"/>
          <w:lang w:eastAsia="en-GB"/>
        </w:rPr>
        <w:t>Cieľom je podpora konverzie (prechodu) z  konvenčného hospodárenia na ekologickú formu hospodárenia na pôde v registrovanom a kontrolovanom systéme ekologickej poľnohospodárskej výroby. Podpora sa poskytuje v povinnom prechodnom období, počas ktorého musí žiadateľ dodržiavať všetky pravidlá ekologickej poľnohospodárskej výroby, ale ešte nemôže svoju produkciu realizovať v certifikovanej biokvalite.</w:t>
      </w:r>
    </w:p>
    <w:p w:rsidR="0054499C" w:rsidRPr="00C87BF6" w:rsidRDefault="0054499C" w:rsidP="0054499C">
      <w:pPr>
        <w:rPr>
          <w:rFonts w:ascii="Calibri" w:eastAsia="Calibri" w:hAnsi="Calibri"/>
          <w:u w:val="single"/>
          <w:lang w:eastAsia="en-GB"/>
        </w:rPr>
      </w:pPr>
    </w:p>
    <w:p w:rsidR="0054499C" w:rsidRDefault="0054499C" w:rsidP="0054499C">
      <w:pPr>
        <w:rPr>
          <w:rFonts w:ascii="Calibri" w:hAnsi="Calibri"/>
        </w:rPr>
      </w:pPr>
      <w:r w:rsidRPr="008847E9">
        <w:rPr>
          <w:rFonts w:ascii="Calibri" w:hAnsi="Calibri"/>
        </w:rPr>
        <w:t>Podpora bude poskytovaná na nasledovné druhy pozemkov:</w:t>
      </w:r>
    </w:p>
    <w:p w:rsidR="0054499C" w:rsidRPr="008847E9" w:rsidRDefault="0054499C" w:rsidP="00CE203B">
      <w:pPr>
        <w:pStyle w:val="Odsekzoznamu"/>
        <w:numPr>
          <w:ilvl w:val="0"/>
          <w:numId w:val="378"/>
        </w:numPr>
        <w:ind w:left="426" w:hanging="426"/>
        <w:rPr>
          <w:rFonts w:ascii="Calibri" w:eastAsia="Calibri" w:hAnsi="Calibri"/>
          <w:szCs w:val="22"/>
          <w:lang w:eastAsia="en-GB"/>
        </w:rPr>
      </w:pPr>
      <w:r w:rsidRPr="008847E9">
        <w:rPr>
          <w:rFonts w:ascii="Calibri" w:eastAsia="Calibri" w:hAnsi="Calibri"/>
          <w:szCs w:val="22"/>
          <w:lang w:eastAsia="en-GB"/>
        </w:rPr>
        <w:t>Orná pôda</w:t>
      </w:r>
    </w:p>
    <w:p w:rsidR="0054499C" w:rsidRPr="0076184D" w:rsidRDefault="0054499C" w:rsidP="00CE203B">
      <w:pPr>
        <w:pStyle w:val="Odsekzoznamu"/>
        <w:numPr>
          <w:ilvl w:val="0"/>
          <w:numId w:val="376"/>
        </w:numPr>
        <w:ind w:left="426" w:hanging="426"/>
        <w:rPr>
          <w:rFonts w:ascii="Calibri" w:eastAsia="Calibri" w:hAnsi="Calibri"/>
          <w:szCs w:val="22"/>
          <w:lang w:eastAsia="en-GB"/>
        </w:rPr>
      </w:pPr>
      <w:r w:rsidRPr="0076184D">
        <w:rPr>
          <w:rFonts w:ascii="Calibri" w:eastAsia="Calibri" w:hAnsi="Calibri"/>
          <w:szCs w:val="22"/>
          <w:lang w:eastAsia="en-GB"/>
        </w:rPr>
        <w:t>Zelenina, liečivé, koreninové a aromatické rastliny</w:t>
      </w:r>
    </w:p>
    <w:p w:rsidR="0054499C" w:rsidRPr="0076184D" w:rsidRDefault="0054499C" w:rsidP="00CE203B">
      <w:pPr>
        <w:pStyle w:val="Odsekzoznamu"/>
        <w:numPr>
          <w:ilvl w:val="0"/>
          <w:numId w:val="376"/>
        </w:numPr>
        <w:ind w:left="426" w:hanging="426"/>
        <w:rPr>
          <w:rFonts w:ascii="Calibri" w:hAnsi="Calibri"/>
          <w:szCs w:val="22"/>
          <w:lang w:eastAsia="en-GB"/>
        </w:rPr>
      </w:pPr>
      <w:r w:rsidRPr="0076184D">
        <w:rPr>
          <w:rFonts w:ascii="Calibri" w:hAnsi="Calibri"/>
          <w:szCs w:val="22"/>
          <w:lang w:eastAsia="en-GB"/>
        </w:rPr>
        <w:t>Ovocné sady intenzívne</w:t>
      </w:r>
    </w:p>
    <w:p w:rsidR="0054499C" w:rsidRPr="0076184D" w:rsidRDefault="0054499C" w:rsidP="00CE203B">
      <w:pPr>
        <w:pStyle w:val="Odsekzoznamu"/>
        <w:numPr>
          <w:ilvl w:val="0"/>
          <w:numId w:val="376"/>
        </w:numPr>
        <w:ind w:left="426" w:hanging="426"/>
        <w:rPr>
          <w:rFonts w:ascii="Calibri" w:hAnsi="Calibri"/>
          <w:szCs w:val="22"/>
          <w:lang w:eastAsia="en-GB"/>
        </w:rPr>
      </w:pPr>
      <w:r w:rsidRPr="0076184D">
        <w:rPr>
          <w:rFonts w:ascii="Calibri" w:hAnsi="Calibri"/>
          <w:szCs w:val="22"/>
          <w:lang w:eastAsia="en-GB"/>
        </w:rPr>
        <w:t>Ovocné sady ostatné</w:t>
      </w:r>
    </w:p>
    <w:p w:rsidR="0054499C" w:rsidRPr="0076184D" w:rsidRDefault="0054499C" w:rsidP="00CE203B">
      <w:pPr>
        <w:pStyle w:val="Odsekzoznamu"/>
        <w:numPr>
          <w:ilvl w:val="0"/>
          <w:numId w:val="376"/>
        </w:numPr>
        <w:ind w:left="426" w:hanging="426"/>
        <w:rPr>
          <w:rFonts w:ascii="Calibri" w:hAnsi="Calibri"/>
          <w:szCs w:val="22"/>
          <w:lang w:eastAsia="en-GB"/>
        </w:rPr>
      </w:pPr>
      <w:r w:rsidRPr="0076184D">
        <w:rPr>
          <w:rFonts w:ascii="Calibri" w:hAnsi="Calibri"/>
          <w:szCs w:val="22"/>
          <w:lang w:eastAsia="en-GB"/>
        </w:rPr>
        <w:t>Vinohrady</w:t>
      </w:r>
    </w:p>
    <w:p w:rsidR="0054499C" w:rsidRPr="0076184D" w:rsidRDefault="0054499C" w:rsidP="00CE203B">
      <w:pPr>
        <w:pStyle w:val="Odsekzoznamu"/>
        <w:numPr>
          <w:ilvl w:val="0"/>
          <w:numId w:val="376"/>
        </w:numPr>
        <w:ind w:left="426" w:hanging="426"/>
        <w:rPr>
          <w:rFonts w:ascii="Calibri" w:hAnsi="Calibri"/>
          <w:szCs w:val="22"/>
          <w:lang w:eastAsia="en-GB"/>
        </w:rPr>
      </w:pPr>
      <w:r w:rsidRPr="0076184D">
        <w:rPr>
          <w:rFonts w:ascii="Calibri" w:hAnsi="Calibri"/>
          <w:szCs w:val="22"/>
          <w:lang w:eastAsia="en-GB"/>
        </w:rPr>
        <w:t>Trvalé trávne porasty (ďalej len „TTP“)</w:t>
      </w:r>
    </w:p>
    <w:p w:rsidR="0054499C" w:rsidRPr="00C87BF6" w:rsidRDefault="0054499C" w:rsidP="0054499C">
      <w:pPr>
        <w:rPr>
          <w:rFonts w:ascii="Calibri" w:eastAsia="Calibri" w:hAnsi="Calibri"/>
          <w:lang w:eastAsia="en-GB"/>
        </w:rPr>
      </w:pPr>
    </w:p>
    <w:p w:rsidR="0054499C" w:rsidRPr="00C87BF6" w:rsidRDefault="0054499C" w:rsidP="0054499C">
      <w:pPr>
        <w:rPr>
          <w:rFonts w:ascii="Calibri" w:eastAsia="Calibri" w:hAnsi="Calibri"/>
          <w:u w:val="single"/>
          <w:lang w:eastAsia="en-GB"/>
        </w:rPr>
      </w:pPr>
      <w:r w:rsidRPr="00C87BF6">
        <w:rPr>
          <w:rFonts w:ascii="Calibri" w:eastAsia="Calibri" w:hAnsi="Calibri"/>
          <w:u w:val="single"/>
          <w:lang w:eastAsia="en-GB"/>
        </w:rPr>
        <w:t>Typ podpory:</w:t>
      </w:r>
    </w:p>
    <w:p w:rsidR="0054499C" w:rsidRPr="00C87BF6" w:rsidRDefault="0054499C" w:rsidP="0054499C">
      <w:pPr>
        <w:rPr>
          <w:rFonts w:ascii="Calibri" w:eastAsia="Calibri" w:hAnsi="Calibri"/>
        </w:rPr>
      </w:pPr>
      <w:r w:rsidRPr="00C87BF6">
        <w:rPr>
          <w:rFonts w:ascii="Calibri" w:eastAsia="Calibri" w:hAnsi="Calibri"/>
        </w:rPr>
        <w:t>Nezisková ročná kompenzačná platba na hektár poľnohospodárskej pôdy v konverzii podľa jednotlivých druhov pozemkov v záväzku.</w:t>
      </w:r>
    </w:p>
    <w:p w:rsidR="0054499C" w:rsidRPr="00C87BF6" w:rsidRDefault="0054499C" w:rsidP="0054499C">
      <w:pPr>
        <w:rPr>
          <w:rFonts w:ascii="Calibri" w:eastAsia="Calibri" w:hAnsi="Calibri"/>
        </w:rPr>
      </w:pPr>
    </w:p>
    <w:p w:rsidR="0054499C" w:rsidRPr="00C87BF6" w:rsidRDefault="0054499C" w:rsidP="0054499C">
      <w:pPr>
        <w:rPr>
          <w:rFonts w:ascii="Calibri" w:hAnsi="Calibri" w:cs="Calibri"/>
          <w:bCs/>
          <w:u w:val="single"/>
        </w:rPr>
      </w:pPr>
      <w:r w:rsidRPr="00C87BF6">
        <w:rPr>
          <w:rFonts w:ascii="Calibri" w:hAnsi="Calibri" w:cs="Calibri"/>
          <w:bCs/>
          <w:u w:val="single"/>
        </w:rPr>
        <w:t>Súvislosť s inou legislatívou:</w:t>
      </w:r>
    </w:p>
    <w:p w:rsidR="0054499C" w:rsidRPr="0076184D" w:rsidRDefault="0054499C" w:rsidP="00CE203B">
      <w:pPr>
        <w:pStyle w:val="Odsekzoznamu"/>
        <w:numPr>
          <w:ilvl w:val="0"/>
          <w:numId w:val="375"/>
        </w:numPr>
        <w:rPr>
          <w:rFonts w:ascii="Calibri" w:eastAsia="Calibri" w:hAnsi="Calibri"/>
          <w:szCs w:val="22"/>
        </w:rPr>
      </w:pPr>
      <w:r w:rsidRPr="0076184D">
        <w:rPr>
          <w:rFonts w:ascii="Calibri" w:eastAsia="Calibri" w:hAnsi="Calibri"/>
          <w:szCs w:val="22"/>
        </w:rPr>
        <w:t>nariadenie (EÚ) č. 1306/2013  o financovaní, riadení a monitorovaní spoločnej poľnohospodárskej politiky;</w:t>
      </w:r>
    </w:p>
    <w:p w:rsidR="0054499C" w:rsidRPr="0076184D" w:rsidRDefault="0054499C" w:rsidP="00CE203B">
      <w:pPr>
        <w:pStyle w:val="Odsekzoznamu"/>
        <w:numPr>
          <w:ilvl w:val="0"/>
          <w:numId w:val="375"/>
        </w:numPr>
        <w:rPr>
          <w:rFonts w:ascii="Calibri" w:eastAsia="Calibri" w:hAnsi="Calibri"/>
          <w:szCs w:val="22"/>
        </w:rPr>
      </w:pPr>
      <w:r w:rsidRPr="0076184D">
        <w:rPr>
          <w:rFonts w:ascii="Calibri" w:eastAsia="Calibri" w:hAnsi="Calibri"/>
          <w:szCs w:val="22"/>
        </w:rPr>
        <w:t>nariadenie (EÚ)  č. 1307/2013, ktorým sa ustanovujú pravidlá priamych platieb pre poľnohospodárov na základe režimov podpory v rámci spoločnej poľnohospodárskej politiky;</w:t>
      </w:r>
    </w:p>
    <w:p w:rsidR="0054499C" w:rsidRPr="0076184D" w:rsidRDefault="0054499C" w:rsidP="00CE203B">
      <w:pPr>
        <w:pStyle w:val="Odsekzoznamu"/>
        <w:numPr>
          <w:ilvl w:val="0"/>
          <w:numId w:val="375"/>
        </w:numPr>
        <w:rPr>
          <w:rFonts w:ascii="Calibri" w:eastAsia="Calibri" w:hAnsi="Calibri"/>
          <w:szCs w:val="22"/>
        </w:rPr>
      </w:pPr>
      <w:r w:rsidRPr="0076184D">
        <w:rPr>
          <w:rFonts w:ascii="Calibri" w:eastAsia="Calibri" w:hAnsi="Calibri"/>
          <w:szCs w:val="22"/>
        </w:rPr>
        <w:t>nariadenie Komisie (ES) č. 889/2008, ktorým sa ustanovujú podrobné pravidlá implementácie nariadenia Rady (ES) č. 834/2007 o ekologickej výrobe a označovaní ekologických produktov so zreteľom na ekologickú výrobu, označovanie a kontrolu;</w:t>
      </w:r>
    </w:p>
    <w:p w:rsidR="0054499C" w:rsidRPr="0076184D" w:rsidRDefault="0054499C" w:rsidP="00CE203B">
      <w:pPr>
        <w:pStyle w:val="Odsekzoznamu"/>
        <w:numPr>
          <w:ilvl w:val="0"/>
          <w:numId w:val="375"/>
        </w:numPr>
        <w:rPr>
          <w:rFonts w:ascii="Calibri" w:eastAsia="Calibri" w:hAnsi="Calibri"/>
          <w:szCs w:val="22"/>
        </w:rPr>
      </w:pPr>
      <w:r w:rsidRPr="0076184D">
        <w:rPr>
          <w:rFonts w:ascii="Calibri" w:eastAsia="Calibri" w:hAnsi="Calibri"/>
          <w:szCs w:val="22"/>
        </w:rPr>
        <w:t>nariadenie (ES) č. 882/2004 o úradných kontrolách uskutočňovaných s cieľom zabezpečiť overenie dodržiavania potravinového a krmivového práva a predpisov o zdraví zvierat a o starostlivosti o zvieratá;</w:t>
      </w:r>
    </w:p>
    <w:p w:rsidR="0054499C" w:rsidRPr="0076184D" w:rsidRDefault="0054499C" w:rsidP="00CE203B">
      <w:pPr>
        <w:pStyle w:val="Odsekzoznamu"/>
        <w:numPr>
          <w:ilvl w:val="0"/>
          <w:numId w:val="375"/>
        </w:numPr>
        <w:rPr>
          <w:rFonts w:ascii="Calibri" w:eastAsia="Calibri" w:hAnsi="Calibri"/>
          <w:szCs w:val="22"/>
        </w:rPr>
      </w:pPr>
      <w:r w:rsidRPr="0076184D">
        <w:rPr>
          <w:rFonts w:ascii="Calibri" w:eastAsia="Calibri" w:hAnsi="Calibri"/>
          <w:szCs w:val="22"/>
        </w:rPr>
        <w:t>zákon č. 405/2011 Z. z. o rastlinolekárskej starostlivosti;</w:t>
      </w:r>
    </w:p>
    <w:p w:rsidR="0054499C" w:rsidRPr="0076184D" w:rsidRDefault="0054499C" w:rsidP="00CE203B">
      <w:pPr>
        <w:pStyle w:val="Odsekzoznamu"/>
        <w:numPr>
          <w:ilvl w:val="0"/>
          <w:numId w:val="375"/>
        </w:numPr>
        <w:rPr>
          <w:rFonts w:ascii="Calibri" w:eastAsia="Calibri" w:hAnsi="Calibri"/>
          <w:szCs w:val="22"/>
        </w:rPr>
      </w:pPr>
      <w:r w:rsidRPr="0076184D">
        <w:rPr>
          <w:rFonts w:ascii="Calibri" w:eastAsia="Calibri" w:hAnsi="Calibri"/>
          <w:szCs w:val="22"/>
        </w:rPr>
        <w:t>zákon č. 136/2000 Z. z. o hnojivách.</w:t>
      </w:r>
    </w:p>
    <w:p w:rsidR="0054499C" w:rsidRPr="00C87BF6" w:rsidRDefault="0054499C" w:rsidP="0054499C">
      <w:pPr>
        <w:rPr>
          <w:rFonts w:ascii="Calibri" w:hAnsi="Calibri"/>
          <w:sz w:val="20"/>
          <w:szCs w:val="20"/>
          <w:lang w:eastAsia="en-GB"/>
        </w:rPr>
      </w:pPr>
    </w:p>
    <w:p w:rsidR="0054499C" w:rsidRPr="00C87BF6" w:rsidRDefault="0054499C" w:rsidP="0054499C">
      <w:pPr>
        <w:rPr>
          <w:rFonts w:ascii="Calibri" w:hAnsi="Calibri"/>
          <w:u w:val="single"/>
          <w:lang w:eastAsia="en-GB"/>
        </w:rPr>
      </w:pPr>
      <w:r w:rsidRPr="00C87BF6">
        <w:rPr>
          <w:rFonts w:ascii="Calibri" w:hAnsi="Calibri"/>
          <w:u w:val="single"/>
          <w:lang w:eastAsia="en-GB"/>
        </w:rPr>
        <w:t>Prijímateľ podpory:</w:t>
      </w:r>
    </w:p>
    <w:p w:rsidR="0054499C" w:rsidRPr="00C87BF6" w:rsidRDefault="0054499C" w:rsidP="0054499C">
      <w:pPr>
        <w:rPr>
          <w:rFonts w:ascii="Calibri" w:eastAsia="Calibri" w:hAnsi="Calibri"/>
        </w:rPr>
      </w:pPr>
      <w:r w:rsidRPr="00C87BF6">
        <w:rPr>
          <w:rFonts w:ascii="Calibri" w:eastAsia="Calibri" w:hAnsi="Calibri"/>
        </w:rPr>
        <w:t xml:space="preserve">Fyzické a  právnické osoby podnikajúce v poľnohospodárskej prvovýrobe a ich združenia plniace požiadavky na aktívneho poľnohospodára podľa čl. 9 nariadenia EÚ č. 1307/2013. </w:t>
      </w:r>
    </w:p>
    <w:p w:rsidR="0054499C" w:rsidRPr="00C87BF6" w:rsidRDefault="0054499C" w:rsidP="0054499C">
      <w:pPr>
        <w:rPr>
          <w:rFonts w:ascii="Calibri" w:hAnsi="Calibri"/>
          <w:u w:val="single"/>
          <w:lang w:eastAsia="en-GB"/>
        </w:rPr>
      </w:pPr>
    </w:p>
    <w:p w:rsidR="0054499C" w:rsidRPr="00C87BF6" w:rsidRDefault="0054499C" w:rsidP="0054499C">
      <w:pPr>
        <w:rPr>
          <w:rFonts w:ascii="Calibri" w:hAnsi="Calibri"/>
          <w:u w:val="single"/>
          <w:lang w:eastAsia="en-GB"/>
        </w:rPr>
      </w:pPr>
      <w:r w:rsidRPr="00C87BF6">
        <w:rPr>
          <w:rFonts w:ascii="Calibri" w:hAnsi="Calibri"/>
          <w:u w:val="single"/>
          <w:lang w:eastAsia="en-GB"/>
        </w:rPr>
        <w:t>Oprávnené výdavky:</w:t>
      </w:r>
    </w:p>
    <w:p w:rsidR="0054499C" w:rsidRPr="00C87BF6" w:rsidRDefault="0054499C" w:rsidP="0054499C">
      <w:pPr>
        <w:rPr>
          <w:rFonts w:ascii="Calibri" w:hAnsi="Calibri"/>
          <w:lang w:eastAsia="en-GB"/>
        </w:rPr>
      </w:pPr>
      <w:r w:rsidRPr="00C87BF6">
        <w:rPr>
          <w:rFonts w:ascii="Calibri" w:hAnsi="Calibri"/>
          <w:lang w:eastAsia="en-GB"/>
        </w:rPr>
        <w:t xml:space="preserve">Platba kompenzuje dodatočné náklady a stratu príjmu v dôsledku prijatia záväzku. </w:t>
      </w:r>
    </w:p>
    <w:p w:rsidR="0054499C" w:rsidRPr="00C87BF6" w:rsidRDefault="0054499C" w:rsidP="0054499C">
      <w:pPr>
        <w:rPr>
          <w:rFonts w:ascii="Calibri" w:hAnsi="Calibri"/>
          <w:u w:val="single"/>
          <w:lang w:eastAsia="en-GB"/>
        </w:rPr>
      </w:pPr>
    </w:p>
    <w:p w:rsidR="0054499C" w:rsidRPr="00C87BF6" w:rsidRDefault="0054499C" w:rsidP="0054499C">
      <w:pPr>
        <w:rPr>
          <w:rFonts w:ascii="Calibri" w:hAnsi="Calibri"/>
          <w:u w:val="single"/>
          <w:lang w:eastAsia="en-GB"/>
        </w:rPr>
      </w:pPr>
      <w:r w:rsidRPr="00C87BF6">
        <w:rPr>
          <w:rFonts w:ascii="Calibri" w:hAnsi="Calibri"/>
          <w:u w:val="single"/>
          <w:lang w:eastAsia="en-GB"/>
        </w:rPr>
        <w:t>Podmienky oprávnenosti:</w:t>
      </w:r>
    </w:p>
    <w:p w:rsidR="0054499C" w:rsidRDefault="0054499C" w:rsidP="00CE203B">
      <w:pPr>
        <w:numPr>
          <w:ilvl w:val="0"/>
          <w:numId w:val="372"/>
        </w:numPr>
        <w:autoSpaceDE w:val="0"/>
        <w:autoSpaceDN w:val="0"/>
        <w:adjustRightInd w:val="0"/>
        <w:jc w:val="left"/>
        <w:rPr>
          <w:rFonts w:ascii="Calibri" w:hAnsi="Calibri" w:cs="Myriad Pro"/>
          <w:color w:val="000000"/>
        </w:rPr>
      </w:pPr>
      <w:r w:rsidRPr="00C87BF6">
        <w:rPr>
          <w:rFonts w:ascii="Calibri" w:hAnsi="Calibri" w:cs="Myriad Pro"/>
          <w:color w:val="000000"/>
        </w:rPr>
        <w:t>Vstúpiť do opatrenia s minimálne 1 ha poľnohospodárskej pôdy (LPIS).</w:t>
      </w:r>
    </w:p>
    <w:p w:rsidR="0054499C" w:rsidRDefault="0054499C" w:rsidP="00CE203B">
      <w:pPr>
        <w:numPr>
          <w:ilvl w:val="0"/>
          <w:numId w:val="372"/>
        </w:numPr>
        <w:autoSpaceDE w:val="0"/>
        <w:autoSpaceDN w:val="0"/>
        <w:adjustRightInd w:val="0"/>
        <w:jc w:val="left"/>
        <w:rPr>
          <w:rFonts w:ascii="Calibri" w:hAnsi="Calibri" w:cs="Myriad Pro"/>
          <w:color w:val="000000"/>
        </w:rPr>
      </w:pPr>
      <w:r w:rsidRPr="00C87BF6">
        <w:rPr>
          <w:rFonts w:ascii="Calibri" w:hAnsi="Calibri" w:cs="Myriad Pro"/>
          <w:color w:val="000000"/>
        </w:rPr>
        <w:t>V prípade žiadateľa, ktorý má ekologickú a neekologickú časť podniku (pôda), môže do opatrenia vstúpiť len žiadateľ, ktorý má minimálne 51% výmery poľnohospodárskej pôdy podniku registrovanej v systéme ekologickej poľnohospodárskej výroby na Ústrednom kontrolnom a  skúšobnom ústave poľnohospodárskom</w:t>
      </w:r>
      <w:r>
        <w:rPr>
          <w:rFonts w:ascii="Calibri" w:hAnsi="Calibri" w:cs="Myriad Pro"/>
          <w:color w:val="000000"/>
        </w:rPr>
        <w:t>( UKSUP)</w:t>
      </w:r>
      <w:r w:rsidRPr="00C87BF6">
        <w:rPr>
          <w:rFonts w:ascii="Calibri" w:hAnsi="Calibri" w:cs="Myriad Pro"/>
          <w:color w:val="000000"/>
        </w:rPr>
        <w:t>.</w:t>
      </w:r>
    </w:p>
    <w:p w:rsidR="0054499C" w:rsidRDefault="0054499C" w:rsidP="00CE203B">
      <w:pPr>
        <w:numPr>
          <w:ilvl w:val="0"/>
          <w:numId w:val="372"/>
        </w:numPr>
        <w:autoSpaceDE w:val="0"/>
        <w:autoSpaceDN w:val="0"/>
        <w:adjustRightInd w:val="0"/>
        <w:jc w:val="left"/>
        <w:rPr>
          <w:rFonts w:ascii="Calibri" w:hAnsi="Calibri" w:cs="Myriad Pro"/>
          <w:color w:val="000000"/>
        </w:rPr>
      </w:pPr>
      <w:r>
        <w:rPr>
          <w:rFonts w:ascii="Calibri" w:hAnsi="Calibri" w:cs="Myriad Pro"/>
          <w:color w:val="000000"/>
        </w:rPr>
        <w:t>Počas celej doby realizácie záväzku byť vedený v registri ekologickej poľnohospodárskej výroby na UKSUP</w:t>
      </w:r>
    </w:p>
    <w:p w:rsidR="0054499C" w:rsidRDefault="0054499C" w:rsidP="0054499C">
      <w:pPr>
        <w:autoSpaceDE w:val="0"/>
        <w:autoSpaceDN w:val="0"/>
        <w:adjustRightInd w:val="0"/>
        <w:rPr>
          <w:rFonts w:ascii="Calibri" w:hAnsi="Calibri" w:cs="Myriad Pro"/>
          <w:color w:val="000000"/>
        </w:rPr>
      </w:pPr>
    </w:p>
    <w:p w:rsidR="0054499C" w:rsidRPr="00F37EBF" w:rsidRDefault="0054499C" w:rsidP="0054499C">
      <w:pPr>
        <w:autoSpaceDE w:val="0"/>
        <w:autoSpaceDN w:val="0"/>
        <w:adjustRightInd w:val="0"/>
        <w:rPr>
          <w:rFonts w:ascii="Calibri" w:hAnsi="Calibri" w:cs="Myriad Pro"/>
          <w:color w:val="000000"/>
          <w:u w:val="single"/>
        </w:rPr>
      </w:pPr>
      <w:r w:rsidRPr="00F37EBF">
        <w:rPr>
          <w:rFonts w:ascii="Calibri" w:hAnsi="Calibri" w:cs="Myriad Pro"/>
          <w:color w:val="000000"/>
          <w:u w:val="single"/>
        </w:rPr>
        <w:t>Podmienky podpory:</w:t>
      </w:r>
    </w:p>
    <w:p w:rsidR="0054499C" w:rsidRDefault="0054499C" w:rsidP="00CE203B">
      <w:pPr>
        <w:numPr>
          <w:ilvl w:val="0"/>
          <w:numId w:val="372"/>
        </w:numPr>
        <w:autoSpaceDE w:val="0"/>
        <w:autoSpaceDN w:val="0"/>
        <w:adjustRightInd w:val="0"/>
        <w:rPr>
          <w:rFonts w:ascii="Calibri" w:hAnsi="Calibri" w:cs="Myriad Pro"/>
          <w:color w:val="000000"/>
        </w:rPr>
      </w:pPr>
      <w:r w:rsidRPr="00F37EBF">
        <w:rPr>
          <w:rFonts w:ascii="Calibri" w:hAnsi="Calibri" w:cs="Myriad Pro"/>
          <w:color w:val="000000"/>
        </w:rPr>
        <w:t>Dodržiavať ustanovenia nariadenia Rady (ES) č. 834/2007 o ekologickej výrobe a označovaní ekologických produktov</w:t>
      </w:r>
      <w:r>
        <w:rPr>
          <w:rFonts w:ascii="Calibri" w:hAnsi="Calibri" w:cs="Myriad Pro"/>
          <w:color w:val="000000"/>
        </w:rPr>
        <w:t>,</w:t>
      </w:r>
    </w:p>
    <w:p w:rsidR="0054499C" w:rsidRDefault="0054499C" w:rsidP="00CE203B">
      <w:pPr>
        <w:numPr>
          <w:ilvl w:val="0"/>
          <w:numId w:val="372"/>
        </w:numPr>
        <w:autoSpaceDE w:val="0"/>
        <w:autoSpaceDN w:val="0"/>
        <w:adjustRightInd w:val="0"/>
        <w:rPr>
          <w:rFonts w:ascii="Calibri" w:hAnsi="Calibri" w:cs="Myriad Pro"/>
          <w:color w:val="000000"/>
        </w:rPr>
      </w:pPr>
      <w:r w:rsidRPr="00F37EBF">
        <w:rPr>
          <w:rFonts w:ascii="Calibri" w:hAnsi="Calibri" w:cs="Myriad Pro"/>
          <w:color w:val="000000"/>
        </w:rPr>
        <w:t>Dodržiavať ustanovenia zákona č. 189/2009 Z. z. o ekologickej poľnohospodárskej výrobe</w:t>
      </w:r>
    </w:p>
    <w:p w:rsidR="0054499C" w:rsidRPr="00F37EBF" w:rsidRDefault="0054499C" w:rsidP="00CE203B">
      <w:pPr>
        <w:numPr>
          <w:ilvl w:val="0"/>
          <w:numId w:val="372"/>
        </w:numPr>
        <w:autoSpaceDE w:val="0"/>
        <w:autoSpaceDN w:val="0"/>
        <w:adjustRightInd w:val="0"/>
        <w:rPr>
          <w:rFonts w:ascii="Calibri" w:hAnsi="Calibri" w:cs="Myriad Pro"/>
          <w:color w:val="000000"/>
        </w:rPr>
      </w:pPr>
      <w:r w:rsidRPr="00F37EBF">
        <w:rPr>
          <w:rFonts w:ascii="Calibri" w:hAnsi="Calibri" w:cs="Calibri"/>
        </w:rPr>
        <w:t xml:space="preserve">Dodržiavať stanovené zaťaženie registrovanými zvieratami v ekologickej poľnohospodárskej výrobe  najmenej 0,3 DJ na jeden hektár trvalých trávnych porastov vedených v záväzku a maximálne zaťaženie </w:t>
      </w:r>
      <w:r>
        <w:rPr>
          <w:rFonts w:ascii="Calibri" w:hAnsi="Calibri" w:cs="Calibri"/>
        </w:rPr>
        <w:t>1,9</w:t>
      </w:r>
      <w:r w:rsidRPr="00F37EBF">
        <w:rPr>
          <w:rFonts w:ascii="Calibri" w:hAnsi="Calibri" w:cs="Calibri"/>
        </w:rPr>
        <w:t xml:space="preserve"> DJ na jeden hektár poľnohospodárskej pôdy v podniku v období od  </w:t>
      </w:r>
      <w:r>
        <w:rPr>
          <w:rFonts w:ascii="Calibri" w:hAnsi="Calibri" w:cs="Calibri"/>
        </w:rPr>
        <w:t xml:space="preserve">         </w:t>
      </w:r>
      <w:r w:rsidRPr="00F37EBF">
        <w:rPr>
          <w:rFonts w:ascii="Calibri" w:hAnsi="Calibri" w:cs="Calibri"/>
        </w:rPr>
        <w:t>1. apríla do 31. októbra každého roka záväzku. Výnimky pre zníženie zaťaženia DJ nie sú akceptované.</w:t>
      </w:r>
    </w:p>
    <w:p w:rsidR="0054499C" w:rsidRPr="0076184D" w:rsidRDefault="0054499C" w:rsidP="00CE203B">
      <w:pPr>
        <w:numPr>
          <w:ilvl w:val="0"/>
          <w:numId w:val="372"/>
        </w:numPr>
        <w:autoSpaceDE w:val="0"/>
        <w:autoSpaceDN w:val="0"/>
        <w:adjustRightInd w:val="0"/>
        <w:rPr>
          <w:rFonts w:ascii="Calibri" w:hAnsi="Calibri" w:cs="Myriad Pro"/>
          <w:color w:val="000000"/>
        </w:rPr>
      </w:pPr>
      <w:r w:rsidRPr="00F37EBF">
        <w:rPr>
          <w:rFonts w:ascii="Calibri" w:hAnsi="Calibri" w:cs="Calibri"/>
        </w:rPr>
        <w:t>Dodržiavať počet jedincov ovocných druhov v ovocnom sade, ktorý bude uvedený  vo vnútroštátnej legislatíve</w:t>
      </w:r>
    </w:p>
    <w:p w:rsidR="0054499C" w:rsidRPr="00F37EBF" w:rsidRDefault="0054499C" w:rsidP="00CE203B">
      <w:pPr>
        <w:numPr>
          <w:ilvl w:val="0"/>
          <w:numId w:val="372"/>
        </w:numPr>
        <w:autoSpaceDE w:val="0"/>
        <w:autoSpaceDN w:val="0"/>
        <w:adjustRightInd w:val="0"/>
        <w:rPr>
          <w:rFonts w:ascii="Calibri" w:hAnsi="Calibri" w:cs="Myriad Pro"/>
          <w:color w:val="000000"/>
        </w:rPr>
      </w:pPr>
      <w:r>
        <w:rPr>
          <w:rFonts w:ascii="Calibri" w:hAnsi="Calibri" w:cs="Calibri"/>
        </w:rPr>
        <w:t>Z podpory sú vylúčené rastlinné komodity pestované mimo potravové a kŕmne účely</w:t>
      </w:r>
    </w:p>
    <w:p w:rsidR="0054499C" w:rsidRPr="00C87BF6" w:rsidRDefault="0054499C" w:rsidP="0054499C">
      <w:pPr>
        <w:rPr>
          <w:rFonts w:ascii="Calibri" w:hAnsi="Calibri"/>
          <w:lang w:eastAsia="en-GB"/>
        </w:rPr>
      </w:pPr>
    </w:p>
    <w:p w:rsidR="0054499C" w:rsidRPr="00C87BF6" w:rsidRDefault="0054499C" w:rsidP="0054499C">
      <w:pPr>
        <w:rPr>
          <w:rFonts w:ascii="Calibri" w:hAnsi="Calibri"/>
          <w:u w:val="single"/>
          <w:lang w:eastAsia="en-GB"/>
        </w:rPr>
      </w:pPr>
      <w:r w:rsidRPr="00C87BF6">
        <w:rPr>
          <w:rFonts w:ascii="Calibri" w:hAnsi="Calibri"/>
          <w:u w:val="single"/>
          <w:lang w:eastAsia="en-GB"/>
        </w:rPr>
        <w:t>Princípy nastavenia výberových kritérií:</w:t>
      </w:r>
    </w:p>
    <w:p w:rsidR="0054499C" w:rsidRPr="00C87BF6" w:rsidRDefault="0054499C" w:rsidP="0054499C">
      <w:pPr>
        <w:rPr>
          <w:rFonts w:ascii="Calibri" w:hAnsi="Calibri"/>
          <w:lang w:eastAsia="en-GB"/>
        </w:rPr>
      </w:pPr>
      <w:r w:rsidRPr="00C87BF6">
        <w:rPr>
          <w:rFonts w:ascii="Calibri" w:hAnsi="Calibri"/>
          <w:lang w:eastAsia="en-GB"/>
        </w:rPr>
        <w:t>Uprednostnené budú podniky, ktoré  sú celé registrované v systéme ekologickej poľnohospodárskej výroby, sú v chránených územiach,</w:t>
      </w:r>
      <w:r w:rsidRPr="00C87BF6">
        <w:rPr>
          <w:rFonts w:ascii="Calibri" w:hAnsi="Calibri"/>
          <w:b/>
          <w:lang w:eastAsia="en-GB"/>
        </w:rPr>
        <w:t xml:space="preserve"> </w:t>
      </w:r>
      <w:r w:rsidRPr="00C87BF6">
        <w:rPr>
          <w:rFonts w:ascii="Calibri" w:hAnsi="Calibri"/>
          <w:lang w:eastAsia="en-GB"/>
        </w:rPr>
        <w:t>majú registrovanú živočíšnu aj rastlinnú výrobu v systéme ekologickej poľnohospodárskej výroby.</w:t>
      </w:r>
    </w:p>
    <w:p w:rsidR="0054499C" w:rsidRPr="00C87BF6" w:rsidRDefault="0054499C" w:rsidP="0054499C">
      <w:pPr>
        <w:rPr>
          <w:rFonts w:ascii="Calibri" w:hAnsi="Calibri"/>
          <w:lang w:eastAsia="en-GB"/>
        </w:rPr>
      </w:pPr>
    </w:p>
    <w:p w:rsidR="0054499C" w:rsidRPr="00C87BF6" w:rsidRDefault="0054499C" w:rsidP="0054499C">
      <w:pPr>
        <w:rPr>
          <w:rFonts w:ascii="Calibri" w:hAnsi="Calibri"/>
          <w:u w:val="single"/>
          <w:lang w:eastAsia="en-GB"/>
        </w:rPr>
      </w:pPr>
      <w:r w:rsidRPr="00C87BF6">
        <w:rPr>
          <w:rFonts w:ascii="Calibri" w:hAnsi="Calibri"/>
          <w:u w:val="single"/>
          <w:lang w:eastAsia="en-GB"/>
        </w:rPr>
        <w:t xml:space="preserve">Výška podpory: </w:t>
      </w:r>
    </w:p>
    <w:p w:rsidR="0054499C" w:rsidRPr="00C87BF6" w:rsidRDefault="0054499C" w:rsidP="0054499C">
      <w:pPr>
        <w:rPr>
          <w:rFonts w:ascii="Calibri" w:hAnsi="Calibri"/>
          <w:lang w:eastAsia="en-GB"/>
        </w:rPr>
      </w:pPr>
      <w:r w:rsidRPr="00C87BF6">
        <w:rPr>
          <w:rFonts w:ascii="Calibri" w:hAnsi="Calibri"/>
          <w:iCs/>
        </w:rPr>
        <w:t xml:space="preserve">Orná pôda   </w:t>
      </w:r>
      <w:r w:rsidRPr="00C87BF6">
        <w:rPr>
          <w:rFonts w:ascii="Calibri" w:hAnsi="Calibri"/>
          <w:iCs/>
        </w:rPr>
        <w:tab/>
      </w:r>
      <w:r w:rsidRPr="00C87BF6">
        <w:rPr>
          <w:rFonts w:ascii="Calibri" w:hAnsi="Calibri"/>
          <w:iCs/>
        </w:rPr>
        <w:tab/>
      </w:r>
      <w:r w:rsidRPr="00C87BF6">
        <w:rPr>
          <w:rFonts w:ascii="Calibri" w:hAnsi="Calibri"/>
          <w:iCs/>
        </w:rPr>
        <w:tab/>
      </w:r>
      <w:r w:rsidRPr="00C87BF6">
        <w:rPr>
          <w:rFonts w:ascii="Calibri" w:hAnsi="Calibri"/>
          <w:iCs/>
        </w:rPr>
        <w:tab/>
      </w:r>
      <w:r w:rsidRPr="00C87BF6">
        <w:rPr>
          <w:rFonts w:ascii="Calibri" w:hAnsi="Calibri"/>
          <w:iCs/>
        </w:rPr>
        <w:tab/>
      </w:r>
      <w:r w:rsidRPr="00C87BF6">
        <w:rPr>
          <w:rFonts w:ascii="Calibri" w:hAnsi="Calibri"/>
          <w:iCs/>
        </w:rPr>
        <w:tab/>
        <w:t>153</w:t>
      </w:r>
      <w:r>
        <w:rPr>
          <w:rFonts w:ascii="Calibri" w:hAnsi="Calibri"/>
          <w:iCs/>
        </w:rPr>
        <w:t xml:space="preserve"> </w:t>
      </w:r>
      <w:r w:rsidRPr="00C87BF6">
        <w:rPr>
          <w:rFonts w:ascii="Calibri" w:hAnsi="Calibri"/>
          <w:iCs/>
        </w:rPr>
        <w:t>€/ha</w:t>
      </w:r>
    </w:p>
    <w:p w:rsidR="0054499C" w:rsidRPr="00C87BF6" w:rsidRDefault="0054499C" w:rsidP="0054499C">
      <w:pPr>
        <w:rPr>
          <w:rFonts w:ascii="Calibri" w:hAnsi="Calibri"/>
          <w:lang w:eastAsia="en-GB"/>
        </w:rPr>
      </w:pPr>
      <w:r w:rsidRPr="00C87BF6">
        <w:rPr>
          <w:rFonts w:ascii="Calibri" w:hAnsi="Calibri"/>
          <w:iCs/>
        </w:rPr>
        <w:t>Zelenina, liečivé, koreninové a aromatické rastliny</w:t>
      </w:r>
      <w:r w:rsidRPr="00C87BF6">
        <w:rPr>
          <w:rFonts w:ascii="Calibri" w:hAnsi="Calibri"/>
          <w:iCs/>
        </w:rPr>
        <w:tab/>
        <w:t>468</w:t>
      </w:r>
      <w:r>
        <w:rPr>
          <w:rFonts w:ascii="Calibri" w:hAnsi="Calibri"/>
          <w:iCs/>
        </w:rPr>
        <w:t xml:space="preserve"> </w:t>
      </w:r>
      <w:r w:rsidRPr="00C87BF6">
        <w:rPr>
          <w:rFonts w:ascii="Calibri" w:hAnsi="Calibri"/>
          <w:iCs/>
        </w:rPr>
        <w:t>€/ha</w:t>
      </w:r>
    </w:p>
    <w:p w:rsidR="0054499C" w:rsidRPr="00C87BF6" w:rsidRDefault="0054499C" w:rsidP="0054499C">
      <w:pPr>
        <w:rPr>
          <w:rFonts w:ascii="Calibri" w:hAnsi="Calibri"/>
          <w:lang w:eastAsia="en-GB"/>
        </w:rPr>
      </w:pPr>
      <w:r w:rsidRPr="00C87BF6">
        <w:rPr>
          <w:rFonts w:ascii="Calibri" w:hAnsi="Calibri"/>
          <w:iCs/>
        </w:rPr>
        <w:t xml:space="preserve">Zemiaky       </w:t>
      </w:r>
      <w:r w:rsidRPr="00C87BF6">
        <w:rPr>
          <w:rFonts w:ascii="Calibri" w:hAnsi="Calibri"/>
          <w:iCs/>
        </w:rPr>
        <w:tab/>
      </w:r>
      <w:r w:rsidRPr="00C87BF6">
        <w:rPr>
          <w:rFonts w:ascii="Calibri" w:hAnsi="Calibri"/>
          <w:iCs/>
        </w:rPr>
        <w:tab/>
      </w:r>
      <w:r w:rsidRPr="00C87BF6">
        <w:rPr>
          <w:rFonts w:ascii="Calibri" w:hAnsi="Calibri"/>
          <w:iCs/>
        </w:rPr>
        <w:tab/>
      </w:r>
      <w:r w:rsidRPr="00C87BF6">
        <w:rPr>
          <w:rFonts w:ascii="Calibri" w:hAnsi="Calibri"/>
          <w:iCs/>
        </w:rPr>
        <w:tab/>
      </w:r>
      <w:r w:rsidRPr="00C87BF6">
        <w:rPr>
          <w:rFonts w:ascii="Calibri" w:hAnsi="Calibri"/>
          <w:iCs/>
        </w:rPr>
        <w:tab/>
      </w:r>
      <w:r w:rsidRPr="00C87BF6">
        <w:rPr>
          <w:rFonts w:ascii="Calibri" w:hAnsi="Calibri"/>
          <w:iCs/>
        </w:rPr>
        <w:tab/>
        <w:t>290</w:t>
      </w:r>
      <w:r>
        <w:rPr>
          <w:rFonts w:ascii="Calibri" w:hAnsi="Calibri"/>
          <w:iCs/>
        </w:rPr>
        <w:t xml:space="preserve"> </w:t>
      </w:r>
      <w:r w:rsidRPr="00C87BF6">
        <w:rPr>
          <w:rFonts w:ascii="Calibri" w:hAnsi="Calibri"/>
          <w:iCs/>
        </w:rPr>
        <w:t>€/ha</w:t>
      </w:r>
    </w:p>
    <w:p w:rsidR="0054499C" w:rsidRPr="00C87BF6" w:rsidRDefault="0054499C" w:rsidP="0054499C">
      <w:pPr>
        <w:rPr>
          <w:rFonts w:ascii="Calibri" w:hAnsi="Calibri"/>
          <w:iCs/>
        </w:rPr>
      </w:pPr>
      <w:r w:rsidRPr="00C87BF6">
        <w:rPr>
          <w:rFonts w:ascii="Calibri" w:hAnsi="Calibri"/>
          <w:iCs/>
        </w:rPr>
        <w:t xml:space="preserve">Ovocné sady   intenzívne rodiace       </w:t>
      </w:r>
      <w:r w:rsidR="00095683">
        <w:rPr>
          <w:rFonts w:ascii="Calibri" w:hAnsi="Calibri"/>
          <w:iCs/>
        </w:rPr>
        <w:t xml:space="preserve">                               </w:t>
      </w:r>
      <w:r w:rsidRPr="00C87BF6">
        <w:rPr>
          <w:rFonts w:ascii="Calibri" w:hAnsi="Calibri"/>
          <w:iCs/>
        </w:rPr>
        <w:t>576</w:t>
      </w:r>
      <w:r>
        <w:rPr>
          <w:rFonts w:ascii="Calibri" w:hAnsi="Calibri"/>
          <w:iCs/>
        </w:rPr>
        <w:t xml:space="preserve"> </w:t>
      </w:r>
      <w:r w:rsidRPr="00C87BF6">
        <w:rPr>
          <w:rFonts w:ascii="Calibri" w:hAnsi="Calibri"/>
          <w:iCs/>
        </w:rPr>
        <w:t>€/ha              mladé 443 €/ha</w:t>
      </w:r>
    </w:p>
    <w:p w:rsidR="0054499C" w:rsidRPr="00C87BF6" w:rsidRDefault="0054499C" w:rsidP="0054499C">
      <w:pPr>
        <w:rPr>
          <w:rFonts w:ascii="Calibri" w:hAnsi="Calibri"/>
          <w:iCs/>
        </w:rPr>
      </w:pPr>
      <w:r w:rsidRPr="00C87BF6">
        <w:rPr>
          <w:rFonts w:ascii="Calibri" w:hAnsi="Calibri"/>
          <w:iCs/>
        </w:rPr>
        <w:t xml:space="preserve">Ovocné sady ostatné  </w:t>
      </w:r>
      <w:r w:rsidRPr="00C87BF6">
        <w:rPr>
          <w:rFonts w:ascii="Calibri" w:hAnsi="Calibri"/>
          <w:iCs/>
        </w:rPr>
        <w:tab/>
      </w:r>
      <w:r w:rsidRPr="00C87BF6">
        <w:rPr>
          <w:rFonts w:ascii="Calibri" w:hAnsi="Calibri"/>
          <w:iCs/>
        </w:rPr>
        <w:tab/>
      </w:r>
      <w:r w:rsidRPr="00C87BF6">
        <w:rPr>
          <w:rFonts w:ascii="Calibri" w:hAnsi="Calibri"/>
          <w:iCs/>
        </w:rPr>
        <w:tab/>
      </w:r>
      <w:r w:rsidRPr="00C87BF6">
        <w:rPr>
          <w:rFonts w:ascii="Calibri" w:hAnsi="Calibri"/>
          <w:iCs/>
        </w:rPr>
        <w:tab/>
      </w:r>
      <w:r w:rsidRPr="00C87BF6">
        <w:rPr>
          <w:rFonts w:ascii="Calibri" w:hAnsi="Calibri"/>
          <w:iCs/>
        </w:rPr>
        <w:tab/>
        <w:t>288</w:t>
      </w:r>
      <w:r>
        <w:rPr>
          <w:rFonts w:ascii="Calibri" w:hAnsi="Calibri"/>
          <w:iCs/>
        </w:rPr>
        <w:t xml:space="preserve"> </w:t>
      </w:r>
      <w:r w:rsidRPr="00C87BF6">
        <w:rPr>
          <w:rFonts w:ascii="Calibri" w:hAnsi="Calibri"/>
          <w:iCs/>
        </w:rPr>
        <w:t>€/ha</w:t>
      </w:r>
    </w:p>
    <w:p w:rsidR="0054499C" w:rsidRPr="00C87BF6" w:rsidRDefault="0054499C" w:rsidP="0054499C">
      <w:pPr>
        <w:rPr>
          <w:rFonts w:ascii="Calibri" w:hAnsi="Calibri"/>
          <w:iCs/>
        </w:rPr>
      </w:pPr>
      <w:r w:rsidRPr="00C87BF6">
        <w:rPr>
          <w:rFonts w:ascii="Calibri" w:hAnsi="Calibri"/>
          <w:iCs/>
        </w:rPr>
        <w:t>Vinohrady rodiace</w:t>
      </w:r>
      <w:r w:rsidRPr="00C87BF6">
        <w:rPr>
          <w:rFonts w:ascii="Calibri" w:hAnsi="Calibri"/>
          <w:iCs/>
        </w:rPr>
        <w:tab/>
      </w:r>
      <w:r w:rsidRPr="00C87BF6">
        <w:rPr>
          <w:rFonts w:ascii="Calibri" w:hAnsi="Calibri"/>
          <w:iCs/>
        </w:rPr>
        <w:tab/>
      </w:r>
      <w:r w:rsidRPr="00C87BF6">
        <w:rPr>
          <w:rFonts w:ascii="Calibri" w:hAnsi="Calibri"/>
          <w:iCs/>
        </w:rPr>
        <w:tab/>
      </w:r>
      <w:r w:rsidRPr="00C87BF6">
        <w:rPr>
          <w:rFonts w:ascii="Calibri" w:hAnsi="Calibri"/>
          <w:iCs/>
        </w:rPr>
        <w:tab/>
      </w:r>
      <w:r w:rsidRPr="00C87BF6">
        <w:rPr>
          <w:rFonts w:ascii="Calibri" w:hAnsi="Calibri"/>
          <w:iCs/>
        </w:rPr>
        <w:tab/>
        <w:t>546</w:t>
      </w:r>
      <w:r>
        <w:rPr>
          <w:rFonts w:ascii="Calibri" w:hAnsi="Calibri"/>
          <w:iCs/>
        </w:rPr>
        <w:t xml:space="preserve"> </w:t>
      </w:r>
      <w:r w:rsidRPr="00C87BF6">
        <w:rPr>
          <w:rFonts w:ascii="Calibri" w:hAnsi="Calibri"/>
          <w:iCs/>
        </w:rPr>
        <w:t>€/ha              mladé 420 €/ha</w:t>
      </w:r>
    </w:p>
    <w:p w:rsidR="0054499C" w:rsidRPr="00C87BF6" w:rsidRDefault="0054499C" w:rsidP="0054499C">
      <w:pPr>
        <w:rPr>
          <w:rFonts w:ascii="Calibri" w:hAnsi="Calibri"/>
          <w:iCs/>
        </w:rPr>
      </w:pPr>
      <w:r w:rsidRPr="00C87BF6">
        <w:rPr>
          <w:rFonts w:ascii="Calibri" w:hAnsi="Calibri"/>
          <w:iCs/>
        </w:rPr>
        <w:t xml:space="preserve">TTP               </w:t>
      </w:r>
      <w:r w:rsidRPr="00C87BF6">
        <w:rPr>
          <w:rFonts w:ascii="Calibri" w:hAnsi="Calibri"/>
          <w:iCs/>
        </w:rPr>
        <w:tab/>
      </w:r>
      <w:r w:rsidRPr="00C87BF6">
        <w:rPr>
          <w:rFonts w:ascii="Calibri" w:hAnsi="Calibri"/>
          <w:iCs/>
        </w:rPr>
        <w:tab/>
      </w:r>
      <w:r w:rsidRPr="00C87BF6">
        <w:rPr>
          <w:rFonts w:ascii="Calibri" w:hAnsi="Calibri"/>
          <w:iCs/>
        </w:rPr>
        <w:tab/>
      </w:r>
      <w:r w:rsidRPr="00C87BF6">
        <w:rPr>
          <w:rFonts w:ascii="Calibri" w:hAnsi="Calibri"/>
          <w:iCs/>
        </w:rPr>
        <w:tab/>
      </w:r>
      <w:r w:rsidRPr="00C87BF6">
        <w:rPr>
          <w:rFonts w:ascii="Calibri" w:hAnsi="Calibri"/>
          <w:iCs/>
        </w:rPr>
        <w:tab/>
      </w:r>
      <w:r w:rsidRPr="00C87BF6">
        <w:rPr>
          <w:rFonts w:ascii="Calibri" w:hAnsi="Calibri"/>
          <w:iCs/>
        </w:rPr>
        <w:tab/>
        <w:t xml:space="preserve">  96</w:t>
      </w:r>
      <w:r>
        <w:rPr>
          <w:rFonts w:ascii="Calibri" w:hAnsi="Calibri"/>
          <w:iCs/>
        </w:rPr>
        <w:t xml:space="preserve"> </w:t>
      </w:r>
      <w:r w:rsidRPr="00C87BF6">
        <w:rPr>
          <w:rFonts w:ascii="Calibri" w:hAnsi="Calibri"/>
          <w:iCs/>
        </w:rPr>
        <w:t>€/ha</w:t>
      </w:r>
    </w:p>
    <w:p w:rsidR="0054499C" w:rsidRPr="00C87BF6" w:rsidRDefault="0054499C" w:rsidP="0054499C">
      <w:pPr>
        <w:autoSpaceDE w:val="0"/>
        <w:autoSpaceDN w:val="0"/>
        <w:adjustRightInd w:val="0"/>
        <w:rPr>
          <w:rFonts w:ascii="Calibri" w:hAnsi="Calibri"/>
          <w:iCs/>
        </w:rPr>
      </w:pPr>
      <w:r w:rsidRPr="00C87BF6">
        <w:rPr>
          <w:rFonts w:ascii="Calibri" w:hAnsi="Calibri"/>
          <w:iCs/>
        </w:rPr>
        <w:t>TTP s uznaným biotopom TTP                                     max. 115</w:t>
      </w:r>
      <w:r>
        <w:rPr>
          <w:rFonts w:ascii="Calibri" w:hAnsi="Calibri"/>
          <w:iCs/>
        </w:rPr>
        <w:t xml:space="preserve"> </w:t>
      </w:r>
      <w:r w:rsidRPr="00C87BF6">
        <w:rPr>
          <w:rFonts w:ascii="Calibri" w:hAnsi="Calibri"/>
          <w:iCs/>
        </w:rPr>
        <w:t>€/ha</w:t>
      </w:r>
    </w:p>
    <w:p w:rsidR="0054499C" w:rsidRDefault="0054499C" w:rsidP="0054499C">
      <w:pPr>
        <w:autoSpaceDE w:val="0"/>
        <w:autoSpaceDN w:val="0"/>
        <w:adjustRightInd w:val="0"/>
        <w:rPr>
          <w:rFonts w:ascii="Calibri" w:hAnsi="Calibri"/>
          <w:iCs/>
        </w:rPr>
      </w:pPr>
    </w:p>
    <w:p w:rsidR="00095683" w:rsidRDefault="00095683" w:rsidP="0054499C">
      <w:pPr>
        <w:autoSpaceDE w:val="0"/>
        <w:autoSpaceDN w:val="0"/>
        <w:adjustRightInd w:val="0"/>
        <w:rPr>
          <w:rFonts w:ascii="Calibri" w:hAnsi="Calibri"/>
          <w:iCs/>
        </w:rPr>
      </w:pPr>
    </w:p>
    <w:p w:rsidR="00095683" w:rsidRPr="00C87BF6" w:rsidRDefault="00095683" w:rsidP="0054499C">
      <w:pPr>
        <w:autoSpaceDE w:val="0"/>
        <w:autoSpaceDN w:val="0"/>
        <w:adjustRightInd w:val="0"/>
        <w:rPr>
          <w:rFonts w:ascii="Calibri" w:hAnsi="Calibri"/>
          <w:iCs/>
        </w:rPr>
      </w:pPr>
    </w:p>
    <w:p w:rsidR="0054499C" w:rsidRPr="00C87BF6" w:rsidRDefault="0054499C" w:rsidP="0054499C">
      <w:pPr>
        <w:keepNext/>
        <w:shd w:val="clear" w:color="auto" w:fill="EAF1DD"/>
        <w:autoSpaceDN w:val="0"/>
        <w:outlineLvl w:val="4"/>
        <w:rPr>
          <w:rFonts w:ascii="Calibri" w:eastAsia="Calibri" w:hAnsi="Calibri"/>
          <w:b/>
          <w:i/>
          <w:sz w:val="24"/>
        </w:rPr>
      </w:pPr>
      <w:r w:rsidRPr="00C87BF6">
        <w:rPr>
          <w:rFonts w:ascii="Calibri" w:eastAsia="Calibri" w:hAnsi="Calibri"/>
          <w:sz w:val="24"/>
        </w:rPr>
        <w:t>Podopatrenie:</w:t>
      </w:r>
      <w:r w:rsidRPr="00C87BF6">
        <w:rPr>
          <w:rFonts w:ascii="Calibri" w:eastAsia="Calibri" w:hAnsi="Calibri"/>
          <w:b/>
          <w:i/>
          <w:sz w:val="24"/>
        </w:rPr>
        <w:t xml:space="preserve"> 11.2 </w:t>
      </w:r>
      <w:r w:rsidRPr="00C87BF6">
        <w:rPr>
          <w:rFonts w:ascii="Calibri" w:eastAsia="Calibri" w:hAnsi="Calibri" w:cs="Calibri"/>
          <w:b/>
          <w:i/>
          <w:sz w:val="24"/>
        </w:rPr>
        <w:t>Platby na udržanie ekologického poľnohospodárstva</w:t>
      </w:r>
    </w:p>
    <w:p w:rsidR="0054499C" w:rsidRPr="00C87BF6" w:rsidRDefault="0054499C" w:rsidP="0054499C">
      <w:pPr>
        <w:shd w:val="clear" w:color="auto" w:fill="FBD4B4"/>
        <w:tabs>
          <w:tab w:val="left" w:pos="284"/>
        </w:tabs>
        <w:rPr>
          <w:rFonts w:ascii="Calibri" w:eastAsia="Calibri" w:hAnsi="Calibri"/>
          <w:u w:val="single"/>
        </w:rPr>
      </w:pPr>
      <w:r w:rsidRPr="00C87BF6">
        <w:rPr>
          <w:rFonts w:ascii="Calibri" w:eastAsia="Calibri" w:hAnsi="Calibri"/>
          <w:u w:val="single"/>
        </w:rPr>
        <w:t>Názov operácie:</w:t>
      </w:r>
    </w:p>
    <w:p w:rsidR="0054499C" w:rsidRPr="00C87BF6" w:rsidRDefault="0054499C" w:rsidP="0054499C">
      <w:pPr>
        <w:shd w:val="clear" w:color="auto" w:fill="FBD4B4"/>
        <w:tabs>
          <w:tab w:val="left" w:pos="284"/>
        </w:tabs>
        <w:rPr>
          <w:rFonts w:ascii="Calibri" w:eastAsia="Calibri" w:hAnsi="Calibri"/>
          <w:i/>
        </w:rPr>
      </w:pPr>
      <w:r w:rsidRPr="00C87BF6">
        <w:rPr>
          <w:rFonts w:ascii="Calibri" w:eastAsia="Calibri" w:hAnsi="Calibri"/>
          <w:i/>
        </w:rPr>
        <w:t>Podpora obhospodarovania poľnohospodárskej pôdy v kontrolovanom a registrovanom systéme ekologickej poľnohospodárskej výroby počas obdobia po období konverzie na ekologické poľnohospodárstvo (udržovanie ekologického poľnohospodárstva).</w:t>
      </w:r>
    </w:p>
    <w:p w:rsidR="0054499C" w:rsidRPr="00C87BF6" w:rsidRDefault="0054499C" w:rsidP="0054499C">
      <w:pPr>
        <w:rPr>
          <w:rFonts w:ascii="Calibri" w:eastAsia="Calibri" w:hAnsi="Calibri"/>
        </w:rPr>
      </w:pPr>
    </w:p>
    <w:p w:rsidR="0054499C" w:rsidRPr="00C87BF6" w:rsidRDefault="0054499C" w:rsidP="0054499C">
      <w:pPr>
        <w:rPr>
          <w:rFonts w:ascii="Calibri" w:eastAsia="Calibri" w:hAnsi="Calibri"/>
          <w:u w:val="single"/>
        </w:rPr>
      </w:pPr>
      <w:r w:rsidRPr="00C87BF6">
        <w:rPr>
          <w:rFonts w:ascii="Calibri" w:eastAsia="Calibri" w:hAnsi="Calibri"/>
          <w:u w:val="single"/>
        </w:rPr>
        <w:t>Opis operácie:</w:t>
      </w:r>
    </w:p>
    <w:p w:rsidR="0054499C" w:rsidRPr="00C87BF6" w:rsidRDefault="0054499C" w:rsidP="0054499C">
      <w:pPr>
        <w:rPr>
          <w:rFonts w:ascii="Calibri" w:hAnsi="Calibri"/>
          <w:lang w:eastAsia="en-GB"/>
        </w:rPr>
      </w:pPr>
      <w:r w:rsidRPr="00C87BF6">
        <w:rPr>
          <w:rFonts w:ascii="Calibri" w:hAnsi="Calibri"/>
          <w:lang w:eastAsia="en-GB"/>
        </w:rPr>
        <w:t xml:space="preserve">Cieľom podopatrenia je podpora  na udržanie systému ekologického poľnohospodárstva na pôde v registrovanom a kontrolovanom systéme ekologickej poľnohospodárskej výroby. Ekologická poľnohospodárska výroba je najvyšším stupňom poľnohospodárskej výroby vo vzťahu k ochrane a udržiavaniu dobrého životného prostredia, ochrane pred znečistením povrchových a podzemných vôd, udržiavania dobrého stavu pôdy. Pozitívne tiež prispieva k udržaniu zamestnanosti na vidieku. Zabezpečuje aj produkciu domácich bioproduktov a biopotravín. </w:t>
      </w:r>
    </w:p>
    <w:p w:rsidR="0054499C" w:rsidRPr="00C87BF6" w:rsidRDefault="0054499C" w:rsidP="0054499C">
      <w:pPr>
        <w:rPr>
          <w:rFonts w:ascii="Calibri" w:hAnsi="Calibri"/>
        </w:rPr>
      </w:pPr>
    </w:p>
    <w:p w:rsidR="0054499C" w:rsidRPr="00C87BF6" w:rsidRDefault="0054499C" w:rsidP="0054499C">
      <w:pPr>
        <w:rPr>
          <w:rFonts w:ascii="Calibri" w:hAnsi="Calibri"/>
        </w:rPr>
      </w:pPr>
      <w:r w:rsidRPr="00C87BF6">
        <w:rPr>
          <w:rFonts w:ascii="Calibri" w:hAnsi="Calibri"/>
        </w:rPr>
        <w:t>Podpora bude poskytovaná na nasledovné druhy pozemkov:</w:t>
      </w:r>
    </w:p>
    <w:p w:rsidR="0054499C" w:rsidRPr="00C87BF6" w:rsidRDefault="0054499C" w:rsidP="001F5283">
      <w:pPr>
        <w:numPr>
          <w:ilvl w:val="0"/>
          <w:numId w:val="53"/>
        </w:numPr>
        <w:rPr>
          <w:rFonts w:ascii="Calibri" w:eastAsia="Calibri" w:hAnsi="Calibri"/>
        </w:rPr>
      </w:pPr>
      <w:r w:rsidRPr="00C87BF6">
        <w:rPr>
          <w:rFonts w:ascii="Calibri" w:eastAsia="Calibri" w:hAnsi="Calibri"/>
        </w:rPr>
        <w:t>Orná pôda</w:t>
      </w:r>
    </w:p>
    <w:p w:rsidR="0054499C" w:rsidRPr="00C87BF6" w:rsidRDefault="0054499C" w:rsidP="001F5283">
      <w:pPr>
        <w:numPr>
          <w:ilvl w:val="0"/>
          <w:numId w:val="53"/>
        </w:numPr>
        <w:rPr>
          <w:rFonts w:ascii="Calibri" w:eastAsia="Calibri" w:hAnsi="Calibri"/>
        </w:rPr>
      </w:pPr>
      <w:r w:rsidRPr="00C87BF6">
        <w:rPr>
          <w:rFonts w:ascii="Calibri" w:eastAsia="Calibri" w:hAnsi="Calibri"/>
        </w:rPr>
        <w:t>Zelenina, liečivé, koreninové a aromatické rastliny</w:t>
      </w:r>
    </w:p>
    <w:p w:rsidR="0054499C" w:rsidRPr="00C87BF6" w:rsidRDefault="0054499C" w:rsidP="001F5283">
      <w:pPr>
        <w:numPr>
          <w:ilvl w:val="0"/>
          <w:numId w:val="53"/>
        </w:numPr>
        <w:rPr>
          <w:rFonts w:ascii="Calibri" w:eastAsia="Calibri" w:hAnsi="Calibri"/>
        </w:rPr>
      </w:pPr>
      <w:r w:rsidRPr="00C87BF6">
        <w:rPr>
          <w:rFonts w:ascii="Calibri" w:eastAsia="Calibri" w:hAnsi="Calibri"/>
        </w:rPr>
        <w:t>Zemiaky</w:t>
      </w:r>
    </w:p>
    <w:p w:rsidR="0054499C" w:rsidRPr="00C87BF6" w:rsidRDefault="0054499C" w:rsidP="001F5283">
      <w:pPr>
        <w:numPr>
          <w:ilvl w:val="0"/>
          <w:numId w:val="53"/>
        </w:numPr>
        <w:rPr>
          <w:rFonts w:ascii="Calibri" w:eastAsia="Calibri" w:hAnsi="Calibri"/>
        </w:rPr>
      </w:pPr>
      <w:r w:rsidRPr="00C87BF6">
        <w:rPr>
          <w:rFonts w:ascii="Calibri" w:eastAsia="Calibri" w:hAnsi="Calibri"/>
          <w:lang w:eastAsia="en-GB"/>
        </w:rPr>
        <w:t>Ovocné sady intenzívne</w:t>
      </w:r>
    </w:p>
    <w:p w:rsidR="0054499C" w:rsidRPr="00C87BF6" w:rsidRDefault="0054499C" w:rsidP="00955DA4">
      <w:pPr>
        <w:numPr>
          <w:ilvl w:val="0"/>
          <w:numId w:val="258"/>
        </w:numPr>
        <w:tabs>
          <w:tab w:val="num" w:pos="426"/>
        </w:tabs>
        <w:ind w:hanging="720"/>
        <w:rPr>
          <w:rFonts w:ascii="Calibri" w:eastAsia="Calibri" w:hAnsi="Calibri"/>
          <w:lang w:eastAsia="en-GB"/>
        </w:rPr>
      </w:pPr>
      <w:r w:rsidRPr="00C87BF6">
        <w:rPr>
          <w:rFonts w:ascii="Calibri" w:eastAsia="Calibri" w:hAnsi="Calibri"/>
          <w:lang w:eastAsia="en-GB"/>
        </w:rPr>
        <w:t>Ovocné sady ostatné</w:t>
      </w:r>
    </w:p>
    <w:p w:rsidR="0054499C" w:rsidRPr="00C87BF6" w:rsidRDefault="0054499C" w:rsidP="00955DA4">
      <w:pPr>
        <w:numPr>
          <w:ilvl w:val="0"/>
          <w:numId w:val="258"/>
        </w:numPr>
        <w:tabs>
          <w:tab w:val="num" w:pos="426"/>
        </w:tabs>
        <w:ind w:hanging="720"/>
        <w:rPr>
          <w:rFonts w:ascii="Calibri" w:eastAsia="Calibri" w:hAnsi="Calibri"/>
          <w:lang w:eastAsia="en-GB"/>
        </w:rPr>
      </w:pPr>
      <w:r w:rsidRPr="00C87BF6">
        <w:rPr>
          <w:rFonts w:ascii="Calibri" w:eastAsia="Calibri" w:hAnsi="Calibri"/>
          <w:lang w:eastAsia="en-GB"/>
        </w:rPr>
        <w:t>Vinohrady</w:t>
      </w:r>
    </w:p>
    <w:p w:rsidR="0054499C" w:rsidRPr="00C87BF6" w:rsidRDefault="0054499C" w:rsidP="0054499C">
      <w:pPr>
        <w:tabs>
          <w:tab w:val="num" w:pos="426"/>
        </w:tabs>
        <w:rPr>
          <w:rFonts w:ascii="Calibri" w:eastAsia="Calibri" w:hAnsi="Calibri"/>
          <w:lang w:eastAsia="en-GB"/>
        </w:rPr>
      </w:pPr>
      <w:r w:rsidRPr="00C87BF6">
        <w:rPr>
          <w:rFonts w:ascii="Calibri" w:eastAsia="Calibri" w:hAnsi="Calibri"/>
          <w:lang w:eastAsia="en-GB"/>
        </w:rPr>
        <w:t>•</w:t>
      </w:r>
      <w:r w:rsidRPr="00C87BF6">
        <w:rPr>
          <w:rFonts w:ascii="Calibri" w:eastAsia="Calibri" w:hAnsi="Calibri"/>
          <w:lang w:eastAsia="en-GB"/>
        </w:rPr>
        <w:tab/>
        <w:t>TTP</w:t>
      </w:r>
    </w:p>
    <w:p w:rsidR="0054499C" w:rsidRPr="00C87BF6" w:rsidRDefault="0054499C" w:rsidP="0054499C">
      <w:pPr>
        <w:rPr>
          <w:rFonts w:ascii="Calibri" w:eastAsia="Calibri" w:hAnsi="Calibri"/>
        </w:rPr>
      </w:pPr>
    </w:p>
    <w:p w:rsidR="0054499C" w:rsidRPr="00C87BF6" w:rsidRDefault="0054499C" w:rsidP="0054499C">
      <w:pPr>
        <w:rPr>
          <w:rFonts w:ascii="Calibri" w:eastAsia="Calibri" w:hAnsi="Calibri"/>
          <w:u w:val="single"/>
        </w:rPr>
      </w:pPr>
      <w:r w:rsidRPr="00C87BF6">
        <w:rPr>
          <w:rFonts w:ascii="Calibri" w:eastAsia="Calibri" w:hAnsi="Calibri"/>
          <w:u w:val="single"/>
        </w:rPr>
        <w:t>Typ podpory:</w:t>
      </w:r>
    </w:p>
    <w:p w:rsidR="0054499C" w:rsidRPr="00C87BF6" w:rsidRDefault="0054499C" w:rsidP="0054499C">
      <w:pPr>
        <w:rPr>
          <w:rFonts w:ascii="Calibri" w:eastAsia="Calibri" w:hAnsi="Calibri"/>
        </w:rPr>
      </w:pPr>
      <w:r w:rsidRPr="00C87BF6">
        <w:rPr>
          <w:rFonts w:ascii="Calibri" w:eastAsia="Calibri" w:hAnsi="Calibri"/>
        </w:rPr>
        <w:t>Nezisková ročná kompenzačná platba na hektár poľnohospodárskej pôdy po konverzii podľa jednotlivých druhov pozemkov v záväzku (udržovanie ekologického poľnohospodárstva).</w:t>
      </w:r>
    </w:p>
    <w:p w:rsidR="0054499C" w:rsidRPr="00C87BF6" w:rsidRDefault="0054499C" w:rsidP="0054499C">
      <w:pPr>
        <w:rPr>
          <w:rFonts w:ascii="Calibri" w:eastAsia="Calibri" w:hAnsi="Calibri"/>
        </w:rPr>
      </w:pPr>
    </w:p>
    <w:p w:rsidR="0054499C" w:rsidRPr="00C87BF6" w:rsidRDefault="0054499C" w:rsidP="0054499C">
      <w:pPr>
        <w:rPr>
          <w:rFonts w:ascii="Calibri" w:eastAsia="Calibri" w:hAnsi="Calibri" w:cs="Calibri"/>
          <w:bCs/>
          <w:u w:val="single"/>
        </w:rPr>
      </w:pPr>
      <w:r w:rsidRPr="00C87BF6">
        <w:rPr>
          <w:rFonts w:ascii="Calibri" w:eastAsia="Calibri" w:hAnsi="Calibri" w:cs="Calibri"/>
          <w:bCs/>
          <w:u w:val="single"/>
        </w:rPr>
        <w:t>Súvislosť s inou legislatívou:</w:t>
      </w:r>
    </w:p>
    <w:p w:rsidR="0054499C" w:rsidRPr="00C87BF6" w:rsidRDefault="0054499C" w:rsidP="00955DA4">
      <w:pPr>
        <w:numPr>
          <w:ilvl w:val="0"/>
          <w:numId w:val="259"/>
        </w:numPr>
        <w:tabs>
          <w:tab w:val="num" w:pos="284"/>
        </w:tabs>
        <w:ind w:left="284" w:hanging="284"/>
        <w:rPr>
          <w:rFonts w:ascii="Calibri" w:eastAsia="Calibri" w:hAnsi="Calibri"/>
        </w:rPr>
      </w:pPr>
      <w:r w:rsidRPr="00C87BF6">
        <w:rPr>
          <w:rFonts w:ascii="Calibri" w:eastAsia="Calibri" w:hAnsi="Calibri"/>
        </w:rPr>
        <w:t>nariadenie (EÚ) č. 1306/2013  o financovaní, riadení a monitorovaní spoločnej poľnohospodárskej politiky;</w:t>
      </w:r>
    </w:p>
    <w:p w:rsidR="0054499C" w:rsidRPr="00C87BF6" w:rsidRDefault="0054499C" w:rsidP="00955DA4">
      <w:pPr>
        <w:numPr>
          <w:ilvl w:val="0"/>
          <w:numId w:val="259"/>
        </w:numPr>
        <w:tabs>
          <w:tab w:val="num" w:pos="284"/>
        </w:tabs>
        <w:ind w:left="284" w:hanging="284"/>
        <w:rPr>
          <w:rFonts w:ascii="Calibri" w:eastAsia="Calibri" w:hAnsi="Calibri"/>
        </w:rPr>
      </w:pPr>
      <w:r w:rsidRPr="00C87BF6">
        <w:rPr>
          <w:rFonts w:ascii="Calibri" w:eastAsia="Calibri" w:hAnsi="Calibri"/>
        </w:rPr>
        <w:t>nariadenie (EÚ)  č. 1307/2013, ktorým sa ustanovujú pravidlá priamych platieb pre poľnohospodárov na základe režimov podpory v rámci spoločnej poľnohospodárskej politiky;</w:t>
      </w:r>
    </w:p>
    <w:p w:rsidR="0054499C" w:rsidRPr="00C87BF6" w:rsidRDefault="0054499C" w:rsidP="00955DA4">
      <w:pPr>
        <w:numPr>
          <w:ilvl w:val="0"/>
          <w:numId w:val="259"/>
        </w:numPr>
        <w:tabs>
          <w:tab w:val="num" w:pos="284"/>
        </w:tabs>
        <w:ind w:left="284" w:hanging="284"/>
        <w:rPr>
          <w:rFonts w:ascii="Calibri" w:eastAsia="Calibri" w:hAnsi="Calibri"/>
        </w:rPr>
      </w:pPr>
      <w:r w:rsidRPr="00C87BF6">
        <w:rPr>
          <w:rFonts w:ascii="Calibri" w:eastAsia="Calibri" w:hAnsi="Calibri"/>
        </w:rPr>
        <w:t>nariadenie Komisie (ES) č. 889/2008, ktorým sa ustanovujú podrobné pravidlá implementácie nariadenia Rady (ES) č. 834/2007 o ekologickej výrobe a označovaní ekologických produktov so zreteľom na ekologickú výrobu, označovanie a kontrolu;</w:t>
      </w:r>
    </w:p>
    <w:p w:rsidR="0054499C" w:rsidRPr="00C87BF6" w:rsidRDefault="0054499C" w:rsidP="00955DA4">
      <w:pPr>
        <w:numPr>
          <w:ilvl w:val="0"/>
          <w:numId w:val="259"/>
        </w:numPr>
        <w:tabs>
          <w:tab w:val="num" w:pos="284"/>
        </w:tabs>
        <w:ind w:left="284" w:hanging="284"/>
        <w:rPr>
          <w:rFonts w:ascii="Calibri" w:eastAsia="Calibri" w:hAnsi="Calibri"/>
        </w:rPr>
      </w:pPr>
      <w:r w:rsidRPr="00C87BF6">
        <w:rPr>
          <w:rFonts w:ascii="Calibri" w:eastAsia="Calibri" w:hAnsi="Calibri"/>
        </w:rPr>
        <w:t>nariadenie (ES) č. 882/2004 o úradných kontrolách uskutočňovaných s cieľom zabezpečiť overenie dodržiavania potravinového a krmivového práva  a predpisov o zdraví zvierat a o starostlivosti o zvieratá;</w:t>
      </w:r>
    </w:p>
    <w:p w:rsidR="0054499C" w:rsidRPr="00C87BF6" w:rsidRDefault="0054499C" w:rsidP="00955DA4">
      <w:pPr>
        <w:numPr>
          <w:ilvl w:val="0"/>
          <w:numId w:val="259"/>
        </w:numPr>
        <w:tabs>
          <w:tab w:val="num" w:pos="284"/>
        </w:tabs>
        <w:ind w:left="284" w:hanging="284"/>
        <w:rPr>
          <w:rFonts w:ascii="Calibri" w:eastAsia="Calibri" w:hAnsi="Calibri"/>
        </w:rPr>
      </w:pPr>
      <w:r w:rsidRPr="00C87BF6">
        <w:rPr>
          <w:rFonts w:ascii="Calibri" w:eastAsia="Calibri" w:hAnsi="Calibri"/>
        </w:rPr>
        <w:t>zákon č. 405/2011 Z. z. o rastlinolekárskej starostlivosti;</w:t>
      </w:r>
    </w:p>
    <w:p w:rsidR="0054499C" w:rsidRPr="00C87BF6" w:rsidRDefault="0054499C" w:rsidP="00955DA4">
      <w:pPr>
        <w:numPr>
          <w:ilvl w:val="0"/>
          <w:numId w:val="259"/>
        </w:numPr>
        <w:tabs>
          <w:tab w:val="num" w:pos="284"/>
        </w:tabs>
        <w:ind w:left="284" w:hanging="284"/>
        <w:rPr>
          <w:rFonts w:ascii="Calibri" w:eastAsia="Calibri" w:hAnsi="Calibri"/>
          <w:sz w:val="20"/>
          <w:szCs w:val="20"/>
        </w:rPr>
      </w:pPr>
      <w:r w:rsidRPr="00C87BF6">
        <w:rPr>
          <w:rFonts w:ascii="Calibri" w:eastAsia="Calibri" w:hAnsi="Calibri"/>
        </w:rPr>
        <w:t>zákon č. 136/2000 Z. z. o hnojivách.</w:t>
      </w:r>
    </w:p>
    <w:p w:rsidR="0054499C" w:rsidRPr="00C87BF6" w:rsidRDefault="0054499C" w:rsidP="0054499C">
      <w:pPr>
        <w:rPr>
          <w:rFonts w:ascii="Calibri" w:eastAsia="Calibri" w:hAnsi="Calibri"/>
          <w:lang w:eastAsia="en-GB"/>
        </w:rPr>
      </w:pPr>
    </w:p>
    <w:p w:rsidR="0054499C" w:rsidRPr="00C87BF6" w:rsidRDefault="0054499C" w:rsidP="0054499C">
      <w:pPr>
        <w:rPr>
          <w:rFonts w:ascii="Calibri" w:eastAsia="Calibri" w:hAnsi="Calibri"/>
          <w:u w:val="single"/>
          <w:lang w:eastAsia="en-GB"/>
        </w:rPr>
      </w:pPr>
      <w:r w:rsidRPr="00C87BF6">
        <w:rPr>
          <w:rFonts w:ascii="Calibri" w:eastAsia="Calibri" w:hAnsi="Calibri"/>
          <w:u w:val="single"/>
          <w:lang w:eastAsia="en-GB"/>
        </w:rPr>
        <w:t>Prijímatelia podpory:</w:t>
      </w:r>
    </w:p>
    <w:p w:rsidR="0054499C" w:rsidRPr="00C87BF6" w:rsidRDefault="0054499C" w:rsidP="0054499C">
      <w:pPr>
        <w:rPr>
          <w:rFonts w:ascii="Calibri" w:hAnsi="Calibri"/>
        </w:rPr>
      </w:pPr>
      <w:r w:rsidRPr="00C87BF6">
        <w:rPr>
          <w:rFonts w:ascii="Calibri" w:hAnsi="Calibri"/>
        </w:rPr>
        <w:t xml:space="preserve">Fyzické a  právnické osoby podnikajúce v poľnohospodárskej prvovýrobe a ich združenia plniace požiadavky na aktívneho poľnohospodára podľa čl. 9 nariadenia EÚ č. 1307/2013. </w:t>
      </w:r>
    </w:p>
    <w:p w:rsidR="0054499C" w:rsidRPr="00C87BF6" w:rsidRDefault="0054499C" w:rsidP="0054499C">
      <w:pPr>
        <w:rPr>
          <w:rFonts w:ascii="Calibri" w:hAnsi="Calibri"/>
        </w:rPr>
      </w:pPr>
    </w:p>
    <w:p w:rsidR="0054499C" w:rsidRPr="00C87BF6" w:rsidRDefault="0054499C" w:rsidP="0054499C">
      <w:pPr>
        <w:rPr>
          <w:rFonts w:ascii="Calibri" w:eastAsia="Calibri" w:hAnsi="Calibri"/>
          <w:u w:val="single"/>
          <w:lang w:eastAsia="en-GB"/>
        </w:rPr>
      </w:pPr>
      <w:r w:rsidRPr="00C87BF6">
        <w:rPr>
          <w:rFonts w:ascii="Calibri" w:eastAsia="Calibri" w:hAnsi="Calibri"/>
          <w:u w:val="single"/>
          <w:lang w:eastAsia="en-GB"/>
        </w:rPr>
        <w:t>Oprávnené náklady:</w:t>
      </w:r>
    </w:p>
    <w:p w:rsidR="0054499C" w:rsidRPr="00C87BF6" w:rsidRDefault="0054499C" w:rsidP="0054499C">
      <w:pPr>
        <w:rPr>
          <w:rFonts w:ascii="Calibri" w:eastAsia="Calibri" w:hAnsi="Calibri"/>
          <w:lang w:eastAsia="en-GB"/>
        </w:rPr>
      </w:pPr>
      <w:r w:rsidRPr="00C87BF6">
        <w:rPr>
          <w:rFonts w:ascii="Calibri" w:eastAsia="Calibri" w:hAnsi="Calibri"/>
          <w:lang w:eastAsia="en-GB"/>
        </w:rPr>
        <w:t xml:space="preserve">Platba kompenzuje dodatočné náklady a stratu príjmu v dôsledku prijatia záväzku. </w:t>
      </w:r>
    </w:p>
    <w:p w:rsidR="0054499C" w:rsidRPr="00C87BF6" w:rsidRDefault="0054499C" w:rsidP="0054499C">
      <w:pPr>
        <w:rPr>
          <w:rFonts w:ascii="Calibri" w:eastAsia="Calibri" w:hAnsi="Calibri"/>
          <w:u w:val="single"/>
          <w:lang w:eastAsia="en-GB"/>
        </w:rPr>
      </w:pPr>
    </w:p>
    <w:p w:rsidR="0054499C" w:rsidRPr="00C87BF6" w:rsidRDefault="0054499C" w:rsidP="0054499C">
      <w:pPr>
        <w:rPr>
          <w:rFonts w:ascii="Calibri" w:eastAsia="Calibri" w:hAnsi="Calibri"/>
          <w:u w:val="single"/>
          <w:lang w:eastAsia="en-GB"/>
        </w:rPr>
      </w:pPr>
      <w:r w:rsidRPr="00C87BF6">
        <w:rPr>
          <w:rFonts w:ascii="Calibri" w:eastAsia="Calibri" w:hAnsi="Calibri"/>
          <w:u w:val="single"/>
          <w:lang w:eastAsia="en-GB"/>
        </w:rPr>
        <w:t>Podmienky oprávnenosti:</w:t>
      </w:r>
    </w:p>
    <w:p w:rsidR="0054499C" w:rsidRPr="00F37EBF" w:rsidRDefault="0054499C" w:rsidP="00CE203B">
      <w:pPr>
        <w:pStyle w:val="Odsekzoznamu"/>
        <w:numPr>
          <w:ilvl w:val="0"/>
          <w:numId w:val="373"/>
        </w:numPr>
        <w:autoSpaceDE w:val="0"/>
        <w:autoSpaceDN w:val="0"/>
        <w:adjustRightInd w:val="0"/>
        <w:jc w:val="left"/>
        <w:rPr>
          <w:rFonts w:ascii="Calibri" w:hAnsi="Calibri" w:cs="Myriad Pro"/>
          <w:color w:val="000000"/>
          <w:szCs w:val="22"/>
        </w:rPr>
      </w:pPr>
      <w:r>
        <w:rPr>
          <w:rFonts w:ascii="Calibri" w:hAnsi="Calibri" w:cs="Myriad Pro"/>
          <w:color w:val="000000"/>
          <w:szCs w:val="22"/>
        </w:rPr>
        <w:t>v</w:t>
      </w:r>
      <w:r w:rsidRPr="00F37EBF">
        <w:rPr>
          <w:rFonts w:ascii="Calibri" w:hAnsi="Calibri" w:cs="Myriad Pro"/>
          <w:color w:val="000000"/>
          <w:szCs w:val="22"/>
        </w:rPr>
        <w:t>stúpiť do opatrenia s minimálne 1 ha poľnohospodárskej pôdy (LPIS)</w:t>
      </w:r>
    </w:p>
    <w:p w:rsidR="0054499C" w:rsidRPr="00C87BF6" w:rsidRDefault="0054499C" w:rsidP="00CE203B">
      <w:pPr>
        <w:numPr>
          <w:ilvl w:val="0"/>
          <w:numId w:val="373"/>
        </w:numPr>
        <w:autoSpaceDE w:val="0"/>
        <w:autoSpaceDN w:val="0"/>
        <w:adjustRightInd w:val="0"/>
        <w:rPr>
          <w:rFonts w:ascii="Calibri" w:hAnsi="Calibri" w:cs="Myriad Pro"/>
          <w:color w:val="000000"/>
        </w:rPr>
      </w:pPr>
      <w:r>
        <w:rPr>
          <w:rFonts w:ascii="Calibri" w:hAnsi="Calibri" w:cs="Myriad Pro"/>
          <w:color w:val="000000"/>
        </w:rPr>
        <w:t>v</w:t>
      </w:r>
      <w:r w:rsidRPr="00C87BF6">
        <w:rPr>
          <w:rFonts w:ascii="Calibri" w:hAnsi="Calibri" w:cs="Myriad Pro"/>
          <w:color w:val="000000"/>
        </w:rPr>
        <w:t xml:space="preserve"> prípade žiadateľa, ktorý má ekologickú a neekologickú časť podniku (pôda), môže do opatrenia vstúpiť len žiadateľ, ktorý má minimálne 51% výmery poľnohospodárskej pôdy podniku registrovanej v systéme ekologickej poľnohospodárskej výroby na Ústrednom kontrolnom a  skúšobnom ústave poľnohospodárskom. </w:t>
      </w:r>
    </w:p>
    <w:p w:rsidR="0054499C" w:rsidRDefault="0054499C" w:rsidP="00CE203B">
      <w:pPr>
        <w:numPr>
          <w:ilvl w:val="0"/>
          <w:numId w:val="373"/>
        </w:numPr>
        <w:autoSpaceDE w:val="0"/>
        <w:autoSpaceDN w:val="0"/>
        <w:adjustRightInd w:val="0"/>
        <w:rPr>
          <w:rFonts w:ascii="Calibri" w:hAnsi="Calibri" w:cs="Myriad Pro"/>
          <w:color w:val="000000"/>
        </w:rPr>
      </w:pPr>
      <w:r>
        <w:rPr>
          <w:rFonts w:ascii="Calibri" w:hAnsi="Calibri" w:cs="Myriad Pro"/>
          <w:color w:val="000000"/>
        </w:rPr>
        <w:t>počas celej doby realizácie záväzku byť vedený v registri ekologickej poľnohospodárskej výroby na UKSUP</w:t>
      </w:r>
    </w:p>
    <w:p w:rsidR="0054499C" w:rsidRDefault="0054499C" w:rsidP="0054499C">
      <w:pPr>
        <w:autoSpaceDE w:val="0"/>
        <w:autoSpaceDN w:val="0"/>
        <w:adjustRightInd w:val="0"/>
        <w:rPr>
          <w:rFonts w:ascii="Calibri" w:hAnsi="Calibri" w:cs="Myriad Pro"/>
          <w:color w:val="000000"/>
        </w:rPr>
      </w:pPr>
    </w:p>
    <w:p w:rsidR="0054499C" w:rsidRPr="00F37EBF" w:rsidRDefault="0054499C" w:rsidP="0054499C">
      <w:pPr>
        <w:autoSpaceDE w:val="0"/>
        <w:autoSpaceDN w:val="0"/>
        <w:adjustRightInd w:val="0"/>
        <w:rPr>
          <w:rFonts w:ascii="Calibri" w:hAnsi="Calibri" w:cs="Myriad Pro"/>
          <w:color w:val="000000"/>
          <w:u w:val="single"/>
        </w:rPr>
      </w:pPr>
      <w:r w:rsidRPr="00F37EBF">
        <w:rPr>
          <w:rFonts w:ascii="Calibri" w:hAnsi="Calibri" w:cs="Myriad Pro"/>
          <w:color w:val="000000"/>
          <w:u w:val="single"/>
        </w:rPr>
        <w:t>Podmienky podpory:</w:t>
      </w:r>
    </w:p>
    <w:p w:rsidR="0054499C" w:rsidRPr="00C87BF6" w:rsidRDefault="0054499C" w:rsidP="00CE203B">
      <w:pPr>
        <w:numPr>
          <w:ilvl w:val="0"/>
          <w:numId w:val="374"/>
        </w:numPr>
        <w:rPr>
          <w:rFonts w:ascii="Calibri" w:hAnsi="Calibri" w:cs="Calibri"/>
        </w:rPr>
      </w:pPr>
      <w:r>
        <w:rPr>
          <w:rFonts w:ascii="Calibri" w:hAnsi="Calibri" w:cs="Myriad Pro"/>
          <w:color w:val="000000"/>
        </w:rPr>
        <w:t>d</w:t>
      </w:r>
      <w:r w:rsidRPr="00C87BF6">
        <w:rPr>
          <w:rFonts w:ascii="Calibri" w:hAnsi="Calibri" w:cs="Myriad Pro"/>
          <w:color w:val="000000"/>
        </w:rPr>
        <w:t>održiavať n</w:t>
      </w:r>
      <w:r w:rsidRPr="00C87BF6">
        <w:rPr>
          <w:rFonts w:ascii="Calibri" w:hAnsi="Calibri"/>
        </w:rPr>
        <w:t>ariadenie Rady (ES) č. 834/2007 o ekologickej výrobe a označovaní ekologických produktov</w:t>
      </w:r>
      <w:r>
        <w:rPr>
          <w:rFonts w:ascii="Calibri" w:hAnsi="Calibri"/>
        </w:rPr>
        <w:t>,</w:t>
      </w:r>
    </w:p>
    <w:p w:rsidR="0054499C" w:rsidRPr="00C87BF6" w:rsidRDefault="0054499C" w:rsidP="00CE203B">
      <w:pPr>
        <w:numPr>
          <w:ilvl w:val="0"/>
          <w:numId w:val="374"/>
        </w:numPr>
        <w:autoSpaceDE w:val="0"/>
        <w:autoSpaceDN w:val="0"/>
        <w:adjustRightInd w:val="0"/>
        <w:jc w:val="left"/>
        <w:rPr>
          <w:rFonts w:ascii="Calibri" w:hAnsi="Calibri" w:cs="Myriad Pro"/>
          <w:color w:val="000000"/>
        </w:rPr>
      </w:pPr>
      <w:r>
        <w:rPr>
          <w:rFonts w:ascii="Calibri" w:hAnsi="Calibri" w:cs="Myriad Pro"/>
          <w:color w:val="000000"/>
        </w:rPr>
        <w:t>d</w:t>
      </w:r>
      <w:r w:rsidRPr="00C87BF6">
        <w:rPr>
          <w:rFonts w:ascii="Calibri" w:hAnsi="Calibri" w:cs="Myriad Pro"/>
          <w:color w:val="000000"/>
        </w:rPr>
        <w:t>održiavať ustanovenia zákona č. 189/2009 Z. z. o ekologickej poľnohospodárskej výrobe</w:t>
      </w:r>
      <w:r>
        <w:rPr>
          <w:rFonts w:ascii="Calibri" w:hAnsi="Calibri" w:cs="Myriad Pro"/>
          <w:color w:val="000000"/>
        </w:rPr>
        <w:t>,</w:t>
      </w:r>
    </w:p>
    <w:p w:rsidR="0054499C" w:rsidRPr="0076184D" w:rsidRDefault="0054499C" w:rsidP="00CE203B">
      <w:pPr>
        <w:numPr>
          <w:ilvl w:val="0"/>
          <w:numId w:val="374"/>
        </w:numPr>
        <w:rPr>
          <w:rFonts w:ascii="Calibri" w:hAnsi="Calibri" w:cs="Calibri"/>
          <w:i/>
        </w:rPr>
      </w:pPr>
      <w:r>
        <w:rPr>
          <w:rFonts w:ascii="Calibri" w:hAnsi="Calibri" w:cs="Calibri"/>
        </w:rPr>
        <w:t>d</w:t>
      </w:r>
      <w:r w:rsidRPr="00C87BF6">
        <w:rPr>
          <w:rFonts w:ascii="Calibri" w:hAnsi="Calibri" w:cs="Calibri"/>
        </w:rPr>
        <w:t xml:space="preserve">održiavať stanovené zaťaženie registrovanými zvieratami v ekologickej poľnohospodárskej výrobe  najmenej 0,3 DJ na jeden hektár trvalých trávnych porastov vedených v záväzku a maximálne zaťaženie </w:t>
      </w:r>
      <w:r>
        <w:rPr>
          <w:rFonts w:ascii="Calibri" w:hAnsi="Calibri" w:cs="Calibri"/>
        </w:rPr>
        <w:t>2,0</w:t>
      </w:r>
      <w:r w:rsidRPr="00C87BF6">
        <w:rPr>
          <w:rFonts w:ascii="Calibri" w:hAnsi="Calibri" w:cs="Calibri"/>
        </w:rPr>
        <w:t xml:space="preserve"> DJ na jeden hektár poľnohospodárskej pôdy v podniku v období od  </w:t>
      </w:r>
      <w:r>
        <w:rPr>
          <w:rFonts w:ascii="Calibri" w:hAnsi="Calibri" w:cs="Calibri"/>
        </w:rPr>
        <w:t xml:space="preserve">           </w:t>
      </w:r>
      <w:r>
        <w:rPr>
          <w:rFonts w:ascii="Calibri" w:hAnsi="Calibri" w:cs="Calibri"/>
        </w:rPr>
        <w:lastRenderedPageBreak/>
        <w:t xml:space="preserve"> </w:t>
      </w:r>
      <w:r w:rsidRPr="00C87BF6">
        <w:rPr>
          <w:rFonts w:ascii="Calibri" w:hAnsi="Calibri" w:cs="Calibri"/>
        </w:rPr>
        <w:t xml:space="preserve">1. apríla do 31. októbra každého roka záväzku. </w:t>
      </w:r>
      <w:r w:rsidRPr="0076184D">
        <w:rPr>
          <w:rFonts w:ascii="Calibri" w:hAnsi="Calibri" w:cs="Calibri"/>
          <w:i/>
        </w:rPr>
        <w:t>Výnimky pre zníženie zaťaženia DJ nie sú akceptované</w:t>
      </w:r>
      <w:r>
        <w:rPr>
          <w:rFonts w:ascii="Calibri" w:hAnsi="Calibri" w:cs="Calibri"/>
          <w:i/>
        </w:rPr>
        <w:t>,</w:t>
      </w:r>
    </w:p>
    <w:p w:rsidR="0054499C" w:rsidRPr="00C87BF6" w:rsidRDefault="0054499C" w:rsidP="00CE203B">
      <w:pPr>
        <w:numPr>
          <w:ilvl w:val="0"/>
          <w:numId w:val="374"/>
        </w:numPr>
        <w:rPr>
          <w:rFonts w:ascii="Calibri" w:hAnsi="Calibri" w:cs="Calibri"/>
        </w:rPr>
      </w:pPr>
      <w:r>
        <w:rPr>
          <w:rFonts w:ascii="Calibri" w:hAnsi="Calibri" w:cs="Calibri"/>
        </w:rPr>
        <w:t>m</w:t>
      </w:r>
      <w:r w:rsidRPr="00C87BF6">
        <w:rPr>
          <w:rFonts w:ascii="Calibri" w:hAnsi="Calibri" w:cs="Calibri"/>
        </w:rPr>
        <w:t>ať po skončení konverzie certifikovanú produkciu v kvalite „bio“</w:t>
      </w:r>
      <w:r>
        <w:rPr>
          <w:rFonts w:ascii="Calibri" w:hAnsi="Calibri" w:cs="Calibri"/>
        </w:rPr>
        <w:t>,</w:t>
      </w:r>
      <w:r w:rsidRPr="00C87BF6">
        <w:rPr>
          <w:rFonts w:ascii="Calibri" w:hAnsi="Calibri" w:cs="Calibri"/>
        </w:rPr>
        <w:t>.</w:t>
      </w:r>
    </w:p>
    <w:p w:rsidR="0054499C" w:rsidRDefault="0054499C" w:rsidP="00CE203B">
      <w:pPr>
        <w:numPr>
          <w:ilvl w:val="0"/>
          <w:numId w:val="404"/>
        </w:numPr>
        <w:tabs>
          <w:tab w:val="clear" w:pos="720"/>
          <w:tab w:val="num" w:pos="426"/>
        </w:tabs>
        <w:ind w:left="426" w:hanging="426"/>
        <w:rPr>
          <w:rFonts w:ascii="Calibri" w:hAnsi="Calibri" w:cs="Calibri"/>
        </w:rPr>
      </w:pPr>
      <w:r>
        <w:rPr>
          <w:rFonts w:ascii="Calibri" w:hAnsi="Calibri" w:cs="Calibri"/>
        </w:rPr>
        <w:t>d</w:t>
      </w:r>
      <w:r w:rsidRPr="00C87BF6">
        <w:rPr>
          <w:rFonts w:ascii="Calibri" w:hAnsi="Calibri" w:cs="Calibri"/>
        </w:rPr>
        <w:t>održiavať počet jedincov ovocných druhov v ovocnom sade, ktorý bude uvedený  vo vnútroštátnej legislatíve</w:t>
      </w:r>
      <w:r>
        <w:rPr>
          <w:rFonts w:ascii="Calibri" w:hAnsi="Calibri" w:cs="Calibri"/>
        </w:rPr>
        <w:t>,</w:t>
      </w:r>
    </w:p>
    <w:p w:rsidR="0054499C" w:rsidRPr="00F37EBF" w:rsidRDefault="0054499C" w:rsidP="00CE203B">
      <w:pPr>
        <w:numPr>
          <w:ilvl w:val="0"/>
          <w:numId w:val="404"/>
        </w:numPr>
        <w:tabs>
          <w:tab w:val="clear" w:pos="720"/>
          <w:tab w:val="num" w:pos="426"/>
        </w:tabs>
        <w:autoSpaceDE w:val="0"/>
        <w:autoSpaceDN w:val="0"/>
        <w:adjustRightInd w:val="0"/>
        <w:ind w:left="426" w:hanging="426"/>
        <w:rPr>
          <w:rFonts w:ascii="Calibri" w:hAnsi="Calibri" w:cs="Myriad Pro"/>
          <w:color w:val="000000"/>
        </w:rPr>
      </w:pPr>
      <w:r>
        <w:rPr>
          <w:rFonts w:ascii="Calibri" w:hAnsi="Calibri" w:cs="Calibri"/>
        </w:rPr>
        <w:t>z podpory sú vylúčené rastlinné komodity pestované mimo potravové a kŕmne účely.</w:t>
      </w:r>
    </w:p>
    <w:p w:rsidR="0054499C" w:rsidRPr="00C87BF6" w:rsidRDefault="0054499C" w:rsidP="0054499C">
      <w:pPr>
        <w:ind w:left="360"/>
        <w:rPr>
          <w:rFonts w:ascii="Calibri" w:hAnsi="Calibri" w:cs="Calibri"/>
        </w:rPr>
      </w:pPr>
    </w:p>
    <w:p w:rsidR="0054499C" w:rsidRPr="00C87BF6" w:rsidRDefault="0054499C" w:rsidP="0054499C">
      <w:pPr>
        <w:rPr>
          <w:rFonts w:ascii="Calibri" w:hAnsi="Calibri"/>
          <w:u w:val="single"/>
          <w:lang w:eastAsia="en-GB"/>
        </w:rPr>
      </w:pPr>
      <w:r w:rsidRPr="00C87BF6">
        <w:rPr>
          <w:rFonts w:ascii="Calibri" w:hAnsi="Calibri"/>
          <w:u w:val="single"/>
          <w:lang w:eastAsia="en-GB"/>
        </w:rPr>
        <w:t>Princípy nastavenia výberových kritérií:</w:t>
      </w:r>
    </w:p>
    <w:p w:rsidR="0054499C" w:rsidRPr="00C87BF6" w:rsidRDefault="0054499C" w:rsidP="0054499C">
      <w:pPr>
        <w:rPr>
          <w:rFonts w:ascii="Calibri" w:hAnsi="Calibri"/>
          <w:lang w:eastAsia="en-GB"/>
        </w:rPr>
      </w:pPr>
      <w:r w:rsidRPr="00C87BF6">
        <w:rPr>
          <w:rFonts w:ascii="Calibri" w:hAnsi="Calibri"/>
          <w:lang w:eastAsia="en-GB"/>
        </w:rPr>
        <w:t>Uprednostnené budú podniky, ktoré  sú celé registrované v systéme ekologickej poľnohospodárskej výroby, sú v chránených územiach</w:t>
      </w:r>
      <w:r w:rsidRPr="00C87BF6">
        <w:rPr>
          <w:rFonts w:ascii="Calibri" w:hAnsi="Calibri"/>
          <w:b/>
          <w:lang w:eastAsia="en-GB"/>
        </w:rPr>
        <w:t xml:space="preserve">, </w:t>
      </w:r>
      <w:r w:rsidRPr="00C87BF6">
        <w:rPr>
          <w:rFonts w:ascii="Calibri" w:hAnsi="Calibri"/>
          <w:lang w:eastAsia="en-GB"/>
        </w:rPr>
        <w:t>majú registrovanú živočíšnu aj rastlinnú výrobu v systéme ekologickej poľnohospodárskej výroby a svoju produkciu spracúvajú v kvalite BIO.</w:t>
      </w:r>
    </w:p>
    <w:p w:rsidR="0054499C" w:rsidRPr="00C87BF6" w:rsidRDefault="0054499C" w:rsidP="0054499C">
      <w:pPr>
        <w:rPr>
          <w:rFonts w:ascii="Calibri" w:hAnsi="Calibri"/>
          <w:lang w:eastAsia="en-GB"/>
        </w:rPr>
      </w:pPr>
    </w:p>
    <w:p w:rsidR="0054499C" w:rsidRPr="00C87BF6" w:rsidRDefault="0054499C" w:rsidP="0054499C">
      <w:pPr>
        <w:rPr>
          <w:rFonts w:ascii="Calibri" w:hAnsi="Calibri"/>
          <w:u w:val="single"/>
          <w:lang w:eastAsia="en-GB"/>
        </w:rPr>
      </w:pPr>
      <w:r w:rsidRPr="00C87BF6">
        <w:rPr>
          <w:rFonts w:ascii="Calibri" w:hAnsi="Calibri"/>
          <w:u w:val="single"/>
          <w:lang w:eastAsia="en-GB"/>
        </w:rPr>
        <w:t xml:space="preserve">Výška a miera podpory: </w:t>
      </w:r>
    </w:p>
    <w:p w:rsidR="0054499C" w:rsidRPr="00C87BF6" w:rsidRDefault="0054499C" w:rsidP="0054499C">
      <w:pPr>
        <w:rPr>
          <w:rFonts w:ascii="Calibri" w:hAnsi="Calibri"/>
          <w:iCs/>
        </w:rPr>
      </w:pPr>
      <w:r w:rsidRPr="00C87BF6">
        <w:rPr>
          <w:rFonts w:ascii="Calibri" w:hAnsi="Calibri"/>
          <w:iCs/>
        </w:rPr>
        <w:t xml:space="preserve">Orná pôda   </w:t>
      </w:r>
      <w:r w:rsidRPr="00C87BF6">
        <w:rPr>
          <w:rFonts w:ascii="Calibri" w:hAnsi="Calibri"/>
          <w:iCs/>
        </w:rPr>
        <w:tab/>
      </w:r>
      <w:r w:rsidRPr="00C87BF6">
        <w:rPr>
          <w:rFonts w:ascii="Calibri" w:hAnsi="Calibri"/>
          <w:iCs/>
        </w:rPr>
        <w:tab/>
      </w:r>
      <w:r w:rsidRPr="00C87BF6">
        <w:rPr>
          <w:rFonts w:ascii="Calibri" w:hAnsi="Calibri"/>
          <w:iCs/>
        </w:rPr>
        <w:tab/>
      </w:r>
      <w:r w:rsidRPr="00C87BF6">
        <w:rPr>
          <w:rFonts w:ascii="Calibri" w:hAnsi="Calibri"/>
          <w:iCs/>
        </w:rPr>
        <w:tab/>
      </w:r>
      <w:r w:rsidRPr="00C87BF6">
        <w:rPr>
          <w:rFonts w:ascii="Calibri" w:hAnsi="Calibri"/>
          <w:iCs/>
        </w:rPr>
        <w:tab/>
      </w:r>
      <w:r w:rsidRPr="00C87BF6">
        <w:rPr>
          <w:rFonts w:ascii="Calibri" w:hAnsi="Calibri"/>
          <w:iCs/>
        </w:rPr>
        <w:tab/>
      </w:r>
      <w:r w:rsidRPr="00C87BF6">
        <w:rPr>
          <w:rFonts w:ascii="Calibri" w:hAnsi="Calibri"/>
          <w:iCs/>
        </w:rPr>
        <w:tab/>
        <w:t>153</w:t>
      </w:r>
      <w:r>
        <w:rPr>
          <w:rFonts w:ascii="Calibri" w:hAnsi="Calibri"/>
          <w:iCs/>
        </w:rPr>
        <w:t xml:space="preserve"> </w:t>
      </w:r>
      <w:r w:rsidRPr="00C87BF6">
        <w:rPr>
          <w:rFonts w:ascii="Calibri" w:hAnsi="Calibri"/>
          <w:iCs/>
        </w:rPr>
        <w:t>€/ha</w:t>
      </w:r>
    </w:p>
    <w:p w:rsidR="0054499C" w:rsidRPr="00C87BF6" w:rsidRDefault="0054499C" w:rsidP="0054499C">
      <w:pPr>
        <w:rPr>
          <w:rFonts w:ascii="Calibri" w:hAnsi="Calibri"/>
          <w:iCs/>
        </w:rPr>
      </w:pPr>
      <w:r w:rsidRPr="00C87BF6">
        <w:rPr>
          <w:rFonts w:ascii="Calibri" w:hAnsi="Calibri"/>
          <w:iCs/>
        </w:rPr>
        <w:t>Zelenina, liečivé, koreninové a aromatické rastliny</w:t>
      </w:r>
      <w:r w:rsidRPr="00C87BF6">
        <w:rPr>
          <w:rFonts w:ascii="Calibri" w:hAnsi="Calibri"/>
          <w:iCs/>
        </w:rPr>
        <w:tab/>
      </w:r>
      <w:r w:rsidRPr="00C87BF6">
        <w:rPr>
          <w:rFonts w:ascii="Calibri" w:hAnsi="Calibri"/>
          <w:iCs/>
        </w:rPr>
        <w:tab/>
        <w:t>468</w:t>
      </w:r>
      <w:r>
        <w:rPr>
          <w:rFonts w:ascii="Calibri" w:hAnsi="Calibri"/>
          <w:iCs/>
        </w:rPr>
        <w:t xml:space="preserve"> </w:t>
      </w:r>
      <w:r w:rsidRPr="00C87BF6">
        <w:rPr>
          <w:rFonts w:ascii="Calibri" w:hAnsi="Calibri"/>
          <w:iCs/>
        </w:rPr>
        <w:t>€/ha</w:t>
      </w:r>
    </w:p>
    <w:p w:rsidR="0054499C" w:rsidRPr="00C87BF6" w:rsidRDefault="0054499C" w:rsidP="0054499C">
      <w:pPr>
        <w:rPr>
          <w:rFonts w:ascii="Calibri" w:hAnsi="Calibri"/>
          <w:iCs/>
        </w:rPr>
      </w:pPr>
      <w:r w:rsidRPr="00C87BF6">
        <w:rPr>
          <w:rFonts w:ascii="Calibri" w:hAnsi="Calibri"/>
          <w:iCs/>
        </w:rPr>
        <w:t xml:space="preserve">Zemiaky       </w:t>
      </w:r>
      <w:r w:rsidRPr="00C87BF6">
        <w:rPr>
          <w:rFonts w:ascii="Calibri" w:hAnsi="Calibri"/>
          <w:iCs/>
        </w:rPr>
        <w:tab/>
      </w:r>
      <w:r w:rsidRPr="00C87BF6">
        <w:rPr>
          <w:rFonts w:ascii="Calibri" w:hAnsi="Calibri"/>
          <w:iCs/>
        </w:rPr>
        <w:tab/>
      </w:r>
      <w:r w:rsidRPr="00C87BF6">
        <w:rPr>
          <w:rFonts w:ascii="Calibri" w:hAnsi="Calibri"/>
          <w:iCs/>
        </w:rPr>
        <w:tab/>
      </w:r>
      <w:r w:rsidRPr="00C87BF6">
        <w:rPr>
          <w:rFonts w:ascii="Calibri" w:hAnsi="Calibri"/>
          <w:iCs/>
        </w:rPr>
        <w:tab/>
      </w:r>
      <w:r w:rsidRPr="00C87BF6">
        <w:rPr>
          <w:rFonts w:ascii="Calibri" w:hAnsi="Calibri"/>
          <w:iCs/>
        </w:rPr>
        <w:tab/>
      </w:r>
      <w:r w:rsidRPr="00C87BF6">
        <w:rPr>
          <w:rFonts w:ascii="Calibri" w:hAnsi="Calibri"/>
          <w:iCs/>
        </w:rPr>
        <w:tab/>
      </w:r>
      <w:r w:rsidRPr="00C87BF6">
        <w:rPr>
          <w:rFonts w:ascii="Calibri" w:hAnsi="Calibri"/>
          <w:iCs/>
        </w:rPr>
        <w:tab/>
        <w:t>290</w:t>
      </w:r>
      <w:r>
        <w:rPr>
          <w:rFonts w:ascii="Calibri" w:hAnsi="Calibri"/>
          <w:iCs/>
        </w:rPr>
        <w:t xml:space="preserve"> </w:t>
      </w:r>
      <w:r w:rsidRPr="00C87BF6">
        <w:rPr>
          <w:rFonts w:ascii="Calibri" w:hAnsi="Calibri"/>
          <w:iCs/>
        </w:rPr>
        <w:t>€/ha</w:t>
      </w:r>
    </w:p>
    <w:p w:rsidR="0054499C" w:rsidRPr="00C87BF6" w:rsidRDefault="0054499C" w:rsidP="0054499C">
      <w:pPr>
        <w:rPr>
          <w:rFonts w:ascii="Calibri" w:hAnsi="Calibri"/>
          <w:iCs/>
        </w:rPr>
      </w:pPr>
      <w:r w:rsidRPr="00C87BF6">
        <w:rPr>
          <w:rFonts w:ascii="Calibri" w:hAnsi="Calibri"/>
          <w:iCs/>
        </w:rPr>
        <w:t xml:space="preserve">Ovocné sady   intenzívne rodiace                                      </w:t>
      </w:r>
      <w:r w:rsidRPr="00C87BF6">
        <w:rPr>
          <w:rFonts w:ascii="Calibri" w:hAnsi="Calibri"/>
          <w:iCs/>
        </w:rPr>
        <w:tab/>
      </w:r>
      <w:r w:rsidRPr="00C87BF6">
        <w:rPr>
          <w:rFonts w:ascii="Calibri" w:hAnsi="Calibri"/>
          <w:iCs/>
        </w:rPr>
        <w:tab/>
        <w:t>576</w:t>
      </w:r>
      <w:r>
        <w:rPr>
          <w:rFonts w:ascii="Calibri" w:hAnsi="Calibri"/>
          <w:iCs/>
        </w:rPr>
        <w:t xml:space="preserve"> </w:t>
      </w:r>
      <w:r w:rsidRPr="00C87BF6">
        <w:rPr>
          <w:rFonts w:ascii="Calibri" w:hAnsi="Calibri"/>
          <w:iCs/>
        </w:rPr>
        <w:t>€/ha              mladé 443 €/ha</w:t>
      </w:r>
    </w:p>
    <w:p w:rsidR="0054499C" w:rsidRPr="00C87BF6" w:rsidRDefault="0054499C" w:rsidP="0054499C">
      <w:pPr>
        <w:rPr>
          <w:rFonts w:ascii="Calibri" w:hAnsi="Calibri"/>
          <w:iCs/>
        </w:rPr>
      </w:pPr>
      <w:r w:rsidRPr="00C87BF6">
        <w:rPr>
          <w:rFonts w:ascii="Calibri" w:hAnsi="Calibri"/>
          <w:iCs/>
        </w:rPr>
        <w:t>Ovocné sady ostatné</w:t>
      </w:r>
      <w:r w:rsidRPr="00C87BF6">
        <w:rPr>
          <w:rFonts w:ascii="Calibri" w:hAnsi="Calibri"/>
          <w:iCs/>
        </w:rPr>
        <w:tab/>
        <w:t xml:space="preserve">  </w:t>
      </w:r>
      <w:r w:rsidRPr="00C87BF6">
        <w:rPr>
          <w:rFonts w:ascii="Calibri" w:hAnsi="Calibri"/>
          <w:iCs/>
        </w:rPr>
        <w:tab/>
      </w:r>
      <w:r w:rsidRPr="00C87BF6">
        <w:rPr>
          <w:rFonts w:ascii="Calibri" w:hAnsi="Calibri"/>
          <w:iCs/>
        </w:rPr>
        <w:tab/>
      </w:r>
      <w:r w:rsidRPr="00C87BF6">
        <w:rPr>
          <w:rFonts w:ascii="Calibri" w:hAnsi="Calibri"/>
          <w:iCs/>
        </w:rPr>
        <w:tab/>
      </w:r>
      <w:r w:rsidRPr="00C87BF6">
        <w:rPr>
          <w:rFonts w:ascii="Calibri" w:hAnsi="Calibri"/>
          <w:iCs/>
        </w:rPr>
        <w:tab/>
      </w:r>
      <w:r w:rsidRPr="00C87BF6">
        <w:rPr>
          <w:rFonts w:ascii="Calibri" w:hAnsi="Calibri"/>
          <w:iCs/>
        </w:rPr>
        <w:tab/>
        <w:t>288</w:t>
      </w:r>
      <w:r>
        <w:rPr>
          <w:rFonts w:ascii="Calibri" w:hAnsi="Calibri"/>
          <w:iCs/>
        </w:rPr>
        <w:t xml:space="preserve"> </w:t>
      </w:r>
      <w:r w:rsidRPr="00C87BF6">
        <w:rPr>
          <w:rFonts w:ascii="Calibri" w:hAnsi="Calibri"/>
          <w:iCs/>
        </w:rPr>
        <w:t>€/ha</w:t>
      </w:r>
    </w:p>
    <w:p w:rsidR="0054499C" w:rsidRPr="00C87BF6" w:rsidRDefault="0054499C" w:rsidP="0054499C">
      <w:pPr>
        <w:rPr>
          <w:rFonts w:ascii="Calibri" w:hAnsi="Calibri"/>
          <w:iCs/>
        </w:rPr>
      </w:pPr>
      <w:r w:rsidRPr="00C87BF6">
        <w:rPr>
          <w:rFonts w:ascii="Calibri" w:hAnsi="Calibri"/>
          <w:iCs/>
        </w:rPr>
        <w:t xml:space="preserve">Vinohrady rodiace   </w:t>
      </w:r>
      <w:r w:rsidRPr="00C87BF6">
        <w:rPr>
          <w:rFonts w:ascii="Calibri" w:hAnsi="Calibri"/>
          <w:iCs/>
        </w:rPr>
        <w:tab/>
      </w:r>
      <w:r w:rsidRPr="00C87BF6">
        <w:rPr>
          <w:rFonts w:ascii="Calibri" w:hAnsi="Calibri"/>
          <w:iCs/>
        </w:rPr>
        <w:tab/>
      </w:r>
      <w:r w:rsidRPr="00C87BF6">
        <w:rPr>
          <w:rFonts w:ascii="Calibri" w:hAnsi="Calibri"/>
          <w:iCs/>
        </w:rPr>
        <w:tab/>
      </w:r>
      <w:r w:rsidRPr="00C87BF6">
        <w:rPr>
          <w:rFonts w:ascii="Calibri" w:hAnsi="Calibri"/>
          <w:iCs/>
        </w:rPr>
        <w:tab/>
      </w:r>
      <w:r w:rsidRPr="00C87BF6">
        <w:rPr>
          <w:rFonts w:ascii="Calibri" w:hAnsi="Calibri"/>
          <w:iCs/>
        </w:rPr>
        <w:tab/>
      </w:r>
      <w:r w:rsidRPr="00C87BF6">
        <w:rPr>
          <w:rFonts w:ascii="Calibri" w:hAnsi="Calibri"/>
          <w:iCs/>
        </w:rPr>
        <w:tab/>
        <w:t>546</w:t>
      </w:r>
      <w:r>
        <w:rPr>
          <w:rFonts w:ascii="Calibri" w:hAnsi="Calibri"/>
          <w:iCs/>
        </w:rPr>
        <w:t xml:space="preserve"> </w:t>
      </w:r>
      <w:r w:rsidRPr="00C87BF6">
        <w:rPr>
          <w:rFonts w:ascii="Calibri" w:hAnsi="Calibri"/>
          <w:iCs/>
        </w:rPr>
        <w:t>€/ha              mladé 420 €/ha</w:t>
      </w:r>
    </w:p>
    <w:p w:rsidR="0054499C" w:rsidRPr="00C87BF6" w:rsidRDefault="0054499C" w:rsidP="0054499C">
      <w:pPr>
        <w:rPr>
          <w:rFonts w:ascii="Calibri" w:hAnsi="Calibri"/>
          <w:iCs/>
        </w:rPr>
      </w:pPr>
      <w:r w:rsidRPr="00C87BF6">
        <w:rPr>
          <w:rFonts w:ascii="Calibri" w:hAnsi="Calibri"/>
          <w:iCs/>
        </w:rPr>
        <w:t xml:space="preserve">TTP               </w:t>
      </w:r>
      <w:r w:rsidRPr="00C87BF6">
        <w:rPr>
          <w:rFonts w:ascii="Calibri" w:hAnsi="Calibri"/>
          <w:iCs/>
        </w:rPr>
        <w:tab/>
      </w:r>
      <w:r w:rsidRPr="00C87BF6">
        <w:rPr>
          <w:rFonts w:ascii="Calibri" w:hAnsi="Calibri"/>
          <w:iCs/>
        </w:rPr>
        <w:tab/>
      </w:r>
      <w:r w:rsidRPr="00C87BF6">
        <w:rPr>
          <w:rFonts w:ascii="Calibri" w:hAnsi="Calibri"/>
          <w:iCs/>
        </w:rPr>
        <w:tab/>
      </w:r>
      <w:r w:rsidRPr="00C87BF6">
        <w:rPr>
          <w:rFonts w:ascii="Calibri" w:hAnsi="Calibri"/>
          <w:iCs/>
        </w:rPr>
        <w:tab/>
      </w:r>
      <w:r w:rsidRPr="00C87BF6">
        <w:rPr>
          <w:rFonts w:ascii="Calibri" w:hAnsi="Calibri"/>
          <w:iCs/>
        </w:rPr>
        <w:tab/>
      </w:r>
      <w:r w:rsidRPr="00C87BF6">
        <w:rPr>
          <w:rFonts w:ascii="Calibri" w:hAnsi="Calibri"/>
          <w:iCs/>
        </w:rPr>
        <w:tab/>
      </w:r>
      <w:r w:rsidRPr="00C87BF6">
        <w:rPr>
          <w:rFonts w:ascii="Calibri" w:hAnsi="Calibri"/>
          <w:iCs/>
        </w:rPr>
        <w:tab/>
        <w:t xml:space="preserve">  96</w:t>
      </w:r>
      <w:r>
        <w:rPr>
          <w:rFonts w:ascii="Calibri" w:hAnsi="Calibri"/>
          <w:iCs/>
        </w:rPr>
        <w:t xml:space="preserve"> </w:t>
      </w:r>
      <w:r w:rsidRPr="00C87BF6">
        <w:rPr>
          <w:rFonts w:ascii="Calibri" w:hAnsi="Calibri"/>
          <w:iCs/>
        </w:rPr>
        <w:t>€/ha.</w:t>
      </w:r>
    </w:p>
    <w:p w:rsidR="0054499C" w:rsidRPr="00C87BF6" w:rsidRDefault="0054499C" w:rsidP="0054499C">
      <w:pPr>
        <w:rPr>
          <w:rFonts w:ascii="Calibri" w:hAnsi="Calibri"/>
          <w:iCs/>
        </w:rPr>
      </w:pPr>
      <w:r w:rsidRPr="00C87BF6">
        <w:rPr>
          <w:rFonts w:ascii="Calibri" w:hAnsi="Calibri"/>
          <w:iCs/>
        </w:rPr>
        <w:t xml:space="preserve">TTP </w:t>
      </w:r>
      <w:r>
        <w:rPr>
          <w:rFonts w:ascii="Calibri" w:hAnsi="Calibri"/>
          <w:iCs/>
        </w:rPr>
        <w:t>s u</w:t>
      </w:r>
      <w:r w:rsidRPr="00C87BF6">
        <w:rPr>
          <w:rFonts w:ascii="Calibri" w:hAnsi="Calibri"/>
          <w:iCs/>
        </w:rPr>
        <w:t xml:space="preserve">znaným biotopov TTP       </w:t>
      </w:r>
      <w:r>
        <w:rPr>
          <w:rFonts w:ascii="Calibri" w:hAnsi="Calibri"/>
          <w:iCs/>
        </w:rPr>
        <w:t xml:space="preserve">                                              </w:t>
      </w:r>
      <w:r w:rsidRPr="00C87BF6">
        <w:rPr>
          <w:rFonts w:ascii="Calibri" w:hAnsi="Calibri"/>
          <w:iCs/>
        </w:rPr>
        <w:t>max. 115</w:t>
      </w:r>
      <w:r>
        <w:rPr>
          <w:rFonts w:ascii="Calibri" w:hAnsi="Calibri"/>
          <w:iCs/>
        </w:rPr>
        <w:t xml:space="preserve"> </w:t>
      </w:r>
      <w:r w:rsidRPr="00C87BF6">
        <w:rPr>
          <w:rFonts w:ascii="Calibri" w:hAnsi="Calibri"/>
          <w:iCs/>
        </w:rPr>
        <w:t>€/ha</w:t>
      </w:r>
    </w:p>
    <w:p w:rsidR="0054499C" w:rsidRPr="00C87BF6" w:rsidRDefault="0054499C" w:rsidP="0054499C">
      <w:pPr>
        <w:autoSpaceDE w:val="0"/>
        <w:autoSpaceDN w:val="0"/>
        <w:adjustRightInd w:val="0"/>
        <w:rPr>
          <w:rFonts w:ascii="Calibri" w:hAnsi="Calibri"/>
          <w:iCs/>
        </w:rPr>
      </w:pPr>
    </w:p>
    <w:p w:rsidR="0054499C" w:rsidRPr="00C87BF6" w:rsidRDefault="0054499C" w:rsidP="0054499C">
      <w:pPr>
        <w:rPr>
          <w:rFonts w:ascii="Calibri" w:eastAsia="Calibri" w:hAnsi="Calibri" w:cs="Calibri"/>
          <w:b/>
          <w:bCs/>
        </w:rPr>
      </w:pPr>
      <w:r w:rsidRPr="00C87BF6">
        <w:rPr>
          <w:rFonts w:ascii="Calibri" w:eastAsia="Calibri" w:hAnsi="Calibri"/>
          <w:b/>
        </w:rPr>
        <w:t xml:space="preserve">8.2.10.4. </w:t>
      </w:r>
      <w:r w:rsidRPr="00C87BF6">
        <w:rPr>
          <w:rFonts w:ascii="Calibri" w:eastAsia="Calibri" w:hAnsi="Calibri" w:cs="Calibri"/>
          <w:b/>
          <w:bCs/>
        </w:rPr>
        <w:t>Overiteľnosť a kontrolovateľnosť opatrenia</w:t>
      </w:r>
    </w:p>
    <w:p w:rsidR="0054499C" w:rsidRPr="00C87BF6" w:rsidRDefault="0054499C" w:rsidP="0054499C">
      <w:pPr>
        <w:rPr>
          <w:rFonts w:ascii="Calibri" w:hAnsi="Calibri" w:cs="Calibri"/>
          <w:bCs/>
          <w:u w:val="single"/>
        </w:rPr>
      </w:pPr>
      <w:r w:rsidRPr="00C87BF6">
        <w:rPr>
          <w:rFonts w:ascii="Calibri" w:hAnsi="Calibri" w:cs="Calibri"/>
          <w:bCs/>
          <w:u w:val="single"/>
        </w:rPr>
        <w:t xml:space="preserve">Riziká v implementácii opatrení </w:t>
      </w:r>
    </w:p>
    <w:p w:rsidR="0054499C" w:rsidRPr="0076184D" w:rsidRDefault="0054499C" w:rsidP="00CE203B">
      <w:pPr>
        <w:pStyle w:val="Odsekzoznamu"/>
        <w:numPr>
          <w:ilvl w:val="0"/>
          <w:numId w:val="377"/>
        </w:numPr>
        <w:ind w:left="426" w:hanging="426"/>
        <w:rPr>
          <w:rFonts w:ascii="Calibri" w:hAnsi="Calibri"/>
          <w:szCs w:val="22"/>
        </w:rPr>
      </w:pPr>
      <w:r w:rsidRPr="0076184D">
        <w:rPr>
          <w:rFonts w:ascii="Calibri" w:hAnsi="Calibri"/>
          <w:szCs w:val="22"/>
        </w:rPr>
        <w:t>polohový posun zákresu zo strany žiadateľa voči aktuálnemu LPIS-u,</w:t>
      </w:r>
    </w:p>
    <w:p w:rsidR="0054499C" w:rsidRPr="0076184D" w:rsidRDefault="0054499C" w:rsidP="00CE203B">
      <w:pPr>
        <w:pStyle w:val="Odsekzoznamu"/>
        <w:numPr>
          <w:ilvl w:val="0"/>
          <w:numId w:val="377"/>
        </w:numPr>
        <w:ind w:left="426" w:hanging="426"/>
        <w:rPr>
          <w:rFonts w:ascii="Calibri" w:hAnsi="Calibri"/>
          <w:szCs w:val="22"/>
        </w:rPr>
      </w:pPr>
      <w:r w:rsidRPr="0076184D">
        <w:rPr>
          <w:rFonts w:ascii="Calibri" w:hAnsi="Calibri"/>
          <w:szCs w:val="22"/>
        </w:rPr>
        <w:t>nedodržanie podmienok zo strany žiadateľa,</w:t>
      </w:r>
    </w:p>
    <w:p w:rsidR="0054499C" w:rsidRPr="0076184D" w:rsidRDefault="0054499C" w:rsidP="00CE203B">
      <w:pPr>
        <w:pStyle w:val="Odsekzoznamu"/>
        <w:numPr>
          <w:ilvl w:val="0"/>
          <w:numId w:val="377"/>
        </w:numPr>
        <w:ind w:left="426" w:hanging="426"/>
        <w:rPr>
          <w:rFonts w:ascii="Calibri" w:hAnsi="Calibri"/>
          <w:szCs w:val="22"/>
        </w:rPr>
      </w:pPr>
      <w:r w:rsidRPr="0076184D">
        <w:rPr>
          <w:rFonts w:ascii="Calibri" w:hAnsi="Calibri"/>
          <w:szCs w:val="22"/>
        </w:rPr>
        <w:t>vystúpenie, resp. vylúčenie z registra ekologických prevádzkovateľov,</w:t>
      </w:r>
    </w:p>
    <w:p w:rsidR="0054499C" w:rsidRPr="0076184D" w:rsidRDefault="0054499C" w:rsidP="00CE203B">
      <w:pPr>
        <w:pStyle w:val="Odsekzoznamu"/>
        <w:numPr>
          <w:ilvl w:val="0"/>
          <w:numId w:val="377"/>
        </w:numPr>
        <w:ind w:left="426" w:hanging="426"/>
        <w:rPr>
          <w:rFonts w:ascii="Calibri" w:hAnsi="Calibri"/>
          <w:szCs w:val="22"/>
        </w:rPr>
      </w:pPr>
      <w:r w:rsidRPr="0076184D">
        <w:rPr>
          <w:rFonts w:ascii="Calibri" w:hAnsi="Calibri"/>
          <w:szCs w:val="22"/>
        </w:rPr>
        <w:t>nedodržanie termínu nahlasovania zmien v počte DJ (pri dodržaní zaťaženia DJ),</w:t>
      </w:r>
    </w:p>
    <w:p w:rsidR="0054499C" w:rsidRPr="0076184D" w:rsidRDefault="0054499C" w:rsidP="00CE203B">
      <w:pPr>
        <w:pStyle w:val="Odsekzoznamu"/>
        <w:numPr>
          <w:ilvl w:val="0"/>
          <w:numId w:val="377"/>
        </w:numPr>
        <w:ind w:left="426" w:hanging="426"/>
        <w:rPr>
          <w:rFonts w:ascii="Calibri" w:hAnsi="Calibri"/>
          <w:szCs w:val="22"/>
        </w:rPr>
      </w:pPr>
      <w:r w:rsidRPr="0076184D">
        <w:rPr>
          <w:rFonts w:ascii="Calibri" w:hAnsi="Calibri"/>
          <w:szCs w:val="22"/>
        </w:rPr>
        <w:t>naddeklarácia pozemkov v žiadosti,</w:t>
      </w:r>
    </w:p>
    <w:p w:rsidR="0054499C" w:rsidRPr="0076184D" w:rsidRDefault="0054499C" w:rsidP="00CE203B">
      <w:pPr>
        <w:pStyle w:val="Odsekzoznamu"/>
        <w:numPr>
          <w:ilvl w:val="0"/>
          <w:numId w:val="377"/>
        </w:numPr>
        <w:ind w:left="426" w:hanging="426"/>
        <w:rPr>
          <w:rFonts w:ascii="Calibri" w:hAnsi="Calibri"/>
          <w:szCs w:val="22"/>
        </w:rPr>
      </w:pPr>
      <w:r w:rsidRPr="0076184D">
        <w:rPr>
          <w:rFonts w:ascii="Calibri" w:hAnsi="Calibri"/>
          <w:szCs w:val="22"/>
        </w:rPr>
        <w:t>prevod podniku – nedodržanie termínu nahlásenia prevodu, ktorý je stanovený legislatívou.</w:t>
      </w:r>
    </w:p>
    <w:p w:rsidR="0054499C" w:rsidRPr="0076184D" w:rsidRDefault="0054499C" w:rsidP="0054499C">
      <w:pPr>
        <w:rPr>
          <w:rFonts w:ascii="Calibri" w:hAnsi="Calibri" w:cs="Calibri"/>
          <w:bCs/>
          <w:highlight w:val="yellow"/>
          <w:u w:val="single"/>
        </w:rPr>
      </w:pPr>
    </w:p>
    <w:p w:rsidR="0054499C" w:rsidRPr="00C87BF6" w:rsidRDefault="0054499C" w:rsidP="0054499C">
      <w:pPr>
        <w:rPr>
          <w:rFonts w:ascii="Calibri" w:hAnsi="Calibri" w:cs="Calibri"/>
          <w:bCs/>
          <w:u w:val="single"/>
        </w:rPr>
      </w:pPr>
      <w:r w:rsidRPr="00C87BF6">
        <w:rPr>
          <w:rFonts w:ascii="Calibri" w:hAnsi="Calibri" w:cs="Calibri"/>
          <w:bCs/>
          <w:u w:val="single"/>
        </w:rPr>
        <w:t>Opatrenia prijaté na zmiernenie rizika implementácie:</w:t>
      </w:r>
    </w:p>
    <w:p w:rsidR="0054499C" w:rsidRPr="0076184D" w:rsidRDefault="0054499C" w:rsidP="00CE203B">
      <w:pPr>
        <w:numPr>
          <w:ilvl w:val="0"/>
          <w:numId w:val="260"/>
        </w:numPr>
        <w:tabs>
          <w:tab w:val="clear" w:pos="720"/>
          <w:tab w:val="num" w:pos="426"/>
        </w:tabs>
        <w:ind w:left="426" w:hanging="426"/>
        <w:rPr>
          <w:rFonts w:ascii="Calibri" w:hAnsi="Calibri" w:cs="Calibri"/>
          <w:bCs/>
        </w:rPr>
      </w:pPr>
      <w:r w:rsidRPr="0076184D">
        <w:rPr>
          <w:rFonts w:ascii="Calibri" w:hAnsi="Calibri" w:cs="Calibri"/>
          <w:bCs/>
        </w:rPr>
        <w:t>informovanie žiadateľov o potrebe kontrolovať prípadné zmeny hraníc v LPIS</w:t>
      </w:r>
      <w:r>
        <w:rPr>
          <w:rFonts w:ascii="Calibri" w:hAnsi="Calibri" w:cs="Calibri"/>
          <w:bCs/>
        </w:rPr>
        <w:t>-</w:t>
      </w:r>
      <w:r w:rsidRPr="0076184D">
        <w:rPr>
          <w:rFonts w:ascii="Calibri" w:hAnsi="Calibri" w:cs="Calibri"/>
          <w:bCs/>
        </w:rPr>
        <w:t>e,</w:t>
      </w:r>
    </w:p>
    <w:p w:rsidR="0054499C" w:rsidRPr="0076184D" w:rsidRDefault="0054499C" w:rsidP="00CE203B">
      <w:pPr>
        <w:numPr>
          <w:ilvl w:val="0"/>
          <w:numId w:val="260"/>
        </w:numPr>
        <w:tabs>
          <w:tab w:val="clear" w:pos="720"/>
          <w:tab w:val="num" w:pos="426"/>
        </w:tabs>
        <w:ind w:left="426" w:hanging="426"/>
        <w:rPr>
          <w:rFonts w:ascii="Calibri" w:hAnsi="Calibri" w:cs="Calibri"/>
          <w:bCs/>
        </w:rPr>
      </w:pPr>
      <w:r w:rsidRPr="0076184D">
        <w:rPr>
          <w:rFonts w:ascii="Calibri" w:hAnsi="Calibri" w:cs="Calibri"/>
          <w:bCs/>
        </w:rPr>
        <w:t>metodické usmernenia o podmienkach opatrenia,</w:t>
      </w:r>
    </w:p>
    <w:p w:rsidR="0054499C" w:rsidRPr="0076184D" w:rsidRDefault="0054499C" w:rsidP="00CE203B">
      <w:pPr>
        <w:numPr>
          <w:ilvl w:val="0"/>
          <w:numId w:val="260"/>
        </w:numPr>
        <w:tabs>
          <w:tab w:val="clear" w:pos="720"/>
          <w:tab w:val="num" w:pos="426"/>
        </w:tabs>
        <w:ind w:left="426" w:hanging="426"/>
        <w:rPr>
          <w:rFonts w:ascii="Calibri" w:hAnsi="Calibri" w:cs="Calibri"/>
          <w:bCs/>
        </w:rPr>
      </w:pPr>
      <w:r w:rsidRPr="0076184D">
        <w:rPr>
          <w:rFonts w:ascii="Calibri" w:hAnsi="Calibri" w:cs="Calibri"/>
          <w:bCs/>
        </w:rPr>
        <w:t>vhodné školiace aktivity,</w:t>
      </w:r>
    </w:p>
    <w:p w:rsidR="0054499C" w:rsidRPr="0076184D" w:rsidRDefault="0054499C" w:rsidP="00CE203B">
      <w:pPr>
        <w:numPr>
          <w:ilvl w:val="0"/>
          <w:numId w:val="260"/>
        </w:numPr>
        <w:tabs>
          <w:tab w:val="clear" w:pos="720"/>
          <w:tab w:val="num" w:pos="426"/>
        </w:tabs>
        <w:ind w:left="426" w:hanging="426"/>
        <w:rPr>
          <w:rFonts w:ascii="Calibri" w:hAnsi="Calibri" w:cs="Calibri"/>
          <w:bCs/>
        </w:rPr>
      </w:pPr>
      <w:r w:rsidRPr="0076184D">
        <w:rPr>
          <w:rFonts w:ascii="Calibri" w:hAnsi="Calibri" w:cs="Calibri"/>
          <w:bCs/>
        </w:rPr>
        <w:t>upozornenie žiadateľov na potrebu dodržiavania termínu nahlasovania zmien v počte DJ a nahlásenia prevodu podniku</w:t>
      </w:r>
    </w:p>
    <w:p w:rsidR="0054499C" w:rsidRPr="00C87BF6" w:rsidRDefault="0054499C" w:rsidP="0054499C">
      <w:pPr>
        <w:rPr>
          <w:rFonts w:ascii="Calibri" w:hAnsi="Calibri" w:cs="Calibri"/>
          <w:bCs/>
          <w:u w:val="single"/>
        </w:rPr>
      </w:pPr>
    </w:p>
    <w:p w:rsidR="0054499C" w:rsidRPr="00C87BF6" w:rsidRDefault="0054499C" w:rsidP="0054499C">
      <w:pPr>
        <w:rPr>
          <w:rFonts w:ascii="Calibri" w:hAnsi="Calibri" w:cs="Calibri"/>
          <w:bCs/>
          <w:u w:val="single"/>
        </w:rPr>
      </w:pPr>
      <w:r w:rsidRPr="00C87BF6">
        <w:rPr>
          <w:rFonts w:ascii="Calibri" w:hAnsi="Calibri" w:cs="Calibri"/>
          <w:bCs/>
          <w:u w:val="single"/>
        </w:rPr>
        <w:t>Celkové ohodnotenie opatrenia</w:t>
      </w:r>
    </w:p>
    <w:p w:rsidR="0054499C" w:rsidRPr="00C87BF6" w:rsidRDefault="0054499C" w:rsidP="0054499C">
      <w:pPr>
        <w:rPr>
          <w:rFonts w:ascii="Calibri" w:hAnsi="Calibri" w:cs="Calibri"/>
          <w:bCs/>
        </w:rPr>
      </w:pPr>
      <w:r w:rsidRPr="00C87BF6">
        <w:rPr>
          <w:rFonts w:ascii="Calibri" w:hAnsi="Calibri" w:cs="Calibri"/>
          <w:bCs/>
        </w:rPr>
        <w:t xml:space="preserve">Žiadateľ pre vstup do opatrenia bude musieť splniť všeobecné podmienky a zároveň bude povinný  v rámci podopatrení plniť stanovené špecifické podmienky. Opatrenie bude predmetom administratívnych kontrol a kontrol na mieste vykonávaných PPA.  </w:t>
      </w:r>
    </w:p>
    <w:p w:rsidR="0054499C" w:rsidRPr="00C87BF6" w:rsidRDefault="0054499C" w:rsidP="0054499C">
      <w:pPr>
        <w:rPr>
          <w:rFonts w:ascii="Calibri" w:hAnsi="Calibri"/>
        </w:rPr>
      </w:pPr>
    </w:p>
    <w:p w:rsidR="0054499C" w:rsidRPr="00C87BF6" w:rsidRDefault="0054499C" w:rsidP="0054499C">
      <w:pPr>
        <w:rPr>
          <w:rFonts w:ascii="Calibri" w:eastAsia="Calibri" w:hAnsi="Calibri" w:cs="Calibri"/>
          <w:b/>
          <w:bCs/>
        </w:rPr>
      </w:pPr>
      <w:r w:rsidRPr="00C87BF6">
        <w:rPr>
          <w:rFonts w:ascii="Calibri" w:eastAsia="Calibri" w:hAnsi="Calibri" w:cs="Calibri"/>
          <w:b/>
          <w:bCs/>
        </w:rPr>
        <w:t xml:space="preserve">8.2.10.5. Metodika výpočtu výšky podpory </w:t>
      </w:r>
    </w:p>
    <w:p w:rsidR="0054499C" w:rsidRPr="00C87BF6" w:rsidRDefault="0054499C" w:rsidP="0054499C">
      <w:pPr>
        <w:rPr>
          <w:rFonts w:ascii="Calibri" w:hAnsi="Calibri" w:cs="Calibri"/>
          <w:bCs/>
        </w:rPr>
      </w:pPr>
      <w:r w:rsidRPr="00C87BF6">
        <w:rPr>
          <w:rFonts w:ascii="Calibri" w:hAnsi="Calibri" w:cs="Calibri"/>
          <w:bCs/>
        </w:rPr>
        <w:t>Výška platby sa vypočíta ako rozdiel v ušlom príjme v dôsledku zníženej produkcie v dôsledku zákazu používania pesticídov a hnojív a dodatočných nákladov na zvýšenú potrebu práce. Výšky platieb boli overené nezávislou inštitúciou – Národným poľnohospodárskym a potravinárskym centrom – Výskumným ústavom pôdoznalectva a ochrany pôdy.</w:t>
      </w:r>
    </w:p>
    <w:p w:rsidR="0054499C" w:rsidRDefault="0054499C" w:rsidP="0054499C"/>
    <w:p w:rsidR="00095683" w:rsidRDefault="00095683" w:rsidP="0054499C">
      <w:pPr>
        <w:pStyle w:val="Default"/>
        <w:rPr>
          <w:rFonts w:ascii="Calibri" w:hAnsi="Calibri" w:cs="Calibri"/>
          <w:b/>
          <w:color w:val="auto"/>
          <w:sz w:val="22"/>
          <w:szCs w:val="22"/>
          <w:u w:val="single"/>
        </w:rPr>
      </w:pPr>
    </w:p>
    <w:p w:rsidR="00095683" w:rsidRDefault="00095683" w:rsidP="0054499C">
      <w:pPr>
        <w:pStyle w:val="Default"/>
        <w:rPr>
          <w:rFonts w:ascii="Calibri" w:hAnsi="Calibri" w:cs="Calibri"/>
          <w:b/>
          <w:color w:val="auto"/>
          <w:sz w:val="22"/>
          <w:szCs w:val="22"/>
          <w:u w:val="single"/>
        </w:rPr>
      </w:pPr>
    </w:p>
    <w:p w:rsidR="0054499C" w:rsidRPr="00DD7895" w:rsidRDefault="0054499C" w:rsidP="0054499C">
      <w:pPr>
        <w:pStyle w:val="Default"/>
        <w:rPr>
          <w:rFonts w:ascii="Calibri" w:hAnsi="Calibri" w:cs="Calibri"/>
          <w:b/>
          <w:color w:val="auto"/>
          <w:sz w:val="22"/>
          <w:szCs w:val="22"/>
          <w:u w:val="single"/>
        </w:rPr>
      </w:pPr>
      <w:r w:rsidRPr="00DD7895">
        <w:rPr>
          <w:rFonts w:ascii="Calibri" w:hAnsi="Calibri" w:cs="Calibri"/>
          <w:b/>
          <w:color w:val="auto"/>
          <w:sz w:val="22"/>
          <w:szCs w:val="22"/>
          <w:u w:val="single"/>
        </w:rPr>
        <w:t>Informácie špecifické pre opatrenie</w:t>
      </w:r>
    </w:p>
    <w:p w:rsidR="0054499C" w:rsidRDefault="0054499C" w:rsidP="0054499C">
      <w:r>
        <w:rPr>
          <w:rFonts w:ascii="Calibri" w:eastAsia="Calibri" w:hAnsi="Calibri" w:cs="Calibri"/>
        </w:rPr>
        <w:t>Z</w:t>
      </w:r>
      <w:r w:rsidRPr="00E752E9">
        <w:rPr>
          <w:rFonts w:ascii="Calibri" w:eastAsia="Calibri" w:hAnsi="Calibri" w:cs="Calibri"/>
        </w:rPr>
        <w:t>áväzky, ktoré pokračujú z programového obdobia 2007-2013, musia akceptovať doložku o revízii (čl.48 nariadenia č.1305/2013) – prispôsobenie právnemu rámcu nového programového obdobia.</w:t>
      </w:r>
    </w:p>
    <w:p w:rsidR="008676F9" w:rsidRPr="008676F9" w:rsidRDefault="008676F9" w:rsidP="006F5151">
      <w:pPr>
        <w:rPr>
          <w:rFonts w:ascii="Calibri" w:eastAsia="Calibri" w:hAnsi="Calibri" w:cs="Calibri"/>
          <w:bCs/>
          <w:szCs w:val="22"/>
          <w:lang w:eastAsia="en-US"/>
        </w:rPr>
      </w:pPr>
    </w:p>
    <w:p w:rsidR="008676F9" w:rsidRPr="008676F9" w:rsidRDefault="008676F9" w:rsidP="006F5151">
      <w:pPr>
        <w:rPr>
          <w:rFonts w:ascii="Calibri" w:eastAsia="Calibri" w:hAnsi="Calibri"/>
          <w:szCs w:val="22"/>
          <w:lang w:eastAsia="en-US"/>
        </w:rPr>
      </w:pPr>
      <w:r w:rsidRPr="008676F9">
        <w:rPr>
          <w:rFonts w:ascii="Calibri" w:eastAsia="Calibri" w:hAnsi="Calibri"/>
          <w:szCs w:val="22"/>
          <w:lang w:eastAsia="en-US"/>
        </w:rPr>
        <w:br w:type="page"/>
      </w:r>
    </w:p>
    <w:p w:rsidR="0054499C" w:rsidRPr="002B6800" w:rsidRDefault="0054499C" w:rsidP="00197171">
      <w:pPr>
        <w:pStyle w:val="Opatrenie"/>
      </w:pPr>
      <w:bookmarkStart w:id="95" w:name="_Toc387041333"/>
      <w:r w:rsidRPr="002B6800">
        <w:t xml:space="preserve">8.2.11 Opatrenie 12 </w:t>
      </w:r>
      <w:r w:rsidRPr="002B6800">
        <w:tab/>
        <w:t>Platby v rámci sústavy Natura 2000</w:t>
      </w:r>
      <w:bookmarkEnd w:id="95"/>
      <w:r w:rsidRPr="002B6800">
        <w:t xml:space="preserve"> </w:t>
      </w:r>
    </w:p>
    <w:p w:rsidR="0054499C" w:rsidRPr="002B6800" w:rsidRDefault="0054499C" w:rsidP="0054499C">
      <w:pPr>
        <w:keepNext/>
        <w:outlineLvl w:val="3"/>
        <w:rPr>
          <w:rFonts w:ascii="Calibri" w:eastAsia="Calibri" w:hAnsi="Calibri"/>
          <w:b/>
          <w:iCs/>
          <w:lang w:eastAsia="en-GB"/>
        </w:rPr>
      </w:pPr>
    </w:p>
    <w:p w:rsidR="0054499C" w:rsidRPr="002B6800" w:rsidRDefault="0054499C" w:rsidP="0054499C">
      <w:pPr>
        <w:keepNext/>
        <w:outlineLvl w:val="3"/>
        <w:rPr>
          <w:rFonts w:ascii="Calibri" w:eastAsia="Calibri" w:hAnsi="Calibri"/>
          <w:b/>
          <w:iCs/>
          <w:lang w:eastAsia="en-GB"/>
        </w:rPr>
      </w:pPr>
      <w:r w:rsidRPr="002B6800">
        <w:rPr>
          <w:rFonts w:ascii="Calibri" w:eastAsia="Calibri" w:hAnsi="Calibri"/>
          <w:b/>
          <w:iCs/>
          <w:lang w:eastAsia="en-GB"/>
        </w:rPr>
        <w:t>8.2.11.1. Právny základ</w:t>
      </w:r>
    </w:p>
    <w:p w:rsidR="0054499C" w:rsidRPr="002B6800" w:rsidRDefault="0054499C" w:rsidP="0054499C">
      <w:pPr>
        <w:rPr>
          <w:rFonts w:ascii="Calibri" w:eastAsia="Calibri" w:hAnsi="Calibri"/>
        </w:rPr>
      </w:pPr>
      <w:r w:rsidRPr="002B6800">
        <w:rPr>
          <w:rFonts w:ascii="Calibri" w:eastAsia="Calibri" w:hAnsi="Calibri"/>
        </w:rPr>
        <w:t xml:space="preserve">- článok 30 nariadenia (EÚ) č. 1305/2013 o podpore rozvoja vidieka z EPFRV. </w:t>
      </w:r>
    </w:p>
    <w:p w:rsidR="0054499C" w:rsidRPr="002B6800" w:rsidRDefault="0054499C" w:rsidP="0054499C">
      <w:pPr>
        <w:rPr>
          <w:rFonts w:ascii="Calibri" w:eastAsia="Calibri" w:hAnsi="Calibri"/>
        </w:rPr>
      </w:pPr>
    </w:p>
    <w:p w:rsidR="0054499C" w:rsidRPr="002B6800" w:rsidRDefault="0054499C" w:rsidP="0054499C">
      <w:pPr>
        <w:ind w:left="851" w:hanging="851"/>
        <w:rPr>
          <w:rFonts w:ascii="Calibri" w:eastAsia="Calibri" w:hAnsi="Calibri"/>
          <w:b/>
        </w:rPr>
      </w:pPr>
      <w:r w:rsidRPr="002B6800">
        <w:rPr>
          <w:rFonts w:ascii="Calibri" w:eastAsia="Calibri" w:hAnsi="Calibri"/>
          <w:b/>
        </w:rPr>
        <w:t>8.2.11.2. Všeobecný opis opatrenia vrátane intervenčnej logiky a príspevku k fokusovej oblasti a prierezovým cieľom</w:t>
      </w:r>
    </w:p>
    <w:p w:rsidR="0054499C" w:rsidRPr="002B6800" w:rsidRDefault="0054499C" w:rsidP="0054499C">
      <w:pPr>
        <w:tabs>
          <w:tab w:val="left" w:pos="1744"/>
          <w:tab w:val="left" w:pos="1905"/>
          <w:tab w:val="left" w:pos="7542"/>
        </w:tabs>
        <w:spacing w:after="120"/>
        <w:rPr>
          <w:rFonts w:ascii="Calibri" w:hAnsi="Calibri"/>
          <w:b/>
          <w:color w:val="000000"/>
        </w:rPr>
      </w:pPr>
      <w:bookmarkStart w:id="96" w:name="_Toc369609053"/>
      <w:r w:rsidRPr="002B6800">
        <w:rPr>
          <w:rFonts w:ascii="Calibri" w:hAnsi="Calibri"/>
        </w:rPr>
        <w:t xml:space="preserve">Smernica 2009/147/ES o ochrane voľne žijúceho vtáctva  a smernica 92/43/EHS </w:t>
      </w:r>
      <w:r w:rsidRPr="002B6800">
        <w:rPr>
          <w:rFonts w:ascii="Calibri" w:hAnsi="Calibri"/>
          <w:bCs/>
        </w:rPr>
        <w:t>o ochrane prirodzených biotopov a voľne žijúcich živočíchov a rastlín</w:t>
      </w:r>
      <w:r w:rsidRPr="002B6800">
        <w:rPr>
          <w:rFonts w:ascii="Calibri" w:hAnsi="Calibri"/>
        </w:rPr>
        <w:t xml:space="preserve"> boli transponované do legislatívy SR prostredníctvom z</w:t>
      </w:r>
      <w:r w:rsidRPr="002B6800">
        <w:rPr>
          <w:rFonts w:ascii="Calibri" w:hAnsi="Calibri"/>
          <w:color w:val="000000"/>
        </w:rPr>
        <w:t xml:space="preserve">ákona  č. 543/2002 Z.z. o ochrane prírody a krajiny  ako </w:t>
      </w:r>
    </w:p>
    <w:p w:rsidR="0054499C" w:rsidRPr="002B6800" w:rsidRDefault="0054499C" w:rsidP="00CE203B">
      <w:pPr>
        <w:numPr>
          <w:ilvl w:val="0"/>
          <w:numId w:val="261"/>
        </w:numPr>
        <w:spacing w:after="120"/>
        <w:rPr>
          <w:rFonts w:ascii="Calibri" w:hAnsi="Calibri"/>
          <w:color w:val="000000"/>
        </w:rPr>
      </w:pPr>
      <w:r w:rsidRPr="002B6800">
        <w:rPr>
          <w:rFonts w:ascii="Calibri" w:hAnsi="Calibri"/>
          <w:color w:val="000000"/>
        </w:rPr>
        <w:t xml:space="preserve">osobitne chránené územia (Special Protection Areas, </w:t>
      </w:r>
      <w:r w:rsidRPr="002B6800">
        <w:rPr>
          <w:rFonts w:ascii="Calibri" w:hAnsi="Calibri"/>
          <w:bCs/>
          <w:color w:val="000000"/>
        </w:rPr>
        <w:t>SPA</w:t>
      </w:r>
      <w:r w:rsidRPr="002B6800">
        <w:rPr>
          <w:rFonts w:ascii="Calibri" w:hAnsi="Calibri"/>
          <w:color w:val="000000"/>
        </w:rPr>
        <w:t xml:space="preserve">) - vyhlásené na základe smernice o vtákoch - v národnej legislatíve: </w:t>
      </w:r>
      <w:r w:rsidRPr="002B6800">
        <w:rPr>
          <w:rFonts w:ascii="Calibri" w:hAnsi="Calibri"/>
          <w:bCs/>
          <w:color w:val="000000"/>
        </w:rPr>
        <w:t xml:space="preserve">chránené vtáčie územia </w:t>
      </w:r>
    </w:p>
    <w:p w:rsidR="0054499C" w:rsidRPr="002B6800" w:rsidRDefault="0054499C" w:rsidP="00CE203B">
      <w:pPr>
        <w:numPr>
          <w:ilvl w:val="0"/>
          <w:numId w:val="261"/>
        </w:numPr>
        <w:tabs>
          <w:tab w:val="left" w:pos="1744"/>
        </w:tabs>
        <w:rPr>
          <w:rFonts w:ascii="Calibri" w:hAnsi="Calibri"/>
          <w:color w:val="000000"/>
        </w:rPr>
      </w:pPr>
      <w:r w:rsidRPr="002B6800">
        <w:rPr>
          <w:rFonts w:ascii="Calibri" w:hAnsi="Calibri"/>
          <w:color w:val="000000"/>
        </w:rPr>
        <w:t xml:space="preserve">osobitné územia ochrany (Special Areas of Conservation, </w:t>
      </w:r>
      <w:r w:rsidRPr="002B6800">
        <w:rPr>
          <w:rFonts w:ascii="Calibri" w:hAnsi="Calibri"/>
          <w:bCs/>
          <w:color w:val="000000"/>
        </w:rPr>
        <w:t>SAC</w:t>
      </w:r>
      <w:r w:rsidRPr="002B6800">
        <w:rPr>
          <w:rFonts w:ascii="Calibri" w:hAnsi="Calibri"/>
          <w:color w:val="000000"/>
        </w:rPr>
        <w:t xml:space="preserve">) - vyhlásené na základe smernice o biotopoch - v národnej legislatíve: </w:t>
      </w:r>
      <w:r w:rsidRPr="002B6800">
        <w:rPr>
          <w:rFonts w:ascii="Calibri" w:hAnsi="Calibri"/>
          <w:bCs/>
          <w:color w:val="000000"/>
        </w:rPr>
        <w:t>územia európskeho významu</w:t>
      </w:r>
    </w:p>
    <w:p w:rsidR="0054499C" w:rsidRPr="002B6800" w:rsidRDefault="0054499C" w:rsidP="0054499C">
      <w:pPr>
        <w:rPr>
          <w:rFonts w:ascii="Calibri" w:hAnsi="Calibri"/>
        </w:rPr>
      </w:pPr>
    </w:p>
    <w:p w:rsidR="0054499C" w:rsidRPr="002B6800" w:rsidRDefault="0054499C" w:rsidP="0054499C">
      <w:pPr>
        <w:rPr>
          <w:rFonts w:ascii="Calibri" w:hAnsi="Calibri"/>
        </w:rPr>
      </w:pPr>
      <w:r w:rsidRPr="002B6800">
        <w:rPr>
          <w:rFonts w:ascii="Calibri" w:hAnsi="Calibri"/>
        </w:rPr>
        <w:t xml:space="preserve">Slovenská republika má v súčasnosti schválený národný zoznam 41 chránených vtáčích území (CHVÚ) a 473 území európskeho významu (ÚEV). </w:t>
      </w:r>
    </w:p>
    <w:p w:rsidR="0054499C" w:rsidRPr="002B6800" w:rsidRDefault="0054499C" w:rsidP="0054499C">
      <w:pPr>
        <w:rPr>
          <w:rFonts w:ascii="Calibri" w:hAnsi="Calibri" w:cs="Calibri"/>
        </w:rPr>
      </w:pPr>
    </w:p>
    <w:p w:rsidR="0054499C" w:rsidRPr="002B6800" w:rsidRDefault="0054499C" w:rsidP="0054499C">
      <w:pPr>
        <w:rPr>
          <w:rFonts w:ascii="Calibri" w:hAnsi="Calibri" w:cs="Calibri"/>
        </w:rPr>
      </w:pPr>
      <w:r w:rsidRPr="002B6800">
        <w:rPr>
          <w:rFonts w:ascii="Calibri" w:hAnsi="Calibri" w:cs="Calibri"/>
        </w:rPr>
        <w:t>Výmera poľnohospodárskych a lesných pozemkov v územiach Natura 2000</w:t>
      </w:r>
    </w:p>
    <w:tbl>
      <w:tblPr>
        <w:tblW w:w="7920"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311"/>
        <w:gridCol w:w="757"/>
        <w:gridCol w:w="1040"/>
        <w:gridCol w:w="1479"/>
        <w:gridCol w:w="782"/>
        <w:gridCol w:w="1543"/>
        <w:gridCol w:w="1008"/>
      </w:tblGrid>
      <w:tr w:rsidR="0054499C" w:rsidRPr="002B6800" w:rsidTr="0054499C">
        <w:trPr>
          <w:trHeight w:val="315"/>
        </w:trPr>
        <w:tc>
          <w:tcPr>
            <w:tcW w:w="1311" w:type="dxa"/>
            <w:tcBorders>
              <w:top w:val="single" w:sz="12" w:space="0" w:color="auto"/>
              <w:left w:val="single" w:sz="12" w:space="0" w:color="auto"/>
              <w:bottom w:val="single" w:sz="12" w:space="0" w:color="auto"/>
              <w:right w:val="single" w:sz="4" w:space="0" w:color="auto"/>
            </w:tcBorders>
            <w:vAlign w:val="center"/>
            <w:hideMark/>
          </w:tcPr>
          <w:p w:rsidR="0054499C" w:rsidRPr="002B6800" w:rsidRDefault="0054499C" w:rsidP="0054499C">
            <w:pPr>
              <w:jc w:val="center"/>
              <w:rPr>
                <w:rFonts w:ascii="Calibri" w:hAnsi="Calibri"/>
                <w:b/>
                <w:sz w:val="20"/>
                <w:szCs w:val="20"/>
              </w:rPr>
            </w:pPr>
            <w:r w:rsidRPr="002B6800">
              <w:rPr>
                <w:rFonts w:ascii="Calibri" w:hAnsi="Calibri"/>
                <w:b/>
                <w:sz w:val="20"/>
                <w:szCs w:val="20"/>
              </w:rPr>
              <w:t>Natura 2000</w:t>
            </w:r>
          </w:p>
        </w:tc>
        <w:tc>
          <w:tcPr>
            <w:tcW w:w="757" w:type="dxa"/>
            <w:tcBorders>
              <w:top w:val="single" w:sz="12" w:space="0" w:color="auto"/>
              <w:left w:val="single" w:sz="4" w:space="0" w:color="auto"/>
              <w:bottom w:val="single" w:sz="12" w:space="0" w:color="auto"/>
              <w:right w:val="single" w:sz="4" w:space="0" w:color="auto"/>
            </w:tcBorders>
            <w:vAlign w:val="center"/>
            <w:hideMark/>
          </w:tcPr>
          <w:p w:rsidR="0054499C" w:rsidRPr="002B6800" w:rsidRDefault="0054499C" w:rsidP="0054499C">
            <w:pPr>
              <w:jc w:val="center"/>
              <w:rPr>
                <w:rFonts w:ascii="Calibri" w:hAnsi="Calibri"/>
                <w:b/>
                <w:sz w:val="20"/>
                <w:szCs w:val="20"/>
              </w:rPr>
            </w:pPr>
            <w:r w:rsidRPr="002B6800">
              <w:rPr>
                <w:rFonts w:ascii="Calibri" w:hAnsi="Calibri"/>
                <w:b/>
                <w:sz w:val="20"/>
                <w:szCs w:val="20"/>
              </w:rPr>
              <w:t>Počet</w:t>
            </w:r>
          </w:p>
        </w:tc>
        <w:tc>
          <w:tcPr>
            <w:tcW w:w="1040" w:type="dxa"/>
            <w:tcBorders>
              <w:top w:val="single" w:sz="12" w:space="0" w:color="auto"/>
              <w:left w:val="single" w:sz="4" w:space="0" w:color="auto"/>
              <w:bottom w:val="single" w:sz="12" w:space="0" w:color="auto"/>
              <w:right w:val="single" w:sz="4" w:space="0" w:color="auto"/>
            </w:tcBorders>
            <w:vAlign w:val="center"/>
            <w:hideMark/>
          </w:tcPr>
          <w:p w:rsidR="0054499C" w:rsidRPr="002B6800" w:rsidRDefault="0054499C" w:rsidP="0054499C">
            <w:pPr>
              <w:jc w:val="center"/>
              <w:rPr>
                <w:rFonts w:ascii="Calibri" w:hAnsi="Calibri"/>
                <w:b/>
                <w:sz w:val="20"/>
                <w:szCs w:val="20"/>
              </w:rPr>
            </w:pPr>
            <w:r w:rsidRPr="002B6800">
              <w:rPr>
                <w:rFonts w:ascii="Calibri" w:hAnsi="Calibri"/>
                <w:b/>
                <w:sz w:val="20"/>
                <w:szCs w:val="20"/>
              </w:rPr>
              <w:t xml:space="preserve">Rozloha </w:t>
            </w:r>
          </w:p>
          <w:p w:rsidR="0054499C" w:rsidRPr="002B6800" w:rsidRDefault="0054499C" w:rsidP="0054499C">
            <w:pPr>
              <w:jc w:val="center"/>
              <w:rPr>
                <w:rFonts w:ascii="Calibri" w:hAnsi="Calibri"/>
                <w:sz w:val="20"/>
                <w:szCs w:val="20"/>
              </w:rPr>
            </w:pPr>
            <w:r w:rsidRPr="002B6800">
              <w:rPr>
                <w:rFonts w:ascii="Calibri" w:hAnsi="Calibri"/>
                <w:sz w:val="20"/>
                <w:szCs w:val="20"/>
              </w:rPr>
              <w:t xml:space="preserve">(ha)         </w:t>
            </w:r>
          </w:p>
        </w:tc>
        <w:tc>
          <w:tcPr>
            <w:tcW w:w="1479" w:type="dxa"/>
            <w:tcBorders>
              <w:top w:val="single" w:sz="12" w:space="0" w:color="auto"/>
              <w:left w:val="single" w:sz="4" w:space="0" w:color="auto"/>
              <w:bottom w:val="single" w:sz="12" w:space="0" w:color="auto"/>
              <w:right w:val="single" w:sz="4" w:space="0" w:color="auto"/>
            </w:tcBorders>
            <w:vAlign w:val="center"/>
            <w:hideMark/>
          </w:tcPr>
          <w:p w:rsidR="0054499C" w:rsidRPr="002B6800" w:rsidRDefault="0054499C" w:rsidP="0054499C">
            <w:pPr>
              <w:jc w:val="center"/>
              <w:rPr>
                <w:rFonts w:ascii="Calibri" w:hAnsi="Calibri"/>
                <w:b/>
                <w:sz w:val="20"/>
                <w:szCs w:val="20"/>
              </w:rPr>
            </w:pPr>
            <w:r w:rsidRPr="002B6800">
              <w:rPr>
                <w:rFonts w:ascii="Calibri" w:hAnsi="Calibri"/>
                <w:b/>
                <w:sz w:val="20"/>
                <w:szCs w:val="20"/>
              </w:rPr>
              <w:t>Rozloha poľn.</w:t>
            </w:r>
          </w:p>
          <w:p w:rsidR="0054499C" w:rsidRPr="002B6800" w:rsidRDefault="0054499C" w:rsidP="0054499C">
            <w:pPr>
              <w:jc w:val="center"/>
              <w:rPr>
                <w:rFonts w:ascii="Calibri" w:hAnsi="Calibri"/>
                <w:b/>
                <w:sz w:val="20"/>
                <w:szCs w:val="20"/>
              </w:rPr>
            </w:pPr>
            <w:r w:rsidRPr="002B6800">
              <w:rPr>
                <w:rFonts w:ascii="Calibri" w:hAnsi="Calibri"/>
                <w:b/>
                <w:sz w:val="20"/>
                <w:szCs w:val="20"/>
              </w:rPr>
              <w:t xml:space="preserve">pozemkov </w:t>
            </w:r>
            <w:r w:rsidRPr="002B6800">
              <w:rPr>
                <w:rFonts w:ascii="Calibri" w:hAnsi="Calibri"/>
                <w:sz w:val="20"/>
                <w:szCs w:val="20"/>
              </w:rPr>
              <w:t>(ha)</w:t>
            </w:r>
          </w:p>
        </w:tc>
        <w:tc>
          <w:tcPr>
            <w:tcW w:w="782" w:type="dxa"/>
            <w:tcBorders>
              <w:top w:val="single" w:sz="12" w:space="0" w:color="auto"/>
              <w:left w:val="single" w:sz="4" w:space="0" w:color="auto"/>
              <w:bottom w:val="single" w:sz="12" w:space="0" w:color="auto"/>
              <w:right w:val="single" w:sz="4" w:space="0" w:color="auto"/>
            </w:tcBorders>
            <w:vAlign w:val="center"/>
            <w:hideMark/>
          </w:tcPr>
          <w:p w:rsidR="0054499C" w:rsidRPr="002B6800" w:rsidRDefault="0054499C" w:rsidP="0054499C">
            <w:pPr>
              <w:jc w:val="center"/>
              <w:rPr>
                <w:rFonts w:ascii="Calibri" w:hAnsi="Calibri"/>
                <w:b/>
                <w:sz w:val="20"/>
                <w:szCs w:val="20"/>
              </w:rPr>
            </w:pPr>
            <w:r w:rsidRPr="002B6800">
              <w:rPr>
                <w:rFonts w:ascii="Calibri" w:hAnsi="Calibri"/>
                <w:b/>
                <w:sz w:val="20"/>
                <w:szCs w:val="20"/>
              </w:rPr>
              <w:t>Podiel</w:t>
            </w:r>
          </w:p>
          <w:p w:rsidR="0054499C" w:rsidRPr="002B6800" w:rsidRDefault="0054499C" w:rsidP="0054499C">
            <w:pPr>
              <w:jc w:val="center"/>
              <w:rPr>
                <w:rFonts w:ascii="Calibri" w:hAnsi="Calibri"/>
                <w:sz w:val="20"/>
                <w:szCs w:val="20"/>
              </w:rPr>
            </w:pPr>
            <w:r w:rsidRPr="002B6800">
              <w:rPr>
                <w:rFonts w:ascii="Calibri" w:hAnsi="Calibri"/>
                <w:sz w:val="20"/>
                <w:szCs w:val="20"/>
              </w:rPr>
              <w:t>(%)</w:t>
            </w:r>
          </w:p>
        </w:tc>
        <w:tc>
          <w:tcPr>
            <w:tcW w:w="1543" w:type="dxa"/>
            <w:tcBorders>
              <w:top w:val="single" w:sz="12" w:space="0" w:color="auto"/>
              <w:left w:val="single" w:sz="4" w:space="0" w:color="auto"/>
              <w:bottom w:val="single" w:sz="12" w:space="0" w:color="auto"/>
              <w:right w:val="single" w:sz="4" w:space="0" w:color="auto"/>
            </w:tcBorders>
            <w:vAlign w:val="center"/>
            <w:hideMark/>
          </w:tcPr>
          <w:p w:rsidR="0054499C" w:rsidRPr="002B6800" w:rsidRDefault="0054499C" w:rsidP="0054499C">
            <w:pPr>
              <w:jc w:val="center"/>
              <w:rPr>
                <w:rFonts w:ascii="Calibri" w:hAnsi="Calibri"/>
                <w:b/>
                <w:sz w:val="20"/>
                <w:szCs w:val="20"/>
              </w:rPr>
            </w:pPr>
            <w:r w:rsidRPr="002B6800">
              <w:rPr>
                <w:rFonts w:ascii="Calibri" w:hAnsi="Calibri"/>
                <w:b/>
                <w:sz w:val="20"/>
                <w:szCs w:val="20"/>
              </w:rPr>
              <w:t xml:space="preserve">Rozloha lesných pozemkov </w:t>
            </w:r>
            <w:r w:rsidRPr="002B6800">
              <w:rPr>
                <w:rFonts w:ascii="Calibri" w:hAnsi="Calibri"/>
                <w:sz w:val="20"/>
                <w:szCs w:val="20"/>
              </w:rPr>
              <w:t>(ha)</w:t>
            </w:r>
          </w:p>
        </w:tc>
        <w:tc>
          <w:tcPr>
            <w:tcW w:w="1008" w:type="dxa"/>
            <w:tcBorders>
              <w:top w:val="single" w:sz="12" w:space="0" w:color="auto"/>
              <w:left w:val="single" w:sz="4" w:space="0" w:color="auto"/>
              <w:bottom w:val="single" w:sz="12" w:space="0" w:color="auto"/>
              <w:right w:val="single" w:sz="12" w:space="0" w:color="auto"/>
            </w:tcBorders>
            <w:vAlign w:val="center"/>
            <w:hideMark/>
          </w:tcPr>
          <w:p w:rsidR="0054499C" w:rsidRPr="002B6800" w:rsidRDefault="0054499C" w:rsidP="0054499C">
            <w:pPr>
              <w:jc w:val="center"/>
              <w:rPr>
                <w:rFonts w:ascii="Calibri" w:hAnsi="Calibri"/>
                <w:b/>
                <w:sz w:val="20"/>
                <w:szCs w:val="20"/>
              </w:rPr>
            </w:pPr>
            <w:r w:rsidRPr="002B6800">
              <w:rPr>
                <w:rFonts w:ascii="Calibri" w:hAnsi="Calibri"/>
                <w:b/>
                <w:sz w:val="20"/>
                <w:szCs w:val="20"/>
              </w:rPr>
              <w:t>Podiel</w:t>
            </w:r>
          </w:p>
          <w:p w:rsidR="0054499C" w:rsidRPr="002B6800" w:rsidRDefault="0054499C" w:rsidP="0054499C">
            <w:pPr>
              <w:jc w:val="center"/>
              <w:rPr>
                <w:rFonts w:ascii="Calibri" w:hAnsi="Calibri"/>
                <w:sz w:val="20"/>
                <w:szCs w:val="20"/>
              </w:rPr>
            </w:pPr>
            <w:r w:rsidRPr="002B6800">
              <w:rPr>
                <w:rFonts w:ascii="Calibri" w:hAnsi="Calibri"/>
                <w:sz w:val="20"/>
                <w:szCs w:val="20"/>
              </w:rPr>
              <w:t>(%)</w:t>
            </w:r>
          </w:p>
        </w:tc>
      </w:tr>
      <w:tr w:rsidR="0054499C" w:rsidRPr="002B6800" w:rsidTr="0054499C">
        <w:trPr>
          <w:trHeight w:val="315"/>
        </w:trPr>
        <w:tc>
          <w:tcPr>
            <w:tcW w:w="1311" w:type="dxa"/>
            <w:tcBorders>
              <w:top w:val="single" w:sz="12" w:space="0" w:color="auto"/>
              <w:left w:val="single" w:sz="12" w:space="0" w:color="auto"/>
              <w:bottom w:val="single" w:sz="4" w:space="0" w:color="auto"/>
              <w:right w:val="single" w:sz="4" w:space="0" w:color="auto"/>
            </w:tcBorders>
            <w:vAlign w:val="center"/>
            <w:hideMark/>
          </w:tcPr>
          <w:p w:rsidR="0054499C" w:rsidRPr="002B6800" w:rsidRDefault="0054499C" w:rsidP="0054499C">
            <w:pPr>
              <w:jc w:val="center"/>
              <w:rPr>
                <w:rFonts w:ascii="Calibri" w:hAnsi="Calibri"/>
                <w:sz w:val="20"/>
                <w:szCs w:val="20"/>
              </w:rPr>
            </w:pPr>
            <w:r w:rsidRPr="002B6800">
              <w:rPr>
                <w:rFonts w:ascii="Calibri" w:hAnsi="Calibri"/>
                <w:sz w:val="20"/>
                <w:szCs w:val="20"/>
              </w:rPr>
              <w:t>CHVÚ</w:t>
            </w:r>
          </w:p>
        </w:tc>
        <w:tc>
          <w:tcPr>
            <w:tcW w:w="757" w:type="dxa"/>
            <w:tcBorders>
              <w:top w:val="single" w:sz="12" w:space="0" w:color="auto"/>
              <w:left w:val="single" w:sz="4" w:space="0" w:color="auto"/>
              <w:bottom w:val="single" w:sz="4" w:space="0" w:color="auto"/>
              <w:right w:val="single" w:sz="4" w:space="0" w:color="auto"/>
            </w:tcBorders>
            <w:vAlign w:val="center"/>
            <w:hideMark/>
          </w:tcPr>
          <w:p w:rsidR="0054499C" w:rsidRPr="002B6800" w:rsidRDefault="0054499C" w:rsidP="0054499C">
            <w:pPr>
              <w:jc w:val="center"/>
              <w:rPr>
                <w:rFonts w:ascii="Calibri" w:hAnsi="Calibri"/>
                <w:sz w:val="20"/>
                <w:szCs w:val="20"/>
              </w:rPr>
            </w:pPr>
            <w:r w:rsidRPr="002B6800">
              <w:rPr>
                <w:rFonts w:ascii="Calibri" w:hAnsi="Calibri"/>
                <w:sz w:val="20"/>
                <w:szCs w:val="20"/>
              </w:rPr>
              <w:t>41</w:t>
            </w:r>
          </w:p>
        </w:tc>
        <w:tc>
          <w:tcPr>
            <w:tcW w:w="1040" w:type="dxa"/>
            <w:tcBorders>
              <w:top w:val="single" w:sz="12" w:space="0" w:color="auto"/>
              <w:left w:val="single" w:sz="4" w:space="0" w:color="auto"/>
              <w:bottom w:val="single" w:sz="4" w:space="0" w:color="auto"/>
              <w:right w:val="single" w:sz="4" w:space="0" w:color="auto"/>
            </w:tcBorders>
            <w:vAlign w:val="center"/>
            <w:hideMark/>
          </w:tcPr>
          <w:p w:rsidR="0054499C" w:rsidRPr="002B6800" w:rsidRDefault="0054499C" w:rsidP="0054499C">
            <w:pPr>
              <w:jc w:val="center"/>
              <w:rPr>
                <w:rFonts w:ascii="Calibri" w:hAnsi="Calibri"/>
                <w:sz w:val="20"/>
                <w:szCs w:val="20"/>
              </w:rPr>
            </w:pPr>
            <w:r w:rsidRPr="002B6800">
              <w:rPr>
                <w:rFonts w:ascii="Calibri" w:hAnsi="Calibri"/>
                <w:sz w:val="20"/>
                <w:szCs w:val="20"/>
              </w:rPr>
              <w:t>1 282 811</w:t>
            </w:r>
          </w:p>
        </w:tc>
        <w:tc>
          <w:tcPr>
            <w:tcW w:w="1479" w:type="dxa"/>
            <w:tcBorders>
              <w:top w:val="single" w:sz="12" w:space="0" w:color="auto"/>
              <w:left w:val="single" w:sz="4" w:space="0" w:color="auto"/>
              <w:bottom w:val="single" w:sz="4" w:space="0" w:color="auto"/>
              <w:right w:val="single" w:sz="4" w:space="0" w:color="auto"/>
            </w:tcBorders>
            <w:vAlign w:val="center"/>
            <w:hideMark/>
          </w:tcPr>
          <w:p w:rsidR="0054499C" w:rsidRPr="002B6800" w:rsidRDefault="0054499C" w:rsidP="0054499C">
            <w:pPr>
              <w:jc w:val="center"/>
              <w:rPr>
                <w:rFonts w:ascii="Calibri" w:hAnsi="Calibri"/>
                <w:sz w:val="20"/>
                <w:szCs w:val="20"/>
              </w:rPr>
            </w:pPr>
            <w:r w:rsidRPr="002B6800">
              <w:rPr>
                <w:rFonts w:ascii="Calibri" w:hAnsi="Calibri"/>
                <w:sz w:val="20"/>
                <w:szCs w:val="20"/>
              </w:rPr>
              <w:t>365 102</w:t>
            </w:r>
          </w:p>
        </w:tc>
        <w:tc>
          <w:tcPr>
            <w:tcW w:w="782" w:type="dxa"/>
            <w:tcBorders>
              <w:top w:val="single" w:sz="12" w:space="0" w:color="auto"/>
              <w:left w:val="single" w:sz="4" w:space="0" w:color="auto"/>
              <w:bottom w:val="single" w:sz="4" w:space="0" w:color="auto"/>
              <w:right w:val="single" w:sz="4" w:space="0" w:color="auto"/>
            </w:tcBorders>
            <w:vAlign w:val="center"/>
            <w:hideMark/>
          </w:tcPr>
          <w:p w:rsidR="0054499C" w:rsidRPr="002B6800" w:rsidRDefault="0054499C" w:rsidP="0054499C">
            <w:pPr>
              <w:jc w:val="center"/>
              <w:rPr>
                <w:rFonts w:ascii="Calibri" w:hAnsi="Calibri"/>
                <w:sz w:val="20"/>
                <w:szCs w:val="20"/>
              </w:rPr>
            </w:pPr>
            <w:r w:rsidRPr="002B6800">
              <w:rPr>
                <w:rFonts w:ascii="Calibri" w:hAnsi="Calibri"/>
                <w:sz w:val="20"/>
                <w:szCs w:val="20"/>
              </w:rPr>
              <w:t>28,4</w:t>
            </w:r>
          </w:p>
        </w:tc>
        <w:tc>
          <w:tcPr>
            <w:tcW w:w="1543" w:type="dxa"/>
            <w:tcBorders>
              <w:top w:val="single" w:sz="12" w:space="0" w:color="auto"/>
              <w:left w:val="single" w:sz="4" w:space="0" w:color="auto"/>
              <w:bottom w:val="single" w:sz="4" w:space="0" w:color="auto"/>
              <w:right w:val="single" w:sz="4" w:space="0" w:color="auto"/>
            </w:tcBorders>
            <w:vAlign w:val="center"/>
            <w:hideMark/>
          </w:tcPr>
          <w:p w:rsidR="0054499C" w:rsidRPr="002B6800" w:rsidRDefault="0054499C" w:rsidP="0054499C">
            <w:pPr>
              <w:jc w:val="center"/>
              <w:rPr>
                <w:rFonts w:ascii="Calibri" w:hAnsi="Calibri"/>
                <w:sz w:val="20"/>
                <w:szCs w:val="20"/>
              </w:rPr>
            </w:pPr>
            <w:r w:rsidRPr="002B6800">
              <w:rPr>
                <w:rFonts w:ascii="Calibri" w:hAnsi="Calibri"/>
                <w:sz w:val="20"/>
                <w:szCs w:val="20"/>
              </w:rPr>
              <w:t>828 110</w:t>
            </w:r>
          </w:p>
        </w:tc>
        <w:tc>
          <w:tcPr>
            <w:tcW w:w="1008" w:type="dxa"/>
            <w:tcBorders>
              <w:top w:val="single" w:sz="12" w:space="0" w:color="auto"/>
              <w:left w:val="single" w:sz="4" w:space="0" w:color="auto"/>
              <w:bottom w:val="single" w:sz="4" w:space="0" w:color="auto"/>
              <w:right w:val="single" w:sz="12" w:space="0" w:color="auto"/>
            </w:tcBorders>
            <w:vAlign w:val="center"/>
            <w:hideMark/>
          </w:tcPr>
          <w:p w:rsidR="0054499C" w:rsidRPr="002B6800" w:rsidRDefault="0054499C" w:rsidP="0054499C">
            <w:pPr>
              <w:jc w:val="center"/>
              <w:rPr>
                <w:rFonts w:ascii="Calibri" w:hAnsi="Calibri"/>
                <w:sz w:val="20"/>
                <w:szCs w:val="20"/>
              </w:rPr>
            </w:pPr>
            <w:r w:rsidRPr="002B6800">
              <w:rPr>
                <w:rFonts w:ascii="Calibri" w:hAnsi="Calibri"/>
                <w:sz w:val="20"/>
                <w:szCs w:val="20"/>
              </w:rPr>
              <w:t>64,3</w:t>
            </w:r>
          </w:p>
        </w:tc>
      </w:tr>
      <w:tr w:rsidR="0054499C" w:rsidRPr="002B6800" w:rsidTr="0054499C">
        <w:trPr>
          <w:trHeight w:val="315"/>
        </w:trPr>
        <w:tc>
          <w:tcPr>
            <w:tcW w:w="1311" w:type="dxa"/>
            <w:tcBorders>
              <w:top w:val="single" w:sz="4" w:space="0" w:color="auto"/>
              <w:left w:val="single" w:sz="12" w:space="0" w:color="auto"/>
              <w:bottom w:val="single" w:sz="12" w:space="0" w:color="auto"/>
              <w:right w:val="single" w:sz="4" w:space="0" w:color="auto"/>
            </w:tcBorders>
            <w:vAlign w:val="center"/>
            <w:hideMark/>
          </w:tcPr>
          <w:p w:rsidR="0054499C" w:rsidRPr="002B6800" w:rsidRDefault="0054499C" w:rsidP="0054499C">
            <w:pPr>
              <w:jc w:val="center"/>
              <w:rPr>
                <w:rFonts w:ascii="Calibri" w:hAnsi="Calibri"/>
                <w:sz w:val="20"/>
                <w:szCs w:val="20"/>
              </w:rPr>
            </w:pPr>
            <w:r w:rsidRPr="002B6800">
              <w:rPr>
                <w:rFonts w:ascii="Calibri" w:hAnsi="Calibri"/>
                <w:sz w:val="20"/>
                <w:szCs w:val="20"/>
              </w:rPr>
              <w:t>ÚEV</w:t>
            </w:r>
          </w:p>
        </w:tc>
        <w:tc>
          <w:tcPr>
            <w:tcW w:w="757" w:type="dxa"/>
            <w:tcBorders>
              <w:top w:val="single" w:sz="4" w:space="0" w:color="auto"/>
              <w:left w:val="single" w:sz="4" w:space="0" w:color="auto"/>
              <w:bottom w:val="single" w:sz="12" w:space="0" w:color="auto"/>
              <w:right w:val="single" w:sz="4" w:space="0" w:color="auto"/>
            </w:tcBorders>
            <w:vAlign w:val="center"/>
            <w:hideMark/>
          </w:tcPr>
          <w:p w:rsidR="0054499C" w:rsidRPr="002B6800" w:rsidRDefault="0054499C" w:rsidP="0054499C">
            <w:pPr>
              <w:jc w:val="center"/>
              <w:rPr>
                <w:rFonts w:ascii="Calibri" w:hAnsi="Calibri"/>
                <w:sz w:val="20"/>
                <w:szCs w:val="20"/>
              </w:rPr>
            </w:pPr>
            <w:r w:rsidRPr="002B6800">
              <w:rPr>
                <w:rFonts w:ascii="Calibri" w:hAnsi="Calibri"/>
                <w:sz w:val="20"/>
                <w:szCs w:val="20"/>
              </w:rPr>
              <w:t>473</w:t>
            </w:r>
          </w:p>
        </w:tc>
        <w:tc>
          <w:tcPr>
            <w:tcW w:w="1040" w:type="dxa"/>
            <w:tcBorders>
              <w:top w:val="single" w:sz="4" w:space="0" w:color="auto"/>
              <w:left w:val="single" w:sz="4" w:space="0" w:color="auto"/>
              <w:bottom w:val="single" w:sz="12" w:space="0" w:color="auto"/>
              <w:right w:val="single" w:sz="4" w:space="0" w:color="auto"/>
            </w:tcBorders>
            <w:vAlign w:val="center"/>
            <w:hideMark/>
          </w:tcPr>
          <w:p w:rsidR="0054499C" w:rsidRPr="002B6800" w:rsidRDefault="0054499C" w:rsidP="0054499C">
            <w:pPr>
              <w:jc w:val="center"/>
              <w:rPr>
                <w:rFonts w:ascii="Calibri" w:hAnsi="Calibri"/>
                <w:sz w:val="20"/>
                <w:szCs w:val="20"/>
              </w:rPr>
            </w:pPr>
            <w:r w:rsidRPr="002B6800">
              <w:rPr>
                <w:rFonts w:ascii="Calibri" w:hAnsi="Calibri"/>
                <w:sz w:val="20"/>
                <w:szCs w:val="20"/>
              </w:rPr>
              <w:t>584 353</w:t>
            </w:r>
          </w:p>
        </w:tc>
        <w:tc>
          <w:tcPr>
            <w:tcW w:w="1479" w:type="dxa"/>
            <w:tcBorders>
              <w:top w:val="single" w:sz="4" w:space="0" w:color="auto"/>
              <w:left w:val="single" w:sz="4" w:space="0" w:color="auto"/>
              <w:bottom w:val="single" w:sz="12" w:space="0" w:color="auto"/>
              <w:right w:val="single" w:sz="4" w:space="0" w:color="auto"/>
            </w:tcBorders>
            <w:vAlign w:val="center"/>
            <w:hideMark/>
          </w:tcPr>
          <w:p w:rsidR="0054499C" w:rsidRPr="002B6800" w:rsidRDefault="0054499C" w:rsidP="0054499C">
            <w:pPr>
              <w:jc w:val="center"/>
              <w:rPr>
                <w:rFonts w:ascii="Calibri" w:hAnsi="Calibri"/>
                <w:sz w:val="20"/>
                <w:szCs w:val="20"/>
              </w:rPr>
            </w:pPr>
            <w:r w:rsidRPr="002B6800">
              <w:rPr>
                <w:rFonts w:ascii="Calibri" w:hAnsi="Calibri"/>
                <w:sz w:val="20"/>
                <w:szCs w:val="20"/>
              </w:rPr>
              <w:t>58 640</w:t>
            </w:r>
          </w:p>
        </w:tc>
        <w:tc>
          <w:tcPr>
            <w:tcW w:w="782" w:type="dxa"/>
            <w:tcBorders>
              <w:top w:val="single" w:sz="4" w:space="0" w:color="auto"/>
              <w:left w:val="single" w:sz="4" w:space="0" w:color="auto"/>
              <w:bottom w:val="single" w:sz="12" w:space="0" w:color="auto"/>
              <w:right w:val="single" w:sz="4" w:space="0" w:color="auto"/>
            </w:tcBorders>
            <w:vAlign w:val="center"/>
            <w:hideMark/>
          </w:tcPr>
          <w:p w:rsidR="0054499C" w:rsidRPr="002B6800" w:rsidRDefault="0054499C" w:rsidP="0054499C">
            <w:pPr>
              <w:jc w:val="center"/>
              <w:rPr>
                <w:rFonts w:ascii="Calibri" w:hAnsi="Calibri"/>
                <w:sz w:val="20"/>
                <w:szCs w:val="20"/>
              </w:rPr>
            </w:pPr>
            <w:r w:rsidRPr="002B6800">
              <w:rPr>
                <w:rFonts w:ascii="Calibri" w:hAnsi="Calibri"/>
                <w:sz w:val="20"/>
                <w:szCs w:val="20"/>
              </w:rPr>
              <w:t>10,0</w:t>
            </w:r>
          </w:p>
        </w:tc>
        <w:tc>
          <w:tcPr>
            <w:tcW w:w="1543" w:type="dxa"/>
            <w:tcBorders>
              <w:top w:val="single" w:sz="4" w:space="0" w:color="auto"/>
              <w:left w:val="single" w:sz="4" w:space="0" w:color="auto"/>
              <w:bottom w:val="single" w:sz="12" w:space="0" w:color="auto"/>
              <w:right w:val="single" w:sz="4" w:space="0" w:color="auto"/>
            </w:tcBorders>
            <w:vAlign w:val="center"/>
            <w:hideMark/>
          </w:tcPr>
          <w:p w:rsidR="0054499C" w:rsidRPr="002B6800" w:rsidRDefault="0054499C" w:rsidP="0054499C">
            <w:pPr>
              <w:jc w:val="center"/>
              <w:rPr>
                <w:rFonts w:ascii="Calibri" w:hAnsi="Calibri"/>
                <w:sz w:val="20"/>
                <w:szCs w:val="20"/>
              </w:rPr>
            </w:pPr>
            <w:r w:rsidRPr="002B6800">
              <w:rPr>
                <w:rFonts w:ascii="Calibri" w:hAnsi="Calibri"/>
                <w:sz w:val="20"/>
                <w:szCs w:val="20"/>
              </w:rPr>
              <w:t>503 926</w:t>
            </w:r>
          </w:p>
        </w:tc>
        <w:tc>
          <w:tcPr>
            <w:tcW w:w="1008" w:type="dxa"/>
            <w:tcBorders>
              <w:top w:val="single" w:sz="4" w:space="0" w:color="auto"/>
              <w:left w:val="single" w:sz="4" w:space="0" w:color="auto"/>
              <w:bottom w:val="single" w:sz="12" w:space="0" w:color="auto"/>
              <w:right w:val="single" w:sz="12" w:space="0" w:color="auto"/>
            </w:tcBorders>
            <w:vAlign w:val="center"/>
            <w:hideMark/>
          </w:tcPr>
          <w:p w:rsidR="0054499C" w:rsidRPr="002B6800" w:rsidRDefault="0054499C" w:rsidP="0054499C">
            <w:pPr>
              <w:jc w:val="center"/>
              <w:rPr>
                <w:rFonts w:ascii="Calibri" w:hAnsi="Calibri"/>
                <w:sz w:val="20"/>
                <w:szCs w:val="20"/>
              </w:rPr>
            </w:pPr>
            <w:r w:rsidRPr="002B6800">
              <w:rPr>
                <w:rFonts w:ascii="Calibri" w:hAnsi="Calibri"/>
                <w:sz w:val="20"/>
                <w:szCs w:val="20"/>
              </w:rPr>
              <w:t>86,2</w:t>
            </w:r>
          </w:p>
        </w:tc>
      </w:tr>
    </w:tbl>
    <w:p w:rsidR="0054499C" w:rsidRPr="002B6800" w:rsidRDefault="0054499C" w:rsidP="0054499C">
      <w:pPr>
        <w:rPr>
          <w:rFonts w:ascii="Calibri" w:hAnsi="Calibri"/>
        </w:rPr>
      </w:pPr>
    </w:p>
    <w:p w:rsidR="0054499C" w:rsidRPr="002B6800" w:rsidRDefault="0054499C" w:rsidP="00CE203B">
      <w:pPr>
        <w:widowControl w:val="0"/>
        <w:numPr>
          <w:ilvl w:val="0"/>
          <w:numId w:val="262"/>
        </w:numPr>
        <w:autoSpaceDE w:val="0"/>
        <w:autoSpaceDN w:val="0"/>
        <w:adjustRightInd w:val="0"/>
        <w:spacing w:after="120"/>
        <w:ind w:left="357" w:hanging="357"/>
        <w:rPr>
          <w:rFonts w:ascii="Calibri" w:hAnsi="Calibri"/>
        </w:rPr>
      </w:pPr>
      <w:r w:rsidRPr="002B6800">
        <w:rPr>
          <w:rFonts w:ascii="Calibri" w:hAnsi="Calibri"/>
        </w:rPr>
        <w:t xml:space="preserve">41 chránených vtáčích území bolo v zmysle § 26 ods. 6 zákona </w:t>
      </w:r>
      <w:r w:rsidRPr="002B6800">
        <w:rPr>
          <w:rFonts w:ascii="Calibri" w:hAnsi="Calibri"/>
          <w:color w:val="000000"/>
        </w:rPr>
        <w:t xml:space="preserve">č. 543/2002 Z.z. o ochrane prírody a krajiny vyhlásených príslušnými vyhláškami MŽP SR a tieto obsahujú </w:t>
      </w:r>
      <w:r w:rsidRPr="002B6800">
        <w:rPr>
          <w:rFonts w:ascii="Calibri" w:hAnsi="Calibri"/>
        </w:rPr>
        <w:t>zakázané činnosti , ktoré môžu mať negatívny vplyv na predmet jeho ochrany.</w:t>
      </w:r>
    </w:p>
    <w:p w:rsidR="0054499C" w:rsidRPr="002B6800" w:rsidRDefault="0054499C" w:rsidP="0054499C">
      <w:pPr>
        <w:widowControl w:val="0"/>
        <w:autoSpaceDE w:val="0"/>
        <w:autoSpaceDN w:val="0"/>
        <w:adjustRightInd w:val="0"/>
        <w:ind w:left="360"/>
        <w:rPr>
          <w:rFonts w:ascii="Calibri" w:hAnsi="Calibri"/>
        </w:rPr>
      </w:pPr>
      <w:r w:rsidRPr="002B6800">
        <w:rPr>
          <w:rFonts w:ascii="Calibri" w:hAnsi="Calibri"/>
        </w:rPr>
        <w:t>Zákazy obsiahnuté v predmetných vyhláškach sú stanovené v dvoch rovinách:</w:t>
      </w:r>
    </w:p>
    <w:p w:rsidR="0054499C" w:rsidRPr="002B6800" w:rsidRDefault="0054499C" w:rsidP="00CE203B">
      <w:pPr>
        <w:widowControl w:val="0"/>
        <w:numPr>
          <w:ilvl w:val="0"/>
          <w:numId w:val="263"/>
        </w:numPr>
        <w:autoSpaceDE w:val="0"/>
        <w:autoSpaceDN w:val="0"/>
        <w:adjustRightInd w:val="0"/>
        <w:rPr>
          <w:rFonts w:ascii="Calibri" w:hAnsi="Calibri"/>
        </w:rPr>
      </w:pPr>
      <w:r w:rsidRPr="002B6800">
        <w:rPr>
          <w:rFonts w:ascii="Calibri" w:hAnsi="Calibri"/>
        </w:rPr>
        <w:t xml:space="preserve">ako zákazy (stále) taxatívne stanovené pre danú lokalitu </w:t>
      </w:r>
    </w:p>
    <w:p w:rsidR="0054499C" w:rsidRPr="002B6800" w:rsidRDefault="0054499C" w:rsidP="00CE203B">
      <w:pPr>
        <w:widowControl w:val="0"/>
        <w:numPr>
          <w:ilvl w:val="0"/>
          <w:numId w:val="263"/>
        </w:numPr>
        <w:autoSpaceDE w:val="0"/>
        <w:autoSpaceDN w:val="0"/>
        <w:adjustRightInd w:val="0"/>
        <w:spacing w:after="120"/>
        <w:ind w:left="714" w:hanging="357"/>
        <w:rPr>
          <w:rFonts w:ascii="Calibri" w:hAnsi="Calibri"/>
        </w:rPr>
      </w:pPr>
      <w:r w:rsidRPr="002B6800">
        <w:rPr>
          <w:rFonts w:ascii="Calibri" w:hAnsi="Calibri"/>
        </w:rPr>
        <w:t>ako zákazy (ad hoc) podmienené rozhodnutím orgánu ochrany životného prostredia pre danú lokalitu</w:t>
      </w:r>
    </w:p>
    <w:p w:rsidR="0054499C" w:rsidRPr="002B6800" w:rsidRDefault="0054499C" w:rsidP="00CE203B">
      <w:pPr>
        <w:numPr>
          <w:ilvl w:val="0"/>
          <w:numId w:val="262"/>
        </w:numPr>
        <w:rPr>
          <w:rFonts w:ascii="Calibri" w:hAnsi="Calibri"/>
          <w:b/>
        </w:rPr>
      </w:pPr>
      <w:r w:rsidRPr="002B6800">
        <w:rPr>
          <w:rFonts w:ascii="Calibri" w:hAnsi="Calibri"/>
        </w:rPr>
        <w:t>473 území európskeho významu bolo v zmysle § 27 ods. 1 zákona č. 543/2002 Z.z. o ochrane prírody a krajiny zaradených do  národného zoznamu území európskeho významu (výnos MŽP SR)  a obmedzenia činností sú stanovené príslušným stupňom ochrany v zmysle uvedeného zákona.</w:t>
      </w:r>
    </w:p>
    <w:p w:rsidR="0054499C" w:rsidRPr="002B6800" w:rsidRDefault="0054499C" w:rsidP="0054499C">
      <w:pPr>
        <w:widowControl w:val="0"/>
        <w:suppressAutoHyphens/>
        <w:rPr>
          <w:rFonts w:ascii="Calibri" w:eastAsia="Arial" w:hAnsi="Calibri"/>
          <w:lang w:eastAsia="ar-SA"/>
        </w:rPr>
      </w:pPr>
    </w:p>
    <w:p w:rsidR="0054499C" w:rsidRPr="002B6800" w:rsidRDefault="0054499C" w:rsidP="0054499C">
      <w:pPr>
        <w:spacing w:after="120"/>
        <w:rPr>
          <w:rFonts w:ascii="Calibri" w:eastAsia="Calibri" w:hAnsi="Calibri"/>
        </w:rPr>
      </w:pPr>
      <w:r w:rsidRPr="002B6800">
        <w:rPr>
          <w:rFonts w:ascii="Calibri" w:eastAsia="Calibri" w:hAnsi="Calibri"/>
        </w:rPr>
        <w:t>MPRV SR vypracovalo analýzu vyhodnotenie možností a výšky podpory oprávneným príjemcom, ktorí sú trvale znevýhodnení  z vykonávania smerníc 2009/147/ES a 92/43/EHS v dotknutých oblastiach, pri porovnaní so situáciou poľnohospodárov a lesníkov, ktorých sa takéto znevýhodnenie netýka.</w:t>
      </w:r>
    </w:p>
    <w:p w:rsidR="0054499C" w:rsidRPr="002B6800" w:rsidRDefault="0054499C" w:rsidP="0054499C">
      <w:pPr>
        <w:tabs>
          <w:tab w:val="left" w:pos="0"/>
          <w:tab w:val="num" w:pos="142"/>
        </w:tabs>
        <w:spacing w:after="120"/>
        <w:rPr>
          <w:rFonts w:ascii="Calibri" w:eastAsia="Calibri" w:hAnsi="Calibri"/>
          <w:lang w:eastAsia="fr-BE"/>
        </w:rPr>
      </w:pPr>
      <w:r w:rsidRPr="002B6800">
        <w:rPr>
          <w:rFonts w:ascii="Calibri" w:eastAsia="Calibri" w:hAnsi="Calibri"/>
          <w:sz w:val="24"/>
          <w:lang w:eastAsia="fr-BE"/>
        </w:rPr>
        <w:t>Výsledky analýzy sú premietnuté do navrhovanej p</w:t>
      </w:r>
      <w:r w:rsidRPr="002B6800">
        <w:rPr>
          <w:rFonts w:ascii="Calibri" w:eastAsia="Calibri" w:hAnsi="Calibri"/>
          <w:lang w:eastAsia="fr-BE"/>
        </w:rPr>
        <w:t xml:space="preserve">odpory pre  poľnohospodárov a obhospodarovateľov lesa na prekonanie osobitných znevýhodnení v príslušných oblastiach, ktoré vyplývajú z vykonania smernice  2009/147/ES a smernice 92/43/EHS, aby sa prispelo k účinnému riadeniu lokalít sústavy Natura 2000 s tým, že podpora je spojená len so špecifickými požiadavkami, ktoré presahujú rámec dobrého poľnohospodárskeho a environmentálneho stavu podľa článku 94 a prílohy II k nariadeniu (EÚ) č.1306/2013, príslušných kritérií  a minimálnych činností stanovených podľa článku 4 ods. 1 písm. c) bodov ii) a iii) naradenia (EÚ) č.1307/2013. </w:t>
      </w:r>
    </w:p>
    <w:p w:rsidR="0054499C" w:rsidRPr="002B6800" w:rsidRDefault="0054499C" w:rsidP="0054499C">
      <w:pPr>
        <w:tabs>
          <w:tab w:val="left" w:pos="0"/>
          <w:tab w:val="num" w:pos="142"/>
        </w:tabs>
        <w:spacing w:after="120"/>
        <w:rPr>
          <w:rFonts w:ascii="Calibri" w:eastAsia="Calibri" w:hAnsi="Calibri"/>
          <w:lang w:eastAsia="fr-BE"/>
        </w:rPr>
      </w:pPr>
      <w:r w:rsidRPr="002B6800">
        <w:rPr>
          <w:rFonts w:ascii="Calibri" w:eastAsia="Calibri" w:hAnsi="Calibri"/>
          <w:lang w:eastAsia="fr-BE"/>
        </w:rPr>
        <w:t>Pri výpočte podpory v rámci tohto opatrenia boli zohľadnené postupy na vylúčenie dvojitého financovania podľa článku 43 nariadenia (EÚ) č.1307/2013.</w:t>
      </w:r>
    </w:p>
    <w:p w:rsidR="0054499C" w:rsidRPr="002B6800" w:rsidRDefault="0054499C" w:rsidP="0054499C">
      <w:pPr>
        <w:widowControl w:val="0"/>
        <w:suppressAutoHyphens/>
        <w:rPr>
          <w:rFonts w:ascii="Calibri" w:eastAsia="Arial" w:hAnsi="Calibri"/>
          <w:lang w:eastAsia="ar-SA"/>
        </w:rPr>
      </w:pPr>
      <w:r w:rsidRPr="002B6800">
        <w:rPr>
          <w:rFonts w:ascii="Calibri" w:eastAsia="Arial" w:hAnsi="Calibri"/>
          <w:lang w:eastAsia="ar-SA"/>
        </w:rPr>
        <w:t>Aj keď je rozloha území NATURA 2000 na poľnohospodárskych a lesných pozemkoch SR značne rozsiahla, z komparatívnej analýzy a podmienok stanovených legislatívou ES vyplýva, že do systematickej (stálej)  podpory prostredníctvom programu rozvoja vidieka môžu byť zaradené len ÚEV na  poľnohospodárskych pôdach nachádzajúcich sa vo 4. a 5. stupni ochrany a  ÚEV na lesných pozemkoch v 5.stupni  územnej ochrany +  5 % rozlohy území mimo plôch ÚEV,  na ktoré sa vzťahuje územná pôsobnosť ochrany 5.stupňa .</w:t>
      </w:r>
    </w:p>
    <w:p w:rsidR="0054499C" w:rsidRPr="002B6800" w:rsidRDefault="0054499C" w:rsidP="0054499C">
      <w:pPr>
        <w:rPr>
          <w:rFonts w:ascii="Calibri" w:eastAsia="Calibri" w:hAnsi="Calibri"/>
          <w:iCs/>
          <w:u w:val="single"/>
          <w:lang w:eastAsia="en-GB"/>
        </w:rPr>
      </w:pPr>
    </w:p>
    <w:p w:rsidR="0054499C" w:rsidRPr="002B6800" w:rsidRDefault="0054499C" w:rsidP="0054499C">
      <w:pPr>
        <w:rPr>
          <w:rFonts w:ascii="Calibri" w:eastAsia="Calibri" w:hAnsi="Calibri"/>
          <w:iCs/>
          <w:u w:val="single"/>
          <w:lang w:eastAsia="en-GB"/>
        </w:rPr>
      </w:pPr>
      <w:r w:rsidRPr="002B6800">
        <w:rPr>
          <w:rFonts w:ascii="Calibri" w:eastAsia="Calibri" w:hAnsi="Calibri"/>
          <w:iCs/>
          <w:u w:val="single"/>
          <w:lang w:eastAsia="en-GB"/>
        </w:rPr>
        <w:t xml:space="preserve">Príspevok k fokusovým oblastiam </w:t>
      </w:r>
      <w:bookmarkEnd w:id="96"/>
    </w:p>
    <w:p w:rsidR="0054499C" w:rsidRPr="002B6800" w:rsidRDefault="0054499C" w:rsidP="0054499C">
      <w:pPr>
        <w:ind w:left="709" w:hanging="709"/>
        <w:rPr>
          <w:rFonts w:ascii="Calibri" w:eastAsia="Calibri" w:hAnsi="Calibri"/>
          <w:i/>
        </w:rPr>
      </w:pPr>
      <w:r w:rsidRPr="002B6800">
        <w:rPr>
          <w:rFonts w:ascii="Calibri" w:eastAsia="Calibri" w:hAnsi="Calibri"/>
          <w:i/>
          <w:iCs/>
        </w:rPr>
        <w:t xml:space="preserve">4A – </w:t>
      </w:r>
      <w:r w:rsidRPr="002B6800">
        <w:rPr>
          <w:rFonts w:ascii="Calibri" w:eastAsia="Calibri" w:hAnsi="Calibri"/>
          <w:i/>
        </w:rPr>
        <w:t>Obnova, zachovanie a zvýšenie biologickej diverzity vrátane lokalít sústavy Natura 2000 a v oblastiach s prírodnými a inými špecifickými obmedzeniami a poľnohospodárskej činnosti s vysokou prírodnou hodnotou a stavu krajinných oblastí Európy.</w:t>
      </w:r>
    </w:p>
    <w:p w:rsidR="0054499C" w:rsidRPr="002B6800" w:rsidRDefault="0054499C" w:rsidP="0054499C">
      <w:pPr>
        <w:rPr>
          <w:rFonts w:ascii="Calibri" w:hAnsi="Calibri"/>
        </w:rPr>
      </w:pPr>
      <w:r w:rsidRPr="002B6800">
        <w:rPr>
          <w:rFonts w:ascii="Calibri" w:hAnsi="Calibri"/>
        </w:rPr>
        <w:t>Podpora riadenej činnosti m</w:t>
      </w:r>
      <w:r>
        <w:rPr>
          <w:rFonts w:ascii="Calibri" w:hAnsi="Calibri"/>
        </w:rPr>
        <w:t>a</w:t>
      </w:r>
      <w:r w:rsidRPr="002B6800">
        <w:rPr>
          <w:rFonts w:ascii="Calibri" w:hAnsi="Calibri"/>
        </w:rPr>
        <w:t>n</w:t>
      </w:r>
      <w:r>
        <w:rPr>
          <w:rFonts w:ascii="Calibri" w:hAnsi="Calibri"/>
        </w:rPr>
        <w:t>a</w:t>
      </w:r>
      <w:r w:rsidRPr="002B6800">
        <w:rPr>
          <w:rFonts w:ascii="Calibri" w:hAnsi="Calibri"/>
        </w:rPr>
        <w:t>žovania poľnohospodárskych a lesných pôd v územiach európskeho významu zohráva dôležitú úlohu pri ochrane druhov a biotopov. Pokračujúca poľnohospodárska a lesnícka činnosť v stanovených podmienkach je zásadným príspevkom k dosiahnutiu cieľov EÚ v oblasti životného prostredia a v oblasti biodiverzity. Cieľom opatrenia je obnovovať, chrániť a posilňovať ekosystémy závislé na poľnohospodárstve a lesnom hospodárstve  a zachovávať oblasti  s vysokou prírodnou hodnotou.</w:t>
      </w:r>
    </w:p>
    <w:p w:rsidR="0054499C" w:rsidRPr="002B6800" w:rsidRDefault="0054499C" w:rsidP="0054499C">
      <w:pPr>
        <w:rPr>
          <w:rFonts w:ascii="Calibri" w:hAnsi="Calibri" w:cs="Calibri"/>
          <w:i/>
        </w:rPr>
      </w:pPr>
    </w:p>
    <w:p w:rsidR="0054499C" w:rsidRPr="002B6800" w:rsidRDefault="0054499C" w:rsidP="0054499C">
      <w:pPr>
        <w:rPr>
          <w:rFonts w:ascii="Calibri" w:hAnsi="Calibri" w:cs="Calibri"/>
          <w:i/>
        </w:rPr>
      </w:pPr>
      <w:r w:rsidRPr="002B6800">
        <w:rPr>
          <w:rFonts w:ascii="Calibri" w:hAnsi="Calibri" w:cs="Calibri"/>
          <w:i/>
        </w:rPr>
        <w:t>4B   -  Zlepšenie vodného hospodárstva vrátane riadenia používania hnojív a pesticídov.</w:t>
      </w:r>
    </w:p>
    <w:p w:rsidR="0054499C" w:rsidRPr="002B6800" w:rsidRDefault="0054499C" w:rsidP="0054499C">
      <w:pPr>
        <w:rPr>
          <w:rFonts w:ascii="Calibri" w:hAnsi="Calibri" w:cs="Calibri"/>
        </w:rPr>
      </w:pPr>
      <w:r w:rsidRPr="002B6800">
        <w:rPr>
          <w:rFonts w:ascii="Calibri" w:hAnsi="Calibri" w:cs="Calibri"/>
        </w:rPr>
        <w:t xml:space="preserve">Úplným zákazom používania chemických prípravkov a dodatkových hnojív opatrenie významne prispieva k zlepšeniu stavu povrchových a podzemných vôd. </w:t>
      </w:r>
    </w:p>
    <w:p w:rsidR="0054499C" w:rsidRPr="002B6800" w:rsidRDefault="0054499C" w:rsidP="0054499C">
      <w:pPr>
        <w:rPr>
          <w:rFonts w:ascii="Calibri" w:hAnsi="Calibri" w:cs="Calibri"/>
        </w:rPr>
      </w:pPr>
      <w:r w:rsidRPr="002B6800">
        <w:rPr>
          <w:rFonts w:ascii="Calibri" w:hAnsi="Calibri" w:cs="Calibri"/>
        </w:rPr>
        <w:t>Obhospodarovanie trvalých trávnatých porastov a starostlivosť o lesné pozemky prispieva k zlepšovaniu manažmentu s vodou.</w:t>
      </w:r>
    </w:p>
    <w:p w:rsidR="0054499C" w:rsidRPr="002B6800" w:rsidRDefault="0054499C" w:rsidP="0054499C">
      <w:pPr>
        <w:rPr>
          <w:rFonts w:ascii="Calibri" w:hAnsi="Calibri" w:cs="Calibri"/>
        </w:rPr>
      </w:pPr>
    </w:p>
    <w:p w:rsidR="0054499C" w:rsidRPr="002B6800" w:rsidRDefault="0054499C" w:rsidP="0054499C">
      <w:pPr>
        <w:rPr>
          <w:rFonts w:ascii="Calibri" w:hAnsi="Calibri" w:cs="Calibri"/>
          <w:i/>
        </w:rPr>
      </w:pPr>
      <w:r w:rsidRPr="002B6800">
        <w:rPr>
          <w:rFonts w:ascii="Calibri" w:hAnsi="Calibri" w:cs="Calibri"/>
          <w:i/>
        </w:rPr>
        <w:t>4C   Predchádzanie erózii pôdy a zlepšenie jej obhospodarovania.</w:t>
      </w:r>
    </w:p>
    <w:p w:rsidR="0054499C" w:rsidRPr="002B6800" w:rsidRDefault="0054499C" w:rsidP="0054499C">
      <w:pPr>
        <w:rPr>
          <w:rFonts w:ascii="Calibri" w:hAnsi="Calibri" w:cs="Calibri"/>
        </w:rPr>
      </w:pPr>
      <w:r w:rsidRPr="002B6800">
        <w:rPr>
          <w:rFonts w:ascii="Calibri" w:hAnsi="Calibri" w:cs="Calibri"/>
        </w:rPr>
        <w:t>Na plochách s trvalými trávnymi porastmi  a trvalými lesnými porastmi sa  takmer úplne zamedzuje  pôsobeniu vodnej erózie a je výrazný znížený odtok  povrchových vôd</w:t>
      </w:r>
    </w:p>
    <w:p w:rsidR="0054499C" w:rsidRPr="002B6800" w:rsidRDefault="0054499C" w:rsidP="0054499C">
      <w:pPr>
        <w:rPr>
          <w:rFonts w:ascii="Calibri" w:hAnsi="Calibri"/>
          <w:iCs/>
          <w:u w:val="single"/>
          <w:lang w:eastAsia="en-GB"/>
        </w:rPr>
      </w:pPr>
    </w:p>
    <w:p w:rsidR="0054499C" w:rsidRPr="002B6800" w:rsidRDefault="0054499C" w:rsidP="0054499C">
      <w:pPr>
        <w:ind w:left="425" w:hanging="425"/>
        <w:rPr>
          <w:rFonts w:ascii="Calibri" w:hAnsi="Calibri" w:cs="Calibri"/>
          <w:i/>
        </w:rPr>
      </w:pPr>
      <w:r w:rsidRPr="002B6800">
        <w:rPr>
          <w:rFonts w:ascii="Calibri" w:hAnsi="Calibri" w:cs="Calibri"/>
          <w:i/>
        </w:rPr>
        <w:t xml:space="preserve">5E </w:t>
      </w:r>
      <w:r w:rsidRPr="002B6800">
        <w:rPr>
          <w:rFonts w:ascii="Calibri" w:hAnsi="Calibri" w:cs="Calibri"/>
          <w:i/>
        </w:rPr>
        <w:tab/>
        <w:t>Podpora zachovania a sekvestrácie oxidu uhličitého v poľnohospodárstve a lesnom hospodárstve</w:t>
      </w:r>
    </w:p>
    <w:p w:rsidR="0054499C" w:rsidRPr="002B6800" w:rsidRDefault="0054499C" w:rsidP="0054499C">
      <w:pPr>
        <w:rPr>
          <w:rFonts w:ascii="Calibri" w:hAnsi="Calibri"/>
          <w:iCs/>
          <w:lang w:eastAsia="en-GB"/>
        </w:rPr>
      </w:pPr>
      <w:r w:rsidRPr="002B6800">
        <w:rPr>
          <w:rFonts w:ascii="Calibri" w:hAnsi="Calibri"/>
          <w:iCs/>
          <w:lang w:eastAsia="en-GB"/>
        </w:rPr>
        <w:t xml:space="preserve">Opatrenie prostredníctvom podpory obhospodarovania trvalých trávnatých porastov, starostlivosti o lesné pozemky prispieva k sekvestrácii oxidu uhličitého.  </w:t>
      </w:r>
    </w:p>
    <w:p w:rsidR="0054499C" w:rsidRPr="002B6800" w:rsidRDefault="0054499C" w:rsidP="0054499C">
      <w:pPr>
        <w:rPr>
          <w:rFonts w:ascii="Calibri" w:eastAsia="Calibri" w:hAnsi="Calibri"/>
        </w:rPr>
      </w:pPr>
    </w:p>
    <w:p w:rsidR="0054499C" w:rsidRPr="002B6800" w:rsidRDefault="0054499C" w:rsidP="0054499C">
      <w:pPr>
        <w:rPr>
          <w:rFonts w:ascii="Calibri" w:eastAsia="Calibri" w:hAnsi="Calibri"/>
          <w:u w:val="single"/>
        </w:rPr>
      </w:pPr>
      <w:r w:rsidRPr="002B6800">
        <w:rPr>
          <w:rFonts w:ascii="Calibri" w:eastAsia="Calibri" w:hAnsi="Calibri"/>
          <w:iCs/>
          <w:u w:val="single"/>
          <w:lang w:eastAsia="en-GB"/>
        </w:rPr>
        <w:t>Príspevok k prierezovým cieľom</w:t>
      </w:r>
    </w:p>
    <w:p w:rsidR="0054499C" w:rsidRPr="002B6800" w:rsidRDefault="0054499C" w:rsidP="001F5283">
      <w:pPr>
        <w:numPr>
          <w:ilvl w:val="0"/>
          <w:numId w:val="83"/>
        </w:numPr>
        <w:rPr>
          <w:rFonts w:ascii="Calibri" w:eastAsia="Calibri" w:hAnsi="Calibri"/>
        </w:rPr>
      </w:pPr>
      <w:r w:rsidRPr="002B6800">
        <w:rPr>
          <w:rFonts w:ascii="Calibri" w:eastAsia="Calibri" w:hAnsi="Calibri"/>
        </w:rPr>
        <w:t xml:space="preserve">životné prostredie, </w:t>
      </w:r>
    </w:p>
    <w:p w:rsidR="0054499C" w:rsidRPr="002B6800" w:rsidRDefault="0054499C" w:rsidP="001F5283">
      <w:pPr>
        <w:numPr>
          <w:ilvl w:val="0"/>
          <w:numId w:val="83"/>
        </w:numPr>
        <w:rPr>
          <w:rFonts w:ascii="Calibri" w:eastAsia="Calibri" w:hAnsi="Calibri"/>
        </w:rPr>
      </w:pPr>
      <w:r w:rsidRPr="002B6800">
        <w:rPr>
          <w:rFonts w:ascii="Calibri" w:eastAsia="Calibri" w:hAnsi="Calibri"/>
        </w:rPr>
        <w:t>zmierňovanie zmeny klímy a prispôsobovanie sa tejto zmene</w:t>
      </w:r>
      <w:bookmarkStart w:id="97" w:name="_Toc369609054"/>
      <w:r w:rsidRPr="002B6800">
        <w:rPr>
          <w:rFonts w:ascii="Calibri" w:eastAsia="Calibri" w:hAnsi="Calibri"/>
        </w:rPr>
        <w:t>.</w:t>
      </w:r>
      <w:bookmarkEnd w:id="97"/>
    </w:p>
    <w:p w:rsidR="0054499C" w:rsidRPr="002B6800" w:rsidRDefault="0054499C" w:rsidP="0054499C">
      <w:pPr>
        <w:rPr>
          <w:rFonts w:ascii="Calibri" w:eastAsia="Calibri" w:hAnsi="Calibri" w:cs="Calibri"/>
        </w:rPr>
      </w:pPr>
    </w:p>
    <w:p w:rsidR="0054499C" w:rsidRPr="002B6800" w:rsidRDefault="0054499C" w:rsidP="0054499C">
      <w:pPr>
        <w:rPr>
          <w:rFonts w:ascii="Calibri" w:eastAsia="Calibri" w:hAnsi="Calibri" w:cs="Calibri"/>
        </w:rPr>
      </w:pPr>
      <w:r w:rsidRPr="002B6800">
        <w:rPr>
          <w:rFonts w:ascii="Calibri" w:eastAsia="Calibri" w:hAnsi="Calibri" w:cs="Calibri"/>
          <w:b/>
        </w:rPr>
        <w:t>8.2.11.3. Rozsah, úroveň podpory a ďalšie informácie (</w:t>
      </w:r>
      <w:r w:rsidRPr="002B6800">
        <w:rPr>
          <w:rFonts w:ascii="Calibri" w:eastAsia="Calibri" w:hAnsi="Calibri" w:cs="Calibri"/>
        </w:rPr>
        <w:t> </w:t>
      </w:r>
      <w:r>
        <w:rPr>
          <w:rFonts w:ascii="Calibri" w:eastAsia="Calibri" w:hAnsi="Calibri" w:cs="Calibri"/>
        </w:rPr>
        <w:t xml:space="preserve">v </w:t>
      </w:r>
      <w:r w:rsidRPr="002B6800">
        <w:rPr>
          <w:rFonts w:ascii="Calibri" w:eastAsia="Calibri" w:hAnsi="Calibri" w:cs="Calibri"/>
        </w:rPr>
        <w:t>členení podľa podopatrení a typu operácií)</w:t>
      </w:r>
    </w:p>
    <w:p w:rsidR="0054499C" w:rsidRPr="002B6800" w:rsidRDefault="0054499C" w:rsidP="0054499C">
      <w:pPr>
        <w:rPr>
          <w:rFonts w:ascii="Calibri" w:eastAsia="Calibri" w:hAnsi="Calibri" w:cs="Calibri"/>
          <w:b/>
        </w:rPr>
      </w:pPr>
    </w:p>
    <w:p w:rsidR="0054499C" w:rsidRPr="002B6800" w:rsidRDefault="0054499C" w:rsidP="0054499C">
      <w:pPr>
        <w:shd w:val="clear" w:color="auto" w:fill="EAF1DD"/>
        <w:ind w:left="1985" w:hanging="1985"/>
        <w:rPr>
          <w:rFonts w:ascii="Calibri" w:eastAsia="Calibri" w:hAnsi="Calibri" w:cs="Calibri"/>
          <w:b/>
          <w:i/>
          <w:sz w:val="24"/>
        </w:rPr>
      </w:pPr>
      <w:r w:rsidRPr="002B6800">
        <w:rPr>
          <w:rFonts w:ascii="Calibri" w:eastAsia="Calibri" w:hAnsi="Calibri" w:cs="Calibri"/>
          <w:sz w:val="24"/>
        </w:rPr>
        <w:t>Podopatrenie 12.1:</w:t>
      </w:r>
      <w:r w:rsidRPr="002B6800">
        <w:rPr>
          <w:rFonts w:ascii="Calibri" w:eastAsia="Calibri" w:hAnsi="Calibri" w:cs="Calibri"/>
          <w:i/>
          <w:sz w:val="24"/>
        </w:rPr>
        <w:t xml:space="preserve"> </w:t>
      </w:r>
      <w:r w:rsidRPr="002B6800">
        <w:rPr>
          <w:rFonts w:ascii="Calibri" w:eastAsia="Calibri" w:hAnsi="Calibri" w:cs="Calibri"/>
          <w:b/>
          <w:i/>
          <w:sz w:val="24"/>
        </w:rPr>
        <w:t>Kompenzačné platby v rámci sústavy Natura 2000</w:t>
      </w:r>
    </w:p>
    <w:p w:rsidR="0054499C" w:rsidRPr="002B6800" w:rsidRDefault="0054499C" w:rsidP="0054499C">
      <w:pPr>
        <w:shd w:val="clear" w:color="auto" w:fill="EAF1DD"/>
        <w:ind w:left="1985"/>
        <w:rPr>
          <w:rFonts w:ascii="Calibri" w:eastAsia="Calibri" w:hAnsi="Calibri" w:cs="Calibri"/>
          <w:b/>
          <w:i/>
          <w:sz w:val="24"/>
        </w:rPr>
      </w:pPr>
      <w:r w:rsidRPr="002B6800">
        <w:rPr>
          <w:rFonts w:ascii="Calibri" w:eastAsia="Calibri" w:hAnsi="Calibri" w:cs="Calibri"/>
          <w:b/>
          <w:i/>
          <w:sz w:val="24"/>
        </w:rPr>
        <w:t xml:space="preserve"> – poľnohospodárska pôda</w:t>
      </w:r>
    </w:p>
    <w:p w:rsidR="0054499C" w:rsidRPr="002B6800" w:rsidRDefault="0054499C" w:rsidP="0054499C">
      <w:pPr>
        <w:rPr>
          <w:rFonts w:ascii="Calibri" w:hAnsi="Calibri"/>
          <w:b/>
          <w:u w:val="single"/>
        </w:rPr>
      </w:pPr>
    </w:p>
    <w:p w:rsidR="0054499C" w:rsidRPr="002B6800" w:rsidRDefault="0054499C" w:rsidP="0054499C">
      <w:pPr>
        <w:rPr>
          <w:rFonts w:ascii="Calibri" w:hAnsi="Calibri"/>
          <w:u w:val="single"/>
        </w:rPr>
      </w:pPr>
      <w:r w:rsidRPr="002B6800">
        <w:rPr>
          <w:rFonts w:ascii="Calibri" w:hAnsi="Calibri"/>
          <w:u w:val="single"/>
        </w:rPr>
        <w:t>Opis operácie:</w:t>
      </w:r>
    </w:p>
    <w:p w:rsidR="0054499C" w:rsidRPr="002B6800" w:rsidRDefault="0054499C" w:rsidP="0054499C">
      <w:pPr>
        <w:autoSpaceDE w:val="0"/>
        <w:autoSpaceDN w:val="0"/>
        <w:adjustRightInd w:val="0"/>
        <w:spacing w:after="120"/>
        <w:rPr>
          <w:rFonts w:ascii="Calibri" w:hAnsi="Calibri"/>
        </w:rPr>
      </w:pPr>
      <w:r w:rsidRPr="002B6800">
        <w:rPr>
          <w:rFonts w:ascii="Calibri" w:hAnsi="Calibri"/>
        </w:rPr>
        <w:t>Obhospodarovanie poľnohospodárskych pôd – trvalých trávnych porastov na územiach NATURA 2000 (ÚEV) spadajúcich do 4. a 5. stupňa ochrany podľa podmienok stanovených pre podporu.</w:t>
      </w:r>
    </w:p>
    <w:p w:rsidR="0054499C" w:rsidRPr="002B6800" w:rsidRDefault="0054499C" w:rsidP="0054499C">
      <w:pPr>
        <w:autoSpaceDE w:val="0"/>
        <w:autoSpaceDN w:val="0"/>
        <w:adjustRightInd w:val="0"/>
        <w:rPr>
          <w:rFonts w:ascii="Calibri" w:hAnsi="Calibri"/>
        </w:rPr>
      </w:pPr>
      <w:r w:rsidRPr="002B6800">
        <w:rPr>
          <w:rFonts w:ascii="Calibri" w:hAnsi="Calibri"/>
        </w:rPr>
        <w:t>Z výsledkov realizovanej analýzy vyplýva, že vo 4. stupni ochrany sa nachádza 98 lokalít ÚEV  a v 5.stupni ochrany 35 lokalít ÚEV s výmerou poľnohospodárskej pôdy (trvalých trávnych porastov)  rovnou alebo väčšou ako 1 ha. Ich celková rozloha  je 2 664,57 ha. Zoznam uvedených lokalít bude obsiahnutý v nariadení vlády SR pre poskytovanie podpory z programu rozvoja vidieka.</w:t>
      </w:r>
    </w:p>
    <w:p w:rsidR="0054499C" w:rsidRPr="002B6800" w:rsidRDefault="0054499C" w:rsidP="0054499C">
      <w:pPr>
        <w:rPr>
          <w:rFonts w:ascii="Calibri" w:eastAsia="Calibri" w:hAnsi="Calibri"/>
          <w:lang w:eastAsia="en-GB"/>
        </w:rPr>
      </w:pPr>
    </w:p>
    <w:p w:rsidR="0054499C" w:rsidRPr="002B6800" w:rsidRDefault="0054499C" w:rsidP="0054499C">
      <w:pPr>
        <w:rPr>
          <w:rFonts w:ascii="Calibri" w:eastAsia="Calibri" w:hAnsi="Calibri"/>
          <w:u w:val="single"/>
          <w:lang w:eastAsia="en-GB"/>
        </w:rPr>
      </w:pPr>
      <w:r w:rsidRPr="002B6800">
        <w:rPr>
          <w:rFonts w:ascii="Calibri" w:eastAsia="Calibri" w:hAnsi="Calibri"/>
          <w:u w:val="single"/>
          <w:lang w:eastAsia="en-GB"/>
        </w:rPr>
        <w:t>Typ podpory:</w:t>
      </w:r>
    </w:p>
    <w:p w:rsidR="0054499C" w:rsidRPr="002B6800" w:rsidRDefault="0054499C" w:rsidP="0054499C">
      <w:pPr>
        <w:rPr>
          <w:rFonts w:ascii="Calibri" w:eastAsia="Calibri" w:hAnsi="Calibri"/>
          <w:lang w:eastAsia="en-GB"/>
        </w:rPr>
      </w:pPr>
      <w:r w:rsidRPr="002B6800">
        <w:rPr>
          <w:rFonts w:ascii="Calibri" w:eastAsia="Calibri" w:hAnsi="Calibri"/>
        </w:rPr>
        <w:t>Nezisková ročná kompenzačná platba na hektár trvalého trávneho porastu.</w:t>
      </w:r>
    </w:p>
    <w:p w:rsidR="0054499C" w:rsidRPr="002B6800" w:rsidRDefault="0054499C" w:rsidP="0054499C">
      <w:pPr>
        <w:rPr>
          <w:rFonts w:ascii="Calibri" w:eastAsia="Calibri" w:hAnsi="Calibri" w:cs="Calibri"/>
          <w:bCs/>
          <w:u w:val="single"/>
        </w:rPr>
      </w:pPr>
      <w:r w:rsidRPr="002B6800">
        <w:rPr>
          <w:rFonts w:ascii="Calibri" w:eastAsia="Calibri" w:hAnsi="Calibri" w:cs="Calibri"/>
          <w:bCs/>
          <w:u w:val="single"/>
        </w:rPr>
        <w:t>Súvislosť s inou legislatívou:</w:t>
      </w:r>
    </w:p>
    <w:p w:rsidR="0054499C" w:rsidRPr="002B6800" w:rsidRDefault="0054499C" w:rsidP="001F5283">
      <w:pPr>
        <w:numPr>
          <w:ilvl w:val="0"/>
          <w:numId w:val="85"/>
        </w:numPr>
        <w:ind w:left="426" w:hanging="426"/>
        <w:rPr>
          <w:rFonts w:ascii="Calibri" w:eastAsia="Calibri" w:hAnsi="Calibri"/>
        </w:rPr>
      </w:pPr>
      <w:r w:rsidRPr="002B6800">
        <w:rPr>
          <w:rFonts w:ascii="Calibri" w:eastAsia="Calibri" w:hAnsi="Calibri"/>
        </w:rPr>
        <w:t>zákon č. 543/2002 Z. z. o ochrane prírody a krajiny;</w:t>
      </w:r>
    </w:p>
    <w:p w:rsidR="0054499C" w:rsidRPr="002B6800" w:rsidRDefault="0054499C" w:rsidP="001F5283">
      <w:pPr>
        <w:numPr>
          <w:ilvl w:val="0"/>
          <w:numId w:val="53"/>
        </w:numPr>
        <w:ind w:left="426" w:hanging="426"/>
        <w:rPr>
          <w:rFonts w:ascii="Calibri" w:eastAsia="Calibri" w:hAnsi="Calibri"/>
        </w:rPr>
      </w:pPr>
      <w:r w:rsidRPr="002B6800">
        <w:rPr>
          <w:rFonts w:ascii="Calibri" w:eastAsia="Calibri" w:hAnsi="Calibri"/>
        </w:rPr>
        <w:t>nariadenie (EÚ) č. 1306/2013  o financovaní, riadení a monitorovaní spoločnej poľnohospodárskej politiky;</w:t>
      </w:r>
    </w:p>
    <w:p w:rsidR="0054499C" w:rsidRPr="002B6800" w:rsidRDefault="0054499C" w:rsidP="001F5283">
      <w:pPr>
        <w:numPr>
          <w:ilvl w:val="0"/>
          <w:numId w:val="53"/>
        </w:numPr>
        <w:ind w:left="426" w:hanging="426"/>
        <w:rPr>
          <w:rFonts w:ascii="Calibri" w:eastAsia="Calibri" w:hAnsi="Calibri"/>
        </w:rPr>
      </w:pPr>
      <w:r w:rsidRPr="002B6800">
        <w:rPr>
          <w:rFonts w:ascii="Calibri" w:eastAsia="Calibri" w:hAnsi="Calibri"/>
        </w:rPr>
        <w:t>nariadenie (EÚ)  č. 1307/2013, ktorým sa ustanovujú pravidlá priamych platieb pre poľnohospodárov na základe režimov podpory v rámci spoločnej poľnohospodárskej politiky.</w:t>
      </w:r>
    </w:p>
    <w:p w:rsidR="0054499C" w:rsidRPr="002B6800" w:rsidRDefault="0054499C" w:rsidP="0054499C">
      <w:pPr>
        <w:rPr>
          <w:rFonts w:ascii="Calibri" w:eastAsia="Calibri" w:hAnsi="Calibri"/>
          <w:u w:val="single"/>
          <w:lang w:eastAsia="en-GB"/>
        </w:rPr>
      </w:pPr>
    </w:p>
    <w:p w:rsidR="0054499C" w:rsidRPr="002B6800" w:rsidRDefault="0054499C" w:rsidP="0054499C">
      <w:pPr>
        <w:rPr>
          <w:rFonts w:ascii="Calibri" w:eastAsia="Calibri" w:hAnsi="Calibri"/>
          <w:u w:val="single"/>
          <w:lang w:eastAsia="en-GB"/>
        </w:rPr>
      </w:pPr>
      <w:r w:rsidRPr="002B6800">
        <w:rPr>
          <w:rFonts w:ascii="Calibri" w:eastAsia="Calibri" w:hAnsi="Calibri"/>
          <w:u w:val="single"/>
          <w:lang w:eastAsia="en-GB"/>
        </w:rPr>
        <w:t>Prijímatelia podpory:</w:t>
      </w:r>
    </w:p>
    <w:p w:rsidR="0054499C" w:rsidRPr="002B6800" w:rsidRDefault="0054499C" w:rsidP="0054499C">
      <w:pPr>
        <w:rPr>
          <w:rFonts w:ascii="Calibri" w:hAnsi="Calibri" w:cs="Calibri"/>
          <w:bCs/>
        </w:rPr>
      </w:pPr>
      <w:r w:rsidRPr="002B6800">
        <w:rPr>
          <w:rFonts w:ascii="Calibri" w:hAnsi="Calibri"/>
        </w:rPr>
        <w:t xml:space="preserve">Fyzické a právnické osoby podnikajúce v poľnohospodárskej prvovýrobe spĺňajúce definíciu aktívneho farmára podľa čl. 9 nariadenia (EÚ) č. 1307/2013. </w:t>
      </w:r>
    </w:p>
    <w:p w:rsidR="0054499C" w:rsidRPr="002B6800" w:rsidRDefault="0054499C" w:rsidP="0054499C">
      <w:pPr>
        <w:rPr>
          <w:rFonts w:ascii="Calibri" w:eastAsia="Calibri" w:hAnsi="Calibri"/>
          <w:u w:val="single"/>
          <w:lang w:eastAsia="en-GB"/>
        </w:rPr>
      </w:pPr>
    </w:p>
    <w:p w:rsidR="0054499C" w:rsidRPr="002B6800" w:rsidRDefault="0054499C" w:rsidP="0054499C">
      <w:pPr>
        <w:rPr>
          <w:rFonts w:ascii="Calibri" w:eastAsia="Calibri" w:hAnsi="Calibri"/>
          <w:i/>
          <w:iCs/>
          <w:u w:val="single"/>
        </w:rPr>
      </w:pPr>
      <w:r w:rsidRPr="002B6800">
        <w:rPr>
          <w:rFonts w:ascii="Calibri" w:eastAsia="Calibri" w:hAnsi="Calibri"/>
          <w:u w:val="single"/>
          <w:lang w:eastAsia="en-GB"/>
        </w:rPr>
        <w:t>Oprávnené náklady:</w:t>
      </w:r>
    </w:p>
    <w:p w:rsidR="0054499C" w:rsidRPr="002B6800" w:rsidRDefault="0054499C" w:rsidP="0054499C">
      <w:pPr>
        <w:rPr>
          <w:rFonts w:ascii="Calibri" w:eastAsia="Calibri" w:hAnsi="Calibri"/>
          <w:lang w:eastAsia="en-GB"/>
        </w:rPr>
      </w:pPr>
      <w:r w:rsidRPr="002B6800">
        <w:rPr>
          <w:rFonts w:ascii="Calibri" w:eastAsia="Calibri" w:hAnsi="Calibri"/>
          <w:lang w:eastAsia="en-GB"/>
        </w:rPr>
        <w:t xml:space="preserve">Platba kompenzuje ďalšie náklady a stratu príjmu v dôsledku znevýhodnenia v súvislosti s vykonávaním smernice Rady 92/43/EHS. </w:t>
      </w:r>
    </w:p>
    <w:p w:rsidR="0054499C" w:rsidRPr="002B6800" w:rsidRDefault="0054499C" w:rsidP="0054499C">
      <w:pPr>
        <w:rPr>
          <w:rFonts w:ascii="Calibri" w:eastAsia="Calibri" w:hAnsi="Calibri"/>
          <w:u w:val="single"/>
          <w:lang w:eastAsia="en-GB"/>
        </w:rPr>
      </w:pPr>
    </w:p>
    <w:p w:rsidR="0054499C" w:rsidRPr="002B6800" w:rsidRDefault="0054499C" w:rsidP="0054499C">
      <w:pPr>
        <w:rPr>
          <w:rFonts w:ascii="Calibri" w:eastAsia="Calibri" w:hAnsi="Calibri"/>
          <w:u w:val="single"/>
          <w:lang w:eastAsia="en-GB"/>
        </w:rPr>
      </w:pPr>
      <w:r w:rsidRPr="002B6800">
        <w:rPr>
          <w:rFonts w:ascii="Calibri" w:eastAsia="Calibri" w:hAnsi="Calibri"/>
          <w:u w:val="single"/>
          <w:lang w:eastAsia="en-GB"/>
        </w:rPr>
        <w:t>Podmienky oprávnenosti:</w:t>
      </w:r>
    </w:p>
    <w:p w:rsidR="0054499C" w:rsidRDefault="0054499C" w:rsidP="00CE203B">
      <w:pPr>
        <w:numPr>
          <w:ilvl w:val="0"/>
          <w:numId w:val="371"/>
        </w:numPr>
        <w:rPr>
          <w:rFonts w:ascii="Calibri" w:eastAsia="Calibri" w:hAnsi="Calibri"/>
        </w:rPr>
      </w:pPr>
      <w:r>
        <w:rPr>
          <w:rFonts w:ascii="Calibri" w:eastAsia="Calibri" w:hAnsi="Calibri"/>
        </w:rPr>
        <w:t>v</w:t>
      </w:r>
      <w:r w:rsidRPr="002B6800">
        <w:rPr>
          <w:rFonts w:ascii="Calibri" w:eastAsia="Calibri" w:hAnsi="Calibri"/>
        </w:rPr>
        <w:t>stúpiť do podopatrenia minimálne s 1 ha trvalých trávnych porastov (LPIS)</w:t>
      </w:r>
      <w:r>
        <w:rPr>
          <w:rFonts w:ascii="Calibri" w:eastAsia="Calibri" w:hAnsi="Calibri"/>
        </w:rPr>
        <w:t xml:space="preserve"> - ÚEV</w:t>
      </w:r>
      <w:r w:rsidRPr="002B6800">
        <w:rPr>
          <w:rFonts w:ascii="Calibri" w:eastAsia="Calibri" w:hAnsi="Calibri"/>
        </w:rPr>
        <w:t xml:space="preserve"> </w:t>
      </w:r>
      <w:r>
        <w:rPr>
          <w:rFonts w:ascii="Calibri" w:eastAsia="Calibri" w:hAnsi="Calibri"/>
        </w:rPr>
        <w:t xml:space="preserve">vo 4. a/alebo 5.stupni ochrany </w:t>
      </w:r>
    </w:p>
    <w:p w:rsidR="0054499C" w:rsidRDefault="0054499C" w:rsidP="0054499C">
      <w:pPr>
        <w:ind w:left="360"/>
        <w:rPr>
          <w:rFonts w:ascii="Calibri" w:eastAsia="Calibri" w:hAnsi="Calibri"/>
        </w:rPr>
      </w:pPr>
    </w:p>
    <w:p w:rsidR="0054499C" w:rsidRPr="0089453E" w:rsidRDefault="0054499C" w:rsidP="0054499C">
      <w:pPr>
        <w:rPr>
          <w:rFonts w:ascii="Calibri" w:eastAsia="Calibri" w:hAnsi="Calibri"/>
          <w:u w:val="single"/>
        </w:rPr>
      </w:pPr>
      <w:r w:rsidRPr="0089453E">
        <w:rPr>
          <w:rFonts w:ascii="Calibri" w:eastAsia="Calibri" w:hAnsi="Calibri"/>
          <w:u w:val="single"/>
        </w:rPr>
        <w:t xml:space="preserve">Podmienky podpory: </w:t>
      </w:r>
    </w:p>
    <w:p w:rsidR="0054499C" w:rsidRPr="002B6800" w:rsidRDefault="0054499C" w:rsidP="00CE203B">
      <w:pPr>
        <w:numPr>
          <w:ilvl w:val="0"/>
          <w:numId w:val="371"/>
        </w:numPr>
        <w:rPr>
          <w:rFonts w:ascii="Calibri" w:eastAsia="Calibri" w:hAnsi="Calibri"/>
        </w:rPr>
      </w:pPr>
      <w:r>
        <w:rPr>
          <w:rFonts w:ascii="Calibri" w:eastAsia="Calibri" w:hAnsi="Calibri"/>
        </w:rPr>
        <w:t>n</w:t>
      </w:r>
      <w:r w:rsidRPr="002B6800">
        <w:rPr>
          <w:rFonts w:ascii="Calibri" w:eastAsia="Calibri" w:hAnsi="Calibri"/>
        </w:rPr>
        <w:t>eaplikovať na trvalých trávnych porastoch žiadne chemické látky a žiadne dodatkové hnojivá (povolené je iba hnojenie pasúcimi sa zvieratami)</w:t>
      </w:r>
    </w:p>
    <w:p w:rsidR="0054499C" w:rsidRPr="002B6800" w:rsidRDefault="0054499C" w:rsidP="00CE203B">
      <w:pPr>
        <w:numPr>
          <w:ilvl w:val="0"/>
          <w:numId w:val="371"/>
        </w:numPr>
        <w:rPr>
          <w:rFonts w:ascii="Calibri" w:eastAsia="Calibri" w:hAnsi="Calibri"/>
        </w:rPr>
      </w:pPr>
      <w:r>
        <w:rPr>
          <w:rFonts w:ascii="Calibri" w:eastAsia="Calibri" w:hAnsi="Calibri"/>
        </w:rPr>
        <w:t>n</w:t>
      </w:r>
      <w:r w:rsidRPr="002B6800">
        <w:rPr>
          <w:rFonts w:ascii="Calibri" w:eastAsia="Calibri" w:hAnsi="Calibri"/>
        </w:rPr>
        <w:t>eumiestňovať na  trvalých trávnych porastoch košiar, stavbu alebo iné zariadenie na ochranu hospodárskych zvierat</w:t>
      </w:r>
      <w:r>
        <w:rPr>
          <w:rFonts w:ascii="Calibri" w:eastAsia="Calibri" w:hAnsi="Calibri"/>
        </w:rPr>
        <w:t xml:space="preserve"> (výnimka je možná len pre dočasné košarovanie so súhlasom Štátnej ochrany prírody)</w:t>
      </w:r>
    </w:p>
    <w:p w:rsidR="0054499C" w:rsidRPr="002B6800" w:rsidRDefault="0054499C" w:rsidP="0054499C">
      <w:pPr>
        <w:ind w:left="360"/>
        <w:rPr>
          <w:rFonts w:ascii="Calibri" w:eastAsia="Calibri" w:hAnsi="Calibri"/>
          <w:lang w:eastAsia="en-GB"/>
        </w:rPr>
      </w:pPr>
    </w:p>
    <w:p w:rsidR="0054499C" w:rsidRPr="002B6800" w:rsidRDefault="0054499C" w:rsidP="0054499C">
      <w:pPr>
        <w:rPr>
          <w:rFonts w:ascii="Calibri" w:eastAsia="Calibri" w:hAnsi="Calibri"/>
          <w:u w:val="single"/>
          <w:lang w:eastAsia="en-GB"/>
        </w:rPr>
      </w:pPr>
      <w:r w:rsidRPr="002B6800">
        <w:rPr>
          <w:rFonts w:ascii="Calibri" w:eastAsia="Calibri" w:hAnsi="Calibri"/>
          <w:u w:val="single"/>
          <w:lang w:eastAsia="en-GB"/>
        </w:rPr>
        <w:t>Princípy nastavenia výberových kritérií:</w:t>
      </w:r>
    </w:p>
    <w:p w:rsidR="0054499C" w:rsidRPr="002B6800" w:rsidRDefault="0054499C" w:rsidP="0054499C">
      <w:pPr>
        <w:rPr>
          <w:rFonts w:ascii="Calibri" w:hAnsi="Calibri"/>
          <w:lang w:eastAsia="en-GB"/>
        </w:rPr>
      </w:pPr>
      <w:r w:rsidRPr="002B6800">
        <w:rPr>
          <w:rFonts w:ascii="Calibri" w:hAnsi="Calibri"/>
          <w:lang w:eastAsia="en-GB"/>
        </w:rPr>
        <w:t>Vzhľadom na</w:t>
      </w:r>
      <w:r>
        <w:rPr>
          <w:rFonts w:ascii="Calibri" w:hAnsi="Calibri"/>
          <w:lang w:eastAsia="en-GB"/>
        </w:rPr>
        <w:t xml:space="preserve"> </w:t>
      </w:r>
      <w:r w:rsidRPr="002B6800">
        <w:rPr>
          <w:rFonts w:ascii="Calibri" w:hAnsi="Calibri"/>
          <w:lang w:eastAsia="en-GB"/>
        </w:rPr>
        <w:t>nárokovateľnosť</w:t>
      </w:r>
      <w:r>
        <w:rPr>
          <w:rFonts w:ascii="Calibri" w:hAnsi="Calibri"/>
          <w:lang w:eastAsia="en-GB"/>
        </w:rPr>
        <w:t xml:space="preserve"> </w:t>
      </w:r>
      <w:r w:rsidRPr="002B6800">
        <w:rPr>
          <w:rFonts w:ascii="Calibri" w:hAnsi="Calibri"/>
          <w:lang w:eastAsia="en-GB"/>
        </w:rPr>
        <w:t xml:space="preserve"> kompenzačných platieb sa výberové kritéria neuplatňujú.</w:t>
      </w:r>
    </w:p>
    <w:p w:rsidR="0054499C" w:rsidRPr="002B6800" w:rsidRDefault="0054499C" w:rsidP="0054499C">
      <w:pPr>
        <w:rPr>
          <w:rFonts w:ascii="Calibri" w:eastAsia="Calibri" w:hAnsi="Calibri"/>
          <w:lang w:eastAsia="en-GB"/>
        </w:rPr>
      </w:pPr>
    </w:p>
    <w:p w:rsidR="0054499C" w:rsidRPr="002B6800" w:rsidRDefault="0054499C" w:rsidP="0054499C">
      <w:pPr>
        <w:rPr>
          <w:rFonts w:ascii="Calibri" w:eastAsia="Calibri" w:hAnsi="Calibri"/>
          <w:u w:val="single"/>
          <w:lang w:eastAsia="en-GB"/>
        </w:rPr>
      </w:pPr>
      <w:r w:rsidRPr="002B6800">
        <w:rPr>
          <w:rFonts w:ascii="Calibri" w:eastAsia="Calibri" w:hAnsi="Calibri"/>
          <w:u w:val="single"/>
          <w:lang w:eastAsia="en-GB"/>
        </w:rPr>
        <w:t xml:space="preserve">Výška a miera podpory: </w:t>
      </w:r>
    </w:p>
    <w:p w:rsidR="0054499C" w:rsidRPr="002B6800" w:rsidRDefault="0054499C" w:rsidP="0054499C">
      <w:pPr>
        <w:rPr>
          <w:rFonts w:ascii="Calibri" w:eastAsia="Calibri" w:hAnsi="Calibri"/>
          <w:iCs/>
        </w:rPr>
      </w:pPr>
      <w:bookmarkStart w:id="98" w:name="_Toc351467708"/>
      <w:r w:rsidRPr="002B6800">
        <w:rPr>
          <w:rFonts w:ascii="Calibri" w:eastAsia="Calibri" w:hAnsi="Calibri"/>
          <w:iCs/>
        </w:rPr>
        <w:t>Výška podpory: 62,20 €/ha</w:t>
      </w:r>
      <w:r>
        <w:rPr>
          <w:rFonts w:ascii="Calibri" w:eastAsia="Calibri" w:hAnsi="Calibri"/>
          <w:iCs/>
        </w:rPr>
        <w:t xml:space="preserve"> trvalého trávneho porastu. </w:t>
      </w:r>
    </w:p>
    <w:p w:rsidR="0054499C" w:rsidRPr="002B6800" w:rsidRDefault="0054499C" w:rsidP="0054499C">
      <w:pPr>
        <w:rPr>
          <w:rFonts w:ascii="Calibri" w:eastAsia="Calibri" w:hAnsi="Calibri"/>
          <w:iCs/>
        </w:rPr>
      </w:pPr>
    </w:p>
    <w:bookmarkEnd w:id="98"/>
    <w:p w:rsidR="0054499C" w:rsidRPr="002B6800" w:rsidRDefault="0054499C" w:rsidP="0054499C">
      <w:pPr>
        <w:keepNext/>
        <w:outlineLvl w:val="4"/>
        <w:rPr>
          <w:rFonts w:ascii="Calibri" w:eastAsia="Calibri" w:hAnsi="Calibri"/>
          <w:color w:val="1F497D"/>
          <w:u w:val="single"/>
        </w:rPr>
      </w:pPr>
      <w:r w:rsidRPr="002B6800">
        <w:rPr>
          <w:rFonts w:ascii="Calibri" w:eastAsia="Calibri" w:hAnsi="Calibri"/>
          <w:u w:val="single"/>
        </w:rPr>
        <w:t xml:space="preserve"> </w:t>
      </w:r>
    </w:p>
    <w:p w:rsidR="0054499C" w:rsidRPr="002B6800" w:rsidRDefault="0054499C" w:rsidP="0054499C">
      <w:pPr>
        <w:shd w:val="clear" w:color="auto" w:fill="EAF1DD"/>
        <w:ind w:left="3402" w:hanging="3402"/>
        <w:rPr>
          <w:rFonts w:ascii="Calibri" w:eastAsia="Calibri" w:hAnsi="Calibri" w:cs="Calibri"/>
          <w:b/>
          <w:i/>
          <w:sz w:val="24"/>
        </w:rPr>
      </w:pPr>
      <w:r w:rsidRPr="002B6800">
        <w:rPr>
          <w:rFonts w:ascii="Calibri" w:eastAsia="Calibri" w:hAnsi="Calibri" w:cs="Calibri"/>
          <w:sz w:val="24"/>
        </w:rPr>
        <w:t xml:space="preserve">Podopatrenie:  12.2:  </w:t>
      </w:r>
      <w:r w:rsidRPr="002B6800">
        <w:rPr>
          <w:rFonts w:ascii="Calibri" w:eastAsia="Calibri" w:hAnsi="Calibri" w:cs="Calibri"/>
          <w:b/>
          <w:i/>
          <w:sz w:val="24"/>
        </w:rPr>
        <w:t>Kompenzačné platby v rámci sústavy Natura 2000 – lesný pozemok</w:t>
      </w:r>
    </w:p>
    <w:p w:rsidR="0054499C" w:rsidRPr="002B6800" w:rsidRDefault="0054499C" w:rsidP="0054499C">
      <w:pPr>
        <w:rPr>
          <w:rFonts w:ascii="Calibri" w:eastAsia="Calibri" w:hAnsi="Calibri"/>
          <w:u w:val="single"/>
          <w:lang w:eastAsia="en-GB"/>
        </w:rPr>
      </w:pPr>
      <w:r w:rsidRPr="002B6800">
        <w:rPr>
          <w:rFonts w:ascii="Calibri" w:eastAsia="Calibri" w:hAnsi="Calibri"/>
          <w:u w:val="single"/>
          <w:lang w:eastAsia="en-GB"/>
        </w:rPr>
        <w:t>Opis operácie:</w:t>
      </w:r>
    </w:p>
    <w:p w:rsidR="0054499C" w:rsidRPr="002B6800" w:rsidRDefault="0054499C" w:rsidP="0054499C">
      <w:pPr>
        <w:autoSpaceDE w:val="0"/>
        <w:autoSpaceDN w:val="0"/>
        <w:adjustRightInd w:val="0"/>
        <w:spacing w:after="120"/>
        <w:rPr>
          <w:rFonts w:ascii="Calibri" w:hAnsi="Calibri"/>
        </w:rPr>
      </w:pPr>
      <w:r w:rsidRPr="002B6800">
        <w:rPr>
          <w:rFonts w:ascii="Calibri" w:hAnsi="Calibri"/>
        </w:rPr>
        <w:t>Starostlivosť o lesné pozemky v územiach NATURA 2000 (UEV) spadajúcich do 5. stupňa ochrany a lesné pozemky mimo území NATURA 2000 spadajúcich do 5. stupňa ochrany podľa podmienok stanovených pre podporu.</w:t>
      </w:r>
    </w:p>
    <w:p w:rsidR="0054499C" w:rsidRPr="002B6800" w:rsidRDefault="0054499C" w:rsidP="0054499C">
      <w:pPr>
        <w:autoSpaceDE w:val="0"/>
        <w:autoSpaceDN w:val="0"/>
        <w:adjustRightInd w:val="0"/>
        <w:spacing w:after="120"/>
        <w:rPr>
          <w:rFonts w:ascii="Calibri" w:hAnsi="Calibri"/>
        </w:rPr>
      </w:pPr>
      <w:r w:rsidRPr="002B6800">
        <w:rPr>
          <w:rFonts w:ascii="Calibri" w:hAnsi="Calibri"/>
        </w:rPr>
        <w:t>Z výsledkov realizovanej analýzy vyplýva, že v 5. stupni ochrany ÚEV sa nachádza 29 000 ha lesných pozemkov súkromných vlastníkov lesa, z toho je 27 000 ha s lesným porastom. Ďalších 1 450 ha území s 5.stupňom ochrany je mimo (5% plôch oprávnených na podporu).</w:t>
      </w:r>
    </w:p>
    <w:p w:rsidR="0054499C" w:rsidRPr="002B6800" w:rsidRDefault="0054499C" w:rsidP="0054499C">
      <w:pPr>
        <w:autoSpaceDE w:val="0"/>
        <w:autoSpaceDN w:val="0"/>
        <w:adjustRightInd w:val="0"/>
        <w:rPr>
          <w:rFonts w:ascii="Calibri" w:hAnsi="Calibri"/>
        </w:rPr>
      </w:pPr>
      <w:r w:rsidRPr="002B6800">
        <w:rPr>
          <w:rFonts w:ascii="Calibri" w:hAnsi="Calibri"/>
        </w:rPr>
        <w:t>Zoznam oprávnených lokalít bude obsiahnutý v nariadení vlády SR pre poskytovanie podpory z programu rozvoja vidieka.</w:t>
      </w:r>
    </w:p>
    <w:p w:rsidR="0054499C" w:rsidRPr="002B6800" w:rsidRDefault="0054499C" w:rsidP="0054499C">
      <w:pPr>
        <w:rPr>
          <w:rFonts w:ascii="Calibri" w:eastAsia="Calibri" w:hAnsi="Calibri"/>
          <w:lang w:eastAsia="en-GB"/>
        </w:rPr>
      </w:pPr>
    </w:p>
    <w:p w:rsidR="0054499C" w:rsidRPr="002B6800" w:rsidRDefault="0054499C" w:rsidP="0054499C">
      <w:pPr>
        <w:rPr>
          <w:rFonts w:ascii="Calibri" w:eastAsia="Calibri" w:hAnsi="Calibri"/>
          <w:u w:val="single"/>
          <w:lang w:eastAsia="en-GB"/>
        </w:rPr>
      </w:pPr>
      <w:r w:rsidRPr="002B6800">
        <w:rPr>
          <w:rFonts w:ascii="Calibri" w:eastAsia="Calibri" w:hAnsi="Calibri"/>
          <w:u w:val="single"/>
          <w:lang w:eastAsia="en-GB"/>
        </w:rPr>
        <w:t>Typ podpory:</w:t>
      </w:r>
    </w:p>
    <w:p w:rsidR="0054499C" w:rsidRPr="002B6800" w:rsidRDefault="0054499C" w:rsidP="0054499C">
      <w:pPr>
        <w:rPr>
          <w:rFonts w:ascii="Calibri" w:eastAsia="Calibri" w:hAnsi="Calibri"/>
          <w:lang w:eastAsia="en-GB"/>
        </w:rPr>
      </w:pPr>
      <w:r w:rsidRPr="002B6800">
        <w:rPr>
          <w:rFonts w:ascii="Calibri" w:eastAsia="Calibri" w:hAnsi="Calibri"/>
        </w:rPr>
        <w:t>Nezisková ročná kompenzačná platba na hektár lesného pozemku pokrytého lesným porastom.</w:t>
      </w:r>
    </w:p>
    <w:p w:rsidR="0054499C" w:rsidRPr="002B6800" w:rsidRDefault="0054499C" w:rsidP="0054499C">
      <w:pPr>
        <w:rPr>
          <w:rFonts w:ascii="Calibri" w:eastAsia="Calibri" w:hAnsi="Calibri"/>
          <w:lang w:eastAsia="en-GB"/>
        </w:rPr>
      </w:pPr>
    </w:p>
    <w:p w:rsidR="0054499C" w:rsidRPr="002B6800" w:rsidRDefault="0054499C" w:rsidP="0054499C">
      <w:pPr>
        <w:rPr>
          <w:rFonts w:ascii="Calibri" w:eastAsia="Calibri" w:hAnsi="Calibri" w:cs="Calibri"/>
          <w:bCs/>
          <w:u w:val="single"/>
        </w:rPr>
      </w:pPr>
      <w:r w:rsidRPr="002B6800">
        <w:rPr>
          <w:rFonts w:ascii="Calibri" w:eastAsia="Calibri" w:hAnsi="Calibri" w:cs="Calibri"/>
          <w:bCs/>
          <w:u w:val="single"/>
        </w:rPr>
        <w:t>Súvislosť s inou legislatívou:</w:t>
      </w:r>
    </w:p>
    <w:p w:rsidR="0054499C" w:rsidRPr="002B6800" w:rsidRDefault="0054499C" w:rsidP="001F5283">
      <w:pPr>
        <w:numPr>
          <w:ilvl w:val="0"/>
          <w:numId w:val="86"/>
        </w:numPr>
        <w:ind w:left="714" w:hanging="357"/>
        <w:rPr>
          <w:rFonts w:ascii="Calibri" w:eastAsia="Calibri" w:hAnsi="Calibri"/>
          <w:lang w:eastAsia="en-GB"/>
        </w:rPr>
      </w:pPr>
      <w:r w:rsidRPr="002B6800">
        <w:rPr>
          <w:rFonts w:ascii="Calibri" w:eastAsia="Calibri" w:hAnsi="Calibri"/>
        </w:rPr>
        <w:t>zákon č. 543/2002 Z. z. o ochrane prírody a krajiny;</w:t>
      </w:r>
    </w:p>
    <w:p w:rsidR="0054499C" w:rsidRPr="002B6800" w:rsidRDefault="0054499C" w:rsidP="001F5283">
      <w:pPr>
        <w:numPr>
          <w:ilvl w:val="0"/>
          <w:numId w:val="86"/>
        </w:numPr>
        <w:ind w:left="714" w:hanging="357"/>
        <w:rPr>
          <w:rFonts w:ascii="Calibri" w:eastAsia="Calibri" w:hAnsi="Calibri"/>
          <w:lang w:eastAsia="en-GB"/>
        </w:rPr>
      </w:pPr>
      <w:r w:rsidRPr="002B6800">
        <w:rPr>
          <w:rFonts w:ascii="Calibri" w:eastAsia="Calibri" w:hAnsi="Calibri"/>
        </w:rPr>
        <w:t>zákon č. 326/2005 Z. z. o lesoch.</w:t>
      </w:r>
    </w:p>
    <w:p w:rsidR="0054499C" w:rsidRPr="002B6800" w:rsidRDefault="0054499C" w:rsidP="0054499C">
      <w:pPr>
        <w:rPr>
          <w:rFonts w:ascii="Calibri" w:eastAsia="Calibri" w:hAnsi="Calibri"/>
          <w:u w:val="single"/>
          <w:lang w:eastAsia="en-GB"/>
        </w:rPr>
      </w:pPr>
      <w:r w:rsidRPr="002B6800">
        <w:rPr>
          <w:rFonts w:ascii="Calibri" w:eastAsia="Calibri" w:hAnsi="Calibri"/>
          <w:u w:val="single"/>
          <w:lang w:eastAsia="en-GB"/>
        </w:rPr>
        <w:t>Prijímatelia podpory:</w:t>
      </w:r>
    </w:p>
    <w:p w:rsidR="0054499C" w:rsidRPr="002B6800" w:rsidRDefault="0054499C" w:rsidP="0054499C">
      <w:pPr>
        <w:rPr>
          <w:rFonts w:ascii="Calibri" w:hAnsi="Calibri"/>
        </w:rPr>
      </w:pPr>
      <w:r w:rsidRPr="002B6800">
        <w:rPr>
          <w:rFonts w:ascii="Calibri" w:hAnsi="Calibri"/>
        </w:rPr>
        <w:t>Súkromní vlastníci lesa alebo združenie súkromných vlastníkov lesa s právnou subjektivitou.</w:t>
      </w:r>
    </w:p>
    <w:p w:rsidR="0054499C" w:rsidRPr="002B6800" w:rsidRDefault="0054499C" w:rsidP="0054499C">
      <w:pPr>
        <w:rPr>
          <w:rFonts w:ascii="Calibri" w:hAnsi="Calibri"/>
        </w:rPr>
      </w:pPr>
    </w:p>
    <w:p w:rsidR="0054499C" w:rsidRPr="002B6800" w:rsidRDefault="0054499C" w:rsidP="0054499C">
      <w:pPr>
        <w:rPr>
          <w:rFonts w:ascii="Calibri" w:eastAsia="Calibri" w:hAnsi="Calibri"/>
          <w:i/>
          <w:iCs/>
          <w:u w:val="single"/>
        </w:rPr>
      </w:pPr>
      <w:r w:rsidRPr="002B6800">
        <w:rPr>
          <w:rFonts w:ascii="Calibri" w:eastAsia="Calibri" w:hAnsi="Calibri"/>
          <w:u w:val="single"/>
          <w:lang w:eastAsia="en-GB"/>
        </w:rPr>
        <w:t>Oprávnené náklady:</w:t>
      </w:r>
    </w:p>
    <w:p w:rsidR="0054499C" w:rsidRPr="002B6800" w:rsidRDefault="0054499C" w:rsidP="0054499C">
      <w:pPr>
        <w:rPr>
          <w:rFonts w:ascii="Calibri" w:hAnsi="Calibri"/>
        </w:rPr>
      </w:pPr>
      <w:r w:rsidRPr="002B6800">
        <w:rPr>
          <w:rFonts w:ascii="Calibri" w:hAnsi="Calibri"/>
          <w:lang w:eastAsia="en-GB"/>
        </w:rPr>
        <w:t>Platba kompenzuje stratu príjmu v dôsledku znevýhodnenia vyplývajúceho z podmienok v 5. stupni ochrany</w:t>
      </w:r>
      <w:r w:rsidRPr="002B6800">
        <w:rPr>
          <w:rFonts w:ascii="Calibri" w:hAnsi="Calibri"/>
        </w:rPr>
        <w:t>.</w:t>
      </w:r>
    </w:p>
    <w:p w:rsidR="0054499C" w:rsidRPr="002B6800" w:rsidRDefault="0054499C" w:rsidP="0054499C">
      <w:pPr>
        <w:rPr>
          <w:rFonts w:ascii="Calibri" w:eastAsia="Calibri" w:hAnsi="Calibri"/>
          <w:u w:val="single"/>
          <w:lang w:eastAsia="en-GB"/>
        </w:rPr>
      </w:pPr>
    </w:p>
    <w:p w:rsidR="0054499C" w:rsidRPr="002B6800" w:rsidRDefault="0054499C" w:rsidP="0054499C">
      <w:pPr>
        <w:rPr>
          <w:rFonts w:ascii="Calibri" w:eastAsia="Calibri" w:hAnsi="Calibri"/>
          <w:u w:val="single"/>
          <w:lang w:eastAsia="en-GB"/>
        </w:rPr>
      </w:pPr>
      <w:r w:rsidRPr="002B6800">
        <w:rPr>
          <w:rFonts w:ascii="Calibri" w:eastAsia="Calibri" w:hAnsi="Calibri"/>
          <w:u w:val="single"/>
          <w:lang w:eastAsia="en-GB"/>
        </w:rPr>
        <w:t>Podmienky oprávnenosti:</w:t>
      </w:r>
    </w:p>
    <w:p w:rsidR="0054499C" w:rsidRPr="00A26789" w:rsidRDefault="0054499C" w:rsidP="00CE203B">
      <w:pPr>
        <w:pStyle w:val="Odsekzoznamu"/>
        <w:numPr>
          <w:ilvl w:val="0"/>
          <w:numId w:val="370"/>
        </w:numPr>
        <w:rPr>
          <w:rFonts w:ascii="Calibri" w:eastAsia="Calibri" w:hAnsi="Calibri"/>
        </w:rPr>
      </w:pPr>
      <w:r w:rsidRPr="00A26789">
        <w:rPr>
          <w:rFonts w:ascii="Calibri" w:eastAsia="Calibri" w:hAnsi="Calibri"/>
        </w:rPr>
        <w:t>Vstúpiť do opatrenia minimálne s 1 ha lesného porastu v 5. stupni ochrany;</w:t>
      </w:r>
    </w:p>
    <w:p w:rsidR="0054499C" w:rsidRDefault="0054499C" w:rsidP="0054499C">
      <w:pPr>
        <w:rPr>
          <w:rFonts w:ascii="Calibri" w:eastAsia="Calibri" w:hAnsi="Calibri"/>
        </w:rPr>
      </w:pPr>
    </w:p>
    <w:p w:rsidR="0054499C" w:rsidRPr="00A26789" w:rsidRDefault="0054499C" w:rsidP="0054499C">
      <w:pPr>
        <w:rPr>
          <w:rFonts w:ascii="Calibri" w:eastAsia="Calibri" w:hAnsi="Calibri"/>
          <w:u w:val="single"/>
        </w:rPr>
      </w:pPr>
      <w:r w:rsidRPr="00A26789">
        <w:rPr>
          <w:rFonts w:ascii="Calibri" w:eastAsia="Calibri" w:hAnsi="Calibri"/>
          <w:u w:val="single"/>
        </w:rPr>
        <w:t>Podmienky podpory:</w:t>
      </w:r>
    </w:p>
    <w:p w:rsidR="0054499C" w:rsidRPr="00A26789" w:rsidRDefault="0054499C" w:rsidP="00CE203B">
      <w:pPr>
        <w:pStyle w:val="Odsekzoznamu"/>
        <w:numPr>
          <w:ilvl w:val="0"/>
          <w:numId w:val="370"/>
        </w:numPr>
        <w:autoSpaceDE w:val="0"/>
        <w:autoSpaceDN w:val="0"/>
        <w:adjustRightInd w:val="0"/>
        <w:rPr>
          <w:rFonts w:ascii="Calibri" w:eastAsia="Calibri" w:hAnsi="Calibri"/>
        </w:rPr>
      </w:pPr>
      <w:r w:rsidRPr="00A26789">
        <w:rPr>
          <w:rFonts w:ascii="Calibri" w:eastAsia="Calibri" w:hAnsi="Calibri"/>
        </w:rPr>
        <w:t>Nezasahovať do lesného porastu a nepoškodiť vegetačný a pôdny kryt.</w:t>
      </w:r>
    </w:p>
    <w:p w:rsidR="0054499C" w:rsidRPr="002B6800" w:rsidRDefault="0054499C" w:rsidP="0054499C">
      <w:pPr>
        <w:autoSpaceDE w:val="0"/>
        <w:autoSpaceDN w:val="0"/>
        <w:adjustRightInd w:val="0"/>
        <w:ind w:left="720"/>
        <w:rPr>
          <w:rFonts w:ascii="Calibri" w:eastAsia="Calibri" w:hAnsi="Calibri"/>
        </w:rPr>
      </w:pPr>
    </w:p>
    <w:p w:rsidR="0054499C" w:rsidRPr="002B6800" w:rsidRDefault="0054499C" w:rsidP="0054499C">
      <w:pPr>
        <w:rPr>
          <w:rFonts w:ascii="Calibri" w:eastAsia="Calibri" w:hAnsi="Calibri"/>
          <w:u w:val="single"/>
          <w:lang w:eastAsia="en-GB"/>
        </w:rPr>
      </w:pPr>
      <w:r w:rsidRPr="002B6800">
        <w:rPr>
          <w:rFonts w:ascii="Calibri" w:eastAsia="Calibri" w:hAnsi="Calibri"/>
          <w:u w:val="single"/>
          <w:lang w:eastAsia="en-GB"/>
        </w:rPr>
        <w:t>Princípy nastavenia výberových kritérií:</w:t>
      </w:r>
    </w:p>
    <w:p w:rsidR="0054499C" w:rsidRDefault="0054499C" w:rsidP="0054499C">
      <w:pPr>
        <w:rPr>
          <w:rFonts w:ascii="Calibri" w:hAnsi="Calibri"/>
          <w:lang w:eastAsia="en-GB"/>
        </w:rPr>
      </w:pPr>
      <w:r w:rsidRPr="002B6800">
        <w:rPr>
          <w:rFonts w:ascii="Calibri" w:hAnsi="Calibri"/>
          <w:lang w:eastAsia="en-GB"/>
        </w:rPr>
        <w:t>Vzhľadom na nárokovateľnosť kompenzačných platieb sa výberové kritéria v ÚEV neuplatňujú .</w:t>
      </w:r>
      <w:r>
        <w:rPr>
          <w:rFonts w:ascii="Calibri" w:hAnsi="Calibri"/>
          <w:lang w:eastAsia="en-GB"/>
        </w:rPr>
        <w:t xml:space="preserve"> V územiach mimo lokalít Natura 2000 budú uprednostnené výmery plôch v zostupnej tendencii.</w:t>
      </w:r>
    </w:p>
    <w:p w:rsidR="0054499C" w:rsidRPr="002B6800" w:rsidRDefault="0054499C" w:rsidP="0054499C">
      <w:pPr>
        <w:rPr>
          <w:rFonts w:ascii="Calibri" w:eastAsia="Calibri" w:hAnsi="Calibri"/>
          <w:lang w:eastAsia="en-GB"/>
        </w:rPr>
      </w:pPr>
    </w:p>
    <w:p w:rsidR="0054499C" w:rsidRPr="002B6800" w:rsidRDefault="0054499C" w:rsidP="0054499C">
      <w:pPr>
        <w:rPr>
          <w:rFonts w:ascii="Calibri" w:eastAsia="Calibri" w:hAnsi="Calibri"/>
          <w:u w:val="single"/>
          <w:lang w:eastAsia="en-GB"/>
        </w:rPr>
      </w:pPr>
      <w:r w:rsidRPr="002B6800">
        <w:rPr>
          <w:rFonts w:ascii="Calibri" w:eastAsia="Calibri" w:hAnsi="Calibri"/>
          <w:u w:val="single"/>
          <w:lang w:eastAsia="en-GB"/>
        </w:rPr>
        <w:t xml:space="preserve">Výška a miera podpory: </w:t>
      </w:r>
    </w:p>
    <w:p w:rsidR="0054499C" w:rsidRPr="002B6800" w:rsidRDefault="0054499C" w:rsidP="0054499C">
      <w:pPr>
        <w:rPr>
          <w:rFonts w:ascii="Calibri" w:hAnsi="Calibri"/>
          <w:iCs/>
        </w:rPr>
      </w:pPr>
      <w:r w:rsidRPr="002B6800">
        <w:rPr>
          <w:rFonts w:ascii="Calibri" w:hAnsi="Calibri"/>
          <w:iCs/>
        </w:rPr>
        <w:t>Výška podpory: 51,55 €/ha.</w:t>
      </w:r>
    </w:p>
    <w:p w:rsidR="0054499C" w:rsidRPr="002B6800" w:rsidRDefault="0054499C" w:rsidP="0054499C">
      <w:pPr>
        <w:rPr>
          <w:rFonts w:ascii="Calibri" w:eastAsia="Calibri" w:hAnsi="Calibri"/>
          <w:iCs/>
        </w:rPr>
      </w:pPr>
    </w:p>
    <w:p w:rsidR="0054499C" w:rsidRPr="002B6800" w:rsidRDefault="0054499C" w:rsidP="0054499C">
      <w:pPr>
        <w:rPr>
          <w:rFonts w:ascii="Calibri" w:hAnsi="Calibri"/>
          <w:iCs/>
          <w:u w:val="single"/>
        </w:rPr>
      </w:pPr>
      <w:r w:rsidRPr="002B6800">
        <w:rPr>
          <w:rFonts w:ascii="Calibri" w:hAnsi="Calibri"/>
          <w:iCs/>
          <w:u w:val="single"/>
        </w:rPr>
        <w:t>Ostatné informácie týkajúce sa podopatrenia</w:t>
      </w:r>
    </w:p>
    <w:p w:rsidR="0054499C" w:rsidRPr="002B6800" w:rsidRDefault="0054499C" w:rsidP="00CE203B">
      <w:pPr>
        <w:numPr>
          <w:ilvl w:val="0"/>
          <w:numId w:val="264"/>
        </w:numPr>
        <w:spacing w:after="120"/>
        <w:ind w:left="357" w:hanging="357"/>
        <w:rPr>
          <w:rFonts w:ascii="Calibri" w:hAnsi="Calibri"/>
        </w:rPr>
      </w:pPr>
      <w:r w:rsidRPr="002B6800">
        <w:rPr>
          <w:rFonts w:ascii="Calibri" w:hAnsi="Calibri"/>
        </w:rPr>
        <w:t>Oprávnené lesné pozemky na zaradenie do podpory sú definované v § 3, ods.1 písm. a) zákona           č. 326/2005 Z. z. (zákon o lesoch).</w:t>
      </w:r>
    </w:p>
    <w:p w:rsidR="0054499C" w:rsidRPr="002B6800" w:rsidRDefault="0054499C" w:rsidP="00CE203B">
      <w:pPr>
        <w:numPr>
          <w:ilvl w:val="0"/>
          <w:numId w:val="264"/>
        </w:numPr>
        <w:rPr>
          <w:rFonts w:ascii="Calibri" w:hAnsi="Calibri"/>
          <w:lang w:eastAsia="en-GB"/>
        </w:rPr>
      </w:pPr>
      <w:r w:rsidRPr="002B6800">
        <w:rPr>
          <w:rFonts w:ascii="Calibri" w:hAnsi="Calibri"/>
          <w:lang w:eastAsia="en-GB"/>
        </w:rPr>
        <w:t>Do podpory nebudú zaradené lesné pozemky, v ktorých orgán ochrany prírody udelí súhlas na zásah do lesného porastu alebo na poškodenie vegetačného a pôdneho krytu.</w:t>
      </w:r>
    </w:p>
    <w:p w:rsidR="0054499C" w:rsidRPr="002B6800" w:rsidRDefault="0054499C" w:rsidP="0054499C">
      <w:pPr>
        <w:rPr>
          <w:rFonts w:ascii="Calibri" w:eastAsia="Calibri" w:hAnsi="Calibri"/>
          <w:iCs/>
        </w:rPr>
      </w:pPr>
    </w:p>
    <w:p w:rsidR="0054499C" w:rsidRPr="002B6800" w:rsidRDefault="0054499C" w:rsidP="0054499C">
      <w:pPr>
        <w:keepNext/>
        <w:outlineLvl w:val="3"/>
        <w:rPr>
          <w:rFonts w:ascii="Calibri" w:eastAsia="Calibri" w:hAnsi="Calibri"/>
          <w:i/>
          <w:iCs/>
        </w:rPr>
      </w:pPr>
    </w:p>
    <w:p w:rsidR="0054499C" w:rsidRPr="002B6800" w:rsidRDefault="0054499C" w:rsidP="0054499C">
      <w:pPr>
        <w:keepNext/>
        <w:ind w:left="851" w:hanging="851"/>
        <w:outlineLvl w:val="1"/>
        <w:rPr>
          <w:rFonts w:ascii="Calibri" w:hAnsi="Calibri"/>
          <w:b/>
        </w:rPr>
      </w:pPr>
      <w:r w:rsidRPr="002B6800">
        <w:rPr>
          <w:rFonts w:ascii="Calibri" w:hAnsi="Calibri"/>
          <w:b/>
        </w:rPr>
        <w:t>8.2.11.4. Overiteľnosť a kontrolovateľnosť opatrenia</w:t>
      </w:r>
    </w:p>
    <w:p w:rsidR="0054499C" w:rsidRPr="002B6800" w:rsidRDefault="0054499C" w:rsidP="0054499C">
      <w:pPr>
        <w:keepNext/>
        <w:ind w:left="851" w:hanging="851"/>
        <w:outlineLvl w:val="1"/>
        <w:rPr>
          <w:rFonts w:ascii="Calibri" w:eastAsia="Calibri" w:hAnsi="Calibri"/>
          <w:u w:val="single"/>
        </w:rPr>
      </w:pPr>
      <w:r w:rsidRPr="002B6800">
        <w:rPr>
          <w:rFonts w:ascii="Calibri" w:eastAsia="Calibri" w:hAnsi="Calibri"/>
          <w:u w:val="single"/>
        </w:rPr>
        <w:t>Riziká implementácie opatrenia:</w:t>
      </w:r>
    </w:p>
    <w:p w:rsidR="0054499C" w:rsidRPr="002B6800" w:rsidRDefault="0054499C" w:rsidP="0054499C">
      <w:pPr>
        <w:keepNext/>
        <w:outlineLvl w:val="1"/>
        <w:rPr>
          <w:rFonts w:ascii="Calibri" w:hAnsi="Calibri"/>
        </w:rPr>
      </w:pPr>
      <w:r w:rsidRPr="002B6800">
        <w:rPr>
          <w:rFonts w:ascii="Calibri" w:hAnsi="Calibri"/>
        </w:rPr>
        <w:t>Najväčším rizikom v implementácii opatrenia je nejednoznačné vymedzenie hraníc  ÚEV v teréne. ÚEV v mnohých lokalitách nie sú vymedzené v prirodzených hraniciach,  ale často pretínajú ucelené poľnohospodárske pôdne bloky a lesné diely  len hranicou na mape.</w:t>
      </w:r>
    </w:p>
    <w:p w:rsidR="0054499C" w:rsidRPr="002B6800" w:rsidRDefault="0054499C" w:rsidP="0054499C">
      <w:pPr>
        <w:keepNext/>
        <w:outlineLvl w:val="1"/>
        <w:rPr>
          <w:rFonts w:ascii="Calibri" w:hAnsi="Calibri"/>
        </w:rPr>
      </w:pPr>
      <w:r w:rsidRPr="002B6800">
        <w:rPr>
          <w:rFonts w:ascii="Calibri" w:hAnsi="Calibri"/>
        </w:rPr>
        <w:t>K rizikám v implementácii opatrenia môžeme zaradiť zmeny vo vyhlásených územiach Natura 2000.</w:t>
      </w:r>
    </w:p>
    <w:p w:rsidR="0054499C" w:rsidRPr="002B6800" w:rsidRDefault="0054499C" w:rsidP="0054499C">
      <w:pPr>
        <w:keepNext/>
        <w:ind w:left="851" w:hanging="851"/>
        <w:outlineLvl w:val="1"/>
        <w:rPr>
          <w:rFonts w:ascii="Calibri" w:eastAsia="Calibri" w:hAnsi="Calibri"/>
          <w:u w:val="single"/>
        </w:rPr>
      </w:pPr>
    </w:p>
    <w:p w:rsidR="0054499C" w:rsidRPr="002B6800" w:rsidRDefault="0054499C" w:rsidP="0054499C">
      <w:pPr>
        <w:keepNext/>
        <w:ind w:left="851" w:hanging="851"/>
        <w:outlineLvl w:val="1"/>
        <w:rPr>
          <w:rFonts w:ascii="Calibri" w:eastAsia="Calibri" w:hAnsi="Calibri"/>
          <w:u w:val="single"/>
        </w:rPr>
      </w:pPr>
      <w:r w:rsidRPr="002B6800">
        <w:rPr>
          <w:rFonts w:ascii="Calibri" w:eastAsia="Calibri" w:hAnsi="Calibri"/>
          <w:u w:val="single"/>
        </w:rPr>
        <w:t>Opatrenia na zmiernenie rizika implementácie:</w:t>
      </w:r>
    </w:p>
    <w:p w:rsidR="0054499C" w:rsidRPr="002B6800" w:rsidRDefault="0054499C" w:rsidP="00CE203B">
      <w:pPr>
        <w:keepNext/>
        <w:numPr>
          <w:ilvl w:val="0"/>
          <w:numId w:val="265"/>
        </w:numPr>
        <w:outlineLvl w:val="1"/>
        <w:rPr>
          <w:rFonts w:ascii="Calibri" w:eastAsia="Calibri" w:hAnsi="Calibri"/>
        </w:rPr>
      </w:pPr>
      <w:r w:rsidRPr="002B6800">
        <w:rPr>
          <w:rFonts w:ascii="Calibri" w:eastAsia="Calibri" w:hAnsi="Calibri"/>
        </w:rPr>
        <w:t>Informovanie a školenie prijímateľov podpory o dôležitosti presných podkladov pri vstupoch do opatrenia.</w:t>
      </w:r>
    </w:p>
    <w:p w:rsidR="0054499C" w:rsidRPr="002B6800" w:rsidRDefault="0054499C" w:rsidP="00CE203B">
      <w:pPr>
        <w:keepNext/>
        <w:numPr>
          <w:ilvl w:val="0"/>
          <w:numId w:val="265"/>
        </w:numPr>
        <w:outlineLvl w:val="1"/>
        <w:rPr>
          <w:rFonts w:ascii="Calibri" w:eastAsia="Calibri" w:hAnsi="Calibri"/>
        </w:rPr>
      </w:pPr>
      <w:r w:rsidRPr="002B6800">
        <w:rPr>
          <w:rFonts w:ascii="Calibri" w:eastAsia="Calibri" w:hAnsi="Calibri"/>
        </w:rPr>
        <w:t>Spolupráca so správcom GIS pre ÚEV o poskytnutí presných údajov pre IACS a GIS o lesoch.</w:t>
      </w:r>
    </w:p>
    <w:p w:rsidR="0054499C" w:rsidRPr="002B6800" w:rsidRDefault="0054499C" w:rsidP="00CE203B">
      <w:pPr>
        <w:keepNext/>
        <w:numPr>
          <w:ilvl w:val="0"/>
          <w:numId w:val="265"/>
        </w:numPr>
        <w:outlineLvl w:val="1"/>
        <w:rPr>
          <w:rFonts w:ascii="Calibri" w:eastAsia="Calibri" w:hAnsi="Calibri"/>
        </w:rPr>
      </w:pPr>
      <w:r w:rsidRPr="002B6800">
        <w:rPr>
          <w:rFonts w:ascii="Calibri" w:eastAsia="Calibri" w:hAnsi="Calibri"/>
        </w:rPr>
        <w:t>Umožnenie prienikovej kombinácie podopatrenia Kompenzačné platby v rámci sústavy Natura 2000 poľnohospodárska pôda s podopatrením Ochrana biotopov prírodných a poloprírodných trávnych porastov v rámci Agroenvironmentu.</w:t>
      </w:r>
    </w:p>
    <w:p w:rsidR="0054499C" w:rsidRPr="002B6800" w:rsidRDefault="0054499C" w:rsidP="0054499C">
      <w:pPr>
        <w:keepNext/>
        <w:ind w:left="851" w:hanging="851"/>
        <w:outlineLvl w:val="1"/>
        <w:rPr>
          <w:rFonts w:ascii="Calibri" w:eastAsia="Calibri" w:hAnsi="Calibri"/>
          <w:u w:val="single"/>
        </w:rPr>
      </w:pPr>
    </w:p>
    <w:p w:rsidR="0054499C" w:rsidRPr="002B6800" w:rsidRDefault="0054499C" w:rsidP="0054499C">
      <w:pPr>
        <w:keepNext/>
        <w:ind w:left="851" w:hanging="851"/>
        <w:outlineLvl w:val="1"/>
        <w:rPr>
          <w:rFonts w:ascii="Calibri" w:eastAsia="Calibri" w:hAnsi="Calibri"/>
          <w:u w:val="single"/>
        </w:rPr>
      </w:pPr>
      <w:r w:rsidRPr="002B6800">
        <w:rPr>
          <w:rFonts w:ascii="Calibri" w:eastAsia="Calibri" w:hAnsi="Calibri"/>
          <w:u w:val="single"/>
        </w:rPr>
        <w:t>Celkové posúdenie opatrenia</w:t>
      </w:r>
    </w:p>
    <w:p w:rsidR="0054499C" w:rsidRPr="002B6800" w:rsidRDefault="0054499C" w:rsidP="0054499C">
      <w:pPr>
        <w:keepNext/>
        <w:spacing w:after="120"/>
        <w:outlineLvl w:val="1"/>
        <w:rPr>
          <w:rFonts w:ascii="Calibri" w:eastAsia="Calibri" w:hAnsi="Calibri"/>
          <w:u w:val="single"/>
        </w:rPr>
      </w:pPr>
      <w:r w:rsidRPr="002B6800">
        <w:rPr>
          <w:rFonts w:ascii="Calibri" w:eastAsia="Calibri" w:hAnsi="Calibri"/>
          <w:iCs/>
        </w:rPr>
        <w:t>Uvedené opatrenie bolo realizované aj v programovom období 2007-2013.</w:t>
      </w:r>
      <w:r w:rsidRPr="002B6800">
        <w:rPr>
          <w:rFonts w:ascii="Calibri" w:eastAsia="Calibri" w:hAnsi="Calibri"/>
          <w:b/>
          <w:iCs/>
        </w:rPr>
        <w:t xml:space="preserve"> </w:t>
      </w:r>
      <w:r w:rsidRPr="002B6800">
        <w:rPr>
          <w:rFonts w:ascii="Calibri" w:eastAsia="Calibri" w:hAnsi="Calibri"/>
          <w:iCs/>
        </w:rPr>
        <w:t xml:space="preserve">Podopatrenie </w:t>
      </w:r>
      <w:r w:rsidRPr="002B6800">
        <w:rPr>
          <w:rFonts w:ascii="Calibri" w:eastAsia="Calibri" w:hAnsi="Calibri" w:cs="Calibri"/>
        </w:rPr>
        <w:t xml:space="preserve">Kompenzačné platby v rámci sústavy Natura 2000 na lesných pozemkoch boli realizované a čerpané  na dobrej úrovni, ale Kompenzačné platby v rámci sústavy Natura 2000 na poľnohospodárskej pôde neboli realizované ani na 10% pôvodne stanovenej plochy. </w:t>
      </w:r>
    </w:p>
    <w:p w:rsidR="0054499C" w:rsidRPr="002B6800" w:rsidRDefault="0054499C" w:rsidP="0054499C">
      <w:pPr>
        <w:rPr>
          <w:rFonts w:ascii="Calibri" w:hAnsi="Calibri"/>
          <w:iCs/>
        </w:rPr>
      </w:pPr>
      <w:r w:rsidRPr="002B6800">
        <w:rPr>
          <w:rFonts w:ascii="Calibri" w:hAnsi="Calibri"/>
          <w:iCs/>
        </w:rPr>
        <w:t>Súčasne nastavené podmienky a možnosti dávajú predpoklad, aby realizácia postupov v stanovených ÚEV priniesla očakávaný efekt ochrany, udržania a m</w:t>
      </w:r>
      <w:r>
        <w:rPr>
          <w:rFonts w:ascii="Calibri" w:hAnsi="Calibri"/>
          <w:iCs/>
        </w:rPr>
        <w:t>a</w:t>
      </w:r>
      <w:r w:rsidRPr="002B6800">
        <w:rPr>
          <w:rFonts w:ascii="Calibri" w:hAnsi="Calibri"/>
          <w:iCs/>
        </w:rPr>
        <w:t>n</w:t>
      </w:r>
      <w:r>
        <w:rPr>
          <w:rFonts w:ascii="Calibri" w:hAnsi="Calibri"/>
          <w:iCs/>
        </w:rPr>
        <w:t>a</w:t>
      </w:r>
      <w:r w:rsidRPr="002B6800">
        <w:rPr>
          <w:rFonts w:ascii="Calibri" w:hAnsi="Calibri"/>
          <w:iCs/>
        </w:rPr>
        <w:t>žovania týchto území.</w:t>
      </w:r>
    </w:p>
    <w:p w:rsidR="0054499C" w:rsidRPr="00095683" w:rsidRDefault="0054499C" w:rsidP="0054499C">
      <w:pPr>
        <w:rPr>
          <w:rFonts w:ascii="Calibri" w:eastAsia="Calibri" w:hAnsi="Calibri"/>
        </w:rPr>
      </w:pPr>
      <w:r w:rsidRPr="002B6800">
        <w:rPr>
          <w:rFonts w:ascii="Calibri" w:hAnsi="Calibri"/>
          <w:iCs/>
        </w:rPr>
        <w:lastRenderedPageBreak/>
        <w:br w:type="page"/>
      </w:r>
      <w:r w:rsidRPr="00095683">
        <w:rPr>
          <w:rFonts w:ascii="Calibri" w:eastAsia="Calibri" w:hAnsi="Calibri"/>
          <w:u w:val="single"/>
        </w:rPr>
        <w:t xml:space="preserve">Kontrolovateľnosť podmienok podopatrenia </w:t>
      </w:r>
      <w:r w:rsidRPr="00095683">
        <w:rPr>
          <w:rFonts w:ascii="Calibri" w:eastAsia="Calibri" w:hAnsi="Calibri"/>
        </w:rPr>
        <w:t>Kompenzačné platby v rámci sústavy Natura 2000</w:t>
      </w:r>
    </w:p>
    <w:p w:rsidR="0054499C" w:rsidRPr="00095683" w:rsidRDefault="0054499C" w:rsidP="0054499C">
      <w:pPr>
        <w:keepNext/>
        <w:ind w:left="851" w:hanging="851"/>
        <w:outlineLvl w:val="1"/>
        <w:rPr>
          <w:rFonts w:ascii="Calibri" w:eastAsia="Calibri" w:hAnsi="Calibri"/>
          <w:b/>
          <w:u w:val="single"/>
        </w:rPr>
      </w:pPr>
      <w:r w:rsidRPr="00095683">
        <w:rPr>
          <w:rFonts w:ascii="Calibri" w:eastAsia="Calibri" w:hAnsi="Calibri"/>
          <w:b/>
        </w:rPr>
        <w:t>poľnohospodárska pôda</w:t>
      </w:r>
    </w:p>
    <w:tbl>
      <w:tblPr>
        <w:tblW w:w="90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644"/>
        <w:gridCol w:w="2410"/>
        <w:gridCol w:w="1999"/>
      </w:tblGrid>
      <w:tr w:rsidR="0054499C" w:rsidRPr="002B6800" w:rsidTr="0054499C">
        <w:trPr>
          <w:trHeight w:val="409"/>
        </w:trPr>
        <w:tc>
          <w:tcPr>
            <w:tcW w:w="4644" w:type="dxa"/>
            <w:tcBorders>
              <w:top w:val="single" w:sz="4" w:space="0" w:color="auto"/>
              <w:left w:val="single" w:sz="4" w:space="0" w:color="auto"/>
              <w:bottom w:val="single" w:sz="4" w:space="0" w:color="auto"/>
              <w:right w:val="single" w:sz="4" w:space="0" w:color="auto"/>
            </w:tcBorders>
            <w:shd w:val="clear" w:color="auto" w:fill="F2DBDB" w:themeFill="accent2" w:themeFillTint="33"/>
            <w:vAlign w:val="center"/>
            <w:hideMark/>
          </w:tcPr>
          <w:p w:rsidR="0054499C" w:rsidRPr="002B6800" w:rsidRDefault="0054499C" w:rsidP="0054499C">
            <w:pPr>
              <w:jc w:val="center"/>
              <w:rPr>
                <w:rFonts w:ascii="Calibri" w:eastAsia="Calibri" w:hAnsi="Calibri"/>
                <w:sz w:val="20"/>
                <w:szCs w:val="20"/>
              </w:rPr>
            </w:pPr>
            <w:r w:rsidRPr="002B6800">
              <w:rPr>
                <w:rFonts w:ascii="Calibri" w:eastAsia="Calibri" w:hAnsi="Calibri"/>
                <w:b/>
                <w:sz w:val="20"/>
                <w:szCs w:val="20"/>
              </w:rPr>
              <w:t>Podmienka podopatrenia</w:t>
            </w:r>
          </w:p>
        </w:tc>
        <w:tc>
          <w:tcPr>
            <w:tcW w:w="2410" w:type="dxa"/>
            <w:tcBorders>
              <w:top w:val="single" w:sz="4" w:space="0" w:color="auto"/>
              <w:left w:val="single" w:sz="4" w:space="0" w:color="auto"/>
              <w:bottom w:val="single" w:sz="4" w:space="0" w:color="auto"/>
              <w:right w:val="single" w:sz="4" w:space="0" w:color="auto"/>
            </w:tcBorders>
            <w:shd w:val="clear" w:color="auto" w:fill="F2DBDB" w:themeFill="accent2" w:themeFillTint="33"/>
            <w:vAlign w:val="center"/>
            <w:hideMark/>
          </w:tcPr>
          <w:p w:rsidR="0054499C" w:rsidRPr="002B6800" w:rsidRDefault="0054499C" w:rsidP="0054499C">
            <w:pPr>
              <w:jc w:val="center"/>
              <w:rPr>
                <w:rFonts w:ascii="Calibri" w:eastAsia="Calibri" w:hAnsi="Calibri"/>
                <w:b/>
                <w:sz w:val="20"/>
                <w:szCs w:val="20"/>
              </w:rPr>
            </w:pPr>
            <w:r w:rsidRPr="002B6800">
              <w:rPr>
                <w:rFonts w:ascii="Calibri" w:eastAsia="Calibri" w:hAnsi="Calibri"/>
                <w:b/>
                <w:sz w:val="20"/>
                <w:szCs w:val="20"/>
              </w:rPr>
              <w:t>Administratívna kontrola</w:t>
            </w:r>
          </w:p>
        </w:tc>
        <w:tc>
          <w:tcPr>
            <w:tcW w:w="1999" w:type="dxa"/>
            <w:tcBorders>
              <w:top w:val="single" w:sz="4" w:space="0" w:color="auto"/>
              <w:left w:val="single" w:sz="4" w:space="0" w:color="auto"/>
              <w:bottom w:val="single" w:sz="4" w:space="0" w:color="auto"/>
              <w:right w:val="single" w:sz="4" w:space="0" w:color="auto"/>
            </w:tcBorders>
            <w:shd w:val="clear" w:color="auto" w:fill="F2DBDB" w:themeFill="accent2" w:themeFillTint="33"/>
            <w:vAlign w:val="center"/>
            <w:hideMark/>
          </w:tcPr>
          <w:p w:rsidR="0054499C" w:rsidRPr="002B6800" w:rsidRDefault="0054499C" w:rsidP="0054499C">
            <w:pPr>
              <w:jc w:val="center"/>
              <w:rPr>
                <w:rFonts w:ascii="Calibri" w:eastAsia="Calibri" w:hAnsi="Calibri"/>
                <w:b/>
                <w:sz w:val="20"/>
                <w:szCs w:val="20"/>
              </w:rPr>
            </w:pPr>
            <w:r w:rsidRPr="002B6800">
              <w:rPr>
                <w:rFonts w:ascii="Calibri" w:eastAsia="Calibri" w:hAnsi="Calibri"/>
                <w:b/>
                <w:sz w:val="20"/>
                <w:szCs w:val="20"/>
              </w:rPr>
              <w:t>Kontrola na mieste</w:t>
            </w:r>
          </w:p>
        </w:tc>
      </w:tr>
      <w:tr w:rsidR="0054499C" w:rsidRPr="002B6800" w:rsidTr="0054499C">
        <w:trPr>
          <w:trHeight w:val="525"/>
        </w:trPr>
        <w:tc>
          <w:tcPr>
            <w:tcW w:w="4644" w:type="dxa"/>
            <w:tcBorders>
              <w:top w:val="single" w:sz="4" w:space="0" w:color="auto"/>
              <w:left w:val="single" w:sz="4" w:space="0" w:color="auto"/>
              <w:bottom w:val="single" w:sz="4" w:space="0" w:color="auto"/>
              <w:right w:val="single" w:sz="4" w:space="0" w:color="auto"/>
            </w:tcBorders>
            <w:hideMark/>
          </w:tcPr>
          <w:p w:rsidR="0054499C" w:rsidRPr="002B6800" w:rsidRDefault="0054499C" w:rsidP="0054499C">
            <w:pPr>
              <w:rPr>
                <w:rFonts w:ascii="Calibri" w:eastAsia="Calibri" w:hAnsi="Calibri"/>
                <w:sz w:val="20"/>
                <w:szCs w:val="20"/>
              </w:rPr>
            </w:pPr>
            <w:r w:rsidRPr="002B6800">
              <w:rPr>
                <w:rFonts w:ascii="Calibri" w:eastAsia="Calibri" w:hAnsi="Calibri"/>
                <w:sz w:val="20"/>
                <w:szCs w:val="20"/>
              </w:rPr>
              <w:t xml:space="preserve">Vstúpiť do podopatrenia minimálne s 1 ha trvalých trávnych porastov (LPIS) </w:t>
            </w:r>
          </w:p>
        </w:tc>
        <w:tc>
          <w:tcPr>
            <w:tcW w:w="2410" w:type="dxa"/>
            <w:tcBorders>
              <w:top w:val="single" w:sz="4" w:space="0" w:color="auto"/>
              <w:left w:val="single" w:sz="4" w:space="0" w:color="auto"/>
              <w:bottom w:val="single" w:sz="4" w:space="0" w:color="auto"/>
              <w:right w:val="single" w:sz="4" w:space="0" w:color="auto"/>
            </w:tcBorders>
            <w:vAlign w:val="center"/>
            <w:hideMark/>
          </w:tcPr>
          <w:p w:rsidR="0054499C" w:rsidRPr="002B6800" w:rsidRDefault="0054499C" w:rsidP="0054499C">
            <w:pPr>
              <w:jc w:val="center"/>
              <w:rPr>
                <w:rFonts w:ascii="Calibri" w:eastAsia="Calibri" w:hAnsi="Calibri"/>
                <w:sz w:val="20"/>
                <w:szCs w:val="20"/>
              </w:rPr>
            </w:pPr>
            <w:r w:rsidRPr="002B6800">
              <w:rPr>
                <w:rFonts w:ascii="Calibri" w:eastAsia="Calibri" w:hAnsi="Calibri"/>
                <w:sz w:val="20"/>
                <w:szCs w:val="20"/>
              </w:rPr>
              <w:t>IACS</w:t>
            </w:r>
          </w:p>
        </w:tc>
        <w:tc>
          <w:tcPr>
            <w:tcW w:w="1999" w:type="dxa"/>
            <w:tcBorders>
              <w:top w:val="single" w:sz="4" w:space="0" w:color="auto"/>
              <w:left w:val="single" w:sz="4" w:space="0" w:color="auto"/>
              <w:bottom w:val="single" w:sz="4" w:space="0" w:color="auto"/>
              <w:right w:val="single" w:sz="4" w:space="0" w:color="auto"/>
            </w:tcBorders>
            <w:vAlign w:val="center"/>
          </w:tcPr>
          <w:p w:rsidR="0054499C" w:rsidRPr="002B6800" w:rsidRDefault="0054499C" w:rsidP="0054499C">
            <w:pPr>
              <w:jc w:val="center"/>
              <w:rPr>
                <w:rFonts w:ascii="Calibri" w:eastAsia="Calibri" w:hAnsi="Calibri"/>
                <w:sz w:val="20"/>
                <w:szCs w:val="20"/>
              </w:rPr>
            </w:pPr>
          </w:p>
        </w:tc>
      </w:tr>
      <w:tr w:rsidR="0054499C" w:rsidRPr="002B6800" w:rsidTr="0054499C">
        <w:trPr>
          <w:trHeight w:val="829"/>
        </w:trPr>
        <w:tc>
          <w:tcPr>
            <w:tcW w:w="4644" w:type="dxa"/>
            <w:tcBorders>
              <w:top w:val="single" w:sz="4" w:space="0" w:color="auto"/>
              <w:left w:val="single" w:sz="4" w:space="0" w:color="auto"/>
              <w:bottom w:val="single" w:sz="4" w:space="0" w:color="auto"/>
              <w:right w:val="single" w:sz="4" w:space="0" w:color="auto"/>
            </w:tcBorders>
            <w:hideMark/>
          </w:tcPr>
          <w:p w:rsidR="0054499C" w:rsidRPr="002B6800" w:rsidRDefault="0054499C" w:rsidP="0054499C">
            <w:pPr>
              <w:rPr>
                <w:rFonts w:ascii="Calibri" w:eastAsia="Calibri" w:hAnsi="Calibri"/>
                <w:b/>
                <w:sz w:val="20"/>
                <w:szCs w:val="20"/>
                <w:u w:val="single"/>
              </w:rPr>
            </w:pPr>
            <w:r w:rsidRPr="002B6800">
              <w:rPr>
                <w:rFonts w:ascii="Calibri" w:eastAsia="Calibri" w:hAnsi="Calibri"/>
                <w:sz w:val="20"/>
                <w:szCs w:val="20"/>
              </w:rPr>
              <w:t>Neaplikovať na trvalých trávnych porastoch žiadne chemické látky a žiadne dodatkové hnojivá (povolené je iba hnojenie pasúcimi sa zvieratami)</w:t>
            </w:r>
          </w:p>
        </w:tc>
        <w:tc>
          <w:tcPr>
            <w:tcW w:w="2410" w:type="dxa"/>
            <w:tcBorders>
              <w:top w:val="single" w:sz="4" w:space="0" w:color="auto"/>
              <w:left w:val="single" w:sz="4" w:space="0" w:color="auto"/>
              <w:bottom w:val="single" w:sz="4" w:space="0" w:color="auto"/>
              <w:right w:val="single" w:sz="4" w:space="0" w:color="auto"/>
            </w:tcBorders>
            <w:vAlign w:val="center"/>
            <w:hideMark/>
          </w:tcPr>
          <w:p w:rsidR="0054499C" w:rsidRPr="002B6800" w:rsidRDefault="0054499C" w:rsidP="0054499C">
            <w:pPr>
              <w:jc w:val="center"/>
              <w:rPr>
                <w:rFonts w:ascii="Calibri" w:eastAsia="Calibri" w:hAnsi="Calibri"/>
                <w:sz w:val="20"/>
                <w:szCs w:val="20"/>
              </w:rPr>
            </w:pPr>
            <w:r w:rsidRPr="002B6800">
              <w:rPr>
                <w:rFonts w:ascii="Calibri" w:eastAsia="Calibri" w:hAnsi="Calibri"/>
                <w:sz w:val="20"/>
                <w:szCs w:val="20"/>
              </w:rPr>
              <w:t>Záznamy o aplikácii</w:t>
            </w:r>
          </w:p>
        </w:tc>
        <w:tc>
          <w:tcPr>
            <w:tcW w:w="1999" w:type="dxa"/>
            <w:tcBorders>
              <w:top w:val="single" w:sz="4" w:space="0" w:color="auto"/>
              <w:left w:val="single" w:sz="4" w:space="0" w:color="auto"/>
              <w:bottom w:val="single" w:sz="4" w:space="0" w:color="auto"/>
              <w:right w:val="single" w:sz="4" w:space="0" w:color="auto"/>
            </w:tcBorders>
            <w:vAlign w:val="center"/>
            <w:hideMark/>
          </w:tcPr>
          <w:p w:rsidR="0054499C" w:rsidRPr="002B6800" w:rsidRDefault="0054499C" w:rsidP="0054499C">
            <w:pPr>
              <w:jc w:val="center"/>
              <w:rPr>
                <w:rFonts w:ascii="Calibri" w:eastAsia="Calibri" w:hAnsi="Calibri"/>
                <w:sz w:val="20"/>
                <w:szCs w:val="20"/>
              </w:rPr>
            </w:pPr>
            <w:r w:rsidRPr="002B6800">
              <w:rPr>
                <w:rFonts w:ascii="Calibri" w:eastAsia="Calibri" w:hAnsi="Calibri"/>
                <w:sz w:val="20"/>
                <w:szCs w:val="20"/>
              </w:rPr>
              <w:t>x</w:t>
            </w:r>
          </w:p>
        </w:tc>
      </w:tr>
      <w:tr w:rsidR="0054499C" w:rsidRPr="002B6800" w:rsidTr="0054499C">
        <w:trPr>
          <w:trHeight w:val="585"/>
        </w:trPr>
        <w:tc>
          <w:tcPr>
            <w:tcW w:w="4644" w:type="dxa"/>
            <w:tcBorders>
              <w:top w:val="single" w:sz="4" w:space="0" w:color="auto"/>
              <w:left w:val="single" w:sz="4" w:space="0" w:color="auto"/>
              <w:bottom w:val="single" w:sz="4" w:space="0" w:color="auto"/>
              <w:right w:val="single" w:sz="4" w:space="0" w:color="auto"/>
            </w:tcBorders>
            <w:hideMark/>
          </w:tcPr>
          <w:p w:rsidR="0054499C" w:rsidRPr="002B6800" w:rsidRDefault="0054499C" w:rsidP="0054499C">
            <w:pPr>
              <w:widowControl w:val="0"/>
              <w:suppressAutoHyphens/>
              <w:rPr>
                <w:rFonts w:ascii="Calibri" w:eastAsia="Arial" w:hAnsi="Calibri"/>
                <w:b/>
                <w:sz w:val="20"/>
                <w:szCs w:val="20"/>
                <w:u w:val="single"/>
                <w:lang w:eastAsia="ar-SA"/>
              </w:rPr>
            </w:pPr>
            <w:r w:rsidRPr="002B6800">
              <w:rPr>
                <w:rFonts w:ascii="Calibri" w:eastAsia="Arial" w:hAnsi="Calibri"/>
                <w:sz w:val="20"/>
                <w:szCs w:val="20"/>
                <w:lang w:eastAsia="ar-SA"/>
              </w:rPr>
              <w:t>Neumiestňovať na  trvalých trávnych porastoch košiar, stavbu alebo iné zariadenie na ochranu hospodárskych zvierat</w:t>
            </w:r>
          </w:p>
        </w:tc>
        <w:tc>
          <w:tcPr>
            <w:tcW w:w="2410" w:type="dxa"/>
            <w:tcBorders>
              <w:top w:val="single" w:sz="4" w:space="0" w:color="auto"/>
              <w:left w:val="single" w:sz="4" w:space="0" w:color="auto"/>
              <w:bottom w:val="single" w:sz="4" w:space="0" w:color="auto"/>
              <w:right w:val="single" w:sz="4" w:space="0" w:color="auto"/>
            </w:tcBorders>
            <w:vAlign w:val="center"/>
          </w:tcPr>
          <w:p w:rsidR="0054499C" w:rsidRPr="002B6800" w:rsidRDefault="0054499C" w:rsidP="0054499C">
            <w:pPr>
              <w:jc w:val="center"/>
              <w:rPr>
                <w:rFonts w:ascii="Calibri" w:eastAsia="Calibri" w:hAnsi="Calibri"/>
                <w:sz w:val="20"/>
                <w:szCs w:val="20"/>
              </w:rPr>
            </w:pPr>
          </w:p>
        </w:tc>
        <w:tc>
          <w:tcPr>
            <w:tcW w:w="1999" w:type="dxa"/>
            <w:tcBorders>
              <w:top w:val="single" w:sz="4" w:space="0" w:color="auto"/>
              <w:left w:val="single" w:sz="4" w:space="0" w:color="auto"/>
              <w:bottom w:val="single" w:sz="4" w:space="0" w:color="auto"/>
              <w:right w:val="single" w:sz="4" w:space="0" w:color="auto"/>
            </w:tcBorders>
            <w:vAlign w:val="center"/>
            <w:hideMark/>
          </w:tcPr>
          <w:p w:rsidR="0054499C" w:rsidRPr="002B6800" w:rsidRDefault="0054499C" w:rsidP="0054499C">
            <w:pPr>
              <w:jc w:val="center"/>
              <w:rPr>
                <w:rFonts w:ascii="Calibri" w:eastAsia="Calibri" w:hAnsi="Calibri"/>
                <w:sz w:val="20"/>
                <w:szCs w:val="20"/>
              </w:rPr>
            </w:pPr>
            <w:r w:rsidRPr="002B6800">
              <w:rPr>
                <w:rFonts w:ascii="Calibri" w:eastAsia="Calibri" w:hAnsi="Calibri"/>
                <w:sz w:val="20"/>
                <w:szCs w:val="20"/>
              </w:rPr>
              <w:t>x</w:t>
            </w:r>
          </w:p>
        </w:tc>
      </w:tr>
    </w:tbl>
    <w:p w:rsidR="0054499C" w:rsidRPr="002B6800" w:rsidRDefault="0054499C" w:rsidP="0054499C">
      <w:pPr>
        <w:rPr>
          <w:rFonts w:ascii="Calibri" w:hAnsi="Calibri"/>
          <w:iCs/>
        </w:rPr>
      </w:pPr>
    </w:p>
    <w:p w:rsidR="0054499C" w:rsidRPr="002B6800" w:rsidRDefault="0054499C" w:rsidP="0054499C">
      <w:pPr>
        <w:keepNext/>
        <w:ind w:left="851" w:hanging="851"/>
        <w:outlineLvl w:val="1"/>
        <w:rPr>
          <w:rFonts w:ascii="Calibri" w:eastAsia="Calibri" w:hAnsi="Calibri" w:cs="Calibri"/>
        </w:rPr>
      </w:pPr>
      <w:r w:rsidRPr="002B6800">
        <w:rPr>
          <w:rFonts w:ascii="Calibri" w:eastAsia="Calibri" w:hAnsi="Calibri"/>
          <w:u w:val="single"/>
        </w:rPr>
        <w:t xml:space="preserve">Kontrolovateľnosť podmienok podopatrenia </w:t>
      </w:r>
      <w:r w:rsidRPr="002B6800">
        <w:rPr>
          <w:rFonts w:ascii="Calibri" w:eastAsia="Calibri" w:hAnsi="Calibri" w:cs="Calibri"/>
        </w:rPr>
        <w:t>Kompenzačné platby v rámci sústavy Natura 2000 –</w:t>
      </w:r>
    </w:p>
    <w:p w:rsidR="0054499C" w:rsidRPr="00095683" w:rsidRDefault="0054499C" w:rsidP="0054499C">
      <w:pPr>
        <w:keepNext/>
        <w:ind w:left="851" w:hanging="851"/>
        <w:outlineLvl w:val="1"/>
        <w:rPr>
          <w:rFonts w:ascii="Calibri" w:eastAsia="Calibri" w:hAnsi="Calibri"/>
          <w:b/>
          <w:u w:val="single"/>
        </w:rPr>
      </w:pPr>
      <w:r w:rsidRPr="00095683">
        <w:rPr>
          <w:rFonts w:ascii="Calibri" w:eastAsia="Calibri" w:hAnsi="Calibri" w:cs="Calibri"/>
          <w:b/>
        </w:rPr>
        <w:t>lesný pozemok</w:t>
      </w:r>
    </w:p>
    <w:tbl>
      <w:tblPr>
        <w:tblW w:w="90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644"/>
        <w:gridCol w:w="2410"/>
        <w:gridCol w:w="1999"/>
      </w:tblGrid>
      <w:tr w:rsidR="0054499C" w:rsidRPr="002B6800" w:rsidTr="0054499C">
        <w:trPr>
          <w:trHeight w:val="409"/>
        </w:trPr>
        <w:tc>
          <w:tcPr>
            <w:tcW w:w="4644" w:type="dxa"/>
            <w:tcBorders>
              <w:top w:val="single" w:sz="4" w:space="0" w:color="auto"/>
              <w:left w:val="single" w:sz="4" w:space="0" w:color="auto"/>
              <w:bottom w:val="single" w:sz="4" w:space="0" w:color="auto"/>
              <w:right w:val="single" w:sz="4" w:space="0" w:color="auto"/>
            </w:tcBorders>
            <w:shd w:val="clear" w:color="auto" w:fill="EAF1DD" w:themeFill="accent3" w:themeFillTint="33"/>
            <w:vAlign w:val="center"/>
            <w:hideMark/>
          </w:tcPr>
          <w:p w:rsidR="0054499C" w:rsidRPr="002B6800" w:rsidRDefault="0054499C" w:rsidP="0054499C">
            <w:pPr>
              <w:jc w:val="center"/>
              <w:rPr>
                <w:rFonts w:ascii="Calibri" w:eastAsia="Calibri" w:hAnsi="Calibri"/>
                <w:sz w:val="20"/>
                <w:szCs w:val="20"/>
              </w:rPr>
            </w:pPr>
            <w:r w:rsidRPr="002B6800">
              <w:rPr>
                <w:rFonts w:ascii="Calibri" w:eastAsia="Calibri" w:hAnsi="Calibri"/>
                <w:b/>
                <w:sz w:val="20"/>
                <w:szCs w:val="20"/>
              </w:rPr>
              <w:t>Podmienka podopatrenia</w:t>
            </w:r>
          </w:p>
        </w:tc>
        <w:tc>
          <w:tcPr>
            <w:tcW w:w="2410" w:type="dxa"/>
            <w:tcBorders>
              <w:top w:val="single" w:sz="4" w:space="0" w:color="auto"/>
              <w:left w:val="single" w:sz="4" w:space="0" w:color="auto"/>
              <w:bottom w:val="single" w:sz="4" w:space="0" w:color="auto"/>
              <w:right w:val="single" w:sz="4" w:space="0" w:color="auto"/>
            </w:tcBorders>
            <w:shd w:val="clear" w:color="auto" w:fill="EAF1DD" w:themeFill="accent3" w:themeFillTint="33"/>
            <w:vAlign w:val="center"/>
            <w:hideMark/>
          </w:tcPr>
          <w:p w:rsidR="0054499C" w:rsidRPr="002B6800" w:rsidRDefault="0054499C" w:rsidP="0054499C">
            <w:pPr>
              <w:jc w:val="center"/>
              <w:rPr>
                <w:rFonts w:ascii="Calibri" w:eastAsia="Calibri" w:hAnsi="Calibri"/>
                <w:b/>
                <w:sz w:val="20"/>
                <w:szCs w:val="20"/>
              </w:rPr>
            </w:pPr>
            <w:r w:rsidRPr="002B6800">
              <w:rPr>
                <w:rFonts w:ascii="Calibri" w:eastAsia="Calibri" w:hAnsi="Calibri"/>
                <w:b/>
                <w:sz w:val="20"/>
                <w:szCs w:val="20"/>
              </w:rPr>
              <w:t>Administratívna kontrola</w:t>
            </w:r>
          </w:p>
        </w:tc>
        <w:tc>
          <w:tcPr>
            <w:tcW w:w="1999" w:type="dxa"/>
            <w:tcBorders>
              <w:top w:val="single" w:sz="4" w:space="0" w:color="auto"/>
              <w:left w:val="single" w:sz="4" w:space="0" w:color="auto"/>
              <w:bottom w:val="single" w:sz="4" w:space="0" w:color="auto"/>
              <w:right w:val="single" w:sz="4" w:space="0" w:color="auto"/>
            </w:tcBorders>
            <w:shd w:val="clear" w:color="auto" w:fill="EAF1DD" w:themeFill="accent3" w:themeFillTint="33"/>
            <w:vAlign w:val="center"/>
            <w:hideMark/>
          </w:tcPr>
          <w:p w:rsidR="0054499C" w:rsidRPr="002B6800" w:rsidRDefault="0054499C" w:rsidP="0054499C">
            <w:pPr>
              <w:jc w:val="center"/>
              <w:rPr>
                <w:rFonts w:ascii="Calibri" w:eastAsia="Calibri" w:hAnsi="Calibri"/>
                <w:b/>
                <w:sz w:val="20"/>
                <w:szCs w:val="20"/>
              </w:rPr>
            </w:pPr>
            <w:r w:rsidRPr="002B6800">
              <w:rPr>
                <w:rFonts w:ascii="Calibri" w:eastAsia="Calibri" w:hAnsi="Calibri"/>
                <w:b/>
                <w:sz w:val="20"/>
                <w:szCs w:val="20"/>
              </w:rPr>
              <w:t>Kontrola na mieste</w:t>
            </w:r>
          </w:p>
        </w:tc>
      </w:tr>
      <w:tr w:rsidR="0054499C" w:rsidRPr="002B6800" w:rsidTr="0054499C">
        <w:trPr>
          <w:trHeight w:val="475"/>
        </w:trPr>
        <w:tc>
          <w:tcPr>
            <w:tcW w:w="4644" w:type="dxa"/>
            <w:tcBorders>
              <w:top w:val="single" w:sz="4" w:space="0" w:color="auto"/>
              <w:left w:val="single" w:sz="4" w:space="0" w:color="auto"/>
              <w:bottom w:val="single" w:sz="4" w:space="0" w:color="auto"/>
              <w:right w:val="single" w:sz="4" w:space="0" w:color="auto"/>
            </w:tcBorders>
            <w:hideMark/>
          </w:tcPr>
          <w:p w:rsidR="0054499C" w:rsidRPr="002B6800" w:rsidRDefault="0054499C" w:rsidP="0054499C">
            <w:pPr>
              <w:rPr>
                <w:rFonts w:ascii="Calibri" w:eastAsia="Calibri" w:hAnsi="Calibri"/>
                <w:sz w:val="20"/>
                <w:szCs w:val="20"/>
              </w:rPr>
            </w:pPr>
            <w:r w:rsidRPr="002B6800">
              <w:rPr>
                <w:rFonts w:ascii="Calibri" w:eastAsia="Calibri" w:hAnsi="Calibri"/>
                <w:sz w:val="20"/>
                <w:szCs w:val="20"/>
              </w:rPr>
              <w:t xml:space="preserve">Vstúpiť do opatrenia minimálne s 1 ha lesného porastu v 5. stupni ochrany </w:t>
            </w:r>
          </w:p>
        </w:tc>
        <w:tc>
          <w:tcPr>
            <w:tcW w:w="2410" w:type="dxa"/>
            <w:tcBorders>
              <w:top w:val="single" w:sz="4" w:space="0" w:color="auto"/>
              <w:left w:val="single" w:sz="4" w:space="0" w:color="auto"/>
              <w:bottom w:val="single" w:sz="4" w:space="0" w:color="auto"/>
              <w:right w:val="single" w:sz="4" w:space="0" w:color="auto"/>
            </w:tcBorders>
            <w:vAlign w:val="center"/>
            <w:hideMark/>
          </w:tcPr>
          <w:p w:rsidR="0054499C" w:rsidRPr="002B6800" w:rsidRDefault="0054499C" w:rsidP="0054499C">
            <w:pPr>
              <w:jc w:val="center"/>
              <w:rPr>
                <w:rFonts w:ascii="Calibri" w:eastAsia="Calibri" w:hAnsi="Calibri"/>
                <w:sz w:val="20"/>
                <w:szCs w:val="20"/>
              </w:rPr>
            </w:pPr>
            <w:r w:rsidRPr="002B6800">
              <w:rPr>
                <w:rFonts w:ascii="Calibri" w:eastAsia="Calibri" w:hAnsi="Calibri"/>
                <w:sz w:val="20"/>
                <w:szCs w:val="20"/>
              </w:rPr>
              <w:t>GIS lesy</w:t>
            </w:r>
          </w:p>
        </w:tc>
        <w:tc>
          <w:tcPr>
            <w:tcW w:w="1999" w:type="dxa"/>
            <w:tcBorders>
              <w:top w:val="single" w:sz="4" w:space="0" w:color="auto"/>
              <w:left w:val="single" w:sz="4" w:space="0" w:color="auto"/>
              <w:bottom w:val="single" w:sz="4" w:space="0" w:color="auto"/>
              <w:right w:val="single" w:sz="4" w:space="0" w:color="auto"/>
            </w:tcBorders>
            <w:vAlign w:val="center"/>
          </w:tcPr>
          <w:p w:rsidR="0054499C" w:rsidRPr="002B6800" w:rsidRDefault="0054499C" w:rsidP="0054499C">
            <w:pPr>
              <w:jc w:val="center"/>
              <w:rPr>
                <w:rFonts w:ascii="Calibri" w:eastAsia="Calibri" w:hAnsi="Calibri"/>
                <w:sz w:val="20"/>
                <w:szCs w:val="20"/>
              </w:rPr>
            </w:pPr>
          </w:p>
        </w:tc>
      </w:tr>
      <w:tr w:rsidR="0054499C" w:rsidRPr="002B6800" w:rsidTr="0054499C">
        <w:trPr>
          <w:trHeight w:val="421"/>
        </w:trPr>
        <w:tc>
          <w:tcPr>
            <w:tcW w:w="4644" w:type="dxa"/>
            <w:tcBorders>
              <w:top w:val="single" w:sz="4" w:space="0" w:color="auto"/>
              <w:left w:val="single" w:sz="4" w:space="0" w:color="auto"/>
              <w:bottom w:val="single" w:sz="4" w:space="0" w:color="auto"/>
              <w:right w:val="single" w:sz="4" w:space="0" w:color="auto"/>
            </w:tcBorders>
            <w:hideMark/>
          </w:tcPr>
          <w:p w:rsidR="0054499C" w:rsidRPr="002B6800" w:rsidRDefault="0054499C" w:rsidP="0054499C">
            <w:pPr>
              <w:rPr>
                <w:rFonts w:ascii="Calibri" w:eastAsia="Calibri" w:hAnsi="Calibri"/>
                <w:b/>
                <w:sz w:val="20"/>
                <w:szCs w:val="20"/>
                <w:u w:val="single"/>
              </w:rPr>
            </w:pPr>
            <w:r w:rsidRPr="002B6800">
              <w:rPr>
                <w:rFonts w:ascii="Calibri" w:eastAsia="Calibri" w:hAnsi="Calibri"/>
                <w:sz w:val="20"/>
                <w:szCs w:val="20"/>
              </w:rPr>
              <w:t>Nezasahovať do lesného porastu a nepoškodiť vegetačný a pôdny kryt.</w:t>
            </w:r>
          </w:p>
        </w:tc>
        <w:tc>
          <w:tcPr>
            <w:tcW w:w="2410" w:type="dxa"/>
            <w:tcBorders>
              <w:top w:val="single" w:sz="4" w:space="0" w:color="auto"/>
              <w:left w:val="single" w:sz="4" w:space="0" w:color="auto"/>
              <w:bottom w:val="single" w:sz="4" w:space="0" w:color="auto"/>
              <w:right w:val="single" w:sz="4" w:space="0" w:color="auto"/>
            </w:tcBorders>
            <w:vAlign w:val="center"/>
            <w:hideMark/>
          </w:tcPr>
          <w:p w:rsidR="0054499C" w:rsidRPr="002B6800" w:rsidRDefault="0054499C" w:rsidP="0054499C">
            <w:pPr>
              <w:jc w:val="center"/>
              <w:rPr>
                <w:rFonts w:ascii="Calibri" w:eastAsia="Calibri" w:hAnsi="Calibri"/>
                <w:sz w:val="20"/>
                <w:szCs w:val="20"/>
              </w:rPr>
            </w:pPr>
            <w:r w:rsidRPr="002B6800">
              <w:rPr>
                <w:rFonts w:ascii="Calibri" w:eastAsia="Calibri" w:hAnsi="Calibri"/>
                <w:sz w:val="20"/>
                <w:szCs w:val="20"/>
              </w:rPr>
              <w:t>GIS letecké snímky</w:t>
            </w:r>
          </w:p>
        </w:tc>
        <w:tc>
          <w:tcPr>
            <w:tcW w:w="1999" w:type="dxa"/>
            <w:tcBorders>
              <w:top w:val="single" w:sz="4" w:space="0" w:color="auto"/>
              <w:left w:val="single" w:sz="4" w:space="0" w:color="auto"/>
              <w:bottom w:val="single" w:sz="4" w:space="0" w:color="auto"/>
              <w:right w:val="single" w:sz="4" w:space="0" w:color="auto"/>
            </w:tcBorders>
            <w:vAlign w:val="center"/>
            <w:hideMark/>
          </w:tcPr>
          <w:p w:rsidR="0054499C" w:rsidRPr="002B6800" w:rsidRDefault="0054499C" w:rsidP="0054499C">
            <w:pPr>
              <w:jc w:val="center"/>
              <w:rPr>
                <w:rFonts w:ascii="Calibri" w:eastAsia="Calibri" w:hAnsi="Calibri"/>
                <w:sz w:val="20"/>
                <w:szCs w:val="20"/>
              </w:rPr>
            </w:pPr>
            <w:r w:rsidRPr="002B6800">
              <w:rPr>
                <w:rFonts w:ascii="Calibri" w:eastAsia="Calibri" w:hAnsi="Calibri"/>
                <w:sz w:val="20"/>
                <w:szCs w:val="20"/>
              </w:rPr>
              <w:t>x</w:t>
            </w:r>
          </w:p>
        </w:tc>
      </w:tr>
    </w:tbl>
    <w:p w:rsidR="0054499C" w:rsidRPr="002B6800" w:rsidRDefault="0054499C" w:rsidP="0054499C">
      <w:pPr>
        <w:rPr>
          <w:rFonts w:ascii="Calibri" w:hAnsi="Calibri"/>
          <w:iCs/>
        </w:rPr>
      </w:pPr>
    </w:p>
    <w:p w:rsidR="0054499C" w:rsidRPr="002B6800" w:rsidRDefault="0054499C" w:rsidP="0054499C">
      <w:pPr>
        <w:rPr>
          <w:rFonts w:ascii="Calibri" w:hAnsi="Calibri"/>
          <w:b/>
        </w:rPr>
      </w:pPr>
      <w:r w:rsidRPr="002B6800">
        <w:rPr>
          <w:rFonts w:ascii="Calibri" w:hAnsi="Calibri"/>
          <w:b/>
        </w:rPr>
        <w:t>8.2.11.5. Metodika výpočtu výšky podpory</w:t>
      </w:r>
    </w:p>
    <w:p w:rsidR="0054499C" w:rsidRPr="002B6800" w:rsidRDefault="0054499C" w:rsidP="0054499C">
      <w:pPr>
        <w:keepNext/>
        <w:outlineLvl w:val="3"/>
        <w:rPr>
          <w:rFonts w:ascii="Calibri" w:hAnsi="Calibri"/>
          <w:iCs/>
          <w:u w:val="single"/>
        </w:rPr>
      </w:pPr>
      <w:r w:rsidRPr="002B6800">
        <w:rPr>
          <w:rFonts w:ascii="Calibri" w:hAnsi="Calibri"/>
          <w:iCs/>
          <w:u w:val="single"/>
        </w:rPr>
        <w:t>ÚEV - poľnohospodárske pôdy</w:t>
      </w:r>
    </w:p>
    <w:p w:rsidR="0054499C" w:rsidRPr="002B6800" w:rsidRDefault="0054499C" w:rsidP="0054499C">
      <w:pPr>
        <w:keepNext/>
        <w:spacing w:after="120"/>
        <w:outlineLvl w:val="3"/>
        <w:rPr>
          <w:rFonts w:ascii="Calibri" w:hAnsi="Calibri"/>
          <w:iCs/>
        </w:rPr>
      </w:pPr>
      <w:r w:rsidRPr="002B6800">
        <w:rPr>
          <w:rFonts w:ascii="Calibri" w:hAnsi="Calibri"/>
          <w:iCs/>
        </w:rPr>
        <w:t xml:space="preserve">Kompenzačné platby vyplývajúce z obmedzení boli kalkulované z ušlých príjmov na strate produkcii pri zákaze aplikovania chemických látok a dodatkových hnojív a dodatočných nákladoch za pasenie so sťaženými podmienkami. Výška platby bola stanovená v porovnaní s oblasťami, ktoré takéto obmedzenia nemajú, pričom </w:t>
      </w:r>
    </w:p>
    <w:p w:rsidR="0054499C" w:rsidRPr="002B6800" w:rsidRDefault="0054499C" w:rsidP="0054499C">
      <w:pPr>
        <w:keepNext/>
        <w:outlineLvl w:val="3"/>
        <w:rPr>
          <w:rFonts w:ascii="Calibri" w:hAnsi="Calibri"/>
          <w:iCs/>
        </w:rPr>
      </w:pPr>
      <w:r w:rsidRPr="002B6800">
        <w:rPr>
          <w:rFonts w:ascii="Calibri" w:hAnsi="Calibri"/>
          <w:iCs/>
        </w:rPr>
        <w:t>Výšku platieb stanovila nezávislá inštitúcia:</w:t>
      </w:r>
    </w:p>
    <w:p w:rsidR="0054499C" w:rsidRPr="002B6800" w:rsidRDefault="0054499C" w:rsidP="0054499C">
      <w:pPr>
        <w:keepNext/>
        <w:outlineLvl w:val="3"/>
        <w:rPr>
          <w:rFonts w:ascii="Calibri" w:hAnsi="Calibri"/>
          <w:b/>
          <w:iCs/>
        </w:rPr>
      </w:pPr>
      <w:r w:rsidRPr="002B6800">
        <w:rPr>
          <w:rFonts w:ascii="Calibri" w:hAnsi="Calibri" w:cs="Calibri"/>
          <w:b/>
          <w:bCs/>
        </w:rPr>
        <w:t>Národné poľnohospodárske a potravinárske centrum – Výskumný ústav pôdoznalectva a ochrany pôdy Bratislava.</w:t>
      </w:r>
    </w:p>
    <w:p w:rsidR="0054499C" w:rsidRPr="002B6800" w:rsidRDefault="0054499C" w:rsidP="0054499C">
      <w:pPr>
        <w:keepNext/>
        <w:outlineLvl w:val="3"/>
        <w:rPr>
          <w:rFonts w:ascii="Calibri" w:hAnsi="Calibri"/>
          <w:iCs/>
        </w:rPr>
      </w:pPr>
    </w:p>
    <w:p w:rsidR="0054499C" w:rsidRPr="002B6800" w:rsidRDefault="0054499C" w:rsidP="0054499C">
      <w:pPr>
        <w:keepNext/>
        <w:outlineLvl w:val="3"/>
        <w:rPr>
          <w:rFonts w:ascii="Calibri" w:hAnsi="Calibri"/>
          <w:iCs/>
          <w:u w:val="single"/>
        </w:rPr>
      </w:pPr>
      <w:r w:rsidRPr="002B6800">
        <w:rPr>
          <w:rFonts w:ascii="Calibri" w:hAnsi="Calibri"/>
          <w:iCs/>
          <w:u w:val="single"/>
        </w:rPr>
        <w:t>ÚEV - lesné pozemky</w:t>
      </w:r>
    </w:p>
    <w:p w:rsidR="0054499C" w:rsidRPr="002B6800" w:rsidRDefault="0054499C" w:rsidP="0054499C">
      <w:pPr>
        <w:keepNext/>
        <w:spacing w:after="120"/>
        <w:outlineLvl w:val="3"/>
        <w:rPr>
          <w:rFonts w:ascii="Calibri" w:hAnsi="Calibri"/>
          <w:iCs/>
        </w:rPr>
      </w:pPr>
      <w:r w:rsidRPr="002B6800">
        <w:rPr>
          <w:rFonts w:ascii="Calibri" w:hAnsi="Calibri"/>
          <w:iCs/>
        </w:rPr>
        <w:t xml:space="preserve">Pre stanovenie výšky platby bol použitý spôsob porovnania medzi obhospodarovaním lesných pozemkov, ktorým sa nestanovujú žiadne zákazy a obhospodarovaním v 5. stupni ochrany, v ktorom je úplný zákaz zásahov do lesných porastov – bez zásahový režim. </w:t>
      </w:r>
    </w:p>
    <w:p w:rsidR="0054499C" w:rsidRPr="002B6800" w:rsidRDefault="0054499C" w:rsidP="0054499C">
      <w:pPr>
        <w:keepNext/>
        <w:spacing w:after="120"/>
        <w:outlineLvl w:val="3"/>
        <w:rPr>
          <w:rFonts w:ascii="Calibri" w:hAnsi="Calibri"/>
          <w:iCs/>
        </w:rPr>
      </w:pPr>
      <w:r w:rsidRPr="002B6800">
        <w:rPr>
          <w:rFonts w:ascii="Calibri" w:hAnsi="Calibri"/>
          <w:iCs/>
        </w:rPr>
        <w:t>Výška platby je stanovená na základe skutočných hospodárskych výsledkov vybraných subjektov,  výpočet platby tvorí rozdiel z ušlých príjmov z predaja dreva, ostatnej produkcie a ušetrených nákladoch v pestovnej, ťažbovej a ostatnej činnosti.</w:t>
      </w:r>
    </w:p>
    <w:p w:rsidR="0054499C" w:rsidRPr="002B6800" w:rsidRDefault="0054499C" w:rsidP="0054499C">
      <w:pPr>
        <w:keepNext/>
        <w:outlineLvl w:val="3"/>
        <w:rPr>
          <w:rFonts w:ascii="Calibri" w:hAnsi="Calibri"/>
          <w:iCs/>
        </w:rPr>
      </w:pPr>
      <w:r w:rsidRPr="002B6800">
        <w:rPr>
          <w:rFonts w:ascii="Calibri" w:hAnsi="Calibri"/>
          <w:iCs/>
        </w:rPr>
        <w:t xml:space="preserve">Výšku platieb stanovila nezávislá inštitúcia: </w:t>
      </w:r>
      <w:r w:rsidRPr="002B6800">
        <w:rPr>
          <w:rFonts w:ascii="Calibri" w:hAnsi="Calibri"/>
          <w:b/>
        </w:rPr>
        <w:t>Národné lesnícke centrum Zvolen</w:t>
      </w:r>
      <w:r w:rsidRPr="002B6800">
        <w:rPr>
          <w:rFonts w:ascii="Calibri" w:hAnsi="Calibri"/>
          <w:iCs/>
        </w:rPr>
        <w:t>.</w:t>
      </w:r>
    </w:p>
    <w:p w:rsidR="0054499C" w:rsidRDefault="0054499C" w:rsidP="0054499C"/>
    <w:p w:rsidR="008676F9" w:rsidRPr="008676F9" w:rsidRDefault="008676F9" w:rsidP="008676F9">
      <w:pPr>
        <w:rPr>
          <w:rFonts w:ascii="Calibri" w:eastAsia="Calibri" w:hAnsi="Calibri"/>
          <w:szCs w:val="22"/>
          <w:lang w:eastAsia="en-US"/>
        </w:rPr>
      </w:pPr>
      <w:r w:rsidRPr="008676F9">
        <w:rPr>
          <w:rFonts w:ascii="Calibri" w:eastAsia="Calibri" w:hAnsi="Calibri"/>
          <w:szCs w:val="22"/>
          <w:lang w:eastAsia="en-US"/>
        </w:rPr>
        <w:br w:type="page"/>
      </w:r>
    </w:p>
    <w:p w:rsidR="00197171" w:rsidRDefault="0054499C" w:rsidP="00197171">
      <w:pPr>
        <w:pStyle w:val="Opatrenie"/>
        <w:numPr>
          <w:ilvl w:val="2"/>
          <w:numId w:val="130"/>
        </w:numPr>
      </w:pPr>
      <w:bookmarkStart w:id="99" w:name="_Toc387041334"/>
      <w:r w:rsidRPr="00852E57">
        <w:t>OPATRENIE 13 platby pre oblasti s prírodnými alebo inými</w:t>
      </w:r>
      <w:bookmarkEnd w:id="99"/>
      <w:r w:rsidRPr="00852E57">
        <w:t xml:space="preserve"> </w:t>
      </w:r>
      <w:r w:rsidR="00197171">
        <w:t xml:space="preserve">  </w:t>
      </w:r>
    </w:p>
    <w:p w:rsidR="0054499C" w:rsidRPr="00852E57" w:rsidRDefault="00197171" w:rsidP="00197171">
      <w:pPr>
        <w:pStyle w:val="Opatrenie"/>
        <w:ind w:left="1170" w:firstLine="0"/>
      </w:pPr>
      <w:r>
        <w:t xml:space="preserve">                        </w:t>
      </w:r>
      <w:bookmarkStart w:id="100" w:name="_Toc387041335"/>
      <w:r w:rsidR="0054499C" w:rsidRPr="00852E57">
        <w:t>OSOBITNými obmedzeniami</w:t>
      </w:r>
      <w:bookmarkEnd w:id="100"/>
    </w:p>
    <w:p w:rsidR="0054499C" w:rsidRPr="00852E57" w:rsidRDefault="0054499C" w:rsidP="0054499C">
      <w:pPr>
        <w:rPr>
          <w:rFonts w:ascii="Calibri" w:eastAsia="Calibri" w:hAnsi="Calibri"/>
          <w:b/>
          <w:bCs/>
        </w:rPr>
      </w:pPr>
    </w:p>
    <w:p w:rsidR="0054499C" w:rsidRPr="00852E57" w:rsidRDefault="0054499C" w:rsidP="0054499C">
      <w:pPr>
        <w:rPr>
          <w:rFonts w:ascii="Calibri" w:eastAsia="Calibri" w:hAnsi="Calibri" w:cs="Calibri"/>
          <w:b/>
          <w:bCs/>
        </w:rPr>
      </w:pPr>
      <w:r w:rsidRPr="00852E57">
        <w:rPr>
          <w:rFonts w:ascii="Calibri" w:eastAsia="Calibri" w:hAnsi="Calibri" w:cs="Calibri"/>
          <w:b/>
          <w:bCs/>
        </w:rPr>
        <w:t>8.2.12.1. Právny základ</w:t>
      </w:r>
    </w:p>
    <w:p w:rsidR="0054499C" w:rsidRPr="00852E57" w:rsidRDefault="0054499C" w:rsidP="00CE203B">
      <w:pPr>
        <w:numPr>
          <w:ilvl w:val="0"/>
          <w:numId w:val="306"/>
        </w:numPr>
        <w:rPr>
          <w:rFonts w:ascii="Calibri" w:hAnsi="Calibri" w:cs="Calibri"/>
        </w:rPr>
      </w:pPr>
      <w:r w:rsidRPr="00852E57">
        <w:rPr>
          <w:rFonts w:ascii="Calibri" w:hAnsi="Calibri" w:cs="Calibri"/>
          <w:szCs w:val="20"/>
        </w:rPr>
        <w:t xml:space="preserve">Článok 31 a 32 nariadenia </w:t>
      </w:r>
      <w:r w:rsidRPr="00852E57">
        <w:rPr>
          <w:rFonts w:ascii="Calibri" w:hAnsi="Calibri" w:cs="Calibri"/>
        </w:rPr>
        <w:t>(EÚ) č. 1305/2013 o podpore rozvoja vidieka z EPFRV;</w:t>
      </w:r>
    </w:p>
    <w:p w:rsidR="0054499C" w:rsidRPr="00852E57" w:rsidRDefault="0054499C" w:rsidP="00CE203B">
      <w:pPr>
        <w:numPr>
          <w:ilvl w:val="0"/>
          <w:numId w:val="306"/>
        </w:numPr>
        <w:rPr>
          <w:rFonts w:ascii="Calibri" w:hAnsi="Calibri" w:cs="Calibri"/>
          <w:szCs w:val="20"/>
        </w:rPr>
      </w:pPr>
      <w:r w:rsidRPr="00852E57">
        <w:rPr>
          <w:rFonts w:ascii="Calibri" w:hAnsi="Calibri"/>
          <w:szCs w:val="20"/>
        </w:rPr>
        <w:t>Článok 1, 2 a 3 nariadenia (EÚ) č. 1310/2013 ktorým sa stanovujú niektoré prechodné ustanovenia o podpore rozvoja vidieka z EPFRV.</w:t>
      </w:r>
    </w:p>
    <w:p w:rsidR="0054499C" w:rsidRPr="00852E57" w:rsidRDefault="0054499C" w:rsidP="0054499C">
      <w:pPr>
        <w:rPr>
          <w:rFonts w:ascii="Calibri" w:hAnsi="Calibri" w:cs="Calibri"/>
          <w:szCs w:val="20"/>
        </w:rPr>
      </w:pPr>
    </w:p>
    <w:p w:rsidR="0054499C" w:rsidRPr="00852E57" w:rsidRDefault="0054499C" w:rsidP="0054499C">
      <w:pPr>
        <w:rPr>
          <w:rFonts w:ascii="Calibri" w:hAnsi="Calibri" w:cs="Calibri"/>
          <w:b/>
          <w:bCs/>
          <w:szCs w:val="20"/>
        </w:rPr>
      </w:pPr>
      <w:r w:rsidRPr="00852E57">
        <w:rPr>
          <w:rFonts w:ascii="Calibri" w:hAnsi="Calibri" w:cs="Calibri"/>
          <w:b/>
          <w:bCs/>
          <w:szCs w:val="20"/>
        </w:rPr>
        <w:t xml:space="preserve">8.2.12.2.  Všeobecný opis opatrenia vrátane intervenčnej logiky a príspevku k fókusovým oblastiam </w:t>
      </w:r>
    </w:p>
    <w:p w:rsidR="0054499C" w:rsidRPr="00852E57" w:rsidRDefault="0054499C" w:rsidP="0054499C">
      <w:pPr>
        <w:ind w:firstLine="708"/>
        <w:rPr>
          <w:rFonts w:ascii="Calibri" w:hAnsi="Calibri" w:cs="Calibri"/>
          <w:b/>
          <w:bCs/>
          <w:szCs w:val="20"/>
        </w:rPr>
      </w:pPr>
      <w:r w:rsidRPr="00852E57">
        <w:rPr>
          <w:rFonts w:ascii="Calibri" w:hAnsi="Calibri" w:cs="Calibri"/>
          <w:b/>
          <w:bCs/>
          <w:szCs w:val="20"/>
        </w:rPr>
        <w:t xml:space="preserve">    a prierezovým cieľom</w:t>
      </w:r>
    </w:p>
    <w:p w:rsidR="0054499C" w:rsidRPr="00852E57" w:rsidRDefault="0054499C" w:rsidP="0054499C">
      <w:pPr>
        <w:spacing w:after="120"/>
        <w:ind w:right="68"/>
        <w:rPr>
          <w:rFonts w:ascii="Calibri" w:eastAsia="Calibri" w:hAnsi="Calibri" w:cs="Arial"/>
        </w:rPr>
      </w:pPr>
      <w:r w:rsidRPr="00852E57">
        <w:rPr>
          <w:rFonts w:ascii="Calibri" w:eastAsia="Calibri" w:hAnsi="Calibri" w:cs="Arial"/>
        </w:rPr>
        <w:t>Pokračujúca poľnohospodárska činnosť v horších prírodných podmienkach je základným predpokladom udržania osídlenia týchto oblastí v takom rozsahu, aby plnila svoje krajinotvorné, environmentálne a sociálne funkcie pri dodržiavaní stanovených podmienok. Slovensko je prevažne hornatá krajina s vysokým podielom málo produkčných pôd a zastúpením pôd, ktoré majú špecifické znevýhodnenia.</w:t>
      </w:r>
    </w:p>
    <w:p w:rsidR="0054499C" w:rsidRPr="00852E57" w:rsidRDefault="0054499C" w:rsidP="0054499C">
      <w:pPr>
        <w:spacing w:after="120"/>
        <w:ind w:right="68"/>
        <w:rPr>
          <w:rFonts w:ascii="Calibri" w:eastAsia="Calibri" w:hAnsi="Calibri" w:cs="Arial"/>
        </w:rPr>
      </w:pPr>
      <w:r w:rsidRPr="00852E57">
        <w:rPr>
          <w:rFonts w:ascii="Calibri" w:eastAsia="Calibri" w:hAnsi="Calibri" w:cs="Arial"/>
        </w:rPr>
        <w:t>Vzhľad kultúrnej krajiny v znevýhodnených oblastiach je stále silne závislý na poľnohospodárstve. Zachovanie poľnohospodárstva má zásadný význam pre ochranu životného prostredia a krajiny. Dostupnosť prírodných zdrojov je základným predpokladom pre plnenie viacerých funkcií v znevýhodnených oblastiach. Na jednej strane tvorí životný a hospodársky priestor pre miestnych obyvateľov rovnako ako rekreačné a oddychové miesta pre populáciu mimo týchto oblastí. Jeho význam siaha od príslušnej výroby potravín, cez udržanie osídlenia, realizáciu krajinotvorných a environmentálnych funkcií zachovania a ochrany biodiverzity, tradičných lúk a pasienkov až po vytváranie zázemia pre cestovný ruch.</w:t>
      </w:r>
    </w:p>
    <w:p w:rsidR="0054499C" w:rsidRPr="00852E57" w:rsidRDefault="0054499C" w:rsidP="0054499C">
      <w:pPr>
        <w:spacing w:after="120"/>
        <w:ind w:right="68"/>
        <w:rPr>
          <w:rFonts w:ascii="Calibri" w:eastAsia="Calibri" w:hAnsi="Calibri" w:cs="Arial"/>
        </w:rPr>
      </w:pPr>
      <w:r w:rsidRPr="00852E57">
        <w:rPr>
          <w:rFonts w:ascii="Calibri" w:eastAsia="Calibri" w:hAnsi="Calibri" w:cs="Arial"/>
        </w:rPr>
        <w:t>Nepriaznivé prírodné podmienky ako nadmorská výška a svahovitosť, kratšie vegetačné obdobie, vysoký podiel málo produkčných pôd a pôd s rôznymi obmedzeniami, oblastí so špecifickými znevýhodneniami majú za následok nižšiu ziskovosť a zvýšené výrobné náklady v porovnaní s oblasťami, ktoré takéto znevýhodnenia nemajú. Udržania poľnohospodárstva v týchto oblastiach bez verejnej podpory by pre väčšinu podnikov v súčasných ekonomických podmienkach znamenala zánik, ktorý by viedol k reťazovej reakcii negatívnych dopadov na vzhľad krajiny, biodiverzitu až po cestovný ruch. Osobitná podpora poľnohospodárstva v znevýhodnených oblastiach má preto svoje opodstatnenie a na Slovensku je dlhodobo realizovaná.</w:t>
      </w:r>
    </w:p>
    <w:p w:rsidR="0054499C" w:rsidRPr="00852E57" w:rsidRDefault="0054499C" w:rsidP="0054499C">
      <w:pPr>
        <w:ind w:right="70"/>
        <w:rPr>
          <w:rFonts w:ascii="Calibri" w:eastAsia="Calibri" w:hAnsi="Calibri" w:cs="Arial"/>
        </w:rPr>
      </w:pPr>
      <w:r w:rsidRPr="00852E57">
        <w:rPr>
          <w:rFonts w:ascii="Calibri" w:eastAsia="Calibri" w:hAnsi="Calibri" w:cs="Arial"/>
        </w:rPr>
        <w:t xml:space="preserve">Cieľom vyrovnávacích príspevkov je vyrovnanie nákladov a ušlých príjmov poľnohospodárov v týchto oblastiach v porovnaní s oblasťami bez obmedzení. </w:t>
      </w:r>
    </w:p>
    <w:p w:rsidR="0054499C" w:rsidRPr="00852E57" w:rsidRDefault="0054499C" w:rsidP="0054499C">
      <w:pPr>
        <w:ind w:right="70"/>
        <w:rPr>
          <w:rFonts w:ascii="Calibri" w:eastAsia="Calibri" w:hAnsi="Calibri" w:cs="Arial"/>
        </w:rPr>
      </w:pPr>
    </w:p>
    <w:p w:rsidR="0054499C" w:rsidRPr="00852E57" w:rsidRDefault="0054499C" w:rsidP="0054499C">
      <w:pPr>
        <w:spacing w:after="120"/>
        <w:ind w:right="68"/>
        <w:rPr>
          <w:rFonts w:ascii="Calibri" w:eastAsia="Calibri" w:hAnsi="Calibri" w:cs="Arial"/>
        </w:rPr>
      </w:pPr>
      <w:r w:rsidRPr="00852E57">
        <w:rPr>
          <w:rFonts w:ascii="Calibri" w:eastAsia="Calibri" w:hAnsi="Calibri" w:cs="Arial"/>
        </w:rPr>
        <w:t>Výška vyrovnávacích príspevkov v roku 2014 pokračuje v intenciách roku 2013 (prechodné nariadenie).</w:t>
      </w:r>
    </w:p>
    <w:p w:rsidR="0054499C" w:rsidRPr="00852E57" w:rsidRDefault="0054499C" w:rsidP="0054499C">
      <w:pPr>
        <w:ind w:right="70"/>
        <w:rPr>
          <w:rFonts w:ascii="Calibri" w:eastAsia="Calibri" w:hAnsi="Calibri" w:cs="Arial"/>
        </w:rPr>
      </w:pPr>
      <w:r w:rsidRPr="00852E57">
        <w:rPr>
          <w:rFonts w:ascii="Calibri" w:eastAsia="Calibri" w:hAnsi="Calibri" w:cs="Arial"/>
        </w:rPr>
        <w:t>Výška vyrovnávacích príspevkov od roku 2015 je diferencovaná troma spôsobmi:</w:t>
      </w:r>
    </w:p>
    <w:p w:rsidR="0054499C" w:rsidRPr="00852E57" w:rsidRDefault="0054499C" w:rsidP="00CE203B">
      <w:pPr>
        <w:numPr>
          <w:ilvl w:val="0"/>
          <w:numId w:val="276"/>
        </w:numPr>
        <w:ind w:right="70"/>
        <w:rPr>
          <w:rFonts w:ascii="Calibri" w:eastAsia="Calibri" w:hAnsi="Calibri" w:cs="Arial"/>
          <w:b/>
        </w:rPr>
      </w:pPr>
      <w:r w:rsidRPr="00852E57">
        <w:rPr>
          <w:rFonts w:ascii="Calibri" w:eastAsia="Calibri" w:hAnsi="Calibri" w:cs="Arial"/>
          <w:b/>
        </w:rPr>
        <w:t>podľa kategórií znevýhodnenia (stav obmedzenia ovplyvňujúceho poľnohospodársku činnosť)</w:t>
      </w:r>
    </w:p>
    <w:p w:rsidR="0054499C" w:rsidRPr="00852E57" w:rsidRDefault="0054499C" w:rsidP="0054499C">
      <w:pPr>
        <w:rPr>
          <w:rFonts w:ascii="Calibri" w:hAnsi="Calibri"/>
          <w:szCs w:val="20"/>
        </w:rPr>
      </w:pPr>
      <w:r w:rsidRPr="00852E57">
        <w:rPr>
          <w:rFonts w:ascii="Calibri" w:hAnsi="Calibri" w:cs="Calibri"/>
          <w:szCs w:val="20"/>
        </w:rPr>
        <w:t>Vymedzenie oblastí s prírodnými alebo inými špecifickými obmedzeniami</w:t>
      </w:r>
      <w:r w:rsidRPr="00852E57">
        <w:rPr>
          <w:rFonts w:ascii="Calibri" w:hAnsi="Calibri"/>
          <w:szCs w:val="20"/>
        </w:rPr>
        <w:t xml:space="preserve"> pokračuje tak, ako boli znevýhodnené oblastí (LFA) stanovené v súlade s čl. 50 ods. 2, 3 a článkom 93 nariadenia Rady (ES) č. 1698/2005 s prihliadnutím na prírodné, ekonomické a demografické podmienky Slovenska. Základnou územnou jednotkou pre zaradenie poľnohospodárskej pôdy do horských a ostatných znevýhodnených oblastí bola obec (NUTS 5), do oblastí so špecifickými nevýhodami katastrálne územie. Rozdelenie do jednotlivých subkategórií bolo stanovené na základe výnosovosti pôd SR.</w:t>
      </w:r>
    </w:p>
    <w:p w:rsidR="0054499C" w:rsidRPr="00852E57" w:rsidRDefault="0054499C" w:rsidP="0054499C">
      <w:pPr>
        <w:rPr>
          <w:rFonts w:ascii="Calibri" w:hAnsi="Calibri"/>
          <w:b/>
          <w:szCs w:val="20"/>
        </w:rPr>
      </w:pPr>
    </w:p>
    <w:p w:rsidR="0054499C" w:rsidRPr="00852E57" w:rsidRDefault="0054499C" w:rsidP="0054499C">
      <w:pPr>
        <w:rPr>
          <w:rFonts w:ascii="Calibri" w:hAnsi="Calibri"/>
          <w:b/>
          <w:szCs w:val="20"/>
        </w:rPr>
      </w:pPr>
      <w:r w:rsidRPr="00852E57">
        <w:rPr>
          <w:rFonts w:ascii="Calibri" w:hAnsi="Calibri"/>
          <w:b/>
          <w:szCs w:val="20"/>
        </w:rPr>
        <w:t xml:space="preserve">Znevýhodnené oblasti </w:t>
      </w:r>
    </w:p>
    <w:p w:rsidR="0054499C" w:rsidRPr="00852E57" w:rsidRDefault="0054499C" w:rsidP="00CE203B">
      <w:pPr>
        <w:numPr>
          <w:ilvl w:val="0"/>
          <w:numId w:val="369"/>
        </w:numPr>
        <w:rPr>
          <w:rFonts w:ascii="Calibri" w:hAnsi="Calibri"/>
          <w:szCs w:val="20"/>
        </w:rPr>
      </w:pPr>
      <w:r w:rsidRPr="00852E57">
        <w:rPr>
          <w:rFonts w:ascii="Calibri" w:hAnsi="Calibri"/>
          <w:szCs w:val="20"/>
        </w:rPr>
        <w:t xml:space="preserve">horské oblasti (4 subkategórie) </w:t>
      </w:r>
    </w:p>
    <w:p w:rsidR="0054499C" w:rsidRPr="00852E57" w:rsidRDefault="0054499C" w:rsidP="00CE203B">
      <w:pPr>
        <w:numPr>
          <w:ilvl w:val="0"/>
          <w:numId w:val="369"/>
        </w:numPr>
        <w:rPr>
          <w:rFonts w:ascii="Calibri" w:hAnsi="Calibri"/>
          <w:szCs w:val="20"/>
        </w:rPr>
      </w:pPr>
      <w:r w:rsidRPr="00852E57">
        <w:rPr>
          <w:rFonts w:ascii="Calibri" w:hAnsi="Calibri"/>
          <w:szCs w:val="20"/>
        </w:rPr>
        <w:t xml:space="preserve">ostatné znevýhodnené oblasti (8 subkategórií) </w:t>
      </w:r>
    </w:p>
    <w:p w:rsidR="0054499C" w:rsidRPr="00852E57" w:rsidRDefault="0054499C" w:rsidP="00CE203B">
      <w:pPr>
        <w:numPr>
          <w:ilvl w:val="0"/>
          <w:numId w:val="369"/>
        </w:numPr>
        <w:rPr>
          <w:rFonts w:ascii="Calibri" w:hAnsi="Calibri"/>
          <w:szCs w:val="20"/>
        </w:rPr>
      </w:pPr>
      <w:r w:rsidRPr="00852E57">
        <w:rPr>
          <w:rFonts w:ascii="Calibri" w:hAnsi="Calibri"/>
          <w:szCs w:val="20"/>
        </w:rPr>
        <w:t xml:space="preserve">oblasti so špecifickými nevýhodami (6 subkategórií) </w:t>
      </w:r>
    </w:p>
    <w:p w:rsidR="0054499C" w:rsidRPr="00852E57" w:rsidRDefault="0054499C" w:rsidP="0054499C">
      <w:pPr>
        <w:ind w:left="360"/>
        <w:rPr>
          <w:rFonts w:ascii="Calibri" w:hAnsi="Calibri"/>
          <w:szCs w:val="20"/>
        </w:rPr>
      </w:pPr>
    </w:p>
    <w:tbl>
      <w:tblPr>
        <w:tblpPr w:leftFromText="141" w:rightFromText="141"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102"/>
        <w:gridCol w:w="1096"/>
        <w:gridCol w:w="2457"/>
        <w:gridCol w:w="1610"/>
      </w:tblGrid>
      <w:tr w:rsidR="0054499C" w:rsidRPr="00852E57" w:rsidTr="0054499C">
        <w:trPr>
          <w:trHeight w:hRule="exact" w:val="340"/>
        </w:trPr>
        <w:tc>
          <w:tcPr>
            <w:tcW w:w="0" w:type="auto"/>
            <w:tcBorders>
              <w:top w:val="single" w:sz="12" w:space="0" w:color="auto"/>
              <w:left w:val="single" w:sz="12" w:space="0" w:color="auto"/>
              <w:bottom w:val="single" w:sz="12" w:space="0" w:color="auto"/>
              <w:right w:val="single" w:sz="12" w:space="0" w:color="auto"/>
            </w:tcBorders>
            <w:hideMark/>
          </w:tcPr>
          <w:p w:rsidR="0054499C" w:rsidRPr="00852E57" w:rsidRDefault="0054499C" w:rsidP="0054499C">
            <w:pPr>
              <w:rPr>
                <w:rFonts w:ascii="Calibri" w:hAnsi="Calibri" w:cs="Calibri"/>
                <w:b/>
                <w:bCs/>
              </w:rPr>
            </w:pPr>
            <w:r w:rsidRPr="00852E57">
              <w:rPr>
                <w:rFonts w:ascii="Calibri" w:hAnsi="Calibri"/>
                <w:b/>
                <w:bCs/>
              </w:rPr>
              <w:t>Súhrnný prehľad LFA</w:t>
            </w:r>
          </w:p>
        </w:tc>
        <w:tc>
          <w:tcPr>
            <w:tcW w:w="0" w:type="auto"/>
            <w:tcBorders>
              <w:top w:val="single" w:sz="12" w:space="0" w:color="auto"/>
              <w:left w:val="single" w:sz="12" w:space="0" w:color="auto"/>
              <w:bottom w:val="single" w:sz="12" w:space="0" w:color="auto"/>
              <w:right w:val="single" w:sz="12" w:space="0" w:color="auto"/>
            </w:tcBorders>
            <w:hideMark/>
          </w:tcPr>
          <w:p w:rsidR="0054499C" w:rsidRPr="00852E57" w:rsidRDefault="0054499C" w:rsidP="0054499C">
            <w:pPr>
              <w:jc w:val="center"/>
              <w:rPr>
                <w:rFonts w:ascii="Calibri" w:hAnsi="Calibri" w:cs="Calibri"/>
                <w:b/>
                <w:bCs/>
              </w:rPr>
            </w:pPr>
            <w:r w:rsidRPr="00852E57">
              <w:rPr>
                <w:rFonts w:ascii="Calibri" w:hAnsi="Calibri" w:cs="Calibri"/>
                <w:b/>
                <w:bCs/>
              </w:rPr>
              <w:t>LFA SR</w:t>
            </w:r>
          </w:p>
        </w:tc>
        <w:tc>
          <w:tcPr>
            <w:tcW w:w="0" w:type="auto"/>
            <w:tcBorders>
              <w:top w:val="single" w:sz="12" w:space="0" w:color="auto"/>
              <w:left w:val="single" w:sz="12" w:space="0" w:color="auto"/>
              <w:bottom w:val="single" w:sz="12" w:space="0" w:color="auto"/>
              <w:right w:val="single" w:sz="12" w:space="0" w:color="auto"/>
            </w:tcBorders>
            <w:hideMark/>
          </w:tcPr>
          <w:p w:rsidR="0054499C" w:rsidRPr="00852E57" w:rsidRDefault="0054499C" w:rsidP="0054499C">
            <w:pPr>
              <w:jc w:val="center"/>
              <w:rPr>
                <w:rFonts w:ascii="Calibri" w:hAnsi="Calibri" w:cs="Calibri"/>
                <w:b/>
                <w:bCs/>
              </w:rPr>
            </w:pPr>
            <w:r w:rsidRPr="00852E57">
              <w:rPr>
                <w:rFonts w:ascii="Calibri" w:hAnsi="Calibri" w:cs="Calibri"/>
                <w:b/>
                <w:bCs/>
              </w:rPr>
              <w:t>Menej rozvinuté regióny</w:t>
            </w:r>
          </w:p>
        </w:tc>
        <w:tc>
          <w:tcPr>
            <w:tcW w:w="0" w:type="auto"/>
            <w:tcBorders>
              <w:top w:val="single" w:sz="12" w:space="0" w:color="auto"/>
              <w:left w:val="single" w:sz="12" w:space="0" w:color="auto"/>
              <w:bottom w:val="single" w:sz="12" w:space="0" w:color="auto"/>
              <w:right w:val="single" w:sz="12" w:space="0" w:color="auto"/>
            </w:tcBorders>
            <w:hideMark/>
          </w:tcPr>
          <w:p w:rsidR="0054499C" w:rsidRPr="00852E57" w:rsidRDefault="0054499C" w:rsidP="0054499C">
            <w:pPr>
              <w:jc w:val="center"/>
              <w:rPr>
                <w:rFonts w:ascii="Calibri" w:hAnsi="Calibri" w:cs="Calibri"/>
                <w:b/>
                <w:bCs/>
              </w:rPr>
            </w:pPr>
            <w:r w:rsidRPr="00852E57">
              <w:rPr>
                <w:rFonts w:ascii="Calibri" w:hAnsi="Calibri" w:cs="Calibri"/>
                <w:b/>
                <w:bCs/>
              </w:rPr>
              <w:t>Ostatné oblasti</w:t>
            </w:r>
          </w:p>
        </w:tc>
      </w:tr>
      <w:tr w:rsidR="0054499C" w:rsidRPr="00852E57" w:rsidTr="0054499C">
        <w:trPr>
          <w:trHeight w:hRule="exact" w:val="340"/>
        </w:trPr>
        <w:tc>
          <w:tcPr>
            <w:tcW w:w="0" w:type="auto"/>
            <w:tcBorders>
              <w:top w:val="single" w:sz="12" w:space="0" w:color="auto"/>
              <w:left w:val="single" w:sz="12" w:space="0" w:color="auto"/>
              <w:bottom w:val="single" w:sz="12" w:space="0" w:color="auto"/>
              <w:right w:val="single" w:sz="12" w:space="0" w:color="auto"/>
            </w:tcBorders>
            <w:vAlign w:val="center"/>
            <w:hideMark/>
          </w:tcPr>
          <w:p w:rsidR="0054499C" w:rsidRPr="00852E57" w:rsidRDefault="0054499C" w:rsidP="0054499C">
            <w:pPr>
              <w:rPr>
                <w:rFonts w:ascii="Calibri" w:hAnsi="Calibri" w:cs="Calibri"/>
                <w:bCs/>
              </w:rPr>
            </w:pPr>
            <w:r w:rsidRPr="00852E57">
              <w:rPr>
                <w:rFonts w:ascii="Calibri" w:hAnsi="Calibri" w:cs="Calibri"/>
                <w:bCs/>
              </w:rPr>
              <w:t>Kategória znevýhodnenia</w:t>
            </w:r>
          </w:p>
        </w:tc>
        <w:tc>
          <w:tcPr>
            <w:tcW w:w="0" w:type="auto"/>
            <w:tcBorders>
              <w:top w:val="single" w:sz="12" w:space="0" w:color="auto"/>
              <w:left w:val="single" w:sz="12" w:space="0" w:color="auto"/>
              <w:bottom w:val="single" w:sz="12" w:space="0" w:color="auto"/>
              <w:right w:val="single" w:sz="12" w:space="0" w:color="auto"/>
            </w:tcBorders>
            <w:vAlign w:val="center"/>
            <w:hideMark/>
          </w:tcPr>
          <w:p w:rsidR="0054499C" w:rsidRPr="00852E57" w:rsidRDefault="0054499C" w:rsidP="0054499C">
            <w:pPr>
              <w:jc w:val="center"/>
              <w:rPr>
                <w:rFonts w:ascii="Calibri" w:hAnsi="Calibri" w:cs="Calibri"/>
              </w:rPr>
            </w:pPr>
            <w:r w:rsidRPr="00852E57">
              <w:rPr>
                <w:rFonts w:ascii="Calibri" w:hAnsi="Calibri" w:cs="Calibri"/>
              </w:rPr>
              <w:t>ha</w:t>
            </w:r>
          </w:p>
        </w:tc>
        <w:tc>
          <w:tcPr>
            <w:tcW w:w="0" w:type="auto"/>
            <w:tcBorders>
              <w:top w:val="single" w:sz="12" w:space="0" w:color="auto"/>
              <w:left w:val="single" w:sz="12" w:space="0" w:color="auto"/>
              <w:bottom w:val="single" w:sz="12" w:space="0" w:color="auto"/>
              <w:right w:val="single" w:sz="12" w:space="0" w:color="auto"/>
            </w:tcBorders>
            <w:vAlign w:val="center"/>
            <w:hideMark/>
          </w:tcPr>
          <w:p w:rsidR="0054499C" w:rsidRPr="00852E57" w:rsidRDefault="0054499C" w:rsidP="0054499C">
            <w:pPr>
              <w:jc w:val="center"/>
              <w:rPr>
                <w:rFonts w:ascii="Calibri" w:hAnsi="Calibri" w:cs="Calibri"/>
              </w:rPr>
            </w:pPr>
            <w:r w:rsidRPr="00852E57">
              <w:rPr>
                <w:rFonts w:ascii="Calibri" w:hAnsi="Calibri" w:cs="Calibri"/>
              </w:rPr>
              <w:t>ha</w:t>
            </w:r>
          </w:p>
        </w:tc>
        <w:tc>
          <w:tcPr>
            <w:tcW w:w="0" w:type="auto"/>
            <w:tcBorders>
              <w:top w:val="single" w:sz="12" w:space="0" w:color="auto"/>
              <w:left w:val="single" w:sz="12" w:space="0" w:color="auto"/>
              <w:bottom w:val="single" w:sz="12" w:space="0" w:color="auto"/>
              <w:right w:val="single" w:sz="12" w:space="0" w:color="auto"/>
            </w:tcBorders>
            <w:vAlign w:val="center"/>
            <w:hideMark/>
          </w:tcPr>
          <w:p w:rsidR="0054499C" w:rsidRPr="00852E57" w:rsidRDefault="0054499C" w:rsidP="0054499C">
            <w:pPr>
              <w:jc w:val="center"/>
              <w:rPr>
                <w:rFonts w:ascii="Calibri" w:hAnsi="Calibri" w:cs="Calibri"/>
              </w:rPr>
            </w:pPr>
            <w:r w:rsidRPr="00852E57">
              <w:rPr>
                <w:rFonts w:ascii="Calibri" w:hAnsi="Calibri" w:cs="Calibri"/>
              </w:rPr>
              <w:t>ha</w:t>
            </w:r>
          </w:p>
        </w:tc>
      </w:tr>
      <w:tr w:rsidR="0054499C" w:rsidRPr="00852E57" w:rsidTr="0054499C">
        <w:trPr>
          <w:trHeight w:hRule="exact" w:val="340"/>
        </w:trPr>
        <w:tc>
          <w:tcPr>
            <w:tcW w:w="0" w:type="auto"/>
            <w:tcBorders>
              <w:top w:val="single" w:sz="12" w:space="0" w:color="auto"/>
              <w:left w:val="single" w:sz="12" w:space="0" w:color="auto"/>
              <w:bottom w:val="single" w:sz="12" w:space="0" w:color="auto"/>
              <w:right w:val="single" w:sz="12" w:space="0" w:color="auto"/>
            </w:tcBorders>
            <w:hideMark/>
          </w:tcPr>
          <w:p w:rsidR="0054499C" w:rsidRPr="00852E57" w:rsidRDefault="0054499C" w:rsidP="0054499C">
            <w:pPr>
              <w:rPr>
                <w:rFonts w:ascii="Calibri" w:hAnsi="Calibri" w:cs="Calibri"/>
                <w:bCs/>
              </w:rPr>
            </w:pPr>
            <w:r w:rsidRPr="00852E57">
              <w:rPr>
                <w:rFonts w:ascii="Calibri" w:hAnsi="Calibri" w:cs="Calibri"/>
                <w:bCs/>
              </w:rPr>
              <w:t>Horské oblasti</w:t>
            </w:r>
          </w:p>
        </w:tc>
        <w:tc>
          <w:tcPr>
            <w:tcW w:w="0" w:type="auto"/>
            <w:tcBorders>
              <w:top w:val="single" w:sz="12" w:space="0" w:color="auto"/>
              <w:left w:val="single" w:sz="12" w:space="0" w:color="auto"/>
              <w:bottom w:val="single" w:sz="12" w:space="0" w:color="auto"/>
              <w:right w:val="single" w:sz="12" w:space="0" w:color="auto"/>
            </w:tcBorders>
            <w:hideMark/>
          </w:tcPr>
          <w:p w:rsidR="0054499C" w:rsidRPr="00852E57" w:rsidRDefault="0054499C" w:rsidP="0054499C">
            <w:pPr>
              <w:jc w:val="center"/>
              <w:rPr>
                <w:rFonts w:ascii="Calibri" w:hAnsi="Calibri" w:cs="Calibri"/>
                <w:bCs/>
              </w:rPr>
            </w:pPr>
            <w:r w:rsidRPr="00852E57">
              <w:rPr>
                <w:rFonts w:ascii="Calibri" w:hAnsi="Calibri" w:cs="Calibri"/>
                <w:bCs/>
              </w:rPr>
              <w:t>486 594</w:t>
            </w:r>
          </w:p>
        </w:tc>
        <w:tc>
          <w:tcPr>
            <w:tcW w:w="0" w:type="auto"/>
            <w:tcBorders>
              <w:top w:val="single" w:sz="12" w:space="0" w:color="auto"/>
              <w:left w:val="single" w:sz="12" w:space="0" w:color="auto"/>
              <w:bottom w:val="single" w:sz="12" w:space="0" w:color="auto"/>
              <w:right w:val="single" w:sz="12" w:space="0" w:color="auto"/>
            </w:tcBorders>
            <w:hideMark/>
          </w:tcPr>
          <w:p w:rsidR="0054499C" w:rsidRPr="00852E57" w:rsidRDefault="0054499C" w:rsidP="0054499C">
            <w:pPr>
              <w:jc w:val="center"/>
              <w:rPr>
                <w:rFonts w:ascii="Calibri" w:hAnsi="Calibri" w:cs="Calibri"/>
                <w:bCs/>
              </w:rPr>
            </w:pPr>
            <w:r w:rsidRPr="00852E57">
              <w:rPr>
                <w:rFonts w:ascii="Calibri" w:hAnsi="Calibri" w:cs="Calibri"/>
                <w:bCs/>
              </w:rPr>
              <w:t>486 894</w:t>
            </w:r>
          </w:p>
        </w:tc>
        <w:tc>
          <w:tcPr>
            <w:tcW w:w="0" w:type="auto"/>
            <w:tcBorders>
              <w:top w:val="single" w:sz="12" w:space="0" w:color="auto"/>
              <w:left w:val="single" w:sz="12" w:space="0" w:color="auto"/>
              <w:bottom w:val="single" w:sz="12" w:space="0" w:color="auto"/>
              <w:right w:val="single" w:sz="12" w:space="0" w:color="auto"/>
            </w:tcBorders>
            <w:hideMark/>
          </w:tcPr>
          <w:p w:rsidR="0054499C" w:rsidRPr="00852E57" w:rsidRDefault="0054499C" w:rsidP="0054499C">
            <w:pPr>
              <w:jc w:val="center"/>
              <w:rPr>
                <w:rFonts w:ascii="Calibri" w:hAnsi="Calibri" w:cs="Calibri"/>
                <w:bCs/>
              </w:rPr>
            </w:pPr>
            <w:r w:rsidRPr="00852E57">
              <w:rPr>
                <w:rFonts w:ascii="Calibri" w:hAnsi="Calibri" w:cs="Calibri"/>
                <w:bCs/>
              </w:rPr>
              <w:t>0</w:t>
            </w:r>
          </w:p>
        </w:tc>
      </w:tr>
      <w:tr w:rsidR="0054499C" w:rsidRPr="00852E57" w:rsidTr="0054499C">
        <w:trPr>
          <w:trHeight w:hRule="exact" w:val="340"/>
        </w:trPr>
        <w:tc>
          <w:tcPr>
            <w:tcW w:w="0" w:type="auto"/>
            <w:tcBorders>
              <w:top w:val="single" w:sz="12" w:space="0" w:color="auto"/>
              <w:left w:val="single" w:sz="12" w:space="0" w:color="auto"/>
              <w:bottom w:val="single" w:sz="12" w:space="0" w:color="auto"/>
              <w:right w:val="single" w:sz="12" w:space="0" w:color="auto"/>
            </w:tcBorders>
            <w:hideMark/>
          </w:tcPr>
          <w:p w:rsidR="0054499C" w:rsidRPr="00852E57" w:rsidRDefault="0054499C" w:rsidP="0054499C">
            <w:pPr>
              <w:rPr>
                <w:rFonts w:ascii="Calibri" w:hAnsi="Calibri" w:cs="Calibri"/>
                <w:bCs/>
              </w:rPr>
            </w:pPr>
            <w:r w:rsidRPr="00852E57">
              <w:rPr>
                <w:rFonts w:ascii="Calibri" w:hAnsi="Calibri" w:cs="Calibri"/>
                <w:bCs/>
              </w:rPr>
              <w:t>Ostatné znevýhodnené oblasti</w:t>
            </w:r>
          </w:p>
        </w:tc>
        <w:tc>
          <w:tcPr>
            <w:tcW w:w="0" w:type="auto"/>
            <w:tcBorders>
              <w:top w:val="single" w:sz="12" w:space="0" w:color="auto"/>
              <w:left w:val="single" w:sz="12" w:space="0" w:color="auto"/>
              <w:bottom w:val="single" w:sz="12" w:space="0" w:color="auto"/>
              <w:right w:val="single" w:sz="12" w:space="0" w:color="auto"/>
            </w:tcBorders>
            <w:hideMark/>
          </w:tcPr>
          <w:p w:rsidR="0054499C" w:rsidRPr="00852E57" w:rsidRDefault="0054499C" w:rsidP="0054499C">
            <w:pPr>
              <w:jc w:val="center"/>
              <w:rPr>
                <w:rFonts w:ascii="Calibri" w:hAnsi="Calibri" w:cs="Calibri"/>
                <w:bCs/>
              </w:rPr>
            </w:pPr>
            <w:r w:rsidRPr="00852E57">
              <w:rPr>
                <w:rFonts w:ascii="Calibri" w:hAnsi="Calibri" w:cs="Calibri"/>
                <w:bCs/>
              </w:rPr>
              <w:t>390 966</w:t>
            </w:r>
          </w:p>
        </w:tc>
        <w:tc>
          <w:tcPr>
            <w:tcW w:w="0" w:type="auto"/>
            <w:tcBorders>
              <w:top w:val="single" w:sz="12" w:space="0" w:color="auto"/>
              <w:left w:val="single" w:sz="12" w:space="0" w:color="auto"/>
              <w:bottom w:val="single" w:sz="12" w:space="0" w:color="auto"/>
              <w:right w:val="single" w:sz="12" w:space="0" w:color="auto"/>
            </w:tcBorders>
            <w:hideMark/>
          </w:tcPr>
          <w:p w:rsidR="0054499C" w:rsidRPr="00852E57" w:rsidRDefault="0054499C" w:rsidP="0054499C">
            <w:pPr>
              <w:jc w:val="center"/>
              <w:rPr>
                <w:rFonts w:ascii="Calibri" w:hAnsi="Calibri" w:cs="Calibri"/>
                <w:bCs/>
              </w:rPr>
            </w:pPr>
            <w:r w:rsidRPr="00852E57">
              <w:rPr>
                <w:rFonts w:ascii="Calibri" w:hAnsi="Calibri" w:cs="Calibri"/>
                <w:bCs/>
              </w:rPr>
              <w:t>363 992</w:t>
            </w:r>
          </w:p>
        </w:tc>
        <w:tc>
          <w:tcPr>
            <w:tcW w:w="0" w:type="auto"/>
            <w:tcBorders>
              <w:top w:val="single" w:sz="12" w:space="0" w:color="auto"/>
              <w:left w:val="single" w:sz="12" w:space="0" w:color="auto"/>
              <w:bottom w:val="single" w:sz="12" w:space="0" w:color="auto"/>
              <w:right w:val="single" w:sz="12" w:space="0" w:color="auto"/>
            </w:tcBorders>
            <w:hideMark/>
          </w:tcPr>
          <w:p w:rsidR="0054499C" w:rsidRPr="00852E57" w:rsidRDefault="0054499C" w:rsidP="0054499C">
            <w:pPr>
              <w:jc w:val="center"/>
              <w:rPr>
                <w:rFonts w:ascii="Calibri" w:hAnsi="Calibri" w:cs="Calibri"/>
                <w:bCs/>
              </w:rPr>
            </w:pPr>
            <w:r w:rsidRPr="00852E57">
              <w:rPr>
                <w:rFonts w:ascii="Calibri" w:hAnsi="Calibri" w:cs="Calibri"/>
                <w:bCs/>
              </w:rPr>
              <w:t>26 974</w:t>
            </w:r>
          </w:p>
        </w:tc>
      </w:tr>
      <w:tr w:rsidR="0054499C" w:rsidRPr="00852E57" w:rsidTr="0054499C">
        <w:trPr>
          <w:trHeight w:hRule="exact" w:val="340"/>
        </w:trPr>
        <w:tc>
          <w:tcPr>
            <w:tcW w:w="0" w:type="auto"/>
            <w:tcBorders>
              <w:top w:val="single" w:sz="12" w:space="0" w:color="auto"/>
              <w:left w:val="single" w:sz="12" w:space="0" w:color="auto"/>
              <w:bottom w:val="single" w:sz="12" w:space="0" w:color="auto"/>
              <w:right w:val="single" w:sz="12" w:space="0" w:color="auto"/>
            </w:tcBorders>
            <w:hideMark/>
          </w:tcPr>
          <w:p w:rsidR="0054499C" w:rsidRPr="00852E57" w:rsidRDefault="0054499C" w:rsidP="0054499C">
            <w:pPr>
              <w:rPr>
                <w:rFonts w:ascii="Calibri" w:hAnsi="Calibri" w:cs="Calibri"/>
                <w:bCs/>
              </w:rPr>
            </w:pPr>
            <w:r w:rsidRPr="00852E57">
              <w:rPr>
                <w:rFonts w:ascii="Calibri" w:hAnsi="Calibri" w:cs="Calibri"/>
                <w:bCs/>
              </w:rPr>
              <w:t>Špecificky znevýhodnené oblasti</w:t>
            </w:r>
          </w:p>
        </w:tc>
        <w:tc>
          <w:tcPr>
            <w:tcW w:w="0" w:type="auto"/>
            <w:tcBorders>
              <w:top w:val="single" w:sz="12" w:space="0" w:color="auto"/>
              <w:left w:val="single" w:sz="12" w:space="0" w:color="auto"/>
              <w:bottom w:val="single" w:sz="12" w:space="0" w:color="auto"/>
              <w:right w:val="single" w:sz="12" w:space="0" w:color="auto"/>
            </w:tcBorders>
            <w:hideMark/>
          </w:tcPr>
          <w:p w:rsidR="0054499C" w:rsidRPr="00852E57" w:rsidRDefault="0054499C" w:rsidP="0054499C">
            <w:pPr>
              <w:jc w:val="center"/>
              <w:rPr>
                <w:rFonts w:ascii="Calibri" w:hAnsi="Calibri" w:cs="Calibri"/>
                <w:bCs/>
              </w:rPr>
            </w:pPr>
            <w:r w:rsidRPr="00852E57">
              <w:rPr>
                <w:rFonts w:ascii="Calibri" w:hAnsi="Calibri" w:cs="Calibri"/>
                <w:bCs/>
              </w:rPr>
              <w:t>348 203</w:t>
            </w:r>
          </w:p>
        </w:tc>
        <w:tc>
          <w:tcPr>
            <w:tcW w:w="0" w:type="auto"/>
            <w:tcBorders>
              <w:top w:val="single" w:sz="12" w:space="0" w:color="auto"/>
              <w:left w:val="single" w:sz="12" w:space="0" w:color="auto"/>
              <w:bottom w:val="single" w:sz="12" w:space="0" w:color="auto"/>
              <w:right w:val="single" w:sz="12" w:space="0" w:color="auto"/>
            </w:tcBorders>
            <w:hideMark/>
          </w:tcPr>
          <w:p w:rsidR="0054499C" w:rsidRPr="00852E57" w:rsidRDefault="0054499C" w:rsidP="0054499C">
            <w:pPr>
              <w:jc w:val="center"/>
              <w:rPr>
                <w:rFonts w:ascii="Calibri" w:hAnsi="Calibri" w:cs="Calibri"/>
                <w:bCs/>
              </w:rPr>
            </w:pPr>
            <w:r w:rsidRPr="00852E57">
              <w:rPr>
                <w:rFonts w:ascii="Calibri" w:hAnsi="Calibri" w:cs="Calibri"/>
                <w:bCs/>
              </w:rPr>
              <w:t>341 529</w:t>
            </w:r>
          </w:p>
        </w:tc>
        <w:tc>
          <w:tcPr>
            <w:tcW w:w="0" w:type="auto"/>
            <w:tcBorders>
              <w:top w:val="single" w:sz="12" w:space="0" w:color="auto"/>
              <w:left w:val="single" w:sz="12" w:space="0" w:color="auto"/>
              <w:bottom w:val="single" w:sz="12" w:space="0" w:color="auto"/>
              <w:right w:val="single" w:sz="12" w:space="0" w:color="auto"/>
            </w:tcBorders>
            <w:hideMark/>
          </w:tcPr>
          <w:p w:rsidR="0054499C" w:rsidRPr="00852E57" w:rsidRDefault="0054499C" w:rsidP="0054499C">
            <w:pPr>
              <w:jc w:val="center"/>
              <w:rPr>
                <w:rFonts w:ascii="Calibri" w:hAnsi="Calibri" w:cs="Calibri"/>
                <w:bCs/>
              </w:rPr>
            </w:pPr>
            <w:r w:rsidRPr="00852E57">
              <w:rPr>
                <w:rFonts w:ascii="Calibri" w:hAnsi="Calibri" w:cs="Calibri"/>
                <w:bCs/>
              </w:rPr>
              <w:t>6 674</w:t>
            </w:r>
          </w:p>
        </w:tc>
      </w:tr>
      <w:tr w:rsidR="0054499C" w:rsidRPr="00852E57" w:rsidTr="0054499C">
        <w:trPr>
          <w:trHeight w:hRule="exact" w:val="441"/>
        </w:trPr>
        <w:tc>
          <w:tcPr>
            <w:tcW w:w="0" w:type="auto"/>
            <w:tcBorders>
              <w:top w:val="single" w:sz="12" w:space="0" w:color="auto"/>
              <w:left w:val="single" w:sz="12" w:space="0" w:color="auto"/>
              <w:bottom w:val="single" w:sz="12" w:space="0" w:color="auto"/>
              <w:right w:val="single" w:sz="12" w:space="0" w:color="auto"/>
            </w:tcBorders>
            <w:vAlign w:val="center"/>
            <w:hideMark/>
          </w:tcPr>
          <w:p w:rsidR="0054499C" w:rsidRPr="00852E57" w:rsidRDefault="0054499C" w:rsidP="0054499C">
            <w:pPr>
              <w:rPr>
                <w:rFonts w:ascii="Calibri" w:hAnsi="Calibri" w:cs="Calibri"/>
                <w:b/>
                <w:bCs/>
              </w:rPr>
            </w:pPr>
            <w:r w:rsidRPr="00852E57">
              <w:rPr>
                <w:rFonts w:ascii="Calibri" w:hAnsi="Calibri" w:cs="Calibri"/>
                <w:b/>
                <w:bCs/>
              </w:rPr>
              <w:t>LFA spolu</w:t>
            </w:r>
          </w:p>
        </w:tc>
        <w:tc>
          <w:tcPr>
            <w:tcW w:w="0" w:type="auto"/>
            <w:tcBorders>
              <w:top w:val="single" w:sz="12" w:space="0" w:color="auto"/>
              <w:left w:val="single" w:sz="12" w:space="0" w:color="auto"/>
              <w:bottom w:val="single" w:sz="12" w:space="0" w:color="auto"/>
              <w:right w:val="single" w:sz="12" w:space="0" w:color="auto"/>
            </w:tcBorders>
            <w:vAlign w:val="center"/>
            <w:hideMark/>
          </w:tcPr>
          <w:p w:rsidR="0054499C" w:rsidRPr="00852E57" w:rsidRDefault="0054499C" w:rsidP="0054499C">
            <w:pPr>
              <w:jc w:val="center"/>
              <w:rPr>
                <w:rFonts w:ascii="Calibri" w:hAnsi="Calibri" w:cs="Calibri"/>
                <w:b/>
                <w:bCs/>
              </w:rPr>
            </w:pPr>
            <w:r w:rsidRPr="00852E57">
              <w:rPr>
                <w:rFonts w:ascii="Calibri" w:hAnsi="Calibri" w:cs="Calibri"/>
                <w:b/>
                <w:bCs/>
              </w:rPr>
              <w:t>1 225 764</w:t>
            </w:r>
          </w:p>
        </w:tc>
        <w:tc>
          <w:tcPr>
            <w:tcW w:w="0" w:type="auto"/>
            <w:tcBorders>
              <w:top w:val="single" w:sz="12" w:space="0" w:color="auto"/>
              <w:left w:val="single" w:sz="12" w:space="0" w:color="auto"/>
              <w:bottom w:val="single" w:sz="12" w:space="0" w:color="auto"/>
              <w:right w:val="single" w:sz="12" w:space="0" w:color="auto"/>
            </w:tcBorders>
            <w:vAlign w:val="center"/>
            <w:hideMark/>
          </w:tcPr>
          <w:p w:rsidR="0054499C" w:rsidRPr="00852E57" w:rsidRDefault="0054499C" w:rsidP="0054499C">
            <w:pPr>
              <w:jc w:val="center"/>
              <w:rPr>
                <w:rFonts w:ascii="Calibri" w:hAnsi="Calibri" w:cs="Calibri"/>
                <w:b/>
                <w:bCs/>
              </w:rPr>
            </w:pPr>
            <w:r w:rsidRPr="00852E57">
              <w:rPr>
                <w:rFonts w:ascii="Calibri" w:hAnsi="Calibri" w:cs="Calibri"/>
                <w:b/>
                <w:bCs/>
              </w:rPr>
              <w:t>1 192 115</w:t>
            </w:r>
          </w:p>
        </w:tc>
        <w:tc>
          <w:tcPr>
            <w:tcW w:w="0" w:type="auto"/>
            <w:tcBorders>
              <w:top w:val="single" w:sz="12" w:space="0" w:color="auto"/>
              <w:left w:val="single" w:sz="12" w:space="0" w:color="auto"/>
              <w:bottom w:val="single" w:sz="12" w:space="0" w:color="auto"/>
              <w:right w:val="single" w:sz="12" w:space="0" w:color="auto"/>
            </w:tcBorders>
            <w:vAlign w:val="center"/>
            <w:hideMark/>
          </w:tcPr>
          <w:p w:rsidR="0054499C" w:rsidRPr="00852E57" w:rsidRDefault="0054499C" w:rsidP="0054499C">
            <w:pPr>
              <w:jc w:val="center"/>
              <w:rPr>
                <w:rFonts w:ascii="Calibri" w:hAnsi="Calibri" w:cs="Calibri"/>
                <w:b/>
                <w:bCs/>
              </w:rPr>
            </w:pPr>
            <w:r w:rsidRPr="00852E57">
              <w:rPr>
                <w:rFonts w:ascii="Calibri" w:hAnsi="Calibri" w:cs="Calibri"/>
                <w:b/>
                <w:bCs/>
              </w:rPr>
              <w:t>33 648</w:t>
            </w:r>
          </w:p>
        </w:tc>
      </w:tr>
    </w:tbl>
    <w:p w:rsidR="0054499C" w:rsidRPr="00852E57" w:rsidRDefault="0054499C" w:rsidP="0054499C">
      <w:pPr>
        <w:rPr>
          <w:rFonts w:ascii="Calibri" w:hAnsi="Calibri"/>
          <w:szCs w:val="20"/>
        </w:rPr>
      </w:pPr>
      <w:r w:rsidRPr="00852E57">
        <w:rPr>
          <w:rFonts w:ascii="Calibri" w:hAnsi="Calibri"/>
          <w:szCs w:val="20"/>
        </w:rPr>
        <w:br w:type="textWrapping" w:clear="all"/>
      </w:r>
    </w:p>
    <w:p w:rsidR="0054499C" w:rsidRPr="00852E57" w:rsidRDefault="0054499C" w:rsidP="0054499C">
      <w:pPr>
        <w:rPr>
          <w:rFonts w:ascii="Calibri" w:hAnsi="Calibri"/>
          <w:szCs w:val="20"/>
        </w:rPr>
      </w:pPr>
      <w:r w:rsidRPr="00852E57">
        <w:rPr>
          <w:rFonts w:ascii="Calibri" w:hAnsi="Calibri"/>
          <w:szCs w:val="20"/>
        </w:rPr>
        <w:t xml:space="preserve">Metodika výpočtu výšky vyrovnávacích príspevkov podľa kategórií znevýhodnenia zohľadňuje všetky skutočnosti, ktoré ovplyvňujú hospodárenie v znevýhodnených oblastiach. Vyrovnávacie príspevky sú vypočítané ako rozdiel medzi hrubou pridanou hodnotou (HPH) a nákladmi faktorov stanovenými na hektár poľnohospodárskej pôdy dosiahnutými v produkčných oblastiach SR (mimo LFA) v porovnaní s </w:t>
      </w:r>
      <w:r w:rsidRPr="00852E57">
        <w:rPr>
          <w:rFonts w:ascii="Calibri" w:hAnsi="Calibri"/>
        </w:rPr>
        <w:t>jednotlivými typ</w:t>
      </w:r>
      <w:r w:rsidRPr="00852E57">
        <w:rPr>
          <w:rFonts w:ascii="Calibri" w:hAnsi="Calibri"/>
          <w:szCs w:val="20"/>
        </w:rPr>
        <w:t>mi znevýhodnených oblastí - horskými oblasťami, ostatnými znevýhodnenými oblasťami a oblasťami so špecifickými nevýhodami.</w:t>
      </w:r>
    </w:p>
    <w:p w:rsidR="0054499C" w:rsidRPr="00852E57" w:rsidRDefault="0054499C" w:rsidP="0054499C">
      <w:pPr>
        <w:rPr>
          <w:rFonts w:ascii="Calibri" w:hAnsi="Calibri"/>
          <w:szCs w:val="20"/>
        </w:rPr>
      </w:pPr>
    </w:p>
    <w:p w:rsidR="0054499C" w:rsidRPr="00852E57" w:rsidRDefault="0054499C" w:rsidP="00CE203B">
      <w:pPr>
        <w:numPr>
          <w:ilvl w:val="0"/>
          <w:numId w:val="276"/>
        </w:numPr>
        <w:ind w:right="70"/>
        <w:rPr>
          <w:rFonts w:ascii="Calibri" w:eastAsia="Calibri" w:hAnsi="Calibri" w:cs="Arial"/>
          <w:b/>
        </w:rPr>
      </w:pPr>
      <w:r w:rsidRPr="00852E57">
        <w:rPr>
          <w:rFonts w:ascii="Calibri" w:eastAsia="Calibri" w:hAnsi="Calibri" w:cs="Arial"/>
          <w:b/>
        </w:rPr>
        <w:t>podľa typov výrobného zamerania (poľnohospodárske systémy)</w:t>
      </w:r>
    </w:p>
    <w:p w:rsidR="0054499C" w:rsidRPr="00852E57" w:rsidRDefault="0054499C" w:rsidP="0054499C">
      <w:pPr>
        <w:rPr>
          <w:rFonts w:ascii="Calibri" w:hAnsi="Calibri"/>
          <w:szCs w:val="20"/>
        </w:rPr>
      </w:pPr>
      <w:r w:rsidRPr="00852E57">
        <w:rPr>
          <w:rFonts w:ascii="Calibri" w:hAnsi="Calibri"/>
        </w:rPr>
        <w:t xml:space="preserve">Pre určenie hlavného zamerania výroby fyzických a právnických osôb v poľnohospodárstve bolo použité členenie vychádzajúce z klasifikácie poľnohospodárskych podnikov podľa typu hospodárenia (príloha 1 nariadenia EK č.1242/2008, ktorým sa stanovuje typológia Spoločenstva pre poľnohospodárske podniky). </w:t>
      </w:r>
      <w:r w:rsidRPr="00852E57">
        <w:rPr>
          <w:rFonts w:ascii="Calibri" w:hAnsi="Calibri"/>
          <w:szCs w:val="20"/>
        </w:rPr>
        <w:t>Základný súbor pre stanovený typ hospodárenia z roku 2010 (ŠÚ SR) bol korigovaný, vzhľadom na vývoj situácie v poľnohospodárskych podnikoch, hlavne stavom ich živočíšnej výroby v roku 2013. Z bilancie špecializovaných typov hospodárenia v roku 2013 boli podniky zaradené do troch hlavných kategórii hospodárenia s vyčíslením charakteristického zaťaženia pôdy hospodárskymi zvieratami (DJ/ha):</w:t>
      </w:r>
    </w:p>
    <w:p w:rsidR="0054499C" w:rsidRPr="00852E57" w:rsidRDefault="0054499C" w:rsidP="0054499C">
      <w:pPr>
        <w:ind w:left="45"/>
        <w:rPr>
          <w:rFonts w:ascii="Calibri" w:hAnsi="Calibri"/>
          <w:szCs w:val="20"/>
        </w:rPr>
      </w:pPr>
      <w:r w:rsidRPr="00852E57">
        <w:rPr>
          <w:rFonts w:ascii="Calibri" w:hAnsi="Calibri"/>
          <w:szCs w:val="20"/>
        </w:rPr>
        <w:t>-  zameranie na rastlinnú výrobu (charakteristické zaťaženie &lt; 0,15 DJ/ha)</w:t>
      </w:r>
    </w:p>
    <w:p w:rsidR="0054499C" w:rsidRPr="00852E57" w:rsidRDefault="0054499C" w:rsidP="0054499C">
      <w:pPr>
        <w:ind w:left="45"/>
        <w:rPr>
          <w:rFonts w:ascii="Calibri" w:hAnsi="Calibri"/>
          <w:szCs w:val="20"/>
        </w:rPr>
      </w:pPr>
      <w:r w:rsidRPr="00852E57">
        <w:rPr>
          <w:rFonts w:ascii="Calibri" w:hAnsi="Calibri"/>
          <w:szCs w:val="20"/>
        </w:rPr>
        <w:t>-  zameranie na zmiešanú rastlinno-živočíšnu výrobu (charakteristické  zaťaženie ≥ 0,15 a &lt; 0,3 DJ/ha)</w:t>
      </w:r>
    </w:p>
    <w:p w:rsidR="0054499C" w:rsidRPr="00852E57" w:rsidRDefault="0054499C" w:rsidP="0054499C">
      <w:pPr>
        <w:spacing w:after="120"/>
        <w:ind w:left="45"/>
        <w:rPr>
          <w:rFonts w:ascii="Calibri" w:hAnsi="Calibri"/>
          <w:szCs w:val="20"/>
        </w:rPr>
      </w:pPr>
      <w:r w:rsidRPr="00852E57">
        <w:rPr>
          <w:rFonts w:ascii="Calibri" w:hAnsi="Calibri"/>
          <w:szCs w:val="20"/>
        </w:rPr>
        <w:t>-  zameranie na živočíšnu výrobu (charakteristické zaťaženie ≥ 0,3 DJ/ha)</w:t>
      </w:r>
    </w:p>
    <w:p w:rsidR="0054499C" w:rsidRPr="00852E57" w:rsidRDefault="0054499C" w:rsidP="0054499C">
      <w:pPr>
        <w:ind w:left="45"/>
        <w:rPr>
          <w:rFonts w:ascii="Calibri" w:hAnsi="Calibri"/>
        </w:rPr>
      </w:pPr>
      <w:r w:rsidRPr="00852E57">
        <w:rPr>
          <w:rFonts w:ascii="Calibri" w:hAnsi="Calibri"/>
          <w:szCs w:val="20"/>
        </w:rPr>
        <w:t xml:space="preserve">Metodika výpočtu diferenciácie príspevkov podľa typov výrobného zamerania zohľadňuje vplyvy rozdielnej štruktúry výroby na hospodárenie v znevýhodnených oblastiach. Základom výpočtu výšky kompenzácie v rozdielnych poľnohospodárskych systémoch bolo porovnanie </w:t>
      </w:r>
      <w:r w:rsidRPr="00852E57">
        <w:rPr>
          <w:rFonts w:ascii="Calibri" w:hAnsi="Calibri"/>
        </w:rPr>
        <w:t>pridanej hodnoty a nákladov faktorov medzi jednotlivými kategóriami hospodárenia v znevýhodnených oblastiach a produkčných oblastiach mimo LFA.</w:t>
      </w:r>
    </w:p>
    <w:p w:rsidR="0054499C" w:rsidRPr="00852E57" w:rsidRDefault="0054499C" w:rsidP="0054499C">
      <w:pPr>
        <w:ind w:left="45"/>
        <w:rPr>
          <w:rFonts w:ascii="Calibri" w:hAnsi="Calibri"/>
          <w:szCs w:val="20"/>
        </w:rPr>
      </w:pPr>
    </w:p>
    <w:p w:rsidR="0054499C" w:rsidRPr="00852E57" w:rsidRDefault="0054499C" w:rsidP="00CE203B">
      <w:pPr>
        <w:numPr>
          <w:ilvl w:val="0"/>
          <w:numId w:val="276"/>
        </w:numPr>
        <w:ind w:right="70"/>
        <w:rPr>
          <w:rFonts w:ascii="Calibri" w:eastAsia="Calibri" w:hAnsi="Calibri" w:cs="Arial"/>
          <w:b/>
        </w:rPr>
      </w:pPr>
      <w:r w:rsidRPr="00852E57">
        <w:rPr>
          <w:rFonts w:ascii="Calibri" w:eastAsia="Calibri" w:hAnsi="Calibri" w:cs="Arial"/>
          <w:b/>
        </w:rPr>
        <w:t>podľa posúdenia úspor z rozsahu (degresia platieb podľa výmery podnikov)</w:t>
      </w:r>
    </w:p>
    <w:p w:rsidR="0054499C" w:rsidRPr="00852E57" w:rsidRDefault="0054499C" w:rsidP="0054499C">
      <w:pPr>
        <w:rPr>
          <w:rFonts w:ascii="Calibri" w:hAnsi="Calibri"/>
          <w:szCs w:val="20"/>
        </w:rPr>
      </w:pPr>
      <w:r w:rsidRPr="00852E57">
        <w:rPr>
          <w:rFonts w:ascii="Calibri" w:hAnsi="Calibri"/>
          <w:szCs w:val="20"/>
        </w:rPr>
        <w:t xml:space="preserve">Diferenciácia subjektov podľa veľkosti obhospodarovanej pôdy (stanovenie hraníc) a úrovne degresie (zníženie poskytovaných príspevkov na hektár), na základe ktorých sa budú poľnohospodárskym subjektom poskytovať vyrovnávacie príspevky vychádza z ekonomickej analýzy a zo simulácie výšky vyrovnávacích príspevkov v subjektoch s rôznou veľkosťou obhospodarovanej pôdy. </w:t>
      </w:r>
    </w:p>
    <w:p w:rsidR="0054499C" w:rsidRPr="00852E57" w:rsidRDefault="0054499C" w:rsidP="0054499C">
      <w:pPr>
        <w:rPr>
          <w:rFonts w:ascii="Calibri" w:eastAsia="Calibri" w:hAnsi="Calibri" w:cs="Calibri"/>
          <w:bCs/>
          <w:u w:val="single"/>
        </w:rPr>
      </w:pPr>
    </w:p>
    <w:p w:rsidR="0054499C" w:rsidRPr="00852E57" w:rsidRDefault="0054499C" w:rsidP="0054499C">
      <w:pPr>
        <w:rPr>
          <w:rFonts w:ascii="Calibri" w:eastAsia="Calibri" w:hAnsi="Calibri" w:cs="Calibri"/>
          <w:bCs/>
          <w:u w:val="single"/>
        </w:rPr>
      </w:pPr>
      <w:r w:rsidRPr="00852E57">
        <w:rPr>
          <w:rFonts w:ascii="Calibri" w:eastAsia="Calibri" w:hAnsi="Calibri" w:cs="Calibri"/>
          <w:bCs/>
          <w:u w:val="single"/>
        </w:rPr>
        <w:t xml:space="preserve">Príspevok k fokusovým oblastiam </w:t>
      </w:r>
    </w:p>
    <w:p w:rsidR="0054499C" w:rsidRPr="00852E57" w:rsidRDefault="0054499C" w:rsidP="0054499C">
      <w:pPr>
        <w:shd w:val="clear" w:color="auto" w:fill="FFFFFF"/>
        <w:ind w:left="426" w:hanging="426"/>
        <w:rPr>
          <w:rFonts w:ascii="Calibri" w:hAnsi="Calibri" w:cs="Calibri"/>
          <w:i/>
          <w:szCs w:val="20"/>
        </w:rPr>
      </w:pPr>
      <w:r w:rsidRPr="00852E57">
        <w:rPr>
          <w:rFonts w:ascii="Calibri" w:hAnsi="Calibri" w:cs="Calibri"/>
          <w:bCs/>
          <w:i/>
          <w:szCs w:val="20"/>
        </w:rPr>
        <w:t>2A</w:t>
      </w:r>
      <w:r w:rsidRPr="00852E57">
        <w:rPr>
          <w:rFonts w:ascii="Calibri" w:hAnsi="Calibri" w:cs="Calibri"/>
          <w:b/>
          <w:bCs/>
          <w:i/>
          <w:szCs w:val="20"/>
        </w:rPr>
        <w:t xml:space="preserve"> </w:t>
      </w:r>
      <w:r w:rsidRPr="00852E57">
        <w:rPr>
          <w:rFonts w:ascii="Calibri" w:hAnsi="Calibri" w:cs="Calibri"/>
          <w:i/>
          <w:szCs w:val="20"/>
        </w:rPr>
        <w:t xml:space="preserve">Zlepšenie hospodárskeho výkonu všetkých poľnohospodárskych podnikov a uľahčenie </w:t>
      </w:r>
      <w:r w:rsidRPr="00852E57">
        <w:rPr>
          <w:rFonts w:ascii="Calibri" w:hAnsi="Calibri" w:cs="Calibri"/>
          <w:i/>
          <w:szCs w:val="20"/>
          <w:shd w:val="clear" w:color="auto" w:fill="FFFFFF"/>
        </w:rPr>
        <w:t>reštrukturalizácie a modernizácie poľnohospodárskych podnikov, najmä na účely zvýšenia ich účasti</w:t>
      </w:r>
      <w:r w:rsidRPr="00852E57">
        <w:rPr>
          <w:rFonts w:ascii="Calibri" w:hAnsi="Calibri" w:cs="Calibri"/>
          <w:i/>
          <w:szCs w:val="20"/>
        </w:rPr>
        <w:t xml:space="preserve"> na trhu, zamerania na trh a poľnohospodárskej diverzifikácie.</w:t>
      </w:r>
    </w:p>
    <w:p w:rsidR="0054499C" w:rsidRPr="00852E57" w:rsidRDefault="0054499C" w:rsidP="0054499C">
      <w:pPr>
        <w:shd w:val="clear" w:color="auto" w:fill="FFFFFF"/>
        <w:rPr>
          <w:rFonts w:ascii="Calibri" w:hAnsi="Calibri" w:cs="Calibri"/>
        </w:rPr>
      </w:pPr>
      <w:r w:rsidRPr="00852E57">
        <w:rPr>
          <w:rFonts w:ascii="Calibri" w:hAnsi="Calibri" w:cs="Calibri"/>
        </w:rPr>
        <w:t>Platby pre oblasti s prírodnými alebo inými osobitnými obmedzeniami kompenzujú straty príjmy a vyššie náklady súvisiace s obmedzeniami v poľnohospodárskej činnosti v príslušnej oblasti a tým prispievajú k strate konkurencieschopnosti poľnohospodárskych podnikov v týchto oblastiach. Vzhľadom na rozsiahlosť území s prírodnými alebo inými obmedzeniami zohrávajú poskytnuté kompenzácie príslušným poľnohospodárom adekvátnu účasť na trhu a zlepšujú ich ekonomické postavenie v rámci konkurencieschopnosti.</w:t>
      </w:r>
    </w:p>
    <w:p w:rsidR="0054499C" w:rsidRPr="00852E57" w:rsidRDefault="0054499C" w:rsidP="0054499C">
      <w:pPr>
        <w:rPr>
          <w:rFonts w:ascii="Calibri" w:hAnsi="Calibri" w:cs="Calibri"/>
          <w:i/>
          <w:szCs w:val="20"/>
        </w:rPr>
      </w:pPr>
      <w:r w:rsidRPr="00852E57">
        <w:rPr>
          <w:rFonts w:ascii="Calibri" w:hAnsi="Calibri" w:cs="Calibri"/>
          <w:bCs/>
          <w:i/>
          <w:szCs w:val="20"/>
        </w:rPr>
        <w:t xml:space="preserve">4A     </w:t>
      </w:r>
      <w:r w:rsidRPr="00852E57">
        <w:rPr>
          <w:rFonts w:ascii="Calibri" w:hAnsi="Calibri" w:cs="Calibri"/>
          <w:i/>
          <w:szCs w:val="20"/>
        </w:rPr>
        <w:t xml:space="preserve">Obnova a zachovanie biodiverzity vrátane lokalít sústavy Natura 2000 a v oblastiach  </w:t>
      </w:r>
    </w:p>
    <w:p w:rsidR="0054499C" w:rsidRPr="00852E57" w:rsidRDefault="0054499C" w:rsidP="0054499C">
      <w:pPr>
        <w:rPr>
          <w:rFonts w:ascii="Calibri" w:hAnsi="Calibri" w:cs="Calibri"/>
          <w:i/>
          <w:szCs w:val="20"/>
        </w:rPr>
      </w:pPr>
      <w:r w:rsidRPr="00852E57">
        <w:rPr>
          <w:rFonts w:ascii="Calibri" w:hAnsi="Calibri" w:cs="Calibri"/>
          <w:i/>
          <w:szCs w:val="20"/>
        </w:rPr>
        <w:t xml:space="preserve">          s prírodnými alebo inými osobitými obmedzeniami a v poľnohospodárskej činnosti s vysokou </w:t>
      </w:r>
    </w:p>
    <w:p w:rsidR="0054499C" w:rsidRPr="00852E57" w:rsidRDefault="0054499C" w:rsidP="0054499C">
      <w:pPr>
        <w:rPr>
          <w:rFonts w:ascii="Calibri" w:hAnsi="Calibri" w:cs="Calibri"/>
          <w:i/>
          <w:szCs w:val="20"/>
        </w:rPr>
      </w:pPr>
      <w:r w:rsidRPr="00852E57">
        <w:rPr>
          <w:rFonts w:ascii="Calibri" w:hAnsi="Calibri" w:cs="Calibri"/>
          <w:i/>
          <w:szCs w:val="20"/>
        </w:rPr>
        <w:t xml:space="preserve">          prírodnou hodnotou a obnova, zachovanie a zlepšenie stavu krajinných oblastí Európy</w:t>
      </w:r>
    </w:p>
    <w:p w:rsidR="0054499C" w:rsidRPr="00852E57" w:rsidRDefault="0054499C" w:rsidP="0054499C">
      <w:pPr>
        <w:ind w:left="-11"/>
        <w:rPr>
          <w:rFonts w:ascii="Calibri" w:hAnsi="Calibri" w:cs="Calibri"/>
          <w:szCs w:val="20"/>
        </w:rPr>
      </w:pPr>
      <w:r w:rsidRPr="00852E57">
        <w:rPr>
          <w:rFonts w:ascii="Calibri" w:hAnsi="Calibri" w:cs="Calibri"/>
          <w:szCs w:val="20"/>
        </w:rPr>
        <w:t xml:space="preserve">Tradičné formy hospodárenia najmä v horských oblastiach sú kľúčovým prvkom pre ochranu a udržania biodiverzity najmä v územiach Natura 2000. Zachovanie poľnohospodárstva v týchto územiach aj prostredníctvom kompenzačných platieb má dominantný vplyv aj na územia s vysokou prírodnou hodnotou. Takmer všetka pôda biotopov poloprírodných a prírodných trávnych porastov sa nachádza v znevýhodnených územiach. Takisto </w:t>
      </w:r>
      <w:r w:rsidRPr="00852E57">
        <w:rPr>
          <w:rFonts w:ascii="Calibri" w:hAnsi="Calibri"/>
          <w:szCs w:val="20"/>
        </w:rPr>
        <w:t>tradičná poľnohospodárska krajina (mozaiková poľnohospodárska krajina s nízkou intenzitou využívania</w:t>
      </w:r>
      <w:r w:rsidRPr="00852E57">
        <w:rPr>
          <w:rFonts w:ascii="Calibri" w:hAnsi="Calibri" w:cs="Calibri"/>
          <w:szCs w:val="20"/>
        </w:rPr>
        <w:t xml:space="preserve"> ), ktorá je ďalšou zložkou území s vysokou prírodnou hodnotou sa nachádza v</w:t>
      </w:r>
      <w:r w:rsidRPr="00852E57">
        <w:rPr>
          <w:rFonts w:ascii="Calibri" w:hAnsi="Calibri" w:cs="Calibri"/>
        </w:rPr>
        <w:t> lokalitách s prírodnými alebo inými</w:t>
      </w:r>
      <w:r w:rsidRPr="00852E57">
        <w:rPr>
          <w:rFonts w:ascii="Calibri" w:hAnsi="Calibri" w:cs="Calibri"/>
          <w:szCs w:val="20"/>
        </w:rPr>
        <w:t xml:space="preserve"> obmedzeniami.    </w:t>
      </w:r>
    </w:p>
    <w:p w:rsidR="0054499C" w:rsidRPr="00852E57" w:rsidRDefault="0054499C" w:rsidP="0054499C">
      <w:pPr>
        <w:ind w:left="-11"/>
        <w:rPr>
          <w:rFonts w:ascii="Calibri" w:hAnsi="Calibri" w:cs="Calibri"/>
          <w:bCs/>
          <w:szCs w:val="20"/>
        </w:rPr>
      </w:pPr>
      <w:r w:rsidRPr="00852E57">
        <w:rPr>
          <w:rFonts w:ascii="Calibri" w:hAnsi="Calibri" w:cs="Calibri"/>
          <w:szCs w:val="20"/>
        </w:rPr>
        <w:t xml:space="preserve">  </w:t>
      </w:r>
    </w:p>
    <w:p w:rsidR="0054499C" w:rsidRPr="00852E57" w:rsidRDefault="0054499C" w:rsidP="0054499C">
      <w:pPr>
        <w:rPr>
          <w:rFonts w:ascii="Calibri" w:hAnsi="Calibri"/>
          <w:i/>
        </w:rPr>
      </w:pPr>
      <w:r w:rsidRPr="00852E57">
        <w:rPr>
          <w:rFonts w:ascii="Calibri" w:hAnsi="Calibri"/>
          <w:i/>
        </w:rPr>
        <w:t>4B    Zlepšenie vodného hospodárstva vrátane skladovania a aplikácie hnojív a pesticídov</w:t>
      </w:r>
    </w:p>
    <w:p w:rsidR="0054499C" w:rsidRPr="00852E57" w:rsidRDefault="0054499C" w:rsidP="0054499C">
      <w:pPr>
        <w:rPr>
          <w:rFonts w:ascii="Calibri" w:hAnsi="Calibri" w:cs="Calibri"/>
          <w:bCs/>
        </w:rPr>
      </w:pPr>
      <w:r w:rsidRPr="00852E57">
        <w:rPr>
          <w:rFonts w:ascii="Calibri" w:hAnsi="Calibri" w:cs="Calibri"/>
          <w:bCs/>
        </w:rPr>
        <w:t xml:space="preserve">Zhoršené prírodné podmienky, </w:t>
      </w:r>
      <w:r w:rsidRPr="00852E57">
        <w:rPr>
          <w:rFonts w:ascii="Calibri" w:hAnsi="Calibri"/>
        </w:rPr>
        <w:t xml:space="preserve">vysoký podiel málo produkčných pôd, prevládajúce plochy trvalých trávnych porastov hlavne v horských oblastiach s extenzívnou formou obhospodarovania vytvárajú priaznivé podmienky pre zlepšovanie a udržanie kvality vôd. Podstatne nižšie vstupy živín a prípravkov na ochranu rastlín oproti územiam bez znevýhodnenia majú pozitívny vplyv na oblasť ochrany vôd. </w:t>
      </w:r>
    </w:p>
    <w:p w:rsidR="0054499C" w:rsidRPr="00852E57" w:rsidRDefault="0054499C" w:rsidP="0054499C">
      <w:pPr>
        <w:rPr>
          <w:rFonts w:ascii="Calibri" w:hAnsi="Calibri" w:cs="Calibri"/>
          <w:bCs/>
          <w:i/>
          <w:szCs w:val="20"/>
        </w:rPr>
      </w:pPr>
    </w:p>
    <w:p w:rsidR="0054499C" w:rsidRPr="00852E57" w:rsidRDefault="0054499C" w:rsidP="0054499C">
      <w:pPr>
        <w:rPr>
          <w:rFonts w:ascii="Calibri" w:hAnsi="Calibri" w:cs="Calibri"/>
          <w:i/>
          <w:szCs w:val="20"/>
        </w:rPr>
      </w:pPr>
      <w:r w:rsidRPr="00852E57">
        <w:rPr>
          <w:rFonts w:ascii="Calibri" w:hAnsi="Calibri" w:cs="Calibri"/>
          <w:bCs/>
          <w:i/>
          <w:szCs w:val="20"/>
        </w:rPr>
        <w:t xml:space="preserve">4C    Predchádzanie erózii a </w:t>
      </w:r>
      <w:r w:rsidRPr="00852E57">
        <w:rPr>
          <w:rFonts w:ascii="Calibri" w:hAnsi="Calibri" w:cs="Calibri"/>
          <w:i/>
          <w:szCs w:val="20"/>
        </w:rPr>
        <w:t>zlepšenie obhospodarovania pôdy</w:t>
      </w:r>
    </w:p>
    <w:p w:rsidR="0054499C" w:rsidRPr="00852E57" w:rsidRDefault="0054499C" w:rsidP="0054499C">
      <w:pPr>
        <w:rPr>
          <w:rFonts w:ascii="Calibri" w:hAnsi="Calibri" w:cs="Calibri"/>
          <w:szCs w:val="20"/>
        </w:rPr>
      </w:pPr>
      <w:r w:rsidRPr="00852E57">
        <w:rPr>
          <w:rFonts w:ascii="Calibri" w:hAnsi="Calibri" w:cs="Calibri"/>
          <w:szCs w:val="20"/>
        </w:rPr>
        <w:t xml:space="preserve">Tradičné formy hospodárenia najmä v horských oblastiach so striedaním plôch ornej pôdy a trávnych porastov zamedzujú tvorbe vodnej erózie. Vysoký podiel krajinných prvkov ako medze, skupiny stromov a kríkov má tiež dominantný podiel na zmierňovaní pôdnej erózie. </w:t>
      </w:r>
    </w:p>
    <w:p w:rsidR="0054499C" w:rsidRPr="00852E57" w:rsidRDefault="0054499C" w:rsidP="0054499C">
      <w:pPr>
        <w:rPr>
          <w:rFonts w:ascii="Calibri" w:hAnsi="Calibri" w:cs="Calibri"/>
          <w:szCs w:val="20"/>
        </w:rPr>
      </w:pPr>
      <w:r w:rsidRPr="00852E57">
        <w:rPr>
          <w:rFonts w:ascii="Calibri" w:hAnsi="Calibri" w:cs="Calibri"/>
          <w:szCs w:val="20"/>
        </w:rPr>
        <w:t>Zachovanie poľnohospodárstva v menej priaznivých oblastiach má značný podiel na predchádzaní celkovej degradácie poľnohospodárskych pôd.</w:t>
      </w:r>
    </w:p>
    <w:p w:rsidR="0054499C" w:rsidRPr="00852E57" w:rsidRDefault="0054499C" w:rsidP="0054499C">
      <w:pPr>
        <w:rPr>
          <w:rFonts w:ascii="Calibri" w:eastAsia="Calibri" w:hAnsi="Calibri" w:cs="Calibri"/>
          <w:b/>
          <w:bCs/>
        </w:rPr>
      </w:pPr>
    </w:p>
    <w:p w:rsidR="0054499C" w:rsidRPr="00852E57" w:rsidRDefault="0054499C" w:rsidP="0054499C">
      <w:pPr>
        <w:rPr>
          <w:rFonts w:ascii="Calibri" w:eastAsia="Calibri" w:hAnsi="Calibri" w:cs="Calibri"/>
          <w:bCs/>
          <w:u w:val="single"/>
        </w:rPr>
      </w:pPr>
      <w:r w:rsidRPr="00852E57">
        <w:rPr>
          <w:rFonts w:ascii="Calibri" w:eastAsia="Calibri" w:hAnsi="Calibri" w:cs="Calibri"/>
          <w:bCs/>
          <w:u w:val="single"/>
        </w:rPr>
        <w:t>Príspevok k prierezovému cieľu</w:t>
      </w:r>
    </w:p>
    <w:p w:rsidR="0054499C" w:rsidRPr="00852E57" w:rsidRDefault="0054499C" w:rsidP="0054499C">
      <w:pPr>
        <w:rPr>
          <w:rFonts w:ascii="Calibri" w:eastAsia="Calibri" w:hAnsi="Calibri" w:cs="Calibri"/>
          <w:b/>
          <w:bCs/>
        </w:rPr>
      </w:pPr>
      <w:r w:rsidRPr="00852E57">
        <w:rPr>
          <w:rFonts w:ascii="Calibri" w:eastAsia="Calibri" w:hAnsi="Calibri" w:cs="Calibri"/>
        </w:rPr>
        <w:t>Životné prostredie</w:t>
      </w:r>
    </w:p>
    <w:p w:rsidR="0054499C" w:rsidRPr="00852E57" w:rsidRDefault="0054499C" w:rsidP="0054499C">
      <w:pPr>
        <w:rPr>
          <w:rFonts w:ascii="Calibri" w:eastAsia="Calibri" w:hAnsi="Calibri" w:cs="Calibri"/>
          <w:b/>
          <w:bCs/>
        </w:rPr>
      </w:pPr>
    </w:p>
    <w:p w:rsidR="0054499C" w:rsidRPr="00852E57" w:rsidRDefault="0054499C" w:rsidP="0054499C">
      <w:pPr>
        <w:rPr>
          <w:rFonts w:ascii="Calibri" w:hAnsi="Calibri"/>
          <w:b/>
          <w:szCs w:val="20"/>
        </w:rPr>
      </w:pPr>
      <w:r w:rsidRPr="00852E57">
        <w:rPr>
          <w:rFonts w:ascii="Calibri" w:hAnsi="Calibri" w:cs="Calibri"/>
          <w:b/>
          <w:bCs/>
          <w:szCs w:val="20"/>
        </w:rPr>
        <w:t>8.2.12.3.   Rozsah, úroveň podpory a ďalšie informácie v členení podľa podopatrení a typu operácie</w:t>
      </w:r>
    </w:p>
    <w:p w:rsidR="0054499C" w:rsidRPr="00852E57" w:rsidRDefault="0054499C" w:rsidP="0054499C">
      <w:pPr>
        <w:rPr>
          <w:rFonts w:ascii="Calibri" w:hAnsi="Calibri"/>
          <w:b/>
          <w:szCs w:val="20"/>
        </w:rPr>
      </w:pPr>
    </w:p>
    <w:p w:rsidR="0054499C" w:rsidRPr="00852E57" w:rsidRDefault="0054499C" w:rsidP="0054499C">
      <w:pPr>
        <w:keepNext/>
        <w:shd w:val="clear" w:color="auto" w:fill="D6E3BC"/>
        <w:outlineLvl w:val="4"/>
        <w:rPr>
          <w:rFonts w:ascii="Calibri" w:hAnsi="Calibri"/>
          <w:sz w:val="24"/>
          <w:u w:val="single"/>
        </w:rPr>
      </w:pPr>
      <w:r w:rsidRPr="00852E57">
        <w:rPr>
          <w:rFonts w:ascii="Calibri" w:hAnsi="Calibri"/>
          <w:sz w:val="24"/>
        </w:rPr>
        <w:t xml:space="preserve">Podopatrenie 13.1: </w:t>
      </w:r>
      <w:r w:rsidRPr="00852E57">
        <w:rPr>
          <w:rFonts w:ascii="Calibri" w:hAnsi="Calibri" w:cs="Calibri"/>
          <w:b/>
          <w:sz w:val="24"/>
        </w:rPr>
        <w:t>Kompenzačné platby v horských oblastiach</w:t>
      </w:r>
    </w:p>
    <w:p w:rsidR="0054499C" w:rsidRPr="00852E57" w:rsidRDefault="0054499C" w:rsidP="0054499C">
      <w:pPr>
        <w:tabs>
          <w:tab w:val="right" w:pos="9354"/>
        </w:tabs>
        <w:rPr>
          <w:rFonts w:ascii="Calibri" w:hAnsi="Calibri"/>
          <w:szCs w:val="20"/>
          <w:u w:val="single"/>
        </w:rPr>
      </w:pPr>
    </w:p>
    <w:p w:rsidR="0054499C" w:rsidRPr="00852E57" w:rsidRDefault="0054499C" w:rsidP="0054499C">
      <w:pPr>
        <w:tabs>
          <w:tab w:val="right" w:pos="9354"/>
        </w:tabs>
        <w:rPr>
          <w:rFonts w:ascii="Calibri" w:hAnsi="Calibri"/>
          <w:szCs w:val="20"/>
          <w:u w:val="single"/>
        </w:rPr>
      </w:pPr>
      <w:r w:rsidRPr="00852E57">
        <w:rPr>
          <w:rFonts w:ascii="Calibri" w:hAnsi="Calibri"/>
          <w:szCs w:val="20"/>
          <w:u w:val="single"/>
        </w:rPr>
        <w:t>Opis operácie:</w:t>
      </w:r>
    </w:p>
    <w:p w:rsidR="0054499C" w:rsidRPr="00852E57" w:rsidRDefault="0054499C" w:rsidP="0054499C">
      <w:pPr>
        <w:tabs>
          <w:tab w:val="right" w:pos="9354"/>
        </w:tabs>
        <w:rPr>
          <w:rFonts w:ascii="Calibri" w:hAnsi="Calibri"/>
          <w:szCs w:val="20"/>
        </w:rPr>
      </w:pPr>
      <w:r w:rsidRPr="00852E57">
        <w:rPr>
          <w:rFonts w:ascii="Calibri" w:hAnsi="Calibri"/>
          <w:b/>
          <w:szCs w:val="20"/>
        </w:rPr>
        <w:t xml:space="preserve">Horské oblasti </w:t>
      </w:r>
      <w:r w:rsidRPr="00852E57">
        <w:rPr>
          <w:rFonts w:ascii="Calibri" w:hAnsi="Calibri"/>
          <w:szCs w:val="20"/>
        </w:rPr>
        <w:t xml:space="preserve">(označenie </w:t>
      </w:r>
      <w:r w:rsidRPr="00852E57">
        <w:rPr>
          <w:rFonts w:ascii="Calibri" w:hAnsi="Calibri"/>
          <w:b/>
          <w:szCs w:val="20"/>
        </w:rPr>
        <w:t>H</w:t>
      </w:r>
      <w:r w:rsidRPr="00852E57">
        <w:rPr>
          <w:rFonts w:ascii="Calibri" w:hAnsi="Calibri"/>
          <w:szCs w:val="20"/>
        </w:rPr>
        <w:t>)</w:t>
      </w:r>
    </w:p>
    <w:p w:rsidR="0054499C" w:rsidRPr="00852E57" w:rsidRDefault="0054499C" w:rsidP="0054499C">
      <w:pPr>
        <w:tabs>
          <w:tab w:val="num" w:pos="720"/>
          <w:tab w:val="left" w:pos="900"/>
          <w:tab w:val="decimal" w:pos="9000"/>
        </w:tabs>
        <w:overflowPunct w:val="0"/>
        <w:autoSpaceDE w:val="0"/>
        <w:autoSpaceDN w:val="0"/>
        <w:adjustRightInd w:val="0"/>
        <w:spacing w:after="120"/>
        <w:textAlignment w:val="baseline"/>
        <w:rPr>
          <w:rFonts w:ascii="Calibri" w:eastAsia="Calibri" w:hAnsi="Calibri"/>
          <w:lang w:eastAsia="cs-CZ"/>
        </w:rPr>
      </w:pPr>
      <w:r w:rsidRPr="00852E57">
        <w:rPr>
          <w:rFonts w:ascii="Calibri" w:eastAsia="Calibri" w:hAnsi="Calibri"/>
          <w:lang w:eastAsia="cs-CZ"/>
        </w:rPr>
        <w:t>Do horských oblastí sú zaradené obce, ktoré spĺňajú jedno z nasledovných kritérií:</w:t>
      </w:r>
    </w:p>
    <w:p w:rsidR="0054499C" w:rsidRPr="00852E57" w:rsidRDefault="0054499C" w:rsidP="0054499C">
      <w:pPr>
        <w:tabs>
          <w:tab w:val="left" w:pos="426"/>
          <w:tab w:val="decimal" w:pos="9000"/>
        </w:tabs>
        <w:overflowPunct w:val="0"/>
        <w:autoSpaceDE w:val="0"/>
        <w:autoSpaceDN w:val="0"/>
        <w:adjustRightInd w:val="0"/>
        <w:ind w:left="426" w:hanging="426"/>
        <w:textAlignment w:val="baseline"/>
        <w:rPr>
          <w:rFonts w:ascii="Calibri" w:eastAsia="Calibri" w:hAnsi="Calibri"/>
          <w:lang w:eastAsia="cs-CZ"/>
        </w:rPr>
      </w:pPr>
      <w:r w:rsidRPr="00852E57">
        <w:rPr>
          <w:rFonts w:ascii="Calibri" w:eastAsia="Calibri" w:hAnsi="Calibri"/>
          <w:lang w:eastAsia="cs-CZ"/>
        </w:rPr>
        <w:t xml:space="preserve">H1 - priemerná nadmorská výška obce väčšia alebo rovná 700 m. n. m.; </w:t>
      </w:r>
    </w:p>
    <w:p w:rsidR="0054499C" w:rsidRPr="00852E57" w:rsidRDefault="0054499C" w:rsidP="0054499C">
      <w:pPr>
        <w:tabs>
          <w:tab w:val="left" w:pos="0"/>
          <w:tab w:val="decimal" w:pos="9000"/>
        </w:tabs>
        <w:overflowPunct w:val="0"/>
        <w:autoSpaceDE w:val="0"/>
        <w:autoSpaceDN w:val="0"/>
        <w:adjustRightInd w:val="0"/>
        <w:textAlignment w:val="baseline"/>
        <w:rPr>
          <w:rFonts w:ascii="Calibri" w:eastAsia="Calibri" w:hAnsi="Calibri"/>
          <w:lang w:eastAsia="cs-CZ"/>
        </w:rPr>
      </w:pPr>
      <w:r w:rsidRPr="00852E57">
        <w:rPr>
          <w:rFonts w:ascii="Calibri" w:eastAsia="Calibri" w:hAnsi="Calibri"/>
          <w:lang w:eastAsia="cs-CZ"/>
        </w:rPr>
        <w:t xml:space="preserve">H2 - priemerná nadmorská výška obce väčšia alebo rovná 600 m. n. m. a menšia ako 700 m. n. m.; </w:t>
      </w:r>
    </w:p>
    <w:p w:rsidR="0054499C" w:rsidRPr="00852E57" w:rsidRDefault="0054499C" w:rsidP="0054499C">
      <w:pPr>
        <w:tabs>
          <w:tab w:val="left" w:pos="426"/>
          <w:tab w:val="decimal" w:pos="9000"/>
        </w:tabs>
        <w:overflowPunct w:val="0"/>
        <w:autoSpaceDE w:val="0"/>
        <w:autoSpaceDN w:val="0"/>
        <w:adjustRightInd w:val="0"/>
        <w:ind w:left="426" w:hanging="426"/>
        <w:textAlignment w:val="baseline"/>
        <w:rPr>
          <w:rFonts w:ascii="Calibri" w:eastAsia="Calibri" w:hAnsi="Calibri"/>
          <w:lang w:eastAsia="cs-CZ"/>
        </w:rPr>
      </w:pPr>
      <w:r w:rsidRPr="00852E57">
        <w:rPr>
          <w:rFonts w:ascii="Calibri" w:eastAsia="Calibri" w:hAnsi="Calibri"/>
          <w:lang w:eastAsia="cs-CZ"/>
        </w:rPr>
        <w:t>H3 - svahovitosť územia obce väčšia alebo rovná 20 % (11,18</w:t>
      </w:r>
      <w:r w:rsidRPr="00852E57">
        <w:rPr>
          <w:rFonts w:ascii="Calibri" w:eastAsia="Calibri" w:hAnsi="Calibri"/>
          <w:vertAlign w:val="superscript"/>
          <w:lang w:eastAsia="cs-CZ"/>
        </w:rPr>
        <w:t>0</w:t>
      </w:r>
      <w:r w:rsidRPr="00852E57">
        <w:rPr>
          <w:rFonts w:ascii="Calibri" w:eastAsia="Calibri" w:hAnsi="Calibri"/>
          <w:lang w:eastAsia="cs-CZ"/>
        </w:rPr>
        <w:t xml:space="preserve">) na ploche väčšej ako 50 %  územia obce; </w:t>
      </w:r>
    </w:p>
    <w:p w:rsidR="0054499C" w:rsidRPr="00852E57" w:rsidRDefault="0054499C" w:rsidP="0054499C">
      <w:pPr>
        <w:tabs>
          <w:tab w:val="left" w:pos="426"/>
          <w:tab w:val="decimal" w:pos="9000"/>
        </w:tabs>
        <w:overflowPunct w:val="0"/>
        <w:autoSpaceDE w:val="0"/>
        <w:autoSpaceDN w:val="0"/>
        <w:adjustRightInd w:val="0"/>
        <w:ind w:left="426" w:hanging="426"/>
        <w:textAlignment w:val="baseline"/>
        <w:rPr>
          <w:rFonts w:ascii="Calibri" w:eastAsia="Calibri" w:hAnsi="Calibri"/>
          <w:lang w:eastAsia="cs-CZ"/>
        </w:rPr>
      </w:pPr>
      <w:r w:rsidRPr="00852E57">
        <w:rPr>
          <w:rFonts w:ascii="Calibri" w:eastAsia="Calibri" w:hAnsi="Calibri"/>
          <w:lang w:eastAsia="cs-CZ"/>
        </w:rPr>
        <w:t>H4 - priemerná nadmorská výška obce väčšia alebo rovná 500 m. n. m. a menšia ako 600 m. n. m. v kombinácii so svahovitosťou obce väčšou ako 15 % (8,31</w:t>
      </w:r>
      <w:r w:rsidRPr="00852E57">
        <w:rPr>
          <w:rFonts w:ascii="Calibri" w:eastAsia="Calibri" w:hAnsi="Calibri"/>
          <w:vertAlign w:val="superscript"/>
          <w:lang w:eastAsia="cs-CZ"/>
        </w:rPr>
        <w:t>0</w:t>
      </w:r>
      <w:r w:rsidRPr="00852E57">
        <w:rPr>
          <w:rFonts w:ascii="Calibri" w:eastAsia="Calibri" w:hAnsi="Calibri"/>
          <w:lang w:eastAsia="cs-CZ"/>
        </w:rPr>
        <w:t xml:space="preserve">) na ploche väčšej ako 50 % územia obce. </w:t>
      </w:r>
    </w:p>
    <w:tbl>
      <w:tblPr>
        <w:tblW w:w="0" w:type="auto"/>
        <w:jc w:val="center"/>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176"/>
        <w:gridCol w:w="915"/>
        <w:gridCol w:w="2253"/>
        <w:gridCol w:w="1483"/>
      </w:tblGrid>
      <w:tr w:rsidR="0054499C" w:rsidRPr="00852E57" w:rsidTr="0054499C">
        <w:trPr>
          <w:cantSplit/>
          <w:trHeight w:hRule="exact" w:val="284"/>
          <w:jc w:val="center"/>
        </w:trPr>
        <w:tc>
          <w:tcPr>
            <w:tcW w:w="0" w:type="auto"/>
            <w:tcBorders>
              <w:top w:val="single" w:sz="4" w:space="0" w:color="auto"/>
              <w:left w:val="single" w:sz="4" w:space="0" w:color="auto"/>
              <w:bottom w:val="single" w:sz="4" w:space="0" w:color="auto"/>
              <w:right w:val="single" w:sz="4" w:space="0" w:color="auto"/>
            </w:tcBorders>
            <w:hideMark/>
          </w:tcPr>
          <w:p w:rsidR="0054499C" w:rsidRPr="00852E57" w:rsidRDefault="0054499C" w:rsidP="0054499C">
            <w:pPr>
              <w:spacing w:after="240"/>
              <w:jc w:val="center"/>
              <w:rPr>
                <w:rFonts w:ascii="Calibri" w:hAnsi="Calibri" w:cs="Calibri"/>
                <w:b/>
                <w:bCs/>
                <w:sz w:val="20"/>
                <w:szCs w:val="20"/>
              </w:rPr>
            </w:pPr>
            <w:r w:rsidRPr="00852E57">
              <w:rPr>
                <w:rFonts w:ascii="Calibri" w:hAnsi="Calibri"/>
                <w:b/>
                <w:bCs/>
                <w:szCs w:val="20"/>
              </w:rPr>
              <w:t>H</w:t>
            </w:r>
          </w:p>
        </w:tc>
        <w:tc>
          <w:tcPr>
            <w:tcW w:w="0" w:type="auto"/>
            <w:tcBorders>
              <w:top w:val="single" w:sz="4" w:space="0" w:color="auto"/>
              <w:left w:val="single" w:sz="4" w:space="0" w:color="auto"/>
              <w:bottom w:val="single" w:sz="4" w:space="0" w:color="auto"/>
              <w:right w:val="single" w:sz="4" w:space="0" w:color="auto"/>
            </w:tcBorders>
            <w:hideMark/>
          </w:tcPr>
          <w:p w:rsidR="0054499C" w:rsidRPr="00852E57" w:rsidRDefault="0054499C" w:rsidP="0054499C">
            <w:pPr>
              <w:spacing w:after="240"/>
              <w:jc w:val="center"/>
              <w:rPr>
                <w:rFonts w:ascii="Calibri" w:hAnsi="Calibri" w:cs="Calibri"/>
                <w:b/>
                <w:bCs/>
                <w:sz w:val="20"/>
                <w:szCs w:val="20"/>
              </w:rPr>
            </w:pPr>
            <w:r w:rsidRPr="00852E57">
              <w:rPr>
                <w:rFonts w:ascii="Calibri" w:hAnsi="Calibri" w:cs="Calibri"/>
                <w:b/>
                <w:bCs/>
                <w:sz w:val="20"/>
                <w:szCs w:val="20"/>
              </w:rPr>
              <w:t>LFA SR</w:t>
            </w:r>
          </w:p>
        </w:tc>
        <w:tc>
          <w:tcPr>
            <w:tcW w:w="0" w:type="auto"/>
            <w:tcBorders>
              <w:top w:val="single" w:sz="4" w:space="0" w:color="auto"/>
              <w:left w:val="single" w:sz="4" w:space="0" w:color="auto"/>
              <w:bottom w:val="single" w:sz="4" w:space="0" w:color="auto"/>
              <w:right w:val="single" w:sz="4" w:space="0" w:color="auto"/>
            </w:tcBorders>
            <w:hideMark/>
          </w:tcPr>
          <w:p w:rsidR="0054499C" w:rsidRPr="00852E57" w:rsidRDefault="0054499C" w:rsidP="0054499C">
            <w:pPr>
              <w:spacing w:after="240"/>
              <w:jc w:val="center"/>
              <w:rPr>
                <w:rFonts w:ascii="Calibri" w:hAnsi="Calibri" w:cs="Calibri"/>
                <w:b/>
                <w:bCs/>
                <w:sz w:val="20"/>
                <w:szCs w:val="20"/>
              </w:rPr>
            </w:pPr>
            <w:r w:rsidRPr="00852E57">
              <w:rPr>
                <w:rFonts w:ascii="Calibri" w:hAnsi="Calibri" w:cs="Calibri"/>
                <w:b/>
                <w:bCs/>
                <w:sz w:val="20"/>
                <w:szCs w:val="20"/>
              </w:rPr>
              <w:t>Menej rozvinuté regióny</w:t>
            </w:r>
          </w:p>
        </w:tc>
        <w:tc>
          <w:tcPr>
            <w:tcW w:w="0" w:type="auto"/>
            <w:tcBorders>
              <w:top w:val="single" w:sz="4" w:space="0" w:color="auto"/>
              <w:left w:val="single" w:sz="4" w:space="0" w:color="auto"/>
              <w:bottom w:val="single" w:sz="4" w:space="0" w:color="auto"/>
              <w:right w:val="single" w:sz="4" w:space="0" w:color="auto"/>
            </w:tcBorders>
            <w:hideMark/>
          </w:tcPr>
          <w:p w:rsidR="0054499C" w:rsidRPr="00852E57" w:rsidRDefault="0054499C" w:rsidP="0054499C">
            <w:pPr>
              <w:spacing w:after="240"/>
              <w:jc w:val="center"/>
              <w:rPr>
                <w:rFonts w:ascii="Calibri" w:hAnsi="Calibri" w:cs="Calibri"/>
                <w:b/>
                <w:bCs/>
                <w:sz w:val="20"/>
                <w:szCs w:val="20"/>
              </w:rPr>
            </w:pPr>
            <w:r w:rsidRPr="00852E57">
              <w:rPr>
                <w:rFonts w:ascii="Calibri" w:hAnsi="Calibri" w:cs="Calibri"/>
                <w:b/>
                <w:bCs/>
                <w:sz w:val="20"/>
                <w:szCs w:val="20"/>
              </w:rPr>
              <w:t>Ostatné oblasti</w:t>
            </w:r>
          </w:p>
        </w:tc>
      </w:tr>
      <w:tr w:rsidR="0054499C" w:rsidRPr="00852E57" w:rsidTr="0054499C">
        <w:trPr>
          <w:cantSplit/>
          <w:trHeight w:hRule="exact" w:val="284"/>
          <w:jc w:val="center"/>
        </w:trPr>
        <w:tc>
          <w:tcPr>
            <w:tcW w:w="0" w:type="auto"/>
            <w:tcBorders>
              <w:top w:val="single" w:sz="4" w:space="0" w:color="auto"/>
              <w:left w:val="single" w:sz="4" w:space="0" w:color="auto"/>
              <w:bottom w:val="single" w:sz="4" w:space="0" w:color="auto"/>
              <w:right w:val="single" w:sz="4" w:space="0" w:color="auto"/>
            </w:tcBorders>
            <w:hideMark/>
          </w:tcPr>
          <w:p w:rsidR="0054499C" w:rsidRPr="00852E57" w:rsidRDefault="0054499C" w:rsidP="0054499C">
            <w:pPr>
              <w:spacing w:after="240"/>
              <w:jc w:val="center"/>
              <w:rPr>
                <w:rFonts w:ascii="Calibri" w:hAnsi="Calibri" w:cs="Calibri"/>
                <w:bCs/>
                <w:sz w:val="18"/>
                <w:szCs w:val="18"/>
              </w:rPr>
            </w:pPr>
            <w:r w:rsidRPr="00852E57">
              <w:rPr>
                <w:rFonts w:ascii="Calibri" w:hAnsi="Calibri" w:cs="Calibri"/>
                <w:bCs/>
                <w:sz w:val="18"/>
                <w:szCs w:val="18"/>
              </w:rPr>
              <w:t>Subkategória</w:t>
            </w:r>
          </w:p>
        </w:tc>
        <w:tc>
          <w:tcPr>
            <w:tcW w:w="0" w:type="auto"/>
            <w:tcBorders>
              <w:top w:val="single" w:sz="4" w:space="0" w:color="auto"/>
              <w:left w:val="single" w:sz="4" w:space="0" w:color="auto"/>
              <w:bottom w:val="single" w:sz="4" w:space="0" w:color="auto"/>
              <w:right w:val="single" w:sz="4" w:space="0" w:color="auto"/>
            </w:tcBorders>
            <w:hideMark/>
          </w:tcPr>
          <w:p w:rsidR="0054499C" w:rsidRPr="00852E57" w:rsidRDefault="0054499C" w:rsidP="0054499C">
            <w:pPr>
              <w:spacing w:after="240"/>
              <w:jc w:val="center"/>
              <w:rPr>
                <w:rFonts w:ascii="Calibri" w:hAnsi="Calibri" w:cs="Calibri"/>
                <w:sz w:val="18"/>
                <w:szCs w:val="18"/>
              </w:rPr>
            </w:pPr>
            <w:r w:rsidRPr="00852E57">
              <w:rPr>
                <w:rFonts w:ascii="Calibri" w:hAnsi="Calibri" w:cs="Calibri"/>
                <w:sz w:val="18"/>
                <w:szCs w:val="18"/>
              </w:rPr>
              <w:t>ha</w:t>
            </w:r>
          </w:p>
        </w:tc>
        <w:tc>
          <w:tcPr>
            <w:tcW w:w="0" w:type="auto"/>
            <w:tcBorders>
              <w:top w:val="single" w:sz="4" w:space="0" w:color="auto"/>
              <w:left w:val="single" w:sz="4" w:space="0" w:color="auto"/>
              <w:bottom w:val="single" w:sz="4" w:space="0" w:color="auto"/>
              <w:right w:val="single" w:sz="4" w:space="0" w:color="auto"/>
            </w:tcBorders>
            <w:hideMark/>
          </w:tcPr>
          <w:p w:rsidR="0054499C" w:rsidRPr="00852E57" w:rsidRDefault="0054499C" w:rsidP="0054499C">
            <w:pPr>
              <w:spacing w:after="240"/>
              <w:jc w:val="center"/>
              <w:rPr>
                <w:rFonts w:ascii="Calibri" w:hAnsi="Calibri" w:cs="Calibri"/>
                <w:sz w:val="18"/>
                <w:szCs w:val="18"/>
              </w:rPr>
            </w:pPr>
            <w:r w:rsidRPr="00852E57">
              <w:rPr>
                <w:rFonts w:ascii="Calibri" w:hAnsi="Calibri" w:cs="Calibri"/>
                <w:sz w:val="18"/>
                <w:szCs w:val="18"/>
              </w:rPr>
              <w:t>ha</w:t>
            </w:r>
          </w:p>
        </w:tc>
        <w:tc>
          <w:tcPr>
            <w:tcW w:w="0" w:type="auto"/>
            <w:tcBorders>
              <w:top w:val="single" w:sz="4" w:space="0" w:color="auto"/>
              <w:left w:val="single" w:sz="4" w:space="0" w:color="auto"/>
              <w:bottom w:val="single" w:sz="4" w:space="0" w:color="auto"/>
              <w:right w:val="single" w:sz="4" w:space="0" w:color="auto"/>
            </w:tcBorders>
            <w:hideMark/>
          </w:tcPr>
          <w:p w:rsidR="0054499C" w:rsidRPr="00852E57" w:rsidRDefault="0054499C" w:rsidP="0054499C">
            <w:pPr>
              <w:spacing w:after="240"/>
              <w:jc w:val="center"/>
              <w:rPr>
                <w:rFonts w:ascii="Calibri" w:hAnsi="Calibri" w:cs="Calibri"/>
                <w:sz w:val="18"/>
                <w:szCs w:val="18"/>
              </w:rPr>
            </w:pPr>
            <w:r w:rsidRPr="00852E57">
              <w:rPr>
                <w:rFonts w:ascii="Calibri" w:hAnsi="Calibri" w:cs="Calibri"/>
                <w:sz w:val="18"/>
                <w:szCs w:val="18"/>
              </w:rPr>
              <w:t>ha</w:t>
            </w:r>
          </w:p>
        </w:tc>
      </w:tr>
      <w:tr w:rsidR="0054499C" w:rsidRPr="00852E57" w:rsidTr="0054499C">
        <w:trPr>
          <w:cantSplit/>
          <w:trHeight w:hRule="exact" w:val="284"/>
          <w:jc w:val="center"/>
        </w:trPr>
        <w:tc>
          <w:tcPr>
            <w:tcW w:w="0" w:type="auto"/>
            <w:tcBorders>
              <w:top w:val="single" w:sz="4" w:space="0" w:color="auto"/>
              <w:left w:val="single" w:sz="4" w:space="0" w:color="auto"/>
              <w:bottom w:val="single" w:sz="4" w:space="0" w:color="auto"/>
              <w:right w:val="single" w:sz="4" w:space="0" w:color="auto"/>
            </w:tcBorders>
            <w:hideMark/>
          </w:tcPr>
          <w:p w:rsidR="0054499C" w:rsidRPr="00852E57" w:rsidRDefault="0054499C" w:rsidP="0054499C">
            <w:pPr>
              <w:spacing w:after="240"/>
              <w:jc w:val="center"/>
              <w:rPr>
                <w:rFonts w:ascii="Calibri" w:hAnsi="Calibri" w:cs="Calibri"/>
                <w:b/>
                <w:bCs/>
                <w:sz w:val="20"/>
                <w:szCs w:val="20"/>
              </w:rPr>
            </w:pPr>
            <w:r w:rsidRPr="00852E57">
              <w:rPr>
                <w:rFonts w:ascii="Calibri" w:hAnsi="Calibri" w:cs="Calibri"/>
                <w:b/>
                <w:bCs/>
                <w:sz w:val="20"/>
                <w:szCs w:val="20"/>
              </w:rPr>
              <w:t>H1</w:t>
            </w:r>
          </w:p>
        </w:tc>
        <w:tc>
          <w:tcPr>
            <w:tcW w:w="0" w:type="auto"/>
            <w:tcBorders>
              <w:top w:val="single" w:sz="4" w:space="0" w:color="auto"/>
              <w:left w:val="single" w:sz="4" w:space="0" w:color="auto"/>
              <w:bottom w:val="single" w:sz="4" w:space="0" w:color="auto"/>
              <w:right w:val="single" w:sz="4" w:space="0" w:color="auto"/>
            </w:tcBorders>
            <w:hideMark/>
          </w:tcPr>
          <w:p w:rsidR="0054499C" w:rsidRPr="00852E57" w:rsidRDefault="0054499C" w:rsidP="0054499C">
            <w:pPr>
              <w:spacing w:after="240"/>
              <w:jc w:val="center"/>
              <w:rPr>
                <w:rFonts w:ascii="Calibri" w:eastAsia="Arial Unicode MS" w:hAnsi="Calibri"/>
                <w:sz w:val="20"/>
                <w:szCs w:val="20"/>
              </w:rPr>
            </w:pPr>
            <w:r w:rsidRPr="00852E57">
              <w:rPr>
                <w:rFonts w:ascii="Calibri" w:hAnsi="Calibri"/>
                <w:sz w:val="20"/>
                <w:szCs w:val="20"/>
              </w:rPr>
              <w:t>230 233</w:t>
            </w:r>
          </w:p>
        </w:tc>
        <w:tc>
          <w:tcPr>
            <w:tcW w:w="0" w:type="auto"/>
            <w:tcBorders>
              <w:top w:val="single" w:sz="4" w:space="0" w:color="auto"/>
              <w:left w:val="single" w:sz="4" w:space="0" w:color="auto"/>
              <w:bottom w:val="single" w:sz="4" w:space="0" w:color="auto"/>
              <w:right w:val="single" w:sz="4" w:space="0" w:color="auto"/>
            </w:tcBorders>
            <w:hideMark/>
          </w:tcPr>
          <w:p w:rsidR="0054499C" w:rsidRPr="00852E57" w:rsidRDefault="0054499C" w:rsidP="0054499C">
            <w:pPr>
              <w:spacing w:after="240"/>
              <w:jc w:val="center"/>
              <w:rPr>
                <w:rFonts w:ascii="Calibri" w:eastAsia="Arial Unicode MS" w:hAnsi="Calibri"/>
                <w:sz w:val="20"/>
                <w:szCs w:val="20"/>
              </w:rPr>
            </w:pPr>
            <w:r w:rsidRPr="00852E57">
              <w:rPr>
                <w:rFonts w:ascii="Calibri" w:hAnsi="Calibri"/>
                <w:sz w:val="20"/>
                <w:szCs w:val="20"/>
              </w:rPr>
              <w:t>230 233</w:t>
            </w:r>
          </w:p>
        </w:tc>
        <w:tc>
          <w:tcPr>
            <w:tcW w:w="0" w:type="auto"/>
            <w:tcBorders>
              <w:top w:val="single" w:sz="4" w:space="0" w:color="auto"/>
              <w:left w:val="single" w:sz="4" w:space="0" w:color="auto"/>
              <w:bottom w:val="single" w:sz="4" w:space="0" w:color="auto"/>
              <w:right w:val="single" w:sz="4" w:space="0" w:color="auto"/>
            </w:tcBorders>
            <w:hideMark/>
          </w:tcPr>
          <w:p w:rsidR="0054499C" w:rsidRPr="00852E57" w:rsidRDefault="0054499C" w:rsidP="0054499C">
            <w:pPr>
              <w:spacing w:after="240"/>
              <w:jc w:val="center"/>
              <w:rPr>
                <w:rFonts w:ascii="Calibri" w:eastAsia="Arial Unicode MS" w:hAnsi="Calibri"/>
                <w:sz w:val="20"/>
                <w:szCs w:val="20"/>
              </w:rPr>
            </w:pPr>
            <w:r w:rsidRPr="00852E57">
              <w:rPr>
                <w:rFonts w:ascii="Calibri" w:hAnsi="Calibri"/>
                <w:sz w:val="20"/>
                <w:szCs w:val="20"/>
              </w:rPr>
              <w:t>0</w:t>
            </w:r>
          </w:p>
        </w:tc>
      </w:tr>
      <w:tr w:rsidR="0054499C" w:rsidRPr="00852E57" w:rsidTr="0054499C">
        <w:trPr>
          <w:cantSplit/>
          <w:trHeight w:hRule="exact" w:val="284"/>
          <w:jc w:val="center"/>
        </w:trPr>
        <w:tc>
          <w:tcPr>
            <w:tcW w:w="0" w:type="auto"/>
            <w:tcBorders>
              <w:top w:val="single" w:sz="4" w:space="0" w:color="auto"/>
              <w:left w:val="single" w:sz="4" w:space="0" w:color="auto"/>
              <w:bottom w:val="single" w:sz="4" w:space="0" w:color="auto"/>
              <w:right w:val="single" w:sz="4" w:space="0" w:color="auto"/>
            </w:tcBorders>
            <w:hideMark/>
          </w:tcPr>
          <w:p w:rsidR="0054499C" w:rsidRPr="00852E57" w:rsidRDefault="0054499C" w:rsidP="0054499C">
            <w:pPr>
              <w:spacing w:after="240"/>
              <w:jc w:val="center"/>
              <w:rPr>
                <w:rFonts w:ascii="Calibri" w:hAnsi="Calibri" w:cs="Calibri"/>
                <w:b/>
                <w:bCs/>
                <w:sz w:val="20"/>
                <w:szCs w:val="20"/>
              </w:rPr>
            </w:pPr>
            <w:r w:rsidRPr="00852E57">
              <w:rPr>
                <w:rFonts w:ascii="Calibri" w:hAnsi="Calibri" w:cs="Calibri"/>
                <w:b/>
                <w:bCs/>
                <w:sz w:val="20"/>
                <w:szCs w:val="20"/>
              </w:rPr>
              <w:t>H2</w:t>
            </w:r>
          </w:p>
        </w:tc>
        <w:tc>
          <w:tcPr>
            <w:tcW w:w="0" w:type="auto"/>
            <w:tcBorders>
              <w:top w:val="single" w:sz="4" w:space="0" w:color="auto"/>
              <w:left w:val="single" w:sz="4" w:space="0" w:color="auto"/>
              <w:bottom w:val="single" w:sz="4" w:space="0" w:color="auto"/>
              <w:right w:val="single" w:sz="4" w:space="0" w:color="auto"/>
            </w:tcBorders>
            <w:hideMark/>
          </w:tcPr>
          <w:p w:rsidR="0054499C" w:rsidRPr="00852E57" w:rsidRDefault="0054499C" w:rsidP="0054499C">
            <w:pPr>
              <w:spacing w:after="240"/>
              <w:jc w:val="center"/>
              <w:rPr>
                <w:rFonts w:ascii="Calibri" w:eastAsia="Arial Unicode MS" w:hAnsi="Calibri"/>
                <w:sz w:val="20"/>
                <w:szCs w:val="20"/>
              </w:rPr>
            </w:pPr>
            <w:r w:rsidRPr="00852E57">
              <w:rPr>
                <w:rFonts w:ascii="Calibri" w:hAnsi="Calibri"/>
                <w:sz w:val="20"/>
                <w:szCs w:val="20"/>
              </w:rPr>
              <w:t>114 330</w:t>
            </w:r>
          </w:p>
        </w:tc>
        <w:tc>
          <w:tcPr>
            <w:tcW w:w="0" w:type="auto"/>
            <w:tcBorders>
              <w:top w:val="single" w:sz="4" w:space="0" w:color="auto"/>
              <w:left w:val="single" w:sz="4" w:space="0" w:color="auto"/>
              <w:bottom w:val="single" w:sz="4" w:space="0" w:color="auto"/>
              <w:right w:val="single" w:sz="4" w:space="0" w:color="auto"/>
            </w:tcBorders>
            <w:hideMark/>
          </w:tcPr>
          <w:p w:rsidR="0054499C" w:rsidRPr="00852E57" w:rsidRDefault="0054499C" w:rsidP="0054499C">
            <w:pPr>
              <w:spacing w:after="240"/>
              <w:jc w:val="center"/>
              <w:rPr>
                <w:rFonts w:ascii="Calibri" w:eastAsia="Arial Unicode MS" w:hAnsi="Calibri"/>
                <w:sz w:val="20"/>
                <w:szCs w:val="20"/>
              </w:rPr>
            </w:pPr>
            <w:r w:rsidRPr="00852E57">
              <w:rPr>
                <w:rFonts w:ascii="Calibri" w:hAnsi="Calibri"/>
                <w:sz w:val="20"/>
                <w:szCs w:val="20"/>
              </w:rPr>
              <w:t>114 330</w:t>
            </w:r>
          </w:p>
        </w:tc>
        <w:tc>
          <w:tcPr>
            <w:tcW w:w="0" w:type="auto"/>
            <w:tcBorders>
              <w:top w:val="single" w:sz="4" w:space="0" w:color="auto"/>
              <w:left w:val="single" w:sz="4" w:space="0" w:color="auto"/>
              <w:bottom w:val="single" w:sz="4" w:space="0" w:color="auto"/>
              <w:right w:val="single" w:sz="4" w:space="0" w:color="auto"/>
            </w:tcBorders>
            <w:hideMark/>
          </w:tcPr>
          <w:p w:rsidR="0054499C" w:rsidRPr="00852E57" w:rsidRDefault="0054499C" w:rsidP="0054499C">
            <w:pPr>
              <w:spacing w:after="240"/>
              <w:jc w:val="center"/>
              <w:rPr>
                <w:rFonts w:ascii="Calibri" w:eastAsia="Arial Unicode MS" w:hAnsi="Calibri"/>
                <w:sz w:val="20"/>
                <w:szCs w:val="20"/>
              </w:rPr>
            </w:pPr>
            <w:r w:rsidRPr="00852E57">
              <w:rPr>
                <w:rFonts w:ascii="Calibri" w:hAnsi="Calibri"/>
                <w:sz w:val="20"/>
                <w:szCs w:val="20"/>
              </w:rPr>
              <w:t>0</w:t>
            </w:r>
          </w:p>
        </w:tc>
      </w:tr>
      <w:tr w:rsidR="0054499C" w:rsidRPr="00852E57" w:rsidTr="0054499C">
        <w:trPr>
          <w:cantSplit/>
          <w:trHeight w:hRule="exact" w:val="284"/>
          <w:jc w:val="center"/>
        </w:trPr>
        <w:tc>
          <w:tcPr>
            <w:tcW w:w="0" w:type="auto"/>
            <w:tcBorders>
              <w:top w:val="single" w:sz="4" w:space="0" w:color="auto"/>
              <w:left w:val="single" w:sz="4" w:space="0" w:color="auto"/>
              <w:bottom w:val="single" w:sz="4" w:space="0" w:color="auto"/>
              <w:right w:val="single" w:sz="4" w:space="0" w:color="auto"/>
            </w:tcBorders>
            <w:hideMark/>
          </w:tcPr>
          <w:p w:rsidR="0054499C" w:rsidRPr="00852E57" w:rsidRDefault="0054499C" w:rsidP="0054499C">
            <w:pPr>
              <w:spacing w:after="240"/>
              <w:jc w:val="center"/>
              <w:rPr>
                <w:rFonts w:ascii="Calibri" w:hAnsi="Calibri" w:cs="Calibri"/>
                <w:b/>
                <w:bCs/>
                <w:sz w:val="20"/>
                <w:szCs w:val="20"/>
              </w:rPr>
            </w:pPr>
            <w:r w:rsidRPr="00852E57">
              <w:rPr>
                <w:rFonts w:ascii="Calibri" w:hAnsi="Calibri" w:cs="Calibri"/>
                <w:b/>
                <w:bCs/>
                <w:sz w:val="20"/>
                <w:szCs w:val="20"/>
              </w:rPr>
              <w:t>H3</w:t>
            </w:r>
          </w:p>
        </w:tc>
        <w:tc>
          <w:tcPr>
            <w:tcW w:w="0" w:type="auto"/>
            <w:tcBorders>
              <w:top w:val="single" w:sz="4" w:space="0" w:color="auto"/>
              <w:left w:val="single" w:sz="4" w:space="0" w:color="auto"/>
              <w:bottom w:val="single" w:sz="4" w:space="0" w:color="auto"/>
              <w:right w:val="single" w:sz="4" w:space="0" w:color="auto"/>
            </w:tcBorders>
            <w:hideMark/>
          </w:tcPr>
          <w:p w:rsidR="0054499C" w:rsidRPr="00852E57" w:rsidRDefault="0054499C" w:rsidP="0054499C">
            <w:pPr>
              <w:spacing w:after="240"/>
              <w:jc w:val="center"/>
              <w:rPr>
                <w:rFonts w:ascii="Calibri" w:eastAsia="Arial Unicode MS" w:hAnsi="Calibri"/>
                <w:sz w:val="20"/>
                <w:szCs w:val="20"/>
              </w:rPr>
            </w:pPr>
            <w:r w:rsidRPr="00852E57">
              <w:rPr>
                <w:rFonts w:ascii="Calibri" w:hAnsi="Calibri"/>
                <w:sz w:val="20"/>
                <w:szCs w:val="20"/>
              </w:rPr>
              <w:t>96 677</w:t>
            </w:r>
          </w:p>
        </w:tc>
        <w:tc>
          <w:tcPr>
            <w:tcW w:w="0" w:type="auto"/>
            <w:tcBorders>
              <w:top w:val="single" w:sz="4" w:space="0" w:color="auto"/>
              <w:left w:val="single" w:sz="4" w:space="0" w:color="auto"/>
              <w:bottom w:val="single" w:sz="4" w:space="0" w:color="auto"/>
              <w:right w:val="single" w:sz="4" w:space="0" w:color="auto"/>
            </w:tcBorders>
            <w:hideMark/>
          </w:tcPr>
          <w:p w:rsidR="0054499C" w:rsidRPr="00852E57" w:rsidRDefault="0054499C" w:rsidP="0054499C">
            <w:pPr>
              <w:spacing w:after="240"/>
              <w:jc w:val="center"/>
              <w:rPr>
                <w:rFonts w:ascii="Calibri" w:eastAsia="Arial Unicode MS" w:hAnsi="Calibri"/>
                <w:sz w:val="20"/>
                <w:szCs w:val="20"/>
              </w:rPr>
            </w:pPr>
            <w:r w:rsidRPr="00852E57">
              <w:rPr>
                <w:rFonts w:ascii="Calibri" w:hAnsi="Calibri"/>
                <w:sz w:val="20"/>
                <w:szCs w:val="20"/>
              </w:rPr>
              <w:t>96 677</w:t>
            </w:r>
          </w:p>
        </w:tc>
        <w:tc>
          <w:tcPr>
            <w:tcW w:w="0" w:type="auto"/>
            <w:tcBorders>
              <w:top w:val="single" w:sz="4" w:space="0" w:color="auto"/>
              <w:left w:val="single" w:sz="4" w:space="0" w:color="auto"/>
              <w:bottom w:val="single" w:sz="4" w:space="0" w:color="auto"/>
              <w:right w:val="single" w:sz="4" w:space="0" w:color="auto"/>
            </w:tcBorders>
            <w:hideMark/>
          </w:tcPr>
          <w:p w:rsidR="0054499C" w:rsidRPr="00852E57" w:rsidRDefault="0054499C" w:rsidP="0054499C">
            <w:pPr>
              <w:spacing w:after="240"/>
              <w:jc w:val="center"/>
              <w:rPr>
                <w:rFonts w:ascii="Calibri" w:eastAsia="Arial Unicode MS" w:hAnsi="Calibri"/>
                <w:sz w:val="20"/>
                <w:szCs w:val="20"/>
              </w:rPr>
            </w:pPr>
            <w:r w:rsidRPr="00852E57">
              <w:rPr>
                <w:rFonts w:ascii="Calibri" w:hAnsi="Calibri"/>
                <w:sz w:val="20"/>
                <w:szCs w:val="20"/>
              </w:rPr>
              <w:t>0</w:t>
            </w:r>
          </w:p>
        </w:tc>
      </w:tr>
      <w:tr w:rsidR="0054499C" w:rsidRPr="00852E57" w:rsidTr="0054499C">
        <w:trPr>
          <w:cantSplit/>
          <w:trHeight w:hRule="exact" w:val="284"/>
          <w:jc w:val="center"/>
        </w:trPr>
        <w:tc>
          <w:tcPr>
            <w:tcW w:w="0" w:type="auto"/>
            <w:tcBorders>
              <w:top w:val="single" w:sz="4" w:space="0" w:color="auto"/>
              <w:left w:val="single" w:sz="4" w:space="0" w:color="auto"/>
              <w:bottom w:val="single" w:sz="4" w:space="0" w:color="auto"/>
              <w:right w:val="single" w:sz="4" w:space="0" w:color="auto"/>
            </w:tcBorders>
            <w:hideMark/>
          </w:tcPr>
          <w:p w:rsidR="0054499C" w:rsidRPr="00852E57" w:rsidRDefault="0054499C" w:rsidP="0054499C">
            <w:pPr>
              <w:spacing w:after="240"/>
              <w:jc w:val="center"/>
              <w:rPr>
                <w:rFonts w:ascii="Calibri" w:hAnsi="Calibri" w:cs="Calibri"/>
                <w:b/>
                <w:bCs/>
                <w:sz w:val="20"/>
                <w:szCs w:val="20"/>
              </w:rPr>
            </w:pPr>
            <w:r w:rsidRPr="00852E57">
              <w:rPr>
                <w:rFonts w:ascii="Calibri" w:hAnsi="Calibri" w:cs="Calibri"/>
                <w:b/>
                <w:bCs/>
                <w:sz w:val="20"/>
                <w:szCs w:val="20"/>
              </w:rPr>
              <w:t>H4</w:t>
            </w:r>
          </w:p>
        </w:tc>
        <w:tc>
          <w:tcPr>
            <w:tcW w:w="0" w:type="auto"/>
            <w:tcBorders>
              <w:top w:val="single" w:sz="4" w:space="0" w:color="auto"/>
              <w:left w:val="single" w:sz="4" w:space="0" w:color="auto"/>
              <w:bottom w:val="single" w:sz="4" w:space="0" w:color="auto"/>
              <w:right w:val="single" w:sz="4" w:space="0" w:color="auto"/>
            </w:tcBorders>
            <w:hideMark/>
          </w:tcPr>
          <w:p w:rsidR="0054499C" w:rsidRPr="00852E57" w:rsidRDefault="0054499C" w:rsidP="0054499C">
            <w:pPr>
              <w:spacing w:after="240"/>
              <w:jc w:val="center"/>
              <w:rPr>
                <w:rFonts w:ascii="Calibri" w:eastAsia="Arial Unicode MS" w:hAnsi="Calibri"/>
                <w:sz w:val="20"/>
                <w:szCs w:val="20"/>
              </w:rPr>
            </w:pPr>
            <w:r w:rsidRPr="00852E57">
              <w:rPr>
                <w:rFonts w:ascii="Calibri" w:hAnsi="Calibri"/>
                <w:sz w:val="20"/>
                <w:szCs w:val="20"/>
              </w:rPr>
              <w:t>45 355</w:t>
            </w:r>
          </w:p>
        </w:tc>
        <w:tc>
          <w:tcPr>
            <w:tcW w:w="0" w:type="auto"/>
            <w:tcBorders>
              <w:top w:val="single" w:sz="4" w:space="0" w:color="auto"/>
              <w:left w:val="single" w:sz="4" w:space="0" w:color="auto"/>
              <w:bottom w:val="single" w:sz="4" w:space="0" w:color="auto"/>
              <w:right w:val="single" w:sz="4" w:space="0" w:color="auto"/>
            </w:tcBorders>
            <w:hideMark/>
          </w:tcPr>
          <w:p w:rsidR="0054499C" w:rsidRPr="00852E57" w:rsidRDefault="0054499C" w:rsidP="0054499C">
            <w:pPr>
              <w:spacing w:after="240"/>
              <w:jc w:val="center"/>
              <w:rPr>
                <w:rFonts w:ascii="Calibri" w:eastAsia="Arial Unicode MS" w:hAnsi="Calibri"/>
                <w:sz w:val="20"/>
                <w:szCs w:val="20"/>
              </w:rPr>
            </w:pPr>
            <w:r w:rsidRPr="00852E57">
              <w:rPr>
                <w:rFonts w:ascii="Calibri" w:hAnsi="Calibri"/>
                <w:sz w:val="20"/>
                <w:szCs w:val="20"/>
              </w:rPr>
              <w:t>45 355</w:t>
            </w:r>
          </w:p>
        </w:tc>
        <w:tc>
          <w:tcPr>
            <w:tcW w:w="0" w:type="auto"/>
            <w:tcBorders>
              <w:top w:val="single" w:sz="4" w:space="0" w:color="auto"/>
              <w:left w:val="single" w:sz="4" w:space="0" w:color="auto"/>
              <w:bottom w:val="single" w:sz="4" w:space="0" w:color="auto"/>
              <w:right w:val="single" w:sz="4" w:space="0" w:color="auto"/>
            </w:tcBorders>
            <w:hideMark/>
          </w:tcPr>
          <w:p w:rsidR="0054499C" w:rsidRPr="00852E57" w:rsidRDefault="0054499C" w:rsidP="0054499C">
            <w:pPr>
              <w:spacing w:after="240"/>
              <w:jc w:val="center"/>
              <w:rPr>
                <w:rFonts w:ascii="Calibri" w:eastAsia="Arial Unicode MS" w:hAnsi="Calibri"/>
                <w:sz w:val="20"/>
                <w:szCs w:val="20"/>
              </w:rPr>
            </w:pPr>
            <w:r w:rsidRPr="00852E57">
              <w:rPr>
                <w:rFonts w:ascii="Calibri" w:hAnsi="Calibri"/>
                <w:sz w:val="20"/>
                <w:szCs w:val="20"/>
              </w:rPr>
              <w:t>0</w:t>
            </w:r>
          </w:p>
        </w:tc>
      </w:tr>
      <w:tr w:rsidR="0054499C" w:rsidRPr="00852E57" w:rsidTr="0054499C">
        <w:trPr>
          <w:cantSplit/>
          <w:trHeight w:hRule="exact" w:val="284"/>
          <w:jc w:val="center"/>
        </w:trPr>
        <w:tc>
          <w:tcPr>
            <w:tcW w:w="0" w:type="auto"/>
            <w:tcBorders>
              <w:top w:val="single" w:sz="4" w:space="0" w:color="auto"/>
              <w:left w:val="single" w:sz="4" w:space="0" w:color="auto"/>
              <w:bottom w:val="single" w:sz="4" w:space="0" w:color="auto"/>
              <w:right w:val="single" w:sz="4" w:space="0" w:color="auto"/>
            </w:tcBorders>
            <w:hideMark/>
          </w:tcPr>
          <w:p w:rsidR="0054499C" w:rsidRPr="00852E57" w:rsidRDefault="0054499C" w:rsidP="0054499C">
            <w:pPr>
              <w:spacing w:after="240"/>
              <w:jc w:val="center"/>
              <w:rPr>
                <w:rFonts w:ascii="Calibri" w:hAnsi="Calibri" w:cs="Calibri"/>
                <w:b/>
                <w:bCs/>
                <w:sz w:val="20"/>
                <w:szCs w:val="20"/>
              </w:rPr>
            </w:pPr>
            <w:r w:rsidRPr="00852E57">
              <w:rPr>
                <w:rFonts w:ascii="Calibri" w:hAnsi="Calibri" w:cs="Calibri"/>
                <w:b/>
                <w:bCs/>
                <w:sz w:val="20"/>
                <w:szCs w:val="20"/>
              </w:rPr>
              <w:t>Spolu</w:t>
            </w:r>
          </w:p>
        </w:tc>
        <w:tc>
          <w:tcPr>
            <w:tcW w:w="0" w:type="auto"/>
            <w:tcBorders>
              <w:top w:val="single" w:sz="4" w:space="0" w:color="auto"/>
              <w:left w:val="single" w:sz="4" w:space="0" w:color="auto"/>
              <w:bottom w:val="single" w:sz="4" w:space="0" w:color="auto"/>
              <w:right w:val="single" w:sz="4" w:space="0" w:color="auto"/>
            </w:tcBorders>
            <w:vAlign w:val="center"/>
            <w:hideMark/>
          </w:tcPr>
          <w:p w:rsidR="0054499C" w:rsidRPr="00852E57" w:rsidRDefault="0054499C" w:rsidP="0054499C">
            <w:pPr>
              <w:spacing w:after="240"/>
              <w:jc w:val="center"/>
              <w:rPr>
                <w:rFonts w:ascii="Calibri" w:eastAsia="Arial Unicode MS" w:hAnsi="Calibri"/>
                <w:b/>
                <w:bCs/>
                <w:iCs/>
                <w:sz w:val="20"/>
                <w:szCs w:val="20"/>
              </w:rPr>
            </w:pPr>
            <w:r w:rsidRPr="00852E57">
              <w:rPr>
                <w:rFonts w:ascii="Calibri" w:hAnsi="Calibri"/>
                <w:b/>
                <w:bCs/>
                <w:iCs/>
                <w:sz w:val="20"/>
                <w:szCs w:val="20"/>
              </w:rPr>
              <w:t xml:space="preserve"> 486 594</w:t>
            </w:r>
          </w:p>
        </w:tc>
        <w:tc>
          <w:tcPr>
            <w:tcW w:w="0" w:type="auto"/>
            <w:tcBorders>
              <w:top w:val="single" w:sz="4" w:space="0" w:color="auto"/>
              <w:left w:val="single" w:sz="4" w:space="0" w:color="auto"/>
              <w:bottom w:val="single" w:sz="4" w:space="0" w:color="auto"/>
              <w:right w:val="single" w:sz="4" w:space="0" w:color="auto"/>
            </w:tcBorders>
            <w:vAlign w:val="center"/>
            <w:hideMark/>
          </w:tcPr>
          <w:p w:rsidR="0054499C" w:rsidRPr="00852E57" w:rsidRDefault="0054499C" w:rsidP="0054499C">
            <w:pPr>
              <w:spacing w:after="240"/>
              <w:jc w:val="center"/>
              <w:rPr>
                <w:rFonts w:ascii="Calibri" w:eastAsia="Arial Unicode MS" w:hAnsi="Calibri"/>
                <w:b/>
                <w:bCs/>
                <w:iCs/>
                <w:sz w:val="20"/>
                <w:szCs w:val="20"/>
              </w:rPr>
            </w:pPr>
            <w:r w:rsidRPr="00852E57">
              <w:rPr>
                <w:rFonts w:ascii="Calibri" w:hAnsi="Calibri"/>
                <w:b/>
                <w:bCs/>
                <w:iCs/>
                <w:sz w:val="20"/>
                <w:szCs w:val="20"/>
              </w:rPr>
              <w:t>486 594</w:t>
            </w:r>
          </w:p>
        </w:tc>
        <w:tc>
          <w:tcPr>
            <w:tcW w:w="0" w:type="auto"/>
            <w:tcBorders>
              <w:top w:val="single" w:sz="4" w:space="0" w:color="auto"/>
              <w:left w:val="single" w:sz="4" w:space="0" w:color="auto"/>
              <w:bottom w:val="single" w:sz="4" w:space="0" w:color="auto"/>
              <w:right w:val="single" w:sz="4" w:space="0" w:color="auto"/>
            </w:tcBorders>
            <w:vAlign w:val="center"/>
            <w:hideMark/>
          </w:tcPr>
          <w:p w:rsidR="0054499C" w:rsidRPr="00852E57" w:rsidRDefault="0054499C" w:rsidP="0054499C">
            <w:pPr>
              <w:spacing w:after="240"/>
              <w:jc w:val="center"/>
              <w:rPr>
                <w:rFonts w:ascii="Calibri" w:eastAsia="Arial Unicode MS" w:hAnsi="Calibri"/>
                <w:b/>
                <w:bCs/>
                <w:iCs/>
                <w:sz w:val="20"/>
                <w:szCs w:val="20"/>
              </w:rPr>
            </w:pPr>
            <w:r w:rsidRPr="00852E57">
              <w:rPr>
                <w:rFonts w:ascii="Calibri" w:hAnsi="Calibri"/>
                <w:b/>
                <w:bCs/>
                <w:iCs/>
                <w:sz w:val="20"/>
                <w:szCs w:val="20"/>
              </w:rPr>
              <w:t>0</w:t>
            </w:r>
          </w:p>
        </w:tc>
      </w:tr>
    </w:tbl>
    <w:p w:rsidR="0054499C" w:rsidRPr="00852E57" w:rsidRDefault="0054499C" w:rsidP="0054499C">
      <w:pPr>
        <w:ind w:right="-567"/>
        <w:rPr>
          <w:rFonts w:ascii="Calibri" w:eastAsia="Calibri" w:hAnsi="Calibri" w:cs="Arial"/>
          <w:u w:val="single"/>
        </w:rPr>
      </w:pPr>
    </w:p>
    <w:p w:rsidR="0054499C" w:rsidRPr="00852E57" w:rsidRDefault="0054499C" w:rsidP="0054499C">
      <w:pPr>
        <w:ind w:right="-567"/>
        <w:rPr>
          <w:rFonts w:ascii="Calibri" w:eastAsia="Calibri" w:hAnsi="Calibri" w:cs="Arial"/>
          <w:u w:val="single"/>
        </w:rPr>
      </w:pPr>
    </w:p>
    <w:p w:rsidR="0054499C" w:rsidRPr="00852E57" w:rsidRDefault="0054499C" w:rsidP="0054499C">
      <w:pPr>
        <w:ind w:right="-567"/>
        <w:rPr>
          <w:rFonts w:ascii="Calibri" w:eastAsia="Calibri" w:hAnsi="Calibri" w:cs="Arial"/>
          <w:u w:val="single"/>
        </w:rPr>
      </w:pPr>
      <w:r w:rsidRPr="00852E57">
        <w:rPr>
          <w:rFonts w:ascii="Calibri" w:eastAsia="Calibri" w:hAnsi="Calibri" w:cs="Arial"/>
          <w:u w:val="single"/>
        </w:rPr>
        <w:t>Typ podpory:</w:t>
      </w:r>
    </w:p>
    <w:p w:rsidR="0054499C" w:rsidRPr="00852E57" w:rsidRDefault="0054499C" w:rsidP="0054499C">
      <w:pPr>
        <w:rPr>
          <w:rFonts w:ascii="Calibri" w:hAnsi="Calibri"/>
          <w:szCs w:val="20"/>
        </w:rPr>
      </w:pPr>
      <w:r w:rsidRPr="00852E57">
        <w:rPr>
          <w:rFonts w:ascii="Calibri" w:hAnsi="Calibri"/>
          <w:szCs w:val="20"/>
        </w:rPr>
        <w:t>Nezisková ročná kompenzačná platba na hektár využívanej poľnohospodárskej pôdy v príslušnej kategórii LFA.</w:t>
      </w:r>
    </w:p>
    <w:p w:rsidR="0054499C" w:rsidRPr="00852E57" w:rsidRDefault="0054499C" w:rsidP="0054499C">
      <w:pPr>
        <w:rPr>
          <w:rFonts w:ascii="Calibri" w:hAnsi="Calibri"/>
          <w:szCs w:val="20"/>
        </w:rPr>
      </w:pPr>
    </w:p>
    <w:p w:rsidR="0054499C" w:rsidRPr="00852E57" w:rsidRDefault="0054499C" w:rsidP="0054499C">
      <w:pPr>
        <w:ind w:right="-567"/>
        <w:rPr>
          <w:rFonts w:ascii="Calibri" w:eastAsia="Calibri" w:hAnsi="Calibri" w:cs="Arial"/>
          <w:u w:val="single"/>
        </w:rPr>
      </w:pPr>
      <w:r w:rsidRPr="00852E57">
        <w:rPr>
          <w:rFonts w:ascii="Calibri" w:eastAsia="Calibri" w:hAnsi="Calibri" w:cs="Arial"/>
          <w:u w:val="single"/>
        </w:rPr>
        <w:t>Prepojenie na ostatnú legislatívu:</w:t>
      </w:r>
    </w:p>
    <w:p w:rsidR="0054499C" w:rsidRPr="00852E57" w:rsidRDefault="0054499C" w:rsidP="00CE203B">
      <w:pPr>
        <w:numPr>
          <w:ilvl w:val="0"/>
          <w:numId w:val="277"/>
        </w:numPr>
        <w:rPr>
          <w:rFonts w:ascii="Calibri" w:hAnsi="Calibri" w:cs="EUAlbertina"/>
          <w:bCs/>
          <w:szCs w:val="20"/>
        </w:rPr>
      </w:pPr>
      <w:r w:rsidRPr="00852E57">
        <w:rPr>
          <w:rFonts w:ascii="Calibri" w:hAnsi="Calibri"/>
          <w:szCs w:val="20"/>
        </w:rPr>
        <w:t xml:space="preserve">nariadenie (EÚ) 1306/2013 </w:t>
      </w:r>
      <w:r w:rsidRPr="00852E57">
        <w:rPr>
          <w:rFonts w:ascii="Calibri" w:hAnsi="Calibri" w:cs="EUAlbertina"/>
          <w:bCs/>
          <w:szCs w:val="20"/>
        </w:rPr>
        <w:t xml:space="preserve">o financovaní, riadení a monitorovaní spoločnej poľnohospodárskej politiky, </w:t>
      </w:r>
    </w:p>
    <w:p w:rsidR="0054499C" w:rsidRPr="00852E57" w:rsidRDefault="0054499C" w:rsidP="00CE203B">
      <w:pPr>
        <w:numPr>
          <w:ilvl w:val="0"/>
          <w:numId w:val="277"/>
        </w:numPr>
        <w:rPr>
          <w:rFonts w:ascii="Calibri" w:hAnsi="Calibri" w:cs="Calibri"/>
          <w:bCs/>
          <w:szCs w:val="20"/>
        </w:rPr>
      </w:pPr>
      <w:r w:rsidRPr="00852E57">
        <w:rPr>
          <w:rFonts w:ascii="Calibri" w:hAnsi="Calibri" w:cs="EUAlbertina"/>
          <w:bCs/>
          <w:szCs w:val="20"/>
        </w:rPr>
        <w:t xml:space="preserve">nariadenie </w:t>
      </w:r>
      <w:r w:rsidRPr="00852E57">
        <w:rPr>
          <w:rFonts w:ascii="Calibri" w:hAnsi="Calibri"/>
          <w:szCs w:val="20"/>
        </w:rPr>
        <w:t xml:space="preserve">(EÚ) </w:t>
      </w:r>
      <w:r w:rsidRPr="00852E57">
        <w:rPr>
          <w:rFonts w:ascii="Calibri" w:hAnsi="Calibri" w:cs="EUAlbertina"/>
          <w:bCs/>
          <w:szCs w:val="20"/>
        </w:rPr>
        <w:t>č. 1307/2013, ktorým sa ustanovujú pravidlá priamych podpôr pre poľnohospodárov na základe režimov podpory v rámci spoločnej poľnohospodárskej politiky,</w:t>
      </w:r>
    </w:p>
    <w:p w:rsidR="0054499C" w:rsidRPr="00852E57" w:rsidRDefault="0054499C" w:rsidP="00CE203B">
      <w:pPr>
        <w:numPr>
          <w:ilvl w:val="0"/>
          <w:numId w:val="277"/>
        </w:numPr>
        <w:rPr>
          <w:rFonts w:ascii="Calibri" w:hAnsi="Calibri" w:cs="Calibri"/>
          <w:bCs/>
          <w:szCs w:val="20"/>
        </w:rPr>
      </w:pPr>
      <w:r w:rsidRPr="00852E57">
        <w:rPr>
          <w:rFonts w:ascii="Calibri" w:hAnsi="Calibri"/>
          <w:szCs w:val="20"/>
        </w:rPr>
        <w:t>nariadenie (EÚ)  č. 1310/2013, ktorým sa stanovujú niektoré prechodné ustanovenia o podpore rozvoja vidieka z EPFRV.</w:t>
      </w:r>
    </w:p>
    <w:p w:rsidR="0054499C" w:rsidRPr="00852E57" w:rsidRDefault="0054499C" w:rsidP="0054499C">
      <w:pPr>
        <w:ind w:right="-567"/>
        <w:rPr>
          <w:rFonts w:ascii="Calibri" w:eastAsia="Calibri" w:hAnsi="Calibri" w:cs="Arial"/>
          <w:b/>
          <w:u w:val="single"/>
        </w:rPr>
      </w:pPr>
    </w:p>
    <w:p w:rsidR="0054499C" w:rsidRPr="00852E57" w:rsidRDefault="0054499C" w:rsidP="0054499C">
      <w:pPr>
        <w:ind w:right="-567"/>
        <w:rPr>
          <w:rFonts w:ascii="Calibri" w:eastAsia="Calibri" w:hAnsi="Calibri" w:cs="Arial"/>
          <w:u w:val="single"/>
        </w:rPr>
      </w:pPr>
      <w:r w:rsidRPr="00852E57">
        <w:rPr>
          <w:rFonts w:ascii="Calibri" w:eastAsia="Calibri" w:hAnsi="Calibri" w:cs="Arial"/>
          <w:u w:val="single"/>
        </w:rPr>
        <w:t>Prijímateľ podpory</w:t>
      </w:r>
    </w:p>
    <w:p w:rsidR="0054499C" w:rsidRPr="00852E57" w:rsidRDefault="0054499C" w:rsidP="0054499C">
      <w:pPr>
        <w:spacing w:after="120"/>
        <w:rPr>
          <w:rFonts w:ascii="Calibri" w:hAnsi="Calibri" w:cs="Calibri"/>
          <w:bCs/>
          <w:szCs w:val="20"/>
        </w:rPr>
      </w:pPr>
      <w:r w:rsidRPr="00852E57">
        <w:rPr>
          <w:rFonts w:ascii="Calibri" w:hAnsi="Calibri"/>
          <w:szCs w:val="20"/>
        </w:rPr>
        <w:t xml:space="preserve">Fyzické a právnické osoby podnikajúce v poľnohospodárskej prvovýrobe spĺňajúce definíciu aktívneho farmára podľa čl. 9 nariadenia č. 1307/2013. </w:t>
      </w:r>
    </w:p>
    <w:p w:rsidR="0054499C" w:rsidRPr="00852E57" w:rsidRDefault="0054499C" w:rsidP="0054499C">
      <w:pPr>
        <w:ind w:right="-567"/>
        <w:rPr>
          <w:rFonts w:ascii="Calibri" w:eastAsia="Calibri" w:hAnsi="Calibri" w:cs="Arial"/>
          <w:u w:val="single"/>
        </w:rPr>
      </w:pPr>
      <w:r w:rsidRPr="00852E57">
        <w:rPr>
          <w:rFonts w:ascii="Calibri" w:eastAsia="Calibri" w:hAnsi="Calibri" w:cs="Arial"/>
          <w:u w:val="single"/>
        </w:rPr>
        <w:t>Oprávnené náklady:</w:t>
      </w:r>
    </w:p>
    <w:p w:rsidR="0054499C" w:rsidRPr="00852E57" w:rsidRDefault="0054499C" w:rsidP="0054499C">
      <w:pPr>
        <w:rPr>
          <w:rFonts w:ascii="Calibri" w:eastAsia="Calibri" w:hAnsi="Calibri"/>
        </w:rPr>
      </w:pPr>
      <w:r w:rsidRPr="00852E57">
        <w:rPr>
          <w:rFonts w:ascii="Calibri" w:eastAsia="Calibri" w:hAnsi="Calibri"/>
        </w:rPr>
        <w:t>Kompenzačné platby sú stanovené na hektár využívanej poľnohospodárskej pôdy pričom platba bude realizovaná ako sadzba na 1 ha oprávnenej plochy – pôdneho bloku evidovaného v LPIS. Kompenzačné platby sú diferencované podľa jednotlivých subkategórií horských znevýhodnených oblastí a príslušného výrobného zamerania. Nad stanovené plošné (veľkostné) kategórie poľnohospodárskych podnikov sa uplatňuje degresivita v zostupnej tendencii príslušných platieb.</w:t>
      </w:r>
    </w:p>
    <w:p w:rsidR="0054499C" w:rsidRPr="00852E57" w:rsidRDefault="0054499C" w:rsidP="0054499C">
      <w:pPr>
        <w:ind w:right="-567"/>
        <w:rPr>
          <w:rFonts w:ascii="Calibri" w:eastAsia="Calibri" w:hAnsi="Calibri" w:cs="Arial"/>
        </w:rPr>
      </w:pPr>
    </w:p>
    <w:p w:rsidR="0054499C" w:rsidRPr="00852E57" w:rsidRDefault="0054499C" w:rsidP="0054499C">
      <w:pPr>
        <w:ind w:right="-567"/>
        <w:rPr>
          <w:rFonts w:ascii="Calibri" w:eastAsia="Calibri" w:hAnsi="Calibri" w:cs="Arial"/>
          <w:u w:val="single"/>
        </w:rPr>
      </w:pPr>
      <w:r w:rsidRPr="00852E57">
        <w:rPr>
          <w:rFonts w:ascii="Calibri" w:eastAsia="Calibri" w:hAnsi="Calibri" w:cs="Arial"/>
          <w:u w:val="single"/>
        </w:rPr>
        <w:t>Podmienky oprávnenosti:</w:t>
      </w:r>
    </w:p>
    <w:p w:rsidR="0054499C" w:rsidRPr="00852E57" w:rsidRDefault="0054499C" w:rsidP="00CE203B">
      <w:pPr>
        <w:numPr>
          <w:ilvl w:val="0"/>
          <w:numId w:val="284"/>
        </w:numPr>
        <w:tabs>
          <w:tab w:val="left" w:pos="900"/>
          <w:tab w:val="decimal" w:pos="9000"/>
        </w:tabs>
        <w:overflowPunct w:val="0"/>
        <w:autoSpaceDE w:val="0"/>
        <w:autoSpaceDN w:val="0"/>
        <w:adjustRightInd w:val="0"/>
        <w:textAlignment w:val="baseline"/>
        <w:rPr>
          <w:rFonts w:ascii="Calibri" w:eastAsia="Calibri" w:hAnsi="Calibri"/>
          <w:lang w:eastAsia="cs-CZ"/>
        </w:rPr>
      </w:pPr>
      <w:r w:rsidRPr="00852E57">
        <w:rPr>
          <w:rFonts w:ascii="Calibri" w:eastAsia="Calibri" w:hAnsi="Calibri"/>
          <w:lang w:eastAsia="cs-CZ"/>
        </w:rPr>
        <w:t>Vstúpiť do opatrenia minimálne s 1 ha poľnohospodárskej pôdy (LPIS).</w:t>
      </w:r>
    </w:p>
    <w:p w:rsidR="0054499C" w:rsidRPr="00852E57" w:rsidRDefault="0054499C" w:rsidP="00CE203B">
      <w:pPr>
        <w:numPr>
          <w:ilvl w:val="0"/>
          <w:numId w:val="284"/>
        </w:numPr>
        <w:tabs>
          <w:tab w:val="left" w:pos="900"/>
          <w:tab w:val="decimal" w:pos="9000"/>
        </w:tabs>
        <w:overflowPunct w:val="0"/>
        <w:autoSpaceDE w:val="0"/>
        <w:autoSpaceDN w:val="0"/>
        <w:adjustRightInd w:val="0"/>
        <w:textAlignment w:val="baseline"/>
        <w:rPr>
          <w:rFonts w:ascii="Calibri" w:eastAsia="Calibri" w:hAnsi="Calibri"/>
          <w:lang w:eastAsia="cs-CZ"/>
        </w:rPr>
      </w:pPr>
      <w:r w:rsidRPr="00852E57">
        <w:rPr>
          <w:rFonts w:ascii="Calibri" w:eastAsia="Calibri" w:hAnsi="Calibri"/>
          <w:lang w:eastAsia="cs-CZ"/>
        </w:rPr>
        <w:t>Prijať záväzok vykonávať svoju poľnohospodársku činnosť v horských znevýhodnených oblastiach</w:t>
      </w:r>
    </w:p>
    <w:p w:rsidR="0054499C" w:rsidRPr="00852E57" w:rsidRDefault="0054499C" w:rsidP="0054499C">
      <w:pPr>
        <w:ind w:right="-567"/>
        <w:rPr>
          <w:rFonts w:ascii="Calibri" w:eastAsia="Calibri" w:hAnsi="Calibri" w:cs="Arial"/>
          <w:color w:val="FF0000"/>
        </w:rPr>
      </w:pPr>
    </w:p>
    <w:p w:rsidR="0054499C" w:rsidRPr="00852E57" w:rsidRDefault="0054499C" w:rsidP="0054499C">
      <w:pPr>
        <w:ind w:right="-567"/>
        <w:rPr>
          <w:rFonts w:ascii="Calibri" w:eastAsia="Calibri" w:hAnsi="Calibri" w:cs="Arial"/>
          <w:u w:val="single"/>
        </w:rPr>
      </w:pPr>
      <w:r w:rsidRPr="00852E57">
        <w:rPr>
          <w:rFonts w:ascii="Calibri" w:eastAsia="Calibri" w:hAnsi="Calibri" w:cs="Arial"/>
          <w:u w:val="single"/>
        </w:rPr>
        <w:t>Princíp nastavenia výberových kritérií:</w:t>
      </w:r>
    </w:p>
    <w:p w:rsidR="0054499C" w:rsidRPr="00852E57" w:rsidRDefault="0054499C" w:rsidP="0054499C">
      <w:pPr>
        <w:rPr>
          <w:rFonts w:ascii="Calibri" w:hAnsi="Calibri"/>
          <w:szCs w:val="20"/>
          <w:lang w:eastAsia="en-GB"/>
        </w:rPr>
      </w:pPr>
      <w:r w:rsidRPr="00852E57">
        <w:rPr>
          <w:rFonts w:ascii="Calibri" w:hAnsi="Calibri"/>
          <w:szCs w:val="20"/>
          <w:lang w:eastAsia="en-GB"/>
        </w:rPr>
        <w:t>Vzhľadom na nárokovateľnosť kompenzačných platieb sa výberové kritéria neuplatňujú.</w:t>
      </w:r>
    </w:p>
    <w:p w:rsidR="0054499C" w:rsidRPr="00852E57" w:rsidRDefault="0054499C" w:rsidP="0054499C">
      <w:pPr>
        <w:ind w:right="-567"/>
        <w:rPr>
          <w:rFonts w:ascii="Calibri" w:eastAsia="Calibri" w:hAnsi="Calibri" w:cs="Arial"/>
          <w:b/>
          <w:color w:val="FF0000"/>
        </w:rPr>
      </w:pPr>
    </w:p>
    <w:p w:rsidR="0054499C" w:rsidRPr="00852E57" w:rsidRDefault="0054499C" w:rsidP="0054499C">
      <w:pPr>
        <w:ind w:right="-567"/>
        <w:rPr>
          <w:rFonts w:ascii="Calibri" w:eastAsia="Calibri" w:hAnsi="Calibri" w:cs="Arial"/>
          <w:u w:val="single"/>
        </w:rPr>
      </w:pPr>
      <w:r w:rsidRPr="00852E57">
        <w:rPr>
          <w:rFonts w:ascii="Calibri" w:eastAsia="Calibri" w:hAnsi="Calibri" w:cs="Arial"/>
          <w:u w:val="single"/>
        </w:rPr>
        <w:t>Výška a miera podpory:</w:t>
      </w:r>
    </w:p>
    <w:p w:rsidR="0054499C" w:rsidRPr="00852E57" w:rsidRDefault="0054499C" w:rsidP="0054499C">
      <w:pPr>
        <w:rPr>
          <w:rFonts w:ascii="Calibri" w:hAnsi="Calibri"/>
          <w:iCs/>
          <w:szCs w:val="20"/>
        </w:rPr>
      </w:pPr>
      <w:r w:rsidRPr="00852E57">
        <w:rPr>
          <w:rFonts w:ascii="Calibri" w:hAnsi="Calibri"/>
          <w:iCs/>
          <w:szCs w:val="20"/>
        </w:rPr>
        <w:t>Výška podpory (€/ha):</w:t>
      </w:r>
    </w:p>
    <w:p w:rsidR="0054499C" w:rsidRPr="00852E57" w:rsidRDefault="0054499C" w:rsidP="0054499C">
      <w:pPr>
        <w:rPr>
          <w:rFonts w:ascii="Calibri" w:hAnsi="Calibri"/>
          <w:iCs/>
          <w:sz w:val="20"/>
          <w:szCs w:val="20"/>
        </w:rPr>
      </w:pPr>
      <w:r w:rsidRPr="00852E57">
        <w:rPr>
          <w:rFonts w:ascii="Calibri" w:hAnsi="Calibri"/>
          <w:iCs/>
          <w:sz w:val="20"/>
          <w:szCs w:val="20"/>
        </w:rPr>
        <w:t>V roku 2014</w:t>
      </w:r>
    </w:p>
    <w:tbl>
      <w:tblPr>
        <w:tblpPr w:leftFromText="141" w:rightFromText="141" w:vertAnchor="text" w:horzAnchor="margin" w:tblpY="90"/>
        <w:tblW w:w="2730" w:type="dxa"/>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685"/>
        <w:gridCol w:w="2045"/>
      </w:tblGrid>
      <w:tr w:rsidR="0054499C" w:rsidRPr="00852E57" w:rsidTr="0054499C">
        <w:trPr>
          <w:trHeight w:hRule="exact" w:val="340"/>
          <w:tblCellSpacing w:w="0" w:type="dxa"/>
        </w:trPr>
        <w:tc>
          <w:tcPr>
            <w:tcW w:w="685" w:type="dxa"/>
            <w:tcBorders>
              <w:top w:val="single" w:sz="4" w:space="0" w:color="auto"/>
              <w:left w:val="single" w:sz="4" w:space="0" w:color="auto"/>
              <w:bottom w:val="single" w:sz="4" w:space="0" w:color="auto"/>
              <w:right w:val="single" w:sz="4" w:space="0" w:color="auto"/>
            </w:tcBorders>
            <w:hideMark/>
          </w:tcPr>
          <w:p w:rsidR="0054499C" w:rsidRPr="00852E57" w:rsidRDefault="0054499C" w:rsidP="0054499C">
            <w:pPr>
              <w:spacing w:after="240"/>
              <w:jc w:val="center"/>
              <w:rPr>
                <w:rFonts w:ascii="Calibri" w:hAnsi="Calibri"/>
                <w:b/>
                <w:bCs/>
                <w:sz w:val="20"/>
                <w:szCs w:val="20"/>
              </w:rPr>
            </w:pPr>
            <w:r w:rsidRPr="00852E57">
              <w:rPr>
                <w:rFonts w:ascii="Calibri" w:hAnsi="Calibri"/>
                <w:b/>
                <w:bCs/>
                <w:sz w:val="20"/>
                <w:szCs w:val="20"/>
              </w:rPr>
              <w:t>H1</w:t>
            </w:r>
          </w:p>
        </w:tc>
        <w:tc>
          <w:tcPr>
            <w:tcW w:w="2045" w:type="dxa"/>
            <w:tcBorders>
              <w:top w:val="single" w:sz="4" w:space="0" w:color="auto"/>
              <w:left w:val="single" w:sz="4" w:space="0" w:color="auto"/>
              <w:bottom w:val="single" w:sz="4" w:space="0" w:color="auto"/>
              <w:right w:val="single" w:sz="4" w:space="0" w:color="auto"/>
            </w:tcBorders>
            <w:hideMark/>
          </w:tcPr>
          <w:p w:rsidR="0054499C" w:rsidRPr="00852E57" w:rsidRDefault="0054499C" w:rsidP="0054499C">
            <w:pPr>
              <w:spacing w:after="240"/>
              <w:jc w:val="center"/>
              <w:rPr>
                <w:rFonts w:ascii="Calibri" w:hAnsi="Calibri"/>
                <w:b/>
                <w:bCs/>
                <w:sz w:val="20"/>
                <w:szCs w:val="20"/>
              </w:rPr>
            </w:pPr>
            <w:r w:rsidRPr="00852E57">
              <w:rPr>
                <w:rFonts w:ascii="Calibri" w:hAnsi="Calibri"/>
                <w:b/>
                <w:bCs/>
                <w:sz w:val="20"/>
                <w:szCs w:val="20"/>
              </w:rPr>
              <w:t>120,66</w:t>
            </w:r>
          </w:p>
        </w:tc>
      </w:tr>
      <w:tr w:rsidR="0054499C" w:rsidRPr="00852E57" w:rsidTr="0054499C">
        <w:trPr>
          <w:trHeight w:hRule="exact" w:val="340"/>
          <w:tblCellSpacing w:w="0" w:type="dxa"/>
        </w:trPr>
        <w:tc>
          <w:tcPr>
            <w:tcW w:w="685" w:type="dxa"/>
            <w:tcBorders>
              <w:top w:val="single" w:sz="4" w:space="0" w:color="auto"/>
              <w:left w:val="single" w:sz="4" w:space="0" w:color="auto"/>
              <w:bottom w:val="single" w:sz="4" w:space="0" w:color="auto"/>
              <w:right w:val="single" w:sz="4" w:space="0" w:color="auto"/>
            </w:tcBorders>
            <w:hideMark/>
          </w:tcPr>
          <w:p w:rsidR="0054499C" w:rsidRPr="00852E57" w:rsidRDefault="0054499C" w:rsidP="0054499C">
            <w:pPr>
              <w:spacing w:after="240"/>
              <w:jc w:val="center"/>
              <w:rPr>
                <w:rFonts w:ascii="Calibri" w:hAnsi="Calibri"/>
                <w:b/>
                <w:bCs/>
                <w:sz w:val="20"/>
                <w:szCs w:val="20"/>
              </w:rPr>
            </w:pPr>
            <w:r w:rsidRPr="00852E57">
              <w:rPr>
                <w:rFonts w:ascii="Calibri" w:hAnsi="Calibri"/>
                <w:b/>
                <w:bCs/>
                <w:sz w:val="20"/>
                <w:szCs w:val="20"/>
              </w:rPr>
              <w:t>H2</w:t>
            </w:r>
          </w:p>
        </w:tc>
        <w:tc>
          <w:tcPr>
            <w:tcW w:w="2045" w:type="dxa"/>
            <w:tcBorders>
              <w:top w:val="single" w:sz="4" w:space="0" w:color="auto"/>
              <w:left w:val="single" w:sz="4" w:space="0" w:color="auto"/>
              <w:bottom w:val="single" w:sz="4" w:space="0" w:color="auto"/>
              <w:right w:val="single" w:sz="4" w:space="0" w:color="auto"/>
            </w:tcBorders>
            <w:hideMark/>
          </w:tcPr>
          <w:p w:rsidR="0054499C" w:rsidRPr="00852E57" w:rsidRDefault="0054499C" w:rsidP="0054499C">
            <w:pPr>
              <w:spacing w:after="240"/>
              <w:jc w:val="center"/>
              <w:rPr>
                <w:rFonts w:ascii="Calibri" w:hAnsi="Calibri"/>
                <w:b/>
                <w:bCs/>
                <w:sz w:val="20"/>
                <w:szCs w:val="20"/>
              </w:rPr>
            </w:pPr>
            <w:r w:rsidRPr="00852E57">
              <w:rPr>
                <w:rFonts w:ascii="Calibri" w:hAnsi="Calibri"/>
                <w:b/>
                <w:bCs/>
                <w:sz w:val="20"/>
                <w:szCs w:val="20"/>
              </w:rPr>
              <w:t>109,70</w:t>
            </w:r>
          </w:p>
        </w:tc>
      </w:tr>
      <w:tr w:rsidR="0054499C" w:rsidRPr="00852E57" w:rsidTr="0054499C">
        <w:trPr>
          <w:trHeight w:hRule="exact" w:val="340"/>
          <w:tblCellSpacing w:w="0" w:type="dxa"/>
        </w:trPr>
        <w:tc>
          <w:tcPr>
            <w:tcW w:w="685" w:type="dxa"/>
            <w:tcBorders>
              <w:top w:val="single" w:sz="4" w:space="0" w:color="auto"/>
              <w:left w:val="single" w:sz="4" w:space="0" w:color="auto"/>
              <w:bottom w:val="single" w:sz="4" w:space="0" w:color="auto"/>
              <w:right w:val="single" w:sz="4" w:space="0" w:color="auto"/>
            </w:tcBorders>
            <w:hideMark/>
          </w:tcPr>
          <w:p w:rsidR="0054499C" w:rsidRPr="00852E57" w:rsidRDefault="0054499C" w:rsidP="0054499C">
            <w:pPr>
              <w:spacing w:after="240"/>
              <w:jc w:val="center"/>
              <w:rPr>
                <w:rFonts w:ascii="Calibri" w:hAnsi="Calibri"/>
                <w:b/>
                <w:bCs/>
                <w:sz w:val="20"/>
                <w:szCs w:val="20"/>
              </w:rPr>
            </w:pPr>
            <w:r w:rsidRPr="00852E57">
              <w:rPr>
                <w:rFonts w:ascii="Calibri" w:hAnsi="Calibri"/>
                <w:b/>
                <w:bCs/>
                <w:sz w:val="20"/>
                <w:szCs w:val="20"/>
              </w:rPr>
              <w:t>H3</w:t>
            </w:r>
          </w:p>
        </w:tc>
        <w:tc>
          <w:tcPr>
            <w:tcW w:w="2045" w:type="dxa"/>
            <w:tcBorders>
              <w:top w:val="single" w:sz="4" w:space="0" w:color="auto"/>
              <w:left w:val="single" w:sz="4" w:space="0" w:color="auto"/>
              <w:bottom w:val="single" w:sz="4" w:space="0" w:color="auto"/>
              <w:right w:val="single" w:sz="4" w:space="0" w:color="auto"/>
            </w:tcBorders>
            <w:hideMark/>
          </w:tcPr>
          <w:p w:rsidR="0054499C" w:rsidRPr="00852E57" w:rsidRDefault="0054499C" w:rsidP="0054499C">
            <w:pPr>
              <w:spacing w:after="240"/>
              <w:jc w:val="center"/>
              <w:rPr>
                <w:rFonts w:ascii="Calibri" w:hAnsi="Calibri"/>
                <w:b/>
                <w:bCs/>
                <w:sz w:val="20"/>
                <w:szCs w:val="20"/>
              </w:rPr>
            </w:pPr>
            <w:r w:rsidRPr="00852E57">
              <w:rPr>
                <w:rFonts w:ascii="Calibri" w:hAnsi="Calibri"/>
                <w:b/>
                <w:bCs/>
                <w:sz w:val="20"/>
                <w:szCs w:val="20"/>
              </w:rPr>
              <w:t>98,74</w:t>
            </w:r>
          </w:p>
        </w:tc>
      </w:tr>
      <w:tr w:rsidR="0054499C" w:rsidRPr="00852E57" w:rsidTr="0054499C">
        <w:trPr>
          <w:trHeight w:hRule="exact" w:val="340"/>
          <w:tblCellSpacing w:w="0" w:type="dxa"/>
        </w:trPr>
        <w:tc>
          <w:tcPr>
            <w:tcW w:w="685" w:type="dxa"/>
            <w:tcBorders>
              <w:top w:val="single" w:sz="4" w:space="0" w:color="auto"/>
              <w:left w:val="single" w:sz="4" w:space="0" w:color="auto"/>
              <w:bottom w:val="single" w:sz="4" w:space="0" w:color="auto"/>
              <w:right w:val="single" w:sz="4" w:space="0" w:color="auto"/>
            </w:tcBorders>
            <w:hideMark/>
          </w:tcPr>
          <w:p w:rsidR="0054499C" w:rsidRPr="00852E57" w:rsidRDefault="0054499C" w:rsidP="0054499C">
            <w:pPr>
              <w:spacing w:after="240"/>
              <w:jc w:val="center"/>
              <w:rPr>
                <w:rFonts w:ascii="Calibri" w:hAnsi="Calibri"/>
                <w:b/>
                <w:bCs/>
                <w:sz w:val="20"/>
                <w:szCs w:val="20"/>
              </w:rPr>
            </w:pPr>
            <w:r w:rsidRPr="00852E57">
              <w:rPr>
                <w:rFonts w:ascii="Calibri" w:hAnsi="Calibri"/>
                <w:b/>
                <w:bCs/>
                <w:sz w:val="20"/>
                <w:szCs w:val="20"/>
              </w:rPr>
              <w:t>H4</w:t>
            </w:r>
          </w:p>
        </w:tc>
        <w:tc>
          <w:tcPr>
            <w:tcW w:w="2045" w:type="dxa"/>
            <w:tcBorders>
              <w:top w:val="single" w:sz="4" w:space="0" w:color="auto"/>
              <w:left w:val="single" w:sz="4" w:space="0" w:color="auto"/>
              <w:bottom w:val="single" w:sz="4" w:space="0" w:color="auto"/>
              <w:right w:val="single" w:sz="4" w:space="0" w:color="auto"/>
            </w:tcBorders>
            <w:hideMark/>
          </w:tcPr>
          <w:p w:rsidR="0054499C" w:rsidRPr="00852E57" w:rsidRDefault="0054499C" w:rsidP="0054499C">
            <w:pPr>
              <w:spacing w:after="240"/>
              <w:jc w:val="center"/>
              <w:rPr>
                <w:rFonts w:ascii="Calibri" w:hAnsi="Calibri"/>
                <w:b/>
                <w:bCs/>
                <w:sz w:val="20"/>
                <w:szCs w:val="20"/>
              </w:rPr>
            </w:pPr>
            <w:r w:rsidRPr="00852E57">
              <w:rPr>
                <w:rFonts w:ascii="Calibri" w:hAnsi="Calibri"/>
                <w:b/>
                <w:bCs/>
                <w:sz w:val="20"/>
                <w:szCs w:val="20"/>
              </w:rPr>
              <w:t>82,27</w:t>
            </w:r>
          </w:p>
        </w:tc>
      </w:tr>
    </w:tbl>
    <w:p w:rsidR="0054499C" w:rsidRPr="00852E57" w:rsidRDefault="0054499C" w:rsidP="0054499C">
      <w:pPr>
        <w:rPr>
          <w:rFonts w:ascii="Calibri" w:hAnsi="Calibri"/>
          <w:iCs/>
          <w:sz w:val="20"/>
          <w:szCs w:val="20"/>
        </w:rPr>
      </w:pPr>
    </w:p>
    <w:p w:rsidR="0054499C" w:rsidRPr="00852E57" w:rsidRDefault="0054499C" w:rsidP="0054499C">
      <w:pPr>
        <w:rPr>
          <w:rFonts w:ascii="Calibri" w:hAnsi="Calibri"/>
          <w:iCs/>
          <w:sz w:val="20"/>
          <w:szCs w:val="20"/>
        </w:rPr>
      </w:pPr>
    </w:p>
    <w:p w:rsidR="0054499C" w:rsidRPr="00852E57" w:rsidRDefault="0054499C" w:rsidP="0054499C">
      <w:pPr>
        <w:rPr>
          <w:rFonts w:ascii="Calibri" w:hAnsi="Calibri"/>
          <w:b/>
          <w:bCs/>
          <w:sz w:val="20"/>
          <w:szCs w:val="20"/>
        </w:rPr>
      </w:pPr>
    </w:p>
    <w:p w:rsidR="0054499C" w:rsidRPr="00852E57" w:rsidRDefault="0054499C" w:rsidP="0054499C">
      <w:pPr>
        <w:rPr>
          <w:rFonts w:ascii="Calibri" w:hAnsi="Calibri"/>
          <w:b/>
          <w:bCs/>
          <w:sz w:val="20"/>
          <w:szCs w:val="20"/>
        </w:rPr>
      </w:pPr>
    </w:p>
    <w:p w:rsidR="0054499C" w:rsidRPr="00852E57" w:rsidRDefault="0054499C" w:rsidP="0054499C">
      <w:pPr>
        <w:rPr>
          <w:rFonts w:ascii="Calibri" w:hAnsi="Calibri"/>
          <w:b/>
          <w:bCs/>
          <w:sz w:val="20"/>
          <w:szCs w:val="20"/>
        </w:rPr>
      </w:pPr>
    </w:p>
    <w:p w:rsidR="0054499C" w:rsidRPr="00852E57" w:rsidRDefault="0054499C" w:rsidP="0054499C">
      <w:pPr>
        <w:rPr>
          <w:rFonts w:ascii="Calibri" w:hAnsi="Calibri"/>
          <w:b/>
          <w:bCs/>
          <w:sz w:val="20"/>
          <w:szCs w:val="20"/>
        </w:rPr>
      </w:pPr>
    </w:p>
    <w:p w:rsidR="0054499C" w:rsidRPr="00852E57" w:rsidRDefault="0054499C" w:rsidP="0054499C">
      <w:pPr>
        <w:rPr>
          <w:rFonts w:ascii="Calibri" w:hAnsi="Calibri"/>
          <w:b/>
          <w:bCs/>
          <w:sz w:val="20"/>
          <w:szCs w:val="20"/>
        </w:rPr>
      </w:pPr>
    </w:p>
    <w:p w:rsidR="0054499C" w:rsidRPr="00852E57" w:rsidRDefault="0054499C" w:rsidP="0054499C">
      <w:pPr>
        <w:rPr>
          <w:rFonts w:ascii="Calibri" w:hAnsi="Calibri"/>
          <w:bCs/>
          <w:sz w:val="20"/>
          <w:szCs w:val="20"/>
        </w:rPr>
      </w:pPr>
      <w:r w:rsidRPr="00852E57">
        <w:rPr>
          <w:rFonts w:ascii="Calibri" w:hAnsi="Calibri"/>
          <w:bCs/>
          <w:sz w:val="20"/>
          <w:szCs w:val="20"/>
        </w:rPr>
        <w:t>V rokoch 2015-2020</w:t>
      </w:r>
    </w:p>
    <w:tbl>
      <w:tblPr>
        <w:tblpPr w:leftFromText="141" w:rightFromText="141" w:vertAnchor="text" w:horzAnchor="margin" w:tblpY="99"/>
        <w:tblW w:w="9097" w:type="dxa"/>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685"/>
        <w:gridCol w:w="2045"/>
        <w:gridCol w:w="932"/>
        <w:gridCol w:w="2160"/>
        <w:gridCol w:w="868"/>
        <w:gridCol w:w="2407"/>
      </w:tblGrid>
      <w:tr w:rsidR="0054499C" w:rsidRPr="00852E57" w:rsidTr="0054499C">
        <w:trPr>
          <w:trHeight w:hRule="exact" w:val="340"/>
          <w:tblCellSpacing w:w="0" w:type="dxa"/>
        </w:trPr>
        <w:tc>
          <w:tcPr>
            <w:tcW w:w="685" w:type="dxa"/>
            <w:tcBorders>
              <w:top w:val="single" w:sz="4" w:space="0" w:color="auto"/>
              <w:left w:val="single" w:sz="4" w:space="0" w:color="auto"/>
              <w:bottom w:val="single" w:sz="4" w:space="0" w:color="auto"/>
              <w:right w:val="single" w:sz="4" w:space="0" w:color="auto"/>
            </w:tcBorders>
            <w:shd w:val="clear" w:color="auto" w:fill="EAF1DD" w:themeFill="accent3" w:themeFillTint="33"/>
            <w:hideMark/>
          </w:tcPr>
          <w:p w:rsidR="0054499C" w:rsidRPr="00852E57" w:rsidRDefault="0054499C" w:rsidP="0054499C">
            <w:pPr>
              <w:spacing w:after="240"/>
              <w:jc w:val="center"/>
              <w:rPr>
                <w:rFonts w:ascii="Calibri" w:hAnsi="Calibri"/>
                <w:sz w:val="20"/>
                <w:szCs w:val="20"/>
              </w:rPr>
            </w:pPr>
            <w:r w:rsidRPr="00852E57">
              <w:rPr>
                <w:rFonts w:ascii="Calibri" w:hAnsi="Calibri"/>
                <w:b/>
                <w:bCs/>
                <w:sz w:val="20"/>
                <w:szCs w:val="20"/>
              </w:rPr>
              <w:t>LFA</w:t>
            </w:r>
          </w:p>
        </w:tc>
        <w:tc>
          <w:tcPr>
            <w:tcW w:w="2045" w:type="dxa"/>
            <w:tcBorders>
              <w:top w:val="single" w:sz="4" w:space="0" w:color="auto"/>
              <w:left w:val="single" w:sz="4" w:space="0" w:color="auto"/>
              <w:bottom w:val="single" w:sz="4" w:space="0" w:color="auto"/>
              <w:right w:val="single" w:sz="4" w:space="0" w:color="auto"/>
            </w:tcBorders>
            <w:shd w:val="clear" w:color="auto" w:fill="EAF1DD" w:themeFill="accent3" w:themeFillTint="33"/>
            <w:hideMark/>
          </w:tcPr>
          <w:p w:rsidR="0054499C" w:rsidRPr="00852E57" w:rsidRDefault="0054499C" w:rsidP="0054499C">
            <w:pPr>
              <w:spacing w:after="240"/>
              <w:jc w:val="center"/>
              <w:rPr>
                <w:rFonts w:ascii="Calibri" w:hAnsi="Calibri"/>
                <w:sz w:val="20"/>
                <w:szCs w:val="20"/>
              </w:rPr>
            </w:pPr>
            <w:r w:rsidRPr="00852E57">
              <w:rPr>
                <w:rFonts w:ascii="Calibri" w:hAnsi="Calibri"/>
                <w:b/>
                <w:bCs/>
                <w:sz w:val="20"/>
                <w:szCs w:val="20"/>
              </w:rPr>
              <w:t>Rastlinná výroba</w:t>
            </w:r>
          </w:p>
        </w:tc>
        <w:tc>
          <w:tcPr>
            <w:tcW w:w="932" w:type="dxa"/>
            <w:tcBorders>
              <w:top w:val="single" w:sz="4" w:space="0" w:color="auto"/>
              <w:left w:val="single" w:sz="4" w:space="0" w:color="auto"/>
              <w:bottom w:val="single" w:sz="4" w:space="0" w:color="auto"/>
              <w:right w:val="single" w:sz="4" w:space="0" w:color="auto"/>
            </w:tcBorders>
            <w:shd w:val="clear" w:color="auto" w:fill="EAF1DD" w:themeFill="accent3" w:themeFillTint="33"/>
            <w:hideMark/>
          </w:tcPr>
          <w:p w:rsidR="0054499C" w:rsidRPr="00852E57" w:rsidRDefault="0054499C" w:rsidP="0054499C">
            <w:pPr>
              <w:spacing w:after="240"/>
              <w:jc w:val="center"/>
              <w:rPr>
                <w:rFonts w:ascii="Calibri" w:hAnsi="Calibri"/>
                <w:sz w:val="20"/>
                <w:szCs w:val="20"/>
              </w:rPr>
            </w:pPr>
            <w:r w:rsidRPr="00852E57">
              <w:rPr>
                <w:rFonts w:ascii="Calibri" w:hAnsi="Calibri"/>
                <w:b/>
                <w:bCs/>
                <w:sz w:val="20"/>
                <w:szCs w:val="20"/>
              </w:rPr>
              <w:t>LFA</w:t>
            </w:r>
          </w:p>
        </w:tc>
        <w:tc>
          <w:tcPr>
            <w:tcW w:w="2160" w:type="dxa"/>
            <w:tcBorders>
              <w:top w:val="single" w:sz="4" w:space="0" w:color="auto"/>
              <w:left w:val="single" w:sz="4" w:space="0" w:color="auto"/>
              <w:bottom w:val="single" w:sz="4" w:space="0" w:color="auto"/>
              <w:right w:val="single" w:sz="4" w:space="0" w:color="auto"/>
            </w:tcBorders>
            <w:shd w:val="clear" w:color="auto" w:fill="EAF1DD" w:themeFill="accent3" w:themeFillTint="33"/>
            <w:hideMark/>
          </w:tcPr>
          <w:p w:rsidR="0054499C" w:rsidRPr="00852E57" w:rsidRDefault="0054499C" w:rsidP="0054499C">
            <w:pPr>
              <w:spacing w:after="240"/>
              <w:jc w:val="center"/>
              <w:rPr>
                <w:rFonts w:ascii="Calibri" w:hAnsi="Calibri"/>
                <w:sz w:val="20"/>
                <w:szCs w:val="20"/>
              </w:rPr>
            </w:pPr>
            <w:r w:rsidRPr="00852E57">
              <w:rPr>
                <w:rFonts w:ascii="Calibri" w:hAnsi="Calibri"/>
                <w:b/>
                <w:bCs/>
                <w:sz w:val="20"/>
                <w:szCs w:val="20"/>
              </w:rPr>
              <w:t>Zmiešaná výroba</w:t>
            </w:r>
          </w:p>
        </w:tc>
        <w:tc>
          <w:tcPr>
            <w:tcW w:w="868" w:type="dxa"/>
            <w:tcBorders>
              <w:top w:val="single" w:sz="4" w:space="0" w:color="auto"/>
              <w:left w:val="single" w:sz="4" w:space="0" w:color="auto"/>
              <w:bottom w:val="single" w:sz="4" w:space="0" w:color="auto"/>
              <w:right w:val="single" w:sz="4" w:space="0" w:color="auto"/>
            </w:tcBorders>
            <w:shd w:val="clear" w:color="auto" w:fill="EAF1DD" w:themeFill="accent3" w:themeFillTint="33"/>
            <w:hideMark/>
          </w:tcPr>
          <w:p w:rsidR="0054499C" w:rsidRPr="00852E57" w:rsidRDefault="0054499C" w:rsidP="0054499C">
            <w:pPr>
              <w:spacing w:after="240"/>
              <w:jc w:val="center"/>
              <w:rPr>
                <w:rFonts w:ascii="Calibri" w:hAnsi="Calibri"/>
                <w:sz w:val="20"/>
                <w:szCs w:val="20"/>
              </w:rPr>
            </w:pPr>
            <w:r w:rsidRPr="00852E57">
              <w:rPr>
                <w:rFonts w:ascii="Calibri" w:hAnsi="Calibri"/>
                <w:b/>
                <w:bCs/>
                <w:sz w:val="20"/>
                <w:szCs w:val="20"/>
              </w:rPr>
              <w:t>LFA</w:t>
            </w:r>
          </w:p>
        </w:tc>
        <w:tc>
          <w:tcPr>
            <w:tcW w:w="2407" w:type="dxa"/>
            <w:tcBorders>
              <w:top w:val="single" w:sz="4" w:space="0" w:color="auto"/>
              <w:left w:val="single" w:sz="4" w:space="0" w:color="auto"/>
              <w:bottom w:val="single" w:sz="4" w:space="0" w:color="auto"/>
              <w:right w:val="single" w:sz="4" w:space="0" w:color="auto"/>
            </w:tcBorders>
            <w:shd w:val="clear" w:color="auto" w:fill="EAF1DD" w:themeFill="accent3" w:themeFillTint="33"/>
            <w:hideMark/>
          </w:tcPr>
          <w:p w:rsidR="0054499C" w:rsidRPr="00852E57" w:rsidRDefault="0054499C" w:rsidP="0054499C">
            <w:pPr>
              <w:spacing w:after="240"/>
              <w:jc w:val="center"/>
              <w:rPr>
                <w:rFonts w:ascii="Calibri" w:hAnsi="Calibri"/>
                <w:sz w:val="20"/>
                <w:szCs w:val="20"/>
              </w:rPr>
            </w:pPr>
            <w:r w:rsidRPr="00852E57">
              <w:rPr>
                <w:rFonts w:ascii="Calibri" w:hAnsi="Calibri"/>
                <w:b/>
                <w:bCs/>
                <w:sz w:val="20"/>
                <w:szCs w:val="20"/>
              </w:rPr>
              <w:t>Živočíšna výroba</w:t>
            </w:r>
          </w:p>
        </w:tc>
      </w:tr>
      <w:tr w:rsidR="0054499C" w:rsidRPr="00852E57" w:rsidTr="0054499C">
        <w:trPr>
          <w:trHeight w:hRule="exact" w:val="340"/>
          <w:tblCellSpacing w:w="0" w:type="dxa"/>
        </w:trPr>
        <w:tc>
          <w:tcPr>
            <w:tcW w:w="685" w:type="dxa"/>
            <w:tcBorders>
              <w:top w:val="single" w:sz="4" w:space="0" w:color="auto"/>
              <w:left w:val="single" w:sz="4" w:space="0" w:color="auto"/>
              <w:bottom w:val="single" w:sz="4" w:space="0" w:color="auto"/>
              <w:right w:val="single" w:sz="4" w:space="0" w:color="auto"/>
            </w:tcBorders>
            <w:hideMark/>
          </w:tcPr>
          <w:p w:rsidR="0054499C" w:rsidRPr="00852E57" w:rsidRDefault="0054499C" w:rsidP="0054499C">
            <w:pPr>
              <w:spacing w:after="240"/>
              <w:jc w:val="center"/>
              <w:rPr>
                <w:rFonts w:ascii="Calibri" w:hAnsi="Calibri"/>
                <w:sz w:val="20"/>
                <w:szCs w:val="20"/>
              </w:rPr>
            </w:pPr>
            <w:r w:rsidRPr="00852E57">
              <w:rPr>
                <w:rFonts w:ascii="Calibri" w:hAnsi="Calibri"/>
                <w:b/>
                <w:bCs/>
                <w:sz w:val="20"/>
                <w:szCs w:val="20"/>
              </w:rPr>
              <w:t>H1</w:t>
            </w:r>
          </w:p>
        </w:tc>
        <w:tc>
          <w:tcPr>
            <w:tcW w:w="2045" w:type="dxa"/>
            <w:tcBorders>
              <w:top w:val="single" w:sz="4" w:space="0" w:color="auto"/>
              <w:left w:val="single" w:sz="4" w:space="0" w:color="auto"/>
              <w:bottom w:val="single" w:sz="4" w:space="0" w:color="auto"/>
              <w:right w:val="single" w:sz="4" w:space="0" w:color="auto"/>
            </w:tcBorders>
            <w:hideMark/>
          </w:tcPr>
          <w:p w:rsidR="0054499C" w:rsidRPr="00852E57" w:rsidRDefault="0054499C" w:rsidP="0054499C">
            <w:pPr>
              <w:spacing w:after="240"/>
              <w:jc w:val="center"/>
              <w:rPr>
                <w:rFonts w:ascii="Calibri" w:hAnsi="Calibri"/>
                <w:sz w:val="20"/>
                <w:szCs w:val="20"/>
              </w:rPr>
            </w:pPr>
            <w:r w:rsidRPr="00852E57">
              <w:rPr>
                <w:rFonts w:ascii="Calibri" w:hAnsi="Calibri"/>
                <w:b/>
                <w:bCs/>
                <w:sz w:val="20"/>
                <w:szCs w:val="20"/>
              </w:rPr>
              <w:t>37,02</w:t>
            </w:r>
          </w:p>
        </w:tc>
        <w:tc>
          <w:tcPr>
            <w:tcW w:w="932" w:type="dxa"/>
            <w:tcBorders>
              <w:top w:val="single" w:sz="4" w:space="0" w:color="auto"/>
              <w:left w:val="single" w:sz="4" w:space="0" w:color="auto"/>
              <w:bottom w:val="single" w:sz="4" w:space="0" w:color="auto"/>
              <w:right w:val="single" w:sz="4" w:space="0" w:color="auto"/>
            </w:tcBorders>
            <w:hideMark/>
          </w:tcPr>
          <w:p w:rsidR="0054499C" w:rsidRPr="00852E57" w:rsidRDefault="0054499C" w:rsidP="0054499C">
            <w:pPr>
              <w:spacing w:after="240"/>
              <w:jc w:val="center"/>
              <w:rPr>
                <w:rFonts w:ascii="Calibri" w:hAnsi="Calibri"/>
                <w:sz w:val="20"/>
                <w:szCs w:val="20"/>
              </w:rPr>
            </w:pPr>
            <w:r w:rsidRPr="00852E57">
              <w:rPr>
                <w:rFonts w:ascii="Calibri" w:hAnsi="Calibri"/>
                <w:b/>
                <w:bCs/>
                <w:sz w:val="20"/>
                <w:szCs w:val="20"/>
              </w:rPr>
              <w:t>H1</w:t>
            </w:r>
          </w:p>
        </w:tc>
        <w:tc>
          <w:tcPr>
            <w:tcW w:w="2160" w:type="dxa"/>
            <w:tcBorders>
              <w:top w:val="single" w:sz="4" w:space="0" w:color="auto"/>
              <w:left w:val="single" w:sz="4" w:space="0" w:color="auto"/>
              <w:bottom w:val="single" w:sz="4" w:space="0" w:color="auto"/>
              <w:right w:val="single" w:sz="4" w:space="0" w:color="auto"/>
            </w:tcBorders>
            <w:hideMark/>
          </w:tcPr>
          <w:p w:rsidR="0054499C" w:rsidRPr="00852E57" w:rsidRDefault="0054499C" w:rsidP="0054499C">
            <w:pPr>
              <w:spacing w:after="240"/>
              <w:jc w:val="center"/>
              <w:rPr>
                <w:rFonts w:ascii="Calibri" w:hAnsi="Calibri"/>
                <w:sz w:val="20"/>
                <w:szCs w:val="20"/>
              </w:rPr>
            </w:pPr>
            <w:r w:rsidRPr="00852E57">
              <w:rPr>
                <w:rFonts w:ascii="Calibri" w:hAnsi="Calibri"/>
                <w:b/>
                <w:bCs/>
                <w:sz w:val="20"/>
                <w:szCs w:val="20"/>
              </w:rPr>
              <w:t>81,68</w:t>
            </w:r>
          </w:p>
        </w:tc>
        <w:tc>
          <w:tcPr>
            <w:tcW w:w="868" w:type="dxa"/>
            <w:tcBorders>
              <w:top w:val="single" w:sz="4" w:space="0" w:color="auto"/>
              <w:left w:val="single" w:sz="4" w:space="0" w:color="auto"/>
              <w:bottom w:val="single" w:sz="4" w:space="0" w:color="auto"/>
              <w:right w:val="single" w:sz="4" w:space="0" w:color="auto"/>
            </w:tcBorders>
            <w:hideMark/>
          </w:tcPr>
          <w:p w:rsidR="0054499C" w:rsidRPr="00852E57" w:rsidRDefault="0054499C" w:rsidP="0054499C">
            <w:pPr>
              <w:spacing w:after="240"/>
              <w:jc w:val="center"/>
              <w:rPr>
                <w:rFonts w:ascii="Calibri" w:hAnsi="Calibri"/>
                <w:sz w:val="20"/>
                <w:szCs w:val="20"/>
              </w:rPr>
            </w:pPr>
            <w:r w:rsidRPr="00852E57">
              <w:rPr>
                <w:rFonts w:ascii="Calibri" w:hAnsi="Calibri"/>
                <w:b/>
                <w:bCs/>
                <w:sz w:val="20"/>
                <w:szCs w:val="20"/>
              </w:rPr>
              <w:t>H1</w:t>
            </w:r>
          </w:p>
        </w:tc>
        <w:tc>
          <w:tcPr>
            <w:tcW w:w="2407" w:type="dxa"/>
            <w:tcBorders>
              <w:top w:val="single" w:sz="4" w:space="0" w:color="auto"/>
              <w:left w:val="single" w:sz="4" w:space="0" w:color="auto"/>
              <w:bottom w:val="single" w:sz="4" w:space="0" w:color="auto"/>
              <w:right w:val="single" w:sz="4" w:space="0" w:color="auto"/>
            </w:tcBorders>
            <w:hideMark/>
          </w:tcPr>
          <w:p w:rsidR="0054499C" w:rsidRPr="00852E57" w:rsidRDefault="0054499C" w:rsidP="0054499C">
            <w:pPr>
              <w:spacing w:after="240"/>
              <w:jc w:val="center"/>
              <w:rPr>
                <w:rFonts w:ascii="Calibri" w:hAnsi="Calibri"/>
                <w:sz w:val="20"/>
                <w:szCs w:val="20"/>
              </w:rPr>
            </w:pPr>
            <w:r w:rsidRPr="00852E57">
              <w:rPr>
                <w:rFonts w:ascii="Calibri" w:hAnsi="Calibri"/>
                <w:b/>
                <w:bCs/>
                <w:sz w:val="20"/>
                <w:szCs w:val="20"/>
              </w:rPr>
              <w:t>122,04</w:t>
            </w:r>
          </w:p>
        </w:tc>
      </w:tr>
      <w:tr w:rsidR="0054499C" w:rsidRPr="00852E57" w:rsidTr="0054499C">
        <w:trPr>
          <w:trHeight w:hRule="exact" w:val="340"/>
          <w:tblCellSpacing w:w="0" w:type="dxa"/>
        </w:trPr>
        <w:tc>
          <w:tcPr>
            <w:tcW w:w="685" w:type="dxa"/>
            <w:tcBorders>
              <w:top w:val="single" w:sz="4" w:space="0" w:color="auto"/>
              <w:left w:val="single" w:sz="4" w:space="0" w:color="auto"/>
              <w:bottom w:val="single" w:sz="4" w:space="0" w:color="auto"/>
              <w:right w:val="single" w:sz="4" w:space="0" w:color="auto"/>
            </w:tcBorders>
            <w:hideMark/>
          </w:tcPr>
          <w:p w:rsidR="0054499C" w:rsidRPr="00852E57" w:rsidRDefault="0054499C" w:rsidP="0054499C">
            <w:pPr>
              <w:spacing w:after="240"/>
              <w:jc w:val="center"/>
              <w:rPr>
                <w:rFonts w:ascii="Calibri" w:hAnsi="Calibri"/>
                <w:sz w:val="20"/>
                <w:szCs w:val="20"/>
              </w:rPr>
            </w:pPr>
            <w:r w:rsidRPr="00852E57">
              <w:rPr>
                <w:rFonts w:ascii="Calibri" w:hAnsi="Calibri"/>
                <w:b/>
                <w:bCs/>
                <w:sz w:val="20"/>
                <w:szCs w:val="20"/>
              </w:rPr>
              <w:t>H2</w:t>
            </w:r>
          </w:p>
        </w:tc>
        <w:tc>
          <w:tcPr>
            <w:tcW w:w="2045" w:type="dxa"/>
            <w:tcBorders>
              <w:top w:val="single" w:sz="4" w:space="0" w:color="auto"/>
              <w:left w:val="single" w:sz="4" w:space="0" w:color="auto"/>
              <w:bottom w:val="single" w:sz="4" w:space="0" w:color="auto"/>
              <w:right w:val="single" w:sz="4" w:space="0" w:color="auto"/>
            </w:tcBorders>
            <w:hideMark/>
          </w:tcPr>
          <w:p w:rsidR="0054499C" w:rsidRPr="00852E57" w:rsidRDefault="0054499C" w:rsidP="0054499C">
            <w:pPr>
              <w:spacing w:after="240"/>
              <w:jc w:val="center"/>
              <w:rPr>
                <w:rFonts w:ascii="Calibri" w:hAnsi="Calibri"/>
                <w:sz w:val="20"/>
                <w:szCs w:val="20"/>
              </w:rPr>
            </w:pPr>
            <w:r w:rsidRPr="00852E57">
              <w:rPr>
                <w:rFonts w:ascii="Calibri" w:hAnsi="Calibri"/>
                <w:b/>
                <w:bCs/>
                <w:sz w:val="20"/>
                <w:szCs w:val="20"/>
              </w:rPr>
              <w:t>33,20</w:t>
            </w:r>
          </w:p>
        </w:tc>
        <w:tc>
          <w:tcPr>
            <w:tcW w:w="932" w:type="dxa"/>
            <w:tcBorders>
              <w:top w:val="single" w:sz="4" w:space="0" w:color="auto"/>
              <w:left w:val="single" w:sz="4" w:space="0" w:color="auto"/>
              <w:bottom w:val="single" w:sz="4" w:space="0" w:color="auto"/>
              <w:right w:val="single" w:sz="4" w:space="0" w:color="auto"/>
            </w:tcBorders>
            <w:hideMark/>
          </w:tcPr>
          <w:p w:rsidR="0054499C" w:rsidRPr="00852E57" w:rsidRDefault="0054499C" w:rsidP="0054499C">
            <w:pPr>
              <w:spacing w:after="240"/>
              <w:jc w:val="center"/>
              <w:rPr>
                <w:rFonts w:ascii="Calibri" w:hAnsi="Calibri"/>
                <w:sz w:val="20"/>
                <w:szCs w:val="20"/>
              </w:rPr>
            </w:pPr>
            <w:r w:rsidRPr="00852E57">
              <w:rPr>
                <w:rFonts w:ascii="Calibri" w:hAnsi="Calibri"/>
                <w:b/>
                <w:bCs/>
                <w:sz w:val="20"/>
                <w:szCs w:val="20"/>
              </w:rPr>
              <w:t>H2</w:t>
            </w:r>
          </w:p>
        </w:tc>
        <w:tc>
          <w:tcPr>
            <w:tcW w:w="2160" w:type="dxa"/>
            <w:tcBorders>
              <w:top w:val="single" w:sz="4" w:space="0" w:color="auto"/>
              <w:left w:val="single" w:sz="4" w:space="0" w:color="auto"/>
              <w:bottom w:val="single" w:sz="4" w:space="0" w:color="auto"/>
              <w:right w:val="single" w:sz="4" w:space="0" w:color="auto"/>
            </w:tcBorders>
            <w:hideMark/>
          </w:tcPr>
          <w:p w:rsidR="0054499C" w:rsidRPr="00852E57" w:rsidRDefault="0054499C" w:rsidP="0054499C">
            <w:pPr>
              <w:spacing w:after="240"/>
              <w:jc w:val="center"/>
              <w:rPr>
                <w:rFonts w:ascii="Calibri" w:hAnsi="Calibri"/>
                <w:sz w:val="20"/>
                <w:szCs w:val="20"/>
              </w:rPr>
            </w:pPr>
            <w:r w:rsidRPr="00852E57">
              <w:rPr>
                <w:rFonts w:ascii="Calibri" w:hAnsi="Calibri"/>
                <w:b/>
                <w:bCs/>
                <w:sz w:val="20"/>
                <w:szCs w:val="20"/>
              </w:rPr>
              <w:t>73,24</w:t>
            </w:r>
          </w:p>
        </w:tc>
        <w:tc>
          <w:tcPr>
            <w:tcW w:w="868" w:type="dxa"/>
            <w:tcBorders>
              <w:top w:val="single" w:sz="4" w:space="0" w:color="auto"/>
              <w:left w:val="single" w:sz="4" w:space="0" w:color="auto"/>
              <w:bottom w:val="single" w:sz="4" w:space="0" w:color="auto"/>
              <w:right w:val="single" w:sz="4" w:space="0" w:color="auto"/>
            </w:tcBorders>
            <w:hideMark/>
          </w:tcPr>
          <w:p w:rsidR="0054499C" w:rsidRPr="00852E57" w:rsidRDefault="0054499C" w:rsidP="0054499C">
            <w:pPr>
              <w:spacing w:after="240"/>
              <w:jc w:val="center"/>
              <w:rPr>
                <w:rFonts w:ascii="Calibri" w:hAnsi="Calibri"/>
                <w:sz w:val="20"/>
                <w:szCs w:val="20"/>
              </w:rPr>
            </w:pPr>
            <w:r w:rsidRPr="00852E57">
              <w:rPr>
                <w:rFonts w:ascii="Calibri" w:hAnsi="Calibri"/>
                <w:b/>
                <w:bCs/>
                <w:sz w:val="20"/>
                <w:szCs w:val="20"/>
              </w:rPr>
              <w:t>H2</w:t>
            </w:r>
          </w:p>
        </w:tc>
        <w:tc>
          <w:tcPr>
            <w:tcW w:w="2407" w:type="dxa"/>
            <w:tcBorders>
              <w:top w:val="single" w:sz="4" w:space="0" w:color="auto"/>
              <w:left w:val="single" w:sz="4" w:space="0" w:color="auto"/>
              <w:bottom w:val="single" w:sz="4" w:space="0" w:color="auto"/>
              <w:right w:val="single" w:sz="4" w:space="0" w:color="auto"/>
            </w:tcBorders>
            <w:hideMark/>
          </w:tcPr>
          <w:p w:rsidR="0054499C" w:rsidRPr="00852E57" w:rsidRDefault="0054499C" w:rsidP="0054499C">
            <w:pPr>
              <w:spacing w:after="240"/>
              <w:jc w:val="center"/>
              <w:rPr>
                <w:rFonts w:ascii="Calibri" w:hAnsi="Calibri"/>
                <w:sz w:val="20"/>
                <w:szCs w:val="20"/>
              </w:rPr>
            </w:pPr>
            <w:r w:rsidRPr="00852E57">
              <w:rPr>
                <w:rFonts w:ascii="Calibri" w:hAnsi="Calibri"/>
                <w:b/>
                <w:bCs/>
                <w:sz w:val="20"/>
                <w:szCs w:val="20"/>
              </w:rPr>
              <w:t>109,42</w:t>
            </w:r>
          </w:p>
        </w:tc>
      </w:tr>
      <w:tr w:rsidR="0054499C" w:rsidRPr="00852E57" w:rsidTr="0054499C">
        <w:trPr>
          <w:trHeight w:hRule="exact" w:val="340"/>
          <w:tblCellSpacing w:w="0" w:type="dxa"/>
        </w:trPr>
        <w:tc>
          <w:tcPr>
            <w:tcW w:w="685" w:type="dxa"/>
            <w:tcBorders>
              <w:top w:val="single" w:sz="4" w:space="0" w:color="auto"/>
              <w:left w:val="single" w:sz="4" w:space="0" w:color="auto"/>
              <w:bottom w:val="single" w:sz="4" w:space="0" w:color="auto"/>
              <w:right w:val="single" w:sz="4" w:space="0" w:color="auto"/>
            </w:tcBorders>
            <w:hideMark/>
          </w:tcPr>
          <w:p w:rsidR="0054499C" w:rsidRPr="00852E57" w:rsidRDefault="0054499C" w:rsidP="0054499C">
            <w:pPr>
              <w:spacing w:after="240"/>
              <w:jc w:val="center"/>
              <w:rPr>
                <w:rFonts w:ascii="Calibri" w:hAnsi="Calibri"/>
                <w:sz w:val="20"/>
                <w:szCs w:val="20"/>
              </w:rPr>
            </w:pPr>
            <w:r w:rsidRPr="00852E57">
              <w:rPr>
                <w:rFonts w:ascii="Calibri" w:hAnsi="Calibri"/>
                <w:b/>
                <w:bCs/>
                <w:sz w:val="20"/>
                <w:szCs w:val="20"/>
              </w:rPr>
              <w:t>H3</w:t>
            </w:r>
          </w:p>
        </w:tc>
        <w:tc>
          <w:tcPr>
            <w:tcW w:w="2045" w:type="dxa"/>
            <w:tcBorders>
              <w:top w:val="single" w:sz="4" w:space="0" w:color="auto"/>
              <w:left w:val="single" w:sz="4" w:space="0" w:color="auto"/>
              <w:bottom w:val="single" w:sz="4" w:space="0" w:color="auto"/>
              <w:right w:val="single" w:sz="4" w:space="0" w:color="auto"/>
            </w:tcBorders>
            <w:hideMark/>
          </w:tcPr>
          <w:p w:rsidR="0054499C" w:rsidRPr="00852E57" w:rsidRDefault="0054499C" w:rsidP="0054499C">
            <w:pPr>
              <w:spacing w:after="240"/>
              <w:jc w:val="center"/>
              <w:rPr>
                <w:rFonts w:ascii="Calibri" w:hAnsi="Calibri"/>
                <w:sz w:val="20"/>
                <w:szCs w:val="20"/>
              </w:rPr>
            </w:pPr>
            <w:r w:rsidRPr="00852E57">
              <w:rPr>
                <w:rFonts w:ascii="Calibri" w:hAnsi="Calibri"/>
                <w:b/>
                <w:bCs/>
                <w:sz w:val="20"/>
                <w:szCs w:val="20"/>
              </w:rPr>
              <w:t>30,39</w:t>
            </w:r>
          </w:p>
        </w:tc>
        <w:tc>
          <w:tcPr>
            <w:tcW w:w="932" w:type="dxa"/>
            <w:tcBorders>
              <w:top w:val="single" w:sz="4" w:space="0" w:color="auto"/>
              <w:left w:val="single" w:sz="4" w:space="0" w:color="auto"/>
              <w:bottom w:val="single" w:sz="4" w:space="0" w:color="auto"/>
              <w:right w:val="single" w:sz="4" w:space="0" w:color="auto"/>
            </w:tcBorders>
            <w:hideMark/>
          </w:tcPr>
          <w:p w:rsidR="0054499C" w:rsidRPr="00852E57" w:rsidRDefault="0054499C" w:rsidP="0054499C">
            <w:pPr>
              <w:spacing w:after="240"/>
              <w:jc w:val="center"/>
              <w:rPr>
                <w:rFonts w:ascii="Calibri" w:hAnsi="Calibri"/>
                <w:sz w:val="20"/>
                <w:szCs w:val="20"/>
              </w:rPr>
            </w:pPr>
            <w:r w:rsidRPr="00852E57">
              <w:rPr>
                <w:rFonts w:ascii="Calibri" w:hAnsi="Calibri"/>
                <w:b/>
                <w:bCs/>
                <w:sz w:val="20"/>
                <w:szCs w:val="20"/>
              </w:rPr>
              <w:t>H3</w:t>
            </w:r>
          </w:p>
        </w:tc>
        <w:tc>
          <w:tcPr>
            <w:tcW w:w="2160" w:type="dxa"/>
            <w:tcBorders>
              <w:top w:val="single" w:sz="4" w:space="0" w:color="auto"/>
              <w:left w:val="single" w:sz="4" w:space="0" w:color="auto"/>
              <w:bottom w:val="single" w:sz="4" w:space="0" w:color="auto"/>
              <w:right w:val="single" w:sz="4" w:space="0" w:color="auto"/>
            </w:tcBorders>
            <w:hideMark/>
          </w:tcPr>
          <w:p w:rsidR="0054499C" w:rsidRPr="00852E57" w:rsidRDefault="0054499C" w:rsidP="0054499C">
            <w:pPr>
              <w:spacing w:after="240"/>
              <w:jc w:val="center"/>
              <w:rPr>
                <w:rFonts w:ascii="Calibri" w:hAnsi="Calibri"/>
                <w:sz w:val="20"/>
                <w:szCs w:val="20"/>
              </w:rPr>
            </w:pPr>
            <w:r w:rsidRPr="00852E57">
              <w:rPr>
                <w:rFonts w:ascii="Calibri" w:hAnsi="Calibri"/>
                <w:b/>
                <w:bCs/>
                <w:sz w:val="20"/>
                <w:szCs w:val="20"/>
              </w:rPr>
              <w:t>67,06</w:t>
            </w:r>
          </w:p>
        </w:tc>
        <w:tc>
          <w:tcPr>
            <w:tcW w:w="868" w:type="dxa"/>
            <w:tcBorders>
              <w:top w:val="single" w:sz="4" w:space="0" w:color="auto"/>
              <w:left w:val="single" w:sz="4" w:space="0" w:color="auto"/>
              <w:bottom w:val="single" w:sz="4" w:space="0" w:color="auto"/>
              <w:right w:val="single" w:sz="4" w:space="0" w:color="auto"/>
            </w:tcBorders>
            <w:hideMark/>
          </w:tcPr>
          <w:p w:rsidR="0054499C" w:rsidRPr="00852E57" w:rsidRDefault="0054499C" w:rsidP="0054499C">
            <w:pPr>
              <w:spacing w:after="240"/>
              <w:jc w:val="center"/>
              <w:rPr>
                <w:rFonts w:ascii="Calibri" w:hAnsi="Calibri"/>
                <w:sz w:val="20"/>
                <w:szCs w:val="20"/>
              </w:rPr>
            </w:pPr>
            <w:r w:rsidRPr="00852E57">
              <w:rPr>
                <w:rFonts w:ascii="Calibri" w:hAnsi="Calibri"/>
                <w:b/>
                <w:bCs/>
                <w:sz w:val="20"/>
                <w:szCs w:val="20"/>
              </w:rPr>
              <w:t>H3</w:t>
            </w:r>
          </w:p>
        </w:tc>
        <w:tc>
          <w:tcPr>
            <w:tcW w:w="2407" w:type="dxa"/>
            <w:tcBorders>
              <w:top w:val="single" w:sz="4" w:space="0" w:color="auto"/>
              <w:left w:val="single" w:sz="4" w:space="0" w:color="auto"/>
              <w:bottom w:val="single" w:sz="4" w:space="0" w:color="auto"/>
              <w:right w:val="single" w:sz="4" w:space="0" w:color="auto"/>
            </w:tcBorders>
            <w:hideMark/>
          </w:tcPr>
          <w:p w:rsidR="0054499C" w:rsidRPr="00852E57" w:rsidRDefault="0054499C" w:rsidP="0054499C">
            <w:pPr>
              <w:spacing w:after="240"/>
              <w:jc w:val="center"/>
              <w:rPr>
                <w:rFonts w:ascii="Calibri" w:hAnsi="Calibri"/>
                <w:sz w:val="20"/>
                <w:szCs w:val="20"/>
              </w:rPr>
            </w:pPr>
            <w:r w:rsidRPr="00852E57">
              <w:rPr>
                <w:rFonts w:ascii="Calibri" w:hAnsi="Calibri"/>
                <w:b/>
                <w:bCs/>
                <w:sz w:val="20"/>
                <w:szCs w:val="20"/>
              </w:rPr>
              <w:t>100,18</w:t>
            </w:r>
          </w:p>
        </w:tc>
      </w:tr>
      <w:tr w:rsidR="0054499C" w:rsidRPr="00852E57" w:rsidTr="0054499C">
        <w:trPr>
          <w:trHeight w:hRule="exact" w:val="340"/>
          <w:tblCellSpacing w:w="0" w:type="dxa"/>
        </w:trPr>
        <w:tc>
          <w:tcPr>
            <w:tcW w:w="685" w:type="dxa"/>
            <w:tcBorders>
              <w:top w:val="single" w:sz="4" w:space="0" w:color="auto"/>
              <w:left w:val="single" w:sz="4" w:space="0" w:color="auto"/>
              <w:bottom w:val="single" w:sz="4" w:space="0" w:color="auto"/>
              <w:right w:val="single" w:sz="4" w:space="0" w:color="auto"/>
            </w:tcBorders>
            <w:hideMark/>
          </w:tcPr>
          <w:p w:rsidR="0054499C" w:rsidRPr="00852E57" w:rsidRDefault="0054499C" w:rsidP="0054499C">
            <w:pPr>
              <w:spacing w:after="240"/>
              <w:jc w:val="center"/>
              <w:rPr>
                <w:rFonts w:ascii="Calibri" w:hAnsi="Calibri"/>
                <w:sz w:val="20"/>
                <w:szCs w:val="20"/>
              </w:rPr>
            </w:pPr>
            <w:r w:rsidRPr="00852E57">
              <w:rPr>
                <w:rFonts w:ascii="Calibri" w:hAnsi="Calibri"/>
                <w:b/>
                <w:bCs/>
                <w:sz w:val="20"/>
                <w:szCs w:val="20"/>
              </w:rPr>
              <w:t>H4</w:t>
            </w:r>
          </w:p>
        </w:tc>
        <w:tc>
          <w:tcPr>
            <w:tcW w:w="2045" w:type="dxa"/>
            <w:tcBorders>
              <w:top w:val="single" w:sz="4" w:space="0" w:color="auto"/>
              <w:left w:val="single" w:sz="4" w:space="0" w:color="auto"/>
              <w:bottom w:val="single" w:sz="4" w:space="0" w:color="auto"/>
              <w:right w:val="single" w:sz="4" w:space="0" w:color="auto"/>
            </w:tcBorders>
            <w:hideMark/>
          </w:tcPr>
          <w:p w:rsidR="0054499C" w:rsidRPr="00852E57" w:rsidRDefault="0054499C" w:rsidP="0054499C">
            <w:pPr>
              <w:spacing w:after="240"/>
              <w:jc w:val="center"/>
              <w:rPr>
                <w:rFonts w:ascii="Calibri" w:hAnsi="Calibri"/>
                <w:sz w:val="20"/>
                <w:szCs w:val="20"/>
              </w:rPr>
            </w:pPr>
            <w:r w:rsidRPr="00852E57">
              <w:rPr>
                <w:rFonts w:ascii="Calibri" w:hAnsi="Calibri"/>
                <w:b/>
                <w:bCs/>
                <w:sz w:val="20"/>
                <w:szCs w:val="20"/>
              </w:rPr>
              <w:t>25,75</w:t>
            </w:r>
          </w:p>
        </w:tc>
        <w:tc>
          <w:tcPr>
            <w:tcW w:w="932" w:type="dxa"/>
            <w:tcBorders>
              <w:top w:val="single" w:sz="4" w:space="0" w:color="auto"/>
              <w:left w:val="single" w:sz="4" w:space="0" w:color="auto"/>
              <w:bottom w:val="single" w:sz="4" w:space="0" w:color="auto"/>
              <w:right w:val="single" w:sz="4" w:space="0" w:color="auto"/>
            </w:tcBorders>
            <w:hideMark/>
          </w:tcPr>
          <w:p w:rsidR="0054499C" w:rsidRPr="00852E57" w:rsidRDefault="0054499C" w:rsidP="0054499C">
            <w:pPr>
              <w:spacing w:after="240"/>
              <w:jc w:val="center"/>
              <w:rPr>
                <w:rFonts w:ascii="Calibri" w:hAnsi="Calibri"/>
                <w:sz w:val="20"/>
                <w:szCs w:val="20"/>
              </w:rPr>
            </w:pPr>
            <w:r w:rsidRPr="00852E57">
              <w:rPr>
                <w:rFonts w:ascii="Calibri" w:hAnsi="Calibri"/>
                <w:b/>
                <w:bCs/>
                <w:sz w:val="20"/>
                <w:szCs w:val="20"/>
              </w:rPr>
              <w:t>H4</w:t>
            </w:r>
          </w:p>
        </w:tc>
        <w:tc>
          <w:tcPr>
            <w:tcW w:w="2160" w:type="dxa"/>
            <w:tcBorders>
              <w:top w:val="single" w:sz="4" w:space="0" w:color="auto"/>
              <w:left w:val="single" w:sz="4" w:space="0" w:color="auto"/>
              <w:bottom w:val="single" w:sz="4" w:space="0" w:color="auto"/>
              <w:right w:val="single" w:sz="4" w:space="0" w:color="auto"/>
            </w:tcBorders>
            <w:hideMark/>
          </w:tcPr>
          <w:p w:rsidR="0054499C" w:rsidRPr="00852E57" w:rsidRDefault="0054499C" w:rsidP="0054499C">
            <w:pPr>
              <w:spacing w:after="240"/>
              <w:jc w:val="center"/>
              <w:rPr>
                <w:rFonts w:ascii="Calibri" w:hAnsi="Calibri"/>
                <w:sz w:val="20"/>
                <w:szCs w:val="20"/>
              </w:rPr>
            </w:pPr>
            <w:r w:rsidRPr="00852E57">
              <w:rPr>
                <w:rFonts w:ascii="Calibri" w:hAnsi="Calibri"/>
                <w:b/>
                <w:bCs/>
                <w:sz w:val="20"/>
                <w:szCs w:val="20"/>
              </w:rPr>
              <w:t>56,81</w:t>
            </w:r>
          </w:p>
        </w:tc>
        <w:tc>
          <w:tcPr>
            <w:tcW w:w="868" w:type="dxa"/>
            <w:tcBorders>
              <w:top w:val="single" w:sz="4" w:space="0" w:color="auto"/>
              <w:left w:val="single" w:sz="4" w:space="0" w:color="auto"/>
              <w:bottom w:val="single" w:sz="4" w:space="0" w:color="auto"/>
              <w:right w:val="single" w:sz="4" w:space="0" w:color="auto"/>
            </w:tcBorders>
            <w:hideMark/>
          </w:tcPr>
          <w:p w:rsidR="0054499C" w:rsidRPr="00852E57" w:rsidRDefault="0054499C" w:rsidP="0054499C">
            <w:pPr>
              <w:spacing w:after="240"/>
              <w:jc w:val="center"/>
              <w:rPr>
                <w:rFonts w:ascii="Calibri" w:hAnsi="Calibri"/>
                <w:sz w:val="20"/>
                <w:szCs w:val="20"/>
              </w:rPr>
            </w:pPr>
            <w:r w:rsidRPr="00852E57">
              <w:rPr>
                <w:rFonts w:ascii="Calibri" w:hAnsi="Calibri"/>
                <w:b/>
                <w:bCs/>
                <w:sz w:val="20"/>
                <w:szCs w:val="20"/>
              </w:rPr>
              <w:t>H4</w:t>
            </w:r>
          </w:p>
        </w:tc>
        <w:tc>
          <w:tcPr>
            <w:tcW w:w="2407" w:type="dxa"/>
            <w:tcBorders>
              <w:top w:val="single" w:sz="4" w:space="0" w:color="auto"/>
              <w:left w:val="single" w:sz="4" w:space="0" w:color="auto"/>
              <w:bottom w:val="single" w:sz="4" w:space="0" w:color="auto"/>
              <w:right w:val="single" w:sz="4" w:space="0" w:color="auto"/>
            </w:tcBorders>
            <w:hideMark/>
          </w:tcPr>
          <w:p w:rsidR="0054499C" w:rsidRPr="00852E57" w:rsidRDefault="0054499C" w:rsidP="0054499C">
            <w:pPr>
              <w:spacing w:after="240"/>
              <w:jc w:val="center"/>
              <w:rPr>
                <w:rFonts w:ascii="Calibri" w:hAnsi="Calibri"/>
                <w:sz w:val="20"/>
                <w:szCs w:val="20"/>
              </w:rPr>
            </w:pPr>
            <w:r w:rsidRPr="00852E57">
              <w:rPr>
                <w:rFonts w:ascii="Calibri" w:hAnsi="Calibri"/>
                <w:b/>
                <w:bCs/>
                <w:sz w:val="20"/>
                <w:szCs w:val="20"/>
              </w:rPr>
              <w:t>84,87</w:t>
            </w:r>
          </w:p>
        </w:tc>
      </w:tr>
    </w:tbl>
    <w:p w:rsidR="0054499C" w:rsidRPr="00852E57" w:rsidRDefault="0054499C" w:rsidP="0054499C">
      <w:pPr>
        <w:rPr>
          <w:rFonts w:ascii="Calibri" w:hAnsi="Calibri"/>
          <w:b/>
          <w:bCs/>
          <w:szCs w:val="20"/>
        </w:rPr>
      </w:pPr>
      <w:r w:rsidRPr="00852E57">
        <w:rPr>
          <w:rFonts w:ascii="Calibri" w:hAnsi="Calibri"/>
          <w:b/>
          <w:bCs/>
          <w:szCs w:val="20"/>
        </w:rPr>
        <w:br w:type="page"/>
      </w:r>
    </w:p>
    <w:p w:rsidR="0054499C" w:rsidRPr="00852E57" w:rsidRDefault="0054499C" w:rsidP="0054499C">
      <w:pPr>
        <w:rPr>
          <w:rFonts w:ascii="Calibri" w:hAnsi="Calibri"/>
          <w:szCs w:val="20"/>
        </w:rPr>
      </w:pPr>
      <w:r w:rsidRPr="00852E57">
        <w:rPr>
          <w:rFonts w:ascii="Calibri" w:hAnsi="Calibri"/>
          <w:b/>
          <w:bCs/>
          <w:szCs w:val="20"/>
        </w:rPr>
        <w:t xml:space="preserve">Degresivita platieb podľa veľkosti podniku </w:t>
      </w:r>
      <w:r w:rsidRPr="00852E57">
        <w:rPr>
          <w:rFonts w:ascii="Calibri" w:hAnsi="Calibri"/>
          <w:bCs/>
          <w:szCs w:val="20"/>
        </w:rPr>
        <w:t>(čl.32 bod 4 nariadenia (EÚ)</w:t>
      </w:r>
      <w:r w:rsidRPr="00852E57">
        <w:rPr>
          <w:rFonts w:ascii="Calibri" w:hAnsi="Calibri"/>
          <w:szCs w:val="20"/>
        </w:rPr>
        <w:t xml:space="preserve"> č. 130</w:t>
      </w:r>
      <w:r>
        <w:rPr>
          <w:rFonts w:ascii="Calibri" w:hAnsi="Calibri"/>
          <w:szCs w:val="20"/>
        </w:rPr>
        <w:t>5</w:t>
      </w:r>
      <w:r w:rsidRPr="00852E57">
        <w:rPr>
          <w:rFonts w:ascii="Calibri" w:hAnsi="Calibri"/>
          <w:szCs w:val="20"/>
        </w:rPr>
        <w:t>/2013)</w:t>
      </w:r>
    </w:p>
    <w:tbl>
      <w:tblPr>
        <w:tblpPr w:leftFromText="141" w:rightFromText="141" w:vertAnchor="text" w:horzAnchor="margin" w:tblpXSpec="center" w:tblpY="90"/>
        <w:tblW w:w="7310" w:type="dxa"/>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330"/>
        <w:gridCol w:w="2980"/>
      </w:tblGrid>
      <w:tr w:rsidR="0054499C" w:rsidRPr="00852E57" w:rsidTr="0054499C">
        <w:trPr>
          <w:trHeight w:hRule="exact" w:val="331"/>
          <w:tblCellSpacing w:w="0" w:type="dxa"/>
        </w:trPr>
        <w:tc>
          <w:tcPr>
            <w:tcW w:w="4330" w:type="dxa"/>
            <w:tcBorders>
              <w:top w:val="single" w:sz="4" w:space="0" w:color="auto"/>
              <w:left w:val="single" w:sz="4" w:space="0" w:color="auto"/>
              <w:bottom w:val="single" w:sz="4" w:space="0" w:color="auto"/>
              <w:right w:val="single" w:sz="4" w:space="0" w:color="auto"/>
            </w:tcBorders>
            <w:shd w:val="clear" w:color="auto" w:fill="F2DBDB" w:themeFill="accent2" w:themeFillTint="33"/>
            <w:hideMark/>
          </w:tcPr>
          <w:p w:rsidR="0054499C" w:rsidRPr="00852E57" w:rsidRDefault="0054499C" w:rsidP="0054499C">
            <w:pPr>
              <w:spacing w:after="240"/>
              <w:jc w:val="center"/>
              <w:rPr>
                <w:rFonts w:ascii="Calibri" w:hAnsi="Calibri"/>
                <w:b/>
                <w:bCs/>
                <w:sz w:val="20"/>
                <w:szCs w:val="20"/>
              </w:rPr>
            </w:pPr>
            <w:r w:rsidRPr="00852E57">
              <w:rPr>
                <w:rFonts w:ascii="Calibri" w:hAnsi="Calibri"/>
                <w:b/>
                <w:bCs/>
                <w:sz w:val="20"/>
                <w:szCs w:val="20"/>
              </w:rPr>
              <w:t>Výmera poľnohospodárskej pôdy</w:t>
            </w:r>
          </w:p>
        </w:tc>
        <w:tc>
          <w:tcPr>
            <w:tcW w:w="2980" w:type="dxa"/>
            <w:tcBorders>
              <w:top w:val="single" w:sz="4" w:space="0" w:color="auto"/>
              <w:left w:val="single" w:sz="4" w:space="0" w:color="auto"/>
              <w:bottom w:val="single" w:sz="4" w:space="0" w:color="auto"/>
              <w:right w:val="single" w:sz="4" w:space="0" w:color="auto"/>
            </w:tcBorders>
            <w:shd w:val="clear" w:color="auto" w:fill="F2DBDB" w:themeFill="accent2" w:themeFillTint="33"/>
            <w:hideMark/>
          </w:tcPr>
          <w:p w:rsidR="0054499C" w:rsidRPr="00852E57" w:rsidRDefault="0054499C" w:rsidP="0054499C">
            <w:pPr>
              <w:spacing w:after="240"/>
              <w:jc w:val="center"/>
              <w:rPr>
                <w:rFonts w:ascii="Calibri" w:hAnsi="Calibri"/>
                <w:b/>
                <w:bCs/>
                <w:sz w:val="20"/>
                <w:szCs w:val="20"/>
              </w:rPr>
            </w:pPr>
            <w:r w:rsidRPr="00852E57">
              <w:rPr>
                <w:rFonts w:ascii="Calibri" w:hAnsi="Calibri"/>
                <w:b/>
                <w:bCs/>
                <w:sz w:val="20"/>
                <w:szCs w:val="20"/>
              </w:rPr>
              <w:t>Výška platby</w:t>
            </w:r>
          </w:p>
        </w:tc>
      </w:tr>
      <w:tr w:rsidR="0054499C" w:rsidRPr="00852E57" w:rsidTr="0054499C">
        <w:trPr>
          <w:trHeight w:hRule="exact" w:val="331"/>
          <w:tblCellSpacing w:w="0" w:type="dxa"/>
        </w:trPr>
        <w:tc>
          <w:tcPr>
            <w:tcW w:w="4330" w:type="dxa"/>
            <w:tcBorders>
              <w:top w:val="single" w:sz="4" w:space="0" w:color="auto"/>
              <w:left w:val="single" w:sz="4" w:space="0" w:color="auto"/>
              <w:bottom w:val="single" w:sz="4" w:space="0" w:color="auto"/>
              <w:right w:val="single" w:sz="4" w:space="0" w:color="auto"/>
            </w:tcBorders>
            <w:hideMark/>
          </w:tcPr>
          <w:p w:rsidR="0054499C" w:rsidRPr="00852E57" w:rsidRDefault="0054499C" w:rsidP="0054499C">
            <w:pPr>
              <w:jc w:val="center"/>
              <w:rPr>
                <w:rFonts w:ascii="Calibri" w:hAnsi="Calibri"/>
                <w:b/>
                <w:bCs/>
                <w:sz w:val="20"/>
                <w:szCs w:val="20"/>
              </w:rPr>
            </w:pPr>
            <w:r w:rsidRPr="00852E57">
              <w:rPr>
                <w:rFonts w:ascii="Calibri" w:hAnsi="Calibri"/>
                <w:b/>
                <w:bCs/>
                <w:sz w:val="20"/>
                <w:szCs w:val="20"/>
              </w:rPr>
              <w:t>do 1020 ha</w:t>
            </w:r>
          </w:p>
        </w:tc>
        <w:tc>
          <w:tcPr>
            <w:tcW w:w="2980" w:type="dxa"/>
            <w:tcBorders>
              <w:top w:val="single" w:sz="4" w:space="0" w:color="auto"/>
              <w:left w:val="single" w:sz="4" w:space="0" w:color="auto"/>
              <w:bottom w:val="single" w:sz="4" w:space="0" w:color="auto"/>
              <w:right w:val="single" w:sz="4" w:space="0" w:color="auto"/>
            </w:tcBorders>
            <w:hideMark/>
          </w:tcPr>
          <w:p w:rsidR="0054499C" w:rsidRPr="00852E57" w:rsidRDefault="0054499C" w:rsidP="0054499C">
            <w:pPr>
              <w:spacing w:after="240"/>
              <w:jc w:val="center"/>
              <w:rPr>
                <w:rFonts w:ascii="Calibri" w:hAnsi="Calibri"/>
                <w:b/>
                <w:bCs/>
                <w:sz w:val="20"/>
                <w:szCs w:val="20"/>
              </w:rPr>
            </w:pPr>
            <w:r w:rsidRPr="00852E57">
              <w:rPr>
                <w:rFonts w:ascii="Calibri" w:hAnsi="Calibri"/>
                <w:b/>
                <w:bCs/>
                <w:sz w:val="20"/>
                <w:szCs w:val="20"/>
              </w:rPr>
              <w:t>100 %</w:t>
            </w:r>
          </w:p>
        </w:tc>
      </w:tr>
      <w:tr w:rsidR="0054499C" w:rsidRPr="00852E57" w:rsidTr="0054499C">
        <w:trPr>
          <w:trHeight w:hRule="exact" w:val="331"/>
          <w:tblCellSpacing w:w="0" w:type="dxa"/>
        </w:trPr>
        <w:tc>
          <w:tcPr>
            <w:tcW w:w="4330" w:type="dxa"/>
            <w:tcBorders>
              <w:top w:val="single" w:sz="4" w:space="0" w:color="auto"/>
              <w:left w:val="single" w:sz="4" w:space="0" w:color="auto"/>
              <w:bottom w:val="single" w:sz="4" w:space="0" w:color="auto"/>
              <w:right w:val="single" w:sz="4" w:space="0" w:color="auto"/>
            </w:tcBorders>
            <w:hideMark/>
          </w:tcPr>
          <w:p w:rsidR="0054499C" w:rsidRPr="00852E57" w:rsidRDefault="0054499C" w:rsidP="0054499C">
            <w:pPr>
              <w:spacing w:after="240"/>
              <w:jc w:val="center"/>
              <w:rPr>
                <w:rFonts w:ascii="Calibri" w:hAnsi="Calibri"/>
                <w:b/>
                <w:bCs/>
                <w:sz w:val="20"/>
                <w:szCs w:val="20"/>
              </w:rPr>
            </w:pPr>
            <w:r w:rsidRPr="00852E57">
              <w:rPr>
                <w:rFonts w:ascii="Calibri" w:hAnsi="Calibri"/>
                <w:b/>
                <w:bCs/>
                <w:sz w:val="20"/>
                <w:szCs w:val="20"/>
              </w:rPr>
              <w:t>od 1020 ha do 2040 ha</w:t>
            </w:r>
          </w:p>
        </w:tc>
        <w:tc>
          <w:tcPr>
            <w:tcW w:w="2980" w:type="dxa"/>
            <w:tcBorders>
              <w:top w:val="single" w:sz="4" w:space="0" w:color="auto"/>
              <w:left w:val="single" w:sz="4" w:space="0" w:color="auto"/>
              <w:bottom w:val="single" w:sz="4" w:space="0" w:color="auto"/>
              <w:right w:val="single" w:sz="4" w:space="0" w:color="auto"/>
            </w:tcBorders>
            <w:hideMark/>
          </w:tcPr>
          <w:p w:rsidR="0054499C" w:rsidRPr="00852E57" w:rsidRDefault="0054499C" w:rsidP="0054499C">
            <w:pPr>
              <w:spacing w:after="240"/>
              <w:jc w:val="center"/>
              <w:rPr>
                <w:rFonts w:ascii="Calibri" w:hAnsi="Calibri"/>
                <w:b/>
                <w:bCs/>
                <w:sz w:val="20"/>
                <w:szCs w:val="20"/>
              </w:rPr>
            </w:pPr>
            <w:r w:rsidRPr="00852E57">
              <w:rPr>
                <w:rFonts w:ascii="Calibri" w:hAnsi="Calibri"/>
                <w:b/>
                <w:bCs/>
                <w:sz w:val="20"/>
                <w:szCs w:val="20"/>
              </w:rPr>
              <w:t>89 %</w:t>
            </w:r>
          </w:p>
        </w:tc>
      </w:tr>
      <w:tr w:rsidR="0054499C" w:rsidRPr="00852E57" w:rsidTr="0054499C">
        <w:trPr>
          <w:trHeight w:hRule="exact" w:val="331"/>
          <w:tblCellSpacing w:w="0" w:type="dxa"/>
        </w:trPr>
        <w:tc>
          <w:tcPr>
            <w:tcW w:w="4330" w:type="dxa"/>
            <w:tcBorders>
              <w:top w:val="single" w:sz="4" w:space="0" w:color="auto"/>
              <w:left w:val="single" w:sz="4" w:space="0" w:color="auto"/>
              <w:bottom w:val="single" w:sz="4" w:space="0" w:color="auto"/>
              <w:right w:val="single" w:sz="4" w:space="0" w:color="auto"/>
            </w:tcBorders>
            <w:hideMark/>
          </w:tcPr>
          <w:p w:rsidR="0054499C" w:rsidRPr="00852E57" w:rsidRDefault="0054499C" w:rsidP="0054499C">
            <w:pPr>
              <w:spacing w:after="240"/>
              <w:jc w:val="center"/>
              <w:rPr>
                <w:rFonts w:ascii="Calibri" w:hAnsi="Calibri"/>
                <w:b/>
                <w:bCs/>
                <w:sz w:val="20"/>
                <w:szCs w:val="20"/>
              </w:rPr>
            </w:pPr>
            <w:r w:rsidRPr="00852E57">
              <w:rPr>
                <w:rFonts w:ascii="Calibri" w:hAnsi="Calibri"/>
                <w:b/>
                <w:bCs/>
                <w:sz w:val="20"/>
                <w:szCs w:val="20"/>
              </w:rPr>
              <w:t>od 2040 do 4080 ha</w:t>
            </w:r>
          </w:p>
        </w:tc>
        <w:tc>
          <w:tcPr>
            <w:tcW w:w="2980" w:type="dxa"/>
            <w:tcBorders>
              <w:top w:val="single" w:sz="4" w:space="0" w:color="auto"/>
              <w:left w:val="single" w:sz="4" w:space="0" w:color="auto"/>
              <w:bottom w:val="single" w:sz="4" w:space="0" w:color="auto"/>
              <w:right w:val="single" w:sz="4" w:space="0" w:color="auto"/>
            </w:tcBorders>
            <w:hideMark/>
          </w:tcPr>
          <w:p w:rsidR="0054499C" w:rsidRPr="00852E57" w:rsidRDefault="0054499C" w:rsidP="0054499C">
            <w:pPr>
              <w:spacing w:after="240"/>
              <w:jc w:val="center"/>
              <w:rPr>
                <w:rFonts w:ascii="Calibri" w:hAnsi="Calibri"/>
                <w:b/>
                <w:bCs/>
                <w:sz w:val="20"/>
                <w:szCs w:val="20"/>
              </w:rPr>
            </w:pPr>
            <w:r w:rsidRPr="00852E57">
              <w:rPr>
                <w:rFonts w:ascii="Calibri" w:hAnsi="Calibri"/>
                <w:b/>
                <w:bCs/>
                <w:sz w:val="20"/>
                <w:szCs w:val="20"/>
              </w:rPr>
              <w:t>83 %</w:t>
            </w:r>
          </w:p>
        </w:tc>
      </w:tr>
      <w:tr w:rsidR="0054499C" w:rsidRPr="00852E57" w:rsidTr="0054499C">
        <w:trPr>
          <w:trHeight w:hRule="exact" w:val="331"/>
          <w:tblCellSpacing w:w="0" w:type="dxa"/>
        </w:trPr>
        <w:tc>
          <w:tcPr>
            <w:tcW w:w="4330" w:type="dxa"/>
            <w:tcBorders>
              <w:top w:val="single" w:sz="4" w:space="0" w:color="auto"/>
              <w:left w:val="single" w:sz="4" w:space="0" w:color="auto"/>
              <w:bottom w:val="single" w:sz="4" w:space="0" w:color="auto"/>
              <w:right w:val="single" w:sz="4" w:space="0" w:color="auto"/>
            </w:tcBorders>
            <w:hideMark/>
          </w:tcPr>
          <w:p w:rsidR="0054499C" w:rsidRPr="00852E57" w:rsidRDefault="0054499C" w:rsidP="0054499C">
            <w:pPr>
              <w:spacing w:after="240"/>
              <w:jc w:val="center"/>
              <w:rPr>
                <w:rFonts w:ascii="Calibri" w:hAnsi="Calibri"/>
                <w:b/>
                <w:bCs/>
                <w:sz w:val="20"/>
                <w:szCs w:val="20"/>
              </w:rPr>
            </w:pPr>
            <w:r w:rsidRPr="00852E57">
              <w:rPr>
                <w:rFonts w:ascii="Calibri" w:hAnsi="Calibri"/>
                <w:b/>
                <w:bCs/>
                <w:sz w:val="20"/>
                <w:szCs w:val="20"/>
              </w:rPr>
              <w:t>nad 4080 ha</w:t>
            </w:r>
          </w:p>
        </w:tc>
        <w:tc>
          <w:tcPr>
            <w:tcW w:w="2980" w:type="dxa"/>
            <w:tcBorders>
              <w:top w:val="single" w:sz="4" w:space="0" w:color="auto"/>
              <w:left w:val="single" w:sz="4" w:space="0" w:color="auto"/>
              <w:bottom w:val="single" w:sz="4" w:space="0" w:color="auto"/>
              <w:right w:val="single" w:sz="4" w:space="0" w:color="auto"/>
            </w:tcBorders>
            <w:hideMark/>
          </w:tcPr>
          <w:p w:rsidR="0054499C" w:rsidRPr="00852E57" w:rsidRDefault="0054499C" w:rsidP="0054499C">
            <w:pPr>
              <w:spacing w:after="240"/>
              <w:jc w:val="center"/>
              <w:rPr>
                <w:rFonts w:ascii="Calibri" w:hAnsi="Calibri"/>
                <w:b/>
                <w:bCs/>
                <w:sz w:val="20"/>
                <w:szCs w:val="20"/>
              </w:rPr>
            </w:pPr>
            <w:r w:rsidRPr="00852E57">
              <w:rPr>
                <w:rFonts w:ascii="Calibri" w:hAnsi="Calibri"/>
                <w:b/>
                <w:bCs/>
                <w:sz w:val="20"/>
                <w:szCs w:val="20"/>
              </w:rPr>
              <w:t>68 %</w:t>
            </w:r>
          </w:p>
        </w:tc>
      </w:tr>
    </w:tbl>
    <w:p w:rsidR="0054499C" w:rsidRPr="00852E57" w:rsidRDefault="0054499C" w:rsidP="0054499C">
      <w:pPr>
        <w:jc w:val="center"/>
        <w:rPr>
          <w:rFonts w:ascii="Calibri" w:hAnsi="Calibri"/>
          <w:b/>
          <w:bCs/>
          <w:sz w:val="20"/>
          <w:szCs w:val="20"/>
        </w:rPr>
      </w:pPr>
    </w:p>
    <w:p w:rsidR="0054499C" w:rsidRPr="00852E57" w:rsidRDefault="0054499C" w:rsidP="0054499C">
      <w:pPr>
        <w:rPr>
          <w:rFonts w:ascii="Calibri" w:hAnsi="Calibri"/>
          <w:b/>
          <w:bCs/>
          <w:szCs w:val="20"/>
        </w:rPr>
      </w:pPr>
    </w:p>
    <w:p w:rsidR="0054499C" w:rsidRPr="00852E57" w:rsidRDefault="0054499C" w:rsidP="0054499C">
      <w:pPr>
        <w:rPr>
          <w:rFonts w:ascii="Calibri" w:hAnsi="Calibri"/>
          <w:b/>
          <w:bCs/>
          <w:szCs w:val="20"/>
        </w:rPr>
      </w:pPr>
    </w:p>
    <w:p w:rsidR="0054499C" w:rsidRPr="00852E57" w:rsidRDefault="0054499C" w:rsidP="0054499C">
      <w:pPr>
        <w:rPr>
          <w:rFonts w:ascii="Calibri" w:hAnsi="Calibri"/>
          <w:b/>
          <w:bCs/>
          <w:szCs w:val="20"/>
        </w:rPr>
      </w:pPr>
    </w:p>
    <w:p w:rsidR="0054499C" w:rsidRPr="00852E57" w:rsidRDefault="0054499C" w:rsidP="0054499C">
      <w:pPr>
        <w:ind w:left="33"/>
        <w:rPr>
          <w:rFonts w:ascii="Calibri" w:hAnsi="Calibri"/>
          <w:b/>
          <w:szCs w:val="20"/>
        </w:rPr>
      </w:pPr>
    </w:p>
    <w:p w:rsidR="0054499C" w:rsidRPr="00852E57" w:rsidRDefault="0054499C" w:rsidP="0054499C">
      <w:pPr>
        <w:ind w:left="33"/>
        <w:rPr>
          <w:rFonts w:ascii="Calibri" w:hAnsi="Calibri"/>
          <w:b/>
          <w:szCs w:val="20"/>
        </w:rPr>
      </w:pPr>
    </w:p>
    <w:p w:rsidR="0054499C" w:rsidRPr="00852E57" w:rsidRDefault="0054499C" w:rsidP="0054499C">
      <w:pPr>
        <w:ind w:left="33"/>
        <w:rPr>
          <w:rFonts w:ascii="Calibri" w:hAnsi="Calibri"/>
          <w:b/>
          <w:szCs w:val="20"/>
        </w:rPr>
      </w:pPr>
    </w:p>
    <w:p w:rsidR="0054499C" w:rsidRPr="00852E57" w:rsidRDefault="0054499C" w:rsidP="0054499C">
      <w:pPr>
        <w:ind w:left="33"/>
        <w:rPr>
          <w:rFonts w:ascii="Calibri" w:hAnsi="Calibri"/>
          <w:b/>
          <w:szCs w:val="20"/>
        </w:rPr>
      </w:pPr>
    </w:p>
    <w:p w:rsidR="0054499C" w:rsidRPr="00852E57" w:rsidRDefault="0054499C" w:rsidP="0054499C">
      <w:pPr>
        <w:ind w:left="33"/>
        <w:rPr>
          <w:rFonts w:ascii="Calibri" w:hAnsi="Calibri"/>
          <w:b/>
          <w:szCs w:val="20"/>
        </w:rPr>
      </w:pPr>
      <w:r w:rsidRPr="00852E57">
        <w:rPr>
          <w:rFonts w:ascii="Calibri" w:hAnsi="Calibri"/>
          <w:b/>
          <w:szCs w:val="20"/>
        </w:rPr>
        <w:t>Ďalšie informácie týkajúce sa podopatrenia</w:t>
      </w:r>
    </w:p>
    <w:p w:rsidR="0054499C" w:rsidRPr="00852E57" w:rsidRDefault="0054499C" w:rsidP="00CE203B">
      <w:pPr>
        <w:numPr>
          <w:ilvl w:val="0"/>
          <w:numId w:val="281"/>
        </w:numPr>
        <w:spacing w:after="120"/>
        <w:ind w:left="357" w:right="68" w:hanging="357"/>
        <w:rPr>
          <w:rFonts w:ascii="Calibri" w:eastAsia="Calibri" w:hAnsi="Calibri" w:cs="Arial"/>
        </w:rPr>
      </w:pPr>
      <w:r w:rsidRPr="00852E57">
        <w:rPr>
          <w:rFonts w:ascii="Calibri" w:eastAsia="Calibri" w:hAnsi="Calibri" w:cs="Arial"/>
        </w:rPr>
        <w:t>Výška vyrovnávacích príspevkov v roku 2014 pokračuje v intenciách roku 2013 (prechodné nariadenie).</w:t>
      </w:r>
    </w:p>
    <w:p w:rsidR="0054499C" w:rsidRPr="00852E57" w:rsidRDefault="0054499C" w:rsidP="00CE203B">
      <w:pPr>
        <w:numPr>
          <w:ilvl w:val="0"/>
          <w:numId w:val="281"/>
        </w:numPr>
        <w:ind w:right="70"/>
        <w:rPr>
          <w:rFonts w:ascii="Calibri" w:eastAsia="Calibri" w:hAnsi="Calibri" w:cs="Arial"/>
        </w:rPr>
      </w:pPr>
      <w:r w:rsidRPr="00852E57">
        <w:rPr>
          <w:rFonts w:ascii="Calibri" w:eastAsia="Calibri" w:hAnsi="Calibri" w:cs="Arial"/>
        </w:rPr>
        <w:t>SR nebude uplatňovať a realizovať Platby na oblasti s prírodnými prekážkami podľa čl. 48 nariadenia (EÚ) č. 1307/2013.</w:t>
      </w:r>
    </w:p>
    <w:p w:rsidR="0054499C" w:rsidRPr="00852E57" w:rsidRDefault="0054499C" w:rsidP="0054499C">
      <w:pPr>
        <w:rPr>
          <w:rFonts w:ascii="Calibri" w:hAnsi="Calibri"/>
          <w:b/>
          <w:szCs w:val="20"/>
        </w:rPr>
      </w:pPr>
    </w:p>
    <w:p w:rsidR="0054499C" w:rsidRPr="00852E57" w:rsidRDefault="0054499C" w:rsidP="0054499C">
      <w:pPr>
        <w:rPr>
          <w:rFonts w:ascii="Calibri" w:hAnsi="Calibri"/>
          <w:b/>
          <w:szCs w:val="20"/>
        </w:rPr>
      </w:pPr>
    </w:p>
    <w:p w:rsidR="0054499C" w:rsidRPr="00852E57" w:rsidRDefault="0054499C" w:rsidP="0054499C">
      <w:pPr>
        <w:keepNext/>
        <w:shd w:val="clear" w:color="auto" w:fill="D6E3BC"/>
        <w:outlineLvl w:val="4"/>
        <w:rPr>
          <w:rFonts w:ascii="Calibri" w:hAnsi="Calibri" w:cs="Calibri"/>
          <w:b/>
          <w:i/>
          <w:sz w:val="24"/>
        </w:rPr>
      </w:pPr>
      <w:r w:rsidRPr="00852E57">
        <w:rPr>
          <w:rFonts w:ascii="Calibri" w:hAnsi="Calibri"/>
          <w:i/>
          <w:sz w:val="24"/>
        </w:rPr>
        <w:t xml:space="preserve">Podopatrenie 13.2: </w:t>
      </w:r>
      <w:r w:rsidRPr="00852E57">
        <w:rPr>
          <w:rFonts w:ascii="Calibri" w:hAnsi="Calibri" w:cs="Calibri"/>
          <w:b/>
          <w:i/>
          <w:sz w:val="24"/>
        </w:rPr>
        <w:t xml:space="preserve">Kompenzačné platby pre ostatné oblasti čeliace významným prírodným </w:t>
      </w:r>
    </w:p>
    <w:p w:rsidR="0054499C" w:rsidRPr="00852E57" w:rsidRDefault="0054499C" w:rsidP="0054499C">
      <w:pPr>
        <w:keepNext/>
        <w:shd w:val="clear" w:color="auto" w:fill="D6E3BC"/>
        <w:outlineLvl w:val="4"/>
        <w:rPr>
          <w:rFonts w:ascii="Calibri" w:hAnsi="Calibri"/>
          <w:b/>
          <w:i/>
          <w:sz w:val="24"/>
          <w:u w:val="single"/>
        </w:rPr>
      </w:pPr>
      <w:r w:rsidRPr="00852E57">
        <w:rPr>
          <w:rFonts w:ascii="Calibri" w:hAnsi="Calibri" w:cs="Calibri"/>
          <w:b/>
          <w:i/>
          <w:sz w:val="24"/>
        </w:rPr>
        <w:t xml:space="preserve">                                   obmedzeniam</w:t>
      </w:r>
    </w:p>
    <w:p w:rsidR="0054499C" w:rsidRPr="00852E57" w:rsidRDefault="0054499C" w:rsidP="0054499C">
      <w:pPr>
        <w:tabs>
          <w:tab w:val="right" w:pos="9354"/>
        </w:tabs>
        <w:rPr>
          <w:rFonts w:ascii="Calibri" w:hAnsi="Calibri"/>
          <w:szCs w:val="20"/>
          <w:u w:val="single"/>
        </w:rPr>
      </w:pPr>
    </w:p>
    <w:p w:rsidR="0054499C" w:rsidRPr="00852E57" w:rsidRDefault="0054499C" w:rsidP="0054499C">
      <w:pPr>
        <w:tabs>
          <w:tab w:val="right" w:pos="9354"/>
        </w:tabs>
        <w:rPr>
          <w:rFonts w:ascii="Calibri" w:hAnsi="Calibri"/>
          <w:szCs w:val="20"/>
          <w:u w:val="single"/>
        </w:rPr>
      </w:pPr>
      <w:r w:rsidRPr="00852E57">
        <w:rPr>
          <w:rFonts w:ascii="Calibri" w:hAnsi="Calibri"/>
          <w:szCs w:val="20"/>
          <w:u w:val="single"/>
        </w:rPr>
        <w:t>Opis operácie:</w:t>
      </w:r>
    </w:p>
    <w:p w:rsidR="0054499C" w:rsidRPr="00852E57" w:rsidRDefault="0054499C" w:rsidP="0054499C">
      <w:pPr>
        <w:rPr>
          <w:rFonts w:ascii="Calibri" w:hAnsi="Calibri"/>
          <w:szCs w:val="20"/>
        </w:rPr>
      </w:pPr>
      <w:r w:rsidRPr="00852E57">
        <w:rPr>
          <w:rFonts w:ascii="Calibri" w:hAnsi="Calibri"/>
          <w:b/>
          <w:szCs w:val="20"/>
        </w:rPr>
        <w:t>Ostatné znevýhodnené oblasti</w:t>
      </w:r>
      <w:r w:rsidRPr="00852E57">
        <w:rPr>
          <w:rFonts w:ascii="Calibri" w:hAnsi="Calibri"/>
          <w:b/>
          <w:caps/>
          <w:szCs w:val="20"/>
        </w:rPr>
        <w:t xml:space="preserve"> </w:t>
      </w:r>
      <w:r w:rsidRPr="00852E57">
        <w:rPr>
          <w:rFonts w:ascii="Calibri" w:hAnsi="Calibri"/>
          <w:szCs w:val="20"/>
        </w:rPr>
        <w:t xml:space="preserve">(označenie </w:t>
      </w:r>
      <w:r w:rsidRPr="00852E57">
        <w:rPr>
          <w:rFonts w:ascii="Calibri" w:hAnsi="Calibri"/>
          <w:b/>
          <w:szCs w:val="20"/>
        </w:rPr>
        <w:t>O</w:t>
      </w:r>
      <w:r w:rsidRPr="00852E57">
        <w:rPr>
          <w:rFonts w:ascii="Calibri" w:hAnsi="Calibri"/>
          <w:szCs w:val="20"/>
        </w:rPr>
        <w:t>)</w:t>
      </w:r>
    </w:p>
    <w:p w:rsidR="0054499C" w:rsidRPr="00852E57" w:rsidRDefault="0054499C" w:rsidP="0054499C">
      <w:pPr>
        <w:rPr>
          <w:rFonts w:ascii="Calibri" w:hAnsi="Calibri"/>
          <w:i/>
          <w:szCs w:val="20"/>
        </w:rPr>
      </w:pPr>
      <w:r w:rsidRPr="00852E57">
        <w:rPr>
          <w:rFonts w:ascii="Calibri" w:hAnsi="Calibri"/>
          <w:szCs w:val="20"/>
        </w:rPr>
        <w:t>Ostatné znevýhodnené oblasti sú ucelené územia, ktoré zároveň spĺňajú tieto kritériá</w:t>
      </w:r>
      <w:r w:rsidRPr="00852E57">
        <w:rPr>
          <w:rFonts w:ascii="Calibri" w:hAnsi="Calibri"/>
          <w:i/>
          <w:szCs w:val="20"/>
        </w:rPr>
        <w:t>:</w:t>
      </w:r>
    </w:p>
    <w:p w:rsidR="0054499C" w:rsidRPr="00852E57" w:rsidRDefault="0054499C" w:rsidP="00CE203B">
      <w:pPr>
        <w:numPr>
          <w:ilvl w:val="0"/>
          <w:numId w:val="316"/>
        </w:numPr>
        <w:tabs>
          <w:tab w:val="num" w:pos="720"/>
          <w:tab w:val="left" w:pos="900"/>
          <w:tab w:val="decimal" w:pos="9000"/>
        </w:tabs>
        <w:overflowPunct w:val="0"/>
        <w:autoSpaceDE w:val="0"/>
        <w:autoSpaceDN w:val="0"/>
        <w:adjustRightInd w:val="0"/>
        <w:contextualSpacing/>
        <w:textAlignment w:val="baseline"/>
        <w:rPr>
          <w:rFonts w:ascii="Calibri" w:eastAsia="Calibri" w:hAnsi="Calibri"/>
          <w:lang w:eastAsia="cs-CZ"/>
        </w:rPr>
      </w:pPr>
      <w:r w:rsidRPr="00852E57">
        <w:rPr>
          <w:rFonts w:ascii="Calibri" w:eastAsia="Calibri" w:hAnsi="Calibri"/>
          <w:b/>
          <w:lang w:eastAsia="cs-CZ"/>
        </w:rPr>
        <w:t xml:space="preserve">výnosovosť </w:t>
      </w:r>
      <w:r w:rsidRPr="00852E57">
        <w:rPr>
          <w:rFonts w:ascii="Calibri" w:eastAsia="Calibri" w:hAnsi="Calibri"/>
          <w:lang w:eastAsia="cs-CZ"/>
        </w:rPr>
        <w:t xml:space="preserve">poľnohospodárskej pôdy je menšia ako 80 % národného priemeru (27 bodov); </w:t>
      </w:r>
    </w:p>
    <w:p w:rsidR="0054499C" w:rsidRPr="00852E57" w:rsidRDefault="0054499C" w:rsidP="0054499C">
      <w:pPr>
        <w:tabs>
          <w:tab w:val="num" w:pos="720"/>
          <w:tab w:val="left" w:pos="900"/>
          <w:tab w:val="decimal" w:pos="9000"/>
        </w:tabs>
        <w:overflowPunct w:val="0"/>
        <w:autoSpaceDE w:val="0"/>
        <w:autoSpaceDN w:val="0"/>
        <w:adjustRightInd w:val="0"/>
        <w:textAlignment w:val="baseline"/>
        <w:rPr>
          <w:rFonts w:ascii="Calibri" w:eastAsia="Calibri" w:hAnsi="Calibri"/>
          <w:lang w:eastAsia="cs-CZ"/>
        </w:rPr>
      </w:pPr>
      <w:r w:rsidRPr="00852E57">
        <w:rPr>
          <w:rFonts w:ascii="Calibri" w:eastAsia="Calibri" w:hAnsi="Calibri"/>
          <w:lang w:eastAsia="cs-CZ"/>
        </w:rPr>
        <w:t xml:space="preserve">        alebo </w:t>
      </w:r>
    </w:p>
    <w:p w:rsidR="0054499C" w:rsidRPr="00852E57" w:rsidRDefault="0054499C" w:rsidP="00CE203B">
      <w:pPr>
        <w:numPr>
          <w:ilvl w:val="0"/>
          <w:numId w:val="316"/>
        </w:numPr>
        <w:tabs>
          <w:tab w:val="num" w:pos="720"/>
          <w:tab w:val="left" w:pos="900"/>
          <w:tab w:val="decimal" w:pos="9000"/>
        </w:tabs>
        <w:overflowPunct w:val="0"/>
        <w:autoSpaceDE w:val="0"/>
        <w:autoSpaceDN w:val="0"/>
        <w:adjustRightInd w:val="0"/>
        <w:contextualSpacing/>
        <w:jc w:val="left"/>
        <w:textAlignment w:val="baseline"/>
        <w:rPr>
          <w:rFonts w:ascii="Calibri" w:eastAsia="Calibri" w:hAnsi="Calibri"/>
          <w:lang w:eastAsia="cs-CZ"/>
        </w:rPr>
      </w:pPr>
      <w:r w:rsidRPr="00852E57">
        <w:rPr>
          <w:rFonts w:ascii="Calibri" w:eastAsia="Calibri" w:hAnsi="Calibri"/>
          <w:b/>
          <w:lang w:eastAsia="cs-CZ"/>
        </w:rPr>
        <w:t>zastúpenie trvalých trávnych porastov a krmovín</w:t>
      </w:r>
      <w:r w:rsidRPr="00852E57">
        <w:rPr>
          <w:rFonts w:ascii="Calibri" w:eastAsia="Calibri" w:hAnsi="Calibri"/>
          <w:lang w:eastAsia="cs-CZ"/>
        </w:rPr>
        <w:t xml:space="preserve"> na poľnohospodárskej pôde obce – je väčšie alebo rovné ako 50 % a počet VDJ/ha na týchto plochách je menší ako 1; </w:t>
      </w:r>
    </w:p>
    <w:p w:rsidR="0054499C" w:rsidRPr="00852E57" w:rsidRDefault="0054499C" w:rsidP="0054499C">
      <w:pPr>
        <w:tabs>
          <w:tab w:val="num" w:pos="720"/>
          <w:tab w:val="left" w:pos="900"/>
          <w:tab w:val="decimal" w:pos="9000"/>
        </w:tabs>
        <w:overflowPunct w:val="0"/>
        <w:autoSpaceDE w:val="0"/>
        <w:autoSpaceDN w:val="0"/>
        <w:adjustRightInd w:val="0"/>
        <w:textAlignment w:val="baseline"/>
        <w:rPr>
          <w:rFonts w:ascii="Calibri" w:eastAsia="Calibri" w:hAnsi="Calibri"/>
          <w:lang w:eastAsia="cs-CZ"/>
        </w:rPr>
      </w:pPr>
      <w:r w:rsidRPr="00852E57">
        <w:rPr>
          <w:rFonts w:ascii="Calibri" w:eastAsia="Calibri" w:hAnsi="Calibri"/>
          <w:lang w:eastAsia="cs-CZ"/>
        </w:rPr>
        <w:t xml:space="preserve">        alebo </w:t>
      </w:r>
    </w:p>
    <w:p w:rsidR="0054499C" w:rsidRPr="00852E57" w:rsidRDefault="0054499C" w:rsidP="00CE203B">
      <w:pPr>
        <w:numPr>
          <w:ilvl w:val="0"/>
          <w:numId w:val="316"/>
        </w:numPr>
        <w:tabs>
          <w:tab w:val="num" w:pos="720"/>
          <w:tab w:val="left" w:pos="900"/>
          <w:tab w:val="decimal" w:pos="9000"/>
        </w:tabs>
        <w:overflowPunct w:val="0"/>
        <w:autoSpaceDE w:val="0"/>
        <w:autoSpaceDN w:val="0"/>
        <w:adjustRightInd w:val="0"/>
        <w:contextualSpacing/>
        <w:jc w:val="left"/>
        <w:textAlignment w:val="baseline"/>
        <w:rPr>
          <w:rFonts w:ascii="Calibri" w:eastAsia="Calibri" w:hAnsi="Calibri"/>
          <w:lang w:eastAsia="cs-CZ"/>
        </w:rPr>
      </w:pPr>
      <w:r w:rsidRPr="00852E57">
        <w:rPr>
          <w:rFonts w:ascii="Calibri" w:eastAsia="Calibri" w:hAnsi="Calibri"/>
          <w:b/>
          <w:lang w:eastAsia="cs-CZ"/>
        </w:rPr>
        <w:t>výnos (úroda) obilia</w:t>
      </w:r>
      <w:r w:rsidRPr="00852E57">
        <w:rPr>
          <w:rFonts w:ascii="Calibri" w:eastAsia="Calibri" w:hAnsi="Calibri"/>
          <w:lang w:eastAsia="cs-CZ"/>
        </w:rPr>
        <w:t xml:space="preserve"> je menšia ako 80 % národného priemeru (3,89 t/ha). </w:t>
      </w:r>
    </w:p>
    <w:p w:rsidR="0054499C" w:rsidRPr="00852E57" w:rsidRDefault="0054499C" w:rsidP="00CE203B">
      <w:pPr>
        <w:numPr>
          <w:ilvl w:val="0"/>
          <w:numId w:val="316"/>
        </w:numPr>
        <w:tabs>
          <w:tab w:val="num" w:pos="720"/>
          <w:tab w:val="left" w:pos="900"/>
          <w:tab w:val="decimal" w:pos="9000"/>
        </w:tabs>
        <w:overflowPunct w:val="0"/>
        <w:autoSpaceDE w:val="0"/>
        <w:autoSpaceDN w:val="0"/>
        <w:adjustRightInd w:val="0"/>
        <w:contextualSpacing/>
        <w:jc w:val="left"/>
        <w:textAlignment w:val="baseline"/>
        <w:rPr>
          <w:rFonts w:ascii="Calibri" w:eastAsia="Calibri" w:hAnsi="Calibri"/>
          <w:lang w:eastAsia="cs-CZ"/>
        </w:rPr>
      </w:pPr>
      <w:r w:rsidRPr="00852E57">
        <w:rPr>
          <w:rFonts w:ascii="Calibri" w:eastAsia="Calibri" w:hAnsi="Calibri"/>
          <w:b/>
          <w:lang w:eastAsia="cs-CZ"/>
        </w:rPr>
        <w:t>hustota</w:t>
      </w:r>
      <w:r w:rsidRPr="00852E57">
        <w:rPr>
          <w:rFonts w:ascii="Calibri" w:eastAsia="Calibri" w:hAnsi="Calibri"/>
          <w:lang w:eastAsia="cs-CZ"/>
        </w:rPr>
        <w:t xml:space="preserve"> obyvateľstva okresu je menšia ako 72 obyvateľov na km²; </w:t>
      </w:r>
    </w:p>
    <w:p w:rsidR="0054499C" w:rsidRPr="00852E57" w:rsidRDefault="0054499C" w:rsidP="00CE203B">
      <w:pPr>
        <w:numPr>
          <w:ilvl w:val="0"/>
          <w:numId w:val="316"/>
        </w:numPr>
        <w:tabs>
          <w:tab w:val="num" w:pos="720"/>
          <w:tab w:val="left" w:pos="900"/>
          <w:tab w:val="decimal" w:pos="9000"/>
        </w:tabs>
        <w:overflowPunct w:val="0"/>
        <w:autoSpaceDE w:val="0"/>
        <w:autoSpaceDN w:val="0"/>
        <w:adjustRightInd w:val="0"/>
        <w:contextualSpacing/>
        <w:jc w:val="left"/>
        <w:textAlignment w:val="baseline"/>
        <w:rPr>
          <w:rFonts w:ascii="Calibri" w:eastAsia="Calibri" w:hAnsi="Calibri"/>
          <w:lang w:eastAsia="cs-CZ"/>
        </w:rPr>
      </w:pPr>
      <w:r w:rsidRPr="00852E57">
        <w:rPr>
          <w:rFonts w:ascii="Calibri" w:eastAsia="Calibri" w:hAnsi="Calibri"/>
          <w:b/>
          <w:lang w:eastAsia="cs-CZ"/>
        </w:rPr>
        <w:t>podiel pracovníkov</w:t>
      </w:r>
      <w:r w:rsidRPr="00852E57">
        <w:rPr>
          <w:rFonts w:ascii="Calibri" w:eastAsia="Calibri" w:hAnsi="Calibri"/>
          <w:lang w:eastAsia="cs-CZ"/>
        </w:rPr>
        <w:t xml:space="preserve"> v pôdohospodárstve na ekonomicky aktívnom obyvateľstve v okrese je väčší alebo rovný ako 12 %.</w:t>
      </w:r>
    </w:p>
    <w:p w:rsidR="0054499C" w:rsidRPr="00852E57" w:rsidRDefault="0054499C" w:rsidP="0054499C">
      <w:pPr>
        <w:rPr>
          <w:rFonts w:ascii="Calibri" w:hAnsi="Calibri"/>
          <w:szCs w:val="20"/>
        </w:rPr>
      </w:pPr>
    </w:p>
    <w:p w:rsidR="0054499C" w:rsidRPr="00852E57" w:rsidRDefault="0054499C" w:rsidP="0054499C">
      <w:pPr>
        <w:rPr>
          <w:rFonts w:ascii="Calibri" w:hAnsi="Calibri"/>
          <w:szCs w:val="20"/>
        </w:rPr>
      </w:pPr>
      <w:r w:rsidRPr="00852E57">
        <w:rPr>
          <w:rFonts w:ascii="Calibri" w:hAnsi="Calibri"/>
          <w:szCs w:val="20"/>
        </w:rPr>
        <w:t>Ostatné znevýhodnené oblasti sa delia do subkategórií: O1/1,O1/2,O1/3, O2,O3, O4/1, O4/2,O4/3</w:t>
      </w:r>
    </w:p>
    <w:p w:rsidR="0054499C" w:rsidRPr="00852E57" w:rsidRDefault="0054499C" w:rsidP="0054499C">
      <w:pPr>
        <w:rPr>
          <w:rFonts w:ascii="Calibri" w:hAnsi="Calibri"/>
          <w:b/>
          <w:szCs w:val="20"/>
        </w:rPr>
      </w:pPr>
    </w:p>
    <w:tbl>
      <w:tblPr>
        <w:tblW w:w="0" w:type="auto"/>
        <w:jc w:val="center"/>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283"/>
        <w:gridCol w:w="870"/>
        <w:gridCol w:w="2253"/>
        <w:gridCol w:w="1483"/>
      </w:tblGrid>
      <w:tr w:rsidR="0054499C" w:rsidRPr="00852E57" w:rsidTr="0054499C">
        <w:trPr>
          <w:cantSplit/>
          <w:trHeight w:hRule="exact" w:val="284"/>
          <w:jc w:val="center"/>
        </w:trPr>
        <w:tc>
          <w:tcPr>
            <w:tcW w:w="0" w:type="auto"/>
            <w:tcBorders>
              <w:top w:val="single" w:sz="4" w:space="0" w:color="auto"/>
              <w:left w:val="single" w:sz="4" w:space="0" w:color="auto"/>
              <w:bottom w:val="single" w:sz="4" w:space="0" w:color="auto"/>
              <w:right w:val="single" w:sz="4" w:space="0" w:color="auto"/>
            </w:tcBorders>
            <w:shd w:val="clear" w:color="auto" w:fill="F2DBDB" w:themeFill="accent2" w:themeFillTint="33"/>
            <w:hideMark/>
          </w:tcPr>
          <w:p w:rsidR="0054499C" w:rsidRPr="00852E57" w:rsidRDefault="0054499C" w:rsidP="0054499C">
            <w:pPr>
              <w:spacing w:after="240"/>
              <w:jc w:val="center"/>
              <w:rPr>
                <w:rFonts w:ascii="Calibri" w:hAnsi="Calibri" w:cs="Calibri"/>
                <w:b/>
                <w:bCs/>
                <w:sz w:val="20"/>
                <w:szCs w:val="20"/>
              </w:rPr>
            </w:pPr>
            <w:r w:rsidRPr="00852E57">
              <w:rPr>
                <w:rFonts w:ascii="Calibri" w:hAnsi="Calibri"/>
                <w:b/>
                <w:bCs/>
                <w:sz w:val="20"/>
                <w:szCs w:val="20"/>
              </w:rPr>
              <w:t>O</w:t>
            </w:r>
          </w:p>
        </w:tc>
        <w:tc>
          <w:tcPr>
            <w:tcW w:w="0" w:type="auto"/>
            <w:tcBorders>
              <w:top w:val="single" w:sz="4" w:space="0" w:color="auto"/>
              <w:left w:val="single" w:sz="4" w:space="0" w:color="auto"/>
              <w:bottom w:val="single" w:sz="4" w:space="0" w:color="auto"/>
              <w:right w:val="single" w:sz="4" w:space="0" w:color="auto"/>
            </w:tcBorders>
            <w:shd w:val="clear" w:color="auto" w:fill="F2DBDB" w:themeFill="accent2" w:themeFillTint="33"/>
            <w:hideMark/>
          </w:tcPr>
          <w:p w:rsidR="0054499C" w:rsidRPr="00852E57" w:rsidRDefault="0054499C" w:rsidP="0054499C">
            <w:pPr>
              <w:spacing w:after="240"/>
              <w:jc w:val="center"/>
              <w:rPr>
                <w:rFonts w:ascii="Calibri" w:hAnsi="Calibri" w:cs="Calibri"/>
                <w:b/>
                <w:bCs/>
                <w:sz w:val="20"/>
                <w:szCs w:val="20"/>
              </w:rPr>
            </w:pPr>
            <w:r w:rsidRPr="00852E57">
              <w:rPr>
                <w:rFonts w:ascii="Calibri" w:hAnsi="Calibri" w:cs="Calibri"/>
                <w:b/>
                <w:bCs/>
                <w:sz w:val="20"/>
                <w:szCs w:val="20"/>
              </w:rPr>
              <w:t>LFA SR</w:t>
            </w:r>
          </w:p>
        </w:tc>
        <w:tc>
          <w:tcPr>
            <w:tcW w:w="0" w:type="auto"/>
            <w:tcBorders>
              <w:top w:val="single" w:sz="4" w:space="0" w:color="auto"/>
              <w:left w:val="single" w:sz="4" w:space="0" w:color="auto"/>
              <w:bottom w:val="single" w:sz="4" w:space="0" w:color="auto"/>
              <w:right w:val="single" w:sz="4" w:space="0" w:color="auto"/>
            </w:tcBorders>
            <w:shd w:val="clear" w:color="auto" w:fill="F2DBDB" w:themeFill="accent2" w:themeFillTint="33"/>
            <w:hideMark/>
          </w:tcPr>
          <w:p w:rsidR="0054499C" w:rsidRPr="00852E57" w:rsidRDefault="0054499C" w:rsidP="0054499C">
            <w:pPr>
              <w:spacing w:after="240"/>
              <w:jc w:val="center"/>
              <w:rPr>
                <w:rFonts w:ascii="Calibri" w:hAnsi="Calibri" w:cs="Calibri"/>
                <w:b/>
                <w:bCs/>
                <w:sz w:val="20"/>
                <w:szCs w:val="20"/>
              </w:rPr>
            </w:pPr>
            <w:r w:rsidRPr="00852E57">
              <w:rPr>
                <w:rFonts w:ascii="Calibri" w:hAnsi="Calibri" w:cs="Calibri"/>
                <w:b/>
                <w:bCs/>
                <w:sz w:val="20"/>
                <w:szCs w:val="20"/>
              </w:rPr>
              <w:t>Menej rozvinuté regióny</w:t>
            </w:r>
          </w:p>
        </w:tc>
        <w:tc>
          <w:tcPr>
            <w:tcW w:w="0" w:type="auto"/>
            <w:tcBorders>
              <w:top w:val="single" w:sz="4" w:space="0" w:color="auto"/>
              <w:left w:val="single" w:sz="4" w:space="0" w:color="auto"/>
              <w:bottom w:val="single" w:sz="4" w:space="0" w:color="auto"/>
              <w:right w:val="single" w:sz="4" w:space="0" w:color="auto"/>
            </w:tcBorders>
            <w:shd w:val="clear" w:color="auto" w:fill="F2DBDB" w:themeFill="accent2" w:themeFillTint="33"/>
            <w:hideMark/>
          </w:tcPr>
          <w:p w:rsidR="0054499C" w:rsidRPr="00852E57" w:rsidRDefault="0054499C" w:rsidP="0054499C">
            <w:pPr>
              <w:spacing w:after="240"/>
              <w:jc w:val="center"/>
              <w:rPr>
                <w:rFonts w:ascii="Calibri" w:hAnsi="Calibri" w:cs="Calibri"/>
                <w:b/>
                <w:bCs/>
                <w:sz w:val="20"/>
                <w:szCs w:val="20"/>
              </w:rPr>
            </w:pPr>
            <w:r w:rsidRPr="00852E57">
              <w:rPr>
                <w:rFonts w:ascii="Calibri" w:hAnsi="Calibri" w:cs="Calibri"/>
                <w:b/>
                <w:bCs/>
                <w:sz w:val="20"/>
                <w:szCs w:val="20"/>
              </w:rPr>
              <w:t>Ostatné oblasti</w:t>
            </w:r>
          </w:p>
        </w:tc>
      </w:tr>
      <w:tr w:rsidR="0054499C" w:rsidRPr="00852E57" w:rsidTr="0054499C">
        <w:trPr>
          <w:cantSplit/>
          <w:trHeight w:hRule="exact" w:val="284"/>
          <w:jc w:val="center"/>
        </w:trPr>
        <w:tc>
          <w:tcPr>
            <w:tcW w:w="0" w:type="auto"/>
            <w:tcBorders>
              <w:top w:val="single" w:sz="4" w:space="0" w:color="auto"/>
              <w:left w:val="single" w:sz="4" w:space="0" w:color="auto"/>
              <w:bottom w:val="single" w:sz="4" w:space="0" w:color="auto"/>
              <w:right w:val="single" w:sz="4" w:space="0" w:color="auto"/>
            </w:tcBorders>
            <w:hideMark/>
          </w:tcPr>
          <w:p w:rsidR="0054499C" w:rsidRPr="00852E57" w:rsidRDefault="0054499C" w:rsidP="0054499C">
            <w:pPr>
              <w:spacing w:after="240"/>
              <w:jc w:val="center"/>
              <w:rPr>
                <w:rFonts w:ascii="Calibri" w:hAnsi="Calibri" w:cs="Calibri"/>
                <w:bCs/>
                <w:sz w:val="20"/>
                <w:szCs w:val="20"/>
              </w:rPr>
            </w:pPr>
            <w:r w:rsidRPr="00852E57">
              <w:rPr>
                <w:rFonts w:ascii="Calibri" w:hAnsi="Calibri" w:cs="Calibri"/>
                <w:bCs/>
                <w:sz w:val="20"/>
                <w:szCs w:val="20"/>
              </w:rPr>
              <w:t>Subkategória</w:t>
            </w:r>
          </w:p>
        </w:tc>
        <w:tc>
          <w:tcPr>
            <w:tcW w:w="0" w:type="auto"/>
            <w:tcBorders>
              <w:top w:val="single" w:sz="4" w:space="0" w:color="auto"/>
              <w:left w:val="single" w:sz="4" w:space="0" w:color="auto"/>
              <w:bottom w:val="single" w:sz="4" w:space="0" w:color="auto"/>
              <w:right w:val="single" w:sz="4" w:space="0" w:color="auto"/>
            </w:tcBorders>
            <w:hideMark/>
          </w:tcPr>
          <w:p w:rsidR="0054499C" w:rsidRPr="00852E57" w:rsidRDefault="0054499C" w:rsidP="0054499C">
            <w:pPr>
              <w:spacing w:after="240"/>
              <w:jc w:val="center"/>
              <w:rPr>
                <w:rFonts w:ascii="Calibri" w:hAnsi="Calibri" w:cs="Calibri"/>
                <w:sz w:val="20"/>
                <w:szCs w:val="20"/>
              </w:rPr>
            </w:pPr>
            <w:r w:rsidRPr="00852E57">
              <w:rPr>
                <w:rFonts w:ascii="Calibri" w:hAnsi="Calibri" w:cs="Calibri"/>
                <w:sz w:val="20"/>
                <w:szCs w:val="20"/>
              </w:rPr>
              <w:t>ha</w:t>
            </w:r>
          </w:p>
        </w:tc>
        <w:tc>
          <w:tcPr>
            <w:tcW w:w="0" w:type="auto"/>
            <w:tcBorders>
              <w:top w:val="single" w:sz="4" w:space="0" w:color="auto"/>
              <w:left w:val="single" w:sz="4" w:space="0" w:color="auto"/>
              <w:bottom w:val="single" w:sz="4" w:space="0" w:color="auto"/>
              <w:right w:val="single" w:sz="4" w:space="0" w:color="auto"/>
            </w:tcBorders>
            <w:hideMark/>
          </w:tcPr>
          <w:p w:rsidR="0054499C" w:rsidRPr="00852E57" w:rsidRDefault="0054499C" w:rsidP="0054499C">
            <w:pPr>
              <w:spacing w:after="240"/>
              <w:jc w:val="center"/>
              <w:rPr>
                <w:rFonts w:ascii="Calibri" w:hAnsi="Calibri" w:cs="Calibri"/>
                <w:sz w:val="20"/>
                <w:szCs w:val="20"/>
              </w:rPr>
            </w:pPr>
            <w:r w:rsidRPr="00852E57">
              <w:rPr>
                <w:rFonts w:ascii="Calibri" w:hAnsi="Calibri" w:cs="Calibri"/>
                <w:sz w:val="20"/>
                <w:szCs w:val="20"/>
              </w:rPr>
              <w:t>ha</w:t>
            </w:r>
          </w:p>
        </w:tc>
        <w:tc>
          <w:tcPr>
            <w:tcW w:w="0" w:type="auto"/>
            <w:tcBorders>
              <w:top w:val="single" w:sz="4" w:space="0" w:color="auto"/>
              <w:left w:val="single" w:sz="4" w:space="0" w:color="auto"/>
              <w:bottom w:val="single" w:sz="4" w:space="0" w:color="auto"/>
              <w:right w:val="single" w:sz="4" w:space="0" w:color="auto"/>
            </w:tcBorders>
            <w:hideMark/>
          </w:tcPr>
          <w:p w:rsidR="0054499C" w:rsidRPr="00852E57" w:rsidRDefault="0054499C" w:rsidP="0054499C">
            <w:pPr>
              <w:spacing w:after="240"/>
              <w:jc w:val="center"/>
              <w:rPr>
                <w:rFonts w:ascii="Calibri" w:hAnsi="Calibri" w:cs="Calibri"/>
                <w:sz w:val="20"/>
                <w:szCs w:val="20"/>
              </w:rPr>
            </w:pPr>
            <w:r w:rsidRPr="00852E57">
              <w:rPr>
                <w:rFonts w:ascii="Calibri" w:hAnsi="Calibri" w:cs="Calibri"/>
                <w:sz w:val="20"/>
                <w:szCs w:val="20"/>
              </w:rPr>
              <w:t>ha</w:t>
            </w:r>
          </w:p>
        </w:tc>
      </w:tr>
      <w:tr w:rsidR="0054499C" w:rsidRPr="00852E57" w:rsidTr="0054499C">
        <w:trPr>
          <w:cantSplit/>
          <w:trHeight w:hRule="exact" w:val="284"/>
          <w:jc w:val="center"/>
        </w:trPr>
        <w:tc>
          <w:tcPr>
            <w:tcW w:w="0" w:type="auto"/>
            <w:tcBorders>
              <w:top w:val="single" w:sz="4" w:space="0" w:color="auto"/>
              <w:left w:val="single" w:sz="4" w:space="0" w:color="auto"/>
              <w:bottom w:val="single" w:sz="4" w:space="0" w:color="auto"/>
              <w:right w:val="single" w:sz="4" w:space="0" w:color="auto"/>
            </w:tcBorders>
            <w:hideMark/>
          </w:tcPr>
          <w:p w:rsidR="0054499C" w:rsidRPr="00852E57" w:rsidRDefault="0054499C" w:rsidP="0054499C">
            <w:pPr>
              <w:spacing w:after="240"/>
              <w:jc w:val="center"/>
              <w:rPr>
                <w:rFonts w:ascii="Calibri" w:hAnsi="Calibri" w:cs="Calibri"/>
                <w:b/>
                <w:bCs/>
                <w:sz w:val="20"/>
                <w:szCs w:val="20"/>
              </w:rPr>
            </w:pPr>
            <w:r w:rsidRPr="00852E57">
              <w:rPr>
                <w:rFonts w:ascii="Calibri" w:hAnsi="Calibri" w:cs="Calibri"/>
                <w:b/>
                <w:bCs/>
                <w:sz w:val="20"/>
                <w:szCs w:val="20"/>
              </w:rPr>
              <w:t>O1/1</w:t>
            </w:r>
          </w:p>
        </w:tc>
        <w:tc>
          <w:tcPr>
            <w:tcW w:w="0" w:type="auto"/>
            <w:tcBorders>
              <w:top w:val="single" w:sz="4" w:space="0" w:color="auto"/>
              <w:left w:val="single" w:sz="4" w:space="0" w:color="auto"/>
              <w:bottom w:val="single" w:sz="4" w:space="0" w:color="auto"/>
              <w:right w:val="single" w:sz="4" w:space="0" w:color="auto"/>
            </w:tcBorders>
            <w:vAlign w:val="center"/>
            <w:hideMark/>
          </w:tcPr>
          <w:p w:rsidR="0054499C" w:rsidRPr="00852E57" w:rsidRDefault="0054499C" w:rsidP="0054499C">
            <w:pPr>
              <w:spacing w:after="240"/>
              <w:jc w:val="center"/>
              <w:rPr>
                <w:rFonts w:ascii="Calibri" w:eastAsia="Arial Unicode MS" w:hAnsi="Calibri"/>
                <w:sz w:val="20"/>
                <w:szCs w:val="20"/>
              </w:rPr>
            </w:pPr>
            <w:r w:rsidRPr="00852E57">
              <w:rPr>
                <w:rFonts w:ascii="Calibri" w:hAnsi="Calibri"/>
                <w:sz w:val="20"/>
                <w:szCs w:val="20"/>
              </w:rPr>
              <w:t>38 958</w:t>
            </w:r>
          </w:p>
        </w:tc>
        <w:tc>
          <w:tcPr>
            <w:tcW w:w="0" w:type="auto"/>
            <w:tcBorders>
              <w:top w:val="single" w:sz="4" w:space="0" w:color="auto"/>
              <w:left w:val="single" w:sz="4" w:space="0" w:color="auto"/>
              <w:bottom w:val="single" w:sz="4" w:space="0" w:color="auto"/>
              <w:right w:val="single" w:sz="4" w:space="0" w:color="auto"/>
            </w:tcBorders>
            <w:vAlign w:val="center"/>
            <w:hideMark/>
          </w:tcPr>
          <w:p w:rsidR="0054499C" w:rsidRPr="00852E57" w:rsidRDefault="0054499C" w:rsidP="0054499C">
            <w:pPr>
              <w:spacing w:after="240"/>
              <w:jc w:val="center"/>
              <w:rPr>
                <w:rFonts w:ascii="Calibri" w:eastAsia="Arial Unicode MS" w:hAnsi="Calibri"/>
                <w:sz w:val="20"/>
                <w:szCs w:val="20"/>
              </w:rPr>
            </w:pPr>
            <w:r w:rsidRPr="00852E57">
              <w:rPr>
                <w:rFonts w:ascii="Calibri" w:hAnsi="Calibri"/>
                <w:sz w:val="20"/>
                <w:szCs w:val="20"/>
              </w:rPr>
              <w:t>38 958</w:t>
            </w:r>
          </w:p>
        </w:tc>
        <w:tc>
          <w:tcPr>
            <w:tcW w:w="0" w:type="auto"/>
            <w:tcBorders>
              <w:top w:val="single" w:sz="4" w:space="0" w:color="auto"/>
              <w:left w:val="single" w:sz="4" w:space="0" w:color="auto"/>
              <w:bottom w:val="single" w:sz="4" w:space="0" w:color="auto"/>
              <w:right w:val="single" w:sz="4" w:space="0" w:color="auto"/>
            </w:tcBorders>
            <w:vAlign w:val="center"/>
            <w:hideMark/>
          </w:tcPr>
          <w:p w:rsidR="0054499C" w:rsidRPr="00852E57" w:rsidRDefault="0054499C" w:rsidP="0054499C">
            <w:pPr>
              <w:spacing w:after="240"/>
              <w:jc w:val="center"/>
              <w:rPr>
                <w:rFonts w:ascii="Calibri" w:eastAsia="Arial Unicode MS" w:hAnsi="Calibri"/>
                <w:sz w:val="20"/>
                <w:szCs w:val="20"/>
              </w:rPr>
            </w:pPr>
            <w:r w:rsidRPr="00852E57">
              <w:rPr>
                <w:rFonts w:ascii="Calibri" w:hAnsi="Calibri"/>
                <w:sz w:val="20"/>
                <w:szCs w:val="20"/>
              </w:rPr>
              <w:t>0</w:t>
            </w:r>
          </w:p>
        </w:tc>
      </w:tr>
      <w:tr w:rsidR="0054499C" w:rsidRPr="00852E57" w:rsidTr="0054499C">
        <w:trPr>
          <w:cantSplit/>
          <w:trHeight w:hRule="exact" w:val="284"/>
          <w:jc w:val="center"/>
        </w:trPr>
        <w:tc>
          <w:tcPr>
            <w:tcW w:w="0" w:type="auto"/>
            <w:tcBorders>
              <w:top w:val="single" w:sz="4" w:space="0" w:color="auto"/>
              <w:left w:val="single" w:sz="4" w:space="0" w:color="auto"/>
              <w:bottom w:val="single" w:sz="4" w:space="0" w:color="auto"/>
              <w:right w:val="single" w:sz="4" w:space="0" w:color="auto"/>
            </w:tcBorders>
            <w:hideMark/>
          </w:tcPr>
          <w:p w:rsidR="0054499C" w:rsidRPr="00852E57" w:rsidRDefault="0054499C" w:rsidP="0054499C">
            <w:pPr>
              <w:spacing w:after="240"/>
              <w:jc w:val="center"/>
              <w:rPr>
                <w:rFonts w:ascii="Calibri" w:hAnsi="Calibri" w:cs="Calibri"/>
                <w:b/>
                <w:bCs/>
                <w:sz w:val="20"/>
                <w:szCs w:val="20"/>
              </w:rPr>
            </w:pPr>
            <w:r w:rsidRPr="00852E57">
              <w:rPr>
                <w:rFonts w:ascii="Calibri" w:hAnsi="Calibri" w:cs="Calibri"/>
                <w:b/>
                <w:bCs/>
                <w:sz w:val="20"/>
                <w:szCs w:val="20"/>
              </w:rPr>
              <w:t>O1/2</w:t>
            </w:r>
          </w:p>
        </w:tc>
        <w:tc>
          <w:tcPr>
            <w:tcW w:w="0" w:type="auto"/>
            <w:tcBorders>
              <w:top w:val="single" w:sz="4" w:space="0" w:color="auto"/>
              <w:left w:val="single" w:sz="4" w:space="0" w:color="auto"/>
              <w:bottom w:val="single" w:sz="4" w:space="0" w:color="auto"/>
              <w:right w:val="single" w:sz="4" w:space="0" w:color="auto"/>
            </w:tcBorders>
            <w:vAlign w:val="center"/>
            <w:hideMark/>
          </w:tcPr>
          <w:p w:rsidR="0054499C" w:rsidRPr="00852E57" w:rsidRDefault="0054499C" w:rsidP="0054499C">
            <w:pPr>
              <w:spacing w:after="240"/>
              <w:jc w:val="center"/>
              <w:rPr>
                <w:rFonts w:ascii="Calibri" w:eastAsia="Arial Unicode MS" w:hAnsi="Calibri"/>
                <w:sz w:val="20"/>
                <w:szCs w:val="20"/>
              </w:rPr>
            </w:pPr>
            <w:r w:rsidRPr="00852E57">
              <w:rPr>
                <w:rFonts w:ascii="Calibri" w:hAnsi="Calibri"/>
                <w:sz w:val="20"/>
                <w:szCs w:val="20"/>
              </w:rPr>
              <w:t>41 667</w:t>
            </w:r>
          </w:p>
        </w:tc>
        <w:tc>
          <w:tcPr>
            <w:tcW w:w="0" w:type="auto"/>
            <w:tcBorders>
              <w:top w:val="single" w:sz="4" w:space="0" w:color="auto"/>
              <w:left w:val="single" w:sz="4" w:space="0" w:color="auto"/>
              <w:bottom w:val="single" w:sz="4" w:space="0" w:color="auto"/>
              <w:right w:val="single" w:sz="4" w:space="0" w:color="auto"/>
            </w:tcBorders>
            <w:vAlign w:val="center"/>
            <w:hideMark/>
          </w:tcPr>
          <w:p w:rsidR="0054499C" w:rsidRPr="00852E57" w:rsidRDefault="0054499C" w:rsidP="0054499C">
            <w:pPr>
              <w:spacing w:after="240"/>
              <w:jc w:val="center"/>
              <w:rPr>
                <w:rFonts w:ascii="Calibri" w:eastAsia="Arial Unicode MS" w:hAnsi="Calibri"/>
                <w:sz w:val="20"/>
                <w:szCs w:val="20"/>
              </w:rPr>
            </w:pPr>
            <w:r w:rsidRPr="00852E57">
              <w:rPr>
                <w:rFonts w:ascii="Calibri" w:hAnsi="Calibri"/>
                <w:sz w:val="20"/>
                <w:szCs w:val="20"/>
              </w:rPr>
              <w:t>40 223</w:t>
            </w:r>
          </w:p>
        </w:tc>
        <w:tc>
          <w:tcPr>
            <w:tcW w:w="0" w:type="auto"/>
            <w:tcBorders>
              <w:top w:val="single" w:sz="4" w:space="0" w:color="auto"/>
              <w:left w:val="single" w:sz="4" w:space="0" w:color="auto"/>
              <w:bottom w:val="single" w:sz="4" w:space="0" w:color="auto"/>
              <w:right w:val="single" w:sz="4" w:space="0" w:color="auto"/>
            </w:tcBorders>
            <w:vAlign w:val="center"/>
            <w:hideMark/>
          </w:tcPr>
          <w:p w:rsidR="0054499C" w:rsidRPr="00852E57" w:rsidRDefault="0054499C" w:rsidP="0054499C">
            <w:pPr>
              <w:spacing w:after="240"/>
              <w:jc w:val="center"/>
              <w:rPr>
                <w:rFonts w:ascii="Calibri" w:eastAsia="Arial Unicode MS" w:hAnsi="Calibri"/>
                <w:sz w:val="20"/>
                <w:szCs w:val="20"/>
              </w:rPr>
            </w:pPr>
            <w:r w:rsidRPr="00852E57">
              <w:rPr>
                <w:rFonts w:ascii="Calibri" w:hAnsi="Calibri"/>
                <w:sz w:val="20"/>
                <w:szCs w:val="20"/>
              </w:rPr>
              <w:t>1 444</w:t>
            </w:r>
          </w:p>
        </w:tc>
      </w:tr>
      <w:tr w:rsidR="0054499C" w:rsidRPr="00852E57" w:rsidTr="0054499C">
        <w:trPr>
          <w:cantSplit/>
          <w:trHeight w:hRule="exact" w:val="284"/>
          <w:jc w:val="center"/>
        </w:trPr>
        <w:tc>
          <w:tcPr>
            <w:tcW w:w="0" w:type="auto"/>
            <w:tcBorders>
              <w:top w:val="single" w:sz="4" w:space="0" w:color="auto"/>
              <w:left w:val="single" w:sz="4" w:space="0" w:color="auto"/>
              <w:bottom w:val="single" w:sz="4" w:space="0" w:color="auto"/>
              <w:right w:val="single" w:sz="4" w:space="0" w:color="auto"/>
            </w:tcBorders>
            <w:hideMark/>
          </w:tcPr>
          <w:p w:rsidR="0054499C" w:rsidRPr="00852E57" w:rsidRDefault="0054499C" w:rsidP="0054499C">
            <w:pPr>
              <w:spacing w:after="240"/>
              <w:jc w:val="center"/>
              <w:rPr>
                <w:rFonts w:ascii="Calibri" w:hAnsi="Calibri" w:cs="Calibri"/>
                <w:b/>
                <w:bCs/>
                <w:sz w:val="20"/>
                <w:szCs w:val="20"/>
              </w:rPr>
            </w:pPr>
            <w:r w:rsidRPr="00852E57">
              <w:rPr>
                <w:rFonts w:ascii="Calibri" w:hAnsi="Calibri" w:cs="Calibri"/>
                <w:b/>
                <w:bCs/>
                <w:sz w:val="20"/>
                <w:szCs w:val="20"/>
              </w:rPr>
              <w:t>O1/3</w:t>
            </w:r>
          </w:p>
        </w:tc>
        <w:tc>
          <w:tcPr>
            <w:tcW w:w="0" w:type="auto"/>
            <w:tcBorders>
              <w:top w:val="single" w:sz="4" w:space="0" w:color="auto"/>
              <w:left w:val="single" w:sz="4" w:space="0" w:color="auto"/>
              <w:bottom w:val="single" w:sz="4" w:space="0" w:color="auto"/>
              <w:right w:val="single" w:sz="4" w:space="0" w:color="auto"/>
            </w:tcBorders>
            <w:vAlign w:val="center"/>
            <w:hideMark/>
          </w:tcPr>
          <w:p w:rsidR="0054499C" w:rsidRPr="00852E57" w:rsidRDefault="0054499C" w:rsidP="0054499C">
            <w:pPr>
              <w:spacing w:after="240"/>
              <w:jc w:val="center"/>
              <w:rPr>
                <w:rFonts w:ascii="Calibri" w:eastAsia="Arial Unicode MS" w:hAnsi="Calibri"/>
                <w:sz w:val="20"/>
                <w:szCs w:val="20"/>
              </w:rPr>
            </w:pPr>
            <w:r w:rsidRPr="00852E57">
              <w:rPr>
                <w:rFonts w:ascii="Calibri" w:hAnsi="Calibri"/>
                <w:sz w:val="20"/>
                <w:szCs w:val="20"/>
              </w:rPr>
              <w:t>50 620</w:t>
            </w:r>
          </w:p>
        </w:tc>
        <w:tc>
          <w:tcPr>
            <w:tcW w:w="0" w:type="auto"/>
            <w:tcBorders>
              <w:top w:val="single" w:sz="4" w:space="0" w:color="auto"/>
              <w:left w:val="single" w:sz="4" w:space="0" w:color="auto"/>
              <w:bottom w:val="single" w:sz="4" w:space="0" w:color="auto"/>
              <w:right w:val="single" w:sz="4" w:space="0" w:color="auto"/>
            </w:tcBorders>
            <w:vAlign w:val="center"/>
            <w:hideMark/>
          </w:tcPr>
          <w:p w:rsidR="0054499C" w:rsidRPr="00852E57" w:rsidRDefault="0054499C" w:rsidP="0054499C">
            <w:pPr>
              <w:spacing w:after="240"/>
              <w:jc w:val="center"/>
              <w:rPr>
                <w:rFonts w:ascii="Calibri" w:eastAsia="Arial Unicode MS" w:hAnsi="Calibri"/>
                <w:sz w:val="20"/>
                <w:szCs w:val="20"/>
              </w:rPr>
            </w:pPr>
            <w:r w:rsidRPr="00852E57">
              <w:rPr>
                <w:rFonts w:ascii="Calibri" w:hAnsi="Calibri"/>
                <w:sz w:val="20"/>
                <w:szCs w:val="20"/>
              </w:rPr>
              <w:t>47 792</w:t>
            </w:r>
          </w:p>
        </w:tc>
        <w:tc>
          <w:tcPr>
            <w:tcW w:w="0" w:type="auto"/>
            <w:tcBorders>
              <w:top w:val="single" w:sz="4" w:space="0" w:color="auto"/>
              <w:left w:val="single" w:sz="4" w:space="0" w:color="auto"/>
              <w:bottom w:val="single" w:sz="4" w:space="0" w:color="auto"/>
              <w:right w:val="single" w:sz="4" w:space="0" w:color="auto"/>
            </w:tcBorders>
            <w:vAlign w:val="center"/>
            <w:hideMark/>
          </w:tcPr>
          <w:p w:rsidR="0054499C" w:rsidRPr="00852E57" w:rsidRDefault="0054499C" w:rsidP="0054499C">
            <w:pPr>
              <w:spacing w:after="240"/>
              <w:jc w:val="center"/>
              <w:rPr>
                <w:rFonts w:ascii="Calibri" w:eastAsia="Arial Unicode MS" w:hAnsi="Calibri"/>
                <w:sz w:val="20"/>
                <w:szCs w:val="20"/>
              </w:rPr>
            </w:pPr>
            <w:r w:rsidRPr="00852E57">
              <w:rPr>
                <w:rFonts w:ascii="Calibri" w:hAnsi="Calibri"/>
                <w:sz w:val="20"/>
                <w:szCs w:val="20"/>
              </w:rPr>
              <w:t>2 828</w:t>
            </w:r>
          </w:p>
        </w:tc>
      </w:tr>
      <w:tr w:rsidR="0054499C" w:rsidRPr="00852E57" w:rsidTr="0054499C">
        <w:trPr>
          <w:cantSplit/>
          <w:trHeight w:hRule="exact" w:val="284"/>
          <w:jc w:val="center"/>
        </w:trPr>
        <w:tc>
          <w:tcPr>
            <w:tcW w:w="0" w:type="auto"/>
            <w:tcBorders>
              <w:top w:val="single" w:sz="4" w:space="0" w:color="auto"/>
              <w:left w:val="single" w:sz="4" w:space="0" w:color="auto"/>
              <w:bottom w:val="single" w:sz="4" w:space="0" w:color="auto"/>
              <w:right w:val="single" w:sz="4" w:space="0" w:color="auto"/>
            </w:tcBorders>
            <w:hideMark/>
          </w:tcPr>
          <w:p w:rsidR="0054499C" w:rsidRPr="00852E57" w:rsidRDefault="0054499C" w:rsidP="0054499C">
            <w:pPr>
              <w:spacing w:after="240"/>
              <w:jc w:val="center"/>
              <w:rPr>
                <w:rFonts w:ascii="Calibri" w:hAnsi="Calibri" w:cs="Calibri"/>
                <w:b/>
                <w:bCs/>
                <w:sz w:val="20"/>
                <w:szCs w:val="20"/>
              </w:rPr>
            </w:pPr>
            <w:r w:rsidRPr="00852E57">
              <w:rPr>
                <w:rFonts w:ascii="Calibri" w:hAnsi="Calibri" w:cs="Calibri"/>
                <w:b/>
                <w:bCs/>
                <w:sz w:val="20"/>
                <w:szCs w:val="20"/>
              </w:rPr>
              <w:t>O2</w:t>
            </w:r>
          </w:p>
        </w:tc>
        <w:tc>
          <w:tcPr>
            <w:tcW w:w="0" w:type="auto"/>
            <w:tcBorders>
              <w:top w:val="single" w:sz="4" w:space="0" w:color="auto"/>
              <w:left w:val="single" w:sz="4" w:space="0" w:color="auto"/>
              <w:bottom w:val="single" w:sz="4" w:space="0" w:color="auto"/>
              <w:right w:val="single" w:sz="4" w:space="0" w:color="auto"/>
            </w:tcBorders>
            <w:vAlign w:val="center"/>
            <w:hideMark/>
          </w:tcPr>
          <w:p w:rsidR="0054499C" w:rsidRPr="00852E57" w:rsidRDefault="0054499C" w:rsidP="0054499C">
            <w:pPr>
              <w:spacing w:after="240"/>
              <w:jc w:val="center"/>
              <w:rPr>
                <w:rFonts w:ascii="Calibri" w:eastAsia="Arial Unicode MS" w:hAnsi="Calibri"/>
                <w:sz w:val="20"/>
                <w:szCs w:val="20"/>
              </w:rPr>
            </w:pPr>
            <w:r w:rsidRPr="00852E57">
              <w:rPr>
                <w:rFonts w:ascii="Calibri" w:hAnsi="Calibri"/>
                <w:sz w:val="20"/>
                <w:szCs w:val="20"/>
              </w:rPr>
              <w:t>41 041</w:t>
            </w:r>
          </w:p>
        </w:tc>
        <w:tc>
          <w:tcPr>
            <w:tcW w:w="0" w:type="auto"/>
            <w:tcBorders>
              <w:top w:val="single" w:sz="4" w:space="0" w:color="auto"/>
              <w:left w:val="single" w:sz="4" w:space="0" w:color="auto"/>
              <w:bottom w:val="single" w:sz="4" w:space="0" w:color="auto"/>
              <w:right w:val="single" w:sz="4" w:space="0" w:color="auto"/>
            </w:tcBorders>
            <w:vAlign w:val="center"/>
            <w:hideMark/>
          </w:tcPr>
          <w:p w:rsidR="0054499C" w:rsidRPr="00852E57" w:rsidRDefault="0054499C" w:rsidP="0054499C">
            <w:pPr>
              <w:spacing w:after="240"/>
              <w:jc w:val="center"/>
              <w:rPr>
                <w:rFonts w:ascii="Calibri" w:eastAsia="Arial Unicode MS" w:hAnsi="Calibri"/>
                <w:sz w:val="20"/>
                <w:szCs w:val="20"/>
              </w:rPr>
            </w:pPr>
            <w:r w:rsidRPr="00852E57">
              <w:rPr>
                <w:rFonts w:ascii="Calibri" w:hAnsi="Calibri"/>
                <w:sz w:val="20"/>
                <w:szCs w:val="20"/>
              </w:rPr>
              <w:t>36 580</w:t>
            </w:r>
          </w:p>
        </w:tc>
        <w:tc>
          <w:tcPr>
            <w:tcW w:w="0" w:type="auto"/>
            <w:tcBorders>
              <w:top w:val="single" w:sz="4" w:space="0" w:color="auto"/>
              <w:left w:val="single" w:sz="4" w:space="0" w:color="auto"/>
              <w:bottom w:val="single" w:sz="4" w:space="0" w:color="auto"/>
              <w:right w:val="single" w:sz="4" w:space="0" w:color="auto"/>
            </w:tcBorders>
            <w:vAlign w:val="center"/>
            <w:hideMark/>
          </w:tcPr>
          <w:p w:rsidR="0054499C" w:rsidRPr="00852E57" w:rsidRDefault="0054499C" w:rsidP="0054499C">
            <w:pPr>
              <w:spacing w:after="240"/>
              <w:jc w:val="center"/>
              <w:rPr>
                <w:rFonts w:ascii="Calibri" w:eastAsia="Arial Unicode MS" w:hAnsi="Calibri"/>
                <w:sz w:val="20"/>
                <w:szCs w:val="20"/>
              </w:rPr>
            </w:pPr>
            <w:r w:rsidRPr="00852E57">
              <w:rPr>
                <w:rFonts w:ascii="Calibri" w:hAnsi="Calibri"/>
                <w:sz w:val="20"/>
                <w:szCs w:val="20"/>
              </w:rPr>
              <w:t>4 461</w:t>
            </w:r>
          </w:p>
        </w:tc>
      </w:tr>
      <w:tr w:rsidR="0054499C" w:rsidRPr="00852E57" w:rsidTr="0054499C">
        <w:trPr>
          <w:cantSplit/>
          <w:trHeight w:hRule="exact" w:val="284"/>
          <w:jc w:val="center"/>
        </w:trPr>
        <w:tc>
          <w:tcPr>
            <w:tcW w:w="0" w:type="auto"/>
            <w:tcBorders>
              <w:top w:val="single" w:sz="4" w:space="0" w:color="auto"/>
              <w:left w:val="single" w:sz="4" w:space="0" w:color="auto"/>
              <w:bottom w:val="single" w:sz="4" w:space="0" w:color="auto"/>
              <w:right w:val="single" w:sz="4" w:space="0" w:color="auto"/>
            </w:tcBorders>
            <w:hideMark/>
          </w:tcPr>
          <w:p w:rsidR="0054499C" w:rsidRPr="00852E57" w:rsidRDefault="0054499C" w:rsidP="0054499C">
            <w:pPr>
              <w:spacing w:after="240"/>
              <w:jc w:val="center"/>
              <w:rPr>
                <w:rFonts w:ascii="Calibri" w:hAnsi="Calibri" w:cs="Calibri"/>
                <w:b/>
                <w:bCs/>
                <w:sz w:val="20"/>
                <w:szCs w:val="20"/>
              </w:rPr>
            </w:pPr>
            <w:r w:rsidRPr="00852E57">
              <w:rPr>
                <w:rFonts w:ascii="Calibri" w:hAnsi="Calibri" w:cs="Calibri"/>
                <w:b/>
                <w:bCs/>
                <w:sz w:val="20"/>
                <w:szCs w:val="20"/>
              </w:rPr>
              <w:t>O3</w:t>
            </w:r>
          </w:p>
        </w:tc>
        <w:tc>
          <w:tcPr>
            <w:tcW w:w="0" w:type="auto"/>
            <w:tcBorders>
              <w:top w:val="single" w:sz="4" w:space="0" w:color="auto"/>
              <w:left w:val="single" w:sz="4" w:space="0" w:color="auto"/>
              <w:bottom w:val="single" w:sz="4" w:space="0" w:color="auto"/>
              <w:right w:val="single" w:sz="4" w:space="0" w:color="auto"/>
            </w:tcBorders>
            <w:vAlign w:val="center"/>
            <w:hideMark/>
          </w:tcPr>
          <w:p w:rsidR="0054499C" w:rsidRPr="00852E57" w:rsidRDefault="0054499C" w:rsidP="0054499C">
            <w:pPr>
              <w:spacing w:after="240"/>
              <w:jc w:val="center"/>
              <w:rPr>
                <w:rFonts w:ascii="Calibri" w:eastAsia="Arial Unicode MS" w:hAnsi="Calibri"/>
                <w:sz w:val="20"/>
                <w:szCs w:val="20"/>
              </w:rPr>
            </w:pPr>
            <w:r w:rsidRPr="00852E57">
              <w:rPr>
                <w:rFonts w:ascii="Calibri" w:hAnsi="Calibri"/>
                <w:sz w:val="20"/>
                <w:szCs w:val="20"/>
              </w:rPr>
              <w:t>52 319</w:t>
            </w:r>
          </w:p>
        </w:tc>
        <w:tc>
          <w:tcPr>
            <w:tcW w:w="0" w:type="auto"/>
            <w:tcBorders>
              <w:top w:val="single" w:sz="4" w:space="0" w:color="auto"/>
              <w:left w:val="single" w:sz="4" w:space="0" w:color="auto"/>
              <w:bottom w:val="single" w:sz="4" w:space="0" w:color="auto"/>
              <w:right w:val="single" w:sz="4" w:space="0" w:color="auto"/>
            </w:tcBorders>
            <w:vAlign w:val="center"/>
            <w:hideMark/>
          </w:tcPr>
          <w:p w:rsidR="0054499C" w:rsidRPr="00852E57" w:rsidRDefault="0054499C" w:rsidP="0054499C">
            <w:pPr>
              <w:spacing w:after="240"/>
              <w:jc w:val="center"/>
              <w:rPr>
                <w:rFonts w:ascii="Calibri" w:eastAsia="Arial Unicode MS" w:hAnsi="Calibri"/>
                <w:sz w:val="20"/>
                <w:szCs w:val="20"/>
              </w:rPr>
            </w:pPr>
            <w:r w:rsidRPr="00852E57">
              <w:rPr>
                <w:rFonts w:ascii="Calibri" w:hAnsi="Calibri"/>
                <w:sz w:val="20"/>
                <w:szCs w:val="20"/>
              </w:rPr>
              <w:t>34 078</w:t>
            </w:r>
          </w:p>
        </w:tc>
        <w:tc>
          <w:tcPr>
            <w:tcW w:w="0" w:type="auto"/>
            <w:tcBorders>
              <w:top w:val="single" w:sz="4" w:space="0" w:color="auto"/>
              <w:left w:val="single" w:sz="4" w:space="0" w:color="auto"/>
              <w:bottom w:val="single" w:sz="4" w:space="0" w:color="auto"/>
              <w:right w:val="single" w:sz="4" w:space="0" w:color="auto"/>
            </w:tcBorders>
            <w:vAlign w:val="center"/>
            <w:hideMark/>
          </w:tcPr>
          <w:p w:rsidR="0054499C" w:rsidRPr="00852E57" w:rsidRDefault="0054499C" w:rsidP="0054499C">
            <w:pPr>
              <w:spacing w:after="240"/>
              <w:jc w:val="center"/>
              <w:rPr>
                <w:rFonts w:ascii="Calibri" w:eastAsia="Arial Unicode MS" w:hAnsi="Calibri"/>
                <w:sz w:val="20"/>
                <w:szCs w:val="20"/>
              </w:rPr>
            </w:pPr>
            <w:r w:rsidRPr="00852E57">
              <w:rPr>
                <w:rFonts w:ascii="Calibri" w:hAnsi="Calibri"/>
                <w:sz w:val="20"/>
                <w:szCs w:val="20"/>
              </w:rPr>
              <w:t>18 241</w:t>
            </w:r>
          </w:p>
        </w:tc>
      </w:tr>
      <w:tr w:rsidR="0054499C" w:rsidRPr="00852E57" w:rsidTr="0054499C">
        <w:trPr>
          <w:cantSplit/>
          <w:trHeight w:hRule="exact" w:val="284"/>
          <w:jc w:val="center"/>
        </w:trPr>
        <w:tc>
          <w:tcPr>
            <w:tcW w:w="0" w:type="auto"/>
            <w:tcBorders>
              <w:top w:val="single" w:sz="4" w:space="0" w:color="auto"/>
              <w:left w:val="single" w:sz="4" w:space="0" w:color="auto"/>
              <w:bottom w:val="single" w:sz="4" w:space="0" w:color="auto"/>
              <w:right w:val="single" w:sz="4" w:space="0" w:color="auto"/>
            </w:tcBorders>
            <w:hideMark/>
          </w:tcPr>
          <w:p w:rsidR="0054499C" w:rsidRPr="00852E57" w:rsidRDefault="0054499C" w:rsidP="0054499C">
            <w:pPr>
              <w:spacing w:after="240"/>
              <w:jc w:val="center"/>
              <w:rPr>
                <w:rFonts w:ascii="Calibri" w:hAnsi="Calibri" w:cs="Calibri"/>
                <w:b/>
                <w:bCs/>
                <w:sz w:val="20"/>
                <w:szCs w:val="20"/>
              </w:rPr>
            </w:pPr>
            <w:r w:rsidRPr="00852E57">
              <w:rPr>
                <w:rFonts w:ascii="Calibri" w:hAnsi="Calibri" w:cs="Calibri"/>
                <w:b/>
                <w:bCs/>
                <w:sz w:val="20"/>
                <w:szCs w:val="20"/>
              </w:rPr>
              <w:t>O4/1</w:t>
            </w:r>
          </w:p>
        </w:tc>
        <w:tc>
          <w:tcPr>
            <w:tcW w:w="0" w:type="auto"/>
            <w:tcBorders>
              <w:top w:val="single" w:sz="4" w:space="0" w:color="auto"/>
              <w:left w:val="single" w:sz="4" w:space="0" w:color="auto"/>
              <w:bottom w:val="single" w:sz="4" w:space="0" w:color="auto"/>
              <w:right w:val="single" w:sz="4" w:space="0" w:color="auto"/>
            </w:tcBorders>
            <w:vAlign w:val="center"/>
            <w:hideMark/>
          </w:tcPr>
          <w:p w:rsidR="0054499C" w:rsidRPr="00852E57" w:rsidRDefault="0054499C" w:rsidP="0054499C">
            <w:pPr>
              <w:spacing w:after="240"/>
              <w:jc w:val="center"/>
              <w:rPr>
                <w:rFonts w:ascii="Calibri" w:eastAsia="Arial Unicode MS" w:hAnsi="Calibri"/>
                <w:sz w:val="20"/>
                <w:szCs w:val="20"/>
              </w:rPr>
            </w:pPr>
            <w:r w:rsidRPr="00852E57">
              <w:rPr>
                <w:rFonts w:ascii="Calibri" w:hAnsi="Calibri"/>
                <w:sz w:val="20"/>
                <w:szCs w:val="20"/>
              </w:rPr>
              <w:t>83 506</w:t>
            </w:r>
          </w:p>
        </w:tc>
        <w:tc>
          <w:tcPr>
            <w:tcW w:w="0" w:type="auto"/>
            <w:tcBorders>
              <w:top w:val="single" w:sz="4" w:space="0" w:color="auto"/>
              <w:left w:val="single" w:sz="4" w:space="0" w:color="auto"/>
              <w:bottom w:val="single" w:sz="4" w:space="0" w:color="auto"/>
              <w:right w:val="single" w:sz="4" w:space="0" w:color="auto"/>
            </w:tcBorders>
            <w:vAlign w:val="center"/>
            <w:hideMark/>
          </w:tcPr>
          <w:p w:rsidR="0054499C" w:rsidRPr="00852E57" w:rsidRDefault="0054499C" w:rsidP="0054499C">
            <w:pPr>
              <w:spacing w:after="240"/>
              <w:jc w:val="center"/>
              <w:rPr>
                <w:rFonts w:ascii="Calibri" w:eastAsia="Arial Unicode MS" w:hAnsi="Calibri"/>
                <w:sz w:val="20"/>
                <w:szCs w:val="20"/>
              </w:rPr>
            </w:pPr>
            <w:r w:rsidRPr="00852E57">
              <w:rPr>
                <w:rFonts w:ascii="Calibri" w:hAnsi="Calibri"/>
                <w:sz w:val="20"/>
                <w:szCs w:val="20"/>
              </w:rPr>
              <w:t>83 506</w:t>
            </w:r>
          </w:p>
        </w:tc>
        <w:tc>
          <w:tcPr>
            <w:tcW w:w="0" w:type="auto"/>
            <w:tcBorders>
              <w:top w:val="single" w:sz="4" w:space="0" w:color="auto"/>
              <w:left w:val="single" w:sz="4" w:space="0" w:color="auto"/>
              <w:bottom w:val="single" w:sz="4" w:space="0" w:color="auto"/>
              <w:right w:val="single" w:sz="4" w:space="0" w:color="auto"/>
            </w:tcBorders>
            <w:vAlign w:val="center"/>
            <w:hideMark/>
          </w:tcPr>
          <w:p w:rsidR="0054499C" w:rsidRPr="00852E57" w:rsidRDefault="0054499C" w:rsidP="0054499C">
            <w:pPr>
              <w:spacing w:after="240"/>
              <w:jc w:val="center"/>
              <w:rPr>
                <w:rFonts w:ascii="Calibri" w:eastAsia="Arial Unicode MS" w:hAnsi="Calibri"/>
                <w:sz w:val="20"/>
                <w:szCs w:val="20"/>
              </w:rPr>
            </w:pPr>
            <w:r w:rsidRPr="00852E57">
              <w:rPr>
                <w:rFonts w:ascii="Calibri" w:hAnsi="Calibri"/>
                <w:sz w:val="20"/>
                <w:szCs w:val="20"/>
              </w:rPr>
              <w:t>0</w:t>
            </w:r>
          </w:p>
        </w:tc>
      </w:tr>
      <w:tr w:rsidR="0054499C" w:rsidRPr="00852E57" w:rsidTr="0054499C">
        <w:trPr>
          <w:cantSplit/>
          <w:trHeight w:hRule="exact" w:val="284"/>
          <w:jc w:val="center"/>
        </w:trPr>
        <w:tc>
          <w:tcPr>
            <w:tcW w:w="0" w:type="auto"/>
            <w:tcBorders>
              <w:top w:val="single" w:sz="4" w:space="0" w:color="auto"/>
              <w:left w:val="single" w:sz="4" w:space="0" w:color="auto"/>
              <w:bottom w:val="single" w:sz="4" w:space="0" w:color="auto"/>
              <w:right w:val="single" w:sz="4" w:space="0" w:color="auto"/>
            </w:tcBorders>
            <w:hideMark/>
          </w:tcPr>
          <w:p w:rsidR="0054499C" w:rsidRPr="00852E57" w:rsidRDefault="0054499C" w:rsidP="0054499C">
            <w:pPr>
              <w:spacing w:after="240"/>
              <w:jc w:val="center"/>
              <w:rPr>
                <w:rFonts w:ascii="Calibri" w:hAnsi="Calibri" w:cs="Calibri"/>
                <w:b/>
                <w:bCs/>
                <w:sz w:val="20"/>
                <w:szCs w:val="20"/>
              </w:rPr>
            </w:pPr>
            <w:r w:rsidRPr="00852E57">
              <w:rPr>
                <w:rFonts w:ascii="Calibri" w:hAnsi="Calibri" w:cs="Calibri"/>
                <w:b/>
                <w:bCs/>
                <w:sz w:val="20"/>
                <w:szCs w:val="20"/>
              </w:rPr>
              <w:t>O4/2</w:t>
            </w:r>
          </w:p>
        </w:tc>
        <w:tc>
          <w:tcPr>
            <w:tcW w:w="0" w:type="auto"/>
            <w:tcBorders>
              <w:top w:val="single" w:sz="4" w:space="0" w:color="auto"/>
              <w:left w:val="single" w:sz="4" w:space="0" w:color="auto"/>
              <w:bottom w:val="single" w:sz="4" w:space="0" w:color="auto"/>
              <w:right w:val="single" w:sz="4" w:space="0" w:color="auto"/>
            </w:tcBorders>
            <w:vAlign w:val="center"/>
            <w:hideMark/>
          </w:tcPr>
          <w:p w:rsidR="0054499C" w:rsidRPr="00852E57" w:rsidRDefault="0054499C" w:rsidP="0054499C">
            <w:pPr>
              <w:spacing w:after="240"/>
              <w:jc w:val="center"/>
              <w:rPr>
                <w:rFonts w:ascii="Calibri" w:eastAsia="Arial Unicode MS" w:hAnsi="Calibri"/>
                <w:sz w:val="20"/>
                <w:szCs w:val="20"/>
              </w:rPr>
            </w:pPr>
            <w:r w:rsidRPr="00852E57">
              <w:rPr>
                <w:rFonts w:ascii="Calibri" w:hAnsi="Calibri"/>
                <w:sz w:val="20"/>
                <w:szCs w:val="20"/>
              </w:rPr>
              <w:t>78 313</w:t>
            </w:r>
          </w:p>
        </w:tc>
        <w:tc>
          <w:tcPr>
            <w:tcW w:w="0" w:type="auto"/>
            <w:tcBorders>
              <w:top w:val="single" w:sz="4" w:space="0" w:color="auto"/>
              <w:left w:val="single" w:sz="4" w:space="0" w:color="auto"/>
              <w:bottom w:val="single" w:sz="4" w:space="0" w:color="auto"/>
              <w:right w:val="single" w:sz="4" w:space="0" w:color="auto"/>
            </w:tcBorders>
            <w:vAlign w:val="center"/>
            <w:hideMark/>
          </w:tcPr>
          <w:p w:rsidR="0054499C" w:rsidRPr="00852E57" w:rsidRDefault="0054499C" w:rsidP="0054499C">
            <w:pPr>
              <w:spacing w:after="240"/>
              <w:jc w:val="center"/>
              <w:rPr>
                <w:rFonts w:ascii="Calibri" w:eastAsia="Arial Unicode MS" w:hAnsi="Calibri"/>
                <w:sz w:val="20"/>
                <w:szCs w:val="20"/>
              </w:rPr>
            </w:pPr>
            <w:r w:rsidRPr="00852E57">
              <w:rPr>
                <w:rFonts w:ascii="Calibri" w:hAnsi="Calibri"/>
                <w:sz w:val="20"/>
                <w:szCs w:val="20"/>
              </w:rPr>
              <w:t>78 313</w:t>
            </w:r>
          </w:p>
        </w:tc>
        <w:tc>
          <w:tcPr>
            <w:tcW w:w="0" w:type="auto"/>
            <w:tcBorders>
              <w:top w:val="single" w:sz="4" w:space="0" w:color="auto"/>
              <w:left w:val="single" w:sz="4" w:space="0" w:color="auto"/>
              <w:bottom w:val="single" w:sz="4" w:space="0" w:color="auto"/>
              <w:right w:val="single" w:sz="4" w:space="0" w:color="auto"/>
            </w:tcBorders>
            <w:vAlign w:val="center"/>
            <w:hideMark/>
          </w:tcPr>
          <w:p w:rsidR="0054499C" w:rsidRPr="00852E57" w:rsidRDefault="0054499C" w:rsidP="0054499C">
            <w:pPr>
              <w:spacing w:after="240"/>
              <w:jc w:val="center"/>
              <w:rPr>
                <w:rFonts w:ascii="Calibri" w:eastAsia="Arial Unicode MS" w:hAnsi="Calibri"/>
                <w:sz w:val="20"/>
                <w:szCs w:val="20"/>
              </w:rPr>
            </w:pPr>
            <w:r w:rsidRPr="00852E57">
              <w:rPr>
                <w:rFonts w:ascii="Calibri" w:hAnsi="Calibri"/>
                <w:sz w:val="20"/>
                <w:szCs w:val="20"/>
              </w:rPr>
              <w:t>0</w:t>
            </w:r>
          </w:p>
        </w:tc>
      </w:tr>
      <w:tr w:rsidR="0054499C" w:rsidRPr="00852E57" w:rsidTr="0054499C">
        <w:trPr>
          <w:cantSplit/>
          <w:trHeight w:hRule="exact" w:val="284"/>
          <w:jc w:val="center"/>
        </w:trPr>
        <w:tc>
          <w:tcPr>
            <w:tcW w:w="0" w:type="auto"/>
            <w:tcBorders>
              <w:top w:val="single" w:sz="4" w:space="0" w:color="auto"/>
              <w:left w:val="single" w:sz="4" w:space="0" w:color="auto"/>
              <w:bottom w:val="single" w:sz="4" w:space="0" w:color="auto"/>
              <w:right w:val="single" w:sz="4" w:space="0" w:color="auto"/>
            </w:tcBorders>
            <w:hideMark/>
          </w:tcPr>
          <w:p w:rsidR="0054499C" w:rsidRPr="00852E57" w:rsidRDefault="0054499C" w:rsidP="0054499C">
            <w:pPr>
              <w:spacing w:after="240"/>
              <w:jc w:val="center"/>
              <w:rPr>
                <w:rFonts w:ascii="Calibri" w:hAnsi="Calibri" w:cs="Calibri"/>
                <w:b/>
                <w:bCs/>
                <w:sz w:val="20"/>
                <w:szCs w:val="20"/>
              </w:rPr>
            </w:pPr>
            <w:r w:rsidRPr="00852E57">
              <w:rPr>
                <w:rFonts w:ascii="Calibri" w:hAnsi="Calibri" w:cs="Calibri"/>
                <w:b/>
                <w:bCs/>
                <w:sz w:val="20"/>
                <w:szCs w:val="20"/>
              </w:rPr>
              <w:t>O4/3</w:t>
            </w:r>
          </w:p>
        </w:tc>
        <w:tc>
          <w:tcPr>
            <w:tcW w:w="0" w:type="auto"/>
            <w:tcBorders>
              <w:top w:val="single" w:sz="4" w:space="0" w:color="auto"/>
              <w:left w:val="single" w:sz="4" w:space="0" w:color="auto"/>
              <w:bottom w:val="single" w:sz="4" w:space="0" w:color="auto"/>
              <w:right w:val="single" w:sz="4" w:space="0" w:color="auto"/>
            </w:tcBorders>
            <w:vAlign w:val="center"/>
            <w:hideMark/>
          </w:tcPr>
          <w:p w:rsidR="0054499C" w:rsidRPr="00852E57" w:rsidRDefault="0054499C" w:rsidP="0054499C">
            <w:pPr>
              <w:spacing w:after="240"/>
              <w:jc w:val="center"/>
              <w:rPr>
                <w:rFonts w:ascii="Calibri" w:eastAsia="Arial Unicode MS" w:hAnsi="Calibri"/>
                <w:sz w:val="20"/>
                <w:szCs w:val="20"/>
              </w:rPr>
            </w:pPr>
            <w:r w:rsidRPr="00852E57">
              <w:rPr>
                <w:rFonts w:ascii="Calibri" w:hAnsi="Calibri"/>
                <w:sz w:val="20"/>
                <w:szCs w:val="20"/>
              </w:rPr>
              <w:t>4 542</w:t>
            </w:r>
          </w:p>
        </w:tc>
        <w:tc>
          <w:tcPr>
            <w:tcW w:w="0" w:type="auto"/>
            <w:tcBorders>
              <w:top w:val="single" w:sz="4" w:space="0" w:color="auto"/>
              <w:left w:val="single" w:sz="4" w:space="0" w:color="auto"/>
              <w:bottom w:val="single" w:sz="4" w:space="0" w:color="auto"/>
              <w:right w:val="single" w:sz="4" w:space="0" w:color="auto"/>
            </w:tcBorders>
            <w:vAlign w:val="center"/>
            <w:hideMark/>
          </w:tcPr>
          <w:p w:rsidR="0054499C" w:rsidRPr="00852E57" w:rsidRDefault="0054499C" w:rsidP="0054499C">
            <w:pPr>
              <w:jc w:val="center"/>
              <w:rPr>
                <w:rFonts w:ascii="Calibri" w:eastAsia="Arial Unicode MS" w:hAnsi="Calibri"/>
                <w:sz w:val="20"/>
                <w:szCs w:val="20"/>
              </w:rPr>
            </w:pPr>
            <w:r w:rsidRPr="00852E57">
              <w:rPr>
                <w:rFonts w:ascii="Calibri" w:eastAsia="Calibri" w:hAnsi="Calibri"/>
                <w:sz w:val="20"/>
                <w:szCs w:val="20"/>
              </w:rPr>
              <w:t>4 542</w:t>
            </w:r>
          </w:p>
        </w:tc>
        <w:tc>
          <w:tcPr>
            <w:tcW w:w="0" w:type="auto"/>
            <w:tcBorders>
              <w:top w:val="single" w:sz="4" w:space="0" w:color="auto"/>
              <w:left w:val="single" w:sz="4" w:space="0" w:color="auto"/>
              <w:bottom w:val="single" w:sz="4" w:space="0" w:color="auto"/>
              <w:right w:val="single" w:sz="4" w:space="0" w:color="auto"/>
            </w:tcBorders>
            <w:vAlign w:val="center"/>
            <w:hideMark/>
          </w:tcPr>
          <w:p w:rsidR="0054499C" w:rsidRPr="00852E57" w:rsidRDefault="0054499C" w:rsidP="0054499C">
            <w:pPr>
              <w:spacing w:after="240"/>
              <w:jc w:val="center"/>
              <w:rPr>
                <w:rFonts w:ascii="Calibri" w:eastAsia="Arial Unicode MS" w:hAnsi="Calibri"/>
                <w:sz w:val="20"/>
                <w:szCs w:val="20"/>
              </w:rPr>
            </w:pPr>
            <w:r w:rsidRPr="00852E57">
              <w:rPr>
                <w:rFonts w:ascii="Calibri" w:hAnsi="Calibri"/>
                <w:sz w:val="20"/>
                <w:szCs w:val="20"/>
              </w:rPr>
              <w:t>0</w:t>
            </w:r>
          </w:p>
        </w:tc>
      </w:tr>
      <w:tr w:rsidR="0054499C" w:rsidRPr="00852E57" w:rsidTr="0054499C">
        <w:trPr>
          <w:cantSplit/>
          <w:trHeight w:hRule="exact" w:val="284"/>
          <w:jc w:val="center"/>
        </w:trPr>
        <w:tc>
          <w:tcPr>
            <w:tcW w:w="0" w:type="auto"/>
            <w:tcBorders>
              <w:top w:val="single" w:sz="4" w:space="0" w:color="auto"/>
              <w:left w:val="single" w:sz="4" w:space="0" w:color="auto"/>
              <w:bottom w:val="single" w:sz="4" w:space="0" w:color="auto"/>
              <w:right w:val="single" w:sz="4" w:space="0" w:color="auto"/>
            </w:tcBorders>
            <w:hideMark/>
          </w:tcPr>
          <w:p w:rsidR="0054499C" w:rsidRPr="00852E57" w:rsidRDefault="0054499C" w:rsidP="0054499C">
            <w:pPr>
              <w:spacing w:after="240"/>
              <w:jc w:val="center"/>
              <w:rPr>
                <w:rFonts w:ascii="Calibri" w:hAnsi="Calibri" w:cs="Calibri"/>
                <w:b/>
                <w:bCs/>
                <w:sz w:val="20"/>
                <w:szCs w:val="20"/>
              </w:rPr>
            </w:pPr>
            <w:r w:rsidRPr="00852E57">
              <w:rPr>
                <w:rFonts w:ascii="Calibri" w:hAnsi="Calibri" w:cs="Calibri"/>
                <w:b/>
                <w:bCs/>
                <w:sz w:val="20"/>
                <w:szCs w:val="20"/>
              </w:rPr>
              <w:t>Spolu</w:t>
            </w:r>
          </w:p>
        </w:tc>
        <w:tc>
          <w:tcPr>
            <w:tcW w:w="0" w:type="auto"/>
            <w:tcBorders>
              <w:top w:val="single" w:sz="4" w:space="0" w:color="auto"/>
              <w:left w:val="single" w:sz="4" w:space="0" w:color="auto"/>
              <w:bottom w:val="single" w:sz="4" w:space="0" w:color="auto"/>
              <w:right w:val="single" w:sz="4" w:space="0" w:color="auto"/>
            </w:tcBorders>
            <w:vAlign w:val="center"/>
            <w:hideMark/>
          </w:tcPr>
          <w:p w:rsidR="0054499C" w:rsidRPr="00852E57" w:rsidRDefault="0054499C" w:rsidP="0054499C">
            <w:pPr>
              <w:spacing w:after="240"/>
              <w:jc w:val="center"/>
              <w:rPr>
                <w:rFonts w:ascii="Calibri" w:eastAsia="Arial Unicode MS" w:hAnsi="Calibri"/>
                <w:b/>
                <w:bCs/>
                <w:iCs/>
                <w:sz w:val="20"/>
                <w:szCs w:val="20"/>
              </w:rPr>
            </w:pPr>
            <w:r w:rsidRPr="00852E57">
              <w:rPr>
                <w:rFonts w:ascii="Calibri" w:hAnsi="Calibri"/>
                <w:b/>
                <w:bCs/>
                <w:iCs/>
                <w:sz w:val="20"/>
                <w:szCs w:val="20"/>
              </w:rPr>
              <w:t>390 966</w:t>
            </w:r>
          </w:p>
        </w:tc>
        <w:tc>
          <w:tcPr>
            <w:tcW w:w="0" w:type="auto"/>
            <w:tcBorders>
              <w:top w:val="single" w:sz="4" w:space="0" w:color="auto"/>
              <w:left w:val="single" w:sz="4" w:space="0" w:color="auto"/>
              <w:bottom w:val="single" w:sz="4" w:space="0" w:color="auto"/>
              <w:right w:val="single" w:sz="4" w:space="0" w:color="auto"/>
            </w:tcBorders>
            <w:vAlign w:val="center"/>
            <w:hideMark/>
          </w:tcPr>
          <w:p w:rsidR="0054499C" w:rsidRPr="00852E57" w:rsidRDefault="0054499C" w:rsidP="0054499C">
            <w:pPr>
              <w:spacing w:after="240"/>
              <w:jc w:val="center"/>
              <w:rPr>
                <w:rFonts w:ascii="Calibri" w:eastAsia="Arial Unicode MS" w:hAnsi="Calibri"/>
                <w:b/>
                <w:bCs/>
                <w:iCs/>
                <w:sz w:val="20"/>
                <w:szCs w:val="20"/>
              </w:rPr>
            </w:pPr>
            <w:r w:rsidRPr="00852E57">
              <w:rPr>
                <w:rFonts w:ascii="Calibri" w:hAnsi="Calibri"/>
                <w:b/>
                <w:bCs/>
                <w:iCs/>
                <w:sz w:val="20"/>
                <w:szCs w:val="20"/>
              </w:rPr>
              <w:t>363 992</w:t>
            </w:r>
          </w:p>
        </w:tc>
        <w:tc>
          <w:tcPr>
            <w:tcW w:w="0" w:type="auto"/>
            <w:tcBorders>
              <w:top w:val="single" w:sz="4" w:space="0" w:color="auto"/>
              <w:left w:val="single" w:sz="4" w:space="0" w:color="auto"/>
              <w:bottom w:val="single" w:sz="4" w:space="0" w:color="auto"/>
              <w:right w:val="single" w:sz="4" w:space="0" w:color="auto"/>
            </w:tcBorders>
            <w:vAlign w:val="center"/>
            <w:hideMark/>
          </w:tcPr>
          <w:p w:rsidR="0054499C" w:rsidRPr="00852E57" w:rsidRDefault="0054499C" w:rsidP="0054499C">
            <w:pPr>
              <w:spacing w:after="240"/>
              <w:jc w:val="center"/>
              <w:rPr>
                <w:rFonts w:ascii="Calibri" w:eastAsia="Arial Unicode MS" w:hAnsi="Calibri"/>
                <w:b/>
                <w:bCs/>
                <w:iCs/>
                <w:sz w:val="20"/>
                <w:szCs w:val="20"/>
              </w:rPr>
            </w:pPr>
            <w:r w:rsidRPr="00852E57">
              <w:rPr>
                <w:rFonts w:ascii="Calibri" w:hAnsi="Calibri"/>
                <w:b/>
                <w:bCs/>
                <w:iCs/>
                <w:sz w:val="20"/>
                <w:szCs w:val="20"/>
              </w:rPr>
              <w:t>26 974</w:t>
            </w:r>
          </w:p>
        </w:tc>
      </w:tr>
    </w:tbl>
    <w:p w:rsidR="0054499C" w:rsidRPr="00852E57" w:rsidRDefault="0054499C" w:rsidP="0054499C">
      <w:pPr>
        <w:rPr>
          <w:rFonts w:ascii="Calibri" w:hAnsi="Calibri"/>
          <w:b/>
          <w:szCs w:val="20"/>
        </w:rPr>
      </w:pPr>
    </w:p>
    <w:p w:rsidR="0054499C" w:rsidRPr="00852E57" w:rsidRDefault="0054499C" w:rsidP="0054499C">
      <w:pPr>
        <w:ind w:right="-567"/>
        <w:rPr>
          <w:rFonts w:ascii="Calibri" w:eastAsia="Calibri" w:hAnsi="Calibri" w:cs="Arial"/>
          <w:u w:val="single"/>
        </w:rPr>
      </w:pPr>
      <w:r w:rsidRPr="00852E57">
        <w:rPr>
          <w:rFonts w:ascii="Calibri" w:eastAsia="Calibri" w:hAnsi="Calibri" w:cs="Arial"/>
          <w:u w:val="single"/>
        </w:rPr>
        <w:t>Typ podpory:</w:t>
      </w:r>
    </w:p>
    <w:p w:rsidR="0054499C" w:rsidRPr="00852E57" w:rsidRDefault="0054499C" w:rsidP="0054499C">
      <w:pPr>
        <w:rPr>
          <w:rFonts w:ascii="Calibri" w:hAnsi="Calibri"/>
          <w:szCs w:val="20"/>
        </w:rPr>
      </w:pPr>
      <w:r w:rsidRPr="00852E57">
        <w:rPr>
          <w:rFonts w:ascii="Calibri" w:hAnsi="Calibri"/>
          <w:szCs w:val="20"/>
        </w:rPr>
        <w:t>Nezisková ročná kompenzačná platba na hektár využívanej poľnohospodárskej pôdy v príslušnej kategórii LFA.</w:t>
      </w:r>
    </w:p>
    <w:p w:rsidR="0054499C" w:rsidRPr="00852E57" w:rsidRDefault="0054499C" w:rsidP="0054499C">
      <w:pPr>
        <w:rPr>
          <w:rFonts w:ascii="Calibri" w:hAnsi="Calibri"/>
          <w:szCs w:val="20"/>
          <w:lang w:eastAsia="en-GB"/>
        </w:rPr>
      </w:pPr>
    </w:p>
    <w:p w:rsidR="0054499C" w:rsidRPr="00852E57" w:rsidRDefault="0054499C" w:rsidP="0054499C">
      <w:pPr>
        <w:ind w:right="-567"/>
        <w:rPr>
          <w:rFonts w:ascii="Calibri" w:eastAsia="Calibri" w:hAnsi="Calibri" w:cs="Arial"/>
          <w:u w:val="single"/>
        </w:rPr>
      </w:pPr>
      <w:r w:rsidRPr="00852E57">
        <w:rPr>
          <w:rFonts w:ascii="Calibri" w:eastAsia="Calibri" w:hAnsi="Calibri" w:cs="Arial"/>
          <w:u w:val="single"/>
        </w:rPr>
        <w:t>Prepojenie na ostatnú legislatívu:</w:t>
      </w:r>
    </w:p>
    <w:p w:rsidR="0054499C" w:rsidRPr="00852E57" w:rsidRDefault="0054499C" w:rsidP="00CE203B">
      <w:pPr>
        <w:numPr>
          <w:ilvl w:val="0"/>
          <w:numId w:val="278"/>
        </w:numPr>
        <w:rPr>
          <w:rFonts w:ascii="Calibri" w:hAnsi="Calibri" w:cs="EUAlbertina"/>
          <w:bCs/>
          <w:szCs w:val="20"/>
        </w:rPr>
      </w:pPr>
      <w:r w:rsidRPr="00852E57">
        <w:rPr>
          <w:rFonts w:ascii="Calibri" w:hAnsi="Calibri"/>
          <w:szCs w:val="20"/>
        </w:rPr>
        <w:t xml:space="preserve">nariadenie (EÚ) č. 1306/2013 </w:t>
      </w:r>
      <w:r w:rsidRPr="00852E57">
        <w:rPr>
          <w:rFonts w:ascii="Calibri" w:hAnsi="Calibri" w:cs="EUAlbertina"/>
          <w:bCs/>
          <w:szCs w:val="20"/>
        </w:rPr>
        <w:t xml:space="preserve">o financovaní, riadení a monitorovaní spoločnej poľnohospodárskej politiky; </w:t>
      </w:r>
    </w:p>
    <w:p w:rsidR="0054499C" w:rsidRPr="00852E57" w:rsidRDefault="0054499C" w:rsidP="00CE203B">
      <w:pPr>
        <w:numPr>
          <w:ilvl w:val="0"/>
          <w:numId w:val="278"/>
        </w:numPr>
        <w:rPr>
          <w:rFonts w:ascii="Calibri" w:hAnsi="Calibri" w:cs="Calibri"/>
          <w:bCs/>
          <w:szCs w:val="20"/>
        </w:rPr>
      </w:pPr>
      <w:r w:rsidRPr="00852E57">
        <w:rPr>
          <w:rFonts w:ascii="Calibri" w:hAnsi="Calibri" w:cs="EUAlbertina"/>
          <w:bCs/>
          <w:szCs w:val="20"/>
        </w:rPr>
        <w:t xml:space="preserve">nariadenie </w:t>
      </w:r>
      <w:r w:rsidRPr="00852E57">
        <w:rPr>
          <w:rFonts w:ascii="Calibri" w:hAnsi="Calibri"/>
          <w:szCs w:val="20"/>
        </w:rPr>
        <w:t xml:space="preserve">(EÚ) </w:t>
      </w:r>
      <w:r w:rsidRPr="00852E57">
        <w:rPr>
          <w:rFonts w:ascii="Calibri" w:hAnsi="Calibri" w:cs="EUAlbertina"/>
          <w:bCs/>
          <w:szCs w:val="20"/>
        </w:rPr>
        <w:t>č. 1307/2013, ktorým sa ustanovujú pravidlá priamych podpôr pre poľnohospodárov na základe režimov podpory v rámci spoločnej poľnohospodárskej politiky;</w:t>
      </w:r>
    </w:p>
    <w:p w:rsidR="0054499C" w:rsidRPr="00852E57" w:rsidRDefault="0054499C" w:rsidP="00CE203B">
      <w:pPr>
        <w:numPr>
          <w:ilvl w:val="0"/>
          <w:numId w:val="278"/>
        </w:numPr>
        <w:rPr>
          <w:rFonts w:ascii="Calibri" w:hAnsi="Calibri" w:cs="Calibri"/>
          <w:bCs/>
          <w:szCs w:val="20"/>
        </w:rPr>
      </w:pPr>
      <w:r w:rsidRPr="00852E57">
        <w:rPr>
          <w:rFonts w:ascii="Calibri" w:hAnsi="Calibri"/>
          <w:szCs w:val="20"/>
        </w:rPr>
        <w:t>nariadenie (EÚ)  č. 1310/2013, ktorým sa stanovujú niektoré prechodné ustanovenia o podpore rozvoja vidieka z EPFRV.</w:t>
      </w:r>
    </w:p>
    <w:p w:rsidR="0054499C" w:rsidRPr="00852E57" w:rsidRDefault="0054499C" w:rsidP="0054499C">
      <w:pPr>
        <w:ind w:right="-567"/>
        <w:rPr>
          <w:rFonts w:ascii="Calibri" w:eastAsia="Calibri" w:hAnsi="Calibri" w:cs="Arial"/>
          <w:u w:val="single"/>
        </w:rPr>
      </w:pPr>
    </w:p>
    <w:p w:rsidR="0054499C" w:rsidRPr="00852E57" w:rsidRDefault="0054499C" w:rsidP="0054499C">
      <w:pPr>
        <w:ind w:right="-567"/>
        <w:rPr>
          <w:rFonts w:ascii="Calibri" w:eastAsia="Calibri" w:hAnsi="Calibri" w:cs="Arial"/>
          <w:u w:val="single"/>
        </w:rPr>
      </w:pPr>
      <w:r w:rsidRPr="00852E57">
        <w:rPr>
          <w:rFonts w:ascii="Calibri" w:eastAsia="Calibri" w:hAnsi="Calibri" w:cs="Arial"/>
          <w:u w:val="single"/>
        </w:rPr>
        <w:t>Prijímateľ podpory:</w:t>
      </w:r>
    </w:p>
    <w:p w:rsidR="0054499C" w:rsidRPr="00852E57" w:rsidRDefault="0054499C" w:rsidP="0054499C">
      <w:pPr>
        <w:rPr>
          <w:rFonts w:ascii="Calibri" w:hAnsi="Calibri" w:cs="Calibri"/>
          <w:bCs/>
          <w:szCs w:val="20"/>
        </w:rPr>
      </w:pPr>
      <w:r w:rsidRPr="00852E57">
        <w:rPr>
          <w:rFonts w:ascii="Calibri" w:hAnsi="Calibri"/>
          <w:szCs w:val="20"/>
        </w:rPr>
        <w:t xml:space="preserve">Fyzické a právnické osoby podnikajúce v poľnohospodárskej prvovýrobe spĺňajúce definíciu aktívneho farmára podľa čl. 9 nariadenia (EÚ) č. 1307/2013. </w:t>
      </w:r>
    </w:p>
    <w:p w:rsidR="0054499C" w:rsidRPr="00852E57" w:rsidRDefault="0054499C" w:rsidP="0054499C">
      <w:pPr>
        <w:ind w:right="-567"/>
        <w:rPr>
          <w:rFonts w:ascii="Calibri" w:eastAsia="Calibri" w:hAnsi="Calibri" w:cs="Arial"/>
          <w:u w:val="single"/>
        </w:rPr>
      </w:pPr>
    </w:p>
    <w:p w:rsidR="0054499C" w:rsidRPr="00852E57" w:rsidRDefault="0054499C" w:rsidP="0054499C">
      <w:pPr>
        <w:ind w:right="-567"/>
        <w:rPr>
          <w:rFonts w:ascii="Calibri" w:eastAsia="Calibri" w:hAnsi="Calibri" w:cs="Arial"/>
          <w:u w:val="single"/>
        </w:rPr>
      </w:pPr>
      <w:r w:rsidRPr="00852E57">
        <w:rPr>
          <w:rFonts w:ascii="Calibri" w:eastAsia="Calibri" w:hAnsi="Calibri" w:cs="Arial"/>
          <w:u w:val="single"/>
        </w:rPr>
        <w:t>Oprávnené náklady:</w:t>
      </w:r>
    </w:p>
    <w:p w:rsidR="0054499C" w:rsidRPr="00852E57" w:rsidRDefault="0054499C" w:rsidP="0054499C">
      <w:pPr>
        <w:rPr>
          <w:rFonts w:ascii="Calibri" w:eastAsia="Calibri" w:hAnsi="Calibri"/>
        </w:rPr>
      </w:pPr>
      <w:r w:rsidRPr="00852E57">
        <w:rPr>
          <w:rFonts w:ascii="Calibri" w:eastAsia="Calibri" w:hAnsi="Calibri"/>
        </w:rPr>
        <w:t>Kompenzačné platby sú stanovené na hektár vyžívanej poľnohospodárskej pôdy pričom platba bude realizovaná ako sadzba na 1 ha oprávnenej plochy – pôdneho bloku evidovaného v LPIS. Kompenzačné platby sú diferencované podľa jednotlivých subkategórií ostatných znevýhodnených oblastí a príslušného výrobného zamerania. Nad stanovené plošné (veľkostné) kategórie poľnohospodárskych podnikov sa uplatňuje degresivita v zostupnej tendencii príslušných platieb.</w:t>
      </w:r>
    </w:p>
    <w:p w:rsidR="0054499C" w:rsidRPr="00852E57" w:rsidRDefault="0054499C" w:rsidP="0054499C">
      <w:pPr>
        <w:ind w:right="-567"/>
        <w:rPr>
          <w:rFonts w:ascii="Calibri" w:eastAsia="Calibri" w:hAnsi="Calibri" w:cs="Arial"/>
          <w:color w:val="FF0000"/>
        </w:rPr>
      </w:pPr>
    </w:p>
    <w:p w:rsidR="0054499C" w:rsidRPr="00852E57" w:rsidRDefault="0054499C" w:rsidP="0054499C">
      <w:pPr>
        <w:ind w:right="-567"/>
        <w:rPr>
          <w:rFonts w:ascii="Calibri" w:eastAsia="Calibri" w:hAnsi="Calibri" w:cs="Arial"/>
          <w:u w:val="single"/>
        </w:rPr>
      </w:pPr>
      <w:r w:rsidRPr="00852E57">
        <w:rPr>
          <w:rFonts w:ascii="Calibri" w:eastAsia="Calibri" w:hAnsi="Calibri" w:cs="Arial"/>
          <w:u w:val="single"/>
        </w:rPr>
        <w:t>Podmienky oprávnenosti:</w:t>
      </w:r>
    </w:p>
    <w:p w:rsidR="0054499C" w:rsidRPr="00852E57" w:rsidRDefault="0054499C" w:rsidP="00CE203B">
      <w:pPr>
        <w:numPr>
          <w:ilvl w:val="0"/>
          <w:numId w:val="283"/>
        </w:numPr>
        <w:tabs>
          <w:tab w:val="left" w:pos="900"/>
          <w:tab w:val="decimal" w:pos="9000"/>
        </w:tabs>
        <w:overflowPunct w:val="0"/>
        <w:autoSpaceDE w:val="0"/>
        <w:autoSpaceDN w:val="0"/>
        <w:adjustRightInd w:val="0"/>
        <w:textAlignment w:val="baseline"/>
        <w:rPr>
          <w:rFonts w:ascii="Calibri" w:eastAsia="Calibri" w:hAnsi="Calibri"/>
          <w:lang w:eastAsia="cs-CZ"/>
        </w:rPr>
      </w:pPr>
      <w:r w:rsidRPr="00852E57">
        <w:rPr>
          <w:rFonts w:ascii="Calibri" w:eastAsia="Calibri" w:hAnsi="Calibri"/>
          <w:lang w:eastAsia="cs-CZ"/>
        </w:rPr>
        <w:t>Vstúpiť do opatrenia minimálne s 1 ha poľnohospodárskej pôdy (LPIS).</w:t>
      </w:r>
    </w:p>
    <w:p w:rsidR="0054499C" w:rsidRPr="00852E57" w:rsidRDefault="0054499C" w:rsidP="00CE203B">
      <w:pPr>
        <w:numPr>
          <w:ilvl w:val="0"/>
          <w:numId w:val="283"/>
        </w:numPr>
        <w:tabs>
          <w:tab w:val="left" w:pos="900"/>
          <w:tab w:val="decimal" w:pos="9000"/>
        </w:tabs>
        <w:overflowPunct w:val="0"/>
        <w:autoSpaceDE w:val="0"/>
        <w:autoSpaceDN w:val="0"/>
        <w:adjustRightInd w:val="0"/>
        <w:textAlignment w:val="baseline"/>
        <w:rPr>
          <w:rFonts w:ascii="Calibri" w:eastAsia="Calibri" w:hAnsi="Calibri"/>
          <w:lang w:eastAsia="cs-CZ"/>
        </w:rPr>
      </w:pPr>
      <w:r w:rsidRPr="00852E57">
        <w:rPr>
          <w:rFonts w:ascii="Calibri" w:eastAsia="Calibri" w:hAnsi="Calibri"/>
          <w:lang w:eastAsia="cs-CZ"/>
        </w:rPr>
        <w:t>Prijať záväzok vykonávať svoju poľnohospodársku činnosť v ostatných znevýhodnených oblastiach</w:t>
      </w:r>
    </w:p>
    <w:p w:rsidR="0054499C" w:rsidRPr="00852E57" w:rsidRDefault="0054499C" w:rsidP="0054499C">
      <w:pPr>
        <w:ind w:right="-567"/>
        <w:rPr>
          <w:rFonts w:ascii="Calibri" w:eastAsia="Calibri" w:hAnsi="Calibri" w:cs="Arial"/>
          <w:color w:val="FF0000"/>
        </w:rPr>
      </w:pPr>
    </w:p>
    <w:p w:rsidR="0054499C" w:rsidRPr="00852E57" w:rsidRDefault="0054499C" w:rsidP="0054499C">
      <w:pPr>
        <w:ind w:right="-567"/>
        <w:rPr>
          <w:rFonts w:ascii="Calibri" w:eastAsia="Calibri" w:hAnsi="Calibri" w:cs="Arial"/>
          <w:u w:val="single"/>
        </w:rPr>
      </w:pPr>
      <w:r w:rsidRPr="00852E57">
        <w:rPr>
          <w:rFonts w:ascii="Calibri" w:eastAsia="Calibri" w:hAnsi="Calibri" w:cs="Arial"/>
          <w:u w:val="single"/>
        </w:rPr>
        <w:t>Princíp nastavenia výberových kritérií:</w:t>
      </w:r>
    </w:p>
    <w:p w:rsidR="0054499C" w:rsidRPr="00852E57" w:rsidRDefault="0054499C" w:rsidP="0054499C">
      <w:pPr>
        <w:rPr>
          <w:rFonts w:ascii="Calibri" w:hAnsi="Calibri"/>
          <w:szCs w:val="20"/>
          <w:lang w:eastAsia="en-GB"/>
        </w:rPr>
      </w:pPr>
      <w:r w:rsidRPr="00852E57">
        <w:rPr>
          <w:rFonts w:ascii="Calibri" w:hAnsi="Calibri"/>
          <w:szCs w:val="20"/>
          <w:lang w:eastAsia="en-GB"/>
        </w:rPr>
        <w:t>Vzhľadom na nárokovateľnosť kompenzačných platieb sa výberové kritéria neuplatňujú.</w:t>
      </w:r>
    </w:p>
    <w:p w:rsidR="0054499C" w:rsidRPr="00852E57" w:rsidRDefault="0054499C" w:rsidP="0054499C">
      <w:pPr>
        <w:ind w:right="-567"/>
        <w:rPr>
          <w:rFonts w:ascii="Calibri" w:eastAsia="Calibri" w:hAnsi="Calibri" w:cs="Arial"/>
          <w:color w:val="FF0000"/>
        </w:rPr>
      </w:pPr>
    </w:p>
    <w:p w:rsidR="0054499C" w:rsidRPr="00852E57" w:rsidRDefault="0054499C" w:rsidP="0054499C">
      <w:pPr>
        <w:ind w:right="-567"/>
        <w:rPr>
          <w:rFonts w:ascii="Calibri" w:eastAsia="Calibri" w:hAnsi="Calibri" w:cs="Arial"/>
          <w:u w:val="single"/>
        </w:rPr>
      </w:pPr>
      <w:r w:rsidRPr="00852E57">
        <w:rPr>
          <w:rFonts w:ascii="Calibri" w:eastAsia="Calibri" w:hAnsi="Calibri" w:cs="Arial"/>
          <w:u w:val="single"/>
        </w:rPr>
        <w:t>Výška a miera podpory:</w:t>
      </w:r>
    </w:p>
    <w:p w:rsidR="0054499C" w:rsidRPr="00852E57" w:rsidRDefault="0054499C" w:rsidP="0054499C">
      <w:pPr>
        <w:rPr>
          <w:rFonts w:ascii="Calibri" w:hAnsi="Calibri"/>
          <w:iCs/>
          <w:szCs w:val="20"/>
        </w:rPr>
      </w:pPr>
      <w:r w:rsidRPr="00852E57">
        <w:rPr>
          <w:rFonts w:ascii="Calibri" w:hAnsi="Calibri"/>
          <w:iCs/>
          <w:szCs w:val="20"/>
        </w:rPr>
        <w:t>Výška podpory (€/ha):</w:t>
      </w:r>
    </w:p>
    <w:p w:rsidR="0054499C" w:rsidRPr="00852E57" w:rsidRDefault="0054499C" w:rsidP="0054499C">
      <w:pPr>
        <w:rPr>
          <w:rFonts w:ascii="Calibri" w:hAnsi="Calibri"/>
          <w:iCs/>
          <w:szCs w:val="20"/>
        </w:rPr>
      </w:pPr>
      <w:r w:rsidRPr="00852E57">
        <w:rPr>
          <w:rFonts w:ascii="Calibri" w:hAnsi="Calibri"/>
          <w:iCs/>
          <w:szCs w:val="20"/>
        </w:rPr>
        <w:t>V roku 2014</w:t>
      </w:r>
    </w:p>
    <w:tbl>
      <w:tblPr>
        <w:tblpPr w:leftFromText="141" w:rightFromText="141" w:vertAnchor="text" w:horzAnchor="margin" w:tblpY="90"/>
        <w:tblW w:w="2730" w:type="dxa"/>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685"/>
        <w:gridCol w:w="2045"/>
      </w:tblGrid>
      <w:tr w:rsidR="0054499C" w:rsidRPr="00852E57" w:rsidTr="0054499C">
        <w:trPr>
          <w:trHeight w:hRule="exact" w:val="340"/>
          <w:tblCellSpacing w:w="0" w:type="dxa"/>
        </w:trPr>
        <w:tc>
          <w:tcPr>
            <w:tcW w:w="685" w:type="dxa"/>
            <w:tcBorders>
              <w:top w:val="single" w:sz="4" w:space="0" w:color="auto"/>
              <w:left w:val="single" w:sz="4" w:space="0" w:color="auto"/>
              <w:bottom w:val="single" w:sz="4" w:space="0" w:color="auto"/>
              <w:right w:val="single" w:sz="4" w:space="0" w:color="auto"/>
            </w:tcBorders>
            <w:hideMark/>
          </w:tcPr>
          <w:p w:rsidR="0054499C" w:rsidRPr="00852E57" w:rsidRDefault="0054499C" w:rsidP="0054499C">
            <w:pPr>
              <w:jc w:val="center"/>
              <w:rPr>
                <w:rFonts w:ascii="Calibri" w:hAnsi="Calibri"/>
                <w:b/>
                <w:bCs/>
                <w:sz w:val="20"/>
                <w:szCs w:val="20"/>
              </w:rPr>
            </w:pPr>
            <w:r w:rsidRPr="00852E57">
              <w:rPr>
                <w:rFonts w:ascii="Calibri" w:hAnsi="Calibri"/>
                <w:b/>
                <w:bCs/>
                <w:sz w:val="20"/>
                <w:szCs w:val="20"/>
              </w:rPr>
              <w:t>O1/1</w:t>
            </w:r>
          </w:p>
        </w:tc>
        <w:tc>
          <w:tcPr>
            <w:tcW w:w="2045" w:type="dxa"/>
            <w:tcBorders>
              <w:top w:val="single" w:sz="4" w:space="0" w:color="auto"/>
              <w:left w:val="single" w:sz="4" w:space="0" w:color="auto"/>
              <w:bottom w:val="single" w:sz="4" w:space="0" w:color="auto"/>
              <w:right w:val="single" w:sz="4" w:space="0" w:color="auto"/>
            </w:tcBorders>
            <w:hideMark/>
          </w:tcPr>
          <w:p w:rsidR="0054499C" w:rsidRPr="00852E57" w:rsidRDefault="0054499C" w:rsidP="0054499C">
            <w:pPr>
              <w:jc w:val="center"/>
              <w:rPr>
                <w:rFonts w:ascii="Calibri" w:hAnsi="Calibri"/>
                <w:b/>
                <w:bCs/>
                <w:sz w:val="20"/>
                <w:szCs w:val="20"/>
              </w:rPr>
            </w:pPr>
            <w:r w:rsidRPr="00852E57">
              <w:rPr>
                <w:rFonts w:ascii="Calibri" w:hAnsi="Calibri"/>
                <w:b/>
                <w:bCs/>
                <w:sz w:val="20"/>
                <w:szCs w:val="20"/>
              </w:rPr>
              <w:t>84,06</w:t>
            </w:r>
          </w:p>
        </w:tc>
      </w:tr>
      <w:tr w:rsidR="0054499C" w:rsidRPr="00852E57" w:rsidTr="0054499C">
        <w:trPr>
          <w:trHeight w:hRule="exact" w:val="340"/>
          <w:tblCellSpacing w:w="0" w:type="dxa"/>
        </w:trPr>
        <w:tc>
          <w:tcPr>
            <w:tcW w:w="685" w:type="dxa"/>
            <w:tcBorders>
              <w:top w:val="single" w:sz="4" w:space="0" w:color="auto"/>
              <w:left w:val="single" w:sz="4" w:space="0" w:color="auto"/>
              <w:bottom w:val="single" w:sz="4" w:space="0" w:color="auto"/>
              <w:right w:val="single" w:sz="4" w:space="0" w:color="auto"/>
            </w:tcBorders>
            <w:hideMark/>
          </w:tcPr>
          <w:p w:rsidR="0054499C" w:rsidRPr="00852E57" w:rsidRDefault="0054499C" w:rsidP="0054499C">
            <w:pPr>
              <w:jc w:val="center"/>
              <w:rPr>
                <w:rFonts w:ascii="Calibri" w:hAnsi="Calibri"/>
                <w:b/>
                <w:bCs/>
                <w:sz w:val="20"/>
                <w:szCs w:val="20"/>
              </w:rPr>
            </w:pPr>
            <w:r w:rsidRPr="00852E57">
              <w:rPr>
                <w:rFonts w:ascii="Calibri" w:hAnsi="Calibri"/>
                <w:b/>
                <w:bCs/>
                <w:sz w:val="20"/>
                <w:szCs w:val="20"/>
              </w:rPr>
              <w:t>O1/2</w:t>
            </w:r>
          </w:p>
        </w:tc>
        <w:tc>
          <w:tcPr>
            <w:tcW w:w="2045" w:type="dxa"/>
            <w:tcBorders>
              <w:top w:val="single" w:sz="4" w:space="0" w:color="auto"/>
              <w:left w:val="single" w:sz="4" w:space="0" w:color="auto"/>
              <w:bottom w:val="single" w:sz="4" w:space="0" w:color="auto"/>
              <w:right w:val="single" w:sz="4" w:space="0" w:color="auto"/>
            </w:tcBorders>
            <w:hideMark/>
          </w:tcPr>
          <w:p w:rsidR="0054499C" w:rsidRPr="00852E57" w:rsidRDefault="0054499C" w:rsidP="0054499C">
            <w:pPr>
              <w:jc w:val="center"/>
              <w:rPr>
                <w:rFonts w:ascii="Calibri" w:hAnsi="Calibri"/>
                <w:b/>
                <w:bCs/>
                <w:sz w:val="20"/>
                <w:szCs w:val="20"/>
              </w:rPr>
            </w:pPr>
            <w:r w:rsidRPr="00852E57">
              <w:rPr>
                <w:rFonts w:ascii="Calibri" w:hAnsi="Calibri"/>
                <w:b/>
                <w:bCs/>
                <w:sz w:val="20"/>
                <w:szCs w:val="20"/>
              </w:rPr>
              <w:t>65,10</w:t>
            </w:r>
          </w:p>
        </w:tc>
      </w:tr>
      <w:tr w:rsidR="0054499C" w:rsidRPr="00852E57" w:rsidTr="0054499C">
        <w:trPr>
          <w:trHeight w:hRule="exact" w:val="340"/>
          <w:tblCellSpacing w:w="0" w:type="dxa"/>
        </w:trPr>
        <w:tc>
          <w:tcPr>
            <w:tcW w:w="685" w:type="dxa"/>
            <w:tcBorders>
              <w:top w:val="single" w:sz="4" w:space="0" w:color="auto"/>
              <w:left w:val="single" w:sz="4" w:space="0" w:color="auto"/>
              <w:bottom w:val="single" w:sz="4" w:space="0" w:color="auto"/>
              <w:right w:val="single" w:sz="4" w:space="0" w:color="auto"/>
            </w:tcBorders>
            <w:hideMark/>
          </w:tcPr>
          <w:p w:rsidR="0054499C" w:rsidRPr="00852E57" w:rsidRDefault="0054499C" w:rsidP="0054499C">
            <w:pPr>
              <w:jc w:val="center"/>
              <w:rPr>
                <w:rFonts w:ascii="Calibri" w:hAnsi="Calibri"/>
                <w:b/>
                <w:bCs/>
                <w:sz w:val="20"/>
                <w:szCs w:val="20"/>
              </w:rPr>
            </w:pPr>
            <w:r w:rsidRPr="00852E57">
              <w:rPr>
                <w:rFonts w:ascii="Calibri" w:hAnsi="Calibri"/>
                <w:b/>
                <w:bCs/>
                <w:sz w:val="20"/>
                <w:szCs w:val="20"/>
              </w:rPr>
              <w:t>O1/3</w:t>
            </w:r>
          </w:p>
        </w:tc>
        <w:tc>
          <w:tcPr>
            <w:tcW w:w="2045" w:type="dxa"/>
            <w:tcBorders>
              <w:top w:val="single" w:sz="4" w:space="0" w:color="auto"/>
              <w:left w:val="single" w:sz="4" w:space="0" w:color="auto"/>
              <w:bottom w:val="single" w:sz="4" w:space="0" w:color="auto"/>
              <w:right w:val="single" w:sz="4" w:space="0" w:color="auto"/>
            </w:tcBorders>
            <w:hideMark/>
          </w:tcPr>
          <w:p w:rsidR="0054499C" w:rsidRPr="00852E57" w:rsidRDefault="0054499C" w:rsidP="0054499C">
            <w:pPr>
              <w:jc w:val="center"/>
              <w:rPr>
                <w:rFonts w:ascii="Calibri" w:hAnsi="Calibri"/>
                <w:b/>
                <w:bCs/>
                <w:sz w:val="20"/>
                <w:szCs w:val="20"/>
              </w:rPr>
            </w:pPr>
            <w:r w:rsidRPr="00852E57">
              <w:rPr>
                <w:rFonts w:ascii="Calibri" w:hAnsi="Calibri"/>
                <w:b/>
                <w:bCs/>
                <w:sz w:val="20"/>
                <w:szCs w:val="20"/>
              </w:rPr>
              <w:t>54,25</w:t>
            </w:r>
          </w:p>
        </w:tc>
      </w:tr>
      <w:tr w:rsidR="0054499C" w:rsidRPr="00852E57" w:rsidTr="0054499C">
        <w:trPr>
          <w:trHeight w:hRule="exact" w:val="340"/>
          <w:tblCellSpacing w:w="0" w:type="dxa"/>
        </w:trPr>
        <w:tc>
          <w:tcPr>
            <w:tcW w:w="685" w:type="dxa"/>
            <w:tcBorders>
              <w:top w:val="single" w:sz="4" w:space="0" w:color="auto"/>
              <w:left w:val="single" w:sz="4" w:space="0" w:color="auto"/>
              <w:bottom w:val="single" w:sz="4" w:space="0" w:color="auto"/>
              <w:right w:val="single" w:sz="4" w:space="0" w:color="auto"/>
            </w:tcBorders>
            <w:hideMark/>
          </w:tcPr>
          <w:p w:rsidR="0054499C" w:rsidRPr="00852E57" w:rsidRDefault="0054499C" w:rsidP="0054499C">
            <w:pPr>
              <w:jc w:val="center"/>
              <w:rPr>
                <w:rFonts w:ascii="Calibri" w:hAnsi="Calibri"/>
                <w:b/>
                <w:bCs/>
                <w:sz w:val="20"/>
                <w:szCs w:val="20"/>
              </w:rPr>
            </w:pPr>
            <w:r w:rsidRPr="00852E57">
              <w:rPr>
                <w:rFonts w:ascii="Calibri" w:hAnsi="Calibri"/>
                <w:b/>
                <w:bCs/>
                <w:sz w:val="20"/>
                <w:szCs w:val="20"/>
              </w:rPr>
              <w:t>O2</w:t>
            </w:r>
          </w:p>
        </w:tc>
        <w:tc>
          <w:tcPr>
            <w:tcW w:w="2045" w:type="dxa"/>
            <w:tcBorders>
              <w:top w:val="single" w:sz="4" w:space="0" w:color="auto"/>
              <w:left w:val="single" w:sz="4" w:space="0" w:color="auto"/>
              <w:bottom w:val="single" w:sz="4" w:space="0" w:color="auto"/>
              <w:right w:val="single" w:sz="4" w:space="0" w:color="auto"/>
            </w:tcBorders>
            <w:hideMark/>
          </w:tcPr>
          <w:p w:rsidR="0054499C" w:rsidRPr="00852E57" w:rsidRDefault="0054499C" w:rsidP="0054499C">
            <w:pPr>
              <w:jc w:val="center"/>
              <w:rPr>
                <w:rFonts w:ascii="Calibri" w:hAnsi="Calibri"/>
                <w:b/>
                <w:bCs/>
                <w:sz w:val="20"/>
                <w:szCs w:val="20"/>
              </w:rPr>
            </w:pPr>
            <w:r w:rsidRPr="00852E57">
              <w:rPr>
                <w:rFonts w:ascii="Calibri" w:hAnsi="Calibri"/>
                <w:b/>
                <w:bCs/>
                <w:sz w:val="20"/>
                <w:szCs w:val="20"/>
              </w:rPr>
              <w:t>37,96</w:t>
            </w:r>
          </w:p>
        </w:tc>
      </w:tr>
    </w:tbl>
    <w:p w:rsidR="0054499C" w:rsidRPr="00852E57" w:rsidRDefault="0054499C" w:rsidP="0054499C">
      <w:pPr>
        <w:rPr>
          <w:rFonts w:ascii="Times New Roman" w:hAnsi="Times New Roman"/>
          <w:vanish/>
          <w:sz w:val="24"/>
        </w:rPr>
      </w:pPr>
    </w:p>
    <w:tbl>
      <w:tblPr>
        <w:tblpPr w:leftFromText="141" w:rightFromText="141" w:vertAnchor="text" w:horzAnchor="margin" w:tblpXSpec="center" w:tblpY="166"/>
        <w:tblW w:w="2730" w:type="dxa"/>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685"/>
        <w:gridCol w:w="2045"/>
      </w:tblGrid>
      <w:tr w:rsidR="0054499C" w:rsidRPr="00852E57" w:rsidTr="0054499C">
        <w:trPr>
          <w:trHeight w:hRule="exact" w:val="340"/>
          <w:tblCellSpacing w:w="0" w:type="dxa"/>
        </w:trPr>
        <w:tc>
          <w:tcPr>
            <w:tcW w:w="685" w:type="dxa"/>
            <w:tcBorders>
              <w:top w:val="single" w:sz="4" w:space="0" w:color="auto"/>
              <w:left w:val="single" w:sz="4" w:space="0" w:color="auto"/>
              <w:bottom w:val="single" w:sz="4" w:space="0" w:color="auto"/>
              <w:right w:val="single" w:sz="4" w:space="0" w:color="auto"/>
            </w:tcBorders>
            <w:hideMark/>
          </w:tcPr>
          <w:p w:rsidR="0054499C" w:rsidRPr="00852E57" w:rsidRDefault="0054499C" w:rsidP="0054499C">
            <w:pPr>
              <w:jc w:val="center"/>
              <w:rPr>
                <w:rFonts w:ascii="Calibri" w:hAnsi="Calibri"/>
                <w:b/>
                <w:bCs/>
                <w:sz w:val="20"/>
                <w:szCs w:val="20"/>
              </w:rPr>
            </w:pPr>
            <w:r w:rsidRPr="00852E57">
              <w:rPr>
                <w:rFonts w:ascii="Calibri" w:hAnsi="Calibri"/>
                <w:b/>
                <w:bCs/>
                <w:sz w:val="20"/>
                <w:szCs w:val="20"/>
              </w:rPr>
              <w:t>O3</w:t>
            </w:r>
          </w:p>
        </w:tc>
        <w:tc>
          <w:tcPr>
            <w:tcW w:w="2045" w:type="dxa"/>
            <w:tcBorders>
              <w:top w:val="single" w:sz="4" w:space="0" w:color="auto"/>
              <w:left w:val="single" w:sz="4" w:space="0" w:color="auto"/>
              <w:bottom w:val="single" w:sz="4" w:space="0" w:color="auto"/>
              <w:right w:val="single" w:sz="4" w:space="0" w:color="auto"/>
            </w:tcBorders>
            <w:hideMark/>
          </w:tcPr>
          <w:p w:rsidR="0054499C" w:rsidRPr="00852E57" w:rsidRDefault="0054499C" w:rsidP="0054499C">
            <w:pPr>
              <w:jc w:val="center"/>
              <w:rPr>
                <w:rFonts w:ascii="Calibri" w:hAnsi="Calibri"/>
                <w:b/>
                <w:bCs/>
                <w:sz w:val="20"/>
                <w:szCs w:val="20"/>
              </w:rPr>
            </w:pPr>
            <w:r w:rsidRPr="00852E57">
              <w:rPr>
                <w:rFonts w:ascii="Calibri" w:hAnsi="Calibri"/>
                <w:b/>
                <w:bCs/>
                <w:sz w:val="20"/>
                <w:szCs w:val="20"/>
              </w:rPr>
              <w:t>29,85</w:t>
            </w:r>
          </w:p>
        </w:tc>
      </w:tr>
      <w:tr w:rsidR="0054499C" w:rsidRPr="00852E57" w:rsidTr="0054499C">
        <w:trPr>
          <w:trHeight w:hRule="exact" w:val="340"/>
          <w:tblCellSpacing w:w="0" w:type="dxa"/>
        </w:trPr>
        <w:tc>
          <w:tcPr>
            <w:tcW w:w="685" w:type="dxa"/>
            <w:tcBorders>
              <w:top w:val="single" w:sz="4" w:space="0" w:color="auto"/>
              <w:left w:val="single" w:sz="4" w:space="0" w:color="auto"/>
              <w:bottom w:val="single" w:sz="4" w:space="0" w:color="auto"/>
              <w:right w:val="single" w:sz="4" w:space="0" w:color="auto"/>
            </w:tcBorders>
            <w:hideMark/>
          </w:tcPr>
          <w:p w:rsidR="0054499C" w:rsidRPr="00852E57" w:rsidRDefault="0054499C" w:rsidP="0054499C">
            <w:pPr>
              <w:jc w:val="center"/>
              <w:rPr>
                <w:rFonts w:ascii="Calibri" w:hAnsi="Calibri"/>
                <w:b/>
                <w:bCs/>
                <w:sz w:val="20"/>
                <w:szCs w:val="20"/>
              </w:rPr>
            </w:pPr>
            <w:r w:rsidRPr="00852E57">
              <w:rPr>
                <w:rFonts w:ascii="Calibri" w:hAnsi="Calibri"/>
                <w:b/>
                <w:bCs/>
                <w:sz w:val="20"/>
                <w:szCs w:val="20"/>
              </w:rPr>
              <w:t>O4/1</w:t>
            </w:r>
          </w:p>
        </w:tc>
        <w:tc>
          <w:tcPr>
            <w:tcW w:w="2045" w:type="dxa"/>
            <w:tcBorders>
              <w:top w:val="single" w:sz="4" w:space="0" w:color="auto"/>
              <w:left w:val="single" w:sz="4" w:space="0" w:color="auto"/>
              <w:bottom w:val="single" w:sz="4" w:space="0" w:color="auto"/>
              <w:right w:val="single" w:sz="4" w:space="0" w:color="auto"/>
            </w:tcBorders>
            <w:hideMark/>
          </w:tcPr>
          <w:p w:rsidR="0054499C" w:rsidRPr="00852E57" w:rsidRDefault="0054499C" w:rsidP="0054499C">
            <w:pPr>
              <w:jc w:val="center"/>
              <w:rPr>
                <w:rFonts w:ascii="Calibri" w:hAnsi="Calibri"/>
                <w:b/>
                <w:bCs/>
                <w:sz w:val="20"/>
                <w:szCs w:val="20"/>
              </w:rPr>
            </w:pPr>
            <w:r w:rsidRPr="00852E57">
              <w:rPr>
                <w:rFonts w:ascii="Calibri" w:hAnsi="Calibri"/>
                <w:b/>
                <w:bCs/>
                <w:sz w:val="20"/>
                <w:szCs w:val="20"/>
              </w:rPr>
              <w:t>65,10</w:t>
            </w:r>
          </w:p>
        </w:tc>
      </w:tr>
      <w:tr w:rsidR="0054499C" w:rsidRPr="00852E57" w:rsidTr="0054499C">
        <w:trPr>
          <w:trHeight w:hRule="exact" w:val="340"/>
          <w:tblCellSpacing w:w="0" w:type="dxa"/>
        </w:trPr>
        <w:tc>
          <w:tcPr>
            <w:tcW w:w="685" w:type="dxa"/>
            <w:tcBorders>
              <w:top w:val="single" w:sz="4" w:space="0" w:color="auto"/>
              <w:left w:val="single" w:sz="4" w:space="0" w:color="auto"/>
              <w:bottom w:val="single" w:sz="4" w:space="0" w:color="auto"/>
              <w:right w:val="single" w:sz="4" w:space="0" w:color="auto"/>
            </w:tcBorders>
            <w:hideMark/>
          </w:tcPr>
          <w:p w:rsidR="0054499C" w:rsidRPr="00852E57" w:rsidRDefault="0054499C" w:rsidP="0054499C">
            <w:pPr>
              <w:jc w:val="center"/>
              <w:rPr>
                <w:rFonts w:ascii="Calibri" w:hAnsi="Calibri"/>
                <w:b/>
                <w:bCs/>
                <w:sz w:val="20"/>
                <w:szCs w:val="20"/>
              </w:rPr>
            </w:pPr>
            <w:r w:rsidRPr="00852E57">
              <w:rPr>
                <w:rFonts w:ascii="Calibri" w:hAnsi="Calibri"/>
                <w:b/>
                <w:bCs/>
                <w:sz w:val="20"/>
                <w:szCs w:val="20"/>
              </w:rPr>
              <w:t>O4/2</w:t>
            </w:r>
          </w:p>
        </w:tc>
        <w:tc>
          <w:tcPr>
            <w:tcW w:w="2045" w:type="dxa"/>
            <w:tcBorders>
              <w:top w:val="single" w:sz="4" w:space="0" w:color="auto"/>
              <w:left w:val="single" w:sz="4" w:space="0" w:color="auto"/>
              <w:bottom w:val="single" w:sz="4" w:space="0" w:color="auto"/>
              <w:right w:val="single" w:sz="4" w:space="0" w:color="auto"/>
            </w:tcBorders>
            <w:hideMark/>
          </w:tcPr>
          <w:p w:rsidR="0054499C" w:rsidRPr="00852E57" w:rsidRDefault="0054499C" w:rsidP="0054499C">
            <w:pPr>
              <w:jc w:val="center"/>
              <w:rPr>
                <w:rFonts w:ascii="Calibri" w:hAnsi="Calibri"/>
                <w:b/>
                <w:bCs/>
                <w:sz w:val="20"/>
                <w:szCs w:val="20"/>
              </w:rPr>
            </w:pPr>
            <w:r w:rsidRPr="00852E57">
              <w:rPr>
                <w:rFonts w:ascii="Calibri" w:hAnsi="Calibri"/>
                <w:b/>
                <w:bCs/>
                <w:sz w:val="20"/>
                <w:szCs w:val="20"/>
              </w:rPr>
              <w:t>70,50</w:t>
            </w:r>
          </w:p>
        </w:tc>
      </w:tr>
      <w:tr w:rsidR="0054499C" w:rsidRPr="00852E57" w:rsidTr="0054499C">
        <w:trPr>
          <w:trHeight w:hRule="exact" w:val="340"/>
          <w:tblCellSpacing w:w="0" w:type="dxa"/>
        </w:trPr>
        <w:tc>
          <w:tcPr>
            <w:tcW w:w="685" w:type="dxa"/>
            <w:tcBorders>
              <w:top w:val="single" w:sz="4" w:space="0" w:color="auto"/>
              <w:left w:val="single" w:sz="4" w:space="0" w:color="auto"/>
              <w:bottom w:val="single" w:sz="4" w:space="0" w:color="auto"/>
              <w:right w:val="single" w:sz="4" w:space="0" w:color="auto"/>
            </w:tcBorders>
            <w:hideMark/>
          </w:tcPr>
          <w:p w:rsidR="0054499C" w:rsidRPr="00852E57" w:rsidRDefault="0054499C" w:rsidP="0054499C">
            <w:pPr>
              <w:jc w:val="center"/>
              <w:rPr>
                <w:rFonts w:ascii="Calibri" w:hAnsi="Calibri"/>
                <w:b/>
                <w:bCs/>
                <w:sz w:val="20"/>
                <w:szCs w:val="20"/>
              </w:rPr>
            </w:pPr>
            <w:r w:rsidRPr="00852E57">
              <w:rPr>
                <w:rFonts w:ascii="Calibri" w:hAnsi="Calibri"/>
                <w:b/>
                <w:bCs/>
                <w:sz w:val="20"/>
                <w:szCs w:val="20"/>
              </w:rPr>
              <w:t>O4/3</w:t>
            </w:r>
          </w:p>
        </w:tc>
        <w:tc>
          <w:tcPr>
            <w:tcW w:w="2045" w:type="dxa"/>
            <w:tcBorders>
              <w:top w:val="single" w:sz="4" w:space="0" w:color="auto"/>
              <w:left w:val="single" w:sz="4" w:space="0" w:color="auto"/>
              <w:bottom w:val="single" w:sz="4" w:space="0" w:color="auto"/>
              <w:right w:val="single" w:sz="4" w:space="0" w:color="auto"/>
            </w:tcBorders>
            <w:hideMark/>
          </w:tcPr>
          <w:p w:rsidR="0054499C" w:rsidRPr="00852E57" w:rsidRDefault="0054499C" w:rsidP="0054499C">
            <w:pPr>
              <w:jc w:val="center"/>
              <w:rPr>
                <w:rFonts w:ascii="Calibri" w:hAnsi="Calibri"/>
                <w:b/>
                <w:bCs/>
                <w:sz w:val="20"/>
                <w:szCs w:val="20"/>
              </w:rPr>
            </w:pPr>
            <w:r w:rsidRPr="00852E57">
              <w:rPr>
                <w:rFonts w:ascii="Calibri" w:hAnsi="Calibri"/>
                <w:b/>
                <w:bCs/>
                <w:sz w:val="20"/>
                <w:szCs w:val="20"/>
              </w:rPr>
              <w:t>51,53</w:t>
            </w:r>
          </w:p>
        </w:tc>
      </w:tr>
    </w:tbl>
    <w:p w:rsidR="0054499C" w:rsidRPr="00852E57" w:rsidRDefault="0054499C" w:rsidP="0054499C">
      <w:pPr>
        <w:rPr>
          <w:rFonts w:ascii="Calibri" w:hAnsi="Calibri"/>
          <w:iCs/>
          <w:sz w:val="20"/>
          <w:szCs w:val="20"/>
        </w:rPr>
      </w:pPr>
    </w:p>
    <w:p w:rsidR="0054499C" w:rsidRPr="00852E57" w:rsidRDefault="0054499C" w:rsidP="0054499C">
      <w:pPr>
        <w:rPr>
          <w:rFonts w:ascii="Calibri" w:hAnsi="Calibri"/>
          <w:iCs/>
          <w:sz w:val="20"/>
          <w:szCs w:val="20"/>
        </w:rPr>
      </w:pPr>
    </w:p>
    <w:p w:rsidR="0054499C" w:rsidRPr="00852E57" w:rsidRDefault="0054499C" w:rsidP="0054499C">
      <w:pPr>
        <w:rPr>
          <w:rFonts w:ascii="Calibri" w:hAnsi="Calibri"/>
          <w:iCs/>
          <w:sz w:val="20"/>
          <w:szCs w:val="20"/>
        </w:rPr>
      </w:pPr>
    </w:p>
    <w:p w:rsidR="0054499C" w:rsidRPr="00852E57" w:rsidRDefault="0054499C" w:rsidP="0054499C">
      <w:pPr>
        <w:rPr>
          <w:rFonts w:ascii="Calibri" w:hAnsi="Calibri"/>
          <w:iCs/>
          <w:sz w:val="20"/>
          <w:szCs w:val="20"/>
        </w:rPr>
      </w:pPr>
    </w:p>
    <w:p w:rsidR="0054499C" w:rsidRPr="00852E57" w:rsidRDefault="0054499C" w:rsidP="0054499C">
      <w:pPr>
        <w:rPr>
          <w:rFonts w:ascii="Calibri" w:hAnsi="Calibri"/>
          <w:iCs/>
          <w:sz w:val="20"/>
          <w:szCs w:val="20"/>
        </w:rPr>
      </w:pPr>
    </w:p>
    <w:p w:rsidR="0054499C" w:rsidRPr="00852E57" w:rsidRDefault="0054499C" w:rsidP="0054499C">
      <w:pPr>
        <w:rPr>
          <w:rFonts w:ascii="Calibri" w:hAnsi="Calibri"/>
          <w:iCs/>
          <w:sz w:val="20"/>
          <w:szCs w:val="20"/>
        </w:rPr>
      </w:pPr>
    </w:p>
    <w:p w:rsidR="0054499C" w:rsidRPr="00852E57" w:rsidRDefault="0054499C" w:rsidP="0054499C">
      <w:pPr>
        <w:rPr>
          <w:rFonts w:ascii="Calibri" w:hAnsi="Calibri"/>
          <w:iCs/>
          <w:sz w:val="20"/>
          <w:szCs w:val="20"/>
        </w:rPr>
      </w:pPr>
    </w:p>
    <w:p w:rsidR="0054499C" w:rsidRPr="00852E57" w:rsidRDefault="0054499C" w:rsidP="0054499C">
      <w:pPr>
        <w:rPr>
          <w:rFonts w:ascii="Calibri" w:hAnsi="Calibri"/>
          <w:iCs/>
          <w:sz w:val="20"/>
          <w:szCs w:val="20"/>
        </w:rPr>
      </w:pPr>
      <w:r w:rsidRPr="00852E57">
        <w:rPr>
          <w:rFonts w:ascii="Calibri" w:hAnsi="Calibri"/>
          <w:bCs/>
          <w:sz w:val="20"/>
          <w:szCs w:val="20"/>
        </w:rPr>
        <w:t>V rokoch 2015-2020</w:t>
      </w:r>
    </w:p>
    <w:tbl>
      <w:tblPr>
        <w:tblW w:w="9097" w:type="dxa"/>
        <w:tblCellSpacing w:w="0" w:type="dxa"/>
        <w:tblCellMar>
          <w:left w:w="0" w:type="dxa"/>
          <w:right w:w="0" w:type="dxa"/>
        </w:tblCellMar>
        <w:tblLook w:val="04A0" w:firstRow="1" w:lastRow="0" w:firstColumn="1" w:lastColumn="0" w:noHBand="0" w:noVBand="1"/>
      </w:tblPr>
      <w:tblGrid>
        <w:gridCol w:w="685"/>
        <w:gridCol w:w="2045"/>
        <w:gridCol w:w="932"/>
        <w:gridCol w:w="2160"/>
        <w:gridCol w:w="868"/>
        <w:gridCol w:w="2407"/>
      </w:tblGrid>
      <w:tr w:rsidR="0054499C" w:rsidRPr="00852E57" w:rsidTr="0054499C">
        <w:trPr>
          <w:trHeight w:hRule="exact" w:val="340"/>
          <w:tblCellSpacing w:w="0" w:type="dxa"/>
        </w:trPr>
        <w:tc>
          <w:tcPr>
            <w:tcW w:w="685" w:type="dxa"/>
            <w:tcBorders>
              <w:top w:val="single" w:sz="12" w:space="0" w:color="000000"/>
              <w:left w:val="single" w:sz="12" w:space="0" w:color="000000"/>
              <w:bottom w:val="single" w:sz="8" w:space="0" w:color="auto"/>
              <w:right w:val="single" w:sz="6" w:space="0" w:color="000000"/>
            </w:tcBorders>
            <w:shd w:val="clear" w:color="auto" w:fill="F2DBDB" w:themeFill="accent2" w:themeFillTint="33"/>
            <w:hideMark/>
          </w:tcPr>
          <w:p w:rsidR="0054499C" w:rsidRPr="00852E57" w:rsidRDefault="0054499C" w:rsidP="0054499C">
            <w:pPr>
              <w:jc w:val="center"/>
              <w:rPr>
                <w:rFonts w:ascii="Calibri" w:hAnsi="Calibri"/>
                <w:sz w:val="20"/>
                <w:szCs w:val="20"/>
              </w:rPr>
            </w:pPr>
            <w:r w:rsidRPr="00852E57">
              <w:rPr>
                <w:rFonts w:ascii="Calibri" w:hAnsi="Calibri"/>
                <w:b/>
                <w:bCs/>
                <w:sz w:val="20"/>
                <w:szCs w:val="20"/>
              </w:rPr>
              <w:t>LFA</w:t>
            </w:r>
          </w:p>
        </w:tc>
        <w:tc>
          <w:tcPr>
            <w:tcW w:w="2045" w:type="dxa"/>
            <w:tcBorders>
              <w:top w:val="single" w:sz="12" w:space="0" w:color="000000"/>
              <w:left w:val="single" w:sz="6" w:space="0" w:color="000000"/>
              <w:bottom w:val="single" w:sz="8" w:space="0" w:color="auto"/>
              <w:right w:val="single" w:sz="12" w:space="0" w:color="000000"/>
            </w:tcBorders>
            <w:shd w:val="clear" w:color="auto" w:fill="F2DBDB" w:themeFill="accent2" w:themeFillTint="33"/>
            <w:hideMark/>
          </w:tcPr>
          <w:p w:rsidR="0054499C" w:rsidRPr="00852E57" w:rsidRDefault="0054499C" w:rsidP="0054499C">
            <w:pPr>
              <w:jc w:val="center"/>
              <w:rPr>
                <w:rFonts w:ascii="Calibri" w:hAnsi="Calibri"/>
                <w:sz w:val="20"/>
                <w:szCs w:val="20"/>
              </w:rPr>
            </w:pPr>
            <w:r w:rsidRPr="00852E57">
              <w:rPr>
                <w:rFonts w:ascii="Calibri" w:hAnsi="Calibri"/>
                <w:b/>
                <w:bCs/>
                <w:sz w:val="20"/>
                <w:szCs w:val="20"/>
              </w:rPr>
              <w:t>Rastlinná výroba</w:t>
            </w:r>
          </w:p>
        </w:tc>
        <w:tc>
          <w:tcPr>
            <w:tcW w:w="932" w:type="dxa"/>
            <w:tcBorders>
              <w:top w:val="single" w:sz="12" w:space="0" w:color="000000"/>
              <w:left w:val="single" w:sz="4" w:space="0" w:color="auto"/>
              <w:bottom w:val="single" w:sz="8" w:space="0" w:color="auto"/>
              <w:right w:val="single" w:sz="6" w:space="0" w:color="000000"/>
            </w:tcBorders>
            <w:shd w:val="clear" w:color="auto" w:fill="F2DBDB" w:themeFill="accent2" w:themeFillTint="33"/>
            <w:hideMark/>
          </w:tcPr>
          <w:p w:rsidR="0054499C" w:rsidRPr="00852E57" w:rsidRDefault="0054499C" w:rsidP="0054499C">
            <w:pPr>
              <w:jc w:val="center"/>
              <w:rPr>
                <w:rFonts w:ascii="Calibri" w:hAnsi="Calibri"/>
                <w:sz w:val="20"/>
                <w:szCs w:val="20"/>
              </w:rPr>
            </w:pPr>
            <w:r w:rsidRPr="00852E57">
              <w:rPr>
                <w:rFonts w:ascii="Calibri" w:hAnsi="Calibri"/>
                <w:b/>
                <w:bCs/>
                <w:sz w:val="20"/>
                <w:szCs w:val="20"/>
              </w:rPr>
              <w:t>LFA</w:t>
            </w:r>
          </w:p>
        </w:tc>
        <w:tc>
          <w:tcPr>
            <w:tcW w:w="2160" w:type="dxa"/>
            <w:tcBorders>
              <w:top w:val="single" w:sz="12" w:space="0" w:color="000000"/>
              <w:left w:val="single" w:sz="6" w:space="0" w:color="000000"/>
              <w:bottom w:val="single" w:sz="8" w:space="0" w:color="auto"/>
              <w:right w:val="single" w:sz="8" w:space="0" w:color="auto"/>
            </w:tcBorders>
            <w:shd w:val="clear" w:color="auto" w:fill="F2DBDB" w:themeFill="accent2" w:themeFillTint="33"/>
            <w:hideMark/>
          </w:tcPr>
          <w:p w:rsidR="0054499C" w:rsidRPr="00852E57" w:rsidRDefault="0054499C" w:rsidP="0054499C">
            <w:pPr>
              <w:jc w:val="center"/>
              <w:rPr>
                <w:rFonts w:ascii="Calibri" w:hAnsi="Calibri"/>
                <w:sz w:val="20"/>
                <w:szCs w:val="20"/>
              </w:rPr>
            </w:pPr>
            <w:r w:rsidRPr="00852E57">
              <w:rPr>
                <w:rFonts w:ascii="Calibri" w:hAnsi="Calibri"/>
                <w:b/>
                <w:bCs/>
                <w:sz w:val="20"/>
                <w:szCs w:val="20"/>
              </w:rPr>
              <w:t>Zmiešaná výroba</w:t>
            </w:r>
          </w:p>
        </w:tc>
        <w:tc>
          <w:tcPr>
            <w:tcW w:w="868" w:type="dxa"/>
            <w:tcBorders>
              <w:top w:val="single" w:sz="12" w:space="0" w:color="000000"/>
              <w:left w:val="single" w:sz="12" w:space="0" w:color="000000"/>
              <w:bottom w:val="single" w:sz="8" w:space="0" w:color="auto"/>
              <w:right w:val="single" w:sz="6" w:space="0" w:color="000000"/>
            </w:tcBorders>
            <w:shd w:val="clear" w:color="auto" w:fill="F2DBDB" w:themeFill="accent2" w:themeFillTint="33"/>
            <w:hideMark/>
          </w:tcPr>
          <w:p w:rsidR="0054499C" w:rsidRPr="00852E57" w:rsidRDefault="0054499C" w:rsidP="0054499C">
            <w:pPr>
              <w:jc w:val="center"/>
              <w:rPr>
                <w:rFonts w:ascii="Calibri" w:hAnsi="Calibri"/>
                <w:sz w:val="20"/>
                <w:szCs w:val="20"/>
              </w:rPr>
            </w:pPr>
            <w:r w:rsidRPr="00852E57">
              <w:rPr>
                <w:rFonts w:ascii="Calibri" w:hAnsi="Calibri"/>
                <w:b/>
                <w:bCs/>
                <w:sz w:val="20"/>
                <w:szCs w:val="20"/>
              </w:rPr>
              <w:t>LFA</w:t>
            </w:r>
          </w:p>
        </w:tc>
        <w:tc>
          <w:tcPr>
            <w:tcW w:w="2407" w:type="dxa"/>
            <w:tcBorders>
              <w:top w:val="single" w:sz="12" w:space="0" w:color="000000"/>
              <w:left w:val="single" w:sz="6" w:space="0" w:color="000000"/>
              <w:bottom w:val="single" w:sz="8" w:space="0" w:color="auto"/>
              <w:right w:val="single" w:sz="12" w:space="0" w:color="000000"/>
            </w:tcBorders>
            <w:shd w:val="clear" w:color="auto" w:fill="F2DBDB" w:themeFill="accent2" w:themeFillTint="33"/>
            <w:hideMark/>
          </w:tcPr>
          <w:p w:rsidR="0054499C" w:rsidRPr="00852E57" w:rsidRDefault="0054499C" w:rsidP="0054499C">
            <w:pPr>
              <w:jc w:val="center"/>
              <w:rPr>
                <w:rFonts w:ascii="Calibri" w:hAnsi="Calibri"/>
                <w:sz w:val="20"/>
                <w:szCs w:val="20"/>
              </w:rPr>
            </w:pPr>
            <w:r w:rsidRPr="00852E57">
              <w:rPr>
                <w:rFonts w:ascii="Calibri" w:hAnsi="Calibri"/>
                <w:b/>
                <w:bCs/>
                <w:sz w:val="20"/>
                <w:szCs w:val="20"/>
              </w:rPr>
              <w:t>Živočíšna výroba</w:t>
            </w:r>
          </w:p>
        </w:tc>
      </w:tr>
      <w:tr w:rsidR="0054499C" w:rsidRPr="00852E57" w:rsidTr="0054499C">
        <w:trPr>
          <w:trHeight w:hRule="exact" w:val="340"/>
          <w:tblCellSpacing w:w="0" w:type="dxa"/>
        </w:trPr>
        <w:tc>
          <w:tcPr>
            <w:tcW w:w="685" w:type="dxa"/>
            <w:tcBorders>
              <w:top w:val="single" w:sz="12" w:space="0" w:color="000000"/>
              <w:left w:val="single" w:sz="12" w:space="0" w:color="000000"/>
              <w:bottom w:val="single" w:sz="6" w:space="0" w:color="000000"/>
              <w:right w:val="single" w:sz="6" w:space="0" w:color="000000"/>
            </w:tcBorders>
            <w:hideMark/>
          </w:tcPr>
          <w:p w:rsidR="0054499C" w:rsidRPr="00852E57" w:rsidRDefault="0054499C" w:rsidP="0054499C">
            <w:pPr>
              <w:jc w:val="center"/>
              <w:rPr>
                <w:rFonts w:ascii="Calibri" w:hAnsi="Calibri"/>
                <w:sz w:val="20"/>
                <w:szCs w:val="20"/>
              </w:rPr>
            </w:pPr>
            <w:r w:rsidRPr="00852E57">
              <w:rPr>
                <w:rFonts w:ascii="Calibri" w:hAnsi="Calibri"/>
                <w:b/>
                <w:bCs/>
                <w:sz w:val="20"/>
                <w:szCs w:val="20"/>
              </w:rPr>
              <w:t>O1/1</w:t>
            </w:r>
          </w:p>
        </w:tc>
        <w:tc>
          <w:tcPr>
            <w:tcW w:w="2045" w:type="dxa"/>
            <w:tcBorders>
              <w:top w:val="single" w:sz="12" w:space="0" w:color="000000"/>
              <w:left w:val="single" w:sz="6" w:space="0" w:color="000000"/>
              <w:bottom w:val="single" w:sz="6" w:space="0" w:color="000000"/>
              <w:right w:val="single" w:sz="8" w:space="0" w:color="auto"/>
            </w:tcBorders>
            <w:hideMark/>
          </w:tcPr>
          <w:p w:rsidR="0054499C" w:rsidRPr="00852E57" w:rsidRDefault="0054499C" w:rsidP="0054499C">
            <w:pPr>
              <w:jc w:val="center"/>
              <w:rPr>
                <w:rFonts w:ascii="Calibri" w:hAnsi="Calibri"/>
                <w:sz w:val="20"/>
                <w:szCs w:val="20"/>
              </w:rPr>
            </w:pPr>
            <w:r w:rsidRPr="00852E57">
              <w:rPr>
                <w:rFonts w:ascii="Calibri" w:hAnsi="Calibri"/>
                <w:b/>
                <w:bCs/>
                <w:sz w:val="20"/>
                <w:szCs w:val="20"/>
              </w:rPr>
              <w:t>24,79*</w:t>
            </w:r>
          </w:p>
        </w:tc>
        <w:tc>
          <w:tcPr>
            <w:tcW w:w="932" w:type="dxa"/>
            <w:tcBorders>
              <w:top w:val="single" w:sz="12" w:space="0" w:color="000000"/>
              <w:left w:val="single" w:sz="12" w:space="0" w:color="000000"/>
              <w:bottom w:val="single" w:sz="6" w:space="0" w:color="000000"/>
              <w:right w:val="single" w:sz="6" w:space="0" w:color="000000"/>
            </w:tcBorders>
            <w:hideMark/>
          </w:tcPr>
          <w:p w:rsidR="0054499C" w:rsidRPr="00852E57" w:rsidRDefault="0054499C" w:rsidP="0054499C">
            <w:pPr>
              <w:jc w:val="center"/>
              <w:rPr>
                <w:rFonts w:ascii="Calibri" w:hAnsi="Calibri"/>
                <w:sz w:val="20"/>
                <w:szCs w:val="20"/>
              </w:rPr>
            </w:pPr>
            <w:r w:rsidRPr="00852E57">
              <w:rPr>
                <w:rFonts w:ascii="Calibri" w:hAnsi="Calibri"/>
                <w:b/>
                <w:bCs/>
                <w:sz w:val="20"/>
                <w:szCs w:val="20"/>
              </w:rPr>
              <w:t>O1/1</w:t>
            </w:r>
          </w:p>
        </w:tc>
        <w:tc>
          <w:tcPr>
            <w:tcW w:w="2160" w:type="dxa"/>
            <w:tcBorders>
              <w:top w:val="single" w:sz="12" w:space="0" w:color="000000"/>
              <w:left w:val="single" w:sz="6" w:space="0" w:color="000000"/>
              <w:bottom w:val="single" w:sz="6" w:space="0" w:color="000000"/>
              <w:right w:val="single" w:sz="8" w:space="0" w:color="auto"/>
            </w:tcBorders>
            <w:hideMark/>
          </w:tcPr>
          <w:p w:rsidR="0054499C" w:rsidRPr="00852E57" w:rsidRDefault="0054499C" w:rsidP="0054499C">
            <w:pPr>
              <w:jc w:val="center"/>
              <w:rPr>
                <w:rFonts w:ascii="Calibri" w:hAnsi="Calibri"/>
                <w:sz w:val="20"/>
                <w:szCs w:val="20"/>
              </w:rPr>
            </w:pPr>
            <w:r w:rsidRPr="00852E57">
              <w:rPr>
                <w:rFonts w:ascii="Calibri" w:hAnsi="Calibri"/>
                <w:b/>
                <w:bCs/>
                <w:sz w:val="20"/>
                <w:szCs w:val="20"/>
              </w:rPr>
              <w:t>54,70</w:t>
            </w:r>
          </w:p>
        </w:tc>
        <w:tc>
          <w:tcPr>
            <w:tcW w:w="868" w:type="dxa"/>
            <w:tcBorders>
              <w:top w:val="single" w:sz="12" w:space="0" w:color="000000"/>
              <w:left w:val="single" w:sz="12" w:space="0" w:color="000000"/>
              <w:bottom w:val="single" w:sz="6" w:space="0" w:color="000000"/>
              <w:right w:val="single" w:sz="6" w:space="0" w:color="000000"/>
            </w:tcBorders>
            <w:hideMark/>
          </w:tcPr>
          <w:p w:rsidR="0054499C" w:rsidRPr="00852E57" w:rsidRDefault="0054499C" w:rsidP="0054499C">
            <w:pPr>
              <w:jc w:val="center"/>
              <w:rPr>
                <w:rFonts w:ascii="Calibri" w:hAnsi="Calibri"/>
                <w:sz w:val="20"/>
                <w:szCs w:val="20"/>
              </w:rPr>
            </w:pPr>
            <w:r w:rsidRPr="00852E57">
              <w:rPr>
                <w:rFonts w:ascii="Calibri" w:hAnsi="Calibri"/>
                <w:b/>
                <w:bCs/>
                <w:sz w:val="20"/>
                <w:szCs w:val="20"/>
              </w:rPr>
              <w:t>O1/1</w:t>
            </w:r>
          </w:p>
        </w:tc>
        <w:tc>
          <w:tcPr>
            <w:tcW w:w="2407" w:type="dxa"/>
            <w:tcBorders>
              <w:top w:val="single" w:sz="12" w:space="0" w:color="000000"/>
              <w:left w:val="single" w:sz="6" w:space="0" w:color="000000"/>
              <w:bottom w:val="single" w:sz="6" w:space="0" w:color="000000"/>
              <w:right w:val="single" w:sz="12" w:space="0" w:color="000000"/>
            </w:tcBorders>
            <w:hideMark/>
          </w:tcPr>
          <w:p w:rsidR="0054499C" w:rsidRPr="00852E57" w:rsidRDefault="0054499C" w:rsidP="0054499C">
            <w:pPr>
              <w:jc w:val="center"/>
              <w:rPr>
                <w:rFonts w:ascii="Calibri" w:hAnsi="Calibri"/>
                <w:sz w:val="20"/>
                <w:szCs w:val="20"/>
              </w:rPr>
            </w:pPr>
            <w:r w:rsidRPr="00852E57">
              <w:rPr>
                <w:rFonts w:ascii="Calibri" w:hAnsi="Calibri"/>
                <w:b/>
                <w:bCs/>
                <w:sz w:val="20"/>
                <w:szCs w:val="20"/>
              </w:rPr>
              <w:t>81,82</w:t>
            </w:r>
          </w:p>
        </w:tc>
      </w:tr>
      <w:tr w:rsidR="0054499C" w:rsidRPr="00852E57" w:rsidTr="0054499C">
        <w:trPr>
          <w:trHeight w:hRule="exact" w:val="340"/>
          <w:tblCellSpacing w:w="0" w:type="dxa"/>
        </w:trPr>
        <w:tc>
          <w:tcPr>
            <w:tcW w:w="685" w:type="dxa"/>
            <w:tcBorders>
              <w:top w:val="single" w:sz="6" w:space="0" w:color="000000"/>
              <w:left w:val="single" w:sz="12" w:space="0" w:color="000000"/>
              <w:bottom w:val="single" w:sz="6" w:space="0" w:color="000000"/>
              <w:right w:val="single" w:sz="6" w:space="0" w:color="000000"/>
            </w:tcBorders>
            <w:hideMark/>
          </w:tcPr>
          <w:p w:rsidR="0054499C" w:rsidRPr="00852E57" w:rsidRDefault="0054499C" w:rsidP="0054499C">
            <w:pPr>
              <w:jc w:val="center"/>
              <w:rPr>
                <w:rFonts w:ascii="Calibri" w:hAnsi="Calibri"/>
                <w:sz w:val="20"/>
                <w:szCs w:val="20"/>
              </w:rPr>
            </w:pPr>
            <w:r w:rsidRPr="00852E57">
              <w:rPr>
                <w:rFonts w:ascii="Calibri" w:hAnsi="Calibri"/>
                <w:b/>
                <w:bCs/>
                <w:sz w:val="20"/>
                <w:szCs w:val="20"/>
              </w:rPr>
              <w:t>O1/2</w:t>
            </w:r>
          </w:p>
        </w:tc>
        <w:tc>
          <w:tcPr>
            <w:tcW w:w="2045" w:type="dxa"/>
            <w:tcBorders>
              <w:top w:val="single" w:sz="6" w:space="0" w:color="000000"/>
              <w:left w:val="single" w:sz="6" w:space="0" w:color="000000"/>
              <w:bottom w:val="single" w:sz="6" w:space="0" w:color="000000"/>
              <w:right w:val="single" w:sz="8" w:space="0" w:color="auto"/>
            </w:tcBorders>
            <w:hideMark/>
          </w:tcPr>
          <w:p w:rsidR="0054499C" w:rsidRPr="00852E57" w:rsidRDefault="0054499C" w:rsidP="0054499C">
            <w:pPr>
              <w:jc w:val="center"/>
              <w:rPr>
                <w:rFonts w:ascii="Calibri" w:hAnsi="Calibri"/>
                <w:sz w:val="20"/>
                <w:szCs w:val="20"/>
              </w:rPr>
            </w:pPr>
            <w:r w:rsidRPr="00852E57">
              <w:rPr>
                <w:rFonts w:ascii="Calibri" w:hAnsi="Calibri"/>
                <w:b/>
                <w:bCs/>
                <w:sz w:val="20"/>
                <w:szCs w:val="20"/>
              </w:rPr>
              <w:t>20,69*</w:t>
            </w:r>
          </w:p>
        </w:tc>
        <w:tc>
          <w:tcPr>
            <w:tcW w:w="932" w:type="dxa"/>
            <w:tcBorders>
              <w:top w:val="single" w:sz="6" w:space="0" w:color="000000"/>
              <w:left w:val="single" w:sz="12" w:space="0" w:color="000000"/>
              <w:bottom w:val="single" w:sz="6" w:space="0" w:color="000000"/>
              <w:right w:val="single" w:sz="6" w:space="0" w:color="000000"/>
            </w:tcBorders>
            <w:hideMark/>
          </w:tcPr>
          <w:p w:rsidR="0054499C" w:rsidRPr="00852E57" w:rsidRDefault="0054499C" w:rsidP="0054499C">
            <w:pPr>
              <w:jc w:val="center"/>
              <w:rPr>
                <w:rFonts w:ascii="Calibri" w:hAnsi="Calibri"/>
                <w:sz w:val="20"/>
                <w:szCs w:val="20"/>
              </w:rPr>
            </w:pPr>
            <w:r w:rsidRPr="00852E57">
              <w:rPr>
                <w:rFonts w:ascii="Calibri" w:hAnsi="Calibri"/>
                <w:b/>
                <w:bCs/>
                <w:sz w:val="20"/>
                <w:szCs w:val="20"/>
              </w:rPr>
              <w:t>O1/2</w:t>
            </w:r>
          </w:p>
        </w:tc>
        <w:tc>
          <w:tcPr>
            <w:tcW w:w="2160" w:type="dxa"/>
            <w:tcBorders>
              <w:top w:val="single" w:sz="6" w:space="0" w:color="000000"/>
              <w:left w:val="single" w:sz="6" w:space="0" w:color="000000"/>
              <w:bottom w:val="single" w:sz="6" w:space="0" w:color="000000"/>
              <w:right w:val="single" w:sz="8" w:space="0" w:color="auto"/>
            </w:tcBorders>
            <w:hideMark/>
          </w:tcPr>
          <w:p w:rsidR="0054499C" w:rsidRPr="00852E57" w:rsidRDefault="0054499C" w:rsidP="0054499C">
            <w:pPr>
              <w:jc w:val="center"/>
              <w:rPr>
                <w:rFonts w:ascii="Calibri" w:hAnsi="Calibri"/>
                <w:sz w:val="20"/>
                <w:szCs w:val="20"/>
              </w:rPr>
            </w:pPr>
            <w:r w:rsidRPr="00852E57">
              <w:rPr>
                <w:rFonts w:ascii="Calibri" w:hAnsi="Calibri"/>
                <w:b/>
                <w:bCs/>
                <w:sz w:val="20"/>
                <w:szCs w:val="20"/>
              </w:rPr>
              <w:t>45,64</w:t>
            </w:r>
          </w:p>
        </w:tc>
        <w:tc>
          <w:tcPr>
            <w:tcW w:w="868" w:type="dxa"/>
            <w:tcBorders>
              <w:top w:val="single" w:sz="6" w:space="0" w:color="000000"/>
              <w:left w:val="single" w:sz="12" w:space="0" w:color="auto"/>
              <w:bottom w:val="single" w:sz="6" w:space="0" w:color="000000"/>
              <w:right w:val="single" w:sz="6" w:space="0" w:color="000000"/>
            </w:tcBorders>
            <w:hideMark/>
          </w:tcPr>
          <w:p w:rsidR="0054499C" w:rsidRPr="00852E57" w:rsidRDefault="0054499C" w:rsidP="0054499C">
            <w:pPr>
              <w:jc w:val="center"/>
              <w:rPr>
                <w:rFonts w:ascii="Calibri" w:hAnsi="Calibri"/>
                <w:sz w:val="20"/>
                <w:szCs w:val="20"/>
              </w:rPr>
            </w:pPr>
            <w:r w:rsidRPr="00852E57">
              <w:rPr>
                <w:rFonts w:ascii="Calibri" w:hAnsi="Calibri"/>
                <w:b/>
                <w:bCs/>
                <w:sz w:val="20"/>
                <w:szCs w:val="20"/>
              </w:rPr>
              <w:t>O1/2</w:t>
            </w:r>
          </w:p>
        </w:tc>
        <w:tc>
          <w:tcPr>
            <w:tcW w:w="2407" w:type="dxa"/>
            <w:tcBorders>
              <w:top w:val="single" w:sz="6" w:space="0" w:color="000000"/>
              <w:left w:val="single" w:sz="6" w:space="0" w:color="000000"/>
              <w:bottom w:val="single" w:sz="6" w:space="0" w:color="000000"/>
              <w:right w:val="single" w:sz="12" w:space="0" w:color="000000"/>
            </w:tcBorders>
            <w:hideMark/>
          </w:tcPr>
          <w:p w:rsidR="0054499C" w:rsidRPr="00852E57" w:rsidRDefault="0054499C" w:rsidP="0054499C">
            <w:pPr>
              <w:jc w:val="center"/>
              <w:rPr>
                <w:rFonts w:ascii="Calibri" w:hAnsi="Calibri"/>
                <w:sz w:val="20"/>
                <w:szCs w:val="20"/>
              </w:rPr>
            </w:pPr>
            <w:r w:rsidRPr="00852E57">
              <w:rPr>
                <w:rFonts w:ascii="Calibri" w:hAnsi="Calibri"/>
                <w:b/>
                <w:bCs/>
                <w:sz w:val="20"/>
                <w:szCs w:val="20"/>
              </w:rPr>
              <w:t>68,19</w:t>
            </w:r>
          </w:p>
        </w:tc>
      </w:tr>
      <w:tr w:rsidR="0054499C" w:rsidRPr="00852E57" w:rsidTr="0054499C">
        <w:trPr>
          <w:trHeight w:hRule="exact" w:val="340"/>
          <w:tblCellSpacing w:w="0" w:type="dxa"/>
        </w:trPr>
        <w:tc>
          <w:tcPr>
            <w:tcW w:w="685" w:type="dxa"/>
            <w:tcBorders>
              <w:top w:val="single" w:sz="6" w:space="0" w:color="000000"/>
              <w:left w:val="single" w:sz="12" w:space="0" w:color="000000"/>
              <w:bottom w:val="single" w:sz="6" w:space="0" w:color="000000"/>
              <w:right w:val="single" w:sz="6" w:space="0" w:color="000000"/>
            </w:tcBorders>
            <w:hideMark/>
          </w:tcPr>
          <w:p w:rsidR="0054499C" w:rsidRPr="00852E57" w:rsidRDefault="0054499C" w:rsidP="0054499C">
            <w:pPr>
              <w:jc w:val="center"/>
              <w:rPr>
                <w:rFonts w:ascii="Calibri" w:hAnsi="Calibri"/>
                <w:sz w:val="20"/>
                <w:szCs w:val="20"/>
              </w:rPr>
            </w:pPr>
            <w:r w:rsidRPr="00852E57">
              <w:rPr>
                <w:rFonts w:ascii="Calibri" w:hAnsi="Calibri"/>
                <w:b/>
                <w:bCs/>
                <w:sz w:val="20"/>
                <w:szCs w:val="20"/>
              </w:rPr>
              <w:t>O1/3</w:t>
            </w:r>
          </w:p>
        </w:tc>
        <w:tc>
          <w:tcPr>
            <w:tcW w:w="2045" w:type="dxa"/>
            <w:tcBorders>
              <w:top w:val="single" w:sz="6" w:space="0" w:color="000000"/>
              <w:left w:val="single" w:sz="6" w:space="0" w:color="000000"/>
              <w:bottom w:val="single" w:sz="6" w:space="0" w:color="000000"/>
              <w:right w:val="single" w:sz="8" w:space="0" w:color="auto"/>
            </w:tcBorders>
            <w:hideMark/>
          </w:tcPr>
          <w:p w:rsidR="0054499C" w:rsidRPr="00852E57" w:rsidRDefault="0054499C" w:rsidP="0054499C">
            <w:pPr>
              <w:jc w:val="center"/>
              <w:rPr>
                <w:rFonts w:ascii="Calibri" w:hAnsi="Calibri"/>
                <w:sz w:val="20"/>
                <w:szCs w:val="20"/>
              </w:rPr>
            </w:pPr>
            <w:r w:rsidRPr="00852E57">
              <w:rPr>
                <w:rFonts w:ascii="Calibri" w:hAnsi="Calibri"/>
                <w:b/>
                <w:bCs/>
                <w:sz w:val="20"/>
                <w:szCs w:val="20"/>
              </w:rPr>
              <w:t>17,12*</w:t>
            </w:r>
          </w:p>
        </w:tc>
        <w:tc>
          <w:tcPr>
            <w:tcW w:w="932" w:type="dxa"/>
            <w:tcBorders>
              <w:top w:val="single" w:sz="6" w:space="0" w:color="000000"/>
              <w:left w:val="single" w:sz="12" w:space="0" w:color="000000"/>
              <w:bottom w:val="single" w:sz="6" w:space="0" w:color="000000"/>
              <w:right w:val="single" w:sz="6" w:space="0" w:color="000000"/>
            </w:tcBorders>
            <w:hideMark/>
          </w:tcPr>
          <w:p w:rsidR="0054499C" w:rsidRPr="00852E57" w:rsidRDefault="0054499C" w:rsidP="0054499C">
            <w:pPr>
              <w:jc w:val="center"/>
              <w:rPr>
                <w:rFonts w:ascii="Calibri" w:hAnsi="Calibri"/>
                <w:sz w:val="20"/>
                <w:szCs w:val="20"/>
              </w:rPr>
            </w:pPr>
            <w:r w:rsidRPr="00852E57">
              <w:rPr>
                <w:rFonts w:ascii="Calibri" w:hAnsi="Calibri"/>
                <w:b/>
                <w:bCs/>
                <w:sz w:val="20"/>
                <w:szCs w:val="20"/>
              </w:rPr>
              <w:t>O1/3</w:t>
            </w:r>
          </w:p>
        </w:tc>
        <w:tc>
          <w:tcPr>
            <w:tcW w:w="2160" w:type="dxa"/>
            <w:tcBorders>
              <w:top w:val="single" w:sz="6" w:space="0" w:color="000000"/>
              <w:left w:val="single" w:sz="6" w:space="0" w:color="000000"/>
              <w:bottom w:val="single" w:sz="6" w:space="0" w:color="000000"/>
              <w:right w:val="single" w:sz="8" w:space="0" w:color="auto"/>
            </w:tcBorders>
            <w:hideMark/>
          </w:tcPr>
          <w:p w:rsidR="0054499C" w:rsidRPr="00852E57" w:rsidRDefault="0054499C" w:rsidP="0054499C">
            <w:pPr>
              <w:jc w:val="center"/>
              <w:rPr>
                <w:rFonts w:ascii="Calibri" w:hAnsi="Calibri"/>
                <w:sz w:val="20"/>
                <w:szCs w:val="20"/>
              </w:rPr>
            </w:pPr>
            <w:r w:rsidRPr="00852E57">
              <w:rPr>
                <w:rFonts w:ascii="Calibri" w:hAnsi="Calibri"/>
                <w:b/>
                <w:bCs/>
                <w:sz w:val="20"/>
                <w:szCs w:val="20"/>
              </w:rPr>
              <w:t>37,77</w:t>
            </w:r>
          </w:p>
        </w:tc>
        <w:tc>
          <w:tcPr>
            <w:tcW w:w="868" w:type="dxa"/>
            <w:tcBorders>
              <w:top w:val="single" w:sz="6" w:space="0" w:color="000000"/>
              <w:left w:val="single" w:sz="12" w:space="0" w:color="auto"/>
              <w:bottom w:val="single" w:sz="6" w:space="0" w:color="000000"/>
              <w:right w:val="single" w:sz="6" w:space="0" w:color="000000"/>
            </w:tcBorders>
            <w:hideMark/>
          </w:tcPr>
          <w:p w:rsidR="0054499C" w:rsidRPr="00852E57" w:rsidRDefault="0054499C" w:rsidP="0054499C">
            <w:pPr>
              <w:jc w:val="center"/>
              <w:rPr>
                <w:rFonts w:ascii="Calibri" w:hAnsi="Calibri"/>
                <w:sz w:val="20"/>
                <w:szCs w:val="20"/>
              </w:rPr>
            </w:pPr>
            <w:r w:rsidRPr="00852E57">
              <w:rPr>
                <w:rFonts w:ascii="Calibri" w:hAnsi="Calibri"/>
                <w:b/>
                <w:bCs/>
                <w:sz w:val="20"/>
                <w:szCs w:val="20"/>
              </w:rPr>
              <w:t>O1/3</w:t>
            </w:r>
          </w:p>
        </w:tc>
        <w:tc>
          <w:tcPr>
            <w:tcW w:w="2407" w:type="dxa"/>
            <w:tcBorders>
              <w:top w:val="single" w:sz="6" w:space="0" w:color="000000"/>
              <w:left w:val="single" w:sz="6" w:space="0" w:color="000000"/>
              <w:bottom w:val="single" w:sz="6" w:space="0" w:color="000000"/>
              <w:right w:val="single" w:sz="12" w:space="0" w:color="000000"/>
            </w:tcBorders>
            <w:hideMark/>
          </w:tcPr>
          <w:p w:rsidR="0054499C" w:rsidRPr="00852E57" w:rsidRDefault="0054499C" w:rsidP="0054499C">
            <w:pPr>
              <w:jc w:val="center"/>
              <w:rPr>
                <w:rFonts w:ascii="Calibri" w:hAnsi="Calibri"/>
                <w:sz w:val="20"/>
                <w:szCs w:val="20"/>
              </w:rPr>
            </w:pPr>
            <w:r w:rsidRPr="00852E57">
              <w:rPr>
                <w:rFonts w:ascii="Calibri" w:hAnsi="Calibri"/>
                <w:b/>
                <w:bCs/>
                <w:sz w:val="20"/>
                <w:szCs w:val="20"/>
              </w:rPr>
              <w:t>56,43</w:t>
            </w:r>
          </w:p>
        </w:tc>
      </w:tr>
      <w:tr w:rsidR="0054499C" w:rsidRPr="00852E57" w:rsidTr="0054499C">
        <w:trPr>
          <w:trHeight w:hRule="exact" w:val="340"/>
          <w:tblCellSpacing w:w="0" w:type="dxa"/>
        </w:trPr>
        <w:tc>
          <w:tcPr>
            <w:tcW w:w="685" w:type="dxa"/>
            <w:tcBorders>
              <w:top w:val="single" w:sz="6" w:space="0" w:color="000000"/>
              <w:left w:val="single" w:sz="12" w:space="0" w:color="000000"/>
              <w:bottom w:val="single" w:sz="6" w:space="0" w:color="000000"/>
              <w:right w:val="single" w:sz="6" w:space="0" w:color="000000"/>
            </w:tcBorders>
            <w:hideMark/>
          </w:tcPr>
          <w:p w:rsidR="0054499C" w:rsidRPr="00852E57" w:rsidRDefault="0054499C" w:rsidP="0054499C">
            <w:pPr>
              <w:jc w:val="center"/>
              <w:rPr>
                <w:rFonts w:ascii="Calibri" w:hAnsi="Calibri"/>
                <w:sz w:val="20"/>
                <w:szCs w:val="20"/>
              </w:rPr>
            </w:pPr>
            <w:r w:rsidRPr="00852E57">
              <w:rPr>
                <w:rFonts w:ascii="Calibri" w:hAnsi="Calibri"/>
                <w:b/>
                <w:bCs/>
                <w:sz w:val="20"/>
                <w:szCs w:val="20"/>
              </w:rPr>
              <w:t>O2</w:t>
            </w:r>
          </w:p>
        </w:tc>
        <w:tc>
          <w:tcPr>
            <w:tcW w:w="2045" w:type="dxa"/>
            <w:tcBorders>
              <w:top w:val="single" w:sz="6" w:space="0" w:color="000000"/>
              <w:left w:val="single" w:sz="6" w:space="0" w:color="000000"/>
              <w:bottom w:val="single" w:sz="6" w:space="0" w:color="000000"/>
              <w:right w:val="single" w:sz="8" w:space="0" w:color="auto"/>
            </w:tcBorders>
            <w:hideMark/>
          </w:tcPr>
          <w:p w:rsidR="0054499C" w:rsidRPr="00852E57" w:rsidRDefault="0054499C" w:rsidP="0054499C">
            <w:pPr>
              <w:jc w:val="center"/>
              <w:rPr>
                <w:rFonts w:ascii="Calibri" w:hAnsi="Calibri"/>
                <w:sz w:val="20"/>
                <w:szCs w:val="20"/>
              </w:rPr>
            </w:pPr>
            <w:r w:rsidRPr="00852E57">
              <w:rPr>
                <w:rFonts w:ascii="Calibri" w:hAnsi="Calibri"/>
                <w:b/>
                <w:bCs/>
                <w:sz w:val="20"/>
                <w:szCs w:val="20"/>
              </w:rPr>
              <w:t>12,51*</w:t>
            </w:r>
          </w:p>
        </w:tc>
        <w:tc>
          <w:tcPr>
            <w:tcW w:w="932" w:type="dxa"/>
            <w:tcBorders>
              <w:top w:val="single" w:sz="6" w:space="0" w:color="000000"/>
              <w:left w:val="single" w:sz="12" w:space="0" w:color="000000"/>
              <w:bottom w:val="single" w:sz="6" w:space="0" w:color="000000"/>
              <w:right w:val="single" w:sz="6" w:space="0" w:color="000000"/>
            </w:tcBorders>
            <w:hideMark/>
          </w:tcPr>
          <w:p w:rsidR="0054499C" w:rsidRPr="00852E57" w:rsidRDefault="0054499C" w:rsidP="0054499C">
            <w:pPr>
              <w:jc w:val="center"/>
              <w:rPr>
                <w:rFonts w:ascii="Calibri" w:hAnsi="Calibri"/>
                <w:sz w:val="20"/>
                <w:szCs w:val="20"/>
              </w:rPr>
            </w:pPr>
            <w:r w:rsidRPr="00852E57">
              <w:rPr>
                <w:rFonts w:ascii="Calibri" w:hAnsi="Calibri"/>
                <w:b/>
                <w:bCs/>
                <w:sz w:val="20"/>
                <w:szCs w:val="20"/>
              </w:rPr>
              <w:t>O2</w:t>
            </w:r>
          </w:p>
        </w:tc>
        <w:tc>
          <w:tcPr>
            <w:tcW w:w="2160" w:type="dxa"/>
            <w:tcBorders>
              <w:top w:val="single" w:sz="6" w:space="0" w:color="000000"/>
              <w:left w:val="single" w:sz="6" w:space="0" w:color="000000"/>
              <w:bottom w:val="single" w:sz="6" w:space="0" w:color="000000"/>
              <w:right w:val="single" w:sz="8" w:space="0" w:color="auto"/>
            </w:tcBorders>
            <w:hideMark/>
          </w:tcPr>
          <w:p w:rsidR="0054499C" w:rsidRPr="00852E57" w:rsidRDefault="0054499C" w:rsidP="0054499C">
            <w:pPr>
              <w:jc w:val="center"/>
              <w:rPr>
                <w:rFonts w:ascii="Calibri" w:hAnsi="Calibri"/>
                <w:sz w:val="20"/>
                <w:szCs w:val="20"/>
              </w:rPr>
            </w:pPr>
            <w:r w:rsidRPr="00852E57">
              <w:rPr>
                <w:rFonts w:ascii="Calibri" w:hAnsi="Calibri"/>
                <w:b/>
                <w:bCs/>
                <w:sz w:val="20"/>
                <w:szCs w:val="20"/>
              </w:rPr>
              <w:t>27,59</w:t>
            </w:r>
          </w:p>
        </w:tc>
        <w:tc>
          <w:tcPr>
            <w:tcW w:w="868" w:type="dxa"/>
            <w:tcBorders>
              <w:top w:val="single" w:sz="6" w:space="0" w:color="000000"/>
              <w:left w:val="single" w:sz="12" w:space="0" w:color="000000"/>
              <w:bottom w:val="single" w:sz="6" w:space="0" w:color="000000"/>
              <w:right w:val="single" w:sz="6" w:space="0" w:color="000000"/>
            </w:tcBorders>
            <w:hideMark/>
          </w:tcPr>
          <w:p w:rsidR="0054499C" w:rsidRPr="00852E57" w:rsidRDefault="0054499C" w:rsidP="0054499C">
            <w:pPr>
              <w:jc w:val="center"/>
              <w:rPr>
                <w:rFonts w:ascii="Calibri" w:hAnsi="Calibri"/>
                <w:sz w:val="20"/>
                <w:szCs w:val="20"/>
              </w:rPr>
            </w:pPr>
            <w:r w:rsidRPr="00852E57">
              <w:rPr>
                <w:rFonts w:ascii="Calibri" w:hAnsi="Calibri"/>
                <w:b/>
                <w:bCs/>
                <w:sz w:val="20"/>
                <w:szCs w:val="20"/>
              </w:rPr>
              <w:t>O2</w:t>
            </w:r>
          </w:p>
        </w:tc>
        <w:tc>
          <w:tcPr>
            <w:tcW w:w="2407" w:type="dxa"/>
            <w:tcBorders>
              <w:top w:val="single" w:sz="6" w:space="0" w:color="000000"/>
              <w:left w:val="single" w:sz="6" w:space="0" w:color="000000"/>
              <w:bottom w:val="single" w:sz="6" w:space="0" w:color="000000"/>
              <w:right w:val="single" w:sz="12" w:space="0" w:color="000000"/>
            </w:tcBorders>
            <w:hideMark/>
          </w:tcPr>
          <w:p w:rsidR="0054499C" w:rsidRPr="00852E57" w:rsidRDefault="0054499C" w:rsidP="0054499C">
            <w:pPr>
              <w:jc w:val="center"/>
              <w:rPr>
                <w:rFonts w:ascii="Calibri" w:hAnsi="Calibri"/>
                <w:sz w:val="20"/>
                <w:szCs w:val="20"/>
              </w:rPr>
            </w:pPr>
            <w:r w:rsidRPr="00852E57">
              <w:rPr>
                <w:rFonts w:ascii="Calibri" w:hAnsi="Calibri"/>
                <w:b/>
                <w:bCs/>
                <w:sz w:val="20"/>
                <w:szCs w:val="20"/>
              </w:rPr>
              <w:t>41,23</w:t>
            </w:r>
          </w:p>
        </w:tc>
      </w:tr>
      <w:tr w:rsidR="0054499C" w:rsidRPr="00852E57" w:rsidTr="0054499C">
        <w:trPr>
          <w:trHeight w:hRule="exact" w:val="340"/>
          <w:tblCellSpacing w:w="0" w:type="dxa"/>
        </w:trPr>
        <w:tc>
          <w:tcPr>
            <w:tcW w:w="685" w:type="dxa"/>
            <w:tcBorders>
              <w:top w:val="single" w:sz="6" w:space="0" w:color="000000"/>
              <w:left w:val="single" w:sz="12" w:space="0" w:color="000000"/>
              <w:bottom w:val="single" w:sz="6" w:space="0" w:color="000000"/>
              <w:right w:val="single" w:sz="6" w:space="0" w:color="000000"/>
            </w:tcBorders>
            <w:hideMark/>
          </w:tcPr>
          <w:p w:rsidR="0054499C" w:rsidRPr="00852E57" w:rsidRDefault="0054499C" w:rsidP="0054499C">
            <w:pPr>
              <w:jc w:val="center"/>
              <w:rPr>
                <w:rFonts w:ascii="Calibri" w:hAnsi="Calibri"/>
                <w:sz w:val="20"/>
                <w:szCs w:val="20"/>
              </w:rPr>
            </w:pPr>
            <w:r w:rsidRPr="00852E57">
              <w:rPr>
                <w:rFonts w:ascii="Calibri" w:hAnsi="Calibri"/>
                <w:b/>
                <w:bCs/>
                <w:sz w:val="20"/>
                <w:szCs w:val="20"/>
              </w:rPr>
              <w:t>O3</w:t>
            </w:r>
          </w:p>
        </w:tc>
        <w:tc>
          <w:tcPr>
            <w:tcW w:w="2045" w:type="dxa"/>
            <w:tcBorders>
              <w:top w:val="single" w:sz="6" w:space="0" w:color="000000"/>
              <w:left w:val="single" w:sz="6" w:space="0" w:color="000000"/>
              <w:bottom w:val="single" w:sz="6" w:space="0" w:color="000000"/>
              <w:right w:val="single" w:sz="8" w:space="0" w:color="auto"/>
            </w:tcBorders>
            <w:hideMark/>
          </w:tcPr>
          <w:p w:rsidR="0054499C" w:rsidRPr="00852E57" w:rsidRDefault="0054499C" w:rsidP="0054499C">
            <w:pPr>
              <w:jc w:val="center"/>
              <w:rPr>
                <w:rFonts w:ascii="Calibri" w:hAnsi="Calibri"/>
                <w:sz w:val="20"/>
                <w:szCs w:val="20"/>
              </w:rPr>
            </w:pPr>
            <w:r w:rsidRPr="00852E57">
              <w:rPr>
                <w:rFonts w:ascii="Calibri" w:hAnsi="Calibri"/>
                <w:b/>
                <w:bCs/>
                <w:sz w:val="20"/>
                <w:szCs w:val="20"/>
              </w:rPr>
              <w:t>10,72*</w:t>
            </w:r>
          </w:p>
        </w:tc>
        <w:tc>
          <w:tcPr>
            <w:tcW w:w="932" w:type="dxa"/>
            <w:tcBorders>
              <w:top w:val="single" w:sz="6" w:space="0" w:color="000000"/>
              <w:left w:val="single" w:sz="12" w:space="0" w:color="000000"/>
              <w:bottom w:val="single" w:sz="6" w:space="0" w:color="000000"/>
              <w:right w:val="single" w:sz="6" w:space="0" w:color="000000"/>
            </w:tcBorders>
            <w:hideMark/>
          </w:tcPr>
          <w:p w:rsidR="0054499C" w:rsidRPr="00852E57" w:rsidRDefault="0054499C" w:rsidP="0054499C">
            <w:pPr>
              <w:jc w:val="center"/>
              <w:rPr>
                <w:rFonts w:ascii="Calibri" w:hAnsi="Calibri"/>
                <w:sz w:val="20"/>
                <w:szCs w:val="20"/>
              </w:rPr>
            </w:pPr>
            <w:r w:rsidRPr="00852E57">
              <w:rPr>
                <w:rFonts w:ascii="Calibri" w:hAnsi="Calibri"/>
                <w:b/>
                <w:bCs/>
                <w:sz w:val="20"/>
                <w:szCs w:val="20"/>
              </w:rPr>
              <w:t>O3</w:t>
            </w:r>
          </w:p>
        </w:tc>
        <w:tc>
          <w:tcPr>
            <w:tcW w:w="2160" w:type="dxa"/>
            <w:tcBorders>
              <w:top w:val="single" w:sz="6" w:space="0" w:color="000000"/>
              <w:left w:val="single" w:sz="6" w:space="0" w:color="000000"/>
              <w:bottom w:val="single" w:sz="6" w:space="0" w:color="000000"/>
              <w:right w:val="single" w:sz="8" w:space="0" w:color="auto"/>
            </w:tcBorders>
            <w:hideMark/>
          </w:tcPr>
          <w:p w:rsidR="0054499C" w:rsidRPr="00852E57" w:rsidRDefault="0054499C" w:rsidP="0054499C">
            <w:pPr>
              <w:jc w:val="center"/>
              <w:rPr>
                <w:rFonts w:ascii="Calibri" w:hAnsi="Calibri"/>
                <w:sz w:val="20"/>
                <w:szCs w:val="20"/>
              </w:rPr>
            </w:pPr>
            <w:r w:rsidRPr="00852E57">
              <w:rPr>
                <w:rFonts w:ascii="Calibri" w:hAnsi="Calibri"/>
                <w:b/>
                <w:bCs/>
                <w:sz w:val="20"/>
                <w:szCs w:val="20"/>
              </w:rPr>
              <w:t>23,64*</w:t>
            </w:r>
          </w:p>
        </w:tc>
        <w:tc>
          <w:tcPr>
            <w:tcW w:w="868" w:type="dxa"/>
            <w:tcBorders>
              <w:top w:val="single" w:sz="6" w:space="0" w:color="000000"/>
              <w:left w:val="single" w:sz="12" w:space="0" w:color="000000"/>
              <w:bottom w:val="single" w:sz="6" w:space="0" w:color="000000"/>
              <w:right w:val="single" w:sz="6" w:space="0" w:color="000000"/>
            </w:tcBorders>
            <w:hideMark/>
          </w:tcPr>
          <w:p w:rsidR="0054499C" w:rsidRPr="00852E57" w:rsidRDefault="0054499C" w:rsidP="0054499C">
            <w:pPr>
              <w:jc w:val="center"/>
              <w:rPr>
                <w:rFonts w:ascii="Calibri" w:hAnsi="Calibri"/>
                <w:sz w:val="20"/>
                <w:szCs w:val="20"/>
              </w:rPr>
            </w:pPr>
            <w:r w:rsidRPr="00852E57">
              <w:rPr>
                <w:rFonts w:ascii="Calibri" w:hAnsi="Calibri"/>
                <w:b/>
                <w:bCs/>
                <w:sz w:val="20"/>
                <w:szCs w:val="20"/>
              </w:rPr>
              <w:t>O3</w:t>
            </w:r>
          </w:p>
        </w:tc>
        <w:tc>
          <w:tcPr>
            <w:tcW w:w="2407" w:type="dxa"/>
            <w:tcBorders>
              <w:top w:val="single" w:sz="6" w:space="0" w:color="000000"/>
              <w:left w:val="single" w:sz="6" w:space="0" w:color="000000"/>
              <w:bottom w:val="single" w:sz="6" w:space="0" w:color="000000"/>
              <w:right w:val="single" w:sz="12" w:space="0" w:color="000000"/>
            </w:tcBorders>
            <w:hideMark/>
          </w:tcPr>
          <w:p w:rsidR="0054499C" w:rsidRPr="00852E57" w:rsidRDefault="0054499C" w:rsidP="0054499C">
            <w:pPr>
              <w:jc w:val="center"/>
              <w:rPr>
                <w:rFonts w:ascii="Calibri" w:hAnsi="Calibri"/>
                <w:sz w:val="20"/>
                <w:szCs w:val="20"/>
              </w:rPr>
            </w:pPr>
            <w:r w:rsidRPr="00852E57">
              <w:rPr>
                <w:rFonts w:ascii="Calibri" w:hAnsi="Calibri"/>
                <w:b/>
                <w:bCs/>
                <w:sz w:val="20"/>
                <w:szCs w:val="20"/>
              </w:rPr>
              <w:t>35,32</w:t>
            </w:r>
          </w:p>
        </w:tc>
      </w:tr>
      <w:tr w:rsidR="0054499C" w:rsidRPr="00852E57" w:rsidTr="0054499C">
        <w:trPr>
          <w:trHeight w:hRule="exact" w:val="340"/>
          <w:tblCellSpacing w:w="0" w:type="dxa"/>
        </w:trPr>
        <w:tc>
          <w:tcPr>
            <w:tcW w:w="685" w:type="dxa"/>
            <w:tcBorders>
              <w:top w:val="single" w:sz="6" w:space="0" w:color="000000"/>
              <w:left w:val="single" w:sz="12" w:space="0" w:color="000000"/>
              <w:bottom w:val="single" w:sz="6" w:space="0" w:color="000000"/>
              <w:right w:val="single" w:sz="6" w:space="0" w:color="000000"/>
            </w:tcBorders>
            <w:hideMark/>
          </w:tcPr>
          <w:p w:rsidR="0054499C" w:rsidRPr="00852E57" w:rsidRDefault="0054499C" w:rsidP="0054499C">
            <w:pPr>
              <w:jc w:val="center"/>
              <w:rPr>
                <w:rFonts w:ascii="Calibri" w:hAnsi="Calibri"/>
                <w:sz w:val="20"/>
                <w:szCs w:val="20"/>
              </w:rPr>
            </w:pPr>
            <w:r w:rsidRPr="00852E57">
              <w:rPr>
                <w:rFonts w:ascii="Calibri" w:hAnsi="Calibri"/>
                <w:b/>
                <w:bCs/>
                <w:sz w:val="20"/>
                <w:szCs w:val="20"/>
              </w:rPr>
              <w:t>O4/1</w:t>
            </w:r>
          </w:p>
        </w:tc>
        <w:tc>
          <w:tcPr>
            <w:tcW w:w="2045" w:type="dxa"/>
            <w:tcBorders>
              <w:top w:val="single" w:sz="6" w:space="0" w:color="000000"/>
              <w:left w:val="single" w:sz="6" w:space="0" w:color="000000"/>
              <w:bottom w:val="single" w:sz="6" w:space="0" w:color="000000"/>
              <w:right w:val="single" w:sz="8" w:space="0" w:color="auto"/>
            </w:tcBorders>
            <w:hideMark/>
          </w:tcPr>
          <w:p w:rsidR="0054499C" w:rsidRPr="00852E57" w:rsidRDefault="0054499C" w:rsidP="0054499C">
            <w:pPr>
              <w:jc w:val="center"/>
              <w:rPr>
                <w:rFonts w:ascii="Calibri" w:hAnsi="Calibri"/>
                <w:sz w:val="20"/>
                <w:szCs w:val="20"/>
              </w:rPr>
            </w:pPr>
            <w:r w:rsidRPr="00852E57">
              <w:rPr>
                <w:rFonts w:ascii="Calibri" w:hAnsi="Calibri"/>
                <w:b/>
                <w:bCs/>
                <w:sz w:val="20"/>
                <w:szCs w:val="20"/>
              </w:rPr>
              <w:t>21,23*</w:t>
            </w:r>
          </w:p>
        </w:tc>
        <w:tc>
          <w:tcPr>
            <w:tcW w:w="932" w:type="dxa"/>
            <w:tcBorders>
              <w:top w:val="single" w:sz="6" w:space="0" w:color="000000"/>
              <w:left w:val="single" w:sz="12" w:space="0" w:color="000000"/>
              <w:bottom w:val="single" w:sz="6" w:space="0" w:color="000000"/>
              <w:right w:val="single" w:sz="6" w:space="0" w:color="000000"/>
            </w:tcBorders>
            <w:hideMark/>
          </w:tcPr>
          <w:p w:rsidR="0054499C" w:rsidRPr="00852E57" w:rsidRDefault="0054499C" w:rsidP="0054499C">
            <w:pPr>
              <w:jc w:val="center"/>
              <w:rPr>
                <w:rFonts w:ascii="Calibri" w:hAnsi="Calibri"/>
                <w:sz w:val="20"/>
                <w:szCs w:val="20"/>
              </w:rPr>
            </w:pPr>
            <w:r w:rsidRPr="00852E57">
              <w:rPr>
                <w:rFonts w:ascii="Calibri" w:hAnsi="Calibri"/>
                <w:b/>
                <w:bCs/>
                <w:sz w:val="20"/>
                <w:szCs w:val="20"/>
              </w:rPr>
              <w:t>O4/1</w:t>
            </w:r>
          </w:p>
        </w:tc>
        <w:tc>
          <w:tcPr>
            <w:tcW w:w="2160" w:type="dxa"/>
            <w:tcBorders>
              <w:top w:val="single" w:sz="6" w:space="0" w:color="000000"/>
              <w:left w:val="single" w:sz="6" w:space="0" w:color="000000"/>
              <w:bottom w:val="single" w:sz="6" w:space="0" w:color="000000"/>
              <w:right w:val="single" w:sz="8" w:space="0" w:color="auto"/>
            </w:tcBorders>
            <w:hideMark/>
          </w:tcPr>
          <w:p w:rsidR="0054499C" w:rsidRPr="00852E57" w:rsidRDefault="0054499C" w:rsidP="0054499C">
            <w:pPr>
              <w:jc w:val="center"/>
              <w:rPr>
                <w:rFonts w:ascii="Calibri" w:hAnsi="Calibri"/>
                <w:sz w:val="20"/>
                <w:szCs w:val="20"/>
              </w:rPr>
            </w:pPr>
            <w:r w:rsidRPr="00852E57">
              <w:rPr>
                <w:rFonts w:ascii="Calibri" w:hAnsi="Calibri"/>
                <w:b/>
                <w:bCs/>
                <w:sz w:val="20"/>
                <w:szCs w:val="20"/>
              </w:rPr>
              <w:t>46,84</w:t>
            </w:r>
          </w:p>
        </w:tc>
        <w:tc>
          <w:tcPr>
            <w:tcW w:w="868" w:type="dxa"/>
            <w:tcBorders>
              <w:top w:val="single" w:sz="6" w:space="0" w:color="000000"/>
              <w:left w:val="single" w:sz="12" w:space="0" w:color="000000"/>
              <w:bottom w:val="single" w:sz="6" w:space="0" w:color="000000"/>
              <w:right w:val="single" w:sz="6" w:space="0" w:color="000000"/>
            </w:tcBorders>
            <w:hideMark/>
          </w:tcPr>
          <w:p w:rsidR="0054499C" w:rsidRPr="00852E57" w:rsidRDefault="0054499C" w:rsidP="0054499C">
            <w:pPr>
              <w:jc w:val="center"/>
              <w:rPr>
                <w:rFonts w:ascii="Calibri" w:hAnsi="Calibri"/>
                <w:sz w:val="20"/>
                <w:szCs w:val="20"/>
              </w:rPr>
            </w:pPr>
            <w:r w:rsidRPr="00852E57">
              <w:rPr>
                <w:rFonts w:ascii="Calibri" w:hAnsi="Calibri"/>
                <w:b/>
                <w:bCs/>
                <w:sz w:val="20"/>
                <w:szCs w:val="20"/>
              </w:rPr>
              <w:t>O4/1</w:t>
            </w:r>
          </w:p>
        </w:tc>
        <w:tc>
          <w:tcPr>
            <w:tcW w:w="2407" w:type="dxa"/>
            <w:tcBorders>
              <w:top w:val="single" w:sz="6" w:space="0" w:color="000000"/>
              <w:left w:val="single" w:sz="6" w:space="0" w:color="000000"/>
              <w:bottom w:val="single" w:sz="6" w:space="0" w:color="000000"/>
              <w:right w:val="single" w:sz="12" w:space="0" w:color="000000"/>
            </w:tcBorders>
            <w:hideMark/>
          </w:tcPr>
          <w:p w:rsidR="0054499C" w:rsidRPr="00852E57" w:rsidRDefault="0054499C" w:rsidP="0054499C">
            <w:pPr>
              <w:jc w:val="center"/>
              <w:rPr>
                <w:rFonts w:ascii="Calibri" w:hAnsi="Calibri"/>
                <w:sz w:val="20"/>
                <w:szCs w:val="20"/>
              </w:rPr>
            </w:pPr>
            <w:r w:rsidRPr="00852E57">
              <w:rPr>
                <w:rFonts w:ascii="Calibri" w:hAnsi="Calibri"/>
                <w:b/>
                <w:bCs/>
                <w:sz w:val="20"/>
                <w:szCs w:val="20"/>
              </w:rPr>
              <w:t>69,97</w:t>
            </w:r>
          </w:p>
        </w:tc>
      </w:tr>
      <w:tr w:rsidR="0054499C" w:rsidRPr="00852E57" w:rsidTr="0054499C">
        <w:trPr>
          <w:trHeight w:hRule="exact" w:val="340"/>
          <w:tblCellSpacing w:w="0" w:type="dxa"/>
        </w:trPr>
        <w:tc>
          <w:tcPr>
            <w:tcW w:w="685" w:type="dxa"/>
            <w:tcBorders>
              <w:top w:val="single" w:sz="6" w:space="0" w:color="000000"/>
              <w:left w:val="single" w:sz="12" w:space="0" w:color="000000"/>
              <w:bottom w:val="single" w:sz="6" w:space="0" w:color="000000"/>
              <w:right w:val="single" w:sz="6" w:space="0" w:color="000000"/>
            </w:tcBorders>
            <w:hideMark/>
          </w:tcPr>
          <w:p w:rsidR="0054499C" w:rsidRPr="00852E57" w:rsidRDefault="0054499C" w:rsidP="0054499C">
            <w:pPr>
              <w:jc w:val="center"/>
              <w:rPr>
                <w:rFonts w:ascii="Calibri" w:hAnsi="Calibri"/>
                <w:sz w:val="20"/>
                <w:szCs w:val="20"/>
              </w:rPr>
            </w:pPr>
            <w:r w:rsidRPr="00852E57">
              <w:rPr>
                <w:rFonts w:ascii="Calibri" w:hAnsi="Calibri"/>
                <w:b/>
                <w:bCs/>
                <w:sz w:val="20"/>
                <w:szCs w:val="20"/>
              </w:rPr>
              <w:t>O4/2</w:t>
            </w:r>
          </w:p>
        </w:tc>
        <w:tc>
          <w:tcPr>
            <w:tcW w:w="2045" w:type="dxa"/>
            <w:tcBorders>
              <w:top w:val="single" w:sz="6" w:space="0" w:color="000000"/>
              <w:left w:val="single" w:sz="6" w:space="0" w:color="000000"/>
              <w:bottom w:val="single" w:sz="6" w:space="0" w:color="000000"/>
              <w:right w:val="single" w:sz="8" w:space="0" w:color="auto"/>
            </w:tcBorders>
            <w:hideMark/>
          </w:tcPr>
          <w:p w:rsidR="0054499C" w:rsidRPr="00852E57" w:rsidRDefault="0054499C" w:rsidP="0054499C">
            <w:pPr>
              <w:jc w:val="center"/>
              <w:rPr>
                <w:rFonts w:ascii="Calibri" w:hAnsi="Calibri"/>
                <w:sz w:val="20"/>
                <w:szCs w:val="20"/>
              </w:rPr>
            </w:pPr>
            <w:r w:rsidRPr="00852E57">
              <w:rPr>
                <w:rFonts w:ascii="Calibri" w:hAnsi="Calibri"/>
                <w:b/>
                <w:bCs/>
                <w:sz w:val="20"/>
                <w:szCs w:val="20"/>
              </w:rPr>
              <w:t>22,18*</w:t>
            </w:r>
          </w:p>
        </w:tc>
        <w:tc>
          <w:tcPr>
            <w:tcW w:w="932" w:type="dxa"/>
            <w:tcBorders>
              <w:top w:val="single" w:sz="6" w:space="0" w:color="000000"/>
              <w:left w:val="single" w:sz="12" w:space="0" w:color="000000"/>
              <w:bottom w:val="single" w:sz="6" w:space="0" w:color="000000"/>
              <w:right w:val="single" w:sz="6" w:space="0" w:color="000000"/>
            </w:tcBorders>
            <w:hideMark/>
          </w:tcPr>
          <w:p w:rsidR="0054499C" w:rsidRPr="00852E57" w:rsidRDefault="0054499C" w:rsidP="0054499C">
            <w:pPr>
              <w:jc w:val="center"/>
              <w:rPr>
                <w:rFonts w:ascii="Calibri" w:hAnsi="Calibri"/>
                <w:sz w:val="20"/>
                <w:szCs w:val="20"/>
              </w:rPr>
            </w:pPr>
            <w:r w:rsidRPr="00852E57">
              <w:rPr>
                <w:rFonts w:ascii="Calibri" w:hAnsi="Calibri"/>
                <w:b/>
                <w:bCs/>
                <w:sz w:val="20"/>
                <w:szCs w:val="20"/>
              </w:rPr>
              <w:t>O4/2</w:t>
            </w:r>
          </w:p>
        </w:tc>
        <w:tc>
          <w:tcPr>
            <w:tcW w:w="2160" w:type="dxa"/>
            <w:tcBorders>
              <w:top w:val="single" w:sz="6" w:space="0" w:color="000000"/>
              <w:left w:val="single" w:sz="6" w:space="0" w:color="000000"/>
              <w:bottom w:val="single" w:sz="6" w:space="0" w:color="000000"/>
              <w:right w:val="single" w:sz="8" w:space="0" w:color="auto"/>
            </w:tcBorders>
            <w:hideMark/>
          </w:tcPr>
          <w:p w:rsidR="0054499C" w:rsidRPr="00852E57" w:rsidRDefault="0054499C" w:rsidP="0054499C">
            <w:pPr>
              <w:jc w:val="center"/>
              <w:rPr>
                <w:rFonts w:ascii="Calibri" w:hAnsi="Calibri"/>
                <w:sz w:val="20"/>
                <w:szCs w:val="20"/>
              </w:rPr>
            </w:pPr>
            <w:r w:rsidRPr="00852E57">
              <w:rPr>
                <w:rFonts w:ascii="Calibri" w:hAnsi="Calibri"/>
                <w:b/>
                <w:bCs/>
                <w:sz w:val="20"/>
                <w:szCs w:val="20"/>
              </w:rPr>
              <w:t>48,94</w:t>
            </w:r>
          </w:p>
        </w:tc>
        <w:tc>
          <w:tcPr>
            <w:tcW w:w="868" w:type="dxa"/>
            <w:tcBorders>
              <w:top w:val="single" w:sz="6" w:space="0" w:color="000000"/>
              <w:left w:val="single" w:sz="12" w:space="0" w:color="000000"/>
              <w:bottom w:val="single" w:sz="6" w:space="0" w:color="000000"/>
              <w:right w:val="single" w:sz="6" w:space="0" w:color="000000"/>
            </w:tcBorders>
            <w:hideMark/>
          </w:tcPr>
          <w:p w:rsidR="0054499C" w:rsidRPr="00852E57" w:rsidRDefault="0054499C" w:rsidP="0054499C">
            <w:pPr>
              <w:jc w:val="center"/>
              <w:rPr>
                <w:rFonts w:ascii="Calibri" w:hAnsi="Calibri"/>
                <w:sz w:val="20"/>
                <w:szCs w:val="20"/>
              </w:rPr>
            </w:pPr>
            <w:r w:rsidRPr="00852E57">
              <w:rPr>
                <w:rFonts w:ascii="Calibri" w:hAnsi="Calibri"/>
                <w:b/>
                <w:bCs/>
                <w:sz w:val="20"/>
                <w:szCs w:val="20"/>
              </w:rPr>
              <w:t>O4/2</w:t>
            </w:r>
          </w:p>
        </w:tc>
        <w:tc>
          <w:tcPr>
            <w:tcW w:w="2407" w:type="dxa"/>
            <w:tcBorders>
              <w:top w:val="single" w:sz="6" w:space="0" w:color="000000"/>
              <w:left w:val="single" w:sz="6" w:space="0" w:color="000000"/>
              <w:bottom w:val="single" w:sz="6" w:space="0" w:color="000000"/>
              <w:right w:val="single" w:sz="12" w:space="0" w:color="000000"/>
            </w:tcBorders>
            <w:hideMark/>
          </w:tcPr>
          <w:p w:rsidR="0054499C" w:rsidRPr="00852E57" w:rsidRDefault="0054499C" w:rsidP="0054499C">
            <w:pPr>
              <w:jc w:val="center"/>
              <w:rPr>
                <w:rFonts w:ascii="Calibri" w:hAnsi="Calibri"/>
                <w:sz w:val="20"/>
                <w:szCs w:val="20"/>
              </w:rPr>
            </w:pPr>
            <w:r w:rsidRPr="00852E57">
              <w:rPr>
                <w:rFonts w:ascii="Calibri" w:hAnsi="Calibri"/>
                <w:b/>
                <w:bCs/>
                <w:sz w:val="20"/>
                <w:szCs w:val="20"/>
              </w:rPr>
              <w:t>73,12</w:t>
            </w:r>
          </w:p>
        </w:tc>
      </w:tr>
      <w:tr w:rsidR="0054499C" w:rsidRPr="00852E57" w:rsidTr="0054499C">
        <w:trPr>
          <w:trHeight w:hRule="exact" w:val="340"/>
          <w:tblCellSpacing w:w="0" w:type="dxa"/>
        </w:trPr>
        <w:tc>
          <w:tcPr>
            <w:tcW w:w="685" w:type="dxa"/>
            <w:tcBorders>
              <w:top w:val="single" w:sz="6" w:space="0" w:color="000000"/>
              <w:left w:val="single" w:sz="12" w:space="0" w:color="000000"/>
              <w:bottom w:val="single" w:sz="12" w:space="0" w:color="000000"/>
              <w:right w:val="single" w:sz="6" w:space="0" w:color="000000"/>
            </w:tcBorders>
            <w:hideMark/>
          </w:tcPr>
          <w:p w:rsidR="0054499C" w:rsidRPr="00852E57" w:rsidRDefault="0054499C" w:rsidP="0054499C">
            <w:pPr>
              <w:jc w:val="center"/>
              <w:rPr>
                <w:rFonts w:ascii="Calibri" w:hAnsi="Calibri"/>
                <w:sz w:val="20"/>
                <w:szCs w:val="20"/>
              </w:rPr>
            </w:pPr>
            <w:r w:rsidRPr="00852E57">
              <w:rPr>
                <w:rFonts w:ascii="Calibri" w:hAnsi="Calibri"/>
                <w:b/>
                <w:bCs/>
                <w:sz w:val="20"/>
                <w:szCs w:val="20"/>
              </w:rPr>
              <w:t>O4/3</w:t>
            </w:r>
          </w:p>
        </w:tc>
        <w:tc>
          <w:tcPr>
            <w:tcW w:w="2045" w:type="dxa"/>
            <w:tcBorders>
              <w:top w:val="single" w:sz="6" w:space="0" w:color="000000"/>
              <w:left w:val="single" w:sz="6" w:space="0" w:color="000000"/>
              <w:bottom w:val="single" w:sz="12" w:space="0" w:color="000000"/>
              <w:right w:val="single" w:sz="8" w:space="0" w:color="auto"/>
            </w:tcBorders>
            <w:hideMark/>
          </w:tcPr>
          <w:p w:rsidR="0054499C" w:rsidRPr="00852E57" w:rsidRDefault="0054499C" w:rsidP="0054499C">
            <w:pPr>
              <w:jc w:val="center"/>
              <w:rPr>
                <w:rFonts w:ascii="Calibri" w:hAnsi="Calibri"/>
                <w:sz w:val="20"/>
                <w:szCs w:val="20"/>
              </w:rPr>
            </w:pPr>
            <w:r w:rsidRPr="00852E57">
              <w:rPr>
                <w:rFonts w:ascii="Calibri" w:hAnsi="Calibri"/>
                <w:b/>
                <w:bCs/>
                <w:sz w:val="20"/>
                <w:szCs w:val="20"/>
              </w:rPr>
              <w:t>17,05*</w:t>
            </w:r>
          </w:p>
        </w:tc>
        <w:tc>
          <w:tcPr>
            <w:tcW w:w="932" w:type="dxa"/>
            <w:tcBorders>
              <w:top w:val="single" w:sz="6" w:space="0" w:color="000000"/>
              <w:left w:val="single" w:sz="12" w:space="0" w:color="000000"/>
              <w:bottom w:val="single" w:sz="12" w:space="0" w:color="000000"/>
              <w:right w:val="single" w:sz="6" w:space="0" w:color="000000"/>
            </w:tcBorders>
            <w:hideMark/>
          </w:tcPr>
          <w:p w:rsidR="0054499C" w:rsidRPr="00852E57" w:rsidRDefault="0054499C" w:rsidP="0054499C">
            <w:pPr>
              <w:jc w:val="center"/>
              <w:rPr>
                <w:rFonts w:ascii="Calibri" w:hAnsi="Calibri"/>
                <w:sz w:val="20"/>
                <w:szCs w:val="20"/>
              </w:rPr>
            </w:pPr>
            <w:r w:rsidRPr="00852E57">
              <w:rPr>
                <w:rFonts w:ascii="Calibri" w:hAnsi="Calibri"/>
                <w:b/>
                <w:bCs/>
                <w:sz w:val="20"/>
                <w:szCs w:val="20"/>
              </w:rPr>
              <w:t>O4/3</w:t>
            </w:r>
          </w:p>
        </w:tc>
        <w:tc>
          <w:tcPr>
            <w:tcW w:w="2160" w:type="dxa"/>
            <w:tcBorders>
              <w:top w:val="single" w:sz="6" w:space="0" w:color="000000"/>
              <w:left w:val="single" w:sz="6" w:space="0" w:color="000000"/>
              <w:bottom w:val="single" w:sz="12" w:space="0" w:color="000000"/>
              <w:right w:val="single" w:sz="8" w:space="0" w:color="auto"/>
            </w:tcBorders>
            <w:hideMark/>
          </w:tcPr>
          <w:p w:rsidR="0054499C" w:rsidRPr="00852E57" w:rsidRDefault="0054499C" w:rsidP="0054499C">
            <w:pPr>
              <w:jc w:val="center"/>
              <w:rPr>
                <w:rFonts w:ascii="Calibri" w:hAnsi="Calibri"/>
                <w:sz w:val="20"/>
                <w:szCs w:val="20"/>
              </w:rPr>
            </w:pPr>
            <w:r w:rsidRPr="00852E57">
              <w:rPr>
                <w:rFonts w:ascii="Calibri" w:hAnsi="Calibri"/>
                <w:b/>
                <w:bCs/>
                <w:sz w:val="20"/>
                <w:szCs w:val="20"/>
              </w:rPr>
              <w:t>37,61</w:t>
            </w:r>
          </w:p>
        </w:tc>
        <w:tc>
          <w:tcPr>
            <w:tcW w:w="868" w:type="dxa"/>
            <w:tcBorders>
              <w:top w:val="single" w:sz="6" w:space="0" w:color="000000"/>
              <w:left w:val="single" w:sz="12" w:space="0" w:color="000000"/>
              <w:bottom w:val="single" w:sz="12" w:space="0" w:color="000000"/>
              <w:right w:val="single" w:sz="6" w:space="0" w:color="000000"/>
            </w:tcBorders>
            <w:hideMark/>
          </w:tcPr>
          <w:p w:rsidR="0054499C" w:rsidRPr="00852E57" w:rsidRDefault="0054499C" w:rsidP="0054499C">
            <w:pPr>
              <w:jc w:val="center"/>
              <w:rPr>
                <w:rFonts w:ascii="Calibri" w:hAnsi="Calibri"/>
                <w:sz w:val="20"/>
                <w:szCs w:val="20"/>
              </w:rPr>
            </w:pPr>
            <w:r w:rsidRPr="00852E57">
              <w:rPr>
                <w:rFonts w:ascii="Calibri" w:hAnsi="Calibri"/>
                <w:b/>
                <w:bCs/>
                <w:sz w:val="20"/>
                <w:szCs w:val="20"/>
              </w:rPr>
              <w:t>O4/3</w:t>
            </w:r>
          </w:p>
        </w:tc>
        <w:tc>
          <w:tcPr>
            <w:tcW w:w="2407" w:type="dxa"/>
            <w:tcBorders>
              <w:top w:val="single" w:sz="6" w:space="0" w:color="000000"/>
              <w:left w:val="single" w:sz="6" w:space="0" w:color="000000"/>
              <w:bottom w:val="single" w:sz="12" w:space="0" w:color="000000"/>
              <w:right w:val="single" w:sz="12" w:space="0" w:color="000000"/>
            </w:tcBorders>
            <w:hideMark/>
          </w:tcPr>
          <w:p w:rsidR="0054499C" w:rsidRPr="00852E57" w:rsidRDefault="0054499C" w:rsidP="0054499C">
            <w:pPr>
              <w:jc w:val="center"/>
              <w:rPr>
                <w:rFonts w:ascii="Calibri" w:hAnsi="Calibri"/>
                <w:sz w:val="20"/>
                <w:szCs w:val="20"/>
              </w:rPr>
            </w:pPr>
            <w:r w:rsidRPr="00852E57">
              <w:rPr>
                <w:rFonts w:ascii="Calibri" w:hAnsi="Calibri"/>
                <w:b/>
                <w:bCs/>
                <w:sz w:val="20"/>
                <w:szCs w:val="20"/>
              </w:rPr>
              <w:t>56,19</w:t>
            </w:r>
          </w:p>
        </w:tc>
      </w:tr>
    </w:tbl>
    <w:p w:rsidR="0054499C" w:rsidRPr="00852E57" w:rsidRDefault="0054499C" w:rsidP="0054499C">
      <w:pPr>
        <w:rPr>
          <w:rFonts w:ascii="Calibri" w:hAnsi="Calibri"/>
          <w:b/>
          <w:sz w:val="18"/>
          <w:szCs w:val="18"/>
        </w:rPr>
      </w:pPr>
      <w:r w:rsidRPr="00852E57">
        <w:rPr>
          <w:rFonts w:ascii="Calibri" w:hAnsi="Calibri"/>
          <w:b/>
          <w:sz w:val="18"/>
          <w:szCs w:val="18"/>
        </w:rPr>
        <w:t xml:space="preserve">* </w:t>
      </w:r>
      <w:r w:rsidRPr="00852E57">
        <w:rPr>
          <w:rFonts w:ascii="Calibri" w:hAnsi="Calibri"/>
          <w:i/>
          <w:sz w:val="18"/>
          <w:szCs w:val="18"/>
        </w:rPr>
        <w:t>minimálna priemerná platba je 25 €/ha (podľa prílohy II nariadenia EÚ č.1305/2013)</w:t>
      </w:r>
    </w:p>
    <w:p w:rsidR="0054499C" w:rsidRPr="00852E57" w:rsidRDefault="0054499C" w:rsidP="0054499C">
      <w:pPr>
        <w:rPr>
          <w:rFonts w:ascii="Calibri" w:hAnsi="Calibri"/>
          <w:b/>
          <w:bCs/>
          <w:szCs w:val="20"/>
        </w:rPr>
      </w:pPr>
    </w:p>
    <w:p w:rsidR="0054499C" w:rsidRPr="00852E57" w:rsidRDefault="0054499C" w:rsidP="0054499C">
      <w:pPr>
        <w:rPr>
          <w:rFonts w:ascii="Calibri" w:hAnsi="Calibri"/>
          <w:b/>
          <w:bCs/>
          <w:szCs w:val="20"/>
        </w:rPr>
      </w:pPr>
    </w:p>
    <w:p w:rsidR="0054499C" w:rsidRPr="00852E57" w:rsidRDefault="0054499C" w:rsidP="0054499C">
      <w:pPr>
        <w:rPr>
          <w:rFonts w:ascii="Calibri" w:hAnsi="Calibri"/>
          <w:b/>
          <w:bCs/>
          <w:szCs w:val="20"/>
        </w:rPr>
      </w:pPr>
      <w:r w:rsidRPr="00852E57">
        <w:rPr>
          <w:rFonts w:ascii="Calibri" w:hAnsi="Calibri"/>
          <w:b/>
          <w:bCs/>
          <w:szCs w:val="20"/>
        </w:rPr>
        <w:t xml:space="preserve">Degresivita platieb podľa veľkosti podniku </w:t>
      </w:r>
      <w:r w:rsidRPr="00852E57">
        <w:rPr>
          <w:rFonts w:ascii="Calibri" w:hAnsi="Calibri"/>
          <w:bCs/>
          <w:szCs w:val="20"/>
        </w:rPr>
        <w:t>(čl.32 bod 4 nariadenia (EÚ)</w:t>
      </w:r>
      <w:r w:rsidRPr="00852E57">
        <w:rPr>
          <w:rFonts w:ascii="Calibri" w:hAnsi="Calibri"/>
          <w:szCs w:val="20"/>
        </w:rPr>
        <w:t xml:space="preserve"> č. 130</w:t>
      </w:r>
      <w:r>
        <w:rPr>
          <w:rFonts w:ascii="Calibri" w:hAnsi="Calibri"/>
          <w:szCs w:val="20"/>
        </w:rPr>
        <w:t>5</w:t>
      </w:r>
      <w:r w:rsidRPr="00852E57">
        <w:rPr>
          <w:rFonts w:ascii="Calibri" w:hAnsi="Calibri"/>
          <w:szCs w:val="20"/>
        </w:rPr>
        <w:t>/2013)</w:t>
      </w:r>
    </w:p>
    <w:tbl>
      <w:tblPr>
        <w:tblpPr w:leftFromText="141" w:rightFromText="141" w:vertAnchor="text" w:horzAnchor="margin" w:tblpXSpec="center" w:tblpY="90"/>
        <w:tblW w:w="7310" w:type="dxa"/>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330"/>
        <w:gridCol w:w="2980"/>
      </w:tblGrid>
      <w:tr w:rsidR="0054499C" w:rsidRPr="00852E57" w:rsidTr="0054499C">
        <w:trPr>
          <w:trHeight w:hRule="exact" w:val="331"/>
          <w:tblCellSpacing w:w="0" w:type="dxa"/>
        </w:trPr>
        <w:tc>
          <w:tcPr>
            <w:tcW w:w="4330" w:type="dxa"/>
            <w:tcBorders>
              <w:top w:val="single" w:sz="4" w:space="0" w:color="auto"/>
              <w:left w:val="single" w:sz="4" w:space="0" w:color="auto"/>
              <w:bottom w:val="single" w:sz="4" w:space="0" w:color="auto"/>
              <w:right w:val="single" w:sz="4" w:space="0" w:color="auto"/>
            </w:tcBorders>
            <w:shd w:val="clear" w:color="auto" w:fill="F2DBDB" w:themeFill="accent2" w:themeFillTint="33"/>
            <w:hideMark/>
          </w:tcPr>
          <w:p w:rsidR="0054499C" w:rsidRPr="00852E57" w:rsidRDefault="0054499C" w:rsidP="0054499C">
            <w:pPr>
              <w:jc w:val="center"/>
              <w:rPr>
                <w:rFonts w:ascii="Calibri" w:hAnsi="Calibri"/>
                <w:b/>
                <w:bCs/>
                <w:sz w:val="20"/>
                <w:szCs w:val="20"/>
              </w:rPr>
            </w:pPr>
            <w:r w:rsidRPr="00852E57">
              <w:rPr>
                <w:rFonts w:ascii="Calibri" w:hAnsi="Calibri"/>
                <w:b/>
                <w:bCs/>
                <w:sz w:val="20"/>
                <w:szCs w:val="20"/>
              </w:rPr>
              <w:t>Výmera poľnohospodárskej pôdy</w:t>
            </w:r>
          </w:p>
        </w:tc>
        <w:tc>
          <w:tcPr>
            <w:tcW w:w="2980" w:type="dxa"/>
            <w:tcBorders>
              <w:top w:val="single" w:sz="4" w:space="0" w:color="auto"/>
              <w:left w:val="single" w:sz="4" w:space="0" w:color="auto"/>
              <w:bottom w:val="single" w:sz="4" w:space="0" w:color="auto"/>
              <w:right w:val="single" w:sz="4" w:space="0" w:color="auto"/>
            </w:tcBorders>
            <w:shd w:val="clear" w:color="auto" w:fill="F2DBDB" w:themeFill="accent2" w:themeFillTint="33"/>
            <w:hideMark/>
          </w:tcPr>
          <w:p w:rsidR="0054499C" w:rsidRPr="00852E57" w:rsidRDefault="0054499C" w:rsidP="0054499C">
            <w:pPr>
              <w:jc w:val="center"/>
              <w:rPr>
                <w:rFonts w:ascii="Calibri" w:hAnsi="Calibri"/>
                <w:b/>
                <w:bCs/>
                <w:sz w:val="20"/>
                <w:szCs w:val="20"/>
              </w:rPr>
            </w:pPr>
            <w:r w:rsidRPr="00852E57">
              <w:rPr>
                <w:rFonts w:ascii="Calibri" w:hAnsi="Calibri"/>
                <w:b/>
                <w:bCs/>
                <w:sz w:val="20"/>
                <w:szCs w:val="20"/>
              </w:rPr>
              <w:t>Výška platby</w:t>
            </w:r>
          </w:p>
        </w:tc>
      </w:tr>
      <w:tr w:rsidR="0054499C" w:rsidRPr="00852E57" w:rsidTr="0054499C">
        <w:trPr>
          <w:trHeight w:hRule="exact" w:val="331"/>
          <w:tblCellSpacing w:w="0" w:type="dxa"/>
        </w:trPr>
        <w:tc>
          <w:tcPr>
            <w:tcW w:w="4330" w:type="dxa"/>
            <w:tcBorders>
              <w:top w:val="single" w:sz="4" w:space="0" w:color="auto"/>
              <w:left w:val="single" w:sz="4" w:space="0" w:color="auto"/>
              <w:bottom w:val="single" w:sz="4" w:space="0" w:color="auto"/>
              <w:right w:val="single" w:sz="4" w:space="0" w:color="auto"/>
            </w:tcBorders>
            <w:hideMark/>
          </w:tcPr>
          <w:p w:rsidR="0054499C" w:rsidRPr="00852E57" w:rsidRDefault="0054499C" w:rsidP="0054499C">
            <w:pPr>
              <w:jc w:val="center"/>
              <w:rPr>
                <w:rFonts w:ascii="Calibri" w:hAnsi="Calibri"/>
                <w:b/>
                <w:bCs/>
                <w:sz w:val="20"/>
                <w:szCs w:val="20"/>
              </w:rPr>
            </w:pPr>
            <w:r w:rsidRPr="00852E57">
              <w:rPr>
                <w:rFonts w:ascii="Calibri" w:hAnsi="Calibri"/>
                <w:b/>
                <w:bCs/>
                <w:sz w:val="20"/>
                <w:szCs w:val="20"/>
              </w:rPr>
              <w:t>do 1020 ha</w:t>
            </w:r>
          </w:p>
        </w:tc>
        <w:tc>
          <w:tcPr>
            <w:tcW w:w="2980" w:type="dxa"/>
            <w:tcBorders>
              <w:top w:val="single" w:sz="4" w:space="0" w:color="auto"/>
              <w:left w:val="single" w:sz="4" w:space="0" w:color="auto"/>
              <w:bottom w:val="single" w:sz="4" w:space="0" w:color="auto"/>
              <w:right w:val="single" w:sz="4" w:space="0" w:color="auto"/>
            </w:tcBorders>
            <w:hideMark/>
          </w:tcPr>
          <w:p w:rsidR="0054499C" w:rsidRPr="00852E57" w:rsidRDefault="0054499C" w:rsidP="0054499C">
            <w:pPr>
              <w:jc w:val="center"/>
              <w:rPr>
                <w:rFonts w:ascii="Calibri" w:hAnsi="Calibri"/>
                <w:b/>
                <w:bCs/>
                <w:sz w:val="20"/>
                <w:szCs w:val="20"/>
              </w:rPr>
            </w:pPr>
            <w:r w:rsidRPr="00852E57">
              <w:rPr>
                <w:rFonts w:ascii="Calibri" w:hAnsi="Calibri"/>
                <w:b/>
                <w:bCs/>
                <w:sz w:val="20"/>
                <w:szCs w:val="20"/>
              </w:rPr>
              <w:t>100 %</w:t>
            </w:r>
          </w:p>
        </w:tc>
      </w:tr>
      <w:tr w:rsidR="0054499C" w:rsidRPr="00852E57" w:rsidTr="0054499C">
        <w:trPr>
          <w:trHeight w:hRule="exact" w:val="331"/>
          <w:tblCellSpacing w:w="0" w:type="dxa"/>
        </w:trPr>
        <w:tc>
          <w:tcPr>
            <w:tcW w:w="4330" w:type="dxa"/>
            <w:tcBorders>
              <w:top w:val="single" w:sz="4" w:space="0" w:color="auto"/>
              <w:left w:val="single" w:sz="4" w:space="0" w:color="auto"/>
              <w:bottom w:val="single" w:sz="4" w:space="0" w:color="auto"/>
              <w:right w:val="single" w:sz="4" w:space="0" w:color="auto"/>
            </w:tcBorders>
            <w:hideMark/>
          </w:tcPr>
          <w:p w:rsidR="0054499C" w:rsidRPr="00852E57" w:rsidRDefault="0054499C" w:rsidP="0054499C">
            <w:pPr>
              <w:jc w:val="center"/>
              <w:rPr>
                <w:rFonts w:ascii="Calibri" w:hAnsi="Calibri"/>
                <w:b/>
                <w:bCs/>
                <w:sz w:val="20"/>
                <w:szCs w:val="20"/>
              </w:rPr>
            </w:pPr>
            <w:r w:rsidRPr="00852E57">
              <w:rPr>
                <w:rFonts w:ascii="Calibri" w:hAnsi="Calibri"/>
                <w:b/>
                <w:bCs/>
                <w:sz w:val="20"/>
                <w:szCs w:val="20"/>
              </w:rPr>
              <w:t>od 1020 ha do 2040 ha</w:t>
            </w:r>
          </w:p>
        </w:tc>
        <w:tc>
          <w:tcPr>
            <w:tcW w:w="2980" w:type="dxa"/>
            <w:tcBorders>
              <w:top w:val="single" w:sz="4" w:space="0" w:color="auto"/>
              <w:left w:val="single" w:sz="4" w:space="0" w:color="auto"/>
              <w:bottom w:val="single" w:sz="4" w:space="0" w:color="auto"/>
              <w:right w:val="single" w:sz="4" w:space="0" w:color="auto"/>
            </w:tcBorders>
            <w:hideMark/>
          </w:tcPr>
          <w:p w:rsidR="0054499C" w:rsidRPr="00852E57" w:rsidRDefault="0054499C" w:rsidP="0054499C">
            <w:pPr>
              <w:jc w:val="center"/>
              <w:rPr>
                <w:rFonts w:ascii="Calibri" w:hAnsi="Calibri"/>
                <w:b/>
                <w:bCs/>
                <w:sz w:val="20"/>
                <w:szCs w:val="20"/>
              </w:rPr>
            </w:pPr>
            <w:r w:rsidRPr="00852E57">
              <w:rPr>
                <w:rFonts w:ascii="Calibri" w:hAnsi="Calibri"/>
                <w:b/>
                <w:bCs/>
                <w:sz w:val="20"/>
                <w:szCs w:val="20"/>
              </w:rPr>
              <w:t>89 %</w:t>
            </w:r>
          </w:p>
        </w:tc>
      </w:tr>
      <w:tr w:rsidR="0054499C" w:rsidRPr="00852E57" w:rsidTr="0054499C">
        <w:trPr>
          <w:trHeight w:hRule="exact" w:val="331"/>
          <w:tblCellSpacing w:w="0" w:type="dxa"/>
        </w:trPr>
        <w:tc>
          <w:tcPr>
            <w:tcW w:w="4330" w:type="dxa"/>
            <w:tcBorders>
              <w:top w:val="single" w:sz="4" w:space="0" w:color="auto"/>
              <w:left w:val="single" w:sz="4" w:space="0" w:color="auto"/>
              <w:bottom w:val="single" w:sz="4" w:space="0" w:color="auto"/>
              <w:right w:val="single" w:sz="4" w:space="0" w:color="auto"/>
            </w:tcBorders>
            <w:hideMark/>
          </w:tcPr>
          <w:p w:rsidR="0054499C" w:rsidRPr="00852E57" w:rsidRDefault="0054499C" w:rsidP="0054499C">
            <w:pPr>
              <w:jc w:val="center"/>
              <w:rPr>
                <w:rFonts w:ascii="Calibri" w:hAnsi="Calibri"/>
                <w:b/>
                <w:bCs/>
                <w:sz w:val="20"/>
                <w:szCs w:val="20"/>
              </w:rPr>
            </w:pPr>
            <w:r w:rsidRPr="00852E57">
              <w:rPr>
                <w:rFonts w:ascii="Calibri" w:hAnsi="Calibri"/>
                <w:b/>
                <w:bCs/>
                <w:sz w:val="20"/>
                <w:szCs w:val="20"/>
              </w:rPr>
              <w:t xml:space="preserve">od 2040 do 4080 ha </w:t>
            </w:r>
          </w:p>
        </w:tc>
        <w:tc>
          <w:tcPr>
            <w:tcW w:w="2980" w:type="dxa"/>
            <w:tcBorders>
              <w:top w:val="single" w:sz="4" w:space="0" w:color="auto"/>
              <w:left w:val="single" w:sz="4" w:space="0" w:color="auto"/>
              <w:bottom w:val="single" w:sz="4" w:space="0" w:color="auto"/>
              <w:right w:val="single" w:sz="4" w:space="0" w:color="auto"/>
            </w:tcBorders>
            <w:hideMark/>
          </w:tcPr>
          <w:p w:rsidR="0054499C" w:rsidRPr="00852E57" w:rsidRDefault="0054499C" w:rsidP="0054499C">
            <w:pPr>
              <w:jc w:val="center"/>
              <w:rPr>
                <w:rFonts w:ascii="Calibri" w:hAnsi="Calibri"/>
                <w:b/>
                <w:bCs/>
                <w:sz w:val="20"/>
                <w:szCs w:val="20"/>
              </w:rPr>
            </w:pPr>
            <w:r w:rsidRPr="00852E57">
              <w:rPr>
                <w:rFonts w:ascii="Calibri" w:hAnsi="Calibri"/>
                <w:b/>
                <w:bCs/>
                <w:sz w:val="20"/>
                <w:szCs w:val="20"/>
              </w:rPr>
              <w:t>83 %</w:t>
            </w:r>
          </w:p>
        </w:tc>
      </w:tr>
      <w:tr w:rsidR="0054499C" w:rsidRPr="00852E57" w:rsidTr="0054499C">
        <w:trPr>
          <w:trHeight w:hRule="exact" w:val="331"/>
          <w:tblCellSpacing w:w="0" w:type="dxa"/>
        </w:trPr>
        <w:tc>
          <w:tcPr>
            <w:tcW w:w="4330" w:type="dxa"/>
            <w:tcBorders>
              <w:top w:val="single" w:sz="4" w:space="0" w:color="auto"/>
              <w:left w:val="single" w:sz="4" w:space="0" w:color="auto"/>
              <w:bottom w:val="single" w:sz="4" w:space="0" w:color="auto"/>
              <w:right w:val="single" w:sz="4" w:space="0" w:color="auto"/>
            </w:tcBorders>
            <w:hideMark/>
          </w:tcPr>
          <w:p w:rsidR="0054499C" w:rsidRPr="00852E57" w:rsidRDefault="0054499C" w:rsidP="0054499C">
            <w:pPr>
              <w:jc w:val="center"/>
              <w:rPr>
                <w:rFonts w:ascii="Calibri" w:hAnsi="Calibri"/>
                <w:b/>
                <w:bCs/>
                <w:sz w:val="20"/>
                <w:szCs w:val="20"/>
              </w:rPr>
            </w:pPr>
            <w:r w:rsidRPr="00852E57">
              <w:rPr>
                <w:rFonts w:ascii="Calibri" w:hAnsi="Calibri"/>
                <w:b/>
                <w:bCs/>
                <w:sz w:val="20"/>
                <w:szCs w:val="20"/>
              </w:rPr>
              <w:t xml:space="preserve">nad 4080 ha </w:t>
            </w:r>
          </w:p>
        </w:tc>
        <w:tc>
          <w:tcPr>
            <w:tcW w:w="2980" w:type="dxa"/>
            <w:tcBorders>
              <w:top w:val="single" w:sz="4" w:space="0" w:color="auto"/>
              <w:left w:val="single" w:sz="4" w:space="0" w:color="auto"/>
              <w:bottom w:val="single" w:sz="4" w:space="0" w:color="auto"/>
              <w:right w:val="single" w:sz="4" w:space="0" w:color="auto"/>
            </w:tcBorders>
            <w:hideMark/>
          </w:tcPr>
          <w:p w:rsidR="0054499C" w:rsidRPr="00852E57" w:rsidRDefault="0054499C" w:rsidP="0054499C">
            <w:pPr>
              <w:jc w:val="center"/>
              <w:rPr>
                <w:rFonts w:ascii="Calibri" w:hAnsi="Calibri"/>
                <w:b/>
                <w:bCs/>
                <w:sz w:val="20"/>
                <w:szCs w:val="20"/>
              </w:rPr>
            </w:pPr>
            <w:r w:rsidRPr="00852E57">
              <w:rPr>
                <w:rFonts w:ascii="Calibri" w:hAnsi="Calibri"/>
                <w:b/>
                <w:bCs/>
                <w:sz w:val="20"/>
                <w:szCs w:val="20"/>
              </w:rPr>
              <w:t>68 %</w:t>
            </w:r>
          </w:p>
        </w:tc>
      </w:tr>
    </w:tbl>
    <w:p w:rsidR="0054499C" w:rsidRPr="00852E57" w:rsidRDefault="0054499C" w:rsidP="0054499C">
      <w:pPr>
        <w:rPr>
          <w:rFonts w:ascii="Calibri" w:hAnsi="Calibri"/>
          <w:b/>
          <w:szCs w:val="20"/>
        </w:rPr>
      </w:pPr>
    </w:p>
    <w:p w:rsidR="0054499C" w:rsidRPr="00852E57" w:rsidRDefault="0054499C" w:rsidP="0054499C">
      <w:pPr>
        <w:rPr>
          <w:rFonts w:ascii="Calibri" w:hAnsi="Calibri"/>
          <w:b/>
          <w:szCs w:val="20"/>
        </w:rPr>
      </w:pPr>
    </w:p>
    <w:p w:rsidR="0054499C" w:rsidRPr="00852E57" w:rsidRDefault="0054499C" w:rsidP="0054499C">
      <w:pPr>
        <w:rPr>
          <w:rFonts w:ascii="Calibri" w:hAnsi="Calibri"/>
          <w:b/>
          <w:szCs w:val="20"/>
        </w:rPr>
      </w:pPr>
    </w:p>
    <w:p w:rsidR="0054499C" w:rsidRPr="00852E57" w:rsidRDefault="0054499C" w:rsidP="0054499C">
      <w:pPr>
        <w:rPr>
          <w:rFonts w:ascii="Calibri" w:hAnsi="Calibri"/>
          <w:b/>
          <w:szCs w:val="20"/>
        </w:rPr>
      </w:pPr>
    </w:p>
    <w:p w:rsidR="0054499C" w:rsidRPr="00852E57" w:rsidRDefault="0054499C" w:rsidP="0054499C">
      <w:pPr>
        <w:ind w:left="33"/>
        <w:rPr>
          <w:rFonts w:ascii="Calibri" w:hAnsi="Calibri"/>
          <w:szCs w:val="20"/>
          <w:u w:val="single"/>
        </w:rPr>
      </w:pPr>
    </w:p>
    <w:p w:rsidR="0054499C" w:rsidRPr="00852E57" w:rsidRDefault="0054499C" w:rsidP="0054499C">
      <w:pPr>
        <w:ind w:left="33"/>
        <w:rPr>
          <w:rFonts w:ascii="Calibri" w:hAnsi="Calibri"/>
          <w:szCs w:val="20"/>
          <w:u w:val="single"/>
        </w:rPr>
      </w:pPr>
    </w:p>
    <w:p w:rsidR="0054499C" w:rsidRPr="00852E57" w:rsidRDefault="0054499C" w:rsidP="0054499C">
      <w:pPr>
        <w:ind w:left="33"/>
        <w:rPr>
          <w:rFonts w:ascii="Calibri" w:hAnsi="Calibri"/>
          <w:szCs w:val="20"/>
          <w:u w:val="single"/>
        </w:rPr>
      </w:pPr>
    </w:p>
    <w:p w:rsidR="0054499C" w:rsidRPr="00852E57" w:rsidRDefault="0054499C" w:rsidP="0054499C">
      <w:pPr>
        <w:ind w:left="33"/>
        <w:rPr>
          <w:rFonts w:ascii="Calibri" w:hAnsi="Calibri"/>
          <w:szCs w:val="20"/>
          <w:u w:val="single"/>
        </w:rPr>
      </w:pPr>
    </w:p>
    <w:p w:rsidR="0054499C" w:rsidRPr="00852E57" w:rsidRDefault="0054499C" w:rsidP="0054499C">
      <w:pPr>
        <w:ind w:left="33"/>
        <w:rPr>
          <w:rFonts w:ascii="Calibri" w:hAnsi="Calibri"/>
          <w:szCs w:val="20"/>
          <w:u w:val="single"/>
        </w:rPr>
      </w:pPr>
      <w:r w:rsidRPr="00852E57">
        <w:rPr>
          <w:rFonts w:ascii="Calibri" w:hAnsi="Calibri"/>
          <w:szCs w:val="20"/>
          <w:u w:val="single"/>
        </w:rPr>
        <w:t>Ďalšie informácie týkajúce sa podopatrenia</w:t>
      </w:r>
    </w:p>
    <w:p w:rsidR="0054499C" w:rsidRPr="00852E57" w:rsidRDefault="0054499C" w:rsidP="00CE203B">
      <w:pPr>
        <w:numPr>
          <w:ilvl w:val="0"/>
          <w:numId w:val="279"/>
        </w:numPr>
        <w:spacing w:after="120"/>
        <w:ind w:left="357" w:right="68" w:hanging="357"/>
        <w:rPr>
          <w:rFonts w:ascii="Calibri" w:eastAsia="Calibri" w:hAnsi="Calibri" w:cs="Arial"/>
        </w:rPr>
      </w:pPr>
      <w:r w:rsidRPr="00852E57">
        <w:rPr>
          <w:rFonts w:ascii="Calibri" w:eastAsia="Calibri" w:hAnsi="Calibri" w:cs="Arial"/>
        </w:rPr>
        <w:t>Výška vyrovnávacích príspevkov v roku 2014 pokračuje v intenciách roku 2013 (prechodné nariadenie).</w:t>
      </w:r>
    </w:p>
    <w:p w:rsidR="0054499C" w:rsidRPr="00852E57" w:rsidRDefault="0054499C" w:rsidP="00CE203B">
      <w:pPr>
        <w:numPr>
          <w:ilvl w:val="0"/>
          <w:numId w:val="279"/>
        </w:numPr>
        <w:spacing w:after="120"/>
        <w:ind w:left="357" w:right="68" w:hanging="357"/>
        <w:rPr>
          <w:rFonts w:ascii="Calibri" w:eastAsia="Calibri" w:hAnsi="Calibri" w:cs="Arial"/>
        </w:rPr>
      </w:pPr>
      <w:r w:rsidRPr="00852E57">
        <w:rPr>
          <w:rFonts w:ascii="Calibri" w:eastAsia="Calibri" w:hAnsi="Calibri" w:cs="Arial"/>
        </w:rPr>
        <w:t>SR nebude uplatňovať a realizovať Platby na oblasti s prírodnými prekážkami podľa čl. 48 nariadenia EÚ č. 1307/2013.</w:t>
      </w:r>
    </w:p>
    <w:p w:rsidR="0054499C" w:rsidRPr="00852E57" w:rsidRDefault="0054499C" w:rsidP="00CE203B">
      <w:pPr>
        <w:numPr>
          <w:ilvl w:val="0"/>
          <w:numId w:val="279"/>
        </w:numPr>
        <w:ind w:right="70"/>
        <w:rPr>
          <w:rFonts w:ascii="Calibri" w:eastAsia="Calibri" w:hAnsi="Calibri" w:cs="Arial"/>
        </w:rPr>
      </w:pPr>
      <w:r w:rsidRPr="00852E57">
        <w:rPr>
          <w:rFonts w:ascii="Calibri" w:eastAsia="Calibri" w:hAnsi="Calibri" w:cs="Arial"/>
        </w:rPr>
        <w:t xml:space="preserve">V roku 2017 ukončí SR proces určovania </w:t>
      </w:r>
      <w:r w:rsidRPr="00852E57">
        <w:rPr>
          <w:rFonts w:ascii="Calibri" w:eastAsia="Calibri" w:hAnsi="Calibri" w:cs="Calibri"/>
        </w:rPr>
        <w:t>oblastí s prírodnými alebo inými špecifickými obmedzeniami v súlade s článkom 32 (príloha III) nariadenia (EÚ) č.1305/2013 o podpore rozvoja vidieka z EPFRV  a predloží ich v</w:t>
      </w:r>
      <w:r w:rsidRPr="00852E57">
        <w:rPr>
          <w:rFonts w:ascii="Arial" w:eastAsia="Calibri" w:hAnsi="Arial" w:cs="Calibri"/>
          <w:sz w:val="16"/>
        </w:rPr>
        <w:t> </w:t>
      </w:r>
      <w:r w:rsidRPr="00852E57">
        <w:rPr>
          <w:rFonts w:ascii="Calibri" w:eastAsia="Calibri" w:hAnsi="Calibri" w:cs="Calibri"/>
        </w:rPr>
        <w:t>rámci</w:t>
      </w:r>
      <w:r w:rsidRPr="00852E57">
        <w:rPr>
          <w:rFonts w:ascii="Arial" w:eastAsia="Calibri" w:hAnsi="Arial" w:cs="Calibri"/>
          <w:sz w:val="16"/>
        </w:rPr>
        <w:t xml:space="preserve"> </w:t>
      </w:r>
      <w:r w:rsidRPr="00852E57">
        <w:rPr>
          <w:rFonts w:ascii="Calibri" w:eastAsia="Calibri" w:hAnsi="Calibri" w:cs="Calibri"/>
        </w:rPr>
        <w:t>modifikácie programu rozvoja vidieka EK.</w:t>
      </w:r>
    </w:p>
    <w:p w:rsidR="0054499C" w:rsidRPr="00852E57" w:rsidRDefault="0054499C" w:rsidP="0054499C">
      <w:pPr>
        <w:rPr>
          <w:rFonts w:ascii="Calibri" w:hAnsi="Calibri"/>
          <w:b/>
          <w:szCs w:val="20"/>
        </w:rPr>
      </w:pPr>
    </w:p>
    <w:p w:rsidR="0054499C" w:rsidRPr="00852E57" w:rsidRDefault="0054499C" w:rsidP="0054499C">
      <w:pPr>
        <w:rPr>
          <w:rFonts w:ascii="Calibri" w:hAnsi="Calibri"/>
          <w:b/>
          <w:szCs w:val="20"/>
        </w:rPr>
      </w:pPr>
    </w:p>
    <w:p w:rsidR="0054499C" w:rsidRPr="00852E57" w:rsidRDefault="0054499C" w:rsidP="0054499C">
      <w:pPr>
        <w:rPr>
          <w:rFonts w:ascii="Calibri" w:hAnsi="Calibri"/>
          <w:b/>
          <w:szCs w:val="20"/>
        </w:rPr>
      </w:pPr>
    </w:p>
    <w:p w:rsidR="0054499C" w:rsidRPr="00852E57" w:rsidRDefault="0054499C" w:rsidP="0054499C">
      <w:pPr>
        <w:keepNext/>
        <w:shd w:val="clear" w:color="auto" w:fill="D6E3BC"/>
        <w:outlineLvl w:val="4"/>
        <w:rPr>
          <w:rFonts w:ascii="Calibri" w:hAnsi="Calibri" w:cs="Calibri"/>
          <w:b/>
          <w:i/>
          <w:sz w:val="24"/>
        </w:rPr>
      </w:pPr>
      <w:r w:rsidRPr="00852E57">
        <w:rPr>
          <w:rFonts w:ascii="Calibri" w:hAnsi="Calibri"/>
          <w:i/>
          <w:sz w:val="24"/>
        </w:rPr>
        <w:t xml:space="preserve">Podopatrenie 13.3: </w:t>
      </w:r>
      <w:r w:rsidRPr="00852E57">
        <w:rPr>
          <w:rFonts w:ascii="Calibri" w:hAnsi="Calibri" w:cs="Calibri"/>
          <w:b/>
          <w:i/>
          <w:sz w:val="24"/>
        </w:rPr>
        <w:t xml:space="preserve">Kompenzačné platby v ostatných oblastiach postihnutých špecifickými </w:t>
      </w:r>
    </w:p>
    <w:p w:rsidR="0054499C" w:rsidRPr="00852E57" w:rsidRDefault="0054499C" w:rsidP="0054499C">
      <w:pPr>
        <w:keepNext/>
        <w:shd w:val="clear" w:color="auto" w:fill="D6E3BC"/>
        <w:outlineLvl w:val="4"/>
        <w:rPr>
          <w:rFonts w:ascii="Calibri" w:hAnsi="Calibri"/>
          <w:b/>
          <w:i/>
          <w:sz w:val="24"/>
          <w:u w:val="single"/>
        </w:rPr>
      </w:pPr>
      <w:r w:rsidRPr="00852E57">
        <w:rPr>
          <w:rFonts w:ascii="Calibri" w:hAnsi="Calibri" w:cs="Calibri"/>
          <w:b/>
          <w:i/>
          <w:sz w:val="24"/>
        </w:rPr>
        <w:t xml:space="preserve">                                obmedzeniami</w:t>
      </w:r>
    </w:p>
    <w:p w:rsidR="0054499C" w:rsidRPr="00852E57" w:rsidRDefault="0054499C" w:rsidP="0054499C">
      <w:pPr>
        <w:rPr>
          <w:rFonts w:ascii="Calibri" w:hAnsi="Calibri"/>
          <w:szCs w:val="20"/>
          <w:u w:val="single"/>
        </w:rPr>
      </w:pPr>
    </w:p>
    <w:p w:rsidR="0054499C" w:rsidRPr="00852E57" w:rsidRDefault="0054499C" w:rsidP="0054499C">
      <w:pPr>
        <w:rPr>
          <w:rFonts w:ascii="Calibri" w:hAnsi="Calibri"/>
          <w:szCs w:val="20"/>
          <w:u w:val="single"/>
        </w:rPr>
      </w:pPr>
      <w:r w:rsidRPr="00852E57">
        <w:rPr>
          <w:rFonts w:ascii="Calibri" w:hAnsi="Calibri"/>
          <w:szCs w:val="20"/>
          <w:u w:val="single"/>
        </w:rPr>
        <w:t>Opis operácie:</w:t>
      </w:r>
    </w:p>
    <w:p w:rsidR="0054499C" w:rsidRPr="00852E57" w:rsidRDefault="0054499C" w:rsidP="0054499C">
      <w:pPr>
        <w:rPr>
          <w:rFonts w:ascii="Calibri" w:hAnsi="Calibri"/>
          <w:b/>
          <w:szCs w:val="20"/>
        </w:rPr>
      </w:pPr>
      <w:r w:rsidRPr="00852E57">
        <w:rPr>
          <w:rFonts w:ascii="Calibri" w:hAnsi="Calibri"/>
          <w:b/>
          <w:szCs w:val="20"/>
        </w:rPr>
        <w:t xml:space="preserve">Oblasti so špecifickými nevýhodami </w:t>
      </w:r>
      <w:r w:rsidRPr="00852E57">
        <w:rPr>
          <w:rFonts w:ascii="Calibri" w:hAnsi="Calibri"/>
          <w:szCs w:val="20"/>
        </w:rPr>
        <w:t>(označenie</w:t>
      </w:r>
      <w:r w:rsidRPr="00852E57">
        <w:rPr>
          <w:rFonts w:ascii="Calibri" w:hAnsi="Calibri"/>
          <w:b/>
          <w:szCs w:val="20"/>
        </w:rPr>
        <w:t xml:space="preserve"> S</w:t>
      </w:r>
      <w:r w:rsidRPr="00852E57">
        <w:rPr>
          <w:rFonts w:ascii="Calibri" w:hAnsi="Calibri"/>
          <w:szCs w:val="20"/>
        </w:rPr>
        <w:t>)</w:t>
      </w:r>
    </w:p>
    <w:p w:rsidR="0054499C" w:rsidRPr="00852E57" w:rsidRDefault="0054499C" w:rsidP="0054499C">
      <w:pPr>
        <w:spacing w:after="120"/>
        <w:rPr>
          <w:rFonts w:ascii="Calibri" w:hAnsi="Calibri"/>
          <w:szCs w:val="20"/>
        </w:rPr>
      </w:pPr>
      <w:r w:rsidRPr="00852E57">
        <w:rPr>
          <w:rFonts w:ascii="Calibri" w:hAnsi="Calibri"/>
          <w:szCs w:val="20"/>
        </w:rPr>
        <w:t xml:space="preserve">Spoločným cieľom v oblastiach so špecifickými nevýhodami je pokračovať v poľnohospodárskej činnosti, zachovať alebo zlepšiť životné a krajinné prostredie, resp. udržiavať turistický potenciál. </w:t>
      </w:r>
    </w:p>
    <w:p w:rsidR="0054499C" w:rsidRPr="00852E57" w:rsidRDefault="0054499C" w:rsidP="0054499C">
      <w:pPr>
        <w:rPr>
          <w:rFonts w:ascii="Calibri" w:hAnsi="Calibri"/>
          <w:szCs w:val="20"/>
        </w:rPr>
      </w:pPr>
      <w:r w:rsidRPr="00852E57">
        <w:rPr>
          <w:rFonts w:ascii="Calibri" w:hAnsi="Calibri"/>
          <w:szCs w:val="20"/>
        </w:rPr>
        <w:t>Do oblastí so špecifickými nevýhodami sú zaradené katastrálne územia obcí, na území ktorých sú:</w:t>
      </w:r>
    </w:p>
    <w:p w:rsidR="0054499C" w:rsidRPr="00852E57" w:rsidRDefault="0054499C" w:rsidP="0054499C">
      <w:pPr>
        <w:tabs>
          <w:tab w:val="num" w:pos="720"/>
          <w:tab w:val="left" w:pos="900"/>
          <w:tab w:val="decimal" w:pos="9000"/>
        </w:tabs>
        <w:overflowPunct w:val="0"/>
        <w:autoSpaceDE w:val="0"/>
        <w:autoSpaceDN w:val="0"/>
        <w:adjustRightInd w:val="0"/>
        <w:textAlignment w:val="baseline"/>
        <w:rPr>
          <w:rFonts w:ascii="Calibri" w:eastAsia="Calibri" w:hAnsi="Calibri"/>
          <w:lang w:eastAsia="cs-CZ"/>
        </w:rPr>
      </w:pPr>
      <w:r w:rsidRPr="00852E57">
        <w:rPr>
          <w:rFonts w:ascii="Calibri" w:eastAsia="Calibri" w:hAnsi="Calibri"/>
          <w:lang w:eastAsia="cs-CZ"/>
        </w:rPr>
        <w:t>S1 - zamokrené pôdy na výmere väčšej alebo rovnej 50 % výmery poľnohospodárskej pôdy;</w:t>
      </w:r>
    </w:p>
    <w:p w:rsidR="0054499C" w:rsidRPr="00852E57" w:rsidRDefault="0054499C" w:rsidP="0054499C">
      <w:pPr>
        <w:tabs>
          <w:tab w:val="num" w:pos="720"/>
          <w:tab w:val="left" w:pos="900"/>
          <w:tab w:val="decimal" w:pos="9000"/>
        </w:tabs>
        <w:overflowPunct w:val="0"/>
        <w:autoSpaceDE w:val="0"/>
        <w:autoSpaceDN w:val="0"/>
        <w:adjustRightInd w:val="0"/>
        <w:textAlignment w:val="baseline"/>
        <w:rPr>
          <w:rFonts w:ascii="Calibri" w:eastAsia="Calibri" w:hAnsi="Calibri"/>
          <w:lang w:eastAsia="cs-CZ"/>
        </w:rPr>
      </w:pPr>
      <w:r w:rsidRPr="00852E57">
        <w:rPr>
          <w:rFonts w:ascii="Calibri" w:eastAsia="Calibri" w:hAnsi="Calibri"/>
          <w:lang w:eastAsia="cs-CZ"/>
        </w:rPr>
        <w:t>S2 - pôdy extrémne suché na výmere väčšej alebo rovnej 50 % výmery poľnohospodárskej pôdy;</w:t>
      </w:r>
    </w:p>
    <w:p w:rsidR="0054499C" w:rsidRPr="00852E57" w:rsidRDefault="0054499C" w:rsidP="0054499C">
      <w:pPr>
        <w:tabs>
          <w:tab w:val="num" w:pos="720"/>
          <w:tab w:val="left" w:pos="900"/>
          <w:tab w:val="decimal" w:pos="9000"/>
        </w:tabs>
        <w:overflowPunct w:val="0"/>
        <w:autoSpaceDE w:val="0"/>
        <w:autoSpaceDN w:val="0"/>
        <w:adjustRightInd w:val="0"/>
        <w:textAlignment w:val="baseline"/>
        <w:rPr>
          <w:rFonts w:ascii="Calibri" w:eastAsia="Calibri" w:hAnsi="Calibri"/>
          <w:lang w:eastAsia="cs-CZ"/>
        </w:rPr>
      </w:pPr>
      <w:r w:rsidRPr="00852E57">
        <w:rPr>
          <w:rFonts w:ascii="Calibri" w:eastAsia="Calibri" w:hAnsi="Calibri"/>
          <w:lang w:eastAsia="cs-CZ"/>
        </w:rPr>
        <w:t>S3 - skeletnaté pôdy na výmere väčšej alebo rovnej 50 % výmery poľnohospodárskej pôdy;</w:t>
      </w:r>
    </w:p>
    <w:p w:rsidR="0054499C" w:rsidRPr="00852E57" w:rsidRDefault="0054499C" w:rsidP="0054499C">
      <w:pPr>
        <w:tabs>
          <w:tab w:val="num" w:pos="720"/>
          <w:tab w:val="left" w:pos="900"/>
          <w:tab w:val="decimal" w:pos="9000"/>
        </w:tabs>
        <w:overflowPunct w:val="0"/>
        <w:autoSpaceDE w:val="0"/>
        <w:autoSpaceDN w:val="0"/>
        <w:adjustRightInd w:val="0"/>
        <w:textAlignment w:val="baseline"/>
        <w:rPr>
          <w:rFonts w:ascii="Calibri" w:eastAsia="Calibri" w:hAnsi="Calibri"/>
          <w:lang w:eastAsia="cs-CZ"/>
        </w:rPr>
      </w:pPr>
      <w:r w:rsidRPr="00852E57">
        <w:rPr>
          <w:rFonts w:ascii="Calibri" w:eastAsia="Calibri" w:hAnsi="Calibri"/>
          <w:lang w:eastAsia="cs-CZ"/>
        </w:rPr>
        <w:t>S4 - pôdy flyšového pásma;</w:t>
      </w:r>
    </w:p>
    <w:p w:rsidR="0054499C" w:rsidRPr="00852E57" w:rsidRDefault="0054499C" w:rsidP="0054499C">
      <w:pPr>
        <w:tabs>
          <w:tab w:val="num" w:pos="720"/>
          <w:tab w:val="left" w:pos="900"/>
          <w:tab w:val="decimal" w:pos="9000"/>
        </w:tabs>
        <w:overflowPunct w:val="0"/>
        <w:autoSpaceDE w:val="0"/>
        <w:autoSpaceDN w:val="0"/>
        <w:adjustRightInd w:val="0"/>
        <w:textAlignment w:val="baseline"/>
        <w:rPr>
          <w:rFonts w:ascii="Calibri" w:eastAsia="Calibri" w:hAnsi="Calibri"/>
          <w:lang w:eastAsia="cs-CZ"/>
        </w:rPr>
      </w:pPr>
      <w:r w:rsidRPr="00852E57">
        <w:rPr>
          <w:rFonts w:ascii="Calibri" w:eastAsia="Calibri" w:hAnsi="Calibri"/>
          <w:lang w:eastAsia="cs-CZ"/>
        </w:rPr>
        <w:t>S5 - málo produkčné pôdy (výnosovosť do 27 b.);</w:t>
      </w:r>
    </w:p>
    <w:p w:rsidR="0054499C" w:rsidRPr="00852E57" w:rsidRDefault="0054499C" w:rsidP="0054499C">
      <w:pPr>
        <w:tabs>
          <w:tab w:val="num" w:pos="720"/>
          <w:tab w:val="left" w:pos="900"/>
          <w:tab w:val="decimal" w:pos="9000"/>
        </w:tabs>
        <w:overflowPunct w:val="0"/>
        <w:autoSpaceDE w:val="0"/>
        <w:autoSpaceDN w:val="0"/>
        <w:adjustRightInd w:val="0"/>
        <w:textAlignment w:val="baseline"/>
        <w:rPr>
          <w:rFonts w:ascii="Calibri" w:eastAsia="Calibri" w:hAnsi="Calibri"/>
          <w:lang w:eastAsia="cs-CZ"/>
        </w:rPr>
      </w:pPr>
      <w:r w:rsidRPr="00852E57">
        <w:rPr>
          <w:rFonts w:ascii="Calibri" w:eastAsia="Calibri" w:hAnsi="Calibri"/>
          <w:lang w:eastAsia="cs-CZ"/>
        </w:rPr>
        <w:t>S6 - pôdy prechodných území.</w:t>
      </w:r>
    </w:p>
    <w:p w:rsidR="0054499C" w:rsidRPr="00852E57" w:rsidRDefault="0054499C" w:rsidP="0054499C">
      <w:pPr>
        <w:ind w:right="-567"/>
        <w:rPr>
          <w:rFonts w:ascii="Calibri" w:eastAsia="Calibri" w:hAnsi="Calibri" w:cs="Arial"/>
          <w:b/>
          <w:color w:val="FF0000"/>
        </w:rPr>
      </w:pPr>
    </w:p>
    <w:tbl>
      <w:tblPr>
        <w:tblW w:w="0" w:type="auto"/>
        <w:jc w:val="center"/>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283"/>
        <w:gridCol w:w="870"/>
        <w:gridCol w:w="2253"/>
        <w:gridCol w:w="1483"/>
      </w:tblGrid>
      <w:tr w:rsidR="0054499C" w:rsidRPr="00852E57" w:rsidTr="0054499C">
        <w:trPr>
          <w:cantSplit/>
          <w:trHeight w:hRule="exact" w:val="284"/>
          <w:jc w:val="center"/>
        </w:trPr>
        <w:tc>
          <w:tcPr>
            <w:tcW w:w="0" w:type="auto"/>
            <w:tcBorders>
              <w:top w:val="single" w:sz="4" w:space="0" w:color="auto"/>
              <w:left w:val="single" w:sz="4" w:space="0" w:color="auto"/>
              <w:bottom w:val="single" w:sz="4" w:space="0" w:color="auto"/>
              <w:right w:val="single" w:sz="4" w:space="0" w:color="auto"/>
            </w:tcBorders>
            <w:shd w:val="clear" w:color="auto" w:fill="F2DBDB" w:themeFill="accent2" w:themeFillTint="33"/>
            <w:hideMark/>
          </w:tcPr>
          <w:p w:rsidR="0054499C" w:rsidRPr="00852E57" w:rsidRDefault="0054499C" w:rsidP="0054499C">
            <w:pPr>
              <w:spacing w:after="240"/>
              <w:jc w:val="center"/>
              <w:rPr>
                <w:rFonts w:ascii="Calibri" w:hAnsi="Calibri" w:cs="Calibri"/>
                <w:b/>
                <w:bCs/>
                <w:sz w:val="20"/>
                <w:szCs w:val="20"/>
              </w:rPr>
            </w:pPr>
            <w:r w:rsidRPr="00852E57">
              <w:rPr>
                <w:rFonts w:ascii="Calibri" w:hAnsi="Calibri"/>
                <w:b/>
                <w:bCs/>
                <w:sz w:val="20"/>
                <w:szCs w:val="20"/>
              </w:rPr>
              <w:t>S</w:t>
            </w:r>
          </w:p>
        </w:tc>
        <w:tc>
          <w:tcPr>
            <w:tcW w:w="0" w:type="auto"/>
            <w:tcBorders>
              <w:top w:val="single" w:sz="4" w:space="0" w:color="auto"/>
              <w:left w:val="single" w:sz="4" w:space="0" w:color="auto"/>
              <w:bottom w:val="single" w:sz="4" w:space="0" w:color="auto"/>
              <w:right w:val="single" w:sz="4" w:space="0" w:color="auto"/>
            </w:tcBorders>
            <w:shd w:val="clear" w:color="auto" w:fill="F2DBDB" w:themeFill="accent2" w:themeFillTint="33"/>
            <w:hideMark/>
          </w:tcPr>
          <w:p w:rsidR="0054499C" w:rsidRPr="00852E57" w:rsidRDefault="0054499C" w:rsidP="0054499C">
            <w:pPr>
              <w:spacing w:after="240"/>
              <w:jc w:val="center"/>
              <w:rPr>
                <w:rFonts w:ascii="Calibri" w:hAnsi="Calibri" w:cs="Calibri"/>
                <w:b/>
                <w:bCs/>
                <w:sz w:val="20"/>
                <w:szCs w:val="20"/>
              </w:rPr>
            </w:pPr>
            <w:r w:rsidRPr="00852E57">
              <w:rPr>
                <w:rFonts w:ascii="Calibri" w:hAnsi="Calibri" w:cs="Calibri"/>
                <w:b/>
                <w:bCs/>
                <w:sz w:val="20"/>
                <w:szCs w:val="20"/>
              </w:rPr>
              <w:t>LFA SR</w:t>
            </w:r>
          </w:p>
        </w:tc>
        <w:tc>
          <w:tcPr>
            <w:tcW w:w="0" w:type="auto"/>
            <w:tcBorders>
              <w:top w:val="single" w:sz="4" w:space="0" w:color="auto"/>
              <w:left w:val="single" w:sz="4" w:space="0" w:color="auto"/>
              <w:bottom w:val="single" w:sz="4" w:space="0" w:color="auto"/>
              <w:right w:val="single" w:sz="4" w:space="0" w:color="auto"/>
            </w:tcBorders>
            <w:shd w:val="clear" w:color="auto" w:fill="F2DBDB" w:themeFill="accent2" w:themeFillTint="33"/>
            <w:hideMark/>
          </w:tcPr>
          <w:p w:rsidR="0054499C" w:rsidRPr="00852E57" w:rsidRDefault="0054499C" w:rsidP="0054499C">
            <w:pPr>
              <w:spacing w:after="240"/>
              <w:jc w:val="center"/>
              <w:rPr>
                <w:rFonts w:ascii="Calibri" w:hAnsi="Calibri" w:cs="Calibri"/>
                <w:b/>
                <w:bCs/>
                <w:sz w:val="20"/>
                <w:szCs w:val="20"/>
              </w:rPr>
            </w:pPr>
            <w:r w:rsidRPr="00852E57">
              <w:rPr>
                <w:rFonts w:ascii="Calibri" w:hAnsi="Calibri" w:cs="Calibri"/>
                <w:b/>
                <w:bCs/>
                <w:sz w:val="20"/>
                <w:szCs w:val="20"/>
              </w:rPr>
              <w:t>Menej rozvinuté regióny</w:t>
            </w:r>
          </w:p>
        </w:tc>
        <w:tc>
          <w:tcPr>
            <w:tcW w:w="0" w:type="auto"/>
            <w:tcBorders>
              <w:top w:val="single" w:sz="4" w:space="0" w:color="auto"/>
              <w:left w:val="single" w:sz="4" w:space="0" w:color="auto"/>
              <w:bottom w:val="single" w:sz="4" w:space="0" w:color="auto"/>
              <w:right w:val="single" w:sz="4" w:space="0" w:color="auto"/>
            </w:tcBorders>
            <w:shd w:val="clear" w:color="auto" w:fill="F2DBDB" w:themeFill="accent2" w:themeFillTint="33"/>
            <w:hideMark/>
          </w:tcPr>
          <w:p w:rsidR="0054499C" w:rsidRPr="00852E57" w:rsidRDefault="0054499C" w:rsidP="0054499C">
            <w:pPr>
              <w:spacing w:after="240"/>
              <w:jc w:val="center"/>
              <w:rPr>
                <w:rFonts w:ascii="Calibri" w:hAnsi="Calibri" w:cs="Calibri"/>
                <w:b/>
                <w:bCs/>
                <w:sz w:val="20"/>
                <w:szCs w:val="20"/>
              </w:rPr>
            </w:pPr>
            <w:r w:rsidRPr="00852E57">
              <w:rPr>
                <w:rFonts w:ascii="Calibri" w:hAnsi="Calibri" w:cs="Calibri"/>
                <w:b/>
                <w:bCs/>
                <w:sz w:val="20"/>
                <w:szCs w:val="20"/>
              </w:rPr>
              <w:t>Ostatné oblasti</w:t>
            </w:r>
          </w:p>
        </w:tc>
      </w:tr>
      <w:tr w:rsidR="0054499C" w:rsidRPr="00852E57" w:rsidTr="0054499C">
        <w:trPr>
          <w:cantSplit/>
          <w:trHeight w:hRule="exact" w:val="284"/>
          <w:jc w:val="center"/>
        </w:trPr>
        <w:tc>
          <w:tcPr>
            <w:tcW w:w="0" w:type="auto"/>
            <w:tcBorders>
              <w:top w:val="single" w:sz="4" w:space="0" w:color="auto"/>
              <w:left w:val="single" w:sz="4" w:space="0" w:color="auto"/>
              <w:bottom w:val="single" w:sz="4" w:space="0" w:color="auto"/>
              <w:right w:val="single" w:sz="4" w:space="0" w:color="auto"/>
            </w:tcBorders>
            <w:hideMark/>
          </w:tcPr>
          <w:p w:rsidR="0054499C" w:rsidRPr="00852E57" w:rsidRDefault="0054499C" w:rsidP="0054499C">
            <w:pPr>
              <w:spacing w:after="240"/>
              <w:jc w:val="center"/>
              <w:rPr>
                <w:rFonts w:ascii="Calibri" w:hAnsi="Calibri" w:cs="Calibri"/>
                <w:bCs/>
                <w:sz w:val="20"/>
                <w:szCs w:val="20"/>
              </w:rPr>
            </w:pPr>
            <w:r w:rsidRPr="00852E57">
              <w:rPr>
                <w:rFonts w:ascii="Calibri" w:hAnsi="Calibri" w:cs="Calibri"/>
                <w:bCs/>
                <w:sz w:val="20"/>
                <w:szCs w:val="20"/>
              </w:rPr>
              <w:t>Subkategória</w:t>
            </w:r>
          </w:p>
        </w:tc>
        <w:tc>
          <w:tcPr>
            <w:tcW w:w="0" w:type="auto"/>
            <w:tcBorders>
              <w:top w:val="single" w:sz="4" w:space="0" w:color="auto"/>
              <w:left w:val="single" w:sz="4" w:space="0" w:color="auto"/>
              <w:bottom w:val="single" w:sz="4" w:space="0" w:color="auto"/>
              <w:right w:val="single" w:sz="4" w:space="0" w:color="auto"/>
            </w:tcBorders>
            <w:hideMark/>
          </w:tcPr>
          <w:p w:rsidR="0054499C" w:rsidRPr="00852E57" w:rsidRDefault="0054499C" w:rsidP="0054499C">
            <w:pPr>
              <w:spacing w:after="240"/>
              <w:jc w:val="center"/>
              <w:rPr>
                <w:rFonts w:ascii="Calibri" w:hAnsi="Calibri" w:cs="Calibri"/>
                <w:sz w:val="20"/>
                <w:szCs w:val="20"/>
              </w:rPr>
            </w:pPr>
            <w:r w:rsidRPr="00852E57">
              <w:rPr>
                <w:rFonts w:ascii="Calibri" w:hAnsi="Calibri" w:cs="Calibri"/>
                <w:sz w:val="20"/>
                <w:szCs w:val="20"/>
              </w:rPr>
              <w:t>ha</w:t>
            </w:r>
          </w:p>
        </w:tc>
        <w:tc>
          <w:tcPr>
            <w:tcW w:w="0" w:type="auto"/>
            <w:tcBorders>
              <w:top w:val="single" w:sz="4" w:space="0" w:color="auto"/>
              <w:left w:val="single" w:sz="4" w:space="0" w:color="auto"/>
              <w:bottom w:val="single" w:sz="4" w:space="0" w:color="auto"/>
              <w:right w:val="single" w:sz="4" w:space="0" w:color="auto"/>
            </w:tcBorders>
            <w:hideMark/>
          </w:tcPr>
          <w:p w:rsidR="0054499C" w:rsidRPr="00852E57" w:rsidRDefault="0054499C" w:rsidP="0054499C">
            <w:pPr>
              <w:spacing w:after="240"/>
              <w:jc w:val="center"/>
              <w:rPr>
                <w:rFonts w:ascii="Calibri" w:hAnsi="Calibri" w:cs="Calibri"/>
                <w:sz w:val="20"/>
                <w:szCs w:val="20"/>
              </w:rPr>
            </w:pPr>
            <w:r w:rsidRPr="00852E57">
              <w:rPr>
                <w:rFonts w:ascii="Calibri" w:hAnsi="Calibri" w:cs="Calibri"/>
                <w:sz w:val="20"/>
                <w:szCs w:val="20"/>
              </w:rPr>
              <w:t>ha</w:t>
            </w:r>
          </w:p>
        </w:tc>
        <w:tc>
          <w:tcPr>
            <w:tcW w:w="0" w:type="auto"/>
            <w:tcBorders>
              <w:top w:val="single" w:sz="4" w:space="0" w:color="auto"/>
              <w:left w:val="single" w:sz="4" w:space="0" w:color="auto"/>
              <w:bottom w:val="single" w:sz="4" w:space="0" w:color="auto"/>
              <w:right w:val="single" w:sz="4" w:space="0" w:color="auto"/>
            </w:tcBorders>
            <w:hideMark/>
          </w:tcPr>
          <w:p w:rsidR="0054499C" w:rsidRPr="00852E57" w:rsidRDefault="0054499C" w:rsidP="0054499C">
            <w:pPr>
              <w:spacing w:after="240"/>
              <w:jc w:val="center"/>
              <w:rPr>
                <w:rFonts w:ascii="Calibri" w:hAnsi="Calibri" w:cs="Calibri"/>
                <w:sz w:val="20"/>
                <w:szCs w:val="20"/>
              </w:rPr>
            </w:pPr>
            <w:r w:rsidRPr="00852E57">
              <w:rPr>
                <w:rFonts w:ascii="Calibri" w:hAnsi="Calibri" w:cs="Calibri"/>
                <w:sz w:val="20"/>
                <w:szCs w:val="20"/>
              </w:rPr>
              <w:t>ha</w:t>
            </w:r>
          </w:p>
        </w:tc>
      </w:tr>
      <w:tr w:rsidR="0054499C" w:rsidRPr="00852E57" w:rsidTr="0054499C">
        <w:trPr>
          <w:cantSplit/>
          <w:trHeight w:hRule="exact" w:val="284"/>
          <w:jc w:val="center"/>
        </w:trPr>
        <w:tc>
          <w:tcPr>
            <w:tcW w:w="0" w:type="auto"/>
            <w:tcBorders>
              <w:top w:val="single" w:sz="4" w:space="0" w:color="auto"/>
              <w:left w:val="single" w:sz="4" w:space="0" w:color="auto"/>
              <w:bottom w:val="single" w:sz="4" w:space="0" w:color="auto"/>
              <w:right w:val="single" w:sz="4" w:space="0" w:color="auto"/>
            </w:tcBorders>
            <w:hideMark/>
          </w:tcPr>
          <w:p w:rsidR="0054499C" w:rsidRPr="00852E57" w:rsidRDefault="0054499C" w:rsidP="0054499C">
            <w:pPr>
              <w:spacing w:after="240"/>
              <w:jc w:val="center"/>
              <w:rPr>
                <w:rFonts w:ascii="Calibri" w:hAnsi="Calibri" w:cs="Calibri"/>
                <w:b/>
                <w:bCs/>
                <w:sz w:val="20"/>
                <w:szCs w:val="20"/>
              </w:rPr>
            </w:pPr>
            <w:r w:rsidRPr="00852E57">
              <w:rPr>
                <w:rFonts w:ascii="Calibri" w:hAnsi="Calibri" w:cs="Calibri"/>
                <w:b/>
                <w:bCs/>
                <w:sz w:val="20"/>
                <w:szCs w:val="20"/>
              </w:rPr>
              <w:t>S1</w:t>
            </w:r>
          </w:p>
        </w:tc>
        <w:tc>
          <w:tcPr>
            <w:tcW w:w="0" w:type="auto"/>
            <w:tcBorders>
              <w:top w:val="single" w:sz="4" w:space="0" w:color="auto"/>
              <w:left w:val="single" w:sz="4" w:space="0" w:color="auto"/>
              <w:bottom w:val="single" w:sz="4" w:space="0" w:color="auto"/>
              <w:right w:val="single" w:sz="4" w:space="0" w:color="auto"/>
            </w:tcBorders>
            <w:vAlign w:val="center"/>
            <w:hideMark/>
          </w:tcPr>
          <w:p w:rsidR="0054499C" w:rsidRPr="00852E57" w:rsidRDefault="0054499C" w:rsidP="0054499C">
            <w:pPr>
              <w:spacing w:after="240"/>
              <w:jc w:val="center"/>
              <w:rPr>
                <w:rFonts w:ascii="Calibri" w:eastAsia="Arial Unicode MS" w:hAnsi="Calibri"/>
                <w:sz w:val="20"/>
                <w:szCs w:val="20"/>
              </w:rPr>
            </w:pPr>
            <w:r w:rsidRPr="00852E57">
              <w:rPr>
                <w:rFonts w:ascii="Calibri" w:hAnsi="Calibri"/>
                <w:sz w:val="20"/>
                <w:szCs w:val="20"/>
              </w:rPr>
              <w:t>186 584</w:t>
            </w:r>
          </w:p>
        </w:tc>
        <w:tc>
          <w:tcPr>
            <w:tcW w:w="0" w:type="auto"/>
            <w:tcBorders>
              <w:top w:val="single" w:sz="4" w:space="0" w:color="auto"/>
              <w:left w:val="single" w:sz="4" w:space="0" w:color="auto"/>
              <w:bottom w:val="single" w:sz="4" w:space="0" w:color="auto"/>
              <w:right w:val="single" w:sz="4" w:space="0" w:color="auto"/>
            </w:tcBorders>
            <w:vAlign w:val="center"/>
            <w:hideMark/>
          </w:tcPr>
          <w:p w:rsidR="0054499C" w:rsidRPr="00852E57" w:rsidRDefault="0054499C" w:rsidP="0054499C">
            <w:pPr>
              <w:spacing w:after="240"/>
              <w:jc w:val="center"/>
              <w:rPr>
                <w:rFonts w:ascii="Calibri" w:eastAsia="Arial Unicode MS" w:hAnsi="Calibri"/>
                <w:sz w:val="20"/>
                <w:szCs w:val="20"/>
              </w:rPr>
            </w:pPr>
            <w:r w:rsidRPr="00852E57">
              <w:rPr>
                <w:rFonts w:ascii="Calibri" w:hAnsi="Calibri"/>
                <w:sz w:val="20"/>
                <w:szCs w:val="20"/>
              </w:rPr>
              <w:t>184 645</w:t>
            </w:r>
          </w:p>
        </w:tc>
        <w:tc>
          <w:tcPr>
            <w:tcW w:w="0" w:type="auto"/>
            <w:tcBorders>
              <w:top w:val="single" w:sz="4" w:space="0" w:color="auto"/>
              <w:left w:val="single" w:sz="4" w:space="0" w:color="auto"/>
              <w:bottom w:val="single" w:sz="4" w:space="0" w:color="auto"/>
              <w:right w:val="single" w:sz="4" w:space="0" w:color="auto"/>
            </w:tcBorders>
            <w:vAlign w:val="center"/>
            <w:hideMark/>
          </w:tcPr>
          <w:p w:rsidR="0054499C" w:rsidRPr="00852E57" w:rsidRDefault="0054499C" w:rsidP="0054499C">
            <w:pPr>
              <w:spacing w:after="240"/>
              <w:jc w:val="center"/>
              <w:rPr>
                <w:rFonts w:ascii="Calibri" w:eastAsia="Arial Unicode MS" w:hAnsi="Calibri"/>
                <w:sz w:val="20"/>
                <w:szCs w:val="20"/>
              </w:rPr>
            </w:pPr>
            <w:r w:rsidRPr="00852E57">
              <w:rPr>
                <w:rFonts w:ascii="Calibri" w:hAnsi="Calibri"/>
                <w:sz w:val="20"/>
                <w:szCs w:val="20"/>
              </w:rPr>
              <w:t>1 939</w:t>
            </w:r>
          </w:p>
        </w:tc>
      </w:tr>
      <w:tr w:rsidR="0054499C" w:rsidRPr="00852E57" w:rsidTr="0054499C">
        <w:trPr>
          <w:cantSplit/>
          <w:trHeight w:hRule="exact" w:val="284"/>
          <w:jc w:val="center"/>
        </w:trPr>
        <w:tc>
          <w:tcPr>
            <w:tcW w:w="0" w:type="auto"/>
            <w:tcBorders>
              <w:top w:val="single" w:sz="4" w:space="0" w:color="auto"/>
              <w:left w:val="single" w:sz="4" w:space="0" w:color="auto"/>
              <w:bottom w:val="single" w:sz="4" w:space="0" w:color="auto"/>
              <w:right w:val="single" w:sz="4" w:space="0" w:color="auto"/>
            </w:tcBorders>
            <w:hideMark/>
          </w:tcPr>
          <w:p w:rsidR="0054499C" w:rsidRPr="00852E57" w:rsidRDefault="0054499C" w:rsidP="0054499C">
            <w:pPr>
              <w:spacing w:after="240"/>
              <w:jc w:val="center"/>
              <w:rPr>
                <w:rFonts w:ascii="Calibri" w:hAnsi="Calibri" w:cs="Calibri"/>
                <w:b/>
                <w:bCs/>
                <w:sz w:val="20"/>
                <w:szCs w:val="20"/>
              </w:rPr>
            </w:pPr>
            <w:r w:rsidRPr="00852E57">
              <w:rPr>
                <w:rFonts w:ascii="Calibri" w:hAnsi="Calibri" w:cs="Calibri"/>
                <w:b/>
                <w:bCs/>
                <w:sz w:val="20"/>
                <w:szCs w:val="20"/>
              </w:rPr>
              <w:t>S2</w:t>
            </w:r>
          </w:p>
        </w:tc>
        <w:tc>
          <w:tcPr>
            <w:tcW w:w="0" w:type="auto"/>
            <w:tcBorders>
              <w:top w:val="single" w:sz="4" w:space="0" w:color="auto"/>
              <w:left w:val="single" w:sz="4" w:space="0" w:color="auto"/>
              <w:bottom w:val="single" w:sz="4" w:space="0" w:color="auto"/>
              <w:right w:val="single" w:sz="4" w:space="0" w:color="auto"/>
            </w:tcBorders>
            <w:vAlign w:val="center"/>
            <w:hideMark/>
          </w:tcPr>
          <w:p w:rsidR="0054499C" w:rsidRPr="00852E57" w:rsidRDefault="0054499C" w:rsidP="0054499C">
            <w:pPr>
              <w:spacing w:after="240"/>
              <w:jc w:val="center"/>
              <w:rPr>
                <w:rFonts w:ascii="Calibri" w:eastAsia="Arial Unicode MS" w:hAnsi="Calibri"/>
                <w:sz w:val="20"/>
                <w:szCs w:val="20"/>
              </w:rPr>
            </w:pPr>
            <w:r w:rsidRPr="00852E57">
              <w:rPr>
                <w:rFonts w:ascii="Calibri" w:hAnsi="Calibri"/>
                <w:sz w:val="20"/>
                <w:szCs w:val="20"/>
              </w:rPr>
              <w:t>25 914</w:t>
            </w:r>
          </w:p>
        </w:tc>
        <w:tc>
          <w:tcPr>
            <w:tcW w:w="0" w:type="auto"/>
            <w:tcBorders>
              <w:top w:val="single" w:sz="4" w:space="0" w:color="auto"/>
              <w:left w:val="single" w:sz="4" w:space="0" w:color="auto"/>
              <w:bottom w:val="single" w:sz="4" w:space="0" w:color="auto"/>
              <w:right w:val="single" w:sz="4" w:space="0" w:color="auto"/>
            </w:tcBorders>
            <w:vAlign w:val="center"/>
            <w:hideMark/>
          </w:tcPr>
          <w:p w:rsidR="0054499C" w:rsidRPr="00852E57" w:rsidRDefault="0054499C" w:rsidP="0054499C">
            <w:pPr>
              <w:spacing w:after="240"/>
              <w:jc w:val="center"/>
              <w:rPr>
                <w:rFonts w:ascii="Calibri" w:eastAsia="Arial Unicode MS" w:hAnsi="Calibri"/>
                <w:sz w:val="20"/>
                <w:szCs w:val="20"/>
              </w:rPr>
            </w:pPr>
            <w:r w:rsidRPr="00852E57">
              <w:rPr>
                <w:rFonts w:ascii="Calibri" w:hAnsi="Calibri"/>
                <w:sz w:val="20"/>
                <w:szCs w:val="20"/>
              </w:rPr>
              <w:t>24 147</w:t>
            </w:r>
          </w:p>
        </w:tc>
        <w:tc>
          <w:tcPr>
            <w:tcW w:w="0" w:type="auto"/>
            <w:tcBorders>
              <w:top w:val="single" w:sz="4" w:space="0" w:color="auto"/>
              <w:left w:val="single" w:sz="4" w:space="0" w:color="auto"/>
              <w:bottom w:val="single" w:sz="4" w:space="0" w:color="auto"/>
              <w:right w:val="single" w:sz="4" w:space="0" w:color="auto"/>
            </w:tcBorders>
            <w:vAlign w:val="center"/>
            <w:hideMark/>
          </w:tcPr>
          <w:p w:rsidR="0054499C" w:rsidRPr="00852E57" w:rsidRDefault="0054499C" w:rsidP="0054499C">
            <w:pPr>
              <w:spacing w:after="240"/>
              <w:jc w:val="center"/>
              <w:rPr>
                <w:rFonts w:ascii="Calibri" w:eastAsia="Arial Unicode MS" w:hAnsi="Calibri"/>
                <w:sz w:val="20"/>
                <w:szCs w:val="20"/>
              </w:rPr>
            </w:pPr>
            <w:r w:rsidRPr="00852E57">
              <w:rPr>
                <w:rFonts w:ascii="Calibri" w:hAnsi="Calibri"/>
                <w:sz w:val="20"/>
                <w:szCs w:val="20"/>
              </w:rPr>
              <w:t>1 767</w:t>
            </w:r>
          </w:p>
        </w:tc>
      </w:tr>
      <w:tr w:rsidR="0054499C" w:rsidRPr="00852E57" w:rsidTr="0054499C">
        <w:trPr>
          <w:cantSplit/>
          <w:trHeight w:hRule="exact" w:val="284"/>
          <w:jc w:val="center"/>
        </w:trPr>
        <w:tc>
          <w:tcPr>
            <w:tcW w:w="0" w:type="auto"/>
            <w:tcBorders>
              <w:top w:val="single" w:sz="4" w:space="0" w:color="auto"/>
              <w:left w:val="single" w:sz="4" w:space="0" w:color="auto"/>
              <w:bottom w:val="single" w:sz="4" w:space="0" w:color="auto"/>
              <w:right w:val="single" w:sz="4" w:space="0" w:color="auto"/>
            </w:tcBorders>
            <w:hideMark/>
          </w:tcPr>
          <w:p w:rsidR="0054499C" w:rsidRPr="00852E57" w:rsidRDefault="0054499C" w:rsidP="0054499C">
            <w:pPr>
              <w:spacing w:after="240"/>
              <w:jc w:val="center"/>
              <w:rPr>
                <w:rFonts w:ascii="Calibri" w:hAnsi="Calibri" w:cs="Calibri"/>
                <w:b/>
                <w:bCs/>
                <w:sz w:val="20"/>
                <w:szCs w:val="20"/>
              </w:rPr>
            </w:pPr>
            <w:r w:rsidRPr="00852E57">
              <w:rPr>
                <w:rFonts w:ascii="Calibri" w:hAnsi="Calibri" w:cs="Calibri"/>
                <w:b/>
                <w:bCs/>
                <w:sz w:val="20"/>
                <w:szCs w:val="20"/>
              </w:rPr>
              <w:t>S3</w:t>
            </w:r>
          </w:p>
        </w:tc>
        <w:tc>
          <w:tcPr>
            <w:tcW w:w="0" w:type="auto"/>
            <w:tcBorders>
              <w:top w:val="single" w:sz="4" w:space="0" w:color="auto"/>
              <w:left w:val="single" w:sz="4" w:space="0" w:color="auto"/>
              <w:bottom w:val="single" w:sz="4" w:space="0" w:color="auto"/>
              <w:right w:val="single" w:sz="4" w:space="0" w:color="auto"/>
            </w:tcBorders>
            <w:vAlign w:val="center"/>
            <w:hideMark/>
          </w:tcPr>
          <w:p w:rsidR="0054499C" w:rsidRPr="00852E57" w:rsidRDefault="0054499C" w:rsidP="0054499C">
            <w:pPr>
              <w:spacing w:after="240"/>
              <w:jc w:val="center"/>
              <w:rPr>
                <w:rFonts w:ascii="Calibri" w:eastAsia="Arial Unicode MS" w:hAnsi="Calibri"/>
                <w:sz w:val="20"/>
                <w:szCs w:val="20"/>
              </w:rPr>
            </w:pPr>
            <w:r w:rsidRPr="00852E57">
              <w:rPr>
                <w:rFonts w:ascii="Calibri" w:hAnsi="Calibri"/>
                <w:sz w:val="20"/>
                <w:szCs w:val="20"/>
              </w:rPr>
              <w:t>54 339</w:t>
            </w:r>
          </w:p>
        </w:tc>
        <w:tc>
          <w:tcPr>
            <w:tcW w:w="0" w:type="auto"/>
            <w:tcBorders>
              <w:top w:val="single" w:sz="4" w:space="0" w:color="auto"/>
              <w:left w:val="single" w:sz="4" w:space="0" w:color="auto"/>
              <w:bottom w:val="single" w:sz="4" w:space="0" w:color="auto"/>
              <w:right w:val="single" w:sz="4" w:space="0" w:color="auto"/>
            </w:tcBorders>
            <w:vAlign w:val="center"/>
            <w:hideMark/>
          </w:tcPr>
          <w:p w:rsidR="0054499C" w:rsidRPr="00852E57" w:rsidRDefault="0054499C" w:rsidP="0054499C">
            <w:pPr>
              <w:spacing w:after="240"/>
              <w:jc w:val="center"/>
              <w:rPr>
                <w:rFonts w:ascii="Calibri" w:eastAsia="Arial Unicode MS" w:hAnsi="Calibri"/>
                <w:sz w:val="20"/>
                <w:szCs w:val="20"/>
              </w:rPr>
            </w:pPr>
            <w:r w:rsidRPr="00852E57">
              <w:rPr>
                <w:rFonts w:ascii="Calibri" w:hAnsi="Calibri"/>
                <w:sz w:val="20"/>
                <w:szCs w:val="20"/>
              </w:rPr>
              <w:t>52 551</w:t>
            </w:r>
          </w:p>
        </w:tc>
        <w:tc>
          <w:tcPr>
            <w:tcW w:w="0" w:type="auto"/>
            <w:tcBorders>
              <w:top w:val="single" w:sz="4" w:space="0" w:color="auto"/>
              <w:left w:val="single" w:sz="4" w:space="0" w:color="auto"/>
              <w:bottom w:val="single" w:sz="4" w:space="0" w:color="auto"/>
              <w:right w:val="single" w:sz="4" w:space="0" w:color="auto"/>
            </w:tcBorders>
            <w:vAlign w:val="center"/>
            <w:hideMark/>
          </w:tcPr>
          <w:p w:rsidR="0054499C" w:rsidRPr="00852E57" w:rsidRDefault="0054499C" w:rsidP="0054499C">
            <w:pPr>
              <w:spacing w:after="240"/>
              <w:jc w:val="center"/>
              <w:rPr>
                <w:rFonts w:ascii="Calibri" w:eastAsia="Arial Unicode MS" w:hAnsi="Calibri"/>
                <w:sz w:val="20"/>
                <w:szCs w:val="20"/>
              </w:rPr>
            </w:pPr>
            <w:r w:rsidRPr="00852E57">
              <w:rPr>
                <w:rFonts w:ascii="Calibri" w:hAnsi="Calibri"/>
                <w:sz w:val="20"/>
                <w:szCs w:val="20"/>
              </w:rPr>
              <w:t>1 787</w:t>
            </w:r>
          </w:p>
        </w:tc>
      </w:tr>
      <w:tr w:rsidR="0054499C" w:rsidRPr="00852E57" w:rsidTr="0054499C">
        <w:trPr>
          <w:cantSplit/>
          <w:trHeight w:hRule="exact" w:val="284"/>
          <w:jc w:val="center"/>
        </w:trPr>
        <w:tc>
          <w:tcPr>
            <w:tcW w:w="0" w:type="auto"/>
            <w:tcBorders>
              <w:top w:val="single" w:sz="4" w:space="0" w:color="auto"/>
              <w:left w:val="single" w:sz="4" w:space="0" w:color="auto"/>
              <w:bottom w:val="single" w:sz="4" w:space="0" w:color="auto"/>
              <w:right w:val="single" w:sz="4" w:space="0" w:color="auto"/>
            </w:tcBorders>
            <w:hideMark/>
          </w:tcPr>
          <w:p w:rsidR="0054499C" w:rsidRPr="00852E57" w:rsidRDefault="0054499C" w:rsidP="0054499C">
            <w:pPr>
              <w:spacing w:after="240"/>
              <w:jc w:val="center"/>
              <w:rPr>
                <w:rFonts w:ascii="Calibri" w:hAnsi="Calibri" w:cs="Calibri"/>
                <w:b/>
                <w:bCs/>
                <w:sz w:val="20"/>
                <w:szCs w:val="20"/>
              </w:rPr>
            </w:pPr>
            <w:r w:rsidRPr="00852E57">
              <w:rPr>
                <w:rFonts w:ascii="Calibri" w:hAnsi="Calibri" w:cs="Calibri"/>
                <w:b/>
                <w:bCs/>
                <w:sz w:val="20"/>
                <w:szCs w:val="20"/>
              </w:rPr>
              <w:t>S4</w:t>
            </w:r>
          </w:p>
        </w:tc>
        <w:tc>
          <w:tcPr>
            <w:tcW w:w="0" w:type="auto"/>
            <w:tcBorders>
              <w:top w:val="single" w:sz="4" w:space="0" w:color="auto"/>
              <w:left w:val="single" w:sz="4" w:space="0" w:color="auto"/>
              <w:bottom w:val="single" w:sz="4" w:space="0" w:color="auto"/>
              <w:right w:val="single" w:sz="4" w:space="0" w:color="auto"/>
            </w:tcBorders>
            <w:vAlign w:val="center"/>
            <w:hideMark/>
          </w:tcPr>
          <w:p w:rsidR="0054499C" w:rsidRPr="00852E57" w:rsidRDefault="0054499C" w:rsidP="0054499C">
            <w:pPr>
              <w:spacing w:after="240"/>
              <w:jc w:val="center"/>
              <w:rPr>
                <w:rFonts w:ascii="Calibri" w:eastAsia="Arial Unicode MS" w:hAnsi="Calibri"/>
                <w:sz w:val="20"/>
                <w:szCs w:val="20"/>
              </w:rPr>
            </w:pPr>
            <w:r w:rsidRPr="00852E57">
              <w:rPr>
                <w:rFonts w:ascii="Calibri" w:hAnsi="Calibri"/>
                <w:sz w:val="20"/>
                <w:szCs w:val="20"/>
              </w:rPr>
              <w:t>3 301</w:t>
            </w:r>
          </w:p>
        </w:tc>
        <w:tc>
          <w:tcPr>
            <w:tcW w:w="0" w:type="auto"/>
            <w:tcBorders>
              <w:top w:val="single" w:sz="4" w:space="0" w:color="auto"/>
              <w:left w:val="single" w:sz="4" w:space="0" w:color="auto"/>
              <w:bottom w:val="single" w:sz="4" w:space="0" w:color="auto"/>
              <w:right w:val="single" w:sz="4" w:space="0" w:color="auto"/>
            </w:tcBorders>
            <w:vAlign w:val="center"/>
            <w:hideMark/>
          </w:tcPr>
          <w:p w:rsidR="0054499C" w:rsidRPr="00852E57" w:rsidRDefault="0054499C" w:rsidP="0054499C">
            <w:pPr>
              <w:spacing w:after="240"/>
              <w:jc w:val="center"/>
              <w:rPr>
                <w:rFonts w:ascii="Calibri" w:eastAsia="Arial Unicode MS" w:hAnsi="Calibri"/>
                <w:sz w:val="20"/>
                <w:szCs w:val="20"/>
              </w:rPr>
            </w:pPr>
            <w:r w:rsidRPr="00852E57">
              <w:rPr>
                <w:rFonts w:ascii="Calibri" w:hAnsi="Calibri"/>
                <w:sz w:val="20"/>
                <w:szCs w:val="20"/>
              </w:rPr>
              <w:t>3 301</w:t>
            </w:r>
          </w:p>
        </w:tc>
        <w:tc>
          <w:tcPr>
            <w:tcW w:w="0" w:type="auto"/>
            <w:tcBorders>
              <w:top w:val="single" w:sz="4" w:space="0" w:color="auto"/>
              <w:left w:val="single" w:sz="4" w:space="0" w:color="auto"/>
              <w:bottom w:val="single" w:sz="4" w:space="0" w:color="auto"/>
              <w:right w:val="single" w:sz="4" w:space="0" w:color="auto"/>
            </w:tcBorders>
            <w:vAlign w:val="center"/>
            <w:hideMark/>
          </w:tcPr>
          <w:p w:rsidR="0054499C" w:rsidRPr="00852E57" w:rsidRDefault="0054499C" w:rsidP="0054499C">
            <w:pPr>
              <w:spacing w:after="240"/>
              <w:jc w:val="center"/>
              <w:rPr>
                <w:rFonts w:ascii="Calibri" w:eastAsia="Arial Unicode MS" w:hAnsi="Calibri"/>
                <w:sz w:val="20"/>
                <w:szCs w:val="20"/>
              </w:rPr>
            </w:pPr>
            <w:r w:rsidRPr="00852E57">
              <w:rPr>
                <w:rFonts w:ascii="Calibri" w:hAnsi="Calibri"/>
                <w:sz w:val="20"/>
                <w:szCs w:val="20"/>
              </w:rPr>
              <w:t>0</w:t>
            </w:r>
          </w:p>
        </w:tc>
      </w:tr>
      <w:tr w:rsidR="0054499C" w:rsidRPr="00852E57" w:rsidTr="0054499C">
        <w:trPr>
          <w:cantSplit/>
          <w:trHeight w:hRule="exact" w:val="284"/>
          <w:jc w:val="center"/>
        </w:trPr>
        <w:tc>
          <w:tcPr>
            <w:tcW w:w="0" w:type="auto"/>
            <w:tcBorders>
              <w:top w:val="single" w:sz="4" w:space="0" w:color="auto"/>
              <w:left w:val="single" w:sz="4" w:space="0" w:color="auto"/>
              <w:bottom w:val="single" w:sz="4" w:space="0" w:color="auto"/>
              <w:right w:val="single" w:sz="4" w:space="0" w:color="auto"/>
            </w:tcBorders>
            <w:hideMark/>
          </w:tcPr>
          <w:p w:rsidR="0054499C" w:rsidRPr="00852E57" w:rsidRDefault="0054499C" w:rsidP="0054499C">
            <w:pPr>
              <w:spacing w:after="240"/>
              <w:jc w:val="center"/>
              <w:rPr>
                <w:rFonts w:ascii="Calibri" w:hAnsi="Calibri" w:cs="Calibri"/>
                <w:b/>
                <w:bCs/>
                <w:sz w:val="20"/>
                <w:szCs w:val="20"/>
              </w:rPr>
            </w:pPr>
            <w:r w:rsidRPr="00852E57">
              <w:rPr>
                <w:rFonts w:ascii="Calibri" w:hAnsi="Calibri" w:cs="Calibri"/>
                <w:b/>
                <w:bCs/>
                <w:sz w:val="20"/>
                <w:szCs w:val="20"/>
              </w:rPr>
              <w:t>S5</w:t>
            </w:r>
          </w:p>
        </w:tc>
        <w:tc>
          <w:tcPr>
            <w:tcW w:w="0" w:type="auto"/>
            <w:tcBorders>
              <w:top w:val="single" w:sz="4" w:space="0" w:color="auto"/>
              <w:left w:val="single" w:sz="4" w:space="0" w:color="auto"/>
              <w:bottom w:val="single" w:sz="4" w:space="0" w:color="auto"/>
              <w:right w:val="single" w:sz="4" w:space="0" w:color="auto"/>
            </w:tcBorders>
            <w:vAlign w:val="center"/>
            <w:hideMark/>
          </w:tcPr>
          <w:p w:rsidR="0054499C" w:rsidRPr="00852E57" w:rsidRDefault="0054499C" w:rsidP="0054499C">
            <w:pPr>
              <w:spacing w:after="240"/>
              <w:jc w:val="center"/>
              <w:rPr>
                <w:rFonts w:ascii="Calibri" w:eastAsia="Arial Unicode MS" w:hAnsi="Calibri"/>
                <w:sz w:val="20"/>
                <w:szCs w:val="20"/>
              </w:rPr>
            </w:pPr>
            <w:r w:rsidRPr="00852E57">
              <w:rPr>
                <w:rFonts w:ascii="Calibri" w:hAnsi="Calibri"/>
                <w:sz w:val="20"/>
                <w:szCs w:val="20"/>
              </w:rPr>
              <w:t>60 997</w:t>
            </w:r>
          </w:p>
        </w:tc>
        <w:tc>
          <w:tcPr>
            <w:tcW w:w="0" w:type="auto"/>
            <w:tcBorders>
              <w:top w:val="single" w:sz="4" w:space="0" w:color="auto"/>
              <w:left w:val="single" w:sz="4" w:space="0" w:color="auto"/>
              <w:bottom w:val="single" w:sz="4" w:space="0" w:color="auto"/>
              <w:right w:val="single" w:sz="4" w:space="0" w:color="auto"/>
            </w:tcBorders>
            <w:vAlign w:val="center"/>
            <w:hideMark/>
          </w:tcPr>
          <w:p w:rsidR="0054499C" w:rsidRPr="00852E57" w:rsidRDefault="0054499C" w:rsidP="0054499C">
            <w:pPr>
              <w:spacing w:after="240"/>
              <w:jc w:val="center"/>
              <w:rPr>
                <w:rFonts w:ascii="Calibri" w:eastAsia="Arial Unicode MS" w:hAnsi="Calibri"/>
                <w:sz w:val="20"/>
                <w:szCs w:val="20"/>
              </w:rPr>
            </w:pPr>
            <w:r w:rsidRPr="00852E57">
              <w:rPr>
                <w:rFonts w:ascii="Calibri" w:hAnsi="Calibri"/>
                <w:sz w:val="20"/>
                <w:szCs w:val="20"/>
              </w:rPr>
              <w:t>60 958</w:t>
            </w:r>
          </w:p>
        </w:tc>
        <w:tc>
          <w:tcPr>
            <w:tcW w:w="0" w:type="auto"/>
            <w:tcBorders>
              <w:top w:val="single" w:sz="4" w:space="0" w:color="auto"/>
              <w:left w:val="single" w:sz="4" w:space="0" w:color="auto"/>
              <w:bottom w:val="single" w:sz="4" w:space="0" w:color="auto"/>
              <w:right w:val="single" w:sz="4" w:space="0" w:color="auto"/>
            </w:tcBorders>
            <w:vAlign w:val="center"/>
            <w:hideMark/>
          </w:tcPr>
          <w:p w:rsidR="0054499C" w:rsidRPr="00852E57" w:rsidRDefault="0054499C" w:rsidP="0054499C">
            <w:pPr>
              <w:spacing w:after="240"/>
              <w:jc w:val="center"/>
              <w:rPr>
                <w:rFonts w:ascii="Calibri" w:eastAsia="Arial Unicode MS" w:hAnsi="Calibri"/>
                <w:sz w:val="20"/>
                <w:szCs w:val="20"/>
              </w:rPr>
            </w:pPr>
            <w:r w:rsidRPr="00852E57">
              <w:rPr>
                <w:rFonts w:ascii="Calibri" w:hAnsi="Calibri"/>
                <w:sz w:val="20"/>
                <w:szCs w:val="20"/>
              </w:rPr>
              <w:t>40</w:t>
            </w:r>
          </w:p>
        </w:tc>
      </w:tr>
      <w:tr w:rsidR="0054499C" w:rsidRPr="00852E57" w:rsidTr="0054499C">
        <w:trPr>
          <w:cantSplit/>
          <w:trHeight w:hRule="exact" w:val="284"/>
          <w:jc w:val="center"/>
        </w:trPr>
        <w:tc>
          <w:tcPr>
            <w:tcW w:w="0" w:type="auto"/>
            <w:tcBorders>
              <w:top w:val="single" w:sz="4" w:space="0" w:color="auto"/>
              <w:left w:val="single" w:sz="4" w:space="0" w:color="auto"/>
              <w:bottom w:val="single" w:sz="4" w:space="0" w:color="auto"/>
              <w:right w:val="single" w:sz="4" w:space="0" w:color="auto"/>
            </w:tcBorders>
            <w:hideMark/>
          </w:tcPr>
          <w:p w:rsidR="0054499C" w:rsidRPr="00852E57" w:rsidRDefault="0054499C" w:rsidP="0054499C">
            <w:pPr>
              <w:spacing w:after="240"/>
              <w:jc w:val="center"/>
              <w:rPr>
                <w:rFonts w:ascii="Calibri" w:hAnsi="Calibri" w:cs="Calibri"/>
                <w:b/>
                <w:bCs/>
                <w:sz w:val="20"/>
                <w:szCs w:val="20"/>
              </w:rPr>
            </w:pPr>
            <w:r w:rsidRPr="00852E57">
              <w:rPr>
                <w:rFonts w:ascii="Calibri" w:hAnsi="Calibri" w:cs="Calibri"/>
                <w:b/>
                <w:bCs/>
                <w:sz w:val="20"/>
                <w:szCs w:val="20"/>
              </w:rPr>
              <w:t>S6</w:t>
            </w:r>
          </w:p>
        </w:tc>
        <w:tc>
          <w:tcPr>
            <w:tcW w:w="0" w:type="auto"/>
            <w:tcBorders>
              <w:top w:val="single" w:sz="4" w:space="0" w:color="auto"/>
              <w:left w:val="single" w:sz="4" w:space="0" w:color="auto"/>
              <w:bottom w:val="single" w:sz="4" w:space="0" w:color="auto"/>
              <w:right w:val="single" w:sz="4" w:space="0" w:color="auto"/>
            </w:tcBorders>
            <w:vAlign w:val="center"/>
            <w:hideMark/>
          </w:tcPr>
          <w:p w:rsidR="0054499C" w:rsidRPr="00852E57" w:rsidRDefault="0054499C" w:rsidP="0054499C">
            <w:pPr>
              <w:spacing w:after="240"/>
              <w:jc w:val="center"/>
              <w:rPr>
                <w:rFonts w:ascii="Calibri" w:eastAsia="Arial Unicode MS" w:hAnsi="Calibri"/>
                <w:sz w:val="20"/>
                <w:szCs w:val="20"/>
              </w:rPr>
            </w:pPr>
            <w:r w:rsidRPr="00852E57">
              <w:rPr>
                <w:rFonts w:ascii="Calibri" w:hAnsi="Calibri"/>
                <w:sz w:val="20"/>
                <w:szCs w:val="20"/>
              </w:rPr>
              <w:t>17 068</w:t>
            </w:r>
          </w:p>
        </w:tc>
        <w:tc>
          <w:tcPr>
            <w:tcW w:w="0" w:type="auto"/>
            <w:tcBorders>
              <w:top w:val="single" w:sz="4" w:space="0" w:color="auto"/>
              <w:left w:val="single" w:sz="4" w:space="0" w:color="auto"/>
              <w:bottom w:val="single" w:sz="4" w:space="0" w:color="auto"/>
              <w:right w:val="single" w:sz="4" w:space="0" w:color="auto"/>
            </w:tcBorders>
            <w:vAlign w:val="center"/>
            <w:hideMark/>
          </w:tcPr>
          <w:p w:rsidR="0054499C" w:rsidRPr="00852E57" w:rsidRDefault="0054499C" w:rsidP="0054499C">
            <w:pPr>
              <w:spacing w:after="240"/>
              <w:jc w:val="center"/>
              <w:rPr>
                <w:rFonts w:ascii="Calibri" w:eastAsia="Arial Unicode MS" w:hAnsi="Calibri"/>
                <w:sz w:val="20"/>
                <w:szCs w:val="20"/>
              </w:rPr>
            </w:pPr>
            <w:r w:rsidRPr="00852E57">
              <w:rPr>
                <w:rFonts w:ascii="Calibri" w:hAnsi="Calibri"/>
                <w:sz w:val="20"/>
                <w:szCs w:val="20"/>
              </w:rPr>
              <w:t>15 928</w:t>
            </w:r>
          </w:p>
        </w:tc>
        <w:tc>
          <w:tcPr>
            <w:tcW w:w="0" w:type="auto"/>
            <w:tcBorders>
              <w:top w:val="single" w:sz="4" w:space="0" w:color="auto"/>
              <w:left w:val="single" w:sz="4" w:space="0" w:color="auto"/>
              <w:bottom w:val="single" w:sz="4" w:space="0" w:color="auto"/>
              <w:right w:val="single" w:sz="4" w:space="0" w:color="auto"/>
            </w:tcBorders>
            <w:vAlign w:val="center"/>
            <w:hideMark/>
          </w:tcPr>
          <w:p w:rsidR="0054499C" w:rsidRPr="00852E57" w:rsidRDefault="0054499C" w:rsidP="0054499C">
            <w:pPr>
              <w:spacing w:after="240"/>
              <w:jc w:val="center"/>
              <w:rPr>
                <w:rFonts w:ascii="Calibri" w:eastAsia="Arial Unicode MS" w:hAnsi="Calibri"/>
                <w:sz w:val="20"/>
                <w:szCs w:val="20"/>
              </w:rPr>
            </w:pPr>
            <w:r w:rsidRPr="00852E57">
              <w:rPr>
                <w:rFonts w:ascii="Calibri" w:hAnsi="Calibri"/>
                <w:sz w:val="20"/>
                <w:szCs w:val="20"/>
              </w:rPr>
              <w:t>1 140</w:t>
            </w:r>
          </w:p>
        </w:tc>
      </w:tr>
      <w:tr w:rsidR="0054499C" w:rsidRPr="00852E57" w:rsidTr="0054499C">
        <w:trPr>
          <w:cantSplit/>
          <w:trHeight w:hRule="exact" w:val="284"/>
          <w:jc w:val="center"/>
        </w:trPr>
        <w:tc>
          <w:tcPr>
            <w:tcW w:w="0" w:type="auto"/>
            <w:tcBorders>
              <w:top w:val="single" w:sz="4" w:space="0" w:color="auto"/>
              <w:left w:val="single" w:sz="4" w:space="0" w:color="auto"/>
              <w:bottom w:val="single" w:sz="4" w:space="0" w:color="auto"/>
              <w:right w:val="single" w:sz="4" w:space="0" w:color="auto"/>
            </w:tcBorders>
            <w:hideMark/>
          </w:tcPr>
          <w:p w:rsidR="0054499C" w:rsidRPr="00852E57" w:rsidRDefault="0054499C" w:rsidP="0054499C">
            <w:pPr>
              <w:spacing w:after="240"/>
              <w:jc w:val="center"/>
              <w:rPr>
                <w:rFonts w:ascii="Calibri" w:hAnsi="Calibri" w:cs="Calibri"/>
                <w:b/>
                <w:bCs/>
                <w:sz w:val="20"/>
                <w:szCs w:val="20"/>
              </w:rPr>
            </w:pPr>
            <w:r w:rsidRPr="00852E57">
              <w:rPr>
                <w:rFonts w:ascii="Calibri" w:hAnsi="Calibri" w:cs="Calibri"/>
                <w:b/>
                <w:bCs/>
                <w:sz w:val="20"/>
                <w:szCs w:val="20"/>
              </w:rPr>
              <w:t>Spolu</w:t>
            </w:r>
          </w:p>
        </w:tc>
        <w:tc>
          <w:tcPr>
            <w:tcW w:w="0" w:type="auto"/>
            <w:tcBorders>
              <w:top w:val="single" w:sz="4" w:space="0" w:color="auto"/>
              <w:left w:val="single" w:sz="4" w:space="0" w:color="auto"/>
              <w:bottom w:val="single" w:sz="4" w:space="0" w:color="auto"/>
              <w:right w:val="single" w:sz="4" w:space="0" w:color="auto"/>
            </w:tcBorders>
            <w:vAlign w:val="center"/>
            <w:hideMark/>
          </w:tcPr>
          <w:p w:rsidR="0054499C" w:rsidRPr="00852E57" w:rsidRDefault="0054499C" w:rsidP="0054499C">
            <w:pPr>
              <w:spacing w:after="240"/>
              <w:jc w:val="center"/>
              <w:rPr>
                <w:rFonts w:ascii="Calibri" w:eastAsia="Arial Unicode MS" w:hAnsi="Calibri"/>
                <w:b/>
                <w:bCs/>
                <w:iCs/>
                <w:sz w:val="20"/>
                <w:szCs w:val="20"/>
              </w:rPr>
            </w:pPr>
            <w:r w:rsidRPr="00852E57">
              <w:rPr>
                <w:rFonts w:ascii="Calibri" w:hAnsi="Calibri"/>
                <w:b/>
                <w:bCs/>
                <w:iCs/>
                <w:sz w:val="20"/>
                <w:szCs w:val="20"/>
              </w:rPr>
              <w:t>348 203</w:t>
            </w:r>
          </w:p>
        </w:tc>
        <w:tc>
          <w:tcPr>
            <w:tcW w:w="0" w:type="auto"/>
            <w:tcBorders>
              <w:top w:val="single" w:sz="4" w:space="0" w:color="auto"/>
              <w:left w:val="single" w:sz="4" w:space="0" w:color="auto"/>
              <w:bottom w:val="single" w:sz="4" w:space="0" w:color="auto"/>
              <w:right w:val="single" w:sz="4" w:space="0" w:color="auto"/>
            </w:tcBorders>
            <w:vAlign w:val="center"/>
            <w:hideMark/>
          </w:tcPr>
          <w:p w:rsidR="0054499C" w:rsidRPr="00852E57" w:rsidRDefault="0054499C" w:rsidP="0054499C">
            <w:pPr>
              <w:spacing w:after="240"/>
              <w:jc w:val="center"/>
              <w:rPr>
                <w:rFonts w:ascii="Calibri" w:eastAsia="Arial Unicode MS" w:hAnsi="Calibri"/>
                <w:b/>
                <w:bCs/>
                <w:iCs/>
                <w:sz w:val="20"/>
                <w:szCs w:val="20"/>
              </w:rPr>
            </w:pPr>
            <w:r w:rsidRPr="00852E57">
              <w:rPr>
                <w:rFonts w:ascii="Calibri" w:hAnsi="Calibri"/>
                <w:b/>
                <w:bCs/>
                <w:iCs/>
                <w:sz w:val="20"/>
                <w:szCs w:val="20"/>
              </w:rPr>
              <w:t>341 529</w:t>
            </w:r>
          </w:p>
        </w:tc>
        <w:tc>
          <w:tcPr>
            <w:tcW w:w="0" w:type="auto"/>
            <w:tcBorders>
              <w:top w:val="single" w:sz="4" w:space="0" w:color="auto"/>
              <w:left w:val="single" w:sz="4" w:space="0" w:color="auto"/>
              <w:bottom w:val="single" w:sz="4" w:space="0" w:color="auto"/>
              <w:right w:val="single" w:sz="4" w:space="0" w:color="auto"/>
            </w:tcBorders>
            <w:vAlign w:val="center"/>
            <w:hideMark/>
          </w:tcPr>
          <w:p w:rsidR="0054499C" w:rsidRPr="00852E57" w:rsidRDefault="0054499C" w:rsidP="0054499C">
            <w:pPr>
              <w:spacing w:after="240"/>
              <w:jc w:val="center"/>
              <w:rPr>
                <w:rFonts w:ascii="Calibri" w:eastAsia="Arial Unicode MS" w:hAnsi="Calibri"/>
                <w:b/>
                <w:bCs/>
                <w:iCs/>
                <w:sz w:val="20"/>
                <w:szCs w:val="20"/>
              </w:rPr>
            </w:pPr>
            <w:r w:rsidRPr="00852E57">
              <w:rPr>
                <w:rFonts w:ascii="Calibri" w:hAnsi="Calibri"/>
                <w:b/>
                <w:bCs/>
                <w:iCs/>
                <w:sz w:val="20"/>
                <w:szCs w:val="20"/>
              </w:rPr>
              <w:t>6 674</w:t>
            </w:r>
          </w:p>
        </w:tc>
      </w:tr>
    </w:tbl>
    <w:p w:rsidR="0054499C" w:rsidRPr="00852E57" w:rsidRDefault="0054499C" w:rsidP="0054499C">
      <w:pPr>
        <w:rPr>
          <w:rFonts w:ascii="Calibri" w:hAnsi="Calibri"/>
          <w:szCs w:val="20"/>
        </w:rPr>
      </w:pPr>
    </w:p>
    <w:p w:rsidR="0054499C" w:rsidRPr="00852E57" w:rsidRDefault="0054499C" w:rsidP="0054499C">
      <w:pPr>
        <w:ind w:right="-567"/>
        <w:rPr>
          <w:rFonts w:ascii="Calibri" w:eastAsia="Calibri" w:hAnsi="Calibri" w:cs="Arial"/>
          <w:u w:val="single"/>
        </w:rPr>
      </w:pPr>
      <w:r w:rsidRPr="00852E57">
        <w:rPr>
          <w:rFonts w:ascii="Calibri" w:eastAsia="Calibri" w:hAnsi="Calibri" w:cs="Arial"/>
          <w:u w:val="single"/>
        </w:rPr>
        <w:t>Typ podpory:</w:t>
      </w:r>
    </w:p>
    <w:p w:rsidR="0054499C" w:rsidRPr="00852E57" w:rsidRDefault="0054499C" w:rsidP="0054499C">
      <w:pPr>
        <w:rPr>
          <w:rFonts w:ascii="Calibri" w:hAnsi="Calibri"/>
          <w:szCs w:val="20"/>
          <w:lang w:eastAsia="en-GB"/>
        </w:rPr>
      </w:pPr>
      <w:r w:rsidRPr="00852E57">
        <w:rPr>
          <w:rFonts w:ascii="Calibri" w:hAnsi="Calibri"/>
          <w:szCs w:val="20"/>
        </w:rPr>
        <w:t>Nezisková ročná kompenzačná platba na hektár využívanej poľnohospodárskej pôdy v príslušnej kategórii LFA.</w:t>
      </w:r>
    </w:p>
    <w:p w:rsidR="0054499C" w:rsidRPr="00852E57" w:rsidRDefault="0054499C" w:rsidP="0054499C">
      <w:pPr>
        <w:ind w:right="-567"/>
        <w:rPr>
          <w:rFonts w:ascii="Calibri" w:eastAsia="Calibri" w:hAnsi="Calibri" w:cs="Arial"/>
          <w:color w:val="FF0000"/>
        </w:rPr>
      </w:pPr>
    </w:p>
    <w:p w:rsidR="0054499C" w:rsidRPr="00852E57" w:rsidRDefault="0054499C" w:rsidP="0054499C">
      <w:pPr>
        <w:ind w:right="-567"/>
        <w:rPr>
          <w:rFonts w:ascii="Calibri" w:eastAsia="Calibri" w:hAnsi="Calibri" w:cs="Arial"/>
          <w:color w:val="FF0000"/>
        </w:rPr>
      </w:pPr>
    </w:p>
    <w:p w:rsidR="0054499C" w:rsidRPr="00852E57" w:rsidRDefault="0054499C" w:rsidP="0054499C">
      <w:pPr>
        <w:ind w:right="-567"/>
        <w:rPr>
          <w:rFonts w:ascii="Calibri" w:eastAsia="Calibri" w:hAnsi="Calibri" w:cs="Arial"/>
          <w:u w:val="single"/>
        </w:rPr>
      </w:pPr>
      <w:r w:rsidRPr="00852E57">
        <w:rPr>
          <w:rFonts w:ascii="Calibri" w:eastAsia="Calibri" w:hAnsi="Calibri" w:cs="Arial"/>
          <w:u w:val="single"/>
        </w:rPr>
        <w:t>Prepojenie na ostatnú legislatívu:</w:t>
      </w:r>
    </w:p>
    <w:p w:rsidR="0054499C" w:rsidRPr="00852E57" w:rsidRDefault="0054499C" w:rsidP="00CE203B">
      <w:pPr>
        <w:numPr>
          <w:ilvl w:val="0"/>
          <w:numId w:val="278"/>
        </w:numPr>
        <w:rPr>
          <w:rFonts w:ascii="Calibri" w:hAnsi="Calibri" w:cs="EUAlbertina"/>
          <w:bCs/>
          <w:szCs w:val="20"/>
        </w:rPr>
      </w:pPr>
      <w:r w:rsidRPr="00852E57">
        <w:rPr>
          <w:rFonts w:ascii="Calibri" w:hAnsi="Calibri"/>
          <w:szCs w:val="20"/>
        </w:rPr>
        <w:t xml:space="preserve">nariadenie (EÚ) č. 1306/2013 </w:t>
      </w:r>
      <w:r w:rsidRPr="00852E57">
        <w:rPr>
          <w:rFonts w:ascii="Calibri" w:hAnsi="Calibri" w:cs="EUAlbertina"/>
          <w:bCs/>
          <w:szCs w:val="20"/>
        </w:rPr>
        <w:t>o financovaní, riadení a monitorovaní spoločnej poľnohospodárskej politiky;</w:t>
      </w:r>
    </w:p>
    <w:p w:rsidR="0054499C" w:rsidRPr="00852E57" w:rsidRDefault="0054499C" w:rsidP="00CE203B">
      <w:pPr>
        <w:numPr>
          <w:ilvl w:val="0"/>
          <w:numId w:val="278"/>
        </w:numPr>
        <w:rPr>
          <w:rFonts w:ascii="Calibri" w:hAnsi="Calibri" w:cs="Calibri"/>
          <w:bCs/>
          <w:szCs w:val="20"/>
        </w:rPr>
      </w:pPr>
      <w:r w:rsidRPr="00852E57">
        <w:rPr>
          <w:rFonts w:ascii="Calibri" w:hAnsi="Calibri" w:cs="EUAlbertina"/>
          <w:bCs/>
          <w:szCs w:val="20"/>
        </w:rPr>
        <w:t xml:space="preserve">nariadenie </w:t>
      </w:r>
      <w:r w:rsidRPr="00852E57">
        <w:rPr>
          <w:rFonts w:ascii="Calibri" w:hAnsi="Calibri"/>
          <w:szCs w:val="20"/>
        </w:rPr>
        <w:t xml:space="preserve">(EÚ) </w:t>
      </w:r>
      <w:r w:rsidRPr="00852E57">
        <w:rPr>
          <w:rFonts w:ascii="Calibri" w:hAnsi="Calibri" w:cs="EUAlbertina"/>
          <w:bCs/>
          <w:szCs w:val="20"/>
        </w:rPr>
        <w:t>č. 1307/2013, ktorým sa ustanovujú pravidlá priamych podpôr pre poľnohospodárov na základe režimov podpory v rámci spoločnej poľnohospodárskej politiky;</w:t>
      </w:r>
    </w:p>
    <w:p w:rsidR="0054499C" w:rsidRPr="00852E57" w:rsidRDefault="0054499C" w:rsidP="00CE203B">
      <w:pPr>
        <w:numPr>
          <w:ilvl w:val="0"/>
          <w:numId w:val="278"/>
        </w:numPr>
        <w:rPr>
          <w:rFonts w:ascii="Calibri" w:hAnsi="Calibri" w:cs="Calibri"/>
          <w:bCs/>
          <w:szCs w:val="20"/>
        </w:rPr>
      </w:pPr>
      <w:r w:rsidRPr="00852E57">
        <w:rPr>
          <w:rFonts w:ascii="Calibri" w:hAnsi="Calibri"/>
          <w:szCs w:val="20"/>
        </w:rPr>
        <w:t>nariadenie (EÚ)  č. 1310/2013, ktorým sa stanovujú niektoré prechodné ustanovenia o podpore rozvoja vidieka z EPFRV.</w:t>
      </w:r>
    </w:p>
    <w:p w:rsidR="0054499C" w:rsidRPr="00852E57" w:rsidRDefault="0054499C" w:rsidP="0054499C">
      <w:pPr>
        <w:ind w:right="-567"/>
        <w:rPr>
          <w:rFonts w:ascii="Calibri" w:eastAsia="Calibri" w:hAnsi="Calibri" w:cs="Arial"/>
          <w:u w:val="single"/>
        </w:rPr>
      </w:pPr>
    </w:p>
    <w:p w:rsidR="0054499C" w:rsidRPr="00852E57" w:rsidRDefault="0054499C" w:rsidP="0054499C">
      <w:pPr>
        <w:ind w:right="-567"/>
        <w:rPr>
          <w:rFonts w:ascii="Calibri" w:eastAsia="Calibri" w:hAnsi="Calibri" w:cs="Arial"/>
          <w:u w:val="single"/>
        </w:rPr>
      </w:pPr>
      <w:r w:rsidRPr="00852E57">
        <w:rPr>
          <w:rFonts w:ascii="Calibri" w:eastAsia="Calibri" w:hAnsi="Calibri" w:cs="Arial"/>
          <w:u w:val="single"/>
        </w:rPr>
        <w:t>Prijímateľ podpory:</w:t>
      </w:r>
    </w:p>
    <w:p w:rsidR="0054499C" w:rsidRPr="00852E57" w:rsidRDefault="0054499C" w:rsidP="0054499C">
      <w:pPr>
        <w:rPr>
          <w:rFonts w:ascii="Calibri" w:hAnsi="Calibri" w:cs="Calibri"/>
          <w:bCs/>
          <w:szCs w:val="20"/>
        </w:rPr>
      </w:pPr>
      <w:r w:rsidRPr="00852E57">
        <w:rPr>
          <w:rFonts w:ascii="Calibri" w:hAnsi="Calibri"/>
          <w:szCs w:val="20"/>
        </w:rPr>
        <w:t xml:space="preserve">Fyzické a právnické osoby podnikajúce v poľnohospodárskej prvovýrobe spĺňajúce definíciu aktívneho farmára podľa čl. 9 nariadenia (EÚ) č. 1307/2013. </w:t>
      </w:r>
    </w:p>
    <w:p w:rsidR="0054499C" w:rsidRPr="00852E57" w:rsidRDefault="0054499C" w:rsidP="0054499C">
      <w:pPr>
        <w:ind w:right="-567"/>
        <w:rPr>
          <w:rFonts w:ascii="Calibri" w:eastAsia="Calibri" w:hAnsi="Calibri" w:cs="Arial"/>
          <w:b/>
          <w:u w:val="single"/>
        </w:rPr>
      </w:pPr>
    </w:p>
    <w:p w:rsidR="0054499C" w:rsidRPr="00852E57" w:rsidRDefault="0054499C" w:rsidP="0054499C">
      <w:pPr>
        <w:ind w:right="-567"/>
        <w:rPr>
          <w:rFonts w:ascii="Calibri" w:eastAsia="Calibri" w:hAnsi="Calibri" w:cs="Arial"/>
          <w:u w:val="single"/>
        </w:rPr>
      </w:pPr>
      <w:r w:rsidRPr="00852E57">
        <w:rPr>
          <w:rFonts w:ascii="Calibri" w:eastAsia="Calibri" w:hAnsi="Calibri" w:cs="Arial"/>
          <w:u w:val="single"/>
        </w:rPr>
        <w:t>Oprávnené náklady:</w:t>
      </w:r>
    </w:p>
    <w:p w:rsidR="0054499C" w:rsidRPr="00852E57" w:rsidRDefault="0054499C" w:rsidP="0054499C">
      <w:pPr>
        <w:rPr>
          <w:rFonts w:ascii="Calibri" w:eastAsia="Calibri" w:hAnsi="Calibri"/>
        </w:rPr>
      </w:pPr>
      <w:r w:rsidRPr="00852E57">
        <w:rPr>
          <w:rFonts w:ascii="Calibri" w:eastAsia="Calibri" w:hAnsi="Calibri"/>
        </w:rPr>
        <w:t>Kompenzačné platby sú stanovené na hektár vyžívanej poľnohospodárskej pôdy pričom platba bude realizovaná ako sadzba na 1 ha oprávnenej plochy – pôdneho bloku evidovaného v LPIS. Kompenzačné platby sú diferencované podľa jednotlivých subkategórií oblastí so špecifickými nevýhodami a príslušného výrobného zamerania. Nad stanovené plošné (veľkostné) kategórie poľnohospodárskych podnikov sa uplatňuje degresivita v zostupnej tendencii príslušných platieb.</w:t>
      </w:r>
    </w:p>
    <w:p w:rsidR="0054499C" w:rsidRPr="00852E57" w:rsidRDefault="0054499C" w:rsidP="0054499C">
      <w:pPr>
        <w:ind w:right="-567"/>
        <w:rPr>
          <w:rFonts w:ascii="Calibri" w:eastAsia="Calibri" w:hAnsi="Calibri" w:cs="Arial"/>
          <w:color w:val="FF0000"/>
        </w:rPr>
      </w:pPr>
    </w:p>
    <w:p w:rsidR="0054499C" w:rsidRPr="00852E57" w:rsidRDefault="0054499C" w:rsidP="0054499C">
      <w:pPr>
        <w:ind w:right="-567"/>
        <w:rPr>
          <w:rFonts w:ascii="Calibri" w:eastAsia="Calibri" w:hAnsi="Calibri" w:cs="Arial"/>
          <w:u w:val="single"/>
        </w:rPr>
      </w:pPr>
      <w:r w:rsidRPr="00852E57">
        <w:rPr>
          <w:rFonts w:ascii="Calibri" w:eastAsia="Calibri" w:hAnsi="Calibri" w:cs="Arial"/>
          <w:u w:val="single"/>
        </w:rPr>
        <w:t>Podmienky oprávnenosti:</w:t>
      </w:r>
    </w:p>
    <w:p w:rsidR="0054499C" w:rsidRPr="00852E57" w:rsidRDefault="0054499C" w:rsidP="00CE203B">
      <w:pPr>
        <w:numPr>
          <w:ilvl w:val="0"/>
          <w:numId w:val="282"/>
        </w:numPr>
        <w:tabs>
          <w:tab w:val="left" w:pos="900"/>
          <w:tab w:val="decimal" w:pos="9000"/>
        </w:tabs>
        <w:overflowPunct w:val="0"/>
        <w:autoSpaceDE w:val="0"/>
        <w:autoSpaceDN w:val="0"/>
        <w:adjustRightInd w:val="0"/>
        <w:textAlignment w:val="baseline"/>
        <w:rPr>
          <w:rFonts w:ascii="Calibri" w:eastAsia="Calibri" w:hAnsi="Calibri"/>
          <w:lang w:eastAsia="cs-CZ"/>
        </w:rPr>
      </w:pPr>
      <w:r w:rsidRPr="00852E57">
        <w:rPr>
          <w:rFonts w:ascii="Calibri" w:eastAsia="Calibri" w:hAnsi="Calibri"/>
          <w:lang w:eastAsia="cs-CZ"/>
        </w:rPr>
        <w:t>Vstúpiť do opatrenia minimálne s 1 ha poľnohospodárskej pôdy (LPIS).</w:t>
      </w:r>
    </w:p>
    <w:p w:rsidR="0054499C" w:rsidRPr="00852E57" w:rsidRDefault="0054499C" w:rsidP="00CE203B">
      <w:pPr>
        <w:numPr>
          <w:ilvl w:val="0"/>
          <w:numId w:val="282"/>
        </w:numPr>
        <w:tabs>
          <w:tab w:val="left" w:pos="900"/>
          <w:tab w:val="decimal" w:pos="9000"/>
        </w:tabs>
        <w:overflowPunct w:val="0"/>
        <w:autoSpaceDE w:val="0"/>
        <w:autoSpaceDN w:val="0"/>
        <w:adjustRightInd w:val="0"/>
        <w:textAlignment w:val="baseline"/>
        <w:rPr>
          <w:rFonts w:ascii="Calibri" w:eastAsia="Calibri" w:hAnsi="Calibri"/>
          <w:lang w:eastAsia="cs-CZ"/>
        </w:rPr>
      </w:pPr>
      <w:r w:rsidRPr="00852E57">
        <w:rPr>
          <w:rFonts w:ascii="Calibri" w:eastAsia="Calibri" w:hAnsi="Calibri"/>
          <w:lang w:eastAsia="cs-CZ"/>
        </w:rPr>
        <w:t>Prijať záväzok vykonávať svoju poľnohospodársku činnosť v špecificky znevýhodnených oblastiach.</w:t>
      </w:r>
    </w:p>
    <w:p w:rsidR="0054499C" w:rsidRPr="00852E57" w:rsidRDefault="0054499C" w:rsidP="0054499C">
      <w:pPr>
        <w:ind w:right="-567"/>
        <w:rPr>
          <w:rFonts w:ascii="Calibri" w:eastAsia="Calibri" w:hAnsi="Calibri" w:cs="Arial"/>
          <w:color w:val="FF0000"/>
        </w:rPr>
      </w:pPr>
    </w:p>
    <w:p w:rsidR="0054499C" w:rsidRPr="00852E57" w:rsidRDefault="0054499C" w:rsidP="0054499C">
      <w:pPr>
        <w:ind w:right="-567"/>
        <w:rPr>
          <w:rFonts w:ascii="Calibri" w:eastAsia="Calibri" w:hAnsi="Calibri" w:cs="Arial"/>
          <w:u w:val="single"/>
        </w:rPr>
      </w:pPr>
      <w:r w:rsidRPr="00852E57">
        <w:rPr>
          <w:rFonts w:ascii="Calibri" w:eastAsia="Calibri" w:hAnsi="Calibri" w:cs="Arial"/>
          <w:u w:val="single"/>
        </w:rPr>
        <w:t>Princíp nastavenia výberových kritérií:</w:t>
      </w:r>
    </w:p>
    <w:p w:rsidR="0054499C" w:rsidRPr="00852E57" w:rsidRDefault="0054499C" w:rsidP="0054499C">
      <w:pPr>
        <w:rPr>
          <w:rFonts w:ascii="Calibri" w:hAnsi="Calibri"/>
          <w:szCs w:val="20"/>
          <w:lang w:eastAsia="en-GB"/>
        </w:rPr>
      </w:pPr>
      <w:r w:rsidRPr="00852E57">
        <w:rPr>
          <w:rFonts w:ascii="Calibri" w:hAnsi="Calibri"/>
          <w:szCs w:val="20"/>
          <w:lang w:eastAsia="en-GB"/>
        </w:rPr>
        <w:t>Vzhľadom na nárokovateľnosť kompenzačných platieb sa výberové kritéria neuplatňujú.</w:t>
      </w:r>
    </w:p>
    <w:p w:rsidR="0054499C" w:rsidRPr="00852E57" w:rsidRDefault="0054499C" w:rsidP="0054499C">
      <w:pPr>
        <w:ind w:right="-567"/>
        <w:rPr>
          <w:rFonts w:ascii="Calibri" w:eastAsia="Calibri" w:hAnsi="Calibri" w:cs="Arial"/>
          <w:color w:val="FF0000"/>
        </w:rPr>
      </w:pPr>
    </w:p>
    <w:p w:rsidR="0054499C" w:rsidRPr="00852E57" w:rsidRDefault="0054499C" w:rsidP="0054499C">
      <w:pPr>
        <w:ind w:right="-567"/>
        <w:rPr>
          <w:rFonts w:ascii="Calibri" w:eastAsia="Calibri" w:hAnsi="Calibri" w:cs="Arial"/>
          <w:u w:val="single"/>
        </w:rPr>
      </w:pPr>
      <w:r w:rsidRPr="00852E57">
        <w:rPr>
          <w:rFonts w:ascii="Calibri" w:eastAsia="Calibri" w:hAnsi="Calibri" w:cs="Arial"/>
          <w:u w:val="single"/>
        </w:rPr>
        <w:t>Výška a miera podpory:</w:t>
      </w:r>
    </w:p>
    <w:p w:rsidR="0054499C" w:rsidRPr="00852E57" w:rsidRDefault="0054499C" w:rsidP="0054499C">
      <w:pPr>
        <w:rPr>
          <w:rFonts w:ascii="Calibri" w:hAnsi="Calibri"/>
          <w:iCs/>
          <w:szCs w:val="20"/>
        </w:rPr>
      </w:pPr>
      <w:r w:rsidRPr="00852E57">
        <w:rPr>
          <w:rFonts w:ascii="Calibri" w:hAnsi="Calibri"/>
          <w:iCs/>
          <w:szCs w:val="20"/>
        </w:rPr>
        <w:t>Výška podpory (€/ha):</w:t>
      </w:r>
    </w:p>
    <w:p w:rsidR="0054499C" w:rsidRPr="00852E57" w:rsidRDefault="0054499C" w:rsidP="0054499C">
      <w:pPr>
        <w:rPr>
          <w:rFonts w:ascii="Calibri" w:hAnsi="Calibri"/>
          <w:iCs/>
          <w:sz w:val="20"/>
          <w:szCs w:val="20"/>
        </w:rPr>
      </w:pPr>
      <w:r w:rsidRPr="00852E57">
        <w:rPr>
          <w:rFonts w:ascii="Calibri" w:hAnsi="Calibri"/>
          <w:iCs/>
          <w:sz w:val="20"/>
          <w:szCs w:val="20"/>
        </w:rPr>
        <w:t>V roku 2014</w:t>
      </w:r>
    </w:p>
    <w:tbl>
      <w:tblPr>
        <w:tblpPr w:leftFromText="141" w:rightFromText="141" w:vertAnchor="text" w:horzAnchor="margin" w:tblpY="90"/>
        <w:tblW w:w="2730" w:type="dxa"/>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685"/>
        <w:gridCol w:w="2045"/>
      </w:tblGrid>
      <w:tr w:rsidR="0054499C" w:rsidRPr="00852E57" w:rsidTr="0054499C">
        <w:trPr>
          <w:trHeight w:hRule="exact" w:val="340"/>
          <w:tblCellSpacing w:w="0" w:type="dxa"/>
        </w:trPr>
        <w:tc>
          <w:tcPr>
            <w:tcW w:w="685" w:type="dxa"/>
            <w:tcBorders>
              <w:top w:val="single" w:sz="4" w:space="0" w:color="auto"/>
              <w:left w:val="single" w:sz="4" w:space="0" w:color="auto"/>
              <w:bottom w:val="single" w:sz="4" w:space="0" w:color="auto"/>
              <w:right w:val="single" w:sz="4" w:space="0" w:color="auto"/>
            </w:tcBorders>
            <w:hideMark/>
          </w:tcPr>
          <w:p w:rsidR="0054499C" w:rsidRPr="00852E57" w:rsidRDefault="0054499C" w:rsidP="0054499C">
            <w:pPr>
              <w:jc w:val="center"/>
              <w:rPr>
                <w:rFonts w:ascii="Calibri" w:hAnsi="Calibri"/>
                <w:b/>
                <w:bCs/>
                <w:sz w:val="20"/>
                <w:szCs w:val="20"/>
              </w:rPr>
            </w:pPr>
            <w:r w:rsidRPr="00852E57">
              <w:rPr>
                <w:rFonts w:ascii="Calibri" w:hAnsi="Calibri"/>
                <w:b/>
                <w:bCs/>
                <w:sz w:val="20"/>
                <w:szCs w:val="20"/>
              </w:rPr>
              <w:t>S1</w:t>
            </w:r>
          </w:p>
        </w:tc>
        <w:tc>
          <w:tcPr>
            <w:tcW w:w="2045" w:type="dxa"/>
            <w:tcBorders>
              <w:top w:val="single" w:sz="4" w:space="0" w:color="auto"/>
              <w:left w:val="single" w:sz="4" w:space="0" w:color="auto"/>
              <w:bottom w:val="single" w:sz="4" w:space="0" w:color="auto"/>
              <w:right w:val="single" w:sz="4" w:space="0" w:color="auto"/>
            </w:tcBorders>
            <w:hideMark/>
          </w:tcPr>
          <w:p w:rsidR="0054499C" w:rsidRPr="00852E57" w:rsidRDefault="0054499C" w:rsidP="0054499C">
            <w:pPr>
              <w:jc w:val="center"/>
              <w:rPr>
                <w:rFonts w:ascii="Calibri" w:hAnsi="Calibri"/>
                <w:b/>
                <w:bCs/>
                <w:sz w:val="20"/>
                <w:szCs w:val="20"/>
              </w:rPr>
            </w:pPr>
            <w:r w:rsidRPr="00852E57">
              <w:rPr>
                <w:rFonts w:ascii="Calibri" w:hAnsi="Calibri"/>
                <w:b/>
                <w:bCs/>
                <w:sz w:val="20"/>
                <w:szCs w:val="20"/>
              </w:rPr>
              <w:t>36,46</w:t>
            </w:r>
          </w:p>
        </w:tc>
      </w:tr>
      <w:tr w:rsidR="0054499C" w:rsidRPr="00852E57" w:rsidTr="0054499C">
        <w:trPr>
          <w:trHeight w:hRule="exact" w:val="340"/>
          <w:tblCellSpacing w:w="0" w:type="dxa"/>
        </w:trPr>
        <w:tc>
          <w:tcPr>
            <w:tcW w:w="685" w:type="dxa"/>
            <w:tcBorders>
              <w:top w:val="single" w:sz="4" w:space="0" w:color="auto"/>
              <w:left w:val="single" w:sz="4" w:space="0" w:color="auto"/>
              <w:bottom w:val="single" w:sz="4" w:space="0" w:color="auto"/>
              <w:right w:val="single" w:sz="4" w:space="0" w:color="auto"/>
            </w:tcBorders>
            <w:hideMark/>
          </w:tcPr>
          <w:p w:rsidR="0054499C" w:rsidRPr="00852E57" w:rsidRDefault="0054499C" w:rsidP="0054499C">
            <w:pPr>
              <w:jc w:val="center"/>
              <w:rPr>
                <w:rFonts w:ascii="Calibri" w:hAnsi="Calibri"/>
                <w:b/>
                <w:bCs/>
                <w:sz w:val="20"/>
                <w:szCs w:val="20"/>
              </w:rPr>
            </w:pPr>
            <w:r w:rsidRPr="00852E57">
              <w:rPr>
                <w:rFonts w:ascii="Calibri" w:hAnsi="Calibri"/>
                <w:b/>
                <w:bCs/>
                <w:sz w:val="20"/>
                <w:szCs w:val="20"/>
              </w:rPr>
              <w:t>S2</w:t>
            </w:r>
          </w:p>
        </w:tc>
        <w:tc>
          <w:tcPr>
            <w:tcW w:w="2045" w:type="dxa"/>
            <w:tcBorders>
              <w:top w:val="single" w:sz="4" w:space="0" w:color="auto"/>
              <w:left w:val="single" w:sz="4" w:space="0" w:color="auto"/>
              <w:bottom w:val="single" w:sz="4" w:space="0" w:color="auto"/>
              <w:right w:val="single" w:sz="4" w:space="0" w:color="auto"/>
            </w:tcBorders>
            <w:hideMark/>
          </w:tcPr>
          <w:p w:rsidR="0054499C" w:rsidRPr="00852E57" w:rsidRDefault="0054499C" w:rsidP="0054499C">
            <w:pPr>
              <w:jc w:val="center"/>
              <w:rPr>
                <w:rFonts w:ascii="Calibri" w:hAnsi="Calibri"/>
                <w:b/>
                <w:bCs/>
                <w:sz w:val="20"/>
                <w:szCs w:val="20"/>
              </w:rPr>
            </w:pPr>
            <w:r w:rsidRPr="00852E57">
              <w:rPr>
                <w:rFonts w:ascii="Calibri" w:hAnsi="Calibri"/>
                <w:b/>
                <w:bCs/>
                <w:sz w:val="20"/>
                <w:szCs w:val="20"/>
              </w:rPr>
              <w:t>25,00</w:t>
            </w:r>
          </w:p>
        </w:tc>
      </w:tr>
      <w:tr w:rsidR="0054499C" w:rsidRPr="00852E57" w:rsidTr="0054499C">
        <w:trPr>
          <w:trHeight w:hRule="exact" w:val="340"/>
          <w:tblCellSpacing w:w="0" w:type="dxa"/>
        </w:trPr>
        <w:tc>
          <w:tcPr>
            <w:tcW w:w="685" w:type="dxa"/>
            <w:tcBorders>
              <w:top w:val="single" w:sz="4" w:space="0" w:color="auto"/>
              <w:left w:val="single" w:sz="4" w:space="0" w:color="auto"/>
              <w:bottom w:val="single" w:sz="4" w:space="0" w:color="auto"/>
              <w:right w:val="single" w:sz="4" w:space="0" w:color="auto"/>
            </w:tcBorders>
            <w:hideMark/>
          </w:tcPr>
          <w:p w:rsidR="0054499C" w:rsidRPr="00852E57" w:rsidRDefault="0054499C" w:rsidP="0054499C">
            <w:pPr>
              <w:jc w:val="center"/>
              <w:rPr>
                <w:rFonts w:ascii="Calibri" w:hAnsi="Calibri"/>
                <w:b/>
                <w:bCs/>
                <w:sz w:val="20"/>
                <w:szCs w:val="20"/>
              </w:rPr>
            </w:pPr>
            <w:r w:rsidRPr="00852E57">
              <w:rPr>
                <w:rFonts w:ascii="Calibri" w:hAnsi="Calibri"/>
                <w:b/>
                <w:bCs/>
                <w:sz w:val="20"/>
                <w:szCs w:val="20"/>
              </w:rPr>
              <w:t>S3</w:t>
            </w:r>
          </w:p>
        </w:tc>
        <w:tc>
          <w:tcPr>
            <w:tcW w:w="2045" w:type="dxa"/>
            <w:tcBorders>
              <w:top w:val="single" w:sz="4" w:space="0" w:color="auto"/>
              <w:left w:val="single" w:sz="4" w:space="0" w:color="auto"/>
              <w:bottom w:val="single" w:sz="4" w:space="0" w:color="auto"/>
              <w:right w:val="single" w:sz="4" w:space="0" w:color="auto"/>
            </w:tcBorders>
            <w:hideMark/>
          </w:tcPr>
          <w:p w:rsidR="0054499C" w:rsidRPr="00852E57" w:rsidRDefault="0054499C" w:rsidP="0054499C">
            <w:pPr>
              <w:jc w:val="center"/>
              <w:rPr>
                <w:rFonts w:ascii="Calibri" w:hAnsi="Calibri"/>
                <w:b/>
                <w:bCs/>
                <w:sz w:val="20"/>
                <w:szCs w:val="20"/>
              </w:rPr>
            </w:pPr>
            <w:r w:rsidRPr="00852E57">
              <w:rPr>
                <w:rFonts w:ascii="Calibri" w:hAnsi="Calibri"/>
                <w:b/>
                <w:bCs/>
                <w:sz w:val="20"/>
                <w:szCs w:val="20"/>
              </w:rPr>
              <w:t>50,32</w:t>
            </w:r>
          </w:p>
        </w:tc>
      </w:tr>
      <w:tr w:rsidR="0054499C" w:rsidRPr="00852E57" w:rsidTr="0054499C">
        <w:trPr>
          <w:trHeight w:hRule="exact" w:val="340"/>
          <w:tblCellSpacing w:w="0" w:type="dxa"/>
        </w:trPr>
        <w:tc>
          <w:tcPr>
            <w:tcW w:w="685" w:type="dxa"/>
            <w:tcBorders>
              <w:top w:val="single" w:sz="4" w:space="0" w:color="auto"/>
              <w:left w:val="single" w:sz="4" w:space="0" w:color="auto"/>
              <w:bottom w:val="single" w:sz="4" w:space="0" w:color="auto"/>
              <w:right w:val="single" w:sz="4" w:space="0" w:color="auto"/>
            </w:tcBorders>
            <w:hideMark/>
          </w:tcPr>
          <w:p w:rsidR="0054499C" w:rsidRPr="00852E57" w:rsidRDefault="0054499C" w:rsidP="0054499C">
            <w:pPr>
              <w:jc w:val="center"/>
              <w:rPr>
                <w:rFonts w:ascii="Calibri" w:hAnsi="Calibri"/>
                <w:b/>
                <w:bCs/>
                <w:sz w:val="20"/>
                <w:szCs w:val="20"/>
              </w:rPr>
            </w:pPr>
            <w:r w:rsidRPr="00852E57">
              <w:rPr>
                <w:rFonts w:ascii="Calibri" w:hAnsi="Calibri"/>
                <w:b/>
                <w:bCs/>
                <w:sz w:val="20"/>
                <w:szCs w:val="20"/>
              </w:rPr>
              <w:t>S4</w:t>
            </w:r>
          </w:p>
        </w:tc>
        <w:tc>
          <w:tcPr>
            <w:tcW w:w="2045" w:type="dxa"/>
            <w:tcBorders>
              <w:top w:val="single" w:sz="4" w:space="0" w:color="auto"/>
              <w:left w:val="single" w:sz="4" w:space="0" w:color="auto"/>
              <w:bottom w:val="single" w:sz="4" w:space="0" w:color="auto"/>
              <w:right w:val="single" w:sz="4" w:space="0" w:color="auto"/>
            </w:tcBorders>
            <w:hideMark/>
          </w:tcPr>
          <w:p w:rsidR="0054499C" w:rsidRPr="00852E57" w:rsidRDefault="0054499C" w:rsidP="0054499C">
            <w:pPr>
              <w:jc w:val="center"/>
              <w:rPr>
                <w:rFonts w:ascii="Calibri" w:hAnsi="Calibri"/>
                <w:b/>
                <w:bCs/>
                <w:sz w:val="20"/>
                <w:szCs w:val="20"/>
              </w:rPr>
            </w:pPr>
            <w:r w:rsidRPr="00852E57">
              <w:rPr>
                <w:rFonts w:ascii="Calibri" w:hAnsi="Calibri"/>
                <w:b/>
                <w:bCs/>
                <w:sz w:val="20"/>
                <w:szCs w:val="20"/>
              </w:rPr>
              <w:t>34,42</w:t>
            </w:r>
          </w:p>
        </w:tc>
      </w:tr>
      <w:tr w:rsidR="0054499C" w:rsidRPr="00852E57" w:rsidTr="0054499C">
        <w:trPr>
          <w:trHeight w:hRule="exact" w:val="340"/>
          <w:tblCellSpacing w:w="0" w:type="dxa"/>
        </w:trPr>
        <w:tc>
          <w:tcPr>
            <w:tcW w:w="685" w:type="dxa"/>
            <w:tcBorders>
              <w:top w:val="single" w:sz="4" w:space="0" w:color="auto"/>
              <w:left w:val="single" w:sz="4" w:space="0" w:color="auto"/>
              <w:bottom w:val="single" w:sz="4" w:space="0" w:color="auto"/>
              <w:right w:val="single" w:sz="4" w:space="0" w:color="auto"/>
            </w:tcBorders>
            <w:hideMark/>
          </w:tcPr>
          <w:p w:rsidR="0054499C" w:rsidRPr="00852E57" w:rsidRDefault="0054499C" w:rsidP="0054499C">
            <w:pPr>
              <w:jc w:val="center"/>
              <w:rPr>
                <w:rFonts w:ascii="Calibri" w:hAnsi="Calibri"/>
                <w:b/>
                <w:bCs/>
                <w:sz w:val="20"/>
                <w:szCs w:val="20"/>
              </w:rPr>
            </w:pPr>
            <w:r w:rsidRPr="00852E57">
              <w:rPr>
                <w:rFonts w:ascii="Calibri" w:hAnsi="Calibri"/>
                <w:b/>
                <w:bCs/>
                <w:sz w:val="20"/>
                <w:szCs w:val="20"/>
              </w:rPr>
              <w:t>S5</w:t>
            </w:r>
          </w:p>
        </w:tc>
        <w:tc>
          <w:tcPr>
            <w:tcW w:w="2045" w:type="dxa"/>
            <w:tcBorders>
              <w:top w:val="single" w:sz="4" w:space="0" w:color="auto"/>
              <w:left w:val="single" w:sz="4" w:space="0" w:color="auto"/>
              <w:bottom w:val="single" w:sz="4" w:space="0" w:color="auto"/>
              <w:right w:val="single" w:sz="4" w:space="0" w:color="auto"/>
            </w:tcBorders>
            <w:hideMark/>
          </w:tcPr>
          <w:p w:rsidR="0054499C" w:rsidRPr="00852E57" w:rsidRDefault="0054499C" w:rsidP="0054499C">
            <w:pPr>
              <w:jc w:val="center"/>
              <w:rPr>
                <w:rFonts w:ascii="Calibri" w:hAnsi="Calibri"/>
                <w:b/>
                <w:bCs/>
                <w:sz w:val="20"/>
                <w:szCs w:val="20"/>
              </w:rPr>
            </w:pPr>
            <w:r w:rsidRPr="00852E57">
              <w:rPr>
                <w:rFonts w:ascii="Calibri" w:hAnsi="Calibri"/>
                <w:b/>
                <w:bCs/>
                <w:sz w:val="20"/>
                <w:szCs w:val="20"/>
              </w:rPr>
              <w:t>52,64</w:t>
            </w:r>
          </w:p>
        </w:tc>
      </w:tr>
      <w:tr w:rsidR="0054499C" w:rsidRPr="00852E57" w:rsidTr="0054499C">
        <w:trPr>
          <w:trHeight w:hRule="exact" w:val="340"/>
          <w:tblCellSpacing w:w="0" w:type="dxa"/>
        </w:trPr>
        <w:tc>
          <w:tcPr>
            <w:tcW w:w="685" w:type="dxa"/>
            <w:tcBorders>
              <w:top w:val="single" w:sz="4" w:space="0" w:color="auto"/>
              <w:left w:val="single" w:sz="4" w:space="0" w:color="auto"/>
              <w:bottom w:val="single" w:sz="4" w:space="0" w:color="auto"/>
              <w:right w:val="single" w:sz="4" w:space="0" w:color="auto"/>
            </w:tcBorders>
            <w:hideMark/>
          </w:tcPr>
          <w:p w:rsidR="0054499C" w:rsidRPr="00852E57" w:rsidRDefault="0054499C" w:rsidP="0054499C">
            <w:pPr>
              <w:jc w:val="center"/>
              <w:rPr>
                <w:rFonts w:ascii="Calibri" w:hAnsi="Calibri"/>
                <w:b/>
                <w:bCs/>
                <w:sz w:val="20"/>
                <w:szCs w:val="20"/>
              </w:rPr>
            </w:pPr>
            <w:r w:rsidRPr="00852E57">
              <w:rPr>
                <w:rFonts w:ascii="Calibri" w:hAnsi="Calibri"/>
                <w:b/>
                <w:bCs/>
                <w:sz w:val="20"/>
                <w:szCs w:val="20"/>
              </w:rPr>
              <w:t>S6</w:t>
            </w:r>
          </w:p>
        </w:tc>
        <w:tc>
          <w:tcPr>
            <w:tcW w:w="2045" w:type="dxa"/>
            <w:tcBorders>
              <w:top w:val="single" w:sz="4" w:space="0" w:color="auto"/>
              <w:left w:val="single" w:sz="4" w:space="0" w:color="auto"/>
              <w:bottom w:val="single" w:sz="4" w:space="0" w:color="auto"/>
              <w:right w:val="single" w:sz="4" w:space="0" w:color="auto"/>
            </w:tcBorders>
            <w:hideMark/>
          </w:tcPr>
          <w:p w:rsidR="0054499C" w:rsidRPr="00852E57" w:rsidRDefault="0054499C" w:rsidP="0054499C">
            <w:pPr>
              <w:jc w:val="center"/>
              <w:rPr>
                <w:rFonts w:ascii="Calibri" w:hAnsi="Calibri"/>
                <w:b/>
                <w:bCs/>
                <w:sz w:val="20"/>
                <w:szCs w:val="20"/>
              </w:rPr>
            </w:pPr>
            <w:r w:rsidRPr="00852E57">
              <w:rPr>
                <w:rFonts w:ascii="Calibri" w:hAnsi="Calibri"/>
                <w:b/>
                <w:bCs/>
                <w:sz w:val="20"/>
                <w:szCs w:val="20"/>
              </w:rPr>
              <w:t>38,47</w:t>
            </w:r>
          </w:p>
        </w:tc>
      </w:tr>
    </w:tbl>
    <w:p w:rsidR="0054499C" w:rsidRPr="00852E57" w:rsidRDefault="0054499C" w:rsidP="0054499C">
      <w:pPr>
        <w:rPr>
          <w:rFonts w:ascii="Calibri" w:hAnsi="Calibri"/>
          <w:iCs/>
          <w:sz w:val="20"/>
          <w:szCs w:val="20"/>
        </w:rPr>
      </w:pPr>
    </w:p>
    <w:p w:rsidR="0054499C" w:rsidRPr="00852E57" w:rsidRDefault="0054499C" w:rsidP="0054499C">
      <w:pPr>
        <w:rPr>
          <w:rFonts w:ascii="Calibri" w:hAnsi="Calibri"/>
          <w:iCs/>
          <w:sz w:val="20"/>
          <w:szCs w:val="20"/>
        </w:rPr>
      </w:pPr>
    </w:p>
    <w:p w:rsidR="0054499C" w:rsidRPr="00852E57" w:rsidRDefault="0054499C" w:rsidP="0054499C">
      <w:pPr>
        <w:rPr>
          <w:rFonts w:ascii="Calibri" w:hAnsi="Calibri"/>
          <w:b/>
          <w:bCs/>
          <w:sz w:val="20"/>
          <w:szCs w:val="20"/>
        </w:rPr>
      </w:pPr>
    </w:p>
    <w:p w:rsidR="0054499C" w:rsidRPr="00852E57" w:rsidRDefault="0054499C" w:rsidP="0054499C">
      <w:pPr>
        <w:rPr>
          <w:rFonts w:ascii="Calibri" w:hAnsi="Calibri"/>
          <w:b/>
          <w:bCs/>
          <w:sz w:val="20"/>
          <w:szCs w:val="20"/>
        </w:rPr>
      </w:pPr>
    </w:p>
    <w:p w:rsidR="0054499C" w:rsidRPr="00852E57" w:rsidRDefault="0054499C" w:rsidP="0054499C">
      <w:pPr>
        <w:rPr>
          <w:rFonts w:ascii="Calibri" w:hAnsi="Calibri"/>
          <w:b/>
          <w:bCs/>
          <w:sz w:val="20"/>
          <w:szCs w:val="20"/>
        </w:rPr>
      </w:pPr>
    </w:p>
    <w:p w:rsidR="0054499C" w:rsidRPr="00852E57" w:rsidRDefault="0054499C" w:rsidP="0054499C">
      <w:pPr>
        <w:rPr>
          <w:rFonts w:ascii="Calibri" w:hAnsi="Calibri"/>
          <w:b/>
          <w:bCs/>
          <w:sz w:val="20"/>
          <w:szCs w:val="20"/>
        </w:rPr>
      </w:pPr>
    </w:p>
    <w:p w:rsidR="0054499C" w:rsidRPr="00852E57" w:rsidRDefault="0054499C" w:rsidP="0054499C">
      <w:pPr>
        <w:rPr>
          <w:rFonts w:ascii="Calibri" w:hAnsi="Calibri"/>
          <w:b/>
          <w:bCs/>
          <w:sz w:val="20"/>
          <w:szCs w:val="20"/>
        </w:rPr>
      </w:pPr>
    </w:p>
    <w:p w:rsidR="0054499C" w:rsidRPr="00852E57" w:rsidRDefault="0054499C" w:rsidP="0054499C">
      <w:pPr>
        <w:rPr>
          <w:rFonts w:ascii="Calibri" w:hAnsi="Calibri"/>
          <w:b/>
          <w:bCs/>
          <w:sz w:val="20"/>
          <w:szCs w:val="20"/>
        </w:rPr>
      </w:pPr>
    </w:p>
    <w:p w:rsidR="0054499C" w:rsidRPr="00852E57" w:rsidRDefault="0054499C" w:rsidP="0054499C">
      <w:pPr>
        <w:rPr>
          <w:rFonts w:ascii="Calibri" w:hAnsi="Calibri"/>
          <w:b/>
          <w:bCs/>
          <w:sz w:val="20"/>
          <w:szCs w:val="20"/>
        </w:rPr>
      </w:pPr>
    </w:p>
    <w:p w:rsidR="0054499C" w:rsidRPr="00852E57" w:rsidRDefault="0054499C" w:rsidP="0054499C">
      <w:pPr>
        <w:rPr>
          <w:rFonts w:ascii="Calibri" w:hAnsi="Calibri"/>
          <w:b/>
          <w:bCs/>
          <w:sz w:val="20"/>
          <w:szCs w:val="20"/>
        </w:rPr>
      </w:pPr>
    </w:p>
    <w:p w:rsidR="0054499C" w:rsidRPr="00852E57" w:rsidRDefault="0054499C" w:rsidP="0054499C">
      <w:pPr>
        <w:rPr>
          <w:rFonts w:ascii="Calibri" w:hAnsi="Calibri"/>
          <w:bCs/>
          <w:sz w:val="20"/>
          <w:szCs w:val="20"/>
        </w:rPr>
      </w:pPr>
      <w:r w:rsidRPr="00852E57">
        <w:rPr>
          <w:rFonts w:ascii="Calibri" w:hAnsi="Calibri"/>
          <w:bCs/>
          <w:sz w:val="20"/>
          <w:szCs w:val="20"/>
        </w:rPr>
        <w:t>V rokoch 2015-2020</w:t>
      </w:r>
    </w:p>
    <w:tbl>
      <w:tblPr>
        <w:tblW w:w="9097" w:type="dxa"/>
        <w:tblCellSpacing w:w="0" w:type="dxa"/>
        <w:tblCellMar>
          <w:left w:w="0" w:type="dxa"/>
          <w:right w:w="0" w:type="dxa"/>
        </w:tblCellMar>
        <w:tblLook w:val="04A0" w:firstRow="1" w:lastRow="0" w:firstColumn="1" w:lastColumn="0" w:noHBand="0" w:noVBand="1"/>
      </w:tblPr>
      <w:tblGrid>
        <w:gridCol w:w="685"/>
        <w:gridCol w:w="2045"/>
        <w:gridCol w:w="932"/>
        <w:gridCol w:w="2160"/>
        <w:gridCol w:w="868"/>
        <w:gridCol w:w="2407"/>
      </w:tblGrid>
      <w:tr w:rsidR="0054499C" w:rsidRPr="00852E57" w:rsidTr="0054499C">
        <w:trPr>
          <w:trHeight w:hRule="exact" w:val="340"/>
          <w:tblCellSpacing w:w="0" w:type="dxa"/>
        </w:trPr>
        <w:tc>
          <w:tcPr>
            <w:tcW w:w="685" w:type="dxa"/>
            <w:tcBorders>
              <w:top w:val="single" w:sz="12" w:space="0" w:color="000000"/>
              <w:left w:val="single" w:sz="12" w:space="0" w:color="000000"/>
              <w:bottom w:val="single" w:sz="8" w:space="0" w:color="auto"/>
              <w:right w:val="single" w:sz="6" w:space="0" w:color="000000"/>
            </w:tcBorders>
            <w:shd w:val="clear" w:color="auto" w:fill="F2DBDB" w:themeFill="accent2" w:themeFillTint="33"/>
            <w:hideMark/>
          </w:tcPr>
          <w:p w:rsidR="0054499C" w:rsidRPr="00852E57" w:rsidRDefault="0054499C" w:rsidP="0054499C">
            <w:pPr>
              <w:jc w:val="center"/>
              <w:rPr>
                <w:rFonts w:ascii="Calibri" w:hAnsi="Calibri"/>
                <w:sz w:val="20"/>
                <w:szCs w:val="20"/>
              </w:rPr>
            </w:pPr>
            <w:r w:rsidRPr="00852E57">
              <w:rPr>
                <w:rFonts w:ascii="Calibri" w:hAnsi="Calibri"/>
                <w:b/>
                <w:bCs/>
                <w:sz w:val="20"/>
                <w:szCs w:val="20"/>
              </w:rPr>
              <w:t>LFA</w:t>
            </w:r>
          </w:p>
        </w:tc>
        <w:tc>
          <w:tcPr>
            <w:tcW w:w="2045" w:type="dxa"/>
            <w:tcBorders>
              <w:top w:val="single" w:sz="12" w:space="0" w:color="000000"/>
              <w:left w:val="single" w:sz="6" w:space="0" w:color="000000"/>
              <w:bottom w:val="single" w:sz="8" w:space="0" w:color="auto"/>
              <w:right w:val="single" w:sz="12" w:space="0" w:color="000000"/>
            </w:tcBorders>
            <w:shd w:val="clear" w:color="auto" w:fill="F2DBDB" w:themeFill="accent2" w:themeFillTint="33"/>
            <w:hideMark/>
          </w:tcPr>
          <w:p w:rsidR="0054499C" w:rsidRPr="00852E57" w:rsidRDefault="0054499C" w:rsidP="0054499C">
            <w:pPr>
              <w:jc w:val="center"/>
              <w:rPr>
                <w:rFonts w:ascii="Calibri" w:hAnsi="Calibri"/>
                <w:sz w:val="20"/>
                <w:szCs w:val="20"/>
              </w:rPr>
            </w:pPr>
            <w:r w:rsidRPr="00852E57">
              <w:rPr>
                <w:rFonts w:ascii="Calibri" w:hAnsi="Calibri"/>
                <w:b/>
                <w:bCs/>
                <w:sz w:val="20"/>
                <w:szCs w:val="20"/>
              </w:rPr>
              <w:t>Rastlinná výroba</w:t>
            </w:r>
          </w:p>
        </w:tc>
        <w:tc>
          <w:tcPr>
            <w:tcW w:w="932" w:type="dxa"/>
            <w:tcBorders>
              <w:top w:val="single" w:sz="12" w:space="0" w:color="000000"/>
              <w:left w:val="single" w:sz="4" w:space="0" w:color="auto"/>
              <w:bottom w:val="single" w:sz="8" w:space="0" w:color="auto"/>
              <w:right w:val="single" w:sz="6" w:space="0" w:color="000000"/>
            </w:tcBorders>
            <w:shd w:val="clear" w:color="auto" w:fill="F2DBDB" w:themeFill="accent2" w:themeFillTint="33"/>
            <w:hideMark/>
          </w:tcPr>
          <w:p w:rsidR="0054499C" w:rsidRPr="00852E57" w:rsidRDefault="0054499C" w:rsidP="0054499C">
            <w:pPr>
              <w:jc w:val="center"/>
              <w:rPr>
                <w:rFonts w:ascii="Calibri" w:hAnsi="Calibri"/>
                <w:sz w:val="20"/>
                <w:szCs w:val="20"/>
              </w:rPr>
            </w:pPr>
            <w:r w:rsidRPr="00852E57">
              <w:rPr>
                <w:rFonts w:ascii="Calibri" w:hAnsi="Calibri"/>
                <w:b/>
                <w:bCs/>
                <w:sz w:val="20"/>
                <w:szCs w:val="20"/>
              </w:rPr>
              <w:t>LFA</w:t>
            </w:r>
          </w:p>
        </w:tc>
        <w:tc>
          <w:tcPr>
            <w:tcW w:w="2160" w:type="dxa"/>
            <w:tcBorders>
              <w:top w:val="single" w:sz="12" w:space="0" w:color="000000"/>
              <w:left w:val="single" w:sz="6" w:space="0" w:color="000000"/>
              <w:bottom w:val="single" w:sz="8" w:space="0" w:color="auto"/>
              <w:right w:val="single" w:sz="8" w:space="0" w:color="auto"/>
            </w:tcBorders>
            <w:shd w:val="clear" w:color="auto" w:fill="F2DBDB" w:themeFill="accent2" w:themeFillTint="33"/>
            <w:hideMark/>
          </w:tcPr>
          <w:p w:rsidR="0054499C" w:rsidRPr="00852E57" w:rsidRDefault="0054499C" w:rsidP="0054499C">
            <w:pPr>
              <w:jc w:val="center"/>
              <w:rPr>
                <w:rFonts w:ascii="Calibri" w:hAnsi="Calibri"/>
                <w:sz w:val="20"/>
                <w:szCs w:val="20"/>
              </w:rPr>
            </w:pPr>
            <w:r w:rsidRPr="00852E57">
              <w:rPr>
                <w:rFonts w:ascii="Calibri" w:hAnsi="Calibri"/>
                <w:b/>
                <w:bCs/>
                <w:sz w:val="20"/>
                <w:szCs w:val="20"/>
              </w:rPr>
              <w:t>Zmiešaná výroba</w:t>
            </w:r>
          </w:p>
        </w:tc>
        <w:tc>
          <w:tcPr>
            <w:tcW w:w="868" w:type="dxa"/>
            <w:tcBorders>
              <w:top w:val="single" w:sz="12" w:space="0" w:color="000000"/>
              <w:left w:val="single" w:sz="12" w:space="0" w:color="000000"/>
              <w:bottom w:val="single" w:sz="8" w:space="0" w:color="auto"/>
              <w:right w:val="single" w:sz="6" w:space="0" w:color="000000"/>
            </w:tcBorders>
            <w:shd w:val="clear" w:color="auto" w:fill="F2DBDB" w:themeFill="accent2" w:themeFillTint="33"/>
            <w:hideMark/>
          </w:tcPr>
          <w:p w:rsidR="0054499C" w:rsidRPr="00852E57" w:rsidRDefault="0054499C" w:rsidP="0054499C">
            <w:pPr>
              <w:jc w:val="center"/>
              <w:rPr>
                <w:rFonts w:ascii="Calibri" w:hAnsi="Calibri"/>
                <w:sz w:val="20"/>
                <w:szCs w:val="20"/>
              </w:rPr>
            </w:pPr>
            <w:r w:rsidRPr="00852E57">
              <w:rPr>
                <w:rFonts w:ascii="Calibri" w:hAnsi="Calibri"/>
                <w:b/>
                <w:bCs/>
                <w:sz w:val="20"/>
                <w:szCs w:val="20"/>
              </w:rPr>
              <w:t>LFA</w:t>
            </w:r>
          </w:p>
        </w:tc>
        <w:tc>
          <w:tcPr>
            <w:tcW w:w="2407" w:type="dxa"/>
            <w:tcBorders>
              <w:top w:val="single" w:sz="12" w:space="0" w:color="000000"/>
              <w:left w:val="single" w:sz="6" w:space="0" w:color="000000"/>
              <w:bottom w:val="single" w:sz="8" w:space="0" w:color="auto"/>
              <w:right w:val="single" w:sz="12" w:space="0" w:color="000000"/>
            </w:tcBorders>
            <w:shd w:val="clear" w:color="auto" w:fill="F2DBDB" w:themeFill="accent2" w:themeFillTint="33"/>
            <w:hideMark/>
          </w:tcPr>
          <w:p w:rsidR="0054499C" w:rsidRPr="00852E57" w:rsidRDefault="0054499C" w:rsidP="0054499C">
            <w:pPr>
              <w:jc w:val="center"/>
              <w:rPr>
                <w:rFonts w:ascii="Calibri" w:hAnsi="Calibri"/>
                <w:sz w:val="20"/>
                <w:szCs w:val="20"/>
              </w:rPr>
            </w:pPr>
            <w:r w:rsidRPr="00852E57">
              <w:rPr>
                <w:rFonts w:ascii="Calibri" w:hAnsi="Calibri"/>
                <w:b/>
                <w:bCs/>
                <w:sz w:val="20"/>
                <w:szCs w:val="20"/>
              </w:rPr>
              <w:t>Živočíšna výroba</w:t>
            </w:r>
          </w:p>
        </w:tc>
      </w:tr>
      <w:tr w:rsidR="0054499C" w:rsidRPr="00852E57" w:rsidTr="0054499C">
        <w:trPr>
          <w:trHeight w:hRule="exact" w:val="340"/>
          <w:tblCellSpacing w:w="0" w:type="dxa"/>
        </w:trPr>
        <w:tc>
          <w:tcPr>
            <w:tcW w:w="685" w:type="dxa"/>
            <w:tcBorders>
              <w:top w:val="single" w:sz="12" w:space="0" w:color="000000"/>
              <w:left w:val="single" w:sz="12" w:space="0" w:color="000000"/>
              <w:bottom w:val="single" w:sz="6" w:space="0" w:color="000000"/>
              <w:right w:val="single" w:sz="6" w:space="0" w:color="000000"/>
            </w:tcBorders>
            <w:hideMark/>
          </w:tcPr>
          <w:p w:rsidR="0054499C" w:rsidRPr="00852E57" w:rsidRDefault="0054499C" w:rsidP="0054499C">
            <w:pPr>
              <w:jc w:val="center"/>
              <w:rPr>
                <w:rFonts w:ascii="Calibri" w:hAnsi="Calibri"/>
                <w:sz w:val="20"/>
                <w:szCs w:val="20"/>
              </w:rPr>
            </w:pPr>
            <w:r w:rsidRPr="00852E57">
              <w:rPr>
                <w:rFonts w:ascii="Calibri" w:hAnsi="Calibri"/>
                <w:b/>
                <w:bCs/>
                <w:sz w:val="20"/>
                <w:szCs w:val="20"/>
              </w:rPr>
              <w:t>S1</w:t>
            </w:r>
          </w:p>
        </w:tc>
        <w:tc>
          <w:tcPr>
            <w:tcW w:w="2045" w:type="dxa"/>
            <w:tcBorders>
              <w:top w:val="single" w:sz="12" w:space="0" w:color="000000"/>
              <w:left w:val="single" w:sz="6" w:space="0" w:color="000000"/>
              <w:bottom w:val="single" w:sz="6" w:space="0" w:color="000000"/>
              <w:right w:val="single" w:sz="8" w:space="0" w:color="auto"/>
            </w:tcBorders>
            <w:hideMark/>
          </w:tcPr>
          <w:p w:rsidR="0054499C" w:rsidRPr="00852E57" w:rsidRDefault="0054499C" w:rsidP="0054499C">
            <w:pPr>
              <w:jc w:val="center"/>
              <w:rPr>
                <w:rFonts w:ascii="Calibri" w:hAnsi="Calibri"/>
                <w:sz w:val="20"/>
                <w:szCs w:val="20"/>
              </w:rPr>
            </w:pPr>
            <w:r w:rsidRPr="00852E57">
              <w:rPr>
                <w:rFonts w:ascii="Calibri" w:hAnsi="Calibri"/>
                <w:b/>
                <w:bCs/>
                <w:sz w:val="20"/>
                <w:szCs w:val="20"/>
              </w:rPr>
              <w:t>11,93*</w:t>
            </w:r>
          </w:p>
        </w:tc>
        <w:tc>
          <w:tcPr>
            <w:tcW w:w="932" w:type="dxa"/>
            <w:tcBorders>
              <w:top w:val="single" w:sz="12" w:space="0" w:color="000000"/>
              <w:left w:val="single" w:sz="12" w:space="0" w:color="000000"/>
              <w:bottom w:val="single" w:sz="6" w:space="0" w:color="000000"/>
              <w:right w:val="single" w:sz="6" w:space="0" w:color="000000"/>
            </w:tcBorders>
            <w:hideMark/>
          </w:tcPr>
          <w:p w:rsidR="0054499C" w:rsidRPr="00852E57" w:rsidRDefault="0054499C" w:rsidP="0054499C">
            <w:pPr>
              <w:jc w:val="center"/>
              <w:rPr>
                <w:rFonts w:ascii="Calibri" w:hAnsi="Calibri"/>
                <w:sz w:val="20"/>
                <w:szCs w:val="20"/>
              </w:rPr>
            </w:pPr>
            <w:r w:rsidRPr="00852E57">
              <w:rPr>
                <w:rFonts w:ascii="Calibri" w:hAnsi="Calibri"/>
                <w:b/>
                <w:bCs/>
                <w:sz w:val="20"/>
                <w:szCs w:val="20"/>
              </w:rPr>
              <w:t>S1</w:t>
            </w:r>
          </w:p>
        </w:tc>
        <w:tc>
          <w:tcPr>
            <w:tcW w:w="2160" w:type="dxa"/>
            <w:tcBorders>
              <w:top w:val="single" w:sz="12" w:space="0" w:color="000000"/>
              <w:left w:val="single" w:sz="6" w:space="0" w:color="000000"/>
              <w:bottom w:val="single" w:sz="6" w:space="0" w:color="000000"/>
              <w:right w:val="single" w:sz="8" w:space="0" w:color="auto"/>
            </w:tcBorders>
            <w:hideMark/>
          </w:tcPr>
          <w:p w:rsidR="0054499C" w:rsidRPr="00852E57" w:rsidRDefault="0054499C" w:rsidP="0054499C">
            <w:pPr>
              <w:jc w:val="center"/>
              <w:rPr>
                <w:rFonts w:ascii="Calibri" w:hAnsi="Calibri"/>
                <w:sz w:val="20"/>
                <w:szCs w:val="20"/>
              </w:rPr>
            </w:pPr>
            <w:r w:rsidRPr="00852E57">
              <w:rPr>
                <w:rFonts w:ascii="Calibri" w:hAnsi="Calibri"/>
                <w:b/>
                <w:bCs/>
                <w:sz w:val="20"/>
                <w:szCs w:val="20"/>
              </w:rPr>
              <w:t>26,33</w:t>
            </w:r>
          </w:p>
        </w:tc>
        <w:tc>
          <w:tcPr>
            <w:tcW w:w="868" w:type="dxa"/>
            <w:tcBorders>
              <w:top w:val="single" w:sz="12" w:space="0" w:color="000000"/>
              <w:left w:val="single" w:sz="12" w:space="0" w:color="000000"/>
              <w:bottom w:val="single" w:sz="6" w:space="0" w:color="000000"/>
              <w:right w:val="single" w:sz="6" w:space="0" w:color="000000"/>
            </w:tcBorders>
            <w:hideMark/>
          </w:tcPr>
          <w:p w:rsidR="0054499C" w:rsidRPr="00852E57" w:rsidRDefault="0054499C" w:rsidP="0054499C">
            <w:pPr>
              <w:jc w:val="center"/>
              <w:rPr>
                <w:rFonts w:ascii="Calibri" w:hAnsi="Calibri"/>
                <w:sz w:val="20"/>
                <w:szCs w:val="20"/>
              </w:rPr>
            </w:pPr>
            <w:r w:rsidRPr="00852E57">
              <w:rPr>
                <w:rFonts w:ascii="Calibri" w:hAnsi="Calibri"/>
                <w:b/>
                <w:bCs/>
                <w:sz w:val="20"/>
                <w:szCs w:val="20"/>
              </w:rPr>
              <w:t>S1</w:t>
            </w:r>
          </w:p>
        </w:tc>
        <w:tc>
          <w:tcPr>
            <w:tcW w:w="2407" w:type="dxa"/>
            <w:tcBorders>
              <w:top w:val="single" w:sz="12" w:space="0" w:color="000000"/>
              <w:left w:val="single" w:sz="6" w:space="0" w:color="000000"/>
              <w:bottom w:val="single" w:sz="6" w:space="0" w:color="000000"/>
              <w:right w:val="single" w:sz="12" w:space="0" w:color="000000"/>
            </w:tcBorders>
            <w:hideMark/>
          </w:tcPr>
          <w:p w:rsidR="0054499C" w:rsidRPr="00852E57" w:rsidRDefault="0054499C" w:rsidP="0054499C">
            <w:pPr>
              <w:jc w:val="center"/>
              <w:rPr>
                <w:rFonts w:ascii="Calibri" w:hAnsi="Calibri"/>
                <w:sz w:val="20"/>
                <w:szCs w:val="20"/>
              </w:rPr>
            </w:pPr>
            <w:r w:rsidRPr="00852E57">
              <w:rPr>
                <w:rFonts w:ascii="Calibri" w:hAnsi="Calibri"/>
                <w:b/>
                <w:bCs/>
                <w:sz w:val="20"/>
                <w:szCs w:val="20"/>
              </w:rPr>
              <w:t>39,34</w:t>
            </w:r>
          </w:p>
        </w:tc>
      </w:tr>
      <w:tr w:rsidR="0054499C" w:rsidRPr="00852E57" w:rsidTr="0054499C">
        <w:trPr>
          <w:trHeight w:hRule="exact" w:val="340"/>
          <w:tblCellSpacing w:w="0" w:type="dxa"/>
        </w:trPr>
        <w:tc>
          <w:tcPr>
            <w:tcW w:w="685" w:type="dxa"/>
            <w:tcBorders>
              <w:top w:val="single" w:sz="6" w:space="0" w:color="000000"/>
              <w:left w:val="single" w:sz="12" w:space="0" w:color="000000"/>
              <w:bottom w:val="single" w:sz="6" w:space="0" w:color="000000"/>
              <w:right w:val="single" w:sz="6" w:space="0" w:color="000000"/>
            </w:tcBorders>
            <w:hideMark/>
          </w:tcPr>
          <w:p w:rsidR="0054499C" w:rsidRPr="00852E57" w:rsidRDefault="0054499C" w:rsidP="0054499C">
            <w:pPr>
              <w:jc w:val="center"/>
              <w:rPr>
                <w:rFonts w:ascii="Calibri" w:hAnsi="Calibri"/>
                <w:sz w:val="20"/>
                <w:szCs w:val="20"/>
              </w:rPr>
            </w:pPr>
            <w:r w:rsidRPr="00852E57">
              <w:rPr>
                <w:rFonts w:ascii="Calibri" w:hAnsi="Calibri"/>
                <w:b/>
                <w:bCs/>
                <w:sz w:val="20"/>
                <w:szCs w:val="20"/>
              </w:rPr>
              <w:t>S2</w:t>
            </w:r>
          </w:p>
        </w:tc>
        <w:tc>
          <w:tcPr>
            <w:tcW w:w="2045" w:type="dxa"/>
            <w:tcBorders>
              <w:top w:val="single" w:sz="6" w:space="0" w:color="000000"/>
              <w:left w:val="single" w:sz="6" w:space="0" w:color="000000"/>
              <w:bottom w:val="single" w:sz="6" w:space="0" w:color="000000"/>
              <w:right w:val="single" w:sz="8" w:space="0" w:color="auto"/>
            </w:tcBorders>
            <w:hideMark/>
          </w:tcPr>
          <w:p w:rsidR="0054499C" w:rsidRPr="00852E57" w:rsidRDefault="0054499C" w:rsidP="0054499C">
            <w:pPr>
              <w:jc w:val="center"/>
              <w:rPr>
                <w:rFonts w:ascii="Calibri" w:hAnsi="Calibri"/>
                <w:sz w:val="20"/>
                <w:szCs w:val="20"/>
              </w:rPr>
            </w:pPr>
            <w:r w:rsidRPr="00852E57">
              <w:rPr>
                <w:rFonts w:ascii="Calibri" w:hAnsi="Calibri"/>
                <w:b/>
                <w:bCs/>
                <w:sz w:val="20"/>
                <w:szCs w:val="20"/>
              </w:rPr>
              <w:t>7,58*</w:t>
            </w:r>
          </w:p>
        </w:tc>
        <w:tc>
          <w:tcPr>
            <w:tcW w:w="932" w:type="dxa"/>
            <w:tcBorders>
              <w:top w:val="single" w:sz="6" w:space="0" w:color="000000"/>
              <w:left w:val="single" w:sz="12" w:space="0" w:color="000000"/>
              <w:bottom w:val="single" w:sz="6" w:space="0" w:color="000000"/>
              <w:right w:val="single" w:sz="6" w:space="0" w:color="000000"/>
            </w:tcBorders>
            <w:hideMark/>
          </w:tcPr>
          <w:p w:rsidR="0054499C" w:rsidRPr="00852E57" w:rsidRDefault="0054499C" w:rsidP="0054499C">
            <w:pPr>
              <w:jc w:val="center"/>
              <w:rPr>
                <w:rFonts w:ascii="Calibri" w:hAnsi="Calibri"/>
                <w:sz w:val="20"/>
                <w:szCs w:val="20"/>
              </w:rPr>
            </w:pPr>
            <w:r w:rsidRPr="00852E57">
              <w:rPr>
                <w:rFonts w:ascii="Calibri" w:hAnsi="Calibri"/>
                <w:b/>
                <w:bCs/>
                <w:sz w:val="20"/>
                <w:szCs w:val="20"/>
              </w:rPr>
              <w:t>S2</w:t>
            </w:r>
          </w:p>
        </w:tc>
        <w:tc>
          <w:tcPr>
            <w:tcW w:w="2160" w:type="dxa"/>
            <w:tcBorders>
              <w:top w:val="single" w:sz="6" w:space="0" w:color="000000"/>
              <w:left w:val="single" w:sz="6" w:space="0" w:color="000000"/>
              <w:bottom w:val="single" w:sz="6" w:space="0" w:color="000000"/>
              <w:right w:val="single" w:sz="8" w:space="0" w:color="auto"/>
            </w:tcBorders>
            <w:hideMark/>
          </w:tcPr>
          <w:p w:rsidR="0054499C" w:rsidRPr="00852E57" w:rsidRDefault="0054499C" w:rsidP="0054499C">
            <w:pPr>
              <w:jc w:val="center"/>
              <w:rPr>
                <w:rFonts w:ascii="Calibri" w:hAnsi="Calibri"/>
                <w:sz w:val="20"/>
                <w:szCs w:val="20"/>
              </w:rPr>
            </w:pPr>
            <w:r w:rsidRPr="00852E57">
              <w:rPr>
                <w:rFonts w:ascii="Calibri" w:hAnsi="Calibri"/>
                <w:b/>
                <w:bCs/>
                <w:sz w:val="20"/>
                <w:szCs w:val="20"/>
              </w:rPr>
              <w:t>16,73*</w:t>
            </w:r>
          </w:p>
        </w:tc>
        <w:tc>
          <w:tcPr>
            <w:tcW w:w="868" w:type="dxa"/>
            <w:tcBorders>
              <w:top w:val="single" w:sz="6" w:space="0" w:color="000000"/>
              <w:left w:val="single" w:sz="12" w:space="0" w:color="000000"/>
              <w:bottom w:val="single" w:sz="6" w:space="0" w:color="000000"/>
              <w:right w:val="single" w:sz="6" w:space="0" w:color="000000"/>
            </w:tcBorders>
            <w:hideMark/>
          </w:tcPr>
          <w:p w:rsidR="0054499C" w:rsidRPr="00852E57" w:rsidRDefault="0054499C" w:rsidP="0054499C">
            <w:pPr>
              <w:jc w:val="center"/>
              <w:rPr>
                <w:rFonts w:ascii="Calibri" w:hAnsi="Calibri"/>
                <w:sz w:val="20"/>
                <w:szCs w:val="20"/>
              </w:rPr>
            </w:pPr>
            <w:r w:rsidRPr="00852E57">
              <w:rPr>
                <w:rFonts w:ascii="Calibri" w:hAnsi="Calibri"/>
                <w:b/>
                <w:bCs/>
                <w:sz w:val="20"/>
                <w:szCs w:val="20"/>
              </w:rPr>
              <w:t>S2</w:t>
            </w:r>
          </w:p>
        </w:tc>
        <w:tc>
          <w:tcPr>
            <w:tcW w:w="2407" w:type="dxa"/>
            <w:tcBorders>
              <w:top w:val="single" w:sz="6" w:space="0" w:color="000000"/>
              <w:left w:val="single" w:sz="6" w:space="0" w:color="000000"/>
              <w:bottom w:val="single" w:sz="6" w:space="0" w:color="000000"/>
              <w:right w:val="single" w:sz="12" w:space="0" w:color="000000"/>
            </w:tcBorders>
            <w:hideMark/>
          </w:tcPr>
          <w:p w:rsidR="0054499C" w:rsidRPr="00852E57" w:rsidRDefault="0054499C" w:rsidP="0054499C">
            <w:pPr>
              <w:jc w:val="center"/>
              <w:rPr>
                <w:rFonts w:ascii="Calibri" w:hAnsi="Calibri"/>
                <w:sz w:val="20"/>
                <w:szCs w:val="20"/>
              </w:rPr>
            </w:pPr>
            <w:r w:rsidRPr="00852E57">
              <w:rPr>
                <w:rFonts w:ascii="Calibri" w:hAnsi="Calibri"/>
                <w:b/>
                <w:bCs/>
                <w:sz w:val="20"/>
                <w:szCs w:val="20"/>
              </w:rPr>
              <w:t>25,00</w:t>
            </w:r>
          </w:p>
        </w:tc>
      </w:tr>
      <w:tr w:rsidR="0054499C" w:rsidRPr="00852E57" w:rsidTr="0054499C">
        <w:trPr>
          <w:trHeight w:hRule="exact" w:val="340"/>
          <w:tblCellSpacing w:w="0" w:type="dxa"/>
        </w:trPr>
        <w:tc>
          <w:tcPr>
            <w:tcW w:w="685" w:type="dxa"/>
            <w:tcBorders>
              <w:top w:val="single" w:sz="6" w:space="0" w:color="000000"/>
              <w:left w:val="single" w:sz="12" w:space="0" w:color="000000"/>
              <w:bottom w:val="single" w:sz="6" w:space="0" w:color="000000"/>
              <w:right w:val="single" w:sz="6" w:space="0" w:color="000000"/>
            </w:tcBorders>
            <w:hideMark/>
          </w:tcPr>
          <w:p w:rsidR="0054499C" w:rsidRPr="00852E57" w:rsidRDefault="0054499C" w:rsidP="0054499C">
            <w:pPr>
              <w:jc w:val="center"/>
              <w:rPr>
                <w:rFonts w:ascii="Calibri" w:hAnsi="Calibri"/>
                <w:sz w:val="20"/>
                <w:szCs w:val="20"/>
              </w:rPr>
            </w:pPr>
            <w:r w:rsidRPr="00852E57">
              <w:rPr>
                <w:rFonts w:ascii="Calibri" w:hAnsi="Calibri"/>
                <w:b/>
                <w:bCs/>
                <w:sz w:val="20"/>
                <w:szCs w:val="20"/>
              </w:rPr>
              <w:t>S3</w:t>
            </w:r>
          </w:p>
        </w:tc>
        <w:tc>
          <w:tcPr>
            <w:tcW w:w="2045" w:type="dxa"/>
            <w:tcBorders>
              <w:top w:val="single" w:sz="6" w:space="0" w:color="000000"/>
              <w:left w:val="single" w:sz="6" w:space="0" w:color="000000"/>
              <w:bottom w:val="single" w:sz="6" w:space="0" w:color="000000"/>
              <w:right w:val="single" w:sz="8" w:space="0" w:color="auto"/>
            </w:tcBorders>
            <w:hideMark/>
          </w:tcPr>
          <w:p w:rsidR="0054499C" w:rsidRPr="00852E57" w:rsidRDefault="0054499C" w:rsidP="0054499C">
            <w:pPr>
              <w:jc w:val="center"/>
              <w:rPr>
                <w:rFonts w:ascii="Calibri" w:hAnsi="Calibri"/>
                <w:sz w:val="20"/>
                <w:szCs w:val="20"/>
              </w:rPr>
            </w:pPr>
            <w:r w:rsidRPr="00852E57">
              <w:rPr>
                <w:rFonts w:ascii="Calibri" w:hAnsi="Calibri"/>
                <w:b/>
                <w:bCs/>
                <w:sz w:val="20"/>
                <w:szCs w:val="20"/>
              </w:rPr>
              <w:t>16,41*</w:t>
            </w:r>
          </w:p>
        </w:tc>
        <w:tc>
          <w:tcPr>
            <w:tcW w:w="932" w:type="dxa"/>
            <w:tcBorders>
              <w:top w:val="single" w:sz="6" w:space="0" w:color="000000"/>
              <w:left w:val="single" w:sz="12" w:space="0" w:color="000000"/>
              <w:bottom w:val="single" w:sz="6" w:space="0" w:color="000000"/>
              <w:right w:val="single" w:sz="6" w:space="0" w:color="000000"/>
            </w:tcBorders>
            <w:hideMark/>
          </w:tcPr>
          <w:p w:rsidR="0054499C" w:rsidRPr="00852E57" w:rsidRDefault="0054499C" w:rsidP="0054499C">
            <w:pPr>
              <w:jc w:val="center"/>
              <w:rPr>
                <w:rFonts w:ascii="Calibri" w:hAnsi="Calibri"/>
                <w:sz w:val="20"/>
                <w:szCs w:val="20"/>
              </w:rPr>
            </w:pPr>
            <w:r w:rsidRPr="00852E57">
              <w:rPr>
                <w:rFonts w:ascii="Calibri" w:hAnsi="Calibri"/>
                <w:b/>
                <w:bCs/>
                <w:sz w:val="20"/>
                <w:szCs w:val="20"/>
              </w:rPr>
              <w:t>S3</w:t>
            </w:r>
          </w:p>
        </w:tc>
        <w:tc>
          <w:tcPr>
            <w:tcW w:w="2160" w:type="dxa"/>
            <w:tcBorders>
              <w:top w:val="single" w:sz="6" w:space="0" w:color="000000"/>
              <w:left w:val="single" w:sz="6" w:space="0" w:color="000000"/>
              <w:bottom w:val="single" w:sz="6" w:space="0" w:color="000000"/>
              <w:right w:val="single" w:sz="8" w:space="0" w:color="auto"/>
            </w:tcBorders>
            <w:hideMark/>
          </w:tcPr>
          <w:p w:rsidR="0054499C" w:rsidRPr="00852E57" w:rsidRDefault="0054499C" w:rsidP="0054499C">
            <w:pPr>
              <w:jc w:val="center"/>
              <w:rPr>
                <w:rFonts w:ascii="Calibri" w:hAnsi="Calibri"/>
                <w:sz w:val="20"/>
                <w:szCs w:val="20"/>
              </w:rPr>
            </w:pPr>
            <w:r w:rsidRPr="00852E57">
              <w:rPr>
                <w:rFonts w:ascii="Calibri" w:hAnsi="Calibri"/>
                <w:b/>
                <w:bCs/>
                <w:sz w:val="20"/>
                <w:szCs w:val="20"/>
              </w:rPr>
              <w:t>36,20</w:t>
            </w:r>
          </w:p>
        </w:tc>
        <w:tc>
          <w:tcPr>
            <w:tcW w:w="868" w:type="dxa"/>
            <w:tcBorders>
              <w:top w:val="single" w:sz="6" w:space="0" w:color="000000"/>
              <w:left w:val="single" w:sz="12" w:space="0" w:color="000000"/>
              <w:bottom w:val="single" w:sz="6" w:space="0" w:color="000000"/>
              <w:right w:val="single" w:sz="6" w:space="0" w:color="000000"/>
            </w:tcBorders>
            <w:hideMark/>
          </w:tcPr>
          <w:p w:rsidR="0054499C" w:rsidRPr="00852E57" w:rsidRDefault="0054499C" w:rsidP="0054499C">
            <w:pPr>
              <w:jc w:val="center"/>
              <w:rPr>
                <w:rFonts w:ascii="Calibri" w:hAnsi="Calibri"/>
                <w:sz w:val="20"/>
                <w:szCs w:val="20"/>
              </w:rPr>
            </w:pPr>
            <w:r w:rsidRPr="00852E57">
              <w:rPr>
                <w:rFonts w:ascii="Calibri" w:hAnsi="Calibri"/>
                <w:b/>
                <w:bCs/>
                <w:sz w:val="20"/>
                <w:szCs w:val="20"/>
              </w:rPr>
              <w:t>S3</w:t>
            </w:r>
          </w:p>
        </w:tc>
        <w:tc>
          <w:tcPr>
            <w:tcW w:w="2407" w:type="dxa"/>
            <w:tcBorders>
              <w:top w:val="single" w:sz="6" w:space="0" w:color="000000"/>
              <w:left w:val="single" w:sz="6" w:space="0" w:color="000000"/>
              <w:bottom w:val="single" w:sz="6" w:space="0" w:color="000000"/>
              <w:right w:val="single" w:sz="12" w:space="0" w:color="000000"/>
            </w:tcBorders>
            <w:hideMark/>
          </w:tcPr>
          <w:p w:rsidR="0054499C" w:rsidRPr="00852E57" w:rsidRDefault="0054499C" w:rsidP="0054499C">
            <w:pPr>
              <w:jc w:val="center"/>
              <w:rPr>
                <w:rFonts w:ascii="Calibri" w:hAnsi="Calibri"/>
                <w:sz w:val="20"/>
                <w:szCs w:val="20"/>
              </w:rPr>
            </w:pPr>
            <w:r w:rsidRPr="00852E57">
              <w:rPr>
                <w:rFonts w:ascii="Calibri" w:hAnsi="Calibri"/>
                <w:b/>
                <w:bCs/>
                <w:sz w:val="20"/>
                <w:szCs w:val="20"/>
              </w:rPr>
              <w:t>54,08</w:t>
            </w:r>
          </w:p>
        </w:tc>
      </w:tr>
      <w:tr w:rsidR="0054499C" w:rsidRPr="00852E57" w:rsidTr="0054499C">
        <w:trPr>
          <w:trHeight w:hRule="exact" w:val="340"/>
          <w:tblCellSpacing w:w="0" w:type="dxa"/>
        </w:trPr>
        <w:tc>
          <w:tcPr>
            <w:tcW w:w="685" w:type="dxa"/>
            <w:tcBorders>
              <w:top w:val="single" w:sz="6" w:space="0" w:color="000000"/>
              <w:left w:val="single" w:sz="12" w:space="0" w:color="000000"/>
              <w:bottom w:val="single" w:sz="6" w:space="0" w:color="000000"/>
              <w:right w:val="single" w:sz="6" w:space="0" w:color="000000"/>
            </w:tcBorders>
            <w:hideMark/>
          </w:tcPr>
          <w:p w:rsidR="0054499C" w:rsidRPr="00852E57" w:rsidRDefault="0054499C" w:rsidP="0054499C">
            <w:pPr>
              <w:jc w:val="center"/>
              <w:rPr>
                <w:rFonts w:ascii="Calibri" w:hAnsi="Calibri"/>
                <w:sz w:val="20"/>
                <w:szCs w:val="20"/>
              </w:rPr>
            </w:pPr>
            <w:r w:rsidRPr="00852E57">
              <w:rPr>
                <w:rFonts w:ascii="Calibri" w:hAnsi="Calibri"/>
                <w:b/>
                <w:bCs/>
                <w:sz w:val="20"/>
                <w:szCs w:val="20"/>
              </w:rPr>
              <w:t>S4</w:t>
            </w:r>
          </w:p>
        </w:tc>
        <w:tc>
          <w:tcPr>
            <w:tcW w:w="2045" w:type="dxa"/>
            <w:tcBorders>
              <w:top w:val="single" w:sz="6" w:space="0" w:color="000000"/>
              <w:left w:val="single" w:sz="6" w:space="0" w:color="000000"/>
              <w:bottom w:val="single" w:sz="6" w:space="0" w:color="000000"/>
              <w:right w:val="single" w:sz="8" w:space="0" w:color="auto"/>
            </w:tcBorders>
            <w:hideMark/>
          </w:tcPr>
          <w:p w:rsidR="0054499C" w:rsidRPr="00852E57" w:rsidRDefault="0054499C" w:rsidP="0054499C">
            <w:pPr>
              <w:jc w:val="center"/>
              <w:rPr>
                <w:rFonts w:ascii="Calibri" w:hAnsi="Calibri"/>
                <w:sz w:val="20"/>
                <w:szCs w:val="20"/>
              </w:rPr>
            </w:pPr>
            <w:r w:rsidRPr="00852E57">
              <w:rPr>
                <w:rFonts w:ascii="Calibri" w:hAnsi="Calibri"/>
                <w:b/>
                <w:bCs/>
                <w:sz w:val="20"/>
                <w:szCs w:val="20"/>
              </w:rPr>
              <w:t>14,85*</w:t>
            </w:r>
          </w:p>
        </w:tc>
        <w:tc>
          <w:tcPr>
            <w:tcW w:w="932" w:type="dxa"/>
            <w:tcBorders>
              <w:top w:val="single" w:sz="6" w:space="0" w:color="000000"/>
              <w:left w:val="single" w:sz="12" w:space="0" w:color="000000"/>
              <w:bottom w:val="single" w:sz="6" w:space="0" w:color="000000"/>
              <w:right w:val="single" w:sz="6" w:space="0" w:color="000000"/>
            </w:tcBorders>
            <w:hideMark/>
          </w:tcPr>
          <w:p w:rsidR="0054499C" w:rsidRPr="00852E57" w:rsidRDefault="0054499C" w:rsidP="0054499C">
            <w:pPr>
              <w:jc w:val="center"/>
              <w:rPr>
                <w:rFonts w:ascii="Calibri" w:hAnsi="Calibri"/>
                <w:sz w:val="20"/>
                <w:szCs w:val="20"/>
              </w:rPr>
            </w:pPr>
            <w:r w:rsidRPr="00852E57">
              <w:rPr>
                <w:rFonts w:ascii="Calibri" w:hAnsi="Calibri"/>
                <w:b/>
                <w:bCs/>
                <w:sz w:val="20"/>
                <w:szCs w:val="20"/>
              </w:rPr>
              <w:t>S4</w:t>
            </w:r>
          </w:p>
        </w:tc>
        <w:tc>
          <w:tcPr>
            <w:tcW w:w="2160" w:type="dxa"/>
            <w:tcBorders>
              <w:top w:val="single" w:sz="6" w:space="0" w:color="000000"/>
              <w:left w:val="single" w:sz="6" w:space="0" w:color="000000"/>
              <w:bottom w:val="single" w:sz="6" w:space="0" w:color="000000"/>
              <w:right w:val="single" w:sz="8" w:space="0" w:color="auto"/>
            </w:tcBorders>
            <w:hideMark/>
          </w:tcPr>
          <w:p w:rsidR="0054499C" w:rsidRPr="00852E57" w:rsidRDefault="0054499C" w:rsidP="0054499C">
            <w:pPr>
              <w:jc w:val="center"/>
              <w:rPr>
                <w:rFonts w:ascii="Calibri" w:hAnsi="Calibri"/>
                <w:sz w:val="20"/>
                <w:szCs w:val="20"/>
              </w:rPr>
            </w:pPr>
            <w:r w:rsidRPr="00852E57">
              <w:rPr>
                <w:rFonts w:ascii="Calibri" w:hAnsi="Calibri"/>
                <w:b/>
                <w:bCs/>
                <w:sz w:val="20"/>
                <w:szCs w:val="20"/>
              </w:rPr>
              <w:t>32,76</w:t>
            </w:r>
          </w:p>
        </w:tc>
        <w:tc>
          <w:tcPr>
            <w:tcW w:w="868" w:type="dxa"/>
            <w:tcBorders>
              <w:top w:val="single" w:sz="6" w:space="0" w:color="000000"/>
              <w:left w:val="single" w:sz="12" w:space="0" w:color="000000"/>
              <w:bottom w:val="single" w:sz="6" w:space="0" w:color="000000"/>
              <w:right w:val="single" w:sz="6" w:space="0" w:color="000000"/>
            </w:tcBorders>
            <w:hideMark/>
          </w:tcPr>
          <w:p w:rsidR="0054499C" w:rsidRPr="00852E57" w:rsidRDefault="0054499C" w:rsidP="0054499C">
            <w:pPr>
              <w:jc w:val="center"/>
              <w:rPr>
                <w:rFonts w:ascii="Calibri" w:hAnsi="Calibri"/>
                <w:sz w:val="20"/>
                <w:szCs w:val="20"/>
              </w:rPr>
            </w:pPr>
            <w:r w:rsidRPr="00852E57">
              <w:rPr>
                <w:rFonts w:ascii="Calibri" w:hAnsi="Calibri"/>
                <w:b/>
                <w:bCs/>
                <w:sz w:val="20"/>
                <w:szCs w:val="20"/>
              </w:rPr>
              <w:t>S4</w:t>
            </w:r>
          </w:p>
        </w:tc>
        <w:tc>
          <w:tcPr>
            <w:tcW w:w="2407" w:type="dxa"/>
            <w:tcBorders>
              <w:top w:val="single" w:sz="6" w:space="0" w:color="000000"/>
              <w:left w:val="single" w:sz="6" w:space="0" w:color="000000"/>
              <w:bottom w:val="single" w:sz="6" w:space="0" w:color="000000"/>
              <w:right w:val="single" w:sz="12" w:space="0" w:color="000000"/>
            </w:tcBorders>
            <w:hideMark/>
          </w:tcPr>
          <w:p w:rsidR="0054499C" w:rsidRPr="00852E57" w:rsidRDefault="0054499C" w:rsidP="0054499C">
            <w:pPr>
              <w:jc w:val="center"/>
              <w:rPr>
                <w:rFonts w:ascii="Calibri" w:hAnsi="Calibri"/>
                <w:sz w:val="20"/>
                <w:szCs w:val="20"/>
              </w:rPr>
            </w:pPr>
            <w:r w:rsidRPr="00852E57">
              <w:rPr>
                <w:rFonts w:ascii="Calibri" w:hAnsi="Calibri"/>
                <w:b/>
                <w:bCs/>
                <w:sz w:val="20"/>
                <w:szCs w:val="20"/>
              </w:rPr>
              <w:t>48,95</w:t>
            </w:r>
          </w:p>
        </w:tc>
      </w:tr>
      <w:tr w:rsidR="0054499C" w:rsidRPr="00852E57" w:rsidTr="0054499C">
        <w:trPr>
          <w:trHeight w:hRule="exact" w:val="340"/>
          <w:tblCellSpacing w:w="0" w:type="dxa"/>
        </w:trPr>
        <w:tc>
          <w:tcPr>
            <w:tcW w:w="685" w:type="dxa"/>
            <w:tcBorders>
              <w:top w:val="single" w:sz="6" w:space="0" w:color="000000"/>
              <w:left w:val="single" w:sz="12" w:space="0" w:color="000000"/>
              <w:bottom w:val="single" w:sz="6" w:space="0" w:color="000000"/>
              <w:right w:val="single" w:sz="6" w:space="0" w:color="000000"/>
            </w:tcBorders>
            <w:hideMark/>
          </w:tcPr>
          <w:p w:rsidR="0054499C" w:rsidRPr="00852E57" w:rsidRDefault="0054499C" w:rsidP="0054499C">
            <w:pPr>
              <w:jc w:val="center"/>
              <w:rPr>
                <w:rFonts w:ascii="Calibri" w:hAnsi="Calibri"/>
                <w:sz w:val="20"/>
                <w:szCs w:val="20"/>
              </w:rPr>
            </w:pPr>
            <w:r w:rsidRPr="00852E57">
              <w:rPr>
                <w:rFonts w:ascii="Calibri" w:hAnsi="Calibri"/>
                <w:b/>
                <w:bCs/>
                <w:sz w:val="20"/>
                <w:szCs w:val="20"/>
              </w:rPr>
              <w:t>S5</w:t>
            </w:r>
          </w:p>
        </w:tc>
        <w:tc>
          <w:tcPr>
            <w:tcW w:w="2045" w:type="dxa"/>
            <w:tcBorders>
              <w:top w:val="single" w:sz="6" w:space="0" w:color="000000"/>
              <w:left w:val="single" w:sz="6" w:space="0" w:color="000000"/>
              <w:bottom w:val="single" w:sz="6" w:space="0" w:color="000000"/>
              <w:right w:val="single" w:sz="8" w:space="0" w:color="auto"/>
            </w:tcBorders>
            <w:hideMark/>
          </w:tcPr>
          <w:p w:rsidR="0054499C" w:rsidRPr="00852E57" w:rsidRDefault="0054499C" w:rsidP="0054499C">
            <w:pPr>
              <w:jc w:val="center"/>
              <w:rPr>
                <w:rFonts w:ascii="Calibri" w:hAnsi="Calibri"/>
                <w:sz w:val="20"/>
                <w:szCs w:val="20"/>
              </w:rPr>
            </w:pPr>
            <w:r w:rsidRPr="00852E57">
              <w:rPr>
                <w:rFonts w:ascii="Calibri" w:hAnsi="Calibri"/>
                <w:b/>
                <w:bCs/>
                <w:sz w:val="20"/>
                <w:szCs w:val="20"/>
              </w:rPr>
              <w:t>17,22*</w:t>
            </w:r>
          </w:p>
        </w:tc>
        <w:tc>
          <w:tcPr>
            <w:tcW w:w="932" w:type="dxa"/>
            <w:tcBorders>
              <w:top w:val="single" w:sz="6" w:space="0" w:color="000000"/>
              <w:left w:val="single" w:sz="12" w:space="0" w:color="000000"/>
              <w:bottom w:val="single" w:sz="6" w:space="0" w:color="000000"/>
              <w:right w:val="single" w:sz="6" w:space="0" w:color="000000"/>
            </w:tcBorders>
            <w:hideMark/>
          </w:tcPr>
          <w:p w:rsidR="0054499C" w:rsidRPr="00852E57" w:rsidRDefault="0054499C" w:rsidP="0054499C">
            <w:pPr>
              <w:jc w:val="center"/>
              <w:rPr>
                <w:rFonts w:ascii="Calibri" w:hAnsi="Calibri"/>
                <w:sz w:val="20"/>
                <w:szCs w:val="20"/>
              </w:rPr>
            </w:pPr>
            <w:r w:rsidRPr="00852E57">
              <w:rPr>
                <w:rFonts w:ascii="Calibri" w:hAnsi="Calibri"/>
                <w:b/>
                <w:bCs/>
                <w:sz w:val="20"/>
                <w:szCs w:val="20"/>
              </w:rPr>
              <w:t>S5</w:t>
            </w:r>
          </w:p>
        </w:tc>
        <w:tc>
          <w:tcPr>
            <w:tcW w:w="2160" w:type="dxa"/>
            <w:tcBorders>
              <w:top w:val="single" w:sz="6" w:space="0" w:color="000000"/>
              <w:left w:val="single" w:sz="6" w:space="0" w:color="000000"/>
              <w:bottom w:val="single" w:sz="6" w:space="0" w:color="000000"/>
              <w:right w:val="single" w:sz="8" w:space="0" w:color="auto"/>
            </w:tcBorders>
            <w:hideMark/>
          </w:tcPr>
          <w:p w:rsidR="0054499C" w:rsidRPr="00852E57" w:rsidRDefault="0054499C" w:rsidP="0054499C">
            <w:pPr>
              <w:jc w:val="center"/>
              <w:rPr>
                <w:rFonts w:ascii="Calibri" w:hAnsi="Calibri"/>
                <w:sz w:val="20"/>
                <w:szCs w:val="20"/>
              </w:rPr>
            </w:pPr>
            <w:r w:rsidRPr="00852E57">
              <w:rPr>
                <w:rFonts w:ascii="Calibri" w:hAnsi="Calibri"/>
                <w:b/>
                <w:bCs/>
                <w:sz w:val="20"/>
                <w:szCs w:val="20"/>
              </w:rPr>
              <w:t>37,98</w:t>
            </w:r>
          </w:p>
        </w:tc>
        <w:tc>
          <w:tcPr>
            <w:tcW w:w="868" w:type="dxa"/>
            <w:tcBorders>
              <w:top w:val="single" w:sz="6" w:space="0" w:color="000000"/>
              <w:left w:val="single" w:sz="12" w:space="0" w:color="000000"/>
              <w:bottom w:val="single" w:sz="6" w:space="0" w:color="000000"/>
              <w:right w:val="single" w:sz="6" w:space="0" w:color="000000"/>
            </w:tcBorders>
            <w:hideMark/>
          </w:tcPr>
          <w:p w:rsidR="0054499C" w:rsidRPr="00852E57" w:rsidRDefault="0054499C" w:rsidP="0054499C">
            <w:pPr>
              <w:jc w:val="center"/>
              <w:rPr>
                <w:rFonts w:ascii="Calibri" w:hAnsi="Calibri"/>
                <w:sz w:val="20"/>
                <w:szCs w:val="20"/>
              </w:rPr>
            </w:pPr>
            <w:r w:rsidRPr="00852E57">
              <w:rPr>
                <w:rFonts w:ascii="Calibri" w:hAnsi="Calibri"/>
                <w:b/>
                <w:bCs/>
                <w:sz w:val="20"/>
                <w:szCs w:val="20"/>
              </w:rPr>
              <w:t>S5</w:t>
            </w:r>
          </w:p>
        </w:tc>
        <w:tc>
          <w:tcPr>
            <w:tcW w:w="2407" w:type="dxa"/>
            <w:tcBorders>
              <w:top w:val="single" w:sz="6" w:space="0" w:color="000000"/>
              <w:left w:val="single" w:sz="6" w:space="0" w:color="000000"/>
              <w:bottom w:val="single" w:sz="6" w:space="0" w:color="000000"/>
              <w:right w:val="single" w:sz="12" w:space="0" w:color="000000"/>
            </w:tcBorders>
            <w:hideMark/>
          </w:tcPr>
          <w:p w:rsidR="0054499C" w:rsidRPr="00852E57" w:rsidRDefault="0054499C" w:rsidP="0054499C">
            <w:pPr>
              <w:jc w:val="center"/>
              <w:rPr>
                <w:rFonts w:ascii="Calibri" w:hAnsi="Calibri"/>
                <w:sz w:val="20"/>
                <w:szCs w:val="20"/>
              </w:rPr>
            </w:pPr>
            <w:r w:rsidRPr="00852E57">
              <w:rPr>
                <w:rFonts w:ascii="Calibri" w:hAnsi="Calibri"/>
                <w:b/>
                <w:bCs/>
                <w:sz w:val="20"/>
                <w:szCs w:val="20"/>
              </w:rPr>
              <w:t>56,75</w:t>
            </w:r>
          </w:p>
        </w:tc>
      </w:tr>
      <w:tr w:rsidR="0054499C" w:rsidRPr="00852E57" w:rsidTr="0054499C">
        <w:trPr>
          <w:trHeight w:hRule="exact" w:val="340"/>
          <w:tblCellSpacing w:w="0" w:type="dxa"/>
        </w:trPr>
        <w:tc>
          <w:tcPr>
            <w:tcW w:w="685" w:type="dxa"/>
            <w:tcBorders>
              <w:top w:val="single" w:sz="6" w:space="0" w:color="000000"/>
              <w:left w:val="single" w:sz="12" w:space="0" w:color="000000"/>
              <w:bottom w:val="single" w:sz="12" w:space="0" w:color="000000"/>
              <w:right w:val="single" w:sz="6" w:space="0" w:color="000000"/>
            </w:tcBorders>
            <w:hideMark/>
          </w:tcPr>
          <w:p w:rsidR="0054499C" w:rsidRPr="00852E57" w:rsidRDefault="0054499C" w:rsidP="0054499C">
            <w:pPr>
              <w:jc w:val="center"/>
              <w:rPr>
                <w:rFonts w:ascii="Calibri" w:hAnsi="Calibri"/>
                <w:sz w:val="20"/>
                <w:szCs w:val="20"/>
              </w:rPr>
            </w:pPr>
            <w:r w:rsidRPr="00852E57">
              <w:rPr>
                <w:rFonts w:ascii="Calibri" w:hAnsi="Calibri"/>
                <w:b/>
                <w:bCs/>
                <w:sz w:val="20"/>
                <w:szCs w:val="20"/>
              </w:rPr>
              <w:t>S6</w:t>
            </w:r>
          </w:p>
        </w:tc>
        <w:tc>
          <w:tcPr>
            <w:tcW w:w="2045" w:type="dxa"/>
            <w:tcBorders>
              <w:top w:val="single" w:sz="6" w:space="0" w:color="000000"/>
              <w:left w:val="single" w:sz="6" w:space="0" w:color="000000"/>
              <w:bottom w:val="single" w:sz="12" w:space="0" w:color="000000"/>
              <w:right w:val="single" w:sz="8" w:space="0" w:color="auto"/>
            </w:tcBorders>
            <w:hideMark/>
          </w:tcPr>
          <w:p w:rsidR="0054499C" w:rsidRPr="00852E57" w:rsidRDefault="0054499C" w:rsidP="0054499C">
            <w:pPr>
              <w:jc w:val="center"/>
              <w:rPr>
                <w:rFonts w:ascii="Calibri" w:hAnsi="Calibri"/>
                <w:sz w:val="20"/>
                <w:szCs w:val="20"/>
              </w:rPr>
            </w:pPr>
            <w:r w:rsidRPr="00852E57">
              <w:rPr>
                <w:rFonts w:ascii="Calibri" w:hAnsi="Calibri"/>
                <w:b/>
                <w:bCs/>
                <w:sz w:val="20"/>
                <w:szCs w:val="20"/>
              </w:rPr>
              <w:t>12,79*</w:t>
            </w:r>
          </w:p>
        </w:tc>
        <w:tc>
          <w:tcPr>
            <w:tcW w:w="932" w:type="dxa"/>
            <w:tcBorders>
              <w:top w:val="single" w:sz="6" w:space="0" w:color="000000"/>
              <w:left w:val="single" w:sz="12" w:space="0" w:color="000000"/>
              <w:bottom w:val="single" w:sz="12" w:space="0" w:color="000000"/>
              <w:right w:val="single" w:sz="6" w:space="0" w:color="000000"/>
            </w:tcBorders>
            <w:hideMark/>
          </w:tcPr>
          <w:p w:rsidR="0054499C" w:rsidRPr="00852E57" w:rsidRDefault="0054499C" w:rsidP="0054499C">
            <w:pPr>
              <w:jc w:val="center"/>
              <w:rPr>
                <w:rFonts w:ascii="Calibri" w:hAnsi="Calibri"/>
                <w:sz w:val="20"/>
                <w:szCs w:val="20"/>
              </w:rPr>
            </w:pPr>
            <w:r w:rsidRPr="00852E57">
              <w:rPr>
                <w:rFonts w:ascii="Calibri" w:hAnsi="Calibri"/>
                <w:b/>
                <w:bCs/>
                <w:sz w:val="20"/>
                <w:szCs w:val="20"/>
              </w:rPr>
              <w:t>S6</w:t>
            </w:r>
          </w:p>
        </w:tc>
        <w:tc>
          <w:tcPr>
            <w:tcW w:w="2160" w:type="dxa"/>
            <w:tcBorders>
              <w:top w:val="single" w:sz="6" w:space="0" w:color="000000"/>
              <w:left w:val="single" w:sz="6" w:space="0" w:color="000000"/>
              <w:bottom w:val="single" w:sz="12" w:space="0" w:color="000000"/>
              <w:right w:val="single" w:sz="8" w:space="0" w:color="auto"/>
            </w:tcBorders>
            <w:hideMark/>
          </w:tcPr>
          <w:p w:rsidR="0054499C" w:rsidRPr="00852E57" w:rsidRDefault="0054499C" w:rsidP="0054499C">
            <w:pPr>
              <w:jc w:val="center"/>
              <w:rPr>
                <w:rFonts w:ascii="Calibri" w:hAnsi="Calibri"/>
                <w:sz w:val="20"/>
                <w:szCs w:val="20"/>
              </w:rPr>
            </w:pPr>
            <w:r w:rsidRPr="00852E57">
              <w:rPr>
                <w:rFonts w:ascii="Calibri" w:hAnsi="Calibri"/>
                <w:b/>
                <w:bCs/>
                <w:sz w:val="20"/>
                <w:szCs w:val="20"/>
              </w:rPr>
              <w:t>28,21</w:t>
            </w:r>
          </w:p>
        </w:tc>
        <w:tc>
          <w:tcPr>
            <w:tcW w:w="868" w:type="dxa"/>
            <w:tcBorders>
              <w:top w:val="single" w:sz="6" w:space="0" w:color="000000"/>
              <w:left w:val="single" w:sz="12" w:space="0" w:color="000000"/>
              <w:bottom w:val="single" w:sz="12" w:space="0" w:color="000000"/>
              <w:right w:val="single" w:sz="6" w:space="0" w:color="000000"/>
            </w:tcBorders>
            <w:hideMark/>
          </w:tcPr>
          <w:p w:rsidR="0054499C" w:rsidRPr="00852E57" w:rsidRDefault="0054499C" w:rsidP="0054499C">
            <w:pPr>
              <w:jc w:val="center"/>
              <w:rPr>
                <w:rFonts w:ascii="Calibri" w:hAnsi="Calibri"/>
                <w:sz w:val="20"/>
                <w:szCs w:val="20"/>
              </w:rPr>
            </w:pPr>
            <w:r w:rsidRPr="00852E57">
              <w:rPr>
                <w:rFonts w:ascii="Calibri" w:hAnsi="Calibri"/>
                <w:b/>
                <w:bCs/>
                <w:sz w:val="20"/>
                <w:szCs w:val="20"/>
              </w:rPr>
              <w:t>S6</w:t>
            </w:r>
          </w:p>
        </w:tc>
        <w:tc>
          <w:tcPr>
            <w:tcW w:w="2407" w:type="dxa"/>
            <w:tcBorders>
              <w:top w:val="single" w:sz="6" w:space="0" w:color="000000"/>
              <w:left w:val="single" w:sz="6" w:space="0" w:color="000000"/>
              <w:bottom w:val="single" w:sz="12" w:space="0" w:color="000000"/>
              <w:right w:val="single" w:sz="12" w:space="0" w:color="000000"/>
            </w:tcBorders>
            <w:hideMark/>
          </w:tcPr>
          <w:p w:rsidR="0054499C" w:rsidRPr="00852E57" w:rsidRDefault="0054499C" w:rsidP="0054499C">
            <w:pPr>
              <w:jc w:val="center"/>
              <w:rPr>
                <w:rFonts w:ascii="Calibri" w:hAnsi="Calibri"/>
                <w:sz w:val="20"/>
                <w:szCs w:val="20"/>
              </w:rPr>
            </w:pPr>
            <w:r w:rsidRPr="00852E57">
              <w:rPr>
                <w:rFonts w:ascii="Calibri" w:hAnsi="Calibri"/>
                <w:b/>
                <w:bCs/>
                <w:sz w:val="20"/>
                <w:szCs w:val="20"/>
              </w:rPr>
              <w:t>42,15</w:t>
            </w:r>
          </w:p>
        </w:tc>
      </w:tr>
    </w:tbl>
    <w:p w:rsidR="0054499C" w:rsidRPr="00852E57" w:rsidRDefault="0054499C" w:rsidP="0054499C">
      <w:pPr>
        <w:rPr>
          <w:rFonts w:ascii="Calibri" w:hAnsi="Calibri"/>
          <w:b/>
          <w:sz w:val="18"/>
          <w:szCs w:val="18"/>
        </w:rPr>
      </w:pPr>
      <w:r w:rsidRPr="00852E57">
        <w:rPr>
          <w:rFonts w:ascii="Calibri" w:hAnsi="Calibri"/>
          <w:b/>
          <w:sz w:val="18"/>
          <w:szCs w:val="18"/>
        </w:rPr>
        <w:t xml:space="preserve">* </w:t>
      </w:r>
      <w:r w:rsidRPr="00852E57">
        <w:rPr>
          <w:rFonts w:ascii="Calibri" w:hAnsi="Calibri"/>
          <w:i/>
          <w:sz w:val="18"/>
          <w:szCs w:val="18"/>
        </w:rPr>
        <w:t>minimálna priemerná platba je 25 €/ha (podľa prílohy II nariadenia EÚ č.1305/2013)</w:t>
      </w:r>
    </w:p>
    <w:p w:rsidR="0054499C" w:rsidRPr="00852E57" w:rsidRDefault="0054499C" w:rsidP="0054499C">
      <w:pPr>
        <w:rPr>
          <w:rFonts w:ascii="Calibri" w:hAnsi="Calibri"/>
          <w:iCs/>
          <w:szCs w:val="20"/>
        </w:rPr>
      </w:pPr>
    </w:p>
    <w:p w:rsidR="0054499C" w:rsidRPr="00852E57" w:rsidRDefault="0054499C" w:rsidP="0054499C">
      <w:pPr>
        <w:rPr>
          <w:rFonts w:ascii="Calibri" w:hAnsi="Calibri"/>
          <w:iCs/>
          <w:szCs w:val="20"/>
        </w:rPr>
      </w:pPr>
    </w:p>
    <w:p w:rsidR="0054499C" w:rsidRPr="00852E57" w:rsidRDefault="0054499C" w:rsidP="0054499C">
      <w:pPr>
        <w:rPr>
          <w:rFonts w:ascii="Calibri" w:hAnsi="Calibri"/>
          <w:b/>
          <w:bCs/>
          <w:szCs w:val="20"/>
        </w:rPr>
      </w:pPr>
      <w:r w:rsidRPr="00852E57">
        <w:rPr>
          <w:rFonts w:ascii="Calibri" w:hAnsi="Calibri"/>
          <w:b/>
          <w:bCs/>
          <w:szCs w:val="20"/>
        </w:rPr>
        <w:t xml:space="preserve">Degresivita platieb podľa veľkosti podniku </w:t>
      </w:r>
      <w:r w:rsidRPr="00852E57">
        <w:rPr>
          <w:rFonts w:ascii="Calibri" w:hAnsi="Calibri"/>
          <w:bCs/>
          <w:szCs w:val="20"/>
        </w:rPr>
        <w:t>(čl.32 bod 4 nariadenia</w:t>
      </w:r>
      <w:r w:rsidRPr="00852E57">
        <w:rPr>
          <w:rFonts w:ascii="Calibri" w:hAnsi="Calibri"/>
          <w:b/>
          <w:bCs/>
          <w:szCs w:val="20"/>
        </w:rPr>
        <w:t xml:space="preserve"> </w:t>
      </w:r>
      <w:r w:rsidRPr="00852E57">
        <w:rPr>
          <w:rFonts w:ascii="Calibri" w:hAnsi="Calibri"/>
          <w:szCs w:val="20"/>
        </w:rPr>
        <w:t>EÚ č. 130</w:t>
      </w:r>
      <w:r>
        <w:rPr>
          <w:rFonts w:ascii="Calibri" w:hAnsi="Calibri"/>
          <w:szCs w:val="20"/>
        </w:rPr>
        <w:t>5</w:t>
      </w:r>
      <w:r w:rsidRPr="00852E57">
        <w:rPr>
          <w:rFonts w:ascii="Calibri" w:hAnsi="Calibri"/>
          <w:szCs w:val="20"/>
        </w:rPr>
        <w:t>/2013)</w:t>
      </w:r>
    </w:p>
    <w:tbl>
      <w:tblPr>
        <w:tblpPr w:leftFromText="141" w:rightFromText="141" w:vertAnchor="text" w:horzAnchor="margin" w:tblpXSpec="center" w:tblpY="90"/>
        <w:tblW w:w="7310" w:type="dxa"/>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330"/>
        <w:gridCol w:w="2980"/>
      </w:tblGrid>
      <w:tr w:rsidR="0054499C" w:rsidRPr="00852E57" w:rsidTr="0054499C">
        <w:trPr>
          <w:trHeight w:hRule="exact" w:val="331"/>
          <w:tblCellSpacing w:w="0" w:type="dxa"/>
        </w:trPr>
        <w:tc>
          <w:tcPr>
            <w:tcW w:w="4330" w:type="dxa"/>
            <w:tcBorders>
              <w:top w:val="single" w:sz="4" w:space="0" w:color="auto"/>
              <w:left w:val="single" w:sz="4" w:space="0" w:color="auto"/>
              <w:bottom w:val="single" w:sz="4" w:space="0" w:color="auto"/>
              <w:right w:val="single" w:sz="4" w:space="0" w:color="auto"/>
            </w:tcBorders>
            <w:shd w:val="clear" w:color="auto" w:fill="F2DBDB" w:themeFill="accent2" w:themeFillTint="33"/>
            <w:hideMark/>
          </w:tcPr>
          <w:p w:rsidR="0054499C" w:rsidRPr="00852E57" w:rsidRDefault="0054499C" w:rsidP="0054499C">
            <w:pPr>
              <w:jc w:val="center"/>
              <w:rPr>
                <w:rFonts w:ascii="Calibri" w:hAnsi="Calibri"/>
                <w:b/>
                <w:bCs/>
                <w:sz w:val="20"/>
                <w:szCs w:val="20"/>
              </w:rPr>
            </w:pPr>
            <w:r w:rsidRPr="00852E57">
              <w:rPr>
                <w:rFonts w:ascii="Calibri" w:hAnsi="Calibri"/>
                <w:b/>
                <w:bCs/>
                <w:sz w:val="20"/>
                <w:szCs w:val="20"/>
              </w:rPr>
              <w:t>Výmera poľnohospodárskej pôdy</w:t>
            </w:r>
          </w:p>
        </w:tc>
        <w:tc>
          <w:tcPr>
            <w:tcW w:w="2980" w:type="dxa"/>
            <w:tcBorders>
              <w:top w:val="single" w:sz="4" w:space="0" w:color="auto"/>
              <w:left w:val="single" w:sz="4" w:space="0" w:color="auto"/>
              <w:bottom w:val="single" w:sz="4" w:space="0" w:color="auto"/>
              <w:right w:val="single" w:sz="4" w:space="0" w:color="auto"/>
            </w:tcBorders>
            <w:shd w:val="clear" w:color="auto" w:fill="F2DBDB" w:themeFill="accent2" w:themeFillTint="33"/>
            <w:hideMark/>
          </w:tcPr>
          <w:p w:rsidR="0054499C" w:rsidRPr="00852E57" w:rsidRDefault="0054499C" w:rsidP="0054499C">
            <w:pPr>
              <w:jc w:val="center"/>
              <w:rPr>
                <w:rFonts w:ascii="Calibri" w:hAnsi="Calibri"/>
                <w:b/>
                <w:bCs/>
                <w:sz w:val="20"/>
                <w:szCs w:val="20"/>
              </w:rPr>
            </w:pPr>
            <w:r w:rsidRPr="00852E57">
              <w:rPr>
                <w:rFonts w:ascii="Calibri" w:hAnsi="Calibri"/>
                <w:b/>
                <w:bCs/>
                <w:sz w:val="20"/>
                <w:szCs w:val="20"/>
              </w:rPr>
              <w:t>Výška platby</w:t>
            </w:r>
          </w:p>
        </w:tc>
      </w:tr>
      <w:tr w:rsidR="0054499C" w:rsidRPr="00852E57" w:rsidTr="0054499C">
        <w:trPr>
          <w:trHeight w:hRule="exact" w:val="331"/>
          <w:tblCellSpacing w:w="0" w:type="dxa"/>
        </w:trPr>
        <w:tc>
          <w:tcPr>
            <w:tcW w:w="4330" w:type="dxa"/>
            <w:tcBorders>
              <w:top w:val="single" w:sz="4" w:space="0" w:color="auto"/>
              <w:left w:val="single" w:sz="4" w:space="0" w:color="auto"/>
              <w:bottom w:val="single" w:sz="4" w:space="0" w:color="auto"/>
              <w:right w:val="single" w:sz="4" w:space="0" w:color="auto"/>
            </w:tcBorders>
            <w:hideMark/>
          </w:tcPr>
          <w:p w:rsidR="0054499C" w:rsidRPr="00852E57" w:rsidRDefault="0054499C" w:rsidP="0054499C">
            <w:pPr>
              <w:jc w:val="center"/>
              <w:rPr>
                <w:rFonts w:ascii="Calibri" w:hAnsi="Calibri"/>
                <w:b/>
                <w:bCs/>
                <w:sz w:val="20"/>
                <w:szCs w:val="20"/>
              </w:rPr>
            </w:pPr>
            <w:r w:rsidRPr="00852E57">
              <w:rPr>
                <w:rFonts w:ascii="Calibri" w:hAnsi="Calibri"/>
                <w:b/>
                <w:bCs/>
                <w:sz w:val="20"/>
                <w:szCs w:val="20"/>
              </w:rPr>
              <w:t>do 1020 ha</w:t>
            </w:r>
          </w:p>
        </w:tc>
        <w:tc>
          <w:tcPr>
            <w:tcW w:w="2980" w:type="dxa"/>
            <w:tcBorders>
              <w:top w:val="single" w:sz="4" w:space="0" w:color="auto"/>
              <w:left w:val="single" w:sz="4" w:space="0" w:color="auto"/>
              <w:bottom w:val="single" w:sz="4" w:space="0" w:color="auto"/>
              <w:right w:val="single" w:sz="4" w:space="0" w:color="auto"/>
            </w:tcBorders>
            <w:hideMark/>
          </w:tcPr>
          <w:p w:rsidR="0054499C" w:rsidRPr="00852E57" w:rsidRDefault="0054499C" w:rsidP="0054499C">
            <w:pPr>
              <w:jc w:val="center"/>
              <w:rPr>
                <w:rFonts w:ascii="Calibri" w:hAnsi="Calibri"/>
                <w:b/>
                <w:bCs/>
                <w:sz w:val="20"/>
                <w:szCs w:val="20"/>
              </w:rPr>
            </w:pPr>
            <w:r w:rsidRPr="00852E57">
              <w:rPr>
                <w:rFonts w:ascii="Calibri" w:hAnsi="Calibri"/>
                <w:b/>
                <w:bCs/>
                <w:sz w:val="20"/>
                <w:szCs w:val="20"/>
              </w:rPr>
              <w:t>100 %</w:t>
            </w:r>
          </w:p>
        </w:tc>
      </w:tr>
      <w:tr w:rsidR="0054499C" w:rsidRPr="00852E57" w:rsidTr="0054499C">
        <w:trPr>
          <w:trHeight w:hRule="exact" w:val="331"/>
          <w:tblCellSpacing w:w="0" w:type="dxa"/>
        </w:trPr>
        <w:tc>
          <w:tcPr>
            <w:tcW w:w="4330" w:type="dxa"/>
            <w:tcBorders>
              <w:top w:val="single" w:sz="4" w:space="0" w:color="auto"/>
              <w:left w:val="single" w:sz="4" w:space="0" w:color="auto"/>
              <w:bottom w:val="single" w:sz="4" w:space="0" w:color="auto"/>
              <w:right w:val="single" w:sz="4" w:space="0" w:color="auto"/>
            </w:tcBorders>
            <w:hideMark/>
          </w:tcPr>
          <w:p w:rsidR="0054499C" w:rsidRPr="00852E57" w:rsidRDefault="0054499C" w:rsidP="0054499C">
            <w:pPr>
              <w:jc w:val="center"/>
              <w:rPr>
                <w:rFonts w:ascii="Calibri" w:hAnsi="Calibri"/>
                <w:b/>
                <w:bCs/>
                <w:sz w:val="20"/>
                <w:szCs w:val="20"/>
              </w:rPr>
            </w:pPr>
            <w:r w:rsidRPr="00852E57">
              <w:rPr>
                <w:rFonts w:ascii="Calibri" w:hAnsi="Calibri"/>
                <w:b/>
                <w:bCs/>
                <w:sz w:val="20"/>
                <w:szCs w:val="20"/>
              </w:rPr>
              <w:t>od 1020 ha do 2040 ha</w:t>
            </w:r>
          </w:p>
        </w:tc>
        <w:tc>
          <w:tcPr>
            <w:tcW w:w="2980" w:type="dxa"/>
            <w:tcBorders>
              <w:top w:val="single" w:sz="4" w:space="0" w:color="auto"/>
              <w:left w:val="single" w:sz="4" w:space="0" w:color="auto"/>
              <w:bottom w:val="single" w:sz="4" w:space="0" w:color="auto"/>
              <w:right w:val="single" w:sz="4" w:space="0" w:color="auto"/>
            </w:tcBorders>
            <w:hideMark/>
          </w:tcPr>
          <w:p w:rsidR="0054499C" w:rsidRPr="00852E57" w:rsidRDefault="0054499C" w:rsidP="0054499C">
            <w:pPr>
              <w:jc w:val="center"/>
              <w:rPr>
                <w:rFonts w:ascii="Calibri" w:hAnsi="Calibri"/>
                <w:b/>
                <w:bCs/>
                <w:sz w:val="20"/>
                <w:szCs w:val="20"/>
              </w:rPr>
            </w:pPr>
            <w:r w:rsidRPr="00852E57">
              <w:rPr>
                <w:rFonts w:ascii="Calibri" w:hAnsi="Calibri"/>
                <w:b/>
                <w:bCs/>
                <w:sz w:val="20"/>
                <w:szCs w:val="20"/>
              </w:rPr>
              <w:t>89 %</w:t>
            </w:r>
          </w:p>
        </w:tc>
      </w:tr>
      <w:tr w:rsidR="0054499C" w:rsidRPr="00852E57" w:rsidTr="0054499C">
        <w:trPr>
          <w:trHeight w:hRule="exact" w:val="331"/>
          <w:tblCellSpacing w:w="0" w:type="dxa"/>
        </w:trPr>
        <w:tc>
          <w:tcPr>
            <w:tcW w:w="4330" w:type="dxa"/>
            <w:tcBorders>
              <w:top w:val="single" w:sz="4" w:space="0" w:color="auto"/>
              <w:left w:val="single" w:sz="4" w:space="0" w:color="auto"/>
              <w:bottom w:val="single" w:sz="4" w:space="0" w:color="auto"/>
              <w:right w:val="single" w:sz="4" w:space="0" w:color="auto"/>
            </w:tcBorders>
            <w:hideMark/>
          </w:tcPr>
          <w:p w:rsidR="0054499C" w:rsidRPr="00852E57" w:rsidRDefault="0054499C" w:rsidP="0054499C">
            <w:pPr>
              <w:jc w:val="center"/>
              <w:rPr>
                <w:rFonts w:ascii="Calibri" w:hAnsi="Calibri"/>
                <w:b/>
                <w:bCs/>
                <w:sz w:val="20"/>
                <w:szCs w:val="20"/>
              </w:rPr>
            </w:pPr>
            <w:r w:rsidRPr="00852E57">
              <w:rPr>
                <w:rFonts w:ascii="Calibri" w:hAnsi="Calibri"/>
                <w:b/>
                <w:bCs/>
                <w:sz w:val="20"/>
                <w:szCs w:val="20"/>
              </w:rPr>
              <w:t xml:space="preserve">od 2040 do 4080 ha </w:t>
            </w:r>
          </w:p>
        </w:tc>
        <w:tc>
          <w:tcPr>
            <w:tcW w:w="2980" w:type="dxa"/>
            <w:tcBorders>
              <w:top w:val="single" w:sz="4" w:space="0" w:color="auto"/>
              <w:left w:val="single" w:sz="4" w:space="0" w:color="auto"/>
              <w:bottom w:val="single" w:sz="4" w:space="0" w:color="auto"/>
              <w:right w:val="single" w:sz="4" w:space="0" w:color="auto"/>
            </w:tcBorders>
            <w:hideMark/>
          </w:tcPr>
          <w:p w:rsidR="0054499C" w:rsidRPr="00852E57" w:rsidRDefault="0054499C" w:rsidP="0054499C">
            <w:pPr>
              <w:jc w:val="center"/>
              <w:rPr>
                <w:rFonts w:ascii="Calibri" w:hAnsi="Calibri"/>
                <w:b/>
                <w:bCs/>
                <w:sz w:val="20"/>
                <w:szCs w:val="20"/>
              </w:rPr>
            </w:pPr>
            <w:r w:rsidRPr="00852E57">
              <w:rPr>
                <w:rFonts w:ascii="Calibri" w:hAnsi="Calibri"/>
                <w:b/>
                <w:bCs/>
                <w:sz w:val="20"/>
                <w:szCs w:val="20"/>
              </w:rPr>
              <w:t>83 %</w:t>
            </w:r>
          </w:p>
        </w:tc>
      </w:tr>
      <w:tr w:rsidR="0054499C" w:rsidRPr="00852E57" w:rsidTr="0054499C">
        <w:trPr>
          <w:trHeight w:hRule="exact" w:val="331"/>
          <w:tblCellSpacing w:w="0" w:type="dxa"/>
        </w:trPr>
        <w:tc>
          <w:tcPr>
            <w:tcW w:w="4330" w:type="dxa"/>
            <w:tcBorders>
              <w:top w:val="single" w:sz="4" w:space="0" w:color="auto"/>
              <w:left w:val="single" w:sz="4" w:space="0" w:color="auto"/>
              <w:bottom w:val="single" w:sz="4" w:space="0" w:color="auto"/>
              <w:right w:val="single" w:sz="4" w:space="0" w:color="auto"/>
            </w:tcBorders>
            <w:hideMark/>
          </w:tcPr>
          <w:p w:rsidR="0054499C" w:rsidRPr="00852E57" w:rsidRDefault="0054499C" w:rsidP="0054499C">
            <w:pPr>
              <w:jc w:val="center"/>
              <w:rPr>
                <w:rFonts w:ascii="Calibri" w:hAnsi="Calibri"/>
                <w:b/>
                <w:bCs/>
                <w:sz w:val="20"/>
                <w:szCs w:val="20"/>
              </w:rPr>
            </w:pPr>
            <w:r w:rsidRPr="00852E57">
              <w:rPr>
                <w:rFonts w:ascii="Calibri" w:hAnsi="Calibri"/>
                <w:b/>
                <w:bCs/>
                <w:sz w:val="20"/>
                <w:szCs w:val="20"/>
              </w:rPr>
              <w:t xml:space="preserve">nad 4080 ha </w:t>
            </w:r>
          </w:p>
        </w:tc>
        <w:tc>
          <w:tcPr>
            <w:tcW w:w="2980" w:type="dxa"/>
            <w:tcBorders>
              <w:top w:val="single" w:sz="4" w:space="0" w:color="auto"/>
              <w:left w:val="single" w:sz="4" w:space="0" w:color="auto"/>
              <w:bottom w:val="single" w:sz="4" w:space="0" w:color="auto"/>
              <w:right w:val="single" w:sz="4" w:space="0" w:color="auto"/>
            </w:tcBorders>
            <w:hideMark/>
          </w:tcPr>
          <w:p w:rsidR="0054499C" w:rsidRPr="00852E57" w:rsidRDefault="0054499C" w:rsidP="0054499C">
            <w:pPr>
              <w:jc w:val="center"/>
              <w:rPr>
                <w:rFonts w:ascii="Calibri" w:hAnsi="Calibri"/>
                <w:b/>
                <w:bCs/>
                <w:sz w:val="20"/>
                <w:szCs w:val="20"/>
              </w:rPr>
            </w:pPr>
            <w:r w:rsidRPr="00852E57">
              <w:rPr>
                <w:rFonts w:ascii="Calibri" w:hAnsi="Calibri"/>
                <w:b/>
                <w:bCs/>
                <w:sz w:val="20"/>
                <w:szCs w:val="20"/>
              </w:rPr>
              <w:t>68 %</w:t>
            </w:r>
          </w:p>
        </w:tc>
      </w:tr>
    </w:tbl>
    <w:p w:rsidR="0054499C" w:rsidRPr="00852E57" w:rsidRDefault="0054499C" w:rsidP="0054499C">
      <w:pPr>
        <w:rPr>
          <w:rFonts w:ascii="Calibri" w:hAnsi="Calibri"/>
          <w:iCs/>
          <w:szCs w:val="20"/>
        </w:rPr>
      </w:pPr>
    </w:p>
    <w:p w:rsidR="0054499C" w:rsidRPr="00852E57" w:rsidRDefault="0054499C" w:rsidP="0054499C">
      <w:pPr>
        <w:rPr>
          <w:rFonts w:ascii="Calibri" w:hAnsi="Calibri"/>
          <w:iCs/>
          <w:szCs w:val="20"/>
        </w:rPr>
      </w:pPr>
    </w:p>
    <w:p w:rsidR="0054499C" w:rsidRPr="00852E57" w:rsidRDefault="0054499C" w:rsidP="0054499C">
      <w:pPr>
        <w:rPr>
          <w:rFonts w:ascii="Calibri" w:hAnsi="Calibri"/>
          <w:iCs/>
          <w:szCs w:val="20"/>
        </w:rPr>
      </w:pPr>
    </w:p>
    <w:p w:rsidR="0054499C" w:rsidRPr="00852E57" w:rsidRDefault="0054499C" w:rsidP="0054499C">
      <w:pPr>
        <w:rPr>
          <w:rFonts w:ascii="Calibri" w:hAnsi="Calibri"/>
          <w:iCs/>
          <w:szCs w:val="20"/>
        </w:rPr>
      </w:pPr>
    </w:p>
    <w:p w:rsidR="0054499C" w:rsidRPr="00852E57" w:rsidRDefault="0054499C" w:rsidP="0054499C">
      <w:pPr>
        <w:rPr>
          <w:rFonts w:ascii="Calibri" w:hAnsi="Calibri"/>
          <w:iCs/>
          <w:szCs w:val="20"/>
        </w:rPr>
      </w:pPr>
    </w:p>
    <w:p w:rsidR="0054499C" w:rsidRPr="00852E57" w:rsidRDefault="0054499C" w:rsidP="0054499C">
      <w:pPr>
        <w:rPr>
          <w:rFonts w:ascii="Calibri" w:hAnsi="Calibri"/>
          <w:iCs/>
          <w:szCs w:val="20"/>
        </w:rPr>
      </w:pPr>
    </w:p>
    <w:p w:rsidR="0054499C" w:rsidRPr="00852E57" w:rsidRDefault="0054499C" w:rsidP="0054499C">
      <w:pPr>
        <w:rPr>
          <w:rFonts w:ascii="Calibri" w:hAnsi="Calibri"/>
          <w:iCs/>
          <w:szCs w:val="20"/>
        </w:rPr>
      </w:pPr>
    </w:p>
    <w:p w:rsidR="0054499C" w:rsidRPr="00852E57" w:rsidRDefault="0054499C" w:rsidP="0054499C">
      <w:pPr>
        <w:ind w:left="33"/>
        <w:rPr>
          <w:rFonts w:ascii="Calibri" w:hAnsi="Calibri"/>
          <w:szCs w:val="20"/>
          <w:u w:val="single"/>
        </w:rPr>
      </w:pPr>
    </w:p>
    <w:p w:rsidR="0054499C" w:rsidRPr="00852E57" w:rsidRDefault="0054499C" w:rsidP="0054499C">
      <w:pPr>
        <w:ind w:left="33"/>
        <w:rPr>
          <w:rFonts w:ascii="Calibri" w:hAnsi="Calibri"/>
          <w:szCs w:val="20"/>
          <w:u w:val="single"/>
        </w:rPr>
      </w:pPr>
      <w:r w:rsidRPr="00852E57">
        <w:rPr>
          <w:rFonts w:ascii="Calibri" w:hAnsi="Calibri"/>
          <w:szCs w:val="20"/>
          <w:u w:val="single"/>
        </w:rPr>
        <w:t>Ďalšie informácie týkajúce sa podopatrenia</w:t>
      </w:r>
    </w:p>
    <w:p w:rsidR="0054499C" w:rsidRPr="00852E57" w:rsidRDefault="0054499C" w:rsidP="00CE203B">
      <w:pPr>
        <w:numPr>
          <w:ilvl w:val="0"/>
          <w:numId w:val="280"/>
        </w:numPr>
        <w:spacing w:after="120"/>
        <w:ind w:left="357" w:right="68" w:hanging="357"/>
        <w:rPr>
          <w:rFonts w:ascii="Calibri" w:eastAsia="Calibri" w:hAnsi="Calibri" w:cs="Arial"/>
        </w:rPr>
      </w:pPr>
      <w:r w:rsidRPr="00852E57">
        <w:rPr>
          <w:rFonts w:ascii="Calibri" w:eastAsia="Calibri" w:hAnsi="Calibri" w:cs="Arial"/>
        </w:rPr>
        <w:t>Výška vyrovnávacích príspevkov v roku 2014 pokračuje v intenciách roku 2013 (prechodné nariadenie).</w:t>
      </w:r>
    </w:p>
    <w:p w:rsidR="0054499C" w:rsidRPr="00852E57" w:rsidRDefault="0054499C" w:rsidP="00CE203B">
      <w:pPr>
        <w:numPr>
          <w:ilvl w:val="0"/>
          <w:numId w:val="280"/>
        </w:numPr>
        <w:spacing w:after="120"/>
        <w:ind w:left="357" w:right="68" w:hanging="357"/>
        <w:rPr>
          <w:rFonts w:ascii="Calibri" w:eastAsia="Calibri" w:hAnsi="Calibri" w:cs="Arial"/>
        </w:rPr>
      </w:pPr>
      <w:r w:rsidRPr="00852E57">
        <w:rPr>
          <w:rFonts w:ascii="Calibri" w:eastAsia="Calibri" w:hAnsi="Calibri" w:cs="Arial"/>
        </w:rPr>
        <w:t>SR nebude uplatňovať a realizovať Platby na oblasti s prírodnými prekážkami podľa čl. 48 nariadenia EÚ č. 1307/2013.</w:t>
      </w:r>
    </w:p>
    <w:p w:rsidR="0054499C" w:rsidRPr="00852E57" w:rsidRDefault="0054499C" w:rsidP="00CE203B">
      <w:pPr>
        <w:numPr>
          <w:ilvl w:val="0"/>
          <w:numId w:val="280"/>
        </w:numPr>
        <w:ind w:right="70"/>
        <w:rPr>
          <w:rFonts w:ascii="Calibri" w:eastAsia="Calibri" w:hAnsi="Calibri" w:cs="Arial"/>
        </w:rPr>
      </w:pPr>
      <w:r w:rsidRPr="00852E57">
        <w:rPr>
          <w:rFonts w:ascii="Calibri" w:eastAsia="Calibri" w:hAnsi="Calibri" w:cs="Arial"/>
        </w:rPr>
        <w:t xml:space="preserve">V roku 2017 ukončí SR proces určovania </w:t>
      </w:r>
      <w:r w:rsidRPr="00852E57">
        <w:rPr>
          <w:rFonts w:ascii="Calibri" w:eastAsia="Calibri" w:hAnsi="Calibri" w:cs="Calibri"/>
        </w:rPr>
        <w:t xml:space="preserve">oblastí s prírodnými alebo inými špecifickými obmedzeniami v súlade s článkom 32 (príloha III) nariadenia </w:t>
      </w:r>
      <w:r w:rsidRPr="00852E57">
        <w:rPr>
          <w:rFonts w:ascii="Calibri" w:hAnsi="Calibri"/>
          <w:szCs w:val="20"/>
        </w:rPr>
        <w:t xml:space="preserve">(EÚ) </w:t>
      </w:r>
      <w:r w:rsidRPr="00852E57">
        <w:rPr>
          <w:rFonts w:ascii="Calibri" w:eastAsia="Calibri" w:hAnsi="Calibri" w:cs="Calibri"/>
        </w:rPr>
        <w:t>č.1305/2013 o podpore rozvoja vidieka z EPFRV a predloží ich v</w:t>
      </w:r>
      <w:r w:rsidRPr="00852E57">
        <w:rPr>
          <w:rFonts w:ascii="Arial" w:eastAsia="Calibri" w:hAnsi="Arial" w:cs="Calibri"/>
          <w:sz w:val="16"/>
        </w:rPr>
        <w:t> </w:t>
      </w:r>
      <w:r w:rsidRPr="00852E57">
        <w:rPr>
          <w:rFonts w:ascii="Calibri" w:eastAsia="Calibri" w:hAnsi="Calibri" w:cs="Calibri"/>
        </w:rPr>
        <w:t>rámci</w:t>
      </w:r>
      <w:r w:rsidRPr="00852E57">
        <w:rPr>
          <w:rFonts w:ascii="Arial" w:eastAsia="Calibri" w:hAnsi="Arial" w:cs="Calibri"/>
          <w:sz w:val="16"/>
        </w:rPr>
        <w:t xml:space="preserve"> </w:t>
      </w:r>
      <w:r w:rsidRPr="00852E57">
        <w:rPr>
          <w:rFonts w:ascii="Calibri" w:eastAsia="Calibri" w:hAnsi="Calibri" w:cs="Calibri"/>
        </w:rPr>
        <w:t>modifikácie programu rozvoja vidieka EK.</w:t>
      </w:r>
    </w:p>
    <w:p w:rsidR="0054499C" w:rsidRPr="00852E57" w:rsidRDefault="0054499C" w:rsidP="0054499C">
      <w:pPr>
        <w:rPr>
          <w:rFonts w:ascii="Calibri" w:hAnsi="Calibri" w:cs="Calibri"/>
          <w:b/>
          <w:bCs/>
          <w:szCs w:val="20"/>
        </w:rPr>
      </w:pPr>
    </w:p>
    <w:p w:rsidR="0054499C" w:rsidRPr="00852E57" w:rsidRDefault="0054499C" w:rsidP="0054499C">
      <w:pPr>
        <w:rPr>
          <w:rFonts w:ascii="Calibri" w:hAnsi="Calibri"/>
          <w:b/>
          <w:szCs w:val="20"/>
        </w:rPr>
      </w:pPr>
      <w:r w:rsidRPr="00852E57">
        <w:rPr>
          <w:rFonts w:ascii="Calibri" w:hAnsi="Calibri" w:cs="Calibri"/>
          <w:b/>
          <w:bCs/>
          <w:szCs w:val="20"/>
        </w:rPr>
        <w:t xml:space="preserve">8.2.12.4. </w:t>
      </w:r>
      <w:r w:rsidRPr="00852E57">
        <w:rPr>
          <w:rFonts w:ascii="Calibri" w:hAnsi="Calibri"/>
          <w:b/>
          <w:szCs w:val="20"/>
        </w:rPr>
        <w:t>Overiteľnosť a kontrolovateľnosť opatrenia</w:t>
      </w:r>
    </w:p>
    <w:p w:rsidR="0054499C" w:rsidRPr="00852E57" w:rsidRDefault="0054499C" w:rsidP="0054499C">
      <w:pPr>
        <w:rPr>
          <w:rFonts w:ascii="Calibri" w:hAnsi="Calibri" w:cs="Calibri"/>
          <w:szCs w:val="20"/>
        </w:rPr>
      </w:pPr>
      <w:r w:rsidRPr="00852E57">
        <w:rPr>
          <w:rFonts w:ascii="Calibri" w:hAnsi="Calibri" w:cs="Calibri"/>
          <w:szCs w:val="20"/>
        </w:rPr>
        <w:t>Ex-ante posúdenie overiteľnosti a kontrolovateľnosti opatrenia:</w:t>
      </w:r>
    </w:p>
    <w:p w:rsidR="0054499C" w:rsidRPr="00852E57" w:rsidRDefault="0054499C" w:rsidP="0054499C">
      <w:pPr>
        <w:rPr>
          <w:rFonts w:ascii="Calibri" w:hAnsi="Calibri"/>
          <w:szCs w:val="20"/>
        </w:rPr>
      </w:pPr>
      <w:r w:rsidRPr="00852E57">
        <w:rPr>
          <w:rFonts w:ascii="Calibri" w:hAnsi="Calibri"/>
          <w:szCs w:val="20"/>
        </w:rPr>
        <w:t>(vypracované v spolupráci riadiaceho orgánu programu a Pôdohospodárskej platobnej agentúry)</w:t>
      </w:r>
    </w:p>
    <w:p w:rsidR="0054499C" w:rsidRPr="00852E57" w:rsidRDefault="0054499C" w:rsidP="0054499C">
      <w:pPr>
        <w:rPr>
          <w:rFonts w:ascii="Calibri" w:hAnsi="Calibri"/>
          <w:szCs w:val="20"/>
        </w:rPr>
      </w:pPr>
    </w:p>
    <w:tbl>
      <w:tblPr>
        <w:tblW w:w="0" w:type="auto"/>
        <w:tblInd w:w="70"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70" w:type="dxa"/>
          <w:right w:w="70" w:type="dxa"/>
        </w:tblCellMar>
        <w:tblLook w:val="04A0" w:firstRow="1" w:lastRow="0" w:firstColumn="1" w:lastColumn="0" w:noHBand="0" w:noVBand="1"/>
      </w:tblPr>
      <w:tblGrid>
        <w:gridCol w:w="4536"/>
        <w:gridCol w:w="2552"/>
        <w:gridCol w:w="1912"/>
      </w:tblGrid>
      <w:tr w:rsidR="0054499C" w:rsidRPr="00852E57" w:rsidTr="0054499C">
        <w:trPr>
          <w:trHeight w:hRule="exact" w:val="495"/>
        </w:trPr>
        <w:tc>
          <w:tcPr>
            <w:tcW w:w="4536" w:type="dxa"/>
            <w:tcBorders>
              <w:top w:val="single" w:sz="8" w:space="0" w:color="auto"/>
              <w:left w:val="single" w:sz="8" w:space="0" w:color="auto"/>
              <w:bottom w:val="single" w:sz="8" w:space="0" w:color="auto"/>
              <w:right w:val="single" w:sz="8" w:space="0" w:color="auto"/>
            </w:tcBorders>
            <w:shd w:val="clear" w:color="auto" w:fill="F2DBDB" w:themeFill="accent2" w:themeFillTint="33"/>
          </w:tcPr>
          <w:p w:rsidR="0054499C" w:rsidRPr="00852E57" w:rsidRDefault="0054499C" w:rsidP="0054499C">
            <w:pPr>
              <w:spacing w:after="240"/>
              <w:rPr>
                <w:rFonts w:ascii="Calibri" w:hAnsi="Calibri"/>
                <w:b/>
                <w:sz w:val="20"/>
                <w:szCs w:val="20"/>
              </w:rPr>
            </w:pPr>
            <w:r w:rsidRPr="00852E57">
              <w:rPr>
                <w:rFonts w:ascii="Calibri" w:hAnsi="Calibri"/>
                <w:b/>
                <w:sz w:val="20"/>
                <w:szCs w:val="20"/>
              </w:rPr>
              <w:t>Podmienka</w:t>
            </w:r>
          </w:p>
          <w:p w:rsidR="0054499C" w:rsidRPr="00852E57" w:rsidRDefault="0054499C" w:rsidP="0054499C">
            <w:pPr>
              <w:spacing w:after="240"/>
              <w:rPr>
                <w:rFonts w:ascii="Calibri" w:hAnsi="Calibri"/>
                <w:b/>
                <w:sz w:val="20"/>
                <w:szCs w:val="20"/>
              </w:rPr>
            </w:pPr>
          </w:p>
          <w:p w:rsidR="0054499C" w:rsidRPr="00852E57" w:rsidRDefault="0054499C" w:rsidP="0054499C">
            <w:pPr>
              <w:spacing w:after="240"/>
              <w:rPr>
                <w:rFonts w:ascii="Calibri" w:hAnsi="Calibri"/>
                <w:b/>
                <w:sz w:val="20"/>
                <w:szCs w:val="20"/>
              </w:rPr>
            </w:pPr>
          </w:p>
          <w:p w:rsidR="0054499C" w:rsidRPr="00852E57" w:rsidRDefault="0054499C" w:rsidP="0054499C">
            <w:pPr>
              <w:spacing w:after="240"/>
              <w:rPr>
                <w:rFonts w:ascii="Calibri" w:hAnsi="Calibri"/>
                <w:b/>
                <w:sz w:val="20"/>
                <w:szCs w:val="20"/>
              </w:rPr>
            </w:pPr>
          </w:p>
        </w:tc>
        <w:tc>
          <w:tcPr>
            <w:tcW w:w="2552" w:type="dxa"/>
            <w:tcBorders>
              <w:top w:val="single" w:sz="8" w:space="0" w:color="auto"/>
              <w:left w:val="single" w:sz="8" w:space="0" w:color="auto"/>
              <w:bottom w:val="single" w:sz="8" w:space="0" w:color="auto"/>
              <w:right w:val="single" w:sz="8" w:space="0" w:color="auto"/>
            </w:tcBorders>
            <w:shd w:val="clear" w:color="auto" w:fill="F2DBDB" w:themeFill="accent2" w:themeFillTint="33"/>
          </w:tcPr>
          <w:p w:rsidR="0054499C" w:rsidRPr="00852E57" w:rsidRDefault="0054499C" w:rsidP="0054499C">
            <w:pPr>
              <w:rPr>
                <w:rFonts w:ascii="Calibri" w:hAnsi="Calibri"/>
                <w:b/>
                <w:sz w:val="20"/>
                <w:szCs w:val="20"/>
              </w:rPr>
            </w:pPr>
            <w:r w:rsidRPr="00852E57">
              <w:rPr>
                <w:rFonts w:ascii="Calibri" w:hAnsi="Calibri"/>
                <w:b/>
                <w:sz w:val="20"/>
                <w:szCs w:val="20"/>
              </w:rPr>
              <w:t>Administratívna kontrola</w:t>
            </w:r>
          </w:p>
          <w:p w:rsidR="0054499C" w:rsidRPr="00852E57" w:rsidRDefault="0054499C" w:rsidP="0054499C">
            <w:pPr>
              <w:spacing w:after="240"/>
              <w:rPr>
                <w:rFonts w:ascii="Calibri" w:hAnsi="Calibri"/>
                <w:b/>
                <w:sz w:val="20"/>
                <w:szCs w:val="20"/>
              </w:rPr>
            </w:pPr>
          </w:p>
        </w:tc>
        <w:tc>
          <w:tcPr>
            <w:tcW w:w="1912" w:type="dxa"/>
            <w:tcBorders>
              <w:top w:val="single" w:sz="8" w:space="0" w:color="auto"/>
              <w:left w:val="single" w:sz="8" w:space="0" w:color="auto"/>
              <w:bottom w:val="single" w:sz="8" w:space="0" w:color="auto"/>
              <w:right w:val="single" w:sz="8" w:space="0" w:color="auto"/>
            </w:tcBorders>
            <w:shd w:val="clear" w:color="auto" w:fill="F2DBDB" w:themeFill="accent2" w:themeFillTint="33"/>
          </w:tcPr>
          <w:p w:rsidR="0054499C" w:rsidRPr="00852E57" w:rsidRDefault="0054499C" w:rsidP="0054499C">
            <w:pPr>
              <w:rPr>
                <w:rFonts w:ascii="Calibri" w:hAnsi="Calibri"/>
                <w:b/>
                <w:sz w:val="20"/>
                <w:szCs w:val="20"/>
              </w:rPr>
            </w:pPr>
            <w:r w:rsidRPr="00852E57">
              <w:rPr>
                <w:rFonts w:ascii="Calibri" w:hAnsi="Calibri"/>
                <w:b/>
                <w:sz w:val="20"/>
                <w:szCs w:val="20"/>
              </w:rPr>
              <w:t>Kontrola na mieste</w:t>
            </w:r>
          </w:p>
          <w:p w:rsidR="0054499C" w:rsidRPr="00852E57" w:rsidRDefault="0054499C" w:rsidP="0054499C">
            <w:pPr>
              <w:spacing w:after="240"/>
              <w:rPr>
                <w:rFonts w:ascii="Calibri" w:hAnsi="Calibri"/>
                <w:b/>
                <w:sz w:val="20"/>
                <w:szCs w:val="20"/>
              </w:rPr>
            </w:pPr>
          </w:p>
        </w:tc>
      </w:tr>
      <w:tr w:rsidR="0054499C" w:rsidRPr="00852E57" w:rsidTr="0054499C">
        <w:trPr>
          <w:trHeight w:hRule="exact" w:val="567"/>
        </w:trPr>
        <w:tc>
          <w:tcPr>
            <w:tcW w:w="4536" w:type="dxa"/>
            <w:tcBorders>
              <w:top w:val="single" w:sz="8" w:space="0" w:color="auto"/>
              <w:left w:val="single" w:sz="8" w:space="0" w:color="auto"/>
              <w:bottom w:val="single" w:sz="8" w:space="0" w:color="auto"/>
              <w:right w:val="single" w:sz="8" w:space="0" w:color="auto"/>
            </w:tcBorders>
            <w:hideMark/>
          </w:tcPr>
          <w:p w:rsidR="0054499C" w:rsidRPr="00852E57" w:rsidRDefault="0054499C" w:rsidP="0054499C">
            <w:pPr>
              <w:tabs>
                <w:tab w:val="num" w:pos="720"/>
                <w:tab w:val="left" w:pos="900"/>
                <w:tab w:val="decimal" w:pos="9000"/>
              </w:tabs>
              <w:overflowPunct w:val="0"/>
              <w:autoSpaceDE w:val="0"/>
              <w:autoSpaceDN w:val="0"/>
              <w:adjustRightInd w:val="0"/>
              <w:textAlignment w:val="baseline"/>
              <w:rPr>
                <w:rFonts w:ascii="Calibri" w:eastAsia="Calibri" w:hAnsi="Calibri"/>
                <w:sz w:val="20"/>
                <w:szCs w:val="20"/>
                <w:lang w:eastAsia="cs-CZ"/>
              </w:rPr>
            </w:pPr>
            <w:r w:rsidRPr="00852E57">
              <w:rPr>
                <w:rFonts w:ascii="Calibri" w:eastAsia="Calibri" w:hAnsi="Calibri"/>
                <w:sz w:val="20"/>
                <w:szCs w:val="20"/>
                <w:lang w:eastAsia="cs-CZ"/>
              </w:rPr>
              <w:t>Vstúpiť do opatrenia minimálne s 1ha poľnohospodárskej pôdy (LPIS).</w:t>
            </w:r>
          </w:p>
        </w:tc>
        <w:tc>
          <w:tcPr>
            <w:tcW w:w="2552" w:type="dxa"/>
            <w:tcBorders>
              <w:top w:val="single" w:sz="8" w:space="0" w:color="auto"/>
              <w:left w:val="single" w:sz="8" w:space="0" w:color="auto"/>
              <w:bottom w:val="single" w:sz="8" w:space="0" w:color="auto"/>
              <w:right w:val="single" w:sz="8" w:space="0" w:color="auto"/>
            </w:tcBorders>
          </w:tcPr>
          <w:p w:rsidR="0054499C" w:rsidRPr="00852E57" w:rsidRDefault="0054499C" w:rsidP="0054499C">
            <w:pPr>
              <w:jc w:val="center"/>
              <w:rPr>
                <w:rFonts w:ascii="Calibri" w:hAnsi="Calibri"/>
                <w:sz w:val="20"/>
                <w:szCs w:val="20"/>
              </w:rPr>
            </w:pPr>
            <w:r w:rsidRPr="00852E57">
              <w:rPr>
                <w:rFonts w:ascii="Calibri" w:hAnsi="Calibri"/>
                <w:sz w:val="20"/>
                <w:szCs w:val="20"/>
              </w:rPr>
              <w:t>Prostredníctvom IACS</w:t>
            </w:r>
          </w:p>
          <w:p w:rsidR="0054499C" w:rsidRPr="00852E57" w:rsidRDefault="0054499C" w:rsidP="0054499C">
            <w:pPr>
              <w:jc w:val="center"/>
              <w:rPr>
                <w:rFonts w:ascii="Calibri" w:hAnsi="Calibri"/>
                <w:sz w:val="20"/>
                <w:szCs w:val="20"/>
              </w:rPr>
            </w:pPr>
          </w:p>
          <w:p w:rsidR="0054499C" w:rsidRPr="00852E57" w:rsidRDefault="0054499C" w:rsidP="0054499C">
            <w:pPr>
              <w:jc w:val="center"/>
              <w:rPr>
                <w:rFonts w:ascii="Calibri" w:hAnsi="Calibri"/>
                <w:sz w:val="20"/>
                <w:szCs w:val="20"/>
              </w:rPr>
            </w:pPr>
          </w:p>
          <w:p w:rsidR="0054499C" w:rsidRPr="00852E57" w:rsidRDefault="0054499C" w:rsidP="0054499C">
            <w:pPr>
              <w:spacing w:after="240"/>
              <w:jc w:val="center"/>
              <w:rPr>
                <w:rFonts w:ascii="Calibri" w:hAnsi="Calibri"/>
                <w:sz w:val="20"/>
                <w:szCs w:val="20"/>
              </w:rPr>
            </w:pPr>
          </w:p>
        </w:tc>
        <w:tc>
          <w:tcPr>
            <w:tcW w:w="1912" w:type="dxa"/>
            <w:tcBorders>
              <w:top w:val="single" w:sz="8" w:space="0" w:color="auto"/>
              <w:left w:val="single" w:sz="8" w:space="0" w:color="auto"/>
              <w:bottom w:val="single" w:sz="8" w:space="0" w:color="auto"/>
              <w:right w:val="single" w:sz="8" w:space="0" w:color="auto"/>
            </w:tcBorders>
          </w:tcPr>
          <w:p w:rsidR="0054499C" w:rsidRPr="00852E57" w:rsidRDefault="0054499C" w:rsidP="0054499C">
            <w:pPr>
              <w:rPr>
                <w:rFonts w:ascii="Calibri" w:hAnsi="Calibri"/>
                <w:sz w:val="20"/>
                <w:szCs w:val="20"/>
              </w:rPr>
            </w:pPr>
          </w:p>
          <w:p w:rsidR="0054499C" w:rsidRPr="00852E57" w:rsidRDefault="0054499C" w:rsidP="0054499C">
            <w:pPr>
              <w:rPr>
                <w:rFonts w:ascii="Calibri" w:hAnsi="Calibri"/>
                <w:sz w:val="20"/>
                <w:szCs w:val="20"/>
              </w:rPr>
            </w:pPr>
          </w:p>
          <w:p w:rsidR="0054499C" w:rsidRPr="00852E57" w:rsidRDefault="0054499C" w:rsidP="0054499C">
            <w:pPr>
              <w:spacing w:after="240"/>
              <w:rPr>
                <w:rFonts w:ascii="Calibri" w:hAnsi="Calibri"/>
                <w:sz w:val="20"/>
                <w:szCs w:val="20"/>
              </w:rPr>
            </w:pPr>
          </w:p>
        </w:tc>
      </w:tr>
      <w:tr w:rsidR="0054499C" w:rsidRPr="00852E57" w:rsidTr="0054499C">
        <w:trPr>
          <w:trHeight w:hRule="exact" w:val="575"/>
        </w:trPr>
        <w:tc>
          <w:tcPr>
            <w:tcW w:w="4536" w:type="dxa"/>
            <w:tcBorders>
              <w:top w:val="single" w:sz="8" w:space="0" w:color="auto"/>
              <w:left w:val="single" w:sz="8" w:space="0" w:color="auto"/>
              <w:bottom w:val="single" w:sz="8" w:space="0" w:color="auto"/>
              <w:right w:val="single" w:sz="8" w:space="0" w:color="auto"/>
            </w:tcBorders>
          </w:tcPr>
          <w:p w:rsidR="0054499C" w:rsidRPr="00852E57" w:rsidRDefault="0054499C" w:rsidP="0054499C">
            <w:pPr>
              <w:spacing w:after="240"/>
              <w:rPr>
                <w:rFonts w:ascii="Calibri" w:hAnsi="Calibri"/>
                <w:sz w:val="20"/>
                <w:szCs w:val="20"/>
              </w:rPr>
            </w:pPr>
            <w:r w:rsidRPr="00852E57">
              <w:rPr>
                <w:rFonts w:ascii="Calibri" w:hAnsi="Calibri"/>
                <w:sz w:val="20"/>
                <w:szCs w:val="20"/>
              </w:rPr>
              <w:t>Prijať záväzok vykonávať svoju poľnohospodársku činnosť v  znevýhodnených oblastiach</w:t>
            </w:r>
          </w:p>
          <w:p w:rsidR="0054499C" w:rsidRPr="00852E57" w:rsidRDefault="0054499C" w:rsidP="0054499C">
            <w:pPr>
              <w:spacing w:after="240"/>
              <w:rPr>
                <w:rFonts w:ascii="Calibri" w:hAnsi="Calibri"/>
                <w:sz w:val="20"/>
                <w:szCs w:val="20"/>
              </w:rPr>
            </w:pPr>
          </w:p>
        </w:tc>
        <w:tc>
          <w:tcPr>
            <w:tcW w:w="2552" w:type="dxa"/>
            <w:tcBorders>
              <w:top w:val="single" w:sz="8" w:space="0" w:color="auto"/>
              <w:left w:val="single" w:sz="8" w:space="0" w:color="auto"/>
              <w:bottom w:val="single" w:sz="8" w:space="0" w:color="auto"/>
              <w:right w:val="single" w:sz="8" w:space="0" w:color="auto"/>
            </w:tcBorders>
          </w:tcPr>
          <w:p w:rsidR="0054499C" w:rsidRPr="00852E57" w:rsidRDefault="0054499C" w:rsidP="0054499C">
            <w:pPr>
              <w:jc w:val="center"/>
              <w:rPr>
                <w:rFonts w:ascii="Calibri" w:hAnsi="Calibri"/>
                <w:sz w:val="20"/>
                <w:szCs w:val="20"/>
              </w:rPr>
            </w:pPr>
            <w:r w:rsidRPr="00852E57">
              <w:rPr>
                <w:rFonts w:ascii="Calibri" w:hAnsi="Calibri"/>
                <w:sz w:val="20"/>
                <w:szCs w:val="20"/>
              </w:rPr>
              <w:t>Prostredníctvom IACS</w:t>
            </w:r>
          </w:p>
          <w:p w:rsidR="0054499C" w:rsidRPr="00852E57" w:rsidRDefault="0054499C" w:rsidP="0054499C">
            <w:pPr>
              <w:spacing w:after="240"/>
              <w:jc w:val="center"/>
              <w:rPr>
                <w:rFonts w:ascii="Calibri" w:hAnsi="Calibri"/>
                <w:sz w:val="20"/>
                <w:szCs w:val="20"/>
              </w:rPr>
            </w:pPr>
          </w:p>
          <w:p w:rsidR="0054499C" w:rsidRPr="00852E57" w:rsidRDefault="0054499C" w:rsidP="0054499C">
            <w:pPr>
              <w:spacing w:after="240"/>
              <w:jc w:val="center"/>
              <w:rPr>
                <w:rFonts w:ascii="Calibri" w:hAnsi="Calibri"/>
                <w:sz w:val="20"/>
                <w:szCs w:val="20"/>
              </w:rPr>
            </w:pPr>
          </w:p>
        </w:tc>
        <w:tc>
          <w:tcPr>
            <w:tcW w:w="1912" w:type="dxa"/>
            <w:tcBorders>
              <w:top w:val="single" w:sz="8" w:space="0" w:color="auto"/>
              <w:left w:val="single" w:sz="8" w:space="0" w:color="auto"/>
              <w:bottom w:val="single" w:sz="8" w:space="0" w:color="auto"/>
              <w:right w:val="single" w:sz="8" w:space="0" w:color="auto"/>
            </w:tcBorders>
          </w:tcPr>
          <w:p w:rsidR="0054499C" w:rsidRPr="00852E57" w:rsidRDefault="0054499C" w:rsidP="0054499C">
            <w:pPr>
              <w:rPr>
                <w:rFonts w:ascii="Calibri" w:hAnsi="Calibri"/>
                <w:sz w:val="20"/>
                <w:szCs w:val="20"/>
              </w:rPr>
            </w:pPr>
          </w:p>
        </w:tc>
      </w:tr>
    </w:tbl>
    <w:p w:rsidR="0054499C" w:rsidRPr="00852E57" w:rsidRDefault="0054499C" w:rsidP="0054499C">
      <w:pPr>
        <w:rPr>
          <w:rFonts w:ascii="Calibri" w:hAnsi="Calibri"/>
          <w:szCs w:val="20"/>
        </w:rPr>
      </w:pPr>
    </w:p>
    <w:p w:rsidR="0054499C" w:rsidRPr="00852E57" w:rsidRDefault="0054499C" w:rsidP="0054499C">
      <w:pPr>
        <w:rPr>
          <w:rFonts w:ascii="Calibri" w:hAnsi="Calibri"/>
          <w:szCs w:val="20"/>
          <w:u w:val="single"/>
        </w:rPr>
      </w:pPr>
      <w:r w:rsidRPr="00852E57">
        <w:rPr>
          <w:rFonts w:ascii="Calibri" w:hAnsi="Calibri"/>
          <w:szCs w:val="20"/>
          <w:u w:val="single"/>
        </w:rPr>
        <w:t>Riziká v implementácii opatrenia</w:t>
      </w:r>
    </w:p>
    <w:p w:rsidR="0054499C" w:rsidRPr="00852E57" w:rsidRDefault="0054499C" w:rsidP="0054499C">
      <w:pPr>
        <w:ind w:left="44"/>
        <w:rPr>
          <w:rFonts w:ascii="Calibri" w:hAnsi="Calibri"/>
          <w:szCs w:val="20"/>
        </w:rPr>
      </w:pPr>
      <w:r w:rsidRPr="00852E57">
        <w:rPr>
          <w:rFonts w:ascii="Calibri" w:hAnsi="Calibri"/>
          <w:szCs w:val="20"/>
        </w:rPr>
        <w:t>Do opatrenia sa od roku 2015 zavádzajú dva nové prvky, ktorými sú:</w:t>
      </w:r>
    </w:p>
    <w:p w:rsidR="0054499C" w:rsidRPr="00852E57" w:rsidRDefault="0054499C" w:rsidP="00CE203B">
      <w:pPr>
        <w:numPr>
          <w:ilvl w:val="0"/>
          <w:numId w:val="285"/>
        </w:numPr>
        <w:rPr>
          <w:rFonts w:ascii="Calibri" w:hAnsi="Calibri"/>
          <w:szCs w:val="20"/>
        </w:rPr>
      </w:pPr>
      <w:r w:rsidRPr="00852E57">
        <w:rPr>
          <w:rFonts w:ascii="Calibri" w:hAnsi="Calibri"/>
          <w:szCs w:val="20"/>
        </w:rPr>
        <w:t>Platba na základe typu výroby</w:t>
      </w:r>
    </w:p>
    <w:p w:rsidR="0054499C" w:rsidRPr="00852E57" w:rsidRDefault="0054499C" w:rsidP="00CE203B">
      <w:pPr>
        <w:numPr>
          <w:ilvl w:val="0"/>
          <w:numId w:val="285"/>
        </w:numPr>
        <w:spacing w:after="120"/>
        <w:rPr>
          <w:rFonts w:ascii="Calibri" w:hAnsi="Calibri"/>
          <w:szCs w:val="20"/>
        </w:rPr>
      </w:pPr>
      <w:r w:rsidRPr="00852E57">
        <w:rPr>
          <w:rFonts w:ascii="Calibri" w:hAnsi="Calibri"/>
          <w:szCs w:val="20"/>
        </w:rPr>
        <w:t>Degresívna platba z rozsahu</w:t>
      </w:r>
    </w:p>
    <w:p w:rsidR="0054499C" w:rsidRPr="00852E57" w:rsidRDefault="0054499C" w:rsidP="0054499C">
      <w:pPr>
        <w:spacing w:after="120"/>
        <w:rPr>
          <w:rFonts w:ascii="Calibri" w:hAnsi="Calibri"/>
          <w:szCs w:val="20"/>
        </w:rPr>
      </w:pPr>
      <w:r w:rsidRPr="00852E57">
        <w:rPr>
          <w:rFonts w:ascii="Calibri" w:hAnsi="Calibri"/>
          <w:szCs w:val="20"/>
        </w:rPr>
        <w:t>Každý nový prvok podpory predstavuje určité percento rizika, ale pravidlá a podmienky sú nastavené tak, aby ich zvládli samotní poľnohospodári a administratívna kontrola Pôdohospodárskej platobnej agentúry.</w:t>
      </w:r>
    </w:p>
    <w:p w:rsidR="0054499C" w:rsidRPr="00852E57" w:rsidRDefault="0054499C" w:rsidP="0054499C">
      <w:pPr>
        <w:spacing w:after="120"/>
        <w:ind w:left="44"/>
        <w:rPr>
          <w:rFonts w:ascii="Calibri" w:hAnsi="Calibri"/>
          <w:szCs w:val="20"/>
        </w:rPr>
      </w:pPr>
      <w:r w:rsidRPr="00852E57">
        <w:rPr>
          <w:rFonts w:ascii="Calibri" w:hAnsi="Calibri"/>
          <w:szCs w:val="20"/>
        </w:rPr>
        <w:t>Riziká priame môžu vyplývať  z prípadov naddeklarácie výmer a plnenia minimálnych činností (čl.4 ods.1 písm. c) nariadenia č.1307/2013).</w:t>
      </w:r>
    </w:p>
    <w:p w:rsidR="0054499C" w:rsidRPr="00852E57" w:rsidRDefault="0054499C" w:rsidP="0054499C">
      <w:pPr>
        <w:ind w:left="44"/>
        <w:rPr>
          <w:rFonts w:ascii="Calibri" w:hAnsi="Calibri"/>
          <w:szCs w:val="20"/>
        </w:rPr>
      </w:pPr>
      <w:r w:rsidRPr="00852E57">
        <w:rPr>
          <w:rFonts w:ascii="Calibri" w:hAnsi="Calibri"/>
          <w:szCs w:val="20"/>
        </w:rPr>
        <w:t xml:space="preserve">Riziká nepriame môžu nastať pri neplnení podmienok GAEC a ZPH, oprávnenosti aktívneho farmára, ktoré sú však všeobecne platné i pre priame platby. </w:t>
      </w:r>
    </w:p>
    <w:p w:rsidR="0054499C" w:rsidRPr="00852E57" w:rsidRDefault="0054499C" w:rsidP="0054499C">
      <w:pPr>
        <w:ind w:left="44"/>
        <w:rPr>
          <w:rFonts w:ascii="Calibri" w:hAnsi="Calibri"/>
          <w:szCs w:val="20"/>
        </w:rPr>
      </w:pPr>
    </w:p>
    <w:p w:rsidR="0054499C" w:rsidRPr="00852E57" w:rsidRDefault="0054499C" w:rsidP="0054499C">
      <w:pPr>
        <w:rPr>
          <w:rFonts w:ascii="Calibri" w:hAnsi="Calibri"/>
          <w:szCs w:val="20"/>
          <w:u w:val="single"/>
        </w:rPr>
      </w:pPr>
      <w:r w:rsidRPr="00852E57">
        <w:rPr>
          <w:rFonts w:ascii="Calibri" w:hAnsi="Calibri"/>
          <w:szCs w:val="20"/>
          <w:u w:val="single"/>
        </w:rPr>
        <w:t>Zmierňujúce činnosti</w:t>
      </w:r>
    </w:p>
    <w:p w:rsidR="0054499C" w:rsidRPr="00852E57" w:rsidRDefault="0054499C" w:rsidP="0054499C">
      <w:pPr>
        <w:rPr>
          <w:rFonts w:ascii="Calibri" w:hAnsi="Calibri"/>
          <w:szCs w:val="20"/>
        </w:rPr>
      </w:pPr>
      <w:r w:rsidRPr="00852E57">
        <w:rPr>
          <w:rFonts w:ascii="Calibri" w:hAnsi="Calibri"/>
          <w:szCs w:val="20"/>
        </w:rPr>
        <w:t>Do podmienok podpory boli stanovené len kritériá vyplývajúce z legislatívy ES pre toto opatrenie, čím sa minimalizuje možná chybovosť tohto opatrenia.</w:t>
      </w:r>
    </w:p>
    <w:p w:rsidR="0054499C" w:rsidRPr="00852E57" w:rsidRDefault="0054499C" w:rsidP="0054499C">
      <w:pPr>
        <w:rPr>
          <w:rFonts w:ascii="Calibri" w:hAnsi="Calibri"/>
          <w:szCs w:val="20"/>
        </w:rPr>
      </w:pPr>
    </w:p>
    <w:p w:rsidR="0054499C" w:rsidRPr="00852E57" w:rsidRDefault="0054499C" w:rsidP="0054499C">
      <w:pPr>
        <w:rPr>
          <w:rFonts w:ascii="Calibri" w:hAnsi="Calibri"/>
          <w:szCs w:val="20"/>
          <w:u w:val="single"/>
        </w:rPr>
      </w:pPr>
      <w:r w:rsidRPr="00852E57">
        <w:rPr>
          <w:rFonts w:ascii="Calibri" w:hAnsi="Calibri"/>
          <w:szCs w:val="20"/>
          <w:u w:val="single"/>
        </w:rPr>
        <w:t>Celkové hodnotenie opatrenia</w:t>
      </w:r>
    </w:p>
    <w:p w:rsidR="0054499C" w:rsidRPr="00852E57" w:rsidRDefault="0054499C" w:rsidP="0054499C">
      <w:pPr>
        <w:spacing w:after="120"/>
        <w:ind w:left="45"/>
        <w:rPr>
          <w:rFonts w:ascii="Calibri" w:hAnsi="Calibri"/>
          <w:szCs w:val="20"/>
        </w:rPr>
      </w:pPr>
      <w:r w:rsidRPr="00852E57">
        <w:rPr>
          <w:rFonts w:ascii="Calibri" w:hAnsi="Calibri"/>
          <w:szCs w:val="20"/>
        </w:rPr>
        <w:t>Na základe skúseností z predchádzajúceho programového obdobia je možné toto opatrenie hodnotiť ako opatrenie, ktoré má minimum problémov z hľadiska dodržiavania podmienok pre poskytovanie</w:t>
      </w:r>
      <w:r w:rsidRPr="00852E57">
        <w:rPr>
          <w:rFonts w:ascii="Calibri" w:hAnsi="Calibri"/>
          <w:szCs w:val="20"/>
        </w:rPr>
        <w:lastRenderedPageBreak/>
        <w:t xml:space="preserve"> príslušných kompenzačných platieb a ako opatrenie, ktorého čerpanie bolo vždy v intenciách takmer 100 %.</w:t>
      </w:r>
    </w:p>
    <w:p w:rsidR="0054499C" w:rsidRPr="00852E57" w:rsidRDefault="0054499C" w:rsidP="0054499C">
      <w:pPr>
        <w:rPr>
          <w:rFonts w:ascii="Calibri" w:hAnsi="Calibri"/>
          <w:szCs w:val="20"/>
        </w:rPr>
      </w:pPr>
      <w:r w:rsidRPr="00852E57">
        <w:rPr>
          <w:rFonts w:ascii="Calibri" w:hAnsi="Calibri"/>
          <w:szCs w:val="20"/>
        </w:rPr>
        <w:t>Nestabilnou časťou opatrenia je, že v roku 2017 (uprostred programového obdobia) bude dokončená povinná nová klasifikácia ostatných znevýhodnených oblastí a oblastí so špecifickými nevýhodami, prostredníctvom ktorej môže byť v degresívnom spôsobe vyradené niektoré (dovtedy podporované) plochy poľnohospodárskej pôdy.</w:t>
      </w:r>
    </w:p>
    <w:p w:rsidR="0054499C" w:rsidRPr="00852E57" w:rsidRDefault="0054499C" w:rsidP="0054499C">
      <w:pPr>
        <w:rPr>
          <w:rFonts w:ascii="Calibri" w:hAnsi="Calibri"/>
          <w:szCs w:val="20"/>
        </w:rPr>
      </w:pPr>
    </w:p>
    <w:p w:rsidR="0054499C" w:rsidRPr="00852E57" w:rsidRDefault="0054499C" w:rsidP="0054499C">
      <w:pPr>
        <w:ind w:left="33"/>
        <w:rPr>
          <w:rFonts w:ascii="Calibri" w:hAnsi="Calibri"/>
          <w:b/>
          <w:szCs w:val="20"/>
        </w:rPr>
      </w:pPr>
      <w:r w:rsidRPr="00852E57">
        <w:rPr>
          <w:rFonts w:ascii="Calibri" w:hAnsi="Calibri"/>
          <w:b/>
          <w:szCs w:val="20"/>
        </w:rPr>
        <w:t>8.2.12.5 Metodika kalkulácie výšky podpory</w:t>
      </w:r>
    </w:p>
    <w:p w:rsidR="0054499C" w:rsidRPr="00852E57" w:rsidRDefault="0054499C" w:rsidP="0054499C">
      <w:pPr>
        <w:ind w:right="70"/>
        <w:rPr>
          <w:rFonts w:ascii="Calibri" w:eastAsia="Calibri" w:hAnsi="Calibri" w:cs="Arial"/>
        </w:rPr>
      </w:pPr>
      <w:r w:rsidRPr="00852E57">
        <w:rPr>
          <w:rFonts w:ascii="Calibri" w:eastAsia="Calibri" w:hAnsi="Calibri" w:cs="Arial"/>
        </w:rPr>
        <w:t>Výška kompenzačných platieb za LFA od roku 2015 je diferencovaná troma spôsobmi:</w:t>
      </w:r>
    </w:p>
    <w:p w:rsidR="0054499C" w:rsidRPr="00852E57" w:rsidRDefault="0054499C" w:rsidP="0054499C">
      <w:pPr>
        <w:spacing w:after="120"/>
        <w:rPr>
          <w:rFonts w:ascii="Calibri" w:hAnsi="Calibri"/>
          <w:szCs w:val="20"/>
        </w:rPr>
      </w:pPr>
      <w:r w:rsidRPr="00852E57">
        <w:rPr>
          <w:rFonts w:ascii="Calibri" w:hAnsi="Calibri"/>
          <w:szCs w:val="20"/>
        </w:rPr>
        <w:t xml:space="preserve">Metodika výpočtu výšky </w:t>
      </w:r>
      <w:r w:rsidRPr="00852E57">
        <w:rPr>
          <w:rFonts w:ascii="Calibri" w:hAnsi="Calibri"/>
        </w:rPr>
        <w:t xml:space="preserve">kompenzačných platieb </w:t>
      </w:r>
      <w:r w:rsidRPr="00852E57">
        <w:rPr>
          <w:rFonts w:ascii="Calibri" w:hAnsi="Calibri"/>
          <w:szCs w:val="20"/>
        </w:rPr>
        <w:t xml:space="preserve">podľa kategórií znevýhodnenia zohľadňuje všetky skutočnosti, ktoré ovplyvňujú hospodárenie v znevýhodnených oblastiach. Vyrovnávacie príspevky sú vypočítané ako rozdiel medzi hrubou pridanou hodnotou (HPH) a nákladmi faktorov stanovenými na hektár poľnohospodárskej pôdy dosiahnutými v produkčných oblastiach SR (mimo LFA) v porovnaní s </w:t>
      </w:r>
      <w:r w:rsidRPr="00852E57">
        <w:rPr>
          <w:rFonts w:ascii="Calibri" w:hAnsi="Calibri"/>
        </w:rPr>
        <w:t>jednotlivými typ</w:t>
      </w:r>
      <w:r w:rsidRPr="00852E57">
        <w:rPr>
          <w:rFonts w:ascii="Calibri" w:hAnsi="Calibri"/>
          <w:szCs w:val="20"/>
        </w:rPr>
        <w:t>mi znevýhodnených oblastí - horskými oblasťami, ostatnými znevýhodnenými oblasťami a oblasťami so špecifickými nevýhodami. Metodika výpočtu kompenzačných platieb zohľadňuje rozdiely v ekonomike subjektov podľa typov výrobného zamerania. Treťou kategóriou vplývajúcou na poskytovanie platieb v LFA je diferenciácia subjektov podľa veľkosti obhospodarovanej pôdy.</w:t>
      </w:r>
    </w:p>
    <w:p w:rsidR="0054499C" w:rsidRPr="00852E57" w:rsidRDefault="0054499C" w:rsidP="0054499C">
      <w:pPr>
        <w:spacing w:after="120"/>
        <w:rPr>
          <w:rFonts w:ascii="Calibri" w:hAnsi="Calibri"/>
          <w:szCs w:val="20"/>
        </w:rPr>
      </w:pPr>
      <w:r w:rsidRPr="00852E57">
        <w:rPr>
          <w:rFonts w:ascii="Calibri" w:hAnsi="Calibri" w:cs="Calibri"/>
          <w:szCs w:val="20"/>
        </w:rPr>
        <w:t xml:space="preserve">Preukázanie odborného posúdenia opodstatnenosti, primeranosti a presnosti výpočtu kompenzačných platieb pre opatrenie Platby pre oblasti s prírodnými alebo inými špecifickými </w:t>
      </w:r>
      <w:r w:rsidRPr="00852E57">
        <w:rPr>
          <w:rFonts w:ascii="Calibri" w:hAnsi="Calibri"/>
          <w:szCs w:val="20"/>
        </w:rPr>
        <w:t>obmedzeniami:</w:t>
      </w:r>
    </w:p>
    <w:p w:rsidR="0054499C" w:rsidRPr="00852E57" w:rsidRDefault="0054499C" w:rsidP="0054499C">
      <w:pPr>
        <w:rPr>
          <w:rFonts w:ascii="Calibri" w:hAnsi="Calibri"/>
          <w:szCs w:val="20"/>
        </w:rPr>
      </w:pPr>
      <w:r w:rsidRPr="00852E57">
        <w:rPr>
          <w:rFonts w:ascii="Calibri" w:hAnsi="Calibri"/>
          <w:szCs w:val="20"/>
        </w:rPr>
        <w:t>Metodiky a modely výpočtov kompenzačných platieb pre jednotlivé oblasti s prírodnými alebo inými špecifickými obmedzeniami, typov poľnohospodárskej výroby a degresívnych platieb pre veľkostné kategórie podnikov boli zostavené a schválené nezávislou inštitúciou:</w:t>
      </w:r>
    </w:p>
    <w:p w:rsidR="0054499C" w:rsidRDefault="0054499C">
      <w:pPr>
        <w:jc w:val="left"/>
        <w:rPr>
          <w:rFonts w:ascii="Calibri" w:hAnsi="Calibri"/>
          <w:b/>
          <w:szCs w:val="20"/>
        </w:rPr>
      </w:pPr>
      <w:r w:rsidRPr="00852E57">
        <w:rPr>
          <w:rFonts w:ascii="Calibri" w:hAnsi="Calibri"/>
          <w:b/>
          <w:szCs w:val="20"/>
        </w:rPr>
        <w:t>Národné poľnohospodárske a potravinárske centrum - Výskumný ústav ekonomiky poľnohospodárstva a potravinárstva Bratislava.</w:t>
      </w:r>
      <w:r>
        <w:rPr>
          <w:rFonts w:ascii="Calibri" w:hAnsi="Calibri"/>
          <w:b/>
          <w:szCs w:val="20"/>
        </w:rPr>
        <w:br w:type="page"/>
      </w:r>
    </w:p>
    <w:p w:rsidR="00317BFF" w:rsidRPr="00FF48B9" w:rsidRDefault="00317BFF" w:rsidP="00197171">
      <w:pPr>
        <w:pStyle w:val="Opatrenie"/>
      </w:pPr>
      <w:bookmarkStart w:id="101" w:name="_Toc387041336"/>
      <w:r w:rsidRPr="00FF48B9">
        <w:t>8.2.13 OPATRENIE 14  dobré životné podmienky zvierat</w:t>
      </w:r>
      <w:bookmarkEnd w:id="101"/>
    </w:p>
    <w:p w:rsidR="00317BFF" w:rsidRPr="00FF48B9" w:rsidRDefault="00317BFF" w:rsidP="00317BFF">
      <w:pPr>
        <w:rPr>
          <w:rFonts w:ascii="Calibri" w:eastAsia="Calibri" w:hAnsi="Calibri"/>
          <w:b/>
          <w:bCs/>
        </w:rPr>
      </w:pPr>
    </w:p>
    <w:p w:rsidR="00317BFF" w:rsidRPr="00FF48B9" w:rsidRDefault="00317BFF" w:rsidP="00317BFF">
      <w:pPr>
        <w:keepNext/>
        <w:outlineLvl w:val="3"/>
        <w:rPr>
          <w:rFonts w:ascii="Calibri" w:eastAsia="Calibri" w:hAnsi="Calibri"/>
          <w:b/>
          <w:lang w:eastAsia="en-GB"/>
        </w:rPr>
      </w:pPr>
      <w:r w:rsidRPr="00FF48B9">
        <w:rPr>
          <w:rFonts w:ascii="Calibri" w:eastAsia="Calibri" w:hAnsi="Calibri"/>
          <w:b/>
          <w:lang w:eastAsia="en-GB"/>
        </w:rPr>
        <w:t>8.2.13.1. Právny základ</w:t>
      </w:r>
    </w:p>
    <w:p w:rsidR="00317BFF" w:rsidRPr="00FF48B9" w:rsidRDefault="00317BFF" w:rsidP="00317BFF">
      <w:pPr>
        <w:keepNext/>
        <w:outlineLvl w:val="3"/>
        <w:rPr>
          <w:rFonts w:ascii="Calibri" w:eastAsia="Calibri" w:hAnsi="Calibri"/>
          <w:lang w:eastAsia="en-GB"/>
        </w:rPr>
      </w:pPr>
      <w:r w:rsidRPr="00FF48B9">
        <w:rPr>
          <w:rFonts w:ascii="Calibri" w:eastAsia="Calibri" w:hAnsi="Calibri"/>
          <w:lang w:eastAsia="en-GB"/>
        </w:rPr>
        <w:t xml:space="preserve">- článok 33 nariadenia </w:t>
      </w:r>
      <w:r w:rsidRPr="00FF48B9">
        <w:rPr>
          <w:rFonts w:ascii="Calibri" w:hAnsi="Calibri" w:cs="Calibri"/>
        </w:rPr>
        <w:t>(EÚ) č. 1305/2013 o podpore rozvoja vidieka z EPFRV</w:t>
      </w:r>
      <w:r w:rsidRPr="00FF48B9">
        <w:rPr>
          <w:rFonts w:ascii="Calibri" w:eastAsia="Calibri" w:hAnsi="Calibri"/>
          <w:lang w:eastAsia="en-GB"/>
        </w:rPr>
        <w:t>.</w:t>
      </w:r>
    </w:p>
    <w:p w:rsidR="00317BFF" w:rsidRPr="00FF48B9" w:rsidRDefault="00317BFF" w:rsidP="00317BFF">
      <w:pPr>
        <w:keepNext/>
        <w:outlineLvl w:val="3"/>
        <w:rPr>
          <w:rFonts w:ascii="Calibri" w:eastAsia="Calibri" w:hAnsi="Calibri"/>
          <w:lang w:eastAsia="en-GB"/>
        </w:rPr>
      </w:pPr>
    </w:p>
    <w:p w:rsidR="00317BFF" w:rsidRPr="00FF48B9" w:rsidRDefault="00317BFF" w:rsidP="00317BFF">
      <w:pPr>
        <w:keepNext/>
        <w:ind w:left="851" w:hanging="851"/>
        <w:outlineLvl w:val="3"/>
        <w:rPr>
          <w:rFonts w:ascii="Calibri" w:eastAsia="Calibri" w:hAnsi="Calibri"/>
          <w:b/>
          <w:lang w:eastAsia="en-GB"/>
        </w:rPr>
      </w:pPr>
      <w:r w:rsidRPr="00FF48B9">
        <w:rPr>
          <w:rFonts w:ascii="Calibri" w:eastAsia="Calibri" w:hAnsi="Calibri"/>
          <w:b/>
          <w:lang w:eastAsia="en-GB"/>
        </w:rPr>
        <w:t>8.2.13.2. Všeobecný opis opatrenia vrátane intervenčnej logiky a príspevok k fokusovým oblastiam a prierezovým cieľom</w:t>
      </w:r>
    </w:p>
    <w:p w:rsidR="00317BFF" w:rsidRPr="00FF48B9" w:rsidRDefault="00317BFF" w:rsidP="00317BFF">
      <w:pPr>
        <w:keepNext/>
        <w:spacing w:after="120"/>
        <w:outlineLvl w:val="3"/>
        <w:rPr>
          <w:rFonts w:ascii="Calibri" w:hAnsi="Calibri"/>
          <w:lang w:eastAsia="en-GB"/>
        </w:rPr>
      </w:pPr>
      <w:r w:rsidRPr="00FF48B9">
        <w:rPr>
          <w:rFonts w:ascii="Calibri" w:hAnsi="Calibri"/>
          <w:lang w:eastAsia="en-GB"/>
        </w:rPr>
        <w:t>Účelom podpory je kompenzovať poľnohospodárom náklady súvisiace so zavádzaním takých chovných postupov, ktoré sú nad rámec príslušných povinných štandardov a bežnej chovateľskej praxe, vedúce k zlepšeniu životných podmienok zvierat.</w:t>
      </w:r>
    </w:p>
    <w:p w:rsidR="00317BFF" w:rsidRPr="00FF48B9" w:rsidRDefault="00317BFF" w:rsidP="00317BFF">
      <w:pPr>
        <w:keepNext/>
        <w:outlineLvl w:val="3"/>
        <w:rPr>
          <w:rFonts w:ascii="Calibri" w:hAnsi="Calibri"/>
          <w:lang w:eastAsia="en-GB"/>
        </w:rPr>
      </w:pPr>
      <w:r w:rsidRPr="00FF48B9">
        <w:rPr>
          <w:rFonts w:ascii="Calibri" w:hAnsi="Calibri"/>
          <w:lang w:eastAsia="en-GB"/>
        </w:rPr>
        <w:t xml:space="preserve">Dodržiavaním špecifických podmienok v rámci jednotlivých chovov hospodárskych zvierat sa zvieratám zabezpečí lepšia starostlivosť, pohoda, zamedzí sa riziku náhodného úmrtia a taktiež dôjde k zlepšeniu ich zdravotného stavu. Efektívne nasmerovanie podpory v oblasti chovu hydiny, hovädzieho dobytka a ošípaných vychádza z Analýzy dopadov opatrenia Životné podmienky zvierat v rámci PRV SR 2007 – 2013 a odporúčaní pre obdobie 2014 – 2020.  </w:t>
      </w:r>
    </w:p>
    <w:p w:rsidR="00317BFF" w:rsidRPr="00FF48B9" w:rsidRDefault="00317BFF" w:rsidP="00317BFF">
      <w:pPr>
        <w:keepNext/>
        <w:outlineLvl w:val="3"/>
        <w:rPr>
          <w:rFonts w:ascii="Calibri" w:eastAsia="Calibri" w:hAnsi="Calibri"/>
          <w:lang w:eastAsia="en-GB"/>
        </w:rPr>
      </w:pPr>
    </w:p>
    <w:p w:rsidR="00317BFF" w:rsidRPr="00FF48B9" w:rsidRDefault="00317BFF" w:rsidP="00317BFF">
      <w:pPr>
        <w:keepNext/>
        <w:outlineLvl w:val="3"/>
        <w:rPr>
          <w:rFonts w:ascii="Calibri" w:eastAsia="Calibri" w:hAnsi="Calibri"/>
          <w:u w:val="single"/>
          <w:lang w:eastAsia="en-GB"/>
        </w:rPr>
      </w:pPr>
      <w:r w:rsidRPr="00FF48B9">
        <w:rPr>
          <w:rFonts w:ascii="Calibri" w:eastAsia="Calibri" w:hAnsi="Calibri"/>
          <w:u w:val="single"/>
          <w:lang w:eastAsia="en-GB"/>
        </w:rPr>
        <w:t xml:space="preserve">Príspevok k fokusovým oblastiam </w:t>
      </w:r>
    </w:p>
    <w:p w:rsidR="00317BFF" w:rsidRPr="00FF48B9" w:rsidRDefault="00317BFF" w:rsidP="00317BFF">
      <w:pPr>
        <w:spacing w:after="120"/>
        <w:ind w:left="425" w:hanging="425"/>
        <w:outlineLvl w:val="4"/>
        <w:rPr>
          <w:rFonts w:ascii="Calibri" w:eastAsia="Calibri" w:hAnsi="Calibri"/>
          <w:i/>
        </w:rPr>
      </w:pPr>
      <w:r w:rsidRPr="00FF48B9">
        <w:rPr>
          <w:rFonts w:ascii="Calibri" w:eastAsia="Calibri" w:hAnsi="Calibri"/>
          <w:i/>
        </w:rPr>
        <w:t>3A Zvýšenie konkurencieschopnosti prvovýrobcov prostredníctvom ich lepšej integrácie do poľnohospodársko-potravinového reťazca pomocou systémov kvality, pridávania hodnoty poľnohospodárskym produktom, propagácie na miestnych trhoch a  krátkych dodávateľských reťazcov, skupín a organizácií výrobcov a medziodvetvových organizácií.</w:t>
      </w:r>
    </w:p>
    <w:p w:rsidR="00317BFF" w:rsidRPr="00FF48B9" w:rsidRDefault="00317BFF" w:rsidP="00CE203B">
      <w:pPr>
        <w:numPr>
          <w:ilvl w:val="0"/>
          <w:numId w:val="266"/>
        </w:numPr>
        <w:outlineLvl w:val="4"/>
        <w:rPr>
          <w:rFonts w:ascii="Calibri" w:hAnsi="Calibri"/>
          <w:lang w:eastAsia="en-GB"/>
        </w:rPr>
      </w:pPr>
      <w:r w:rsidRPr="00FF48B9">
        <w:rPr>
          <w:rFonts w:ascii="Calibri" w:hAnsi="Calibri"/>
          <w:lang w:eastAsia="en-GB"/>
        </w:rPr>
        <w:t>Jednou z identifikovaných potrieb súvisiacej s fókusovou oblasťou 3A na základe SWOT analýzy je aj Podpora predaja domácej produkcie a zvyšovanie kvality, rozvoj krátkych dodávateľských reťazcov vrátane investícií v oblasti spracovania a odbytu/marketingu poľnohospodárskej a lesnej produkcie. So zvyšovaním kvality súvisí aj zlepšenie zdravotného stavu chovov HZ. Nie vždy je pre podniky možné kalkulovať cenu na základe výrobných nákladov, nakoľko dôležitá je situácia na trhu. To obmedzuje investície do chovov zvierat nad štandardné podmienky, ktoré sa neprejavia v predajnej cene ani objeme produkcie. Kompenzácia nákladov za prijatý záväzok plniť nadštandardné podmienky zlepší kvalitu produktov živočíšnej výroby a môže zefektívniť chov zvierat v podnikoch.</w:t>
      </w:r>
    </w:p>
    <w:p w:rsidR="00317BFF" w:rsidRPr="00FF48B9" w:rsidRDefault="00317BFF" w:rsidP="00317BFF">
      <w:pPr>
        <w:outlineLvl w:val="4"/>
        <w:rPr>
          <w:rFonts w:ascii="Calibri" w:eastAsia="Calibri" w:hAnsi="Calibri"/>
          <w:u w:val="single"/>
        </w:rPr>
      </w:pPr>
    </w:p>
    <w:p w:rsidR="00317BFF" w:rsidRPr="00FF48B9" w:rsidRDefault="00317BFF" w:rsidP="00317BFF">
      <w:pPr>
        <w:outlineLvl w:val="4"/>
        <w:rPr>
          <w:rFonts w:ascii="Calibri" w:eastAsia="Calibri" w:hAnsi="Calibri"/>
          <w:u w:val="single"/>
        </w:rPr>
      </w:pPr>
      <w:r w:rsidRPr="00FF48B9">
        <w:rPr>
          <w:rFonts w:ascii="Calibri" w:eastAsia="Calibri" w:hAnsi="Calibri"/>
          <w:u w:val="single"/>
        </w:rPr>
        <w:t>Príspevok k prierezovým cieľom</w:t>
      </w:r>
    </w:p>
    <w:p w:rsidR="00317BFF" w:rsidRPr="00FF48B9" w:rsidRDefault="00317BFF" w:rsidP="00317BFF">
      <w:pPr>
        <w:outlineLvl w:val="4"/>
        <w:rPr>
          <w:rFonts w:ascii="Calibri" w:eastAsia="Calibri" w:hAnsi="Calibri"/>
        </w:rPr>
      </w:pPr>
      <w:r w:rsidRPr="00FF48B9">
        <w:rPr>
          <w:rFonts w:ascii="Calibri" w:eastAsia="Calibri" w:hAnsi="Calibri"/>
        </w:rPr>
        <w:t>Životné prostredie.</w:t>
      </w:r>
    </w:p>
    <w:p w:rsidR="00317BFF" w:rsidRPr="00FF48B9" w:rsidRDefault="00317BFF" w:rsidP="00317BFF">
      <w:pPr>
        <w:outlineLvl w:val="4"/>
        <w:rPr>
          <w:rFonts w:ascii="Calibri" w:eastAsia="Calibri" w:hAnsi="Calibri"/>
        </w:rPr>
      </w:pPr>
    </w:p>
    <w:p w:rsidR="00317BFF" w:rsidRPr="00FF48B9" w:rsidRDefault="00317BFF" w:rsidP="00317BFF">
      <w:pPr>
        <w:keepNext/>
        <w:outlineLvl w:val="4"/>
        <w:rPr>
          <w:rFonts w:ascii="Calibri" w:hAnsi="Calibri"/>
          <w:b/>
          <w:lang w:eastAsia="en-GB"/>
        </w:rPr>
      </w:pPr>
      <w:r w:rsidRPr="00FF48B9">
        <w:rPr>
          <w:rFonts w:ascii="Calibri" w:hAnsi="Calibri"/>
          <w:b/>
          <w:lang w:eastAsia="en-GB"/>
        </w:rPr>
        <w:t xml:space="preserve">8.2.13.3. Rozsah, úroveň podpory a ďalšie informácie </w:t>
      </w:r>
      <w:r w:rsidRPr="00FF48B9">
        <w:rPr>
          <w:rFonts w:ascii="Calibri" w:hAnsi="Calibri"/>
          <w:lang w:eastAsia="en-GB"/>
        </w:rPr>
        <w:t>(členené podľa typu operácie)</w:t>
      </w:r>
    </w:p>
    <w:p w:rsidR="00317BFF" w:rsidRPr="00FF48B9" w:rsidRDefault="00317BFF" w:rsidP="00317BFF">
      <w:pPr>
        <w:keepNext/>
        <w:shd w:val="clear" w:color="auto" w:fill="FBD4B4"/>
        <w:outlineLvl w:val="4"/>
        <w:rPr>
          <w:rFonts w:ascii="Calibri" w:hAnsi="Calibri"/>
        </w:rPr>
      </w:pPr>
      <w:r w:rsidRPr="00FF48B9">
        <w:rPr>
          <w:rFonts w:ascii="Calibri" w:hAnsi="Calibri"/>
          <w:u w:val="single"/>
        </w:rPr>
        <w:t>Názov operácie</w:t>
      </w:r>
      <w:r w:rsidRPr="00FF48B9">
        <w:rPr>
          <w:rFonts w:ascii="Calibri" w:hAnsi="Calibri"/>
        </w:rPr>
        <w:t xml:space="preserve">: </w:t>
      </w:r>
    </w:p>
    <w:p w:rsidR="00317BFF" w:rsidRPr="00FF48B9" w:rsidRDefault="00317BFF" w:rsidP="00317BFF">
      <w:pPr>
        <w:keepNext/>
        <w:shd w:val="clear" w:color="auto" w:fill="FBD4B4"/>
        <w:outlineLvl w:val="4"/>
        <w:rPr>
          <w:rFonts w:ascii="Calibri" w:hAnsi="Calibri"/>
        </w:rPr>
      </w:pPr>
      <w:r w:rsidRPr="00FF48B9">
        <w:rPr>
          <w:rFonts w:ascii="Calibri" w:hAnsi="Calibri"/>
          <w:i/>
        </w:rPr>
        <w:t>Zlepšenie životných podmienok v chove hydiny</w:t>
      </w:r>
    </w:p>
    <w:p w:rsidR="00317BFF" w:rsidRPr="00FF48B9" w:rsidRDefault="00317BFF" w:rsidP="00317BFF">
      <w:pPr>
        <w:rPr>
          <w:rFonts w:ascii="Calibri" w:eastAsia="Calibri" w:hAnsi="Calibri"/>
          <w:u w:val="single"/>
          <w:lang w:eastAsia="en-GB"/>
        </w:rPr>
      </w:pPr>
    </w:p>
    <w:p w:rsidR="00317BFF" w:rsidRPr="00FF48B9" w:rsidRDefault="00317BFF" w:rsidP="00317BFF">
      <w:pPr>
        <w:rPr>
          <w:rFonts w:ascii="Calibri" w:eastAsia="Calibri" w:hAnsi="Calibri"/>
          <w:u w:val="single"/>
          <w:lang w:eastAsia="en-GB"/>
        </w:rPr>
      </w:pPr>
      <w:r w:rsidRPr="00FF48B9">
        <w:rPr>
          <w:rFonts w:ascii="Calibri" w:eastAsia="Calibri" w:hAnsi="Calibri"/>
          <w:u w:val="single"/>
          <w:lang w:eastAsia="en-GB"/>
        </w:rPr>
        <w:t>Opis operácie:</w:t>
      </w:r>
    </w:p>
    <w:p w:rsidR="00317BFF" w:rsidRPr="00FF48B9" w:rsidRDefault="00317BFF" w:rsidP="00317BFF">
      <w:pPr>
        <w:spacing w:after="120"/>
        <w:rPr>
          <w:rFonts w:ascii="Calibri" w:eastAsia="Calibri" w:hAnsi="Calibri" w:cs="Calibri"/>
          <w:bCs/>
          <w:iCs/>
        </w:rPr>
      </w:pPr>
      <w:r w:rsidRPr="00FF48B9">
        <w:rPr>
          <w:rFonts w:ascii="Calibri" w:eastAsia="Calibri" w:hAnsi="Calibri" w:cs="Calibri"/>
          <w:bCs/>
          <w:iCs/>
        </w:rPr>
        <w:t xml:space="preserve">Od začiatku intenzívneho výkrmu kurčiat na mäso sú vysoké požiadavky na maximálny rast, nízku konverziu krmiva a dobrú jatočnú výťažnosť, pričom tieto parametre by mal brojler dosiahnuť vo veľmi rozdielnych podmienkach prostredia a situácii na trhu. Preto je v chove výkrmových kurčiat snaha minimalizovať dĺžku výkrmu pod fyziologicky únosnú úroveň, zvyšovať zaťaženie podlahovej plochy, zvyšovať počet turnusov pri skracovaní doby asanácie prostredia medzi dvomi turnusmi, a tak zvyšovať ekonomickú efektívnosť chovu. To sa negatívne odráža na chovateľských podmienkach chovu výkrmových kurčiat, na vzniku etopatií, porúch tvorby a kvality svaloviny a zhoršením zdravotného stavu kurčiat.  </w:t>
      </w:r>
    </w:p>
    <w:p w:rsidR="00317BFF" w:rsidRPr="00FF48B9" w:rsidRDefault="00317BFF" w:rsidP="00317BFF">
      <w:pPr>
        <w:rPr>
          <w:rFonts w:ascii="Calibri" w:eastAsia="Calibri" w:hAnsi="Calibri" w:cs="Calibri"/>
          <w:bCs/>
          <w:iCs/>
        </w:rPr>
      </w:pPr>
      <w:r w:rsidRPr="00FF48B9">
        <w:rPr>
          <w:rFonts w:ascii="Calibri" w:eastAsia="Calibri" w:hAnsi="Calibri" w:cs="Calibri"/>
          <w:bCs/>
          <w:iCs/>
        </w:rPr>
        <w:t>Cieľom je zlepšiť životné podmienky v chove kurčiat na mäso znížením zaťaženia ustajňovacej plochy, znížením počtu produkčných cyklov a zabezpečením minimálne 38 dňovej doby výkrmu kurčiat. Účelom je kompenzovať chovateľom výkrmových  kurčiat na mäso straty súvisiace so zavedením</w:t>
      </w:r>
      <w:r w:rsidRPr="00FF48B9">
        <w:rPr>
          <w:rFonts w:ascii="Calibri" w:eastAsia="Calibri" w:hAnsi="Calibri" w:cs="Calibri"/>
          <w:bCs/>
          <w:iCs/>
        </w:rPr>
        <w:lastRenderedPageBreak/>
        <w:t xml:space="preserve"> opatrení a chovateľských postupov, ktoré sú nad rámec príslušnej národnej legislatívy a v súlade s akceptovaním medzinárodných zásad týkajúcich sa životných podmienok a pohody výkrmových kurčiat na mäso. Týmto sa zabezpečí trvalo lepšia pohoda chovaných kurčiat</w:t>
      </w:r>
      <w:r w:rsidRPr="00FF48B9">
        <w:rPr>
          <w:rFonts w:ascii="Calibri" w:eastAsia="Calibri" w:hAnsi="Calibri" w:cs="Calibri"/>
          <w:b/>
          <w:bCs/>
          <w:iCs/>
        </w:rPr>
        <w:t xml:space="preserve">. </w:t>
      </w:r>
    </w:p>
    <w:p w:rsidR="00317BFF" w:rsidRPr="00FF48B9" w:rsidRDefault="00317BFF" w:rsidP="00317BFF">
      <w:pPr>
        <w:rPr>
          <w:rFonts w:ascii="Calibri" w:eastAsia="Calibri" w:hAnsi="Calibri" w:cs="Calibri"/>
          <w:b/>
          <w:bCs/>
          <w:iCs/>
        </w:rPr>
      </w:pPr>
    </w:p>
    <w:p w:rsidR="00317BFF" w:rsidRPr="00FF48B9" w:rsidRDefault="00317BFF" w:rsidP="00317BFF">
      <w:pPr>
        <w:rPr>
          <w:rFonts w:ascii="Calibri" w:eastAsia="Calibri" w:hAnsi="Calibri"/>
          <w:u w:val="single"/>
          <w:lang w:eastAsia="en-GB"/>
        </w:rPr>
      </w:pPr>
      <w:r w:rsidRPr="00FF48B9">
        <w:rPr>
          <w:rFonts w:ascii="Calibri" w:eastAsia="Calibri" w:hAnsi="Calibri"/>
          <w:u w:val="single"/>
          <w:lang w:eastAsia="en-GB"/>
        </w:rPr>
        <w:t>Typ podpory:</w:t>
      </w:r>
    </w:p>
    <w:p w:rsidR="00317BFF" w:rsidRPr="00FF48B9" w:rsidRDefault="00317BFF" w:rsidP="00317BFF">
      <w:pPr>
        <w:rPr>
          <w:rFonts w:ascii="Calibri" w:hAnsi="Calibri"/>
          <w:u w:val="single"/>
          <w:lang w:eastAsia="en-GB"/>
        </w:rPr>
      </w:pPr>
      <w:r w:rsidRPr="00FF48B9">
        <w:rPr>
          <w:rFonts w:ascii="Calibri" w:hAnsi="Calibri"/>
          <w:lang w:eastAsia="en-GB"/>
        </w:rPr>
        <w:t xml:space="preserve">Nezisková ročná kompenzačná platba na DJ. </w:t>
      </w:r>
    </w:p>
    <w:p w:rsidR="00317BFF" w:rsidRPr="00FF48B9" w:rsidRDefault="00317BFF" w:rsidP="00317BFF">
      <w:pPr>
        <w:rPr>
          <w:rFonts w:ascii="Calibri" w:eastAsia="Calibri" w:hAnsi="Calibri"/>
          <w:u w:val="single"/>
          <w:lang w:eastAsia="en-GB"/>
        </w:rPr>
      </w:pPr>
    </w:p>
    <w:p w:rsidR="00317BFF" w:rsidRPr="00FF48B9" w:rsidRDefault="00317BFF" w:rsidP="00317BFF">
      <w:pPr>
        <w:rPr>
          <w:rFonts w:ascii="Calibri" w:eastAsia="Calibri" w:hAnsi="Calibri"/>
          <w:u w:val="single"/>
          <w:lang w:eastAsia="en-GB"/>
        </w:rPr>
      </w:pPr>
      <w:r w:rsidRPr="00FF48B9">
        <w:rPr>
          <w:rFonts w:ascii="Calibri" w:eastAsia="Calibri" w:hAnsi="Calibri"/>
          <w:u w:val="single"/>
          <w:lang w:eastAsia="en-GB"/>
        </w:rPr>
        <w:t xml:space="preserve">Prepojenie na ostatnú legislatívu: </w:t>
      </w:r>
    </w:p>
    <w:p w:rsidR="00317BFF" w:rsidRPr="00FF48B9" w:rsidRDefault="00317BFF" w:rsidP="001F5283">
      <w:pPr>
        <w:numPr>
          <w:ilvl w:val="0"/>
          <w:numId w:val="54"/>
        </w:numPr>
        <w:rPr>
          <w:rFonts w:ascii="Calibri" w:eastAsia="Calibri" w:hAnsi="Calibri"/>
        </w:rPr>
      </w:pPr>
      <w:r w:rsidRPr="00FF48B9">
        <w:rPr>
          <w:rFonts w:ascii="Calibri" w:eastAsia="Calibri" w:hAnsi="Calibri"/>
        </w:rPr>
        <w:t>nariadenie (EÚ) č. 1306/2013 o financovaní, riadení a monitorovaní spoločnej poľnohospodárskej politiky,</w:t>
      </w:r>
    </w:p>
    <w:p w:rsidR="00317BFF" w:rsidRPr="00FF48B9" w:rsidRDefault="00317BFF" w:rsidP="001F5283">
      <w:pPr>
        <w:numPr>
          <w:ilvl w:val="0"/>
          <w:numId w:val="54"/>
        </w:numPr>
        <w:jc w:val="left"/>
        <w:rPr>
          <w:rFonts w:ascii="Calibri" w:eastAsia="Calibri" w:hAnsi="Calibri"/>
        </w:rPr>
      </w:pPr>
      <w:r w:rsidRPr="00FF48B9">
        <w:rPr>
          <w:rFonts w:ascii="Calibri" w:eastAsia="Calibri" w:hAnsi="Calibri"/>
        </w:rPr>
        <w:t xml:space="preserve">zákon č. 39/2007 Z.z. o veterinárnej starostlivosti, </w:t>
      </w:r>
    </w:p>
    <w:p w:rsidR="00317BFF" w:rsidRPr="00FF48B9" w:rsidRDefault="00317BFF" w:rsidP="001F5283">
      <w:pPr>
        <w:numPr>
          <w:ilvl w:val="0"/>
          <w:numId w:val="54"/>
        </w:numPr>
        <w:rPr>
          <w:rFonts w:ascii="Calibri" w:eastAsia="Calibri" w:hAnsi="Calibri"/>
          <w:lang w:eastAsia="en-GB"/>
        </w:rPr>
      </w:pPr>
      <w:r w:rsidRPr="00FF48B9">
        <w:rPr>
          <w:rFonts w:ascii="Calibri" w:eastAsia="Calibri" w:hAnsi="Calibri"/>
        </w:rPr>
        <w:t>nariadenie vlády SR č. 275/2010 Z.z., ktorým sa ustanovujú minimálne pravidlá ochrany kurčiat chovaných na produkciu mäsa;</w:t>
      </w:r>
    </w:p>
    <w:p w:rsidR="00317BFF" w:rsidRPr="00FF48B9" w:rsidRDefault="00317BFF" w:rsidP="001F5283">
      <w:pPr>
        <w:numPr>
          <w:ilvl w:val="0"/>
          <w:numId w:val="54"/>
        </w:numPr>
        <w:rPr>
          <w:rFonts w:ascii="Calibri" w:eastAsia="Calibri" w:hAnsi="Calibri"/>
        </w:rPr>
      </w:pPr>
      <w:r w:rsidRPr="00FF48B9">
        <w:rPr>
          <w:rFonts w:ascii="Calibri" w:eastAsia="Calibri" w:hAnsi="Calibri"/>
        </w:rPr>
        <w:t>nariadenie vlády SR č. 322/2003 Z.z. o ochrane zvierat chovaných na farmárske účely</w:t>
      </w:r>
      <w:r w:rsidRPr="00FF48B9">
        <w:rPr>
          <w:rFonts w:ascii="Times New Roman" w:hAnsi="Times New Roman"/>
          <w:sz w:val="24"/>
        </w:rPr>
        <w:t>.</w:t>
      </w:r>
    </w:p>
    <w:p w:rsidR="00317BFF" w:rsidRPr="00FF48B9" w:rsidRDefault="00317BFF" w:rsidP="00317BFF">
      <w:pPr>
        <w:rPr>
          <w:rFonts w:ascii="Calibri" w:eastAsia="Calibri" w:hAnsi="Calibri"/>
          <w:u w:val="single"/>
          <w:lang w:eastAsia="en-GB"/>
        </w:rPr>
      </w:pPr>
    </w:p>
    <w:p w:rsidR="00317BFF" w:rsidRPr="00FF48B9" w:rsidRDefault="00317BFF" w:rsidP="00317BFF">
      <w:pPr>
        <w:rPr>
          <w:rFonts w:ascii="Calibri" w:eastAsia="Calibri" w:hAnsi="Calibri"/>
          <w:u w:val="single"/>
          <w:lang w:eastAsia="en-GB"/>
        </w:rPr>
      </w:pPr>
      <w:r w:rsidRPr="00FF48B9">
        <w:rPr>
          <w:rFonts w:ascii="Calibri" w:eastAsia="Calibri" w:hAnsi="Calibri"/>
          <w:u w:val="single"/>
          <w:lang w:eastAsia="en-GB"/>
        </w:rPr>
        <w:t>Prijímatelia podpory:</w:t>
      </w:r>
    </w:p>
    <w:p w:rsidR="00317BFF" w:rsidRPr="00FF48B9" w:rsidRDefault="00317BFF" w:rsidP="00317BFF">
      <w:pPr>
        <w:rPr>
          <w:rFonts w:ascii="Calibri" w:eastAsia="Calibri" w:hAnsi="Calibri"/>
          <w:lang w:eastAsia="en-GB"/>
        </w:rPr>
      </w:pPr>
      <w:r w:rsidRPr="00FF48B9">
        <w:rPr>
          <w:rFonts w:ascii="Calibri" w:eastAsia="Calibri" w:hAnsi="Calibri"/>
          <w:lang w:eastAsia="en-GB"/>
        </w:rPr>
        <w:t>Fyzické a právnické osoby podnikajúce v poľnohospodárskej prvovýrobe spĺňajúce definíciu aktívneho farmára podľa čl. 9 nariadenia (EÚ) č. 1307/2013.</w:t>
      </w:r>
    </w:p>
    <w:p w:rsidR="00317BFF" w:rsidRPr="00FF48B9" w:rsidRDefault="00317BFF" w:rsidP="00317BFF">
      <w:pPr>
        <w:rPr>
          <w:rFonts w:ascii="Calibri" w:eastAsia="Calibri" w:hAnsi="Calibri"/>
          <w:i/>
          <w:lang w:eastAsia="en-GB"/>
        </w:rPr>
      </w:pPr>
    </w:p>
    <w:p w:rsidR="00317BFF" w:rsidRPr="00FF48B9" w:rsidRDefault="00317BFF" w:rsidP="00317BFF">
      <w:pPr>
        <w:rPr>
          <w:rFonts w:ascii="Calibri" w:eastAsia="Calibri" w:hAnsi="Calibri"/>
          <w:u w:val="single"/>
          <w:lang w:eastAsia="en-GB"/>
        </w:rPr>
      </w:pPr>
      <w:r w:rsidRPr="00FF48B9">
        <w:rPr>
          <w:rFonts w:ascii="Calibri" w:eastAsia="Calibri" w:hAnsi="Calibri"/>
          <w:u w:val="single"/>
          <w:lang w:eastAsia="en-GB"/>
        </w:rPr>
        <w:t>Oprávnené náklady:</w:t>
      </w:r>
    </w:p>
    <w:p w:rsidR="00317BFF" w:rsidRPr="00FF48B9" w:rsidRDefault="00317BFF" w:rsidP="00317BFF">
      <w:pPr>
        <w:rPr>
          <w:rFonts w:ascii="Calibri" w:hAnsi="Calibri"/>
          <w:u w:val="single"/>
          <w:lang w:eastAsia="en-GB"/>
        </w:rPr>
      </w:pPr>
      <w:r w:rsidRPr="00FF48B9">
        <w:rPr>
          <w:rFonts w:ascii="Calibri" w:hAnsi="Calibri"/>
          <w:snapToGrid w:val="0"/>
          <w:lang w:eastAsia="cs-CZ"/>
        </w:rPr>
        <w:t xml:space="preserve">Platba kompenzuje ušlý príjem zo straty na produkcii zo zníženia zaťaženia o 23%. </w:t>
      </w:r>
    </w:p>
    <w:p w:rsidR="00317BFF" w:rsidRPr="00FF48B9" w:rsidRDefault="00317BFF" w:rsidP="00317BFF">
      <w:pPr>
        <w:rPr>
          <w:rFonts w:ascii="Calibri" w:eastAsia="Calibri" w:hAnsi="Calibri"/>
          <w:u w:val="single"/>
          <w:lang w:eastAsia="en-GB"/>
        </w:rPr>
      </w:pPr>
    </w:p>
    <w:p w:rsidR="00317BFF" w:rsidRPr="00FF48B9" w:rsidRDefault="00317BFF" w:rsidP="00317BFF">
      <w:pPr>
        <w:rPr>
          <w:rFonts w:ascii="Calibri" w:eastAsia="Calibri" w:hAnsi="Calibri"/>
          <w:u w:val="single"/>
          <w:lang w:eastAsia="en-GB"/>
        </w:rPr>
      </w:pPr>
      <w:r w:rsidRPr="00FF48B9">
        <w:rPr>
          <w:rFonts w:ascii="Calibri" w:eastAsia="Calibri" w:hAnsi="Calibri"/>
          <w:u w:val="single"/>
          <w:lang w:eastAsia="en-GB"/>
        </w:rPr>
        <w:t>Podmienky oprávnenosti:</w:t>
      </w:r>
    </w:p>
    <w:p w:rsidR="00317BFF" w:rsidRPr="00FF48B9" w:rsidRDefault="00317BFF" w:rsidP="001F5283">
      <w:pPr>
        <w:numPr>
          <w:ilvl w:val="0"/>
          <w:numId w:val="84"/>
        </w:numPr>
        <w:spacing w:after="120"/>
        <w:ind w:left="284" w:hanging="284"/>
        <w:rPr>
          <w:rFonts w:ascii="Calibri" w:eastAsia="Calibri" w:hAnsi="Calibri"/>
          <w:iCs/>
        </w:rPr>
      </w:pPr>
      <w:r w:rsidRPr="00FF48B9">
        <w:rPr>
          <w:rFonts w:ascii="Calibri" w:eastAsia="Calibri" w:hAnsi="Calibri"/>
          <w:iCs/>
        </w:rPr>
        <w:t>žiadateľ vstupuje do záväzku na obnoviteľné obdobie jedného roka;</w:t>
      </w:r>
    </w:p>
    <w:p w:rsidR="00317BFF" w:rsidRDefault="00317BFF" w:rsidP="00317BFF">
      <w:pPr>
        <w:rPr>
          <w:rFonts w:ascii="Calibri" w:eastAsia="Calibri" w:hAnsi="Calibri"/>
          <w:u w:val="single"/>
          <w:lang w:eastAsia="en-GB"/>
        </w:rPr>
      </w:pPr>
    </w:p>
    <w:p w:rsidR="00317BFF" w:rsidRPr="00FF48B9" w:rsidRDefault="00317BFF" w:rsidP="00317BFF">
      <w:pPr>
        <w:rPr>
          <w:rFonts w:ascii="Calibri" w:eastAsia="Calibri" w:hAnsi="Calibri"/>
          <w:u w:val="single"/>
          <w:lang w:eastAsia="en-GB"/>
        </w:rPr>
      </w:pPr>
      <w:r w:rsidRPr="00FF48B9">
        <w:rPr>
          <w:rFonts w:ascii="Calibri" w:eastAsia="Calibri" w:hAnsi="Calibri"/>
          <w:u w:val="single"/>
          <w:lang w:eastAsia="en-GB"/>
        </w:rPr>
        <w:t>Podmienky podpory:</w:t>
      </w:r>
    </w:p>
    <w:p w:rsidR="00317BFF" w:rsidRPr="00FF48B9" w:rsidRDefault="00317BFF" w:rsidP="00CE203B">
      <w:pPr>
        <w:numPr>
          <w:ilvl w:val="0"/>
          <w:numId w:val="365"/>
        </w:numPr>
        <w:rPr>
          <w:rFonts w:ascii="Calibri" w:eastAsia="Calibri" w:hAnsi="Calibri"/>
          <w:iCs/>
        </w:rPr>
      </w:pPr>
      <w:r w:rsidRPr="00FF48B9">
        <w:rPr>
          <w:rFonts w:ascii="Calibri" w:eastAsia="Calibri" w:hAnsi="Calibri"/>
          <w:iCs/>
        </w:rPr>
        <w:t>zaťaženie podlahovej plochy môže predstavovať max. 30,0 kg/m2  pri hlbokej podstielke (zníženie o 23%  oproti minimálnemu štandardu, t. j. 39 kg/m2 plochy); toto zaťaženie je žiadateľ povinný dodržiavať počas celého záväzku;</w:t>
      </w:r>
    </w:p>
    <w:p w:rsidR="00317BFF" w:rsidRPr="00FF48B9" w:rsidRDefault="00317BFF" w:rsidP="00CE203B">
      <w:pPr>
        <w:numPr>
          <w:ilvl w:val="0"/>
          <w:numId w:val="365"/>
        </w:numPr>
        <w:rPr>
          <w:rFonts w:ascii="Calibri" w:eastAsia="Calibri" w:hAnsi="Calibri"/>
          <w:iCs/>
        </w:rPr>
      </w:pPr>
      <w:r w:rsidRPr="00FF48B9">
        <w:rPr>
          <w:rFonts w:ascii="Calibri" w:eastAsia="Calibri" w:hAnsi="Calibri"/>
          <w:iCs/>
        </w:rPr>
        <w:t xml:space="preserve">chovný priestor sa musí osadiť zvieratami jednorazovo do 24 hodín; </w:t>
      </w:r>
    </w:p>
    <w:p w:rsidR="00317BFF" w:rsidRPr="00FF48B9" w:rsidRDefault="00317BFF" w:rsidP="00CE203B">
      <w:pPr>
        <w:numPr>
          <w:ilvl w:val="0"/>
          <w:numId w:val="365"/>
        </w:numPr>
        <w:rPr>
          <w:rFonts w:ascii="Calibri" w:eastAsia="Calibri" w:hAnsi="Calibri"/>
          <w:iCs/>
        </w:rPr>
      </w:pPr>
      <w:r w:rsidRPr="00FF48B9">
        <w:rPr>
          <w:rFonts w:ascii="Calibri" w:eastAsia="Calibri" w:hAnsi="Calibri"/>
          <w:iCs/>
        </w:rPr>
        <w:t>poberateľ podpory alebo ním poverená osoba  vypĺňa hlásenie o naskladnení  a   vyskladnení chovných priestorov za každý turnus (halová karta);</w:t>
      </w:r>
    </w:p>
    <w:p w:rsidR="00317BFF" w:rsidRPr="00FF48B9" w:rsidRDefault="00317BFF" w:rsidP="00CE203B">
      <w:pPr>
        <w:numPr>
          <w:ilvl w:val="0"/>
          <w:numId w:val="365"/>
        </w:numPr>
        <w:rPr>
          <w:rFonts w:ascii="Calibri" w:eastAsia="Calibri" w:hAnsi="Calibri"/>
          <w:iCs/>
        </w:rPr>
      </w:pPr>
      <w:r w:rsidRPr="00FF48B9">
        <w:rPr>
          <w:rFonts w:ascii="Calibri" w:eastAsia="Calibri" w:hAnsi="Calibri"/>
          <w:iCs/>
        </w:rPr>
        <w:t xml:space="preserve">hlboká podstielka musí byť pred naskladnením zvierat vysoká  minimálne 8 cm  v prípade slamy a minimálne 10 cm vysoká pri ostatných typoch podstielky a počas turnusu musí byť upravovaná podľa potreby (zarovnávanie, prípadne doplňovanie) s minimálnou výškou 4 cm; </w:t>
      </w:r>
    </w:p>
    <w:p w:rsidR="00317BFF" w:rsidRPr="00FF48B9" w:rsidRDefault="00317BFF" w:rsidP="00CE203B">
      <w:pPr>
        <w:numPr>
          <w:ilvl w:val="0"/>
          <w:numId w:val="365"/>
        </w:numPr>
        <w:rPr>
          <w:rFonts w:ascii="Calibri" w:eastAsia="Calibri" w:hAnsi="Calibri"/>
          <w:iCs/>
        </w:rPr>
      </w:pPr>
      <w:r w:rsidRPr="00FF48B9">
        <w:rPr>
          <w:rFonts w:ascii="Calibri" w:eastAsia="Calibri" w:hAnsi="Calibri"/>
          <w:iCs/>
        </w:rPr>
        <w:t>kŕmne a napájacie zariadenia musia byť zabezpečené v takom množstve, aby k nim malo prístup minimálne 70 % zvierat naraz, pričom krmivo a voda musia byť dostupné počas celého dňa;</w:t>
      </w:r>
    </w:p>
    <w:p w:rsidR="00317BFF" w:rsidRPr="00FF48B9" w:rsidRDefault="00317BFF" w:rsidP="00CE203B">
      <w:pPr>
        <w:numPr>
          <w:ilvl w:val="0"/>
          <w:numId w:val="365"/>
        </w:numPr>
        <w:rPr>
          <w:rFonts w:ascii="Calibri" w:eastAsia="Calibri" w:hAnsi="Calibri"/>
          <w:iCs/>
        </w:rPr>
      </w:pPr>
      <w:r w:rsidRPr="00FF48B9">
        <w:rPr>
          <w:rFonts w:ascii="Calibri" w:eastAsia="Calibri" w:hAnsi="Calibri"/>
          <w:iCs/>
        </w:rPr>
        <w:t>dĺžka výkrmu nesmie byť kratšia ako 38 dní/1 turnus, pričom prvým výkrmovým dňom je deň  naskladnenia. Do výkrmových dní sa neráta deň vyskladnenia;</w:t>
      </w:r>
    </w:p>
    <w:p w:rsidR="00317BFF" w:rsidRPr="00FF48B9" w:rsidRDefault="00317BFF" w:rsidP="00CE203B">
      <w:pPr>
        <w:numPr>
          <w:ilvl w:val="0"/>
          <w:numId w:val="365"/>
        </w:numPr>
        <w:autoSpaceDE w:val="0"/>
        <w:autoSpaceDN w:val="0"/>
        <w:rPr>
          <w:rFonts w:ascii="Calibri" w:hAnsi="Calibri"/>
        </w:rPr>
      </w:pPr>
      <w:r w:rsidRPr="00FF48B9">
        <w:rPr>
          <w:rFonts w:ascii="Calibri" w:hAnsi="Calibri"/>
        </w:rPr>
        <w:t xml:space="preserve">Zabezpečiť organizáciu výkrmu tak, aby v hale neprekročila obrátkovosť výkrmu </w:t>
      </w:r>
      <w:r w:rsidRPr="00FF48B9">
        <w:rPr>
          <w:rFonts w:ascii="Calibri" w:hAnsi="Calibri"/>
        </w:rPr>
        <w:br/>
        <w:t>6 turnusov za rok a doba dezinfekcie a prípravy haly na nový turnus nebola kratšia ako 14 dní.</w:t>
      </w:r>
    </w:p>
    <w:p w:rsidR="00317BFF" w:rsidRPr="00FF48B9" w:rsidRDefault="00317BFF" w:rsidP="00317BFF">
      <w:pPr>
        <w:rPr>
          <w:rFonts w:ascii="Calibri" w:eastAsia="Calibri" w:hAnsi="Calibri"/>
          <w:color w:val="1F497D"/>
        </w:rPr>
      </w:pPr>
    </w:p>
    <w:p w:rsidR="00317BFF" w:rsidRPr="00FF48B9" w:rsidRDefault="00317BFF" w:rsidP="00317BFF">
      <w:pPr>
        <w:rPr>
          <w:rFonts w:ascii="Calibri" w:eastAsia="Calibri" w:hAnsi="Calibri"/>
          <w:u w:val="single"/>
          <w:lang w:eastAsia="en-GB"/>
        </w:rPr>
      </w:pPr>
      <w:r w:rsidRPr="00FF48B9">
        <w:rPr>
          <w:rFonts w:ascii="Calibri" w:eastAsia="Calibri" w:hAnsi="Calibri"/>
          <w:u w:val="single"/>
          <w:lang w:eastAsia="en-GB"/>
        </w:rPr>
        <w:t>Princípy nastavenia výberových kritérií:</w:t>
      </w:r>
    </w:p>
    <w:p w:rsidR="00317BFF" w:rsidRPr="00FF48B9" w:rsidRDefault="00317BFF" w:rsidP="00317BFF">
      <w:pPr>
        <w:rPr>
          <w:rFonts w:ascii="Calibri" w:eastAsia="Calibri" w:hAnsi="Calibri" w:cs="Calibri"/>
        </w:rPr>
      </w:pPr>
      <w:r w:rsidRPr="00FF48B9">
        <w:rPr>
          <w:rFonts w:ascii="Calibri" w:eastAsia="Calibri" w:hAnsi="Calibri" w:cs="Calibri"/>
        </w:rPr>
        <w:t>Výberové kritériá budú nastavené pre opatrenie ako celok. Výber príjemcov podpory bude nastavený vo vnútroštátnej legislatíve. Princíp výberu bude spočívať v uprednostňovaní malých a stredných podnikov. Výberové kritériá budú uplatnené len pri pretlaku žiadostí nad stanovené možnosti  financovania.</w:t>
      </w:r>
    </w:p>
    <w:p w:rsidR="00317BFF" w:rsidRPr="00FF48B9" w:rsidRDefault="00317BFF" w:rsidP="00317BFF">
      <w:pPr>
        <w:rPr>
          <w:rFonts w:ascii="Calibri" w:eastAsia="Calibri" w:hAnsi="Calibri"/>
          <w:u w:val="single"/>
          <w:lang w:eastAsia="en-GB"/>
        </w:rPr>
      </w:pPr>
    </w:p>
    <w:p w:rsidR="00317BFF" w:rsidRPr="00FF48B9" w:rsidRDefault="00317BFF" w:rsidP="00317BFF">
      <w:pPr>
        <w:rPr>
          <w:rFonts w:ascii="Calibri" w:eastAsia="Calibri" w:hAnsi="Calibri"/>
          <w:u w:val="single"/>
          <w:lang w:eastAsia="en-GB"/>
        </w:rPr>
      </w:pPr>
      <w:r w:rsidRPr="00FF48B9">
        <w:rPr>
          <w:rFonts w:ascii="Calibri" w:eastAsia="Calibri" w:hAnsi="Calibri"/>
          <w:u w:val="single"/>
          <w:lang w:eastAsia="en-GB"/>
        </w:rPr>
        <w:t xml:space="preserve">Výška a miera podpory: </w:t>
      </w:r>
    </w:p>
    <w:p w:rsidR="00317BFF" w:rsidRPr="00FF48B9" w:rsidRDefault="00317BFF" w:rsidP="00317BFF">
      <w:pPr>
        <w:rPr>
          <w:rFonts w:ascii="Calibri" w:hAnsi="Calibri"/>
          <w:bCs/>
        </w:rPr>
      </w:pPr>
      <w:r w:rsidRPr="00FF48B9">
        <w:rPr>
          <w:rFonts w:ascii="Calibri" w:hAnsi="Calibri"/>
          <w:bCs/>
        </w:rPr>
        <w:t>Výška podpory je 75€/DJ/rok.</w:t>
      </w:r>
    </w:p>
    <w:p w:rsidR="00317BFF" w:rsidRPr="00FF48B9" w:rsidRDefault="00317BFF" w:rsidP="00317BFF">
      <w:pPr>
        <w:rPr>
          <w:rFonts w:ascii="Calibri" w:eastAsia="Calibri" w:hAnsi="Calibri"/>
        </w:rPr>
      </w:pPr>
    </w:p>
    <w:p w:rsidR="00317BFF" w:rsidRPr="00FF48B9" w:rsidRDefault="00317BFF" w:rsidP="00317BFF">
      <w:pPr>
        <w:shd w:val="clear" w:color="auto" w:fill="FBD4B4"/>
        <w:rPr>
          <w:rFonts w:ascii="Calibri" w:eastAsia="Calibri" w:hAnsi="Calibri"/>
          <w:iCs/>
          <w:u w:val="single"/>
        </w:rPr>
      </w:pPr>
      <w:r w:rsidRPr="00FF48B9">
        <w:rPr>
          <w:rFonts w:ascii="Calibri" w:eastAsia="Calibri" w:hAnsi="Calibri"/>
          <w:iCs/>
          <w:u w:val="single"/>
        </w:rPr>
        <w:t>Názov operácie:</w:t>
      </w:r>
    </w:p>
    <w:p w:rsidR="00317BFF" w:rsidRPr="00FF48B9" w:rsidRDefault="00317BFF" w:rsidP="00317BFF">
      <w:pPr>
        <w:shd w:val="clear" w:color="auto" w:fill="FBD4B4"/>
        <w:rPr>
          <w:rFonts w:ascii="Calibri" w:eastAsia="Calibri" w:hAnsi="Calibri"/>
          <w:i/>
        </w:rPr>
      </w:pPr>
      <w:r w:rsidRPr="00FF48B9">
        <w:rPr>
          <w:rFonts w:ascii="Calibri" w:eastAsia="Calibri" w:hAnsi="Calibri"/>
          <w:bCs/>
          <w:i/>
        </w:rPr>
        <w:t xml:space="preserve">Zlepšenie starostlivosti o dojnice a teľatá pri pôrode </w:t>
      </w:r>
    </w:p>
    <w:p w:rsidR="00317BFF" w:rsidRPr="00FF48B9" w:rsidRDefault="00317BFF" w:rsidP="00317BFF">
      <w:pPr>
        <w:rPr>
          <w:rFonts w:ascii="Calibri" w:eastAsia="Calibri" w:hAnsi="Calibri"/>
          <w:iCs/>
          <w:u w:val="single"/>
        </w:rPr>
      </w:pPr>
    </w:p>
    <w:p w:rsidR="00317BFF" w:rsidRPr="00FF48B9" w:rsidRDefault="00317BFF" w:rsidP="00317BFF">
      <w:pPr>
        <w:rPr>
          <w:rFonts w:ascii="Calibri" w:eastAsia="Calibri" w:hAnsi="Calibri"/>
          <w:iCs/>
          <w:u w:val="single"/>
        </w:rPr>
      </w:pPr>
      <w:r w:rsidRPr="00FF48B9">
        <w:rPr>
          <w:rFonts w:ascii="Calibri" w:eastAsia="Calibri" w:hAnsi="Calibri"/>
          <w:iCs/>
          <w:u w:val="single"/>
        </w:rPr>
        <w:t>Opis operácie:</w:t>
      </w:r>
    </w:p>
    <w:p w:rsidR="00317BFF" w:rsidRPr="00FF48B9" w:rsidRDefault="00317BFF" w:rsidP="00317BFF">
      <w:pPr>
        <w:autoSpaceDE w:val="0"/>
        <w:autoSpaceDN w:val="0"/>
        <w:spacing w:after="120"/>
        <w:rPr>
          <w:rFonts w:ascii="Calibri" w:eastAsia="Calibri" w:hAnsi="Calibri"/>
          <w:bCs/>
        </w:rPr>
      </w:pPr>
      <w:r w:rsidRPr="00FF48B9">
        <w:rPr>
          <w:rFonts w:ascii="Calibri" w:eastAsia="Calibri" w:hAnsi="Calibri"/>
          <w:bCs/>
        </w:rPr>
        <w:t>V stáde dojníc je obdobie telenia najnáročnejším obdobím chovu. V tomto období je vhodné zvieratá neustále sledovať a zabezpečiť, aby pôrody prebiehali ľahko a aby pri ťažkostiach, ktoré sa pri pôrode vyskytnú, sa dojnici dostalo primeranej podpory. Ťažké pôrody sa vyskytujú pri dojniciach s veľkými teľatami pri narodení a pri dojniciach v slabej kondícii a pretučnených. Pri prvôstkach je pomoc potrebná pri 30-40 % otelení. Dôležité je dodržiavať hygienu pri telení. Počas telenia sú otvorené pôrodné cesty a v nehygienických podmienkach sa do nich dostávajú mikroorganizmy (hlavne z exkrementov), ktoré spôsobujú zápaly pohlavných orgánov. Preto je potrebné sledovať a zabezpečovať čistotu prostredia, sledovať pôrody dojníc a pri ťažkostiach poskytnúť krave odbornú pomoc, aby sa zabránilo ich trápeniu počas pôrodu a po pôrode (zápaly pôrodných ciest). Po vypudení teľaťa z pôrodných ciest ho treba ošetriť (zabezpečiť dýchanie a ošetriť pupočnú šnúru). Do dvoch hodín po narodení je potrebné podať teľatám mledzivo, pretože obsah imunoglobínov, ktorý je zdrojom protilátok v mledzive a ich vstrebávanie v tráviacom trakte teľaťa rýchlo klesá. Do 2 hodín dokážu teľatá využiť 100 % imunogloblínu z mledziva. Rýchlosť prvého napitia mledziva rozhoduje o jeho zdravotnom stave. Problémy s prvým pitím teľaťa bývajú hlavne pri prvôstkach. Udáva sa, že asi 30 % prvôstok nemá dostatočne vyvinutý materský pud a je ju treba usmerniť, aby dovolila teľaťu cicať.</w:t>
      </w:r>
    </w:p>
    <w:p w:rsidR="00317BFF" w:rsidRPr="00FF48B9" w:rsidRDefault="00317BFF" w:rsidP="00317BFF">
      <w:pPr>
        <w:autoSpaceDE w:val="0"/>
        <w:autoSpaceDN w:val="0"/>
        <w:rPr>
          <w:rFonts w:ascii="Calibri" w:eastAsia="Calibri" w:hAnsi="Calibri"/>
        </w:rPr>
      </w:pPr>
      <w:r w:rsidRPr="00FF48B9">
        <w:rPr>
          <w:rFonts w:ascii="Calibri" w:eastAsia="Calibri" w:hAnsi="Calibri"/>
          <w:bCs/>
        </w:rPr>
        <w:t xml:space="preserve">Cieľom operácie je zlepšiť životné podmienky v chove dojníc, zabezpečiť priebeh pôrodov bez zhoršenia zdravotného stavu dojníc a zabezpečiť </w:t>
      </w:r>
      <w:r w:rsidRPr="00FF48B9">
        <w:rPr>
          <w:rFonts w:ascii="Calibri" w:eastAsia="Calibri" w:hAnsi="Calibri"/>
          <w:bCs/>
          <w:color w:val="000000"/>
        </w:rPr>
        <w:t>narodenie zdravého a životaschopného jedinca (teľaťa).</w:t>
      </w:r>
      <w:r w:rsidRPr="00FF48B9">
        <w:rPr>
          <w:rFonts w:ascii="Calibri" w:eastAsia="Calibri" w:hAnsi="Calibri"/>
          <w:bCs/>
        </w:rPr>
        <w:t xml:space="preserve">  </w:t>
      </w:r>
      <w:r w:rsidRPr="00FF48B9">
        <w:rPr>
          <w:rFonts w:ascii="Calibri" w:eastAsia="Calibri" w:hAnsi="Calibri"/>
        </w:rPr>
        <w:t>Účelom operácie je kompenzovať chovateľom dojníc zvýšené náklady súvisiace s realizáciou opatrenia, ktoré sú nad rámec legislatívy (zákon 39/2007 Z. z., nariadenie vlády 322/2003 Z. z.) a sú v súlade s medzinárodne uznávanými zásadami pre životné podmienky v chove hovädzieho dobytka. Realizáciou tejto operácie sa zabezpečí bezproblémové telenie kráv, prípadná pomoc pri telení, ošetrenie teliat po otelení. Za týmto účelom je potrebné v chovoch zabezpečiť dozor v ustajňovacom priestore pre telenie počas celého dňa i noci.</w:t>
      </w:r>
    </w:p>
    <w:p w:rsidR="00317BFF" w:rsidRPr="00FF48B9" w:rsidRDefault="00317BFF" w:rsidP="00317BFF">
      <w:pPr>
        <w:autoSpaceDE w:val="0"/>
        <w:autoSpaceDN w:val="0"/>
        <w:rPr>
          <w:rFonts w:ascii="Calibri" w:eastAsia="Calibri" w:hAnsi="Calibri"/>
        </w:rPr>
      </w:pPr>
      <w:r w:rsidRPr="00FF48B9">
        <w:rPr>
          <w:rFonts w:ascii="Calibri" w:eastAsia="Calibri" w:hAnsi="Calibri"/>
        </w:rPr>
        <w:t> </w:t>
      </w:r>
    </w:p>
    <w:p w:rsidR="00317BFF" w:rsidRPr="00FF48B9" w:rsidRDefault="00317BFF" w:rsidP="00317BFF">
      <w:pPr>
        <w:rPr>
          <w:rFonts w:ascii="Calibri" w:eastAsia="Calibri" w:hAnsi="Calibri"/>
          <w:u w:val="single"/>
          <w:lang w:eastAsia="en-GB"/>
        </w:rPr>
      </w:pPr>
      <w:r w:rsidRPr="00FF48B9">
        <w:rPr>
          <w:rFonts w:ascii="Calibri" w:eastAsia="Calibri" w:hAnsi="Calibri"/>
          <w:u w:val="single"/>
          <w:lang w:eastAsia="en-GB"/>
        </w:rPr>
        <w:t>Typ podpory:</w:t>
      </w:r>
    </w:p>
    <w:p w:rsidR="00317BFF" w:rsidRPr="00FF48B9" w:rsidRDefault="00317BFF" w:rsidP="00317BFF">
      <w:pPr>
        <w:rPr>
          <w:rFonts w:ascii="Calibri" w:hAnsi="Calibri"/>
          <w:i/>
          <w:lang w:eastAsia="en-GB"/>
        </w:rPr>
      </w:pPr>
      <w:r w:rsidRPr="00FF48B9">
        <w:rPr>
          <w:rFonts w:ascii="Calibri" w:hAnsi="Calibri"/>
          <w:lang w:eastAsia="en-GB"/>
        </w:rPr>
        <w:t xml:space="preserve">Nezisková ročná kompenzačná platba na DJ. </w:t>
      </w:r>
    </w:p>
    <w:p w:rsidR="00317BFF" w:rsidRPr="00FF48B9" w:rsidRDefault="00317BFF" w:rsidP="00317BFF">
      <w:pPr>
        <w:rPr>
          <w:rFonts w:ascii="Calibri" w:eastAsia="Calibri" w:hAnsi="Calibri"/>
          <w:i/>
          <w:lang w:eastAsia="en-GB"/>
        </w:rPr>
      </w:pPr>
    </w:p>
    <w:p w:rsidR="00317BFF" w:rsidRPr="00FF48B9" w:rsidRDefault="00317BFF" w:rsidP="00317BFF">
      <w:pPr>
        <w:rPr>
          <w:rFonts w:ascii="Calibri" w:eastAsia="Calibri" w:hAnsi="Calibri"/>
          <w:u w:val="single"/>
          <w:lang w:eastAsia="en-GB"/>
        </w:rPr>
      </w:pPr>
      <w:r w:rsidRPr="00FF48B9">
        <w:rPr>
          <w:rFonts w:ascii="Calibri" w:eastAsia="Calibri" w:hAnsi="Calibri"/>
          <w:u w:val="single"/>
          <w:lang w:eastAsia="en-GB"/>
        </w:rPr>
        <w:t xml:space="preserve">Prepojenie na ostatnú legislatívu: </w:t>
      </w:r>
    </w:p>
    <w:p w:rsidR="00317BFF" w:rsidRPr="00FF48B9" w:rsidRDefault="00317BFF" w:rsidP="00317BFF">
      <w:pPr>
        <w:numPr>
          <w:ilvl w:val="0"/>
          <w:numId w:val="33"/>
        </w:numPr>
        <w:tabs>
          <w:tab w:val="num" w:pos="720"/>
        </w:tabs>
        <w:rPr>
          <w:rFonts w:ascii="Calibri" w:eastAsia="Calibri" w:hAnsi="Calibri"/>
        </w:rPr>
      </w:pPr>
      <w:r w:rsidRPr="00FF48B9">
        <w:rPr>
          <w:rFonts w:ascii="Calibri" w:eastAsia="Calibri" w:hAnsi="Calibri"/>
        </w:rPr>
        <w:t>nariadenie (EÚ) č. 1306/2013 o financovaní, riadení a monitorovaní spoločnej poľnohospodárskej politiky,</w:t>
      </w:r>
    </w:p>
    <w:p w:rsidR="00317BFF" w:rsidRPr="00FF48B9" w:rsidRDefault="00317BFF" w:rsidP="00317BFF">
      <w:pPr>
        <w:numPr>
          <w:ilvl w:val="0"/>
          <w:numId w:val="33"/>
        </w:numPr>
        <w:tabs>
          <w:tab w:val="num" w:pos="720"/>
        </w:tabs>
        <w:rPr>
          <w:rFonts w:ascii="Calibri" w:eastAsia="Calibri" w:hAnsi="Calibri"/>
        </w:rPr>
      </w:pPr>
      <w:r w:rsidRPr="00FF48B9">
        <w:rPr>
          <w:rFonts w:ascii="Calibri" w:eastAsia="Calibri" w:hAnsi="Calibri"/>
        </w:rPr>
        <w:t xml:space="preserve">zákon č. 39/2007 Z. z. o veterinárnej starostlivosti,  </w:t>
      </w:r>
    </w:p>
    <w:p w:rsidR="00317BFF" w:rsidRPr="00FF48B9" w:rsidRDefault="00317BFF" w:rsidP="00317BFF">
      <w:pPr>
        <w:numPr>
          <w:ilvl w:val="0"/>
          <w:numId w:val="33"/>
        </w:numPr>
        <w:tabs>
          <w:tab w:val="num" w:pos="720"/>
        </w:tabs>
        <w:rPr>
          <w:rFonts w:ascii="Calibri" w:eastAsia="Calibri" w:hAnsi="Calibri"/>
        </w:rPr>
      </w:pPr>
      <w:r w:rsidRPr="00FF48B9">
        <w:rPr>
          <w:rFonts w:ascii="Calibri" w:eastAsia="Calibri" w:hAnsi="Calibri"/>
        </w:rPr>
        <w:t>nariadenie vlády 322/2003 Z.z. o ochrane zvierat chovaných na farmárske účely,</w:t>
      </w:r>
    </w:p>
    <w:p w:rsidR="00317BFF" w:rsidRPr="00FF48B9" w:rsidRDefault="00317BFF" w:rsidP="00317BFF">
      <w:pPr>
        <w:numPr>
          <w:ilvl w:val="0"/>
          <w:numId w:val="33"/>
        </w:numPr>
        <w:tabs>
          <w:tab w:val="num" w:pos="720"/>
        </w:tabs>
        <w:rPr>
          <w:rFonts w:ascii="Calibri" w:eastAsia="Calibri" w:hAnsi="Calibri"/>
        </w:rPr>
      </w:pPr>
      <w:r w:rsidRPr="00FF48B9">
        <w:rPr>
          <w:rFonts w:ascii="Calibri" w:eastAsia="Calibri" w:hAnsi="Calibri"/>
        </w:rPr>
        <w:t>nariadenie vlády SR č. 730/2002 Z. z. , ktorým sa ustanovujú minimálne normy ochrany teliat v znení nariadenia vlády č. 270/2003 Z. z.</w:t>
      </w:r>
    </w:p>
    <w:p w:rsidR="00317BFF" w:rsidRPr="00FF48B9" w:rsidRDefault="00317BFF" w:rsidP="00317BFF">
      <w:pPr>
        <w:rPr>
          <w:rFonts w:ascii="Calibri" w:eastAsia="Calibri" w:hAnsi="Calibri"/>
        </w:rPr>
      </w:pPr>
    </w:p>
    <w:p w:rsidR="00317BFF" w:rsidRPr="00FF48B9" w:rsidRDefault="00317BFF" w:rsidP="00317BFF">
      <w:pPr>
        <w:rPr>
          <w:rFonts w:ascii="Calibri" w:eastAsia="Calibri" w:hAnsi="Calibri"/>
          <w:u w:val="single"/>
          <w:lang w:eastAsia="en-GB"/>
        </w:rPr>
      </w:pPr>
      <w:r w:rsidRPr="00FF48B9">
        <w:rPr>
          <w:rFonts w:ascii="Calibri" w:eastAsia="Calibri" w:hAnsi="Calibri"/>
          <w:u w:val="single"/>
          <w:lang w:eastAsia="en-GB"/>
        </w:rPr>
        <w:t>Prijímatelia podpory:</w:t>
      </w:r>
    </w:p>
    <w:p w:rsidR="00317BFF" w:rsidRPr="00FF48B9" w:rsidRDefault="00317BFF" w:rsidP="00317BFF">
      <w:pPr>
        <w:rPr>
          <w:rFonts w:ascii="Calibri" w:eastAsia="Calibri" w:hAnsi="Calibri"/>
          <w:lang w:eastAsia="en-GB"/>
        </w:rPr>
      </w:pPr>
      <w:r w:rsidRPr="00FF48B9">
        <w:rPr>
          <w:rFonts w:ascii="Calibri" w:eastAsia="Calibri" w:hAnsi="Calibri"/>
          <w:lang w:eastAsia="en-GB"/>
        </w:rPr>
        <w:t>Fyzické a právnické osoby podnikajúce v poľnohospodárskej prvovýrobe spĺňajúce definíciu aktívneho farmára podľa čl. 9 nariadenia (EÚ) č. 1307/2013.</w:t>
      </w:r>
    </w:p>
    <w:p w:rsidR="00317BFF" w:rsidRPr="00FF48B9" w:rsidRDefault="00317BFF" w:rsidP="00317BFF">
      <w:pPr>
        <w:rPr>
          <w:rFonts w:ascii="Calibri" w:eastAsia="Calibri" w:hAnsi="Calibri"/>
          <w:u w:val="single"/>
          <w:lang w:eastAsia="en-GB"/>
        </w:rPr>
      </w:pPr>
    </w:p>
    <w:p w:rsidR="00317BFF" w:rsidRPr="00FF48B9" w:rsidRDefault="00317BFF" w:rsidP="00317BFF">
      <w:pPr>
        <w:rPr>
          <w:rFonts w:ascii="Calibri" w:eastAsia="Calibri" w:hAnsi="Calibri"/>
          <w:u w:val="single"/>
          <w:lang w:eastAsia="en-GB"/>
        </w:rPr>
      </w:pPr>
      <w:r w:rsidRPr="00FF48B9">
        <w:rPr>
          <w:rFonts w:ascii="Calibri" w:eastAsia="Calibri" w:hAnsi="Calibri"/>
          <w:u w:val="single"/>
          <w:lang w:eastAsia="en-GB"/>
        </w:rPr>
        <w:t>Oprávnené náklady:</w:t>
      </w:r>
    </w:p>
    <w:p w:rsidR="00317BFF" w:rsidRPr="00FF48B9" w:rsidRDefault="00317BFF" w:rsidP="00317BFF">
      <w:pPr>
        <w:rPr>
          <w:rFonts w:ascii="Calibri" w:hAnsi="Calibri"/>
        </w:rPr>
      </w:pPr>
      <w:r w:rsidRPr="00FF48B9">
        <w:rPr>
          <w:rFonts w:ascii="Calibri" w:hAnsi="Calibri"/>
        </w:rPr>
        <w:t>Platba kompenzuje dodatočné náklady za zvýšenie mzdových nákladov na ošetrovateľa na nočnej zmene, ktorý je nad rámec legislatívy i bežných chovateľských postupov.</w:t>
      </w:r>
    </w:p>
    <w:p w:rsidR="00317BFF" w:rsidRPr="00FF48B9" w:rsidRDefault="00317BFF" w:rsidP="00317BFF">
      <w:pPr>
        <w:rPr>
          <w:rFonts w:ascii="Calibri" w:eastAsia="Calibri" w:hAnsi="Calibri"/>
          <w:u w:val="single"/>
          <w:lang w:eastAsia="en-GB"/>
        </w:rPr>
      </w:pPr>
    </w:p>
    <w:p w:rsidR="00317BFF" w:rsidRPr="00FF48B9" w:rsidRDefault="00317BFF" w:rsidP="00317BFF">
      <w:pPr>
        <w:rPr>
          <w:rFonts w:ascii="Calibri" w:eastAsia="Calibri" w:hAnsi="Calibri"/>
          <w:u w:val="single"/>
          <w:lang w:eastAsia="en-GB"/>
        </w:rPr>
      </w:pPr>
      <w:r w:rsidRPr="00FF48B9">
        <w:rPr>
          <w:rFonts w:ascii="Calibri" w:eastAsia="Calibri" w:hAnsi="Calibri"/>
          <w:u w:val="single"/>
          <w:lang w:eastAsia="en-GB"/>
        </w:rPr>
        <w:t>Podmienky oprávnenosti:</w:t>
      </w:r>
    </w:p>
    <w:p w:rsidR="00317BFF" w:rsidRPr="00FF48B9" w:rsidRDefault="00317BFF" w:rsidP="001F5283">
      <w:pPr>
        <w:numPr>
          <w:ilvl w:val="0"/>
          <w:numId w:val="84"/>
        </w:numPr>
        <w:ind w:left="284" w:hanging="284"/>
        <w:rPr>
          <w:rFonts w:ascii="Calibri" w:eastAsia="Calibri" w:hAnsi="Calibri"/>
          <w:iCs/>
        </w:rPr>
      </w:pPr>
      <w:r w:rsidRPr="00FF48B9">
        <w:rPr>
          <w:rFonts w:ascii="Calibri" w:eastAsia="Calibri" w:hAnsi="Calibri"/>
          <w:iCs/>
        </w:rPr>
        <w:t>žiadateľ vstupuje do záväzku na obnoviteľné obdobie jedného roka;</w:t>
      </w:r>
    </w:p>
    <w:p w:rsidR="00317BFF" w:rsidRPr="00FF48B9" w:rsidRDefault="00317BFF" w:rsidP="00317BFF">
      <w:pPr>
        <w:rPr>
          <w:rFonts w:ascii="Calibri" w:hAnsi="Calibri"/>
          <w:u w:val="single"/>
          <w:lang w:eastAsia="en-GB"/>
        </w:rPr>
      </w:pPr>
    </w:p>
    <w:p w:rsidR="00317BFF" w:rsidRPr="00FF48B9" w:rsidRDefault="00317BFF" w:rsidP="00317BFF">
      <w:pPr>
        <w:rPr>
          <w:rFonts w:ascii="Calibri" w:hAnsi="Calibri"/>
          <w:u w:val="single"/>
          <w:lang w:eastAsia="en-GB"/>
        </w:rPr>
      </w:pPr>
      <w:r w:rsidRPr="00FF48B9">
        <w:rPr>
          <w:rFonts w:ascii="Calibri" w:hAnsi="Calibri"/>
          <w:u w:val="single"/>
          <w:lang w:eastAsia="en-GB"/>
        </w:rPr>
        <w:t>Podmienky podpory:</w:t>
      </w:r>
    </w:p>
    <w:p w:rsidR="00317BFF" w:rsidRPr="00FF48B9" w:rsidRDefault="00317BFF" w:rsidP="00CE203B">
      <w:pPr>
        <w:numPr>
          <w:ilvl w:val="0"/>
          <w:numId w:val="366"/>
        </w:numPr>
        <w:autoSpaceDE w:val="0"/>
        <w:autoSpaceDN w:val="0"/>
        <w:ind w:left="357" w:hanging="357"/>
        <w:rPr>
          <w:rFonts w:ascii="Calibri" w:eastAsia="Calibri" w:hAnsi="Calibri"/>
          <w:iCs/>
        </w:rPr>
      </w:pPr>
      <w:r w:rsidRPr="00FF48B9">
        <w:rPr>
          <w:rFonts w:ascii="Calibri" w:eastAsia="Calibri" w:hAnsi="Calibri"/>
          <w:iCs/>
        </w:rPr>
        <w:t>Vytvorenie samostatného podstielaného priestoru pre telenie (pôrodnica).</w:t>
      </w:r>
    </w:p>
    <w:p w:rsidR="00317BFF" w:rsidRPr="00FF48B9" w:rsidRDefault="00317BFF" w:rsidP="00CE203B">
      <w:pPr>
        <w:numPr>
          <w:ilvl w:val="0"/>
          <w:numId w:val="366"/>
        </w:numPr>
        <w:autoSpaceDE w:val="0"/>
        <w:autoSpaceDN w:val="0"/>
        <w:ind w:left="357" w:hanging="357"/>
        <w:rPr>
          <w:rFonts w:ascii="Calibri" w:eastAsia="Calibri" w:hAnsi="Calibri"/>
          <w:iCs/>
        </w:rPr>
      </w:pPr>
      <w:r w:rsidRPr="00FF48B9">
        <w:rPr>
          <w:rFonts w:ascii="Calibri" w:eastAsia="Calibri" w:hAnsi="Calibri"/>
          <w:iCs/>
        </w:rPr>
        <w:t xml:space="preserve">Napojenie teľaťa mledzivom matky do dvoch hodín po narodení. </w:t>
      </w:r>
    </w:p>
    <w:p w:rsidR="00317BFF" w:rsidRPr="00FF48B9" w:rsidRDefault="00317BFF" w:rsidP="00CE203B">
      <w:pPr>
        <w:numPr>
          <w:ilvl w:val="0"/>
          <w:numId w:val="366"/>
        </w:numPr>
        <w:autoSpaceDE w:val="0"/>
        <w:autoSpaceDN w:val="0"/>
        <w:ind w:left="357" w:hanging="357"/>
        <w:rPr>
          <w:rFonts w:ascii="Calibri" w:eastAsia="Calibri" w:hAnsi="Calibri"/>
          <w:iCs/>
        </w:rPr>
      </w:pPr>
      <w:r w:rsidRPr="00FF48B9">
        <w:rPr>
          <w:rFonts w:ascii="Calibri" w:eastAsia="Calibri" w:hAnsi="Calibri"/>
          <w:iCs/>
        </w:rPr>
        <w:t>Presun kravy do pôrodnice 2 dni pred plánovaným telením (vedenie záznamu).</w:t>
      </w:r>
    </w:p>
    <w:p w:rsidR="00317BFF" w:rsidRPr="00FF48B9" w:rsidRDefault="00317BFF" w:rsidP="00CE203B">
      <w:pPr>
        <w:numPr>
          <w:ilvl w:val="0"/>
          <w:numId w:val="366"/>
        </w:numPr>
        <w:autoSpaceDE w:val="0"/>
        <w:autoSpaceDN w:val="0"/>
        <w:ind w:left="357" w:hanging="357"/>
        <w:rPr>
          <w:rFonts w:ascii="Calibri" w:eastAsia="Calibri" w:hAnsi="Calibri"/>
          <w:iCs/>
        </w:rPr>
      </w:pPr>
      <w:r w:rsidRPr="00FF48B9">
        <w:rPr>
          <w:rFonts w:ascii="Calibri" w:eastAsia="Calibri" w:hAnsi="Calibri"/>
          <w:iCs/>
        </w:rPr>
        <w:t>Zabezpečiť dennú evidenciu o pôrodoch (priebeh pôrodu, spôsob napojenia  teľaťa, cicanie alebo pitie nadojeného mledziva, čas napojenia teľaťa po narodení).</w:t>
      </w:r>
    </w:p>
    <w:p w:rsidR="00317BFF" w:rsidRPr="00FF48B9" w:rsidRDefault="00317BFF" w:rsidP="00CE203B">
      <w:pPr>
        <w:numPr>
          <w:ilvl w:val="0"/>
          <w:numId w:val="366"/>
        </w:numPr>
        <w:autoSpaceDE w:val="0"/>
        <w:autoSpaceDN w:val="0"/>
        <w:ind w:left="357" w:hanging="357"/>
        <w:rPr>
          <w:rFonts w:ascii="Calibri" w:eastAsia="Calibri" w:hAnsi="Calibri"/>
          <w:iCs/>
        </w:rPr>
      </w:pPr>
      <w:r w:rsidRPr="00FF48B9">
        <w:rPr>
          <w:rFonts w:ascii="Calibri" w:eastAsia="Calibri" w:hAnsi="Calibri"/>
          <w:iCs/>
        </w:rPr>
        <w:t>Celodenná (24 hodín) kontrola a dohľad nad telením pri kravách v ustajňovacom priestore pre telenie a počas nočnej zmeny (1 zamestnanec/100kráv/1 nočná zmena).</w:t>
      </w:r>
    </w:p>
    <w:p w:rsidR="00317BFF" w:rsidRPr="00FF48B9" w:rsidRDefault="00317BFF" w:rsidP="00317BFF">
      <w:pPr>
        <w:autoSpaceDE w:val="0"/>
        <w:autoSpaceDN w:val="0"/>
        <w:ind w:left="180"/>
        <w:rPr>
          <w:rFonts w:ascii="Calibri" w:eastAsia="Calibri" w:hAnsi="Calibri"/>
        </w:rPr>
      </w:pPr>
    </w:p>
    <w:p w:rsidR="00317BFF" w:rsidRPr="00FF48B9" w:rsidRDefault="00317BFF" w:rsidP="00317BFF">
      <w:pPr>
        <w:rPr>
          <w:rFonts w:ascii="Calibri" w:eastAsia="Calibri" w:hAnsi="Calibri"/>
          <w:u w:val="single"/>
          <w:lang w:eastAsia="en-GB"/>
        </w:rPr>
      </w:pPr>
      <w:r w:rsidRPr="00FF48B9">
        <w:rPr>
          <w:rFonts w:ascii="Calibri" w:eastAsia="Calibri" w:hAnsi="Calibri"/>
          <w:u w:val="single"/>
          <w:lang w:eastAsia="en-GB"/>
        </w:rPr>
        <w:t>Princípy nastavenia výberových kritérií:</w:t>
      </w:r>
    </w:p>
    <w:p w:rsidR="00317BFF" w:rsidRPr="00FF48B9" w:rsidRDefault="00317BFF" w:rsidP="00317BFF">
      <w:pPr>
        <w:rPr>
          <w:rFonts w:ascii="Calibri" w:eastAsia="Calibri" w:hAnsi="Calibri" w:cs="Calibri"/>
        </w:rPr>
      </w:pPr>
      <w:r w:rsidRPr="00FF48B9">
        <w:rPr>
          <w:rFonts w:ascii="Calibri" w:eastAsia="Calibri" w:hAnsi="Calibri" w:cs="Calibri"/>
        </w:rPr>
        <w:t>Výberové kritériá budú nastavené pre opatrenie ako celok. Výber príjemcov podpory bude nastavený vo vnútroštátnej legislatíve. Princíp výberu bude spočívať v uprednostňovaní malých a stredných podnikov. Výberové kritériá budú uplatnené len pri pretlaku žiadostí nad stanovené možnosti  financovania.</w:t>
      </w:r>
    </w:p>
    <w:p w:rsidR="00317BFF" w:rsidRPr="00FF48B9" w:rsidRDefault="00317BFF" w:rsidP="00317BFF">
      <w:pPr>
        <w:rPr>
          <w:rFonts w:ascii="Calibri" w:eastAsia="Calibri" w:hAnsi="Calibri"/>
          <w:u w:val="single"/>
          <w:lang w:eastAsia="en-GB"/>
        </w:rPr>
      </w:pPr>
    </w:p>
    <w:p w:rsidR="00317BFF" w:rsidRPr="00FF48B9" w:rsidRDefault="00317BFF" w:rsidP="00317BFF">
      <w:pPr>
        <w:rPr>
          <w:rFonts w:ascii="Calibri" w:eastAsia="Calibri" w:hAnsi="Calibri"/>
          <w:u w:val="single"/>
          <w:lang w:eastAsia="en-GB"/>
        </w:rPr>
      </w:pPr>
      <w:r w:rsidRPr="00FF48B9">
        <w:rPr>
          <w:rFonts w:ascii="Calibri" w:eastAsia="Calibri" w:hAnsi="Calibri"/>
          <w:u w:val="single"/>
          <w:lang w:eastAsia="en-GB"/>
        </w:rPr>
        <w:t xml:space="preserve">Uplatniteľné sumy a miery podpory: </w:t>
      </w:r>
    </w:p>
    <w:p w:rsidR="00317BFF" w:rsidRPr="00FF48B9" w:rsidRDefault="00317BFF" w:rsidP="00317BFF">
      <w:pPr>
        <w:keepNext/>
        <w:outlineLvl w:val="4"/>
        <w:rPr>
          <w:rFonts w:ascii="Calibri" w:eastAsia="Calibri" w:hAnsi="Calibri"/>
        </w:rPr>
      </w:pPr>
      <w:r w:rsidRPr="00FF48B9">
        <w:rPr>
          <w:rFonts w:ascii="Calibri" w:eastAsia="Calibri" w:hAnsi="Calibri"/>
          <w:bCs/>
        </w:rPr>
        <w:t>Výška podpory je 130 €/DJ/rok.</w:t>
      </w:r>
    </w:p>
    <w:p w:rsidR="00317BFF" w:rsidRPr="00FF48B9" w:rsidRDefault="00317BFF" w:rsidP="00317BFF">
      <w:pPr>
        <w:keepNext/>
        <w:outlineLvl w:val="4"/>
        <w:rPr>
          <w:rFonts w:ascii="Calibri" w:eastAsia="Calibri" w:hAnsi="Calibri"/>
        </w:rPr>
      </w:pPr>
    </w:p>
    <w:p w:rsidR="00317BFF" w:rsidRPr="00FF48B9" w:rsidRDefault="00317BFF" w:rsidP="00317BFF">
      <w:pPr>
        <w:keepNext/>
        <w:outlineLvl w:val="4"/>
        <w:rPr>
          <w:rFonts w:ascii="Calibri" w:eastAsia="Calibri" w:hAnsi="Calibri"/>
        </w:rPr>
      </w:pPr>
    </w:p>
    <w:p w:rsidR="00317BFF" w:rsidRPr="00FF48B9" w:rsidRDefault="00317BFF" w:rsidP="00317BFF">
      <w:pPr>
        <w:keepNext/>
        <w:outlineLvl w:val="4"/>
        <w:rPr>
          <w:rFonts w:ascii="Calibri" w:eastAsia="Calibri" w:hAnsi="Calibri"/>
        </w:rPr>
      </w:pPr>
    </w:p>
    <w:p w:rsidR="00317BFF" w:rsidRPr="00FF48B9" w:rsidRDefault="00317BFF" w:rsidP="00317BFF">
      <w:pPr>
        <w:shd w:val="clear" w:color="auto" w:fill="FBD4B4"/>
        <w:autoSpaceDN w:val="0"/>
        <w:rPr>
          <w:rFonts w:ascii="Calibri" w:eastAsia="Calibri" w:hAnsi="Calibri" w:cs="Calibri"/>
          <w:u w:val="single"/>
        </w:rPr>
      </w:pPr>
      <w:r w:rsidRPr="00FF48B9">
        <w:rPr>
          <w:rFonts w:ascii="Calibri" w:eastAsia="Calibri" w:hAnsi="Calibri" w:cs="Calibri"/>
          <w:u w:val="single"/>
        </w:rPr>
        <w:t>Názov operácie:</w:t>
      </w:r>
    </w:p>
    <w:p w:rsidR="00317BFF" w:rsidRPr="00FF48B9" w:rsidRDefault="00317BFF" w:rsidP="00317BFF">
      <w:pPr>
        <w:shd w:val="clear" w:color="auto" w:fill="FBD4B4"/>
        <w:autoSpaceDN w:val="0"/>
        <w:rPr>
          <w:rFonts w:ascii="Calibri" w:eastAsia="Calibri" w:hAnsi="Calibri" w:cs="Calibri"/>
          <w:i/>
        </w:rPr>
      </w:pPr>
      <w:r w:rsidRPr="00FF48B9">
        <w:rPr>
          <w:rFonts w:ascii="Calibri" w:eastAsia="Calibri" w:hAnsi="Calibri" w:cs="Calibri"/>
          <w:i/>
        </w:rPr>
        <w:t>Zlepšenie životných podmienok rodiacich a dojčiacich prasníc</w:t>
      </w:r>
    </w:p>
    <w:p w:rsidR="00317BFF" w:rsidRPr="00FF48B9" w:rsidRDefault="00317BFF" w:rsidP="00317BFF">
      <w:pPr>
        <w:ind w:left="720"/>
        <w:rPr>
          <w:rFonts w:ascii="Calibri" w:eastAsia="Calibri" w:hAnsi="Calibri" w:cs="Calibri"/>
          <w:b/>
        </w:rPr>
      </w:pPr>
    </w:p>
    <w:p w:rsidR="00317BFF" w:rsidRPr="00FF48B9" w:rsidRDefault="00317BFF" w:rsidP="00317BFF">
      <w:pPr>
        <w:rPr>
          <w:rFonts w:ascii="Calibri" w:eastAsia="Calibri" w:hAnsi="Calibri" w:cs="Calibri"/>
          <w:u w:val="single"/>
        </w:rPr>
      </w:pPr>
      <w:r w:rsidRPr="00FF48B9">
        <w:rPr>
          <w:rFonts w:ascii="Calibri" w:eastAsia="Calibri" w:hAnsi="Calibri" w:cs="Calibri"/>
          <w:u w:val="single"/>
        </w:rPr>
        <w:t>Opis operácie:</w:t>
      </w:r>
    </w:p>
    <w:p w:rsidR="00317BFF" w:rsidRPr="00FF48B9" w:rsidRDefault="00317BFF" w:rsidP="00317BFF">
      <w:pPr>
        <w:ind w:left="66"/>
        <w:rPr>
          <w:rFonts w:ascii="Calibri" w:eastAsia="Calibri" w:hAnsi="Calibri"/>
          <w:color w:val="1F497D"/>
        </w:rPr>
      </w:pPr>
      <w:r w:rsidRPr="00FF48B9">
        <w:rPr>
          <w:rFonts w:ascii="Calibri" w:eastAsia="Calibri" w:hAnsi="Calibri"/>
        </w:rPr>
        <w:t>Cieľom operácie je zlepšiť životné podmienky zvierat na základe zníženia vplyvu stresových faktorov aplikáciou handlingu v kategóriách rodiacich a dojčiacich prasníc.  Zlepšenie životných podmienok vyplýva zo zvýšenej starostlivosti o prasiatka od narodenia po odstav, kontrola a pomoc pri riadených pôrodoch, individuálna starostlivosť o rozvinutie správania pre zabezpečenie základných životných potrieb (učenie pitia vody a prijímania kŕmnej zmesi). Očakávané prínosy z realizácie tejto operácie budú v zlepšení reprodukčnej a produkčnej úžitkovosti prasiatok do odstavu, v zlepšení pohody a zdravotného stavu dojčiacich prasníc a ciciakov a znížení úhynu a stresu prasiatok pri odstave.</w:t>
      </w:r>
    </w:p>
    <w:p w:rsidR="00317BFF" w:rsidRPr="00FF48B9" w:rsidRDefault="00317BFF" w:rsidP="00317BFF">
      <w:pPr>
        <w:ind w:left="66"/>
        <w:rPr>
          <w:rFonts w:ascii="Calibri" w:eastAsia="Calibri" w:hAnsi="Calibri"/>
          <w:color w:val="1F497D"/>
        </w:rPr>
      </w:pPr>
    </w:p>
    <w:p w:rsidR="00317BFF" w:rsidRPr="00FF48B9" w:rsidRDefault="00317BFF" w:rsidP="00317BFF">
      <w:pPr>
        <w:rPr>
          <w:rFonts w:ascii="Calibri" w:eastAsia="Calibri" w:hAnsi="Calibri" w:cs="Calibri"/>
          <w:u w:val="single"/>
        </w:rPr>
      </w:pPr>
      <w:r w:rsidRPr="00FF48B9">
        <w:rPr>
          <w:rFonts w:ascii="Calibri" w:eastAsia="Calibri" w:hAnsi="Calibri" w:cs="Calibri"/>
          <w:u w:val="single"/>
        </w:rPr>
        <w:t>Typ podpory:</w:t>
      </w:r>
    </w:p>
    <w:p w:rsidR="00317BFF" w:rsidRPr="00FF48B9" w:rsidRDefault="00317BFF" w:rsidP="00317BFF">
      <w:pPr>
        <w:rPr>
          <w:rFonts w:ascii="Calibri" w:hAnsi="Calibri"/>
        </w:rPr>
      </w:pPr>
      <w:r w:rsidRPr="00FF48B9">
        <w:rPr>
          <w:rFonts w:ascii="Calibri" w:hAnsi="Calibri"/>
          <w:lang w:eastAsia="en-GB"/>
        </w:rPr>
        <w:t xml:space="preserve">Nezisková ročná kompenzačná platba na DJ. </w:t>
      </w:r>
    </w:p>
    <w:p w:rsidR="00317BFF" w:rsidRPr="00FF48B9" w:rsidRDefault="00317BFF" w:rsidP="00317BFF">
      <w:pPr>
        <w:rPr>
          <w:rFonts w:ascii="Calibri" w:eastAsia="Calibri" w:hAnsi="Calibri" w:cs="Calibri"/>
          <w:u w:val="single"/>
        </w:rPr>
      </w:pPr>
    </w:p>
    <w:p w:rsidR="00317BFF" w:rsidRPr="00FF48B9" w:rsidRDefault="00317BFF" w:rsidP="00317BFF">
      <w:pPr>
        <w:rPr>
          <w:rFonts w:ascii="Calibri" w:eastAsia="Calibri" w:hAnsi="Calibri" w:cs="Calibri"/>
          <w:u w:val="single"/>
        </w:rPr>
      </w:pPr>
      <w:r w:rsidRPr="00FF48B9">
        <w:rPr>
          <w:rFonts w:ascii="Calibri" w:eastAsia="Calibri" w:hAnsi="Calibri" w:cs="Calibri"/>
          <w:u w:val="single"/>
        </w:rPr>
        <w:t xml:space="preserve">Prepojenie na ostatnú legislatívu: </w:t>
      </w:r>
    </w:p>
    <w:p w:rsidR="00317BFF" w:rsidRPr="00FF48B9" w:rsidRDefault="00317BFF" w:rsidP="001F5283">
      <w:pPr>
        <w:numPr>
          <w:ilvl w:val="0"/>
          <w:numId w:val="55"/>
        </w:numPr>
        <w:rPr>
          <w:rFonts w:ascii="Calibri" w:eastAsia="Calibri" w:hAnsi="Calibri"/>
        </w:rPr>
      </w:pPr>
      <w:r w:rsidRPr="00FF48B9">
        <w:rPr>
          <w:rFonts w:ascii="Calibri" w:eastAsia="Calibri" w:hAnsi="Calibri"/>
        </w:rPr>
        <w:t>nariadenie (EÚ) č. 1306/2013 o financovaní, riadení a monitorovaní spoločnej poľnohospodárskej politiky,</w:t>
      </w:r>
    </w:p>
    <w:p w:rsidR="00317BFF" w:rsidRPr="00FF48B9" w:rsidRDefault="00317BFF" w:rsidP="001F5283">
      <w:pPr>
        <w:numPr>
          <w:ilvl w:val="0"/>
          <w:numId w:val="55"/>
        </w:numPr>
        <w:rPr>
          <w:rFonts w:ascii="Calibri" w:eastAsia="Calibri" w:hAnsi="Calibri"/>
        </w:rPr>
      </w:pPr>
      <w:r w:rsidRPr="00FF48B9">
        <w:rPr>
          <w:rFonts w:ascii="Calibri" w:eastAsia="Calibri" w:hAnsi="Calibri"/>
        </w:rPr>
        <w:t>nariadenie vlády SR č. 735/2002 Z. z., ktorým sa ustanovujú minimálne normy ochrany ošípaných.</w:t>
      </w:r>
    </w:p>
    <w:p w:rsidR="00317BFF" w:rsidRPr="00FF48B9" w:rsidRDefault="00317BFF" w:rsidP="00317BFF">
      <w:pPr>
        <w:ind w:left="720"/>
        <w:rPr>
          <w:rFonts w:ascii="Calibri" w:eastAsia="Calibri" w:hAnsi="Calibri"/>
        </w:rPr>
      </w:pPr>
    </w:p>
    <w:p w:rsidR="00317BFF" w:rsidRPr="00FF48B9" w:rsidRDefault="00317BFF" w:rsidP="00317BFF">
      <w:pPr>
        <w:rPr>
          <w:rFonts w:ascii="Calibri" w:eastAsia="Calibri" w:hAnsi="Calibri" w:cs="Calibri"/>
          <w:u w:val="single"/>
        </w:rPr>
      </w:pPr>
      <w:r w:rsidRPr="00FF48B9">
        <w:rPr>
          <w:rFonts w:ascii="Calibri" w:eastAsia="Calibri" w:hAnsi="Calibri" w:cs="Calibri"/>
          <w:u w:val="single"/>
        </w:rPr>
        <w:t>Prijímatelia podpory:</w:t>
      </w:r>
    </w:p>
    <w:p w:rsidR="00317BFF" w:rsidRPr="00FF48B9" w:rsidRDefault="00317BFF" w:rsidP="00317BFF">
      <w:pPr>
        <w:rPr>
          <w:rFonts w:ascii="Calibri" w:eastAsia="Calibri" w:hAnsi="Calibri"/>
          <w:u w:val="single"/>
        </w:rPr>
      </w:pPr>
      <w:r w:rsidRPr="00FF48B9">
        <w:rPr>
          <w:rFonts w:ascii="Calibri" w:eastAsia="Calibri" w:hAnsi="Calibri"/>
          <w:lang w:eastAsia="en-GB"/>
        </w:rPr>
        <w:t>Fyzické a právnické osoby podnikajúce v poľnohospodárskej prvovýrobe spĺňajúce definíciu aktívneho farmára podľa čl. 9 nariadenia (EÚ) č. 1307/2013.</w:t>
      </w:r>
    </w:p>
    <w:p w:rsidR="00317BFF" w:rsidRPr="00FF48B9" w:rsidRDefault="00317BFF" w:rsidP="00317BFF">
      <w:pPr>
        <w:rPr>
          <w:rFonts w:ascii="Calibri" w:eastAsia="Calibri" w:hAnsi="Calibri" w:cs="Calibri"/>
          <w:u w:val="single"/>
        </w:rPr>
      </w:pPr>
    </w:p>
    <w:p w:rsidR="00317BFF" w:rsidRPr="00FF48B9" w:rsidRDefault="00317BFF" w:rsidP="00317BFF">
      <w:pPr>
        <w:rPr>
          <w:rFonts w:ascii="Calibri" w:eastAsia="Calibri" w:hAnsi="Calibri" w:cs="Calibri"/>
          <w:u w:val="single"/>
        </w:rPr>
      </w:pPr>
      <w:r w:rsidRPr="00FF48B9">
        <w:rPr>
          <w:rFonts w:ascii="Calibri" w:eastAsia="Calibri" w:hAnsi="Calibri" w:cs="Calibri"/>
          <w:u w:val="single"/>
        </w:rPr>
        <w:t>Oprávnené náklady:</w:t>
      </w:r>
    </w:p>
    <w:p w:rsidR="00317BFF" w:rsidRPr="00FF48B9" w:rsidRDefault="00317BFF" w:rsidP="00317BFF">
      <w:pPr>
        <w:rPr>
          <w:rFonts w:ascii="Calibri" w:hAnsi="Calibri"/>
        </w:rPr>
      </w:pPr>
      <w:r w:rsidRPr="00FF48B9">
        <w:rPr>
          <w:rFonts w:ascii="Calibri" w:hAnsi="Calibri"/>
        </w:rPr>
        <w:t>Platba kompenzuje dodatočné náklady na zvýšené pracovné a sociálne náklady v chove prasníc  a dopad na ušlý príjem (strata na produkcii odstavčiat z predĺženia doby odstavu v priemere 32 dní veku).</w:t>
      </w:r>
    </w:p>
    <w:p w:rsidR="00317BFF" w:rsidRPr="00FF48B9" w:rsidRDefault="00317BFF" w:rsidP="00317BFF">
      <w:pPr>
        <w:rPr>
          <w:rFonts w:ascii="Calibri" w:hAnsi="Calibri" w:cs="Calibri"/>
          <w:u w:val="single"/>
        </w:rPr>
      </w:pPr>
    </w:p>
    <w:p w:rsidR="00317BFF" w:rsidRPr="00FF48B9" w:rsidRDefault="00317BFF" w:rsidP="00317BFF">
      <w:pPr>
        <w:rPr>
          <w:rFonts w:ascii="Calibri" w:hAnsi="Calibri" w:cs="Calibri"/>
          <w:u w:val="single"/>
        </w:rPr>
      </w:pPr>
      <w:r w:rsidRPr="00FF48B9">
        <w:rPr>
          <w:rFonts w:ascii="Calibri" w:hAnsi="Calibri" w:cs="Calibri"/>
          <w:u w:val="single"/>
        </w:rPr>
        <w:t>Podmienky oprávnenosti:</w:t>
      </w:r>
    </w:p>
    <w:p w:rsidR="00317BFF" w:rsidRPr="00FF48B9" w:rsidRDefault="00317BFF" w:rsidP="001F5283">
      <w:pPr>
        <w:numPr>
          <w:ilvl w:val="0"/>
          <w:numId w:val="84"/>
        </w:numPr>
        <w:ind w:left="284" w:hanging="284"/>
        <w:rPr>
          <w:rFonts w:ascii="Calibri" w:eastAsia="Calibri" w:hAnsi="Calibri"/>
          <w:iCs/>
        </w:rPr>
      </w:pPr>
      <w:r w:rsidRPr="00FF48B9">
        <w:rPr>
          <w:rFonts w:ascii="Calibri" w:eastAsia="Calibri" w:hAnsi="Calibri"/>
          <w:iCs/>
        </w:rPr>
        <w:t>žiadateľ vstupuje do záväzku na obnoviteľné obdobie jedného roka;</w:t>
      </w:r>
    </w:p>
    <w:p w:rsidR="00317BFF" w:rsidRPr="00FF48B9" w:rsidRDefault="00317BFF" w:rsidP="00317BFF">
      <w:pPr>
        <w:rPr>
          <w:rFonts w:ascii="Calibri" w:hAnsi="Calibri"/>
          <w:u w:val="single"/>
          <w:lang w:eastAsia="en-GB"/>
        </w:rPr>
      </w:pPr>
    </w:p>
    <w:p w:rsidR="00317BFF" w:rsidRPr="00FF48B9" w:rsidRDefault="00317BFF" w:rsidP="00317BFF">
      <w:pPr>
        <w:rPr>
          <w:rFonts w:ascii="Calibri" w:hAnsi="Calibri"/>
          <w:u w:val="single"/>
          <w:lang w:eastAsia="en-GB"/>
        </w:rPr>
      </w:pPr>
      <w:r w:rsidRPr="00FF48B9">
        <w:rPr>
          <w:rFonts w:ascii="Calibri" w:hAnsi="Calibri"/>
          <w:u w:val="single"/>
          <w:lang w:eastAsia="en-GB"/>
        </w:rPr>
        <w:t>Podmienky podpory:</w:t>
      </w:r>
    </w:p>
    <w:p w:rsidR="00317BFF" w:rsidRPr="00FF48B9" w:rsidRDefault="00317BFF" w:rsidP="00CE203B">
      <w:pPr>
        <w:numPr>
          <w:ilvl w:val="0"/>
          <w:numId w:val="367"/>
        </w:numPr>
        <w:ind w:left="357" w:hanging="357"/>
        <w:rPr>
          <w:rFonts w:ascii="Calibri" w:hAnsi="Calibri"/>
        </w:rPr>
      </w:pPr>
      <w:r w:rsidRPr="00FF48B9">
        <w:rPr>
          <w:rFonts w:ascii="Calibri" w:hAnsi="Calibri"/>
        </w:rPr>
        <w:t>poberateľ podpory alebo ním poverená osoba musí zabezpečiť nad rámec súčasného stavu k rodiacim a dojčiacim prasniciam a k narodeným prasiatkam (vrátane prasiatok v škôlke) ošetrovateľa - 1 zamestnanca do 50 kusov prasníc s ciciakmi, podľa potreby aj mimo riadnej pracovnej doby.</w:t>
      </w:r>
    </w:p>
    <w:p w:rsidR="00317BFF" w:rsidRPr="00FF48B9" w:rsidRDefault="00317BFF" w:rsidP="00CE203B">
      <w:pPr>
        <w:numPr>
          <w:ilvl w:val="0"/>
          <w:numId w:val="367"/>
        </w:numPr>
        <w:ind w:left="357" w:hanging="357"/>
        <w:rPr>
          <w:rFonts w:ascii="Calibri" w:hAnsi="Calibri"/>
        </w:rPr>
      </w:pPr>
      <w:r w:rsidRPr="00FF48B9">
        <w:rPr>
          <w:rFonts w:ascii="Calibri" w:hAnsi="Calibri"/>
          <w:color w:val="231F20"/>
        </w:rPr>
        <w:t>Naskladniť prasnice do pôrodnice najmenej sedem dní pred plánovaným termínom pôrodu.</w:t>
      </w:r>
    </w:p>
    <w:p w:rsidR="00317BFF" w:rsidRPr="00FF48B9" w:rsidRDefault="00317BFF" w:rsidP="00CE203B">
      <w:pPr>
        <w:numPr>
          <w:ilvl w:val="0"/>
          <w:numId w:val="367"/>
        </w:numPr>
        <w:ind w:left="357" w:hanging="357"/>
        <w:rPr>
          <w:rFonts w:ascii="Calibri" w:hAnsi="Calibri"/>
        </w:rPr>
      </w:pPr>
      <w:r w:rsidRPr="00FF48B9">
        <w:rPr>
          <w:rFonts w:ascii="Calibri" w:hAnsi="Calibri"/>
          <w:color w:val="231F20"/>
        </w:rPr>
        <w:t>Zabezpečiť čistotu koterca  pri prasení.</w:t>
      </w:r>
    </w:p>
    <w:p w:rsidR="00317BFF" w:rsidRPr="00FF48B9" w:rsidRDefault="00317BFF" w:rsidP="00CE203B">
      <w:pPr>
        <w:numPr>
          <w:ilvl w:val="0"/>
          <w:numId w:val="367"/>
        </w:numPr>
        <w:ind w:left="357" w:hanging="357"/>
        <w:rPr>
          <w:rFonts w:ascii="Calibri" w:hAnsi="Calibri"/>
        </w:rPr>
      </w:pPr>
      <w:r w:rsidRPr="00FF48B9">
        <w:rPr>
          <w:rFonts w:ascii="Calibri" w:hAnsi="Calibri"/>
          <w:color w:val="231F20"/>
        </w:rPr>
        <w:t>Pomoc pri prasení.</w:t>
      </w:r>
    </w:p>
    <w:p w:rsidR="00317BFF" w:rsidRPr="00FF48B9" w:rsidRDefault="00317BFF" w:rsidP="00CE203B">
      <w:pPr>
        <w:numPr>
          <w:ilvl w:val="0"/>
          <w:numId w:val="367"/>
        </w:numPr>
        <w:ind w:left="357" w:hanging="357"/>
        <w:rPr>
          <w:rFonts w:ascii="Calibri" w:hAnsi="Calibri"/>
        </w:rPr>
      </w:pPr>
      <w:r w:rsidRPr="00FF48B9">
        <w:rPr>
          <w:rFonts w:ascii="Calibri" w:hAnsi="Calibri"/>
          <w:color w:val="231F20"/>
        </w:rPr>
        <w:t>Podľa potreby prikladanie ciciakov k ceckom, ukladanie ciciakov do chovného priestoru.</w:t>
      </w:r>
    </w:p>
    <w:p w:rsidR="00317BFF" w:rsidRPr="00FF48B9" w:rsidRDefault="00317BFF" w:rsidP="00CE203B">
      <w:pPr>
        <w:numPr>
          <w:ilvl w:val="0"/>
          <w:numId w:val="367"/>
        </w:numPr>
        <w:ind w:left="357" w:hanging="357"/>
        <w:rPr>
          <w:rFonts w:ascii="Calibri" w:hAnsi="Calibri"/>
        </w:rPr>
      </w:pPr>
      <w:r w:rsidRPr="00FF48B9">
        <w:rPr>
          <w:rFonts w:ascii="Calibri" w:hAnsi="Calibri"/>
          <w:color w:val="231F20"/>
        </w:rPr>
        <w:t>Ak je potrebné, vytváranie návyku u ciciakov prijímať krmivo a piť vodu od piateho dňa.</w:t>
      </w:r>
    </w:p>
    <w:p w:rsidR="00317BFF" w:rsidRPr="00FF48B9" w:rsidRDefault="00317BFF" w:rsidP="00CE203B">
      <w:pPr>
        <w:numPr>
          <w:ilvl w:val="0"/>
          <w:numId w:val="367"/>
        </w:numPr>
        <w:ind w:left="357" w:hanging="357"/>
        <w:rPr>
          <w:rFonts w:ascii="Calibri" w:hAnsi="Calibri"/>
        </w:rPr>
      </w:pPr>
      <w:r w:rsidRPr="00FF48B9">
        <w:rPr>
          <w:rFonts w:ascii="Calibri" w:hAnsi="Calibri"/>
          <w:color w:val="231F20"/>
        </w:rPr>
        <w:t>Neskracovanie chvostov a nevyštikávanie očných zubov po siedmom dni veku ciciakov  okrem prípadov, ak dochádza k poraneniu ceckov prasnice.</w:t>
      </w:r>
    </w:p>
    <w:p w:rsidR="00317BFF" w:rsidRPr="00FF48B9" w:rsidRDefault="00317BFF" w:rsidP="00CE203B">
      <w:pPr>
        <w:numPr>
          <w:ilvl w:val="0"/>
          <w:numId w:val="367"/>
        </w:numPr>
        <w:ind w:left="357" w:hanging="357"/>
        <w:rPr>
          <w:rFonts w:ascii="Calibri" w:hAnsi="Calibri"/>
        </w:rPr>
      </w:pPr>
      <w:r w:rsidRPr="00FF48B9">
        <w:rPr>
          <w:rFonts w:ascii="Calibri" w:hAnsi="Calibri"/>
          <w:color w:val="231F20"/>
        </w:rPr>
        <w:t>Odstav ciciakov v priemere najmenej 32 dní a viac za turnus od narodenia.</w:t>
      </w:r>
    </w:p>
    <w:p w:rsidR="00317BFF" w:rsidRPr="00FF48B9" w:rsidRDefault="00317BFF" w:rsidP="00CE203B">
      <w:pPr>
        <w:numPr>
          <w:ilvl w:val="0"/>
          <w:numId w:val="367"/>
        </w:numPr>
        <w:ind w:left="357" w:hanging="357"/>
        <w:rPr>
          <w:rFonts w:ascii="Calibri" w:eastAsia="Calibri" w:hAnsi="Calibri"/>
          <w:color w:val="231F20"/>
        </w:rPr>
      </w:pPr>
      <w:r w:rsidRPr="00FF48B9">
        <w:rPr>
          <w:rFonts w:ascii="Calibri" w:eastAsia="Calibri" w:hAnsi="Calibri"/>
          <w:color w:val="231F20"/>
        </w:rPr>
        <w:t>Denné vedenie evidencie v chove ošípaných (</w:t>
      </w:r>
      <w:r w:rsidRPr="00FF48B9">
        <w:rPr>
          <w:rFonts w:ascii="Calibri" w:eastAsia="Calibri" w:hAnsi="Calibri"/>
          <w:i/>
          <w:color w:val="231F20"/>
        </w:rPr>
        <w:t>termín naskladnenia prasníc do pôrodnice, termín a čas oprasenia, pomoc pri prasení, evidovanie potreby priloženia, resp. nepriloženia ciciakov vo vrhu k ceckom, termín odstavu ciciakov</w:t>
      </w:r>
      <w:r w:rsidRPr="00FF48B9">
        <w:rPr>
          <w:rFonts w:ascii="Calibri" w:eastAsia="Calibri" w:hAnsi="Calibri"/>
          <w:color w:val="231F20"/>
        </w:rPr>
        <w:t>)</w:t>
      </w:r>
      <w:r w:rsidRPr="00FF48B9">
        <w:rPr>
          <w:rFonts w:ascii="Times New Roman" w:eastAsia="Calibri" w:hAnsi="Times New Roman"/>
          <w:color w:val="231F20"/>
          <w:sz w:val="24"/>
        </w:rPr>
        <w:t>.</w:t>
      </w:r>
    </w:p>
    <w:p w:rsidR="00317BFF" w:rsidRPr="00FF48B9" w:rsidRDefault="00317BFF" w:rsidP="00317BFF">
      <w:pPr>
        <w:ind w:left="540"/>
        <w:rPr>
          <w:rFonts w:ascii="Calibri" w:eastAsia="Calibri" w:hAnsi="Calibri"/>
          <w:color w:val="231F20"/>
        </w:rPr>
      </w:pPr>
    </w:p>
    <w:p w:rsidR="00317BFF" w:rsidRPr="00FF48B9" w:rsidRDefault="00317BFF" w:rsidP="00317BFF">
      <w:pPr>
        <w:rPr>
          <w:rFonts w:ascii="Calibri" w:hAnsi="Calibri" w:cs="Calibri"/>
          <w:u w:val="single"/>
        </w:rPr>
      </w:pPr>
      <w:r w:rsidRPr="00FF48B9">
        <w:rPr>
          <w:rFonts w:ascii="Calibri" w:hAnsi="Calibri" w:cs="Calibri"/>
          <w:u w:val="single"/>
        </w:rPr>
        <w:t>Princípy nastavenia výberových kritérií:</w:t>
      </w:r>
    </w:p>
    <w:p w:rsidR="00317BFF" w:rsidRPr="00FF48B9" w:rsidRDefault="00317BFF" w:rsidP="00317BFF">
      <w:pPr>
        <w:rPr>
          <w:rFonts w:ascii="Calibri" w:eastAsia="Calibri" w:hAnsi="Calibri" w:cs="Calibri"/>
        </w:rPr>
      </w:pPr>
      <w:r w:rsidRPr="00FF48B9">
        <w:rPr>
          <w:rFonts w:ascii="Calibri" w:eastAsia="Calibri" w:hAnsi="Calibri" w:cs="Calibri"/>
        </w:rPr>
        <w:t>Výberové kritériá budú nastavené pre opatrenie ako celok. Výber príjemcov podpory bude nastavený vo vnútroštátnej legislatíve. Princíp výberu bude spočívať v uprednostňovaní malých a stredných podnikov. Výberové kritériá budú uplatnené len pri pretlaku žiadostí nad stanovené možnosti  financovania.</w:t>
      </w:r>
    </w:p>
    <w:p w:rsidR="00317BFF" w:rsidRPr="00FF48B9" w:rsidRDefault="00317BFF" w:rsidP="00317BFF">
      <w:pPr>
        <w:rPr>
          <w:rFonts w:ascii="Calibri" w:hAnsi="Calibri" w:cs="Calibri"/>
          <w:u w:val="single"/>
        </w:rPr>
      </w:pPr>
    </w:p>
    <w:p w:rsidR="00317BFF" w:rsidRPr="00FF48B9" w:rsidRDefault="00317BFF" w:rsidP="00317BFF">
      <w:pPr>
        <w:rPr>
          <w:rFonts w:ascii="Calibri" w:hAnsi="Calibri" w:cs="Calibri"/>
          <w:u w:val="single"/>
        </w:rPr>
      </w:pPr>
      <w:r w:rsidRPr="00FF48B9">
        <w:rPr>
          <w:rFonts w:ascii="Calibri" w:hAnsi="Calibri" w:cs="Calibri"/>
          <w:u w:val="single"/>
        </w:rPr>
        <w:t xml:space="preserve">Výška a miera podpory: </w:t>
      </w:r>
    </w:p>
    <w:p w:rsidR="00317BFF" w:rsidRPr="00FF48B9" w:rsidRDefault="00317BFF" w:rsidP="00317BFF">
      <w:pPr>
        <w:rPr>
          <w:rFonts w:ascii="Calibri" w:hAnsi="Calibri"/>
          <w:bCs/>
        </w:rPr>
      </w:pPr>
      <w:r w:rsidRPr="00FF48B9">
        <w:rPr>
          <w:rFonts w:ascii="Calibri" w:hAnsi="Calibri" w:cs="Calibri"/>
        </w:rPr>
        <w:t>Výška podpory</w:t>
      </w:r>
      <w:r w:rsidRPr="00FF48B9">
        <w:rPr>
          <w:rFonts w:ascii="Calibri" w:hAnsi="Calibri"/>
          <w:bCs/>
        </w:rPr>
        <w:t xml:space="preserve"> je 150</w:t>
      </w:r>
      <w:r>
        <w:rPr>
          <w:rFonts w:ascii="Calibri" w:hAnsi="Calibri"/>
          <w:bCs/>
        </w:rPr>
        <w:t xml:space="preserve"> </w:t>
      </w:r>
      <w:r w:rsidRPr="00FF48B9">
        <w:rPr>
          <w:rFonts w:ascii="Calibri" w:hAnsi="Calibri"/>
          <w:bCs/>
        </w:rPr>
        <w:t xml:space="preserve">€/DJ/rok. </w:t>
      </w:r>
    </w:p>
    <w:p w:rsidR="00317BFF" w:rsidRPr="00FF48B9" w:rsidRDefault="00317BFF" w:rsidP="00317BFF">
      <w:pPr>
        <w:rPr>
          <w:rFonts w:ascii="Calibri" w:eastAsia="Calibri" w:hAnsi="Calibri" w:cs="Calibri"/>
          <w:b/>
          <w:bCs/>
        </w:rPr>
      </w:pPr>
    </w:p>
    <w:p w:rsidR="00317BFF" w:rsidRPr="00FF48B9" w:rsidRDefault="00317BFF" w:rsidP="00317BFF">
      <w:pPr>
        <w:shd w:val="clear" w:color="auto" w:fill="FBD4B4"/>
        <w:autoSpaceDN w:val="0"/>
        <w:rPr>
          <w:rFonts w:ascii="Calibri" w:eastAsia="Calibri" w:hAnsi="Calibri" w:cs="Calibri"/>
          <w:u w:val="single"/>
        </w:rPr>
      </w:pPr>
      <w:r w:rsidRPr="00FF48B9">
        <w:rPr>
          <w:rFonts w:ascii="Calibri" w:eastAsia="Calibri" w:hAnsi="Calibri" w:cs="Calibri"/>
          <w:u w:val="single"/>
        </w:rPr>
        <w:t>Názov operácie:</w:t>
      </w:r>
    </w:p>
    <w:p w:rsidR="00317BFF" w:rsidRPr="00FF48B9" w:rsidRDefault="00317BFF" w:rsidP="00317BFF">
      <w:pPr>
        <w:shd w:val="clear" w:color="auto" w:fill="FBD4B4"/>
        <w:autoSpaceDE w:val="0"/>
        <w:autoSpaceDN w:val="0"/>
        <w:adjustRightInd w:val="0"/>
        <w:rPr>
          <w:rFonts w:ascii="Calibri" w:eastAsia="Calibri" w:hAnsi="Calibri"/>
          <w:bCs/>
          <w:i/>
          <w:color w:val="000000"/>
        </w:rPr>
      </w:pPr>
      <w:r w:rsidRPr="00FF48B9">
        <w:rPr>
          <w:rFonts w:ascii="Calibri" w:eastAsia="Calibri" w:hAnsi="Calibri"/>
          <w:bCs/>
          <w:i/>
          <w:color w:val="000000"/>
        </w:rPr>
        <w:t>Zlepšenie ustajňovacej pohody výkrmových ošípaných</w:t>
      </w:r>
    </w:p>
    <w:p w:rsidR="00317BFF" w:rsidRPr="00FF48B9" w:rsidRDefault="00317BFF" w:rsidP="00317BFF">
      <w:pPr>
        <w:rPr>
          <w:rFonts w:ascii="Calibri" w:eastAsia="Calibri" w:hAnsi="Calibri"/>
          <w:i/>
          <w:lang w:eastAsia="en-GB"/>
        </w:rPr>
      </w:pPr>
    </w:p>
    <w:p w:rsidR="00317BFF" w:rsidRPr="00FF48B9" w:rsidRDefault="00317BFF" w:rsidP="00317BFF">
      <w:pPr>
        <w:rPr>
          <w:rFonts w:ascii="Calibri" w:eastAsia="Calibri" w:hAnsi="Calibri" w:cs="Calibri"/>
          <w:u w:val="single"/>
        </w:rPr>
      </w:pPr>
      <w:r w:rsidRPr="00FF48B9">
        <w:rPr>
          <w:rFonts w:ascii="Calibri" w:eastAsia="Calibri" w:hAnsi="Calibri" w:cs="Calibri"/>
          <w:u w:val="single"/>
        </w:rPr>
        <w:t>Opis operácie:</w:t>
      </w:r>
    </w:p>
    <w:p w:rsidR="00317BFF" w:rsidRPr="00FF48B9" w:rsidRDefault="00317BFF" w:rsidP="00317BFF">
      <w:pPr>
        <w:shd w:val="clear" w:color="auto" w:fill="FFFFFF"/>
        <w:autoSpaceDE w:val="0"/>
        <w:autoSpaceDN w:val="0"/>
        <w:adjustRightInd w:val="0"/>
        <w:rPr>
          <w:rFonts w:ascii="Calibri" w:eastAsia="Calibri" w:hAnsi="Calibri"/>
          <w:color w:val="000000"/>
        </w:rPr>
      </w:pPr>
      <w:r w:rsidRPr="00FF48B9">
        <w:rPr>
          <w:rFonts w:ascii="Calibri" w:eastAsia="Calibri" w:hAnsi="Calibri"/>
          <w:bCs/>
          <w:color w:val="000000"/>
        </w:rPr>
        <w:t>Cieľom</w:t>
      </w:r>
      <w:r w:rsidRPr="00FF48B9">
        <w:rPr>
          <w:rFonts w:ascii="Calibri" w:eastAsia="Calibri" w:hAnsi="Calibri"/>
          <w:color w:val="000000"/>
        </w:rPr>
        <w:t xml:space="preserve"> operácie je zlepšiť životné podmienky zvierat v kategórii výkrmových ošípaných navýšením priestoru v koterci o 10% nad rámec požiadaviek uvedených v nariadení vlády SR č. 735/2002 Z.z., ktorým sa ustanovujú minimálne normy ochrany ošípaných. </w:t>
      </w:r>
    </w:p>
    <w:p w:rsidR="00317BFF" w:rsidRPr="00FF48B9" w:rsidRDefault="00317BFF" w:rsidP="00317BFF">
      <w:pPr>
        <w:autoSpaceDE w:val="0"/>
        <w:autoSpaceDN w:val="0"/>
        <w:rPr>
          <w:rFonts w:ascii="Calibri" w:hAnsi="Calibri"/>
          <w:b/>
          <w:color w:val="000000"/>
        </w:rPr>
      </w:pPr>
      <w:r w:rsidRPr="00FF48B9">
        <w:rPr>
          <w:rFonts w:ascii="Calibri" w:hAnsi="Calibri"/>
          <w:color w:val="000000"/>
        </w:rPr>
        <w:t>Zlepšenie životných podmienok výkrmových ošípaných sa prejaví v znížení pôsobenia stresu, znížením agresivity (ohryzovania chvostov a uší, znížení nepokoja v koterci), zlepšením zdravotného stavu, znížením úhynov a spotreby liečiv pri odchove. V súvislosti so zväčšením životného priestoru a znížením počtu zvierat na jednotku plochy sa výrazne zníži negatívny vplyv prehustenia ošípaných. V rámci operácie budú podporované výkrmové ošípané, ktoré boli narodené v rámci operácie</w:t>
      </w:r>
      <w:r w:rsidRPr="00FF48B9">
        <w:rPr>
          <w:rFonts w:ascii="Calibri" w:hAnsi="Calibri"/>
        </w:rPr>
        <w:t xml:space="preserve"> „</w:t>
      </w:r>
      <w:r w:rsidRPr="00FF48B9">
        <w:rPr>
          <w:rFonts w:ascii="Calibri" w:hAnsi="Calibri"/>
          <w:color w:val="000000"/>
        </w:rPr>
        <w:t xml:space="preserve">Zlepšenie životných podmienok rodiacich a dojčiacich prasníc“.   </w:t>
      </w:r>
    </w:p>
    <w:p w:rsidR="00317BFF" w:rsidRPr="00FF48B9" w:rsidRDefault="00317BFF" w:rsidP="00317BFF">
      <w:pPr>
        <w:autoSpaceDE w:val="0"/>
        <w:autoSpaceDN w:val="0"/>
        <w:rPr>
          <w:rFonts w:ascii="Calibri" w:eastAsia="Calibri" w:hAnsi="Calibri"/>
          <w:b/>
          <w:color w:val="000000"/>
        </w:rPr>
      </w:pPr>
    </w:p>
    <w:p w:rsidR="00317BFF" w:rsidRPr="00FF48B9" w:rsidRDefault="00317BFF" w:rsidP="00317BFF">
      <w:pPr>
        <w:rPr>
          <w:rFonts w:ascii="Calibri" w:eastAsia="Calibri" w:hAnsi="Calibri" w:cs="Calibri"/>
          <w:u w:val="single"/>
        </w:rPr>
      </w:pPr>
      <w:r w:rsidRPr="00FF48B9">
        <w:rPr>
          <w:rFonts w:ascii="Calibri" w:eastAsia="Calibri" w:hAnsi="Calibri" w:cs="Calibri"/>
          <w:u w:val="single"/>
        </w:rPr>
        <w:t>Typ podpory:</w:t>
      </w:r>
    </w:p>
    <w:p w:rsidR="00317BFF" w:rsidRPr="00FF48B9" w:rsidRDefault="00317BFF" w:rsidP="00317BFF">
      <w:pPr>
        <w:rPr>
          <w:rFonts w:ascii="Calibri" w:hAnsi="Calibri"/>
        </w:rPr>
      </w:pPr>
      <w:r w:rsidRPr="00FF48B9">
        <w:rPr>
          <w:rFonts w:ascii="Calibri" w:hAnsi="Calibri"/>
          <w:lang w:eastAsia="en-GB"/>
        </w:rPr>
        <w:t xml:space="preserve">Nezisková ročná kompenzačná platba na DJ. </w:t>
      </w:r>
    </w:p>
    <w:p w:rsidR="00317BFF" w:rsidRPr="00FF48B9" w:rsidRDefault="00317BFF" w:rsidP="00317BFF">
      <w:pPr>
        <w:rPr>
          <w:rFonts w:ascii="Calibri" w:eastAsia="Calibri" w:hAnsi="Calibri" w:cs="Calibri"/>
          <w:u w:val="single"/>
        </w:rPr>
      </w:pPr>
    </w:p>
    <w:p w:rsidR="00317BFF" w:rsidRPr="00FF48B9" w:rsidRDefault="00317BFF" w:rsidP="00317BFF">
      <w:pPr>
        <w:rPr>
          <w:rFonts w:ascii="Calibri" w:eastAsia="Calibri" w:hAnsi="Calibri" w:cs="Calibri"/>
          <w:u w:val="single"/>
        </w:rPr>
      </w:pPr>
      <w:r w:rsidRPr="00FF48B9">
        <w:rPr>
          <w:rFonts w:ascii="Calibri" w:eastAsia="Calibri" w:hAnsi="Calibri" w:cs="Calibri"/>
          <w:u w:val="single"/>
        </w:rPr>
        <w:t xml:space="preserve">Prepojenie na ostatnú legislatívu: </w:t>
      </w:r>
    </w:p>
    <w:p w:rsidR="00317BFF" w:rsidRPr="00FF48B9" w:rsidRDefault="00317BFF" w:rsidP="001F5283">
      <w:pPr>
        <w:numPr>
          <w:ilvl w:val="0"/>
          <w:numId w:val="56"/>
        </w:numPr>
        <w:ind w:left="540" w:hanging="540"/>
        <w:rPr>
          <w:rFonts w:ascii="Calibri" w:hAnsi="Calibri"/>
        </w:rPr>
      </w:pPr>
      <w:r w:rsidRPr="00FF48B9">
        <w:rPr>
          <w:rFonts w:ascii="Calibri" w:eastAsia="Calibri" w:hAnsi="Calibri"/>
        </w:rPr>
        <w:t>nariadenie (EÚ) č. 1306/2013</w:t>
      </w:r>
      <w:r w:rsidRPr="00FF48B9">
        <w:rPr>
          <w:rFonts w:ascii="Calibri" w:hAnsi="Calibri"/>
        </w:rPr>
        <w:t xml:space="preserve"> o financovaní, riadení a monitorovaní spoločnej poľnohospodárskej politiky</w:t>
      </w:r>
      <w:r w:rsidRPr="00FF48B9">
        <w:rPr>
          <w:rFonts w:ascii="Calibri" w:eastAsia="Calibri" w:hAnsi="Calibri"/>
        </w:rPr>
        <w:t>,</w:t>
      </w:r>
    </w:p>
    <w:p w:rsidR="00317BFF" w:rsidRPr="00FF48B9" w:rsidRDefault="00317BFF" w:rsidP="001F5283">
      <w:pPr>
        <w:numPr>
          <w:ilvl w:val="0"/>
          <w:numId w:val="56"/>
        </w:numPr>
        <w:ind w:left="567" w:hanging="567"/>
        <w:rPr>
          <w:rFonts w:ascii="Calibri" w:eastAsia="Calibri" w:hAnsi="Calibri"/>
        </w:rPr>
      </w:pPr>
      <w:r w:rsidRPr="00FF48B9">
        <w:rPr>
          <w:rFonts w:ascii="Calibri" w:eastAsia="Calibri" w:hAnsi="Calibri"/>
        </w:rPr>
        <w:t>nariadenie vlády SR č. 735/2002 Z. z., ktorým sa ustanovujú minimálne normy ochrany ošípaných.</w:t>
      </w:r>
    </w:p>
    <w:p w:rsidR="00317BFF" w:rsidRPr="00FF48B9" w:rsidRDefault="00317BFF" w:rsidP="00317BFF">
      <w:pPr>
        <w:rPr>
          <w:rFonts w:ascii="Calibri" w:eastAsia="Calibri" w:hAnsi="Calibri" w:cs="Calibri"/>
          <w:u w:val="single"/>
        </w:rPr>
      </w:pPr>
      <w:r w:rsidRPr="00FF48B9">
        <w:rPr>
          <w:rFonts w:ascii="Calibri" w:eastAsia="Calibri" w:hAnsi="Calibri" w:cs="Calibri"/>
          <w:u w:val="single"/>
        </w:rPr>
        <w:t>Prijímatelia podpory:</w:t>
      </w:r>
    </w:p>
    <w:p w:rsidR="00317BFF" w:rsidRPr="00FF48B9" w:rsidRDefault="00317BFF" w:rsidP="00317BFF">
      <w:pPr>
        <w:rPr>
          <w:rFonts w:ascii="Calibri" w:eastAsia="Calibri" w:hAnsi="Calibri"/>
          <w:lang w:eastAsia="en-GB"/>
        </w:rPr>
      </w:pPr>
      <w:r w:rsidRPr="00FF48B9">
        <w:rPr>
          <w:rFonts w:ascii="Calibri" w:eastAsia="Calibri" w:hAnsi="Calibri"/>
          <w:lang w:eastAsia="en-GB"/>
        </w:rPr>
        <w:t>Fyzické a právnické osoby podnikajúce v poľnohospodárskej prvovýrobe spĺňajúce definíciu aktívneho farmára podľa čl. 9 nariadenia (EÚ) č. 1307/2013.</w:t>
      </w:r>
    </w:p>
    <w:p w:rsidR="00317BFF" w:rsidRPr="00FF48B9" w:rsidRDefault="00317BFF" w:rsidP="00317BFF">
      <w:pPr>
        <w:rPr>
          <w:rFonts w:ascii="Calibri" w:eastAsia="Calibri" w:hAnsi="Calibri" w:cs="Calibri"/>
          <w:u w:val="single"/>
        </w:rPr>
      </w:pPr>
    </w:p>
    <w:p w:rsidR="00317BFF" w:rsidRPr="00FF48B9" w:rsidRDefault="00317BFF" w:rsidP="00317BFF">
      <w:pPr>
        <w:rPr>
          <w:rFonts w:ascii="Calibri" w:eastAsia="Calibri" w:hAnsi="Calibri" w:cs="Calibri"/>
          <w:u w:val="single"/>
        </w:rPr>
      </w:pPr>
      <w:r w:rsidRPr="00FF48B9">
        <w:rPr>
          <w:rFonts w:ascii="Calibri" w:eastAsia="Calibri" w:hAnsi="Calibri" w:cs="Calibri"/>
          <w:u w:val="single"/>
        </w:rPr>
        <w:t>Oprávnené náklady:</w:t>
      </w:r>
    </w:p>
    <w:p w:rsidR="00317BFF" w:rsidRPr="00FF48B9" w:rsidRDefault="00317BFF" w:rsidP="00317BFF">
      <w:pPr>
        <w:rPr>
          <w:rFonts w:ascii="Calibri" w:hAnsi="Calibri"/>
        </w:rPr>
      </w:pPr>
      <w:r w:rsidRPr="00FF48B9">
        <w:rPr>
          <w:rFonts w:ascii="Calibri" w:hAnsi="Calibri"/>
          <w:snapToGrid w:val="0"/>
          <w:lang w:eastAsia="cs-CZ"/>
        </w:rPr>
        <w:t xml:space="preserve">Platba kompenzuje ušlý príjem zo straty na produkcii zo zníženia zaťaženia o 10%. </w:t>
      </w:r>
    </w:p>
    <w:p w:rsidR="00317BFF" w:rsidRPr="00FF48B9" w:rsidRDefault="00317BFF" w:rsidP="00317BFF">
      <w:pPr>
        <w:rPr>
          <w:rFonts w:ascii="Calibri" w:eastAsia="Calibri" w:hAnsi="Calibri" w:cs="Calibri"/>
          <w:u w:val="single"/>
        </w:rPr>
      </w:pPr>
    </w:p>
    <w:p w:rsidR="00317BFF" w:rsidRPr="00FF48B9" w:rsidRDefault="00317BFF" w:rsidP="00317BFF">
      <w:pPr>
        <w:rPr>
          <w:rFonts w:ascii="Calibri" w:eastAsia="Calibri" w:hAnsi="Calibri" w:cs="Calibri"/>
          <w:u w:val="single"/>
        </w:rPr>
      </w:pPr>
      <w:r w:rsidRPr="00FF48B9">
        <w:rPr>
          <w:rFonts w:ascii="Calibri" w:eastAsia="Calibri" w:hAnsi="Calibri" w:cs="Calibri"/>
          <w:u w:val="single"/>
        </w:rPr>
        <w:t>Podmienky oprávnenosti:</w:t>
      </w:r>
    </w:p>
    <w:p w:rsidR="00317BFF" w:rsidRDefault="00317BFF" w:rsidP="001F5283">
      <w:pPr>
        <w:numPr>
          <w:ilvl w:val="0"/>
          <w:numId w:val="84"/>
        </w:numPr>
        <w:ind w:left="284" w:hanging="284"/>
        <w:rPr>
          <w:rFonts w:ascii="Calibri" w:eastAsia="Calibri" w:hAnsi="Calibri"/>
          <w:iCs/>
        </w:rPr>
      </w:pPr>
      <w:r w:rsidRPr="00FF48B9">
        <w:rPr>
          <w:rFonts w:ascii="Calibri" w:eastAsia="Calibri" w:hAnsi="Calibri"/>
          <w:iCs/>
        </w:rPr>
        <w:t>žiadateľ vstupuje do záväzku na obnoviteľné obdobie jedného roka;</w:t>
      </w:r>
    </w:p>
    <w:p w:rsidR="00317BFF" w:rsidRDefault="00317BFF" w:rsidP="001F5283">
      <w:pPr>
        <w:numPr>
          <w:ilvl w:val="0"/>
          <w:numId w:val="84"/>
        </w:numPr>
        <w:shd w:val="clear" w:color="auto" w:fill="FFFFFF"/>
        <w:autoSpaceDE w:val="0"/>
        <w:autoSpaceDN w:val="0"/>
        <w:adjustRightInd w:val="0"/>
        <w:ind w:left="284" w:hanging="284"/>
        <w:rPr>
          <w:rFonts w:ascii="Calibri" w:eastAsia="Calibri" w:hAnsi="Calibri"/>
        </w:rPr>
      </w:pPr>
      <w:r>
        <w:rPr>
          <w:rFonts w:ascii="Calibri" w:eastAsia="Calibri" w:hAnsi="Calibri"/>
          <w:lang w:eastAsia="en-GB"/>
        </w:rPr>
        <w:t>d</w:t>
      </w:r>
      <w:r w:rsidRPr="00FF48B9">
        <w:rPr>
          <w:rFonts w:ascii="Calibri" w:eastAsia="Calibri" w:hAnsi="Calibri"/>
          <w:lang w:eastAsia="en-GB"/>
        </w:rPr>
        <w:t>o opatrenia môžu vstúpiť len žiadatelia s prasiatkami narodenými v rámci opatrenia Dobré životné podmienky zvierat (typ operácie: Zlepšenie životných podmienok rodiacich a dojčiacich prasníc).</w:t>
      </w:r>
      <w:r w:rsidRPr="00FF48B9">
        <w:rPr>
          <w:rFonts w:ascii="Calibri" w:eastAsia="Calibri" w:hAnsi="Calibri"/>
        </w:rPr>
        <w:t xml:space="preserve"> </w:t>
      </w:r>
    </w:p>
    <w:p w:rsidR="00317BFF" w:rsidRPr="00EA6735" w:rsidRDefault="00317BFF" w:rsidP="001F5283">
      <w:pPr>
        <w:numPr>
          <w:ilvl w:val="0"/>
          <w:numId w:val="84"/>
        </w:numPr>
        <w:shd w:val="clear" w:color="auto" w:fill="FFFFFF"/>
        <w:autoSpaceDE w:val="0"/>
        <w:autoSpaceDN w:val="0"/>
        <w:adjustRightInd w:val="0"/>
        <w:ind w:left="284" w:hanging="284"/>
        <w:rPr>
          <w:rFonts w:ascii="Calibri" w:eastAsia="Calibri" w:hAnsi="Calibri"/>
        </w:rPr>
      </w:pPr>
      <w:r w:rsidRPr="00FF48B9">
        <w:rPr>
          <w:rFonts w:ascii="Calibri" w:eastAsia="Calibri" w:hAnsi="Calibri"/>
        </w:rPr>
        <w:t xml:space="preserve"> </w:t>
      </w:r>
      <w:r w:rsidRPr="00EA6735">
        <w:rPr>
          <w:rFonts w:ascii="Calibri" w:eastAsia="Calibri" w:hAnsi="Calibri"/>
        </w:rPr>
        <w:t xml:space="preserve">Do opatrenia je žiadateľ povinný vstúpiť so všetkými zvieratami v registrovanom chove.                </w:t>
      </w:r>
    </w:p>
    <w:p w:rsidR="00317BFF" w:rsidRPr="00FF48B9" w:rsidRDefault="00317BFF" w:rsidP="00317BFF">
      <w:pPr>
        <w:rPr>
          <w:rFonts w:ascii="Calibri" w:hAnsi="Calibri"/>
          <w:u w:val="single"/>
          <w:lang w:eastAsia="en-GB"/>
        </w:rPr>
      </w:pPr>
    </w:p>
    <w:p w:rsidR="00317BFF" w:rsidRPr="00FF48B9" w:rsidRDefault="00317BFF" w:rsidP="00317BFF">
      <w:pPr>
        <w:rPr>
          <w:rFonts w:ascii="Calibri" w:hAnsi="Calibri"/>
          <w:u w:val="single"/>
          <w:lang w:eastAsia="en-GB"/>
        </w:rPr>
      </w:pPr>
      <w:r w:rsidRPr="00FF48B9">
        <w:rPr>
          <w:rFonts w:ascii="Calibri" w:hAnsi="Calibri"/>
          <w:u w:val="single"/>
          <w:lang w:eastAsia="en-GB"/>
        </w:rPr>
        <w:t>Podmienky podpory:</w:t>
      </w:r>
    </w:p>
    <w:p w:rsidR="00317BFF" w:rsidRPr="00FF48B9" w:rsidRDefault="00317BFF" w:rsidP="00CE203B">
      <w:pPr>
        <w:numPr>
          <w:ilvl w:val="0"/>
          <w:numId w:val="368"/>
        </w:numPr>
        <w:shd w:val="clear" w:color="auto" w:fill="FFFFFF"/>
        <w:autoSpaceDE w:val="0"/>
        <w:autoSpaceDN w:val="0"/>
        <w:adjustRightInd w:val="0"/>
        <w:ind w:left="357" w:hanging="357"/>
        <w:rPr>
          <w:rFonts w:ascii="Calibri" w:eastAsia="Calibri" w:hAnsi="Calibri"/>
        </w:rPr>
      </w:pPr>
      <w:r w:rsidRPr="00FF48B9">
        <w:rPr>
          <w:rFonts w:ascii="Calibri" w:eastAsia="Calibri" w:hAnsi="Calibri"/>
        </w:rPr>
        <w:t>Podporu možno poskytnúť žiadateľovi na výkrmové ošípané (od 20kg do porážkovej hmotnosti).</w:t>
      </w:r>
    </w:p>
    <w:p w:rsidR="00317BFF" w:rsidRPr="00FF48B9" w:rsidRDefault="00317BFF" w:rsidP="00CE203B">
      <w:pPr>
        <w:numPr>
          <w:ilvl w:val="0"/>
          <w:numId w:val="368"/>
        </w:numPr>
        <w:shd w:val="clear" w:color="auto" w:fill="FFFFFF"/>
        <w:autoSpaceDE w:val="0"/>
        <w:autoSpaceDN w:val="0"/>
        <w:adjustRightInd w:val="0"/>
        <w:ind w:left="357" w:hanging="357"/>
        <w:rPr>
          <w:rFonts w:ascii="Calibri" w:eastAsia="Calibri" w:hAnsi="Calibri"/>
          <w:color w:val="000000"/>
        </w:rPr>
      </w:pPr>
      <w:r w:rsidRPr="00FF48B9">
        <w:rPr>
          <w:rFonts w:ascii="Calibri" w:eastAsia="Calibri" w:hAnsi="Calibri"/>
        </w:rPr>
        <w:t xml:space="preserve">Žiadateľ zvieratám zabezpečí nad rámec požiadaviek ustanovujúcich minimálne normy na ochranu ošípaných (nariadenie vlády SR č.735/2002 Z.z. v znení neskorších predpisov) navýšenie ustajňovacej plochy o 10% podľa nasledovnej </w:t>
      </w:r>
      <w:r w:rsidRPr="00FF48B9">
        <w:rPr>
          <w:rFonts w:ascii="Calibri" w:eastAsia="Calibri" w:hAnsi="Calibri"/>
          <w:color w:val="000000"/>
        </w:rPr>
        <w:t>tabuľky:</w:t>
      </w:r>
    </w:p>
    <w:p w:rsidR="00317BFF" w:rsidRPr="00FF48B9" w:rsidRDefault="00317BFF" w:rsidP="00317BFF">
      <w:pPr>
        <w:shd w:val="clear" w:color="auto" w:fill="FFFFFF"/>
        <w:autoSpaceDE w:val="0"/>
        <w:autoSpaceDN w:val="0"/>
        <w:adjustRightInd w:val="0"/>
        <w:rPr>
          <w:rFonts w:ascii="Calibri" w:eastAsia="Calibri" w:hAnsi="Calibri"/>
          <w:color w:val="000000"/>
        </w:rPr>
      </w:pPr>
    </w:p>
    <w:p w:rsidR="00317BFF" w:rsidRPr="00FF48B9" w:rsidRDefault="00317BFF" w:rsidP="00317BFF">
      <w:pPr>
        <w:shd w:val="clear" w:color="auto" w:fill="FFFFFF"/>
        <w:autoSpaceDE w:val="0"/>
        <w:autoSpaceDN w:val="0"/>
        <w:adjustRightInd w:val="0"/>
        <w:rPr>
          <w:rFonts w:ascii="Calibri" w:eastAsia="Calibri" w:hAnsi="Calibri"/>
          <w:color w:val="000000"/>
        </w:rPr>
      </w:pPr>
      <w:r w:rsidRPr="00FF48B9">
        <w:rPr>
          <w:rFonts w:ascii="Calibri" w:eastAsia="Calibri" w:hAnsi="Calibri"/>
          <w:color w:val="000000"/>
        </w:rPr>
        <w:t>Požiadavky na navýšenie ustajňovacej plochy pre výkrmové ošípané</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6"/>
        <w:gridCol w:w="4395"/>
        <w:gridCol w:w="2441"/>
      </w:tblGrid>
      <w:tr w:rsidR="00317BFF" w:rsidRPr="00FF48B9" w:rsidTr="0054499C">
        <w:tc>
          <w:tcPr>
            <w:tcW w:w="2376" w:type="dxa"/>
            <w:tcBorders>
              <w:top w:val="single" w:sz="4" w:space="0" w:color="auto"/>
              <w:left w:val="single" w:sz="4" w:space="0" w:color="auto"/>
              <w:bottom w:val="single" w:sz="4" w:space="0" w:color="auto"/>
              <w:right w:val="single" w:sz="4" w:space="0" w:color="auto"/>
            </w:tcBorders>
            <w:shd w:val="clear" w:color="auto" w:fill="DBE5F1"/>
            <w:vAlign w:val="center"/>
            <w:hideMark/>
          </w:tcPr>
          <w:p w:rsidR="00317BFF" w:rsidRPr="00FF48B9" w:rsidRDefault="00317BFF" w:rsidP="0054499C">
            <w:pPr>
              <w:autoSpaceDE w:val="0"/>
              <w:autoSpaceDN w:val="0"/>
              <w:adjustRightInd w:val="0"/>
              <w:jc w:val="center"/>
              <w:rPr>
                <w:rFonts w:ascii="Calibri" w:eastAsia="Calibri" w:hAnsi="Calibri"/>
                <w:sz w:val="20"/>
                <w:szCs w:val="20"/>
              </w:rPr>
            </w:pPr>
            <w:r w:rsidRPr="00FF48B9">
              <w:rPr>
                <w:rFonts w:ascii="Calibri" w:eastAsia="Calibri" w:hAnsi="Calibri"/>
                <w:color w:val="000000"/>
                <w:sz w:val="20"/>
                <w:szCs w:val="20"/>
              </w:rPr>
              <w:t xml:space="preserve"> </w:t>
            </w:r>
            <w:r w:rsidRPr="00FF48B9">
              <w:rPr>
                <w:rFonts w:ascii="Calibri" w:eastAsia="Calibri" w:hAnsi="Calibri"/>
                <w:sz w:val="20"/>
                <w:szCs w:val="20"/>
              </w:rPr>
              <w:t>Hmotnosť ošípanej v kg</w:t>
            </w:r>
          </w:p>
        </w:tc>
        <w:tc>
          <w:tcPr>
            <w:tcW w:w="4395" w:type="dxa"/>
            <w:tcBorders>
              <w:top w:val="single" w:sz="4" w:space="0" w:color="auto"/>
              <w:left w:val="single" w:sz="4" w:space="0" w:color="auto"/>
              <w:bottom w:val="single" w:sz="4" w:space="0" w:color="auto"/>
              <w:right w:val="single" w:sz="4" w:space="0" w:color="auto"/>
            </w:tcBorders>
            <w:shd w:val="clear" w:color="auto" w:fill="DBE5F1"/>
            <w:vAlign w:val="center"/>
            <w:hideMark/>
          </w:tcPr>
          <w:p w:rsidR="00317BFF" w:rsidRPr="00FF48B9" w:rsidRDefault="00317BFF" w:rsidP="0054499C">
            <w:pPr>
              <w:autoSpaceDE w:val="0"/>
              <w:autoSpaceDN w:val="0"/>
              <w:adjustRightInd w:val="0"/>
              <w:jc w:val="center"/>
              <w:rPr>
                <w:rFonts w:ascii="Calibri" w:eastAsia="Calibri" w:hAnsi="Calibri"/>
                <w:sz w:val="20"/>
                <w:szCs w:val="20"/>
              </w:rPr>
            </w:pPr>
            <w:r w:rsidRPr="00FF48B9">
              <w:rPr>
                <w:rFonts w:ascii="Calibri" w:eastAsia="Calibri" w:hAnsi="Calibri"/>
                <w:sz w:val="20"/>
                <w:szCs w:val="20"/>
              </w:rPr>
              <w:t>Plocha v m</w:t>
            </w:r>
            <w:r w:rsidRPr="00FF48B9">
              <w:rPr>
                <w:rFonts w:ascii="Calibri" w:eastAsia="Calibri" w:hAnsi="Calibri"/>
                <w:sz w:val="20"/>
                <w:szCs w:val="20"/>
                <w:vertAlign w:val="superscript"/>
              </w:rPr>
              <w:t>2</w:t>
            </w:r>
            <w:r w:rsidRPr="00FF48B9">
              <w:rPr>
                <w:rFonts w:ascii="Calibri" w:eastAsia="Calibri" w:hAnsi="Calibri"/>
                <w:sz w:val="20"/>
                <w:szCs w:val="20"/>
              </w:rPr>
              <w:t xml:space="preserve"> podľa nariadenia vlády SR č. 735/2002</w:t>
            </w:r>
          </w:p>
        </w:tc>
        <w:tc>
          <w:tcPr>
            <w:tcW w:w="2441" w:type="dxa"/>
            <w:tcBorders>
              <w:top w:val="single" w:sz="4" w:space="0" w:color="auto"/>
              <w:left w:val="single" w:sz="4" w:space="0" w:color="auto"/>
              <w:bottom w:val="single" w:sz="4" w:space="0" w:color="auto"/>
              <w:right w:val="single" w:sz="4" w:space="0" w:color="auto"/>
            </w:tcBorders>
            <w:shd w:val="clear" w:color="auto" w:fill="DBE5F1"/>
            <w:vAlign w:val="center"/>
            <w:hideMark/>
          </w:tcPr>
          <w:p w:rsidR="00317BFF" w:rsidRPr="00FF48B9" w:rsidRDefault="00317BFF" w:rsidP="0054499C">
            <w:pPr>
              <w:autoSpaceDE w:val="0"/>
              <w:autoSpaceDN w:val="0"/>
              <w:adjustRightInd w:val="0"/>
              <w:jc w:val="center"/>
              <w:rPr>
                <w:rFonts w:ascii="Calibri" w:eastAsia="Calibri" w:hAnsi="Calibri"/>
                <w:sz w:val="20"/>
                <w:szCs w:val="20"/>
              </w:rPr>
            </w:pPr>
            <w:r w:rsidRPr="00FF48B9">
              <w:rPr>
                <w:rFonts w:ascii="Calibri" w:eastAsia="Calibri" w:hAnsi="Calibri"/>
                <w:sz w:val="20"/>
                <w:szCs w:val="20"/>
              </w:rPr>
              <w:t>Plocha v m</w:t>
            </w:r>
            <w:r w:rsidRPr="00FF48B9">
              <w:rPr>
                <w:rFonts w:ascii="Calibri" w:eastAsia="Calibri" w:hAnsi="Calibri"/>
                <w:sz w:val="20"/>
                <w:szCs w:val="20"/>
                <w:vertAlign w:val="superscript"/>
              </w:rPr>
              <w:t>2</w:t>
            </w:r>
            <w:r w:rsidRPr="00FF48B9">
              <w:rPr>
                <w:rFonts w:ascii="Calibri" w:eastAsia="Calibri" w:hAnsi="Calibri"/>
                <w:sz w:val="20"/>
                <w:szCs w:val="20"/>
              </w:rPr>
              <w:t xml:space="preserve"> zvýšená o 10%</w:t>
            </w:r>
          </w:p>
        </w:tc>
      </w:tr>
      <w:tr w:rsidR="00317BFF" w:rsidRPr="00FF48B9" w:rsidTr="0054499C">
        <w:tc>
          <w:tcPr>
            <w:tcW w:w="2376" w:type="dxa"/>
            <w:tcBorders>
              <w:top w:val="single" w:sz="4" w:space="0" w:color="auto"/>
              <w:left w:val="single" w:sz="4" w:space="0" w:color="auto"/>
              <w:bottom w:val="single" w:sz="4" w:space="0" w:color="auto"/>
              <w:right w:val="single" w:sz="4" w:space="0" w:color="auto"/>
            </w:tcBorders>
            <w:hideMark/>
          </w:tcPr>
          <w:p w:rsidR="00317BFF" w:rsidRPr="00FF48B9" w:rsidRDefault="00317BFF" w:rsidP="0054499C">
            <w:pPr>
              <w:autoSpaceDE w:val="0"/>
              <w:autoSpaceDN w:val="0"/>
              <w:adjustRightInd w:val="0"/>
              <w:jc w:val="center"/>
              <w:rPr>
                <w:rFonts w:ascii="Calibri" w:eastAsia="Calibri" w:hAnsi="Calibri"/>
                <w:sz w:val="20"/>
                <w:szCs w:val="20"/>
              </w:rPr>
            </w:pPr>
            <w:r w:rsidRPr="00FF48B9">
              <w:rPr>
                <w:rFonts w:ascii="Calibri" w:eastAsia="Calibri" w:hAnsi="Calibri"/>
                <w:sz w:val="20"/>
                <w:szCs w:val="20"/>
              </w:rPr>
              <w:t>20-30</w:t>
            </w:r>
          </w:p>
        </w:tc>
        <w:tc>
          <w:tcPr>
            <w:tcW w:w="4395" w:type="dxa"/>
            <w:tcBorders>
              <w:top w:val="single" w:sz="4" w:space="0" w:color="auto"/>
              <w:left w:val="single" w:sz="4" w:space="0" w:color="auto"/>
              <w:bottom w:val="single" w:sz="4" w:space="0" w:color="auto"/>
              <w:right w:val="single" w:sz="4" w:space="0" w:color="auto"/>
            </w:tcBorders>
            <w:hideMark/>
          </w:tcPr>
          <w:p w:rsidR="00317BFF" w:rsidRPr="00FF48B9" w:rsidRDefault="00317BFF" w:rsidP="0054499C">
            <w:pPr>
              <w:autoSpaceDE w:val="0"/>
              <w:autoSpaceDN w:val="0"/>
              <w:adjustRightInd w:val="0"/>
              <w:jc w:val="center"/>
              <w:rPr>
                <w:rFonts w:ascii="Calibri" w:eastAsia="Calibri" w:hAnsi="Calibri"/>
                <w:sz w:val="20"/>
                <w:szCs w:val="20"/>
              </w:rPr>
            </w:pPr>
            <w:r w:rsidRPr="00FF48B9">
              <w:rPr>
                <w:rFonts w:ascii="Calibri" w:eastAsia="Calibri" w:hAnsi="Calibri"/>
                <w:sz w:val="20"/>
                <w:szCs w:val="20"/>
              </w:rPr>
              <w:t>0,30</w:t>
            </w:r>
          </w:p>
        </w:tc>
        <w:tc>
          <w:tcPr>
            <w:tcW w:w="2441" w:type="dxa"/>
            <w:tcBorders>
              <w:top w:val="single" w:sz="4" w:space="0" w:color="auto"/>
              <w:left w:val="single" w:sz="4" w:space="0" w:color="auto"/>
              <w:bottom w:val="single" w:sz="4" w:space="0" w:color="auto"/>
              <w:right w:val="single" w:sz="4" w:space="0" w:color="auto"/>
            </w:tcBorders>
            <w:hideMark/>
          </w:tcPr>
          <w:p w:rsidR="00317BFF" w:rsidRPr="00FF48B9" w:rsidRDefault="00317BFF" w:rsidP="0054499C">
            <w:pPr>
              <w:autoSpaceDE w:val="0"/>
              <w:autoSpaceDN w:val="0"/>
              <w:adjustRightInd w:val="0"/>
              <w:jc w:val="center"/>
              <w:rPr>
                <w:rFonts w:ascii="Calibri" w:eastAsia="Calibri" w:hAnsi="Calibri"/>
                <w:sz w:val="20"/>
                <w:szCs w:val="20"/>
              </w:rPr>
            </w:pPr>
            <w:r w:rsidRPr="00FF48B9">
              <w:rPr>
                <w:rFonts w:ascii="Calibri" w:eastAsia="Calibri" w:hAnsi="Calibri"/>
                <w:sz w:val="20"/>
                <w:szCs w:val="20"/>
              </w:rPr>
              <w:t>0,33</w:t>
            </w:r>
          </w:p>
        </w:tc>
      </w:tr>
      <w:tr w:rsidR="00317BFF" w:rsidRPr="00FF48B9" w:rsidTr="0054499C">
        <w:tc>
          <w:tcPr>
            <w:tcW w:w="2376" w:type="dxa"/>
            <w:tcBorders>
              <w:top w:val="single" w:sz="4" w:space="0" w:color="auto"/>
              <w:left w:val="single" w:sz="4" w:space="0" w:color="auto"/>
              <w:bottom w:val="single" w:sz="4" w:space="0" w:color="auto"/>
              <w:right w:val="single" w:sz="4" w:space="0" w:color="auto"/>
            </w:tcBorders>
            <w:hideMark/>
          </w:tcPr>
          <w:p w:rsidR="00317BFF" w:rsidRPr="00FF48B9" w:rsidRDefault="00317BFF" w:rsidP="0054499C">
            <w:pPr>
              <w:autoSpaceDE w:val="0"/>
              <w:autoSpaceDN w:val="0"/>
              <w:adjustRightInd w:val="0"/>
              <w:jc w:val="center"/>
              <w:rPr>
                <w:rFonts w:ascii="Calibri" w:eastAsia="Calibri" w:hAnsi="Calibri"/>
                <w:sz w:val="20"/>
                <w:szCs w:val="20"/>
              </w:rPr>
            </w:pPr>
            <w:r w:rsidRPr="00FF48B9">
              <w:rPr>
                <w:rFonts w:ascii="Calibri" w:eastAsia="Calibri" w:hAnsi="Calibri"/>
                <w:sz w:val="20"/>
                <w:szCs w:val="20"/>
              </w:rPr>
              <w:t>30-50</w:t>
            </w:r>
          </w:p>
        </w:tc>
        <w:tc>
          <w:tcPr>
            <w:tcW w:w="4395" w:type="dxa"/>
            <w:tcBorders>
              <w:top w:val="single" w:sz="4" w:space="0" w:color="auto"/>
              <w:left w:val="single" w:sz="4" w:space="0" w:color="auto"/>
              <w:bottom w:val="single" w:sz="4" w:space="0" w:color="auto"/>
              <w:right w:val="single" w:sz="4" w:space="0" w:color="auto"/>
            </w:tcBorders>
            <w:hideMark/>
          </w:tcPr>
          <w:p w:rsidR="00317BFF" w:rsidRPr="00FF48B9" w:rsidRDefault="00317BFF" w:rsidP="0054499C">
            <w:pPr>
              <w:autoSpaceDE w:val="0"/>
              <w:autoSpaceDN w:val="0"/>
              <w:adjustRightInd w:val="0"/>
              <w:jc w:val="center"/>
              <w:rPr>
                <w:rFonts w:ascii="Calibri" w:eastAsia="Calibri" w:hAnsi="Calibri"/>
                <w:sz w:val="20"/>
                <w:szCs w:val="20"/>
              </w:rPr>
            </w:pPr>
            <w:r w:rsidRPr="00FF48B9">
              <w:rPr>
                <w:rFonts w:ascii="Calibri" w:eastAsia="Calibri" w:hAnsi="Calibri"/>
                <w:sz w:val="20"/>
                <w:szCs w:val="20"/>
              </w:rPr>
              <w:t>0,40</w:t>
            </w:r>
          </w:p>
        </w:tc>
        <w:tc>
          <w:tcPr>
            <w:tcW w:w="2441" w:type="dxa"/>
            <w:tcBorders>
              <w:top w:val="single" w:sz="4" w:space="0" w:color="auto"/>
              <w:left w:val="single" w:sz="4" w:space="0" w:color="auto"/>
              <w:bottom w:val="single" w:sz="4" w:space="0" w:color="auto"/>
              <w:right w:val="single" w:sz="4" w:space="0" w:color="auto"/>
            </w:tcBorders>
            <w:hideMark/>
          </w:tcPr>
          <w:p w:rsidR="00317BFF" w:rsidRPr="00FF48B9" w:rsidRDefault="00317BFF" w:rsidP="0054499C">
            <w:pPr>
              <w:autoSpaceDE w:val="0"/>
              <w:autoSpaceDN w:val="0"/>
              <w:adjustRightInd w:val="0"/>
              <w:jc w:val="center"/>
              <w:rPr>
                <w:rFonts w:ascii="Calibri" w:eastAsia="Calibri" w:hAnsi="Calibri"/>
                <w:sz w:val="20"/>
                <w:szCs w:val="20"/>
              </w:rPr>
            </w:pPr>
            <w:r w:rsidRPr="00FF48B9">
              <w:rPr>
                <w:rFonts w:ascii="Calibri" w:eastAsia="Calibri" w:hAnsi="Calibri"/>
                <w:sz w:val="20"/>
                <w:szCs w:val="20"/>
              </w:rPr>
              <w:t>0,44</w:t>
            </w:r>
          </w:p>
        </w:tc>
      </w:tr>
      <w:tr w:rsidR="00317BFF" w:rsidRPr="00FF48B9" w:rsidTr="0054499C">
        <w:tc>
          <w:tcPr>
            <w:tcW w:w="2376" w:type="dxa"/>
            <w:tcBorders>
              <w:top w:val="single" w:sz="4" w:space="0" w:color="auto"/>
              <w:left w:val="single" w:sz="4" w:space="0" w:color="auto"/>
              <w:bottom w:val="single" w:sz="4" w:space="0" w:color="auto"/>
              <w:right w:val="single" w:sz="4" w:space="0" w:color="auto"/>
            </w:tcBorders>
            <w:hideMark/>
          </w:tcPr>
          <w:p w:rsidR="00317BFF" w:rsidRPr="00FF48B9" w:rsidRDefault="00317BFF" w:rsidP="0054499C">
            <w:pPr>
              <w:autoSpaceDE w:val="0"/>
              <w:autoSpaceDN w:val="0"/>
              <w:adjustRightInd w:val="0"/>
              <w:jc w:val="center"/>
              <w:rPr>
                <w:rFonts w:ascii="Calibri" w:eastAsia="Calibri" w:hAnsi="Calibri"/>
                <w:sz w:val="20"/>
                <w:szCs w:val="20"/>
              </w:rPr>
            </w:pPr>
            <w:r w:rsidRPr="00FF48B9">
              <w:rPr>
                <w:rFonts w:ascii="Calibri" w:eastAsia="Calibri" w:hAnsi="Calibri"/>
                <w:sz w:val="20"/>
                <w:szCs w:val="20"/>
              </w:rPr>
              <w:t>50-85</w:t>
            </w:r>
          </w:p>
        </w:tc>
        <w:tc>
          <w:tcPr>
            <w:tcW w:w="4395" w:type="dxa"/>
            <w:tcBorders>
              <w:top w:val="single" w:sz="4" w:space="0" w:color="auto"/>
              <w:left w:val="single" w:sz="4" w:space="0" w:color="auto"/>
              <w:bottom w:val="single" w:sz="4" w:space="0" w:color="auto"/>
              <w:right w:val="single" w:sz="4" w:space="0" w:color="auto"/>
            </w:tcBorders>
            <w:hideMark/>
          </w:tcPr>
          <w:p w:rsidR="00317BFF" w:rsidRPr="00FF48B9" w:rsidRDefault="00317BFF" w:rsidP="0054499C">
            <w:pPr>
              <w:autoSpaceDE w:val="0"/>
              <w:autoSpaceDN w:val="0"/>
              <w:adjustRightInd w:val="0"/>
              <w:jc w:val="center"/>
              <w:rPr>
                <w:rFonts w:ascii="Calibri" w:eastAsia="Calibri" w:hAnsi="Calibri"/>
                <w:sz w:val="20"/>
                <w:szCs w:val="20"/>
              </w:rPr>
            </w:pPr>
            <w:r w:rsidRPr="00FF48B9">
              <w:rPr>
                <w:rFonts w:ascii="Calibri" w:eastAsia="Calibri" w:hAnsi="Calibri"/>
                <w:sz w:val="20"/>
                <w:szCs w:val="20"/>
              </w:rPr>
              <w:t>0,55</w:t>
            </w:r>
          </w:p>
        </w:tc>
        <w:tc>
          <w:tcPr>
            <w:tcW w:w="2441" w:type="dxa"/>
            <w:tcBorders>
              <w:top w:val="single" w:sz="4" w:space="0" w:color="auto"/>
              <w:left w:val="single" w:sz="4" w:space="0" w:color="auto"/>
              <w:bottom w:val="single" w:sz="4" w:space="0" w:color="auto"/>
              <w:right w:val="single" w:sz="4" w:space="0" w:color="auto"/>
            </w:tcBorders>
            <w:hideMark/>
          </w:tcPr>
          <w:p w:rsidR="00317BFF" w:rsidRPr="00FF48B9" w:rsidRDefault="00317BFF" w:rsidP="0054499C">
            <w:pPr>
              <w:autoSpaceDE w:val="0"/>
              <w:autoSpaceDN w:val="0"/>
              <w:adjustRightInd w:val="0"/>
              <w:jc w:val="center"/>
              <w:rPr>
                <w:rFonts w:ascii="Calibri" w:eastAsia="Calibri" w:hAnsi="Calibri"/>
                <w:sz w:val="20"/>
                <w:szCs w:val="20"/>
              </w:rPr>
            </w:pPr>
            <w:r w:rsidRPr="00FF48B9">
              <w:rPr>
                <w:rFonts w:ascii="Calibri" w:eastAsia="Calibri" w:hAnsi="Calibri"/>
                <w:sz w:val="20"/>
                <w:szCs w:val="20"/>
              </w:rPr>
              <w:t>0,61</w:t>
            </w:r>
          </w:p>
        </w:tc>
      </w:tr>
      <w:tr w:rsidR="00317BFF" w:rsidRPr="00FF48B9" w:rsidTr="0054499C">
        <w:tc>
          <w:tcPr>
            <w:tcW w:w="2376" w:type="dxa"/>
            <w:tcBorders>
              <w:top w:val="single" w:sz="4" w:space="0" w:color="auto"/>
              <w:left w:val="single" w:sz="4" w:space="0" w:color="auto"/>
              <w:bottom w:val="single" w:sz="4" w:space="0" w:color="auto"/>
              <w:right w:val="single" w:sz="4" w:space="0" w:color="auto"/>
            </w:tcBorders>
            <w:hideMark/>
          </w:tcPr>
          <w:p w:rsidR="00317BFF" w:rsidRPr="00FF48B9" w:rsidRDefault="00317BFF" w:rsidP="0054499C">
            <w:pPr>
              <w:autoSpaceDE w:val="0"/>
              <w:autoSpaceDN w:val="0"/>
              <w:adjustRightInd w:val="0"/>
              <w:jc w:val="center"/>
              <w:rPr>
                <w:rFonts w:ascii="Calibri" w:eastAsia="Calibri" w:hAnsi="Calibri"/>
                <w:sz w:val="20"/>
                <w:szCs w:val="20"/>
              </w:rPr>
            </w:pPr>
            <w:r w:rsidRPr="00FF48B9">
              <w:rPr>
                <w:rFonts w:ascii="Calibri" w:eastAsia="Calibri" w:hAnsi="Calibri"/>
                <w:sz w:val="20"/>
                <w:szCs w:val="20"/>
              </w:rPr>
              <w:t>85-110</w:t>
            </w:r>
          </w:p>
        </w:tc>
        <w:tc>
          <w:tcPr>
            <w:tcW w:w="4395" w:type="dxa"/>
            <w:tcBorders>
              <w:top w:val="single" w:sz="4" w:space="0" w:color="auto"/>
              <w:left w:val="single" w:sz="4" w:space="0" w:color="auto"/>
              <w:bottom w:val="single" w:sz="4" w:space="0" w:color="auto"/>
              <w:right w:val="single" w:sz="4" w:space="0" w:color="auto"/>
            </w:tcBorders>
            <w:hideMark/>
          </w:tcPr>
          <w:p w:rsidR="00317BFF" w:rsidRPr="00FF48B9" w:rsidRDefault="00317BFF" w:rsidP="0054499C">
            <w:pPr>
              <w:autoSpaceDE w:val="0"/>
              <w:autoSpaceDN w:val="0"/>
              <w:adjustRightInd w:val="0"/>
              <w:jc w:val="center"/>
              <w:rPr>
                <w:rFonts w:ascii="Calibri" w:eastAsia="Calibri" w:hAnsi="Calibri"/>
                <w:sz w:val="20"/>
                <w:szCs w:val="20"/>
              </w:rPr>
            </w:pPr>
            <w:r w:rsidRPr="00FF48B9">
              <w:rPr>
                <w:rFonts w:ascii="Calibri" w:eastAsia="Calibri" w:hAnsi="Calibri"/>
                <w:sz w:val="20"/>
                <w:szCs w:val="20"/>
              </w:rPr>
              <w:t>0,65</w:t>
            </w:r>
          </w:p>
        </w:tc>
        <w:tc>
          <w:tcPr>
            <w:tcW w:w="2441" w:type="dxa"/>
            <w:tcBorders>
              <w:top w:val="single" w:sz="4" w:space="0" w:color="auto"/>
              <w:left w:val="single" w:sz="4" w:space="0" w:color="auto"/>
              <w:bottom w:val="single" w:sz="4" w:space="0" w:color="auto"/>
              <w:right w:val="single" w:sz="4" w:space="0" w:color="auto"/>
            </w:tcBorders>
            <w:hideMark/>
          </w:tcPr>
          <w:p w:rsidR="00317BFF" w:rsidRPr="00FF48B9" w:rsidRDefault="00317BFF" w:rsidP="0054499C">
            <w:pPr>
              <w:autoSpaceDE w:val="0"/>
              <w:autoSpaceDN w:val="0"/>
              <w:adjustRightInd w:val="0"/>
              <w:jc w:val="center"/>
              <w:rPr>
                <w:rFonts w:ascii="Calibri" w:eastAsia="Calibri" w:hAnsi="Calibri"/>
                <w:sz w:val="20"/>
                <w:szCs w:val="20"/>
              </w:rPr>
            </w:pPr>
            <w:r w:rsidRPr="00FF48B9">
              <w:rPr>
                <w:rFonts w:ascii="Calibri" w:eastAsia="Calibri" w:hAnsi="Calibri"/>
                <w:sz w:val="20"/>
                <w:szCs w:val="20"/>
              </w:rPr>
              <w:t>0,72</w:t>
            </w:r>
          </w:p>
        </w:tc>
      </w:tr>
      <w:tr w:rsidR="00317BFF" w:rsidRPr="00FF48B9" w:rsidTr="0054499C">
        <w:tc>
          <w:tcPr>
            <w:tcW w:w="2376" w:type="dxa"/>
            <w:tcBorders>
              <w:top w:val="single" w:sz="4" w:space="0" w:color="auto"/>
              <w:left w:val="single" w:sz="4" w:space="0" w:color="auto"/>
              <w:bottom w:val="single" w:sz="4" w:space="0" w:color="auto"/>
              <w:right w:val="single" w:sz="4" w:space="0" w:color="auto"/>
            </w:tcBorders>
            <w:hideMark/>
          </w:tcPr>
          <w:p w:rsidR="00317BFF" w:rsidRPr="00FF48B9" w:rsidRDefault="00317BFF" w:rsidP="0054499C">
            <w:pPr>
              <w:autoSpaceDE w:val="0"/>
              <w:autoSpaceDN w:val="0"/>
              <w:adjustRightInd w:val="0"/>
              <w:jc w:val="center"/>
              <w:rPr>
                <w:rFonts w:ascii="Calibri" w:eastAsia="Calibri" w:hAnsi="Calibri"/>
                <w:sz w:val="20"/>
                <w:szCs w:val="20"/>
              </w:rPr>
            </w:pPr>
            <w:r w:rsidRPr="00FF48B9">
              <w:rPr>
                <w:rFonts w:ascii="Calibri" w:eastAsia="Calibri" w:hAnsi="Calibri"/>
                <w:sz w:val="20"/>
                <w:szCs w:val="20"/>
              </w:rPr>
              <w:t>nad 110</w:t>
            </w:r>
          </w:p>
        </w:tc>
        <w:tc>
          <w:tcPr>
            <w:tcW w:w="4395" w:type="dxa"/>
            <w:tcBorders>
              <w:top w:val="single" w:sz="4" w:space="0" w:color="auto"/>
              <w:left w:val="single" w:sz="4" w:space="0" w:color="auto"/>
              <w:bottom w:val="single" w:sz="4" w:space="0" w:color="auto"/>
              <w:right w:val="single" w:sz="4" w:space="0" w:color="auto"/>
            </w:tcBorders>
            <w:hideMark/>
          </w:tcPr>
          <w:p w:rsidR="00317BFF" w:rsidRPr="00FF48B9" w:rsidRDefault="00317BFF" w:rsidP="0054499C">
            <w:pPr>
              <w:autoSpaceDE w:val="0"/>
              <w:autoSpaceDN w:val="0"/>
              <w:adjustRightInd w:val="0"/>
              <w:jc w:val="center"/>
              <w:rPr>
                <w:rFonts w:ascii="Calibri" w:eastAsia="Calibri" w:hAnsi="Calibri"/>
                <w:sz w:val="20"/>
                <w:szCs w:val="20"/>
              </w:rPr>
            </w:pPr>
            <w:r w:rsidRPr="00FF48B9">
              <w:rPr>
                <w:rFonts w:ascii="Calibri" w:eastAsia="Calibri" w:hAnsi="Calibri"/>
                <w:sz w:val="20"/>
                <w:szCs w:val="20"/>
              </w:rPr>
              <w:t>1,00</w:t>
            </w:r>
          </w:p>
        </w:tc>
        <w:tc>
          <w:tcPr>
            <w:tcW w:w="2441" w:type="dxa"/>
            <w:tcBorders>
              <w:top w:val="single" w:sz="4" w:space="0" w:color="auto"/>
              <w:left w:val="single" w:sz="4" w:space="0" w:color="auto"/>
              <w:bottom w:val="single" w:sz="4" w:space="0" w:color="auto"/>
              <w:right w:val="single" w:sz="4" w:space="0" w:color="auto"/>
            </w:tcBorders>
            <w:hideMark/>
          </w:tcPr>
          <w:p w:rsidR="00317BFF" w:rsidRPr="00FF48B9" w:rsidRDefault="00317BFF" w:rsidP="0054499C">
            <w:pPr>
              <w:autoSpaceDE w:val="0"/>
              <w:autoSpaceDN w:val="0"/>
              <w:adjustRightInd w:val="0"/>
              <w:jc w:val="center"/>
              <w:rPr>
                <w:rFonts w:ascii="Calibri" w:eastAsia="Calibri" w:hAnsi="Calibri"/>
                <w:sz w:val="20"/>
                <w:szCs w:val="20"/>
              </w:rPr>
            </w:pPr>
            <w:r w:rsidRPr="00FF48B9">
              <w:rPr>
                <w:rFonts w:ascii="Calibri" w:eastAsia="Calibri" w:hAnsi="Calibri"/>
                <w:sz w:val="20"/>
                <w:szCs w:val="20"/>
              </w:rPr>
              <w:t>1,1</w:t>
            </w:r>
          </w:p>
        </w:tc>
      </w:tr>
    </w:tbl>
    <w:p w:rsidR="00317BFF" w:rsidRPr="00FF48B9" w:rsidRDefault="00317BFF" w:rsidP="00317BFF">
      <w:pPr>
        <w:rPr>
          <w:rFonts w:ascii="Calibri" w:eastAsia="Calibri" w:hAnsi="Calibri"/>
        </w:rPr>
      </w:pPr>
    </w:p>
    <w:p w:rsidR="00317BFF" w:rsidRPr="00FF48B9" w:rsidRDefault="00317BFF" w:rsidP="00317BFF">
      <w:pPr>
        <w:rPr>
          <w:rFonts w:ascii="Calibri" w:eastAsia="Calibri" w:hAnsi="Calibri" w:cs="Calibri"/>
          <w:u w:val="single"/>
        </w:rPr>
      </w:pPr>
      <w:r w:rsidRPr="00FF48B9">
        <w:rPr>
          <w:rFonts w:ascii="Calibri" w:eastAsia="Calibri" w:hAnsi="Calibri" w:cs="Calibri"/>
          <w:u w:val="single"/>
        </w:rPr>
        <w:t>Princípy nastavenia výberových kritérií:</w:t>
      </w:r>
    </w:p>
    <w:p w:rsidR="00317BFF" w:rsidRPr="00FF48B9" w:rsidRDefault="00317BFF" w:rsidP="00317BFF">
      <w:pPr>
        <w:rPr>
          <w:rFonts w:ascii="Calibri" w:eastAsia="Calibri" w:hAnsi="Calibri" w:cs="Calibri"/>
        </w:rPr>
      </w:pPr>
      <w:r w:rsidRPr="00FF48B9">
        <w:rPr>
          <w:rFonts w:ascii="Calibri" w:eastAsia="Calibri" w:hAnsi="Calibri" w:cs="Calibri"/>
        </w:rPr>
        <w:t>Výberové kritériá budú nastavené pre opatrenie ako celok. Výber príjemcov podpory bude nastavený vo vnútroštátnej legislatíve. Princíp výberu bude spočívať v uprednostňovaní malých a stredných podnikov. Výberové kritériá budú uplatnené len pri pretlaku žiadostí nad stanovené možnosti  financovania.</w:t>
      </w:r>
    </w:p>
    <w:p w:rsidR="00317BFF" w:rsidRPr="00FF48B9" w:rsidRDefault="00317BFF" w:rsidP="00317BFF">
      <w:pPr>
        <w:rPr>
          <w:rFonts w:ascii="Calibri" w:hAnsi="Calibri" w:cs="Calibri"/>
          <w:u w:val="single"/>
        </w:rPr>
      </w:pPr>
    </w:p>
    <w:p w:rsidR="00317BFF" w:rsidRPr="00FF48B9" w:rsidRDefault="00317BFF" w:rsidP="00317BFF">
      <w:pPr>
        <w:rPr>
          <w:rFonts w:ascii="Calibri" w:hAnsi="Calibri" w:cs="Calibri"/>
          <w:u w:val="single"/>
        </w:rPr>
      </w:pPr>
      <w:r w:rsidRPr="00FF48B9">
        <w:rPr>
          <w:rFonts w:ascii="Calibri" w:hAnsi="Calibri" w:cs="Calibri"/>
          <w:u w:val="single"/>
        </w:rPr>
        <w:t xml:space="preserve">Výška a miera podpory: </w:t>
      </w:r>
    </w:p>
    <w:p w:rsidR="00317BFF" w:rsidRPr="00FF48B9" w:rsidRDefault="00317BFF" w:rsidP="00317BFF">
      <w:pPr>
        <w:rPr>
          <w:rFonts w:ascii="Calibri" w:hAnsi="Calibri"/>
          <w:bCs/>
        </w:rPr>
      </w:pPr>
      <w:r w:rsidRPr="00FF48B9">
        <w:rPr>
          <w:rFonts w:ascii="Calibri" w:hAnsi="Calibri"/>
          <w:bCs/>
        </w:rPr>
        <w:t>Výška podpory je 20€/DJ/rok.</w:t>
      </w:r>
    </w:p>
    <w:p w:rsidR="00317BFF" w:rsidRPr="00FF48B9" w:rsidRDefault="00317BFF" w:rsidP="00317BFF">
      <w:pPr>
        <w:rPr>
          <w:rFonts w:ascii="Calibri" w:eastAsia="Calibri" w:hAnsi="Calibri"/>
          <w:u w:val="single"/>
        </w:rPr>
      </w:pPr>
    </w:p>
    <w:p w:rsidR="00317BFF" w:rsidRPr="00FF48B9" w:rsidRDefault="00317BFF" w:rsidP="00317BFF">
      <w:pPr>
        <w:rPr>
          <w:rFonts w:ascii="Calibri" w:eastAsia="Calibri" w:hAnsi="Calibri" w:cs="Calibri"/>
          <w:b/>
          <w:bCs/>
        </w:rPr>
      </w:pPr>
      <w:r w:rsidRPr="00FF48B9">
        <w:rPr>
          <w:rFonts w:ascii="Calibri" w:eastAsia="Calibri" w:hAnsi="Calibri"/>
          <w:b/>
          <w:iCs/>
        </w:rPr>
        <w:t xml:space="preserve">8.2.13.4. </w:t>
      </w:r>
      <w:r w:rsidRPr="00FF48B9">
        <w:rPr>
          <w:rFonts w:ascii="Calibri" w:eastAsia="Calibri" w:hAnsi="Calibri" w:cs="Calibri"/>
          <w:b/>
          <w:bCs/>
        </w:rPr>
        <w:t>Overiteľnosť a kontrolovateľnosť opatrenia</w:t>
      </w:r>
    </w:p>
    <w:p w:rsidR="00317BFF" w:rsidRPr="00FF48B9" w:rsidRDefault="00317BFF" w:rsidP="00317BFF">
      <w:pPr>
        <w:rPr>
          <w:rFonts w:ascii="Calibri" w:eastAsia="Calibri" w:hAnsi="Calibri" w:cs="Calibri"/>
          <w:bCs/>
          <w:u w:val="single"/>
        </w:rPr>
      </w:pPr>
      <w:r w:rsidRPr="00FF48B9">
        <w:rPr>
          <w:rFonts w:ascii="Calibri" w:eastAsia="Calibri" w:hAnsi="Calibri" w:cs="Calibri"/>
          <w:bCs/>
          <w:u w:val="single"/>
        </w:rPr>
        <w:t xml:space="preserve">Riziká v implementácii opatrení </w:t>
      </w:r>
    </w:p>
    <w:p w:rsidR="00317BFF" w:rsidRPr="00FF48B9" w:rsidRDefault="00317BFF" w:rsidP="00CE203B">
      <w:pPr>
        <w:numPr>
          <w:ilvl w:val="0"/>
          <w:numId w:val="266"/>
        </w:numPr>
        <w:rPr>
          <w:rFonts w:ascii="Calibri" w:eastAsia="Calibri" w:hAnsi="Calibri"/>
        </w:rPr>
      </w:pPr>
      <w:r w:rsidRPr="00FF48B9">
        <w:rPr>
          <w:rFonts w:ascii="Calibri" w:eastAsia="Calibri" w:hAnsi="Calibri"/>
        </w:rPr>
        <w:t>V programovom období 2007-2013 bol v rámci implementácie opatrenia 215 problém s nesplnením počtu veľkých dobytčích jednotiek v rámci záväzkov, ktoré sa žiadateľ zaviazal dodržiavať po dobu piatich rokov.</w:t>
      </w:r>
    </w:p>
    <w:p w:rsidR="00317BFF" w:rsidRPr="00FF48B9" w:rsidRDefault="00317BFF" w:rsidP="00CE203B">
      <w:pPr>
        <w:numPr>
          <w:ilvl w:val="0"/>
          <w:numId w:val="266"/>
        </w:numPr>
        <w:rPr>
          <w:rFonts w:ascii="Calibri" w:eastAsia="Calibri" w:hAnsi="Calibri"/>
        </w:rPr>
      </w:pPr>
      <w:r w:rsidRPr="00FF48B9">
        <w:rPr>
          <w:rFonts w:ascii="Calibri" w:eastAsia="Calibri" w:hAnsi="Calibri"/>
        </w:rPr>
        <w:t>Riziká vo vývoji situácie na trhu, ktoré môžu mať za následok nezáujem žiadateľov o vstup do opatrenia, resp. odstúpenie od zmluvy.</w:t>
      </w:r>
    </w:p>
    <w:p w:rsidR="00317BFF" w:rsidRPr="00FF48B9" w:rsidRDefault="00317BFF" w:rsidP="00CE203B">
      <w:pPr>
        <w:numPr>
          <w:ilvl w:val="0"/>
          <w:numId w:val="266"/>
        </w:numPr>
        <w:rPr>
          <w:rFonts w:ascii="Calibri" w:eastAsia="Calibri" w:hAnsi="Calibri"/>
        </w:rPr>
      </w:pPr>
      <w:r w:rsidRPr="00FF48B9">
        <w:rPr>
          <w:rFonts w:ascii="Calibri" w:eastAsia="Calibri" w:hAnsi="Calibri"/>
        </w:rPr>
        <w:t>Nedôsledné nahlasovanie turnusov na RP PPA,</w:t>
      </w:r>
    </w:p>
    <w:p w:rsidR="00317BFF" w:rsidRPr="00FF48B9" w:rsidRDefault="00317BFF" w:rsidP="001F5283">
      <w:pPr>
        <w:numPr>
          <w:ilvl w:val="0"/>
          <w:numId w:val="46"/>
        </w:numPr>
        <w:rPr>
          <w:rFonts w:ascii="Calibri" w:eastAsia="Calibri" w:hAnsi="Calibri"/>
        </w:rPr>
      </w:pPr>
      <w:r w:rsidRPr="00FF48B9">
        <w:rPr>
          <w:rFonts w:ascii="Calibri" w:eastAsia="Calibri" w:hAnsi="Calibri"/>
        </w:rPr>
        <w:t xml:space="preserve">Nedodržanie podmienok zo strany žiadateľa </w:t>
      </w:r>
    </w:p>
    <w:p w:rsidR="00317BFF" w:rsidRPr="00FF48B9" w:rsidRDefault="00317BFF" w:rsidP="00317BFF">
      <w:pPr>
        <w:rPr>
          <w:rFonts w:ascii="Calibri" w:eastAsia="Calibri" w:hAnsi="Calibri"/>
          <w:iCs/>
          <w:u w:val="single"/>
        </w:rPr>
      </w:pPr>
    </w:p>
    <w:p w:rsidR="00317BFF" w:rsidRPr="00FF48B9" w:rsidRDefault="00317BFF" w:rsidP="00317BFF">
      <w:pPr>
        <w:rPr>
          <w:rFonts w:ascii="Calibri" w:eastAsia="Calibri" w:hAnsi="Calibri" w:cs="Calibri"/>
          <w:bCs/>
          <w:u w:val="single"/>
        </w:rPr>
      </w:pPr>
      <w:r w:rsidRPr="00FF48B9">
        <w:rPr>
          <w:rFonts w:ascii="Calibri" w:eastAsia="Calibri" w:hAnsi="Calibri"/>
          <w:iCs/>
          <w:u w:val="single"/>
        </w:rPr>
        <w:t>Opatrenia prijaté na zmiernenie rizika implementácie</w:t>
      </w:r>
    </w:p>
    <w:p w:rsidR="00317BFF" w:rsidRPr="00FF48B9" w:rsidRDefault="00317BFF" w:rsidP="001F5283">
      <w:pPr>
        <w:numPr>
          <w:ilvl w:val="0"/>
          <w:numId w:val="46"/>
        </w:numPr>
        <w:rPr>
          <w:rFonts w:ascii="Calibri" w:eastAsia="Calibri" w:hAnsi="Calibri"/>
        </w:rPr>
      </w:pPr>
      <w:r w:rsidRPr="00FF48B9">
        <w:rPr>
          <w:rFonts w:ascii="Calibri" w:eastAsia="Calibri" w:hAnsi="Calibri"/>
        </w:rPr>
        <w:t>Problém s nedodržiavaním počtu DJ by mal byť vyriešený resp. zmiernený prijímaním záväzkov na obdobie jedného roka, ako aj upozorňovaním žiadateľov na potrebu dodržiavania počtu DJ.</w:t>
      </w:r>
    </w:p>
    <w:p w:rsidR="00317BFF" w:rsidRPr="00FF48B9" w:rsidRDefault="00317BFF" w:rsidP="001F5283">
      <w:pPr>
        <w:numPr>
          <w:ilvl w:val="0"/>
          <w:numId w:val="46"/>
        </w:numPr>
        <w:rPr>
          <w:rFonts w:ascii="Calibri" w:eastAsia="Calibri" w:hAnsi="Calibri"/>
        </w:rPr>
      </w:pPr>
      <w:r w:rsidRPr="00FF48B9">
        <w:rPr>
          <w:rFonts w:ascii="Calibri" w:eastAsia="Calibri" w:hAnsi="Calibri"/>
        </w:rPr>
        <w:t>K zamedzeniu problému s odstúpeniami od zmluvy by malo prispieť najmä poskytnutie väčšej flexibility umožnením jednoročných záväzkov.</w:t>
      </w:r>
    </w:p>
    <w:p w:rsidR="00317BFF" w:rsidRPr="00FF48B9" w:rsidRDefault="00317BFF" w:rsidP="001F5283">
      <w:pPr>
        <w:numPr>
          <w:ilvl w:val="0"/>
          <w:numId w:val="46"/>
        </w:numPr>
        <w:rPr>
          <w:rFonts w:ascii="Calibri" w:eastAsia="Calibri" w:hAnsi="Calibri"/>
        </w:rPr>
      </w:pPr>
      <w:r w:rsidRPr="00FF48B9">
        <w:rPr>
          <w:rFonts w:ascii="Calibri" w:eastAsia="Calibri" w:hAnsi="Calibri"/>
        </w:rPr>
        <w:t>Upozornenie žiadateľov na dôsledné nahlasovanie turnusov</w:t>
      </w:r>
    </w:p>
    <w:p w:rsidR="00317BFF" w:rsidRPr="00FF48B9" w:rsidRDefault="00317BFF" w:rsidP="001F5283">
      <w:pPr>
        <w:numPr>
          <w:ilvl w:val="0"/>
          <w:numId w:val="46"/>
        </w:numPr>
        <w:rPr>
          <w:rFonts w:ascii="Calibri" w:eastAsia="Calibri" w:hAnsi="Calibri"/>
        </w:rPr>
      </w:pPr>
      <w:r w:rsidRPr="00FF48B9">
        <w:rPr>
          <w:rFonts w:ascii="Calibri" w:eastAsia="Calibri" w:hAnsi="Calibri"/>
        </w:rPr>
        <w:t xml:space="preserve">Informačné aktivity pre príjemcov o podmienkach opatrenia </w:t>
      </w:r>
    </w:p>
    <w:p w:rsidR="00317BFF" w:rsidRPr="00FF48B9" w:rsidRDefault="00317BFF" w:rsidP="00317BFF">
      <w:pPr>
        <w:rPr>
          <w:rFonts w:ascii="Calibri" w:eastAsia="Calibri" w:hAnsi="Calibri"/>
          <w:iCs/>
          <w:u w:val="single"/>
        </w:rPr>
      </w:pPr>
    </w:p>
    <w:p w:rsidR="00317BFF" w:rsidRPr="00FF48B9" w:rsidRDefault="00317BFF" w:rsidP="00317BFF">
      <w:pPr>
        <w:rPr>
          <w:rFonts w:ascii="Calibri" w:eastAsia="Calibri" w:hAnsi="Calibri" w:cs="Calibri"/>
          <w:bCs/>
          <w:u w:val="single"/>
        </w:rPr>
      </w:pPr>
      <w:r w:rsidRPr="00FF48B9">
        <w:rPr>
          <w:rFonts w:ascii="Calibri" w:eastAsia="Calibri" w:hAnsi="Calibri" w:cs="Calibri"/>
          <w:bCs/>
          <w:u w:val="single"/>
        </w:rPr>
        <w:t>Celkové ohodnotenie opatrenia</w:t>
      </w:r>
    </w:p>
    <w:p w:rsidR="00317BFF" w:rsidRPr="00FF48B9" w:rsidRDefault="00317BFF" w:rsidP="00317BFF">
      <w:pPr>
        <w:rPr>
          <w:rFonts w:ascii="Calibri" w:eastAsia="Calibri" w:hAnsi="Calibri"/>
        </w:rPr>
      </w:pPr>
      <w:r w:rsidRPr="00FF48B9">
        <w:rPr>
          <w:rFonts w:ascii="Calibri" w:eastAsia="Calibri" w:hAnsi="Calibri"/>
        </w:rPr>
        <w:t>Správnou implementáciou opatrenia a dodržiavaním stanovených podmienok sa podstatne zamedzí vzniku rizík v rámci opatrenia.</w:t>
      </w:r>
    </w:p>
    <w:p w:rsidR="00317BFF" w:rsidRPr="00FF48B9" w:rsidRDefault="00317BFF" w:rsidP="00317BFF">
      <w:pPr>
        <w:rPr>
          <w:rFonts w:ascii="Calibri" w:eastAsia="Calibri" w:hAnsi="Calibri"/>
        </w:rPr>
      </w:pPr>
      <w:r w:rsidRPr="00FF48B9">
        <w:rPr>
          <w:rFonts w:ascii="Calibri" w:eastAsia="Calibri" w:hAnsi="Calibri"/>
        </w:rPr>
        <w:t xml:space="preserve">Žiadateľ pre vstup do opatrenia bude musieť splniť všeobecné podmienky a zároveň bude povinný  v rámci príslušných typov operácií plniť stanovené špecifické podmienky. </w:t>
      </w:r>
    </w:p>
    <w:p w:rsidR="00317BFF" w:rsidRPr="00FF48B9" w:rsidRDefault="00317BFF" w:rsidP="00317BFF">
      <w:pPr>
        <w:rPr>
          <w:rFonts w:ascii="Calibri" w:eastAsia="Calibri" w:hAnsi="Calibri"/>
        </w:rPr>
      </w:pPr>
      <w:r w:rsidRPr="00FF48B9">
        <w:rPr>
          <w:rFonts w:ascii="Calibri" w:eastAsia="Calibri" w:hAnsi="Calibri"/>
        </w:rPr>
        <w:t xml:space="preserve">Opatrenie bude predmetom administratívnych kontrol a kontrol na mieste vykonávaných PPA.  </w:t>
      </w:r>
    </w:p>
    <w:p w:rsidR="00317BFF" w:rsidRPr="00FF48B9" w:rsidRDefault="00317BFF" w:rsidP="00317BFF">
      <w:pPr>
        <w:rPr>
          <w:rFonts w:ascii="Calibri" w:eastAsia="Calibri" w:hAnsi="Calibri"/>
        </w:rPr>
      </w:pPr>
    </w:p>
    <w:p w:rsidR="00317BFF" w:rsidRPr="00FF48B9" w:rsidRDefault="00317BFF" w:rsidP="00317BFF">
      <w:pPr>
        <w:keepNext/>
        <w:outlineLvl w:val="3"/>
        <w:rPr>
          <w:rFonts w:ascii="Calibri" w:eastAsia="Calibri" w:hAnsi="Calibri"/>
          <w:b/>
        </w:rPr>
      </w:pPr>
      <w:r w:rsidRPr="00FF48B9">
        <w:rPr>
          <w:rFonts w:ascii="Calibri" w:eastAsia="Calibri" w:hAnsi="Calibri"/>
          <w:b/>
        </w:rPr>
        <w:t>8.2.13.5. Metodika výpočtu výšky podpory:</w:t>
      </w:r>
    </w:p>
    <w:p w:rsidR="00317BFF" w:rsidRPr="00FF48B9" w:rsidRDefault="00317BFF" w:rsidP="00317BFF">
      <w:pPr>
        <w:rPr>
          <w:rFonts w:ascii="Calibri" w:eastAsia="Calibri" w:hAnsi="Calibri"/>
          <w:u w:val="single"/>
        </w:rPr>
      </w:pPr>
      <w:r w:rsidRPr="00FF48B9">
        <w:rPr>
          <w:rFonts w:ascii="Calibri" w:eastAsia="Calibri" w:hAnsi="Calibri"/>
          <w:u w:val="single"/>
        </w:rPr>
        <w:t>Východiská pre výpočet podpory pre výkrm kurčiat:</w:t>
      </w:r>
    </w:p>
    <w:p w:rsidR="00317BFF" w:rsidRPr="00FF48B9" w:rsidRDefault="00317BFF" w:rsidP="00317BFF">
      <w:pPr>
        <w:rPr>
          <w:rFonts w:ascii="Calibri" w:eastAsia="Calibri" w:hAnsi="Calibri"/>
        </w:rPr>
      </w:pPr>
      <w:r w:rsidRPr="00FF48B9">
        <w:rPr>
          <w:rFonts w:ascii="Calibri" w:eastAsia="Calibri" w:hAnsi="Calibri"/>
        </w:rPr>
        <w:t>Výška podpory sa vypočíta ako kompenzácia strát vzniknutých zmenou produkcie v dôsledku zníženia produkcie z 1 m2 podlahovej plochy na hlbokej podstielke. Zníženie zaťaženia je o 23% z 39 kg/m2 na 30 kg/m2.  Strata kg sa spočíta ako rozdiel medzi produkciou pri bežnej obrátkovosti turnusov (6,5 turnusu za rok) a produkciou pri následnom znížení obrátkovosti turnusov (6 turnusov za rok).</w:t>
      </w:r>
    </w:p>
    <w:p w:rsidR="00317BFF" w:rsidRPr="00FF48B9" w:rsidRDefault="00317BFF" w:rsidP="00317BFF">
      <w:pPr>
        <w:rPr>
          <w:rFonts w:ascii="Calibri" w:eastAsia="Calibri" w:hAnsi="Calibri"/>
        </w:rPr>
      </w:pPr>
    </w:p>
    <w:p w:rsidR="00317BFF" w:rsidRPr="00FF48B9" w:rsidRDefault="00317BFF" w:rsidP="00317BFF">
      <w:pPr>
        <w:rPr>
          <w:rFonts w:ascii="Calibri" w:eastAsia="Calibri" w:hAnsi="Calibri"/>
          <w:u w:val="single"/>
        </w:rPr>
      </w:pPr>
      <w:r w:rsidRPr="00FF48B9">
        <w:rPr>
          <w:rFonts w:ascii="Calibri" w:eastAsia="Calibri" w:hAnsi="Calibri"/>
          <w:u w:val="single"/>
        </w:rPr>
        <w:t>Východiská pre výpočet podpory pre Zlepšenie starostlivosti o dojnice a teľatá pri pôrode:</w:t>
      </w:r>
    </w:p>
    <w:p w:rsidR="00317BFF" w:rsidRPr="00FF48B9" w:rsidRDefault="00317BFF" w:rsidP="00317BFF">
      <w:pPr>
        <w:rPr>
          <w:rFonts w:ascii="Calibri" w:eastAsia="Calibri" w:hAnsi="Calibri"/>
        </w:rPr>
      </w:pPr>
      <w:r w:rsidRPr="00FF48B9">
        <w:rPr>
          <w:rFonts w:ascii="Calibri" w:eastAsia="Calibri" w:hAnsi="Calibri"/>
        </w:rPr>
        <w:t>Platba sa vypočíta ako náhrada za zvýšenie mzdových nákladov pre ošetrovateľa na nočnej zmene, ktorý je nad rámec legislatívy i bežných chovateľských postupov. Platba sa vypočíta ako náhrada za zvýšenie mzdových nákladov pre ošetrovateľa na nočnej zmene, ktorá je nad rámec legislatívy i bežných chovateľských postupov. Stanovenie  mzdových a sociálnych nákladov vychádza z nákladov a výnosov  z publikácie VÚEPP „Náklady a výnosy  poľnohospodárskych výrobkov v SR za rok 2011“, ISBN: 978-80-8058-581-  5.  Stanovenie zvýšených nákladov  bolo kalkulované na základe potreby dvoch nočných zmien  na 1 dojnicu za rok, t.j. 15 hodín/ dojnica  a rok. Hodinová mzda ošetrovateľa počas nočnej zmeny 6€ + sociálne odvody, vychádza zo mzdových  a sociálnych nákladov na kŕmny deň mínus podiel miezd THP pracovníkov na KD. Prepočet platby pre príslušný chov vychádza z priemerného stavu dojníc za rok, prepočítaného cez kŕmne dni v chove za rok/ 365 dní.</w:t>
      </w:r>
    </w:p>
    <w:p w:rsidR="00317BFF" w:rsidRPr="00FF48B9" w:rsidRDefault="00317BFF" w:rsidP="00317BFF">
      <w:pPr>
        <w:rPr>
          <w:rFonts w:ascii="Calibri" w:eastAsia="Calibri" w:hAnsi="Calibri"/>
        </w:rPr>
      </w:pPr>
    </w:p>
    <w:p w:rsidR="00317BFF" w:rsidRPr="00FF48B9" w:rsidRDefault="00317BFF" w:rsidP="00317BFF">
      <w:pPr>
        <w:rPr>
          <w:rFonts w:ascii="Calibri" w:eastAsia="Calibri" w:hAnsi="Calibri"/>
          <w:u w:val="single"/>
        </w:rPr>
      </w:pPr>
      <w:r w:rsidRPr="00FF48B9">
        <w:rPr>
          <w:rFonts w:ascii="Calibri" w:eastAsia="Calibri" w:hAnsi="Calibri"/>
          <w:u w:val="single"/>
        </w:rPr>
        <w:t>Východiská pre výpočet podpory pre Zlepšenie životných podmienok rodiacich a dojčiacich prasníc:</w:t>
      </w:r>
    </w:p>
    <w:p w:rsidR="00317BFF" w:rsidRPr="00FF48B9" w:rsidRDefault="00317BFF" w:rsidP="00317BFF">
      <w:pPr>
        <w:rPr>
          <w:rFonts w:ascii="Calibri" w:eastAsia="Calibri" w:hAnsi="Calibri"/>
        </w:rPr>
      </w:pPr>
      <w:r w:rsidRPr="00FF48B9">
        <w:rPr>
          <w:rFonts w:ascii="Calibri" w:eastAsia="Calibri" w:hAnsi="Calibri"/>
        </w:rPr>
        <w:t>V kategórií rodiacich a dojčiacich prasníc bude navyše vytvorené miesto ošetrovateľa. Chovateľ zabezpečí dĺžku dojčenia odstavčiat v  priemere 32 dní. Platba bude kompenzovať zvýšené mzdové a sociálne náklady v kategórii rodiacich a dojčiacich prasníc a stratu zo zníženej produkcie odstavčiat pri predĺženom dojčení prasiatok.</w:t>
      </w:r>
    </w:p>
    <w:p w:rsidR="00317BFF" w:rsidRPr="00FF48B9" w:rsidRDefault="00317BFF" w:rsidP="00317BFF">
      <w:pPr>
        <w:rPr>
          <w:rFonts w:ascii="Calibri" w:eastAsia="Calibri" w:hAnsi="Calibri"/>
        </w:rPr>
      </w:pPr>
    </w:p>
    <w:p w:rsidR="00317BFF" w:rsidRPr="00FF48B9" w:rsidRDefault="00317BFF" w:rsidP="00317BFF">
      <w:pPr>
        <w:rPr>
          <w:rFonts w:ascii="Calibri" w:eastAsia="Calibri" w:hAnsi="Calibri"/>
          <w:u w:val="single"/>
        </w:rPr>
      </w:pPr>
      <w:r w:rsidRPr="00FF48B9">
        <w:rPr>
          <w:rFonts w:ascii="Calibri" w:eastAsia="Calibri" w:hAnsi="Calibri"/>
          <w:u w:val="single"/>
        </w:rPr>
        <w:t>Východiská pre výpočet podpory pre Zlepšenie ustajňovacej pohody výkrmových ošípaných:</w:t>
      </w:r>
    </w:p>
    <w:p w:rsidR="00317BFF" w:rsidRPr="00FF48B9" w:rsidRDefault="00317BFF" w:rsidP="00317BFF">
      <w:pPr>
        <w:spacing w:after="120"/>
        <w:rPr>
          <w:rFonts w:ascii="Calibri" w:eastAsia="Calibri" w:hAnsi="Calibri"/>
        </w:rPr>
      </w:pPr>
      <w:r w:rsidRPr="00FF48B9">
        <w:rPr>
          <w:rFonts w:ascii="Calibri" w:eastAsia="Calibri" w:hAnsi="Calibri"/>
        </w:rPr>
        <w:t>Výška podpory sa vypočíta ako potreba kompenzácie po navýšení plochy za 365 dní na 1 DJ. Platba bude kompenzáciou zníženia produkcie chovných ošípaných na základe zníženia počtu zvierat               v ustajňovacej jednotke tak, aby plocha pripadajúca na 1 zviera bola o 10 % vyššia, ako vyžadujú súčasné legislatívne opatrenia na Slovensku (nariadenie vlády SR 735/2002, ktorým sa ustanovujú minimálne normy ochrany ošípaných).</w:t>
      </w:r>
    </w:p>
    <w:p w:rsidR="00317BFF" w:rsidRDefault="00317BFF" w:rsidP="00317BFF">
      <w:pPr>
        <w:rPr>
          <w:rFonts w:ascii="Calibri" w:hAnsi="Calibri"/>
        </w:rPr>
      </w:pPr>
      <w:r w:rsidRPr="00FF48B9">
        <w:rPr>
          <w:rFonts w:ascii="Calibri" w:hAnsi="Calibri"/>
        </w:rPr>
        <w:t xml:space="preserve">Platby vypočítala Slovenská poľnohospodárska univerzita v Nitre. </w:t>
      </w:r>
    </w:p>
    <w:p w:rsidR="00317BFF" w:rsidRDefault="00317BFF">
      <w:pPr>
        <w:jc w:val="left"/>
        <w:rPr>
          <w:rFonts w:ascii="Calibri" w:hAnsi="Calibri"/>
        </w:rPr>
      </w:pPr>
      <w:r>
        <w:rPr>
          <w:rFonts w:ascii="Calibri" w:hAnsi="Calibri"/>
        </w:rPr>
        <w:br w:type="page"/>
      </w:r>
    </w:p>
    <w:p w:rsidR="003F0BBD" w:rsidRPr="004E5B0E" w:rsidRDefault="003F0BBD" w:rsidP="00A03A77">
      <w:pPr>
        <w:pStyle w:val="Opatrenie"/>
        <w:ind w:left="2835" w:hanging="2835"/>
        <w:jc w:val="left"/>
      </w:pPr>
      <w:bookmarkStart w:id="102" w:name="_Toc387041337"/>
      <w:r w:rsidRPr="004E5B0E">
        <w:t xml:space="preserve">8.2.14 Opatrenie 15 </w:t>
      </w:r>
      <w:r w:rsidRPr="004E5B0E">
        <w:tab/>
        <w:t>lesnícko-environmentálne a klimatické</w:t>
      </w:r>
      <w:bookmarkEnd w:id="102"/>
      <w:r w:rsidRPr="004E5B0E">
        <w:t xml:space="preserve"> </w:t>
      </w:r>
      <w:bookmarkStart w:id="103" w:name="_Toc387041338"/>
      <w:r w:rsidRPr="004E5B0E">
        <w:t>služby a ochrana lesov</w:t>
      </w:r>
      <w:bookmarkEnd w:id="103"/>
      <w:r w:rsidRPr="004E5B0E">
        <w:t xml:space="preserve"> </w:t>
      </w:r>
    </w:p>
    <w:p w:rsidR="003F0BBD" w:rsidRPr="003F0BBD" w:rsidRDefault="003F0BBD" w:rsidP="003F0BBD">
      <w:pPr>
        <w:keepNext/>
        <w:outlineLvl w:val="3"/>
        <w:rPr>
          <w:rFonts w:ascii="Calibri" w:hAnsi="Calibri" w:cs="Calibri"/>
          <w:b/>
          <w:bCs/>
          <w:szCs w:val="22"/>
          <w:lang w:eastAsia="en-GB"/>
        </w:rPr>
      </w:pPr>
    </w:p>
    <w:p w:rsidR="003F0BBD" w:rsidRPr="003F0BBD" w:rsidRDefault="003F0BBD" w:rsidP="003F0BBD">
      <w:pPr>
        <w:keepNext/>
        <w:outlineLvl w:val="3"/>
        <w:rPr>
          <w:rFonts w:ascii="Calibri" w:hAnsi="Calibri" w:cs="Calibri"/>
          <w:b/>
          <w:bCs/>
          <w:szCs w:val="22"/>
          <w:lang w:eastAsia="en-GB"/>
        </w:rPr>
      </w:pPr>
      <w:r w:rsidRPr="003F0BBD">
        <w:rPr>
          <w:rFonts w:ascii="Calibri" w:hAnsi="Calibri" w:cs="Calibri"/>
          <w:b/>
          <w:bCs/>
          <w:szCs w:val="22"/>
          <w:lang w:eastAsia="en-GB"/>
        </w:rPr>
        <w:t>8.2.14.1. Právny základ</w:t>
      </w:r>
    </w:p>
    <w:p w:rsidR="003F0BBD" w:rsidRPr="003F0BBD" w:rsidRDefault="003F0BBD" w:rsidP="003F0BBD">
      <w:pPr>
        <w:rPr>
          <w:rFonts w:ascii="Calibri" w:hAnsi="Calibri" w:cs="Calibri"/>
          <w:szCs w:val="22"/>
          <w:lang w:eastAsia="en-US"/>
        </w:rPr>
      </w:pPr>
      <w:r w:rsidRPr="003F0BBD">
        <w:rPr>
          <w:rFonts w:ascii="Calibri" w:hAnsi="Calibri" w:cs="Calibri"/>
          <w:szCs w:val="22"/>
          <w:lang w:eastAsia="en-US"/>
        </w:rPr>
        <w:t xml:space="preserve">Článok 34 nariadenia (EÚ) č. 1305/2013 o podpore rozvoja vidieka prostredníctvom Európskeho poľnohospodárskeho fondu pre rozvoj vidieka. </w:t>
      </w:r>
    </w:p>
    <w:p w:rsidR="003F0BBD" w:rsidRPr="003F0BBD" w:rsidRDefault="003F0BBD" w:rsidP="003F0BBD">
      <w:pPr>
        <w:rPr>
          <w:rFonts w:ascii="Calibri" w:hAnsi="Calibri" w:cs="Calibri"/>
          <w:szCs w:val="22"/>
          <w:lang w:eastAsia="en-US"/>
        </w:rPr>
      </w:pPr>
    </w:p>
    <w:p w:rsidR="003F0BBD" w:rsidRPr="003F0BBD" w:rsidRDefault="003F0BBD" w:rsidP="003F0BBD">
      <w:pPr>
        <w:ind w:left="851" w:hanging="851"/>
        <w:rPr>
          <w:rFonts w:ascii="Calibri" w:hAnsi="Calibri" w:cs="Calibri"/>
          <w:b/>
          <w:bCs/>
          <w:szCs w:val="22"/>
          <w:lang w:eastAsia="en-US"/>
        </w:rPr>
      </w:pPr>
      <w:r w:rsidRPr="003F0BBD">
        <w:rPr>
          <w:rFonts w:ascii="Calibri" w:hAnsi="Calibri" w:cs="Calibri"/>
          <w:b/>
          <w:bCs/>
          <w:szCs w:val="22"/>
          <w:lang w:eastAsia="en-US"/>
        </w:rPr>
        <w:t>8.2.14.2. Všeobecný opis opatrenia vrátane intervenčnej logiky a príspevku k fokusovej oblasti a prierezovým cieľom</w:t>
      </w:r>
    </w:p>
    <w:p w:rsidR="003F0BBD" w:rsidRPr="003F0BBD" w:rsidRDefault="003F0BBD" w:rsidP="003F0BBD">
      <w:pPr>
        <w:autoSpaceDE w:val="0"/>
        <w:autoSpaceDN w:val="0"/>
        <w:adjustRightInd w:val="0"/>
        <w:rPr>
          <w:rFonts w:ascii="Calibri" w:hAnsi="Calibri"/>
          <w:szCs w:val="22"/>
        </w:rPr>
      </w:pPr>
      <w:r w:rsidRPr="003F0BBD">
        <w:rPr>
          <w:rFonts w:ascii="Calibri" w:hAnsi="Calibri"/>
          <w:szCs w:val="22"/>
        </w:rPr>
        <w:t>Lesnícko-environmentálna podpora je platba za spôsob osobitného obhospodarovania lesov v rámci uplatňovania stratégie EÚ v oblasti biodiverzity do roku 2020 s cieľom zachovania a zvyšovania biologickej biodiverzity, zachovania pôvodných lesov, zmiernenia zmeny klímy a ochrany vodných zdrojov. Navrhované činnosti, ktorých realizácia je potrebná k dosiahnutiu stanovených cieľov, idú nad rámec príslušných povinných požiadaviek upravujúcich hospodárenie v lesoch.</w:t>
      </w:r>
    </w:p>
    <w:p w:rsidR="003F0BBD" w:rsidRPr="003F0BBD" w:rsidRDefault="003F0BBD" w:rsidP="003F0BBD">
      <w:pPr>
        <w:autoSpaceDE w:val="0"/>
        <w:autoSpaceDN w:val="0"/>
        <w:adjustRightInd w:val="0"/>
        <w:rPr>
          <w:rFonts w:ascii="Calibri" w:hAnsi="Calibri"/>
          <w:szCs w:val="22"/>
        </w:rPr>
      </w:pPr>
      <w:r w:rsidRPr="003F0BBD">
        <w:rPr>
          <w:rFonts w:ascii="Calibri" w:hAnsi="Calibri"/>
          <w:szCs w:val="22"/>
        </w:rPr>
        <w:t>Podpora osobitných metód manažmentu lesníckych činností je smerovaná hlavne do európskej sústavy chránených území Natura 2000 (</w:t>
      </w:r>
      <w:r w:rsidRPr="003F0BBD">
        <w:rPr>
          <w:rFonts w:ascii="Calibri" w:hAnsi="Calibri"/>
          <w:szCs w:val="22"/>
          <w:lang w:eastAsia="en-US"/>
        </w:rPr>
        <w:t>primárne zameraná na oblasti území európskeho významu v 3. a 4. stupni ochrany)</w:t>
      </w:r>
      <w:r w:rsidRPr="003F0BBD">
        <w:rPr>
          <w:rFonts w:ascii="Calibri" w:hAnsi="Calibri"/>
          <w:szCs w:val="22"/>
        </w:rPr>
        <w:t xml:space="preserve"> s cieľom chrániť prírodné prostredie a krajinu, hlavne biodiverzitu a územia s vysokou prírodnou hodnotou.</w:t>
      </w:r>
    </w:p>
    <w:p w:rsidR="003F0BBD" w:rsidRPr="003F0BBD" w:rsidRDefault="003F0BBD" w:rsidP="003F0BBD">
      <w:pPr>
        <w:autoSpaceDE w:val="0"/>
        <w:autoSpaceDN w:val="0"/>
        <w:adjustRightInd w:val="0"/>
        <w:rPr>
          <w:rFonts w:ascii="Calibri" w:hAnsi="Calibri"/>
          <w:szCs w:val="22"/>
          <w:lang w:eastAsia="en-US"/>
        </w:rPr>
      </w:pPr>
      <w:r w:rsidRPr="003F0BBD">
        <w:rPr>
          <w:rFonts w:ascii="Calibri" w:hAnsi="Calibri" w:cs="Arial"/>
          <w:szCs w:val="22"/>
          <w:lang w:eastAsia="en-US"/>
        </w:rPr>
        <w:t xml:space="preserve">Potreba opatrení na ochranu a podporu lesných genetických zdrojov v SR vyplýva z dlhodobej prevahy umelej obnovy (zalesňovania) nad prirodzenou obnovou lesov, a tiež prevahou náhodných ťažieb nad plánovanými obnovnými ťažbami. </w:t>
      </w:r>
      <w:r w:rsidRPr="003F0BBD">
        <w:rPr>
          <w:rFonts w:ascii="Calibri" w:hAnsi="Calibri" w:cs="Arial"/>
          <w:caps/>
          <w:szCs w:val="22"/>
          <w:lang w:eastAsia="en-US"/>
        </w:rPr>
        <w:t>ď</w:t>
      </w:r>
      <w:r w:rsidRPr="003F0BBD">
        <w:rPr>
          <w:rFonts w:ascii="Calibri" w:hAnsi="Calibri" w:cs="Arial"/>
          <w:szCs w:val="22"/>
          <w:lang w:eastAsia="en-US"/>
        </w:rPr>
        <w:t xml:space="preserve">alším dôvodom sú dopady klimatických extrémov na lesy, hroziaci rozpadom časti lesných ekosystémom a nenávratnou stratou cenných genetických zdrojov lesných drevín. </w:t>
      </w:r>
      <w:r w:rsidRPr="003F0BBD">
        <w:rPr>
          <w:rFonts w:ascii="Calibri" w:hAnsi="Calibri"/>
          <w:szCs w:val="22"/>
          <w:lang w:eastAsia="en-US"/>
        </w:rPr>
        <w:t xml:space="preserve">Časté požiare a prírodné katastrofy spôsobujú nevyčísliteľné škody na biodiverzite, preto je nutné lesné porasty revitalizovať tak, aby sa čo najskôr obnovili všetky funkcie lesa. </w:t>
      </w:r>
      <w:r w:rsidRPr="003F0BBD">
        <w:rPr>
          <w:rFonts w:ascii="Calibri" w:hAnsi="Calibri" w:cs="Arial"/>
          <w:szCs w:val="22"/>
          <w:lang w:eastAsia="en-US"/>
        </w:rPr>
        <w:t xml:space="preserve">Poznatky praxe aj výskumu poukazujú na to, že lesný reprodukčný materiál  z autochtónnych  zdrojov sa vyznačuje vysokou vitalitou a adaptabilitou resp. je prispôsobený miestnym prírodným podmienkam. Jeho používanie posilňuje dlhodobú udržateľnosť ozdravných opatrení v lesoch a adaptačných opatrení ku klimatickej zmene. </w:t>
      </w:r>
    </w:p>
    <w:p w:rsidR="003F0BBD" w:rsidRPr="003F0BBD" w:rsidRDefault="003F0BBD" w:rsidP="003F0BBD">
      <w:pPr>
        <w:rPr>
          <w:rFonts w:ascii="Calibri" w:hAnsi="Calibri" w:cs="Calibri"/>
          <w:szCs w:val="22"/>
          <w:u w:val="single"/>
          <w:lang w:eastAsia="en-GB"/>
        </w:rPr>
      </w:pPr>
    </w:p>
    <w:p w:rsidR="003F0BBD" w:rsidRPr="003F0BBD" w:rsidRDefault="003F0BBD" w:rsidP="003F0BBD">
      <w:pPr>
        <w:rPr>
          <w:rFonts w:ascii="Calibri" w:hAnsi="Calibri" w:cs="Calibri"/>
          <w:szCs w:val="22"/>
          <w:u w:val="single"/>
          <w:lang w:eastAsia="en-GB"/>
        </w:rPr>
      </w:pPr>
      <w:r w:rsidRPr="003F0BBD">
        <w:rPr>
          <w:rFonts w:ascii="Calibri" w:hAnsi="Calibri" w:cs="Calibri"/>
          <w:szCs w:val="22"/>
          <w:u w:val="single"/>
          <w:lang w:eastAsia="en-GB"/>
        </w:rPr>
        <w:t xml:space="preserve">Príspevok k fokusovým oblastiam </w:t>
      </w:r>
    </w:p>
    <w:p w:rsidR="003F0BBD" w:rsidRPr="003F0BBD" w:rsidRDefault="003F0BBD" w:rsidP="003F0BBD">
      <w:pPr>
        <w:ind w:left="709" w:hanging="709"/>
        <w:rPr>
          <w:rFonts w:ascii="Calibri" w:hAnsi="Calibri" w:cs="Calibri"/>
          <w:i/>
          <w:iCs/>
          <w:szCs w:val="22"/>
          <w:lang w:eastAsia="en-US"/>
        </w:rPr>
      </w:pPr>
      <w:r w:rsidRPr="003F0BBD">
        <w:rPr>
          <w:rFonts w:ascii="Calibri" w:hAnsi="Calibri" w:cs="Calibri"/>
          <w:i/>
          <w:iCs/>
          <w:szCs w:val="22"/>
          <w:lang w:eastAsia="en-US"/>
        </w:rPr>
        <w:t>4A – Obnova, zachovanie a zvýšenie biologickej diverzity vrátane lokalít sústavy Natura 2000 a v oblastiach s prírodnými a inými špecifickými obmedzeniami a poľnohospodárskej činnosti s vysokou prírodnou hodnotou a stavu krajinných oblastí Európy.</w:t>
      </w:r>
    </w:p>
    <w:p w:rsidR="003F0BBD" w:rsidRPr="003F0BBD" w:rsidRDefault="003F0BBD" w:rsidP="003F0BBD">
      <w:pPr>
        <w:rPr>
          <w:rFonts w:ascii="Calibri" w:hAnsi="Calibri" w:cs="Calibri"/>
          <w:szCs w:val="22"/>
          <w:lang w:eastAsia="en-US"/>
        </w:rPr>
      </w:pPr>
      <w:r w:rsidRPr="003F0BBD">
        <w:rPr>
          <w:rFonts w:ascii="Calibri" w:hAnsi="Calibri" w:cs="Calibri"/>
          <w:szCs w:val="22"/>
          <w:lang w:eastAsia="en-US"/>
        </w:rPr>
        <w:t>Cielené manažovanie chránených lesných oblastí s nadštandardnými postupmi  zabezpečuje zachovanie a zvýšenie biologickej diverzity v hlavne v územiach európskeho významu a v oblastiach s vysokou prírodnou hodnotou.</w:t>
      </w:r>
    </w:p>
    <w:p w:rsidR="003F0BBD" w:rsidRPr="003F0BBD" w:rsidRDefault="003F0BBD" w:rsidP="003F0BBD">
      <w:pPr>
        <w:rPr>
          <w:rFonts w:ascii="Calibri" w:hAnsi="Calibri" w:cs="Calibri"/>
          <w:szCs w:val="22"/>
          <w:lang w:eastAsia="en-US"/>
        </w:rPr>
      </w:pPr>
      <w:r w:rsidRPr="003F0BBD">
        <w:rPr>
          <w:rFonts w:ascii="Calibri" w:hAnsi="Calibri" w:cs="Calibri"/>
          <w:szCs w:val="22"/>
          <w:lang w:eastAsia="en-US"/>
        </w:rPr>
        <w:t xml:space="preserve">Zabezpečenie primeraného množstva </w:t>
      </w:r>
      <w:r w:rsidRPr="003F0BBD">
        <w:rPr>
          <w:rFonts w:ascii="Calibri" w:hAnsi="Calibri" w:cs="Arial"/>
          <w:szCs w:val="22"/>
          <w:lang w:eastAsia="en-US"/>
        </w:rPr>
        <w:t>autochtónnych genetických zdrojov lesných drevín, ktoré sa vyznačujú vysokou vitalitou a adaptabilitou má nezastupiteľný miesto pre zachovanie a zvýšenie biologickej diverzity.  Potrebná tvorba zásob semien týchto lesných drevín v požadovanej skladbe a vhodného pôvodu zabezpečuje obnovu  a ozdravné opatrenia lesov z týchto genetických zdrojov čím zabezpečuje ich vysokú prírodnú hodnotu.</w:t>
      </w:r>
    </w:p>
    <w:p w:rsidR="003F0BBD" w:rsidRPr="003F0BBD" w:rsidRDefault="003F0BBD" w:rsidP="003F0BBD">
      <w:pPr>
        <w:rPr>
          <w:rFonts w:ascii="Calibri" w:hAnsi="Calibri" w:cs="Calibri"/>
          <w:i/>
          <w:iCs/>
          <w:szCs w:val="22"/>
          <w:lang w:eastAsia="en-US"/>
        </w:rPr>
      </w:pPr>
    </w:p>
    <w:p w:rsidR="003F0BBD" w:rsidRPr="003F0BBD" w:rsidRDefault="003F0BBD" w:rsidP="003F0BBD">
      <w:pPr>
        <w:rPr>
          <w:rFonts w:ascii="Calibri" w:hAnsi="Calibri" w:cs="Calibri"/>
          <w:i/>
          <w:iCs/>
          <w:szCs w:val="22"/>
          <w:lang w:eastAsia="en-US"/>
        </w:rPr>
      </w:pPr>
      <w:r w:rsidRPr="003F0BBD">
        <w:rPr>
          <w:rFonts w:ascii="Calibri" w:hAnsi="Calibri" w:cs="Calibri"/>
          <w:i/>
          <w:iCs/>
          <w:szCs w:val="22"/>
          <w:lang w:eastAsia="en-US"/>
        </w:rPr>
        <w:t>4C   Predchádzanie erózii pôdy a zlepšenie jej obhospodarovania.</w:t>
      </w:r>
    </w:p>
    <w:p w:rsidR="003F0BBD" w:rsidRPr="003F0BBD" w:rsidRDefault="003F0BBD" w:rsidP="003F0BBD">
      <w:pPr>
        <w:keepNext/>
        <w:outlineLvl w:val="2"/>
        <w:rPr>
          <w:rFonts w:ascii="Calibri" w:hAnsi="Calibri"/>
          <w:szCs w:val="22"/>
          <w:lang w:eastAsia="en-US"/>
        </w:rPr>
      </w:pPr>
      <w:r w:rsidRPr="003F0BBD">
        <w:rPr>
          <w:rFonts w:ascii="Calibri" w:hAnsi="Calibri"/>
          <w:szCs w:val="22"/>
          <w:lang w:eastAsia="en-US"/>
        </w:rPr>
        <w:t xml:space="preserve">Stanovené  podmienky pre šetrné formy hospodárenia v lesných ekosystémoch vedú k  zmierňovaniu erózneho tlaku s následnou zvýšenou činnosťou vodozádržnej  a protieróznej funkcie lesnej pôdy. Aktivity na  zníženie poškodzovania lesných pôd a majú dôsledok v  znížení tlaku na znečistenie vodných zdrojov. </w:t>
      </w:r>
    </w:p>
    <w:p w:rsidR="003F0BBD" w:rsidRPr="003F0BBD" w:rsidRDefault="003F0BBD" w:rsidP="003F0BBD">
      <w:pPr>
        <w:rPr>
          <w:rFonts w:ascii="Calibri" w:hAnsi="Calibri" w:cs="Calibri"/>
          <w:szCs w:val="22"/>
          <w:u w:val="single"/>
          <w:lang w:eastAsia="en-GB"/>
        </w:rPr>
      </w:pPr>
    </w:p>
    <w:p w:rsidR="003F0BBD" w:rsidRPr="003F0BBD" w:rsidRDefault="003F0BBD" w:rsidP="003F0BBD">
      <w:pPr>
        <w:ind w:left="425" w:hanging="425"/>
        <w:rPr>
          <w:rFonts w:ascii="Calibri" w:hAnsi="Calibri" w:cs="Calibri"/>
          <w:i/>
          <w:iCs/>
          <w:szCs w:val="22"/>
          <w:lang w:eastAsia="en-US"/>
        </w:rPr>
      </w:pPr>
      <w:r w:rsidRPr="003F0BBD">
        <w:rPr>
          <w:rFonts w:ascii="Calibri" w:hAnsi="Calibri" w:cs="Calibri"/>
          <w:i/>
          <w:iCs/>
          <w:szCs w:val="22"/>
          <w:lang w:eastAsia="en-US"/>
        </w:rPr>
        <w:t xml:space="preserve">5E </w:t>
      </w:r>
      <w:r w:rsidRPr="003F0BBD">
        <w:rPr>
          <w:rFonts w:ascii="Calibri" w:hAnsi="Calibri" w:cs="Calibri"/>
          <w:i/>
          <w:iCs/>
          <w:szCs w:val="22"/>
          <w:lang w:eastAsia="en-US"/>
        </w:rPr>
        <w:tab/>
        <w:t>Podpora zachovania a sekvestrácie oxidu uhličitého v poľnohospodárstve a lesnom hospodárstve</w:t>
      </w:r>
    </w:p>
    <w:p w:rsidR="003F0BBD" w:rsidRPr="003F0BBD" w:rsidRDefault="003F0BBD" w:rsidP="003F0BBD">
      <w:pPr>
        <w:autoSpaceDE w:val="0"/>
        <w:autoSpaceDN w:val="0"/>
        <w:adjustRightInd w:val="0"/>
        <w:ind w:firstLine="4"/>
        <w:rPr>
          <w:rFonts w:ascii="Calibri" w:hAnsi="Calibri"/>
          <w:szCs w:val="22"/>
          <w:lang w:val="nb-NO"/>
        </w:rPr>
      </w:pPr>
      <w:r w:rsidRPr="003F0BBD">
        <w:rPr>
          <w:rFonts w:ascii="Calibri" w:hAnsi="Calibri"/>
          <w:szCs w:val="22"/>
          <w:lang w:val="nb-NO"/>
        </w:rPr>
        <w:t>Podmienky definované v predpísanom manažovaní lesných oblastí (ponechanie príslušného počtu stromov, biomasy)  vedie k viazaniu uhlíka a vyrovnanejšej bilancii uhlíkové ho kolobehu. Rovnako</w:t>
      </w:r>
      <w:r w:rsidRPr="003F0BBD">
        <w:rPr>
          <w:rFonts w:ascii="Calibri" w:hAnsi="Calibri"/>
          <w:szCs w:val="22"/>
          <w:lang w:val="nb-NO"/>
        </w:rPr>
        <w:lastRenderedPageBreak/>
        <w:t xml:space="preserve"> nadštandardná starostlivosť o plochy genetických zdrojov má významný podiel na sekvestrácii oxidu uhličitého. </w:t>
      </w:r>
    </w:p>
    <w:p w:rsidR="003F0BBD" w:rsidRPr="003F0BBD" w:rsidRDefault="003F0BBD" w:rsidP="003F0BBD">
      <w:pPr>
        <w:rPr>
          <w:rFonts w:ascii="Calibri" w:hAnsi="Calibri" w:cs="Calibri"/>
          <w:szCs w:val="22"/>
          <w:lang w:eastAsia="en-US"/>
        </w:rPr>
      </w:pPr>
    </w:p>
    <w:p w:rsidR="003F0BBD" w:rsidRPr="003F0BBD" w:rsidRDefault="003F0BBD" w:rsidP="003F0BBD">
      <w:pPr>
        <w:rPr>
          <w:rFonts w:ascii="Calibri" w:hAnsi="Calibri" w:cs="Calibri"/>
          <w:szCs w:val="22"/>
          <w:u w:val="single"/>
          <w:lang w:eastAsia="en-US"/>
        </w:rPr>
      </w:pPr>
      <w:r w:rsidRPr="003F0BBD">
        <w:rPr>
          <w:rFonts w:ascii="Calibri" w:hAnsi="Calibri" w:cs="Calibri"/>
          <w:szCs w:val="22"/>
          <w:u w:val="single"/>
          <w:lang w:eastAsia="en-GB"/>
        </w:rPr>
        <w:t>Príspevok k prierezovým cieľom</w:t>
      </w:r>
    </w:p>
    <w:p w:rsidR="003F0BBD" w:rsidRPr="003F0BBD" w:rsidRDefault="003F0BBD" w:rsidP="003F0BBD">
      <w:pPr>
        <w:numPr>
          <w:ilvl w:val="0"/>
          <w:numId w:val="83"/>
        </w:numPr>
        <w:ind w:left="714" w:hanging="357"/>
        <w:jc w:val="left"/>
        <w:rPr>
          <w:rFonts w:ascii="Calibri" w:hAnsi="Calibri" w:cs="Calibri"/>
          <w:szCs w:val="22"/>
          <w:lang w:eastAsia="en-US"/>
        </w:rPr>
      </w:pPr>
      <w:r w:rsidRPr="003F0BBD">
        <w:rPr>
          <w:rFonts w:ascii="Calibri" w:hAnsi="Calibri" w:cs="Calibri"/>
          <w:szCs w:val="22"/>
          <w:lang w:eastAsia="en-US"/>
        </w:rPr>
        <w:t xml:space="preserve">životné prostredie, </w:t>
      </w:r>
    </w:p>
    <w:p w:rsidR="003F0BBD" w:rsidRPr="003F0BBD" w:rsidRDefault="003F0BBD" w:rsidP="003F0BBD">
      <w:pPr>
        <w:numPr>
          <w:ilvl w:val="0"/>
          <w:numId w:val="83"/>
        </w:numPr>
        <w:spacing w:after="200" w:line="276" w:lineRule="auto"/>
        <w:jc w:val="left"/>
        <w:rPr>
          <w:rFonts w:ascii="Calibri" w:hAnsi="Calibri" w:cs="Calibri"/>
          <w:szCs w:val="22"/>
          <w:lang w:eastAsia="en-US"/>
        </w:rPr>
      </w:pPr>
      <w:r w:rsidRPr="003F0BBD">
        <w:rPr>
          <w:rFonts w:ascii="Calibri" w:hAnsi="Calibri" w:cs="Calibri"/>
          <w:szCs w:val="22"/>
          <w:lang w:eastAsia="en-US"/>
        </w:rPr>
        <w:t>zmierňovanie zmeny klímy a prispôsobovanie sa tejto zmene.</w:t>
      </w:r>
    </w:p>
    <w:p w:rsidR="003F0BBD" w:rsidRPr="003F0BBD" w:rsidRDefault="003F0BBD" w:rsidP="003F0BBD">
      <w:pPr>
        <w:rPr>
          <w:rFonts w:ascii="Calibri" w:hAnsi="Calibri" w:cs="Calibri"/>
          <w:szCs w:val="22"/>
          <w:lang w:eastAsia="en-US"/>
        </w:rPr>
      </w:pPr>
    </w:p>
    <w:p w:rsidR="003F0BBD" w:rsidRPr="003F0BBD" w:rsidRDefault="003F0BBD" w:rsidP="003F0BBD">
      <w:pPr>
        <w:shd w:val="clear" w:color="auto" w:fill="EAF1DD"/>
        <w:ind w:left="3402" w:hanging="3402"/>
        <w:jc w:val="left"/>
        <w:rPr>
          <w:rFonts w:ascii="Calibri" w:hAnsi="Calibri" w:cs="Calibri"/>
          <w:b/>
          <w:bCs/>
          <w:i/>
          <w:iCs/>
          <w:sz w:val="24"/>
          <w:lang w:eastAsia="en-US"/>
        </w:rPr>
      </w:pPr>
      <w:r w:rsidRPr="003F0BBD">
        <w:rPr>
          <w:rFonts w:ascii="Calibri" w:hAnsi="Calibri" w:cs="Calibri"/>
          <w:sz w:val="24"/>
          <w:lang w:eastAsia="en-US"/>
        </w:rPr>
        <w:t xml:space="preserve">Podopatrenie:  15.1:  </w:t>
      </w:r>
      <w:r w:rsidRPr="003F0BBD">
        <w:rPr>
          <w:rFonts w:ascii="Calibri" w:hAnsi="Calibri" w:cs="Calibri"/>
          <w:b/>
          <w:bCs/>
          <w:i/>
          <w:iCs/>
          <w:sz w:val="24"/>
          <w:lang w:eastAsia="en-US"/>
        </w:rPr>
        <w:t>Platby na lesnícko-environmentálne</w:t>
      </w:r>
      <w:r>
        <w:rPr>
          <w:rFonts w:ascii="Calibri" w:hAnsi="Calibri" w:cs="Calibri"/>
          <w:b/>
          <w:bCs/>
          <w:i/>
          <w:iCs/>
          <w:sz w:val="24"/>
          <w:lang w:eastAsia="en-US"/>
        </w:rPr>
        <w:t xml:space="preserve"> </w:t>
      </w:r>
      <w:r w:rsidRPr="003F0BBD">
        <w:rPr>
          <w:rFonts w:ascii="Calibri" w:hAnsi="Calibri" w:cs="Calibri"/>
          <w:b/>
          <w:bCs/>
          <w:i/>
          <w:iCs/>
          <w:sz w:val="24"/>
          <w:lang w:eastAsia="en-US"/>
        </w:rPr>
        <w:t>záväzky</w:t>
      </w:r>
    </w:p>
    <w:p w:rsidR="003F0BBD" w:rsidRPr="003F0BBD" w:rsidRDefault="003F0BBD" w:rsidP="003F0BBD">
      <w:pPr>
        <w:rPr>
          <w:rFonts w:ascii="Calibri" w:hAnsi="Calibri" w:cs="Calibri"/>
          <w:szCs w:val="22"/>
          <w:lang w:eastAsia="en-US"/>
        </w:rPr>
      </w:pPr>
    </w:p>
    <w:p w:rsidR="003F0BBD" w:rsidRPr="003F0BBD" w:rsidRDefault="003F0BBD" w:rsidP="003F0BBD">
      <w:pPr>
        <w:rPr>
          <w:rFonts w:ascii="Calibri" w:hAnsi="Calibri" w:cs="Calibri"/>
          <w:szCs w:val="22"/>
          <w:u w:val="single"/>
          <w:lang w:eastAsia="en-GB"/>
        </w:rPr>
      </w:pPr>
      <w:r w:rsidRPr="003F0BBD">
        <w:rPr>
          <w:rFonts w:ascii="Calibri" w:hAnsi="Calibri" w:cs="Calibri"/>
          <w:szCs w:val="22"/>
          <w:u w:val="single"/>
          <w:lang w:eastAsia="en-GB"/>
        </w:rPr>
        <w:t>Opis operácie:</w:t>
      </w:r>
    </w:p>
    <w:p w:rsidR="003F0BBD" w:rsidRPr="003F0BBD" w:rsidRDefault="003F0BBD" w:rsidP="003F0BBD">
      <w:pPr>
        <w:rPr>
          <w:rFonts w:ascii="Calibri" w:hAnsi="Calibri"/>
          <w:bCs/>
          <w:szCs w:val="22"/>
          <w:u w:val="single"/>
          <w:lang w:eastAsia="en-US"/>
        </w:rPr>
      </w:pPr>
      <w:r w:rsidRPr="003F0BBD">
        <w:rPr>
          <w:rFonts w:ascii="Calibri" w:hAnsi="Calibri"/>
          <w:szCs w:val="22"/>
        </w:rPr>
        <w:t>Realizácia lesníckych postupov zlučiteľných s ochranou a zlepšením životného prostredia, ktoré sú  nad rámec príslušných povinných noriem pre zlepšenia biodiverzity lesov, zachovania lesných ekosystémov s vysokou prírodnou hodnotou a ochranu vybraných ohrozených  druhov vtákov.</w:t>
      </w:r>
    </w:p>
    <w:p w:rsidR="003F0BBD" w:rsidRPr="003F0BBD" w:rsidRDefault="003F0BBD" w:rsidP="003F0BBD">
      <w:pPr>
        <w:autoSpaceDE w:val="0"/>
        <w:autoSpaceDN w:val="0"/>
        <w:adjustRightInd w:val="0"/>
        <w:rPr>
          <w:rFonts w:ascii="Calibri" w:hAnsi="Calibri"/>
          <w:szCs w:val="22"/>
        </w:rPr>
      </w:pPr>
      <w:r w:rsidRPr="003F0BBD">
        <w:rPr>
          <w:rFonts w:ascii="Calibri" w:hAnsi="Calibri"/>
          <w:szCs w:val="22"/>
        </w:rPr>
        <w:t>Predmetom podpory  sú lesné pozemky vedené v evidencii lesnej pôdy (lesnícky GIS) v územiach európskeho významu vo  4. a 3. stupni územnej ochrany a súčasne sa nachádzajúce v stanovených chránených vtáčích územiach.</w:t>
      </w:r>
    </w:p>
    <w:p w:rsidR="003F0BBD" w:rsidRPr="003F0BBD" w:rsidRDefault="003F0BBD" w:rsidP="003F0BBD">
      <w:pPr>
        <w:autoSpaceDE w:val="0"/>
        <w:autoSpaceDN w:val="0"/>
        <w:adjustRightInd w:val="0"/>
        <w:rPr>
          <w:rFonts w:ascii="Calibri" w:hAnsi="Calibri"/>
          <w:szCs w:val="22"/>
          <w:lang w:eastAsia="en-US"/>
        </w:rPr>
      </w:pPr>
      <w:r w:rsidRPr="003F0BBD">
        <w:rPr>
          <w:rFonts w:ascii="Calibri" w:hAnsi="Calibri"/>
          <w:szCs w:val="22"/>
          <w:lang w:eastAsia="en-US"/>
        </w:rPr>
        <w:t>Zoznam oprávnených chránených vtáčích lokalít bude obsiahnutý v nariadení vlády SR pre poskytovanie podpory z programu rozvoja vidieka.</w:t>
      </w:r>
    </w:p>
    <w:p w:rsidR="003F0BBD" w:rsidRPr="003F0BBD" w:rsidRDefault="003F0BBD" w:rsidP="003F0BBD">
      <w:pPr>
        <w:autoSpaceDE w:val="0"/>
        <w:autoSpaceDN w:val="0"/>
        <w:adjustRightInd w:val="0"/>
        <w:rPr>
          <w:rFonts w:ascii="Calibri" w:hAnsi="Calibri"/>
          <w:color w:val="FF0000"/>
          <w:szCs w:val="22"/>
        </w:rPr>
      </w:pPr>
    </w:p>
    <w:p w:rsidR="003F0BBD" w:rsidRPr="003F0BBD" w:rsidRDefault="003F0BBD" w:rsidP="003F0BBD">
      <w:pPr>
        <w:rPr>
          <w:rFonts w:ascii="Calibri" w:hAnsi="Calibri" w:cs="Calibri"/>
          <w:szCs w:val="22"/>
          <w:u w:val="single"/>
          <w:lang w:eastAsia="en-GB"/>
        </w:rPr>
      </w:pPr>
      <w:r w:rsidRPr="003F0BBD">
        <w:rPr>
          <w:rFonts w:ascii="Calibri" w:hAnsi="Calibri" w:cs="Calibri"/>
          <w:szCs w:val="22"/>
          <w:u w:val="single"/>
          <w:lang w:eastAsia="en-US"/>
        </w:rPr>
        <w:t xml:space="preserve"> </w:t>
      </w:r>
      <w:r w:rsidRPr="003F0BBD">
        <w:rPr>
          <w:rFonts w:ascii="Calibri" w:hAnsi="Calibri" w:cs="Calibri"/>
          <w:szCs w:val="22"/>
          <w:u w:val="single"/>
          <w:lang w:eastAsia="en-GB"/>
        </w:rPr>
        <w:t>Typ podpory:</w:t>
      </w:r>
    </w:p>
    <w:p w:rsidR="003F0BBD" w:rsidRPr="003F0BBD" w:rsidRDefault="003F0BBD" w:rsidP="003F0BBD">
      <w:pPr>
        <w:rPr>
          <w:rFonts w:ascii="Calibri" w:hAnsi="Calibri"/>
          <w:bCs/>
          <w:szCs w:val="22"/>
          <w:lang w:val="pl-PL" w:eastAsia="en-US"/>
        </w:rPr>
      </w:pPr>
      <w:r w:rsidRPr="003F0BBD">
        <w:rPr>
          <w:rFonts w:ascii="Calibri" w:eastAsia="Calibri" w:hAnsi="Calibri"/>
          <w:szCs w:val="22"/>
          <w:lang w:eastAsia="en-US"/>
        </w:rPr>
        <w:t>Nezisková ročná kompenzačná platba na hektár lesného pozemku pokrytého lesným porastom</w:t>
      </w:r>
      <w:r w:rsidRPr="003F0BBD">
        <w:rPr>
          <w:rFonts w:ascii="Calibri" w:hAnsi="Calibri"/>
          <w:bCs/>
          <w:szCs w:val="22"/>
          <w:lang w:val="pl-PL" w:eastAsia="en-US"/>
        </w:rPr>
        <w:t xml:space="preserve"> nachádzajúceho sa vo 4. alebo v 3. stupni územnej ochrany</w:t>
      </w:r>
    </w:p>
    <w:p w:rsidR="003F0BBD" w:rsidRPr="003F0BBD" w:rsidRDefault="003F0BBD" w:rsidP="003F0BBD">
      <w:pPr>
        <w:rPr>
          <w:rFonts w:ascii="Calibri" w:hAnsi="Calibri" w:cs="Calibri"/>
          <w:szCs w:val="22"/>
          <w:u w:val="single"/>
          <w:lang w:eastAsia="en-GB"/>
        </w:rPr>
      </w:pPr>
    </w:p>
    <w:p w:rsidR="003F0BBD" w:rsidRPr="003F0BBD" w:rsidRDefault="003F0BBD" w:rsidP="003F0BBD">
      <w:pPr>
        <w:rPr>
          <w:rFonts w:ascii="Calibri" w:hAnsi="Calibri" w:cs="Calibri"/>
          <w:szCs w:val="22"/>
          <w:u w:val="single"/>
          <w:lang w:eastAsia="en-US"/>
        </w:rPr>
      </w:pPr>
      <w:r w:rsidRPr="003F0BBD">
        <w:rPr>
          <w:rFonts w:ascii="Calibri" w:hAnsi="Calibri" w:cs="Calibri"/>
          <w:szCs w:val="22"/>
          <w:u w:val="single"/>
          <w:lang w:eastAsia="en-US"/>
        </w:rPr>
        <w:t>Súvislosť s inou legislatívou:</w:t>
      </w:r>
    </w:p>
    <w:p w:rsidR="003F0BBD" w:rsidRPr="003F0BBD" w:rsidRDefault="003F0BBD" w:rsidP="003F0BBD">
      <w:pPr>
        <w:numPr>
          <w:ilvl w:val="0"/>
          <w:numId w:val="86"/>
        </w:numPr>
        <w:ind w:left="714" w:hanging="357"/>
        <w:jc w:val="left"/>
        <w:rPr>
          <w:rFonts w:ascii="Calibri" w:eastAsia="Calibri" w:hAnsi="Calibri"/>
          <w:szCs w:val="22"/>
          <w:lang w:eastAsia="en-GB"/>
        </w:rPr>
      </w:pPr>
      <w:r w:rsidRPr="003F0BBD">
        <w:rPr>
          <w:rFonts w:ascii="Calibri" w:eastAsia="Calibri" w:hAnsi="Calibri"/>
          <w:szCs w:val="22"/>
          <w:lang w:eastAsia="en-US"/>
        </w:rPr>
        <w:t>zákon č. 326/2005 Z. z. o lesoch v znení neskorších predpisov</w:t>
      </w:r>
    </w:p>
    <w:p w:rsidR="003F0BBD" w:rsidRPr="003F0BBD" w:rsidRDefault="003F0BBD" w:rsidP="003F0BBD">
      <w:pPr>
        <w:numPr>
          <w:ilvl w:val="0"/>
          <w:numId w:val="86"/>
        </w:numPr>
        <w:ind w:left="714" w:hanging="357"/>
        <w:jc w:val="left"/>
        <w:rPr>
          <w:rFonts w:ascii="Calibri" w:eastAsia="Calibri" w:hAnsi="Calibri"/>
          <w:szCs w:val="22"/>
          <w:lang w:eastAsia="en-GB"/>
        </w:rPr>
      </w:pPr>
      <w:r w:rsidRPr="003F0BBD">
        <w:rPr>
          <w:rFonts w:ascii="Calibri" w:hAnsi="Calibri"/>
          <w:szCs w:val="22"/>
        </w:rPr>
        <w:t>zákon č. 543/2002 Z.  z. o ochrane prírody a krajiny v znení neskorších predpisov</w:t>
      </w:r>
    </w:p>
    <w:p w:rsidR="003F0BBD" w:rsidRPr="003F0BBD" w:rsidRDefault="003F0BBD" w:rsidP="003F0BBD">
      <w:pPr>
        <w:rPr>
          <w:rFonts w:ascii="Calibri" w:hAnsi="Calibri" w:cs="Calibri"/>
          <w:szCs w:val="22"/>
          <w:u w:val="single"/>
          <w:lang w:eastAsia="en-US"/>
        </w:rPr>
      </w:pPr>
    </w:p>
    <w:p w:rsidR="003F0BBD" w:rsidRPr="003F0BBD" w:rsidRDefault="003F0BBD" w:rsidP="003F0BBD">
      <w:pPr>
        <w:rPr>
          <w:rFonts w:ascii="Calibri" w:hAnsi="Calibri" w:cs="Calibri"/>
          <w:szCs w:val="22"/>
          <w:u w:val="single"/>
          <w:lang w:eastAsia="en-GB"/>
        </w:rPr>
      </w:pPr>
      <w:r w:rsidRPr="003F0BBD">
        <w:rPr>
          <w:rFonts w:ascii="Calibri" w:hAnsi="Calibri" w:cs="Calibri"/>
          <w:szCs w:val="22"/>
          <w:u w:val="single"/>
          <w:lang w:eastAsia="en-GB"/>
        </w:rPr>
        <w:t>Prijímatelia podpory:</w:t>
      </w:r>
    </w:p>
    <w:p w:rsidR="003F0BBD" w:rsidRPr="003F0BBD" w:rsidRDefault="003F0BBD" w:rsidP="003F0BBD">
      <w:pPr>
        <w:rPr>
          <w:rFonts w:ascii="Calibri" w:hAnsi="Calibri"/>
          <w:szCs w:val="22"/>
          <w:lang w:eastAsia="en-US"/>
        </w:rPr>
      </w:pPr>
      <w:r w:rsidRPr="003F0BBD">
        <w:rPr>
          <w:rFonts w:ascii="Calibri" w:hAnsi="Calibri"/>
          <w:szCs w:val="22"/>
          <w:lang w:eastAsia="en-US"/>
        </w:rPr>
        <w:t>Súkromní  a verejní správcovia  lesa alebo združenie súkromných  a verejných  správcov  lesa s právnou subjektivitou.</w:t>
      </w:r>
    </w:p>
    <w:p w:rsidR="003F0BBD" w:rsidRPr="003F0BBD" w:rsidRDefault="003F0BBD" w:rsidP="003F0BBD">
      <w:pPr>
        <w:jc w:val="left"/>
        <w:rPr>
          <w:rFonts w:ascii="Calibri" w:hAnsi="Calibri"/>
          <w:szCs w:val="22"/>
          <w:lang w:eastAsia="en-US"/>
        </w:rPr>
      </w:pPr>
    </w:p>
    <w:p w:rsidR="003F0BBD" w:rsidRPr="003F0BBD" w:rsidRDefault="003F0BBD" w:rsidP="003F0BBD">
      <w:pPr>
        <w:rPr>
          <w:rFonts w:ascii="Calibri" w:eastAsia="Calibri" w:hAnsi="Calibri"/>
          <w:i/>
          <w:iCs/>
          <w:szCs w:val="22"/>
          <w:u w:val="single"/>
          <w:lang w:eastAsia="en-US"/>
        </w:rPr>
      </w:pPr>
      <w:r w:rsidRPr="003F0BBD">
        <w:rPr>
          <w:rFonts w:ascii="Calibri" w:eastAsia="Calibri" w:hAnsi="Calibri"/>
          <w:szCs w:val="22"/>
          <w:u w:val="single"/>
          <w:lang w:eastAsia="en-GB"/>
        </w:rPr>
        <w:t>Oprávnené náklady:</w:t>
      </w:r>
    </w:p>
    <w:p w:rsidR="003F0BBD" w:rsidRPr="003F0BBD" w:rsidRDefault="003F0BBD" w:rsidP="003F0BBD">
      <w:pPr>
        <w:rPr>
          <w:rFonts w:ascii="Calibri" w:hAnsi="Calibri"/>
          <w:szCs w:val="22"/>
          <w:lang w:eastAsia="en-GB"/>
        </w:rPr>
      </w:pPr>
      <w:r w:rsidRPr="003F0BBD">
        <w:rPr>
          <w:rFonts w:ascii="Calibri" w:hAnsi="Calibri"/>
          <w:szCs w:val="22"/>
          <w:lang w:eastAsia="en-GB"/>
        </w:rPr>
        <w:t xml:space="preserve">Platba kompenzuje  stratu príjmu  na drevnej hmote ponechanej na dožitie alebo ako mŕtve drevo a dodatočné náklady vyplývajúce zo stanovených aplikačných podmienok v  dôsledku prijatia záväzku. </w:t>
      </w:r>
    </w:p>
    <w:p w:rsidR="003F0BBD" w:rsidRPr="003F0BBD" w:rsidRDefault="003F0BBD" w:rsidP="003F0BBD">
      <w:pPr>
        <w:rPr>
          <w:rFonts w:ascii="Calibri" w:hAnsi="Calibri" w:cs="Calibri"/>
          <w:szCs w:val="22"/>
          <w:u w:val="single"/>
          <w:lang w:eastAsia="en-GB"/>
        </w:rPr>
      </w:pPr>
    </w:p>
    <w:p w:rsidR="003F0BBD" w:rsidRPr="003F0BBD" w:rsidRDefault="003F0BBD" w:rsidP="003F0BBD">
      <w:pPr>
        <w:rPr>
          <w:rFonts w:ascii="Calibri" w:hAnsi="Calibri" w:cs="Calibri"/>
          <w:szCs w:val="22"/>
          <w:u w:val="single"/>
          <w:lang w:eastAsia="en-GB"/>
        </w:rPr>
      </w:pPr>
      <w:r w:rsidRPr="003F0BBD">
        <w:rPr>
          <w:rFonts w:ascii="Calibri" w:hAnsi="Calibri" w:cs="Calibri"/>
          <w:szCs w:val="22"/>
          <w:u w:val="single"/>
          <w:lang w:eastAsia="en-GB"/>
        </w:rPr>
        <w:t>Podmienky oprávnenosti:</w:t>
      </w:r>
    </w:p>
    <w:p w:rsidR="003F0BBD" w:rsidRPr="003F0BBD" w:rsidRDefault="003F0BBD" w:rsidP="00CE203B">
      <w:pPr>
        <w:numPr>
          <w:ilvl w:val="0"/>
          <w:numId w:val="370"/>
        </w:numPr>
        <w:contextualSpacing/>
        <w:jc w:val="left"/>
        <w:rPr>
          <w:rFonts w:ascii="Calibri" w:eastAsia="Calibri" w:hAnsi="Calibri"/>
          <w:szCs w:val="22"/>
          <w:lang w:eastAsia="en-US"/>
        </w:rPr>
      </w:pPr>
      <w:r w:rsidRPr="003F0BBD">
        <w:rPr>
          <w:rFonts w:ascii="Calibri" w:eastAsia="Calibri" w:hAnsi="Calibri"/>
          <w:szCs w:val="22"/>
          <w:lang w:eastAsia="en-US"/>
        </w:rPr>
        <w:t>vstúpiť do opatrenia minimálne s 1 ha lesného porastu vo 4 . a/ alebo v 3.stupni ochrany</w:t>
      </w:r>
    </w:p>
    <w:p w:rsidR="003F0BBD" w:rsidRPr="003F0BBD" w:rsidRDefault="003F0BBD" w:rsidP="00CE203B">
      <w:pPr>
        <w:numPr>
          <w:ilvl w:val="0"/>
          <w:numId w:val="370"/>
        </w:numPr>
        <w:jc w:val="left"/>
        <w:rPr>
          <w:rFonts w:ascii="Calibri" w:hAnsi="Calibri" w:cs="Calibri"/>
          <w:szCs w:val="22"/>
          <w:lang w:eastAsia="en-US"/>
        </w:rPr>
      </w:pPr>
      <w:r w:rsidRPr="003F0BBD">
        <w:rPr>
          <w:rFonts w:ascii="Calibri" w:hAnsi="Calibri" w:cs="Calibri"/>
          <w:szCs w:val="22"/>
          <w:lang w:eastAsia="en-US"/>
        </w:rPr>
        <w:t>mať  schválený Program starostlivosti o lesy (</w:t>
      </w:r>
      <w:r w:rsidRPr="003F0BBD">
        <w:rPr>
          <w:rFonts w:ascii="Calibri" w:hAnsi="Calibri" w:cs="ITCBookmanEE"/>
          <w:color w:val="231F20"/>
          <w:szCs w:val="22"/>
        </w:rPr>
        <w:t>lesný hospodársky plán)</w:t>
      </w:r>
    </w:p>
    <w:p w:rsidR="003F0BBD" w:rsidRPr="003F0BBD" w:rsidRDefault="003F0BBD" w:rsidP="003F0BBD">
      <w:pPr>
        <w:ind w:left="360"/>
        <w:rPr>
          <w:rFonts w:ascii="Calibri" w:hAnsi="Calibri" w:cs="Calibri"/>
          <w:szCs w:val="22"/>
          <w:u w:val="single"/>
          <w:lang w:eastAsia="en-US"/>
        </w:rPr>
      </w:pPr>
    </w:p>
    <w:p w:rsidR="003F0BBD" w:rsidRPr="003F0BBD" w:rsidRDefault="003F0BBD" w:rsidP="003F0BBD">
      <w:pPr>
        <w:rPr>
          <w:rFonts w:ascii="Calibri" w:hAnsi="Calibri" w:cs="Calibri"/>
          <w:szCs w:val="22"/>
          <w:u w:val="single"/>
          <w:lang w:eastAsia="en-US"/>
        </w:rPr>
      </w:pPr>
      <w:r w:rsidRPr="003F0BBD">
        <w:rPr>
          <w:rFonts w:ascii="Calibri" w:hAnsi="Calibri" w:cs="Calibri"/>
          <w:szCs w:val="22"/>
          <w:u w:val="single"/>
          <w:lang w:eastAsia="en-US"/>
        </w:rPr>
        <w:t>Podmienky podpory:</w:t>
      </w:r>
    </w:p>
    <w:p w:rsidR="003F0BBD" w:rsidRPr="003F0BBD" w:rsidRDefault="003F0BBD" w:rsidP="00CE203B">
      <w:pPr>
        <w:numPr>
          <w:ilvl w:val="0"/>
          <w:numId w:val="398"/>
        </w:numPr>
        <w:jc w:val="left"/>
        <w:rPr>
          <w:rFonts w:ascii="Calibri" w:hAnsi="Calibri" w:cs="Calibri"/>
          <w:szCs w:val="22"/>
          <w:u w:val="single"/>
          <w:lang w:eastAsia="en-US"/>
        </w:rPr>
      </w:pPr>
      <w:r w:rsidRPr="003F0BBD">
        <w:rPr>
          <w:rFonts w:ascii="Calibri" w:hAnsi="Calibri" w:cs="Calibri"/>
          <w:szCs w:val="22"/>
          <w:lang w:eastAsia="en-US"/>
        </w:rPr>
        <w:t>pri obnovnej ťažbe lesných porastov vo fáze dorubu, ponechať minimálne 5 ks živých stojacich stromov na 1 ha, s priemernou hrúbkou kmeňa hlavnej úrovne predmetného JPRL. Pri porastoch so 100% zastúpením smreka táto podmienka neplatí,</w:t>
      </w:r>
    </w:p>
    <w:p w:rsidR="003F0BBD" w:rsidRPr="003F0BBD" w:rsidRDefault="003F0BBD" w:rsidP="00CE203B">
      <w:pPr>
        <w:numPr>
          <w:ilvl w:val="0"/>
          <w:numId w:val="398"/>
        </w:numPr>
        <w:spacing w:after="200" w:line="276" w:lineRule="auto"/>
        <w:jc w:val="left"/>
        <w:rPr>
          <w:rFonts w:ascii="Calibri" w:hAnsi="Calibri" w:cs="Calibri"/>
          <w:szCs w:val="22"/>
          <w:u w:val="single"/>
          <w:lang w:eastAsia="en-US"/>
        </w:rPr>
      </w:pPr>
      <w:r w:rsidRPr="003F0BBD">
        <w:rPr>
          <w:rFonts w:ascii="Calibri" w:hAnsi="Calibri" w:cs="Calibri"/>
          <w:szCs w:val="22"/>
          <w:lang w:eastAsia="en-US"/>
        </w:rPr>
        <w:t>pri obnove lesných porastov uplatňovať výlučne výberkový alebo účelový hospodársky spôsob, alebo výlučne maloplošnú formu podrastového hospodárskeho spôsobu s výmerou obnovného prvku maximálne do 1,5 ha , so zameraním na zvýšenie odolnosti lesného porastu (obnova v zmysle prírode blízkeho hospodárenia),</w:t>
      </w:r>
    </w:p>
    <w:p w:rsidR="003F0BBD" w:rsidRPr="003F0BBD" w:rsidRDefault="003F0BBD" w:rsidP="00CE203B">
      <w:pPr>
        <w:numPr>
          <w:ilvl w:val="0"/>
          <w:numId w:val="398"/>
        </w:numPr>
        <w:jc w:val="left"/>
        <w:rPr>
          <w:rFonts w:ascii="Calibri" w:hAnsi="Calibri" w:cs="Calibri"/>
          <w:szCs w:val="22"/>
          <w:u w:val="single"/>
          <w:lang w:eastAsia="en-US"/>
        </w:rPr>
      </w:pPr>
      <w:r w:rsidRPr="003F0BBD">
        <w:rPr>
          <w:rFonts w:ascii="Calibri" w:hAnsi="Calibri" w:cs="Calibri"/>
          <w:szCs w:val="22"/>
          <w:lang w:eastAsia="en-US"/>
        </w:rPr>
        <w:t>dosiahnuť pred dorubom prirodzenú obnovu drevín na minimálne 60 % obnovovanej plochy s výnimkou plôch vzniknutých náhodnými škodlivými činiteľmi,</w:t>
      </w:r>
    </w:p>
    <w:p w:rsidR="003F0BBD" w:rsidRPr="003F0BBD" w:rsidRDefault="003F0BBD" w:rsidP="00CE203B">
      <w:pPr>
        <w:numPr>
          <w:ilvl w:val="0"/>
          <w:numId w:val="398"/>
        </w:numPr>
        <w:jc w:val="left"/>
        <w:rPr>
          <w:rFonts w:ascii="Calibri" w:hAnsi="Calibri" w:cs="Calibri"/>
          <w:szCs w:val="22"/>
          <w:u w:val="single"/>
          <w:lang w:eastAsia="en-US"/>
        </w:rPr>
      </w:pPr>
      <w:r w:rsidRPr="003F0BBD">
        <w:rPr>
          <w:rFonts w:ascii="Calibri" w:hAnsi="Calibri" w:cs="Calibri"/>
          <w:szCs w:val="22"/>
          <w:lang w:eastAsia="en-US"/>
        </w:rPr>
        <w:t>ponechať časť pionierskych drevín na dožitie a neodstraňovať ich v rámci výchovných zásahov pokiaľ ich zastúpenie nepresiahne 10 %.,</w:t>
      </w:r>
    </w:p>
    <w:p w:rsidR="003F0BBD" w:rsidRPr="003F0BBD" w:rsidRDefault="003F0BBD" w:rsidP="00CE203B">
      <w:pPr>
        <w:numPr>
          <w:ilvl w:val="0"/>
          <w:numId w:val="398"/>
        </w:numPr>
        <w:jc w:val="left"/>
        <w:rPr>
          <w:rFonts w:ascii="Calibri" w:hAnsi="Calibri" w:cs="Calibri"/>
          <w:szCs w:val="22"/>
          <w:u w:val="single"/>
          <w:lang w:eastAsia="en-US"/>
        </w:rPr>
      </w:pPr>
      <w:r w:rsidRPr="003F0BBD">
        <w:rPr>
          <w:rFonts w:ascii="Calibri" w:hAnsi="Calibri" w:cs="Calibri"/>
          <w:szCs w:val="22"/>
          <w:lang w:eastAsia="en-US"/>
        </w:rPr>
        <w:t>na lesných pozemkoch, ktoré sú predmetom podpory, vylúčiť používanie prípravkov na ochranu rastlín,</w:t>
      </w:r>
    </w:p>
    <w:p w:rsidR="003F0BBD" w:rsidRPr="003F0BBD" w:rsidRDefault="003F0BBD" w:rsidP="00CE203B">
      <w:pPr>
        <w:numPr>
          <w:ilvl w:val="0"/>
          <w:numId w:val="398"/>
        </w:numPr>
        <w:jc w:val="left"/>
        <w:rPr>
          <w:rFonts w:ascii="Calibri" w:hAnsi="Calibri" w:cs="Calibri"/>
          <w:szCs w:val="22"/>
          <w:u w:val="single"/>
          <w:lang w:eastAsia="en-US"/>
        </w:rPr>
      </w:pPr>
      <w:r w:rsidRPr="003F0BBD">
        <w:rPr>
          <w:rFonts w:ascii="Calibri" w:hAnsi="Calibri" w:cs="Calibri"/>
          <w:szCs w:val="22"/>
          <w:lang w:eastAsia="en-US"/>
        </w:rPr>
        <w:t>pri ťažbe používať biologicky odbúrateľný olej na mazanie reťazovej časti ťažbového stroja alebo motorovej píly.</w:t>
      </w:r>
    </w:p>
    <w:p w:rsidR="003F0BBD" w:rsidRPr="003F0BBD" w:rsidRDefault="003F0BBD" w:rsidP="00CE203B">
      <w:pPr>
        <w:numPr>
          <w:ilvl w:val="0"/>
          <w:numId w:val="398"/>
        </w:numPr>
        <w:jc w:val="left"/>
        <w:rPr>
          <w:rFonts w:ascii="Calibri" w:hAnsi="Calibri" w:cs="Calibri"/>
          <w:szCs w:val="22"/>
          <w:u w:val="single"/>
          <w:lang w:eastAsia="en-US"/>
        </w:rPr>
      </w:pPr>
      <w:r w:rsidRPr="003F0BBD">
        <w:rPr>
          <w:rFonts w:ascii="Calibri" w:hAnsi="Calibri" w:cs="Calibri"/>
          <w:szCs w:val="22"/>
          <w:lang w:eastAsia="en-US"/>
        </w:rPr>
        <w:t>pri približovaní dreva využívať sortimentovú metódu.</w:t>
      </w:r>
    </w:p>
    <w:p w:rsidR="003F0BBD" w:rsidRPr="003F0BBD" w:rsidRDefault="003F0BBD" w:rsidP="003F0BBD">
      <w:pPr>
        <w:ind w:left="360"/>
        <w:rPr>
          <w:rFonts w:ascii="Calibri" w:hAnsi="Calibri" w:cs="Calibri"/>
          <w:i/>
          <w:szCs w:val="22"/>
          <w:lang w:eastAsia="en-GB"/>
        </w:rPr>
      </w:pPr>
      <w:r w:rsidRPr="003F0BBD">
        <w:rPr>
          <w:rFonts w:ascii="Calibri" w:hAnsi="Calibri" w:cs="Calibri"/>
          <w:i/>
          <w:szCs w:val="22"/>
          <w:lang w:eastAsia="en-GB"/>
        </w:rPr>
        <w:t>(uvedené aktivity vykoná žiadateľ minimálne raz počas obdobia trvania záväzku)</w:t>
      </w:r>
    </w:p>
    <w:p w:rsidR="003F0BBD" w:rsidRPr="003F0BBD" w:rsidRDefault="003F0BBD" w:rsidP="003F0BBD">
      <w:pPr>
        <w:rPr>
          <w:rFonts w:ascii="Calibri" w:hAnsi="Calibri" w:cs="Calibri"/>
          <w:szCs w:val="22"/>
          <w:u w:val="single"/>
          <w:lang w:eastAsia="en-US"/>
        </w:rPr>
      </w:pPr>
    </w:p>
    <w:p w:rsidR="003F0BBD" w:rsidRPr="003F0BBD" w:rsidRDefault="003F0BBD" w:rsidP="003F0BBD">
      <w:pPr>
        <w:rPr>
          <w:rFonts w:ascii="Calibri" w:eastAsia="Calibri" w:hAnsi="Calibri"/>
          <w:szCs w:val="22"/>
          <w:u w:val="single"/>
          <w:lang w:eastAsia="en-GB"/>
        </w:rPr>
      </w:pPr>
      <w:r w:rsidRPr="003F0BBD">
        <w:rPr>
          <w:rFonts w:ascii="Calibri" w:eastAsia="Calibri" w:hAnsi="Calibri"/>
          <w:szCs w:val="22"/>
          <w:u w:val="single"/>
          <w:lang w:eastAsia="en-GB"/>
        </w:rPr>
        <w:t>Princípy nastavenia výberových kritérií:</w:t>
      </w:r>
    </w:p>
    <w:p w:rsidR="003F0BBD" w:rsidRPr="003F0BBD" w:rsidRDefault="003F0BBD" w:rsidP="003F0BBD">
      <w:pPr>
        <w:jc w:val="left"/>
        <w:rPr>
          <w:rFonts w:ascii="Calibri" w:eastAsia="Calibri" w:hAnsi="Calibri" w:cs="Calibri"/>
          <w:szCs w:val="22"/>
          <w:lang w:eastAsia="en-US"/>
        </w:rPr>
      </w:pPr>
      <w:r w:rsidRPr="003F0BBD">
        <w:rPr>
          <w:rFonts w:ascii="Calibri" w:eastAsia="Calibri" w:hAnsi="Calibri" w:cs="Calibri"/>
          <w:szCs w:val="22"/>
          <w:lang w:eastAsia="en-US"/>
        </w:rPr>
        <w:t>1.</w:t>
      </w:r>
      <w:r w:rsidRPr="003F0BBD">
        <w:rPr>
          <w:rFonts w:ascii="Calibri" w:eastAsia="Calibri" w:hAnsi="Calibri" w:cs="Calibri"/>
          <w:szCs w:val="22"/>
          <w:lang w:eastAsia="en-US"/>
        </w:rPr>
        <w:tab/>
        <w:t>plocha lesného pozemku v 4. stupni  územnej ochrany v zostupnej tendencii;</w:t>
      </w:r>
    </w:p>
    <w:p w:rsidR="003F0BBD" w:rsidRPr="003F0BBD" w:rsidRDefault="003F0BBD" w:rsidP="003F0BBD">
      <w:pPr>
        <w:jc w:val="left"/>
        <w:rPr>
          <w:rFonts w:ascii="Calibri" w:eastAsia="Calibri" w:hAnsi="Calibri" w:cs="Calibri"/>
          <w:szCs w:val="22"/>
          <w:lang w:eastAsia="en-US"/>
        </w:rPr>
      </w:pPr>
      <w:r w:rsidRPr="003F0BBD">
        <w:rPr>
          <w:rFonts w:ascii="Calibri" w:eastAsia="Calibri" w:hAnsi="Calibri" w:cs="Calibri"/>
          <w:szCs w:val="22"/>
          <w:lang w:eastAsia="en-US"/>
        </w:rPr>
        <w:t>2.</w:t>
      </w:r>
      <w:r w:rsidRPr="003F0BBD">
        <w:rPr>
          <w:rFonts w:ascii="Calibri" w:eastAsia="Calibri" w:hAnsi="Calibri" w:cs="Calibri"/>
          <w:szCs w:val="22"/>
          <w:lang w:eastAsia="en-US"/>
        </w:rPr>
        <w:tab/>
        <w:t>plocha lesného pozemku v 3. stupni  územnej ochrany v zostupnej tendencii;</w:t>
      </w:r>
    </w:p>
    <w:p w:rsidR="003F0BBD" w:rsidRPr="003F0BBD" w:rsidRDefault="003F0BBD" w:rsidP="003F0BBD">
      <w:pPr>
        <w:rPr>
          <w:rFonts w:ascii="Calibri" w:hAnsi="Calibri" w:cs="Calibri"/>
          <w:szCs w:val="22"/>
          <w:u w:val="single"/>
          <w:lang w:eastAsia="en-US"/>
        </w:rPr>
      </w:pPr>
    </w:p>
    <w:p w:rsidR="003F0BBD" w:rsidRPr="003F0BBD" w:rsidRDefault="003F0BBD" w:rsidP="003F0BBD">
      <w:pPr>
        <w:rPr>
          <w:rFonts w:ascii="Calibri" w:hAnsi="Calibri" w:cs="Calibri"/>
          <w:szCs w:val="22"/>
          <w:u w:val="single"/>
          <w:lang w:eastAsia="en-GB"/>
        </w:rPr>
      </w:pPr>
      <w:r w:rsidRPr="003F0BBD">
        <w:rPr>
          <w:rFonts w:ascii="Calibri" w:hAnsi="Calibri" w:cs="Calibri"/>
          <w:szCs w:val="22"/>
          <w:u w:val="single"/>
          <w:lang w:eastAsia="en-GB"/>
        </w:rPr>
        <w:t xml:space="preserve">Výška a miera podpory: </w:t>
      </w:r>
    </w:p>
    <w:p w:rsidR="003F0BBD" w:rsidRPr="003F0BBD" w:rsidRDefault="003F0BBD" w:rsidP="003F0BBD">
      <w:pPr>
        <w:rPr>
          <w:rFonts w:ascii="Calibri" w:hAnsi="Calibri" w:cs="Calibri"/>
          <w:szCs w:val="22"/>
          <w:lang w:eastAsia="en-US"/>
        </w:rPr>
      </w:pPr>
      <w:r w:rsidRPr="003F0BBD">
        <w:rPr>
          <w:rFonts w:ascii="Calibri" w:hAnsi="Calibri" w:cs="Calibri"/>
          <w:szCs w:val="22"/>
          <w:lang w:eastAsia="en-US"/>
        </w:rPr>
        <w:t>Výška podpory: 39 €/ha lesného porastu.</w:t>
      </w:r>
    </w:p>
    <w:p w:rsidR="003F0BBD" w:rsidRPr="003F0BBD" w:rsidRDefault="003F0BBD" w:rsidP="003F0BBD">
      <w:pPr>
        <w:rPr>
          <w:rFonts w:ascii="Calibri" w:hAnsi="Calibri" w:cs="Calibri"/>
          <w:szCs w:val="22"/>
          <w:u w:val="single"/>
          <w:lang w:eastAsia="en-US"/>
        </w:rPr>
      </w:pPr>
    </w:p>
    <w:p w:rsidR="003F0BBD" w:rsidRPr="003F0BBD" w:rsidRDefault="003F0BBD" w:rsidP="003F0BBD">
      <w:pPr>
        <w:keepNext/>
        <w:outlineLvl w:val="4"/>
        <w:rPr>
          <w:rFonts w:ascii="Calibri" w:hAnsi="Calibri" w:cs="Calibri"/>
          <w:color w:val="1F497D"/>
          <w:szCs w:val="22"/>
          <w:u w:val="single"/>
          <w:lang w:eastAsia="en-US"/>
        </w:rPr>
      </w:pPr>
    </w:p>
    <w:p w:rsidR="003F0BBD" w:rsidRPr="003F0BBD" w:rsidRDefault="003F0BBD" w:rsidP="003F0BBD">
      <w:pPr>
        <w:shd w:val="clear" w:color="auto" w:fill="EAF1DD"/>
        <w:ind w:left="3402" w:hanging="3402"/>
        <w:jc w:val="left"/>
        <w:rPr>
          <w:rFonts w:ascii="Calibri" w:hAnsi="Calibri" w:cs="Calibri"/>
          <w:b/>
          <w:bCs/>
          <w:i/>
          <w:iCs/>
          <w:sz w:val="24"/>
          <w:lang w:eastAsia="en-US"/>
        </w:rPr>
      </w:pPr>
      <w:r w:rsidRPr="003F0BBD">
        <w:rPr>
          <w:rFonts w:ascii="Calibri" w:hAnsi="Calibri" w:cs="Calibri"/>
          <w:sz w:val="24"/>
          <w:lang w:eastAsia="en-US"/>
        </w:rPr>
        <w:t xml:space="preserve">Podopatrenie:  15.2:  </w:t>
      </w:r>
      <w:r w:rsidRPr="003F0BBD">
        <w:rPr>
          <w:rFonts w:ascii="Calibri" w:hAnsi="Calibri" w:cs="Calibri"/>
          <w:b/>
          <w:bCs/>
          <w:i/>
          <w:iCs/>
          <w:sz w:val="24"/>
          <w:lang w:eastAsia="en-US"/>
        </w:rPr>
        <w:t>Podpora na účely ochrany a podpory  lesných genetických zdrojov</w:t>
      </w:r>
    </w:p>
    <w:p w:rsidR="003F0BBD" w:rsidRPr="003F0BBD" w:rsidRDefault="003F0BBD" w:rsidP="003F0BBD">
      <w:pPr>
        <w:rPr>
          <w:rFonts w:ascii="Calibri" w:hAnsi="Calibri" w:cs="Calibri"/>
          <w:szCs w:val="22"/>
          <w:lang w:eastAsia="en-GB"/>
        </w:rPr>
      </w:pPr>
    </w:p>
    <w:p w:rsidR="003F0BBD" w:rsidRPr="003F0BBD" w:rsidRDefault="003F0BBD" w:rsidP="003F0BBD">
      <w:pPr>
        <w:rPr>
          <w:rFonts w:ascii="Calibri" w:hAnsi="Calibri" w:cs="Calibri"/>
          <w:szCs w:val="22"/>
          <w:u w:val="single"/>
          <w:lang w:eastAsia="en-GB"/>
        </w:rPr>
      </w:pPr>
      <w:r w:rsidRPr="003F0BBD">
        <w:rPr>
          <w:rFonts w:ascii="Calibri" w:hAnsi="Calibri" w:cs="Calibri"/>
          <w:szCs w:val="22"/>
          <w:u w:val="single"/>
          <w:lang w:eastAsia="en-GB"/>
        </w:rPr>
        <w:t>Opis operácie:</w:t>
      </w:r>
    </w:p>
    <w:p w:rsidR="003F0BBD" w:rsidRPr="003F0BBD" w:rsidRDefault="003F0BBD" w:rsidP="003F0BBD">
      <w:pPr>
        <w:autoSpaceDE w:val="0"/>
        <w:autoSpaceDN w:val="0"/>
        <w:adjustRightInd w:val="0"/>
        <w:jc w:val="left"/>
        <w:rPr>
          <w:rFonts w:ascii="Calibri" w:hAnsi="Calibri" w:cs="Arial"/>
          <w:szCs w:val="22"/>
          <w:lang w:eastAsia="cs-CZ"/>
        </w:rPr>
      </w:pPr>
      <w:r w:rsidRPr="003F0BBD">
        <w:rPr>
          <w:rFonts w:ascii="Calibri" w:hAnsi="Calibri" w:cs="ITCBookmanEE"/>
          <w:szCs w:val="22"/>
        </w:rPr>
        <w:t>Génovou základňou je územne ucelená časť lesov s osobitným režimom hospodárenia.</w:t>
      </w:r>
    </w:p>
    <w:p w:rsidR="003F0BBD" w:rsidRPr="003F0BBD" w:rsidRDefault="003F0BBD" w:rsidP="003F0BBD">
      <w:pPr>
        <w:rPr>
          <w:rFonts w:ascii="Calibri" w:hAnsi="Calibri" w:cs="Arial"/>
          <w:szCs w:val="22"/>
          <w:lang w:eastAsia="cs-CZ"/>
        </w:rPr>
      </w:pPr>
      <w:r w:rsidRPr="003F0BBD">
        <w:rPr>
          <w:rFonts w:ascii="Calibri" w:hAnsi="Calibri" w:cs="Arial"/>
          <w:szCs w:val="22"/>
          <w:lang w:eastAsia="cs-CZ"/>
        </w:rPr>
        <w:t xml:space="preserve">Génové základne sa zriaďujú na dlhodobé uchovanie pôvodného (autochtónneho) genofondu lesných drevín </w:t>
      </w:r>
      <w:r w:rsidRPr="003F0BBD">
        <w:rPr>
          <w:rFonts w:ascii="Calibri" w:hAnsi="Calibri" w:cs="Arial"/>
          <w:i/>
          <w:szCs w:val="22"/>
          <w:lang w:eastAsia="cs-CZ"/>
        </w:rPr>
        <w:t>in situ</w:t>
      </w:r>
      <w:r w:rsidRPr="003F0BBD">
        <w:rPr>
          <w:rFonts w:ascii="Calibri" w:hAnsi="Calibri" w:cs="Arial"/>
          <w:szCs w:val="22"/>
          <w:lang w:eastAsia="cs-CZ"/>
        </w:rPr>
        <w:t xml:space="preserve">. Podmienkou je vypracovanie projektu dokumentujúceho aktuálny stav a určujúceho dlhodobý cieľ hospodárenia, ktorý posúdi orgán štátnej odbornej kontroly v oblasti produkcie lesného reprodukčného materiálu a jeho uvádzaní na trh. V génových základniach ochrana a podpora reprodukcie genofondu využíva v maximálnej miere prírode blízke metódy a prirodzenú obnovu. Pestovné a výchovné zásahy sa vykonávajú s cieľom maximálnej podpory prirodzeného zmladenia cieľových skupín. </w:t>
      </w:r>
    </w:p>
    <w:p w:rsidR="003F0BBD" w:rsidRPr="003F0BBD" w:rsidRDefault="003F0BBD" w:rsidP="003F0BBD">
      <w:pPr>
        <w:autoSpaceDE w:val="0"/>
        <w:autoSpaceDN w:val="0"/>
        <w:adjustRightInd w:val="0"/>
        <w:jc w:val="left"/>
        <w:rPr>
          <w:rFonts w:ascii="Calibri" w:hAnsi="Calibri" w:cs="Calibri"/>
          <w:szCs w:val="22"/>
          <w:lang w:eastAsia="en-GB"/>
        </w:rPr>
      </w:pPr>
      <w:r w:rsidRPr="003F0BBD">
        <w:rPr>
          <w:rFonts w:ascii="Calibri" w:hAnsi="Calibri" w:cs="Calibri"/>
          <w:szCs w:val="22"/>
          <w:lang w:eastAsia="en-GB"/>
        </w:rPr>
        <w:t>Navrhované opatrenie je v súlade s </w:t>
      </w:r>
      <w:r w:rsidRPr="003F0BBD">
        <w:rPr>
          <w:rFonts w:ascii="Calibri" w:hAnsi="Calibri"/>
          <w:szCs w:val="22"/>
        </w:rPr>
        <w:t xml:space="preserve">Európskym programom obnovy genetických zdrojov (EUFORGEN) pre zvyšovanie plôch nových genetických zdrojov. </w:t>
      </w:r>
    </w:p>
    <w:p w:rsidR="003F0BBD" w:rsidRPr="003F0BBD" w:rsidRDefault="003F0BBD" w:rsidP="003F0BBD">
      <w:pPr>
        <w:rPr>
          <w:rFonts w:ascii="Calibri" w:hAnsi="Calibri" w:cs="Calibri"/>
          <w:szCs w:val="22"/>
          <w:lang w:eastAsia="en-GB"/>
        </w:rPr>
      </w:pPr>
    </w:p>
    <w:p w:rsidR="003F0BBD" w:rsidRPr="003F0BBD" w:rsidRDefault="003F0BBD" w:rsidP="003F0BBD">
      <w:pPr>
        <w:rPr>
          <w:rFonts w:ascii="Calibri" w:hAnsi="Calibri" w:cs="Calibri"/>
          <w:szCs w:val="22"/>
          <w:lang w:eastAsia="en-GB"/>
        </w:rPr>
      </w:pPr>
      <w:r w:rsidRPr="003F0BBD">
        <w:rPr>
          <w:rFonts w:ascii="Calibri" w:hAnsi="Calibri" w:cs="Calibri"/>
          <w:szCs w:val="22"/>
          <w:lang w:eastAsia="en-GB"/>
        </w:rPr>
        <w:t>V roku 2015 uskutoční PPA výberové kolo na výber uchádzačov o podporu v rámci tohto podopatrenia. Pri výbere budú uplatnené stanovené výberové kritériá. Vybratí oprávnení žiadatelia následné  vypracujú projekt na zriadenie novej génovej základne. Opatrenia uvedené v projekte budú následne zapracované  do programu starostlivosti o lesy. Vlastná realizácia podopatrenia začne v roku 2016.</w:t>
      </w:r>
    </w:p>
    <w:p w:rsidR="003F0BBD" w:rsidRPr="003F0BBD" w:rsidRDefault="003F0BBD" w:rsidP="003F0BBD">
      <w:pPr>
        <w:rPr>
          <w:rFonts w:ascii="Calibri" w:hAnsi="Calibri" w:cs="Calibri"/>
          <w:szCs w:val="22"/>
          <w:u w:val="single"/>
          <w:lang w:eastAsia="en-GB"/>
        </w:rPr>
      </w:pPr>
    </w:p>
    <w:p w:rsidR="003F0BBD" w:rsidRPr="003F0BBD" w:rsidRDefault="003F0BBD" w:rsidP="003F0BBD">
      <w:pPr>
        <w:rPr>
          <w:rFonts w:ascii="Calibri" w:hAnsi="Calibri" w:cs="Calibri"/>
          <w:szCs w:val="22"/>
          <w:u w:val="single"/>
          <w:lang w:eastAsia="en-GB"/>
        </w:rPr>
      </w:pPr>
      <w:r w:rsidRPr="003F0BBD">
        <w:rPr>
          <w:rFonts w:ascii="Calibri" w:hAnsi="Calibri" w:cs="Calibri"/>
          <w:szCs w:val="22"/>
          <w:u w:val="single"/>
          <w:lang w:eastAsia="en-GB"/>
        </w:rPr>
        <w:t>Typ podpory:</w:t>
      </w:r>
    </w:p>
    <w:p w:rsidR="003F0BBD" w:rsidRPr="003F0BBD" w:rsidRDefault="003F0BBD" w:rsidP="003F0BBD">
      <w:pPr>
        <w:rPr>
          <w:rFonts w:ascii="Calibri" w:hAnsi="Calibri" w:cs="Calibri"/>
          <w:szCs w:val="22"/>
          <w:lang w:eastAsia="en-GB"/>
        </w:rPr>
      </w:pPr>
      <w:r w:rsidRPr="003F0BBD">
        <w:rPr>
          <w:rFonts w:ascii="Calibri" w:hAnsi="Calibri" w:cs="Calibri"/>
          <w:szCs w:val="22"/>
          <w:lang w:eastAsia="en-US"/>
        </w:rPr>
        <w:t xml:space="preserve">Nezisková ročná kompenzačná platba na hektár </w:t>
      </w:r>
      <w:r w:rsidRPr="003F0BBD">
        <w:rPr>
          <w:rFonts w:ascii="Calibri" w:hAnsi="Calibri" w:cs="MSTT31c609"/>
          <w:szCs w:val="22"/>
        </w:rPr>
        <w:t>zriadenej novej génovej základne.</w:t>
      </w:r>
    </w:p>
    <w:p w:rsidR="003F0BBD" w:rsidRPr="003F0BBD" w:rsidRDefault="003F0BBD" w:rsidP="003F0BBD">
      <w:pPr>
        <w:rPr>
          <w:rFonts w:ascii="Calibri" w:hAnsi="Calibri" w:cs="Calibri"/>
          <w:szCs w:val="22"/>
          <w:u w:val="single"/>
          <w:lang w:eastAsia="en-GB"/>
        </w:rPr>
      </w:pPr>
    </w:p>
    <w:p w:rsidR="003F0BBD" w:rsidRPr="003F0BBD" w:rsidRDefault="003F0BBD" w:rsidP="003F0BBD">
      <w:pPr>
        <w:rPr>
          <w:rFonts w:ascii="Calibri" w:hAnsi="Calibri" w:cs="Calibri"/>
          <w:szCs w:val="22"/>
          <w:u w:val="single"/>
          <w:lang w:eastAsia="en-GB"/>
        </w:rPr>
      </w:pPr>
      <w:r w:rsidRPr="003F0BBD">
        <w:rPr>
          <w:rFonts w:ascii="Calibri" w:hAnsi="Calibri" w:cs="Calibri"/>
          <w:szCs w:val="22"/>
          <w:u w:val="single"/>
          <w:lang w:eastAsia="en-GB"/>
        </w:rPr>
        <w:t>Prijímatelia podpory:</w:t>
      </w:r>
    </w:p>
    <w:p w:rsidR="003F0BBD" w:rsidRPr="003F0BBD" w:rsidRDefault="003F0BBD" w:rsidP="003F0BBD">
      <w:pPr>
        <w:rPr>
          <w:rFonts w:ascii="Calibri" w:hAnsi="Calibri"/>
          <w:szCs w:val="22"/>
          <w:lang w:eastAsia="en-US"/>
        </w:rPr>
      </w:pPr>
      <w:r w:rsidRPr="003F0BBD">
        <w:rPr>
          <w:rFonts w:ascii="Calibri" w:hAnsi="Calibri"/>
          <w:szCs w:val="22"/>
          <w:lang w:eastAsia="en-US"/>
        </w:rPr>
        <w:t>Súkromní  a verejní správcovia  lesa alebo združenie súkromných  a verejných  správcov  lesa s právnou subjektivitou, štátni správcovia lesa.</w:t>
      </w:r>
    </w:p>
    <w:p w:rsidR="003F0BBD" w:rsidRPr="003F0BBD" w:rsidRDefault="003F0BBD" w:rsidP="003F0BBD">
      <w:pPr>
        <w:rPr>
          <w:rFonts w:ascii="Calibri" w:hAnsi="Calibri" w:cs="Calibri"/>
          <w:szCs w:val="22"/>
          <w:u w:val="single"/>
          <w:lang w:eastAsia="en-GB"/>
        </w:rPr>
      </w:pPr>
    </w:p>
    <w:p w:rsidR="003F0BBD" w:rsidRPr="003F0BBD" w:rsidRDefault="003F0BBD" w:rsidP="003F0BBD">
      <w:pPr>
        <w:rPr>
          <w:rFonts w:ascii="Calibri" w:hAnsi="Calibri" w:cs="Calibri"/>
          <w:i/>
          <w:iCs/>
          <w:szCs w:val="22"/>
          <w:u w:val="single"/>
          <w:lang w:eastAsia="en-US"/>
        </w:rPr>
      </w:pPr>
      <w:r w:rsidRPr="003F0BBD">
        <w:rPr>
          <w:rFonts w:ascii="Calibri" w:hAnsi="Calibri" w:cs="Calibri"/>
          <w:szCs w:val="22"/>
          <w:u w:val="single"/>
          <w:lang w:eastAsia="en-GB"/>
        </w:rPr>
        <w:t>Oprávnené náklady:</w:t>
      </w:r>
    </w:p>
    <w:p w:rsidR="003F0BBD" w:rsidRDefault="003F0BBD" w:rsidP="003F0BBD">
      <w:pPr>
        <w:rPr>
          <w:rFonts w:ascii="Calibri" w:eastAsia="Calibri" w:hAnsi="Calibri" w:cs="Calibri"/>
          <w:bCs/>
          <w:szCs w:val="22"/>
          <w:lang w:eastAsia="en-US"/>
        </w:rPr>
      </w:pPr>
      <w:r w:rsidRPr="003F0BBD">
        <w:rPr>
          <w:rFonts w:ascii="Calibri" w:eastAsia="Calibri" w:hAnsi="Calibri" w:cs="Calibri"/>
          <w:bCs/>
          <w:szCs w:val="22"/>
          <w:lang w:eastAsia="en-US"/>
        </w:rPr>
        <w:t xml:space="preserve">Oprávnené náklady  kompenzujú  aktivity na zriadenie novej génovej základne (projekt) a  náklady  vyplývajúce z  realizácie predpísaného programu  starostlivosti  o lesy s  osobitým režimom hospodárenia. </w:t>
      </w:r>
    </w:p>
    <w:p w:rsidR="003F0BBD" w:rsidRPr="003F0BBD" w:rsidRDefault="003F0BBD" w:rsidP="003F0BBD">
      <w:pPr>
        <w:rPr>
          <w:rFonts w:ascii="Calibri" w:eastAsia="Calibri" w:hAnsi="Calibri" w:cs="Calibri"/>
          <w:bCs/>
          <w:szCs w:val="22"/>
          <w:lang w:eastAsia="en-US"/>
        </w:rPr>
      </w:pPr>
    </w:p>
    <w:p w:rsidR="003F0BBD" w:rsidRPr="003F0BBD" w:rsidRDefault="003F0BBD" w:rsidP="003F0BBD">
      <w:pPr>
        <w:rPr>
          <w:rFonts w:ascii="Calibri" w:hAnsi="Calibri" w:cs="Calibri"/>
          <w:szCs w:val="22"/>
          <w:u w:val="single"/>
          <w:lang w:eastAsia="en-US"/>
        </w:rPr>
      </w:pPr>
      <w:r w:rsidRPr="003F0BBD">
        <w:rPr>
          <w:rFonts w:ascii="Calibri" w:hAnsi="Calibri" w:cs="Calibri"/>
          <w:szCs w:val="22"/>
          <w:u w:val="single"/>
          <w:lang w:eastAsia="en-US"/>
        </w:rPr>
        <w:t>Súvislosť s inou legislatívou:</w:t>
      </w:r>
    </w:p>
    <w:p w:rsidR="003F0BBD" w:rsidRPr="003F0BBD" w:rsidRDefault="003F0BBD" w:rsidP="003F0BBD">
      <w:pPr>
        <w:numPr>
          <w:ilvl w:val="0"/>
          <w:numId w:val="86"/>
        </w:numPr>
        <w:ind w:left="714" w:hanging="357"/>
        <w:jc w:val="left"/>
        <w:rPr>
          <w:rFonts w:ascii="Calibri" w:hAnsi="Calibri" w:cs="Calibri"/>
          <w:szCs w:val="22"/>
          <w:lang w:eastAsia="en-GB"/>
        </w:rPr>
      </w:pPr>
      <w:r w:rsidRPr="003F0BBD">
        <w:rPr>
          <w:rFonts w:ascii="Calibri" w:hAnsi="Calibri" w:cs="Calibri"/>
          <w:szCs w:val="22"/>
          <w:lang w:eastAsia="en-US"/>
        </w:rPr>
        <w:t>zákon č. 326/2005 Z. z. o lesoch v znení neskorších predpisov.</w:t>
      </w:r>
    </w:p>
    <w:p w:rsidR="003F0BBD" w:rsidRPr="003F0BBD" w:rsidRDefault="003F0BBD" w:rsidP="003F0BBD">
      <w:pPr>
        <w:numPr>
          <w:ilvl w:val="0"/>
          <w:numId w:val="86"/>
        </w:numPr>
        <w:ind w:left="714" w:hanging="357"/>
        <w:jc w:val="left"/>
        <w:rPr>
          <w:rFonts w:ascii="Calibri" w:hAnsi="Calibri" w:cs="Calibri"/>
          <w:szCs w:val="22"/>
          <w:lang w:eastAsia="en-GB"/>
        </w:rPr>
      </w:pPr>
      <w:r w:rsidRPr="003F0BBD">
        <w:rPr>
          <w:rFonts w:ascii="Calibri" w:hAnsi="Calibri" w:cs="Calibri"/>
          <w:szCs w:val="22"/>
          <w:lang w:eastAsia="en-US"/>
        </w:rPr>
        <w:t>Zákon č. 138/2010 Z.z. o lesnom reprodukčnom materiáli v znení neskorších predpisov .</w:t>
      </w:r>
    </w:p>
    <w:p w:rsidR="003F0BBD" w:rsidRPr="003F0BBD" w:rsidRDefault="003F0BBD" w:rsidP="003F0BBD">
      <w:pPr>
        <w:numPr>
          <w:ilvl w:val="0"/>
          <w:numId w:val="86"/>
        </w:numPr>
        <w:ind w:left="714" w:hanging="357"/>
        <w:jc w:val="left"/>
        <w:rPr>
          <w:rFonts w:ascii="Calibri" w:hAnsi="Calibri" w:cs="Calibri"/>
          <w:szCs w:val="22"/>
          <w:lang w:eastAsia="en-GB"/>
        </w:rPr>
      </w:pPr>
      <w:r w:rsidRPr="003F0BBD">
        <w:rPr>
          <w:rFonts w:ascii="Calibri" w:hAnsi="Calibri" w:cs="Calibri"/>
          <w:szCs w:val="22"/>
          <w:lang w:eastAsia="en-US"/>
        </w:rPr>
        <w:t xml:space="preserve">Vyhláška MPRV SR č. 501/2010 Z.z. </w:t>
      </w:r>
      <w:r w:rsidRPr="003F0BBD">
        <w:rPr>
          <w:rFonts w:ascii="Calibri" w:hAnsi="Calibri" w:cs="ITCBookmanEE-Bold"/>
          <w:bCs/>
          <w:szCs w:val="22"/>
        </w:rPr>
        <w:t>ktorou sa ustanovujú podrobnosti o produkcii lesného</w:t>
      </w:r>
    </w:p>
    <w:p w:rsidR="003F0BBD" w:rsidRPr="003F0BBD" w:rsidRDefault="003F0BBD" w:rsidP="003F0BBD">
      <w:pPr>
        <w:rPr>
          <w:rFonts w:ascii="Calibri" w:hAnsi="Calibri" w:cs="Calibri"/>
          <w:szCs w:val="22"/>
          <w:lang w:eastAsia="en-GB"/>
        </w:rPr>
      </w:pPr>
      <w:r w:rsidRPr="003F0BBD">
        <w:rPr>
          <w:rFonts w:ascii="Calibri" w:hAnsi="Calibri" w:cs="ITCBookmanEE-Bold"/>
          <w:bCs/>
          <w:szCs w:val="22"/>
        </w:rPr>
        <w:t xml:space="preserve">              reprodukčného materiálu a jeho uvádzaní na trh</w:t>
      </w:r>
      <w:r w:rsidRPr="003F0BBD">
        <w:rPr>
          <w:rFonts w:ascii="Calibri" w:hAnsi="Calibri" w:cs="Calibri"/>
          <w:szCs w:val="22"/>
          <w:lang w:eastAsia="en-US"/>
        </w:rPr>
        <w:t xml:space="preserve"> v znení neskorších predpisov</w:t>
      </w:r>
      <w:r w:rsidRPr="003F0BBD">
        <w:rPr>
          <w:rFonts w:ascii="Calibri" w:hAnsi="Calibri" w:cs="ITCBookmanEE-Bold"/>
          <w:bCs/>
          <w:szCs w:val="22"/>
        </w:rPr>
        <w:t xml:space="preserve"> .</w:t>
      </w:r>
    </w:p>
    <w:p w:rsidR="003F0BBD" w:rsidRPr="003F0BBD" w:rsidRDefault="003F0BBD" w:rsidP="003F0BBD">
      <w:pPr>
        <w:rPr>
          <w:rFonts w:ascii="Calibri" w:hAnsi="Calibri" w:cs="Calibri"/>
          <w:szCs w:val="22"/>
          <w:lang w:eastAsia="en-GB"/>
        </w:rPr>
      </w:pPr>
    </w:p>
    <w:p w:rsidR="003F0BBD" w:rsidRPr="003F0BBD" w:rsidRDefault="003F0BBD" w:rsidP="003F0BBD">
      <w:pPr>
        <w:rPr>
          <w:rFonts w:ascii="Calibri" w:hAnsi="Calibri" w:cs="Calibri"/>
          <w:szCs w:val="22"/>
          <w:u w:val="single"/>
          <w:lang w:eastAsia="en-GB"/>
        </w:rPr>
      </w:pPr>
      <w:r w:rsidRPr="003F0BBD">
        <w:rPr>
          <w:rFonts w:ascii="Calibri" w:hAnsi="Calibri" w:cs="Calibri"/>
          <w:szCs w:val="22"/>
          <w:u w:val="single"/>
          <w:lang w:eastAsia="en-GB"/>
        </w:rPr>
        <w:t>Podmienky oprávnenosti:</w:t>
      </w:r>
    </w:p>
    <w:p w:rsidR="003F0BBD" w:rsidRPr="003F0BBD" w:rsidRDefault="003F0BBD" w:rsidP="00CE203B">
      <w:pPr>
        <w:numPr>
          <w:ilvl w:val="0"/>
          <w:numId w:val="399"/>
        </w:numPr>
        <w:autoSpaceDE w:val="0"/>
        <w:autoSpaceDN w:val="0"/>
        <w:adjustRightInd w:val="0"/>
        <w:jc w:val="left"/>
        <w:rPr>
          <w:rFonts w:ascii="Calibri" w:hAnsi="Calibri" w:cs="ITCBookmanEE"/>
          <w:szCs w:val="22"/>
        </w:rPr>
      </w:pPr>
      <w:r w:rsidRPr="003F0BBD">
        <w:rPr>
          <w:rFonts w:ascii="Calibri" w:hAnsi="Calibri" w:cs="ITCBookmanEE"/>
          <w:szCs w:val="22"/>
        </w:rPr>
        <w:t xml:space="preserve">mať uznaný projekt na zradenie novej  génovej základne, </w:t>
      </w:r>
    </w:p>
    <w:p w:rsidR="003F0BBD" w:rsidRPr="003F0BBD" w:rsidRDefault="003F0BBD" w:rsidP="003F0BBD">
      <w:pPr>
        <w:autoSpaceDE w:val="0"/>
        <w:autoSpaceDN w:val="0"/>
        <w:adjustRightInd w:val="0"/>
        <w:ind w:left="360"/>
        <w:jc w:val="left"/>
        <w:rPr>
          <w:rFonts w:ascii="Calibri" w:hAnsi="Calibri" w:cs="ITCBookmanEE"/>
          <w:szCs w:val="22"/>
        </w:rPr>
      </w:pPr>
      <w:r w:rsidRPr="003F0BBD">
        <w:rPr>
          <w:rFonts w:ascii="Calibri" w:hAnsi="Calibri" w:cs="ITCBookmanEE"/>
          <w:szCs w:val="22"/>
        </w:rPr>
        <w:t xml:space="preserve">(projekt obhospodarovania génovej základne obsahuje: </w:t>
      </w:r>
    </w:p>
    <w:p w:rsidR="003F0BBD" w:rsidRPr="003F0BBD" w:rsidRDefault="003F0BBD" w:rsidP="00CE203B">
      <w:pPr>
        <w:numPr>
          <w:ilvl w:val="0"/>
          <w:numId w:val="401"/>
        </w:numPr>
        <w:autoSpaceDE w:val="0"/>
        <w:autoSpaceDN w:val="0"/>
        <w:adjustRightInd w:val="0"/>
        <w:jc w:val="left"/>
        <w:rPr>
          <w:rFonts w:ascii="Calibri" w:hAnsi="Calibri" w:cs="ITCBookmanEE"/>
          <w:szCs w:val="22"/>
        </w:rPr>
      </w:pPr>
      <w:r w:rsidRPr="003F0BBD">
        <w:rPr>
          <w:rFonts w:ascii="Calibri" w:hAnsi="Calibri" w:cs="ITCBookmanEE"/>
          <w:szCs w:val="22"/>
        </w:rPr>
        <w:t>účel</w:t>
      </w:r>
    </w:p>
    <w:p w:rsidR="003F0BBD" w:rsidRPr="003F0BBD" w:rsidRDefault="003F0BBD" w:rsidP="00CE203B">
      <w:pPr>
        <w:numPr>
          <w:ilvl w:val="0"/>
          <w:numId w:val="401"/>
        </w:numPr>
        <w:autoSpaceDE w:val="0"/>
        <w:autoSpaceDN w:val="0"/>
        <w:adjustRightInd w:val="0"/>
        <w:jc w:val="left"/>
        <w:rPr>
          <w:rFonts w:ascii="Calibri" w:hAnsi="Calibri" w:cs="ITCBookmanEE"/>
          <w:szCs w:val="22"/>
        </w:rPr>
      </w:pPr>
      <w:r w:rsidRPr="003F0BBD">
        <w:rPr>
          <w:rFonts w:ascii="Calibri" w:hAnsi="Calibri" w:cs="ITCBookmanEE-Bold"/>
          <w:bCs/>
          <w:szCs w:val="22"/>
        </w:rPr>
        <w:t>opis východiskového stavu lesných porastov génovej základne</w:t>
      </w:r>
    </w:p>
    <w:p w:rsidR="003F0BBD" w:rsidRPr="003F0BBD" w:rsidRDefault="003F0BBD" w:rsidP="00CE203B">
      <w:pPr>
        <w:numPr>
          <w:ilvl w:val="0"/>
          <w:numId w:val="401"/>
        </w:numPr>
        <w:autoSpaceDE w:val="0"/>
        <w:autoSpaceDN w:val="0"/>
        <w:adjustRightInd w:val="0"/>
        <w:jc w:val="left"/>
        <w:rPr>
          <w:rFonts w:ascii="Calibri" w:hAnsi="Calibri" w:cs="ITCBookmanEE"/>
          <w:szCs w:val="22"/>
        </w:rPr>
      </w:pPr>
      <w:r w:rsidRPr="003F0BBD">
        <w:rPr>
          <w:rFonts w:ascii="Calibri" w:hAnsi="Calibri" w:cs="ITCBookmanEE-Bold"/>
          <w:bCs/>
          <w:szCs w:val="22"/>
        </w:rPr>
        <w:t>dlhodobé požiadavky na plánovanie hospodárskych opatrení</w:t>
      </w:r>
    </w:p>
    <w:p w:rsidR="003F0BBD" w:rsidRPr="003F0BBD" w:rsidRDefault="003F0BBD" w:rsidP="00CE203B">
      <w:pPr>
        <w:numPr>
          <w:ilvl w:val="0"/>
          <w:numId w:val="401"/>
        </w:numPr>
        <w:autoSpaceDE w:val="0"/>
        <w:autoSpaceDN w:val="0"/>
        <w:adjustRightInd w:val="0"/>
        <w:jc w:val="left"/>
        <w:rPr>
          <w:rFonts w:ascii="Calibri" w:hAnsi="Calibri" w:cs="ITCBookmanEE"/>
          <w:szCs w:val="22"/>
        </w:rPr>
      </w:pPr>
      <w:r w:rsidRPr="003F0BBD">
        <w:rPr>
          <w:rFonts w:ascii="Calibri" w:hAnsi="Calibri" w:cs="ITCBookmanEE-Bold"/>
          <w:bCs/>
          <w:szCs w:val="22"/>
        </w:rPr>
        <w:t>prehľad jednotiek priestorového rozdelenia lesa s údajmi a plánom hospodárskych opatrení</w:t>
      </w:r>
    </w:p>
    <w:p w:rsidR="003F0BBD" w:rsidRPr="003F0BBD" w:rsidRDefault="003F0BBD" w:rsidP="003F0BBD">
      <w:pPr>
        <w:autoSpaceDE w:val="0"/>
        <w:autoSpaceDN w:val="0"/>
        <w:adjustRightInd w:val="0"/>
        <w:ind w:left="720"/>
        <w:jc w:val="left"/>
        <w:rPr>
          <w:rFonts w:ascii="Calibri" w:hAnsi="Calibri" w:cs="ITCBookmanEE-Bold"/>
          <w:bCs/>
          <w:szCs w:val="22"/>
        </w:rPr>
      </w:pPr>
      <w:r w:rsidRPr="003F0BBD">
        <w:rPr>
          <w:rFonts w:ascii="Calibri" w:hAnsi="Calibri" w:cs="ITCBookmanEE-Bold"/>
          <w:bCs/>
          <w:szCs w:val="22"/>
        </w:rPr>
        <w:t>– výpis z platného programu starostlivosti o lesy</w:t>
      </w:r>
    </w:p>
    <w:p w:rsidR="003F0BBD" w:rsidRPr="003F0BBD" w:rsidRDefault="003F0BBD" w:rsidP="003F0BBD">
      <w:pPr>
        <w:tabs>
          <w:tab w:val="left" w:pos="426"/>
        </w:tabs>
        <w:autoSpaceDE w:val="0"/>
        <w:autoSpaceDN w:val="0"/>
        <w:adjustRightInd w:val="0"/>
        <w:jc w:val="left"/>
        <w:rPr>
          <w:rFonts w:ascii="Calibri" w:hAnsi="Calibri" w:cs="ITCBookmanEE-Bold"/>
          <w:bCs/>
          <w:szCs w:val="22"/>
        </w:rPr>
      </w:pPr>
      <w:r w:rsidRPr="003F0BBD">
        <w:rPr>
          <w:rFonts w:ascii="Calibri" w:hAnsi="Calibri" w:cs="ITCBookmanEE-Bold"/>
          <w:bCs/>
          <w:szCs w:val="22"/>
        </w:rPr>
        <w:tab/>
        <w:t>Prílohy: Kolorovanú lesnícku porastovú mapu génovej základne</w:t>
      </w:r>
    </w:p>
    <w:p w:rsidR="003F0BBD" w:rsidRPr="003F0BBD" w:rsidRDefault="003F0BBD" w:rsidP="003F0BBD">
      <w:pPr>
        <w:tabs>
          <w:tab w:val="left" w:pos="426"/>
        </w:tabs>
        <w:autoSpaceDE w:val="0"/>
        <w:autoSpaceDN w:val="0"/>
        <w:adjustRightInd w:val="0"/>
        <w:jc w:val="left"/>
        <w:rPr>
          <w:rFonts w:ascii="Calibri" w:hAnsi="Calibri" w:cs="ITCBookmanEE"/>
          <w:szCs w:val="22"/>
        </w:rPr>
      </w:pPr>
      <w:r w:rsidRPr="003F0BBD">
        <w:rPr>
          <w:rFonts w:ascii="Calibri" w:hAnsi="Calibri" w:cs="ITCBookmanEE-Bold"/>
          <w:bCs/>
          <w:szCs w:val="22"/>
        </w:rPr>
        <w:tab/>
      </w:r>
      <w:r w:rsidRPr="003F0BBD">
        <w:rPr>
          <w:rFonts w:ascii="Calibri" w:hAnsi="Calibri" w:cs="ITCBookmanEE-Bold"/>
          <w:bCs/>
          <w:szCs w:val="22"/>
        </w:rPr>
        <w:tab/>
        <w:t xml:space="preserve">         Ťažbovú mapu génovej základne na dobu platnosti programu starostlivosti o lesy)</w:t>
      </w:r>
    </w:p>
    <w:p w:rsidR="003F0BBD" w:rsidRPr="003F0BBD" w:rsidRDefault="003F0BBD" w:rsidP="00CE203B">
      <w:pPr>
        <w:numPr>
          <w:ilvl w:val="0"/>
          <w:numId w:val="399"/>
        </w:numPr>
        <w:autoSpaceDE w:val="0"/>
        <w:autoSpaceDN w:val="0"/>
        <w:adjustRightInd w:val="0"/>
        <w:jc w:val="left"/>
        <w:rPr>
          <w:rFonts w:ascii="Calibri" w:hAnsi="Calibri" w:cs="ITCBookmanEE"/>
          <w:szCs w:val="22"/>
        </w:rPr>
      </w:pPr>
      <w:r w:rsidRPr="003F0BBD">
        <w:rPr>
          <w:rFonts w:ascii="Calibri" w:hAnsi="Calibri" w:cs="ITCBookmanEE"/>
          <w:szCs w:val="22"/>
        </w:rPr>
        <w:t xml:space="preserve">mať vypracovaný príslušný Program starostlivosti o lesy </w:t>
      </w:r>
    </w:p>
    <w:p w:rsidR="003F0BBD" w:rsidRPr="003F0BBD" w:rsidRDefault="003F0BBD" w:rsidP="003F0BBD">
      <w:pPr>
        <w:autoSpaceDE w:val="0"/>
        <w:autoSpaceDN w:val="0"/>
        <w:adjustRightInd w:val="0"/>
        <w:jc w:val="left"/>
        <w:rPr>
          <w:rFonts w:ascii="Calibri" w:hAnsi="Calibri" w:cs="ITCBookmanEE"/>
          <w:color w:val="FF0000"/>
          <w:szCs w:val="22"/>
        </w:rPr>
      </w:pPr>
    </w:p>
    <w:p w:rsidR="003F0BBD" w:rsidRPr="003F0BBD" w:rsidRDefault="003F0BBD" w:rsidP="003F0BBD">
      <w:pPr>
        <w:rPr>
          <w:rFonts w:ascii="Calibri" w:hAnsi="Calibri" w:cs="Calibri"/>
          <w:szCs w:val="22"/>
          <w:u w:val="single"/>
          <w:lang w:eastAsia="en-GB"/>
        </w:rPr>
      </w:pPr>
      <w:r w:rsidRPr="003F0BBD">
        <w:rPr>
          <w:rFonts w:ascii="Calibri" w:hAnsi="Calibri" w:cs="Calibri"/>
          <w:szCs w:val="22"/>
          <w:u w:val="single"/>
          <w:lang w:eastAsia="en-GB"/>
        </w:rPr>
        <w:t>Podmienky podpory:</w:t>
      </w:r>
    </w:p>
    <w:p w:rsidR="003F0BBD" w:rsidRPr="003F0BBD" w:rsidRDefault="003F0BBD" w:rsidP="00CE203B">
      <w:pPr>
        <w:numPr>
          <w:ilvl w:val="0"/>
          <w:numId w:val="399"/>
        </w:numPr>
        <w:autoSpaceDE w:val="0"/>
        <w:autoSpaceDN w:val="0"/>
        <w:adjustRightInd w:val="0"/>
        <w:jc w:val="left"/>
        <w:rPr>
          <w:rFonts w:ascii="Calibri" w:hAnsi="Calibri" w:cs="Arial"/>
          <w:szCs w:val="22"/>
          <w:lang w:eastAsia="en-US"/>
        </w:rPr>
      </w:pPr>
      <w:r w:rsidRPr="003F0BBD">
        <w:rPr>
          <w:rFonts w:ascii="Calibri" w:hAnsi="Calibri" w:cs="Arial"/>
          <w:szCs w:val="22"/>
          <w:lang w:eastAsia="en-US"/>
        </w:rPr>
        <w:t xml:space="preserve">vypracovanie projektu </w:t>
      </w:r>
      <w:r w:rsidRPr="003F0BBD">
        <w:rPr>
          <w:rFonts w:ascii="Calibri" w:hAnsi="Calibri" w:cs="ITCBookmanEE"/>
          <w:szCs w:val="22"/>
        </w:rPr>
        <w:t>na zradenie novej  génovej základne,</w:t>
      </w:r>
    </w:p>
    <w:p w:rsidR="003F0BBD" w:rsidRPr="003F0BBD" w:rsidRDefault="003F0BBD" w:rsidP="00CE203B">
      <w:pPr>
        <w:numPr>
          <w:ilvl w:val="0"/>
          <w:numId w:val="399"/>
        </w:numPr>
        <w:autoSpaceDE w:val="0"/>
        <w:autoSpaceDN w:val="0"/>
        <w:adjustRightInd w:val="0"/>
        <w:jc w:val="left"/>
        <w:rPr>
          <w:rFonts w:ascii="Calibri" w:hAnsi="Calibri" w:cs="Arial"/>
          <w:szCs w:val="22"/>
          <w:lang w:eastAsia="en-US"/>
        </w:rPr>
      </w:pPr>
      <w:r w:rsidRPr="003F0BBD">
        <w:rPr>
          <w:rFonts w:ascii="Calibri" w:hAnsi="Calibri" w:cs="Arial"/>
          <w:szCs w:val="22"/>
          <w:lang w:eastAsia="en-US"/>
        </w:rPr>
        <w:t>plnenie podmienok príslušného Programu starostlivosti o lesy v novozriadenej génovej základni, medzi ktoré o.i. patrí:</w:t>
      </w:r>
    </w:p>
    <w:p w:rsidR="003F0BBD" w:rsidRPr="003F0BBD" w:rsidRDefault="003F0BBD" w:rsidP="00CE203B">
      <w:pPr>
        <w:numPr>
          <w:ilvl w:val="0"/>
          <w:numId w:val="402"/>
        </w:numPr>
        <w:autoSpaceDE w:val="0"/>
        <w:autoSpaceDN w:val="0"/>
        <w:jc w:val="left"/>
        <w:rPr>
          <w:rFonts w:ascii="Calibri" w:hAnsi="Calibri" w:cs="Arial"/>
          <w:szCs w:val="22"/>
          <w:lang w:eastAsia="cs-CZ"/>
        </w:rPr>
      </w:pPr>
      <w:r w:rsidRPr="003F0BBD">
        <w:rPr>
          <w:rFonts w:ascii="Calibri" w:hAnsi="Calibri" w:cs="Arial"/>
          <w:szCs w:val="22"/>
          <w:lang w:eastAsia="cs-CZ"/>
        </w:rPr>
        <w:t>obnova lesa zameraná na dosiahnutie prirodzeného zmladenia, ak sa nedosiahne prirodzená obnova dreviny použije sa umelá obnova lesným reprodukčným materiálom pochádzajúcim z uznaných lesných porastov tej istej génovej základne,</w:t>
      </w:r>
    </w:p>
    <w:p w:rsidR="003F0BBD" w:rsidRPr="003F0BBD" w:rsidRDefault="003F0BBD" w:rsidP="00CE203B">
      <w:pPr>
        <w:numPr>
          <w:ilvl w:val="0"/>
          <w:numId w:val="402"/>
        </w:numPr>
        <w:autoSpaceDE w:val="0"/>
        <w:autoSpaceDN w:val="0"/>
        <w:jc w:val="left"/>
        <w:rPr>
          <w:rFonts w:ascii="Calibri" w:hAnsi="Calibri" w:cs="Arial"/>
          <w:szCs w:val="22"/>
          <w:lang w:eastAsia="cs-CZ"/>
        </w:rPr>
      </w:pPr>
      <w:r w:rsidRPr="003F0BBD">
        <w:rPr>
          <w:rFonts w:ascii="Calibri" w:hAnsi="Calibri" w:cs="Arial"/>
          <w:szCs w:val="22"/>
          <w:lang w:eastAsia="cs-CZ"/>
        </w:rPr>
        <w:t>podpora prirodzenej obnovy maloplošnou prípravou pôdy,</w:t>
      </w:r>
    </w:p>
    <w:p w:rsidR="003F0BBD" w:rsidRPr="003F0BBD" w:rsidRDefault="003F0BBD" w:rsidP="00CE203B">
      <w:pPr>
        <w:numPr>
          <w:ilvl w:val="0"/>
          <w:numId w:val="402"/>
        </w:numPr>
        <w:autoSpaceDE w:val="0"/>
        <w:autoSpaceDN w:val="0"/>
        <w:jc w:val="left"/>
        <w:rPr>
          <w:rFonts w:ascii="Calibri" w:hAnsi="Calibri" w:cs="Arial"/>
          <w:szCs w:val="22"/>
          <w:lang w:eastAsia="cs-CZ"/>
        </w:rPr>
      </w:pPr>
      <w:r w:rsidRPr="003F0BBD">
        <w:rPr>
          <w:rFonts w:ascii="Calibri" w:hAnsi="Calibri" w:cs="Arial"/>
          <w:szCs w:val="22"/>
          <w:lang w:eastAsia="cs-CZ"/>
        </w:rPr>
        <w:t xml:space="preserve">prečistky s podporou cieľových drevín, </w:t>
      </w:r>
    </w:p>
    <w:p w:rsidR="003F0BBD" w:rsidRPr="003F0BBD" w:rsidRDefault="003F0BBD" w:rsidP="00CE203B">
      <w:pPr>
        <w:numPr>
          <w:ilvl w:val="0"/>
          <w:numId w:val="402"/>
        </w:numPr>
        <w:autoSpaceDE w:val="0"/>
        <w:autoSpaceDN w:val="0"/>
        <w:jc w:val="left"/>
        <w:rPr>
          <w:rFonts w:ascii="Calibri" w:hAnsi="Calibri" w:cs="Arial"/>
          <w:szCs w:val="22"/>
          <w:lang w:eastAsia="cs-CZ"/>
        </w:rPr>
      </w:pPr>
      <w:r w:rsidRPr="003F0BBD">
        <w:rPr>
          <w:rFonts w:ascii="Calibri" w:hAnsi="Calibri" w:cs="Arial"/>
          <w:szCs w:val="22"/>
          <w:lang w:eastAsia="cs-CZ"/>
        </w:rPr>
        <w:t>prebierkové zásahy v porastoch do 50 rokov uskutočnené za účelom skvalitnenia štruktúry porastov a eliminácie fenotypovo alebo geneticky nevhodnej zložky.</w:t>
      </w:r>
    </w:p>
    <w:p w:rsidR="003F0BBD" w:rsidRPr="003F0BBD" w:rsidRDefault="003F0BBD" w:rsidP="003F0BBD">
      <w:pPr>
        <w:ind w:firstLine="142"/>
        <w:rPr>
          <w:rFonts w:ascii="Calibri" w:hAnsi="Calibri" w:cs="Calibri"/>
          <w:i/>
          <w:szCs w:val="22"/>
          <w:lang w:eastAsia="en-GB"/>
        </w:rPr>
      </w:pPr>
      <w:r w:rsidRPr="003F0BBD">
        <w:rPr>
          <w:rFonts w:ascii="Calibri" w:hAnsi="Calibri" w:cs="Calibri"/>
          <w:i/>
          <w:szCs w:val="22"/>
          <w:lang w:eastAsia="en-GB"/>
        </w:rPr>
        <w:t xml:space="preserve"> (uvedené aktivity vykoná žiadateľ minimálne raz počas obdobia trvania záväzku)</w:t>
      </w:r>
    </w:p>
    <w:p w:rsidR="003F0BBD" w:rsidRPr="003F0BBD" w:rsidRDefault="003F0BBD" w:rsidP="003F0BBD">
      <w:pPr>
        <w:rPr>
          <w:rFonts w:ascii="Calibri" w:hAnsi="Calibri" w:cs="Calibri"/>
          <w:szCs w:val="22"/>
          <w:u w:val="single"/>
          <w:lang w:eastAsia="en-GB"/>
        </w:rPr>
      </w:pPr>
    </w:p>
    <w:p w:rsidR="003F0BBD" w:rsidRPr="003F0BBD" w:rsidRDefault="003F0BBD" w:rsidP="003F0BBD">
      <w:pPr>
        <w:rPr>
          <w:rFonts w:ascii="Calibri" w:hAnsi="Calibri" w:cs="Calibri"/>
          <w:szCs w:val="22"/>
          <w:u w:val="single"/>
          <w:lang w:eastAsia="en-GB"/>
        </w:rPr>
      </w:pPr>
      <w:r w:rsidRPr="003F0BBD">
        <w:rPr>
          <w:rFonts w:ascii="Calibri" w:hAnsi="Calibri" w:cs="Calibri"/>
          <w:szCs w:val="22"/>
          <w:u w:val="single"/>
          <w:lang w:eastAsia="en-GB"/>
        </w:rPr>
        <w:t>Princípy nastavenia výberových kritérií:</w:t>
      </w:r>
    </w:p>
    <w:p w:rsidR="003F0BBD" w:rsidRPr="003F0BBD" w:rsidRDefault="003F0BBD" w:rsidP="003F0BBD">
      <w:pPr>
        <w:rPr>
          <w:rFonts w:ascii="Calibri" w:hAnsi="Calibri" w:cs="Calibri"/>
          <w:szCs w:val="22"/>
          <w:lang w:eastAsia="en-GB"/>
        </w:rPr>
      </w:pPr>
      <w:r w:rsidRPr="003F0BBD">
        <w:rPr>
          <w:rFonts w:ascii="Calibri" w:hAnsi="Calibri" w:cs="Calibri"/>
          <w:szCs w:val="22"/>
          <w:lang w:eastAsia="en-GB"/>
        </w:rPr>
        <w:t>Pri výbere žiadateľov v roku 2015 budú uprednostnené návrhy:</w:t>
      </w:r>
    </w:p>
    <w:p w:rsidR="003F0BBD" w:rsidRPr="003F0BBD" w:rsidRDefault="003F0BBD" w:rsidP="00CE203B">
      <w:pPr>
        <w:numPr>
          <w:ilvl w:val="0"/>
          <w:numId w:val="400"/>
        </w:numPr>
        <w:jc w:val="left"/>
        <w:rPr>
          <w:rFonts w:ascii="Calibri" w:hAnsi="Calibri" w:cs="Calibri"/>
          <w:szCs w:val="22"/>
          <w:lang w:eastAsia="en-GB"/>
        </w:rPr>
      </w:pPr>
      <w:r w:rsidRPr="003F0BBD">
        <w:rPr>
          <w:rFonts w:ascii="Calibri" w:hAnsi="Calibri" w:cs="Calibri"/>
          <w:szCs w:val="22"/>
          <w:lang w:eastAsia="en-GB"/>
        </w:rPr>
        <w:t>na novozriaďované génové základne so  zastúpením prioritných drevín: jedľa biela, cenné listnáče (javor horský, jaseň štíhly, brest horský, čerešňa vtáčia), dub zimný a dub letný, smrek obyčajný.</w:t>
      </w:r>
      <w:r w:rsidRPr="003F0BBD">
        <w:rPr>
          <w:rFonts w:ascii="Arial" w:hAnsi="Arial" w:cs="Arial"/>
          <w:szCs w:val="22"/>
          <w:lang w:eastAsia="cs-CZ"/>
        </w:rPr>
        <w:t xml:space="preserve"> </w:t>
      </w:r>
    </w:p>
    <w:p w:rsidR="003F0BBD" w:rsidRPr="003F0BBD" w:rsidRDefault="003F0BBD" w:rsidP="00CE203B">
      <w:pPr>
        <w:numPr>
          <w:ilvl w:val="0"/>
          <w:numId w:val="400"/>
        </w:numPr>
        <w:jc w:val="left"/>
        <w:rPr>
          <w:rFonts w:ascii="Calibri" w:hAnsi="Calibri" w:cs="Calibri"/>
          <w:szCs w:val="22"/>
          <w:lang w:eastAsia="en-GB"/>
        </w:rPr>
      </w:pPr>
      <w:r w:rsidRPr="003F0BBD">
        <w:rPr>
          <w:rFonts w:ascii="Calibri" w:hAnsi="Calibri" w:cs="Calibri"/>
          <w:szCs w:val="22"/>
          <w:lang w:eastAsia="en-GB"/>
        </w:rPr>
        <w:t>veľkosť (rozloha) génovej základne so zastúpením prioritných drevín v zostupnom poradí.</w:t>
      </w:r>
    </w:p>
    <w:p w:rsidR="003F0BBD" w:rsidRPr="003F0BBD" w:rsidRDefault="003F0BBD" w:rsidP="00CE203B">
      <w:pPr>
        <w:numPr>
          <w:ilvl w:val="0"/>
          <w:numId w:val="400"/>
        </w:numPr>
        <w:spacing w:after="200" w:line="276" w:lineRule="auto"/>
        <w:jc w:val="left"/>
        <w:rPr>
          <w:rFonts w:ascii="Calibri" w:hAnsi="Calibri" w:cs="Calibri"/>
          <w:szCs w:val="22"/>
          <w:lang w:eastAsia="en-GB"/>
        </w:rPr>
      </w:pPr>
      <w:r w:rsidRPr="003F0BBD">
        <w:rPr>
          <w:rFonts w:ascii="Calibri" w:hAnsi="Calibri" w:cs="Calibri"/>
          <w:szCs w:val="22"/>
          <w:lang w:eastAsia="en-GB"/>
        </w:rPr>
        <w:t>súkromných vlastníkov lesov pred verejnými vlastníkmi lesov a pred štátnymi vlastníkmi lesov.</w:t>
      </w:r>
    </w:p>
    <w:p w:rsidR="003F0BBD" w:rsidRPr="003F0BBD" w:rsidRDefault="003F0BBD" w:rsidP="003F0BBD">
      <w:pPr>
        <w:rPr>
          <w:rFonts w:ascii="Calibri" w:hAnsi="Calibri" w:cs="Calibri"/>
          <w:szCs w:val="22"/>
          <w:u w:val="single"/>
          <w:lang w:eastAsia="en-GB"/>
        </w:rPr>
      </w:pPr>
      <w:r w:rsidRPr="003F0BBD">
        <w:rPr>
          <w:rFonts w:ascii="Calibri" w:hAnsi="Calibri" w:cs="Calibri"/>
          <w:szCs w:val="22"/>
          <w:u w:val="single"/>
          <w:lang w:eastAsia="en-GB"/>
        </w:rPr>
        <w:t xml:space="preserve">Výška a miera podpory: </w:t>
      </w:r>
    </w:p>
    <w:p w:rsidR="003F0BBD" w:rsidRPr="003F0BBD" w:rsidRDefault="003F0BBD" w:rsidP="003F0BBD">
      <w:pPr>
        <w:rPr>
          <w:rFonts w:ascii="Calibri" w:hAnsi="Calibri" w:cs="Calibri"/>
          <w:szCs w:val="22"/>
          <w:lang w:eastAsia="en-US"/>
        </w:rPr>
      </w:pPr>
      <w:r w:rsidRPr="003F0BBD">
        <w:rPr>
          <w:rFonts w:ascii="Calibri" w:hAnsi="Calibri" w:cs="Calibri"/>
          <w:szCs w:val="22"/>
          <w:lang w:eastAsia="en-US"/>
        </w:rPr>
        <w:t>Výška podpory: 150 €/ha.</w:t>
      </w:r>
    </w:p>
    <w:p w:rsidR="003F0BBD" w:rsidRPr="003F0BBD" w:rsidRDefault="003F0BBD" w:rsidP="003F0BBD">
      <w:pPr>
        <w:rPr>
          <w:rFonts w:ascii="Calibri" w:hAnsi="Calibri" w:cs="Calibri"/>
          <w:szCs w:val="22"/>
          <w:lang w:eastAsia="en-US"/>
        </w:rPr>
      </w:pPr>
    </w:p>
    <w:p w:rsidR="003F0BBD" w:rsidRPr="003F0BBD" w:rsidRDefault="003F0BBD" w:rsidP="003F0BBD">
      <w:pPr>
        <w:rPr>
          <w:rFonts w:ascii="Calibri" w:hAnsi="Calibri" w:cs="Calibri"/>
          <w:b/>
          <w:bCs/>
          <w:szCs w:val="22"/>
          <w:lang w:eastAsia="en-US"/>
        </w:rPr>
      </w:pPr>
      <w:r w:rsidRPr="003F0BBD">
        <w:rPr>
          <w:rFonts w:ascii="Calibri" w:hAnsi="Calibri" w:cs="Calibri"/>
          <w:b/>
          <w:bCs/>
          <w:szCs w:val="22"/>
          <w:lang w:eastAsia="en-US"/>
        </w:rPr>
        <w:t>8.2.14.4. Overiteľnosť a kontrolovateľnosť opatrenia</w:t>
      </w:r>
    </w:p>
    <w:p w:rsidR="003F0BBD" w:rsidRPr="003F0BBD" w:rsidRDefault="003F0BBD" w:rsidP="003F0BBD">
      <w:pPr>
        <w:rPr>
          <w:rFonts w:ascii="Calibri" w:hAnsi="Calibri" w:cs="Calibri"/>
          <w:szCs w:val="20"/>
          <w:lang w:eastAsia="en-US"/>
        </w:rPr>
      </w:pPr>
      <w:r w:rsidRPr="003F0BBD">
        <w:rPr>
          <w:rFonts w:ascii="Calibri" w:hAnsi="Calibri" w:cs="Calibri"/>
          <w:szCs w:val="20"/>
          <w:lang w:eastAsia="en-US"/>
        </w:rPr>
        <w:t>Ex-ante posúdenie overiteľnosti a kontrolovateľnosti opatrenia:</w:t>
      </w:r>
    </w:p>
    <w:p w:rsidR="003F0BBD" w:rsidRPr="003F0BBD" w:rsidRDefault="003F0BBD" w:rsidP="003F0BBD">
      <w:pPr>
        <w:rPr>
          <w:rFonts w:ascii="Calibri" w:hAnsi="Calibri"/>
          <w:szCs w:val="20"/>
          <w:lang w:eastAsia="en-US"/>
        </w:rPr>
      </w:pPr>
      <w:r w:rsidRPr="003F0BBD">
        <w:rPr>
          <w:rFonts w:ascii="Calibri" w:hAnsi="Calibri"/>
          <w:szCs w:val="20"/>
          <w:lang w:eastAsia="en-US"/>
        </w:rPr>
        <w:t>(vypracované v spolupráci riadiaceho orgánu programu a Pôdohospodárskej platobnej agentúry).</w:t>
      </w:r>
    </w:p>
    <w:p w:rsidR="003F0BBD" w:rsidRPr="003F0BBD" w:rsidRDefault="003F0BBD" w:rsidP="003F0BBD">
      <w:pPr>
        <w:rPr>
          <w:rFonts w:ascii="Calibri" w:hAnsi="Calibri"/>
          <w:szCs w:val="20"/>
          <w:lang w:eastAsia="en-US"/>
        </w:rPr>
      </w:pPr>
    </w:p>
    <w:p w:rsidR="003F0BBD" w:rsidRPr="003F0BBD" w:rsidRDefault="003F0BBD" w:rsidP="003F0BBD">
      <w:pPr>
        <w:rPr>
          <w:rFonts w:ascii="Calibri" w:eastAsia="Calibri" w:hAnsi="Calibri"/>
          <w:szCs w:val="22"/>
          <w:u w:val="single"/>
          <w:lang w:eastAsia="en-US"/>
        </w:rPr>
      </w:pPr>
      <w:r w:rsidRPr="003F0BBD">
        <w:rPr>
          <w:rFonts w:ascii="Calibri" w:eastAsia="Calibri" w:hAnsi="Calibri"/>
          <w:szCs w:val="22"/>
          <w:u w:val="single"/>
          <w:lang w:eastAsia="en-US"/>
        </w:rPr>
        <w:t>Riziká implementácie opatrenia:</w:t>
      </w:r>
    </w:p>
    <w:p w:rsidR="003F0BBD" w:rsidRPr="003F0BBD" w:rsidRDefault="003F0BBD" w:rsidP="003F0BBD">
      <w:pPr>
        <w:rPr>
          <w:rFonts w:ascii="Calibri" w:eastAsia="Calibri" w:hAnsi="Calibri"/>
          <w:szCs w:val="22"/>
          <w:lang w:eastAsia="en-US"/>
        </w:rPr>
      </w:pPr>
      <w:r w:rsidRPr="003F0BBD">
        <w:rPr>
          <w:rFonts w:ascii="Calibri" w:eastAsia="Calibri" w:hAnsi="Calibri"/>
          <w:szCs w:val="22"/>
          <w:lang w:eastAsia="en-US"/>
        </w:rPr>
        <w:t>Pri oboch podopatreniach sú dominantné hospodárske činnosti, ktorých plnenie je možné overovať len kontrolou na mieste, čo môže zvyšovať riziko miery chybovosti.</w:t>
      </w:r>
    </w:p>
    <w:p w:rsidR="003F0BBD" w:rsidRPr="003F0BBD" w:rsidRDefault="003F0BBD" w:rsidP="003F0BBD">
      <w:pPr>
        <w:keepNext/>
        <w:outlineLvl w:val="1"/>
        <w:rPr>
          <w:rFonts w:ascii="Calibri" w:hAnsi="Calibri"/>
          <w:szCs w:val="22"/>
          <w:lang w:eastAsia="en-US"/>
        </w:rPr>
      </w:pPr>
      <w:r w:rsidRPr="003F0BBD">
        <w:rPr>
          <w:rFonts w:ascii="Calibri" w:hAnsi="Calibri"/>
          <w:szCs w:val="22"/>
          <w:lang w:eastAsia="en-US"/>
        </w:rPr>
        <w:t>Rizikom v implementácii podopatrenia 15.1. je i  nejednoznačné vymedzenie hraníc  ÚEV v teréne.</w:t>
      </w:r>
    </w:p>
    <w:p w:rsidR="003F0BBD" w:rsidRPr="003F0BBD" w:rsidRDefault="003F0BBD" w:rsidP="003F0BBD">
      <w:pPr>
        <w:keepNext/>
        <w:outlineLvl w:val="1"/>
        <w:rPr>
          <w:rFonts w:ascii="Calibri" w:hAnsi="Calibri"/>
          <w:szCs w:val="22"/>
          <w:lang w:eastAsia="en-US"/>
        </w:rPr>
      </w:pPr>
      <w:r w:rsidRPr="003F0BBD">
        <w:rPr>
          <w:rFonts w:ascii="Calibri" w:hAnsi="Calibri"/>
          <w:szCs w:val="22"/>
          <w:lang w:eastAsia="en-US"/>
        </w:rPr>
        <w:t>ÚEV v mnohých lokalitách nie sú vymedzené v prirodzených hraniciach,  ale často pretínajú ucelené lesné diely  len hranicou na mape (možné dôsledky s výmerou územia).</w:t>
      </w:r>
    </w:p>
    <w:p w:rsidR="003F0BBD" w:rsidRPr="003F0BBD" w:rsidRDefault="003F0BBD" w:rsidP="003F0BBD">
      <w:pPr>
        <w:keepNext/>
        <w:ind w:left="851" w:hanging="851"/>
        <w:outlineLvl w:val="1"/>
        <w:rPr>
          <w:rFonts w:ascii="Calibri" w:eastAsia="Calibri" w:hAnsi="Calibri"/>
          <w:szCs w:val="22"/>
          <w:u w:val="single"/>
          <w:lang w:eastAsia="en-US"/>
        </w:rPr>
      </w:pPr>
    </w:p>
    <w:p w:rsidR="003F0BBD" w:rsidRPr="003F0BBD" w:rsidRDefault="003F0BBD" w:rsidP="003F0BBD">
      <w:pPr>
        <w:keepNext/>
        <w:ind w:left="851" w:hanging="851"/>
        <w:outlineLvl w:val="1"/>
        <w:rPr>
          <w:rFonts w:ascii="Calibri" w:eastAsia="Calibri" w:hAnsi="Calibri"/>
          <w:szCs w:val="22"/>
          <w:u w:val="single"/>
          <w:lang w:eastAsia="en-US"/>
        </w:rPr>
      </w:pPr>
      <w:r w:rsidRPr="003F0BBD">
        <w:rPr>
          <w:rFonts w:ascii="Calibri" w:eastAsia="Calibri" w:hAnsi="Calibri"/>
          <w:szCs w:val="22"/>
          <w:u w:val="single"/>
          <w:lang w:eastAsia="en-US"/>
        </w:rPr>
        <w:t>Opatrenia na zmiernenie rizika implementácie:</w:t>
      </w:r>
    </w:p>
    <w:p w:rsidR="003F0BBD" w:rsidRPr="003F0BBD" w:rsidRDefault="003F0BBD" w:rsidP="00CE203B">
      <w:pPr>
        <w:keepNext/>
        <w:numPr>
          <w:ilvl w:val="0"/>
          <w:numId w:val="265"/>
        </w:numPr>
        <w:jc w:val="left"/>
        <w:outlineLvl w:val="1"/>
        <w:rPr>
          <w:rFonts w:ascii="Calibri" w:eastAsia="Calibri" w:hAnsi="Calibri"/>
          <w:szCs w:val="22"/>
          <w:lang w:eastAsia="en-US"/>
        </w:rPr>
      </w:pPr>
      <w:r w:rsidRPr="003F0BBD">
        <w:rPr>
          <w:rFonts w:ascii="Calibri" w:eastAsia="Calibri" w:hAnsi="Calibri"/>
          <w:szCs w:val="22"/>
          <w:lang w:eastAsia="en-US"/>
        </w:rPr>
        <w:t>Reálne nastavenie plnenia podmienok.</w:t>
      </w:r>
    </w:p>
    <w:p w:rsidR="003F0BBD" w:rsidRPr="003F0BBD" w:rsidRDefault="003F0BBD" w:rsidP="00CE203B">
      <w:pPr>
        <w:keepNext/>
        <w:numPr>
          <w:ilvl w:val="0"/>
          <w:numId w:val="265"/>
        </w:numPr>
        <w:jc w:val="left"/>
        <w:outlineLvl w:val="1"/>
        <w:rPr>
          <w:rFonts w:ascii="Calibri" w:eastAsia="Calibri" w:hAnsi="Calibri"/>
          <w:szCs w:val="22"/>
          <w:lang w:eastAsia="en-US"/>
        </w:rPr>
      </w:pPr>
      <w:r w:rsidRPr="003F0BBD">
        <w:rPr>
          <w:rFonts w:ascii="Calibri" w:eastAsia="Calibri" w:hAnsi="Calibri"/>
          <w:szCs w:val="22"/>
          <w:lang w:eastAsia="en-US"/>
        </w:rPr>
        <w:t>Informovanie a školenie prijímateľov podpory o dôležitosti presných podkladov pri vstupoch do opatrenia.</w:t>
      </w:r>
    </w:p>
    <w:p w:rsidR="003F0BBD" w:rsidRPr="003F0BBD" w:rsidRDefault="003F0BBD" w:rsidP="00CE203B">
      <w:pPr>
        <w:keepNext/>
        <w:numPr>
          <w:ilvl w:val="0"/>
          <w:numId w:val="265"/>
        </w:numPr>
        <w:jc w:val="left"/>
        <w:outlineLvl w:val="1"/>
        <w:rPr>
          <w:rFonts w:ascii="Calibri" w:eastAsia="Calibri" w:hAnsi="Calibri"/>
          <w:szCs w:val="22"/>
          <w:lang w:eastAsia="en-US"/>
        </w:rPr>
      </w:pPr>
      <w:r w:rsidRPr="003F0BBD">
        <w:rPr>
          <w:rFonts w:ascii="Calibri" w:eastAsia="Calibri" w:hAnsi="Calibri"/>
          <w:szCs w:val="22"/>
          <w:lang w:eastAsia="en-US"/>
        </w:rPr>
        <w:t>Spolupráca so správcom GIS pre ÚEV o poskytnutí presných údajov pre GIS o lesoch.</w:t>
      </w:r>
    </w:p>
    <w:p w:rsidR="003F0BBD" w:rsidRPr="003F0BBD" w:rsidRDefault="003F0BBD" w:rsidP="00CE203B">
      <w:pPr>
        <w:keepNext/>
        <w:numPr>
          <w:ilvl w:val="0"/>
          <w:numId w:val="265"/>
        </w:numPr>
        <w:jc w:val="left"/>
        <w:outlineLvl w:val="1"/>
        <w:rPr>
          <w:rFonts w:ascii="Calibri" w:eastAsia="Calibri" w:hAnsi="Calibri"/>
          <w:szCs w:val="22"/>
          <w:lang w:eastAsia="en-US"/>
        </w:rPr>
      </w:pPr>
      <w:r w:rsidRPr="003F0BBD">
        <w:rPr>
          <w:rFonts w:ascii="Calibri" w:eastAsia="Calibri" w:hAnsi="Calibri"/>
          <w:szCs w:val="22"/>
          <w:lang w:eastAsia="en-US"/>
        </w:rPr>
        <w:t>Do kontrolných mechanizmov budú zapojené odborné organizácie na jednoznačných skontrolovanie plnenia podmienok.</w:t>
      </w:r>
    </w:p>
    <w:p w:rsidR="003F0BBD" w:rsidRPr="003F0BBD" w:rsidRDefault="003F0BBD" w:rsidP="003F0BBD">
      <w:pPr>
        <w:keepNext/>
        <w:ind w:left="851" w:hanging="851"/>
        <w:outlineLvl w:val="1"/>
        <w:rPr>
          <w:rFonts w:ascii="Calibri" w:eastAsia="Calibri" w:hAnsi="Calibri"/>
          <w:szCs w:val="22"/>
          <w:u w:val="single"/>
          <w:lang w:eastAsia="en-US"/>
        </w:rPr>
      </w:pPr>
    </w:p>
    <w:p w:rsidR="003F0BBD" w:rsidRPr="003F0BBD" w:rsidRDefault="003F0BBD" w:rsidP="003F0BBD">
      <w:pPr>
        <w:keepNext/>
        <w:ind w:left="851" w:hanging="851"/>
        <w:outlineLvl w:val="1"/>
        <w:rPr>
          <w:rFonts w:ascii="Calibri" w:eastAsia="Calibri" w:hAnsi="Calibri"/>
          <w:szCs w:val="22"/>
          <w:u w:val="single"/>
          <w:lang w:eastAsia="en-US"/>
        </w:rPr>
      </w:pPr>
      <w:r w:rsidRPr="003F0BBD">
        <w:rPr>
          <w:rFonts w:ascii="Calibri" w:eastAsia="Calibri" w:hAnsi="Calibri"/>
          <w:szCs w:val="22"/>
          <w:u w:val="single"/>
          <w:lang w:eastAsia="en-US"/>
        </w:rPr>
        <w:t>Celkové posúdenie opatrenia</w:t>
      </w:r>
    </w:p>
    <w:p w:rsidR="003F0BBD" w:rsidRPr="003F0BBD" w:rsidRDefault="003F0BBD" w:rsidP="003F0BBD">
      <w:pPr>
        <w:rPr>
          <w:rFonts w:ascii="Calibri" w:eastAsia="Calibri" w:hAnsi="Calibri"/>
          <w:iCs/>
          <w:szCs w:val="22"/>
          <w:lang w:eastAsia="en-US"/>
        </w:rPr>
      </w:pPr>
      <w:r w:rsidRPr="003F0BBD">
        <w:rPr>
          <w:rFonts w:ascii="Calibri" w:eastAsia="Calibri" w:hAnsi="Calibri"/>
          <w:iCs/>
          <w:szCs w:val="22"/>
          <w:lang w:eastAsia="en-US"/>
        </w:rPr>
        <w:t xml:space="preserve">Podopatrenie 15.1. </w:t>
      </w:r>
      <w:r w:rsidRPr="003F0BBD">
        <w:rPr>
          <w:rFonts w:ascii="Calibri" w:hAnsi="Calibri" w:cs="Calibri"/>
          <w:bCs/>
          <w:iCs/>
          <w:szCs w:val="22"/>
          <w:lang w:eastAsia="en-US"/>
        </w:rPr>
        <w:t xml:space="preserve">Platby na lesnícko-environmentálne záväzky </w:t>
      </w:r>
      <w:r w:rsidRPr="003F0BBD">
        <w:rPr>
          <w:rFonts w:ascii="Calibri" w:eastAsia="Calibri" w:hAnsi="Calibri"/>
          <w:iCs/>
          <w:szCs w:val="22"/>
          <w:lang w:eastAsia="en-US"/>
        </w:rPr>
        <w:t>bolo v pozmenených podmienkach realizované aj v programovom období 2007-2013.</w:t>
      </w:r>
      <w:r w:rsidRPr="003F0BBD">
        <w:rPr>
          <w:rFonts w:ascii="Calibri" w:eastAsia="Calibri" w:hAnsi="Calibri"/>
          <w:b/>
          <w:iCs/>
          <w:szCs w:val="22"/>
          <w:lang w:eastAsia="en-US"/>
        </w:rPr>
        <w:t xml:space="preserve"> </w:t>
      </w:r>
      <w:r w:rsidRPr="003F0BBD">
        <w:rPr>
          <w:rFonts w:ascii="Calibri" w:eastAsia="Calibri" w:hAnsi="Calibri"/>
          <w:iCs/>
          <w:szCs w:val="22"/>
          <w:lang w:eastAsia="en-US"/>
        </w:rPr>
        <w:t xml:space="preserve">Jeho čerpanie však nebolo realizované v nastavených indikátoroch. </w:t>
      </w:r>
    </w:p>
    <w:p w:rsidR="003F0BBD" w:rsidRPr="003F0BBD" w:rsidRDefault="003F0BBD" w:rsidP="003F0BBD">
      <w:pPr>
        <w:rPr>
          <w:rFonts w:ascii="Calibri" w:hAnsi="Calibri"/>
          <w:iCs/>
          <w:szCs w:val="22"/>
          <w:lang w:eastAsia="en-US"/>
        </w:rPr>
      </w:pPr>
      <w:r w:rsidRPr="003F0BBD">
        <w:rPr>
          <w:rFonts w:ascii="Calibri" w:hAnsi="Calibri"/>
          <w:iCs/>
          <w:szCs w:val="22"/>
          <w:lang w:eastAsia="en-US"/>
        </w:rPr>
        <w:t>Súčasne nastavené podmienky a možnosti dávajú predpoklad, aby realizácia tohto podopatrenia v stanovených ÚEV priniesla očakávaný efekt ochrany, udržania a manažovania týchto území.</w:t>
      </w:r>
    </w:p>
    <w:p w:rsidR="003F0BBD" w:rsidRPr="003F0BBD" w:rsidRDefault="003F0BBD" w:rsidP="003F0BBD">
      <w:pPr>
        <w:keepNext/>
        <w:outlineLvl w:val="1"/>
        <w:rPr>
          <w:rFonts w:ascii="Calibri" w:eastAsia="Calibri" w:hAnsi="Calibri"/>
          <w:szCs w:val="22"/>
          <w:lang w:eastAsia="en-US"/>
        </w:rPr>
      </w:pPr>
      <w:r w:rsidRPr="003F0BBD">
        <w:rPr>
          <w:rFonts w:ascii="Calibri" w:hAnsi="Calibri"/>
          <w:szCs w:val="22"/>
          <w:lang w:eastAsia="en-US"/>
        </w:rPr>
        <w:t>Podopatrenie 15.2. je nové a do realizácie je navrhované od roku 2016, pričom  rok 2015 sa využije na dostatočnú prípravu a výber žiadateľov.</w:t>
      </w:r>
    </w:p>
    <w:p w:rsidR="003F0BBD" w:rsidRPr="003F0BBD" w:rsidRDefault="003F0BBD" w:rsidP="003F0BBD">
      <w:pPr>
        <w:rPr>
          <w:rFonts w:ascii="Calibri" w:hAnsi="Calibri" w:cs="Calibri"/>
          <w:szCs w:val="22"/>
          <w:lang w:eastAsia="en-US"/>
        </w:rPr>
      </w:pPr>
    </w:p>
    <w:p w:rsidR="003F0BBD" w:rsidRPr="003F0BBD" w:rsidRDefault="003F0BBD" w:rsidP="003F0BBD">
      <w:pPr>
        <w:keepNext/>
        <w:ind w:left="851" w:hanging="851"/>
        <w:outlineLvl w:val="1"/>
        <w:rPr>
          <w:rFonts w:ascii="Calibri" w:hAnsi="Calibri" w:cs="Calibri"/>
          <w:szCs w:val="22"/>
          <w:u w:val="single"/>
          <w:lang w:eastAsia="en-US"/>
        </w:rPr>
      </w:pPr>
      <w:r w:rsidRPr="003F0BBD">
        <w:rPr>
          <w:rFonts w:ascii="Calibri" w:hAnsi="Calibri" w:cs="Calibri"/>
          <w:szCs w:val="22"/>
          <w:u w:val="single"/>
          <w:lang w:eastAsia="en-US"/>
        </w:rPr>
        <w:t xml:space="preserve">Kontrolovateľnosť podmienok podopatrenia </w:t>
      </w:r>
    </w:p>
    <w:p w:rsidR="003F0BBD" w:rsidRPr="003F0BBD" w:rsidRDefault="003F0BBD" w:rsidP="003F0BBD">
      <w:pPr>
        <w:rPr>
          <w:rFonts w:ascii="Calibri" w:hAnsi="Calibri" w:cs="Calibri"/>
          <w:bCs/>
          <w:iCs/>
          <w:szCs w:val="22"/>
          <w:lang w:eastAsia="en-US"/>
        </w:rPr>
      </w:pPr>
    </w:p>
    <w:p w:rsidR="003F0BBD" w:rsidRPr="003F0BBD" w:rsidRDefault="003F0BBD" w:rsidP="003F0BBD">
      <w:pPr>
        <w:rPr>
          <w:rFonts w:ascii="Calibri" w:hAnsi="Calibri" w:cs="Calibri"/>
          <w:bCs/>
          <w:szCs w:val="22"/>
          <w:lang w:eastAsia="en-US"/>
        </w:rPr>
      </w:pPr>
      <w:r w:rsidRPr="003F0BBD">
        <w:rPr>
          <w:rFonts w:ascii="Calibri" w:hAnsi="Calibri" w:cs="Calibri"/>
          <w:bCs/>
          <w:iCs/>
          <w:szCs w:val="22"/>
          <w:lang w:eastAsia="en-US"/>
        </w:rPr>
        <w:t>Platby na lesnícko-environmentálne záväzky</w:t>
      </w:r>
    </w:p>
    <w:tbl>
      <w:tblPr>
        <w:tblW w:w="0" w:type="auto"/>
        <w:tblInd w:w="70"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70" w:type="dxa"/>
          <w:right w:w="70" w:type="dxa"/>
        </w:tblCellMar>
        <w:tblLook w:val="04A0" w:firstRow="1" w:lastRow="0" w:firstColumn="1" w:lastColumn="0" w:noHBand="0" w:noVBand="1"/>
      </w:tblPr>
      <w:tblGrid>
        <w:gridCol w:w="4536"/>
        <w:gridCol w:w="2552"/>
        <w:gridCol w:w="1912"/>
      </w:tblGrid>
      <w:tr w:rsidR="003F0BBD" w:rsidRPr="003F0BBD" w:rsidTr="00B30F00">
        <w:trPr>
          <w:trHeight w:hRule="exact" w:val="495"/>
        </w:trPr>
        <w:tc>
          <w:tcPr>
            <w:tcW w:w="4536" w:type="dxa"/>
            <w:tcBorders>
              <w:top w:val="single" w:sz="8" w:space="0" w:color="auto"/>
              <w:left w:val="single" w:sz="8" w:space="0" w:color="auto"/>
              <w:bottom w:val="single" w:sz="8" w:space="0" w:color="auto"/>
              <w:right w:val="single" w:sz="8" w:space="0" w:color="auto"/>
            </w:tcBorders>
            <w:shd w:val="clear" w:color="auto" w:fill="F2DBDB"/>
          </w:tcPr>
          <w:p w:rsidR="003F0BBD" w:rsidRPr="003F0BBD" w:rsidRDefault="003F0BBD" w:rsidP="003F0BBD">
            <w:pPr>
              <w:rPr>
                <w:rFonts w:ascii="Calibri" w:hAnsi="Calibri"/>
                <w:b/>
                <w:sz w:val="20"/>
                <w:szCs w:val="20"/>
                <w:lang w:eastAsia="en-US"/>
              </w:rPr>
            </w:pPr>
            <w:r w:rsidRPr="003F0BBD">
              <w:rPr>
                <w:rFonts w:ascii="Calibri" w:hAnsi="Calibri"/>
                <w:b/>
                <w:sz w:val="20"/>
                <w:szCs w:val="20"/>
                <w:lang w:eastAsia="en-US"/>
              </w:rPr>
              <w:t>Podmienka</w:t>
            </w:r>
          </w:p>
          <w:p w:rsidR="003F0BBD" w:rsidRPr="003F0BBD" w:rsidRDefault="003F0BBD" w:rsidP="003F0BBD">
            <w:pPr>
              <w:rPr>
                <w:rFonts w:ascii="Calibri" w:hAnsi="Calibri"/>
                <w:b/>
                <w:sz w:val="20"/>
                <w:szCs w:val="20"/>
                <w:lang w:eastAsia="en-US"/>
              </w:rPr>
            </w:pPr>
          </w:p>
          <w:p w:rsidR="003F0BBD" w:rsidRPr="003F0BBD" w:rsidRDefault="003F0BBD" w:rsidP="003F0BBD">
            <w:pPr>
              <w:rPr>
                <w:rFonts w:ascii="Calibri" w:hAnsi="Calibri"/>
                <w:b/>
                <w:sz w:val="20"/>
                <w:szCs w:val="20"/>
                <w:lang w:eastAsia="en-US"/>
              </w:rPr>
            </w:pPr>
          </w:p>
          <w:p w:rsidR="003F0BBD" w:rsidRPr="003F0BBD" w:rsidRDefault="003F0BBD" w:rsidP="003F0BBD">
            <w:pPr>
              <w:rPr>
                <w:rFonts w:ascii="Calibri" w:hAnsi="Calibri"/>
                <w:b/>
                <w:sz w:val="20"/>
                <w:szCs w:val="20"/>
                <w:lang w:eastAsia="en-US"/>
              </w:rPr>
            </w:pPr>
          </w:p>
        </w:tc>
        <w:tc>
          <w:tcPr>
            <w:tcW w:w="2552" w:type="dxa"/>
            <w:tcBorders>
              <w:top w:val="single" w:sz="8" w:space="0" w:color="auto"/>
              <w:left w:val="single" w:sz="8" w:space="0" w:color="auto"/>
              <w:bottom w:val="single" w:sz="8" w:space="0" w:color="auto"/>
              <w:right w:val="single" w:sz="8" w:space="0" w:color="auto"/>
            </w:tcBorders>
            <w:shd w:val="clear" w:color="auto" w:fill="F2DBDB"/>
            <w:vAlign w:val="center"/>
          </w:tcPr>
          <w:p w:rsidR="003F0BBD" w:rsidRPr="003F0BBD" w:rsidRDefault="003F0BBD" w:rsidP="003F0BBD">
            <w:pPr>
              <w:jc w:val="center"/>
              <w:rPr>
                <w:rFonts w:ascii="Calibri" w:hAnsi="Calibri"/>
                <w:b/>
                <w:sz w:val="20"/>
                <w:szCs w:val="20"/>
                <w:lang w:eastAsia="en-US"/>
              </w:rPr>
            </w:pPr>
            <w:r w:rsidRPr="003F0BBD">
              <w:rPr>
                <w:rFonts w:ascii="Calibri" w:hAnsi="Calibri"/>
                <w:b/>
                <w:sz w:val="20"/>
                <w:szCs w:val="20"/>
                <w:lang w:eastAsia="en-US"/>
              </w:rPr>
              <w:t>Administratívna kontrola</w:t>
            </w:r>
          </w:p>
          <w:p w:rsidR="003F0BBD" w:rsidRPr="003F0BBD" w:rsidRDefault="003F0BBD" w:rsidP="003F0BBD">
            <w:pPr>
              <w:jc w:val="center"/>
              <w:rPr>
                <w:rFonts w:ascii="Calibri" w:hAnsi="Calibri"/>
                <w:b/>
                <w:sz w:val="20"/>
                <w:szCs w:val="20"/>
                <w:lang w:eastAsia="en-US"/>
              </w:rPr>
            </w:pPr>
          </w:p>
        </w:tc>
        <w:tc>
          <w:tcPr>
            <w:tcW w:w="1912" w:type="dxa"/>
            <w:tcBorders>
              <w:top w:val="single" w:sz="8" w:space="0" w:color="auto"/>
              <w:left w:val="single" w:sz="8" w:space="0" w:color="auto"/>
              <w:bottom w:val="single" w:sz="8" w:space="0" w:color="auto"/>
              <w:right w:val="single" w:sz="8" w:space="0" w:color="auto"/>
            </w:tcBorders>
            <w:shd w:val="clear" w:color="auto" w:fill="F2DBDB"/>
            <w:vAlign w:val="center"/>
          </w:tcPr>
          <w:p w:rsidR="003F0BBD" w:rsidRPr="003F0BBD" w:rsidRDefault="003F0BBD" w:rsidP="003F0BBD">
            <w:pPr>
              <w:jc w:val="center"/>
              <w:rPr>
                <w:rFonts w:ascii="Calibri" w:hAnsi="Calibri"/>
                <w:b/>
                <w:sz w:val="20"/>
                <w:szCs w:val="20"/>
                <w:lang w:eastAsia="en-US"/>
              </w:rPr>
            </w:pPr>
            <w:r w:rsidRPr="003F0BBD">
              <w:rPr>
                <w:rFonts w:ascii="Calibri" w:hAnsi="Calibri"/>
                <w:b/>
                <w:sz w:val="20"/>
                <w:szCs w:val="20"/>
                <w:lang w:eastAsia="en-US"/>
              </w:rPr>
              <w:t>Kontrola na mieste</w:t>
            </w:r>
          </w:p>
          <w:p w:rsidR="003F0BBD" w:rsidRPr="003F0BBD" w:rsidRDefault="003F0BBD" w:rsidP="003F0BBD">
            <w:pPr>
              <w:jc w:val="center"/>
              <w:rPr>
                <w:rFonts w:ascii="Calibri" w:hAnsi="Calibri"/>
                <w:b/>
                <w:sz w:val="20"/>
                <w:szCs w:val="20"/>
                <w:lang w:eastAsia="en-US"/>
              </w:rPr>
            </w:pPr>
          </w:p>
        </w:tc>
      </w:tr>
      <w:tr w:rsidR="003F0BBD" w:rsidRPr="003F0BBD" w:rsidTr="00B30F00">
        <w:trPr>
          <w:trHeight w:hRule="exact" w:val="567"/>
        </w:trPr>
        <w:tc>
          <w:tcPr>
            <w:tcW w:w="4536" w:type="dxa"/>
            <w:tcBorders>
              <w:top w:val="single" w:sz="8" w:space="0" w:color="auto"/>
              <w:left w:val="single" w:sz="8" w:space="0" w:color="auto"/>
              <w:bottom w:val="single" w:sz="8" w:space="0" w:color="auto"/>
              <w:right w:val="single" w:sz="8" w:space="0" w:color="auto"/>
            </w:tcBorders>
          </w:tcPr>
          <w:p w:rsidR="003F0BBD" w:rsidRPr="003F0BBD" w:rsidRDefault="003F0BBD" w:rsidP="003F0BBD">
            <w:pPr>
              <w:tabs>
                <w:tab w:val="num" w:pos="720"/>
                <w:tab w:val="left" w:pos="900"/>
                <w:tab w:val="decimal" w:pos="9000"/>
              </w:tabs>
              <w:overflowPunct w:val="0"/>
              <w:autoSpaceDE w:val="0"/>
              <w:autoSpaceDN w:val="0"/>
              <w:adjustRightInd w:val="0"/>
              <w:jc w:val="left"/>
              <w:textAlignment w:val="baseline"/>
              <w:rPr>
                <w:rFonts w:ascii="Calibri" w:eastAsia="Calibri" w:hAnsi="Calibri"/>
                <w:sz w:val="20"/>
                <w:szCs w:val="20"/>
                <w:lang w:eastAsia="cs-CZ"/>
              </w:rPr>
            </w:pPr>
            <w:r w:rsidRPr="003F0BBD">
              <w:rPr>
                <w:rFonts w:ascii="Calibri" w:hAnsi="Calibri" w:cs="Calibri"/>
                <w:sz w:val="20"/>
                <w:szCs w:val="20"/>
                <w:lang w:eastAsia="en-US"/>
              </w:rPr>
              <w:t>ponechať minimálne 5 ks živých</w:t>
            </w:r>
            <w:r w:rsidRPr="003F0BBD">
              <w:rPr>
                <w:rFonts w:ascii="Calibri" w:hAnsi="Calibri" w:cs="Calibri"/>
                <w:szCs w:val="22"/>
                <w:lang w:eastAsia="en-US"/>
              </w:rPr>
              <w:t xml:space="preserve"> </w:t>
            </w:r>
            <w:r w:rsidRPr="003F0BBD">
              <w:rPr>
                <w:rFonts w:ascii="Calibri" w:hAnsi="Calibri" w:cs="Calibri"/>
                <w:sz w:val="20"/>
                <w:szCs w:val="20"/>
                <w:lang w:eastAsia="en-US"/>
              </w:rPr>
              <w:t>stojacich stromov</w:t>
            </w:r>
            <w:r w:rsidRPr="003F0BBD">
              <w:rPr>
                <w:rFonts w:ascii="Calibri" w:hAnsi="Calibri" w:cs="Calibri"/>
                <w:szCs w:val="22"/>
                <w:lang w:eastAsia="en-US"/>
              </w:rPr>
              <w:t xml:space="preserve"> </w:t>
            </w:r>
            <w:r w:rsidRPr="003F0BBD">
              <w:rPr>
                <w:rFonts w:ascii="Calibri" w:hAnsi="Calibri" w:cs="Calibri"/>
                <w:sz w:val="20"/>
                <w:szCs w:val="20"/>
                <w:lang w:eastAsia="en-US"/>
              </w:rPr>
              <w:t>na</w:t>
            </w:r>
            <w:r w:rsidRPr="003F0BBD">
              <w:rPr>
                <w:rFonts w:ascii="Calibri" w:hAnsi="Calibri" w:cs="Calibri"/>
                <w:szCs w:val="22"/>
                <w:lang w:eastAsia="en-US"/>
              </w:rPr>
              <w:t xml:space="preserve"> </w:t>
            </w:r>
            <w:r w:rsidRPr="003F0BBD">
              <w:rPr>
                <w:rFonts w:ascii="Calibri" w:hAnsi="Calibri" w:cs="Calibri"/>
                <w:sz w:val="20"/>
                <w:szCs w:val="20"/>
                <w:lang w:eastAsia="en-US"/>
              </w:rPr>
              <w:t>1 ha</w:t>
            </w:r>
          </w:p>
        </w:tc>
        <w:tc>
          <w:tcPr>
            <w:tcW w:w="2552" w:type="dxa"/>
            <w:tcBorders>
              <w:top w:val="single" w:sz="8" w:space="0" w:color="auto"/>
              <w:left w:val="single" w:sz="8" w:space="0" w:color="auto"/>
              <w:bottom w:val="single" w:sz="8" w:space="0" w:color="auto"/>
              <w:right w:val="single" w:sz="8" w:space="0" w:color="auto"/>
            </w:tcBorders>
            <w:vAlign w:val="center"/>
          </w:tcPr>
          <w:p w:rsidR="003F0BBD" w:rsidRPr="003F0BBD" w:rsidRDefault="003F0BBD" w:rsidP="003F0BBD">
            <w:pPr>
              <w:jc w:val="center"/>
              <w:rPr>
                <w:rFonts w:ascii="Calibri" w:hAnsi="Calibri"/>
                <w:sz w:val="20"/>
                <w:szCs w:val="20"/>
                <w:lang w:eastAsia="en-US"/>
              </w:rPr>
            </w:pPr>
          </w:p>
        </w:tc>
        <w:tc>
          <w:tcPr>
            <w:tcW w:w="1912" w:type="dxa"/>
            <w:tcBorders>
              <w:top w:val="single" w:sz="8" w:space="0" w:color="auto"/>
              <w:left w:val="single" w:sz="8" w:space="0" w:color="auto"/>
              <w:bottom w:val="single" w:sz="8" w:space="0" w:color="auto"/>
              <w:right w:val="single" w:sz="8" w:space="0" w:color="auto"/>
            </w:tcBorders>
            <w:vAlign w:val="center"/>
          </w:tcPr>
          <w:p w:rsidR="003F0BBD" w:rsidRPr="003F0BBD" w:rsidRDefault="003F0BBD" w:rsidP="003F0BBD">
            <w:pPr>
              <w:jc w:val="center"/>
              <w:rPr>
                <w:rFonts w:ascii="Calibri" w:hAnsi="Calibri"/>
                <w:sz w:val="20"/>
                <w:szCs w:val="20"/>
                <w:lang w:eastAsia="en-US"/>
              </w:rPr>
            </w:pPr>
            <w:r w:rsidRPr="003F0BBD">
              <w:rPr>
                <w:rFonts w:ascii="Calibri" w:hAnsi="Calibri"/>
                <w:sz w:val="20"/>
                <w:szCs w:val="20"/>
                <w:lang w:eastAsia="en-US"/>
              </w:rPr>
              <w:t>x</w:t>
            </w:r>
          </w:p>
        </w:tc>
      </w:tr>
      <w:tr w:rsidR="003F0BBD" w:rsidRPr="003F0BBD" w:rsidTr="00B30F00">
        <w:trPr>
          <w:trHeight w:hRule="exact" w:val="1022"/>
        </w:trPr>
        <w:tc>
          <w:tcPr>
            <w:tcW w:w="4536" w:type="dxa"/>
            <w:tcBorders>
              <w:top w:val="single" w:sz="8" w:space="0" w:color="auto"/>
              <w:left w:val="single" w:sz="8" w:space="0" w:color="auto"/>
              <w:bottom w:val="single" w:sz="8" w:space="0" w:color="auto"/>
              <w:right w:val="single" w:sz="8" w:space="0" w:color="auto"/>
            </w:tcBorders>
          </w:tcPr>
          <w:p w:rsidR="003F0BBD" w:rsidRPr="003F0BBD" w:rsidRDefault="003F0BBD" w:rsidP="003F0BBD">
            <w:pPr>
              <w:tabs>
                <w:tab w:val="num" w:pos="720"/>
                <w:tab w:val="left" w:pos="900"/>
                <w:tab w:val="decimal" w:pos="9000"/>
              </w:tabs>
              <w:overflowPunct w:val="0"/>
              <w:autoSpaceDE w:val="0"/>
              <w:autoSpaceDN w:val="0"/>
              <w:adjustRightInd w:val="0"/>
              <w:jc w:val="left"/>
              <w:textAlignment w:val="baseline"/>
              <w:rPr>
                <w:rFonts w:ascii="Calibri" w:eastAsia="Calibri" w:hAnsi="Calibri"/>
                <w:sz w:val="20"/>
                <w:szCs w:val="20"/>
                <w:lang w:eastAsia="cs-CZ"/>
              </w:rPr>
            </w:pPr>
            <w:r w:rsidRPr="003F0BBD">
              <w:rPr>
                <w:rFonts w:ascii="Calibri" w:hAnsi="Calibri" w:cs="Calibri"/>
                <w:sz w:val="20"/>
                <w:szCs w:val="20"/>
                <w:lang w:eastAsia="en-US"/>
              </w:rPr>
              <w:t>uplatňovať výlučne výberkový alebo účelový hospodársky spôsob, alebo výlučne maloplošnú formu podrastového hospodárskeho spôsobu s výmerou obnovného prvku maximálne do 1,5 ha</w:t>
            </w:r>
          </w:p>
        </w:tc>
        <w:tc>
          <w:tcPr>
            <w:tcW w:w="2552" w:type="dxa"/>
            <w:tcBorders>
              <w:top w:val="single" w:sz="8" w:space="0" w:color="auto"/>
              <w:left w:val="single" w:sz="8" w:space="0" w:color="auto"/>
              <w:bottom w:val="single" w:sz="8" w:space="0" w:color="auto"/>
              <w:right w:val="single" w:sz="8" w:space="0" w:color="auto"/>
            </w:tcBorders>
            <w:vAlign w:val="center"/>
          </w:tcPr>
          <w:p w:rsidR="003F0BBD" w:rsidRPr="003F0BBD" w:rsidRDefault="003F0BBD" w:rsidP="003F0BBD">
            <w:pPr>
              <w:jc w:val="center"/>
              <w:rPr>
                <w:rFonts w:ascii="Calibri" w:hAnsi="Calibri"/>
                <w:sz w:val="20"/>
                <w:szCs w:val="20"/>
                <w:lang w:eastAsia="en-US"/>
              </w:rPr>
            </w:pPr>
          </w:p>
        </w:tc>
        <w:tc>
          <w:tcPr>
            <w:tcW w:w="1912" w:type="dxa"/>
            <w:tcBorders>
              <w:top w:val="single" w:sz="8" w:space="0" w:color="auto"/>
              <w:left w:val="single" w:sz="8" w:space="0" w:color="auto"/>
              <w:bottom w:val="single" w:sz="8" w:space="0" w:color="auto"/>
              <w:right w:val="single" w:sz="8" w:space="0" w:color="auto"/>
            </w:tcBorders>
            <w:vAlign w:val="center"/>
          </w:tcPr>
          <w:p w:rsidR="003F0BBD" w:rsidRPr="003F0BBD" w:rsidRDefault="003F0BBD" w:rsidP="003F0BBD">
            <w:pPr>
              <w:jc w:val="center"/>
              <w:rPr>
                <w:rFonts w:ascii="Calibri" w:hAnsi="Calibri"/>
                <w:sz w:val="20"/>
                <w:szCs w:val="20"/>
                <w:lang w:eastAsia="en-US"/>
              </w:rPr>
            </w:pPr>
            <w:r w:rsidRPr="003F0BBD">
              <w:rPr>
                <w:rFonts w:ascii="Calibri" w:hAnsi="Calibri"/>
                <w:sz w:val="20"/>
                <w:szCs w:val="20"/>
                <w:lang w:eastAsia="en-US"/>
              </w:rPr>
              <w:t>x</w:t>
            </w:r>
          </w:p>
        </w:tc>
      </w:tr>
      <w:tr w:rsidR="003F0BBD" w:rsidRPr="003F0BBD" w:rsidTr="00B30F00">
        <w:trPr>
          <w:trHeight w:hRule="exact" w:val="567"/>
        </w:trPr>
        <w:tc>
          <w:tcPr>
            <w:tcW w:w="4536" w:type="dxa"/>
            <w:tcBorders>
              <w:top w:val="single" w:sz="8" w:space="0" w:color="auto"/>
              <w:left w:val="single" w:sz="8" w:space="0" w:color="auto"/>
              <w:bottom w:val="single" w:sz="8" w:space="0" w:color="auto"/>
              <w:right w:val="single" w:sz="8" w:space="0" w:color="auto"/>
            </w:tcBorders>
            <w:hideMark/>
          </w:tcPr>
          <w:p w:rsidR="003F0BBD" w:rsidRPr="003F0BBD" w:rsidRDefault="003F0BBD" w:rsidP="003F0BBD">
            <w:pPr>
              <w:tabs>
                <w:tab w:val="num" w:pos="720"/>
                <w:tab w:val="left" w:pos="900"/>
                <w:tab w:val="decimal" w:pos="9000"/>
              </w:tabs>
              <w:overflowPunct w:val="0"/>
              <w:autoSpaceDE w:val="0"/>
              <w:autoSpaceDN w:val="0"/>
              <w:adjustRightInd w:val="0"/>
              <w:jc w:val="left"/>
              <w:textAlignment w:val="baseline"/>
              <w:rPr>
                <w:rFonts w:ascii="Calibri" w:eastAsia="Calibri" w:hAnsi="Calibri"/>
                <w:sz w:val="20"/>
                <w:szCs w:val="20"/>
                <w:lang w:eastAsia="cs-CZ"/>
              </w:rPr>
            </w:pPr>
            <w:r w:rsidRPr="003F0BBD">
              <w:rPr>
                <w:rFonts w:ascii="Calibri" w:hAnsi="Calibri" w:cs="Calibri"/>
                <w:sz w:val="20"/>
                <w:szCs w:val="20"/>
                <w:lang w:eastAsia="en-US"/>
              </w:rPr>
              <w:t>dosiahnuť prirodzenú obnovu drevín na minimálne  60 % obnovovanej plochy</w:t>
            </w:r>
          </w:p>
        </w:tc>
        <w:tc>
          <w:tcPr>
            <w:tcW w:w="2552" w:type="dxa"/>
            <w:tcBorders>
              <w:top w:val="single" w:sz="8" w:space="0" w:color="auto"/>
              <w:left w:val="single" w:sz="8" w:space="0" w:color="auto"/>
              <w:bottom w:val="single" w:sz="8" w:space="0" w:color="auto"/>
              <w:right w:val="single" w:sz="8" w:space="0" w:color="auto"/>
            </w:tcBorders>
            <w:vAlign w:val="center"/>
          </w:tcPr>
          <w:p w:rsidR="003F0BBD" w:rsidRPr="003F0BBD" w:rsidRDefault="003F0BBD" w:rsidP="003F0BBD">
            <w:pPr>
              <w:spacing w:after="240"/>
              <w:jc w:val="center"/>
              <w:rPr>
                <w:rFonts w:ascii="Calibri" w:hAnsi="Calibri"/>
                <w:sz w:val="20"/>
                <w:szCs w:val="20"/>
                <w:lang w:eastAsia="en-US"/>
              </w:rPr>
            </w:pPr>
          </w:p>
        </w:tc>
        <w:tc>
          <w:tcPr>
            <w:tcW w:w="1912" w:type="dxa"/>
            <w:tcBorders>
              <w:top w:val="single" w:sz="8" w:space="0" w:color="auto"/>
              <w:left w:val="single" w:sz="8" w:space="0" w:color="auto"/>
              <w:bottom w:val="single" w:sz="8" w:space="0" w:color="auto"/>
              <w:right w:val="single" w:sz="8" w:space="0" w:color="auto"/>
            </w:tcBorders>
            <w:vAlign w:val="center"/>
          </w:tcPr>
          <w:p w:rsidR="003F0BBD" w:rsidRPr="003F0BBD" w:rsidRDefault="003F0BBD" w:rsidP="003F0BBD">
            <w:pPr>
              <w:jc w:val="center"/>
              <w:rPr>
                <w:rFonts w:ascii="Calibri" w:hAnsi="Calibri"/>
                <w:sz w:val="20"/>
                <w:szCs w:val="20"/>
                <w:lang w:eastAsia="en-US"/>
              </w:rPr>
            </w:pPr>
          </w:p>
          <w:p w:rsidR="003F0BBD" w:rsidRPr="003F0BBD" w:rsidRDefault="003F0BBD" w:rsidP="003F0BBD">
            <w:pPr>
              <w:jc w:val="center"/>
              <w:rPr>
                <w:rFonts w:ascii="Calibri" w:hAnsi="Calibri"/>
                <w:sz w:val="20"/>
                <w:szCs w:val="20"/>
                <w:lang w:eastAsia="en-US"/>
              </w:rPr>
            </w:pPr>
            <w:r w:rsidRPr="003F0BBD">
              <w:rPr>
                <w:rFonts w:ascii="Calibri" w:hAnsi="Calibri"/>
                <w:sz w:val="20"/>
                <w:szCs w:val="20"/>
                <w:lang w:eastAsia="en-US"/>
              </w:rPr>
              <w:t>x</w:t>
            </w:r>
          </w:p>
          <w:p w:rsidR="003F0BBD" w:rsidRPr="003F0BBD" w:rsidRDefault="003F0BBD" w:rsidP="003F0BBD">
            <w:pPr>
              <w:spacing w:after="240"/>
              <w:jc w:val="center"/>
              <w:rPr>
                <w:rFonts w:ascii="Calibri" w:hAnsi="Calibri"/>
                <w:sz w:val="20"/>
                <w:szCs w:val="20"/>
                <w:lang w:eastAsia="en-US"/>
              </w:rPr>
            </w:pPr>
          </w:p>
        </w:tc>
      </w:tr>
      <w:tr w:rsidR="003F0BBD" w:rsidRPr="003F0BBD" w:rsidTr="00B30F00">
        <w:trPr>
          <w:trHeight w:hRule="exact" w:val="548"/>
        </w:trPr>
        <w:tc>
          <w:tcPr>
            <w:tcW w:w="4536" w:type="dxa"/>
            <w:tcBorders>
              <w:top w:val="single" w:sz="8" w:space="0" w:color="auto"/>
              <w:left w:val="single" w:sz="8" w:space="0" w:color="auto"/>
              <w:bottom w:val="single" w:sz="8" w:space="0" w:color="auto"/>
              <w:right w:val="single" w:sz="8" w:space="0" w:color="auto"/>
            </w:tcBorders>
          </w:tcPr>
          <w:p w:rsidR="003F0BBD" w:rsidRPr="003F0BBD" w:rsidRDefault="003F0BBD" w:rsidP="003F0BBD">
            <w:pPr>
              <w:spacing w:after="240"/>
              <w:jc w:val="left"/>
              <w:rPr>
                <w:rFonts w:ascii="Calibri" w:hAnsi="Calibri"/>
                <w:sz w:val="20"/>
                <w:szCs w:val="20"/>
                <w:lang w:eastAsia="en-US"/>
              </w:rPr>
            </w:pPr>
            <w:r w:rsidRPr="003F0BBD">
              <w:rPr>
                <w:rFonts w:ascii="Calibri" w:hAnsi="Calibri" w:cs="Calibri"/>
                <w:sz w:val="20"/>
                <w:szCs w:val="20"/>
                <w:lang w:eastAsia="en-US"/>
              </w:rPr>
              <w:t>ponechať časť pionierskych drevín na dožitie pokiaľ ich zastúpenie nepresiahne 10 %</w:t>
            </w:r>
          </w:p>
        </w:tc>
        <w:tc>
          <w:tcPr>
            <w:tcW w:w="2552" w:type="dxa"/>
            <w:tcBorders>
              <w:top w:val="single" w:sz="8" w:space="0" w:color="auto"/>
              <w:left w:val="single" w:sz="8" w:space="0" w:color="auto"/>
              <w:bottom w:val="single" w:sz="8" w:space="0" w:color="auto"/>
              <w:right w:val="single" w:sz="8" w:space="0" w:color="auto"/>
            </w:tcBorders>
            <w:vAlign w:val="center"/>
          </w:tcPr>
          <w:p w:rsidR="003F0BBD" w:rsidRPr="003F0BBD" w:rsidRDefault="003F0BBD" w:rsidP="003F0BBD">
            <w:pPr>
              <w:jc w:val="center"/>
              <w:rPr>
                <w:rFonts w:ascii="Calibri" w:hAnsi="Calibri"/>
                <w:sz w:val="20"/>
                <w:szCs w:val="20"/>
                <w:lang w:eastAsia="en-US"/>
              </w:rPr>
            </w:pPr>
          </w:p>
        </w:tc>
        <w:tc>
          <w:tcPr>
            <w:tcW w:w="1912" w:type="dxa"/>
            <w:tcBorders>
              <w:top w:val="single" w:sz="8" w:space="0" w:color="auto"/>
              <w:left w:val="single" w:sz="8" w:space="0" w:color="auto"/>
              <w:bottom w:val="single" w:sz="8" w:space="0" w:color="auto"/>
              <w:right w:val="single" w:sz="8" w:space="0" w:color="auto"/>
            </w:tcBorders>
            <w:vAlign w:val="center"/>
          </w:tcPr>
          <w:p w:rsidR="003F0BBD" w:rsidRPr="003F0BBD" w:rsidRDefault="003F0BBD" w:rsidP="003F0BBD">
            <w:pPr>
              <w:jc w:val="center"/>
              <w:rPr>
                <w:rFonts w:ascii="Calibri" w:hAnsi="Calibri"/>
                <w:sz w:val="20"/>
                <w:szCs w:val="20"/>
                <w:lang w:eastAsia="en-US"/>
              </w:rPr>
            </w:pPr>
            <w:r w:rsidRPr="003F0BBD">
              <w:rPr>
                <w:rFonts w:ascii="Calibri" w:hAnsi="Calibri"/>
                <w:sz w:val="20"/>
                <w:szCs w:val="20"/>
                <w:lang w:eastAsia="en-US"/>
              </w:rPr>
              <w:t>x</w:t>
            </w:r>
          </w:p>
        </w:tc>
      </w:tr>
      <w:tr w:rsidR="003F0BBD" w:rsidRPr="003F0BBD" w:rsidTr="00B30F00">
        <w:trPr>
          <w:trHeight w:hRule="exact" w:val="414"/>
        </w:trPr>
        <w:tc>
          <w:tcPr>
            <w:tcW w:w="4536" w:type="dxa"/>
            <w:tcBorders>
              <w:top w:val="single" w:sz="8" w:space="0" w:color="auto"/>
              <w:left w:val="single" w:sz="8" w:space="0" w:color="auto"/>
              <w:bottom w:val="single" w:sz="8" w:space="0" w:color="auto"/>
              <w:right w:val="single" w:sz="8" w:space="0" w:color="auto"/>
            </w:tcBorders>
          </w:tcPr>
          <w:p w:rsidR="003F0BBD" w:rsidRPr="003F0BBD" w:rsidRDefault="003F0BBD" w:rsidP="003F0BBD">
            <w:pPr>
              <w:spacing w:after="240"/>
              <w:jc w:val="left"/>
              <w:rPr>
                <w:rFonts w:ascii="Calibri" w:hAnsi="Calibri"/>
                <w:sz w:val="20"/>
                <w:szCs w:val="20"/>
                <w:lang w:eastAsia="en-US"/>
              </w:rPr>
            </w:pPr>
            <w:r w:rsidRPr="003F0BBD">
              <w:rPr>
                <w:rFonts w:ascii="Calibri" w:hAnsi="Calibri" w:cs="Calibri"/>
                <w:sz w:val="20"/>
                <w:szCs w:val="20"/>
                <w:lang w:eastAsia="en-US"/>
              </w:rPr>
              <w:t>vylúčiť používanie prípravkov na ochranu rastlín</w:t>
            </w:r>
          </w:p>
        </w:tc>
        <w:tc>
          <w:tcPr>
            <w:tcW w:w="2552" w:type="dxa"/>
            <w:tcBorders>
              <w:top w:val="single" w:sz="8" w:space="0" w:color="auto"/>
              <w:left w:val="single" w:sz="8" w:space="0" w:color="auto"/>
              <w:bottom w:val="single" w:sz="8" w:space="0" w:color="auto"/>
              <w:right w:val="single" w:sz="8" w:space="0" w:color="auto"/>
            </w:tcBorders>
            <w:vAlign w:val="center"/>
          </w:tcPr>
          <w:p w:rsidR="003F0BBD" w:rsidRPr="003F0BBD" w:rsidRDefault="003F0BBD" w:rsidP="003F0BBD">
            <w:pPr>
              <w:spacing w:after="240"/>
              <w:jc w:val="center"/>
              <w:rPr>
                <w:rFonts w:ascii="Calibri" w:hAnsi="Calibri"/>
                <w:sz w:val="20"/>
                <w:szCs w:val="20"/>
                <w:lang w:eastAsia="en-US"/>
              </w:rPr>
            </w:pPr>
            <w:r w:rsidRPr="003F0BBD">
              <w:rPr>
                <w:rFonts w:ascii="Calibri" w:hAnsi="Calibri"/>
                <w:sz w:val="20"/>
                <w:szCs w:val="20"/>
                <w:lang w:eastAsia="en-US"/>
              </w:rPr>
              <w:t>záznamy o aplikácii</w:t>
            </w:r>
          </w:p>
        </w:tc>
        <w:tc>
          <w:tcPr>
            <w:tcW w:w="1912" w:type="dxa"/>
            <w:tcBorders>
              <w:top w:val="single" w:sz="8" w:space="0" w:color="auto"/>
              <w:left w:val="single" w:sz="8" w:space="0" w:color="auto"/>
              <w:bottom w:val="single" w:sz="8" w:space="0" w:color="auto"/>
              <w:right w:val="single" w:sz="8" w:space="0" w:color="auto"/>
            </w:tcBorders>
            <w:vAlign w:val="center"/>
          </w:tcPr>
          <w:p w:rsidR="003F0BBD" w:rsidRPr="003F0BBD" w:rsidRDefault="003F0BBD" w:rsidP="003F0BBD">
            <w:pPr>
              <w:jc w:val="center"/>
              <w:rPr>
                <w:rFonts w:ascii="Calibri" w:hAnsi="Calibri"/>
                <w:sz w:val="20"/>
                <w:szCs w:val="20"/>
                <w:lang w:eastAsia="en-US"/>
              </w:rPr>
            </w:pPr>
          </w:p>
        </w:tc>
      </w:tr>
      <w:tr w:rsidR="003F0BBD" w:rsidRPr="003F0BBD" w:rsidTr="00B30F00">
        <w:trPr>
          <w:trHeight w:hRule="exact" w:val="420"/>
        </w:trPr>
        <w:tc>
          <w:tcPr>
            <w:tcW w:w="4536" w:type="dxa"/>
            <w:tcBorders>
              <w:top w:val="single" w:sz="8" w:space="0" w:color="auto"/>
              <w:left w:val="single" w:sz="8" w:space="0" w:color="auto"/>
              <w:bottom w:val="single" w:sz="8" w:space="0" w:color="auto"/>
              <w:right w:val="single" w:sz="8" w:space="0" w:color="auto"/>
            </w:tcBorders>
          </w:tcPr>
          <w:p w:rsidR="003F0BBD" w:rsidRPr="003F0BBD" w:rsidRDefault="003F0BBD" w:rsidP="003F0BBD">
            <w:pPr>
              <w:spacing w:after="240"/>
              <w:jc w:val="left"/>
              <w:rPr>
                <w:rFonts w:ascii="Calibri" w:hAnsi="Calibri"/>
                <w:sz w:val="20"/>
                <w:szCs w:val="20"/>
                <w:lang w:eastAsia="en-US"/>
              </w:rPr>
            </w:pPr>
            <w:r w:rsidRPr="003F0BBD">
              <w:rPr>
                <w:rFonts w:ascii="Calibri" w:hAnsi="Calibri" w:cs="Calibri"/>
                <w:sz w:val="20"/>
                <w:szCs w:val="20"/>
                <w:lang w:eastAsia="en-US"/>
              </w:rPr>
              <w:t>používať biologicky odbúrateľný olej</w:t>
            </w:r>
          </w:p>
        </w:tc>
        <w:tc>
          <w:tcPr>
            <w:tcW w:w="2552" w:type="dxa"/>
            <w:tcBorders>
              <w:top w:val="single" w:sz="8" w:space="0" w:color="auto"/>
              <w:left w:val="single" w:sz="8" w:space="0" w:color="auto"/>
              <w:bottom w:val="single" w:sz="8" w:space="0" w:color="auto"/>
              <w:right w:val="single" w:sz="8" w:space="0" w:color="auto"/>
            </w:tcBorders>
            <w:vAlign w:val="center"/>
          </w:tcPr>
          <w:p w:rsidR="003F0BBD" w:rsidRPr="003F0BBD" w:rsidRDefault="003F0BBD" w:rsidP="003F0BBD">
            <w:pPr>
              <w:spacing w:after="240"/>
              <w:jc w:val="center"/>
              <w:rPr>
                <w:rFonts w:ascii="Calibri" w:hAnsi="Calibri"/>
                <w:sz w:val="20"/>
                <w:szCs w:val="20"/>
                <w:lang w:eastAsia="en-US"/>
              </w:rPr>
            </w:pPr>
          </w:p>
        </w:tc>
        <w:tc>
          <w:tcPr>
            <w:tcW w:w="1912" w:type="dxa"/>
            <w:tcBorders>
              <w:top w:val="single" w:sz="8" w:space="0" w:color="auto"/>
              <w:left w:val="single" w:sz="8" w:space="0" w:color="auto"/>
              <w:bottom w:val="single" w:sz="8" w:space="0" w:color="auto"/>
              <w:right w:val="single" w:sz="8" w:space="0" w:color="auto"/>
            </w:tcBorders>
            <w:vAlign w:val="center"/>
          </w:tcPr>
          <w:p w:rsidR="003F0BBD" w:rsidRPr="003F0BBD" w:rsidRDefault="003F0BBD" w:rsidP="003F0BBD">
            <w:pPr>
              <w:jc w:val="center"/>
              <w:rPr>
                <w:rFonts w:ascii="Calibri" w:hAnsi="Calibri"/>
                <w:sz w:val="20"/>
                <w:szCs w:val="20"/>
                <w:lang w:eastAsia="en-US"/>
              </w:rPr>
            </w:pPr>
            <w:r w:rsidRPr="003F0BBD">
              <w:rPr>
                <w:rFonts w:ascii="Calibri" w:hAnsi="Calibri"/>
                <w:sz w:val="20"/>
                <w:szCs w:val="20"/>
                <w:lang w:eastAsia="en-US"/>
              </w:rPr>
              <w:t>x</w:t>
            </w:r>
          </w:p>
        </w:tc>
      </w:tr>
      <w:tr w:rsidR="003F0BBD" w:rsidRPr="003F0BBD" w:rsidTr="00B30F00">
        <w:trPr>
          <w:trHeight w:hRule="exact" w:val="425"/>
        </w:trPr>
        <w:tc>
          <w:tcPr>
            <w:tcW w:w="4536" w:type="dxa"/>
            <w:tcBorders>
              <w:top w:val="single" w:sz="8" w:space="0" w:color="auto"/>
              <w:left w:val="single" w:sz="8" w:space="0" w:color="auto"/>
              <w:bottom w:val="single" w:sz="8" w:space="0" w:color="auto"/>
              <w:right w:val="single" w:sz="8" w:space="0" w:color="auto"/>
            </w:tcBorders>
          </w:tcPr>
          <w:p w:rsidR="003F0BBD" w:rsidRPr="003F0BBD" w:rsidRDefault="003F0BBD" w:rsidP="003F0BBD">
            <w:pPr>
              <w:spacing w:after="240"/>
              <w:rPr>
                <w:rFonts w:ascii="Calibri" w:hAnsi="Calibri"/>
                <w:sz w:val="20"/>
                <w:szCs w:val="20"/>
                <w:lang w:eastAsia="en-US"/>
              </w:rPr>
            </w:pPr>
            <w:r w:rsidRPr="003F0BBD">
              <w:rPr>
                <w:rFonts w:ascii="Calibri" w:hAnsi="Calibri" w:cs="Calibri"/>
                <w:sz w:val="20"/>
                <w:szCs w:val="20"/>
                <w:lang w:eastAsia="en-US"/>
              </w:rPr>
              <w:t>pri približovaní dreva využívať sortimentovú metódu</w:t>
            </w:r>
            <w:r w:rsidRPr="003F0BBD">
              <w:rPr>
                <w:rFonts w:ascii="Calibri" w:hAnsi="Calibri"/>
                <w:sz w:val="20"/>
                <w:szCs w:val="20"/>
                <w:lang w:eastAsia="en-US"/>
              </w:rPr>
              <w:t xml:space="preserve"> </w:t>
            </w:r>
          </w:p>
        </w:tc>
        <w:tc>
          <w:tcPr>
            <w:tcW w:w="2552" w:type="dxa"/>
            <w:tcBorders>
              <w:top w:val="single" w:sz="8" w:space="0" w:color="auto"/>
              <w:left w:val="single" w:sz="8" w:space="0" w:color="auto"/>
              <w:bottom w:val="single" w:sz="8" w:space="0" w:color="auto"/>
              <w:right w:val="single" w:sz="8" w:space="0" w:color="auto"/>
            </w:tcBorders>
            <w:vAlign w:val="center"/>
          </w:tcPr>
          <w:p w:rsidR="003F0BBD" w:rsidRPr="003F0BBD" w:rsidRDefault="003F0BBD" w:rsidP="003F0BBD">
            <w:pPr>
              <w:spacing w:after="240"/>
              <w:jc w:val="center"/>
              <w:rPr>
                <w:rFonts w:ascii="Calibri" w:hAnsi="Calibri"/>
                <w:sz w:val="20"/>
                <w:szCs w:val="20"/>
                <w:lang w:eastAsia="en-US"/>
              </w:rPr>
            </w:pPr>
          </w:p>
        </w:tc>
        <w:tc>
          <w:tcPr>
            <w:tcW w:w="1912" w:type="dxa"/>
            <w:tcBorders>
              <w:top w:val="single" w:sz="8" w:space="0" w:color="auto"/>
              <w:left w:val="single" w:sz="8" w:space="0" w:color="auto"/>
              <w:bottom w:val="single" w:sz="8" w:space="0" w:color="auto"/>
              <w:right w:val="single" w:sz="8" w:space="0" w:color="auto"/>
            </w:tcBorders>
            <w:vAlign w:val="center"/>
          </w:tcPr>
          <w:p w:rsidR="003F0BBD" w:rsidRPr="003F0BBD" w:rsidRDefault="003F0BBD" w:rsidP="003F0BBD">
            <w:pPr>
              <w:jc w:val="center"/>
              <w:rPr>
                <w:rFonts w:ascii="Calibri" w:hAnsi="Calibri"/>
                <w:sz w:val="20"/>
                <w:szCs w:val="20"/>
                <w:lang w:eastAsia="en-US"/>
              </w:rPr>
            </w:pPr>
            <w:r w:rsidRPr="003F0BBD">
              <w:rPr>
                <w:rFonts w:ascii="Calibri" w:hAnsi="Calibri"/>
                <w:sz w:val="20"/>
                <w:szCs w:val="20"/>
                <w:lang w:eastAsia="en-US"/>
              </w:rPr>
              <w:t>x</w:t>
            </w:r>
          </w:p>
        </w:tc>
      </w:tr>
    </w:tbl>
    <w:p w:rsidR="003F0BBD" w:rsidRPr="003F0BBD" w:rsidRDefault="003F0BBD" w:rsidP="003F0BBD">
      <w:pPr>
        <w:rPr>
          <w:rFonts w:ascii="Calibri" w:hAnsi="Calibri" w:cs="Calibri"/>
          <w:b/>
          <w:bCs/>
          <w:szCs w:val="22"/>
          <w:lang w:eastAsia="en-US"/>
        </w:rPr>
      </w:pPr>
    </w:p>
    <w:p w:rsidR="003F0BBD" w:rsidRPr="003F0BBD" w:rsidRDefault="003F0BBD" w:rsidP="003F0BBD">
      <w:pPr>
        <w:rPr>
          <w:rFonts w:ascii="Calibri" w:hAnsi="Calibri" w:cs="Calibri"/>
          <w:bCs/>
          <w:szCs w:val="22"/>
          <w:lang w:eastAsia="en-US"/>
        </w:rPr>
      </w:pPr>
      <w:r w:rsidRPr="003F0BBD">
        <w:rPr>
          <w:rFonts w:ascii="Calibri" w:hAnsi="Calibri" w:cs="Calibri"/>
          <w:bCs/>
          <w:iCs/>
          <w:szCs w:val="22"/>
          <w:lang w:eastAsia="en-US"/>
        </w:rPr>
        <w:t>Podpora na účely ochrany a podpory  lesných genetických zdrojov</w:t>
      </w:r>
    </w:p>
    <w:tbl>
      <w:tblPr>
        <w:tblW w:w="0" w:type="auto"/>
        <w:tblInd w:w="70"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70" w:type="dxa"/>
          <w:right w:w="70" w:type="dxa"/>
        </w:tblCellMar>
        <w:tblLook w:val="04A0" w:firstRow="1" w:lastRow="0" w:firstColumn="1" w:lastColumn="0" w:noHBand="0" w:noVBand="1"/>
      </w:tblPr>
      <w:tblGrid>
        <w:gridCol w:w="4536"/>
        <w:gridCol w:w="2552"/>
        <w:gridCol w:w="1912"/>
      </w:tblGrid>
      <w:tr w:rsidR="003F0BBD" w:rsidRPr="003F0BBD" w:rsidTr="00B30F00">
        <w:trPr>
          <w:trHeight w:hRule="exact" w:val="495"/>
        </w:trPr>
        <w:tc>
          <w:tcPr>
            <w:tcW w:w="4536" w:type="dxa"/>
            <w:tcBorders>
              <w:top w:val="single" w:sz="8" w:space="0" w:color="auto"/>
              <w:left w:val="single" w:sz="8" w:space="0" w:color="auto"/>
              <w:bottom w:val="single" w:sz="8" w:space="0" w:color="auto"/>
              <w:right w:val="single" w:sz="8" w:space="0" w:color="auto"/>
            </w:tcBorders>
            <w:shd w:val="clear" w:color="auto" w:fill="F2DBDB"/>
          </w:tcPr>
          <w:p w:rsidR="003F0BBD" w:rsidRPr="003F0BBD" w:rsidRDefault="003F0BBD" w:rsidP="003F0BBD">
            <w:pPr>
              <w:rPr>
                <w:rFonts w:ascii="Calibri" w:hAnsi="Calibri"/>
                <w:b/>
                <w:sz w:val="20"/>
                <w:szCs w:val="20"/>
                <w:lang w:eastAsia="en-US"/>
              </w:rPr>
            </w:pPr>
            <w:r w:rsidRPr="003F0BBD">
              <w:rPr>
                <w:rFonts w:ascii="Calibri" w:hAnsi="Calibri"/>
                <w:b/>
                <w:sz w:val="20"/>
                <w:szCs w:val="20"/>
                <w:lang w:eastAsia="en-US"/>
              </w:rPr>
              <w:t>Podmienka</w:t>
            </w:r>
          </w:p>
          <w:p w:rsidR="003F0BBD" w:rsidRPr="003F0BBD" w:rsidRDefault="003F0BBD" w:rsidP="003F0BBD">
            <w:pPr>
              <w:rPr>
                <w:rFonts w:ascii="Calibri" w:hAnsi="Calibri"/>
                <w:b/>
                <w:sz w:val="20"/>
                <w:szCs w:val="20"/>
                <w:lang w:eastAsia="en-US"/>
              </w:rPr>
            </w:pPr>
          </w:p>
          <w:p w:rsidR="003F0BBD" w:rsidRPr="003F0BBD" w:rsidRDefault="003F0BBD" w:rsidP="003F0BBD">
            <w:pPr>
              <w:rPr>
                <w:rFonts w:ascii="Calibri" w:hAnsi="Calibri"/>
                <w:b/>
                <w:sz w:val="20"/>
                <w:szCs w:val="20"/>
                <w:lang w:eastAsia="en-US"/>
              </w:rPr>
            </w:pPr>
          </w:p>
          <w:p w:rsidR="003F0BBD" w:rsidRPr="003F0BBD" w:rsidRDefault="003F0BBD" w:rsidP="003F0BBD">
            <w:pPr>
              <w:rPr>
                <w:rFonts w:ascii="Calibri" w:hAnsi="Calibri"/>
                <w:b/>
                <w:sz w:val="20"/>
                <w:szCs w:val="20"/>
                <w:lang w:eastAsia="en-US"/>
              </w:rPr>
            </w:pPr>
          </w:p>
        </w:tc>
        <w:tc>
          <w:tcPr>
            <w:tcW w:w="2552" w:type="dxa"/>
            <w:tcBorders>
              <w:top w:val="single" w:sz="8" w:space="0" w:color="auto"/>
              <w:left w:val="single" w:sz="8" w:space="0" w:color="auto"/>
              <w:bottom w:val="single" w:sz="8" w:space="0" w:color="auto"/>
              <w:right w:val="single" w:sz="8" w:space="0" w:color="auto"/>
            </w:tcBorders>
            <w:shd w:val="clear" w:color="auto" w:fill="F2DBDB"/>
            <w:vAlign w:val="center"/>
          </w:tcPr>
          <w:p w:rsidR="003F0BBD" w:rsidRPr="003F0BBD" w:rsidRDefault="003F0BBD" w:rsidP="003F0BBD">
            <w:pPr>
              <w:jc w:val="center"/>
              <w:rPr>
                <w:rFonts w:ascii="Calibri" w:hAnsi="Calibri"/>
                <w:b/>
                <w:sz w:val="20"/>
                <w:szCs w:val="20"/>
                <w:lang w:eastAsia="en-US"/>
              </w:rPr>
            </w:pPr>
            <w:r w:rsidRPr="003F0BBD">
              <w:rPr>
                <w:rFonts w:ascii="Calibri" w:hAnsi="Calibri"/>
                <w:b/>
                <w:sz w:val="20"/>
                <w:szCs w:val="20"/>
                <w:lang w:eastAsia="en-US"/>
              </w:rPr>
              <w:t>Administratívna kontrola</w:t>
            </w:r>
          </w:p>
          <w:p w:rsidR="003F0BBD" w:rsidRPr="003F0BBD" w:rsidRDefault="003F0BBD" w:rsidP="003F0BBD">
            <w:pPr>
              <w:jc w:val="center"/>
              <w:rPr>
                <w:rFonts w:ascii="Calibri" w:hAnsi="Calibri"/>
                <w:b/>
                <w:sz w:val="20"/>
                <w:szCs w:val="20"/>
                <w:lang w:eastAsia="en-US"/>
              </w:rPr>
            </w:pPr>
          </w:p>
        </w:tc>
        <w:tc>
          <w:tcPr>
            <w:tcW w:w="1912" w:type="dxa"/>
            <w:tcBorders>
              <w:top w:val="single" w:sz="8" w:space="0" w:color="auto"/>
              <w:left w:val="single" w:sz="8" w:space="0" w:color="auto"/>
              <w:bottom w:val="single" w:sz="8" w:space="0" w:color="auto"/>
              <w:right w:val="single" w:sz="8" w:space="0" w:color="auto"/>
            </w:tcBorders>
            <w:shd w:val="clear" w:color="auto" w:fill="F2DBDB"/>
            <w:vAlign w:val="center"/>
          </w:tcPr>
          <w:p w:rsidR="003F0BBD" w:rsidRPr="003F0BBD" w:rsidRDefault="003F0BBD" w:rsidP="003F0BBD">
            <w:pPr>
              <w:jc w:val="center"/>
              <w:rPr>
                <w:rFonts w:ascii="Calibri" w:hAnsi="Calibri"/>
                <w:b/>
                <w:sz w:val="20"/>
                <w:szCs w:val="20"/>
                <w:lang w:eastAsia="en-US"/>
              </w:rPr>
            </w:pPr>
            <w:r w:rsidRPr="003F0BBD">
              <w:rPr>
                <w:rFonts w:ascii="Calibri" w:hAnsi="Calibri"/>
                <w:b/>
                <w:sz w:val="20"/>
                <w:szCs w:val="20"/>
                <w:lang w:eastAsia="en-US"/>
              </w:rPr>
              <w:t>Kontrola na mieste</w:t>
            </w:r>
          </w:p>
          <w:p w:rsidR="003F0BBD" w:rsidRPr="003F0BBD" w:rsidRDefault="003F0BBD" w:rsidP="003F0BBD">
            <w:pPr>
              <w:jc w:val="center"/>
              <w:rPr>
                <w:rFonts w:ascii="Calibri" w:hAnsi="Calibri"/>
                <w:b/>
                <w:sz w:val="20"/>
                <w:szCs w:val="20"/>
                <w:lang w:eastAsia="en-US"/>
              </w:rPr>
            </w:pPr>
          </w:p>
        </w:tc>
      </w:tr>
      <w:tr w:rsidR="003F0BBD" w:rsidRPr="003F0BBD" w:rsidTr="00B30F00">
        <w:trPr>
          <w:trHeight w:hRule="exact" w:val="567"/>
        </w:trPr>
        <w:tc>
          <w:tcPr>
            <w:tcW w:w="4536" w:type="dxa"/>
            <w:tcBorders>
              <w:top w:val="single" w:sz="8" w:space="0" w:color="auto"/>
              <w:left w:val="single" w:sz="8" w:space="0" w:color="auto"/>
              <w:bottom w:val="single" w:sz="8" w:space="0" w:color="auto"/>
              <w:right w:val="single" w:sz="8" w:space="0" w:color="auto"/>
            </w:tcBorders>
          </w:tcPr>
          <w:p w:rsidR="003F0BBD" w:rsidRPr="003F0BBD" w:rsidRDefault="003F0BBD" w:rsidP="003F0BBD">
            <w:pPr>
              <w:autoSpaceDE w:val="0"/>
              <w:autoSpaceDN w:val="0"/>
              <w:adjustRightInd w:val="0"/>
              <w:rPr>
                <w:rFonts w:ascii="Calibri" w:hAnsi="Calibri" w:cs="Arial"/>
                <w:sz w:val="20"/>
                <w:szCs w:val="20"/>
                <w:lang w:eastAsia="en-US"/>
              </w:rPr>
            </w:pPr>
            <w:r w:rsidRPr="003F0BBD">
              <w:rPr>
                <w:rFonts w:ascii="Calibri" w:hAnsi="Calibri" w:cs="Arial"/>
                <w:sz w:val="20"/>
                <w:szCs w:val="20"/>
                <w:lang w:eastAsia="en-US"/>
              </w:rPr>
              <w:t xml:space="preserve">vypracovanie projektu </w:t>
            </w:r>
            <w:r w:rsidRPr="003F0BBD">
              <w:rPr>
                <w:rFonts w:ascii="Calibri" w:hAnsi="Calibri" w:cs="ITCBookmanEE"/>
                <w:sz w:val="20"/>
                <w:szCs w:val="20"/>
              </w:rPr>
              <w:t>na zradenie novej  génovej základne</w:t>
            </w:r>
          </w:p>
          <w:p w:rsidR="003F0BBD" w:rsidRPr="003F0BBD" w:rsidRDefault="003F0BBD" w:rsidP="003F0BBD">
            <w:pPr>
              <w:tabs>
                <w:tab w:val="num" w:pos="720"/>
                <w:tab w:val="left" w:pos="900"/>
                <w:tab w:val="decimal" w:pos="9000"/>
              </w:tabs>
              <w:overflowPunct w:val="0"/>
              <w:autoSpaceDE w:val="0"/>
              <w:autoSpaceDN w:val="0"/>
              <w:adjustRightInd w:val="0"/>
              <w:jc w:val="left"/>
              <w:textAlignment w:val="baseline"/>
              <w:rPr>
                <w:rFonts w:ascii="Calibri" w:eastAsia="Calibri" w:hAnsi="Calibri"/>
                <w:sz w:val="20"/>
                <w:szCs w:val="20"/>
                <w:lang w:eastAsia="cs-CZ"/>
              </w:rPr>
            </w:pPr>
          </w:p>
        </w:tc>
        <w:tc>
          <w:tcPr>
            <w:tcW w:w="2552" w:type="dxa"/>
            <w:tcBorders>
              <w:top w:val="single" w:sz="8" w:space="0" w:color="auto"/>
              <w:left w:val="single" w:sz="8" w:space="0" w:color="auto"/>
              <w:bottom w:val="single" w:sz="8" w:space="0" w:color="auto"/>
              <w:right w:val="single" w:sz="8" w:space="0" w:color="auto"/>
            </w:tcBorders>
            <w:vAlign w:val="center"/>
          </w:tcPr>
          <w:p w:rsidR="003F0BBD" w:rsidRPr="003F0BBD" w:rsidRDefault="003F0BBD" w:rsidP="003F0BBD">
            <w:pPr>
              <w:jc w:val="center"/>
              <w:rPr>
                <w:rFonts w:ascii="Calibri" w:hAnsi="Calibri"/>
                <w:sz w:val="20"/>
                <w:szCs w:val="20"/>
                <w:lang w:eastAsia="en-US"/>
              </w:rPr>
            </w:pPr>
            <w:r w:rsidRPr="003F0BBD">
              <w:rPr>
                <w:rFonts w:ascii="Calibri" w:hAnsi="Calibri"/>
                <w:sz w:val="20"/>
                <w:szCs w:val="20"/>
                <w:lang w:eastAsia="en-US"/>
              </w:rPr>
              <w:t>projekt posúdený štátnym orgánom kontroly</w:t>
            </w:r>
          </w:p>
        </w:tc>
        <w:tc>
          <w:tcPr>
            <w:tcW w:w="1912" w:type="dxa"/>
            <w:tcBorders>
              <w:top w:val="single" w:sz="8" w:space="0" w:color="auto"/>
              <w:left w:val="single" w:sz="8" w:space="0" w:color="auto"/>
              <w:bottom w:val="single" w:sz="8" w:space="0" w:color="auto"/>
              <w:right w:val="single" w:sz="8" w:space="0" w:color="auto"/>
            </w:tcBorders>
            <w:vAlign w:val="center"/>
          </w:tcPr>
          <w:p w:rsidR="003F0BBD" w:rsidRPr="003F0BBD" w:rsidRDefault="003F0BBD" w:rsidP="003F0BBD">
            <w:pPr>
              <w:jc w:val="center"/>
              <w:rPr>
                <w:rFonts w:ascii="Calibri" w:hAnsi="Calibri"/>
                <w:sz w:val="20"/>
                <w:szCs w:val="20"/>
                <w:lang w:eastAsia="en-US"/>
              </w:rPr>
            </w:pPr>
          </w:p>
        </w:tc>
      </w:tr>
      <w:tr w:rsidR="003F0BBD" w:rsidRPr="003F0BBD" w:rsidTr="00B30F00">
        <w:trPr>
          <w:trHeight w:hRule="exact" w:val="667"/>
        </w:trPr>
        <w:tc>
          <w:tcPr>
            <w:tcW w:w="4536" w:type="dxa"/>
            <w:tcBorders>
              <w:top w:val="single" w:sz="8" w:space="0" w:color="auto"/>
              <w:left w:val="single" w:sz="8" w:space="0" w:color="auto"/>
              <w:bottom w:val="single" w:sz="8" w:space="0" w:color="auto"/>
              <w:right w:val="single" w:sz="8" w:space="0" w:color="auto"/>
            </w:tcBorders>
          </w:tcPr>
          <w:p w:rsidR="003F0BBD" w:rsidRPr="003F0BBD" w:rsidRDefault="003F0BBD" w:rsidP="003F0BBD">
            <w:pPr>
              <w:tabs>
                <w:tab w:val="num" w:pos="720"/>
                <w:tab w:val="left" w:pos="900"/>
                <w:tab w:val="decimal" w:pos="9000"/>
              </w:tabs>
              <w:overflowPunct w:val="0"/>
              <w:autoSpaceDE w:val="0"/>
              <w:autoSpaceDN w:val="0"/>
              <w:adjustRightInd w:val="0"/>
              <w:jc w:val="left"/>
              <w:textAlignment w:val="baseline"/>
              <w:rPr>
                <w:rFonts w:ascii="Calibri" w:eastAsia="Calibri" w:hAnsi="Calibri"/>
                <w:sz w:val="20"/>
                <w:szCs w:val="20"/>
                <w:lang w:eastAsia="cs-CZ"/>
              </w:rPr>
            </w:pPr>
            <w:r w:rsidRPr="003F0BBD">
              <w:rPr>
                <w:rFonts w:ascii="Calibri" w:hAnsi="Calibri" w:cs="Arial"/>
                <w:sz w:val="20"/>
                <w:szCs w:val="20"/>
                <w:lang w:eastAsia="en-US"/>
              </w:rPr>
              <w:t>Plnenie podmienok príslušného Programu starostlivosti o lesy</w:t>
            </w:r>
          </w:p>
        </w:tc>
        <w:tc>
          <w:tcPr>
            <w:tcW w:w="2552" w:type="dxa"/>
            <w:tcBorders>
              <w:top w:val="single" w:sz="8" w:space="0" w:color="auto"/>
              <w:left w:val="single" w:sz="8" w:space="0" w:color="auto"/>
              <w:bottom w:val="single" w:sz="8" w:space="0" w:color="auto"/>
              <w:right w:val="single" w:sz="8" w:space="0" w:color="auto"/>
            </w:tcBorders>
            <w:vAlign w:val="center"/>
          </w:tcPr>
          <w:p w:rsidR="003F0BBD" w:rsidRPr="003F0BBD" w:rsidRDefault="003F0BBD" w:rsidP="003F0BBD">
            <w:pPr>
              <w:jc w:val="center"/>
              <w:rPr>
                <w:rFonts w:ascii="Calibri" w:hAnsi="Calibri"/>
                <w:sz w:val="20"/>
                <w:szCs w:val="20"/>
                <w:lang w:eastAsia="en-US"/>
              </w:rPr>
            </w:pPr>
            <w:r w:rsidRPr="003F0BBD">
              <w:rPr>
                <w:rFonts w:ascii="Calibri" w:hAnsi="Calibri"/>
                <w:sz w:val="20"/>
                <w:szCs w:val="20"/>
                <w:lang w:eastAsia="en-US"/>
              </w:rPr>
              <w:t>schválenie programu starostlivosti o lesy</w:t>
            </w:r>
          </w:p>
        </w:tc>
        <w:tc>
          <w:tcPr>
            <w:tcW w:w="1912" w:type="dxa"/>
            <w:tcBorders>
              <w:top w:val="single" w:sz="8" w:space="0" w:color="auto"/>
              <w:left w:val="single" w:sz="8" w:space="0" w:color="auto"/>
              <w:bottom w:val="single" w:sz="8" w:space="0" w:color="auto"/>
              <w:right w:val="single" w:sz="8" w:space="0" w:color="auto"/>
            </w:tcBorders>
            <w:vAlign w:val="center"/>
          </w:tcPr>
          <w:p w:rsidR="003F0BBD" w:rsidRPr="003F0BBD" w:rsidRDefault="003F0BBD" w:rsidP="003F0BBD">
            <w:pPr>
              <w:jc w:val="center"/>
              <w:rPr>
                <w:rFonts w:ascii="Calibri" w:hAnsi="Calibri"/>
                <w:sz w:val="20"/>
                <w:szCs w:val="20"/>
                <w:lang w:eastAsia="en-US"/>
              </w:rPr>
            </w:pPr>
            <w:r w:rsidRPr="003F0BBD">
              <w:rPr>
                <w:rFonts w:ascii="Calibri" w:hAnsi="Calibri"/>
                <w:sz w:val="20"/>
                <w:szCs w:val="20"/>
                <w:lang w:eastAsia="en-US"/>
              </w:rPr>
              <w:t>x</w:t>
            </w:r>
          </w:p>
        </w:tc>
      </w:tr>
    </w:tbl>
    <w:p w:rsidR="003F0BBD" w:rsidRPr="003F0BBD" w:rsidRDefault="003F0BBD" w:rsidP="003F0BBD">
      <w:pPr>
        <w:rPr>
          <w:rFonts w:ascii="Calibri" w:hAnsi="Calibri" w:cs="Calibri"/>
          <w:b/>
          <w:bCs/>
          <w:szCs w:val="22"/>
          <w:lang w:eastAsia="en-US"/>
        </w:rPr>
      </w:pPr>
    </w:p>
    <w:p w:rsidR="003F0BBD" w:rsidRPr="003F0BBD" w:rsidRDefault="003F0BBD" w:rsidP="003F0BBD">
      <w:pPr>
        <w:rPr>
          <w:rFonts w:ascii="Calibri" w:hAnsi="Calibri" w:cs="Calibri"/>
          <w:b/>
          <w:bCs/>
          <w:szCs w:val="22"/>
          <w:lang w:eastAsia="en-US"/>
        </w:rPr>
      </w:pPr>
    </w:p>
    <w:p w:rsidR="003F0BBD" w:rsidRPr="003F0BBD" w:rsidRDefault="003F0BBD" w:rsidP="003F0BBD">
      <w:pPr>
        <w:rPr>
          <w:rFonts w:ascii="Calibri" w:hAnsi="Calibri" w:cs="Calibri"/>
          <w:b/>
          <w:bCs/>
          <w:szCs w:val="22"/>
          <w:lang w:eastAsia="en-US"/>
        </w:rPr>
      </w:pPr>
      <w:r w:rsidRPr="003F0BBD">
        <w:rPr>
          <w:rFonts w:ascii="Calibri" w:hAnsi="Calibri" w:cs="Calibri"/>
          <w:b/>
          <w:bCs/>
          <w:szCs w:val="22"/>
          <w:lang w:eastAsia="en-US"/>
        </w:rPr>
        <w:t>8.2.14.5. Metodika výpočtu výšky podpory</w:t>
      </w:r>
    </w:p>
    <w:p w:rsidR="003F0BBD" w:rsidRPr="003F0BBD" w:rsidRDefault="003F0BBD" w:rsidP="003F0BBD">
      <w:pPr>
        <w:keepNext/>
        <w:outlineLvl w:val="3"/>
        <w:rPr>
          <w:rFonts w:ascii="Calibri" w:hAnsi="Calibri"/>
          <w:iCs/>
          <w:szCs w:val="22"/>
          <w:lang w:eastAsia="en-US"/>
        </w:rPr>
      </w:pPr>
      <w:r w:rsidRPr="003F0BBD">
        <w:rPr>
          <w:rFonts w:ascii="Calibri" w:hAnsi="Calibri"/>
          <w:iCs/>
          <w:szCs w:val="22"/>
          <w:lang w:eastAsia="en-US"/>
        </w:rPr>
        <w:t>Podopatrenie Platby na lesnícko-environmentálne záväzky</w:t>
      </w:r>
    </w:p>
    <w:p w:rsidR="003F0BBD" w:rsidRPr="003F0BBD" w:rsidRDefault="003F0BBD" w:rsidP="003F0BBD">
      <w:pPr>
        <w:keepNext/>
        <w:outlineLvl w:val="3"/>
        <w:rPr>
          <w:rFonts w:ascii="Calibri" w:hAnsi="Calibri"/>
          <w:iCs/>
          <w:szCs w:val="22"/>
          <w:lang w:eastAsia="en-US"/>
        </w:rPr>
      </w:pPr>
      <w:r w:rsidRPr="003F0BBD">
        <w:rPr>
          <w:rFonts w:ascii="Calibri" w:hAnsi="Calibri"/>
          <w:iCs/>
          <w:szCs w:val="22"/>
          <w:lang w:eastAsia="en-US"/>
        </w:rPr>
        <w:t xml:space="preserve">Pre stanovenie výšky platby bol použitý spôsob porovnania medzi obhospodarovaním lesných pozemkov stanovených v zmysle zákona o lesoch a nadštandardných podmienok obsiahnutých pre uvedené podopatrenia. </w:t>
      </w:r>
    </w:p>
    <w:p w:rsidR="003F0BBD" w:rsidRPr="003F0BBD" w:rsidRDefault="003F0BBD" w:rsidP="003F0BBD">
      <w:pPr>
        <w:keepNext/>
        <w:spacing w:after="120"/>
        <w:outlineLvl w:val="3"/>
        <w:rPr>
          <w:rFonts w:ascii="Calibri" w:hAnsi="Calibri"/>
          <w:iCs/>
          <w:szCs w:val="22"/>
          <w:lang w:eastAsia="en-US"/>
        </w:rPr>
      </w:pPr>
      <w:r w:rsidRPr="003F0BBD">
        <w:rPr>
          <w:rFonts w:ascii="Calibri" w:hAnsi="Calibri"/>
          <w:iCs/>
          <w:szCs w:val="22"/>
          <w:lang w:eastAsia="en-US"/>
        </w:rPr>
        <w:t>Výška platby je stanovená na základe skutočných hospodárskych výsledkov vybraných subjektov,  výpočet platby tvorí rozdiel z ušlých príjmov z predaja dreva a  ostatnej produkcie, dodatočných nákladoch a ušetrených nákladoch v pestovnej, ťažbovej a ostatnej činnosti.</w:t>
      </w:r>
    </w:p>
    <w:p w:rsidR="003F0BBD" w:rsidRPr="003F0BBD" w:rsidRDefault="003F0BBD" w:rsidP="003F0BBD">
      <w:pPr>
        <w:keepNext/>
        <w:outlineLvl w:val="3"/>
        <w:rPr>
          <w:rFonts w:ascii="Calibri" w:hAnsi="Calibri" w:cs="Calibri"/>
          <w:bCs/>
          <w:iCs/>
          <w:szCs w:val="22"/>
          <w:lang w:eastAsia="en-US"/>
        </w:rPr>
      </w:pPr>
      <w:r w:rsidRPr="003F0BBD">
        <w:rPr>
          <w:rFonts w:ascii="Calibri" w:hAnsi="Calibri"/>
          <w:iCs/>
          <w:szCs w:val="22"/>
          <w:lang w:eastAsia="en-US"/>
        </w:rPr>
        <w:t xml:space="preserve">Podopatrenie </w:t>
      </w:r>
      <w:r w:rsidRPr="003F0BBD">
        <w:rPr>
          <w:rFonts w:ascii="Calibri" w:hAnsi="Calibri" w:cs="Calibri"/>
          <w:bCs/>
          <w:iCs/>
          <w:szCs w:val="22"/>
          <w:lang w:eastAsia="en-US"/>
        </w:rPr>
        <w:t>Podpora na účely ochrany a podpory  lesných genetických zdrojov:</w:t>
      </w:r>
    </w:p>
    <w:p w:rsidR="003F0BBD" w:rsidRPr="003F0BBD" w:rsidRDefault="003F0BBD" w:rsidP="003F0BBD">
      <w:pPr>
        <w:keepNext/>
        <w:outlineLvl w:val="3"/>
        <w:rPr>
          <w:rFonts w:ascii="Calibri" w:hAnsi="Calibri"/>
          <w:iCs/>
          <w:szCs w:val="22"/>
          <w:lang w:eastAsia="en-US"/>
        </w:rPr>
      </w:pPr>
      <w:r w:rsidRPr="003F0BBD">
        <w:rPr>
          <w:rFonts w:ascii="Calibri" w:hAnsi="Calibri" w:cs="Calibri"/>
          <w:bCs/>
          <w:iCs/>
          <w:szCs w:val="22"/>
          <w:lang w:eastAsia="en-US"/>
        </w:rPr>
        <w:t xml:space="preserve">Výška platby bola kalkulovaná z rozborov nákladov pri vypracovávaní projektov na zriadenie nových génových základní a zvýšených nákladoch resp. čiastočného ušlého príjmu  pri stanovenom manažovaní  </w:t>
      </w:r>
      <w:r w:rsidRPr="003F0BBD">
        <w:rPr>
          <w:rFonts w:ascii="Calibri" w:hAnsi="Calibri" w:cs="ITCBookmanEE"/>
          <w:szCs w:val="22"/>
        </w:rPr>
        <w:t>lesov s osobitným režimom hospodárenia.</w:t>
      </w:r>
    </w:p>
    <w:p w:rsidR="003F0BBD" w:rsidRPr="003F0BBD" w:rsidRDefault="003F0BBD" w:rsidP="003F0BBD">
      <w:pPr>
        <w:keepNext/>
        <w:outlineLvl w:val="3"/>
        <w:rPr>
          <w:rFonts w:ascii="Calibri" w:hAnsi="Calibri"/>
          <w:iCs/>
          <w:szCs w:val="22"/>
          <w:lang w:eastAsia="en-US"/>
        </w:rPr>
      </w:pPr>
    </w:p>
    <w:p w:rsidR="003F0BBD" w:rsidRPr="003F0BBD" w:rsidRDefault="003F0BBD" w:rsidP="003F0BBD">
      <w:pPr>
        <w:keepNext/>
        <w:outlineLvl w:val="3"/>
        <w:rPr>
          <w:rFonts w:ascii="Calibri" w:hAnsi="Calibri"/>
          <w:iCs/>
          <w:szCs w:val="22"/>
          <w:lang w:eastAsia="en-US"/>
        </w:rPr>
      </w:pPr>
      <w:r w:rsidRPr="003F0BBD">
        <w:rPr>
          <w:rFonts w:ascii="Calibri" w:hAnsi="Calibri"/>
          <w:iCs/>
          <w:szCs w:val="22"/>
          <w:lang w:eastAsia="en-US"/>
        </w:rPr>
        <w:t xml:space="preserve">Výšku platieb posúdila nezávislá inštitúcia: </w:t>
      </w:r>
      <w:r w:rsidRPr="003F0BBD">
        <w:rPr>
          <w:rFonts w:ascii="Calibri" w:hAnsi="Calibri"/>
          <w:b/>
          <w:szCs w:val="22"/>
          <w:lang w:eastAsia="en-US"/>
        </w:rPr>
        <w:t>Národné lesnícke centrum Zvolen</w:t>
      </w:r>
      <w:r w:rsidRPr="003F0BBD">
        <w:rPr>
          <w:rFonts w:ascii="Calibri" w:hAnsi="Calibri"/>
          <w:iCs/>
          <w:szCs w:val="22"/>
          <w:lang w:eastAsia="en-US"/>
        </w:rPr>
        <w:t>.</w:t>
      </w:r>
    </w:p>
    <w:p w:rsidR="003F0BBD" w:rsidRPr="003F0BBD" w:rsidRDefault="003F0BBD" w:rsidP="003F0BBD">
      <w:pPr>
        <w:jc w:val="left"/>
        <w:rPr>
          <w:rFonts w:ascii="Calibri" w:hAnsi="Calibri"/>
          <w:szCs w:val="22"/>
          <w:lang w:eastAsia="en-US"/>
        </w:rPr>
      </w:pPr>
    </w:p>
    <w:p w:rsidR="003F0BBD" w:rsidRDefault="003F0BBD" w:rsidP="00317BFF">
      <w:r>
        <w:br w:type="page"/>
      </w:r>
    </w:p>
    <w:p w:rsidR="008676F9" w:rsidRPr="00197171" w:rsidRDefault="008676F9" w:rsidP="00197171">
      <w:pPr>
        <w:pStyle w:val="Opatrenie"/>
      </w:pPr>
      <w:bookmarkStart w:id="104" w:name="_Toc387041339"/>
      <w:r w:rsidRPr="00197171">
        <w:t>8.2.1</w:t>
      </w:r>
      <w:r w:rsidR="003F0BBD" w:rsidRPr="00197171">
        <w:t>5</w:t>
      </w:r>
      <w:r w:rsidRPr="00197171">
        <w:t xml:space="preserve"> OPATRENIE 16 </w:t>
      </w:r>
      <w:r w:rsidRPr="00197171">
        <w:tab/>
        <w:t>SPOLUPRÁCA</w:t>
      </w:r>
      <w:bookmarkEnd w:id="104"/>
    </w:p>
    <w:p w:rsidR="008676F9" w:rsidRPr="008676F9" w:rsidRDefault="008676F9" w:rsidP="00F14F63">
      <w:pPr>
        <w:keepNext/>
        <w:ind w:left="576" w:hanging="576"/>
        <w:outlineLvl w:val="1"/>
        <w:rPr>
          <w:rFonts w:ascii="Calibri" w:hAnsi="Calibri"/>
          <w:b/>
          <w:bCs/>
          <w:szCs w:val="22"/>
          <w:lang w:eastAsia="en-US"/>
        </w:rPr>
      </w:pPr>
    </w:p>
    <w:p w:rsidR="008676F9" w:rsidRPr="008676F9" w:rsidRDefault="008676F9" w:rsidP="00F14F63">
      <w:pPr>
        <w:rPr>
          <w:rFonts w:ascii="Calibri" w:eastAsia="Calibri" w:hAnsi="Calibri" w:cs="Calibri"/>
          <w:b/>
          <w:bCs/>
          <w:szCs w:val="22"/>
          <w:lang w:eastAsia="en-US"/>
        </w:rPr>
      </w:pPr>
      <w:r w:rsidRPr="008676F9">
        <w:rPr>
          <w:rFonts w:ascii="Calibri" w:eastAsia="Calibri" w:hAnsi="Calibri" w:cs="Calibri"/>
          <w:b/>
          <w:bCs/>
          <w:szCs w:val="22"/>
          <w:lang w:eastAsia="en-US"/>
        </w:rPr>
        <w:t>8.2.1</w:t>
      </w:r>
      <w:r w:rsidR="00B30F00">
        <w:rPr>
          <w:rFonts w:ascii="Calibri" w:eastAsia="Calibri" w:hAnsi="Calibri" w:cs="Calibri"/>
          <w:b/>
          <w:bCs/>
          <w:szCs w:val="22"/>
          <w:lang w:eastAsia="en-US"/>
        </w:rPr>
        <w:t>5</w:t>
      </w:r>
      <w:r w:rsidRPr="008676F9">
        <w:rPr>
          <w:rFonts w:ascii="Calibri" w:eastAsia="Calibri" w:hAnsi="Calibri" w:cs="Calibri"/>
          <w:b/>
          <w:bCs/>
          <w:szCs w:val="22"/>
          <w:lang w:eastAsia="en-US"/>
        </w:rPr>
        <w:t xml:space="preserve">.1. Právny základ </w:t>
      </w:r>
    </w:p>
    <w:p w:rsidR="008676F9" w:rsidRPr="008676F9" w:rsidRDefault="008676F9" w:rsidP="001F5283">
      <w:pPr>
        <w:numPr>
          <w:ilvl w:val="0"/>
          <w:numId w:val="80"/>
        </w:numPr>
        <w:ind w:left="284" w:hanging="284"/>
        <w:rPr>
          <w:rFonts w:ascii="Calibri" w:eastAsia="Calibri" w:hAnsi="Calibri" w:cs="Calibri"/>
          <w:szCs w:val="22"/>
          <w:lang w:eastAsia="en-US"/>
        </w:rPr>
      </w:pPr>
      <w:r w:rsidRPr="008676F9">
        <w:rPr>
          <w:rFonts w:ascii="Calibri" w:eastAsia="Calibri" w:hAnsi="Calibri" w:cs="Calibri"/>
          <w:szCs w:val="22"/>
          <w:lang w:eastAsia="en-US"/>
        </w:rPr>
        <w:t xml:space="preserve">článok 35 nariadenia (EÚ) č. 1305/2013 o podpore rozvoja vidieka </w:t>
      </w:r>
      <w:r w:rsidR="00201383">
        <w:rPr>
          <w:rFonts w:ascii="Calibri" w:eastAsia="Calibri" w:hAnsi="Calibri" w:cs="Calibri"/>
          <w:szCs w:val="22"/>
          <w:lang w:eastAsia="en-US"/>
        </w:rPr>
        <w:t>z</w:t>
      </w:r>
      <w:r w:rsidRPr="008676F9">
        <w:rPr>
          <w:rFonts w:ascii="Calibri" w:eastAsia="Calibri" w:hAnsi="Calibri" w:cs="Calibri"/>
          <w:szCs w:val="22"/>
          <w:lang w:eastAsia="en-US"/>
        </w:rPr>
        <w:t xml:space="preserve"> EPFRV; </w:t>
      </w:r>
    </w:p>
    <w:p w:rsidR="008676F9" w:rsidRPr="008676F9" w:rsidRDefault="008676F9" w:rsidP="001F5283">
      <w:pPr>
        <w:numPr>
          <w:ilvl w:val="0"/>
          <w:numId w:val="80"/>
        </w:numPr>
        <w:ind w:left="284" w:hanging="284"/>
        <w:rPr>
          <w:rFonts w:ascii="Calibri" w:eastAsia="Calibri" w:hAnsi="Calibri" w:cs="Calibri"/>
          <w:szCs w:val="22"/>
          <w:lang w:eastAsia="en-US"/>
        </w:rPr>
      </w:pPr>
      <w:r w:rsidRPr="008676F9">
        <w:rPr>
          <w:rFonts w:ascii="Calibri" w:eastAsia="Calibri" w:hAnsi="Calibri" w:cs="Calibri"/>
          <w:szCs w:val="22"/>
          <w:lang w:eastAsia="en-US"/>
        </w:rPr>
        <w:t>článok 11 delegovaného aktu EK č. xxxx/2014.</w:t>
      </w:r>
    </w:p>
    <w:p w:rsidR="008676F9" w:rsidRPr="008676F9" w:rsidRDefault="008676F9" w:rsidP="00F14F63">
      <w:pPr>
        <w:rPr>
          <w:rFonts w:ascii="Calibri" w:eastAsia="Calibri" w:hAnsi="Calibri" w:cs="Calibri"/>
          <w:szCs w:val="22"/>
          <w:lang w:eastAsia="en-US"/>
        </w:rPr>
      </w:pPr>
    </w:p>
    <w:p w:rsidR="008676F9" w:rsidRPr="008676F9" w:rsidRDefault="008676F9" w:rsidP="00F14F63">
      <w:pPr>
        <w:ind w:left="851" w:hanging="851"/>
        <w:rPr>
          <w:rFonts w:ascii="Calibri" w:eastAsia="Calibri" w:hAnsi="Calibri" w:cs="Calibri"/>
          <w:b/>
          <w:bCs/>
          <w:szCs w:val="22"/>
          <w:lang w:eastAsia="en-US"/>
        </w:rPr>
      </w:pPr>
      <w:r w:rsidRPr="008676F9">
        <w:rPr>
          <w:rFonts w:ascii="Calibri" w:eastAsia="Calibri" w:hAnsi="Calibri" w:cs="Calibri"/>
          <w:b/>
          <w:bCs/>
          <w:szCs w:val="22"/>
          <w:lang w:eastAsia="en-US"/>
        </w:rPr>
        <w:t>8.2.1</w:t>
      </w:r>
      <w:r w:rsidR="00B30F00">
        <w:rPr>
          <w:rFonts w:ascii="Calibri" w:eastAsia="Calibri" w:hAnsi="Calibri" w:cs="Calibri"/>
          <w:b/>
          <w:bCs/>
          <w:szCs w:val="22"/>
          <w:lang w:eastAsia="en-US"/>
        </w:rPr>
        <w:t>5</w:t>
      </w:r>
      <w:r w:rsidRPr="008676F9">
        <w:rPr>
          <w:rFonts w:ascii="Calibri" w:eastAsia="Calibri" w:hAnsi="Calibri" w:cs="Calibri"/>
          <w:b/>
          <w:bCs/>
          <w:szCs w:val="22"/>
          <w:lang w:eastAsia="en-US"/>
        </w:rPr>
        <w:t>.2. Všeobecný opis opatrenia vrátane intervenčnej logiky a príspevku k fokusovej oblasti a prierezovým cieľom</w:t>
      </w:r>
    </w:p>
    <w:p w:rsidR="008676F9" w:rsidRPr="008676F9" w:rsidRDefault="008676F9" w:rsidP="003F6575">
      <w:pPr>
        <w:spacing w:after="120"/>
        <w:rPr>
          <w:rFonts w:ascii="Calibri" w:eastAsia="Calibri" w:hAnsi="Calibri" w:cs="Calibri"/>
          <w:szCs w:val="22"/>
          <w:lang w:eastAsia="en-US"/>
        </w:rPr>
      </w:pPr>
      <w:r w:rsidRPr="008676F9">
        <w:rPr>
          <w:rFonts w:ascii="Calibri" w:eastAsia="Calibri" w:hAnsi="Calibri" w:cs="Calibri"/>
          <w:szCs w:val="22"/>
          <w:lang w:eastAsia="en-US"/>
        </w:rPr>
        <w:t>Už v predchádzajúcom programovom období existovali opatrenia na prospech vývoja nových produktov, procesov a technológií v poľnohospodársko - potravinárskych podnikoch a lesnom hospodárstve, združovanie sa do odbytových organizácií výrobcov alebo prístup LEADER.</w:t>
      </w:r>
      <w:r w:rsidRPr="008676F9">
        <w:rPr>
          <w:rFonts w:ascii="Calibri" w:eastAsia="Calibri" w:hAnsi="Calibri"/>
          <w:szCs w:val="22"/>
          <w:lang w:eastAsia="en-US"/>
        </w:rPr>
        <w:t xml:space="preserve"> </w:t>
      </w:r>
      <w:r w:rsidRPr="008676F9">
        <w:rPr>
          <w:rFonts w:ascii="Calibri" w:eastAsia="Calibri" w:hAnsi="Calibri" w:cs="Calibri"/>
          <w:szCs w:val="22"/>
          <w:lang w:eastAsia="en-US"/>
        </w:rPr>
        <w:t xml:space="preserve">Toto nové prierezové opatrenie Spolupráca sa implementuje v priorite 1, ale je uplatniteľné aj vo viacerých prioritách. Prepojením na ďalšie opatrenia (napr. investície do hmotného majetku, prenos vedomostí a zručností, služby pôdohospodárskeho poradenstva)  musí byť v súlade s pôsobnosťou daného subjektu  alebo medziodvetvových organizácií.  </w:t>
      </w:r>
    </w:p>
    <w:p w:rsidR="008676F9" w:rsidRPr="008676F9" w:rsidRDefault="008676F9" w:rsidP="00F14F63">
      <w:pPr>
        <w:rPr>
          <w:rFonts w:ascii="Calibri" w:eastAsia="Calibri" w:hAnsi="Calibri" w:cs="Calibri"/>
          <w:bCs/>
          <w:szCs w:val="22"/>
          <w:lang w:eastAsia="en-US"/>
        </w:rPr>
      </w:pPr>
      <w:r w:rsidRPr="008676F9">
        <w:rPr>
          <w:rFonts w:ascii="Calibri" w:eastAsia="Calibri" w:hAnsi="Calibri" w:cs="Calibri"/>
          <w:bCs/>
          <w:szCs w:val="22"/>
          <w:lang w:eastAsia="en-US"/>
        </w:rPr>
        <w:t>Opatrenie Spolupráca je zamerané na podporu rozličných  typov spoločných činnosti  ekonomického, environmentálneho a sociálneho charakteru. Je rozšírené o dimenziu napĺňania cieľov Európskeho inovačného partnerstva v oblasti poľnohospodárskej produktivity a udržateľnosti. Zároveň podporuje rozvoj služieb v oblasti cestovného ruchu a činností, ktoré súvisia s vidieckym cestovným ruchom. Tiež sa podporuje spoločná činnosť v záujme zmiernenia zmien klímy a adaptácia na ne.</w:t>
      </w:r>
    </w:p>
    <w:p w:rsidR="008676F9" w:rsidRPr="008676F9" w:rsidRDefault="008676F9" w:rsidP="00F14F63">
      <w:pPr>
        <w:rPr>
          <w:rFonts w:ascii="Calibri" w:eastAsia="Calibri" w:hAnsi="Calibri" w:cs="Calibri"/>
          <w:bCs/>
          <w:szCs w:val="22"/>
          <w:lang w:eastAsia="en-US"/>
        </w:rPr>
      </w:pPr>
    </w:p>
    <w:p w:rsidR="008676F9" w:rsidRPr="008676F9" w:rsidRDefault="008676F9" w:rsidP="00F14F63">
      <w:pPr>
        <w:rPr>
          <w:rFonts w:ascii="Calibri" w:eastAsia="Calibri" w:hAnsi="Calibri" w:cs="Calibri"/>
          <w:bCs/>
          <w:szCs w:val="22"/>
          <w:lang w:eastAsia="en-US"/>
        </w:rPr>
      </w:pPr>
      <w:r w:rsidRPr="008676F9">
        <w:rPr>
          <w:rFonts w:ascii="Calibri" w:eastAsia="Calibri" w:hAnsi="Calibri" w:cs="Calibri"/>
          <w:bCs/>
          <w:szCs w:val="22"/>
          <w:lang w:eastAsia="en-US"/>
        </w:rPr>
        <w:t>Opatrenie prispieva k riešeniu a napĺňaniu nasledovných identifikovaných potrieb,  vyplývajúcich zo SWOT analýzy:</w:t>
      </w:r>
    </w:p>
    <w:p w:rsidR="008676F9" w:rsidRPr="008676F9" w:rsidRDefault="008676F9" w:rsidP="00955DA4">
      <w:pPr>
        <w:numPr>
          <w:ilvl w:val="0"/>
          <w:numId w:val="241"/>
        </w:numPr>
        <w:rPr>
          <w:rFonts w:ascii="Calibri" w:eastAsia="Calibri" w:hAnsi="Calibri" w:cs="Calibri"/>
          <w:bCs/>
          <w:szCs w:val="22"/>
          <w:lang w:eastAsia="en-US"/>
        </w:rPr>
      </w:pPr>
      <w:r w:rsidRPr="008676F9">
        <w:rPr>
          <w:rFonts w:ascii="Calibri" w:eastAsia="Calibri" w:hAnsi="Calibri" w:cs="Calibri"/>
          <w:bCs/>
          <w:szCs w:val="22"/>
          <w:lang w:eastAsia="en-US"/>
        </w:rPr>
        <w:t>zvýšenie pridanej hodnoty v poľnohospodárstve</w:t>
      </w:r>
      <w:r w:rsidRPr="008676F9">
        <w:rPr>
          <w:rFonts w:ascii="Calibri" w:eastAsia="Calibri" w:hAnsi="Calibri" w:cs="Calibri"/>
          <w:bCs/>
          <w:szCs w:val="22"/>
          <w:lang w:val="en-US" w:eastAsia="en-US"/>
        </w:rPr>
        <w:t>;</w:t>
      </w:r>
      <w:r w:rsidRPr="008676F9">
        <w:rPr>
          <w:rFonts w:ascii="Calibri" w:eastAsia="Calibri" w:hAnsi="Calibri" w:cs="Calibri"/>
          <w:bCs/>
          <w:szCs w:val="22"/>
          <w:lang w:eastAsia="en-US"/>
        </w:rPr>
        <w:t xml:space="preserve"> </w:t>
      </w:r>
    </w:p>
    <w:p w:rsidR="008676F9" w:rsidRPr="008676F9" w:rsidRDefault="008676F9" w:rsidP="00955DA4">
      <w:pPr>
        <w:numPr>
          <w:ilvl w:val="0"/>
          <w:numId w:val="241"/>
        </w:numPr>
        <w:rPr>
          <w:rFonts w:ascii="Calibri" w:eastAsia="Calibri" w:hAnsi="Calibri" w:cs="Calibri"/>
          <w:bCs/>
          <w:szCs w:val="22"/>
          <w:lang w:eastAsia="en-US"/>
        </w:rPr>
      </w:pPr>
      <w:r w:rsidRPr="008676F9">
        <w:rPr>
          <w:rFonts w:ascii="Calibri" w:eastAsia="Calibri" w:hAnsi="Calibri" w:cs="Calibri"/>
          <w:bCs/>
          <w:szCs w:val="22"/>
          <w:lang w:eastAsia="en-US"/>
        </w:rPr>
        <w:t>podpora  hospodárenie na vlastnej pôde –  ochrana pôdnej úrodnosti,  viazanie uhlíka a vápnenie  pôdy, konsolidácia pôdy, ochrana proti degradácii pôdy;</w:t>
      </w:r>
    </w:p>
    <w:p w:rsidR="008676F9" w:rsidRPr="008676F9" w:rsidRDefault="008676F9" w:rsidP="00955DA4">
      <w:pPr>
        <w:numPr>
          <w:ilvl w:val="0"/>
          <w:numId w:val="241"/>
        </w:numPr>
        <w:rPr>
          <w:rFonts w:ascii="Calibri" w:eastAsia="Calibri" w:hAnsi="Calibri" w:cs="Calibri"/>
          <w:bCs/>
          <w:szCs w:val="22"/>
          <w:lang w:eastAsia="en-US"/>
        </w:rPr>
      </w:pPr>
      <w:r w:rsidRPr="008676F9">
        <w:rPr>
          <w:rFonts w:ascii="Calibri" w:eastAsia="Calibri" w:hAnsi="Calibri" w:cs="Calibri"/>
          <w:bCs/>
          <w:szCs w:val="22"/>
          <w:lang w:eastAsia="en-US"/>
        </w:rPr>
        <w:t xml:space="preserve">posilnenie životaschopnosti poľnohospodárskych podnikov; </w:t>
      </w:r>
    </w:p>
    <w:p w:rsidR="008676F9" w:rsidRPr="008676F9" w:rsidRDefault="008676F9" w:rsidP="00955DA4">
      <w:pPr>
        <w:numPr>
          <w:ilvl w:val="0"/>
          <w:numId w:val="241"/>
        </w:numPr>
        <w:rPr>
          <w:rFonts w:ascii="Calibri" w:eastAsia="Calibri" w:hAnsi="Calibri" w:cs="Calibri"/>
          <w:bCs/>
          <w:szCs w:val="22"/>
          <w:lang w:eastAsia="en-US"/>
        </w:rPr>
      </w:pPr>
      <w:r w:rsidRPr="008676F9">
        <w:rPr>
          <w:rFonts w:ascii="Calibri" w:eastAsia="Calibri" w:hAnsi="Calibri" w:cs="Calibri"/>
          <w:bCs/>
          <w:szCs w:val="22"/>
          <w:lang w:eastAsia="en-US"/>
        </w:rPr>
        <w:t xml:space="preserve">zlepšenie štruktúry a kvality spracovania domácich poľnohospodárskych surovín, marketingu a predaja/odbytu týchto produktov , posilnenie vertikálneho a horizontálneho prepojenia v potravinovom reťazci , posilnenie zastúpenia regionálnych produktov na trhu, podpora zvyšovania kvality produktov živočíšnej výroby; </w:t>
      </w:r>
    </w:p>
    <w:p w:rsidR="008676F9" w:rsidRPr="008676F9" w:rsidRDefault="008676F9" w:rsidP="00955DA4">
      <w:pPr>
        <w:numPr>
          <w:ilvl w:val="0"/>
          <w:numId w:val="241"/>
        </w:numPr>
        <w:rPr>
          <w:rFonts w:ascii="Calibri" w:eastAsia="Calibri" w:hAnsi="Calibri" w:cs="Calibri"/>
          <w:bCs/>
          <w:szCs w:val="22"/>
          <w:lang w:eastAsia="en-US"/>
        </w:rPr>
      </w:pPr>
      <w:r w:rsidRPr="008676F9">
        <w:rPr>
          <w:rFonts w:ascii="Calibri" w:eastAsia="Calibri" w:hAnsi="Calibri" w:cs="Calibri"/>
          <w:bCs/>
          <w:szCs w:val="22"/>
          <w:lang w:eastAsia="en-US"/>
        </w:rPr>
        <w:t xml:space="preserve">zachovanie biodiverzity a chrániť jej pokles;  </w:t>
      </w:r>
    </w:p>
    <w:p w:rsidR="008676F9" w:rsidRPr="008676F9" w:rsidRDefault="008676F9" w:rsidP="00955DA4">
      <w:pPr>
        <w:numPr>
          <w:ilvl w:val="0"/>
          <w:numId w:val="241"/>
        </w:numPr>
        <w:rPr>
          <w:rFonts w:ascii="Calibri" w:eastAsia="Calibri" w:hAnsi="Calibri" w:cs="Calibri"/>
          <w:bCs/>
          <w:szCs w:val="22"/>
          <w:lang w:eastAsia="en-US"/>
        </w:rPr>
      </w:pPr>
      <w:r w:rsidRPr="008676F9">
        <w:rPr>
          <w:rFonts w:ascii="Calibri" w:eastAsia="Calibri" w:hAnsi="Calibri" w:cs="Calibri"/>
          <w:bCs/>
          <w:szCs w:val="22"/>
          <w:lang w:eastAsia="en-US"/>
        </w:rPr>
        <w:t>zvýšenie  energetickej  efektívnosti a úspory energie v pôdohospodárstve a spracovateľskom priemysle , zvýšenie podielu využívania a spracovania odpadovej biomasy, rastlinných zvyškov a exkrementov živočíšnej výroby a iných OZE na produkciu energie;</w:t>
      </w:r>
    </w:p>
    <w:p w:rsidR="008676F9" w:rsidRPr="008676F9" w:rsidRDefault="008676F9" w:rsidP="00955DA4">
      <w:pPr>
        <w:numPr>
          <w:ilvl w:val="0"/>
          <w:numId w:val="241"/>
        </w:numPr>
        <w:rPr>
          <w:rFonts w:ascii="Calibri" w:eastAsia="Calibri" w:hAnsi="Calibri" w:cs="Calibri"/>
          <w:bCs/>
          <w:szCs w:val="22"/>
          <w:lang w:eastAsia="en-US"/>
        </w:rPr>
      </w:pPr>
      <w:r w:rsidRPr="008676F9">
        <w:rPr>
          <w:rFonts w:ascii="Calibri" w:eastAsia="Calibri" w:hAnsi="Calibri" w:cs="Calibri"/>
          <w:bCs/>
          <w:szCs w:val="22"/>
          <w:lang w:eastAsia="en-US"/>
        </w:rPr>
        <w:t>zníženie tvorby emisií skleníkových plynov vo vzťahu k zvýšeniu poľnohospodárskej produkcie;</w:t>
      </w:r>
    </w:p>
    <w:p w:rsidR="008676F9" w:rsidRPr="008676F9" w:rsidRDefault="008676F9" w:rsidP="00955DA4">
      <w:pPr>
        <w:numPr>
          <w:ilvl w:val="0"/>
          <w:numId w:val="241"/>
        </w:numPr>
        <w:rPr>
          <w:rFonts w:ascii="Calibri" w:eastAsia="Calibri" w:hAnsi="Calibri" w:cs="Calibri"/>
          <w:bCs/>
          <w:szCs w:val="22"/>
          <w:lang w:eastAsia="en-US"/>
        </w:rPr>
      </w:pPr>
      <w:r w:rsidRPr="008676F9">
        <w:rPr>
          <w:rFonts w:ascii="Calibri" w:eastAsia="Calibri" w:hAnsi="Calibri" w:cs="Calibri"/>
          <w:bCs/>
          <w:szCs w:val="22"/>
          <w:lang w:eastAsia="en-US"/>
        </w:rPr>
        <w:t xml:space="preserve"> prevencia proti prírodným katastrofám a pôdnej erózii v lesoch, posilnenie ochrannej funkcie lesov a obnova po prírodných katastrofách</w:t>
      </w:r>
    </w:p>
    <w:p w:rsidR="000E76A1" w:rsidRDefault="008676F9" w:rsidP="00955DA4">
      <w:pPr>
        <w:numPr>
          <w:ilvl w:val="0"/>
          <w:numId w:val="241"/>
        </w:numPr>
        <w:rPr>
          <w:rFonts w:ascii="Calibri" w:eastAsia="Calibri" w:hAnsi="Calibri" w:cs="Calibri"/>
          <w:bCs/>
          <w:szCs w:val="22"/>
          <w:lang w:eastAsia="en-US"/>
        </w:rPr>
      </w:pPr>
      <w:r w:rsidRPr="008676F9">
        <w:rPr>
          <w:rFonts w:ascii="Calibri" w:eastAsia="Calibri" w:hAnsi="Calibri" w:cs="Calibri"/>
          <w:bCs/>
          <w:szCs w:val="22"/>
          <w:lang w:eastAsia="en-US"/>
        </w:rPr>
        <w:t>podpora diverzifikácie poľnohospodárskych činností a zvýšenie  podpory vidieckeho cestovného ruchu</w:t>
      </w:r>
      <w:r w:rsidR="000E76A1">
        <w:rPr>
          <w:rFonts w:ascii="Calibri" w:eastAsia="Calibri" w:hAnsi="Calibri" w:cs="Calibri"/>
          <w:bCs/>
          <w:szCs w:val="22"/>
          <w:lang w:eastAsia="en-US"/>
        </w:rPr>
        <w:t>;</w:t>
      </w:r>
    </w:p>
    <w:p w:rsidR="000E76A1" w:rsidRPr="000E76A1" w:rsidRDefault="000E76A1" w:rsidP="000E76A1">
      <w:pPr>
        <w:numPr>
          <w:ilvl w:val="0"/>
          <w:numId w:val="241"/>
        </w:numPr>
        <w:rPr>
          <w:rFonts w:ascii="Calibri" w:eastAsia="Calibri" w:hAnsi="Calibri" w:cs="Calibri"/>
          <w:bCs/>
          <w:szCs w:val="22"/>
          <w:lang w:eastAsia="en-US"/>
        </w:rPr>
      </w:pPr>
      <w:r w:rsidRPr="000E76A1">
        <w:rPr>
          <w:rFonts w:ascii="Calibri" w:eastAsia="Calibri" w:hAnsi="Calibri" w:cs="Calibri"/>
          <w:bCs/>
          <w:szCs w:val="22"/>
          <w:lang w:eastAsia="en-US"/>
        </w:rPr>
        <w:t xml:space="preserve">zavádzanie prvkov nechemickej a biologickej ochrany v ekologických a integrovaných spôsoboch produkcie plodín; </w:t>
      </w:r>
    </w:p>
    <w:p w:rsidR="000E76A1" w:rsidRPr="000E76A1" w:rsidRDefault="000E76A1" w:rsidP="000E76A1">
      <w:pPr>
        <w:numPr>
          <w:ilvl w:val="0"/>
          <w:numId w:val="241"/>
        </w:numPr>
        <w:rPr>
          <w:rFonts w:ascii="Calibri" w:eastAsia="Calibri" w:hAnsi="Calibri" w:cs="Calibri"/>
          <w:bCs/>
          <w:szCs w:val="22"/>
          <w:lang w:eastAsia="en-US"/>
        </w:rPr>
      </w:pPr>
      <w:r w:rsidRPr="000E76A1">
        <w:rPr>
          <w:rFonts w:ascii="Calibri" w:eastAsia="Calibri" w:hAnsi="Calibri" w:cs="Calibri"/>
          <w:bCs/>
          <w:szCs w:val="22"/>
          <w:lang w:eastAsia="en-US"/>
        </w:rPr>
        <w:t xml:space="preserve">adaptácia poľnohospodárstva a lesníctva na klimatické zmeny; </w:t>
      </w:r>
    </w:p>
    <w:p w:rsidR="000E76A1" w:rsidRPr="000E76A1" w:rsidRDefault="000E76A1" w:rsidP="000E76A1">
      <w:pPr>
        <w:numPr>
          <w:ilvl w:val="0"/>
          <w:numId w:val="241"/>
        </w:numPr>
        <w:ind w:left="709" w:hanging="349"/>
        <w:rPr>
          <w:rFonts w:ascii="Calibri" w:eastAsia="Calibri" w:hAnsi="Calibri" w:cs="Calibri"/>
          <w:bCs/>
          <w:szCs w:val="22"/>
          <w:lang w:eastAsia="en-US"/>
        </w:rPr>
      </w:pPr>
      <w:r w:rsidRPr="000E76A1">
        <w:rPr>
          <w:rFonts w:ascii="Calibri" w:eastAsia="Calibri" w:hAnsi="Calibri" w:cs="Calibri"/>
          <w:bCs/>
          <w:szCs w:val="22"/>
          <w:lang w:eastAsia="en-US"/>
        </w:rPr>
        <w:t xml:space="preserve"> nízkoemisné energetické zhodnocovanie biomasy spaľovacími procesmi; </w:t>
      </w:r>
    </w:p>
    <w:p w:rsidR="008676F9" w:rsidRPr="008676F9" w:rsidRDefault="000E76A1" w:rsidP="000E76A1">
      <w:pPr>
        <w:numPr>
          <w:ilvl w:val="0"/>
          <w:numId w:val="241"/>
        </w:numPr>
        <w:ind w:left="709" w:hanging="349"/>
        <w:rPr>
          <w:rFonts w:ascii="Calibri" w:eastAsia="Calibri" w:hAnsi="Calibri" w:cs="Calibri"/>
          <w:bCs/>
          <w:szCs w:val="22"/>
          <w:lang w:eastAsia="en-US"/>
        </w:rPr>
      </w:pPr>
      <w:r w:rsidRPr="000E76A1">
        <w:rPr>
          <w:rFonts w:ascii="Calibri" w:eastAsia="Calibri" w:hAnsi="Calibri" w:cs="Calibri"/>
          <w:bCs/>
          <w:szCs w:val="22"/>
          <w:lang w:eastAsia="en-US"/>
        </w:rPr>
        <w:t xml:space="preserve"> optimalizácia hospodárenia s ohľadom na priority ochrany prírody.</w:t>
      </w:r>
    </w:p>
    <w:p w:rsidR="008676F9" w:rsidRPr="008676F9" w:rsidRDefault="008676F9" w:rsidP="00F14F63">
      <w:pPr>
        <w:rPr>
          <w:rFonts w:ascii="Calibri" w:eastAsia="Calibri" w:hAnsi="Calibri" w:cs="Calibri"/>
          <w:bCs/>
          <w:szCs w:val="22"/>
          <w:lang w:eastAsia="en-US"/>
        </w:rPr>
      </w:pPr>
    </w:p>
    <w:p w:rsidR="008676F9" w:rsidRPr="008676F9" w:rsidRDefault="008676F9" w:rsidP="00F14F63">
      <w:pPr>
        <w:rPr>
          <w:rFonts w:ascii="Calibri" w:eastAsia="Calibri" w:hAnsi="Calibri" w:cs="Calibri"/>
          <w:szCs w:val="22"/>
          <w:u w:val="single"/>
          <w:lang w:eastAsia="en-US"/>
        </w:rPr>
      </w:pPr>
      <w:r w:rsidRPr="008676F9">
        <w:rPr>
          <w:rFonts w:ascii="Calibri" w:eastAsia="Calibri" w:hAnsi="Calibri" w:cs="Calibri"/>
          <w:bCs/>
          <w:szCs w:val="22"/>
          <w:u w:val="single"/>
          <w:lang w:eastAsia="en-US"/>
        </w:rPr>
        <w:t xml:space="preserve">Príspevok k fokusovým oblastiam </w:t>
      </w:r>
    </w:p>
    <w:p w:rsidR="008676F9" w:rsidRPr="008676F9" w:rsidRDefault="008676F9" w:rsidP="00F14F63">
      <w:pPr>
        <w:ind w:left="284" w:hanging="284"/>
        <w:rPr>
          <w:rFonts w:ascii="Calibri" w:eastAsia="Calibri" w:hAnsi="Calibri" w:cs="Calibri"/>
          <w:i/>
          <w:szCs w:val="22"/>
          <w:lang w:eastAsia="en-US"/>
        </w:rPr>
      </w:pPr>
      <w:r w:rsidRPr="008676F9">
        <w:rPr>
          <w:rFonts w:ascii="Calibri" w:eastAsia="Calibri" w:hAnsi="Calibri" w:cs="Calibri"/>
          <w:i/>
          <w:szCs w:val="22"/>
          <w:lang w:eastAsia="en-US"/>
        </w:rPr>
        <w:t>1A Podpora inovácie, spolupráce a rozvoja vedomostnej základne vo vidieckych oblastiach;</w:t>
      </w:r>
    </w:p>
    <w:p w:rsidR="008676F9" w:rsidRPr="008676F9" w:rsidRDefault="008676F9" w:rsidP="00F14F63">
      <w:pPr>
        <w:ind w:left="284" w:hanging="284"/>
        <w:rPr>
          <w:rFonts w:ascii="Calibri" w:eastAsia="Calibri" w:hAnsi="Calibri" w:cs="Calibri"/>
          <w:i/>
          <w:szCs w:val="22"/>
          <w:lang w:eastAsia="en-US"/>
        </w:rPr>
      </w:pPr>
      <w:r w:rsidRPr="008676F9">
        <w:rPr>
          <w:rFonts w:ascii="Calibri" w:eastAsia="Calibri" w:hAnsi="Calibri" w:cs="Calibri"/>
          <w:i/>
          <w:szCs w:val="22"/>
          <w:lang w:eastAsia="en-US"/>
        </w:rPr>
        <w:t>1B Posilnenie prepojenia poľnohospodárstva, výroby potravín a lesného hospodárstva s výskumom a inováciou, a to aj na účely zlepšenia environmentálneho riadenia a výkonu;</w:t>
      </w:r>
    </w:p>
    <w:p w:rsidR="008676F9" w:rsidRPr="008676F9" w:rsidRDefault="008676F9" w:rsidP="00F14F63">
      <w:pPr>
        <w:ind w:left="426" w:hanging="426"/>
        <w:rPr>
          <w:rFonts w:ascii="Calibri" w:eastAsia="Calibri" w:hAnsi="Calibri" w:cs="Calibri"/>
          <w:i/>
          <w:szCs w:val="22"/>
          <w:lang w:eastAsia="en-US"/>
        </w:rPr>
      </w:pPr>
      <w:r w:rsidRPr="008676F9">
        <w:rPr>
          <w:rFonts w:ascii="Calibri" w:eastAsia="Calibri" w:hAnsi="Calibri" w:cs="Calibri"/>
          <w:i/>
          <w:szCs w:val="22"/>
          <w:lang w:eastAsia="en-US"/>
        </w:rPr>
        <w:t xml:space="preserve">3A Zvýšenie konkurencieschopnosti prvovýrobcov prostredníctvom ich lepšej integrácie do poľnohospodársko-potravinového reťazca pomocou systémov kvality, pridávania hodnoty poľnohospodárskym produktom, propagácie na miestnych trhoch a v krátkych dodávateľských reťazcoch, skupín a organizácií výrobcov a medziodvetvových organizácií; </w:t>
      </w:r>
    </w:p>
    <w:p w:rsidR="008676F9" w:rsidRDefault="008676F9" w:rsidP="00955DA4">
      <w:pPr>
        <w:numPr>
          <w:ilvl w:val="0"/>
          <w:numId w:val="119"/>
        </w:numPr>
        <w:rPr>
          <w:rFonts w:ascii="Calibri" w:eastAsia="Calibri" w:hAnsi="Calibri" w:cs="Calibri"/>
          <w:bCs/>
          <w:szCs w:val="22"/>
          <w:lang w:eastAsia="en-US"/>
        </w:rPr>
      </w:pPr>
      <w:r w:rsidRPr="008676F9">
        <w:rPr>
          <w:rFonts w:ascii="Calibri" w:eastAsia="Calibri" w:hAnsi="Calibri" w:cs="Calibri"/>
          <w:bCs/>
          <w:szCs w:val="22"/>
          <w:lang w:eastAsia="en-US"/>
        </w:rPr>
        <w:t>Opatrenia sa zamerajú  na podporu projektov v rámci horizontálnej spolupráce poľnohospodárskych podnikov vrátane podpory zakladania skupín a organizácií výrobcov, ktoré posilnia odbytové možnosti. Zároveň sa zamerajú na podporu  v rámci vertikálnej spolupráce, ktorá prinesie efekty v podobe lepšej integrácie prvovýrobcov do odbytového reťazca. Je potrebné uprednostňovať krátke distribučné cesty, priamy predaj a spoluprácu poľnohospodárov a spracovateľov, vytváranie klastrov,  zavádzanie inovácií s cieľom posilniť výrobnú diverzifikáciu a zlepšiť pozíciu poľnohospodárskych podnikov a spracovateľov voči príliš silnej rokovacej pozícii veľkých obchodných reťazcov. Podpora bude zameraná aj na marketing poľnohospodárskych produktov na domácom trhu.</w:t>
      </w:r>
    </w:p>
    <w:p w:rsidR="00F14F63" w:rsidRPr="008676F9" w:rsidRDefault="00F14F63" w:rsidP="00F14F63">
      <w:pPr>
        <w:ind w:left="720"/>
        <w:rPr>
          <w:rFonts w:ascii="Calibri" w:eastAsia="Calibri" w:hAnsi="Calibri" w:cs="Calibri"/>
          <w:bCs/>
          <w:szCs w:val="22"/>
          <w:lang w:eastAsia="en-US"/>
        </w:rPr>
      </w:pPr>
    </w:p>
    <w:p w:rsidR="008676F9" w:rsidRPr="008676F9" w:rsidRDefault="008676F9" w:rsidP="00F14F63">
      <w:pPr>
        <w:ind w:left="426" w:hanging="426"/>
        <w:rPr>
          <w:rFonts w:ascii="Calibri" w:eastAsia="Calibri" w:hAnsi="Calibri" w:cs="Calibri"/>
          <w:i/>
          <w:szCs w:val="22"/>
          <w:lang w:eastAsia="en-US"/>
        </w:rPr>
      </w:pPr>
      <w:r w:rsidRPr="008676F9">
        <w:rPr>
          <w:rFonts w:ascii="Calibri" w:eastAsia="Calibri" w:hAnsi="Calibri" w:cs="Calibri"/>
          <w:i/>
          <w:szCs w:val="22"/>
          <w:lang w:eastAsia="en-US"/>
        </w:rPr>
        <w:t>4A  Obnova, zachovanie a zvýšenie biologickej diverzity vrátane na územiach sústavy Natura 2000 a v oblastiach s prírodnými alebo inými osobitnými obmedzeniami a v poľnohospodárskej činnosti s vysokou prírodnou hodnotou a obnova, zachovanie ako aj zlepšenie stavu krajinných oblastí Európy;</w:t>
      </w:r>
    </w:p>
    <w:p w:rsidR="008676F9" w:rsidRDefault="008676F9" w:rsidP="00955DA4">
      <w:pPr>
        <w:numPr>
          <w:ilvl w:val="0"/>
          <w:numId w:val="242"/>
        </w:numPr>
        <w:rPr>
          <w:rFonts w:ascii="Calibri" w:eastAsia="Calibri" w:hAnsi="Calibri" w:cs="Calibri"/>
          <w:szCs w:val="22"/>
          <w:lang w:eastAsia="en-US"/>
        </w:rPr>
      </w:pPr>
      <w:r w:rsidRPr="008676F9">
        <w:rPr>
          <w:rFonts w:ascii="Calibri" w:eastAsia="Calibri" w:hAnsi="Calibri" w:cs="Calibri"/>
          <w:szCs w:val="22"/>
          <w:lang w:eastAsia="en-US"/>
        </w:rPr>
        <w:t xml:space="preserve">Prostredníctvom podpory konkrétnych projektov, ktoré budú spájať niekoľko aktérov (poľnohospodárov, mimovládnych organizácií, ochranárov, oblastných  manažérov,  ostatných užívateľov  pozemkov a pod.),  prispejú k opätovnej obnove, zachovaniu a podpore biodiverzity v SR. </w:t>
      </w:r>
    </w:p>
    <w:p w:rsidR="00F14F63" w:rsidRPr="008676F9" w:rsidRDefault="00F14F63" w:rsidP="00F14F63">
      <w:pPr>
        <w:ind w:left="720"/>
        <w:rPr>
          <w:rFonts w:ascii="Calibri" w:eastAsia="Calibri" w:hAnsi="Calibri" w:cs="Calibri"/>
          <w:szCs w:val="22"/>
          <w:lang w:eastAsia="en-US"/>
        </w:rPr>
      </w:pPr>
    </w:p>
    <w:p w:rsidR="008676F9" w:rsidRPr="008676F9" w:rsidRDefault="008676F9" w:rsidP="00F14F63">
      <w:pPr>
        <w:ind w:left="426" w:hanging="426"/>
        <w:rPr>
          <w:rFonts w:ascii="Calibri" w:eastAsia="Calibri" w:hAnsi="Calibri" w:cs="Calibri"/>
          <w:i/>
          <w:szCs w:val="22"/>
          <w:lang w:eastAsia="en-US"/>
        </w:rPr>
      </w:pPr>
      <w:r w:rsidRPr="008676F9">
        <w:rPr>
          <w:rFonts w:ascii="Calibri" w:eastAsia="Calibri" w:hAnsi="Calibri" w:cs="Calibri"/>
          <w:i/>
          <w:szCs w:val="22"/>
          <w:lang w:eastAsia="en-US"/>
        </w:rPr>
        <w:t>4B  Zlepšenie vodného hospodárstva vrátane riadenia používania hnojív a pesticídov;</w:t>
      </w:r>
    </w:p>
    <w:p w:rsidR="008676F9" w:rsidRDefault="008676F9" w:rsidP="00955DA4">
      <w:pPr>
        <w:numPr>
          <w:ilvl w:val="0"/>
          <w:numId w:val="242"/>
        </w:numPr>
        <w:tabs>
          <w:tab w:val="left" w:pos="708"/>
        </w:tabs>
        <w:suppressAutoHyphens/>
        <w:ind w:left="714" w:hanging="357"/>
        <w:rPr>
          <w:rFonts w:ascii="Calibri" w:eastAsia="Calibri" w:hAnsi="Calibri" w:cs="Calibri"/>
          <w:szCs w:val="22"/>
          <w:lang w:eastAsia="en-US"/>
        </w:rPr>
      </w:pPr>
      <w:r w:rsidRPr="008676F9">
        <w:rPr>
          <w:rFonts w:ascii="Calibri" w:eastAsia="Calibri" w:hAnsi="Calibri" w:cs="Calibri"/>
          <w:szCs w:val="22"/>
          <w:lang w:eastAsia="en-US"/>
        </w:rPr>
        <w:t xml:space="preserve">Ako je uvedené v analýze SWOT v  rámci SR predstavuje výmera zraniteľných území 29,8 % z celkovej výmery p.p., V posledných rokoch je v SR celkový trend obsahu dusičnanov v podzemných a povrchových vodách klesajúci. Prispeli k tomu aj opatrenia osi 2 PRV SR 2007-2013 a preto obsahom programu je okrem iných opatrení aj podpora spolupráce v environmentálnych projektoch. </w:t>
      </w:r>
    </w:p>
    <w:p w:rsidR="00F14F63" w:rsidRPr="008676F9" w:rsidRDefault="00F14F63" w:rsidP="00F14F63">
      <w:pPr>
        <w:tabs>
          <w:tab w:val="left" w:pos="708"/>
        </w:tabs>
        <w:suppressAutoHyphens/>
        <w:ind w:left="714"/>
        <w:rPr>
          <w:rFonts w:ascii="Calibri" w:eastAsia="Calibri" w:hAnsi="Calibri" w:cs="Calibri"/>
          <w:szCs w:val="22"/>
          <w:lang w:eastAsia="en-US"/>
        </w:rPr>
      </w:pPr>
    </w:p>
    <w:p w:rsidR="008676F9" w:rsidRPr="008676F9" w:rsidRDefault="008676F9" w:rsidP="00F14F63">
      <w:pPr>
        <w:ind w:left="284" w:hanging="284"/>
        <w:rPr>
          <w:rFonts w:ascii="Calibri" w:eastAsia="Calibri" w:hAnsi="Calibri" w:cs="Calibri"/>
          <w:i/>
          <w:szCs w:val="22"/>
          <w:lang w:eastAsia="en-US"/>
        </w:rPr>
      </w:pPr>
      <w:r w:rsidRPr="008676F9">
        <w:rPr>
          <w:rFonts w:ascii="Calibri" w:eastAsia="Calibri" w:hAnsi="Calibri" w:cs="Calibri"/>
          <w:i/>
          <w:szCs w:val="22"/>
          <w:lang w:eastAsia="en-US"/>
        </w:rPr>
        <w:t>4C</w:t>
      </w:r>
      <w:r w:rsidRPr="008676F9">
        <w:rPr>
          <w:rFonts w:ascii="Calibri" w:eastAsia="Calibri" w:hAnsi="Calibri" w:cs="Calibri"/>
          <w:i/>
          <w:szCs w:val="22"/>
          <w:lang w:eastAsia="en-US"/>
        </w:rPr>
        <w:tab/>
        <w:t>Predchádzanie erózii pôdy a zlepšenie jej obhospodarovania</w:t>
      </w:r>
    </w:p>
    <w:p w:rsidR="008676F9" w:rsidRPr="008676F9" w:rsidRDefault="008676F9" w:rsidP="00955DA4">
      <w:pPr>
        <w:numPr>
          <w:ilvl w:val="0"/>
          <w:numId w:val="242"/>
        </w:numPr>
        <w:tabs>
          <w:tab w:val="left" w:pos="708"/>
        </w:tabs>
        <w:suppressAutoHyphens/>
        <w:contextualSpacing/>
        <w:rPr>
          <w:rFonts w:ascii="Calibri" w:eastAsia="Calibri" w:hAnsi="Calibri" w:cs="Calibri"/>
          <w:szCs w:val="22"/>
          <w:lang w:eastAsia="en-US"/>
        </w:rPr>
      </w:pPr>
      <w:r w:rsidRPr="008676F9">
        <w:rPr>
          <w:rFonts w:ascii="Calibri" w:eastAsia="Calibri" w:hAnsi="Calibri" w:cs="Calibri"/>
          <w:szCs w:val="22"/>
          <w:lang w:eastAsia="en-US"/>
        </w:rPr>
        <w:t>V snahe o účinnejšiu ochranu pôdy a zachovanie jej úrodnosti budú implementované projekty spolupráce zabraňujúce erózii, podporujúce obsah humusu a také ktoré sú šetrné voči poľnohospodárskej pôde, ďalej projekty na vytváranie stimulov na zachovávanie TTP.</w:t>
      </w:r>
    </w:p>
    <w:p w:rsidR="008676F9" w:rsidRPr="008676F9" w:rsidRDefault="008676F9" w:rsidP="00F14F63">
      <w:pPr>
        <w:tabs>
          <w:tab w:val="left" w:pos="708"/>
        </w:tabs>
        <w:suppressAutoHyphens/>
        <w:ind w:left="720"/>
        <w:contextualSpacing/>
        <w:rPr>
          <w:rFonts w:ascii="Calibri" w:eastAsia="Calibri" w:hAnsi="Calibri" w:cs="Calibri"/>
          <w:szCs w:val="22"/>
          <w:lang w:eastAsia="en-US"/>
        </w:rPr>
      </w:pPr>
    </w:p>
    <w:p w:rsidR="008676F9" w:rsidRPr="008676F9" w:rsidRDefault="008676F9" w:rsidP="00F14F63">
      <w:pPr>
        <w:ind w:left="284" w:hanging="284"/>
        <w:rPr>
          <w:rFonts w:ascii="Calibri" w:eastAsia="Calibri" w:hAnsi="Calibri" w:cs="Calibri"/>
          <w:i/>
          <w:szCs w:val="22"/>
          <w:lang w:eastAsia="en-US"/>
        </w:rPr>
      </w:pPr>
      <w:r w:rsidRPr="008676F9">
        <w:rPr>
          <w:rFonts w:ascii="Calibri" w:eastAsia="Calibri" w:hAnsi="Calibri" w:cs="Calibri"/>
          <w:i/>
          <w:szCs w:val="22"/>
          <w:lang w:eastAsia="en-US"/>
        </w:rPr>
        <w:t>5C Uľahčenie dodávok a využívania obnoviteľných zdrojov energie, vedľajších produktov, odpadov, zvyškov a iných nepotravinových surovín na účely bioekonomiky</w:t>
      </w:r>
    </w:p>
    <w:p w:rsidR="008676F9" w:rsidRPr="008676F9" w:rsidRDefault="008676F9" w:rsidP="00955DA4">
      <w:pPr>
        <w:numPr>
          <w:ilvl w:val="0"/>
          <w:numId w:val="242"/>
        </w:numPr>
        <w:tabs>
          <w:tab w:val="left" w:pos="708"/>
        </w:tabs>
        <w:suppressAutoHyphens/>
        <w:contextualSpacing/>
        <w:rPr>
          <w:rFonts w:ascii="Calibri" w:eastAsia="Calibri" w:hAnsi="Calibri" w:cs="Calibri"/>
          <w:i/>
          <w:szCs w:val="22"/>
          <w:lang w:eastAsia="en-US"/>
        </w:rPr>
      </w:pPr>
      <w:r w:rsidRPr="008676F9">
        <w:rPr>
          <w:rFonts w:ascii="Calibri" w:eastAsia="Calibri" w:hAnsi="Calibri" w:cs="Calibri"/>
          <w:szCs w:val="22"/>
          <w:lang w:eastAsia="en-US"/>
        </w:rPr>
        <w:t>K stanovenému cieľu - dosiahnuť  do roku 2020 14% podiel energie z obnoviteľných zdrojov  na hrubej konečnej spotrebe energie, môžu prispieť aj projekty spolupráce, ktoré umožnia spojenie viacerých subjektov v oblasti tvorby a využitia OZE a využitie najnovších inovatívnych postupov.</w:t>
      </w:r>
    </w:p>
    <w:p w:rsidR="008676F9" w:rsidRPr="008676F9" w:rsidRDefault="008676F9" w:rsidP="00F14F63">
      <w:pPr>
        <w:tabs>
          <w:tab w:val="left" w:pos="708"/>
        </w:tabs>
        <w:suppressAutoHyphens/>
        <w:ind w:left="720"/>
        <w:contextualSpacing/>
        <w:rPr>
          <w:rFonts w:ascii="Calibri" w:eastAsia="Calibri" w:hAnsi="Calibri" w:cs="Calibri"/>
          <w:i/>
          <w:szCs w:val="22"/>
          <w:lang w:eastAsia="en-US"/>
        </w:rPr>
      </w:pPr>
    </w:p>
    <w:p w:rsidR="008676F9" w:rsidRPr="008676F9" w:rsidRDefault="008676F9" w:rsidP="00F14F63">
      <w:pPr>
        <w:ind w:left="284" w:hanging="284"/>
        <w:rPr>
          <w:rFonts w:ascii="Calibri" w:eastAsia="Calibri" w:hAnsi="Calibri" w:cs="Calibri"/>
          <w:i/>
          <w:szCs w:val="22"/>
          <w:lang w:eastAsia="en-US"/>
        </w:rPr>
      </w:pPr>
      <w:r w:rsidRPr="008676F9">
        <w:rPr>
          <w:rFonts w:ascii="Calibri" w:eastAsia="Calibri" w:hAnsi="Calibri" w:cs="Calibri"/>
          <w:i/>
          <w:szCs w:val="22"/>
          <w:lang w:eastAsia="en-US"/>
        </w:rPr>
        <w:t>6A Uľahčenie diverzifikácie, zakladania a rozvoja malých podnikov ako aj vytvárania pracovných miest</w:t>
      </w:r>
    </w:p>
    <w:p w:rsidR="008676F9" w:rsidRPr="008676F9" w:rsidRDefault="008676F9" w:rsidP="00955DA4">
      <w:pPr>
        <w:numPr>
          <w:ilvl w:val="0"/>
          <w:numId w:val="242"/>
        </w:numPr>
        <w:tabs>
          <w:tab w:val="left" w:pos="708"/>
        </w:tabs>
        <w:suppressAutoHyphens/>
        <w:contextualSpacing/>
        <w:rPr>
          <w:rFonts w:ascii="Calibri" w:eastAsia="Calibri" w:hAnsi="Calibri" w:cs="Calibri"/>
          <w:szCs w:val="22"/>
          <w:lang w:eastAsia="en-US"/>
        </w:rPr>
      </w:pPr>
      <w:r w:rsidRPr="008676F9">
        <w:rPr>
          <w:rFonts w:ascii="Calibri" w:eastAsia="Calibri" w:hAnsi="Calibri" w:cs="Calibri"/>
          <w:szCs w:val="22"/>
          <w:lang w:eastAsia="en-US"/>
        </w:rPr>
        <w:t>Projekty spolupráce budú sústredené do oblastí zameraných najmä na využívanie potenciálu pre rozvoj cestovného ruchu, zabezpečovania komunálnych služieb, poskytovania sociálnych služieb, ale aj do oblasti priemyselnej výroby.</w:t>
      </w:r>
    </w:p>
    <w:p w:rsidR="008676F9" w:rsidRPr="008676F9" w:rsidRDefault="008676F9" w:rsidP="00F14F63">
      <w:pPr>
        <w:rPr>
          <w:rFonts w:ascii="Calibri" w:eastAsia="Calibri" w:hAnsi="Calibri" w:cs="Calibri"/>
          <w:bCs/>
          <w:szCs w:val="22"/>
          <w:u w:val="single"/>
          <w:lang w:eastAsia="en-US"/>
        </w:rPr>
      </w:pPr>
    </w:p>
    <w:p w:rsidR="008676F9" w:rsidRPr="008676F9" w:rsidRDefault="008676F9" w:rsidP="00F14F63">
      <w:pPr>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Príspevok k prierezovým cieľom:</w:t>
      </w:r>
    </w:p>
    <w:p w:rsidR="008676F9" w:rsidRPr="008676F9" w:rsidRDefault="008676F9" w:rsidP="001F5283">
      <w:pPr>
        <w:numPr>
          <w:ilvl w:val="0"/>
          <w:numId w:val="51"/>
        </w:numPr>
        <w:ind w:left="426" w:hanging="284"/>
        <w:contextualSpacing/>
        <w:rPr>
          <w:rFonts w:ascii="Calibri" w:hAnsi="Calibri" w:cs="Calibri"/>
          <w:szCs w:val="22"/>
          <w:lang w:eastAsia="en-US"/>
        </w:rPr>
      </w:pPr>
      <w:r w:rsidRPr="008676F9">
        <w:rPr>
          <w:rFonts w:ascii="Calibri" w:hAnsi="Calibri" w:cs="Calibri"/>
          <w:szCs w:val="22"/>
          <w:lang w:eastAsia="en-US"/>
        </w:rPr>
        <w:t>inovácie</w:t>
      </w:r>
    </w:p>
    <w:p w:rsidR="008676F9" w:rsidRPr="008676F9" w:rsidRDefault="008676F9" w:rsidP="001F5283">
      <w:pPr>
        <w:numPr>
          <w:ilvl w:val="0"/>
          <w:numId w:val="51"/>
        </w:numPr>
        <w:ind w:left="426" w:hanging="284"/>
        <w:contextualSpacing/>
        <w:rPr>
          <w:rFonts w:ascii="Calibri" w:hAnsi="Calibri" w:cs="Calibri"/>
          <w:szCs w:val="22"/>
          <w:lang w:eastAsia="en-US"/>
        </w:rPr>
      </w:pPr>
      <w:r w:rsidRPr="008676F9">
        <w:rPr>
          <w:rFonts w:ascii="Calibri" w:hAnsi="Calibri" w:cs="Calibri"/>
          <w:szCs w:val="22"/>
          <w:lang w:eastAsia="en-US"/>
        </w:rPr>
        <w:t>životné prostredie</w:t>
      </w:r>
    </w:p>
    <w:p w:rsidR="008676F9" w:rsidRDefault="008676F9" w:rsidP="001F5283">
      <w:pPr>
        <w:numPr>
          <w:ilvl w:val="0"/>
          <w:numId w:val="51"/>
        </w:numPr>
        <w:ind w:left="426" w:hanging="284"/>
        <w:contextualSpacing/>
        <w:rPr>
          <w:rFonts w:ascii="Calibri" w:hAnsi="Calibri" w:cs="Calibri"/>
          <w:szCs w:val="22"/>
          <w:lang w:eastAsia="en-US"/>
        </w:rPr>
      </w:pPr>
      <w:r w:rsidRPr="008676F9">
        <w:rPr>
          <w:rFonts w:ascii="Calibri" w:hAnsi="Calibri" w:cs="Calibri"/>
          <w:szCs w:val="22"/>
          <w:lang w:eastAsia="en-US"/>
        </w:rPr>
        <w:t>zmierňovanie zmeny klímy a adaptácia na ňu.</w:t>
      </w:r>
    </w:p>
    <w:p w:rsidR="00F14F63" w:rsidRDefault="00F14F63" w:rsidP="00F14F63">
      <w:pPr>
        <w:ind w:left="142"/>
        <w:contextualSpacing/>
        <w:rPr>
          <w:rFonts w:ascii="Calibri" w:hAnsi="Calibri" w:cs="Calibri"/>
          <w:szCs w:val="22"/>
          <w:lang w:eastAsia="en-US"/>
        </w:rPr>
      </w:pPr>
    </w:p>
    <w:p w:rsidR="008676F9" w:rsidRDefault="008676F9" w:rsidP="00F14F63">
      <w:pPr>
        <w:rPr>
          <w:rFonts w:ascii="Calibri" w:eastAsia="Calibri" w:hAnsi="Calibri" w:cs="Calibri"/>
          <w:bCs/>
          <w:szCs w:val="22"/>
          <w:lang w:eastAsia="en-US"/>
        </w:rPr>
      </w:pPr>
      <w:r w:rsidRPr="008676F9">
        <w:rPr>
          <w:rFonts w:ascii="Calibri" w:eastAsia="Calibri" w:hAnsi="Calibri" w:cs="Calibri"/>
          <w:b/>
          <w:bCs/>
          <w:szCs w:val="22"/>
          <w:lang w:eastAsia="en-US"/>
        </w:rPr>
        <w:t>8.2.1</w:t>
      </w:r>
      <w:r w:rsidR="00B30F00">
        <w:rPr>
          <w:rFonts w:ascii="Calibri" w:eastAsia="Calibri" w:hAnsi="Calibri" w:cs="Calibri"/>
          <w:b/>
          <w:bCs/>
          <w:szCs w:val="22"/>
          <w:lang w:eastAsia="en-US"/>
        </w:rPr>
        <w:t>5</w:t>
      </w:r>
      <w:r w:rsidRPr="008676F9">
        <w:rPr>
          <w:rFonts w:ascii="Calibri" w:eastAsia="Calibri" w:hAnsi="Calibri" w:cs="Calibri"/>
          <w:b/>
          <w:bCs/>
          <w:szCs w:val="22"/>
          <w:lang w:eastAsia="en-US"/>
        </w:rPr>
        <w:t xml:space="preserve">.3. Rozsah, úroveň podpory a ďalšie informácie </w:t>
      </w:r>
      <w:r w:rsidRPr="008676F9">
        <w:rPr>
          <w:rFonts w:ascii="Calibri" w:eastAsia="Calibri" w:hAnsi="Calibri" w:cs="Calibri"/>
          <w:bCs/>
          <w:szCs w:val="22"/>
          <w:lang w:eastAsia="en-US"/>
        </w:rPr>
        <w:t>(v členení podľa podopatrení a typu operácie)</w:t>
      </w:r>
    </w:p>
    <w:p w:rsidR="00A03A77" w:rsidRPr="008676F9" w:rsidRDefault="00A03A77" w:rsidP="00F14F63">
      <w:pPr>
        <w:rPr>
          <w:rFonts w:ascii="Calibri" w:eastAsia="Calibri" w:hAnsi="Calibri" w:cs="Calibri"/>
          <w:bCs/>
          <w:szCs w:val="22"/>
          <w:lang w:eastAsia="en-US"/>
        </w:rPr>
      </w:pPr>
    </w:p>
    <w:p w:rsidR="008676F9" w:rsidRPr="008676F9" w:rsidRDefault="008676F9" w:rsidP="00A03A77">
      <w:pPr>
        <w:shd w:val="clear" w:color="auto" w:fill="EAF1DD"/>
        <w:ind w:left="1843" w:hanging="1843"/>
        <w:rPr>
          <w:rFonts w:ascii="Calibri" w:eastAsia="Calibri" w:hAnsi="Calibri" w:cs="Calibri"/>
          <w:b/>
          <w:bCs/>
          <w:i/>
          <w:lang w:eastAsia="en-US"/>
        </w:rPr>
      </w:pPr>
      <w:r w:rsidRPr="008676F9">
        <w:rPr>
          <w:rFonts w:ascii="Calibri" w:eastAsia="Calibri" w:hAnsi="Calibri" w:cs="Calibri"/>
          <w:bCs/>
          <w:lang w:eastAsia="en-US"/>
        </w:rPr>
        <w:t xml:space="preserve">Podopatrenie: 16.1.  </w:t>
      </w:r>
      <w:r w:rsidRPr="00A03A77">
        <w:rPr>
          <w:rFonts w:ascii="Calibri" w:eastAsia="Calibri" w:hAnsi="Calibri" w:cs="Calibri"/>
          <w:b/>
          <w:bCs/>
          <w:i/>
          <w:sz w:val="24"/>
          <w:lang w:eastAsia="en-US"/>
        </w:rPr>
        <w:t>Podpora zriadenia operačných skupín EIP zameraného na produktivitu a udržateľnosť poľnohospodárstva</w:t>
      </w:r>
    </w:p>
    <w:p w:rsidR="008676F9" w:rsidRPr="008676F9" w:rsidRDefault="008676F9" w:rsidP="00F14F63">
      <w:pPr>
        <w:shd w:val="clear" w:color="auto" w:fill="FBD4B4"/>
        <w:ind w:left="2127" w:hanging="2127"/>
        <w:rPr>
          <w:rFonts w:ascii="Calibri" w:hAnsi="Calibri" w:cs="Calibri"/>
          <w:szCs w:val="22"/>
          <w:u w:val="single"/>
          <w:lang w:eastAsia="en-US"/>
        </w:rPr>
      </w:pPr>
      <w:r w:rsidRPr="008676F9">
        <w:rPr>
          <w:rFonts w:ascii="Calibri" w:hAnsi="Calibri" w:cs="Calibri"/>
          <w:szCs w:val="22"/>
          <w:u w:val="single"/>
          <w:lang w:eastAsia="en-US"/>
        </w:rPr>
        <w:t xml:space="preserve">Názov operácie:  </w:t>
      </w:r>
    </w:p>
    <w:p w:rsidR="008676F9" w:rsidRPr="008676F9" w:rsidRDefault="008676F9" w:rsidP="00F14F63">
      <w:pPr>
        <w:shd w:val="clear" w:color="auto" w:fill="FBD4B4"/>
        <w:rPr>
          <w:rFonts w:ascii="Calibri" w:hAnsi="Calibri" w:cs="Calibri"/>
          <w:szCs w:val="22"/>
          <w:u w:val="single"/>
          <w:lang w:eastAsia="en-US"/>
        </w:rPr>
      </w:pPr>
      <w:r w:rsidRPr="008676F9">
        <w:rPr>
          <w:rFonts w:ascii="Calibri" w:hAnsi="Calibri" w:cs="Calibri"/>
          <w:i/>
          <w:szCs w:val="22"/>
          <w:lang w:eastAsia="en-US"/>
        </w:rPr>
        <w:t>Zriadenie a prevádzka operačných skupín EIP</w:t>
      </w:r>
    </w:p>
    <w:p w:rsidR="008676F9" w:rsidRPr="008676F9" w:rsidRDefault="008676F9" w:rsidP="00F14F63">
      <w:pPr>
        <w:rPr>
          <w:rFonts w:ascii="Calibri" w:hAnsi="Calibri" w:cs="Calibri"/>
          <w:bCs/>
          <w:szCs w:val="22"/>
          <w:u w:val="single"/>
          <w:lang w:eastAsia="en-US"/>
        </w:rPr>
      </w:pPr>
    </w:p>
    <w:p w:rsidR="008676F9" w:rsidRPr="008676F9" w:rsidRDefault="008676F9" w:rsidP="00F14F63">
      <w:pPr>
        <w:rPr>
          <w:rFonts w:ascii="Calibri" w:hAnsi="Calibri" w:cs="Calibri"/>
          <w:bCs/>
          <w:szCs w:val="22"/>
          <w:u w:val="single"/>
          <w:lang w:eastAsia="en-US"/>
        </w:rPr>
      </w:pPr>
      <w:r w:rsidRPr="008676F9">
        <w:rPr>
          <w:rFonts w:ascii="Calibri" w:hAnsi="Calibri" w:cs="Calibri"/>
          <w:bCs/>
          <w:szCs w:val="22"/>
          <w:u w:val="single"/>
          <w:lang w:eastAsia="en-US"/>
        </w:rPr>
        <w:t>Opis operácie:</w:t>
      </w:r>
    </w:p>
    <w:p w:rsidR="008676F9" w:rsidRPr="008676F9" w:rsidRDefault="008676F9" w:rsidP="00F14F63">
      <w:pPr>
        <w:rPr>
          <w:rFonts w:ascii="Calibri" w:hAnsi="Calibri" w:cs="Calibri"/>
          <w:bCs/>
          <w:szCs w:val="22"/>
          <w:lang w:eastAsia="en-US"/>
        </w:rPr>
      </w:pPr>
      <w:r w:rsidRPr="008676F9">
        <w:rPr>
          <w:rFonts w:ascii="Calibri" w:hAnsi="Calibri" w:cs="Calibri"/>
          <w:bCs/>
          <w:szCs w:val="22"/>
          <w:lang w:eastAsia="en-US"/>
        </w:rPr>
        <w:t xml:space="preserve">Operačné skupiny EIP sú súčasťou EIP zameraného na poľnohospodársku produktivitu a udržateľnosť. Vytvárajú ich zainteresované subjekty, ako poľnohospodári, výskumníci, poradcovia a podniky zapojené do odvetvia poľnohospodárstva a potravinárstva, ktoré sú dôležité pre dosiahnutie cieľov EIP. Operačné skupiny EIP si stanovia vnútorné postupy, ktorými zabezpečia aby ich operácie a rozhodovania boli transparentné a aby predchádzali situáciám konfliktu záujmov. </w:t>
      </w:r>
    </w:p>
    <w:p w:rsidR="008676F9" w:rsidRPr="008676F9" w:rsidRDefault="008676F9" w:rsidP="00F14F63">
      <w:pPr>
        <w:rPr>
          <w:rFonts w:ascii="Calibri" w:eastAsia="Calibri" w:hAnsi="Calibri" w:cs="Calibri"/>
          <w:bCs/>
          <w:szCs w:val="22"/>
          <w:lang w:eastAsia="en-US"/>
        </w:rPr>
      </w:pPr>
    </w:p>
    <w:p w:rsidR="008676F9" w:rsidRPr="008676F9" w:rsidRDefault="008676F9" w:rsidP="00F14F63">
      <w:pPr>
        <w:rPr>
          <w:rFonts w:ascii="Calibri" w:eastAsia="Calibri" w:hAnsi="Calibri" w:cs="Calibri"/>
          <w:bCs/>
          <w:szCs w:val="22"/>
          <w:lang w:eastAsia="en-US"/>
        </w:rPr>
      </w:pPr>
      <w:r w:rsidRPr="008676F9">
        <w:rPr>
          <w:rFonts w:ascii="Calibri" w:eastAsia="Calibri" w:hAnsi="Calibri" w:cs="Calibri"/>
          <w:bCs/>
          <w:szCs w:val="22"/>
          <w:lang w:eastAsia="en-US"/>
        </w:rPr>
        <w:t>Úlohy operačných skupín bude vypracovanie plánu, ktorý obsahuje:</w:t>
      </w:r>
    </w:p>
    <w:p w:rsidR="008676F9" w:rsidRPr="008E28C6" w:rsidRDefault="008676F9" w:rsidP="00CE203B">
      <w:pPr>
        <w:pStyle w:val="Odsekzoznamu"/>
        <w:numPr>
          <w:ilvl w:val="1"/>
          <w:numId w:val="307"/>
        </w:numPr>
        <w:ind w:left="284" w:hanging="284"/>
        <w:rPr>
          <w:rFonts w:ascii="Calibri" w:eastAsia="Calibri" w:hAnsi="Calibri" w:cs="Calibri"/>
          <w:bCs/>
          <w:szCs w:val="22"/>
          <w:lang w:eastAsia="en-US"/>
        </w:rPr>
      </w:pPr>
      <w:r w:rsidRPr="008E28C6">
        <w:rPr>
          <w:rFonts w:ascii="Calibri" w:eastAsia="Calibri" w:hAnsi="Calibri" w:cs="Calibri"/>
          <w:bCs/>
          <w:szCs w:val="22"/>
          <w:lang w:eastAsia="en-US"/>
        </w:rPr>
        <w:t>opis inovačného projektu, ktorý sa má vyvinúť, testovať, prispôsobiť alebo vykonávať;</w:t>
      </w:r>
    </w:p>
    <w:p w:rsidR="008676F9" w:rsidRPr="008E28C6" w:rsidRDefault="008676F9" w:rsidP="00CE203B">
      <w:pPr>
        <w:pStyle w:val="Odsekzoznamu"/>
        <w:numPr>
          <w:ilvl w:val="1"/>
          <w:numId w:val="307"/>
        </w:numPr>
        <w:ind w:left="284" w:hanging="284"/>
        <w:rPr>
          <w:rFonts w:ascii="Calibri" w:eastAsia="Calibri" w:hAnsi="Calibri" w:cs="Calibri"/>
          <w:bCs/>
          <w:szCs w:val="22"/>
          <w:lang w:eastAsia="en-US"/>
        </w:rPr>
      </w:pPr>
      <w:r w:rsidRPr="008E28C6">
        <w:rPr>
          <w:rFonts w:ascii="Calibri" w:eastAsia="Calibri" w:hAnsi="Calibri" w:cs="Calibri"/>
          <w:bCs/>
          <w:szCs w:val="22"/>
          <w:lang w:eastAsia="en-US"/>
        </w:rPr>
        <w:t>opis očakávaných výsledkov a prínosu k cieľu EIP, ktorým je zvýšenie produktivity a udržateľné riadenie zdrojov</w:t>
      </w:r>
      <w:r w:rsidRPr="008E28C6">
        <w:rPr>
          <w:rFonts w:ascii="Calibri" w:eastAsia="Calibri" w:hAnsi="Calibri" w:cs="Calibri"/>
          <w:bCs/>
          <w:szCs w:val="22"/>
          <w:lang w:val="en-US" w:eastAsia="en-US"/>
        </w:rPr>
        <w:t>;</w:t>
      </w:r>
      <w:r w:rsidRPr="008E28C6">
        <w:rPr>
          <w:rFonts w:ascii="Calibri" w:eastAsia="Calibri" w:hAnsi="Calibri" w:cs="Calibri"/>
          <w:bCs/>
          <w:szCs w:val="22"/>
          <w:lang w:eastAsia="en-US"/>
        </w:rPr>
        <w:t>Operačné skupiny pri vykonávaní svojich inovačných projektov prijímajú rozhodnutia o vypracovaní a vykonávaní inovačných opatrení a vykonávajú inovačné opatrenia pomocou opatrení financovaných prostredníctvom programov rozvoja vidieka. Operačné skupiny šíria výsledky svojich projektov, a to najmä prostredníctvom siete EIP.</w:t>
      </w:r>
    </w:p>
    <w:p w:rsidR="008676F9" w:rsidRPr="008676F9" w:rsidRDefault="008676F9" w:rsidP="00F14F63">
      <w:pPr>
        <w:rPr>
          <w:rFonts w:ascii="Calibri" w:eastAsia="Calibri" w:hAnsi="Calibri" w:cs="Calibri"/>
          <w:b/>
          <w:bCs/>
          <w:szCs w:val="22"/>
          <w:lang w:eastAsia="en-US"/>
        </w:rPr>
      </w:pPr>
    </w:p>
    <w:p w:rsidR="008676F9" w:rsidRPr="008676F9" w:rsidRDefault="008676F9" w:rsidP="00F14F63">
      <w:pPr>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Typ podpory:</w:t>
      </w:r>
    </w:p>
    <w:p w:rsidR="008676F9" w:rsidRPr="008676F9" w:rsidRDefault="008676F9" w:rsidP="00F14F63">
      <w:pPr>
        <w:rPr>
          <w:rFonts w:ascii="Calibri" w:eastAsia="Calibri" w:hAnsi="Calibri" w:cs="Calibri"/>
          <w:bCs/>
          <w:szCs w:val="22"/>
          <w:lang w:eastAsia="en-US"/>
        </w:rPr>
      </w:pPr>
      <w:r w:rsidRPr="008676F9">
        <w:rPr>
          <w:rFonts w:ascii="Calibri" w:eastAsia="Calibri" w:hAnsi="Calibri" w:cs="Calibri"/>
          <w:bCs/>
          <w:szCs w:val="22"/>
          <w:lang w:eastAsia="en-US"/>
        </w:rPr>
        <w:t>Investičná, nezisková, nenávratný finančný príspevok.</w:t>
      </w:r>
    </w:p>
    <w:p w:rsidR="008676F9" w:rsidRPr="008676F9" w:rsidRDefault="008676F9" w:rsidP="00F14F63">
      <w:pPr>
        <w:rPr>
          <w:rFonts w:ascii="Calibri" w:eastAsia="Calibri" w:hAnsi="Calibri" w:cs="Calibri"/>
          <w:bCs/>
          <w:szCs w:val="22"/>
          <w:lang w:eastAsia="en-US"/>
        </w:rPr>
      </w:pPr>
    </w:p>
    <w:p w:rsidR="008676F9" w:rsidRPr="008676F9" w:rsidRDefault="008676F9" w:rsidP="00F14F63">
      <w:pPr>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Prijímateľ podpory:</w:t>
      </w:r>
    </w:p>
    <w:p w:rsidR="008676F9" w:rsidRPr="008676F9" w:rsidRDefault="008676F9" w:rsidP="00F14F63">
      <w:pPr>
        <w:rPr>
          <w:rFonts w:ascii="Calibri" w:eastAsia="Calibri" w:hAnsi="Calibri" w:cs="Calibri"/>
          <w:bCs/>
          <w:szCs w:val="22"/>
          <w:u w:val="single"/>
          <w:lang w:eastAsia="en-US"/>
        </w:rPr>
      </w:pPr>
      <w:r w:rsidRPr="008676F9">
        <w:rPr>
          <w:rFonts w:ascii="Calibri" w:eastAsia="Calibri" w:hAnsi="Calibri" w:cs="Calibri"/>
          <w:szCs w:val="22"/>
          <w:lang w:eastAsia="en-US"/>
        </w:rPr>
        <w:t>Najmenej dva subjekty, ktorých spolupráca je :</w:t>
      </w:r>
    </w:p>
    <w:p w:rsidR="008676F9" w:rsidRPr="008676F9" w:rsidRDefault="008676F9" w:rsidP="00955DA4">
      <w:pPr>
        <w:numPr>
          <w:ilvl w:val="0"/>
          <w:numId w:val="244"/>
        </w:numPr>
        <w:tabs>
          <w:tab w:val="left" w:pos="708"/>
        </w:tabs>
        <w:suppressAutoHyphens/>
        <w:autoSpaceDE w:val="0"/>
        <w:autoSpaceDN w:val="0"/>
        <w:adjustRightInd w:val="0"/>
        <w:contextualSpacing/>
        <w:rPr>
          <w:rFonts w:ascii="Calibri" w:eastAsia="Calibri" w:hAnsi="Calibri" w:cs="Calibri"/>
          <w:szCs w:val="22"/>
          <w:lang w:eastAsia="en-US"/>
        </w:rPr>
      </w:pPr>
      <w:r w:rsidRPr="008676F9">
        <w:rPr>
          <w:rFonts w:ascii="Calibri" w:eastAsia="Calibri" w:hAnsi="Calibri" w:cs="Calibri"/>
          <w:szCs w:val="22"/>
          <w:lang w:eastAsia="en-US"/>
        </w:rPr>
        <w:t>medzi rôznymi aktérmi v poľnohospodárstve, potravinovom reťazci , v lesnom hospodárstve, alebo v sektore cestovného ruchu a rozvoji vidieka na území EÚ a medzi inými aktérmi, ktorí prispievajú k splneniu cieľov a priorít politiky rozvoja vidieka vrátane medziodvetvových organizácií</w:t>
      </w:r>
      <w:r w:rsidR="000E76A1">
        <w:rPr>
          <w:rFonts w:ascii="Calibri" w:eastAsia="Calibri" w:hAnsi="Calibri" w:cs="Calibri"/>
          <w:szCs w:val="22"/>
          <w:lang w:eastAsia="en-US"/>
        </w:rPr>
        <w:t>, mimovládnych neziskových organizácií</w:t>
      </w:r>
      <w:r w:rsidRPr="008676F9">
        <w:rPr>
          <w:rFonts w:ascii="Calibri" w:eastAsia="Calibri" w:hAnsi="Calibri" w:cs="Calibri"/>
          <w:szCs w:val="22"/>
          <w:lang w:eastAsia="en-US"/>
        </w:rPr>
        <w:t xml:space="preserve"> a výskumných organizácií pri vytváraní a prevádzke klastrov</w:t>
      </w:r>
    </w:p>
    <w:p w:rsidR="008676F9" w:rsidRPr="008676F9" w:rsidRDefault="008676F9" w:rsidP="00955DA4">
      <w:pPr>
        <w:numPr>
          <w:ilvl w:val="0"/>
          <w:numId w:val="244"/>
        </w:numPr>
        <w:tabs>
          <w:tab w:val="left" w:pos="708"/>
        </w:tabs>
        <w:suppressAutoHyphens/>
        <w:contextualSpacing/>
        <w:rPr>
          <w:rFonts w:ascii="Calibri" w:eastAsia="Calibri" w:hAnsi="Calibri" w:cs="Calibri"/>
          <w:bCs/>
          <w:szCs w:val="22"/>
          <w:u w:val="single"/>
          <w:lang w:eastAsia="en-US"/>
        </w:rPr>
      </w:pPr>
      <w:r w:rsidRPr="008676F9">
        <w:rPr>
          <w:rFonts w:ascii="Calibri" w:eastAsia="Calibri" w:hAnsi="Calibri" w:cs="Calibri"/>
          <w:szCs w:val="22"/>
          <w:lang w:eastAsia="en-US"/>
        </w:rPr>
        <w:t>zameraná na zriadenie a prevádzku operačných skupín EIP pre produktivitu a udržateľnosť poľnohospodárstva</w:t>
      </w:r>
      <w:r w:rsidR="000E76A1">
        <w:rPr>
          <w:rFonts w:ascii="Calibri" w:eastAsia="Calibri" w:hAnsi="Calibri" w:cs="Calibri"/>
          <w:szCs w:val="22"/>
          <w:lang w:eastAsia="en-US"/>
        </w:rPr>
        <w:t xml:space="preserve"> a lesného hospodárstva</w:t>
      </w:r>
      <w:r w:rsidRPr="008676F9">
        <w:rPr>
          <w:rFonts w:ascii="Calibri" w:eastAsia="Calibri" w:hAnsi="Calibri" w:cs="Calibri"/>
          <w:szCs w:val="22"/>
          <w:lang w:eastAsia="en-US"/>
        </w:rPr>
        <w:t>.</w:t>
      </w:r>
    </w:p>
    <w:p w:rsidR="008676F9" w:rsidRPr="008676F9" w:rsidRDefault="008676F9" w:rsidP="00F14F63">
      <w:pPr>
        <w:rPr>
          <w:rFonts w:ascii="Calibri" w:eastAsia="Calibri" w:hAnsi="Calibri" w:cs="Calibri"/>
          <w:bCs/>
          <w:szCs w:val="22"/>
          <w:u w:val="single"/>
          <w:lang w:eastAsia="en-US"/>
        </w:rPr>
      </w:pPr>
    </w:p>
    <w:p w:rsidR="008676F9" w:rsidRPr="008676F9" w:rsidRDefault="008676F9" w:rsidP="00F14F63">
      <w:pPr>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Oprávnené náklady:</w:t>
      </w:r>
    </w:p>
    <w:p w:rsidR="008676F9" w:rsidRPr="008676F9" w:rsidRDefault="008676F9" w:rsidP="00F14F63">
      <w:pPr>
        <w:autoSpaceDE w:val="0"/>
        <w:autoSpaceDN w:val="0"/>
        <w:adjustRightInd w:val="0"/>
        <w:rPr>
          <w:rFonts w:ascii="Calibri" w:eastAsia="Calibri" w:hAnsi="Calibri" w:cs="Calibri"/>
          <w:szCs w:val="22"/>
          <w:lang w:eastAsia="en-US"/>
        </w:rPr>
      </w:pPr>
      <w:r w:rsidRPr="008676F9">
        <w:rPr>
          <w:rFonts w:ascii="Calibri" w:eastAsia="Calibri" w:hAnsi="Calibri" w:cs="Calibri"/>
          <w:szCs w:val="22"/>
          <w:lang w:eastAsia="en-US"/>
        </w:rPr>
        <w:t>Na podporu v rámci  danej operácie  sú oprávnené tieto náklady:</w:t>
      </w:r>
    </w:p>
    <w:p w:rsidR="008676F9" w:rsidRPr="003F6575" w:rsidRDefault="008676F9" w:rsidP="00CE203B">
      <w:pPr>
        <w:pStyle w:val="Odsekzoznamu"/>
        <w:numPr>
          <w:ilvl w:val="1"/>
          <w:numId w:val="317"/>
        </w:numPr>
        <w:autoSpaceDE w:val="0"/>
        <w:autoSpaceDN w:val="0"/>
        <w:adjustRightInd w:val="0"/>
        <w:spacing w:after="120"/>
        <w:ind w:left="425" w:hanging="425"/>
        <w:contextualSpacing w:val="0"/>
        <w:rPr>
          <w:rFonts w:ascii="Calibri" w:eastAsia="Calibri" w:hAnsi="Calibri" w:cs="Calibri"/>
          <w:szCs w:val="22"/>
          <w:lang w:eastAsia="en-US"/>
        </w:rPr>
      </w:pPr>
      <w:r w:rsidRPr="003F6575">
        <w:rPr>
          <w:rFonts w:ascii="Calibri" w:eastAsia="Calibri" w:hAnsi="Calibri" w:cs="Calibri"/>
          <w:szCs w:val="22"/>
          <w:lang w:eastAsia="en-US"/>
        </w:rPr>
        <w:t>náklady na štúdie o príslušnej oblasti, realizačné štúdie a vypracovanie podnikateľského plánu, plánu obhospodarovania lesov alebo rovnocenného nástroja  alebo inej stratégie miestneho rozvoja</w:t>
      </w:r>
      <w:r w:rsidRPr="003F6575">
        <w:rPr>
          <w:rFonts w:ascii="Calibri" w:eastAsia="Calibri" w:hAnsi="Calibri" w:cs="Calibri"/>
          <w:szCs w:val="22"/>
          <w:lang w:val="en-US" w:eastAsia="en-US"/>
        </w:rPr>
        <w:t>;</w:t>
      </w:r>
      <w:r w:rsidRPr="003F6575">
        <w:rPr>
          <w:rFonts w:ascii="Calibri" w:eastAsia="Calibri" w:hAnsi="Calibri" w:cs="Calibri"/>
          <w:szCs w:val="22"/>
          <w:lang w:eastAsia="en-US"/>
        </w:rPr>
        <w:t xml:space="preserve"> </w:t>
      </w:r>
    </w:p>
    <w:p w:rsidR="008676F9" w:rsidRPr="003F6575" w:rsidRDefault="008676F9" w:rsidP="00CE203B">
      <w:pPr>
        <w:pStyle w:val="Odsekzoznamu"/>
        <w:numPr>
          <w:ilvl w:val="1"/>
          <w:numId w:val="317"/>
        </w:numPr>
        <w:autoSpaceDE w:val="0"/>
        <w:autoSpaceDN w:val="0"/>
        <w:adjustRightInd w:val="0"/>
        <w:spacing w:after="120"/>
        <w:ind w:left="425" w:hanging="425"/>
        <w:contextualSpacing w:val="0"/>
        <w:rPr>
          <w:rFonts w:ascii="Calibri" w:eastAsia="Calibri" w:hAnsi="Calibri" w:cs="Calibri"/>
          <w:szCs w:val="22"/>
          <w:lang w:eastAsia="en-US"/>
        </w:rPr>
      </w:pPr>
      <w:r w:rsidRPr="003F6575">
        <w:rPr>
          <w:rFonts w:ascii="Calibri" w:eastAsia="Calibri" w:hAnsi="Calibri" w:cs="Calibri"/>
          <w:szCs w:val="22"/>
          <w:lang w:eastAsia="en-US"/>
        </w:rPr>
        <w:t>náklady na oživenie príslušnej oblasti s cieľom zabezpečiť uskutočniteľnosť kolektívneho územného projektu;</w:t>
      </w:r>
    </w:p>
    <w:p w:rsidR="008676F9" w:rsidRPr="003F6575" w:rsidRDefault="008676F9" w:rsidP="00CE203B">
      <w:pPr>
        <w:pStyle w:val="Odsekzoznamu"/>
        <w:numPr>
          <w:ilvl w:val="1"/>
          <w:numId w:val="317"/>
        </w:numPr>
        <w:autoSpaceDE w:val="0"/>
        <w:autoSpaceDN w:val="0"/>
        <w:adjustRightInd w:val="0"/>
        <w:spacing w:after="120"/>
        <w:ind w:left="425" w:hanging="425"/>
        <w:contextualSpacing w:val="0"/>
        <w:rPr>
          <w:rFonts w:ascii="Calibri" w:eastAsia="Calibri" w:hAnsi="Calibri" w:cs="Calibri"/>
          <w:szCs w:val="22"/>
          <w:lang w:eastAsia="en-US"/>
        </w:rPr>
      </w:pPr>
      <w:r w:rsidRPr="003F6575">
        <w:rPr>
          <w:rFonts w:ascii="Calibri" w:eastAsia="Calibri" w:hAnsi="Calibri" w:cs="Calibri"/>
          <w:szCs w:val="22"/>
          <w:lang w:eastAsia="en-US"/>
        </w:rPr>
        <w:t xml:space="preserve">prevádzkové náklady na spoluprácu; </w:t>
      </w:r>
    </w:p>
    <w:p w:rsidR="008676F9" w:rsidRPr="003F6575" w:rsidRDefault="008676F9" w:rsidP="00CE203B">
      <w:pPr>
        <w:pStyle w:val="Odsekzoznamu"/>
        <w:numPr>
          <w:ilvl w:val="1"/>
          <w:numId w:val="317"/>
        </w:numPr>
        <w:autoSpaceDE w:val="0"/>
        <w:autoSpaceDN w:val="0"/>
        <w:adjustRightInd w:val="0"/>
        <w:spacing w:after="120"/>
        <w:ind w:left="425" w:hanging="425"/>
        <w:contextualSpacing w:val="0"/>
        <w:rPr>
          <w:rFonts w:ascii="Calibri" w:eastAsia="Calibri" w:hAnsi="Calibri" w:cs="Calibri"/>
          <w:szCs w:val="22"/>
          <w:lang w:eastAsia="en-US"/>
        </w:rPr>
      </w:pPr>
      <w:r w:rsidRPr="003F6575">
        <w:rPr>
          <w:rFonts w:ascii="Calibri" w:eastAsia="Calibri" w:hAnsi="Calibri" w:cs="Calibri"/>
          <w:szCs w:val="22"/>
          <w:lang w:eastAsia="en-US"/>
        </w:rPr>
        <w:t>priame náklady na konkrétne projekty spojené s vykonávaním podnikateľského plánu, plánu v oblasti životného prostredia a inej stratégie miestneho rozvoja, alebo na iné činnosti zamerané na inovácie, vrátane testovania, resp. nevyhnutných investičných nákladov;</w:t>
      </w:r>
    </w:p>
    <w:p w:rsidR="008676F9" w:rsidRPr="003F6575" w:rsidRDefault="008676F9" w:rsidP="00CE203B">
      <w:pPr>
        <w:pStyle w:val="Odsekzoznamu"/>
        <w:numPr>
          <w:ilvl w:val="1"/>
          <w:numId w:val="317"/>
        </w:numPr>
        <w:autoSpaceDE w:val="0"/>
        <w:autoSpaceDN w:val="0"/>
        <w:adjustRightInd w:val="0"/>
        <w:ind w:left="426" w:hanging="426"/>
        <w:rPr>
          <w:rFonts w:ascii="Calibri" w:eastAsia="Calibri" w:hAnsi="Calibri" w:cs="Calibri"/>
          <w:szCs w:val="22"/>
          <w:lang w:eastAsia="en-US"/>
        </w:rPr>
      </w:pPr>
      <w:r w:rsidRPr="003F6575">
        <w:rPr>
          <w:rFonts w:ascii="Calibri" w:eastAsia="Calibri" w:hAnsi="Calibri" w:cs="Calibri"/>
          <w:szCs w:val="22"/>
          <w:lang w:eastAsia="en-US"/>
        </w:rPr>
        <w:t>náklady na propagačné činnosti.</w:t>
      </w:r>
    </w:p>
    <w:p w:rsidR="008676F9" w:rsidRPr="008676F9" w:rsidRDefault="008676F9" w:rsidP="00F14F63">
      <w:pPr>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Kritériá oprávnenosti:</w:t>
      </w:r>
    </w:p>
    <w:p w:rsidR="008676F9" w:rsidRPr="008676F9" w:rsidRDefault="008676F9" w:rsidP="00F14F63">
      <w:pPr>
        <w:autoSpaceDE w:val="0"/>
        <w:autoSpaceDN w:val="0"/>
        <w:adjustRightInd w:val="0"/>
        <w:rPr>
          <w:rFonts w:ascii="Calibri" w:eastAsia="Calibri" w:hAnsi="Calibri" w:cs="Calibri"/>
          <w:bCs/>
          <w:szCs w:val="22"/>
          <w:u w:val="single"/>
          <w:lang w:eastAsia="en-US"/>
        </w:rPr>
      </w:pPr>
      <w:r w:rsidRPr="008676F9">
        <w:rPr>
          <w:rFonts w:ascii="Calibri" w:hAnsi="Calibri" w:cs="Calibri"/>
          <w:bCs/>
          <w:szCs w:val="22"/>
          <w:lang w:eastAsia="en-US"/>
        </w:rPr>
        <w:t xml:space="preserve">Oprávnené sú len tie činnosti, ktoré  zabezpečia </w:t>
      </w:r>
      <w:r w:rsidRPr="008676F9">
        <w:rPr>
          <w:rFonts w:ascii="Calibri" w:eastAsia="Calibri" w:hAnsi="Calibri" w:cs="Calibri"/>
          <w:szCs w:val="22"/>
          <w:lang w:eastAsia="en-US"/>
        </w:rPr>
        <w:t xml:space="preserve">len vznik klastrov a sietí alebo pre činnosť, ktorá je pre ne nová a doteraz ju nerealizovali. Finančné prostriedky nemôžu byť poskytnuté na podporu už zavedenej činnosti vykonávanej v sieti či klastri. Podpora sa poskytne iba v prípade, že klaster alebo sieť preukázateľne vykonáva jeden alebo viac projektov, ktoré sú zamerané na priority politiky rozvoja vidieka. Podpora nebude poskytnutá pre vytvorenie a prevádzkovanie siete , ktoré len "vedú diskusiu" o konkrétnych problémoch, no bez výsledkov. </w:t>
      </w:r>
    </w:p>
    <w:p w:rsidR="008676F9" w:rsidRPr="008676F9" w:rsidRDefault="008676F9" w:rsidP="00F14F63">
      <w:pPr>
        <w:rPr>
          <w:rFonts w:ascii="Calibri" w:eastAsia="Calibri" w:hAnsi="Calibri" w:cs="Calibri"/>
          <w:bCs/>
          <w:szCs w:val="22"/>
          <w:u w:val="single"/>
          <w:lang w:eastAsia="en-US"/>
        </w:rPr>
      </w:pPr>
    </w:p>
    <w:p w:rsidR="008676F9" w:rsidRPr="008676F9" w:rsidRDefault="008676F9" w:rsidP="00F14F63">
      <w:pPr>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Princípy nastavenia výberových kritérií:</w:t>
      </w:r>
    </w:p>
    <w:p w:rsidR="008676F9" w:rsidRPr="008676F9" w:rsidRDefault="008676F9" w:rsidP="00955DA4">
      <w:pPr>
        <w:numPr>
          <w:ilvl w:val="0"/>
          <w:numId w:val="243"/>
        </w:numPr>
        <w:tabs>
          <w:tab w:val="left" w:pos="708"/>
        </w:tabs>
        <w:suppressAutoHyphens/>
        <w:contextualSpacing/>
        <w:rPr>
          <w:rFonts w:ascii="Calibri" w:hAnsi="Calibri"/>
          <w:szCs w:val="22"/>
        </w:rPr>
      </w:pPr>
      <w:r w:rsidRPr="008676F9">
        <w:rPr>
          <w:rFonts w:ascii="Calibri" w:hAnsi="Calibri"/>
          <w:szCs w:val="22"/>
        </w:rPr>
        <w:t>Riešenie  komplexných projektov;</w:t>
      </w:r>
    </w:p>
    <w:p w:rsidR="008676F9" w:rsidRPr="008676F9" w:rsidRDefault="008676F9" w:rsidP="00955DA4">
      <w:pPr>
        <w:numPr>
          <w:ilvl w:val="0"/>
          <w:numId w:val="243"/>
        </w:numPr>
        <w:tabs>
          <w:tab w:val="left" w:pos="708"/>
        </w:tabs>
        <w:suppressAutoHyphens/>
        <w:contextualSpacing/>
        <w:rPr>
          <w:rFonts w:ascii="Calibri" w:hAnsi="Calibri"/>
          <w:szCs w:val="22"/>
        </w:rPr>
      </w:pPr>
      <w:r w:rsidRPr="008676F9">
        <w:rPr>
          <w:rFonts w:ascii="Calibri" w:hAnsi="Calibri"/>
          <w:szCs w:val="22"/>
        </w:rPr>
        <w:t>Prepojenosť s ostatnými opatreniami v rámci PRV;</w:t>
      </w:r>
    </w:p>
    <w:p w:rsidR="008676F9" w:rsidRPr="008676F9" w:rsidRDefault="008676F9" w:rsidP="00955DA4">
      <w:pPr>
        <w:numPr>
          <w:ilvl w:val="0"/>
          <w:numId w:val="243"/>
        </w:numPr>
        <w:tabs>
          <w:tab w:val="left" w:pos="708"/>
        </w:tabs>
        <w:suppressAutoHyphens/>
        <w:contextualSpacing/>
        <w:rPr>
          <w:rFonts w:ascii="Calibri" w:hAnsi="Calibri"/>
          <w:szCs w:val="22"/>
        </w:rPr>
      </w:pPr>
      <w:r w:rsidRPr="008676F9">
        <w:rPr>
          <w:rFonts w:ascii="Calibri" w:hAnsi="Calibri"/>
          <w:szCs w:val="22"/>
        </w:rPr>
        <w:t>Riešenie integrovaných projektov;</w:t>
      </w:r>
    </w:p>
    <w:p w:rsidR="008676F9" w:rsidRPr="008676F9" w:rsidRDefault="008676F9" w:rsidP="00955DA4">
      <w:pPr>
        <w:numPr>
          <w:ilvl w:val="0"/>
          <w:numId w:val="243"/>
        </w:numPr>
        <w:tabs>
          <w:tab w:val="left" w:pos="708"/>
        </w:tabs>
        <w:suppressAutoHyphens/>
        <w:contextualSpacing/>
        <w:rPr>
          <w:rFonts w:ascii="Calibri" w:hAnsi="Calibri"/>
          <w:szCs w:val="22"/>
        </w:rPr>
      </w:pPr>
      <w:r w:rsidRPr="008676F9">
        <w:rPr>
          <w:rFonts w:ascii="Calibri" w:hAnsi="Calibri"/>
          <w:szCs w:val="22"/>
        </w:rPr>
        <w:t>Riešenie spolupráce vyššieho počtu partnerov</w:t>
      </w:r>
      <w:r w:rsidRPr="008676F9">
        <w:rPr>
          <w:rFonts w:ascii="Calibri" w:hAnsi="Calibri" w:cs="Calibri"/>
          <w:bCs/>
          <w:szCs w:val="22"/>
          <w:lang w:eastAsia="en-US"/>
        </w:rPr>
        <w:t>;</w:t>
      </w:r>
    </w:p>
    <w:p w:rsidR="008676F9" w:rsidRPr="008676F9" w:rsidRDefault="008676F9" w:rsidP="00955DA4">
      <w:pPr>
        <w:numPr>
          <w:ilvl w:val="0"/>
          <w:numId w:val="243"/>
        </w:numPr>
        <w:tabs>
          <w:tab w:val="left" w:pos="708"/>
        </w:tabs>
        <w:suppressAutoHyphens/>
        <w:contextualSpacing/>
        <w:rPr>
          <w:rFonts w:ascii="Calibri" w:hAnsi="Calibri"/>
          <w:szCs w:val="22"/>
        </w:rPr>
      </w:pPr>
      <w:r w:rsidRPr="008676F9">
        <w:rPr>
          <w:rFonts w:ascii="Calibri" w:hAnsi="Calibri" w:cs="Calibri"/>
          <w:bCs/>
          <w:szCs w:val="22"/>
          <w:lang w:eastAsia="en-US"/>
        </w:rPr>
        <w:t>Princíp efektívnosti;</w:t>
      </w:r>
    </w:p>
    <w:p w:rsidR="008676F9" w:rsidRPr="008676F9" w:rsidRDefault="008676F9" w:rsidP="00955DA4">
      <w:pPr>
        <w:numPr>
          <w:ilvl w:val="0"/>
          <w:numId w:val="243"/>
        </w:numPr>
        <w:tabs>
          <w:tab w:val="left" w:pos="708"/>
        </w:tabs>
        <w:suppressAutoHyphens/>
        <w:contextualSpacing/>
        <w:rPr>
          <w:rFonts w:ascii="Calibri" w:hAnsi="Calibri"/>
          <w:szCs w:val="22"/>
        </w:rPr>
      </w:pPr>
      <w:r w:rsidRPr="008676F9">
        <w:rPr>
          <w:rFonts w:ascii="Calibri" w:hAnsi="Calibri" w:cs="Calibri"/>
          <w:bCs/>
          <w:szCs w:val="22"/>
          <w:lang w:eastAsia="en-US"/>
        </w:rPr>
        <w:t>Princíp udržateľnosti projektov, tak aby bol naplnený cieľ opatrenia;</w:t>
      </w:r>
    </w:p>
    <w:p w:rsidR="008676F9" w:rsidRPr="008676F9" w:rsidRDefault="008676F9" w:rsidP="00955DA4">
      <w:pPr>
        <w:numPr>
          <w:ilvl w:val="0"/>
          <w:numId w:val="243"/>
        </w:numPr>
        <w:tabs>
          <w:tab w:val="left" w:pos="708"/>
        </w:tabs>
        <w:suppressAutoHyphens/>
        <w:contextualSpacing/>
        <w:rPr>
          <w:rFonts w:ascii="Calibri" w:hAnsi="Calibri"/>
          <w:szCs w:val="22"/>
        </w:rPr>
      </w:pPr>
      <w:r w:rsidRPr="008676F9">
        <w:rPr>
          <w:rFonts w:ascii="Calibri" w:hAnsi="Calibri" w:cs="Calibri"/>
          <w:bCs/>
          <w:szCs w:val="22"/>
          <w:lang w:eastAsia="en-US"/>
        </w:rPr>
        <w:t>Územný princíp.</w:t>
      </w:r>
    </w:p>
    <w:p w:rsidR="008676F9" w:rsidRPr="008676F9" w:rsidRDefault="008676F9" w:rsidP="00F14F63">
      <w:pPr>
        <w:rPr>
          <w:rFonts w:ascii="Calibri" w:eastAsia="Calibri" w:hAnsi="Calibri" w:cs="Calibri"/>
          <w:bCs/>
          <w:szCs w:val="22"/>
          <w:u w:val="single"/>
          <w:lang w:eastAsia="en-US"/>
        </w:rPr>
      </w:pPr>
    </w:p>
    <w:p w:rsidR="008676F9" w:rsidRPr="008676F9" w:rsidRDefault="008676F9" w:rsidP="00F14F63">
      <w:pPr>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Výška a intenzita podpory:</w:t>
      </w:r>
    </w:p>
    <w:p w:rsidR="008676F9" w:rsidRPr="008676F9" w:rsidRDefault="008676F9" w:rsidP="00F14F63">
      <w:pPr>
        <w:rPr>
          <w:rFonts w:ascii="Calibri" w:eastAsia="Calibri" w:hAnsi="Calibri" w:cs="Calibri"/>
          <w:szCs w:val="22"/>
          <w:lang w:eastAsia="en-US"/>
        </w:rPr>
      </w:pPr>
      <w:r w:rsidRPr="008676F9">
        <w:rPr>
          <w:rFonts w:ascii="Calibri" w:eastAsia="Calibri" w:hAnsi="Calibri" w:cs="Calibri"/>
          <w:szCs w:val="22"/>
          <w:lang w:eastAsia="en-US"/>
        </w:rPr>
        <w:t>Maximálna výška podpory z celkových oprávnených výdavkov:</w:t>
      </w:r>
    </w:p>
    <w:p w:rsidR="008676F9" w:rsidRPr="008676F9" w:rsidRDefault="008676F9" w:rsidP="001F5283">
      <w:pPr>
        <w:numPr>
          <w:ilvl w:val="0"/>
          <w:numId w:val="59"/>
        </w:numPr>
        <w:tabs>
          <w:tab w:val="num" w:pos="426"/>
        </w:tabs>
        <w:ind w:left="426" w:hanging="426"/>
        <w:rPr>
          <w:rFonts w:ascii="Calibri" w:eastAsia="Calibri" w:hAnsi="Calibri" w:cs="Calibri"/>
          <w:szCs w:val="22"/>
          <w:lang w:eastAsia="en-US"/>
        </w:rPr>
      </w:pPr>
      <w:r w:rsidRPr="008676F9">
        <w:rPr>
          <w:rFonts w:ascii="Calibri" w:eastAsia="Calibri" w:hAnsi="Calibri" w:cs="Calibri"/>
          <w:szCs w:val="22"/>
          <w:lang w:eastAsia="en-US"/>
        </w:rPr>
        <w:t xml:space="preserve">100 % </w:t>
      </w:r>
    </w:p>
    <w:p w:rsidR="008676F9" w:rsidRPr="008676F9" w:rsidRDefault="008676F9" w:rsidP="00F14F63">
      <w:pPr>
        <w:rPr>
          <w:rFonts w:ascii="Calibri" w:eastAsia="Calibri" w:hAnsi="Calibri" w:cs="Calibri"/>
          <w:bCs/>
          <w:szCs w:val="22"/>
          <w:u w:val="single"/>
          <w:lang w:eastAsia="en-US"/>
        </w:rPr>
      </w:pPr>
    </w:p>
    <w:p w:rsidR="008676F9" w:rsidRPr="008676F9" w:rsidRDefault="008676F9" w:rsidP="00F14F63">
      <w:pPr>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Ďalšie informácie špecifické pre dané podopatrenie:</w:t>
      </w:r>
    </w:p>
    <w:p w:rsidR="008676F9" w:rsidRPr="008676F9" w:rsidRDefault="008676F9" w:rsidP="001F5283">
      <w:pPr>
        <w:numPr>
          <w:ilvl w:val="3"/>
          <w:numId w:val="68"/>
        </w:numPr>
        <w:tabs>
          <w:tab w:val="num" w:pos="426"/>
        </w:tabs>
        <w:ind w:left="426" w:hanging="426"/>
        <w:rPr>
          <w:rFonts w:ascii="Calibri" w:eastAsia="Calibri" w:hAnsi="Calibri" w:cs="Calibri"/>
          <w:bCs/>
          <w:szCs w:val="22"/>
          <w:lang w:eastAsia="en-US"/>
        </w:rPr>
      </w:pPr>
      <w:r w:rsidRPr="008676F9">
        <w:rPr>
          <w:rFonts w:ascii="Calibri" w:eastAsia="Calibri" w:hAnsi="Calibri" w:cs="Calibri"/>
          <w:bCs/>
          <w:szCs w:val="22"/>
          <w:lang w:eastAsia="en-US"/>
        </w:rPr>
        <w:t>Výsledky  operácií  vývoja nových výrobkov, postupov, procesov a technológií v sektoroch poľnohospodárstva, potravinárstva a lesného hospodárstva individuálnymi aktérmi sa šíria, tzn. nezostávajú priemyselným tajomstvom.</w:t>
      </w:r>
    </w:p>
    <w:p w:rsidR="008676F9" w:rsidRPr="008676F9" w:rsidRDefault="008676F9" w:rsidP="001F5283">
      <w:pPr>
        <w:numPr>
          <w:ilvl w:val="3"/>
          <w:numId w:val="68"/>
        </w:numPr>
        <w:tabs>
          <w:tab w:val="num" w:pos="426"/>
        </w:tabs>
        <w:ind w:left="426" w:hanging="426"/>
        <w:rPr>
          <w:rFonts w:ascii="Calibri" w:eastAsia="Calibri" w:hAnsi="Calibri" w:cs="Calibri"/>
          <w:bCs/>
          <w:szCs w:val="22"/>
          <w:lang w:eastAsia="en-US"/>
        </w:rPr>
      </w:pPr>
      <w:r w:rsidRPr="008676F9">
        <w:rPr>
          <w:rFonts w:ascii="Calibri" w:eastAsia="Calibri" w:hAnsi="Calibri" w:cs="Calibri"/>
          <w:bCs/>
          <w:szCs w:val="22"/>
          <w:lang w:eastAsia="en-US"/>
        </w:rPr>
        <w:t xml:space="preserve">Ak sa realizuje podnikateľský plán, podpora sa viaže len na náklady spolupráce. Na realizáciu môžu byť využité prostriedky z iných opatrení alebo fondov. V prípade čerpania investičných prostriedkov z Programu rozvoja vidieka SR 2014-2020 bude poskytnutá výška nenávratného finančného príspevku vo výške 70 % z oprávnených výdavkov projektu.  </w:t>
      </w:r>
    </w:p>
    <w:p w:rsidR="008676F9" w:rsidRPr="008676F9" w:rsidRDefault="008676F9" w:rsidP="001F5283">
      <w:pPr>
        <w:numPr>
          <w:ilvl w:val="3"/>
          <w:numId w:val="68"/>
        </w:numPr>
        <w:tabs>
          <w:tab w:val="num" w:pos="426"/>
        </w:tabs>
        <w:ind w:left="426" w:hanging="426"/>
        <w:rPr>
          <w:rFonts w:ascii="Calibri" w:eastAsia="Calibri" w:hAnsi="Calibri" w:cs="Calibri"/>
          <w:bCs/>
          <w:szCs w:val="22"/>
          <w:lang w:eastAsia="en-US"/>
        </w:rPr>
      </w:pPr>
      <w:r w:rsidRPr="008676F9">
        <w:rPr>
          <w:rFonts w:ascii="Calibri" w:eastAsia="Calibri" w:hAnsi="Calibri" w:cs="Calibri"/>
          <w:bCs/>
          <w:szCs w:val="22"/>
          <w:lang w:eastAsia="en-US"/>
        </w:rPr>
        <w:t>Spolupráca medzi aktérmi, ktorí sa nachádzajú v rôznych regiónoch alebo členských štátoch, je tiež oprávnená na podporu.</w:t>
      </w:r>
    </w:p>
    <w:p w:rsidR="008676F9" w:rsidRPr="008676F9" w:rsidRDefault="008676F9" w:rsidP="001F5283">
      <w:pPr>
        <w:numPr>
          <w:ilvl w:val="3"/>
          <w:numId w:val="68"/>
        </w:numPr>
        <w:tabs>
          <w:tab w:val="num" w:pos="426"/>
        </w:tabs>
        <w:ind w:left="426" w:hanging="426"/>
        <w:rPr>
          <w:rFonts w:ascii="Calibri" w:eastAsia="Calibri" w:hAnsi="Calibri" w:cs="Calibri"/>
          <w:bCs/>
          <w:szCs w:val="22"/>
          <w:lang w:eastAsia="en-US"/>
        </w:rPr>
      </w:pPr>
      <w:r w:rsidRPr="008676F9">
        <w:rPr>
          <w:rFonts w:ascii="Calibri" w:eastAsia="Calibri" w:hAnsi="Calibri" w:cs="Calibri"/>
          <w:bCs/>
          <w:szCs w:val="22"/>
          <w:lang w:eastAsia="en-US"/>
        </w:rPr>
        <w:t>Podpora sa obmedzuje na maximálne obdobie siedmich rokov s výnimkou v odôvodnených prípadoch.</w:t>
      </w:r>
    </w:p>
    <w:p w:rsidR="008676F9" w:rsidRPr="008676F9" w:rsidRDefault="008676F9" w:rsidP="001F5283">
      <w:pPr>
        <w:numPr>
          <w:ilvl w:val="3"/>
          <w:numId w:val="68"/>
        </w:numPr>
        <w:tabs>
          <w:tab w:val="num" w:pos="426"/>
        </w:tabs>
        <w:ind w:left="426" w:hanging="426"/>
        <w:rPr>
          <w:rFonts w:ascii="Calibri" w:eastAsia="Calibri" w:hAnsi="Calibri" w:cs="Calibri"/>
          <w:bCs/>
          <w:szCs w:val="22"/>
          <w:lang w:eastAsia="en-US"/>
        </w:rPr>
      </w:pPr>
      <w:r w:rsidRPr="008676F9">
        <w:rPr>
          <w:rFonts w:ascii="Calibri" w:eastAsia="Calibri" w:hAnsi="Calibri" w:cs="Calibri"/>
          <w:bCs/>
          <w:szCs w:val="22"/>
          <w:lang w:eastAsia="en-US"/>
        </w:rPr>
        <w:t>Spolupráca v rámci tohto opatrenia sa môže kombinovať s projektmi podporovanými fondmi Únie, inými ako EPFRV na tom istom území.</w:t>
      </w:r>
    </w:p>
    <w:p w:rsidR="008676F9" w:rsidRDefault="008676F9" w:rsidP="00F14F63">
      <w:pPr>
        <w:autoSpaceDE w:val="0"/>
        <w:autoSpaceDN w:val="0"/>
        <w:adjustRightInd w:val="0"/>
        <w:rPr>
          <w:rFonts w:ascii="Calibri" w:eastAsia="Calibri" w:hAnsi="Calibri" w:cs="Calibri"/>
          <w:szCs w:val="22"/>
          <w:lang w:eastAsia="en-US"/>
        </w:rPr>
      </w:pPr>
    </w:p>
    <w:p w:rsidR="00F14F63" w:rsidRPr="008676F9" w:rsidRDefault="00F14F63" w:rsidP="00F14F63">
      <w:pPr>
        <w:autoSpaceDE w:val="0"/>
        <w:autoSpaceDN w:val="0"/>
        <w:adjustRightInd w:val="0"/>
        <w:rPr>
          <w:rFonts w:ascii="Calibri" w:eastAsia="Calibri" w:hAnsi="Calibri" w:cs="Calibri"/>
          <w:szCs w:val="22"/>
          <w:lang w:eastAsia="en-US"/>
        </w:rPr>
      </w:pPr>
    </w:p>
    <w:p w:rsidR="008676F9" w:rsidRPr="008676F9" w:rsidRDefault="008676F9" w:rsidP="00095683">
      <w:pPr>
        <w:shd w:val="clear" w:color="auto" w:fill="EAF1DD"/>
        <w:ind w:left="2127" w:hanging="2127"/>
        <w:rPr>
          <w:rFonts w:ascii="Calibri" w:eastAsia="Calibri" w:hAnsi="Calibri" w:cs="Calibri"/>
          <w:b/>
          <w:bCs/>
          <w:i/>
          <w:lang w:eastAsia="en-US"/>
        </w:rPr>
      </w:pPr>
      <w:r w:rsidRPr="008676F9">
        <w:rPr>
          <w:rFonts w:ascii="Calibri" w:eastAsia="Calibri" w:hAnsi="Calibri" w:cs="Calibri"/>
          <w:bCs/>
          <w:lang w:eastAsia="en-US"/>
        </w:rPr>
        <w:t xml:space="preserve">Podopatrenie: 16.2.  </w:t>
      </w:r>
      <w:r w:rsidRPr="00095683">
        <w:rPr>
          <w:rFonts w:ascii="Calibri" w:eastAsia="Calibri" w:hAnsi="Calibri" w:cs="Calibri"/>
          <w:b/>
          <w:bCs/>
          <w:i/>
          <w:sz w:val="24"/>
          <w:lang w:eastAsia="en-US"/>
        </w:rPr>
        <w:t>Podpora pilotných projektov a podpora vývoja nových postupov, procesov a technológií</w:t>
      </w:r>
    </w:p>
    <w:p w:rsidR="008676F9" w:rsidRPr="008676F9" w:rsidRDefault="008676F9" w:rsidP="00F14F63">
      <w:pPr>
        <w:shd w:val="clear" w:color="auto" w:fill="FBD4B4"/>
        <w:ind w:left="2127" w:hanging="2127"/>
        <w:rPr>
          <w:rFonts w:ascii="Calibri" w:hAnsi="Calibri" w:cs="Calibri"/>
          <w:szCs w:val="22"/>
          <w:u w:val="single"/>
          <w:lang w:eastAsia="en-US"/>
        </w:rPr>
      </w:pPr>
      <w:r w:rsidRPr="008676F9">
        <w:rPr>
          <w:rFonts w:ascii="Calibri" w:hAnsi="Calibri" w:cs="Calibri"/>
          <w:szCs w:val="22"/>
          <w:u w:val="single"/>
          <w:lang w:eastAsia="en-US"/>
        </w:rPr>
        <w:t xml:space="preserve">Názov operácie:  </w:t>
      </w:r>
    </w:p>
    <w:p w:rsidR="008676F9" w:rsidRPr="008676F9" w:rsidRDefault="008676F9" w:rsidP="00F14F63">
      <w:pPr>
        <w:shd w:val="clear" w:color="auto" w:fill="FBD4B4"/>
        <w:rPr>
          <w:rFonts w:ascii="Calibri" w:hAnsi="Calibri" w:cs="Calibri"/>
          <w:szCs w:val="22"/>
          <w:u w:val="single"/>
          <w:lang w:eastAsia="en-US"/>
        </w:rPr>
      </w:pPr>
      <w:r w:rsidRPr="008676F9">
        <w:rPr>
          <w:rFonts w:ascii="Calibri" w:hAnsi="Calibri" w:cs="Calibri"/>
          <w:i/>
          <w:szCs w:val="22"/>
          <w:lang w:eastAsia="en-US"/>
        </w:rPr>
        <w:t>Podpora pilotných projektov</w:t>
      </w:r>
    </w:p>
    <w:p w:rsidR="008676F9" w:rsidRPr="008676F9" w:rsidRDefault="008676F9" w:rsidP="00F14F63">
      <w:pPr>
        <w:rPr>
          <w:rFonts w:ascii="Calibri" w:eastAsia="Calibri" w:hAnsi="Calibri" w:cs="Calibri"/>
          <w:szCs w:val="22"/>
          <w:u w:val="single"/>
          <w:lang w:eastAsia="en-US"/>
        </w:rPr>
      </w:pPr>
    </w:p>
    <w:p w:rsidR="008676F9" w:rsidRPr="008676F9" w:rsidRDefault="008676F9" w:rsidP="00F14F63">
      <w:pPr>
        <w:rPr>
          <w:rFonts w:ascii="Calibri" w:eastAsia="Calibri" w:hAnsi="Calibri" w:cs="Calibri"/>
          <w:szCs w:val="22"/>
          <w:u w:val="single"/>
          <w:lang w:eastAsia="en-US"/>
        </w:rPr>
      </w:pPr>
      <w:r w:rsidRPr="008676F9">
        <w:rPr>
          <w:rFonts w:ascii="Calibri" w:eastAsia="Calibri" w:hAnsi="Calibri" w:cs="Calibri"/>
          <w:szCs w:val="22"/>
          <w:u w:val="single"/>
          <w:lang w:eastAsia="en-US"/>
        </w:rPr>
        <w:t xml:space="preserve">Opis operácie: </w:t>
      </w:r>
    </w:p>
    <w:p w:rsidR="008676F9" w:rsidRPr="008676F9" w:rsidRDefault="008676F9" w:rsidP="00F14F63">
      <w:pPr>
        <w:rPr>
          <w:rFonts w:ascii="Calibri" w:hAnsi="Calibri"/>
          <w:szCs w:val="22"/>
        </w:rPr>
      </w:pPr>
      <w:r w:rsidRPr="008676F9">
        <w:rPr>
          <w:rFonts w:ascii="Calibri" w:hAnsi="Calibri"/>
          <w:szCs w:val="22"/>
        </w:rPr>
        <w:t xml:space="preserve">Pilotný projekt sa vzťahuje na prvotnú fázu zavádzania, ktorá do určitej časti otestuje pripravenosť daného riešenia pre konečné nasadenie  v rámci celého územia alebo u  viacerých podnikov a organizácií alebo podporí zavedenie dlhodobo aplikovateľného systému. Ide o čiastkovú realizáciu daného výstupu z hľadiska rozsahu alebo času aplikácie s cieľom otestovať funkčnosť, prípadne zhodnotiť, či daný proces je dlhodobo adaptovateľný v danom prostredí. Cieľom pilotného projektu je otestovať v produkčnom prostredí, či systém funguje tak, ako bol navrhnutý a či má predpoklady na konečnú alebo dlhodobú implementáciu alebo aplikáciu resp. či uvedené riešenie je vhodné v rámci celého porovnateľného územia. </w:t>
      </w:r>
    </w:p>
    <w:p w:rsidR="008676F9" w:rsidRPr="008676F9" w:rsidRDefault="008676F9" w:rsidP="00F14F63">
      <w:pPr>
        <w:rPr>
          <w:rFonts w:ascii="Calibri" w:hAnsi="Calibri"/>
          <w:szCs w:val="22"/>
        </w:rPr>
      </w:pPr>
      <w:r w:rsidRPr="008676F9">
        <w:rPr>
          <w:rFonts w:ascii="Calibri" w:hAnsi="Calibri"/>
          <w:szCs w:val="22"/>
        </w:rPr>
        <w:t>Pilotné projekty budú prioritne  zamerané na:</w:t>
      </w:r>
    </w:p>
    <w:p w:rsidR="008676F9" w:rsidRDefault="008676F9" w:rsidP="001F5283">
      <w:pPr>
        <w:pStyle w:val="Odsekzoznamu"/>
        <w:numPr>
          <w:ilvl w:val="0"/>
          <w:numId w:val="59"/>
        </w:numPr>
        <w:tabs>
          <w:tab w:val="clear" w:pos="2130"/>
          <w:tab w:val="num" w:pos="142"/>
        </w:tabs>
        <w:ind w:left="142" w:hanging="142"/>
        <w:rPr>
          <w:rFonts w:ascii="Calibri" w:hAnsi="Calibri"/>
          <w:szCs w:val="22"/>
        </w:rPr>
      </w:pPr>
      <w:r w:rsidRPr="008E28C6">
        <w:rPr>
          <w:rFonts w:ascii="Calibri" w:hAnsi="Calibri"/>
          <w:szCs w:val="22"/>
        </w:rPr>
        <w:t>úrodnosť pôdy</w:t>
      </w:r>
      <w:r w:rsidR="008E28C6" w:rsidRPr="008E28C6">
        <w:rPr>
          <w:rFonts w:ascii="Calibri" w:hAnsi="Calibri"/>
          <w:szCs w:val="22"/>
        </w:rPr>
        <w:t xml:space="preserve"> a jej zvyšovanie</w:t>
      </w:r>
      <w:r w:rsidRPr="008E28C6">
        <w:rPr>
          <w:rFonts w:ascii="Calibri" w:hAnsi="Calibri"/>
          <w:szCs w:val="22"/>
          <w:lang w:val="en-US"/>
        </w:rPr>
        <w:t>;</w:t>
      </w:r>
      <w:r w:rsidRPr="008E28C6">
        <w:rPr>
          <w:rFonts w:ascii="Calibri" w:hAnsi="Calibri"/>
          <w:szCs w:val="22"/>
        </w:rPr>
        <w:t xml:space="preserve"> </w:t>
      </w:r>
    </w:p>
    <w:p w:rsidR="008E28C6" w:rsidRPr="008E28C6" w:rsidRDefault="008E28C6" w:rsidP="001F5283">
      <w:pPr>
        <w:pStyle w:val="Odsekzoznamu"/>
        <w:numPr>
          <w:ilvl w:val="0"/>
          <w:numId w:val="59"/>
        </w:numPr>
        <w:tabs>
          <w:tab w:val="clear" w:pos="2130"/>
          <w:tab w:val="num" w:pos="142"/>
        </w:tabs>
        <w:ind w:left="142" w:hanging="142"/>
        <w:rPr>
          <w:rFonts w:ascii="Calibri" w:hAnsi="Calibri"/>
          <w:szCs w:val="22"/>
        </w:rPr>
      </w:pPr>
      <w:r>
        <w:rPr>
          <w:rFonts w:ascii="Calibri" w:hAnsi="Calibri"/>
          <w:szCs w:val="22"/>
        </w:rPr>
        <w:t>mapovanie, definovanie a vysporiadanie plôch poľnohospodárskej a lesnej pôdy;</w:t>
      </w:r>
    </w:p>
    <w:p w:rsidR="008676F9" w:rsidRPr="008E28C6" w:rsidRDefault="008676F9" w:rsidP="001F5283">
      <w:pPr>
        <w:pStyle w:val="Odsekzoznamu"/>
        <w:numPr>
          <w:ilvl w:val="0"/>
          <w:numId w:val="59"/>
        </w:numPr>
        <w:tabs>
          <w:tab w:val="clear" w:pos="2130"/>
          <w:tab w:val="num" w:pos="142"/>
        </w:tabs>
        <w:ind w:left="142" w:hanging="142"/>
        <w:rPr>
          <w:rFonts w:ascii="Calibri" w:hAnsi="Calibri"/>
          <w:szCs w:val="22"/>
        </w:rPr>
      </w:pPr>
      <w:r w:rsidRPr="008E28C6">
        <w:rPr>
          <w:rFonts w:ascii="Calibri" w:hAnsi="Calibri"/>
          <w:szCs w:val="22"/>
        </w:rPr>
        <w:t>podporu inovácií;</w:t>
      </w:r>
    </w:p>
    <w:p w:rsidR="008676F9" w:rsidRPr="008E28C6" w:rsidRDefault="008676F9" w:rsidP="001F5283">
      <w:pPr>
        <w:pStyle w:val="Odsekzoznamu"/>
        <w:numPr>
          <w:ilvl w:val="0"/>
          <w:numId w:val="59"/>
        </w:numPr>
        <w:tabs>
          <w:tab w:val="clear" w:pos="2130"/>
          <w:tab w:val="num" w:pos="142"/>
        </w:tabs>
        <w:ind w:left="142" w:hanging="142"/>
        <w:rPr>
          <w:rFonts w:ascii="Calibri" w:hAnsi="Calibri"/>
          <w:szCs w:val="22"/>
        </w:rPr>
      </w:pPr>
      <w:r w:rsidRPr="008E28C6">
        <w:rPr>
          <w:rFonts w:ascii="Calibri" w:hAnsi="Calibri"/>
          <w:szCs w:val="22"/>
        </w:rPr>
        <w:t xml:space="preserve">horizontálnu </w:t>
      </w:r>
      <w:r w:rsidR="008E28C6" w:rsidRPr="008E28C6">
        <w:rPr>
          <w:rFonts w:ascii="Calibri" w:hAnsi="Calibri"/>
          <w:szCs w:val="22"/>
        </w:rPr>
        <w:t xml:space="preserve">a vertikálnu </w:t>
      </w:r>
      <w:r w:rsidRPr="008E28C6">
        <w:rPr>
          <w:rFonts w:ascii="Calibri" w:hAnsi="Calibri"/>
          <w:szCs w:val="22"/>
        </w:rPr>
        <w:t>spoluprácu v rámci krátkych obchodných reťazcoch;</w:t>
      </w:r>
    </w:p>
    <w:p w:rsidR="008676F9" w:rsidRPr="008E28C6" w:rsidRDefault="008676F9" w:rsidP="001F5283">
      <w:pPr>
        <w:pStyle w:val="Odsekzoznamu"/>
        <w:numPr>
          <w:ilvl w:val="0"/>
          <w:numId w:val="59"/>
        </w:numPr>
        <w:tabs>
          <w:tab w:val="clear" w:pos="2130"/>
          <w:tab w:val="num" w:pos="142"/>
        </w:tabs>
        <w:ind w:left="142" w:hanging="142"/>
        <w:rPr>
          <w:rFonts w:ascii="Calibri" w:hAnsi="Calibri"/>
          <w:szCs w:val="22"/>
        </w:rPr>
      </w:pPr>
      <w:r w:rsidRPr="008E28C6">
        <w:rPr>
          <w:rFonts w:ascii="Calibri" w:hAnsi="Calibri"/>
          <w:szCs w:val="22"/>
        </w:rPr>
        <w:t>využívanie potenciálu pre rozvoj cestovného ruchu, zabezpečovania komunálnych služieb a</w:t>
      </w:r>
      <w:r w:rsidR="000E76A1">
        <w:rPr>
          <w:rFonts w:ascii="Calibri" w:hAnsi="Calibri"/>
          <w:szCs w:val="22"/>
        </w:rPr>
        <w:t> vykonávania opatrení sociálnoprávnej ochrany detí a sociálnej kurately</w:t>
      </w:r>
      <w:r w:rsidRPr="008E28C6">
        <w:rPr>
          <w:rFonts w:ascii="Calibri" w:hAnsi="Calibri"/>
          <w:szCs w:val="22"/>
        </w:rPr>
        <w:t>;</w:t>
      </w:r>
    </w:p>
    <w:p w:rsidR="007E0523" w:rsidRDefault="008676F9" w:rsidP="001F5283">
      <w:pPr>
        <w:pStyle w:val="Odsekzoznamu"/>
        <w:numPr>
          <w:ilvl w:val="0"/>
          <w:numId w:val="59"/>
        </w:numPr>
        <w:tabs>
          <w:tab w:val="clear" w:pos="2130"/>
          <w:tab w:val="num" w:pos="142"/>
        </w:tabs>
        <w:ind w:left="142" w:hanging="142"/>
        <w:rPr>
          <w:rFonts w:ascii="Calibri" w:hAnsi="Calibri"/>
          <w:szCs w:val="22"/>
        </w:rPr>
      </w:pPr>
      <w:r w:rsidRPr="008E28C6">
        <w:rPr>
          <w:rFonts w:ascii="Calibri" w:hAnsi="Calibri"/>
          <w:szCs w:val="22"/>
        </w:rPr>
        <w:t>využitie OZE</w:t>
      </w:r>
      <w:r w:rsidR="008E28C6">
        <w:rPr>
          <w:rFonts w:ascii="Calibri" w:hAnsi="Calibri"/>
          <w:szCs w:val="22"/>
        </w:rPr>
        <w:t xml:space="preserve"> vrátane pestovania energetických plodín</w:t>
      </w:r>
      <w:r w:rsidR="007E0523">
        <w:rPr>
          <w:rFonts w:ascii="Calibri" w:hAnsi="Calibri"/>
          <w:szCs w:val="22"/>
        </w:rPr>
        <w:t>;</w:t>
      </w:r>
    </w:p>
    <w:p w:rsidR="008676F9" w:rsidRPr="008E28C6" w:rsidRDefault="007E0523" w:rsidP="001F5283">
      <w:pPr>
        <w:pStyle w:val="Odsekzoznamu"/>
        <w:numPr>
          <w:ilvl w:val="0"/>
          <w:numId w:val="59"/>
        </w:numPr>
        <w:tabs>
          <w:tab w:val="clear" w:pos="2130"/>
          <w:tab w:val="num" w:pos="142"/>
        </w:tabs>
        <w:ind w:left="142" w:hanging="142"/>
        <w:rPr>
          <w:rFonts w:ascii="Calibri" w:hAnsi="Calibri"/>
          <w:szCs w:val="22"/>
        </w:rPr>
      </w:pPr>
      <w:r>
        <w:rPr>
          <w:rFonts w:ascii="Calibri" w:hAnsi="Calibri"/>
          <w:szCs w:val="22"/>
        </w:rPr>
        <w:t>inovatívne spôsoby hospodárenia vo vzťahu k prioritám území NATURA 2000 a ochrany prírody</w:t>
      </w:r>
      <w:r w:rsidR="008676F9" w:rsidRPr="008E28C6">
        <w:rPr>
          <w:rFonts w:ascii="Calibri" w:hAnsi="Calibri"/>
          <w:szCs w:val="22"/>
        </w:rPr>
        <w:t>.</w:t>
      </w:r>
    </w:p>
    <w:p w:rsidR="008676F9" w:rsidRPr="008676F9" w:rsidRDefault="008676F9" w:rsidP="00F14F63">
      <w:pPr>
        <w:rPr>
          <w:rFonts w:ascii="Calibri" w:eastAsia="Calibri" w:hAnsi="Calibri" w:cs="Calibri"/>
          <w:szCs w:val="22"/>
          <w:u w:val="single"/>
          <w:lang w:eastAsia="en-US"/>
        </w:rPr>
      </w:pPr>
    </w:p>
    <w:p w:rsidR="008676F9" w:rsidRPr="008676F9" w:rsidRDefault="008676F9" w:rsidP="00F14F63">
      <w:pPr>
        <w:autoSpaceDE w:val="0"/>
        <w:autoSpaceDN w:val="0"/>
        <w:adjustRightInd w:val="0"/>
        <w:rPr>
          <w:rFonts w:ascii="Calibri" w:eastAsia="Calibri" w:hAnsi="Calibri" w:cs="Calibri"/>
          <w:szCs w:val="22"/>
          <w:u w:val="single"/>
          <w:lang w:eastAsia="en-US"/>
        </w:rPr>
      </w:pPr>
      <w:r w:rsidRPr="008676F9">
        <w:rPr>
          <w:rFonts w:ascii="Calibri" w:eastAsia="Calibri" w:hAnsi="Calibri" w:cs="Calibri"/>
          <w:szCs w:val="22"/>
          <w:u w:val="single"/>
          <w:lang w:eastAsia="en-US"/>
        </w:rPr>
        <w:t xml:space="preserve">Typ podpory: </w:t>
      </w:r>
    </w:p>
    <w:p w:rsidR="008676F9" w:rsidRPr="008676F9" w:rsidRDefault="008676F9" w:rsidP="00F14F63">
      <w:pPr>
        <w:autoSpaceDE w:val="0"/>
        <w:autoSpaceDN w:val="0"/>
        <w:adjustRightInd w:val="0"/>
        <w:rPr>
          <w:rFonts w:ascii="Calibri" w:eastAsia="Calibri" w:hAnsi="Calibri" w:cs="Calibri"/>
          <w:szCs w:val="22"/>
          <w:lang w:eastAsia="en-US"/>
        </w:rPr>
      </w:pPr>
      <w:r w:rsidRPr="008676F9">
        <w:rPr>
          <w:rFonts w:ascii="Calibri" w:eastAsia="Calibri" w:hAnsi="Calibri" w:cs="Calibri"/>
          <w:szCs w:val="22"/>
          <w:lang w:eastAsia="en-US"/>
        </w:rPr>
        <w:t>Nezisková, nenávratný finančný príspevok</w:t>
      </w:r>
      <w:r w:rsidR="00437817">
        <w:rPr>
          <w:rFonts w:ascii="Calibri" w:eastAsia="Calibri" w:hAnsi="Calibri" w:cs="Calibri"/>
          <w:szCs w:val="22"/>
          <w:lang w:eastAsia="en-US"/>
        </w:rPr>
        <w:t xml:space="preserve">, </w:t>
      </w:r>
      <w:r w:rsidR="006017E9">
        <w:rPr>
          <w:rFonts w:ascii="Calibri" w:eastAsia="Calibri" w:hAnsi="Calibri" w:cs="Calibri"/>
          <w:szCs w:val="22"/>
          <w:lang w:eastAsia="en-US"/>
        </w:rPr>
        <w:t xml:space="preserve">možnosť poskytnutia zálohovej platby do max. 50% oprávnených výdavkov, </w:t>
      </w:r>
      <w:r w:rsidR="00437817">
        <w:rPr>
          <w:rFonts w:ascii="Calibri" w:eastAsia="Calibri" w:hAnsi="Calibri" w:cs="Calibri"/>
          <w:szCs w:val="22"/>
          <w:lang w:eastAsia="en-US"/>
        </w:rPr>
        <w:t>refundačné/paušálne platby</w:t>
      </w:r>
      <w:r w:rsidRPr="008676F9">
        <w:rPr>
          <w:rFonts w:ascii="Calibri" w:eastAsia="Calibri" w:hAnsi="Calibri" w:cs="Calibri"/>
          <w:szCs w:val="22"/>
          <w:lang w:eastAsia="en-US"/>
        </w:rPr>
        <w:t>.</w:t>
      </w:r>
    </w:p>
    <w:p w:rsidR="008676F9" w:rsidRPr="008676F9" w:rsidRDefault="008676F9" w:rsidP="00F14F63">
      <w:pPr>
        <w:autoSpaceDE w:val="0"/>
        <w:autoSpaceDN w:val="0"/>
        <w:adjustRightInd w:val="0"/>
        <w:rPr>
          <w:rFonts w:ascii="Calibri" w:eastAsia="Calibri" w:hAnsi="Calibri" w:cs="Calibri"/>
          <w:szCs w:val="22"/>
          <w:lang w:eastAsia="en-US"/>
        </w:rPr>
      </w:pPr>
    </w:p>
    <w:p w:rsidR="008676F9" w:rsidRPr="008676F9" w:rsidRDefault="008676F9" w:rsidP="00F14F63">
      <w:pPr>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Prijímateľ podpory:</w:t>
      </w:r>
    </w:p>
    <w:p w:rsidR="008676F9" w:rsidRPr="008676F9" w:rsidRDefault="008676F9" w:rsidP="008E28C6">
      <w:pPr>
        <w:autoSpaceDE w:val="0"/>
        <w:autoSpaceDN w:val="0"/>
        <w:adjustRightInd w:val="0"/>
        <w:spacing w:after="120"/>
        <w:rPr>
          <w:rFonts w:ascii="Calibri" w:eastAsia="Calibri" w:hAnsi="Calibri" w:cs="Calibri"/>
          <w:szCs w:val="22"/>
          <w:lang w:eastAsia="en-US"/>
        </w:rPr>
      </w:pPr>
      <w:r w:rsidRPr="008676F9">
        <w:rPr>
          <w:rFonts w:ascii="Calibri" w:eastAsia="Calibri" w:hAnsi="Calibri" w:cs="Calibri"/>
          <w:szCs w:val="22"/>
          <w:lang w:eastAsia="en-US"/>
        </w:rPr>
        <w:t>Najmenej dva subjekty, ktorých spolupráca je medzi rôznymi aktérmi v poľnohospodárstve, potravinovom reťazci , v lesnom hospodárstve, alebo v sektore cestovného ruchu a rozvoji vidieka na území EÚ a medzi inými aktérmi, ktorí prispievajú k splneniu cieľov a priorít politiky rozvoja vidieka vrátane medziodvetvových organizácií</w:t>
      </w:r>
      <w:r w:rsidR="007E0523">
        <w:rPr>
          <w:rFonts w:ascii="Calibri" w:eastAsia="Calibri" w:hAnsi="Calibri" w:cs="Calibri"/>
          <w:szCs w:val="22"/>
          <w:lang w:eastAsia="en-US"/>
        </w:rPr>
        <w:t>, mimovládnych neziskových organizácií</w:t>
      </w:r>
      <w:r w:rsidRPr="008676F9">
        <w:rPr>
          <w:rFonts w:ascii="Calibri" w:eastAsia="Calibri" w:hAnsi="Calibri" w:cs="Calibri"/>
          <w:szCs w:val="22"/>
          <w:lang w:eastAsia="en-US"/>
        </w:rPr>
        <w:t xml:space="preserve"> a výskumných organizácií. </w:t>
      </w:r>
    </w:p>
    <w:p w:rsidR="008676F9" w:rsidRDefault="008676F9" w:rsidP="00F14F63">
      <w:pPr>
        <w:autoSpaceDE w:val="0"/>
        <w:autoSpaceDN w:val="0"/>
        <w:adjustRightInd w:val="0"/>
        <w:rPr>
          <w:rFonts w:ascii="Calibri" w:eastAsia="Calibri" w:hAnsi="Calibri" w:cs="Calibri"/>
          <w:szCs w:val="22"/>
          <w:lang w:eastAsia="en-US"/>
        </w:rPr>
      </w:pPr>
      <w:r w:rsidRPr="008676F9">
        <w:rPr>
          <w:rFonts w:ascii="Calibri" w:eastAsia="Calibri" w:hAnsi="Calibri" w:cs="Calibri"/>
          <w:szCs w:val="22"/>
          <w:lang w:eastAsia="en-US"/>
        </w:rPr>
        <w:t xml:space="preserve">V prípade verejného subjektu  je možná podpora aj jedného subjektu, pokiaľ poskytnutá podpora bude mať  pozitívny vplyv na konkrétnych konečných užívateľov, bude verejne prístupná alebo voľne šíriteľná. </w:t>
      </w:r>
    </w:p>
    <w:p w:rsidR="00F14F63" w:rsidRPr="008676F9" w:rsidRDefault="00F14F63" w:rsidP="00F14F63">
      <w:pPr>
        <w:autoSpaceDE w:val="0"/>
        <w:autoSpaceDN w:val="0"/>
        <w:adjustRightInd w:val="0"/>
        <w:rPr>
          <w:rFonts w:ascii="Calibri" w:eastAsia="Calibri" w:hAnsi="Calibri" w:cs="Calibri"/>
          <w:szCs w:val="22"/>
          <w:lang w:eastAsia="en-US"/>
        </w:rPr>
      </w:pPr>
    </w:p>
    <w:p w:rsidR="008676F9" w:rsidRPr="008676F9" w:rsidRDefault="008676F9" w:rsidP="00F14F63">
      <w:pPr>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Oprávnené náklady:</w:t>
      </w:r>
    </w:p>
    <w:p w:rsidR="008676F9" w:rsidRPr="008676F9" w:rsidRDefault="008676F9" w:rsidP="00F14F63">
      <w:pPr>
        <w:autoSpaceDE w:val="0"/>
        <w:autoSpaceDN w:val="0"/>
        <w:adjustRightInd w:val="0"/>
        <w:rPr>
          <w:rFonts w:ascii="Calibri" w:eastAsia="Calibri" w:hAnsi="Calibri" w:cs="Calibri"/>
          <w:bCs/>
          <w:szCs w:val="22"/>
          <w:lang w:eastAsia="en-US"/>
        </w:rPr>
      </w:pPr>
      <w:r w:rsidRPr="008676F9">
        <w:rPr>
          <w:rFonts w:ascii="Calibri" w:eastAsia="Calibri" w:hAnsi="Calibri" w:cs="Calibri"/>
          <w:bCs/>
          <w:szCs w:val="22"/>
          <w:lang w:eastAsia="en-US"/>
        </w:rPr>
        <w:t>Na podporu v rámci  danej operácie  sú oprávnené tieto náklady:</w:t>
      </w:r>
    </w:p>
    <w:p w:rsidR="008676F9" w:rsidRPr="00681587" w:rsidRDefault="008676F9" w:rsidP="00CE203B">
      <w:pPr>
        <w:pStyle w:val="Odsekzoznamu"/>
        <w:numPr>
          <w:ilvl w:val="1"/>
          <w:numId w:val="304"/>
        </w:numPr>
        <w:autoSpaceDE w:val="0"/>
        <w:autoSpaceDN w:val="0"/>
        <w:adjustRightInd w:val="0"/>
        <w:spacing w:after="120"/>
        <w:ind w:left="284" w:hanging="284"/>
        <w:contextualSpacing w:val="0"/>
        <w:rPr>
          <w:rFonts w:ascii="Calibri" w:eastAsia="Calibri" w:hAnsi="Calibri" w:cs="Calibri"/>
          <w:bCs/>
          <w:szCs w:val="22"/>
          <w:lang w:eastAsia="en-US"/>
        </w:rPr>
      </w:pPr>
      <w:r w:rsidRPr="00681587">
        <w:rPr>
          <w:rFonts w:ascii="Calibri" w:eastAsia="Calibri" w:hAnsi="Calibri" w:cs="Calibri"/>
          <w:bCs/>
          <w:szCs w:val="22"/>
          <w:lang w:eastAsia="en-US"/>
        </w:rPr>
        <w:t>náklady na štúdie alebo plány týkajúce sa príslušnej oblasti, realizačné štúdie,</w:t>
      </w:r>
      <w:r w:rsidR="008E28C6">
        <w:rPr>
          <w:rFonts w:ascii="Calibri" w:eastAsia="Calibri" w:hAnsi="Calibri" w:cs="Calibri"/>
          <w:bCs/>
          <w:szCs w:val="22"/>
          <w:lang w:eastAsia="en-US"/>
        </w:rPr>
        <w:t xml:space="preserve"> geometrické plány,</w:t>
      </w:r>
      <w:r w:rsidRPr="00681587">
        <w:rPr>
          <w:rFonts w:ascii="Calibri" w:eastAsia="Calibri" w:hAnsi="Calibri" w:cs="Calibri"/>
          <w:bCs/>
          <w:szCs w:val="22"/>
          <w:lang w:eastAsia="en-US"/>
        </w:rPr>
        <w:t xml:space="preserve"> vypracovanie podnikateľského plánu, plánu na zvýšenie úrodnosti, plánu obhospodarovania lesov alebo rovnocenného nástroja  alebo inej stratégie miestneho rozvoja ;</w:t>
      </w:r>
    </w:p>
    <w:p w:rsidR="008676F9" w:rsidRPr="00681587" w:rsidRDefault="008676F9" w:rsidP="00CE203B">
      <w:pPr>
        <w:pStyle w:val="Odsekzoznamu"/>
        <w:numPr>
          <w:ilvl w:val="1"/>
          <w:numId w:val="304"/>
        </w:numPr>
        <w:autoSpaceDE w:val="0"/>
        <w:autoSpaceDN w:val="0"/>
        <w:adjustRightInd w:val="0"/>
        <w:spacing w:after="120"/>
        <w:ind w:left="284" w:hanging="284"/>
        <w:contextualSpacing w:val="0"/>
        <w:rPr>
          <w:rFonts w:ascii="Calibri" w:eastAsia="Calibri" w:hAnsi="Calibri" w:cs="Calibri"/>
          <w:bCs/>
          <w:szCs w:val="22"/>
          <w:lang w:val="en-US" w:eastAsia="en-US"/>
        </w:rPr>
      </w:pPr>
      <w:r w:rsidRPr="00681587">
        <w:rPr>
          <w:rFonts w:ascii="Calibri" w:eastAsia="Calibri" w:hAnsi="Calibri" w:cs="Calibri"/>
          <w:bCs/>
          <w:szCs w:val="22"/>
          <w:lang w:eastAsia="en-US"/>
        </w:rPr>
        <w:t>náklady na oživenie príslušnej oblasti s cieľom zabezpečiť uskutočniteľnosť projektu; náklady na výskum a vývoj s tým spojený, náklady na príslušné vzorky, merania, zamerania a testovania s tým spojené</w:t>
      </w:r>
      <w:r w:rsidRPr="00681587">
        <w:rPr>
          <w:rFonts w:ascii="Calibri" w:eastAsia="Calibri" w:hAnsi="Calibri" w:cs="Calibri"/>
          <w:bCs/>
          <w:szCs w:val="22"/>
          <w:lang w:val="en-US" w:eastAsia="en-US"/>
        </w:rPr>
        <w:t>;</w:t>
      </w:r>
    </w:p>
    <w:p w:rsidR="008676F9" w:rsidRPr="00681587" w:rsidRDefault="008676F9" w:rsidP="00CE203B">
      <w:pPr>
        <w:pStyle w:val="Odsekzoznamu"/>
        <w:numPr>
          <w:ilvl w:val="1"/>
          <w:numId w:val="304"/>
        </w:numPr>
        <w:autoSpaceDE w:val="0"/>
        <w:autoSpaceDN w:val="0"/>
        <w:adjustRightInd w:val="0"/>
        <w:spacing w:after="120"/>
        <w:ind w:left="284" w:hanging="284"/>
        <w:contextualSpacing w:val="0"/>
        <w:rPr>
          <w:rFonts w:ascii="Calibri" w:eastAsia="Calibri" w:hAnsi="Calibri" w:cs="Calibri"/>
          <w:bCs/>
          <w:szCs w:val="22"/>
          <w:lang w:eastAsia="en-US"/>
        </w:rPr>
      </w:pPr>
      <w:r w:rsidRPr="00681587">
        <w:rPr>
          <w:rFonts w:ascii="Calibri" w:eastAsia="Calibri" w:hAnsi="Calibri" w:cs="Calibri"/>
          <w:bCs/>
          <w:szCs w:val="22"/>
          <w:lang w:eastAsia="en-US"/>
        </w:rPr>
        <w:t xml:space="preserve">prevádzkové náklady na  uskutočnenie plánu, štúdie, prieskumu,  alebo spolupráce; </w:t>
      </w:r>
    </w:p>
    <w:p w:rsidR="008676F9" w:rsidRPr="00681587" w:rsidRDefault="008676F9" w:rsidP="00CE203B">
      <w:pPr>
        <w:pStyle w:val="Odsekzoznamu"/>
        <w:numPr>
          <w:ilvl w:val="1"/>
          <w:numId w:val="304"/>
        </w:numPr>
        <w:autoSpaceDE w:val="0"/>
        <w:autoSpaceDN w:val="0"/>
        <w:adjustRightInd w:val="0"/>
        <w:spacing w:after="120"/>
        <w:ind w:left="284" w:hanging="284"/>
        <w:contextualSpacing w:val="0"/>
        <w:rPr>
          <w:rFonts w:ascii="Calibri" w:eastAsia="Calibri" w:hAnsi="Calibri" w:cs="Calibri"/>
          <w:bCs/>
          <w:szCs w:val="22"/>
          <w:lang w:eastAsia="en-US"/>
        </w:rPr>
      </w:pPr>
      <w:r w:rsidRPr="00681587">
        <w:rPr>
          <w:rFonts w:ascii="Calibri" w:eastAsia="Calibri" w:hAnsi="Calibri" w:cs="Calibri"/>
          <w:bCs/>
          <w:szCs w:val="22"/>
          <w:lang w:eastAsia="en-US"/>
        </w:rPr>
        <w:t>priame náklady na konkrétne projekty spojené s vykonávaním podnikateľského plánu, plánu v oblasti životného prostredia, plánu obhospodarovania lesov, plánu na zvýšenie úrodnosti alebo rovnocenného nástroja</w:t>
      </w:r>
      <w:r w:rsidR="008E28C6">
        <w:rPr>
          <w:rFonts w:ascii="Calibri" w:eastAsia="Calibri" w:hAnsi="Calibri" w:cs="Calibri"/>
          <w:bCs/>
          <w:szCs w:val="22"/>
          <w:lang w:eastAsia="en-US"/>
        </w:rPr>
        <w:t>, plánu na vysporiadanie pôdy</w:t>
      </w:r>
      <w:r w:rsidRPr="00681587">
        <w:rPr>
          <w:rFonts w:ascii="Calibri" w:eastAsia="Calibri" w:hAnsi="Calibri" w:cs="Calibri"/>
          <w:bCs/>
          <w:szCs w:val="22"/>
          <w:lang w:eastAsia="en-US"/>
        </w:rPr>
        <w:t xml:space="preserve"> a inej stratégie miestneho </w:t>
      </w:r>
      <w:r w:rsidR="008E28C6">
        <w:rPr>
          <w:rFonts w:ascii="Calibri" w:eastAsia="Calibri" w:hAnsi="Calibri" w:cs="Calibri"/>
          <w:bCs/>
          <w:szCs w:val="22"/>
          <w:lang w:eastAsia="en-US"/>
        </w:rPr>
        <w:t xml:space="preserve">alebo územného </w:t>
      </w:r>
      <w:r w:rsidRPr="00681587">
        <w:rPr>
          <w:rFonts w:ascii="Calibri" w:eastAsia="Calibri" w:hAnsi="Calibri" w:cs="Calibri"/>
          <w:bCs/>
          <w:szCs w:val="22"/>
          <w:lang w:eastAsia="en-US"/>
        </w:rPr>
        <w:t>rozvoja, alebo na iné činnosti zamerané na inovácie,</w:t>
      </w:r>
      <w:r w:rsidR="008E28C6">
        <w:rPr>
          <w:rFonts w:ascii="Calibri" w:eastAsia="Calibri" w:hAnsi="Calibri" w:cs="Calibri"/>
          <w:bCs/>
          <w:szCs w:val="22"/>
          <w:lang w:eastAsia="en-US"/>
        </w:rPr>
        <w:t xml:space="preserve"> a to</w:t>
      </w:r>
      <w:r w:rsidRPr="00681587">
        <w:rPr>
          <w:rFonts w:ascii="Calibri" w:eastAsia="Calibri" w:hAnsi="Calibri" w:cs="Calibri"/>
          <w:bCs/>
          <w:szCs w:val="22"/>
          <w:lang w:eastAsia="en-US"/>
        </w:rPr>
        <w:t xml:space="preserve"> vrátane testovania</w:t>
      </w:r>
      <w:r w:rsidR="008E28C6">
        <w:rPr>
          <w:rFonts w:ascii="Calibri" w:eastAsia="Calibri" w:hAnsi="Calibri" w:cs="Calibri"/>
          <w:bCs/>
          <w:szCs w:val="22"/>
          <w:lang w:eastAsia="en-US"/>
        </w:rPr>
        <w:t>, zaškolenia, licencií, podpory nábehu, poskytovaných služieb a príslušných investičných nákladov</w:t>
      </w:r>
      <w:r w:rsidRPr="00681587">
        <w:rPr>
          <w:rFonts w:ascii="Calibri" w:eastAsia="Calibri" w:hAnsi="Calibri" w:cs="Calibri"/>
          <w:bCs/>
          <w:szCs w:val="22"/>
          <w:lang w:eastAsia="en-US"/>
        </w:rPr>
        <w:t>;</w:t>
      </w:r>
    </w:p>
    <w:p w:rsidR="00681587" w:rsidRDefault="008676F9" w:rsidP="00CE203B">
      <w:pPr>
        <w:pStyle w:val="Odsekzoznamu"/>
        <w:numPr>
          <w:ilvl w:val="1"/>
          <w:numId w:val="304"/>
        </w:numPr>
        <w:autoSpaceDE w:val="0"/>
        <w:autoSpaceDN w:val="0"/>
        <w:adjustRightInd w:val="0"/>
        <w:spacing w:after="120"/>
        <w:ind w:left="284" w:hanging="284"/>
        <w:contextualSpacing w:val="0"/>
        <w:rPr>
          <w:rFonts w:ascii="Calibri" w:eastAsia="Calibri" w:hAnsi="Calibri" w:cs="Calibri"/>
          <w:bCs/>
          <w:szCs w:val="22"/>
          <w:lang w:eastAsia="en-US"/>
        </w:rPr>
      </w:pPr>
      <w:r w:rsidRPr="00681587">
        <w:rPr>
          <w:rFonts w:ascii="Calibri" w:eastAsia="Calibri" w:hAnsi="Calibri" w:cs="Calibri"/>
          <w:bCs/>
          <w:szCs w:val="22"/>
          <w:lang w:eastAsia="en-US"/>
        </w:rPr>
        <w:t xml:space="preserve">náklady na </w:t>
      </w:r>
      <w:r w:rsidR="008056AC">
        <w:rPr>
          <w:rFonts w:ascii="Calibri" w:eastAsia="Calibri" w:hAnsi="Calibri" w:cs="Calibri"/>
          <w:bCs/>
          <w:szCs w:val="22"/>
          <w:lang w:eastAsia="en-US"/>
        </w:rPr>
        <w:t xml:space="preserve">riadenie projektu a </w:t>
      </w:r>
      <w:r w:rsidRPr="00681587">
        <w:rPr>
          <w:rFonts w:ascii="Calibri" w:eastAsia="Calibri" w:hAnsi="Calibri" w:cs="Calibri"/>
          <w:bCs/>
          <w:szCs w:val="22"/>
          <w:lang w:eastAsia="en-US"/>
        </w:rPr>
        <w:t>propagačné činnosti</w:t>
      </w:r>
      <w:r w:rsidR="00681587" w:rsidRPr="00681587">
        <w:rPr>
          <w:rFonts w:ascii="Calibri" w:eastAsia="Calibri" w:hAnsi="Calibri" w:cs="Calibri"/>
          <w:bCs/>
          <w:szCs w:val="22"/>
          <w:lang w:eastAsia="en-US"/>
        </w:rPr>
        <w:t>;</w:t>
      </w:r>
    </w:p>
    <w:p w:rsidR="008676F9" w:rsidRPr="00681587" w:rsidRDefault="00681587" w:rsidP="00CE203B">
      <w:pPr>
        <w:pStyle w:val="Odsekzoznamu"/>
        <w:numPr>
          <w:ilvl w:val="1"/>
          <w:numId w:val="304"/>
        </w:numPr>
        <w:autoSpaceDE w:val="0"/>
        <w:autoSpaceDN w:val="0"/>
        <w:adjustRightInd w:val="0"/>
        <w:ind w:left="284" w:hanging="284"/>
        <w:rPr>
          <w:rFonts w:ascii="Calibri" w:eastAsia="Calibri" w:hAnsi="Calibri" w:cs="Calibri"/>
          <w:bCs/>
          <w:szCs w:val="22"/>
          <w:lang w:eastAsia="en-US"/>
        </w:rPr>
      </w:pPr>
      <w:r>
        <w:rPr>
          <w:rFonts w:ascii="Calibri" w:eastAsia="Calibri" w:hAnsi="Calibri" w:cs="Calibri"/>
          <w:bCs/>
          <w:szCs w:val="22"/>
          <w:lang w:eastAsia="en-US"/>
        </w:rPr>
        <w:t>náklady na pilotné technologické zariadeni</w:t>
      </w:r>
      <w:r w:rsidR="008056AC">
        <w:rPr>
          <w:rFonts w:ascii="Calibri" w:eastAsia="Calibri" w:hAnsi="Calibri" w:cs="Calibri"/>
          <w:bCs/>
          <w:szCs w:val="22"/>
          <w:lang w:eastAsia="en-US"/>
        </w:rPr>
        <w:t>e.</w:t>
      </w:r>
    </w:p>
    <w:p w:rsidR="008676F9" w:rsidRPr="008676F9" w:rsidRDefault="008676F9" w:rsidP="00F14F63">
      <w:pPr>
        <w:rPr>
          <w:rFonts w:ascii="Calibri" w:eastAsia="Calibri" w:hAnsi="Calibri" w:cs="Calibri"/>
          <w:bCs/>
          <w:szCs w:val="22"/>
          <w:lang w:eastAsia="en-US"/>
        </w:rPr>
      </w:pPr>
    </w:p>
    <w:p w:rsidR="008676F9" w:rsidRPr="008676F9" w:rsidRDefault="008676F9" w:rsidP="00F14F63">
      <w:pPr>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Podmienky oprávnenosti:</w:t>
      </w:r>
    </w:p>
    <w:p w:rsidR="008676F9" w:rsidRPr="008676F9" w:rsidRDefault="008676F9" w:rsidP="00F14F63">
      <w:pPr>
        <w:autoSpaceDE w:val="0"/>
        <w:autoSpaceDN w:val="0"/>
        <w:adjustRightInd w:val="0"/>
        <w:rPr>
          <w:rFonts w:ascii="Calibri" w:eastAsia="Calibri" w:hAnsi="Calibri" w:cs="Calibri"/>
          <w:szCs w:val="22"/>
          <w:lang w:eastAsia="en-US"/>
        </w:rPr>
      </w:pPr>
      <w:r w:rsidRPr="008676F9">
        <w:rPr>
          <w:rFonts w:ascii="Calibri" w:hAnsi="Calibri" w:cs="Calibri"/>
          <w:bCs/>
          <w:szCs w:val="22"/>
          <w:lang w:eastAsia="en-US"/>
        </w:rPr>
        <w:t xml:space="preserve">Oprávnené sú len tie činnosti, ktoré  zabezpečia, </w:t>
      </w:r>
      <w:r w:rsidRPr="008676F9">
        <w:rPr>
          <w:rFonts w:ascii="Calibri" w:eastAsia="Calibri" w:hAnsi="Calibri" w:cs="Calibri"/>
          <w:szCs w:val="22"/>
          <w:lang w:eastAsia="en-US"/>
        </w:rPr>
        <w:t>aby prijímatelia pomoci šírili výsledky projektu. Výsledky pilotných projektov a operácií, realizovaných jednotlivými aktérmi, sa zverejnia v súlade s vnútroštátnymi predpismi.</w:t>
      </w:r>
    </w:p>
    <w:p w:rsidR="008676F9" w:rsidRPr="008676F9" w:rsidRDefault="008676F9" w:rsidP="00F14F63">
      <w:pPr>
        <w:rPr>
          <w:rFonts w:ascii="Calibri" w:eastAsia="Calibri" w:hAnsi="Calibri" w:cs="Calibri"/>
          <w:bCs/>
          <w:szCs w:val="22"/>
          <w:u w:val="single"/>
          <w:lang w:eastAsia="en-US"/>
        </w:rPr>
      </w:pPr>
    </w:p>
    <w:p w:rsidR="008676F9" w:rsidRPr="008676F9" w:rsidRDefault="008676F9" w:rsidP="00F14F63">
      <w:pPr>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Princípy nastavenia výberových kritérií:</w:t>
      </w:r>
    </w:p>
    <w:p w:rsidR="008676F9" w:rsidRPr="008676F9" w:rsidRDefault="008676F9" w:rsidP="00955DA4">
      <w:pPr>
        <w:numPr>
          <w:ilvl w:val="0"/>
          <w:numId w:val="243"/>
        </w:numPr>
        <w:tabs>
          <w:tab w:val="left" w:pos="708"/>
        </w:tabs>
        <w:suppressAutoHyphens/>
        <w:contextualSpacing/>
        <w:rPr>
          <w:rFonts w:ascii="Calibri" w:hAnsi="Calibri"/>
          <w:szCs w:val="22"/>
        </w:rPr>
      </w:pPr>
      <w:r w:rsidRPr="008676F9">
        <w:rPr>
          <w:rFonts w:ascii="Calibri" w:hAnsi="Calibri"/>
          <w:szCs w:val="22"/>
        </w:rPr>
        <w:t xml:space="preserve">Riešenie prioritne strategických </w:t>
      </w:r>
      <w:r w:rsidR="007E0523">
        <w:rPr>
          <w:rFonts w:ascii="Calibri" w:hAnsi="Calibri"/>
          <w:szCs w:val="22"/>
        </w:rPr>
        <w:t>oblastí</w:t>
      </w:r>
      <w:r w:rsidRPr="008676F9">
        <w:rPr>
          <w:rFonts w:ascii="Calibri" w:hAnsi="Calibri"/>
          <w:szCs w:val="22"/>
          <w:lang w:val="en-US"/>
        </w:rPr>
        <w:t>;</w:t>
      </w:r>
    </w:p>
    <w:p w:rsidR="008676F9" w:rsidRPr="008676F9" w:rsidRDefault="008676F9" w:rsidP="00955DA4">
      <w:pPr>
        <w:numPr>
          <w:ilvl w:val="0"/>
          <w:numId w:val="243"/>
        </w:numPr>
        <w:tabs>
          <w:tab w:val="left" w:pos="708"/>
        </w:tabs>
        <w:suppressAutoHyphens/>
        <w:contextualSpacing/>
        <w:rPr>
          <w:rFonts w:ascii="Calibri" w:hAnsi="Calibri"/>
          <w:szCs w:val="22"/>
        </w:rPr>
      </w:pPr>
      <w:r w:rsidRPr="008676F9">
        <w:rPr>
          <w:rFonts w:ascii="Calibri" w:hAnsi="Calibri"/>
          <w:szCs w:val="22"/>
        </w:rPr>
        <w:t>Prepojenosť s ostatnými opatreniami v rámci PRV;</w:t>
      </w:r>
    </w:p>
    <w:p w:rsidR="008676F9" w:rsidRPr="008676F9" w:rsidRDefault="008676F9" w:rsidP="00955DA4">
      <w:pPr>
        <w:numPr>
          <w:ilvl w:val="0"/>
          <w:numId w:val="243"/>
        </w:numPr>
        <w:tabs>
          <w:tab w:val="left" w:pos="708"/>
        </w:tabs>
        <w:suppressAutoHyphens/>
        <w:contextualSpacing/>
        <w:rPr>
          <w:rFonts w:ascii="Calibri" w:hAnsi="Calibri"/>
          <w:szCs w:val="22"/>
        </w:rPr>
      </w:pPr>
      <w:r w:rsidRPr="008676F9">
        <w:rPr>
          <w:rFonts w:ascii="Calibri" w:hAnsi="Calibri"/>
          <w:szCs w:val="22"/>
        </w:rPr>
        <w:t>Riešenie integrovaných projektov;</w:t>
      </w:r>
    </w:p>
    <w:p w:rsidR="008676F9" w:rsidRPr="008676F9" w:rsidRDefault="008676F9" w:rsidP="00955DA4">
      <w:pPr>
        <w:numPr>
          <w:ilvl w:val="0"/>
          <w:numId w:val="243"/>
        </w:numPr>
        <w:tabs>
          <w:tab w:val="left" w:pos="708"/>
        </w:tabs>
        <w:suppressAutoHyphens/>
        <w:contextualSpacing/>
        <w:rPr>
          <w:rFonts w:ascii="Calibri" w:hAnsi="Calibri"/>
          <w:szCs w:val="22"/>
        </w:rPr>
      </w:pPr>
      <w:r w:rsidRPr="008676F9">
        <w:rPr>
          <w:rFonts w:ascii="Calibri" w:hAnsi="Calibri"/>
          <w:szCs w:val="22"/>
        </w:rPr>
        <w:t>Riešenie spolupráce vyššieho počtu partnerov</w:t>
      </w:r>
      <w:r w:rsidR="008056AC">
        <w:rPr>
          <w:rFonts w:ascii="Calibri" w:hAnsi="Calibri"/>
          <w:szCs w:val="22"/>
        </w:rPr>
        <w:t xml:space="preserve"> alebo projekty ovplyvňujúce viac beneficientov</w:t>
      </w:r>
      <w:r w:rsidRPr="008676F9">
        <w:rPr>
          <w:rFonts w:ascii="Calibri" w:hAnsi="Calibri" w:cs="Calibri"/>
          <w:bCs/>
          <w:szCs w:val="22"/>
          <w:lang w:eastAsia="en-US"/>
        </w:rPr>
        <w:t>;</w:t>
      </w:r>
    </w:p>
    <w:p w:rsidR="008676F9" w:rsidRPr="008676F9" w:rsidRDefault="008676F9" w:rsidP="00955DA4">
      <w:pPr>
        <w:numPr>
          <w:ilvl w:val="0"/>
          <w:numId w:val="243"/>
        </w:numPr>
        <w:tabs>
          <w:tab w:val="left" w:pos="708"/>
        </w:tabs>
        <w:suppressAutoHyphens/>
        <w:contextualSpacing/>
        <w:rPr>
          <w:rFonts w:ascii="Calibri" w:hAnsi="Calibri"/>
          <w:szCs w:val="22"/>
        </w:rPr>
      </w:pPr>
      <w:r w:rsidRPr="008676F9">
        <w:rPr>
          <w:rFonts w:ascii="Calibri" w:hAnsi="Calibri" w:cs="Calibri"/>
          <w:bCs/>
          <w:szCs w:val="22"/>
          <w:lang w:eastAsia="en-US"/>
        </w:rPr>
        <w:t>Princíp efektívnosti</w:t>
      </w:r>
      <w:r w:rsidR="008056AC">
        <w:rPr>
          <w:rFonts w:ascii="Calibri" w:hAnsi="Calibri" w:cs="Calibri"/>
          <w:bCs/>
          <w:szCs w:val="22"/>
          <w:lang w:eastAsia="en-US"/>
        </w:rPr>
        <w:t>, komplexnosti, kvality</w:t>
      </w:r>
      <w:r w:rsidRPr="008676F9">
        <w:rPr>
          <w:rFonts w:ascii="Calibri" w:hAnsi="Calibri" w:cs="Calibri"/>
          <w:bCs/>
          <w:szCs w:val="22"/>
          <w:lang w:eastAsia="en-US"/>
        </w:rPr>
        <w:t>;</w:t>
      </w:r>
    </w:p>
    <w:p w:rsidR="008676F9" w:rsidRPr="008676F9" w:rsidRDefault="008676F9" w:rsidP="00955DA4">
      <w:pPr>
        <w:numPr>
          <w:ilvl w:val="0"/>
          <w:numId w:val="243"/>
        </w:numPr>
        <w:tabs>
          <w:tab w:val="left" w:pos="708"/>
        </w:tabs>
        <w:suppressAutoHyphens/>
        <w:contextualSpacing/>
        <w:rPr>
          <w:rFonts w:ascii="Calibri" w:hAnsi="Calibri"/>
          <w:szCs w:val="22"/>
        </w:rPr>
      </w:pPr>
      <w:r w:rsidRPr="008676F9">
        <w:rPr>
          <w:rFonts w:ascii="Calibri" w:hAnsi="Calibri" w:cs="Calibri"/>
          <w:bCs/>
          <w:szCs w:val="22"/>
          <w:lang w:eastAsia="en-US"/>
        </w:rPr>
        <w:t>Princíp udržateľnosti projektov, tak aby bol naplnený cieľ opatrenia.</w:t>
      </w:r>
    </w:p>
    <w:p w:rsidR="008676F9" w:rsidRPr="008676F9" w:rsidRDefault="008676F9" w:rsidP="00F14F63">
      <w:pPr>
        <w:rPr>
          <w:rFonts w:ascii="Calibri" w:eastAsia="Calibri" w:hAnsi="Calibri" w:cs="Calibri"/>
          <w:bCs/>
          <w:szCs w:val="22"/>
          <w:u w:val="single"/>
          <w:lang w:eastAsia="en-US"/>
        </w:rPr>
      </w:pPr>
    </w:p>
    <w:p w:rsidR="008676F9" w:rsidRPr="008676F9" w:rsidRDefault="008676F9" w:rsidP="00F14F63">
      <w:pPr>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 xml:space="preserve">Výška a miera podpory: </w:t>
      </w:r>
    </w:p>
    <w:p w:rsidR="008676F9" w:rsidRPr="008676F9" w:rsidRDefault="008676F9" w:rsidP="00F14F63">
      <w:pPr>
        <w:rPr>
          <w:rFonts w:ascii="Calibri" w:eastAsia="Calibri" w:hAnsi="Calibri" w:cs="Calibri"/>
          <w:bCs/>
          <w:szCs w:val="22"/>
          <w:lang w:eastAsia="en-US"/>
        </w:rPr>
      </w:pPr>
      <w:r w:rsidRPr="008676F9">
        <w:rPr>
          <w:rFonts w:ascii="Calibri" w:eastAsia="Calibri" w:hAnsi="Calibri" w:cs="Calibri"/>
          <w:bCs/>
          <w:szCs w:val="22"/>
          <w:lang w:eastAsia="en-US"/>
        </w:rPr>
        <w:t>Maximálna výška z celkových oprávnených nákladov:</w:t>
      </w:r>
    </w:p>
    <w:p w:rsidR="008676F9" w:rsidRDefault="008676F9" w:rsidP="00955DA4">
      <w:pPr>
        <w:numPr>
          <w:ilvl w:val="0"/>
          <w:numId w:val="245"/>
        </w:numPr>
        <w:tabs>
          <w:tab w:val="left" w:pos="708"/>
        </w:tabs>
        <w:suppressAutoHyphens/>
        <w:contextualSpacing/>
        <w:rPr>
          <w:rFonts w:ascii="Calibri" w:eastAsia="Calibri" w:hAnsi="Calibri" w:cs="Calibri"/>
          <w:bCs/>
          <w:szCs w:val="22"/>
          <w:lang w:eastAsia="en-US"/>
        </w:rPr>
      </w:pPr>
      <w:r w:rsidRPr="008676F9">
        <w:rPr>
          <w:rFonts w:ascii="Calibri" w:eastAsia="Calibri" w:hAnsi="Calibri" w:cs="Calibri"/>
          <w:bCs/>
          <w:szCs w:val="22"/>
          <w:lang w:eastAsia="en-US"/>
        </w:rPr>
        <w:t>100%.</w:t>
      </w:r>
    </w:p>
    <w:p w:rsidR="00426524" w:rsidRPr="008676F9" w:rsidRDefault="00426524" w:rsidP="00426524">
      <w:pPr>
        <w:tabs>
          <w:tab w:val="left" w:pos="708"/>
        </w:tabs>
        <w:suppressAutoHyphens/>
        <w:ind w:left="360"/>
        <w:contextualSpacing/>
        <w:rPr>
          <w:rFonts w:ascii="Calibri" w:eastAsia="Calibri" w:hAnsi="Calibri" w:cs="Calibri"/>
          <w:bCs/>
          <w:szCs w:val="22"/>
          <w:lang w:eastAsia="en-US"/>
        </w:rPr>
      </w:pPr>
    </w:p>
    <w:p w:rsidR="008676F9" w:rsidRPr="008676F9" w:rsidRDefault="008676F9" w:rsidP="00F14F63">
      <w:pPr>
        <w:rPr>
          <w:rFonts w:ascii="Calibri" w:hAnsi="Calibri" w:cs="Calibri"/>
          <w:szCs w:val="22"/>
          <w:u w:val="single"/>
          <w:lang w:eastAsia="en-US"/>
        </w:rPr>
      </w:pPr>
      <w:r w:rsidRPr="008676F9">
        <w:rPr>
          <w:rFonts w:ascii="Calibri" w:hAnsi="Calibri" w:cs="Calibri"/>
          <w:szCs w:val="22"/>
          <w:u w:val="single"/>
          <w:lang w:eastAsia="en-US"/>
        </w:rPr>
        <w:t>Ďalšie informácie špecifické pre dané podopatrenie:</w:t>
      </w:r>
    </w:p>
    <w:p w:rsidR="008676F9" w:rsidRPr="008676F9" w:rsidRDefault="008676F9" w:rsidP="00CE203B">
      <w:pPr>
        <w:numPr>
          <w:ilvl w:val="6"/>
          <w:numId w:val="269"/>
        </w:numPr>
        <w:spacing w:after="120"/>
        <w:ind w:left="568" w:hanging="284"/>
        <w:rPr>
          <w:rFonts w:ascii="Calibri" w:hAnsi="Calibri" w:cs="Calibri"/>
          <w:szCs w:val="22"/>
          <w:lang w:eastAsia="en-US"/>
        </w:rPr>
      </w:pPr>
      <w:r w:rsidRPr="008676F9">
        <w:rPr>
          <w:rFonts w:ascii="Calibri" w:hAnsi="Calibri" w:cs="Calibri"/>
          <w:szCs w:val="22"/>
          <w:lang w:eastAsia="en-US"/>
        </w:rPr>
        <w:t xml:space="preserve">Výsledky pilotných projektov a operácií vývoja nových výrobkov, </w:t>
      </w:r>
      <w:r w:rsidR="008056AC">
        <w:rPr>
          <w:rFonts w:ascii="Calibri" w:hAnsi="Calibri" w:cs="Calibri"/>
          <w:szCs w:val="22"/>
          <w:lang w:eastAsia="en-US"/>
        </w:rPr>
        <w:t xml:space="preserve">zavedenia a realizovania </w:t>
      </w:r>
      <w:r w:rsidRPr="008676F9">
        <w:rPr>
          <w:rFonts w:ascii="Calibri" w:hAnsi="Calibri" w:cs="Calibri"/>
          <w:szCs w:val="22"/>
          <w:lang w:eastAsia="en-US"/>
        </w:rPr>
        <w:t>postupov, procesov a technológií v sektoroch poľnohospodárstva, potravinárstva a lesného hospodárstva individuálnymi aktérmi sa šíria, tzn. nezostávajú priemyselným tajomstvom.</w:t>
      </w:r>
    </w:p>
    <w:p w:rsidR="008676F9" w:rsidRPr="008676F9" w:rsidRDefault="008676F9" w:rsidP="00CE203B">
      <w:pPr>
        <w:numPr>
          <w:ilvl w:val="0"/>
          <w:numId w:val="269"/>
        </w:numPr>
        <w:spacing w:after="120"/>
        <w:ind w:left="568" w:hanging="284"/>
        <w:rPr>
          <w:rFonts w:ascii="Calibri" w:hAnsi="Calibri" w:cs="Calibri"/>
          <w:szCs w:val="22"/>
          <w:lang w:eastAsia="en-US"/>
        </w:rPr>
      </w:pPr>
      <w:r w:rsidRPr="008676F9">
        <w:rPr>
          <w:rFonts w:ascii="Calibri" w:hAnsi="Calibri" w:cs="Calibri"/>
          <w:szCs w:val="22"/>
          <w:lang w:eastAsia="en-US"/>
        </w:rPr>
        <w:t>Ak sa realizuje podnikateľský plán, podpora sa viaže prioritne  na náklady spolupráce a na oživenie a realizáciu plánu. Na realizáciu môžu byť zároveň využité prostriedky aj z iných opatrení alebo fondov. V prípade čerpania prostriedkov z Programu rozvoja vidieka SR 2014-2020 v rámci ostatných opatrení, môže byť poskytnutá výška nenávratného finančného príspevku vo výške maximálnej miery   intenzity podpory pre dané opatrenie, prijímateľa, oblasť resp. druh projektu v zmysle prílohy č. 1 nariadenia EK a Rady 1305/2014.</w:t>
      </w:r>
    </w:p>
    <w:p w:rsidR="008676F9" w:rsidRPr="008676F9" w:rsidRDefault="008676F9" w:rsidP="00CE203B">
      <w:pPr>
        <w:numPr>
          <w:ilvl w:val="0"/>
          <w:numId w:val="269"/>
        </w:numPr>
        <w:spacing w:after="120"/>
        <w:ind w:left="568" w:hanging="284"/>
        <w:rPr>
          <w:rFonts w:ascii="Calibri" w:hAnsi="Calibri" w:cs="Calibri"/>
          <w:szCs w:val="22"/>
          <w:lang w:eastAsia="en-US"/>
        </w:rPr>
      </w:pPr>
      <w:r w:rsidRPr="008676F9">
        <w:rPr>
          <w:rFonts w:ascii="Calibri" w:hAnsi="Calibri" w:cs="Calibri"/>
          <w:szCs w:val="22"/>
          <w:lang w:eastAsia="en-US"/>
        </w:rPr>
        <w:t>Spolupráca medzi aktérmi, ktorí sa nachádzajú v rôznych regiónoch alebo členských štátoch, je tiež oprávnená na podporu.</w:t>
      </w:r>
    </w:p>
    <w:p w:rsidR="008676F9" w:rsidRPr="008676F9" w:rsidRDefault="008676F9" w:rsidP="00CE203B">
      <w:pPr>
        <w:numPr>
          <w:ilvl w:val="0"/>
          <w:numId w:val="269"/>
        </w:numPr>
        <w:spacing w:after="120"/>
        <w:ind w:left="568" w:hanging="284"/>
        <w:rPr>
          <w:rFonts w:ascii="Calibri" w:hAnsi="Calibri" w:cs="Calibri"/>
          <w:szCs w:val="22"/>
          <w:lang w:eastAsia="en-US"/>
        </w:rPr>
      </w:pPr>
      <w:r w:rsidRPr="008676F9">
        <w:rPr>
          <w:rFonts w:ascii="Calibri" w:hAnsi="Calibri" w:cs="Calibri"/>
          <w:szCs w:val="22"/>
          <w:lang w:eastAsia="en-US"/>
        </w:rPr>
        <w:t>Podpora sa obmedzuje na maximálne obdobie siedmich rokov ak riadiaci orgán neurčí inak.</w:t>
      </w:r>
    </w:p>
    <w:p w:rsidR="008676F9" w:rsidRPr="008676F9" w:rsidRDefault="008676F9" w:rsidP="00CE203B">
      <w:pPr>
        <w:numPr>
          <w:ilvl w:val="0"/>
          <w:numId w:val="269"/>
        </w:numPr>
        <w:spacing w:after="120"/>
        <w:ind w:left="568" w:hanging="284"/>
        <w:rPr>
          <w:rFonts w:ascii="Calibri" w:hAnsi="Calibri" w:cs="Calibri"/>
          <w:szCs w:val="22"/>
          <w:lang w:eastAsia="en-US"/>
        </w:rPr>
      </w:pPr>
      <w:r w:rsidRPr="008676F9">
        <w:rPr>
          <w:rFonts w:ascii="Calibri" w:hAnsi="Calibri" w:cs="Calibri"/>
          <w:szCs w:val="22"/>
          <w:lang w:eastAsia="en-US"/>
        </w:rPr>
        <w:t>Spolupráca v rámci tohto opatrenia sa môže kombinovať s projektmi podporovanými fondmi Únie, inými ako EPFRV na tom istom území.</w:t>
      </w:r>
    </w:p>
    <w:p w:rsidR="008676F9" w:rsidRPr="008676F9" w:rsidRDefault="008676F9" w:rsidP="00CE203B">
      <w:pPr>
        <w:numPr>
          <w:ilvl w:val="0"/>
          <w:numId w:val="269"/>
        </w:numPr>
        <w:ind w:left="567" w:hanging="283"/>
        <w:rPr>
          <w:rFonts w:ascii="Calibri" w:hAnsi="Calibri" w:cs="Calibri"/>
          <w:szCs w:val="22"/>
          <w:lang w:eastAsia="en-US"/>
        </w:rPr>
      </w:pPr>
      <w:r w:rsidRPr="008676F9">
        <w:rPr>
          <w:rFonts w:ascii="Calibri" w:hAnsi="Calibri" w:cs="Calibri"/>
          <w:szCs w:val="22"/>
          <w:lang w:eastAsia="en-US"/>
        </w:rPr>
        <w:t>Podpora na operácie pilotných projektov sa môže poskytnúť aj individuálnym subjektom.</w:t>
      </w:r>
    </w:p>
    <w:p w:rsidR="008676F9" w:rsidRPr="008676F9" w:rsidRDefault="008676F9" w:rsidP="00F14F63">
      <w:pPr>
        <w:rPr>
          <w:rFonts w:ascii="Calibri" w:hAnsi="Calibri" w:cs="Calibri"/>
          <w:szCs w:val="22"/>
          <w:u w:val="single"/>
          <w:lang w:eastAsia="en-US"/>
        </w:rPr>
      </w:pPr>
    </w:p>
    <w:p w:rsidR="008676F9" w:rsidRPr="008676F9" w:rsidRDefault="008676F9" w:rsidP="00F14F63">
      <w:pPr>
        <w:rPr>
          <w:rFonts w:ascii="Calibri" w:hAnsi="Calibri" w:cs="Calibri"/>
          <w:szCs w:val="22"/>
          <w:u w:val="single"/>
          <w:lang w:eastAsia="en-US"/>
        </w:rPr>
      </w:pPr>
    </w:p>
    <w:p w:rsidR="008676F9" w:rsidRPr="00095683" w:rsidRDefault="008676F9" w:rsidP="00F14F63">
      <w:pPr>
        <w:shd w:val="clear" w:color="auto" w:fill="EAF1DD"/>
        <w:ind w:left="2127" w:hanging="2127"/>
        <w:rPr>
          <w:rFonts w:ascii="Calibri" w:eastAsia="Calibri" w:hAnsi="Calibri" w:cs="Calibri"/>
          <w:b/>
          <w:bCs/>
          <w:i/>
          <w:sz w:val="24"/>
          <w:lang w:eastAsia="en-US"/>
        </w:rPr>
      </w:pPr>
      <w:r w:rsidRPr="008676F9">
        <w:rPr>
          <w:rFonts w:ascii="Calibri" w:eastAsia="Calibri" w:hAnsi="Calibri" w:cs="Calibri"/>
          <w:bCs/>
          <w:lang w:eastAsia="en-US"/>
        </w:rPr>
        <w:t xml:space="preserve">Podopatrenie: 16.3 </w:t>
      </w:r>
      <w:r w:rsidRPr="00095683">
        <w:rPr>
          <w:rFonts w:ascii="Calibri" w:eastAsia="Calibri" w:hAnsi="Calibri" w:cs="Calibri"/>
          <w:b/>
          <w:bCs/>
          <w:sz w:val="24"/>
          <w:lang w:eastAsia="en-US"/>
        </w:rPr>
        <w:t>S</w:t>
      </w:r>
      <w:r w:rsidRPr="00095683">
        <w:rPr>
          <w:rFonts w:ascii="Calibri" w:eastAsia="Calibri" w:hAnsi="Calibri" w:cs="Calibri"/>
          <w:b/>
          <w:bCs/>
          <w:i/>
          <w:sz w:val="24"/>
          <w:lang w:eastAsia="en-US"/>
        </w:rPr>
        <w:t>polupráca medzi strediskami prevádzkovateľov v organizovaní spoločných pracovných procesov pri spoločnom využívaní zariadení a prostriedkov pre rozvoj/marketing cestovného ruchu</w:t>
      </w:r>
    </w:p>
    <w:p w:rsidR="008676F9" w:rsidRPr="008676F9" w:rsidRDefault="008676F9" w:rsidP="00F14F63">
      <w:pPr>
        <w:shd w:val="clear" w:color="auto" w:fill="FBD4B4"/>
        <w:ind w:left="2127" w:hanging="2127"/>
        <w:rPr>
          <w:rFonts w:ascii="Calibri" w:hAnsi="Calibri" w:cs="Calibri"/>
          <w:szCs w:val="22"/>
          <w:u w:val="single"/>
          <w:lang w:eastAsia="en-US"/>
        </w:rPr>
      </w:pPr>
      <w:r w:rsidRPr="008676F9">
        <w:rPr>
          <w:rFonts w:ascii="Calibri" w:hAnsi="Calibri" w:cs="Calibri"/>
          <w:szCs w:val="22"/>
          <w:u w:val="single"/>
          <w:lang w:eastAsia="en-US"/>
        </w:rPr>
        <w:t xml:space="preserve">Názov operácie:  </w:t>
      </w:r>
    </w:p>
    <w:p w:rsidR="008676F9" w:rsidRPr="008676F9" w:rsidRDefault="008676F9" w:rsidP="00F14F63">
      <w:pPr>
        <w:shd w:val="clear" w:color="auto" w:fill="FBD4B4"/>
        <w:rPr>
          <w:rFonts w:ascii="Calibri" w:hAnsi="Calibri" w:cs="Calibri"/>
          <w:szCs w:val="22"/>
          <w:u w:val="single"/>
          <w:lang w:eastAsia="en-US"/>
        </w:rPr>
      </w:pPr>
      <w:r w:rsidRPr="008676F9">
        <w:rPr>
          <w:rFonts w:ascii="Calibri" w:hAnsi="Calibri" w:cs="Calibri"/>
          <w:i/>
          <w:szCs w:val="22"/>
          <w:lang w:eastAsia="en-US"/>
        </w:rPr>
        <w:t>Podpora novovzniknutých klastrov</w:t>
      </w:r>
    </w:p>
    <w:p w:rsidR="008676F9" w:rsidRPr="008676F9" w:rsidRDefault="008676F9" w:rsidP="00F14F63">
      <w:pPr>
        <w:rPr>
          <w:rFonts w:ascii="Calibri" w:hAnsi="Calibri" w:cs="Calibri"/>
          <w:szCs w:val="22"/>
          <w:highlight w:val="lightGray"/>
          <w:u w:val="single"/>
          <w:lang w:eastAsia="en-US"/>
        </w:rPr>
      </w:pPr>
    </w:p>
    <w:p w:rsidR="008676F9" w:rsidRPr="008676F9" w:rsidRDefault="008676F9" w:rsidP="00F14F63">
      <w:pPr>
        <w:rPr>
          <w:rFonts w:ascii="Calibri" w:hAnsi="Calibri" w:cs="Calibri"/>
          <w:szCs w:val="22"/>
          <w:u w:val="single"/>
          <w:lang w:eastAsia="en-US"/>
        </w:rPr>
      </w:pPr>
      <w:r w:rsidRPr="008676F9">
        <w:rPr>
          <w:rFonts w:ascii="Calibri" w:hAnsi="Calibri" w:cs="Calibri"/>
          <w:szCs w:val="22"/>
          <w:u w:val="single"/>
          <w:lang w:eastAsia="en-US"/>
        </w:rPr>
        <w:t>Opis operácie:</w:t>
      </w:r>
    </w:p>
    <w:p w:rsidR="008676F9" w:rsidRPr="008676F9" w:rsidRDefault="008676F9" w:rsidP="00F14F63">
      <w:pPr>
        <w:rPr>
          <w:rFonts w:ascii="Calibri" w:hAnsi="Calibri" w:cs="Calibri"/>
          <w:b/>
          <w:bCs/>
          <w:szCs w:val="22"/>
          <w:lang w:eastAsia="en-US"/>
        </w:rPr>
      </w:pPr>
      <w:r w:rsidRPr="008676F9">
        <w:rPr>
          <w:rFonts w:ascii="Calibri" w:hAnsi="Calibri" w:cs="Calibri"/>
          <w:szCs w:val="22"/>
          <w:lang w:eastAsia="en-US"/>
        </w:rPr>
        <w:t xml:space="preserve">Vykonávanie  projektov spolupráce,  ktoré sa zameriavajú na vývoj nových produktov , postupov , procesov a technológií medzi aktérmi v odvetví poľnohospodárstva, potravinovom reťazci, sektore lesného hospodárstva a v sektore cestovného ruchu na území Európskej únie a ďalšími aktérmi, ktorí  prispievajú k dosiahnutiu cieľov. </w:t>
      </w:r>
    </w:p>
    <w:p w:rsidR="008676F9" w:rsidRPr="008676F9" w:rsidRDefault="008676F9" w:rsidP="00F14F63">
      <w:pPr>
        <w:rPr>
          <w:rFonts w:ascii="Calibri" w:hAnsi="Calibri" w:cs="Calibri"/>
          <w:szCs w:val="22"/>
          <w:u w:val="single"/>
          <w:lang w:eastAsia="en-US"/>
        </w:rPr>
      </w:pPr>
    </w:p>
    <w:p w:rsidR="008676F9" w:rsidRPr="008676F9" w:rsidRDefault="008676F9" w:rsidP="00F14F63">
      <w:pPr>
        <w:rPr>
          <w:rFonts w:ascii="Calibri" w:hAnsi="Calibri" w:cs="Calibri"/>
          <w:bCs/>
          <w:szCs w:val="22"/>
          <w:u w:val="single"/>
          <w:lang w:eastAsia="en-US"/>
        </w:rPr>
      </w:pPr>
      <w:r w:rsidRPr="008676F9">
        <w:rPr>
          <w:rFonts w:ascii="Calibri" w:hAnsi="Calibri" w:cs="Calibri"/>
          <w:bCs/>
          <w:szCs w:val="22"/>
          <w:u w:val="single"/>
          <w:lang w:eastAsia="en-US"/>
        </w:rPr>
        <w:t>Typ podpory:</w:t>
      </w:r>
    </w:p>
    <w:p w:rsidR="008676F9" w:rsidRPr="008676F9" w:rsidRDefault="008676F9" w:rsidP="00F14F63">
      <w:pPr>
        <w:rPr>
          <w:rFonts w:ascii="Calibri" w:hAnsi="Calibri" w:cs="Calibri"/>
          <w:bCs/>
          <w:szCs w:val="22"/>
          <w:lang w:eastAsia="en-US"/>
        </w:rPr>
      </w:pPr>
      <w:r w:rsidRPr="008676F9">
        <w:rPr>
          <w:rFonts w:ascii="Calibri" w:hAnsi="Calibri" w:cs="Calibri"/>
          <w:bCs/>
          <w:szCs w:val="22"/>
          <w:lang w:eastAsia="en-US"/>
        </w:rPr>
        <w:t>Investičná, nezisková, nenávratný finančný príspevok.</w:t>
      </w:r>
    </w:p>
    <w:p w:rsidR="008676F9" w:rsidRPr="008676F9" w:rsidRDefault="008676F9" w:rsidP="00F14F63">
      <w:pPr>
        <w:rPr>
          <w:rFonts w:ascii="Calibri" w:hAnsi="Calibri" w:cs="Calibri"/>
          <w:bCs/>
          <w:szCs w:val="22"/>
          <w:lang w:eastAsia="en-US"/>
        </w:rPr>
      </w:pPr>
    </w:p>
    <w:p w:rsidR="008676F9" w:rsidRPr="008676F9" w:rsidRDefault="008676F9" w:rsidP="00F14F63">
      <w:pPr>
        <w:rPr>
          <w:rFonts w:ascii="Calibri" w:hAnsi="Calibri" w:cs="Calibri"/>
          <w:bCs/>
          <w:szCs w:val="22"/>
          <w:u w:val="single"/>
          <w:lang w:eastAsia="en-US"/>
        </w:rPr>
      </w:pPr>
      <w:r w:rsidRPr="008676F9">
        <w:rPr>
          <w:rFonts w:ascii="Calibri" w:hAnsi="Calibri" w:cs="Calibri"/>
          <w:bCs/>
          <w:szCs w:val="22"/>
          <w:u w:val="single"/>
          <w:lang w:eastAsia="en-US"/>
        </w:rPr>
        <w:t>Prijímateľ podpory</w:t>
      </w:r>
    </w:p>
    <w:p w:rsidR="008676F9" w:rsidRPr="008676F9" w:rsidRDefault="008676F9" w:rsidP="00F14F63">
      <w:pPr>
        <w:rPr>
          <w:rFonts w:ascii="Calibri" w:hAnsi="Calibri" w:cs="Calibri"/>
          <w:bCs/>
          <w:szCs w:val="22"/>
          <w:u w:val="single"/>
          <w:lang w:eastAsia="en-US"/>
        </w:rPr>
      </w:pPr>
      <w:r w:rsidRPr="008676F9">
        <w:rPr>
          <w:rFonts w:ascii="Calibri" w:hAnsi="Calibri" w:cs="Calibri"/>
          <w:bCs/>
          <w:szCs w:val="22"/>
          <w:lang w:eastAsia="en-US"/>
        </w:rPr>
        <w:t>Najmenej dva subjekty, ktorých spolupráca je :</w:t>
      </w:r>
    </w:p>
    <w:p w:rsidR="008676F9" w:rsidRPr="008676F9" w:rsidRDefault="008676F9" w:rsidP="00955DA4">
      <w:pPr>
        <w:numPr>
          <w:ilvl w:val="0"/>
          <w:numId w:val="244"/>
        </w:numPr>
        <w:rPr>
          <w:rFonts w:ascii="Calibri" w:hAnsi="Calibri" w:cs="Calibri"/>
          <w:bCs/>
          <w:szCs w:val="22"/>
          <w:lang w:eastAsia="en-US"/>
        </w:rPr>
      </w:pPr>
      <w:r w:rsidRPr="008676F9">
        <w:rPr>
          <w:rFonts w:ascii="Calibri" w:hAnsi="Calibri" w:cs="Calibri"/>
          <w:bCs/>
          <w:szCs w:val="22"/>
          <w:lang w:eastAsia="en-US"/>
        </w:rPr>
        <w:t>medzi rôznymi aktérmi v poľnohospodárstve, potravinovom reťazci , v lesnom hospodárstve, alebo v sektore cestovného ruchu a rozvoji vidieka na území EÚ a medzi inými aktérmi, ktorí prispievajú k splneniu cieľov a priorít politiky rozvoja vidieka vrátane medziodvetvových organizácií</w:t>
      </w:r>
      <w:r w:rsidR="007E0523">
        <w:rPr>
          <w:rFonts w:ascii="Calibri" w:hAnsi="Calibri" w:cs="Calibri"/>
          <w:bCs/>
          <w:szCs w:val="22"/>
          <w:lang w:eastAsia="en-US"/>
        </w:rPr>
        <w:t>, mimovládnych neziskových organizácií</w:t>
      </w:r>
      <w:r w:rsidRPr="008676F9">
        <w:rPr>
          <w:rFonts w:ascii="Calibri" w:hAnsi="Calibri" w:cs="Calibri"/>
          <w:bCs/>
          <w:szCs w:val="22"/>
          <w:lang w:eastAsia="en-US"/>
        </w:rPr>
        <w:t xml:space="preserve"> a výskumných organizácií.</w:t>
      </w:r>
    </w:p>
    <w:p w:rsidR="008676F9" w:rsidRPr="008676F9" w:rsidRDefault="008676F9" w:rsidP="00F14F63">
      <w:pPr>
        <w:rPr>
          <w:rFonts w:ascii="Calibri" w:hAnsi="Calibri" w:cs="Calibri"/>
          <w:bCs/>
          <w:szCs w:val="22"/>
          <w:u w:val="single"/>
          <w:lang w:eastAsia="en-US"/>
        </w:rPr>
      </w:pPr>
    </w:p>
    <w:p w:rsidR="008676F9" w:rsidRPr="008676F9" w:rsidRDefault="008676F9" w:rsidP="00F14F63">
      <w:pPr>
        <w:rPr>
          <w:rFonts w:ascii="Calibri" w:hAnsi="Calibri" w:cs="Calibri"/>
          <w:bCs/>
          <w:szCs w:val="22"/>
          <w:u w:val="single"/>
          <w:lang w:eastAsia="en-US"/>
        </w:rPr>
      </w:pPr>
      <w:r w:rsidRPr="008676F9">
        <w:rPr>
          <w:rFonts w:ascii="Calibri" w:hAnsi="Calibri" w:cs="Calibri"/>
          <w:bCs/>
          <w:szCs w:val="22"/>
          <w:u w:val="single"/>
          <w:lang w:eastAsia="en-US"/>
        </w:rPr>
        <w:t>Oprávnené náklady:</w:t>
      </w:r>
    </w:p>
    <w:p w:rsidR="008676F9" w:rsidRPr="008676F9" w:rsidRDefault="008676F9" w:rsidP="00F14F63">
      <w:pPr>
        <w:rPr>
          <w:rFonts w:ascii="Calibri" w:hAnsi="Calibri" w:cs="Calibri"/>
          <w:bCs/>
          <w:szCs w:val="22"/>
          <w:lang w:eastAsia="en-US"/>
        </w:rPr>
      </w:pPr>
      <w:r w:rsidRPr="008676F9">
        <w:rPr>
          <w:rFonts w:ascii="Calibri" w:hAnsi="Calibri" w:cs="Calibri"/>
          <w:bCs/>
          <w:szCs w:val="22"/>
          <w:lang w:eastAsia="en-US"/>
        </w:rPr>
        <w:t>Na podporu v rámci  danej operácie  sú oprávnené tieto náklady:</w:t>
      </w:r>
    </w:p>
    <w:p w:rsidR="008676F9" w:rsidRPr="008676F9" w:rsidRDefault="008676F9" w:rsidP="00CE203B">
      <w:pPr>
        <w:numPr>
          <w:ilvl w:val="1"/>
          <w:numId w:val="270"/>
        </w:numPr>
        <w:spacing w:after="120"/>
        <w:ind w:left="283" w:hanging="306"/>
        <w:rPr>
          <w:rFonts w:ascii="Calibri" w:hAnsi="Calibri" w:cs="Calibri"/>
          <w:bCs/>
          <w:szCs w:val="22"/>
          <w:lang w:eastAsia="en-US"/>
        </w:rPr>
      </w:pPr>
      <w:r w:rsidRPr="008676F9">
        <w:rPr>
          <w:rFonts w:ascii="Calibri" w:hAnsi="Calibri" w:cs="Calibri"/>
          <w:bCs/>
          <w:szCs w:val="22"/>
          <w:lang w:eastAsia="en-US"/>
        </w:rPr>
        <w:t>náklady na štúdie o príslušnej oblasti, realizačné štúdie a vypracovanie podnikateľského plánu, plánu obhospodarovania lesov alebo rovnocenného nástroja  alebo inej stratégie miestneho rozvoja</w:t>
      </w:r>
      <w:r w:rsidR="008056AC">
        <w:rPr>
          <w:rFonts w:ascii="Calibri" w:hAnsi="Calibri" w:cs="Calibri"/>
          <w:bCs/>
          <w:szCs w:val="22"/>
          <w:lang w:eastAsia="en-US"/>
        </w:rPr>
        <w:t>;</w:t>
      </w:r>
      <w:r w:rsidRPr="008676F9">
        <w:rPr>
          <w:rFonts w:ascii="Calibri" w:hAnsi="Calibri" w:cs="Calibri"/>
          <w:bCs/>
          <w:szCs w:val="22"/>
          <w:lang w:eastAsia="en-US"/>
        </w:rPr>
        <w:t xml:space="preserve"> </w:t>
      </w:r>
    </w:p>
    <w:p w:rsidR="008676F9" w:rsidRPr="008676F9" w:rsidRDefault="008676F9" w:rsidP="00CE203B">
      <w:pPr>
        <w:numPr>
          <w:ilvl w:val="1"/>
          <w:numId w:val="270"/>
        </w:numPr>
        <w:spacing w:after="120"/>
        <w:ind w:left="283" w:hanging="306"/>
        <w:rPr>
          <w:rFonts w:ascii="Calibri" w:hAnsi="Calibri" w:cs="Calibri"/>
          <w:bCs/>
          <w:szCs w:val="22"/>
          <w:lang w:eastAsia="en-US"/>
        </w:rPr>
      </w:pPr>
      <w:r w:rsidRPr="008676F9">
        <w:rPr>
          <w:rFonts w:ascii="Calibri" w:hAnsi="Calibri" w:cs="Calibri"/>
          <w:bCs/>
          <w:szCs w:val="22"/>
          <w:lang w:eastAsia="en-US"/>
        </w:rPr>
        <w:t>náklady na oživenie príslušnej oblasti s cieľom zabezpečiť uskutočniteľnosť kolektívneho územného projektu;</w:t>
      </w:r>
    </w:p>
    <w:p w:rsidR="008676F9" w:rsidRPr="008676F9" w:rsidRDefault="008676F9" w:rsidP="00CE203B">
      <w:pPr>
        <w:numPr>
          <w:ilvl w:val="1"/>
          <w:numId w:val="270"/>
        </w:numPr>
        <w:spacing w:after="120"/>
        <w:ind w:left="283" w:hanging="306"/>
        <w:rPr>
          <w:rFonts w:ascii="Calibri" w:hAnsi="Calibri" w:cs="Calibri"/>
          <w:bCs/>
          <w:szCs w:val="22"/>
          <w:lang w:eastAsia="en-US"/>
        </w:rPr>
      </w:pPr>
      <w:r w:rsidRPr="008676F9">
        <w:rPr>
          <w:rFonts w:ascii="Calibri" w:hAnsi="Calibri" w:cs="Calibri"/>
          <w:bCs/>
          <w:szCs w:val="22"/>
          <w:lang w:eastAsia="en-US"/>
        </w:rPr>
        <w:t xml:space="preserve">prevádzkové náklady na spoluprácu; </w:t>
      </w:r>
    </w:p>
    <w:p w:rsidR="008676F9" w:rsidRPr="008676F9" w:rsidRDefault="008676F9" w:rsidP="00CE203B">
      <w:pPr>
        <w:numPr>
          <w:ilvl w:val="1"/>
          <w:numId w:val="270"/>
        </w:numPr>
        <w:spacing w:after="120"/>
        <w:ind w:left="283" w:hanging="306"/>
        <w:rPr>
          <w:rFonts w:ascii="Calibri" w:hAnsi="Calibri" w:cs="Calibri"/>
          <w:bCs/>
          <w:szCs w:val="22"/>
          <w:lang w:eastAsia="en-US"/>
        </w:rPr>
      </w:pPr>
      <w:r w:rsidRPr="008676F9">
        <w:rPr>
          <w:rFonts w:ascii="Calibri" w:hAnsi="Calibri" w:cs="Calibri"/>
          <w:bCs/>
          <w:szCs w:val="22"/>
          <w:lang w:eastAsia="en-US"/>
        </w:rPr>
        <w:t>priame náklady na konkrétne projekty spojené s vykonávaním podnikateľského plánu, plánu v oblasti životného prostredia, plánu obhospodarovania lesov, alebo rovnocenného nástroja a inej stratégie miestneho rozvoja, alebo na iné činnosti zamerané na inovácie, vrátane testovania, resp. nevyhnutných investičných nákladov;</w:t>
      </w:r>
    </w:p>
    <w:p w:rsidR="008676F9" w:rsidRPr="008676F9" w:rsidRDefault="008676F9" w:rsidP="00CE203B">
      <w:pPr>
        <w:numPr>
          <w:ilvl w:val="1"/>
          <w:numId w:val="270"/>
        </w:numPr>
        <w:ind w:left="284" w:hanging="306"/>
        <w:rPr>
          <w:rFonts w:ascii="Calibri" w:hAnsi="Calibri" w:cs="Calibri"/>
          <w:bCs/>
          <w:lang w:eastAsia="en-US"/>
        </w:rPr>
      </w:pPr>
      <w:r w:rsidRPr="008676F9">
        <w:rPr>
          <w:rFonts w:ascii="Calibri" w:hAnsi="Calibri" w:cs="Calibri"/>
          <w:bCs/>
          <w:szCs w:val="22"/>
          <w:lang w:eastAsia="en-US"/>
        </w:rPr>
        <w:t>náklad</w:t>
      </w:r>
      <w:r w:rsidRPr="008676F9">
        <w:rPr>
          <w:rFonts w:ascii="Calibri" w:hAnsi="Calibri" w:cs="Calibri"/>
          <w:bCs/>
          <w:lang w:eastAsia="en-US"/>
        </w:rPr>
        <w:t>y na propagačné činnosti.</w:t>
      </w:r>
    </w:p>
    <w:p w:rsidR="008676F9" w:rsidRPr="008676F9" w:rsidRDefault="008676F9" w:rsidP="00F14F63">
      <w:pPr>
        <w:rPr>
          <w:rFonts w:ascii="Calibri" w:hAnsi="Calibri" w:cs="Calibri"/>
          <w:bCs/>
          <w:szCs w:val="22"/>
          <w:u w:val="single"/>
          <w:lang w:eastAsia="en-US"/>
        </w:rPr>
      </w:pPr>
    </w:p>
    <w:p w:rsidR="008676F9" w:rsidRPr="008676F9" w:rsidRDefault="008676F9" w:rsidP="00F14F63">
      <w:pPr>
        <w:rPr>
          <w:rFonts w:ascii="Calibri" w:hAnsi="Calibri" w:cs="Calibri"/>
          <w:bCs/>
          <w:szCs w:val="22"/>
          <w:u w:val="single"/>
          <w:lang w:eastAsia="en-US"/>
        </w:rPr>
      </w:pPr>
      <w:r w:rsidRPr="008676F9">
        <w:rPr>
          <w:rFonts w:ascii="Calibri" w:hAnsi="Calibri" w:cs="Calibri"/>
          <w:bCs/>
          <w:szCs w:val="22"/>
          <w:u w:val="single"/>
          <w:lang w:eastAsia="en-US"/>
        </w:rPr>
        <w:t>Kritériá oprávnenosti:</w:t>
      </w:r>
    </w:p>
    <w:p w:rsidR="008676F9" w:rsidRPr="008676F9" w:rsidRDefault="008676F9" w:rsidP="00F14F63">
      <w:pPr>
        <w:rPr>
          <w:rFonts w:ascii="Calibri" w:hAnsi="Calibri" w:cs="Calibri"/>
          <w:bCs/>
          <w:szCs w:val="22"/>
          <w:u w:val="single"/>
          <w:lang w:eastAsia="en-US"/>
        </w:rPr>
      </w:pPr>
      <w:r w:rsidRPr="008676F9">
        <w:rPr>
          <w:rFonts w:ascii="Calibri" w:hAnsi="Calibri" w:cs="Calibri"/>
          <w:bCs/>
          <w:szCs w:val="22"/>
          <w:lang w:eastAsia="en-US"/>
        </w:rPr>
        <w:t>Oprávnené sú len tie činnosti, ktoré  zabezpečia len vznik novo vzniknuté klastrov a sietí a pre činnosť, ktorá je pre ne nová. Finančné prostriedky nemôžu byť poskytnuté na podporu už zavedenej činnosti vykonávanej v sieti či klastre. Podpora sa poskytne iba v prípade, že klaster alebo sieť preukázateľne vykonáva jeden alebo viac projektov, ktoré sú zamerané na priority politiky rozvoja vidieka. Podpora by nemala byť poskytnutá pre vytvorenie a prevádzkovanie siete , ktoré len "vedú diskusiu" o konkrétnych problémoch, no bez výsledkov. Diskusia môže byť podporená len ako vedecká metóda s konkrétne plánovanými postupmi a osobitne plánovanými výsledkami</w:t>
      </w:r>
    </w:p>
    <w:p w:rsidR="008676F9" w:rsidRPr="008676F9" w:rsidRDefault="008676F9" w:rsidP="00F14F63">
      <w:pPr>
        <w:rPr>
          <w:rFonts w:ascii="Calibri" w:hAnsi="Calibri" w:cs="Calibri"/>
          <w:bCs/>
          <w:szCs w:val="22"/>
          <w:u w:val="single"/>
          <w:lang w:eastAsia="en-US"/>
        </w:rPr>
      </w:pPr>
    </w:p>
    <w:p w:rsidR="008676F9" w:rsidRPr="008676F9" w:rsidRDefault="008676F9" w:rsidP="00F14F63">
      <w:pPr>
        <w:rPr>
          <w:rFonts w:ascii="Calibri" w:hAnsi="Calibri" w:cs="Calibri"/>
          <w:bCs/>
          <w:szCs w:val="22"/>
          <w:u w:val="single"/>
          <w:lang w:eastAsia="en-US"/>
        </w:rPr>
      </w:pPr>
      <w:r w:rsidRPr="008676F9">
        <w:rPr>
          <w:rFonts w:ascii="Calibri" w:hAnsi="Calibri" w:cs="Calibri"/>
          <w:bCs/>
          <w:szCs w:val="22"/>
          <w:u w:val="single"/>
          <w:lang w:eastAsia="en-US"/>
        </w:rPr>
        <w:t>Princípy nastavenia výberových kritérií:</w:t>
      </w:r>
    </w:p>
    <w:p w:rsidR="008676F9" w:rsidRPr="008676F9" w:rsidRDefault="008676F9" w:rsidP="00955DA4">
      <w:pPr>
        <w:numPr>
          <w:ilvl w:val="0"/>
          <w:numId w:val="243"/>
        </w:numPr>
        <w:tabs>
          <w:tab w:val="left" w:pos="708"/>
        </w:tabs>
        <w:suppressAutoHyphens/>
        <w:contextualSpacing/>
        <w:rPr>
          <w:rFonts w:ascii="Calibri" w:hAnsi="Calibri"/>
          <w:szCs w:val="22"/>
        </w:rPr>
      </w:pPr>
      <w:r w:rsidRPr="008676F9">
        <w:rPr>
          <w:rFonts w:ascii="Calibri" w:hAnsi="Calibri"/>
          <w:szCs w:val="22"/>
        </w:rPr>
        <w:t>Riešenie  komplexných projektov;</w:t>
      </w:r>
    </w:p>
    <w:p w:rsidR="008676F9" w:rsidRPr="008676F9" w:rsidRDefault="008676F9" w:rsidP="00955DA4">
      <w:pPr>
        <w:numPr>
          <w:ilvl w:val="0"/>
          <w:numId w:val="243"/>
        </w:numPr>
        <w:tabs>
          <w:tab w:val="left" w:pos="708"/>
        </w:tabs>
        <w:suppressAutoHyphens/>
        <w:contextualSpacing/>
        <w:rPr>
          <w:rFonts w:ascii="Calibri" w:hAnsi="Calibri"/>
          <w:szCs w:val="22"/>
        </w:rPr>
      </w:pPr>
      <w:r w:rsidRPr="008676F9">
        <w:rPr>
          <w:rFonts w:ascii="Calibri" w:hAnsi="Calibri"/>
          <w:szCs w:val="22"/>
        </w:rPr>
        <w:t>Prepojenosť s ostatnými opatreniami v rámci PRV;</w:t>
      </w:r>
    </w:p>
    <w:p w:rsidR="008676F9" w:rsidRPr="008676F9" w:rsidRDefault="008676F9" w:rsidP="00955DA4">
      <w:pPr>
        <w:numPr>
          <w:ilvl w:val="0"/>
          <w:numId w:val="243"/>
        </w:numPr>
        <w:tabs>
          <w:tab w:val="left" w:pos="708"/>
        </w:tabs>
        <w:suppressAutoHyphens/>
        <w:contextualSpacing/>
        <w:rPr>
          <w:rFonts w:ascii="Calibri" w:hAnsi="Calibri"/>
          <w:szCs w:val="22"/>
        </w:rPr>
      </w:pPr>
      <w:r w:rsidRPr="008676F9">
        <w:rPr>
          <w:rFonts w:ascii="Calibri" w:hAnsi="Calibri"/>
          <w:szCs w:val="22"/>
        </w:rPr>
        <w:t>Riešenie integrovaných projektov;</w:t>
      </w:r>
    </w:p>
    <w:p w:rsidR="008676F9" w:rsidRPr="008676F9" w:rsidRDefault="008676F9" w:rsidP="00955DA4">
      <w:pPr>
        <w:numPr>
          <w:ilvl w:val="0"/>
          <w:numId w:val="243"/>
        </w:numPr>
        <w:tabs>
          <w:tab w:val="left" w:pos="708"/>
        </w:tabs>
        <w:suppressAutoHyphens/>
        <w:contextualSpacing/>
        <w:rPr>
          <w:rFonts w:ascii="Calibri" w:hAnsi="Calibri"/>
          <w:szCs w:val="22"/>
        </w:rPr>
      </w:pPr>
      <w:r w:rsidRPr="008676F9">
        <w:rPr>
          <w:rFonts w:ascii="Calibri" w:hAnsi="Calibri"/>
          <w:szCs w:val="22"/>
        </w:rPr>
        <w:t>Riešenie spolupráce vyššieho počtu partnerov</w:t>
      </w:r>
      <w:r w:rsidRPr="008676F9">
        <w:rPr>
          <w:rFonts w:ascii="Calibri" w:hAnsi="Calibri" w:cs="Calibri"/>
          <w:bCs/>
          <w:szCs w:val="22"/>
          <w:lang w:eastAsia="en-US"/>
        </w:rPr>
        <w:t>;</w:t>
      </w:r>
    </w:p>
    <w:p w:rsidR="008676F9" w:rsidRPr="008676F9" w:rsidRDefault="008676F9" w:rsidP="00955DA4">
      <w:pPr>
        <w:numPr>
          <w:ilvl w:val="0"/>
          <w:numId w:val="243"/>
        </w:numPr>
        <w:tabs>
          <w:tab w:val="left" w:pos="708"/>
        </w:tabs>
        <w:suppressAutoHyphens/>
        <w:contextualSpacing/>
        <w:rPr>
          <w:rFonts w:ascii="Calibri" w:hAnsi="Calibri"/>
          <w:szCs w:val="22"/>
        </w:rPr>
      </w:pPr>
      <w:r w:rsidRPr="008676F9">
        <w:rPr>
          <w:rFonts w:ascii="Calibri" w:hAnsi="Calibri" w:cs="Calibri"/>
          <w:bCs/>
          <w:szCs w:val="22"/>
          <w:lang w:eastAsia="en-US"/>
        </w:rPr>
        <w:t>Princíp efektívnosti;</w:t>
      </w:r>
    </w:p>
    <w:p w:rsidR="008676F9" w:rsidRPr="008676F9" w:rsidRDefault="008676F9" w:rsidP="00955DA4">
      <w:pPr>
        <w:numPr>
          <w:ilvl w:val="0"/>
          <w:numId w:val="243"/>
        </w:numPr>
        <w:tabs>
          <w:tab w:val="left" w:pos="708"/>
        </w:tabs>
        <w:suppressAutoHyphens/>
        <w:contextualSpacing/>
        <w:rPr>
          <w:rFonts w:ascii="Calibri" w:hAnsi="Calibri"/>
          <w:szCs w:val="22"/>
        </w:rPr>
      </w:pPr>
      <w:r w:rsidRPr="008676F9">
        <w:rPr>
          <w:rFonts w:ascii="Calibri" w:hAnsi="Calibri" w:cs="Calibri"/>
          <w:bCs/>
          <w:szCs w:val="22"/>
          <w:lang w:eastAsia="en-US"/>
        </w:rPr>
        <w:t>Princíp udržateľnosti projektov, tak aby bol naplnený cieľ opatrenia;</w:t>
      </w:r>
    </w:p>
    <w:p w:rsidR="008676F9" w:rsidRPr="008676F9" w:rsidRDefault="008676F9" w:rsidP="00955DA4">
      <w:pPr>
        <w:numPr>
          <w:ilvl w:val="0"/>
          <w:numId w:val="243"/>
        </w:numPr>
        <w:tabs>
          <w:tab w:val="left" w:pos="708"/>
        </w:tabs>
        <w:suppressAutoHyphens/>
        <w:contextualSpacing/>
        <w:rPr>
          <w:rFonts w:ascii="Calibri" w:hAnsi="Calibri"/>
          <w:szCs w:val="22"/>
        </w:rPr>
      </w:pPr>
      <w:r w:rsidRPr="008676F9">
        <w:rPr>
          <w:rFonts w:ascii="Calibri" w:hAnsi="Calibri" w:cs="Calibri"/>
          <w:bCs/>
          <w:szCs w:val="22"/>
          <w:lang w:eastAsia="en-US"/>
        </w:rPr>
        <w:t>Územný princíp.</w:t>
      </w:r>
    </w:p>
    <w:p w:rsidR="008676F9" w:rsidRPr="008676F9" w:rsidRDefault="008676F9" w:rsidP="00F14F63">
      <w:pPr>
        <w:rPr>
          <w:rFonts w:ascii="Calibri" w:hAnsi="Calibri" w:cs="Calibri"/>
          <w:bCs/>
          <w:szCs w:val="22"/>
          <w:u w:val="single"/>
          <w:lang w:eastAsia="en-US"/>
        </w:rPr>
      </w:pPr>
    </w:p>
    <w:p w:rsidR="008676F9" w:rsidRPr="008676F9" w:rsidRDefault="008676F9" w:rsidP="00F14F63">
      <w:pPr>
        <w:rPr>
          <w:rFonts w:ascii="Calibri" w:hAnsi="Calibri" w:cs="Calibri"/>
          <w:bCs/>
          <w:szCs w:val="22"/>
          <w:u w:val="single"/>
          <w:lang w:eastAsia="en-US"/>
        </w:rPr>
      </w:pPr>
      <w:r w:rsidRPr="008676F9">
        <w:rPr>
          <w:rFonts w:ascii="Calibri" w:hAnsi="Calibri" w:cs="Calibri"/>
          <w:bCs/>
          <w:szCs w:val="22"/>
          <w:u w:val="single"/>
          <w:lang w:eastAsia="en-US"/>
        </w:rPr>
        <w:t>Výška a intenzita podpory:</w:t>
      </w:r>
    </w:p>
    <w:p w:rsidR="008676F9" w:rsidRPr="008676F9" w:rsidRDefault="008676F9" w:rsidP="00F14F63">
      <w:pPr>
        <w:rPr>
          <w:rFonts w:ascii="Calibri" w:hAnsi="Calibri" w:cs="Calibri"/>
          <w:bCs/>
          <w:szCs w:val="22"/>
          <w:lang w:eastAsia="en-US"/>
        </w:rPr>
      </w:pPr>
      <w:r w:rsidRPr="008676F9">
        <w:rPr>
          <w:rFonts w:ascii="Calibri" w:hAnsi="Calibri" w:cs="Calibri"/>
          <w:bCs/>
          <w:szCs w:val="22"/>
          <w:lang w:eastAsia="en-US"/>
        </w:rPr>
        <w:t>Maximálna výška podpory z celkových oprávnených výdavkov:</w:t>
      </w:r>
    </w:p>
    <w:p w:rsidR="008676F9" w:rsidRPr="008676F9" w:rsidRDefault="008676F9" w:rsidP="00CE203B">
      <w:pPr>
        <w:numPr>
          <w:ilvl w:val="0"/>
          <w:numId w:val="268"/>
        </w:numPr>
        <w:tabs>
          <w:tab w:val="left" w:pos="708"/>
        </w:tabs>
        <w:suppressAutoHyphens/>
        <w:contextualSpacing/>
        <w:rPr>
          <w:rFonts w:ascii="Calibri" w:hAnsi="Calibri" w:cs="Calibri"/>
          <w:bCs/>
          <w:szCs w:val="22"/>
          <w:lang w:eastAsia="en-US"/>
        </w:rPr>
      </w:pPr>
      <w:r w:rsidRPr="008676F9">
        <w:rPr>
          <w:rFonts w:ascii="Calibri" w:hAnsi="Calibri" w:cs="Calibri"/>
          <w:bCs/>
          <w:szCs w:val="22"/>
          <w:lang w:eastAsia="en-US"/>
        </w:rPr>
        <w:t xml:space="preserve">100 % </w:t>
      </w:r>
    </w:p>
    <w:p w:rsidR="008676F9" w:rsidRPr="008676F9" w:rsidRDefault="008676F9" w:rsidP="00F14F63">
      <w:pPr>
        <w:rPr>
          <w:rFonts w:ascii="Calibri" w:hAnsi="Calibri" w:cs="Calibri"/>
          <w:bCs/>
          <w:szCs w:val="22"/>
          <w:lang w:eastAsia="en-US"/>
        </w:rPr>
      </w:pPr>
    </w:p>
    <w:p w:rsidR="008676F9" w:rsidRPr="008676F9" w:rsidRDefault="008676F9" w:rsidP="00F14F63">
      <w:pPr>
        <w:tabs>
          <w:tab w:val="left" w:pos="5910"/>
        </w:tabs>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Ďalšie informácie špecifické pre dané  podopatrenie:</w:t>
      </w:r>
    </w:p>
    <w:p w:rsidR="008676F9" w:rsidRPr="008676F9" w:rsidRDefault="008676F9" w:rsidP="00CE203B">
      <w:pPr>
        <w:numPr>
          <w:ilvl w:val="0"/>
          <w:numId w:val="267"/>
        </w:numPr>
        <w:tabs>
          <w:tab w:val="left" w:pos="708"/>
        </w:tabs>
        <w:suppressAutoHyphens/>
        <w:spacing w:after="120"/>
        <w:ind w:left="714" w:hanging="357"/>
        <w:rPr>
          <w:rFonts w:ascii="Calibri" w:hAnsi="Calibri" w:cs="Calibri"/>
          <w:bCs/>
          <w:szCs w:val="22"/>
          <w:lang w:eastAsia="en-US"/>
        </w:rPr>
      </w:pPr>
      <w:r w:rsidRPr="008676F9">
        <w:rPr>
          <w:rFonts w:ascii="Calibri" w:hAnsi="Calibri" w:cs="Calibri"/>
          <w:bCs/>
          <w:szCs w:val="22"/>
          <w:lang w:eastAsia="en-US"/>
        </w:rPr>
        <w:t>Ak sa realizuje podnikateľský plán, podpora sa viaže prioritne  na náklady spolupráce a na oživenie a realizáciu plánu. Na realizáciu môžu byť zároveň využité prostriedky aj z iných opatrení alebo fondov. V prípade čerpania prostriedkov z Programu rozvoja vidieka SR 2014-2020 v rámci ostatných opatrení, môže byť poskytnutá výška nenávratného finančného príspevku vo výške maximálnej miery   intenzity podpory pre dané opatrenie, prijímateľa, oblasť resp. druh projektu v zmysle prílohy č. 1 nariadenia</w:t>
      </w:r>
      <w:r w:rsidR="007E0523">
        <w:rPr>
          <w:rFonts w:ascii="Calibri" w:hAnsi="Calibri" w:cs="Calibri"/>
          <w:bCs/>
          <w:szCs w:val="22"/>
          <w:lang w:eastAsia="en-US"/>
        </w:rPr>
        <w:t xml:space="preserve"> (EÚ)</w:t>
      </w:r>
      <w:r w:rsidRPr="008676F9">
        <w:rPr>
          <w:rFonts w:ascii="Calibri" w:hAnsi="Calibri" w:cs="Calibri"/>
          <w:bCs/>
          <w:szCs w:val="22"/>
          <w:lang w:eastAsia="en-US"/>
        </w:rPr>
        <w:t xml:space="preserve"> 1305/201</w:t>
      </w:r>
      <w:r w:rsidR="007E0523">
        <w:rPr>
          <w:rFonts w:ascii="Calibri" w:hAnsi="Calibri" w:cs="Calibri"/>
          <w:bCs/>
          <w:szCs w:val="22"/>
          <w:lang w:eastAsia="en-US"/>
        </w:rPr>
        <w:t>3</w:t>
      </w:r>
      <w:r w:rsidRPr="008676F9">
        <w:rPr>
          <w:rFonts w:ascii="Calibri" w:hAnsi="Calibri" w:cs="Calibri"/>
          <w:bCs/>
          <w:szCs w:val="22"/>
          <w:lang w:eastAsia="en-US"/>
        </w:rPr>
        <w:t>.</w:t>
      </w:r>
    </w:p>
    <w:p w:rsidR="008676F9" w:rsidRPr="008676F9" w:rsidRDefault="008676F9" w:rsidP="00CE203B">
      <w:pPr>
        <w:numPr>
          <w:ilvl w:val="0"/>
          <w:numId w:val="267"/>
        </w:numPr>
        <w:tabs>
          <w:tab w:val="left" w:pos="708"/>
        </w:tabs>
        <w:suppressAutoHyphens/>
        <w:spacing w:after="120"/>
        <w:ind w:left="714" w:hanging="357"/>
        <w:rPr>
          <w:rFonts w:ascii="Calibri" w:hAnsi="Calibri" w:cs="Calibri"/>
          <w:bCs/>
          <w:szCs w:val="22"/>
          <w:lang w:eastAsia="en-US"/>
        </w:rPr>
      </w:pPr>
      <w:r w:rsidRPr="008676F9">
        <w:rPr>
          <w:rFonts w:ascii="Calibri" w:hAnsi="Calibri" w:cs="Calibri"/>
          <w:bCs/>
          <w:szCs w:val="22"/>
          <w:lang w:eastAsia="en-US"/>
        </w:rPr>
        <w:t xml:space="preserve"> Spolupráca medzi aktérmi, ktorí sa nachádzajú v rôznych regiónoch alebo členských štátoch, je tiež oprávnená na podporu.</w:t>
      </w:r>
    </w:p>
    <w:p w:rsidR="008676F9" w:rsidRPr="008676F9" w:rsidRDefault="008676F9" w:rsidP="00CE203B">
      <w:pPr>
        <w:numPr>
          <w:ilvl w:val="0"/>
          <w:numId w:val="267"/>
        </w:numPr>
        <w:tabs>
          <w:tab w:val="left" w:pos="708"/>
        </w:tabs>
        <w:suppressAutoHyphens/>
        <w:spacing w:after="120"/>
        <w:ind w:left="714" w:hanging="357"/>
        <w:rPr>
          <w:rFonts w:ascii="Calibri" w:hAnsi="Calibri" w:cs="Calibri"/>
          <w:bCs/>
          <w:szCs w:val="22"/>
          <w:lang w:eastAsia="en-US"/>
        </w:rPr>
      </w:pPr>
      <w:r w:rsidRPr="008676F9">
        <w:rPr>
          <w:rFonts w:ascii="Calibri" w:hAnsi="Calibri" w:cs="Calibri"/>
          <w:bCs/>
          <w:szCs w:val="22"/>
          <w:lang w:eastAsia="en-US"/>
        </w:rPr>
        <w:t>Podpora sa obmedzuje na maximálne obdobie siedmich rokov ak riadiaci orgán neurčí inak.</w:t>
      </w:r>
    </w:p>
    <w:p w:rsidR="008676F9" w:rsidRDefault="008676F9" w:rsidP="00CE203B">
      <w:pPr>
        <w:numPr>
          <w:ilvl w:val="0"/>
          <w:numId w:val="267"/>
        </w:numPr>
        <w:tabs>
          <w:tab w:val="left" w:pos="708"/>
        </w:tabs>
        <w:suppressAutoHyphens/>
        <w:contextualSpacing/>
        <w:rPr>
          <w:rFonts w:ascii="Calibri" w:hAnsi="Calibri" w:cs="Calibri"/>
          <w:bCs/>
          <w:szCs w:val="22"/>
          <w:lang w:eastAsia="en-US"/>
        </w:rPr>
      </w:pPr>
      <w:r w:rsidRPr="008676F9">
        <w:rPr>
          <w:rFonts w:ascii="Calibri" w:hAnsi="Calibri" w:cs="Calibri"/>
          <w:bCs/>
          <w:szCs w:val="22"/>
          <w:lang w:eastAsia="en-US"/>
        </w:rPr>
        <w:t>Spolupráca v rámci tohto opatrenia sa môže kombinovať s projektmi podporovanými fondmi Únie, inými ako EPFRV na tom istom území.</w:t>
      </w:r>
    </w:p>
    <w:p w:rsidR="006017E9" w:rsidRDefault="006017E9" w:rsidP="006017E9">
      <w:pPr>
        <w:tabs>
          <w:tab w:val="left" w:pos="708"/>
        </w:tabs>
        <w:suppressAutoHyphens/>
        <w:ind w:left="720"/>
        <w:contextualSpacing/>
        <w:rPr>
          <w:rFonts w:ascii="Calibri" w:hAnsi="Calibri" w:cs="Calibri"/>
          <w:bCs/>
          <w:szCs w:val="22"/>
          <w:lang w:eastAsia="en-US"/>
        </w:rPr>
      </w:pPr>
    </w:p>
    <w:p w:rsidR="006017E9" w:rsidRPr="008676F9" w:rsidRDefault="006017E9" w:rsidP="006017E9">
      <w:pPr>
        <w:tabs>
          <w:tab w:val="left" w:pos="708"/>
        </w:tabs>
        <w:suppressAutoHyphens/>
        <w:ind w:left="720"/>
        <w:contextualSpacing/>
        <w:rPr>
          <w:rFonts w:ascii="Calibri" w:hAnsi="Calibri" w:cs="Calibri"/>
          <w:bCs/>
          <w:szCs w:val="22"/>
          <w:lang w:eastAsia="en-US"/>
        </w:rPr>
      </w:pPr>
    </w:p>
    <w:p w:rsidR="008676F9" w:rsidRPr="00095683" w:rsidRDefault="008676F9" w:rsidP="006017E9">
      <w:pPr>
        <w:shd w:val="clear" w:color="auto" w:fill="EAF1DD"/>
        <w:ind w:left="1843" w:hanging="1843"/>
        <w:jc w:val="left"/>
        <w:rPr>
          <w:rFonts w:ascii="Calibri" w:eastAsia="Calibri" w:hAnsi="Calibri" w:cs="Calibri"/>
          <w:b/>
          <w:bCs/>
          <w:i/>
          <w:sz w:val="24"/>
          <w:lang w:eastAsia="en-US"/>
        </w:rPr>
      </w:pPr>
      <w:r w:rsidRPr="008676F9">
        <w:rPr>
          <w:rFonts w:ascii="Calibri" w:eastAsia="Calibri" w:hAnsi="Calibri" w:cs="Calibri"/>
          <w:bCs/>
          <w:lang w:eastAsia="en-US"/>
        </w:rPr>
        <w:t xml:space="preserve">Podopatrenie: 16.4. </w:t>
      </w:r>
      <w:r w:rsidRPr="00095683">
        <w:rPr>
          <w:rFonts w:ascii="Calibri" w:eastAsia="Calibri" w:hAnsi="Calibri" w:cs="Calibri"/>
          <w:b/>
          <w:bCs/>
          <w:i/>
          <w:sz w:val="24"/>
          <w:lang w:eastAsia="en-US"/>
        </w:rPr>
        <w:t>Podpora horizontálnej a vertikálnej spolupráce medzi účastníkmi dodávateľského reťazca pre vznik a rozvoj krátkych dodávateľských reťazcov a miestnych trhov a podpora propagačných činností v miestnom kontexte týkajúcich sa rozvoja krátkych dodávateľských reťazcov a miestnych trhov</w:t>
      </w:r>
    </w:p>
    <w:p w:rsidR="008676F9" w:rsidRPr="008676F9" w:rsidRDefault="008676F9" w:rsidP="008676F9">
      <w:pPr>
        <w:shd w:val="clear" w:color="auto" w:fill="FBD4B4"/>
        <w:ind w:left="2127" w:hanging="2127"/>
        <w:rPr>
          <w:rFonts w:ascii="Calibri" w:hAnsi="Calibri" w:cs="Calibri"/>
          <w:szCs w:val="22"/>
          <w:u w:val="single"/>
          <w:lang w:eastAsia="en-US"/>
        </w:rPr>
      </w:pPr>
      <w:r w:rsidRPr="008676F9">
        <w:rPr>
          <w:rFonts w:ascii="Calibri" w:hAnsi="Calibri" w:cs="Calibri"/>
          <w:szCs w:val="22"/>
          <w:u w:val="single"/>
          <w:lang w:eastAsia="en-US"/>
        </w:rPr>
        <w:t xml:space="preserve">Názov operácie:  </w:t>
      </w:r>
    </w:p>
    <w:p w:rsidR="008676F9" w:rsidRPr="008676F9" w:rsidRDefault="008676F9" w:rsidP="008676F9">
      <w:pPr>
        <w:shd w:val="clear" w:color="auto" w:fill="FBD4B4"/>
        <w:rPr>
          <w:rFonts w:ascii="Calibri" w:eastAsia="Calibri" w:hAnsi="Calibri" w:cs="Calibri"/>
          <w:bCs/>
          <w:i/>
          <w:szCs w:val="22"/>
          <w:lang w:eastAsia="en-US"/>
        </w:rPr>
      </w:pPr>
      <w:r w:rsidRPr="008676F9">
        <w:rPr>
          <w:rFonts w:ascii="Calibri" w:hAnsi="Calibri" w:cs="Calibri"/>
          <w:i/>
          <w:szCs w:val="22"/>
          <w:lang w:eastAsia="en-US"/>
        </w:rPr>
        <w:t>Podpora horizontálnej a vertikálnej spolupráce medzi aktérmi krátkeho dodávateľského reťazca pri zriaďovaní logistických platforiem na podporu krátkych dodávateľských reťazcov alebo miestnych trhov.</w:t>
      </w:r>
    </w:p>
    <w:p w:rsidR="008676F9" w:rsidRPr="008676F9" w:rsidRDefault="008676F9" w:rsidP="008676F9">
      <w:pPr>
        <w:rPr>
          <w:rFonts w:ascii="Calibri" w:eastAsia="Calibri" w:hAnsi="Calibri" w:cs="Calibri"/>
          <w:bCs/>
          <w:szCs w:val="22"/>
          <w:u w:val="single"/>
          <w:lang w:eastAsia="en-US"/>
        </w:rPr>
      </w:pPr>
    </w:p>
    <w:p w:rsidR="008676F9" w:rsidRPr="008676F9" w:rsidRDefault="008676F9" w:rsidP="008676F9">
      <w:pPr>
        <w:rPr>
          <w:rFonts w:ascii="Calibri" w:eastAsia="Calibri" w:hAnsi="Calibri" w:cs="Calibri"/>
          <w:szCs w:val="22"/>
          <w:u w:val="single"/>
          <w:lang w:eastAsia="en-US"/>
        </w:rPr>
      </w:pPr>
      <w:r w:rsidRPr="008676F9">
        <w:rPr>
          <w:rFonts w:ascii="Calibri" w:eastAsia="Calibri" w:hAnsi="Calibri" w:cs="Calibri"/>
          <w:szCs w:val="22"/>
          <w:u w:val="single"/>
          <w:lang w:eastAsia="en-US"/>
        </w:rPr>
        <w:t>Opis operácie:</w:t>
      </w:r>
    </w:p>
    <w:p w:rsidR="008676F9" w:rsidRPr="008676F9" w:rsidRDefault="008676F9" w:rsidP="008676F9">
      <w:pPr>
        <w:rPr>
          <w:rFonts w:ascii="Calibri" w:eastAsia="Calibri" w:hAnsi="Calibri" w:cs="Calibri"/>
          <w:szCs w:val="22"/>
          <w:lang w:eastAsia="en-US"/>
        </w:rPr>
      </w:pPr>
      <w:r w:rsidRPr="008676F9">
        <w:rPr>
          <w:rFonts w:ascii="Calibri" w:eastAsia="Calibri" w:hAnsi="Calibri" w:cs="Calibri"/>
          <w:szCs w:val="22"/>
          <w:lang w:eastAsia="en-US"/>
        </w:rPr>
        <w:t xml:space="preserve">Podpora pri zriaďovaní </w:t>
      </w:r>
      <w:r w:rsidR="008056AC">
        <w:rPr>
          <w:rFonts w:ascii="Calibri" w:eastAsia="Calibri" w:hAnsi="Calibri" w:cs="Calibri"/>
          <w:szCs w:val="22"/>
          <w:lang w:eastAsia="en-US"/>
        </w:rPr>
        <w:t xml:space="preserve">a prevádzkovaní </w:t>
      </w:r>
      <w:r w:rsidRPr="008676F9">
        <w:rPr>
          <w:rFonts w:ascii="Calibri" w:eastAsia="Calibri" w:hAnsi="Calibri" w:cs="Calibri"/>
          <w:szCs w:val="22"/>
          <w:lang w:eastAsia="en-US"/>
        </w:rPr>
        <w:t xml:space="preserve">logistických platforiem, ktoré </w:t>
      </w:r>
      <w:r w:rsidRPr="008676F9">
        <w:rPr>
          <w:rFonts w:ascii="Calibri" w:hAnsi="Calibri" w:cs="Arial"/>
          <w:szCs w:val="22"/>
        </w:rPr>
        <w:t xml:space="preserve">umožnia prístup aktérom dodávateľského reťazca a zintenzívnia </w:t>
      </w:r>
      <w:r w:rsidRPr="008676F9">
        <w:rPr>
          <w:rFonts w:ascii="Calibri" w:hAnsi="Calibri"/>
          <w:szCs w:val="22"/>
        </w:rPr>
        <w:t>činnosti horizontálnej a vertikálnej spolupráce, ktoré pokryjú všetko od vývoja produktu, získavania, výroby, dopravy,</w:t>
      </w:r>
      <w:r w:rsidR="008056AC">
        <w:rPr>
          <w:rFonts w:ascii="Calibri" w:hAnsi="Calibri"/>
          <w:szCs w:val="22"/>
        </w:rPr>
        <w:t xml:space="preserve"> logistiky</w:t>
      </w:r>
      <w:r w:rsidRPr="008676F9">
        <w:rPr>
          <w:rFonts w:ascii="Calibri" w:hAnsi="Calibri"/>
          <w:szCs w:val="22"/>
        </w:rPr>
        <w:t xml:space="preserve"> k informačným systémom potrebn</w:t>
      </w:r>
      <w:r w:rsidR="008056AC">
        <w:rPr>
          <w:rFonts w:ascii="Calibri" w:hAnsi="Calibri"/>
          <w:szCs w:val="22"/>
        </w:rPr>
        <w:t>ým</w:t>
      </w:r>
      <w:r w:rsidRPr="008676F9">
        <w:rPr>
          <w:rFonts w:ascii="Calibri" w:hAnsi="Calibri"/>
          <w:szCs w:val="22"/>
        </w:rPr>
        <w:t xml:space="preserve"> pre koordináciu týchto činností až k predaju produktu</w:t>
      </w:r>
      <w:r w:rsidR="008056AC">
        <w:rPr>
          <w:rFonts w:ascii="Calibri" w:hAnsi="Calibri"/>
          <w:szCs w:val="22"/>
        </w:rPr>
        <w:t xml:space="preserve"> a jeho marketingu</w:t>
      </w:r>
      <w:r w:rsidRPr="008676F9">
        <w:rPr>
          <w:rFonts w:ascii="Calibri" w:hAnsi="Calibri"/>
          <w:szCs w:val="22"/>
        </w:rPr>
        <w:t>.</w:t>
      </w:r>
    </w:p>
    <w:p w:rsidR="008676F9" w:rsidRPr="008676F9" w:rsidRDefault="008676F9" w:rsidP="008676F9">
      <w:pPr>
        <w:rPr>
          <w:rFonts w:ascii="Calibri" w:eastAsia="Calibri" w:hAnsi="Calibri" w:cs="Calibri"/>
          <w:bCs/>
          <w:szCs w:val="22"/>
          <w:u w:val="single"/>
          <w:lang w:eastAsia="en-US"/>
        </w:rPr>
      </w:pPr>
    </w:p>
    <w:p w:rsidR="008676F9" w:rsidRPr="008676F9" w:rsidRDefault="008676F9" w:rsidP="008676F9">
      <w:pPr>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Typ podpory:</w:t>
      </w:r>
    </w:p>
    <w:p w:rsidR="008676F9" w:rsidRPr="008676F9" w:rsidRDefault="008676F9" w:rsidP="008676F9">
      <w:pPr>
        <w:rPr>
          <w:rFonts w:ascii="Calibri" w:eastAsia="Calibri" w:hAnsi="Calibri" w:cs="Calibri"/>
          <w:bCs/>
          <w:szCs w:val="22"/>
          <w:lang w:eastAsia="en-US"/>
        </w:rPr>
      </w:pPr>
      <w:r w:rsidRPr="008676F9">
        <w:rPr>
          <w:rFonts w:ascii="Calibri" w:eastAsia="Calibri" w:hAnsi="Calibri" w:cs="Calibri"/>
          <w:bCs/>
          <w:szCs w:val="22"/>
          <w:lang w:eastAsia="en-US"/>
        </w:rPr>
        <w:t>Investičná, nenávratný finančný príspevok</w:t>
      </w:r>
      <w:r w:rsidR="00437817">
        <w:rPr>
          <w:rFonts w:ascii="Calibri" w:eastAsia="Calibri" w:hAnsi="Calibri" w:cs="Calibri"/>
          <w:bCs/>
          <w:szCs w:val="22"/>
          <w:lang w:eastAsia="en-US"/>
        </w:rPr>
        <w:t>,</w:t>
      </w:r>
      <w:r w:rsidR="006017E9" w:rsidRPr="006017E9">
        <w:rPr>
          <w:rFonts w:ascii="Calibri" w:eastAsia="Calibri" w:hAnsi="Calibri" w:cs="Calibri"/>
          <w:bCs/>
          <w:szCs w:val="22"/>
          <w:lang w:eastAsia="en-US"/>
        </w:rPr>
        <w:t xml:space="preserve"> </w:t>
      </w:r>
      <w:r w:rsidR="006017E9" w:rsidRPr="008676F9">
        <w:rPr>
          <w:rFonts w:ascii="Calibri" w:eastAsia="Calibri" w:hAnsi="Calibri" w:cs="Calibri"/>
          <w:bCs/>
          <w:szCs w:val="22"/>
          <w:lang w:eastAsia="en-US"/>
        </w:rPr>
        <w:t>možnosť poskytnutia zálohovej platby do max. 50% oprávnených výdavkov</w:t>
      </w:r>
      <w:r w:rsidR="006017E9">
        <w:rPr>
          <w:rFonts w:ascii="Calibri" w:eastAsia="Calibri" w:hAnsi="Calibri" w:cs="Calibri"/>
          <w:bCs/>
          <w:szCs w:val="22"/>
          <w:lang w:eastAsia="en-US"/>
        </w:rPr>
        <w:t xml:space="preserve">, </w:t>
      </w:r>
      <w:r w:rsidR="00437817">
        <w:rPr>
          <w:rFonts w:ascii="Calibri" w:eastAsia="Calibri" w:hAnsi="Calibri" w:cs="Calibri"/>
          <w:bCs/>
          <w:szCs w:val="22"/>
          <w:lang w:eastAsia="en-US"/>
        </w:rPr>
        <w:t>refundačné/paušálne platby</w:t>
      </w:r>
      <w:r w:rsidRPr="008676F9">
        <w:rPr>
          <w:rFonts w:ascii="Calibri" w:eastAsia="Calibri" w:hAnsi="Calibri" w:cs="Calibri"/>
          <w:bCs/>
          <w:szCs w:val="22"/>
          <w:lang w:eastAsia="en-US"/>
        </w:rPr>
        <w:t>.</w:t>
      </w:r>
    </w:p>
    <w:p w:rsidR="008676F9" w:rsidRPr="008676F9" w:rsidRDefault="008676F9" w:rsidP="008676F9">
      <w:pPr>
        <w:rPr>
          <w:rFonts w:ascii="Calibri" w:eastAsia="Calibri" w:hAnsi="Calibri" w:cs="Calibri"/>
          <w:bCs/>
          <w:szCs w:val="22"/>
          <w:u w:val="single"/>
          <w:lang w:eastAsia="en-US"/>
        </w:rPr>
      </w:pPr>
    </w:p>
    <w:p w:rsidR="008676F9" w:rsidRPr="008676F9" w:rsidRDefault="008676F9" w:rsidP="008676F9">
      <w:pPr>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Súvislosť s inou legislatívou:</w:t>
      </w:r>
    </w:p>
    <w:p w:rsidR="008676F9" w:rsidRPr="008676F9" w:rsidRDefault="008676F9" w:rsidP="00955DA4">
      <w:pPr>
        <w:numPr>
          <w:ilvl w:val="0"/>
          <w:numId w:val="247"/>
        </w:numPr>
        <w:tabs>
          <w:tab w:val="left" w:pos="708"/>
        </w:tabs>
        <w:suppressAutoHyphens/>
        <w:spacing w:after="200" w:line="276" w:lineRule="auto"/>
        <w:contextualSpacing/>
        <w:rPr>
          <w:rFonts w:ascii="Calibri" w:hAnsi="Calibri" w:cs="Calibri"/>
          <w:bCs/>
          <w:szCs w:val="22"/>
          <w:lang w:eastAsia="en-US"/>
        </w:rPr>
      </w:pPr>
      <w:r w:rsidRPr="008676F9">
        <w:rPr>
          <w:rFonts w:ascii="Calibri" w:hAnsi="Calibri" w:cs="Calibri"/>
          <w:szCs w:val="22"/>
        </w:rPr>
        <w:t>zákon č. 152/1995 Z. z. o potravinách.</w:t>
      </w:r>
    </w:p>
    <w:p w:rsidR="008676F9" w:rsidRPr="008676F9" w:rsidRDefault="008676F9" w:rsidP="008676F9">
      <w:pPr>
        <w:rPr>
          <w:rFonts w:ascii="Calibri" w:eastAsia="Calibri" w:hAnsi="Calibri" w:cs="Calibri"/>
          <w:bCs/>
          <w:szCs w:val="22"/>
          <w:u w:val="single"/>
          <w:lang w:eastAsia="en-US"/>
        </w:rPr>
      </w:pPr>
    </w:p>
    <w:p w:rsidR="008676F9" w:rsidRPr="008676F9" w:rsidRDefault="008676F9" w:rsidP="008676F9">
      <w:pPr>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Prijímateľ podpory:</w:t>
      </w:r>
    </w:p>
    <w:p w:rsidR="008676F9" w:rsidRPr="008676F9" w:rsidRDefault="008676F9" w:rsidP="008676F9">
      <w:pPr>
        <w:autoSpaceDE w:val="0"/>
        <w:autoSpaceDN w:val="0"/>
        <w:adjustRightInd w:val="0"/>
        <w:spacing w:after="120"/>
        <w:rPr>
          <w:rFonts w:ascii="Calibri" w:eastAsia="Calibri" w:hAnsi="Calibri" w:cs="Calibri"/>
          <w:szCs w:val="22"/>
          <w:lang w:eastAsia="en-US"/>
        </w:rPr>
      </w:pPr>
      <w:r w:rsidRPr="008676F9">
        <w:rPr>
          <w:rFonts w:ascii="Calibri" w:eastAsia="Calibri" w:hAnsi="Calibri" w:cs="Calibri"/>
          <w:szCs w:val="22"/>
          <w:lang w:eastAsia="en-US"/>
        </w:rPr>
        <w:t>Najmenej dva subjekty, ktorých spolupráca je medzi rôznymi aktérmi v poľnohospodárstve, potravinovom reťazci a rozvoji vidieka na území EÚ a medzi inými aktérmi, ktorí prispievajú k splneniu cieľov a priorít politiky rozvoja vidieka.</w:t>
      </w:r>
    </w:p>
    <w:p w:rsidR="008676F9" w:rsidRPr="008676F9" w:rsidRDefault="008676F9" w:rsidP="008676F9">
      <w:pPr>
        <w:autoSpaceDE w:val="0"/>
        <w:autoSpaceDN w:val="0"/>
        <w:adjustRightInd w:val="0"/>
        <w:rPr>
          <w:rFonts w:ascii="Calibri" w:eastAsia="Calibri" w:hAnsi="Calibri" w:cs="Calibri"/>
          <w:szCs w:val="22"/>
          <w:lang w:eastAsia="en-US"/>
        </w:rPr>
      </w:pPr>
    </w:p>
    <w:p w:rsidR="008676F9" w:rsidRPr="008676F9" w:rsidRDefault="008676F9" w:rsidP="008676F9">
      <w:pPr>
        <w:autoSpaceDE w:val="0"/>
        <w:autoSpaceDN w:val="0"/>
        <w:adjustRightInd w:val="0"/>
        <w:rPr>
          <w:rFonts w:ascii="Calibri" w:eastAsia="Calibri" w:hAnsi="Calibri" w:cs="Calibri"/>
          <w:bCs/>
          <w:szCs w:val="22"/>
          <w:u w:val="single"/>
          <w:lang w:eastAsia="en-US"/>
        </w:rPr>
      </w:pPr>
      <w:r w:rsidRPr="008676F9">
        <w:rPr>
          <w:rFonts w:ascii="Calibri" w:eastAsia="Calibri" w:hAnsi="Calibri" w:cs="Calibri"/>
          <w:szCs w:val="22"/>
          <w:lang w:eastAsia="en-US"/>
        </w:rPr>
        <w:t xml:space="preserve"> </w:t>
      </w:r>
      <w:r w:rsidRPr="008676F9">
        <w:rPr>
          <w:rFonts w:ascii="Calibri" w:eastAsia="Calibri" w:hAnsi="Calibri" w:cs="Calibri"/>
          <w:bCs/>
          <w:szCs w:val="22"/>
          <w:u w:val="single"/>
          <w:lang w:eastAsia="en-US"/>
        </w:rPr>
        <w:t>Oprávnené náklady:</w:t>
      </w:r>
    </w:p>
    <w:p w:rsidR="008676F9" w:rsidRPr="008676F9" w:rsidRDefault="008676F9" w:rsidP="008676F9">
      <w:pPr>
        <w:autoSpaceDE w:val="0"/>
        <w:autoSpaceDN w:val="0"/>
        <w:adjustRightInd w:val="0"/>
        <w:rPr>
          <w:rFonts w:ascii="Calibri" w:eastAsia="Calibri" w:hAnsi="Calibri" w:cs="Calibri"/>
          <w:bCs/>
          <w:szCs w:val="22"/>
          <w:lang w:eastAsia="en-US"/>
        </w:rPr>
      </w:pPr>
      <w:r w:rsidRPr="008676F9">
        <w:rPr>
          <w:rFonts w:ascii="Calibri" w:eastAsia="Calibri" w:hAnsi="Calibri" w:cs="Calibri"/>
          <w:bCs/>
          <w:szCs w:val="22"/>
          <w:lang w:eastAsia="en-US"/>
        </w:rPr>
        <w:t>Na podporu v rámci  danej operácie  sú oprávnené tieto náklady:</w:t>
      </w:r>
    </w:p>
    <w:p w:rsidR="008676F9" w:rsidRPr="008676F9" w:rsidRDefault="008676F9" w:rsidP="00426524">
      <w:pPr>
        <w:autoSpaceDE w:val="0"/>
        <w:autoSpaceDN w:val="0"/>
        <w:adjustRightInd w:val="0"/>
        <w:spacing w:after="120"/>
        <w:ind w:left="284" w:hanging="284"/>
        <w:rPr>
          <w:rFonts w:ascii="Calibri" w:eastAsia="Calibri" w:hAnsi="Calibri" w:cs="Calibri"/>
          <w:bCs/>
          <w:szCs w:val="22"/>
          <w:lang w:eastAsia="en-US"/>
        </w:rPr>
      </w:pPr>
      <w:r w:rsidRPr="008676F9">
        <w:rPr>
          <w:rFonts w:ascii="Calibri" w:eastAsia="Calibri" w:hAnsi="Calibri" w:cs="Calibri"/>
          <w:bCs/>
          <w:szCs w:val="22"/>
          <w:lang w:eastAsia="en-US"/>
        </w:rPr>
        <w:t>a)</w:t>
      </w:r>
      <w:r w:rsidRPr="008676F9">
        <w:rPr>
          <w:rFonts w:ascii="Calibri" w:eastAsia="Calibri" w:hAnsi="Calibri" w:cs="Calibri"/>
          <w:bCs/>
          <w:szCs w:val="22"/>
          <w:lang w:eastAsia="en-US"/>
        </w:rPr>
        <w:tab/>
        <w:t>náklady na štúdie alebo plány týkajúce sa príslušnej oblasti, realizačné štúdie, vypracovanie podnikateľského plánu alebo rovnocenného nástroja  alebo inej stratégie miestneho rozvoja ;</w:t>
      </w:r>
    </w:p>
    <w:p w:rsidR="008676F9" w:rsidRPr="008676F9" w:rsidRDefault="008676F9" w:rsidP="00426524">
      <w:pPr>
        <w:autoSpaceDE w:val="0"/>
        <w:autoSpaceDN w:val="0"/>
        <w:adjustRightInd w:val="0"/>
        <w:spacing w:after="120"/>
        <w:ind w:left="284" w:hanging="284"/>
        <w:rPr>
          <w:rFonts w:ascii="Calibri" w:eastAsia="Calibri" w:hAnsi="Calibri" w:cs="Calibri"/>
          <w:bCs/>
          <w:szCs w:val="22"/>
          <w:lang w:eastAsia="en-US"/>
        </w:rPr>
      </w:pPr>
      <w:r w:rsidRPr="008676F9">
        <w:rPr>
          <w:rFonts w:ascii="Calibri" w:eastAsia="Calibri" w:hAnsi="Calibri" w:cs="Calibri"/>
          <w:bCs/>
          <w:szCs w:val="22"/>
          <w:lang w:eastAsia="en-US"/>
        </w:rPr>
        <w:t>b)</w:t>
      </w:r>
      <w:r w:rsidRPr="008676F9">
        <w:rPr>
          <w:rFonts w:ascii="Calibri" w:eastAsia="Calibri" w:hAnsi="Calibri" w:cs="Calibri"/>
          <w:bCs/>
          <w:szCs w:val="22"/>
          <w:lang w:eastAsia="en-US"/>
        </w:rPr>
        <w:tab/>
        <w:t xml:space="preserve">náklady na oživenie príslušnej logistickej platformy resp. krátkeho dodávateľského reťazca alebo </w:t>
      </w:r>
      <w:r w:rsidR="00117051" w:rsidRPr="008676F9">
        <w:rPr>
          <w:rFonts w:ascii="Calibri" w:eastAsia="Calibri" w:hAnsi="Calibri" w:cs="Calibri"/>
          <w:bCs/>
          <w:szCs w:val="22"/>
          <w:lang w:eastAsia="en-US"/>
        </w:rPr>
        <w:t>miestneho</w:t>
      </w:r>
      <w:r w:rsidRPr="008676F9">
        <w:rPr>
          <w:rFonts w:ascii="Calibri" w:eastAsia="Calibri" w:hAnsi="Calibri" w:cs="Calibri"/>
          <w:bCs/>
          <w:szCs w:val="22"/>
          <w:lang w:eastAsia="en-US"/>
        </w:rPr>
        <w:t xml:space="preserve"> trhu s cieľom zabezpečiť uskutočniteľnosť projektu; náklady na výskum a vývoj s tým spojený, náklady na príslušné vzorky, merania a testovania s tým spojené</w:t>
      </w:r>
    </w:p>
    <w:p w:rsidR="008676F9" w:rsidRPr="008676F9" w:rsidRDefault="008676F9" w:rsidP="00426524">
      <w:pPr>
        <w:autoSpaceDE w:val="0"/>
        <w:autoSpaceDN w:val="0"/>
        <w:adjustRightInd w:val="0"/>
        <w:spacing w:after="120"/>
        <w:ind w:left="284" w:hanging="284"/>
        <w:rPr>
          <w:rFonts w:ascii="Calibri" w:eastAsia="Calibri" w:hAnsi="Calibri" w:cs="Calibri"/>
          <w:bCs/>
          <w:szCs w:val="22"/>
          <w:lang w:eastAsia="en-US"/>
        </w:rPr>
      </w:pPr>
      <w:r w:rsidRPr="008676F9">
        <w:rPr>
          <w:rFonts w:ascii="Calibri" w:eastAsia="Calibri" w:hAnsi="Calibri" w:cs="Calibri"/>
          <w:bCs/>
          <w:szCs w:val="22"/>
          <w:lang w:eastAsia="en-US"/>
        </w:rPr>
        <w:t>c)</w:t>
      </w:r>
      <w:r w:rsidRPr="008676F9">
        <w:rPr>
          <w:rFonts w:ascii="Calibri" w:eastAsia="Calibri" w:hAnsi="Calibri" w:cs="Calibri"/>
          <w:bCs/>
          <w:szCs w:val="22"/>
          <w:lang w:eastAsia="en-US"/>
        </w:rPr>
        <w:tab/>
        <w:t>prevádzkové náklady na  uskutočnenie  podnikateľského plánu, štúdie, prieskumu,  alebo spolupráce; vrátane priamych a nepriamych personálnych nákladov pri realizácii logistických platforiem, krátkych dodávateľských reťazcov alebo  miestnych trhov, nákladov na prenájom resp. služby spojené s realizáciou logistických platforiem, krátkych dodávateľských reťazcov alebo miestnych trhov</w:t>
      </w:r>
    </w:p>
    <w:p w:rsidR="008676F9" w:rsidRPr="008676F9" w:rsidRDefault="008676F9" w:rsidP="00426524">
      <w:pPr>
        <w:autoSpaceDE w:val="0"/>
        <w:autoSpaceDN w:val="0"/>
        <w:adjustRightInd w:val="0"/>
        <w:spacing w:after="120"/>
        <w:ind w:left="284" w:hanging="284"/>
        <w:rPr>
          <w:rFonts w:ascii="Calibri" w:eastAsia="Calibri" w:hAnsi="Calibri" w:cs="Calibri"/>
          <w:bCs/>
          <w:szCs w:val="22"/>
          <w:lang w:eastAsia="en-US"/>
        </w:rPr>
      </w:pPr>
      <w:r w:rsidRPr="008676F9">
        <w:rPr>
          <w:rFonts w:ascii="Calibri" w:eastAsia="Calibri" w:hAnsi="Calibri" w:cs="Calibri"/>
          <w:bCs/>
          <w:szCs w:val="22"/>
          <w:lang w:eastAsia="en-US"/>
        </w:rPr>
        <w:t>d)</w:t>
      </w:r>
      <w:r w:rsidRPr="008676F9">
        <w:rPr>
          <w:rFonts w:ascii="Calibri" w:eastAsia="Calibri" w:hAnsi="Calibri" w:cs="Calibri"/>
          <w:bCs/>
          <w:szCs w:val="22"/>
          <w:lang w:eastAsia="en-US"/>
        </w:rPr>
        <w:tab/>
        <w:t>priame náklady na konkrétne projekty spojené s vykonávaním podnikateľského plánu alebo inej stratégie miestneho rozvoja, alebo na iné činnosti zamerané na inovácie, vrátane testovania</w:t>
      </w:r>
      <w:r w:rsidR="008056AC">
        <w:rPr>
          <w:rFonts w:ascii="Calibri" w:eastAsia="Calibri" w:hAnsi="Calibri" w:cs="Calibri"/>
          <w:bCs/>
          <w:szCs w:val="22"/>
          <w:lang w:eastAsia="en-US"/>
        </w:rPr>
        <w:t>, zaškolenia, podpory nábehu a príslušných investičných nákladov</w:t>
      </w:r>
      <w:r w:rsidRPr="008676F9">
        <w:rPr>
          <w:rFonts w:ascii="Calibri" w:eastAsia="Calibri" w:hAnsi="Calibri" w:cs="Calibri"/>
          <w:bCs/>
          <w:szCs w:val="22"/>
          <w:lang w:eastAsia="en-US"/>
        </w:rPr>
        <w:t>;</w:t>
      </w:r>
    </w:p>
    <w:p w:rsidR="008676F9" w:rsidRPr="008676F9" w:rsidRDefault="008676F9" w:rsidP="008676F9">
      <w:pPr>
        <w:autoSpaceDE w:val="0"/>
        <w:autoSpaceDN w:val="0"/>
        <w:adjustRightInd w:val="0"/>
        <w:ind w:left="284" w:hanging="284"/>
        <w:rPr>
          <w:rFonts w:ascii="Calibri" w:eastAsia="Calibri" w:hAnsi="Calibri" w:cs="Calibri"/>
          <w:bCs/>
          <w:szCs w:val="22"/>
          <w:lang w:eastAsia="en-US"/>
        </w:rPr>
      </w:pPr>
      <w:r w:rsidRPr="008676F9">
        <w:rPr>
          <w:rFonts w:ascii="Calibri" w:eastAsia="Calibri" w:hAnsi="Calibri" w:cs="Calibri"/>
          <w:bCs/>
          <w:szCs w:val="22"/>
          <w:lang w:eastAsia="en-US"/>
        </w:rPr>
        <w:t>e)</w:t>
      </w:r>
      <w:r w:rsidRPr="008676F9">
        <w:rPr>
          <w:rFonts w:ascii="Calibri" w:eastAsia="Calibri" w:hAnsi="Calibri" w:cs="Calibri"/>
          <w:bCs/>
          <w:szCs w:val="22"/>
          <w:lang w:eastAsia="en-US"/>
        </w:rPr>
        <w:tab/>
        <w:t xml:space="preserve"> náklady </w:t>
      </w:r>
      <w:r w:rsidR="008056AC">
        <w:rPr>
          <w:rFonts w:ascii="Calibri" w:eastAsia="Calibri" w:hAnsi="Calibri" w:cs="Calibri"/>
          <w:bCs/>
          <w:szCs w:val="22"/>
          <w:lang w:eastAsia="en-US"/>
        </w:rPr>
        <w:t xml:space="preserve">na riadenie projektu, </w:t>
      </w:r>
      <w:r w:rsidRPr="008676F9">
        <w:rPr>
          <w:rFonts w:ascii="Calibri" w:eastAsia="Calibri" w:hAnsi="Calibri" w:cs="Calibri"/>
          <w:bCs/>
          <w:szCs w:val="22"/>
          <w:lang w:eastAsia="en-US"/>
        </w:rPr>
        <w:t>na propagačné činnosti a marketing v spojitosti s vytvorením logistických platforiem, podporou krátkych dodávateľských reťazcov alebo miestnych trhov</w:t>
      </w:r>
    </w:p>
    <w:p w:rsidR="008676F9" w:rsidRPr="008676F9" w:rsidRDefault="008676F9" w:rsidP="008676F9">
      <w:pPr>
        <w:rPr>
          <w:rFonts w:ascii="Calibri" w:eastAsia="Calibri" w:hAnsi="Calibri" w:cs="Calibri"/>
          <w:bCs/>
          <w:szCs w:val="22"/>
          <w:u w:val="single"/>
          <w:lang w:eastAsia="en-US"/>
        </w:rPr>
      </w:pPr>
    </w:p>
    <w:p w:rsidR="008676F9" w:rsidRPr="008676F9" w:rsidRDefault="008676F9" w:rsidP="008676F9">
      <w:pPr>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Princípy nastavenia výberových kritérií:</w:t>
      </w:r>
    </w:p>
    <w:p w:rsidR="008676F9" w:rsidRPr="008676F9" w:rsidRDefault="008676F9" w:rsidP="00955DA4">
      <w:pPr>
        <w:numPr>
          <w:ilvl w:val="0"/>
          <w:numId w:val="243"/>
        </w:numPr>
        <w:tabs>
          <w:tab w:val="left" w:pos="708"/>
        </w:tabs>
        <w:suppressAutoHyphens/>
        <w:spacing w:after="200" w:line="100" w:lineRule="atLeast"/>
        <w:contextualSpacing/>
        <w:rPr>
          <w:rFonts w:ascii="Calibri" w:hAnsi="Calibri"/>
          <w:szCs w:val="22"/>
        </w:rPr>
      </w:pPr>
      <w:r w:rsidRPr="008676F9">
        <w:rPr>
          <w:rFonts w:ascii="Calibri" w:hAnsi="Calibri"/>
          <w:szCs w:val="22"/>
        </w:rPr>
        <w:t>Riešenie  komplexných projektov</w:t>
      </w:r>
      <w:r w:rsidRPr="008676F9">
        <w:rPr>
          <w:rFonts w:ascii="Calibri" w:hAnsi="Calibri"/>
          <w:szCs w:val="22"/>
          <w:lang w:val="en-US"/>
        </w:rPr>
        <w:t>;</w:t>
      </w:r>
    </w:p>
    <w:p w:rsidR="008676F9" w:rsidRPr="008676F9" w:rsidRDefault="008676F9" w:rsidP="00955DA4">
      <w:pPr>
        <w:numPr>
          <w:ilvl w:val="0"/>
          <w:numId w:val="243"/>
        </w:numPr>
        <w:tabs>
          <w:tab w:val="left" w:pos="708"/>
        </w:tabs>
        <w:suppressAutoHyphens/>
        <w:spacing w:after="200" w:line="100" w:lineRule="atLeast"/>
        <w:contextualSpacing/>
        <w:rPr>
          <w:rFonts w:ascii="Calibri" w:hAnsi="Calibri"/>
          <w:szCs w:val="22"/>
        </w:rPr>
      </w:pPr>
      <w:r w:rsidRPr="008676F9">
        <w:rPr>
          <w:rFonts w:ascii="Calibri" w:hAnsi="Calibri"/>
          <w:szCs w:val="22"/>
        </w:rPr>
        <w:t>Prepojenosť s ostatnými opatreniami v rámci PRV;</w:t>
      </w:r>
    </w:p>
    <w:p w:rsidR="008676F9" w:rsidRPr="008676F9" w:rsidRDefault="008676F9" w:rsidP="00955DA4">
      <w:pPr>
        <w:numPr>
          <w:ilvl w:val="0"/>
          <w:numId w:val="243"/>
        </w:numPr>
        <w:tabs>
          <w:tab w:val="left" w:pos="708"/>
        </w:tabs>
        <w:suppressAutoHyphens/>
        <w:spacing w:after="200" w:line="100" w:lineRule="atLeast"/>
        <w:contextualSpacing/>
        <w:rPr>
          <w:rFonts w:ascii="Calibri" w:hAnsi="Calibri"/>
          <w:szCs w:val="22"/>
        </w:rPr>
      </w:pPr>
      <w:r w:rsidRPr="008676F9">
        <w:rPr>
          <w:rFonts w:ascii="Calibri" w:hAnsi="Calibri"/>
          <w:szCs w:val="22"/>
        </w:rPr>
        <w:t>Riešenie integrovaných projektov;</w:t>
      </w:r>
    </w:p>
    <w:p w:rsidR="008676F9" w:rsidRPr="008676F9" w:rsidRDefault="008676F9" w:rsidP="00955DA4">
      <w:pPr>
        <w:numPr>
          <w:ilvl w:val="0"/>
          <w:numId w:val="243"/>
        </w:numPr>
        <w:tabs>
          <w:tab w:val="left" w:pos="708"/>
        </w:tabs>
        <w:suppressAutoHyphens/>
        <w:spacing w:after="200" w:line="100" w:lineRule="atLeast"/>
        <w:contextualSpacing/>
        <w:rPr>
          <w:rFonts w:ascii="Calibri" w:hAnsi="Calibri"/>
          <w:szCs w:val="22"/>
        </w:rPr>
      </w:pPr>
      <w:r w:rsidRPr="008676F9">
        <w:rPr>
          <w:rFonts w:ascii="Calibri" w:hAnsi="Calibri"/>
          <w:szCs w:val="22"/>
        </w:rPr>
        <w:t>Riešenie spolupráce vyššieho počtu partnerov</w:t>
      </w:r>
      <w:r w:rsidRPr="008676F9">
        <w:rPr>
          <w:rFonts w:ascii="Calibri" w:hAnsi="Calibri" w:cs="Calibri"/>
          <w:bCs/>
          <w:szCs w:val="22"/>
          <w:lang w:eastAsia="en-US"/>
        </w:rPr>
        <w:t>;</w:t>
      </w:r>
    </w:p>
    <w:p w:rsidR="008676F9" w:rsidRPr="008676F9" w:rsidRDefault="008676F9" w:rsidP="00955DA4">
      <w:pPr>
        <w:numPr>
          <w:ilvl w:val="0"/>
          <w:numId w:val="243"/>
        </w:numPr>
        <w:tabs>
          <w:tab w:val="left" w:pos="708"/>
        </w:tabs>
        <w:suppressAutoHyphens/>
        <w:spacing w:after="200" w:line="100" w:lineRule="atLeast"/>
        <w:contextualSpacing/>
        <w:rPr>
          <w:rFonts w:ascii="Calibri" w:hAnsi="Calibri"/>
          <w:szCs w:val="22"/>
        </w:rPr>
      </w:pPr>
      <w:r w:rsidRPr="008676F9">
        <w:rPr>
          <w:rFonts w:ascii="Calibri" w:hAnsi="Calibri" w:cs="Calibri"/>
          <w:bCs/>
          <w:szCs w:val="22"/>
          <w:lang w:eastAsia="en-US"/>
        </w:rPr>
        <w:t>Princíp efektívnosti</w:t>
      </w:r>
      <w:r w:rsidR="008056AC">
        <w:rPr>
          <w:rFonts w:ascii="Calibri" w:hAnsi="Calibri" w:cs="Calibri"/>
          <w:bCs/>
          <w:szCs w:val="22"/>
          <w:lang w:eastAsia="en-US"/>
        </w:rPr>
        <w:t>, hospodárnosti, kvality</w:t>
      </w:r>
      <w:r w:rsidRPr="008676F9">
        <w:rPr>
          <w:rFonts w:ascii="Calibri" w:hAnsi="Calibri" w:cs="Calibri"/>
          <w:bCs/>
          <w:szCs w:val="22"/>
          <w:lang w:eastAsia="en-US"/>
        </w:rPr>
        <w:t>;</w:t>
      </w:r>
    </w:p>
    <w:p w:rsidR="008676F9" w:rsidRPr="008676F9" w:rsidRDefault="008676F9" w:rsidP="00955DA4">
      <w:pPr>
        <w:numPr>
          <w:ilvl w:val="0"/>
          <w:numId w:val="243"/>
        </w:numPr>
        <w:tabs>
          <w:tab w:val="left" w:pos="708"/>
        </w:tabs>
        <w:suppressAutoHyphens/>
        <w:spacing w:after="200" w:line="100" w:lineRule="atLeast"/>
        <w:contextualSpacing/>
        <w:rPr>
          <w:rFonts w:ascii="Calibri" w:hAnsi="Calibri"/>
          <w:szCs w:val="22"/>
        </w:rPr>
      </w:pPr>
      <w:r w:rsidRPr="008676F9">
        <w:rPr>
          <w:rFonts w:ascii="Calibri" w:hAnsi="Calibri" w:cs="Calibri"/>
          <w:bCs/>
          <w:szCs w:val="22"/>
          <w:lang w:eastAsia="en-US"/>
        </w:rPr>
        <w:t>Princíp udržateľnosti projektov, tak aby bol naplnený cieľ opatrenia;</w:t>
      </w:r>
    </w:p>
    <w:p w:rsidR="008676F9" w:rsidRPr="008676F9" w:rsidRDefault="008676F9" w:rsidP="00955DA4">
      <w:pPr>
        <w:numPr>
          <w:ilvl w:val="0"/>
          <w:numId w:val="243"/>
        </w:numPr>
        <w:tabs>
          <w:tab w:val="left" w:pos="708"/>
        </w:tabs>
        <w:suppressAutoHyphens/>
        <w:spacing w:after="200" w:line="100" w:lineRule="atLeast"/>
        <w:contextualSpacing/>
        <w:rPr>
          <w:rFonts w:ascii="Calibri" w:hAnsi="Calibri"/>
          <w:szCs w:val="22"/>
        </w:rPr>
      </w:pPr>
      <w:r w:rsidRPr="008676F9">
        <w:rPr>
          <w:rFonts w:ascii="Calibri" w:hAnsi="Calibri" w:cs="Calibri"/>
          <w:bCs/>
          <w:szCs w:val="22"/>
          <w:lang w:eastAsia="en-US"/>
        </w:rPr>
        <w:t>Územný princíp.</w:t>
      </w:r>
    </w:p>
    <w:p w:rsidR="008676F9" w:rsidRPr="008676F9" w:rsidRDefault="008676F9" w:rsidP="008676F9">
      <w:pPr>
        <w:rPr>
          <w:rFonts w:ascii="Calibri" w:eastAsia="Calibri" w:hAnsi="Calibri" w:cs="Calibri"/>
          <w:bCs/>
          <w:szCs w:val="22"/>
          <w:u w:val="single"/>
          <w:lang w:eastAsia="en-US"/>
        </w:rPr>
      </w:pPr>
    </w:p>
    <w:p w:rsidR="008676F9" w:rsidRPr="008676F9" w:rsidRDefault="008676F9" w:rsidP="008676F9">
      <w:pPr>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Výška a intenzita podpory:</w:t>
      </w:r>
    </w:p>
    <w:p w:rsidR="008676F9" w:rsidRPr="008676F9" w:rsidRDefault="008676F9" w:rsidP="008676F9">
      <w:pPr>
        <w:rPr>
          <w:rFonts w:ascii="Calibri" w:eastAsia="Calibri" w:hAnsi="Calibri" w:cs="Calibri"/>
          <w:szCs w:val="22"/>
          <w:lang w:eastAsia="en-US"/>
        </w:rPr>
      </w:pPr>
      <w:r w:rsidRPr="008676F9">
        <w:rPr>
          <w:rFonts w:ascii="Calibri" w:eastAsia="Calibri" w:hAnsi="Calibri" w:cs="Calibri"/>
          <w:szCs w:val="22"/>
          <w:lang w:eastAsia="en-US"/>
        </w:rPr>
        <w:t>Maximálna výška podpory z celkových oprávnených výdavkov:</w:t>
      </w:r>
    </w:p>
    <w:p w:rsidR="008676F9" w:rsidRPr="008676F9" w:rsidRDefault="008676F9" w:rsidP="001F5283">
      <w:pPr>
        <w:numPr>
          <w:ilvl w:val="0"/>
          <w:numId w:val="59"/>
        </w:numPr>
        <w:tabs>
          <w:tab w:val="num" w:pos="426"/>
        </w:tabs>
        <w:spacing w:after="200" w:line="276" w:lineRule="auto"/>
        <w:ind w:left="426" w:hanging="426"/>
        <w:rPr>
          <w:rFonts w:ascii="Calibri" w:eastAsia="Calibri" w:hAnsi="Calibri" w:cs="Calibri"/>
          <w:szCs w:val="22"/>
          <w:lang w:eastAsia="en-US"/>
        </w:rPr>
      </w:pPr>
      <w:r w:rsidRPr="008676F9">
        <w:rPr>
          <w:rFonts w:ascii="Calibri" w:eastAsia="Calibri" w:hAnsi="Calibri" w:cs="Calibri"/>
          <w:szCs w:val="22"/>
          <w:lang w:eastAsia="en-US"/>
        </w:rPr>
        <w:t xml:space="preserve">100 % </w:t>
      </w:r>
    </w:p>
    <w:p w:rsidR="008676F9" w:rsidRPr="008676F9" w:rsidRDefault="008676F9" w:rsidP="008676F9">
      <w:pPr>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Ďalšie informácie špecifické pre dané podopatrenie:</w:t>
      </w:r>
    </w:p>
    <w:p w:rsidR="008676F9" w:rsidRPr="008676F9" w:rsidRDefault="008676F9" w:rsidP="008676F9">
      <w:pPr>
        <w:rPr>
          <w:rFonts w:ascii="Calibri" w:eastAsia="Calibri" w:hAnsi="Calibri" w:cs="Calibri"/>
          <w:szCs w:val="22"/>
          <w:lang w:eastAsia="en-US"/>
        </w:rPr>
      </w:pPr>
      <w:r w:rsidRPr="008676F9">
        <w:rPr>
          <w:rFonts w:ascii="Calibri" w:eastAsia="Calibri" w:hAnsi="Calibri" w:cs="Calibri"/>
          <w:szCs w:val="22"/>
          <w:lang w:eastAsia="en-US"/>
        </w:rPr>
        <w:t xml:space="preserve">Cieľom je zabezpečiť strategické riešenia v rámci čo najväčšieho počtu spolupracujúcich subjektov. Zároveň je parciálnym cieľom aj posilniť a podporiť odbytové schopnosti agropotravinárskeho sektora pričom horizontálna a vertikálna spolupráca medzi prvovýrobcami a spracovateľmi, smerujúca ku skráteniu zásobovacieho reťazca by sa mohla významne podieľať na zvýšení predaja slovenských kvalitných agropotravinárskych výrobkov.  </w:t>
      </w:r>
    </w:p>
    <w:p w:rsidR="008056AC" w:rsidRDefault="008056AC" w:rsidP="00F14F63">
      <w:pPr>
        <w:rPr>
          <w:rFonts w:ascii="Calibri" w:eastAsia="Calibri" w:hAnsi="Calibri" w:cs="Calibri"/>
          <w:bCs/>
          <w:szCs w:val="22"/>
          <w:u w:val="single"/>
          <w:lang w:eastAsia="en-US"/>
        </w:rPr>
      </w:pPr>
    </w:p>
    <w:p w:rsidR="008676F9" w:rsidRPr="008676F9" w:rsidRDefault="008676F9" w:rsidP="00F14F63">
      <w:pPr>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Ďalšie informácie:</w:t>
      </w:r>
    </w:p>
    <w:p w:rsidR="008676F9" w:rsidRPr="008676F9" w:rsidRDefault="008676F9" w:rsidP="00317BFF">
      <w:pPr>
        <w:numPr>
          <w:ilvl w:val="3"/>
          <w:numId w:val="29"/>
        </w:numPr>
        <w:autoSpaceDE w:val="0"/>
        <w:autoSpaceDN w:val="0"/>
        <w:adjustRightInd w:val="0"/>
        <w:spacing w:after="120"/>
        <w:ind w:left="425" w:hanging="357"/>
        <w:rPr>
          <w:rFonts w:ascii="Calibri" w:eastAsia="Calibri" w:hAnsi="Calibri" w:cs="Calibri"/>
          <w:szCs w:val="22"/>
          <w:lang w:eastAsia="en-US"/>
        </w:rPr>
      </w:pPr>
      <w:r w:rsidRPr="008676F9">
        <w:rPr>
          <w:rFonts w:ascii="Calibri" w:eastAsia="Calibri" w:hAnsi="Calibri" w:cs="Calibri"/>
          <w:szCs w:val="22"/>
          <w:lang w:eastAsia="en-US"/>
        </w:rPr>
        <w:t>Výsledky operácií vývoja nových výrobkov, postupov, procesov a technológií v sektoroch poľnohospodárstva, potravinárstva a lesného hospodárstva individuálnymi aktérmi sa šíria, tzn. nezostávajú priemyselným tajomstvom.</w:t>
      </w:r>
    </w:p>
    <w:p w:rsidR="008676F9" w:rsidRPr="008676F9" w:rsidRDefault="008676F9" w:rsidP="00317BFF">
      <w:pPr>
        <w:numPr>
          <w:ilvl w:val="3"/>
          <w:numId w:val="29"/>
        </w:numPr>
        <w:autoSpaceDE w:val="0"/>
        <w:autoSpaceDN w:val="0"/>
        <w:adjustRightInd w:val="0"/>
        <w:spacing w:after="120"/>
        <w:ind w:left="425" w:hanging="357"/>
        <w:rPr>
          <w:rFonts w:ascii="Calibri" w:eastAsia="Calibri" w:hAnsi="Calibri" w:cs="Calibri"/>
          <w:szCs w:val="22"/>
          <w:lang w:eastAsia="en-US"/>
        </w:rPr>
      </w:pPr>
      <w:r w:rsidRPr="008676F9">
        <w:rPr>
          <w:rFonts w:ascii="Calibri" w:eastAsia="Calibri" w:hAnsi="Calibri" w:cs="Calibri"/>
          <w:szCs w:val="22"/>
          <w:lang w:eastAsia="en-US"/>
        </w:rPr>
        <w:t>Ak sa realizuje podnikateľský plán, podpora sa viaže prioritne  na náklady spolupráce a na oživenie a realizáciu plánu. Na realizáciu môžu byť zároveň využité prostriedky aj z iných opatrení alebo fondov. V prípade čerpania prostriedkov z Programu rozvoja vidieka SR 2014-2020 v rámci ostatných opatrení, môže byť poskytnutá výška nenávratného finančného príspevku vo výške maximálnej miery   intenzity podpory pre dané opatrenie, prijímateľa, oblasť resp. druh projektu v zmysle prílohy č. 1 nariadenia EK a Rady 1305/2014.</w:t>
      </w:r>
    </w:p>
    <w:p w:rsidR="008676F9" w:rsidRPr="008676F9" w:rsidRDefault="008676F9" w:rsidP="00317BFF">
      <w:pPr>
        <w:numPr>
          <w:ilvl w:val="3"/>
          <w:numId w:val="29"/>
        </w:numPr>
        <w:autoSpaceDE w:val="0"/>
        <w:autoSpaceDN w:val="0"/>
        <w:adjustRightInd w:val="0"/>
        <w:spacing w:after="120"/>
        <w:ind w:left="425" w:hanging="357"/>
        <w:rPr>
          <w:rFonts w:ascii="Calibri" w:eastAsia="Calibri" w:hAnsi="Calibri" w:cs="Calibri"/>
          <w:szCs w:val="22"/>
          <w:lang w:eastAsia="en-US"/>
        </w:rPr>
      </w:pPr>
      <w:r w:rsidRPr="008676F9">
        <w:rPr>
          <w:rFonts w:ascii="Calibri" w:eastAsia="Calibri" w:hAnsi="Calibri" w:cs="Calibri"/>
          <w:szCs w:val="22"/>
          <w:lang w:eastAsia="en-US"/>
        </w:rPr>
        <w:t xml:space="preserve"> Spolupráca medzi aktérmi, ktorí sa nachádzajú v rôznych regiónoch alebo členských štátoch, je tiež oprávnená na podporu.</w:t>
      </w:r>
    </w:p>
    <w:p w:rsidR="008676F9" w:rsidRPr="008676F9" w:rsidRDefault="008676F9" w:rsidP="00317BFF">
      <w:pPr>
        <w:numPr>
          <w:ilvl w:val="3"/>
          <w:numId w:val="29"/>
        </w:numPr>
        <w:autoSpaceDE w:val="0"/>
        <w:autoSpaceDN w:val="0"/>
        <w:adjustRightInd w:val="0"/>
        <w:spacing w:after="120"/>
        <w:ind w:left="425" w:hanging="357"/>
        <w:rPr>
          <w:rFonts w:ascii="Calibri" w:eastAsia="Calibri" w:hAnsi="Calibri" w:cs="Calibri"/>
          <w:szCs w:val="22"/>
          <w:lang w:eastAsia="en-US"/>
        </w:rPr>
      </w:pPr>
      <w:r w:rsidRPr="008676F9">
        <w:rPr>
          <w:rFonts w:ascii="Calibri" w:eastAsia="Calibri" w:hAnsi="Calibri" w:cs="Calibri"/>
          <w:szCs w:val="22"/>
          <w:lang w:eastAsia="en-US"/>
        </w:rPr>
        <w:t>Podpora sa obmedzuje na maximálne obdobie siedmich rokov ak riadiaci orgán neurčí inak.</w:t>
      </w:r>
    </w:p>
    <w:p w:rsidR="008676F9" w:rsidRPr="008676F9" w:rsidRDefault="008676F9" w:rsidP="00317BFF">
      <w:pPr>
        <w:numPr>
          <w:ilvl w:val="3"/>
          <w:numId w:val="29"/>
        </w:numPr>
        <w:autoSpaceDE w:val="0"/>
        <w:autoSpaceDN w:val="0"/>
        <w:adjustRightInd w:val="0"/>
        <w:ind w:left="425" w:hanging="357"/>
        <w:rPr>
          <w:rFonts w:ascii="Calibri" w:eastAsia="Calibri" w:hAnsi="Calibri" w:cs="Calibri"/>
          <w:szCs w:val="22"/>
          <w:lang w:eastAsia="en-US"/>
        </w:rPr>
      </w:pPr>
      <w:r w:rsidRPr="008676F9">
        <w:rPr>
          <w:rFonts w:ascii="Calibri" w:eastAsia="Calibri" w:hAnsi="Calibri" w:cs="Calibri"/>
          <w:szCs w:val="22"/>
          <w:lang w:eastAsia="en-US"/>
        </w:rPr>
        <w:t>Spolupráca v rámci tohto opatrenia sa môže kombinovať s projektmi podporovanými fondmi Únie, inými ako EPFRV na tom istom území.</w:t>
      </w:r>
    </w:p>
    <w:p w:rsidR="008676F9" w:rsidRPr="008676F9" w:rsidRDefault="008676F9" w:rsidP="00F14F63">
      <w:pPr>
        <w:rPr>
          <w:rFonts w:ascii="Calibri" w:eastAsia="Calibri" w:hAnsi="Calibri" w:cs="Calibri"/>
          <w:bCs/>
          <w:szCs w:val="22"/>
          <w:u w:val="single"/>
          <w:lang w:eastAsia="en-US"/>
        </w:rPr>
      </w:pPr>
    </w:p>
    <w:p w:rsidR="003F6575" w:rsidRPr="008676F9" w:rsidRDefault="003F6575" w:rsidP="00F14F63">
      <w:pPr>
        <w:rPr>
          <w:rFonts w:ascii="Calibri" w:hAnsi="Calibri" w:cs="Calibri"/>
          <w:szCs w:val="22"/>
          <w:lang w:eastAsia="en-US"/>
        </w:rPr>
      </w:pPr>
    </w:p>
    <w:p w:rsidR="008676F9" w:rsidRPr="00095683" w:rsidRDefault="008676F9" w:rsidP="00095683">
      <w:pPr>
        <w:shd w:val="clear" w:color="auto" w:fill="EAF1DD"/>
        <w:tabs>
          <w:tab w:val="left" w:pos="6521"/>
        </w:tabs>
        <w:ind w:left="1985" w:hanging="1985"/>
        <w:rPr>
          <w:rFonts w:ascii="Calibri" w:hAnsi="Calibri" w:cs="Calibri"/>
          <w:b/>
          <w:i/>
          <w:sz w:val="24"/>
          <w:lang w:eastAsia="en-US"/>
        </w:rPr>
      </w:pPr>
      <w:r w:rsidRPr="008676F9">
        <w:rPr>
          <w:rFonts w:ascii="Calibri" w:hAnsi="Calibri" w:cs="Calibri"/>
          <w:lang w:eastAsia="en-US"/>
        </w:rPr>
        <w:t>Podopatrenie: 16.8</w:t>
      </w:r>
      <w:r w:rsidRPr="008676F9">
        <w:rPr>
          <w:rFonts w:ascii="Calibri" w:hAnsi="Calibri" w:cs="Calibri"/>
          <w:b/>
          <w:i/>
          <w:lang w:eastAsia="en-US"/>
        </w:rPr>
        <w:t xml:space="preserve"> </w:t>
      </w:r>
      <w:r w:rsidRPr="00095683">
        <w:rPr>
          <w:rFonts w:ascii="Calibri" w:hAnsi="Calibri" w:cs="Calibri"/>
          <w:b/>
          <w:i/>
          <w:sz w:val="24"/>
          <w:lang w:eastAsia="en-US"/>
        </w:rPr>
        <w:t xml:space="preserve">Podpora pre vypracovanie plánov lesného hospodárstva alebo rovnocenných nástrojov </w:t>
      </w:r>
    </w:p>
    <w:p w:rsidR="008676F9" w:rsidRPr="008676F9" w:rsidRDefault="008676F9" w:rsidP="00F14F63">
      <w:pPr>
        <w:shd w:val="clear" w:color="auto" w:fill="FBD4B4"/>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 xml:space="preserve">Názov operácie:  </w:t>
      </w:r>
    </w:p>
    <w:p w:rsidR="008676F9" w:rsidRPr="008676F9" w:rsidRDefault="008676F9" w:rsidP="00F14F63">
      <w:pPr>
        <w:shd w:val="clear" w:color="auto" w:fill="FBD4B4"/>
        <w:rPr>
          <w:rFonts w:ascii="Calibri" w:eastAsia="Calibri" w:hAnsi="Calibri" w:cs="Calibri"/>
          <w:bCs/>
          <w:szCs w:val="22"/>
          <w:u w:val="single"/>
          <w:lang w:eastAsia="en-US"/>
        </w:rPr>
      </w:pPr>
      <w:r w:rsidRPr="008676F9">
        <w:rPr>
          <w:rFonts w:ascii="Calibri" w:eastAsia="Calibri" w:hAnsi="Calibri" w:cs="Calibri"/>
          <w:i/>
          <w:szCs w:val="22"/>
          <w:lang w:eastAsia="en-US"/>
        </w:rPr>
        <w:t>Vypracovanie plánov lesného hospodárstva (program starostlivosti o les) alebo rovnocenných nástrojov medzi rôznymi subjektmi v odvetví lesného hospodárstva</w:t>
      </w:r>
    </w:p>
    <w:p w:rsidR="008676F9" w:rsidRPr="008676F9" w:rsidRDefault="008676F9" w:rsidP="00F14F63">
      <w:pPr>
        <w:rPr>
          <w:rFonts w:ascii="Calibri" w:eastAsia="Calibri" w:hAnsi="Calibri" w:cs="Calibri"/>
          <w:szCs w:val="22"/>
          <w:lang w:eastAsia="en-US"/>
        </w:rPr>
      </w:pPr>
    </w:p>
    <w:p w:rsidR="008676F9" w:rsidRPr="008676F9" w:rsidRDefault="008676F9" w:rsidP="00F14F63">
      <w:pPr>
        <w:rPr>
          <w:rFonts w:ascii="Calibri" w:eastAsia="Calibri" w:hAnsi="Calibri" w:cs="Calibri"/>
          <w:szCs w:val="22"/>
          <w:lang w:eastAsia="en-US"/>
        </w:rPr>
      </w:pPr>
      <w:r w:rsidRPr="008676F9">
        <w:rPr>
          <w:rFonts w:ascii="Calibri" w:eastAsia="Calibri" w:hAnsi="Calibri" w:cs="Calibri"/>
          <w:szCs w:val="22"/>
          <w:u w:val="single"/>
          <w:lang w:eastAsia="en-US"/>
        </w:rPr>
        <w:t>Opis operácie</w:t>
      </w:r>
      <w:r w:rsidRPr="008676F9">
        <w:rPr>
          <w:rFonts w:ascii="Calibri" w:eastAsia="Calibri" w:hAnsi="Calibri" w:cs="Calibri"/>
          <w:szCs w:val="22"/>
          <w:lang w:eastAsia="en-US"/>
        </w:rPr>
        <w:t>:</w:t>
      </w:r>
    </w:p>
    <w:p w:rsidR="008676F9" w:rsidRDefault="008676F9" w:rsidP="00F14F63">
      <w:pPr>
        <w:rPr>
          <w:rFonts w:ascii="Calibri" w:eastAsia="Calibri" w:hAnsi="Calibri" w:cs="Calibri"/>
          <w:szCs w:val="22"/>
          <w:lang w:eastAsia="en-US"/>
        </w:rPr>
      </w:pPr>
      <w:r w:rsidRPr="008676F9">
        <w:rPr>
          <w:rFonts w:ascii="Calibri" w:eastAsia="Calibri" w:hAnsi="Calibri" w:cs="Calibri"/>
          <w:szCs w:val="22"/>
          <w:lang w:eastAsia="en-US"/>
        </w:rPr>
        <w:t>Vypracovanie a využitie plánov lesného hospodárstva je predovšetkým v lesnom hospodárstve na zabezpečenie trvalo udržateľného obhospodarovania lesov. Odborný lesný hospodár riadi obhospodarovanie lesov podľa plánu lesného hospodárstva  a vedie o ich realizácii lesnú hospodársku evidenciu. Údaje programov starostlivosti o lesy a lesnej hospodárskej evidencie budú</w:t>
      </w:r>
      <w:r w:rsidRPr="008676F9">
        <w:rPr>
          <w:rFonts w:ascii="Calibri" w:eastAsia="Calibri" w:hAnsi="Calibri" w:cs="Calibri"/>
          <w:szCs w:val="22"/>
          <w:lang w:eastAsia="en-US"/>
        </w:rPr>
        <w:lastRenderedPageBreak/>
        <w:t xml:space="preserve"> využívané orgánmi štátnej správy lesného hospodárstva pre účely kontroly hospodárenia, štátneho dozoru a ako súhrnné informácie o stave a vývoji lesného fondu pre uskutočňovanie lesníckej politiky,  orgány štátnej správy životného prostredia na čerpanie informácií o stave a vývoji lesného fondu nevyhnutné pre ich činnosť. Využitie týchto údajov je aj v iných oblastiach, ako je ochrana prírody a</w:t>
      </w:r>
      <w:r w:rsidR="007E0523">
        <w:rPr>
          <w:rFonts w:ascii="Calibri" w:eastAsia="Calibri" w:hAnsi="Calibri" w:cs="Calibri"/>
          <w:szCs w:val="22"/>
          <w:lang w:eastAsia="en-US"/>
        </w:rPr>
        <w:t> </w:t>
      </w:r>
      <w:r w:rsidRPr="008676F9">
        <w:rPr>
          <w:rFonts w:ascii="Calibri" w:eastAsia="Calibri" w:hAnsi="Calibri" w:cs="Calibri"/>
          <w:szCs w:val="22"/>
          <w:lang w:eastAsia="en-US"/>
        </w:rPr>
        <w:t>krajiny</w:t>
      </w:r>
      <w:r w:rsidR="007E0523">
        <w:rPr>
          <w:rFonts w:ascii="Calibri" w:eastAsia="Calibri" w:hAnsi="Calibri" w:cs="Calibri"/>
          <w:szCs w:val="22"/>
          <w:lang w:eastAsia="en-US"/>
        </w:rPr>
        <w:t xml:space="preserve"> napr. ochrana pred požiarmi</w:t>
      </w:r>
      <w:r w:rsidRPr="008676F9">
        <w:rPr>
          <w:rFonts w:ascii="Calibri" w:eastAsia="Calibri" w:hAnsi="Calibri" w:cs="Calibri"/>
          <w:szCs w:val="22"/>
          <w:lang w:eastAsia="en-US"/>
        </w:rPr>
        <w:t>, územné plánovanie, krajinné plánovanie, pozemkové úpravy.</w:t>
      </w:r>
    </w:p>
    <w:p w:rsidR="006017E9" w:rsidRDefault="006017E9" w:rsidP="00F14F63">
      <w:pPr>
        <w:rPr>
          <w:rFonts w:ascii="Calibri" w:eastAsia="Calibri" w:hAnsi="Calibri" w:cs="Calibri"/>
          <w:szCs w:val="22"/>
          <w:lang w:eastAsia="en-US"/>
        </w:rPr>
      </w:pPr>
    </w:p>
    <w:p w:rsidR="008676F9" w:rsidRPr="008676F9" w:rsidRDefault="008676F9" w:rsidP="00F14F63">
      <w:pPr>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Typ podpory:</w:t>
      </w:r>
    </w:p>
    <w:p w:rsidR="008676F9" w:rsidRPr="008676F9" w:rsidRDefault="008676F9" w:rsidP="00F14F63">
      <w:pPr>
        <w:rPr>
          <w:rFonts w:ascii="Calibri" w:eastAsia="Calibri" w:hAnsi="Calibri" w:cs="Calibri"/>
          <w:bCs/>
          <w:szCs w:val="22"/>
          <w:lang w:eastAsia="en-US"/>
        </w:rPr>
      </w:pPr>
      <w:r w:rsidRPr="008676F9">
        <w:rPr>
          <w:rFonts w:ascii="Calibri" w:eastAsia="Calibri" w:hAnsi="Calibri" w:cs="Calibri"/>
          <w:bCs/>
          <w:szCs w:val="22"/>
          <w:lang w:eastAsia="en-US"/>
        </w:rPr>
        <w:t>Investičná, nezisková, nenávratný finančný príspevok</w:t>
      </w:r>
      <w:r w:rsidR="00437817">
        <w:rPr>
          <w:rFonts w:ascii="Calibri" w:eastAsia="Calibri" w:hAnsi="Calibri" w:cs="Calibri"/>
          <w:bCs/>
          <w:szCs w:val="22"/>
          <w:lang w:eastAsia="en-US"/>
        </w:rPr>
        <w:t xml:space="preserve">, </w:t>
      </w:r>
      <w:r w:rsidR="006017E9" w:rsidRPr="008676F9">
        <w:rPr>
          <w:rFonts w:ascii="Calibri" w:eastAsia="Calibri" w:hAnsi="Calibri" w:cs="Calibri"/>
          <w:bCs/>
          <w:szCs w:val="22"/>
          <w:lang w:eastAsia="en-US"/>
        </w:rPr>
        <w:t>možnosť poskytnutia zálohovej platby do max. 50% oprávnených výdavkov</w:t>
      </w:r>
      <w:r w:rsidR="006017E9">
        <w:rPr>
          <w:rFonts w:ascii="Calibri" w:eastAsia="Calibri" w:hAnsi="Calibri" w:cs="Calibri"/>
          <w:bCs/>
          <w:szCs w:val="22"/>
          <w:lang w:eastAsia="en-US"/>
        </w:rPr>
        <w:t xml:space="preserve">, </w:t>
      </w:r>
      <w:r w:rsidR="00437817">
        <w:rPr>
          <w:rFonts w:ascii="Calibri" w:eastAsia="Calibri" w:hAnsi="Calibri" w:cs="Calibri"/>
          <w:bCs/>
          <w:szCs w:val="22"/>
          <w:lang w:eastAsia="en-US"/>
        </w:rPr>
        <w:t>refundačné/paušálne platby</w:t>
      </w:r>
      <w:r w:rsidRPr="008676F9">
        <w:rPr>
          <w:rFonts w:ascii="Calibri" w:eastAsia="Calibri" w:hAnsi="Calibri" w:cs="Calibri"/>
          <w:bCs/>
          <w:szCs w:val="22"/>
          <w:lang w:eastAsia="en-US"/>
        </w:rPr>
        <w:t>.</w:t>
      </w:r>
    </w:p>
    <w:p w:rsidR="008676F9" w:rsidRPr="008676F9" w:rsidRDefault="008676F9" w:rsidP="00F14F63">
      <w:pPr>
        <w:rPr>
          <w:rFonts w:ascii="Calibri" w:eastAsia="Calibri" w:hAnsi="Calibri" w:cs="Calibri"/>
          <w:bCs/>
          <w:szCs w:val="22"/>
          <w:u w:val="single"/>
          <w:lang w:eastAsia="en-US"/>
        </w:rPr>
      </w:pPr>
    </w:p>
    <w:p w:rsidR="008676F9" w:rsidRPr="008676F9" w:rsidRDefault="008676F9" w:rsidP="00F14F63">
      <w:pPr>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Súvislosť s inou legislatívou:</w:t>
      </w:r>
    </w:p>
    <w:p w:rsidR="007E0523" w:rsidRPr="007E0523" w:rsidRDefault="008676F9" w:rsidP="00955DA4">
      <w:pPr>
        <w:numPr>
          <w:ilvl w:val="0"/>
          <w:numId w:val="242"/>
        </w:numPr>
        <w:tabs>
          <w:tab w:val="left" w:pos="708"/>
        </w:tabs>
        <w:suppressAutoHyphens/>
        <w:contextualSpacing/>
        <w:rPr>
          <w:rFonts w:ascii="Calibri" w:eastAsia="Calibri" w:hAnsi="Calibri" w:cs="Calibri"/>
          <w:bCs/>
          <w:szCs w:val="22"/>
          <w:u w:val="single"/>
          <w:lang w:eastAsia="en-US"/>
        </w:rPr>
      </w:pPr>
      <w:r w:rsidRPr="008676F9">
        <w:rPr>
          <w:rFonts w:ascii="Calibri" w:hAnsi="Calibri" w:cs="Calibri"/>
          <w:bCs/>
          <w:szCs w:val="22"/>
        </w:rPr>
        <w:t>zákon č. 326/2005 Z. z. o</w:t>
      </w:r>
      <w:r w:rsidR="007E0523">
        <w:rPr>
          <w:rFonts w:ascii="Calibri" w:hAnsi="Calibri" w:cs="Calibri"/>
          <w:bCs/>
          <w:szCs w:val="22"/>
        </w:rPr>
        <w:t> </w:t>
      </w:r>
      <w:r w:rsidRPr="008676F9">
        <w:rPr>
          <w:rFonts w:ascii="Calibri" w:hAnsi="Calibri" w:cs="Calibri"/>
          <w:bCs/>
          <w:szCs w:val="22"/>
        </w:rPr>
        <w:t>lesoch</w:t>
      </w:r>
    </w:p>
    <w:p w:rsidR="008676F9" w:rsidRPr="008676F9" w:rsidRDefault="007E0523" w:rsidP="00955DA4">
      <w:pPr>
        <w:numPr>
          <w:ilvl w:val="0"/>
          <w:numId w:val="242"/>
        </w:numPr>
        <w:tabs>
          <w:tab w:val="left" w:pos="708"/>
        </w:tabs>
        <w:suppressAutoHyphens/>
        <w:contextualSpacing/>
        <w:rPr>
          <w:rFonts w:ascii="Calibri" w:eastAsia="Calibri" w:hAnsi="Calibri" w:cs="Calibri"/>
          <w:bCs/>
          <w:szCs w:val="22"/>
          <w:u w:val="single"/>
          <w:lang w:eastAsia="en-US"/>
        </w:rPr>
      </w:pPr>
      <w:r>
        <w:rPr>
          <w:rFonts w:ascii="Calibri" w:hAnsi="Calibri" w:cs="Calibri"/>
          <w:bCs/>
          <w:szCs w:val="22"/>
        </w:rPr>
        <w:t>zákon č. 543/2002 Z.z. o ochrane prírody a krajiny</w:t>
      </w:r>
      <w:r w:rsidR="008676F9" w:rsidRPr="008676F9">
        <w:rPr>
          <w:rFonts w:ascii="Calibri" w:hAnsi="Calibri" w:cs="Calibri"/>
          <w:bCs/>
          <w:szCs w:val="22"/>
        </w:rPr>
        <w:t>.</w:t>
      </w:r>
    </w:p>
    <w:p w:rsidR="007E0523" w:rsidRPr="008676F9" w:rsidRDefault="007E0523" w:rsidP="00F14F63">
      <w:pPr>
        <w:rPr>
          <w:rFonts w:ascii="Calibri" w:eastAsia="Calibri" w:hAnsi="Calibri" w:cs="Calibri"/>
          <w:bCs/>
          <w:szCs w:val="22"/>
          <w:u w:val="single"/>
          <w:lang w:eastAsia="en-US"/>
        </w:rPr>
      </w:pPr>
    </w:p>
    <w:p w:rsidR="008676F9" w:rsidRPr="008676F9" w:rsidRDefault="008676F9" w:rsidP="00F14F63">
      <w:pPr>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Prijímateľ podpory:</w:t>
      </w:r>
    </w:p>
    <w:p w:rsidR="00117051" w:rsidRDefault="00117051" w:rsidP="00F14F63">
      <w:pPr>
        <w:rPr>
          <w:rFonts w:ascii="Calibri" w:eastAsia="Calibri" w:hAnsi="Calibri" w:cs="Calibri"/>
          <w:bCs/>
          <w:szCs w:val="22"/>
          <w:lang w:eastAsia="en-US"/>
        </w:rPr>
      </w:pPr>
      <w:r w:rsidRPr="00425CA0">
        <w:rPr>
          <w:rFonts w:ascii="Calibri" w:eastAsia="Calibri" w:hAnsi="Calibri" w:cs="Calibri"/>
          <w:bCs/>
          <w:szCs w:val="22"/>
          <w:lang w:eastAsia="en-US"/>
        </w:rPr>
        <w:t>Právnická osoba ako obhospodarovateľ lesa poverená MPRV SR v zmysle zákona č. 326/2005 Z.z. o lesoch zabezpečením vypracovania plánov starostlivosti o les pre všetkých obhospodarovateľov lesa v rámci celého územia SR ako konečných užívateľov projektu v spolupráci s ďalšími obhospodarovateľmi lesa</w:t>
      </w:r>
      <w:r w:rsidR="0095287E">
        <w:rPr>
          <w:rFonts w:ascii="Calibri" w:eastAsia="Calibri" w:hAnsi="Calibri" w:cs="Calibri"/>
          <w:bCs/>
          <w:szCs w:val="22"/>
          <w:lang w:eastAsia="en-US"/>
        </w:rPr>
        <w:t xml:space="preserve"> alebo ostatnými organizáciami v rámci lesného hospodárstva</w:t>
      </w:r>
      <w:r w:rsidR="007E0523">
        <w:rPr>
          <w:rFonts w:ascii="Calibri" w:eastAsia="Calibri" w:hAnsi="Calibri" w:cs="Calibri"/>
          <w:bCs/>
          <w:szCs w:val="22"/>
          <w:lang w:eastAsia="en-US"/>
        </w:rPr>
        <w:t xml:space="preserve"> vrátane vojenských lesov</w:t>
      </w:r>
      <w:r w:rsidRPr="00425CA0">
        <w:rPr>
          <w:rFonts w:ascii="Calibri" w:eastAsia="Calibri" w:hAnsi="Calibri" w:cs="Calibri"/>
          <w:bCs/>
          <w:szCs w:val="22"/>
          <w:lang w:eastAsia="en-US"/>
        </w:rPr>
        <w:t>.</w:t>
      </w:r>
      <w:r w:rsidRPr="00117051">
        <w:rPr>
          <w:rFonts w:ascii="Calibri" w:eastAsia="Calibri" w:hAnsi="Calibri" w:cs="Calibri"/>
          <w:bCs/>
          <w:szCs w:val="22"/>
          <w:lang w:eastAsia="en-US"/>
        </w:rPr>
        <w:t xml:space="preserve">  </w:t>
      </w:r>
    </w:p>
    <w:p w:rsidR="008676F9" w:rsidRPr="008676F9" w:rsidRDefault="008676F9" w:rsidP="00F14F63">
      <w:pPr>
        <w:rPr>
          <w:rFonts w:ascii="Calibri" w:eastAsia="Calibri" w:hAnsi="Calibri" w:cs="Calibri"/>
          <w:bCs/>
          <w:szCs w:val="22"/>
          <w:lang w:eastAsia="en-US"/>
        </w:rPr>
      </w:pPr>
    </w:p>
    <w:p w:rsidR="008676F9" w:rsidRPr="008676F9" w:rsidRDefault="008676F9" w:rsidP="00F14F63">
      <w:pPr>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Oprávnené náklady:</w:t>
      </w:r>
    </w:p>
    <w:p w:rsidR="00F7077F" w:rsidRDefault="008676F9" w:rsidP="00CE203B">
      <w:pPr>
        <w:pStyle w:val="Odsekzoznamu"/>
        <w:numPr>
          <w:ilvl w:val="6"/>
          <w:numId w:val="269"/>
        </w:numPr>
        <w:ind w:left="284" w:hanging="284"/>
        <w:rPr>
          <w:rFonts w:ascii="Calibri" w:eastAsia="Calibri" w:hAnsi="Calibri" w:cs="Calibri"/>
          <w:bCs/>
          <w:szCs w:val="22"/>
          <w:lang w:eastAsia="en-US"/>
        </w:rPr>
      </w:pPr>
      <w:r w:rsidRPr="008056AC">
        <w:rPr>
          <w:rFonts w:ascii="Calibri" w:eastAsia="Calibri" w:hAnsi="Calibri" w:cs="Calibri"/>
          <w:bCs/>
          <w:szCs w:val="22"/>
          <w:lang w:eastAsia="en-US"/>
        </w:rPr>
        <w:t xml:space="preserve">Náklady na </w:t>
      </w:r>
      <w:r w:rsidR="008056AC">
        <w:rPr>
          <w:rFonts w:ascii="Calibri" w:eastAsia="Calibri" w:hAnsi="Calibri" w:cs="Calibri"/>
          <w:bCs/>
          <w:szCs w:val="22"/>
          <w:lang w:eastAsia="en-US"/>
        </w:rPr>
        <w:t xml:space="preserve">zabezpečenie </w:t>
      </w:r>
      <w:r w:rsidRPr="008056AC">
        <w:rPr>
          <w:rFonts w:ascii="Calibri" w:eastAsia="Calibri" w:hAnsi="Calibri" w:cs="Calibri"/>
          <w:bCs/>
          <w:szCs w:val="22"/>
          <w:lang w:eastAsia="en-US"/>
        </w:rPr>
        <w:t>vyhotoveni</w:t>
      </w:r>
      <w:r w:rsidR="008056AC">
        <w:rPr>
          <w:rFonts w:ascii="Calibri" w:eastAsia="Calibri" w:hAnsi="Calibri" w:cs="Calibri"/>
          <w:bCs/>
          <w:szCs w:val="22"/>
          <w:lang w:eastAsia="en-US"/>
        </w:rPr>
        <w:t>a</w:t>
      </w:r>
      <w:r w:rsidRPr="008056AC">
        <w:rPr>
          <w:rFonts w:ascii="Calibri" w:eastAsia="Calibri" w:hAnsi="Calibri" w:cs="Calibri"/>
          <w:bCs/>
          <w:szCs w:val="22"/>
          <w:lang w:eastAsia="en-US"/>
        </w:rPr>
        <w:t xml:space="preserve"> a registrovanie plánov starostlivosti o</w:t>
      </w:r>
      <w:r w:rsidR="00F7077F">
        <w:rPr>
          <w:rFonts w:ascii="Calibri" w:eastAsia="Calibri" w:hAnsi="Calibri" w:cs="Calibri"/>
          <w:bCs/>
          <w:szCs w:val="22"/>
          <w:lang w:eastAsia="en-US"/>
        </w:rPr>
        <w:t> </w:t>
      </w:r>
      <w:r w:rsidRPr="008056AC">
        <w:rPr>
          <w:rFonts w:ascii="Calibri" w:eastAsia="Calibri" w:hAnsi="Calibri" w:cs="Calibri"/>
          <w:bCs/>
          <w:szCs w:val="22"/>
          <w:lang w:eastAsia="en-US"/>
        </w:rPr>
        <w:t>les</w:t>
      </w:r>
      <w:r w:rsidR="00F7077F">
        <w:rPr>
          <w:rFonts w:ascii="Calibri" w:eastAsia="Calibri" w:hAnsi="Calibri" w:cs="Calibri"/>
          <w:bCs/>
          <w:szCs w:val="22"/>
          <w:lang w:eastAsia="en-US"/>
        </w:rPr>
        <w:t>;</w:t>
      </w:r>
    </w:p>
    <w:p w:rsidR="00F7077F" w:rsidRDefault="00F7077F" w:rsidP="00CE203B">
      <w:pPr>
        <w:pStyle w:val="Odsekzoznamu"/>
        <w:numPr>
          <w:ilvl w:val="6"/>
          <w:numId w:val="269"/>
        </w:numPr>
        <w:ind w:left="284" w:hanging="284"/>
        <w:rPr>
          <w:rFonts w:ascii="Calibri" w:eastAsia="Calibri" w:hAnsi="Calibri" w:cs="Calibri"/>
          <w:bCs/>
          <w:szCs w:val="22"/>
          <w:lang w:eastAsia="en-US"/>
        </w:rPr>
      </w:pPr>
      <w:r>
        <w:rPr>
          <w:rFonts w:ascii="Calibri" w:eastAsia="Calibri" w:hAnsi="Calibri" w:cs="Calibri"/>
          <w:bCs/>
          <w:szCs w:val="22"/>
          <w:lang w:eastAsia="en-US"/>
        </w:rPr>
        <w:t>náklady na štúdie;</w:t>
      </w:r>
    </w:p>
    <w:p w:rsidR="008676F9" w:rsidRPr="008056AC" w:rsidRDefault="00F7077F" w:rsidP="00CE203B">
      <w:pPr>
        <w:pStyle w:val="Odsekzoznamu"/>
        <w:numPr>
          <w:ilvl w:val="6"/>
          <w:numId w:val="269"/>
        </w:numPr>
        <w:ind w:left="284" w:hanging="284"/>
        <w:rPr>
          <w:rFonts w:ascii="Calibri" w:eastAsia="Calibri" w:hAnsi="Calibri" w:cs="Calibri"/>
          <w:bCs/>
          <w:szCs w:val="22"/>
          <w:lang w:eastAsia="en-US"/>
        </w:rPr>
      </w:pPr>
      <w:r>
        <w:rPr>
          <w:rFonts w:ascii="Calibri" w:eastAsia="Calibri" w:hAnsi="Calibri" w:cs="Calibri"/>
          <w:bCs/>
          <w:szCs w:val="22"/>
          <w:lang w:eastAsia="en-US"/>
        </w:rPr>
        <w:t>náklady na riadenie projektu a propagáciu</w:t>
      </w:r>
      <w:r w:rsidR="008676F9" w:rsidRPr="008056AC">
        <w:rPr>
          <w:rFonts w:ascii="Calibri" w:eastAsia="Calibri" w:hAnsi="Calibri" w:cs="Calibri"/>
          <w:bCs/>
          <w:szCs w:val="22"/>
          <w:lang w:eastAsia="en-US"/>
        </w:rPr>
        <w:t>.</w:t>
      </w:r>
    </w:p>
    <w:p w:rsidR="008676F9" w:rsidRPr="008676F9" w:rsidRDefault="008676F9" w:rsidP="00F14F63">
      <w:pPr>
        <w:rPr>
          <w:rFonts w:ascii="Calibri" w:eastAsia="Calibri" w:hAnsi="Calibri" w:cs="Calibri"/>
          <w:bCs/>
          <w:szCs w:val="22"/>
          <w:lang w:eastAsia="en-US"/>
        </w:rPr>
      </w:pPr>
    </w:p>
    <w:p w:rsidR="008676F9" w:rsidRPr="008676F9" w:rsidRDefault="008676F9" w:rsidP="00F14F63">
      <w:pPr>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Kritériá oprávnenosti:</w:t>
      </w:r>
    </w:p>
    <w:p w:rsidR="008676F9" w:rsidRPr="008676F9" w:rsidRDefault="008676F9" w:rsidP="00F14F63">
      <w:pPr>
        <w:autoSpaceDE w:val="0"/>
        <w:autoSpaceDN w:val="0"/>
        <w:adjustRightInd w:val="0"/>
        <w:rPr>
          <w:rFonts w:ascii="Calibri" w:eastAsia="Calibri" w:hAnsi="Calibri" w:cs="Calibri"/>
          <w:szCs w:val="22"/>
          <w:lang w:eastAsia="en-US"/>
        </w:rPr>
      </w:pPr>
      <w:r w:rsidRPr="008676F9">
        <w:rPr>
          <w:rFonts w:ascii="Calibri" w:hAnsi="Calibri" w:cs="Calibri"/>
          <w:bCs/>
          <w:szCs w:val="22"/>
          <w:lang w:eastAsia="en-US"/>
        </w:rPr>
        <w:t xml:space="preserve">Oprávnené sú všetky činnosti, ktoré  zabezpečia, </w:t>
      </w:r>
      <w:r w:rsidRPr="008676F9">
        <w:rPr>
          <w:rFonts w:ascii="Calibri" w:eastAsia="Calibri" w:hAnsi="Calibri" w:cs="Calibri"/>
          <w:szCs w:val="22"/>
          <w:lang w:eastAsia="en-US"/>
        </w:rPr>
        <w:t>aby koneční užívatelia  pomoci mohli využívať a šíriť výsledky projektu. Výsledky sa zverejnia v súlade s vnútroštátnymi predpismi.</w:t>
      </w:r>
    </w:p>
    <w:p w:rsidR="00F7077F" w:rsidRDefault="00F7077F" w:rsidP="00F14F63">
      <w:pPr>
        <w:rPr>
          <w:rFonts w:ascii="Calibri" w:eastAsia="Calibri" w:hAnsi="Calibri" w:cs="Calibri"/>
          <w:bCs/>
          <w:szCs w:val="22"/>
          <w:u w:val="single"/>
          <w:lang w:eastAsia="en-US"/>
        </w:rPr>
      </w:pPr>
    </w:p>
    <w:p w:rsidR="008676F9" w:rsidRPr="008676F9" w:rsidRDefault="008676F9" w:rsidP="00F14F63">
      <w:pPr>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Princípy nastavenia výberových kritérií:</w:t>
      </w:r>
    </w:p>
    <w:p w:rsidR="008676F9" w:rsidRPr="008676F9" w:rsidRDefault="008676F9" w:rsidP="00955DA4">
      <w:pPr>
        <w:numPr>
          <w:ilvl w:val="0"/>
          <w:numId w:val="246"/>
        </w:numPr>
        <w:tabs>
          <w:tab w:val="left" w:pos="708"/>
        </w:tabs>
        <w:suppressAutoHyphens/>
        <w:contextualSpacing/>
        <w:rPr>
          <w:rFonts w:ascii="Calibri" w:eastAsia="Calibri" w:hAnsi="Calibri" w:cs="Calibri"/>
          <w:bCs/>
          <w:szCs w:val="22"/>
          <w:lang w:eastAsia="en-US"/>
        </w:rPr>
      </w:pPr>
      <w:r w:rsidRPr="008676F9">
        <w:rPr>
          <w:rFonts w:ascii="Calibri" w:eastAsia="Calibri" w:hAnsi="Calibri" w:cs="Calibri"/>
          <w:bCs/>
          <w:szCs w:val="22"/>
          <w:lang w:eastAsia="en-US"/>
        </w:rPr>
        <w:t>Pokrytie čo najväčšieho zalesneného územia v rámci SR</w:t>
      </w:r>
      <w:r w:rsidRPr="008676F9">
        <w:rPr>
          <w:rFonts w:ascii="Calibri" w:eastAsia="Calibri" w:hAnsi="Calibri" w:cs="Calibri"/>
          <w:bCs/>
          <w:szCs w:val="22"/>
          <w:lang w:val="en-US" w:eastAsia="en-US"/>
        </w:rPr>
        <w:t>;</w:t>
      </w:r>
      <w:r w:rsidRPr="008676F9">
        <w:rPr>
          <w:rFonts w:ascii="Calibri" w:eastAsia="Calibri" w:hAnsi="Calibri" w:cs="Calibri"/>
          <w:bCs/>
          <w:szCs w:val="22"/>
          <w:lang w:eastAsia="en-US"/>
        </w:rPr>
        <w:t xml:space="preserve"> </w:t>
      </w:r>
    </w:p>
    <w:p w:rsidR="008676F9" w:rsidRPr="008676F9" w:rsidRDefault="008676F9" w:rsidP="00955DA4">
      <w:pPr>
        <w:numPr>
          <w:ilvl w:val="0"/>
          <w:numId w:val="246"/>
        </w:numPr>
        <w:tabs>
          <w:tab w:val="left" w:pos="708"/>
        </w:tabs>
        <w:suppressAutoHyphens/>
        <w:contextualSpacing/>
        <w:rPr>
          <w:rFonts w:ascii="Calibri" w:eastAsia="Calibri" w:hAnsi="Calibri" w:cs="Calibri"/>
          <w:bCs/>
          <w:szCs w:val="22"/>
          <w:lang w:eastAsia="en-US"/>
        </w:rPr>
      </w:pPr>
      <w:r w:rsidRPr="008676F9">
        <w:rPr>
          <w:rFonts w:ascii="Calibri" w:eastAsia="Calibri" w:hAnsi="Calibri" w:cs="Calibri"/>
          <w:bCs/>
          <w:szCs w:val="22"/>
          <w:lang w:eastAsia="en-US"/>
        </w:rPr>
        <w:t>Princíp efektívnosti</w:t>
      </w:r>
      <w:r w:rsidR="00F7077F">
        <w:rPr>
          <w:rFonts w:ascii="Calibri" w:eastAsia="Calibri" w:hAnsi="Calibri" w:cs="Calibri"/>
          <w:bCs/>
          <w:szCs w:val="22"/>
          <w:lang w:eastAsia="en-US"/>
        </w:rPr>
        <w:t>, komplexnosti, kvality</w:t>
      </w:r>
      <w:r w:rsidRPr="008676F9">
        <w:rPr>
          <w:rFonts w:ascii="Calibri" w:eastAsia="Calibri" w:hAnsi="Calibri" w:cs="Calibri"/>
          <w:bCs/>
          <w:szCs w:val="22"/>
          <w:lang w:eastAsia="en-US"/>
        </w:rPr>
        <w:t>;</w:t>
      </w:r>
    </w:p>
    <w:p w:rsidR="008676F9" w:rsidRPr="008676F9" w:rsidRDefault="008676F9" w:rsidP="00955DA4">
      <w:pPr>
        <w:numPr>
          <w:ilvl w:val="0"/>
          <w:numId w:val="246"/>
        </w:numPr>
        <w:tabs>
          <w:tab w:val="left" w:pos="708"/>
        </w:tabs>
        <w:suppressAutoHyphens/>
        <w:contextualSpacing/>
        <w:rPr>
          <w:rFonts w:ascii="Calibri" w:eastAsia="Calibri" w:hAnsi="Calibri" w:cs="Calibri"/>
          <w:bCs/>
          <w:szCs w:val="22"/>
          <w:lang w:eastAsia="en-US"/>
        </w:rPr>
      </w:pPr>
      <w:r w:rsidRPr="008676F9">
        <w:rPr>
          <w:rFonts w:ascii="Calibri" w:eastAsia="Calibri" w:hAnsi="Calibri" w:cs="Calibri"/>
          <w:bCs/>
          <w:szCs w:val="22"/>
          <w:lang w:eastAsia="en-US"/>
        </w:rPr>
        <w:t xml:space="preserve">Kontinuita projektu počas celého programovacieho obdobia; </w:t>
      </w:r>
    </w:p>
    <w:p w:rsidR="008676F9" w:rsidRPr="008676F9" w:rsidRDefault="008676F9" w:rsidP="00955DA4">
      <w:pPr>
        <w:numPr>
          <w:ilvl w:val="0"/>
          <w:numId w:val="246"/>
        </w:numPr>
        <w:tabs>
          <w:tab w:val="left" w:pos="708"/>
        </w:tabs>
        <w:suppressAutoHyphens/>
        <w:contextualSpacing/>
        <w:rPr>
          <w:rFonts w:ascii="Calibri" w:eastAsia="Calibri" w:hAnsi="Calibri" w:cs="Calibri"/>
          <w:bCs/>
          <w:szCs w:val="22"/>
          <w:lang w:eastAsia="en-US"/>
        </w:rPr>
      </w:pPr>
      <w:r w:rsidRPr="008676F9">
        <w:rPr>
          <w:rFonts w:ascii="Calibri" w:eastAsia="Calibri" w:hAnsi="Calibri" w:cs="Calibri"/>
          <w:bCs/>
          <w:szCs w:val="22"/>
          <w:lang w:eastAsia="en-US"/>
        </w:rPr>
        <w:t>Pokrytie všetkých súčastí plánov starostlivosti o les.</w:t>
      </w:r>
    </w:p>
    <w:p w:rsidR="008676F9" w:rsidRPr="008676F9" w:rsidRDefault="008676F9" w:rsidP="00F14F63">
      <w:pPr>
        <w:tabs>
          <w:tab w:val="left" w:pos="708"/>
        </w:tabs>
        <w:suppressAutoHyphens/>
        <w:ind w:left="720"/>
        <w:contextualSpacing/>
        <w:rPr>
          <w:rFonts w:ascii="Calibri" w:eastAsia="Calibri" w:hAnsi="Calibri" w:cs="Calibri"/>
          <w:bCs/>
          <w:szCs w:val="22"/>
          <w:lang w:eastAsia="en-US"/>
        </w:rPr>
      </w:pPr>
    </w:p>
    <w:p w:rsidR="008676F9" w:rsidRPr="008676F9" w:rsidRDefault="008676F9" w:rsidP="00F14F63">
      <w:pPr>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Výška a miera podpory:</w:t>
      </w:r>
    </w:p>
    <w:p w:rsidR="008676F9" w:rsidRPr="008676F9" w:rsidRDefault="008676F9" w:rsidP="00F14F63">
      <w:pPr>
        <w:rPr>
          <w:rFonts w:ascii="Calibri" w:eastAsia="Calibri" w:hAnsi="Calibri" w:cs="Calibri"/>
          <w:szCs w:val="22"/>
          <w:lang w:eastAsia="en-US"/>
        </w:rPr>
      </w:pPr>
      <w:r w:rsidRPr="008676F9">
        <w:rPr>
          <w:rFonts w:ascii="Calibri" w:eastAsia="Calibri" w:hAnsi="Calibri" w:cs="Calibri"/>
          <w:szCs w:val="22"/>
          <w:lang w:eastAsia="en-US"/>
        </w:rPr>
        <w:t>Maximálna výška podpory z celkových oprávnených výdavkov:</w:t>
      </w:r>
    </w:p>
    <w:p w:rsidR="008676F9" w:rsidRPr="008676F9" w:rsidRDefault="008676F9" w:rsidP="001F5283">
      <w:pPr>
        <w:numPr>
          <w:ilvl w:val="0"/>
          <w:numId w:val="59"/>
        </w:numPr>
        <w:tabs>
          <w:tab w:val="num" w:pos="426"/>
        </w:tabs>
        <w:ind w:left="426" w:hanging="426"/>
        <w:rPr>
          <w:rFonts w:ascii="Calibri" w:eastAsia="Calibri" w:hAnsi="Calibri" w:cs="Calibri"/>
          <w:szCs w:val="22"/>
          <w:lang w:eastAsia="en-US"/>
        </w:rPr>
      </w:pPr>
      <w:r w:rsidRPr="008676F9">
        <w:rPr>
          <w:rFonts w:ascii="Calibri" w:eastAsia="Calibri" w:hAnsi="Calibri" w:cs="Calibri"/>
          <w:szCs w:val="22"/>
          <w:lang w:eastAsia="en-US"/>
        </w:rPr>
        <w:t>100 %.</w:t>
      </w:r>
    </w:p>
    <w:p w:rsidR="008676F9" w:rsidRPr="008676F9" w:rsidRDefault="008676F9" w:rsidP="00F14F63">
      <w:pPr>
        <w:rPr>
          <w:rFonts w:ascii="Calibri" w:eastAsia="Calibri" w:hAnsi="Calibri" w:cs="Calibri"/>
          <w:szCs w:val="22"/>
          <w:lang w:eastAsia="en-US"/>
        </w:rPr>
      </w:pPr>
    </w:p>
    <w:p w:rsidR="008676F9" w:rsidRPr="008676F9" w:rsidRDefault="008676F9" w:rsidP="00F14F63">
      <w:pPr>
        <w:tabs>
          <w:tab w:val="left" w:pos="5910"/>
        </w:tabs>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Ďalšie informácie špecifické pre danú operáciu:</w:t>
      </w:r>
    </w:p>
    <w:p w:rsidR="008676F9" w:rsidRPr="00810F84" w:rsidRDefault="008676F9" w:rsidP="00CE203B">
      <w:pPr>
        <w:numPr>
          <w:ilvl w:val="0"/>
          <w:numId w:val="271"/>
        </w:numPr>
        <w:tabs>
          <w:tab w:val="left" w:pos="708"/>
          <w:tab w:val="left" w:pos="5910"/>
        </w:tabs>
        <w:suppressAutoHyphens/>
        <w:contextualSpacing/>
        <w:rPr>
          <w:rFonts w:ascii="Calibri" w:eastAsia="Calibri" w:hAnsi="Calibri" w:cs="Calibri"/>
          <w:bCs/>
          <w:szCs w:val="22"/>
          <w:lang w:eastAsia="en-US"/>
        </w:rPr>
      </w:pPr>
      <w:r w:rsidRPr="008676F9">
        <w:rPr>
          <w:rFonts w:ascii="Calibri" w:eastAsia="Calibri" w:hAnsi="Calibri" w:cs="Calibri"/>
          <w:bCs/>
          <w:szCs w:val="22"/>
          <w:lang w:eastAsia="en-US"/>
        </w:rPr>
        <w:t xml:space="preserve">Spolupráca medzi aktérmi, ktorí sa nachádzajú v rôznych regiónoch alebo členských štátoch, je </w:t>
      </w:r>
      <w:r w:rsidRPr="00810F84">
        <w:rPr>
          <w:rFonts w:ascii="Calibri" w:eastAsia="Calibri" w:hAnsi="Calibri" w:cs="Calibri"/>
          <w:bCs/>
          <w:szCs w:val="22"/>
          <w:lang w:eastAsia="en-US"/>
        </w:rPr>
        <w:t>tiež oprávnená na podporu.</w:t>
      </w:r>
    </w:p>
    <w:p w:rsidR="008676F9" w:rsidRPr="00810F84" w:rsidRDefault="008676F9" w:rsidP="00CE203B">
      <w:pPr>
        <w:numPr>
          <w:ilvl w:val="0"/>
          <w:numId w:val="271"/>
        </w:numPr>
        <w:rPr>
          <w:rFonts w:ascii="Calibri" w:eastAsia="Calibri" w:hAnsi="Calibri" w:cs="Calibri"/>
          <w:szCs w:val="22"/>
          <w:lang w:eastAsia="en-US"/>
        </w:rPr>
      </w:pPr>
      <w:r w:rsidRPr="00810F84">
        <w:rPr>
          <w:rFonts w:ascii="Calibri" w:eastAsia="Calibri" w:hAnsi="Calibri" w:cs="Calibri"/>
          <w:bCs/>
          <w:szCs w:val="22"/>
          <w:lang w:eastAsia="en-US"/>
        </w:rPr>
        <w:t>Podpora sa obmedzuje na maximálne obdobie siedmich rokov</w:t>
      </w:r>
      <w:r w:rsidR="00F7077F">
        <w:rPr>
          <w:rFonts w:ascii="Calibri" w:eastAsia="Calibri" w:hAnsi="Calibri" w:cs="Calibri"/>
          <w:bCs/>
          <w:szCs w:val="22"/>
          <w:lang w:eastAsia="en-US"/>
        </w:rPr>
        <w:t>,</w:t>
      </w:r>
      <w:r w:rsidRPr="00810F84">
        <w:rPr>
          <w:rFonts w:ascii="Calibri" w:eastAsia="Calibri" w:hAnsi="Calibri" w:cs="Calibri"/>
          <w:bCs/>
          <w:szCs w:val="22"/>
          <w:lang w:eastAsia="en-US"/>
        </w:rPr>
        <w:t xml:space="preserve"> ak riadiaci orgán neurčí inak.</w:t>
      </w:r>
      <w:r w:rsidRPr="00810F84">
        <w:rPr>
          <w:rFonts w:ascii="Calibri" w:eastAsia="Calibri" w:hAnsi="Calibri" w:cs="Calibri"/>
          <w:szCs w:val="22"/>
          <w:lang w:eastAsia="en-US"/>
        </w:rPr>
        <w:t xml:space="preserve"> </w:t>
      </w:r>
    </w:p>
    <w:p w:rsidR="008676F9" w:rsidRPr="008676F9" w:rsidRDefault="008676F9" w:rsidP="00F14F63">
      <w:pPr>
        <w:ind w:left="426"/>
        <w:rPr>
          <w:rFonts w:ascii="Calibri" w:eastAsia="Calibri" w:hAnsi="Calibri" w:cs="Calibri"/>
          <w:szCs w:val="22"/>
          <w:lang w:eastAsia="en-US"/>
        </w:rPr>
      </w:pPr>
    </w:p>
    <w:p w:rsidR="008676F9" w:rsidRPr="008676F9" w:rsidRDefault="008676F9" w:rsidP="00F14F63">
      <w:pPr>
        <w:ind w:left="851" w:hanging="851"/>
        <w:rPr>
          <w:rFonts w:ascii="Calibri" w:eastAsia="Calibri" w:hAnsi="Calibri" w:cs="Calibri"/>
          <w:b/>
          <w:bCs/>
          <w:szCs w:val="22"/>
          <w:lang w:eastAsia="en-US"/>
        </w:rPr>
      </w:pPr>
      <w:r w:rsidRPr="008676F9">
        <w:rPr>
          <w:rFonts w:ascii="Calibri" w:eastAsia="Calibri" w:hAnsi="Calibri" w:cs="Calibri"/>
          <w:b/>
          <w:bCs/>
          <w:szCs w:val="22"/>
          <w:lang w:eastAsia="en-US"/>
        </w:rPr>
        <w:t>8.2.1</w:t>
      </w:r>
      <w:r w:rsidR="00B30F00">
        <w:rPr>
          <w:rFonts w:ascii="Calibri" w:eastAsia="Calibri" w:hAnsi="Calibri" w:cs="Calibri"/>
          <w:b/>
          <w:bCs/>
          <w:szCs w:val="22"/>
          <w:lang w:eastAsia="en-US"/>
        </w:rPr>
        <w:t>5</w:t>
      </w:r>
      <w:r w:rsidRPr="008676F9">
        <w:rPr>
          <w:rFonts w:ascii="Calibri" w:eastAsia="Calibri" w:hAnsi="Calibri" w:cs="Calibri"/>
          <w:b/>
          <w:bCs/>
          <w:szCs w:val="22"/>
          <w:lang w:eastAsia="en-US"/>
        </w:rPr>
        <w:t>.4. Overiteľnosť a kontrolovateľnosť podmienok opatrenia</w:t>
      </w:r>
    </w:p>
    <w:p w:rsidR="008676F9" w:rsidRPr="008676F9" w:rsidRDefault="008676F9" w:rsidP="00F14F63">
      <w:pPr>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Riziko implementácie opatrenia:</w:t>
      </w:r>
    </w:p>
    <w:p w:rsidR="008676F9" w:rsidRPr="008676F9" w:rsidRDefault="008676F9" w:rsidP="00F14F63">
      <w:pPr>
        <w:ind w:left="851" w:hanging="851"/>
        <w:rPr>
          <w:rFonts w:ascii="Calibri" w:eastAsia="Calibri" w:hAnsi="Calibri" w:cs="Calibri"/>
          <w:bCs/>
          <w:szCs w:val="22"/>
          <w:lang w:eastAsia="en-US"/>
        </w:rPr>
      </w:pPr>
      <w:r w:rsidRPr="008676F9">
        <w:rPr>
          <w:rFonts w:ascii="Calibri" w:eastAsia="Calibri" w:hAnsi="Calibri" w:cs="Calibri"/>
          <w:bCs/>
          <w:szCs w:val="22"/>
          <w:lang w:eastAsia="en-US"/>
        </w:rPr>
        <w:t>Výška oprávnených nákladov.</w:t>
      </w:r>
    </w:p>
    <w:p w:rsidR="008676F9" w:rsidRPr="008676F9" w:rsidRDefault="008676F9" w:rsidP="00F14F63">
      <w:pPr>
        <w:ind w:left="851" w:hanging="851"/>
        <w:rPr>
          <w:rFonts w:ascii="Calibri" w:eastAsia="Calibri" w:hAnsi="Calibri" w:cs="Calibri"/>
          <w:bCs/>
          <w:szCs w:val="22"/>
          <w:lang w:eastAsia="en-US"/>
        </w:rPr>
      </w:pPr>
    </w:p>
    <w:p w:rsidR="008676F9" w:rsidRPr="008676F9" w:rsidRDefault="008676F9" w:rsidP="00F14F63">
      <w:pPr>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Opatrenie na zmiernenie rizika implementácie:</w:t>
      </w:r>
    </w:p>
    <w:p w:rsidR="008676F9" w:rsidRPr="008676F9" w:rsidRDefault="008676F9" w:rsidP="00F14F63">
      <w:pPr>
        <w:rPr>
          <w:rFonts w:ascii="Calibri" w:eastAsia="Calibri" w:hAnsi="Calibri" w:cs="Calibri"/>
          <w:szCs w:val="22"/>
          <w:lang w:eastAsia="en-US"/>
        </w:rPr>
      </w:pPr>
      <w:r w:rsidRPr="008676F9">
        <w:rPr>
          <w:rFonts w:ascii="Calibri" w:eastAsia="Calibri" w:hAnsi="Calibri" w:cs="Calibri"/>
          <w:szCs w:val="22"/>
          <w:lang w:eastAsia="en-US"/>
        </w:rPr>
        <w:t xml:space="preserve">V rámci opatrenia budú stanovené presné </w:t>
      </w:r>
      <w:r w:rsidRPr="008676F9">
        <w:rPr>
          <w:rFonts w:ascii="Calibri" w:eastAsia="Calibri" w:hAnsi="Calibri" w:cs="Calibri"/>
          <w:bCs/>
          <w:szCs w:val="22"/>
          <w:lang w:eastAsia="en-US"/>
        </w:rPr>
        <w:t>kritériá oprávnenosti</w:t>
      </w:r>
      <w:r w:rsidRPr="008676F9">
        <w:rPr>
          <w:rFonts w:ascii="Calibri" w:eastAsia="Calibri" w:hAnsi="Calibri" w:cs="Calibri"/>
          <w:szCs w:val="22"/>
          <w:lang w:eastAsia="en-US"/>
        </w:rPr>
        <w:t xml:space="preserve">, ktoré budú určovať oprávnenosť navrhovaného projektu a ku ktorých plneniu sa prijímateľ pomoci zaviaže pri podpise zmluvy o poskytnutí NFP. V prípade ich neplnenia nebude žiadateľovi vyplatená finančná čiastka v rámci ŽoP. </w:t>
      </w:r>
    </w:p>
    <w:p w:rsidR="008676F9" w:rsidRPr="008676F9" w:rsidRDefault="008676F9" w:rsidP="00F14F63">
      <w:pPr>
        <w:rPr>
          <w:rFonts w:ascii="Calibri" w:eastAsia="Calibri" w:hAnsi="Calibri" w:cs="Calibri"/>
          <w:bCs/>
          <w:szCs w:val="22"/>
          <w:lang w:eastAsia="en-US"/>
        </w:rPr>
      </w:pPr>
    </w:p>
    <w:p w:rsidR="008676F9" w:rsidRPr="008676F9" w:rsidRDefault="008676F9" w:rsidP="00F14F63">
      <w:pPr>
        <w:rPr>
          <w:rFonts w:ascii="Calibri" w:eastAsia="Calibri" w:hAnsi="Calibri" w:cs="Calibri"/>
          <w:bCs/>
          <w:szCs w:val="22"/>
          <w:u w:val="single"/>
          <w:lang w:eastAsia="en-US"/>
        </w:rPr>
      </w:pPr>
      <w:r w:rsidRPr="008676F9">
        <w:rPr>
          <w:rFonts w:ascii="Calibri" w:eastAsia="Calibri" w:hAnsi="Calibri" w:cs="Calibri"/>
          <w:bCs/>
          <w:szCs w:val="22"/>
          <w:u w:val="single"/>
          <w:lang w:eastAsia="en-US"/>
        </w:rPr>
        <w:t>Celkové posúdenie opatrenia:</w:t>
      </w:r>
    </w:p>
    <w:p w:rsidR="008676F9" w:rsidRPr="008676F9" w:rsidRDefault="008676F9" w:rsidP="00F14F63">
      <w:pPr>
        <w:rPr>
          <w:rFonts w:ascii="Calibri" w:hAnsi="Calibri" w:cs="Calibri"/>
          <w:bCs/>
          <w:szCs w:val="22"/>
        </w:rPr>
      </w:pPr>
      <w:r w:rsidRPr="008676F9">
        <w:rPr>
          <w:rFonts w:ascii="Calibri" w:hAnsi="Calibri" w:cs="Calibri"/>
          <w:bCs/>
          <w:szCs w:val="22"/>
        </w:rPr>
        <w:t xml:space="preserve">Žiadatelia pre vstup do opatrenia budú musieť splniť všeobecné podmienky. Opatrenie bude predmetom administratívnych kontrol a kontrol na mieste vykonávaných PPA.  </w:t>
      </w:r>
    </w:p>
    <w:p w:rsidR="008676F9" w:rsidRPr="008676F9" w:rsidRDefault="008676F9" w:rsidP="00F14F63">
      <w:pPr>
        <w:rPr>
          <w:rFonts w:ascii="Calibri" w:eastAsia="Calibri" w:hAnsi="Calibri" w:cs="Calibri"/>
          <w:bCs/>
          <w:szCs w:val="22"/>
          <w:lang w:eastAsia="en-US"/>
        </w:rPr>
      </w:pPr>
    </w:p>
    <w:p w:rsidR="008676F9" w:rsidRPr="008676F9" w:rsidRDefault="008676F9" w:rsidP="00F14F63">
      <w:pPr>
        <w:rPr>
          <w:rFonts w:ascii="Calibri" w:eastAsia="Calibri" w:hAnsi="Calibri" w:cs="Calibri"/>
          <w:bCs/>
          <w:szCs w:val="22"/>
          <w:lang w:eastAsia="en-US"/>
        </w:rPr>
      </w:pPr>
      <w:r w:rsidRPr="008676F9">
        <w:rPr>
          <w:rFonts w:ascii="Calibri" w:eastAsia="Calibri" w:hAnsi="Calibri" w:cs="Calibri"/>
          <w:bCs/>
          <w:szCs w:val="22"/>
          <w:lang w:eastAsia="en-US"/>
        </w:rPr>
        <w:br w:type="page"/>
      </w:r>
    </w:p>
    <w:p w:rsidR="008676F9" w:rsidRPr="008676F9" w:rsidRDefault="008676F9" w:rsidP="00AA30CA">
      <w:pPr>
        <w:pStyle w:val="Opatrenie"/>
        <w:rPr>
          <w:smallCaps/>
          <w:sz w:val="22"/>
          <w:szCs w:val="22"/>
        </w:rPr>
      </w:pPr>
      <w:bookmarkStart w:id="105" w:name="_Toc387041340"/>
      <w:r w:rsidRPr="008676F9">
        <w:t>8.</w:t>
      </w:r>
      <w:r w:rsidRPr="00197171">
        <w:t>2.1</w:t>
      </w:r>
      <w:r w:rsidR="00B30F00" w:rsidRPr="00197171">
        <w:t>6</w:t>
      </w:r>
      <w:r w:rsidRPr="00197171">
        <w:t xml:space="preserve"> OPATRENIE 17:</w:t>
      </w:r>
      <w:r w:rsidRPr="00197171">
        <w:tab/>
        <w:t>riadenie rizík</w:t>
      </w:r>
      <w:bookmarkEnd w:id="105"/>
    </w:p>
    <w:p w:rsidR="008676F9" w:rsidRPr="008676F9" w:rsidRDefault="008676F9" w:rsidP="00F14F63">
      <w:pPr>
        <w:rPr>
          <w:rFonts w:ascii="Calibri" w:hAnsi="Calibri" w:cs="Calibri"/>
          <w:b/>
          <w:szCs w:val="22"/>
          <w:lang w:eastAsia="en-US"/>
        </w:rPr>
      </w:pPr>
    </w:p>
    <w:p w:rsidR="008676F9" w:rsidRPr="008676F9" w:rsidRDefault="008676F9" w:rsidP="00F14F63">
      <w:pPr>
        <w:rPr>
          <w:rFonts w:ascii="Calibri" w:hAnsi="Calibri" w:cs="Calibri"/>
          <w:b/>
          <w:szCs w:val="22"/>
          <w:lang w:eastAsia="en-US"/>
        </w:rPr>
      </w:pPr>
      <w:r w:rsidRPr="008676F9">
        <w:rPr>
          <w:rFonts w:ascii="Calibri" w:hAnsi="Calibri" w:cs="Calibri"/>
          <w:b/>
          <w:szCs w:val="22"/>
          <w:lang w:eastAsia="en-US"/>
        </w:rPr>
        <w:t>8.2.1</w:t>
      </w:r>
      <w:r w:rsidR="00B30F00">
        <w:rPr>
          <w:rFonts w:ascii="Calibri" w:hAnsi="Calibri" w:cs="Calibri"/>
          <w:b/>
          <w:szCs w:val="22"/>
          <w:lang w:eastAsia="en-US"/>
        </w:rPr>
        <w:t>6</w:t>
      </w:r>
      <w:r w:rsidRPr="008676F9">
        <w:rPr>
          <w:rFonts w:ascii="Calibri" w:hAnsi="Calibri" w:cs="Calibri"/>
          <w:b/>
          <w:szCs w:val="22"/>
          <w:lang w:eastAsia="en-US"/>
        </w:rPr>
        <w:t>.1. Právny základ</w:t>
      </w:r>
    </w:p>
    <w:p w:rsidR="008676F9" w:rsidRPr="008676F9" w:rsidRDefault="008676F9" w:rsidP="001F5283">
      <w:pPr>
        <w:numPr>
          <w:ilvl w:val="0"/>
          <w:numId w:val="81"/>
        </w:numPr>
        <w:rPr>
          <w:rFonts w:ascii="Calibri" w:hAnsi="Calibri" w:cs="Calibri"/>
          <w:szCs w:val="22"/>
          <w:lang w:eastAsia="en-US"/>
        </w:rPr>
      </w:pPr>
      <w:r w:rsidRPr="008676F9">
        <w:rPr>
          <w:rFonts w:ascii="Calibri" w:hAnsi="Calibri" w:cs="Calibri"/>
          <w:szCs w:val="22"/>
          <w:lang w:eastAsia="en-US"/>
        </w:rPr>
        <w:t xml:space="preserve">článok 36 a 38 nariadenia (EÚ) č. 1305/2013 o podpore rozvoja vidieka </w:t>
      </w:r>
      <w:r w:rsidR="00201383">
        <w:rPr>
          <w:rFonts w:ascii="Calibri" w:hAnsi="Calibri" w:cs="Calibri"/>
          <w:szCs w:val="22"/>
          <w:lang w:eastAsia="en-US"/>
        </w:rPr>
        <w:t>z</w:t>
      </w:r>
      <w:r w:rsidRPr="008676F9">
        <w:rPr>
          <w:rFonts w:ascii="Calibri" w:hAnsi="Calibri" w:cs="Calibri"/>
          <w:szCs w:val="22"/>
          <w:lang w:eastAsia="en-US"/>
        </w:rPr>
        <w:t xml:space="preserve"> EPFRV; </w:t>
      </w:r>
    </w:p>
    <w:p w:rsidR="008676F9" w:rsidRPr="008676F9" w:rsidRDefault="008676F9" w:rsidP="001F5283">
      <w:pPr>
        <w:numPr>
          <w:ilvl w:val="0"/>
          <w:numId w:val="81"/>
        </w:numPr>
        <w:rPr>
          <w:rFonts w:ascii="Calibri" w:hAnsi="Calibri" w:cs="Calibri"/>
          <w:szCs w:val="22"/>
          <w:lang w:eastAsia="en-US"/>
        </w:rPr>
      </w:pPr>
      <w:r w:rsidRPr="008676F9">
        <w:rPr>
          <w:rFonts w:ascii="Calibri" w:hAnsi="Calibri" w:cs="Calibri"/>
          <w:szCs w:val="22"/>
          <w:lang w:eastAsia="en-US"/>
        </w:rPr>
        <w:t>článok 12 delegovaného nariadenia Komisie č. xxxx/2014;</w:t>
      </w:r>
    </w:p>
    <w:p w:rsidR="008676F9" w:rsidRPr="008676F9" w:rsidRDefault="008676F9" w:rsidP="001F5283">
      <w:pPr>
        <w:numPr>
          <w:ilvl w:val="0"/>
          <w:numId w:val="81"/>
        </w:numPr>
        <w:rPr>
          <w:rFonts w:ascii="Calibri" w:hAnsi="Calibri" w:cs="Calibri"/>
          <w:szCs w:val="22"/>
          <w:lang w:eastAsia="en-US"/>
        </w:rPr>
      </w:pPr>
      <w:r w:rsidRPr="008676F9">
        <w:rPr>
          <w:rFonts w:ascii="Calibri" w:hAnsi="Calibri" w:cs="Calibri"/>
          <w:szCs w:val="22"/>
          <w:lang w:eastAsia="en-US"/>
        </w:rPr>
        <w:t>príloha I bod 8.17 implementačného nariadenia Komisie č. ...../2014.</w:t>
      </w:r>
    </w:p>
    <w:p w:rsidR="008676F9" w:rsidRPr="008676F9" w:rsidRDefault="008676F9" w:rsidP="00F14F63">
      <w:pPr>
        <w:rPr>
          <w:rFonts w:ascii="Calibri" w:hAnsi="Calibri" w:cs="Calibri"/>
          <w:szCs w:val="22"/>
          <w:lang w:eastAsia="en-US"/>
        </w:rPr>
      </w:pPr>
    </w:p>
    <w:p w:rsidR="008676F9" w:rsidRPr="008676F9" w:rsidRDefault="008676F9" w:rsidP="00F14F63">
      <w:pPr>
        <w:ind w:left="851" w:hanging="851"/>
        <w:rPr>
          <w:rFonts w:ascii="Calibri" w:hAnsi="Calibri" w:cs="Calibri"/>
          <w:b/>
          <w:szCs w:val="22"/>
          <w:lang w:eastAsia="en-US"/>
        </w:rPr>
      </w:pPr>
      <w:r w:rsidRPr="008676F9">
        <w:rPr>
          <w:rFonts w:ascii="Calibri" w:hAnsi="Calibri" w:cs="Calibri"/>
          <w:b/>
          <w:szCs w:val="22"/>
          <w:lang w:eastAsia="en-US"/>
        </w:rPr>
        <w:t>8.2.1</w:t>
      </w:r>
      <w:r w:rsidR="00B30F00">
        <w:rPr>
          <w:rFonts w:ascii="Calibri" w:hAnsi="Calibri" w:cs="Calibri"/>
          <w:b/>
          <w:szCs w:val="22"/>
          <w:lang w:eastAsia="en-US"/>
        </w:rPr>
        <w:t>6</w:t>
      </w:r>
      <w:r w:rsidRPr="008676F9">
        <w:rPr>
          <w:rFonts w:ascii="Calibri" w:hAnsi="Calibri" w:cs="Calibri"/>
          <w:b/>
          <w:szCs w:val="22"/>
          <w:lang w:eastAsia="en-US"/>
        </w:rPr>
        <w:t>.2. Všeobecný opis opatrenia vrátane intervenčnej logiky a príspevku k fokusovej oblasti a prierezovým cieľom</w:t>
      </w:r>
    </w:p>
    <w:p w:rsidR="008676F9" w:rsidRPr="008676F9" w:rsidRDefault="008676F9" w:rsidP="003F6575">
      <w:pPr>
        <w:spacing w:after="120"/>
        <w:rPr>
          <w:rFonts w:ascii="Calibri" w:hAnsi="Calibri" w:cs="Calibri"/>
          <w:szCs w:val="22"/>
          <w:lang w:eastAsia="en-US"/>
        </w:rPr>
      </w:pPr>
      <w:r w:rsidRPr="008676F9">
        <w:rPr>
          <w:rFonts w:ascii="Calibri" w:hAnsi="Calibri" w:cs="Calibri"/>
          <w:szCs w:val="22"/>
          <w:lang w:eastAsia="en-US"/>
        </w:rPr>
        <w:t>Poľnohospodárstvo patrí medzi najrizikovejšie výrobné odvetvia. Jeho vysoká rizikovosť vychádza z biologického charakteru prvovýroby, vplyvov klimatických zmien, rastu výskytu živelných pohrôm (napr. záplavy, sucho), ale aj z reformy SPP EÚ, ktorá sa vyznačuje liberalizáciou svetového obchodu v rámci dohôd Svetovej obchodnej organizácie (WTO), a ktorá má za následok vyšší stupeň vystavovania hospodárskej súťaži a nestálosti cien. Poľnohospodárstvo ohrozujú okrem normálnych (bežných) rizík, ktoré vznikajú častejšie (napr. mierny výkyv hektárových úrod, či kolísanie cien výrobkov) a obchodovateľných rizík, ktoré možno eliminovať, resp. účinne zmierňovať ich dôsledky prostredníctvom trhových nástrojov (poistenie proti krupobití, požiaru,..., termínové obchody a iné), najmä katastrofické riziká, ktoré majú síce nízku frekvenciu, ale spôsobujú obrovské škody veľkému počtu poľnohospodárskych subjektov v regióne, resp. krajine. Typické pre odvetvie poľnohospodárstva sú väčšinou prírodné katastrofy: klimatické udalosti (krupobitie, povodne, sucho, búrky a ďalšie), poškodenie spôsobené škodcami (slimáky, hmyz a ďalšie) a choroby a nákazy zvierat (slintačka a krívačka, mor ošípaných a ďalšie). Vzhľadom na ich katastrofálny charakter (nízka pravdepodobnosť, ale vysoké škody) je ich ťažké riadiť na úrovni podniku alebo prostredníctvom trhových nástrojov. Katastrofické riziká v poľnohospodárstve sa nedajú komerčne poistiť (napr. sucho a niektoré choroby a hromadné nákazy zvierat). Škody spôsobné v dôsledku katastrofických rizík sa zvyšujú, preto komerčné poisťovne reagujú zvýšením poistného, alebo úplným stiahnutým ich ponúk z trhu, čím sa stávajú katastrofické riziká komerčné nepoistiteľné. Z dlhodobého vývoja rozdielu medzi objemom predpísaného poistného a vyplatením náhrady škody vyplýva, že ani v kritických rokoch náhrady škôd z poisťovní neprekročili úroveň zaplateného poistného. To znamená, že poľnohospodári prostredníctvom zaplateného poistného významne participujú na tvorbe finančných rezerv komerčných poisťovní.</w:t>
      </w:r>
    </w:p>
    <w:p w:rsidR="008676F9" w:rsidRPr="008676F9" w:rsidRDefault="008676F9" w:rsidP="00F14F63">
      <w:pPr>
        <w:rPr>
          <w:rFonts w:ascii="Calibri" w:hAnsi="Calibri" w:cs="Calibri"/>
          <w:szCs w:val="22"/>
          <w:lang w:eastAsia="en-US"/>
        </w:rPr>
      </w:pPr>
      <w:r w:rsidRPr="008676F9">
        <w:rPr>
          <w:rFonts w:ascii="Calibri" w:hAnsi="Calibri" w:cs="Calibri"/>
          <w:szCs w:val="22"/>
          <w:lang w:eastAsia="en-US"/>
        </w:rPr>
        <w:t>Vznik vzájomných fondov vytvára podnet na zavedenie úplne nového systému krytia poľnohospodárskych rizík, ktorý môže byť alternatívou k súčasnému systému komerčného poistenia, pretože do finančného krytia vzájomného fondu sa dostanú aj nepoistiteľné rizika (napr. sucho a niektoré choroby), ktoré žiadna komerčná poisťovňa nepoisťuje. Tým sa odstránia medzery vo finančnom krytí dôsledkov nepoistiteľných rizík v sektore. Súčasne sa dosiahne zatraktívnenie a oživenie riadenia poľnohospodárskych rizík u poľnohospodárov z dôvodov rozširovania rozsahu finančného krytia rizík a nárastu podpory z verejných zdrojov. Zavedie sa funkčný a efektívny systém riadenia rizika v poľnohospodárstve, čím sa minimalizuje ad hoc intervencia štátu. Tým sa vytvára iniciatíva pre založenie fondov podľa špeciálnych požiadaviek poľnohospodárov a ich miestnej potreby (napr. podľa klimatických podmienok, plodín a zvierat, pre pestovateľov zemiakov, ovocinárov, zeleninárov, chovateľov hydiny a pod.), ktorí zdieľajú podobné riziká. Fondy budú založené na základe dobrovoľnosti, vzájomnej výhodnosti a spolupráce. Členovia fondov budú mať právo voliť a byť volení do štruktúry fondu, čiže dochádza k osobnej participácii farmára pri riadení fondu. Nevyužité zdroje fondov sa nechávajú na využitie v ďalších rokoch. Vzájomná povaha dohody medzi poľnohospodármi znižuje riziko vzniku morálneho hazardu, rovnako aj vzájomné poznania individuálnych rizík členov fondu znižujú pravdepodobnosť vzniku antiselekcie. Z týchto a iných dôvodov je potrebné podporiť vznik vzájomných fondov najmä pre riešenie rizík v poľnohospodárstve, najmä dosahov nepoistiteľných rizík.</w:t>
      </w:r>
    </w:p>
    <w:p w:rsidR="00F14F63" w:rsidRDefault="00F14F63" w:rsidP="00F14F63">
      <w:pPr>
        <w:rPr>
          <w:rFonts w:ascii="Calibri" w:hAnsi="Calibri" w:cs="Calibri"/>
          <w:szCs w:val="22"/>
          <w:u w:val="single"/>
          <w:lang w:eastAsia="en-US"/>
        </w:rPr>
      </w:pPr>
    </w:p>
    <w:p w:rsidR="003F6575" w:rsidRDefault="003F6575" w:rsidP="00F14F63">
      <w:pPr>
        <w:rPr>
          <w:rFonts w:ascii="Calibri" w:hAnsi="Calibri" w:cs="Calibri"/>
          <w:szCs w:val="22"/>
          <w:u w:val="single"/>
          <w:lang w:eastAsia="en-US"/>
        </w:rPr>
      </w:pPr>
    </w:p>
    <w:p w:rsidR="008676F9" w:rsidRPr="008676F9" w:rsidRDefault="008676F9" w:rsidP="00F14F63">
      <w:pPr>
        <w:rPr>
          <w:rFonts w:ascii="Calibri" w:hAnsi="Calibri" w:cs="Calibri"/>
          <w:szCs w:val="22"/>
          <w:u w:val="single"/>
          <w:lang w:eastAsia="en-US"/>
        </w:rPr>
      </w:pPr>
      <w:r w:rsidRPr="008676F9">
        <w:rPr>
          <w:rFonts w:ascii="Calibri" w:hAnsi="Calibri" w:cs="Calibri"/>
          <w:szCs w:val="22"/>
          <w:u w:val="single"/>
          <w:lang w:eastAsia="en-US"/>
        </w:rPr>
        <w:t>Príspevok k fokusovej oblasti</w:t>
      </w:r>
    </w:p>
    <w:p w:rsidR="008676F9" w:rsidRPr="008676F9" w:rsidRDefault="008676F9" w:rsidP="00F14F63">
      <w:pPr>
        <w:rPr>
          <w:rFonts w:ascii="Calibri" w:hAnsi="Calibri" w:cs="Calibri"/>
          <w:i/>
          <w:szCs w:val="22"/>
          <w:lang w:eastAsia="en-US"/>
        </w:rPr>
      </w:pPr>
      <w:r w:rsidRPr="008676F9">
        <w:rPr>
          <w:rFonts w:ascii="Calibri" w:hAnsi="Calibri" w:cs="Calibri"/>
          <w:i/>
          <w:szCs w:val="22"/>
          <w:lang w:eastAsia="en-US"/>
        </w:rPr>
        <w:t>3B Podpora riadeniu rizík poľnohospodárskych podnikov a ich predchádzania</w:t>
      </w:r>
    </w:p>
    <w:p w:rsidR="008676F9" w:rsidRPr="008676F9" w:rsidRDefault="008676F9" w:rsidP="00F14F63">
      <w:pPr>
        <w:rPr>
          <w:rFonts w:ascii="Calibri" w:hAnsi="Calibri" w:cs="Calibri"/>
          <w:szCs w:val="22"/>
          <w:lang w:eastAsia="en-US"/>
        </w:rPr>
      </w:pPr>
      <w:r w:rsidRPr="008676F9">
        <w:rPr>
          <w:rFonts w:ascii="Calibri" w:hAnsi="Calibri" w:cs="Calibri"/>
          <w:szCs w:val="22"/>
          <w:lang w:eastAsia="en-US"/>
        </w:rPr>
        <w:t>Združiť poľnohospodárov do vzájomného fondu, prostredníctvom ktorého sa týmto poľnohospodárom vyplácajú kompenzačné platby za hospodárske straty spôsobené nepriaznivými poveternostnými udalosťami, vypuknutím choroby zvierat alebo rastlín, zamorením škodcami, environmentálnou nehodou a tým pomôcť poľnohospodárom pri riešení najčastejších rizík, ktorým čelia.</w:t>
      </w:r>
    </w:p>
    <w:p w:rsidR="008676F9" w:rsidRPr="008676F9" w:rsidRDefault="008676F9" w:rsidP="00F14F63">
      <w:pPr>
        <w:rPr>
          <w:rFonts w:ascii="Calibri" w:hAnsi="Calibri" w:cs="Calibri"/>
          <w:szCs w:val="22"/>
          <w:lang w:eastAsia="en-US"/>
        </w:rPr>
      </w:pPr>
    </w:p>
    <w:p w:rsidR="008676F9" w:rsidRPr="008676F9" w:rsidRDefault="008676F9" w:rsidP="00F14F63">
      <w:pPr>
        <w:rPr>
          <w:rFonts w:ascii="Calibri" w:hAnsi="Calibri" w:cs="Calibri"/>
          <w:szCs w:val="22"/>
          <w:lang w:eastAsia="en-US"/>
        </w:rPr>
      </w:pPr>
      <w:r w:rsidRPr="008676F9">
        <w:rPr>
          <w:rFonts w:ascii="Calibri" w:hAnsi="Calibri" w:cs="Calibri"/>
          <w:b/>
          <w:szCs w:val="22"/>
          <w:lang w:eastAsia="en-US"/>
        </w:rPr>
        <w:t>8.2.1</w:t>
      </w:r>
      <w:r w:rsidR="00B30F00">
        <w:rPr>
          <w:rFonts w:ascii="Calibri" w:hAnsi="Calibri" w:cs="Calibri"/>
          <w:b/>
          <w:szCs w:val="22"/>
          <w:lang w:eastAsia="en-US"/>
        </w:rPr>
        <w:t>6</w:t>
      </w:r>
      <w:r w:rsidRPr="008676F9">
        <w:rPr>
          <w:rFonts w:ascii="Calibri" w:hAnsi="Calibri" w:cs="Calibri"/>
          <w:b/>
          <w:szCs w:val="22"/>
          <w:lang w:eastAsia="en-US"/>
        </w:rPr>
        <w:t xml:space="preserve">.3. Rozsah, úroveň podpory a ďalšie informácie </w:t>
      </w:r>
      <w:r w:rsidRPr="008676F9">
        <w:rPr>
          <w:rFonts w:ascii="Calibri" w:hAnsi="Calibri" w:cs="Calibri"/>
          <w:szCs w:val="22"/>
          <w:lang w:eastAsia="en-US"/>
        </w:rPr>
        <w:t>(členené podľa podopatrenia a typu operácie)</w:t>
      </w:r>
    </w:p>
    <w:p w:rsidR="008676F9" w:rsidRPr="008676F9" w:rsidRDefault="008676F9" w:rsidP="00997BE5">
      <w:pPr>
        <w:shd w:val="clear" w:color="auto" w:fill="EAF1DD"/>
        <w:ind w:left="1843" w:hanging="1843"/>
        <w:rPr>
          <w:rFonts w:ascii="Calibri" w:hAnsi="Calibri" w:cs="Calibri"/>
          <w:b/>
          <w:i/>
          <w:lang w:eastAsia="en-US"/>
        </w:rPr>
      </w:pPr>
      <w:r w:rsidRPr="008676F9">
        <w:rPr>
          <w:rFonts w:ascii="Calibri" w:hAnsi="Calibri" w:cs="Calibri"/>
          <w:lang w:eastAsia="en-US"/>
        </w:rPr>
        <w:t>Podopatrenie 17.2</w:t>
      </w:r>
      <w:r w:rsidRPr="008676F9">
        <w:rPr>
          <w:rFonts w:ascii="Calibri" w:hAnsi="Calibri" w:cs="Calibri"/>
          <w:b/>
          <w:i/>
          <w:lang w:eastAsia="en-US"/>
        </w:rPr>
        <w:t xml:space="preserve"> </w:t>
      </w:r>
      <w:r w:rsidRPr="00997BE5">
        <w:rPr>
          <w:rFonts w:ascii="Calibri" w:hAnsi="Calibri" w:cs="Calibri"/>
          <w:b/>
          <w:i/>
          <w:sz w:val="24"/>
          <w:lang w:eastAsia="en-US"/>
        </w:rPr>
        <w:t>Vzájomné fondy pre nepriaznivé poveternostné udalosti, choroby zvierat a rastlín, zamorenie škodcami a environmentálne nehody</w:t>
      </w:r>
    </w:p>
    <w:p w:rsidR="008676F9" w:rsidRPr="008676F9" w:rsidRDefault="008676F9" w:rsidP="00F14F63">
      <w:pPr>
        <w:shd w:val="clear" w:color="auto" w:fill="FBD4B4"/>
        <w:rPr>
          <w:rFonts w:ascii="Calibri" w:hAnsi="Calibri" w:cs="Calibri"/>
          <w:szCs w:val="22"/>
          <w:u w:val="single"/>
          <w:lang w:eastAsia="en-US"/>
        </w:rPr>
      </w:pPr>
      <w:r w:rsidRPr="008676F9">
        <w:rPr>
          <w:rFonts w:ascii="Calibri" w:hAnsi="Calibri" w:cs="Calibri"/>
          <w:szCs w:val="22"/>
          <w:u w:val="single"/>
          <w:lang w:eastAsia="en-US"/>
        </w:rPr>
        <w:t>Názov operácie:</w:t>
      </w:r>
    </w:p>
    <w:p w:rsidR="008676F9" w:rsidRPr="008676F9" w:rsidRDefault="008676F9" w:rsidP="00F14F63">
      <w:pPr>
        <w:shd w:val="clear" w:color="auto" w:fill="FBD4B4"/>
        <w:rPr>
          <w:rFonts w:ascii="Calibri" w:hAnsi="Calibri" w:cs="Calibri"/>
          <w:szCs w:val="22"/>
          <w:lang w:eastAsia="en-US"/>
        </w:rPr>
      </w:pPr>
      <w:r w:rsidRPr="008676F9">
        <w:rPr>
          <w:rFonts w:ascii="Calibri" w:hAnsi="Calibri" w:cs="Calibri"/>
          <w:szCs w:val="22"/>
          <w:lang w:eastAsia="en-US"/>
        </w:rPr>
        <w:t>Zakladanie vzájomných fondov, prostredníctvom ktorých sa  poľnohospodárom vypláca kompenzácia za straty, ktoré utrpia v dôsledku nepriaznivých poveternostných udalostí, vypuknutia chorôb zvierat alebo rastlín, zamorenia škodcami alebo environmentálnych nehôd.</w:t>
      </w:r>
    </w:p>
    <w:p w:rsidR="008676F9" w:rsidRPr="008676F9" w:rsidRDefault="008676F9" w:rsidP="00F14F63">
      <w:pPr>
        <w:rPr>
          <w:rFonts w:ascii="Calibri" w:hAnsi="Calibri" w:cs="Calibri"/>
          <w:szCs w:val="22"/>
          <w:lang w:eastAsia="en-US"/>
        </w:rPr>
      </w:pPr>
    </w:p>
    <w:p w:rsidR="008676F9" w:rsidRPr="008676F9" w:rsidRDefault="008676F9" w:rsidP="00F14F63">
      <w:pPr>
        <w:rPr>
          <w:rFonts w:ascii="Calibri" w:hAnsi="Calibri" w:cs="Calibri"/>
          <w:szCs w:val="22"/>
          <w:u w:val="single"/>
          <w:lang w:eastAsia="en-US"/>
        </w:rPr>
      </w:pPr>
      <w:r w:rsidRPr="008676F9">
        <w:rPr>
          <w:rFonts w:ascii="Calibri" w:hAnsi="Calibri" w:cs="Calibri"/>
          <w:szCs w:val="22"/>
          <w:u w:val="single"/>
          <w:lang w:eastAsia="en-US"/>
        </w:rPr>
        <w:t>Opis operácie:</w:t>
      </w:r>
    </w:p>
    <w:p w:rsidR="008676F9" w:rsidRPr="008676F9" w:rsidRDefault="008676F9" w:rsidP="00F14F63">
      <w:pPr>
        <w:rPr>
          <w:rFonts w:ascii="Calibri" w:hAnsi="Calibri" w:cs="Calibri"/>
          <w:szCs w:val="22"/>
          <w:lang w:eastAsia="en-US"/>
        </w:rPr>
      </w:pPr>
      <w:r w:rsidRPr="008676F9">
        <w:rPr>
          <w:rFonts w:ascii="Calibri" w:hAnsi="Calibri" w:cs="Calibri"/>
          <w:szCs w:val="22"/>
          <w:lang w:eastAsia="en-US"/>
        </w:rPr>
        <w:t>Vyplácanie kompenzačných platieb pre poľnohospodárov za hospodárske straty spôsobené:</w:t>
      </w:r>
    </w:p>
    <w:p w:rsidR="008676F9" w:rsidRPr="008676F9" w:rsidRDefault="008676F9" w:rsidP="00F14F63">
      <w:pPr>
        <w:tabs>
          <w:tab w:val="left" w:pos="284"/>
        </w:tabs>
        <w:ind w:left="284" w:hanging="284"/>
        <w:rPr>
          <w:rFonts w:ascii="Calibri" w:hAnsi="Calibri" w:cs="Calibri"/>
          <w:szCs w:val="22"/>
          <w:lang w:eastAsia="en-US"/>
        </w:rPr>
      </w:pPr>
      <w:r w:rsidRPr="008676F9">
        <w:rPr>
          <w:rFonts w:ascii="Calibri" w:hAnsi="Calibri" w:cs="Calibri"/>
          <w:szCs w:val="22"/>
          <w:lang w:eastAsia="en-US"/>
        </w:rPr>
        <w:t>•</w:t>
      </w:r>
      <w:r w:rsidRPr="008676F9">
        <w:rPr>
          <w:rFonts w:ascii="Calibri" w:hAnsi="Calibri" w:cs="Calibri"/>
          <w:szCs w:val="22"/>
          <w:lang w:eastAsia="en-US"/>
        </w:rPr>
        <w:tab/>
        <w:t>nepriaznivými poveternostnými udalosťami (mráz, búrky, krupobitie, ľad, prudký dážď alebo veľké sucho),</w:t>
      </w:r>
    </w:p>
    <w:p w:rsidR="008676F9" w:rsidRPr="008676F9" w:rsidRDefault="008676F9" w:rsidP="00F14F63">
      <w:pPr>
        <w:tabs>
          <w:tab w:val="left" w:pos="284"/>
        </w:tabs>
        <w:rPr>
          <w:rFonts w:ascii="Calibri" w:hAnsi="Calibri" w:cs="Calibri"/>
          <w:szCs w:val="22"/>
          <w:lang w:eastAsia="en-US"/>
        </w:rPr>
      </w:pPr>
      <w:r w:rsidRPr="008676F9">
        <w:rPr>
          <w:rFonts w:ascii="Calibri" w:hAnsi="Calibri" w:cs="Calibri"/>
          <w:szCs w:val="22"/>
          <w:lang w:eastAsia="en-US"/>
        </w:rPr>
        <w:t>•</w:t>
      </w:r>
      <w:r w:rsidRPr="008676F9">
        <w:rPr>
          <w:rFonts w:ascii="Calibri" w:hAnsi="Calibri" w:cs="Calibri"/>
          <w:szCs w:val="22"/>
          <w:lang w:eastAsia="en-US"/>
        </w:rPr>
        <w:tab/>
        <w:t>výskytom chorôb rastlín alebo zvierat,</w:t>
      </w:r>
    </w:p>
    <w:p w:rsidR="008676F9" w:rsidRPr="008676F9" w:rsidRDefault="008676F9" w:rsidP="00F14F63">
      <w:pPr>
        <w:tabs>
          <w:tab w:val="left" w:pos="284"/>
        </w:tabs>
        <w:rPr>
          <w:rFonts w:ascii="Calibri" w:hAnsi="Calibri" w:cs="Calibri"/>
          <w:szCs w:val="22"/>
          <w:lang w:eastAsia="en-US"/>
        </w:rPr>
      </w:pPr>
      <w:r w:rsidRPr="008676F9">
        <w:rPr>
          <w:rFonts w:ascii="Calibri" w:hAnsi="Calibri" w:cs="Calibri"/>
          <w:szCs w:val="22"/>
          <w:lang w:eastAsia="en-US"/>
        </w:rPr>
        <w:t>•</w:t>
      </w:r>
      <w:r w:rsidRPr="008676F9">
        <w:rPr>
          <w:rFonts w:ascii="Calibri" w:hAnsi="Calibri" w:cs="Calibri"/>
          <w:szCs w:val="22"/>
          <w:lang w:eastAsia="en-US"/>
        </w:rPr>
        <w:tab/>
        <w:t>zamorením škodcami, a</w:t>
      </w:r>
    </w:p>
    <w:p w:rsidR="008676F9" w:rsidRPr="008676F9" w:rsidRDefault="008676F9" w:rsidP="00F14F63">
      <w:pPr>
        <w:tabs>
          <w:tab w:val="left" w:pos="284"/>
        </w:tabs>
        <w:rPr>
          <w:rFonts w:ascii="Calibri" w:hAnsi="Calibri" w:cs="Calibri"/>
          <w:szCs w:val="22"/>
          <w:lang w:eastAsia="en-US"/>
        </w:rPr>
      </w:pPr>
      <w:r w:rsidRPr="008676F9">
        <w:rPr>
          <w:rFonts w:ascii="Calibri" w:hAnsi="Calibri" w:cs="Calibri"/>
          <w:szCs w:val="22"/>
          <w:lang w:eastAsia="en-US"/>
        </w:rPr>
        <w:t>•</w:t>
      </w:r>
      <w:r w:rsidRPr="008676F9">
        <w:rPr>
          <w:rFonts w:ascii="Calibri" w:hAnsi="Calibri" w:cs="Calibri"/>
          <w:szCs w:val="22"/>
          <w:lang w:eastAsia="en-US"/>
        </w:rPr>
        <w:tab/>
        <w:t>environmentálnymi nehodami.</w:t>
      </w:r>
    </w:p>
    <w:p w:rsidR="008676F9" w:rsidRPr="008676F9" w:rsidRDefault="008676F9" w:rsidP="00F14F63">
      <w:pPr>
        <w:rPr>
          <w:rFonts w:ascii="Calibri" w:hAnsi="Calibri" w:cs="Calibri"/>
          <w:szCs w:val="22"/>
          <w:lang w:eastAsia="en-US"/>
        </w:rPr>
      </w:pPr>
    </w:p>
    <w:p w:rsidR="008676F9" w:rsidRPr="008676F9" w:rsidRDefault="008676F9" w:rsidP="00F14F63">
      <w:pPr>
        <w:rPr>
          <w:rFonts w:ascii="Calibri" w:hAnsi="Calibri" w:cs="Calibri"/>
          <w:szCs w:val="22"/>
          <w:u w:val="single"/>
          <w:lang w:eastAsia="en-US"/>
        </w:rPr>
      </w:pPr>
      <w:r w:rsidRPr="008676F9">
        <w:rPr>
          <w:rFonts w:ascii="Calibri" w:hAnsi="Calibri" w:cs="Calibri"/>
          <w:szCs w:val="22"/>
          <w:u w:val="single"/>
          <w:lang w:eastAsia="en-US"/>
        </w:rPr>
        <w:t>Typ podpory:</w:t>
      </w:r>
    </w:p>
    <w:p w:rsidR="008676F9" w:rsidRPr="008676F9" w:rsidRDefault="008676F9" w:rsidP="00F14F63">
      <w:pPr>
        <w:rPr>
          <w:rFonts w:ascii="Calibri" w:hAnsi="Calibri" w:cs="Calibri"/>
          <w:szCs w:val="22"/>
          <w:lang w:eastAsia="en-US"/>
        </w:rPr>
      </w:pPr>
      <w:r w:rsidRPr="008676F9">
        <w:rPr>
          <w:rFonts w:ascii="Calibri" w:hAnsi="Calibri" w:cs="Calibri"/>
          <w:szCs w:val="22"/>
          <w:lang w:eastAsia="en-US"/>
        </w:rPr>
        <w:t>Neinvestičná, nezisková, nenávratný finančný príspevok.</w:t>
      </w:r>
    </w:p>
    <w:p w:rsidR="008676F9" w:rsidRPr="008676F9" w:rsidRDefault="008676F9" w:rsidP="00F14F63">
      <w:pPr>
        <w:rPr>
          <w:rFonts w:ascii="Calibri" w:hAnsi="Calibri" w:cs="Calibri"/>
          <w:szCs w:val="22"/>
          <w:lang w:eastAsia="en-US"/>
        </w:rPr>
      </w:pPr>
    </w:p>
    <w:p w:rsidR="008676F9" w:rsidRPr="008676F9" w:rsidRDefault="008676F9" w:rsidP="00F14F63">
      <w:pPr>
        <w:rPr>
          <w:rFonts w:ascii="Calibri" w:hAnsi="Calibri" w:cs="Calibri"/>
          <w:szCs w:val="22"/>
          <w:u w:val="single"/>
          <w:lang w:eastAsia="en-US"/>
        </w:rPr>
      </w:pPr>
      <w:r w:rsidRPr="008676F9">
        <w:rPr>
          <w:rFonts w:ascii="Calibri" w:hAnsi="Calibri" w:cs="Calibri"/>
          <w:szCs w:val="22"/>
          <w:u w:val="single"/>
          <w:lang w:eastAsia="en-US"/>
        </w:rPr>
        <w:t>Súvislosť s inou legislatívou:</w:t>
      </w:r>
    </w:p>
    <w:p w:rsidR="008D12E7" w:rsidRPr="008676F9" w:rsidRDefault="008D12E7" w:rsidP="001F5283">
      <w:pPr>
        <w:numPr>
          <w:ilvl w:val="0"/>
          <w:numId w:val="82"/>
        </w:numPr>
        <w:rPr>
          <w:rFonts w:ascii="Calibri" w:hAnsi="Calibri" w:cs="Calibri"/>
          <w:szCs w:val="22"/>
          <w:lang w:eastAsia="en-US"/>
        </w:rPr>
      </w:pPr>
      <w:r w:rsidRPr="008676F9">
        <w:rPr>
          <w:rFonts w:ascii="Calibri" w:hAnsi="Calibri" w:cs="Calibri"/>
          <w:szCs w:val="22"/>
          <w:lang w:eastAsia="en-US"/>
        </w:rPr>
        <w:t>Občiansky zákonník č. 40/1964 Zb.;</w:t>
      </w:r>
    </w:p>
    <w:p w:rsidR="008D12E7" w:rsidRPr="008676F9" w:rsidRDefault="008D12E7" w:rsidP="001F5283">
      <w:pPr>
        <w:numPr>
          <w:ilvl w:val="0"/>
          <w:numId w:val="82"/>
        </w:numPr>
        <w:rPr>
          <w:rFonts w:ascii="Calibri" w:hAnsi="Calibri" w:cs="Calibri"/>
          <w:szCs w:val="22"/>
          <w:lang w:eastAsia="en-US"/>
        </w:rPr>
      </w:pPr>
      <w:r w:rsidRPr="008676F9">
        <w:rPr>
          <w:rFonts w:ascii="Calibri" w:hAnsi="Calibri" w:cs="Calibri"/>
          <w:szCs w:val="22"/>
          <w:lang w:eastAsia="en-US"/>
        </w:rPr>
        <w:t>Obchodný zákonník;</w:t>
      </w:r>
    </w:p>
    <w:p w:rsidR="008D12E7" w:rsidRPr="008676F9" w:rsidRDefault="008D12E7" w:rsidP="001F5283">
      <w:pPr>
        <w:numPr>
          <w:ilvl w:val="0"/>
          <w:numId w:val="82"/>
        </w:numPr>
        <w:rPr>
          <w:rFonts w:ascii="Calibri" w:hAnsi="Calibri" w:cs="Calibri"/>
          <w:szCs w:val="22"/>
          <w:lang w:eastAsia="en-US"/>
        </w:rPr>
      </w:pPr>
      <w:r w:rsidRPr="008676F9">
        <w:rPr>
          <w:rFonts w:ascii="Calibri" w:hAnsi="Calibri" w:cs="Calibri"/>
          <w:szCs w:val="22"/>
          <w:lang w:eastAsia="en-US"/>
        </w:rPr>
        <w:t>nariadenie (EÚ) č. 1308/2013, ktorým sa vytvára spoločná organizácia trhov s poľnohospodárskymi výrobkami;</w:t>
      </w:r>
    </w:p>
    <w:p w:rsidR="008D12E7" w:rsidRPr="008676F9" w:rsidRDefault="008D12E7" w:rsidP="001F5283">
      <w:pPr>
        <w:numPr>
          <w:ilvl w:val="0"/>
          <w:numId w:val="82"/>
        </w:numPr>
        <w:rPr>
          <w:rFonts w:ascii="Calibri" w:hAnsi="Calibri" w:cs="Calibri"/>
          <w:szCs w:val="22"/>
          <w:lang w:eastAsia="en-US"/>
        </w:rPr>
      </w:pPr>
      <w:r w:rsidRPr="008676F9">
        <w:rPr>
          <w:rFonts w:ascii="Calibri" w:hAnsi="Calibri" w:cs="Calibri"/>
          <w:szCs w:val="22"/>
          <w:lang w:eastAsia="en-US"/>
        </w:rPr>
        <w:t>zákon č. 543/2007 Z. z. o pôsobnosti orgánov štátnej správy pri poskytovaní podpory v pôdohospodárstve a rozvoji vidieka;</w:t>
      </w:r>
    </w:p>
    <w:p w:rsidR="008D12E7" w:rsidRPr="008676F9" w:rsidRDefault="008D12E7" w:rsidP="001F5283">
      <w:pPr>
        <w:numPr>
          <w:ilvl w:val="0"/>
          <w:numId w:val="82"/>
        </w:numPr>
        <w:rPr>
          <w:rFonts w:ascii="Calibri" w:hAnsi="Calibri" w:cs="Calibri"/>
          <w:szCs w:val="22"/>
          <w:lang w:eastAsia="en-US"/>
        </w:rPr>
      </w:pPr>
      <w:r w:rsidRPr="008676F9">
        <w:rPr>
          <w:rFonts w:ascii="Calibri" w:hAnsi="Calibri" w:cs="Calibri"/>
          <w:szCs w:val="22"/>
          <w:lang w:eastAsia="en-US"/>
        </w:rPr>
        <w:t>zákon č. 39/2007 Z. z. o veterinárnej starostlivosti;</w:t>
      </w:r>
    </w:p>
    <w:p w:rsidR="008D12E7" w:rsidRPr="008676F9" w:rsidRDefault="008D12E7" w:rsidP="001F5283">
      <w:pPr>
        <w:numPr>
          <w:ilvl w:val="0"/>
          <w:numId w:val="82"/>
        </w:numPr>
        <w:rPr>
          <w:rFonts w:ascii="Calibri" w:hAnsi="Calibri" w:cs="Calibri"/>
          <w:szCs w:val="22"/>
          <w:lang w:eastAsia="en-US"/>
        </w:rPr>
      </w:pPr>
      <w:r w:rsidRPr="008676F9">
        <w:rPr>
          <w:rFonts w:ascii="Calibri" w:hAnsi="Calibri" w:cs="Calibri"/>
          <w:szCs w:val="22"/>
          <w:lang w:eastAsia="en-US"/>
        </w:rPr>
        <w:t>nariadenie 199/2005 Z. z. o ochranných opatreniach proti zavlečeniu  a rozširovaniu organizmov škodlivých pre rastliny alebo rastlinné produkty;</w:t>
      </w:r>
    </w:p>
    <w:p w:rsidR="008D12E7" w:rsidRPr="008676F9" w:rsidRDefault="008D12E7" w:rsidP="001F5283">
      <w:pPr>
        <w:numPr>
          <w:ilvl w:val="0"/>
          <w:numId w:val="82"/>
        </w:numPr>
        <w:rPr>
          <w:rFonts w:ascii="Calibri" w:hAnsi="Calibri" w:cs="Calibri"/>
          <w:szCs w:val="22"/>
          <w:lang w:eastAsia="en-US"/>
        </w:rPr>
      </w:pPr>
      <w:r w:rsidRPr="008676F9">
        <w:rPr>
          <w:rFonts w:ascii="Calibri" w:hAnsi="Calibri" w:cs="Calibri"/>
          <w:szCs w:val="22"/>
          <w:lang w:eastAsia="en-US"/>
        </w:rPr>
        <w:t>zákon č. 405/2011 Z. z. o rastlinolekárskej starostlivosti</w:t>
      </w:r>
      <w:r>
        <w:rPr>
          <w:rFonts w:ascii="Calibri" w:hAnsi="Calibri" w:cs="Calibri"/>
          <w:szCs w:val="22"/>
          <w:lang w:eastAsia="en-US"/>
        </w:rPr>
        <w:t xml:space="preserve"> a o zmene zákona NR SR č. 145/1995 Z. z. o správnych poplatkoch v znení neskorších predpisov</w:t>
      </w:r>
      <w:r w:rsidRPr="008676F9">
        <w:rPr>
          <w:rFonts w:ascii="Calibri" w:hAnsi="Calibri" w:cs="Calibri"/>
          <w:szCs w:val="22"/>
          <w:lang w:eastAsia="en-US"/>
        </w:rPr>
        <w:t xml:space="preserve">; </w:t>
      </w:r>
    </w:p>
    <w:p w:rsidR="008D12E7" w:rsidRDefault="008D12E7" w:rsidP="001F5283">
      <w:pPr>
        <w:numPr>
          <w:ilvl w:val="0"/>
          <w:numId w:val="82"/>
        </w:numPr>
        <w:rPr>
          <w:rFonts w:ascii="Calibri" w:hAnsi="Calibri" w:cs="Calibri"/>
          <w:szCs w:val="22"/>
          <w:lang w:eastAsia="en-US"/>
        </w:rPr>
      </w:pPr>
      <w:r w:rsidRPr="008676F9">
        <w:rPr>
          <w:rFonts w:ascii="Calibri" w:hAnsi="Calibri" w:cs="Calibri"/>
          <w:szCs w:val="22"/>
          <w:lang w:eastAsia="en-US"/>
        </w:rPr>
        <w:t>zákon č. 220/2004 Z. z. o ochrane a využívaní poľnohospodárskej pôdy</w:t>
      </w:r>
      <w:r>
        <w:rPr>
          <w:rFonts w:ascii="Calibri" w:hAnsi="Calibri" w:cs="Calibri"/>
          <w:szCs w:val="22"/>
          <w:lang w:eastAsia="en-US"/>
        </w:rPr>
        <w:t>,</w:t>
      </w:r>
    </w:p>
    <w:p w:rsidR="008D12E7" w:rsidRPr="00D3249E" w:rsidRDefault="008D12E7" w:rsidP="001F5283">
      <w:pPr>
        <w:numPr>
          <w:ilvl w:val="0"/>
          <w:numId w:val="82"/>
        </w:numPr>
        <w:rPr>
          <w:rFonts w:ascii="Calibri" w:hAnsi="Calibri" w:cs="Calibri"/>
          <w:szCs w:val="22"/>
          <w:lang w:eastAsia="en-US"/>
        </w:rPr>
      </w:pPr>
      <w:r>
        <w:rPr>
          <w:rFonts w:ascii="Calibri" w:hAnsi="Calibri" w:cs="Calibri"/>
          <w:szCs w:val="22"/>
          <w:lang w:eastAsia="en-US"/>
        </w:rPr>
        <w:t xml:space="preserve">zákon č. 525/2003 Z. z. </w:t>
      </w:r>
      <w:r w:rsidRPr="00FB6015">
        <w:rPr>
          <w:rFonts w:ascii="Calibri" w:hAnsi="Calibri" w:cs="Calibri"/>
          <w:szCs w:val="22"/>
          <w:lang w:eastAsia="en-US"/>
        </w:rPr>
        <w:t>o štátnej správe starostlivosti o životné prostredie</w:t>
      </w:r>
      <w:r>
        <w:rPr>
          <w:rFonts w:ascii="Calibri" w:hAnsi="Calibri" w:cs="Calibri"/>
          <w:szCs w:val="22"/>
          <w:lang w:eastAsia="en-US"/>
        </w:rPr>
        <w:t xml:space="preserve"> </w:t>
      </w:r>
      <w:r w:rsidRPr="00FB6015">
        <w:rPr>
          <w:rFonts w:ascii="Calibri" w:hAnsi="Calibri" w:cs="Calibri"/>
          <w:szCs w:val="22"/>
          <w:lang w:eastAsia="en-US"/>
        </w:rPr>
        <w:t>a o zmene a doplnení niektorých zákonov</w:t>
      </w:r>
      <w:r>
        <w:rPr>
          <w:rFonts w:ascii="Calibri" w:hAnsi="Calibri" w:cs="Calibri"/>
          <w:szCs w:val="22"/>
          <w:lang w:eastAsia="en-US"/>
        </w:rPr>
        <w:t>.</w:t>
      </w:r>
    </w:p>
    <w:p w:rsidR="008676F9" w:rsidRPr="008676F9" w:rsidRDefault="008676F9" w:rsidP="00F14F63">
      <w:pPr>
        <w:rPr>
          <w:rFonts w:ascii="Calibri" w:hAnsi="Calibri" w:cs="Calibri"/>
          <w:szCs w:val="22"/>
          <w:lang w:eastAsia="en-US"/>
        </w:rPr>
      </w:pPr>
    </w:p>
    <w:p w:rsidR="008676F9" w:rsidRPr="008676F9" w:rsidRDefault="008676F9" w:rsidP="00F14F63">
      <w:pPr>
        <w:rPr>
          <w:rFonts w:ascii="Calibri" w:hAnsi="Calibri" w:cs="Calibri"/>
          <w:szCs w:val="22"/>
          <w:u w:val="single"/>
          <w:lang w:eastAsia="en-US"/>
        </w:rPr>
      </w:pPr>
      <w:r w:rsidRPr="008676F9">
        <w:rPr>
          <w:rFonts w:ascii="Calibri" w:hAnsi="Calibri" w:cs="Calibri"/>
          <w:szCs w:val="22"/>
          <w:u w:val="single"/>
          <w:lang w:eastAsia="en-US"/>
        </w:rPr>
        <w:t>Prijímateľ podpory:</w:t>
      </w:r>
    </w:p>
    <w:p w:rsidR="008676F9" w:rsidRPr="008676F9" w:rsidRDefault="008676F9" w:rsidP="00F14F63">
      <w:pPr>
        <w:rPr>
          <w:rFonts w:ascii="Calibri" w:hAnsi="Calibri" w:cs="Calibri"/>
          <w:szCs w:val="22"/>
          <w:lang w:eastAsia="en-US"/>
        </w:rPr>
      </w:pPr>
      <w:r w:rsidRPr="008676F9">
        <w:rPr>
          <w:rFonts w:ascii="Calibri" w:hAnsi="Calibri" w:cs="Calibri"/>
          <w:szCs w:val="22"/>
          <w:lang w:eastAsia="en-US"/>
        </w:rPr>
        <w:t>Vzájomné fondy akreditované Ministerstvom pôdohospodárstva a rozvoja vidieka SR od začiatku do konca programovacieho obdobia (od 1.1.2014 do 31.12.2020).</w:t>
      </w:r>
    </w:p>
    <w:p w:rsidR="008676F9" w:rsidRPr="008676F9" w:rsidRDefault="008676F9" w:rsidP="00F14F63">
      <w:pPr>
        <w:rPr>
          <w:rFonts w:ascii="Calibri" w:hAnsi="Calibri" w:cs="Calibri"/>
          <w:szCs w:val="22"/>
          <w:u w:val="single"/>
          <w:lang w:eastAsia="en-US"/>
        </w:rPr>
      </w:pPr>
    </w:p>
    <w:p w:rsidR="008676F9" w:rsidRPr="008676F9" w:rsidRDefault="008676F9" w:rsidP="00F14F63">
      <w:pPr>
        <w:rPr>
          <w:rFonts w:ascii="Calibri" w:hAnsi="Calibri" w:cs="Calibri"/>
          <w:szCs w:val="22"/>
          <w:u w:val="single"/>
          <w:lang w:eastAsia="en-US"/>
        </w:rPr>
      </w:pPr>
      <w:r w:rsidRPr="008676F9">
        <w:rPr>
          <w:rFonts w:ascii="Calibri" w:hAnsi="Calibri" w:cs="Calibri"/>
          <w:szCs w:val="22"/>
          <w:u w:val="single"/>
          <w:lang w:eastAsia="en-US"/>
        </w:rPr>
        <w:t>Oprávnené náklady:</w:t>
      </w:r>
    </w:p>
    <w:p w:rsidR="008676F9" w:rsidRPr="008676F9" w:rsidRDefault="008676F9" w:rsidP="001F5283">
      <w:pPr>
        <w:numPr>
          <w:ilvl w:val="1"/>
          <w:numId w:val="79"/>
        </w:numPr>
        <w:ind w:left="284" w:hanging="284"/>
        <w:rPr>
          <w:rFonts w:ascii="Calibri" w:hAnsi="Calibri" w:cs="Calibri"/>
          <w:szCs w:val="22"/>
          <w:lang w:eastAsia="en-US"/>
        </w:rPr>
      </w:pPr>
      <w:r w:rsidRPr="008676F9">
        <w:rPr>
          <w:rFonts w:ascii="Calibri" w:hAnsi="Calibri" w:cs="Calibri"/>
          <w:szCs w:val="22"/>
          <w:lang w:eastAsia="en-US"/>
        </w:rPr>
        <w:t>administratívne náklady na zriadenie vzájomného fondu rozložené degresívnym spôsobom najviac na tri roky;</w:t>
      </w:r>
    </w:p>
    <w:p w:rsidR="008676F9" w:rsidRPr="008676F9" w:rsidRDefault="008676F9" w:rsidP="001F5283">
      <w:pPr>
        <w:numPr>
          <w:ilvl w:val="1"/>
          <w:numId w:val="79"/>
        </w:numPr>
        <w:ind w:left="284" w:hanging="284"/>
        <w:rPr>
          <w:rFonts w:ascii="Calibri" w:hAnsi="Calibri" w:cs="Calibri"/>
          <w:szCs w:val="22"/>
          <w:lang w:eastAsia="en-US"/>
        </w:rPr>
      </w:pPr>
      <w:r w:rsidRPr="008676F9">
        <w:rPr>
          <w:rFonts w:ascii="Calibri" w:hAnsi="Calibri" w:cs="Calibri"/>
          <w:szCs w:val="22"/>
          <w:lang w:eastAsia="en-US"/>
        </w:rPr>
        <w:t>sumy vyplatené vzájomným fondom ako finančná kompenzácia poľnohospodárom;</w:t>
      </w:r>
    </w:p>
    <w:p w:rsidR="008676F9" w:rsidRDefault="008676F9" w:rsidP="001F5283">
      <w:pPr>
        <w:numPr>
          <w:ilvl w:val="1"/>
          <w:numId w:val="79"/>
        </w:numPr>
        <w:ind w:left="284" w:hanging="284"/>
        <w:rPr>
          <w:rFonts w:ascii="Calibri" w:hAnsi="Calibri" w:cs="Calibri"/>
          <w:szCs w:val="22"/>
          <w:lang w:eastAsia="en-US"/>
        </w:rPr>
      </w:pPr>
      <w:r w:rsidRPr="008676F9">
        <w:rPr>
          <w:rFonts w:ascii="Calibri" w:hAnsi="Calibri" w:cs="Calibri"/>
          <w:szCs w:val="22"/>
          <w:lang w:eastAsia="en-US"/>
        </w:rPr>
        <w:t>úroky z komerčných úverov, ktoré vzájomný fond čerpá na účel vyplatenia finančnej kompenzácie poľnohospodárom v prípade krízy.</w:t>
      </w:r>
    </w:p>
    <w:p w:rsidR="003F6575" w:rsidRPr="008676F9" w:rsidRDefault="003F6575" w:rsidP="003F6575">
      <w:pPr>
        <w:ind w:left="284"/>
        <w:rPr>
          <w:rFonts w:ascii="Calibri" w:hAnsi="Calibri" w:cs="Calibri"/>
          <w:szCs w:val="22"/>
          <w:lang w:eastAsia="en-US"/>
        </w:rPr>
      </w:pPr>
    </w:p>
    <w:p w:rsidR="008676F9" w:rsidRPr="008676F9" w:rsidRDefault="008676F9" w:rsidP="00F14F63">
      <w:pPr>
        <w:rPr>
          <w:rFonts w:ascii="Calibri" w:hAnsi="Calibri" w:cs="Calibri"/>
          <w:szCs w:val="22"/>
          <w:lang w:eastAsia="en-US"/>
        </w:rPr>
      </w:pPr>
      <w:r w:rsidRPr="008676F9">
        <w:rPr>
          <w:rFonts w:ascii="Calibri" w:hAnsi="Calibri" w:cs="Calibri"/>
          <w:szCs w:val="22"/>
          <w:lang w:eastAsia="en-US"/>
        </w:rPr>
        <w:t>Štát môže obmedziť náklady, ktoré sú oprávnené na podporu, uplatnením:</w:t>
      </w:r>
    </w:p>
    <w:p w:rsidR="008676F9" w:rsidRPr="008676F9" w:rsidRDefault="008676F9" w:rsidP="00955DA4">
      <w:pPr>
        <w:numPr>
          <w:ilvl w:val="1"/>
          <w:numId w:val="226"/>
        </w:numPr>
        <w:ind w:left="426" w:hanging="426"/>
        <w:rPr>
          <w:rFonts w:ascii="Calibri" w:hAnsi="Calibri" w:cs="Calibri"/>
          <w:szCs w:val="22"/>
          <w:lang w:eastAsia="en-US"/>
        </w:rPr>
      </w:pPr>
      <w:r w:rsidRPr="008676F9">
        <w:rPr>
          <w:rFonts w:ascii="Calibri" w:hAnsi="Calibri" w:cs="Calibri"/>
          <w:szCs w:val="22"/>
          <w:lang w:eastAsia="en-US"/>
        </w:rPr>
        <w:t>stropov na každý fond;</w:t>
      </w:r>
    </w:p>
    <w:p w:rsidR="008676F9" w:rsidRPr="008676F9" w:rsidRDefault="008676F9" w:rsidP="00955DA4">
      <w:pPr>
        <w:numPr>
          <w:ilvl w:val="1"/>
          <w:numId w:val="226"/>
        </w:numPr>
        <w:ind w:left="426" w:hanging="426"/>
        <w:rPr>
          <w:rFonts w:ascii="Calibri" w:hAnsi="Calibri" w:cs="Calibri"/>
          <w:szCs w:val="22"/>
          <w:lang w:eastAsia="en-US"/>
        </w:rPr>
      </w:pPr>
      <w:r w:rsidRPr="008676F9">
        <w:rPr>
          <w:rFonts w:ascii="Calibri" w:hAnsi="Calibri" w:cs="Calibri"/>
          <w:szCs w:val="22"/>
          <w:lang w:eastAsia="en-US"/>
        </w:rPr>
        <w:t>primeraných stropov na jednotku (napr. na člena vzájomného fondu alebo podľa jednotky produkcie krytej vzájomným fondom).</w:t>
      </w:r>
    </w:p>
    <w:p w:rsidR="008676F9" w:rsidRPr="008676F9" w:rsidRDefault="008676F9" w:rsidP="00F14F63">
      <w:pPr>
        <w:rPr>
          <w:rFonts w:ascii="Calibri" w:hAnsi="Calibri" w:cs="Calibri"/>
          <w:szCs w:val="22"/>
          <w:lang w:eastAsia="en-US"/>
        </w:rPr>
      </w:pPr>
    </w:p>
    <w:p w:rsidR="008676F9" w:rsidRPr="008676F9" w:rsidRDefault="008676F9" w:rsidP="00F14F63">
      <w:pPr>
        <w:rPr>
          <w:rFonts w:ascii="Calibri" w:hAnsi="Calibri" w:cs="Calibri"/>
          <w:szCs w:val="22"/>
          <w:u w:val="single"/>
          <w:lang w:eastAsia="en-US"/>
        </w:rPr>
      </w:pPr>
      <w:r w:rsidRPr="008676F9">
        <w:rPr>
          <w:rFonts w:ascii="Calibri" w:hAnsi="Calibri" w:cs="Calibri"/>
          <w:szCs w:val="22"/>
          <w:u w:val="single"/>
          <w:lang w:eastAsia="en-US"/>
        </w:rPr>
        <w:t>Podmienky oprávnenosti:</w:t>
      </w:r>
    </w:p>
    <w:p w:rsidR="008676F9" w:rsidRPr="008676F9" w:rsidRDefault="008676F9" w:rsidP="00F14F63">
      <w:pPr>
        <w:rPr>
          <w:rFonts w:ascii="Calibri" w:hAnsi="Calibri" w:cs="Calibri"/>
          <w:szCs w:val="22"/>
          <w:lang w:eastAsia="en-US"/>
        </w:rPr>
      </w:pPr>
      <w:r w:rsidRPr="008676F9">
        <w:rPr>
          <w:rFonts w:ascii="Calibri" w:hAnsi="Calibri" w:cs="Calibri"/>
          <w:szCs w:val="22"/>
          <w:lang w:eastAsia="en-US"/>
        </w:rPr>
        <w:t>Vzájomný fond je oprávnený na podporu, ak :</w:t>
      </w:r>
    </w:p>
    <w:p w:rsidR="008676F9" w:rsidRPr="00F14F63" w:rsidRDefault="008676F9" w:rsidP="00955DA4">
      <w:pPr>
        <w:numPr>
          <w:ilvl w:val="0"/>
          <w:numId w:val="227"/>
        </w:numPr>
        <w:rPr>
          <w:rFonts w:ascii="Calibri" w:hAnsi="Calibri" w:cs="Calibri"/>
          <w:szCs w:val="22"/>
          <w:lang w:eastAsia="en-US"/>
        </w:rPr>
      </w:pPr>
      <w:r w:rsidRPr="008676F9">
        <w:rPr>
          <w:rFonts w:ascii="Calibri" w:hAnsi="Calibri" w:cs="Calibri"/>
          <w:szCs w:val="22"/>
          <w:lang w:eastAsia="en-US"/>
        </w:rPr>
        <w:t xml:space="preserve">je </w:t>
      </w:r>
      <w:r w:rsidRPr="00F14F63">
        <w:rPr>
          <w:rFonts w:ascii="Calibri" w:hAnsi="Calibri" w:cs="Calibri"/>
          <w:szCs w:val="22"/>
          <w:lang w:eastAsia="en-US"/>
        </w:rPr>
        <w:t xml:space="preserve">akreditovaný Ministerstvom pôdohospodárstva a rozvoja vidieka SR v súlade s vnútroštátnymi predpismi; </w:t>
      </w:r>
    </w:p>
    <w:p w:rsidR="008676F9" w:rsidRPr="00F14F63" w:rsidRDefault="008676F9" w:rsidP="00955DA4">
      <w:pPr>
        <w:numPr>
          <w:ilvl w:val="0"/>
          <w:numId w:val="227"/>
        </w:numPr>
        <w:rPr>
          <w:rFonts w:ascii="Calibri" w:hAnsi="Calibri" w:cs="Calibri"/>
          <w:szCs w:val="22"/>
          <w:lang w:eastAsia="en-US"/>
        </w:rPr>
      </w:pPr>
      <w:r w:rsidRPr="00F14F63">
        <w:rPr>
          <w:rFonts w:ascii="Calibri" w:hAnsi="Calibri" w:cs="Calibri"/>
          <w:szCs w:val="22"/>
          <w:lang w:eastAsia="en-US"/>
        </w:rPr>
        <w:t xml:space="preserve">má transparentnú politiku platieb do fondu a výberov z fondu; a </w:t>
      </w:r>
    </w:p>
    <w:p w:rsidR="008676F9" w:rsidRPr="00F14F63" w:rsidRDefault="008676F9" w:rsidP="00955DA4">
      <w:pPr>
        <w:numPr>
          <w:ilvl w:val="0"/>
          <w:numId w:val="227"/>
        </w:numPr>
        <w:rPr>
          <w:rFonts w:ascii="Calibri" w:hAnsi="Calibri" w:cs="Calibri"/>
          <w:szCs w:val="22"/>
          <w:lang w:eastAsia="en-US"/>
        </w:rPr>
      </w:pPr>
      <w:r w:rsidRPr="00F14F63">
        <w:rPr>
          <w:rFonts w:ascii="Calibri" w:hAnsi="Calibri" w:cs="Calibri"/>
          <w:szCs w:val="22"/>
          <w:lang w:eastAsia="en-US"/>
        </w:rPr>
        <w:t>má jasné pravidlá pridelenia zodpovednosti za akékoľvek vzniknuté dlhy.</w:t>
      </w:r>
    </w:p>
    <w:p w:rsidR="008676F9" w:rsidRPr="00F14F63" w:rsidRDefault="008676F9" w:rsidP="00F14F63">
      <w:pPr>
        <w:rPr>
          <w:rFonts w:ascii="Calibri" w:hAnsi="Calibri" w:cs="Calibri"/>
          <w:szCs w:val="22"/>
          <w:lang w:eastAsia="en-US"/>
        </w:rPr>
      </w:pPr>
    </w:p>
    <w:p w:rsidR="008676F9" w:rsidRPr="00F14F63" w:rsidRDefault="008676F9" w:rsidP="00F14F63">
      <w:pPr>
        <w:rPr>
          <w:rFonts w:ascii="Calibri" w:hAnsi="Calibri" w:cs="Calibri"/>
          <w:szCs w:val="22"/>
          <w:lang w:eastAsia="en-US"/>
        </w:rPr>
      </w:pPr>
      <w:r w:rsidRPr="00F14F63">
        <w:rPr>
          <w:rFonts w:ascii="Calibri" w:hAnsi="Calibri" w:cs="Calibri"/>
          <w:szCs w:val="22"/>
          <w:lang w:eastAsia="en-US"/>
        </w:rPr>
        <w:t>Z hľadiska účelu vzájomných fondov a očakávaného okruhu činností, ktoré majú vykonávať, budú mať vzájomné fondy formu právnických osôb (existujúcich alebo novovznikajúcich) založených podľa § 20f a nasl. Občianskeho zákonníka č. 40/1964 Zb. ako záujmové združenia právnických osôb alebo ako obchodné spoločnosti alebo družstvá podľa Obchodného zákonníka č. 513/1991 Zb.</w:t>
      </w:r>
    </w:p>
    <w:p w:rsidR="008676F9" w:rsidRPr="00F14F63" w:rsidRDefault="008676F9" w:rsidP="00F14F63">
      <w:pPr>
        <w:rPr>
          <w:rFonts w:ascii="Calibri" w:hAnsi="Calibri" w:cs="Calibri"/>
          <w:szCs w:val="22"/>
          <w:lang w:eastAsia="en-US"/>
        </w:rPr>
      </w:pPr>
    </w:p>
    <w:p w:rsidR="008676F9" w:rsidRPr="00F14F63" w:rsidRDefault="008676F9" w:rsidP="003F6575">
      <w:pPr>
        <w:spacing w:after="120"/>
        <w:rPr>
          <w:rFonts w:ascii="Calibri" w:hAnsi="Calibri" w:cs="Calibri"/>
          <w:szCs w:val="22"/>
          <w:lang w:eastAsia="en-US"/>
        </w:rPr>
      </w:pPr>
      <w:r w:rsidRPr="00F14F63">
        <w:rPr>
          <w:rFonts w:ascii="Calibri" w:hAnsi="Calibri" w:cs="Calibri"/>
          <w:szCs w:val="22"/>
          <w:lang w:eastAsia="en-US"/>
        </w:rPr>
        <w:t>Vzájomné fondy, ktoré žiadajú o podporu z Programu rozvoja vidieka SR 2014 - 2020, predkladajú žiadosť o nenávratný finančný príspevok, obsahujúcu všetky informácie nevyhnutné na určenie oprávnenosti na podporu, a to najmä:</w:t>
      </w:r>
    </w:p>
    <w:p w:rsidR="008676F9" w:rsidRPr="00F14F63" w:rsidRDefault="008676F9" w:rsidP="00955DA4">
      <w:pPr>
        <w:numPr>
          <w:ilvl w:val="0"/>
          <w:numId w:val="229"/>
        </w:numPr>
        <w:spacing w:after="120"/>
        <w:ind w:left="284" w:hanging="284"/>
        <w:rPr>
          <w:rFonts w:ascii="Calibri" w:hAnsi="Calibri" w:cs="Calibri"/>
          <w:szCs w:val="22"/>
          <w:lang w:eastAsia="en-US"/>
        </w:rPr>
      </w:pPr>
      <w:r w:rsidRPr="00F14F63">
        <w:rPr>
          <w:rFonts w:ascii="Calibri" w:hAnsi="Calibri" w:cs="Calibri"/>
          <w:szCs w:val="22"/>
          <w:lang w:eastAsia="en-US"/>
        </w:rPr>
        <w:t>totožnosť vzájomného fondu (identifikačné údaje),</w:t>
      </w:r>
    </w:p>
    <w:p w:rsidR="008676F9" w:rsidRPr="00F14F63" w:rsidRDefault="008676F9" w:rsidP="00955DA4">
      <w:pPr>
        <w:numPr>
          <w:ilvl w:val="0"/>
          <w:numId w:val="229"/>
        </w:numPr>
        <w:ind w:left="284" w:hanging="284"/>
        <w:rPr>
          <w:rFonts w:ascii="Calibri" w:hAnsi="Calibri" w:cs="Calibri"/>
          <w:szCs w:val="22"/>
          <w:lang w:eastAsia="en-US"/>
        </w:rPr>
      </w:pPr>
      <w:r w:rsidRPr="00F14F63">
        <w:rPr>
          <w:rFonts w:ascii="Calibri" w:hAnsi="Calibri" w:cs="Calibri"/>
          <w:szCs w:val="22"/>
          <w:lang w:eastAsia="en-US"/>
        </w:rPr>
        <w:t xml:space="preserve">štatút fondu definujúci minimálne nasledovné pravidlá: </w:t>
      </w:r>
    </w:p>
    <w:p w:rsidR="008676F9" w:rsidRPr="00F14F63" w:rsidRDefault="008676F9" w:rsidP="00F14F63">
      <w:pPr>
        <w:ind w:left="284"/>
        <w:rPr>
          <w:rFonts w:ascii="Calibri" w:hAnsi="Calibri" w:cs="Calibri"/>
          <w:i/>
          <w:szCs w:val="22"/>
          <w:lang w:eastAsia="en-US"/>
        </w:rPr>
      </w:pPr>
      <w:r w:rsidRPr="00F14F63">
        <w:rPr>
          <w:rFonts w:ascii="Calibri" w:hAnsi="Calibri" w:cs="Calibri"/>
          <w:i/>
          <w:szCs w:val="22"/>
          <w:lang w:eastAsia="en-US"/>
        </w:rPr>
        <w:t>•</w:t>
      </w:r>
      <w:r w:rsidRPr="00F14F63">
        <w:rPr>
          <w:rFonts w:ascii="Calibri" w:hAnsi="Calibri" w:cs="Calibri"/>
          <w:i/>
          <w:szCs w:val="22"/>
          <w:lang w:eastAsia="en-US"/>
        </w:rPr>
        <w:tab/>
        <w:t>organizačná štruktúra a orgány vzájomného fondu,</w:t>
      </w:r>
    </w:p>
    <w:p w:rsidR="008676F9" w:rsidRPr="00F14F63" w:rsidRDefault="008676F9" w:rsidP="00F14F63">
      <w:pPr>
        <w:ind w:left="284"/>
        <w:rPr>
          <w:rFonts w:ascii="Calibri" w:hAnsi="Calibri" w:cs="Calibri"/>
          <w:i/>
          <w:szCs w:val="22"/>
          <w:lang w:eastAsia="en-US"/>
        </w:rPr>
      </w:pPr>
      <w:r w:rsidRPr="00F14F63">
        <w:rPr>
          <w:rFonts w:ascii="Calibri" w:hAnsi="Calibri" w:cs="Calibri"/>
          <w:i/>
          <w:szCs w:val="22"/>
          <w:lang w:eastAsia="en-US"/>
        </w:rPr>
        <w:t>•</w:t>
      </w:r>
      <w:r w:rsidRPr="00F14F63">
        <w:rPr>
          <w:rFonts w:ascii="Calibri" w:hAnsi="Calibri" w:cs="Calibri"/>
          <w:i/>
          <w:szCs w:val="22"/>
          <w:lang w:eastAsia="en-US"/>
        </w:rPr>
        <w:tab/>
        <w:t>predmet činnosti vzájomného fondu,</w:t>
      </w:r>
    </w:p>
    <w:p w:rsidR="008676F9" w:rsidRPr="00F14F63" w:rsidRDefault="008676F9" w:rsidP="00F14F63">
      <w:pPr>
        <w:ind w:left="284"/>
        <w:rPr>
          <w:rFonts w:ascii="Calibri" w:hAnsi="Calibri" w:cs="Calibri"/>
          <w:i/>
          <w:szCs w:val="22"/>
          <w:lang w:eastAsia="en-US"/>
        </w:rPr>
      </w:pPr>
      <w:r w:rsidRPr="00F14F63">
        <w:rPr>
          <w:rFonts w:ascii="Calibri" w:hAnsi="Calibri" w:cs="Calibri"/>
          <w:i/>
          <w:szCs w:val="22"/>
          <w:lang w:eastAsia="en-US"/>
        </w:rPr>
        <w:t>•</w:t>
      </w:r>
      <w:r w:rsidRPr="00F14F63">
        <w:rPr>
          <w:rFonts w:ascii="Calibri" w:hAnsi="Calibri" w:cs="Calibri"/>
          <w:i/>
          <w:szCs w:val="22"/>
          <w:lang w:eastAsia="en-US"/>
        </w:rPr>
        <w:tab/>
        <w:t>finančné zdroje vzájomného fondu,</w:t>
      </w:r>
    </w:p>
    <w:p w:rsidR="008676F9" w:rsidRPr="00F14F63" w:rsidRDefault="008676F9" w:rsidP="00F14F63">
      <w:pPr>
        <w:ind w:left="284"/>
        <w:rPr>
          <w:rFonts w:ascii="Calibri" w:hAnsi="Calibri" w:cs="Calibri"/>
          <w:i/>
          <w:szCs w:val="22"/>
          <w:lang w:eastAsia="en-US"/>
        </w:rPr>
      </w:pPr>
      <w:r w:rsidRPr="00F14F63">
        <w:rPr>
          <w:rFonts w:ascii="Calibri" w:hAnsi="Calibri" w:cs="Calibri"/>
          <w:i/>
          <w:szCs w:val="22"/>
          <w:lang w:eastAsia="en-US"/>
        </w:rPr>
        <w:t>•</w:t>
      </w:r>
      <w:r w:rsidRPr="00F14F63">
        <w:rPr>
          <w:rFonts w:ascii="Calibri" w:hAnsi="Calibri" w:cs="Calibri"/>
          <w:i/>
          <w:szCs w:val="22"/>
          <w:lang w:eastAsia="en-US"/>
        </w:rPr>
        <w:tab/>
        <w:t>minimálny počet členov vzájomného fondu (kritická masa),</w:t>
      </w:r>
    </w:p>
    <w:p w:rsidR="008676F9" w:rsidRPr="00F14F63" w:rsidRDefault="008676F9" w:rsidP="00F14F63">
      <w:pPr>
        <w:ind w:left="284"/>
        <w:rPr>
          <w:rFonts w:ascii="Calibri" w:hAnsi="Calibri" w:cs="Calibri"/>
          <w:i/>
          <w:szCs w:val="22"/>
          <w:lang w:eastAsia="en-US"/>
        </w:rPr>
      </w:pPr>
      <w:r w:rsidRPr="00F14F63">
        <w:rPr>
          <w:rFonts w:ascii="Calibri" w:hAnsi="Calibri" w:cs="Calibri"/>
          <w:i/>
          <w:szCs w:val="22"/>
          <w:lang w:eastAsia="en-US"/>
        </w:rPr>
        <w:t>•</w:t>
      </w:r>
      <w:r w:rsidRPr="00F14F63">
        <w:rPr>
          <w:rFonts w:ascii="Calibri" w:hAnsi="Calibri" w:cs="Calibri"/>
          <w:i/>
          <w:szCs w:val="22"/>
          <w:lang w:eastAsia="en-US"/>
        </w:rPr>
        <w:tab/>
        <w:t xml:space="preserve">založenie a základné podmienky vstupu členov do vzájomného fondu, </w:t>
      </w:r>
    </w:p>
    <w:p w:rsidR="008676F9" w:rsidRPr="00F14F63" w:rsidRDefault="008676F9" w:rsidP="00F14F63">
      <w:pPr>
        <w:ind w:left="284"/>
        <w:rPr>
          <w:rFonts w:ascii="Calibri" w:hAnsi="Calibri" w:cs="Calibri"/>
          <w:i/>
          <w:szCs w:val="22"/>
          <w:lang w:eastAsia="en-US"/>
        </w:rPr>
      </w:pPr>
      <w:r w:rsidRPr="00F14F63">
        <w:rPr>
          <w:rFonts w:ascii="Calibri" w:hAnsi="Calibri" w:cs="Calibri"/>
          <w:i/>
          <w:szCs w:val="22"/>
          <w:lang w:eastAsia="en-US"/>
        </w:rPr>
        <w:t>•</w:t>
      </w:r>
      <w:r w:rsidRPr="00F14F63">
        <w:rPr>
          <w:rFonts w:ascii="Calibri" w:hAnsi="Calibri" w:cs="Calibri"/>
          <w:i/>
          <w:szCs w:val="22"/>
          <w:lang w:eastAsia="en-US"/>
        </w:rPr>
        <w:tab/>
        <w:t xml:space="preserve">podmienky výstupu členov zo vzájomného fondu, </w:t>
      </w:r>
    </w:p>
    <w:p w:rsidR="008676F9" w:rsidRPr="00F14F63" w:rsidRDefault="008676F9" w:rsidP="00962FCB">
      <w:pPr>
        <w:spacing w:after="120"/>
        <w:ind w:left="284"/>
        <w:rPr>
          <w:rFonts w:ascii="Calibri" w:hAnsi="Calibri" w:cs="Calibri"/>
          <w:i/>
          <w:szCs w:val="22"/>
          <w:lang w:eastAsia="en-US"/>
        </w:rPr>
      </w:pPr>
      <w:r w:rsidRPr="00F14F63">
        <w:rPr>
          <w:rFonts w:ascii="Calibri" w:hAnsi="Calibri" w:cs="Calibri"/>
          <w:i/>
          <w:szCs w:val="22"/>
          <w:lang w:eastAsia="en-US"/>
        </w:rPr>
        <w:t>•</w:t>
      </w:r>
      <w:r w:rsidRPr="00F14F63">
        <w:rPr>
          <w:rFonts w:ascii="Calibri" w:hAnsi="Calibri" w:cs="Calibri"/>
          <w:i/>
          <w:szCs w:val="22"/>
          <w:lang w:eastAsia="en-US"/>
        </w:rPr>
        <w:tab/>
        <w:t>zánik vzájomného fondu,</w:t>
      </w:r>
    </w:p>
    <w:p w:rsidR="008676F9" w:rsidRPr="00F14F63" w:rsidRDefault="008676F9" w:rsidP="00955DA4">
      <w:pPr>
        <w:numPr>
          <w:ilvl w:val="0"/>
          <w:numId w:val="228"/>
        </w:numPr>
        <w:tabs>
          <w:tab w:val="num" w:pos="284"/>
        </w:tabs>
        <w:spacing w:after="120"/>
        <w:ind w:left="284" w:hanging="284"/>
        <w:rPr>
          <w:rFonts w:ascii="Calibri" w:hAnsi="Calibri" w:cs="Calibri"/>
          <w:szCs w:val="22"/>
          <w:lang w:eastAsia="en-US"/>
        </w:rPr>
      </w:pPr>
      <w:r w:rsidRPr="00F14F63">
        <w:rPr>
          <w:rFonts w:ascii="Calibri" w:hAnsi="Calibri" w:cs="Calibri"/>
          <w:szCs w:val="22"/>
          <w:lang w:eastAsia="en-US"/>
        </w:rPr>
        <w:t>spôsob výpočtu a termíny úhrad finančných príspevkov od členov,</w:t>
      </w:r>
    </w:p>
    <w:p w:rsidR="008676F9" w:rsidRPr="00F14F63" w:rsidRDefault="008676F9" w:rsidP="00955DA4">
      <w:pPr>
        <w:numPr>
          <w:ilvl w:val="0"/>
          <w:numId w:val="228"/>
        </w:numPr>
        <w:tabs>
          <w:tab w:val="num" w:pos="284"/>
        </w:tabs>
        <w:spacing w:after="120"/>
        <w:ind w:left="284" w:hanging="284"/>
        <w:rPr>
          <w:rFonts w:ascii="Calibri" w:hAnsi="Calibri" w:cs="Calibri"/>
          <w:szCs w:val="22"/>
          <w:lang w:eastAsia="en-US"/>
        </w:rPr>
      </w:pPr>
      <w:r w:rsidRPr="00F14F63">
        <w:rPr>
          <w:rFonts w:ascii="Calibri" w:hAnsi="Calibri" w:cs="Calibri"/>
          <w:szCs w:val="22"/>
          <w:lang w:eastAsia="en-US"/>
        </w:rPr>
        <w:t>spôsob stanovovania a uplatňovania sankcií v prípade nedbanlivosti zo strany členov,</w:t>
      </w:r>
    </w:p>
    <w:p w:rsidR="008676F9" w:rsidRPr="00F14F63" w:rsidRDefault="008676F9" w:rsidP="00955DA4">
      <w:pPr>
        <w:numPr>
          <w:ilvl w:val="0"/>
          <w:numId w:val="228"/>
        </w:numPr>
        <w:tabs>
          <w:tab w:val="num" w:pos="284"/>
        </w:tabs>
        <w:spacing w:after="120"/>
        <w:ind w:left="284" w:hanging="284"/>
        <w:rPr>
          <w:rFonts w:ascii="Calibri" w:hAnsi="Calibri" w:cs="Calibri"/>
          <w:szCs w:val="22"/>
          <w:lang w:eastAsia="en-US"/>
        </w:rPr>
      </w:pPr>
      <w:r w:rsidRPr="00F14F63">
        <w:rPr>
          <w:rFonts w:ascii="Calibri" w:hAnsi="Calibri" w:cs="Calibri"/>
          <w:szCs w:val="22"/>
          <w:lang w:eastAsia="en-US"/>
        </w:rPr>
        <w:t>spôsob stanovovania a termíny výplat finančných kompenzácií zo vzájomného fondu v prípade vzniku škodovej udalosti,</w:t>
      </w:r>
    </w:p>
    <w:p w:rsidR="008676F9" w:rsidRPr="00F14F63" w:rsidRDefault="008676F9" w:rsidP="00955DA4">
      <w:pPr>
        <w:numPr>
          <w:ilvl w:val="0"/>
          <w:numId w:val="228"/>
        </w:numPr>
        <w:tabs>
          <w:tab w:val="num" w:pos="284"/>
        </w:tabs>
        <w:spacing w:after="120"/>
        <w:ind w:left="284" w:hanging="284"/>
        <w:rPr>
          <w:rFonts w:ascii="Calibri" w:hAnsi="Calibri" w:cs="Calibri"/>
          <w:szCs w:val="22"/>
          <w:lang w:eastAsia="en-US"/>
        </w:rPr>
      </w:pPr>
      <w:r w:rsidRPr="00F14F63">
        <w:rPr>
          <w:rFonts w:ascii="Calibri" w:hAnsi="Calibri" w:cs="Calibri"/>
          <w:szCs w:val="22"/>
          <w:lang w:eastAsia="en-US"/>
        </w:rPr>
        <w:t>spôsob stanovenia a podmienok úverových vzťahov vzájomného fondu vo vzťahu k externým inštitúciám,</w:t>
      </w:r>
    </w:p>
    <w:p w:rsidR="008676F9" w:rsidRPr="00F14F63" w:rsidRDefault="008676F9" w:rsidP="00955DA4">
      <w:pPr>
        <w:numPr>
          <w:ilvl w:val="0"/>
          <w:numId w:val="228"/>
        </w:numPr>
        <w:tabs>
          <w:tab w:val="num" w:pos="284"/>
        </w:tabs>
        <w:ind w:left="284" w:hanging="284"/>
        <w:rPr>
          <w:rFonts w:ascii="Calibri" w:hAnsi="Calibri" w:cs="Calibri"/>
          <w:szCs w:val="22"/>
          <w:lang w:eastAsia="en-US"/>
        </w:rPr>
      </w:pPr>
      <w:r w:rsidRPr="00F14F63">
        <w:rPr>
          <w:rFonts w:ascii="Calibri" w:hAnsi="Calibri" w:cs="Calibri"/>
          <w:szCs w:val="22"/>
          <w:lang w:eastAsia="en-US"/>
        </w:rPr>
        <w:t xml:space="preserve">spôsob zaistenia (ak ho vzájomný fond uplatňuje). </w:t>
      </w:r>
    </w:p>
    <w:p w:rsidR="008676F9" w:rsidRPr="00F14F63" w:rsidRDefault="008676F9" w:rsidP="00F14F63">
      <w:pPr>
        <w:rPr>
          <w:rFonts w:ascii="Calibri" w:hAnsi="Calibri" w:cs="Calibri"/>
          <w:szCs w:val="22"/>
          <w:lang w:eastAsia="en-US"/>
        </w:rPr>
      </w:pPr>
    </w:p>
    <w:p w:rsidR="008676F9" w:rsidRPr="00F14F63" w:rsidRDefault="008676F9" w:rsidP="00F14F63">
      <w:pPr>
        <w:rPr>
          <w:rFonts w:ascii="Calibri" w:hAnsi="Calibri" w:cs="Calibri"/>
          <w:szCs w:val="22"/>
          <w:lang w:eastAsia="en-US"/>
        </w:rPr>
      </w:pPr>
      <w:r w:rsidRPr="00F14F63">
        <w:rPr>
          <w:rFonts w:ascii="Calibri" w:hAnsi="Calibri" w:cs="Calibri"/>
          <w:szCs w:val="22"/>
          <w:lang w:eastAsia="en-US"/>
        </w:rPr>
        <w:t>Slovensko určí deň, kedy sa najneskôr predkladajú žiadosti o podporu prostredníctvom vzájomných fondov. Určeným dátumom sa pred platbou poskytne dostatočný čas na vykonanie overovania podmienok oprávnenosti, ako sa ustanovuje v článku 38 nariadenia (ES) č. 1305/2013.</w:t>
      </w:r>
    </w:p>
    <w:p w:rsidR="008676F9" w:rsidRPr="00F14F63" w:rsidRDefault="008676F9" w:rsidP="00F14F63">
      <w:pPr>
        <w:rPr>
          <w:rFonts w:ascii="Calibri" w:hAnsi="Calibri" w:cs="Calibri"/>
          <w:szCs w:val="22"/>
          <w:lang w:eastAsia="en-US"/>
        </w:rPr>
      </w:pPr>
    </w:p>
    <w:p w:rsidR="008676F9" w:rsidRPr="00F14F63" w:rsidRDefault="008676F9" w:rsidP="00F14F63">
      <w:pPr>
        <w:rPr>
          <w:rFonts w:ascii="Calibri" w:hAnsi="Calibri" w:cs="Calibri"/>
          <w:szCs w:val="22"/>
          <w:lang w:eastAsia="en-US"/>
        </w:rPr>
      </w:pPr>
      <w:r w:rsidRPr="00F14F63">
        <w:rPr>
          <w:rFonts w:ascii="Calibri" w:hAnsi="Calibri" w:cs="Calibri"/>
          <w:szCs w:val="22"/>
          <w:lang w:eastAsia="en-US"/>
        </w:rPr>
        <w:t>Pri kontrole žiadostí o platbu predkladaných prostredníctvom vzájomných fondov sa posudzuje, či:</w:t>
      </w:r>
    </w:p>
    <w:p w:rsidR="008676F9" w:rsidRPr="00F14F63" w:rsidRDefault="008676F9" w:rsidP="00955DA4">
      <w:pPr>
        <w:numPr>
          <w:ilvl w:val="0"/>
          <w:numId w:val="230"/>
        </w:numPr>
        <w:rPr>
          <w:rFonts w:ascii="Calibri" w:hAnsi="Calibri" w:cs="Calibri"/>
          <w:szCs w:val="22"/>
          <w:lang w:eastAsia="en-US"/>
        </w:rPr>
      </w:pPr>
      <w:r w:rsidRPr="00F14F63">
        <w:rPr>
          <w:rFonts w:ascii="Calibri" w:hAnsi="Calibri" w:cs="Calibri"/>
          <w:szCs w:val="22"/>
          <w:lang w:eastAsia="en-US"/>
        </w:rPr>
        <w:t>poľnohospodári boli skutočne oprávnení na kompenzáciu vyplatenú prostredníctvom fondu;</w:t>
      </w:r>
    </w:p>
    <w:p w:rsidR="008676F9" w:rsidRPr="00F14F63" w:rsidRDefault="008676F9" w:rsidP="00955DA4">
      <w:pPr>
        <w:numPr>
          <w:ilvl w:val="0"/>
          <w:numId w:val="230"/>
        </w:numPr>
        <w:rPr>
          <w:rFonts w:ascii="Calibri" w:hAnsi="Calibri" w:cs="Calibri"/>
          <w:szCs w:val="22"/>
          <w:lang w:eastAsia="en-US"/>
        </w:rPr>
      </w:pPr>
      <w:r w:rsidRPr="00F14F63">
        <w:rPr>
          <w:rFonts w:ascii="Calibri" w:hAnsi="Calibri" w:cs="Calibri"/>
          <w:szCs w:val="22"/>
          <w:lang w:eastAsia="en-US"/>
        </w:rPr>
        <w:t>sa kompenzácia vyplatila skutočne združeným poľnohospodárom v súlade s článkami 36 a 38 nariadenia (EÚ) č. 1305/2013.</w:t>
      </w:r>
    </w:p>
    <w:p w:rsidR="008676F9" w:rsidRPr="00F14F63" w:rsidRDefault="008676F9" w:rsidP="00F14F63">
      <w:pPr>
        <w:rPr>
          <w:rFonts w:ascii="Calibri" w:hAnsi="Calibri" w:cs="Calibri"/>
          <w:szCs w:val="22"/>
          <w:lang w:eastAsia="en-US"/>
        </w:rPr>
      </w:pPr>
    </w:p>
    <w:p w:rsidR="008676F9" w:rsidRPr="00F14F63" w:rsidRDefault="008676F9" w:rsidP="00F14F63">
      <w:pPr>
        <w:rPr>
          <w:rFonts w:ascii="Calibri" w:hAnsi="Calibri" w:cs="Calibri"/>
          <w:szCs w:val="22"/>
          <w:lang w:eastAsia="en-US"/>
        </w:rPr>
      </w:pPr>
      <w:r w:rsidRPr="00F14F63">
        <w:rPr>
          <w:rFonts w:ascii="Calibri" w:hAnsi="Calibri" w:cs="Calibri"/>
          <w:szCs w:val="22"/>
          <w:lang w:eastAsia="en-US"/>
        </w:rPr>
        <w:t>Člen vzájomného fondu musí spĺňať podmienky v súlade s definíciou aktívneho poľnohospodára   v článku 9 nariadenia (EÚ) č. 1307/2013 o priamych platbách.</w:t>
      </w:r>
    </w:p>
    <w:p w:rsidR="008676F9" w:rsidRPr="00F14F63" w:rsidRDefault="008676F9" w:rsidP="00F14F63">
      <w:pPr>
        <w:rPr>
          <w:rFonts w:ascii="Calibri" w:hAnsi="Calibri" w:cs="Calibri"/>
          <w:szCs w:val="22"/>
          <w:lang w:eastAsia="en-US"/>
        </w:rPr>
      </w:pPr>
    </w:p>
    <w:p w:rsidR="008676F9" w:rsidRPr="00F14F63" w:rsidRDefault="008676F9" w:rsidP="00962FCB">
      <w:pPr>
        <w:spacing w:after="120"/>
        <w:rPr>
          <w:rFonts w:ascii="Calibri" w:hAnsi="Calibri" w:cs="Calibri"/>
          <w:szCs w:val="22"/>
          <w:lang w:eastAsia="en-US"/>
        </w:rPr>
      </w:pPr>
      <w:r w:rsidRPr="00F14F63">
        <w:rPr>
          <w:rFonts w:ascii="Calibri" w:hAnsi="Calibri" w:cs="Calibri"/>
          <w:szCs w:val="22"/>
          <w:lang w:eastAsia="en-US"/>
        </w:rPr>
        <w:t>Všeobecné podmienky vyplatenia finančnej kompenzácie zo vzájomného fondu:</w:t>
      </w:r>
    </w:p>
    <w:p w:rsidR="008D12E7" w:rsidRPr="00F14F63" w:rsidRDefault="008D12E7" w:rsidP="00955DA4">
      <w:pPr>
        <w:numPr>
          <w:ilvl w:val="0"/>
          <w:numId w:val="233"/>
        </w:numPr>
        <w:spacing w:after="120"/>
        <w:rPr>
          <w:rFonts w:ascii="Calibri" w:hAnsi="Calibri" w:cs="Calibri"/>
          <w:szCs w:val="22"/>
          <w:lang w:eastAsia="en-US"/>
        </w:rPr>
      </w:pPr>
      <w:r w:rsidRPr="00F14F63">
        <w:rPr>
          <w:rFonts w:ascii="Calibri" w:hAnsi="Calibri" w:cs="Calibri"/>
          <w:szCs w:val="22"/>
          <w:lang w:eastAsia="en-US"/>
        </w:rPr>
        <w:t>Výskyt nepriaznivej poveternostnej udalosti alebo vypuknutie choroby zvierat alebo rastlín, zamorenie škodcami alebo environmentálnu nehodu musí ako také oficiálne uznať príslušný orgán SR.</w:t>
      </w:r>
    </w:p>
    <w:p w:rsidR="008D12E7" w:rsidRDefault="008D12E7" w:rsidP="00955DA4">
      <w:pPr>
        <w:numPr>
          <w:ilvl w:val="0"/>
          <w:numId w:val="233"/>
        </w:numPr>
        <w:spacing w:after="120"/>
        <w:rPr>
          <w:rFonts w:ascii="Calibri" w:hAnsi="Calibri" w:cs="Calibri"/>
          <w:szCs w:val="22"/>
          <w:lang w:eastAsia="en-US"/>
        </w:rPr>
      </w:pPr>
      <w:r w:rsidRPr="00F14F63">
        <w:rPr>
          <w:rFonts w:ascii="Calibri" w:hAnsi="Calibri" w:cs="Calibri"/>
          <w:szCs w:val="22"/>
          <w:lang w:eastAsia="en-US"/>
        </w:rPr>
        <w:t>Pokiaľ ide o choroby zvierat, finančná náhrada  sa môže poskytnúť iba so zreteľom na choroby, ktoré sú uvedené na zozname vytvorenom Svetovou organizáciou pre zdravie zvierat a/alebo zozname uvedenom v prílohe k rozhodnutiu 2009/470/ES.</w:t>
      </w:r>
    </w:p>
    <w:p w:rsidR="008D12E7" w:rsidRPr="008D12E7" w:rsidRDefault="008D12E7" w:rsidP="00955DA4">
      <w:pPr>
        <w:pStyle w:val="Odsekzoznamu"/>
        <w:numPr>
          <w:ilvl w:val="0"/>
          <w:numId w:val="233"/>
        </w:numPr>
        <w:autoSpaceDE w:val="0"/>
        <w:autoSpaceDN w:val="0"/>
        <w:adjustRightInd w:val="0"/>
        <w:spacing w:after="120"/>
        <w:ind w:left="714" w:hanging="357"/>
        <w:contextualSpacing w:val="0"/>
        <w:rPr>
          <w:rFonts w:ascii="Calibri" w:hAnsi="Calibri" w:cs="Calibri"/>
          <w:szCs w:val="22"/>
          <w:lang w:eastAsia="en-US"/>
        </w:rPr>
      </w:pPr>
      <w:r w:rsidRPr="002B20DC">
        <w:rPr>
          <w:rFonts w:ascii="Calibri" w:hAnsi="Calibri" w:cs="Calibri"/>
          <w:szCs w:val="22"/>
          <w:lang w:eastAsia="en-US"/>
        </w:rPr>
        <w:t xml:space="preserve">Pokiaľ ide o choroby rastlín, finančná náhrada sa môže poskytnúť iba so zreteľom na škody spôsobené škodlivými organizmami, ktoré sú </w:t>
      </w:r>
      <w:r w:rsidRPr="008D12E7">
        <w:rPr>
          <w:rFonts w:ascii="Calibri" w:hAnsi="Calibri" w:cs="Calibri"/>
          <w:szCs w:val="22"/>
          <w:lang w:eastAsia="en-US"/>
        </w:rPr>
        <w:t xml:space="preserve">uvedené v prílohách I a II smernice Rady 2000/29/ES o ochranných opatreniach proti zavlečeniu organizmov škodlivých pre rastliny alebo rastlinné produkty do Spoločenstva a proti ich rozšíreniu v rámci Spoločenstva. </w:t>
      </w:r>
    </w:p>
    <w:p w:rsidR="008D12E7" w:rsidRPr="008D12E7" w:rsidRDefault="008D12E7" w:rsidP="00955DA4">
      <w:pPr>
        <w:pStyle w:val="Odsekzoznamu"/>
        <w:numPr>
          <w:ilvl w:val="0"/>
          <w:numId w:val="233"/>
        </w:numPr>
        <w:autoSpaceDE w:val="0"/>
        <w:autoSpaceDN w:val="0"/>
        <w:adjustRightInd w:val="0"/>
        <w:spacing w:after="120"/>
        <w:ind w:left="714" w:hanging="357"/>
        <w:contextualSpacing w:val="0"/>
        <w:rPr>
          <w:rFonts w:ascii="Calibri" w:hAnsi="Calibri" w:cs="Calibri"/>
          <w:szCs w:val="22"/>
          <w:lang w:eastAsia="en-US"/>
        </w:rPr>
      </w:pPr>
      <w:r w:rsidRPr="008D12E7">
        <w:rPr>
          <w:rFonts w:ascii="Calibri" w:hAnsi="Calibri" w:cs="Calibri"/>
          <w:szCs w:val="22"/>
          <w:lang w:eastAsia="en-US"/>
        </w:rPr>
        <w:t>Finančná náhrada sa môže poskytnúť aj na straty na produkcii spôsobené hospodársky významnými škodlivými organizmami, ktorých zoznam bude vydaný samostatne v Príručke pre žiadateľa o NFP.</w:t>
      </w:r>
    </w:p>
    <w:p w:rsidR="008D12E7" w:rsidRDefault="008D12E7" w:rsidP="00955DA4">
      <w:pPr>
        <w:pStyle w:val="Odsekzoznamu"/>
        <w:numPr>
          <w:ilvl w:val="0"/>
          <w:numId w:val="233"/>
        </w:numPr>
        <w:autoSpaceDE w:val="0"/>
        <w:autoSpaceDN w:val="0"/>
        <w:adjustRightInd w:val="0"/>
        <w:spacing w:after="120"/>
        <w:ind w:left="714" w:hanging="357"/>
        <w:contextualSpacing w:val="0"/>
        <w:rPr>
          <w:rFonts w:ascii="Calibri" w:hAnsi="Calibri" w:cs="Calibri"/>
          <w:szCs w:val="22"/>
          <w:lang w:eastAsia="en-US"/>
        </w:rPr>
      </w:pPr>
      <w:r w:rsidRPr="002B20DC">
        <w:rPr>
          <w:rFonts w:ascii="Calibri" w:hAnsi="Calibri" w:cs="Calibri"/>
          <w:szCs w:val="22"/>
          <w:lang w:eastAsia="en-US"/>
        </w:rPr>
        <w:t>Pokiaľ ide o</w:t>
      </w:r>
      <w:r>
        <w:rPr>
          <w:rFonts w:ascii="Calibri" w:hAnsi="Calibri" w:cs="Calibri"/>
          <w:szCs w:val="22"/>
          <w:lang w:eastAsia="en-US"/>
        </w:rPr>
        <w:t xml:space="preserve"> environmentálne nehody</w:t>
      </w:r>
      <w:r w:rsidRPr="002B20DC">
        <w:rPr>
          <w:rFonts w:ascii="Calibri" w:hAnsi="Calibri" w:cs="Calibri"/>
          <w:szCs w:val="22"/>
          <w:lang w:eastAsia="en-US"/>
        </w:rPr>
        <w:t>, finančná náhrada sa môže poskytnúť</w:t>
      </w:r>
      <w:r>
        <w:rPr>
          <w:rFonts w:ascii="Calibri" w:hAnsi="Calibri" w:cs="Calibri"/>
          <w:szCs w:val="22"/>
          <w:lang w:eastAsia="en-US"/>
        </w:rPr>
        <w:t xml:space="preserve"> na environmentálne nehody zaznamenané orgánmi štátnej správy pre tvorbu a ochranu životného prostredia v súlade so zákonom č. 525/2003 Z. z. </w:t>
      </w:r>
    </w:p>
    <w:p w:rsidR="008D12E7" w:rsidRPr="00F14F63" w:rsidRDefault="008D12E7" w:rsidP="00955DA4">
      <w:pPr>
        <w:numPr>
          <w:ilvl w:val="0"/>
          <w:numId w:val="233"/>
        </w:numPr>
        <w:rPr>
          <w:rFonts w:ascii="Calibri" w:hAnsi="Calibri" w:cs="Calibri"/>
          <w:szCs w:val="22"/>
          <w:lang w:eastAsia="en-US"/>
        </w:rPr>
      </w:pPr>
      <w:r w:rsidRPr="00F14F63">
        <w:rPr>
          <w:rFonts w:ascii="Calibri" w:hAnsi="Calibri" w:cs="Calibri"/>
          <w:szCs w:val="22"/>
          <w:lang w:eastAsia="en-US"/>
        </w:rPr>
        <w:t>Prijímateľ má nárok na podporu zo vzájomného fondu ak došlo k zničeniu viac ako 30 % priemernej ročnej produkcie poľnohospodára za predchádzajúce obdobie troch rokov alebo trojročného priemeru za predchádzajúce obdobie piatich rokov, okrem najvyššieho a najnižšieho údaju.</w:t>
      </w:r>
    </w:p>
    <w:p w:rsidR="008676F9" w:rsidRPr="00F14F63" w:rsidRDefault="008676F9" w:rsidP="00F14F63">
      <w:pPr>
        <w:rPr>
          <w:rFonts w:ascii="Calibri" w:hAnsi="Calibri" w:cs="Calibri"/>
          <w:szCs w:val="22"/>
          <w:u w:val="single"/>
          <w:lang w:eastAsia="en-US"/>
        </w:rPr>
      </w:pPr>
    </w:p>
    <w:p w:rsidR="008676F9" w:rsidRPr="00F14F63" w:rsidRDefault="008676F9" w:rsidP="00F14F63">
      <w:pPr>
        <w:rPr>
          <w:rFonts w:ascii="Calibri" w:eastAsia="Calibri" w:hAnsi="Calibri"/>
          <w:b/>
          <w:i/>
          <w:szCs w:val="22"/>
          <w:lang w:eastAsia="en-US"/>
        </w:rPr>
      </w:pPr>
      <w:r w:rsidRPr="00F14F63">
        <w:rPr>
          <w:rFonts w:ascii="Calibri" w:eastAsia="Calibri" w:hAnsi="Calibri"/>
          <w:b/>
          <w:i/>
          <w:szCs w:val="22"/>
          <w:lang w:eastAsia="en-US"/>
        </w:rPr>
        <w:t>Vypuknutie nepriaznivých poveternostných udalostí</w:t>
      </w:r>
    </w:p>
    <w:p w:rsidR="008676F9" w:rsidRPr="00F14F63" w:rsidRDefault="008676F9" w:rsidP="00F14F63">
      <w:pPr>
        <w:autoSpaceDE w:val="0"/>
        <w:autoSpaceDN w:val="0"/>
        <w:adjustRightInd w:val="0"/>
        <w:rPr>
          <w:rFonts w:ascii="Calibri" w:eastAsia="Calibri" w:hAnsi="Calibri" w:cs="TimesNewRoman"/>
          <w:szCs w:val="22"/>
          <w:lang w:eastAsia="en-US"/>
        </w:rPr>
      </w:pPr>
      <w:r w:rsidRPr="00F14F63">
        <w:rPr>
          <w:rFonts w:ascii="Calibri" w:eastAsia="Calibri" w:hAnsi="Calibri" w:cs="TimesNewRoman"/>
          <w:szCs w:val="22"/>
          <w:lang w:eastAsia="en-US"/>
        </w:rPr>
        <w:t xml:space="preserve">Nepriaznivou poveternostnou udalosťou, </w:t>
      </w:r>
      <w:r w:rsidRPr="00F14F63">
        <w:rPr>
          <w:rFonts w:ascii="Calibri" w:eastAsia="Calibri" w:hAnsi="Calibri" w:cs="TimesNewRoman"/>
          <w:szCs w:val="22"/>
          <w:shd w:val="clear" w:color="auto" w:fill="FFFFFF"/>
          <w:lang w:eastAsia="en-US"/>
        </w:rPr>
        <w:t>ktorú možno prirovnať k prírodnej katastrofe</w:t>
      </w:r>
      <w:r w:rsidRPr="00F14F63">
        <w:rPr>
          <w:rFonts w:ascii="Calibri" w:eastAsia="Calibri" w:hAnsi="Calibri" w:cs="TimesNewRoman"/>
          <w:szCs w:val="22"/>
          <w:lang w:eastAsia="en-US"/>
        </w:rPr>
        <w:t xml:space="preserve"> sa považuje taká poveternostná udalosť, ktorá zničí viac ako 30 % priemernej ročnej produkcie príslušného pestovateľa poľnohospodárskych plodín za predchádzajúce obdobie troch rokov alebo trojročného priemeru za predchádzajúce obdobie piatich rokov okrem najvyššieho a najnižšieho údaju.</w:t>
      </w:r>
    </w:p>
    <w:p w:rsidR="008676F9" w:rsidRPr="00F14F63" w:rsidRDefault="008676F9" w:rsidP="00F14F63">
      <w:pPr>
        <w:autoSpaceDE w:val="0"/>
        <w:autoSpaceDN w:val="0"/>
        <w:adjustRightInd w:val="0"/>
        <w:rPr>
          <w:rFonts w:ascii="Calibri" w:eastAsia="Calibri" w:hAnsi="Calibri" w:cs="TimesNewRoman"/>
          <w:szCs w:val="22"/>
          <w:lang w:eastAsia="en-US"/>
        </w:rPr>
      </w:pPr>
    </w:p>
    <w:p w:rsidR="008D12E7" w:rsidRDefault="008D12E7" w:rsidP="008D12E7">
      <w:pPr>
        <w:autoSpaceDE w:val="0"/>
        <w:autoSpaceDN w:val="0"/>
        <w:adjustRightInd w:val="0"/>
        <w:rPr>
          <w:rFonts w:ascii="Calibri" w:eastAsia="Calibri" w:hAnsi="Calibri" w:cs="TimesNewRoman"/>
          <w:szCs w:val="22"/>
          <w:lang w:eastAsia="en-US"/>
        </w:rPr>
      </w:pPr>
      <w:r w:rsidRPr="00F14F63">
        <w:rPr>
          <w:rFonts w:ascii="Calibri" w:eastAsia="Calibri" w:hAnsi="Calibri" w:cs="TimesNewRoman"/>
          <w:szCs w:val="22"/>
          <w:lang w:eastAsia="en-US"/>
        </w:rPr>
        <w:t xml:space="preserve">Kompenzácie prostredníctvom vzájomných fondov sa budú poskytovať </w:t>
      </w:r>
      <w:r>
        <w:rPr>
          <w:rFonts w:ascii="Calibri" w:eastAsia="Calibri" w:hAnsi="Calibri" w:cs="TimesNewRoman"/>
          <w:szCs w:val="22"/>
          <w:lang w:eastAsia="en-US"/>
        </w:rPr>
        <w:t xml:space="preserve">v súlade s definíciou nepriaznivej poveternostnej udalosti uvedenou v nariadení č. 1305/2013 čl. 2 ods. 1 písm. h, a to nasledovne: „Nepriaznivá poveternostná udalosť sú poveternostné podmienky ako mráz, búrky a krupobitie, ľad, prudký dážď alebo veľké sucho, ktoré možno porovnať s prírodnou katastrofou.“  </w:t>
      </w:r>
    </w:p>
    <w:p w:rsidR="008D12E7" w:rsidRPr="00F14F63" w:rsidRDefault="008D12E7" w:rsidP="008D12E7">
      <w:pPr>
        <w:autoSpaceDE w:val="0"/>
        <w:autoSpaceDN w:val="0"/>
        <w:adjustRightInd w:val="0"/>
        <w:rPr>
          <w:rFonts w:ascii="Calibri" w:eastAsia="Calibri" w:hAnsi="Calibri" w:cs="TimesNewRoman"/>
          <w:szCs w:val="22"/>
          <w:lang w:eastAsia="en-US"/>
        </w:rPr>
      </w:pPr>
    </w:p>
    <w:p w:rsidR="008676F9" w:rsidRPr="00F14F63" w:rsidRDefault="008676F9" w:rsidP="00F14F63">
      <w:pPr>
        <w:autoSpaceDE w:val="0"/>
        <w:autoSpaceDN w:val="0"/>
        <w:adjustRightInd w:val="0"/>
        <w:rPr>
          <w:rFonts w:ascii="Calibri" w:eastAsia="Calibri" w:hAnsi="Calibri" w:cs="TimesNewRoman"/>
          <w:szCs w:val="22"/>
          <w:lang w:eastAsia="en-US"/>
        </w:rPr>
      </w:pPr>
      <w:r w:rsidRPr="00F14F63">
        <w:rPr>
          <w:rFonts w:ascii="Calibri" w:eastAsia="Calibri" w:hAnsi="Calibri" w:cs="TimesNewRoman"/>
          <w:szCs w:val="22"/>
          <w:lang w:eastAsia="en-US"/>
        </w:rPr>
        <w:t xml:space="preserve">Strata poľnohospodára sa pritom vypočíta tak, že sa od priemerného ročného množstva vyrobeného za predchádzajúce obdobie troch rokov (alebo trojročného priemeru za predchádzajúce obdobie piatich rokov okrem najvyššieho a najnižšieho údaju) vynásobeného priemernou dosiahnutou predajnou cenou, odpočíta množstvo výrobku vyrobeného v roku nepriaznivej poveternostnej udalosti vynásobeného priemernou predajnou cenou dosiahnutou počas príslušného roku. Takto vypočítaná strata sa zníži o náklady, ktoré nevznikli pre nepriaznivú poveternostnú udalosť. Výpočet sa vykoná na úrovni jednotlivých typov produkcie. </w:t>
      </w:r>
    </w:p>
    <w:p w:rsidR="008676F9" w:rsidRPr="00F14F63" w:rsidRDefault="008676F9" w:rsidP="00F14F63">
      <w:pPr>
        <w:rPr>
          <w:rFonts w:ascii="Calibri" w:hAnsi="Calibri" w:cs="Calibri"/>
          <w:szCs w:val="22"/>
          <w:u w:val="single"/>
          <w:lang w:eastAsia="en-US"/>
        </w:rPr>
      </w:pPr>
    </w:p>
    <w:p w:rsidR="008676F9" w:rsidRPr="00F14F63" w:rsidRDefault="008676F9" w:rsidP="00F14F63">
      <w:pPr>
        <w:autoSpaceDE w:val="0"/>
        <w:autoSpaceDN w:val="0"/>
        <w:adjustRightInd w:val="0"/>
        <w:rPr>
          <w:rFonts w:ascii="Calibri" w:eastAsia="Calibri" w:hAnsi="Calibri" w:cs="TimesNewRoman"/>
          <w:b/>
          <w:i/>
          <w:szCs w:val="22"/>
          <w:lang w:eastAsia="en-US"/>
        </w:rPr>
      </w:pPr>
      <w:r w:rsidRPr="00F14F63">
        <w:rPr>
          <w:rFonts w:ascii="Calibri" w:eastAsia="Calibri" w:hAnsi="Calibri" w:cs="TimesNewRoman"/>
          <w:b/>
          <w:i/>
          <w:szCs w:val="22"/>
          <w:lang w:eastAsia="en-US"/>
        </w:rPr>
        <w:t>Vypuknutie ochorení zvierat</w:t>
      </w:r>
      <w:r w:rsidR="008D12E7">
        <w:rPr>
          <w:rFonts w:ascii="Calibri" w:eastAsia="Calibri" w:hAnsi="Calibri" w:cs="TimesNewRoman"/>
          <w:b/>
          <w:i/>
          <w:szCs w:val="22"/>
          <w:lang w:eastAsia="en-US"/>
        </w:rPr>
        <w:t>, výskytu škodcov alebo ochorení rastlín a</w:t>
      </w:r>
      <w:r w:rsidR="001F5283">
        <w:rPr>
          <w:rFonts w:ascii="Calibri" w:eastAsia="Calibri" w:hAnsi="Calibri" w:cs="TimesNewRoman"/>
          <w:b/>
          <w:i/>
          <w:szCs w:val="22"/>
          <w:lang w:eastAsia="en-US"/>
        </w:rPr>
        <w:t> </w:t>
      </w:r>
      <w:r w:rsidR="008D12E7">
        <w:rPr>
          <w:rFonts w:ascii="Calibri" w:eastAsia="Calibri" w:hAnsi="Calibri" w:cs="TimesNewRoman"/>
          <w:b/>
          <w:i/>
          <w:szCs w:val="22"/>
          <w:lang w:eastAsia="en-US"/>
        </w:rPr>
        <w:t>en</w:t>
      </w:r>
      <w:r w:rsidR="001F5283">
        <w:rPr>
          <w:rFonts w:ascii="Calibri" w:eastAsia="Calibri" w:hAnsi="Calibri" w:cs="TimesNewRoman"/>
          <w:b/>
          <w:i/>
          <w:szCs w:val="22"/>
          <w:lang w:eastAsia="en-US"/>
        </w:rPr>
        <w:t>vironmentálne nehody</w:t>
      </w:r>
    </w:p>
    <w:p w:rsidR="008676F9" w:rsidRPr="008676F9" w:rsidRDefault="008676F9" w:rsidP="00EB6F57">
      <w:pPr>
        <w:autoSpaceDE w:val="0"/>
        <w:autoSpaceDN w:val="0"/>
        <w:adjustRightInd w:val="0"/>
        <w:spacing w:after="120"/>
        <w:rPr>
          <w:rFonts w:ascii="Calibri" w:hAnsi="Calibri"/>
          <w:color w:val="000000"/>
          <w:szCs w:val="22"/>
        </w:rPr>
      </w:pPr>
      <w:bookmarkStart w:id="106" w:name="p6-1"/>
      <w:bookmarkEnd w:id="106"/>
      <w:r w:rsidRPr="00F14F63">
        <w:rPr>
          <w:rFonts w:ascii="Calibri" w:eastAsia="Calibri" w:hAnsi="Calibri"/>
          <w:color w:val="000000"/>
          <w:szCs w:val="22"/>
        </w:rPr>
        <w:t>Kompenzácie prostredníctvom vzájomných fondov</w:t>
      </w:r>
      <w:r w:rsidRPr="00F14F63">
        <w:rPr>
          <w:rFonts w:ascii="Calibri" w:hAnsi="Calibri"/>
          <w:color w:val="000000"/>
          <w:szCs w:val="22"/>
        </w:rPr>
        <w:t xml:space="preserve"> </w:t>
      </w:r>
      <w:r w:rsidRPr="00F14F63">
        <w:rPr>
          <w:rFonts w:ascii="Calibri" w:eastAsia="Calibri" w:hAnsi="Calibri"/>
          <w:color w:val="000000"/>
          <w:szCs w:val="22"/>
        </w:rPr>
        <w:t xml:space="preserve">v dôsledku vypuknutia choroby hospodárskych zvierat </w:t>
      </w:r>
      <w:r w:rsidRPr="00F14F63">
        <w:rPr>
          <w:rFonts w:ascii="Calibri" w:hAnsi="Calibri"/>
          <w:color w:val="000000"/>
          <w:szCs w:val="22"/>
        </w:rPr>
        <w:t>chovaných poľnohospodárom sa vzťahuj</w:t>
      </w:r>
      <w:r w:rsidRPr="00F14F63">
        <w:rPr>
          <w:rFonts w:ascii="Calibri" w:eastAsia="Calibri" w:hAnsi="Calibri"/>
          <w:color w:val="000000"/>
          <w:szCs w:val="22"/>
        </w:rPr>
        <w:t>ú</w:t>
      </w:r>
      <w:r w:rsidRPr="00F14F63">
        <w:rPr>
          <w:rFonts w:ascii="Calibri" w:hAnsi="Calibri"/>
          <w:color w:val="000000"/>
          <w:szCs w:val="22"/>
        </w:rPr>
        <w:t xml:space="preserve"> na ich uhynutie, </w:t>
      </w:r>
      <w:r w:rsidRPr="00F14F63">
        <w:rPr>
          <w:rFonts w:ascii="Calibri" w:eastAsia="Calibri" w:hAnsi="Calibri"/>
          <w:color w:val="000000"/>
          <w:szCs w:val="22"/>
        </w:rPr>
        <w:t>nariadené núdzové utratenie,</w:t>
      </w:r>
      <w:r w:rsidRPr="00F14F63">
        <w:rPr>
          <w:rFonts w:ascii="Calibri" w:eastAsia="Calibri" w:hAnsi="Calibri" w:cs="ArialMT"/>
          <w:szCs w:val="22"/>
          <w:lang w:eastAsia="en-US"/>
        </w:rPr>
        <w:t xml:space="preserve"> </w:t>
      </w:r>
      <w:r w:rsidRPr="00F14F63">
        <w:rPr>
          <w:rFonts w:ascii="Calibri" w:hAnsi="Calibri"/>
          <w:color w:val="000000"/>
          <w:szCs w:val="22"/>
        </w:rPr>
        <w:t>núdzov</w:t>
      </w:r>
      <w:r w:rsidRPr="00F14F63">
        <w:rPr>
          <w:rFonts w:ascii="Calibri" w:eastAsia="Calibri" w:hAnsi="Calibri"/>
          <w:color w:val="000000"/>
          <w:szCs w:val="22"/>
        </w:rPr>
        <w:t>ú</w:t>
      </w:r>
      <w:r w:rsidRPr="00F14F63">
        <w:rPr>
          <w:rFonts w:ascii="Calibri" w:hAnsi="Calibri"/>
          <w:color w:val="000000"/>
          <w:szCs w:val="22"/>
        </w:rPr>
        <w:t xml:space="preserve"> poráž</w:t>
      </w:r>
      <w:r w:rsidRPr="00F14F63">
        <w:rPr>
          <w:rFonts w:ascii="Calibri" w:eastAsia="Calibri" w:hAnsi="Calibri"/>
          <w:color w:val="000000"/>
          <w:szCs w:val="22"/>
        </w:rPr>
        <w:t>ku</w:t>
      </w:r>
      <w:r w:rsidRPr="00F14F63">
        <w:rPr>
          <w:rFonts w:ascii="Calibri" w:hAnsi="Calibri"/>
          <w:color w:val="000000"/>
          <w:szCs w:val="22"/>
        </w:rPr>
        <w:t xml:space="preserve"> chorého alebo z nákazy podozrivého zvieraťa v dôsledku </w:t>
      </w:r>
      <w:r w:rsidRPr="00F14F63">
        <w:rPr>
          <w:rFonts w:ascii="Calibri" w:eastAsia="Calibri" w:hAnsi="Calibri"/>
          <w:color w:val="000000"/>
          <w:szCs w:val="22"/>
        </w:rPr>
        <w:t>vypuknutia choroby</w:t>
      </w:r>
      <w:r w:rsidRPr="00F14F63">
        <w:rPr>
          <w:rFonts w:ascii="Calibri" w:eastAsia="Calibri" w:hAnsi="Calibri"/>
          <w:color w:val="000000"/>
          <w:szCs w:val="22"/>
        </w:rPr>
        <w:lastRenderedPageBreak/>
        <w:t xml:space="preserve"> uvedenej v zozname chorôb zvierat vypracovanom</w:t>
      </w:r>
      <w:r w:rsidRPr="008676F9">
        <w:rPr>
          <w:rFonts w:ascii="Calibri" w:eastAsia="Calibri" w:hAnsi="Calibri"/>
          <w:color w:val="000000"/>
          <w:szCs w:val="22"/>
        </w:rPr>
        <w:t xml:space="preserve"> Svetovou organizáciou pre zdravie zvierat alebo uvedenom v prílohe k rozhodnutiu Rady 2009/470/ES.</w:t>
      </w:r>
    </w:p>
    <w:p w:rsidR="008676F9" w:rsidRPr="008676F9" w:rsidRDefault="008676F9" w:rsidP="00EB6F57">
      <w:pPr>
        <w:autoSpaceDE w:val="0"/>
        <w:autoSpaceDN w:val="0"/>
        <w:adjustRightInd w:val="0"/>
        <w:spacing w:after="120"/>
        <w:rPr>
          <w:rFonts w:ascii="Calibri" w:eastAsia="Calibri" w:hAnsi="Calibri"/>
          <w:color w:val="000000"/>
          <w:szCs w:val="22"/>
        </w:rPr>
      </w:pPr>
      <w:bookmarkStart w:id="107" w:name="p6-1-a"/>
      <w:bookmarkEnd w:id="107"/>
      <w:r w:rsidRPr="008676F9">
        <w:rPr>
          <w:rFonts w:ascii="Calibri" w:eastAsia="Calibri" w:hAnsi="Calibri"/>
          <w:color w:val="000000"/>
          <w:szCs w:val="22"/>
        </w:rPr>
        <w:t xml:space="preserve">Finančnú kompenzáciu zo vzájomného fondu </w:t>
      </w:r>
      <w:r w:rsidRPr="008676F9">
        <w:rPr>
          <w:rFonts w:ascii="Calibri" w:hAnsi="Calibri"/>
          <w:color w:val="000000"/>
          <w:szCs w:val="22"/>
        </w:rPr>
        <w:t xml:space="preserve"> </w:t>
      </w:r>
      <w:r w:rsidRPr="008676F9">
        <w:rPr>
          <w:rFonts w:ascii="Calibri" w:eastAsia="Calibri" w:hAnsi="Calibri"/>
          <w:color w:val="000000"/>
          <w:szCs w:val="22"/>
        </w:rPr>
        <w:t>v dôsledku vypuknutia choroby</w:t>
      </w:r>
      <w:r w:rsidRPr="008676F9">
        <w:rPr>
          <w:rFonts w:ascii="Calibri" w:hAnsi="Calibri"/>
          <w:color w:val="000000"/>
          <w:szCs w:val="22"/>
        </w:rPr>
        <w:t xml:space="preserve"> musí </w:t>
      </w:r>
      <w:r w:rsidRPr="008676F9">
        <w:rPr>
          <w:rFonts w:ascii="Calibri" w:eastAsia="Calibri" w:hAnsi="Calibri"/>
          <w:color w:val="000000"/>
          <w:szCs w:val="22"/>
        </w:rPr>
        <w:t xml:space="preserve">poľnohospodár </w:t>
      </w:r>
      <w:r w:rsidRPr="008676F9">
        <w:rPr>
          <w:rFonts w:ascii="Calibri" w:hAnsi="Calibri"/>
          <w:color w:val="000000"/>
          <w:szCs w:val="22"/>
        </w:rPr>
        <w:t xml:space="preserve">doložiť príslušným potvrdením </w:t>
      </w:r>
      <w:r w:rsidRPr="008676F9">
        <w:rPr>
          <w:rFonts w:ascii="Calibri" w:eastAsia="Calibri" w:hAnsi="Calibri"/>
          <w:color w:val="000000"/>
          <w:szCs w:val="22"/>
        </w:rPr>
        <w:t xml:space="preserve">Štátnej veterinárnej </w:t>
      </w:r>
      <w:r w:rsidRPr="008676F9">
        <w:rPr>
          <w:rFonts w:ascii="Calibri" w:hAnsi="Calibri"/>
          <w:color w:val="000000"/>
          <w:szCs w:val="22"/>
        </w:rPr>
        <w:t>a potravinovej správy</w:t>
      </w:r>
      <w:r w:rsidRPr="008676F9">
        <w:rPr>
          <w:rFonts w:ascii="Calibri" w:eastAsia="Calibri" w:hAnsi="Calibri"/>
          <w:color w:val="000000"/>
          <w:szCs w:val="22"/>
        </w:rPr>
        <w:t xml:space="preserve"> Slovenskej republiky</w:t>
      </w:r>
      <w:r w:rsidRPr="008676F9">
        <w:rPr>
          <w:rFonts w:ascii="Calibri" w:hAnsi="Calibri"/>
          <w:color w:val="000000"/>
          <w:szCs w:val="22"/>
        </w:rPr>
        <w:t>.</w:t>
      </w:r>
    </w:p>
    <w:p w:rsidR="008676F9" w:rsidRPr="008676F9" w:rsidRDefault="008676F9" w:rsidP="00EB6F57">
      <w:pPr>
        <w:autoSpaceDE w:val="0"/>
        <w:autoSpaceDN w:val="0"/>
        <w:adjustRightInd w:val="0"/>
        <w:spacing w:after="120"/>
        <w:rPr>
          <w:rFonts w:ascii="Calibri" w:eastAsia="Calibri" w:hAnsi="Calibri"/>
          <w:color w:val="000000"/>
          <w:szCs w:val="22"/>
        </w:rPr>
      </w:pPr>
      <w:r w:rsidRPr="008676F9">
        <w:rPr>
          <w:rFonts w:ascii="Calibri" w:eastAsia="Calibri" w:hAnsi="Calibri"/>
          <w:color w:val="000000"/>
          <w:szCs w:val="22"/>
        </w:rPr>
        <w:t>Ak bola poľnohospodárovi poskytnutá finančná kompenzácia na základe ustanovení zákona č. 39/2007 Z. z. o veterinárnej starostlivosti v znení neskorších predpisov, finančná kompenzácia zo vzájomného fondu sa poľnohospodárovi zníži o sumu finančného plnenia poskytnutú v zmysle zákona o veterinárnej starostlivosti.</w:t>
      </w:r>
    </w:p>
    <w:p w:rsidR="008676F9" w:rsidRPr="008676F9" w:rsidRDefault="008676F9" w:rsidP="00EB6F57">
      <w:pPr>
        <w:autoSpaceDE w:val="0"/>
        <w:autoSpaceDN w:val="0"/>
        <w:adjustRightInd w:val="0"/>
        <w:spacing w:after="120"/>
        <w:rPr>
          <w:rFonts w:ascii="Calibri" w:eastAsia="Calibri" w:hAnsi="Calibri" w:cs="EUAlbertina"/>
          <w:color w:val="000000"/>
          <w:szCs w:val="22"/>
          <w:lang w:eastAsia="en-US"/>
        </w:rPr>
      </w:pPr>
      <w:r w:rsidRPr="008676F9">
        <w:rPr>
          <w:rFonts w:ascii="Calibri" w:eastAsia="Calibri" w:hAnsi="Calibri" w:cs="EUAlbertina"/>
          <w:color w:val="000000"/>
          <w:szCs w:val="22"/>
          <w:lang w:eastAsia="en-US"/>
        </w:rPr>
        <w:t>Právo na plnenie zo vzájomného fondu vznikne poľnohospodárovi, ak nastane skutočnosť spojená s nepriaznivými poveternostnými udalosťami, výskytom chorôb rastlín alebo zvierat, zamorením škodcami alebo environmentálnymi nehodami, s ktorou je spojený vznik povinnosti vzájomného fondu plniť, a ak sú splnené ďalej uvedené podmienky:</w:t>
      </w:r>
    </w:p>
    <w:p w:rsidR="008676F9" w:rsidRPr="003F6575" w:rsidRDefault="008676F9" w:rsidP="00CE203B">
      <w:pPr>
        <w:pStyle w:val="Odsekzoznamu"/>
        <w:numPr>
          <w:ilvl w:val="1"/>
          <w:numId w:val="318"/>
        </w:numPr>
        <w:spacing w:after="120"/>
        <w:ind w:left="284" w:hanging="284"/>
        <w:contextualSpacing w:val="0"/>
        <w:rPr>
          <w:rFonts w:ascii="Calibri" w:eastAsia="Calibri" w:hAnsi="Calibri"/>
          <w:color w:val="000000"/>
          <w:szCs w:val="22"/>
        </w:rPr>
      </w:pPr>
      <w:bookmarkStart w:id="108" w:name="p14-2"/>
      <w:bookmarkEnd w:id="108"/>
      <w:r w:rsidRPr="003F6575">
        <w:rPr>
          <w:rFonts w:ascii="Calibri" w:eastAsia="Calibri" w:hAnsi="Calibri"/>
          <w:color w:val="000000"/>
          <w:szCs w:val="22"/>
        </w:rPr>
        <w:t>Podmienkou pre uplatnenie práva na finančné plnenie zo vzájomného fondu v prípade vypuknutia chorôb zvierat je, že poľnohospodár:</w:t>
      </w:r>
    </w:p>
    <w:p w:rsidR="008676F9" w:rsidRPr="008676F9" w:rsidRDefault="008676F9" w:rsidP="00955DA4">
      <w:pPr>
        <w:numPr>
          <w:ilvl w:val="0"/>
          <w:numId w:val="231"/>
        </w:numPr>
        <w:spacing w:after="120"/>
        <w:ind w:left="714" w:hanging="357"/>
        <w:rPr>
          <w:rFonts w:ascii="Calibri" w:hAnsi="Calibri"/>
          <w:color w:val="000000"/>
          <w:szCs w:val="22"/>
        </w:rPr>
      </w:pPr>
      <w:bookmarkStart w:id="109" w:name="p14-2-a"/>
      <w:bookmarkEnd w:id="109"/>
      <w:r w:rsidRPr="008676F9">
        <w:rPr>
          <w:rFonts w:ascii="Calibri" w:hAnsi="Calibri"/>
          <w:color w:val="000000"/>
          <w:szCs w:val="22"/>
        </w:rPr>
        <w:t>predložil vzájomnému fondu osvedčenie vystavené štátnou veterinárnou a potravinovou správou o prevzatí, prípadne o neškodnom odstránení tela zvieraťa, ktoré v dôsledku vypuknutia choroby uhynulo alebo núdzovo utratené,</w:t>
      </w:r>
    </w:p>
    <w:p w:rsidR="008676F9" w:rsidRPr="008676F9" w:rsidRDefault="008676F9" w:rsidP="00955DA4">
      <w:pPr>
        <w:numPr>
          <w:ilvl w:val="0"/>
          <w:numId w:val="231"/>
        </w:numPr>
        <w:spacing w:after="120"/>
        <w:ind w:left="714" w:hanging="357"/>
        <w:rPr>
          <w:rFonts w:ascii="Calibri" w:hAnsi="Calibri"/>
          <w:color w:val="000000"/>
          <w:szCs w:val="22"/>
        </w:rPr>
      </w:pPr>
      <w:bookmarkStart w:id="110" w:name="p14-2-b"/>
      <w:bookmarkEnd w:id="110"/>
      <w:r w:rsidRPr="008676F9">
        <w:rPr>
          <w:rFonts w:ascii="Calibri" w:hAnsi="Calibri"/>
          <w:color w:val="000000"/>
          <w:szCs w:val="22"/>
        </w:rPr>
        <w:t>vyžiadal odborné ošetrenie hospodárskeho zvieraťa, ktorého sa plnenie týka, ak malo byť podľa veterinárnych predpisov takto ošetrené,</w:t>
      </w:r>
    </w:p>
    <w:p w:rsidR="008676F9" w:rsidRDefault="008676F9" w:rsidP="00955DA4">
      <w:pPr>
        <w:numPr>
          <w:ilvl w:val="0"/>
          <w:numId w:val="231"/>
        </w:numPr>
        <w:ind w:left="714" w:hanging="357"/>
        <w:rPr>
          <w:rFonts w:ascii="Calibri" w:hAnsi="Calibri"/>
          <w:color w:val="000000"/>
          <w:szCs w:val="22"/>
        </w:rPr>
      </w:pPr>
      <w:bookmarkStart w:id="111" w:name="p14-2-c"/>
      <w:bookmarkEnd w:id="111"/>
      <w:r w:rsidRPr="008676F9">
        <w:rPr>
          <w:rFonts w:ascii="Calibri" w:hAnsi="Calibri"/>
          <w:color w:val="000000"/>
          <w:szCs w:val="22"/>
        </w:rPr>
        <w:t>predložil vzájomnému fondu o príčine udalosti osvedčenie vystavené štátnou veterinárnou a potravinovou správou na podklade výsledkov dostupných vyšetrovacích metód alebo epizootologických vyšetrení.</w:t>
      </w:r>
    </w:p>
    <w:p w:rsidR="00F14F63" w:rsidRPr="008676F9" w:rsidRDefault="00F14F63" w:rsidP="00F14F63">
      <w:pPr>
        <w:ind w:left="357"/>
        <w:rPr>
          <w:rFonts w:ascii="Calibri" w:hAnsi="Calibri"/>
          <w:color w:val="000000"/>
          <w:szCs w:val="22"/>
        </w:rPr>
      </w:pPr>
    </w:p>
    <w:p w:rsidR="001F5283" w:rsidRDefault="001F5283" w:rsidP="00CE203B">
      <w:pPr>
        <w:pStyle w:val="Odsekzoznamu"/>
        <w:numPr>
          <w:ilvl w:val="1"/>
          <w:numId w:val="318"/>
        </w:numPr>
        <w:spacing w:after="120"/>
        <w:ind w:left="284" w:hanging="284"/>
        <w:contextualSpacing w:val="0"/>
        <w:jc w:val="left"/>
        <w:rPr>
          <w:rFonts w:eastAsia="Calibri"/>
          <w:szCs w:val="22"/>
        </w:rPr>
      </w:pPr>
      <w:bookmarkStart w:id="112" w:name="p14-3"/>
      <w:bookmarkEnd w:id="112"/>
      <w:r w:rsidRPr="00FB6015">
        <w:rPr>
          <w:rFonts w:eastAsia="Calibri"/>
          <w:szCs w:val="22"/>
        </w:rPr>
        <w:t>Podmienkou pre uplatnenie práva na finančné plnenie zo vzájomného fondu v prípade vypuknutia chorôb rastlín alebo kalamitného výskytu škodcov rastlín je, že poľnohospodár:</w:t>
      </w:r>
    </w:p>
    <w:p w:rsidR="001F5283" w:rsidRDefault="001F5283" w:rsidP="00CE203B">
      <w:pPr>
        <w:pStyle w:val="Odsekzoznamu"/>
        <w:numPr>
          <w:ilvl w:val="0"/>
          <w:numId w:val="382"/>
        </w:numPr>
        <w:spacing w:after="120"/>
        <w:ind w:left="714" w:hanging="357"/>
        <w:contextualSpacing w:val="0"/>
        <w:rPr>
          <w:rFonts w:ascii="Calibri" w:hAnsi="Calibri"/>
          <w:color w:val="000000"/>
          <w:szCs w:val="22"/>
        </w:rPr>
      </w:pPr>
      <w:r w:rsidRPr="00FB6015">
        <w:rPr>
          <w:rFonts w:ascii="Calibri" w:hAnsi="Calibri"/>
          <w:color w:val="000000"/>
          <w:szCs w:val="22"/>
        </w:rPr>
        <w:t xml:space="preserve">predložil vzájomnému fondu kópiu rastlinolekárskeho rozhodnutia vydaného </w:t>
      </w:r>
      <w:r w:rsidRPr="00FB6015">
        <w:rPr>
          <w:rFonts w:ascii="Calibri" w:hAnsi="Calibri" w:cs="Calibri"/>
          <w:szCs w:val="22"/>
          <w:lang w:eastAsia="en-US"/>
        </w:rPr>
        <w:t>podľa § 9 ods. 2 zákona NR SR č. 405/2011 Z. z. o rastlinolekárskej starostlivosti</w:t>
      </w:r>
      <w:r w:rsidRPr="00FB6015">
        <w:rPr>
          <w:rFonts w:ascii="Calibri" w:hAnsi="Calibri"/>
          <w:color w:val="000000"/>
          <w:szCs w:val="22"/>
        </w:rPr>
        <w:t xml:space="preserve"> Ústredným kontrolným a skúšobným ústavom poľnohospodárskym v prípade výskytu škodlivých organizmov uvedených v prílohách I a II smernice 2000/29/ES alebo</w:t>
      </w:r>
    </w:p>
    <w:p w:rsidR="001F5283" w:rsidRDefault="001F5283" w:rsidP="00CE203B">
      <w:pPr>
        <w:pStyle w:val="Odsekzoznamu"/>
        <w:numPr>
          <w:ilvl w:val="0"/>
          <w:numId w:val="382"/>
        </w:numPr>
        <w:ind w:left="714" w:hanging="357"/>
        <w:contextualSpacing w:val="0"/>
        <w:rPr>
          <w:rFonts w:ascii="Calibri" w:hAnsi="Calibri"/>
          <w:color w:val="000000"/>
          <w:szCs w:val="22"/>
        </w:rPr>
      </w:pPr>
      <w:r w:rsidRPr="00A059BD">
        <w:rPr>
          <w:rFonts w:ascii="Calibri" w:hAnsi="Calibri"/>
          <w:color w:val="000000"/>
          <w:szCs w:val="22"/>
        </w:rPr>
        <w:t>predložil</w:t>
      </w:r>
      <w:r w:rsidRPr="00FB6015">
        <w:rPr>
          <w:rFonts w:ascii="Calibri" w:hAnsi="Calibri"/>
          <w:color w:val="000000"/>
          <w:szCs w:val="22"/>
        </w:rPr>
        <w:t xml:space="preserve"> vzájomnému fondu odborný znalecký posudok súdneho znalca z oblasti poľnohospodárstva v prípade výskytu ochorení alebo škodcov uvedených v zozname podľa ods. 4, ktorý je uvedený vo všeobecných podmienkach vyplatenia finančnej kompenzácie zo vzájomného fondu </w:t>
      </w:r>
      <w:r>
        <w:rPr>
          <w:rFonts w:ascii="Calibri" w:hAnsi="Calibri"/>
          <w:color w:val="000000"/>
          <w:szCs w:val="22"/>
        </w:rPr>
        <w:t xml:space="preserve">podľa </w:t>
      </w:r>
      <w:r w:rsidRPr="00FB6015">
        <w:rPr>
          <w:rFonts w:ascii="Calibri" w:hAnsi="Calibri"/>
          <w:color w:val="000000"/>
          <w:szCs w:val="22"/>
        </w:rPr>
        <w:t xml:space="preserve">kapitoly </w:t>
      </w:r>
      <w:r w:rsidRPr="00FB6015">
        <w:rPr>
          <w:rFonts w:ascii="Calibri" w:hAnsi="Calibri" w:cs="Calibri"/>
          <w:b/>
          <w:szCs w:val="22"/>
          <w:lang w:eastAsia="en-US"/>
        </w:rPr>
        <w:t>8.2.15.3</w:t>
      </w:r>
      <w:r w:rsidRPr="001F5283">
        <w:rPr>
          <w:rFonts w:ascii="Calibri" w:hAnsi="Calibri"/>
          <w:color w:val="000000"/>
          <w:szCs w:val="22"/>
        </w:rPr>
        <w:t>.</w:t>
      </w:r>
    </w:p>
    <w:p w:rsidR="001F5283" w:rsidRPr="001F5283" w:rsidRDefault="001F5283" w:rsidP="001F5283">
      <w:pPr>
        <w:pStyle w:val="Odsekzoznamu"/>
        <w:ind w:left="714"/>
        <w:contextualSpacing w:val="0"/>
        <w:rPr>
          <w:rFonts w:ascii="Calibri" w:hAnsi="Calibri"/>
          <w:color w:val="000000"/>
          <w:szCs w:val="22"/>
        </w:rPr>
      </w:pPr>
      <w:r w:rsidRPr="001F5283">
        <w:rPr>
          <w:rFonts w:ascii="Calibri" w:hAnsi="Calibri"/>
          <w:color w:val="000000"/>
          <w:szCs w:val="22"/>
        </w:rPr>
        <w:t xml:space="preserve"> </w:t>
      </w:r>
    </w:p>
    <w:p w:rsidR="008676F9" w:rsidRPr="003F6575" w:rsidRDefault="008676F9" w:rsidP="00CE203B">
      <w:pPr>
        <w:pStyle w:val="Odsekzoznamu"/>
        <w:numPr>
          <w:ilvl w:val="1"/>
          <w:numId w:val="318"/>
        </w:numPr>
        <w:spacing w:after="120"/>
        <w:ind w:left="284" w:hanging="284"/>
        <w:contextualSpacing w:val="0"/>
        <w:rPr>
          <w:rFonts w:ascii="Calibri" w:eastAsia="Calibri" w:hAnsi="Calibri"/>
          <w:color w:val="000000"/>
          <w:szCs w:val="22"/>
        </w:rPr>
      </w:pPr>
      <w:r w:rsidRPr="003F6575">
        <w:rPr>
          <w:rFonts w:ascii="Calibri" w:eastAsia="Calibri" w:hAnsi="Calibri"/>
          <w:color w:val="000000"/>
          <w:szCs w:val="22"/>
        </w:rPr>
        <w:t>Podmienkou pre uplatnenie práva na finančné plnenie v dôsledku vypuknutia nepriaznivých poveternostných udalostí je, že poľnohospodár:</w:t>
      </w:r>
    </w:p>
    <w:p w:rsidR="008676F9" w:rsidRPr="008676F9" w:rsidRDefault="008676F9" w:rsidP="00955DA4">
      <w:pPr>
        <w:numPr>
          <w:ilvl w:val="0"/>
          <w:numId w:val="232"/>
        </w:numPr>
        <w:spacing w:after="120"/>
        <w:ind w:left="714" w:hanging="357"/>
        <w:rPr>
          <w:rFonts w:ascii="Calibri" w:hAnsi="Calibri"/>
          <w:color w:val="000000"/>
          <w:szCs w:val="22"/>
        </w:rPr>
      </w:pPr>
      <w:bookmarkStart w:id="113" w:name="p14-3-a"/>
      <w:bookmarkEnd w:id="113"/>
      <w:r w:rsidRPr="008676F9">
        <w:rPr>
          <w:rFonts w:ascii="Calibri" w:hAnsi="Calibri"/>
          <w:color w:val="000000"/>
          <w:szCs w:val="22"/>
        </w:rPr>
        <w:t xml:space="preserve">písomne oznámil vzájomnému fondu okolnosti, t.j. zničenie alebo zníženie množstva produkcie v čase od vysiatia alebo vysadenia (pri viacročných kultúrach od skončenia zberu predchádzajúceho roka) do skončenia zberu príslušného roka; </w:t>
      </w:r>
      <w:bookmarkStart w:id="114" w:name="p14-3-b"/>
      <w:bookmarkEnd w:id="114"/>
    </w:p>
    <w:p w:rsidR="008676F9" w:rsidRPr="008676F9" w:rsidRDefault="008676F9" w:rsidP="00955DA4">
      <w:pPr>
        <w:numPr>
          <w:ilvl w:val="0"/>
          <w:numId w:val="232"/>
        </w:numPr>
        <w:spacing w:after="120"/>
        <w:ind w:left="714" w:hanging="357"/>
        <w:rPr>
          <w:rFonts w:ascii="Calibri" w:hAnsi="Calibri"/>
          <w:color w:val="000000"/>
          <w:szCs w:val="22"/>
        </w:rPr>
      </w:pPr>
      <w:r w:rsidRPr="008676F9">
        <w:rPr>
          <w:rFonts w:ascii="Calibri" w:hAnsi="Calibri"/>
          <w:color w:val="000000"/>
          <w:szCs w:val="22"/>
        </w:rPr>
        <w:t>písomne oznámil vzájomnému fondu najneskôr 7 dní vopred zaorávku produktu zničeného alebo poškodeného natoľko, že ho treba celkom alebo sčasti zaorať,</w:t>
      </w:r>
    </w:p>
    <w:p w:rsidR="008676F9" w:rsidRPr="008676F9" w:rsidRDefault="008676F9" w:rsidP="00955DA4">
      <w:pPr>
        <w:numPr>
          <w:ilvl w:val="0"/>
          <w:numId w:val="232"/>
        </w:numPr>
        <w:spacing w:after="120"/>
        <w:ind w:left="714" w:hanging="357"/>
        <w:rPr>
          <w:rFonts w:ascii="Calibri" w:hAnsi="Calibri"/>
          <w:color w:val="000000"/>
          <w:szCs w:val="22"/>
        </w:rPr>
      </w:pPr>
      <w:bookmarkStart w:id="115" w:name="p14-3-c"/>
      <w:bookmarkEnd w:id="115"/>
      <w:r w:rsidRPr="008676F9">
        <w:rPr>
          <w:rFonts w:ascii="Calibri" w:hAnsi="Calibri"/>
          <w:color w:val="000000"/>
          <w:szCs w:val="22"/>
        </w:rPr>
        <w:t>vykonal nové osiatie, dosiatie, sadbu alebo dosadbu, ak došlo k poškodeniu alebo zničeniu produkcie v čase, keď to agrotechnické zásady a objektívne podmienky dovoľovali,</w:t>
      </w:r>
    </w:p>
    <w:p w:rsidR="008676F9" w:rsidRPr="008676F9" w:rsidRDefault="008676F9" w:rsidP="00955DA4">
      <w:pPr>
        <w:numPr>
          <w:ilvl w:val="0"/>
          <w:numId w:val="232"/>
        </w:numPr>
        <w:contextualSpacing/>
        <w:rPr>
          <w:rFonts w:ascii="Calibri" w:hAnsi="Calibri"/>
          <w:color w:val="000000"/>
          <w:szCs w:val="22"/>
        </w:rPr>
      </w:pPr>
      <w:bookmarkStart w:id="116" w:name="p14-3-d"/>
      <w:bookmarkEnd w:id="116"/>
      <w:r w:rsidRPr="008676F9">
        <w:rPr>
          <w:rFonts w:ascii="Calibri" w:hAnsi="Calibri"/>
          <w:color w:val="000000"/>
          <w:szCs w:val="22"/>
        </w:rPr>
        <w:t>preukázal vzájomnému fondu, že na pozemkoch, kde produkty pestuje, vykonal opatrenia mu uložené podľa predpisov o ochrane rastlinnej výroby a že zber úrody skončil v súlade s agrotechnickými zásadami.</w:t>
      </w:r>
    </w:p>
    <w:p w:rsidR="008676F9" w:rsidRPr="008676F9" w:rsidRDefault="008676F9" w:rsidP="00F14F63">
      <w:pPr>
        <w:rPr>
          <w:rFonts w:ascii="Calibri" w:hAnsi="Calibri" w:cs="Calibri"/>
          <w:szCs w:val="22"/>
          <w:u w:val="single"/>
          <w:lang w:eastAsia="en-US"/>
        </w:rPr>
      </w:pPr>
      <w:r w:rsidRPr="008676F9">
        <w:rPr>
          <w:rFonts w:ascii="Calibri" w:hAnsi="Calibri" w:cs="Calibri"/>
          <w:szCs w:val="22"/>
          <w:u w:val="single"/>
          <w:lang w:eastAsia="en-US"/>
        </w:rPr>
        <w:t>Princípy nastavenia výberových kritérií:</w:t>
      </w:r>
    </w:p>
    <w:p w:rsidR="008676F9" w:rsidRPr="008676F9" w:rsidRDefault="008676F9" w:rsidP="00F14F63">
      <w:pPr>
        <w:rPr>
          <w:rFonts w:ascii="Calibri" w:hAnsi="Calibri" w:cs="Calibri"/>
          <w:szCs w:val="22"/>
          <w:lang w:eastAsia="en-US"/>
        </w:rPr>
      </w:pPr>
      <w:r w:rsidRPr="008676F9">
        <w:rPr>
          <w:rFonts w:ascii="Calibri" w:hAnsi="Calibri" w:cs="Calibri"/>
          <w:szCs w:val="22"/>
          <w:lang w:eastAsia="en-US"/>
        </w:rPr>
        <w:t xml:space="preserve">Uprednostnené budú projekty, ktoré zabezpečia čo najširšiu účasť poľnohospodárov do vzájomného fondu a vytvoria si dostatočnú kritickú masu umožňujúcu efektívne fungovanie tohto opatrenia. </w:t>
      </w:r>
    </w:p>
    <w:p w:rsidR="008676F9" w:rsidRPr="008676F9" w:rsidRDefault="008676F9" w:rsidP="00F14F63">
      <w:pPr>
        <w:rPr>
          <w:rFonts w:ascii="Calibri" w:hAnsi="Calibri" w:cs="Calibri"/>
          <w:szCs w:val="22"/>
          <w:lang w:eastAsia="en-US"/>
        </w:rPr>
      </w:pPr>
    </w:p>
    <w:p w:rsidR="008676F9" w:rsidRPr="008676F9" w:rsidRDefault="008676F9" w:rsidP="00F14F63">
      <w:pPr>
        <w:rPr>
          <w:rFonts w:ascii="Calibri" w:hAnsi="Calibri" w:cs="Calibri"/>
          <w:szCs w:val="22"/>
          <w:u w:val="single"/>
          <w:lang w:eastAsia="en-US"/>
        </w:rPr>
      </w:pPr>
      <w:r w:rsidRPr="008676F9">
        <w:rPr>
          <w:rFonts w:ascii="Calibri" w:hAnsi="Calibri" w:cs="Calibri"/>
          <w:szCs w:val="22"/>
          <w:u w:val="single"/>
          <w:lang w:eastAsia="en-US"/>
        </w:rPr>
        <w:t>Výška a miera podpory:</w:t>
      </w:r>
    </w:p>
    <w:p w:rsidR="008676F9" w:rsidRPr="008676F9" w:rsidRDefault="008676F9" w:rsidP="00F14F63">
      <w:pPr>
        <w:rPr>
          <w:rFonts w:ascii="Calibri" w:hAnsi="Calibri" w:cs="Calibri"/>
          <w:szCs w:val="22"/>
          <w:lang w:eastAsia="en-US"/>
        </w:rPr>
      </w:pPr>
      <w:r w:rsidRPr="008676F9">
        <w:rPr>
          <w:rFonts w:ascii="Calibri" w:hAnsi="Calibri" w:cs="Calibri"/>
          <w:szCs w:val="22"/>
          <w:lang w:eastAsia="en-US"/>
        </w:rPr>
        <w:t>Maximálna výška podpory z celkových oprávnených nákladov:</w:t>
      </w:r>
    </w:p>
    <w:p w:rsidR="008676F9" w:rsidRPr="008676F9" w:rsidRDefault="008676F9" w:rsidP="00955DA4">
      <w:pPr>
        <w:numPr>
          <w:ilvl w:val="0"/>
          <w:numId w:val="225"/>
        </w:numPr>
        <w:rPr>
          <w:rFonts w:ascii="Calibri" w:hAnsi="Calibri" w:cs="Calibri"/>
          <w:szCs w:val="22"/>
          <w:lang w:eastAsia="en-US"/>
        </w:rPr>
      </w:pPr>
      <w:r w:rsidRPr="008676F9">
        <w:rPr>
          <w:rFonts w:ascii="Calibri" w:hAnsi="Calibri" w:cs="Calibri"/>
          <w:szCs w:val="22"/>
          <w:lang w:eastAsia="en-US"/>
        </w:rPr>
        <w:t>65%.</w:t>
      </w:r>
    </w:p>
    <w:p w:rsidR="008676F9" w:rsidRPr="008676F9" w:rsidRDefault="008676F9" w:rsidP="00F14F63">
      <w:pPr>
        <w:rPr>
          <w:rFonts w:ascii="Calibri" w:eastAsia="Calibri" w:hAnsi="Calibri" w:cs="Calibri"/>
          <w:szCs w:val="22"/>
          <w:lang w:eastAsia="en-US"/>
        </w:rPr>
      </w:pPr>
      <w:r w:rsidRPr="008676F9">
        <w:rPr>
          <w:rFonts w:ascii="Calibri" w:eastAsia="Calibri" w:hAnsi="Calibri" w:cs="Calibri"/>
          <w:szCs w:val="22"/>
          <w:lang w:eastAsia="en-US"/>
        </w:rPr>
        <w:t xml:space="preserve"> </w:t>
      </w:r>
    </w:p>
    <w:p w:rsidR="008676F9" w:rsidRPr="008676F9" w:rsidRDefault="008676F9" w:rsidP="00F14F63">
      <w:pPr>
        <w:ind w:left="851" w:hanging="851"/>
        <w:rPr>
          <w:rFonts w:ascii="Calibri" w:hAnsi="Calibri" w:cs="Calibri"/>
          <w:b/>
          <w:szCs w:val="22"/>
          <w:lang w:eastAsia="en-US"/>
        </w:rPr>
      </w:pPr>
      <w:r w:rsidRPr="008676F9">
        <w:rPr>
          <w:rFonts w:ascii="Calibri" w:hAnsi="Calibri" w:cs="Calibri"/>
          <w:b/>
          <w:szCs w:val="22"/>
          <w:lang w:eastAsia="en-US"/>
        </w:rPr>
        <w:t>8.2.1</w:t>
      </w:r>
      <w:r w:rsidR="00B30F00">
        <w:rPr>
          <w:rFonts w:ascii="Calibri" w:hAnsi="Calibri" w:cs="Calibri"/>
          <w:b/>
          <w:szCs w:val="22"/>
          <w:lang w:eastAsia="en-US"/>
        </w:rPr>
        <w:t>6</w:t>
      </w:r>
      <w:r w:rsidRPr="008676F9">
        <w:rPr>
          <w:rFonts w:ascii="Calibri" w:hAnsi="Calibri" w:cs="Calibri"/>
          <w:b/>
          <w:szCs w:val="22"/>
          <w:lang w:eastAsia="en-US"/>
        </w:rPr>
        <w:t>.4. Overiteľnosť a kontrolovateľnosť podmienok opatrenia</w:t>
      </w:r>
    </w:p>
    <w:p w:rsidR="008676F9" w:rsidRPr="008676F9" w:rsidRDefault="008676F9" w:rsidP="00F14F63">
      <w:pPr>
        <w:rPr>
          <w:rFonts w:ascii="Calibri" w:hAnsi="Calibri" w:cs="Calibri"/>
          <w:szCs w:val="22"/>
          <w:u w:val="single"/>
          <w:lang w:eastAsia="en-US"/>
        </w:rPr>
      </w:pPr>
      <w:r w:rsidRPr="008676F9">
        <w:rPr>
          <w:rFonts w:ascii="Calibri" w:hAnsi="Calibri" w:cs="Calibri"/>
          <w:szCs w:val="22"/>
          <w:u w:val="single"/>
          <w:lang w:eastAsia="en-US"/>
        </w:rPr>
        <w:t>Riziko implementácie opatrenia:</w:t>
      </w:r>
    </w:p>
    <w:p w:rsidR="008676F9" w:rsidRPr="008676F9" w:rsidRDefault="008676F9" w:rsidP="00955DA4">
      <w:pPr>
        <w:numPr>
          <w:ilvl w:val="0"/>
          <w:numId w:val="234"/>
        </w:numPr>
        <w:rPr>
          <w:rFonts w:ascii="Calibri" w:hAnsi="Calibri" w:cs="Calibri"/>
          <w:szCs w:val="22"/>
          <w:lang w:eastAsia="en-US"/>
        </w:rPr>
      </w:pPr>
      <w:r w:rsidRPr="008676F9">
        <w:rPr>
          <w:rFonts w:ascii="Calibri" w:hAnsi="Calibri" w:cs="Calibri"/>
          <w:szCs w:val="22"/>
          <w:lang w:eastAsia="en-US"/>
        </w:rPr>
        <w:t>Absentujú vnútroštátne právne predpisy pre stanovenie pravidiel vytvárania, riadenia a akreditácie vzájomných fondov.</w:t>
      </w:r>
      <w:r w:rsidRPr="008676F9">
        <w:rPr>
          <w:rFonts w:ascii="Calibri" w:hAnsi="Calibri" w:cs="Calibri"/>
          <w:szCs w:val="22"/>
          <w:lang w:eastAsia="en-US"/>
        </w:rPr>
        <w:tab/>
      </w:r>
    </w:p>
    <w:p w:rsidR="008676F9" w:rsidRPr="008676F9" w:rsidRDefault="008676F9" w:rsidP="00955DA4">
      <w:pPr>
        <w:numPr>
          <w:ilvl w:val="0"/>
          <w:numId w:val="234"/>
        </w:numPr>
        <w:rPr>
          <w:rFonts w:ascii="Calibri" w:hAnsi="Calibri" w:cs="Calibri"/>
          <w:szCs w:val="22"/>
          <w:lang w:eastAsia="en-US"/>
        </w:rPr>
      </w:pPr>
      <w:r w:rsidRPr="008676F9">
        <w:rPr>
          <w:rFonts w:ascii="Calibri" w:hAnsi="Calibri" w:cs="Calibri"/>
          <w:szCs w:val="22"/>
          <w:lang w:eastAsia="en-US"/>
        </w:rPr>
        <w:t>Výška oprávnených administratívnych nákladov na zriadenie vzájomného fondu.</w:t>
      </w:r>
    </w:p>
    <w:p w:rsidR="008676F9" w:rsidRPr="008676F9" w:rsidRDefault="008676F9" w:rsidP="00955DA4">
      <w:pPr>
        <w:numPr>
          <w:ilvl w:val="0"/>
          <w:numId w:val="234"/>
        </w:numPr>
        <w:rPr>
          <w:rFonts w:ascii="Calibri" w:hAnsi="Calibri" w:cs="Calibri"/>
          <w:szCs w:val="22"/>
          <w:lang w:eastAsia="en-US"/>
        </w:rPr>
      </w:pPr>
      <w:r w:rsidRPr="008676F9">
        <w:rPr>
          <w:rFonts w:ascii="Calibri" w:hAnsi="Calibri" w:cs="Calibri"/>
          <w:szCs w:val="22"/>
          <w:lang w:eastAsia="en-US"/>
        </w:rPr>
        <w:t xml:space="preserve">Systémové rizika ohrozujú finančnú schopnosť vzájomných fondov. </w:t>
      </w:r>
    </w:p>
    <w:p w:rsidR="008676F9" w:rsidRPr="008676F9" w:rsidRDefault="008676F9" w:rsidP="00F14F63">
      <w:pPr>
        <w:rPr>
          <w:rFonts w:ascii="Calibri" w:hAnsi="Calibri" w:cs="Calibri"/>
          <w:szCs w:val="22"/>
          <w:lang w:eastAsia="en-US"/>
        </w:rPr>
      </w:pPr>
    </w:p>
    <w:p w:rsidR="008676F9" w:rsidRPr="008676F9" w:rsidRDefault="008676F9" w:rsidP="00F14F63">
      <w:pPr>
        <w:rPr>
          <w:rFonts w:ascii="Calibri" w:hAnsi="Calibri" w:cs="Calibri"/>
          <w:szCs w:val="22"/>
          <w:u w:val="single"/>
          <w:lang w:eastAsia="en-US"/>
        </w:rPr>
      </w:pPr>
      <w:r w:rsidRPr="008676F9">
        <w:rPr>
          <w:rFonts w:ascii="Calibri" w:hAnsi="Calibri" w:cs="Calibri"/>
          <w:szCs w:val="22"/>
          <w:u w:val="single"/>
          <w:lang w:eastAsia="en-US"/>
        </w:rPr>
        <w:t>Opatrenie na zmiernenie rizika implementácie:</w:t>
      </w:r>
    </w:p>
    <w:p w:rsidR="008676F9" w:rsidRPr="008676F9" w:rsidRDefault="008676F9" w:rsidP="00F14F63">
      <w:pPr>
        <w:rPr>
          <w:rFonts w:ascii="Calibri" w:hAnsi="Calibri" w:cs="Calibri"/>
          <w:szCs w:val="22"/>
          <w:lang w:eastAsia="en-US"/>
        </w:rPr>
      </w:pPr>
      <w:r w:rsidRPr="008676F9">
        <w:rPr>
          <w:rFonts w:ascii="Calibri" w:hAnsi="Calibri" w:cs="Calibri"/>
          <w:szCs w:val="22"/>
          <w:lang w:eastAsia="en-US"/>
        </w:rPr>
        <w:t>Overiteľnosť a kontrolovateľnosť administratívnych nákladov je zabezpečená systémom administratívnych kontrol a kontrol na mieste v zmysle stanovenia pravidiel vytvárania a riadenia vzájomných fondov. Na minimalizáciu systémových rizík sa určia podmienky a nástroje pri stanovení pravidiel vytvárania a riadenia vzájomných fondov. Vznik vnútroštátnych právnych predpisov je v štádiu príprav.</w:t>
      </w:r>
    </w:p>
    <w:p w:rsidR="008676F9" w:rsidRPr="008676F9" w:rsidRDefault="008676F9" w:rsidP="00F14F63">
      <w:pPr>
        <w:rPr>
          <w:rFonts w:ascii="Calibri" w:hAnsi="Calibri" w:cs="Calibri"/>
          <w:szCs w:val="22"/>
          <w:u w:val="single"/>
          <w:lang w:eastAsia="en-US"/>
        </w:rPr>
      </w:pPr>
    </w:p>
    <w:p w:rsidR="008676F9" w:rsidRPr="008676F9" w:rsidRDefault="008676F9" w:rsidP="00F14F63">
      <w:pPr>
        <w:rPr>
          <w:rFonts w:ascii="Calibri" w:hAnsi="Calibri" w:cs="Calibri"/>
          <w:szCs w:val="22"/>
          <w:u w:val="single"/>
          <w:lang w:eastAsia="en-US"/>
        </w:rPr>
      </w:pPr>
      <w:r w:rsidRPr="008676F9">
        <w:rPr>
          <w:rFonts w:ascii="Calibri" w:hAnsi="Calibri" w:cs="Calibri"/>
          <w:szCs w:val="22"/>
          <w:u w:val="single"/>
          <w:lang w:eastAsia="en-US"/>
        </w:rPr>
        <w:t>Celkové posúdenie opatrenia:</w:t>
      </w:r>
    </w:p>
    <w:p w:rsidR="008676F9" w:rsidRDefault="008676F9" w:rsidP="00F14F63">
      <w:pPr>
        <w:rPr>
          <w:rFonts w:ascii="Calibri" w:hAnsi="Calibri" w:cs="Calibri"/>
          <w:szCs w:val="22"/>
          <w:lang w:eastAsia="en-US"/>
        </w:rPr>
      </w:pPr>
      <w:r w:rsidRPr="008676F9">
        <w:rPr>
          <w:rFonts w:ascii="Calibri" w:hAnsi="Calibri" w:cs="Calibri"/>
          <w:szCs w:val="22"/>
          <w:lang w:eastAsia="en-US"/>
        </w:rPr>
        <w:t>Vzájomné fondy sú úplne nový systém finančného krytia poľnohospodárskych rizík, ktorý môže byť alternatívou k súčasnému systému komerčného poistenia, pretože do finančného krytia sa dostanú aj nepoistiteľné riziká. Predpokladáme, že prostredníctvom tohto opatrenia sa odstránia medzery vo finančnom krytí nepoistiteľných rizík v sektore. Rovnako sa zatraktívni riadenie poľnohospodárskych rizík u poľnohospodárov z dôvodov rozširovania rozsahu finančného krytia rizík a nárastu podpory z verejných zdrojov.</w:t>
      </w:r>
    </w:p>
    <w:p w:rsidR="003F6575" w:rsidRPr="008676F9" w:rsidRDefault="003F6575" w:rsidP="00F14F63">
      <w:pPr>
        <w:rPr>
          <w:rFonts w:ascii="Calibri" w:hAnsi="Calibri" w:cs="Calibri"/>
          <w:szCs w:val="22"/>
          <w:lang w:eastAsia="en-US"/>
        </w:rPr>
      </w:pPr>
    </w:p>
    <w:p w:rsidR="008676F9" w:rsidRPr="008676F9" w:rsidRDefault="008676F9" w:rsidP="00F14F63">
      <w:pPr>
        <w:rPr>
          <w:rFonts w:ascii="Calibri" w:hAnsi="Calibri" w:cs="Calibri"/>
          <w:b/>
          <w:szCs w:val="22"/>
          <w:lang w:eastAsia="en-US"/>
        </w:rPr>
      </w:pPr>
      <w:r w:rsidRPr="008676F9">
        <w:rPr>
          <w:rFonts w:ascii="Calibri" w:hAnsi="Calibri" w:cs="Calibri"/>
          <w:b/>
          <w:szCs w:val="22"/>
          <w:lang w:eastAsia="en-US"/>
        </w:rPr>
        <w:t>8.2.1</w:t>
      </w:r>
      <w:r w:rsidR="00B30F00">
        <w:rPr>
          <w:rFonts w:ascii="Calibri" w:hAnsi="Calibri" w:cs="Calibri"/>
          <w:b/>
          <w:szCs w:val="22"/>
          <w:lang w:eastAsia="en-US"/>
        </w:rPr>
        <w:t>6</w:t>
      </w:r>
      <w:r w:rsidRPr="008676F9">
        <w:rPr>
          <w:rFonts w:ascii="Calibri" w:hAnsi="Calibri" w:cs="Calibri"/>
          <w:b/>
          <w:szCs w:val="22"/>
          <w:lang w:eastAsia="en-US"/>
        </w:rPr>
        <w:t>.5. Metodika kalkulácie výšky podpory</w:t>
      </w:r>
    </w:p>
    <w:p w:rsidR="008676F9" w:rsidRPr="008676F9" w:rsidRDefault="008676F9" w:rsidP="00F14F63">
      <w:pPr>
        <w:rPr>
          <w:rFonts w:ascii="Calibri" w:hAnsi="Calibri" w:cs="Calibri"/>
          <w:lang w:eastAsia="en-US"/>
        </w:rPr>
      </w:pPr>
      <w:r w:rsidRPr="008676F9">
        <w:rPr>
          <w:rFonts w:ascii="Calibri" w:hAnsi="Calibri" w:cs="Calibri"/>
          <w:szCs w:val="22"/>
          <w:lang w:eastAsia="en-US"/>
        </w:rPr>
        <w:t>Výška podpory závisí od oprávnených nákladov a intenzity podpory.</w:t>
      </w:r>
      <w:r w:rsidRPr="008676F9">
        <w:rPr>
          <w:rFonts w:ascii="Calibri" w:hAnsi="Calibri" w:cs="Calibri"/>
          <w:lang w:eastAsia="en-US"/>
        </w:rPr>
        <w:t xml:space="preserve"> Príspevok jednotlivého poľnohospodára do vzájomného fondu môže byť stanovený podľa:</w:t>
      </w:r>
    </w:p>
    <w:p w:rsidR="008676F9" w:rsidRPr="008676F9" w:rsidRDefault="008676F9" w:rsidP="00955DA4">
      <w:pPr>
        <w:numPr>
          <w:ilvl w:val="0"/>
          <w:numId w:val="235"/>
        </w:numPr>
        <w:rPr>
          <w:rFonts w:ascii="Calibri" w:hAnsi="Calibri" w:cs="Calibri"/>
          <w:szCs w:val="22"/>
          <w:lang w:eastAsia="en-US"/>
        </w:rPr>
      </w:pPr>
      <w:r w:rsidRPr="008676F9">
        <w:rPr>
          <w:rFonts w:ascii="Calibri" w:hAnsi="Calibri" w:cs="Calibri"/>
          <w:szCs w:val="22"/>
          <w:lang w:eastAsia="en-US"/>
        </w:rPr>
        <w:t>ex-ante hodnotenia rizika;</w:t>
      </w:r>
    </w:p>
    <w:p w:rsidR="008676F9" w:rsidRPr="008676F9" w:rsidRDefault="008676F9" w:rsidP="00955DA4">
      <w:pPr>
        <w:numPr>
          <w:ilvl w:val="0"/>
          <w:numId w:val="235"/>
        </w:numPr>
        <w:rPr>
          <w:rFonts w:ascii="Calibri" w:hAnsi="Calibri" w:cs="Calibri"/>
          <w:szCs w:val="22"/>
          <w:lang w:eastAsia="en-US"/>
        </w:rPr>
      </w:pPr>
      <w:r w:rsidRPr="008676F9">
        <w:rPr>
          <w:rFonts w:ascii="Calibri" w:hAnsi="Calibri" w:cs="Calibri"/>
          <w:szCs w:val="22"/>
          <w:lang w:eastAsia="en-US"/>
        </w:rPr>
        <w:t>priemerného príjmu poľnohospodárskeho podniku</w:t>
      </w:r>
      <w:r w:rsidRPr="008676F9">
        <w:rPr>
          <w:rFonts w:ascii="Calibri" w:hAnsi="Calibri" w:cs="Calibri"/>
          <w:szCs w:val="22"/>
          <w:vertAlign w:val="superscript"/>
          <w:lang w:eastAsia="en-US"/>
        </w:rPr>
        <w:footnoteReference w:id="29"/>
      </w:r>
      <w:r w:rsidRPr="008676F9">
        <w:rPr>
          <w:rFonts w:ascii="Calibri" w:hAnsi="Calibri" w:cs="Calibri"/>
          <w:szCs w:val="22"/>
          <w:lang w:eastAsia="en-US"/>
        </w:rPr>
        <w:t>;</w:t>
      </w:r>
    </w:p>
    <w:p w:rsidR="008676F9" w:rsidRPr="008676F9" w:rsidRDefault="008676F9" w:rsidP="00955DA4">
      <w:pPr>
        <w:numPr>
          <w:ilvl w:val="0"/>
          <w:numId w:val="235"/>
        </w:numPr>
        <w:rPr>
          <w:rFonts w:ascii="Calibri" w:hAnsi="Calibri" w:cs="Calibri"/>
          <w:szCs w:val="22"/>
          <w:lang w:eastAsia="en-US"/>
        </w:rPr>
      </w:pPr>
      <w:r w:rsidRPr="008676F9">
        <w:rPr>
          <w:rFonts w:ascii="Calibri" w:hAnsi="Calibri" w:cs="Calibri"/>
          <w:szCs w:val="22"/>
          <w:lang w:eastAsia="en-US"/>
        </w:rPr>
        <w:t>veľkosti poľnohospodárskeho podniku a pod..</w:t>
      </w:r>
    </w:p>
    <w:p w:rsidR="008676F9" w:rsidRPr="008676F9" w:rsidRDefault="008676F9" w:rsidP="00F14F63">
      <w:pPr>
        <w:rPr>
          <w:rFonts w:ascii="Calibri" w:hAnsi="Calibri" w:cs="Calibri"/>
          <w:szCs w:val="22"/>
          <w:lang w:eastAsia="en-US"/>
        </w:rPr>
      </w:pPr>
    </w:p>
    <w:p w:rsidR="008676F9" w:rsidRPr="008676F9" w:rsidRDefault="008676F9" w:rsidP="00F14F63">
      <w:pPr>
        <w:autoSpaceDE w:val="0"/>
        <w:autoSpaceDN w:val="0"/>
        <w:adjustRightInd w:val="0"/>
        <w:rPr>
          <w:rFonts w:ascii="Calibri" w:hAnsi="Calibri" w:cs="Calibri"/>
          <w:szCs w:val="22"/>
          <w:lang w:eastAsia="en-US"/>
        </w:rPr>
      </w:pPr>
      <w:r w:rsidRPr="008676F9">
        <w:rPr>
          <w:rFonts w:ascii="Calibri" w:hAnsi="Calibri" w:cs="Calibri"/>
          <w:szCs w:val="22"/>
          <w:lang w:eastAsia="en-US"/>
        </w:rPr>
        <w:t>Podpora na administratívne náklady spojené so zriadením vzájomných fondov zahŕňa príspevok od Únie ako aj od poľnohospodárov. Celková výška podpory na administratívne náklady spojené so zriadením vzájomných fondov nepresiahne:</w:t>
      </w:r>
    </w:p>
    <w:p w:rsidR="008676F9" w:rsidRPr="008676F9" w:rsidRDefault="008676F9" w:rsidP="00955DA4">
      <w:pPr>
        <w:numPr>
          <w:ilvl w:val="0"/>
          <w:numId w:val="236"/>
        </w:numPr>
        <w:autoSpaceDE w:val="0"/>
        <w:autoSpaceDN w:val="0"/>
        <w:adjustRightInd w:val="0"/>
        <w:rPr>
          <w:rFonts w:ascii="Calibri" w:hAnsi="Calibri" w:cs="Calibri"/>
          <w:szCs w:val="22"/>
          <w:lang w:eastAsia="en-US"/>
        </w:rPr>
      </w:pPr>
      <w:r w:rsidRPr="008676F9">
        <w:rPr>
          <w:rFonts w:ascii="Calibri" w:hAnsi="Calibri" w:cs="Calibri"/>
          <w:szCs w:val="22"/>
          <w:lang w:eastAsia="en-US"/>
        </w:rPr>
        <w:t>10 percentný pomer príspevku poľnohospodárov do vzájomného fondu v prvom roku;</w:t>
      </w:r>
    </w:p>
    <w:p w:rsidR="008676F9" w:rsidRPr="008676F9" w:rsidRDefault="008676F9" w:rsidP="00955DA4">
      <w:pPr>
        <w:numPr>
          <w:ilvl w:val="0"/>
          <w:numId w:val="237"/>
        </w:numPr>
        <w:autoSpaceDE w:val="0"/>
        <w:autoSpaceDN w:val="0"/>
        <w:adjustRightInd w:val="0"/>
        <w:rPr>
          <w:rFonts w:ascii="Calibri" w:hAnsi="Calibri" w:cs="Calibri"/>
          <w:szCs w:val="22"/>
          <w:lang w:eastAsia="en-US"/>
        </w:rPr>
      </w:pPr>
      <w:r w:rsidRPr="008676F9">
        <w:rPr>
          <w:rFonts w:ascii="Calibri" w:hAnsi="Calibri" w:cs="Calibri"/>
          <w:szCs w:val="22"/>
          <w:lang w:eastAsia="en-US"/>
        </w:rPr>
        <w:t>8 percentný pomer príspevku poľnohospodárov do vzájomného fondu v druhom roku;</w:t>
      </w:r>
    </w:p>
    <w:p w:rsidR="008676F9" w:rsidRPr="008676F9" w:rsidRDefault="008676F9" w:rsidP="00955DA4">
      <w:pPr>
        <w:numPr>
          <w:ilvl w:val="0"/>
          <w:numId w:val="237"/>
        </w:numPr>
        <w:autoSpaceDE w:val="0"/>
        <w:autoSpaceDN w:val="0"/>
        <w:adjustRightInd w:val="0"/>
        <w:rPr>
          <w:rFonts w:ascii="Calibri" w:hAnsi="Calibri" w:cs="Calibri"/>
          <w:szCs w:val="22"/>
          <w:lang w:eastAsia="en-US"/>
        </w:rPr>
      </w:pPr>
      <w:r w:rsidRPr="008676F9">
        <w:rPr>
          <w:rFonts w:ascii="Calibri" w:hAnsi="Calibri" w:cs="Calibri"/>
          <w:szCs w:val="22"/>
          <w:lang w:eastAsia="en-US"/>
        </w:rPr>
        <w:t>4 percentný pomer príspevku poľnohospodárov do vzájomného fondu v treťom roku.</w:t>
      </w:r>
    </w:p>
    <w:p w:rsidR="008676F9" w:rsidRPr="008676F9" w:rsidRDefault="008676F9" w:rsidP="00F14F63">
      <w:pPr>
        <w:rPr>
          <w:rFonts w:ascii="Calibri" w:hAnsi="Calibri" w:cs="Calibri"/>
          <w:szCs w:val="22"/>
          <w:lang w:eastAsia="en-US"/>
        </w:rPr>
      </w:pPr>
    </w:p>
    <w:p w:rsidR="008676F9" w:rsidRPr="008676F9" w:rsidRDefault="008676F9" w:rsidP="00F14F63">
      <w:pPr>
        <w:rPr>
          <w:rFonts w:ascii="Calibri" w:hAnsi="Calibri" w:cs="Calibri"/>
          <w:b/>
          <w:szCs w:val="22"/>
          <w:lang w:eastAsia="en-US"/>
        </w:rPr>
      </w:pPr>
      <w:r w:rsidRPr="008676F9">
        <w:rPr>
          <w:rFonts w:ascii="Calibri" w:hAnsi="Calibri" w:cs="Calibri"/>
          <w:b/>
          <w:szCs w:val="22"/>
          <w:lang w:eastAsia="en-US"/>
        </w:rPr>
        <w:t>8.2.1</w:t>
      </w:r>
      <w:r w:rsidR="00B30F00">
        <w:rPr>
          <w:rFonts w:ascii="Calibri" w:hAnsi="Calibri" w:cs="Calibri"/>
          <w:b/>
          <w:szCs w:val="22"/>
          <w:lang w:eastAsia="en-US"/>
        </w:rPr>
        <w:t>6</w:t>
      </w:r>
      <w:r w:rsidRPr="008676F9">
        <w:rPr>
          <w:rFonts w:ascii="Calibri" w:hAnsi="Calibri" w:cs="Calibri"/>
          <w:b/>
          <w:szCs w:val="22"/>
          <w:lang w:eastAsia="en-US"/>
        </w:rPr>
        <w:t>.6. Ďalšie dôležité informácie špecifické pre opatrenie</w:t>
      </w:r>
    </w:p>
    <w:p w:rsidR="008676F9" w:rsidRPr="008676F9" w:rsidRDefault="008676F9" w:rsidP="00F14F63">
      <w:pPr>
        <w:rPr>
          <w:rFonts w:ascii="Calibri" w:hAnsi="Calibri" w:cs="Calibri"/>
          <w:szCs w:val="22"/>
          <w:lang w:eastAsia="en-US"/>
        </w:rPr>
      </w:pPr>
      <w:r w:rsidRPr="008676F9">
        <w:rPr>
          <w:rFonts w:ascii="Calibri" w:hAnsi="Calibri" w:cs="Calibri"/>
          <w:szCs w:val="22"/>
          <w:lang w:eastAsia="en-US"/>
        </w:rPr>
        <w:t>V prípade, že vzájomný fond využije na vyplácanie finančných kompenzácií pre poľnohospodárov komerčný úver podľa článku 38 nariadenia (EÚ) č. 1305/2013, doba splatnosti tohto úveru je v rozmedzí 1 až 5 rokov.</w:t>
      </w:r>
    </w:p>
    <w:p w:rsidR="008676F9" w:rsidRPr="008676F9" w:rsidRDefault="008676F9" w:rsidP="00F14F63">
      <w:pPr>
        <w:rPr>
          <w:rFonts w:ascii="Calibri" w:hAnsi="Calibri" w:cs="Calibri"/>
          <w:szCs w:val="22"/>
          <w:lang w:eastAsia="en-US"/>
        </w:rPr>
      </w:pPr>
    </w:p>
    <w:p w:rsidR="008676F9" w:rsidRPr="008676F9" w:rsidRDefault="008676F9" w:rsidP="00F14F63">
      <w:pPr>
        <w:rPr>
          <w:rFonts w:ascii="Calibri" w:hAnsi="Calibri" w:cs="Calibri"/>
          <w:b/>
          <w:szCs w:val="22"/>
          <w:lang w:eastAsia="en-US"/>
        </w:rPr>
      </w:pPr>
      <w:r w:rsidRPr="008676F9">
        <w:rPr>
          <w:rFonts w:ascii="Calibri" w:hAnsi="Calibri" w:cs="Calibri"/>
          <w:b/>
          <w:szCs w:val="22"/>
          <w:lang w:eastAsia="en-US"/>
        </w:rPr>
        <w:t>Demarkačná línia s ostatnými nástrojmi SPP, vnútroštátnou pomocou a systémom súkromného poistenia</w:t>
      </w:r>
    </w:p>
    <w:p w:rsidR="008676F9" w:rsidRPr="008676F9" w:rsidRDefault="008676F9" w:rsidP="00F14F63">
      <w:pPr>
        <w:rPr>
          <w:rFonts w:ascii="Calibri" w:hAnsi="Calibri" w:cs="Calibri"/>
          <w:szCs w:val="22"/>
          <w:lang w:eastAsia="en-US"/>
        </w:rPr>
      </w:pPr>
      <w:r w:rsidRPr="008676F9">
        <w:rPr>
          <w:rFonts w:ascii="Calibri" w:hAnsi="Calibri" w:cs="Calibri"/>
          <w:szCs w:val="22"/>
          <w:lang w:eastAsia="en-US"/>
        </w:rPr>
        <w:t xml:space="preserve">Podmienka, aby oprávnené náklady vzájomných fondov neboli podporené inými relevantnými nástrojmi Spoločnej poľnohospodárskej politiky, vnútroštátnou pomocou alebo systémom súkromného poistenia bude zabezpečená v Príručke pre žiadateľa o poskytnutie nenávratného finančného príspevku, v ktorej bude uvedená nasledujúca podmienka: </w:t>
      </w:r>
      <w:r w:rsidRPr="008676F9">
        <w:rPr>
          <w:rFonts w:ascii="Calibri" w:hAnsi="Calibri" w:cs="Calibri"/>
          <w:i/>
          <w:szCs w:val="22"/>
          <w:lang w:eastAsia="en-US"/>
        </w:rPr>
        <w:t>Žiadateľ (vzájomný fond) musí deklarovať, že jeho členovia za účelom finančného krytia rizík, ktoré sú predmetom zmluvy vzájomného fondu s jeho členmi, nevyužívajú iné relevantné nástroje SPP, vnútroštátnu pomoc alebo systém súkromného poistenia</w:t>
      </w:r>
      <w:r w:rsidRPr="008676F9">
        <w:rPr>
          <w:rFonts w:ascii="Calibri" w:hAnsi="Calibri" w:cs="Calibri"/>
          <w:szCs w:val="22"/>
          <w:lang w:eastAsia="en-US"/>
        </w:rPr>
        <w:t>.</w:t>
      </w:r>
    </w:p>
    <w:p w:rsidR="008676F9" w:rsidRPr="008676F9" w:rsidRDefault="008676F9" w:rsidP="00F14F63">
      <w:pPr>
        <w:rPr>
          <w:rFonts w:ascii="Calibri" w:hAnsi="Calibri" w:cs="Calibri"/>
          <w:color w:val="FF0000"/>
          <w:szCs w:val="22"/>
          <w:lang w:eastAsia="en-US"/>
        </w:rPr>
      </w:pPr>
    </w:p>
    <w:p w:rsidR="008676F9" w:rsidRPr="008676F9" w:rsidRDefault="008676F9" w:rsidP="00F14F63">
      <w:pPr>
        <w:ind w:left="851" w:hanging="851"/>
        <w:rPr>
          <w:rFonts w:ascii="Calibri" w:eastAsia="Calibri" w:hAnsi="Calibri" w:cs="Calibri"/>
          <w:b/>
          <w:szCs w:val="22"/>
          <w:lang w:eastAsia="en-US"/>
        </w:rPr>
      </w:pPr>
      <w:r w:rsidRPr="008676F9">
        <w:rPr>
          <w:rFonts w:ascii="Calibri" w:eastAsia="Calibri" w:hAnsi="Calibri" w:cs="Calibri"/>
          <w:b/>
          <w:szCs w:val="22"/>
          <w:lang w:eastAsia="en-US"/>
        </w:rPr>
        <w:t>8.2.1</w:t>
      </w:r>
      <w:r w:rsidR="00B30F00">
        <w:rPr>
          <w:rFonts w:ascii="Calibri" w:eastAsia="Calibri" w:hAnsi="Calibri" w:cs="Calibri"/>
          <w:b/>
          <w:szCs w:val="22"/>
          <w:lang w:eastAsia="en-US"/>
        </w:rPr>
        <w:t>6</w:t>
      </w:r>
      <w:r w:rsidRPr="008676F9">
        <w:rPr>
          <w:rFonts w:ascii="Calibri" w:eastAsia="Calibri" w:hAnsi="Calibri" w:cs="Calibri"/>
          <w:b/>
          <w:szCs w:val="22"/>
          <w:lang w:eastAsia="en-US"/>
        </w:rPr>
        <w:t>.7 Ostatné dôležité poznámky informácie relevantné pre porozumenie a implementáciu</w:t>
      </w:r>
      <w:r w:rsidRPr="008676F9">
        <w:rPr>
          <w:rFonts w:ascii="Calibri" w:eastAsia="Calibri" w:hAnsi="Calibri" w:cs="Calibri"/>
          <w:szCs w:val="22"/>
          <w:lang w:eastAsia="en-US"/>
        </w:rPr>
        <w:t xml:space="preserve"> </w:t>
      </w:r>
      <w:r w:rsidRPr="008676F9">
        <w:rPr>
          <w:rFonts w:ascii="Calibri" w:eastAsia="Calibri" w:hAnsi="Calibri" w:cs="Calibri"/>
          <w:b/>
          <w:szCs w:val="22"/>
          <w:lang w:eastAsia="en-US"/>
        </w:rPr>
        <w:t>opatrenia</w:t>
      </w:r>
    </w:p>
    <w:p w:rsidR="008676F9" w:rsidRPr="008676F9" w:rsidRDefault="008676F9" w:rsidP="00F14F63">
      <w:pPr>
        <w:ind w:left="720"/>
        <w:rPr>
          <w:rFonts w:ascii="Calibri" w:hAnsi="Calibri" w:cs="Calibri"/>
          <w:szCs w:val="22"/>
          <w:lang w:eastAsia="en-US"/>
        </w:rPr>
      </w:pPr>
    </w:p>
    <w:p w:rsidR="008676F9" w:rsidRPr="008676F9" w:rsidRDefault="008676F9" w:rsidP="00F14F63">
      <w:pPr>
        <w:rPr>
          <w:rFonts w:ascii="Calibri" w:eastAsia="Calibri" w:hAnsi="Calibri" w:cs="Calibri"/>
          <w:szCs w:val="22"/>
          <w:u w:val="single"/>
          <w:lang w:eastAsia="en-US"/>
        </w:rPr>
      </w:pPr>
      <w:r w:rsidRPr="008676F9">
        <w:rPr>
          <w:rFonts w:ascii="Calibri" w:eastAsia="Calibri" w:hAnsi="Calibri" w:cs="Calibri"/>
          <w:szCs w:val="22"/>
          <w:u w:val="single"/>
          <w:lang w:eastAsia="en-US"/>
        </w:rPr>
        <w:t>Neoprávnené náklady:</w:t>
      </w:r>
    </w:p>
    <w:p w:rsidR="008676F9" w:rsidRPr="008676F9" w:rsidRDefault="008676F9" w:rsidP="00317BFF">
      <w:pPr>
        <w:numPr>
          <w:ilvl w:val="0"/>
          <w:numId w:val="34"/>
        </w:numPr>
        <w:rPr>
          <w:rFonts w:ascii="Calibri" w:hAnsi="Calibri" w:cs="Calibri"/>
          <w:szCs w:val="22"/>
          <w:lang w:eastAsia="en-US"/>
        </w:rPr>
      </w:pPr>
      <w:r w:rsidRPr="008676F9">
        <w:rPr>
          <w:rFonts w:ascii="Calibri" w:hAnsi="Calibri" w:cs="Calibri"/>
          <w:szCs w:val="22"/>
          <w:lang w:eastAsia="en-US"/>
        </w:rPr>
        <w:t>výdavky na zaistenie</w:t>
      </w:r>
      <w:r w:rsidR="001F5283">
        <w:rPr>
          <w:rFonts w:ascii="Calibri" w:hAnsi="Calibri" w:cs="Calibri"/>
          <w:szCs w:val="22"/>
          <w:lang w:eastAsia="en-US"/>
        </w:rPr>
        <w:t>,</w:t>
      </w:r>
      <w:r w:rsidRPr="008676F9">
        <w:rPr>
          <w:rFonts w:ascii="Calibri" w:hAnsi="Calibri" w:cs="Calibri"/>
          <w:szCs w:val="22"/>
          <w:lang w:eastAsia="en-US"/>
        </w:rPr>
        <w:tab/>
      </w:r>
    </w:p>
    <w:p w:rsidR="008676F9" w:rsidRPr="008676F9" w:rsidRDefault="008676F9" w:rsidP="00317BFF">
      <w:pPr>
        <w:numPr>
          <w:ilvl w:val="0"/>
          <w:numId w:val="34"/>
        </w:numPr>
        <w:rPr>
          <w:rFonts w:ascii="Calibri" w:hAnsi="Calibri" w:cs="Calibri"/>
          <w:szCs w:val="22"/>
          <w:lang w:eastAsia="en-US"/>
        </w:rPr>
      </w:pPr>
      <w:r w:rsidRPr="008676F9">
        <w:rPr>
          <w:rFonts w:ascii="Calibri" w:hAnsi="Calibri" w:cs="Calibri"/>
          <w:szCs w:val="22"/>
          <w:lang w:eastAsia="en-US"/>
        </w:rPr>
        <w:t>počiatočný zakladaný kapitál na založenie vzájomných fondov.</w:t>
      </w:r>
    </w:p>
    <w:p w:rsidR="008676F9" w:rsidRPr="008676F9" w:rsidRDefault="008676F9" w:rsidP="00F14F63">
      <w:pPr>
        <w:ind w:left="360"/>
        <w:rPr>
          <w:rFonts w:ascii="Calibri" w:hAnsi="Calibri" w:cs="Calibri"/>
          <w:szCs w:val="22"/>
          <w:lang w:eastAsia="en-US"/>
        </w:rPr>
      </w:pPr>
      <w:r w:rsidRPr="008676F9">
        <w:rPr>
          <w:rFonts w:ascii="Calibri" w:hAnsi="Calibri" w:cs="Calibri"/>
          <w:szCs w:val="22"/>
          <w:lang w:eastAsia="en-US"/>
        </w:rPr>
        <w:t xml:space="preserve"> </w:t>
      </w:r>
    </w:p>
    <w:p w:rsidR="008676F9" w:rsidRPr="008676F9" w:rsidRDefault="008676F9" w:rsidP="00F14F63">
      <w:pPr>
        <w:rPr>
          <w:rFonts w:ascii="Calibri" w:hAnsi="Calibri" w:cs="Calibri"/>
          <w:szCs w:val="22"/>
          <w:lang w:eastAsia="en-US"/>
        </w:rPr>
      </w:pPr>
      <w:r w:rsidRPr="008676F9">
        <w:rPr>
          <w:rFonts w:ascii="Calibri" w:hAnsi="Calibri" w:cs="Calibri"/>
          <w:szCs w:val="22"/>
          <w:lang w:eastAsia="en-US"/>
        </w:rPr>
        <w:br w:type="page"/>
      </w:r>
    </w:p>
    <w:p w:rsidR="008676F9" w:rsidRPr="00197171" w:rsidRDefault="008676F9" w:rsidP="00197171">
      <w:pPr>
        <w:pStyle w:val="Opatrenie"/>
      </w:pPr>
      <w:bookmarkStart w:id="117" w:name="_Toc387041341"/>
      <w:r w:rsidRPr="00197171">
        <w:t>8.2.1</w:t>
      </w:r>
      <w:r w:rsidR="00B30F00" w:rsidRPr="00197171">
        <w:t>7</w:t>
      </w:r>
      <w:r w:rsidRPr="00197171">
        <w:t xml:space="preserve"> OPATRENIE 19 </w:t>
      </w:r>
      <w:r w:rsidRPr="00197171">
        <w:tab/>
        <w:t>LEADER</w:t>
      </w:r>
      <w:bookmarkEnd w:id="117"/>
    </w:p>
    <w:p w:rsidR="008676F9" w:rsidRPr="008676F9" w:rsidRDefault="008676F9" w:rsidP="00F14F63">
      <w:pPr>
        <w:rPr>
          <w:rFonts w:ascii="Calibri" w:eastAsia="Calibri" w:hAnsi="Calibri" w:cs="Calibri"/>
          <w:szCs w:val="22"/>
          <w:lang w:eastAsia="en-US"/>
        </w:rPr>
      </w:pPr>
    </w:p>
    <w:p w:rsidR="008676F9" w:rsidRPr="008676F9" w:rsidRDefault="008676F9" w:rsidP="00F14F63">
      <w:pPr>
        <w:suppressAutoHyphens/>
        <w:rPr>
          <w:rFonts w:ascii="Calibri" w:eastAsia="Calibri" w:hAnsi="Calibri" w:cs="Calibri"/>
          <w:kern w:val="1"/>
          <w:szCs w:val="22"/>
          <w:lang w:eastAsia="ar-SA"/>
        </w:rPr>
      </w:pPr>
      <w:r w:rsidRPr="008676F9">
        <w:rPr>
          <w:rFonts w:ascii="Calibri" w:eastAsia="Calibri" w:hAnsi="Calibri" w:cs="Calibri"/>
          <w:b/>
          <w:bCs/>
          <w:kern w:val="1"/>
          <w:szCs w:val="22"/>
          <w:lang w:eastAsia="ar-SA"/>
        </w:rPr>
        <w:t>8.2.1</w:t>
      </w:r>
      <w:r w:rsidR="00B30F00">
        <w:rPr>
          <w:rFonts w:ascii="Calibri" w:eastAsia="Calibri" w:hAnsi="Calibri" w:cs="Calibri"/>
          <w:b/>
          <w:bCs/>
          <w:kern w:val="1"/>
          <w:szCs w:val="22"/>
          <w:lang w:eastAsia="ar-SA"/>
        </w:rPr>
        <w:t>7</w:t>
      </w:r>
      <w:r w:rsidRPr="008676F9">
        <w:rPr>
          <w:rFonts w:ascii="Calibri" w:eastAsia="Calibri" w:hAnsi="Calibri" w:cs="Calibri"/>
          <w:b/>
          <w:bCs/>
          <w:kern w:val="1"/>
          <w:szCs w:val="22"/>
          <w:lang w:eastAsia="ar-SA"/>
        </w:rPr>
        <w:t>.1. Právny základ</w:t>
      </w:r>
    </w:p>
    <w:p w:rsidR="008676F9" w:rsidRPr="008676F9" w:rsidRDefault="00201383" w:rsidP="00955DA4">
      <w:pPr>
        <w:numPr>
          <w:ilvl w:val="0"/>
          <w:numId w:val="181"/>
        </w:numPr>
        <w:suppressAutoHyphens/>
        <w:ind w:hanging="436"/>
        <w:rPr>
          <w:rFonts w:cs="Calibri"/>
          <w:bCs/>
          <w:kern w:val="1"/>
          <w:lang w:eastAsia="ar-SA"/>
        </w:rPr>
      </w:pPr>
      <w:r>
        <w:rPr>
          <w:rFonts w:ascii="Calibri" w:hAnsi="Calibri" w:cs="Calibri"/>
          <w:kern w:val="1"/>
          <w:szCs w:val="22"/>
          <w:lang w:eastAsia="ar-SA"/>
        </w:rPr>
        <w:t>n</w:t>
      </w:r>
      <w:r w:rsidR="008676F9" w:rsidRPr="008676F9">
        <w:rPr>
          <w:rFonts w:ascii="Calibri" w:hAnsi="Calibri" w:cs="Calibri"/>
          <w:kern w:val="1"/>
          <w:szCs w:val="22"/>
          <w:lang w:eastAsia="ar-SA"/>
        </w:rPr>
        <w:t>ariadenie  (EÚ) č. 1305/2013o podpore rozvoja vidieka</w:t>
      </w:r>
      <w:r>
        <w:rPr>
          <w:rFonts w:ascii="Calibri" w:hAnsi="Calibri" w:cs="Calibri"/>
          <w:kern w:val="1"/>
          <w:szCs w:val="22"/>
          <w:lang w:eastAsia="ar-SA"/>
        </w:rPr>
        <w:t xml:space="preserve"> z</w:t>
      </w:r>
      <w:r w:rsidR="008676F9" w:rsidRPr="008676F9">
        <w:rPr>
          <w:rFonts w:ascii="Calibri" w:hAnsi="Calibri" w:cs="Calibri"/>
          <w:kern w:val="1"/>
          <w:szCs w:val="22"/>
          <w:lang w:eastAsia="ar-SA"/>
        </w:rPr>
        <w:t xml:space="preserve"> EPFRV:</w:t>
      </w:r>
    </w:p>
    <w:p w:rsidR="008676F9" w:rsidRPr="008676F9" w:rsidRDefault="008676F9" w:rsidP="00955DA4">
      <w:pPr>
        <w:numPr>
          <w:ilvl w:val="0"/>
          <w:numId w:val="252"/>
        </w:numPr>
        <w:suppressAutoHyphens/>
        <w:rPr>
          <w:rFonts w:ascii="Calibri" w:hAnsi="Calibri" w:cs="Calibri"/>
          <w:bCs/>
          <w:kern w:val="1"/>
          <w:szCs w:val="22"/>
          <w:lang w:eastAsia="ar-SA"/>
        </w:rPr>
      </w:pPr>
      <w:r w:rsidRPr="008676F9">
        <w:rPr>
          <w:rFonts w:ascii="Calibri" w:hAnsi="Calibri" w:cs="Calibri"/>
          <w:bCs/>
          <w:kern w:val="1"/>
          <w:szCs w:val="22"/>
          <w:lang w:eastAsia="ar-SA"/>
        </w:rPr>
        <w:t>Článok 42 Miestne akčné skupiny</w:t>
      </w:r>
    </w:p>
    <w:p w:rsidR="008676F9" w:rsidRPr="008676F9" w:rsidRDefault="008676F9" w:rsidP="00955DA4">
      <w:pPr>
        <w:numPr>
          <w:ilvl w:val="0"/>
          <w:numId w:val="252"/>
        </w:numPr>
        <w:suppressAutoHyphens/>
        <w:rPr>
          <w:rFonts w:ascii="Calibri" w:eastAsia="SimSun" w:hAnsi="Calibri" w:cs="Calibri"/>
          <w:bCs/>
          <w:i/>
          <w:kern w:val="1"/>
          <w:szCs w:val="22"/>
          <w:lang w:eastAsia="ar-SA"/>
        </w:rPr>
      </w:pPr>
      <w:r w:rsidRPr="008676F9">
        <w:rPr>
          <w:rFonts w:ascii="Calibri" w:hAnsi="Calibri" w:cs="Calibri"/>
          <w:bCs/>
          <w:kern w:val="1"/>
          <w:szCs w:val="22"/>
          <w:lang w:eastAsia="ar-SA"/>
        </w:rPr>
        <w:t>Článok 44 Činnosti spolupráce v rámci iniciatívy LEADER</w:t>
      </w:r>
    </w:p>
    <w:p w:rsidR="008676F9" w:rsidRPr="008676F9" w:rsidRDefault="008676F9" w:rsidP="00F14F63">
      <w:pPr>
        <w:suppressAutoHyphens/>
        <w:rPr>
          <w:rFonts w:ascii="Calibri" w:eastAsia="SimSun" w:hAnsi="Calibri" w:cs="Calibri"/>
          <w:bCs/>
          <w:kern w:val="1"/>
          <w:szCs w:val="22"/>
          <w:lang w:eastAsia="ar-SA"/>
        </w:rPr>
      </w:pPr>
    </w:p>
    <w:p w:rsidR="008676F9" w:rsidRPr="00024E82" w:rsidRDefault="00201383" w:rsidP="00955DA4">
      <w:pPr>
        <w:numPr>
          <w:ilvl w:val="0"/>
          <w:numId w:val="253"/>
        </w:numPr>
        <w:suppressAutoHyphens/>
        <w:ind w:left="709" w:hanging="425"/>
        <w:rPr>
          <w:rFonts w:ascii="Calibri" w:hAnsi="Calibri" w:cs="Calibri"/>
          <w:bCs/>
          <w:kern w:val="1"/>
          <w:szCs w:val="22"/>
          <w:lang w:val="en-GB" w:eastAsia="ar-SA"/>
        </w:rPr>
      </w:pPr>
      <w:r>
        <w:rPr>
          <w:rFonts w:ascii="Calibri" w:hAnsi="Calibri" w:cs="Calibri"/>
          <w:bCs/>
          <w:kern w:val="1"/>
          <w:szCs w:val="22"/>
          <w:lang w:eastAsia="ar-SA"/>
        </w:rPr>
        <w:t>n</w:t>
      </w:r>
      <w:r w:rsidR="008676F9" w:rsidRPr="00024E82">
        <w:rPr>
          <w:rFonts w:ascii="Calibri" w:hAnsi="Calibri" w:cs="Calibri"/>
          <w:bCs/>
          <w:kern w:val="1"/>
          <w:szCs w:val="22"/>
          <w:lang w:eastAsia="ar-SA"/>
        </w:rPr>
        <w:t>ariadenie</w:t>
      </w:r>
      <w:r w:rsidR="008676F9" w:rsidRPr="00024E82">
        <w:rPr>
          <w:rFonts w:ascii="Calibri" w:hAnsi="Calibri" w:cs="Calibri"/>
          <w:bCs/>
          <w:kern w:val="1"/>
          <w:szCs w:val="22"/>
          <w:lang w:val="en-GB" w:eastAsia="ar-SA"/>
        </w:rPr>
        <w:t xml:space="preserve"> (EÚ) č. 1303/2013</w:t>
      </w:r>
    </w:p>
    <w:p w:rsidR="008676F9" w:rsidRPr="008676F9" w:rsidRDefault="008676F9" w:rsidP="00955DA4">
      <w:pPr>
        <w:numPr>
          <w:ilvl w:val="0"/>
          <w:numId w:val="254"/>
        </w:numPr>
        <w:suppressAutoHyphens/>
        <w:rPr>
          <w:rFonts w:ascii="Calibri" w:hAnsi="Calibri" w:cs="Calibri"/>
          <w:bCs/>
          <w:kern w:val="1"/>
          <w:szCs w:val="22"/>
          <w:lang w:eastAsia="ar-SA"/>
        </w:rPr>
      </w:pPr>
      <w:r w:rsidRPr="008676F9">
        <w:rPr>
          <w:rFonts w:ascii="Calibri" w:hAnsi="Calibri" w:cs="Calibri"/>
          <w:bCs/>
          <w:kern w:val="1"/>
          <w:szCs w:val="22"/>
          <w:lang w:eastAsia="ar-SA"/>
        </w:rPr>
        <w:t>Článok 32 miestny rozvoj vedený komunitou</w:t>
      </w:r>
    </w:p>
    <w:p w:rsidR="008676F9" w:rsidRPr="008676F9" w:rsidRDefault="008676F9" w:rsidP="00955DA4">
      <w:pPr>
        <w:numPr>
          <w:ilvl w:val="0"/>
          <w:numId w:val="254"/>
        </w:numPr>
        <w:suppressAutoHyphens/>
        <w:rPr>
          <w:rFonts w:ascii="Calibri" w:hAnsi="Calibri" w:cs="Calibri"/>
          <w:bCs/>
          <w:kern w:val="1"/>
          <w:szCs w:val="22"/>
          <w:lang w:eastAsia="ar-SA"/>
        </w:rPr>
      </w:pPr>
      <w:r w:rsidRPr="008676F9">
        <w:rPr>
          <w:rFonts w:ascii="Calibri" w:hAnsi="Calibri" w:cs="Calibri"/>
          <w:bCs/>
          <w:kern w:val="1"/>
          <w:szCs w:val="22"/>
          <w:lang w:eastAsia="ar-SA"/>
        </w:rPr>
        <w:t>Článok 33 Stratégie miestneho rozvoja vedeného komunitou</w:t>
      </w:r>
    </w:p>
    <w:p w:rsidR="008676F9" w:rsidRPr="008676F9" w:rsidRDefault="008676F9" w:rsidP="00955DA4">
      <w:pPr>
        <w:numPr>
          <w:ilvl w:val="0"/>
          <w:numId w:val="254"/>
        </w:numPr>
        <w:suppressAutoHyphens/>
        <w:rPr>
          <w:rFonts w:ascii="Calibri" w:hAnsi="Calibri" w:cs="Calibri"/>
          <w:bCs/>
          <w:kern w:val="1"/>
          <w:szCs w:val="22"/>
          <w:lang w:eastAsia="ar-SA"/>
        </w:rPr>
      </w:pPr>
      <w:r w:rsidRPr="008676F9">
        <w:rPr>
          <w:rFonts w:ascii="Calibri" w:hAnsi="Calibri" w:cs="Calibri"/>
          <w:bCs/>
          <w:kern w:val="1"/>
          <w:szCs w:val="22"/>
          <w:lang w:eastAsia="ar-SA"/>
        </w:rPr>
        <w:t xml:space="preserve">Článok 34 Miestne akčné skupiny </w:t>
      </w:r>
    </w:p>
    <w:p w:rsidR="008676F9" w:rsidRPr="008676F9" w:rsidRDefault="008676F9" w:rsidP="00955DA4">
      <w:pPr>
        <w:numPr>
          <w:ilvl w:val="0"/>
          <w:numId w:val="254"/>
        </w:numPr>
        <w:suppressAutoHyphens/>
        <w:rPr>
          <w:rFonts w:ascii="Calibri" w:eastAsia="SimSun" w:hAnsi="Calibri" w:cs="Calibri"/>
          <w:b/>
          <w:bCs/>
          <w:kern w:val="1"/>
          <w:szCs w:val="22"/>
          <w:lang w:eastAsia="ar-SA"/>
        </w:rPr>
      </w:pPr>
      <w:r w:rsidRPr="008676F9">
        <w:rPr>
          <w:rFonts w:ascii="Calibri" w:hAnsi="Calibri" w:cs="Calibri"/>
          <w:bCs/>
          <w:kern w:val="1"/>
          <w:szCs w:val="22"/>
          <w:lang w:eastAsia="ar-SA"/>
        </w:rPr>
        <w:t>Článok 35 Podpora miestneho rozvoja vedeného komunitou z EŠIF</w:t>
      </w:r>
    </w:p>
    <w:p w:rsidR="008676F9" w:rsidRPr="008676F9" w:rsidRDefault="008676F9" w:rsidP="00F14F63">
      <w:pPr>
        <w:suppressAutoHyphens/>
        <w:rPr>
          <w:rFonts w:ascii="Calibri" w:hAnsi="Calibri" w:cs="Calibri"/>
          <w:b/>
          <w:bCs/>
          <w:kern w:val="1"/>
          <w:szCs w:val="22"/>
          <w:lang w:eastAsia="ar-SA"/>
        </w:rPr>
      </w:pPr>
    </w:p>
    <w:p w:rsidR="008676F9" w:rsidRPr="008676F9" w:rsidRDefault="008676F9" w:rsidP="00F14F63">
      <w:pPr>
        <w:suppressAutoHyphens/>
        <w:rPr>
          <w:rFonts w:ascii="Calibri" w:hAnsi="Calibri" w:cs="Calibri"/>
          <w:bCs/>
          <w:kern w:val="1"/>
          <w:szCs w:val="22"/>
          <w:lang w:eastAsia="ar-SA"/>
        </w:rPr>
      </w:pPr>
      <w:r w:rsidRPr="008676F9">
        <w:rPr>
          <w:rFonts w:ascii="Calibri" w:hAnsi="Calibri" w:cs="Calibri"/>
          <w:b/>
          <w:bCs/>
          <w:kern w:val="1"/>
          <w:szCs w:val="22"/>
          <w:lang w:eastAsia="ar-SA"/>
        </w:rPr>
        <w:t>Iné strategické dokumenty:</w:t>
      </w:r>
    </w:p>
    <w:p w:rsidR="008676F9" w:rsidRDefault="008676F9" w:rsidP="00F14F63">
      <w:pPr>
        <w:suppressAutoHyphens/>
        <w:rPr>
          <w:rFonts w:ascii="Calibri" w:hAnsi="Calibri" w:cs="Calibri"/>
          <w:bCs/>
          <w:kern w:val="1"/>
          <w:szCs w:val="22"/>
          <w:lang w:eastAsia="ar-SA"/>
        </w:rPr>
      </w:pPr>
      <w:r w:rsidRPr="008676F9">
        <w:rPr>
          <w:rFonts w:ascii="Calibri" w:hAnsi="Calibri" w:cs="Calibri"/>
          <w:bCs/>
          <w:kern w:val="1"/>
          <w:szCs w:val="22"/>
          <w:lang w:eastAsia="ar-SA"/>
        </w:rPr>
        <w:t>Partnerská dohoda SR na roky 2014-2020</w:t>
      </w:r>
    </w:p>
    <w:p w:rsidR="00FF4D9D" w:rsidRPr="008676F9" w:rsidRDefault="00FF4D9D" w:rsidP="00F14F63">
      <w:pPr>
        <w:suppressAutoHyphens/>
        <w:rPr>
          <w:rFonts w:ascii="Calibri" w:hAnsi="Calibri" w:cs="Calibri"/>
          <w:bCs/>
          <w:kern w:val="1"/>
          <w:szCs w:val="22"/>
          <w:lang w:eastAsia="ar-SA"/>
        </w:rPr>
      </w:pPr>
      <w:r>
        <w:rPr>
          <w:rFonts w:ascii="Calibri" w:hAnsi="Calibri" w:cs="Calibri"/>
          <w:bCs/>
          <w:kern w:val="1"/>
          <w:szCs w:val="22"/>
          <w:lang w:eastAsia="ar-SA"/>
        </w:rPr>
        <w:t>Integrovaný regionálny operačný program</w:t>
      </w:r>
    </w:p>
    <w:p w:rsidR="008676F9" w:rsidRPr="008676F9" w:rsidRDefault="008676F9" w:rsidP="00F14F63">
      <w:pPr>
        <w:suppressAutoHyphens/>
        <w:rPr>
          <w:rFonts w:ascii="Calibri" w:hAnsi="Calibri" w:cs="Calibri"/>
          <w:kern w:val="1"/>
          <w:szCs w:val="22"/>
          <w:lang w:eastAsia="ar-SA"/>
        </w:rPr>
      </w:pPr>
      <w:r w:rsidRPr="008676F9">
        <w:rPr>
          <w:rFonts w:ascii="Calibri" w:hAnsi="Calibri" w:cs="Calibri"/>
          <w:bCs/>
          <w:kern w:val="1"/>
          <w:szCs w:val="22"/>
          <w:lang w:eastAsia="ar-SA"/>
        </w:rPr>
        <w:t>Národná stratégia rozvoja cyklistickej dopravy a cykloturistiky v Slovenskej republike</w:t>
      </w:r>
    </w:p>
    <w:p w:rsidR="008676F9" w:rsidRPr="008676F9" w:rsidRDefault="008676F9" w:rsidP="00F14F63">
      <w:pPr>
        <w:suppressAutoHyphens/>
        <w:rPr>
          <w:rFonts w:ascii="Calibri" w:hAnsi="Calibri" w:cs="Calibri"/>
          <w:kern w:val="1"/>
          <w:szCs w:val="22"/>
          <w:lang w:eastAsia="ar-SA"/>
        </w:rPr>
      </w:pPr>
      <w:r w:rsidRPr="008676F9">
        <w:rPr>
          <w:rFonts w:ascii="Calibri" w:hAnsi="Calibri" w:cs="Calibri"/>
          <w:kern w:val="1"/>
          <w:szCs w:val="22"/>
          <w:lang w:eastAsia="ar-SA"/>
        </w:rPr>
        <w:t>Národná stratégia regionálneho rozvoja SR</w:t>
      </w:r>
    </w:p>
    <w:p w:rsidR="008676F9" w:rsidRPr="008676F9" w:rsidRDefault="008676F9" w:rsidP="00F14F63">
      <w:pPr>
        <w:suppressAutoHyphens/>
        <w:rPr>
          <w:rFonts w:ascii="Calibri" w:hAnsi="Calibri" w:cs="Calibri"/>
          <w:kern w:val="1"/>
          <w:szCs w:val="22"/>
          <w:lang w:eastAsia="ar-SA"/>
        </w:rPr>
      </w:pPr>
    </w:p>
    <w:p w:rsidR="008676F9" w:rsidRPr="008676F9" w:rsidRDefault="008676F9" w:rsidP="00F14F63">
      <w:pPr>
        <w:suppressAutoHyphens/>
        <w:ind w:left="851" w:hanging="851"/>
        <w:rPr>
          <w:rFonts w:ascii="Calibri" w:eastAsia="Calibri" w:hAnsi="Calibri" w:cs="Calibri"/>
          <w:kern w:val="1"/>
          <w:szCs w:val="22"/>
          <w:lang w:eastAsia="ar-SA"/>
        </w:rPr>
      </w:pPr>
      <w:r w:rsidRPr="008676F9">
        <w:rPr>
          <w:rFonts w:ascii="Calibri" w:eastAsia="Calibri" w:hAnsi="Calibri" w:cs="Calibri"/>
          <w:b/>
          <w:kern w:val="1"/>
          <w:szCs w:val="22"/>
          <w:lang w:eastAsia="ar-SA"/>
        </w:rPr>
        <w:t>8.2.1</w:t>
      </w:r>
      <w:r w:rsidR="00B30F00">
        <w:rPr>
          <w:rFonts w:ascii="Calibri" w:eastAsia="Calibri" w:hAnsi="Calibri" w:cs="Calibri"/>
          <w:b/>
          <w:kern w:val="1"/>
          <w:szCs w:val="22"/>
          <w:lang w:eastAsia="ar-SA"/>
        </w:rPr>
        <w:t>7</w:t>
      </w:r>
      <w:r w:rsidRPr="008676F9">
        <w:rPr>
          <w:rFonts w:ascii="Calibri" w:eastAsia="Calibri" w:hAnsi="Calibri" w:cs="Calibri"/>
          <w:b/>
          <w:kern w:val="1"/>
          <w:szCs w:val="22"/>
          <w:lang w:eastAsia="ar-SA"/>
        </w:rPr>
        <w:t>.2 Všeobecný opis opatrenia rátane intervenčnej logiky a príspevku k fokusovým oblastiam a prierezovým cieľom</w:t>
      </w:r>
    </w:p>
    <w:p w:rsidR="008676F9" w:rsidRPr="008676F9" w:rsidRDefault="008676F9" w:rsidP="00860DD7">
      <w:pPr>
        <w:suppressAutoHyphens/>
        <w:spacing w:after="120"/>
        <w:rPr>
          <w:rFonts w:ascii="Calibri" w:eastAsia="Calibri" w:hAnsi="Calibri" w:cs="Calibri"/>
          <w:kern w:val="1"/>
          <w:szCs w:val="22"/>
          <w:lang w:eastAsia="ar-SA"/>
        </w:rPr>
      </w:pPr>
      <w:r w:rsidRPr="008676F9">
        <w:rPr>
          <w:rFonts w:ascii="Calibri" w:eastAsia="Calibri" w:hAnsi="Calibri" w:cs="Calibri"/>
          <w:kern w:val="1"/>
          <w:szCs w:val="22"/>
          <w:lang w:eastAsia="ar-SA"/>
        </w:rPr>
        <w:t>Absencia hmotného, finančného a vzdelaného ľudského kapitálu v spojení s nižšou vybavenosťou, kvalitou cestnej siete a dopravných systémov, izolovanosť od mestských sídel sú základné prekážky, ktorých vplyv je možné riešiť len postupne a dlhodobo. Prevažne vidiecke regióny potrebujú svoj endogénny rozvoj nevyhnutne výrazne podporovať exogénnymi faktormi, pretože im chýba hlavne kapitál. Ani v súčasnosti k riešeniu rozvoja jednotlivých typov regiónov neexistuje jednotný prístup. Endogénny potenciál konkrétneho vidieckeho územia je východiskom pre integrovaný miestny rozvoj iniciatívou LEADER, ktorý významne motivuje a mobilizuje ľudský a finančný kapitál.</w:t>
      </w:r>
    </w:p>
    <w:p w:rsidR="008676F9" w:rsidRPr="008676F9" w:rsidRDefault="008676F9" w:rsidP="00860DD7">
      <w:pPr>
        <w:suppressAutoHyphens/>
        <w:spacing w:after="120"/>
        <w:rPr>
          <w:rFonts w:ascii="Calibri" w:eastAsia="Calibri" w:hAnsi="Calibri" w:cs="Calibri"/>
          <w:kern w:val="1"/>
          <w:szCs w:val="22"/>
          <w:lang w:eastAsia="ar-SA"/>
        </w:rPr>
      </w:pPr>
      <w:r w:rsidRPr="008676F9">
        <w:rPr>
          <w:rFonts w:ascii="Calibri" w:eastAsia="Calibri" w:hAnsi="Calibri" w:cs="Calibri"/>
          <w:kern w:val="1"/>
          <w:szCs w:val="22"/>
          <w:lang w:eastAsia="ar-SA"/>
        </w:rPr>
        <w:t>Metóda LEADER je inovatívny prístup pre rozvoj vidieka a jeho politiku. Jeho základná myšlienka je podporovať rozvoj na základe využívania lokálneho potenciálu územia, teda na základe využívania endogénnych (vnútorných) zdrojov, pričom jedným so základných znakov je prístup zdola nahor.  Na základe tohto prístupu vznikajú v danom území verejno-súkromné partnerstvá nazývané miestne akčné skupiny (MAS). MAS vypracuje a implementuje stratégiu miestneho rozvoja (stratégia), kde sú uvedené ciele, opatrenia a činnosti, ktoré má v pláne realizovať na danom území v zmysle SWOT analýzy (silné a slabé stránky, príležitosti a hrozby) celého súvislého územia MAS. V podmienkach SR bude MAS sama vyhlasovať výzvy, prijímať a posudzovať žiadosti/projekty na realizáciu jednotlivých činností stratégie, navrhovať schválenie/neschválenie žiadostí a predkladať žiadosti</w:t>
      </w:r>
      <w:r w:rsidR="0054499C">
        <w:rPr>
          <w:rFonts w:ascii="Calibri" w:eastAsia="Calibri" w:hAnsi="Calibri" w:cs="Calibri"/>
          <w:kern w:val="1"/>
          <w:szCs w:val="22"/>
          <w:lang w:eastAsia="ar-SA"/>
        </w:rPr>
        <w:t xml:space="preserve"> orgánu zodpovednému za </w:t>
      </w:r>
      <w:r w:rsidRPr="008676F9">
        <w:rPr>
          <w:rFonts w:ascii="Calibri" w:eastAsia="Calibri" w:hAnsi="Calibri" w:cs="Calibri"/>
          <w:kern w:val="1"/>
          <w:szCs w:val="22"/>
          <w:lang w:eastAsia="ar-SA"/>
        </w:rPr>
        <w:t>konečné</w:t>
      </w:r>
      <w:r w:rsidR="0054499C">
        <w:rPr>
          <w:rFonts w:ascii="Calibri" w:eastAsia="Calibri" w:hAnsi="Calibri" w:cs="Calibri"/>
          <w:kern w:val="1"/>
          <w:szCs w:val="22"/>
          <w:lang w:eastAsia="ar-SA"/>
        </w:rPr>
        <w:t xml:space="preserve"> overenie oprávnenosti</w:t>
      </w:r>
      <w:r w:rsidRPr="008676F9">
        <w:rPr>
          <w:rFonts w:ascii="Calibri" w:eastAsia="Calibri" w:hAnsi="Calibri" w:cs="Calibri"/>
          <w:kern w:val="1"/>
          <w:szCs w:val="22"/>
          <w:lang w:eastAsia="ar-SA"/>
        </w:rPr>
        <w:t>. Hlavnou charakteristikou metódy LEADER je rozhodovanie za účasti miestnych aktérov na miestnej úrovni (občiansko-súkromný sektor) s jasnými a transparentnými postupmi (zastúpeni</w:t>
      </w:r>
      <w:r w:rsidR="00D9234A">
        <w:rPr>
          <w:rFonts w:ascii="Calibri" w:eastAsia="Calibri" w:hAnsi="Calibri" w:cs="Calibri"/>
          <w:kern w:val="1"/>
          <w:szCs w:val="22"/>
          <w:lang w:eastAsia="ar-SA"/>
        </w:rPr>
        <w:t>e</w:t>
      </w:r>
      <w:r w:rsidRPr="008676F9">
        <w:rPr>
          <w:rFonts w:ascii="Calibri" w:eastAsia="Calibri" w:hAnsi="Calibri" w:cs="Calibri"/>
          <w:kern w:val="1"/>
          <w:szCs w:val="22"/>
          <w:lang w:eastAsia="ar-SA"/>
        </w:rPr>
        <w:t xml:space="preserve"> všetkých sektorov</w:t>
      </w:r>
      <w:r w:rsidR="00D9234A">
        <w:rPr>
          <w:rFonts w:ascii="Calibri" w:eastAsia="Calibri" w:hAnsi="Calibri" w:cs="Calibri"/>
          <w:kern w:val="1"/>
          <w:szCs w:val="22"/>
          <w:lang w:eastAsia="ar-SA"/>
        </w:rPr>
        <w:t xml:space="preserve"> – súkromného, občianskeho a verejného</w:t>
      </w:r>
      <w:r w:rsidRPr="008676F9">
        <w:rPr>
          <w:rFonts w:ascii="Calibri" w:eastAsia="Calibri" w:hAnsi="Calibri" w:cs="Calibri"/>
          <w:kern w:val="1"/>
          <w:szCs w:val="22"/>
          <w:lang w:eastAsia="ar-SA"/>
        </w:rPr>
        <w:t xml:space="preserve"> v celej štruktúre MAS) s podporou príslušných subjektov verejnej správy a potrebnou technickou pomocou na prenos osvedčených postupov.</w:t>
      </w:r>
    </w:p>
    <w:p w:rsidR="008676F9" w:rsidRPr="008676F9" w:rsidRDefault="008676F9" w:rsidP="00860DD7">
      <w:pPr>
        <w:suppressAutoHyphens/>
        <w:spacing w:after="120"/>
        <w:rPr>
          <w:rFonts w:ascii="Calibri" w:eastAsia="Calibri" w:hAnsi="Calibri" w:cs="Calibri"/>
          <w:kern w:val="1"/>
          <w:szCs w:val="22"/>
          <w:lang w:eastAsia="ar-SA"/>
        </w:rPr>
      </w:pPr>
      <w:r w:rsidRPr="008676F9">
        <w:rPr>
          <w:rFonts w:ascii="Calibri" w:eastAsia="Calibri" w:hAnsi="Calibri" w:cs="Calibri"/>
          <w:kern w:val="1"/>
          <w:szCs w:val="22"/>
          <w:lang w:eastAsia="ar-SA"/>
        </w:rPr>
        <w:t>Miestna akčná skupina je zoskupenie predstaviteľov verejných a súkromných miestnych spoločensko-hospodárskych záujmov, v ktorých na úrovni rozhodovania nemajú ani orgány verejnej moci, ani žiadna záujmová skupina viac ako 49 % hlasovacích práv.</w:t>
      </w:r>
    </w:p>
    <w:p w:rsidR="008676F9" w:rsidRPr="008676F9" w:rsidRDefault="008676F9" w:rsidP="00860DD7">
      <w:pPr>
        <w:suppressAutoHyphens/>
        <w:spacing w:after="120"/>
        <w:rPr>
          <w:rFonts w:ascii="Calibri" w:eastAsia="Calibri" w:hAnsi="Calibri" w:cs="Calibri"/>
          <w:kern w:val="1"/>
          <w:szCs w:val="22"/>
          <w:lang w:eastAsia="ar-SA"/>
        </w:rPr>
      </w:pPr>
      <w:r w:rsidRPr="008676F9">
        <w:rPr>
          <w:rFonts w:ascii="Calibri" w:eastAsia="Calibri" w:hAnsi="Calibri" w:cs="Calibri"/>
          <w:kern w:val="1"/>
          <w:szCs w:val="22"/>
          <w:lang w:eastAsia="ar-SA"/>
        </w:rPr>
        <w:t xml:space="preserve">Pri integrovanom rozvoji vidieka v programovom období 2014 – 2020 zavádza Európska komisia možnosť využitia finančných prostriedkov z ďalších fondov EÚ tzv. multifinancovanie cez </w:t>
      </w:r>
      <w:r w:rsidRPr="008676F9">
        <w:rPr>
          <w:rFonts w:ascii="Calibri" w:eastAsia="Calibri" w:hAnsi="Calibri" w:cs="Calibri"/>
          <w:bCs/>
          <w:kern w:val="1"/>
          <w:szCs w:val="22"/>
          <w:lang w:eastAsia="ar-SA"/>
        </w:rPr>
        <w:t>miestny rozvoj veden</w:t>
      </w:r>
      <w:r w:rsidR="00D9234A">
        <w:rPr>
          <w:rFonts w:ascii="Calibri" w:eastAsia="Calibri" w:hAnsi="Calibri" w:cs="Calibri"/>
          <w:bCs/>
          <w:kern w:val="1"/>
          <w:szCs w:val="22"/>
          <w:lang w:eastAsia="ar-SA"/>
        </w:rPr>
        <w:t>ý</w:t>
      </w:r>
      <w:r w:rsidRPr="008676F9">
        <w:rPr>
          <w:rFonts w:ascii="Calibri" w:eastAsia="Calibri" w:hAnsi="Calibri" w:cs="Calibri"/>
          <w:bCs/>
          <w:kern w:val="1"/>
          <w:szCs w:val="22"/>
          <w:lang w:eastAsia="ar-SA"/>
        </w:rPr>
        <w:t xml:space="preserve"> komun</w:t>
      </w:r>
      <w:r w:rsidR="00D9234A">
        <w:rPr>
          <w:rFonts w:ascii="Calibri" w:eastAsia="Calibri" w:hAnsi="Calibri" w:cs="Calibri"/>
          <w:bCs/>
          <w:kern w:val="1"/>
          <w:szCs w:val="22"/>
          <w:lang w:eastAsia="ar-SA"/>
        </w:rPr>
        <w:t>itou</w:t>
      </w:r>
      <w:r w:rsidRPr="008676F9">
        <w:rPr>
          <w:rFonts w:ascii="Calibri" w:eastAsia="Calibri" w:hAnsi="Calibri" w:cs="Calibri"/>
          <w:bCs/>
          <w:kern w:val="1"/>
          <w:szCs w:val="22"/>
          <w:lang w:eastAsia="ar-SA"/>
        </w:rPr>
        <w:t xml:space="preserve"> (CLLD)</w:t>
      </w:r>
      <w:r w:rsidRPr="008676F9">
        <w:rPr>
          <w:rFonts w:ascii="Calibri" w:eastAsia="Calibri" w:hAnsi="Calibri" w:cs="Calibri"/>
          <w:kern w:val="1"/>
          <w:szCs w:val="22"/>
          <w:lang w:eastAsia="ar-SA"/>
        </w:rPr>
        <w:t xml:space="preserve">.  Fondy EÚ </w:t>
      </w:r>
      <w:r w:rsidR="00D9234A">
        <w:rPr>
          <w:rFonts w:ascii="Calibri" w:eastAsia="Calibri" w:hAnsi="Calibri" w:cs="Calibri"/>
          <w:kern w:val="1"/>
          <w:szCs w:val="22"/>
          <w:lang w:eastAsia="ar-SA"/>
        </w:rPr>
        <w:t xml:space="preserve">zahrnuté v Partnerskej dohode </w:t>
      </w:r>
      <w:r w:rsidRPr="008676F9">
        <w:rPr>
          <w:rFonts w:ascii="Calibri" w:eastAsia="Calibri" w:hAnsi="Calibri" w:cs="Calibri"/>
          <w:kern w:val="1"/>
          <w:szCs w:val="22"/>
          <w:lang w:eastAsia="ar-SA"/>
        </w:rPr>
        <w:t>sa nazývajú súborne Európske štrukturálne a investičné fondy (EŠIF), ktorých spoločné pravidlá upravuje nariadenie (EÚ) č. 1303/2013</w:t>
      </w:r>
      <w:r w:rsidR="00F10564">
        <w:rPr>
          <w:rFonts w:ascii="Calibri" w:eastAsia="Calibri" w:hAnsi="Calibri" w:cs="Calibri"/>
          <w:kern w:val="1"/>
          <w:szCs w:val="22"/>
          <w:lang w:eastAsia="ar-SA"/>
        </w:rPr>
        <w:t>.</w:t>
      </w:r>
      <w:r w:rsidRPr="008676F9">
        <w:rPr>
          <w:rFonts w:ascii="Calibri" w:eastAsia="Calibri" w:hAnsi="Calibri" w:cs="Calibri"/>
          <w:kern w:val="1"/>
          <w:szCs w:val="22"/>
          <w:lang w:eastAsia="ar-SA"/>
        </w:rPr>
        <w:t xml:space="preserve"> V podmienkach SR budú do tohto integrovaného rozvoja zapojené  nasledovné fondy:</w:t>
      </w:r>
      <w:r w:rsidRPr="008676F9">
        <w:rPr>
          <w:rFonts w:ascii="Calibri" w:eastAsia="Calibri" w:hAnsi="Calibri" w:cs="Calibri"/>
          <w:kern w:val="1"/>
          <w:szCs w:val="22"/>
          <w:lang w:eastAsia="ar-SA"/>
        </w:rPr>
        <w:lastRenderedPageBreak/>
        <w:t xml:space="preserve"> EPFVR a EF</w:t>
      </w:r>
      <w:r w:rsidR="00A478BA">
        <w:rPr>
          <w:rFonts w:ascii="Calibri" w:eastAsia="Calibri" w:hAnsi="Calibri" w:cs="Calibri"/>
          <w:kern w:val="1"/>
          <w:szCs w:val="22"/>
          <w:lang w:eastAsia="ar-SA"/>
        </w:rPr>
        <w:t>RR</w:t>
      </w:r>
      <w:r w:rsidRPr="008676F9">
        <w:rPr>
          <w:rFonts w:ascii="Calibri" w:eastAsia="Calibri" w:hAnsi="Calibri" w:cs="Calibri"/>
          <w:kern w:val="1"/>
          <w:szCs w:val="22"/>
          <w:lang w:eastAsia="ar-SA"/>
        </w:rPr>
        <w:t>. V SR sa bude implementovať multifondový prístup na úrovni stratégií, t.</w:t>
      </w:r>
      <w:r w:rsidR="00A478BA">
        <w:rPr>
          <w:rFonts w:ascii="Calibri" w:eastAsia="Calibri" w:hAnsi="Calibri" w:cs="Calibri"/>
          <w:kern w:val="1"/>
          <w:szCs w:val="22"/>
          <w:lang w:eastAsia="ar-SA"/>
        </w:rPr>
        <w:t>j</w:t>
      </w:r>
      <w:r w:rsidRPr="008676F9">
        <w:rPr>
          <w:rFonts w:ascii="Calibri" w:eastAsia="Calibri" w:hAnsi="Calibri" w:cs="Calibri"/>
          <w:kern w:val="1"/>
          <w:szCs w:val="22"/>
          <w:lang w:eastAsia="ar-SA"/>
        </w:rPr>
        <w:t>. MAS pripraví stratégiu</w:t>
      </w:r>
      <w:r w:rsidR="00F10564">
        <w:rPr>
          <w:rFonts w:ascii="Calibri" w:eastAsia="Calibri" w:hAnsi="Calibri" w:cs="Calibri"/>
          <w:kern w:val="1"/>
          <w:szCs w:val="22"/>
          <w:lang w:eastAsia="ar-SA"/>
        </w:rPr>
        <w:t xml:space="preserve"> miestneho rozvoja vedeného komunitou (ďalej aj ako „stratégia miestneho rozvoja“ alebo „stratégia CLLD“)</w:t>
      </w:r>
      <w:r w:rsidRPr="008676F9">
        <w:rPr>
          <w:rFonts w:ascii="Calibri" w:eastAsia="Calibri" w:hAnsi="Calibri" w:cs="Calibri"/>
          <w:kern w:val="1"/>
          <w:szCs w:val="22"/>
          <w:lang w:eastAsia="ar-SA"/>
        </w:rPr>
        <w:t>, ktorú bude financovať z obidvoch fondov.</w:t>
      </w:r>
    </w:p>
    <w:p w:rsidR="00D9234A" w:rsidRPr="000F142F" w:rsidRDefault="00D9234A" w:rsidP="00D9234A">
      <w:pPr>
        <w:suppressAutoHyphens/>
        <w:spacing w:after="120"/>
        <w:rPr>
          <w:rFonts w:ascii="Calibri" w:eastAsia="Calibri" w:hAnsi="Calibri" w:cs="Calibri"/>
          <w:kern w:val="1"/>
          <w:szCs w:val="22"/>
          <w:lang w:eastAsia="ar-SA"/>
        </w:rPr>
      </w:pPr>
      <w:r w:rsidRPr="000F142F">
        <w:rPr>
          <w:rFonts w:ascii="Calibri" w:eastAsia="Calibri" w:hAnsi="Calibri" w:cs="Calibri"/>
          <w:kern w:val="1"/>
          <w:szCs w:val="22"/>
          <w:lang w:eastAsia="ar-SA"/>
        </w:rPr>
        <w:t xml:space="preserve">Uplatnenie prístupu CLLD ako nástroja pre integrovaný prístup k územnému rozvoju je špecifikovaný v Partnerskej dohode SR 2014 – 2020, a to z pohľadu prioritných oblastí, cieľového územia, plánovaného rozpočtu pre každý EŠIF, rozsahu stratégií miestneho rozvoja a administratívneho zabezpečenia CLLD. Podpora CLLD z príslušných EŠIF musí byť jednotná a koordinovaná, a preto stratégia miestneho rozvoja musí vychádzať z ustanovení uvedených v Partnerskej dohode SR 2014 – 2020 berúc do úvahy špecifiká jednotlivých fondov, ktoré sú stanovené v rámci príslušných programov - Program rozvoja vidieka (opatrenie LEADER) a Integrovaný regionálny operačný program (prioritná os CLLD). </w:t>
      </w:r>
    </w:p>
    <w:p w:rsidR="00D9234A" w:rsidRPr="008676F9" w:rsidRDefault="00D9234A" w:rsidP="00D9234A">
      <w:pPr>
        <w:suppressAutoHyphens/>
        <w:spacing w:after="120"/>
        <w:rPr>
          <w:rFonts w:ascii="Calibri" w:eastAsia="SimSun" w:hAnsi="Calibri" w:cs="Calibri"/>
          <w:kern w:val="1"/>
          <w:szCs w:val="22"/>
          <w:lang w:eastAsia="ar-SA"/>
        </w:rPr>
      </w:pPr>
      <w:r w:rsidRPr="008676F9">
        <w:rPr>
          <w:rFonts w:ascii="Calibri" w:eastAsia="Calibri" w:hAnsi="Calibri" w:cs="Calibri"/>
          <w:kern w:val="1"/>
          <w:szCs w:val="22"/>
          <w:lang w:eastAsia="ar-SA"/>
        </w:rPr>
        <w:t xml:space="preserve">V programovom období 2014 – 2020 zostáva LEADER povinnou súčasťou programov rozvoja vidieka ako prierezový nástroj pre miestny rozvoj a zavádzanie inovácií vrátane zmierňovania klimatických zmien. Integrovaný rozvoj vidieka má vychádzať z vnútra vidieckych oblastí za účasti zástupcov obcí, podnikateľov, farmárov a ostatných aktérov vidieka (zástupcovia 3 sektorov: občiansky, súkromný, verejný – miestna samospráva). </w:t>
      </w:r>
      <w:r w:rsidRPr="008676F9">
        <w:rPr>
          <w:rFonts w:ascii="Calibri" w:eastAsia="SimSun" w:hAnsi="Calibri" w:cs="Calibri"/>
          <w:kern w:val="1"/>
          <w:szCs w:val="22"/>
          <w:lang w:eastAsia="ar-SA"/>
        </w:rPr>
        <w:t xml:space="preserve">V tomto období je potrebné viac sa zamerať na </w:t>
      </w:r>
      <w:r>
        <w:rPr>
          <w:rFonts w:ascii="Calibri" w:eastAsia="SimSun" w:hAnsi="Calibri" w:cs="Calibri"/>
          <w:kern w:val="1"/>
          <w:szCs w:val="22"/>
          <w:lang w:eastAsia="ar-SA"/>
        </w:rPr>
        <w:t>prílev</w:t>
      </w:r>
      <w:r w:rsidRPr="008676F9">
        <w:rPr>
          <w:rFonts w:ascii="Calibri" w:eastAsia="SimSun" w:hAnsi="Calibri" w:cs="Calibri"/>
          <w:kern w:val="1"/>
          <w:szCs w:val="22"/>
          <w:lang w:eastAsia="ar-SA"/>
        </w:rPr>
        <w:t xml:space="preserve"> finančných prostriedkov do súkromného a občianskeho sektora. Metóda LEADER môže hlavne prispieť k riešeniu problémov spojených s  lokálnou nezamestnanosťou, kedy práve prístupom zdola nahor je možné identifikovať potreby v danom území aj v oblasti tvorby pracovných miest</w:t>
      </w:r>
      <w:r>
        <w:rPr>
          <w:rFonts w:ascii="Calibri" w:eastAsia="SimSun" w:hAnsi="Calibri" w:cs="Calibri"/>
          <w:kern w:val="1"/>
          <w:szCs w:val="22"/>
          <w:lang w:eastAsia="ar-SA"/>
        </w:rPr>
        <w:t xml:space="preserve"> a sociálnych inovácií</w:t>
      </w:r>
      <w:r w:rsidRPr="008676F9">
        <w:rPr>
          <w:rFonts w:ascii="Calibri" w:eastAsia="SimSun" w:hAnsi="Calibri" w:cs="Calibri"/>
          <w:kern w:val="1"/>
          <w:szCs w:val="22"/>
          <w:lang w:eastAsia="ar-SA"/>
        </w:rPr>
        <w:t>.</w:t>
      </w:r>
      <w:r>
        <w:rPr>
          <w:rFonts w:ascii="Calibri" w:eastAsia="SimSun" w:hAnsi="Calibri" w:cs="Calibri"/>
          <w:kern w:val="1"/>
          <w:szCs w:val="22"/>
          <w:lang w:eastAsia="ar-SA"/>
        </w:rPr>
        <w:t xml:space="preserve"> </w:t>
      </w:r>
    </w:p>
    <w:p w:rsidR="00D9234A" w:rsidRDefault="00D9234A" w:rsidP="00D9234A">
      <w:pPr>
        <w:suppressAutoHyphens/>
        <w:rPr>
          <w:rFonts w:ascii="Calibri" w:eastAsia="Calibri" w:hAnsi="Calibri" w:cs="Calibri"/>
          <w:kern w:val="1"/>
          <w:szCs w:val="22"/>
          <w:lang w:eastAsia="ar-SA"/>
        </w:rPr>
      </w:pPr>
      <w:r w:rsidRPr="008676F9">
        <w:rPr>
          <w:rFonts w:ascii="Calibri" w:eastAsia="Calibri" w:hAnsi="Calibri" w:cs="Calibri"/>
          <w:kern w:val="1"/>
          <w:szCs w:val="22"/>
          <w:lang w:eastAsia="ar-SA"/>
        </w:rPr>
        <w:t xml:space="preserve">Hlavným ťažiskom rozvoja vidieka je zabezpečenie socio-ekonomického rozvoja a zvýšenie kvality života obyvateľov. Nevyhnutnosťou bude zabezpečenie pracovných príležitostí, ktoré budú motivovať mladú a strednú vekovú pracovnú silu, aby na vidieku zotrvala alebo sa usídlila. Uvedené sa dá dosiahnuť podporovaním diverzifikácie poľnohospodárskej aj nepoľnohospodárskej výroby na farmách a v poľnohospodárskych malých a stredných podnikoch ako aj podporou mladých alebo začínajúcich farmárov a podporou investícií do rozvoja vidieckeho cestovného ruchu. Dôležitým zostáva dobudovanie chýbajúcej drobnej infraštruktúry alebo jej obnovenie, pričom dôraz v rámci prístupu LEADER musí byť kladený aj na starostlivosť a zakladanie sprievodných </w:t>
      </w:r>
      <w:r>
        <w:rPr>
          <w:rFonts w:ascii="Calibri" w:eastAsia="Calibri" w:hAnsi="Calibri" w:cs="Calibri"/>
          <w:kern w:val="1"/>
          <w:szCs w:val="22"/>
          <w:lang w:eastAsia="ar-SA"/>
        </w:rPr>
        <w:t xml:space="preserve">verejne slúžiacich </w:t>
      </w:r>
      <w:r w:rsidRPr="008676F9">
        <w:rPr>
          <w:rFonts w:ascii="Calibri" w:eastAsia="Calibri" w:hAnsi="Calibri" w:cs="Calibri"/>
          <w:kern w:val="1"/>
          <w:szCs w:val="22"/>
          <w:lang w:eastAsia="ar-SA"/>
        </w:rPr>
        <w:t xml:space="preserve">krajinných prvkov verejnosti (výsadba verejnej zelene, alejí, vetrolamov a pod.), ktoré prispievajú k prirodzenému zveľaďovaniu vidieckej krajiny a vychádzajú z historicko-kultúrnych tradícií danej obce/dediny v rámci územia MAS. </w:t>
      </w:r>
      <w:r>
        <w:rPr>
          <w:rFonts w:ascii="Calibri" w:eastAsia="SimSun" w:hAnsi="Calibri" w:cs="Calibri"/>
          <w:kern w:val="1"/>
          <w:szCs w:val="22"/>
          <w:lang w:eastAsia="ar-SA"/>
        </w:rPr>
        <w:t>Dôležitým prvkom je dôraz na posilňovanie ľudských zdrojov a sociálne začleňovanie marginalizovaných skupín obyvateľstva vrátane marginalizovaných rómskych komunít.</w:t>
      </w:r>
      <w:r w:rsidRPr="008676F9">
        <w:rPr>
          <w:rFonts w:ascii="Calibri" w:eastAsia="SimSun" w:hAnsi="Calibri" w:cs="Calibri"/>
          <w:kern w:val="1"/>
          <w:szCs w:val="22"/>
          <w:lang w:eastAsia="ar-SA"/>
        </w:rPr>
        <w:t xml:space="preserve"> </w:t>
      </w:r>
      <w:r w:rsidRPr="008676F9">
        <w:rPr>
          <w:rFonts w:ascii="Calibri" w:eastAsia="Calibri" w:hAnsi="Calibri" w:cs="Calibri"/>
          <w:kern w:val="1"/>
          <w:szCs w:val="22"/>
          <w:lang w:eastAsia="ar-SA"/>
        </w:rPr>
        <w:t>V neposlednom rade je potrebné rozšíriť/doplniť možnosti vzdelania pre všetky vekové skupiny z územia MAS, či už výmennými pobytmi v zahraničí alebo na území SR ako aj zahraničnými exkurziami a tak získať nové poznatky, know-how, inovácie ale aj šíriť tradície a poznatky predkov z vidieka.</w:t>
      </w:r>
    </w:p>
    <w:p w:rsidR="00F14F63" w:rsidRPr="008676F9" w:rsidRDefault="00F14F63" w:rsidP="00F14F63">
      <w:pPr>
        <w:suppressAutoHyphens/>
        <w:rPr>
          <w:rFonts w:ascii="Calibri" w:eastAsia="Calibri" w:hAnsi="Calibri" w:cs="Calibri"/>
          <w:kern w:val="1"/>
          <w:szCs w:val="22"/>
          <w:lang w:eastAsia="ar-SA"/>
        </w:rPr>
      </w:pPr>
    </w:p>
    <w:p w:rsidR="008676F9" w:rsidRPr="008676F9" w:rsidRDefault="008676F9" w:rsidP="00F14F63">
      <w:pPr>
        <w:suppressAutoHyphens/>
        <w:rPr>
          <w:rFonts w:ascii="Calibri" w:eastAsia="Calibri" w:hAnsi="Calibri" w:cs="Calibri"/>
          <w:bCs/>
          <w:i/>
          <w:kern w:val="1"/>
          <w:szCs w:val="22"/>
          <w:u w:val="single"/>
          <w:lang w:eastAsia="ar-SA"/>
        </w:rPr>
      </w:pPr>
      <w:r w:rsidRPr="008676F9">
        <w:rPr>
          <w:rFonts w:ascii="Calibri" w:eastAsia="Calibri" w:hAnsi="Calibri" w:cs="Calibri"/>
          <w:bCs/>
          <w:kern w:val="1"/>
          <w:szCs w:val="22"/>
          <w:u w:val="single"/>
          <w:lang w:eastAsia="ar-SA"/>
        </w:rPr>
        <w:t>Príspevok k fokusovej oblasti</w:t>
      </w:r>
    </w:p>
    <w:p w:rsidR="008676F9" w:rsidRPr="008676F9" w:rsidRDefault="008676F9" w:rsidP="00F14F63">
      <w:pPr>
        <w:suppressAutoHyphens/>
        <w:rPr>
          <w:rFonts w:ascii="Calibri" w:eastAsia="Calibri" w:hAnsi="Calibri" w:cs="Calibri"/>
          <w:bCs/>
          <w:kern w:val="1"/>
          <w:szCs w:val="22"/>
          <w:lang w:eastAsia="ar-SA"/>
        </w:rPr>
      </w:pPr>
      <w:r w:rsidRPr="008676F9">
        <w:rPr>
          <w:rFonts w:ascii="Calibri" w:eastAsia="Calibri" w:hAnsi="Calibri" w:cs="Calibri"/>
          <w:bCs/>
          <w:i/>
          <w:kern w:val="1"/>
          <w:szCs w:val="22"/>
          <w:lang w:eastAsia="ar-SA"/>
        </w:rPr>
        <w:t xml:space="preserve">6B </w:t>
      </w:r>
      <w:r w:rsidRPr="008676F9">
        <w:rPr>
          <w:rFonts w:ascii="Calibri" w:eastAsia="Calibri" w:hAnsi="Calibri" w:cs="Calibri"/>
          <w:i/>
          <w:kern w:val="1"/>
          <w:szCs w:val="22"/>
          <w:lang w:eastAsia="ar-SA"/>
        </w:rPr>
        <w:t>Podpora miestneho rozvoja vo vidieckych oblastiach</w:t>
      </w:r>
    </w:p>
    <w:p w:rsidR="008676F9" w:rsidRPr="008676F9" w:rsidRDefault="008676F9" w:rsidP="00F14F63">
      <w:pPr>
        <w:suppressAutoHyphens/>
        <w:rPr>
          <w:rFonts w:ascii="Calibri" w:eastAsia="Calibri" w:hAnsi="Calibri" w:cs="Calibri"/>
          <w:b/>
          <w:bCs/>
          <w:kern w:val="1"/>
          <w:szCs w:val="22"/>
          <w:lang w:eastAsia="ar-SA"/>
        </w:rPr>
      </w:pPr>
      <w:r w:rsidRPr="008676F9">
        <w:rPr>
          <w:rFonts w:ascii="Calibri" w:eastAsia="Calibri" w:hAnsi="Calibri" w:cs="Calibri"/>
          <w:bCs/>
          <w:kern w:val="1"/>
          <w:szCs w:val="22"/>
          <w:lang w:eastAsia="ar-SA"/>
        </w:rPr>
        <w:t>V záujme zjednodušenia implementácie verejných financií určených na iniciatívu LEADER je toto opatrenie vymedzené výhradne v rámci oblasti zamerania 6B „Podpor</w:t>
      </w:r>
      <w:r w:rsidR="00F10564">
        <w:rPr>
          <w:rFonts w:ascii="Calibri" w:eastAsia="Calibri" w:hAnsi="Calibri" w:cs="Calibri"/>
          <w:bCs/>
          <w:kern w:val="1"/>
          <w:szCs w:val="22"/>
          <w:lang w:eastAsia="ar-SA"/>
        </w:rPr>
        <w:t>a</w:t>
      </w:r>
      <w:r w:rsidRPr="008676F9">
        <w:rPr>
          <w:rFonts w:ascii="Calibri" w:eastAsia="Calibri" w:hAnsi="Calibri" w:cs="Calibri"/>
          <w:bCs/>
          <w:kern w:val="1"/>
          <w:szCs w:val="22"/>
          <w:lang w:eastAsia="ar-SA"/>
        </w:rPr>
        <w:t xml:space="preserve"> miestneho rozvoja vo vidieckych oblastiach“. Opatrenie LEADER má osobitný význam pre viacero priorít EÚ a je mimoriadneho významu pre podporu sociálneho zabezpečenia</w:t>
      </w:r>
      <w:r w:rsidR="00F10564">
        <w:rPr>
          <w:rFonts w:ascii="Calibri" w:eastAsia="Calibri" w:hAnsi="Calibri" w:cs="Calibri"/>
          <w:bCs/>
          <w:kern w:val="1"/>
          <w:szCs w:val="22"/>
          <w:lang w:eastAsia="ar-SA"/>
        </w:rPr>
        <w:t xml:space="preserve"> a hospodárskeho rozvoja, ako aj </w:t>
      </w:r>
      <w:r w:rsidRPr="008676F9">
        <w:rPr>
          <w:rFonts w:ascii="Calibri" w:eastAsia="Calibri" w:hAnsi="Calibri" w:cs="Calibri"/>
          <w:bCs/>
          <w:kern w:val="1"/>
          <w:szCs w:val="22"/>
          <w:lang w:eastAsia="ar-SA"/>
        </w:rPr>
        <w:t xml:space="preserve"> znižovani</w:t>
      </w:r>
      <w:r w:rsidR="00F10564">
        <w:rPr>
          <w:rFonts w:ascii="Calibri" w:eastAsia="Calibri" w:hAnsi="Calibri" w:cs="Calibri"/>
          <w:bCs/>
          <w:kern w:val="1"/>
          <w:szCs w:val="22"/>
          <w:lang w:eastAsia="ar-SA"/>
        </w:rPr>
        <w:t>e</w:t>
      </w:r>
      <w:r w:rsidRPr="008676F9">
        <w:rPr>
          <w:rFonts w:ascii="Calibri" w:eastAsia="Calibri" w:hAnsi="Calibri" w:cs="Calibri"/>
          <w:bCs/>
          <w:kern w:val="1"/>
          <w:szCs w:val="22"/>
          <w:lang w:eastAsia="ar-SA"/>
        </w:rPr>
        <w:t xml:space="preserve"> chudoby vo vidieckych oblastiach, ktoré sa bud</w:t>
      </w:r>
      <w:r w:rsidR="00F10564">
        <w:rPr>
          <w:rFonts w:ascii="Calibri" w:eastAsia="Calibri" w:hAnsi="Calibri" w:cs="Calibri"/>
          <w:bCs/>
          <w:kern w:val="1"/>
          <w:szCs w:val="22"/>
          <w:lang w:eastAsia="ar-SA"/>
        </w:rPr>
        <w:t>ú</w:t>
      </w:r>
      <w:r w:rsidRPr="008676F9">
        <w:rPr>
          <w:rFonts w:ascii="Calibri" w:eastAsia="Calibri" w:hAnsi="Calibri" w:cs="Calibri"/>
          <w:bCs/>
          <w:kern w:val="1"/>
          <w:szCs w:val="22"/>
          <w:lang w:eastAsia="ar-SA"/>
        </w:rPr>
        <w:t xml:space="preserve"> vzťahovať sekundárne aj na iné oblasti v rámci PRV.</w:t>
      </w:r>
    </w:p>
    <w:p w:rsidR="008676F9" w:rsidRPr="008676F9" w:rsidRDefault="008676F9" w:rsidP="00F14F63">
      <w:pPr>
        <w:suppressAutoHyphens/>
        <w:rPr>
          <w:rFonts w:ascii="Calibri" w:eastAsia="Calibri" w:hAnsi="Calibri" w:cs="Calibri"/>
          <w:b/>
          <w:bCs/>
          <w:kern w:val="1"/>
          <w:szCs w:val="22"/>
          <w:lang w:eastAsia="ar-SA"/>
        </w:rPr>
      </w:pPr>
    </w:p>
    <w:p w:rsidR="008676F9" w:rsidRPr="008676F9" w:rsidRDefault="008676F9" w:rsidP="00F14F63">
      <w:pPr>
        <w:suppressAutoHyphens/>
        <w:rPr>
          <w:rFonts w:ascii="Calibri" w:eastAsia="Calibri" w:hAnsi="Calibri" w:cs="Calibri"/>
          <w:bCs/>
          <w:kern w:val="1"/>
          <w:szCs w:val="22"/>
          <w:u w:val="single"/>
          <w:lang w:eastAsia="ar-SA"/>
        </w:rPr>
      </w:pPr>
      <w:r w:rsidRPr="008676F9">
        <w:rPr>
          <w:rFonts w:ascii="Calibri" w:eastAsia="Calibri" w:hAnsi="Calibri" w:cs="Calibri"/>
          <w:bCs/>
          <w:kern w:val="1"/>
          <w:szCs w:val="22"/>
          <w:u w:val="single"/>
          <w:lang w:eastAsia="ar-SA"/>
        </w:rPr>
        <w:t>Sekundárny príspevok k iným fokusovým oblastiam</w:t>
      </w:r>
    </w:p>
    <w:p w:rsidR="008676F9" w:rsidRPr="008676F9" w:rsidRDefault="008676F9" w:rsidP="00F14F63">
      <w:pPr>
        <w:suppressAutoHyphens/>
        <w:rPr>
          <w:rFonts w:ascii="Calibri" w:eastAsia="Calibri" w:hAnsi="Calibri" w:cs="Calibri"/>
          <w:bCs/>
          <w:kern w:val="1"/>
          <w:szCs w:val="22"/>
          <w:lang w:eastAsia="ar-SA"/>
        </w:rPr>
      </w:pPr>
      <w:r w:rsidRPr="008676F9">
        <w:rPr>
          <w:rFonts w:ascii="Calibri" w:eastAsia="Calibri" w:hAnsi="Calibri" w:cs="Calibri"/>
          <w:bCs/>
          <w:kern w:val="1"/>
          <w:szCs w:val="22"/>
          <w:lang w:eastAsia="ar-SA"/>
        </w:rPr>
        <w:t>Iné fokusové oblasti v závislosti od miestnej stratégie</w:t>
      </w:r>
      <w:r w:rsidR="00F10564">
        <w:rPr>
          <w:rFonts w:ascii="Calibri" w:eastAsia="Calibri" w:hAnsi="Calibri" w:cs="Calibri"/>
          <w:bCs/>
          <w:kern w:val="1"/>
          <w:szCs w:val="22"/>
          <w:lang w:eastAsia="ar-SA"/>
        </w:rPr>
        <w:t>, a to nasledovne:</w:t>
      </w:r>
    </w:p>
    <w:p w:rsidR="008676F9" w:rsidRPr="008676F9" w:rsidRDefault="008676F9" w:rsidP="00F14F63">
      <w:pPr>
        <w:suppressAutoHyphens/>
        <w:rPr>
          <w:rFonts w:ascii="Calibri" w:eastAsia="Calibri" w:hAnsi="Calibri" w:cs="Calibri"/>
          <w:bCs/>
          <w:kern w:val="1"/>
          <w:szCs w:val="22"/>
          <w:lang w:eastAsia="ar-SA"/>
        </w:rPr>
      </w:pPr>
    </w:p>
    <w:p w:rsidR="008676F9" w:rsidRPr="008676F9" w:rsidRDefault="008676F9" w:rsidP="00F14F63">
      <w:pPr>
        <w:suppressAutoHyphens/>
        <w:rPr>
          <w:rFonts w:ascii="Calibri" w:eastAsia="SimSun" w:hAnsi="Calibri" w:cs="Calibri"/>
          <w:bCs/>
          <w:kern w:val="1"/>
          <w:sz w:val="20"/>
          <w:szCs w:val="20"/>
          <w:lang w:eastAsia="ar-SA"/>
        </w:rPr>
      </w:pPr>
      <w:r w:rsidRPr="008676F9">
        <w:rPr>
          <w:rFonts w:ascii="Calibri" w:eastAsia="SimSun" w:hAnsi="Calibri" w:cs="Calibri"/>
          <w:bCs/>
          <w:kern w:val="1"/>
          <w:szCs w:val="22"/>
          <w:lang w:eastAsia="ar-SA"/>
        </w:rPr>
        <w:t xml:space="preserve">Stratégie miestneho rozvoja môžu byť </w:t>
      </w:r>
      <w:r w:rsidR="00D9234A">
        <w:rPr>
          <w:rFonts w:ascii="Calibri" w:eastAsia="SimSun" w:hAnsi="Calibri" w:cs="Calibri"/>
          <w:bCs/>
          <w:kern w:val="1"/>
          <w:szCs w:val="22"/>
          <w:lang w:eastAsia="ar-SA"/>
        </w:rPr>
        <w:t>strategicky naplánované</w:t>
      </w:r>
      <w:r w:rsidRPr="008676F9">
        <w:rPr>
          <w:rFonts w:ascii="Calibri" w:eastAsia="SimSun" w:hAnsi="Calibri" w:cs="Calibri"/>
          <w:bCs/>
          <w:kern w:val="1"/>
          <w:szCs w:val="22"/>
          <w:lang w:eastAsia="ar-SA"/>
        </w:rPr>
        <w:t xml:space="preserve"> na úrovni  jednej alebo viacerých nasledujúcich prioritných oblastí</w:t>
      </w:r>
      <w:r w:rsidR="00D9234A">
        <w:rPr>
          <w:rFonts w:ascii="Calibri" w:eastAsia="SimSun" w:hAnsi="Calibri" w:cs="Calibri"/>
          <w:bCs/>
          <w:kern w:val="1"/>
          <w:szCs w:val="22"/>
          <w:lang w:eastAsia="ar-SA"/>
        </w:rPr>
        <w:t xml:space="preserve"> PRV</w:t>
      </w:r>
      <w:r w:rsidRPr="008676F9">
        <w:rPr>
          <w:rFonts w:ascii="Calibri" w:eastAsia="SimSun" w:hAnsi="Calibri" w:cs="Calibri"/>
          <w:bCs/>
          <w:kern w:val="1"/>
          <w:szCs w:val="22"/>
          <w:lang w:eastAsia="ar-SA"/>
        </w:rPr>
        <w:t>:</w:t>
      </w:r>
    </w:p>
    <w:p w:rsidR="00F10564" w:rsidRPr="00F10564" w:rsidRDefault="00F10564" w:rsidP="00CE203B">
      <w:pPr>
        <w:pStyle w:val="Odsekzoznamu"/>
        <w:numPr>
          <w:ilvl w:val="0"/>
          <w:numId w:val="308"/>
        </w:numPr>
        <w:suppressAutoHyphens/>
        <w:ind w:left="142" w:hanging="142"/>
        <w:rPr>
          <w:rFonts w:ascii="Calibri" w:hAnsi="Calibri" w:cs="Calibri"/>
          <w:bCs/>
          <w:kern w:val="1"/>
          <w:sz w:val="20"/>
          <w:szCs w:val="20"/>
          <w:lang w:eastAsia="ar-SA"/>
        </w:rPr>
      </w:pPr>
      <w:r w:rsidRPr="00F10564">
        <w:rPr>
          <w:rFonts w:ascii="Calibri" w:hAnsi="Calibri" w:cs="Calibri"/>
          <w:bCs/>
          <w:kern w:val="1"/>
          <w:sz w:val="20"/>
          <w:szCs w:val="20"/>
          <w:lang w:eastAsia="ar-SA"/>
        </w:rPr>
        <w:t>Podpora prenosu znalostí a inovácie v poľnohospodárstve, lesnom hospodárstve a vo vidieckych oblastiach</w:t>
      </w:r>
    </w:p>
    <w:p w:rsidR="00F10564" w:rsidRPr="00F10564" w:rsidRDefault="00F10564" w:rsidP="00CE203B">
      <w:pPr>
        <w:pStyle w:val="Odsekzoznamu"/>
        <w:numPr>
          <w:ilvl w:val="1"/>
          <w:numId w:val="309"/>
        </w:numPr>
        <w:tabs>
          <w:tab w:val="left" w:pos="284"/>
        </w:tabs>
        <w:suppressAutoHyphens/>
        <w:ind w:left="567" w:hanging="283"/>
        <w:rPr>
          <w:rFonts w:ascii="Calibri" w:hAnsi="Calibri" w:cs="Calibri"/>
          <w:bCs/>
          <w:kern w:val="1"/>
          <w:sz w:val="20"/>
          <w:szCs w:val="20"/>
          <w:lang w:eastAsia="ar-SA"/>
        </w:rPr>
      </w:pPr>
      <w:r w:rsidRPr="00F10564">
        <w:rPr>
          <w:rFonts w:ascii="Calibri" w:hAnsi="Calibri" w:cs="Calibri"/>
          <w:bCs/>
          <w:kern w:val="1"/>
          <w:sz w:val="20"/>
          <w:szCs w:val="20"/>
          <w:lang w:eastAsia="ar-SA"/>
        </w:rPr>
        <w:t>podpora inovácie, spolupráce a rozvoja</w:t>
      </w:r>
      <w:r w:rsidRPr="00F10564">
        <w:rPr>
          <w:rFonts w:ascii="Calibri" w:hAnsi="Calibri" w:cs="Calibri"/>
          <w:bCs/>
          <w:i/>
          <w:kern w:val="1"/>
          <w:sz w:val="20"/>
          <w:szCs w:val="20"/>
          <w:lang w:eastAsia="ar-SA"/>
        </w:rPr>
        <w:t xml:space="preserve"> </w:t>
      </w:r>
      <w:r w:rsidRPr="00F10564">
        <w:rPr>
          <w:rFonts w:ascii="Calibri" w:hAnsi="Calibri" w:cs="Calibri"/>
          <w:bCs/>
          <w:kern w:val="1"/>
          <w:sz w:val="20"/>
          <w:szCs w:val="20"/>
          <w:lang w:eastAsia="ar-SA"/>
        </w:rPr>
        <w:t>vedomostnej základne vo vidieckych oblastiach</w:t>
      </w:r>
    </w:p>
    <w:p w:rsidR="00F10564" w:rsidRPr="00F10564" w:rsidRDefault="00F10564" w:rsidP="00CE203B">
      <w:pPr>
        <w:pStyle w:val="Odsekzoznamu"/>
        <w:numPr>
          <w:ilvl w:val="1"/>
          <w:numId w:val="309"/>
        </w:numPr>
        <w:tabs>
          <w:tab w:val="left" w:pos="284"/>
        </w:tabs>
        <w:suppressAutoHyphens/>
        <w:ind w:left="567" w:hanging="283"/>
        <w:rPr>
          <w:rFonts w:ascii="Calibri" w:hAnsi="Calibri" w:cs="Calibri"/>
          <w:bCs/>
          <w:kern w:val="1"/>
          <w:sz w:val="20"/>
          <w:szCs w:val="20"/>
          <w:lang w:eastAsia="ar-SA"/>
        </w:rPr>
      </w:pPr>
      <w:r w:rsidRPr="00F10564">
        <w:rPr>
          <w:rFonts w:ascii="Calibri" w:hAnsi="Calibri" w:cs="Calibri"/>
          <w:bCs/>
          <w:kern w:val="1"/>
          <w:sz w:val="20"/>
          <w:szCs w:val="20"/>
          <w:lang w:eastAsia="ar-SA"/>
        </w:rPr>
        <w:t>posilnenie prepojenia poľnohospodárstva, výroby potravín a lesného hospodárstva s výskumom a inováciou, a to aj na účely zlepšenia environmentálneho riadenia a výkonu</w:t>
      </w:r>
    </w:p>
    <w:p w:rsidR="00F10564" w:rsidRPr="00F10564" w:rsidRDefault="00F10564" w:rsidP="00CE203B">
      <w:pPr>
        <w:pStyle w:val="Odsekzoznamu"/>
        <w:numPr>
          <w:ilvl w:val="1"/>
          <w:numId w:val="309"/>
        </w:numPr>
        <w:tabs>
          <w:tab w:val="left" w:pos="284"/>
        </w:tabs>
        <w:suppressAutoHyphens/>
        <w:ind w:left="567" w:hanging="283"/>
        <w:rPr>
          <w:rFonts w:cs="Calibri"/>
          <w:bCs/>
          <w:kern w:val="1"/>
          <w:sz w:val="20"/>
          <w:szCs w:val="20"/>
          <w:lang w:eastAsia="ar-SA"/>
        </w:rPr>
      </w:pPr>
      <w:r w:rsidRPr="00F10564">
        <w:rPr>
          <w:rFonts w:ascii="Calibri" w:hAnsi="Calibri" w:cs="Calibri"/>
          <w:bCs/>
          <w:kern w:val="1"/>
          <w:sz w:val="20"/>
          <w:szCs w:val="20"/>
          <w:lang w:eastAsia="ar-SA"/>
        </w:rPr>
        <w:t>podpora celoživotného vzdelávania a odborného vzdelávania v sektoroch poľnohospodárstva a lesného hospodárstva</w:t>
      </w:r>
    </w:p>
    <w:p w:rsidR="00F10564" w:rsidRPr="008676F9" w:rsidRDefault="00F10564" w:rsidP="00F10564">
      <w:pPr>
        <w:suppressAutoHyphens/>
        <w:rPr>
          <w:rFonts w:ascii="Calibri" w:eastAsia="SimSun" w:hAnsi="Calibri" w:cs="Calibri"/>
          <w:bCs/>
          <w:kern w:val="1"/>
          <w:sz w:val="20"/>
          <w:szCs w:val="20"/>
          <w:lang w:eastAsia="ar-SA"/>
        </w:rPr>
      </w:pPr>
    </w:p>
    <w:p w:rsidR="00F10564" w:rsidRPr="00F10564" w:rsidRDefault="00F10564" w:rsidP="00CE203B">
      <w:pPr>
        <w:pStyle w:val="Odsekzoznamu"/>
        <w:numPr>
          <w:ilvl w:val="0"/>
          <w:numId w:val="308"/>
        </w:numPr>
        <w:suppressAutoHyphens/>
        <w:ind w:left="142" w:hanging="142"/>
        <w:rPr>
          <w:rFonts w:ascii="Calibri" w:eastAsia="SimSun" w:hAnsi="Calibri" w:cs="Calibri"/>
          <w:kern w:val="1"/>
          <w:szCs w:val="22"/>
          <w:lang w:eastAsia="ar-SA"/>
        </w:rPr>
      </w:pPr>
      <w:r w:rsidRPr="00F10564">
        <w:rPr>
          <w:rFonts w:ascii="Calibri" w:eastAsia="SimSun" w:hAnsi="Calibri" w:cs="Calibri"/>
          <w:bCs/>
          <w:kern w:val="1"/>
          <w:sz w:val="20"/>
          <w:szCs w:val="20"/>
          <w:lang w:eastAsia="ar-SA"/>
        </w:rPr>
        <w:t>Posilnenie životaschopnosti poľnohospodárskych podnikov a konkurencieschopnosti všetkých druhov poľnohospodárstva vo všetkých regiónoch a presadzovanie inovačných poľnohospodárskych technológií a udržateľného obhospodarovania lesov.</w:t>
      </w:r>
    </w:p>
    <w:p w:rsidR="00F10564" w:rsidRPr="00F10564" w:rsidRDefault="00F10564" w:rsidP="00CE203B">
      <w:pPr>
        <w:pStyle w:val="Odsekzoznamu"/>
        <w:numPr>
          <w:ilvl w:val="1"/>
          <w:numId w:val="310"/>
        </w:numPr>
        <w:suppressAutoHyphens/>
        <w:ind w:left="567" w:hanging="283"/>
        <w:rPr>
          <w:rFonts w:ascii="Calibri" w:hAnsi="Calibri" w:cs="Calibri"/>
          <w:bCs/>
          <w:kern w:val="1"/>
          <w:sz w:val="20"/>
          <w:szCs w:val="20"/>
          <w:lang w:eastAsia="ar-SA"/>
        </w:rPr>
      </w:pPr>
      <w:r w:rsidRPr="00F10564">
        <w:rPr>
          <w:rFonts w:ascii="Calibri" w:hAnsi="Calibri" w:cs="Calibri"/>
          <w:bCs/>
          <w:kern w:val="1"/>
          <w:sz w:val="20"/>
          <w:szCs w:val="20"/>
          <w:lang w:eastAsia="ar-SA"/>
        </w:rPr>
        <w:t>zlepšenie hospodárskeho výkonu všetkých poľnohospodárskych podnikov a uľahčenie reštrukturalizácie a modernizácie poľnohospodárskych podnikov, najmä na účely zvýšenia ich účasti na trhu, zamerania na trh a poľnohospodárskej diverzifikácie</w:t>
      </w:r>
    </w:p>
    <w:p w:rsidR="00F10564" w:rsidRDefault="00F10564" w:rsidP="00CE203B">
      <w:pPr>
        <w:pStyle w:val="Odsekzoznamu"/>
        <w:numPr>
          <w:ilvl w:val="1"/>
          <w:numId w:val="310"/>
        </w:numPr>
        <w:suppressAutoHyphens/>
        <w:ind w:left="567" w:hanging="283"/>
        <w:rPr>
          <w:rFonts w:ascii="Calibri" w:hAnsi="Calibri" w:cs="Calibri"/>
          <w:bCs/>
          <w:kern w:val="1"/>
          <w:sz w:val="20"/>
          <w:szCs w:val="20"/>
          <w:lang w:eastAsia="ar-SA"/>
        </w:rPr>
      </w:pPr>
      <w:r w:rsidRPr="00F10564">
        <w:rPr>
          <w:rFonts w:ascii="Calibri" w:hAnsi="Calibri" w:cs="Calibri"/>
          <w:bCs/>
          <w:kern w:val="1"/>
          <w:sz w:val="20"/>
          <w:szCs w:val="20"/>
          <w:lang w:eastAsia="ar-SA"/>
        </w:rPr>
        <w:t>uľahčenie vstupu poľnohospodárov s primeranými zručnosťami do odvetvia poľnohospodárstva, a najmä  generačnej výmeny</w:t>
      </w:r>
    </w:p>
    <w:p w:rsidR="00F10564" w:rsidRPr="00F10564" w:rsidRDefault="00F10564" w:rsidP="00CE203B">
      <w:pPr>
        <w:pStyle w:val="Odsekzoznamu"/>
        <w:numPr>
          <w:ilvl w:val="1"/>
          <w:numId w:val="310"/>
        </w:numPr>
        <w:suppressAutoHyphens/>
        <w:ind w:left="567" w:hanging="283"/>
        <w:rPr>
          <w:rFonts w:ascii="Calibri" w:hAnsi="Calibri" w:cs="Calibri"/>
          <w:bCs/>
          <w:kern w:val="1"/>
          <w:sz w:val="20"/>
          <w:szCs w:val="20"/>
          <w:lang w:eastAsia="ar-SA"/>
        </w:rPr>
      </w:pPr>
      <w:r w:rsidRPr="00F10564">
        <w:rPr>
          <w:rFonts w:ascii="Calibri" w:hAnsi="Calibri" w:cs="Calibri"/>
          <w:bCs/>
          <w:kern w:val="1"/>
          <w:sz w:val="20"/>
          <w:szCs w:val="20"/>
          <w:lang w:eastAsia="ar-SA"/>
        </w:rPr>
        <w:t>zlepšenie hospodárskeho výkonu lesného hospodárstva</w:t>
      </w:r>
    </w:p>
    <w:p w:rsidR="00F10564" w:rsidRPr="008676F9" w:rsidRDefault="00F10564" w:rsidP="00F10564">
      <w:pPr>
        <w:suppressAutoHyphens/>
        <w:ind w:left="720"/>
        <w:rPr>
          <w:rFonts w:ascii="Calibri" w:hAnsi="Calibri" w:cs="Calibri"/>
          <w:bCs/>
          <w:kern w:val="1"/>
          <w:sz w:val="20"/>
          <w:szCs w:val="20"/>
          <w:lang w:eastAsia="ar-SA"/>
        </w:rPr>
      </w:pPr>
    </w:p>
    <w:p w:rsidR="00F10564" w:rsidRPr="00F10564" w:rsidRDefault="00F10564" w:rsidP="00CE203B">
      <w:pPr>
        <w:pStyle w:val="Odsekzoznamu"/>
        <w:numPr>
          <w:ilvl w:val="0"/>
          <w:numId w:val="308"/>
        </w:numPr>
        <w:suppressAutoHyphens/>
        <w:ind w:left="142" w:hanging="142"/>
        <w:rPr>
          <w:rFonts w:cs="Calibri"/>
          <w:bCs/>
          <w:kern w:val="1"/>
          <w:sz w:val="20"/>
          <w:szCs w:val="20"/>
          <w:lang w:eastAsia="ar-SA"/>
        </w:rPr>
      </w:pPr>
      <w:r w:rsidRPr="00F10564">
        <w:rPr>
          <w:rFonts w:ascii="Calibri" w:hAnsi="Calibri" w:cs="Calibri"/>
          <w:bCs/>
          <w:kern w:val="1"/>
          <w:sz w:val="20"/>
          <w:szCs w:val="20"/>
          <w:lang w:eastAsia="ar-SA"/>
        </w:rPr>
        <w:t>Podpora organizácie potravinového reťazca vrátane spracovania poľnohospodárskych výrobkov a ich uvádzania na trh , dobrých životných podmienok zvierat a riadenia rizík  v poľnohospodárstve</w:t>
      </w:r>
    </w:p>
    <w:p w:rsidR="00F10564" w:rsidRPr="00F10564" w:rsidRDefault="00F10564" w:rsidP="00CE203B">
      <w:pPr>
        <w:pStyle w:val="Odsekzoznamu"/>
        <w:numPr>
          <w:ilvl w:val="1"/>
          <w:numId w:val="311"/>
        </w:numPr>
        <w:suppressAutoHyphens/>
        <w:ind w:left="567" w:hanging="283"/>
        <w:rPr>
          <w:rFonts w:ascii="Calibri" w:eastAsia="SimSun" w:hAnsi="Calibri" w:cs="Calibri"/>
          <w:bCs/>
          <w:kern w:val="1"/>
          <w:sz w:val="20"/>
          <w:szCs w:val="20"/>
          <w:lang w:eastAsia="ar-SA"/>
        </w:rPr>
      </w:pPr>
      <w:r w:rsidRPr="00F10564">
        <w:rPr>
          <w:rFonts w:ascii="Calibri" w:eastAsia="SimSun" w:hAnsi="Calibri" w:cs="Calibri"/>
          <w:bCs/>
          <w:kern w:val="1"/>
          <w:sz w:val="20"/>
          <w:szCs w:val="20"/>
          <w:lang w:eastAsia="ar-SA"/>
        </w:rPr>
        <w:t>Zvýšenie konkurencieschopnosti prvovýrobcov prostredníctvom ich lepšej integrácie do poľnohospodársko-potravinového reťazca pomocou systémov kvality, pridávania hodnoty poľnohospodárskym produktom, propagácie na miestnych trhoch a v krátkych dodávateľských reťazcoch, skupín a organizácií výrobcov a medziodvetvových organizácií</w:t>
      </w:r>
    </w:p>
    <w:p w:rsidR="00F10564" w:rsidRPr="008676F9" w:rsidRDefault="00F10564" w:rsidP="00F10564">
      <w:pPr>
        <w:suppressAutoHyphens/>
        <w:ind w:left="284" w:hanging="284"/>
        <w:rPr>
          <w:rFonts w:ascii="Calibri" w:eastAsia="SimSun" w:hAnsi="Calibri" w:cs="Calibri"/>
          <w:kern w:val="1"/>
          <w:szCs w:val="22"/>
          <w:lang w:eastAsia="ar-SA"/>
        </w:rPr>
      </w:pPr>
    </w:p>
    <w:p w:rsidR="00F10564" w:rsidRPr="00F10564" w:rsidRDefault="00F10564" w:rsidP="00CE203B">
      <w:pPr>
        <w:pStyle w:val="Odsekzoznamu"/>
        <w:numPr>
          <w:ilvl w:val="0"/>
          <w:numId w:val="312"/>
        </w:numPr>
        <w:suppressAutoHyphens/>
        <w:ind w:left="284" w:hanging="284"/>
        <w:rPr>
          <w:rFonts w:ascii="Calibri" w:eastAsia="SimSun" w:hAnsi="Calibri" w:cs="Calibri"/>
          <w:kern w:val="1"/>
          <w:sz w:val="20"/>
          <w:szCs w:val="20"/>
          <w:lang w:eastAsia="ar-SA"/>
        </w:rPr>
      </w:pPr>
      <w:r w:rsidRPr="00F10564">
        <w:rPr>
          <w:rFonts w:ascii="Calibri" w:hAnsi="Calibri" w:cs="Calibri"/>
          <w:bCs/>
          <w:kern w:val="1"/>
          <w:sz w:val="20"/>
          <w:szCs w:val="20"/>
          <w:lang w:eastAsia="ar-SA"/>
        </w:rPr>
        <w:t>Obnova, zachovanie a posilnenie ekosystémov, ktoré súvisia s poľnohospodárstvom a lesným hospodárstvom</w:t>
      </w:r>
      <w:r w:rsidRPr="00F10564">
        <w:rPr>
          <w:rFonts w:ascii="Calibri" w:eastAsia="SimSun" w:hAnsi="Calibri" w:cs="Calibri"/>
          <w:kern w:val="1"/>
          <w:sz w:val="20"/>
          <w:szCs w:val="20"/>
          <w:lang w:eastAsia="ar-SA"/>
        </w:rPr>
        <w:t xml:space="preserve"> so zameraním na:</w:t>
      </w:r>
    </w:p>
    <w:p w:rsidR="00F10564" w:rsidRDefault="00F10564" w:rsidP="00F10564">
      <w:pPr>
        <w:suppressAutoHyphens/>
        <w:ind w:left="284"/>
        <w:rPr>
          <w:rFonts w:ascii="Calibri" w:eastAsia="SimSun" w:hAnsi="Calibri" w:cs="Calibri"/>
          <w:kern w:val="1"/>
          <w:sz w:val="20"/>
          <w:szCs w:val="20"/>
          <w:lang w:eastAsia="ar-SA"/>
        </w:rPr>
      </w:pPr>
      <w:r w:rsidRPr="008676F9">
        <w:rPr>
          <w:rFonts w:ascii="Calibri" w:eastAsia="SimSun" w:hAnsi="Calibri" w:cs="Calibri"/>
          <w:kern w:val="1"/>
          <w:sz w:val="20"/>
          <w:szCs w:val="20"/>
          <w:lang w:eastAsia="ar-SA"/>
        </w:rPr>
        <w:t>b</w:t>
      </w:r>
      <w:r>
        <w:rPr>
          <w:rFonts w:ascii="Calibri" w:eastAsia="SimSun" w:hAnsi="Calibri" w:cs="Calibri"/>
          <w:kern w:val="1"/>
          <w:sz w:val="20"/>
          <w:szCs w:val="20"/>
          <w:lang w:eastAsia="ar-SA"/>
        </w:rPr>
        <w:t>.</w:t>
      </w:r>
      <w:r w:rsidRPr="008676F9">
        <w:rPr>
          <w:rFonts w:ascii="Calibri" w:eastAsia="SimSun" w:hAnsi="Calibri" w:cs="Calibri"/>
          <w:kern w:val="1"/>
          <w:sz w:val="20"/>
          <w:szCs w:val="20"/>
          <w:lang w:eastAsia="ar-SA"/>
        </w:rPr>
        <w:t xml:space="preserve"> zlepšenie vodného hospodárstva vrátane riadenia používania hnojív a pesticídov</w:t>
      </w:r>
    </w:p>
    <w:p w:rsidR="00F10564" w:rsidRPr="008676F9" w:rsidRDefault="00F10564" w:rsidP="00F10564">
      <w:pPr>
        <w:suppressAutoHyphens/>
        <w:rPr>
          <w:rFonts w:ascii="Calibri" w:eastAsia="SimSun" w:hAnsi="Calibri" w:cs="Calibri"/>
          <w:bCs/>
          <w:kern w:val="1"/>
          <w:sz w:val="20"/>
          <w:szCs w:val="20"/>
          <w:lang w:eastAsia="ar-SA"/>
        </w:rPr>
      </w:pPr>
    </w:p>
    <w:p w:rsidR="00F10564" w:rsidRPr="008676F9" w:rsidRDefault="00F10564" w:rsidP="00F10564">
      <w:pPr>
        <w:suppressAutoHyphens/>
        <w:ind w:left="284" w:hanging="284"/>
        <w:rPr>
          <w:rFonts w:ascii="Calibri" w:eastAsia="SimSun" w:hAnsi="Calibri" w:cs="Calibri"/>
          <w:kern w:val="1"/>
          <w:sz w:val="20"/>
          <w:szCs w:val="20"/>
          <w:lang w:eastAsia="ar-SA"/>
        </w:rPr>
      </w:pPr>
      <w:r w:rsidRPr="008676F9">
        <w:rPr>
          <w:rFonts w:ascii="Calibri" w:eastAsia="SimSun" w:hAnsi="Calibri" w:cs="Calibri"/>
          <w:bCs/>
          <w:kern w:val="1"/>
          <w:sz w:val="20"/>
          <w:szCs w:val="20"/>
          <w:lang w:eastAsia="ar-SA"/>
        </w:rPr>
        <w:t xml:space="preserve">5. </w:t>
      </w:r>
      <w:r>
        <w:rPr>
          <w:rFonts w:ascii="Calibri" w:eastAsia="SimSun" w:hAnsi="Calibri" w:cs="Calibri"/>
          <w:bCs/>
          <w:kern w:val="1"/>
          <w:sz w:val="20"/>
          <w:szCs w:val="20"/>
          <w:lang w:eastAsia="ar-SA"/>
        </w:rPr>
        <w:t>Propagácia</w:t>
      </w:r>
      <w:r w:rsidRPr="008676F9">
        <w:rPr>
          <w:rFonts w:ascii="Calibri" w:eastAsia="SimSun" w:hAnsi="Calibri" w:cs="Calibri"/>
          <w:bCs/>
          <w:kern w:val="1"/>
          <w:sz w:val="20"/>
          <w:szCs w:val="20"/>
          <w:lang w:eastAsia="ar-SA"/>
        </w:rPr>
        <w:t xml:space="preserve"> efektívneho využívania zdrojov a podpora prechodu na nízkouhlíkové hospodárstvo odolné voči zmene klímy v odvetví poľnohospodárstva, potravinárstva a lesného hospodárstva</w:t>
      </w:r>
    </w:p>
    <w:p w:rsidR="00F10564" w:rsidRPr="008676F9" w:rsidRDefault="00F10564" w:rsidP="00F10564">
      <w:pPr>
        <w:suppressAutoHyphens/>
        <w:ind w:left="567" w:hanging="283"/>
        <w:rPr>
          <w:rFonts w:ascii="Calibri" w:eastAsia="SimSun" w:hAnsi="Calibri" w:cs="Calibri"/>
          <w:kern w:val="1"/>
          <w:szCs w:val="22"/>
          <w:lang w:eastAsia="ar-SA"/>
        </w:rPr>
      </w:pPr>
      <w:r w:rsidRPr="008676F9">
        <w:rPr>
          <w:rFonts w:ascii="Calibri" w:eastAsia="SimSun" w:hAnsi="Calibri" w:cs="Calibri"/>
          <w:bCs/>
          <w:kern w:val="1"/>
          <w:sz w:val="20"/>
          <w:szCs w:val="20"/>
          <w:lang w:eastAsia="ar-SA"/>
        </w:rPr>
        <w:t>c</w:t>
      </w:r>
      <w:r>
        <w:rPr>
          <w:rFonts w:ascii="Calibri" w:eastAsia="SimSun" w:hAnsi="Calibri" w:cs="Calibri"/>
          <w:bCs/>
          <w:kern w:val="1"/>
          <w:sz w:val="20"/>
          <w:szCs w:val="20"/>
          <w:lang w:eastAsia="ar-SA"/>
        </w:rPr>
        <w:t>.</w:t>
      </w:r>
      <w:r w:rsidRPr="008676F9">
        <w:rPr>
          <w:rFonts w:ascii="Calibri" w:eastAsia="SimSun" w:hAnsi="Calibri" w:cs="Calibri"/>
          <w:bCs/>
          <w:kern w:val="1"/>
          <w:sz w:val="20"/>
          <w:szCs w:val="20"/>
          <w:lang w:eastAsia="ar-SA"/>
        </w:rPr>
        <w:t xml:space="preserve"> uľahčenie dodávok a využívania obnoviteľných zdrojov energie, vedľajších produktov, odpadov, zvyškov a iných nepotravinových surovín na účely bioekonomiky</w:t>
      </w:r>
    </w:p>
    <w:p w:rsidR="00F10564" w:rsidRDefault="00F10564" w:rsidP="00F10564">
      <w:pPr>
        <w:suppressAutoHyphens/>
        <w:rPr>
          <w:rFonts w:ascii="Calibri" w:eastAsia="SimSun" w:hAnsi="Calibri" w:cs="Calibri"/>
          <w:bCs/>
          <w:kern w:val="1"/>
          <w:szCs w:val="22"/>
          <w:lang w:eastAsia="ar-SA"/>
        </w:rPr>
      </w:pPr>
    </w:p>
    <w:p w:rsidR="00F10564" w:rsidRPr="008676F9" w:rsidRDefault="00F10564" w:rsidP="00F10564">
      <w:pPr>
        <w:suppressAutoHyphens/>
        <w:rPr>
          <w:rFonts w:ascii="Calibri" w:eastAsia="SimSun" w:hAnsi="Calibri" w:cs="Calibri"/>
          <w:bCs/>
          <w:kern w:val="1"/>
          <w:sz w:val="20"/>
          <w:szCs w:val="20"/>
          <w:lang w:eastAsia="ar-SA"/>
        </w:rPr>
      </w:pPr>
      <w:r w:rsidRPr="008676F9">
        <w:rPr>
          <w:rFonts w:ascii="Calibri" w:eastAsia="SimSun" w:hAnsi="Calibri" w:cs="Calibri"/>
          <w:bCs/>
          <w:kern w:val="1"/>
          <w:sz w:val="20"/>
          <w:szCs w:val="20"/>
          <w:lang w:eastAsia="ar-SA"/>
        </w:rPr>
        <w:t>6. Podpora sociálne</w:t>
      </w:r>
      <w:r>
        <w:rPr>
          <w:rFonts w:ascii="Calibri" w:eastAsia="SimSun" w:hAnsi="Calibri" w:cs="Calibri"/>
          <w:bCs/>
          <w:kern w:val="1"/>
          <w:sz w:val="20"/>
          <w:szCs w:val="20"/>
          <w:lang w:eastAsia="ar-SA"/>
        </w:rPr>
        <w:t>ho začleňovania</w:t>
      </w:r>
      <w:r w:rsidRPr="008676F9">
        <w:rPr>
          <w:rFonts w:ascii="Calibri" w:eastAsia="SimSun" w:hAnsi="Calibri" w:cs="Calibri"/>
          <w:bCs/>
          <w:kern w:val="1"/>
          <w:sz w:val="20"/>
          <w:szCs w:val="20"/>
          <w:lang w:eastAsia="ar-SA"/>
        </w:rPr>
        <w:t>, zmier</w:t>
      </w:r>
      <w:r>
        <w:rPr>
          <w:rFonts w:ascii="Calibri" w:eastAsia="SimSun" w:hAnsi="Calibri" w:cs="Calibri"/>
          <w:bCs/>
          <w:kern w:val="1"/>
          <w:sz w:val="20"/>
          <w:szCs w:val="20"/>
          <w:lang w:eastAsia="ar-SA"/>
        </w:rPr>
        <w:t>ňovania</w:t>
      </w:r>
      <w:r w:rsidRPr="008676F9">
        <w:rPr>
          <w:rFonts w:ascii="Calibri" w:eastAsia="SimSun" w:hAnsi="Calibri" w:cs="Calibri"/>
          <w:bCs/>
          <w:kern w:val="1"/>
          <w:sz w:val="20"/>
          <w:szCs w:val="20"/>
          <w:lang w:eastAsia="ar-SA"/>
        </w:rPr>
        <w:t xml:space="preserve"> chudoby a hospodárskeho </w:t>
      </w:r>
      <w:r>
        <w:rPr>
          <w:rFonts w:ascii="Calibri" w:eastAsia="SimSun" w:hAnsi="Calibri" w:cs="Calibri"/>
          <w:bCs/>
          <w:kern w:val="1"/>
          <w:sz w:val="20"/>
          <w:szCs w:val="20"/>
          <w:lang w:eastAsia="ar-SA"/>
        </w:rPr>
        <w:t>rozvoja</w:t>
      </w:r>
      <w:r w:rsidRPr="008676F9">
        <w:rPr>
          <w:rFonts w:ascii="Calibri" w:eastAsia="SimSun" w:hAnsi="Calibri" w:cs="Calibri"/>
          <w:bCs/>
          <w:kern w:val="1"/>
          <w:sz w:val="20"/>
          <w:szCs w:val="20"/>
          <w:lang w:eastAsia="ar-SA"/>
        </w:rPr>
        <w:t xml:space="preserve"> vo vidieckych oblastiach</w:t>
      </w:r>
    </w:p>
    <w:p w:rsidR="00F10564" w:rsidRPr="00F10564" w:rsidRDefault="00F10564" w:rsidP="00CE203B">
      <w:pPr>
        <w:pStyle w:val="Odsekzoznamu"/>
        <w:numPr>
          <w:ilvl w:val="1"/>
          <w:numId w:val="313"/>
        </w:numPr>
        <w:suppressAutoHyphens/>
        <w:ind w:left="567" w:hanging="283"/>
        <w:rPr>
          <w:rFonts w:ascii="Calibri" w:hAnsi="Calibri" w:cs="Calibri"/>
          <w:bCs/>
          <w:kern w:val="1"/>
          <w:sz w:val="20"/>
          <w:szCs w:val="20"/>
          <w:lang w:eastAsia="ar-SA"/>
        </w:rPr>
      </w:pPr>
      <w:r w:rsidRPr="00F10564">
        <w:rPr>
          <w:rFonts w:ascii="Calibri" w:hAnsi="Calibri" w:cs="Calibri"/>
          <w:bCs/>
          <w:kern w:val="1"/>
          <w:sz w:val="20"/>
          <w:szCs w:val="20"/>
          <w:lang w:eastAsia="ar-SA"/>
        </w:rPr>
        <w:t>uľahčenie diverzifikácie, zakladania a rozvoja malých podnikov ako aj vytvárania pracovných miest</w:t>
      </w:r>
    </w:p>
    <w:p w:rsidR="00F10564" w:rsidRPr="00F10564" w:rsidRDefault="00F10564" w:rsidP="00CE203B">
      <w:pPr>
        <w:pStyle w:val="Odsekzoznamu"/>
        <w:numPr>
          <w:ilvl w:val="1"/>
          <w:numId w:val="313"/>
        </w:numPr>
        <w:suppressAutoHyphens/>
        <w:ind w:left="567" w:hanging="283"/>
        <w:rPr>
          <w:rFonts w:ascii="Calibri" w:hAnsi="Calibri" w:cs="Calibri"/>
          <w:bCs/>
          <w:kern w:val="1"/>
          <w:sz w:val="20"/>
          <w:szCs w:val="20"/>
          <w:lang w:eastAsia="ar-SA"/>
        </w:rPr>
      </w:pPr>
      <w:r w:rsidRPr="00F10564">
        <w:rPr>
          <w:rFonts w:ascii="Calibri" w:hAnsi="Calibri" w:cs="Calibri"/>
          <w:bCs/>
          <w:kern w:val="1"/>
          <w:sz w:val="20"/>
          <w:szCs w:val="20"/>
          <w:lang w:eastAsia="ar-SA"/>
        </w:rPr>
        <w:t>podpora miestneho rozvoja vo vidieckych oblastiach</w:t>
      </w:r>
    </w:p>
    <w:p w:rsidR="00F10564" w:rsidRPr="00F10564" w:rsidRDefault="00F10564" w:rsidP="00CE203B">
      <w:pPr>
        <w:pStyle w:val="Odsekzoznamu"/>
        <w:numPr>
          <w:ilvl w:val="1"/>
          <w:numId w:val="313"/>
        </w:numPr>
        <w:suppressAutoHyphens/>
        <w:ind w:left="567" w:hanging="283"/>
        <w:rPr>
          <w:rFonts w:ascii="Calibri" w:hAnsi="Calibri" w:cs="Calibri"/>
          <w:bCs/>
          <w:kern w:val="1"/>
          <w:sz w:val="20"/>
          <w:szCs w:val="20"/>
          <w:lang w:eastAsia="ar-SA"/>
        </w:rPr>
      </w:pPr>
      <w:r w:rsidRPr="00F10564">
        <w:rPr>
          <w:rFonts w:ascii="Calibri" w:hAnsi="Calibri" w:cs="Calibri"/>
          <w:bCs/>
          <w:kern w:val="1"/>
          <w:sz w:val="20"/>
          <w:szCs w:val="20"/>
          <w:lang w:eastAsia="ar-SA"/>
        </w:rPr>
        <w:t>rozšírenie prístupnosti, využívania a kvality informačných a komunikačných technológií (IKT) vo vidieckych oblastiach</w:t>
      </w:r>
    </w:p>
    <w:p w:rsidR="008676F9" w:rsidRDefault="008676F9" w:rsidP="00F14F63">
      <w:pPr>
        <w:suppressAutoHyphens/>
        <w:rPr>
          <w:rFonts w:ascii="Calibri" w:eastAsia="SimSun" w:hAnsi="Calibri" w:cs="Calibri"/>
          <w:bCs/>
          <w:kern w:val="1"/>
          <w:szCs w:val="22"/>
          <w:lang w:eastAsia="ar-SA"/>
        </w:rPr>
      </w:pPr>
    </w:p>
    <w:p w:rsidR="00997BE5" w:rsidRPr="008676F9" w:rsidRDefault="00997BE5" w:rsidP="00F14F63">
      <w:pPr>
        <w:suppressAutoHyphens/>
        <w:rPr>
          <w:rFonts w:ascii="Calibri" w:eastAsia="SimSun" w:hAnsi="Calibri" w:cs="Calibri"/>
          <w:bCs/>
          <w:kern w:val="1"/>
          <w:szCs w:val="22"/>
          <w:lang w:eastAsia="ar-SA"/>
        </w:rPr>
      </w:pPr>
    </w:p>
    <w:p w:rsidR="00D9234A" w:rsidRDefault="00D9234A" w:rsidP="00D9234A">
      <w:pPr>
        <w:suppressAutoHyphens/>
        <w:rPr>
          <w:rFonts w:ascii="Calibri" w:eastAsia="SimSun" w:hAnsi="Calibri" w:cs="Calibri"/>
          <w:bCs/>
          <w:kern w:val="1"/>
          <w:szCs w:val="22"/>
          <w:lang w:eastAsia="ar-SA"/>
        </w:rPr>
      </w:pPr>
      <w:r w:rsidRPr="008676F9">
        <w:rPr>
          <w:rFonts w:ascii="Calibri" w:eastAsia="SimSun" w:hAnsi="Calibri" w:cs="Calibri"/>
          <w:bCs/>
          <w:kern w:val="1"/>
          <w:szCs w:val="22"/>
          <w:lang w:eastAsia="ar-SA"/>
        </w:rPr>
        <w:t xml:space="preserve">Pre naplnenie uvedených priorít budú MAS môcť prispievať prostredníctvom opatrení v súlade s nariadením (EÚ) č. 1305/2013, pričom niektoré opatrenia budú pre MAS otvorené, t.z. budú môcť byť </w:t>
      </w:r>
      <w:r>
        <w:rPr>
          <w:rFonts w:ascii="Calibri" w:eastAsia="SimSun" w:hAnsi="Calibri" w:cs="Calibri"/>
          <w:bCs/>
          <w:kern w:val="1"/>
          <w:szCs w:val="22"/>
          <w:lang w:eastAsia="ar-SA"/>
        </w:rPr>
        <w:t>strategicky naplánované</w:t>
      </w:r>
      <w:r w:rsidRPr="008676F9">
        <w:rPr>
          <w:rFonts w:ascii="Calibri" w:eastAsia="SimSun" w:hAnsi="Calibri" w:cs="Calibri"/>
          <w:bCs/>
          <w:kern w:val="1"/>
          <w:szCs w:val="22"/>
          <w:lang w:eastAsia="ar-SA"/>
        </w:rPr>
        <w:t xml:space="preserve"> nad rámec štandardných opatrení v PRV (iné činnosti, iný beneficienti a pod.), niektoré budú </w:t>
      </w:r>
      <w:r>
        <w:rPr>
          <w:rFonts w:ascii="Calibri" w:eastAsia="SimSun" w:hAnsi="Calibri" w:cs="Calibri"/>
          <w:bCs/>
          <w:kern w:val="1"/>
          <w:szCs w:val="22"/>
          <w:lang w:eastAsia="ar-SA"/>
        </w:rPr>
        <w:t>strategicky naplánované</w:t>
      </w:r>
      <w:r w:rsidRPr="008676F9">
        <w:rPr>
          <w:rFonts w:ascii="Calibri" w:eastAsia="SimSun" w:hAnsi="Calibri" w:cs="Calibri"/>
          <w:bCs/>
          <w:kern w:val="1"/>
          <w:szCs w:val="22"/>
          <w:lang w:eastAsia="ar-SA"/>
        </w:rPr>
        <w:t xml:space="preserve"> v medziach opatrení v PRV a iné budú pre MAS neoprávnené. Navyše majú možnosť MAS zahrnúť do stratégií aj 1 opatrenie, ktoré nie je súčasťou PRV. Opatrenia, ktoré môžu byť MAS </w:t>
      </w:r>
      <w:r>
        <w:rPr>
          <w:rFonts w:ascii="Calibri" w:eastAsia="SimSun" w:hAnsi="Calibri" w:cs="Calibri"/>
          <w:bCs/>
          <w:kern w:val="1"/>
          <w:szCs w:val="22"/>
          <w:lang w:eastAsia="ar-SA"/>
        </w:rPr>
        <w:t>strategicky naplánované</w:t>
      </w:r>
      <w:r w:rsidRPr="008676F9">
        <w:rPr>
          <w:rFonts w:ascii="Calibri" w:eastAsia="SimSun" w:hAnsi="Calibri" w:cs="Calibri"/>
          <w:bCs/>
          <w:kern w:val="1"/>
          <w:szCs w:val="22"/>
          <w:lang w:eastAsia="ar-SA"/>
        </w:rPr>
        <w:t xml:space="preserve"> nad rámec opatrení v PRV, musia byť v súlade s príslušnými článkami nariadenia (EÚ) č. 1305/2013</w:t>
      </w:r>
      <w:r>
        <w:rPr>
          <w:rFonts w:ascii="Calibri" w:eastAsia="SimSun" w:hAnsi="Calibri" w:cs="Calibri"/>
          <w:bCs/>
          <w:kern w:val="1"/>
          <w:szCs w:val="22"/>
          <w:lang w:eastAsia="ar-SA"/>
        </w:rPr>
        <w:t xml:space="preserve"> a zároveň musia dodržiavať princípy komplementarity platné pre jednotlivé fondy v rámci PRV a ostatných programov (t.j. nesmú sa prekrývať s operáciami podporovanými inými programami)</w:t>
      </w:r>
      <w:r w:rsidRPr="008676F9">
        <w:rPr>
          <w:rFonts w:ascii="Calibri" w:eastAsia="SimSun" w:hAnsi="Calibri" w:cs="Calibri"/>
          <w:bCs/>
          <w:kern w:val="1"/>
          <w:szCs w:val="22"/>
          <w:lang w:eastAsia="ar-SA"/>
        </w:rPr>
        <w:t>. V zmysle uvedeného platí pre MAS nasledovné:</w:t>
      </w:r>
    </w:p>
    <w:p w:rsidR="00997BE5" w:rsidRDefault="00997BE5" w:rsidP="00D9234A">
      <w:pPr>
        <w:suppressAutoHyphens/>
        <w:rPr>
          <w:rFonts w:ascii="Calibri" w:eastAsia="SimSun" w:hAnsi="Calibri" w:cs="Calibri"/>
          <w:bCs/>
          <w:kern w:val="1"/>
          <w:szCs w:val="22"/>
          <w:lang w:eastAsia="ar-SA"/>
        </w:rPr>
      </w:pPr>
    </w:p>
    <w:p w:rsidR="00997BE5" w:rsidRDefault="00997BE5" w:rsidP="00D9234A">
      <w:pPr>
        <w:suppressAutoHyphens/>
        <w:rPr>
          <w:rFonts w:ascii="Calibri" w:eastAsia="SimSun" w:hAnsi="Calibri" w:cs="Calibri"/>
          <w:bCs/>
          <w:kern w:val="1"/>
          <w:szCs w:val="22"/>
          <w:lang w:eastAsia="ar-SA"/>
        </w:rPr>
      </w:pPr>
    </w:p>
    <w:p w:rsidR="00997BE5" w:rsidRDefault="00997BE5" w:rsidP="00D9234A">
      <w:pPr>
        <w:suppressAutoHyphens/>
        <w:rPr>
          <w:rFonts w:ascii="Calibri" w:eastAsia="SimSun" w:hAnsi="Calibri" w:cs="Calibri"/>
          <w:bCs/>
          <w:kern w:val="1"/>
          <w:szCs w:val="22"/>
          <w:lang w:eastAsia="ar-SA"/>
        </w:rPr>
      </w:pPr>
    </w:p>
    <w:p w:rsidR="00997BE5" w:rsidRPr="008676F9" w:rsidRDefault="00997BE5" w:rsidP="00D9234A">
      <w:pPr>
        <w:suppressAutoHyphens/>
        <w:rPr>
          <w:rFonts w:ascii="Calibri" w:eastAsia="SimSun" w:hAnsi="Calibri" w:cs="Calibri"/>
          <w:bCs/>
          <w:kern w:val="1"/>
          <w:szCs w:val="22"/>
          <w:lang w:eastAsia="ar-SA"/>
        </w:rPr>
      </w:pPr>
    </w:p>
    <w:p w:rsidR="00D9234A" w:rsidRPr="008676F9" w:rsidRDefault="00D9234A" w:rsidP="00D9234A">
      <w:pPr>
        <w:suppressAutoHyphens/>
        <w:rPr>
          <w:rFonts w:ascii="Calibri" w:eastAsia="SimSun" w:hAnsi="Calibri" w:cs="Calibri"/>
          <w:bCs/>
          <w:kern w:val="1"/>
          <w:szCs w:val="22"/>
          <w:lang w:eastAsia="ar-SA"/>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03"/>
        <w:gridCol w:w="7985"/>
      </w:tblGrid>
      <w:tr w:rsidR="008676F9" w:rsidRPr="00D578E2" w:rsidTr="00D578E2">
        <w:tc>
          <w:tcPr>
            <w:tcW w:w="1303" w:type="dxa"/>
            <w:shd w:val="clear" w:color="auto" w:fill="F2DBDB"/>
            <w:vAlign w:val="center"/>
          </w:tcPr>
          <w:p w:rsidR="008676F9" w:rsidRPr="00D578E2" w:rsidRDefault="008676F9" w:rsidP="00F14F63">
            <w:pPr>
              <w:suppressAutoHyphens/>
              <w:jc w:val="center"/>
              <w:rPr>
                <w:rFonts w:ascii="Calibri" w:eastAsia="Calibri" w:hAnsi="Calibri" w:cs="Calibri"/>
                <w:bCs/>
                <w:kern w:val="1"/>
                <w:sz w:val="20"/>
                <w:szCs w:val="20"/>
                <w:lang w:eastAsia="ar-SA"/>
              </w:rPr>
            </w:pPr>
            <w:r w:rsidRPr="00D578E2">
              <w:rPr>
                <w:rFonts w:ascii="Calibri" w:eastAsia="Calibri" w:hAnsi="Calibri" w:cs="Calibri"/>
                <w:bCs/>
                <w:kern w:val="1"/>
                <w:sz w:val="20"/>
                <w:szCs w:val="20"/>
                <w:lang w:eastAsia="ar-SA"/>
              </w:rPr>
              <w:t>Článok z nariadenia (EÚ) č. 1305/2013</w:t>
            </w:r>
          </w:p>
        </w:tc>
        <w:tc>
          <w:tcPr>
            <w:tcW w:w="7985" w:type="dxa"/>
            <w:shd w:val="clear" w:color="auto" w:fill="F2DBDB"/>
            <w:vAlign w:val="center"/>
          </w:tcPr>
          <w:p w:rsidR="008676F9" w:rsidRPr="00D578E2" w:rsidRDefault="008676F9" w:rsidP="00F14F63">
            <w:pPr>
              <w:suppressAutoHyphens/>
              <w:jc w:val="center"/>
              <w:rPr>
                <w:rFonts w:ascii="Calibri" w:eastAsia="Calibri" w:hAnsi="Calibri" w:cs="Calibri"/>
                <w:bCs/>
                <w:kern w:val="1"/>
                <w:sz w:val="20"/>
                <w:szCs w:val="20"/>
                <w:lang w:eastAsia="ar-SA"/>
              </w:rPr>
            </w:pPr>
            <w:r w:rsidRPr="00D578E2">
              <w:rPr>
                <w:rFonts w:ascii="Calibri" w:eastAsia="Calibri" w:hAnsi="Calibri" w:cs="Calibri"/>
                <w:bCs/>
                <w:kern w:val="1"/>
                <w:sz w:val="20"/>
                <w:szCs w:val="20"/>
                <w:lang w:eastAsia="ar-SA"/>
              </w:rPr>
              <w:t>Opatrenie</w:t>
            </w:r>
          </w:p>
        </w:tc>
      </w:tr>
      <w:tr w:rsidR="00D9234A" w:rsidRPr="00D578E2" w:rsidTr="00D578E2">
        <w:tc>
          <w:tcPr>
            <w:tcW w:w="1303" w:type="dxa"/>
            <w:shd w:val="clear" w:color="auto" w:fill="auto"/>
          </w:tcPr>
          <w:p w:rsidR="00D9234A" w:rsidRPr="00D578E2" w:rsidRDefault="00D9234A" w:rsidP="00F14F63">
            <w:pPr>
              <w:suppressAutoHyphens/>
              <w:jc w:val="center"/>
              <w:rPr>
                <w:rFonts w:ascii="Calibri" w:eastAsia="Calibri" w:hAnsi="Calibri" w:cs="Calibri"/>
                <w:bCs/>
                <w:kern w:val="1"/>
                <w:sz w:val="20"/>
                <w:szCs w:val="20"/>
                <w:lang w:eastAsia="ar-SA"/>
              </w:rPr>
            </w:pPr>
          </w:p>
        </w:tc>
        <w:tc>
          <w:tcPr>
            <w:tcW w:w="7985" w:type="dxa"/>
            <w:shd w:val="clear" w:color="auto" w:fill="auto"/>
          </w:tcPr>
          <w:p w:rsidR="00D9234A" w:rsidRPr="00D578E2" w:rsidRDefault="00D9234A" w:rsidP="00D9234A">
            <w:pPr>
              <w:suppressAutoHyphens/>
              <w:rPr>
                <w:rFonts w:ascii="Calibri" w:eastAsia="Calibri" w:hAnsi="Calibri" w:cs="Calibri"/>
                <w:b/>
                <w:bCs/>
                <w:kern w:val="1"/>
                <w:sz w:val="20"/>
                <w:szCs w:val="20"/>
                <w:lang w:eastAsia="ar-SA"/>
              </w:rPr>
            </w:pPr>
            <w:r w:rsidRPr="00D578E2">
              <w:rPr>
                <w:rFonts w:ascii="Calibri" w:eastAsia="Calibri" w:hAnsi="Calibri" w:cs="Calibri"/>
                <w:b/>
                <w:bCs/>
                <w:kern w:val="1"/>
                <w:sz w:val="20"/>
                <w:szCs w:val="20"/>
                <w:lang w:eastAsia="ar-SA"/>
              </w:rPr>
              <w:t>Opatrenie, ktoré nie je súčasťou PRV, ale je oprávnené v rámci stratégií MAS</w:t>
            </w:r>
          </w:p>
        </w:tc>
      </w:tr>
      <w:tr w:rsidR="00D9234A" w:rsidRPr="00D578E2" w:rsidTr="00D578E2">
        <w:tc>
          <w:tcPr>
            <w:tcW w:w="1303" w:type="dxa"/>
            <w:shd w:val="clear" w:color="auto" w:fill="auto"/>
          </w:tcPr>
          <w:p w:rsidR="00D9234A" w:rsidRPr="00D578E2" w:rsidRDefault="00D9234A" w:rsidP="00F14F63">
            <w:pPr>
              <w:suppressAutoHyphens/>
              <w:jc w:val="center"/>
              <w:rPr>
                <w:rFonts w:ascii="Calibri" w:eastAsia="Calibri" w:hAnsi="Calibri" w:cs="Calibri"/>
                <w:bCs/>
                <w:kern w:val="1"/>
                <w:sz w:val="20"/>
                <w:szCs w:val="20"/>
                <w:lang w:eastAsia="ar-SA"/>
              </w:rPr>
            </w:pPr>
            <w:r w:rsidRPr="00D578E2">
              <w:rPr>
                <w:rFonts w:ascii="Calibri" w:eastAsia="Calibri" w:hAnsi="Calibri" w:cs="Calibri"/>
                <w:bCs/>
                <w:kern w:val="1"/>
                <w:sz w:val="20"/>
                <w:szCs w:val="20"/>
                <w:lang w:eastAsia="ar-SA"/>
              </w:rPr>
              <w:t>16</w:t>
            </w:r>
          </w:p>
        </w:tc>
        <w:tc>
          <w:tcPr>
            <w:tcW w:w="7985" w:type="dxa"/>
            <w:shd w:val="clear" w:color="auto" w:fill="auto"/>
          </w:tcPr>
          <w:p w:rsidR="00D9234A" w:rsidRPr="00D578E2" w:rsidRDefault="00D9234A" w:rsidP="00D9234A">
            <w:pPr>
              <w:suppressAutoHyphens/>
              <w:rPr>
                <w:rFonts w:ascii="Calibri" w:eastAsia="Calibri" w:hAnsi="Calibri" w:cs="Calibri"/>
                <w:bCs/>
                <w:kern w:val="1"/>
                <w:sz w:val="20"/>
                <w:szCs w:val="20"/>
                <w:lang w:eastAsia="ar-SA"/>
              </w:rPr>
            </w:pPr>
            <w:r w:rsidRPr="00D578E2">
              <w:rPr>
                <w:rFonts w:ascii="Calibri" w:eastAsia="Calibri" w:hAnsi="Calibri" w:cs="Calibri"/>
                <w:bCs/>
                <w:kern w:val="1"/>
                <w:sz w:val="20"/>
                <w:szCs w:val="20"/>
                <w:lang w:eastAsia="ar-SA"/>
              </w:rPr>
              <w:t>Systémy kvality poľnohospodárskych výrobkov a potravín</w:t>
            </w:r>
          </w:p>
        </w:tc>
      </w:tr>
      <w:tr w:rsidR="00D9234A" w:rsidRPr="00D578E2" w:rsidTr="00D578E2">
        <w:tc>
          <w:tcPr>
            <w:tcW w:w="1303" w:type="dxa"/>
            <w:shd w:val="clear" w:color="auto" w:fill="auto"/>
          </w:tcPr>
          <w:p w:rsidR="00D9234A" w:rsidRPr="00D578E2" w:rsidRDefault="00D9234A" w:rsidP="00F14F63">
            <w:pPr>
              <w:suppressAutoHyphens/>
              <w:jc w:val="center"/>
              <w:rPr>
                <w:rFonts w:ascii="Calibri" w:eastAsia="Calibri" w:hAnsi="Calibri" w:cs="Calibri"/>
                <w:bCs/>
                <w:kern w:val="1"/>
                <w:sz w:val="20"/>
                <w:szCs w:val="20"/>
                <w:lang w:eastAsia="ar-SA"/>
              </w:rPr>
            </w:pPr>
          </w:p>
        </w:tc>
        <w:tc>
          <w:tcPr>
            <w:tcW w:w="7985" w:type="dxa"/>
            <w:shd w:val="clear" w:color="auto" w:fill="auto"/>
          </w:tcPr>
          <w:p w:rsidR="00D9234A" w:rsidRPr="00D578E2" w:rsidRDefault="00D9234A" w:rsidP="00D9234A">
            <w:pPr>
              <w:suppressAutoHyphens/>
              <w:rPr>
                <w:rFonts w:ascii="Calibri" w:eastAsia="Calibri" w:hAnsi="Calibri" w:cs="Calibri"/>
                <w:b/>
                <w:bCs/>
                <w:kern w:val="1"/>
                <w:sz w:val="20"/>
                <w:szCs w:val="20"/>
                <w:lang w:eastAsia="ar-SA"/>
              </w:rPr>
            </w:pPr>
            <w:r w:rsidRPr="00D578E2">
              <w:rPr>
                <w:rFonts w:ascii="Calibri" w:eastAsia="Calibri" w:hAnsi="Calibri" w:cs="Calibri"/>
                <w:b/>
                <w:bCs/>
                <w:kern w:val="1"/>
                <w:sz w:val="20"/>
                <w:szCs w:val="20"/>
                <w:lang w:eastAsia="ar-SA"/>
              </w:rPr>
              <w:t xml:space="preserve">Opatrenia, ktoré môžu MAS </w:t>
            </w:r>
            <w:r>
              <w:rPr>
                <w:rFonts w:ascii="Calibri" w:eastAsia="Calibri" w:hAnsi="Calibri" w:cs="Calibri"/>
                <w:b/>
                <w:bCs/>
                <w:kern w:val="1"/>
                <w:sz w:val="20"/>
                <w:szCs w:val="20"/>
                <w:lang w:eastAsia="ar-SA"/>
              </w:rPr>
              <w:t>strategicky naplánovať</w:t>
            </w:r>
            <w:r w:rsidRPr="00D578E2">
              <w:rPr>
                <w:rFonts w:ascii="Calibri" w:eastAsia="Calibri" w:hAnsi="Calibri" w:cs="Calibri"/>
                <w:b/>
                <w:bCs/>
                <w:kern w:val="1"/>
                <w:sz w:val="20"/>
                <w:szCs w:val="20"/>
                <w:lang w:eastAsia="ar-SA"/>
              </w:rPr>
              <w:t xml:space="preserve"> nad rámec opatrení v PRV</w:t>
            </w:r>
          </w:p>
        </w:tc>
      </w:tr>
      <w:tr w:rsidR="00D9234A" w:rsidRPr="00D578E2" w:rsidTr="00D578E2">
        <w:tc>
          <w:tcPr>
            <w:tcW w:w="1303" w:type="dxa"/>
            <w:shd w:val="clear" w:color="auto" w:fill="auto"/>
          </w:tcPr>
          <w:p w:rsidR="00D9234A" w:rsidRPr="00D578E2" w:rsidRDefault="00D9234A" w:rsidP="00F14F63">
            <w:pPr>
              <w:suppressAutoHyphens/>
              <w:jc w:val="center"/>
              <w:rPr>
                <w:rFonts w:ascii="Calibri" w:eastAsia="Calibri" w:hAnsi="Calibri" w:cs="Calibri"/>
                <w:bCs/>
                <w:kern w:val="1"/>
                <w:sz w:val="20"/>
                <w:szCs w:val="20"/>
                <w:lang w:eastAsia="ar-SA"/>
              </w:rPr>
            </w:pPr>
            <w:r w:rsidRPr="00D578E2">
              <w:rPr>
                <w:rFonts w:ascii="Calibri" w:eastAsia="Calibri" w:hAnsi="Calibri" w:cs="Calibri"/>
                <w:bCs/>
                <w:kern w:val="1"/>
                <w:sz w:val="20"/>
                <w:szCs w:val="20"/>
                <w:lang w:eastAsia="ar-SA"/>
              </w:rPr>
              <w:t>17a</w:t>
            </w:r>
          </w:p>
        </w:tc>
        <w:tc>
          <w:tcPr>
            <w:tcW w:w="7985" w:type="dxa"/>
            <w:shd w:val="clear" w:color="auto" w:fill="auto"/>
          </w:tcPr>
          <w:p w:rsidR="00D9234A" w:rsidRPr="00D578E2" w:rsidRDefault="00D9234A" w:rsidP="00D9234A">
            <w:pPr>
              <w:suppressAutoHyphens/>
              <w:rPr>
                <w:rFonts w:ascii="Calibri" w:eastAsia="Calibri" w:hAnsi="Calibri" w:cs="Calibri"/>
                <w:bCs/>
                <w:kern w:val="1"/>
                <w:sz w:val="20"/>
                <w:szCs w:val="20"/>
                <w:lang w:eastAsia="ar-SA"/>
              </w:rPr>
            </w:pPr>
            <w:r w:rsidRPr="00D578E2">
              <w:rPr>
                <w:rFonts w:ascii="Calibri" w:eastAsia="Calibri" w:hAnsi="Calibri" w:cs="Calibri"/>
                <w:bCs/>
                <w:kern w:val="1"/>
                <w:sz w:val="20"/>
                <w:szCs w:val="20"/>
                <w:lang w:eastAsia="ar-SA"/>
              </w:rPr>
              <w:t>Investície do hmotného majetku - farmy</w:t>
            </w:r>
          </w:p>
        </w:tc>
      </w:tr>
      <w:tr w:rsidR="00D9234A" w:rsidRPr="00D578E2" w:rsidTr="00D578E2">
        <w:tc>
          <w:tcPr>
            <w:tcW w:w="1303" w:type="dxa"/>
            <w:shd w:val="clear" w:color="auto" w:fill="auto"/>
          </w:tcPr>
          <w:p w:rsidR="00D9234A" w:rsidRPr="00D578E2" w:rsidRDefault="00D9234A" w:rsidP="00F14F63">
            <w:pPr>
              <w:suppressAutoHyphens/>
              <w:jc w:val="center"/>
              <w:rPr>
                <w:rFonts w:ascii="Calibri" w:eastAsia="Calibri" w:hAnsi="Calibri" w:cs="Calibri"/>
                <w:bCs/>
                <w:kern w:val="1"/>
                <w:sz w:val="20"/>
                <w:szCs w:val="20"/>
                <w:lang w:eastAsia="ar-SA"/>
              </w:rPr>
            </w:pPr>
            <w:r w:rsidRPr="00D578E2">
              <w:rPr>
                <w:rFonts w:ascii="Calibri" w:eastAsia="Calibri" w:hAnsi="Calibri" w:cs="Calibri"/>
                <w:bCs/>
                <w:kern w:val="1"/>
                <w:sz w:val="20"/>
                <w:szCs w:val="20"/>
                <w:lang w:eastAsia="ar-SA"/>
              </w:rPr>
              <w:t>17b</w:t>
            </w:r>
          </w:p>
        </w:tc>
        <w:tc>
          <w:tcPr>
            <w:tcW w:w="7985" w:type="dxa"/>
            <w:shd w:val="clear" w:color="auto" w:fill="auto"/>
          </w:tcPr>
          <w:p w:rsidR="00D9234A" w:rsidRPr="00D578E2" w:rsidRDefault="00D9234A" w:rsidP="00D9234A">
            <w:pPr>
              <w:suppressAutoHyphens/>
              <w:rPr>
                <w:rFonts w:ascii="Calibri" w:eastAsia="Calibri" w:hAnsi="Calibri" w:cs="Calibri"/>
                <w:bCs/>
                <w:kern w:val="1"/>
                <w:sz w:val="20"/>
                <w:szCs w:val="20"/>
                <w:lang w:eastAsia="ar-SA"/>
              </w:rPr>
            </w:pPr>
            <w:r w:rsidRPr="00D578E2">
              <w:rPr>
                <w:rFonts w:ascii="Calibri" w:eastAsia="Calibri" w:hAnsi="Calibri" w:cs="Calibri"/>
                <w:bCs/>
                <w:kern w:val="1"/>
                <w:sz w:val="20"/>
                <w:szCs w:val="20"/>
                <w:lang w:eastAsia="ar-SA"/>
              </w:rPr>
              <w:t>Investície do hmotného majetku - spracovatelia</w:t>
            </w:r>
          </w:p>
        </w:tc>
      </w:tr>
      <w:tr w:rsidR="00D9234A" w:rsidRPr="00D578E2" w:rsidTr="00D578E2">
        <w:tc>
          <w:tcPr>
            <w:tcW w:w="1303" w:type="dxa"/>
            <w:shd w:val="clear" w:color="auto" w:fill="auto"/>
          </w:tcPr>
          <w:p w:rsidR="00D9234A" w:rsidRPr="00D578E2" w:rsidRDefault="00D9234A" w:rsidP="00F14F63">
            <w:pPr>
              <w:suppressAutoHyphens/>
              <w:jc w:val="center"/>
              <w:rPr>
                <w:rFonts w:ascii="Calibri" w:eastAsia="Calibri" w:hAnsi="Calibri" w:cs="Calibri"/>
                <w:bCs/>
                <w:kern w:val="1"/>
                <w:sz w:val="20"/>
                <w:szCs w:val="20"/>
                <w:lang w:eastAsia="ar-SA"/>
              </w:rPr>
            </w:pPr>
            <w:r w:rsidRPr="00D578E2">
              <w:rPr>
                <w:rFonts w:ascii="Calibri" w:eastAsia="Calibri" w:hAnsi="Calibri" w:cs="Calibri"/>
                <w:bCs/>
                <w:kern w:val="1"/>
                <w:sz w:val="20"/>
                <w:szCs w:val="20"/>
                <w:lang w:eastAsia="ar-SA"/>
              </w:rPr>
              <w:t>19b)</w:t>
            </w:r>
          </w:p>
        </w:tc>
        <w:tc>
          <w:tcPr>
            <w:tcW w:w="7985" w:type="dxa"/>
            <w:shd w:val="clear" w:color="auto" w:fill="auto"/>
          </w:tcPr>
          <w:p w:rsidR="00D9234A" w:rsidRPr="00D578E2" w:rsidRDefault="00D9234A" w:rsidP="00D9234A">
            <w:pPr>
              <w:suppressAutoHyphens/>
              <w:rPr>
                <w:rFonts w:ascii="Calibri" w:eastAsia="Calibri" w:hAnsi="Calibri" w:cs="Calibri"/>
                <w:bCs/>
                <w:kern w:val="1"/>
                <w:sz w:val="20"/>
                <w:szCs w:val="20"/>
                <w:lang w:eastAsia="ar-SA"/>
              </w:rPr>
            </w:pPr>
            <w:r w:rsidRPr="00D578E2">
              <w:rPr>
                <w:rFonts w:ascii="Calibri" w:eastAsia="Calibri" w:hAnsi="Calibri" w:cs="Calibri"/>
                <w:bCs/>
                <w:kern w:val="1"/>
                <w:sz w:val="20"/>
                <w:szCs w:val="20"/>
                <w:lang w:eastAsia="ar-SA"/>
              </w:rPr>
              <w:t>Podpora investícií do nepoľnohospodárskych činností</w:t>
            </w:r>
          </w:p>
        </w:tc>
      </w:tr>
      <w:tr w:rsidR="00D9234A" w:rsidRPr="00D578E2" w:rsidTr="00D578E2">
        <w:tc>
          <w:tcPr>
            <w:tcW w:w="1303" w:type="dxa"/>
            <w:shd w:val="clear" w:color="auto" w:fill="auto"/>
          </w:tcPr>
          <w:p w:rsidR="00D9234A" w:rsidRPr="00D578E2" w:rsidRDefault="00D9234A" w:rsidP="00F14F63">
            <w:pPr>
              <w:suppressAutoHyphens/>
              <w:jc w:val="center"/>
              <w:rPr>
                <w:rFonts w:ascii="Calibri" w:eastAsia="Calibri" w:hAnsi="Calibri" w:cs="Calibri"/>
                <w:bCs/>
                <w:kern w:val="1"/>
                <w:sz w:val="20"/>
                <w:szCs w:val="20"/>
                <w:lang w:eastAsia="ar-SA"/>
              </w:rPr>
            </w:pPr>
            <w:r w:rsidRPr="00D578E2">
              <w:rPr>
                <w:rFonts w:ascii="Calibri" w:eastAsia="Calibri" w:hAnsi="Calibri" w:cs="Calibri"/>
                <w:bCs/>
                <w:kern w:val="1"/>
                <w:sz w:val="20"/>
                <w:szCs w:val="20"/>
                <w:lang w:eastAsia="ar-SA"/>
              </w:rPr>
              <w:t>20</w:t>
            </w:r>
          </w:p>
        </w:tc>
        <w:tc>
          <w:tcPr>
            <w:tcW w:w="7985" w:type="dxa"/>
            <w:shd w:val="clear" w:color="auto" w:fill="auto"/>
          </w:tcPr>
          <w:p w:rsidR="00D9234A" w:rsidRPr="00D578E2" w:rsidRDefault="00D9234A" w:rsidP="00D9234A">
            <w:pPr>
              <w:suppressAutoHyphens/>
              <w:rPr>
                <w:rFonts w:ascii="Calibri" w:eastAsia="Calibri" w:hAnsi="Calibri" w:cs="Calibri"/>
                <w:bCs/>
                <w:kern w:val="1"/>
                <w:sz w:val="20"/>
                <w:szCs w:val="20"/>
                <w:lang w:eastAsia="ar-SA"/>
              </w:rPr>
            </w:pPr>
            <w:r w:rsidRPr="00D578E2">
              <w:rPr>
                <w:rFonts w:ascii="Calibri" w:eastAsia="Calibri" w:hAnsi="Calibri" w:cs="Calibri"/>
                <w:bCs/>
                <w:kern w:val="1"/>
                <w:sz w:val="20"/>
                <w:szCs w:val="20"/>
                <w:lang w:eastAsia="ar-SA"/>
              </w:rPr>
              <w:t>Základné služby a obnova dedín vo vidieckych oblastiach</w:t>
            </w:r>
          </w:p>
        </w:tc>
      </w:tr>
      <w:tr w:rsidR="00D9234A" w:rsidRPr="00D578E2" w:rsidTr="00D578E2">
        <w:tc>
          <w:tcPr>
            <w:tcW w:w="1303" w:type="dxa"/>
            <w:shd w:val="clear" w:color="auto" w:fill="auto"/>
          </w:tcPr>
          <w:p w:rsidR="00D9234A" w:rsidRPr="00D578E2" w:rsidRDefault="00D9234A" w:rsidP="00F14F63">
            <w:pPr>
              <w:suppressAutoHyphens/>
              <w:jc w:val="center"/>
              <w:rPr>
                <w:rFonts w:ascii="Calibri" w:eastAsia="Calibri" w:hAnsi="Calibri" w:cs="Calibri"/>
                <w:bCs/>
                <w:kern w:val="1"/>
                <w:sz w:val="20"/>
                <w:szCs w:val="20"/>
                <w:lang w:eastAsia="ar-SA"/>
              </w:rPr>
            </w:pPr>
            <w:r w:rsidRPr="00D578E2">
              <w:rPr>
                <w:rFonts w:ascii="Calibri" w:eastAsia="Calibri" w:hAnsi="Calibri" w:cs="Calibri"/>
                <w:bCs/>
                <w:kern w:val="1"/>
                <w:sz w:val="20"/>
                <w:szCs w:val="20"/>
                <w:lang w:eastAsia="ar-SA"/>
              </w:rPr>
              <w:t>26</w:t>
            </w:r>
          </w:p>
        </w:tc>
        <w:tc>
          <w:tcPr>
            <w:tcW w:w="7985" w:type="dxa"/>
            <w:shd w:val="clear" w:color="auto" w:fill="auto"/>
          </w:tcPr>
          <w:p w:rsidR="00D9234A" w:rsidRPr="00D578E2" w:rsidRDefault="00D9234A" w:rsidP="00D9234A">
            <w:pPr>
              <w:suppressAutoHyphens/>
              <w:rPr>
                <w:rFonts w:ascii="Calibri" w:eastAsia="Calibri" w:hAnsi="Calibri" w:cs="Calibri"/>
                <w:bCs/>
                <w:kern w:val="1"/>
                <w:sz w:val="20"/>
                <w:szCs w:val="20"/>
                <w:lang w:eastAsia="ar-SA"/>
              </w:rPr>
            </w:pPr>
            <w:r w:rsidRPr="00D578E2">
              <w:rPr>
                <w:rFonts w:ascii="Calibri" w:eastAsia="Calibri" w:hAnsi="Calibri" w:cs="Calibri"/>
                <w:bCs/>
                <w:kern w:val="1"/>
                <w:sz w:val="20"/>
                <w:szCs w:val="20"/>
                <w:lang w:eastAsia="ar-SA"/>
              </w:rPr>
              <w:t>Investície do nových lesných technológií</w:t>
            </w:r>
          </w:p>
        </w:tc>
      </w:tr>
      <w:tr w:rsidR="00D9234A" w:rsidRPr="00D578E2" w:rsidTr="00D578E2">
        <w:tc>
          <w:tcPr>
            <w:tcW w:w="1303" w:type="dxa"/>
            <w:shd w:val="clear" w:color="auto" w:fill="auto"/>
          </w:tcPr>
          <w:p w:rsidR="00D9234A" w:rsidRPr="00D578E2" w:rsidRDefault="00D9234A" w:rsidP="00F14F63">
            <w:pPr>
              <w:suppressAutoHyphens/>
              <w:jc w:val="center"/>
              <w:rPr>
                <w:rFonts w:ascii="Calibri" w:eastAsia="Calibri" w:hAnsi="Calibri" w:cs="Calibri"/>
                <w:bCs/>
                <w:kern w:val="1"/>
                <w:sz w:val="20"/>
                <w:szCs w:val="20"/>
                <w:lang w:eastAsia="ar-SA"/>
              </w:rPr>
            </w:pPr>
            <w:r w:rsidRPr="00D578E2">
              <w:rPr>
                <w:rFonts w:ascii="Calibri" w:eastAsia="Calibri" w:hAnsi="Calibri" w:cs="Calibri"/>
                <w:bCs/>
                <w:kern w:val="1"/>
                <w:sz w:val="20"/>
                <w:szCs w:val="20"/>
                <w:lang w:eastAsia="ar-SA"/>
              </w:rPr>
              <w:t>35</w:t>
            </w:r>
          </w:p>
        </w:tc>
        <w:tc>
          <w:tcPr>
            <w:tcW w:w="7985" w:type="dxa"/>
            <w:shd w:val="clear" w:color="auto" w:fill="auto"/>
          </w:tcPr>
          <w:p w:rsidR="00D9234A" w:rsidRPr="00D578E2" w:rsidRDefault="00D9234A" w:rsidP="00D9234A">
            <w:pPr>
              <w:suppressAutoHyphens/>
              <w:rPr>
                <w:rFonts w:ascii="Calibri" w:eastAsia="Calibri" w:hAnsi="Calibri" w:cs="Calibri"/>
                <w:bCs/>
                <w:kern w:val="1"/>
                <w:sz w:val="20"/>
                <w:szCs w:val="20"/>
                <w:lang w:eastAsia="ar-SA"/>
              </w:rPr>
            </w:pPr>
            <w:r w:rsidRPr="00D578E2">
              <w:rPr>
                <w:rFonts w:ascii="Calibri" w:eastAsia="Calibri" w:hAnsi="Calibri" w:cs="Calibri"/>
                <w:bCs/>
                <w:kern w:val="1"/>
                <w:sz w:val="20"/>
                <w:szCs w:val="20"/>
                <w:lang w:eastAsia="ar-SA"/>
              </w:rPr>
              <w:t>Spolupráca</w:t>
            </w:r>
          </w:p>
        </w:tc>
      </w:tr>
      <w:tr w:rsidR="00D9234A" w:rsidRPr="00D578E2" w:rsidTr="00D578E2">
        <w:tc>
          <w:tcPr>
            <w:tcW w:w="1303" w:type="dxa"/>
            <w:shd w:val="clear" w:color="auto" w:fill="auto"/>
          </w:tcPr>
          <w:p w:rsidR="00D9234A" w:rsidRPr="00D578E2" w:rsidRDefault="00D9234A" w:rsidP="00F14F63">
            <w:pPr>
              <w:suppressAutoHyphens/>
              <w:jc w:val="center"/>
              <w:rPr>
                <w:rFonts w:ascii="Calibri" w:eastAsia="Calibri" w:hAnsi="Calibri" w:cs="Calibri"/>
                <w:b/>
                <w:bCs/>
                <w:kern w:val="1"/>
                <w:sz w:val="20"/>
                <w:szCs w:val="20"/>
                <w:lang w:eastAsia="ar-SA"/>
              </w:rPr>
            </w:pPr>
          </w:p>
        </w:tc>
        <w:tc>
          <w:tcPr>
            <w:tcW w:w="7985" w:type="dxa"/>
            <w:shd w:val="clear" w:color="auto" w:fill="auto"/>
          </w:tcPr>
          <w:p w:rsidR="00D9234A" w:rsidRPr="00D578E2" w:rsidRDefault="00D9234A" w:rsidP="00D9234A">
            <w:pPr>
              <w:suppressAutoHyphens/>
              <w:rPr>
                <w:rFonts w:ascii="Calibri" w:eastAsia="Calibri" w:hAnsi="Calibri" w:cs="Calibri"/>
                <w:b/>
                <w:bCs/>
                <w:kern w:val="1"/>
                <w:sz w:val="20"/>
                <w:szCs w:val="20"/>
                <w:lang w:eastAsia="ar-SA"/>
              </w:rPr>
            </w:pPr>
            <w:r w:rsidRPr="00D578E2">
              <w:rPr>
                <w:rFonts w:ascii="Calibri" w:eastAsia="Calibri" w:hAnsi="Calibri" w:cs="Calibri"/>
                <w:b/>
                <w:bCs/>
                <w:kern w:val="1"/>
                <w:sz w:val="20"/>
                <w:szCs w:val="20"/>
                <w:lang w:eastAsia="ar-SA"/>
              </w:rPr>
              <w:t xml:space="preserve">Opatrenia, ktoré môžu MAS </w:t>
            </w:r>
            <w:r>
              <w:rPr>
                <w:rFonts w:ascii="Calibri" w:eastAsia="Calibri" w:hAnsi="Calibri" w:cs="Calibri"/>
                <w:b/>
                <w:bCs/>
                <w:kern w:val="1"/>
                <w:sz w:val="20"/>
                <w:szCs w:val="20"/>
                <w:lang w:eastAsia="ar-SA"/>
              </w:rPr>
              <w:t>strategicky naplánovať</w:t>
            </w:r>
            <w:r w:rsidRPr="00D578E2">
              <w:rPr>
                <w:rFonts w:ascii="Calibri" w:eastAsia="Calibri" w:hAnsi="Calibri" w:cs="Calibri"/>
                <w:b/>
                <w:bCs/>
                <w:kern w:val="1"/>
                <w:sz w:val="20"/>
                <w:szCs w:val="20"/>
                <w:lang w:eastAsia="ar-SA"/>
              </w:rPr>
              <w:t xml:space="preserve"> len v medziach opatrení v PRV</w:t>
            </w:r>
          </w:p>
        </w:tc>
      </w:tr>
      <w:tr w:rsidR="00D9234A" w:rsidRPr="00D578E2" w:rsidTr="00D578E2">
        <w:tc>
          <w:tcPr>
            <w:tcW w:w="1303" w:type="dxa"/>
            <w:shd w:val="clear" w:color="auto" w:fill="auto"/>
          </w:tcPr>
          <w:p w:rsidR="00D9234A" w:rsidRPr="00D578E2" w:rsidRDefault="00D9234A" w:rsidP="00F14F63">
            <w:pPr>
              <w:suppressAutoHyphens/>
              <w:jc w:val="center"/>
              <w:rPr>
                <w:rFonts w:ascii="Calibri" w:eastAsia="Calibri" w:hAnsi="Calibri" w:cs="Calibri"/>
                <w:bCs/>
                <w:kern w:val="1"/>
                <w:sz w:val="20"/>
                <w:szCs w:val="20"/>
                <w:lang w:eastAsia="ar-SA"/>
              </w:rPr>
            </w:pPr>
            <w:r w:rsidRPr="00D578E2">
              <w:rPr>
                <w:rFonts w:ascii="Calibri" w:eastAsia="Calibri" w:hAnsi="Calibri" w:cs="Calibri"/>
                <w:bCs/>
                <w:kern w:val="1"/>
                <w:sz w:val="20"/>
                <w:szCs w:val="20"/>
                <w:lang w:eastAsia="ar-SA"/>
              </w:rPr>
              <w:t>14</w:t>
            </w:r>
          </w:p>
        </w:tc>
        <w:tc>
          <w:tcPr>
            <w:tcW w:w="7985" w:type="dxa"/>
            <w:shd w:val="clear" w:color="auto" w:fill="auto"/>
          </w:tcPr>
          <w:p w:rsidR="00D9234A" w:rsidRPr="00D578E2" w:rsidRDefault="00D9234A" w:rsidP="00D9234A">
            <w:pPr>
              <w:suppressAutoHyphens/>
              <w:rPr>
                <w:rFonts w:ascii="Calibri" w:eastAsia="Calibri" w:hAnsi="Calibri" w:cs="Calibri"/>
                <w:bCs/>
                <w:kern w:val="1"/>
                <w:sz w:val="20"/>
                <w:szCs w:val="20"/>
                <w:lang w:eastAsia="ar-SA"/>
              </w:rPr>
            </w:pPr>
            <w:r w:rsidRPr="00D578E2">
              <w:rPr>
                <w:rFonts w:ascii="Calibri" w:eastAsia="Calibri" w:hAnsi="Calibri" w:cs="Calibri"/>
                <w:bCs/>
                <w:kern w:val="1"/>
                <w:sz w:val="20"/>
                <w:szCs w:val="20"/>
                <w:lang w:eastAsia="ar-SA"/>
              </w:rPr>
              <w:t>Prenos znalostí a informačné akcie</w:t>
            </w:r>
          </w:p>
        </w:tc>
      </w:tr>
      <w:tr w:rsidR="00D9234A" w:rsidRPr="00D578E2" w:rsidTr="00D578E2">
        <w:tc>
          <w:tcPr>
            <w:tcW w:w="1303" w:type="dxa"/>
            <w:shd w:val="clear" w:color="auto" w:fill="auto"/>
          </w:tcPr>
          <w:p w:rsidR="00D9234A" w:rsidRPr="00D578E2" w:rsidRDefault="00D9234A" w:rsidP="00F14F63">
            <w:pPr>
              <w:suppressAutoHyphens/>
              <w:jc w:val="center"/>
              <w:rPr>
                <w:rFonts w:ascii="Calibri" w:eastAsia="Calibri" w:hAnsi="Calibri" w:cs="Calibri"/>
                <w:bCs/>
                <w:kern w:val="1"/>
                <w:sz w:val="20"/>
                <w:szCs w:val="20"/>
                <w:lang w:eastAsia="ar-SA"/>
              </w:rPr>
            </w:pPr>
            <w:r w:rsidRPr="00D578E2">
              <w:rPr>
                <w:rFonts w:ascii="Calibri" w:eastAsia="Calibri" w:hAnsi="Calibri" w:cs="Calibri"/>
                <w:bCs/>
                <w:kern w:val="1"/>
                <w:sz w:val="20"/>
                <w:szCs w:val="20"/>
                <w:lang w:eastAsia="ar-SA"/>
              </w:rPr>
              <w:t>17c2</w:t>
            </w:r>
          </w:p>
        </w:tc>
        <w:tc>
          <w:tcPr>
            <w:tcW w:w="7985" w:type="dxa"/>
            <w:shd w:val="clear" w:color="auto" w:fill="auto"/>
          </w:tcPr>
          <w:p w:rsidR="00D9234A" w:rsidRPr="00D578E2" w:rsidRDefault="00D9234A" w:rsidP="00D9234A">
            <w:pPr>
              <w:suppressAutoHyphens/>
              <w:rPr>
                <w:rFonts w:ascii="Calibri" w:eastAsia="Calibri" w:hAnsi="Calibri" w:cs="Calibri"/>
                <w:bCs/>
                <w:kern w:val="1"/>
                <w:sz w:val="20"/>
                <w:szCs w:val="20"/>
                <w:lang w:eastAsia="ar-SA"/>
              </w:rPr>
            </w:pPr>
            <w:r w:rsidRPr="00D578E2">
              <w:rPr>
                <w:rFonts w:ascii="Calibri" w:eastAsia="Calibri" w:hAnsi="Calibri" w:cs="Calibri"/>
                <w:bCs/>
                <w:kern w:val="1"/>
                <w:sz w:val="20"/>
                <w:szCs w:val="20"/>
                <w:lang w:eastAsia="ar-SA"/>
              </w:rPr>
              <w:t>Investície do hmotného majetku – infraštruktúra/prístup k lesnej pôde</w:t>
            </w:r>
          </w:p>
        </w:tc>
      </w:tr>
      <w:tr w:rsidR="00D9234A" w:rsidRPr="00D578E2" w:rsidTr="00D578E2">
        <w:tc>
          <w:tcPr>
            <w:tcW w:w="1303" w:type="dxa"/>
            <w:shd w:val="clear" w:color="auto" w:fill="auto"/>
          </w:tcPr>
          <w:p w:rsidR="00D9234A" w:rsidRPr="00D578E2" w:rsidRDefault="00D9234A" w:rsidP="00F14F63">
            <w:pPr>
              <w:suppressAutoHyphens/>
              <w:jc w:val="center"/>
              <w:rPr>
                <w:rFonts w:ascii="Calibri" w:eastAsia="Calibri" w:hAnsi="Calibri" w:cs="Calibri"/>
                <w:bCs/>
                <w:kern w:val="1"/>
                <w:sz w:val="20"/>
                <w:szCs w:val="20"/>
                <w:lang w:eastAsia="ar-SA"/>
              </w:rPr>
            </w:pPr>
            <w:r w:rsidRPr="00D578E2">
              <w:rPr>
                <w:rFonts w:ascii="Calibri" w:eastAsia="Calibri" w:hAnsi="Calibri" w:cs="Calibri"/>
                <w:bCs/>
                <w:kern w:val="1"/>
                <w:sz w:val="20"/>
                <w:szCs w:val="20"/>
                <w:lang w:eastAsia="ar-SA"/>
              </w:rPr>
              <w:t>17d</w:t>
            </w:r>
          </w:p>
        </w:tc>
        <w:tc>
          <w:tcPr>
            <w:tcW w:w="7985" w:type="dxa"/>
            <w:shd w:val="clear" w:color="auto" w:fill="auto"/>
          </w:tcPr>
          <w:p w:rsidR="00D9234A" w:rsidRPr="00D578E2" w:rsidRDefault="00D9234A" w:rsidP="00D9234A">
            <w:pPr>
              <w:suppressAutoHyphens/>
              <w:rPr>
                <w:rFonts w:ascii="Calibri" w:eastAsia="Calibri" w:hAnsi="Calibri" w:cs="Calibri"/>
                <w:bCs/>
                <w:kern w:val="1"/>
                <w:sz w:val="20"/>
                <w:szCs w:val="20"/>
                <w:lang w:eastAsia="ar-SA"/>
              </w:rPr>
            </w:pPr>
            <w:r w:rsidRPr="00D578E2">
              <w:rPr>
                <w:rFonts w:ascii="Calibri" w:eastAsia="Calibri" w:hAnsi="Calibri" w:cs="Calibri"/>
                <w:bCs/>
                <w:kern w:val="1"/>
                <w:sz w:val="20"/>
                <w:szCs w:val="20"/>
                <w:lang w:eastAsia="ar-SA"/>
              </w:rPr>
              <w:t>Investície do hmotného majetku – neproduktívne investície v poľnohospodárstve</w:t>
            </w:r>
          </w:p>
        </w:tc>
      </w:tr>
      <w:tr w:rsidR="00D9234A" w:rsidRPr="00D578E2" w:rsidTr="00D578E2">
        <w:tc>
          <w:tcPr>
            <w:tcW w:w="1303" w:type="dxa"/>
            <w:shd w:val="clear" w:color="auto" w:fill="auto"/>
          </w:tcPr>
          <w:p w:rsidR="00D9234A" w:rsidRPr="00D578E2" w:rsidRDefault="00D9234A" w:rsidP="00F14F63">
            <w:pPr>
              <w:suppressAutoHyphens/>
              <w:jc w:val="center"/>
              <w:rPr>
                <w:rFonts w:ascii="Calibri" w:eastAsia="Calibri" w:hAnsi="Calibri" w:cs="Calibri"/>
                <w:bCs/>
                <w:kern w:val="1"/>
                <w:sz w:val="20"/>
                <w:szCs w:val="20"/>
                <w:lang w:eastAsia="ar-SA"/>
              </w:rPr>
            </w:pPr>
            <w:r w:rsidRPr="00D578E2">
              <w:rPr>
                <w:rFonts w:ascii="Calibri" w:eastAsia="Calibri" w:hAnsi="Calibri" w:cs="Calibri"/>
                <w:bCs/>
                <w:kern w:val="1"/>
                <w:sz w:val="20"/>
                <w:szCs w:val="20"/>
                <w:lang w:eastAsia="ar-SA"/>
              </w:rPr>
              <w:t>19a</w:t>
            </w:r>
          </w:p>
        </w:tc>
        <w:tc>
          <w:tcPr>
            <w:tcW w:w="7985" w:type="dxa"/>
            <w:shd w:val="clear" w:color="auto" w:fill="auto"/>
          </w:tcPr>
          <w:p w:rsidR="00D9234A" w:rsidRPr="00D578E2" w:rsidRDefault="00D9234A" w:rsidP="00D9234A">
            <w:pPr>
              <w:suppressAutoHyphens/>
              <w:rPr>
                <w:rFonts w:ascii="Calibri" w:eastAsia="Calibri" w:hAnsi="Calibri" w:cs="Calibri"/>
                <w:bCs/>
                <w:kern w:val="1"/>
                <w:sz w:val="20"/>
                <w:szCs w:val="20"/>
                <w:lang w:eastAsia="ar-SA"/>
              </w:rPr>
            </w:pPr>
            <w:r w:rsidRPr="00D578E2">
              <w:rPr>
                <w:rFonts w:ascii="Calibri" w:eastAsia="Calibri" w:hAnsi="Calibri" w:cs="Calibri"/>
                <w:bCs/>
                <w:kern w:val="1"/>
                <w:sz w:val="20"/>
                <w:szCs w:val="20"/>
                <w:lang w:eastAsia="ar-SA"/>
              </w:rPr>
              <w:t>Podpora mladých farmárov a malých fariem</w:t>
            </w:r>
          </w:p>
        </w:tc>
      </w:tr>
      <w:tr w:rsidR="00D9234A" w:rsidRPr="00D578E2" w:rsidTr="00D578E2">
        <w:tc>
          <w:tcPr>
            <w:tcW w:w="1303" w:type="dxa"/>
            <w:shd w:val="clear" w:color="auto" w:fill="auto"/>
          </w:tcPr>
          <w:p w:rsidR="00D9234A" w:rsidRPr="00D578E2" w:rsidRDefault="00D9234A" w:rsidP="00F14F63">
            <w:pPr>
              <w:suppressAutoHyphens/>
              <w:rPr>
                <w:rFonts w:ascii="Calibri" w:eastAsia="Calibri" w:hAnsi="Calibri" w:cs="Calibri"/>
                <w:bCs/>
                <w:kern w:val="1"/>
                <w:sz w:val="20"/>
                <w:szCs w:val="20"/>
                <w:lang w:eastAsia="ar-SA"/>
              </w:rPr>
            </w:pPr>
          </w:p>
        </w:tc>
        <w:tc>
          <w:tcPr>
            <w:tcW w:w="7985" w:type="dxa"/>
            <w:shd w:val="clear" w:color="auto" w:fill="auto"/>
          </w:tcPr>
          <w:p w:rsidR="00D9234A" w:rsidRPr="00D578E2" w:rsidRDefault="00D9234A" w:rsidP="00D9234A">
            <w:pPr>
              <w:suppressAutoHyphens/>
              <w:rPr>
                <w:rFonts w:ascii="Calibri" w:eastAsia="Calibri" w:hAnsi="Calibri" w:cs="Calibri"/>
                <w:b/>
                <w:bCs/>
                <w:kern w:val="1"/>
                <w:sz w:val="20"/>
                <w:szCs w:val="20"/>
                <w:lang w:eastAsia="ar-SA"/>
              </w:rPr>
            </w:pPr>
            <w:r w:rsidRPr="00D578E2">
              <w:rPr>
                <w:rFonts w:ascii="Calibri" w:eastAsia="Calibri" w:hAnsi="Calibri" w:cs="Calibri"/>
                <w:b/>
                <w:bCs/>
                <w:kern w:val="1"/>
                <w:sz w:val="20"/>
                <w:szCs w:val="20"/>
                <w:lang w:eastAsia="ar-SA"/>
              </w:rPr>
              <w:t xml:space="preserve">Opatrenia, ktoré sú súčasťou PRV, ale nie sú oprávnené na </w:t>
            </w:r>
            <w:r>
              <w:rPr>
                <w:rFonts w:ascii="Calibri" w:eastAsia="Calibri" w:hAnsi="Calibri" w:cs="Calibri"/>
                <w:b/>
                <w:bCs/>
                <w:kern w:val="1"/>
                <w:sz w:val="20"/>
                <w:szCs w:val="20"/>
                <w:lang w:eastAsia="ar-SA"/>
              </w:rPr>
              <w:t>strategické plánovanie</w:t>
            </w:r>
            <w:r w:rsidRPr="00D578E2">
              <w:rPr>
                <w:rFonts w:ascii="Calibri" w:eastAsia="Calibri" w:hAnsi="Calibri" w:cs="Calibri"/>
                <w:b/>
                <w:bCs/>
                <w:kern w:val="1"/>
                <w:sz w:val="20"/>
                <w:szCs w:val="20"/>
                <w:lang w:eastAsia="ar-SA"/>
              </w:rPr>
              <w:t xml:space="preserve"> pre MAS v rámci opatrenia LEADER</w:t>
            </w:r>
          </w:p>
        </w:tc>
      </w:tr>
      <w:tr w:rsidR="00D9234A" w:rsidRPr="00D578E2" w:rsidTr="00D578E2">
        <w:tc>
          <w:tcPr>
            <w:tcW w:w="1303" w:type="dxa"/>
            <w:shd w:val="clear" w:color="auto" w:fill="auto"/>
          </w:tcPr>
          <w:p w:rsidR="00D9234A" w:rsidRPr="00D578E2" w:rsidRDefault="00D9234A" w:rsidP="00F14F63">
            <w:pPr>
              <w:suppressAutoHyphens/>
              <w:jc w:val="center"/>
              <w:rPr>
                <w:rFonts w:ascii="Calibri" w:eastAsia="Calibri" w:hAnsi="Calibri" w:cs="Calibri"/>
                <w:bCs/>
                <w:kern w:val="1"/>
                <w:sz w:val="20"/>
                <w:szCs w:val="20"/>
                <w:lang w:eastAsia="ar-SA"/>
              </w:rPr>
            </w:pPr>
            <w:r w:rsidRPr="00D578E2">
              <w:rPr>
                <w:rFonts w:ascii="Calibri" w:eastAsia="Calibri" w:hAnsi="Calibri" w:cs="Calibri"/>
                <w:bCs/>
                <w:kern w:val="1"/>
                <w:sz w:val="20"/>
                <w:szCs w:val="20"/>
                <w:lang w:eastAsia="ar-SA"/>
              </w:rPr>
              <w:t>15</w:t>
            </w:r>
          </w:p>
        </w:tc>
        <w:tc>
          <w:tcPr>
            <w:tcW w:w="7985" w:type="dxa"/>
            <w:shd w:val="clear" w:color="auto" w:fill="auto"/>
          </w:tcPr>
          <w:p w:rsidR="00D9234A" w:rsidRPr="00D578E2" w:rsidRDefault="00D9234A" w:rsidP="00D9234A">
            <w:pPr>
              <w:suppressAutoHyphens/>
              <w:rPr>
                <w:rFonts w:ascii="Calibri" w:eastAsia="Calibri" w:hAnsi="Calibri" w:cs="Calibri"/>
                <w:bCs/>
                <w:kern w:val="1"/>
                <w:sz w:val="20"/>
                <w:szCs w:val="20"/>
                <w:lang w:eastAsia="ar-SA"/>
              </w:rPr>
            </w:pPr>
            <w:r w:rsidRPr="00D578E2">
              <w:rPr>
                <w:rFonts w:ascii="Calibri" w:eastAsia="Calibri" w:hAnsi="Calibri" w:cs="Calibri"/>
                <w:bCs/>
                <w:kern w:val="1"/>
                <w:sz w:val="20"/>
                <w:szCs w:val="20"/>
                <w:lang w:eastAsia="ar-SA"/>
              </w:rPr>
              <w:t>Poradenské služby</w:t>
            </w:r>
          </w:p>
        </w:tc>
      </w:tr>
      <w:tr w:rsidR="00D9234A" w:rsidRPr="00D578E2" w:rsidTr="00D578E2">
        <w:tc>
          <w:tcPr>
            <w:tcW w:w="1303" w:type="dxa"/>
            <w:shd w:val="clear" w:color="auto" w:fill="auto"/>
          </w:tcPr>
          <w:p w:rsidR="00D9234A" w:rsidRPr="00D578E2" w:rsidRDefault="00D9234A" w:rsidP="00F14F63">
            <w:pPr>
              <w:suppressAutoHyphens/>
              <w:jc w:val="center"/>
              <w:rPr>
                <w:rFonts w:ascii="Calibri" w:eastAsia="Calibri" w:hAnsi="Calibri" w:cs="Calibri"/>
                <w:bCs/>
                <w:kern w:val="1"/>
                <w:sz w:val="20"/>
                <w:szCs w:val="20"/>
                <w:lang w:eastAsia="ar-SA"/>
              </w:rPr>
            </w:pPr>
            <w:r w:rsidRPr="00D578E2">
              <w:rPr>
                <w:rFonts w:ascii="Calibri" w:eastAsia="Calibri" w:hAnsi="Calibri" w:cs="Calibri"/>
                <w:bCs/>
                <w:kern w:val="1"/>
                <w:sz w:val="20"/>
                <w:szCs w:val="20"/>
                <w:lang w:eastAsia="ar-SA"/>
              </w:rPr>
              <w:t>17c1</w:t>
            </w:r>
          </w:p>
        </w:tc>
        <w:tc>
          <w:tcPr>
            <w:tcW w:w="7985" w:type="dxa"/>
            <w:shd w:val="clear" w:color="auto" w:fill="auto"/>
          </w:tcPr>
          <w:p w:rsidR="00D9234A" w:rsidRPr="00D578E2" w:rsidRDefault="00D9234A" w:rsidP="00D9234A">
            <w:pPr>
              <w:suppressAutoHyphens/>
              <w:rPr>
                <w:rFonts w:ascii="Calibri" w:eastAsia="Calibri" w:hAnsi="Calibri" w:cs="Calibri"/>
                <w:bCs/>
                <w:kern w:val="1"/>
                <w:sz w:val="20"/>
                <w:szCs w:val="20"/>
                <w:lang w:eastAsia="ar-SA"/>
              </w:rPr>
            </w:pPr>
            <w:r w:rsidRPr="00D578E2">
              <w:rPr>
                <w:rFonts w:ascii="Calibri" w:eastAsia="Calibri" w:hAnsi="Calibri" w:cs="Calibri"/>
                <w:bCs/>
                <w:kern w:val="1"/>
                <w:sz w:val="20"/>
                <w:szCs w:val="20"/>
                <w:lang w:eastAsia="ar-SA"/>
              </w:rPr>
              <w:t>Investície do hmotného majetku – pozemkové úpravy</w:t>
            </w:r>
          </w:p>
        </w:tc>
      </w:tr>
      <w:tr w:rsidR="00D9234A" w:rsidRPr="00D578E2" w:rsidTr="00D578E2">
        <w:tc>
          <w:tcPr>
            <w:tcW w:w="1303" w:type="dxa"/>
            <w:shd w:val="clear" w:color="auto" w:fill="auto"/>
          </w:tcPr>
          <w:p w:rsidR="00D9234A" w:rsidRPr="00D578E2" w:rsidRDefault="00D9234A" w:rsidP="00F14F63">
            <w:pPr>
              <w:suppressAutoHyphens/>
              <w:jc w:val="center"/>
              <w:rPr>
                <w:rFonts w:ascii="Calibri" w:eastAsia="Calibri" w:hAnsi="Calibri" w:cs="Calibri"/>
                <w:bCs/>
                <w:kern w:val="1"/>
                <w:sz w:val="20"/>
                <w:szCs w:val="20"/>
                <w:lang w:eastAsia="ar-SA"/>
              </w:rPr>
            </w:pPr>
            <w:r w:rsidRPr="00D578E2">
              <w:rPr>
                <w:rFonts w:ascii="Calibri" w:eastAsia="Calibri" w:hAnsi="Calibri" w:cs="Calibri"/>
                <w:bCs/>
                <w:kern w:val="1"/>
                <w:sz w:val="20"/>
                <w:szCs w:val="20"/>
                <w:lang w:eastAsia="ar-SA"/>
              </w:rPr>
              <w:t>18b</w:t>
            </w:r>
          </w:p>
        </w:tc>
        <w:tc>
          <w:tcPr>
            <w:tcW w:w="7985" w:type="dxa"/>
            <w:shd w:val="clear" w:color="auto" w:fill="auto"/>
          </w:tcPr>
          <w:p w:rsidR="00D9234A" w:rsidRPr="00D578E2" w:rsidRDefault="00D9234A" w:rsidP="00D9234A">
            <w:pPr>
              <w:suppressAutoHyphens/>
              <w:rPr>
                <w:rFonts w:ascii="Calibri" w:eastAsia="Calibri" w:hAnsi="Calibri" w:cs="Calibri"/>
                <w:bCs/>
                <w:kern w:val="1"/>
                <w:sz w:val="20"/>
                <w:szCs w:val="20"/>
                <w:lang w:eastAsia="ar-SA"/>
              </w:rPr>
            </w:pPr>
            <w:r w:rsidRPr="00D578E2">
              <w:rPr>
                <w:rFonts w:ascii="Calibri" w:eastAsia="Calibri" w:hAnsi="Calibri" w:cs="Calibri"/>
                <w:bCs/>
                <w:kern w:val="1"/>
                <w:sz w:val="20"/>
                <w:szCs w:val="20"/>
                <w:lang w:eastAsia="ar-SA"/>
              </w:rPr>
              <w:t>Obnova poľnohospodárskeho potenciálu -prevencia</w:t>
            </w:r>
          </w:p>
        </w:tc>
      </w:tr>
      <w:tr w:rsidR="00D9234A" w:rsidRPr="00D578E2" w:rsidTr="00D578E2">
        <w:tc>
          <w:tcPr>
            <w:tcW w:w="1303" w:type="dxa"/>
            <w:shd w:val="clear" w:color="auto" w:fill="auto"/>
          </w:tcPr>
          <w:p w:rsidR="00D9234A" w:rsidRPr="00D578E2" w:rsidRDefault="00D9234A" w:rsidP="00F14F63">
            <w:pPr>
              <w:suppressAutoHyphens/>
              <w:jc w:val="center"/>
              <w:rPr>
                <w:rFonts w:ascii="Calibri" w:eastAsia="Calibri" w:hAnsi="Calibri" w:cs="Calibri"/>
                <w:bCs/>
                <w:kern w:val="1"/>
                <w:sz w:val="20"/>
                <w:szCs w:val="20"/>
                <w:lang w:eastAsia="ar-SA"/>
              </w:rPr>
            </w:pPr>
            <w:r w:rsidRPr="00D578E2">
              <w:rPr>
                <w:rFonts w:ascii="Calibri" w:eastAsia="Calibri" w:hAnsi="Calibri" w:cs="Calibri"/>
                <w:bCs/>
                <w:kern w:val="1"/>
                <w:sz w:val="20"/>
                <w:szCs w:val="20"/>
                <w:lang w:eastAsia="ar-SA"/>
              </w:rPr>
              <w:t>24</w:t>
            </w:r>
          </w:p>
        </w:tc>
        <w:tc>
          <w:tcPr>
            <w:tcW w:w="7985" w:type="dxa"/>
            <w:shd w:val="clear" w:color="auto" w:fill="auto"/>
          </w:tcPr>
          <w:p w:rsidR="00D9234A" w:rsidRPr="00D578E2" w:rsidRDefault="00D9234A" w:rsidP="00D9234A">
            <w:pPr>
              <w:suppressAutoHyphens/>
              <w:rPr>
                <w:rFonts w:ascii="Calibri" w:eastAsia="Calibri" w:hAnsi="Calibri" w:cs="Calibri"/>
                <w:bCs/>
                <w:kern w:val="1"/>
                <w:sz w:val="20"/>
                <w:szCs w:val="20"/>
                <w:lang w:eastAsia="ar-SA"/>
              </w:rPr>
            </w:pPr>
            <w:r w:rsidRPr="00D578E2">
              <w:rPr>
                <w:rFonts w:ascii="Calibri" w:eastAsia="Calibri" w:hAnsi="Calibri" w:cs="Calibri"/>
                <w:bCs/>
                <w:kern w:val="1"/>
                <w:sz w:val="20"/>
                <w:szCs w:val="20"/>
                <w:lang w:eastAsia="ar-SA"/>
              </w:rPr>
              <w:t>Prevencia a odstraňovanie škôd v lesoch</w:t>
            </w:r>
          </w:p>
        </w:tc>
      </w:tr>
      <w:tr w:rsidR="00D9234A" w:rsidRPr="00D578E2" w:rsidTr="00D578E2">
        <w:tc>
          <w:tcPr>
            <w:tcW w:w="1303" w:type="dxa"/>
            <w:shd w:val="clear" w:color="auto" w:fill="auto"/>
          </w:tcPr>
          <w:p w:rsidR="00D9234A" w:rsidRPr="00D578E2" w:rsidRDefault="00D9234A" w:rsidP="00F14F63">
            <w:pPr>
              <w:suppressAutoHyphens/>
              <w:jc w:val="center"/>
              <w:rPr>
                <w:rFonts w:ascii="Calibri" w:eastAsia="Calibri" w:hAnsi="Calibri" w:cs="Calibri"/>
                <w:bCs/>
                <w:kern w:val="1"/>
                <w:sz w:val="20"/>
                <w:szCs w:val="20"/>
                <w:lang w:eastAsia="ar-SA"/>
              </w:rPr>
            </w:pPr>
            <w:r w:rsidRPr="00D578E2">
              <w:rPr>
                <w:rFonts w:ascii="Calibri" w:eastAsia="Calibri" w:hAnsi="Calibri" w:cs="Calibri"/>
                <w:bCs/>
                <w:kern w:val="1"/>
                <w:sz w:val="20"/>
                <w:szCs w:val="20"/>
                <w:lang w:eastAsia="ar-SA"/>
              </w:rPr>
              <w:t>25</w:t>
            </w:r>
          </w:p>
        </w:tc>
        <w:tc>
          <w:tcPr>
            <w:tcW w:w="7985" w:type="dxa"/>
            <w:shd w:val="clear" w:color="auto" w:fill="auto"/>
          </w:tcPr>
          <w:p w:rsidR="00D9234A" w:rsidRPr="00D578E2" w:rsidRDefault="00D9234A" w:rsidP="00D9234A">
            <w:pPr>
              <w:suppressAutoHyphens/>
              <w:rPr>
                <w:rFonts w:ascii="Calibri" w:eastAsia="Calibri" w:hAnsi="Calibri" w:cs="Calibri"/>
                <w:bCs/>
                <w:kern w:val="1"/>
                <w:sz w:val="20"/>
                <w:szCs w:val="20"/>
                <w:lang w:eastAsia="ar-SA"/>
              </w:rPr>
            </w:pPr>
            <w:r w:rsidRPr="00D578E2">
              <w:rPr>
                <w:rFonts w:ascii="Calibri" w:eastAsia="Calibri" w:hAnsi="Calibri" w:cs="Calibri"/>
                <w:bCs/>
                <w:kern w:val="1"/>
                <w:sz w:val="20"/>
                <w:szCs w:val="20"/>
                <w:lang w:eastAsia="ar-SA"/>
              </w:rPr>
              <w:t>Investície na zlepšenie odolnosti a environmentálnej hodnoty lesných ekosystémov</w:t>
            </w:r>
          </w:p>
        </w:tc>
      </w:tr>
      <w:tr w:rsidR="00D9234A" w:rsidRPr="00D578E2" w:rsidTr="00D578E2">
        <w:tc>
          <w:tcPr>
            <w:tcW w:w="1303" w:type="dxa"/>
            <w:shd w:val="clear" w:color="auto" w:fill="auto"/>
          </w:tcPr>
          <w:p w:rsidR="00D9234A" w:rsidRPr="00D578E2" w:rsidRDefault="00D9234A" w:rsidP="00F14F63">
            <w:pPr>
              <w:suppressAutoHyphens/>
              <w:jc w:val="center"/>
              <w:rPr>
                <w:rFonts w:ascii="Calibri" w:eastAsia="Calibri" w:hAnsi="Calibri" w:cs="Calibri"/>
                <w:bCs/>
                <w:kern w:val="1"/>
                <w:sz w:val="20"/>
                <w:szCs w:val="20"/>
                <w:lang w:eastAsia="ar-SA"/>
              </w:rPr>
            </w:pPr>
            <w:r w:rsidRPr="00D578E2">
              <w:rPr>
                <w:rFonts w:ascii="Calibri" w:eastAsia="Calibri" w:hAnsi="Calibri" w:cs="Calibri"/>
                <w:bCs/>
                <w:kern w:val="1"/>
                <w:sz w:val="20"/>
                <w:szCs w:val="20"/>
                <w:lang w:eastAsia="ar-SA"/>
              </w:rPr>
              <w:t>27</w:t>
            </w:r>
          </w:p>
        </w:tc>
        <w:tc>
          <w:tcPr>
            <w:tcW w:w="7985" w:type="dxa"/>
            <w:shd w:val="clear" w:color="auto" w:fill="auto"/>
          </w:tcPr>
          <w:p w:rsidR="00D9234A" w:rsidRPr="00D578E2" w:rsidRDefault="00D9234A" w:rsidP="00D9234A">
            <w:pPr>
              <w:suppressAutoHyphens/>
              <w:rPr>
                <w:rFonts w:ascii="Calibri" w:eastAsia="Calibri" w:hAnsi="Calibri" w:cs="Calibri"/>
                <w:bCs/>
                <w:kern w:val="1"/>
                <w:sz w:val="20"/>
                <w:szCs w:val="20"/>
                <w:lang w:eastAsia="ar-SA"/>
              </w:rPr>
            </w:pPr>
            <w:r w:rsidRPr="00D578E2">
              <w:rPr>
                <w:rFonts w:ascii="Calibri" w:eastAsia="Calibri" w:hAnsi="Calibri" w:cs="Calibri"/>
                <w:bCs/>
                <w:kern w:val="1"/>
                <w:sz w:val="20"/>
                <w:szCs w:val="20"/>
                <w:lang w:eastAsia="ar-SA"/>
              </w:rPr>
              <w:t>Zakladanie skupín a organizácii výrobcov</w:t>
            </w:r>
          </w:p>
        </w:tc>
      </w:tr>
      <w:tr w:rsidR="00D9234A" w:rsidRPr="00D578E2" w:rsidTr="00D578E2">
        <w:tc>
          <w:tcPr>
            <w:tcW w:w="1303" w:type="dxa"/>
            <w:shd w:val="clear" w:color="auto" w:fill="auto"/>
          </w:tcPr>
          <w:p w:rsidR="00D9234A" w:rsidRPr="00D578E2" w:rsidRDefault="00D9234A" w:rsidP="00F14F63">
            <w:pPr>
              <w:suppressAutoHyphens/>
              <w:jc w:val="center"/>
              <w:rPr>
                <w:rFonts w:ascii="Calibri" w:eastAsia="Calibri" w:hAnsi="Calibri" w:cs="Calibri"/>
                <w:bCs/>
                <w:kern w:val="1"/>
                <w:sz w:val="20"/>
                <w:szCs w:val="20"/>
                <w:lang w:eastAsia="ar-SA"/>
              </w:rPr>
            </w:pPr>
            <w:r w:rsidRPr="00D578E2">
              <w:rPr>
                <w:rFonts w:ascii="Calibri" w:eastAsia="Calibri" w:hAnsi="Calibri" w:cs="Calibri"/>
                <w:bCs/>
                <w:kern w:val="1"/>
                <w:sz w:val="20"/>
                <w:szCs w:val="20"/>
                <w:lang w:eastAsia="ar-SA"/>
              </w:rPr>
              <w:t>28</w:t>
            </w:r>
          </w:p>
        </w:tc>
        <w:tc>
          <w:tcPr>
            <w:tcW w:w="7985" w:type="dxa"/>
            <w:shd w:val="clear" w:color="auto" w:fill="auto"/>
          </w:tcPr>
          <w:p w:rsidR="00D9234A" w:rsidRPr="00D578E2" w:rsidRDefault="00D9234A" w:rsidP="00D9234A">
            <w:pPr>
              <w:suppressAutoHyphens/>
              <w:rPr>
                <w:rFonts w:ascii="Calibri" w:eastAsia="Calibri" w:hAnsi="Calibri" w:cs="Calibri"/>
                <w:bCs/>
                <w:kern w:val="1"/>
                <w:sz w:val="20"/>
                <w:szCs w:val="20"/>
                <w:lang w:eastAsia="ar-SA"/>
              </w:rPr>
            </w:pPr>
            <w:r w:rsidRPr="00D578E2">
              <w:rPr>
                <w:rFonts w:ascii="Calibri" w:eastAsia="Calibri" w:hAnsi="Calibri" w:cs="Calibri"/>
                <w:bCs/>
                <w:kern w:val="1"/>
                <w:sz w:val="20"/>
                <w:szCs w:val="20"/>
                <w:lang w:eastAsia="ar-SA"/>
              </w:rPr>
              <w:t>Agroenvironmentálne operácie súvisiace s klímou</w:t>
            </w:r>
          </w:p>
        </w:tc>
      </w:tr>
      <w:tr w:rsidR="00D9234A" w:rsidRPr="00D578E2" w:rsidTr="00D578E2">
        <w:tc>
          <w:tcPr>
            <w:tcW w:w="1303" w:type="dxa"/>
            <w:shd w:val="clear" w:color="auto" w:fill="auto"/>
          </w:tcPr>
          <w:p w:rsidR="00D9234A" w:rsidRPr="00D578E2" w:rsidRDefault="00D9234A" w:rsidP="00F14F63">
            <w:pPr>
              <w:suppressAutoHyphens/>
              <w:jc w:val="center"/>
              <w:rPr>
                <w:rFonts w:ascii="Calibri" w:eastAsia="Calibri" w:hAnsi="Calibri" w:cs="Calibri"/>
                <w:bCs/>
                <w:kern w:val="1"/>
                <w:sz w:val="20"/>
                <w:szCs w:val="20"/>
                <w:lang w:eastAsia="ar-SA"/>
              </w:rPr>
            </w:pPr>
            <w:r w:rsidRPr="00D578E2">
              <w:rPr>
                <w:rFonts w:ascii="Calibri" w:eastAsia="Calibri" w:hAnsi="Calibri" w:cs="Calibri"/>
                <w:bCs/>
                <w:kern w:val="1"/>
                <w:sz w:val="20"/>
                <w:szCs w:val="20"/>
                <w:lang w:eastAsia="ar-SA"/>
              </w:rPr>
              <w:t>29</w:t>
            </w:r>
          </w:p>
        </w:tc>
        <w:tc>
          <w:tcPr>
            <w:tcW w:w="7985" w:type="dxa"/>
            <w:shd w:val="clear" w:color="auto" w:fill="auto"/>
          </w:tcPr>
          <w:p w:rsidR="00D9234A" w:rsidRPr="00D578E2" w:rsidRDefault="00D9234A" w:rsidP="00D9234A">
            <w:pPr>
              <w:suppressAutoHyphens/>
              <w:rPr>
                <w:rFonts w:ascii="Calibri" w:eastAsia="Calibri" w:hAnsi="Calibri" w:cs="Calibri"/>
                <w:bCs/>
                <w:kern w:val="1"/>
                <w:sz w:val="20"/>
                <w:szCs w:val="20"/>
                <w:lang w:eastAsia="ar-SA"/>
              </w:rPr>
            </w:pPr>
            <w:r w:rsidRPr="00D578E2">
              <w:rPr>
                <w:rFonts w:ascii="Calibri" w:eastAsia="Calibri" w:hAnsi="Calibri" w:cs="Calibri"/>
                <w:bCs/>
                <w:kern w:val="1"/>
                <w:sz w:val="20"/>
                <w:szCs w:val="20"/>
                <w:lang w:eastAsia="ar-SA"/>
              </w:rPr>
              <w:t>Ekologické poľnohospodárstvo</w:t>
            </w:r>
          </w:p>
        </w:tc>
      </w:tr>
      <w:tr w:rsidR="00D9234A" w:rsidRPr="00D578E2" w:rsidTr="00D578E2">
        <w:tc>
          <w:tcPr>
            <w:tcW w:w="1303" w:type="dxa"/>
            <w:shd w:val="clear" w:color="auto" w:fill="auto"/>
          </w:tcPr>
          <w:p w:rsidR="00D9234A" w:rsidRPr="00D578E2" w:rsidRDefault="00D9234A" w:rsidP="00F14F63">
            <w:pPr>
              <w:suppressAutoHyphens/>
              <w:jc w:val="center"/>
              <w:rPr>
                <w:rFonts w:ascii="Calibri" w:eastAsia="Calibri" w:hAnsi="Calibri" w:cs="Calibri"/>
                <w:bCs/>
                <w:kern w:val="1"/>
                <w:sz w:val="20"/>
                <w:szCs w:val="20"/>
                <w:lang w:eastAsia="ar-SA"/>
              </w:rPr>
            </w:pPr>
            <w:r w:rsidRPr="00D578E2">
              <w:rPr>
                <w:rFonts w:ascii="Calibri" w:eastAsia="Calibri" w:hAnsi="Calibri" w:cs="Calibri"/>
                <w:bCs/>
                <w:kern w:val="1"/>
                <w:sz w:val="20"/>
                <w:szCs w:val="20"/>
                <w:lang w:eastAsia="ar-SA"/>
              </w:rPr>
              <w:t>30</w:t>
            </w:r>
          </w:p>
        </w:tc>
        <w:tc>
          <w:tcPr>
            <w:tcW w:w="7985" w:type="dxa"/>
            <w:shd w:val="clear" w:color="auto" w:fill="auto"/>
          </w:tcPr>
          <w:p w:rsidR="00D9234A" w:rsidRPr="00D578E2" w:rsidRDefault="00D9234A" w:rsidP="00D9234A">
            <w:pPr>
              <w:suppressAutoHyphens/>
              <w:rPr>
                <w:rFonts w:ascii="Calibri" w:eastAsia="Calibri" w:hAnsi="Calibri" w:cs="Calibri"/>
                <w:bCs/>
                <w:kern w:val="1"/>
                <w:sz w:val="20"/>
                <w:szCs w:val="20"/>
                <w:lang w:eastAsia="ar-SA"/>
              </w:rPr>
            </w:pPr>
            <w:r w:rsidRPr="00D578E2">
              <w:rPr>
                <w:rFonts w:ascii="Calibri" w:eastAsia="Calibri" w:hAnsi="Calibri" w:cs="Calibri"/>
                <w:bCs/>
                <w:kern w:val="1"/>
                <w:sz w:val="20"/>
                <w:szCs w:val="20"/>
                <w:lang w:eastAsia="ar-SA"/>
              </w:rPr>
              <w:t>Platby v rámci NATURA 2000 a WFD</w:t>
            </w:r>
          </w:p>
        </w:tc>
      </w:tr>
      <w:tr w:rsidR="00D9234A" w:rsidRPr="00D578E2" w:rsidTr="00D578E2">
        <w:tc>
          <w:tcPr>
            <w:tcW w:w="1303" w:type="dxa"/>
            <w:shd w:val="clear" w:color="auto" w:fill="auto"/>
          </w:tcPr>
          <w:p w:rsidR="00D9234A" w:rsidRPr="00D578E2" w:rsidRDefault="00D9234A" w:rsidP="00F14F63">
            <w:pPr>
              <w:suppressAutoHyphens/>
              <w:jc w:val="center"/>
              <w:rPr>
                <w:rFonts w:ascii="Calibri" w:eastAsia="Calibri" w:hAnsi="Calibri" w:cs="Calibri"/>
                <w:bCs/>
                <w:kern w:val="1"/>
                <w:sz w:val="20"/>
                <w:szCs w:val="20"/>
                <w:lang w:eastAsia="ar-SA"/>
              </w:rPr>
            </w:pPr>
            <w:r w:rsidRPr="00D578E2">
              <w:rPr>
                <w:rFonts w:ascii="Calibri" w:eastAsia="Calibri" w:hAnsi="Calibri" w:cs="Calibri"/>
                <w:bCs/>
                <w:kern w:val="1"/>
                <w:sz w:val="20"/>
                <w:szCs w:val="20"/>
                <w:lang w:eastAsia="ar-SA"/>
              </w:rPr>
              <w:t>31</w:t>
            </w:r>
          </w:p>
        </w:tc>
        <w:tc>
          <w:tcPr>
            <w:tcW w:w="7985" w:type="dxa"/>
            <w:shd w:val="clear" w:color="auto" w:fill="auto"/>
          </w:tcPr>
          <w:p w:rsidR="00D9234A" w:rsidRPr="00D578E2" w:rsidRDefault="00D9234A" w:rsidP="00D9234A">
            <w:pPr>
              <w:suppressAutoHyphens/>
              <w:rPr>
                <w:rFonts w:ascii="Calibri" w:eastAsia="Calibri" w:hAnsi="Calibri" w:cs="Calibri"/>
                <w:bCs/>
                <w:kern w:val="1"/>
                <w:sz w:val="20"/>
                <w:szCs w:val="20"/>
                <w:lang w:eastAsia="ar-SA"/>
              </w:rPr>
            </w:pPr>
            <w:r w:rsidRPr="00D578E2">
              <w:rPr>
                <w:rFonts w:ascii="Calibri" w:eastAsia="Calibri" w:hAnsi="Calibri" w:cs="Calibri"/>
                <w:bCs/>
                <w:kern w:val="1"/>
                <w:sz w:val="20"/>
                <w:szCs w:val="20"/>
                <w:lang w:eastAsia="ar-SA"/>
              </w:rPr>
              <w:t>LFA</w:t>
            </w:r>
          </w:p>
        </w:tc>
      </w:tr>
      <w:tr w:rsidR="00D9234A" w:rsidRPr="00D578E2" w:rsidTr="00D578E2">
        <w:tc>
          <w:tcPr>
            <w:tcW w:w="1303" w:type="dxa"/>
            <w:shd w:val="clear" w:color="auto" w:fill="auto"/>
          </w:tcPr>
          <w:p w:rsidR="00D9234A" w:rsidRPr="00D578E2" w:rsidRDefault="00D9234A" w:rsidP="00F14F63">
            <w:pPr>
              <w:suppressAutoHyphens/>
              <w:jc w:val="center"/>
              <w:rPr>
                <w:rFonts w:ascii="Calibri" w:eastAsia="Calibri" w:hAnsi="Calibri" w:cs="Calibri"/>
                <w:bCs/>
                <w:kern w:val="1"/>
                <w:sz w:val="20"/>
                <w:szCs w:val="20"/>
                <w:lang w:eastAsia="ar-SA"/>
              </w:rPr>
            </w:pPr>
            <w:r w:rsidRPr="00D578E2">
              <w:rPr>
                <w:rFonts w:ascii="Calibri" w:eastAsia="Calibri" w:hAnsi="Calibri" w:cs="Calibri"/>
                <w:bCs/>
                <w:kern w:val="1"/>
                <w:sz w:val="20"/>
                <w:szCs w:val="20"/>
                <w:lang w:eastAsia="ar-SA"/>
              </w:rPr>
              <w:t>33</w:t>
            </w:r>
          </w:p>
        </w:tc>
        <w:tc>
          <w:tcPr>
            <w:tcW w:w="7985" w:type="dxa"/>
            <w:shd w:val="clear" w:color="auto" w:fill="auto"/>
          </w:tcPr>
          <w:p w:rsidR="00D9234A" w:rsidRPr="00D578E2" w:rsidRDefault="00D9234A" w:rsidP="00D9234A">
            <w:pPr>
              <w:suppressAutoHyphens/>
              <w:rPr>
                <w:rFonts w:ascii="Calibri" w:eastAsia="Calibri" w:hAnsi="Calibri" w:cs="Calibri"/>
                <w:bCs/>
                <w:kern w:val="1"/>
                <w:sz w:val="20"/>
                <w:szCs w:val="20"/>
                <w:lang w:eastAsia="ar-SA"/>
              </w:rPr>
            </w:pPr>
            <w:r w:rsidRPr="00D578E2">
              <w:rPr>
                <w:rFonts w:ascii="Calibri" w:eastAsia="Calibri" w:hAnsi="Calibri" w:cs="Calibri"/>
                <w:bCs/>
                <w:kern w:val="1"/>
                <w:sz w:val="20"/>
                <w:szCs w:val="20"/>
                <w:lang w:eastAsia="ar-SA"/>
              </w:rPr>
              <w:t>Životné podmienky zvierat</w:t>
            </w:r>
          </w:p>
        </w:tc>
      </w:tr>
      <w:tr w:rsidR="00A378F5" w:rsidRPr="00D578E2" w:rsidTr="00D578E2">
        <w:tc>
          <w:tcPr>
            <w:tcW w:w="1303" w:type="dxa"/>
            <w:shd w:val="clear" w:color="auto" w:fill="auto"/>
          </w:tcPr>
          <w:p w:rsidR="00A378F5" w:rsidRPr="00D578E2" w:rsidRDefault="00A378F5" w:rsidP="008612D8">
            <w:pPr>
              <w:suppressAutoHyphens/>
              <w:jc w:val="center"/>
              <w:rPr>
                <w:rFonts w:ascii="Calibri" w:eastAsia="Calibri" w:hAnsi="Calibri" w:cs="Calibri"/>
                <w:bCs/>
                <w:kern w:val="1"/>
                <w:sz w:val="20"/>
                <w:szCs w:val="20"/>
                <w:lang w:eastAsia="ar-SA"/>
              </w:rPr>
            </w:pPr>
            <w:r>
              <w:rPr>
                <w:rFonts w:ascii="Calibri" w:eastAsia="Calibri" w:hAnsi="Calibri" w:cs="Calibri"/>
                <w:bCs/>
                <w:kern w:val="1"/>
                <w:sz w:val="20"/>
                <w:szCs w:val="20"/>
                <w:lang w:eastAsia="ar-SA"/>
              </w:rPr>
              <w:t>3</w:t>
            </w:r>
            <w:r w:rsidR="008612D8">
              <w:rPr>
                <w:rFonts w:ascii="Calibri" w:eastAsia="Calibri" w:hAnsi="Calibri" w:cs="Calibri"/>
                <w:bCs/>
                <w:kern w:val="1"/>
                <w:sz w:val="20"/>
                <w:szCs w:val="20"/>
                <w:lang w:eastAsia="ar-SA"/>
              </w:rPr>
              <w:t>4</w:t>
            </w:r>
          </w:p>
        </w:tc>
        <w:tc>
          <w:tcPr>
            <w:tcW w:w="7985" w:type="dxa"/>
            <w:shd w:val="clear" w:color="auto" w:fill="auto"/>
          </w:tcPr>
          <w:p w:rsidR="00A378F5" w:rsidRPr="00D578E2" w:rsidRDefault="00A378F5" w:rsidP="00D9234A">
            <w:pPr>
              <w:suppressAutoHyphens/>
              <w:rPr>
                <w:rFonts w:ascii="Calibri" w:eastAsia="Calibri" w:hAnsi="Calibri" w:cs="Calibri"/>
                <w:bCs/>
                <w:kern w:val="1"/>
                <w:sz w:val="20"/>
                <w:szCs w:val="20"/>
                <w:lang w:eastAsia="ar-SA"/>
              </w:rPr>
            </w:pPr>
            <w:r>
              <w:rPr>
                <w:rFonts w:ascii="Calibri" w:eastAsia="Calibri" w:hAnsi="Calibri" w:cs="Calibri"/>
                <w:bCs/>
                <w:kern w:val="1"/>
                <w:sz w:val="20"/>
                <w:szCs w:val="20"/>
                <w:lang w:eastAsia="ar-SA"/>
              </w:rPr>
              <w:t xml:space="preserve">Lesnícko-environmentálne a klimatické služby a ochrana </w:t>
            </w:r>
            <w:r w:rsidR="00FF747C">
              <w:rPr>
                <w:rFonts w:ascii="Calibri" w:eastAsia="Calibri" w:hAnsi="Calibri" w:cs="Calibri"/>
                <w:bCs/>
                <w:kern w:val="1"/>
                <w:sz w:val="20"/>
                <w:szCs w:val="20"/>
                <w:lang w:eastAsia="ar-SA"/>
              </w:rPr>
              <w:t>lesov</w:t>
            </w:r>
          </w:p>
        </w:tc>
      </w:tr>
      <w:tr w:rsidR="00D9234A" w:rsidRPr="00D578E2" w:rsidTr="00D578E2">
        <w:tc>
          <w:tcPr>
            <w:tcW w:w="1303" w:type="dxa"/>
            <w:shd w:val="clear" w:color="auto" w:fill="auto"/>
          </w:tcPr>
          <w:p w:rsidR="00D9234A" w:rsidRPr="00D578E2" w:rsidRDefault="00D9234A" w:rsidP="00F14F63">
            <w:pPr>
              <w:suppressAutoHyphens/>
              <w:jc w:val="center"/>
              <w:rPr>
                <w:rFonts w:ascii="Calibri" w:eastAsia="Calibri" w:hAnsi="Calibri" w:cs="Calibri"/>
                <w:bCs/>
                <w:kern w:val="1"/>
                <w:sz w:val="20"/>
                <w:szCs w:val="20"/>
                <w:lang w:eastAsia="ar-SA"/>
              </w:rPr>
            </w:pPr>
            <w:r w:rsidRPr="00D578E2">
              <w:rPr>
                <w:rFonts w:ascii="Calibri" w:eastAsia="Calibri" w:hAnsi="Calibri" w:cs="Calibri"/>
                <w:bCs/>
                <w:kern w:val="1"/>
                <w:sz w:val="20"/>
                <w:szCs w:val="20"/>
                <w:lang w:eastAsia="ar-SA"/>
              </w:rPr>
              <w:t>38</w:t>
            </w:r>
          </w:p>
        </w:tc>
        <w:tc>
          <w:tcPr>
            <w:tcW w:w="7985" w:type="dxa"/>
            <w:shd w:val="clear" w:color="auto" w:fill="auto"/>
          </w:tcPr>
          <w:p w:rsidR="00D9234A" w:rsidRPr="00D578E2" w:rsidRDefault="00D9234A" w:rsidP="00D9234A">
            <w:pPr>
              <w:suppressAutoHyphens/>
              <w:rPr>
                <w:rFonts w:ascii="Calibri" w:eastAsia="Calibri" w:hAnsi="Calibri" w:cs="Calibri"/>
                <w:bCs/>
                <w:kern w:val="1"/>
                <w:sz w:val="20"/>
                <w:szCs w:val="20"/>
                <w:lang w:eastAsia="ar-SA"/>
              </w:rPr>
            </w:pPr>
            <w:r w:rsidRPr="00D578E2">
              <w:rPr>
                <w:rFonts w:ascii="Calibri" w:eastAsia="Calibri" w:hAnsi="Calibri" w:cs="Calibri"/>
                <w:bCs/>
                <w:kern w:val="1"/>
                <w:sz w:val="20"/>
                <w:szCs w:val="20"/>
                <w:lang w:eastAsia="ar-SA"/>
              </w:rPr>
              <w:t>Vzájomné fondy pre nepriaznivé poveternostné udalosti, choroby zvierat a rastlín</w:t>
            </w:r>
          </w:p>
        </w:tc>
      </w:tr>
      <w:tr w:rsidR="00D9234A" w:rsidRPr="00D578E2" w:rsidTr="00D578E2">
        <w:tc>
          <w:tcPr>
            <w:tcW w:w="1303" w:type="dxa"/>
            <w:shd w:val="clear" w:color="auto" w:fill="auto"/>
          </w:tcPr>
          <w:p w:rsidR="00D9234A" w:rsidRPr="00D578E2" w:rsidRDefault="00D9234A" w:rsidP="00F14F63">
            <w:pPr>
              <w:suppressAutoHyphens/>
              <w:jc w:val="center"/>
              <w:rPr>
                <w:rFonts w:ascii="Calibri" w:eastAsia="Calibri" w:hAnsi="Calibri" w:cs="Calibri"/>
                <w:bCs/>
                <w:kern w:val="1"/>
                <w:sz w:val="20"/>
                <w:szCs w:val="20"/>
                <w:lang w:eastAsia="ar-SA"/>
              </w:rPr>
            </w:pPr>
          </w:p>
        </w:tc>
        <w:tc>
          <w:tcPr>
            <w:tcW w:w="7985" w:type="dxa"/>
            <w:shd w:val="clear" w:color="auto" w:fill="auto"/>
          </w:tcPr>
          <w:p w:rsidR="00D9234A" w:rsidRPr="00D578E2" w:rsidRDefault="00D9234A" w:rsidP="00D9234A">
            <w:pPr>
              <w:suppressAutoHyphens/>
              <w:rPr>
                <w:rFonts w:ascii="Calibri" w:eastAsia="Calibri" w:hAnsi="Calibri" w:cs="Calibri"/>
                <w:b/>
                <w:bCs/>
                <w:kern w:val="1"/>
                <w:sz w:val="20"/>
                <w:szCs w:val="20"/>
                <w:lang w:eastAsia="ar-SA"/>
              </w:rPr>
            </w:pPr>
            <w:r w:rsidRPr="00D578E2">
              <w:rPr>
                <w:rFonts w:ascii="Calibri" w:eastAsia="Calibri" w:hAnsi="Calibri" w:cs="Calibri"/>
                <w:b/>
                <w:bCs/>
                <w:kern w:val="1"/>
                <w:sz w:val="20"/>
                <w:szCs w:val="20"/>
                <w:lang w:eastAsia="ar-SA"/>
              </w:rPr>
              <w:t xml:space="preserve">Ostatné opatrenia, ktoré nie sú súčasťou PRV nie sú oprávnené na </w:t>
            </w:r>
            <w:r>
              <w:rPr>
                <w:rFonts w:ascii="Calibri" w:eastAsia="Calibri" w:hAnsi="Calibri" w:cs="Calibri"/>
                <w:b/>
                <w:bCs/>
                <w:kern w:val="1"/>
                <w:sz w:val="20"/>
                <w:szCs w:val="20"/>
                <w:lang w:eastAsia="ar-SA"/>
              </w:rPr>
              <w:t>strategické plánovanie</w:t>
            </w:r>
            <w:r w:rsidRPr="00D578E2">
              <w:rPr>
                <w:rFonts w:ascii="Calibri" w:eastAsia="Calibri" w:hAnsi="Calibri" w:cs="Calibri"/>
                <w:b/>
                <w:bCs/>
                <w:kern w:val="1"/>
                <w:sz w:val="20"/>
                <w:szCs w:val="20"/>
                <w:lang w:eastAsia="ar-SA"/>
              </w:rPr>
              <w:t xml:space="preserve"> pre MAS v rámci opatrenia LEADER</w:t>
            </w:r>
          </w:p>
        </w:tc>
      </w:tr>
    </w:tbl>
    <w:p w:rsidR="008676F9" w:rsidRPr="008676F9" w:rsidRDefault="008676F9" w:rsidP="00F14F63">
      <w:pPr>
        <w:suppressAutoHyphens/>
        <w:rPr>
          <w:rFonts w:ascii="Calibri" w:eastAsia="SimSun" w:hAnsi="Calibri" w:cs="Calibri"/>
          <w:bCs/>
          <w:kern w:val="1"/>
          <w:szCs w:val="22"/>
          <w:lang w:eastAsia="ar-SA"/>
        </w:rPr>
      </w:pPr>
    </w:p>
    <w:p w:rsidR="008676F9" w:rsidRPr="008676F9" w:rsidRDefault="008676F9" w:rsidP="00F14F63">
      <w:pPr>
        <w:suppressAutoHyphens/>
        <w:rPr>
          <w:rFonts w:ascii="Calibri" w:eastAsia="Calibri" w:hAnsi="Calibri" w:cs="Calibri"/>
          <w:kern w:val="1"/>
          <w:szCs w:val="22"/>
          <w:u w:val="single"/>
          <w:lang w:eastAsia="ar-SA"/>
        </w:rPr>
      </w:pPr>
      <w:r w:rsidRPr="008676F9">
        <w:rPr>
          <w:rFonts w:ascii="Calibri" w:eastAsia="Calibri" w:hAnsi="Calibri" w:cs="Calibri"/>
          <w:bCs/>
          <w:kern w:val="1"/>
          <w:szCs w:val="22"/>
          <w:u w:val="single"/>
          <w:lang w:eastAsia="ar-SA"/>
        </w:rPr>
        <w:t>Príspevok k prierezovým cieľom</w:t>
      </w:r>
    </w:p>
    <w:p w:rsidR="008676F9" w:rsidRPr="008676F9" w:rsidRDefault="008676F9" w:rsidP="00F14F63">
      <w:pPr>
        <w:suppressAutoHyphens/>
        <w:rPr>
          <w:rFonts w:ascii="Calibri" w:eastAsia="Calibri" w:hAnsi="Calibri" w:cs="Calibri"/>
          <w:kern w:val="1"/>
          <w:szCs w:val="22"/>
          <w:lang w:eastAsia="ar-SA"/>
        </w:rPr>
      </w:pPr>
      <w:r w:rsidRPr="008676F9">
        <w:rPr>
          <w:rFonts w:ascii="Calibri" w:eastAsia="Calibri" w:hAnsi="Calibri" w:cs="Calibri"/>
          <w:kern w:val="1"/>
          <w:szCs w:val="22"/>
          <w:lang w:eastAsia="ar-SA"/>
        </w:rPr>
        <w:t>Inovácie</w:t>
      </w:r>
    </w:p>
    <w:p w:rsidR="008676F9" w:rsidRPr="008676F9" w:rsidRDefault="008676F9" w:rsidP="00F14F63">
      <w:pPr>
        <w:suppressAutoHyphens/>
        <w:rPr>
          <w:rFonts w:ascii="Calibri" w:eastAsia="Calibri" w:hAnsi="Calibri" w:cs="Calibri"/>
          <w:kern w:val="1"/>
          <w:szCs w:val="22"/>
          <w:lang w:eastAsia="ar-SA"/>
        </w:rPr>
      </w:pPr>
      <w:r w:rsidRPr="008676F9">
        <w:rPr>
          <w:rFonts w:ascii="Calibri" w:eastAsia="Calibri" w:hAnsi="Calibri" w:cs="Calibri"/>
          <w:kern w:val="1"/>
          <w:szCs w:val="22"/>
          <w:lang w:eastAsia="ar-SA"/>
        </w:rPr>
        <w:t>Životné prostredie</w:t>
      </w:r>
    </w:p>
    <w:p w:rsidR="008676F9" w:rsidRPr="008676F9" w:rsidRDefault="008676F9" w:rsidP="00F14F63">
      <w:pPr>
        <w:suppressAutoHyphens/>
        <w:rPr>
          <w:rFonts w:eastAsia="Calibri" w:cs="Calibri"/>
          <w:kern w:val="1"/>
          <w:lang w:eastAsia="ar-SA"/>
        </w:rPr>
      </w:pPr>
      <w:r w:rsidRPr="008676F9">
        <w:rPr>
          <w:rFonts w:ascii="Calibri" w:eastAsia="Calibri" w:hAnsi="Calibri" w:cs="Calibri"/>
          <w:kern w:val="1"/>
          <w:szCs w:val="22"/>
          <w:lang w:eastAsia="ar-SA"/>
        </w:rPr>
        <w:t>Zmierňovanie zmeny klímy a adaptácia na ňu</w:t>
      </w:r>
    </w:p>
    <w:p w:rsidR="008676F9" w:rsidRPr="008676F9" w:rsidRDefault="008676F9" w:rsidP="00F14F63">
      <w:pPr>
        <w:suppressAutoHyphens/>
        <w:rPr>
          <w:rFonts w:eastAsia="Calibri" w:cs="Calibri"/>
          <w:kern w:val="1"/>
          <w:lang w:eastAsia="ar-SA"/>
        </w:rPr>
      </w:pPr>
    </w:p>
    <w:p w:rsidR="008676F9" w:rsidRDefault="008676F9" w:rsidP="00F14F63">
      <w:pPr>
        <w:suppressAutoHyphens/>
        <w:rPr>
          <w:rFonts w:ascii="Calibri" w:eastAsia="Calibri" w:hAnsi="Calibri" w:cs="Calibri"/>
          <w:bCs/>
          <w:kern w:val="1"/>
          <w:szCs w:val="22"/>
          <w:lang w:eastAsia="ar-SA"/>
        </w:rPr>
      </w:pPr>
      <w:r w:rsidRPr="008676F9">
        <w:rPr>
          <w:rFonts w:ascii="Calibri" w:eastAsia="Calibri" w:hAnsi="Calibri" w:cs="Calibri"/>
          <w:b/>
          <w:bCs/>
          <w:kern w:val="1"/>
          <w:szCs w:val="22"/>
          <w:lang w:eastAsia="ar-SA"/>
        </w:rPr>
        <w:t>8.2.1</w:t>
      </w:r>
      <w:r w:rsidR="00B30F00">
        <w:rPr>
          <w:rFonts w:ascii="Calibri" w:eastAsia="Calibri" w:hAnsi="Calibri" w:cs="Calibri"/>
          <w:b/>
          <w:bCs/>
          <w:kern w:val="1"/>
          <w:szCs w:val="22"/>
          <w:lang w:eastAsia="ar-SA"/>
        </w:rPr>
        <w:t>7</w:t>
      </w:r>
      <w:r w:rsidRPr="008676F9">
        <w:rPr>
          <w:rFonts w:ascii="Calibri" w:eastAsia="Calibri" w:hAnsi="Calibri" w:cs="Calibri"/>
          <w:b/>
          <w:bCs/>
          <w:kern w:val="1"/>
          <w:szCs w:val="22"/>
          <w:lang w:eastAsia="ar-SA"/>
        </w:rPr>
        <w:t xml:space="preserve">.3 Rozsah, úroveň podpory a ďalšie informácie </w:t>
      </w:r>
      <w:r w:rsidRPr="008676F9">
        <w:rPr>
          <w:rFonts w:ascii="Calibri" w:eastAsia="Calibri" w:hAnsi="Calibri" w:cs="Calibri"/>
          <w:bCs/>
          <w:kern w:val="1"/>
          <w:szCs w:val="22"/>
          <w:lang w:eastAsia="ar-SA"/>
        </w:rPr>
        <w:t>(členené podľa podopatrenia a typu operácie)</w:t>
      </w:r>
    </w:p>
    <w:p w:rsidR="00A03A77" w:rsidRPr="008676F9" w:rsidRDefault="00A03A77" w:rsidP="00F14F63">
      <w:pPr>
        <w:suppressAutoHyphens/>
        <w:rPr>
          <w:rFonts w:ascii="Calibri" w:eastAsia="Calibri" w:hAnsi="Calibri"/>
          <w:kern w:val="1"/>
          <w:szCs w:val="22"/>
          <w:lang w:eastAsia="ar-SA"/>
        </w:rPr>
      </w:pPr>
    </w:p>
    <w:p w:rsidR="008676F9" w:rsidRPr="008676F9" w:rsidRDefault="008676F9" w:rsidP="00F14F63">
      <w:pPr>
        <w:shd w:val="clear" w:color="auto" w:fill="D6E3BC"/>
        <w:suppressAutoHyphens/>
        <w:rPr>
          <w:rFonts w:ascii="Calibri" w:eastAsia="Calibri" w:hAnsi="Calibri" w:cs="Calibri"/>
          <w:kern w:val="1"/>
          <w:lang w:eastAsia="ar-SA"/>
        </w:rPr>
      </w:pPr>
      <w:r w:rsidRPr="008676F9">
        <w:rPr>
          <w:rFonts w:ascii="Calibri" w:eastAsia="Calibri" w:hAnsi="Calibri" w:cs="Calibri"/>
          <w:bCs/>
          <w:kern w:val="1"/>
          <w:lang w:eastAsia="ar-SA"/>
        </w:rPr>
        <w:t xml:space="preserve">Podopatrenie: </w:t>
      </w:r>
      <w:r w:rsidRPr="008676F9">
        <w:rPr>
          <w:rFonts w:ascii="Calibri" w:eastAsia="Calibri" w:hAnsi="Calibri" w:cs="Calibri"/>
          <w:b/>
          <w:bCs/>
          <w:kern w:val="1"/>
          <w:lang w:eastAsia="ar-SA"/>
        </w:rPr>
        <w:t xml:space="preserve">19.1 </w:t>
      </w:r>
      <w:r w:rsidRPr="00997BE5">
        <w:rPr>
          <w:rFonts w:ascii="Calibri" w:eastAsia="Calibri" w:hAnsi="Calibri" w:cs="Calibri"/>
          <w:b/>
          <w:bCs/>
          <w:kern w:val="1"/>
          <w:sz w:val="24"/>
          <w:lang w:eastAsia="ar-SA"/>
        </w:rPr>
        <w:t>Prípravná podpora</w:t>
      </w:r>
    </w:p>
    <w:p w:rsidR="008676F9" w:rsidRPr="008676F9" w:rsidRDefault="008676F9" w:rsidP="00F14F63">
      <w:pPr>
        <w:shd w:val="clear" w:color="auto" w:fill="FBD4B4"/>
        <w:suppressAutoHyphens/>
        <w:rPr>
          <w:rFonts w:ascii="Calibri" w:eastAsia="Calibri" w:hAnsi="Calibri" w:cs="Calibri"/>
          <w:i/>
          <w:kern w:val="1"/>
          <w:szCs w:val="22"/>
          <w:lang w:eastAsia="ar-SA"/>
        </w:rPr>
      </w:pPr>
      <w:r w:rsidRPr="008676F9">
        <w:rPr>
          <w:rFonts w:ascii="Calibri" w:eastAsia="Calibri" w:hAnsi="Calibri" w:cs="Calibri"/>
          <w:bCs/>
          <w:kern w:val="1"/>
          <w:szCs w:val="22"/>
          <w:u w:val="single"/>
          <w:lang w:eastAsia="ar-SA"/>
        </w:rPr>
        <w:t>Názov operácie:</w:t>
      </w:r>
    </w:p>
    <w:p w:rsidR="008676F9" w:rsidRPr="008676F9" w:rsidRDefault="008676F9" w:rsidP="00F14F63">
      <w:pPr>
        <w:shd w:val="clear" w:color="auto" w:fill="FBD4B4"/>
        <w:suppressAutoHyphens/>
        <w:rPr>
          <w:rFonts w:ascii="Calibri" w:eastAsia="SimSun" w:hAnsi="Calibri" w:cs="Calibri"/>
          <w:bCs/>
          <w:kern w:val="1"/>
          <w:szCs w:val="22"/>
          <w:u w:val="single"/>
          <w:lang w:eastAsia="ar-SA"/>
        </w:rPr>
      </w:pPr>
      <w:r w:rsidRPr="008676F9">
        <w:rPr>
          <w:rFonts w:ascii="Calibri" w:eastAsia="SimSun" w:hAnsi="Calibri" w:cs="Calibri"/>
          <w:i/>
          <w:kern w:val="1"/>
          <w:szCs w:val="22"/>
          <w:lang w:eastAsia="ar-SA"/>
        </w:rPr>
        <w:t>Budovanie kapacít, tréningy a sieťovanie za účelom prípravy a implementácie stratégie miestneho rozvoja</w:t>
      </w:r>
    </w:p>
    <w:p w:rsidR="008676F9" w:rsidRPr="008676F9" w:rsidRDefault="008676F9" w:rsidP="00F14F63">
      <w:pPr>
        <w:suppressAutoHyphens/>
        <w:rPr>
          <w:rFonts w:ascii="Calibri" w:eastAsia="SimSun" w:hAnsi="Calibri" w:cs="Calibri"/>
          <w:bCs/>
          <w:kern w:val="1"/>
          <w:szCs w:val="22"/>
          <w:u w:val="single"/>
          <w:lang w:eastAsia="ar-SA"/>
        </w:rPr>
      </w:pPr>
    </w:p>
    <w:p w:rsidR="008676F9" w:rsidRPr="008676F9" w:rsidRDefault="008676F9" w:rsidP="00F14F63">
      <w:pPr>
        <w:suppressAutoHyphens/>
        <w:rPr>
          <w:rFonts w:ascii="Calibri" w:eastAsia="SimSun" w:hAnsi="Calibri" w:cs="Calibri"/>
          <w:bCs/>
          <w:kern w:val="1"/>
          <w:szCs w:val="22"/>
          <w:u w:val="single"/>
          <w:lang w:eastAsia="ar-SA"/>
        </w:rPr>
      </w:pPr>
      <w:r w:rsidRPr="008676F9">
        <w:rPr>
          <w:rFonts w:ascii="Calibri" w:eastAsia="SimSun" w:hAnsi="Calibri" w:cs="Calibri"/>
          <w:bCs/>
          <w:kern w:val="1"/>
          <w:szCs w:val="22"/>
          <w:u w:val="single"/>
          <w:lang w:eastAsia="ar-SA"/>
        </w:rPr>
        <w:t>Opis operácie:</w:t>
      </w:r>
    </w:p>
    <w:p w:rsidR="008676F9" w:rsidRPr="008676F9" w:rsidRDefault="008676F9" w:rsidP="00F14F63">
      <w:pPr>
        <w:suppressAutoHyphens/>
        <w:autoSpaceDE w:val="0"/>
        <w:rPr>
          <w:rFonts w:ascii="Calibri" w:eastAsia="SimSun" w:hAnsi="Calibri" w:cs="Calibri"/>
          <w:kern w:val="1"/>
          <w:szCs w:val="22"/>
          <w:lang w:eastAsia="ar-SA"/>
        </w:rPr>
      </w:pPr>
      <w:r w:rsidRPr="008676F9">
        <w:rPr>
          <w:rFonts w:ascii="Calibri" w:eastAsia="SimSun" w:hAnsi="Calibri" w:cs="Calibri"/>
          <w:bCs/>
          <w:kern w:val="1"/>
          <w:szCs w:val="22"/>
          <w:lang w:eastAsia="ar-SA"/>
        </w:rPr>
        <w:t>Prístup zdola nahor je jednou z efektívnych možností zapojenia miestnych obyvateľov na vidieku do rozhodovacieho procesu na lokálnej úrovni. Na to je však potrebné poznať možnosti daného územia a zmobilizovať miestne obyvateľstvo a zapájať ho aktívne do procesov rozhodovania. Cieľom podopatrenia je tak pripraviť vidiecke verejno-súkromné partnerstvá, ktoré v programovom období 2007 – 2013 nerealizovali prístup LEADER. Výsledkom budú pripravené partnerstvá, schopné uchádzať</w:t>
      </w:r>
      <w:r w:rsidRPr="008676F9">
        <w:rPr>
          <w:rFonts w:ascii="Calibri" w:eastAsia="SimSun" w:hAnsi="Calibri" w:cs="Calibri"/>
          <w:bCs/>
          <w:kern w:val="1"/>
          <w:szCs w:val="22"/>
          <w:lang w:eastAsia="ar-SA"/>
        </w:rPr>
        <w:lastRenderedPageBreak/>
        <w:t xml:space="preserve"> sa o podporu v rámci nástroja CLLD a schopné efektívne pripraviť a implementovať stratégiu CLLD,  ktorá vznikne v nadväznosti na budovanie lokálnych kapacít správnym uplatňovaním strategického plánovania, vytváraním sietí, informovanosťou o prístupe zdola nahor, zanalyzovaním potrieb a problémov daného územia a ďalších základných znako</w:t>
      </w:r>
      <w:r w:rsidR="00F10564">
        <w:rPr>
          <w:rFonts w:ascii="Calibri" w:eastAsia="SimSun" w:hAnsi="Calibri" w:cs="Calibri"/>
          <w:bCs/>
          <w:kern w:val="1"/>
          <w:szCs w:val="22"/>
          <w:lang w:eastAsia="ar-SA"/>
        </w:rPr>
        <w:t>v</w:t>
      </w:r>
      <w:r w:rsidRPr="008676F9">
        <w:rPr>
          <w:rFonts w:ascii="Calibri" w:eastAsia="SimSun" w:hAnsi="Calibri" w:cs="Calibri"/>
          <w:bCs/>
          <w:kern w:val="1"/>
          <w:szCs w:val="22"/>
          <w:lang w:eastAsia="ar-SA"/>
        </w:rPr>
        <w:t xml:space="preserve"> metódy LEADER</w:t>
      </w:r>
      <w:r w:rsidR="00F10564">
        <w:rPr>
          <w:rFonts w:ascii="Calibri" w:eastAsia="SimSun" w:hAnsi="Calibri" w:cs="Calibri"/>
          <w:bCs/>
          <w:kern w:val="1"/>
          <w:szCs w:val="22"/>
          <w:lang w:eastAsia="ar-SA"/>
        </w:rPr>
        <w:t>/CLLD</w:t>
      </w:r>
      <w:r w:rsidRPr="008676F9">
        <w:rPr>
          <w:rFonts w:ascii="Calibri" w:eastAsia="SimSun" w:hAnsi="Calibri" w:cs="Calibri"/>
          <w:bCs/>
          <w:kern w:val="1"/>
          <w:szCs w:val="22"/>
          <w:lang w:eastAsia="ar-SA"/>
        </w:rPr>
        <w:t>.  Výsledky budú prispievať k príprave a vytvoreniu predpokladu na zvýšenie kvality života na vidieku na území SR.</w:t>
      </w:r>
    </w:p>
    <w:p w:rsidR="008676F9" w:rsidRPr="008676F9" w:rsidRDefault="008676F9" w:rsidP="00F14F63">
      <w:pPr>
        <w:suppressAutoHyphens/>
        <w:rPr>
          <w:rFonts w:ascii="Calibri" w:eastAsia="SimSun" w:hAnsi="Calibri" w:cs="Calibri"/>
          <w:kern w:val="1"/>
          <w:szCs w:val="22"/>
          <w:lang w:eastAsia="ar-SA"/>
        </w:rPr>
      </w:pPr>
    </w:p>
    <w:p w:rsidR="008676F9" w:rsidRPr="008676F9" w:rsidRDefault="008676F9" w:rsidP="00F14F63">
      <w:pPr>
        <w:suppressAutoHyphens/>
        <w:rPr>
          <w:rFonts w:ascii="Calibri" w:eastAsia="SimSun" w:hAnsi="Calibri" w:cs="Calibri"/>
          <w:bCs/>
          <w:kern w:val="1"/>
          <w:szCs w:val="22"/>
          <w:lang w:eastAsia="ar-SA"/>
        </w:rPr>
      </w:pPr>
      <w:r w:rsidRPr="008676F9">
        <w:rPr>
          <w:rFonts w:ascii="Calibri" w:eastAsia="SimSun" w:hAnsi="Calibri" w:cs="Calibri"/>
          <w:bCs/>
          <w:kern w:val="1"/>
          <w:szCs w:val="22"/>
          <w:u w:val="single"/>
          <w:lang w:eastAsia="ar-SA"/>
        </w:rPr>
        <w:t>Typ podpory:</w:t>
      </w:r>
    </w:p>
    <w:p w:rsidR="008676F9" w:rsidRPr="008676F9" w:rsidRDefault="008676F9" w:rsidP="00F14F63">
      <w:pPr>
        <w:suppressAutoHyphens/>
        <w:rPr>
          <w:rFonts w:ascii="Calibri" w:eastAsia="SimSun" w:hAnsi="Calibri" w:cs="Calibri"/>
          <w:kern w:val="1"/>
          <w:szCs w:val="22"/>
          <w:lang w:eastAsia="ar-SA"/>
        </w:rPr>
      </w:pPr>
      <w:r w:rsidRPr="008676F9">
        <w:rPr>
          <w:rFonts w:ascii="Calibri" w:eastAsia="SimSun" w:hAnsi="Calibri" w:cs="Calibri"/>
          <w:bCs/>
          <w:kern w:val="1"/>
          <w:szCs w:val="22"/>
          <w:lang w:eastAsia="ar-SA"/>
        </w:rPr>
        <w:t>nezisková, nenávratný finančný príspevok.</w:t>
      </w:r>
    </w:p>
    <w:p w:rsidR="008676F9" w:rsidRPr="008676F9" w:rsidRDefault="008676F9" w:rsidP="00F14F63">
      <w:pPr>
        <w:suppressAutoHyphens/>
        <w:rPr>
          <w:rFonts w:ascii="Calibri" w:eastAsia="SimSun" w:hAnsi="Calibri" w:cs="Calibri"/>
          <w:kern w:val="1"/>
          <w:szCs w:val="22"/>
          <w:lang w:eastAsia="ar-SA"/>
        </w:rPr>
      </w:pPr>
    </w:p>
    <w:p w:rsidR="008676F9" w:rsidRPr="008676F9" w:rsidRDefault="008676F9" w:rsidP="00F14F63">
      <w:pPr>
        <w:suppressAutoHyphens/>
        <w:rPr>
          <w:rFonts w:ascii="Calibri" w:eastAsia="SimSun" w:hAnsi="Calibri" w:cs="Calibri"/>
          <w:kern w:val="1"/>
          <w:szCs w:val="22"/>
          <w:u w:val="single"/>
          <w:lang w:eastAsia="ar-SA"/>
        </w:rPr>
      </w:pPr>
      <w:r w:rsidRPr="008676F9">
        <w:rPr>
          <w:rFonts w:ascii="Calibri" w:eastAsia="SimSun" w:hAnsi="Calibri" w:cs="Calibri"/>
          <w:kern w:val="1"/>
          <w:szCs w:val="22"/>
          <w:u w:val="single"/>
          <w:lang w:eastAsia="ar-SA"/>
        </w:rPr>
        <w:t>Súvislosť s inou legislatívou:</w:t>
      </w:r>
    </w:p>
    <w:p w:rsidR="008676F9" w:rsidRPr="008676F9" w:rsidRDefault="008676F9" w:rsidP="00F14F63">
      <w:pPr>
        <w:suppressAutoHyphens/>
        <w:rPr>
          <w:rFonts w:ascii="Calibri" w:eastAsia="SimSun" w:hAnsi="Calibri" w:cs="Calibri"/>
          <w:kern w:val="1"/>
          <w:szCs w:val="22"/>
          <w:lang w:eastAsia="ar-SA"/>
        </w:rPr>
      </w:pPr>
      <w:r w:rsidRPr="008676F9">
        <w:rPr>
          <w:rFonts w:ascii="Calibri" w:eastAsia="SimSun" w:hAnsi="Calibri" w:cs="Calibri"/>
          <w:kern w:val="1"/>
          <w:szCs w:val="22"/>
          <w:lang w:eastAsia="ar-SA"/>
        </w:rPr>
        <w:t>Integrovaný regionálny operačný program obsahuje prioritnú os CLLD. Nakoľko ide o integrovaný prístup, kedy MAS budú tvoriť stratégie financované z obidvoch fondov, prípravná podpora bude financovaná len z Programu rozvoja vidieka, pričom oprávnené budú všetky partnerstvá, ktoré neimplementovali LEADER v predchádzajúcom programovacom období.</w:t>
      </w:r>
    </w:p>
    <w:p w:rsidR="008676F9" w:rsidRPr="008676F9" w:rsidRDefault="008676F9" w:rsidP="00F14F63">
      <w:pPr>
        <w:suppressAutoHyphens/>
        <w:rPr>
          <w:rFonts w:ascii="Calibri" w:eastAsia="SimSun" w:hAnsi="Calibri" w:cs="Calibri"/>
          <w:kern w:val="1"/>
          <w:szCs w:val="22"/>
          <w:lang w:eastAsia="ar-SA"/>
        </w:rPr>
      </w:pPr>
    </w:p>
    <w:p w:rsidR="008676F9" w:rsidRPr="008676F9" w:rsidRDefault="008676F9" w:rsidP="00F14F63">
      <w:pPr>
        <w:suppressAutoHyphens/>
        <w:rPr>
          <w:rFonts w:ascii="Calibri" w:hAnsi="Calibri" w:cs="Calibri"/>
          <w:kern w:val="1"/>
          <w:szCs w:val="22"/>
          <w:u w:val="single"/>
          <w:lang w:eastAsia="ar-SA"/>
        </w:rPr>
      </w:pPr>
      <w:r w:rsidRPr="008676F9">
        <w:rPr>
          <w:rFonts w:ascii="Calibri" w:eastAsia="SimSun" w:hAnsi="Calibri" w:cs="Calibri"/>
          <w:kern w:val="1"/>
          <w:szCs w:val="22"/>
          <w:u w:val="single"/>
          <w:lang w:eastAsia="ar-SA"/>
        </w:rPr>
        <w:t>Prijímateľ podpory:</w:t>
      </w:r>
    </w:p>
    <w:p w:rsidR="008676F9" w:rsidRPr="008676F9" w:rsidRDefault="008676F9" w:rsidP="00F14F63">
      <w:pPr>
        <w:suppressAutoHyphens/>
        <w:autoSpaceDE w:val="0"/>
        <w:rPr>
          <w:rFonts w:eastAsia="Calibri" w:cs="Calibri"/>
          <w:kern w:val="1"/>
          <w:lang w:eastAsia="ar-SA"/>
        </w:rPr>
      </w:pPr>
      <w:r w:rsidRPr="008676F9">
        <w:rPr>
          <w:rFonts w:ascii="Calibri" w:hAnsi="Calibri" w:cs="Calibri"/>
          <w:kern w:val="1"/>
          <w:szCs w:val="22"/>
          <w:lang w:eastAsia="ar-SA"/>
        </w:rPr>
        <w:t>Verejno-súkromné partnerstvo, ktoré má právnu formu: občianske združenie v zmysle zákona č. 83/1990 Zb. o združovaní občanov v znení neskorších predpisov.</w:t>
      </w:r>
    </w:p>
    <w:p w:rsidR="008676F9" w:rsidRPr="008676F9" w:rsidRDefault="008676F9" w:rsidP="00F14F63">
      <w:pPr>
        <w:suppressAutoHyphens/>
        <w:rPr>
          <w:rFonts w:ascii="Calibri" w:eastAsia="SimSun" w:hAnsi="Calibri" w:cs="Calibri"/>
          <w:kern w:val="1"/>
          <w:szCs w:val="22"/>
          <w:u w:val="single"/>
          <w:lang w:eastAsia="ar-SA"/>
        </w:rPr>
      </w:pPr>
    </w:p>
    <w:p w:rsidR="008676F9" w:rsidRPr="008676F9" w:rsidRDefault="008676F9" w:rsidP="00F14F63">
      <w:pPr>
        <w:suppressAutoHyphens/>
        <w:rPr>
          <w:rFonts w:ascii="Calibri" w:eastAsia="SimSun" w:hAnsi="Calibri" w:cs="Calibri"/>
          <w:kern w:val="1"/>
          <w:szCs w:val="22"/>
          <w:u w:val="single"/>
          <w:lang w:eastAsia="ar-SA"/>
        </w:rPr>
      </w:pPr>
      <w:r w:rsidRPr="008676F9">
        <w:rPr>
          <w:rFonts w:ascii="Calibri" w:eastAsia="SimSun" w:hAnsi="Calibri" w:cs="Calibri"/>
          <w:kern w:val="1"/>
          <w:szCs w:val="22"/>
          <w:u w:val="single"/>
          <w:lang w:eastAsia="ar-SA"/>
        </w:rPr>
        <w:t>Oprávnené náklady:</w:t>
      </w:r>
    </w:p>
    <w:p w:rsidR="008676F9" w:rsidRPr="008676F9" w:rsidRDefault="008676F9" w:rsidP="00F14F63">
      <w:pPr>
        <w:suppressAutoHyphens/>
        <w:rPr>
          <w:rFonts w:ascii="Calibri" w:eastAsia="SimSun" w:hAnsi="Calibri" w:cs="Calibri"/>
          <w:kern w:val="1"/>
          <w:szCs w:val="22"/>
          <w:lang w:eastAsia="ar-SA"/>
        </w:rPr>
      </w:pPr>
      <w:r w:rsidRPr="008676F9">
        <w:rPr>
          <w:rFonts w:ascii="Calibri" w:eastAsia="SimSun" w:hAnsi="Calibri" w:cs="Calibri"/>
          <w:kern w:val="1"/>
          <w:szCs w:val="22"/>
          <w:lang w:eastAsia="ar-SA"/>
        </w:rPr>
        <w:t>Výdavky súvisiace s formovaním (animáciou) územia pripravujúceho sa na implementáciu nástroja CLLD a výdavky súvisiace s prípravou stratégie CLLD - výdavky na organizovanie workshopov, seminárov, exkurzií a školení a tréningov miestnych aktérov manažmentu, administratívne a personálne náklady</w:t>
      </w:r>
      <w:r w:rsidR="002E6EC8">
        <w:rPr>
          <w:rFonts w:ascii="Calibri" w:eastAsia="SimSun" w:hAnsi="Calibri" w:cs="Calibri"/>
          <w:kern w:val="1"/>
          <w:szCs w:val="22"/>
          <w:lang w:eastAsia="ar-SA"/>
        </w:rPr>
        <w:t xml:space="preserve"> a náklady na samotné vypracovanie stratégie</w:t>
      </w:r>
      <w:r w:rsidRPr="008676F9">
        <w:rPr>
          <w:rFonts w:ascii="Calibri" w:eastAsia="SimSun" w:hAnsi="Calibri" w:cs="Calibri"/>
          <w:kern w:val="1"/>
          <w:szCs w:val="22"/>
          <w:lang w:eastAsia="ar-SA"/>
        </w:rPr>
        <w:t>.</w:t>
      </w:r>
    </w:p>
    <w:p w:rsidR="008676F9" w:rsidRPr="008676F9" w:rsidRDefault="008676F9" w:rsidP="00F14F63">
      <w:pPr>
        <w:suppressAutoHyphens/>
        <w:rPr>
          <w:rFonts w:ascii="Calibri" w:eastAsia="SimSun" w:hAnsi="Calibri" w:cs="Calibri"/>
          <w:kern w:val="1"/>
          <w:szCs w:val="22"/>
          <w:lang w:eastAsia="ar-SA"/>
        </w:rPr>
      </w:pPr>
    </w:p>
    <w:p w:rsidR="008676F9" w:rsidRPr="008676F9" w:rsidRDefault="008676F9" w:rsidP="00F14F63">
      <w:pPr>
        <w:suppressAutoHyphens/>
        <w:rPr>
          <w:rFonts w:ascii="Calibri" w:eastAsia="SimSun" w:hAnsi="Calibri" w:cs="Calibri"/>
          <w:kern w:val="1"/>
          <w:szCs w:val="22"/>
          <w:u w:val="single"/>
          <w:lang w:eastAsia="ar-SA"/>
        </w:rPr>
      </w:pPr>
      <w:r w:rsidRPr="008676F9">
        <w:rPr>
          <w:rFonts w:ascii="Calibri" w:eastAsia="SimSun" w:hAnsi="Calibri" w:cs="Calibri"/>
          <w:kern w:val="1"/>
          <w:szCs w:val="22"/>
          <w:u w:val="single"/>
          <w:lang w:eastAsia="ar-SA"/>
        </w:rPr>
        <w:t>Podmienky oprávnenosti:</w:t>
      </w:r>
    </w:p>
    <w:p w:rsidR="008676F9" w:rsidRDefault="008676F9" w:rsidP="00F14F63">
      <w:pPr>
        <w:suppressAutoHyphens/>
        <w:rPr>
          <w:rFonts w:ascii="Calibri" w:eastAsia="SimSun" w:hAnsi="Calibri" w:cs="Calibri"/>
          <w:kern w:val="1"/>
          <w:szCs w:val="22"/>
          <w:lang w:eastAsia="ar-SA"/>
        </w:rPr>
      </w:pPr>
      <w:r w:rsidRPr="008676F9">
        <w:rPr>
          <w:rFonts w:ascii="Calibri" w:eastAsia="SimSun" w:hAnsi="Calibri" w:cs="Calibri"/>
          <w:kern w:val="1"/>
          <w:szCs w:val="22"/>
          <w:lang w:eastAsia="ar-SA"/>
        </w:rPr>
        <w:t>Oprávnené na podporu budú partnerstvá, ktoré neimplementovali prístup LEADER v predchádzajúcom období v rámci osi 4 LEADER v PRV 07-13</w:t>
      </w:r>
      <w:r w:rsidR="00D9234A">
        <w:rPr>
          <w:rFonts w:ascii="Calibri" w:eastAsia="SimSun" w:hAnsi="Calibri" w:cs="Calibri"/>
          <w:kern w:val="1"/>
          <w:szCs w:val="22"/>
          <w:lang w:eastAsia="ar-SA"/>
        </w:rPr>
        <w:t>.</w:t>
      </w:r>
    </w:p>
    <w:p w:rsidR="00D9234A" w:rsidRPr="008676F9" w:rsidRDefault="00D9234A" w:rsidP="00F14F63">
      <w:pPr>
        <w:suppressAutoHyphens/>
        <w:rPr>
          <w:rFonts w:ascii="Calibri" w:eastAsia="SimSun" w:hAnsi="Calibri" w:cs="Calibri"/>
          <w:kern w:val="1"/>
          <w:szCs w:val="22"/>
          <w:lang w:eastAsia="ar-SA"/>
        </w:rPr>
      </w:pPr>
    </w:p>
    <w:p w:rsidR="008676F9" w:rsidRPr="008676F9" w:rsidRDefault="008676F9" w:rsidP="00F14F63">
      <w:pPr>
        <w:suppressAutoHyphens/>
        <w:rPr>
          <w:rFonts w:ascii="Calibri" w:eastAsia="SimSun" w:hAnsi="Calibri" w:cs="Calibri"/>
          <w:kern w:val="1"/>
          <w:szCs w:val="22"/>
          <w:u w:val="single"/>
          <w:lang w:eastAsia="ar-SA"/>
        </w:rPr>
      </w:pPr>
      <w:r w:rsidRPr="008676F9">
        <w:rPr>
          <w:rFonts w:ascii="Calibri" w:eastAsia="SimSun" w:hAnsi="Calibri" w:cs="Calibri"/>
          <w:kern w:val="1"/>
          <w:szCs w:val="22"/>
          <w:u w:val="single"/>
          <w:lang w:eastAsia="ar-SA"/>
        </w:rPr>
        <w:t>Princípy nastavenia výberových kritérií:</w:t>
      </w:r>
    </w:p>
    <w:p w:rsidR="008676F9" w:rsidRDefault="008676F9" w:rsidP="00F14F63">
      <w:pPr>
        <w:suppressAutoHyphens/>
        <w:rPr>
          <w:rFonts w:ascii="Calibri" w:eastAsia="SimSun" w:hAnsi="Calibri" w:cs="Calibri"/>
          <w:kern w:val="1"/>
          <w:szCs w:val="22"/>
          <w:lang w:eastAsia="ar-SA"/>
        </w:rPr>
      </w:pPr>
      <w:r w:rsidRPr="008676F9">
        <w:rPr>
          <w:rFonts w:ascii="Calibri" w:eastAsia="SimSun" w:hAnsi="Calibri" w:cs="Calibri"/>
          <w:kern w:val="1"/>
          <w:szCs w:val="22"/>
          <w:lang w:eastAsia="ar-SA"/>
        </w:rPr>
        <w:t>Cieľom prípravnej podpory je poskytnúť podporu všetkým pripravujúcim sa partnerstvám bez doterajších skúseností z implementácie nástroja CLLD, ktoré predložia svoje žiadosti. Poskytnutie podpory bude koordinované s RO pre IROP, ako aj s VÚC, ktoré poskytujú podporu formujúcim sa miestnym akčným skupinám.</w:t>
      </w:r>
    </w:p>
    <w:p w:rsidR="003E3562" w:rsidRPr="008676F9" w:rsidRDefault="003E3562" w:rsidP="00F14F63">
      <w:pPr>
        <w:suppressAutoHyphens/>
        <w:rPr>
          <w:rFonts w:ascii="Calibri" w:eastAsia="SimSun" w:hAnsi="Calibri" w:cs="Calibri"/>
          <w:kern w:val="1"/>
          <w:szCs w:val="22"/>
          <w:lang w:eastAsia="ar-SA"/>
        </w:rPr>
      </w:pPr>
      <w:r>
        <w:rPr>
          <w:rFonts w:ascii="Calibri" w:eastAsia="SimSun" w:hAnsi="Calibri" w:cs="Calibri"/>
          <w:kern w:val="1"/>
          <w:szCs w:val="22"/>
          <w:lang w:eastAsia="ar-SA"/>
        </w:rPr>
        <w:t>V prípade, ak požiadavky budú presahovať disponibilné zdroje uprednostnené budú väčšie partnerstvá (t.j. tie, ktoré pokrývajú viac obyvateľov a</w:t>
      </w:r>
      <w:r w:rsidR="00D9234A">
        <w:rPr>
          <w:rFonts w:ascii="Calibri" w:eastAsia="SimSun" w:hAnsi="Calibri" w:cs="Calibri"/>
          <w:kern w:val="1"/>
          <w:szCs w:val="22"/>
          <w:lang w:eastAsia="ar-SA"/>
        </w:rPr>
        <w:t>/alebo</w:t>
      </w:r>
      <w:r>
        <w:rPr>
          <w:rFonts w:ascii="Calibri" w:eastAsia="SimSun" w:hAnsi="Calibri" w:cs="Calibri"/>
          <w:kern w:val="1"/>
          <w:szCs w:val="22"/>
          <w:lang w:eastAsia="ar-SA"/>
        </w:rPr>
        <w:t> väčšie územie).</w:t>
      </w:r>
    </w:p>
    <w:p w:rsidR="008676F9" w:rsidRPr="008676F9" w:rsidRDefault="008676F9" w:rsidP="00F14F63">
      <w:pPr>
        <w:suppressAutoHyphens/>
        <w:rPr>
          <w:rFonts w:ascii="Calibri" w:eastAsia="SimSun" w:hAnsi="Calibri" w:cs="Calibri"/>
          <w:kern w:val="1"/>
          <w:szCs w:val="22"/>
          <w:lang w:eastAsia="ar-SA"/>
        </w:rPr>
      </w:pPr>
    </w:p>
    <w:p w:rsidR="008676F9" w:rsidRPr="008676F9" w:rsidRDefault="008676F9" w:rsidP="00F14F63">
      <w:pPr>
        <w:suppressAutoHyphens/>
        <w:rPr>
          <w:rFonts w:ascii="Calibri" w:eastAsia="SimSun" w:hAnsi="Calibri" w:cs="Calibri"/>
          <w:kern w:val="1"/>
          <w:szCs w:val="22"/>
          <w:u w:val="single"/>
          <w:lang w:eastAsia="ar-SA"/>
        </w:rPr>
      </w:pPr>
      <w:r w:rsidRPr="008676F9">
        <w:rPr>
          <w:rFonts w:ascii="Calibri" w:eastAsia="SimSun" w:hAnsi="Calibri" w:cs="Calibri"/>
          <w:kern w:val="1"/>
          <w:szCs w:val="22"/>
          <w:u w:val="single"/>
          <w:lang w:eastAsia="ar-SA"/>
        </w:rPr>
        <w:t>Výška a miera podpory:</w:t>
      </w:r>
    </w:p>
    <w:p w:rsidR="00E81F0F" w:rsidRPr="00E81F0F" w:rsidRDefault="00E81F0F" w:rsidP="00E81F0F">
      <w:pPr>
        <w:suppressAutoHyphens/>
        <w:rPr>
          <w:rFonts w:ascii="Calibri" w:eastAsia="SimSun" w:hAnsi="Calibri" w:cs="Calibri"/>
          <w:bCs/>
          <w:kern w:val="1"/>
          <w:szCs w:val="22"/>
          <w:lang w:eastAsia="ar-SA"/>
        </w:rPr>
      </w:pPr>
      <w:r w:rsidRPr="00E81F0F">
        <w:rPr>
          <w:rFonts w:ascii="Calibri" w:eastAsia="SimSun" w:hAnsi="Calibri" w:cs="Calibri"/>
          <w:bCs/>
          <w:kern w:val="1"/>
          <w:szCs w:val="22"/>
          <w:lang w:eastAsia="ar-SA"/>
        </w:rPr>
        <w:t>Maximálna výška podpory z celkových oprávnených výdavkov:</w:t>
      </w:r>
    </w:p>
    <w:p w:rsidR="008676F9" w:rsidRPr="00E81F0F" w:rsidRDefault="00E81F0F" w:rsidP="00955DA4">
      <w:pPr>
        <w:pStyle w:val="Odsekzoznamu"/>
        <w:numPr>
          <w:ilvl w:val="0"/>
          <w:numId w:val="254"/>
        </w:numPr>
        <w:suppressAutoHyphens/>
        <w:rPr>
          <w:rFonts w:ascii="Calibri" w:eastAsia="SimSun" w:hAnsi="Calibri" w:cs="Calibri"/>
          <w:kern w:val="1"/>
          <w:szCs w:val="22"/>
          <w:lang w:eastAsia="ar-SA"/>
        </w:rPr>
      </w:pPr>
      <w:r>
        <w:rPr>
          <w:rFonts w:ascii="Calibri" w:eastAsia="SimSun" w:hAnsi="Calibri" w:cs="Calibri"/>
          <w:kern w:val="1"/>
          <w:szCs w:val="22"/>
          <w:lang w:eastAsia="ar-SA"/>
        </w:rPr>
        <w:t>100% s max. limitom</w:t>
      </w:r>
      <w:r w:rsidR="008676F9" w:rsidRPr="00E81F0F">
        <w:rPr>
          <w:rFonts w:ascii="Calibri" w:eastAsia="SimSun" w:hAnsi="Calibri" w:cs="Calibri"/>
          <w:kern w:val="1"/>
          <w:szCs w:val="22"/>
          <w:lang w:eastAsia="ar-SA"/>
        </w:rPr>
        <w:t xml:space="preserve"> 15 000 </w:t>
      </w:r>
      <w:r>
        <w:rPr>
          <w:rFonts w:ascii="Calibri" w:eastAsia="SimSun" w:hAnsi="Calibri" w:cs="Calibri"/>
          <w:kern w:val="1"/>
          <w:szCs w:val="22"/>
          <w:lang w:eastAsia="ar-SA"/>
        </w:rPr>
        <w:t>€</w:t>
      </w:r>
      <w:r w:rsidR="008676F9" w:rsidRPr="00E81F0F">
        <w:rPr>
          <w:rFonts w:ascii="Calibri" w:eastAsia="SimSun" w:hAnsi="Calibri" w:cs="Calibri"/>
          <w:kern w:val="1"/>
          <w:szCs w:val="22"/>
          <w:lang w:eastAsia="ar-SA"/>
        </w:rPr>
        <w:t>.</w:t>
      </w:r>
    </w:p>
    <w:p w:rsidR="008676F9" w:rsidRPr="008676F9" w:rsidRDefault="008676F9" w:rsidP="00F14F63">
      <w:pPr>
        <w:suppressAutoHyphens/>
        <w:rPr>
          <w:rFonts w:ascii="Calibri" w:eastAsia="SimSun" w:hAnsi="Calibri" w:cs="Calibri"/>
          <w:kern w:val="1"/>
          <w:szCs w:val="22"/>
          <w:lang w:eastAsia="ar-SA"/>
        </w:rPr>
      </w:pPr>
    </w:p>
    <w:p w:rsidR="008676F9" w:rsidRPr="00997BE5" w:rsidRDefault="008676F9" w:rsidP="00A03A77">
      <w:pPr>
        <w:shd w:val="clear" w:color="auto" w:fill="D6E3BC"/>
        <w:suppressAutoHyphens/>
        <w:ind w:left="1843" w:hanging="1843"/>
        <w:rPr>
          <w:rFonts w:ascii="Calibri" w:eastAsia="Calibri" w:hAnsi="Calibri" w:cs="Calibri"/>
          <w:bCs/>
          <w:kern w:val="1"/>
          <w:sz w:val="24"/>
          <w:lang w:eastAsia="ar-SA"/>
        </w:rPr>
      </w:pPr>
      <w:r w:rsidRPr="008676F9">
        <w:rPr>
          <w:rFonts w:ascii="Calibri" w:eastAsia="Calibri" w:hAnsi="Calibri" w:cs="Calibri"/>
          <w:bCs/>
          <w:kern w:val="1"/>
          <w:lang w:eastAsia="ar-SA"/>
        </w:rPr>
        <w:t xml:space="preserve">Podopatrenie: 19.2: </w:t>
      </w:r>
      <w:r w:rsidRPr="00997BE5">
        <w:rPr>
          <w:rFonts w:ascii="Calibri" w:eastAsia="Calibri" w:hAnsi="Calibri" w:cs="Calibri"/>
          <w:b/>
          <w:bCs/>
          <w:kern w:val="1"/>
          <w:sz w:val="24"/>
          <w:lang w:eastAsia="ar-SA"/>
        </w:rPr>
        <w:t>Podpora implementácie operácií v rámci stratégie miestneho rozvoja vedeného komunitou</w:t>
      </w:r>
    </w:p>
    <w:p w:rsidR="008676F9" w:rsidRPr="008676F9" w:rsidRDefault="008676F9" w:rsidP="00F14F63">
      <w:pPr>
        <w:shd w:val="clear" w:color="auto" w:fill="FBD4B4"/>
        <w:suppressAutoHyphens/>
        <w:rPr>
          <w:rFonts w:ascii="Calibri" w:eastAsia="SimSun" w:hAnsi="Calibri" w:cs="Calibri"/>
          <w:bCs/>
          <w:kern w:val="1"/>
          <w:szCs w:val="22"/>
          <w:u w:val="single"/>
          <w:lang w:eastAsia="ar-SA"/>
        </w:rPr>
      </w:pPr>
      <w:r w:rsidRPr="008676F9">
        <w:rPr>
          <w:rFonts w:ascii="Calibri" w:eastAsia="SimSun" w:hAnsi="Calibri" w:cs="Calibri"/>
          <w:bCs/>
          <w:kern w:val="1"/>
          <w:szCs w:val="22"/>
          <w:u w:val="single"/>
          <w:lang w:eastAsia="ar-SA"/>
        </w:rPr>
        <w:t>Názov operácie:</w:t>
      </w:r>
    </w:p>
    <w:p w:rsidR="008676F9" w:rsidRPr="008676F9" w:rsidRDefault="008676F9" w:rsidP="00F14F63">
      <w:pPr>
        <w:shd w:val="clear" w:color="auto" w:fill="FBD4B4"/>
        <w:suppressAutoHyphens/>
        <w:rPr>
          <w:rFonts w:ascii="Calibri" w:eastAsia="SimSun" w:hAnsi="Calibri" w:cs="Calibri"/>
          <w:bCs/>
          <w:kern w:val="1"/>
          <w:szCs w:val="22"/>
          <w:lang w:eastAsia="ar-SA"/>
        </w:rPr>
      </w:pPr>
      <w:r w:rsidRPr="008676F9">
        <w:rPr>
          <w:rFonts w:ascii="Calibri" w:eastAsia="SimSun" w:hAnsi="Calibri" w:cs="Calibri"/>
          <w:bCs/>
          <w:kern w:val="1"/>
          <w:szCs w:val="22"/>
          <w:lang w:eastAsia="ar-SA"/>
        </w:rPr>
        <w:t>Implementácia opatrení v rámci CLLD</w:t>
      </w:r>
    </w:p>
    <w:p w:rsidR="008676F9" w:rsidRPr="008676F9" w:rsidRDefault="008676F9" w:rsidP="00F14F63">
      <w:pPr>
        <w:suppressAutoHyphens/>
        <w:rPr>
          <w:rFonts w:ascii="Calibri" w:eastAsia="SimSun" w:hAnsi="Calibri" w:cs="Calibri"/>
          <w:bCs/>
          <w:kern w:val="1"/>
          <w:szCs w:val="22"/>
          <w:u w:val="single"/>
          <w:lang w:eastAsia="ar-SA"/>
        </w:rPr>
      </w:pPr>
    </w:p>
    <w:p w:rsidR="008676F9" w:rsidRPr="008676F9" w:rsidRDefault="008676F9" w:rsidP="00F14F63">
      <w:pPr>
        <w:suppressAutoHyphens/>
        <w:rPr>
          <w:rFonts w:ascii="Calibri" w:eastAsia="SimSun" w:hAnsi="Calibri" w:cs="Calibri"/>
          <w:kern w:val="1"/>
          <w:szCs w:val="22"/>
          <w:lang w:eastAsia="ar-SA"/>
        </w:rPr>
      </w:pPr>
      <w:r w:rsidRPr="008676F9">
        <w:rPr>
          <w:rFonts w:ascii="Calibri" w:eastAsia="SimSun" w:hAnsi="Calibri" w:cs="Calibri"/>
          <w:bCs/>
          <w:kern w:val="1"/>
          <w:szCs w:val="22"/>
          <w:u w:val="single"/>
          <w:lang w:eastAsia="ar-SA"/>
        </w:rPr>
        <w:t>Opis operácie:</w:t>
      </w:r>
      <w:r w:rsidRPr="008676F9">
        <w:rPr>
          <w:rFonts w:ascii="Calibri" w:eastAsia="SimSun" w:hAnsi="Calibri" w:cs="Calibri"/>
          <w:kern w:val="1"/>
          <w:szCs w:val="22"/>
          <w:lang w:eastAsia="ar-SA"/>
        </w:rPr>
        <w:t xml:space="preserve"> </w:t>
      </w:r>
    </w:p>
    <w:p w:rsidR="008676F9" w:rsidRPr="008676F9" w:rsidRDefault="008676F9" w:rsidP="00F14F63">
      <w:pPr>
        <w:suppressAutoHyphens/>
        <w:rPr>
          <w:rFonts w:ascii="Calibri" w:eastAsia="SimSun" w:hAnsi="Calibri" w:cs="Calibri"/>
          <w:kern w:val="1"/>
          <w:szCs w:val="22"/>
          <w:lang w:eastAsia="ar-SA"/>
        </w:rPr>
      </w:pPr>
      <w:r w:rsidRPr="008676F9">
        <w:rPr>
          <w:rFonts w:ascii="Calibri" w:eastAsia="SimSun" w:hAnsi="Calibri" w:cs="Calibri"/>
          <w:kern w:val="1"/>
          <w:szCs w:val="22"/>
          <w:lang w:eastAsia="ar-SA"/>
        </w:rPr>
        <w:t>V nadväznosti na oblasti, ktoré budú môcť realizovať MAS v rámci stratégií CLLD z EFRR v rámci  CLLD v IROPe a s cieľom doplnkovosti PRV a IROP v oblasti podpory CLLD, sa v rámci opatrenia LEADER stanovujú nasledovné oblasti, ktoré budú môcť MAS v rámci stratégií CLLD financovať z EPFRV v nadväznosti na uvedené priority a oprávnené opatrenia v časti 8.2.16.2 tohto opatrenia:</w:t>
      </w:r>
    </w:p>
    <w:p w:rsidR="008676F9" w:rsidRPr="008676F9" w:rsidRDefault="008676F9" w:rsidP="00F14F63">
      <w:pPr>
        <w:suppressAutoHyphens/>
        <w:rPr>
          <w:rFonts w:ascii="Calibri" w:eastAsia="SimSun" w:hAnsi="Calibri" w:cs="Calibri"/>
          <w:kern w:val="1"/>
          <w:szCs w:val="22"/>
          <w:lang w:eastAsia="ar-SA"/>
        </w:rPr>
      </w:pPr>
      <w:r w:rsidRPr="008676F9">
        <w:rPr>
          <w:rFonts w:ascii="Calibri" w:eastAsia="SimSun" w:hAnsi="Calibri" w:cs="Calibri"/>
          <w:kern w:val="1"/>
          <w:szCs w:val="22"/>
          <w:lang w:eastAsia="ar-SA"/>
        </w:rPr>
        <w:t>Oblasti zamerania v rámci LEADER:</w:t>
      </w:r>
    </w:p>
    <w:p w:rsidR="008676F9" w:rsidRPr="008676F9" w:rsidRDefault="008676F9" w:rsidP="00955DA4">
      <w:pPr>
        <w:numPr>
          <w:ilvl w:val="0"/>
          <w:numId w:val="255"/>
        </w:numPr>
        <w:suppressAutoHyphens/>
        <w:rPr>
          <w:rFonts w:ascii="Calibri" w:eastAsia="SimSun" w:hAnsi="Calibri" w:cs="Calibri"/>
          <w:kern w:val="1"/>
          <w:szCs w:val="22"/>
          <w:lang w:eastAsia="ar-SA"/>
        </w:rPr>
      </w:pPr>
      <w:r w:rsidRPr="008676F9">
        <w:rPr>
          <w:rFonts w:ascii="Calibri" w:eastAsia="SimSun" w:hAnsi="Calibri" w:cs="Calibri"/>
          <w:i/>
          <w:kern w:val="1"/>
          <w:szCs w:val="22"/>
          <w:lang w:eastAsia="ar-SA"/>
        </w:rPr>
        <w:t>Konkurencieschopnosť a diverzifikácia poľnohospodárstva a lesníctva</w:t>
      </w:r>
      <w:r w:rsidRPr="008676F9">
        <w:rPr>
          <w:rFonts w:ascii="Calibri" w:eastAsia="SimSun" w:hAnsi="Calibri" w:cs="Calibri"/>
          <w:kern w:val="1"/>
          <w:szCs w:val="22"/>
          <w:lang w:eastAsia="ar-SA"/>
        </w:rPr>
        <w:t xml:space="preserve"> – podpora podnikov, malých fariem, mladých farmárov, cieľom má byť zvýšenie konkurencieschopnosti poľnohospodárstva a lesníctva, podpora začatia podnikania, umiestnenie produktov na trh, investície do spracovania a marketingu miestnych výrobkov, krátke dodávateľsko-odberateľské reťazce, diverzifikácia poľnohospodárskej výroby.</w:t>
      </w:r>
    </w:p>
    <w:p w:rsidR="008676F9" w:rsidRPr="008676F9" w:rsidRDefault="008676F9" w:rsidP="00F14F63">
      <w:pPr>
        <w:suppressAutoHyphens/>
        <w:rPr>
          <w:rFonts w:ascii="Calibri" w:eastAsia="SimSun" w:hAnsi="Calibri" w:cs="Calibri"/>
          <w:kern w:val="1"/>
          <w:szCs w:val="22"/>
          <w:lang w:eastAsia="ar-SA"/>
        </w:rPr>
      </w:pPr>
    </w:p>
    <w:p w:rsidR="008676F9" w:rsidRPr="008676F9" w:rsidRDefault="008676F9" w:rsidP="00955DA4">
      <w:pPr>
        <w:numPr>
          <w:ilvl w:val="0"/>
          <w:numId w:val="255"/>
        </w:numPr>
        <w:suppressAutoHyphens/>
        <w:rPr>
          <w:rFonts w:ascii="Calibri" w:eastAsia="SimSun" w:hAnsi="Calibri" w:cs="Calibri"/>
          <w:kern w:val="1"/>
          <w:szCs w:val="22"/>
          <w:lang w:eastAsia="ar-SA"/>
        </w:rPr>
      </w:pPr>
      <w:r w:rsidRPr="008676F9">
        <w:rPr>
          <w:rFonts w:ascii="Calibri" w:eastAsia="SimSun" w:hAnsi="Calibri" w:cs="Calibri"/>
          <w:i/>
          <w:kern w:val="1"/>
          <w:szCs w:val="22"/>
          <w:lang w:eastAsia="ar-SA"/>
        </w:rPr>
        <w:t>Kvalita života</w:t>
      </w:r>
      <w:r w:rsidRPr="008676F9">
        <w:rPr>
          <w:rFonts w:ascii="Calibri" w:eastAsia="SimSun" w:hAnsi="Calibri" w:cs="Calibri"/>
          <w:kern w:val="1"/>
          <w:szCs w:val="22"/>
          <w:lang w:eastAsia="ar-SA"/>
        </w:rPr>
        <w:t xml:space="preserve"> – obnova a rozvoj obcí cez investície do drobnej infraštruktúry a miestnych služieb, </w:t>
      </w:r>
      <w:r w:rsidR="00F10564">
        <w:rPr>
          <w:rFonts w:ascii="Calibri" w:eastAsia="SimSun" w:hAnsi="Calibri" w:cs="Calibri"/>
          <w:kern w:val="1"/>
          <w:szCs w:val="22"/>
          <w:lang w:eastAsia="ar-SA"/>
        </w:rPr>
        <w:t xml:space="preserve">zveľaďovanie vidieckeho priestoru, </w:t>
      </w:r>
      <w:r w:rsidRPr="008676F9">
        <w:rPr>
          <w:rFonts w:ascii="Calibri" w:eastAsia="SimSun" w:hAnsi="Calibri" w:cs="Calibri"/>
          <w:kern w:val="1"/>
          <w:szCs w:val="22"/>
          <w:lang w:eastAsia="ar-SA"/>
        </w:rPr>
        <w:t>vytváranie podmienok pre podnikateľskú, komunitnú, spolkovú a športovú činnosť obyvateľov, posilňovanie tradícií , histórie územia a zvykov</w:t>
      </w:r>
    </w:p>
    <w:p w:rsidR="008676F9" w:rsidRPr="008676F9" w:rsidRDefault="008676F9" w:rsidP="00F14F63">
      <w:pPr>
        <w:suppressAutoHyphens/>
        <w:rPr>
          <w:rFonts w:ascii="Calibri" w:eastAsia="SimSun" w:hAnsi="Calibri" w:cs="Calibri"/>
          <w:kern w:val="1"/>
          <w:szCs w:val="22"/>
          <w:lang w:eastAsia="ar-SA"/>
        </w:rPr>
      </w:pPr>
    </w:p>
    <w:p w:rsidR="008676F9" w:rsidRPr="008676F9" w:rsidRDefault="008676F9" w:rsidP="00955DA4">
      <w:pPr>
        <w:numPr>
          <w:ilvl w:val="0"/>
          <w:numId w:val="255"/>
        </w:numPr>
        <w:suppressAutoHyphens/>
        <w:rPr>
          <w:rFonts w:ascii="Calibri" w:eastAsia="SimSun" w:hAnsi="Calibri" w:cs="Calibri"/>
          <w:kern w:val="1"/>
          <w:szCs w:val="22"/>
          <w:lang w:eastAsia="ar-SA"/>
        </w:rPr>
      </w:pPr>
      <w:r w:rsidRPr="008676F9">
        <w:rPr>
          <w:rFonts w:ascii="Calibri" w:eastAsia="SimSun" w:hAnsi="Calibri" w:cs="Calibri"/>
          <w:i/>
          <w:kern w:val="1"/>
          <w:szCs w:val="22"/>
          <w:lang w:eastAsia="ar-SA"/>
        </w:rPr>
        <w:t>Vidiecky cestovný ruch (VCR)</w:t>
      </w:r>
      <w:r w:rsidRPr="008676F9">
        <w:rPr>
          <w:rFonts w:ascii="Calibri" w:eastAsia="SimSun" w:hAnsi="Calibri" w:cs="Calibri"/>
          <w:kern w:val="1"/>
          <w:szCs w:val="22"/>
          <w:lang w:eastAsia="ar-SA"/>
        </w:rPr>
        <w:t xml:space="preserve"> – verejné a súkromné investície do rozvoja VCR, investície, ktoré zvýšia a podporia využitie potenciálu VCR v území, zlepšia  kvalitu služieb, vytvoria doplnkové služby,  investície do podpory agroturizmu, marketing a propagácia, infraštruktúra VCR, investície v oblasti rozvoja cykloturistiky a pod.</w:t>
      </w:r>
    </w:p>
    <w:p w:rsidR="008676F9" w:rsidRPr="008676F9" w:rsidRDefault="008676F9" w:rsidP="00F14F63">
      <w:pPr>
        <w:suppressAutoHyphens/>
        <w:rPr>
          <w:rFonts w:ascii="Calibri" w:eastAsia="SimSun" w:hAnsi="Calibri" w:cs="Calibri"/>
          <w:kern w:val="1"/>
          <w:szCs w:val="22"/>
          <w:lang w:eastAsia="ar-SA"/>
        </w:rPr>
      </w:pPr>
    </w:p>
    <w:p w:rsidR="008676F9" w:rsidRPr="008676F9" w:rsidRDefault="008676F9" w:rsidP="00955DA4">
      <w:pPr>
        <w:numPr>
          <w:ilvl w:val="0"/>
          <w:numId w:val="255"/>
        </w:numPr>
        <w:suppressAutoHyphens/>
        <w:rPr>
          <w:rFonts w:ascii="Calibri" w:eastAsia="SimSun" w:hAnsi="Calibri" w:cs="Calibri"/>
          <w:kern w:val="1"/>
          <w:szCs w:val="22"/>
          <w:lang w:eastAsia="ar-SA"/>
        </w:rPr>
      </w:pPr>
      <w:r w:rsidRPr="008676F9">
        <w:rPr>
          <w:rFonts w:ascii="Calibri" w:eastAsia="SimSun" w:hAnsi="Calibri" w:cs="Calibri"/>
          <w:kern w:val="1"/>
          <w:szCs w:val="22"/>
          <w:lang w:eastAsia="ar-SA"/>
        </w:rPr>
        <w:t>Technológie šetrné k životnému prostrediu, inováci</w:t>
      </w:r>
      <w:r w:rsidR="00F10564">
        <w:rPr>
          <w:rFonts w:ascii="Calibri" w:eastAsia="SimSun" w:hAnsi="Calibri" w:cs="Calibri"/>
          <w:kern w:val="1"/>
          <w:szCs w:val="22"/>
          <w:lang w:eastAsia="ar-SA"/>
        </w:rPr>
        <w:t>e</w:t>
      </w:r>
      <w:r w:rsidRPr="008676F9">
        <w:rPr>
          <w:rFonts w:ascii="Calibri" w:eastAsia="SimSun" w:hAnsi="Calibri" w:cs="Calibri"/>
          <w:kern w:val="1"/>
          <w:szCs w:val="22"/>
          <w:lang w:eastAsia="ar-SA"/>
        </w:rPr>
        <w:t xml:space="preserve"> a vedomostn</w:t>
      </w:r>
      <w:r w:rsidR="00F10564">
        <w:rPr>
          <w:rFonts w:ascii="Calibri" w:eastAsia="SimSun" w:hAnsi="Calibri" w:cs="Calibri"/>
          <w:kern w:val="1"/>
          <w:szCs w:val="22"/>
          <w:lang w:eastAsia="ar-SA"/>
        </w:rPr>
        <w:t>á</w:t>
      </w:r>
      <w:r w:rsidRPr="008676F9">
        <w:rPr>
          <w:rFonts w:ascii="Calibri" w:eastAsia="SimSun" w:hAnsi="Calibri" w:cs="Calibri"/>
          <w:kern w:val="1"/>
          <w:szCs w:val="22"/>
          <w:lang w:eastAsia="ar-SA"/>
        </w:rPr>
        <w:t xml:space="preserve"> základ</w:t>
      </w:r>
      <w:r w:rsidR="00F10564">
        <w:rPr>
          <w:rFonts w:ascii="Calibri" w:eastAsia="SimSun" w:hAnsi="Calibri" w:cs="Calibri"/>
          <w:kern w:val="1"/>
          <w:szCs w:val="22"/>
          <w:lang w:eastAsia="ar-SA"/>
        </w:rPr>
        <w:t>ňa</w:t>
      </w:r>
      <w:r w:rsidRPr="008676F9">
        <w:rPr>
          <w:rFonts w:ascii="Calibri" w:eastAsia="SimSun" w:hAnsi="Calibri" w:cs="Calibri"/>
          <w:kern w:val="1"/>
          <w:szCs w:val="22"/>
          <w:lang w:eastAsia="ar-SA"/>
        </w:rPr>
        <w:t xml:space="preserve"> vo vidieckych oblastiach a využívani</w:t>
      </w:r>
      <w:r w:rsidR="00F10564">
        <w:rPr>
          <w:rFonts w:ascii="Calibri" w:eastAsia="SimSun" w:hAnsi="Calibri" w:cs="Calibri"/>
          <w:kern w:val="1"/>
          <w:szCs w:val="22"/>
          <w:lang w:eastAsia="ar-SA"/>
        </w:rPr>
        <w:t>e</w:t>
      </w:r>
      <w:r w:rsidRPr="008676F9">
        <w:rPr>
          <w:rFonts w:ascii="Calibri" w:eastAsia="SimSun" w:hAnsi="Calibri" w:cs="Calibri"/>
          <w:kern w:val="1"/>
          <w:szCs w:val="22"/>
          <w:lang w:eastAsia="ar-SA"/>
        </w:rPr>
        <w:t xml:space="preserve"> IKT – investície do </w:t>
      </w:r>
      <w:r w:rsidR="00F10564">
        <w:rPr>
          <w:rFonts w:ascii="Calibri" w:eastAsia="SimSun" w:hAnsi="Calibri" w:cs="Calibri"/>
          <w:kern w:val="1"/>
          <w:szCs w:val="22"/>
          <w:lang w:eastAsia="ar-SA"/>
        </w:rPr>
        <w:t>OZE</w:t>
      </w:r>
      <w:r w:rsidRPr="008676F9">
        <w:rPr>
          <w:rFonts w:ascii="Calibri" w:eastAsia="SimSun" w:hAnsi="Calibri" w:cs="Calibri"/>
          <w:kern w:val="1"/>
          <w:szCs w:val="22"/>
          <w:lang w:eastAsia="ar-SA"/>
        </w:rPr>
        <w:t>, vzdelávacie a informačné akcie, výmenné návštevy podnikov, spolupráca – zameranie na zavádzanie inovácií, zlepšovanie výkonnosti podnikov, prenos vedomostí v oblasti vidieckeho cestovného ruchu, investície podporujúce využívanie IKT.</w:t>
      </w:r>
    </w:p>
    <w:p w:rsidR="008676F9" w:rsidRPr="008676F9" w:rsidRDefault="008676F9" w:rsidP="00F14F63">
      <w:pPr>
        <w:suppressAutoHyphens/>
        <w:rPr>
          <w:rFonts w:ascii="Calibri" w:eastAsia="SimSun" w:hAnsi="Calibri" w:cs="Calibri"/>
          <w:kern w:val="1"/>
          <w:szCs w:val="22"/>
          <w:lang w:eastAsia="ar-SA"/>
        </w:rPr>
      </w:pPr>
    </w:p>
    <w:p w:rsidR="008676F9" w:rsidRPr="008676F9" w:rsidRDefault="008676F9" w:rsidP="00F14F63">
      <w:pPr>
        <w:suppressAutoHyphens/>
        <w:rPr>
          <w:rFonts w:ascii="Calibri" w:eastAsia="SimSun" w:hAnsi="Calibri" w:cs="Calibri"/>
          <w:bCs/>
          <w:kern w:val="1"/>
          <w:szCs w:val="22"/>
          <w:lang w:eastAsia="ar-SA"/>
        </w:rPr>
      </w:pPr>
      <w:r w:rsidRPr="008676F9">
        <w:rPr>
          <w:rFonts w:ascii="Calibri" w:eastAsia="SimSun" w:hAnsi="Calibri" w:cs="Calibri"/>
          <w:bCs/>
          <w:kern w:val="1"/>
          <w:szCs w:val="22"/>
          <w:u w:val="single"/>
          <w:lang w:eastAsia="ar-SA"/>
        </w:rPr>
        <w:t>Typ podpory:</w:t>
      </w:r>
    </w:p>
    <w:p w:rsidR="008676F9" w:rsidRPr="008676F9" w:rsidRDefault="008676F9" w:rsidP="00F14F63">
      <w:pPr>
        <w:suppressAutoHyphens/>
        <w:rPr>
          <w:rFonts w:ascii="Calibri" w:eastAsia="SimSun" w:hAnsi="Calibri" w:cs="Calibri"/>
          <w:bCs/>
          <w:kern w:val="1"/>
          <w:szCs w:val="22"/>
          <w:u w:val="single"/>
          <w:lang w:eastAsia="ar-SA"/>
        </w:rPr>
      </w:pPr>
      <w:r w:rsidRPr="008676F9">
        <w:rPr>
          <w:rFonts w:ascii="Calibri" w:eastAsia="SimSun" w:hAnsi="Calibri" w:cs="Calibri"/>
          <w:bCs/>
          <w:kern w:val="1"/>
          <w:szCs w:val="22"/>
          <w:lang w:eastAsia="ar-SA"/>
        </w:rPr>
        <w:t>Investičná/neinvestičná, zisková/nezisková, nenávratný finančný príspevok.</w:t>
      </w:r>
    </w:p>
    <w:p w:rsidR="008676F9" w:rsidRPr="008676F9" w:rsidRDefault="008676F9" w:rsidP="00F14F63">
      <w:pPr>
        <w:suppressAutoHyphens/>
        <w:rPr>
          <w:rFonts w:ascii="Calibri" w:eastAsia="SimSun" w:hAnsi="Calibri" w:cs="Calibri"/>
          <w:bCs/>
          <w:kern w:val="1"/>
          <w:szCs w:val="22"/>
          <w:u w:val="single"/>
          <w:lang w:eastAsia="ar-SA"/>
        </w:rPr>
      </w:pPr>
    </w:p>
    <w:p w:rsidR="008676F9" w:rsidRPr="008676F9" w:rsidRDefault="008676F9" w:rsidP="00F14F63">
      <w:pPr>
        <w:suppressAutoHyphens/>
        <w:rPr>
          <w:rFonts w:ascii="Calibri" w:eastAsia="SimSun" w:hAnsi="Calibri" w:cs="Calibri"/>
          <w:bCs/>
          <w:kern w:val="1"/>
          <w:szCs w:val="22"/>
          <w:lang w:eastAsia="ar-SA"/>
        </w:rPr>
      </w:pPr>
      <w:r w:rsidRPr="008676F9">
        <w:rPr>
          <w:rFonts w:ascii="Calibri" w:eastAsia="SimSun" w:hAnsi="Calibri" w:cs="Calibri"/>
          <w:bCs/>
          <w:kern w:val="1"/>
          <w:szCs w:val="22"/>
          <w:u w:val="single"/>
          <w:lang w:eastAsia="ar-SA"/>
        </w:rPr>
        <w:t>Súvislosť s inou legislatívou:</w:t>
      </w:r>
    </w:p>
    <w:p w:rsidR="00D9234A" w:rsidRPr="008676F9" w:rsidRDefault="00D9234A" w:rsidP="00D9234A">
      <w:pPr>
        <w:suppressAutoHyphens/>
        <w:spacing w:after="120"/>
        <w:rPr>
          <w:rFonts w:ascii="Calibri" w:eastAsia="SimSun" w:hAnsi="Calibri" w:cs="Calibri"/>
          <w:bCs/>
          <w:kern w:val="1"/>
          <w:szCs w:val="22"/>
          <w:lang w:eastAsia="ar-SA"/>
        </w:rPr>
      </w:pPr>
      <w:r w:rsidRPr="008676F9">
        <w:rPr>
          <w:rFonts w:ascii="Calibri" w:eastAsia="SimSun" w:hAnsi="Calibri" w:cs="Calibri"/>
          <w:bCs/>
          <w:kern w:val="1"/>
          <w:szCs w:val="22"/>
          <w:lang w:eastAsia="ar-SA"/>
        </w:rPr>
        <w:t xml:space="preserve">IROP – doplnkovosť opatrenia LEADER voči prioritnej osi CLLD v IROPe je zabezpečená rozdielnymi typmi oprávnených oblastí príp. oprávnených žiadateľov. Oblasť podpory verejných výdavkov na obnovu a rozvoj obcí je oprávnená v rámci obidvoch fondov, </w:t>
      </w:r>
      <w:r>
        <w:rPr>
          <w:rFonts w:ascii="Calibri" w:eastAsia="SimSun" w:hAnsi="Calibri" w:cs="Calibri"/>
          <w:bCs/>
          <w:kern w:val="1"/>
          <w:szCs w:val="22"/>
          <w:lang w:eastAsia="ar-SA"/>
        </w:rPr>
        <w:t xml:space="preserve">pričom podpora IROPu sa bude zameriavať na podporu udržateľných vzťahov medzi vidieckymi rozvojovými centrami a ich zázemím vo verejných službách a vo verejných infraštruktúrach, </w:t>
      </w:r>
      <w:r w:rsidRPr="008676F9">
        <w:rPr>
          <w:rFonts w:ascii="Calibri" w:eastAsia="SimSun" w:hAnsi="Calibri" w:cs="Calibri"/>
          <w:bCs/>
          <w:kern w:val="1"/>
          <w:szCs w:val="22"/>
          <w:lang w:eastAsia="ar-SA"/>
        </w:rPr>
        <w:t>na úrovni stratégie CLLD</w:t>
      </w:r>
      <w:r>
        <w:rPr>
          <w:rFonts w:ascii="Calibri" w:eastAsia="SimSun" w:hAnsi="Calibri" w:cs="Calibri"/>
          <w:bCs/>
          <w:kern w:val="1"/>
          <w:szCs w:val="22"/>
          <w:lang w:eastAsia="ar-SA"/>
        </w:rPr>
        <w:t xml:space="preserve"> sa stanoví</w:t>
      </w:r>
      <w:r w:rsidRPr="008676F9">
        <w:rPr>
          <w:rFonts w:ascii="Calibri" w:eastAsia="SimSun" w:hAnsi="Calibri" w:cs="Calibri"/>
          <w:bCs/>
          <w:kern w:val="1"/>
          <w:szCs w:val="22"/>
          <w:lang w:eastAsia="ar-SA"/>
        </w:rPr>
        <w:t>, z ktorého fondu budú realizované aké typy aktivít.</w:t>
      </w:r>
    </w:p>
    <w:p w:rsidR="00D9234A" w:rsidRDefault="00D9234A" w:rsidP="00D9234A">
      <w:pPr>
        <w:suppressAutoHyphens/>
        <w:spacing w:after="120"/>
        <w:rPr>
          <w:rFonts w:ascii="Calibri" w:eastAsia="SimSun" w:hAnsi="Calibri" w:cs="Calibri"/>
          <w:bCs/>
          <w:kern w:val="1"/>
          <w:szCs w:val="22"/>
          <w:lang w:eastAsia="ar-SA"/>
        </w:rPr>
      </w:pPr>
      <w:r w:rsidRPr="008676F9">
        <w:rPr>
          <w:rFonts w:ascii="Calibri" w:eastAsia="SimSun" w:hAnsi="Calibri" w:cs="Calibri"/>
          <w:bCs/>
          <w:kern w:val="1"/>
          <w:szCs w:val="22"/>
          <w:lang w:eastAsia="ar-SA"/>
        </w:rPr>
        <w:t xml:space="preserve">OP Kvalita životného prostredia – operácie súvisiace s využívaním OZE v obciach, môžu byť v rámci stratégie CLLD realizované aj v obciach, ktoré sú oprávnené v rámci OP KŽP (obce nad 1 000 obyvateľov), tieto </w:t>
      </w:r>
      <w:r>
        <w:rPr>
          <w:rFonts w:ascii="Calibri" w:eastAsia="SimSun" w:hAnsi="Calibri" w:cs="Calibri"/>
          <w:bCs/>
          <w:kern w:val="1"/>
          <w:szCs w:val="22"/>
          <w:lang w:eastAsia="ar-SA"/>
        </w:rPr>
        <w:t xml:space="preserve">operácie </w:t>
      </w:r>
      <w:r w:rsidRPr="008676F9">
        <w:rPr>
          <w:rFonts w:ascii="Calibri" w:eastAsia="SimSun" w:hAnsi="Calibri" w:cs="Calibri"/>
          <w:bCs/>
          <w:kern w:val="1"/>
          <w:szCs w:val="22"/>
          <w:lang w:eastAsia="ar-SA"/>
        </w:rPr>
        <w:t>už však nebudú oprávnené v rámci OP KŽP.</w:t>
      </w:r>
    </w:p>
    <w:p w:rsidR="00D9234A" w:rsidRPr="008676F9" w:rsidRDefault="00D9234A" w:rsidP="00D9234A">
      <w:pPr>
        <w:suppressAutoHyphens/>
        <w:spacing w:after="120"/>
        <w:rPr>
          <w:rFonts w:ascii="Calibri" w:eastAsia="SimSun" w:hAnsi="Calibri" w:cs="Calibri"/>
          <w:bCs/>
          <w:kern w:val="1"/>
          <w:szCs w:val="22"/>
          <w:lang w:eastAsia="ar-SA"/>
        </w:rPr>
      </w:pPr>
      <w:r>
        <w:rPr>
          <w:rFonts w:ascii="Calibri" w:eastAsia="SimSun" w:hAnsi="Calibri" w:cs="Calibri"/>
          <w:bCs/>
          <w:kern w:val="1"/>
          <w:szCs w:val="22"/>
          <w:lang w:eastAsia="ar-SA"/>
        </w:rPr>
        <w:t>OP Ľudské zdroje – v prípade realizácie obdobných činností prostredníctvom stratégie CLLD ako sú v prioritnej osi 5 OP ľudské zdroje bude zabezpečená doplnkovosť na úrovni projektu. V OP ĽZ sú zároveň MAS ako aj žiadatelia z územia MAS medzi oprávnenými prijímateľmi.</w:t>
      </w:r>
    </w:p>
    <w:p w:rsidR="000E44E2" w:rsidRDefault="000E44E2" w:rsidP="000E44E2">
      <w:pPr>
        <w:suppressAutoHyphens/>
        <w:spacing w:after="120"/>
        <w:rPr>
          <w:rFonts w:ascii="Calibri" w:eastAsia="SimSun" w:hAnsi="Calibri" w:cs="Calibri"/>
          <w:bCs/>
          <w:kern w:val="1"/>
          <w:szCs w:val="22"/>
          <w:lang w:eastAsia="ar-SA"/>
        </w:rPr>
      </w:pPr>
      <w:r w:rsidRPr="000E44E2">
        <w:rPr>
          <w:rFonts w:ascii="Calibri" w:eastAsia="SimSun" w:hAnsi="Calibri" w:cs="Calibri"/>
          <w:bCs/>
          <w:kern w:val="1"/>
          <w:szCs w:val="22"/>
          <w:lang w:eastAsia="ar-SA"/>
        </w:rPr>
        <w:t>OP Výskum a inovácie – doplnkovosť v oblasti podpory podnikania bude zabezpečená na úrovni projektu, t.z. rovnaký projekt môže byť realizovaný len z jedného programu.</w:t>
      </w:r>
    </w:p>
    <w:p w:rsidR="00D9234A" w:rsidRPr="008676F9" w:rsidRDefault="00D9234A" w:rsidP="00D9234A">
      <w:pPr>
        <w:suppressAutoHyphens/>
        <w:rPr>
          <w:rFonts w:ascii="Calibri" w:eastAsia="SimSun" w:hAnsi="Calibri" w:cs="Calibri"/>
          <w:bCs/>
          <w:kern w:val="1"/>
          <w:szCs w:val="22"/>
          <w:lang w:eastAsia="ar-SA"/>
        </w:rPr>
      </w:pPr>
      <w:r w:rsidRPr="008676F9">
        <w:rPr>
          <w:rFonts w:ascii="Calibri" w:eastAsia="SimSun" w:hAnsi="Calibri" w:cs="Calibri"/>
          <w:bCs/>
          <w:kern w:val="1"/>
          <w:szCs w:val="22"/>
          <w:lang w:eastAsia="ar-SA"/>
        </w:rPr>
        <w:t>Operácie v iných operačných programoch – v rámci operácií realizovaných prostredníctvom opatrenia LEADER platia rovnaké pravidlá pre doplnkovosť/demarkácie ako v rámci štandardných opatrení v PRV voči iným operačným programom.</w:t>
      </w:r>
    </w:p>
    <w:p w:rsidR="008676F9" w:rsidRPr="008676F9" w:rsidRDefault="008676F9" w:rsidP="00F14F63">
      <w:pPr>
        <w:suppressAutoHyphens/>
        <w:rPr>
          <w:rFonts w:ascii="Calibri" w:eastAsia="SimSun" w:hAnsi="Calibri" w:cs="Calibri"/>
          <w:bCs/>
          <w:kern w:val="1"/>
          <w:szCs w:val="22"/>
          <w:u w:val="single"/>
          <w:lang w:eastAsia="ar-SA"/>
        </w:rPr>
      </w:pPr>
    </w:p>
    <w:p w:rsidR="008676F9" w:rsidRPr="008676F9" w:rsidRDefault="008676F9" w:rsidP="00F14F63">
      <w:pPr>
        <w:suppressAutoHyphens/>
        <w:rPr>
          <w:rFonts w:ascii="Calibri" w:eastAsia="SimSun" w:hAnsi="Calibri" w:cs="Calibri"/>
          <w:bCs/>
          <w:kern w:val="1"/>
          <w:szCs w:val="22"/>
          <w:lang w:eastAsia="ar-SA"/>
        </w:rPr>
      </w:pPr>
      <w:r w:rsidRPr="008676F9">
        <w:rPr>
          <w:rFonts w:ascii="Calibri" w:eastAsia="SimSun" w:hAnsi="Calibri" w:cs="Calibri"/>
          <w:bCs/>
          <w:kern w:val="1"/>
          <w:szCs w:val="22"/>
          <w:u w:val="single"/>
          <w:lang w:eastAsia="ar-SA"/>
        </w:rPr>
        <w:t>Prijímateľ podpory:</w:t>
      </w:r>
    </w:p>
    <w:p w:rsidR="00D9234A" w:rsidRPr="008676F9" w:rsidRDefault="00D9234A" w:rsidP="00D9234A">
      <w:pPr>
        <w:suppressAutoHyphens/>
        <w:spacing w:after="120"/>
        <w:rPr>
          <w:rFonts w:ascii="Calibri" w:eastAsia="SimSun" w:hAnsi="Calibri" w:cs="Calibri"/>
          <w:bCs/>
          <w:kern w:val="1"/>
          <w:szCs w:val="22"/>
          <w:u w:val="single"/>
          <w:shd w:val="clear" w:color="auto" w:fill="FFFF00"/>
          <w:lang w:eastAsia="ar-SA"/>
        </w:rPr>
      </w:pPr>
      <w:r w:rsidRPr="008676F9">
        <w:rPr>
          <w:rFonts w:ascii="Calibri" w:eastAsia="SimSun" w:hAnsi="Calibri" w:cs="Calibri"/>
          <w:bCs/>
          <w:kern w:val="1"/>
          <w:szCs w:val="22"/>
          <w:lang w:eastAsia="ar-SA"/>
        </w:rPr>
        <w:t>Subjekty</w:t>
      </w:r>
      <w:r>
        <w:rPr>
          <w:rFonts w:ascii="Calibri" w:eastAsia="SimSun" w:hAnsi="Calibri" w:cs="Calibri"/>
          <w:bCs/>
          <w:kern w:val="1"/>
          <w:szCs w:val="22"/>
          <w:lang w:eastAsia="ar-SA"/>
        </w:rPr>
        <w:t xml:space="preserve"> (zo súkromného, občianskeho a verejného sektora)</w:t>
      </w:r>
      <w:r w:rsidRPr="008676F9">
        <w:rPr>
          <w:rFonts w:ascii="Calibri" w:eastAsia="SimSun" w:hAnsi="Calibri" w:cs="Calibri"/>
          <w:bCs/>
          <w:kern w:val="1"/>
          <w:szCs w:val="22"/>
          <w:lang w:eastAsia="ar-SA"/>
        </w:rPr>
        <w:t xml:space="preserve"> nachádzajúce sa v území MAS, ktorá je vybraná RO na implementáciu stratégie miestneho rozvoja</w:t>
      </w:r>
      <w:r>
        <w:rPr>
          <w:rFonts w:ascii="Calibri" w:eastAsia="SimSun" w:hAnsi="Calibri" w:cs="Calibri"/>
          <w:bCs/>
          <w:kern w:val="1"/>
          <w:szCs w:val="22"/>
          <w:lang w:eastAsia="ar-SA"/>
        </w:rPr>
        <w:t xml:space="preserve"> a</w:t>
      </w:r>
      <w:r w:rsidRPr="008676F9">
        <w:rPr>
          <w:rFonts w:ascii="Calibri" w:eastAsia="SimSun" w:hAnsi="Calibri" w:cs="Calibri"/>
          <w:bCs/>
          <w:kern w:val="1"/>
          <w:szCs w:val="22"/>
          <w:lang w:eastAsia="ar-SA"/>
        </w:rPr>
        <w:t xml:space="preserve"> ktorá má právnu formu: občianske združenie – v zmysle zákona č. 83/1990 Zb. o združovaní občanov v znení neskorších predpisov.</w:t>
      </w:r>
      <w:r w:rsidRPr="008676F9">
        <w:rPr>
          <w:rFonts w:ascii="Calibri" w:eastAsia="SimSun" w:hAnsi="Calibri" w:cs="Calibri"/>
          <w:kern w:val="1"/>
          <w:szCs w:val="22"/>
          <w:lang w:eastAsia="ar-SA"/>
        </w:rPr>
        <w:t xml:space="preserve"> </w:t>
      </w:r>
      <w:r w:rsidRPr="008676F9">
        <w:rPr>
          <w:rFonts w:ascii="Calibri" w:eastAsia="SimSun" w:hAnsi="Calibri" w:cs="Calibri"/>
          <w:bCs/>
          <w:kern w:val="1"/>
          <w:szCs w:val="22"/>
          <w:lang w:eastAsia="ar-SA"/>
        </w:rPr>
        <w:t>Konečný prijímateľ bude v súlade s definovanými prijímateľmi podpory v rámci stratégie miestneho</w:t>
      </w:r>
      <w:r w:rsidRPr="008676F9">
        <w:rPr>
          <w:rFonts w:ascii="Calibri" w:eastAsia="SimSun" w:hAnsi="Calibri" w:cs="Calibri"/>
          <w:bCs/>
          <w:kern w:val="1"/>
          <w:szCs w:val="22"/>
          <w:lang w:eastAsia="ar-SA"/>
        </w:rPr>
        <w:lastRenderedPageBreak/>
        <w:t xml:space="preserve"> rozvoja v zmysle podmienok oprávnenosti vyplývajúcich z podmienok EPFRV</w:t>
      </w:r>
      <w:r>
        <w:rPr>
          <w:rFonts w:ascii="Calibri" w:eastAsia="SimSun" w:hAnsi="Calibri" w:cs="Calibri"/>
          <w:bCs/>
          <w:kern w:val="1"/>
          <w:szCs w:val="22"/>
          <w:lang w:eastAsia="ar-SA"/>
        </w:rPr>
        <w:t>,</w:t>
      </w:r>
      <w:r w:rsidRPr="008676F9">
        <w:rPr>
          <w:rFonts w:ascii="Calibri" w:eastAsia="SimSun" w:hAnsi="Calibri" w:cs="Calibri"/>
          <w:bCs/>
          <w:kern w:val="1"/>
          <w:szCs w:val="22"/>
          <w:lang w:eastAsia="ar-SA"/>
        </w:rPr>
        <w:t xml:space="preserve"> spoločných pravidiel pre všetky investície</w:t>
      </w:r>
      <w:r>
        <w:rPr>
          <w:rFonts w:ascii="Calibri" w:eastAsia="SimSun" w:hAnsi="Calibri" w:cs="Calibri"/>
          <w:bCs/>
          <w:kern w:val="1"/>
          <w:szCs w:val="22"/>
          <w:lang w:eastAsia="ar-SA"/>
        </w:rPr>
        <w:t xml:space="preserve"> ako aj podmienok uvedených v časti </w:t>
      </w:r>
      <w:r w:rsidRPr="000F142F">
        <w:rPr>
          <w:rFonts w:ascii="Calibri" w:eastAsia="Calibri" w:hAnsi="Calibri" w:cs="Calibri"/>
          <w:kern w:val="1"/>
          <w:szCs w:val="22"/>
          <w:lang w:eastAsia="ar-SA"/>
        </w:rPr>
        <w:t>8.2.16.2</w:t>
      </w:r>
      <w:r w:rsidRPr="008676F9">
        <w:rPr>
          <w:rFonts w:ascii="Calibri" w:eastAsia="SimSun" w:hAnsi="Calibri" w:cs="Calibri"/>
          <w:bCs/>
          <w:kern w:val="1"/>
          <w:szCs w:val="22"/>
          <w:lang w:eastAsia="ar-SA"/>
        </w:rPr>
        <w:t>.</w:t>
      </w:r>
    </w:p>
    <w:p w:rsidR="008676F9" w:rsidRDefault="008676F9" w:rsidP="003F6575">
      <w:pPr>
        <w:shd w:val="clear" w:color="auto" w:fill="FFFFFF"/>
        <w:suppressAutoHyphens/>
        <w:spacing w:after="120"/>
        <w:rPr>
          <w:rFonts w:ascii="Calibri" w:eastAsia="SimSun" w:hAnsi="Calibri" w:cs="Calibri"/>
          <w:bCs/>
          <w:kern w:val="1"/>
          <w:szCs w:val="22"/>
          <w:lang w:eastAsia="ar-SA"/>
        </w:rPr>
      </w:pPr>
      <w:r w:rsidRPr="008676F9">
        <w:rPr>
          <w:rFonts w:ascii="Calibri" w:eastAsia="SimSun" w:hAnsi="Calibri" w:cs="Calibri"/>
          <w:bCs/>
          <w:kern w:val="1"/>
          <w:szCs w:val="22"/>
          <w:lang w:eastAsia="ar-SA"/>
        </w:rPr>
        <w:t>Z podpory sú vylúčené obce s počtom obyvateľov nad 20 000 a samostatné mestské časti s počtom obyvateľov nad 5000 (iba pri obciach resp. mestských častiach ako žiadateľoch).</w:t>
      </w:r>
    </w:p>
    <w:p w:rsidR="00A37B18" w:rsidRPr="008676F9" w:rsidRDefault="00A37B18" w:rsidP="00F14F63">
      <w:pPr>
        <w:shd w:val="clear" w:color="auto" w:fill="FFFFFF"/>
        <w:suppressAutoHyphens/>
        <w:rPr>
          <w:rFonts w:ascii="Calibri" w:eastAsia="SimSun" w:hAnsi="Calibri" w:cs="Calibri"/>
          <w:bCs/>
          <w:kern w:val="1"/>
          <w:szCs w:val="22"/>
          <w:lang w:eastAsia="ar-SA"/>
        </w:rPr>
      </w:pPr>
      <w:r>
        <w:rPr>
          <w:rFonts w:ascii="Calibri" w:eastAsia="SimSun" w:hAnsi="Calibri" w:cs="Calibri"/>
          <w:bCs/>
          <w:kern w:val="1"/>
          <w:szCs w:val="22"/>
          <w:lang w:eastAsia="ar-SA"/>
        </w:rPr>
        <w:t>V súvislosti s podporou EFRR v rámci CLLD prostredníctvom IROP v oblasti podpory podnikania budú pri obdobných operáciách deliace línie na úrovni žiadateľov, pričom z EPFRV sú oprávnené poľnohospodárske subjekty, spracovatelia poľnohospodárskej prvovýroby a potravinárskej výroby a obhospodarovateľov lesa (v prípade investícií do lesných technológií) alebo subjekty, ktoré majú tržby z poľnohospodárskej alebo lesníckej činnosti presahujúce 30% z ich celkových tržieb.</w:t>
      </w:r>
    </w:p>
    <w:p w:rsidR="008676F9" w:rsidRPr="008676F9" w:rsidRDefault="008676F9" w:rsidP="00F14F63">
      <w:pPr>
        <w:suppressAutoHyphens/>
        <w:rPr>
          <w:rFonts w:ascii="Calibri" w:eastAsia="SimSun" w:hAnsi="Calibri" w:cs="Calibri"/>
          <w:bCs/>
          <w:kern w:val="1"/>
          <w:szCs w:val="22"/>
          <w:u w:val="single"/>
          <w:lang w:eastAsia="ar-SA"/>
        </w:rPr>
      </w:pPr>
    </w:p>
    <w:p w:rsidR="008676F9" w:rsidRPr="008676F9" w:rsidRDefault="008676F9" w:rsidP="00F14F63">
      <w:pPr>
        <w:suppressAutoHyphens/>
        <w:rPr>
          <w:rFonts w:ascii="Calibri" w:eastAsia="SimSun" w:hAnsi="Calibri" w:cs="Calibri"/>
          <w:kern w:val="1"/>
          <w:szCs w:val="22"/>
          <w:lang w:eastAsia="ar-SA"/>
        </w:rPr>
      </w:pPr>
      <w:r w:rsidRPr="008676F9">
        <w:rPr>
          <w:rFonts w:ascii="Calibri" w:eastAsia="SimSun" w:hAnsi="Calibri" w:cs="Calibri"/>
          <w:bCs/>
          <w:kern w:val="1"/>
          <w:szCs w:val="22"/>
          <w:u w:val="single"/>
          <w:lang w:eastAsia="ar-SA"/>
        </w:rPr>
        <w:t>Oprávnené náklady:</w:t>
      </w:r>
    </w:p>
    <w:p w:rsidR="008676F9" w:rsidRPr="008676F9" w:rsidRDefault="008676F9" w:rsidP="00955DA4">
      <w:pPr>
        <w:numPr>
          <w:ilvl w:val="0"/>
          <w:numId w:val="184"/>
        </w:numPr>
        <w:tabs>
          <w:tab w:val="left" w:pos="426"/>
        </w:tabs>
        <w:suppressAutoHyphens/>
        <w:rPr>
          <w:rFonts w:ascii="Calibri" w:eastAsia="SimSun" w:hAnsi="Calibri" w:cs="Calibri"/>
          <w:kern w:val="1"/>
          <w:szCs w:val="22"/>
          <w:lang w:eastAsia="ar-SA"/>
        </w:rPr>
      </w:pPr>
      <w:r w:rsidRPr="008676F9">
        <w:rPr>
          <w:rFonts w:ascii="Calibri" w:eastAsia="SimSun" w:hAnsi="Calibri" w:cs="Calibri"/>
          <w:kern w:val="1"/>
          <w:szCs w:val="22"/>
          <w:lang w:eastAsia="ar-SA"/>
        </w:rPr>
        <w:t xml:space="preserve">hmotné a nehmotné investície súvisiace s podporovanými oblasťami v rámci stratégie miestneho rozvoja </w:t>
      </w:r>
    </w:p>
    <w:p w:rsidR="008676F9" w:rsidRPr="008676F9" w:rsidRDefault="00A37B18" w:rsidP="00955DA4">
      <w:pPr>
        <w:numPr>
          <w:ilvl w:val="0"/>
          <w:numId w:val="184"/>
        </w:numPr>
        <w:tabs>
          <w:tab w:val="left" w:pos="426"/>
        </w:tabs>
        <w:suppressAutoHyphens/>
        <w:rPr>
          <w:rFonts w:ascii="Calibri" w:eastAsia="SimSun" w:hAnsi="Calibri" w:cs="Calibri"/>
          <w:bCs/>
          <w:kern w:val="1"/>
          <w:szCs w:val="22"/>
          <w:lang w:eastAsia="ar-SA"/>
        </w:rPr>
      </w:pPr>
      <w:r>
        <w:rPr>
          <w:rFonts w:ascii="Calibri" w:eastAsia="SimSun" w:hAnsi="Calibri" w:cs="Calibri"/>
          <w:kern w:val="1"/>
          <w:szCs w:val="22"/>
          <w:lang w:eastAsia="ar-SA"/>
        </w:rPr>
        <w:t xml:space="preserve">prioritne budú </w:t>
      </w:r>
      <w:r w:rsidRPr="008676F9">
        <w:rPr>
          <w:rFonts w:ascii="Calibri" w:eastAsia="SimSun" w:hAnsi="Calibri" w:cs="Calibri"/>
          <w:kern w:val="1"/>
          <w:szCs w:val="22"/>
          <w:lang w:eastAsia="ar-SA"/>
        </w:rPr>
        <w:t>oprávnené projekty</w:t>
      </w:r>
      <w:r w:rsidRPr="0034062B">
        <w:rPr>
          <w:rFonts w:ascii="Calibri" w:eastAsia="SimSun" w:hAnsi="Calibri" w:cs="Calibri"/>
          <w:kern w:val="1"/>
          <w:szCs w:val="22"/>
          <w:lang w:eastAsia="ar-SA"/>
        </w:rPr>
        <w:t xml:space="preserve"> </w:t>
      </w:r>
      <w:r>
        <w:rPr>
          <w:rFonts w:ascii="Calibri" w:eastAsia="SimSun" w:hAnsi="Calibri" w:cs="Calibri"/>
          <w:kern w:val="1"/>
          <w:szCs w:val="22"/>
          <w:lang w:eastAsia="ar-SA"/>
        </w:rPr>
        <w:t xml:space="preserve">lokálneho komunitného charakteru s menšou finančnou alokáciou, </w:t>
      </w:r>
      <w:r w:rsidRPr="008676F9">
        <w:rPr>
          <w:rFonts w:ascii="Calibri" w:eastAsia="SimSun" w:hAnsi="Calibri" w:cs="Calibri"/>
          <w:kern w:val="1"/>
          <w:szCs w:val="22"/>
          <w:lang w:eastAsia="ar-SA"/>
        </w:rPr>
        <w:t>kde výška finančného príspevku</w:t>
      </w:r>
      <w:r>
        <w:rPr>
          <w:rFonts w:ascii="Calibri" w:eastAsia="SimSun" w:hAnsi="Calibri" w:cs="Calibri"/>
          <w:kern w:val="1"/>
          <w:szCs w:val="22"/>
          <w:lang w:eastAsia="ar-SA"/>
        </w:rPr>
        <w:t xml:space="preserve"> spravidla nepresiahne </w:t>
      </w:r>
      <w:r w:rsidR="00D9234A">
        <w:rPr>
          <w:rFonts w:ascii="Calibri" w:eastAsia="SimSun" w:hAnsi="Calibri" w:cs="Calibri"/>
          <w:kern w:val="1"/>
          <w:szCs w:val="22"/>
          <w:lang w:eastAsia="ar-SA"/>
        </w:rPr>
        <w:t>10</w:t>
      </w:r>
      <w:r>
        <w:rPr>
          <w:rFonts w:ascii="Calibri" w:eastAsia="SimSun" w:hAnsi="Calibri" w:cs="Calibri"/>
          <w:kern w:val="1"/>
          <w:szCs w:val="22"/>
          <w:lang w:eastAsia="ar-SA"/>
        </w:rPr>
        <w:t xml:space="preserve">0 000 </w:t>
      </w:r>
      <w:r w:rsidR="00646537">
        <w:rPr>
          <w:rFonts w:ascii="Calibri" w:eastAsia="SimSun" w:hAnsi="Calibri" w:cs="Calibri"/>
          <w:kern w:val="1"/>
          <w:szCs w:val="22"/>
          <w:lang w:eastAsia="ar-SA"/>
        </w:rPr>
        <w:t>€</w:t>
      </w:r>
      <w:r>
        <w:rPr>
          <w:rFonts w:ascii="Calibri" w:eastAsia="SimSun" w:hAnsi="Calibri" w:cs="Calibri"/>
          <w:kern w:val="1"/>
          <w:szCs w:val="22"/>
          <w:lang w:eastAsia="ar-SA"/>
        </w:rPr>
        <w:t>, než veľké a finančne náročné infraštruktúrne projekty.</w:t>
      </w:r>
      <w:r w:rsidRPr="008676F9">
        <w:rPr>
          <w:rFonts w:ascii="Calibri" w:eastAsia="SimSun" w:hAnsi="Calibri" w:cs="Calibri"/>
          <w:kern w:val="1"/>
          <w:szCs w:val="22"/>
          <w:lang w:eastAsia="ar-SA"/>
        </w:rPr>
        <w:t xml:space="preserve"> </w:t>
      </w:r>
      <w:r>
        <w:rPr>
          <w:rFonts w:ascii="Calibri" w:eastAsia="SimSun" w:hAnsi="Calibri" w:cs="Calibri"/>
          <w:kern w:val="1"/>
          <w:szCs w:val="22"/>
          <w:lang w:eastAsia="ar-SA"/>
        </w:rPr>
        <w:t>Pri určitých typoch investícií môže byť uvedená suma príspevku v niektorých odôvodnených prípadoch vyššia, pričom zdôvodnenie bude súčasťou stratégie CLLD a bude vychádzať z analýz.</w:t>
      </w:r>
    </w:p>
    <w:p w:rsidR="008676F9" w:rsidRPr="008676F9" w:rsidRDefault="008676F9" w:rsidP="00F14F63">
      <w:pPr>
        <w:suppressAutoHyphens/>
        <w:rPr>
          <w:rFonts w:ascii="Calibri" w:eastAsia="SimSun" w:hAnsi="Calibri" w:cs="Calibri"/>
          <w:bCs/>
          <w:kern w:val="1"/>
          <w:szCs w:val="22"/>
          <w:lang w:eastAsia="ar-SA"/>
        </w:rPr>
      </w:pPr>
    </w:p>
    <w:p w:rsidR="008676F9" w:rsidRPr="008676F9" w:rsidRDefault="008676F9" w:rsidP="00F14F63">
      <w:pPr>
        <w:suppressAutoHyphens/>
        <w:rPr>
          <w:rFonts w:ascii="Calibri" w:eastAsia="SimSun" w:hAnsi="Calibri" w:cs="Calibri"/>
          <w:bCs/>
          <w:kern w:val="1"/>
          <w:szCs w:val="22"/>
          <w:lang w:eastAsia="ar-SA"/>
        </w:rPr>
      </w:pPr>
      <w:r w:rsidRPr="008676F9">
        <w:rPr>
          <w:rFonts w:ascii="Calibri" w:eastAsia="SimSun" w:hAnsi="Calibri" w:cs="Calibri"/>
          <w:bCs/>
          <w:kern w:val="1"/>
          <w:szCs w:val="22"/>
          <w:u w:val="single"/>
          <w:lang w:eastAsia="ar-SA"/>
        </w:rPr>
        <w:t xml:space="preserve">Podmienky oprávnenosti: </w:t>
      </w:r>
    </w:p>
    <w:p w:rsidR="008676F9" w:rsidRPr="008676F9" w:rsidRDefault="008676F9" w:rsidP="00955DA4">
      <w:pPr>
        <w:numPr>
          <w:ilvl w:val="0"/>
          <w:numId w:val="185"/>
        </w:numPr>
        <w:tabs>
          <w:tab w:val="left" w:pos="426"/>
        </w:tabs>
        <w:suppressAutoHyphens/>
        <w:rPr>
          <w:rFonts w:ascii="Calibri" w:eastAsia="SimSun" w:hAnsi="Calibri" w:cs="Calibri"/>
          <w:kern w:val="1"/>
          <w:szCs w:val="22"/>
          <w:lang w:eastAsia="ar-SA"/>
        </w:rPr>
      </w:pPr>
      <w:r w:rsidRPr="008676F9">
        <w:rPr>
          <w:rFonts w:ascii="Calibri" w:eastAsia="SimSun" w:hAnsi="Calibri" w:cs="Calibri"/>
          <w:kern w:val="1"/>
          <w:szCs w:val="22"/>
          <w:lang w:eastAsia="ar-SA"/>
        </w:rPr>
        <w:t>oprávnené sú všetky náklady, ktoré sú v súlade s cieľmi, prioritami a opatreniami uvedenými v časti 8.2.16.2 tohto opatrenia a tematickými oblasťami pre LEADER v rámci PRV a cieľmi stratégie miestneho rozvoja mimo neoprávnených výdavkov definovaných v metodickej príručke;</w:t>
      </w:r>
    </w:p>
    <w:p w:rsidR="008676F9" w:rsidRPr="008676F9" w:rsidRDefault="008676F9" w:rsidP="00955DA4">
      <w:pPr>
        <w:numPr>
          <w:ilvl w:val="0"/>
          <w:numId w:val="185"/>
        </w:numPr>
        <w:tabs>
          <w:tab w:val="left" w:pos="426"/>
        </w:tabs>
        <w:suppressAutoHyphens/>
        <w:rPr>
          <w:rFonts w:ascii="Calibri" w:eastAsia="SimSun" w:hAnsi="Calibri" w:cs="Calibri"/>
          <w:kern w:val="1"/>
          <w:szCs w:val="22"/>
          <w:lang w:eastAsia="ar-SA"/>
        </w:rPr>
      </w:pPr>
      <w:r w:rsidRPr="008676F9">
        <w:rPr>
          <w:rFonts w:ascii="Calibri" w:eastAsia="SimSun" w:hAnsi="Calibri" w:cs="Calibri"/>
          <w:kern w:val="1"/>
          <w:szCs w:val="22"/>
          <w:lang w:eastAsia="ar-SA"/>
        </w:rPr>
        <w:t>subjekt nachádzajúci sa na území MAS je oprávnený aj na podporu v rámci štandardných opatrení PRV, pokiaľ jeho projekt nie je realizovaný prostredníctvom stratégie CLLD miestnej akčnej skupiny – MAS;</w:t>
      </w:r>
    </w:p>
    <w:p w:rsidR="00D9234A" w:rsidRDefault="008676F9" w:rsidP="00955DA4">
      <w:pPr>
        <w:numPr>
          <w:ilvl w:val="0"/>
          <w:numId w:val="185"/>
        </w:numPr>
        <w:tabs>
          <w:tab w:val="left" w:pos="426"/>
        </w:tabs>
        <w:suppressAutoHyphens/>
        <w:rPr>
          <w:rFonts w:ascii="Calibri" w:eastAsia="SimSun" w:hAnsi="Calibri" w:cs="Calibri"/>
          <w:kern w:val="1"/>
          <w:szCs w:val="22"/>
          <w:lang w:eastAsia="ar-SA"/>
        </w:rPr>
      </w:pPr>
      <w:r w:rsidRPr="008676F9">
        <w:rPr>
          <w:rFonts w:ascii="Calibri" w:eastAsia="SimSun" w:hAnsi="Calibri" w:cs="Calibri"/>
          <w:kern w:val="1"/>
          <w:szCs w:val="22"/>
          <w:lang w:eastAsia="ar-SA"/>
        </w:rPr>
        <w:t>povinnosť MAS vydať potvrdenie žiadateľovi, že jeho projekt nie je realizovaný prostredníctvom stratégie CLLD</w:t>
      </w:r>
    </w:p>
    <w:p w:rsidR="008676F9" w:rsidRPr="00D9234A" w:rsidRDefault="00D9234A" w:rsidP="00955DA4">
      <w:pPr>
        <w:numPr>
          <w:ilvl w:val="0"/>
          <w:numId w:val="185"/>
        </w:numPr>
        <w:tabs>
          <w:tab w:val="left" w:pos="426"/>
        </w:tabs>
        <w:suppressAutoHyphens/>
        <w:rPr>
          <w:rFonts w:ascii="Calibri" w:eastAsia="SimSun" w:hAnsi="Calibri" w:cs="Calibri"/>
          <w:kern w:val="1"/>
          <w:szCs w:val="22"/>
          <w:lang w:eastAsia="ar-SA"/>
        </w:rPr>
      </w:pPr>
      <w:r>
        <w:rPr>
          <w:rFonts w:ascii="Calibri" w:eastAsia="SimSun" w:hAnsi="Calibri" w:cs="Calibri"/>
          <w:kern w:val="1"/>
          <w:szCs w:val="22"/>
          <w:lang w:eastAsia="ar-SA"/>
        </w:rPr>
        <w:t>V rámci opatrenia LEADER sa bude aplikovať sociálny aspekt pri verejnom obstarávaní.</w:t>
      </w:r>
    </w:p>
    <w:p w:rsidR="008676F9" w:rsidRPr="008676F9" w:rsidRDefault="008676F9" w:rsidP="00F14F63">
      <w:pPr>
        <w:suppressAutoHyphens/>
        <w:rPr>
          <w:rFonts w:ascii="Calibri" w:eastAsia="SimSun" w:hAnsi="Calibri" w:cs="Calibri"/>
          <w:bCs/>
          <w:kern w:val="1"/>
          <w:szCs w:val="22"/>
          <w:u w:val="single"/>
          <w:lang w:eastAsia="ar-SA"/>
        </w:rPr>
      </w:pPr>
    </w:p>
    <w:p w:rsidR="008676F9" w:rsidRPr="008676F9" w:rsidRDefault="008676F9" w:rsidP="00F14F63">
      <w:pPr>
        <w:suppressAutoHyphens/>
        <w:rPr>
          <w:rFonts w:ascii="Calibri" w:eastAsia="SimSun" w:hAnsi="Calibri" w:cs="Calibri"/>
          <w:bCs/>
          <w:kern w:val="1"/>
          <w:szCs w:val="22"/>
          <w:lang w:eastAsia="ar-SA"/>
        </w:rPr>
      </w:pPr>
      <w:r w:rsidRPr="008676F9">
        <w:rPr>
          <w:rFonts w:ascii="Calibri" w:eastAsia="SimSun" w:hAnsi="Calibri" w:cs="Calibri"/>
          <w:bCs/>
          <w:kern w:val="1"/>
          <w:szCs w:val="22"/>
          <w:u w:val="single"/>
          <w:lang w:eastAsia="ar-SA"/>
        </w:rPr>
        <w:t>Princípy nastavenia výberových kritérií:</w:t>
      </w:r>
    </w:p>
    <w:p w:rsidR="008676F9" w:rsidRPr="008676F9" w:rsidRDefault="008676F9" w:rsidP="00E81F0F">
      <w:pPr>
        <w:suppressAutoHyphens/>
        <w:spacing w:after="120"/>
        <w:rPr>
          <w:rFonts w:ascii="Calibri" w:eastAsia="SimSun" w:hAnsi="Calibri" w:cs="Calibri"/>
          <w:bCs/>
          <w:kern w:val="1"/>
          <w:szCs w:val="22"/>
          <w:lang w:eastAsia="ar-SA"/>
        </w:rPr>
      </w:pPr>
      <w:r w:rsidRPr="008676F9">
        <w:rPr>
          <w:rFonts w:ascii="Calibri" w:eastAsia="SimSun" w:hAnsi="Calibri" w:cs="Calibri"/>
          <w:bCs/>
          <w:kern w:val="1"/>
          <w:szCs w:val="22"/>
          <w:lang w:eastAsia="ar-SA"/>
        </w:rPr>
        <w:t>Miestna akčná skupina si zvolí overiteľné výberové kritériá, ktoré budú súčasťou stratégie a budú prispievať ku konečným výsledkom napĺňania stratégie ako aj jasne identifikujú konečných prijímateľov – predkladateľov projektov.</w:t>
      </w:r>
    </w:p>
    <w:p w:rsidR="008676F9" w:rsidRPr="008676F9" w:rsidRDefault="008676F9" w:rsidP="00E81F0F">
      <w:pPr>
        <w:suppressAutoHyphens/>
        <w:spacing w:after="120"/>
        <w:rPr>
          <w:rFonts w:ascii="Calibri" w:eastAsia="SimSun" w:hAnsi="Calibri" w:cs="Calibri"/>
          <w:bCs/>
          <w:kern w:val="1"/>
          <w:szCs w:val="22"/>
          <w:lang w:eastAsia="ar-SA"/>
        </w:rPr>
      </w:pPr>
      <w:r w:rsidRPr="008676F9">
        <w:rPr>
          <w:rFonts w:ascii="Calibri" w:eastAsia="SimSun" w:hAnsi="Calibri" w:cs="Calibri"/>
          <w:bCs/>
          <w:kern w:val="1"/>
          <w:szCs w:val="22"/>
          <w:lang w:eastAsia="ar-SA"/>
        </w:rPr>
        <w:t>Zároveň budú zvolené výberové kritériá, ktoré budú predchádzať vzniku konfliktu záujmov</w:t>
      </w:r>
    </w:p>
    <w:p w:rsidR="008676F9" w:rsidRPr="008676F9" w:rsidRDefault="008676F9" w:rsidP="00E81F0F">
      <w:pPr>
        <w:suppressAutoHyphens/>
        <w:spacing w:after="120"/>
        <w:rPr>
          <w:rFonts w:ascii="Calibri" w:eastAsia="SimSun" w:hAnsi="Calibri" w:cs="Calibri"/>
          <w:bCs/>
          <w:kern w:val="1"/>
          <w:szCs w:val="22"/>
          <w:lang w:eastAsia="ar-SA"/>
        </w:rPr>
      </w:pPr>
      <w:r w:rsidRPr="008676F9">
        <w:rPr>
          <w:rFonts w:ascii="Calibri" w:eastAsia="SimSun" w:hAnsi="Calibri" w:cs="Calibri"/>
          <w:bCs/>
          <w:kern w:val="1"/>
          <w:szCs w:val="22"/>
          <w:lang w:eastAsia="ar-SA"/>
        </w:rPr>
        <w:t>Výberové kritériá pre výber projektov, stanovené miestnou akčnou skupinou v stratégii CLLD, bude schvaľovať riadiaci orgán.</w:t>
      </w:r>
    </w:p>
    <w:p w:rsidR="008676F9" w:rsidRPr="008676F9" w:rsidRDefault="008676F9" w:rsidP="00F14F63">
      <w:pPr>
        <w:suppressAutoHyphens/>
        <w:rPr>
          <w:rFonts w:ascii="Calibri" w:eastAsia="SimSun" w:hAnsi="Calibri" w:cs="Calibri"/>
          <w:bCs/>
          <w:kern w:val="1"/>
          <w:szCs w:val="22"/>
          <w:u w:val="single"/>
          <w:lang w:eastAsia="ar-SA"/>
        </w:rPr>
      </w:pPr>
      <w:r w:rsidRPr="008676F9">
        <w:rPr>
          <w:rFonts w:ascii="Calibri" w:eastAsia="SimSun" w:hAnsi="Calibri" w:cs="Calibri"/>
          <w:bCs/>
          <w:kern w:val="1"/>
          <w:szCs w:val="22"/>
          <w:lang w:eastAsia="ar-SA"/>
        </w:rPr>
        <w:t>Proces výberu projektov miestnej akčnej skupiny musí byť založený na zdokumentovaní hodnotenia, ktoré bude odrážať správnosť a spravodlivosť rozhodnutí a bude v súlade s konzistentnými a relevantnými kritériami. Výber musí byť založený na konzistentných a relevantných údajov a musí byť verejný (napr. prostredníctvom zverejnenia zápisov z výberového procesu na webovom sídle MAS)</w:t>
      </w:r>
      <w:r w:rsidR="00A37B18">
        <w:rPr>
          <w:rFonts w:ascii="Calibri" w:eastAsia="SimSun" w:hAnsi="Calibri" w:cs="Calibri"/>
          <w:bCs/>
          <w:kern w:val="1"/>
          <w:szCs w:val="22"/>
          <w:lang w:eastAsia="ar-SA"/>
        </w:rPr>
        <w:t>.</w:t>
      </w:r>
      <w:r w:rsidRPr="008676F9">
        <w:rPr>
          <w:rFonts w:ascii="Calibri" w:eastAsia="SimSun" w:hAnsi="Calibri" w:cs="Calibri"/>
          <w:bCs/>
          <w:kern w:val="1"/>
          <w:szCs w:val="22"/>
          <w:lang w:eastAsia="ar-SA"/>
        </w:rPr>
        <w:t xml:space="preserve"> </w:t>
      </w:r>
    </w:p>
    <w:p w:rsidR="008676F9" w:rsidRPr="008676F9" w:rsidRDefault="008676F9" w:rsidP="00F14F63">
      <w:pPr>
        <w:suppressAutoHyphens/>
        <w:rPr>
          <w:rFonts w:ascii="Calibri" w:eastAsia="SimSun" w:hAnsi="Calibri" w:cs="Calibri"/>
          <w:bCs/>
          <w:kern w:val="1"/>
          <w:szCs w:val="22"/>
          <w:u w:val="single"/>
          <w:lang w:eastAsia="ar-SA"/>
        </w:rPr>
      </w:pPr>
    </w:p>
    <w:p w:rsidR="008676F9" w:rsidRPr="008676F9" w:rsidRDefault="008676F9" w:rsidP="00F14F63">
      <w:pPr>
        <w:suppressAutoHyphens/>
        <w:rPr>
          <w:rFonts w:ascii="Calibri" w:eastAsia="SimSun" w:hAnsi="Calibri" w:cs="Calibri"/>
          <w:kern w:val="1"/>
          <w:szCs w:val="22"/>
          <w:lang w:eastAsia="ar-SA"/>
        </w:rPr>
      </w:pPr>
      <w:r w:rsidRPr="008676F9">
        <w:rPr>
          <w:rFonts w:ascii="Calibri" w:eastAsia="SimSun" w:hAnsi="Calibri" w:cs="Calibri"/>
          <w:bCs/>
          <w:kern w:val="1"/>
          <w:szCs w:val="22"/>
          <w:u w:val="single"/>
          <w:lang w:eastAsia="ar-SA"/>
        </w:rPr>
        <w:t>Výška a miera podpory:</w:t>
      </w:r>
    </w:p>
    <w:p w:rsidR="008676F9" w:rsidRPr="008676F9" w:rsidRDefault="008676F9" w:rsidP="00F14F63">
      <w:pPr>
        <w:suppressAutoHyphens/>
        <w:rPr>
          <w:rFonts w:ascii="Calibri" w:eastAsia="SimSun" w:hAnsi="Calibri" w:cs="Calibri"/>
          <w:kern w:val="1"/>
          <w:szCs w:val="22"/>
          <w:lang w:eastAsia="ar-SA"/>
        </w:rPr>
      </w:pPr>
      <w:r w:rsidRPr="008676F9">
        <w:rPr>
          <w:rFonts w:ascii="Calibri" w:eastAsia="SimSun" w:hAnsi="Calibri" w:cs="Calibri"/>
          <w:kern w:val="1"/>
          <w:szCs w:val="22"/>
          <w:lang w:eastAsia="ar-SA"/>
        </w:rPr>
        <w:t>Maximálna výška podpory z celkových oprávnených výdavkov:</w:t>
      </w:r>
    </w:p>
    <w:p w:rsidR="008676F9" w:rsidRPr="008676F9" w:rsidRDefault="008676F9" w:rsidP="001F5283">
      <w:pPr>
        <w:numPr>
          <w:ilvl w:val="0"/>
          <w:numId w:val="82"/>
        </w:numPr>
        <w:suppressAutoHyphens/>
        <w:rPr>
          <w:rFonts w:ascii="Calibri" w:eastAsia="SimSun" w:hAnsi="Calibri" w:cs="Calibri"/>
          <w:bCs/>
          <w:kern w:val="1"/>
          <w:szCs w:val="22"/>
          <w:lang w:eastAsia="ar-SA"/>
        </w:rPr>
      </w:pPr>
      <w:r w:rsidRPr="008676F9">
        <w:rPr>
          <w:rFonts w:ascii="Calibri" w:eastAsia="SimSun" w:hAnsi="Calibri" w:cs="Calibri"/>
          <w:kern w:val="1"/>
          <w:szCs w:val="22"/>
          <w:lang w:eastAsia="ar-SA"/>
        </w:rPr>
        <w:t xml:space="preserve">100 %. </w:t>
      </w:r>
    </w:p>
    <w:p w:rsidR="008676F9" w:rsidRPr="008676F9" w:rsidRDefault="008676F9" w:rsidP="00F14F63">
      <w:pPr>
        <w:suppressAutoHyphens/>
        <w:rPr>
          <w:rFonts w:ascii="Calibri" w:eastAsia="SimSun" w:hAnsi="Calibri" w:cs="Calibri"/>
          <w:bCs/>
          <w:kern w:val="1"/>
          <w:szCs w:val="22"/>
          <w:lang w:eastAsia="ar-SA"/>
        </w:rPr>
      </w:pPr>
      <w:r w:rsidRPr="008676F9">
        <w:rPr>
          <w:rFonts w:ascii="Calibri" w:eastAsia="SimSun" w:hAnsi="Calibri" w:cs="Calibri"/>
          <w:kern w:val="1"/>
          <w:szCs w:val="22"/>
          <w:lang w:eastAsia="ar-SA"/>
        </w:rPr>
        <w:t>V prípade implementácie rovnakých typov aktivít ako v ostatných opatreniach PRV nesmie intenzita podpory v rámci opatrenia LEADER presiahnuť intenzitu podpory platnú pre príslušné opatrenie</w:t>
      </w:r>
      <w:r w:rsidRPr="008676F9">
        <w:rPr>
          <w:rFonts w:ascii="Calibri" w:eastAsia="SimSun" w:hAnsi="Calibri" w:cs="Calibri"/>
          <w:kern w:val="1"/>
          <w:szCs w:val="22"/>
          <w:lang w:eastAsia="ar-SA"/>
        </w:rPr>
        <w:lastRenderedPageBreak/>
        <w:t xml:space="preserve"> v PRV</w:t>
      </w:r>
      <w:r w:rsidRPr="008676F9">
        <w:rPr>
          <w:rFonts w:ascii="Calibri" w:eastAsia="SimSun" w:hAnsi="Calibri" w:cs="Calibri"/>
          <w:bCs/>
          <w:kern w:val="1"/>
          <w:szCs w:val="22"/>
          <w:lang w:eastAsia="ar-SA"/>
        </w:rPr>
        <w:t>, pričom je žiaduce, aby MAS zvážili pri relevantných operáciách vyššie miery spolufinancovania zo strany žiadateľov.</w:t>
      </w:r>
    </w:p>
    <w:p w:rsidR="008676F9" w:rsidRPr="008676F9" w:rsidRDefault="008676F9" w:rsidP="00F14F63">
      <w:pPr>
        <w:suppressAutoHyphens/>
        <w:rPr>
          <w:rFonts w:ascii="Calibri" w:eastAsia="SimSun" w:hAnsi="Calibri" w:cs="Calibri"/>
          <w:bCs/>
          <w:kern w:val="1"/>
          <w:szCs w:val="22"/>
          <w:lang w:eastAsia="ar-SA"/>
        </w:rPr>
      </w:pPr>
    </w:p>
    <w:p w:rsidR="008676F9" w:rsidRPr="008676F9" w:rsidRDefault="008676F9" w:rsidP="00F14F63">
      <w:pPr>
        <w:suppressAutoHyphens/>
        <w:rPr>
          <w:rFonts w:ascii="Calibri" w:eastAsia="SimSun" w:hAnsi="Calibri" w:cs="Calibri"/>
          <w:bCs/>
          <w:kern w:val="1"/>
          <w:szCs w:val="22"/>
          <w:u w:val="single"/>
          <w:lang w:eastAsia="ar-SA"/>
        </w:rPr>
      </w:pPr>
      <w:r w:rsidRPr="008676F9">
        <w:rPr>
          <w:rFonts w:ascii="Calibri" w:eastAsia="SimSun" w:hAnsi="Calibri" w:cs="Calibri"/>
          <w:bCs/>
          <w:kern w:val="1"/>
          <w:szCs w:val="22"/>
          <w:u w:val="single"/>
          <w:lang w:eastAsia="ar-SA"/>
        </w:rPr>
        <w:t>Ďalšie informácie špecifické pre podopatrenie:</w:t>
      </w:r>
    </w:p>
    <w:p w:rsidR="008676F9" w:rsidRPr="008676F9" w:rsidRDefault="008676F9" w:rsidP="00F14F63">
      <w:pPr>
        <w:suppressAutoHyphens/>
        <w:rPr>
          <w:rFonts w:ascii="Calibri" w:eastAsia="SimSun" w:hAnsi="Calibri" w:cs="Calibri"/>
          <w:bCs/>
          <w:kern w:val="1"/>
          <w:szCs w:val="22"/>
          <w:lang w:eastAsia="ar-SA"/>
        </w:rPr>
      </w:pPr>
      <w:r w:rsidRPr="008676F9">
        <w:rPr>
          <w:rFonts w:ascii="Calibri" w:eastAsia="SimSun" w:hAnsi="Calibri" w:cs="Calibri"/>
          <w:bCs/>
          <w:kern w:val="1"/>
          <w:szCs w:val="22"/>
          <w:lang w:eastAsia="ar-SA"/>
        </w:rPr>
        <w:t xml:space="preserve">Pre pôsobnosť miestnych akčných skupín je oprávnené celé vidiecke územie SR. </w:t>
      </w:r>
    </w:p>
    <w:p w:rsidR="008676F9" w:rsidRPr="008676F9" w:rsidRDefault="008676F9" w:rsidP="00E81F0F">
      <w:pPr>
        <w:suppressAutoHyphens/>
        <w:spacing w:after="120"/>
        <w:rPr>
          <w:rFonts w:ascii="Calibri" w:eastAsia="SimSun" w:hAnsi="Calibri" w:cs="Calibri"/>
          <w:bCs/>
          <w:kern w:val="1"/>
          <w:szCs w:val="22"/>
          <w:lang w:eastAsia="ar-SA"/>
        </w:rPr>
      </w:pPr>
      <w:r w:rsidRPr="008676F9">
        <w:rPr>
          <w:rFonts w:ascii="Calibri" w:eastAsia="SimSun" w:hAnsi="Calibri" w:cs="Calibri"/>
          <w:bCs/>
          <w:kern w:val="1"/>
          <w:szCs w:val="22"/>
          <w:lang w:eastAsia="ar-SA"/>
        </w:rPr>
        <w:t>Počet obyvateľov na území miestnej akčnej skupiny („MAS“) musí byť vyšší ako 10 000 obyvateľov a nesmie prekročiť počet 150 000 obyvateľov. Hustota obyvateľstva územia MAS nesmie presiahnuť 150 obyv./km</w:t>
      </w:r>
      <w:r w:rsidRPr="008676F9">
        <w:rPr>
          <w:rFonts w:ascii="Calibri" w:eastAsia="SimSun" w:hAnsi="Calibri" w:cs="Calibri"/>
          <w:bCs/>
          <w:kern w:val="1"/>
          <w:szCs w:val="22"/>
          <w:vertAlign w:val="superscript"/>
          <w:lang w:eastAsia="ar-SA"/>
        </w:rPr>
        <w:t>2</w:t>
      </w:r>
      <w:r w:rsidRPr="008676F9">
        <w:rPr>
          <w:rFonts w:ascii="Calibri" w:eastAsia="SimSun" w:hAnsi="Calibri" w:cs="Calibri"/>
          <w:bCs/>
          <w:kern w:val="1"/>
          <w:szCs w:val="22"/>
          <w:lang w:eastAsia="ar-SA"/>
        </w:rPr>
        <w:t>. Minimálny počet obcí tvoriacich MAS je 7.</w:t>
      </w:r>
    </w:p>
    <w:p w:rsidR="008676F9" w:rsidRPr="008676F9" w:rsidRDefault="008676F9" w:rsidP="00E81F0F">
      <w:pPr>
        <w:suppressAutoHyphens/>
        <w:spacing w:after="120"/>
        <w:rPr>
          <w:rFonts w:ascii="Calibri" w:eastAsia="SimSun" w:hAnsi="Calibri" w:cs="Calibri"/>
          <w:bCs/>
          <w:kern w:val="1"/>
          <w:szCs w:val="22"/>
          <w:lang w:eastAsia="ar-SA"/>
        </w:rPr>
      </w:pPr>
      <w:r w:rsidRPr="008676F9">
        <w:rPr>
          <w:rFonts w:ascii="Calibri" w:eastAsia="SimSun" w:hAnsi="Calibri" w:cs="Calibri"/>
          <w:bCs/>
          <w:kern w:val="1"/>
          <w:szCs w:val="22"/>
          <w:lang w:eastAsia="ar-SA"/>
        </w:rPr>
        <w:t xml:space="preserve">Z podpory sú vylúčené obce nad 20 000 obyvateľov a samostatné mestské časti nad 5000 obyvateľov ako koneční prijímatelia, tieto ale môžu byť členmi MAS.  </w:t>
      </w:r>
    </w:p>
    <w:p w:rsidR="008676F9" w:rsidRPr="008676F9" w:rsidRDefault="008676F9" w:rsidP="00E81F0F">
      <w:pPr>
        <w:suppressAutoHyphens/>
        <w:spacing w:after="120"/>
        <w:rPr>
          <w:rFonts w:ascii="Calibri" w:eastAsia="SimSun" w:hAnsi="Calibri" w:cs="Calibri"/>
          <w:bCs/>
          <w:kern w:val="1"/>
          <w:szCs w:val="22"/>
          <w:lang w:eastAsia="ar-SA"/>
        </w:rPr>
      </w:pPr>
      <w:r w:rsidRPr="008676F9">
        <w:rPr>
          <w:rFonts w:ascii="Calibri" w:eastAsia="SimSun" w:hAnsi="Calibri" w:cs="Calibri"/>
          <w:bCs/>
          <w:kern w:val="1"/>
          <w:szCs w:val="22"/>
          <w:lang w:eastAsia="ar-SA"/>
        </w:rPr>
        <w:t>MAS musí mať vypracovanú stratégiu miestneho rozvoja s jasne formulovanými prioritami, opatreniami, ktoré budú prispievať k podpore miestneho rozvoja.</w:t>
      </w:r>
    </w:p>
    <w:p w:rsidR="008676F9" w:rsidRPr="008676F9" w:rsidRDefault="008676F9" w:rsidP="00E81F0F">
      <w:pPr>
        <w:suppressAutoHyphens/>
        <w:spacing w:after="120"/>
        <w:rPr>
          <w:rFonts w:ascii="Calibri" w:eastAsia="SimSun" w:hAnsi="Calibri" w:cs="Calibri"/>
          <w:kern w:val="1"/>
          <w:szCs w:val="22"/>
          <w:lang w:eastAsia="ar-SA"/>
        </w:rPr>
      </w:pPr>
      <w:r w:rsidRPr="008676F9">
        <w:rPr>
          <w:rFonts w:ascii="Calibri" w:eastAsia="SimSun" w:hAnsi="Calibri" w:cs="Calibri"/>
          <w:bCs/>
          <w:kern w:val="1"/>
          <w:szCs w:val="22"/>
          <w:lang w:eastAsia="ar-SA"/>
        </w:rPr>
        <w:t>Územie, na ktoré sa vzťahuje stratégia musí pokrývať súvislé vidiecke územie,</w:t>
      </w:r>
      <w:r w:rsidRPr="008676F9">
        <w:rPr>
          <w:rFonts w:ascii="Calibri" w:eastAsia="SimSun" w:hAnsi="Calibri" w:cs="Calibri"/>
          <w:bCs/>
          <w:kern w:val="1"/>
          <w:szCs w:val="22"/>
          <w:vertAlign w:val="superscript"/>
          <w:lang w:eastAsia="ar-SA"/>
        </w:rPr>
        <w:t xml:space="preserve"> </w:t>
      </w:r>
      <w:r w:rsidRPr="008676F9">
        <w:rPr>
          <w:rFonts w:ascii="Calibri" w:eastAsia="SimSun" w:hAnsi="Calibri" w:cs="Calibri"/>
          <w:bCs/>
          <w:kern w:val="1"/>
          <w:szCs w:val="22"/>
          <w:lang w:eastAsia="ar-SA"/>
        </w:rPr>
        <w:t>ohraničujúce katastre všetkých zahrnutých obcí v rámci územia žiadajúceho o podporu,</w:t>
      </w:r>
      <w:r w:rsidRPr="008676F9">
        <w:rPr>
          <w:rFonts w:ascii="Calibri" w:eastAsia="SimSun" w:hAnsi="Calibri" w:cs="Calibri"/>
          <w:bCs/>
          <w:kern w:val="1"/>
          <w:szCs w:val="22"/>
          <w:vertAlign w:val="superscript"/>
          <w:lang w:eastAsia="ar-SA"/>
        </w:rPr>
        <w:t xml:space="preserve"> </w:t>
      </w:r>
      <w:r w:rsidRPr="008676F9">
        <w:rPr>
          <w:rFonts w:ascii="Calibri" w:eastAsia="SimSun" w:hAnsi="Calibri" w:cs="Calibri"/>
          <w:bCs/>
          <w:kern w:val="1"/>
          <w:szCs w:val="22"/>
          <w:lang w:eastAsia="ar-SA"/>
        </w:rPr>
        <w:t>ktoré je</w:t>
      </w:r>
      <w:r w:rsidRPr="008676F9">
        <w:rPr>
          <w:rFonts w:ascii="Calibri" w:eastAsia="SimSun" w:hAnsi="Calibri" w:cs="Calibri"/>
          <w:bCs/>
          <w:kern w:val="1"/>
          <w:szCs w:val="22"/>
          <w:vertAlign w:val="superscript"/>
          <w:lang w:eastAsia="ar-SA"/>
        </w:rPr>
        <w:t xml:space="preserve"> </w:t>
      </w:r>
      <w:r w:rsidRPr="008676F9">
        <w:rPr>
          <w:rFonts w:ascii="Calibri" w:eastAsia="SimSun" w:hAnsi="Calibri" w:cs="Calibri"/>
          <w:bCs/>
          <w:kern w:val="1"/>
          <w:szCs w:val="22"/>
          <w:lang w:eastAsia="ar-SA"/>
        </w:rPr>
        <w:t xml:space="preserve">sformované na princípe spoločného záujmu. </w:t>
      </w:r>
    </w:p>
    <w:p w:rsidR="008676F9" w:rsidRPr="008676F9" w:rsidRDefault="008676F9" w:rsidP="00F14F63">
      <w:pPr>
        <w:suppressAutoHyphens/>
        <w:rPr>
          <w:rFonts w:ascii="Calibri" w:eastAsia="SimSun" w:hAnsi="Calibri" w:cs="Calibri"/>
          <w:bCs/>
          <w:kern w:val="1"/>
          <w:szCs w:val="22"/>
          <w:lang w:eastAsia="ar-SA"/>
        </w:rPr>
      </w:pPr>
      <w:r w:rsidRPr="008676F9">
        <w:rPr>
          <w:rFonts w:ascii="Calibri" w:eastAsia="SimSun" w:hAnsi="Calibri" w:cs="Calibri"/>
          <w:bCs/>
          <w:kern w:val="1"/>
          <w:szCs w:val="22"/>
          <w:lang w:eastAsia="ar-SA"/>
        </w:rPr>
        <w:t xml:space="preserve">Stratégie CLLD budú MAS pripravovať ako multifondové, t.j. financované z obidvoch fondov v rámci CLLD – EPFRV a EFRR. </w:t>
      </w:r>
    </w:p>
    <w:p w:rsidR="008676F9" w:rsidRPr="008676F9" w:rsidRDefault="008676F9" w:rsidP="00F14F63">
      <w:pPr>
        <w:suppressAutoHyphens/>
        <w:rPr>
          <w:rFonts w:ascii="Calibri" w:eastAsia="SimSun" w:hAnsi="Calibri" w:cs="Calibri"/>
          <w:bCs/>
          <w:kern w:val="1"/>
          <w:szCs w:val="22"/>
          <w:u w:val="single"/>
          <w:lang w:eastAsia="ar-SA"/>
        </w:rPr>
      </w:pPr>
    </w:p>
    <w:p w:rsidR="008676F9" w:rsidRPr="008676F9" w:rsidRDefault="008676F9" w:rsidP="00F14F63">
      <w:pPr>
        <w:suppressAutoHyphens/>
        <w:rPr>
          <w:rFonts w:ascii="Calibri" w:eastAsia="SimSun" w:hAnsi="Calibri" w:cs="Calibri"/>
          <w:bCs/>
          <w:i/>
          <w:kern w:val="1"/>
          <w:szCs w:val="22"/>
          <w:lang w:eastAsia="ar-SA"/>
        </w:rPr>
      </w:pPr>
      <w:r w:rsidRPr="008676F9">
        <w:rPr>
          <w:rFonts w:ascii="Calibri" w:eastAsia="SimSun" w:hAnsi="Calibri" w:cs="Calibri"/>
          <w:bCs/>
          <w:kern w:val="1"/>
          <w:szCs w:val="22"/>
          <w:u w:val="single"/>
          <w:lang w:eastAsia="ar-SA"/>
        </w:rPr>
        <w:t xml:space="preserve">Rámcové kritériá pre výber stratégií, ktoré získajú štatút MAS </w:t>
      </w:r>
    </w:p>
    <w:p w:rsidR="00BC4D3C" w:rsidRPr="00BC4D3C" w:rsidRDefault="008676F9" w:rsidP="00CE203B">
      <w:pPr>
        <w:pStyle w:val="Odsekzoznamu"/>
        <w:numPr>
          <w:ilvl w:val="0"/>
          <w:numId w:val="319"/>
        </w:numPr>
        <w:suppressAutoHyphens/>
        <w:rPr>
          <w:rFonts w:ascii="Calibri" w:eastAsia="SimSun" w:hAnsi="Calibri" w:cs="Calibri"/>
          <w:bCs/>
          <w:i/>
          <w:kern w:val="1"/>
          <w:szCs w:val="22"/>
          <w:lang w:eastAsia="ar-SA"/>
        </w:rPr>
      </w:pPr>
      <w:r w:rsidRPr="00BC4D3C">
        <w:rPr>
          <w:rFonts w:ascii="Calibri" w:eastAsia="SimSun" w:hAnsi="Calibri" w:cs="Calibri"/>
          <w:bCs/>
          <w:i/>
          <w:kern w:val="1"/>
          <w:szCs w:val="22"/>
          <w:lang w:eastAsia="ar-SA"/>
        </w:rPr>
        <w:t xml:space="preserve">Objektívne výberové kritériá </w:t>
      </w:r>
    </w:p>
    <w:p w:rsidR="008676F9" w:rsidRPr="00BC4D3C" w:rsidRDefault="008676F9" w:rsidP="00CE203B">
      <w:pPr>
        <w:pStyle w:val="Odsekzoznamu"/>
        <w:numPr>
          <w:ilvl w:val="0"/>
          <w:numId w:val="319"/>
        </w:numPr>
        <w:suppressAutoHyphens/>
        <w:rPr>
          <w:rFonts w:ascii="Calibri" w:eastAsia="SimSun" w:hAnsi="Calibri" w:cs="Calibri"/>
          <w:bCs/>
          <w:i/>
          <w:kern w:val="1"/>
          <w:szCs w:val="22"/>
          <w:lang w:eastAsia="ar-SA"/>
        </w:rPr>
      </w:pPr>
      <w:r w:rsidRPr="00BC4D3C">
        <w:rPr>
          <w:rFonts w:ascii="Calibri" w:eastAsia="SimSun" w:hAnsi="Calibri" w:cs="Calibri"/>
          <w:bCs/>
          <w:i/>
          <w:kern w:val="1"/>
          <w:szCs w:val="22"/>
          <w:lang w:eastAsia="ar-SA"/>
        </w:rPr>
        <w:t>Kvalita partnerstva</w:t>
      </w:r>
    </w:p>
    <w:p w:rsidR="008676F9" w:rsidRPr="00BC4D3C" w:rsidRDefault="008676F9" w:rsidP="00CE203B">
      <w:pPr>
        <w:pStyle w:val="Odsekzoznamu"/>
        <w:numPr>
          <w:ilvl w:val="0"/>
          <w:numId w:val="319"/>
        </w:numPr>
        <w:suppressAutoHyphens/>
        <w:rPr>
          <w:rFonts w:ascii="Calibri" w:eastAsia="SimSun" w:hAnsi="Calibri" w:cs="Calibri"/>
          <w:bCs/>
          <w:kern w:val="1"/>
          <w:szCs w:val="22"/>
          <w:lang w:eastAsia="ar-SA"/>
        </w:rPr>
      </w:pPr>
      <w:r w:rsidRPr="00BC4D3C">
        <w:rPr>
          <w:rFonts w:ascii="Calibri" w:eastAsia="SimSun" w:hAnsi="Calibri" w:cs="Calibri"/>
          <w:bCs/>
          <w:i/>
          <w:kern w:val="1"/>
          <w:szCs w:val="22"/>
          <w:lang w:eastAsia="ar-SA"/>
        </w:rPr>
        <w:t>Kvalita stratégie</w:t>
      </w:r>
    </w:p>
    <w:p w:rsidR="008676F9" w:rsidRPr="008676F9" w:rsidRDefault="008676F9" w:rsidP="00F14F63">
      <w:pPr>
        <w:suppressAutoHyphens/>
        <w:rPr>
          <w:rFonts w:ascii="Calibri" w:eastAsia="SimSun" w:hAnsi="Calibri" w:cs="Calibri"/>
          <w:bCs/>
          <w:kern w:val="1"/>
          <w:szCs w:val="22"/>
          <w:lang w:eastAsia="ar-SA"/>
        </w:rPr>
      </w:pPr>
    </w:p>
    <w:p w:rsidR="008676F9" w:rsidRPr="008676F9" w:rsidRDefault="008676F9" w:rsidP="00F14F63">
      <w:pPr>
        <w:suppressAutoHyphens/>
        <w:rPr>
          <w:rFonts w:ascii="Calibri" w:eastAsia="SimSun" w:hAnsi="Calibri" w:cs="Calibri"/>
          <w:bCs/>
          <w:kern w:val="1"/>
          <w:szCs w:val="22"/>
          <w:lang w:eastAsia="ar-SA"/>
        </w:rPr>
      </w:pPr>
      <w:r w:rsidRPr="008676F9">
        <w:rPr>
          <w:rFonts w:ascii="Calibri" w:eastAsia="SimSun" w:hAnsi="Calibri" w:cs="Calibri"/>
          <w:bCs/>
          <w:kern w:val="1"/>
          <w:szCs w:val="22"/>
          <w:u w:val="single"/>
          <w:lang w:eastAsia="ar-SA"/>
        </w:rPr>
        <w:t>Pri výbere  stratégií sa budú posudzovať nasledovné kritériá:</w:t>
      </w:r>
    </w:p>
    <w:p w:rsidR="00D9234A" w:rsidRPr="008676F9" w:rsidRDefault="00D9234A" w:rsidP="00955DA4">
      <w:pPr>
        <w:numPr>
          <w:ilvl w:val="0"/>
          <w:numId w:val="179"/>
        </w:numPr>
        <w:suppressAutoHyphens/>
        <w:rPr>
          <w:rFonts w:ascii="Calibri" w:eastAsia="SimSun" w:hAnsi="Calibri" w:cs="Calibri"/>
          <w:bCs/>
          <w:kern w:val="1"/>
          <w:szCs w:val="22"/>
          <w:lang w:eastAsia="ar-SA"/>
        </w:rPr>
      </w:pPr>
      <w:r w:rsidRPr="008676F9">
        <w:rPr>
          <w:rFonts w:ascii="Calibri" w:eastAsia="SimSun" w:hAnsi="Calibri" w:cs="Calibri"/>
          <w:bCs/>
          <w:kern w:val="1"/>
          <w:szCs w:val="22"/>
          <w:lang w:eastAsia="ar-SA"/>
        </w:rPr>
        <w:t xml:space="preserve">prínos stratégie k zlepšovaniu ekonomického rozvoja </w:t>
      </w:r>
    </w:p>
    <w:p w:rsidR="00D9234A" w:rsidRDefault="00D9234A" w:rsidP="00955DA4">
      <w:pPr>
        <w:numPr>
          <w:ilvl w:val="0"/>
          <w:numId w:val="179"/>
        </w:numPr>
        <w:suppressAutoHyphens/>
        <w:rPr>
          <w:rFonts w:ascii="Calibri" w:eastAsia="SimSun" w:hAnsi="Calibri" w:cs="Calibri"/>
          <w:bCs/>
          <w:kern w:val="1"/>
          <w:szCs w:val="22"/>
          <w:lang w:eastAsia="ar-SA"/>
        </w:rPr>
      </w:pPr>
      <w:r>
        <w:rPr>
          <w:rFonts w:ascii="Calibri" w:eastAsia="SimSun" w:hAnsi="Calibri" w:cs="Calibri"/>
          <w:bCs/>
          <w:kern w:val="1"/>
          <w:szCs w:val="22"/>
          <w:lang w:eastAsia="ar-SA"/>
        </w:rPr>
        <w:t>prínos stratégie k napĺňaniu cieľov PRV najmä v oblasti konkurencieschopnosti poľnohospodárstva, potravinárstva a lesníctva</w:t>
      </w:r>
    </w:p>
    <w:p w:rsidR="00D9234A" w:rsidRPr="008676F9" w:rsidRDefault="00D9234A" w:rsidP="00955DA4">
      <w:pPr>
        <w:numPr>
          <w:ilvl w:val="0"/>
          <w:numId w:val="179"/>
        </w:numPr>
        <w:suppressAutoHyphens/>
        <w:rPr>
          <w:rFonts w:ascii="Calibri" w:eastAsia="SimSun" w:hAnsi="Calibri" w:cs="Calibri"/>
          <w:bCs/>
          <w:kern w:val="1"/>
          <w:szCs w:val="22"/>
          <w:lang w:eastAsia="ar-SA"/>
        </w:rPr>
      </w:pPr>
      <w:r w:rsidRPr="008676F9">
        <w:rPr>
          <w:rFonts w:ascii="Calibri" w:eastAsia="SimSun" w:hAnsi="Calibri" w:cs="Calibri"/>
          <w:bCs/>
          <w:kern w:val="1"/>
          <w:szCs w:val="22"/>
          <w:lang w:eastAsia="ar-SA"/>
        </w:rPr>
        <w:t xml:space="preserve">rovnomerné územné rozdelenie v rámci </w:t>
      </w:r>
      <w:r>
        <w:rPr>
          <w:rFonts w:ascii="Calibri" w:eastAsia="SimSun" w:hAnsi="Calibri" w:cs="Calibri"/>
          <w:bCs/>
          <w:kern w:val="1"/>
          <w:szCs w:val="22"/>
          <w:lang w:eastAsia="ar-SA"/>
        </w:rPr>
        <w:t xml:space="preserve"> NUTS III</w:t>
      </w:r>
    </w:p>
    <w:p w:rsidR="00D9234A" w:rsidRDefault="00D9234A" w:rsidP="00955DA4">
      <w:pPr>
        <w:numPr>
          <w:ilvl w:val="0"/>
          <w:numId w:val="179"/>
        </w:numPr>
        <w:suppressAutoHyphens/>
        <w:rPr>
          <w:rFonts w:ascii="Calibri" w:eastAsia="SimSun" w:hAnsi="Calibri" w:cs="Calibri"/>
          <w:bCs/>
          <w:kern w:val="1"/>
          <w:szCs w:val="22"/>
          <w:lang w:eastAsia="ar-SA"/>
        </w:rPr>
      </w:pPr>
      <w:r w:rsidRPr="008676F9">
        <w:rPr>
          <w:rFonts w:ascii="Calibri" w:eastAsia="SimSun" w:hAnsi="Calibri" w:cs="Calibri"/>
          <w:bCs/>
          <w:kern w:val="1"/>
          <w:szCs w:val="22"/>
          <w:lang w:eastAsia="ar-SA"/>
        </w:rPr>
        <w:t>zameranie stratégie na ciele a priority CLLD uvedené v Partnerskej dohode, IROP a</w:t>
      </w:r>
      <w:r>
        <w:rPr>
          <w:rFonts w:ascii="Calibri" w:eastAsia="SimSun" w:hAnsi="Calibri" w:cs="Calibri"/>
          <w:bCs/>
          <w:kern w:val="1"/>
          <w:szCs w:val="22"/>
          <w:lang w:eastAsia="ar-SA"/>
        </w:rPr>
        <w:t> </w:t>
      </w:r>
      <w:r w:rsidRPr="008676F9">
        <w:rPr>
          <w:rFonts w:ascii="Calibri" w:eastAsia="SimSun" w:hAnsi="Calibri" w:cs="Calibri"/>
          <w:bCs/>
          <w:kern w:val="1"/>
          <w:szCs w:val="22"/>
          <w:lang w:eastAsia="ar-SA"/>
        </w:rPr>
        <w:t>PRV</w:t>
      </w:r>
    </w:p>
    <w:p w:rsidR="00D9234A" w:rsidRPr="008676F9" w:rsidRDefault="00D9234A" w:rsidP="00955DA4">
      <w:pPr>
        <w:numPr>
          <w:ilvl w:val="0"/>
          <w:numId w:val="179"/>
        </w:numPr>
        <w:suppressAutoHyphens/>
        <w:rPr>
          <w:rFonts w:ascii="Calibri" w:eastAsia="SimSun" w:hAnsi="Calibri" w:cs="Calibri"/>
          <w:bCs/>
          <w:kern w:val="1"/>
          <w:szCs w:val="22"/>
          <w:lang w:eastAsia="ar-SA"/>
        </w:rPr>
      </w:pPr>
      <w:r>
        <w:rPr>
          <w:rFonts w:ascii="Calibri" w:eastAsia="SimSun" w:hAnsi="Calibri" w:cs="Calibri"/>
          <w:bCs/>
          <w:kern w:val="1"/>
          <w:szCs w:val="22"/>
          <w:lang w:eastAsia="ar-SA"/>
        </w:rPr>
        <w:t>prínos stratégie k sociálnej inklúzii marginalizovaných skupín obyvateľstva vrátane marginalizovaných rómskych komunít</w:t>
      </w:r>
      <w:r w:rsidRPr="008676F9">
        <w:rPr>
          <w:rFonts w:ascii="Calibri" w:eastAsia="SimSun" w:hAnsi="Calibri" w:cs="Calibri"/>
          <w:bCs/>
          <w:kern w:val="1"/>
          <w:szCs w:val="22"/>
          <w:lang w:eastAsia="ar-SA"/>
        </w:rPr>
        <w:t xml:space="preserve"> </w:t>
      </w:r>
    </w:p>
    <w:p w:rsidR="00D9234A" w:rsidRPr="008676F9" w:rsidRDefault="00D9234A" w:rsidP="00955DA4">
      <w:pPr>
        <w:numPr>
          <w:ilvl w:val="0"/>
          <w:numId w:val="179"/>
        </w:numPr>
        <w:suppressAutoHyphens/>
        <w:rPr>
          <w:rFonts w:ascii="Calibri" w:eastAsia="SimSun" w:hAnsi="Calibri" w:cs="Calibri"/>
          <w:bCs/>
          <w:kern w:val="1"/>
          <w:szCs w:val="22"/>
          <w:lang w:eastAsia="ar-SA"/>
        </w:rPr>
      </w:pPr>
      <w:r w:rsidRPr="008676F9">
        <w:rPr>
          <w:rFonts w:ascii="Calibri" w:eastAsia="SimSun" w:hAnsi="Calibri" w:cs="Calibri"/>
          <w:bCs/>
          <w:kern w:val="1"/>
          <w:szCs w:val="22"/>
          <w:lang w:eastAsia="ar-SA"/>
        </w:rPr>
        <w:t xml:space="preserve">pomer finančných prostriedkov </w:t>
      </w:r>
      <w:r>
        <w:rPr>
          <w:rFonts w:ascii="Calibri" w:eastAsia="SimSun" w:hAnsi="Calibri" w:cs="Calibri"/>
          <w:bCs/>
          <w:kern w:val="1"/>
          <w:szCs w:val="22"/>
          <w:lang w:eastAsia="ar-SA"/>
        </w:rPr>
        <w:t xml:space="preserve">na </w:t>
      </w:r>
      <w:r w:rsidRPr="008676F9">
        <w:rPr>
          <w:rFonts w:ascii="Calibri" w:eastAsia="SimSun" w:hAnsi="Calibri" w:cs="Calibri"/>
          <w:bCs/>
          <w:kern w:val="1"/>
          <w:szCs w:val="22"/>
          <w:lang w:eastAsia="ar-SA"/>
        </w:rPr>
        <w:t>súkromný</w:t>
      </w:r>
      <w:r>
        <w:rPr>
          <w:rFonts w:ascii="Calibri" w:eastAsia="SimSun" w:hAnsi="Calibri" w:cs="Calibri"/>
          <w:bCs/>
          <w:kern w:val="1"/>
          <w:szCs w:val="22"/>
          <w:lang w:eastAsia="ar-SA"/>
        </w:rPr>
        <w:t xml:space="preserve"> (vrátane občianskeho)</w:t>
      </w:r>
      <w:r w:rsidRPr="008676F9">
        <w:rPr>
          <w:rFonts w:ascii="Calibri" w:eastAsia="SimSun" w:hAnsi="Calibri" w:cs="Calibri"/>
          <w:bCs/>
          <w:kern w:val="1"/>
          <w:szCs w:val="22"/>
          <w:lang w:eastAsia="ar-SA"/>
        </w:rPr>
        <w:t xml:space="preserve"> a verejný sektor – zvýhodnené budú stratégie s vyšším zameraním na podporu neverejného sektora; </w:t>
      </w:r>
    </w:p>
    <w:p w:rsidR="00D9234A" w:rsidRPr="008676F9" w:rsidRDefault="00D9234A" w:rsidP="00955DA4">
      <w:pPr>
        <w:numPr>
          <w:ilvl w:val="0"/>
          <w:numId w:val="179"/>
        </w:numPr>
        <w:suppressAutoHyphens/>
        <w:rPr>
          <w:rFonts w:ascii="Calibri" w:eastAsia="SimSun" w:hAnsi="Calibri" w:cs="Calibri"/>
          <w:bCs/>
          <w:kern w:val="1"/>
          <w:szCs w:val="22"/>
          <w:lang w:eastAsia="ar-SA"/>
        </w:rPr>
      </w:pPr>
      <w:r w:rsidRPr="008676F9">
        <w:rPr>
          <w:rFonts w:ascii="Calibri" w:eastAsia="SimSun" w:hAnsi="Calibri" w:cs="Calibri"/>
          <w:bCs/>
          <w:kern w:val="1"/>
          <w:szCs w:val="22"/>
          <w:lang w:eastAsia="ar-SA"/>
        </w:rPr>
        <w:t>multiplikačný efekt stratégie – ako stratégia prispieva k riešeniu problémov, vzťah medzi problémami a navrhnutými riešeniami a pod. (plánovacia logická matica);</w:t>
      </w:r>
    </w:p>
    <w:p w:rsidR="00D9234A" w:rsidRPr="008676F9" w:rsidRDefault="00D9234A" w:rsidP="00955DA4">
      <w:pPr>
        <w:numPr>
          <w:ilvl w:val="0"/>
          <w:numId w:val="179"/>
        </w:numPr>
        <w:suppressAutoHyphens/>
        <w:rPr>
          <w:rFonts w:ascii="Calibri" w:eastAsia="SimSun" w:hAnsi="Calibri" w:cs="Calibri"/>
          <w:bCs/>
          <w:i/>
          <w:kern w:val="1"/>
          <w:szCs w:val="22"/>
          <w:lang w:eastAsia="ar-SA"/>
        </w:rPr>
      </w:pPr>
      <w:r w:rsidRPr="008676F9">
        <w:rPr>
          <w:rFonts w:ascii="Calibri" w:eastAsia="SimSun" w:hAnsi="Calibri" w:cs="Calibri"/>
          <w:bCs/>
          <w:kern w:val="1"/>
          <w:szCs w:val="22"/>
          <w:lang w:eastAsia="ar-SA"/>
        </w:rPr>
        <w:t>doplnkovosť stratégie voči iným strategickým dokumentom na nadnárodnej (Dunajská stratégia), národnej, regionálnej</w:t>
      </w:r>
      <w:r>
        <w:rPr>
          <w:rFonts w:ascii="Calibri" w:eastAsia="SimSun" w:hAnsi="Calibri" w:cs="Calibri"/>
          <w:bCs/>
          <w:kern w:val="1"/>
          <w:szCs w:val="22"/>
          <w:lang w:eastAsia="ar-SA"/>
        </w:rPr>
        <w:t xml:space="preserve"> (PHSR kraja, iné krajské stratégie)</w:t>
      </w:r>
      <w:r w:rsidRPr="008676F9">
        <w:rPr>
          <w:rFonts w:ascii="Calibri" w:eastAsia="SimSun" w:hAnsi="Calibri" w:cs="Calibri"/>
          <w:bCs/>
          <w:kern w:val="1"/>
          <w:szCs w:val="22"/>
          <w:lang w:eastAsia="ar-SA"/>
        </w:rPr>
        <w:t xml:space="preserve"> a lokálnej (PHSR  obc</w:t>
      </w:r>
      <w:r>
        <w:rPr>
          <w:rFonts w:ascii="Calibri" w:eastAsia="SimSun" w:hAnsi="Calibri" w:cs="Calibri"/>
          <w:bCs/>
          <w:kern w:val="1"/>
          <w:szCs w:val="22"/>
          <w:lang w:eastAsia="ar-SA"/>
        </w:rPr>
        <w:t>í</w:t>
      </w:r>
      <w:r w:rsidRPr="008676F9">
        <w:rPr>
          <w:rFonts w:ascii="Calibri" w:eastAsia="SimSun" w:hAnsi="Calibri" w:cs="Calibri"/>
          <w:bCs/>
          <w:kern w:val="1"/>
          <w:szCs w:val="22"/>
          <w:lang w:eastAsia="ar-SA"/>
        </w:rPr>
        <w:t>,  a iné stratégie existujúce v území) úrovni a príspevok k napĺňaniu ex ante kondicionalít programu rozvoja vidieka ako aj k jednotlivým výsledkovým indikátorom.</w:t>
      </w:r>
    </w:p>
    <w:p w:rsidR="00D9234A" w:rsidRPr="008676F9" w:rsidRDefault="00D9234A" w:rsidP="00D9234A">
      <w:pPr>
        <w:suppressAutoHyphens/>
        <w:rPr>
          <w:rFonts w:ascii="Calibri" w:eastAsia="SimSun" w:hAnsi="Calibri" w:cs="Calibri"/>
          <w:bCs/>
          <w:kern w:val="1"/>
          <w:szCs w:val="22"/>
          <w:lang w:eastAsia="ar-SA"/>
        </w:rPr>
      </w:pPr>
      <w:r w:rsidRPr="008676F9">
        <w:rPr>
          <w:rFonts w:ascii="Calibri" w:eastAsia="SimSun" w:hAnsi="Calibri" w:cs="Calibri"/>
          <w:bCs/>
          <w:i/>
          <w:kern w:val="1"/>
          <w:szCs w:val="22"/>
          <w:lang w:eastAsia="ar-SA"/>
        </w:rPr>
        <w:t>Podrobné kritériá pre výber stratégií budú stanovené v metodickej príručke.</w:t>
      </w:r>
    </w:p>
    <w:p w:rsidR="008676F9" w:rsidRPr="008676F9" w:rsidRDefault="008676F9" w:rsidP="00F14F63">
      <w:pPr>
        <w:suppressAutoHyphens/>
        <w:rPr>
          <w:rFonts w:ascii="Calibri" w:eastAsia="SimSun" w:hAnsi="Calibri" w:cs="Calibri"/>
          <w:bCs/>
          <w:kern w:val="1"/>
          <w:szCs w:val="22"/>
          <w:lang w:eastAsia="ar-SA"/>
        </w:rPr>
      </w:pPr>
    </w:p>
    <w:p w:rsidR="008676F9" w:rsidRPr="008676F9" w:rsidRDefault="008676F9" w:rsidP="00F14F63">
      <w:pPr>
        <w:suppressAutoHyphens/>
        <w:rPr>
          <w:rFonts w:ascii="Calibri" w:eastAsia="SimSun" w:hAnsi="Calibri" w:cs="Calibri"/>
          <w:bCs/>
          <w:kern w:val="1"/>
          <w:szCs w:val="22"/>
          <w:u w:val="single"/>
          <w:lang w:eastAsia="ar-SA"/>
        </w:rPr>
      </w:pPr>
      <w:r w:rsidRPr="008676F9">
        <w:rPr>
          <w:rFonts w:ascii="Calibri" w:eastAsia="SimSun" w:hAnsi="Calibri" w:cs="Calibri"/>
          <w:bCs/>
          <w:kern w:val="1"/>
          <w:szCs w:val="22"/>
          <w:lang w:eastAsia="ar-SA"/>
        </w:rPr>
        <w:t xml:space="preserve">Prioritne budú podporené stratégie, ktoré budú smerovať k ekonomickému rastu a k tvorbe pracovných miest a v ktorých podpora súkromného a občianskeho sektora bude prevyšovať podporu verejného sektora. </w:t>
      </w:r>
    </w:p>
    <w:p w:rsidR="008676F9" w:rsidRPr="008676F9" w:rsidRDefault="008676F9" w:rsidP="00F14F63">
      <w:pPr>
        <w:suppressAutoHyphens/>
        <w:rPr>
          <w:rFonts w:ascii="Calibri" w:eastAsia="SimSun" w:hAnsi="Calibri" w:cs="Calibri"/>
          <w:bCs/>
          <w:kern w:val="1"/>
          <w:szCs w:val="22"/>
          <w:u w:val="single"/>
          <w:lang w:eastAsia="ar-SA"/>
        </w:rPr>
      </w:pPr>
    </w:p>
    <w:p w:rsidR="00D9234A" w:rsidRPr="008676F9" w:rsidRDefault="00D9234A" w:rsidP="00D9234A">
      <w:pPr>
        <w:suppressAutoHyphens/>
        <w:rPr>
          <w:rFonts w:ascii="Calibri" w:eastAsia="SimSun" w:hAnsi="Calibri" w:cs="Calibri"/>
          <w:kern w:val="1"/>
          <w:szCs w:val="22"/>
          <w:lang w:eastAsia="ar-SA"/>
        </w:rPr>
      </w:pPr>
      <w:r w:rsidRPr="008676F9">
        <w:rPr>
          <w:rFonts w:ascii="Calibri" w:eastAsia="SimSun" w:hAnsi="Calibri" w:cs="Calibri"/>
          <w:bCs/>
          <w:kern w:val="1"/>
          <w:szCs w:val="22"/>
          <w:u w:val="single"/>
          <w:lang w:eastAsia="ar-SA"/>
        </w:rPr>
        <w:t>Postup pre výber miestnych akčných skupín:</w:t>
      </w:r>
      <w:r w:rsidRPr="008676F9">
        <w:rPr>
          <w:rFonts w:ascii="Calibri" w:eastAsia="SimSun" w:hAnsi="Calibri" w:cs="Calibri"/>
          <w:b/>
          <w:bCs/>
          <w:kern w:val="1"/>
          <w:szCs w:val="22"/>
          <w:lang w:eastAsia="ar-SA"/>
        </w:rPr>
        <w:t xml:space="preserve"> </w:t>
      </w:r>
      <w:r w:rsidRPr="008676F9">
        <w:rPr>
          <w:rFonts w:ascii="Calibri" w:eastAsia="SimSun" w:hAnsi="Calibri" w:cs="Calibri"/>
          <w:bCs/>
          <w:kern w:val="1"/>
          <w:szCs w:val="22"/>
          <w:lang w:eastAsia="ar-SA"/>
        </w:rPr>
        <w:t xml:space="preserve">bude prebiehať v rámci jednej prípadne viacerých výziev, pričom prvá výzva bude vyhlásená najneskôr do 2 rokov od schválenia Partnerskej dohody SR na roky 2014-2020. </w:t>
      </w:r>
      <w:r>
        <w:rPr>
          <w:rFonts w:ascii="Calibri" w:eastAsia="SimSun" w:hAnsi="Calibri" w:cs="Calibri"/>
          <w:bCs/>
          <w:kern w:val="1"/>
          <w:szCs w:val="22"/>
          <w:lang w:eastAsia="ar-SA"/>
        </w:rPr>
        <w:t>V</w:t>
      </w:r>
      <w:r w:rsidRPr="008676F9">
        <w:rPr>
          <w:rFonts w:ascii="Calibri" w:eastAsia="SimSun" w:hAnsi="Calibri" w:cs="Calibri"/>
          <w:bCs/>
          <w:kern w:val="1"/>
          <w:szCs w:val="22"/>
          <w:lang w:eastAsia="ar-SA"/>
        </w:rPr>
        <w:t xml:space="preserve"> prípade ďalších výziev bude výber MAS  dokončený do konca roku 2017.  </w:t>
      </w:r>
      <w:r>
        <w:rPr>
          <w:rFonts w:ascii="Calibri" w:eastAsia="SimSun" w:hAnsi="Calibri" w:cs="Calibri"/>
          <w:bCs/>
          <w:kern w:val="1"/>
          <w:szCs w:val="22"/>
          <w:lang w:eastAsia="ar-SA"/>
        </w:rPr>
        <w:t>Pred výzvou na výber MAS bude v dostatočnom časovom predstihu vyhlásená výzva na prípravnú podporu pre</w:t>
      </w:r>
      <w:r>
        <w:rPr>
          <w:rFonts w:ascii="Calibri" w:eastAsia="SimSun" w:hAnsi="Calibri" w:cs="Calibri"/>
          <w:bCs/>
          <w:kern w:val="1"/>
          <w:szCs w:val="22"/>
          <w:lang w:eastAsia="ar-SA"/>
        </w:rPr>
        <w:lastRenderedPageBreak/>
        <w:t xml:space="preserve"> partnerstvá, ktoré doteraz nemali štatút MAS. </w:t>
      </w:r>
      <w:r w:rsidRPr="008676F9">
        <w:rPr>
          <w:rFonts w:ascii="Calibri" w:eastAsia="SimSun" w:hAnsi="Calibri" w:cs="Calibri"/>
          <w:bCs/>
          <w:kern w:val="1"/>
          <w:szCs w:val="22"/>
          <w:lang w:eastAsia="ar-SA"/>
        </w:rPr>
        <w:t>Výber a schvaľovanie stratégií CLLD, bude zabezpečený spoločnou výberovou komisiou zloženou zo zástupcov príslušných riadiacich orgánov (PRV a IROP).</w:t>
      </w:r>
      <w:r>
        <w:rPr>
          <w:rFonts w:ascii="Calibri" w:eastAsia="SimSun" w:hAnsi="Calibri" w:cs="Calibri"/>
          <w:bCs/>
          <w:kern w:val="1"/>
          <w:szCs w:val="22"/>
          <w:lang w:eastAsia="ar-SA"/>
        </w:rPr>
        <w:t xml:space="preserve"> </w:t>
      </w:r>
    </w:p>
    <w:p w:rsidR="008676F9" w:rsidRPr="008676F9" w:rsidRDefault="008676F9" w:rsidP="00F14F63">
      <w:pPr>
        <w:suppressAutoHyphens/>
        <w:rPr>
          <w:rFonts w:ascii="Calibri" w:eastAsia="SimSun" w:hAnsi="Calibri" w:cs="Calibri"/>
          <w:kern w:val="1"/>
          <w:szCs w:val="22"/>
          <w:lang w:eastAsia="ar-SA"/>
        </w:rPr>
      </w:pPr>
    </w:p>
    <w:p w:rsidR="008676F9" w:rsidRPr="008676F9" w:rsidRDefault="008676F9" w:rsidP="00F14F63">
      <w:pPr>
        <w:suppressAutoHyphens/>
        <w:rPr>
          <w:rFonts w:ascii="Calibri" w:eastAsia="SimSun" w:hAnsi="Calibri" w:cs="Calibri"/>
          <w:kern w:val="1"/>
          <w:szCs w:val="22"/>
          <w:lang w:eastAsia="ar-SA"/>
        </w:rPr>
      </w:pPr>
      <w:r w:rsidRPr="008676F9">
        <w:rPr>
          <w:rFonts w:ascii="Calibri" w:eastAsia="SimSun" w:hAnsi="Calibri" w:cs="Calibri"/>
          <w:bCs/>
          <w:kern w:val="1"/>
          <w:szCs w:val="22"/>
          <w:lang w:eastAsia="ar-SA"/>
        </w:rPr>
        <w:t>MAS musí mať vypracovanú stratégiu miestneho rozvoja s jasne formulovanými prioritami, opatreniami, ktoré budú prispievať k podpore miestneho rozvoja.</w:t>
      </w:r>
    </w:p>
    <w:p w:rsidR="008676F9" w:rsidRPr="008676F9" w:rsidRDefault="008676F9" w:rsidP="00F14F63">
      <w:pPr>
        <w:suppressAutoHyphens/>
        <w:rPr>
          <w:rFonts w:ascii="Calibri" w:eastAsia="SimSun" w:hAnsi="Calibri" w:cs="Calibri"/>
          <w:bCs/>
          <w:kern w:val="1"/>
          <w:szCs w:val="22"/>
          <w:lang w:eastAsia="ar-SA"/>
        </w:rPr>
      </w:pPr>
    </w:p>
    <w:p w:rsidR="008676F9" w:rsidRPr="008676F9" w:rsidRDefault="008676F9" w:rsidP="00F14F63">
      <w:pPr>
        <w:suppressAutoHyphens/>
        <w:rPr>
          <w:rFonts w:ascii="Calibri" w:eastAsia="SimSun" w:hAnsi="Calibri" w:cs="Calibri"/>
          <w:bCs/>
          <w:kern w:val="1"/>
          <w:szCs w:val="22"/>
          <w:lang w:eastAsia="ar-SA"/>
        </w:rPr>
      </w:pPr>
    </w:p>
    <w:p w:rsidR="008676F9" w:rsidRPr="008676F9" w:rsidRDefault="008676F9" w:rsidP="00F14F63">
      <w:pPr>
        <w:shd w:val="clear" w:color="auto" w:fill="D6E3BC"/>
        <w:suppressAutoHyphens/>
        <w:rPr>
          <w:rFonts w:ascii="Calibri" w:eastAsia="Calibri" w:hAnsi="Calibri" w:cs="Calibri"/>
          <w:b/>
          <w:bCs/>
          <w:kern w:val="1"/>
          <w:lang w:eastAsia="ar-SA"/>
        </w:rPr>
      </w:pPr>
      <w:r w:rsidRPr="008676F9">
        <w:rPr>
          <w:rFonts w:ascii="Calibri" w:eastAsia="Calibri" w:hAnsi="Calibri" w:cs="Calibri"/>
          <w:bCs/>
          <w:kern w:val="1"/>
          <w:lang w:eastAsia="ar-SA"/>
        </w:rPr>
        <w:t>Podopatrenie 19.3</w:t>
      </w:r>
      <w:r w:rsidRPr="008676F9">
        <w:rPr>
          <w:rFonts w:ascii="Calibri" w:eastAsia="Calibri" w:hAnsi="Calibri" w:cs="Calibri"/>
          <w:b/>
          <w:bCs/>
          <w:kern w:val="1"/>
          <w:lang w:eastAsia="ar-SA"/>
        </w:rPr>
        <w:t xml:space="preserve"> </w:t>
      </w:r>
      <w:r w:rsidRPr="00997BE5">
        <w:rPr>
          <w:rFonts w:ascii="Calibri" w:eastAsia="Calibri" w:hAnsi="Calibri" w:cs="Calibri"/>
          <w:b/>
          <w:bCs/>
          <w:kern w:val="1"/>
          <w:sz w:val="24"/>
          <w:lang w:eastAsia="ar-SA"/>
        </w:rPr>
        <w:t>Príprava a vykonávanie činností spolupráce miestnych akčných skupín</w:t>
      </w:r>
    </w:p>
    <w:p w:rsidR="008676F9" w:rsidRPr="008676F9" w:rsidRDefault="008676F9" w:rsidP="00F14F63">
      <w:pPr>
        <w:shd w:val="clear" w:color="auto" w:fill="FBD4B4"/>
        <w:suppressAutoHyphens/>
        <w:rPr>
          <w:rFonts w:ascii="Calibri" w:eastAsia="SimSun" w:hAnsi="Calibri" w:cs="Calibri"/>
          <w:i/>
          <w:kern w:val="1"/>
          <w:szCs w:val="22"/>
          <w:lang w:eastAsia="ar-SA"/>
        </w:rPr>
      </w:pPr>
      <w:r w:rsidRPr="008676F9">
        <w:rPr>
          <w:rFonts w:ascii="Calibri" w:eastAsia="SimSun" w:hAnsi="Calibri" w:cs="Calibri"/>
          <w:bCs/>
          <w:kern w:val="1"/>
          <w:szCs w:val="22"/>
          <w:u w:val="single"/>
          <w:lang w:eastAsia="ar-SA"/>
        </w:rPr>
        <w:t>Názov operácie:</w:t>
      </w:r>
    </w:p>
    <w:p w:rsidR="008676F9" w:rsidRPr="008676F9" w:rsidRDefault="008676F9" w:rsidP="00F14F63">
      <w:pPr>
        <w:shd w:val="clear" w:color="auto" w:fill="FBD4B4"/>
        <w:suppressAutoHyphens/>
        <w:rPr>
          <w:rFonts w:ascii="Calibri" w:eastAsia="SimSun" w:hAnsi="Calibri" w:cs="Calibri"/>
          <w:bCs/>
          <w:kern w:val="1"/>
          <w:szCs w:val="22"/>
          <w:u w:val="single"/>
          <w:lang w:eastAsia="ar-SA"/>
        </w:rPr>
      </w:pPr>
      <w:r w:rsidRPr="008676F9">
        <w:rPr>
          <w:rFonts w:ascii="Calibri" w:eastAsia="SimSun" w:hAnsi="Calibri" w:cs="Calibri"/>
          <w:i/>
          <w:kern w:val="1"/>
          <w:szCs w:val="22"/>
          <w:lang w:eastAsia="ar-SA"/>
        </w:rPr>
        <w:t>Príprava a vykonávanie projektov spolupráce MAS</w:t>
      </w:r>
    </w:p>
    <w:p w:rsidR="00997BE5" w:rsidRDefault="00997BE5" w:rsidP="00F14F63">
      <w:pPr>
        <w:suppressAutoHyphens/>
        <w:rPr>
          <w:rFonts w:ascii="Calibri" w:eastAsia="SimSun" w:hAnsi="Calibri" w:cs="Calibri"/>
          <w:bCs/>
          <w:kern w:val="1"/>
          <w:szCs w:val="22"/>
          <w:u w:val="single"/>
          <w:lang w:eastAsia="ar-SA"/>
        </w:rPr>
      </w:pPr>
    </w:p>
    <w:p w:rsidR="008676F9" w:rsidRPr="008676F9" w:rsidRDefault="008676F9" w:rsidP="00F14F63">
      <w:pPr>
        <w:suppressAutoHyphens/>
        <w:rPr>
          <w:rFonts w:ascii="Calibri" w:eastAsia="SimSun" w:hAnsi="Calibri" w:cs="Calibri"/>
          <w:bCs/>
          <w:kern w:val="1"/>
          <w:szCs w:val="22"/>
          <w:lang w:eastAsia="ar-SA"/>
        </w:rPr>
      </w:pPr>
      <w:r w:rsidRPr="008676F9">
        <w:rPr>
          <w:rFonts w:ascii="Calibri" w:eastAsia="SimSun" w:hAnsi="Calibri" w:cs="Calibri"/>
          <w:bCs/>
          <w:kern w:val="1"/>
          <w:szCs w:val="22"/>
          <w:u w:val="single"/>
          <w:lang w:eastAsia="ar-SA"/>
        </w:rPr>
        <w:t>Opis operácie:</w:t>
      </w:r>
    </w:p>
    <w:p w:rsidR="008676F9" w:rsidRPr="008676F9" w:rsidRDefault="008676F9" w:rsidP="00F14F63">
      <w:pPr>
        <w:suppressAutoHyphens/>
        <w:rPr>
          <w:rFonts w:ascii="Calibri" w:eastAsia="SimSun" w:hAnsi="Calibri" w:cs="Calibri"/>
          <w:bCs/>
          <w:kern w:val="1"/>
          <w:szCs w:val="22"/>
          <w:u w:val="single"/>
          <w:lang w:eastAsia="ar-SA"/>
        </w:rPr>
      </w:pPr>
      <w:r w:rsidRPr="008676F9">
        <w:rPr>
          <w:rFonts w:ascii="Calibri" w:eastAsia="SimSun" w:hAnsi="Calibri" w:cs="Calibri"/>
          <w:bCs/>
          <w:kern w:val="1"/>
          <w:szCs w:val="22"/>
          <w:lang w:eastAsia="ar-SA"/>
        </w:rPr>
        <w:t>v rámci podopatrenia  projektov spolupráce, môže ísť o 2 typy spolupráce:</w:t>
      </w:r>
    </w:p>
    <w:p w:rsidR="008676F9" w:rsidRPr="008676F9" w:rsidRDefault="008676F9" w:rsidP="00955DA4">
      <w:pPr>
        <w:numPr>
          <w:ilvl w:val="0"/>
          <w:numId w:val="182"/>
        </w:numPr>
        <w:suppressAutoHyphens/>
        <w:spacing w:after="120"/>
        <w:ind w:left="714" w:hanging="357"/>
        <w:rPr>
          <w:rFonts w:ascii="Calibri" w:hAnsi="Calibri" w:cs="Calibri"/>
          <w:bCs/>
          <w:kern w:val="1"/>
          <w:szCs w:val="22"/>
          <w:u w:val="single"/>
          <w:lang w:eastAsia="ar-SA"/>
        </w:rPr>
      </w:pPr>
      <w:r w:rsidRPr="008676F9">
        <w:rPr>
          <w:rFonts w:ascii="Calibri" w:hAnsi="Calibri" w:cs="Calibri"/>
          <w:bCs/>
          <w:kern w:val="1"/>
          <w:szCs w:val="22"/>
          <w:u w:val="single"/>
          <w:lang w:eastAsia="ar-SA"/>
        </w:rPr>
        <w:t xml:space="preserve">Národná – </w:t>
      </w:r>
      <w:r w:rsidRPr="008676F9">
        <w:rPr>
          <w:rFonts w:ascii="Calibri" w:hAnsi="Calibri" w:cs="Calibri"/>
          <w:bCs/>
          <w:kern w:val="1"/>
          <w:szCs w:val="22"/>
          <w:lang w:eastAsia="ar-SA"/>
        </w:rPr>
        <w:t xml:space="preserve">MAS, ktorá je vybraná a schválená RO na implementáciu stratégie miestneho rozvoja v spojení s inou schválenou MAS a/alebo s verejno-súkromnými partnerstvami, ktoré pracujú na princípoch LEADER na území SR, </w:t>
      </w:r>
    </w:p>
    <w:p w:rsidR="008676F9" w:rsidRPr="008676F9" w:rsidRDefault="008676F9" w:rsidP="00955DA4">
      <w:pPr>
        <w:numPr>
          <w:ilvl w:val="0"/>
          <w:numId w:val="182"/>
        </w:numPr>
        <w:suppressAutoHyphens/>
        <w:spacing w:after="120"/>
        <w:ind w:left="714" w:hanging="357"/>
        <w:rPr>
          <w:rFonts w:cs="Calibri"/>
          <w:bCs/>
          <w:kern w:val="1"/>
          <w:lang w:eastAsia="ar-SA"/>
        </w:rPr>
      </w:pPr>
      <w:r w:rsidRPr="008676F9">
        <w:rPr>
          <w:rFonts w:ascii="Calibri" w:hAnsi="Calibri" w:cs="Calibri"/>
          <w:bCs/>
          <w:kern w:val="1"/>
          <w:szCs w:val="22"/>
          <w:u w:val="single"/>
          <w:lang w:eastAsia="ar-SA"/>
        </w:rPr>
        <w:t xml:space="preserve">Nadnárodná –  </w:t>
      </w:r>
      <w:r w:rsidRPr="008676F9">
        <w:rPr>
          <w:rFonts w:ascii="Calibri" w:hAnsi="Calibri" w:cs="Calibri"/>
          <w:bCs/>
          <w:kern w:val="1"/>
          <w:szCs w:val="22"/>
          <w:lang w:eastAsia="ar-SA"/>
        </w:rPr>
        <w:t>MAS, ktorá je vybraná a schválená RO na implementáciu stratégie miestneho rozvoja v spojení s inou schválenou MAS v EÚ a/alebo s verejno-súkromným partnerstvom, ktoré pracujú na princípoch LEADER, na území EÚ alebo 3 krajín.</w:t>
      </w:r>
    </w:p>
    <w:p w:rsidR="008676F9" w:rsidRPr="008676F9" w:rsidRDefault="008676F9" w:rsidP="00E81F0F">
      <w:pPr>
        <w:suppressAutoHyphens/>
        <w:spacing w:after="120"/>
        <w:rPr>
          <w:rFonts w:ascii="Calibri" w:eastAsia="SimSun" w:hAnsi="Calibri" w:cs="Calibri"/>
          <w:bCs/>
          <w:kern w:val="1"/>
          <w:szCs w:val="22"/>
          <w:lang w:eastAsia="ar-SA"/>
        </w:rPr>
      </w:pPr>
      <w:r w:rsidRPr="008676F9">
        <w:rPr>
          <w:rFonts w:ascii="Calibri" w:eastAsia="SimSun" w:hAnsi="Calibri" w:cs="Calibri"/>
          <w:bCs/>
          <w:kern w:val="1"/>
          <w:szCs w:val="22"/>
          <w:lang w:eastAsia="ar-SA"/>
        </w:rPr>
        <w:t>Miestnym akčným skupinám môže byť pridelená tiež predbežná technická podpora pre projekty spolupráce v rámci národnej alebo nadnárodnej spolupráce pod podmienkou, že miestne akčné skupiny preukážu, že plánujú realizáciu konkrétneho projektu.</w:t>
      </w:r>
    </w:p>
    <w:p w:rsidR="008676F9" w:rsidRPr="008676F9" w:rsidRDefault="008676F9" w:rsidP="00F14F63">
      <w:pPr>
        <w:suppressAutoHyphens/>
        <w:rPr>
          <w:rFonts w:ascii="Calibri" w:eastAsia="SimSun" w:hAnsi="Calibri" w:cs="Calibri"/>
          <w:bCs/>
          <w:kern w:val="1"/>
          <w:szCs w:val="22"/>
          <w:u w:val="single"/>
          <w:lang w:eastAsia="ar-SA"/>
        </w:rPr>
      </w:pPr>
      <w:r w:rsidRPr="008676F9">
        <w:rPr>
          <w:rFonts w:ascii="Calibri" w:eastAsia="SimSun" w:hAnsi="Calibri" w:cs="Calibri"/>
          <w:bCs/>
          <w:kern w:val="1"/>
          <w:szCs w:val="22"/>
          <w:lang w:eastAsia="ar-SA"/>
        </w:rPr>
        <w:t>Projekty spolupráce v rámci iniciatívy LEADER sú menšieho charakteru vychádzajúce z lokálnych potrieb územia. Projekty sú zamerané najmä na hľadanie spoločného potenciálu, budovanie spoločných tradícií, zvyšovanie turistického potenciálu spolupracujúcich území, ale aj výmenu skúseností, informačné a propagačné aktivity a pod.</w:t>
      </w:r>
    </w:p>
    <w:p w:rsidR="008676F9" w:rsidRPr="008676F9" w:rsidRDefault="008676F9" w:rsidP="00F14F63">
      <w:pPr>
        <w:suppressAutoHyphens/>
        <w:rPr>
          <w:rFonts w:ascii="Calibri" w:eastAsia="SimSun" w:hAnsi="Calibri" w:cs="Calibri"/>
          <w:bCs/>
          <w:kern w:val="1"/>
          <w:szCs w:val="22"/>
          <w:u w:val="single"/>
          <w:lang w:eastAsia="ar-SA"/>
        </w:rPr>
      </w:pPr>
    </w:p>
    <w:p w:rsidR="008676F9" w:rsidRPr="008676F9" w:rsidRDefault="008676F9" w:rsidP="00F14F63">
      <w:pPr>
        <w:suppressAutoHyphens/>
        <w:rPr>
          <w:rFonts w:ascii="Calibri" w:eastAsia="SimSun" w:hAnsi="Calibri" w:cs="Calibri"/>
          <w:bCs/>
          <w:kern w:val="1"/>
          <w:szCs w:val="22"/>
          <w:lang w:eastAsia="ar-SA"/>
        </w:rPr>
      </w:pPr>
      <w:r w:rsidRPr="008676F9">
        <w:rPr>
          <w:rFonts w:ascii="Calibri" w:eastAsia="SimSun" w:hAnsi="Calibri" w:cs="Calibri"/>
          <w:bCs/>
          <w:kern w:val="1"/>
          <w:szCs w:val="22"/>
          <w:u w:val="single"/>
          <w:lang w:eastAsia="ar-SA"/>
        </w:rPr>
        <w:t>Typ podpory:</w:t>
      </w:r>
    </w:p>
    <w:p w:rsidR="008676F9" w:rsidRPr="008676F9" w:rsidRDefault="008676F9" w:rsidP="00F14F63">
      <w:pPr>
        <w:suppressAutoHyphens/>
        <w:rPr>
          <w:rFonts w:ascii="Calibri" w:eastAsia="SimSun" w:hAnsi="Calibri" w:cs="Calibri"/>
          <w:bCs/>
          <w:kern w:val="1"/>
          <w:szCs w:val="22"/>
          <w:u w:val="single"/>
          <w:lang w:eastAsia="ar-SA"/>
        </w:rPr>
      </w:pPr>
      <w:r w:rsidRPr="008676F9">
        <w:rPr>
          <w:rFonts w:ascii="Calibri" w:eastAsia="SimSun" w:hAnsi="Calibri" w:cs="Calibri"/>
          <w:bCs/>
          <w:kern w:val="1"/>
          <w:szCs w:val="22"/>
          <w:lang w:eastAsia="ar-SA"/>
        </w:rPr>
        <w:t>Investičná/neinvestičná, nezisková, nenávratný finančný príspevok</w:t>
      </w:r>
    </w:p>
    <w:p w:rsidR="008676F9" w:rsidRPr="008676F9" w:rsidRDefault="008676F9" w:rsidP="00F14F63">
      <w:pPr>
        <w:suppressAutoHyphens/>
        <w:rPr>
          <w:rFonts w:ascii="Calibri" w:eastAsia="SimSun" w:hAnsi="Calibri" w:cs="Calibri"/>
          <w:bCs/>
          <w:kern w:val="1"/>
          <w:szCs w:val="22"/>
          <w:u w:val="single"/>
          <w:lang w:eastAsia="ar-SA"/>
        </w:rPr>
      </w:pPr>
    </w:p>
    <w:p w:rsidR="008676F9" w:rsidRPr="008676F9" w:rsidRDefault="008676F9" w:rsidP="00F14F63">
      <w:pPr>
        <w:suppressAutoHyphens/>
        <w:rPr>
          <w:rFonts w:ascii="Calibri" w:eastAsia="SimSun" w:hAnsi="Calibri" w:cs="Calibri"/>
          <w:bCs/>
          <w:kern w:val="1"/>
          <w:szCs w:val="22"/>
          <w:lang w:eastAsia="ar-SA"/>
        </w:rPr>
      </w:pPr>
      <w:r w:rsidRPr="008676F9">
        <w:rPr>
          <w:rFonts w:ascii="Calibri" w:eastAsia="SimSun" w:hAnsi="Calibri" w:cs="Calibri"/>
          <w:bCs/>
          <w:kern w:val="1"/>
          <w:szCs w:val="22"/>
          <w:u w:val="single"/>
          <w:lang w:eastAsia="ar-SA"/>
        </w:rPr>
        <w:t>Súvislosť s inou legislatívou:</w:t>
      </w:r>
    </w:p>
    <w:p w:rsidR="008676F9" w:rsidRPr="008676F9" w:rsidRDefault="008676F9" w:rsidP="00F14F63">
      <w:pPr>
        <w:rPr>
          <w:rFonts w:ascii="Calibri" w:eastAsia="Calibri" w:hAnsi="Calibri"/>
          <w:bCs/>
          <w:szCs w:val="22"/>
          <w:lang w:eastAsia="en-US"/>
        </w:rPr>
      </w:pPr>
      <w:r w:rsidRPr="008676F9">
        <w:rPr>
          <w:rFonts w:ascii="Calibri" w:eastAsia="SimSun" w:hAnsi="Calibri" w:cs="Calibri"/>
          <w:bCs/>
          <w:kern w:val="1"/>
          <w:szCs w:val="22"/>
          <w:lang w:eastAsia="ar-SA"/>
        </w:rPr>
        <w:t xml:space="preserve">Programy európskej územnej spolupráce (ETC) - </w:t>
      </w:r>
      <w:r w:rsidRPr="008676F9">
        <w:rPr>
          <w:rFonts w:ascii="Calibri" w:eastAsia="Calibri" w:hAnsi="Calibri"/>
          <w:bCs/>
          <w:szCs w:val="22"/>
          <w:lang w:eastAsia="en-US"/>
        </w:rPr>
        <w:t>niektoré aktivity oprávnené v rámci projektov spolupráce sú resp. môžu byť príbuzné s oprávnenými aktivitami v rámci programov ETC. Takéto aktivity môžu prirodzene nadviazať na investície programov ETC. Na miestnej úrovni je dôležité, aby miestne akčné skupiny, ktoré budú realizovať projekt spolupráce s partnermi zo susediacich krajín SR zahrnuté v programoch ETC, pri tvorbe stratégie, ale aj pri plánovaní projektov spolupráce analyzovali situáciu s ohľadom na zrealizované resp. plánované aktivity z programov ETC ako aj možnosti získania finančných prostriedkov. Na riadiacej úrovni bude koordinácia zabezpečená úzkou spoluprácou dotknutých útvarov zodpovedných za riadenie príslušných programov, vzájomnou informovanosťou a výmenou informácií, aby sa zabránilo dvojitému financovaniu podporovaných aktivít.</w:t>
      </w:r>
    </w:p>
    <w:p w:rsidR="008676F9" w:rsidRPr="008676F9" w:rsidRDefault="008676F9" w:rsidP="00F14F63">
      <w:pPr>
        <w:suppressAutoHyphens/>
        <w:rPr>
          <w:rFonts w:ascii="Calibri" w:eastAsia="SimSun" w:hAnsi="Calibri" w:cs="Calibri"/>
          <w:bCs/>
          <w:kern w:val="1"/>
          <w:szCs w:val="22"/>
          <w:lang w:eastAsia="ar-SA"/>
        </w:rPr>
      </w:pPr>
    </w:p>
    <w:p w:rsidR="008676F9" w:rsidRPr="008676F9" w:rsidRDefault="008676F9" w:rsidP="00F14F63">
      <w:pPr>
        <w:suppressAutoHyphens/>
        <w:rPr>
          <w:rFonts w:ascii="Calibri" w:eastAsia="SimSun" w:hAnsi="Calibri" w:cs="Calibri"/>
          <w:bCs/>
          <w:kern w:val="1"/>
          <w:szCs w:val="22"/>
          <w:u w:val="single"/>
          <w:lang w:eastAsia="ar-SA"/>
        </w:rPr>
      </w:pPr>
      <w:r w:rsidRPr="008676F9">
        <w:rPr>
          <w:rFonts w:ascii="Calibri" w:eastAsia="SimSun" w:hAnsi="Calibri" w:cs="Calibri"/>
          <w:bCs/>
          <w:kern w:val="1"/>
          <w:szCs w:val="22"/>
          <w:u w:val="single"/>
          <w:lang w:eastAsia="ar-SA"/>
        </w:rPr>
        <w:t>Prijímateľ podpory:</w:t>
      </w:r>
    </w:p>
    <w:p w:rsidR="00D9234A" w:rsidRPr="008676F9" w:rsidRDefault="008676F9" w:rsidP="00D9234A">
      <w:pPr>
        <w:suppressAutoHyphens/>
        <w:rPr>
          <w:rFonts w:ascii="Calibri" w:eastAsia="SimSun" w:hAnsi="Calibri" w:cs="Calibri"/>
          <w:bCs/>
          <w:kern w:val="1"/>
          <w:szCs w:val="22"/>
          <w:u w:val="single"/>
          <w:lang w:eastAsia="ar-SA"/>
        </w:rPr>
      </w:pPr>
      <w:r w:rsidRPr="008676F9">
        <w:rPr>
          <w:rFonts w:ascii="Calibri" w:eastAsia="SimSun" w:hAnsi="Calibri" w:cs="Calibri"/>
          <w:bCs/>
          <w:kern w:val="1"/>
          <w:szCs w:val="22"/>
          <w:lang w:eastAsia="ar-SA"/>
        </w:rPr>
        <w:t>Miestne akčné skupiny vybrané a schválené riadiacim orgánom na implementáciu stratégie miestneho rozvoja a ako partner verejno-súkromné partnerstvo pracujúce na princípoch LEADER</w:t>
      </w:r>
      <w:r w:rsidR="00A37B18">
        <w:rPr>
          <w:rFonts w:ascii="Calibri" w:eastAsia="SimSun" w:hAnsi="Calibri" w:cs="Calibri"/>
          <w:bCs/>
          <w:kern w:val="1"/>
          <w:szCs w:val="22"/>
          <w:lang w:eastAsia="ar-SA"/>
        </w:rPr>
        <w:t>/CLLD</w:t>
      </w:r>
      <w:r w:rsidRPr="008676F9">
        <w:rPr>
          <w:rFonts w:ascii="Calibri" w:eastAsia="SimSun" w:hAnsi="Calibri" w:cs="Calibri"/>
          <w:bCs/>
          <w:kern w:val="1"/>
          <w:szCs w:val="22"/>
          <w:lang w:eastAsia="ar-SA"/>
        </w:rPr>
        <w:t xml:space="preserve">. </w:t>
      </w:r>
      <w:r w:rsidR="00D9234A">
        <w:rPr>
          <w:rFonts w:ascii="Calibri" w:eastAsia="SimSun" w:hAnsi="Calibri" w:cs="Calibri"/>
          <w:bCs/>
          <w:kern w:val="1"/>
          <w:szCs w:val="22"/>
          <w:lang w:eastAsia="ar-SA"/>
        </w:rPr>
        <w:t xml:space="preserve">Partner projektu, ktorý bude </w:t>
      </w:r>
      <w:r w:rsidR="00D9234A" w:rsidRPr="008676F9">
        <w:rPr>
          <w:rFonts w:ascii="Calibri" w:eastAsia="SimSun" w:hAnsi="Calibri" w:cs="Calibri"/>
          <w:bCs/>
          <w:kern w:val="1"/>
          <w:szCs w:val="22"/>
          <w:lang w:eastAsia="ar-SA"/>
        </w:rPr>
        <w:t>verejno-súkromné partnerstvo pracujúce na princípoch LEADER</w:t>
      </w:r>
      <w:r w:rsidR="00D9234A">
        <w:rPr>
          <w:rFonts w:ascii="Calibri" w:eastAsia="SimSun" w:hAnsi="Calibri" w:cs="Calibri"/>
          <w:bCs/>
          <w:kern w:val="1"/>
          <w:szCs w:val="22"/>
          <w:lang w:eastAsia="ar-SA"/>
        </w:rPr>
        <w:t>/CLLD (bez štatútu MAS) zo SR môže byť zároveň aj prijímateľom.</w:t>
      </w:r>
    </w:p>
    <w:p w:rsidR="008676F9" w:rsidRPr="008676F9" w:rsidRDefault="008676F9" w:rsidP="00F14F63">
      <w:pPr>
        <w:suppressAutoHyphens/>
        <w:rPr>
          <w:rFonts w:ascii="Calibri" w:eastAsia="SimSun" w:hAnsi="Calibri" w:cs="Calibri"/>
          <w:bCs/>
          <w:kern w:val="1"/>
          <w:szCs w:val="22"/>
          <w:u w:val="single"/>
          <w:lang w:eastAsia="ar-SA"/>
        </w:rPr>
      </w:pPr>
    </w:p>
    <w:p w:rsidR="008676F9" w:rsidRPr="008676F9" w:rsidRDefault="008676F9" w:rsidP="00F14F63">
      <w:pPr>
        <w:suppressAutoHyphens/>
        <w:rPr>
          <w:rFonts w:ascii="Calibri" w:eastAsia="SimSun" w:hAnsi="Calibri" w:cs="Calibri"/>
          <w:bCs/>
          <w:kern w:val="1"/>
          <w:szCs w:val="22"/>
          <w:u w:val="single"/>
          <w:lang w:eastAsia="ar-SA"/>
        </w:rPr>
      </w:pPr>
      <w:r w:rsidRPr="008676F9">
        <w:rPr>
          <w:rFonts w:ascii="Calibri" w:eastAsia="SimSun" w:hAnsi="Calibri" w:cs="Calibri"/>
          <w:bCs/>
          <w:kern w:val="1"/>
          <w:szCs w:val="22"/>
          <w:u w:val="single"/>
          <w:lang w:eastAsia="ar-SA"/>
        </w:rPr>
        <w:t>Oprávnené náklady:</w:t>
      </w:r>
    </w:p>
    <w:p w:rsidR="008676F9" w:rsidRPr="008676F9" w:rsidRDefault="008676F9" w:rsidP="00F14F63">
      <w:pPr>
        <w:suppressAutoHyphens/>
        <w:rPr>
          <w:rFonts w:ascii="Calibri" w:eastAsia="SimSun" w:hAnsi="Calibri" w:cs="Calibri"/>
          <w:bCs/>
          <w:kern w:val="1"/>
          <w:szCs w:val="22"/>
          <w:lang w:eastAsia="ar-SA"/>
        </w:rPr>
      </w:pPr>
      <w:r w:rsidRPr="008676F9">
        <w:rPr>
          <w:rFonts w:ascii="Calibri" w:eastAsia="SimSun" w:hAnsi="Calibri" w:cs="Calibri"/>
          <w:bCs/>
          <w:kern w:val="1"/>
          <w:szCs w:val="22"/>
          <w:lang w:eastAsia="ar-SA"/>
        </w:rPr>
        <w:t>Náklady na hmotné a nehmotné investície</w:t>
      </w:r>
      <w:r w:rsidR="00A37B18">
        <w:rPr>
          <w:rFonts w:ascii="Calibri" w:eastAsia="SimSun" w:hAnsi="Calibri" w:cs="Calibri"/>
          <w:bCs/>
          <w:kern w:val="1"/>
          <w:szCs w:val="22"/>
          <w:lang w:eastAsia="ar-SA"/>
        </w:rPr>
        <w:t>,</w:t>
      </w:r>
      <w:r w:rsidRPr="008676F9">
        <w:rPr>
          <w:rFonts w:ascii="Calibri" w:eastAsia="SimSun" w:hAnsi="Calibri" w:cs="Calibri"/>
          <w:bCs/>
          <w:kern w:val="1"/>
          <w:szCs w:val="22"/>
          <w:lang w:eastAsia="ar-SA"/>
        </w:rPr>
        <w:t xml:space="preserve">  administratívne náklady súvisiace s prípravou a realizáciou projektu spolupráce.</w:t>
      </w:r>
    </w:p>
    <w:p w:rsidR="008676F9" w:rsidRPr="008676F9" w:rsidRDefault="008676F9" w:rsidP="00F14F63">
      <w:pPr>
        <w:suppressAutoHyphens/>
        <w:rPr>
          <w:rFonts w:ascii="Calibri" w:eastAsia="SimSun" w:hAnsi="Calibri" w:cs="Calibri"/>
          <w:bCs/>
          <w:kern w:val="1"/>
          <w:szCs w:val="22"/>
          <w:u w:val="single"/>
          <w:lang w:eastAsia="ar-SA"/>
        </w:rPr>
      </w:pPr>
      <w:r w:rsidRPr="008676F9">
        <w:rPr>
          <w:rFonts w:ascii="Calibri" w:eastAsia="SimSun" w:hAnsi="Calibri" w:cs="Calibri"/>
          <w:bCs/>
          <w:kern w:val="1"/>
          <w:szCs w:val="22"/>
          <w:u w:val="single"/>
          <w:lang w:eastAsia="ar-SA"/>
        </w:rPr>
        <w:t>Podmienky oprávnenosti:</w:t>
      </w:r>
    </w:p>
    <w:p w:rsidR="008676F9" w:rsidRPr="008676F9" w:rsidRDefault="008676F9" w:rsidP="00F14F63">
      <w:pPr>
        <w:suppressAutoHyphens/>
        <w:rPr>
          <w:rFonts w:ascii="Calibri" w:eastAsia="SimSun" w:hAnsi="Calibri" w:cs="Calibri"/>
          <w:bCs/>
          <w:kern w:val="1"/>
          <w:szCs w:val="22"/>
          <w:lang w:eastAsia="ar-SA"/>
        </w:rPr>
      </w:pPr>
      <w:r w:rsidRPr="008676F9">
        <w:rPr>
          <w:rFonts w:ascii="Calibri" w:eastAsia="SimSun" w:hAnsi="Calibri" w:cs="Calibri"/>
          <w:bCs/>
          <w:kern w:val="1"/>
          <w:szCs w:val="22"/>
          <w:lang w:eastAsia="ar-SA"/>
        </w:rPr>
        <w:t>V rámci prípravnej technickej podpory musí MAS preukázať, že plánuje realizáciu konkrétneho projektu.</w:t>
      </w:r>
    </w:p>
    <w:p w:rsidR="008676F9" w:rsidRPr="008676F9" w:rsidRDefault="008676F9" w:rsidP="00F14F63">
      <w:pPr>
        <w:suppressAutoHyphens/>
        <w:rPr>
          <w:rFonts w:ascii="Calibri" w:eastAsia="SimSun" w:hAnsi="Calibri" w:cs="Calibri"/>
          <w:bCs/>
          <w:kern w:val="1"/>
          <w:szCs w:val="22"/>
          <w:u w:val="single"/>
          <w:lang w:eastAsia="ar-SA"/>
        </w:rPr>
      </w:pPr>
    </w:p>
    <w:p w:rsidR="008676F9" w:rsidRPr="008676F9" w:rsidRDefault="008676F9" w:rsidP="00F14F63">
      <w:pPr>
        <w:suppressAutoHyphens/>
        <w:rPr>
          <w:rFonts w:ascii="Calibri" w:eastAsia="SimSun" w:hAnsi="Calibri" w:cs="Calibri"/>
          <w:bCs/>
          <w:kern w:val="1"/>
          <w:szCs w:val="22"/>
          <w:lang w:eastAsia="ar-SA"/>
        </w:rPr>
      </w:pPr>
      <w:r w:rsidRPr="008676F9">
        <w:rPr>
          <w:rFonts w:ascii="Calibri" w:eastAsia="SimSun" w:hAnsi="Calibri" w:cs="Calibri"/>
          <w:bCs/>
          <w:kern w:val="1"/>
          <w:szCs w:val="22"/>
          <w:lang w:eastAsia="ar-SA"/>
        </w:rPr>
        <w:t>V rámci realizácie projektu – Investície v rámci tejto operácie sú oprávnené na podporu, ak sa príslušné operácie vykonávajú v súlade so stratégiou miestneho rozvoja, sú v súlade s cieľmi opatrenia LEADER a/alebo s cieľmi CLLD v partnerskej dohode. Kritéria oprávnenosti nákladov zverejní RO v metodickej príručke.</w:t>
      </w:r>
    </w:p>
    <w:p w:rsidR="008676F9" w:rsidRPr="008676F9" w:rsidRDefault="008676F9" w:rsidP="00F14F63">
      <w:pPr>
        <w:suppressAutoHyphens/>
        <w:rPr>
          <w:rFonts w:ascii="Calibri" w:eastAsia="SimSun" w:hAnsi="Calibri" w:cs="Calibri"/>
          <w:bCs/>
          <w:kern w:val="1"/>
          <w:szCs w:val="22"/>
          <w:lang w:eastAsia="ar-SA"/>
        </w:rPr>
      </w:pPr>
    </w:p>
    <w:p w:rsidR="008676F9" w:rsidRPr="008676F9" w:rsidRDefault="008676F9" w:rsidP="00F14F63">
      <w:pPr>
        <w:suppressAutoHyphens/>
        <w:rPr>
          <w:rFonts w:ascii="Calibri" w:eastAsia="SimSun" w:hAnsi="Calibri" w:cs="Calibri"/>
          <w:bCs/>
          <w:kern w:val="1"/>
          <w:szCs w:val="22"/>
          <w:lang w:eastAsia="ar-SA"/>
        </w:rPr>
      </w:pPr>
      <w:r w:rsidRPr="008676F9">
        <w:rPr>
          <w:rFonts w:ascii="Calibri" w:eastAsia="SimSun" w:hAnsi="Calibri" w:cs="Calibri"/>
          <w:bCs/>
          <w:kern w:val="1"/>
          <w:szCs w:val="22"/>
          <w:u w:val="single"/>
          <w:lang w:eastAsia="ar-SA"/>
        </w:rPr>
        <w:t>Princípy nastavenia výberových kritérií:</w:t>
      </w:r>
    </w:p>
    <w:p w:rsidR="008676F9" w:rsidRPr="008676F9" w:rsidRDefault="008676F9" w:rsidP="00955DA4">
      <w:pPr>
        <w:numPr>
          <w:ilvl w:val="0"/>
          <w:numId w:val="186"/>
        </w:numPr>
        <w:suppressAutoHyphens/>
        <w:rPr>
          <w:rFonts w:ascii="Calibri" w:eastAsia="SimSun" w:hAnsi="Calibri" w:cs="Calibri"/>
          <w:bCs/>
          <w:kern w:val="1"/>
          <w:szCs w:val="22"/>
          <w:lang w:eastAsia="ar-SA"/>
        </w:rPr>
      </w:pPr>
      <w:r w:rsidRPr="008676F9">
        <w:rPr>
          <w:rFonts w:ascii="Calibri" w:eastAsia="SimSun" w:hAnsi="Calibri" w:cs="Calibri"/>
          <w:bCs/>
          <w:kern w:val="1"/>
          <w:szCs w:val="22"/>
          <w:lang w:eastAsia="ar-SA"/>
        </w:rPr>
        <w:t xml:space="preserve">Výber projektov spolupráce pri oboch typoch spolupráce bude zabezpečený na základe priebežnej výzvy na národnej úrovni. </w:t>
      </w:r>
    </w:p>
    <w:p w:rsidR="008676F9" w:rsidRPr="008676F9" w:rsidRDefault="008676F9" w:rsidP="00955DA4">
      <w:pPr>
        <w:numPr>
          <w:ilvl w:val="0"/>
          <w:numId w:val="186"/>
        </w:numPr>
        <w:suppressAutoHyphens/>
        <w:rPr>
          <w:rFonts w:ascii="Calibri" w:eastAsia="SimSun" w:hAnsi="Calibri" w:cs="Calibri"/>
          <w:bCs/>
          <w:kern w:val="1"/>
          <w:szCs w:val="22"/>
          <w:u w:val="single"/>
          <w:lang w:eastAsia="ar-SA"/>
        </w:rPr>
      </w:pPr>
      <w:r w:rsidRPr="008676F9">
        <w:rPr>
          <w:rFonts w:ascii="Calibri" w:eastAsia="SimSun" w:hAnsi="Calibri" w:cs="Calibri"/>
          <w:bCs/>
          <w:kern w:val="1"/>
          <w:szCs w:val="22"/>
          <w:lang w:eastAsia="ar-SA"/>
        </w:rPr>
        <w:t>Špecifické určenie získania NFP bude predmetom príručky pre žiadateľov a ako aj spoločných pravidiel pre všetky investície</w:t>
      </w:r>
      <w:r w:rsidRPr="008676F9">
        <w:rPr>
          <w:rFonts w:ascii="Calibri" w:eastAsia="SimSun" w:hAnsi="Calibri" w:cs="Calibri"/>
          <w:bCs/>
          <w:kern w:val="1"/>
          <w:szCs w:val="22"/>
          <w:u w:val="single"/>
          <w:lang w:eastAsia="ar-SA"/>
        </w:rPr>
        <w:t>.</w:t>
      </w:r>
    </w:p>
    <w:p w:rsidR="008676F9" w:rsidRPr="008676F9" w:rsidRDefault="008676F9" w:rsidP="00955DA4">
      <w:pPr>
        <w:numPr>
          <w:ilvl w:val="0"/>
          <w:numId w:val="186"/>
        </w:numPr>
        <w:suppressAutoHyphens/>
        <w:rPr>
          <w:rFonts w:ascii="Calibri" w:eastAsia="SimSun" w:hAnsi="Calibri" w:cs="Calibri"/>
          <w:bCs/>
          <w:kern w:val="1"/>
          <w:szCs w:val="22"/>
          <w:lang w:eastAsia="ar-SA"/>
        </w:rPr>
      </w:pPr>
      <w:r w:rsidRPr="008676F9">
        <w:rPr>
          <w:rFonts w:ascii="Calibri" w:eastAsia="SimSun" w:hAnsi="Calibri" w:cs="Calibri"/>
          <w:bCs/>
          <w:kern w:val="1"/>
          <w:szCs w:val="22"/>
          <w:lang w:eastAsia="ar-SA"/>
        </w:rPr>
        <w:t>RO pri schvaľovaní projektov spolupráce bude prihliadať na spolufinancovanie zo strany MAS.</w:t>
      </w:r>
    </w:p>
    <w:p w:rsidR="00D9234A" w:rsidRPr="008676F9" w:rsidRDefault="00D9234A" w:rsidP="00955DA4">
      <w:pPr>
        <w:numPr>
          <w:ilvl w:val="0"/>
          <w:numId w:val="186"/>
        </w:numPr>
        <w:suppressAutoHyphens/>
        <w:rPr>
          <w:rFonts w:ascii="Calibri" w:eastAsia="SimSun" w:hAnsi="Calibri" w:cs="Calibri"/>
          <w:bCs/>
          <w:kern w:val="1"/>
          <w:szCs w:val="22"/>
          <w:lang w:eastAsia="ar-SA"/>
        </w:rPr>
      </w:pPr>
      <w:r>
        <w:rPr>
          <w:rFonts w:ascii="Calibri" w:eastAsia="SimSun" w:hAnsi="Calibri" w:cs="Calibri"/>
          <w:bCs/>
          <w:kern w:val="1"/>
          <w:szCs w:val="22"/>
          <w:lang w:eastAsia="ar-SA"/>
        </w:rPr>
        <w:t>Uprednostnené budú projekty, ktoré nadväzujú na intervencie programov ETC a/alebo nadväzujú na iné schválené územné stratégie.</w:t>
      </w:r>
    </w:p>
    <w:p w:rsidR="008676F9" w:rsidRPr="008676F9" w:rsidRDefault="008676F9" w:rsidP="00F14F63">
      <w:pPr>
        <w:suppressAutoHyphens/>
        <w:rPr>
          <w:rFonts w:ascii="Calibri" w:eastAsia="SimSun" w:hAnsi="Calibri" w:cs="Calibri"/>
          <w:bCs/>
          <w:kern w:val="1"/>
          <w:szCs w:val="22"/>
          <w:lang w:eastAsia="ar-SA"/>
        </w:rPr>
      </w:pPr>
    </w:p>
    <w:p w:rsidR="008676F9" w:rsidRPr="008676F9" w:rsidRDefault="008676F9" w:rsidP="00F14F63">
      <w:pPr>
        <w:suppressAutoHyphens/>
        <w:rPr>
          <w:rFonts w:ascii="Calibri" w:eastAsia="SimSun" w:hAnsi="Calibri" w:cs="Calibri"/>
          <w:bCs/>
          <w:kern w:val="1"/>
          <w:szCs w:val="22"/>
          <w:lang w:eastAsia="ar-SA"/>
        </w:rPr>
      </w:pPr>
      <w:r w:rsidRPr="008676F9">
        <w:rPr>
          <w:rFonts w:ascii="Calibri" w:eastAsia="SimSun" w:hAnsi="Calibri" w:cs="Calibri"/>
          <w:bCs/>
          <w:kern w:val="1"/>
          <w:szCs w:val="22"/>
          <w:lang w:eastAsia="ar-SA"/>
        </w:rPr>
        <w:t>RO, príp. Pôdohospodárska platobná agentúra zverejní do 2 rokov od schválenia Programu rozvoja vidieka SR 2014-2020 postupy týkajúce sa výberu nadnárodných projektov spolupráce a zoznam oprávnených nákladov.</w:t>
      </w:r>
    </w:p>
    <w:p w:rsidR="008676F9" w:rsidRPr="008676F9" w:rsidRDefault="008676F9" w:rsidP="00F14F63">
      <w:pPr>
        <w:suppressAutoHyphens/>
        <w:rPr>
          <w:rFonts w:ascii="Calibri" w:eastAsia="SimSun" w:hAnsi="Calibri" w:cs="Calibri"/>
          <w:bCs/>
          <w:kern w:val="1"/>
          <w:szCs w:val="22"/>
          <w:u w:val="single"/>
          <w:lang w:eastAsia="ar-SA"/>
        </w:rPr>
      </w:pPr>
    </w:p>
    <w:p w:rsidR="008676F9" w:rsidRPr="008676F9" w:rsidRDefault="008676F9" w:rsidP="00F14F63">
      <w:pPr>
        <w:suppressAutoHyphens/>
        <w:rPr>
          <w:rFonts w:ascii="Calibri" w:eastAsia="SimSun" w:hAnsi="Calibri" w:cs="Calibri"/>
          <w:kern w:val="1"/>
          <w:szCs w:val="22"/>
          <w:lang w:eastAsia="ar-SA"/>
        </w:rPr>
      </w:pPr>
      <w:r w:rsidRPr="008676F9">
        <w:rPr>
          <w:rFonts w:ascii="Calibri" w:eastAsia="SimSun" w:hAnsi="Calibri" w:cs="Calibri"/>
          <w:bCs/>
          <w:kern w:val="1"/>
          <w:szCs w:val="22"/>
          <w:u w:val="single"/>
          <w:lang w:eastAsia="ar-SA"/>
        </w:rPr>
        <w:t>Výška a miera podpory:</w:t>
      </w:r>
    </w:p>
    <w:p w:rsidR="008676F9" w:rsidRPr="008676F9" w:rsidRDefault="008676F9" w:rsidP="00F14F63">
      <w:pPr>
        <w:suppressAutoHyphens/>
        <w:rPr>
          <w:rFonts w:ascii="Calibri" w:eastAsia="SimSun" w:hAnsi="Calibri" w:cs="Calibri"/>
          <w:kern w:val="1"/>
          <w:szCs w:val="22"/>
          <w:lang w:eastAsia="ar-SA"/>
        </w:rPr>
      </w:pPr>
      <w:r w:rsidRPr="008676F9">
        <w:rPr>
          <w:rFonts w:ascii="Calibri" w:eastAsia="SimSun" w:hAnsi="Calibri" w:cs="Calibri"/>
          <w:kern w:val="1"/>
          <w:szCs w:val="22"/>
          <w:lang w:eastAsia="ar-SA"/>
        </w:rPr>
        <w:t>Maximálna výška podpory z celkových oprávnených výdavkov:</w:t>
      </w:r>
    </w:p>
    <w:p w:rsidR="008676F9" w:rsidRPr="008676F9" w:rsidRDefault="008676F9" w:rsidP="001F5283">
      <w:pPr>
        <w:numPr>
          <w:ilvl w:val="0"/>
          <w:numId w:val="82"/>
        </w:numPr>
        <w:suppressAutoHyphens/>
        <w:rPr>
          <w:rFonts w:ascii="Calibri" w:eastAsia="SimSun" w:hAnsi="Calibri" w:cs="Calibri"/>
          <w:kern w:val="1"/>
          <w:szCs w:val="22"/>
          <w:lang w:eastAsia="ar-SA"/>
        </w:rPr>
      </w:pPr>
      <w:r w:rsidRPr="008676F9">
        <w:rPr>
          <w:rFonts w:ascii="Calibri" w:eastAsia="SimSun" w:hAnsi="Calibri" w:cs="Calibri"/>
          <w:kern w:val="1"/>
          <w:szCs w:val="22"/>
          <w:lang w:eastAsia="ar-SA"/>
        </w:rPr>
        <w:t>100 %</w:t>
      </w:r>
      <w:r w:rsidRPr="008676F9">
        <w:rPr>
          <w:rFonts w:ascii="Calibri" w:eastAsia="SimSun" w:hAnsi="Calibri" w:cs="Calibri"/>
          <w:bCs/>
          <w:kern w:val="1"/>
          <w:szCs w:val="22"/>
          <w:lang w:eastAsia="ar-SA"/>
        </w:rPr>
        <w:t xml:space="preserve">. </w:t>
      </w:r>
    </w:p>
    <w:p w:rsidR="008676F9" w:rsidRPr="008676F9" w:rsidRDefault="008676F9" w:rsidP="00F14F63">
      <w:pPr>
        <w:suppressAutoHyphens/>
        <w:rPr>
          <w:rFonts w:ascii="Calibri" w:eastAsia="SimSun" w:hAnsi="Calibri" w:cs="Calibri"/>
          <w:kern w:val="1"/>
          <w:szCs w:val="22"/>
          <w:lang w:eastAsia="ar-SA"/>
        </w:rPr>
      </w:pPr>
      <w:r w:rsidRPr="008676F9">
        <w:rPr>
          <w:rFonts w:ascii="Calibri" w:eastAsia="SimSun" w:hAnsi="Calibri" w:cs="Calibri"/>
          <w:bCs/>
          <w:kern w:val="1"/>
          <w:szCs w:val="22"/>
          <w:lang w:eastAsia="ar-SA"/>
        </w:rPr>
        <w:t>MAS si môže stanoviť výšku spolufinancovania z vlastných zdrojov.</w:t>
      </w:r>
    </w:p>
    <w:p w:rsidR="008676F9" w:rsidRPr="008676F9" w:rsidRDefault="008676F9" w:rsidP="00F14F63">
      <w:pPr>
        <w:suppressAutoHyphens/>
        <w:rPr>
          <w:rFonts w:ascii="Calibri" w:eastAsia="SimSun" w:hAnsi="Calibri" w:cs="Calibri"/>
          <w:b/>
          <w:bCs/>
          <w:kern w:val="1"/>
          <w:szCs w:val="22"/>
          <w:u w:val="single"/>
          <w:lang w:eastAsia="ar-SA"/>
        </w:rPr>
      </w:pPr>
    </w:p>
    <w:p w:rsidR="008676F9" w:rsidRPr="008676F9" w:rsidRDefault="008676F9" w:rsidP="00F14F63">
      <w:pPr>
        <w:shd w:val="clear" w:color="auto" w:fill="D6E3BC"/>
        <w:suppressAutoHyphens/>
        <w:rPr>
          <w:rFonts w:ascii="Calibri" w:eastAsia="SimSun" w:hAnsi="Calibri" w:cs="Calibri"/>
          <w:bCs/>
          <w:kern w:val="1"/>
          <w:lang w:eastAsia="ar-SA"/>
        </w:rPr>
      </w:pPr>
      <w:r w:rsidRPr="008676F9">
        <w:rPr>
          <w:rFonts w:ascii="Calibri" w:eastAsia="SimSun" w:hAnsi="Calibri" w:cs="Calibri"/>
          <w:bCs/>
          <w:kern w:val="1"/>
          <w:lang w:eastAsia="ar-SA"/>
        </w:rPr>
        <w:t>Podopatrenie 19.4:</w:t>
      </w:r>
      <w:r w:rsidRPr="008676F9">
        <w:rPr>
          <w:rFonts w:ascii="Calibri" w:eastAsia="SimSun" w:hAnsi="Calibri" w:cs="Calibri"/>
          <w:b/>
          <w:bCs/>
          <w:kern w:val="1"/>
          <w:lang w:eastAsia="ar-SA"/>
        </w:rPr>
        <w:t xml:space="preserve"> </w:t>
      </w:r>
      <w:r w:rsidRPr="00997BE5">
        <w:rPr>
          <w:rFonts w:ascii="Calibri" w:eastAsia="SimSun" w:hAnsi="Calibri" w:cs="Calibri"/>
          <w:b/>
          <w:bCs/>
          <w:kern w:val="1"/>
          <w:sz w:val="24"/>
          <w:lang w:eastAsia="ar-SA"/>
        </w:rPr>
        <w:t>Chod miestnej akčnej skupiny a animácia</w:t>
      </w:r>
    </w:p>
    <w:p w:rsidR="008676F9" w:rsidRPr="008676F9" w:rsidRDefault="008676F9" w:rsidP="00F14F63">
      <w:pPr>
        <w:shd w:val="clear" w:color="auto" w:fill="FBD4B4"/>
        <w:suppressAutoHyphens/>
        <w:rPr>
          <w:rFonts w:ascii="Calibri" w:eastAsia="SimSun" w:hAnsi="Calibri" w:cs="Calibri"/>
          <w:bCs/>
          <w:i/>
          <w:kern w:val="1"/>
          <w:szCs w:val="22"/>
          <w:u w:val="single"/>
          <w:lang w:eastAsia="ar-SA"/>
        </w:rPr>
      </w:pPr>
      <w:r w:rsidRPr="008676F9">
        <w:rPr>
          <w:rFonts w:ascii="Calibri" w:eastAsia="SimSun" w:hAnsi="Calibri" w:cs="Calibri"/>
          <w:bCs/>
          <w:kern w:val="1"/>
          <w:szCs w:val="22"/>
          <w:u w:val="single"/>
          <w:lang w:eastAsia="ar-SA"/>
        </w:rPr>
        <w:t>Názov operácie:</w:t>
      </w:r>
    </w:p>
    <w:p w:rsidR="008676F9" w:rsidRPr="008676F9" w:rsidRDefault="008676F9" w:rsidP="00F14F63">
      <w:pPr>
        <w:shd w:val="clear" w:color="auto" w:fill="FBD4B4"/>
        <w:suppressAutoHyphens/>
        <w:rPr>
          <w:rFonts w:ascii="Calibri" w:eastAsia="SimSun" w:hAnsi="Calibri" w:cs="Calibri"/>
          <w:bCs/>
          <w:kern w:val="1"/>
          <w:szCs w:val="22"/>
          <w:lang w:eastAsia="ar-SA"/>
        </w:rPr>
      </w:pPr>
      <w:r w:rsidRPr="008676F9">
        <w:rPr>
          <w:rFonts w:ascii="Calibri" w:eastAsia="SimSun" w:hAnsi="Calibri" w:cs="Calibri"/>
          <w:bCs/>
          <w:i/>
          <w:kern w:val="1"/>
          <w:szCs w:val="22"/>
          <w:lang w:eastAsia="ar-SA"/>
        </w:rPr>
        <w:t>Chod miestnej akčnej skupiny a animácia</w:t>
      </w:r>
    </w:p>
    <w:p w:rsidR="008676F9" w:rsidRPr="008676F9" w:rsidRDefault="008676F9" w:rsidP="00F14F63">
      <w:pPr>
        <w:suppressAutoHyphens/>
        <w:rPr>
          <w:rFonts w:ascii="Calibri" w:eastAsia="SimSun" w:hAnsi="Calibri" w:cs="Calibri"/>
          <w:bCs/>
          <w:kern w:val="1"/>
          <w:szCs w:val="22"/>
          <w:u w:val="single"/>
          <w:lang w:eastAsia="ar-SA"/>
        </w:rPr>
      </w:pPr>
    </w:p>
    <w:p w:rsidR="008676F9" w:rsidRPr="008676F9" w:rsidRDefault="008676F9" w:rsidP="00F14F63">
      <w:pPr>
        <w:suppressAutoHyphens/>
        <w:rPr>
          <w:rFonts w:ascii="Calibri" w:eastAsia="SimSun" w:hAnsi="Calibri" w:cs="Calibri"/>
          <w:bCs/>
          <w:kern w:val="1"/>
          <w:szCs w:val="22"/>
          <w:lang w:eastAsia="ar-SA"/>
        </w:rPr>
      </w:pPr>
      <w:r w:rsidRPr="008676F9">
        <w:rPr>
          <w:rFonts w:ascii="Calibri" w:eastAsia="SimSun" w:hAnsi="Calibri" w:cs="Calibri"/>
          <w:bCs/>
          <w:kern w:val="1"/>
          <w:szCs w:val="22"/>
          <w:u w:val="single"/>
          <w:lang w:eastAsia="ar-SA"/>
        </w:rPr>
        <w:t>Opis operácie:</w:t>
      </w:r>
    </w:p>
    <w:p w:rsidR="008676F9" w:rsidRPr="008676F9" w:rsidRDefault="008676F9" w:rsidP="00F14F63">
      <w:pPr>
        <w:suppressAutoHyphens/>
        <w:rPr>
          <w:rFonts w:ascii="Calibri" w:eastAsia="SimSun" w:hAnsi="Calibri" w:cs="Calibri"/>
          <w:bCs/>
          <w:kern w:val="1"/>
          <w:szCs w:val="22"/>
          <w:u w:val="single"/>
          <w:lang w:eastAsia="ar-SA"/>
        </w:rPr>
      </w:pPr>
      <w:r w:rsidRPr="008676F9">
        <w:rPr>
          <w:rFonts w:ascii="Calibri" w:eastAsia="SimSun" w:hAnsi="Calibri" w:cs="Calibri"/>
          <w:bCs/>
          <w:kern w:val="1"/>
          <w:szCs w:val="22"/>
          <w:lang w:eastAsia="ar-SA"/>
        </w:rPr>
        <w:t>Podpora v rámci operácie bude poskytovaná na prevádzkovú a administratívnu činnosť schválených miestnych akčných skupín ako aj na náklady v súvislosti s oživovaním stratégie miestneho rozvoja, t.j. propagácia stratégie a informovanosť o dotknutom území.</w:t>
      </w:r>
    </w:p>
    <w:p w:rsidR="008676F9" w:rsidRPr="008676F9" w:rsidRDefault="008676F9" w:rsidP="00F14F63">
      <w:pPr>
        <w:suppressAutoHyphens/>
        <w:rPr>
          <w:rFonts w:ascii="Calibri" w:eastAsia="SimSun" w:hAnsi="Calibri" w:cs="Calibri"/>
          <w:bCs/>
          <w:kern w:val="1"/>
          <w:szCs w:val="22"/>
          <w:u w:val="single"/>
          <w:lang w:eastAsia="ar-SA"/>
        </w:rPr>
      </w:pPr>
    </w:p>
    <w:p w:rsidR="008676F9" w:rsidRPr="008676F9" w:rsidRDefault="008676F9" w:rsidP="00F14F63">
      <w:pPr>
        <w:suppressAutoHyphens/>
        <w:rPr>
          <w:rFonts w:ascii="Calibri" w:eastAsia="SimSun" w:hAnsi="Calibri" w:cs="Calibri"/>
          <w:bCs/>
          <w:kern w:val="1"/>
          <w:szCs w:val="22"/>
          <w:lang w:eastAsia="ar-SA"/>
        </w:rPr>
      </w:pPr>
      <w:r w:rsidRPr="008676F9">
        <w:rPr>
          <w:rFonts w:ascii="Calibri" w:eastAsia="SimSun" w:hAnsi="Calibri" w:cs="Calibri"/>
          <w:bCs/>
          <w:kern w:val="1"/>
          <w:szCs w:val="22"/>
          <w:u w:val="single"/>
          <w:lang w:eastAsia="ar-SA"/>
        </w:rPr>
        <w:t>Typ podpory:</w:t>
      </w:r>
    </w:p>
    <w:p w:rsidR="008676F9" w:rsidRPr="008676F9" w:rsidRDefault="008676F9" w:rsidP="00F14F63">
      <w:pPr>
        <w:suppressAutoHyphens/>
        <w:rPr>
          <w:rFonts w:ascii="Calibri" w:eastAsia="SimSun" w:hAnsi="Calibri" w:cs="Calibri"/>
          <w:bCs/>
          <w:kern w:val="1"/>
          <w:szCs w:val="22"/>
          <w:u w:val="single"/>
          <w:lang w:eastAsia="ar-SA"/>
        </w:rPr>
      </w:pPr>
      <w:r w:rsidRPr="008676F9">
        <w:rPr>
          <w:rFonts w:ascii="Calibri" w:eastAsia="SimSun" w:hAnsi="Calibri" w:cs="Calibri"/>
          <w:bCs/>
          <w:kern w:val="1"/>
          <w:szCs w:val="22"/>
          <w:lang w:eastAsia="ar-SA"/>
        </w:rPr>
        <w:t>Investičná/neinvestičná, nezisková, nenávratný finančný príspevok, zálohové/refundačné/paušálne platby</w:t>
      </w:r>
    </w:p>
    <w:p w:rsidR="008676F9" w:rsidRPr="008676F9" w:rsidRDefault="008676F9" w:rsidP="00F14F63">
      <w:pPr>
        <w:suppressAutoHyphens/>
        <w:rPr>
          <w:rFonts w:ascii="Calibri" w:eastAsia="SimSun" w:hAnsi="Calibri" w:cs="Calibri"/>
          <w:bCs/>
          <w:kern w:val="1"/>
          <w:szCs w:val="22"/>
          <w:u w:val="single"/>
          <w:lang w:eastAsia="ar-SA"/>
        </w:rPr>
      </w:pPr>
    </w:p>
    <w:p w:rsidR="008676F9" w:rsidRPr="008676F9" w:rsidRDefault="008676F9" w:rsidP="00F14F63">
      <w:pPr>
        <w:suppressAutoHyphens/>
        <w:rPr>
          <w:rFonts w:ascii="Calibri" w:eastAsia="SimSun" w:hAnsi="Calibri" w:cs="Calibri"/>
          <w:bCs/>
          <w:kern w:val="1"/>
          <w:szCs w:val="22"/>
          <w:lang w:eastAsia="ar-SA"/>
        </w:rPr>
      </w:pPr>
      <w:r w:rsidRPr="008676F9">
        <w:rPr>
          <w:rFonts w:ascii="Calibri" w:eastAsia="SimSun" w:hAnsi="Calibri" w:cs="Calibri"/>
          <w:bCs/>
          <w:kern w:val="1"/>
          <w:szCs w:val="22"/>
          <w:u w:val="single"/>
          <w:lang w:eastAsia="ar-SA"/>
        </w:rPr>
        <w:t>Súvislosť s inou legislatívou:</w:t>
      </w:r>
    </w:p>
    <w:p w:rsidR="008676F9" w:rsidRPr="008676F9" w:rsidRDefault="008676F9" w:rsidP="00F14F63">
      <w:pPr>
        <w:suppressAutoHyphens/>
        <w:rPr>
          <w:rFonts w:ascii="Calibri" w:eastAsia="SimSun" w:hAnsi="Calibri" w:cs="Calibri"/>
          <w:bCs/>
          <w:kern w:val="1"/>
          <w:szCs w:val="22"/>
          <w:lang w:eastAsia="ar-SA"/>
        </w:rPr>
      </w:pPr>
      <w:r w:rsidRPr="008676F9">
        <w:rPr>
          <w:rFonts w:ascii="Calibri" w:eastAsia="SimSun" w:hAnsi="Calibri" w:cs="Calibri"/>
          <w:bCs/>
          <w:kern w:val="1"/>
          <w:szCs w:val="22"/>
          <w:lang w:eastAsia="ar-SA"/>
        </w:rPr>
        <w:t xml:space="preserve">Integrovaný regionálny operačný program – financovanie chodu MAS a animácie bude zabezpečené </w:t>
      </w:r>
      <w:r w:rsidR="00A37B18">
        <w:rPr>
          <w:rFonts w:ascii="Calibri" w:eastAsia="SimSun" w:hAnsi="Calibri" w:cs="Calibri"/>
          <w:bCs/>
          <w:kern w:val="1"/>
          <w:szCs w:val="22"/>
          <w:lang w:eastAsia="ar-SA"/>
        </w:rPr>
        <w:t>cez obidva fondy podieľajúce sa na</w:t>
      </w:r>
      <w:r w:rsidRPr="008676F9">
        <w:rPr>
          <w:rFonts w:ascii="Calibri" w:eastAsia="SimSun" w:hAnsi="Calibri" w:cs="Calibri"/>
          <w:bCs/>
          <w:kern w:val="1"/>
          <w:szCs w:val="22"/>
          <w:lang w:eastAsia="ar-SA"/>
        </w:rPr>
        <w:t xml:space="preserve"> implementácii CLLD.</w:t>
      </w:r>
      <w:r w:rsidR="004157C2" w:rsidRPr="004157C2">
        <w:t xml:space="preserve"> </w:t>
      </w:r>
      <w:r w:rsidR="004157C2" w:rsidRPr="004157C2">
        <w:rPr>
          <w:rFonts w:ascii="Calibri" w:eastAsia="SimSun" w:hAnsi="Calibri" w:cs="Calibri"/>
          <w:bCs/>
          <w:kern w:val="1"/>
          <w:szCs w:val="22"/>
          <w:lang w:eastAsia="ar-SA"/>
        </w:rPr>
        <w:t>Prevádzkové náklady na chod MAS (s výnimkou MAS na území Bratislavského kraja) budú hradené z IROP a náklady na oživenie všetkých stratégií (animácie) budú hradené z EPFRV. Z EPFRV budú tiež hradené prevádzkové náklady na chod MAS nachádzajúcich sa na území Bratislavského kraja.</w:t>
      </w:r>
    </w:p>
    <w:p w:rsidR="008676F9" w:rsidRPr="008676F9" w:rsidRDefault="008676F9" w:rsidP="00F14F63">
      <w:pPr>
        <w:suppressAutoHyphens/>
        <w:rPr>
          <w:rFonts w:ascii="Calibri" w:eastAsia="SimSun" w:hAnsi="Calibri" w:cs="Calibri"/>
          <w:bCs/>
          <w:kern w:val="1"/>
          <w:szCs w:val="22"/>
          <w:u w:val="single"/>
          <w:lang w:eastAsia="ar-SA"/>
        </w:rPr>
      </w:pPr>
    </w:p>
    <w:p w:rsidR="008676F9" w:rsidRPr="008676F9" w:rsidRDefault="008676F9" w:rsidP="00F14F63">
      <w:pPr>
        <w:suppressAutoHyphens/>
        <w:rPr>
          <w:rFonts w:ascii="Calibri" w:eastAsia="SimSun" w:hAnsi="Calibri" w:cs="Calibri"/>
          <w:bCs/>
          <w:kern w:val="1"/>
          <w:szCs w:val="22"/>
          <w:u w:val="single"/>
          <w:lang w:eastAsia="ar-SA"/>
        </w:rPr>
      </w:pPr>
      <w:r w:rsidRPr="008676F9">
        <w:rPr>
          <w:rFonts w:ascii="Calibri" w:eastAsia="SimSun" w:hAnsi="Calibri" w:cs="Calibri"/>
          <w:bCs/>
          <w:kern w:val="1"/>
          <w:szCs w:val="22"/>
          <w:u w:val="single"/>
          <w:lang w:eastAsia="ar-SA"/>
        </w:rPr>
        <w:t>Prijímateľ podpory:</w:t>
      </w:r>
    </w:p>
    <w:p w:rsidR="008676F9" w:rsidRPr="008676F9" w:rsidRDefault="008676F9" w:rsidP="00F14F63">
      <w:pPr>
        <w:suppressAutoHyphens/>
        <w:rPr>
          <w:rFonts w:ascii="Calibri" w:eastAsia="SimSun" w:hAnsi="Calibri" w:cs="Calibri"/>
          <w:bCs/>
          <w:kern w:val="1"/>
          <w:szCs w:val="22"/>
          <w:lang w:eastAsia="ar-SA"/>
        </w:rPr>
      </w:pPr>
      <w:r w:rsidRPr="008676F9">
        <w:rPr>
          <w:rFonts w:ascii="Calibri" w:eastAsia="SimSun" w:hAnsi="Calibri" w:cs="Calibri"/>
          <w:bCs/>
          <w:kern w:val="1"/>
          <w:szCs w:val="22"/>
          <w:lang w:eastAsia="ar-SA"/>
        </w:rPr>
        <w:t>MAS, ktorá je vybraná RO na implementáciu stratégie miestneho rozvoja, ktorá má právnu formu: občianske združenie – v zmysle zákona č. 83/1990 Zb. o združovaní občanov v znení neskorších predpisov.</w:t>
      </w:r>
    </w:p>
    <w:p w:rsidR="008676F9" w:rsidRPr="008676F9" w:rsidRDefault="008676F9" w:rsidP="00F14F63">
      <w:pPr>
        <w:suppressAutoHyphens/>
        <w:rPr>
          <w:rFonts w:ascii="Calibri" w:eastAsia="SimSun" w:hAnsi="Calibri" w:cs="Arial"/>
          <w:kern w:val="1"/>
          <w:szCs w:val="22"/>
          <w:lang w:eastAsia="ar-SA"/>
        </w:rPr>
      </w:pPr>
      <w:r w:rsidRPr="008676F9">
        <w:rPr>
          <w:rFonts w:ascii="Calibri" w:eastAsia="SimSun" w:hAnsi="Calibri" w:cs="Calibri"/>
          <w:bCs/>
          <w:kern w:val="1"/>
          <w:szCs w:val="22"/>
          <w:u w:val="single"/>
          <w:lang w:eastAsia="ar-SA"/>
        </w:rPr>
        <w:t>Oprávnené náklady:</w:t>
      </w:r>
    </w:p>
    <w:p w:rsidR="00D9234A" w:rsidRPr="008676F9" w:rsidRDefault="00D9234A" w:rsidP="00955DA4">
      <w:pPr>
        <w:numPr>
          <w:ilvl w:val="0"/>
          <w:numId w:val="183"/>
        </w:numPr>
        <w:tabs>
          <w:tab w:val="num" w:pos="284"/>
          <w:tab w:val="left" w:pos="1425"/>
        </w:tabs>
        <w:suppressAutoHyphens/>
        <w:ind w:left="714" w:hanging="572"/>
        <w:rPr>
          <w:rFonts w:ascii="Calibri" w:hAnsi="Calibri" w:cs="Arial"/>
          <w:bCs/>
          <w:kern w:val="1"/>
          <w:szCs w:val="22"/>
          <w:lang w:eastAsia="ar-SA"/>
        </w:rPr>
      </w:pPr>
      <w:r w:rsidRPr="008676F9">
        <w:rPr>
          <w:rFonts w:ascii="Calibri" w:hAnsi="Calibri" w:cs="Arial"/>
          <w:kern w:val="1"/>
          <w:szCs w:val="22"/>
          <w:lang w:eastAsia="ar-SA"/>
        </w:rPr>
        <w:t>financovanie prevádzkových nákladov MAS spojených s riadením uskutočňovania stratégií CLLD:</w:t>
      </w:r>
    </w:p>
    <w:p w:rsidR="00D9234A" w:rsidRPr="008676F9" w:rsidRDefault="00D9234A" w:rsidP="00955DA4">
      <w:pPr>
        <w:numPr>
          <w:ilvl w:val="1"/>
          <w:numId w:val="187"/>
        </w:numPr>
        <w:tabs>
          <w:tab w:val="left" w:pos="426"/>
          <w:tab w:val="num" w:pos="709"/>
        </w:tabs>
        <w:suppressAutoHyphens/>
        <w:ind w:left="709" w:hanging="425"/>
        <w:rPr>
          <w:rFonts w:ascii="Calibri" w:hAnsi="Calibri" w:cs="Arial"/>
          <w:bCs/>
          <w:kern w:val="1"/>
          <w:szCs w:val="22"/>
          <w:lang w:eastAsia="ar-SA"/>
        </w:rPr>
      </w:pPr>
      <w:r w:rsidRPr="008676F9">
        <w:rPr>
          <w:rFonts w:ascii="Calibri" w:hAnsi="Calibri" w:cs="Arial"/>
          <w:bCs/>
          <w:kern w:val="1"/>
          <w:szCs w:val="22"/>
          <w:lang w:eastAsia="ar-SA"/>
        </w:rPr>
        <w:t>personálne a administratívne náklady MAS (prevádzkové, osobné, poistenie),</w:t>
      </w:r>
    </w:p>
    <w:p w:rsidR="00D9234A" w:rsidRPr="00D9234A" w:rsidRDefault="00D9234A" w:rsidP="00955DA4">
      <w:pPr>
        <w:numPr>
          <w:ilvl w:val="1"/>
          <w:numId w:val="187"/>
        </w:numPr>
        <w:tabs>
          <w:tab w:val="clear" w:pos="1440"/>
          <w:tab w:val="left" w:pos="426"/>
          <w:tab w:val="num" w:pos="709"/>
          <w:tab w:val="num" w:pos="928"/>
        </w:tabs>
        <w:suppressAutoHyphens/>
        <w:ind w:left="709" w:hanging="425"/>
        <w:rPr>
          <w:rFonts w:ascii="Calibri" w:eastAsia="Trebuchet MS" w:hAnsi="Calibri" w:cs="Arial"/>
          <w:kern w:val="1"/>
          <w:szCs w:val="22"/>
          <w:lang w:eastAsia="ar-SA"/>
        </w:rPr>
      </w:pPr>
      <w:r w:rsidRPr="008676F9">
        <w:rPr>
          <w:rFonts w:ascii="Calibri" w:hAnsi="Calibri" w:cs="Arial"/>
          <w:bCs/>
          <w:kern w:val="1"/>
          <w:szCs w:val="22"/>
          <w:lang w:eastAsia="ar-SA"/>
        </w:rPr>
        <w:t xml:space="preserve">vzdelávanie zamestnancov </w:t>
      </w:r>
      <w:r>
        <w:rPr>
          <w:rFonts w:ascii="Calibri" w:hAnsi="Calibri" w:cs="Arial"/>
          <w:bCs/>
          <w:kern w:val="1"/>
          <w:szCs w:val="22"/>
          <w:lang w:eastAsia="ar-SA"/>
        </w:rPr>
        <w:t xml:space="preserve">a členov </w:t>
      </w:r>
      <w:r w:rsidRPr="008676F9">
        <w:rPr>
          <w:rFonts w:ascii="Calibri" w:hAnsi="Calibri" w:cs="Arial"/>
          <w:bCs/>
          <w:kern w:val="1"/>
          <w:szCs w:val="22"/>
          <w:lang w:eastAsia="ar-SA"/>
        </w:rPr>
        <w:t>MAS (školenia, konferencie, semináre, workshopy a pod.</w:t>
      </w:r>
      <w:r>
        <w:rPr>
          <w:rFonts w:ascii="Calibri" w:hAnsi="Calibri" w:cs="Arial"/>
          <w:bCs/>
          <w:kern w:val="1"/>
          <w:szCs w:val="22"/>
          <w:lang w:eastAsia="ar-SA"/>
        </w:rPr>
        <w:t xml:space="preserve">, </w:t>
      </w:r>
      <w:r w:rsidRPr="008676F9">
        <w:rPr>
          <w:rFonts w:ascii="Calibri" w:hAnsi="Calibri" w:cs="Arial"/>
          <w:bCs/>
          <w:kern w:val="1"/>
          <w:szCs w:val="22"/>
          <w:lang w:eastAsia="ar-SA"/>
        </w:rPr>
        <w:t>okrem školení pre predkladateľov projektov), ktorí sa podieľajú na príprave a vykonávaní stratégie CLLD.</w:t>
      </w:r>
    </w:p>
    <w:p w:rsidR="00D9234A" w:rsidRPr="008676F9" w:rsidRDefault="00D9234A" w:rsidP="00955DA4">
      <w:pPr>
        <w:numPr>
          <w:ilvl w:val="1"/>
          <w:numId w:val="187"/>
        </w:numPr>
        <w:tabs>
          <w:tab w:val="left" w:pos="426"/>
          <w:tab w:val="num" w:pos="709"/>
        </w:tabs>
        <w:suppressAutoHyphens/>
        <w:ind w:left="709" w:hanging="425"/>
        <w:rPr>
          <w:rFonts w:ascii="Calibri" w:hAnsi="Calibri" w:cs="Arial"/>
          <w:bCs/>
          <w:kern w:val="1"/>
          <w:szCs w:val="22"/>
          <w:lang w:eastAsia="ar-SA"/>
        </w:rPr>
      </w:pPr>
      <w:r w:rsidRPr="008676F9">
        <w:rPr>
          <w:rFonts w:ascii="Calibri" w:hAnsi="Calibri" w:cs="Arial"/>
          <w:bCs/>
          <w:kern w:val="1"/>
          <w:szCs w:val="22"/>
          <w:lang w:eastAsia="ar-SA"/>
        </w:rPr>
        <w:t>náklady na publicitu</w:t>
      </w:r>
      <w:r>
        <w:rPr>
          <w:rFonts w:ascii="Calibri" w:hAnsi="Calibri" w:cs="Arial"/>
          <w:bCs/>
          <w:kern w:val="1"/>
          <w:szCs w:val="22"/>
          <w:lang w:eastAsia="ar-SA"/>
        </w:rPr>
        <w:t xml:space="preserve"> a </w:t>
      </w:r>
      <w:r w:rsidRPr="00D607B9">
        <w:rPr>
          <w:rFonts w:ascii="Calibri" w:hAnsi="Calibri" w:cs="Arial"/>
          <w:bCs/>
          <w:kern w:val="1"/>
          <w:szCs w:val="22"/>
          <w:lang w:eastAsia="ar-SA"/>
        </w:rPr>
        <w:t>sieťovanie: účasť zamestnancov a členov MAS na stretnutiach s inými MAS, vrátane zasadaní národných a európskych sietí, ako aj poplatky za členstvo v regionálnych, národných alebo európskych sie</w:t>
      </w:r>
      <w:r>
        <w:rPr>
          <w:rFonts w:ascii="Calibri" w:hAnsi="Calibri" w:cs="Arial"/>
          <w:bCs/>
          <w:kern w:val="1"/>
          <w:szCs w:val="22"/>
          <w:lang w:eastAsia="ar-SA"/>
        </w:rPr>
        <w:t>ťach</w:t>
      </w:r>
      <w:r w:rsidRPr="00D607B9">
        <w:rPr>
          <w:rFonts w:ascii="Calibri" w:hAnsi="Calibri" w:cs="Arial"/>
          <w:bCs/>
          <w:kern w:val="1"/>
          <w:szCs w:val="22"/>
          <w:lang w:eastAsia="ar-SA"/>
        </w:rPr>
        <w:t xml:space="preserve"> MAS</w:t>
      </w:r>
      <w:r w:rsidRPr="008676F9">
        <w:rPr>
          <w:rFonts w:ascii="Calibri" w:hAnsi="Calibri" w:cs="Arial"/>
          <w:bCs/>
          <w:kern w:val="1"/>
          <w:szCs w:val="22"/>
          <w:lang w:eastAsia="ar-SA"/>
        </w:rPr>
        <w:t>,</w:t>
      </w:r>
    </w:p>
    <w:p w:rsidR="00D9234A" w:rsidRPr="00D9234A" w:rsidRDefault="00D9234A" w:rsidP="00955DA4">
      <w:pPr>
        <w:numPr>
          <w:ilvl w:val="1"/>
          <w:numId w:val="187"/>
        </w:numPr>
        <w:tabs>
          <w:tab w:val="left" w:pos="426"/>
          <w:tab w:val="num" w:pos="709"/>
        </w:tabs>
        <w:suppressAutoHyphens/>
        <w:ind w:left="709" w:hanging="425"/>
        <w:rPr>
          <w:rFonts w:ascii="Calibri" w:hAnsi="Calibri" w:cs="Arial"/>
          <w:bCs/>
          <w:kern w:val="1"/>
          <w:szCs w:val="22"/>
          <w:lang w:eastAsia="ar-SA"/>
        </w:rPr>
      </w:pPr>
      <w:r w:rsidRPr="008676F9">
        <w:rPr>
          <w:rFonts w:ascii="Calibri" w:hAnsi="Calibri" w:cs="Arial"/>
          <w:bCs/>
          <w:kern w:val="1"/>
          <w:szCs w:val="22"/>
          <w:lang w:eastAsia="ar-SA"/>
        </w:rPr>
        <w:t>finančné náklady</w:t>
      </w:r>
      <w:r>
        <w:rPr>
          <w:rFonts w:ascii="Calibri" w:hAnsi="Calibri" w:cs="Arial"/>
          <w:bCs/>
          <w:kern w:val="1"/>
          <w:szCs w:val="22"/>
          <w:lang w:eastAsia="ar-SA"/>
        </w:rPr>
        <w:t xml:space="preserve"> (napr. bankové poplatky)</w:t>
      </w:r>
      <w:r w:rsidRPr="008676F9">
        <w:rPr>
          <w:rFonts w:ascii="Calibri" w:hAnsi="Calibri" w:cs="Arial"/>
          <w:bCs/>
          <w:kern w:val="1"/>
          <w:szCs w:val="22"/>
          <w:lang w:eastAsia="ar-SA"/>
        </w:rPr>
        <w:t>,</w:t>
      </w:r>
    </w:p>
    <w:p w:rsidR="00D9234A" w:rsidRPr="008676F9" w:rsidRDefault="00D9234A" w:rsidP="00955DA4">
      <w:pPr>
        <w:numPr>
          <w:ilvl w:val="1"/>
          <w:numId w:val="187"/>
        </w:numPr>
        <w:tabs>
          <w:tab w:val="left" w:pos="709"/>
        </w:tabs>
        <w:suppressAutoHyphens/>
        <w:ind w:left="709" w:hanging="425"/>
        <w:rPr>
          <w:rFonts w:ascii="Calibri" w:hAnsi="Calibri" w:cs="Arial"/>
          <w:bCs/>
          <w:kern w:val="1"/>
          <w:szCs w:val="22"/>
          <w:lang w:eastAsia="ar-SA"/>
        </w:rPr>
      </w:pPr>
      <w:r w:rsidRPr="008676F9">
        <w:rPr>
          <w:rFonts w:ascii="Calibri" w:hAnsi="Calibri" w:cs="Arial"/>
          <w:bCs/>
          <w:kern w:val="1"/>
          <w:szCs w:val="22"/>
          <w:lang w:eastAsia="ar-SA"/>
        </w:rPr>
        <w:t>náklady vynaložené na monitorovanie a hodnotenie stratégií CLLD (na úrovni MAS),</w:t>
      </w:r>
    </w:p>
    <w:p w:rsidR="00D9234A" w:rsidRPr="008676F9" w:rsidRDefault="00D9234A" w:rsidP="00D9234A">
      <w:pPr>
        <w:tabs>
          <w:tab w:val="left" w:pos="720"/>
        </w:tabs>
        <w:suppressAutoHyphens/>
        <w:rPr>
          <w:rFonts w:ascii="Calibri" w:eastAsia="Trebuchet MS" w:hAnsi="Calibri" w:cs="Arial"/>
          <w:kern w:val="1"/>
          <w:szCs w:val="22"/>
          <w:lang w:eastAsia="ar-SA"/>
        </w:rPr>
      </w:pPr>
    </w:p>
    <w:p w:rsidR="00D9234A" w:rsidRPr="008676F9" w:rsidRDefault="00D9234A" w:rsidP="00955DA4">
      <w:pPr>
        <w:numPr>
          <w:ilvl w:val="0"/>
          <w:numId w:val="183"/>
        </w:numPr>
        <w:tabs>
          <w:tab w:val="num" w:pos="284"/>
          <w:tab w:val="left" w:pos="1425"/>
        </w:tabs>
        <w:suppressAutoHyphens/>
        <w:ind w:left="714" w:hanging="572"/>
        <w:rPr>
          <w:rFonts w:ascii="Calibri" w:hAnsi="Calibri" w:cs="Arial"/>
          <w:bCs/>
          <w:kern w:val="1"/>
          <w:szCs w:val="22"/>
          <w:lang w:eastAsia="ar-SA"/>
        </w:rPr>
      </w:pPr>
      <w:r w:rsidRPr="008676F9">
        <w:rPr>
          <w:rFonts w:ascii="Calibri" w:hAnsi="Calibri" w:cs="Arial"/>
          <w:kern w:val="1"/>
          <w:szCs w:val="22"/>
          <w:lang w:eastAsia="ar-SA"/>
        </w:rPr>
        <w:t>financovanie animačných nákladov MAS v súvislosti s oživovaním stratégie CLLD:</w:t>
      </w:r>
    </w:p>
    <w:p w:rsidR="00D9234A" w:rsidRPr="008676F9" w:rsidRDefault="00D9234A" w:rsidP="00955DA4">
      <w:pPr>
        <w:numPr>
          <w:ilvl w:val="1"/>
          <w:numId w:val="188"/>
        </w:numPr>
        <w:tabs>
          <w:tab w:val="left" w:pos="426"/>
          <w:tab w:val="left" w:pos="709"/>
        </w:tabs>
        <w:suppressAutoHyphens/>
        <w:ind w:hanging="1156"/>
        <w:rPr>
          <w:rFonts w:ascii="Calibri" w:hAnsi="Calibri" w:cs="Arial"/>
          <w:bCs/>
          <w:kern w:val="1"/>
          <w:szCs w:val="22"/>
          <w:lang w:eastAsia="ar-SA"/>
        </w:rPr>
      </w:pPr>
      <w:r w:rsidRPr="008676F9">
        <w:rPr>
          <w:rFonts w:ascii="Calibri" w:hAnsi="Calibri" w:cs="Arial"/>
          <w:bCs/>
          <w:kern w:val="1"/>
          <w:szCs w:val="22"/>
          <w:lang w:eastAsia="ar-SA"/>
        </w:rPr>
        <w:t>vypracovanie a aktualizácia stratégie CLLD;</w:t>
      </w:r>
    </w:p>
    <w:p w:rsidR="00D9234A" w:rsidRPr="008676F9" w:rsidRDefault="00D9234A" w:rsidP="00955DA4">
      <w:pPr>
        <w:numPr>
          <w:ilvl w:val="1"/>
          <w:numId w:val="188"/>
        </w:numPr>
        <w:tabs>
          <w:tab w:val="left" w:pos="426"/>
          <w:tab w:val="left" w:pos="709"/>
        </w:tabs>
        <w:suppressAutoHyphens/>
        <w:ind w:hanging="1156"/>
        <w:rPr>
          <w:rFonts w:ascii="Calibri" w:hAnsi="Calibri" w:cs="Arial"/>
          <w:bCs/>
          <w:kern w:val="1"/>
          <w:szCs w:val="22"/>
          <w:lang w:eastAsia="ar-SA"/>
        </w:rPr>
      </w:pPr>
      <w:r>
        <w:rPr>
          <w:rFonts w:ascii="Calibri" w:hAnsi="Calibri" w:cs="Arial"/>
          <w:bCs/>
          <w:kern w:val="1"/>
          <w:szCs w:val="22"/>
          <w:lang w:eastAsia="ar-SA"/>
        </w:rPr>
        <w:t>propagácia</w:t>
      </w:r>
      <w:r w:rsidRPr="008676F9">
        <w:rPr>
          <w:rFonts w:ascii="Calibri" w:hAnsi="Calibri" w:cs="Arial"/>
          <w:bCs/>
          <w:kern w:val="1"/>
          <w:szCs w:val="22"/>
          <w:lang w:eastAsia="ar-SA"/>
        </w:rPr>
        <w:t xml:space="preserve"> a informovanie o dotknutej oblasti a výsledkoch stratégie CLLD;</w:t>
      </w:r>
    </w:p>
    <w:p w:rsidR="00D9234A" w:rsidRPr="008676F9" w:rsidRDefault="00D9234A" w:rsidP="00955DA4">
      <w:pPr>
        <w:numPr>
          <w:ilvl w:val="1"/>
          <w:numId w:val="188"/>
        </w:numPr>
        <w:tabs>
          <w:tab w:val="left" w:pos="426"/>
          <w:tab w:val="num" w:pos="709"/>
        </w:tabs>
        <w:suppressAutoHyphens/>
        <w:ind w:left="709" w:hanging="425"/>
        <w:rPr>
          <w:rFonts w:ascii="Calibri" w:hAnsi="Calibri" w:cs="Arial"/>
          <w:bCs/>
          <w:kern w:val="1"/>
          <w:szCs w:val="22"/>
          <w:lang w:eastAsia="ar-SA"/>
        </w:rPr>
      </w:pPr>
      <w:r w:rsidRPr="008676F9">
        <w:rPr>
          <w:rFonts w:ascii="Calibri" w:hAnsi="Calibri" w:cs="Arial"/>
          <w:kern w:val="1"/>
          <w:szCs w:val="22"/>
          <w:lang w:eastAsia="ar-SA"/>
        </w:rPr>
        <w:t>semináre, školenia, konferencie, workshopy pre členov MAS, ďalších aktérov ako aj potenciálnych</w:t>
      </w:r>
      <w:r w:rsidRPr="008676F9">
        <w:rPr>
          <w:rFonts w:ascii="Calibri" w:hAnsi="Calibri" w:cs="Arial"/>
          <w:bCs/>
          <w:kern w:val="1"/>
          <w:szCs w:val="22"/>
          <w:lang w:eastAsia="ar-SA"/>
        </w:rPr>
        <w:t xml:space="preserve"> prijímateľov, zamerané na ich rozširovanie vedomostí a zručností pri vykonávaní stratégie CLLD, príprave projektov a s tým spojených prác.</w:t>
      </w:r>
      <w:r w:rsidRPr="008676F9">
        <w:rPr>
          <w:rFonts w:ascii="Calibri" w:hAnsi="Calibri" w:cs="Arial"/>
          <w:bCs/>
          <w:kern w:val="1"/>
          <w:szCs w:val="22"/>
          <w:u w:val="single"/>
          <w:lang w:eastAsia="ar-SA"/>
        </w:rPr>
        <w:t xml:space="preserve"> </w:t>
      </w:r>
    </w:p>
    <w:p w:rsidR="008676F9" w:rsidRPr="008676F9" w:rsidRDefault="008676F9" w:rsidP="00F14F63">
      <w:pPr>
        <w:suppressAutoHyphens/>
        <w:ind w:left="1440"/>
        <w:rPr>
          <w:rFonts w:ascii="Calibri" w:hAnsi="Calibri" w:cs="Calibri"/>
          <w:bCs/>
          <w:kern w:val="1"/>
          <w:szCs w:val="22"/>
          <w:lang w:eastAsia="ar-SA"/>
        </w:rPr>
      </w:pPr>
    </w:p>
    <w:p w:rsidR="008676F9" w:rsidRPr="008676F9" w:rsidRDefault="008676F9" w:rsidP="00F14F63">
      <w:pPr>
        <w:suppressAutoHyphens/>
        <w:rPr>
          <w:rFonts w:ascii="Calibri" w:eastAsia="SimSun" w:hAnsi="Calibri" w:cs="Calibri"/>
          <w:bCs/>
          <w:kern w:val="1"/>
          <w:szCs w:val="22"/>
          <w:lang w:eastAsia="ar-SA"/>
        </w:rPr>
      </w:pPr>
      <w:r w:rsidRPr="008676F9">
        <w:rPr>
          <w:rFonts w:ascii="Calibri" w:eastAsia="SimSun" w:hAnsi="Calibri" w:cs="Calibri"/>
          <w:bCs/>
          <w:kern w:val="1"/>
          <w:szCs w:val="22"/>
          <w:lang w:eastAsia="ar-SA"/>
        </w:rPr>
        <w:t xml:space="preserve">Náklady súvisiace s oživovaním stratégie musia tvoriť min. 15 % z celkových výdavkov v rámci operácie Chod miestnej akčnej skupiny a animácia. </w:t>
      </w:r>
    </w:p>
    <w:p w:rsidR="008676F9" w:rsidRPr="008676F9" w:rsidRDefault="008676F9" w:rsidP="00F14F63">
      <w:pPr>
        <w:suppressAutoHyphens/>
        <w:rPr>
          <w:rFonts w:ascii="Calibri" w:eastAsia="SimSun" w:hAnsi="Calibri" w:cs="Calibri"/>
          <w:bCs/>
          <w:kern w:val="1"/>
          <w:szCs w:val="22"/>
          <w:lang w:eastAsia="ar-SA"/>
        </w:rPr>
      </w:pPr>
      <w:r w:rsidRPr="008676F9">
        <w:rPr>
          <w:rFonts w:ascii="Calibri" w:eastAsia="SimSun" w:hAnsi="Calibri" w:cs="Calibri"/>
          <w:bCs/>
          <w:kern w:val="1"/>
          <w:szCs w:val="22"/>
          <w:lang w:eastAsia="ar-SA"/>
        </w:rPr>
        <w:t xml:space="preserve">Na financovaní chodu MAS a animácie sa budú podieľať obidva fondy </w:t>
      </w:r>
      <w:r w:rsidR="00A37B18">
        <w:rPr>
          <w:rFonts w:ascii="Calibri" w:eastAsia="SimSun" w:hAnsi="Calibri" w:cs="Calibri"/>
          <w:bCs/>
          <w:kern w:val="1"/>
          <w:szCs w:val="22"/>
          <w:lang w:eastAsia="ar-SA"/>
        </w:rPr>
        <w:t>využité pri</w:t>
      </w:r>
      <w:r w:rsidRPr="008676F9">
        <w:rPr>
          <w:rFonts w:ascii="Calibri" w:eastAsia="SimSun" w:hAnsi="Calibri" w:cs="Calibri"/>
          <w:bCs/>
          <w:kern w:val="1"/>
          <w:szCs w:val="22"/>
          <w:lang w:eastAsia="ar-SA"/>
        </w:rPr>
        <w:t xml:space="preserve"> realizácii nástroja CLLD (EFRR a EPFRV).</w:t>
      </w:r>
    </w:p>
    <w:p w:rsidR="008676F9" w:rsidRPr="008676F9" w:rsidRDefault="008676F9" w:rsidP="00F14F63">
      <w:pPr>
        <w:suppressAutoHyphens/>
        <w:rPr>
          <w:rFonts w:ascii="Calibri" w:eastAsia="SimSun" w:hAnsi="Calibri" w:cs="Calibri"/>
          <w:bCs/>
          <w:kern w:val="1"/>
          <w:szCs w:val="22"/>
          <w:lang w:eastAsia="ar-SA"/>
        </w:rPr>
      </w:pPr>
    </w:p>
    <w:p w:rsidR="008676F9" w:rsidRPr="008676F9" w:rsidRDefault="008676F9" w:rsidP="00F14F63">
      <w:pPr>
        <w:suppressAutoHyphens/>
        <w:rPr>
          <w:rFonts w:ascii="Calibri" w:eastAsia="SimSun" w:hAnsi="Calibri" w:cs="Calibri"/>
          <w:bCs/>
          <w:kern w:val="1"/>
          <w:szCs w:val="22"/>
          <w:lang w:eastAsia="ar-SA"/>
        </w:rPr>
      </w:pPr>
      <w:r w:rsidRPr="008676F9">
        <w:rPr>
          <w:rFonts w:ascii="Calibri" w:eastAsia="SimSun" w:hAnsi="Calibri" w:cs="Calibri"/>
          <w:bCs/>
          <w:kern w:val="1"/>
          <w:szCs w:val="22"/>
          <w:u w:val="single"/>
          <w:lang w:eastAsia="ar-SA"/>
        </w:rPr>
        <w:t>Výška a miera podpory:</w:t>
      </w:r>
    </w:p>
    <w:p w:rsidR="008676F9" w:rsidRPr="008676F9" w:rsidRDefault="008676F9" w:rsidP="00F14F63">
      <w:pPr>
        <w:suppressAutoHyphens/>
        <w:rPr>
          <w:rFonts w:ascii="Calibri" w:eastAsia="SimSun" w:hAnsi="Calibri" w:cs="Calibri"/>
          <w:bCs/>
          <w:kern w:val="1"/>
          <w:szCs w:val="22"/>
          <w:lang w:eastAsia="ar-SA"/>
        </w:rPr>
      </w:pPr>
      <w:r w:rsidRPr="008676F9">
        <w:rPr>
          <w:rFonts w:ascii="Calibri" w:eastAsia="SimSun" w:hAnsi="Calibri" w:cs="Calibri"/>
          <w:bCs/>
          <w:kern w:val="1"/>
          <w:szCs w:val="22"/>
          <w:lang w:eastAsia="ar-SA"/>
        </w:rPr>
        <w:t>Maximálna výška podpory z celkových oprávnených výdavkov:</w:t>
      </w:r>
    </w:p>
    <w:p w:rsidR="008676F9" w:rsidRDefault="008676F9" w:rsidP="001F5283">
      <w:pPr>
        <w:numPr>
          <w:ilvl w:val="0"/>
          <w:numId w:val="82"/>
        </w:numPr>
        <w:suppressAutoHyphens/>
        <w:rPr>
          <w:rFonts w:ascii="Calibri" w:eastAsia="SimSun" w:hAnsi="Calibri" w:cs="Calibri"/>
          <w:bCs/>
          <w:kern w:val="1"/>
          <w:szCs w:val="22"/>
          <w:lang w:eastAsia="ar-SA"/>
        </w:rPr>
      </w:pPr>
      <w:r w:rsidRPr="008676F9">
        <w:rPr>
          <w:rFonts w:ascii="Calibri" w:eastAsia="SimSun" w:hAnsi="Calibri" w:cs="Calibri"/>
          <w:bCs/>
          <w:kern w:val="1"/>
          <w:szCs w:val="22"/>
          <w:lang w:eastAsia="ar-SA"/>
        </w:rPr>
        <w:t>100 %.</w:t>
      </w:r>
    </w:p>
    <w:p w:rsidR="00E81F0F" w:rsidRPr="008676F9" w:rsidRDefault="00E81F0F" w:rsidP="001F5283">
      <w:pPr>
        <w:numPr>
          <w:ilvl w:val="0"/>
          <w:numId w:val="82"/>
        </w:numPr>
        <w:suppressAutoHyphens/>
        <w:rPr>
          <w:rFonts w:ascii="Calibri" w:eastAsia="SimSun" w:hAnsi="Calibri" w:cs="Calibri"/>
          <w:bCs/>
          <w:kern w:val="1"/>
          <w:szCs w:val="22"/>
          <w:lang w:eastAsia="ar-SA"/>
        </w:rPr>
      </w:pPr>
    </w:p>
    <w:p w:rsidR="008676F9" w:rsidRPr="008676F9" w:rsidRDefault="008676F9" w:rsidP="00F14F63">
      <w:pPr>
        <w:suppressAutoHyphens/>
        <w:rPr>
          <w:rFonts w:ascii="Calibri" w:eastAsia="SimSun" w:hAnsi="Calibri" w:cs="Calibri"/>
          <w:b/>
          <w:bCs/>
          <w:kern w:val="1"/>
          <w:szCs w:val="22"/>
          <w:lang w:eastAsia="ar-SA"/>
        </w:rPr>
      </w:pPr>
      <w:r w:rsidRPr="008676F9">
        <w:rPr>
          <w:rFonts w:ascii="Calibri" w:eastAsia="SimSun" w:hAnsi="Calibri" w:cs="Calibri"/>
          <w:bCs/>
          <w:kern w:val="1"/>
          <w:szCs w:val="22"/>
          <w:lang w:eastAsia="ar-SA"/>
        </w:rPr>
        <w:t>Celkové náklady na prevádzkové náklady a náklady na oživenie nesmú presiahnuť 2</w:t>
      </w:r>
      <w:r w:rsidR="00A37B18">
        <w:rPr>
          <w:rFonts w:ascii="Calibri" w:eastAsia="SimSun" w:hAnsi="Calibri" w:cs="Calibri"/>
          <w:bCs/>
          <w:kern w:val="1"/>
          <w:szCs w:val="22"/>
          <w:lang w:eastAsia="ar-SA"/>
        </w:rPr>
        <w:t>0</w:t>
      </w:r>
      <w:r w:rsidRPr="008676F9">
        <w:rPr>
          <w:rFonts w:ascii="Calibri" w:eastAsia="SimSun" w:hAnsi="Calibri" w:cs="Calibri"/>
          <w:bCs/>
          <w:kern w:val="1"/>
          <w:szCs w:val="22"/>
          <w:lang w:eastAsia="ar-SA"/>
        </w:rPr>
        <w:t xml:space="preserve">% celkových nákladov, ktoré vznikli v rámci implementácie stratégie miestneho rozvoja. RO môže určiť nižší limit v závislosti od pridelenej finančnej alokácie na jednotlivé MAS. Časť výdavkov súvisiacich s chodom MAS a animáciou bude hradená formou paušálnej platby, ktorá bude stanovená na základe výpočtov a analýz primeranosti nákladov. </w:t>
      </w:r>
    </w:p>
    <w:p w:rsidR="008676F9" w:rsidRDefault="008676F9" w:rsidP="00F14F63">
      <w:pPr>
        <w:suppressAutoHyphens/>
        <w:rPr>
          <w:rFonts w:ascii="Calibri" w:eastAsia="SimSun" w:hAnsi="Calibri" w:cs="Calibri"/>
          <w:b/>
          <w:bCs/>
          <w:kern w:val="1"/>
          <w:szCs w:val="22"/>
          <w:lang w:eastAsia="ar-SA"/>
        </w:rPr>
      </w:pPr>
    </w:p>
    <w:p w:rsidR="00997BE5" w:rsidRPr="008676F9" w:rsidRDefault="00997BE5" w:rsidP="00F14F63">
      <w:pPr>
        <w:suppressAutoHyphens/>
        <w:rPr>
          <w:rFonts w:ascii="Calibri" w:eastAsia="SimSun" w:hAnsi="Calibri" w:cs="Calibri"/>
          <w:b/>
          <w:bCs/>
          <w:kern w:val="1"/>
          <w:szCs w:val="22"/>
          <w:lang w:eastAsia="ar-SA"/>
        </w:rPr>
      </w:pPr>
    </w:p>
    <w:p w:rsidR="008676F9" w:rsidRPr="008676F9" w:rsidRDefault="008676F9" w:rsidP="00F14F63">
      <w:pPr>
        <w:suppressAutoHyphens/>
        <w:rPr>
          <w:rFonts w:ascii="Calibri" w:eastAsia="SimSun" w:hAnsi="Calibri" w:cs="Calibri"/>
          <w:bCs/>
          <w:kern w:val="1"/>
          <w:szCs w:val="22"/>
          <w:lang w:eastAsia="ar-SA"/>
        </w:rPr>
      </w:pPr>
      <w:r w:rsidRPr="008676F9">
        <w:rPr>
          <w:rFonts w:ascii="Calibri" w:eastAsia="SimSun" w:hAnsi="Calibri" w:cs="Calibri"/>
          <w:b/>
          <w:bCs/>
          <w:kern w:val="1"/>
          <w:szCs w:val="22"/>
          <w:lang w:eastAsia="ar-SA"/>
        </w:rPr>
        <w:t>8.2.1</w:t>
      </w:r>
      <w:r w:rsidR="00B30F00">
        <w:rPr>
          <w:rFonts w:ascii="Calibri" w:eastAsia="SimSun" w:hAnsi="Calibri" w:cs="Calibri"/>
          <w:b/>
          <w:bCs/>
          <w:kern w:val="1"/>
          <w:szCs w:val="22"/>
          <w:lang w:eastAsia="ar-SA"/>
        </w:rPr>
        <w:t>7.</w:t>
      </w:r>
      <w:r w:rsidRPr="008676F9">
        <w:rPr>
          <w:rFonts w:ascii="Calibri" w:eastAsia="SimSun" w:hAnsi="Calibri" w:cs="Calibri"/>
          <w:b/>
          <w:bCs/>
          <w:kern w:val="1"/>
          <w:szCs w:val="22"/>
          <w:lang w:eastAsia="ar-SA"/>
        </w:rPr>
        <w:t>4. Overiteľnosť a kontrolovateľnosť  opatrenia</w:t>
      </w:r>
    </w:p>
    <w:p w:rsidR="008676F9" w:rsidRPr="008676F9" w:rsidRDefault="008676F9" w:rsidP="00F14F63">
      <w:pPr>
        <w:suppressAutoHyphens/>
        <w:rPr>
          <w:rFonts w:ascii="Calibri" w:hAnsi="Calibri" w:cs="Calibri"/>
          <w:bCs/>
          <w:kern w:val="1"/>
          <w:szCs w:val="22"/>
          <w:u w:val="single"/>
          <w:lang w:eastAsia="ar-SA"/>
        </w:rPr>
      </w:pPr>
      <w:r w:rsidRPr="008676F9">
        <w:rPr>
          <w:rFonts w:ascii="Calibri" w:hAnsi="Calibri" w:cs="Calibri"/>
          <w:bCs/>
          <w:kern w:val="1"/>
          <w:szCs w:val="22"/>
          <w:u w:val="single"/>
          <w:lang w:eastAsia="ar-SA"/>
        </w:rPr>
        <w:t xml:space="preserve">Riziká implementácie opatrenia </w:t>
      </w:r>
    </w:p>
    <w:p w:rsidR="008676F9" w:rsidRPr="00F14F63" w:rsidRDefault="008676F9" w:rsidP="00955DA4">
      <w:pPr>
        <w:numPr>
          <w:ilvl w:val="0"/>
          <w:numId w:val="256"/>
        </w:numPr>
        <w:suppressAutoHyphens/>
        <w:rPr>
          <w:rFonts w:ascii="Calibri" w:hAnsi="Calibri" w:cs="Calibri"/>
          <w:bCs/>
          <w:kern w:val="1"/>
          <w:szCs w:val="22"/>
          <w:lang w:eastAsia="ar-SA"/>
        </w:rPr>
      </w:pPr>
      <w:r w:rsidRPr="00F14F63">
        <w:rPr>
          <w:rFonts w:ascii="Calibri" w:hAnsi="Calibri" w:cs="Calibri"/>
          <w:bCs/>
          <w:kern w:val="1"/>
          <w:szCs w:val="22"/>
          <w:lang w:eastAsia="ar-SA"/>
        </w:rPr>
        <w:t>výberový proces v rámci žiadateľov zo súkromného sektora;</w:t>
      </w:r>
    </w:p>
    <w:p w:rsidR="008676F9" w:rsidRPr="00F14F63" w:rsidRDefault="008676F9" w:rsidP="00955DA4">
      <w:pPr>
        <w:numPr>
          <w:ilvl w:val="0"/>
          <w:numId w:val="256"/>
        </w:numPr>
        <w:suppressAutoHyphens/>
        <w:rPr>
          <w:rFonts w:ascii="Calibri" w:hAnsi="Calibri" w:cs="Calibri"/>
          <w:bCs/>
          <w:kern w:val="1"/>
          <w:szCs w:val="22"/>
          <w:lang w:eastAsia="ar-SA"/>
        </w:rPr>
      </w:pPr>
      <w:r w:rsidRPr="00F14F63">
        <w:rPr>
          <w:rFonts w:ascii="Calibri" w:hAnsi="Calibri" w:cs="Calibri"/>
          <w:bCs/>
          <w:kern w:val="1"/>
          <w:szCs w:val="22"/>
          <w:lang w:eastAsia="ar-SA"/>
        </w:rPr>
        <w:t>vhodný kontrolný systém;</w:t>
      </w:r>
    </w:p>
    <w:p w:rsidR="008676F9" w:rsidRPr="00F14F63" w:rsidRDefault="008676F9" w:rsidP="00955DA4">
      <w:pPr>
        <w:numPr>
          <w:ilvl w:val="0"/>
          <w:numId w:val="256"/>
        </w:numPr>
        <w:suppressAutoHyphens/>
        <w:rPr>
          <w:rFonts w:ascii="Calibri" w:hAnsi="Calibri" w:cs="Calibri"/>
          <w:bCs/>
          <w:kern w:val="1"/>
          <w:szCs w:val="22"/>
          <w:lang w:eastAsia="ar-SA"/>
        </w:rPr>
      </w:pPr>
      <w:r w:rsidRPr="00F14F63">
        <w:rPr>
          <w:rFonts w:ascii="Calibri" w:hAnsi="Calibri" w:cs="Calibri"/>
          <w:bCs/>
          <w:kern w:val="1"/>
          <w:szCs w:val="22"/>
          <w:lang w:eastAsia="ar-SA"/>
        </w:rPr>
        <w:t>procesy verejného obstarávania;</w:t>
      </w:r>
    </w:p>
    <w:p w:rsidR="008676F9" w:rsidRPr="00F14F63" w:rsidRDefault="008676F9" w:rsidP="00955DA4">
      <w:pPr>
        <w:numPr>
          <w:ilvl w:val="0"/>
          <w:numId w:val="256"/>
        </w:numPr>
        <w:suppressAutoHyphens/>
        <w:rPr>
          <w:rFonts w:ascii="Calibri" w:hAnsi="Calibri" w:cs="Calibri"/>
          <w:bCs/>
          <w:kern w:val="1"/>
          <w:szCs w:val="22"/>
          <w:lang w:eastAsia="ar-SA"/>
        </w:rPr>
      </w:pPr>
      <w:r w:rsidRPr="00F14F63">
        <w:rPr>
          <w:rFonts w:ascii="Calibri" w:hAnsi="Calibri" w:cs="Calibri"/>
          <w:bCs/>
          <w:kern w:val="1"/>
          <w:szCs w:val="22"/>
          <w:lang w:eastAsia="ar-SA"/>
        </w:rPr>
        <w:t>výber prijímateľov;</w:t>
      </w:r>
    </w:p>
    <w:p w:rsidR="008676F9" w:rsidRPr="00F14F63" w:rsidRDefault="008676F9" w:rsidP="00955DA4">
      <w:pPr>
        <w:numPr>
          <w:ilvl w:val="0"/>
          <w:numId w:val="256"/>
        </w:numPr>
        <w:suppressAutoHyphens/>
        <w:rPr>
          <w:rFonts w:ascii="Calibri" w:hAnsi="Calibri" w:cs="Calibri"/>
          <w:bCs/>
          <w:kern w:val="1"/>
          <w:szCs w:val="22"/>
          <w:lang w:eastAsia="ar-SA"/>
        </w:rPr>
      </w:pPr>
      <w:r w:rsidRPr="00F14F63">
        <w:rPr>
          <w:rFonts w:ascii="Calibri" w:hAnsi="Calibri" w:cs="Calibri"/>
          <w:bCs/>
          <w:kern w:val="1"/>
          <w:szCs w:val="22"/>
          <w:lang w:eastAsia="ar-SA"/>
        </w:rPr>
        <w:t>informačný systém;</w:t>
      </w:r>
    </w:p>
    <w:p w:rsidR="008676F9" w:rsidRPr="00F14F63" w:rsidRDefault="008676F9" w:rsidP="00955DA4">
      <w:pPr>
        <w:numPr>
          <w:ilvl w:val="0"/>
          <w:numId w:val="256"/>
        </w:numPr>
        <w:suppressAutoHyphens/>
        <w:rPr>
          <w:kern w:val="1"/>
          <w:szCs w:val="22"/>
          <w:lang w:eastAsia="ar-SA"/>
        </w:rPr>
      </w:pPr>
      <w:r w:rsidRPr="00F14F63">
        <w:rPr>
          <w:rFonts w:ascii="Calibri" w:hAnsi="Calibri" w:cs="Calibri"/>
          <w:bCs/>
          <w:kern w:val="1"/>
          <w:szCs w:val="22"/>
          <w:lang w:eastAsia="ar-SA"/>
        </w:rPr>
        <w:t>kontrola žiadosti o platbu.</w:t>
      </w:r>
    </w:p>
    <w:p w:rsidR="008676F9" w:rsidRPr="00F14F63" w:rsidRDefault="008676F9" w:rsidP="00F14F63">
      <w:pPr>
        <w:suppressAutoHyphens/>
        <w:rPr>
          <w:kern w:val="1"/>
          <w:szCs w:val="22"/>
          <w:lang w:eastAsia="ar-SA"/>
        </w:rPr>
      </w:pPr>
    </w:p>
    <w:p w:rsidR="008676F9" w:rsidRPr="008676F9" w:rsidRDefault="008676F9" w:rsidP="00F14F63">
      <w:pPr>
        <w:suppressAutoHyphens/>
        <w:rPr>
          <w:rFonts w:ascii="Calibri" w:hAnsi="Calibri" w:cs="Calibri"/>
          <w:bCs/>
          <w:kern w:val="1"/>
          <w:szCs w:val="22"/>
          <w:u w:val="single"/>
          <w:lang w:eastAsia="ar-SA"/>
        </w:rPr>
      </w:pPr>
      <w:r w:rsidRPr="00F14F63">
        <w:rPr>
          <w:rFonts w:ascii="Calibri" w:hAnsi="Calibri" w:cs="Calibri"/>
          <w:bCs/>
          <w:kern w:val="1"/>
          <w:szCs w:val="22"/>
          <w:u w:val="single"/>
          <w:lang w:eastAsia="ar-SA"/>
        </w:rPr>
        <w:t>Opatrenia</w:t>
      </w:r>
      <w:r w:rsidRPr="008676F9">
        <w:rPr>
          <w:rFonts w:ascii="Calibri" w:hAnsi="Calibri" w:cs="Calibri"/>
          <w:bCs/>
          <w:kern w:val="1"/>
          <w:szCs w:val="22"/>
          <w:u w:val="single"/>
          <w:lang w:eastAsia="ar-SA"/>
        </w:rPr>
        <w:t xml:space="preserve"> prijaté na zmiernenia rizika implementácie</w:t>
      </w:r>
    </w:p>
    <w:p w:rsidR="00D9234A" w:rsidRPr="008676F9" w:rsidRDefault="00D9234A" w:rsidP="00955DA4">
      <w:pPr>
        <w:numPr>
          <w:ilvl w:val="0"/>
          <w:numId w:val="257"/>
        </w:numPr>
        <w:rPr>
          <w:rFonts w:cs="Calibri"/>
          <w:bCs/>
          <w:u w:val="single"/>
          <w:lang w:eastAsia="en-US"/>
        </w:rPr>
      </w:pPr>
      <w:r w:rsidRPr="008676F9">
        <w:rPr>
          <w:rFonts w:ascii="Calibri" w:hAnsi="Calibri" w:cs="Calibri"/>
          <w:bCs/>
          <w:szCs w:val="22"/>
          <w:lang w:eastAsia="en-US"/>
        </w:rPr>
        <w:t>povinnosť postupovať v zmysle legislatívy o verejnom obstarávaní</w:t>
      </w:r>
      <w:r>
        <w:rPr>
          <w:rFonts w:ascii="Calibri" w:hAnsi="Calibri" w:cs="Calibri"/>
          <w:bCs/>
          <w:szCs w:val="22"/>
          <w:lang w:eastAsia="en-US"/>
        </w:rPr>
        <w:t xml:space="preserve"> vrátane aplikovania sociálneho aspektu v oblasti marginalizovaných skupín obyvateľstva</w:t>
      </w:r>
    </w:p>
    <w:p w:rsidR="008676F9" w:rsidRPr="008676F9" w:rsidRDefault="008676F9" w:rsidP="00955DA4">
      <w:pPr>
        <w:numPr>
          <w:ilvl w:val="0"/>
          <w:numId w:val="257"/>
        </w:numPr>
        <w:rPr>
          <w:rFonts w:cs="Calibri"/>
          <w:bCs/>
          <w:u w:val="single"/>
          <w:lang w:eastAsia="en-US"/>
        </w:rPr>
      </w:pPr>
      <w:r w:rsidRPr="008676F9">
        <w:rPr>
          <w:rFonts w:ascii="Calibri" w:hAnsi="Calibri" w:cs="Calibri"/>
          <w:bCs/>
          <w:szCs w:val="22"/>
          <w:lang w:eastAsia="en-US"/>
        </w:rPr>
        <w:t>overiteľnosť a kontrolovateľnosť je zabezpečená systémom administratívnych kontrol a kontrol na mieste v zmysle legislatívy upravujúcej kontroly investičných opatrení</w:t>
      </w:r>
    </w:p>
    <w:p w:rsidR="008676F9" w:rsidRPr="008676F9" w:rsidRDefault="008676F9" w:rsidP="00955DA4">
      <w:pPr>
        <w:numPr>
          <w:ilvl w:val="0"/>
          <w:numId w:val="257"/>
        </w:numPr>
        <w:rPr>
          <w:rFonts w:cs="Calibri"/>
          <w:bCs/>
          <w:u w:val="single"/>
          <w:lang w:eastAsia="en-US"/>
        </w:rPr>
      </w:pPr>
      <w:r w:rsidRPr="008676F9">
        <w:rPr>
          <w:rFonts w:ascii="Calibri" w:hAnsi="Calibri" w:cs="Calibri"/>
          <w:bCs/>
          <w:szCs w:val="22"/>
          <w:lang w:eastAsia="en-US"/>
        </w:rPr>
        <w:t>opatrenia na zabránenie vzniku konfliktu záujmov</w:t>
      </w:r>
    </w:p>
    <w:p w:rsidR="008676F9" w:rsidRPr="008676F9" w:rsidRDefault="008676F9" w:rsidP="00F14F63">
      <w:pPr>
        <w:suppressAutoHyphens/>
        <w:rPr>
          <w:rFonts w:ascii="Calibri" w:hAnsi="Calibri" w:cs="Calibri"/>
          <w:bCs/>
          <w:kern w:val="1"/>
          <w:szCs w:val="22"/>
          <w:lang w:eastAsia="ar-SA"/>
        </w:rPr>
      </w:pPr>
    </w:p>
    <w:p w:rsidR="008676F9" w:rsidRPr="008676F9" w:rsidRDefault="008676F9" w:rsidP="00F14F63">
      <w:pPr>
        <w:suppressAutoHyphens/>
        <w:rPr>
          <w:rFonts w:ascii="Calibri" w:hAnsi="Calibri" w:cs="Calibri"/>
          <w:bCs/>
          <w:kern w:val="1"/>
          <w:szCs w:val="22"/>
          <w:u w:val="single"/>
          <w:lang w:eastAsia="ar-SA"/>
        </w:rPr>
      </w:pPr>
      <w:r w:rsidRPr="008676F9">
        <w:rPr>
          <w:rFonts w:ascii="Calibri" w:hAnsi="Calibri" w:cs="Calibri"/>
          <w:bCs/>
          <w:kern w:val="1"/>
          <w:szCs w:val="22"/>
          <w:u w:val="single"/>
          <w:lang w:eastAsia="ar-SA"/>
        </w:rPr>
        <w:t xml:space="preserve">Celkové posúdenie opatrenia </w:t>
      </w:r>
    </w:p>
    <w:p w:rsidR="008676F9" w:rsidRPr="008676F9" w:rsidRDefault="008676F9" w:rsidP="00E81F0F">
      <w:pPr>
        <w:suppressAutoHyphens/>
        <w:spacing w:after="120"/>
        <w:rPr>
          <w:rFonts w:cs="Calibri"/>
          <w:kern w:val="1"/>
          <w:szCs w:val="22"/>
          <w:lang w:eastAsia="ar-SA"/>
        </w:rPr>
      </w:pPr>
      <w:r w:rsidRPr="008676F9">
        <w:rPr>
          <w:rFonts w:ascii="Calibri" w:hAnsi="Calibri" w:cs="Calibri"/>
          <w:bCs/>
          <w:kern w:val="1"/>
          <w:szCs w:val="22"/>
          <w:lang w:eastAsia="ar-SA"/>
        </w:rPr>
        <w:t>V rámci samotného opatrenia v PRV SR 2014 – 2020 a stratégie miestneho rozvoja schválenej MAS</w:t>
      </w:r>
      <w:r w:rsidRPr="008676F9">
        <w:rPr>
          <w:rFonts w:ascii="Calibri" w:hAnsi="Calibri" w:cs="Calibri"/>
          <w:kern w:val="1"/>
          <w:szCs w:val="22"/>
          <w:lang w:eastAsia="ar-SA"/>
        </w:rPr>
        <w:t xml:space="preserve"> budú stanovené presné </w:t>
      </w:r>
      <w:r w:rsidRPr="008676F9">
        <w:rPr>
          <w:rFonts w:ascii="Calibri" w:hAnsi="Calibri" w:cs="Calibri"/>
          <w:b/>
          <w:bCs/>
          <w:kern w:val="1"/>
          <w:szCs w:val="22"/>
          <w:lang w:eastAsia="ar-SA"/>
        </w:rPr>
        <w:t>kritériá spôsobilosti</w:t>
      </w:r>
      <w:r w:rsidRPr="008676F9">
        <w:rPr>
          <w:rFonts w:ascii="Calibri" w:hAnsi="Calibri" w:cs="Calibri"/>
          <w:kern w:val="1"/>
          <w:szCs w:val="22"/>
          <w:lang w:eastAsia="ar-SA"/>
        </w:rPr>
        <w:t>, ktoré budú určovať oprávnenosť činností a výdavkov navrhovaného projektu aj počas jeho implementácie. Ich dodržiavanie musí konečný prijímateľ deklarovať pri predložení ŽoNFP a k ich plneniu sa prijímateľ nenávratnej podpory zaviaže pri podpise zmluvy o poskytnutí NFP.  Kontrola kritérií spôsobilosti bude predmetom administratívnej kontroly MAS a platobnej agentúry. V prípade ich nesplnenia nebude žiadateľovi schválená ŽoNFP a</w:t>
      </w:r>
      <w:r w:rsidR="00A37B18">
        <w:rPr>
          <w:rFonts w:ascii="Calibri" w:hAnsi="Calibri" w:cs="Calibri"/>
          <w:kern w:val="1"/>
          <w:szCs w:val="22"/>
          <w:lang w:eastAsia="ar-SA"/>
        </w:rPr>
        <w:t xml:space="preserve"> pri </w:t>
      </w:r>
      <w:r w:rsidRPr="008676F9">
        <w:rPr>
          <w:rFonts w:ascii="Calibri" w:hAnsi="Calibri" w:cs="Calibri"/>
          <w:kern w:val="1"/>
          <w:szCs w:val="22"/>
          <w:lang w:eastAsia="ar-SA"/>
        </w:rPr>
        <w:t>neplnen</w:t>
      </w:r>
      <w:r w:rsidR="00A37B18">
        <w:rPr>
          <w:rFonts w:ascii="Calibri" w:hAnsi="Calibri" w:cs="Calibri"/>
          <w:kern w:val="1"/>
          <w:szCs w:val="22"/>
          <w:lang w:eastAsia="ar-SA"/>
        </w:rPr>
        <w:t>í</w:t>
      </w:r>
      <w:r w:rsidRPr="008676F9">
        <w:rPr>
          <w:rFonts w:ascii="Calibri" w:hAnsi="Calibri" w:cs="Calibri"/>
          <w:kern w:val="1"/>
          <w:szCs w:val="22"/>
          <w:lang w:eastAsia="ar-SA"/>
        </w:rPr>
        <w:t xml:space="preserve"> nebude vyplatená finančná čiastka v rámci ŽoP. </w:t>
      </w:r>
    </w:p>
    <w:p w:rsidR="008676F9" w:rsidRPr="008676F9" w:rsidRDefault="008676F9" w:rsidP="00E81F0F">
      <w:pPr>
        <w:suppressAutoHyphens/>
        <w:spacing w:after="120"/>
        <w:rPr>
          <w:rFonts w:ascii="Calibri" w:eastAsia="SimSun" w:hAnsi="Calibri" w:cs="Calibri"/>
          <w:kern w:val="1"/>
          <w:szCs w:val="22"/>
          <w:lang w:eastAsia="ar-SA"/>
        </w:rPr>
      </w:pPr>
      <w:r w:rsidRPr="008676F9">
        <w:rPr>
          <w:rFonts w:ascii="Calibri" w:eastAsia="SimSun" w:hAnsi="Calibri" w:cs="Calibri"/>
          <w:kern w:val="1"/>
          <w:szCs w:val="22"/>
          <w:lang w:eastAsia="ar-SA"/>
        </w:rPr>
        <w:t>Počas implementácie opatrenia LEADER bude prebiehať priebežné hodnotenie.  Výsledky hodnotenia budú mať vplyv na výšku pridelených finančných prostriedkov na implementovanú stratégiu z opatrenia LEADER. MAS bude vykonávať aj samohodnotenie svojej činnosti a implementácie schválenej stratégie rozvoja územia.</w:t>
      </w:r>
    </w:p>
    <w:p w:rsidR="008676F9" w:rsidRPr="008676F9" w:rsidRDefault="008676F9" w:rsidP="00F14F63">
      <w:pPr>
        <w:suppressAutoHyphens/>
        <w:rPr>
          <w:rFonts w:cs="Calibri"/>
          <w:b/>
          <w:bCs/>
          <w:kern w:val="1"/>
          <w:lang w:eastAsia="ar-SA"/>
        </w:rPr>
      </w:pPr>
      <w:r w:rsidRPr="008676F9">
        <w:rPr>
          <w:rFonts w:ascii="Calibri" w:hAnsi="Calibri" w:cs="Calibri"/>
          <w:kern w:val="1"/>
          <w:szCs w:val="22"/>
          <w:lang w:eastAsia="ar-SA"/>
        </w:rPr>
        <w:t>Všetky schválené stratégie rozvoja územia vrátane základných údajov o území MAS a kontaktov na manažérsku kanceláriu MAS poskytne kancelária MAS Národnej sieti rozvoja vidieka SR, ktorá tieto údaje zaradí do svojej databázy a zverejní na webovom sídle. Všetky projekty, ktoré budú implementované v rámci stratégie rozvoja územia a budú podporované z EPFRV alebo ostatných EŠIF, bude musieť MAS alebo konečný prijímateľ – predkladateľ projektu zaregistrovať do databázy Národnej siete rozvoja vidieka SR vrátane projektov spolupráce, čím bude podmienené vyplatenie poslednej ŽoP predmetného projektu. NSRV SR vytvorí mechanizmus na pravidelný zber dát, ktorý bude určený pre MAS.</w:t>
      </w:r>
    </w:p>
    <w:p w:rsidR="00D9234A" w:rsidRPr="008676F9" w:rsidRDefault="00D9234A" w:rsidP="00D9234A">
      <w:pPr>
        <w:suppressAutoHyphens/>
        <w:rPr>
          <w:rFonts w:cs="Calibri"/>
          <w:b/>
          <w:bCs/>
          <w:kern w:val="1"/>
          <w:lang w:eastAsia="ar-SA"/>
        </w:rPr>
      </w:pPr>
      <w:r>
        <w:rPr>
          <w:rFonts w:ascii="Calibri" w:hAnsi="Calibri" w:cs="Calibri"/>
          <w:kern w:val="1"/>
          <w:szCs w:val="22"/>
          <w:lang w:eastAsia="ar-SA"/>
        </w:rPr>
        <w:t>MAS majú zároveň informačnú povinnosť voči príslušným VÚC ohľadom implementácie svoje stratégie CLLD (t.z. napr. informovanie o schválených projektoch a pod.)</w:t>
      </w:r>
    </w:p>
    <w:p w:rsidR="00D9234A" w:rsidRPr="008676F9" w:rsidRDefault="00D9234A" w:rsidP="00D9234A">
      <w:pPr>
        <w:suppressAutoHyphens/>
        <w:rPr>
          <w:rFonts w:ascii="Calibri" w:eastAsia="SimSun" w:hAnsi="Calibri" w:cs="Calibri"/>
          <w:b/>
          <w:bCs/>
          <w:kern w:val="1"/>
          <w:szCs w:val="22"/>
          <w:lang w:eastAsia="ar-SA"/>
        </w:rPr>
      </w:pPr>
    </w:p>
    <w:p w:rsidR="00D9234A" w:rsidRPr="008676F9" w:rsidRDefault="00D9234A" w:rsidP="00D9234A">
      <w:pPr>
        <w:suppressAutoHyphens/>
        <w:rPr>
          <w:rFonts w:ascii="Calibri" w:eastAsia="SimSun" w:hAnsi="Calibri" w:cs="Calibri"/>
          <w:kern w:val="1"/>
          <w:szCs w:val="22"/>
          <w:lang w:eastAsia="ar-SA"/>
        </w:rPr>
      </w:pPr>
      <w:r w:rsidRPr="008676F9">
        <w:rPr>
          <w:rFonts w:ascii="Calibri" w:eastAsia="SimSun" w:hAnsi="Calibri" w:cs="Calibri"/>
          <w:b/>
          <w:bCs/>
          <w:kern w:val="1"/>
          <w:szCs w:val="22"/>
          <w:lang w:eastAsia="ar-SA"/>
        </w:rPr>
        <w:t>8.2.1</w:t>
      </w:r>
      <w:r w:rsidR="00B30F00">
        <w:rPr>
          <w:rFonts w:ascii="Calibri" w:eastAsia="SimSun" w:hAnsi="Calibri" w:cs="Calibri"/>
          <w:b/>
          <w:bCs/>
          <w:kern w:val="1"/>
          <w:szCs w:val="22"/>
          <w:lang w:eastAsia="ar-SA"/>
        </w:rPr>
        <w:t>7</w:t>
      </w:r>
      <w:r w:rsidRPr="008676F9">
        <w:rPr>
          <w:rFonts w:ascii="Calibri" w:eastAsia="SimSun" w:hAnsi="Calibri" w:cs="Calibri"/>
          <w:b/>
          <w:bCs/>
          <w:kern w:val="1"/>
          <w:szCs w:val="22"/>
          <w:lang w:eastAsia="ar-SA"/>
        </w:rPr>
        <w:t xml:space="preserve">.5. Metodika výpočtu výšky podpory </w:t>
      </w:r>
    </w:p>
    <w:p w:rsidR="00D9234A" w:rsidRPr="008676F9" w:rsidRDefault="00D9234A" w:rsidP="00D9234A">
      <w:pPr>
        <w:suppressAutoHyphens/>
        <w:rPr>
          <w:rFonts w:ascii="Calibri" w:eastAsia="SimSun" w:hAnsi="Calibri" w:cs="Calibri"/>
          <w:kern w:val="1"/>
          <w:szCs w:val="22"/>
          <w:lang w:eastAsia="ar-SA"/>
        </w:rPr>
      </w:pPr>
      <w:r w:rsidRPr="00F56431">
        <w:rPr>
          <w:rFonts w:ascii="Calibri" w:eastAsia="SimSun" w:hAnsi="Calibri" w:cs="Calibri"/>
          <w:kern w:val="1"/>
          <w:szCs w:val="22"/>
          <w:lang w:eastAsia="ar-SA"/>
        </w:rPr>
        <w:t xml:space="preserve">V rámci nástroja CLLD sa bude uplatňovať diferencované financovanie MAS. </w:t>
      </w:r>
      <w:r>
        <w:rPr>
          <w:rFonts w:ascii="Calibri" w:eastAsia="SimSun" w:hAnsi="Calibri" w:cs="Calibri"/>
          <w:kern w:val="1"/>
          <w:szCs w:val="22"/>
          <w:lang w:eastAsia="ar-SA"/>
        </w:rPr>
        <w:t>Maximálna v</w:t>
      </w:r>
      <w:r w:rsidRPr="00F56431">
        <w:rPr>
          <w:rFonts w:ascii="Calibri" w:eastAsia="SimSun" w:hAnsi="Calibri" w:cs="Calibri"/>
          <w:kern w:val="1"/>
          <w:szCs w:val="22"/>
          <w:lang w:eastAsia="ar-SA"/>
        </w:rPr>
        <w:t xml:space="preserve">ýška finančných prostriedkov alokovaných pre 1 MAS sa bude odvíjať </w:t>
      </w:r>
      <w:r>
        <w:rPr>
          <w:rFonts w:ascii="Calibri" w:eastAsia="SimSun" w:hAnsi="Calibri" w:cs="Calibri"/>
          <w:kern w:val="1"/>
          <w:szCs w:val="22"/>
          <w:lang w:eastAsia="ar-SA"/>
        </w:rPr>
        <w:t>od kombinácie kritérií, napr.</w:t>
      </w:r>
      <w:r w:rsidRPr="00F56431">
        <w:rPr>
          <w:rFonts w:ascii="Calibri" w:eastAsia="SimSun" w:hAnsi="Calibri" w:cs="Calibri"/>
          <w:kern w:val="1"/>
          <w:szCs w:val="22"/>
          <w:lang w:eastAsia="ar-SA"/>
        </w:rPr>
        <w:t xml:space="preserve"> od počtu obyvateľov MAS (musí byť vyšší ako 10 000 obyvateľov a nesmie prekročiť počet 150 000 obyvateľov), počtu obcí v MAS (minimálne 7 obcí), sociálno – ekonomickej situácie na území MAS (nezamestnanosť),veľkosti územia MAS</w:t>
      </w:r>
      <w:r>
        <w:rPr>
          <w:rFonts w:ascii="Calibri" w:eastAsia="SimSun" w:hAnsi="Calibri" w:cs="Calibri"/>
          <w:kern w:val="1"/>
          <w:szCs w:val="22"/>
          <w:lang w:eastAsia="ar-SA"/>
        </w:rPr>
        <w:t xml:space="preserve"> a pod. </w:t>
      </w:r>
      <w:r w:rsidRPr="008676F9">
        <w:rPr>
          <w:rFonts w:ascii="Calibri" w:eastAsia="SimSun" w:hAnsi="Calibri" w:cs="Calibri"/>
          <w:kern w:val="1"/>
          <w:szCs w:val="22"/>
          <w:lang w:eastAsia="ar-SA"/>
        </w:rPr>
        <w:t>RO pre PRV spolu s RO pre IROP urč</w:t>
      </w:r>
      <w:r>
        <w:rPr>
          <w:rFonts w:ascii="Calibri" w:eastAsia="SimSun" w:hAnsi="Calibri" w:cs="Calibri"/>
          <w:kern w:val="1"/>
          <w:szCs w:val="22"/>
          <w:lang w:eastAsia="ar-SA"/>
        </w:rPr>
        <w:t>ia v metodických usmerneniach vzorec pre výpočet maximálnej alokácie na 1 MAS  ako aj minimálne limity príspevku fondov EPFRV a EFRR v rámci jednej stratégie</w:t>
      </w:r>
      <w:r w:rsidRPr="008676F9">
        <w:rPr>
          <w:rFonts w:ascii="Calibri" w:eastAsia="SimSun" w:hAnsi="Calibri" w:cs="Calibri"/>
          <w:kern w:val="1"/>
          <w:szCs w:val="22"/>
          <w:lang w:eastAsia="ar-SA"/>
        </w:rPr>
        <w:t xml:space="preserve">. </w:t>
      </w:r>
    </w:p>
    <w:p w:rsidR="00D9234A" w:rsidRPr="008676F9" w:rsidRDefault="00D9234A" w:rsidP="00D9234A">
      <w:pPr>
        <w:suppressAutoHyphens/>
        <w:rPr>
          <w:rFonts w:ascii="Calibri" w:eastAsia="SimSun" w:hAnsi="Calibri" w:cs="Calibri"/>
          <w:kern w:val="1"/>
          <w:szCs w:val="22"/>
          <w:lang w:eastAsia="ar-SA"/>
        </w:rPr>
      </w:pPr>
    </w:p>
    <w:p w:rsidR="00D9234A" w:rsidRDefault="00D9234A">
      <w:pPr>
        <w:jc w:val="left"/>
        <w:rPr>
          <w:rFonts w:ascii="Calibri" w:eastAsia="SimSun" w:hAnsi="Calibri" w:cs="Calibri"/>
          <w:kern w:val="1"/>
          <w:szCs w:val="22"/>
          <w:lang w:eastAsia="ar-SA"/>
        </w:rPr>
      </w:pPr>
      <w:r w:rsidRPr="008676F9">
        <w:rPr>
          <w:rFonts w:ascii="Calibri" w:eastAsia="SimSun" w:hAnsi="Calibri" w:cs="Calibri"/>
          <w:kern w:val="1"/>
          <w:szCs w:val="22"/>
          <w:lang w:eastAsia="ar-SA"/>
        </w:rPr>
        <w:t>Pri operáciách implementovaných v rámci stratégii CLLD výška podpory závisí od výšky oprávnených nákladov.</w:t>
      </w:r>
      <w:r>
        <w:rPr>
          <w:rFonts w:ascii="Calibri" w:eastAsia="SimSun" w:hAnsi="Calibri" w:cs="Calibri"/>
          <w:kern w:val="1"/>
          <w:szCs w:val="22"/>
          <w:lang w:eastAsia="ar-SA"/>
        </w:rPr>
        <w:br w:type="page"/>
      </w:r>
    </w:p>
    <w:p w:rsidR="008676F9" w:rsidRDefault="008676F9" w:rsidP="00366F96">
      <w:pPr>
        <w:pStyle w:val="Hlavn"/>
      </w:pPr>
      <w:bookmarkStart w:id="118" w:name="_Toc387041342"/>
      <w:r w:rsidRPr="008676F9">
        <w:t>9. HODNOTIACI PLÁN</w:t>
      </w:r>
      <w:bookmarkEnd w:id="118"/>
    </w:p>
    <w:p w:rsidR="00EE750E" w:rsidRPr="00F05731" w:rsidRDefault="00EE750E" w:rsidP="00366F96">
      <w:pPr>
        <w:pStyle w:val="Hlavn"/>
      </w:pPr>
    </w:p>
    <w:p w:rsidR="00EE750E" w:rsidRPr="00EA237A" w:rsidRDefault="00EE750E" w:rsidP="00CE203B">
      <w:pPr>
        <w:numPr>
          <w:ilvl w:val="0"/>
          <w:numId w:val="384"/>
        </w:numPr>
        <w:spacing w:after="200" w:line="276" w:lineRule="auto"/>
        <w:contextualSpacing/>
        <w:jc w:val="left"/>
        <w:rPr>
          <w:rFonts w:ascii="Calibri" w:hAnsi="Calibri"/>
          <w:b/>
          <w:szCs w:val="22"/>
        </w:rPr>
      </w:pPr>
      <w:r w:rsidRPr="00EA237A">
        <w:rPr>
          <w:rFonts w:ascii="Calibri" w:hAnsi="Calibri"/>
          <w:b/>
          <w:szCs w:val="22"/>
        </w:rPr>
        <w:t>CIE</w:t>
      </w:r>
      <w:r>
        <w:rPr>
          <w:rFonts w:ascii="Calibri" w:hAnsi="Calibri"/>
          <w:b/>
          <w:szCs w:val="22"/>
        </w:rPr>
        <w:t>Ľ</w:t>
      </w:r>
      <w:r w:rsidRPr="00EA237A">
        <w:rPr>
          <w:rFonts w:ascii="Calibri" w:hAnsi="Calibri"/>
          <w:b/>
          <w:szCs w:val="22"/>
        </w:rPr>
        <w:t xml:space="preserve"> HODNOT</w:t>
      </w:r>
      <w:r>
        <w:rPr>
          <w:rFonts w:ascii="Calibri" w:hAnsi="Calibri"/>
          <w:b/>
          <w:szCs w:val="22"/>
        </w:rPr>
        <w:t>IACEHO PLÁNU</w:t>
      </w:r>
    </w:p>
    <w:p w:rsidR="008676F9" w:rsidRPr="008676F9" w:rsidRDefault="008676F9" w:rsidP="006C75BE">
      <w:pPr>
        <w:rPr>
          <w:rFonts w:ascii="Calibri" w:hAnsi="Calibri"/>
          <w:szCs w:val="22"/>
        </w:rPr>
      </w:pPr>
      <w:r w:rsidRPr="008676F9">
        <w:rPr>
          <w:rFonts w:ascii="Calibri" w:hAnsi="Calibri"/>
          <w:szCs w:val="22"/>
        </w:rPr>
        <w:t>Účelom hodnotiaceho plánu je zabezpečiť  výkon adekvátnych a vhodných hodnotiacich aktivít ako aj alokáciu primeraných zdrojov (personálnych a finančných) na ich výkon. Predovšetkým by mali aktivity poskytnúť:</w:t>
      </w:r>
    </w:p>
    <w:p w:rsidR="008676F9" w:rsidRPr="008676F9" w:rsidRDefault="008676F9" w:rsidP="00CE203B">
      <w:pPr>
        <w:numPr>
          <w:ilvl w:val="0"/>
          <w:numId w:val="287"/>
        </w:numPr>
        <w:rPr>
          <w:rFonts w:ascii="Calibri" w:hAnsi="Calibri"/>
          <w:szCs w:val="22"/>
        </w:rPr>
      </w:pPr>
      <w:r w:rsidRPr="008676F9">
        <w:rPr>
          <w:rFonts w:ascii="Calibri" w:hAnsi="Calibri"/>
          <w:szCs w:val="22"/>
        </w:rPr>
        <w:t>informácie potrebné pre riadenie a implementáciu programu PRV;</w:t>
      </w:r>
    </w:p>
    <w:p w:rsidR="008676F9" w:rsidRPr="008676F9" w:rsidRDefault="008676F9" w:rsidP="00CE203B">
      <w:pPr>
        <w:numPr>
          <w:ilvl w:val="0"/>
          <w:numId w:val="287"/>
        </w:numPr>
        <w:rPr>
          <w:rFonts w:ascii="Calibri" w:hAnsi="Calibri"/>
          <w:szCs w:val="22"/>
        </w:rPr>
      </w:pPr>
      <w:r w:rsidRPr="008676F9">
        <w:rPr>
          <w:rFonts w:ascii="Calibri" w:hAnsi="Calibri"/>
          <w:szCs w:val="22"/>
        </w:rPr>
        <w:t>informácie pre prípravu rozšírenej  výročnej správy o výkone v r. 2017 a 2019; t.j. informácie o priebežnom plnení cieľov a vyhodnotenie dopadov podpôr.</w:t>
      </w:r>
    </w:p>
    <w:p w:rsidR="00F05731" w:rsidRDefault="00F05731" w:rsidP="006C75BE">
      <w:pPr>
        <w:rPr>
          <w:rFonts w:ascii="Calibri" w:hAnsi="Calibri"/>
          <w:szCs w:val="22"/>
        </w:rPr>
      </w:pPr>
    </w:p>
    <w:p w:rsidR="008676F9" w:rsidRDefault="008676F9" w:rsidP="006C75BE">
      <w:pPr>
        <w:rPr>
          <w:rFonts w:ascii="Calibri" w:hAnsi="Calibri"/>
          <w:szCs w:val="22"/>
        </w:rPr>
      </w:pPr>
      <w:r w:rsidRPr="008676F9">
        <w:rPr>
          <w:rFonts w:ascii="Calibri" w:hAnsi="Calibri"/>
          <w:szCs w:val="22"/>
        </w:rPr>
        <w:t xml:space="preserve">Hodnotiaci plán má zabezpečiť, aby boli dostupné údaje požadované pre hodnotiace účely v stanovenom čase a požadovanom formáte. Ciele a účel hodnotenia sú totožné s cieľmi a účelom hodnotenia stanovenými EÚ v rámci </w:t>
      </w:r>
      <w:r w:rsidR="00AF67F7" w:rsidRPr="008676F9">
        <w:rPr>
          <w:rFonts w:ascii="Calibri" w:hAnsi="Calibri"/>
          <w:szCs w:val="22"/>
        </w:rPr>
        <w:t>SRMH</w:t>
      </w:r>
      <w:r w:rsidRPr="008676F9">
        <w:rPr>
          <w:rFonts w:ascii="Calibri" w:hAnsi="Calibri"/>
          <w:szCs w:val="22"/>
        </w:rPr>
        <w:t xml:space="preserve"> 2014-2020.</w:t>
      </w:r>
    </w:p>
    <w:p w:rsidR="00F05731" w:rsidRDefault="00F05731" w:rsidP="00F05731">
      <w:pPr>
        <w:rPr>
          <w:szCs w:val="22"/>
        </w:rPr>
      </w:pPr>
    </w:p>
    <w:p w:rsidR="00F05731" w:rsidRPr="00810F44" w:rsidRDefault="00F05731" w:rsidP="00F05731">
      <w:pPr>
        <w:rPr>
          <w:szCs w:val="22"/>
        </w:rPr>
      </w:pPr>
      <w:r w:rsidRPr="00810F44">
        <w:rPr>
          <w:szCs w:val="22"/>
        </w:rPr>
        <w:t xml:space="preserve">Hodnotiaci plán je základom kvalitného hodnotenia počas celého programového obdobia. Prostredníctvom jednotlivých ustanovení v hodnotiacom pláne sa zaručí, že potrebné hodnotiace práce budú vhodne a včas naplánované a odsúhlasené a budú môcť byť zodpovedne realizované v adekvátnom rozsahu a kvalite. </w:t>
      </w:r>
    </w:p>
    <w:p w:rsidR="00F05731" w:rsidRDefault="00F05731" w:rsidP="00F05731">
      <w:pPr>
        <w:rPr>
          <w:szCs w:val="22"/>
        </w:rPr>
      </w:pPr>
    </w:p>
    <w:p w:rsidR="00F05731" w:rsidRPr="00810F44" w:rsidRDefault="00F05731" w:rsidP="00F05731">
      <w:pPr>
        <w:rPr>
          <w:szCs w:val="22"/>
        </w:rPr>
      </w:pPr>
      <w:r w:rsidRPr="00810F44">
        <w:rPr>
          <w:szCs w:val="22"/>
        </w:rPr>
        <w:t xml:space="preserve">Hodnotenie sa opiera o všeobecne platné štandardy hodnotenia a o spoločný katalóg otázok a ukazovateľov Európskej únie, ktoré garantujú, že hodnotenie bude celkovo uznané ako základ pre odborné posudzovanie a rozhodovanie sa.  </w:t>
      </w:r>
    </w:p>
    <w:p w:rsidR="00F05731" w:rsidRDefault="00F05731" w:rsidP="00F05731">
      <w:pPr>
        <w:rPr>
          <w:szCs w:val="22"/>
        </w:rPr>
      </w:pPr>
    </w:p>
    <w:p w:rsidR="00F05731" w:rsidRPr="00810F44" w:rsidRDefault="00F05731" w:rsidP="00F05731">
      <w:pPr>
        <w:rPr>
          <w:szCs w:val="22"/>
        </w:rPr>
      </w:pPr>
      <w:r w:rsidRPr="00810F44">
        <w:rPr>
          <w:szCs w:val="22"/>
        </w:rPr>
        <w:t>Hodnotenie musí byť podľa toho:</w:t>
      </w:r>
    </w:p>
    <w:p w:rsidR="00F05731" w:rsidRPr="00810F44" w:rsidRDefault="00F05731" w:rsidP="00CE203B">
      <w:pPr>
        <w:pStyle w:val="Odsekzoznamu"/>
        <w:numPr>
          <w:ilvl w:val="0"/>
          <w:numId w:val="385"/>
        </w:numPr>
      </w:pPr>
      <w:r w:rsidRPr="00810F44">
        <w:t>nezávislé vo svojich analýzach a hodnoteniach,</w:t>
      </w:r>
    </w:p>
    <w:p w:rsidR="00F05731" w:rsidRPr="00810F44" w:rsidRDefault="00F05731" w:rsidP="00CE203B">
      <w:pPr>
        <w:pStyle w:val="Odsekzoznamu"/>
        <w:numPr>
          <w:ilvl w:val="0"/>
          <w:numId w:val="385"/>
        </w:numPr>
      </w:pPr>
      <w:r w:rsidRPr="00810F44">
        <w:t xml:space="preserve">orientované na potreby, </w:t>
      </w:r>
    </w:p>
    <w:p w:rsidR="00F05731" w:rsidRPr="00810F44" w:rsidRDefault="00F05731" w:rsidP="00CE203B">
      <w:pPr>
        <w:pStyle w:val="Odsekzoznamu"/>
        <w:numPr>
          <w:ilvl w:val="0"/>
          <w:numId w:val="385"/>
        </w:numPr>
      </w:pPr>
      <w:r w:rsidRPr="00810F44">
        <w:t>vedecké, tým že sa zameriava na národne a medzinárodne platné vedecké štandardy kvality hodnotenia,</w:t>
      </w:r>
    </w:p>
    <w:p w:rsidR="00F05731" w:rsidRPr="00810F44" w:rsidRDefault="00F05731" w:rsidP="00CE203B">
      <w:pPr>
        <w:pStyle w:val="Odsekzoznamu"/>
        <w:numPr>
          <w:ilvl w:val="0"/>
          <w:numId w:val="385"/>
        </w:numPr>
      </w:pPr>
      <w:r w:rsidRPr="00810F44">
        <w:t xml:space="preserve">participatívne, prostredníctvom zapojenia relevantných </w:t>
      </w:r>
      <w:r>
        <w:t>aktérov</w:t>
      </w:r>
      <w:r w:rsidRPr="00810F44">
        <w:t xml:space="preserve"> do procesov hodnotenia,  </w:t>
      </w:r>
    </w:p>
    <w:p w:rsidR="00F05731" w:rsidRPr="00810F44" w:rsidRDefault="00F05731" w:rsidP="00CE203B">
      <w:pPr>
        <w:pStyle w:val="Odsekzoznamu"/>
        <w:numPr>
          <w:ilvl w:val="0"/>
          <w:numId w:val="385"/>
        </w:numPr>
      </w:pPr>
      <w:r w:rsidRPr="00810F44">
        <w:t xml:space="preserve">transparentné vďaka zverejňovaniu všetkých správ a zrozumiteľnosti odporúčaní a metodiky. </w:t>
      </w:r>
    </w:p>
    <w:p w:rsidR="00F05731" w:rsidRDefault="00F05731" w:rsidP="00F05731">
      <w:pPr>
        <w:autoSpaceDE w:val="0"/>
        <w:autoSpaceDN w:val="0"/>
        <w:adjustRightInd w:val="0"/>
        <w:rPr>
          <w:rFonts w:ascii="Calibri" w:hAnsi="Calibri" w:cs="Arial"/>
          <w:b/>
          <w:i/>
          <w:color w:val="000000"/>
          <w:szCs w:val="22"/>
        </w:rPr>
      </w:pPr>
    </w:p>
    <w:p w:rsidR="00F05731" w:rsidRPr="00F05731" w:rsidRDefault="00F05731" w:rsidP="00F05731">
      <w:pPr>
        <w:autoSpaceDE w:val="0"/>
        <w:autoSpaceDN w:val="0"/>
        <w:adjustRightInd w:val="0"/>
        <w:rPr>
          <w:rFonts w:ascii="Calibri" w:hAnsi="Calibri" w:cs="Arial"/>
          <w:b/>
          <w:i/>
          <w:color w:val="000000"/>
          <w:szCs w:val="22"/>
        </w:rPr>
      </w:pPr>
      <w:r w:rsidRPr="00F05731">
        <w:rPr>
          <w:rFonts w:ascii="Calibri" w:hAnsi="Calibri" w:cs="Arial"/>
          <w:b/>
          <w:i/>
          <w:color w:val="000000"/>
          <w:szCs w:val="22"/>
        </w:rPr>
        <w:t>Hodnotiace kroky v programovom období 2014 – 2020:</w:t>
      </w:r>
    </w:p>
    <w:p w:rsidR="00F05731" w:rsidRPr="00F05731" w:rsidRDefault="00F05731" w:rsidP="00F05731">
      <w:pPr>
        <w:pStyle w:val="Odsekzoznamu"/>
        <w:spacing w:after="60"/>
        <w:ind w:left="0"/>
        <w:rPr>
          <w:szCs w:val="22"/>
        </w:rPr>
      </w:pPr>
      <w:r w:rsidRPr="00F05731">
        <w:rPr>
          <w:szCs w:val="22"/>
        </w:rPr>
        <w:t>Hodnotenie PRV je dôležitým nástrojom riadenia, ktorý pravidelne kontroluje rámcové podmienky a intervenčnú logiku programu,  skúma dopady programu a vypracováva odporúčania pre ďalší rozvoj národného programu a jeho opatrení.</w:t>
      </w:r>
    </w:p>
    <w:p w:rsidR="00F05731" w:rsidRPr="00F05731" w:rsidRDefault="00F05731" w:rsidP="00F05731">
      <w:pPr>
        <w:spacing w:after="60"/>
        <w:rPr>
          <w:rFonts w:eastAsia="Calibri"/>
          <w:szCs w:val="22"/>
        </w:rPr>
      </w:pPr>
      <w:r w:rsidRPr="00F05731">
        <w:rPr>
          <w:rFonts w:eastAsia="Calibri"/>
          <w:szCs w:val="22"/>
        </w:rPr>
        <w:t xml:space="preserve">Hodnotenie sa opiera o normy hodnotenia EÚ. Hlavné ťažiská práce však budú vychádzať z národnej štruktúry programu. Tým je zabezpečené, že výsledky hodnotenia budú zhrnuté na úrovni EÚ a môžu byť porovnané s inými krajinami a na národnej úrovni budú použité na ďalší rozvoj PRV v Slovenskej republike. </w:t>
      </w:r>
    </w:p>
    <w:p w:rsidR="00F05731" w:rsidRPr="00F05731" w:rsidRDefault="00F05731" w:rsidP="00F05731">
      <w:pPr>
        <w:spacing w:after="60"/>
        <w:rPr>
          <w:rFonts w:eastAsia="Calibri"/>
          <w:szCs w:val="22"/>
        </w:rPr>
      </w:pPr>
      <w:r w:rsidRPr="00F05731">
        <w:rPr>
          <w:rFonts w:eastAsia="Calibri"/>
          <w:szCs w:val="22"/>
        </w:rPr>
        <w:t xml:space="preserve">Hodnotiace aktivity budú prebiehať v závislosti od progresu v programe a navzájom súvisia. Výsledky hodnotenia budú zaznamenané vo výročných implementačných správach PRV za obdobie 2015 – 2024.  </w:t>
      </w:r>
    </w:p>
    <w:p w:rsidR="00F05731" w:rsidRPr="00F05731" w:rsidRDefault="00F05731" w:rsidP="00F05731">
      <w:pPr>
        <w:spacing w:after="60"/>
        <w:rPr>
          <w:rFonts w:eastAsia="Calibri"/>
          <w:szCs w:val="22"/>
        </w:rPr>
      </w:pPr>
      <w:r w:rsidRPr="00F05731">
        <w:rPr>
          <w:rFonts w:eastAsia="Calibri"/>
          <w:szCs w:val="22"/>
        </w:rPr>
        <w:t xml:space="preserve">Zvlášť treba venovať pozornosť rokom 2017 a 2019  s „posilnenými povinnosťami týkajúcimi sa príprav správ“, keď musia byť správy o predchádzajúcich rokoch rozsiahlejšie pripravené. </w:t>
      </w:r>
    </w:p>
    <w:p w:rsidR="00F05731" w:rsidRDefault="00F05731" w:rsidP="00F05731">
      <w:pPr>
        <w:rPr>
          <w:rFonts w:eastAsia="Calibri"/>
          <w:szCs w:val="22"/>
        </w:rPr>
      </w:pPr>
      <w:r w:rsidRPr="00F05731">
        <w:rPr>
          <w:rFonts w:eastAsia="Calibri"/>
          <w:szCs w:val="22"/>
        </w:rPr>
        <w:t xml:space="preserve">Celé hodnotiace obdobie bude uzatvorené v rámci ex-post hodnotenia v roku 2024. </w:t>
      </w:r>
    </w:p>
    <w:p w:rsidR="00F05731" w:rsidRDefault="00F05731" w:rsidP="00F05731">
      <w:pPr>
        <w:rPr>
          <w:rFonts w:eastAsia="Calibri"/>
          <w:szCs w:val="22"/>
        </w:rPr>
      </w:pPr>
    </w:p>
    <w:p w:rsidR="00F05731" w:rsidRDefault="00F05731" w:rsidP="00F05731">
      <w:pPr>
        <w:rPr>
          <w:rFonts w:eastAsia="Calibri"/>
          <w:szCs w:val="22"/>
        </w:rPr>
      </w:pPr>
    </w:p>
    <w:p w:rsidR="00F05731" w:rsidRDefault="00F05731" w:rsidP="00F05731">
      <w:pPr>
        <w:rPr>
          <w:rFonts w:eastAsia="Calibri"/>
          <w:szCs w:val="22"/>
        </w:rPr>
      </w:pPr>
    </w:p>
    <w:p w:rsidR="00F05731" w:rsidRDefault="00F05731" w:rsidP="00F05731">
      <w:pPr>
        <w:rPr>
          <w:rFonts w:eastAsia="Calibri"/>
          <w:szCs w:val="22"/>
        </w:rPr>
      </w:pPr>
    </w:p>
    <w:p w:rsidR="00F05731" w:rsidRPr="00F05731" w:rsidRDefault="00F05731" w:rsidP="00F05731">
      <w:pPr>
        <w:rPr>
          <w:rFonts w:eastAsia="Calibri"/>
          <w:szCs w:val="22"/>
        </w:rPr>
      </w:pPr>
    </w:p>
    <w:p w:rsidR="008676F9" w:rsidRPr="00F05731" w:rsidRDefault="008676F9" w:rsidP="00CE203B">
      <w:pPr>
        <w:numPr>
          <w:ilvl w:val="0"/>
          <w:numId w:val="384"/>
        </w:numPr>
        <w:spacing w:after="200"/>
        <w:contextualSpacing/>
        <w:jc w:val="left"/>
        <w:rPr>
          <w:rFonts w:ascii="Calibri" w:hAnsi="Calibri"/>
          <w:b/>
          <w:szCs w:val="22"/>
        </w:rPr>
      </w:pPr>
      <w:bookmarkStart w:id="119" w:name="_Toc384111064"/>
      <w:r w:rsidRPr="00F05731">
        <w:rPr>
          <w:rFonts w:ascii="Calibri" w:hAnsi="Calibri"/>
          <w:b/>
          <w:szCs w:val="22"/>
        </w:rPr>
        <w:t>RIADENIE A KOORDINÁCIA</w:t>
      </w:r>
      <w:bookmarkEnd w:id="119"/>
    </w:p>
    <w:p w:rsidR="008676F9" w:rsidRPr="008676F9" w:rsidRDefault="008676F9" w:rsidP="00F05731">
      <w:pPr>
        <w:autoSpaceDE w:val="0"/>
        <w:autoSpaceDN w:val="0"/>
        <w:adjustRightInd w:val="0"/>
        <w:rPr>
          <w:rFonts w:ascii="Calibri" w:hAnsi="Calibri" w:cs="Arial"/>
          <w:b/>
          <w:i/>
          <w:color w:val="000000"/>
          <w:szCs w:val="22"/>
        </w:rPr>
      </w:pPr>
      <w:r w:rsidRPr="008676F9">
        <w:rPr>
          <w:rFonts w:ascii="Calibri" w:hAnsi="Calibri" w:cs="Arial"/>
          <w:b/>
          <w:i/>
          <w:color w:val="000000"/>
          <w:szCs w:val="22"/>
        </w:rPr>
        <w:t xml:space="preserve">Organizácia monitorovacieho a hodnotiaceho systému  </w:t>
      </w:r>
    </w:p>
    <w:p w:rsidR="008676F9" w:rsidRPr="008676F9" w:rsidRDefault="008676F9" w:rsidP="00F05731">
      <w:pPr>
        <w:autoSpaceDE w:val="0"/>
        <w:autoSpaceDN w:val="0"/>
        <w:adjustRightInd w:val="0"/>
        <w:rPr>
          <w:rFonts w:ascii="Calibri" w:hAnsi="Calibri" w:cs="Arial"/>
          <w:color w:val="000000"/>
          <w:szCs w:val="22"/>
        </w:rPr>
      </w:pPr>
      <w:r w:rsidRPr="008676F9">
        <w:rPr>
          <w:rFonts w:ascii="Calibri" w:hAnsi="Calibri" w:cs="Arial"/>
          <w:color w:val="000000"/>
          <w:szCs w:val="22"/>
        </w:rPr>
        <w:t>Organizácia systému je navrhnutá tak, aby plnila vyššie uvedené ciele monitorovania a hodnotenia PRV. Pri jej návrhu sa vychádzalo z</w:t>
      </w:r>
      <w:r w:rsidR="00B205E8">
        <w:rPr>
          <w:rFonts w:ascii="Calibri" w:hAnsi="Calibri" w:cs="Arial"/>
          <w:color w:val="000000"/>
          <w:szCs w:val="22"/>
        </w:rPr>
        <w:t> </w:t>
      </w:r>
      <w:r w:rsidRPr="008676F9">
        <w:rPr>
          <w:rFonts w:ascii="Calibri" w:hAnsi="Calibri" w:cs="Arial"/>
          <w:color w:val="000000"/>
          <w:szCs w:val="22"/>
        </w:rPr>
        <w:t>nariadenia</w:t>
      </w:r>
      <w:r w:rsidR="00B205E8">
        <w:rPr>
          <w:rFonts w:ascii="Calibri" w:hAnsi="Calibri" w:cs="Arial"/>
          <w:color w:val="000000"/>
          <w:szCs w:val="22"/>
        </w:rPr>
        <w:t xml:space="preserve"> </w:t>
      </w:r>
      <w:r w:rsidR="00C84582">
        <w:rPr>
          <w:rFonts w:ascii="Calibri" w:hAnsi="Calibri" w:cs="Arial"/>
          <w:color w:val="000000"/>
          <w:szCs w:val="22"/>
        </w:rPr>
        <w:t xml:space="preserve">(EÚ) </w:t>
      </w:r>
      <w:r w:rsidR="00B205E8">
        <w:rPr>
          <w:rFonts w:ascii="Calibri" w:hAnsi="Calibri" w:cs="Arial"/>
          <w:color w:val="000000"/>
          <w:szCs w:val="22"/>
        </w:rPr>
        <w:t xml:space="preserve">č. </w:t>
      </w:r>
      <w:r w:rsidR="00C84582">
        <w:rPr>
          <w:rFonts w:ascii="Calibri" w:hAnsi="Calibri" w:cs="Arial"/>
          <w:color w:val="000000"/>
          <w:szCs w:val="22"/>
        </w:rPr>
        <w:t>1303/2013</w:t>
      </w:r>
      <w:r w:rsidRPr="008676F9">
        <w:rPr>
          <w:rFonts w:ascii="Calibri" w:hAnsi="Calibri" w:cs="Arial"/>
          <w:color w:val="000000"/>
          <w:szCs w:val="22"/>
        </w:rPr>
        <w:t xml:space="preserve"> o spoločných ustanoveniach </w:t>
      </w:r>
      <w:r w:rsidR="00C84582">
        <w:rPr>
          <w:rFonts w:ascii="Calibri" w:hAnsi="Calibri" w:cs="Arial"/>
          <w:color w:val="000000"/>
          <w:szCs w:val="22"/>
        </w:rPr>
        <w:t xml:space="preserve">EŠIF </w:t>
      </w:r>
      <w:r w:rsidRPr="008676F9">
        <w:rPr>
          <w:rFonts w:ascii="Calibri" w:hAnsi="Calibri" w:cs="Arial"/>
          <w:color w:val="000000"/>
          <w:szCs w:val="22"/>
        </w:rPr>
        <w:t>a</w:t>
      </w:r>
      <w:r w:rsidR="00C84582">
        <w:rPr>
          <w:rFonts w:ascii="Calibri" w:hAnsi="Calibri" w:cs="Arial"/>
          <w:color w:val="000000"/>
          <w:szCs w:val="22"/>
        </w:rPr>
        <w:t> </w:t>
      </w:r>
      <w:r w:rsidRPr="008676F9">
        <w:rPr>
          <w:rFonts w:ascii="Calibri" w:hAnsi="Calibri" w:cs="Arial"/>
          <w:color w:val="000000"/>
          <w:szCs w:val="22"/>
        </w:rPr>
        <w:t>nariadenia</w:t>
      </w:r>
      <w:r w:rsidR="00C84582">
        <w:rPr>
          <w:rFonts w:ascii="Calibri" w:hAnsi="Calibri" w:cs="Arial"/>
          <w:color w:val="000000"/>
          <w:szCs w:val="22"/>
        </w:rPr>
        <w:t xml:space="preserve"> (EÚ) č. 1305/2013</w:t>
      </w:r>
      <w:r w:rsidRPr="008676F9">
        <w:rPr>
          <w:rFonts w:ascii="Calibri" w:hAnsi="Calibri" w:cs="Arial"/>
          <w:color w:val="000000"/>
          <w:szCs w:val="22"/>
        </w:rPr>
        <w:t xml:space="preserve"> o podpore rozvoja vidieka</w:t>
      </w:r>
      <w:r w:rsidR="00C84582">
        <w:rPr>
          <w:rFonts w:ascii="Calibri" w:hAnsi="Calibri" w:cs="Arial"/>
          <w:color w:val="000000"/>
          <w:szCs w:val="22"/>
        </w:rPr>
        <w:t xml:space="preserve"> z EPFRV,</w:t>
      </w:r>
      <w:r w:rsidRPr="008676F9">
        <w:rPr>
          <w:rFonts w:ascii="Calibri" w:hAnsi="Calibri" w:cs="Arial"/>
          <w:color w:val="000000"/>
          <w:szCs w:val="22"/>
        </w:rPr>
        <w:t xml:space="preserve"> ako aj získaných skúseností z minulého obdobia. Navrhnutá organizácia zabezpečí obe funkcie i.) monitorovaciu a ii.) hodnotiacu. Systém je tvorený </w:t>
      </w:r>
      <w:r w:rsidR="00C84582">
        <w:rPr>
          <w:rFonts w:ascii="Calibri" w:hAnsi="Calibri" w:cs="Arial"/>
          <w:color w:val="000000"/>
          <w:szCs w:val="22"/>
        </w:rPr>
        <w:t>r</w:t>
      </w:r>
      <w:r w:rsidRPr="008676F9">
        <w:rPr>
          <w:rFonts w:ascii="Calibri" w:hAnsi="Calibri" w:cs="Arial"/>
          <w:color w:val="000000"/>
          <w:szCs w:val="22"/>
        </w:rPr>
        <w:t xml:space="preserve">iadiacim orgánom, </w:t>
      </w:r>
      <w:r w:rsidR="00C84582">
        <w:rPr>
          <w:rFonts w:ascii="Calibri" w:hAnsi="Calibri" w:cs="Arial"/>
          <w:color w:val="000000"/>
          <w:szCs w:val="22"/>
        </w:rPr>
        <w:t>m</w:t>
      </w:r>
      <w:r w:rsidRPr="008676F9">
        <w:rPr>
          <w:rFonts w:ascii="Calibri" w:hAnsi="Calibri" w:cs="Arial"/>
          <w:color w:val="000000"/>
          <w:szCs w:val="22"/>
        </w:rPr>
        <w:t xml:space="preserve">onitorovacím výborom, Európskou </w:t>
      </w:r>
      <w:r w:rsidR="00C84582">
        <w:rPr>
          <w:rFonts w:ascii="Calibri" w:hAnsi="Calibri" w:cs="Arial"/>
          <w:color w:val="000000"/>
          <w:szCs w:val="22"/>
        </w:rPr>
        <w:t>k</w:t>
      </w:r>
      <w:r w:rsidRPr="008676F9">
        <w:rPr>
          <w:rFonts w:ascii="Calibri" w:hAnsi="Calibri" w:cs="Arial"/>
          <w:color w:val="000000"/>
          <w:szCs w:val="22"/>
        </w:rPr>
        <w:t xml:space="preserve">omisiou, širokou verejnosťou, </w:t>
      </w:r>
      <w:r w:rsidR="00C84582">
        <w:rPr>
          <w:rFonts w:ascii="Calibri" w:hAnsi="Calibri" w:cs="Arial"/>
          <w:color w:val="000000"/>
          <w:szCs w:val="22"/>
        </w:rPr>
        <w:t>p</w:t>
      </w:r>
      <w:r w:rsidRPr="008676F9">
        <w:rPr>
          <w:rFonts w:ascii="Calibri" w:hAnsi="Calibri" w:cs="Arial"/>
          <w:color w:val="000000"/>
          <w:szCs w:val="22"/>
        </w:rPr>
        <w:t xml:space="preserve">racovnou/poradnou skupinou pre hodnotenie, </w:t>
      </w:r>
      <w:r w:rsidR="00C84582">
        <w:rPr>
          <w:rFonts w:ascii="Calibri" w:hAnsi="Calibri" w:cs="Arial"/>
          <w:color w:val="000000"/>
          <w:szCs w:val="22"/>
        </w:rPr>
        <w:t>e</w:t>
      </w:r>
      <w:r w:rsidRPr="008676F9">
        <w:rPr>
          <w:rFonts w:ascii="Calibri" w:hAnsi="Calibri" w:cs="Arial"/>
          <w:color w:val="000000"/>
          <w:szCs w:val="22"/>
        </w:rPr>
        <w:t xml:space="preserve">xternými subjektmi, Centrálnym koordinačným orgánom, ostatnými rezortmi, hodnotiteľmi, </w:t>
      </w:r>
      <w:r w:rsidR="00C84582">
        <w:rPr>
          <w:rFonts w:ascii="Calibri" w:hAnsi="Calibri" w:cs="Arial"/>
          <w:color w:val="000000"/>
          <w:szCs w:val="22"/>
        </w:rPr>
        <w:t>Pôdohospodárskou p</w:t>
      </w:r>
      <w:r w:rsidRPr="008676F9">
        <w:rPr>
          <w:rFonts w:ascii="Calibri" w:hAnsi="Calibri" w:cs="Arial"/>
          <w:color w:val="000000"/>
          <w:szCs w:val="22"/>
        </w:rPr>
        <w:t xml:space="preserve">latobnou agentúrou a poskytovateľmi údajov. </w:t>
      </w:r>
    </w:p>
    <w:p w:rsidR="008676F9" w:rsidRPr="008676F9" w:rsidRDefault="008676F9" w:rsidP="008676F9">
      <w:pPr>
        <w:autoSpaceDE w:val="0"/>
        <w:autoSpaceDN w:val="0"/>
        <w:adjustRightInd w:val="0"/>
        <w:rPr>
          <w:rFonts w:ascii="Arial" w:hAnsi="Arial" w:cs="Arial"/>
          <w:color w:val="000000"/>
          <w:szCs w:val="22"/>
        </w:rPr>
      </w:pPr>
    </w:p>
    <w:p w:rsidR="008676F9" w:rsidRPr="008676F9" w:rsidRDefault="008676F9" w:rsidP="008676F9">
      <w:pPr>
        <w:tabs>
          <w:tab w:val="left" w:pos="7173"/>
        </w:tabs>
        <w:autoSpaceDE w:val="0"/>
        <w:autoSpaceDN w:val="0"/>
        <w:adjustRightInd w:val="0"/>
        <w:rPr>
          <w:rFonts w:ascii="Calibri" w:hAnsi="Calibri" w:cs="Arial"/>
          <w:b/>
          <w:i/>
          <w:color w:val="000000"/>
          <w:szCs w:val="22"/>
        </w:rPr>
      </w:pPr>
      <w:r w:rsidRPr="008676F9">
        <w:rPr>
          <w:rFonts w:ascii="Calibri" w:hAnsi="Calibri" w:cs="Arial"/>
          <w:b/>
          <w:i/>
          <w:color w:val="000000"/>
          <w:szCs w:val="22"/>
        </w:rPr>
        <w:tab/>
      </w:r>
    </w:p>
    <w:p w:rsidR="008676F9" w:rsidRPr="008676F9" w:rsidRDefault="008676F9" w:rsidP="008676F9">
      <w:pPr>
        <w:autoSpaceDE w:val="0"/>
        <w:autoSpaceDN w:val="0"/>
        <w:adjustRightInd w:val="0"/>
        <w:rPr>
          <w:rFonts w:ascii="Calibri" w:hAnsi="Calibri" w:cs="Arial"/>
          <w:b/>
          <w:i/>
          <w:color w:val="000000"/>
          <w:szCs w:val="22"/>
        </w:rPr>
      </w:pPr>
    </w:p>
    <w:p w:rsidR="008676F9" w:rsidRPr="008676F9" w:rsidRDefault="008676F9" w:rsidP="008676F9">
      <w:pPr>
        <w:autoSpaceDE w:val="0"/>
        <w:autoSpaceDN w:val="0"/>
        <w:adjustRightInd w:val="0"/>
        <w:rPr>
          <w:rFonts w:ascii="Calibri" w:hAnsi="Calibri" w:cs="Arial"/>
          <w:b/>
          <w:i/>
          <w:color w:val="000000"/>
          <w:szCs w:val="22"/>
        </w:rPr>
      </w:pPr>
    </w:p>
    <w:p w:rsidR="008676F9" w:rsidRPr="008676F9" w:rsidRDefault="008676F9" w:rsidP="008676F9">
      <w:pPr>
        <w:autoSpaceDE w:val="0"/>
        <w:autoSpaceDN w:val="0"/>
        <w:adjustRightInd w:val="0"/>
        <w:rPr>
          <w:rFonts w:ascii="Calibri" w:hAnsi="Calibri" w:cs="Arial"/>
          <w:b/>
          <w:i/>
          <w:color w:val="000000"/>
          <w:szCs w:val="22"/>
        </w:rPr>
      </w:pPr>
    </w:p>
    <w:p w:rsidR="008676F9" w:rsidRPr="008676F9" w:rsidRDefault="008676F9" w:rsidP="008676F9">
      <w:pPr>
        <w:autoSpaceDE w:val="0"/>
        <w:autoSpaceDN w:val="0"/>
        <w:adjustRightInd w:val="0"/>
        <w:rPr>
          <w:rFonts w:ascii="Calibri" w:hAnsi="Calibri" w:cs="Arial"/>
          <w:b/>
          <w:i/>
          <w:color w:val="000000"/>
          <w:szCs w:val="22"/>
        </w:rPr>
      </w:pPr>
    </w:p>
    <w:p w:rsidR="008676F9" w:rsidRPr="008676F9" w:rsidRDefault="008676F9" w:rsidP="008676F9">
      <w:pPr>
        <w:autoSpaceDE w:val="0"/>
        <w:autoSpaceDN w:val="0"/>
        <w:adjustRightInd w:val="0"/>
        <w:rPr>
          <w:rFonts w:ascii="Calibri" w:hAnsi="Calibri" w:cs="Arial"/>
          <w:b/>
          <w:i/>
          <w:color w:val="000000"/>
          <w:szCs w:val="22"/>
        </w:rPr>
        <w:sectPr w:rsidR="008676F9" w:rsidRPr="008676F9" w:rsidSect="00BB33FC">
          <w:headerReference w:type="default" r:id="rId80"/>
          <w:footerReference w:type="default" r:id="rId81"/>
          <w:pgSz w:w="11906" w:h="16838"/>
          <w:pgMar w:top="1417" w:right="1417" w:bottom="1417" w:left="1417" w:header="708" w:footer="708" w:gutter="0"/>
          <w:cols w:space="708"/>
          <w:docGrid w:linePitch="360"/>
        </w:sectPr>
      </w:pPr>
    </w:p>
    <w:p w:rsidR="002245DE" w:rsidRPr="008676F9" w:rsidRDefault="001B3100" w:rsidP="002245DE">
      <w:pPr>
        <w:spacing w:line="276" w:lineRule="auto"/>
        <w:rPr>
          <w:rFonts w:ascii="Calibri" w:hAnsi="Calibri"/>
          <w:szCs w:val="22"/>
        </w:rPr>
      </w:pPr>
      <w:r>
        <w:rPr>
          <w:rFonts w:ascii="Calibri" w:hAnsi="Calibri"/>
          <w:noProof/>
          <w:szCs w:val="22"/>
        </w:rPr>
        <mc:AlternateContent>
          <mc:Choice Requires="wps">
            <w:drawing>
              <wp:anchor distT="0" distB="0" distL="114300" distR="114300" simplePos="0" relativeHeight="251720704" behindDoc="0" locked="0" layoutInCell="1" allowOverlap="1" wp14:anchorId="656535DD" wp14:editId="76D053A5">
                <wp:simplePos x="0" y="0"/>
                <wp:positionH relativeFrom="column">
                  <wp:posOffset>2611120</wp:posOffset>
                </wp:positionH>
                <wp:positionV relativeFrom="paragraph">
                  <wp:posOffset>-339090</wp:posOffset>
                </wp:positionV>
                <wp:extent cx="1259205" cy="542925"/>
                <wp:effectExtent l="0" t="0" r="17145" b="28575"/>
                <wp:wrapNone/>
                <wp:docPr id="67" name="Obdĺžnik 2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59205" cy="542925"/>
                        </a:xfrm>
                        <a:prstGeom prst="rect">
                          <a:avLst/>
                        </a:prstGeom>
                        <a:solidFill>
                          <a:srgbClr val="FFFFFF"/>
                        </a:solidFill>
                        <a:ln w="25400">
                          <a:solidFill>
                            <a:srgbClr val="F79646"/>
                          </a:solidFill>
                          <a:miter lim="800000"/>
                          <a:headEnd/>
                          <a:tailEnd/>
                        </a:ln>
                      </wps:spPr>
                      <wps:txbx>
                        <w:txbxContent>
                          <w:p w:rsidR="000A3653" w:rsidRPr="00E00BCC" w:rsidRDefault="000A3653" w:rsidP="002245DE">
                            <w:pPr>
                              <w:jc w:val="center"/>
                              <w:rPr>
                                <w:rFonts w:ascii="Verdana" w:hAnsi="Verdana"/>
                                <w:color w:val="365F91"/>
                              </w:rPr>
                            </w:pPr>
                            <w:r w:rsidRPr="00E00BCC">
                              <w:rPr>
                                <w:rFonts w:ascii="Verdana" w:hAnsi="Verdana"/>
                                <w:color w:val="365F91"/>
                              </w:rPr>
                              <w:t>Monitorovací výbor</w:t>
                            </w:r>
                          </w:p>
                        </w:txbxContent>
                      </wps:txbx>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rect id="Obdĺžnik 20" o:spid="_x0000_s1026" style="position:absolute;left:0;text-align:left;margin-left:205.6pt;margin-top:-26.7pt;width:99.15pt;height:42.75pt;z-index:251720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" strokecolor="#f79646" strokeweight="2pt">
                <v:textbox>
                  <w:txbxContent>
                    <w:p w:rsidR="000A3653" w:rsidRPr="00E00BCC" w:rsidRDefault="000A3653" w:rsidP="002245DE">
                      <w:pPr>
                        <w:jc w:val="center"/>
                        <w:rPr>
                          <w:rFonts w:ascii="Verdana" w:hAnsi="Verdana"/>
                          <w:color w:val="365F91"/>
                        </w:rPr>
                      </w:pPr>
                      <w:r w:rsidRPr="00E00BCC">
                        <w:rPr>
                          <w:rFonts w:ascii="Verdana" w:hAnsi="Verdana"/>
                          <w:color w:val="365F91"/>
                        </w:rPr>
                        <w:t>Monitorovací výbor</w:t>
                      </w:r>
                    </w:p>
                  </w:txbxContent>
                </v:textbox>
              </v:rect>
            </w:pict>
          </mc:Fallback>
        </mc:AlternateContent>
      </w:r>
      <w:r>
        <w:rPr>
          <w:rFonts w:ascii="Calibri" w:hAnsi="Calibri"/>
          <w:noProof/>
          <w:szCs w:val="22"/>
        </w:rPr>
        <mc:AlternateContent>
          <mc:Choice Requires="wps">
            <w:drawing>
              <wp:anchor distT="0" distB="0" distL="114300" distR="114300" simplePos="0" relativeHeight="251739136" behindDoc="0" locked="0" layoutInCell="1" allowOverlap="1" wp14:anchorId="3125E484" wp14:editId="15BC744C">
                <wp:simplePos x="0" y="0"/>
                <wp:positionH relativeFrom="column">
                  <wp:posOffset>5104130</wp:posOffset>
                </wp:positionH>
                <wp:positionV relativeFrom="paragraph">
                  <wp:posOffset>178435</wp:posOffset>
                </wp:positionV>
                <wp:extent cx="637540" cy="455930"/>
                <wp:effectExtent l="0" t="38100" r="48260" b="20320"/>
                <wp:wrapNone/>
                <wp:docPr id="66" name="Rovná spojovacia šípka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637540" cy="455930"/>
                        </a:xfrm>
                        <a:prstGeom prst="straightConnector1">
                          <a:avLst/>
                        </a:prstGeom>
                        <a:noFill/>
                        <a:ln w="9525">
                          <a:solidFill>
                            <a:srgbClr val="4F81BD"/>
                          </a:solidFill>
                          <a:prstDash val="dash"/>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id="_x0000_t32" coordsize="21600,21600" o:spt="32" o:oned="t" path="m,l21600,21600e" filled="f">
                <v:path arrowok="t" fillok="f" o:connecttype="none"/>
                <o:lock v:ext="edit" shapetype="t"/>
              </v:shapetype>
              <v:shape id="Rovná spojovacia šípka 21" o:spid="_x0000_s1026" type="#_x0000_t32" style="position:absolute;margin-left:401.9pt;margin-top:14.05pt;width:50.2pt;height:35.9pt;flip:y;z-index:251739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" strokecolor="#4f81bd">
                <v:stroke dashstyle="dash" endarrow="block"/>
              </v:shape>
            </w:pict>
          </mc:Fallback>
        </mc:AlternateContent>
      </w:r>
      <w:r>
        <w:rPr>
          <w:rFonts w:ascii="Calibri" w:hAnsi="Calibri"/>
          <w:noProof/>
          <w:szCs w:val="22"/>
        </w:rPr>
        <mc:AlternateContent>
          <mc:Choice Requires="wps">
            <w:drawing>
              <wp:anchor distT="0" distB="0" distL="114300" distR="114300" simplePos="0" relativeHeight="251731968" behindDoc="0" locked="0" layoutInCell="1" allowOverlap="1" wp14:anchorId="79C64100" wp14:editId="45B8A273">
                <wp:simplePos x="0" y="0"/>
                <wp:positionH relativeFrom="column">
                  <wp:posOffset>5482590</wp:posOffset>
                </wp:positionH>
                <wp:positionV relativeFrom="paragraph">
                  <wp:posOffset>-339090</wp:posOffset>
                </wp:positionV>
                <wp:extent cx="1078230" cy="534670"/>
                <wp:effectExtent l="0" t="0" r="26670" b="17780"/>
                <wp:wrapNone/>
                <wp:docPr id="65" name="Obdĺžnik 2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78230" cy="534670"/>
                        </a:xfrm>
                        <a:prstGeom prst="rect">
                          <a:avLst/>
                        </a:prstGeom>
                        <a:solidFill>
                          <a:srgbClr val="FFFFFF"/>
                        </a:solidFill>
                        <a:ln w="25400">
                          <a:solidFill>
                            <a:srgbClr val="F79646"/>
                          </a:solidFill>
                          <a:miter lim="800000"/>
                          <a:headEnd/>
                          <a:tailEnd/>
                        </a:ln>
                      </wps:spPr>
                      <wps:txbx>
                        <w:txbxContent>
                          <w:p w:rsidR="000A3653" w:rsidRPr="00E00BCC" w:rsidRDefault="000A3653" w:rsidP="002245DE">
                            <w:pPr>
                              <w:jc w:val="center"/>
                              <w:rPr>
                                <w:rFonts w:ascii="Verdana" w:hAnsi="Verdana"/>
                                <w:color w:val="365F91"/>
                              </w:rPr>
                            </w:pPr>
                            <w:r w:rsidRPr="00E00BCC">
                              <w:rPr>
                                <w:rFonts w:ascii="Verdana" w:hAnsi="Verdana"/>
                                <w:color w:val="365F91"/>
                              </w:rPr>
                              <w:t>Široká verejnosť</w:t>
                            </w:r>
                          </w:p>
                        </w:txbxContent>
                      </wps:txbx>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rect id="Obdĺžnik 22" o:spid="_x0000_s1027" style="position:absolute;left:0;text-align:left;margin-left:431.7pt;margin-top:-26.7pt;width:84.9pt;height:42.1pt;z-index:251731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" strokecolor="#f79646" strokeweight="2pt">
                <v:textbox>
                  <w:txbxContent>
                    <w:p w:rsidR="000A3653" w:rsidRPr="00E00BCC" w:rsidRDefault="000A3653" w:rsidP="002245DE">
                      <w:pPr>
                        <w:jc w:val="center"/>
                        <w:rPr>
                          <w:rFonts w:ascii="Verdana" w:hAnsi="Verdana"/>
                          <w:color w:val="365F91"/>
                        </w:rPr>
                      </w:pPr>
                      <w:r w:rsidRPr="00E00BCC">
                        <w:rPr>
                          <w:rFonts w:ascii="Verdana" w:hAnsi="Verdana"/>
                          <w:color w:val="365F91"/>
                        </w:rPr>
                        <w:t>Široká verejnosť</w:t>
                      </w:r>
                    </w:p>
                  </w:txbxContent>
                </v:textbox>
              </v:rect>
            </w:pict>
          </mc:Fallback>
        </mc:AlternateContent>
      </w:r>
      <w:r>
        <w:rPr>
          <w:rFonts w:ascii="Calibri" w:hAnsi="Calibri"/>
          <w:noProof/>
          <w:szCs w:val="22"/>
        </w:rPr>
        <mc:AlternateContent>
          <mc:Choice Requires="wps">
            <w:drawing>
              <wp:anchor distT="0" distB="0" distL="114300" distR="114300" simplePos="0" relativeHeight="251729920" behindDoc="0" locked="0" layoutInCell="1" allowOverlap="1" wp14:anchorId="573CDC95" wp14:editId="54E732EB">
                <wp:simplePos x="0" y="0"/>
                <wp:positionH relativeFrom="column">
                  <wp:posOffset>4164330</wp:posOffset>
                </wp:positionH>
                <wp:positionV relativeFrom="paragraph">
                  <wp:posOffset>-704215</wp:posOffset>
                </wp:positionV>
                <wp:extent cx="1078230" cy="914400"/>
                <wp:effectExtent l="0" t="0" r="26670" b="19050"/>
                <wp:wrapNone/>
                <wp:docPr id="64" name="Obdĺžnik 2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78230" cy="914400"/>
                        </a:xfrm>
                        <a:prstGeom prst="rect">
                          <a:avLst/>
                        </a:prstGeom>
                        <a:solidFill>
                          <a:srgbClr val="FFFFFF"/>
                        </a:solidFill>
                        <a:ln w="25400">
                          <a:solidFill>
                            <a:srgbClr val="F79646"/>
                          </a:solidFill>
                          <a:miter lim="800000"/>
                          <a:headEnd/>
                          <a:tailEnd/>
                        </a:ln>
                      </wps:spPr>
                      <wps:txbx>
                        <w:txbxContent>
                          <w:p w:rsidR="000A3653" w:rsidRPr="00E00BCC" w:rsidRDefault="000A3653" w:rsidP="002245DE">
                            <w:pPr>
                              <w:jc w:val="center"/>
                              <w:rPr>
                                <w:rFonts w:ascii="Verdana" w:hAnsi="Verdana"/>
                                <w:color w:val="365F91"/>
                              </w:rPr>
                            </w:pPr>
                            <w:r w:rsidRPr="00E00BCC">
                              <w:rPr>
                                <w:rFonts w:ascii="Verdana" w:hAnsi="Verdana"/>
                                <w:color w:val="365F91"/>
                              </w:rPr>
                              <w:t>Európska Komisia</w:t>
                            </w:r>
                          </w:p>
                        </w:txbxContent>
                      </wps:txbx>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rect id="Obdĺžnik 23" o:spid="_x0000_s1028" style="position:absolute;left:0;text-align:left;margin-left:327.9pt;margin-top:-55.45pt;width:84.9pt;height:1in;z-index:251729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" strokecolor="#f79646" strokeweight="2pt">
                <v:textbox>
                  <w:txbxContent>
                    <w:p w:rsidR="000A3653" w:rsidRPr="00E00BCC" w:rsidRDefault="000A3653" w:rsidP="002245DE">
                      <w:pPr>
                        <w:jc w:val="center"/>
                        <w:rPr>
                          <w:rFonts w:ascii="Verdana" w:hAnsi="Verdana"/>
                          <w:color w:val="365F91"/>
                        </w:rPr>
                      </w:pPr>
                      <w:r w:rsidRPr="00E00BCC">
                        <w:rPr>
                          <w:rFonts w:ascii="Verdana" w:hAnsi="Verdana"/>
                          <w:color w:val="365F91"/>
                        </w:rPr>
                        <w:t>Európska Komisia</w:t>
                      </w:r>
                    </w:p>
                  </w:txbxContent>
                </v:textbox>
              </v:rect>
            </w:pict>
          </mc:Fallback>
        </mc:AlternateContent>
      </w:r>
    </w:p>
    <w:p w:rsidR="002245DE" w:rsidRPr="008676F9" w:rsidRDefault="001B3100" w:rsidP="002245DE">
      <w:pPr>
        <w:spacing w:line="276" w:lineRule="auto"/>
        <w:rPr>
          <w:rFonts w:ascii="Calibri" w:hAnsi="Calibri"/>
          <w:szCs w:val="22"/>
        </w:rPr>
      </w:pPr>
      <w:r>
        <w:rPr>
          <w:rFonts w:ascii="Calibri" w:hAnsi="Calibri"/>
          <w:noProof/>
          <w:szCs w:val="22"/>
        </w:rPr>
        <mc:AlternateContent>
          <mc:Choice Requires="wps">
            <w:drawing>
              <wp:anchor distT="0" distB="0" distL="114300" distR="114300" simplePos="0" relativeHeight="251727872" behindDoc="0" locked="0" layoutInCell="1" allowOverlap="1" wp14:anchorId="449945B3" wp14:editId="4713C62F">
                <wp:simplePos x="0" y="0"/>
                <wp:positionH relativeFrom="column">
                  <wp:posOffset>3473450</wp:posOffset>
                </wp:positionH>
                <wp:positionV relativeFrom="paragraph">
                  <wp:posOffset>27305</wp:posOffset>
                </wp:positionV>
                <wp:extent cx="845820" cy="422275"/>
                <wp:effectExtent l="0" t="0" r="30480" b="34925"/>
                <wp:wrapNone/>
                <wp:docPr id="63" name="Rovná spojovacia šípka 2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845820" cy="422275"/>
                        </a:xfrm>
                        <a:prstGeom prst="straightConnector1">
                          <a:avLst/>
                        </a:prstGeom>
                        <a:ln>
                          <a:solidFill>
                            <a:srgbClr val="FF0000"/>
                          </a:solidFill>
                          <a:tailEnd type="none"/>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shape id="Rovná spojovacia šípka 24" o:spid="_x0000_s1026" type="#_x0000_t32" style="position:absolute;margin-left:273.5pt;margin-top:2.15pt;width:66.6pt;height:33.25pt;z-index:251727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" strokecolor="red">
                <o:lock v:ext="edit" shapetype="f"/>
              </v:shape>
            </w:pict>
          </mc:Fallback>
        </mc:AlternateContent>
      </w:r>
      <w:r>
        <w:rPr>
          <w:rFonts w:ascii="Calibri" w:hAnsi="Calibri"/>
          <w:noProof/>
          <w:szCs w:val="22"/>
        </w:rPr>
        <mc:AlternateContent>
          <mc:Choice Requires="wps">
            <w:drawing>
              <wp:anchor distT="0" distB="0" distL="114300" distR="114300" simplePos="0" relativeHeight="251751424" behindDoc="0" locked="0" layoutInCell="1" allowOverlap="1" wp14:anchorId="5CA6D0F7" wp14:editId="06AB700C">
                <wp:simplePos x="0" y="0"/>
                <wp:positionH relativeFrom="column">
                  <wp:posOffset>3180715</wp:posOffset>
                </wp:positionH>
                <wp:positionV relativeFrom="paragraph">
                  <wp:posOffset>27305</wp:posOffset>
                </wp:positionV>
                <wp:extent cx="1095375" cy="509270"/>
                <wp:effectExtent l="38100" t="38100" r="28575" b="24130"/>
                <wp:wrapNone/>
                <wp:docPr id="62" name="Rovná spojovacia šípka 5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095375" cy="509270"/>
                        </a:xfrm>
                        <a:prstGeom prst="straightConnector1">
                          <a:avLst/>
                        </a:prstGeom>
                        <a:noFill/>
                        <a:ln w="9525">
                          <a:solidFill>
                            <a:srgbClr val="4F81BD"/>
                          </a:solidFill>
                          <a:prstDash val="dash"/>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Rovná spojovacia šípka 56" o:spid="_x0000_s1026" type="#_x0000_t32" style="position:absolute;margin-left:250.45pt;margin-top:2.15pt;width:86.25pt;height:40.1pt;flip:x y;z-index:251751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" strokecolor="#4f81bd">
                <v:stroke dashstyle="dash" endarrow="block"/>
              </v:shape>
            </w:pict>
          </mc:Fallback>
        </mc:AlternateContent>
      </w:r>
      <w:r>
        <w:rPr>
          <w:rFonts w:ascii="Calibri" w:hAnsi="Calibri"/>
          <w:noProof/>
          <w:szCs w:val="22"/>
        </w:rPr>
        <mc:AlternateContent>
          <mc:Choice Requires="wps">
            <w:drawing>
              <wp:anchor distT="0" distB="0" distL="114298" distR="114298" simplePos="0" relativeHeight="251730944" behindDoc="0" locked="0" layoutInCell="1" allowOverlap="1" wp14:anchorId="79F62771" wp14:editId="735404E5">
                <wp:simplePos x="0" y="0"/>
                <wp:positionH relativeFrom="column">
                  <wp:posOffset>4568824</wp:posOffset>
                </wp:positionH>
                <wp:positionV relativeFrom="paragraph">
                  <wp:posOffset>27305</wp:posOffset>
                </wp:positionV>
                <wp:extent cx="0" cy="421640"/>
                <wp:effectExtent l="95250" t="0" r="57150" b="54610"/>
                <wp:wrapNone/>
                <wp:docPr id="60" name="Rovná spojovacia šípka 2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421640"/>
                        </a:xfrm>
                        <a:prstGeom prst="straightConnector1">
                          <a:avLst/>
                        </a:prstGeom>
                        <a:ln>
                          <a:solidFill>
                            <a:srgbClr val="FF0000"/>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shape id="Rovná spojovacia šípka 25" o:spid="_x0000_s1026" type="#_x0000_t32" style="position:absolute;margin-left:359.75pt;margin-top:2.15pt;width:0;height:33.2pt;z-index:251730944;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" strokecolor="red">
                <v:stroke endarrow="open"/>
                <o:lock v:ext="edit" shapetype="f"/>
              </v:shape>
            </w:pict>
          </mc:Fallback>
        </mc:AlternateContent>
      </w:r>
      <w:r>
        <w:rPr>
          <w:rFonts w:ascii="Calibri" w:hAnsi="Calibri"/>
          <w:noProof/>
          <w:szCs w:val="22"/>
        </w:rPr>
        <mc:AlternateContent>
          <mc:Choice Requires="wps">
            <w:drawing>
              <wp:anchor distT="0" distB="0" distL="114299" distR="114299" simplePos="0" relativeHeight="251752448" behindDoc="0" locked="0" layoutInCell="1" allowOverlap="1" wp14:anchorId="794CC64A" wp14:editId="116003E4">
                <wp:simplePos x="0" y="0"/>
                <wp:positionH relativeFrom="column">
                  <wp:posOffset>4759324</wp:posOffset>
                </wp:positionH>
                <wp:positionV relativeFrom="paragraph">
                  <wp:posOffset>70485</wp:posOffset>
                </wp:positionV>
                <wp:extent cx="0" cy="379730"/>
                <wp:effectExtent l="76200" t="38100" r="57150" b="20320"/>
                <wp:wrapNone/>
                <wp:docPr id="59" name="Rovná spojovacia šípka 5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379730"/>
                        </a:xfrm>
                        <a:prstGeom prst="straightConnector1">
                          <a:avLst/>
                        </a:prstGeom>
                        <a:noFill/>
                        <a:ln w="9525">
                          <a:solidFill>
                            <a:srgbClr val="4F81BD"/>
                          </a:solidFill>
                          <a:prstDash val="dash"/>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Rovná spojovacia šípka 57" o:spid="_x0000_s1026" type="#_x0000_t32" style="position:absolute;margin-left:374.75pt;margin-top:5.55pt;width:0;height:29.9pt;flip:y;z-index:251752448;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" strokecolor="#4f81bd">
                <v:stroke dashstyle="dash" endarrow="block"/>
              </v:shape>
            </w:pict>
          </mc:Fallback>
        </mc:AlternateContent>
      </w:r>
      <w:r>
        <w:rPr>
          <w:rFonts w:ascii="Calibri" w:hAnsi="Calibri"/>
          <w:noProof/>
          <w:szCs w:val="22"/>
        </w:rPr>
        <mc:AlternateContent>
          <mc:Choice Requires="wps">
            <w:drawing>
              <wp:anchor distT="0" distB="0" distL="114300" distR="114300" simplePos="0" relativeHeight="251723776" behindDoc="0" locked="0" layoutInCell="1" allowOverlap="1" wp14:anchorId="2B81F0CF" wp14:editId="33000AC5">
                <wp:simplePos x="0" y="0"/>
                <wp:positionH relativeFrom="column">
                  <wp:posOffset>-220345</wp:posOffset>
                </wp:positionH>
                <wp:positionV relativeFrom="paragraph">
                  <wp:posOffset>9525</wp:posOffset>
                </wp:positionV>
                <wp:extent cx="1569720" cy="698500"/>
                <wp:effectExtent l="0" t="0" r="11430" b="25400"/>
                <wp:wrapNone/>
                <wp:docPr id="58" name="Obdĺžnik 2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69720" cy="698500"/>
                        </a:xfrm>
                        <a:prstGeom prst="rect">
                          <a:avLst/>
                        </a:prstGeom>
                        <a:solidFill>
                          <a:srgbClr val="FFFFFF"/>
                        </a:solidFill>
                        <a:ln w="25400">
                          <a:solidFill>
                            <a:srgbClr val="F79646"/>
                          </a:solidFill>
                          <a:miter lim="800000"/>
                          <a:headEnd/>
                          <a:tailEnd/>
                        </a:ln>
                      </wps:spPr>
                      <wps:txbx>
                        <w:txbxContent>
                          <w:p w:rsidR="000A3653" w:rsidRPr="00E00BCC" w:rsidRDefault="000A3653" w:rsidP="002245DE">
                            <w:pPr>
                              <w:jc w:val="center"/>
                              <w:rPr>
                                <w:rFonts w:ascii="Verdana" w:hAnsi="Verdana"/>
                                <w:color w:val="365F91"/>
                              </w:rPr>
                            </w:pPr>
                            <w:r w:rsidRPr="00E00BCC">
                              <w:rPr>
                                <w:rFonts w:ascii="Verdana" w:hAnsi="Verdana"/>
                                <w:color w:val="365F91"/>
                              </w:rPr>
                              <w:t>Pracovná/</w:t>
                            </w:r>
                          </w:p>
                          <w:p w:rsidR="000A3653" w:rsidRPr="00E00BCC" w:rsidRDefault="000A3653" w:rsidP="002245DE">
                            <w:pPr>
                              <w:jc w:val="center"/>
                              <w:rPr>
                                <w:rFonts w:ascii="Verdana" w:hAnsi="Verdana"/>
                                <w:color w:val="365F91"/>
                              </w:rPr>
                            </w:pPr>
                            <w:r w:rsidRPr="00E00BCC">
                              <w:rPr>
                                <w:rFonts w:ascii="Verdana" w:hAnsi="Verdana"/>
                                <w:color w:val="365F91"/>
                              </w:rPr>
                              <w:t>poradná skupina pre hodnotenie</w:t>
                            </w:r>
                          </w:p>
                        </w:txbxContent>
                      </wps:txbx>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rect id="Obdĺžnik 26" o:spid="_x0000_s1029" style="position:absolute;left:0;text-align:left;margin-left:-17.35pt;margin-top:.75pt;width:123.6pt;height:55pt;z-index:251723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" strokecolor="#f79646" strokeweight="2pt">
                <v:textbox>
                  <w:txbxContent>
                    <w:p w:rsidR="000A3653" w:rsidRPr="00E00BCC" w:rsidRDefault="000A3653" w:rsidP="002245DE">
                      <w:pPr>
                        <w:jc w:val="center"/>
                        <w:rPr>
                          <w:rFonts w:ascii="Verdana" w:hAnsi="Verdana"/>
                          <w:color w:val="365F91"/>
                        </w:rPr>
                      </w:pPr>
                      <w:r w:rsidRPr="00E00BCC">
                        <w:rPr>
                          <w:rFonts w:ascii="Verdana" w:hAnsi="Verdana"/>
                          <w:color w:val="365F91"/>
                        </w:rPr>
                        <w:t>Pracovná/</w:t>
                      </w:r>
                    </w:p>
                    <w:p w:rsidR="000A3653" w:rsidRPr="00E00BCC" w:rsidRDefault="000A3653" w:rsidP="002245DE">
                      <w:pPr>
                        <w:jc w:val="center"/>
                        <w:rPr>
                          <w:rFonts w:ascii="Verdana" w:hAnsi="Verdana"/>
                          <w:color w:val="365F91"/>
                        </w:rPr>
                      </w:pPr>
                      <w:r w:rsidRPr="00E00BCC">
                        <w:rPr>
                          <w:rFonts w:ascii="Verdana" w:hAnsi="Verdana"/>
                          <w:color w:val="365F91"/>
                        </w:rPr>
                        <w:t>poradná skupina pre hodnotenie</w:t>
                      </w:r>
                    </w:p>
                  </w:txbxContent>
                </v:textbox>
              </v:rect>
            </w:pict>
          </mc:Fallback>
        </mc:AlternateContent>
      </w:r>
    </w:p>
    <w:p w:rsidR="002245DE" w:rsidRPr="008676F9" w:rsidRDefault="001B3100" w:rsidP="002245DE">
      <w:pPr>
        <w:spacing w:line="276" w:lineRule="auto"/>
        <w:rPr>
          <w:rFonts w:ascii="Calibri" w:hAnsi="Calibri"/>
          <w:szCs w:val="22"/>
        </w:rPr>
      </w:pPr>
      <w:r>
        <w:rPr>
          <w:rFonts w:ascii="Calibri" w:hAnsi="Calibri"/>
          <w:noProof/>
          <w:szCs w:val="22"/>
        </w:rPr>
        <mc:AlternateContent>
          <mc:Choice Requires="wps">
            <w:drawing>
              <wp:anchor distT="0" distB="0" distL="114300" distR="114300" simplePos="0" relativeHeight="251738112" behindDoc="0" locked="0" layoutInCell="1" allowOverlap="1" wp14:anchorId="23A9EBAE" wp14:editId="48C329F5">
                <wp:simplePos x="0" y="0"/>
                <wp:positionH relativeFrom="column">
                  <wp:posOffset>6560820</wp:posOffset>
                </wp:positionH>
                <wp:positionV relativeFrom="paragraph">
                  <wp:posOffset>90170</wp:posOffset>
                </wp:positionV>
                <wp:extent cx="1233170" cy="516890"/>
                <wp:effectExtent l="1409700" t="0" r="24130" b="35560"/>
                <wp:wrapNone/>
                <wp:docPr id="57" name="Čiarová bublina 1 (bez orámovania) 4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233170" cy="516890"/>
                        </a:xfrm>
                        <a:prstGeom prst="callout1">
                          <a:avLst>
                            <a:gd name="adj1" fmla="val 35440"/>
                            <a:gd name="adj2" fmla="val -639"/>
                            <a:gd name="adj3" fmla="val 101519"/>
                            <a:gd name="adj4" fmla="val -113519"/>
                          </a:avLst>
                        </a:prstGeom>
                        <a:solidFill>
                          <a:srgbClr val="4F81BD"/>
                        </a:solidFill>
                        <a:ln w="25400">
                          <a:solidFill>
                            <a:srgbClr val="243F60"/>
                          </a:solidFill>
                          <a:miter lim="800000"/>
                          <a:headEnd/>
                          <a:tailEnd/>
                        </a:ln>
                      </wps:spPr>
                      <wps:txbx>
                        <w:txbxContent>
                          <w:p w:rsidR="000A3653" w:rsidRPr="00E00BCC" w:rsidRDefault="000A3653" w:rsidP="002245DE">
                            <w:pPr>
                              <w:jc w:val="center"/>
                              <w:rPr>
                                <w:rFonts w:ascii="Verdana" w:hAnsi="Verdana"/>
                                <w:color w:val="FFFFFF"/>
                              </w:rPr>
                            </w:pPr>
                            <w:r w:rsidRPr="00E00BCC">
                              <w:rPr>
                                <w:rFonts w:ascii="Verdana" w:hAnsi="Verdana"/>
                                <w:color w:val="FFFFFF"/>
                              </w:rPr>
                              <w:t>CKO</w:t>
                            </w:r>
                          </w:p>
                        </w:txbxContent>
                      </wps:txbx>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type id="_x0000_t41" coordsize="21600,21600" o:spt="41" adj="-8280,24300,-1800,4050" path="m@0@1l@2@3nfem,l21600,r,21600l,21600nsxe">
                <v:stroke joinstyle="miter"/>
                <v:formulas>
                  <v:f eqn="val #0"/>
                  <v:f eqn="val #1"/>
                  <v:f eqn="val #2"/>
                  <v:f eqn="val #3"/>
                </v:formulas>
                <v:path arrowok="t" o:extrusionok="f" gradientshapeok="t" o:connecttype="custom" o:connectlocs="@0,@1;10800,0;10800,21600;0,10800;21600,10800"/>
                <v:handles>
                  <v:h position="#0,#1"/>
                  <v:h position="#2,#3"/>
                </v:handles>
                <o:callout v:ext="edit" type="oneSegment" on="t" textborder="f"/>
              </v:shapetype>
              <v:shape id="Čiarová bublina 1 (bez orámovania) 44" o:spid="_x0000_s1030" type="#_x0000_t41" style="position:absolute;left:0;text-align:left;margin-left:516.6pt;margin-top:7.1pt;width:97.1pt;height:40.7pt;z-index:251738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" adj="-24520,21928,-138,7655" fillcolor="#4f81bd" strokecolor="#243f60" strokeweight="2pt">
                <v:textbox>
                  <w:txbxContent>
                    <w:p w:rsidR="000A3653" w:rsidRPr="00E00BCC" w:rsidRDefault="000A3653" w:rsidP="002245DE">
                      <w:pPr>
                        <w:jc w:val="center"/>
                        <w:rPr>
                          <w:rFonts w:ascii="Verdana" w:hAnsi="Verdana"/>
                          <w:color w:val="FFFFFF"/>
                        </w:rPr>
                      </w:pPr>
                      <w:r w:rsidRPr="00E00BCC">
                        <w:rPr>
                          <w:rFonts w:ascii="Verdana" w:hAnsi="Verdana"/>
                          <w:color w:val="FFFFFF"/>
                        </w:rPr>
                        <w:t>CKO</w:t>
                      </w:r>
                    </w:p>
                  </w:txbxContent>
                </v:textbox>
                <o:callout v:ext="edit" minusy="t"/>
              </v:shape>
            </w:pict>
          </mc:Fallback>
        </mc:AlternateContent>
      </w:r>
      <w:r>
        <w:rPr>
          <w:rFonts w:ascii="Calibri" w:hAnsi="Calibri"/>
          <w:noProof/>
          <w:szCs w:val="22"/>
        </w:rPr>
        <mc:AlternateContent>
          <mc:Choice Requires="wps">
            <w:drawing>
              <wp:anchor distT="0" distB="0" distL="114300" distR="114300" simplePos="0" relativeHeight="251748352" behindDoc="0" locked="0" layoutInCell="1" allowOverlap="1" wp14:anchorId="022D7B3E" wp14:editId="25DDA7D5">
                <wp:simplePos x="0" y="0"/>
                <wp:positionH relativeFrom="column">
                  <wp:posOffset>1351280</wp:posOffset>
                </wp:positionH>
                <wp:positionV relativeFrom="paragraph">
                  <wp:posOffset>144780</wp:posOffset>
                </wp:positionV>
                <wp:extent cx="2889885" cy="379095"/>
                <wp:effectExtent l="38100" t="76200" r="24765" b="20955"/>
                <wp:wrapNone/>
                <wp:docPr id="56" name="Rovná spojovacia šípka 5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flipV="1">
                          <a:off x="0" y="0"/>
                          <a:ext cx="2889885" cy="379095"/>
                        </a:xfrm>
                        <a:prstGeom prst="straightConnector1">
                          <a:avLst/>
                        </a:prstGeom>
                        <a:noFill/>
                        <a:ln w="9525" cap="flat" cmpd="sng" algn="ctr">
                          <a:solidFill>
                            <a:srgbClr val="FF0000"/>
                          </a:solidFill>
                          <a:prstDash val="solid"/>
                          <a:tailEnd type="arrow"/>
                        </a:ln>
                        <a:effectLst/>
                      </wps:spPr>
                      <wps:bodyPr/>
                    </wps:wsp>
                  </a:graphicData>
                </a:graphic>
                <wp14:sizeRelH relativeFrom="page">
                  <wp14:pctWidth>0</wp14:pctWidth>
                </wp14:sizeRelH>
                <wp14:sizeRelV relativeFrom="page">
                  <wp14:pctHeight>0</wp14:pctHeight>
                </wp14:sizeRelV>
              </wp:anchor>
            </w:drawing>
          </mc:Choice>
          <mc:Fallback>
            <w:pict>
              <v:shape id="Rovná spojovacia šípka 52" o:spid="_x0000_s1026" type="#_x0000_t32" style="position:absolute;margin-left:106.4pt;margin-top:11.4pt;width:227.55pt;height:29.85pt;flip:x y;z-index:251748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" strokecolor="red">
                <v:stroke endarrow="open"/>
                <o:lock v:ext="edit" shapetype="f"/>
              </v:shape>
            </w:pict>
          </mc:Fallback>
        </mc:AlternateContent>
      </w:r>
    </w:p>
    <w:p w:rsidR="002245DE" w:rsidRPr="008676F9" w:rsidRDefault="001B3100" w:rsidP="002245DE">
      <w:pPr>
        <w:spacing w:line="276" w:lineRule="auto"/>
        <w:rPr>
          <w:rFonts w:ascii="Calibri" w:hAnsi="Calibri"/>
          <w:szCs w:val="22"/>
        </w:rPr>
      </w:pPr>
      <w:r>
        <w:rPr>
          <w:rFonts w:ascii="Calibri" w:hAnsi="Calibri"/>
          <w:noProof/>
          <w:szCs w:val="22"/>
        </w:rPr>
        <mc:AlternateContent>
          <mc:Choice Requires="wps">
            <w:drawing>
              <wp:anchor distT="0" distB="0" distL="114300" distR="114300" simplePos="0" relativeHeight="251757568" behindDoc="0" locked="0" layoutInCell="1" allowOverlap="1" wp14:anchorId="437C5399" wp14:editId="139FEE6D">
                <wp:simplePos x="0" y="0"/>
                <wp:positionH relativeFrom="column">
                  <wp:posOffset>5189855</wp:posOffset>
                </wp:positionH>
                <wp:positionV relativeFrom="paragraph">
                  <wp:posOffset>177800</wp:posOffset>
                </wp:positionV>
                <wp:extent cx="1388745" cy="342265"/>
                <wp:effectExtent l="0" t="57150" r="0" b="19685"/>
                <wp:wrapNone/>
                <wp:docPr id="53" name="Rovná spojovacia šípka 6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388745" cy="342265"/>
                        </a:xfrm>
                        <a:prstGeom prst="straightConnector1">
                          <a:avLst/>
                        </a:prstGeom>
                        <a:noFill/>
                        <a:ln w="9525">
                          <a:solidFill>
                            <a:srgbClr val="4F81BD"/>
                          </a:solidFill>
                          <a:prstDash val="dash"/>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Rovná spojovacia šípka 63" o:spid="_x0000_s1026" type="#_x0000_t32" style="position:absolute;margin-left:408.65pt;margin-top:14pt;width:109.35pt;height:26.95pt;flip:y;z-index:251757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" strokecolor="#4f81bd">
                <v:stroke dashstyle="dash" endarrow="block"/>
              </v:shape>
            </w:pict>
          </mc:Fallback>
        </mc:AlternateContent>
      </w:r>
      <w:r>
        <w:rPr>
          <w:rFonts w:ascii="Calibri" w:hAnsi="Calibri"/>
          <w:noProof/>
          <w:szCs w:val="22"/>
        </w:rPr>
        <mc:AlternateContent>
          <mc:Choice Requires="wps">
            <w:drawing>
              <wp:anchor distT="0" distB="0" distL="114300" distR="114300" simplePos="0" relativeHeight="251746304" behindDoc="0" locked="0" layoutInCell="1" allowOverlap="1" wp14:anchorId="798A76E7" wp14:editId="50007BAC">
                <wp:simplePos x="0" y="0"/>
                <wp:positionH relativeFrom="column">
                  <wp:posOffset>402590</wp:posOffset>
                </wp:positionH>
                <wp:positionV relativeFrom="paragraph">
                  <wp:posOffset>338455</wp:posOffset>
                </wp:positionV>
                <wp:extent cx="1155700" cy="1802765"/>
                <wp:effectExtent l="38100" t="38100" r="63500" b="64135"/>
                <wp:wrapNone/>
                <wp:docPr id="52" name="Rovná spojovacia šípka 5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155700" cy="1802765"/>
                        </a:xfrm>
                        <a:prstGeom prst="straightConnector1">
                          <a:avLst/>
                        </a:prstGeom>
                        <a:noFill/>
                        <a:ln w="9525">
                          <a:solidFill>
                            <a:srgbClr val="4F81BD"/>
                          </a:solidFill>
                          <a:prstDash val="dash"/>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Rovná spojovacia šípka 50" o:spid="_x0000_s1026" type="#_x0000_t32" style="position:absolute;margin-left:31.7pt;margin-top:26.65pt;width:91pt;height:141.95pt;z-index:251746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" strokecolor="#4f81bd">
                <v:stroke dashstyle="dash" startarrow="block" endarrow="block"/>
              </v:shape>
            </w:pict>
          </mc:Fallback>
        </mc:AlternateContent>
      </w:r>
      <w:r>
        <w:rPr>
          <w:rFonts w:ascii="Calibri" w:hAnsi="Calibri"/>
          <w:noProof/>
          <w:szCs w:val="22"/>
        </w:rPr>
        <mc:AlternateContent>
          <mc:Choice Requires="wps">
            <w:drawing>
              <wp:anchor distT="0" distB="0" distL="114300" distR="114300" simplePos="0" relativeHeight="251721728" behindDoc="0" locked="0" layoutInCell="1" allowOverlap="1" wp14:anchorId="3D9543C9" wp14:editId="225648BE">
                <wp:simplePos x="0" y="0"/>
                <wp:positionH relativeFrom="column">
                  <wp:posOffset>1558290</wp:posOffset>
                </wp:positionH>
                <wp:positionV relativeFrom="paragraph">
                  <wp:posOffset>1882775</wp:posOffset>
                </wp:positionV>
                <wp:extent cx="2199005" cy="414020"/>
                <wp:effectExtent l="0" t="0" r="10795" b="24130"/>
                <wp:wrapNone/>
                <wp:docPr id="51" name="Obdĺžnik 2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99005" cy="414020"/>
                        </a:xfrm>
                        <a:prstGeom prst="rect">
                          <a:avLst/>
                        </a:prstGeom>
                        <a:solidFill>
                          <a:srgbClr val="4F81BD"/>
                        </a:solidFill>
                        <a:ln w="25400">
                          <a:solidFill>
                            <a:srgbClr val="1F497D"/>
                          </a:solidFill>
                          <a:miter lim="800000"/>
                          <a:headEnd/>
                          <a:tailEnd/>
                        </a:ln>
                      </wps:spPr>
                      <wps:txbx>
                        <w:txbxContent>
                          <w:p w:rsidR="000A3653" w:rsidRPr="00B30F00" w:rsidRDefault="000A3653" w:rsidP="002245DE">
                            <w:pPr>
                              <w:jc w:val="center"/>
                              <w:rPr>
                                <w:rFonts w:ascii="Verdana" w:hAnsi="Verdana"/>
                                <w:color w:val="FFFFFF" w:themeColor="background1"/>
                              </w:rPr>
                            </w:pPr>
                            <w:r w:rsidRPr="00B30F00">
                              <w:rPr>
                                <w:rFonts w:ascii="Verdana" w:hAnsi="Verdana"/>
                                <w:color w:val="FFFFFF" w:themeColor="background1"/>
                              </w:rPr>
                              <w:t>Hodnotiteľ</w:t>
                            </w:r>
                          </w:p>
                        </w:txbxContent>
                      </wps:txbx>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rect id="Obdĺžnik 27" o:spid="_x0000_s1031" style="position:absolute;left:0;text-align:left;margin-left:122.7pt;margin-top:148.25pt;width:173.15pt;height:32.6pt;z-index:251721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" fillcolor="#4f81bd" strokecolor="#1f497d" strokeweight="2pt">
                <v:textbox>
                  <w:txbxContent>
                    <w:p w:rsidR="000A3653" w:rsidRPr="00B30F00" w:rsidRDefault="000A3653" w:rsidP="002245DE">
                      <w:pPr>
                        <w:jc w:val="center"/>
                        <w:rPr>
                          <w:rFonts w:ascii="Verdana" w:hAnsi="Verdana"/>
                          <w:color w:val="FFFFFF" w:themeColor="background1"/>
                        </w:rPr>
                      </w:pPr>
                      <w:r w:rsidRPr="00B30F00">
                        <w:rPr>
                          <w:rFonts w:ascii="Verdana" w:hAnsi="Verdana"/>
                          <w:color w:val="FFFFFF" w:themeColor="background1"/>
                        </w:rPr>
                        <w:t>Hodnotiteľ</w:t>
                      </w:r>
                    </w:p>
                  </w:txbxContent>
                </v:textbox>
              </v:rect>
            </w:pict>
          </mc:Fallback>
        </mc:AlternateContent>
      </w:r>
      <w:r>
        <w:rPr>
          <w:rFonts w:ascii="Calibri" w:hAnsi="Calibri"/>
          <w:noProof/>
          <w:szCs w:val="22"/>
        </w:rPr>
        <mc:AlternateContent>
          <mc:Choice Requires="wps">
            <w:drawing>
              <wp:anchor distT="4294967295" distB="4294967295" distL="114300" distR="114300" simplePos="0" relativeHeight="251747328" behindDoc="0" locked="0" layoutInCell="1" allowOverlap="1" wp14:anchorId="633168E1" wp14:editId="799160FE">
                <wp:simplePos x="0" y="0"/>
                <wp:positionH relativeFrom="column">
                  <wp:posOffset>57150</wp:posOffset>
                </wp:positionH>
                <wp:positionV relativeFrom="paragraph">
                  <wp:posOffset>3021329</wp:posOffset>
                </wp:positionV>
                <wp:extent cx="4217670" cy="0"/>
                <wp:effectExtent l="0" t="76200" r="30480" b="95250"/>
                <wp:wrapNone/>
                <wp:docPr id="50" name="Rovná spojovacia šípka 5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217670" cy="0"/>
                        </a:xfrm>
                        <a:prstGeom prst="straightConnector1">
                          <a:avLst/>
                        </a:prstGeom>
                        <a:noFill/>
                        <a:ln w="9525">
                          <a:solidFill>
                            <a:srgbClr val="4F81BD"/>
                          </a:solidFill>
                          <a:prstDash val="dash"/>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Rovná spojovacia šípka 51" o:spid="_x0000_s1026" type="#_x0000_t32" style="position:absolute;margin-left:4.5pt;margin-top:237.9pt;width:332.1pt;height:0;z-index:251747328;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" strokecolor="#4f81bd">
                <v:stroke dashstyle="dash" endarrow="block"/>
              </v:shape>
            </w:pict>
          </mc:Fallback>
        </mc:AlternateContent>
      </w:r>
      <w:r>
        <w:rPr>
          <w:rFonts w:ascii="Calibri" w:hAnsi="Calibri"/>
          <w:noProof/>
          <w:szCs w:val="22"/>
        </w:rPr>
        <mc:AlternateContent>
          <mc:Choice Requires="wps">
            <w:drawing>
              <wp:anchor distT="0" distB="0" distL="114299" distR="114299" simplePos="0" relativeHeight="251744256" behindDoc="0" locked="0" layoutInCell="1" allowOverlap="1" wp14:anchorId="5942E7A2" wp14:editId="76BD1953">
                <wp:simplePos x="0" y="0"/>
                <wp:positionH relativeFrom="column">
                  <wp:posOffset>57784</wp:posOffset>
                </wp:positionH>
                <wp:positionV relativeFrom="paragraph">
                  <wp:posOffset>337820</wp:posOffset>
                </wp:positionV>
                <wp:extent cx="0" cy="2682240"/>
                <wp:effectExtent l="76200" t="38100" r="57150" b="22860"/>
                <wp:wrapNone/>
                <wp:docPr id="49" name="Rovná spojovacia šípka 4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682240"/>
                        </a:xfrm>
                        <a:prstGeom prst="straightConnector1">
                          <a:avLst/>
                        </a:prstGeom>
                        <a:noFill/>
                        <a:ln w="9525">
                          <a:solidFill>
                            <a:srgbClr val="4F81BD"/>
                          </a:solidFill>
                          <a:prstDash val="dash"/>
                          <a:round/>
                          <a:headEnd type="triangle" w="med" len="me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Rovná spojovacia šípka 48" o:spid="_x0000_s1026" type="#_x0000_t32" style="position:absolute;margin-left:4.55pt;margin-top:26.6pt;width:0;height:211.2pt;z-index:251744256;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" strokecolor="#4f81bd">
                <v:stroke dashstyle="dash" startarrow="block"/>
              </v:shape>
            </w:pict>
          </mc:Fallback>
        </mc:AlternateContent>
      </w:r>
      <w:r>
        <w:rPr>
          <w:rFonts w:ascii="Calibri" w:hAnsi="Calibri"/>
          <w:noProof/>
          <w:szCs w:val="22"/>
        </w:rPr>
        <mc:AlternateContent>
          <mc:Choice Requires="wps">
            <w:drawing>
              <wp:anchor distT="0" distB="0" distL="114300" distR="114300" simplePos="0" relativeHeight="251753472" behindDoc="0" locked="0" layoutInCell="1" allowOverlap="1" wp14:anchorId="4F817F6F" wp14:editId="3602AFF3">
                <wp:simplePos x="0" y="0"/>
                <wp:positionH relativeFrom="column">
                  <wp:posOffset>2809875</wp:posOffset>
                </wp:positionH>
                <wp:positionV relativeFrom="paragraph">
                  <wp:posOffset>2296795</wp:posOffset>
                </wp:positionV>
                <wp:extent cx="931545" cy="1638935"/>
                <wp:effectExtent l="38100" t="38100" r="20955" b="18415"/>
                <wp:wrapNone/>
                <wp:docPr id="48" name="Rovná spojovacia šípka 5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931545" cy="1638935"/>
                        </a:xfrm>
                        <a:prstGeom prst="straightConnector1">
                          <a:avLst/>
                        </a:prstGeom>
                        <a:noFill/>
                        <a:ln w="9525">
                          <a:solidFill>
                            <a:srgbClr val="4F81BD"/>
                          </a:solidFill>
                          <a:prstDash val="dash"/>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Rovná spojovacia šípka 58" o:spid="_x0000_s1026" type="#_x0000_t32" style="position:absolute;margin-left:221.25pt;margin-top:180.85pt;width:73.35pt;height:129.05pt;flip:x y;z-index:251753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" strokecolor="#4f81bd">
                <v:stroke dashstyle="dash" endarrow="block"/>
              </v:shape>
            </w:pict>
          </mc:Fallback>
        </mc:AlternateContent>
      </w:r>
      <w:r>
        <w:rPr>
          <w:rFonts w:ascii="Calibri" w:hAnsi="Calibri"/>
          <w:noProof/>
          <w:szCs w:val="22"/>
        </w:rPr>
        <mc:AlternateContent>
          <mc:Choice Requires="wps">
            <w:drawing>
              <wp:anchor distT="0" distB="0" distL="114300" distR="114300" simplePos="0" relativeHeight="251754496" behindDoc="0" locked="0" layoutInCell="1" allowOverlap="1" wp14:anchorId="2024C2F7" wp14:editId="3D582E5C">
                <wp:simplePos x="0" y="0"/>
                <wp:positionH relativeFrom="column">
                  <wp:posOffset>3758565</wp:posOffset>
                </wp:positionH>
                <wp:positionV relativeFrom="paragraph">
                  <wp:posOffset>839470</wp:posOffset>
                </wp:positionV>
                <wp:extent cx="517525" cy="215900"/>
                <wp:effectExtent l="0" t="38100" r="53975" b="31750"/>
                <wp:wrapNone/>
                <wp:docPr id="47" name="Rovná spojovacia šípka 5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517525" cy="215900"/>
                        </a:xfrm>
                        <a:prstGeom prst="straightConnector1">
                          <a:avLst/>
                        </a:prstGeom>
                        <a:noFill/>
                        <a:ln w="9525">
                          <a:solidFill>
                            <a:srgbClr val="4F81BD"/>
                          </a:solidFill>
                          <a:prstDash val="dash"/>
                          <a:round/>
                          <a:headEnd type="triangle" w="med" len="me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Rovná spojovacia šípka 59" o:spid="_x0000_s1026" type="#_x0000_t32" style="position:absolute;margin-left:295.95pt;margin-top:66.1pt;width:40.75pt;height:17pt;flip:x;z-index:251754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" strokecolor="#4f81bd">
                <v:stroke dashstyle="dash" startarrow="block"/>
              </v:shape>
            </w:pict>
          </mc:Fallback>
        </mc:AlternateContent>
      </w:r>
      <w:r>
        <w:rPr>
          <w:rFonts w:ascii="Calibri" w:hAnsi="Calibri"/>
          <w:noProof/>
          <w:szCs w:val="22"/>
        </w:rPr>
        <mc:AlternateContent>
          <mc:Choice Requires="wps">
            <w:drawing>
              <wp:anchor distT="0" distB="0" distL="114300" distR="114300" simplePos="0" relativeHeight="251745280" behindDoc="0" locked="0" layoutInCell="1" allowOverlap="1" wp14:anchorId="7AF754D6" wp14:editId="7D7E98A3">
                <wp:simplePos x="0" y="0"/>
                <wp:positionH relativeFrom="column">
                  <wp:posOffset>963295</wp:posOffset>
                </wp:positionH>
                <wp:positionV relativeFrom="paragraph">
                  <wp:posOffset>338455</wp:posOffset>
                </wp:positionV>
                <wp:extent cx="568960" cy="724535"/>
                <wp:effectExtent l="38100" t="38100" r="59690" b="56515"/>
                <wp:wrapNone/>
                <wp:docPr id="46" name="Rovná spojovacia šípka 4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68960" cy="724535"/>
                        </a:xfrm>
                        <a:prstGeom prst="straightConnector1">
                          <a:avLst/>
                        </a:prstGeom>
                        <a:noFill/>
                        <a:ln w="9525">
                          <a:solidFill>
                            <a:srgbClr val="4F81BD"/>
                          </a:solidFill>
                          <a:prstDash val="dash"/>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Rovná spojovacia šípka 49" o:spid="_x0000_s1026" type="#_x0000_t32" style="position:absolute;margin-left:75.85pt;margin-top:26.65pt;width:44.8pt;height:57.05pt;z-index:251745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" strokecolor="#4f81bd">
                <v:stroke dashstyle="dash" startarrow="block" endarrow="block"/>
              </v:shape>
            </w:pict>
          </mc:Fallback>
        </mc:AlternateContent>
      </w:r>
      <w:r>
        <w:rPr>
          <w:rFonts w:ascii="Calibri" w:hAnsi="Calibri"/>
          <w:noProof/>
          <w:szCs w:val="22"/>
        </w:rPr>
        <mc:AlternateContent>
          <mc:Choice Requires="wps">
            <w:drawing>
              <wp:anchor distT="0" distB="0" distL="114300" distR="114300" simplePos="0" relativeHeight="251740160" behindDoc="0" locked="0" layoutInCell="1" allowOverlap="1" wp14:anchorId="7CB2B200" wp14:editId="6E63B5E3">
                <wp:simplePos x="0" y="0"/>
                <wp:positionH relativeFrom="column">
                  <wp:posOffset>1351915</wp:posOffset>
                </wp:positionH>
                <wp:positionV relativeFrom="paragraph">
                  <wp:posOffset>165735</wp:posOffset>
                </wp:positionV>
                <wp:extent cx="2915920" cy="353695"/>
                <wp:effectExtent l="0" t="0" r="36830" b="84455"/>
                <wp:wrapNone/>
                <wp:docPr id="45" name="Rovná spojovacia šípka 2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915920" cy="353695"/>
                        </a:xfrm>
                        <a:prstGeom prst="straightConnector1">
                          <a:avLst/>
                        </a:prstGeom>
                        <a:noFill/>
                        <a:ln w="9525">
                          <a:solidFill>
                            <a:srgbClr val="4F81BD"/>
                          </a:solidFill>
                          <a:prstDash val="dash"/>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Rovná spojovacia šípka 28" o:spid="_x0000_s1026" type="#_x0000_t32" style="position:absolute;margin-left:106.45pt;margin-top:13.05pt;width:229.6pt;height:27.85pt;z-index:251740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" strokecolor="#4f81bd">
                <v:stroke dashstyle="dash" endarrow="block"/>
              </v:shape>
            </w:pict>
          </mc:Fallback>
        </mc:AlternateContent>
      </w:r>
      <w:r>
        <w:rPr>
          <w:rFonts w:ascii="Calibri" w:hAnsi="Calibri"/>
          <w:noProof/>
          <w:szCs w:val="22"/>
        </w:rPr>
        <mc:AlternateContent>
          <mc:Choice Requires="wps">
            <w:drawing>
              <wp:anchor distT="0" distB="0" distL="114299" distR="114299" simplePos="0" relativeHeight="251742208" behindDoc="0" locked="0" layoutInCell="1" allowOverlap="1" wp14:anchorId="0245CA77" wp14:editId="4A74FA97">
                <wp:simplePos x="0" y="0"/>
                <wp:positionH relativeFrom="column">
                  <wp:posOffset>4836159</wp:posOffset>
                </wp:positionH>
                <wp:positionV relativeFrom="paragraph">
                  <wp:posOffset>3409315</wp:posOffset>
                </wp:positionV>
                <wp:extent cx="0" cy="448310"/>
                <wp:effectExtent l="76200" t="38100" r="57150" b="27940"/>
                <wp:wrapNone/>
                <wp:docPr id="44" name="Rovná spojovacia šípka 4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448310"/>
                        </a:xfrm>
                        <a:prstGeom prst="straightConnector1">
                          <a:avLst/>
                        </a:prstGeom>
                        <a:noFill/>
                        <a:ln w="9525">
                          <a:solidFill>
                            <a:srgbClr val="4F81BD"/>
                          </a:solidFill>
                          <a:prstDash val="dash"/>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Rovná spojovacia šípka 45" o:spid="_x0000_s1026" type="#_x0000_t32" style="position:absolute;margin-left:380.8pt;margin-top:268.45pt;width:0;height:35.3pt;flip:y;z-index:251742208;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" strokecolor="#4f81bd">
                <v:stroke dashstyle="dash" endarrow="block"/>
              </v:shape>
            </w:pict>
          </mc:Fallback>
        </mc:AlternateContent>
      </w:r>
      <w:r>
        <w:rPr>
          <w:rFonts w:ascii="Calibri" w:hAnsi="Calibri"/>
          <w:noProof/>
          <w:szCs w:val="22"/>
        </w:rPr>
        <mc:AlternateContent>
          <mc:Choice Requires="wps">
            <w:drawing>
              <wp:anchor distT="0" distB="0" distL="114298" distR="114298" simplePos="0" relativeHeight="251724800" behindDoc="0" locked="0" layoutInCell="1" allowOverlap="1" wp14:anchorId="04BE5804" wp14:editId="15433DD0">
                <wp:simplePos x="0" y="0"/>
                <wp:positionH relativeFrom="column">
                  <wp:posOffset>4568824</wp:posOffset>
                </wp:positionH>
                <wp:positionV relativeFrom="paragraph">
                  <wp:posOffset>994410</wp:posOffset>
                </wp:positionV>
                <wp:extent cx="0" cy="1491615"/>
                <wp:effectExtent l="95250" t="0" r="57150" b="51435"/>
                <wp:wrapNone/>
                <wp:docPr id="43" name="Rovná spojovacia šípka 2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1491615"/>
                        </a:xfrm>
                        <a:prstGeom prst="straightConnector1">
                          <a:avLst/>
                        </a:prstGeom>
                        <a:ln>
                          <a:solidFill>
                            <a:srgbClr val="FF0000"/>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shape id="Rovná spojovacia šípka 29" o:spid="_x0000_s1026" type="#_x0000_t32" style="position:absolute;margin-left:359.75pt;margin-top:78.3pt;width:0;height:117.45pt;z-index:251724800;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" strokecolor="red">
                <v:stroke endarrow="open"/>
                <o:lock v:ext="edit" shapetype="f"/>
              </v:shape>
            </w:pict>
          </mc:Fallback>
        </mc:AlternateContent>
      </w:r>
      <w:r>
        <w:rPr>
          <w:rFonts w:ascii="Calibri" w:hAnsi="Calibri"/>
          <w:noProof/>
          <w:szCs w:val="22"/>
        </w:rPr>
        <mc:AlternateContent>
          <mc:Choice Requires="wps">
            <w:drawing>
              <wp:anchor distT="0" distB="0" distL="114299" distR="114299" simplePos="0" relativeHeight="251725824" behindDoc="0" locked="0" layoutInCell="1" allowOverlap="1" wp14:anchorId="4FA71C6B" wp14:editId="58FA1620">
                <wp:simplePos x="0" y="0"/>
                <wp:positionH relativeFrom="column">
                  <wp:posOffset>4766944</wp:posOffset>
                </wp:positionH>
                <wp:positionV relativeFrom="paragraph">
                  <wp:posOffset>993140</wp:posOffset>
                </wp:positionV>
                <wp:extent cx="0" cy="1500505"/>
                <wp:effectExtent l="76200" t="38100" r="57150" b="23495"/>
                <wp:wrapNone/>
                <wp:docPr id="42" name="Rovná spojovacia šípka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1500505"/>
                        </a:xfrm>
                        <a:prstGeom prst="straightConnector1">
                          <a:avLst/>
                        </a:prstGeom>
                        <a:noFill/>
                        <a:ln w="9525">
                          <a:solidFill>
                            <a:srgbClr val="4F81BD"/>
                          </a:solidFill>
                          <a:prstDash val="dash"/>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Rovná spojovacia šípka 30" o:spid="_x0000_s1026" type="#_x0000_t32" style="position:absolute;margin-left:375.35pt;margin-top:78.2pt;width:0;height:118.15pt;flip:y;z-index:251725824;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" strokecolor="#4f81bd">
                <v:stroke dashstyle="dash" endarrow="block"/>
              </v:shape>
            </w:pict>
          </mc:Fallback>
        </mc:AlternateContent>
      </w:r>
      <w:r>
        <w:rPr>
          <w:rFonts w:ascii="Calibri" w:hAnsi="Calibri"/>
          <w:noProof/>
          <w:szCs w:val="22"/>
        </w:rPr>
        <mc:AlternateContent>
          <mc:Choice Requires="wps">
            <w:drawing>
              <wp:anchor distT="0" distB="0" distL="114300" distR="114300" simplePos="0" relativeHeight="251749376" behindDoc="0" locked="0" layoutInCell="1" allowOverlap="1" wp14:anchorId="0D2FC0FD" wp14:editId="7C0B6AF2">
                <wp:simplePos x="0" y="0"/>
                <wp:positionH relativeFrom="column">
                  <wp:posOffset>3741420</wp:posOffset>
                </wp:positionH>
                <wp:positionV relativeFrom="paragraph">
                  <wp:posOffset>994410</wp:posOffset>
                </wp:positionV>
                <wp:extent cx="534670" cy="974725"/>
                <wp:effectExtent l="38100" t="0" r="36830" b="53975"/>
                <wp:wrapNone/>
                <wp:docPr id="54" name="Rovná spojovacia šípka 5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534670" cy="974725"/>
                        </a:xfrm>
                        <a:prstGeom prst="straightConnector1">
                          <a:avLst/>
                        </a:prstGeom>
                        <a:noFill/>
                        <a:ln w="9525" cap="flat" cmpd="sng" algn="ctr">
                          <a:solidFill>
                            <a:srgbClr val="FF0000"/>
                          </a:solidFill>
                          <a:prstDash val="solid"/>
                          <a:tailEnd type="arrow"/>
                        </a:ln>
                        <a:effectLst/>
                      </wps:spPr>
                      <wps:bodyPr/>
                    </wps:wsp>
                  </a:graphicData>
                </a:graphic>
                <wp14:sizeRelH relativeFrom="page">
                  <wp14:pctWidth>0</wp14:pctWidth>
                </wp14:sizeRelH>
                <wp14:sizeRelV relativeFrom="page">
                  <wp14:pctHeight>0</wp14:pctHeight>
                </wp14:sizeRelV>
              </wp:anchor>
            </w:drawing>
          </mc:Choice>
          <mc:Fallback>
            <w:pict>
              <v:shape id="Rovná spojovacia šípka 54" o:spid="_x0000_s1026" type="#_x0000_t32" style="position:absolute;margin-left:294.6pt;margin-top:78.3pt;width:42.1pt;height:76.75pt;flip:x;z-index:251749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" strokecolor="red">
                <v:stroke endarrow="open"/>
                <o:lock v:ext="edit" shapetype="f"/>
              </v:shape>
            </w:pict>
          </mc:Fallback>
        </mc:AlternateContent>
      </w:r>
      <w:r>
        <w:rPr>
          <w:rFonts w:ascii="Calibri" w:hAnsi="Calibri"/>
          <w:noProof/>
          <w:szCs w:val="22"/>
        </w:rPr>
        <mc:AlternateContent>
          <mc:Choice Requires="wps">
            <w:drawing>
              <wp:anchor distT="0" distB="0" distL="114300" distR="114300" simplePos="0" relativeHeight="251726848" behindDoc="0" locked="0" layoutInCell="1" allowOverlap="1" wp14:anchorId="5D12B93A" wp14:editId="3258D4E4">
                <wp:simplePos x="0" y="0"/>
                <wp:positionH relativeFrom="column">
                  <wp:posOffset>1558290</wp:posOffset>
                </wp:positionH>
                <wp:positionV relativeFrom="paragraph">
                  <wp:posOffset>725170</wp:posOffset>
                </wp:positionV>
                <wp:extent cx="2199640" cy="914400"/>
                <wp:effectExtent l="0" t="0" r="10160" b="19050"/>
                <wp:wrapNone/>
                <wp:docPr id="41" name="Obdĺžnik 3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99640" cy="914400"/>
                        </a:xfrm>
                        <a:prstGeom prst="rect">
                          <a:avLst/>
                        </a:prstGeom>
                        <a:solidFill>
                          <a:srgbClr val="FFFFFF"/>
                        </a:solidFill>
                        <a:ln w="25400">
                          <a:solidFill>
                            <a:srgbClr val="F79646"/>
                          </a:solidFill>
                          <a:miter lim="800000"/>
                          <a:headEnd/>
                          <a:tailEnd/>
                        </a:ln>
                      </wps:spPr>
                      <wps:txbx>
                        <w:txbxContent>
                          <w:p w:rsidR="000A3653" w:rsidRPr="00E00BCC" w:rsidRDefault="000A3653" w:rsidP="002245DE">
                            <w:pPr>
                              <w:jc w:val="center"/>
                              <w:rPr>
                                <w:rFonts w:ascii="Verdana" w:hAnsi="Verdana"/>
                                <w:color w:val="365F91"/>
                              </w:rPr>
                            </w:pPr>
                            <w:r w:rsidRPr="00E00BCC">
                              <w:rPr>
                                <w:rFonts w:ascii="Verdana" w:hAnsi="Verdana"/>
                                <w:color w:val="365F91"/>
                              </w:rPr>
                              <w:t xml:space="preserve">Externé subjekty (zdroje údajov) (VÚPOP, VÚEPP, NLC, </w:t>
                            </w:r>
                            <w:r>
                              <w:rPr>
                                <w:rFonts w:ascii="Verdana" w:hAnsi="Verdana"/>
                                <w:color w:val="365F91"/>
                              </w:rPr>
                              <w:t>Ú</w:t>
                            </w:r>
                            <w:r w:rsidRPr="00E00BCC">
                              <w:rPr>
                                <w:rFonts w:ascii="Verdana" w:hAnsi="Verdana"/>
                                <w:color w:val="365F91"/>
                              </w:rPr>
                              <w:t>KS</w:t>
                            </w:r>
                            <w:r>
                              <w:rPr>
                                <w:rFonts w:ascii="Verdana" w:hAnsi="Verdana"/>
                                <w:color w:val="365F91"/>
                              </w:rPr>
                              <w:t>Ú</w:t>
                            </w:r>
                            <w:r w:rsidRPr="00E00BCC">
                              <w:rPr>
                                <w:rFonts w:ascii="Verdana" w:hAnsi="Verdana"/>
                                <w:color w:val="365F91"/>
                              </w:rPr>
                              <w:t>P, VÚVH, SHMÚ, SOVS, SAŽP, ŠÚ</w:t>
                            </w:r>
                          </w:p>
                        </w:txbxContent>
                      </wps:txbx>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rect id="Obdĺžnik 31" o:spid="_x0000_s1032" style="position:absolute;left:0;text-align:left;margin-left:122.7pt;margin-top:57.1pt;width:173.2pt;height:1in;z-index:251726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" strokecolor="#f79646" strokeweight="2pt">
                <v:textbox>
                  <w:txbxContent>
                    <w:p w:rsidR="000A3653" w:rsidRPr="00E00BCC" w:rsidRDefault="000A3653" w:rsidP="002245DE">
                      <w:pPr>
                        <w:jc w:val="center"/>
                        <w:rPr>
                          <w:rFonts w:ascii="Verdana" w:hAnsi="Verdana"/>
                          <w:color w:val="365F91"/>
                        </w:rPr>
                      </w:pPr>
                      <w:r w:rsidRPr="00E00BCC">
                        <w:rPr>
                          <w:rFonts w:ascii="Verdana" w:hAnsi="Verdana"/>
                          <w:color w:val="365F91"/>
                        </w:rPr>
                        <w:t xml:space="preserve">Externé subjekty (zdroje údajov) (VÚPOP, VÚEPP, NLC, </w:t>
                      </w:r>
                      <w:r>
                        <w:rPr>
                          <w:rFonts w:ascii="Verdana" w:hAnsi="Verdana"/>
                          <w:color w:val="365F91"/>
                        </w:rPr>
                        <w:t>Ú</w:t>
                      </w:r>
                      <w:r w:rsidRPr="00E00BCC">
                        <w:rPr>
                          <w:rFonts w:ascii="Verdana" w:hAnsi="Verdana"/>
                          <w:color w:val="365F91"/>
                        </w:rPr>
                        <w:t>KS</w:t>
                      </w:r>
                      <w:r>
                        <w:rPr>
                          <w:rFonts w:ascii="Verdana" w:hAnsi="Verdana"/>
                          <w:color w:val="365F91"/>
                        </w:rPr>
                        <w:t>Ú</w:t>
                      </w:r>
                      <w:r w:rsidRPr="00E00BCC">
                        <w:rPr>
                          <w:rFonts w:ascii="Verdana" w:hAnsi="Verdana"/>
                          <w:color w:val="365F91"/>
                        </w:rPr>
                        <w:t>P, VÚVH, SHMÚ, SOVS, SAŽP, ŠÚ</w:t>
                      </w:r>
                    </w:p>
                  </w:txbxContent>
                </v:textbox>
              </v:rect>
            </w:pict>
          </mc:Fallback>
        </mc:AlternateContent>
      </w:r>
      <w:r>
        <w:rPr>
          <w:rFonts w:ascii="Calibri" w:hAnsi="Calibri"/>
          <w:noProof/>
          <w:szCs w:val="22"/>
        </w:rPr>
        <mc:AlternateContent>
          <mc:Choice Requires="wps">
            <w:drawing>
              <wp:anchor distT="0" distB="0" distL="114300" distR="114300" simplePos="0" relativeHeight="251732992" behindDoc="0" locked="0" layoutInCell="1" allowOverlap="1" wp14:anchorId="14EBFB1C" wp14:editId="3C0D1134">
                <wp:simplePos x="0" y="0"/>
                <wp:positionH relativeFrom="column">
                  <wp:posOffset>2369185</wp:posOffset>
                </wp:positionH>
                <wp:positionV relativeFrom="paragraph">
                  <wp:posOffset>3858260</wp:posOffset>
                </wp:positionV>
                <wp:extent cx="5805170" cy="1094740"/>
                <wp:effectExtent l="0" t="0" r="24130" b="10160"/>
                <wp:wrapNone/>
                <wp:docPr id="17" name="Ovál 3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805170" cy="1094740"/>
                        </a:xfrm>
                        <a:prstGeom prst="ellipse">
                          <a:avLst/>
                        </a:prstGeom>
                        <a:solidFill>
                          <a:srgbClr val="FFFFFF"/>
                        </a:solidFill>
                        <a:ln w="25400">
                          <a:solidFill>
                            <a:srgbClr val="F79646"/>
                          </a:solidFill>
                          <a:round/>
                          <a:headEnd/>
                          <a:tailEnd/>
                        </a:ln>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oval id="Ovál 35" o:spid="_x0000_s1026" style="position:absolute;margin-left:186.55pt;margin-top:303.8pt;width:457.1pt;height:86.2pt;z-index:251732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" strokecolor="#f79646" strokeweight="2pt"/>
            </w:pict>
          </mc:Fallback>
        </mc:AlternateContent>
      </w:r>
      <w:r>
        <w:rPr>
          <w:rFonts w:ascii="Calibri" w:hAnsi="Calibri"/>
          <w:noProof/>
          <w:szCs w:val="22"/>
        </w:rPr>
        <mc:AlternateContent>
          <mc:Choice Requires="wps">
            <w:drawing>
              <wp:anchor distT="0" distB="0" distL="114300" distR="114300" simplePos="0" relativeHeight="251722752" behindDoc="0" locked="0" layoutInCell="1" allowOverlap="1" wp14:anchorId="5C59BBED" wp14:editId="798B4A3C">
                <wp:simplePos x="0" y="0"/>
                <wp:positionH relativeFrom="column">
                  <wp:posOffset>4272280</wp:posOffset>
                </wp:positionH>
                <wp:positionV relativeFrom="paragraph">
                  <wp:posOffset>2495550</wp:posOffset>
                </wp:positionV>
                <wp:extent cx="914400" cy="914400"/>
                <wp:effectExtent l="0" t="0" r="19050" b="19050"/>
                <wp:wrapNone/>
                <wp:docPr id="16" name="Obdĺžnik 3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14400" cy="914400"/>
                        </a:xfrm>
                        <a:prstGeom prst="rect">
                          <a:avLst/>
                        </a:prstGeom>
                        <a:solidFill>
                          <a:srgbClr val="4F81BD"/>
                        </a:solidFill>
                        <a:ln w="25400">
                          <a:solidFill>
                            <a:srgbClr val="243F60"/>
                          </a:solidFill>
                          <a:miter lim="800000"/>
                          <a:headEnd/>
                          <a:tailEnd/>
                        </a:ln>
                      </wps:spPr>
                      <wps:txbx>
                        <w:txbxContent>
                          <w:p w:rsidR="000A3653" w:rsidRPr="00B30F00" w:rsidRDefault="000A3653" w:rsidP="002245DE">
                            <w:pPr>
                              <w:jc w:val="center"/>
                              <w:rPr>
                                <w:rFonts w:ascii="Verdana" w:hAnsi="Verdana"/>
                                <w:color w:val="FFFFFF" w:themeColor="background1"/>
                              </w:rPr>
                            </w:pPr>
                            <w:r w:rsidRPr="00B30F00">
                              <w:rPr>
                                <w:rFonts w:ascii="Verdana" w:hAnsi="Verdana"/>
                                <w:color w:val="FFFFFF" w:themeColor="background1"/>
                              </w:rPr>
                              <w:t>Platobná agentúra</w:t>
                            </w:r>
                          </w:p>
                        </w:txbxContent>
                      </wps:txbx>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rect id="Obdĺžnik 32" o:spid="_x0000_s1033" style="position:absolute;left:0;text-align:left;margin-left:336.4pt;margin-top:196.5pt;width:1in;height:1in;z-index:251722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" fillcolor="#4f81bd" strokecolor="#243f60" strokeweight="2pt">
                <v:textbox>
                  <w:txbxContent>
                    <w:p w:rsidR="000A3653" w:rsidRPr="00B30F00" w:rsidRDefault="000A3653" w:rsidP="002245DE">
                      <w:pPr>
                        <w:jc w:val="center"/>
                        <w:rPr>
                          <w:rFonts w:ascii="Verdana" w:hAnsi="Verdana"/>
                          <w:color w:val="FFFFFF" w:themeColor="background1"/>
                        </w:rPr>
                      </w:pPr>
                      <w:r w:rsidRPr="00B30F00">
                        <w:rPr>
                          <w:rFonts w:ascii="Verdana" w:hAnsi="Verdana"/>
                          <w:color w:val="FFFFFF" w:themeColor="background1"/>
                        </w:rPr>
                        <w:t>Platobná agentúra</w:t>
                      </w:r>
                    </w:p>
                  </w:txbxContent>
                </v:textbox>
              </v:rect>
            </w:pict>
          </mc:Fallback>
        </mc:AlternateContent>
      </w:r>
      <w:r>
        <w:rPr>
          <w:rFonts w:ascii="Calibri" w:hAnsi="Calibri"/>
          <w:noProof/>
          <w:szCs w:val="22"/>
        </w:rPr>
        <mc:AlternateContent>
          <mc:Choice Requires="wps">
            <w:drawing>
              <wp:anchor distT="0" distB="0" distL="114300" distR="114300" simplePos="0" relativeHeight="251734016" behindDoc="0" locked="0" layoutInCell="1" allowOverlap="1" wp14:anchorId="6FABE983" wp14:editId="312A4166">
                <wp:simplePos x="0" y="0"/>
                <wp:positionH relativeFrom="column">
                  <wp:posOffset>6068060</wp:posOffset>
                </wp:positionH>
                <wp:positionV relativeFrom="paragraph">
                  <wp:posOffset>4088765</wp:posOffset>
                </wp:positionV>
                <wp:extent cx="1362710" cy="611505"/>
                <wp:effectExtent l="0" t="0" r="27940" b="17145"/>
                <wp:wrapNone/>
                <wp:docPr id="15" name="Obdĺžnik 3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62710" cy="611505"/>
                        </a:xfrm>
                        <a:prstGeom prst="rect">
                          <a:avLst/>
                        </a:prstGeom>
                        <a:solidFill>
                          <a:srgbClr val="FFFFFF"/>
                        </a:solidFill>
                        <a:ln w="25400">
                          <a:solidFill>
                            <a:srgbClr val="F79646"/>
                          </a:solidFill>
                          <a:miter lim="800000"/>
                          <a:headEnd/>
                          <a:tailEnd/>
                        </a:ln>
                      </wps:spPr>
                      <wps:txbx>
                        <w:txbxContent>
                          <w:p w:rsidR="000A3653" w:rsidRPr="00E00BCC" w:rsidRDefault="000A3653" w:rsidP="002245DE">
                            <w:pPr>
                              <w:jc w:val="center"/>
                              <w:rPr>
                                <w:rFonts w:ascii="Verdana" w:hAnsi="Verdana"/>
                                <w:color w:val="365F91"/>
                              </w:rPr>
                            </w:pPr>
                            <w:r w:rsidRPr="00E00BCC">
                              <w:rPr>
                                <w:rFonts w:ascii="Verdana" w:hAnsi="Verdana"/>
                                <w:color w:val="365F91"/>
                              </w:rPr>
                              <w:t>NSRV</w:t>
                            </w:r>
                          </w:p>
                        </w:txbxContent>
                      </wps:txbx>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rect id="Obdĺžnik 36" o:spid="_x0000_s1034" style="position:absolute;left:0;text-align:left;margin-left:477.8pt;margin-top:321.95pt;width:107.3pt;height:48.15pt;z-index:251734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" strokecolor="#f79646" strokeweight="2pt">
                <v:textbox>
                  <w:txbxContent>
                    <w:p w:rsidR="000A3653" w:rsidRPr="00E00BCC" w:rsidRDefault="000A3653" w:rsidP="002245DE">
                      <w:pPr>
                        <w:jc w:val="center"/>
                        <w:rPr>
                          <w:rFonts w:ascii="Verdana" w:hAnsi="Verdana"/>
                          <w:color w:val="365F91"/>
                        </w:rPr>
                      </w:pPr>
                      <w:r w:rsidRPr="00E00BCC">
                        <w:rPr>
                          <w:rFonts w:ascii="Verdana" w:hAnsi="Verdana"/>
                          <w:color w:val="365F91"/>
                        </w:rPr>
                        <w:t>NSRV</w:t>
                      </w:r>
                    </w:p>
                  </w:txbxContent>
                </v:textbox>
              </v:rect>
            </w:pict>
          </mc:Fallback>
        </mc:AlternateContent>
      </w:r>
      <w:r>
        <w:rPr>
          <w:rFonts w:ascii="Calibri" w:hAnsi="Calibri"/>
          <w:noProof/>
          <w:szCs w:val="22"/>
        </w:rPr>
        <mc:AlternateContent>
          <mc:Choice Requires="wps">
            <w:drawing>
              <wp:anchor distT="0" distB="0" distL="114300" distR="114300" simplePos="0" relativeHeight="251736064" behindDoc="0" locked="0" layoutInCell="1" allowOverlap="1" wp14:anchorId="3D1BB4CE" wp14:editId="6AF41900">
                <wp:simplePos x="0" y="0"/>
                <wp:positionH relativeFrom="column">
                  <wp:posOffset>3099435</wp:posOffset>
                </wp:positionH>
                <wp:positionV relativeFrom="paragraph">
                  <wp:posOffset>4079240</wp:posOffset>
                </wp:positionV>
                <wp:extent cx="1362710" cy="611505"/>
                <wp:effectExtent l="0" t="0" r="27940" b="17145"/>
                <wp:wrapNone/>
                <wp:docPr id="9" name="Obdĺžnik 3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62710" cy="611505"/>
                        </a:xfrm>
                        <a:prstGeom prst="rect">
                          <a:avLst/>
                        </a:prstGeom>
                        <a:solidFill>
                          <a:srgbClr val="FFFFFF"/>
                        </a:solidFill>
                        <a:ln w="25400">
                          <a:solidFill>
                            <a:srgbClr val="F79646"/>
                          </a:solidFill>
                          <a:miter lim="800000"/>
                          <a:headEnd/>
                          <a:tailEnd/>
                        </a:ln>
                      </wps:spPr>
                      <wps:txbx>
                        <w:txbxContent>
                          <w:p w:rsidR="000A3653" w:rsidRPr="00E00BCC" w:rsidRDefault="000A3653" w:rsidP="002245DE">
                            <w:pPr>
                              <w:jc w:val="center"/>
                              <w:rPr>
                                <w:rFonts w:ascii="Verdana" w:hAnsi="Verdana"/>
                                <w:color w:val="365F91"/>
                              </w:rPr>
                            </w:pPr>
                            <w:r w:rsidRPr="00E00BCC">
                              <w:rPr>
                                <w:rFonts w:ascii="Verdana" w:hAnsi="Verdana"/>
                                <w:color w:val="365F91"/>
                              </w:rPr>
                              <w:t>Príjemcovia</w:t>
                            </w:r>
                          </w:p>
                        </w:txbxContent>
                      </wps:txbx>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rect id="Obdĺžnik 38" o:spid="_x0000_s1035" style="position:absolute;left:0;text-align:left;margin-left:244.05pt;margin-top:321.2pt;width:107.3pt;height:48.15pt;z-index:251736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" strokecolor="#f79646" strokeweight="2pt">
                <v:textbox>
                  <w:txbxContent>
                    <w:p w:rsidR="000A3653" w:rsidRPr="00E00BCC" w:rsidRDefault="000A3653" w:rsidP="002245DE">
                      <w:pPr>
                        <w:jc w:val="center"/>
                        <w:rPr>
                          <w:rFonts w:ascii="Verdana" w:hAnsi="Verdana"/>
                          <w:color w:val="365F91"/>
                        </w:rPr>
                      </w:pPr>
                      <w:r w:rsidRPr="00E00BCC">
                        <w:rPr>
                          <w:rFonts w:ascii="Verdana" w:hAnsi="Verdana"/>
                          <w:color w:val="365F91"/>
                        </w:rPr>
                        <w:t>Príjemcovia</w:t>
                      </w:r>
                    </w:p>
                  </w:txbxContent>
                </v:textbox>
              </v:rect>
            </w:pict>
          </mc:Fallback>
        </mc:AlternateContent>
      </w:r>
      <w:r>
        <w:rPr>
          <w:rFonts w:ascii="Calibri" w:hAnsi="Calibri"/>
          <w:noProof/>
          <w:szCs w:val="22"/>
        </w:rPr>
        <mc:AlternateContent>
          <mc:Choice Requires="wps">
            <w:drawing>
              <wp:anchor distT="0" distB="0" distL="114300" distR="114300" simplePos="0" relativeHeight="251735040" behindDoc="0" locked="0" layoutInCell="1" allowOverlap="1" wp14:anchorId="317010DC" wp14:editId="33438524">
                <wp:simplePos x="0" y="0"/>
                <wp:positionH relativeFrom="column">
                  <wp:posOffset>4569460</wp:posOffset>
                </wp:positionH>
                <wp:positionV relativeFrom="paragraph">
                  <wp:posOffset>4083050</wp:posOffset>
                </wp:positionV>
                <wp:extent cx="1362710" cy="611505"/>
                <wp:effectExtent l="0" t="0" r="27940" b="17145"/>
                <wp:wrapNone/>
                <wp:docPr id="8" name="Obdĺžnik 3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62710" cy="611505"/>
                        </a:xfrm>
                        <a:prstGeom prst="rect">
                          <a:avLst/>
                        </a:prstGeom>
                        <a:solidFill>
                          <a:srgbClr val="FFFFFF"/>
                        </a:solidFill>
                        <a:ln w="25400">
                          <a:solidFill>
                            <a:srgbClr val="F79646"/>
                          </a:solidFill>
                          <a:miter lim="800000"/>
                          <a:headEnd/>
                          <a:tailEnd/>
                        </a:ln>
                      </wps:spPr>
                      <wps:txbx>
                        <w:txbxContent>
                          <w:p w:rsidR="000A3653" w:rsidRPr="00E00BCC" w:rsidRDefault="000A3653" w:rsidP="002245DE">
                            <w:pPr>
                              <w:jc w:val="center"/>
                              <w:rPr>
                                <w:rFonts w:ascii="Verdana" w:hAnsi="Verdana"/>
                                <w:color w:val="365F91"/>
                              </w:rPr>
                            </w:pPr>
                            <w:r w:rsidRPr="00E00BCC">
                              <w:rPr>
                                <w:rFonts w:ascii="Verdana" w:hAnsi="Verdana"/>
                                <w:color w:val="365F91"/>
                              </w:rPr>
                              <w:t>MAS</w:t>
                            </w:r>
                          </w:p>
                        </w:txbxContent>
                      </wps:txbx>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rect id="Obdĺžnik 37" o:spid="_x0000_s1036" style="position:absolute;left:0;text-align:left;margin-left:359.8pt;margin-top:321.5pt;width:107.3pt;height:48.15pt;z-index:251735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" strokecolor="#f79646" strokeweight="2pt">
                <v:textbox>
                  <w:txbxContent>
                    <w:p w:rsidR="000A3653" w:rsidRPr="00E00BCC" w:rsidRDefault="000A3653" w:rsidP="002245DE">
                      <w:pPr>
                        <w:jc w:val="center"/>
                        <w:rPr>
                          <w:rFonts w:ascii="Verdana" w:hAnsi="Verdana"/>
                          <w:color w:val="365F91"/>
                        </w:rPr>
                      </w:pPr>
                      <w:r w:rsidRPr="00E00BCC">
                        <w:rPr>
                          <w:rFonts w:ascii="Verdana" w:hAnsi="Verdana"/>
                          <w:color w:val="365F91"/>
                        </w:rPr>
                        <w:t>MAS</w:t>
                      </w:r>
                    </w:p>
                  </w:txbxContent>
                </v:textbox>
              </v:rect>
            </w:pict>
          </mc:Fallback>
        </mc:AlternateContent>
      </w:r>
      <w:r>
        <w:rPr>
          <w:rFonts w:ascii="Calibri" w:hAnsi="Calibri"/>
          <w:noProof/>
          <w:szCs w:val="22"/>
        </w:rPr>
        <mc:AlternateContent>
          <mc:Choice Requires="wps">
            <w:drawing>
              <wp:anchor distT="0" distB="0" distL="114300" distR="114300" simplePos="0" relativeHeight="251719680" behindDoc="0" locked="0" layoutInCell="1" allowOverlap="1" wp14:anchorId="405778EA" wp14:editId="76C683BE">
                <wp:simplePos x="0" y="0"/>
                <wp:positionH relativeFrom="column">
                  <wp:posOffset>4241165</wp:posOffset>
                </wp:positionH>
                <wp:positionV relativeFrom="paragraph">
                  <wp:posOffset>83820</wp:posOffset>
                </wp:positionV>
                <wp:extent cx="914400" cy="914400"/>
                <wp:effectExtent l="0" t="0" r="19050" b="19050"/>
                <wp:wrapNone/>
                <wp:docPr id="35" name="Zaoblený obdĺžnik 3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14400" cy="914400"/>
                        </a:xfrm>
                        <a:prstGeom prst="roundRect">
                          <a:avLst>
                            <a:gd name="adj" fmla="val 16667"/>
                          </a:avLst>
                        </a:prstGeom>
                        <a:solidFill>
                          <a:srgbClr val="4F81BD"/>
                        </a:solidFill>
                        <a:ln w="25400">
                          <a:solidFill>
                            <a:srgbClr val="243F60"/>
                          </a:solidFill>
                          <a:round/>
                          <a:headEnd/>
                          <a:tailEnd/>
                        </a:ln>
                      </wps:spPr>
                      <wps:txbx>
                        <w:txbxContent>
                          <w:p w:rsidR="000A3653" w:rsidRPr="00B30F00" w:rsidRDefault="000A3653" w:rsidP="002245DE">
                            <w:pPr>
                              <w:jc w:val="center"/>
                              <w:rPr>
                                <w:rFonts w:ascii="Verdana" w:hAnsi="Verdana"/>
                                <w:color w:val="FFFFFF" w:themeColor="background1"/>
                              </w:rPr>
                            </w:pPr>
                            <w:r w:rsidRPr="00B30F00">
                              <w:rPr>
                                <w:rFonts w:ascii="Verdana" w:hAnsi="Verdana"/>
                                <w:color w:val="FFFFFF" w:themeColor="background1"/>
                              </w:rPr>
                              <w:t>Riadiaci orgán PRV</w:t>
                            </w:r>
                          </w:p>
                        </w:txbxContent>
                      </wps:txbx>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roundrect id="Zaoblený obdĺžnik 33" o:spid="_x0000_s1037" style="position:absolute;left:0;text-align:left;margin-left:333.95pt;margin-top:6.6pt;width:1in;height:1in;z-index:251719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" fillcolor="#4f81bd" strokecolor="#243f60" strokeweight="2pt">
                <v:textbox>
                  <w:txbxContent>
                    <w:p w:rsidR="000A3653" w:rsidRPr="00B30F00" w:rsidRDefault="000A3653" w:rsidP="002245DE">
                      <w:pPr>
                        <w:jc w:val="center"/>
                        <w:rPr>
                          <w:rFonts w:ascii="Verdana" w:hAnsi="Verdana"/>
                          <w:color w:val="FFFFFF" w:themeColor="background1"/>
                        </w:rPr>
                      </w:pPr>
                      <w:r w:rsidRPr="00B30F00">
                        <w:rPr>
                          <w:rFonts w:ascii="Verdana" w:hAnsi="Verdana"/>
                          <w:color w:val="FFFFFF" w:themeColor="background1"/>
                        </w:rPr>
                        <w:t>Riadiaci orgán PRV</w:t>
                      </w:r>
                    </w:p>
                  </w:txbxContent>
                </v:textbox>
              </v:roundrect>
            </w:pict>
          </mc:Fallback>
        </mc:AlternateContent>
      </w:r>
      <w:r w:rsidR="002245DE" w:rsidRPr="008676F9">
        <w:rPr>
          <w:rFonts w:ascii="Calibri" w:hAnsi="Calibri"/>
          <w:szCs w:val="22"/>
        </w:rPr>
        <w:t>v</w:t>
      </w:r>
    </w:p>
    <w:p w:rsidR="002245DE" w:rsidRPr="008676F9" w:rsidRDefault="002245DE" w:rsidP="002245DE">
      <w:pPr>
        <w:spacing w:line="276" w:lineRule="auto"/>
        <w:rPr>
          <w:rFonts w:ascii="Calibri" w:hAnsi="Calibri"/>
          <w:szCs w:val="22"/>
        </w:rPr>
      </w:pPr>
    </w:p>
    <w:p w:rsidR="002245DE" w:rsidRPr="008676F9" w:rsidRDefault="002245DE" w:rsidP="002245DE">
      <w:pPr>
        <w:spacing w:line="276" w:lineRule="auto"/>
        <w:rPr>
          <w:rFonts w:ascii="Calibri" w:hAnsi="Calibri"/>
          <w:szCs w:val="22"/>
        </w:rPr>
      </w:pPr>
    </w:p>
    <w:p w:rsidR="002245DE" w:rsidRPr="008676F9" w:rsidRDefault="001B3100" w:rsidP="002245DE">
      <w:pPr>
        <w:spacing w:line="276" w:lineRule="auto"/>
        <w:rPr>
          <w:rFonts w:ascii="Calibri" w:hAnsi="Calibri"/>
          <w:szCs w:val="22"/>
        </w:rPr>
      </w:pPr>
      <w:r>
        <w:rPr>
          <w:rFonts w:ascii="Calibri" w:hAnsi="Calibri"/>
          <w:noProof/>
          <w:szCs w:val="22"/>
        </w:rPr>
        <mc:AlternateContent>
          <mc:Choice Requires="wps">
            <w:drawing>
              <wp:anchor distT="0" distB="0" distL="114300" distR="114300" simplePos="0" relativeHeight="251737088" behindDoc="0" locked="0" layoutInCell="1" allowOverlap="1" wp14:anchorId="38B90EF4" wp14:editId="2E7F7518">
                <wp:simplePos x="0" y="0"/>
                <wp:positionH relativeFrom="column">
                  <wp:posOffset>4081780</wp:posOffset>
                </wp:positionH>
                <wp:positionV relativeFrom="paragraph">
                  <wp:posOffset>1012190</wp:posOffset>
                </wp:positionV>
                <wp:extent cx="3345815" cy="1612265"/>
                <wp:effectExtent l="9525" t="12065" r="73660" b="23495"/>
                <wp:wrapNone/>
                <wp:docPr id="5" name="Rovná spojovacia šípka 3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16200000" flipH="1">
                          <a:off x="0" y="0"/>
                          <a:ext cx="3345815" cy="1612265"/>
                        </a:xfrm>
                        <a:prstGeom prst="bentConnector3">
                          <a:avLst>
                            <a:gd name="adj1" fmla="val 49991"/>
                          </a:avLst>
                        </a:prstGeom>
                        <a:noFill/>
                        <a:ln w="9525">
                          <a:solidFill>
                            <a:srgbClr val="FF0000"/>
                          </a:solidFill>
                          <a:miter lim="800000"/>
                          <a:headEnd/>
                          <a:tailEnd type="arrow"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Rovná spojovacia šípka 39" o:spid="_x0000_s1026" type="#_x0000_t34" style="position:absolute;margin-left:321.4pt;margin-top:79.7pt;width:263.45pt;height:126.95pt;rotation:90;flip:x;z-index:251737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" adj="10798" strokecolor="red">
                <v:stroke endarrow="open"/>
              </v:shape>
            </w:pict>
          </mc:Fallback>
        </mc:AlternateContent>
      </w:r>
      <w:r>
        <w:rPr>
          <w:rFonts w:ascii="Calibri" w:hAnsi="Calibri"/>
          <w:noProof/>
          <w:szCs w:val="22"/>
        </w:rPr>
        <mc:AlternateContent>
          <mc:Choice Requires="wps">
            <w:drawing>
              <wp:anchor distT="0" distB="0" distL="114300" distR="114300" simplePos="0" relativeHeight="251743232" behindDoc="0" locked="0" layoutInCell="1" allowOverlap="1" wp14:anchorId="6ABBD403" wp14:editId="42C15D11">
                <wp:simplePos x="0" y="0"/>
                <wp:positionH relativeFrom="column">
                  <wp:posOffset>5104130</wp:posOffset>
                </wp:positionH>
                <wp:positionV relativeFrom="paragraph">
                  <wp:posOffset>136525</wp:posOffset>
                </wp:positionV>
                <wp:extent cx="1716405" cy="3354705"/>
                <wp:effectExtent l="38100" t="38100" r="36195" b="17145"/>
                <wp:wrapNone/>
                <wp:docPr id="34" name="Rovná spojovacia šípka 4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716405" cy="3354705"/>
                        </a:xfrm>
                        <a:prstGeom prst="straightConnector1">
                          <a:avLst/>
                        </a:prstGeom>
                        <a:noFill/>
                        <a:ln w="9525">
                          <a:solidFill>
                            <a:srgbClr val="4F81BD"/>
                          </a:solidFill>
                          <a:prstDash val="dash"/>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Rovná spojovacia šípka 47" o:spid="_x0000_s1026" type="#_x0000_t32" style="position:absolute;margin-left:401.9pt;margin-top:10.75pt;width:135.15pt;height:264.15pt;flip:x y;z-index:251743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" strokecolor="#4f81bd">
                <v:stroke dashstyle="dash" endarrow="block"/>
              </v:shape>
            </w:pict>
          </mc:Fallback>
        </mc:AlternateContent>
      </w:r>
      <w:r>
        <w:rPr>
          <w:rFonts w:ascii="Calibri" w:hAnsi="Calibri"/>
          <w:noProof/>
          <w:szCs w:val="22"/>
        </w:rPr>
        <mc:AlternateContent>
          <mc:Choice Requires="wps">
            <w:drawing>
              <wp:anchor distT="0" distB="0" distL="114300" distR="114300" simplePos="0" relativeHeight="251728896" behindDoc="0" locked="0" layoutInCell="1" allowOverlap="1" wp14:anchorId="0F1C372F" wp14:editId="487DD007">
                <wp:simplePos x="0" y="0"/>
                <wp:positionH relativeFrom="column">
                  <wp:posOffset>6562090</wp:posOffset>
                </wp:positionH>
                <wp:positionV relativeFrom="paragraph">
                  <wp:posOffset>145415</wp:posOffset>
                </wp:positionV>
                <wp:extent cx="1233170" cy="1035050"/>
                <wp:effectExtent l="1409700" t="19050" r="24130" b="12700"/>
                <wp:wrapNone/>
                <wp:docPr id="33" name="Čiarová bublina 1 (bez orámovania) 3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233170" cy="1035050"/>
                        </a:xfrm>
                        <a:prstGeom prst="callout1">
                          <a:avLst>
                            <a:gd name="adj1" fmla="val 25417"/>
                            <a:gd name="adj2" fmla="val -4134"/>
                            <a:gd name="adj3" fmla="val -315"/>
                            <a:gd name="adj4" fmla="val -113551"/>
                          </a:avLst>
                        </a:prstGeom>
                        <a:solidFill>
                          <a:srgbClr val="4F81BD"/>
                        </a:solidFill>
                        <a:ln w="25400">
                          <a:solidFill>
                            <a:srgbClr val="243F60"/>
                          </a:solidFill>
                          <a:miter lim="800000"/>
                          <a:headEnd/>
                          <a:tailEnd/>
                        </a:ln>
                      </wps:spPr>
                      <wps:txbx>
                        <w:txbxContent>
                          <w:p w:rsidR="000A3653" w:rsidRPr="00E00BCC" w:rsidRDefault="000A3653" w:rsidP="002245DE">
                            <w:pPr>
                              <w:jc w:val="center"/>
                              <w:rPr>
                                <w:rFonts w:ascii="Verdana" w:hAnsi="Verdana"/>
                                <w:color w:val="FFFFFF"/>
                              </w:rPr>
                            </w:pPr>
                            <w:r w:rsidRPr="00E00BCC">
                              <w:rPr>
                                <w:rFonts w:ascii="Verdana" w:hAnsi="Verdana"/>
                                <w:color w:val="FFFFFF"/>
                              </w:rPr>
                              <w:t>Ostatné rezorty (MŽP SR, MH SR..)</w:t>
                            </w:r>
                          </w:p>
                        </w:txbxContent>
                      </wps:txbx>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id="Čiarová bublina 1 (bez orámovania) 34" o:spid="_x0000_s1038" type="#_x0000_t41" style="position:absolute;left:0;text-align:left;margin-left:516.7pt;margin-top:11.45pt;width:97.1pt;height:81.5pt;z-index:251728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" adj="-24527,-68,-893,5490" fillcolor="#4f81bd" strokecolor="#243f60" strokeweight="2pt">
                <v:textbox>
                  <w:txbxContent>
                    <w:p w:rsidR="000A3653" w:rsidRPr="00E00BCC" w:rsidRDefault="000A3653" w:rsidP="002245DE">
                      <w:pPr>
                        <w:jc w:val="center"/>
                        <w:rPr>
                          <w:rFonts w:ascii="Verdana" w:hAnsi="Verdana"/>
                          <w:color w:val="FFFFFF"/>
                        </w:rPr>
                      </w:pPr>
                      <w:r w:rsidRPr="00E00BCC">
                        <w:rPr>
                          <w:rFonts w:ascii="Verdana" w:hAnsi="Verdana"/>
                          <w:color w:val="FFFFFF"/>
                        </w:rPr>
                        <w:t>Ostatné rezorty (MŽP SR, MH SR..)</w:t>
                      </w:r>
                    </w:p>
                  </w:txbxContent>
                </v:textbox>
              </v:shape>
            </w:pict>
          </mc:Fallback>
        </mc:AlternateContent>
      </w:r>
    </w:p>
    <w:p w:rsidR="002245DE" w:rsidRPr="008676F9" w:rsidRDefault="002245DE" w:rsidP="002245DE">
      <w:pPr>
        <w:spacing w:line="276" w:lineRule="auto"/>
        <w:rPr>
          <w:rFonts w:ascii="Calibri" w:hAnsi="Calibri"/>
          <w:szCs w:val="22"/>
        </w:rPr>
      </w:pPr>
    </w:p>
    <w:p w:rsidR="002245DE" w:rsidRPr="008676F9" w:rsidRDefault="001B3100" w:rsidP="002245DE">
      <w:pPr>
        <w:spacing w:line="276" w:lineRule="auto"/>
        <w:rPr>
          <w:rFonts w:ascii="Calibri" w:hAnsi="Calibri"/>
          <w:szCs w:val="22"/>
        </w:rPr>
      </w:pPr>
      <w:r>
        <w:rPr>
          <w:rFonts w:ascii="Calibri" w:hAnsi="Calibri"/>
          <w:noProof/>
          <w:szCs w:val="22"/>
        </w:rPr>
        <mc:AlternateContent>
          <mc:Choice Requires="wps">
            <w:drawing>
              <wp:anchor distT="0" distB="0" distL="114300" distR="114300" simplePos="0" relativeHeight="251741184" behindDoc="0" locked="0" layoutInCell="1" allowOverlap="1" wp14:anchorId="1DA28119" wp14:editId="7E3F6CC7">
                <wp:simplePos x="0" y="0"/>
                <wp:positionH relativeFrom="column">
                  <wp:posOffset>3757930</wp:posOffset>
                </wp:positionH>
                <wp:positionV relativeFrom="paragraph">
                  <wp:posOffset>33655</wp:posOffset>
                </wp:positionV>
                <wp:extent cx="637540" cy="1207135"/>
                <wp:effectExtent l="0" t="38100" r="48260" b="31115"/>
                <wp:wrapNone/>
                <wp:docPr id="31" name="Rovná spojovacia šípka 4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637540" cy="1207135"/>
                        </a:xfrm>
                        <a:prstGeom prst="straightConnector1">
                          <a:avLst/>
                        </a:prstGeom>
                        <a:noFill/>
                        <a:ln w="9525">
                          <a:solidFill>
                            <a:srgbClr val="4F81BD"/>
                          </a:solidFill>
                          <a:prstDash val="dash"/>
                          <a:round/>
                          <a:headEnd type="triangle" w="med" len="me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Rovná spojovacia šípka 40" o:spid="_x0000_s1026" type="#_x0000_t32" style="position:absolute;margin-left:295.9pt;margin-top:2.65pt;width:50.2pt;height:95.05pt;flip:x;z-index:251741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" strokecolor="#4f81bd">
                <v:stroke dashstyle="dash" startarrow="block"/>
              </v:shape>
            </w:pict>
          </mc:Fallback>
        </mc:AlternateContent>
      </w:r>
    </w:p>
    <w:p w:rsidR="002245DE" w:rsidRPr="008676F9" w:rsidRDefault="002245DE" w:rsidP="002245DE">
      <w:pPr>
        <w:spacing w:line="276" w:lineRule="auto"/>
        <w:rPr>
          <w:rFonts w:ascii="Calibri" w:hAnsi="Calibri"/>
          <w:szCs w:val="22"/>
        </w:rPr>
      </w:pPr>
    </w:p>
    <w:p w:rsidR="002245DE" w:rsidRPr="008676F9" w:rsidRDefault="002245DE" w:rsidP="002245DE">
      <w:pPr>
        <w:spacing w:line="276" w:lineRule="auto"/>
        <w:rPr>
          <w:rFonts w:ascii="Calibri" w:hAnsi="Calibri"/>
          <w:szCs w:val="22"/>
        </w:rPr>
      </w:pPr>
    </w:p>
    <w:p w:rsidR="002245DE" w:rsidRPr="008676F9" w:rsidRDefault="002245DE" w:rsidP="002245DE">
      <w:pPr>
        <w:spacing w:line="276" w:lineRule="auto"/>
        <w:rPr>
          <w:rFonts w:ascii="Calibri" w:hAnsi="Calibri"/>
          <w:szCs w:val="22"/>
        </w:rPr>
      </w:pPr>
    </w:p>
    <w:p w:rsidR="002245DE" w:rsidRPr="008676F9" w:rsidRDefault="002245DE" w:rsidP="002245DE">
      <w:pPr>
        <w:spacing w:line="276" w:lineRule="auto"/>
        <w:rPr>
          <w:rFonts w:ascii="Calibri" w:hAnsi="Calibri"/>
          <w:szCs w:val="22"/>
        </w:rPr>
      </w:pPr>
    </w:p>
    <w:p w:rsidR="002245DE" w:rsidRPr="008676F9" w:rsidRDefault="002245DE" w:rsidP="002245DE">
      <w:pPr>
        <w:spacing w:line="276" w:lineRule="auto"/>
        <w:rPr>
          <w:rFonts w:ascii="Calibri" w:hAnsi="Calibri"/>
          <w:szCs w:val="22"/>
        </w:rPr>
      </w:pPr>
    </w:p>
    <w:p w:rsidR="002245DE" w:rsidRPr="008676F9" w:rsidRDefault="002245DE" w:rsidP="002245DE">
      <w:pPr>
        <w:spacing w:line="276" w:lineRule="auto"/>
        <w:rPr>
          <w:rFonts w:ascii="Calibri" w:hAnsi="Calibri"/>
          <w:szCs w:val="22"/>
        </w:rPr>
      </w:pPr>
    </w:p>
    <w:p w:rsidR="002245DE" w:rsidRPr="008676F9" w:rsidRDefault="002245DE" w:rsidP="002245DE">
      <w:pPr>
        <w:spacing w:line="276" w:lineRule="auto"/>
        <w:rPr>
          <w:rFonts w:ascii="Calibri" w:hAnsi="Calibri"/>
          <w:szCs w:val="22"/>
        </w:rPr>
      </w:pPr>
    </w:p>
    <w:p w:rsidR="002245DE" w:rsidRPr="008676F9" w:rsidRDefault="002245DE" w:rsidP="002245DE">
      <w:pPr>
        <w:spacing w:line="276" w:lineRule="auto"/>
        <w:rPr>
          <w:rFonts w:ascii="Calibri" w:hAnsi="Calibri"/>
          <w:szCs w:val="22"/>
        </w:rPr>
      </w:pPr>
    </w:p>
    <w:p w:rsidR="002245DE" w:rsidRPr="008676F9" w:rsidRDefault="002245DE" w:rsidP="002245DE">
      <w:pPr>
        <w:spacing w:line="276" w:lineRule="auto"/>
        <w:rPr>
          <w:rFonts w:ascii="Calibri" w:hAnsi="Calibri"/>
          <w:szCs w:val="22"/>
        </w:rPr>
      </w:pPr>
    </w:p>
    <w:p w:rsidR="002245DE" w:rsidRPr="008676F9" w:rsidRDefault="002245DE" w:rsidP="002245DE">
      <w:pPr>
        <w:spacing w:line="276" w:lineRule="auto"/>
        <w:rPr>
          <w:rFonts w:ascii="Calibri" w:hAnsi="Calibri"/>
          <w:szCs w:val="22"/>
        </w:rPr>
      </w:pPr>
    </w:p>
    <w:p w:rsidR="002245DE" w:rsidRPr="008676F9" w:rsidRDefault="002245DE" w:rsidP="002245DE">
      <w:pPr>
        <w:spacing w:line="276" w:lineRule="auto"/>
        <w:rPr>
          <w:rFonts w:ascii="Calibri" w:hAnsi="Calibri"/>
          <w:szCs w:val="22"/>
        </w:rPr>
      </w:pPr>
    </w:p>
    <w:p w:rsidR="002245DE" w:rsidRPr="008676F9" w:rsidRDefault="001B3100" w:rsidP="002245DE">
      <w:pPr>
        <w:spacing w:line="276" w:lineRule="auto"/>
        <w:rPr>
          <w:rFonts w:ascii="Calibri" w:hAnsi="Calibri"/>
          <w:szCs w:val="22"/>
        </w:rPr>
      </w:pPr>
      <w:r>
        <w:rPr>
          <w:rFonts w:ascii="Calibri" w:hAnsi="Calibri"/>
          <w:noProof/>
          <w:szCs w:val="22"/>
        </w:rPr>
        <mc:AlternateContent>
          <mc:Choice Requires="wps">
            <w:drawing>
              <wp:anchor distT="0" distB="0" distL="114298" distR="114298" simplePos="0" relativeHeight="251750400" behindDoc="0" locked="0" layoutInCell="1" allowOverlap="1" wp14:anchorId="623D002F" wp14:editId="593CE882">
                <wp:simplePos x="0" y="0"/>
                <wp:positionH relativeFrom="column">
                  <wp:posOffset>4647564</wp:posOffset>
                </wp:positionH>
                <wp:positionV relativeFrom="paragraph">
                  <wp:posOffset>72390</wp:posOffset>
                </wp:positionV>
                <wp:extent cx="0" cy="447675"/>
                <wp:effectExtent l="95250" t="0" r="57150" b="66675"/>
                <wp:wrapNone/>
                <wp:docPr id="55" name="Rovná spojovacia šípka 5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447675"/>
                        </a:xfrm>
                        <a:prstGeom prst="straightConnector1">
                          <a:avLst/>
                        </a:prstGeom>
                        <a:noFill/>
                        <a:ln w="9525" cap="flat" cmpd="sng" algn="ctr">
                          <a:solidFill>
                            <a:srgbClr val="FF0000"/>
                          </a:solidFill>
                          <a:prstDash val="solid"/>
                          <a:tailEnd type="arrow"/>
                        </a:ln>
                        <a:effectLst/>
                      </wps:spPr>
                      <wps:bodyPr/>
                    </wps:wsp>
                  </a:graphicData>
                </a:graphic>
                <wp14:sizeRelH relativeFrom="page">
                  <wp14:pctWidth>0</wp14:pctWidth>
                </wp14:sizeRelH>
                <wp14:sizeRelV relativeFrom="page">
                  <wp14:pctHeight>0</wp14:pctHeight>
                </wp14:sizeRelV>
              </wp:anchor>
            </w:drawing>
          </mc:Choice>
          <mc:Fallback>
            <w:pict>
              <v:shape id="Rovná spojovacia šípka 55" o:spid="_x0000_s1026" type="#_x0000_t32" style="position:absolute;margin-left:365.95pt;margin-top:5.7pt;width:0;height:35.25pt;z-index:251750400;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" strokecolor="red">
                <v:stroke endarrow="open"/>
                <o:lock v:ext="edit" shapetype="f"/>
              </v:shape>
            </w:pict>
          </mc:Fallback>
        </mc:AlternateContent>
      </w:r>
    </w:p>
    <w:p w:rsidR="002245DE" w:rsidRPr="008676F9" w:rsidRDefault="002245DE" w:rsidP="002245DE">
      <w:pPr>
        <w:spacing w:line="276" w:lineRule="auto"/>
        <w:rPr>
          <w:rFonts w:ascii="Calibri" w:hAnsi="Calibri"/>
          <w:szCs w:val="22"/>
        </w:rPr>
      </w:pPr>
    </w:p>
    <w:p w:rsidR="002245DE" w:rsidRPr="008676F9" w:rsidRDefault="002245DE" w:rsidP="002245DE">
      <w:pPr>
        <w:spacing w:line="276" w:lineRule="auto"/>
        <w:rPr>
          <w:rFonts w:ascii="Calibri" w:hAnsi="Calibri"/>
          <w:szCs w:val="22"/>
        </w:rPr>
      </w:pPr>
    </w:p>
    <w:p w:rsidR="002245DE" w:rsidRPr="008676F9" w:rsidRDefault="002245DE" w:rsidP="002245DE">
      <w:pPr>
        <w:spacing w:line="276" w:lineRule="auto"/>
        <w:rPr>
          <w:rFonts w:ascii="Calibri" w:hAnsi="Calibri"/>
          <w:szCs w:val="22"/>
        </w:rPr>
      </w:pPr>
    </w:p>
    <w:p w:rsidR="002245DE" w:rsidRPr="008676F9" w:rsidRDefault="002245DE" w:rsidP="002245DE">
      <w:pPr>
        <w:spacing w:line="276" w:lineRule="auto"/>
        <w:rPr>
          <w:rFonts w:ascii="Calibri" w:hAnsi="Calibri"/>
          <w:szCs w:val="22"/>
        </w:rPr>
      </w:pPr>
    </w:p>
    <w:p w:rsidR="002245DE" w:rsidRPr="008676F9" w:rsidRDefault="001B3100" w:rsidP="002245DE">
      <w:pPr>
        <w:spacing w:line="276" w:lineRule="auto"/>
        <w:rPr>
          <w:rFonts w:ascii="Verdana" w:hAnsi="Verdana"/>
          <w:color w:val="365F91"/>
        </w:rPr>
      </w:pPr>
      <w:r>
        <w:rPr>
          <w:rFonts w:ascii="Calibri" w:hAnsi="Calibri"/>
          <w:noProof/>
          <w:szCs w:val="22"/>
        </w:rPr>
        <mc:AlternateContent>
          <mc:Choice Requires="wps">
            <w:drawing>
              <wp:anchor distT="4294967295" distB="4294967295" distL="114300" distR="114300" simplePos="0" relativeHeight="251755520" behindDoc="0" locked="0" layoutInCell="1" allowOverlap="1" wp14:anchorId="10B0B07A" wp14:editId="656EE55A">
                <wp:simplePos x="0" y="0"/>
                <wp:positionH relativeFrom="column">
                  <wp:posOffset>-252730</wp:posOffset>
                </wp:positionH>
                <wp:positionV relativeFrom="paragraph">
                  <wp:posOffset>93979</wp:posOffset>
                </wp:positionV>
                <wp:extent cx="405130" cy="0"/>
                <wp:effectExtent l="0" t="76200" r="13970" b="95250"/>
                <wp:wrapNone/>
                <wp:docPr id="30" name="Rovná spojovacia šípka 6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05130" cy="0"/>
                        </a:xfrm>
                        <a:prstGeom prst="straightConnector1">
                          <a:avLst/>
                        </a:prstGeom>
                        <a:noFill/>
                        <a:ln w="9525">
                          <a:solidFill>
                            <a:srgbClr val="4F81BD"/>
                          </a:solidFill>
                          <a:prstDash val="dash"/>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Rovná spojovacia šípka 60" o:spid="_x0000_s1026" type="#_x0000_t32" style="position:absolute;margin-left:-19.9pt;margin-top:7.4pt;width:31.9pt;height:0;z-index:251755520;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" strokecolor="#4f81bd">
                <v:stroke dashstyle="dash" endarrow="block"/>
              </v:shape>
            </w:pict>
          </mc:Fallback>
        </mc:AlternateContent>
      </w:r>
      <w:r w:rsidR="002245DE" w:rsidRPr="008676F9">
        <w:rPr>
          <w:rFonts w:ascii="Verdana" w:hAnsi="Verdana"/>
          <w:color w:val="365F91"/>
        </w:rPr>
        <w:t xml:space="preserve">     Poskytovanie informácií</w:t>
      </w:r>
    </w:p>
    <w:p w:rsidR="002245DE" w:rsidRPr="008676F9" w:rsidRDefault="001B3100" w:rsidP="002245DE">
      <w:pPr>
        <w:spacing w:line="276" w:lineRule="auto"/>
        <w:rPr>
          <w:rFonts w:ascii="Verdana" w:hAnsi="Verdana"/>
          <w:color w:val="365F91"/>
        </w:rPr>
      </w:pPr>
      <w:r>
        <w:rPr>
          <w:rFonts w:ascii="Calibri" w:hAnsi="Calibri"/>
          <w:noProof/>
          <w:szCs w:val="22"/>
        </w:rPr>
        <mc:AlternateContent>
          <mc:Choice Requires="wps">
            <w:drawing>
              <wp:anchor distT="4294967294" distB="4294967294" distL="114300" distR="114300" simplePos="0" relativeHeight="251756544" behindDoc="0" locked="0" layoutInCell="1" allowOverlap="1" wp14:anchorId="6A618DE7" wp14:editId="3B8DB973">
                <wp:simplePos x="0" y="0"/>
                <wp:positionH relativeFrom="column">
                  <wp:posOffset>-252730</wp:posOffset>
                </wp:positionH>
                <wp:positionV relativeFrom="paragraph">
                  <wp:posOffset>101599</wp:posOffset>
                </wp:positionV>
                <wp:extent cx="404495" cy="0"/>
                <wp:effectExtent l="0" t="76200" r="14605" b="114300"/>
                <wp:wrapNone/>
                <wp:docPr id="61" name="Rovná spojovacia šípka 6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404495" cy="0"/>
                        </a:xfrm>
                        <a:prstGeom prst="straightConnector1">
                          <a:avLst/>
                        </a:prstGeom>
                        <a:noFill/>
                        <a:ln w="9525" cap="flat" cmpd="sng" algn="ctr">
                          <a:solidFill>
                            <a:srgbClr val="FF0000"/>
                          </a:solidFill>
                          <a:prstDash val="solid"/>
                          <a:tailEnd type="arrow"/>
                        </a:ln>
                        <a:effectLst/>
                      </wps:spPr>
                      <wps:bodyPr/>
                    </wps:wsp>
                  </a:graphicData>
                </a:graphic>
                <wp14:sizeRelH relativeFrom="page">
                  <wp14:pctWidth>0</wp14:pctWidth>
                </wp14:sizeRelH>
                <wp14:sizeRelV relativeFrom="page">
                  <wp14:pctHeight>0</wp14:pctHeight>
                </wp14:sizeRelV>
              </wp:anchor>
            </w:drawing>
          </mc:Choice>
          <mc:Fallback>
            <w:pict>
              <v:shape id="Rovná spojovacia šípka 61" o:spid="_x0000_s1026" type="#_x0000_t32" style="position:absolute;margin-left:-19.9pt;margin-top:8pt;width:31.85pt;height:0;z-index:251756544;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" strokecolor="red">
                <v:stroke endarrow="open"/>
                <o:lock v:ext="edit" shapetype="f"/>
              </v:shape>
            </w:pict>
          </mc:Fallback>
        </mc:AlternateContent>
      </w:r>
      <w:r w:rsidR="002245DE" w:rsidRPr="008676F9">
        <w:rPr>
          <w:rFonts w:ascii="Verdana" w:hAnsi="Verdana"/>
          <w:color w:val="365F91"/>
        </w:rPr>
        <w:t xml:space="preserve">     Riadiaci vzťah</w:t>
      </w:r>
    </w:p>
    <w:p w:rsidR="002245DE" w:rsidRPr="008676F9" w:rsidRDefault="001B3100" w:rsidP="002245DE">
      <w:pPr>
        <w:spacing w:line="276" w:lineRule="auto"/>
        <w:rPr>
          <w:rFonts w:ascii="Verdana" w:hAnsi="Verdana"/>
          <w:color w:val="365F91"/>
        </w:rPr>
      </w:pPr>
      <w:r>
        <w:rPr>
          <w:rFonts w:ascii="Calibri" w:hAnsi="Calibri"/>
          <w:noProof/>
          <w:szCs w:val="22"/>
        </w:rPr>
        <mc:AlternateContent>
          <mc:Choice Requires="wps">
            <w:drawing>
              <wp:anchor distT="4294967295" distB="4294967295" distL="114300" distR="114300" simplePos="0" relativeHeight="251758592" behindDoc="0" locked="0" layoutInCell="1" allowOverlap="1" wp14:anchorId="47104526" wp14:editId="56398A83">
                <wp:simplePos x="0" y="0"/>
                <wp:positionH relativeFrom="column">
                  <wp:posOffset>-255270</wp:posOffset>
                </wp:positionH>
                <wp:positionV relativeFrom="paragraph">
                  <wp:posOffset>77469</wp:posOffset>
                </wp:positionV>
                <wp:extent cx="404495" cy="0"/>
                <wp:effectExtent l="0" t="0" r="14605" b="19050"/>
                <wp:wrapNone/>
                <wp:docPr id="29" name="Rovná spojovacia šípka 6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04495" cy="0"/>
                        </a:xfrm>
                        <a:prstGeom prst="straightConnector1">
                          <a:avLst/>
                        </a:prstGeom>
                        <a:noFill/>
                        <a:ln w="25400">
                          <a:solidFill>
                            <a:srgbClr val="1F497D"/>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Rovná spojovacia šípka 64" o:spid="_x0000_s1026" type="#_x0000_t32" style="position:absolute;margin-left:-20.1pt;margin-top:6.1pt;width:31.85pt;height:0;z-index:251758592;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" strokecolor="#1f497d" strokeweight="2pt"/>
            </w:pict>
          </mc:Fallback>
        </mc:AlternateContent>
      </w:r>
      <w:r w:rsidR="002245DE" w:rsidRPr="008676F9">
        <w:rPr>
          <w:rFonts w:ascii="Verdana" w:hAnsi="Verdana"/>
          <w:color w:val="365F91"/>
        </w:rPr>
        <w:t xml:space="preserve">     Spolupráca</w:t>
      </w:r>
    </w:p>
    <w:p w:rsidR="002245DE" w:rsidRPr="008676F9" w:rsidRDefault="002245DE" w:rsidP="002245DE">
      <w:pPr>
        <w:autoSpaceDE w:val="0"/>
        <w:autoSpaceDN w:val="0"/>
        <w:adjustRightInd w:val="0"/>
        <w:rPr>
          <w:rFonts w:ascii="Calibri" w:hAnsi="Calibri" w:cs="Arial"/>
          <w:b/>
          <w:i/>
          <w:color w:val="000000"/>
          <w:szCs w:val="22"/>
        </w:rPr>
      </w:pPr>
    </w:p>
    <w:p w:rsidR="002245DE" w:rsidRPr="008676F9" w:rsidRDefault="002245DE" w:rsidP="002245DE">
      <w:pPr>
        <w:autoSpaceDE w:val="0"/>
        <w:autoSpaceDN w:val="0"/>
        <w:adjustRightInd w:val="0"/>
        <w:rPr>
          <w:rFonts w:ascii="Calibri" w:hAnsi="Calibri" w:cs="Arial"/>
          <w:b/>
          <w:i/>
          <w:color w:val="000000"/>
          <w:szCs w:val="22"/>
        </w:rPr>
        <w:sectPr w:rsidR="002245DE" w:rsidRPr="008676F9" w:rsidSect="00BB33FC">
          <w:headerReference w:type="default" r:id="rId82"/>
          <w:footerReference w:type="default" r:id="rId83"/>
          <w:pgSz w:w="16838" w:h="11906" w:orient="landscape"/>
          <w:pgMar w:top="1417" w:right="1417" w:bottom="1417" w:left="1417" w:header="708" w:footer="708" w:gutter="0"/>
          <w:cols w:space="708"/>
          <w:docGrid w:linePitch="360"/>
        </w:sectPr>
      </w:pPr>
    </w:p>
    <w:p w:rsidR="008676F9" w:rsidRPr="008676F9" w:rsidRDefault="008676F9" w:rsidP="008676F9">
      <w:pPr>
        <w:autoSpaceDE w:val="0"/>
        <w:autoSpaceDN w:val="0"/>
        <w:adjustRightInd w:val="0"/>
        <w:rPr>
          <w:rFonts w:ascii="Calibri" w:hAnsi="Calibri" w:cs="Arial"/>
          <w:b/>
          <w:i/>
          <w:color w:val="000000"/>
          <w:szCs w:val="22"/>
        </w:rPr>
      </w:pPr>
      <w:r w:rsidRPr="008676F9">
        <w:rPr>
          <w:rFonts w:ascii="Calibri" w:hAnsi="Calibri" w:cs="Arial"/>
          <w:b/>
          <w:i/>
          <w:color w:val="000000"/>
          <w:szCs w:val="22"/>
        </w:rPr>
        <w:t>Zapojené orgány a ich zodpovednosti</w:t>
      </w:r>
    </w:p>
    <w:p w:rsidR="008676F9" w:rsidRPr="008676F9" w:rsidRDefault="008676F9" w:rsidP="008676F9">
      <w:pPr>
        <w:rPr>
          <w:rFonts w:ascii="Calibri" w:hAnsi="Calibri"/>
          <w:szCs w:val="22"/>
        </w:rPr>
      </w:pPr>
      <w:r w:rsidRPr="008676F9">
        <w:rPr>
          <w:rFonts w:ascii="Calibri" w:hAnsi="Calibri"/>
          <w:szCs w:val="22"/>
        </w:rPr>
        <w:t>Úlohy a zodpovednosti hlavných účastníkov v systéme monitorovania a hodnotenia sú nasledovné:</w:t>
      </w:r>
    </w:p>
    <w:p w:rsidR="008676F9" w:rsidRPr="008676F9" w:rsidRDefault="008676F9" w:rsidP="000905ED">
      <w:pPr>
        <w:rPr>
          <w:rFonts w:ascii="Calibri" w:hAnsi="Calibri"/>
          <w:i/>
          <w:szCs w:val="22"/>
          <w:u w:val="single"/>
        </w:rPr>
      </w:pPr>
    </w:p>
    <w:p w:rsidR="008676F9" w:rsidRPr="008676F9" w:rsidRDefault="008676F9" w:rsidP="00A03A77">
      <w:pPr>
        <w:rPr>
          <w:rFonts w:ascii="Calibri" w:hAnsi="Calibri"/>
          <w:i/>
          <w:szCs w:val="22"/>
          <w:u w:val="single"/>
        </w:rPr>
      </w:pPr>
      <w:r w:rsidRPr="008676F9">
        <w:rPr>
          <w:rFonts w:ascii="Calibri" w:hAnsi="Calibri"/>
          <w:i/>
          <w:szCs w:val="22"/>
          <w:u w:val="single"/>
        </w:rPr>
        <w:t>Riadiaci orgán</w:t>
      </w:r>
    </w:p>
    <w:p w:rsidR="00F05731" w:rsidRPr="00EA237A" w:rsidRDefault="00F05731" w:rsidP="00A03A77">
      <w:pPr>
        <w:rPr>
          <w:rFonts w:ascii="Calibri" w:hAnsi="Calibri"/>
          <w:szCs w:val="22"/>
        </w:rPr>
      </w:pPr>
      <w:r w:rsidRPr="00EA237A">
        <w:rPr>
          <w:rFonts w:ascii="Calibri" w:hAnsi="Calibri"/>
          <w:szCs w:val="22"/>
        </w:rPr>
        <w:t xml:space="preserve">Riadiaci orgán preberá na seba zodpovednosť za fungovanie a riadenie monitorovacieho a hodnotiaceho systému ako aj  za kvalitu poskytnutých výsledkov zabezpečených v požadovanom čase a ich publicitu. </w:t>
      </w:r>
    </w:p>
    <w:p w:rsidR="00F05731" w:rsidRPr="00EA237A" w:rsidRDefault="00F05731" w:rsidP="00A03A77">
      <w:pPr>
        <w:rPr>
          <w:rFonts w:ascii="Calibri" w:hAnsi="Calibri"/>
          <w:szCs w:val="22"/>
        </w:rPr>
      </w:pPr>
      <w:r w:rsidRPr="00EA237A">
        <w:rPr>
          <w:rFonts w:ascii="Calibri" w:hAnsi="Calibri"/>
          <w:szCs w:val="22"/>
        </w:rPr>
        <w:t xml:space="preserve">V rámci monitoringu riadiaci orgán zodpovedá za elektronický systém zaznamenávania, uchovávania, správy a oznamovania štatistických údajov o programe a jeho vykonávaní. Samotný systém je prevádzkovaný PPA a obsahuje informácie potrebné na účely monitorovania a hodnotenia. </w:t>
      </w:r>
    </w:p>
    <w:p w:rsidR="00F05731" w:rsidRPr="00EA237A" w:rsidRDefault="00F05731" w:rsidP="00A03A77">
      <w:pPr>
        <w:rPr>
          <w:rFonts w:ascii="Calibri" w:hAnsi="Calibri"/>
          <w:szCs w:val="22"/>
        </w:rPr>
      </w:pPr>
      <w:r w:rsidRPr="00EA237A">
        <w:rPr>
          <w:rFonts w:ascii="Calibri" w:hAnsi="Calibri"/>
          <w:szCs w:val="22"/>
        </w:rPr>
        <w:t>Riadiaci orgán monitoruje kvalitu vykonávania programu prostredníctvom finančných, výstupových a výsledkových ukazovateľov a poskytuje Monitorovaciemu výboru informácie a dokumenty  potrebné pre monitorovanie dosiahnutého pokroku pri realizácii programu vzhľadom na jeho konkrétne ciele a priority. Riadiaci orgán zodpovedá za vypracovanie plánu hodnotenia, ktorý je v súlade s monitorovacím a hodnotiacim systémom.  Počas programového obdobia riadiaci orgán organizuje hodnot</w:t>
      </w:r>
      <w:r>
        <w:rPr>
          <w:rFonts w:ascii="Calibri" w:hAnsi="Calibri"/>
          <w:szCs w:val="22"/>
        </w:rPr>
        <w:t>iace aktivity</w:t>
      </w:r>
      <w:r w:rsidRPr="00EA237A">
        <w:rPr>
          <w:rFonts w:ascii="Calibri" w:hAnsi="Calibri"/>
          <w:szCs w:val="22"/>
        </w:rPr>
        <w:t xml:space="preserve">  na základe hodnotiaceho plánu. V zmysle čl. </w:t>
      </w:r>
      <w:r w:rsidR="00DA7200">
        <w:rPr>
          <w:rFonts w:ascii="Calibri" w:hAnsi="Calibri"/>
          <w:szCs w:val="22"/>
        </w:rPr>
        <w:t>50 nariadenia (EÚ) č. 1303/2013</w:t>
      </w:r>
      <w:r w:rsidRPr="00EA237A">
        <w:rPr>
          <w:rFonts w:ascii="Calibri" w:hAnsi="Calibri"/>
          <w:szCs w:val="22"/>
        </w:rPr>
        <w:t xml:space="preserve"> aspoň raz za programové obdobie sa v hodnotení zhodnotí príspevok PRV k napĺňaniu cieľov každej priority. Táto požiadavka je premietnutá v rozšírených výročných správach o vykonávaní (VSV) v r.2017 a 2018 ako aj v hodnotení ex post. Okrem toho riadiaci orgán zabezpečuje</w:t>
      </w:r>
      <w:r>
        <w:rPr>
          <w:rFonts w:ascii="Calibri" w:hAnsi="Calibri"/>
          <w:szCs w:val="22"/>
        </w:rPr>
        <w:t>,</w:t>
      </w:r>
      <w:r w:rsidRPr="00EA237A">
        <w:rPr>
          <w:rFonts w:ascii="Calibri" w:hAnsi="Calibri"/>
          <w:szCs w:val="22"/>
        </w:rPr>
        <w:t xml:space="preserve"> aby hodnotenie programu ex ante a ex post bolo v súlade so systémom monitorovania a hodnotenia a aby sa hodnotenie ex post vykonalo v lehotách stanovených v nariadení (</w:t>
      </w:r>
      <w:r w:rsidR="00DA7200">
        <w:rPr>
          <w:rFonts w:ascii="Calibri" w:hAnsi="Calibri"/>
          <w:szCs w:val="22"/>
        </w:rPr>
        <w:t>EÚ</w:t>
      </w:r>
      <w:r w:rsidRPr="00EA237A">
        <w:rPr>
          <w:rFonts w:ascii="Calibri" w:hAnsi="Calibri"/>
          <w:szCs w:val="22"/>
        </w:rPr>
        <w:t>)</w:t>
      </w:r>
      <w:r w:rsidR="00DA7200">
        <w:rPr>
          <w:rFonts w:ascii="Calibri" w:hAnsi="Calibri"/>
          <w:szCs w:val="22"/>
        </w:rPr>
        <w:t xml:space="preserve"> č. 1303/2013</w:t>
      </w:r>
      <w:r w:rsidRPr="00EA237A">
        <w:rPr>
          <w:rFonts w:ascii="Calibri" w:hAnsi="Calibri"/>
          <w:szCs w:val="22"/>
        </w:rPr>
        <w:t xml:space="preserve">. Riadiaci orgán je tiež zodpovedný za predkladanie každého hodnotenia Komisii ako aj za sprístupnenie hodnotiacich správ na internete. </w:t>
      </w:r>
    </w:p>
    <w:p w:rsidR="00F05731" w:rsidRPr="00EA237A" w:rsidRDefault="00F05731" w:rsidP="00A03A77">
      <w:pPr>
        <w:rPr>
          <w:rFonts w:ascii="Calibri" w:hAnsi="Calibri"/>
          <w:szCs w:val="22"/>
        </w:rPr>
      </w:pPr>
      <w:r w:rsidRPr="00EA237A">
        <w:rPr>
          <w:rFonts w:ascii="Calibri" w:hAnsi="Calibri"/>
          <w:szCs w:val="22"/>
        </w:rPr>
        <w:t>Okrem vyššie uvedených povinností vyplývajúcich z nariadení Riadiaci orgán predsedá pracovnej skupine pre hodnotenie, zabezpečuje verejné obstarávanie hodnotiacich služieb, sprostredkováva spoluprácu medzi účastníkmi monitorovacieho a hodnotiaceho systému.</w:t>
      </w:r>
      <w:r>
        <w:rPr>
          <w:rFonts w:ascii="Calibri" w:hAnsi="Calibri"/>
          <w:szCs w:val="22"/>
        </w:rPr>
        <w:t xml:space="preserve"> Riadiaci orgán je zodpovedný z</w:t>
      </w:r>
      <w:r w:rsidRPr="00EA237A">
        <w:rPr>
          <w:rFonts w:ascii="Calibri" w:hAnsi="Calibri"/>
          <w:szCs w:val="22"/>
        </w:rPr>
        <w:t xml:space="preserve">a prediskutovanie výsledkov z hodnotení s internými a externými účastníkmi monitorovacieho a hodnotiaceho systému, ako aj so širokou verejnosťou. </w:t>
      </w:r>
    </w:p>
    <w:p w:rsidR="008676F9" w:rsidRPr="008676F9" w:rsidRDefault="008676F9" w:rsidP="00A03A77">
      <w:pPr>
        <w:rPr>
          <w:rFonts w:ascii="Calibri" w:hAnsi="Calibri"/>
          <w:i/>
          <w:szCs w:val="22"/>
          <w:u w:val="single"/>
        </w:rPr>
      </w:pPr>
    </w:p>
    <w:p w:rsidR="008676F9" w:rsidRPr="008676F9" w:rsidRDefault="008676F9" w:rsidP="00A03A77">
      <w:pPr>
        <w:rPr>
          <w:rFonts w:ascii="Calibri" w:hAnsi="Calibri"/>
          <w:i/>
          <w:szCs w:val="22"/>
          <w:u w:val="single"/>
        </w:rPr>
      </w:pPr>
      <w:r w:rsidRPr="008676F9">
        <w:rPr>
          <w:rFonts w:ascii="Calibri" w:hAnsi="Calibri"/>
          <w:i/>
          <w:szCs w:val="22"/>
          <w:u w:val="single"/>
        </w:rPr>
        <w:t>Monitorovací výbor</w:t>
      </w:r>
    </w:p>
    <w:p w:rsidR="00F05731" w:rsidRPr="00EA237A" w:rsidRDefault="00F05731" w:rsidP="00A03A77">
      <w:pPr>
        <w:rPr>
          <w:rFonts w:ascii="Calibri" w:hAnsi="Calibri"/>
          <w:szCs w:val="22"/>
        </w:rPr>
      </w:pPr>
      <w:r w:rsidRPr="00EA237A">
        <w:rPr>
          <w:rFonts w:ascii="Calibri" w:hAnsi="Calibri"/>
          <w:szCs w:val="22"/>
        </w:rPr>
        <w:t xml:space="preserve">Monitorovací výbor kontroluje vykonávanie programu a pokrok dosiahnutý v napĺňaní jeho cieľov. Pri tom zohľadňuje finančné údaje, spoločné a špecifické ukazovatele týkajúce sa programu vrátane zmien ukazovateľov výsledkov a pokroku </w:t>
      </w:r>
      <w:r w:rsidRPr="00EA237A">
        <w:rPr>
          <w:rFonts w:ascii="Calibri" w:hAnsi="Calibri"/>
          <w:noProof/>
          <w:szCs w:val="22"/>
        </w:rPr>
        <w:t>dosiahnutého v napĺňaní kvantifikovaných cieľových hodnôt a čiastkové ciele stanovené vo výkonnostnom rámci. Monitorovací výbor posudzuje a schvaľuje výročné správy o vykonávaní pred ich zaslaním Komisi</w:t>
      </w:r>
      <w:r>
        <w:rPr>
          <w:rFonts w:ascii="Calibri" w:hAnsi="Calibri"/>
          <w:noProof/>
          <w:szCs w:val="22"/>
        </w:rPr>
        <w:t>i</w:t>
      </w:r>
      <w:r w:rsidRPr="00EA237A">
        <w:rPr>
          <w:rFonts w:ascii="Calibri" w:hAnsi="Calibri"/>
          <w:noProof/>
          <w:szCs w:val="22"/>
        </w:rPr>
        <w:t>, tiež sleduje všetky hodnotiace aktivity a dosiahnuté výstupy súvisiace s hodnotiacim plánom a  môže riadiacemu orgánu dať odporúčania týkajúce sa vykonávania programu a jeho hodnotenia. Potom výbor monitoruje činnosti vykonané v nadväznosti na jeho odporúčania.</w:t>
      </w:r>
    </w:p>
    <w:p w:rsidR="00F05731" w:rsidRPr="00EA237A" w:rsidRDefault="00F05731" w:rsidP="00A03A77">
      <w:pPr>
        <w:rPr>
          <w:rFonts w:ascii="Calibri" w:hAnsi="Calibri"/>
          <w:noProof/>
          <w:szCs w:val="22"/>
        </w:rPr>
      </w:pPr>
      <w:r>
        <w:rPr>
          <w:rFonts w:ascii="Calibri" w:hAnsi="Calibri"/>
          <w:noProof/>
          <w:szCs w:val="22"/>
        </w:rPr>
        <w:t>Zloženie Monitorovacieho výboru a jeho aktivity sú definované v bode 15.2. Programu rozvoja vidieka 2014-2020.</w:t>
      </w:r>
    </w:p>
    <w:p w:rsidR="008676F9" w:rsidRPr="008676F9" w:rsidRDefault="008676F9" w:rsidP="00A03A77">
      <w:pPr>
        <w:rPr>
          <w:rFonts w:ascii="Calibri" w:hAnsi="Calibri"/>
          <w:noProof/>
          <w:szCs w:val="22"/>
        </w:rPr>
      </w:pPr>
    </w:p>
    <w:p w:rsidR="008676F9" w:rsidRPr="008676F9" w:rsidRDefault="008676F9" w:rsidP="00A03A77">
      <w:pPr>
        <w:rPr>
          <w:rFonts w:ascii="Calibri" w:hAnsi="Calibri"/>
          <w:i/>
          <w:noProof/>
          <w:szCs w:val="22"/>
          <w:u w:val="single"/>
        </w:rPr>
      </w:pPr>
      <w:r w:rsidRPr="008676F9">
        <w:rPr>
          <w:rFonts w:ascii="Calibri" w:hAnsi="Calibri"/>
          <w:i/>
          <w:noProof/>
          <w:szCs w:val="22"/>
          <w:u w:val="single"/>
        </w:rPr>
        <w:t xml:space="preserve">Európska </w:t>
      </w:r>
      <w:r w:rsidR="00F05731">
        <w:rPr>
          <w:rFonts w:ascii="Calibri" w:hAnsi="Calibri"/>
          <w:i/>
          <w:noProof/>
          <w:szCs w:val="22"/>
          <w:u w:val="single"/>
        </w:rPr>
        <w:t>k</w:t>
      </w:r>
      <w:r w:rsidRPr="008676F9">
        <w:rPr>
          <w:rFonts w:ascii="Calibri" w:hAnsi="Calibri"/>
          <w:i/>
          <w:noProof/>
          <w:szCs w:val="22"/>
          <w:u w:val="single"/>
        </w:rPr>
        <w:t>omisia</w:t>
      </w:r>
    </w:p>
    <w:p w:rsidR="00F05731" w:rsidRPr="00EA237A" w:rsidRDefault="00F05731" w:rsidP="00A03A77">
      <w:pPr>
        <w:rPr>
          <w:rFonts w:ascii="Calibri" w:hAnsi="Calibri"/>
          <w:noProof/>
          <w:szCs w:val="22"/>
        </w:rPr>
      </w:pPr>
      <w:r w:rsidRPr="00EA237A">
        <w:rPr>
          <w:rFonts w:ascii="Calibri" w:hAnsi="Calibri"/>
          <w:noProof/>
          <w:szCs w:val="22"/>
        </w:rPr>
        <w:t>Európska Komisia, ktorá spravuje programy EÚ</w:t>
      </w:r>
      <w:r>
        <w:rPr>
          <w:rFonts w:ascii="Calibri" w:hAnsi="Calibri"/>
          <w:noProof/>
          <w:szCs w:val="22"/>
        </w:rPr>
        <w:t>,</w:t>
      </w:r>
      <w:r w:rsidRPr="00EA237A">
        <w:rPr>
          <w:rFonts w:ascii="Calibri" w:hAnsi="Calibri"/>
          <w:noProof/>
          <w:szCs w:val="22"/>
        </w:rPr>
        <w:t xml:space="preserve"> bude disponovať súhrnnými informáciami z procesu monitorovania a hodnotenia priamo od Riadiaceho orgánu. Úloha Komisie bude spočívať v hodnotení správ a informácií o priebežnom plnení cieľov a v monitorovaní situácie na základe dostupných informácií a ukazovateľov. Európska Komisia bude vydávať odporúčania a tiež prípadné napomenutia, ktoré budú založené na analýze správ o vykonávaní programu.  </w:t>
      </w:r>
    </w:p>
    <w:p w:rsidR="000905ED" w:rsidRDefault="000905ED" w:rsidP="000905ED">
      <w:pPr>
        <w:rPr>
          <w:rFonts w:ascii="Calibri" w:hAnsi="Calibri"/>
          <w:noProof/>
          <w:szCs w:val="22"/>
        </w:rPr>
      </w:pPr>
    </w:p>
    <w:p w:rsidR="008676F9" w:rsidRPr="008676F9" w:rsidRDefault="008676F9" w:rsidP="00A03A77">
      <w:pPr>
        <w:rPr>
          <w:rFonts w:ascii="Calibri" w:hAnsi="Calibri"/>
          <w:i/>
          <w:noProof/>
          <w:szCs w:val="22"/>
          <w:u w:val="single"/>
        </w:rPr>
      </w:pPr>
      <w:r w:rsidRPr="008676F9">
        <w:rPr>
          <w:rFonts w:ascii="Calibri" w:hAnsi="Calibri"/>
          <w:i/>
          <w:noProof/>
          <w:szCs w:val="22"/>
          <w:u w:val="single"/>
        </w:rPr>
        <w:t>Široká verejnosť</w:t>
      </w:r>
    </w:p>
    <w:p w:rsidR="00F05731" w:rsidRPr="00EA237A" w:rsidRDefault="00F05731" w:rsidP="00A03A77">
      <w:pPr>
        <w:rPr>
          <w:rFonts w:ascii="Calibri" w:hAnsi="Calibri"/>
          <w:noProof/>
          <w:szCs w:val="22"/>
        </w:rPr>
      </w:pPr>
      <w:r>
        <w:rPr>
          <w:rFonts w:ascii="Calibri" w:hAnsi="Calibri"/>
          <w:noProof/>
          <w:szCs w:val="22"/>
        </w:rPr>
        <w:t>Hodnotiace správy budú poskytované širokej verejnosti komunikačnými kanálmi popísanými v časti 6. Komunikácia.</w:t>
      </w:r>
      <w:r w:rsidRPr="00EA237A">
        <w:rPr>
          <w:rFonts w:ascii="Calibri" w:hAnsi="Calibri"/>
          <w:noProof/>
          <w:szCs w:val="22"/>
        </w:rPr>
        <w:t xml:space="preserve"> Verejnosť tak bude mať prístup k informáciám ohľadom programu a jeho implementácie, čím sa posilní princíp partnerstva. Cieľom zapojenia verejnosti do procesu</w:t>
      </w:r>
      <w:r w:rsidRPr="00EA237A">
        <w:rPr>
          <w:rFonts w:ascii="Calibri" w:hAnsi="Calibri"/>
          <w:noProof/>
          <w:szCs w:val="22"/>
        </w:rPr>
        <w:lastRenderedPageBreak/>
        <w:t xml:space="preserve"> hodnotenia je zabezpečiť primerané a aktuálne informácie o programe pre dotknutú verejnosť a poskytnúť priestor na vyjadrenie ich názorov.    </w:t>
      </w:r>
    </w:p>
    <w:p w:rsidR="00F05731" w:rsidRPr="00EA237A" w:rsidRDefault="00F05731" w:rsidP="00A03A77">
      <w:pPr>
        <w:ind w:left="720"/>
        <w:contextualSpacing/>
        <w:rPr>
          <w:rFonts w:ascii="Calibri" w:hAnsi="Calibri"/>
          <w:szCs w:val="22"/>
        </w:rPr>
      </w:pPr>
    </w:p>
    <w:p w:rsidR="008676F9" w:rsidRPr="008676F9" w:rsidRDefault="008676F9" w:rsidP="00A03A77">
      <w:pPr>
        <w:rPr>
          <w:rFonts w:ascii="Calibri" w:hAnsi="Calibri"/>
          <w:i/>
          <w:szCs w:val="22"/>
          <w:u w:val="single"/>
        </w:rPr>
      </w:pPr>
      <w:r w:rsidRPr="008676F9">
        <w:rPr>
          <w:rFonts w:ascii="Calibri" w:hAnsi="Calibri"/>
          <w:i/>
          <w:szCs w:val="22"/>
          <w:u w:val="single"/>
        </w:rPr>
        <w:t xml:space="preserve">Pôdohospodárska platobná agentúra </w:t>
      </w:r>
    </w:p>
    <w:p w:rsidR="00F05731" w:rsidRPr="00EA237A" w:rsidRDefault="00F05731" w:rsidP="00A03A77">
      <w:pPr>
        <w:autoSpaceDE w:val="0"/>
        <w:autoSpaceDN w:val="0"/>
        <w:adjustRightInd w:val="0"/>
        <w:rPr>
          <w:rFonts w:ascii="Calibri" w:hAnsi="Calibri" w:cs="Arial"/>
          <w:color w:val="000000"/>
          <w:szCs w:val="22"/>
        </w:rPr>
      </w:pPr>
      <w:r w:rsidRPr="00EA237A">
        <w:rPr>
          <w:rFonts w:ascii="Calibri" w:hAnsi="Calibri" w:cs="Arial"/>
          <w:color w:val="000000"/>
          <w:szCs w:val="22"/>
        </w:rPr>
        <w:t xml:space="preserve">PPA zohráva dôležitú úlohu v monitorovacom a hodnotiacom systéme. PPA zbiera údaje na projektovej úrovni od žiadateľov prostredníctvom žiadostí o nenávratný finančný príspevok, monitorovacích správ, žiadostí o platbu, kontrol na mieste a vlastných zisťovaní. Riadiaci orgán nedisponuje vlastným informačným systémom pre údaje týkajúce sa monitorovania a hodnotenia programu, túto agendu delegoval na PPA na základe dohody o delegovaní činností, t.j. PPA zabezpečí vhodný elektronický systém pre záznam, uchovávanie, správu a vykazovanie štatistických údajov o programe a jeho implementácii. </w:t>
      </w:r>
    </w:p>
    <w:p w:rsidR="00F05731" w:rsidRDefault="00F05731" w:rsidP="00A03A77">
      <w:pPr>
        <w:autoSpaceDE w:val="0"/>
        <w:autoSpaceDN w:val="0"/>
        <w:adjustRightInd w:val="0"/>
        <w:rPr>
          <w:rFonts w:ascii="Calibri" w:hAnsi="Calibri" w:cs="Arial"/>
          <w:color w:val="000000"/>
          <w:szCs w:val="22"/>
        </w:rPr>
      </w:pPr>
      <w:r w:rsidRPr="00EA237A">
        <w:rPr>
          <w:rFonts w:ascii="Calibri" w:hAnsi="Calibri" w:cs="Arial"/>
          <w:color w:val="000000"/>
          <w:szCs w:val="22"/>
        </w:rPr>
        <w:t xml:space="preserve">PPA prevádzkuje informačné systémy (IACS a monitorovanie projektových opatrení), ktoré poskytujú prevažnú väčšinu potrebných údajov pre prípravu výročných správ o výkone. </w:t>
      </w:r>
    </w:p>
    <w:p w:rsidR="00F05731" w:rsidRPr="00452BD7" w:rsidRDefault="00F05731" w:rsidP="00A03A77">
      <w:pPr>
        <w:autoSpaceDE w:val="0"/>
        <w:autoSpaceDN w:val="0"/>
        <w:adjustRightInd w:val="0"/>
        <w:rPr>
          <w:rFonts w:cs="Arial"/>
          <w:color w:val="000000"/>
          <w:szCs w:val="22"/>
        </w:rPr>
      </w:pPr>
      <w:r w:rsidRPr="00452BD7">
        <w:rPr>
          <w:szCs w:val="22"/>
        </w:rPr>
        <w:t>Z toho dôvodu PPA úzko spolupracuje s Riadiacim orgánom</w:t>
      </w:r>
      <w:r w:rsidRPr="00452BD7">
        <w:rPr>
          <w:rFonts w:cs="Arial"/>
          <w:color w:val="000000"/>
          <w:szCs w:val="22"/>
        </w:rPr>
        <w:t xml:space="preserve"> (v zmysle dohody o delegovaní činností)</w:t>
      </w:r>
      <w:r w:rsidRPr="00452BD7">
        <w:rPr>
          <w:szCs w:val="22"/>
        </w:rPr>
        <w:t xml:space="preserve"> a CKO na záležitostiach týkajúcich sa monitorovania a hodnotenia programu. </w:t>
      </w:r>
    </w:p>
    <w:p w:rsidR="008676F9" w:rsidRPr="008676F9" w:rsidRDefault="008676F9" w:rsidP="00A03A77">
      <w:pPr>
        <w:ind w:left="720"/>
        <w:contextualSpacing/>
        <w:rPr>
          <w:rFonts w:ascii="Calibri" w:hAnsi="Calibri"/>
          <w:szCs w:val="22"/>
        </w:rPr>
      </w:pPr>
    </w:p>
    <w:p w:rsidR="008676F9" w:rsidRPr="008676F9" w:rsidRDefault="008676F9" w:rsidP="00A03A77">
      <w:pPr>
        <w:rPr>
          <w:rFonts w:ascii="Calibri" w:hAnsi="Calibri"/>
          <w:i/>
          <w:szCs w:val="22"/>
          <w:u w:val="single"/>
        </w:rPr>
      </w:pPr>
      <w:r w:rsidRPr="008676F9">
        <w:rPr>
          <w:rFonts w:ascii="Calibri" w:hAnsi="Calibri"/>
          <w:i/>
          <w:szCs w:val="22"/>
          <w:u w:val="single"/>
        </w:rPr>
        <w:t>Pracovná/poradná skupina pre hodnotenie</w:t>
      </w:r>
    </w:p>
    <w:p w:rsidR="00F05731" w:rsidRPr="0038275F" w:rsidRDefault="00F05731" w:rsidP="00A03A77">
      <w:pPr>
        <w:autoSpaceDE w:val="0"/>
        <w:autoSpaceDN w:val="0"/>
        <w:adjustRightInd w:val="0"/>
        <w:rPr>
          <w:rFonts w:ascii="Calibri" w:hAnsi="Calibri" w:cs="Arial"/>
          <w:color w:val="000000"/>
          <w:szCs w:val="22"/>
        </w:rPr>
      </w:pPr>
      <w:r w:rsidRPr="0038275F">
        <w:rPr>
          <w:rFonts w:ascii="Calibri" w:hAnsi="Calibri" w:cs="Arial"/>
          <w:color w:val="000000"/>
          <w:szCs w:val="22"/>
        </w:rPr>
        <w:t xml:space="preserve">Pre potreby posilnenia hodnotiacich postupov zriadi Riadiaci orgán pracovnú skupinu pre hodnotenie. Skupina sprostredkuje konzultácie medzi účastníkmi systému monitorovania a  hodnotenia, prispeje k osvojeniu a riadeniu monitorovacích a hodnotiacich postupov, pomôže zaručiť relevantnosť monitorovacích a hodnotiacich aktivít k potrebám programu. Členovia skupiny môžu prispieť so svojimi skúsenosťami a zručnosťami a pomôcť zabezpečiť dostupnosť údajov, informácií a dôležitých kontaktov pre hodnotiteľov. </w:t>
      </w:r>
    </w:p>
    <w:p w:rsidR="00F05731" w:rsidRPr="0038275F" w:rsidRDefault="00F05731" w:rsidP="00A03A77">
      <w:pPr>
        <w:autoSpaceDE w:val="0"/>
        <w:autoSpaceDN w:val="0"/>
        <w:adjustRightInd w:val="0"/>
        <w:rPr>
          <w:rFonts w:cs="Arial"/>
          <w:color w:val="000000"/>
          <w:szCs w:val="22"/>
        </w:rPr>
      </w:pPr>
      <w:r w:rsidRPr="0038275F">
        <w:rPr>
          <w:rFonts w:ascii="Calibri" w:hAnsi="Calibri" w:cs="Arial"/>
          <w:color w:val="000000"/>
          <w:szCs w:val="22"/>
        </w:rPr>
        <w:t xml:space="preserve">Pracovná skupina dohliada na postup hodnotenia počas programovacieho obdobia, </w:t>
      </w:r>
      <w:r w:rsidRPr="0038275F">
        <w:rPr>
          <w:rFonts w:cs="Arial"/>
          <w:color w:val="000000"/>
          <w:szCs w:val="22"/>
        </w:rPr>
        <w:t xml:space="preserve">podporuje kontinuitu hodnotiaceho procesu a administratívnu kapacitu. </w:t>
      </w:r>
    </w:p>
    <w:p w:rsidR="008676F9" w:rsidRDefault="00F05731" w:rsidP="00A03A77">
      <w:pPr>
        <w:autoSpaceDE w:val="0"/>
        <w:autoSpaceDN w:val="0"/>
        <w:adjustRightInd w:val="0"/>
        <w:rPr>
          <w:rFonts w:cs="Arial"/>
          <w:color w:val="000000"/>
          <w:szCs w:val="22"/>
        </w:rPr>
      </w:pPr>
      <w:r w:rsidRPr="0038275F">
        <w:rPr>
          <w:rFonts w:cs="Arial"/>
          <w:color w:val="000000"/>
          <w:szCs w:val="22"/>
        </w:rPr>
        <w:t>Pracovná skupina je zvolávaná Riadiacim orgánom. Pozostáva zo zástupcov RO, PPA, odborníkov (podľa priorít), zástupcov rezortných výskumných ústavov a</w:t>
      </w:r>
      <w:r>
        <w:rPr>
          <w:rFonts w:cs="Arial"/>
          <w:color w:val="000000"/>
          <w:szCs w:val="22"/>
        </w:rPr>
        <w:t> </w:t>
      </w:r>
      <w:r w:rsidRPr="0038275F">
        <w:rPr>
          <w:rFonts w:cs="Arial"/>
          <w:color w:val="000000"/>
          <w:szCs w:val="22"/>
        </w:rPr>
        <w:t>hodnotiteľov</w:t>
      </w:r>
      <w:r>
        <w:rPr>
          <w:rFonts w:cs="Arial"/>
          <w:color w:val="000000"/>
          <w:szCs w:val="22"/>
        </w:rPr>
        <w:t>.</w:t>
      </w:r>
    </w:p>
    <w:p w:rsidR="00F05731" w:rsidRPr="008676F9" w:rsidRDefault="00F05731" w:rsidP="00A03A77">
      <w:pPr>
        <w:autoSpaceDE w:val="0"/>
        <w:autoSpaceDN w:val="0"/>
        <w:adjustRightInd w:val="0"/>
        <w:rPr>
          <w:rFonts w:ascii="Calibri" w:hAnsi="Calibri" w:cs="Arial"/>
          <w:color w:val="000000"/>
          <w:szCs w:val="22"/>
        </w:rPr>
      </w:pPr>
    </w:p>
    <w:p w:rsidR="008676F9" w:rsidRPr="008676F9" w:rsidRDefault="008676F9" w:rsidP="00A03A77">
      <w:pPr>
        <w:autoSpaceDE w:val="0"/>
        <w:autoSpaceDN w:val="0"/>
        <w:adjustRightInd w:val="0"/>
        <w:rPr>
          <w:rFonts w:ascii="Calibri" w:hAnsi="Calibri" w:cs="Arial"/>
          <w:i/>
          <w:color w:val="000000"/>
          <w:szCs w:val="22"/>
          <w:u w:val="single"/>
        </w:rPr>
      </w:pPr>
      <w:r w:rsidRPr="008676F9">
        <w:rPr>
          <w:rFonts w:ascii="Calibri" w:hAnsi="Calibri" w:cs="Arial"/>
          <w:i/>
          <w:color w:val="000000"/>
          <w:szCs w:val="22"/>
          <w:u w:val="single"/>
        </w:rPr>
        <w:t>Externé subjekty</w:t>
      </w:r>
    </w:p>
    <w:p w:rsidR="008676F9" w:rsidRPr="008676F9" w:rsidRDefault="008676F9" w:rsidP="00A03A77">
      <w:pPr>
        <w:autoSpaceDE w:val="0"/>
        <w:autoSpaceDN w:val="0"/>
        <w:adjustRightInd w:val="0"/>
        <w:rPr>
          <w:rFonts w:ascii="Calibri" w:hAnsi="Calibri" w:cs="Arial"/>
          <w:color w:val="000000"/>
          <w:szCs w:val="22"/>
        </w:rPr>
      </w:pPr>
      <w:r w:rsidRPr="008676F9">
        <w:rPr>
          <w:rFonts w:ascii="Calibri" w:hAnsi="Calibri" w:cs="Arial"/>
          <w:color w:val="000000"/>
          <w:szCs w:val="22"/>
        </w:rPr>
        <w:t>Ide o subjekty, ktoré sú hlavnými zdrojmi údajov najmä pre pracovnú/poradnú skupinu a pre Riadiaci orgán a pre celý proces monitorovania a hodnotenia. Zahŕňajú najmä výskumné ústavy, agentúry, skúšobné ústavy a ďalšie inštitúcie, ktoré disponujú informáciami z oblasti pôdohospodárstva kľúčovými pre proces hodnotenia. Informácie zozbierané prostredníctvom externých subjektov napomôžu k zisteniu úrovne napĺňania cieľov a poskytnú tak obraz o programe a jeho vykonávaní.</w:t>
      </w:r>
    </w:p>
    <w:p w:rsidR="00F05731" w:rsidRPr="00EA237A" w:rsidRDefault="00F05731" w:rsidP="00A03A77">
      <w:pPr>
        <w:autoSpaceDE w:val="0"/>
        <w:autoSpaceDN w:val="0"/>
        <w:adjustRightInd w:val="0"/>
        <w:rPr>
          <w:rFonts w:ascii="Calibri" w:hAnsi="Calibri" w:cs="Arial"/>
          <w:color w:val="000000"/>
          <w:szCs w:val="22"/>
        </w:rPr>
      </w:pPr>
      <w:r w:rsidRPr="00EA237A">
        <w:rPr>
          <w:rFonts w:ascii="Calibri" w:hAnsi="Calibri" w:cs="Arial"/>
          <w:color w:val="000000"/>
          <w:szCs w:val="22"/>
        </w:rPr>
        <w:t xml:space="preserve">Medzi externé subjekty patria najmä: </w:t>
      </w:r>
      <w:r>
        <w:rPr>
          <w:rFonts w:ascii="Calibri" w:hAnsi="Calibri" w:cs="Arial"/>
          <w:color w:val="000000"/>
          <w:szCs w:val="22"/>
        </w:rPr>
        <w:t xml:space="preserve">Národné poľnohospodárske a potravinárske centrum, </w:t>
      </w:r>
      <w:r w:rsidRPr="00EA237A">
        <w:rPr>
          <w:rFonts w:ascii="Calibri" w:hAnsi="Calibri" w:cs="Arial"/>
          <w:color w:val="000000"/>
          <w:szCs w:val="22"/>
        </w:rPr>
        <w:t>Národné lesnícke centrum, Ústredný kontrolný a skúšobný ústav poľnohospodársky, Výskumný ústav vodného hospodárstva, Slovenský hydrometeorologický ústav, Spoločnosť pre ochranu vtáctva na Slovensku, Slovenská agentúra životného prostredia a Štatistický úrad</w:t>
      </w:r>
      <w:r>
        <w:rPr>
          <w:rFonts w:ascii="Calibri" w:hAnsi="Calibri" w:cs="Arial"/>
          <w:color w:val="000000"/>
          <w:szCs w:val="22"/>
        </w:rPr>
        <w:t xml:space="preserve"> SR</w:t>
      </w:r>
      <w:r w:rsidRPr="00EA237A">
        <w:rPr>
          <w:rFonts w:ascii="Calibri" w:hAnsi="Calibri" w:cs="Arial"/>
          <w:color w:val="000000"/>
          <w:szCs w:val="22"/>
        </w:rPr>
        <w:t xml:space="preserve">. </w:t>
      </w:r>
    </w:p>
    <w:p w:rsidR="008676F9" w:rsidRPr="008676F9" w:rsidRDefault="008676F9" w:rsidP="00A03A77">
      <w:pPr>
        <w:autoSpaceDE w:val="0"/>
        <w:autoSpaceDN w:val="0"/>
        <w:adjustRightInd w:val="0"/>
        <w:rPr>
          <w:rFonts w:ascii="Calibri" w:hAnsi="Calibri" w:cs="Arial"/>
          <w:color w:val="000000"/>
          <w:szCs w:val="22"/>
        </w:rPr>
      </w:pPr>
    </w:p>
    <w:p w:rsidR="008676F9" w:rsidRPr="008676F9" w:rsidRDefault="008676F9" w:rsidP="00A03A77">
      <w:pPr>
        <w:autoSpaceDE w:val="0"/>
        <w:autoSpaceDN w:val="0"/>
        <w:adjustRightInd w:val="0"/>
        <w:rPr>
          <w:rFonts w:ascii="Calibri" w:hAnsi="Calibri" w:cs="Arial"/>
          <w:i/>
          <w:color w:val="000000"/>
          <w:szCs w:val="22"/>
          <w:u w:val="single"/>
        </w:rPr>
      </w:pPr>
      <w:r w:rsidRPr="008676F9">
        <w:rPr>
          <w:rFonts w:ascii="Calibri" w:hAnsi="Calibri" w:cs="Arial"/>
          <w:i/>
          <w:color w:val="000000"/>
          <w:szCs w:val="22"/>
          <w:u w:val="single"/>
        </w:rPr>
        <w:t>Centrálny koordinačný orgán</w:t>
      </w:r>
    </w:p>
    <w:p w:rsidR="00F05731" w:rsidRDefault="00F05731" w:rsidP="00A03A77">
      <w:pPr>
        <w:autoSpaceDE w:val="0"/>
        <w:autoSpaceDN w:val="0"/>
        <w:adjustRightInd w:val="0"/>
        <w:rPr>
          <w:szCs w:val="22"/>
        </w:rPr>
      </w:pPr>
      <w:r w:rsidRPr="00E475BD">
        <w:rPr>
          <w:szCs w:val="22"/>
        </w:rPr>
        <w:t>CKO plní úlohy v oblasti koordinácie riadenia EŠIF. V rámci uvedenej právomoci RO a PPA spolupracujú s CKO najmä v oblasti implementácie, monitorovania, hodnotenia a pri vypracovávaní správ a informácií. RO zasiela CKO výročnú správu o vykonávaní PRV SR 2014 – 2020 za predchádzajúci rozpočtový rok vypracovanú podľa čl. 50 nariadenia Európskeho parlamentu a Rady (EÚ) č. 1303/2013, ktorým sa .... (ďalej len „všeobecné nariadenie“). Ďalej RO predkladá CKO informácie týkajúce sa PRV SR 2014 – 2020 na vypracovanie Správy o pokroku, podľa č. 52 všeobecného nariadenia a iné informácie týkajúce sa realizovania PRV SR 2014 – 2020 pre účely plnenia úloh CKO v oblasti koordinácie riadenia EŠIF a plnenia povinností v oblasti vypracovávania správ a informácií o realizovaní EŠIF.</w:t>
      </w:r>
    </w:p>
    <w:p w:rsidR="00A03A77" w:rsidRDefault="00A03A77" w:rsidP="00A03A77">
      <w:pPr>
        <w:autoSpaceDE w:val="0"/>
        <w:autoSpaceDN w:val="0"/>
        <w:adjustRightInd w:val="0"/>
        <w:rPr>
          <w:rFonts w:ascii="Calibri" w:hAnsi="Calibri" w:cs="Arial"/>
          <w:i/>
          <w:color w:val="000000"/>
          <w:szCs w:val="22"/>
          <w:u w:val="single"/>
        </w:rPr>
      </w:pPr>
    </w:p>
    <w:p w:rsidR="00A03A77" w:rsidRDefault="00A03A77" w:rsidP="00A03A77">
      <w:pPr>
        <w:autoSpaceDE w:val="0"/>
        <w:autoSpaceDN w:val="0"/>
        <w:adjustRightInd w:val="0"/>
        <w:rPr>
          <w:rFonts w:ascii="Calibri" w:hAnsi="Calibri" w:cs="Arial"/>
          <w:i/>
          <w:color w:val="000000"/>
          <w:szCs w:val="22"/>
          <w:u w:val="single"/>
        </w:rPr>
      </w:pPr>
    </w:p>
    <w:p w:rsidR="00A03A77" w:rsidRDefault="00A03A77" w:rsidP="00A03A77">
      <w:pPr>
        <w:autoSpaceDE w:val="0"/>
        <w:autoSpaceDN w:val="0"/>
        <w:adjustRightInd w:val="0"/>
        <w:rPr>
          <w:rFonts w:ascii="Calibri" w:hAnsi="Calibri" w:cs="Arial"/>
          <w:i/>
          <w:color w:val="000000"/>
          <w:szCs w:val="22"/>
          <w:u w:val="single"/>
        </w:rPr>
      </w:pPr>
    </w:p>
    <w:p w:rsidR="00F05731" w:rsidRPr="00EA237A" w:rsidRDefault="00F05731" w:rsidP="00A03A77">
      <w:pPr>
        <w:autoSpaceDE w:val="0"/>
        <w:autoSpaceDN w:val="0"/>
        <w:adjustRightInd w:val="0"/>
        <w:rPr>
          <w:rFonts w:ascii="Calibri" w:hAnsi="Calibri" w:cs="Arial"/>
          <w:i/>
          <w:color w:val="000000"/>
          <w:szCs w:val="22"/>
          <w:u w:val="single"/>
        </w:rPr>
      </w:pPr>
      <w:r w:rsidRPr="00EA237A">
        <w:rPr>
          <w:rFonts w:ascii="Calibri" w:hAnsi="Calibri" w:cs="Arial"/>
          <w:i/>
          <w:color w:val="000000"/>
          <w:szCs w:val="22"/>
          <w:u w:val="single"/>
        </w:rPr>
        <w:t>Ostatné rezorty</w:t>
      </w:r>
    </w:p>
    <w:p w:rsidR="00F05731" w:rsidRDefault="00F05731" w:rsidP="00A03A77">
      <w:pPr>
        <w:autoSpaceDE w:val="0"/>
        <w:autoSpaceDN w:val="0"/>
        <w:adjustRightInd w:val="0"/>
        <w:rPr>
          <w:rFonts w:ascii="Calibri" w:hAnsi="Calibri" w:cs="Arial"/>
          <w:color w:val="000000"/>
          <w:szCs w:val="22"/>
        </w:rPr>
      </w:pPr>
      <w:r w:rsidRPr="00EA237A">
        <w:rPr>
          <w:rFonts w:ascii="Calibri" w:hAnsi="Calibri" w:cs="Arial"/>
          <w:color w:val="000000"/>
          <w:szCs w:val="22"/>
        </w:rPr>
        <w:t>Zahŕňajú ostatné ministerstvá, ktoré poskytnú súčinnosť pri procese monitorovania a</w:t>
      </w:r>
      <w:r>
        <w:rPr>
          <w:rFonts w:ascii="Calibri" w:hAnsi="Calibri" w:cs="Arial"/>
          <w:color w:val="000000"/>
          <w:szCs w:val="22"/>
        </w:rPr>
        <w:t> </w:t>
      </w:r>
      <w:r w:rsidRPr="00EA237A">
        <w:rPr>
          <w:rFonts w:ascii="Calibri" w:hAnsi="Calibri" w:cs="Arial"/>
          <w:color w:val="000000"/>
          <w:szCs w:val="22"/>
        </w:rPr>
        <w:t>hodnotenia</w:t>
      </w:r>
      <w:r>
        <w:rPr>
          <w:rFonts w:ascii="Calibri" w:hAnsi="Calibri" w:cs="Arial"/>
          <w:color w:val="000000"/>
          <w:szCs w:val="22"/>
        </w:rPr>
        <w:t>,</w:t>
      </w:r>
      <w:r w:rsidRPr="00EA237A">
        <w:rPr>
          <w:rFonts w:ascii="Calibri" w:hAnsi="Calibri" w:cs="Arial"/>
          <w:color w:val="000000"/>
          <w:szCs w:val="22"/>
        </w:rPr>
        <w:t xml:space="preserve"> najmä s prihliadnutím na ekonomické aspekty a aspekty ochrany jednotlivých zložiek životného prostredia. Spoluprácou s relevantnými orgánmi verejnej správy a ďalšími rezortmi sa zabezpečí prepojenie do ďalších oblastí úzko spätých so samotným pôdohospodárstvom. </w:t>
      </w:r>
    </w:p>
    <w:p w:rsidR="00A03A77" w:rsidRPr="00EA237A" w:rsidRDefault="00A03A77" w:rsidP="00A03A77">
      <w:pPr>
        <w:autoSpaceDE w:val="0"/>
        <w:autoSpaceDN w:val="0"/>
        <w:adjustRightInd w:val="0"/>
        <w:rPr>
          <w:rFonts w:ascii="Calibri" w:hAnsi="Calibri" w:cs="Arial"/>
          <w:color w:val="000000"/>
          <w:szCs w:val="22"/>
        </w:rPr>
      </w:pPr>
    </w:p>
    <w:p w:rsidR="00F05731" w:rsidRPr="00EA237A" w:rsidRDefault="00F05731" w:rsidP="00A03A77">
      <w:pPr>
        <w:rPr>
          <w:rFonts w:ascii="Calibri" w:hAnsi="Calibri"/>
          <w:i/>
          <w:szCs w:val="22"/>
          <w:u w:val="single"/>
        </w:rPr>
      </w:pPr>
      <w:r w:rsidRPr="00EA237A">
        <w:rPr>
          <w:rFonts w:ascii="Calibri" w:hAnsi="Calibri"/>
          <w:i/>
          <w:szCs w:val="22"/>
          <w:u w:val="single"/>
        </w:rPr>
        <w:t xml:space="preserve">Príjemcovia </w:t>
      </w:r>
    </w:p>
    <w:p w:rsidR="00F05731" w:rsidRDefault="00F05731" w:rsidP="00A03A77">
      <w:pPr>
        <w:rPr>
          <w:rFonts w:ascii="Calibri" w:hAnsi="Calibri"/>
          <w:szCs w:val="22"/>
        </w:rPr>
      </w:pPr>
      <w:r w:rsidRPr="00EA237A">
        <w:rPr>
          <w:rFonts w:ascii="Calibri" w:hAnsi="Calibri"/>
          <w:szCs w:val="22"/>
        </w:rPr>
        <w:t xml:space="preserve">Príjemcovia podpôr z programu sú priamo zapojení do procesu monitorovania a hodnotenia dvoma spôsobmi. Prvý spôsob je, že jednotliví príjemcovia sú požiadaní poskytnúť informácie týkajúce sa monitorovania a hodnotenia (prostredníctvom žiadostí o nenávratný finančný príspevok, monitorovacích správ, žiadostí o podporu na plochu alebo rôznych hodnotiacich prieskumov). Druhý spôsob zapojenia príjemcov je prostredníctvom ich profesijných združení, ktoré predstavujú dôležitých partnerov programu a sú členmi Monitorovacieho výboru. </w:t>
      </w:r>
    </w:p>
    <w:p w:rsidR="00A03A77" w:rsidRPr="00EA237A" w:rsidRDefault="00A03A77" w:rsidP="00A03A77">
      <w:pPr>
        <w:rPr>
          <w:rFonts w:ascii="Calibri" w:hAnsi="Calibri"/>
          <w:szCs w:val="22"/>
        </w:rPr>
      </w:pPr>
    </w:p>
    <w:p w:rsidR="00F05731" w:rsidRPr="00EA237A" w:rsidRDefault="00F05731" w:rsidP="00A03A77">
      <w:pPr>
        <w:rPr>
          <w:rFonts w:ascii="Calibri" w:hAnsi="Calibri"/>
          <w:i/>
          <w:szCs w:val="22"/>
          <w:u w:val="single"/>
        </w:rPr>
      </w:pPr>
      <w:r w:rsidRPr="00EA237A">
        <w:rPr>
          <w:rFonts w:ascii="Calibri" w:hAnsi="Calibri"/>
          <w:i/>
          <w:szCs w:val="22"/>
          <w:u w:val="single"/>
        </w:rPr>
        <w:t>Externí hodnotitelia</w:t>
      </w:r>
    </w:p>
    <w:p w:rsidR="00F05731" w:rsidRDefault="00F05731" w:rsidP="00A03A77">
      <w:pPr>
        <w:rPr>
          <w:rFonts w:ascii="Calibri" w:hAnsi="Calibri"/>
          <w:szCs w:val="22"/>
        </w:rPr>
      </w:pPr>
      <w:r w:rsidRPr="00EA237A">
        <w:rPr>
          <w:rFonts w:ascii="Calibri" w:hAnsi="Calibri"/>
          <w:szCs w:val="22"/>
        </w:rPr>
        <w:t>Hodnotenia PRV musia byť vykonávané hodnotiteľmi, ktorí sú funkčne nezávislí od orgánu zodpovedného za vykonávanie programu. Pre hodnotiace potreby získavajú hodnotitelia údaje od RO, prijímateľov podpory, MAS a NSRV. V procese hodnotenia spolupracujú hodnotitelia s Pracovnou skupinou</w:t>
      </w:r>
      <w:r>
        <w:rPr>
          <w:rFonts w:ascii="Calibri" w:hAnsi="Calibri"/>
          <w:szCs w:val="22"/>
        </w:rPr>
        <w:t xml:space="preserve"> pre hodnotenie</w:t>
      </w:r>
      <w:r w:rsidRPr="00EA237A">
        <w:rPr>
          <w:rFonts w:ascii="Calibri" w:hAnsi="Calibri"/>
          <w:szCs w:val="22"/>
        </w:rPr>
        <w:t xml:space="preserve">, prezentujú hodnotiace metodiky,  poskytujú a prediskutovávajú priebežné výstupy z hodnotenia. Vo vzťahu k Riadiacemu orgánu poskytujú hodnotitelia informácie o výstupoch z hodnotení, prezentujú jednotlivé hodnotiace správy pripravené v zmysle hodnotiaceho časového harmonogramu.  </w:t>
      </w:r>
    </w:p>
    <w:p w:rsidR="00A03A77" w:rsidRPr="00EA237A" w:rsidRDefault="00A03A77" w:rsidP="00A03A77">
      <w:pPr>
        <w:rPr>
          <w:rFonts w:ascii="Calibri" w:hAnsi="Calibri"/>
          <w:szCs w:val="22"/>
        </w:rPr>
      </w:pPr>
    </w:p>
    <w:p w:rsidR="00F05731" w:rsidRPr="00EA237A" w:rsidRDefault="00F05731" w:rsidP="00A03A77">
      <w:pPr>
        <w:rPr>
          <w:rFonts w:ascii="Calibri" w:hAnsi="Calibri"/>
          <w:i/>
          <w:szCs w:val="22"/>
          <w:u w:val="single"/>
        </w:rPr>
      </w:pPr>
      <w:r w:rsidRPr="00EA237A">
        <w:rPr>
          <w:rFonts w:ascii="Calibri" w:hAnsi="Calibri"/>
          <w:i/>
          <w:szCs w:val="22"/>
          <w:u w:val="single"/>
        </w:rPr>
        <w:t>Miestne akčné skupiny</w:t>
      </w:r>
    </w:p>
    <w:p w:rsidR="00F05731" w:rsidRDefault="00F05731" w:rsidP="00A03A77">
      <w:pPr>
        <w:rPr>
          <w:rFonts w:ascii="Calibri" w:hAnsi="Calibri"/>
          <w:szCs w:val="22"/>
        </w:rPr>
      </w:pPr>
      <w:r w:rsidRPr="00EA237A">
        <w:rPr>
          <w:rFonts w:ascii="Calibri" w:hAnsi="Calibri"/>
          <w:szCs w:val="22"/>
        </w:rPr>
        <w:t xml:space="preserve">MAS sú zapojené do monitorovacích a hodnotiacich aktivít viacerými spôsobmi. Sú zaviazané poskytnúť riadiacemu orgánu a/alebo určeným hodnotiteľom alebo iným subjektom povereným výkonom týchto funkcií v jeho mene všetky informácie potrebné na monitorovanie a hodnotenie programu. Okrem toho majú vykonávať vlastné hodnotenia a monitorovanie miestnych rozvojových stratégií. MAS môžu poskytnúť neoceniteľné miestne znalosti a kontakty ako aj praktický pohľad na monitorovacie a hodnotiace postupy.  </w:t>
      </w:r>
      <w:r>
        <w:rPr>
          <w:rFonts w:ascii="Calibri" w:hAnsi="Calibri"/>
          <w:szCs w:val="22"/>
        </w:rPr>
        <w:t>Poskytnú taktiež informácie o podpore MAS prostredníctvom CLLD.</w:t>
      </w:r>
    </w:p>
    <w:p w:rsidR="00A03A77" w:rsidRPr="00EA237A" w:rsidRDefault="00A03A77" w:rsidP="00A03A77">
      <w:pPr>
        <w:rPr>
          <w:rFonts w:ascii="Calibri" w:hAnsi="Calibri"/>
          <w:szCs w:val="22"/>
        </w:rPr>
      </w:pPr>
    </w:p>
    <w:p w:rsidR="008676F9" w:rsidRPr="008676F9" w:rsidRDefault="008676F9" w:rsidP="000905ED">
      <w:pPr>
        <w:rPr>
          <w:rFonts w:ascii="Calibri" w:hAnsi="Calibri"/>
          <w:i/>
          <w:szCs w:val="22"/>
          <w:u w:val="single"/>
        </w:rPr>
      </w:pPr>
      <w:r w:rsidRPr="008676F9">
        <w:rPr>
          <w:rFonts w:ascii="Calibri" w:hAnsi="Calibri"/>
          <w:i/>
          <w:szCs w:val="22"/>
          <w:u w:val="single"/>
        </w:rPr>
        <w:t>Národná sieť rozvoja vidieka</w:t>
      </w:r>
    </w:p>
    <w:p w:rsidR="00F05731" w:rsidRPr="00EA237A" w:rsidRDefault="00F05731" w:rsidP="00F05731">
      <w:pPr>
        <w:rPr>
          <w:rFonts w:ascii="Calibri" w:hAnsi="Calibri"/>
          <w:szCs w:val="22"/>
        </w:rPr>
      </w:pPr>
      <w:r w:rsidRPr="00EA237A">
        <w:rPr>
          <w:rFonts w:ascii="Calibri" w:hAnsi="Calibri"/>
          <w:szCs w:val="22"/>
        </w:rPr>
        <w:t>NSRV zabezpečuje prostredníctvom svojej činnosti a regionálnych pracovísk zhromažďovanie a analyzovanie dát od príjemcov podpôr. Zhromažďuje, sleduje a monitoruje údaje v oblasti rozvoja vidieka. Má za úlohu poskytovať spätnú väzbu riadiacemu orgánu a iným štátnym inštitúciám a zodpovedným orgánom vo vzťahu k rozvoju vidieka pri monitorovacích a hodnotiacich aktivitách. Zabezpečuje zber a analýzu údajov od príjemcov podpory pre ad hoc hodnotenie.</w:t>
      </w:r>
      <w:r>
        <w:rPr>
          <w:rFonts w:ascii="Calibri" w:hAnsi="Calibri"/>
          <w:szCs w:val="22"/>
        </w:rPr>
        <w:t xml:space="preserve"> Zabezpečuje taktiež informovanie verejnosti o hodnotení programu prostredníctvom komunikačných nástrojov.</w:t>
      </w:r>
    </w:p>
    <w:p w:rsidR="008676F9" w:rsidRPr="008676F9" w:rsidRDefault="008676F9" w:rsidP="008676F9">
      <w:pPr>
        <w:spacing w:after="200" w:line="276" w:lineRule="auto"/>
        <w:ind w:left="720"/>
        <w:contextualSpacing/>
        <w:rPr>
          <w:rFonts w:ascii="Calibri" w:hAnsi="Calibri"/>
          <w:szCs w:val="22"/>
        </w:rPr>
      </w:pPr>
    </w:p>
    <w:p w:rsidR="008676F9" w:rsidRPr="00346468" w:rsidRDefault="008676F9" w:rsidP="00CE203B">
      <w:pPr>
        <w:numPr>
          <w:ilvl w:val="0"/>
          <w:numId w:val="384"/>
        </w:numPr>
        <w:spacing w:after="200"/>
        <w:contextualSpacing/>
        <w:jc w:val="left"/>
        <w:rPr>
          <w:rFonts w:ascii="Calibri" w:hAnsi="Calibri"/>
          <w:b/>
          <w:szCs w:val="22"/>
        </w:rPr>
      </w:pPr>
      <w:bookmarkStart w:id="120" w:name="_Toc384111065"/>
      <w:r w:rsidRPr="00346468">
        <w:rPr>
          <w:rFonts w:ascii="Calibri" w:hAnsi="Calibri"/>
          <w:b/>
          <w:szCs w:val="22"/>
        </w:rPr>
        <w:t>HODNOTIACE TÉMY A AKTIVITY</w:t>
      </w:r>
      <w:bookmarkEnd w:id="120"/>
    </w:p>
    <w:p w:rsidR="00346468" w:rsidRPr="00346468" w:rsidRDefault="00346468" w:rsidP="00DA7200">
      <w:pPr>
        <w:spacing w:after="120"/>
        <w:rPr>
          <w:rFonts w:ascii="Calibri" w:hAnsi="Calibri"/>
          <w:szCs w:val="22"/>
        </w:rPr>
      </w:pPr>
      <w:r w:rsidRPr="00346468">
        <w:rPr>
          <w:rFonts w:ascii="Calibri" w:hAnsi="Calibri"/>
          <w:szCs w:val="22"/>
        </w:rPr>
        <w:t xml:space="preserve">Riadiaci orgán vykonáva hodnotenia, aby posúdil účinnosť, hospodárnosť a dosah PRV. Hodnotenia vykonané počas programového obdobia majú posúdiť programovú intervenčnú logiku a jej implementáciu, vrátane doplnkovosti a synergií s Pilierom I. </w:t>
      </w:r>
    </w:p>
    <w:p w:rsidR="00346468" w:rsidRPr="00346468" w:rsidRDefault="00346468" w:rsidP="00DA7200">
      <w:pPr>
        <w:spacing w:after="120"/>
        <w:rPr>
          <w:rFonts w:ascii="Calibri" w:hAnsi="Calibri"/>
        </w:rPr>
      </w:pPr>
      <w:r w:rsidRPr="00346468">
        <w:rPr>
          <w:rFonts w:ascii="Calibri" w:hAnsi="Calibri"/>
          <w:szCs w:val="22"/>
        </w:rPr>
        <w:t>Hodnotiace témy sú prepojené na všetky vybrané oblasti záberu na základe analýzy SWOT a hodnotenia potrieb, prierezové (životné prostredie, klimatické zmeny, inovácie)  a špecifické témy (Leader, NSRV). Ďalšie témy budú navrhnuté v priebehu programového obdobia podľa potreby.</w:t>
      </w:r>
    </w:p>
    <w:p w:rsidR="00346468" w:rsidRPr="00346468" w:rsidRDefault="00346468" w:rsidP="00DA7200">
      <w:pPr>
        <w:spacing w:after="120"/>
        <w:rPr>
          <w:rFonts w:eastAsia="Calibri"/>
          <w:szCs w:val="22"/>
        </w:rPr>
      </w:pPr>
      <w:r w:rsidRPr="00346468">
        <w:rPr>
          <w:rFonts w:ascii="Calibri" w:eastAsia="Calibri" w:hAnsi="Calibri"/>
          <w:szCs w:val="22"/>
        </w:rPr>
        <w:t xml:space="preserve">Definícia obsahov hodnotenia </w:t>
      </w:r>
      <w:r w:rsidRPr="00346468">
        <w:rPr>
          <w:rFonts w:eastAsia="Calibri"/>
          <w:szCs w:val="22"/>
        </w:rPr>
        <w:t>prebehne na základe jednotlivých prvkov programového plánovania a opiera sa o všeobecnú spoločnú rámcovú činnosť EÚ pre monitoring a hodnotenie PRV v období 2014 - 2020.  Hodnotenie bude realizované so zameraním sa na potreby na úrovni fokusovej, článkovej,</w:t>
      </w:r>
      <w:r w:rsidRPr="00346468">
        <w:rPr>
          <w:rFonts w:eastAsia="Calibri"/>
          <w:szCs w:val="22"/>
        </w:rPr>
        <w:lastRenderedPageBreak/>
        <w:t xml:space="preserve"> resp. opatrení. Hĺbka a presnosť, ktorou budú jednotlivé hodnotiace oblasti hodnotené, sa zameriava na štruktúru plánovacích programových dokumentoch.  </w:t>
      </w:r>
    </w:p>
    <w:p w:rsidR="00346468" w:rsidRPr="00346468" w:rsidRDefault="00346468" w:rsidP="00DA7200">
      <w:pPr>
        <w:rPr>
          <w:rFonts w:cstheme="minorHAnsi"/>
          <w:szCs w:val="22"/>
        </w:rPr>
      </w:pPr>
      <w:r w:rsidRPr="00346468">
        <w:rPr>
          <w:rFonts w:cstheme="minorHAnsi"/>
          <w:szCs w:val="22"/>
        </w:rPr>
        <w:t xml:space="preserve">Hodnotenie PRV 2020 musí vo svojich analýzach zohľadňovať politický rámcový materiál Stratégia Európy 2020 a  tiež musí hodnotiť ako efektívne program prispieva k dosiahnutiu celkových cieľov. </w:t>
      </w:r>
    </w:p>
    <w:p w:rsidR="008676F9" w:rsidRPr="008676F9" w:rsidRDefault="008676F9" w:rsidP="008676F9">
      <w:pPr>
        <w:spacing w:after="120"/>
        <w:ind w:left="720"/>
        <w:contextualSpacing/>
        <w:rPr>
          <w:rFonts w:ascii="Calibri" w:hAnsi="Calibri"/>
        </w:rPr>
        <w:sectPr w:rsidR="008676F9" w:rsidRPr="008676F9" w:rsidSect="00BB33FC">
          <w:headerReference w:type="default" r:id="rId84"/>
          <w:pgSz w:w="11906" w:h="16838"/>
          <w:pgMar w:top="1417" w:right="1417" w:bottom="1417" w:left="1417" w:header="708" w:footer="708" w:gutter="0"/>
          <w:cols w:space="708"/>
          <w:docGrid w:linePitch="360"/>
        </w:sectPr>
      </w:pPr>
    </w:p>
    <w:p w:rsidR="008676F9" w:rsidRPr="008676F9" w:rsidRDefault="008676F9" w:rsidP="008676F9">
      <w:pPr>
        <w:spacing w:after="200" w:line="276" w:lineRule="auto"/>
        <w:ind w:left="720"/>
        <w:contextualSpacing/>
        <w:rPr>
          <w:rFonts w:ascii="Calibri" w:hAnsi="Calibri"/>
        </w:rPr>
      </w:pPr>
    </w:p>
    <w:tbl>
      <w:tblPr>
        <w:tblW w:w="14033"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68"/>
        <w:gridCol w:w="4536"/>
        <w:gridCol w:w="1418"/>
        <w:gridCol w:w="1417"/>
        <w:gridCol w:w="1418"/>
        <w:gridCol w:w="1275"/>
        <w:gridCol w:w="1701"/>
      </w:tblGrid>
      <w:tr w:rsidR="00346468" w:rsidRPr="00EA237A" w:rsidTr="00A03A77">
        <w:tc>
          <w:tcPr>
            <w:tcW w:w="2268" w:type="dxa"/>
            <w:vMerge w:val="restart"/>
            <w:shd w:val="clear" w:color="auto" w:fill="DAEEF3"/>
            <w:vAlign w:val="center"/>
          </w:tcPr>
          <w:p w:rsidR="00346468" w:rsidRPr="00EA237A" w:rsidRDefault="00346468" w:rsidP="00A03A77">
            <w:pPr>
              <w:contextualSpacing/>
              <w:jc w:val="center"/>
              <w:rPr>
                <w:rFonts w:ascii="Calibri" w:hAnsi="Calibri"/>
                <w:b/>
                <w:sz w:val="18"/>
                <w:szCs w:val="18"/>
              </w:rPr>
            </w:pPr>
            <w:r w:rsidRPr="00EA237A">
              <w:rPr>
                <w:rFonts w:ascii="Calibri" w:hAnsi="Calibri"/>
                <w:b/>
                <w:sz w:val="18"/>
                <w:szCs w:val="18"/>
              </w:rPr>
              <w:t>Hodnotiace témy</w:t>
            </w:r>
          </w:p>
        </w:tc>
        <w:tc>
          <w:tcPr>
            <w:tcW w:w="4536" w:type="dxa"/>
            <w:vMerge w:val="restart"/>
            <w:shd w:val="clear" w:color="auto" w:fill="DAEEF3"/>
            <w:vAlign w:val="center"/>
          </w:tcPr>
          <w:p w:rsidR="00346468" w:rsidRPr="00EA237A" w:rsidRDefault="00346468" w:rsidP="00A03A77">
            <w:pPr>
              <w:contextualSpacing/>
              <w:jc w:val="center"/>
              <w:rPr>
                <w:rFonts w:ascii="Calibri" w:hAnsi="Calibri"/>
                <w:b/>
                <w:sz w:val="18"/>
                <w:szCs w:val="18"/>
              </w:rPr>
            </w:pPr>
            <w:r w:rsidRPr="00EA237A">
              <w:rPr>
                <w:rFonts w:ascii="Calibri" w:hAnsi="Calibri"/>
                <w:b/>
                <w:sz w:val="18"/>
                <w:szCs w:val="18"/>
              </w:rPr>
              <w:t>Hlavné hodnotiace úlohy v vzťahu k hodnotiacim témam</w:t>
            </w:r>
          </w:p>
        </w:tc>
        <w:tc>
          <w:tcPr>
            <w:tcW w:w="2835" w:type="dxa"/>
            <w:gridSpan w:val="2"/>
            <w:shd w:val="clear" w:color="auto" w:fill="DAEEF3"/>
            <w:vAlign w:val="center"/>
          </w:tcPr>
          <w:p w:rsidR="00346468" w:rsidRPr="00EA237A" w:rsidRDefault="00346468" w:rsidP="00A03A77">
            <w:pPr>
              <w:contextualSpacing/>
              <w:jc w:val="center"/>
              <w:rPr>
                <w:rFonts w:ascii="Calibri" w:hAnsi="Calibri"/>
                <w:b/>
                <w:sz w:val="18"/>
                <w:szCs w:val="18"/>
              </w:rPr>
            </w:pPr>
            <w:r w:rsidRPr="00EA237A">
              <w:rPr>
                <w:rFonts w:ascii="Calibri" w:hAnsi="Calibri"/>
                <w:b/>
                <w:sz w:val="18"/>
                <w:szCs w:val="18"/>
              </w:rPr>
              <w:t>Hodnotiace otázky</w:t>
            </w:r>
          </w:p>
        </w:tc>
        <w:tc>
          <w:tcPr>
            <w:tcW w:w="2693" w:type="dxa"/>
            <w:gridSpan w:val="2"/>
            <w:shd w:val="clear" w:color="auto" w:fill="DAEEF3"/>
            <w:vAlign w:val="center"/>
          </w:tcPr>
          <w:p w:rsidR="00346468" w:rsidRPr="00EA237A" w:rsidRDefault="00346468" w:rsidP="00A03A77">
            <w:pPr>
              <w:contextualSpacing/>
              <w:jc w:val="center"/>
              <w:rPr>
                <w:rFonts w:ascii="Calibri" w:hAnsi="Calibri"/>
                <w:b/>
                <w:sz w:val="18"/>
                <w:szCs w:val="18"/>
              </w:rPr>
            </w:pPr>
            <w:r w:rsidRPr="00EA237A">
              <w:rPr>
                <w:rFonts w:ascii="Calibri" w:hAnsi="Calibri"/>
                <w:b/>
                <w:sz w:val="18"/>
                <w:szCs w:val="18"/>
              </w:rPr>
              <w:t>Ukazovatele</w:t>
            </w:r>
          </w:p>
        </w:tc>
        <w:tc>
          <w:tcPr>
            <w:tcW w:w="1701" w:type="dxa"/>
            <w:vMerge w:val="restart"/>
            <w:shd w:val="clear" w:color="auto" w:fill="DAEEF3"/>
            <w:vAlign w:val="center"/>
          </w:tcPr>
          <w:p w:rsidR="00346468" w:rsidRPr="00EA237A" w:rsidRDefault="00346468" w:rsidP="00A03A77">
            <w:pPr>
              <w:contextualSpacing/>
              <w:jc w:val="center"/>
              <w:rPr>
                <w:rFonts w:ascii="Calibri" w:hAnsi="Calibri"/>
                <w:b/>
                <w:sz w:val="18"/>
                <w:szCs w:val="18"/>
              </w:rPr>
            </w:pPr>
            <w:r w:rsidRPr="00EA237A">
              <w:rPr>
                <w:rFonts w:ascii="Calibri" w:hAnsi="Calibri"/>
                <w:b/>
                <w:sz w:val="18"/>
                <w:szCs w:val="18"/>
              </w:rPr>
              <w:t>Správy</w:t>
            </w:r>
          </w:p>
        </w:tc>
      </w:tr>
      <w:tr w:rsidR="00346468" w:rsidRPr="00EA237A" w:rsidTr="00A03A77">
        <w:tc>
          <w:tcPr>
            <w:tcW w:w="2268" w:type="dxa"/>
            <w:vMerge/>
          </w:tcPr>
          <w:p w:rsidR="00346468" w:rsidRPr="00EA237A" w:rsidRDefault="00346468" w:rsidP="00346468">
            <w:pPr>
              <w:contextualSpacing/>
              <w:rPr>
                <w:rFonts w:ascii="Calibri" w:hAnsi="Calibri"/>
                <w:sz w:val="18"/>
                <w:szCs w:val="18"/>
              </w:rPr>
            </w:pPr>
          </w:p>
        </w:tc>
        <w:tc>
          <w:tcPr>
            <w:tcW w:w="4536" w:type="dxa"/>
            <w:vMerge/>
          </w:tcPr>
          <w:p w:rsidR="00346468" w:rsidRPr="00EA237A" w:rsidRDefault="00346468" w:rsidP="00346468">
            <w:pPr>
              <w:contextualSpacing/>
              <w:rPr>
                <w:rFonts w:ascii="Calibri" w:hAnsi="Calibri"/>
                <w:sz w:val="18"/>
                <w:szCs w:val="18"/>
              </w:rPr>
            </w:pPr>
          </w:p>
        </w:tc>
        <w:tc>
          <w:tcPr>
            <w:tcW w:w="1418" w:type="dxa"/>
            <w:shd w:val="clear" w:color="auto" w:fill="DAEEF3"/>
            <w:vAlign w:val="center"/>
          </w:tcPr>
          <w:p w:rsidR="00346468" w:rsidRPr="00EA237A" w:rsidRDefault="00346468" w:rsidP="00A03A77">
            <w:pPr>
              <w:contextualSpacing/>
              <w:jc w:val="center"/>
              <w:rPr>
                <w:rFonts w:ascii="Calibri" w:hAnsi="Calibri"/>
                <w:sz w:val="18"/>
                <w:szCs w:val="18"/>
              </w:rPr>
            </w:pPr>
            <w:r w:rsidRPr="00EA237A">
              <w:rPr>
                <w:rFonts w:ascii="Calibri" w:hAnsi="Calibri"/>
                <w:sz w:val="18"/>
                <w:szCs w:val="18"/>
              </w:rPr>
              <w:t>EÚ</w:t>
            </w:r>
          </w:p>
        </w:tc>
        <w:tc>
          <w:tcPr>
            <w:tcW w:w="1417" w:type="dxa"/>
            <w:shd w:val="clear" w:color="auto" w:fill="DAEEF3"/>
            <w:vAlign w:val="center"/>
          </w:tcPr>
          <w:p w:rsidR="00346468" w:rsidRPr="00EA237A" w:rsidRDefault="00346468" w:rsidP="00A03A77">
            <w:pPr>
              <w:contextualSpacing/>
              <w:jc w:val="center"/>
              <w:rPr>
                <w:rFonts w:ascii="Calibri" w:hAnsi="Calibri"/>
                <w:sz w:val="18"/>
                <w:szCs w:val="18"/>
              </w:rPr>
            </w:pPr>
            <w:r w:rsidRPr="00EA237A">
              <w:rPr>
                <w:rFonts w:ascii="Calibri" w:hAnsi="Calibri"/>
                <w:sz w:val="18"/>
                <w:szCs w:val="18"/>
              </w:rPr>
              <w:t>PRV</w:t>
            </w:r>
          </w:p>
        </w:tc>
        <w:tc>
          <w:tcPr>
            <w:tcW w:w="1418" w:type="dxa"/>
            <w:shd w:val="clear" w:color="auto" w:fill="DAEEF3"/>
            <w:vAlign w:val="center"/>
          </w:tcPr>
          <w:p w:rsidR="00346468" w:rsidRPr="00EA237A" w:rsidRDefault="00346468" w:rsidP="00A03A77">
            <w:pPr>
              <w:contextualSpacing/>
              <w:jc w:val="center"/>
              <w:rPr>
                <w:rFonts w:ascii="Calibri" w:hAnsi="Calibri"/>
                <w:sz w:val="18"/>
                <w:szCs w:val="18"/>
              </w:rPr>
            </w:pPr>
            <w:r w:rsidRPr="00EA237A">
              <w:rPr>
                <w:rFonts w:ascii="Calibri" w:hAnsi="Calibri"/>
                <w:sz w:val="18"/>
                <w:szCs w:val="18"/>
              </w:rPr>
              <w:t>EÚ</w:t>
            </w:r>
          </w:p>
        </w:tc>
        <w:tc>
          <w:tcPr>
            <w:tcW w:w="1275" w:type="dxa"/>
            <w:shd w:val="clear" w:color="auto" w:fill="DAEEF3"/>
            <w:vAlign w:val="center"/>
          </w:tcPr>
          <w:p w:rsidR="00346468" w:rsidRPr="00EA237A" w:rsidRDefault="00346468" w:rsidP="00A03A77">
            <w:pPr>
              <w:contextualSpacing/>
              <w:jc w:val="center"/>
              <w:rPr>
                <w:rFonts w:ascii="Calibri" w:hAnsi="Calibri"/>
                <w:sz w:val="18"/>
                <w:szCs w:val="18"/>
              </w:rPr>
            </w:pPr>
            <w:r w:rsidRPr="00EA237A">
              <w:rPr>
                <w:rFonts w:ascii="Calibri" w:hAnsi="Calibri"/>
                <w:sz w:val="18"/>
                <w:szCs w:val="18"/>
              </w:rPr>
              <w:t>PRV</w:t>
            </w:r>
          </w:p>
        </w:tc>
        <w:tc>
          <w:tcPr>
            <w:tcW w:w="1701" w:type="dxa"/>
            <w:vMerge/>
          </w:tcPr>
          <w:p w:rsidR="00346468" w:rsidRPr="00EA237A" w:rsidRDefault="00346468" w:rsidP="00346468">
            <w:pPr>
              <w:contextualSpacing/>
              <w:rPr>
                <w:rFonts w:ascii="Calibri" w:hAnsi="Calibri"/>
                <w:sz w:val="18"/>
                <w:szCs w:val="18"/>
              </w:rPr>
            </w:pPr>
          </w:p>
        </w:tc>
      </w:tr>
      <w:tr w:rsidR="00346468" w:rsidRPr="00EA237A" w:rsidTr="00346468">
        <w:tc>
          <w:tcPr>
            <w:tcW w:w="2268" w:type="dxa"/>
            <w:vMerge w:val="restart"/>
          </w:tcPr>
          <w:p w:rsidR="00346468" w:rsidRPr="00EA237A" w:rsidRDefault="00346468" w:rsidP="00346468">
            <w:pPr>
              <w:contextualSpacing/>
              <w:rPr>
                <w:rFonts w:ascii="Calibri" w:hAnsi="Calibri"/>
                <w:sz w:val="18"/>
                <w:szCs w:val="18"/>
              </w:rPr>
            </w:pPr>
            <w:r>
              <w:rPr>
                <w:rFonts w:ascii="Calibri" w:hAnsi="Calibri"/>
                <w:sz w:val="18"/>
                <w:szCs w:val="18"/>
              </w:rPr>
              <w:t>Fokusové oblasti</w:t>
            </w:r>
            <w:r w:rsidRPr="00EA237A">
              <w:rPr>
                <w:rFonts w:ascii="Calibri" w:hAnsi="Calibri"/>
                <w:sz w:val="18"/>
                <w:szCs w:val="18"/>
              </w:rPr>
              <w:t xml:space="preserve"> (1-1</w:t>
            </w:r>
            <w:r>
              <w:rPr>
                <w:rFonts w:ascii="Calibri" w:hAnsi="Calibri"/>
                <w:sz w:val="18"/>
                <w:szCs w:val="18"/>
              </w:rPr>
              <w:t>9</w:t>
            </w:r>
            <w:r w:rsidRPr="00EA237A">
              <w:rPr>
                <w:rFonts w:ascii="Calibri" w:hAnsi="Calibri"/>
                <w:sz w:val="18"/>
                <w:szCs w:val="18"/>
              </w:rPr>
              <w:t xml:space="preserve">) </w:t>
            </w:r>
          </w:p>
          <w:p w:rsidR="00346468" w:rsidRPr="00EA237A" w:rsidRDefault="00346468" w:rsidP="00346468">
            <w:pPr>
              <w:contextualSpacing/>
              <w:rPr>
                <w:rFonts w:ascii="Calibri" w:hAnsi="Calibri"/>
                <w:sz w:val="18"/>
                <w:szCs w:val="18"/>
              </w:rPr>
            </w:pPr>
          </w:p>
          <w:p w:rsidR="00346468" w:rsidRPr="00EA237A" w:rsidRDefault="00346468" w:rsidP="00346468">
            <w:pPr>
              <w:contextualSpacing/>
              <w:rPr>
                <w:rFonts w:ascii="Calibri" w:hAnsi="Calibri"/>
                <w:sz w:val="18"/>
                <w:szCs w:val="18"/>
              </w:rPr>
            </w:pPr>
            <w:r w:rsidRPr="00EA237A">
              <w:rPr>
                <w:rFonts w:ascii="Calibri" w:hAnsi="Calibri"/>
                <w:sz w:val="18"/>
                <w:szCs w:val="18"/>
              </w:rPr>
              <w:t>Konkurencieschopná výroba potravín</w:t>
            </w:r>
          </w:p>
          <w:p w:rsidR="00346468" w:rsidRPr="00EA237A" w:rsidRDefault="00346468" w:rsidP="00346468">
            <w:pPr>
              <w:contextualSpacing/>
              <w:rPr>
                <w:rFonts w:ascii="Calibri" w:hAnsi="Calibri"/>
                <w:sz w:val="18"/>
                <w:szCs w:val="18"/>
              </w:rPr>
            </w:pPr>
          </w:p>
          <w:p w:rsidR="00346468" w:rsidRPr="00EA237A" w:rsidRDefault="00346468" w:rsidP="00346468">
            <w:pPr>
              <w:rPr>
                <w:rFonts w:ascii="Calibri" w:hAnsi="Calibri"/>
                <w:sz w:val="18"/>
                <w:szCs w:val="18"/>
              </w:rPr>
            </w:pPr>
            <w:r w:rsidRPr="00EA237A">
              <w:rPr>
                <w:rFonts w:ascii="Calibri" w:hAnsi="Calibri"/>
                <w:bCs/>
                <w:sz w:val="18"/>
                <w:szCs w:val="18"/>
              </w:rPr>
              <w:t xml:space="preserve">Udržateľný manažment prírodných zdrojov a prispôsobovanie sa klimatickým zmenám </w:t>
            </w:r>
          </w:p>
          <w:p w:rsidR="00346468" w:rsidRPr="00EA237A" w:rsidRDefault="00346468" w:rsidP="00346468">
            <w:pPr>
              <w:contextualSpacing/>
              <w:rPr>
                <w:rFonts w:ascii="Calibri" w:hAnsi="Calibri"/>
                <w:sz w:val="18"/>
                <w:szCs w:val="18"/>
              </w:rPr>
            </w:pPr>
          </w:p>
          <w:p w:rsidR="00346468" w:rsidRPr="00EA237A" w:rsidRDefault="00346468" w:rsidP="00346468">
            <w:pPr>
              <w:rPr>
                <w:rFonts w:ascii="Calibri" w:hAnsi="Calibri"/>
                <w:sz w:val="18"/>
                <w:szCs w:val="18"/>
              </w:rPr>
            </w:pPr>
            <w:r w:rsidRPr="00EA237A">
              <w:rPr>
                <w:rFonts w:ascii="Calibri" w:hAnsi="Calibri"/>
                <w:bCs/>
                <w:sz w:val="18"/>
                <w:szCs w:val="18"/>
              </w:rPr>
              <w:t xml:space="preserve">Vyvážený územný rozvoj </w:t>
            </w:r>
          </w:p>
          <w:p w:rsidR="00346468" w:rsidRPr="00EA237A" w:rsidRDefault="00346468" w:rsidP="00346468">
            <w:pPr>
              <w:contextualSpacing/>
              <w:rPr>
                <w:rFonts w:ascii="Calibri" w:hAnsi="Calibri"/>
                <w:sz w:val="18"/>
                <w:szCs w:val="18"/>
              </w:rPr>
            </w:pPr>
          </w:p>
          <w:p w:rsidR="00346468" w:rsidRPr="00EA237A" w:rsidRDefault="00346468" w:rsidP="00346468">
            <w:pPr>
              <w:contextualSpacing/>
              <w:rPr>
                <w:rFonts w:ascii="Calibri" w:hAnsi="Calibri"/>
                <w:sz w:val="18"/>
                <w:szCs w:val="18"/>
              </w:rPr>
            </w:pPr>
            <w:r w:rsidRPr="00EA237A">
              <w:rPr>
                <w:rFonts w:ascii="Calibri" w:hAnsi="Calibri"/>
                <w:sz w:val="18"/>
                <w:szCs w:val="18"/>
              </w:rPr>
              <w:t>LEADER</w:t>
            </w:r>
          </w:p>
          <w:p w:rsidR="00346468" w:rsidRPr="00EA237A" w:rsidRDefault="00346468" w:rsidP="00346468">
            <w:pPr>
              <w:contextualSpacing/>
              <w:rPr>
                <w:rFonts w:ascii="Calibri" w:hAnsi="Calibri"/>
                <w:sz w:val="18"/>
                <w:szCs w:val="18"/>
              </w:rPr>
            </w:pPr>
          </w:p>
          <w:p w:rsidR="00346468" w:rsidRPr="00EA237A" w:rsidRDefault="00346468" w:rsidP="00346468">
            <w:pPr>
              <w:contextualSpacing/>
              <w:rPr>
                <w:rFonts w:ascii="Calibri" w:hAnsi="Calibri"/>
                <w:sz w:val="18"/>
                <w:szCs w:val="18"/>
              </w:rPr>
            </w:pPr>
            <w:r w:rsidRPr="00EA237A">
              <w:rPr>
                <w:rFonts w:ascii="Calibri" w:hAnsi="Calibri"/>
                <w:sz w:val="18"/>
                <w:szCs w:val="18"/>
              </w:rPr>
              <w:t>NSRV</w:t>
            </w:r>
          </w:p>
          <w:p w:rsidR="00346468" w:rsidRPr="00EA237A" w:rsidRDefault="00346468" w:rsidP="00346468">
            <w:pPr>
              <w:contextualSpacing/>
              <w:rPr>
                <w:rFonts w:ascii="Calibri" w:hAnsi="Calibri"/>
                <w:sz w:val="18"/>
                <w:szCs w:val="18"/>
              </w:rPr>
            </w:pPr>
          </w:p>
          <w:p w:rsidR="00346468" w:rsidRPr="00EA237A" w:rsidRDefault="00346468" w:rsidP="00346468">
            <w:pPr>
              <w:contextualSpacing/>
              <w:rPr>
                <w:rFonts w:ascii="Calibri" w:hAnsi="Calibri"/>
                <w:sz w:val="18"/>
                <w:szCs w:val="18"/>
              </w:rPr>
            </w:pPr>
            <w:r w:rsidRPr="00EA237A">
              <w:rPr>
                <w:rFonts w:ascii="Calibri" w:hAnsi="Calibri"/>
                <w:sz w:val="18"/>
                <w:szCs w:val="18"/>
              </w:rPr>
              <w:t>Inovácie</w:t>
            </w:r>
          </w:p>
          <w:p w:rsidR="00346468" w:rsidRPr="00EA237A" w:rsidRDefault="00346468" w:rsidP="00346468">
            <w:pPr>
              <w:contextualSpacing/>
              <w:rPr>
                <w:rFonts w:ascii="Calibri" w:hAnsi="Calibri"/>
                <w:sz w:val="18"/>
                <w:szCs w:val="18"/>
              </w:rPr>
            </w:pPr>
          </w:p>
          <w:p w:rsidR="00346468" w:rsidRPr="00EA237A" w:rsidRDefault="00346468" w:rsidP="00346468">
            <w:pPr>
              <w:contextualSpacing/>
              <w:rPr>
                <w:rFonts w:ascii="Calibri" w:hAnsi="Calibri"/>
                <w:sz w:val="18"/>
                <w:szCs w:val="18"/>
              </w:rPr>
            </w:pPr>
            <w:r>
              <w:rPr>
                <w:rFonts w:ascii="Calibri" w:hAnsi="Calibri"/>
                <w:sz w:val="18"/>
                <w:szCs w:val="18"/>
              </w:rPr>
              <w:t>Životné prostredie</w:t>
            </w:r>
          </w:p>
          <w:p w:rsidR="00346468" w:rsidRPr="00EA237A" w:rsidRDefault="00346468" w:rsidP="00346468">
            <w:pPr>
              <w:contextualSpacing/>
              <w:rPr>
                <w:rFonts w:ascii="Calibri" w:hAnsi="Calibri"/>
                <w:sz w:val="18"/>
                <w:szCs w:val="18"/>
              </w:rPr>
            </w:pPr>
          </w:p>
          <w:p w:rsidR="00346468" w:rsidRPr="00EA237A" w:rsidRDefault="00346468" w:rsidP="00346468">
            <w:pPr>
              <w:contextualSpacing/>
              <w:rPr>
                <w:rFonts w:ascii="Calibri" w:hAnsi="Calibri"/>
                <w:sz w:val="18"/>
                <w:szCs w:val="18"/>
              </w:rPr>
            </w:pPr>
            <w:r w:rsidRPr="00EA237A">
              <w:rPr>
                <w:rFonts w:ascii="Calibri" w:hAnsi="Calibri"/>
                <w:sz w:val="18"/>
                <w:szCs w:val="18"/>
              </w:rPr>
              <w:t>Tvorba pracovných miest</w:t>
            </w:r>
          </w:p>
          <w:p w:rsidR="00346468" w:rsidRPr="00EA237A" w:rsidRDefault="00346468" w:rsidP="00346468">
            <w:pPr>
              <w:contextualSpacing/>
              <w:rPr>
                <w:rFonts w:ascii="Calibri" w:hAnsi="Calibri"/>
                <w:sz w:val="18"/>
                <w:szCs w:val="18"/>
              </w:rPr>
            </w:pPr>
          </w:p>
          <w:p w:rsidR="00346468" w:rsidRPr="00EA237A" w:rsidRDefault="00346468" w:rsidP="00346468">
            <w:pPr>
              <w:contextualSpacing/>
              <w:rPr>
                <w:rFonts w:ascii="Calibri" w:hAnsi="Calibri"/>
                <w:sz w:val="18"/>
                <w:szCs w:val="18"/>
              </w:rPr>
            </w:pPr>
            <w:r w:rsidRPr="00EA237A">
              <w:rPr>
                <w:rFonts w:ascii="Calibri" w:hAnsi="Calibri"/>
                <w:sz w:val="18"/>
                <w:szCs w:val="18"/>
              </w:rPr>
              <w:t>Kvalita života</w:t>
            </w:r>
          </w:p>
          <w:p w:rsidR="00346468" w:rsidRPr="00EA237A" w:rsidRDefault="00346468" w:rsidP="00346468">
            <w:pPr>
              <w:contextualSpacing/>
              <w:rPr>
                <w:rFonts w:ascii="Calibri" w:hAnsi="Calibri"/>
                <w:sz w:val="18"/>
                <w:szCs w:val="18"/>
              </w:rPr>
            </w:pPr>
          </w:p>
        </w:tc>
        <w:tc>
          <w:tcPr>
            <w:tcW w:w="4536" w:type="dxa"/>
          </w:tcPr>
          <w:p w:rsidR="00346468" w:rsidRPr="00EA237A" w:rsidRDefault="00346468" w:rsidP="00346468">
            <w:pPr>
              <w:contextualSpacing/>
              <w:rPr>
                <w:rFonts w:ascii="Calibri" w:hAnsi="Calibri"/>
                <w:sz w:val="18"/>
                <w:szCs w:val="18"/>
              </w:rPr>
            </w:pPr>
            <w:r w:rsidRPr="00EA237A">
              <w:rPr>
                <w:rFonts w:ascii="Calibri" w:hAnsi="Calibri"/>
                <w:sz w:val="18"/>
                <w:szCs w:val="18"/>
              </w:rPr>
              <w:t>Sledovanie vývoja trendov a analýza kontextu</w:t>
            </w:r>
          </w:p>
        </w:tc>
        <w:tc>
          <w:tcPr>
            <w:tcW w:w="1418" w:type="dxa"/>
            <w:vAlign w:val="center"/>
          </w:tcPr>
          <w:p w:rsidR="00346468" w:rsidRPr="00EA237A" w:rsidRDefault="00346468" w:rsidP="00346468">
            <w:pPr>
              <w:contextualSpacing/>
              <w:jc w:val="center"/>
              <w:rPr>
                <w:rFonts w:ascii="Calibri" w:hAnsi="Calibri"/>
                <w:sz w:val="18"/>
                <w:szCs w:val="18"/>
              </w:rPr>
            </w:pPr>
          </w:p>
        </w:tc>
        <w:tc>
          <w:tcPr>
            <w:tcW w:w="1417" w:type="dxa"/>
            <w:vAlign w:val="center"/>
          </w:tcPr>
          <w:p w:rsidR="00346468" w:rsidRPr="00EA237A" w:rsidRDefault="00346468" w:rsidP="00346468">
            <w:pPr>
              <w:contextualSpacing/>
              <w:jc w:val="center"/>
              <w:rPr>
                <w:rFonts w:ascii="Calibri" w:hAnsi="Calibri"/>
                <w:sz w:val="18"/>
                <w:szCs w:val="18"/>
              </w:rPr>
            </w:pPr>
          </w:p>
        </w:tc>
        <w:tc>
          <w:tcPr>
            <w:tcW w:w="1418" w:type="dxa"/>
            <w:vAlign w:val="center"/>
          </w:tcPr>
          <w:p w:rsidR="00346468" w:rsidRPr="00EA237A" w:rsidRDefault="00346468" w:rsidP="00346468">
            <w:pPr>
              <w:contextualSpacing/>
              <w:jc w:val="center"/>
              <w:rPr>
                <w:rFonts w:ascii="Calibri" w:hAnsi="Calibri"/>
                <w:sz w:val="18"/>
                <w:szCs w:val="18"/>
              </w:rPr>
            </w:pPr>
            <w:r w:rsidRPr="00EA237A">
              <w:rPr>
                <w:rFonts w:ascii="Calibri" w:hAnsi="Calibri"/>
                <w:sz w:val="18"/>
                <w:szCs w:val="18"/>
              </w:rPr>
              <w:t>Kontextové ukazovatele</w:t>
            </w:r>
          </w:p>
        </w:tc>
        <w:tc>
          <w:tcPr>
            <w:tcW w:w="1275" w:type="dxa"/>
            <w:vAlign w:val="center"/>
          </w:tcPr>
          <w:p w:rsidR="00346468" w:rsidRPr="00EA237A" w:rsidRDefault="00346468" w:rsidP="00346468">
            <w:pPr>
              <w:contextualSpacing/>
              <w:jc w:val="center"/>
              <w:rPr>
                <w:rFonts w:ascii="Calibri" w:hAnsi="Calibri"/>
                <w:sz w:val="18"/>
                <w:szCs w:val="18"/>
              </w:rPr>
            </w:pPr>
            <w:r w:rsidRPr="00EA237A">
              <w:rPr>
                <w:rFonts w:ascii="Calibri" w:hAnsi="Calibri"/>
                <w:sz w:val="18"/>
                <w:szCs w:val="18"/>
              </w:rPr>
              <w:t>Špecifické kontext. ukazovatele</w:t>
            </w:r>
          </w:p>
        </w:tc>
        <w:tc>
          <w:tcPr>
            <w:tcW w:w="1701" w:type="dxa"/>
          </w:tcPr>
          <w:p w:rsidR="00346468" w:rsidRPr="00EA237A" w:rsidRDefault="00346468" w:rsidP="00346468">
            <w:pPr>
              <w:contextualSpacing/>
              <w:rPr>
                <w:rFonts w:ascii="Calibri" w:hAnsi="Calibri"/>
                <w:sz w:val="18"/>
                <w:szCs w:val="18"/>
              </w:rPr>
            </w:pPr>
            <w:r w:rsidRPr="00EA237A">
              <w:rPr>
                <w:rFonts w:ascii="Calibri" w:hAnsi="Calibri"/>
                <w:sz w:val="18"/>
                <w:szCs w:val="18"/>
              </w:rPr>
              <w:t>Ex ante</w:t>
            </w:r>
          </w:p>
          <w:p w:rsidR="00346468" w:rsidRPr="00EA237A" w:rsidRDefault="00346468" w:rsidP="00346468">
            <w:pPr>
              <w:contextualSpacing/>
              <w:rPr>
                <w:rFonts w:ascii="Calibri" w:hAnsi="Calibri"/>
                <w:sz w:val="18"/>
                <w:szCs w:val="18"/>
              </w:rPr>
            </w:pPr>
            <w:r w:rsidRPr="00EA237A">
              <w:rPr>
                <w:rFonts w:ascii="Calibri" w:hAnsi="Calibri"/>
                <w:sz w:val="18"/>
                <w:szCs w:val="18"/>
              </w:rPr>
              <w:t>Rozšírená správa o vykonávaní</w:t>
            </w:r>
          </w:p>
          <w:p w:rsidR="00346468" w:rsidRPr="00EA237A" w:rsidRDefault="00346468" w:rsidP="00346468">
            <w:pPr>
              <w:contextualSpacing/>
              <w:rPr>
                <w:rFonts w:ascii="Calibri" w:hAnsi="Calibri"/>
                <w:sz w:val="18"/>
                <w:szCs w:val="18"/>
              </w:rPr>
            </w:pPr>
            <w:r w:rsidRPr="00EA237A">
              <w:rPr>
                <w:rFonts w:ascii="Calibri" w:hAnsi="Calibri"/>
                <w:sz w:val="18"/>
                <w:szCs w:val="18"/>
              </w:rPr>
              <w:t>Ex post</w:t>
            </w:r>
          </w:p>
        </w:tc>
      </w:tr>
      <w:tr w:rsidR="00346468" w:rsidRPr="00EA237A" w:rsidTr="00346468">
        <w:tc>
          <w:tcPr>
            <w:tcW w:w="2268" w:type="dxa"/>
            <w:vMerge/>
          </w:tcPr>
          <w:p w:rsidR="00346468" w:rsidRPr="00EA237A" w:rsidRDefault="00346468" w:rsidP="00346468">
            <w:pPr>
              <w:contextualSpacing/>
              <w:rPr>
                <w:rFonts w:ascii="Calibri" w:hAnsi="Calibri"/>
                <w:sz w:val="18"/>
                <w:szCs w:val="18"/>
              </w:rPr>
            </w:pPr>
          </w:p>
        </w:tc>
        <w:tc>
          <w:tcPr>
            <w:tcW w:w="4536" w:type="dxa"/>
          </w:tcPr>
          <w:p w:rsidR="00346468" w:rsidRPr="00EA237A" w:rsidRDefault="00346468" w:rsidP="00346468">
            <w:pPr>
              <w:contextualSpacing/>
              <w:rPr>
                <w:rFonts w:ascii="Calibri" w:hAnsi="Calibri"/>
                <w:sz w:val="18"/>
                <w:szCs w:val="18"/>
              </w:rPr>
            </w:pPr>
            <w:r w:rsidRPr="00EA237A">
              <w:rPr>
                <w:rFonts w:ascii="Calibri" w:hAnsi="Calibri"/>
                <w:sz w:val="18"/>
                <w:szCs w:val="18"/>
              </w:rPr>
              <w:t>Hodnotenie dosahov PRV a ich príspevok k hlavným cieľom SPP</w:t>
            </w:r>
          </w:p>
        </w:tc>
        <w:tc>
          <w:tcPr>
            <w:tcW w:w="1418" w:type="dxa"/>
            <w:vAlign w:val="center"/>
          </w:tcPr>
          <w:p w:rsidR="00346468" w:rsidRPr="00EA237A" w:rsidRDefault="00346468" w:rsidP="00346468">
            <w:pPr>
              <w:contextualSpacing/>
              <w:jc w:val="center"/>
              <w:rPr>
                <w:rFonts w:ascii="Calibri" w:hAnsi="Calibri"/>
                <w:sz w:val="18"/>
                <w:szCs w:val="18"/>
              </w:rPr>
            </w:pPr>
            <w:r w:rsidRPr="00EA237A">
              <w:rPr>
                <w:rFonts w:ascii="Calibri" w:hAnsi="Calibri"/>
                <w:sz w:val="18"/>
                <w:szCs w:val="18"/>
              </w:rPr>
              <w:t>Spoločné horizontálne</w:t>
            </w:r>
          </w:p>
        </w:tc>
        <w:tc>
          <w:tcPr>
            <w:tcW w:w="1417" w:type="dxa"/>
            <w:vAlign w:val="center"/>
          </w:tcPr>
          <w:p w:rsidR="00346468" w:rsidRPr="00EA237A" w:rsidRDefault="00346468" w:rsidP="00346468">
            <w:pPr>
              <w:contextualSpacing/>
              <w:jc w:val="center"/>
              <w:rPr>
                <w:rFonts w:ascii="Calibri" w:hAnsi="Calibri"/>
                <w:sz w:val="18"/>
                <w:szCs w:val="18"/>
              </w:rPr>
            </w:pPr>
            <w:r w:rsidRPr="00EA237A">
              <w:rPr>
                <w:rFonts w:ascii="Calibri" w:hAnsi="Calibri"/>
                <w:sz w:val="18"/>
                <w:szCs w:val="18"/>
              </w:rPr>
              <w:t>Špecifické horizontálne</w:t>
            </w:r>
          </w:p>
        </w:tc>
        <w:tc>
          <w:tcPr>
            <w:tcW w:w="1418" w:type="dxa"/>
            <w:vAlign w:val="center"/>
          </w:tcPr>
          <w:p w:rsidR="00346468" w:rsidRPr="00EA237A" w:rsidRDefault="00346468" w:rsidP="00346468">
            <w:pPr>
              <w:contextualSpacing/>
              <w:jc w:val="center"/>
              <w:rPr>
                <w:rFonts w:ascii="Calibri" w:hAnsi="Calibri"/>
                <w:sz w:val="18"/>
                <w:szCs w:val="18"/>
              </w:rPr>
            </w:pPr>
            <w:r w:rsidRPr="00EA237A">
              <w:rPr>
                <w:rFonts w:ascii="Calibri" w:hAnsi="Calibri"/>
                <w:sz w:val="18"/>
                <w:szCs w:val="18"/>
              </w:rPr>
              <w:t>Dosahové</w:t>
            </w:r>
          </w:p>
          <w:p w:rsidR="00346468" w:rsidRPr="00EA237A" w:rsidRDefault="00346468" w:rsidP="00346468">
            <w:pPr>
              <w:contextualSpacing/>
              <w:jc w:val="center"/>
              <w:rPr>
                <w:rFonts w:ascii="Calibri" w:hAnsi="Calibri"/>
                <w:sz w:val="18"/>
                <w:szCs w:val="18"/>
              </w:rPr>
            </w:pPr>
          </w:p>
        </w:tc>
        <w:tc>
          <w:tcPr>
            <w:tcW w:w="1275" w:type="dxa"/>
            <w:vAlign w:val="center"/>
          </w:tcPr>
          <w:p w:rsidR="00346468" w:rsidRPr="00EA237A" w:rsidRDefault="00346468" w:rsidP="00346468">
            <w:pPr>
              <w:contextualSpacing/>
              <w:jc w:val="center"/>
              <w:rPr>
                <w:rFonts w:ascii="Calibri" w:hAnsi="Calibri"/>
                <w:sz w:val="18"/>
                <w:szCs w:val="18"/>
              </w:rPr>
            </w:pPr>
            <w:r w:rsidRPr="00EA237A">
              <w:rPr>
                <w:rFonts w:ascii="Calibri" w:hAnsi="Calibri"/>
                <w:sz w:val="18"/>
                <w:szCs w:val="18"/>
              </w:rPr>
              <w:t>Špecifické dosahové</w:t>
            </w:r>
          </w:p>
        </w:tc>
        <w:tc>
          <w:tcPr>
            <w:tcW w:w="1701" w:type="dxa"/>
          </w:tcPr>
          <w:p w:rsidR="00346468" w:rsidRPr="00EA237A" w:rsidRDefault="00346468" w:rsidP="00346468">
            <w:pPr>
              <w:contextualSpacing/>
              <w:rPr>
                <w:rFonts w:ascii="Calibri" w:hAnsi="Calibri"/>
                <w:sz w:val="18"/>
                <w:szCs w:val="18"/>
              </w:rPr>
            </w:pPr>
            <w:r w:rsidRPr="00EA237A">
              <w:rPr>
                <w:rFonts w:ascii="Calibri" w:hAnsi="Calibri"/>
                <w:sz w:val="18"/>
                <w:szCs w:val="18"/>
              </w:rPr>
              <w:t>Rozšírená správa o vykonávaní</w:t>
            </w:r>
          </w:p>
          <w:p w:rsidR="00346468" w:rsidRPr="00EA237A" w:rsidRDefault="00346468" w:rsidP="00346468">
            <w:pPr>
              <w:contextualSpacing/>
              <w:rPr>
                <w:rFonts w:ascii="Calibri" w:hAnsi="Calibri"/>
                <w:sz w:val="18"/>
                <w:szCs w:val="18"/>
              </w:rPr>
            </w:pPr>
            <w:r w:rsidRPr="00EA237A">
              <w:rPr>
                <w:rFonts w:ascii="Calibri" w:hAnsi="Calibri"/>
                <w:sz w:val="18"/>
                <w:szCs w:val="18"/>
              </w:rPr>
              <w:t>Ex post</w:t>
            </w:r>
          </w:p>
        </w:tc>
      </w:tr>
      <w:tr w:rsidR="00346468" w:rsidRPr="00EA237A" w:rsidTr="00346468">
        <w:tc>
          <w:tcPr>
            <w:tcW w:w="2268" w:type="dxa"/>
            <w:vMerge/>
          </w:tcPr>
          <w:p w:rsidR="00346468" w:rsidRPr="00EA237A" w:rsidRDefault="00346468" w:rsidP="00346468">
            <w:pPr>
              <w:contextualSpacing/>
              <w:rPr>
                <w:rFonts w:ascii="Calibri" w:hAnsi="Calibri"/>
                <w:sz w:val="18"/>
                <w:szCs w:val="18"/>
              </w:rPr>
            </w:pPr>
          </w:p>
        </w:tc>
        <w:tc>
          <w:tcPr>
            <w:tcW w:w="4536" w:type="dxa"/>
          </w:tcPr>
          <w:p w:rsidR="00346468" w:rsidRPr="00EA237A" w:rsidRDefault="00346468" w:rsidP="00346468">
            <w:pPr>
              <w:contextualSpacing/>
              <w:rPr>
                <w:rFonts w:ascii="Calibri" w:hAnsi="Calibri"/>
                <w:sz w:val="18"/>
                <w:szCs w:val="18"/>
              </w:rPr>
            </w:pPr>
            <w:r w:rsidRPr="00EA237A">
              <w:rPr>
                <w:rFonts w:ascii="Calibri" w:hAnsi="Calibri"/>
                <w:sz w:val="18"/>
                <w:szCs w:val="18"/>
              </w:rPr>
              <w:t>Hodnotenie dosiahnutých výsledkov z  intervencií PRV a ich príspevok k prioritám PRV</w:t>
            </w:r>
          </w:p>
        </w:tc>
        <w:tc>
          <w:tcPr>
            <w:tcW w:w="1418" w:type="dxa"/>
            <w:vAlign w:val="center"/>
          </w:tcPr>
          <w:p w:rsidR="00346468" w:rsidRPr="00EA237A" w:rsidRDefault="00346468" w:rsidP="00346468">
            <w:pPr>
              <w:contextualSpacing/>
              <w:jc w:val="center"/>
              <w:rPr>
                <w:rFonts w:ascii="Calibri" w:hAnsi="Calibri"/>
                <w:sz w:val="18"/>
                <w:szCs w:val="18"/>
              </w:rPr>
            </w:pPr>
            <w:r w:rsidRPr="00EA237A">
              <w:rPr>
                <w:rFonts w:ascii="Calibri" w:hAnsi="Calibri"/>
                <w:sz w:val="18"/>
                <w:szCs w:val="18"/>
              </w:rPr>
              <w:t>Spoločné vzťahujúce sa k FO (OZ)</w:t>
            </w:r>
          </w:p>
        </w:tc>
        <w:tc>
          <w:tcPr>
            <w:tcW w:w="1417" w:type="dxa"/>
            <w:vAlign w:val="center"/>
          </w:tcPr>
          <w:p w:rsidR="00346468" w:rsidRPr="00EA237A" w:rsidRDefault="00346468" w:rsidP="00346468">
            <w:pPr>
              <w:contextualSpacing/>
              <w:jc w:val="center"/>
              <w:rPr>
                <w:rFonts w:ascii="Calibri" w:hAnsi="Calibri"/>
                <w:sz w:val="18"/>
                <w:szCs w:val="18"/>
              </w:rPr>
            </w:pPr>
            <w:r w:rsidRPr="00EA237A">
              <w:rPr>
                <w:rFonts w:ascii="Calibri" w:hAnsi="Calibri"/>
                <w:sz w:val="18"/>
                <w:szCs w:val="18"/>
              </w:rPr>
              <w:t>Špecifické</w:t>
            </w:r>
          </w:p>
        </w:tc>
        <w:tc>
          <w:tcPr>
            <w:tcW w:w="1418" w:type="dxa"/>
            <w:vAlign w:val="center"/>
          </w:tcPr>
          <w:p w:rsidR="00346468" w:rsidRPr="00EA237A" w:rsidRDefault="00346468" w:rsidP="00346468">
            <w:pPr>
              <w:contextualSpacing/>
              <w:jc w:val="center"/>
              <w:rPr>
                <w:rFonts w:ascii="Calibri" w:hAnsi="Calibri"/>
                <w:sz w:val="18"/>
                <w:szCs w:val="18"/>
              </w:rPr>
            </w:pPr>
            <w:r w:rsidRPr="00EA237A">
              <w:rPr>
                <w:rFonts w:ascii="Calibri" w:hAnsi="Calibri"/>
                <w:sz w:val="18"/>
                <w:szCs w:val="18"/>
              </w:rPr>
              <w:t>Doplnkové výsledkové</w:t>
            </w:r>
          </w:p>
        </w:tc>
        <w:tc>
          <w:tcPr>
            <w:tcW w:w="1275" w:type="dxa"/>
            <w:vAlign w:val="center"/>
          </w:tcPr>
          <w:p w:rsidR="00346468" w:rsidRPr="00EA237A" w:rsidRDefault="00346468" w:rsidP="00346468">
            <w:pPr>
              <w:contextualSpacing/>
              <w:jc w:val="center"/>
              <w:rPr>
                <w:rFonts w:ascii="Calibri" w:hAnsi="Calibri"/>
                <w:sz w:val="18"/>
                <w:szCs w:val="18"/>
              </w:rPr>
            </w:pPr>
            <w:r w:rsidRPr="00EA237A">
              <w:rPr>
                <w:rFonts w:ascii="Calibri" w:hAnsi="Calibri"/>
                <w:sz w:val="18"/>
                <w:szCs w:val="18"/>
              </w:rPr>
              <w:t>Špecifické výsledkové</w:t>
            </w:r>
          </w:p>
        </w:tc>
        <w:tc>
          <w:tcPr>
            <w:tcW w:w="1701" w:type="dxa"/>
          </w:tcPr>
          <w:p w:rsidR="00346468" w:rsidRPr="00EA237A" w:rsidRDefault="00346468" w:rsidP="00346468">
            <w:pPr>
              <w:contextualSpacing/>
              <w:rPr>
                <w:rFonts w:ascii="Calibri" w:hAnsi="Calibri"/>
                <w:sz w:val="18"/>
                <w:szCs w:val="18"/>
              </w:rPr>
            </w:pPr>
            <w:r w:rsidRPr="00EA237A">
              <w:rPr>
                <w:rFonts w:ascii="Calibri" w:hAnsi="Calibri"/>
                <w:sz w:val="18"/>
                <w:szCs w:val="18"/>
              </w:rPr>
              <w:t>Rozšírená správa o vykonávaní</w:t>
            </w:r>
          </w:p>
          <w:p w:rsidR="00346468" w:rsidRPr="00EA237A" w:rsidRDefault="00346468" w:rsidP="00346468">
            <w:pPr>
              <w:contextualSpacing/>
              <w:rPr>
                <w:rFonts w:ascii="Calibri" w:hAnsi="Calibri"/>
                <w:sz w:val="18"/>
                <w:szCs w:val="18"/>
              </w:rPr>
            </w:pPr>
            <w:r w:rsidRPr="00EA237A">
              <w:rPr>
                <w:rFonts w:ascii="Calibri" w:hAnsi="Calibri"/>
                <w:sz w:val="18"/>
                <w:szCs w:val="18"/>
              </w:rPr>
              <w:t>Ex post</w:t>
            </w:r>
          </w:p>
        </w:tc>
      </w:tr>
      <w:tr w:rsidR="00346468" w:rsidRPr="00EA237A" w:rsidTr="00346468">
        <w:tc>
          <w:tcPr>
            <w:tcW w:w="2268" w:type="dxa"/>
            <w:vMerge/>
          </w:tcPr>
          <w:p w:rsidR="00346468" w:rsidRPr="00EA237A" w:rsidRDefault="00346468" w:rsidP="00346468">
            <w:pPr>
              <w:contextualSpacing/>
              <w:rPr>
                <w:rFonts w:ascii="Calibri" w:hAnsi="Calibri"/>
                <w:sz w:val="18"/>
                <w:szCs w:val="18"/>
              </w:rPr>
            </w:pPr>
          </w:p>
        </w:tc>
        <w:tc>
          <w:tcPr>
            <w:tcW w:w="4536" w:type="dxa"/>
          </w:tcPr>
          <w:p w:rsidR="00346468" w:rsidRPr="00EA237A" w:rsidRDefault="00346468" w:rsidP="00346468">
            <w:pPr>
              <w:contextualSpacing/>
              <w:rPr>
                <w:rFonts w:ascii="Calibri" w:hAnsi="Calibri"/>
                <w:sz w:val="18"/>
                <w:szCs w:val="18"/>
              </w:rPr>
            </w:pPr>
            <w:r w:rsidRPr="00EA237A">
              <w:rPr>
                <w:rFonts w:ascii="Calibri" w:hAnsi="Calibri"/>
                <w:sz w:val="18"/>
                <w:szCs w:val="18"/>
              </w:rPr>
              <w:t>Monitorovanie pokroku implementácie PRV vo vzťahu k stanoveným cieľovým a výstupovým ukazovateľom</w:t>
            </w:r>
          </w:p>
        </w:tc>
        <w:tc>
          <w:tcPr>
            <w:tcW w:w="1418" w:type="dxa"/>
            <w:vAlign w:val="center"/>
          </w:tcPr>
          <w:p w:rsidR="00346468" w:rsidRPr="00EA237A" w:rsidRDefault="00346468" w:rsidP="00346468">
            <w:pPr>
              <w:contextualSpacing/>
              <w:jc w:val="center"/>
              <w:rPr>
                <w:rFonts w:ascii="Calibri" w:hAnsi="Calibri"/>
                <w:sz w:val="18"/>
                <w:szCs w:val="18"/>
              </w:rPr>
            </w:pPr>
          </w:p>
        </w:tc>
        <w:tc>
          <w:tcPr>
            <w:tcW w:w="1417" w:type="dxa"/>
            <w:vAlign w:val="center"/>
          </w:tcPr>
          <w:p w:rsidR="00346468" w:rsidRPr="00EA237A" w:rsidRDefault="00346468" w:rsidP="00346468">
            <w:pPr>
              <w:contextualSpacing/>
              <w:jc w:val="center"/>
              <w:rPr>
                <w:rFonts w:ascii="Calibri" w:hAnsi="Calibri"/>
                <w:sz w:val="18"/>
                <w:szCs w:val="18"/>
              </w:rPr>
            </w:pPr>
          </w:p>
        </w:tc>
        <w:tc>
          <w:tcPr>
            <w:tcW w:w="1418" w:type="dxa"/>
            <w:vAlign w:val="center"/>
          </w:tcPr>
          <w:p w:rsidR="00346468" w:rsidRPr="00EA237A" w:rsidRDefault="00346468" w:rsidP="00346468">
            <w:pPr>
              <w:contextualSpacing/>
              <w:jc w:val="center"/>
              <w:rPr>
                <w:rFonts w:ascii="Calibri" w:hAnsi="Calibri"/>
                <w:sz w:val="18"/>
                <w:szCs w:val="18"/>
              </w:rPr>
            </w:pPr>
            <w:r w:rsidRPr="00EA237A">
              <w:rPr>
                <w:rFonts w:ascii="Calibri" w:hAnsi="Calibri"/>
                <w:sz w:val="18"/>
                <w:szCs w:val="18"/>
              </w:rPr>
              <w:t>Cieľové</w:t>
            </w:r>
          </w:p>
          <w:p w:rsidR="00346468" w:rsidRPr="00EA237A" w:rsidRDefault="00346468" w:rsidP="00346468">
            <w:pPr>
              <w:contextualSpacing/>
              <w:jc w:val="center"/>
              <w:rPr>
                <w:rFonts w:ascii="Calibri" w:hAnsi="Calibri"/>
                <w:sz w:val="18"/>
                <w:szCs w:val="18"/>
              </w:rPr>
            </w:pPr>
            <w:r w:rsidRPr="00EA237A">
              <w:rPr>
                <w:rFonts w:ascii="Calibri" w:hAnsi="Calibri"/>
                <w:sz w:val="18"/>
                <w:szCs w:val="18"/>
              </w:rPr>
              <w:t>Výstupové</w:t>
            </w:r>
          </w:p>
        </w:tc>
        <w:tc>
          <w:tcPr>
            <w:tcW w:w="1275" w:type="dxa"/>
            <w:vAlign w:val="center"/>
          </w:tcPr>
          <w:p w:rsidR="00346468" w:rsidRPr="00EA237A" w:rsidRDefault="00346468" w:rsidP="00346468">
            <w:pPr>
              <w:contextualSpacing/>
              <w:jc w:val="center"/>
              <w:rPr>
                <w:rFonts w:ascii="Calibri" w:hAnsi="Calibri"/>
                <w:sz w:val="18"/>
                <w:szCs w:val="18"/>
              </w:rPr>
            </w:pPr>
            <w:r w:rsidRPr="00EA237A">
              <w:rPr>
                <w:rFonts w:ascii="Calibri" w:hAnsi="Calibri"/>
                <w:sz w:val="18"/>
                <w:szCs w:val="18"/>
              </w:rPr>
              <w:t>Špecifické cieľové a výstupové</w:t>
            </w:r>
          </w:p>
        </w:tc>
        <w:tc>
          <w:tcPr>
            <w:tcW w:w="1701" w:type="dxa"/>
          </w:tcPr>
          <w:p w:rsidR="00346468" w:rsidRPr="00EA237A" w:rsidRDefault="00346468" w:rsidP="00346468">
            <w:pPr>
              <w:contextualSpacing/>
              <w:rPr>
                <w:rFonts w:ascii="Calibri" w:hAnsi="Calibri"/>
                <w:sz w:val="18"/>
                <w:szCs w:val="18"/>
              </w:rPr>
            </w:pPr>
            <w:r w:rsidRPr="00EA237A">
              <w:rPr>
                <w:rFonts w:ascii="Calibri" w:hAnsi="Calibri"/>
                <w:sz w:val="18"/>
                <w:szCs w:val="18"/>
              </w:rPr>
              <w:t>Štandardné správy o vykonávaní</w:t>
            </w:r>
          </w:p>
        </w:tc>
      </w:tr>
      <w:tr w:rsidR="00346468" w:rsidRPr="00EA237A" w:rsidTr="00346468">
        <w:tc>
          <w:tcPr>
            <w:tcW w:w="2268" w:type="dxa"/>
            <w:vMerge/>
          </w:tcPr>
          <w:p w:rsidR="00346468" w:rsidRPr="00EA237A" w:rsidRDefault="00346468" w:rsidP="00346468">
            <w:pPr>
              <w:contextualSpacing/>
              <w:rPr>
                <w:rFonts w:ascii="Calibri" w:hAnsi="Calibri"/>
                <w:sz w:val="18"/>
                <w:szCs w:val="18"/>
              </w:rPr>
            </w:pPr>
          </w:p>
        </w:tc>
        <w:tc>
          <w:tcPr>
            <w:tcW w:w="4536" w:type="dxa"/>
          </w:tcPr>
          <w:p w:rsidR="00346468" w:rsidRPr="00EA237A" w:rsidRDefault="00346468" w:rsidP="00346468">
            <w:pPr>
              <w:contextualSpacing/>
              <w:rPr>
                <w:rFonts w:ascii="Calibri" w:hAnsi="Calibri"/>
                <w:sz w:val="18"/>
                <w:szCs w:val="18"/>
              </w:rPr>
            </w:pPr>
            <w:r w:rsidRPr="00EA237A">
              <w:rPr>
                <w:rFonts w:ascii="Calibri" w:hAnsi="Calibri"/>
                <w:sz w:val="18"/>
                <w:szCs w:val="18"/>
              </w:rPr>
              <w:t>Hodnotenie pokroku a dosiahnutých výsledkov vzhľadom na špecifické záležitosti – Národná sieť rozvoja vidieka</w:t>
            </w:r>
          </w:p>
        </w:tc>
        <w:tc>
          <w:tcPr>
            <w:tcW w:w="1418" w:type="dxa"/>
            <w:vAlign w:val="center"/>
          </w:tcPr>
          <w:p w:rsidR="00346468" w:rsidRPr="00EA237A" w:rsidRDefault="00346468" w:rsidP="00346468">
            <w:pPr>
              <w:contextualSpacing/>
              <w:jc w:val="center"/>
              <w:rPr>
                <w:rFonts w:ascii="Calibri" w:hAnsi="Calibri"/>
                <w:sz w:val="18"/>
                <w:szCs w:val="18"/>
              </w:rPr>
            </w:pPr>
            <w:r w:rsidRPr="00EA237A">
              <w:rPr>
                <w:rFonts w:ascii="Calibri" w:hAnsi="Calibri"/>
                <w:sz w:val="18"/>
                <w:szCs w:val="18"/>
              </w:rPr>
              <w:t>Spoločné</w:t>
            </w:r>
          </w:p>
        </w:tc>
        <w:tc>
          <w:tcPr>
            <w:tcW w:w="1417" w:type="dxa"/>
            <w:vAlign w:val="center"/>
          </w:tcPr>
          <w:p w:rsidR="00346468" w:rsidRPr="00EA237A" w:rsidRDefault="00346468" w:rsidP="00346468">
            <w:pPr>
              <w:contextualSpacing/>
              <w:jc w:val="center"/>
              <w:rPr>
                <w:rFonts w:ascii="Calibri" w:hAnsi="Calibri"/>
                <w:sz w:val="18"/>
                <w:szCs w:val="18"/>
              </w:rPr>
            </w:pPr>
            <w:r w:rsidRPr="00EA237A">
              <w:rPr>
                <w:rFonts w:ascii="Calibri" w:hAnsi="Calibri"/>
                <w:sz w:val="18"/>
                <w:szCs w:val="18"/>
              </w:rPr>
              <w:t>Špecifické</w:t>
            </w:r>
          </w:p>
        </w:tc>
        <w:tc>
          <w:tcPr>
            <w:tcW w:w="1418" w:type="dxa"/>
            <w:vAlign w:val="center"/>
          </w:tcPr>
          <w:p w:rsidR="00346468" w:rsidRPr="00EA237A" w:rsidRDefault="00346468" w:rsidP="00346468">
            <w:pPr>
              <w:contextualSpacing/>
              <w:jc w:val="center"/>
              <w:rPr>
                <w:rFonts w:ascii="Calibri" w:hAnsi="Calibri"/>
                <w:sz w:val="18"/>
                <w:szCs w:val="18"/>
              </w:rPr>
            </w:pPr>
            <w:r w:rsidRPr="00EA237A">
              <w:rPr>
                <w:rFonts w:ascii="Calibri" w:hAnsi="Calibri"/>
                <w:sz w:val="18"/>
                <w:szCs w:val="18"/>
              </w:rPr>
              <w:t>Výsledkové</w:t>
            </w:r>
          </w:p>
        </w:tc>
        <w:tc>
          <w:tcPr>
            <w:tcW w:w="1275" w:type="dxa"/>
            <w:vAlign w:val="center"/>
          </w:tcPr>
          <w:p w:rsidR="00346468" w:rsidRPr="00EA237A" w:rsidRDefault="00346468" w:rsidP="00346468">
            <w:pPr>
              <w:contextualSpacing/>
              <w:jc w:val="center"/>
              <w:rPr>
                <w:rFonts w:ascii="Calibri" w:hAnsi="Calibri"/>
                <w:sz w:val="18"/>
                <w:szCs w:val="18"/>
              </w:rPr>
            </w:pPr>
            <w:r w:rsidRPr="00EA237A">
              <w:rPr>
                <w:rFonts w:ascii="Calibri" w:hAnsi="Calibri"/>
                <w:sz w:val="18"/>
                <w:szCs w:val="18"/>
              </w:rPr>
              <w:t>Špecifické výsledkové</w:t>
            </w:r>
          </w:p>
        </w:tc>
        <w:tc>
          <w:tcPr>
            <w:tcW w:w="1701" w:type="dxa"/>
          </w:tcPr>
          <w:p w:rsidR="00346468" w:rsidRPr="00EA237A" w:rsidRDefault="00346468" w:rsidP="00346468">
            <w:pPr>
              <w:contextualSpacing/>
              <w:rPr>
                <w:rFonts w:ascii="Calibri" w:hAnsi="Calibri"/>
                <w:sz w:val="18"/>
                <w:szCs w:val="18"/>
              </w:rPr>
            </w:pPr>
            <w:r w:rsidRPr="00EA237A">
              <w:rPr>
                <w:rFonts w:ascii="Calibri" w:hAnsi="Calibri"/>
                <w:sz w:val="18"/>
                <w:szCs w:val="18"/>
              </w:rPr>
              <w:t>Rozšírená správa o vykonávaní</w:t>
            </w:r>
          </w:p>
          <w:p w:rsidR="00346468" w:rsidRPr="00EA237A" w:rsidRDefault="00346468" w:rsidP="00346468">
            <w:pPr>
              <w:contextualSpacing/>
              <w:rPr>
                <w:rFonts w:ascii="Calibri" w:hAnsi="Calibri"/>
                <w:sz w:val="18"/>
                <w:szCs w:val="18"/>
              </w:rPr>
            </w:pPr>
            <w:r w:rsidRPr="00EA237A">
              <w:rPr>
                <w:rFonts w:ascii="Calibri" w:hAnsi="Calibri"/>
                <w:sz w:val="18"/>
                <w:szCs w:val="18"/>
              </w:rPr>
              <w:t>Ex post</w:t>
            </w:r>
          </w:p>
        </w:tc>
      </w:tr>
      <w:tr w:rsidR="00346468" w:rsidRPr="00EA237A" w:rsidTr="00346468">
        <w:tc>
          <w:tcPr>
            <w:tcW w:w="2268" w:type="dxa"/>
            <w:vMerge/>
          </w:tcPr>
          <w:p w:rsidR="00346468" w:rsidRPr="00EA237A" w:rsidRDefault="00346468" w:rsidP="00346468">
            <w:pPr>
              <w:contextualSpacing/>
              <w:rPr>
                <w:rFonts w:ascii="Calibri" w:hAnsi="Calibri"/>
                <w:sz w:val="18"/>
                <w:szCs w:val="18"/>
              </w:rPr>
            </w:pPr>
          </w:p>
        </w:tc>
        <w:tc>
          <w:tcPr>
            <w:tcW w:w="4536" w:type="dxa"/>
          </w:tcPr>
          <w:p w:rsidR="00346468" w:rsidRPr="00EA237A" w:rsidRDefault="00346468" w:rsidP="00346468">
            <w:pPr>
              <w:contextualSpacing/>
              <w:rPr>
                <w:rFonts w:ascii="Calibri" w:hAnsi="Calibri"/>
                <w:sz w:val="18"/>
                <w:szCs w:val="18"/>
              </w:rPr>
            </w:pPr>
            <w:r w:rsidRPr="00EA237A">
              <w:rPr>
                <w:rFonts w:ascii="Calibri" w:hAnsi="Calibri"/>
                <w:sz w:val="18"/>
                <w:szCs w:val="18"/>
              </w:rPr>
              <w:t>Hodnotenie príspevkov PRV k prierezovým cieľom rozvoja vidieka</w:t>
            </w:r>
          </w:p>
        </w:tc>
        <w:tc>
          <w:tcPr>
            <w:tcW w:w="1418" w:type="dxa"/>
            <w:vAlign w:val="center"/>
          </w:tcPr>
          <w:p w:rsidR="00346468" w:rsidRPr="00EA237A" w:rsidRDefault="00346468" w:rsidP="00346468">
            <w:pPr>
              <w:contextualSpacing/>
              <w:jc w:val="center"/>
              <w:rPr>
                <w:rFonts w:ascii="Calibri" w:hAnsi="Calibri"/>
                <w:sz w:val="18"/>
                <w:szCs w:val="18"/>
              </w:rPr>
            </w:pPr>
            <w:r w:rsidRPr="00EA237A">
              <w:rPr>
                <w:rFonts w:ascii="Calibri" w:hAnsi="Calibri"/>
                <w:sz w:val="18"/>
                <w:szCs w:val="18"/>
              </w:rPr>
              <w:t>Spoločné</w:t>
            </w:r>
          </w:p>
        </w:tc>
        <w:tc>
          <w:tcPr>
            <w:tcW w:w="1417" w:type="dxa"/>
            <w:vAlign w:val="center"/>
          </w:tcPr>
          <w:p w:rsidR="00346468" w:rsidRPr="00EA237A" w:rsidRDefault="00346468" w:rsidP="00346468">
            <w:pPr>
              <w:contextualSpacing/>
              <w:jc w:val="center"/>
              <w:rPr>
                <w:rFonts w:ascii="Calibri" w:hAnsi="Calibri"/>
                <w:sz w:val="18"/>
                <w:szCs w:val="18"/>
              </w:rPr>
            </w:pPr>
            <w:r w:rsidRPr="00EA237A">
              <w:rPr>
                <w:rFonts w:ascii="Calibri" w:hAnsi="Calibri"/>
                <w:sz w:val="18"/>
                <w:szCs w:val="18"/>
              </w:rPr>
              <w:t>Špecifické</w:t>
            </w:r>
          </w:p>
        </w:tc>
        <w:tc>
          <w:tcPr>
            <w:tcW w:w="1418" w:type="dxa"/>
            <w:vAlign w:val="center"/>
          </w:tcPr>
          <w:p w:rsidR="00346468" w:rsidRPr="00EA237A" w:rsidRDefault="00346468" w:rsidP="00346468">
            <w:pPr>
              <w:contextualSpacing/>
              <w:jc w:val="center"/>
              <w:rPr>
                <w:rFonts w:ascii="Calibri" w:hAnsi="Calibri"/>
                <w:sz w:val="18"/>
                <w:szCs w:val="18"/>
              </w:rPr>
            </w:pPr>
            <w:r w:rsidRPr="00EA237A">
              <w:rPr>
                <w:rFonts w:ascii="Calibri" w:hAnsi="Calibri"/>
                <w:sz w:val="18"/>
                <w:szCs w:val="18"/>
              </w:rPr>
              <w:t>Výsledkové</w:t>
            </w:r>
          </w:p>
        </w:tc>
        <w:tc>
          <w:tcPr>
            <w:tcW w:w="1275" w:type="dxa"/>
            <w:vAlign w:val="center"/>
          </w:tcPr>
          <w:p w:rsidR="00346468" w:rsidRPr="00EA237A" w:rsidRDefault="00346468" w:rsidP="00346468">
            <w:pPr>
              <w:contextualSpacing/>
              <w:jc w:val="center"/>
              <w:rPr>
                <w:rFonts w:ascii="Calibri" w:hAnsi="Calibri"/>
                <w:sz w:val="18"/>
                <w:szCs w:val="18"/>
              </w:rPr>
            </w:pPr>
            <w:r w:rsidRPr="00EA237A">
              <w:rPr>
                <w:rFonts w:ascii="Calibri" w:hAnsi="Calibri"/>
                <w:sz w:val="18"/>
                <w:szCs w:val="18"/>
              </w:rPr>
              <w:t>Špecifické výsledkové</w:t>
            </w:r>
          </w:p>
        </w:tc>
        <w:tc>
          <w:tcPr>
            <w:tcW w:w="1701" w:type="dxa"/>
          </w:tcPr>
          <w:p w:rsidR="00346468" w:rsidRPr="00EA237A" w:rsidRDefault="00346468" w:rsidP="00346468">
            <w:pPr>
              <w:contextualSpacing/>
              <w:rPr>
                <w:rFonts w:ascii="Calibri" w:hAnsi="Calibri"/>
                <w:sz w:val="18"/>
                <w:szCs w:val="18"/>
              </w:rPr>
            </w:pPr>
            <w:r w:rsidRPr="00EA237A">
              <w:rPr>
                <w:rFonts w:ascii="Calibri" w:hAnsi="Calibri"/>
                <w:sz w:val="18"/>
                <w:szCs w:val="18"/>
              </w:rPr>
              <w:t>Rozšírená správa o vykonávaní</w:t>
            </w:r>
          </w:p>
          <w:p w:rsidR="00346468" w:rsidRPr="00EA237A" w:rsidRDefault="00346468" w:rsidP="00346468">
            <w:pPr>
              <w:contextualSpacing/>
              <w:rPr>
                <w:rFonts w:ascii="Calibri" w:hAnsi="Calibri"/>
                <w:sz w:val="18"/>
                <w:szCs w:val="18"/>
              </w:rPr>
            </w:pPr>
            <w:r w:rsidRPr="00EA237A">
              <w:rPr>
                <w:rFonts w:ascii="Calibri" w:hAnsi="Calibri"/>
                <w:sz w:val="18"/>
                <w:szCs w:val="18"/>
              </w:rPr>
              <w:t>Ex post</w:t>
            </w:r>
          </w:p>
        </w:tc>
      </w:tr>
      <w:tr w:rsidR="00346468" w:rsidRPr="00EA237A" w:rsidTr="00346468">
        <w:tc>
          <w:tcPr>
            <w:tcW w:w="2268" w:type="dxa"/>
            <w:vMerge/>
          </w:tcPr>
          <w:p w:rsidR="00346468" w:rsidRPr="00EA237A" w:rsidRDefault="00346468" w:rsidP="00346468">
            <w:pPr>
              <w:contextualSpacing/>
              <w:rPr>
                <w:rFonts w:ascii="Calibri" w:hAnsi="Calibri"/>
                <w:sz w:val="18"/>
                <w:szCs w:val="18"/>
              </w:rPr>
            </w:pPr>
          </w:p>
        </w:tc>
        <w:tc>
          <w:tcPr>
            <w:tcW w:w="4536" w:type="dxa"/>
          </w:tcPr>
          <w:p w:rsidR="00346468" w:rsidRPr="00EA237A" w:rsidRDefault="00346468" w:rsidP="00346468">
            <w:pPr>
              <w:contextualSpacing/>
              <w:rPr>
                <w:rFonts w:ascii="Calibri" w:hAnsi="Calibri"/>
                <w:sz w:val="18"/>
                <w:szCs w:val="18"/>
              </w:rPr>
            </w:pPr>
            <w:r w:rsidRPr="00EA237A">
              <w:rPr>
                <w:rFonts w:ascii="Calibri" w:hAnsi="Calibri"/>
                <w:sz w:val="18"/>
                <w:szCs w:val="18"/>
              </w:rPr>
              <w:t>Hodnotenie príspevkov PRV k Stratégii Európa 2020 pre inteligentný, udržateľný a inkluzívny rast vrátane tematických cieľov SSR</w:t>
            </w:r>
          </w:p>
        </w:tc>
        <w:tc>
          <w:tcPr>
            <w:tcW w:w="1418" w:type="dxa"/>
            <w:vAlign w:val="center"/>
          </w:tcPr>
          <w:p w:rsidR="00346468" w:rsidRPr="00EA237A" w:rsidRDefault="00346468" w:rsidP="00346468">
            <w:pPr>
              <w:contextualSpacing/>
              <w:jc w:val="center"/>
              <w:rPr>
                <w:rFonts w:ascii="Calibri" w:hAnsi="Calibri"/>
                <w:sz w:val="18"/>
                <w:szCs w:val="18"/>
              </w:rPr>
            </w:pPr>
          </w:p>
        </w:tc>
        <w:tc>
          <w:tcPr>
            <w:tcW w:w="1417" w:type="dxa"/>
            <w:vAlign w:val="center"/>
          </w:tcPr>
          <w:p w:rsidR="00346468" w:rsidRPr="00EA237A" w:rsidRDefault="00346468" w:rsidP="00346468">
            <w:pPr>
              <w:contextualSpacing/>
              <w:jc w:val="center"/>
              <w:rPr>
                <w:rFonts w:ascii="Calibri" w:hAnsi="Calibri"/>
                <w:sz w:val="18"/>
                <w:szCs w:val="18"/>
              </w:rPr>
            </w:pPr>
            <w:r w:rsidRPr="00EA237A">
              <w:rPr>
                <w:rFonts w:ascii="Calibri" w:hAnsi="Calibri"/>
                <w:sz w:val="18"/>
                <w:szCs w:val="18"/>
              </w:rPr>
              <w:t>Špecifické</w:t>
            </w:r>
          </w:p>
        </w:tc>
        <w:tc>
          <w:tcPr>
            <w:tcW w:w="1418" w:type="dxa"/>
            <w:vAlign w:val="center"/>
          </w:tcPr>
          <w:p w:rsidR="00346468" w:rsidRPr="00EA237A" w:rsidRDefault="00346468" w:rsidP="00346468">
            <w:pPr>
              <w:contextualSpacing/>
              <w:jc w:val="center"/>
              <w:rPr>
                <w:rFonts w:ascii="Calibri" w:hAnsi="Calibri"/>
                <w:sz w:val="18"/>
                <w:szCs w:val="18"/>
              </w:rPr>
            </w:pPr>
          </w:p>
        </w:tc>
        <w:tc>
          <w:tcPr>
            <w:tcW w:w="1275" w:type="dxa"/>
            <w:vAlign w:val="center"/>
          </w:tcPr>
          <w:p w:rsidR="00346468" w:rsidRPr="00EA237A" w:rsidRDefault="00346468" w:rsidP="00346468">
            <w:pPr>
              <w:contextualSpacing/>
              <w:jc w:val="center"/>
              <w:rPr>
                <w:rFonts w:ascii="Calibri" w:hAnsi="Calibri"/>
                <w:sz w:val="18"/>
                <w:szCs w:val="18"/>
              </w:rPr>
            </w:pPr>
            <w:r w:rsidRPr="00EA237A">
              <w:rPr>
                <w:rFonts w:ascii="Calibri" w:hAnsi="Calibri"/>
                <w:sz w:val="18"/>
                <w:szCs w:val="18"/>
              </w:rPr>
              <w:t>Špecifické</w:t>
            </w:r>
          </w:p>
        </w:tc>
        <w:tc>
          <w:tcPr>
            <w:tcW w:w="1701" w:type="dxa"/>
          </w:tcPr>
          <w:p w:rsidR="00346468" w:rsidRPr="00EA237A" w:rsidRDefault="00346468" w:rsidP="00346468">
            <w:pPr>
              <w:contextualSpacing/>
              <w:rPr>
                <w:rFonts w:ascii="Calibri" w:hAnsi="Calibri"/>
                <w:sz w:val="18"/>
                <w:szCs w:val="18"/>
              </w:rPr>
            </w:pPr>
            <w:r w:rsidRPr="00EA237A">
              <w:rPr>
                <w:rFonts w:ascii="Calibri" w:hAnsi="Calibri"/>
                <w:sz w:val="18"/>
                <w:szCs w:val="18"/>
              </w:rPr>
              <w:t>Rozšírená správa o vykonávaní</w:t>
            </w:r>
          </w:p>
          <w:p w:rsidR="00346468" w:rsidRPr="00EA237A" w:rsidRDefault="00346468" w:rsidP="00346468">
            <w:pPr>
              <w:contextualSpacing/>
              <w:rPr>
                <w:rFonts w:ascii="Calibri" w:hAnsi="Calibri"/>
                <w:sz w:val="18"/>
                <w:szCs w:val="18"/>
              </w:rPr>
            </w:pPr>
            <w:r w:rsidRPr="00EA237A">
              <w:rPr>
                <w:rFonts w:ascii="Calibri" w:hAnsi="Calibri"/>
                <w:sz w:val="18"/>
                <w:szCs w:val="18"/>
              </w:rPr>
              <w:t>Ex post</w:t>
            </w:r>
          </w:p>
        </w:tc>
      </w:tr>
      <w:tr w:rsidR="00346468" w:rsidRPr="00EA237A" w:rsidTr="00346468">
        <w:tc>
          <w:tcPr>
            <w:tcW w:w="2268" w:type="dxa"/>
            <w:vMerge/>
          </w:tcPr>
          <w:p w:rsidR="00346468" w:rsidRPr="00EA237A" w:rsidRDefault="00346468" w:rsidP="00346468">
            <w:pPr>
              <w:contextualSpacing/>
              <w:rPr>
                <w:rFonts w:ascii="Calibri" w:hAnsi="Calibri"/>
                <w:sz w:val="18"/>
                <w:szCs w:val="18"/>
              </w:rPr>
            </w:pPr>
          </w:p>
        </w:tc>
        <w:tc>
          <w:tcPr>
            <w:tcW w:w="4536" w:type="dxa"/>
          </w:tcPr>
          <w:p w:rsidR="00346468" w:rsidRPr="00EA237A" w:rsidRDefault="00346468" w:rsidP="00346468">
            <w:pPr>
              <w:contextualSpacing/>
              <w:rPr>
                <w:rFonts w:ascii="Calibri" w:hAnsi="Calibri"/>
                <w:sz w:val="18"/>
                <w:szCs w:val="18"/>
              </w:rPr>
            </w:pPr>
            <w:r w:rsidRPr="00EA237A">
              <w:rPr>
                <w:rFonts w:ascii="Calibri" w:hAnsi="Calibri"/>
                <w:sz w:val="18"/>
                <w:szCs w:val="18"/>
              </w:rPr>
              <w:t xml:space="preserve">Hodnotenie príspevkov PRV vo vzťahu k spoločným princípom implementácie programov EŠIF </w:t>
            </w:r>
          </w:p>
        </w:tc>
        <w:tc>
          <w:tcPr>
            <w:tcW w:w="1418" w:type="dxa"/>
            <w:vAlign w:val="center"/>
          </w:tcPr>
          <w:p w:rsidR="00346468" w:rsidRPr="00EA237A" w:rsidRDefault="00346468" w:rsidP="00346468">
            <w:pPr>
              <w:contextualSpacing/>
              <w:jc w:val="center"/>
              <w:rPr>
                <w:rFonts w:ascii="Calibri" w:hAnsi="Calibri"/>
                <w:sz w:val="18"/>
                <w:szCs w:val="18"/>
              </w:rPr>
            </w:pPr>
          </w:p>
        </w:tc>
        <w:tc>
          <w:tcPr>
            <w:tcW w:w="1417" w:type="dxa"/>
            <w:vAlign w:val="center"/>
          </w:tcPr>
          <w:p w:rsidR="00346468" w:rsidRPr="00EA237A" w:rsidRDefault="00346468" w:rsidP="00346468">
            <w:pPr>
              <w:contextualSpacing/>
              <w:jc w:val="center"/>
              <w:rPr>
                <w:rFonts w:ascii="Calibri" w:hAnsi="Calibri"/>
                <w:sz w:val="18"/>
                <w:szCs w:val="18"/>
              </w:rPr>
            </w:pPr>
            <w:r w:rsidRPr="00EA237A">
              <w:rPr>
                <w:rFonts w:ascii="Calibri" w:hAnsi="Calibri"/>
                <w:sz w:val="18"/>
                <w:szCs w:val="18"/>
              </w:rPr>
              <w:t>Špecifické</w:t>
            </w:r>
          </w:p>
        </w:tc>
        <w:tc>
          <w:tcPr>
            <w:tcW w:w="1418" w:type="dxa"/>
            <w:vAlign w:val="center"/>
          </w:tcPr>
          <w:p w:rsidR="00346468" w:rsidRPr="00EA237A" w:rsidRDefault="00346468" w:rsidP="00346468">
            <w:pPr>
              <w:contextualSpacing/>
              <w:jc w:val="center"/>
              <w:rPr>
                <w:rFonts w:ascii="Calibri" w:hAnsi="Calibri"/>
                <w:sz w:val="18"/>
                <w:szCs w:val="18"/>
              </w:rPr>
            </w:pPr>
          </w:p>
        </w:tc>
        <w:tc>
          <w:tcPr>
            <w:tcW w:w="1275" w:type="dxa"/>
            <w:vAlign w:val="center"/>
          </w:tcPr>
          <w:p w:rsidR="00346468" w:rsidRPr="00EA237A" w:rsidRDefault="00346468" w:rsidP="00346468">
            <w:pPr>
              <w:contextualSpacing/>
              <w:jc w:val="center"/>
              <w:rPr>
                <w:rFonts w:ascii="Calibri" w:hAnsi="Calibri"/>
                <w:sz w:val="18"/>
                <w:szCs w:val="18"/>
              </w:rPr>
            </w:pPr>
            <w:r w:rsidRPr="00EA237A">
              <w:rPr>
                <w:rFonts w:ascii="Calibri" w:hAnsi="Calibri"/>
                <w:sz w:val="18"/>
                <w:szCs w:val="18"/>
              </w:rPr>
              <w:t>Špecifické</w:t>
            </w:r>
          </w:p>
        </w:tc>
        <w:tc>
          <w:tcPr>
            <w:tcW w:w="1701" w:type="dxa"/>
          </w:tcPr>
          <w:p w:rsidR="00346468" w:rsidRPr="00EA237A" w:rsidRDefault="00346468" w:rsidP="00346468">
            <w:pPr>
              <w:contextualSpacing/>
              <w:rPr>
                <w:rFonts w:ascii="Calibri" w:hAnsi="Calibri"/>
                <w:sz w:val="18"/>
                <w:szCs w:val="18"/>
              </w:rPr>
            </w:pPr>
            <w:r w:rsidRPr="00EA237A">
              <w:rPr>
                <w:rFonts w:ascii="Calibri" w:hAnsi="Calibri"/>
                <w:sz w:val="18"/>
                <w:szCs w:val="18"/>
              </w:rPr>
              <w:t>Rozšírená správa o vykonávaní</w:t>
            </w:r>
          </w:p>
          <w:p w:rsidR="00346468" w:rsidRPr="00EA237A" w:rsidRDefault="00346468" w:rsidP="00346468">
            <w:pPr>
              <w:contextualSpacing/>
              <w:rPr>
                <w:rFonts w:ascii="Calibri" w:hAnsi="Calibri"/>
                <w:sz w:val="18"/>
                <w:szCs w:val="18"/>
              </w:rPr>
            </w:pPr>
            <w:r w:rsidRPr="00EA237A">
              <w:rPr>
                <w:rFonts w:ascii="Calibri" w:hAnsi="Calibri"/>
                <w:sz w:val="18"/>
                <w:szCs w:val="18"/>
              </w:rPr>
              <w:t>Ex post</w:t>
            </w:r>
          </w:p>
        </w:tc>
      </w:tr>
      <w:tr w:rsidR="00346468" w:rsidRPr="00EA237A" w:rsidTr="00346468">
        <w:trPr>
          <w:trHeight w:val="996"/>
        </w:trPr>
        <w:tc>
          <w:tcPr>
            <w:tcW w:w="2268" w:type="dxa"/>
            <w:vMerge/>
          </w:tcPr>
          <w:p w:rsidR="00346468" w:rsidRPr="00EA237A" w:rsidRDefault="00346468" w:rsidP="00346468">
            <w:pPr>
              <w:contextualSpacing/>
              <w:rPr>
                <w:rFonts w:ascii="Calibri" w:hAnsi="Calibri"/>
                <w:sz w:val="18"/>
                <w:szCs w:val="18"/>
              </w:rPr>
            </w:pPr>
          </w:p>
        </w:tc>
        <w:tc>
          <w:tcPr>
            <w:tcW w:w="4536" w:type="dxa"/>
          </w:tcPr>
          <w:p w:rsidR="00346468" w:rsidRPr="00EA237A" w:rsidRDefault="00346468" w:rsidP="00346468">
            <w:pPr>
              <w:contextualSpacing/>
              <w:rPr>
                <w:rFonts w:ascii="Calibri" w:hAnsi="Calibri"/>
                <w:sz w:val="18"/>
                <w:szCs w:val="18"/>
              </w:rPr>
            </w:pPr>
            <w:r w:rsidRPr="00EA237A">
              <w:rPr>
                <w:rFonts w:ascii="Calibri" w:hAnsi="Calibri"/>
                <w:sz w:val="18"/>
                <w:szCs w:val="18"/>
              </w:rPr>
              <w:t>Hodnotenie dosiahnutého pokroku v zabezpečení integrovaného prístupu pri uplatnení EFPRV (LEADER) a iných finančných nástrojov EÚ na podporu územného rozvoja (LEADER)</w:t>
            </w:r>
          </w:p>
        </w:tc>
        <w:tc>
          <w:tcPr>
            <w:tcW w:w="1418" w:type="dxa"/>
            <w:vAlign w:val="center"/>
          </w:tcPr>
          <w:p w:rsidR="00346468" w:rsidRPr="00EA237A" w:rsidRDefault="00346468" w:rsidP="00346468">
            <w:pPr>
              <w:contextualSpacing/>
              <w:jc w:val="center"/>
              <w:rPr>
                <w:rFonts w:ascii="Calibri" w:hAnsi="Calibri"/>
                <w:sz w:val="18"/>
                <w:szCs w:val="18"/>
              </w:rPr>
            </w:pPr>
            <w:r w:rsidRPr="00EA237A">
              <w:rPr>
                <w:rFonts w:ascii="Calibri" w:hAnsi="Calibri"/>
                <w:sz w:val="18"/>
                <w:szCs w:val="18"/>
              </w:rPr>
              <w:t>Spoločné</w:t>
            </w:r>
          </w:p>
        </w:tc>
        <w:tc>
          <w:tcPr>
            <w:tcW w:w="1417" w:type="dxa"/>
            <w:vAlign w:val="center"/>
          </w:tcPr>
          <w:p w:rsidR="00346468" w:rsidRPr="00EA237A" w:rsidRDefault="00346468" w:rsidP="00346468">
            <w:pPr>
              <w:contextualSpacing/>
              <w:jc w:val="center"/>
              <w:rPr>
                <w:rFonts w:ascii="Calibri" w:hAnsi="Calibri"/>
                <w:sz w:val="18"/>
                <w:szCs w:val="18"/>
              </w:rPr>
            </w:pPr>
            <w:r w:rsidRPr="00EA237A">
              <w:rPr>
                <w:rFonts w:ascii="Calibri" w:hAnsi="Calibri"/>
                <w:sz w:val="18"/>
                <w:szCs w:val="18"/>
              </w:rPr>
              <w:t>Špecifické</w:t>
            </w:r>
          </w:p>
        </w:tc>
        <w:tc>
          <w:tcPr>
            <w:tcW w:w="1418" w:type="dxa"/>
            <w:vAlign w:val="center"/>
          </w:tcPr>
          <w:p w:rsidR="00346468" w:rsidRPr="00EA237A" w:rsidRDefault="00346468" w:rsidP="00346468">
            <w:pPr>
              <w:contextualSpacing/>
              <w:jc w:val="center"/>
              <w:rPr>
                <w:rFonts w:ascii="Calibri" w:hAnsi="Calibri"/>
                <w:sz w:val="18"/>
                <w:szCs w:val="18"/>
              </w:rPr>
            </w:pPr>
            <w:r w:rsidRPr="00EA237A">
              <w:rPr>
                <w:rFonts w:ascii="Calibri" w:hAnsi="Calibri"/>
                <w:sz w:val="18"/>
                <w:szCs w:val="18"/>
              </w:rPr>
              <w:t>Spoločné</w:t>
            </w:r>
          </w:p>
        </w:tc>
        <w:tc>
          <w:tcPr>
            <w:tcW w:w="1275" w:type="dxa"/>
            <w:vAlign w:val="center"/>
          </w:tcPr>
          <w:p w:rsidR="00346468" w:rsidRPr="00EA237A" w:rsidRDefault="00346468" w:rsidP="00346468">
            <w:pPr>
              <w:contextualSpacing/>
              <w:jc w:val="center"/>
              <w:rPr>
                <w:rFonts w:ascii="Calibri" w:hAnsi="Calibri"/>
                <w:sz w:val="18"/>
                <w:szCs w:val="18"/>
              </w:rPr>
            </w:pPr>
            <w:r w:rsidRPr="00EA237A">
              <w:rPr>
                <w:rFonts w:ascii="Calibri" w:hAnsi="Calibri"/>
                <w:sz w:val="18"/>
                <w:szCs w:val="18"/>
              </w:rPr>
              <w:t>Špecifické</w:t>
            </w:r>
          </w:p>
        </w:tc>
        <w:tc>
          <w:tcPr>
            <w:tcW w:w="1701" w:type="dxa"/>
          </w:tcPr>
          <w:p w:rsidR="00346468" w:rsidRPr="00EA237A" w:rsidRDefault="00346468" w:rsidP="00346468">
            <w:pPr>
              <w:contextualSpacing/>
              <w:rPr>
                <w:rFonts w:ascii="Calibri" w:hAnsi="Calibri"/>
                <w:sz w:val="18"/>
                <w:szCs w:val="18"/>
              </w:rPr>
            </w:pPr>
            <w:r w:rsidRPr="00EA237A">
              <w:rPr>
                <w:rFonts w:ascii="Calibri" w:hAnsi="Calibri"/>
                <w:sz w:val="18"/>
                <w:szCs w:val="18"/>
              </w:rPr>
              <w:t>Rozšírená správa o vykonávaní</w:t>
            </w:r>
          </w:p>
          <w:p w:rsidR="00346468" w:rsidRPr="00EA237A" w:rsidRDefault="00346468" w:rsidP="00346468">
            <w:pPr>
              <w:contextualSpacing/>
              <w:rPr>
                <w:rFonts w:ascii="Calibri" w:hAnsi="Calibri"/>
                <w:sz w:val="18"/>
                <w:szCs w:val="18"/>
              </w:rPr>
            </w:pPr>
            <w:r w:rsidRPr="00EA237A">
              <w:rPr>
                <w:rFonts w:ascii="Calibri" w:hAnsi="Calibri"/>
                <w:sz w:val="18"/>
                <w:szCs w:val="18"/>
              </w:rPr>
              <w:t>Ex post</w:t>
            </w:r>
          </w:p>
        </w:tc>
      </w:tr>
      <w:tr w:rsidR="00346468" w:rsidRPr="00EA237A" w:rsidTr="00346468">
        <w:tc>
          <w:tcPr>
            <w:tcW w:w="2268" w:type="dxa"/>
          </w:tcPr>
          <w:p w:rsidR="00346468" w:rsidRPr="00EA237A" w:rsidRDefault="00346468" w:rsidP="00346468">
            <w:pPr>
              <w:contextualSpacing/>
              <w:rPr>
                <w:rFonts w:ascii="Calibri" w:hAnsi="Calibri"/>
                <w:sz w:val="18"/>
                <w:szCs w:val="18"/>
              </w:rPr>
            </w:pPr>
            <w:r w:rsidRPr="00EA237A">
              <w:rPr>
                <w:rFonts w:ascii="Calibri" w:hAnsi="Calibri"/>
                <w:sz w:val="18"/>
                <w:szCs w:val="18"/>
              </w:rPr>
              <w:t>Administrácia programu</w:t>
            </w:r>
          </w:p>
        </w:tc>
        <w:tc>
          <w:tcPr>
            <w:tcW w:w="4536" w:type="dxa"/>
          </w:tcPr>
          <w:p w:rsidR="00346468" w:rsidRPr="00EA237A" w:rsidRDefault="00346468" w:rsidP="00346468">
            <w:pPr>
              <w:contextualSpacing/>
              <w:rPr>
                <w:rFonts w:ascii="Calibri" w:hAnsi="Calibri"/>
                <w:sz w:val="18"/>
                <w:szCs w:val="18"/>
              </w:rPr>
            </w:pPr>
            <w:r w:rsidRPr="00EA237A">
              <w:rPr>
                <w:rFonts w:ascii="Calibri" w:hAnsi="Calibri"/>
                <w:sz w:val="18"/>
                <w:szCs w:val="18"/>
              </w:rPr>
              <w:t>Hodnotenie správy a riadenia programu vrátane hodnotenia technickej pomoci, hodnotenia nákladov programu  na implementáciu opatrení a aktivít, dosiahnutie výsledkov a dosahov prostredníctvom špecifického ekonomického hodnotenia (analýza výnosnosti nákladov)</w:t>
            </w:r>
          </w:p>
        </w:tc>
        <w:tc>
          <w:tcPr>
            <w:tcW w:w="1418" w:type="dxa"/>
            <w:vAlign w:val="center"/>
          </w:tcPr>
          <w:p w:rsidR="00346468" w:rsidRPr="00EA237A" w:rsidRDefault="00346468" w:rsidP="00346468">
            <w:pPr>
              <w:contextualSpacing/>
              <w:jc w:val="center"/>
              <w:rPr>
                <w:rFonts w:ascii="Calibri" w:hAnsi="Calibri"/>
                <w:sz w:val="18"/>
                <w:szCs w:val="18"/>
              </w:rPr>
            </w:pPr>
          </w:p>
        </w:tc>
        <w:tc>
          <w:tcPr>
            <w:tcW w:w="1417" w:type="dxa"/>
            <w:vAlign w:val="center"/>
          </w:tcPr>
          <w:p w:rsidR="00346468" w:rsidRPr="00EA237A" w:rsidRDefault="00346468" w:rsidP="00346468">
            <w:pPr>
              <w:contextualSpacing/>
              <w:jc w:val="center"/>
              <w:rPr>
                <w:rFonts w:ascii="Calibri" w:hAnsi="Calibri"/>
                <w:sz w:val="18"/>
                <w:szCs w:val="18"/>
              </w:rPr>
            </w:pPr>
            <w:r w:rsidRPr="00EA237A">
              <w:rPr>
                <w:rFonts w:ascii="Calibri" w:hAnsi="Calibri"/>
                <w:sz w:val="18"/>
                <w:szCs w:val="18"/>
              </w:rPr>
              <w:t>Špecifické</w:t>
            </w:r>
          </w:p>
        </w:tc>
        <w:tc>
          <w:tcPr>
            <w:tcW w:w="1418" w:type="dxa"/>
            <w:vAlign w:val="center"/>
          </w:tcPr>
          <w:p w:rsidR="00346468" w:rsidRPr="00EA237A" w:rsidRDefault="00346468" w:rsidP="00346468">
            <w:pPr>
              <w:contextualSpacing/>
              <w:jc w:val="center"/>
              <w:rPr>
                <w:rFonts w:ascii="Calibri" w:hAnsi="Calibri"/>
                <w:sz w:val="18"/>
                <w:szCs w:val="18"/>
              </w:rPr>
            </w:pPr>
          </w:p>
        </w:tc>
        <w:tc>
          <w:tcPr>
            <w:tcW w:w="1275" w:type="dxa"/>
            <w:vAlign w:val="center"/>
          </w:tcPr>
          <w:p w:rsidR="00346468" w:rsidRPr="00EA237A" w:rsidRDefault="00346468" w:rsidP="00346468">
            <w:pPr>
              <w:contextualSpacing/>
              <w:jc w:val="center"/>
              <w:rPr>
                <w:rFonts w:ascii="Calibri" w:hAnsi="Calibri"/>
                <w:sz w:val="18"/>
                <w:szCs w:val="18"/>
              </w:rPr>
            </w:pPr>
            <w:r w:rsidRPr="00EA237A">
              <w:rPr>
                <w:rFonts w:ascii="Calibri" w:hAnsi="Calibri"/>
                <w:sz w:val="18"/>
                <w:szCs w:val="18"/>
              </w:rPr>
              <w:t>Špecifické</w:t>
            </w:r>
          </w:p>
        </w:tc>
        <w:tc>
          <w:tcPr>
            <w:tcW w:w="1701" w:type="dxa"/>
          </w:tcPr>
          <w:p w:rsidR="00346468" w:rsidRPr="00EA237A" w:rsidRDefault="00346468" w:rsidP="00346468">
            <w:pPr>
              <w:contextualSpacing/>
              <w:rPr>
                <w:rFonts w:ascii="Calibri" w:hAnsi="Calibri"/>
                <w:sz w:val="18"/>
                <w:szCs w:val="18"/>
              </w:rPr>
            </w:pPr>
            <w:r w:rsidRPr="00EA237A">
              <w:rPr>
                <w:rFonts w:ascii="Calibri" w:hAnsi="Calibri"/>
                <w:sz w:val="18"/>
                <w:szCs w:val="18"/>
              </w:rPr>
              <w:t>Rozšírená správa o vykonávaní</w:t>
            </w:r>
          </w:p>
          <w:p w:rsidR="00346468" w:rsidRPr="00EA237A" w:rsidRDefault="00346468" w:rsidP="00346468">
            <w:pPr>
              <w:contextualSpacing/>
              <w:rPr>
                <w:rFonts w:ascii="Calibri" w:hAnsi="Calibri"/>
                <w:sz w:val="18"/>
                <w:szCs w:val="18"/>
              </w:rPr>
            </w:pPr>
            <w:r w:rsidRPr="00EA237A">
              <w:rPr>
                <w:rFonts w:ascii="Calibri" w:hAnsi="Calibri"/>
                <w:sz w:val="18"/>
                <w:szCs w:val="18"/>
              </w:rPr>
              <w:t>Ex post</w:t>
            </w:r>
          </w:p>
        </w:tc>
      </w:tr>
    </w:tbl>
    <w:p w:rsidR="008676F9" w:rsidRPr="008676F9" w:rsidRDefault="008676F9" w:rsidP="008676F9">
      <w:pPr>
        <w:spacing w:after="200" w:line="276" w:lineRule="auto"/>
        <w:ind w:left="720"/>
        <w:contextualSpacing/>
        <w:rPr>
          <w:rFonts w:ascii="Calibri" w:hAnsi="Calibri"/>
        </w:rPr>
      </w:pPr>
    </w:p>
    <w:p w:rsidR="008676F9" w:rsidRPr="008676F9" w:rsidRDefault="008676F9" w:rsidP="008676F9">
      <w:pPr>
        <w:spacing w:after="200" w:line="276" w:lineRule="auto"/>
        <w:ind w:left="720"/>
        <w:contextualSpacing/>
        <w:rPr>
          <w:rFonts w:ascii="Calibri" w:hAnsi="Calibri"/>
        </w:rPr>
        <w:sectPr w:rsidR="008676F9" w:rsidRPr="008676F9" w:rsidSect="00BB33FC">
          <w:headerReference w:type="default" r:id="rId85"/>
          <w:pgSz w:w="16838" w:h="11906" w:orient="landscape"/>
          <w:pgMar w:top="1417" w:right="1417" w:bottom="1417" w:left="1417" w:header="708" w:footer="708" w:gutter="0"/>
          <w:cols w:space="708"/>
          <w:docGrid w:linePitch="360"/>
        </w:sectPr>
      </w:pPr>
    </w:p>
    <w:p w:rsidR="008676F9" w:rsidRPr="008676F9" w:rsidRDefault="008676F9" w:rsidP="00BC4D3C">
      <w:pPr>
        <w:spacing w:before="120"/>
        <w:rPr>
          <w:rFonts w:ascii="Calibri" w:hAnsi="Calibri"/>
          <w:b/>
          <w:i/>
          <w:szCs w:val="22"/>
        </w:rPr>
      </w:pPr>
      <w:r w:rsidRPr="008676F9">
        <w:rPr>
          <w:rFonts w:ascii="Calibri" w:hAnsi="Calibri"/>
          <w:b/>
          <w:i/>
          <w:szCs w:val="22"/>
        </w:rPr>
        <w:t>Hodnotiace aktivity</w:t>
      </w:r>
    </w:p>
    <w:p w:rsidR="00346468" w:rsidRPr="00EA237A" w:rsidRDefault="00346468" w:rsidP="00346468">
      <w:pPr>
        <w:spacing w:before="120" w:after="200"/>
        <w:rPr>
          <w:rFonts w:ascii="Calibri" w:hAnsi="Calibri"/>
          <w:szCs w:val="22"/>
        </w:rPr>
      </w:pPr>
      <w:r w:rsidRPr="00EA237A">
        <w:rPr>
          <w:rFonts w:ascii="Calibri" w:hAnsi="Calibri"/>
          <w:szCs w:val="22"/>
        </w:rPr>
        <w:t xml:space="preserve">Počas programového obdobia prebieha hodnotenie súbežne s implementáciou programu a týka sa rôznych hodnotiacich aktivít. Riadiaci orgán je zodpovedný za zabezpečenie potrebných zdrojov na realizáciu hodnotení a za prípravu postupov pre zber údajov. Údaje by mali zahrňovať hodnoty pre spoločné a programovo špecifické ukazovatele, ktoré pomôžu zodpovedať spoločné a programovo špecifické hodnotiace otázky.  Hodnotiace aktivity sú rozdelené do dvoch skupín: </w:t>
      </w:r>
    </w:p>
    <w:p w:rsidR="00346468" w:rsidRPr="00EA237A" w:rsidRDefault="00346468" w:rsidP="00CE203B">
      <w:pPr>
        <w:numPr>
          <w:ilvl w:val="0"/>
          <w:numId w:val="287"/>
        </w:numPr>
        <w:spacing w:before="120" w:after="200" w:line="276" w:lineRule="auto"/>
        <w:contextualSpacing/>
        <w:rPr>
          <w:rFonts w:ascii="Calibri" w:hAnsi="Calibri"/>
          <w:szCs w:val="22"/>
        </w:rPr>
      </w:pPr>
      <w:r w:rsidRPr="00EA237A">
        <w:rPr>
          <w:rFonts w:ascii="Calibri" w:hAnsi="Calibri"/>
          <w:szCs w:val="22"/>
        </w:rPr>
        <w:t>hodnotiace aktivity spojené s prípravou hodnotenia</w:t>
      </w:r>
    </w:p>
    <w:p w:rsidR="00346468" w:rsidRDefault="00346468" w:rsidP="00CE203B">
      <w:pPr>
        <w:numPr>
          <w:ilvl w:val="0"/>
          <w:numId w:val="287"/>
        </w:numPr>
        <w:spacing w:before="120" w:after="200" w:line="276" w:lineRule="auto"/>
        <w:contextualSpacing/>
        <w:rPr>
          <w:rFonts w:ascii="Calibri" w:hAnsi="Calibri"/>
          <w:szCs w:val="22"/>
        </w:rPr>
      </w:pPr>
      <w:r w:rsidRPr="00EA237A">
        <w:rPr>
          <w:rFonts w:ascii="Calibri" w:hAnsi="Calibri"/>
          <w:szCs w:val="22"/>
        </w:rPr>
        <w:t>hodnotiace aktivity vykonávané počas programového obdobia</w:t>
      </w:r>
    </w:p>
    <w:p w:rsidR="00DA7200" w:rsidRPr="00EA237A" w:rsidRDefault="00DA7200" w:rsidP="00DA7200">
      <w:pPr>
        <w:spacing w:before="120" w:after="200" w:line="276" w:lineRule="auto"/>
        <w:ind w:left="720"/>
        <w:contextualSpacing/>
        <w:rPr>
          <w:rFonts w:ascii="Calibri" w:hAnsi="Calibri"/>
          <w:szCs w:val="22"/>
        </w:rPr>
      </w:pPr>
    </w:p>
    <w:p w:rsidR="00346468" w:rsidRPr="00EA237A" w:rsidRDefault="00346468" w:rsidP="00346468">
      <w:pPr>
        <w:spacing w:before="120" w:after="200"/>
        <w:rPr>
          <w:rFonts w:ascii="Calibri" w:hAnsi="Calibri"/>
          <w:i/>
          <w:szCs w:val="22"/>
        </w:rPr>
      </w:pPr>
      <w:r w:rsidRPr="00EA237A">
        <w:rPr>
          <w:rFonts w:ascii="Calibri" w:hAnsi="Calibri"/>
          <w:i/>
          <w:szCs w:val="22"/>
        </w:rPr>
        <w:t xml:space="preserve">Hodnotiace aktivity spojené s prípravou hodnotenia pozostávajú: </w:t>
      </w:r>
    </w:p>
    <w:p w:rsidR="00346468" w:rsidRPr="00EA237A" w:rsidRDefault="00346468" w:rsidP="00CE203B">
      <w:pPr>
        <w:numPr>
          <w:ilvl w:val="0"/>
          <w:numId w:val="288"/>
        </w:numPr>
        <w:spacing w:before="120" w:after="200" w:line="276" w:lineRule="auto"/>
        <w:contextualSpacing/>
        <w:rPr>
          <w:rFonts w:ascii="Calibri" w:hAnsi="Calibri"/>
          <w:szCs w:val="22"/>
        </w:rPr>
      </w:pPr>
      <w:r w:rsidRPr="00EA237A">
        <w:rPr>
          <w:rFonts w:ascii="Calibri" w:hAnsi="Calibri"/>
          <w:szCs w:val="22"/>
        </w:rPr>
        <w:t>Revízia spoločných hodnotiacich otázok a ukazovateľov</w:t>
      </w:r>
    </w:p>
    <w:p w:rsidR="00346468" w:rsidRPr="00EA237A" w:rsidRDefault="00346468" w:rsidP="00CE203B">
      <w:pPr>
        <w:numPr>
          <w:ilvl w:val="0"/>
          <w:numId w:val="288"/>
        </w:numPr>
        <w:spacing w:before="120" w:after="200" w:line="276" w:lineRule="auto"/>
        <w:contextualSpacing/>
        <w:rPr>
          <w:rFonts w:ascii="Calibri" w:hAnsi="Calibri"/>
          <w:szCs w:val="22"/>
        </w:rPr>
      </w:pPr>
      <w:r w:rsidRPr="00EA237A">
        <w:rPr>
          <w:rFonts w:ascii="Calibri" w:hAnsi="Calibri"/>
          <w:szCs w:val="22"/>
        </w:rPr>
        <w:t>Zostavenie programovo-špecifických hodnotiacich otázok a ukazovateľov prepojených na programovú intervenčnú logiku, definíciu posudzovacích kritérií a ukazovateľov</w:t>
      </w:r>
    </w:p>
    <w:p w:rsidR="00346468" w:rsidRPr="00EA237A" w:rsidRDefault="00346468" w:rsidP="00CE203B">
      <w:pPr>
        <w:numPr>
          <w:ilvl w:val="0"/>
          <w:numId w:val="288"/>
        </w:numPr>
        <w:spacing w:before="120" w:after="200" w:line="276" w:lineRule="auto"/>
        <w:contextualSpacing/>
        <w:rPr>
          <w:rFonts w:ascii="Calibri" w:hAnsi="Calibri"/>
          <w:szCs w:val="22"/>
        </w:rPr>
      </w:pPr>
      <w:r w:rsidRPr="00EA237A">
        <w:rPr>
          <w:rFonts w:ascii="Calibri" w:hAnsi="Calibri"/>
          <w:szCs w:val="22"/>
        </w:rPr>
        <w:t>Príprava fiches pre programovo špecifické ukazovatele</w:t>
      </w:r>
    </w:p>
    <w:p w:rsidR="00346468" w:rsidRPr="00EA237A" w:rsidRDefault="00346468" w:rsidP="00CE203B">
      <w:pPr>
        <w:numPr>
          <w:ilvl w:val="0"/>
          <w:numId w:val="288"/>
        </w:numPr>
        <w:spacing w:before="120" w:after="200" w:line="276" w:lineRule="auto"/>
        <w:contextualSpacing/>
        <w:rPr>
          <w:rFonts w:ascii="Calibri" w:hAnsi="Calibri"/>
          <w:szCs w:val="22"/>
        </w:rPr>
      </w:pPr>
      <w:r w:rsidRPr="00EA237A">
        <w:rPr>
          <w:rFonts w:ascii="Calibri" w:hAnsi="Calibri"/>
          <w:szCs w:val="22"/>
        </w:rPr>
        <w:t>Aktivity v súvislosti so zabezpečením ukazovateľov potrebnými údajmi (podľa fiche ukazovateľov), identifikácia dodatočných typov údajov a preverenie informačných zdrojov</w:t>
      </w:r>
    </w:p>
    <w:p w:rsidR="00346468" w:rsidRPr="00EA237A" w:rsidRDefault="00346468" w:rsidP="00346468">
      <w:pPr>
        <w:spacing w:before="120" w:after="200"/>
        <w:ind w:left="1440"/>
        <w:contextualSpacing/>
        <w:rPr>
          <w:rFonts w:ascii="Calibri" w:hAnsi="Calibri"/>
          <w:szCs w:val="22"/>
        </w:rPr>
      </w:pPr>
      <w:r w:rsidRPr="00EA237A">
        <w:rPr>
          <w:rFonts w:ascii="Calibri" w:hAnsi="Calibri"/>
          <w:szCs w:val="22"/>
        </w:rPr>
        <w:t>Pre potreby hodnotenia sú dôležité nasledovné informácie a zdroje údajov:</w:t>
      </w:r>
    </w:p>
    <w:p w:rsidR="00346468" w:rsidRPr="00EA237A" w:rsidRDefault="00346468" w:rsidP="00CE203B">
      <w:pPr>
        <w:numPr>
          <w:ilvl w:val="2"/>
          <w:numId w:val="287"/>
        </w:numPr>
        <w:spacing w:before="120" w:after="200" w:line="276" w:lineRule="auto"/>
        <w:contextualSpacing/>
        <w:rPr>
          <w:rFonts w:ascii="Calibri" w:hAnsi="Calibri"/>
          <w:szCs w:val="22"/>
        </w:rPr>
      </w:pPr>
      <w:r w:rsidRPr="00EA237A">
        <w:rPr>
          <w:rFonts w:ascii="Calibri" w:hAnsi="Calibri"/>
          <w:szCs w:val="22"/>
        </w:rPr>
        <w:t>Monitorovacie údaje vrátane údajov týkajúcich sa programových výsledkov, zberané od prijímateľov prostredníctvo</w:t>
      </w:r>
      <w:r>
        <w:rPr>
          <w:rFonts w:ascii="Calibri" w:hAnsi="Calibri"/>
          <w:szCs w:val="22"/>
        </w:rPr>
        <w:t>m</w:t>
      </w:r>
      <w:r w:rsidRPr="00EA237A">
        <w:rPr>
          <w:rFonts w:ascii="Calibri" w:hAnsi="Calibri"/>
          <w:szCs w:val="22"/>
        </w:rPr>
        <w:t xml:space="preserve"> monitorovacích správ a na základe údajov z IS o vyplatených platbách </w:t>
      </w:r>
    </w:p>
    <w:p w:rsidR="00346468" w:rsidRPr="00EA237A" w:rsidRDefault="00346468" w:rsidP="00CE203B">
      <w:pPr>
        <w:numPr>
          <w:ilvl w:val="2"/>
          <w:numId w:val="287"/>
        </w:numPr>
        <w:spacing w:before="120" w:after="200" w:line="276" w:lineRule="auto"/>
        <w:contextualSpacing/>
        <w:rPr>
          <w:rFonts w:ascii="Calibri" w:hAnsi="Calibri"/>
          <w:szCs w:val="22"/>
        </w:rPr>
      </w:pPr>
      <w:r w:rsidRPr="00EA237A">
        <w:rPr>
          <w:rFonts w:ascii="Calibri" w:hAnsi="Calibri"/>
          <w:szCs w:val="22"/>
        </w:rPr>
        <w:t>Neagregované údaje zbierané od nepodporených potenciálnych príjemcov  alebo od reprezentatívnej vzorky cez pravidelné prieskumy (napr. FAND)</w:t>
      </w:r>
    </w:p>
    <w:p w:rsidR="00346468" w:rsidRPr="00EA237A" w:rsidRDefault="00346468" w:rsidP="00CE203B">
      <w:pPr>
        <w:numPr>
          <w:ilvl w:val="2"/>
          <w:numId w:val="287"/>
        </w:numPr>
        <w:spacing w:before="120" w:after="200" w:line="276" w:lineRule="auto"/>
        <w:contextualSpacing/>
        <w:rPr>
          <w:rFonts w:ascii="Calibri" w:hAnsi="Calibri"/>
          <w:szCs w:val="22"/>
        </w:rPr>
      </w:pPr>
      <w:r w:rsidRPr="00EA237A">
        <w:rPr>
          <w:rFonts w:ascii="Calibri" w:hAnsi="Calibri"/>
          <w:szCs w:val="22"/>
        </w:rPr>
        <w:t xml:space="preserve">Pravidelne zbierané špecifické údaje od rôznych inštitúcií, ktoré súvisia s prioritami a oblasťami záberu </w:t>
      </w:r>
    </w:p>
    <w:p w:rsidR="00346468" w:rsidRPr="00EA237A" w:rsidRDefault="00346468" w:rsidP="00CE203B">
      <w:pPr>
        <w:numPr>
          <w:ilvl w:val="2"/>
          <w:numId w:val="287"/>
        </w:numPr>
        <w:spacing w:before="120" w:after="200" w:line="276" w:lineRule="auto"/>
        <w:contextualSpacing/>
        <w:rPr>
          <w:rFonts w:ascii="Calibri" w:hAnsi="Calibri"/>
          <w:szCs w:val="22"/>
        </w:rPr>
      </w:pPr>
      <w:r w:rsidRPr="00EA237A">
        <w:rPr>
          <w:rFonts w:ascii="Calibri" w:hAnsi="Calibri"/>
          <w:szCs w:val="22"/>
        </w:rPr>
        <w:t>Štatistické údaje použité pre kontextovú analýzu</w:t>
      </w:r>
    </w:p>
    <w:p w:rsidR="00346468" w:rsidRPr="00EA237A" w:rsidRDefault="00346468" w:rsidP="00CE203B">
      <w:pPr>
        <w:numPr>
          <w:ilvl w:val="0"/>
          <w:numId w:val="288"/>
        </w:numPr>
        <w:spacing w:before="120" w:after="200" w:line="276" w:lineRule="auto"/>
        <w:contextualSpacing/>
        <w:rPr>
          <w:rFonts w:ascii="Calibri" w:hAnsi="Calibri"/>
          <w:szCs w:val="22"/>
        </w:rPr>
      </w:pPr>
      <w:r w:rsidRPr="00EA237A">
        <w:rPr>
          <w:rFonts w:ascii="Calibri" w:hAnsi="Calibri"/>
          <w:szCs w:val="22"/>
        </w:rPr>
        <w:t>Posúdenie možných prístupov k hodnoteniu výsledkov a dosahov</w:t>
      </w:r>
    </w:p>
    <w:p w:rsidR="00346468" w:rsidRPr="00EA237A" w:rsidRDefault="00346468" w:rsidP="00CE203B">
      <w:pPr>
        <w:numPr>
          <w:ilvl w:val="0"/>
          <w:numId w:val="288"/>
        </w:numPr>
        <w:spacing w:before="120" w:after="200" w:line="276" w:lineRule="auto"/>
        <w:contextualSpacing/>
        <w:rPr>
          <w:rFonts w:ascii="Calibri" w:hAnsi="Calibri"/>
          <w:szCs w:val="22"/>
        </w:rPr>
      </w:pPr>
      <w:r w:rsidRPr="00EA237A">
        <w:rPr>
          <w:rFonts w:ascii="Calibri" w:hAnsi="Calibri"/>
          <w:szCs w:val="22"/>
        </w:rPr>
        <w:t>Nastavenie prierezových hodnotiacich otázok a ukazovateľov v prepojení na Partnerskú dohodu</w:t>
      </w:r>
    </w:p>
    <w:p w:rsidR="00346468" w:rsidRPr="00EA237A" w:rsidRDefault="00346468" w:rsidP="00CE203B">
      <w:pPr>
        <w:numPr>
          <w:ilvl w:val="0"/>
          <w:numId w:val="288"/>
        </w:numPr>
        <w:spacing w:before="120" w:after="200" w:line="276" w:lineRule="auto"/>
        <w:contextualSpacing/>
        <w:rPr>
          <w:rFonts w:ascii="Calibri" w:hAnsi="Calibri"/>
          <w:szCs w:val="22"/>
        </w:rPr>
      </w:pPr>
      <w:r w:rsidRPr="00EA237A">
        <w:rPr>
          <w:rFonts w:ascii="Calibri" w:hAnsi="Calibri"/>
          <w:szCs w:val="22"/>
        </w:rPr>
        <w:t>Zostavenie nástroja pre využitie výsledkov hodnotenia miestnych rozvojových stratégií Leader</w:t>
      </w:r>
    </w:p>
    <w:p w:rsidR="00346468" w:rsidRPr="00EA237A" w:rsidRDefault="00346468" w:rsidP="00CE203B">
      <w:pPr>
        <w:numPr>
          <w:ilvl w:val="0"/>
          <w:numId w:val="288"/>
        </w:numPr>
        <w:spacing w:before="120" w:after="200" w:line="276" w:lineRule="auto"/>
        <w:contextualSpacing/>
        <w:rPr>
          <w:rFonts w:ascii="Calibri" w:hAnsi="Calibri"/>
          <w:szCs w:val="22"/>
        </w:rPr>
      </w:pPr>
      <w:r w:rsidRPr="00EA237A">
        <w:rPr>
          <w:rFonts w:ascii="Calibri" w:hAnsi="Calibri"/>
          <w:szCs w:val="22"/>
        </w:rPr>
        <w:t>Navrhnutie hodnotiacich aktivít pre MAS</w:t>
      </w:r>
      <w:r>
        <w:rPr>
          <w:rFonts w:ascii="Calibri" w:hAnsi="Calibri"/>
          <w:szCs w:val="22"/>
        </w:rPr>
        <w:t xml:space="preserve"> vrátane prístupu CLLD</w:t>
      </w:r>
    </w:p>
    <w:p w:rsidR="00346468" w:rsidRPr="00EA237A" w:rsidRDefault="00346468" w:rsidP="00CE203B">
      <w:pPr>
        <w:numPr>
          <w:ilvl w:val="0"/>
          <w:numId w:val="288"/>
        </w:numPr>
        <w:spacing w:before="120" w:after="200" w:line="276" w:lineRule="auto"/>
        <w:contextualSpacing/>
        <w:rPr>
          <w:rFonts w:ascii="Calibri" w:hAnsi="Calibri"/>
          <w:szCs w:val="22"/>
        </w:rPr>
      </w:pPr>
      <w:r w:rsidRPr="00EA237A">
        <w:rPr>
          <w:rFonts w:ascii="Calibri" w:hAnsi="Calibri"/>
          <w:szCs w:val="22"/>
        </w:rPr>
        <w:t>Riešenie identifikovaných problémov v získavaní údajov</w:t>
      </w:r>
    </w:p>
    <w:p w:rsidR="00346468" w:rsidRPr="00EA237A" w:rsidRDefault="00346468" w:rsidP="00CE203B">
      <w:pPr>
        <w:numPr>
          <w:ilvl w:val="0"/>
          <w:numId w:val="288"/>
        </w:numPr>
        <w:spacing w:before="120" w:after="200" w:line="276" w:lineRule="auto"/>
        <w:contextualSpacing/>
        <w:rPr>
          <w:rFonts w:ascii="Calibri" w:hAnsi="Calibri"/>
          <w:szCs w:val="22"/>
        </w:rPr>
      </w:pPr>
      <w:r w:rsidRPr="00EA237A">
        <w:rPr>
          <w:rFonts w:ascii="Calibri" w:hAnsi="Calibri"/>
          <w:szCs w:val="22"/>
        </w:rPr>
        <w:t>Dohoda s poskytovateľmi údajov</w:t>
      </w:r>
    </w:p>
    <w:p w:rsidR="00346468" w:rsidRPr="00EA237A" w:rsidRDefault="00346468" w:rsidP="00CE203B">
      <w:pPr>
        <w:numPr>
          <w:ilvl w:val="0"/>
          <w:numId w:val="288"/>
        </w:numPr>
        <w:spacing w:before="120" w:after="200" w:line="276" w:lineRule="auto"/>
        <w:contextualSpacing/>
        <w:rPr>
          <w:rFonts w:ascii="Calibri" w:hAnsi="Calibri"/>
          <w:szCs w:val="22"/>
        </w:rPr>
      </w:pPr>
      <w:r w:rsidRPr="00EA237A">
        <w:rPr>
          <w:rFonts w:ascii="Calibri" w:hAnsi="Calibri"/>
          <w:szCs w:val="22"/>
        </w:rPr>
        <w:t>Príprava zadávacích podmienok a realizácia verej</w:t>
      </w:r>
      <w:r>
        <w:rPr>
          <w:rFonts w:ascii="Calibri" w:hAnsi="Calibri"/>
          <w:szCs w:val="22"/>
        </w:rPr>
        <w:t>ného obstarania hodnotiteľov</w:t>
      </w:r>
    </w:p>
    <w:p w:rsidR="008676F9" w:rsidRPr="008676F9" w:rsidRDefault="008676F9" w:rsidP="008676F9">
      <w:pPr>
        <w:spacing w:before="120" w:after="200"/>
        <w:ind w:left="720"/>
        <w:contextualSpacing/>
        <w:rPr>
          <w:rFonts w:ascii="Calibri" w:hAnsi="Calibri"/>
          <w:szCs w:val="22"/>
        </w:rPr>
      </w:pPr>
    </w:p>
    <w:p w:rsidR="008676F9" w:rsidRPr="008676F9" w:rsidRDefault="008676F9" w:rsidP="00997BE5">
      <w:pPr>
        <w:spacing w:before="120"/>
        <w:rPr>
          <w:rFonts w:ascii="Calibri" w:hAnsi="Calibri"/>
          <w:i/>
          <w:szCs w:val="22"/>
        </w:rPr>
      </w:pPr>
      <w:r w:rsidRPr="008676F9">
        <w:rPr>
          <w:rFonts w:ascii="Calibri" w:hAnsi="Calibri"/>
          <w:i/>
          <w:szCs w:val="22"/>
        </w:rPr>
        <w:t>Hodnotiace aktivity vykonávané počas programového obdobia:</w:t>
      </w:r>
    </w:p>
    <w:p w:rsidR="008676F9" w:rsidRPr="008676F9" w:rsidRDefault="008676F9" w:rsidP="00CE203B">
      <w:pPr>
        <w:numPr>
          <w:ilvl w:val="0"/>
          <w:numId w:val="289"/>
        </w:numPr>
        <w:spacing w:before="120" w:after="200"/>
        <w:contextualSpacing/>
        <w:rPr>
          <w:rFonts w:ascii="Calibri" w:hAnsi="Calibri"/>
          <w:szCs w:val="22"/>
        </w:rPr>
      </w:pPr>
      <w:r w:rsidRPr="008676F9">
        <w:rPr>
          <w:rFonts w:ascii="Calibri" w:hAnsi="Calibri"/>
          <w:szCs w:val="22"/>
        </w:rPr>
        <w:t>Hodnotiace aktivity vykonané programovými autoritami – Riadiaci orgán a PPA:</w:t>
      </w:r>
    </w:p>
    <w:p w:rsidR="008676F9" w:rsidRPr="008676F9" w:rsidRDefault="008676F9" w:rsidP="00CE203B">
      <w:pPr>
        <w:numPr>
          <w:ilvl w:val="2"/>
          <w:numId w:val="287"/>
        </w:numPr>
        <w:spacing w:before="120" w:after="200"/>
        <w:contextualSpacing/>
        <w:rPr>
          <w:rFonts w:ascii="Calibri" w:hAnsi="Calibri"/>
          <w:szCs w:val="22"/>
        </w:rPr>
      </w:pPr>
      <w:r w:rsidRPr="008676F9">
        <w:rPr>
          <w:rFonts w:ascii="Calibri" w:hAnsi="Calibri"/>
          <w:szCs w:val="22"/>
        </w:rPr>
        <w:t>Hodnotenie dosiahnutých výsledkov smerom k cieľom PRV, príspevku k cieľom SPP a Stratégii EÚ 2020, posúdenie programových výsledkov a dosahov, prierezových cieľov Rozvoja vidieka, spoločných princípov programov EŠIF, zodpovedanie hodnotiacich otázok, príprava záverov a odporúčaní, využitie hodnotiacich výsledkov pre zlepšenie návrhu PRV a jeho implementácie (riadené Riadiacim orgánom, vykonané hodnotiteľom)</w:t>
      </w:r>
    </w:p>
    <w:p w:rsidR="008676F9" w:rsidRDefault="008676F9" w:rsidP="00CE203B">
      <w:pPr>
        <w:numPr>
          <w:ilvl w:val="2"/>
          <w:numId w:val="287"/>
        </w:numPr>
        <w:spacing w:before="120" w:after="200"/>
        <w:contextualSpacing/>
        <w:rPr>
          <w:rFonts w:ascii="Calibri" w:hAnsi="Calibri"/>
          <w:szCs w:val="22"/>
        </w:rPr>
      </w:pPr>
      <w:r w:rsidRPr="008676F9">
        <w:rPr>
          <w:rFonts w:ascii="Calibri" w:hAnsi="Calibri"/>
          <w:szCs w:val="22"/>
        </w:rPr>
        <w:t>Podávanie správ a zverejňovanie výsledkov hodnotení (Riadiaci orgán)</w:t>
      </w:r>
    </w:p>
    <w:p w:rsidR="007867E9" w:rsidRPr="008676F9" w:rsidRDefault="007867E9" w:rsidP="007867E9">
      <w:pPr>
        <w:spacing w:before="120" w:after="200"/>
        <w:ind w:left="2160"/>
        <w:contextualSpacing/>
        <w:rPr>
          <w:rFonts w:ascii="Calibri" w:hAnsi="Calibri"/>
          <w:szCs w:val="22"/>
        </w:rPr>
      </w:pPr>
    </w:p>
    <w:p w:rsidR="008676F9" w:rsidRPr="008676F9" w:rsidRDefault="008676F9" w:rsidP="00CE203B">
      <w:pPr>
        <w:numPr>
          <w:ilvl w:val="0"/>
          <w:numId w:val="289"/>
        </w:numPr>
        <w:spacing w:before="120" w:after="200"/>
        <w:contextualSpacing/>
        <w:rPr>
          <w:rFonts w:ascii="Calibri" w:hAnsi="Calibri"/>
          <w:szCs w:val="22"/>
        </w:rPr>
      </w:pPr>
      <w:r w:rsidRPr="008676F9">
        <w:rPr>
          <w:rFonts w:ascii="Calibri" w:hAnsi="Calibri"/>
          <w:szCs w:val="22"/>
        </w:rPr>
        <w:t xml:space="preserve">Hodnotiace aktivity, ktoré by mali byť vykonané hodnotiteľom: </w:t>
      </w:r>
    </w:p>
    <w:p w:rsidR="00346468" w:rsidRPr="00EA237A" w:rsidRDefault="00346468" w:rsidP="00CE203B">
      <w:pPr>
        <w:numPr>
          <w:ilvl w:val="2"/>
          <w:numId w:val="386"/>
        </w:numPr>
        <w:spacing w:before="120" w:after="200"/>
        <w:ind w:left="1843" w:hanging="283"/>
        <w:contextualSpacing/>
        <w:rPr>
          <w:rFonts w:ascii="Calibri" w:hAnsi="Calibri"/>
          <w:szCs w:val="22"/>
        </w:rPr>
      </w:pPr>
      <w:r w:rsidRPr="00EA237A">
        <w:rPr>
          <w:rFonts w:ascii="Calibri" w:hAnsi="Calibri"/>
          <w:szCs w:val="22"/>
        </w:rPr>
        <w:t xml:space="preserve">Príprava a plnenie vhodných a kompaktných hodnotiacich metodík </w:t>
      </w:r>
    </w:p>
    <w:p w:rsidR="00346468" w:rsidRPr="00EA237A" w:rsidRDefault="00346468" w:rsidP="00CE203B">
      <w:pPr>
        <w:numPr>
          <w:ilvl w:val="2"/>
          <w:numId w:val="386"/>
        </w:numPr>
        <w:spacing w:before="120" w:after="200"/>
        <w:ind w:left="1843" w:hanging="283"/>
        <w:contextualSpacing/>
        <w:rPr>
          <w:rFonts w:ascii="Calibri" w:hAnsi="Calibri"/>
          <w:szCs w:val="22"/>
        </w:rPr>
      </w:pPr>
      <w:r w:rsidRPr="00EA237A">
        <w:rPr>
          <w:rFonts w:ascii="Calibri" w:hAnsi="Calibri"/>
          <w:szCs w:val="22"/>
        </w:rPr>
        <w:t>Zber, spracovanie a syntéza dôležitých informácií v spojení s informáciami dodaných Riadiacim orgánom o viacnásobných efektoch intervencií a synergii medzi aktivitami</w:t>
      </w:r>
    </w:p>
    <w:p w:rsidR="00346468" w:rsidRPr="00EA237A" w:rsidRDefault="00346468" w:rsidP="00CE203B">
      <w:pPr>
        <w:numPr>
          <w:ilvl w:val="2"/>
          <w:numId w:val="386"/>
        </w:numPr>
        <w:spacing w:before="120" w:after="200"/>
        <w:ind w:left="1843" w:hanging="283"/>
        <w:contextualSpacing/>
        <w:rPr>
          <w:rFonts w:ascii="Calibri" w:hAnsi="Calibri"/>
          <w:szCs w:val="22"/>
        </w:rPr>
      </w:pPr>
      <w:r w:rsidRPr="00EA237A">
        <w:rPr>
          <w:rFonts w:ascii="Calibri" w:hAnsi="Calibri"/>
          <w:szCs w:val="22"/>
        </w:rPr>
        <w:t>Zber, spracovanie a syntéza dôležitých informácií v spojení s informáciami dodaných Riadiacim orgánom v súlade s vybranými hodnotiacimi metódami, výkon posúdenia doplnkových výsledkových ukazovateľov a programovo špecifických výsledkových ukazovateľov</w:t>
      </w:r>
    </w:p>
    <w:p w:rsidR="00346468" w:rsidRPr="00EA237A" w:rsidRDefault="00346468" w:rsidP="00CE203B">
      <w:pPr>
        <w:numPr>
          <w:ilvl w:val="2"/>
          <w:numId w:val="386"/>
        </w:numPr>
        <w:spacing w:before="120" w:after="200"/>
        <w:ind w:left="1843" w:hanging="283"/>
        <w:contextualSpacing/>
        <w:rPr>
          <w:rFonts w:ascii="Calibri" w:hAnsi="Calibri"/>
          <w:szCs w:val="22"/>
        </w:rPr>
      </w:pPr>
      <w:r w:rsidRPr="00EA237A">
        <w:rPr>
          <w:rFonts w:ascii="Calibri" w:hAnsi="Calibri"/>
          <w:szCs w:val="22"/>
        </w:rPr>
        <w:t xml:space="preserve">Zber, spracovanie a analýza dôležitých informácií v súlade s vybranými hodnotiacimi metódami a výkon hodnotenia programových dosahov, prisudzovať ich k programovým intervenciám </w:t>
      </w:r>
    </w:p>
    <w:p w:rsidR="00346468" w:rsidRPr="00EA237A" w:rsidRDefault="00346468" w:rsidP="00CE203B">
      <w:pPr>
        <w:numPr>
          <w:ilvl w:val="2"/>
          <w:numId w:val="386"/>
        </w:numPr>
        <w:spacing w:before="120" w:after="200"/>
        <w:ind w:left="1843" w:hanging="283"/>
        <w:contextualSpacing/>
        <w:rPr>
          <w:rFonts w:ascii="Calibri" w:hAnsi="Calibri"/>
          <w:szCs w:val="22"/>
        </w:rPr>
      </w:pPr>
      <w:r w:rsidRPr="00EA237A">
        <w:rPr>
          <w:rFonts w:ascii="Calibri" w:hAnsi="Calibri"/>
          <w:szCs w:val="22"/>
        </w:rPr>
        <w:t>Analyzovať príspevky PRV k hlavným cieľom SPP, cieľom Stratégii Európa 2020 a prierezovým záležitostiam (inovácie, environment, klimatické zmeny) a príspevok špecifických intervencií ako NSRV</w:t>
      </w:r>
    </w:p>
    <w:p w:rsidR="00346468" w:rsidRPr="00EA237A" w:rsidRDefault="00346468" w:rsidP="00CE203B">
      <w:pPr>
        <w:numPr>
          <w:ilvl w:val="2"/>
          <w:numId w:val="386"/>
        </w:numPr>
        <w:spacing w:before="120" w:after="200"/>
        <w:ind w:left="1843" w:hanging="283"/>
        <w:contextualSpacing/>
        <w:rPr>
          <w:rFonts w:ascii="Calibri" w:hAnsi="Calibri"/>
          <w:szCs w:val="22"/>
        </w:rPr>
      </w:pPr>
      <w:r w:rsidRPr="00EA237A">
        <w:rPr>
          <w:rFonts w:ascii="Calibri" w:hAnsi="Calibri"/>
          <w:szCs w:val="22"/>
        </w:rPr>
        <w:t xml:space="preserve">Hodnotenie dosiahnutého pokroku v zabezpečení integrovaného prístupu pri uplatnení EFPRV (LEADER) a iných finančných nástrojov EÚ na podporu územného rozvoja </w:t>
      </w:r>
      <w:r>
        <w:rPr>
          <w:rFonts w:ascii="Calibri" w:hAnsi="Calibri"/>
          <w:szCs w:val="22"/>
        </w:rPr>
        <w:t xml:space="preserve">prostredníctvom </w:t>
      </w:r>
      <w:r w:rsidRPr="00EA237A">
        <w:rPr>
          <w:rFonts w:ascii="Calibri" w:hAnsi="Calibri"/>
          <w:szCs w:val="22"/>
        </w:rPr>
        <w:t>miestn</w:t>
      </w:r>
      <w:r>
        <w:rPr>
          <w:rFonts w:ascii="Calibri" w:hAnsi="Calibri"/>
          <w:szCs w:val="22"/>
        </w:rPr>
        <w:t>ych</w:t>
      </w:r>
      <w:r w:rsidRPr="00EA237A">
        <w:rPr>
          <w:rFonts w:ascii="Calibri" w:hAnsi="Calibri"/>
          <w:szCs w:val="22"/>
        </w:rPr>
        <w:t xml:space="preserve"> rozvojov</w:t>
      </w:r>
      <w:r>
        <w:rPr>
          <w:rFonts w:ascii="Calibri" w:hAnsi="Calibri"/>
          <w:szCs w:val="22"/>
        </w:rPr>
        <w:t>ých</w:t>
      </w:r>
      <w:r w:rsidRPr="00EA237A">
        <w:rPr>
          <w:rFonts w:ascii="Calibri" w:hAnsi="Calibri"/>
          <w:szCs w:val="22"/>
        </w:rPr>
        <w:t xml:space="preserve"> stratégi</w:t>
      </w:r>
      <w:r>
        <w:rPr>
          <w:rFonts w:ascii="Calibri" w:hAnsi="Calibri"/>
          <w:szCs w:val="22"/>
        </w:rPr>
        <w:t>í a komunitou vedeného miestneho rozvoja (tzv. CLLD prístup)</w:t>
      </w:r>
    </w:p>
    <w:p w:rsidR="00346468" w:rsidRPr="00EA237A" w:rsidRDefault="00346468" w:rsidP="00CE203B">
      <w:pPr>
        <w:numPr>
          <w:ilvl w:val="2"/>
          <w:numId w:val="386"/>
        </w:numPr>
        <w:spacing w:before="120" w:after="200"/>
        <w:ind w:left="1843" w:hanging="283"/>
        <w:contextualSpacing/>
        <w:rPr>
          <w:rFonts w:ascii="Calibri" w:hAnsi="Calibri"/>
          <w:szCs w:val="22"/>
        </w:rPr>
      </w:pPr>
      <w:r w:rsidRPr="00EA237A">
        <w:rPr>
          <w:rFonts w:ascii="Calibri" w:hAnsi="Calibri"/>
          <w:szCs w:val="22"/>
        </w:rPr>
        <w:t>Analýza dosiahnutých výsledkov programu spolu s cieľmi PRV</w:t>
      </w:r>
    </w:p>
    <w:p w:rsidR="00346468" w:rsidRPr="00EA237A" w:rsidRDefault="00346468" w:rsidP="00CE203B">
      <w:pPr>
        <w:numPr>
          <w:ilvl w:val="2"/>
          <w:numId w:val="386"/>
        </w:numPr>
        <w:spacing w:before="120" w:after="200"/>
        <w:ind w:left="1843" w:hanging="283"/>
        <w:contextualSpacing/>
        <w:rPr>
          <w:rFonts w:ascii="Calibri" w:hAnsi="Calibri"/>
          <w:szCs w:val="22"/>
        </w:rPr>
      </w:pPr>
      <w:r w:rsidRPr="00EA237A">
        <w:rPr>
          <w:rFonts w:ascii="Calibri" w:hAnsi="Calibri"/>
          <w:szCs w:val="22"/>
        </w:rPr>
        <w:t>Odpovedanie hodnotiacich otázok</w:t>
      </w:r>
    </w:p>
    <w:p w:rsidR="00346468" w:rsidRDefault="00346468" w:rsidP="00CE203B">
      <w:pPr>
        <w:numPr>
          <w:ilvl w:val="2"/>
          <w:numId w:val="386"/>
        </w:numPr>
        <w:spacing w:before="120" w:after="200"/>
        <w:ind w:left="1843" w:hanging="283"/>
        <w:contextualSpacing/>
        <w:rPr>
          <w:rFonts w:ascii="Calibri" w:hAnsi="Calibri"/>
          <w:szCs w:val="22"/>
        </w:rPr>
      </w:pPr>
      <w:r w:rsidRPr="00EA237A">
        <w:rPr>
          <w:rFonts w:ascii="Calibri" w:hAnsi="Calibri"/>
          <w:szCs w:val="22"/>
        </w:rPr>
        <w:t>Poskytnutie záverov a odporúčaní vo vzťahu k návrhu programu a jeho implementácii</w:t>
      </w:r>
    </w:p>
    <w:p w:rsidR="008643A9" w:rsidRPr="008676F9" w:rsidRDefault="008643A9" w:rsidP="008643A9">
      <w:pPr>
        <w:spacing w:before="120" w:after="200"/>
        <w:ind w:left="2160"/>
        <w:contextualSpacing/>
        <w:rPr>
          <w:rFonts w:ascii="Calibri" w:hAnsi="Calibri"/>
          <w:szCs w:val="22"/>
        </w:rPr>
      </w:pPr>
    </w:p>
    <w:p w:rsidR="00346468" w:rsidRPr="00BD2FB4" w:rsidRDefault="00346468" w:rsidP="00346468">
      <w:pPr>
        <w:spacing w:after="120"/>
        <w:rPr>
          <w:rFonts w:ascii="Calibri" w:hAnsi="Calibri"/>
          <w:szCs w:val="22"/>
        </w:rPr>
      </w:pPr>
      <w:r>
        <w:rPr>
          <w:rFonts w:ascii="Calibri" w:hAnsi="Calibri"/>
          <w:szCs w:val="22"/>
        </w:rPr>
        <w:t xml:space="preserve">V rámci oblasti „Kvalita života“ </w:t>
      </w:r>
      <w:r w:rsidRPr="00BD2FB4">
        <w:rPr>
          <w:rFonts w:ascii="Calibri" w:hAnsi="Calibri"/>
          <w:szCs w:val="22"/>
        </w:rPr>
        <w:t xml:space="preserve">sa bude </w:t>
      </w:r>
      <w:r>
        <w:rPr>
          <w:rFonts w:ascii="Calibri" w:hAnsi="Calibri"/>
          <w:szCs w:val="22"/>
        </w:rPr>
        <w:t xml:space="preserve">monitorovanie a hodnotenie </w:t>
      </w:r>
      <w:r w:rsidRPr="00BD2FB4">
        <w:rPr>
          <w:rFonts w:ascii="Calibri" w:hAnsi="Calibri"/>
          <w:szCs w:val="22"/>
        </w:rPr>
        <w:t>zaoberať aj stupňom poskytovania informácií o vplyve programu na rovnosť príležitostí a nediskrimináciu na základe pohlavia, rasy alebo etnického pôvodu, viery a vierovyznania, zdravotného postihnutia alebo veku v</w:t>
      </w:r>
      <w:r>
        <w:rPr>
          <w:rFonts w:ascii="Calibri" w:hAnsi="Calibri"/>
          <w:szCs w:val="22"/>
        </w:rPr>
        <w:t> </w:t>
      </w:r>
      <w:r w:rsidRPr="00BD2FB4">
        <w:rPr>
          <w:rFonts w:ascii="Calibri" w:hAnsi="Calibri"/>
          <w:szCs w:val="22"/>
        </w:rPr>
        <w:t>krátko</w:t>
      </w:r>
      <w:r>
        <w:rPr>
          <w:rFonts w:ascii="Calibri" w:hAnsi="Calibri"/>
          <w:szCs w:val="22"/>
        </w:rPr>
        <w:t xml:space="preserve">dobom </w:t>
      </w:r>
      <w:r w:rsidRPr="00BD2FB4">
        <w:rPr>
          <w:rFonts w:ascii="Calibri" w:hAnsi="Calibri"/>
          <w:szCs w:val="22"/>
        </w:rPr>
        <w:t>a dlhodobom horizonte. Relevantné ukazovatele budú pravidelne monitorované a vyhodnocované.</w:t>
      </w:r>
    </w:p>
    <w:p w:rsidR="008676F9" w:rsidRPr="008676F9" w:rsidRDefault="008676F9" w:rsidP="008676F9">
      <w:pPr>
        <w:spacing w:before="120" w:after="200"/>
        <w:rPr>
          <w:rFonts w:ascii="Calibri" w:hAnsi="Calibri"/>
          <w:szCs w:val="22"/>
        </w:rPr>
      </w:pPr>
      <w:r w:rsidRPr="008676F9">
        <w:rPr>
          <w:rFonts w:ascii="Calibri" w:hAnsi="Calibri"/>
          <w:szCs w:val="22"/>
        </w:rPr>
        <w:t xml:space="preserve">Vyššie opísané hodnotiace aktivity majú byť uvedené vo Výročnej správe o vykonávaní. Podrobnejšie  informácie o hodnotiacich aktivitách je požadované uviesť v dvoch posilnených správach o vykonávaní, ktorá sa predkladajú v roku 2017 a 2019. Hodnotiaca správa ex post, ktorá má byť predložená Komisii do 31.12.2023, bude kompletizovať všetky hodnotiace úlohy a aktivity vo vzťahu k všetkým hodnotiacim témam. Má zhodnotiť efektívnosť a účinnosť programu, jeho príspevok k Stratégii Európa 2020, poskytnúť odpovede na hodnotiace otázky a poskytnúť závery a odporúčania pre politiku rozvoja vidieka. Odporúča sa začať pripravovať hodnotenie ex post začiatkom r.2020. </w:t>
      </w:r>
    </w:p>
    <w:p w:rsidR="008676F9" w:rsidRDefault="008676F9" w:rsidP="008676F9">
      <w:pPr>
        <w:spacing w:before="120" w:after="200"/>
        <w:rPr>
          <w:rFonts w:ascii="Calibri" w:hAnsi="Calibri"/>
          <w:szCs w:val="22"/>
        </w:rPr>
      </w:pPr>
      <w:r w:rsidRPr="008676F9">
        <w:rPr>
          <w:rFonts w:ascii="Calibri" w:hAnsi="Calibri"/>
          <w:szCs w:val="22"/>
        </w:rPr>
        <w:t xml:space="preserve">Štandardné správy o vykonávaní budú predkladané v r. 2016, 2018, 2020 a 2021. Posilnené správy o vykonávaní ako už bolo uvedené vyššie, budú obsahovať popis monitorovacích a hodnotiacich aktivít a budú predložené v r.2017 a 2019. Obsah správ o vykonávaní bude určený príslušným vykonávacím nariadením. </w:t>
      </w:r>
    </w:p>
    <w:p w:rsidR="00BC4D3C" w:rsidRPr="008676F9" w:rsidRDefault="00BC4D3C" w:rsidP="00BC4D3C">
      <w:pPr>
        <w:spacing w:before="120"/>
        <w:rPr>
          <w:rFonts w:ascii="Calibri" w:hAnsi="Calibri"/>
          <w:szCs w:val="22"/>
        </w:rPr>
      </w:pPr>
    </w:p>
    <w:p w:rsidR="008676F9" w:rsidRPr="00346468" w:rsidRDefault="00AA30CA" w:rsidP="00346468">
      <w:pPr>
        <w:spacing w:before="120" w:after="200" w:line="276" w:lineRule="auto"/>
        <w:contextualSpacing/>
        <w:rPr>
          <w:rFonts w:ascii="Calibri" w:hAnsi="Calibri"/>
          <w:b/>
          <w:szCs w:val="22"/>
        </w:rPr>
      </w:pPr>
      <w:bookmarkStart w:id="121" w:name="_Toc384111066"/>
      <w:r w:rsidRPr="00346468">
        <w:rPr>
          <w:rFonts w:ascii="Calibri" w:hAnsi="Calibri"/>
          <w:b/>
          <w:szCs w:val="22"/>
        </w:rPr>
        <w:t>4.</w:t>
      </w:r>
      <w:r w:rsidR="008676F9" w:rsidRPr="00346468">
        <w:rPr>
          <w:rFonts w:ascii="Calibri" w:hAnsi="Calibri"/>
          <w:b/>
          <w:szCs w:val="22"/>
        </w:rPr>
        <w:t>ZBER ÚDAJOV A INFORMÁCIE</w:t>
      </w:r>
      <w:bookmarkEnd w:id="121"/>
    </w:p>
    <w:p w:rsidR="008676F9" w:rsidRPr="008676F9" w:rsidRDefault="008676F9" w:rsidP="006C75BE">
      <w:pPr>
        <w:spacing w:before="120"/>
        <w:rPr>
          <w:rFonts w:ascii="Calibri" w:hAnsi="Calibri"/>
          <w:b/>
          <w:i/>
          <w:szCs w:val="22"/>
        </w:rPr>
      </w:pPr>
      <w:r w:rsidRPr="008676F9">
        <w:rPr>
          <w:rFonts w:ascii="Calibri" w:hAnsi="Calibri"/>
          <w:b/>
          <w:bCs/>
          <w:i/>
          <w:szCs w:val="22"/>
        </w:rPr>
        <w:t xml:space="preserve">Systém monitorovacích informácií o implementácii PRV  pre účely hodnotenia </w:t>
      </w:r>
    </w:p>
    <w:p w:rsidR="008676F9" w:rsidRPr="008676F9" w:rsidRDefault="008676F9" w:rsidP="006C75BE">
      <w:pPr>
        <w:spacing w:after="200"/>
        <w:rPr>
          <w:rFonts w:ascii="Calibri" w:hAnsi="Calibri"/>
          <w:szCs w:val="22"/>
        </w:rPr>
      </w:pPr>
      <w:r w:rsidRPr="008676F9">
        <w:rPr>
          <w:rFonts w:ascii="Calibri" w:hAnsi="Calibri"/>
          <w:szCs w:val="22"/>
        </w:rPr>
        <w:t>PPA administruje elektronický systém zaznamenávania a uchovávania monitorovacích údajov o programe a jeho vykonávaní, ktoré sú potrebné na účely monitorovania a hodnotenia, a najmä informácií potrebných na sledovaní pokroku pri dosahovaní stanovených cieľov a priorít. Hlavným zdroj údajov sú  žiadosti o nenávratný finančný príspevok, monitorovacie správy od prijímateľov</w:t>
      </w:r>
      <w:r w:rsidRPr="008676F9">
        <w:rPr>
          <w:rFonts w:ascii="Calibri" w:hAnsi="Calibri"/>
          <w:szCs w:val="22"/>
        </w:rPr>
        <w:lastRenderedPageBreak/>
        <w:t xml:space="preserve"> a systém IACS. V rámci monitorovacích správ sa získavajú údaje za projektové podpory na úrovni výstupu a výsledkov. PPA pripravuje formát monitorovacích správ v súlade s metodikou SRMH. Pre monitorovanie neprojektových podpôr (platby na plochu) PPA využíva export údajov zo systému IACS. V prechádzajúcom období chýbala funkcionalita v rámci systému IACS, ktorá by zabezpečovala užívateľom rýchly výber prehľadových údajov o ukazovateľoch výstupu a výsledku podľa metodiky SRMH zo systému. V súčasnosti prebieha príprava nového integrovaného softwarového riešenia v rámci PPA, ktorý má riešiť okrem iného aj identifikované úzke miesta v systéme monitoringu údajov. Očakáva sa, že v priebehu r.2016 bude systém prispôsobený požiadavkám získavania údajov pre potreby monitoringu a hodnotenia. </w:t>
      </w:r>
      <w:r w:rsidR="006C0DD8">
        <w:rPr>
          <w:rFonts w:ascii="Calibri" w:hAnsi="Calibri"/>
          <w:szCs w:val="22"/>
        </w:rPr>
        <w:t>Zavedenie IT systému bude úzko prepojené so zabezpečením aktivít súvisiacich so zlepšením hodnotiacich metód, nastavenia zberu údajov a informácií, ich výmeny a celkového nastavenia systému monitorovania. Na uvedené aktivity využije PPA prostriedky z technickej pomoci.</w:t>
      </w:r>
    </w:p>
    <w:p w:rsidR="008676F9" w:rsidRPr="008676F9" w:rsidRDefault="008676F9" w:rsidP="00BC4D3C">
      <w:pPr>
        <w:rPr>
          <w:rFonts w:ascii="Calibri" w:hAnsi="Calibri"/>
          <w:b/>
          <w:i/>
          <w:szCs w:val="22"/>
        </w:rPr>
      </w:pPr>
      <w:r w:rsidRPr="008676F9">
        <w:rPr>
          <w:rFonts w:ascii="Calibri" w:hAnsi="Calibri"/>
          <w:b/>
          <w:i/>
          <w:szCs w:val="22"/>
        </w:rPr>
        <w:t xml:space="preserve">Zber údajov pre monitoring a hodnotenie </w:t>
      </w:r>
    </w:p>
    <w:p w:rsidR="008676F9" w:rsidRPr="008676F9" w:rsidRDefault="008676F9" w:rsidP="00BC4D3C">
      <w:pPr>
        <w:rPr>
          <w:rFonts w:ascii="Calibri" w:hAnsi="Calibri"/>
          <w:i/>
          <w:szCs w:val="22"/>
        </w:rPr>
      </w:pPr>
      <w:r w:rsidRPr="008676F9">
        <w:rPr>
          <w:rFonts w:ascii="Calibri" w:hAnsi="Calibri"/>
          <w:i/>
          <w:szCs w:val="22"/>
        </w:rPr>
        <w:t>Primárne údaje:</w:t>
      </w:r>
    </w:p>
    <w:p w:rsidR="00346468" w:rsidRPr="00EA237A" w:rsidRDefault="00346468" w:rsidP="00346468">
      <w:pPr>
        <w:spacing w:before="120" w:after="200"/>
        <w:rPr>
          <w:rFonts w:ascii="Calibri" w:hAnsi="Calibri"/>
          <w:szCs w:val="22"/>
        </w:rPr>
      </w:pPr>
      <w:r w:rsidRPr="00EA237A">
        <w:rPr>
          <w:rFonts w:ascii="Calibri" w:hAnsi="Calibri"/>
          <w:szCs w:val="22"/>
        </w:rPr>
        <w:t xml:space="preserve">Prevažná časť primárnych údajov je spracovaná a administrovaná prostredníctvom informačných systémov PPA, ktorá poskytuje svoju vlastnú databázu primárnych údajov pre potreby monitoringu a hodnotenia. PPA zabezpečuje zber primárnych údajov prostredníctvom žiadostí o poskytnutie nenávratného finančného príspevku (projektové podpory PRV) pri schválení projektu (východiskový stav), prostredníctvom povinných monitorovacích správ od príjemcov projektových podpôr a prostredníctvom autorizácií platieb, ktoré uplatňujú výsledky kontrol na mieste. Pri neprojektových operáciách (platby na plochu) sú zdrojmi primárnych údajov jednotné žiadosti o podpory predkladané príjemcami podpôr. </w:t>
      </w:r>
    </w:p>
    <w:p w:rsidR="00346468" w:rsidRPr="00EA237A" w:rsidRDefault="00346468" w:rsidP="00346468">
      <w:pPr>
        <w:spacing w:before="120" w:after="200"/>
        <w:rPr>
          <w:rFonts w:ascii="Calibri" w:hAnsi="Calibri"/>
          <w:szCs w:val="22"/>
        </w:rPr>
      </w:pPr>
      <w:r w:rsidRPr="00EA237A">
        <w:rPr>
          <w:rFonts w:ascii="Calibri" w:hAnsi="Calibri"/>
          <w:szCs w:val="22"/>
        </w:rPr>
        <w:t>Významným zdrojom primárnych údajov o poľnohospodárskych podnikoch je databáza informačných listov MPRV SR, ktorú spravuje</w:t>
      </w:r>
      <w:r>
        <w:rPr>
          <w:rFonts w:ascii="Calibri" w:hAnsi="Calibri"/>
          <w:szCs w:val="22"/>
        </w:rPr>
        <w:t xml:space="preserve"> NPPC</w:t>
      </w:r>
      <w:r w:rsidRPr="00EA237A">
        <w:rPr>
          <w:rFonts w:ascii="Calibri" w:hAnsi="Calibri"/>
          <w:szCs w:val="22"/>
        </w:rPr>
        <w:t>. Zisťovanie pre túto databázu zachytáva podstatne väčší počet podnikov ako FADN (počet podnikov v zisťovaní Informačných listov je približne 2600, vo FADN je to len približne 600 podnikov). Vzorka podnikov pokrýva rovnomerne celé územie Slovenska a rozhodujúcu výmeru poľnohospodárskej pôdy evidovanej v LPIS. Databáza okrem výrobných ukazovateľov obsahuje aj účtovné údaje poľnohospodárskych a potravinárskych podnikov, ako sú napr. príjmy, štruktúra nákladov, pridaná hodnota, zisk, stav majetku, záväzkov, AWU a pod. V budúcnosti je možné doprogramovať databázu aj o porovnanie podporených prijímateľov a nepodporených podnikov ako aj sledovanie údajov pre špecifické výsledkové ukazovatele a tým zefektívniť a zlacniť získavanie údajov pre hodnotiteľov.</w:t>
      </w:r>
    </w:p>
    <w:p w:rsidR="00346468" w:rsidRPr="00EA237A" w:rsidRDefault="00346468" w:rsidP="00346468">
      <w:pPr>
        <w:spacing w:before="120" w:after="200"/>
        <w:rPr>
          <w:rFonts w:ascii="Calibri" w:hAnsi="Calibri"/>
          <w:szCs w:val="22"/>
        </w:rPr>
      </w:pPr>
      <w:r w:rsidRPr="00EA237A">
        <w:rPr>
          <w:rFonts w:ascii="Calibri" w:hAnsi="Calibri"/>
          <w:szCs w:val="22"/>
        </w:rPr>
        <w:t>Chýbajúce primárne údaje (napr. pre opatrenia agroenvironmentu, nepriame efekty intervencií, prieskum informovanosti o programe, atď.) sa zbierajú hodnotiteľmi prostredníctvom  dotazníkových prieskumov.</w:t>
      </w:r>
    </w:p>
    <w:p w:rsidR="008676F9" w:rsidRPr="008676F9" w:rsidRDefault="008676F9" w:rsidP="00BC4D3C">
      <w:pPr>
        <w:spacing w:before="120"/>
        <w:rPr>
          <w:rFonts w:ascii="Calibri" w:hAnsi="Calibri"/>
          <w:i/>
          <w:szCs w:val="22"/>
        </w:rPr>
      </w:pPr>
      <w:r w:rsidRPr="008676F9">
        <w:rPr>
          <w:rFonts w:ascii="Calibri" w:hAnsi="Calibri"/>
          <w:i/>
          <w:szCs w:val="22"/>
        </w:rPr>
        <w:t>Sekundárne údaje:</w:t>
      </w:r>
    </w:p>
    <w:p w:rsidR="008676F9" w:rsidRDefault="008676F9" w:rsidP="00BC4D3C">
      <w:pPr>
        <w:spacing w:after="200"/>
        <w:rPr>
          <w:rFonts w:ascii="Calibri" w:hAnsi="Calibri"/>
          <w:szCs w:val="22"/>
        </w:rPr>
      </w:pPr>
      <w:r w:rsidRPr="008676F9">
        <w:rPr>
          <w:rFonts w:ascii="Calibri" w:hAnsi="Calibri"/>
          <w:szCs w:val="22"/>
        </w:rPr>
        <w:t>významný zdroj sekundárnych údajov predstavujú nasledovné inštitúcie:</w:t>
      </w:r>
    </w:p>
    <w:p w:rsidR="008676F9" w:rsidRPr="007B3431" w:rsidRDefault="007B3431" w:rsidP="008643A9">
      <w:pPr>
        <w:spacing w:before="120" w:after="200"/>
        <w:rPr>
          <w:rFonts w:ascii="Calibri" w:hAnsi="Calibri"/>
          <w:szCs w:val="22"/>
        </w:rPr>
      </w:pPr>
      <w:r>
        <w:rPr>
          <w:rFonts w:ascii="Calibri" w:hAnsi="Calibri"/>
          <w:szCs w:val="22"/>
        </w:rPr>
        <w:t xml:space="preserve">Národné poľnohospodárske a potravinárske centrum – </w:t>
      </w:r>
      <w:r w:rsidRPr="00BC4D3C">
        <w:rPr>
          <w:rFonts w:ascii="Calibri" w:hAnsi="Calibri"/>
          <w:i/>
          <w:szCs w:val="22"/>
        </w:rPr>
        <w:t xml:space="preserve">Výskumný ústav ekonomiky poľnohospodárstva a potravinárstva </w:t>
      </w:r>
      <w:r>
        <w:rPr>
          <w:rFonts w:ascii="Calibri" w:hAnsi="Calibri"/>
          <w:szCs w:val="22"/>
        </w:rPr>
        <w:t>(NPPC – V</w:t>
      </w:r>
      <w:r w:rsidR="008676F9" w:rsidRPr="008676F9">
        <w:rPr>
          <w:rFonts w:ascii="Calibri" w:hAnsi="Calibri"/>
          <w:szCs w:val="22"/>
        </w:rPr>
        <w:t>ÚEPP</w:t>
      </w:r>
      <w:r>
        <w:rPr>
          <w:rFonts w:ascii="Calibri" w:hAnsi="Calibri"/>
          <w:szCs w:val="22"/>
        </w:rPr>
        <w:t>)</w:t>
      </w:r>
      <w:r w:rsidR="008676F9" w:rsidRPr="008676F9">
        <w:rPr>
          <w:rFonts w:ascii="Calibri" w:hAnsi="Calibri"/>
          <w:szCs w:val="22"/>
        </w:rPr>
        <w:t xml:space="preserve">, ktorý každoročne spracováva podrobné informácie o vývoji agropotravinárskeho sektora SR v Zelenej správe a iné špecifické analýzy pre </w:t>
      </w:r>
      <w:r w:rsidR="008676F9" w:rsidRPr="007B3431">
        <w:rPr>
          <w:rFonts w:ascii="Calibri" w:hAnsi="Calibri"/>
          <w:szCs w:val="22"/>
        </w:rPr>
        <w:t>potreby hodnotenia na základe objednávok od RO.</w:t>
      </w:r>
    </w:p>
    <w:p w:rsidR="008676F9" w:rsidRPr="008676F9" w:rsidRDefault="007B3431" w:rsidP="008643A9">
      <w:pPr>
        <w:spacing w:before="120" w:after="200"/>
        <w:rPr>
          <w:rFonts w:ascii="Calibri" w:hAnsi="Calibri"/>
          <w:szCs w:val="22"/>
        </w:rPr>
      </w:pPr>
      <w:r w:rsidRPr="007B3431">
        <w:rPr>
          <w:rFonts w:ascii="Calibri" w:hAnsi="Calibri"/>
          <w:szCs w:val="22"/>
        </w:rPr>
        <w:t xml:space="preserve">Národné poľnohospodárske a potravinárske centrum – </w:t>
      </w:r>
      <w:r w:rsidRPr="00BC4D3C">
        <w:rPr>
          <w:rFonts w:ascii="Calibri" w:hAnsi="Calibri"/>
          <w:i/>
          <w:szCs w:val="22"/>
        </w:rPr>
        <w:t>Výskumný ústav pôdoznalectva a ochrany pôdy  Bratislava</w:t>
      </w:r>
      <w:r w:rsidRPr="007B3431">
        <w:rPr>
          <w:rFonts w:ascii="Calibri" w:hAnsi="Calibri"/>
          <w:szCs w:val="22"/>
        </w:rPr>
        <w:t xml:space="preserve"> (NPPC – VÚPOP),</w:t>
      </w:r>
      <w:r w:rsidR="008676F9" w:rsidRPr="007B3431">
        <w:rPr>
          <w:rFonts w:ascii="Calibri" w:hAnsi="Calibri"/>
          <w:szCs w:val="22"/>
        </w:rPr>
        <w:t xml:space="preserve"> ktorý spravuje</w:t>
      </w:r>
      <w:r w:rsidR="008676F9" w:rsidRPr="008676F9">
        <w:rPr>
          <w:rFonts w:ascii="Calibri" w:hAnsi="Calibri"/>
          <w:szCs w:val="22"/>
        </w:rPr>
        <w:t xml:space="preserve"> informačný systém pôdnych blokov (LPIS). Na základe požiadaviek RO pre potreby hodnotenia vypracováva špecifické analýzy a poskytuje údaje GIS o priestorovom vymedzení podporených plôch.</w:t>
      </w:r>
    </w:p>
    <w:p w:rsidR="008676F9" w:rsidRPr="008676F9" w:rsidRDefault="007B3431" w:rsidP="008643A9">
      <w:pPr>
        <w:spacing w:before="120" w:after="200"/>
        <w:rPr>
          <w:rFonts w:ascii="Calibri" w:hAnsi="Calibri"/>
          <w:szCs w:val="22"/>
        </w:rPr>
      </w:pPr>
      <w:r w:rsidRPr="00BC4D3C">
        <w:rPr>
          <w:rFonts w:ascii="Calibri" w:hAnsi="Calibri"/>
          <w:i/>
          <w:szCs w:val="22"/>
        </w:rPr>
        <w:t>Národné lesnícke centrum</w:t>
      </w:r>
      <w:r>
        <w:rPr>
          <w:rFonts w:ascii="Calibri" w:hAnsi="Calibri"/>
          <w:szCs w:val="22"/>
        </w:rPr>
        <w:t xml:space="preserve"> (</w:t>
      </w:r>
      <w:r w:rsidR="008676F9" w:rsidRPr="008676F9">
        <w:rPr>
          <w:rFonts w:ascii="Calibri" w:hAnsi="Calibri"/>
          <w:szCs w:val="22"/>
        </w:rPr>
        <w:t>NLC</w:t>
      </w:r>
      <w:r>
        <w:rPr>
          <w:rFonts w:ascii="Calibri" w:hAnsi="Calibri"/>
          <w:szCs w:val="22"/>
        </w:rPr>
        <w:t>)</w:t>
      </w:r>
      <w:r w:rsidR="008676F9" w:rsidRPr="008676F9">
        <w:rPr>
          <w:rFonts w:ascii="Calibri" w:hAnsi="Calibri"/>
          <w:szCs w:val="22"/>
        </w:rPr>
        <w:t>, ktorý spravuje informačný systém lesných dielcov, každoročne spracováva Zelenú správu o lesnom hospodárstve. Na základe požiadaviek RO vypracováva špecifické analýzy pre potreby hodnotenia a poskytuje údaje GIS o priestorovom vymedzení podporených lesných plôch.</w:t>
      </w:r>
    </w:p>
    <w:p w:rsidR="008676F9" w:rsidRPr="008676F9" w:rsidRDefault="007B3431" w:rsidP="008643A9">
      <w:pPr>
        <w:spacing w:before="120" w:after="200"/>
        <w:rPr>
          <w:rFonts w:ascii="Calibri" w:hAnsi="Calibri"/>
          <w:szCs w:val="22"/>
        </w:rPr>
      </w:pPr>
      <w:r w:rsidRPr="00BC4D3C">
        <w:rPr>
          <w:rFonts w:ascii="Calibri" w:hAnsi="Calibri"/>
          <w:i/>
          <w:szCs w:val="22"/>
        </w:rPr>
        <w:t>Ústredný kontrolný a skúšobný ústav poľnohospodársky</w:t>
      </w:r>
      <w:r>
        <w:rPr>
          <w:rFonts w:ascii="Calibri" w:hAnsi="Calibri"/>
          <w:szCs w:val="22"/>
        </w:rPr>
        <w:t xml:space="preserve"> (</w:t>
      </w:r>
      <w:r w:rsidR="008676F9" w:rsidRPr="008676F9">
        <w:rPr>
          <w:rFonts w:ascii="Calibri" w:hAnsi="Calibri"/>
          <w:szCs w:val="22"/>
        </w:rPr>
        <w:t>ÚKS</w:t>
      </w:r>
      <w:r>
        <w:rPr>
          <w:rFonts w:ascii="Calibri" w:hAnsi="Calibri"/>
          <w:szCs w:val="22"/>
        </w:rPr>
        <w:t>Ú</w:t>
      </w:r>
      <w:r w:rsidR="008676F9" w:rsidRPr="008676F9">
        <w:rPr>
          <w:rFonts w:ascii="Calibri" w:hAnsi="Calibri"/>
          <w:szCs w:val="22"/>
        </w:rPr>
        <w:t>P</w:t>
      </w:r>
      <w:r>
        <w:rPr>
          <w:rFonts w:ascii="Calibri" w:hAnsi="Calibri"/>
          <w:szCs w:val="22"/>
        </w:rPr>
        <w:t>)</w:t>
      </w:r>
      <w:r w:rsidR="008676F9" w:rsidRPr="008676F9">
        <w:rPr>
          <w:rFonts w:ascii="Calibri" w:hAnsi="Calibri"/>
          <w:szCs w:val="22"/>
        </w:rPr>
        <w:t xml:space="preserve"> poskytuje údaje zo svojej databázy o spotrebe hnojív za jednotlivé okresy, bilanciu živín (N,P,K) za jednotlivé okresy, o spotrebe pesticídnych účinných látkach.</w:t>
      </w:r>
    </w:p>
    <w:p w:rsidR="008676F9" w:rsidRPr="008676F9" w:rsidRDefault="007B3431" w:rsidP="008643A9">
      <w:pPr>
        <w:spacing w:before="120" w:after="200"/>
        <w:rPr>
          <w:rFonts w:ascii="Calibri" w:hAnsi="Calibri"/>
          <w:szCs w:val="22"/>
        </w:rPr>
      </w:pPr>
      <w:r w:rsidRPr="00BC4D3C">
        <w:rPr>
          <w:rFonts w:ascii="Calibri" w:hAnsi="Calibri"/>
          <w:i/>
          <w:szCs w:val="22"/>
        </w:rPr>
        <w:t>Výskumný ústav vodného hospodárstva</w:t>
      </w:r>
      <w:r>
        <w:rPr>
          <w:rFonts w:ascii="Calibri" w:hAnsi="Calibri"/>
          <w:szCs w:val="22"/>
        </w:rPr>
        <w:t xml:space="preserve"> (</w:t>
      </w:r>
      <w:r w:rsidR="008676F9" w:rsidRPr="008676F9">
        <w:rPr>
          <w:rFonts w:ascii="Calibri" w:hAnsi="Calibri"/>
          <w:szCs w:val="22"/>
        </w:rPr>
        <w:t>VÚVH</w:t>
      </w:r>
      <w:r>
        <w:rPr>
          <w:rFonts w:ascii="Calibri" w:hAnsi="Calibri"/>
          <w:szCs w:val="22"/>
        </w:rPr>
        <w:t>)</w:t>
      </w:r>
      <w:r w:rsidR="008676F9" w:rsidRPr="008676F9">
        <w:rPr>
          <w:rFonts w:ascii="Calibri" w:hAnsi="Calibri"/>
          <w:szCs w:val="22"/>
        </w:rPr>
        <w:t xml:space="preserve"> poskytuje údaje o výsledkoch meraní podzemnej vody na obsah dusíkatých látok a správy s lineárnymi trendmi vývoja koncentrácie vybraných pesticídnych látok.</w:t>
      </w:r>
    </w:p>
    <w:p w:rsidR="008676F9" w:rsidRPr="008676F9" w:rsidRDefault="007B3431" w:rsidP="008643A9">
      <w:pPr>
        <w:spacing w:before="120" w:after="200"/>
        <w:rPr>
          <w:rFonts w:ascii="Calibri" w:hAnsi="Calibri"/>
          <w:szCs w:val="22"/>
        </w:rPr>
      </w:pPr>
      <w:r w:rsidRPr="00BC4D3C">
        <w:rPr>
          <w:rFonts w:ascii="Calibri" w:hAnsi="Calibri"/>
          <w:i/>
          <w:szCs w:val="22"/>
        </w:rPr>
        <w:t>Slovenský hydrometeorologický ústav</w:t>
      </w:r>
      <w:r>
        <w:rPr>
          <w:rFonts w:ascii="Calibri" w:hAnsi="Calibri"/>
          <w:szCs w:val="22"/>
        </w:rPr>
        <w:t xml:space="preserve"> (</w:t>
      </w:r>
      <w:r w:rsidR="008676F9" w:rsidRPr="008676F9">
        <w:rPr>
          <w:rFonts w:ascii="Calibri" w:hAnsi="Calibri"/>
          <w:szCs w:val="22"/>
        </w:rPr>
        <w:t>SHMÚ</w:t>
      </w:r>
      <w:r>
        <w:rPr>
          <w:rFonts w:ascii="Calibri" w:hAnsi="Calibri"/>
          <w:szCs w:val="22"/>
        </w:rPr>
        <w:t>)</w:t>
      </w:r>
      <w:r w:rsidR="008676F9" w:rsidRPr="008676F9">
        <w:rPr>
          <w:rFonts w:ascii="Calibri" w:hAnsi="Calibri"/>
          <w:szCs w:val="22"/>
        </w:rPr>
        <w:t xml:space="preserve"> poskytuje údaje o kvalite povrchových vôd (nutrienty NH4, N-NO3, N-NO2, Norg., Ncelk., Pcelk., mikrobiologické ukazovatele).</w:t>
      </w:r>
    </w:p>
    <w:p w:rsidR="008676F9" w:rsidRPr="008676F9" w:rsidRDefault="007B3431" w:rsidP="008643A9">
      <w:pPr>
        <w:spacing w:before="120" w:after="200"/>
        <w:rPr>
          <w:rFonts w:ascii="Calibri" w:hAnsi="Calibri"/>
          <w:szCs w:val="22"/>
        </w:rPr>
      </w:pPr>
      <w:r w:rsidRPr="00BC4D3C">
        <w:rPr>
          <w:rFonts w:ascii="Calibri" w:hAnsi="Calibri"/>
          <w:i/>
          <w:szCs w:val="22"/>
        </w:rPr>
        <w:t>Spoločnosť pre ochranu vtáctva na Slovensku</w:t>
      </w:r>
      <w:r>
        <w:rPr>
          <w:rFonts w:ascii="Calibri" w:hAnsi="Calibri"/>
          <w:szCs w:val="22"/>
        </w:rPr>
        <w:t xml:space="preserve"> (</w:t>
      </w:r>
      <w:r w:rsidR="008676F9" w:rsidRPr="008676F9">
        <w:rPr>
          <w:rFonts w:ascii="Calibri" w:hAnsi="Calibri"/>
          <w:szCs w:val="22"/>
        </w:rPr>
        <w:t>SOVS</w:t>
      </w:r>
      <w:r>
        <w:rPr>
          <w:rFonts w:ascii="Calibri" w:hAnsi="Calibri"/>
          <w:szCs w:val="22"/>
        </w:rPr>
        <w:t>)</w:t>
      </w:r>
      <w:r w:rsidR="008676F9" w:rsidRPr="008676F9">
        <w:rPr>
          <w:rFonts w:ascii="Calibri" w:hAnsi="Calibri"/>
          <w:szCs w:val="22"/>
        </w:rPr>
        <w:t>, ktorá monitoruje početnosť a biodiverzitu vtákov v SR, analýzu vybraných druhov vtákov v krajine / populačný index vtákov a popis trendu vybraných druhov vtákov.</w:t>
      </w:r>
    </w:p>
    <w:p w:rsidR="008676F9" w:rsidRPr="008676F9" w:rsidRDefault="007B3431" w:rsidP="008676F9">
      <w:pPr>
        <w:spacing w:before="120" w:after="200"/>
        <w:rPr>
          <w:rFonts w:ascii="Calibri" w:hAnsi="Calibri"/>
          <w:szCs w:val="22"/>
        </w:rPr>
      </w:pPr>
      <w:r w:rsidRPr="00BC4D3C">
        <w:rPr>
          <w:rFonts w:ascii="Calibri" w:hAnsi="Calibri"/>
          <w:i/>
          <w:szCs w:val="22"/>
        </w:rPr>
        <w:t>Štátna ochrana prírody Slovenskej republiky</w:t>
      </w:r>
      <w:r>
        <w:rPr>
          <w:rFonts w:ascii="Calibri" w:hAnsi="Calibri"/>
          <w:szCs w:val="22"/>
        </w:rPr>
        <w:t xml:space="preserve"> (</w:t>
      </w:r>
      <w:r w:rsidR="008676F9" w:rsidRPr="008676F9">
        <w:rPr>
          <w:rFonts w:ascii="Calibri" w:hAnsi="Calibri"/>
          <w:szCs w:val="22"/>
        </w:rPr>
        <w:t>ŠOP SR</w:t>
      </w:r>
      <w:r>
        <w:rPr>
          <w:rFonts w:ascii="Calibri" w:hAnsi="Calibri"/>
          <w:szCs w:val="22"/>
        </w:rPr>
        <w:t>)</w:t>
      </w:r>
      <w:r w:rsidR="008676F9" w:rsidRPr="008676F9">
        <w:rPr>
          <w:rFonts w:ascii="Calibri" w:hAnsi="Calibri"/>
          <w:szCs w:val="22"/>
        </w:rPr>
        <w:t xml:space="preserve"> a</w:t>
      </w:r>
      <w:r>
        <w:rPr>
          <w:rFonts w:ascii="Calibri" w:hAnsi="Calibri"/>
          <w:szCs w:val="22"/>
        </w:rPr>
        <w:t> Slovenská agentúra životného prostredia (</w:t>
      </w:r>
      <w:r w:rsidR="008676F9" w:rsidRPr="008676F9">
        <w:rPr>
          <w:rFonts w:ascii="Calibri" w:hAnsi="Calibri"/>
          <w:szCs w:val="22"/>
        </w:rPr>
        <w:t>SAŽP</w:t>
      </w:r>
      <w:r>
        <w:rPr>
          <w:rFonts w:ascii="Calibri" w:hAnsi="Calibri"/>
          <w:szCs w:val="22"/>
        </w:rPr>
        <w:t>)</w:t>
      </w:r>
      <w:r w:rsidR="008676F9" w:rsidRPr="008676F9">
        <w:rPr>
          <w:rFonts w:ascii="Calibri" w:hAnsi="Calibri"/>
          <w:szCs w:val="22"/>
        </w:rPr>
        <w:t>, poskytujú informácie týkajúce sa klasifikácie a monitorovania biotopov a oblastí HNV v SR, trendoch vo vybraných hodnotách nimi zisťovaných ukazovateľoch poľnohospodárskej činnosti vplývajúcich na ŽP.</w:t>
      </w:r>
    </w:p>
    <w:p w:rsidR="008676F9" w:rsidRDefault="007B3431" w:rsidP="008676F9">
      <w:pPr>
        <w:rPr>
          <w:rFonts w:ascii="Calibri" w:hAnsi="Calibri"/>
          <w:szCs w:val="22"/>
        </w:rPr>
      </w:pPr>
      <w:r w:rsidRPr="00BC4D3C">
        <w:rPr>
          <w:rFonts w:ascii="Calibri" w:hAnsi="Calibri"/>
          <w:i/>
          <w:szCs w:val="22"/>
        </w:rPr>
        <w:t>Štatistický úrad Slovenskej republiky</w:t>
      </w:r>
      <w:r>
        <w:rPr>
          <w:rFonts w:ascii="Calibri" w:hAnsi="Calibri"/>
          <w:szCs w:val="22"/>
        </w:rPr>
        <w:t xml:space="preserve"> (</w:t>
      </w:r>
      <w:r w:rsidR="008676F9" w:rsidRPr="008676F9">
        <w:rPr>
          <w:rFonts w:ascii="Calibri" w:hAnsi="Calibri"/>
          <w:szCs w:val="22"/>
        </w:rPr>
        <w:t>ŠÚ SR</w:t>
      </w:r>
      <w:r>
        <w:rPr>
          <w:rFonts w:ascii="Calibri" w:hAnsi="Calibri"/>
          <w:szCs w:val="22"/>
        </w:rPr>
        <w:t>)</w:t>
      </w:r>
      <w:r w:rsidR="008676F9" w:rsidRPr="008676F9">
        <w:rPr>
          <w:rFonts w:ascii="Calibri" w:hAnsi="Calibri"/>
          <w:szCs w:val="22"/>
        </w:rPr>
        <w:t>, ktorý poskytuje oficiálne štatistické údaje popisujúce kontext územia programu ako aj iné údaje týkajúce sa hospodárstva krajiny, jednotlivých odvetví.</w:t>
      </w:r>
    </w:p>
    <w:p w:rsidR="00BC4D3C" w:rsidRPr="008676F9" w:rsidRDefault="00BC4D3C" w:rsidP="008676F9">
      <w:pPr>
        <w:rPr>
          <w:rFonts w:ascii="Calibri" w:hAnsi="Calibri"/>
          <w:szCs w:val="22"/>
        </w:rPr>
      </w:pPr>
    </w:p>
    <w:p w:rsidR="008676F9" w:rsidRPr="008676F9" w:rsidRDefault="008676F9" w:rsidP="008676F9">
      <w:pPr>
        <w:spacing w:after="120"/>
        <w:ind w:left="425"/>
        <w:contextualSpacing/>
        <w:rPr>
          <w:rFonts w:ascii="Calibri" w:hAnsi="Calibri"/>
          <w:b/>
          <w:szCs w:val="22"/>
        </w:rPr>
      </w:pPr>
    </w:p>
    <w:p w:rsidR="008676F9" w:rsidRPr="008676F9" w:rsidRDefault="00AA30CA" w:rsidP="00AA30CA">
      <w:pPr>
        <w:pStyle w:val="Pod"/>
      </w:pPr>
      <w:bookmarkStart w:id="122" w:name="_Toc384111067"/>
      <w:bookmarkStart w:id="123" w:name="_Toc387041343"/>
      <w:r>
        <w:t>5.</w:t>
      </w:r>
      <w:r w:rsidR="008676F9" w:rsidRPr="008676F9">
        <w:t>ČASOVÝ HARMONOGRAM</w:t>
      </w:r>
      <w:bookmarkEnd w:id="122"/>
      <w:bookmarkEnd w:id="123"/>
    </w:p>
    <w:p w:rsidR="008676F9" w:rsidRPr="008676F9" w:rsidRDefault="008676F9" w:rsidP="008676F9">
      <w:pPr>
        <w:spacing w:before="120" w:after="200"/>
        <w:rPr>
          <w:rFonts w:ascii="Calibri" w:hAnsi="Calibri"/>
          <w:szCs w:val="22"/>
        </w:rPr>
      </w:pPr>
      <w:r w:rsidRPr="008676F9">
        <w:rPr>
          <w:rFonts w:ascii="Calibri" w:hAnsi="Calibri"/>
          <w:szCs w:val="22"/>
        </w:rPr>
        <w:t>Komplexnosť monitorovacieho a hodnotiaceho systému si vyžaduje časové plánovanie jednotlivých aktivít s cieľom dodržať termíny predkladania výročných správ o výkone, monitorovacích údajov, hodnotiacej správy ex post stanovených v</w:t>
      </w:r>
      <w:r w:rsidR="00B82FE0">
        <w:rPr>
          <w:rFonts w:ascii="Calibri" w:hAnsi="Calibri"/>
          <w:szCs w:val="22"/>
        </w:rPr>
        <w:t> </w:t>
      </w:r>
      <w:r w:rsidRPr="008676F9">
        <w:rPr>
          <w:rFonts w:ascii="Calibri" w:hAnsi="Calibri"/>
          <w:szCs w:val="22"/>
        </w:rPr>
        <w:t>nariadenia</w:t>
      </w:r>
      <w:r w:rsidR="00B82FE0">
        <w:rPr>
          <w:rFonts w:ascii="Calibri" w:hAnsi="Calibri"/>
          <w:szCs w:val="22"/>
        </w:rPr>
        <w:t>ch EÚ</w:t>
      </w:r>
      <w:r w:rsidRPr="008676F9">
        <w:rPr>
          <w:rFonts w:ascii="Calibri" w:hAnsi="Calibri"/>
          <w:szCs w:val="22"/>
        </w:rPr>
        <w:t xml:space="preserve"> č.</w:t>
      </w:r>
      <w:r w:rsidR="00B82FE0">
        <w:rPr>
          <w:rFonts w:ascii="Calibri" w:hAnsi="Calibri"/>
          <w:szCs w:val="22"/>
        </w:rPr>
        <w:t xml:space="preserve"> 1303/2013</w:t>
      </w:r>
      <w:r w:rsidRPr="008676F9">
        <w:rPr>
          <w:rFonts w:ascii="Calibri" w:hAnsi="Calibri"/>
          <w:szCs w:val="22"/>
        </w:rPr>
        <w:t xml:space="preserve"> a č.</w:t>
      </w:r>
      <w:r w:rsidR="00B82FE0">
        <w:rPr>
          <w:rFonts w:ascii="Calibri" w:hAnsi="Calibri"/>
          <w:szCs w:val="22"/>
        </w:rPr>
        <w:t>1305</w:t>
      </w:r>
      <w:r w:rsidRPr="008676F9">
        <w:rPr>
          <w:rFonts w:ascii="Calibri" w:hAnsi="Calibri"/>
          <w:szCs w:val="22"/>
        </w:rPr>
        <w:t xml:space="preserve">/2013. </w:t>
      </w:r>
    </w:p>
    <w:p w:rsidR="008676F9" w:rsidRPr="008676F9" w:rsidRDefault="008676F9" w:rsidP="006C75BE">
      <w:pPr>
        <w:spacing w:before="120"/>
        <w:rPr>
          <w:rFonts w:ascii="Calibri" w:hAnsi="Calibri"/>
          <w:szCs w:val="22"/>
        </w:rPr>
      </w:pPr>
      <w:r w:rsidRPr="008676F9">
        <w:rPr>
          <w:rFonts w:ascii="Calibri" w:hAnsi="Calibri"/>
          <w:szCs w:val="22"/>
        </w:rPr>
        <w:t xml:space="preserve">Časový harmonogram podľa hlavných míľnikov dosahovaných počas programového obdobia: </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662"/>
        <w:gridCol w:w="2517"/>
      </w:tblGrid>
      <w:tr w:rsidR="008676F9" w:rsidRPr="008676F9" w:rsidTr="00DA5476">
        <w:tc>
          <w:tcPr>
            <w:tcW w:w="6662" w:type="dxa"/>
            <w:shd w:val="clear" w:color="auto" w:fill="DAEEF3"/>
          </w:tcPr>
          <w:p w:rsidR="008676F9" w:rsidRPr="008676F9" w:rsidRDefault="008676F9" w:rsidP="008676F9">
            <w:pPr>
              <w:spacing w:before="120"/>
              <w:contextualSpacing/>
              <w:jc w:val="center"/>
              <w:rPr>
                <w:rFonts w:ascii="Calibri" w:hAnsi="Calibri"/>
                <w:b/>
                <w:sz w:val="20"/>
                <w:szCs w:val="20"/>
              </w:rPr>
            </w:pPr>
            <w:r w:rsidRPr="008676F9">
              <w:rPr>
                <w:rFonts w:ascii="Calibri" w:hAnsi="Calibri"/>
                <w:b/>
                <w:sz w:val="20"/>
                <w:szCs w:val="20"/>
              </w:rPr>
              <w:t>Výstupy</w:t>
            </w:r>
          </w:p>
        </w:tc>
        <w:tc>
          <w:tcPr>
            <w:tcW w:w="2517" w:type="dxa"/>
            <w:shd w:val="clear" w:color="auto" w:fill="DAEEF3"/>
          </w:tcPr>
          <w:p w:rsidR="008676F9" w:rsidRPr="008676F9" w:rsidRDefault="008676F9" w:rsidP="008676F9">
            <w:pPr>
              <w:spacing w:before="120"/>
              <w:contextualSpacing/>
              <w:jc w:val="center"/>
              <w:rPr>
                <w:rFonts w:ascii="Calibri" w:hAnsi="Calibri"/>
                <w:b/>
                <w:sz w:val="20"/>
                <w:szCs w:val="20"/>
              </w:rPr>
            </w:pPr>
            <w:r w:rsidRPr="008676F9">
              <w:rPr>
                <w:rFonts w:ascii="Calibri" w:hAnsi="Calibri"/>
                <w:b/>
                <w:sz w:val="20"/>
                <w:szCs w:val="20"/>
              </w:rPr>
              <w:t>Termín predloženia Komisii</w:t>
            </w:r>
          </w:p>
        </w:tc>
      </w:tr>
      <w:tr w:rsidR="008676F9" w:rsidRPr="008676F9" w:rsidTr="00DA5476">
        <w:tc>
          <w:tcPr>
            <w:tcW w:w="6662" w:type="dxa"/>
          </w:tcPr>
          <w:p w:rsidR="008676F9" w:rsidRPr="008676F9" w:rsidRDefault="008676F9" w:rsidP="008676F9">
            <w:pPr>
              <w:spacing w:before="120"/>
              <w:contextualSpacing/>
              <w:rPr>
                <w:rFonts w:ascii="Calibri" w:hAnsi="Calibri"/>
                <w:sz w:val="20"/>
                <w:szCs w:val="20"/>
              </w:rPr>
            </w:pPr>
            <w:r w:rsidRPr="008676F9">
              <w:rPr>
                <w:rFonts w:ascii="Calibri" w:hAnsi="Calibri"/>
                <w:sz w:val="20"/>
                <w:szCs w:val="20"/>
              </w:rPr>
              <w:t>Výročné správy o vykonávaní programu rozvoja vidieka v predošlom kalendárnom roku predložené Komisii (vrátane monitorovacích ročných implementačných tabuliek)</w:t>
            </w:r>
          </w:p>
          <w:p w:rsidR="008676F9" w:rsidRPr="008676F9" w:rsidRDefault="008676F9" w:rsidP="008676F9">
            <w:pPr>
              <w:spacing w:before="120" w:after="120"/>
              <w:rPr>
                <w:rFonts w:ascii="Calibri" w:hAnsi="Calibri"/>
                <w:sz w:val="20"/>
                <w:szCs w:val="20"/>
              </w:rPr>
            </w:pPr>
            <w:r w:rsidRPr="008676F9">
              <w:rPr>
                <w:rFonts w:ascii="Calibri" w:hAnsi="Calibri"/>
                <w:sz w:val="20"/>
                <w:szCs w:val="20"/>
              </w:rPr>
              <w:t xml:space="preserve">Okrem </w:t>
            </w:r>
            <w:r w:rsidRPr="008676F9">
              <w:rPr>
                <w:rFonts w:ascii="Calibri" w:hAnsi="Calibri"/>
                <w:b/>
                <w:i/>
                <w:sz w:val="20"/>
                <w:szCs w:val="20"/>
              </w:rPr>
              <w:t xml:space="preserve">požiadaviek </w:t>
            </w:r>
            <w:r w:rsidRPr="008676F9">
              <w:rPr>
                <w:rFonts w:ascii="Calibri" w:hAnsi="Calibri"/>
                <w:sz w:val="20"/>
                <w:szCs w:val="20"/>
              </w:rPr>
              <w:t>článku 44 nariadenia (EÚ) č. </w:t>
            </w:r>
            <w:r w:rsidR="00997BE5">
              <w:rPr>
                <w:rFonts w:ascii="Calibri" w:hAnsi="Calibri"/>
                <w:sz w:val="20"/>
                <w:szCs w:val="20"/>
              </w:rPr>
              <w:t>1303</w:t>
            </w:r>
            <w:r w:rsidRPr="008676F9">
              <w:rPr>
                <w:rFonts w:ascii="Calibri" w:hAnsi="Calibri"/>
                <w:sz w:val="20"/>
                <w:szCs w:val="20"/>
              </w:rPr>
              <w:t>/201</w:t>
            </w:r>
            <w:r w:rsidR="00997BE5">
              <w:rPr>
                <w:rFonts w:ascii="Calibri" w:hAnsi="Calibri"/>
                <w:sz w:val="20"/>
                <w:szCs w:val="20"/>
              </w:rPr>
              <w:t>3</w:t>
            </w:r>
            <w:r w:rsidRPr="008676F9">
              <w:rPr>
                <w:rFonts w:ascii="Calibri" w:hAnsi="Calibri"/>
                <w:sz w:val="20"/>
                <w:szCs w:val="20"/>
              </w:rPr>
              <w:t xml:space="preserve"> výročné správy o vykonávaní obsahujú informácie okrem iného o finančných záväzkoch a výdavkoch podľa jednotlivých opatrení a zhrnutie činností vykonaných v súvislosti s plánom hodnotenia.</w:t>
            </w:r>
          </w:p>
          <w:p w:rsidR="008676F9" w:rsidRPr="008676F9" w:rsidRDefault="008676F9" w:rsidP="008676F9">
            <w:pPr>
              <w:spacing w:before="120"/>
              <w:contextualSpacing/>
              <w:rPr>
                <w:rFonts w:ascii="Calibri" w:hAnsi="Calibri"/>
                <w:sz w:val="20"/>
                <w:szCs w:val="20"/>
              </w:rPr>
            </w:pPr>
            <w:r w:rsidRPr="008676F9">
              <w:rPr>
                <w:rFonts w:ascii="Calibri" w:hAnsi="Calibri"/>
                <w:sz w:val="20"/>
                <w:szCs w:val="20"/>
              </w:rPr>
              <w:t xml:space="preserve">Okrem </w:t>
            </w:r>
            <w:r w:rsidRPr="008676F9">
              <w:rPr>
                <w:rFonts w:ascii="Calibri" w:hAnsi="Calibri"/>
                <w:b/>
                <w:i/>
                <w:sz w:val="20"/>
                <w:szCs w:val="20"/>
              </w:rPr>
              <w:t>požiadaviek</w:t>
            </w:r>
            <w:r w:rsidRPr="008676F9">
              <w:rPr>
                <w:rFonts w:ascii="Calibri" w:hAnsi="Calibri"/>
                <w:sz w:val="20"/>
                <w:szCs w:val="20"/>
              </w:rPr>
              <w:t xml:space="preserve"> článku 44 nariadenia (EÚ) č. </w:t>
            </w:r>
            <w:r w:rsidR="00997BE5">
              <w:rPr>
                <w:rFonts w:ascii="Calibri" w:hAnsi="Calibri"/>
                <w:sz w:val="20"/>
                <w:szCs w:val="20"/>
              </w:rPr>
              <w:t>1303</w:t>
            </w:r>
            <w:r w:rsidR="00997BE5" w:rsidRPr="008676F9">
              <w:rPr>
                <w:rFonts w:ascii="Calibri" w:hAnsi="Calibri"/>
                <w:sz w:val="20"/>
                <w:szCs w:val="20"/>
              </w:rPr>
              <w:t>/201</w:t>
            </w:r>
            <w:r w:rsidR="00997BE5">
              <w:rPr>
                <w:rFonts w:ascii="Calibri" w:hAnsi="Calibri"/>
                <w:sz w:val="20"/>
                <w:szCs w:val="20"/>
              </w:rPr>
              <w:t>3</w:t>
            </w:r>
            <w:r w:rsidR="00997BE5" w:rsidRPr="008676F9">
              <w:rPr>
                <w:rFonts w:ascii="Calibri" w:hAnsi="Calibri"/>
                <w:sz w:val="20"/>
                <w:szCs w:val="20"/>
              </w:rPr>
              <w:t xml:space="preserve"> </w:t>
            </w:r>
            <w:r w:rsidRPr="008676F9">
              <w:rPr>
                <w:rFonts w:ascii="Calibri" w:hAnsi="Calibri"/>
                <w:sz w:val="20"/>
                <w:szCs w:val="20"/>
              </w:rPr>
              <w:t>výročná správa o vykonávaní, ktorá sa predloží v roku 2017, obsahuje aj opis vykonávania všetkých čiastkových programov zahrnutých do programu.</w:t>
            </w:r>
          </w:p>
          <w:p w:rsidR="008676F9" w:rsidRPr="008676F9" w:rsidRDefault="008676F9" w:rsidP="008676F9">
            <w:pPr>
              <w:spacing w:before="120"/>
              <w:contextualSpacing/>
              <w:rPr>
                <w:rFonts w:ascii="Calibri" w:hAnsi="Calibri"/>
                <w:sz w:val="20"/>
                <w:szCs w:val="20"/>
              </w:rPr>
            </w:pPr>
          </w:p>
          <w:p w:rsidR="008676F9" w:rsidRPr="008676F9" w:rsidRDefault="008676F9" w:rsidP="008676F9">
            <w:pPr>
              <w:spacing w:before="120"/>
              <w:contextualSpacing/>
              <w:rPr>
                <w:rFonts w:ascii="Calibri" w:hAnsi="Calibri"/>
                <w:sz w:val="20"/>
                <w:szCs w:val="20"/>
              </w:rPr>
            </w:pPr>
            <w:r w:rsidRPr="008676F9">
              <w:rPr>
                <w:rFonts w:ascii="Calibri" w:hAnsi="Calibri"/>
                <w:sz w:val="20"/>
                <w:szCs w:val="20"/>
              </w:rPr>
              <w:t xml:space="preserve">Okrem </w:t>
            </w:r>
            <w:r w:rsidRPr="008676F9">
              <w:rPr>
                <w:rFonts w:ascii="Calibri" w:hAnsi="Calibri"/>
                <w:b/>
                <w:i/>
                <w:sz w:val="20"/>
                <w:szCs w:val="20"/>
              </w:rPr>
              <w:t>požiadaviek</w:t>
            </w:r>
            <w:r w:rsidRPr="008676F9">
              <w:rPr>
                <w:rFonts w:ascii="Calibri" w:hAnsi="Calibri"/>
                <w:sz w:val="20"/>
                <w:szCs w:val="20"/>
              </w:rPr>
              <w:t xml:space="preserve"> článku 44 nariadenia (EÚ) č. </w:t>
            </w:r>
            <w:r w:rsidR="00997BE5">
              <w:rPr>
                <w:rFonts w:ascii="Calibri" w:hAnsi="Calibri"/>
                <w:sz w:val="20"/>
                <w:szCs w:val="20"/>
              </w:rPr>
              <w:t>1303</w:t>
            </w:r>
            <w:r w:rsidR="00997BE5" w:rsidRPr="008676F9">
              <w:rPr>
                <w:rFonts w:ascii="Calibri" w:hAnsi="Calibri"/>
                <w:sz w:val="20"/>
                <w:szCs w:val="20"/>
              </w:rPr>
              <w:t>/201</w:t>
            </w:r>
            <w:r w:rsidR="00997BE5">
              <w:rPr>
                <w:rFonts w:ascii="Calibri" w:hAnsi="Calibri"/>
                <w:sz w:val="20"/>
                <w:szCs w:val="20"/>
              </w:rPr>
              <w:t>3</w:t>
            </w:r>
            <w:r w:rsidR="00997BE5" w:rsidRPr="008676F9">
              <w:rPr>
                <w:rFonts w:ascii="Calibri" w:hAnsi="Calibri"/>
                <w:sz w:val="20"/>
                <w:szCs w:val="20"/>
              </w:rPr>
              <w:t xml:space="preserve"> </w:t>
            </w:r>
            <w:r w:rsidRPr="008676F9">
              <w:rPr>
                <w:rFonts w:ascii="Calibri" w:hAnsi="Calibri"/>
                <w:sz w:val="20"/>
                <w:szCs w:val="20"/>
              </w:rPr>
              <w:t>výročná správa o vykonávaní, ktorá sa predloží v roku 2019, bude obsahovať aj popis vykonávania všetkých čiastkových programov zahrnutých do programu, posúdenie pokroku dosiahnutého pri zabezpečovaní integrovaného prístupu k používaniu EPFRV a iných finančných nástrojov EÚ na podporu územného rozvoja vidieckych oblastí, a to aj prostredníctvom stratégií miestneho rozvoja.</w:t>
            </w:r>
          </w:p>
        </w:tc>
        <w:tc>
          <w:tcPr>
            <w:tcW w:w="2517" w:type="dxa"/>
          </w:tcPr>
          <w:p w:rsidR="008676F9" w:rsidRPr="008676F9" w:rsidRDefault="008676F9" w:rsidP="00B82FE0">
            <w:pPr>
              <w:spacing w:before="120"/>
              <w:contextualSpacing/>
              <w:jc w:val="left"/>
              <w:rPr>
                <w:rFonts w:ascii="Calibri" w:hAnsi="Calibri"/>
                <w:b/>
                <w:sz w:val="20"/>
                <w:szCs w:val="20"/>
              </w:rPr>
            </w:pPr>
            <w:r w:rsidRPr="008676F9">
              <w:rPr>
                <w:rFonts w:ascii="Calibri" w:hAnsi="Calibri"/>
                <w:sz w:val="20"/>
                <w:szCs w:val="20"/>
              </w:rPr>
              <w:t xml:space="preserve">do </w:t>
            </w:r>
            <w:r w:rsidRPr="008676F9">
              <w:rPr>
                <w:rFonts w:ascii="Calibri" w:hAnsi="Calibri"/>
                <w:b/>
                <w:sz w:val="20"/>
                <w:szCs w:val="20"/>
              </w:rPr>
              <w:t>30. júna</w:t>
            </w:r>
            <w:r w:rsidRPr="008676F9">
              <w:rPr>
                <w:rFonts w:ascii="Calibri" w:hAnsi="Calibri"/>
                <w:sz w:val="20"/>
                <w:szCs w:val="20"/>
              </w:rPr>
              <w:t xml:space="preserve"> 2016 a do </w:t>
            </w:r>
            <w:r w:rsidRPr="008676F9">
              <w:rPr>
                <w:rFonts w:ascii="Calibri" w:hAnsi="Calibri"/>
                <w:b/>
                <w:sz w:val="20"/>
                <w:szCs w:val="20"/>
              </w:rPr>
              <w:t>30. júna</w:t>
            </w:r>
            <w:r w:rsidRPr="008676F9">
              <w:rPr>
                <w:rFonts w:ascii="Calibri" w:hAnsi="Calibri"/>
                <w:sz w:val="20"/>
                <w:szCs w:val="20"/>
              </w:rPr>
              <w:t xml:space="preserve"> každého nasledujúceho roka až do roku </w:t>
            </w:r>
            <w:r w:rsidRPr="008676F9">
              <w:rPr>
                <w:rFonts w:ascii="Calibri" w:hAnsi="Calibri"/>
                <w:b/>
                <w:sz w:val="20"/>
                <w:szCs w:val="20"/>
              </w:rPr>
              <w:t>2022. (Rozšírené výročné správy v r.2017 a 2019)</w:t>
            </w:r>
          </w:p>
          <w:p w:rsidR="008676F9" w:rsidRPr="008676F9" w:rsidRDefault="008676F9" w:rsidP="008676F9">
            <w:pPr>
              <w:spacing w:before="120"/>
              <w:contextualSpacing/>
              <w:rPr>
                <w:rFonts w:ascii="Calibri" w:hAnsi="Calibri"/>
                <w:sz w:val="20"/>
                <w:szCs w:val="20"/>
              </w:rPr>
            </w:pPr>
            <w:r w:rsidRPr="008676F9">
              <w:rPr>
                <w:rFonts w:ascii="Calibri" w:hAnsi="Calibri"/>
                <w:sz w:val="20"/>
                <w:szCs w:val="20"/>
              </w:rPr>
              <w:t>Správa predložená v roku 2016 sa bude vzťahovať na kalendárne roky 2014 a 2015.</w:t>
            </w:r>
          </w:p>
        </w:tc>
      </w:tr>
      <w:tr w:rsidR="008676F9" w:rsidRPr="008676F9" w:rsidTr="00DA5476">
        <w:tc>
          <w:tcPr>
            <w:tcW w:w="6662" w:type="dxa"/>
          </w:tcPr>
          <w:p w:rsidR="008676F9" w:rsidRPr="008676F9" w:rsidRDefault="008676F9" w:rsidP="008676F9">
            <w:pPr>
              <w:spacing w:before="120"/>
              <w:contextualSpacing/>
              <w:rPr>
                <w:rFonts w:ascii="Calibri" w:hAnsi="Calibri"/>
                <w:sz w:val="20"/>
                <w:szCs w:val="20"/>
              </w:rPr>
            </w:pPr>
            <w:r w:rsidRPr="008676F9">
              <w:rPr>
                <w:rFonts w:ascii="Calibri" w:hAnsi="Calibri"/>
                <w:sz w:val="20"/>
                <w:szCs w:val="20"/>
              </w:rPr>
              <w:t xml:space="preserve">Údaje o finančných ukazovateľoch (zazmluvnené verejné výdavky) </w:t>
            </w:r>
            <w:r w:rsidRPr="008676F9">
              <w:rPr>
                <w:rFonts w:ascii="Calibri" w:hAnsi="Calibri"/>
                <w:b/>
                <w:sz w:val="20"/>
                <w:szCs w:val="20"/>
              </w:rPr>
              <w:t xml:space="preserve"> </w:t>
            </w:r>
            <w:r w:rsidRPr="008676F9">
              <w:rPr>
                <w:rFonts w:ascii="Calibri" w:hAnsi="Calibri"/>
                <w:sz w:val="20"/>
                <w:szCs w:val="20"/>
              </w:rPr>
              <w:t>(Tabuľka A. z ročných monitorovacích implementačných tabuliek)</w:t>
            </w:r>
          </w:p>
        </w:tc>
        <w:tc>
          <w:tcPr>
            <w:tcW w:w="2517" w:type="dxa"/>
          </w:tcPr>
          <w:p w:rsidR="008676F9" w:rsidRPr="008676F9" w:rsidRDefault="008676F9" w:rsidP="008676F9">
            <w:pPr>
              <w:spacing w:before="120"/>
              <w:contextualSpacing/>
              <w:rPr>
                <w:rFonts w:ascii="Calibri" w:hAnsi="Calibri"/>
                <w:sz w:val="20"/>
                <w:szCs w:val="20"/>
              </w:rPr>
            </w:pPr>
            <w:r w:rsidRPr="008676F9">
              <w:rPr>
                <w:rFonts w:ascii="Calibri" w:hAnsi="Calibri"/>
                <w:sz w:val="20"/>
                <w:szCs w:val="20"/>
              </w:rPr>
              <w:t>do </w:t>
            </w:r>
            <w:r w:rsidRPr="008676F9">
              <w:rPr>
                <w:rFonts w:ascii="Calibri" w:hAnsi="Calibri"/>
                <w:b/>
                <w:sz w:val="20"/>
                <w:szCs w:val="20"/>
              </w:rPr>
              <w:t xml:space="preserve">31. januára </w:t>
            </w:r>
            <w:r w:rsidRPr="008676F9">
              <w:rPr>
                <w:rFonts w:ascii="Calibri" w:hAnsi="Calibri"/>
                <w:sz w:val="20"/>
                <w:szCs w:val="20"/>
              </w:rPr>
              <w:t>a</w:t>
            </w:r>
            <w:r w:rsidRPr="008676F9">
              <w:rPr>
                <w:rFonts w:ascii="Calibri" w:hAnsi="Calibri"/>
                <w:b/>
                <w:sz w:val="20"/>
                <w:szCs w:val="20"/>
              </w:rPr>
              <w:t xml:space="preserve"> 31. októbra </w:t>
            </w:r>
            <w:r w:rsidRPr="008676F9">
              <w:rPr>
                <w:rFonts w:ascii="Calibri" w:hAnsi="Calibri"/>
                <w:sz w:val="20"/>
                <w:szCs w:val="20"/>
              </w:rPr>
              <w:t>každý rok</w:t>
            </w:r>
            <w:r w:rsidRPr="008676F9">
              <w:rPr>
                <w:rFonts w:ascii="Calibri" w:hAnsi="Calibri"/>
                <w:b/>
                <w:sz w:val="20"/>
                <w:szCs w:val="20"/>
              </w:rPr>
              <w:t xml:space="preserve"> </w:t>
            </w:r>
          </w:p>
        </w:tc>
      </w:tr>
      <w:tr w:rsidR="008676F9" w:rsidRPr="008676F9" w:rsidTr="00DA5476">
        <w:trPr>
          <w:trHeight w:val="346"/>
        </w:trPr>
        <w:tc>
          <w:tcPr>
            <w:tcW w:w="6662" w:type="dxa"/>
          </w:tcPr>
          <w:p w:rsidR="008676F9" w:rsidRPr="008676F9" w:rsidRDefault="008676F9" w:rsidP="008676F9">
            <w:pPr>
              <w:spacing w:before="120"/>
              <w:rPr>
                <w:rFonts w:ascii="Calibri" w:hAnsi="Calibri"/>
                <w:sz w:val="20"/>
                <w:szCs w:val="20"/>
              </w:rPr>
            </w:pPr>
            <w:r w:rsidRPr="008676F9">
              <w:rPr>
                <w:rFonts w:ascii="Calibri" w:hAnsi="Calibri"/>
                <w:sz w:val="20"/>
                <w:szCs w:val="20"/>
              </w:rPr>
              <w:t>Hodnotiaca správa Ex post</w:t>
            </w:r>
          </w:p>
        </w:tc>
        <w:tc>
          <w:tcPr>
            <w:tcW w:w="2517" w:type="dxa"/>
          </w:tcPr>
          <w:p w:rsidR="008676F9" w:rsidRPr="008676F9" w:rsidRDefault="008676F9" w:rsidP="008676F9">
            <w:pPr>
              <w:spacing w:before="120"/>
              <w:contextualSpacing/>
              <w:rPr>
                <w:rFonts w:ascii="Calibri" w:hAnsi="Calibri"/>
                <w:sz w:val="20"/>
                <w:szCs w:val="20"/>
              </w:rPr>
            </w:pPr>
            <w:r w:rsidRPr="008676F9">
              <w:rPr>
                <w:rFonts w:ascii="Calibri" w:hAnsi="Calibri"/>
                <w:sz w:val="20"/>
                <w:szCs w:val="20"/>
              </w:rPr>
              <w:t xml:space="preserve">do </w:t>
            </w:r>
            <w:r w:rsidRPr="008676F9">
              <w:rPr>
                <w:rFonts w:ascii="Calibri" w:hAnsi="Calibri"/>
                <w:b/>
                <w:sz w:val="20"/>
                <w:szCs w:val="20"/>
              </w:rPr>
              <w:t>31.12.2023</w:t>
            </w:r>
          </w:p>
        </w:tc>
      </w:tr>
    </w:tbl>
    <w:p w:rsidR="00DA5476" w:rsidRDefault="00DA5476" w:rsidP="00DA5476">
      <w:pPr>
        <w:spacing w:after="200" w:line="276" w:lineRule="auto"/>
        <w:rPr>
          <w:rFonts w:ascii="Calibri" w:hAnsi="Calibri"/>
          <w:szCs w:val="22"/>
        </w:rPr>
      </w:pPr>
    </w:p>
    <w:p w:rsidR="00DA5476" w:rsidRPr="00EA237A" w:rsidRDefault="00DA5476" w:rsidP="00DA5476">
      <w:pPr>
        <w:spacing w:after="200" w:line="276" w:lineRule="auto"/>
        <w:rPr>
          <w:rFonts w:ascii="Calibri" w:hAnsi="Calibri"/>
          <w:szCs w:val="22"/>
        </w:rPr>
      </w:pPr>
      <w:r w:rsidRPr="00EA237A">
        <w:rPr>
          <w:rFonts w:ascii="Calibri" w:hAnsi="Calibri"/>
          <w:szCs w:val="22"/>
        </w:rPr>
        <w:t>Časový plán je možné zobraziť v nasledovnom grafe:</w:t>
      </w:r>
    </w:p>
    <w:tbl>
      <w:tblPr>
        <w:tblStyle w:val="Tabellenraster16"/>
        <w:tblW w:w="10173" w:type="dxa"/>
        <w:tblBorders>
          <w:top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190"/>
        <w:gridCol w:w="2320"/>
        <w:gridCol w:w="1418"/>
        <w:gridCol w:w="1161"/>
        <w:gridCol w:w="1391"/>
        <w:gridCol w:w="1161"/>
        <w:gridCol w:w="1532"/>
      </w:tblGrid>
      <w:tr w:rsidR="00DA5476" w:rsidRPr="00EA237A" w:rsidTr="00DA5476">
        <w:tc>
          <w:tcPr>
            <w:tcW w:w="10173" w:type="dxa"/>
            <w:gridSpan w:val="7"/>
            <w:tcBorders>
              <w:top w:val="single" w:sz="4" w:space="0" w:color="auto"/>
              <w:bottom w:val="single" w:sz="4" w:space="0" w:color="auto"/>
              <w:right w:val="single" w:sz="4" w:space="0" w:color="auto"/>
            </w:tcBorders>
            <w:shd w:val="clear" w:color="auto" w:fill="EEECE1" w:themeFill="background2"/>
          </w:tcPr>
          <w:p w:rsidR="00DA5476" w:rsidRPr="00EA237A" w:rsidRDefault="00DA5476" w:rsidP="00DA5476">
            <w:pPr>
              <w:spacing w:before="120"/>
              <w:rPr>
                <w:b/>
                <w:lang w:val="sk-SK"/>
              </w:rPr>
            </w:pPr>
            <w:r w:rsidRPr="00EA237A">
              <w:rPr>
                <w:b/>
                <w:lang w:val="sk-SK"/>
              </w:rPr>
              <w:t>Časová os, aktivity a hodnotenie vo výročných implementačných správach PRV 2020</w:t>
            </w:r>
          </w:p>
        </w:tc>
      </w:tr>
      <w:tr w:rsidR="00DA5476" w:rsidRPr="00EA237A" w:rsidTr="00DA5476">
        <w:trPr>
          <w:trHeight w:val="504"/>
        </w:trPr>
        <w:tc>
          <w:tcPr>
            <w:tcW w:w="1190" w:type="dxa"/>
            <w:tcBorders>
              <w:top w:val="single" w:sz="4" w:space="0" w:color="auto"/>
              <w:right w:val="single" w:sz="4" w:space="0" w:color="auto"/>
            </w:tcBorders>
          </w:tcPr>
          <w:p w:rsidR="00DA5476" w:rsidRPr="00EA237A" w:rsidRDefault="00DA5476" w:rsidP="00DA5476">
            <w:pPr>
              <w:spacing w:before="120"/>
              <w:rPr>
                <w:sz w:val="20"/>
                <w:lang w:val="sk-SK"/>
              </w:rPr>
            </w:pPr>
            <w:r w:rsidRPr="00EA237A">
              <w:rPr>
                <w:sz w:val="20"/>
                <w:lang w:val="sk-SK"/>
              </w:rPr>
              <w:t>Aktivita</w:t>
            </w:r>
          </w:p>
        </w:tc>
        <w:tc>
          <w:tcPr>
            <w:tcW w:w="2320" w:type="dxa"/>
            <w:tcBorders>
              <w:top w:val="single" w:sz="4" w:space="0" w:color="auto"/>
              <w:bottom w:val="single" w:sz="4" w:space="0" w:color="auto"/>
              <w:right w:val="single" w:sz="4" w:space="0" w:color="auto"/>
            </w:tcBorders>
          </w:tcPr>
          <w:p w:rsidR="00DA5476" w:rsidRPr="00EA237A" w:rsidRDefault="001B3100" w:rsidP="00DA5476">
            <w:pPr>
              <w:spacing w:before="120"/>
              <w:jc w:val="center"/>
              <w:rPr>
                <w:sz w:val="20"/>
                <w:lang w:val="sk-SK"/>
              </w:rPr>
            </w:pPr>
            <w:r>
              <w:rPr>
                <w:b/>
                <w:noProof/>
                <w:sz w:val="24"/>
              </w:rPr>
              <mc:AlternateContent>
                <mc:Choice Requires="wps">
                  <w:drawing>
                    <wp:anchor distT="0" distB="0" distL="114300" distR="114300" simplePos="0" relativeHeight="251715584" behindDoc="0" locked="0" layoutInCell="1" allowOverlap="1" wp14:anchorId="788396E8" wp14:editId="6B4141E2">
                      <wp:simplePos x="0" y="0"/>
                      <wp:positionH relativeFrom="column">
                        <wp:posOffset>-74295</wp:posOffset>
                      </wp:positionH>
                      <wp:positionV relativeFrom="paragraph">
                        <wp:posOffset>194310</wp:posOffset>
                      </wp:positionV>
                      <wp:extent cx="5591175" cy="189230"/>
                      <wp:effectExtent l="0" t="19050" r="47625" b="39370"/>
                      <wp:wrapNone/>
                      <wp:docPr id="2" name="Šípka doprava 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591175" cy="189230"/>
                              </a:xfrm>
                              <a:prstGeom prst="rightArrow">
                                <a:avLst>
                                  <a:gd name="adj1" fmla="val 49999"/>
                                  <a:gd name="adj2" fmla="val 50000"/>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Šípka doprava 2" o:spid="_x0000_s1026" type="#_x0000_t13" style="position:absolute;margin-left:-5.85pt;margin-top:15.3pt;width:440.25pt;height:14.9pt;z-index:251715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" adj="21234" fillcolor="red" strokecolor="red" strokeweight="2pt">
                      <v:path arrowok="t"/>
                    </v:shape>
                  </w:pict>
                </mc:Fallback>
              </mc:AlternateContent>
            </w:r>
            <w:r w:rsidR="00DA5476" w:rsidRPr="00EA237A">
              <w:rPr>
                <w:sz w:val="18"/>
                <w:szCs w:val="18"/>
                <w:lang w:val="sk-SK"/>
              </w:rPr>
              <w:t>2015 a 2016</w:t>
            </w:r>
            <w:r w:rsidR="00DA5476" w:rsidRPr="00EA237A">
              <w:rPr>
                <w:sz w:val="20"/>
                <w:lang w:val="sk-SK"/>
              </w:rPr>
              <w:t xml:space="preserve"> </w:t>
            </w:r>
          </w:p>
        </w:tc>
        <w:tc>
          <w:tcPr>
            <w:tcW w:w="1418" w:type="dxa"/>
            <w:tcBorders>
              <w:top w:val="single" w:sz="4" w:space="0" w:color="auto"/>
              <w:left w:val="single" w:sz="4" w:space="0" w:color="auto"/>
              <w:right w:val="single" w:sz="4" w:space="0" w:color="auto"/>
            </w:tcBorders>
          </w:tcPr>
          <w:p w:rsidR="00DA5476" w:rsidRPr="00EA237A" w:rsidRDefault="00DA5476" w:rsidP="00DA5476">
            <w:pPr>
              <w:spacing w:before="120"/>
              <w:jc w:val="center"/>
              <w:rPr>
                <w:sz w:val="18"/>
                <w:szCs w:val="18"/>
                <w:lang w:val="sk-SK"/>
              </w:rPr>
            </w:pPr>
            <w:r w:rsidRPr="00EA237A">
              <w:rPr>
                <w:sz w:val="18"/>
                <w:szCs w:val="18"/>
                <w:lang w:val="sk-SK"/>
              </w:rPr>
              <w:t>2017</w:t>
            </w:r>
          </w:p>
        </w:tc>
        <w:tc>
          <w:tcPr>
            <w:tcW w:w="1161" w:type="dxa"/>
            <w:tcBorders>
              <w:top w:val="single" w:sz="4" w:space="0" w:color="auto"/>
              <w:left w:val="single" w:sz="4" w:space="0" w:color="auto"/>
              <w:right w:val="single" w:sz="4" w:space="0" w:color="auto"/>
            </w:tcBorders>
          </w:tcPr>
          <w:p w:rsidR="00DA5476" w:rsidRPr="00EA237A" w:rsidRDefault="00DA5476" w:rsidP="00DA5476">
            <w:pPr>
              <w:spacing w:before="120"/>
              <w:jc w:val="center"/>
              <w:rPr>
                <w:sz w:val="18"/>
                <w:szCs w:val="18"/>
                <w:lang w:val="sk-SK"/>
              </w:rPr>
            </w:pPr>
            <w:r w:rsidRPr="00EA237A">
              <w:rPr>
                <w:sz w:val="18"/>
                <w:szCs w:val="18"/>
                <w:lang w:val="sk-SK"/>
              </w:rPr>
              <w:t>2018</w:t>
            </w:r>
          </w:p>
        </w:tc>
        <w:tc>
          <w:tcPr>
            <w:tcW w:w="1391" w:type="dxa"/>
            <w:tcBorders>
              <w:top w:val="single" w:sz="4" w:space="0" w:color="auto"/>
              <w:left w:val="single" w:sz="4" w:space="0" w:color="auto"/>
              <w:right w:val="single" w:sz="4" w:space="0" w:color="auto"/>
            </w:tcBorders>
          </w:tcPr>
          <w:p w:rsidR="00DA5476" w:rsidRPr="00EA237A" w:rsidRDefault="00DA5476" w:rsidP="00DA5476">
            <w:pPr>
              <w:spacing w:before="120"/>
              <w:jc w:val="center"/>
              <w:rPr>
                <w:sz w:val="18"/>
                <w:szCs w:val="18"/>
                <w:lang w:val="sk-SK"/>
              </w:rPr>
            </w:pPr>
            <w:r w:rsidRPr="00EA237A">
              <w:rPr>
                <w:sz w:val="18"/>
                <w:szCs w:val="18"/>
                <w:lang w:val="sk-SK"/>
              </w:rPr>
              <w:t>2019</w:t>
            </w:r>
          </w:p>
        </w:tc>
        <w:tc>
          <w:tcPr>
            <w:tcW w:w="1161" w:type="dxa"/>
            <w:tcBorders>
              <w:top w:val="single" w:sz="4" w:space="0" w:color="auto"/>
              <w:left w:val="single" w:sz="4" w:space="0" w:color="auto"/>
              <w:right w:val="single" w:sz="4" w:space="0" w:color="auto"/>
            </w:tcBorders>
          </w:tcPr>
          <w:p w:rsidR="00DA5476" w:rsidRPr="00EA237A" w:rsidRDefault="00DA5476" w:rsidP="00DA5476">
            <w:pPr>
              <w:spacing w:before="120"/>
              <w:jc w:val="center"/>
              <w:rPr>
                <w:sz w:val="18"/>
                <w:szCs w:val="18"/>
                <w:lang w:val="sk-SK"/>
              </w:rPr>
            </w:pPr>
            <w:r w:rsidRPr="00EA237A">
              <w:rPr>
                <w:sz w:val="18"/>
                <w:szCs w:val="18"/>
                <w:lang w:val="sk-SK"/>
              </w:rPr>
              <w:t>2020 - 2023</w:t>
            </w:r>
          </w:p>
        </w:tc>
        <w:tc>
          <w:tcPr>
            <w:tcW w:w="1532" w:type="dxa"/>
            <w:tcBorders>
              <w:top w:val="single" w:sz="4" w:space="0" w:color="auto"/>
              <w:left w:val="single" w:sz="4" w:space="0" w:color="auto"/>
              <w:right w:val="single" w:sz="4" w:space="0" w:color="auto"/>
            </w:tcBorders>
          </w:tcPr>
          <w:p w:rsidR="00DA5476" w:rsidRPr="00EA237A" w:rsidRDefault="00DA5476" w:rsidP="00DA5476">
            <w:pPr>
              <w:spacing w:before="120"/>
              <w:jc w:val="center"/>
              <w:rPr>
                <w:sz w:val="18"/>
                <w:szCs w:val="18"/>
                <w:lang w:val="sk-SK"/>
              </w:rPr>
            </w:pPr>
            <w:r w:rsidRPr="00EA237A">
              <w:rPr>
                <w:sz w:val="18"/>
                <w:szCs w:val="18"/>
                <w:lang w:val="sk-SK"/>
              </w:rPr>
              <w:t>2024</w:t>
            </w:r>
          </w:p>
        </w:tc>
      </w:tr>
      <w:tr w:rsidR="00DA5476" w:rsidRPr="00EA237A" w:rsidTr="00DA5476">
        <w:trPr>
          <w:trHeight w:val="600"/>
        </w:trPr>
        <w:tc>
          <w:tcPr>
            <w:tcW w:w="1190" w:type="dxa"/>
            <w:tcBorders>
              <w:top w:val="single" w:sz="4" w:space="0" w:color="auto"/>
              <w:bottom w:val="single" w:sz="4" w:space="0" w:color="auto"/>
              <w:right w:val="single" w:sz="4" w:space="0" w:color="auto"/>
            </w:tcBorders>
            <w:shd w:val="clear" w:color="auto" w:fill="auto"/>
          </w:tcPr>
          <w:p w:rsidR="00DA5476" w:rsidRPr="00EA237A" w:rsidRDefault="00DA5476" w:rsidP="00DA5476">
            <w:pPr>
              <w:spacing w:before="60"/>
              <w:rPr>
                <w:sz w:val="16"/>
                <w:szCs w:val="16"/>
                <w:lang w:val="sk-SK"/>
              </w:rPr>
            </w:pPr>
            <w:r>
              <w:rPr>
                <w:sz w:val="16"/>
                <w:szCs w:val="16"/>
                <w:lang w:val="sk-SK"/>
              </w:rPr>
              <w:t>Hodnotiaca správa</w:t>
            </w:r>
          </w:p>
        </w:tc>
        <w:tc>
          <w:tcPr>
            <w:tcW w:w="2320" w:type="dxa"/>
            <w:tcBorders>
              <w:top w:val="single" w:sz="4" w:space="0" w:color="auto"/>
              <w:bottom w:val="single" w:sz="4" w:space="0" w:color="auto"/>
              <w:right w:val="single" w:sz="4" w:space="0" w:color="auto"/>
            </w:tcBorders>
            <w:shd w:val="clear" w:color="auto" w:fill="FDE9D9" w:themeFill="accent6" w:themeFillTint="33"/>
          </w:tcPr>
          <w:p w:rsidR="00DA5476" w:rsidRDefault="00DA5476" w:rsidP="00DA5476">
            <w:pPr>
              <w:rPr>
                <w:sz w:val="16"/>
                <w:szCs w:val="16"/>
                <w:lang w:val="sk-SK"/>
              </w:rPr>
            </w:pPr>
          </w:p>
          <w:p w:rsidR="00DA5476" w:rsidRPr="00EA237A" w:rsidRDefault="00DA5476" w:rsidP="00DA5476">
            <w:pPr>
              <w:rPr>
                <w:sz w:val="16"/>
                <w:szCs w:val="16"/>
                <w:lang w:val="sk-SK"/>
              </w:rPr>
            </w:pPr>
            <w:r w:rsidRPr="00EA237A">
              <w:rPr>
                <w:sz w:val="16"/>
                <w:szCs w:val="16"/>
                <w:lang w:val="sk-SK"/>
              </w:rPr>
              <w:t>„jednoduchá“ správa o rokoch 2014/2015</w:t>
            </w:r>
          </w:p>
        </w:tc>
        <w:tc>
          <w:tcPr>
            <w:tcW w:w="1418" w:type="dxa"/>
            <w:tcBorders>
              <w:top w:val="single" w:sz="4" w:space="0" w:color="auto"/>
              <w:bottom w:val="single" w:sz="4" w:space="0" w:color="auto"/>
              <w:right w:val="single" w:sz="4" w:space="0" w:color="auto"/>
            </w:tcBorders>
            <w:shd w:val="clear" w:color="auto" w:fill="C6D9F1" w:themeFill="text2" w:themeFillTint="33"/>
          </w:tcPr>
          <w:p w:rsidR="00DA5476" w:rsidRPr="00EA237A" w:rsidRDefault="00DA5476" w:rsidP="00DA5476">
            <w:pPr>
              <w:spacing w:before="120"/>
              <w:rPr>
                <w:sz w:val="16"/>
                <w:szCs w:val="16"/>
                <w:lang w:val="sk-SK"/>
              </w:rPr>
            </w:pPr>
            <w:r w:rsidRPr="00EA237A">
              <w:rPr>
                <w:sz w:val="16"/>
                <w:szCs w:val="16"/>
                <w:lang w:val="sk-SK"/>
              </w:rPr>
              <w:t>„posilnená“ správa</w:t>
            </w:r>
          </w:p>
        </w:tc>
        <w:tc>
          <w:tcPr>
            <w:tcW w:w="1161" w:type="dxa"/>
            <w:tcBorders>
              <w:top w:val="single" w:sz="4" w:space="0" w:color="auto"/>
              <w:bottom w:val="single" w:sz="4" w:space="0" w:color="auto"/>
              <w:right w:val="single" w:sz="4" w:space="0" w:color="auto"/>
            </w:tcBorders>
            <w:shd w:val="clear" w:color="auto" w:fill="FDE9D9" w:themeFill="accent6" w:themeFillTint="33"/>
          </w:tcPr>
          <w:p w:rsidR="00DA5476" w:rsidRPr="00EA237A" w:rsidRDefault="00DA5476" w:rsidP="00DA5476">
            <w:pPr>
              <w:spacing w:before="120"/>
              <w:rPr>
                <w:sz w:val="16"/>
                <w:szCs w:val="16"/>
                <w:lang w:val="sk-SK"/>
              </w:rPr>
            </w:pPr>
            <w:r w:rsidRPr="00EA237A">
              <w:rPr>
                <w:sz w:val="16"/>
                <w:szCs w:val="16"/>
                <w:lang w:val="sk-SK"/>
              </w:rPr>
              <w:t>„jednoduchá“ správa</w:t>
            </w:r>
          </w:p>
        </w:tc>
        <w:tc>
          <w:tcPr>
            <w:tcW w:w="1391" w:type="dxa"/>
            <w:tcBorders>
              <w:top w:val="single" w:sz="4" w:space="0" w:color="auto"/>
              <w:left w:val="single" w:sz="4" w:space="0" w:color="auto"/>
              <w:bottom w:val="single" w:sz="4" w:space="0" w:color="auto"/>
              <w:right w:val="single" w:sz="4" w:space="0" w:color="auto"/>
            </w:tcBorders>
            <w:shd w:val="clear" w:color="auto" w:fill="C6D9F1" w:themeFill="text2" w:themeFillTint="33"/>
          </w:tcPr>
          <w:p w:rsidR="00DA5476" w:rsidRPr="00EA237A" w:rsidRDefault="00DA5476" w:rsidP="00DA5476">
            <w:pPr>
              <w:spacing w:before="120"/>
              <w:rPr>
                <w:sz w:val="16"/>
                <w:szCs w:val="16"/>
                <w:lang w:val="sk-SK"/>
              </w:rPr>
            </w:pPr>
            <w:r w:rsidRPr="00EA237A">
              <w:rPr>
                <w:sz w:val="16"/>
                <w:szCs w:val="16"/>
                <w:lang w:val="sk-SK"/>
              </w:rPr>
              <w:t>„posilnená“ správa</w:t>
            </w:r>
          </w:p>
        </w:tc>
        <w:tc>
          <w:tcPr>
            <w:tcW w:w="1161" w:type="dxa"/>
            <w:tcBorders>
              <w:top w:val="single" w:sz="4" w:space="0" w:color="auto"/>
              <w:left w:val="single" w:sz="4" w:space="0" w:color="auto"/>
              <w:bottom w:val="single" w:sz="4" w:space="0" w:color="auto"/>
              <w:right w:val="single" w:sz="4" w:space="0" w:color="auto"/>
            </w:tcBorders>
            <w:shd w:val="clear" w:color="auto" w:fill="FDE9D9" w:themeFill="accent6" w:themeFillTint="33"/>
          </w:tcPr>
          <w:p w:rsidR="00DA5476" w:rsidRPr="00EA237A" w:rsidRDefault="00DA5476" w:rsidP="00DA5476">
            <w:pPr>
              <w:spacing w:before="120"/>
              <w:rPr>
                <w:sz w:val="16"/>
                <w:szCs w:val="16"/>
                <w:lang w:val="sk-SK"/>
              </w:rPr>
            </w:pPr>
            <w:r w:rsidRPr="00EA237A">
              <w:rPr>
                <w:sz w:val="16"/>
                <w:szCs w:val="16"/>
                <w:lang w:val="sk-SK"/>
              </w:rPr>
              <w:t>„jednoduchá“ správa</w:t>
            </w:r>
          </w:p>
        </w:tc>
        <w:tc>
          <w:tcPr>
            <w:tcW w:w="1532" w:type="dxa"/>
            <w:tcBorders>
              <w:top w:val="single" w:sz="4" w:space="0" w:color="auto"/>
              <w:left w:val="single" w:sz="4" w:space="0" w:color="auto"/>
              <w:bottom w:val="single" w:sz="4" w:space="0" w:color="auto"/>
              <w:right w:val="single" w:sz="4" w:space="0" w:color="auto"/>
            </w:tcBorders>
            <w:shd w:val="clear" w:color="auto" w:fill="C6D9F1" w:themeFill="text2" w:themeFillTint="33"/>
          </w:tcPr>
          <w:p w:rsidR="00DA5476" w:rsidRPr="00EA237A" w:rsidRDefault="00DA5476" w:rsidP="00DA5476">
            <w:pPr>
              <w:spacing w:before="120"/>
              <w:rPr>
                <w:sz w:val="16"/>
                <w:szCs w:val="16"/>
                <w:lang w:val="sk-SK"/>
              </w:rPr>
            </w:pPr>
            <w:r w:rsidRPr="00EA237A">
              <w:rPr>
                <w:sz w:val="16"/>
                <w:szCs w:val="16"/>
                <w:lang w:val="sk-SK"/>
              </w:rPr>
              <w:t>Ex-post hodnotenie</w:t>
            </w:r>
          </w:p>
        </w:tc>
      </w:tr>
      <w:tr w:rsidR="00DA5476" w:rsidRPr="00EA237A" w:rsidTr="00DA5476">
        <w:trPr>
          <w:trHeight w:val="600"/>
        </w:trPr>
        <w:tc>
          <w:tcPr>
            <w:tcW w:w="1190" w:type="dxa"/>
            <w:tcBorders>
              <w:top w:val="single" w:sz="4" w:space="0" w:color="auto"/>
              <w:bottom w:val="single" w:sz="4" w:space="0" w:color="auto"/>
              <w:right w:val="single" w:sz="4" w:space="0" w:color="auto"/>
            </w:tcBorders>
            <w:shd w:val="clear" w:color="auto" w:fill="auto"/>
          </w:tcPr>
          <w:p w:rsidR="00DA5476" w:rsidRPr="00EA237A" w:rsidRDefault="00DA5476" w:rsidP="00DA5476">
            <w:pPr>
              <w:spacing w:before="60"/>
              <w:rPr>
                <w:sz w:val="16"/>
                <w:szCs w:val="16"/>
                <w:lang w:val="sk-SK"/>
              </w:rPr>
            </w:pPr>
            <w:r>
              <w:rPr>
                <w:sz w:val="16"/>
                <w:szCs w:val="16"/>
                <w:lang w:val="sk-SK"/>
              </w:rPr>
              <w:t>Obsah</w:t>
            </w:r>
          </w:p>
        </w:tc>
        <w:tc>
          <w:tcPr>
            <w:tcW w:w="2320" w:type="dxa"/>
            <w:tcBorders>
              <w:top w:val="single" w:sz="4" w:space="0" w:color="auto"/>
              <w:bottom w:val="single" w:sz="4" w:space="0" w:color="auto"/>
              <w:right w:val="single" w:sz="4" w:space="0" w:color="auto"/>
            </w:tcBorders>
            <w:shd w:val="clear" w:color="auto" w:fill="FDE9D9" w:themeFill="accent6" w:themeFillTint="33"/>
          </w:tcPr>
          <w:p w:rsidR="00DA5476" w:rsidRPr="00631639" w:rsidRDefault="00DA5476" w:rsidP="00CE203B">
            <w:pPr>
              <w:pStyle w:val="Odsekzoznamu"/>
              <w:numPr>
                <w:ilvl w:val="0"/>
                <w:numId w:val="387"/>
              </w:numPr>
              <w:spacing w:before="120" w:after="120"/>
              <w:ind w:left="227" w:hanging="227"/>
              <w:contextualSpacing w:val="0"/>
              <w:jc w:val="left"/>
              <w:rPr>
                <w:sz w:val="16"/>
                <w:szCs w:val="16"/>
                <w:lang w:val="sk-SK"/>
              </w:rPr>
            </w:pPr>
            <w:r>
              <w:rPr>
                <w:sz w:val="16"/>
                <w:szCs w:val="16"/>
                <w:lang w:val="sk-SK"/>
              </w:rPr>
              <w:t>Progres v implementácii programu</w:t>
            </w:r>
          </w:p>
          <w:p w:rsidR="00DA5476" w:rsidRPr="00EA237A" w:rsidRDefault="00DA5476" w:rsidP="00CE203B">
            <w:pPr>
              <w:pStyle w:val="Odsekzoznamu"/>
              <w:numPr>
                <w:ilvl w:val="0"/>
                <w:numId w:val="387"/>
              </w:numPr>
              <w:spacing w:before="120" w:after="120"/>
              <w:ind w:left="227" w:hanging="227"/>
              <w:contextualSpacing w:val="0"/>
              <w:jc w:val="left"/>
              <w:rPr>
                <w:sz w:val="16"/>
                <w:szCs w:val="16"/>
                <w:lang w:val="sk-SK"/>
              </w:rPr>
            </w:pPr>
            <w:r>
              <w:rPr>
                <w:sz w:val="16"/>
                <w:szCs w:val="16"/>
                <w:lang w:val="sk-SK"/>
              </w:rPr>
              <w:t xml:space="preserve">Popis </w:t>
            </w:r>
            <w:r w:rsidRPr="00EA237A">
              <w:rPr>
                <w:sz w:val="16"/>
                <w:szCs w:val="16"/>
                <w:lang w:val="sk-SK"/>
              </w:rPr>
              <w:t>aktivít predchádzajúceho roka</w:t>
            </w:r>
          </w:p>
          <w:p w:rsidR="00DA5476" w:rsidRPr="00EA237A" w:rsidRDefault="00DA5476" w:rsidP="00CE203B">
            <w:pPr>
              <w:pStyle w:val="Odsekzoznamu"/>
              <w:numPr>
                <w:ilvl w:val="0"/>
                <w:numId w:val="387"/>
              </w:numPr>
              <w:spacing w:before="120" w:after="120"/>
              <w:ind w:left="227" w:hanging="227"/>
              <w:contextualSpacing w:val="0"/>
              <w:jc w:val="left"/>
              <w:rPr>
                <w:sz w:val="16"/>
                <w:szCs w:val="16"/>
                <w:lang w:val="sk-SK"/>
              </w:rPr>
            </w:pPr>
            <w:r w:rsidRPr="00EA237A">
              <w:rPr>
                <w:sz w:val="16"/>
                <w:szCs w:val="16"/>
                <w:lang w:val="sk-SK"/>
              </w:rPr>
              <w:t>Výsledky ukončených projektov</w:t>
            </w:r>
          </w:p>
          <w:p w:rsidR="00DA5476" w:rsidRPr="00EA237A" w:rsidRDefault="00DA5476" w:rsidP="00CE203B">
            <w:pPr>
              <w:pStyle w:val="Odsekzoznamu"/>
              <w:numPr>
                <w:ilvl w:val="0"/>
                <w:numId w:val="387"/>
              </w:numPr>
              <w:spacing w:before="120" w:after="120"/>
              <w:ind w:left="227" w:hanging="227"/>
              <w:contextualSpacing w:val="0"/>
              <w:jc w:val="left"/>
              <w:rPr>
                <w:sz w:val="16"/>
                <w:szCs w:val="16"/>
                <w:lang w:val="sk-SK"/>
              </w:rPr>
            </w:pPr>
            <w:r>
              <w:rPr>
                <w:sz w:val="16"/>
                <w:szCs w:val="16"/>
                <w:lang w:val="sk-SK"/>
              </w:rPr>
              <w:t>Komunikačné aktivity</w:t>
            </w:r>
          </w:p>
          <w:p w:rsidR="00DA5476" w:rsidRPr="00EA237A" w:rsidRDefault="00DA5476" w:rsidP="00CE203B">
            <w:pPr>
              <w:pStyle w:val="Odsekzoznamu"/>
              <w:numPr>
                <w:ilvl w:val="0"/>
                <w:numId w:val="387"/>
              </w:numPr>
              <w:spacing w:before="120" w:after="120"/>
              <w:ind w:left="227" w:hanging="227"/>
              <w:contextualSpacing w:val="0"/>
              <w:jc w:val="left"/>
              <w:rPr>
                <w:sz w:val="16"/>
                <w:szCs w:val="16"/>
                <w:lang w:val="sk-SK"/>
              </w:rPr>
            </w:pPr>
            <w:r>
              <w:rPr>
                <w:sz w:val="16"/>
                <w:szCs w:val="16"/>
                <w:lang w:val="sk-SK"/>
              </w:rPr>
              <w:t>Úlohy a odporúčania pre ďalšie obdobie</w:t>
            </w:r>
          </w:p>
        </w:tc>
        <w:tc>
          <w:tcPr>
            <w:tcW w:w="1418" w:type="dxa"/>
            <w:tcBorders>
              <w:top w:val="single" w:sz="4" w:space="0" w:color="auto"/>
              <w:bottom w:val="single" w:sz="4" w:space="0" w:color="auto"/>
              <w:right w:val="single" w:sz="4" w:space="0" w:color="auto"/>
            </w:tcBorders>
            <w:shd w:val="clear" w:color="auto" w:fill="C6D9F1" w:themeFill="text2" w:themeFillTint="33"/>
          </w:tcPr>
          <w:p w:rsidR="00DA5476" w:rsidRDefault="00DA5476" w:rsidP="00DA5476">
            <w:pPr>
              <w:pStyle w:val="Odsekzoznamu"/>
              <w:spacing w:before="120" w:after="120"/>
              <w:ind w:left="227"/>
              <w:contextualSpacing w:val="0"/>
              <w:rPr>
                <w:sz w:val="16"/>
                <w:szCs w:val="16"/>
                <w:lang w:val="sk-SK"/>
              </w:rPr>
            </w:pPr>
            <w:r>
              <w:rPr>
                <w:sz w:val="16"/>
                <w:szCs w:val="16"/>
                <w:lang w:val="sk-SK"/>
              </w:rPr>
              <w:t>1. – 5.</w:t>
            </w:r>
          </w:p>
          <w:p w:rsidR="00DA5476" w:rsidRPr="00EA237A" w:rsidRDefault="00DA5476" w:rsidP="00CE203B">
            <w:pPr>
              <w:pStyle w:val="Odsekzoznamu"/>
              <w:numPr>
                <w:ilvl w:val="0"/>
                <w:numId w:val="387"/>
              </w:numPr>
              <w:spacing w:before="120" w:after="120"/>
              <w:ind w:left="227" w:hanging="227"/>
              <w:contextualSpacing w:val="0"/>
              <w:jc w:val="left"/>
              <w:rPr>
                <w:sz w:val="16"/>
                <w:szCs w:val="16"/>
                <w:lang w:val="sk-SK"/>
              </w:rPr>
            </w:pPr>
            <w:r w:rsidRPr="00EA237A">
              <w:rPr>
                <w:sz w:val="16"/>
                <w:szCs w:val="16"/>
                <w:lang w:val="sk-SK"/>
              </w:rPr>
              <w:t>Prínos opatrení pre fokusové oblasti</w:t>
            </w:r>
          </w:p>
          <w:p w:rsidR="00DA5476" w:rsidRPr="00EA237A" w:rsidRDefault="00DA5476" w:rsidP="00CE203B">
            <w:pPr>
              <w:pStyle w:val="Odsekzoznamu"/>
              <w:numPr>
                <w:ilvl w:val="0"/>
                <w:numId w:val="387"/>
              </w:numPr>
              <w:spacing w:before="120" w:after="120"/>
              <w:ind w:left="227" w:hanging="227"/>
              <w:jc w:val="left"/>
              <w:rPr>
                <w:sz w:val="16"/>
                <w:szCs w:val="16"/>
                <w:lang w:val="sk-SK"/>
              </w:rPr>
            </w:pPr>
            <w:r w:rsidRPr="00EA237A">
              <w:rPr>
                <w:sz w:val="16"/>
                <w:szCs w:val="16"/>
                <w:lang w:val="sk-SK"/>
              </w:rPr>
              <w:t xml:space="preserve">Úspechy programu na úrovni  </w:t>
            </w:r>
            <w:r>
              <w:rPr>
                <w:sz w:val="16"/>
                <w:szCs w:val="16"/>
                <w:lang w:val="sk-SK"/>
              </w:rPr>
              <w:t xml:space="preserve">výsledkových </w:t>
            </w:r>
            <w:r w:rsidRPr="00EA237A">
              <w:rPr>
                <w:sz w:val="16"/>
                <w:szCs w:val="16"/>
                <w:lang w:val="sk-SK"/>
              </w:rPr>
              <w:t>indikátorov a hodnotiace otázky</w:t>
            </w:r>
          </w:p>
        </w:tc>
        <w:tc>
          <w:tcPr>
            <w:tcW w:w="1161" w:type="dxa"/>
            <w:tcBorders>
              <w:top w:val="single" w:sz="4" w:space="0" w:color="auto"/>
              <w:bottom w:val="single" w:sz="4" w:space="0" w:color="auto"/>
              <w:right w:val="single" w:sz="4" w:space="0" w:color="auto"/>
            </w:tcBorders>
            <w:shd w:val="clear" w:color="auto" w:fill="FDE9D9" w:themeFill="accent6" w:themeFillTint="33"/>
          </w:tcPr>
          <w:p w:rsidR="00DA5476" w:rsidRPr="00EA237A" w:rsidRDefault="00DA5476" w:rsidP="00DA5476">
            <w:pPr>
              <w:spacing w:before="120"/>
              <w:rPr>
                <w:sz w:val="16"/>
                <w:szCs w:val="16"/>
                <w:lang w:val="sk-SK"/>
              </w:rPr>
            </w:pPr>
            <w:r>
              <w:rPr>
                <w:sz w:val="16"/>
                <w:szCs w:val="16"/>
                <w:lang w:val="sk-SK"/>
              </w:rPr>
              <w:t>1. – 5</w:t>
            </w:r>
            <w:r w:rsidRPr="00EA237A">
              <w:rPr>
                <w:sz w:val="16"/>
                <w:szCs w:val="16"/>
                <w:lang w:val="sk-SK"/>
              </w:rPr>
              <w:t xml:space="preserve">. </w:t>
            </w:r>
          </w:p>
        </w:tc>
        <w:tc>
          <w:tcPr>
            <w:tcW w:w="1391" w:type="dxa"/>
            <w:tcBorders>
              <w:top w:val="single" w:sz="4" w:space="0" w:color="auto"/>
              <w:left w:val="single" w:sz="4" w:space="0" w:color="auto"/>
              <w:bottom w:val="single" w:sz="4" w:space="0" w:color="auto"/>
              <w:right w:val="single" w:sz="4" w:space="0" w:color="auto"/>
            </w:tcBorders>
            <w:shd w:val="clear" w:color="auto" w:fill="C6D9F1" w:themeFill="text2" w:themeFillTint="33"/>
          </w:tcPr>
          <w:p w:rsidR="00DA5476" w:rsidRDefault="00DA5476" w:rsidP="00DA5476">
            <w:pPr>
              <w:pStyle w:val="Odsekzoznamu"/>
              <w:spacing w:before="120" w:after="120"/>
              <w:ind w:left="227"/>
              <w:contextualSpacing w:val="0"/>
              <w:rPr>
                <w:sz w:val="16"/>
                <w:szCs w:val="16"/>
                <w:lang w:val="sk-SK"/>
              </w:rPr>
            </w:pPr>
            <w:r>
              <w:rPr>
                <w:sz w:val="16"/>
                <w:szCs w:val="16"/>
                <w:lang w:val="sk-SK"/>
              </w:rPr>
              <w:t>1. – 7.</w:t>
            </w:r>
          </w:p>
          <w:p w:rsidR="00DA5476" w:rsidRPr="00EA237A" w:rsidRDefault="00DA5476" w:rsidP="00CE203B">
            <w:pPr>
              <w:pStyle w:val="Odsekzoznamu"/>
              <w:numPr>
                <w:ilvl w:val="0"/>
                <w:numId w:val="387"/>
              </w:numPr>
              <w:spacing w:before="120" w:after="120"/>
              <w:ind w:left="227" w:hanging="227"/>
              <w:contextualSpacing w:val="0"/>
              <w:jc w:val="left"/>
              <w:rPr>
                <w:sz w:val="16"/>
                <w:szCs w:val="16"/>
                <w:lang w:val="sk-SK"/>
              </w:rPr>
            </w:pPr>
            <w:r w:rsidRPr="00EA237A">
              <w:rPr>
                <w:sz w:val="16"/>
                <w:szCs w:val="16"/>
                <w:lang w:val="sk-SK"/>
              </w:rPr>
              <w:t>Do</w:t>
            </w:r>
            <w:r>
              <w:rPr>
                <w:sz w:val="16"/>
                <w:szCs w:val="16"/>
                <w:lang w:val="sk-SK"/>
              </w:rPr>
              <w:t xml:space="preserve">pady programu (dopadové </w:t>
            </w:r>
            <w:r w:rsidRPr="00EA237A">
              <w:rPr>
                <w:sz w:val="16"/>
                <w:szCs w:val="16"/>
                <w:lang w:val="sk-SK"/>
              </w:rPr>
              <w:t>ukazovatele)</w:t>
            </w:r>
          </w:p>
          <w:p w:rsidR="00DA5476" w:rsidRPr="00EA237A" w:rsidRDefault="00DA5476" w:rsidP="00CE203B">
            <w:pPr>
              <w:pStyle w:val="Odsekzoznamu"/>
              <w:numPr>
                <w:ilvl w:val="0"/>
                <w:numId w:val="387"/>
              </w:numPr>
              <w:spacing w:before="120" w:after="120"/>
              <w:ind w:left="227" w:hanging="227"/>
              <w:contextualSpacing w:val="0"/>
              <w:jc w:val="left"/>
              <w:rPr>
                <w:sz w:val="16"/>
                <w:szCs w:val="16"/>
                <w:lang w:val="sk-SK"/>
              </w:rPr>
            </w:pPr>
            <w:r w:rsidRPr="00EA237A">
              <w:rPr>
                <w:sz w:val="16"/>
                <w:szCs w:val="16"/>
                <w:lang w:val="sk-SK"/>
              </w:rPr>
              <w:t>Prínos programu pre stratégiu EÚ</w:t>
            </w:r>
          </w:p>
          <w:p w:rsidR="00DA5476" w:rsidRPr="00EA237A" w:rsidRDefault="00DA5476" w:rsidP="00CE203B">
            <w:pPr>
              <w:pStyle w:val="Odsekzoznamu"/>
              <w:numPr>
                <w:ilvl w:val="0"/>
                <w:numId w:val="387"/>
              </w:numPr>
              <w:spacing w:before="120" w:after="120"/>
              <w:ind w:left="227" w:hanging="227"/>
              <w:contextualSpacing w:val="0"/>
              <w:jc w:val="left"/>
              <w:rPr>
                <w:sz w:val="16"/>
                <w:szCs w:val="16"/>
                <w:lang w:val="sk-SK"/>
              </w:rPr>
            </w:pPr>
            <w:r w:rsidRPr="00EA237A">
              <w:rPr>
                <w:sz w:val="16"/>
                <w:szCs w:val="16"/>
                <w:lang w:val="sk-SK"/>
              </w:rPr>
              <w:t>Zodpovedanie hodnotiacich otázok</w:t>
            </w:r>
          </w:p>
        </w:tc>
        <w:tc>
          <w:tcPr>
            <w:tcW w:w="1161" w:type="dxa"/>
            <w:tcBorders>
              <w:top w:val="single" w:sz="4" w:space="0" w:color="auto"/>
              <w:left w:val="single" w:sz="4" w:space="0" w:color="auto"/>
              <w:bottom w:val="single" w:sz="4" w:space="0" w:color="auto"/>
              <w:right w:val="single" w:sz="4" w:space="0" w:color="auto"/>
            </w:tcBorders>
            <w:shd w:val="clear" w:color="auto" w:fill="FDE9D9" w:themeFill="accent6" w:themeFillTint="33"/>
          </w:tcPr>
          <w:p w:rsidR="00DA5476" w:rsidRPr="00EA237A" w:rsidRDefault="00DA5476" w:rsidP="00DA5476">
            <w:pPr>
              <w:spacing w:before="120"/>
              <w:rPr>
                <w:sz w:val="16"/>
                <w:szCs w:val="16"/>
                <w:lang w:val="sk-SK"/>
              </w:rPr>
            </w:pPr>
            <w:r>
              <w:rPr>
                <w:sz w:val="16"/>
                <w:szCs w:val="16"/>
                <w:lang w:val="sk-SK"/>
              </w:rPr>
              <w:t>1. – 5</w:t>
            </w:r>
            <w:r w:rsidRPr="00EA237A">
              <w:rPr>
                <w:sz w:val="16"/>
                <w:szCs w:val="16"/>
                <w:lang w:val="sk-SK"/>
              </w:rPr>
              <w:t>.</w:t>
            </w:r>
          </w:p>
        </w:tc>
        <w:tc>
          <w:tcPr>
            <w:tcW w:w="1532" w:type="dxa"/>
            <w:tcBorders>
              <w:top w:val="single" w:sz="4" w:space="0" w:color="auto"/>
              <w:left w:val="single" w:sz="4" w:space="0" w:color="auto"/>
              <w:bottom w:val="single" w:sz="4" w:space="0" w:color="auto"/>
              <w:right w:val="single" w:sz="4" w:space="0" w:color="auto"/>
            </w:tcBorders>
            <w:shd w:val="clear" w:color="auto" w:fill="C6D9F1" w:themeFill="text2" w:themeFillTint="33"/>
          </w:tcPr>
          <w:p w:rsidR="00DA5476" w:rsidRDefault="00DA5476" w:rsidP="00DA5476">
            <w:pPr>
              <w:spacing w:before="120"/>
              <w:rPr>
                <w:sz w:val="16"/>
                <w:szCs w:val="16"/>
                <w:lang w:val="sk-SK"/>
              </w:rPr>
            </w:pPr>
            <w:r>
              <w:rPr>
                <w:sz w:val="16"/>
                <w:szCs w:val="16"/>
                <w:lang w:val="sk-SK"/>
              </w:rPr>
              <w:t>1. – 10.</w:t>
            </w:r>
          </w:p>
          <w:p w:rsidR="00DA5476" w:rsidRPr="004B7429" w:rsidRDefault="00DA5476" w:rsidP="00CE203B">
            <w:pPr>
              <w:pStyle w:val="Odsekzoznamu"/>
              <w:numPr>
                <w:ilvl w:val="0"/>
                <w:numId w:val="387"/>
              </w:numPr>
              <w:spacing w:before="120"/>
              <w:jc w:val="left"/>
              <w:rPr>
                <w:sz w:val="16"/>
                <w:szCs w:val="16"/>
              </w:rPr>
            </w:pPr>
            <w:r w:rsidRPr="004B7429">
              <w:rPr>
                <w:sz w:val="16"/>
                <w:szCs w:val="16"/>
              </w:rPr>
              <w:t xml:space="preserve">Záverečná hodnotiaca správa </w:t>
            </w:r>
          </w:p>
          <w:p w:rsidR="00DA5476" w:rsidRPr="004B7429" w:rsidRDefault="00DA5476" w:rsidP="00CE203B">
            <w:pPr>
              <w:pStyle w:val="Odsekzoznamu"/>
              <w:numPr>
                <w:ilvl w:val="0"/>
                <w:numId w:val="387"/>
              </w:numPr>
              <w:spacing w:before="120"/>
              <w:jc w:val="left"/>
              <w:rPr>
                <w:sz w:val="16"/>
                <w:szCs w:val="16"/>
              </w:rPr>
            </w:pPr>
            <w:r w:rsidRPr="004B7429">
              <w:rPr>
                <w:sz w:val="16"/>
                <w:szCs w:val="16"/>
              </w:rPr>
              <w:t>Celkové dopady programu</w:t>
            </w:r>
          </w:p>
          <w:p w:rsidR="00DA5476" w:rsidRPr="004B7429" w:rsidRDefault="00DA5476" w:rsidP="00CE203B">
            <w:pPr>
              <w:pStyle w:val="Odsekzoznamu"/>
              <w:numPr>
                <w:ilvl w:val="0"/>
                <w:numId w:val="387"/>
              </w:numPr>
              <w:spacing w:before="120"/>
              <w:jc w:val="left"/>
              <w:rPr>
                <w:sz w:val="16"/>
                <w:szCs w:val="16"/>
              </w:rPr>
            </w:pPr>
            <w:r w:rsidRPr="004B7429">
              <w:rPr>
                <w:sz w:val="16"/>
                <w:szCs w:val="16"/>
              </w:rPr>
              <w:t>Účinnosť, hospodárnosť a relevantnosť intervenčných opatrení</w:t>
            </w:r>
          </w:p>
        </w:tc>
      </w:tr>
      <w:tr w:rsidR="00DA5476" w:rsidRPr="00EA237A" w:rsidTr="00DA5476">
        <w:trPr>
          <w:trHeight w:val="600"/>
        </w:trPr>
        <w:tc>
          <w:tcPr>
            <w:tcW w:w="1190" w:type="dxa"/>
            <w:tcBorders>
              <w:top w:val="single" w:sz="4" w:space="0" w:color="auto"/>
              <w:bottom w:val="single" w:sz="4" w:space="0" w:color="auto"/>
              <w:right w:val="single" w:sz="4" w:space="0" w:color="auto"/>
            </w:tcBorders>
            <w:shd w:val="clear" w:color="auto" w:fill="FFFF00"/>
          </w:tcPr>
          <w:p w:rsidR="00DA5476" w:rsidRPr="00EA237A" w:rsidRDefault="00DA5476" w:rsidP="00DA5476">
            <w:pPr>
              <w:spacing w:before="60"/>
              <w:rPr>
                <w:sz w:val="16"/>
                <w:szCs w:val="16"/>
                <w:lang w:val="sk-SK"/>
              </w:rPr>
            </w:pPr>
            <w:r w:rsidRPr="00EA237A">
              <w:rPr>
                <w:sz w:val="16"/>
                <w:szCs w:val="16"/>
                <w:lang w:val="sk-SK"/>
              </w:rPr>
              <w:t>Zber dát a údržba dát</w:t>
            </w:r>
          </w:p>
        </w:tc>
        <w:tc>
          <w:tcPr>
            <w:tcW w:w="2320" w:type="dxa"/>
            <w:tcBorders>
              <w:top w:val="single" w:sz="4" w:space="0" w:color="auto"/>
              <w:bottom w:val="single" w:sz="4" w:space="0" w:color="auto"/>
              <w:right w:val="single" w:sz="4" w:space="0" w:color="auto"/>
            </w:tcBorders>
            <w:shd w:val="clear" w:color="auto" w:fill="FFFF00"/>
          </w:tcPr>
          <w:p w:rsidR="00DA5476" w:rsidRPr="00EA237A" w:rsidRDefault="00DA5476" w:rsidP="00DA5476">
            <w:pPr>
              <w:spacing w:before="60"/>
              <w:rPr>
                <w:sz w:val="16"/>
                <w:szCs w:val="16"/>
                <w:lang w:val="sk-SK"/>
              </w:rPr>
            </w:pPr>
            <w:r w:rsidRPr="00EA237A">
              <w:rPr>
                <w:sz w:val="16"/>
                <w:szCs w:val="16"/>
                <w:lang w:val="sk-SK"/>
              </w:rPr>
              <w:t>Identifikácia dát potrebných pre hodnotenie</w:t>
            </w:r>
          </w:p>
          <w:p w:rsidR="00DA5476" w:rsidRPr="00EA237A" w:rsidRDefault="00DA5476" w:rsidP="00DA5476">
            <w:pPr>
              <w:spacing w:before="120"/>
              <w:rPr>
                <w:sz w:val="16"/>
                <w:szCs w:val="16"/>
                <w:lang w:val="sk-SK"/>
              </w:rPr>
            </w:pPr>
          </w:p>
        </w:tc>
        <w:tc>
          <w:tcPr>
            <w:tcW w:w="6663" w:type="dxa"/>
            <w:gridSpan w:val="5"/>
            <w:tcBorders>
              <w:top w:val="single" w:sz="4" w:space="0" w:color="auto"/>
              <w:bottom w:val="single" w:sz="4" w:space="0" w:color="auto"/>
              <w:right w:val="single" w:sz="4" w:space="0" w:color="auto"/>
            </w:tcBorders>
            <w:shd w:val="clear" w:color="auto" w:fill="FFFF00"/>
          </w:tcPr>
          <w:p w:rsidR="00DA5476" w:rsidRPr="00EA237A" w:rsidRDefault="00DA5476" w:rsidP="00DA5476">
            <w:pPr>
              <w:spacing w:before="60"/>
              <w:rPr>
                <w:sz w:val="16"/>
                <w:szCs w:val="16"/>
                <w:lang w:val="sk-SK"/>
              </w:rPr>
            </w:pPr>
            <w:r w:rsidRPr="00EA237A">
              <w:rPr>
                <w:sz w:val="16"/>
                <w:szCs w:val="16"/>
                <w:lang w:val="sk-SK"/>
              </w:rPr>
              <w:t>Neustály zber a pripravenosť identifikovaných dát a informácií</w:t>
            </w:r>
          </w:p>
          <w:p w:rsidR="00DA5476" w:rsidRPr="00EA237A" w:rsidRDefault="00DA5476" w:rsidP="00DA5476">
            <w:pPr>
              <w:spacing w:before="60" w:after="60"/>
              <w:rPr>
                <w:sz w:val="16"/>
                <w:szCs w:val="16"/>
                <w:lang w:val="sk-SK"/>
              </w:rPr>
            </w:pPr>
            <w:r w:rsidRPr="00EA237A">
              <w:rPr>
                <w:sz w:val="16"/>
                <w:szCs w:val="16"/>
                <w:lang w:val="sk-SK"/>
              </w:rPr>
              <w:t xml:space="preserve">Dodatočný zber dát v závislosti od rozvoja metód a ďalších základných prác potrebných ku kompletizácii </w:t>
            </w:r>
            <w:r>
              <w:rPr>
                <w:sz w:val="16"/>
                <w:szCs w:val="16"/>
                <w:lang w:val="sk-SK"/>
              </w:rPr>
              <w:t>výsledkových a dopadových</w:t>
            </w:r>
            <w:r w:rsidRPr="00EA237A">
              <w:rPr>
                <w:sz w:val="16"/>
                <w:szCs w:val="16"/>
                <w:lang w:val="sk-SK"/>
              </w:rPr>
              <w:t xml:space="preserve"> ukazovateľov. Tvorby mikrodátových viet k špeciálnym otázkam.  </w:t>
            </w:r>
          </w:p>
        </w:tc>
      </w:tr>
      <w:tr w:rsidR="00DA5476" w:rsidRPr="00EA237A" w:rsidTr="00DA5476">
        <w:trPr>
          <w:trHeight w:val="600"/>
        </w:trPr>
        <w:tc>
          <w:tcPr>
            <w:tcW w:w="1190" w:type="dxa"/>
            <w:tcBorders>
              <w:top w:val="single" w:sz="4" w:space="0" w:color="auto"/>
              <w:bottom w:val="nil"/>
              <w:right w:val="single" w:sz="4" w:space="0" w:color="auto"/>
            </w:tcBorders>
            <w:shd w:val="clear" w:color="auto" w:fill="EAF1DD" w:themeFill="accent3" w:themeFillTint="33"/>
          </w:tcPr>
          <w:p w:rsidR="00DA5476" w:rsidRPr="00EA237A" w:rsidRDefault="00DA5476" w:rsidP="00DA5476">
            <w:pPr>
              <w:spacing w:before="60"/>
              <w:rPr>
                <w:sz w:val="16"/>
                <w:szCs w:val="16"/>
                <w:lang w:val="sk-SK"/>
              </w:rPr>
            </w:pPr>
            <w:r>
              <w:rPr>
                <w:sz w:val="16"/>
                <w:szCs w:val="16"/>
                <w:lang w:val="sk-SK"/>
              </w:rPr>
              <w:t>Príprava hodnotiacich aktivít</w:t>
            </w:r>
            <w:r w:rsidRPr="00EA237A">
              <w:rPr>
                <w:sz w:val="16"/>
                <w:szCs w:val="16"/>
                <w:lang w:val="sk-SK"/>
              </w:rPr>
              <w:t xml:space="preserve"> </w:t>
            </w:r>
          </w:p>
        </w:tc>
        <w:tc>
          <w:tcPr>
            <w:tcW w:w="2320" w:type="dxa"/>
            <w:tcBorders>
              <w:top w:val="single" w:sz="4" w:space="0" w:color="auto"/>
              <w:bottom w:val="single" w:sz="4" w:space="0" w:color="auto"/>
              <w:right w:val="single" w:sz="4" w:space="0" w:color="auto"/>
            </w:tcBorders>
            <w:shd w:val="clear" w:color="auto" w:fill="EAF1DD" w:themeFill="accent3" w:themeFillTint="33"/>
          </w:tcPr>
          <w:p w:rsidR="00DA5476" w:rsidRPr="00EA237A" w:rsidRDefault="00DA5476" w:rsidP="00DA5476">
            <w:pPr>
              <w:spacing w:before="60" w:after="60"/>
              <w:rPr>
                <w:sz w:val="16"/>
                <w:szCs w:val="16"/>
                <w:lang w:val="sk-SK"/>
              </w:rPr>
            </w:pPr>
            <w:r>
              <w:rPr>
                <w:sz w:val="16"/>
                <w:szCs w:val="16"/>
                <w:lang w:val="sk-SK"/>
              </w:rPr>
              <w:t>Zabezpečenie procesu verejného  obstarávania</w:t>
            </w:r>
          </w:p>
          <w:p w:rsidR="00DA5476" w:rsidRPr="00EA237A" w:rsidRDefault="00DA5476" w:rsidP="00DA5476">
            <w:pPr>
              <w:spacing w:before="60" w:after="60"/>
              <w:rPr>
                <w:sz w:val="16"/>
                <w:szCs w:val="16"/>
                <w:lang w:val="sk-SK"/>
              </w:rPr>
            </w:pPr>
            <w:r w:rsidRPr="00EA237A">
              <w:rPr>
                <w:sz w:val="16"/>
                <w:szCs w:val="16"/>
                <w:lang w:val="sk-SK"/>
              </w:rPr>
              <w:t>Zadávanie externých štúdií</w:t>
            </w:r>
          </w:p>
        </w:tc>
        <w:tc>
          <w:tcPr>
            <w:tcW w:w="6663" w:type="dxa"/>
            <w:gridSpan w:val="5"/>
            <w:tcBorders>
              <w:top w:val="single" w:sz="4" w:space="0" w:color="auto"/>
              <w:bottom w:val="single" w:sz="4" w:space="0" w:color="auto"/>
              <w:right w:val="single" w:sz="4" w:space="0" w:color="auto"/>
            </w:tcBorders>
            <w:shd w:val="clear" w:color="auto" w:fill="EAF1DD" w:themeFill="accent3" w:themeFillTint="33"/>
          </w:tcPr>
          <w:p w:rsidR="00DA5476" w:rsidRPr="00EA237A" w:rsidRDefault="00DA5476" w:rsidP="00DA5476">
            <w:pPr>
              <w:spacing w:before="60"/>
              <w:rPr>
                <w:sz w:val="16"/>
                <w:szCs w:val="16"/>
                <w:lang w:val="sk-SK"/>
              </w:rPr>
            </w:pPr>
            <w:r w:rsidRPr="00EA237A">
              <w:rPr>
                <w:sz w:val="16"/>
                <w:szCs w:val="16"/>
                <w:lang w:val="sk-SK"/>
              </w:rPr>
              <w:t>Ďalšie zadávanie externých štúdií a hodnotení k špecifickým témam</w:t>
            </w:r>
          </w:p>
        </w:tc>
      </w:tr>
      <w:tr w:rsidR="00DA5476" w:rsidRPr="00EA237A" w:rsidTr="00DA5476">
        <w:trPr>
          <w:trHeight w:val="600"/>
        </w:trPr>
        <w:tc>
          <w:tcPr>
            <w:tcW w:w="1190" w:type="dxa"/>
            <w:tcBorders>
              <w:top w:val="single" w:sz="4" w:space="0" w:color="auto"/>
              <w:bottom w:val="single" w:sz="4" w:space="0" w:color="auto"/>
              <w:right w:val="single" w:sz="4" w:space="0" w:color="auto"/>
            </w:tcBorders>
            <w:shd w:val="clear" w:color="auto" w:fill="CCC0D9" w:themeFill="accent4" w:themeFillTint="66"/>
          </w:tcPr>
          <w:p w:rsidR="00DA5476" w:rsidRPr="00EA237A" w:rsidRDefault="00DA5476" w:rsidP="00DA5476">
            <w:pPr>
              <w:spacing w:before="60" w:after="120"/>
              <w:rPr>
                <w:sz w:val="16"/>
                <w:szCs w:val="16"/>
                <w:lang w:val="sk-SK"/>
              </w:rPr>
            </w:pPr>
            <w:r w:rsidRPr="00EA237A">
              <w:rPr>
                <w:sz w:val="16"/>
                <w:szCs w:val="16"/>
                <w:lang w:val="sk-SK"/>
              </w:rPr>
              <w:t>Stanovenie štruktúry procesu hodnotenia</w:t>
            </w:r>
          </w:p>
        </w:tc>
        <w:tc>
          <w:tcPr>
            <w:tcW w:w="2320" w:type="dxa"/>
            <w:tcBorders>
              <w:top w:val="single" w:sz="4" w:space="0" w:color="auto"/>
              <w:bottom w:val="single" w:sz="4" w:space="0" w:color="auto"/>
              <w:right w:val="single" w:sz="4" w:space="0" w:color="auto"/>
            </w:tcBorders>
            <w:shd w:val="clear" w:color="auto" w:fill="CCC0D9" w:themeFill="accent4" w:themeFillTint="66"/>
          </w:tcPr>
          <w:p w:rsidR="00DA5476" w:rsidRPr="00EA237A" w:rsidRDefault="00DA5476" w:rsidP="00DA5476">
            <w:pPr>
              <w:spacing w:before="60"/>
              <w:rPr>
                <w:sz w:val="16"/>
                <w:szCs w:val="16"/>
                <w:lang w:val="sk-SK"/>
              </w:rPr>
            </w:pPr>
            <w:r w:rsidRPr="00EA237A">
              <w:rPr>
                <w:sz w:val="16"/>
                <w:szCs w:val="16"/>
                <w:lang w:val="sk-SK"/>
              </w:rPr>
              <w:t xml:space="preserve">Určenie náplne hodnotenia a výkonnostného rámca </w:t>
            </w:r>
          </w:p>
        </w:tc>
        <w:tc>
          <w:tcPr>
            <w:tcW w:w="6663" w:type="dxa"/>
            <w:gridSpan w:val="5"/>
            <w:tcBorders>
              <w:top w:val="single" w:sz="4" w:space="0" w:color="auto"/>
              <w:bottom w:val="single" w:sz="4" w:space="0" w:color="auto"/>
              <w:right w:val="single" w:sz="4" w:space="0" w:color="auto"/>
            </w:tcBorders>
            <w:shd w:val="clear" w:color="auto" w:fill="CCC0D9" w:themeFill="accent4" w:themeFillTint="66"/>
          </w:tcPr>
          <w:p w:rsidR="00DA5476" w:rsidRPr="00EA237A" w:rsidRDefault="00DA5476" w:rsidP="00DA5476">
            <w:pPr>
              <w:spacing w:before="60"/>
              <w:rPr>
                <w:sz w:val="16"/>
                <w:szCs w:val="16"/>
                <w:lang w:val="sk-SK"/>
              </w:rPr>
            </w:pPr>
            <w:r w:rsidRPr="00EA237A">
              <w:rPr>
                <w:sz w:val="16"/>
                <w:szCs w:val="16"/>
                <w:lang w:val="sk-SK"/>
              </w:rPr>
              <w:t xml:space="preserve">Neustála kontrola a úprava výkonnostného rámca podľa zodpovedania hodnotiacich otázok a ukazovateľov </w:t>
            </w:r>
          </w:p>
          <w:p w:rsidR="00DA5476" w:rsidRPr="00EA237A" w:rsidRDefault="00DA5476" w:rsidP="00DA5476">
            <w:pPr>
              <w:spacing w:before="120"/>
              <w:rPr>
                <w:sz w:val="16"/>
                <w:szCs w:val="16"/>
                <w:lang w:val="sk-SK"/>
              </w:rPr>
            </w:pPr>
            <w:r w:rsidRPr="00EA237A">
              <w:rPr>
                <w:sz w:val="16"/>
                <w:szCs w:val="16"/>
                <w:lang w:val="sk-SK"/>
              </w:rPr>
              <w:t xml:space="preserve">Vývoj metód </w:t>
            </w:r>
          </w:p>
        </w:tc>
      </w:tr>
      <w:tr w:rsidR="00DA5476" w:rsidRPr="00EA237A" w:rsidTr="00DA5476">
        <w:trPr>
          <w:trHeight w:val="600"/>
        </w:trPr>
        <w:tc>
          <w:tcPr>
            <w:tcW w:w="1190" w:type="dxa"/>
            <w:tcBorders>
              <w:top w:val="single" w:sz="4" w:space="0" w:color="auto"/>
              <w:bottom w:val="single" w:sz="4" w:space="0" w:color="auto"/>
              <w:right w:val="single" w:sz="4" w:space="0" w:color="auto"/>
            </w:tcBorders>
            <w:shd w:val="clear" w:color="auto" w:fill="FFC000"/>
          </w:tcPr>
          <w:p w:rsidR="00DA5476" w:rsidRPr="00EA237A" w:rsidRDefault="00DA5476" w:rsidP="00DA5476">
            <w:pPr>
              <w:spacing w:before="60"/>
              <w:rPr>
                <w:sz w:val="16"/>
                <w:szCs w:val="16"/>
                <w:lang w:val="sk-SK"/>
              </w:rPr>
            </w:pPr>
            <w:r w:rsidRPr="00EA237A">
              <w:rPr>
                <w:sz w:val="16"/>
                <w:szCs w:val="16"/>
                <w:lang w:val="sk-SK"/>
              </w:rPr>
              <w:t>Monitoring</w:t>
            </w:r>
          </w:p>
        </w:tc>
        <w:tc>
          <w:tcPr>
            <w:tcW w:w="8983" w:type="dxa"/>
            <w:gridSpan w:val="6"/>
            <w:tcBorders>
              <w:top w:val="single" w:sz="4" w:space="0" w:color="auto"/>
              <w:bottom w:val="single" w:sz="4" w:space="0" w:color="auto"/>
              <w:right w:val="single" w:sz="4" w:space="0" w:color="auto"/>
            </w:tcBorders>
            <w:shd w:val="clear" w:color="auto" w:fill="FFC000"/>
          </w:tcPr>
          <w:p w:rsidR="00DA5476" w:rsidRPr="00EA237A" w:rsidRDefault="00DA5476" w:rsidP="00DA5476">
            <w:pPr>
              <w:rPr>
                <w:sz w:val="16"/>
                <w:szCs w:val="16"/>
                <w:lang w:val="sk-SK"/>
              </w:rPr>
            </w:pPr>
            <w:r>
              <w:rPr>
                <w:sz w:val="16"/>
                <w:szCs w:val="16"/>
                <w:lang w:val="sk-SK"/>
              </w:rPr>
              <w:t>Poskytovanie informácií z hodnotenia pre potreby monitorovania programu</w:t>
            </w:r>
            <w:r w:rsidRPr="00EA237A">
              <w:rPr>
                <w:sz w:val="16"/>
                <w:szCs w:val="16"/>
                <w:lang w:val="sk-SK"/>
              </w:rPr>
              <w:t xml:space="preserve">   </w:t>
            </w:r>
          </w:p>
        </w:tc>
      </w:tr>
      <w:tr w:rsidR="00DA5476" w:rsidRPr="00EA237A" w:rsidTr="00DA5476">
        <w:trPr>
          <w:trHeight w:val="600"/>
        </w:trPr>
        <w:tc>
          <w:tcPr>
            <w:tcW w:w="1190" w:type="dxa"/>
            <w:tcBorders>
              <w:top w:val="single" w:sz="4" w:space="0" w:color="auto"/>
              <w:bottom w:val="single" w:sz="4" w:space="0" w:color="auto"/>
              <w:right w:val="single" w:sz="4" w:space="0" w:color="auto"/>
            </w:tcBorders>
            <w:shd w:val="clear" w:color="auto" w:fill="00FFFF"/>
          </w:tcPr>
          <w:p w:rsidR="00DA5476" w:rsidRPr="00EA237A" w:rsidRDefault="00DA5476" w:rsidP="00DA5476">
            <w:pPr>
              <w:spacing w:before="60"/>
              <w:rPr>
                <w:sz w:val="16"/>
                <w:szCs w:val="16"/>
                <w:lang w:val="sk-SK"/>
              </w:rPr>
            </w:pPr>
            <w:r>
              <w:rPr>
                <w:sz w:val="16"/>
                <w:szCs w:val="16"/>
                <w:lang w:val="sk-SK"/>
              </w:rPr>
              <w:t>Komunikačné aktivity</w:t>
            </w:r>
          </w:p>
        </w:tc>
        <w:tc>
          <w:tcPr>
            <w:tcW w:w="8983" w:type="dxa"/>
            <w:gridSpan w:val="6"/>
            <w:tcBorders>
              <w:top w:val="single" w:sz="4" w:space="0" w:color="auto"/>
              <w:bottom w:val="single" w:sz="4" w:space="0" w:color="auto"/>
              <w:right w:val="single" w:sz="4" w:space="0" w:color="auto"/>
            </w:tcBorders>
            <w:shd w:val="clear" w:color="auto" w:fill="00FFFF"/>
          </w:tcPr>
          <w:p w:rsidR="00DA5476" w:rsidRDefault="00DA5476" w:rsidP="00DA5476">
            <w:pPr>
              <w:spacing w:before="60"/>
              <w:rPr>
                <w:sz w:val="16"/>
                <w:szCs w:val="16"/>
                <w:lang w:val="sk-SK"/>
              </w:rPr>
            </w:pPr>
            <w:r>
              <w:rPr>
                <w:sz w:val="16"/>
                <w:szCs w:val="16"/>
                <w:lang w:val="sk-SK"/>
              </w:rPr>
              <w:t>Komunikácia so zástupcami Európskej Komisie</w:t>
            </w:r>
          </w:p>
          <w:p w:rsidR="00DA5476" w:rsidRDefault="00DA5476" w:rsidP="00DA5476">
            <w:pPr>
              <w:spacing w:before="60"/>
              <w:rPr>
                <w:sz w:val="16"/>
                <w:szCs w:val="16"/>
                <w:lang w:val="sk-SK"/>
              </w:rPr>
            </w:pPr>
            <w:r>
              <w:rPr>
                <w:sz w:val="16"/>
                <w:szCs w:val="16"/>
                <w:lang w:val="sk-SK"/>
              </w:rPr>
              <w:t>Komunikácia so zástupcami CKO</w:t>
            </w:r>
          </w:p>
          <w:p w:rsidR="00DA5476" w:rsidRPr="00EA237A" w:rsidRDefault="00DA5476" w:rsidP="00DA5476">
            <w:pPr>
              <w:spacing w:before="60"/>
              <w:rPr>
                <w:sz w:val="16"/>
                <w:szCs w:val="16"/>
                <w:lang w:val="sk-SK"/>
              </w:rPr>
            </w:pPr>
            <w:r>
              <w:rPr>
                <w:sz w:val="16"/>
                <w:szCs w:val="16"/>
                <w:lang w:val="sk-SK"/>
              </w:rPr>
              <w:t xml:space="preserve">Komunikácia s relevantnými aktérmi PRV vrátane širokej verejnosti </w:t>
            </w:r>
            <w:r w:rsidRPr="00EA237A">
              <w:rPr>
                <w:sz w:val="16"/>
                <w:szCs w:val="16"/>
                <w:lang w:val="sk-SK"/>
              </w:rPr>
              <w:t xml:space="preserve"> </w:t>
            </w:r>
          </w:p>
        </w:tc>
      </w:tr>
    </w:tbl>
    <w:p w:rsidR="00DA5476" w:rsidRDefault="00DA5476" w:rsidP="008676F9">
      <w:pPr>
        <w:spacing w:before="120" w:after="200"/>
        <w:rPr>
          <w:rFonts w:ascii="Calibri" w:hAnsi="Calibri"/>
          <w:szCs w:val="22"/>
        </w:rPr>
      </w:pPr>
    </w:p>
    <w:p w:rsidR="008676F9" w:rsidRDefault="008676F9" w:rsidP="008676F9">
      <w:pPr>
        <w:spacing w:before="120" w:after="200"/>
        <w:rPr>
          <w:rFonts w:ascii="Calibri" w:hAnsi="Calibri"/>
          <w:szCs w:val="22"/>
        </w:rPr>
      </w:pPr>
      <w:r w:rsidRPr="008676F9">
        <w:rPr>
          <w:rFonts w:ascii="Calibri" w:hAnsi="Calibri"/>
          <w:szCs w:val="22"/>
        </w:rPr>
        <w:t>Pre zabezpečenie vyššie uvedených výstupov v požadovaných termínoch je vhodné plánovať prípravné aktivity prostredníctvom metódy „retro“ ihneď na začiatku nového programového obdobia.</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985"/>
        <w:gridCol w:w="4535"/>
        <w:gridCol w:w="1276"/>
        <w:gridCol w:w="1383"/>
      </w:tblGrid>
      <w:tr w:rsidR="008676F9" w:rsidRPr="008676F9" w:rsidTr="00BB33FC">
        <w:tc>
          <w:tcPr>
            <w:tcW w:w="1985" w:type="dxa"/>
            <w:shd w:val="clear" w:color="auto" w:fill="DAEEF3"/>
            <w:vAlign w:val="center"/>
          </w:tcPr>
          <w:p w:rsidR="008676F9" w:rsidRPr="008676F9" w:rsidRDefault="008676F9" w:rsidP="008676F9">
            <w:pPr>
              <w:contextualSpacing/>
              <w:jc w:val="center"/>
              <w:rPr>
                <w:rFonts w:ascii="Calibri" w:hAnsi="Calibri"/>
                <w:b/>
                <w:sz w:val="20"/>
                <w:szCs w:val="20"/>
              </w:rPr>
            </w:pPr>
            <w:r w:rsidRPr="008676F9">
              <w:rPr>
                <w:rFonts w:ascii="Calibri" w:hAnsi="Calibri"/>
                <w:b/>
                <w:sz w:val="20"/>
                <w:szCs w:val="20"/>
              </w:rPr>
              <w:t>Etapa</w:t>
            </w:r>
          </w:p>
        </w:tc>
        <w:tc>
          <w:tcPr>
            <w:tcW w:w="4536" w:type="dxa"/>
            <w:shd w:val="clear" w:color="auto" w:fill="DAEEF3"/>
            <w:vAlign w:val="center"/>
          </w:tcPr>
          <w:p w:rsidR="008676F9" w:rsidRPr="008676F9" w:rsidRDefault="008676F9" w:rsidP="008676F9">
            <w:pPr>
              <w:contextualSpacing/>
              <w:jc w:val="center"/>
              <w:rPr>
                <w:rFonts w:ascii="Calibri" w:hAnsi="Calibri"/>
                <w:b/>
                <w:sz w:val="20"/>
                <w:szCs w:val="20"/>
              </w:rPr>
            </w:pPr>
            <w:r w:rsidRPr="008676F9">
              <w:rPr>
                <w:rFonts w:ascii="Calibri" w:hAnsi="Calibri"/>
                <w:b/>
                <w:sz w:val="20"/>
                <w:szCs w:val="20"/>
              </w:rPr>
              <w:t>Aktivity</w:t>
            </w:r>
          </w:p>
        </w:tc>
        <w:tc>
          <w:tcPr>
            <w:tcW w:w="1276" w:type="dxa"/>
            <w:shd w:val="clear" w:color="auto" w:fill="DAEEF3"/>
            <w:vAlign w:val="center"/>
          </w:tcPr>
          <w:p w:rsidR="008676F9" w:rsidRPr="008676F9" w:rsidRDefault="008676F9" w:rsidP="008676F9">
            <w:pPr>
              <w:contextualSpacing/>
              <w:jc w:val="center"/>
              <w:rPr>
                <w:rFonts w:ascii="Calibri" w:hAnsi="Calibri"/>
                <w:b/>
                <w:sz w:val="20"/>
                <w:szCs w:val="20"/>
              </w:rPr>
            </w:pPr>
            <w:r w:rsidRPr="008676F9">
              <w:rPr>
                <w:rFonts w:ascii="Calibri" w:hAnsi="Calibri"/>
                <w:b/>
                <w:sz w:val="20"/>
                <w:szCs w:val="20"/>
              </w:rPr>
              <w:t>Trvanie</w:t>
            </w:r>
          </w:p>
          <w:p w:rsidR="008676F9" w:rsidRPr="008676F9" w:rsidRDefault="008676F9" w:rsidP="008676F9">
            <w:pPr>
              <w:contextualSpacing/>
              <w:jc w:val="center"/>
              <w:rPr>
                <w:rFonts w:ascii="Calibri" w:hAnsi="Calibri"/>
                <w:b/>
                <w:sz w:val="20"/>
                <w:szCs w:val="20"/>
              </w:rPr>
            </w:pPr>
            <w:r w:rsidRPr="008676F9">
              <w:rPr>
                <w:rFonts w:ascii="Calibri" w:hAnsi="Calibri"/>
                <w:b/>
                <w:sz w:val="20"/>
                <w:szCs w:val="20"/>
              </w:rPr>
              <w:t>(mesiace)</w:t>
            </w:r>
          </w:p>
        </w:tc>
        <w:tc>
          <w:tcPr>
            <w:tcW w:w="1383" w:type="dxa"/>
            <w:shd w:val="clear" w:color="auto" w:fill="DAEEF3"/>
            <w:vAlign w:val="center"/>
          </w:tcPr>
          <w:p w:rsidR="008676F9" w:rsidRPr="008676F9" w:rsidRDefault="008676F9" w:rsidP="008676F9">
            <w:pPr>
              <w:contextualSpacing/>
              <w:jc w:val="center"/>
              <w:rPr>
                <w:rFonts w:ascii="Calibri" w:hAnsi="Calibri"/>
                <w:b/>
                <w:sz w:val="20"/>
                <w:szCs w:val="20"/>
              </w:rPr>
            </w:pPr>
            <w:r w:rsidRPr="008676F9">
              <w:rPr>
                <w:rFonts w:ascii="Calibri" w:hAnsi="Calibri"/>
                <w:b/>
                <w:sz w:val="20"/>
                <w:szCs w:val="20"/>
              </w:rPr>
              <w:t>Termín</w:t>
            </w:r>
          </w:p>
        </w:tc>
      </w:tr>
      <w:tr w:rsidR="008676F9" w:rsidRPr="008676F9" w:rsidTr="00BB33FC">
        <w:tc>
          <w:tcPr>
            <w:tcW w:w="1985" w:type="dxa"/>
            <w:vMerge w:val="restart"/>
          </w:tcPr>
          <w:p w:rsidR="008676F9" w:rsidRPr="008676F9" w:rsidRDefault="008676F9" w:rsidP="008676F9">
            <w:pPr>
              <w:spacing w:before="120"/>
              <w:contextualSpacing/>
              <w:rPr>
                <w:rFonts w:ascii="Calibri" w:hAnsi="Calibri"/>
                <w:sz w:val="20"/>
                <w:szCs w:val="20"/>
              </w:rPr>
            </w:pPr>
            <w:r w:rsidRPr="008676F9">
              <w:rPr>
                <w:rFonts w:ascii="Calibri" w:hAnsi="Calibri"/>
                <w:sz w:val="20"/>
                <w:szCs w:val="20"/>
              </w:rPr>
              <w:t>Rozosielanie</w:t>
            </w:r>
          </w:p>
        </w:tc>
        <w:tc>
          <w:tcPr>
            <w:tcW w:w="4536" w:type="dxa"/>
          </w:tcPr>
          <w:p w:rsidR="008676F9" w:rsidRPr="008676F9" w:rsidRDefault="008676F9" w:rsidP="008676F9">
            <w:pPr>
              <w:spacing w:before="120"/>
              <w:contextualSpacing/>
              <w:rPr>
                <w:rFonts w:ascii="Calibri" w:hAnsi="Calibri"/>
                <w:sz w:val="20"/>
                <w:szCs w:val="20"/>
              </w:rPr>
            </w:pPr>
            <w:r w:rsidRPr="008676F9">
              <w:rPr>
                <w:rFonts w:ascii="Calibri" w:hAnsi="Calibri"/>
                <w:sz w:val="20"/>
                <w:szCs w:val="20"/>
              </w:rPr>
              <w:t>Požadovaný dátum poskytnutia výsledkov</w:t>
            </w:r>
          </w:p>
        </w:tc>
        <w:tc>
          <w:tcPr>
            <w:tcW w:w="1276" w:type="dxa"/>
          </w:tcPr>
          <w:p w:rsidR="008676F9" w:rsidRPr="008676F9" w:rsidRDefault="008676F9" w:rsidP="008676F9">
            <w:pPr>
              <w:spacing w:before="120"/>
              <w:contextualSpacing/>
              <w:rPr>
                <w:rFonts w:ascii="Calibri" w:hAnsi="Calibri"/>
                <w:sz w:val="20"/>
                <w:szCs w:val="20"/>
              </w:rPr>
            </w:pPr>
          </w:p>
        </w:tc>
        <w:tc>
          <w:tcPr>
            <w:tcW w:w="1383" w:type="dxa"/>
          </w:tcPr>
          <w:p w:rsidR="008676F9" w:rsidRPr="008676F9" w:rsidRDefault="008676F9" w:rsidP="008676F9">
            <w:pPr>
              <w:spacing w:before="120"/>
              <w:contextualSpacing/>
              <w:rPr>
                <w:rFonts w:ascii="Calibri" w:hAnsi="Calibri"/>
                <w:sz w:val="20"/>
                <w:szCs w:val="20"/>
              </w:rPr>
            </w:pPr>
          </w:p>
        </w:tc>
      </w:tr>
      <w:tr w:rsidR="008676F9" w:rsidRPr="008676F9" w:rsidTr="00BB33FC">
        <w:tc>
          <w:tcPr>
            <w:tcW w:w="1985" w:type="dxa"/>
            <w:vMerge/>
          </w:tcPr>
          <w:p w:rsidR="008676F9" w:rsidRPr="008676F9" w:rsidRDefault="008676F9" w:rsidP="008676F9">
            <w:pPr>
              <w:spacing w:before="120"/>
              <w:contextualSpacing/>
              <w:rPr>
                <w:rFonts w:ascii="Calibri" w:hAnsi="Calibri"/>
                <w:sz w:val="20"/>
                <w:szCs w:val="20"/>
              </w:rPr>
            </w:pPr>
          </w:p>
        </w:tc>
        <w:tc>
          <w:tcPr>
            <w:tcW w:w="4536" w:type="dxa"/>
          </w:tcPr>
          <w:p w:rsidR="008676F9" w:rsidRPr="008676F9" w:rsidRDefault="008676F9" w:rsidP="008676F9">
            <w:pPr>
              <w:spacing w:before="120"/>
              <w:contextualSpacing/>
              <w:rPr>
                <w:rFonts w:ascii="Calibri" w:hAnsi="Calibri"/>
                <w:sz w:val="20"/>
                <w:szCs w:val="20"/>
              </w:rPr>
            </w:pPr>
            <w:r w:rsidRPr="008676F9">
              <w:rPr>
                <w:rFonts w:ascii="Calibri" w:hAnsi="Calibri"/>
                <w:sz w:val="20"/>
                <w:szCs w:val="20"/>
              </w:rPr>
              <w:t>Schválenie správy, rozosielanie</w:t>
            </w:r>
          </w:p>
        </w:tc>
        <w:tc>
          <w:tcPr>
            <w:tcW w:w="1276" w:type="dxa"/>
          </w:tcPr>
          <w:p w:rsidR="008676F9" w:rsidRPr="008676F9" w:rsidRDefault="008676F9" w:rsidP="008676F9">
            <w:pPr>
              <w:spacing w:before="120"/>
              <w:contextualSpacing/>
              <w:rPr>
                <w:rFonts w:ascii="Calibri" w:hAnsi="Calibri"/>
                <w:sz w:val="20"/>
                <w:szCs w:val="20"/>
              </w:rPr>
            </w:pPr>
          </w:p>
        </w:tc>
        <w:tc>
          <w:tcPr>
            <w:tcW w:w="1383" w:type="dxa"/>
          </w:tcPr>
          <w:p w:rsidR="008676F9" w:rsidRPr="008676F9" w:rsidRDefault="008676F9" w:rsidP="008676F9">
            <w:pPr>
              <w:spacing w:before="120"/>
              <w:contextualSpacing/>
              <w:rPr>
                <w:rFonts w:ascii="Calibri" w:hAnsi="Calibri"/>
                <w:sz w:val="20"/>
                <w:szCs w:val="20"/>
              </w:rPr>
            </w:pPr>
          </w:p>
        </w:tc>
      </w:tr>
      <w:tr w:rsidR="008676F9" w:rsidRPr="008676F9" w:rsidTr="00BB33FC">
        <w:tc>
          <w:tcPr>
            <w:tcW w:w="1985" w:type="dxa"/>
            <w:vMerge w:val="restart"/>
          </w:tcPr>
          <w:p w:rsidR="008676F9" w:rsidRPr="008676F9" w:rsidRDefault="008676F9" w:rsidP="008676F9">
            <w:pPr>
              <w:spacing w:before="120"/>
              <w:contextualSpacing/>
              <w:rPr>
                <w:rFonts w:ascii="Calibri" w:hAnsi="Calibri"/>
                <w:sz w:val="20"/>
                <w:szCs w:val="20"/>
              </w:rPr>
            </w:pPr>
            <w:r w:rsidRPr="008676F9">
              <w:rPr>
                <w:rFonts w:ascii="Calibri" w:hAnsi="Calibri"/>
                <w:sz w:val="20"/>
                <w:szCs w:val="20"/>
              </w:rPr>
              <w:t>Implementácia</w:t>
            </w:r>
          </w:p>
        </w:tc>
        <w:tc>
          <w:tcPr>
            <w:tcW w:w="4536" w:type="dxa"/>
          </w:tcPr>
          <w:p w:rsidR="008676F9" w:rsidRPr="008676F9" w:rsidRDefault="008676F9" w:rsidP="008676F9">
            <w:pPr>
              <w:spacing w:before="120"/>
              <w:contextualSpacing/>
              <w:rPr>
                <w:rFonts w:ascii="Calibri" w:hAnsi="Calibri"/>
                <w:sz w:val="20"/>
                <w:szCs w:val="20"/>
              </w:rPr>
            </w:pPr>
            <w:r w:rsidRPr="008676F9">
              <w:rPr>
                <w:rFonts w:ascii="Calibri" w:hAnsi="Calibri"/>
                <w:sz w:val="20"/>
                <w:szCs w:val="20"/>
              </w:rPr>
              <w:t>Posúdenie kvality záverečnej správy</w:t>
            </w:r>
          </w:p>
        </w:tc>
        <w:tc>
          <w:tcPr>
            <w:tcW w:w="1276" w:type="dxa"/>
          </w:tcPr>
          <w:p w:rsidR="008676F9" w:rsidRPr="008676F9" w:rsidRDefault="008676F9" w:rsidP="008676F9">
            <w:pPr>
              <w:spacing w:before="120"/>
              <w:contextualSpacing/>
              <w:rPr>
                <w:rFonts w:ascii="Calibri" w:hAnsi="Calibri"/>
                <w:sz w:val="20"/>
                <w:szCs w:val="20"/>
              </w:rPr>
            </w:pPr>
          </w:p>
        </w:tc>
        <w:tc>
          <w:tcPr>
            <w:tcW w:w="1383" w:type="dxa"/>
          </w:tcPr>
          <w:p w:rsidR="008676F9" w:rsidRPr="008676F9" w:rsidRDefault="008676F9" w:rsidP="008676F9">
            <w:pPr>
              <w:spacing w:before="120"/>
              <w:contextualSpacing/>
              <w:rPr>
                <w:rFonts w:ascii="Calibri" w:hAnsi="Calibri"/>
                <w:sz w:val="20"/>
                <w:szCs w:val="20"/>
              </w:rPr>
            </w:pPr>
          </w:p>
        </w:tc>
      </w:tr>
      <w:tr w:rsidR="008676F9" w:rsidRPr="008676F9" w:rsidTr="00BB33FC">
        <w:tc>
          <w:tcPr>
            <w:tcW w:w="1985" w:type="dxa"/>
            <w:vMerge/>
          </w:tcPr>
          <w:p w:rsidR="008676F9" w:rsidRPr="008676F9" w:rsidRDefault="008676F9" w:rsidP="008676F9">
            <w:pPr>
              <w:spacing w:before="120"/>
              <w:contextualSpacing/>
              <w:rPr>
                <w:rFonts w:ascii="Calibri" w:hAnsi="Calibri"/>
                <w:sz w:val="20"/>
                <w:szCs w:val="20"/>
              </w:rPr>
            </w:pPr>
          </w:p>
        </w:tc>
        <w:tc>
          <w:tcPr>
            <w:tcW w:w="4536" w:type="dxa"/>
          </w:tcPr>
          <w:p w:rsidR="008676F9" w:rsidRPr="008676F9" w:rsidRDefault="008676F9" w:rsidP="008676F9">
            <w:pPr>
              <w:spacing w:before="120"/>
              <w:contextualSpacing/>
              <w:rPr>
                <w:rFonts w:ascii="Calibri" w:hAnsi="Calibri"/>
                <w:sz w:val="20"/>
                <w:szCs w:val="20"/>
              </w:rPr>
            </w:pPr>
            <w:r w:rsidRPr="008676F9">
              <w:rPr>
                <w:rFonts w:ascii="Calibri" w:hAnsi="Calibri"/>
                <w:sz w:val="20"/>
                <w:szCs w:val="20"/>
              </w:rPr>
              <w:t>Predloženie záverečnej správy</w:t>
            </w:r>
          </w:p>
        </w:tc>
        <w:tc>
          <w:tcPr>
            <w:tcW w:w="1276" w:type="dxa"/>
          </w:tcPr>
          <w:p w:rsidR="008676F9" w:rsidRPr="008676F9" w:rsidRDefault="008676F9" w:rsidP="008676F9">
            <w:pPr>
              <w:spacing w:before="120"/>
              <w:contextualSpacing/>
              <w:rPr>
                <w:rFonts w:ascii="Calibri" w:hAnsi="Calibri"/>
                <w:sz w:val="20"/>
                <w:szCs w:val="20"/>
              </w:rPr>
            </w:pPr>
          </w:p>
        </w:tc>
        <w:tc>
          <w:tcPr>
            <w:tcW w:w="1383" w:type="dxa"/>
          </w:tcPr>
          <w:p w:rsidR="008676F9" w:rsidRPr="008676F9" w:rsidRDefault="008676F9" w:rsidP="008676F9">
            <w:pPr>
              <w:spacing w:before="120"/>
              <w:contextualSpacing/>
              <w:rPr>
                <w:rFonts w:ascii="Calibri" w:hAnsi="Calibri"/>
                <w:sz w:val="20"/>
                <w:szCs w:val="20"/>
              </w:rPr>
            </w:pPr>
          </w:p>
        </w:tc>
      </w:tr>
      <w:tr w:rsidR="008676F9" w:rsidRPr="008676F9" w:rsidTr="00BB33FC">
        <w:tc>
          <w:tcPr>
            <w:tcW w:w="1985" w:type="dxa"/>
            <w:vMerge/>
          </w:tcPr>
          <w:p w:rsidR="008676F9" w:rsidRPr="008676F9" w:rsidRDefault="008676F9" w:rsidP="008676F9">
            <w:pPr>
              <w:spacing w:before="120"/>
              <w:contextualSpacing/>
              <w:rPr>
                <w:rFonts w:ascii="Calibri" w:hAnsi="Calibri"/>
                <w:sz w:val="20"/>
                <w:szCs w:val="20"/>
              </w:rPr>
            </w:pPr>
          </w:p>
        </w:tc>
        <w:tc>
          <w:tcPr>
            <w:tcW w:w="4536" w:type="dxa"/>
          </w:tcPr>
          <w:p w:rsidR="008676F9" w:rsidRPr="008676F9" w:rsidRDefault="008676F9" w:rsidP="008676F9">
            <w:pPr>
              <w:spacing w:before="120"/>
              <w:contextualSpacing/>
              <w:rPr>
                <w:rFonts w:ascii="Calibri" w:hAnsi="Calibri"/>
                <w:sz w:val="20"/>
                <w:szCs w:val="20"/>
              </w:rPr>
            </w:pPr>
            <w:r w:rsidRPr="008676F9">
              <w:rPr>
                <w:rFonts w:ascii="Calibri" w:hAnsi="Calibri"/>
                <w:sz w:val="20"/>
                <w:szCs w:val="20"/>
              </w:rPr>
              <w:t>Predloženie návrh záverečnej správy</w:t>
            </w:r>
          </w:p>
        </w:tc>
        <w:tc>
          <w:tcPr>
            <w:tcW w:w="1276" w:type="dxa"/>
          </w:tcPr>
          <w:p w:rsidR="008676F9" w:rsidRPr="008676F9" w:rsidRDefault="008676F9" w:rsidP="008676F9">
            <w:pPr>
              <w:spacing w:before="120"/>
              <w:contextualSpacing/>
              <w:rPr>
                <w:rFonts w:ascii="Calibri" w:hAnsi="Calibri"/>
                <w:sz w:val="20"/>
                <w:szCs w:val="20"/>
              </w:rPr>
            </w:pPr>
          </w:p>
        </w:tc>
        <w:tc>
          <w:tcPr>
            <w:tcW w:w="1383" w:type="dxa"/>
          </w:tcPr>
          <w:p w:rsidR="008676F9" w:rsidRPr="008676F9" w:rsidRDefault="008676F9" w:rsidP="008676F9">
            <w:pPr>
              <w:spacing w:before="120"/>
              <w:contextualSpacing/>
              <w:rPr>
                <w:rFonts w:ascii="Calibri" w:hAnsi="Calibri"/>
                <w:sz w:val="20"/>
                <w:szCs w:val="20"/>
              </w:rPr>
            </w:pPr>
          </w:p>
        </w:tc>
      </w:tr>
      <w:tr w:rsidR="008676F9" w:rsidRPr="008676F9" w:rsidTr="00BB33FC">
        <w:tc>
          <w:tcPr>
            <w:tcW w:w="1985" w:type="dxa"/>
            <w:vMerge/>
          </w:tcPr>
          <w:p w:rsidR="008676F9" w:rsidRPr="008676F9" w:rsidRDefault="008676F9" w:rsidP="008676F9">
            <w:pPr>
              <w:spacing w:before="120"/>
              <w:contextualSpacing/>
              <w:rPr>
                <w:rFonts w:ascii="Calibri" w:hAnsi="Calibri"/>
                <w:sz w:val="20"/>
                <w:szCs w:val="20"/>
              </w:rPr>
            </w:pPr>
          </w:p>
        </w:tc>
        <w:tc>
          <w:tcPr>
            <w:tcW w:w="4536" w:type="dxa"/>
          </w:tcPr>
          <w:p w:rsidR="008676F9" w:rsidRPr="008676F9" w:rsidRDefault="008676F9" w:rsidP="008676F9">
            <w:pPr>
              <w:spacing w:before="120"/>
              <w:contextualSpacing/>
              <w:rPr>
                <w:rFonts w:ascii="Calibri" w:hAnsi="Calibri"/>
                <w:sz w:val="20"/>
                <w:szCs w:val="20"/>
              </w:rPr>
            </w:pPr>
            <w:r w:rsidRPr="008676F9">
              <w:rPr>
                <w:rFonts w:ascii="Calibri" w:hAnsi="Calibri"/>
                <w:sz w:val="20"/>
                <w:szCs w:val="20"/>
              </w:rPr>
              <w:t>Predloženie priebežnej správy (správ)</w:t>
            </w:r>
          </w:p>
        </w:tc>
        <w:tc>
          <w:tcPr>
            <w:tcW w:w="1276" w:type="dxa"/>
          </w:tcPr>
          <w:p w:rsidR="008676F9" w:rsidRPr="008676F9" w:rsidRDefault="008676F9" w:rsidP="008676F9">
            <w:pPr>
              <w:spacing w:before="120"/>
              <w:contextualSpacing/>
              <w:rPr>
                <w:rFonts w:ascii="Calibri" w:hAnsi="Calibri"/>
                <w:sz w:val="20"/>
                <w:szCs w:val="20"/>
              </w:rPr>
            </w:pPr>
          </w:p>
        </w:tc>
        <w:tc>
          <w:tcPr>
            <w:tcW w:w="1383" w:type="dxa"/>
          </w:tcPr>
          <w:p w:rsidR="008676F9" w:rsidRPr="008676F9" w:rsidRDefault="008676F9" w:rsidP="008676F9">
            <w:pPr>
              <w:spacing w:before="120"/>
              <w:contextualSpacing/>
              <w:rPr>
                <w:rFonts w:ascii="Calibri" w:hAnsi="Calibri"/>
                <w:sz w:val="20"/>
                <w:szCs w:val="20"/>
              </w:rPr>
            </w:pPr>
          </w:p>
        </w:tc>
      </w:tr>
      <w:tr w:rsidR="008676F9" w:rsidRPr="008676F9" w:rsidTr="00BB33FC">
        <w:tc>
          <w:tcPr>
            <w:tcW w:w="1985" w:type="dxa"/>
            <w:vMerge/>
          </w:tcPr>
          <w:p w:rsidR="008676F9" w:rsidRPr="008676F9" w:rsidRDefault="008676F9" w:rsidP="008676F9">
            <w:pPr>
              <w:spacing w:before="120"/>
              <w:contextualSpacing/>
              <w:rPr>
                <w:rFonts w:ascii="Calibri" w:hAnsi="Calibri"/>
                <w:sz w:val="20"/>
                <w:szCs w:val="20"/>
              </w:rPr>
            </w:pPr>
          </w:p>
        </w:tc>
        <w:tc>
          <w:tcPr>
            <w:tcW w:w="4536" w:type="dxa"/>
          </w:tcPr>
          <w:p w:rsidR="008676F9" w:rsidRPr="008676F9" w:rsidRDefault="008676F9" w:rsidP="008676F9">
            <w:pPr>
              <w:spacing w:before="120"/>
              <w:contextualSpacing/>
              <w:rPr>
                <w:rFonts w:ascii="Calibri" w:hAnsi="Calibri"/>
                <w:sz w:val="20"/>
                <w:szCs w:val="20"/>
              </w:rPr>
            </w:pPr>
            <w:r w:rsidRPr="008676F9">
              <w:rPr>
                <w:rFonts w:ascii="Calibri" w:hAnsi="Calibri"/>
                <w:sz w:val="20"/>
                <w:szCs w:val="20"/>
              </w:rPr>
              <w:t>Nezávislý a interaktívny hodnotiaci proces</w:t>
            </w:r>
          </w:p>
        </w:tc>
        <w:tc>
          <w:tcPr>
            <w:tcW w:w="1276" w:type="dxa"/>
          </w:tcPr>
          <w:p w:rsidR="008676F9" w:rsidRPr="008676F9" w:rsidRDefault="008676F9" w:rsidP="008676F9">
            <w:pPr>
              <w:spacing w:before="120"/>
              <w:contextualSpacing/>
              <w:rPr>
                <w:rFonts w:ascii="Calibri" w:hAnsi="Calibri"/>
                <w:sz w:val="20"/>
                <w:szCs w:val="20"/>
              </w:rPr>
            </w:pPr>
          </w:p>
        </w:tc>
        <w:tc>
          <w:tcPr>
            <w:tcW w:w="1383" w:type="dxa"/>
          </w:tcPr>
          <w:p w:rsidR="008676F9" w:rsidRPr="008676F9" w:rsidRDefault="008676F9" w:rsidP="008676F9">
            <w:pPr>
              <w:spacing w:before="120"/>
              <w:contextualSpacing/>
              <w:rPr>
                <w:rFonts w:ascii="Calibri" w:hAnsi="Calibri"/>
                <w:sz w:val="20"/>
                <w:szCs w:val="20"/>
              </w:rPr>
            </w:pPr>
          </w:p>
        </w:tc>
      </w:tr>
      <w:tr w:rsidR="008676F9" w:rsidRPr="008676F9" w:rsidTr="00BB33FC">
        <w:tc>
          <w:tcPr>
            <w:tcW w:w="1985" w:type="dxa"/>
            <w:vMerge w:val="restart"/>
          </w:tcPr>
          <w:p w:rsidR="008676F9" w:rsidRPr="008676F9" w:rsidRDefault="008676F9" w:rsidP="008676F9">
            <w:pPr>
              <w:spacing w:before="120"/>
              <w:contextualSpacing/>
              <w:rPr>
                <w:rFonts w:ascii="Calibri" w:hAnsi="Calibri"/>
                <w:sz w:val="20"/>
                <w:szCs w:val="20"/>
              </w:rPr>
            </w:pPr>
            <w:r w:rsidRPr="008676F9">
              <w:rPr>
                <w:rFonts w:ascii="Calibri" w:hAnsi="Calibri"/>
                <w:sz w:val="20"/>
                <w:szCs w:val="20"/>
              </w:rPr>
              <w:t>Príprava</w:t>
            </w:r>
          </w:p>
        </w:tc>
        <w:tc>
          <w:tcPr>
            <w:tcW w:w="4536" w:type="dxa"/>
          </w:tcPr>
          <w:p w:rsidR="008676F9" w:rsidRPr="008676F9" w:rsidRDefault="008676F9" w:rsidP="008676F9">
            <w:pPr>
              <w:spacing w:before="120"/>
              <w:contextualSpacing/>
              <w:rPr>
                <w:rFonts w:ascii="Calibri" w:hAnsi="Calibri"/>
                <w:sz w:val="20"/>
                <w:szCs w:val="20"/>
              </w:rPr>
            </w:pPr>
            <w:r w:rsidRPr="008676F9">
              <w:rPr>
                <w:rFonts w:ascii="Calibri" w:hAnsi="Calibri"/>
                <w:sz w:val="20"/>
                <w:szCs w:val="20"/>
              </w:rPr>
              <w:t>Kontrakt s hodnotiteľom</w:t>
            </w:r>
          </w:p>
        </w:tc>
        <w:tc>
          <w:tcPr>
            <w:tcW w:w="1276" w:type="dxa"/>
          </w:tcPr>
          <w:p w:rsidR="008676F9" w:rsidRPr="008676F9" w:rsidRDefault="008676F9" w:rsidP="008676F9">
            <w:pPr>
              <w:spacing w:before="120"/>
              <w:contextualSpacing/>
              <w:rPr>
                <w:rFonts w:ascii="Calibri" w:hAnsi="Calibri"/>
                <w:sz w:val="20"/>
                <w:szCs w:val="20"/>
              </w:rPr>
            </w:pPr>
          </w:p>
        </w:tc>
        <w:tc>
          <w:tcPr>
            <w:tcW w:w="1383" w:type="dxa"/>
          </w:tcPr>
          <w:p w:rsidR="008676F9" w:rsidRPr="008676F9" w:rsidRDefault="008676F9" w:rsidP="008676F9">
            <w:pPr>
              <w:spacing w:before="120"/>
              <w:contextualSpacing/>
              <w:rPr>
                <w:rFonts w:ascii="Calibri" w:hAnsi="Calibri"/>
                <w:sz w:val="20"/>
                <w:szCs w:val="20"/>
              </w:rPr>
            </w:pPr>
          </w:p>
        </w:tc>
      </w:tr>
      <w:tr w:rsidR="008676F9" w:rsidRPr="008676F9" w:rsidTr="00BB33FC">
        <w:tc>
          <w:tcPr>
            <w:tcW w:w="1985" w:type="dxa"/>
            <w:vMerge/>
          </w:tcPr>
          <w:p w:rsidR="008676F9" w:rsidRPr="008676F9" w:rsidRDefault="008676F9" w:rsidP="008676F9">
            <w:pPr>
              <w:spacing w:before="120"/>
              <w:contextualSpacing/>
              <w:rPr>
                <w:rFonts w:ascii="Calibri" w:hAnsi="Calibri"/>
                <w:sz w:val="20"/>
                <w:szCs w:val="20"/>
              </w:rPr>
            </w:pPr>
          </w:p>
        </w:tc>
        <w:tc>
          <w:tcPr>
            <w:tcW w:w="4536" w:type="dxa"/>
          </w:tcPr>
          <w:p w:rsidR="008676F9" w:rsidRPr="008676F9" w:rsidRDefault="008676F9" w:rsidP="008676F9">
            <w:pPr>
              <w:spacing w:before="120"/>
              <w:contextualSpacing/>
              <w:rPr>
                <w:rFonts w:ascii="Calibri" w:hAnsi="Calibri"/>
                <w:sz w:val="20"/>
                <w:szCs w:val="20"/>
              </w:rPr>
            </w:pPr>
            <w:r w:rsidRPr="008676F9">
              <w:rPr>
                <w:rFonts w:ascii="Calibri" w:hAnsi="Calibri"/>
                <w:sz w:val="20"/>
                <w:szCs w:val="20"/>
              </w:rPr>
              <w:t>Verejné obstarávanie</w:t>
            </w:r>
          </w:p>
        </w:tc>
        <w:tc>
          <w:tcPr>
            <w:tcW w:w="1276" w:type="dxa"/>
          </w:tcPr>
          <w:p w:rsidR="008676F9" w:rsidRPr="008676F9" w:rsidRDefault="008676F9" w:rsidP="008676F9">
            <w:pPr>
              <w:spacing w:before="120"/>
              <w:contextualSpacing/>
              <w:rPr>
                <w:rFonts w:ascii="Calibri" w:hAnsi="Calibri"/>
                <w:sz w:val="20"/>
                <w:szCs w:val="20"/>
              </w:rPr>
            </w:pPr>
          </w:p>
        </w:tc>
        <w:tc>
          <w:tcPr>
            <w:tcW w:w="1383" w:type="dxa"/>
          </w:tcPr>
          <w:p w:rsidR="008676F9" w:rsidRPr="008676F9" w:rsidRDefault="008676F9" w:rsidP="008676F9">
            <w:pPr>
              <w:spacing w:before="120"/>
              <w:contextualSpacing/>
              <w:rPr>
                <w:rFonts w:ascii="Calibri" w:hAnsi="Calibri"/>
                <w:sz w:val="20"/>
                <w:szCs w:val="20"/>
              </w:rPr>
            </w:pPr>
          </w:p>
        </w:tc>
      </w:tr>
      <w:tr w:rsidR="008676F9" w:rsidRPr="008676F9" w:rsidTr="00BB33FC">
        <w:tc>
          <w:tcPr>
            <w:tcW w:w="1985" w:type="dxa"/>
            <w:vMerge/>
          </w:tcPr>
          <w:p w:rsidR="008676F9" w:rsidRPr="008676F9" w:rsidRDefault="008676F9" w:rsidP="008676F9">
            <w:pPr>
              <w:spacing w:before="120"/>
              <w:contextualSpacing/>
              <w:rPr>
                <w:rFonts w:ascii="Calibri" w:hAnsi="Calibri"/>
                <w:sz w:val="20"/>
                <w:szCs w:val="20"/>
              </w:rPr>
            </w:pPr>
          </w:p>
        </w:tc>
        <w:tc>
          <w:tcPr>
            <w:tcW w:w="4536" w:type="dxa"/>
          </w:tcPr>
          <w:p w:rsidR="008676F9" w:rsidRPr="008676F9" w:rsidRDefault="008676F9" w:rsidP="008676F9">
            <w:pPr>
              <w:spacing w:before="120"/>
              <w:contextualSpacing/>
              <w:rPr>
                <w:rFonts w:ascii="Calibri" w:hAnsi="Calibri"/>
                <w:sz w:val="20"/>
                <w:szCs w:val="20"/>
              </w:rPr>
            </w:pPr>
            <w:r w:rsidRPr="008676F9">
              <w:rPr>
                <w:rFonts w:ascii="Calibri" w:hAnsi="Calibri"/>
                <w:sz w:val="20"/>
                <w:szCs w:val="20"/>
              </w:rPr>
              <w:t>Príprava zadávacích podmienok</w:t>
            </w:r>
          </w:p>
        </w:tc>
        <w:tc>
          <w:tcPr>
            <w:tcW w:w="1276" w:type="dxa"/>
          </w:tcPr>
          <w:p w:rsidR="008676F9" w:rsidRPr="008676F9" w:rsidRDefault="008676F9" w:rsidP="008676F9">
            <w:pPr>
              <w:spacing w:before="120"/>
              <w:contextualSpacing/>
              <w:rPr>
                <w:rFonts w:ascii="Calibri" w:hAnsi="Calibri"/>
                <w:sz w:val="20"/>
                <w:szCs w:val="20"/>
              </w:rPr>
            </w:pPr>
          </w:p>
        </w:tc>
        <w:tc>
          <w:tcPr>
            <w:tcW w:w="1383" w:type="dxa"/>
          </w:tcPr>
          <w:p w:rsidR="008676F9" w:rsidRPr="008676F9" w:rsidRDefault="008676F9" w:rsidP="008676F9">
            <w:pPr>
              <w:spacing w:before="120"/>
              <w:contextualSpacing/>
              <w:rPr>
                <w:rFonts w:ascii="Calibri" w:hAnsi="Calibri"/>
                <w:sz w:val="20"/>
                <w:szCs w:val="20"/>
              </w:rPr>
            </w:pPr>
          </w:p>
        </w:tc>
      </w:tr>
      <w:tr w:rsidR="008676F9" w:rsidRPr="008676F9" w:rsidTr="00BB33FC">
        <w:tc>
          <w:tcPr>
            <w:tcW w:w="1985" w:type="dxa"/>
            <w:vMerge/>
          </w:tcPr>
          <w:p w:rsidR="008676F9" w:rsidRPr="008676F9" w:rsidRDefault="008676F9" w:rsidP="008676F9">
            <w:pPr>
              <w:spacing w:before="120"/>
              <w:contextualSpacing/>
              <w:rPr>
                <w:rFonts w:ascii="Calibri" w:hAnsi="Calibri"/>
                <w:sz w:val="20"/>
                <w:szCs w:val="20"/>
              </w:rPr>
            </w:pPr>
          </w:p>
        </w:tc>
        <w:tc>
          <w:tcPr>
            <w:tcW w:w="4536" w:type="dxa"/>
          </w:tcPr>
          <w:p w:rsidR="008676F9" w:rsidRPr="008676F9" w:rsidRDefault="008676F9" w:rsidP="008676F9">
            <w:pPr>
              <w:spacing w:before="120"/>
              <w:contextualSpacing/>
              <w:rPr>
                <w:rFonts w:ascii="Calibri" w:hAnsi="Calibri"/>
                <w:sz w:val="20"/>
                <w:szCs w:val="20"/>
              </w:rPr>
            </w:pPr>
            <w:r w:rsidRPr="008676F9">
              <w:rPr>
                <w:rFonts w:ascii="Calibri" w:hAnsi="Calibri"/>
                <w:sz w:val="20"/>
                <w:szCs w:val="20"/>
              </w:rPr>
              <w:t>Zriadenie hodnotiaceho mandátu</w:t>
            </w:r>
          </w:p>
        </w:tc>
        <w:tc>
          <w:tcPr>
            <w:tcW w:w="1276" w:type="dxa"/>
          </w:tcPr>
          <w:p w:rsidR="008676F9" w:rsidRPr="008676F9" w:rsidRDefault="008676F9" w:rsidP="008676F9">
            <w:pPr>
              <w:spacing w:before="120"/>
              <w:contextualSpacing/>
              <w:rPr>
                <w:rFonts w:ascii="Calibri" w:hAnsi="Calibri"/>
                <w:sz w:val="20"/>
                <w:szCs w:val="20"/>
              </w:rPr>
            </w:pPr>
          </w:p>
        </w:tc>
        <w:tc>
          <w:tcPr>
            <w:tcW w:w="1383" w:type="dxa"/>
          </w:tcPr>
          <w:p w:rsidR="008676F9" w:rsidRPr="008676F9" w:rsidRDefault="008676F9" w:rsidP="008676F9">
            <w:pPr>
              <w:spacing w:before="120"/>
              <w:contextualSpacing/>
              <w:rPr>
                <w:rFonts w:ascii="Calibri" w:hAnsi="Calibri"/>
                <w:sz w:val="20"/>
                <w:szCs w:val="20"/>
              </w:rPr>
            </w:pPr>
          </w:p>
        </w:tc>
      </w:tr>
      <w:tr w:rsidR="008676F9" w:rsidRPr="008676F9" w:rsidTr="00BB33FC">
        <w:tc>
          <w:tcPr>
            <w:tcW w:w="1985" w:type="dxa"/>
            <w:vMerge/>
          </w:tcPr>
          <w:p w:rsidR="008676F9" w:rsidRPr="008676F9" w:rsidRDefault="008676F9" w:rsidP="008676F9">
            <w:pPr>
              <w:spacing w:before="120"/>
              <w:contextualSpacing/>
              <w:rPr>
                <w:rFonts w:ascii="Calibri" w:hAnsi="Calibri"/>
                <w:sz w:val="20"/>
                <w:szCs w:val="20"/>
              </w:rPr>
            </w:pPr>
          </w:p>
        </w:tc>
        <w:tc>
          <w:tcPr>
            <w:tcW w:w="4536" w:type="dxa"/>
          </w:tcPr>
          <w:p w:rsidR="008676F9" w:rsidRPr="008676F9" w:rsidRDefault="008676F9" w:rsidP="008676F9">
            <w:pPr>
              <w:spacing w:before="120"/>
              <w:contextualSpacing/>
              <w:rPr>
                <w:rFonts w:ascii="Calibri" w:hAnsi="Calibri"/>
                <w:sz w:val="20"/>
                <w:szCs w:val="20"/>
              </w:rPr>
            </w:pPr>
            <w:r w:rsidRPr="008676F9">
              <w:rPr>
                <w:rFonts w:ascii="Calibri" w:hAnsi="Calibri"/>
                <w:sz w:val="20"/>
                <w:szCs w:val="20"/>
              </w:rPr>
              <w:t>Zriadenie Riadiacej skupiny pre hodnotenie</w:t>
            </w:r>
          </w:p>
        </w:tc>
        <w:tc>
          <w:tcPr>
            <w:tcW w:w="1276" w:type="dxa"/>
          </w:tcPr>
          <w:p w:rsidR="008676F9" w:rsidRPr="008676F9" w:rsidRDefault="008676F9" w:rsidP="008676F9">
            <w:pPr>
              <w:spacing w:before="120"/>
              <w:contextualSpacing/>
              <w:rPr>
                <w:rFonts w:ascii="Calibri" w:hAnsi="Calibri"/>
                <w:sz w:val="20"/>
                <w:szCs w:val="20"/>
              </w:rPr>
            </w:pPr>
          </w:p>
        </w:tc>
        <w:tc>
          <w:tcPr>
            <w:tcW w:w="1383" w:type="dxa"/>
          </w:tcPr>
          <w:p w:rsidR="008676F9" w:rsidRPr="008676F9" w:rsidRDefault="008676F9" w:rsidP="008676F9">
            <w:pPr>
              <w:spacing w:before="120"/>
              <w:contextualSpacing/>
              <w:rPr>
                <w:rFonts w:ascii="Calibri" w:hAnsi="Calibri"/>
                <w:sz w:val="20"/>
                <w:szCs w:val="20"/>
              </w:rPr>
            </w:pPr>
          </w:p>
        </w:tc>
      </w:tr>
      <w:tr w:rsidR="008676F9" w:rsidRPr="008676F9" w:rsidTr="00BB33FC">
        <w:tc>
          <w:tcPr>
            <w:tcW w:w="1985" w:type="dxa"/>
            <w:vMerge/>
          </w:tcPr>
          <w:p w:rsidR="008676F9" w:rsidRPr="008676F9" w:rsidRDefault="008676F9" w:rsidP="008676F9">
            <w:pPr>
              <w:spacing w:before="120"/>
              <w:contextualSpacing/>
              <w:rPr>
                <w:rFonts w:ascii="Calibri" w:hAnsi="Calibri"/>
                <w:sz w:val="20"/>
                <w:szCs w:val="20"/>
              </w:rPr>
            </w:pPr>
          </w:p>
        </w:tc>
        <w:tc>
          <w:tcPr>
            <w:tcW w:w="4536" w:type="dxa"/>
          </w:tcPr>
          <w:p w:rsidR="008676F9" w:rsidRPr="008676F9" w:rsidRDefault="008676F9" w:rsidP="008676F9">
            <w:pPr>
              <w:spacing w:before="120"/>
              <w:contextualSpacing/>
              <w:rPr>
                <w:rFonts w:ascii="Calibri" w:hAnsi="Calibri"/>
                <w:sz w:val="20"/>
                <w:szCs w:val="20"/>
              </w:rPr>
            </w:pPr>
            <w:r w:rsidRPr="008676F9">
              <w:rPr>
                <w:rFonts w:ascii="Calibri" w:hAnsi="Calibri"/>
                <w:sz w:val="20"/>
                <w:szCs w:val="20"/>
              </w:rPr>
              <w:t>Príprava systému zberu údajov</w:t>
            </w:r>
          </w:p>
        </w:tc>
        <w:tc>
          <w:tcPr>
            <w:tcW w:w="1276" w:type="dxa"/>
          </w:tcPr>
          <w:p w:rsidR="008676F9" w:rsidRPr="008676F9" w:rsidRDefault="008676F9" w:rsidP="008676F9">
            <w:pPr>
              <w:spacing w:before="120"/>
              <w:contextualSpacing/>
              <w:rPr>
                <w:rFonts w:ascii="Calibri" w:hAnsi="Calibri"/>
                <w:sz w:val="20"/>
                <w:szCs w:val="20"/>
              </w:rPr>
            </w:pPr>
          </w:p>
        </w:tc>
        <w:tc>
          <w:tcPr>
            <w:tcW w:w="1383" w:type="dxa"/>
          </w:tcPr>
          <w:p w:rsidR="008676F9" w:rsidRPr="008676F9" w:rsidRDefault="008676F9" w:rsidP="008676F9">
            <w:pPr>
              <w:spacing w:before="120"/>
              <w:contextualSpacing/>
              <w:rPr>
                <w:rFonts w:ascii="Calibri" w:hAnsi="Calibri"/>
                <w:sz w:val="20"/>
                <w:szCs w:val="20"/>
              </w:rPr>
            </w:pPr>
          </w:p>
        </w:tc>
      </w:tr>
      <w:tr w:rsidR="008676F9" w:rsidRPr="008676F9" w:rsidTr="00BB33FC">
        <w:tc>
          <w:tcPr>
            <w:tcW w:w="1985" w:type="dxa"/>
            <w:vMerge/>
          </w:tcPr>
          <w:p w:rsidR="008676F9" w:rsidRPr="008676F9" w:rsidRDefault="008676F9" w:rsidP="008676F9">
            <w:pPr>
              <w:spacing w:before="120"/>
              <w:contextualSpacing/>
              <w:rPr>
                <w:rFonts w:ascii="Calibri" w:hAnsi="Calibri"/>
                <w:sz w:val="20"/>
                <w:szCs w:val="20"/>
              </w:rPr>
            </w:pPr>
          </w:p>
        </w:tc>
        <w:tc>
          <w:tcPr>
            <w:tcW w:w="4536" w:type="dxa"/>
          </w:tcPr>
          <w:p w:rsidR="008676F9" w:rsidRPr="008676F9" w:rsidRDefault="008676F9" w:rsidP="008676F9">
            <w:pPr>
              <w:spacing w:before="120"/>
              <w:contextualSpacing/>
              <w:rPr>
                <w:rFonts w:ascii="Calibri" w:hAnsi="Calibri"/>
                <w:sz w:val="20"/>
                <w:szCs w:val="20"/>
              </w:rPr>
            </w:pPr>
            <w:r w:rsidRPr="008676F9">
              <w:rPr>
                <w:rFonts w:ascii="Calibri" w:hAnsi="Calibri"/>
                <w:sz w:val="20"/>
                <w:szCs w:val="20"/>
              </w:rPr>
              <w:t xml:space="preserve">Revízia spoločných hodnotiacich otázok </w:t>
            </w:r>
          </w:p>
        </w:tc>
        <w:tc>
          <w:tcPr>
            <w:tcW w:w="1276" w:type="dxa"/>
          </w:tcPr>
          <w:p w:rsidR="008676F9" w:rsidRPr="008676F9" w:rsidRDefault="008676F9" w:rsidP="008676F9">
            <w:pPr>
              <w:spacing w:before="120"/>
              <w:contextualSpacing/>
              <w:rPr>
                <w:rFonts w:ascii="Calibri" w:hAnsi="Calibri"/>
                <w:sz w:val="20"/>
                <w:szCs w:val="20"/>
              </w:rPr>
            </w:pPr>
          </w:p>
        </w:tc>
        <w:tc>
          <w:tcPr>
            <w:tcW w:w="1383" w:type="dxa"/>
          </w:tcPr>
          <w:p w:rsidR="008676F9" w:rsidRPr="008676F9" w:rsidRDefault="008676F9" w:rsidP="008676F9">
            <w:pPr>
              <w:spacing w:before="120"/>
              <w:contextualSpacing/>
              <w:rPr>
                <w:rFonts w:ascii="Calibri" w:hAnsi="Calibri"/>
                <w:sz w:val="20"/>
                <w:szCs w:val="20"/>
              </w:rPr>
            </w:pPr>
          </w:p>
        </w:tc>
      </w:tr>
      <w:tr w:rsidR="008676F9" w:rsidRPr="008676F9" w:rsidTr="00BB33FC">
        <w:tc>
          <w:tcPr>
            <w:tcW w:w="1985" w:type="dxa"/>
            <w:vMerge/>
          </w:tcPr>
          <w:p w:rsidR="008676F9" w:rsidRPr="008676F9" w:rsidRDefault="008676F9" w:rsidP="008676F9">
            <w:pPr>
              <w:spacing w:before="120"/>
              <w:contextualSpacing/>
              <w:rPr>
                <w:rFonts w:ascii="Calibri" w:hAnsi="Calibri"/>
                <w:sz w:val="20"/>
                <w:szCs w:val="20"/>
              </w:rPr>
            </w:pPr>
          </w:p>
        </w:tc>
        <w:tc>
          <w:tcPr>
            <w:tcW w:w="4536" w:type="dxa"/>
          </w:tcPr>
          <w:p w:rsidR="008676F9" w:rsidRPr="008676F9" w:rsidRDefault="008676F9" w:rsidP="008676F9">
            <w:pPr>
              <w:spacing w:before="120"/>
              <w:contextualSpacing/>
              <w:rPr>
                <w:rFonts w:ascii="Calibri" w:hAnsi="Calibri"/>
                <w:sz w:val="20"/>
                <w:szCs w:val="20"/>
              </w:rPr>
            </w:pPr>
            <w:r w:rsidRPr="008676F9">
              <w:rPr>
                <w:rFonts w:ascii="Calibri" w:hAnsi="Calibri"/>
                <w:sz w:val="20"/>
                <w:szCs w:val="20"/>
              </w:rPr>
              <w:t xml:space="preserve">Príprava metodiky </w:t>
            </w:r>
          </w:p>
        </w:tc>
        <w:tc>
          <w:tcPr>
            <w:tcW w:w="1276" w:type="dxa"/>
          </w:tcPr>
          <w:p w:rsidR="008676F9" w:rsidRPr="008676F9" w:rsidRDefault="008676F9" w:rsidP="008676F9">
            <w:pPr>
              <w:spacing w:before="120"/>
              <w:contextualSpacing/>
              <w:rPr>
                <w:rFonts w:ascii="Calibri" w:hAnsi="Calibri"/>
                <w:sz w:val="20"/>
                <w:szCs w:val="20"/>
              </w:rPr>
            </w:pPr>
          </w:p>
        </w:tc>
        <w:tc>
          <w:tcPr>
            <w:tcW w:w="1383" w:type="dxa"/>
          </w:tcPr>
          <w:p w:rsidR="008676F9" w:rsidRPr="008676F9" w:rsidRDefault="008676F9" w:rsidP="008676F9">
            <w:pPr>
              <w:spacing w:before="120"/>
              <w:contextualSpacing/>
              <w:rPr>
                <w:rFonts w:ascii="Calibri" w:hAnsi="Calibri"/>
                <w:sz w:val="20"/>
                <w:szCs w:val="20"/>
              </w:rPr>
            </w:pPr>
          </w:p>
        </w:tc>
      </w:tr>
    </w:tbl>
    <w:p w:rsidR="008676F9" w:rsidRPr="008676F9" w:rsidRDefault="008676F9" w:rsidP="008676F9">
      <w:pPr>
        <w:spacing w:before="120" w:after="200"/>
        <w:rPr>
          <w:rFonts w:ascii="Calibri" w:hAnsi="Calibri"/>
          <w:szCs w:val="22"/>
        </w:rPr>
      </w:pPr>
      <w:r w:rsidRPr="008676F9">
        <w:rPr>
          <w:rFonts w:ascii="Calibri" w:hAnsi="Calibri"/>
          <w:szCs w:val="22"/>
        </w:rPr>
        <w:t>Pre dostupnosť monitorovacích údajov si RO určí termín pre ich predloženie a následne PPA si nastaví svoje vnútorný harmonogram prác.</w:t>
      </w:r>
    </w:p>
    <w:p w:rsidR="00DA5476" w:rsidRDefault="00DA5476" w:rsidP="00AA30CA">
      <w:pPr>
        <w:pStyle w:val="Pod"/>
      </w:pPr>
      <w:bookmarkStart w:id="124" w:name="_Toc384111068"/>
    </w:p>
    <w:p w:rsidR="008676F9" w:rsidRPr="008676F9" w:rsidRDefault="00AA30CA" w:rsidP="00AA30CA">
      <w:pPr>
        <w:pStyle w:val="Pod"/>
      </w:pPr>
      <w:bookmarkStart w:id="125" w:name="_Toc387041344"/>
      <w:r>
        <w:t>6.</w:t>
      </w:r>
      <w:r w:rsidR="008676F9" w:rsidRPr="008676F9">
        <w:t>KOMUNIKÁCIA</w:t>
      </w:r>
      <w:bookmarkEnd w:id="124"/>
      <w:bookmarkEnd w:id="125"/>
    </w:p>
    <w:p w:rsidR="00DA5476" w:rsidRDefault="00DA5476" w:rsidP="00DA5476">
      <w:pPr>
        <w:spacing w:after="120"/>
        <w:rPr>
          <w:szCs w:val="22"/>
        </w:rPr>
      </w:pPr>
      <w:r w:rsidRPr="00EA237A">
        <w:rPr>
          <w:szCs w:val="22"/>
        </w:rPr>
        <w:t>Cieľom je výsledky hodnotenia účinne odkomunikovať a tak vytvoriť základ pre politické diskusie a rozhodovacie procesy o úprave a implementácii PRV.</w:t>
      </w:r>
      <w:r w:rsidRPr="00EA237A">
        <w:rPr>
          <w:rFonts w:eastAsia="Calibri"/>
          <w:szCs w:val="22"/>
        </w:rPr>
        <w:t xml:space="preserve"> </w:t>
      </w:r>
      <w:r w:rsidRPr="00EA237A">
        <w:rPr>
          <w:szCs w:val="22"/>
        </w:rPr>
        <w:t>Pričom v závislosti od úlohy a funkcie rôznych cieľových skupín bude vytvorený primeraný priestor pre transfer informácií a diskusie. Narastajúci počet informácií, transparentnosť a zapojenie verejnosti do procesu hodnotenia prinesie do hodnotenia nové obsahové impulzy a zvýši požiadavky na kvalitu hodnotenia čo sa metodiky a obsahu týka.</w:t>
      </w:r>
    </w:p>
    <w:tbl>
      <w:tblPr>
        <w:tblStyle w:val="Tabellenraster17"/>
        <w:tblpPr w:leftFromText="141" w:rightFromText="141" w:vertAnchor="text" w:tblpY="1"/>
        <w:tblOverlap w:val="never"/>
        <w:tblW w:w="9180" w:type="dxa"/>
        <w:tblLayout w:type="fixed"/>
        <w:tblLook w:val="04A0" w:firstRow="1" w:lastRow="0" w:firstColumn="1" w:lastColumn="0" w:noHBand="0" w:noVBand="1"/>
      </w:tblPr>
      <w:tblGrid>
        <w:gridCol w:w="817"/>
        <w:gridCol w:w="1985"/>
        <w:gridCol w:w="2268"/>
        <w:gridCol w:w="2126"/>
        <w:gridCol w:w="1984"/>
      </w:tblGrid>
      <w:tr w:rsidR="00DA5476" w:rsidRPr="00EA237A" w:rsidTr="00DA5476">
        <w:trPr>
          <w:trHeight w:val="1200"/>
        </w:trPr>
        <w:tc>
          <w:tcPr>
            <w:tcW w:w="9180" w:type="dxa"/>
            <w:gridSpan w:val="5"/>
            <w:shd w:val="pct5" w:color="auto" w:fill="auto"/>
          </w:tcPr>
          <w:p w:rsidR="00DA5476" w:rsidRPr="00EA237A" w:rsidRDefault="00DA5476" w:rsidP="00DA5476">
            <w:pPr>
              <w:spacing w:before="120"/>
              <w:jc w:val="center"/>
              <w:rPr>
                <w:b/>
                <w:sz w:val="26"/>
                <w:szCs w:val="26"/>
                <w:lang w:val="sk-SK"/>
              </w:rPr>
            </w:pPr>
            <w:r w:rsidRPr="00EA237A">
              <w:rPr>
                <w:b/>
                <w:sz w:val="26"/>
                <w:szCs w:val="26"/>
                <w:lang w:val="sk-SK"/>
              </w:rPr>
              <w:t>Hlavné postupy v procese hodnotenia PRV 2020</w:t>
            </w:r>
          </w:p>
          <w:p w:rsidR="00DA5476" w:rsidRPr="00EA237A" w:rsidRDefault="001B3100" w:rsidP="00DA5476">
            <w:pPr>
              <w:spacing w:before="120"/>
              <w:rPr>
                <w:b/>
                <w:sz w:val="20"/>
                <w:szCs w:val="20"/>
                <w:lang w:val="sk-SK"/>
              </w:rPr>
            </w:pPr>
            <w:r>
              <w:rPr>
                <w:b/>
                <w:noProof/>
                <w:sz w:val="24"/>
              </w:rPr>
              <mc:AlternateContent>
                <mc:Choice Requires="wps">
                  <w:drawing>
                    <wp:anchor distT="0" distB="0" distL="114300" distR="114300" simplePos="0" relativeHeight="251717632" behindDoc="0" locked="0" layoutInCell="1" allowOverlap="1" wp14:anchorId="418961D4" wp14:editId="4E7ADD0E">
                      <wp:simplePos x="0" y="0"/>
                      <wp:positionH relativeFrom="column">
                        <wp:posOffset>-19685</wp:posOffset>
                      </wp:positionH>
                      <wp:positionV relativeFrom="paragraph">
                        <wp:posOffset>281940</wp:posOffset>
                      </wp:positionV>
                      <wp:extent cx="5710555" cy="189230"/>
                      <wp:effectExtent l="0" t="19050" r="42545" b="39370"/>
                      <wp:wrapNone/>
                      <wp:docPr id="1" name="Šípka doprava 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710555" cy="189230"/>
                              </a:xfrm>
                              <a:prstGeom prst="rightArrow">
                                <a:avLst>
                                  <a:gd name="adj1" fmla="val 49999"/>
                                  <a:gd name="adj2" fmla="val 50000"/>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Šípka doprava 3" o:spid="_x0000_s1026" type="#_x0000_t13" style="position:absolute;margin-left:-1.55pt;margin-top:22.2pt;width:449.65pt;height:14.9pt;z-index:251717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" adj="21242" fillcolor="red" strokecolor="red" strokeweight="2pt">
                      <v:path arrowok="t"/>
                    </v:shape>
                  </w:pict>
                </mc:Fallback>
              </mc:AlternateContent>
            </w:r>
            <w:r w:rsidR="00DA5476" w:rsidRPr="00EA237A">
              <w:rPr>
                <w:b/>
                <w:sz w:val="20"/>
                <w:szCs w:val="20"/>
                <w:lang w:val="sk-SK"/>
              </w:rPr>
              <w:t>externé                                                                                                                                                                          interné</w:t>
            </w:r>
          </w:p>
        </w:tc>
      </w:tr>
      <w:tr w:rsidR="00DA5476" w:rsidRPr="00EA237A" w:rsidTr="00DA5476">
        <w:trPr>
          <w:cantSplit/>
          <w:trHeight w:val="487"/>
        </w:trPr>
        <w:tc>
          <w:tcPr>
            <w:tcW w:w="817" w:type="dxa"/>
            <w:vMerge w:val="restart"/>
            <w:shd w:val="pct5" w:color="auto" w:fill="auto"/>
            <w:textDirection w:val="btLr"/>
          </w:tcPr>
          <w:p w:rsidR="00DA5476" w:rsidRPr="00EA237A" w:rsidRDefault="00DA5476" w:rsidP="00197171">
            <w:pPr>
              <w:spacing w:beforeLines="40" w:before="96" w:afterLines="40" w:after="96"/>
              <w:ind w:left="113" w:right="113"/>
              <w:jc w:val="center"/>
              <w:rPr>
                <w:sz w:val="20"/>
                <w:lang w:val="sk-SK"/>
              </w:rPr>
            </w:pPr>
            <w:r w:rsidRPr="00EA237A">
              <w:rPr>
                <w:sz w:val="20"/>
                <w:lang w:val="sk-SK"/>
              </w:rPr>
              <w:t>Kto je účastníkom?</w:t>
            </w:r>
          </w:p>
        </w:tc>
        <w:tc>
          <w:tcPr>
            <w:tcW w:w="1985" w:type="dxa"/>
            <w:tcBorders>
              <w:bottom w:val="nil"/>
            </w:tcBorders>
          </w:tcPr>
          <w:p w:rsidR="00DA5476" w:rsidRPr="00EA237A" w:rsidRDefault="00DA5476" w:rsidP="00197171">
            <w:pPr>
              <w:spacing w:beforeLines="40" w:before="96" w:afterLines="40" w:after="96"/>
              <w:rPr>
                <w:sz w:val="20"/>
                <w:lang w:val="sk-SK"/>
              </w:rPr>
            </w:pPr>
            <w:r w:rsidRPr="00EA237A">
              <w:rPr>
                <w:b/>
                <w:sz w:val="18"/>
                <w:szCs w:val="18"/>
                <w:lang w:val="sk-SK"/>
              </w:rPr>
              <w:t xml:space="preserve">1. Široká verejnosť              </w:t>
            </w:r>
          </w:p>
        </w:tc>
        <w:tc>
          <w:tcPr>
            <w:tcW w:w="2268" w:type="dxa"/>
            <w:tcBorders>
              <w:bottom w:val="nil"/>
            </w:tcBorders>
          </w:tcPr>
          <w:p w:rsidR="00DA5476" w:rsidRPr="00EA237A" w:rsidRDefault="00DA5476" w:rsidP="00197171">
            <w:pPr>
              <w:spacing w:beforeLines="40" w:before="96" w:afterLines="40" w:after="96"/>
              <w:rPr>
                <w:sz w:val="20"/>
                <w:lang w:val="sk-SK"/>
              </w:rPr>
            </w:pPr>
            <w:r>
              <w:rPr>
                <w:b/>
                <w:sz w:val="18"/>
                <w:szCs w:val="18"/>
                <w:lang w:val="sk-SK"/>
              </w:rPr>
              <w:t>2. Relevantní aktéri PRV</w:t>
            </w:r>
          </w:p>
        </w:tc>
        <w:tc>
          <w:tcPr>
            <w:tcW w:w="2126" w:type="dxa"/>
            <w:tcBorders>
              <w:bottom w:val="nil"/>
            </w:tcBorders>
          </w:tcPr>
          <w:p w:rsidR="00DA5476" w:rsidRPr="00EA237A" w:rsidRDefault="00DA5476" w:rsidP="00197171">
            <w:pPr>
              <w:spacing w:beforeLines="40" w:before="96"/>
              <w:jc w:val="left"/>
              <w:rPr>
                <w:sz w:val="20"/>
                <w:lang w:val="sk-SK"/>
              </w:rPr>
            </w:pPr>
            <w:r w:rsidRPr="00EA237A">
              <w:rPr>
                <w:b/>
                <w:sz w:val="18"/>
                <w:szCs w:val="18"/>
                <w:lang w:val="sk-SK"/>
              </w:rPr>
              <w:t xml:space="preserve">3. </w:t>
            </w:r>
            <w:r>
              <w:rPr>
                <w:b/>
                <w:sz w:val="18"/>
                <w:szCs w:val="18"/>
                <w:lang w:val="sk-SK"/>
              </w:rPr>
              <w:t>Hodnotitelia</w:t>
            </w:r>
            <w:r w:rsidRPr="00EA237A">
              <w:rPr>
                <w:b/>
                <w:sz w:val="18"/>
                <w:szCs w:val="18"/>
                <w:lang w:val="sk-SK"/>
              </w:rPr>
              <w:t xml:space="preserve"> a tvorcovia programu           </w:t>
            </w:r>
          </w:p>
        </w:tc>
        <w:tc>
          <w:tcPr>
            <w:tcW w:w="1984" w:type="dxa"/>
            <w:tcBorders>
              <w:bottom w:val="nil"/>
            </w:tcBorders>
          </w:tcPr>
          <w:p w:rsidR="00DA5476" w:rsidRPr="00EA237A" w:rsidRDefault="00DA5476" w:rsidP="00197171">
            <w:pPr>
              <w:spacing w:beforeLines="40" w:before="96"/>
              <w:jc w:val="left"/>
              <w:rPr>
                <w:sz w:val="20"/>
                <w:lang w:val="sk-SK"/>
              </w:rPr>
            </w:pPr>
            <w:r w:rsidRPr="00EA237A">
              <w:rPr>
                <w:b/>
                <w:sz w:val="18"/>
                <w:szCs w:val="18"/>
                <w:lang w:val="sk-SK"/>
              </w:rPr>
              <w:t>4. Nositelia rozhodnutí</w:t>
            </w:r>
          </w:p>
        </w:tc>
      </w:tr>
      <w:tr w:rsidR="00DA5476" w:rsidRPr="00EA237A" w:rsidTr="00DA5476">
        <w:trPr>
          <w:cantSplit/>
          <w:trHeight w:val="2455"/>
        </w:trPr>
        <w:tc>
          <w:tcPr>
            <w:tcW w:w="817" w:type="dxa"/>
            <w:vMerge/>
            <w:shd w:val="pct5" w:color="auto" w:fill="auto"/>
            <w:textDirection w:val="btLr"/>
          </w:tcPr>
          <w:p w:rsidR="00DA5476" w:rsidRPr="00EA237A" w:rsidRDefault="00DA5476" w:rsidP="00197171">
            <w:pPr>
              <w:spacing w:beforeLines="40" w:before="96" w:afterLines="40" w:after="96"/>
              <w:ind w:left="113" w:right="113"/>
              <w:jc w:val="center"/>
              <w:rPr>
                <w:sz w:val="20"/>
                <w:lang w:val="sk-SK"/>
              </w:rPr>
            </w:pPr>
          </w:p>
        </w:tc>
        <w:tc>
          <w:tcPr>
            <w:tcW w:w="1985" w:type="dxa"/>
            <w:tcBorders>
              <w:top w:val="nil"/>
            </w:tcBorders>
          </w:tcPr>
          <w:p w:rsidR="00DA5476" w:rsidRPr="00EA237A" w:rsidRDefault="00DA5476" w:rsidP="00197171">
            <w:pPr>
              <w:spacing w:beforeLines="40" w:before="96" w:afterLines="40" w:after="96"/>
              <w:rPr>
                <w:sz w:val="20"/>
                <w:lang w:val="sk-SK"/>
              </w:rPr>
            </w:pPr>
            <w:r w:rsidRPr="00EA237A">
              <w:rPr>
                <w:sz w:val="20"/>
                <w:lang w:val="sk-SK"/>
              </w:rPr>
              <w:t xml:space="preserve">Zainteresovaná  verejnosť </w:t>
            </w:r>
          </w:p>
          <w:p w:rsidR="00DA5476" w:rsidRPr="00EA237A" w:rsidRDefault="00DA5476" w:rsidP="00197171">
            <w:pPr>
              <w:spacing w:beforeLines="40" w:before="96" w:afterLines="40" w:after="96"/>
              <w:rPr>
                <w:sz w:val="20"/>
                <w:lang w:val="sk-SK"/>
              </w:rPr>
            </w:pPr>
          </w:p>
          <w:p w:rsidR="00DA5476" w:rsidRPr="00EA237A" w:rsidRDefault="00DA5476" w:rsidP="00197171">
            <w:pPr>
              <w:spacing w:beforeLines="40" w:before="96" w:afterLines="40" w:after="96"/>
              <w:rPr>
                <w:sz w:val="20"/>
                <w:lang w:val="sk-SK"/>
              </w:rPr>
            </w:pPr>
          </w:p>
        </w:tc>
        <w:tc>
          <w:tcPr>
            <w:tcW w:w="2268" w:type="dxa"/>
            <w:tcBorders>
              <w:top w:val="nil"/>
            </w:tcBorders>
          </w:tcPr>
          <w:p w:rsidR="00DA5476" w:rsidRPr="00EA237A" w:rsidRDefault="00DA5476" w:rsidP="00197171">
            <w:pPr>
              <w:spacing w:beforeLines="40" w:before="96" w:afterLines="40" w:after="96"/>
              <w:rPr>
                <w:sz w:val="20"/>
                <w:lang w:val="sk-SK"/>
              </w:rPr>
            </w:pPr>
            <w:r w:rsidRPr="00EA237A">
              <w:rPr>
                <w:sz w:val="20"/>
                <w:lang w:val="sk-SK"/>
              </w:rPr>
              <w:t xml:space="preserve">Za program zodpovedné kraje a obce </w:t>
            </w:r>
          </w:p>
          <w:p w:rsidR="00DA5476" w:rsidRPr="00EA237A" w:rsidRDefault="00DA5476" w:rsidP="00DA5476">
            <w:pPr>
              <w:spacing w:before="100" w:after="100"/>
              <w:rPr>
                <w:sz w:val="20"/>
                <w:szCs w:val="20"/>
                <w:lang w:val="sk-SK"/>
              </w:rPr>
            </w:pPr>
            <w:r w:rsidRPr="00EA237A">
              <w:rPr>
                <w:sz w:val="20"/>
                <w:szCs w:val="20"/>
                <w:lang w:val="sk-SK"/>
              </w:rPr>
              <w:t>Záujmoví zástupcovia, sektorové inštitúcie,  mimovládne organizácie</w:t>
            </w:r>
          </w:p>
          <w:p w:rsidR="00DA5476" w:rsidRPr="00EA237A" w:rsidRDefault="00DA5476" w:rsidP="00DA5476">
            <w:pPr>
              <w:spacing w:before="100" w:after="100"/>
              <w:rPr>
                <w:sz w:val="20"/>
                <w:szCs w:val="20"/>
                <w:lang w:val="sk-SK"/>
              </w:rPr>
            </w:pPr>
            <w:r w:rsidRPr="00EA237A">
              <w:rPr>
                <w:sz w:val="20"/>
                <w:szCs w:val="20"/>
                <w:lang w:val="sk-SK"/>
              </w:rPr>
              <w:t>Tvorcovia programu</w:t>
            </w:r>
          </w:p>
          <w:p w:rsidR="00DA5476" w:rsidRPr="00EA237A" w:rsidRDefault="00DA5476" w:rsidP="00197171">
            <w:pPr>
              <w:spacing w:beforeLines="40" w:before="96" w:afterLines="40" w:after="96"/>
              <w:rPr>
                <w:sz w:val="20"/>
                <w:lang w:val="sk-SK"/>
              </w:rPr>
            </w:pPr>
            <w:r w:rsidRPr="00EA237A">
              <w:rPr>
                <w:sz w:val="20"/>
                <w:lang w:val="sk-SK"/>
              </w:rPr>
              <w:t xml:space="preserve">Platobná agentúra </w:t>
            </w:r>
          </w:p>
          <w:p w:rsidR="00DA5476" w:rsidRPr="00EA237A" w:rsidRDefault="00DA5476" w:rsidP="00197171">
            <w:pPr>
              <w:spacing w:beforeLines="40" w:before="96"/>
              <w:rPr>
                <w:sz w:val="20"/>
                <w:lang w:val="sk-SK"/>
              </w:rPr>
            </w:pPr>
            <w:r w:rsidRPr="00EA237A">
              <w:rPr>
                <w:sz w:val="20"/>
                <w:lang w:val="sk-SK"/>
              </w:rPr>
              <w:t xml:space="preserve">Európska Komisia </w:t>
            </w:r>
          </w:p>
        </w:tc>
        <w:tc>
          <w:tcPr>
            <w:tcW w:w="2126" w:type="dxa"/>
            <w:tcBorders>
              <w:top w:val="nil"/>
            </w:tcBorders>
          </w:tcPr>
          <w:p w:rsidR="00DA5476" w:rsidRPr="00EA237A" w:rsidRDefault="00DA5476" w:rsidP="00197171">
            <w:pPr>
              <w:spacing w:beforeLines="40" w:before="96" w:afterLines="40" w:after="96"/>
              <w:jc w:val="left"/>
              <w:rPr>
                <w:sz w:val="20"/>
                <w:lang w:val="sk-SK"/>
              </w:rPr>
            </w:pPr>
            <w:r w:rsidRPr="00EA237A">
              <w:rPr>
                <w:sz w:val="20"/>
                <w:lang w:val="sk-SK"/>
              </w:rPr>
              <w:t>Zodpovední za program na úrovni krajiny</w:t>
            </w:r>
          </w:p>
          <w:p w:rsidR="00DA5476" w:rsidRPr="00EA237A" w:rsidRDefault="00DA5476" w:rsidP="00197171">
            <w:pPr>
              <w:spacing w:beforeLines="40" w:before="96" w:afterLines="40" w:after="96"/>
              <w:jc w:val="left"/>
              <w:rPr>
                <w:sz w:val="20"/>
                <w:lang w:val="sk-SK"/>
              </w:rPr>
            </w:pPr>
            <w:r w:rsidRPr="00EA237A">
              <w:rPr>
                <w:sz w:val="20"/>
                <w:lang w:val="sk-SK"/>
              </w:rPr>
              <w:t>Hodnotitelia</w:t>
            </w:r>
          </w:p>
          <w:p w:rsidR="00DA5476" w:rsidRPr="00EA237A" w:rsidRDefault="00DA5476" w:rsidP="00197171">
            <w:pPr>
              <w:spacing w:beforeLines="40" w:before="96"/>
              <w:jc w:val="left"/>
              <w:rPr>
                <w:sz w:val="20"/>
                <w:lang w:val="sk-SK"/>
              </w:rPr>
            </w:pPr>
            <w:r w:rsidRPr="00EA237A">
              <w:rPr>
                <w:sz w:val="20"/>
                <w:lang w:val="sk-SK"/>
              </w:rPr>
              <w:t>Externí hodnotitelia</w:t>
            </w:r>
          </w:p>
          <w:p w:rsidR="00DA5476" w:rsidRPr="00EA237A" w:rsidRDefault="00DA5476" w:rsidP="00197171">
            <w:pPr>
              <w:spacing w:beforeLines="40" w:before="96"/>
              <w:jc w:val="left"/>
              <w:rPr>
                <w:sz w:val="20"/>
                <w:lang w:val="sk-SK"/>
              </w:rPr>
            </w:pPr>
          </w:p>
        </w:tc>
        <w:tc>
          <w:tcPr>
            <w:tcW w:w="1984" w:type="dxa"/>
            <w:tcBorders>
              <w:top w:val="nil"/>
            </w:tcBorders>
          </w:tcPr>
          <w:p w:rsidR="00DA5476" w:rsidRPr="00EA237A" w:rsidRDefault="00DA5476" w:rsidP="00197171">
            <w:pPr>
              <w:spacing w:beforeLines="40" w:before="96" w:afterLines="40" w:after="96"/>
              <w:jc w:val="left"/>
              <w:rPr>
                <w:sz w:val="20"/>
                <w:lang w:val="sk-SK"/>
              </w:rPr>
            </w:pPr>
            <w:r w:rsidRPr="00EA237A">
              <w:rPr>
                <w:sz w:val="20"/>
                <w:lang w:val="sk-SK"/>
              </w:rPr>
              <w:t>Zodpovední za program na úrovni krajiny</w:t>
            </w:r>
          </w:p>
          <w:p w:rsidR="00DA5476" w:rsidRPr="00EA237A" w:rsidRDefault="00DA5476" w:rsidP="00197171">
            <w:pPr>
              <w:spacing w:beforeLines="40" w:before="96" w:afterLines="40" w:after="96"/>
              <w:jc w:val="left"/>
              <w:rPr>
                <w:sz w:val="20"/>
                <w:lang w:val="sk-SK"/>
              </w:rPr>
            </w:pPr>
          </w:p>
          <w:p w:rsidR="00DA5476" w:rsidRPr="00EA237A" w:rsidRDefault="00DA5476" w:rsidP="00197171">
            <w:pPr>
              <w:spacing w:beforeLines="40" w:before="96"/>
              <w:jc w:val="left"/>
              <w:rPr>
                <w:sz w:val="20"/>
                <w:lang w:val="sk-SK"/>
              </w:rPr>
            </w:pPr>
          </w:p>
        </w:tc>
      </w:tr>
      <w:tr w:rsidR="00DA5476" w:rsidRPr="00EA237A" w:rsidTr="00DA5476">
        <w:trPr>
          <w:cantSplit/>
          <w:trHeight w:val="2289"/>
        </w:trPr>
        <w:tc>
          <w:tcPr>
            <w:tcW w:w="817" w:type="dxa"/>
            <w:shd w:val="pct5" w:color="auto" w:fill="auto"/>
            <w:textDirection w:val="btLr"/>
          </w:tcPr>
          <w:p w:rsidR="00DA5476" w:rsidRPr="00EA237A" w:rsidRDefault="00DA5476" w:rsidP="00197171">
            <w:pPr>
              <w:spacing w:beforeLines="40" w:before="96" w:afterLines="40" w:after="96"/>
              <w:ind w:left="113" w:right="113"/>
              <w:jc w:val="center"/>
              <w:rPr>
                <w:sz w:val="20"/>
                <w:lang w:val="sk-SK"/>
              </w:rPr>
            </w:pPr>
            <w:r w:rsidRPr="00EA237A">
              <w:rPr>
                <w:sz w:val="20"/>
                <w:lang w:val="sk-SK"/>
              </w:rPr>
              <w:t>Typ účasti?</w:t>
            </w:r>
          </w:p>
        </w:tc>
        <w:tc>
          <w:tcPr>
            <w:tcW w:w="1985" w:type="dxa"/>
          </w:tcPr>
          <w:p w:rsidR="00DA5476" w:rsidRPr="00EA237A" w:rsidRDefault="00DA5476" w:rsidP="00197171">
            <w:pPr>
              <w:spacing w:beforeLines="40" w:before="96" w:afterLines="40" w:after="96"/>
              <w:rPr>
                <w:sz w:val="20"/>
                <w:lang w:val="sk-SK"/>
              </w:rPr>
            </w:pPr>
            <w:r w:rsidRPr="00EA237A">
              <w:rPr>
                <w:sz w:val="20"/>
                <w:lang w:val="sk-SK"/>
              </w:rPr>
              <w:t>Informácia</w:t>
            </w:r>
          </w:p>
        </w:tc>
        <w:tc>
          <w:tcPr>
            <w:tcW w:w="2268" w:type="dxa"/>
          </w:tcPr>
          <w:p w:rsidR="00DA5476" w:rsidRPr="00EA237A" w:rsidRDefault="00DA5476" w:rsidP="00197171">
            <w:pPr>
              <w:spacing w:beforeLines="40" w:before="96" w:afterLines="40" w:after="96"/>
              <w:rPr>
                <w:sz w:val="20"/>
                <w:lang w:val="sk-SK"/>
              </w:rPr>
            </w:pPr>
            <w:r w:rsidRPr="00EA237A">
              <w:rPr>
                <w:sz w:val="20"/>
                <w:lang w:val="sk-SK"/>
              </w:rPr>
              <w:t xml:space="preserve">Prezentácia, </w:t>
            </w:r>
          </w:p>
          <w:p w:rsidR="00DA5476" w:rsidRPr="00EA237A" w:rsidRDefault="00DA5476" w:rsidP="00197171">
            <w:pPr>
              <w:spacing w:beforeLines="40" w:before="96" w:afterLines="40" w:after="96"/>
              <w:rPr>
                <w:sz w:val="20"/>
                <w:lang w:val="sk-SK"/>
              </w:rPr>
            </w:pPr>
            <w:r w:rsidRPr="00EA237A">
              <w:rPr>
                <w:sz w:val="20"/>
                <w:lang w:val="sk-SK"/>
              </w:rPr>
              <w:t xml:space="preserve">Poradenstvo, </w:t>
            </w:r>
          </w:p>
          <w:p w:rsidR="00DA5476" w:rsidRPr="00EA237A" w:rsidRDefault="00DA5476" w:rsidP="00197171">
            <w:pPr>
              <w:spacing w:beforeLines="40" w:before="96" w:afterLines="40" w:after="96"/>
              <w:rPr>
                <w:sz w:val="20"/>
                <w:lang w:val="sk-SK"/>
              </w:rPr>
            </w:pPr>
            <w:r w:rsidRPr="00EA237A">
              <w:rPr>
                <w:sz w:val="20"/>
                <w:lang w:val="sk-SK"/>
              </w:rPr>
              <w:t>Konzultácie,</w:t>
            </w:r>
          </w:p>
          <w:p w:rsidR="00DA5476" w:rsidRPr="00EA237A" w:rsidRDefault="00DA5476" w:rsidP="00197171">
            <w:pPr>
              <w:spacing w:beforeLines="40" w:before="96" w:afterLines="40" w:after="96"/>
              <w:rPr>
                <w:sz w:val="20"/>
                <w:lang w:val="sk-SK"/>
              </w:rPr>
            </w:pPr>
            <w:r w:rsidRPr="00EA237A">
              <w:rPr>
                <w:sz w:val="20"/>
                <w:lang w:val="sk-SK"/>
              </w:rPr>
              <w:t>Návrhy metodických postupov v predmete hodnotenia,</w:t>
            </w:r>
          </w:p>
          <w:p w:rsidR="00DA5476" w:rsidRPr="00EA237A" w:rsidRDefault="00DA5476" w:rsidP="00197171">
            <w:pPr>
              <w:spacing w:beforeLines="40" w:before="96" w:afterLines="40" w:after="96"/>
              <w:rPr>
                <w:sz w:val="20"/>
                <w:lang w:val="sk-SK"/>
              </w:rPr>
            </w:pPr>
            <w:r w:rsidRPr="00EA237A">
              <w:rPr>
                <w:sz w:val="20"/>
                <w:lang w:val="sk-SK"/>
              </w:rPr>
              <w:t>Odhlasovanie na oficiálnych výboroch</w:t>
            </w:r>
          </w:p>
        </w:tc>
        <w:tc>
          <w:tcPr>
            <w:tcW w:w="2126" w:type="dxa"/>
          </w:tcPr>
          <w:p w:rsidR="00DA5476" w:rsidRPr="00EA237A" w:rsidRDefault="00DA5476" w:rsidP="00197171">
            <w:pPr>
              <w:spacing w:beforeLines="40" w:before="96"/>
              <w:jc w:val="left"/>
              <w:rPr>
                <w:sz w:val="20"/>
                <w:lang w:val="sk-SK"/>
              </w:rPr>
            </w:pPr>
            <w:r w:rsidRPr="00EA237A">
              <w:rPr>
                <w:sz w:val="20"/>
                <w:lang w:val="sk-SK"/>
              </w:rPr>
              <w:t>Stanovenie oblastí záberu hodnotenia a implementácia hodnotenia</w:t>
            </w:r>
          </w:p>
        </w:tc>
        <w:tc>
          <w:tcPr>
            <w:tcW w:w="1984" w:type="dxa"/>
          </w:tcPr>
          <w:p w:rsidR="00DA5476" w:rsidRPr="00EA237A" w:rsidRDefault="00DA5476" w:rsidP="00197171">
            <w:pPr>
              <w:spacing w:beforeLines="40" w:before="96"/>
              <w:jc w:val="left"/>
              <w:rPr>
                <w:sz w:val="20"/>
                <w:lang w:val="sk-SK"/>
              </w:rPr>
            </w:pPr>
            <w:r w:rsidRPr="00EA237A">
              <w:rPr>
                <w:sz w:val="20"/>
                <w:lang w:val="sk-SK"/>
              </w:rPr>
              <w:t>Základné rozhodnutia o programe</w:t>
            </w:r>
          </w:p>
        </w:tc>
      </w:tr>
      <w:tr w:rsidR="00DA5476" w:rsidRPr="00EA237A" w:rsidTr="00DA5476">
        <w:trPr>
          <w:cantSplit/>
          <w:trHeight w:val="2289"/>
        </w:trPr>
        <w:tc>
          <w:tcPr>
            <w:tcW w:w="817" w:type="dxa"/>
            <w:shd w:val="pct5" w:color="auto" w:fill="auto"/>
            <w:textDirection w:val="btLr"/>
          </w:tcPr>
          <w:p w:rsidR="00DA5476" w:rsidRPr="00EA237A" w:rsidRDefault="00DA5476" w:rsidP="00197171">
            <w:pPr>
              <w:spacing w:beforeLines="40" w:before="96" w:afterLines="40" w:after="96"/>
              <w:ind w:left="113" w:right="113"/>
              <w:jc w:val="center"/>
              <w:rPr>
                <w:sz w:val="20"/>
                <w:lang w:val="sk-SK"/>
              </w:rPr>
            </w:pPr>
            <w:r w:rsidRPr="00EA237A">
              <w:rPr>
                <w:sz w:val="20"/>
                <w:lang w:val="sk-SK"/>
              </w:rPr>
              <w:t>Forma a termín  účasti?</w:t>
            </w:r>
          </w:p>
        </w:tc>
        <w:tc>
          <w:tcPr>
            <w:tcW w:w="1985" w:type="dxa"/>
          </w:tcPr>
          <w:p w:rsidR="00DA5476" w:rsidRPr="00EA237A" w:rsidRDefault="00DA5476" w:rsidP="00197171">
            <w:pPr>
              <w:spacing w:beforeLines="40" w:before="96" w:afterLines="40" w:after="96"/>
              <w:rPr>
                <w:sz w:val="20"/>
                <w:lang w:val="sk-SK"/>
              </w:rPr>
            </w:pPr>
            <w:r w:rsidRPr="00EA237A">
              <w:rPr>
                <w:sz w:val="20"/>
                <w:lang w:val="sk-SK"/>
              </w:rPr>
              <w:t>Internetová stránka Ministerstva pôdohospodárstva a rozvoja vidieka SR</w:t>
            </w:r>
          </w:p>
          <w:p w:rsidR="00DA5476" w:rsidRPr="00EA237A" w:rsidRDefault="00DA5476" w:rsidP="00197171">
            <w:pPr>
              <w:spacing w:beforeLines="40" w:before="96" w:afterLines="40" w:after="96"/>
              <w:rPr>
                <w:sz w:val="20"/>
                <w:lang w:val="sk-SK"/>
              </w:rPr>
            </w:pPr>
            <w:r w:rsidRPr="00EA237A">
              <w:rPr>
                <w:sz w:val="20"/>
                <w:lang w:val="sk-SK"/>
              </w:rPr>
              <w:t>Internetový portál NSRV</w:t>
            </w:r>
          </w:p>
          <w:p w:rsidR="00DA5476" w:rsidRPr="00EA237A" w:rsidRDefault="00DA5476" w:rsidP="00197171">
            <w:pPr>
              <w:spacing w:beforeLines="40" w:before="96" w:afterLines="40" w:after="96"/>
              <w:rPr>
                <w:sz w:val="20"/>
                <w:lang w:val="sk-SK"/>
              </w:rPr>
            </w:pPr>
            <w:r w:rsidRPr="00EA237A">
              <w:rPr>
                <w:sz w:val="20"/>
                <w:lang w:val="sk-SK"/>
              </w:rPr>
              <w:t xml:space="preserve">Články v odborných časopisoch </w:t>
            </w:r>
          </w:p>
          <w:p w:rsidR="00DA5476" w:rsidRPr="00EA237A" w:rsidRDefault="00DA5476" w:rsidP="00197171">
            <w:pPr>
              <w:spacing w:beforeLines="40" w:before="96" w:afterLines="40" w:after="96"/>
              <w:rPr>
                <w:sz w:val="20"/>
                <w:lang w:val="sk-SK"/>
              </w:rPr>
            </w:pPr>
          </w:p>
        </w:tc>
        <w:tc>
          <w:tcPr>
            <w:tcW w:w="2268" w:type="dxa"/>
          </w:tcPr>
          <w:p w:rsidR="00DA5476" w:rsidRPr="00EA237A" w:rsidRDefault="00DA5476" w:rsidP="00197171">
            <w:pPr>
              <w:spacing w:beforeLines="40" w:before="96" w:afterLines="40" w:after="96"/>
              <w:rPr>
                <w:sz w:val="20"/>
                <w:lang w:val="sk-SK"/>
              </w:rPr>
            </w:pPr>
            <w:r>
              <w:rPr>
                <w:sz w:val="20"/>
                <w:lang w:val="sk-SK"/>
              </w:rPr>
              <w:t>Pracovná skupina pre hodnotenie</w:t>
            </w:r>
          </w:p>
          <w:p w:rsidR="00DA5476" w:rsidRPr="00EA237A" w:rsidRDefault="00DA5476" w:rsidP="00197171">
            <w:pPr>
              <w:spacing w:beforeLines="40" w:before="96" w:afterLines="40" w:after="96"/>
              <w:rPr>
                <w:sz w:val="20"/>
                <w:lang w:val="sk-SK"/>
              </w:rPr>
            </w:pPr>
            <w:r w:rsidRPr="00EA237A">
              <w:rPr>
                <w:sz w:val="20"/>
                <w:lang w:val="sk-SK"/>
              </w:rPr>
              <w:t xml:space="preserve">Prezentácie výsledkov, špeciálne workshopy, </w:t>
            </w:r>
          </w:p>
          <w:p w:rsidR="00DA5476" w:rsidRPr="00EA237A" w:rsidRDefault="00DA5476" w:rsidP="00197171">
            <w:pPr>
              <w:spacing w:beforeLines="40" w:before="96" w:afterLines="40" w:after="96"/>
              <w:rPr>
                <w:sz w:val="20"/>
                <w:lang w:val="sk-SK"/>
              </w:rPr>
            </w:pPr>
            <w:r w:rsidRPr="00EA237A">
              <w:rPr>
                <w:sz w:val="20"/>
                <w:lang w:val="sk-SK"/>
              </w:rPr>
              <w:t>Podujatia NSRV</w:t>
            </w:r>
          </w:p>
          <w:p w:rsidR="00DA5476" w:rsidRPr="00EA237A" w:rsidRDefault="00DA5476" w:rsidP="00197171">
            <w:pPr>
              <w:spacing w:beforeLines="40" w:before="96" w:afterLines="40" w:after="96"/>
              <w:rPr>
                <w:sz w:val="20"/>
                <w:lang w:val="sk-SK"/>
              </w:rPr>
            </w:pPr>
          </w:p>
        </w:tc>
        <w:tc>
          <w:tcPr>
            <w:tcW w:w="2126" w:type="dxa"/>
          </w:tcPr>
          <w:p w:rsidR="00DA5476" w:rsidRPr="00EA237A" w:rsidRDefault="00DA5476" w:rsidP="00197171">
            <w:pPr>
              <w:spacing w:beforeLines="40" w:before="96" w:afterLines="40" w:after="96"/>
              <w:jc w:val="left"/>
              <w:rPr>
                <w:sz w:val="20"/>
                <w:lang w:val="sk-SK"/>
              </w:rPr>
            </w:pPr>
            <w:r w:rsidRPr="00EA237A">
              <w:rPr>
                <w:sz w:val="20"/>
                <w:lang w:val="sk-SK"/>
              </w:rPr>
              <w:t>Konzultácie - hodnotitelia</w:t>
            </w:r>
          </w:p>
          <w:p w:rsidR="00DA5476" w:rsidRPr="00EA237A" w:rsidRDefault="00DA5476" w:rsidP="00197171">
            <w:pPr>
              <w:spacing w:beforeLines="40" w:before="96" w:afterLines="40" w:after="96"/>
              <w:jc w:val="left"/>
              <w:rPr>
                <w:sz w:val="20"/>
                <w:lang w:val="sk-SK"/>
              </w:rPr>
            </w:pPr>
            <w:r w:rsidRPr="00EA237A">
              <w:rPr>
                <w:sz w:val="20"/>
                <w:lang w:val="sk-SK"/>
              </w:rPr>
              <w:t>Diskusie medzi zodpovednými za program a hodnotiteľmi</w:t>
            </w:r>
          </w:p>
          <w:p w:rsidR="00DA5476" w:rsidRPr="00EA237A" w:rsidRDefault="00DA5476" w:rsidP="00197171">
            <w:pPr>
              <w:spacing w:beforeLines="40" w:before="96" w:afterLines="40" w:after="96"/>
              <w:jc w:val="left"/>
              <w:rPr>
                <w:sz w:val="20"/>
                <w:lang w:val="sk-SK"/>
              </w:rPr>
            </w:pPr>
            <w:r w:rsidRPr="00EA237A">
              <w:rPr>
                <w:sz w:val="20"/>
                <w:lang w:val="sk-SK"/>
              </w:rPr>
              <w:t xml:space="preserve">Riadiace skupiny pre externé projekty </w:t>
            </w:r>
          </w:p>
        </w:tc>
        <w:tc>
          <w:tcPr>
            <w:tcW w:w="1984" w:type="dxa"/>
          </w:tcPr>
          <w:p w:rsidR="00DA5476" w:rsidRPr="00EA237A" w:rsidRDefault="00DA5476" w:rsidP="00197171">
            <w:pPr>
              <w:spacing w:beforeLines="40" w:before="96" w:afterLines="40" w:after="96"/>
              <w:jc w:val="left"/>
              <w:rPr>
                <w:sz w:val="20"/>
                <w:lang w:val="sk-SK"/>
              </w:rPr>
            </w:pPr>
            <w:r>
              <w:rPr>
                <w:sz w:val="20"/>
                <w:lang w:val="sk-SK"/>
              </w:rPr>
              <w:t>Pracovná skupina pre hodnotenie</w:t>
            </w:r>
          </w:p>
          <w:p w:rsidR="00DA5476" w:rsidRPr="00EA237A" w:rsidRDefault="00DA5476" w:rsidP="00197171">
            <w:pPr>
              <w:spacing w:beforeLines="40" w:before="96" w:afterLines="40" w:after="96"/>
              <w:jc w:val="left"/>
              <w:rPr>
                <w:sz w:val="20"/>
                <w:lang w:val="sk-SK"/>
              </w:rPr>
            </w:pPr>
          </w:p>
        </w:tc>
      </w:tr>
      <w:tr w:rsidR="00DA5476" w:rsidRPr="00EA237A" w:rsidTr="00DA5476">
        <w:trPr>
          <w:cantSplit/>
          <w:trHeight w:val="699"/>
        </w:trPr>
        <w:tc>
          <w:tcPr>
            <w:tcW w:w="817" w:type="dxa"/>
            <w:shd w:val="pct5" w:color="auto" w:fill="auto"/>
            <w:textDirection w:val="btLr"/>
          </w:tcPr>
          <w:p w:rsidR="00DA5476" w:rsidRPr="00EA237A" w:rsidRDefault="00DA5476" w:rsidP="00197171">
            <w:pPr>
              <w:spacing w:beforeLines="40" w:before="96" w:afterLines="40" w:after="96"/>
              <w:ind w:left="113" w:right="113"/>
              <w:jc w:val="center"/>
              <w:rPr>
                <w:sz w:val="20"/>
                <w:lang w:val="sk-SK"/>
              </w:rPr>
            </w:pPr>
          </w:p>
        </w:tc>
        <w:tc>
          <w:tcPr>
            <w:tcW w:w="4253" w:type="dxa"/>
            <w:gridSpan w:val="2"/>
          </w:tcPr>
          <w:p w:rsidR="00DA5476" w:rsidRPr="00EA237A" w:rsidRDefault="00DA5476" w:rsidP="00197171">
            <w:pPr>
              <w:spacing w:beforeLines="40" w:before="96" w:afterLines="40" w:after="96"/>
              <w:rPr>
                <w:sz w:val="20"/>
                <w:lang w:val="sk-SK"/>
              </w:rPr>
            </w:pPr>
            <w:r w:rsidRPr="00EA237A">
              <w:rPr>
                <w:sz w:val="20"/>
                <w:lang w:val="sk-SK"/>
              </w:rPr>
              <w:t>Pravidelná výmena informácií po ukončení a prevzatí hodnotiacich prác  (priebežné a konečné správy)</w:t>
            </w:r>
          </w:p>
        </w:tc>
        <w:tc>
          <w:tcPr>
            <w:tcW w:w="4110" w:type="dxa"/>
            <w:gridSpan w:val="2"/>
          </w:tcPr>
          <w:p w:rsidR="00DA5476" w:rsidRPr="00EA237A" w:rsidRDefault="00DA5476" w:rsidP="00197171">
            <w:pPr>
              <w:spacing w:beforeLines="40" w:before="96" w:afterLines="40" w:after="96"/>
              <w:rPr>
                <w:sz w:val="20"/>
                <w:lang w:val="sk-SK"/>
              </w:rPr>
            </w:pPr>
            <w:r w:rsidRPr="00EA237A">
              <w:rPr>
                <w:sz w:val="20"/>
                <w:lang w:val="sk-SK"/>
              </w:rPr>
              <w:t>Pravidelné Jour-Fix a neustála diskusia o výsledkoch hodnotenia</w:t>
            </w:r>
          </w:p>
        </w:tc>
      </w:tr>
    </w:tbl>
    <w:p w:rsidR="00DA5476" w:rsidRDefault="00DA5476" w:rsidP="008676F9">
      <w:pPr>
        <w:spacing w:before="120" w:after="200"/>
        <w:rPr>
          <w:rFonts w:ascii="Calibri" w:hAnsi="Calibri"/>
          <w:szCs w:val="22"/>
        </w:rPr>
      </w:pPr>
    </w:p>
    <w:p w:rsidR="008676F9" w:rsidRPr="008676F9" w:rsidRDefault="008676F9" w:rsidP="008676F9">
      <w:pPr>
        <w:spacing w:before="120" w:after="200"/>
        <w:rPr>
          <w:rFonts w:ascii="Calibri" w:hAnsi="Calibri"/>
          <w:szCs w:val="22"/>
        </w:rPr>
      </w:pPr>
      <w:r w:rsidRPr="008676F9">
        <w:rPr>
          <w:rFonts w:ascii="Calibri" w:hAnsi="Calibri"/>
          <w:szCs w:val="22"/>
        </w:rPr>
        <w:t xml:space="preserve">Dosiahnuté výsledky z hodnotení môžu byť využité a implementované iba ak sú prezentované cieľovým skupinám v správnom čase. Z toho dôvodu je dôležitou časťou plánovania hodnotiacich aktivít aj príprava vhodnej komunikačnej stratégie pre výsledky z hodnotení. </w:t>
      </w:r>
    </w:p>
    <w:p w:rsidR="008676F9" w:rsidRPr="008676F9" w:rsidRDefault="008676F9" w:rsidP="008643A9">
      <w:pPr>
        <w:spacing w:before="120" w:after="200"/>
        <w:rPr>
          <w:rFonts w:ascii="Calibri" w:hAnsi="Calibri"/>
          <w:szCs w:val="22"/>
        </w:rPr>
      </w:pPr>
      <w:r w:rsidRPr="008676F9">
        <w:rPr>
          <w:rFonts w:ascii="Calibri" w:hAnsi="Calibri"/>
          <w:szCs w:val="22"/>
        </w:rPr>
        <w:t>Pre vytvorenie komunikačnej stratégie je potrebné zadefinovať nasledovné časti stratégie:</w:t>
      </w:r>
    </w:p>
    <w:p w:rsidR="008676F9" w:rsidRPr="008676F9" w:rsidRDefault="008676F9" w:rsidP="00CE203B">
      <w:pPr>
        <w:numPr>
          <w:ilvl w:val="0"/>
          <w:numId w:val="287"/>
        </w:numPr>
        <w:spacing w:after="120"/>
        <w:ind w:left="714" w:hanging="357"/>
        <w:rPr>
          <w:rFonts w:ascii="Calibri" w:hAnsi="Calibri"/>
          <w:szCs w:val="22"/>
        </w:rPr>
      </w:pPr>
      <w:r w:rsidRPr="008676F9">
        <w:rPr>
          <w:rFonts w:ascii="Calibri" w:hAnsi="Calibri"/>
          <w:b/>
          <w:szCs w:val="22"/>
        </w:rPr>
        <w:t xml:space="preserve">Úloha </w:t>
      </w:r>
      <w:r w:rsidR="008643A9">
        <w:rPr>
          <w:rFonts w:ascii="Calibri" w:hAnsi="Calibri"/>
          <w:b/>
          <w:szCs w:val="22"/>
        </w:rPr>
        <w:t>r</w:t>
      </w:r>
      <w:r w:rsidRPr="008676F9">
        <w:rPr>
          <w:rFonts w:ascii="Calibri" w:hAnsi="Calibri"/>
          <w:b/>
          <w:szCs w:val="22"/>
        </w:rPr>
        <w:t>iadiaceho orgánu (Kto):</w:t>
      </w:r>
      <w:r w:rsidRPr="008676F9">
        <w:rPr>
          <w:rFonts w:ascii="Calibri" w:hAnsi="Calibri"/>
          <w:szCs w:val="22"/>
        </w:rPr>
        <w:t xml:space="preserve"> je zodpovedný za prípravu a realizáciu komunikačnej stratégie pre výsledky z hodnotení.  Riadiacemu orgánu môže asistovať Riadiaca skupina pre hodnotenie. </w:t>
      </w:r>
    </w:p>
    <w:p w:rsidR="008676F9" w:rsidRPr="008676F9" w:rsidRDefault="008676F9" w:rsidP="00CE203B">
      <w:pPr>
        <w:numPr>
          <w:ilvl w:val="0"/>
          <w:numId w:val="287"/>
        </w:numPr>
        <w:spacing w:after="120"/>
        <w:ind w:left="714" w:hanging="357"/>
        <w:rPr>
          <w:rFonts w:ascii="Calibri" w:hAnsi="Calibri"/>
          <w:szCs w:val="22"/>
        </w:rPr>
      </w:pPr>
      <w:r w:rsidRPr="008676F9">
        <w:rPr>
          <w:rFonts w:ascii="Calibri" w:hAnsi="Calibri"/>
          <w:b/>
          <w:szCs w:val="22"/>
        </w:rPr>
        <w:t>Cieľová skupina (Pre koho)</w:t>
      </w:r>
      <w:r w:rsidRPr="008676F9">
        <w:rPr>
          <w:rFonts w:ascii="Calibri" w:hAnsi="Calibri"/>
          <w:szCs w:val="22"/>
        </w:rPr>
        <w:t xml:space="preserve">: okrem účastníkov systému monitorovania a hodnotenia (RO, PPA, Monitorovací výbor, Riadiaca skupina pre hodnotenie, MAS) patria medzi cieľové skupiny aj tvorcovia politiky ako aj široká verejnosť. </w:t>
      </w:r>
    </w:p>
    <w:p w:rsidR="008676F9" w:rsidRPr="008676F9" w:rsidRDefault="008676F9" w:rsidP="00CE203B">
      <w:pPr>
        <w:numPr>
          <w:ilvl w:val="0"/>
          <w:numId w:val="287"/>
        </w:numPr>
        <w:spacing w:after="120"/>
        <w:ind w:left="714" w:hanging="357"/>
        <w:rPr>
          <w:rFonts w:ascii="Calibri" w:hAnsi="Calibri"/>
          <w:szCs w:val="22"/>
        </w:rPr>
      </w:pPr>
      <w:r w:rsidRPr="008676F9">
        <w:rPr>
          <w:rFonts w:ascii="Calibri" w:hAnsi="Calibri"/>
          <w:b/>
          <w:szCs w:val="22"/>
        </w:rPr>
        <w:t>Informačné potreby (Čo)</w:t>
      </w:r>
      <w:r w:rsidRPr="008676F9">
        <w:rPr>
          <w:rFonts w:ascii="Calibri" w:hAnsi="Calibri"/>
          <w:szCs w:val="22"/>
        </w:rPr>
        <w:t xml:space="preserve">: Jednotlivé identifikované cieľové skupiny požadujú rôzne informácie z výsledkov hodnotení a monitoringu pre svoje potreby.  Je nutné identifikovať informačné potreby cieľových skupín na začiatku plánovania hodnotiacich aktivít aby bola zaručená dostupnosť požadovaných informácii pre jednotlivé cieľové skupiny v požadovanom čase. </w:t>
      </w:r>
    </w:p>
    <w:p w:rsidR="008676F9" w:rsidRPr="008676F9" w:rsidRDefault="008676F9" w:rsidP="00CE203B">
      <w:pPr>
        <w:numPr>
          <w:ilvl w:val="0"/>
          <w:numId w:val="287"/>
        </w:numPr>
        <w:spacing w:after="120"/>
        <w:ind w:left="714" w:hanging="357"/>
        <w:rPr>
          <w:rFonts w:ascii="Calibri" w:hAnsi="Calibri"/>
          <w:szCs w:val="22"/>
        </w:rPr>
      </w:pPr>
      <w:r w:rsidRPr="008676F9">
        <w:rPr>
          <w:rFonts w:ascii="Calibri" w:hAnsi="Calibri"/>
          <w:b/>
          <w:szCs w:val="22"/>
        </w:rPr>
        <w:t>Správne časovanie (Kedy)</w:t>
      </w:r>
      <w:r w:rsidRPr="008676F9">
        <w:rPr>
          <w:rFonts w:ascii="Calibri" w:hAnsi="Calibri"/>
          <w:szCs w:val="22"/>
        </w:rPr>
        <w:t xml:space="preserve">: počas plánovania informačných potrieb pre cieľové skupiny, je dôležité prepojiť plánované hodnotiace aktivity s časovým harmonogramom tvorby politiky. </w:t>
      </w:r>
    </w:p>
    <w:p w:rsidR="008676F9" w:rsidRPr="008676F9" w:rsidRDefault="008676F9" w:rsidP="00CE203B">
      <w:pPr>
        <w:numPr>
          <w:ilvl w:val="0"/>
          <w:numId w:val="287"/>
        </w:numPr>
        <w:spacing w:after="120"/>
        <w:ind w:left="714" w:hanging="357"/>
        <w:rPr>
          <w:rFonts w:ascii="Calibri" w:hAnsi="Calibri"/>
          <w:szCs w:val="22"/>
        </w:rPr>
      </w:pPr>
      <w:r w:rsidRPr="008676F9">
        <w:rPr>
          <w:rFonts w:ascii="Calibri" w:hAnsi="Calibri"/>
          <w:b/>
          <w:szCs w:val="22"/>
        </w:rPr>
        <w:t>Komunikačné kanály (Ako)</w:t>
      </w:r>
      <w:r w:rsidRPr="008676F9">
        <w:rPr>
          <w:rFonts w:ascii="Calibri" w:hAnsi="Calibri"/>
          <w:szCs w:val="22"/>
        </w:rPr>
        <w:t xml:space="preserve">: po identifikovaní hlavných cieľových skupín a potrebných informácií je dôležité určiť hlavné informačné kanály, ktoré budú použité pre komunikáciu s rôznymi skupinami prijímateľov informácií. Minimálnou požiadavkou je zverejniť všetky hodnotiace správy prostredníctvom web stránky RO. </w:t>
      </w:r>
    </w:p>
    <w:p w:rsidR="008676F9" w:rsidRPr="008676F9" w:rsidRDefault="008676F9" w:rsidP="008676F9">
      <w:pPr>
        <w:spacing w:before="120" w:after="200"/>
        <w:ind w:firstLine="360"/>
        <w:rPr>
          <w:rFonts w:ascii="Calibri" w:hAnsi="Calibri"/>
          <w:szCs w:val="22"/>
        </w:rPr>
      </w:pPr>
      <w:r w:rsidRPr="008676F9">
        <w:rPr>
          <w:rFonts w:ascii="Calibri" w:hAnsi="Calibri"/>
          <w:szCs w:val="22"/>
        </w:rPr>
        <w:t xml:space="preserve">Komunikačnú stratégiu je potrebné pravidelne monitorovať a kontrolovať. </w:t>
      </w:r>
    </w:p>
    <w:p w:rsidR="008676F9" w:rsidRPr="008676F9" w:rsidRDefault="008676F9" w:rsidP="008676F9">
      <w:pPr>
        <w:spacing w:before="120" w:after="200"/>
        <w:rPr>
          <w:rFonts w:ascii="Calibri" w:hAnsi="Calibri"/>
          <w:b/>
          <w:i/>
          <w:szCs w:val="22"/>
        </w:rPr>
      </w:pPr>
      <w:r w:rsidRPr="008676F9">
        <w:rPr>
          <w:rFonts w:ascii="Calibri" w:hAnsi="Calibri"/>
          <w:b/>
          <w:i/>
          <w:szCs w:val="22"/>
        </w:rPr>
        <w:t>Dôležité časti komunikačnej stratégie:</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786"/>
        <w:gridCol w:w="1786"/>
        <w:gridCol w:w="1786"/>
        <w:gridCol w:w="1786"/>
        <w:gridCol w:w="1786"/>
      </w:tblGrid>
      <w:tr w:rsidR="00DA5476" w:rsidRPr="00EA237A" w:rsidTr="00DA5476">
        <w:tc>
          <w:tcPr>
            <w:tcW w:w="1786" w:type="dxa"/>
            <w:shd w:val="clear" w:color="auto" w:fill="DAEEF3"/>
          </w:tcPr>
          <w:p w:rsidR="00DA5476" w:rsidRPr="00EA237A" w:rsidRDefault="00DA5476" w:rsidP="00DA5476">
            <w:pPr>
              <w:spacing w:before="120"/>
              <w:contextualSpacing/>
              <w:rPr>
                <w:rFonts w:ascii="Calibri" w:hAnsi="Calibri"/>
                <w:b/>
                <w:sz w:val="20"/>
                <w:szCs w:val="20"/>
              </w:rPr>
            </w:pPr>
            <w:r w:rsidRPr="00EA237A">
              <w:rPr>
                <w:rFonts w:ascii="Calibri" w:hAnsi="Calibri"/>
                <w:b/>
                <w:sz w:val="20"/>
                <w:szCs w:val="20"/>
              </w:rPr>
              <w:t>Kto</w:t>
            </w:r>
          </w:p>
        </w:tc>
        <w:tc>
          <w:tcPr>
            <w:tcW w:w="1786" w:type="dxa"/>
            <w:shd w:val="clear" w:color="auto" w:fill="DAEEF3"/>
          </w:tcPr>
          <w:p w:rsidR="00DA5476" w:rsidRPr="00EA237A" w:rsidRDefault="00DA5476" w:rsidP="00DA5476">
            <w:pPr>
              <w:spacing w:before="120"/>
              <w:contextualSpacing/>
              <w:rPr>
                <w:rFonts w:ascii="Calibri" w:hAnsi="Calibri"/>
                <w:b/>
                <w:sz w:val="20"/>
                <w:szCs w:val="20"/>
              </w:rPr>
            </w:pPr>
            <w:r w:rsidRPr="00EA237A">
              <w:rPr>
                <w:rFonts w:ascii="Calibri" w:hAnsi="Calibri"/>
                <w:b/>
                <w:sz w:val="20"/>
                <w:szCs w:val="20"/>
              </w:rPr>
              <w:t>Pre koho</w:t>
            </w:r>
          </w:p>
        </w:tc>
        <w:tc>
          <w:tcPr>
            <w:tcW w:w="1786" w:type="dxa"/>
            <w:shd w:val="clear" w:color="auto" w:fill="DAEEF3"/>
          </w:tcPr>
          <w:p w:rsidR="00DA5476" w:rsidRPr="00EA237A" w:rsidRDefault="00DA5476" w:rsidP="00DA5476">
            <w:pPr>
              <w:spacing w:before="120"/>
              <w:contextualSpacing/>
              <w:rPr>
                <w:rFonts w:ascii="Calibri" w:hAnsi="Calibri"/>
                <w:b/>
                <w:sz w:val="20"/>
                <w:szCs w:val="20"/>
              </w:rPr>
            </w:pPr>
            <w:r w:rsidRPr="00EA237A">
              <w:rPr>
                <w:rFonts w:ascii="Calibri" w:hAnsi="Calibri"/>
                <w:b/>
                <w:sz w:val="20"/>
                <w:szCs w:val="20"/>
              </w:rPr>
              <w:t>Čo</w:t>
            </w:r>
          </w:p>
        </w:tc>
        <w:tc>
          <w:tcPr>
            <w:tcW w:w="1786" w:type="dxa"/>
            <w:shd w:val="clear" w:color="auto" w:fill="DAEEF3"/>
          </w:tcPr>
          <w:p w:rsidR="00DA5476" w:rsidRPr="00EA237A" w:rsidRDefault="00DA5476" w:rsidP="00DA5476">
            <w:pPr>
              <w:spacing w:before="120"/>
              <w:contextualSpacing/>
              <w:rPr>
                <w:rFonts w:ascii="Calibri" w:hAnsi="Calibri"/>
                <w:b/>
                <w:sz w:val="20"/>
                <w:szCs w:val="20"/>
              </w:rPr>
            </w:pPr>
            <w:r w:rsidRPr="00EA237A">
              <w:rPr>
                <w:rFonts w:ascii="Calibri" w:hAnsi="Calibri"/>
                <w:b/>
                <w:sz w:val="20"/>
                <w:szCs w:val="20"/>
              </w:rPr>
              <w:t>Kedy</w:t>
            </w:r>
          </w:p>
        </w:tc>
        <w:tc>
          <w:tcPr>
            <w:tcW w:w="1786" w:type="dxa"/>
            <w:shd w:val="clear" w:color="auto" w:fill="DAEEF3"/>
          </w:tcPr>
          <w:p w:rsidR="00DA5476" w:rsidRPr="00EA237A" w:rsidRDefault="00DA5476" w:rsidP="00DA5476">
            <w:pPr>
              <w:spacing w:before="120"/>
              <w:contextualSpacing/>
              <w:rPr>
                <w:rFonts w:ascii="Calibri" w:hAnsi="Calibri"/>
                <w:b/>
                <w:sz w:val="20"/>
                <w:szCs w:val="20"/>
              </w:rPr>
            </w:pPr>
            <w:r w:rsidRPr="00EA237A">
              <w:rPr>
                <w:rFonts w:ascii="Calibri" w:hAnsi="Calibri"/>
                <w:b/>
                <w:sz w:val="20"/>
                <w:szCs w:val="20"/>
              </w:rPr>
              <w:t>Ako</w:t>
            </w:r>
          </w:p>
        </w:tc>
      </w:tr>
      <w:tr w:rsidR="00DA5476" w:rsidRPr="00EA237A" w:rsidTr="00DA5476">
        <w:tc>
          <w:tcPr>
            <w:tcW w:w="1786" w:type="dxa"/>
          </w:tcPr>
          <w:p w:rsidR="00DA5476" w:rsidRPr="00EA237A" w:rsidRDefault="00DA5476" w:rsidP="00DA5476">
            <w:pPr>
              <w:spacing w:before="120"/>
              <w:contextualSpacing/>
              <w:jc w:val="left"/>
              <w:rPr>
                <w:rFonts w:ascii="Calibri" w:hAnsi="Calibri"/>
                <w:sz w:val="20"/>
                <w:szCs w:val="20"/>
              </w:rPr>
            </w:pPr>
            <w:r w:rsidRPr="00EA237A">
              <w:rPr>
                <w:rFonts w:ascii="Calibri" w:hAnsi="Calibri"/>
                <w:sz w:val="20"/>
                <w:szCs w:val="20"/>
              </w:rPr>
              <w:t>Riadiaci orgán</w:t>
            </w:r>
          </w:p>
        </w:tc>
        <w:tc>
          <w:tcPr>
            <w:tcW w:w="1786" w:type="dxa"/>
          </w:tcPr>
          <w:p w:rsidR="00DA5476" w:rsidRPr="00EA237A" w:rsidRDefault="00DA5476" w:rsidP="00DA5476">
            <w:pPr>
              <w:spacing w:before="120"/>
              <w:contextualSpacing/>
              <w:jc w:val="left"/>
              <w:rPr>
                <w:rFonts w:ascii="Calibri" w:hAnsi="Calibri"/>
                <w:sz w:val="20"/>
                <w:szCs w:val="20"/>
              </w:rPr>
            </w:pPr>
            <w:r w:rsidRPr="00EA237A">
              <w:rPr>
                <w:rFonts w:ascii="Calibri" w:hAnsi="Calibri"/>
                <w:sz w:val="20"/>
                <w:szCs w:val="20"/>
              </w:rPr>
              <w:t xml:space="preserve">Riadiaci orgán, PPA, MV,  zúčastnené strany systému monitorovania a hodnotenia </w:t>
            </w:r>
          </w:p>
        </w:tc>
        <w:tc>
          <w:tcPr>
            <w:tcW w:w="1786" w:type="dxa"/>
          </w:tcPr>
          <w:p w:rsidR="00DA5476" w:rsidRPr="00EA237A" w:rsidRDefault="00DA5476" w:rsidP="00DA5476">
            <w:pPr>
              <w:spacing w:before="120"/>
              <w:contextualSpacing/>
              <w:jc w:val="left"/>
              <w:rPr>
                <w:rFonts w:ascii="Calibri" w:hAnsi="Calibri"/>
                <w:sz w:val="20"/>
                <w:szCs w:val="20"/>
              </w:rPr>
            </w:pPr>
            <w:r w:rsidRPr="00EA237A">
              <w:rPr>
                <w:rFonts w:ascii="Calibri" w:hAnsi="Calibri"/>
                <w:sz w:val="20"/>
                <w:szCs w:val="20"/>
              </w:rPr>
              <w:t>Zistenia z hodnotení PRV, potrebné pre zlepšenie implementácie programu</w:t>
            </w:r>
          </w:p>
        </w:tc>
        <w:tc>
          <w:tcPr>
            <w:tcW w:w="1786" w:type="dxa"/>
          </w:tcPr>
          <w:p w:rsidR="00DA5476" w:rsidRPr="00EA237A" w:rsidRDefault="00DA5476" w:rsidP="00DA5476">
            <w:pPr>
              <w:spacing w:before="120"/>
              <w:contextualSpacing/>
              <w:jc w:val="left"/>
              <w:rPr>
                <w:rFonts w:ascii="Calibri" w:hAnsi="Calibri"/>
                <w:sz w:val="20"/>
                <w:szCs w:val="20"/>
              </w:rPr>
            </w:pPr>
            <w:r w:rsidRPr="00EA237A">
              <w:rPr>
                <w:rFonts w:ascii="Calibri" w:hAnsi="Calibri"/>
                <w:sz w:val="20"/>
                <w:szCs w:val="20"/>
              </w:rPr>
              <w:t>V zmysle stanovených termínov z nariadenia RDR</w:t>
            </w:r>
          </w:p>
        </w:tc>
        <w:tc>
          <w:tcPr>
            <w:tcW w:w="1786" w:type="dxa"/>
          </w:tcPr>
          <w:p w:rsidR="00DA5476" w:rsidRPr="00EA237A" w:rsidRDefault="00DA5476" w:rsidP="00DA5476">
            <w:pPr>
              <w:spacing w:before="120"/>
              <w:contextualSpacing/>
              <w:jc w:val="left"/>
              <w:rPr>
                <w:rFonts w:ascii="Calibri" w:hAnsi="Calibri"/>
                <w:sz w:val="20"/>
                <w:szCs w:val="20"/>
              </w:rPr>
            </w:pPr>
            <w:r w:rsidRPr="00EA237A">
              <w:rPr>
                <w:rFonts w:ascii="Calibri" w:hAnsi="Calibri"/>
                <w:sz w:val="20"/>
                <w:szCs w:val="20"/>
              </w:rPr>
              <w:t>Hodnotiace správy</w:t>
            </w:r>
          </w:p>
        </w:tc>
      </w:tr>
      <w:tr w:rsidR="00DA5476" w:rsidRPr="00EA237A" w:rsidTr="00DA5476">
        <w:tc>
          <w:tcPr>
            <w:tcW w:w="1786" w:type="dxa"/>
          </w:tcPr>
          <w:p w:rsidR="00DA5476" w:rsidRPr="00EA237A" w:rsidRDefault="00DA5476" w:rsidP="00DA5476">
            <w:pPr>
              <w:spacing w:before="120"/>
              <w:contextualSpacing/>
              <w:jc w:val="left"/>
              <w:rPr>
                <w:rFonts w:ascii="Calibri" w:hAnsi="Calibri"/>
                <w:sz w:val="20"/>
                <w:szCs w:val="20"/>
              </w:rPr>
            </w:pPr>
            <w:r w:rsidRPr="00EA237A">
              <w:rPr>
                <w:rFonts w:ascii="Calibri" w:hAnsi="Calibri"/>
                <w:sz w:val="20"/>
                <w:szCs w:val="20"/>
              </w:rPr>
              <w:t>Riadiaci orgán</w:t>
            </w:r>
          </w:p>
        </w:tc>
        <w:tc>
          <w:tcPr>
            <w:tcW w:w="1786" w:type="dxa"/>
          </w:tcPr>
          <w:p w:rsidR="00DA5476" w:rsidRPr="00EA237A" w:rsidRDefault="00DA5476" w:rsidP="00DA5476">
            <w:pPr>
              <w:spacing w:before="120"/>
              <w:contextualSpacing/>
              <w:jc w:val="left"/>
              <w:rPr>
                <w:rFonts w:ascii="Calibri" w:hAnsi="Calibri"/>
                <w:sz w:val="20"/>
                <w:szCs w:val="20"/>
              </w:rPr>
            </w:pPr>
            <w:r w:rsidRPr="00EA237A">
              <w:rPr>
                <w:rFonts w:ascii="Calibri" w:hAnsi="Calibri"/>
                <w:sz w:val="20"/>
                <w:szCs w:val="20"/>
              </w:rPr>
              <w:t>Verejnosť</w:t>
            </w:r>
          </w:p>
        </w:tc>
        <w:tc>
          <w:tcPr>
            <w:tcW w:w="1786" w:type="dxa"/>
          </w:tcPr>
          <w:p w:rsidR="00DA5476" w:rsidRPr="00EA237A" w:rsidRDefault="00DA5476" w:rsidP="00DA5476">
            <w:pPr>
              <w:spacing w:before="120"/>
              <w:contextualSpacing/>
              <w:jc w:val="left"/>
              <w:rPr>
                <w:rFonts w:ascii="Calibri" w:hAnsi="Calibri"/>
                <w:noProof/>
                <w:sz w:val="20"/>
                <w:szCs w:val="20"/>
              </w:rPr>
            </w:pPr>
            <w:r w:rsidRPr="00EA237A">
              <w:rPr>
                <w:rFonts w:ascii="Calibri" w:hAnsi="Calibri"/>
                <w:noProof/>
                <w:sz w:val="20"/>
                <w:szCs w:val="20"/>
              </w:rPr>
              <w:t>Šírenie informácií o úspechoch PRV a úlohe Únie</w:t>
            </w:r>
          </w:p>
          <w:p w:rsidR="00DA5476" w:rsidRPr="00EA237A" w:rsidRDefault="00DA5476" w:rsidP="00DA5476">
            <w:pPr>
              <w:spacing w:before="120"/>
              <w:contextualSpacing/>
              <w:jc w:val="left"/>
              <w:rPr>
                <w:rFonts w:ascii="Calibri" w:hAnsi="Calibri"/>
                <w:sz w:val="20"/>
                <w:szCs w:val="20"/>
              </w:rPr>
            </w:pPr>
            <w:r w:rsidRPr="00EA237A">
              <w:rPr>
                <w:rFonts w:ascii="Calibri" w:hAnsi="Calibri"/>
                <w:noProof/>
                <w:sz w:val="20"/>
                <w:szCs w:val="20"/>
              </w:rPr>
              <w:t>Informácie o použití finančných prostriedkoch EPFRV</w:t>
            </w:r>
          </w:p>
        </w:tc>
        <w:tc>
          <w:tcPr>
            <w:tcW w:w="1786" w:type="dxa"/>
          </w:tcPr>
          <w:p w:rsidR="00DA5476" w:rsidRPr="00EA237A" w:rsidRDefault="00DA5476" w:rsidP="00DA5476">
            <w:pPr>
              <w:spacing w:before="120"/>
              <w:contextualSpacing/>
              <w:jc w:val="left"/>
              <w:rPr>
                <w:rFonts w:ascii="Calibri" w:hAnsi="Calibri"/>
                <w:sz w:val="20"/>
                <w:szCs w:val="20"/>
              </w:rPr>
            </w:pPr>
            <w:r w:rsidRPr="00EA237A">
              <w:rPr>
                <w:rFonts w:ascii="Calibri" w:hAnsi="Calibri"/>
                <w:sz w:val="20"/>
                <w:szCs w:val="20"/>
              </w:rPr>
              <w:t>Priebežne počas roka.</w:t>
            </w:r>
          </w:p>
        </w:tc>
        <w:tc>
          <w:tcPr>
            <w:tcW w:w="1786" w:type="dxa"/>
          </w:tcPr>
          <w:p w:rsidR="00DA5476" w:rsidRPr="00EA237A" w:rsidRDefault="00DA5476" w:rsidP="00DA5476">
            <w:pPr>
              <w:spacing w:before="120"/>
              <w:contextualSpacing/>
              <w:jc w:val="left"/>
              <w:rPr>
                <w:rFonts w:ascii="Calibri" w:hAnsi="Calibri"/>
                <w:sz w:val="20"/>
                <w:szCs w:val="20"/>
              </w:rPr>
            </w:pPr>
            <w:r w:rsidRPr="00EA237A">
              <w:rPr>
                <w:rFonts w:ascii="Calibri" w:hAnsi="Calibri"/>
                <w:sz w:val="20"/>
                <w:szCs w:val="20"/>
              </w:rPr>
              <w:t>Web stránka,</w:t>
            </w:r>
          </w:p>
          <w:p w:rsidR="00DA5476" w:rsidRPr="00EA237A" w:rsidRDefault="00DA5476" w:rsidP="00DA5476">
            <w:pPr>
              <w:spacing w:before="120"/>
              <w:contextualSpacing/>
              <w:jc w:val="left"/>
              <w:rPr>
                <w:rFonts w:ascii="Calibri" w:hAnsi="Calibri"/>
                <w:sz w:val="20"/>
                <w:szCs w:val="20"/>
              </w:rPr>
            </w:pPr>
            <w:r w:rsidRPr="00EA237A">
              <w:rPr>
                <w:rFonts w:ascii="Calibri" w:hAnsi="Calibri"/>
                <w:sz w:val="20"/>
                <w:szCs w:val="20"/>
              </w:rPr>
              <w:t>prezentácie pre odbornú verejnosť</w:t>
            </w:r>
          </w:p>
          <w:p w:rsidR="00DA5476" w:rsidRPr="00EA237A" w:rsidRDefault="00DA5476" w:rsidP="00DA5476">
            <w:pPr>
              <w:spacing w:before="120"/>
              <w:contextualSpacing/>
              <w:jc w:val="left"/>
              <w:rPr>
                <w:rFonts w:ascii="Calibri" w:hAnsi="Calibri"/>
                <w:sz w:val="20"/>
                <w:szCs w:val="20"/>
              </w:rPr>
            </w:pPr>
          </w:p>
        </w:tc>
      </w:tr>
      <w:tr w:rsidR="00DA5476" w:rsidRPr="00EA237A" w:rsidTr="00DA5476">
        <w:tc>
          <w:tcPr>
            <w:tcW w:w="1786" w:type="dxa"/>
          </w:tcPr>
          <w:p w:rsidR="00DA5476" w:rsidRPr="00EA237A" w:rsidRDefault="00DA5476" w:rsidP="00DA5476">
            <w:pPr>
              <w:spacing w:before="120"/>
              <w:contextualSpacing/>
              <w:jc w:val="left"/>
              <w:rPr>
                <w:rFonts w:ascii="Calibri" w:hAnsi="Calibri"/>
                <w:sz w:val="20"/>
                <w:szCs w:val="20"/>
              </w:rPr>
            </w:pPr>
            <w:r w:rsidRPr="00EA237A">
              <w:rPr>
                <w:rFonts w:ascii="Calibri" w:hAnsi="Calibri"/>
                <w:sz w:val="20"/>
                <w:szCs w:val="20"/>
              </w:rPr>
              <w:t>Riadiaci orgán</w:t>
            </w:r>
          </w:p>
        </w:tc>
        <w:tc>
          <w:tcPr>
            <w:tcW w:w="1786" w:type="dxa"/>
          </w:tcPr>
          <w:p w:rsidR="00DA5476" w:rsidRPr="00EA237A" w:rsidRDefault="00DA5476" w:rsidP="00DA5476">
            <w:pPr>
              <w:spacing w:before="120"/>
              <w:contextualSpacing/>
              <w:jc w:val="left"/>
              <w:rPr>
                <w:rFonts w:ascii="Calibri" w:hAnsi="Calibri"/>
                <w:sz w:val="20"/>
                <w:szCs w:val="20"/>
              </w:rPr>
            </w:pPr>
            <w:r w:rsidRPr="00EA237A">
              <w:rPr>
                <w:rFonts w:ascii="Calibri" w:hAnsi="Calibri"/>
                <w:sz w:val="20"/>
                <w:szCs w:val="20"/>
              </w:rPr>
              <w:t>Tvorcovia politiky</w:t>
            </w:r>
          </w:p>
        </w:tc>
        <w:tc>
          <w:tcPr>
            <w:tcW w:w="1786" w:type="dxa"/>
          </w:tcPr>
          <w:p w:rsidR="00DA5476" w:rsidRPr="00EA237A" w:rsidRDefault="00DA5476" w:rsidP="00DA5476">
            <w:pPr>
              <w:spacing w:before="120"/>
              <w:contextualSpacing/>
              <w:jc w:val="left"/>
              <w:rPr>
                <w:rFonts w:ascii="Calibri" w:hAnsi="Calibri"/>
                <w:sz w:val="20"/>
                <w:szCs w:val="20"/>
              </w:rPr>
            </w:pPr>
            <w:r w:rsidRPr="00EA237A">
              <w:rPr>
                <w:rFonts w:ascii="Calibri" w:hAnsi="Calibri"/>
                <w:sz w:val="20"/>
                <w:szCs w:val="20"/>
              </w:rPr>
              <w:t xml:space="preserve">Reálne výsledky, efekty a dosahy podporených intervencií. </w:t>
            </w:r>
          </w:p>
        </w:tc>
        <w:tc>
          <w:tcPr>
            <w:tcW w:w="1786" w:type="dxa"/>
          </w:tcPr>
          <w:p w:rsidR="00DA5476" w:rsidRPr="00EA237A" w:rsidRDefault="00DA5476" w:rsidP="00DA5476">
            <w:pPr>
              <w:spacing w:before="120"/>
              <w:contextualSpacing/>
              <w:jc w:val="left"/>
              <w:rPr>
                <w:rFonts w:ascii="Calibri" w:hAnsi="Calibri"/>
                <w:sz w:val="20"/>
                <w:szCs w:val="20"/>
              </w:rPr>
            </w:pPr>
            <w:r w:rsidRPr="00EA237A">
              <w:rPr>
                <w:rFonts w:ascii="Calibri" w:hAnsi="Calibri"/>
                <w:sz w:val="20"/>
                <w:szCs w:val="20"/>
              </w:rPr>
              <w:t>V zmysle stanovených termínov z nariadenia RDR</w:t>
            </w:r>
          </w:p>
        </w:tc>
        <w:tc>
          <w:tcPr>
            <w:tcW w:w="1786" w:type="dxa"/>
          </w:tcPr>
          <w:p w:rsidR="00DA5476" w:rsidRPr="00EA237A" w:rsidRDefault="00DA5476" w:rsidP="00DA5476">
            <w:pPr>
              <w:spacing w:before="120"/>
              <w:contextualSpacing/>
              <w:jc w:val="left"/>
              <w:rPr>
                <w:rFonts w:ascii="Calibri" w:hAnsi="Calibri"/>
                <w:sz w:val="20"/>
                <w:szCs w:val="20"/>
              </w:rPr>
            </w:pPr>
            <w:r w:rsidRPr="00EA237A">
              <w:rPr>
                <w:rFonts w:ascii="Calibri" w:hAnsi="Calibri"/>
                <w:sz w:val="20"/>
                <w:szCs w:val="20"/>
              </w:rPr>
              <w:t>Skrátená forma hodnotiacich správ</w:t>
            </w:r>
          </w:p>
        </w:tc>
      </w:tr>
    </w:tbl>
    <w:p w:rsidR="008676F9" w:rsidRPr="008676F9" w:rsidRDefault="008676F9" w:rsidP="008676F9">
      <w:pPr>
        <w:spacing w:before="120" w:after="200"/>
        <w:ind w:left="720"/>
        <w:contextualSpacing/>
        <w:rPr>
          <w:rFonts w:ascii="Calibri" w:hAnsi="Calibri"/>
          <w:szCs w:val="22"/>
        </w:rPr>
      </w:pPr>
    </w:p>
    <w:p w:rsidR="00DA5476" w:rsidRPr="0038275F" w:rsidRDefault="00DA5476" w:rsidP="00DA5476">
      <w:pPr>
        <w:spacing w:after="120"/>
        <w:rPr>
          <w:rFonts w:eastAsia="Calibri"/>
          <w:b/>
          <w:i/>
          <w:szCs w:val="22"/>
        </w:rPr>
      </w:pPr>
      <w:r w:rsidRPr="0038275F">
        <w:rPr>
          <w:rFonts w:eastAsia="Calibri"/>
          <w:b/>
          <w:i/>
          <w:szCs w:val="22"/>
        </w:rPr>
        <w:t>Interné a externé komunikačné toky:</w:t>
      </w:r>
    </w:p>
    <w:p w:rsidR="00DA5476" w:rsidRPr="0038275F" w:rsidRDefault="00DA5476" w:rsidP="00CE203B">
      <w:pPr>
        <w:numPr>
          <w:ilvl w:val="0"/>
          <w:numId w:val="389"/>
        </w:numPr>
        <w:spacing w:after="120"/>
        <w:ind w:left="284" w:hanging="284"/>
        <w:contextualSpacing/>
        <w:rPr>
          <w:rFonts w:eastAsia="Calibri"/>
          <w:i/>
          <w:szCs w:val="22"/>
          <w:u w:val="single"/>
        </w:rPr>
      </w:pPr>
      <w:r w:rsidRPr="0038275F">
        <w:rPr>
          <w:rFonts w:eastAsia="Calibri"/>
          <w:i/>
          <w:szCs w:val="22"/>
          <w:u w:val="single"/>
        </w:rPr>
        <w:t>Informovanie širokej verejnosti a občianskej spoločnosti:</w:t>
      </w:r>
    </w:p>
    <w:p w:rsidR="00DA5476" w:rsidRPr="0038275F" w:rsidRDefault="00DA5476" w:rsidP="00DA5476">
      <w:pPr>
        <w:autoSpaceDE w:val="0"/>
        <w:autoSpaceDN w:val="0"/>
        <w:adjustRightInd w:val="0"/>
        <w:rPr>
          <w:rFonts w:eastAsia="Calibri" w:cs="Calibri"/>
          <w:szCs w:val="22"/>
        </w:rPr>
      </w:pPr>
      <w:r w:rsidRPr="0038275F">
        <w:rPr>
          <w:rFonts w:eastAsia="Calibri" w:cs="Calibri"/>
          <w:szCs w:val="22"/>
        </w:rPr>
        <w:t xml:space="preserve">Všetky hodnotiace štúdie a hodnotiace správy budú uverejnené na internete na internetových stránkach: </w:t>
      </w:r>
    </w:p>
    <w:p w:rsidR="00DA5476" w:rsidRPr="0038275F" w:rsidRDefault="00954688" w:rsidP="00DA5476">
      <w:pPr>
        <w:autoSpaceDE w:val="0"/>
        <w:autoSpaceDN w:val="0"/>
        <w:adjustRightInd w:val="0"/>
        <w:spacing w:after="60"/>
        <w:rPr>
          <w:rFonts w:eastAsia="Calibri" w:cs="Calibri"/>
          <w:color w:val="0000FF"/>
          <w:szCs w:val="22"/>
          <w:u w:val="single"/>
        </w:rPr>
      </w:pPr>
      <w:hyperlink r:id="rId86" w:history="1">
        <w:r w:rsidR="00DA5476" w:rsidRPr="0038275F">
          <w:rPr>
            <w:rStyle w:val="Hypertextovprepojenie"/>
            <w:rFonts w:eastAsia="Calibri" w:cs="Calibri"/>
            <w:szCs w:val="22"/>
          </w:rPr>
          <w:t>http://www.land.gov.sk</w:t>
        </w:r>
      </w:hyperlink>
    </w:p>
    <w:p w:rsidR="00DA5476" w:rsidRPr="0038275F" w:rsidRDefault="00DA5476" w:rsidP="00DA5476">
      <w:pPr>
        <w:autoSpaceDE w:val="0"/>
        <w:autoSpaceDN w:val="0"/>
        <w:adjustRightInd w:val="0"/>
        <w:spacing w:after="60"/>
        <w:rPr>
          <w:rFonts w:eastAsia="Calibri" w:cs="Calibri"/>
          <w:szCs w:val="22"/>
        </w:rPr>
      </w:pPr>
      <w:r w:rsidRPr="0038275F">
        <w:rPr>
          <w:rFonts w:eastAsia="Calibri" w:cs="Calibri"/>
          <w:color w:val="0000FF"/>
          <w:szCs w:val="22"/>
          <w:u w:val="single"/>
        </w:rPr>
        <w:t>http://www.nsrv.sk</w:t>
      </w:r>
    </w:p>
    <w:p w:rsidR="00DA5476" w:rsidRPr="0038275F" w:rsidRDefault="00DA5476" w:rsidP="00DA5476">
      <w:pPr>
        <w:spacing w:after="60"/>
        <w:ind w:left="284"/>
        <w:contextualSpacing/>
        <w:rPr>
          <w:rFonts w:eastAsia="Calibri"/>
          <w:i/>
          <w:szCs w:val="22"/>
        </w:rPr>
      </w:pPr>
    </w:p>
    <w:p w:rsidR="00DA5476" w:rsidRPr="0038275F" w:rsidRDefault="00DA5476" w:rsidP="00CE203B">
      <w:pPr>
        <w:numPr>
          <w:ilvl w:val="0"/>
          <w:numId w:val="389"/>
        </w:numPr>
        <w:spacing w:after="60"/>
        <w:ind w:left="284" w:hanging="284"/>
        <w:contextualSpacing/>
        <w:rPr>
          <w:rFonts w:eastAsia="Calibri"/>
          <w:i/>
          <w:szCs w:val="22"/>
          <w:u w:val="single"/>
        </w:rPr>
      </w:pPr>
      <w:r w:rsidRPr="0038275F">
        <w:rPr>
          <w:i/>
          <w:szCs w:val="22"/>
          <w:u w:val="single"/>
        </w:rPr>
        <w:t>Informácie a diskusia s</w:t>
      </w:r>
      <w:r>
        <w:rPr>
          <w:i/>
          <w:szCs w:val="22"/>
          <w:u w:val="single"/>
        </w:rPr>
        <w:t> relevantnými aktérmi PRV:</w:t>
      </w:r>
    </w:p>
    <w:p w:rsidR="00DA5476" w:rsidRPr="0038275F" w:rsidRDefault="00DA5476" w:rsidP="00DA5476">
      <w:pPr>
        <w:autoSpaceDE w:val="0"/>
        <w:autoSpaceDN w:val="0"/>
        <w:adjustRightInd w:val="0"/>
        <w:rPr>
          <w:rFonts w:cs="Calibri"/>
          <w:szCs w:val="22"/>
        </w:rPr>
      </w:pPr>
      <w:r w:rsidRPr="0038275F">
        <w:rPr>
          <w:rFonts w:cs="Calibri"/>
          <w:szCs w:val="22"/>
        </w:rPr>
        <w:t>So všetkými hodnotiacimi štúdiami a správami bude oboznámen</w:t>
      </w:r>
      <w:r>
        <w:rPr>
          <w:rFonts w:cs="Calibri"/>
          <w:szCs w:val="22"/>
        </w:rPr>
        <w:t>á pracovná skupina pre hodnotenie</w:t>
      </w:r>
      <w:r w:rsidRPr="0038275F">
        <w:rPr>
          <w:rFonts w:cs="Calibri"/>
          <w:szCs w:val="22"/>
        </w:rPr>
        <w:t xml:space="preserve"> prostredníctvom priameho zaslania výsledkov hodnotenia.</w:t>
      </w:r>
      <w:r w:rsidRPr="0038275F">
        <w:rPr>
          <w:rFonts w:eastAsia="Calibri" w:cs="Calibri"/>
          <w:szCs w:val="22"/>
        </w:rPr>
        <w:t xml:space="preserve"> </w:t>
      </w:r>
      <w:r w:rsidRPr="0038275F">
        <w:rPr>
          <w:rFonts w:cs="Calibri"/>
          <w:szCs w:val="22"/>
        </w:rPr>
        <w:t xml:space="preserve">Výsledky hodnotenia budú na tomto fóre dôležitým námetom na diskusiu ohľadom ďalšieho rozvoja programu. </w:t>
      </w:r>
    </w:p>
    <w:p w:rsidR="00DA5476" w:rsidRPr="0038275F" w:rsidRDefault="00DA5476" w:rsidP="00DA5476">
      <w:pPr>
        <w:autoSpaceDE w:val="0"/>
        <w:autoSpaceDN w:val="0"/>
        <w:adjustRightInd w:val="0"/>
        <w:spacing w:after="60"/>
        <w:rPr>
          <w:rFonts w:cs="Calibri"/>
          <w:szCs w:val="22"/>
        </w:rPr>
      </w:pPr>
      <w:r w:rsidRPr="0038275F">
        <w:rPr>
          <w:rFonts w:cs="Calibri"/>
          <w:szCs w:val="22"/>
        </w:rPr>
        <w:t>Tématicky</w:t>
      </w:r>
      <w:r>
        <w:rPr>
          <w:rFonts w:cs="Calibri"/>
          <w:szCs w:val="22"/>
        </w:rPr>
        <w:t xml:space="preserve"> </w:t>
      </w:r>
      <w:r w:rsidRPr="0038275F">
        <w:rPr>
          <w:rFonts w:cs="Calibri"/>
          <w:szCs w:val="22"/>
        </w:rPr>
        <w:t>špecifické výsledky hodnotenia budú dané k dispozícii ďalším grémiám, kde budú predmetom diskusií.</w:t>
      </w:r>
    </w:p>
    <w:p w:rsidR="00DA5476" w:rsidRPr="0038275F" w:rsidRDefault="00DA5476" w:rsidP="00DA5476">
      <w:pPr>
        <w:spacing w:after="60"/>
        <w:ind w:left="357" w:hanging="357"/>
        <w:rPr>
          <w:rFonts w:eastAsia="Calibri"/>
          <w:szCs w:val="22"/>
        </w:rPr>
      </w:pPr>
      <w:r w:rsidRPr="0038275F">
        <w:rPr>
          <w:rFonts w:eastAsia="Calibri"/>
          <w:szCs w:val="22"/>
        </w:rPr>
        <w:t xml:space="preserve">Workshopy a semináre k </w:t>
      </w:r>
      <w:r>
        <w:rPr>
          <w:rFonts w:eastAsia="Calibri"/>
          <w:szCs w:val="22"/>
        </w:rPr>
        <w:t>výsledkom hodnotenia</w:t>
      </w:r>
      <w:r w:rsidRPr="0038275F">
        <w:rPr>
          <w:rFonts w:eastAsia="Calibri"/>
          <w:szCs w:val="22"/>
        </w:rPr>
        <w:t>:</w:t>
      </w:r>
    </w:p>
    <w:p w:rsidR="00DA5476" w:rsidRPr="0038275F" w:rsidRDefault="00DA5476" w:rsidP="00DA5476">
      <w:pPr>
        <w:autoSpaceDE w:val="0"/>
        <w:autoSpaceDN w:val="0"/>
        <w:adjustRightInd w:val="0"/>
        <w:spacing w:after="60"/>
        <w:rPr>
          <w:rFonts w:eastAsia="Calibri" w:cs="Calibri"/>
          <w:szCs w:val="22"/>
        </w:rPr>
      </w:pPr>
      <w:r w:rsidRPr="0038275F">
        <w:rPr>
          <w:rFonts w:eastAsia="Calibri" w:cs="Calibri"/>
          <w:szCs w:val="22"/>
        </w:rPr>
        <w:t xml:space="preserve">V závislosti od verejného významu, resp. obsahu by mali byť výsledky hodnotiacich štúdií zvlášť predstavené odbornému publiku (zodpovední za program, pracovná skupina pre hodnotenie, odborní experti, záujmoví zástupcovia, vedecký personál, …) formou prezentácií alebo workshopov, kde budú tiež predmetom diskusie.  </w:t>
      </w:r>
    </w:p>
    <w:p w:rsidR="00DA5476" w:rsidRPr="0038275F" w:rsidRDefault="00DA5476" w:rsidP="00DA5476">
      <w:pPr>
        <w:autoSpaceDE w:val="0"/>
        <w:autoSpaceDN w:val="0"/>
        <w:adjustRightInd w:val="0"/>
        <w:rPr>
          <w:rFonts w:eastAsia="Calibri" w:cs="Calibri"/>
          <w:szCs w:val="22"/>
        </w:rPr>
      </w:pPr>
      <w:r w:rsidRPr="0038275F">
        <w:rPr>
          <w:rFonts w:eastAsia="Calibri" w:cs="Calibri"/>
          <w:szCs w:val="22"/>
        </w:rPr>
        <w:t>Cieľom týchto podujatí je:</w:t>
      </w:r>
    </w:p>
    <w:p w:rsidR="00DA5476" w:rsidRPr="0038275F" w:rsidRDefault="00DA5476" w:rsidP="00CE203B">
      <w:pPr>
        <w:numPr>
          <w:ilvl w:val="0"/>
          <w:numId w:val="388"/>
        </w:numPr>
        <w:autoSpaceDE w:val="0"/>
        <w:autoSpaceDN w:val="0"/>
        <w:adjustRightInd w:val="0"/>
        <w:ind w:left="170" w:hanging="170"/>
        <w:contextualSpacing/>
        <w:rPr>
          <w:rFonts w:eastAsia="Calibri" w:cs="Calibri"/>
          <w:szCs w:val="22"/>
        </w:rPr>
      </w:pPr>
      <w:r w:rsidRPr="0038275F">
        <w:rPr>
          <w:rFonts w:eastAsia="Calibri" w:cs="Calibri"/>
          <w:szCs w:val="22"/>
        </w:rPr>
        <w:t>Reflexia na výsledky hodnotenia</w:t>
      </w:r>
    </w:p>
    <w:p w:rsidR="00DA5476" w:rsidRPr="0038275F" w:rsidRDefault="00DA5476" w:rsidP="00CE203B">
      <w:pPr>
        <w:numPr>
          <w:ilvl w:val="0"/>
          <w:numId w:val="388"/>
        </w:numPr>
        <w:autoSpaceDE w:val="0"/>
        <w:autoSpaceDN w:val="0"/>
        <w:adjustRightInd w:val="0"/>
        <w:ind w:left="170" w:hanging="170"/>
        <w:contextualSpacing/>
        <w:rPr>
          <w:rFonts w:eastAsia="Calibri" w:cs="Calibri"/>
          <w:szCs w:val="22"/>
        </w:rPr>
      </w:pPr>
      <w:r w:rsidRPr="0038275F">
        <w:rPr>
          <w:rFonts w:eastAsia="Calibri" w:cs="Calibri"/>
          <w:szCs w:val="22"/>
        </w:rPr>
        <w:t>Diskusia o úprave programu na základe výsledkov hodnotenia</w:t>
      </w:r>
    </w:p>
    <w:p w:rsidR="00DA5476" w:rsidRPr="0038275F" w:rsidRDefault="00DA5476" w:rsidP="00CE203B">
      <w:pPr>
        <w:numPr>
          <w:ilvl w:val="0"/>
          <w:numId w:val="388"/>
        </w:numPr>
        <w:autoSpaceDE w:val="0"/>
        <w:autoSpaceDN w:val="0"/>
        <w:adjustRightInd w:val="0"/>
        <w:ind w:left="170" w:hanging="170"/>
        <w:contextualSpacing/>
        <w:rPr>
          <w:rFonts w:eastAsia="Calibri" w:cs="Calibri"/>
          <w:szCs w:val="22"/>
        </w:rPr>
      </w:pPr>
      <w:r w:rsidRPr="0038275F">
        <w:rPr>
          <w:rFonts w:eastAsia="Calibri" w:cs="Calibri"/>
          <w:szCs w:val="22"/>
        </w:rPr>
        <w:t>Potreba ďalšieho rozvoja programu</w:t>
      </w:r>
    </w:p>
    <w:p w:rsidR="00DA5476" w:rsidRPr="00997BE5" w:rsidRDefault="00DA5476" w:rsidP="00CE203B">
      <w:pPr>
        <w:numPr>
          <w:ilvl w:val="0"/>
          <w:numId w:val="388"/>
        </w:numPr>
        <w:autoSpaceDE w:val="0"/>
        <w:autoSpaceDN w:val="0"/>
        <w:adjustRightInd w:val="0"/>
        <w:ind w:left="170" w:hanging="170"/>
        <w:contextualSpacing/>
        <w:rPr>
          <w:rFonts w:eastAsia="Calibri" w:cs="Calibri"/>
          <w:szCs w:val="22"/>
        </w:rPr>
      </w:pPr>
      <w:r w:rsidRPr="0038275F">
        <w:rPr>
          <w:rFonts w:cs="Calibri"/>
          <w:szCs w:val="22"/>
        </w:rPr>
        <w:t>Prejednanie použitej metodiky, silných a slabých stránok analýzy ako aj návrhy k ďalšiemu rozvoju a aplikovateľnosti metodiky</w:t>
      </w:r>
    </w:p>
    <w:p w:rsidR="00997BE5" w:rsidRPr="00997BE5" w:rsidRDefault="00997BE5" w:rsidP="00997BE5">
      <w:pPr>
        <w:autoSpaceDE w:val="0"/>
        <w:autoSpaceDN w:val="0"/>
        <w:adjustRightInd w:val="0"/>
        <w:ind w:left="170"/>
        <w:contextualSpacing/>
        <w:rPr>
          <w:rFonts w:eastAsia="Calibri" w:cs="Calibri"/>
          <w:szCs w:val="22"/>
        </w:rPr>
      </w:pPr>
    </w:p>
    <w:p w:rsidR="00DA5476" w:rsidRPr="0038275F" w:rsidRDefault="00DA5476" w:rsidP="00CE203B">
      <w:pPr>
        <w:numPr>
          <w:ilvl w:val="0"/>
          <w:numId w:val="389"/>
        </w:numPr>
        <w:spacing w:after="60"/>
        <w:ind w:left="284" w:hanging="284"/>
        <w:contextualSpacing/>
        <w:rPr>
          <w:rFonts w:eastAsia="Calibri"/>
          <w:i/>
          <w:szCs w:val="22"/>
          <w:u w:val="single"/>
        </w:rPr>
      </w:pPr>
      <w:r w:rsidRPr="0038275F">
        <w:rPr>
          <w:rFonts w:eastAsia="Calibri"/>
          <w:i/>
          <w:szCs w:val="22"/>
          <w:u w:val="single"/>
        </w:rPr>
        <w:t xml:space="preserve">Ďalší rozvoj hodnotenia zapojením zodpovedných za program a iných externých expertov do procesu zadávania, koordinácie a preberania externých hodnotiacich štúdií (riadiace skupiny pre jednotlivé hodnotiace štúdie): </w:t>
      </w:r>
    </w:p>
    <w:p w:rsidR="00DA5476" w:rsidRPr="0038275F" w:rsidRDefault="00DA5476" w:rsidP="00DA5476">
      <w:pPr>
        <w:spacing w:after="60"/>
        <w:ind w:left="284"/>
        <w:contextualSpacing/>
        <w:rPr>
          <w:rFonts w:eastAsia="Calibri"/>
          <w:i/>
          <w:szCs w:val="22"/>
          <w:u w:val="single"/>
        </w:rPr>
      </w:pPr>
      <w:r w:rsidRPr="0038275F">
        <w:rPr>
          <w:rFonts w:eastAsia="Calibri"/>
          <w:i/>
          <w:szCs w:val="22"/>
          <w:u w:val="single"/>
        </w:rPr>
        <w:t>Diskusie hodnotiaceho tímu:</w:t>
      </w:r>
    </w:p>
    <w:p w:rsidR="00DA5476" w:rsidRPr="0038275F" w:rsidRDefault="00DA5476" w:rsidP="00DA5476">
      <w:pPr>
        <w:autoSpaceDE w:val="0"/>
        <w:autoSpaceDN w:val="0"/>
        <w:adjustRightInd w:val="0"/>
        <w:spacing w:after="60"/>
        <w:rPr>
          <w:rFonts w:eastAsia="Calibri" w:cs="Calibri"/>
          <w:szCs w:val="22"/>
        </w:rPr>
      </w:pPr>
      <w:r w:rsidRPr="0038275F">
        <w:rPr>
          <w:rFonts w:eastAsia="Calibri" w:cs="Calibri"/>
          <w:szCs w:val="22"/>
        </w:rPr>
        <w:t xml:space="preserve">Hodnotenie PRV bude realizované jednou skupinou hodnotiteľov pozostávajúcich z rôznych odborných kruhov a organizácii.  Pomocou neustálej výmeny informácií a priamej spolupráce medzi hodnotiteľmi sa majú využiť obsahové synergie a má sa zabrániť zbytočnej duplicite. Pravidelné diskusie v rámci </w:t>
      </w:r>
      <w:r>
        <w:rPr>
          <w:rFonts w:eastAsia="Calibri" w:cs="Calibri"/>
          <w:szCs w:val="22"/>
        </w:rPr>
        <w:t xml:space="preserve">pracovnej skupiny </w:t>
      </w:r>
      <w:r w:rsidRPr="0038275F">
        <w:rPr>
          <w:rFonts w:eastAsia="Calibri" w:cs="Calibri"/>
          <w:szCs w:val="22"/>
        </w:rPr>
        <w:t xml:space="preserve"> </w:t>
      </w:r>
      <w:r>
        <w:rPr>
          <w:rFonts w:eastAsia="Calibri" w:cs="Calibri"/>
          <w:szCs w:val="22"/>
        </w:rPr>
        <w:t xml:space="preserve">pre hodnotenie </w:t>
      </w:r>
      <w:r w:rsidRPr="0038275F">
        <w:rPr>
          <w:rFonts w:eastAsia="Calibri" w:cs="Calibri"/>
          <w:szCs w:val="22"/>
        </w:rPr>
        <w:t xml:space="preserve">majú umožniť tok informácií o hodnotiacich témach, hodnotiacich cieľoch, výsledkoch, dátach a metódach. </w:t>
      </w:r>
    </w:p>
    <w:p w:rsidR="00DA5476" w:rsidRPr="0038275F" w:rsidRDefault="00DA5476" w:rsidP="00DA5476">
      <w:pPr>
        <w:autoSpaceDE w:val="0"/>
        <w:autoSpaceDN w:val="0"/>
        <w:adjustRightInd w:val="0"/>
        <w:rPr>
          <w:rFonts w:eastAsia="Calibri" w:cs="Calibri"/>
          <w:szCs w:val="22"/>
        </w:rPr>
      </w:pPr>
      <w:r w:rsidRPr="0038275F">
        <w:rPr>
          <w:rFonts w:eastAsia="Calibri" w:cs="Calibri"/>
          <w:szCs w:val="22"/>
        </w:rPr>
        <w:t>Tímové diskusie hodnotiteľov môžu mať v záujme zvyšovania kvality a ďalšieho vzdelávania rozšírené o „špeciálne workshopy“ k aktuálnym témam (napr. zlepšovanie metodiky, prezentácia hodnotiacich štúdií a výsledkov vyššieho významu, prierezové témy, atď.).</w:t>
      </w:r>
    </w:p>
    <w:p w:rsidR="00DA5476" w:rsidRPr="0038275F" w:rsidRDefault="00DA5476" w:rsidP="00DA5476">
      <w:pPr>
        <w:autoSpaceDE w:val="0"/>
        <w:autoSpaceDN w:val="0"/>
        <w:adjustRightInd w:val="0"/>
        <w:rPr>
          <w:rFonts w:eastAsia="Calibri" w:cs="Calibri"/>
          <w:szCs w:val="22"/>
        </w:rPr>
      </w:pPr>
      <w:r w:rsidRPr="0038275F">
        <w:rPr>
          <w:rFonts w:eastAsia="Calibri" w:cs="Calibri"/>
          <w:szCs w:val="22"/>
        </w:rPr>
        <w:t>Nevyhnutné je:</w:t>
      </w:r>
    </w:p>
    <w:p w:rsidR="00DA5476" w:rsidRPr="0038275F" w:rsidRDefault="00DA5476" w:rsidP="00CE203B">
      <w:pPr>
        <w:pStyle w:val="Odsekzoznamu"/>
        <w:numPr>
          <w:ilvl w:val="0"/>
          <w:numId w:val="390"/>
        </w:numPr>
        <w:autoSpaceDE w:val="0"/>
        <w:autoSpaceDN w:val="0"/>
        <w:adjustRightInd w:val="0"/>
        <w:rPr>
          <w:rFonts w:eastAsia="Calibri" w:cs="Calibri"/>
        </w:rPr>
      </w:pPr>
      <w:r w:rsidRPr="0038275F">
        <w:rPr>
          <w:rFonts w:eastAsia="Calibri" w:cs="Calibri"/>
        </w:rPr>
        <w:t>zapojenie zodpovedných za program do tvorby a implementácie hodnotiacich štúdií;</w:t>
      </w:r>
    </w:p>
    <w:p w:rsidR="00DA5476" w:rsidRPr="0038275F" w:rsidRDefault="00DA5476" w:rsidP="00CE203B">
      <w:pPr>
        <w:pStyle w:val="Odsekzoznamu"/>
        <w:numPr>
          <w:ilvl w:val="0"/>
          <w:numId w:val="390"/>
        </w:numPr>
        <w:autoSpaceDE w:val="0"/>
        <w:autoSpaceDN w:val="0"/>
        <w:adjustRightInd w:val="0"/>
        <w:rPr>
          <w:rFonts w:eastAsia="Calibri" w:cs="Calibri"/>
        </w:rPr>
      </w:pPr>
      <w:r w:rsidRPr="0038275F">
        <w:rPr>
          <w:rFonts w:eastAsia="Calibri" w:cs="Calibri"/>
        </w:rPr>
        <w:t>intenzívne vypracovanie cieľov, formy a metodiky štúdií výmenou medzi dodávateľom štúdií a zodpovednými za program;</w:t>
      </w:r>
    </w:p>
    <w:p w:rsidR="00DA5476" w:rsidRDefault="00DA5476" w:rsidP="00CE203B">
      <w:pPr>
        <w:pStyle w:val="Odsekzoznamu"/>
        <w:numPr>
          <w:ilvl w:val="0"/>
          <w:numId w:val="390"/>
        </w:numPr>
        <w:autoSpaceDE w:val="0"/>
        <w:autoSpaceDN w:val="0"/>
        <w:adjustRightInd w:val="0"/>
        <w:rPr>
          <w:rFonts w:eastAsia="Calibri" w:cs="Calibri"/>
        </w:rPr>
      </w:pPr>
      <w:r w:rsidRPr="0038275F">
        <w:rPr>
          <w:rFonts w:eastAsia="Calibri" w:cs="Calibri"/>
        </w:rPr>
        <w:t xml:space="preserve">diskusia o výsledkoch ako aj odporúčania pre ďalší rozvoj opatrení, resp. celého programu.   </w:t>
      </w:r>
    </w:p>
    <w:p w:rsidR="00997BE5" w:rsidRPr="0038275F" w:rsidRDefault="00997BE5" w:rsidP="00997BE5">
      <w:pPr>
        <w:pStyle w:val="Odsekzoznamu"/>
        <w:autoSpaceDE w:val="0"/>
        <w:autoSpaceDN w:val="0"/>
        <w:adjustRightInd w:val="0"/>
        <w:rPr>
          <w:rFonts w:eastAsia="Calibri" w:cs="Calibri"/>
        </w:rPr>
      </w:pPr>
    </w:p>
    <w:p w:rsidR="00DA5476" w:rsidRPr="0038275F" w:rsidRDefault="00DA5476" w:rsidP="00CE203B">
      <w:pPr>
        <w:numPr>
          <w:ilvl w:val="0"/>
          <w:numId w:val="389"/>
        </w:numPr>
        <w:spacing w:after="60"/>
        <w:ind w:left="284" w:hanging="284"/>
        <w:contextualSpacing/>
        <w:rPr>
          <w:rFonts w:eastAsia="Calibri"/>
          <w:i/>
          <w:szCs w:val="22"/>
          <w:u w:val="single"/>
        </w:rPr>
      </w:pPr>
      <w:r w:rsidRPr="0038275F">
        <w:rPr>
          <w:rFonts w:eastAsia="Calibri"/>
          <w:i/>
          <w:szCs w:val="22"/>
          <w:u w:val="single"/>
        </w:rPr>
        <w:t xml:space="preserve">Diskusia, využitie a implementácia výsledkov hodnotenia prostredníctvom subjektov s rozhodovacími právomocami v rámci PRV 2020  </w:t>
      </w:r>
    </w:p>
    <w:p w:rsidR="00DA5476" w:rsidRDefault="00DA5476" w:rsidP="00DA5476">
      <w:pPr>
        <w:spacing w:after="120"/>
        <w:rPr>
          <w:rFonts w:eastAsia="Calibri"/>
          <w:szCs w:val="22"/>
        </w:rPr>
      </w:pPr>
      <w:r w:rsidRPr="0038275F">
        <w:rPr>
          <w:rFonts w:eastAsia="Calibri"/>
          <w:szCs w:val="22"/>
        </w:rPr>
        <w:t xml:space="preserve">Výsledky hodnotenia budú v rámci </w:t>
      </w:r>
      <w:r>
        <w:rPr>
          <w:rFonts w:eastAsia="Calibri"/>
          <w:szCs w:val="22"/>
        </w:rPr>
        <w:t>systému hodnotenia od</w:t>
      </w:r>
      <w:r w:rsidRPr="0038275F">
        <w:rPr>
          <w:rFonts w:eastAsia="Calibri"/>
          <w:szCs w:val="22"/>
        </w:rPr>
        <w:t xml:space="preserve">prezentované </w:t>
      </w:r>
      <w:r>
        <w:rPr>
          <w:rFonts w:eastAsia="Calibri"/>
          <w:szCs w:val="22"/>
        </w:rPr>
        <w:t xml:space="preserve">relevantným aktérom programu </w:t>
      </w:r>
      <w:r w:rsidRPr="0038275F">
        <w:rPr>
          <w:rFonts w:eastAsia="Calibri"/>
          <w:szCs w:val="22"/>
        </w:rPr>
        <w:t>a</w:t>
      </w:r>
      <w:r>
        <w:rPr>
          <w:rFonts w:eastAsia="Calibri"/>
          <w:szCs w:val="22"/>
        </w:rPr>
        <w:t xml:space="preserve"> zároveň budú </w:t>
      </w:r>
      <w:r w:rsidRPr="0038275F">
        <w:rPr>
          <w:rFonts w:eastAsia="Calibri"/>
          <w:szCs w:val="22"/>
        </w:rPr>
        <w:t xml:space="preserve">prediskutované </w:t>
      </w:r>
      <w:r>
        <w:rPr>
          <w:rFonts w:eastAsia="Calibri"/>
          <w:szCs w:val="22"/>
        </w:rPr>
        <w:t xml:space="preserve">aj </w:t>
      </w:r>
      <w:r w:rsidRPr="0038275F">
        <w:rPr>
          <w:rFonts w:eastAsia="Calibri"/>
          <w:szCs w:val="22"/>
        </w:rPr>
        <w:t xml:space="preserve">reálne politické možnosti </w:t>
      </w:r>
      <w:r>
        <w:rPr>
          <w:rFonts w:eastAsia="Calibri"/>
          <w:szCs w:val="22"/>
        </w:rPr>
        <w:t xml:space="preserve">realizácie jednotlivých </w:t>
      </w:r>
      <w:r w:rsidRPr="0038275F">
        <w:rPr>
          <w:rFonts w:eastAsia="Calibri"/>
          <w:szCs w:val="22"/>
        </w:rPr>
        <w:t xml:space="preserve">odporúčaní. </w:t>
      </w:r>
    </w:p>
    <w:p w:rsidR="00A03A77" w:rsidRPr="00EA237A" w:rsidRDefault="00A03A77" w:rsidP="00DA5476">
      <w:pPr>
        <w:spacing w:after="120"/>
        <w:rPr>
          <w:rFonts w:eastAsia="Calibri"/>
          <w:szCs w:val="22"/>
        </w:rPr>
      </w:pPr>
    </w:p>
    <w:p w:rsidR="008676F9" w:rsidRPr="008676F9" w:rsidRDefault="00AA30CA" w:rsidP="00AA30CA">
      <w:pPr>
        <w:pStyle w:val="Pod"/>
      </w:pPr>
      <w:bookmarkStart w:id="126" w:name="_Toc384111069"/>
      <w:bookmarkStart w:id="127" w:name="_Toc387041345"/>
      <w:r>
        <w:t>7.</w:t>
      </w:r>
      <w:r w:rsidR="008676F9" w:rsidRPr="008676F9">
        <w:t>ZDROJE</w:t>
      </w:r>
      <w:bookmarkEnd w:id="126"/>
      <w:bookmarkEnd w:id="127"/>
      <w:r w:rsidR="008676F9" w:rsidRPr="008676F9">
        <w:t xml:space="preserve"> </w:t>
      </w:r>
    </w:p>
    <w:p w:rsidR="008676F9" w:rsidRPr="008676F9" w:rsidRDefault="008676F9" w:rsidP="00BC4D3C">
      <w:pPr>
        <w:spacing w:before="120"/>
        <w:rPr>
          <w:rFonts w:ascii="Calibri" w:hAnsi="Calibri"/>
          <w:i/>
          <w:szCs w:val="22"/>
        </w:rPr>
      </w:pPr>
      <w:r w:rsidRPr="008676F9">
        <w:rPr>
          <w:rFonts w:ascii="Calibri" w:hAnsi="Calibri"/>
          <w:i/>
          <w:szCs w:val="22"/>
        </w:rPr>
        <w:t>Finančné zdroje</w:t>
      </w:r>
    </w:p>
    <w:p w:rsidR="008676F9" w:rsidRPr="008676F9" w:rsidRDefault="008676F9" w:rsidP="00F14F63">
      <w:pPr>
        <w:autoSpaceDE w:val="0"/>
        <w:autoSpaceDN w:val="0"/>
        <w:adjustRightInd w:val="0"/>
        <w:rPr>
          <w:rFonts w:ascii="Calibri" w:hAnsi="Calibri" w:cs="Arial"/>
          <w:color w:val="000000"/>
          <w:szCs w:val="22"/>
        </w:rPr>
      </w:pPr>
      <w:r w:rsidRPr="008676F9">
        <w:rPr>
          <w:rFonts w:ascii="Calibri" w:hAnsi="Calibri" w:cs="Arial"/>
          <w:color w:val="000000"/>
          <w:szCs w:val="22"/>
        </w:rPr>
        <w:t xml:space="preserve">Väčšina monitorovacích a hodnotiacich aktivít môže byť spolufinancovaná z Technickej pomoci, ktorá bude využitá na podporu nasledovných aktivít: </w:t>
      </w:r>
    </w:p>
    <w:p w:rsidR="008676F9" w:rsidRPr="008676F9" w:rsidRDefault="008676F9" w:rsidP="00CE203B">
      <w:pPr>
        <w:numPr>
          <w:ilvl w:val="0"/>
          <w:numId w:val="287"/>
        </w:numPr>
        <w:autoSpaceDE w:val="0"/>
        <w:autoSpaceDN w:val="0"/>
        <w:adjustRightInd w:val="0"/>
        <w:rPr>
          <w:rFonts w:ascii="Calibri" w:hAnsi="Calibri" w:cs="Arial"/>
          <w:color w:val="000000"/>
          <w:szCs w:val="22"/>
        </w:rPr>
      </w:pPr>
      <w:r w:rsidRPr="008676F9">
        <w:rPr>
          <w:rFonts w:ascii="Calibri" w:hAnsi="Calibri" w:cs="Arial"/>
          <w:color w:val="000000"/>
          <w:szCs w:val="22"/>
        </w:rPr>
        <w:t xml:space="preserve">Inštitucionálne posilnenie a budovanie administratívnej kapacity </w:t>
      </w:r>
    </w:p>
    <w:p w:rsidR="008676F9" w:rsidRPr="008676F9" w:rsidRDefault="008676F9" w:rsidP="00CE203B">
      <w:pPr>
        <w:numPr>
          <w:ilvl w:val="0"/>
          <w:numId w:val="287"/>
        </w:numPr>
        <w:autoSpaceDE w:val="0"/>
        <w:autoSpaceDN w:val="0"/>
        <w:adjustRightInd w:val="0"/>
        <w:rPr>
          <w:rFonts w:ascii="Calibri" w:hAnsi="Calibri" w:cs="Arial"/>
          <w:color w:val="000000"/>
          <w:szCs w:val="22"/>
        </w:rPr>
      </w:pPr>
      <w:r w:rsidRPr="008676F9">
        <w:rPr>
          <w:rFonts w:ascii="Calibri" w:hAnsi="Calibri" w:cs="Arial"/>
          <w:color w:val="000000"/>
          <w:szCs w:val="22"/>
        </w:rPr>
        <w:t>Hodnotenia, expertné správy, štatistiky, štúdie</w:t>
      </w:r>
    </w:p>
    <w:p w:rsidR="008676F9" w:rsidRPr="008676F9" w:rsidRDefault="008676F9" w:rsidP="00CE203B">
      <w:pPr>
        <w:numPr>
          <w:ilvl w:val="0"/>
          <w:numId w:val="287"/>
        </w:numPr>
        <w:autoSpaceDE w:val="0"/>
        <w:autoSpaceDN w:val="0"/>
        <w:adjustRightInd w:val="0"/>
        <w:rPr>
          <w:rFonts w:ascii="Calibri" w:hAnsi="Calibri" w:cs="Arial"/>
          <w:color w:val="000000"/>
          <w:szCs w:val="22"/>
        </w:rPr>
      </w:pPr>
      <w:r w:rsidRPr="008676F9">
        <w:rPr>
          <w:rFonts w:ascii="Calibri" w:hAnsi="Calibri" w:cs="Arial"/>
          <w:color w:val="000000"/>
          <w:szCs w:val="22"/>
        </w:rPr>
        <w:t>Analýzy, riadenie, monitoring, výmena informácií a implementácia programu</w:t>
      </w:r>
    </w:p>
    <w:p w:rsidR="008676F9" w:rsidRPr="008676F9" w:rsidRDefault="008676F9" w:rsidP="00CE203B">
      <w:pPr>
        <w:numPr>
          <w:ilvl w:val="0"/>
          <w:numId w:val="287"/>
        </w:numPr>
        <w:autoSpaceDE w:val="0"/>
        <w:autoSpaceDN w:val="0"/>
        <w:adjustRightInd w:val="0"/>
        <w:rPr>
          <w:rFonts w:ascii="Calibri" w:hAnsi="Calibri" w:cs="Arial"/>
          <w:color w:val="000000"/>
          <w:szCs w:val="22"/>
        </w:rPr>
      </w:pPr>
      <w:r w:rsidRPr="008676F9">
        <w:rPr>
          <w:rFonts w:ascii="Calibri" w:hAnsi="Calibri" w:cs="Arial"/>
          <w:color w:val="000000"/>
          <w:szCs w:val="22"/>
        </w:rPr>
        <w:t>Opatrenia vzťahujúce sa k implementácii kontrolných systémov, technická a administratívna pomoc</w:t>
      </w:r>
    </w:p>
    <w:p w:rsidR="008676F9" w:rsidRPr="008676F9" w:rsidRDefault="008676F9" w:rsidP="00CE203B">
      <w:pPr>
        <w:numPr>
          <w:ilvl w:val="0"/>
          <w:numId w:val="287"/>
        </w:numPr>
        <w:autoSpaceDE w:val="0"/>
        <w:autoSpaceDN w:val="0"/>
        <w:adjustRightInd w:val="0"/>
        <w:rPr>
          <w:rFonts w:ascii="Calibri" w:hAnsi="Calibri" w:cs="Arial"/>
          <w:color w:val="000000"/>
          <w:szCs w:val="22"/>
        </w:rPr>
      </w:pPr>
      <w:r w:rsidRPr="008676F9">
        <w:rPr>
          <w:rFonts w:ascii="Calibri" w:hAnsi="Calibri" w:cs="Arial"/>
          <w:color w:val="000000"/>
          <w:szCs w:val="22"/>
        </w:rPr>
        <w:t>Inštalácia, prevádzkovanie a prepojenie počítačových systémov riadenia, monitoringu, auditu, kontroly a hodnotenia</w:t>
      </w:r>
    </w:p>
    <w:p w:rsidR="008676F9" w:rsidRPr="008676F9" w:rsidRDefault="008676F9" w:rsidP="00CE203B">
      <w:pPr>
        <w:numPr>
          <w:ilvl w:val="0"/>
          <w:numId w:val="287"/>
        </w:numPr>
        <w:autoSpaceDE w:val="0"/>
        <w:autoSpaceDN w:val="0"/>
        <w:adjustRightInd w:val="0"/>
        <w:rPr>
          <w:rFonts w:ascii="Calibri" w:hAnsi="Calibri" w:cs="Arial"/>
          <w:color w:val="000000"/>
          <w:szCs w:val="22"/>
        </w:rPr>
      </w:pPr>
      <w:r w:rsidRPr="008676F9">
        <w:rPr>
          <w:rFonts w:ascii="Calibri" w:hAnsi="Calibri" w:cs="Arial"/>
          <w:color w:val="000000"/>
          <w:szCs w:val="22"/>
        </w:rPr>
        <w:t>Aktivity prispievajúce k zlepšeniu hodnotiacich metód</w:t>
      </w:r>
      <w:r w:rsidR="006C0DD8">
        <w:rPr>
          <w:rFonts w:ascii="Calibri" w:hAnsi="Calibri" w:cs="Arial"/>
          <w:color w:val="000000"/>
          <w:szCs w:val="22"/>
        </w:rPr>
        <w:t>, nastavenia zberu údajov a informácií a ich výmeny a celkového nastavenia systému monitorovania.</w:t>
      </w:r>
    </w:p>
    <w:p w:rsidR="008676F9" w:rsidRPr="008676F9" w:rsidRDefault="008676F9" w:rsidP="00F14F63">
      <w:pPr>
        <w:spacing w:before="120"/>
        <w:rPr>
          <w:rFonts w:ascii="Calibri" w:hAnsi="Calibri"/>
          <w:szCs w:val="22"/>
        </w:rPr>
      </w:pPr>
      <w:r w:rsidRPr="008676F9">
        <w:rPr>
          <w:rFonts w:ascii="Calibri" w:hAnsi="Calibri"/>
          <w:szCs w:val="22"/>
        </w:rPr>
        <w:t xml:space="preserve">Pre zabezpečenie funkčnosti monitorovacieho a hodnotiaceho systému si Riadiaci orgán </w:t>
      </w:r>
      <w:r w:rsidR="006C0DD8">
        <w:rPr>
          <w:rFonts w:ascii="Calibri" w:hAnsi="Calibri"/>
          <w:szCs w:val="22"/>
        </w:rPr>
        <w:t xml:space="preserve">a PPA </w:t>
      </w:r>
      <w:r w:rsidRPr="008676F9">
        <w:rPr>
          <w:rFonts w:ascii="Calibri" w:hAnsi="Calibri"/>
          <w:szCs w:val="22"/>
        </w:rPr>
        <w:t xml:space="preserve">vyčleňuje dostatočný objem zdrojov v rámci </w:t>
      </w:r>
      <w:r w:rsidR="006C0DD8">
        <w:rPr>
          <w:rFonts w:ascii="Calibri" w:hAnsi="Calibri"/>
          <w:szCs w:val="22"/>
        </w:rPr>
        <w:t>technickej pomoci</w:t>
      </w:r>
      <w:r w:rsidRPr="008676F9">
        <w:rPr>
          <w:rFonts w:ascii="Calibri" w:hAnsi="Calibri"/>
          <w:szCs w:val="22"/>
        </w:rPr>
        <w:t>.</w:t>
      </w:r>
    </w:p>
    <w:p w:rsidR="00BC4D3C" w:rsidRDefault="00BC4D3C" w:rsidP="00BC4D3C">
      <w:pPr>
        <w:rPr>
          <w:rFonts w:ascii="Calibri" w:hAnsi="Calibri"/>
          <w:i/>
          <w:szCs w:val="22"/>
        </w:rPr>
      </w:pPr>
    </w:p>
    <w:p w:rsidR="008676F9" w:rsidRPr="008676F9" w:rsidRDefault="008676F9" w:rsidP="00BC4D3C">
      <w:pPr>
        <w:rPr>
          <w:rFonts w:ascii="Calibri" w:hAnsi="Calibri"/>
          <w:i/>
          <w:szCs w:val="22"/>
        </w:rPr>
      </w:pPr>
      <w:r w:rsidRPr="008676F9">
        <w:rPr>
          <w:rFonts w:ascii="Calibri" w:hAnsi="Calibri"/>
          <w:i/>
          <w:szCs w:val="22"/>
        </w:rPr>
        <w:t>Administratívne kapacity</w:t>
      </w:r>
    </w:p>
    <w:p w:rsidR="007B3431" w:rsidRDefault="007B3431" w:rsidP="00BC4D3C">
      <w:pPr>
        <w:shd w:val="clear" w:color="auto" w:fill="FFFFFF" w:themeFill="background1"/>
        <w:spacing w:after="120"/>
        <w:rPr>
          <w:rFonts w:ascii="Calibri" w:hAnsi="Calibri"/>
          <w:szCs w:val="22"/>
        </w:rPr>
      </w:pPr>
      <w:r w:rsidRPr="007B3431">
        <w:rPr>
          <w:rFonts w:ascii="Calibri" w:hAnsi="Calibri"/>
          <w:szCs w:val="22"/>
        </w:rPr>
        <w:t>Sekcia rozvoja vidieka a priamych platieb MPRV SR ako riadiaci orgán je zodpovedná za riadenie, a tým aj za hodnotenie PRV. Koordináciu hodnotenia, zabezpečenie všetkých požadovaných hodnotiacich procesov a</w:t>
      </w:r>
      <w:r>
        <w:rPr>
          <w:rFonts w:ascii="Calibri" w:hAnsi="Calibri"/>
          <w:szCs w:val="22"/>
        </w:rPr>
        <w:t> </w:t>
      </w:r>
      <w:r w:rsidRPr="007B3431">
        <w:rPr>
          <w:rFonts w:ascii="Calibri" w:hAnsi="Calibri"/>
          <w:szCs w:val="22"/>
        </w:rPr>
        <w:t>postupov</w:t>
      </w:r>
      <w:r>
        <w:rPr>
          <w:rFonts w:ascii="Calibri" w:hAnsi="Calibri"/>
          <w:szCs w:val="22"/>
        </w:rPr>
        <w:t>,</w:t>
      </w:r>
      <w:r w:rsidRPr="007B3431">
        <w:rPr>
          <w:rFonts w:ascii="Calibri" w:hAnsi="Calibri"/>
          <w:szCs w:val="22"/>
        </w:rPr>
        <w:t xml:space="preserve"> ako aj šírenie výsledkov zabezpečuje </w:t>
      </w:r>
      <w:r>
        <w:rPr>
          <w:rFonts w:ascii="Calibri" w:hAnsi="Calibri"/>
          <w:szCs w:val="22"/>
        </w:rPr>
        <w:t>o</w:t>
      </w:r>
      <w:r w:rsidRPr="007B3431">
        <w:rPr>
          <w:rFonts w:ascii="Calibri" w:hAnsi="Calibri"/>
          <w:szCs w:val="22"/>
        </w:rPr>
        <w:t>dbor rozvoja vidieka a LEADER v spolupráci s </w:t>
      </w:r>
      <w:r>
        <w:rPr>
          <w:rFonts w:ascii="Calibri" w:hAnsi="Calibri"/>
          <w:szCs w:val="22"/>
        </w:rPr>
        <w:t>o</w:t>
      </w:r>
      <w:r w:rsidRPr="007B3431">
        <w:rPr>
          <w:rFonts w:ascii="Calibri" w:hAnsi="Calibri"/>
          <w:szCs w:val="22"/>
        </w:rPr>
        <w:t>dborom environmentálnych činností</w:t>
      </w:r>
      <w:r>
        <w:rPr>
          <w:rFonts w:ascii="Calibri" w:hAnsi="Calibri"/>
          <w:szCs w:val="22"/>
        </w:rPr>
        <w:t xml:space="preserve"> MPRV SR</w:t>
      </w:r>
      <w:r w:rsidRPr="007B3431">
        <w:rPr>
          <w:rFonts w:ascii="Calibri" w:hAnsi="Calibri"/>
          <w:szCs w:val="22"/>
        </w:rPr>
        <w:t>.</w:t>
      </w:r>
      <w:r w:rsidRPr="00DD674D">
        <w:rPr>
          <w:rFonts w:ascii="Calibri" w:hAnsi="Calibri"/>
          <w:szCs w:val="22"/>
        </w:rPr>
        <w:t xml:space="preserve"> </w:t>
      </w:r>
    </w:p>
    <w:p w:rsidR="008676F9" w:rsidRPr="008676F9" w:rsidRDefault="008676F9" w:rsidP="008676F9">
      <w:pPr>
        <w:spacing w:before="120" w:after="200"/>
        <w:rPr>
          <w:rFonts w:ascii="Calibri" w:hAnsi="Calibri"/>
          <w:szCs w:val="22"/>
        </w:rPr>
      </w:pPr>
      <w:r w:rsidRPr="008676F9">
        <w:rPr>
          <w:rFonts w:ascii="Calibri" w:hAnsi="Calibri"/>
          <w:szCs w:val="22"/>
        </w:rPr>
        <w:t>V rámci PPA sú pre zabezpečenie zberu a spracovania monitorovacích údajov alokované administratívne kapacity na Odbore monitoringu a výkazníctva (zabezpečuje monitoring projektových podpôr) a Odbore systému a monitoringu (zabezpečuje monitoring neprojektových podpôr).</w:t>
      </w:r>
    </w:p>
    <w:p w:rsidR="008676F9" w:rsidRPr="008676F9" w:rsidRDefault="008676F9" w:rsidP="008676F9">
      <w:pPr>
        <w:spacing w:before="120" w:after="200"/>
        <w:rPr>
          <w:rFonts w:ascii="Calibri" w:hAnsi="Calibri"/>
          <w:szCs w:val="22"/>
        </w:rPr>
      </w:pPr>
      <w:r w:rsidRPr="008676F9">
        <w:rPr>
          <w:rFonts w:ascii="Calibri" w:hAnsi="Calibri"/>
          <w:szCs w:val="22"/>
        </w:rPr>
        <w:t xml:space="preserve">Potrebné kapacity budú bližšie určené na začiatku programového obdobia a následne aj upravené. Keďže sa budú predkladať niektoré monitorovacie údaje Komisii 2x ročne a rozšírili sa monitorovacie požiadavky na sledovanie ukazovateľov nielen na úrovni opatrenia, ale aj fokusových oblastí, bude si to vyžadovať na začiatku programového obdobia  zvýšiť administratívnu kapacitu PPA. </w:t>
      </w:r>
    </w:p>
    <w:p w:rsidR="008676F9" w:rsidRPr="008676F9" w:rsidRDefault="008676F9" w:rsidP="008676F9">
      <w:pPr>
        <w:spacing w:before="120" w:after="200"/>
        <w:rPr>
          <w:rFonts w:ascii="Calibri" w:hAnsi="Calibri"/>
          <w:szCs w:val="22"/>
        </w:rPr>
      </w:pPr>
      <w:r w:rsidRPr="008676F9">
        <w:rPr>
          <w:rFonts w:ascii="Calibri" w:hAnsi="Calibri"/>
          <w:szCs w:val="22"/>
        </w:rPr>
        <w:t xml:space="preserve">Okrem PPA poskytnú v závislosti od identifikovaných monitorovacích a hodnotiacich aktivít administratívne kapacity aj ďalšie kontrahované rezortné inštitúcie ako aj externí hodnotitelia. </w:t>
      </w:r>
    </w:p>
    <w:p w:rsidR="008676F9" w:rsidRPr="008676F9" w:rsidRDefault="008676F9" w:rsidP="006C75BE">
      <w:pPr>
        <w:rPr>
          <w:rFonts w:ascii="Calibri" w:hAnsi="Calibri"/>
          <w:i/>
          <w:szCs w:val="22"/>
        </w:rPr>
      </w:pPr>
      <w:r w:rsidRPr="008676F9">
        <w:rPr>
          <w:rFonts w:ascii="Calibri" w:hAnsi="Calibri"/>
          <w:i/>
          <w:szCs w:val="22"/>
        </w:rPr>
        <w:t xml:space="preserve">Údaje </w:t>
      </w:r>
    </w:p>
    <w:p w:rsidR="008676F9" w:rsidRDefault="008676F9" w:rsidP="006C75BE">
      <w:pPr>
        <w:rPr>
          <w:rFonts w:ascii="Calibri" w:hAnsi="Calibri"/>
          <w:szCs w:val="22"/>
        </w:rPr>
      </w:pPr>
      <w:r w:rsidRPr="008676F9">
        <w:rPr>
          <w:rFonts w:ascii="Calibri" w:hAnsi="Calibri"/>
          <w:szCs w:val="22"/>
        </w:rPr>
        <w:t>Monitorovacie údaje v rámci PPA budú zabezpečené zo žiadostí o poskytnutie nenávratného finančného príspevku (projektové podpory PRV), prostredníctvom povinných monitorovacích správ od príjemcov projektových podpôr a prostredníctvom autorizácií platieb, ktoré uplatňujú výsledky kontrol na mieste. Pri neprojektových operáciách (platby na plochu) sú zdrojmi primárnych údajov jednotné žiadosti o podpory predkladané príjemcami podpôr. Okrem týchto údajov sa plánujú</w:t>
      </w:r>
      <w:r w:rsidRPr="008676F9">
        <w:rPr>
          <w:rFonts w:ascii="Calibri" w:hAnsi="Calibri"/>
          <w:szCs w:val="22"/>
        </w:rPr>
        <w:lastRenderedPageBreak/>
        <w:t xml:space="preserve"> kontrahovať iné inštitúcie alebo organizácie, ktoré poskytnú monitorovacie údaje na základe identifikovaných hodnotiacich aktivít. </w:t>
      </w:r>
    </w:p>
    <w:p w:rsidR="006C75BE" w:rsidRPr="008676F9" w:rsidRDefault="006C75BE" w:rsidP="006C75BE">
      <w:pPr>
        <w:rPr>
          <w:rFonts w:ascii="Calibri" w:hAnsi="Calibri"/>
          <w:szCs w:val="22"/>
        </w:rPr>
      </w:pPr>
    </w:p>
    <w:p w:rsidR="008676F9" w:rsidRPr="008676F9" w:rsidRDefault="008676F9" w:rsidP="00997BE5">
      <w:pPr>
        <w:rPr>
          <w:rFonts w:ascii="Calibri" w:hAnsi="Calibri"/>
          <w:i/>
          <w:szCs w:val="22"/>
        </w:rPr>
      </w:pPr>
      <w:r w:rsidRPr="008676F9">
        <w:rPr>
          <w:rFonts w:ascii="Calibri" w:hAnsi="Calibri"/>
          <w:i/>
          <w:szCs w:val="22"/>
        </w:rPr>
        <w:t xml:space="preserve">IT systém </w:t>
      </w:r>
    </w:p>
    <w:p w:rsidR="00DA5476" w:rsidRDefault="00DA5476" w:rsidP="00997BE5">
      <w:pPr>
        <w:rPr>
          <w:rFonts w:ascii="Calibri" w:hAnsi="Calibri"/>
          <w:szCs w:val="22"/>
        </w:rPr>
      </w:pPr>
      <w:r w:rsidRPr="000F3171">
        <w:rPr>
          <w:rFonts w:ascii="Calibri" w:hAnsi="Calibri"/>
          <w:szCs w:val="22"/>
        </w:rPr>
        <w:t>V súčasnosti prebieha vývoj nového informačného systému v rámci PPA, ktorý by mal plne zabezpečiť potreby monitorovania a hodnotenia.  V zmysle Partnerskej dohody bude Informačný systém PPA do 31.12.2015 zabezpečovať princípy e-Cohesion  politiky.</w:t>
      </w:r>
    </w:p>
    <w:p w:rsidR="00997BE5" w:rsidRPr="00174586" w:rsidRDefault="00997BE5" w:rsidP="00997BE5">
      <w:pPr>
        <w:rPr>
          <w:rFonts w:asciiTheme="majorHAnsi" w:hAnsiTheme="majorHAnsi"/>
          <w:szCs w:val="22"/>
          <w:lang w:val="en-GB"/>
        </w:rPr>
      </w:pPr>
    </w:p>
    <w:p w:rsidR="008676F9" w:rsidRPr="008676F9" w:rsidRDefault="008676F9" w:rsidP="00997BE5">
      <w:pPr>
        <w:rPr>
          <w:rFonts w:ascii="Calibri" w:hAnsi="Calibri"/>
          <w:i/>
          <w:szCs w:val="22"/>
        </w:rPr>
      </w:pPr>
      <w:r w:rsidRPr="008676F9">
        <w:rPr>
          <w:rFonts w:ascii="Calibri" w:hAnsi="Calibri"/>
          <w:i/>
          <w:szCs w:val="22"/>
        </w:rPr>
        <w:t>Budovanie kapacity monitorovania a hodnotenia</w:t>
      </w:r>
    </w:p>
    <w:p w:rsidR="008676F9" w:rsidRPr="008676F9" w:rsidRDefault="008676F9" w:rsidP="006C75BE">
      <w:pPr>
        <w:spacing w:after="120"/>
        <w:rPr>
          <w:rFonts w:ascii="Calibri" w:hAnsi="Calibri"/>
          <w:szCs w:val="22"/>
        </w:rPr>
      </w:pPr>
      <w:r w:rsidRPr="008676F9">
        <w:rPr>
          <w:rFonts w:ascii="Calibri" w:hAnsi="Calibri"/>
          <w:szCs w:val="22"/>
        </w:rPr>
        <w:t>V rámci budovania kapacity je plánované realizovať vzdelávanie členov MV v oblasti hodnotenia zamerané na hodnotiace správy a ich interpretáciu.  Okrem toho budú realizované ďalšie nasledovné školenia:</w:t>
      </w:r>
    </w:p>
    <w:p w:rsidR="008676F9" w:rsidRPr="008676F9" w:rsidRDefault="008676F9" w:rsidP="00CE203B">
      <w:pPr>
        <w:numPr>
          <w:ilvl w:val="0"/>
          <w:numId w:val="287"/>
        </w:numPr>
        <w:spacing w:after="120"/>
        <w:ind w:left="714" w:hanging="357"/>
        <w:rPr>
          <w:rFonts w:ascii="Calibri" w:hAnsi="Calibri"/>
          <w:szCs w:val="22"/>
        </w:rPr>
      </w:pPr>
      <w:r w:rsidRPr="008676F9">
        <w:rPr>
          <w:rFonts w:ascii="Calibri" w:hAnsi="Calibri"/>
          <w:szCs w:val="22"/>
        </w:rPr>
        <w:t>vzdelávanie PPA pracovníkov  v oblasti hodnotenia, tak aby pochopili kontext monitorovania a hodnotenia a tiež že zber údajov má zmysel a je súčasťou hodnotenia</w:t>
      </w:r>
    </w:p>
    <w:p w:rsidR="008676F9" w:rsidRDefault="008676F9" w:rsidP="00CE203B">
      <w:pPr>
        <w:numPr>
          <w:ilvl w:val="0"/>
          <w:numId w:val="287"/>
        </w:numPr>
        <w:spacing w:after="120"/>
        <w:contextualSpacing/>
        <w:rPr>
          <w:rFonts w:ascii="Calibri" w:hAnsi="Calibri"/>
          <w:szCs w:val="22"/>
        </w:rPr>
      </w:pPr>
      <w:r w:rsidRPr="008676F9">
        <w:rPr>
          <w:rFonts w:ascii="Calibri" w:hAnsi="Calibri"/>
          <w:szCs w:val="22"/>
        </w:rPr>
        <w:t>vzdelávanie všetkých zamestnancov RO, aby pochopili úlohu hodnotenia v implementácii programu</w:t>
      </w:r>
      <w:r>
        <w:rPr>
          <w:rFonts w:ascii="Calibri" w:hAnsi="Calibri"/>
          <w:szCs w:val="22"/>
        </w:rPr>
        <w:t>.</w:t>
      </w:r>
    </w:p>
    <w:p w:rsidR="008676F9" w:rsidRDefault="008676F9" w:rsidP="008676F9">
      <w:pPr>
        <w:spacing w:before="120" w:after="200" w:line="276" w:lineRule="auto"/>
        <w:contextualSpacing/>
        <w:rPr>
          <w:rFonts w:ascii="Calibri" w:hAnsi="Calibri"/>
          <w:szCs w:val="22"/>
        </w:rPr>
      </w:pPr>
    </w:p>
    <w:p w:rsidR="00DA5476" w:rsidRPr="007759FA" w:rsidRDefault="00DA5476" w:rsidP="00DA5476">
      <w:pPr>
        <w:spacing w:before="120" w:after="200" w:line="276" w:lineRule="auto"/>
        <w:contextualSpacing/>
        <w:rPr>
          <w:rFonts w:ascii="Calibri" w:hAnsi="Calibri"/>
          <w:szCs w:val="22"/>
        </w:rPr>
      </w:pPr>
      <w:r w:rsidRPr="007759FA">
        <w:rPr>
          <w:rFonts w:ascii="Calibri" w:eastAsia="Calibri" w:hAnsi="Calibri" w:cs="Calibri"/>
          <w:szCs w:val="22"/>
          <w:u w:val="single"/>
        </w:rPr>
        <w:t>Hodnotenie PRV 2020:</w:t>
      </w:r>
    </w:p>
    <w:p w:rsidR="00DA5476" w:rsidRPr="007759FA" w:rsidRDefault="00DA5476" w:rsidP="00CE203B">
      <w:pPr>
        <w:pStyle w:val="Odsekzoznamu"/>
        <w:numPr>
          <w:ilvl w:val="0"/>
          <w:numId w:val="287"/>
        </w:numPr>
        <w:autoSpaceDE w:val="0"/>
        <w:autoSpaceDN w:val="0"/>
        <w:adjustRightInd w:val="0"/>
        <w:spacing w:after="120"/>
        <w:ind w:left="714" w:hanging="357"/>
        <w:contextualSpacing w:val="0"/>
        <w:rPr>
          <w:rFonts w:ascii="Calibri" w:hAnsi="Calibri" w:cs="Calibri"/>
        </w:rPr>
      </w:pPr>
      <w:r w:rsidRPr="007759FA">
        <w:rPr>
          <w:rFonts w:ascii="Calibri" w:hAnsi="Calibri" w:cs="Calibri"/>
        </w:rPr>
        <w:t xml:space="preserve">Vychádzajúc z pokynov pre hodnotenie bude po schválení programu zo strany Európskej komisie stanovený hodnotiaci tím pod vedením jedného hlavného zodpovedného za hodnotenie na obdobie až do ex-post hodnotenia 2023.  </w:t>
      </w:r>
    </w:p>
    <w:p w:rsidR="00DA5476" w:rsidRPr="00E475BD" w:rsidRDefault="00DA5476" w:rsidP="00CE203B">
      <w:pPr>
        <w:pStyle w:val="Odsekzoznamu"/>
        <w:numPr>
          <w:ilvl w:val="0"/>
          <w:numId w:val="287"/>
        </w:numPr>
        <w:autoSpaceDE w:val="0"/>
        <w:autoSpaceDN w:val="0"/>
        <w:adjustRightInd w:val="0"/>
        <w:spacing w:after="120"/>
        <w:ind w:left="714" w:hanging="357"/>
        <w:contextualSpacing w:val="0"/>
        <w:rPr>
          <w:rFonts w:ascii="Calibri" w:hAnsi="Calibri" w:cs="Calibri"/>
        </w:rPr>
      </w:pPr>
      <w:r w:rsidRPr="007759FA">
        <w:rPr>
          <w:rFonts w:ascii="Calibri" w:hAnsi="Calibri" w:cs="Calibri"/>
        </w:rPr>
        <w:t>Pri zostavovaní hodnotiaceho tímu sa využije tak existujúci kvalifikovaný personál Ministerstva pôdohospodárstva</w:t>
      </w:r>
      <w:r>
        <w:rPr>
          <w:rFonts w:ascii="Calibri" w:hAnsi="Calibri" w:cs="Calibri"/>
        </w:rPr>
        <w:t xml:space="preserve"> a rozvoja vidieka</w:t>
      </w:r>
      <w:r w:rsidRPr="007759FA">
        <w:rPr>
          <w:rFonts w:ascii="Calibri" w:hAnsi="Calibri" w:cs="Calibri"/>
        </w:rPr>
        <w:t xml:space="preserve"> SR ako aj externé expertízy univerzít, súkromných konzultantov a ďalších rezortných organizácií.  Mimo toho budú pre špecifické témy a  rozsiahlejšie otázky, základné práce a vývoj metodiky vypísané výberové konania pre získanie dodatočných </w:t>
      </w:r>
      <w:r w:rsidRPr="00E475BD">
        <w:rPr>
          <w:rFonts w:ascii="Calibri" w:hAnsi="Calibri" w:cs="Calibri"/>
        </w:rPr>
        <w:t xml:space="preserve">hodnotiacich štúdií. Externe zadané hodnotiace zákazky a špeciálne štúdie budú financované v rámci „technickej pomoci“. </w:t>
      </w:r>
    </w:p>
    <w:p w:rsidR="00DA5476" w:rsidRPr="007759FA" w:rsidRDefault="00DA5476" w:rsidP="00CE203B">
      <w:pPr>
        <w:pStyle w:val="Odsekzoznamu"/>
        <w:numPr>
          <w:ilvl w:val="0"/>
          <w:numId w:val="287"/>
        </w:numPr>
        <w:autoSpaceDE w:val="0"/>
        <w:autoSpaceDN w:val="0"/>
        <w:adjustRightInd w:val="0"/>
        <w:spacing w:after="120"/>
        <w:ind w:left="714" w:hanging="357"/>
        <w:contextualSpacing w:val="0"/>
        <w:rPr>
          <w:rFonts w:ascii="Calibri" w:hAnsi="Calibri" w:cs="Calibri"/>
        </w:rPr>
      </w:pPr>
      <w:r w:rsidRPr="00E475BD">
        <w:rPr>
          <w:rFonts w:ascii="Calibri" w:hAnsi="Calibri" w:cs="Calibri"/>
        </w:rPr>
        <w:t xml:space="preserve">Pre financovanie hodnotiacich aktivít </w:t>
      </w:r>
      <w:r w:rsidRPr="007759FA">
        <w:rPr>
          <w:rFonts w:ascii="Calibri" w:hAnsi="Calibri" w:cs="Calibri"/>
        </w:rPr>
        <w:t xml:space="preserve">sú v rámci „technickej pomoci“ naplánované finančné prostriedky, ktorých výška závisí od skutočne vyžadovaných finančných nákladov, budú sa však odhadom pohybovať v porovnateľnej výške ako náklady za hodnotenie obdobia PRV 07 – 13. </w:t>
      </w:r>
    </w:p>
    <w:p w:rsidR="00DA5476" w:rsidRPr="007759FA" w:rsidRDefault="00DA5476" w:rsidP="00CE203B">
      <w:pPr>
        <w:pStyle w:val="Odsekzoznamu"/>
        <w:numPr>
          <w:ilvl w:val="0"/>
          <w:numId w:val="287"/>
        </w:numPr>
        <w:autoSpaceDE w:val="0"/>
        <w:autoSpaceDN w:val="0"/>
        <w:adjustRightInd w:val="0"/>
        <w:spacing w:after="120"/>
        <w:ind w:left="714" w:hanging="357"/>
        <w:contextualSpacing w:val="0"/>
        <w:rPr>
          <w:rFonts w:ascii="Calibri" w:hAnsi="Calibri" w:cs="Calibri"/>
        </w:rPr>
      </w:pPr>
      <w:r w:rsidRPr="007759FA">
        <w:rPr>
          <w:rFonts w:ascii="Calibri" w:eastAsia="Calibri" w:hAnsi="Calibri" w:cs="Calibri"/>
        </w:rPr>
        <w:t xml:space="preserve">Personálne a inštitucionálne náklady na hodnotenie sa zo strany rezortných organizácii </w:t>
      </w:r>
      <w:r w:rsidRPr="007759FA">
        <w:rPr>
          <w:rFonts w:ascii="Calibri" w:hAnsi="Calibri" w:cs="Calibri"/>
        </w:rPr>
        <w:t>budú vykazovať podľa určenia v jednotlivých výročných pracovných plánoch oddelene na báze kalkulácií výdajov a faktúr za služby.</w:t>
      </w:r>
    </w:p>
    <w:p w:rsidR="00DA5476" w:rsidRPr="007759FA" w:rsidRDefault="00DA5476" w:rsidP="00CE203B">
      <w:pPr>
        <w:pStyle w:val="Odsekzoznamu"/>
        <w:numPr>
          <w:ilvl w:val="0"/>
          <w:numId w:val="287"/>
        </w:numPr>
        <w:autoSpaceDE w:val="0"/>
        <w:autoSpaceDN w:val="0"/>
        <w:adjustRightInd w:val="0"/>
        <w:spacing w:after="120"/>
        <w:rPr>
          <w:rFonts w:ascii="Calibri" w:eastAsia="Calibri" w:hAnsi="Calibri" w:cs="Calibri"/>
        </w:rPr>
      </w:pPr>
      <w:r w:rsidRPr="007759FA">
        <w:rPr>
          <w:rFonts w:ascii="Calibri" w:eastAsia="Calibri" w:hAnsi="Calibri" w:cs="Calibri"/>
        </w:rPr>
        <w:t xml:space="preserve">V rámci príprav na výročnú správu s „posilnenými povinnosťami týkajúcimi sa správ„ (2017, 2019, ex-post hodnotenie 2023) sa odhadujú vyššie náklady na hodnotenie. To sa vzťahuje na časové obdobie 2016 – 2019, resp. 2022 a 2023. Počas tohto obdobia budú vo väčšej miere externe zadávané hodnotenia a budú sa uskutočňovať ďalšie prípravy na tvorbu správ a dát v rámci hodnotenia. Potrebné expertízy musia byť včas zadané. </w:t>
      </w:r>
    </w:p>
    <w:p w:rsidR="00DA5476" w:rsidRDefault="00DA5476" w:rsidP="008676F9">
      <w:pPr>
        <w:spacing w:before="120" w:after="200" w:line="276" w:lineRule="auto"/>
        <w:contextualSpacing/>
        <w:rPr>
          <w:rFonts w:ascii="Calibri" w:hAnsi="Calibri"/>
          <w:szCs w:val="22"/>
        </w:rPr>
        <w:sectPr w:rsidR="00DA5476" w:rsidSect="00EB6F57">
          <w:pgSz w:w="11906" w:h="16838" w:code="9"/>
          <w:pgMar w:top="1418" w:right="1134" w:bottom="1418" w:left="1701" w:header="1021" w:footer="1021" w:gutter="0"/>
          <w:cols w:space="708"/>
          <w:docGrid w:linePitch="360"/>
        </w:sectPr>
      </w:pPr>
    </w:p>
    <w:p w:rsidR="009B0266" w:rsidRDefault="009B0266" w:rsidP="009B0266">
      <w:pPr>
        <w:keepNext/>
        <w:keepLines/>
        <w:jc w:val="left"/>
        <w:outlineLvl w:val="2"/>
        <w:rPr>
          <w:rFonts w:eastAsiaTheme="majorEastAsia"/>
          <w:b/>
          <w:bCs/>
          <w:sz w:val="24"/>
          <w:lang w:eastAsia="en-US"/>
        </w:rPr>
      </w:pPr>
    </w:p>
    <w:p w:rsidR="009B0266" w:rsidRPr="009B0266" w:rsidRDefault="009B0266" w:rsidP="009B0266">
      <w:pPr>
        <w:keepNext/>
        <w:keepLines/>
        <w:jc w:val="left"/>
        <w:outlineLvl w:val="2"/>
        <w:rPr>
          <w:rFonts w:eastAsiaTheme="majorEastAsia"/>
          <w:b/>
          <w:bCs/>
          <w:sz w:val="24"/>
          <w:lang w:eastAsia="en-US"/>
        </w:rPr>
      </w:pPr>
      <w:r w:rsidRPr="009B0266">
        <w:rPr>
          <w:rFonts w:eastAsiaTheme="majorEastAsia"/>
          <w:b/>
          <w:bCs/>
          <w:sz w:val="24"/>
          <w:lang w:eastAsia="en-US"/>
        </w:rPr>
        <w:t>10. FINANČNÝ PLÁN</w:t>
      </w:r>
    </w:p>
    <w:p w:rsidR="009B0266" w:rsidRDefault="009B0266" w:rsidP="009B0266">
      <w:pPr>
        <w:keepNext/>
        <w:outlineLvl w:val="1"/>
        <w:rPr>
          <w:rFonts w:eastAsia="Calibri"/>
          <w:b/>
          <w:szCs w:val="22"/>
          <w:lang w:eastAsia="ja-JP"/>
        </w:rPr>
      </w:pPr>
      <w:bookmarkStart w:id="128" w:name="_Ref360520387"/>
      <w:bookmarkStart w:id="129" w:name="_Ref360520578"/>
      <w:bookmarkStart w:id="130" w:name="_Toc369609073"/>
    </w:p>
    <w:p w:rsidR="009B0266" w:rsidRPr="009B0266" w:rsidRDefault="009B0266" w:rsidP="009B0266">
      <w:pPr>
        <w:keepNext/>
        <w:outlineLvl w:val="1"/>
        <w:rPr>
          <w:rFonts w:eastAsiaTheme="majorEastAsia"/>
          <w:b/>
          <w:bCs/>
          <w:szCs w:val="22"/>
          <w:lang w:eastAsia="en-US"/>
        </w:rPr>
      </w:pPr>
      <w:r w:rsidRPr="009B0266">
        <w:rPr>
          <w:rFonts w:eastAsia="Calibri"/>
          <w:b/>
          <w:szCs w:val="22"/>
          <w:lang w:eastAsia="ja-JP"/>
        </w:rPr>
        <w:t xml:space="preserve">10.1 </w:t>
      </w:r>
      <w:r w:rsidRPr="009B0266">
        <w:rPr>
          <w:rFonts w:eastAsiaTheme="majorEastAsia"/>
          <w:b/>
          <w:bCs/>
          <w:szCs w:val="22"/>
          <w:lang w:eastAsia="en-US"/>
        </w:rPr>
        <w:t>Plán ročných príspevkov z EPFRV v EUR</w:t>
      </w:r>
    </w:p>
    <w:tbl>
      <w:tblPr>
        <w:tblW w:w="1516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3"/>
        <w:gridCol w:w="2976"/>
        <w:gridCol w:w="1399"/>
        <w:gridCol w:w="1400"/>
        <w:gridCol w:w="1400"/>
        <w:gridCol w:w="1400"/>
        <w:gridCol w:w="1400"/>
        <w:gridCol w:w="1400"/>
        <w:gridCol w:w="1400"/>
        <w:gridCol w:w="1400"/>
      </w:tblGrid>
      <w:tr w:rsidR="009B0266" w:rsidRPr="009B0266" w:rsidTr="009B0266">
        <w:tc>
          <w:tcPr>
            <w:tcW w:w="3969" w:type="dxa"/>
            <w:gridSpan w:val="2"/>
            <w:tcBorders>
              <w:bottom w:val="single" w:sz="4" w:space="0" w:color="auto"/>
            </w:tcBorders>
            <w:shd w:val="clear" w:color="auto" w:fill="F2F2F2"/>
            <w:vAlign w:val="center"/>
          </w:tcPr>
          <w:p w:rsidR="009B0266" w:rsidRPr="009B0266" w:rsidRDefault="009B0266" w:rsidP="009B0266">
            <w:pPr>
              <w:tabs>
                <w:tab w:val="left" w:pos="1185"/>
              </w:tabs>
              <w:spacing w:beforeLines="20" w:before="48" w:afterLines="20" w:after="48"/>
              <w:jc w:val="left"/>
              <w:rPr>
                <w:sz w:val="16"/>
                <w:szCs w:val="16"/>
                <w:lang w:eastAsia="en-US"/>
              </w:rPr>
            </w:pPr>
            <w:r w:rsidRPr="009B0266">
              <w:rPr>
                <w:sz w:val="16"/>
                <w:szCs w:val="16"/>
                <w:lang w:eastAsia="en-US"/>
              </w:rPr>
              <w:t>Typy regiónov a dodatočných alokácií</w:t>
            </w:r>
          </w:p>
        </w:tc>
        <w:tc>
          <w:tcPr>
            <w:tcW w:w="1399" w:type="dxa"/>
            <w:tcBorders>
              <w:bottom w:val="single" w:sz="4" w:space="0" w:color="auto"/>
            </w:tcBorders>
            <w:shd w:val="clear" w:color="auto" w:fill="F2F2F2"/>
            <w:vAlign w:val="center"/>
          </w:tcPr>
          <w:p w:rsidR="009B0266" w:rsidRPr="009B0266" w:rsidRDefault="009B0266" w:rsidP="009B0266">
            <w:pPr>
              <w:tabs>
                <w:tab w:val="left" w:pos="1185"/>
              </w:tabs>
              <w:spacing w:beforeLines="20" w:before="48" w:afterLines="20" w:after="48"/>
              <w:jc w:val="center"/>
              <w:rPr>
                <w:b/>
                <w:sz w:val="16"/>
                <w:szCs w:val="16"/>
                <w:lang w:eastAsia="en-US"/>
              </w:rPr>
            </w:pPr>
            <w:r w:rsidRPr="009B0266">
              <w:rPr>
                <w:b/>
                <w:sz w:val="16"/>
                <w:szCs w:val="16"/>
                <w:lang w:eastAsia="en-US"/>
              </w:rPr>
              <w:t>2014</w:t>
            </w:r>
          </w:p>
        </w:tc>
        <w:tc>
          <w:tcPr>
            <w:tcW w:w="1400" w:type="dxa"/>
            <w:tcBorders>
              <w:bottom w:val="single" w:sz="4" w:space="0" w:color="auto"/>
            </w:tcBorders>
            <w:shd w:val="clear" w:color="auto" w:fill="F2F2F2"/>
            <w:vAlign w:val="center"/>
          </w:tcPr>
          <w:p w:rsidR="009B0266" w:rsidRPr="009B0266" w:rsidRDefault="009B0266" w:rsidP="009B0266">
            <w:pPr>
              <w:tabs>
                <w:tab w:val="left" w:pos="1185"/>
              </w:tabs>
              <w:spacing w:beforeLines="20" w:before="48" w:afterLines="20" w:after="48"/>
              <w:jc w:val="center"/>
              <w:rPr>
                <w:b/>
                <w:sz w:val="16"/>
                <w:szCs w:val="16"/>
                <w:lang w:eastAsia="en-US"/>
              </w:rPr>
            </w:pPr>
            <w:r w:rsidRPr="009B0266">
              <w:rPr>
                <w:b/>
                <w:sz w:val="16"/>
                <w:szCs w:val="16"/>
                <w:lang w:eastAsia="en-US"/>
              </w:rPr>
              <w:t>2015</w:t>
            </w:r>
          </w:p>
        </w:tc>
        <w:tc>
          <w:tcPr>
            <w:tcW w:w="1400" w:type="dxa"/>
            <w:tcBorders>
              <w:bottom w:val="single" w:sz="4" w:space="0" w:color="auto"/>
            </w:tcBorders>
            <w:shd w:val="clear" w:color="auto" w:fill="F2F2F2"/>
            <w:vAlign w:val="center"/>
          </w:tcPr>
          <w:p w:rsidR="009B0266" w:rsidRPr="009B0266" w:rsidRDefault="009B0266" w:rsidP="009B0266">
            <w:pPr>
              <w:tabs>
                <w:tab w:val="left" w:pos="1185"/>
              </w:tabs>
              <w:spacing w:beforeLines="20" w:before="48" w:afterLines="20" w:after="48"/>
              <w:jc w:val="center"/>
              <w:rPr>
                <w:b/>
                <w:sz w:val="16"/>
                <w:szCs w:val="16"/>
                <w:lang w:eastAsia="en-US"/>
              </w:rPr>
            </w:pPr>
            <w:r w:rsidRPr="009B0266">
              <w:rPr>
                <w:b/>
                <w:sz w:val="16"/>
                <w:szCs w:val="16"/>
                <w:lang w:eastAsia="en-US"/>
              </w:rPr>
              <w:t>2016</w:t>
            </w:r>
          </w:p>
        </w:tc>
        <w:tc>
          <w:tcPr>
            <w:tcW w:w="1400" w:type="dxa"/>
            <w:tcBorders>
              <w:bottom w:val="single" w:sz="4" w:space="0" w:color="auto"/>
            </w:tcBorders>
            <w:shd w:val="clear" w:color="auto" w:fill="F2F2F2"/>
            <w:vAlign w:val="center"/>
          </w:tcPr>
          <w:p w:rsidR="009B0266" w:rsidRPr="009B0266" w:rsidRDefault="009B0266" w:rsidP="009B0266">
            <w:pPr>
              <w:tabs>
                <w:tab w:val="left" w:pos="1185"/>
              </w:tabs>
              <w:spacing w:beforeLines="20" w:before="48" w:afterLines="20" w:after="48"/>
              <w:jc w:val="center"/>
              <w:rPr>
                <w:b/>
                <w:sz w:val="16"/>
                <w:szCs w:val="16"/>
                <w:lang w:eastAsia="en-US"/>
              </w:rPr>
            </w:pPr>
            <w:r w:rsidRPr="009B0266">
              <w:rPr>
                <w:b/>
                <w:sz w:val="16"/>
                <w:szCs w:val="16"/>
                <w:lang w:eastAsia="en-US"/>
              </w:rPr>
              <w:t>2017</w:t>
            </w:r>
          </w:p>
        </w:tc>
        <w:tc>
          <w:tcPr>
            <w:tcW w:w="1400" w:type="dxa"/>
            <w:tcBorders>
              <w:bottom w:val="single" w:sz="4" w:space="0" w:color="auto"/>
            </w:tcBorders>
            <w:shd w:val="clear" w:color="auto" w:fill="F2F2F2"/>
            <w:vAlign w:val="center"/>
          </w:tcPr>
          <w:p w:rsidR="009B0266" w:rsidRPr="009B0266" w:rsidRDefault="009B0266" w:rsidP="009B0266">
            <w:pPr>
              <w:tabs>
                <w:tab w:val="left" w:pos="1185"/>
              </w:tabs>
              <w:spacing w:beforeLines="20" w:before="48" w:afterLines="20" w:after="48"/>
              <w:jc w:val="center"/>
              <w:rPr>
                <w:b/>
                <w:sz w:val="16"/>
                <w:szCs w:val="16"/>
                <w:lang w:eastAsia="en-US"/>
              </w:rPr>
            </w:pPr>
            <w:r w:rsidRPr="009B0266">
              <w:rPr>
                <w:b/>
                <w:sz w:val="16"/>
                <w:szCs w:val="16"/>
                <w:lang w:eastAsia="en-US"/>
              </w:rPr>
              <w:t>2018</w:t>
            </w:r>
          </w:p>
        </w:tc>
        <w:tc>
          <w:tcPr>
            <w:tcW w:w="1400" w:type="dxa"/>
            <w:tcBorders>
              <w:bottom w:val="single" w:sz="4" w:space="0" w:color="auto"/>
            </w:tcBorders>
            <w:shd w:val="clear" w:color="auto" w:fill="F2F2F2"/>
            <w:vAlign w:val="center"/>
          </w:tcPr>
          <w:p w:rsidR="009B0266" w:rsidRPr="009B0266" w:rsidRDefault="009B0266" w:rsidP="009B0266">
            <w:pPr>
              <w:tabs>
                <w:tab w:val="left" w:pos="1185"/>
              </w:tabs>
              <w:spacing w:beforeLines="20" w:before="48" w:afterLines="20" w:after="48"/>
              <w:jc w:val="center"/>
              <w:rPr>
                <w:b/>
                <w:sz w:val="16"/>
                <w:szCs w:val="16"/>
                <w:lang w:eastAsia="en-US"/>
              </w:rPr>
            </w:pPr>
            <w:r w:rsidRPr="009B0266">
              <w:rPr>
                <w:b/>
                <w:sz w:val="16"/>
                <w:szCs w:val="16"/>
                <w:lang w:eastAsia="en-US"/>
              </w:rPr>
              <w:t>2019</w:t>
            </w:r>
          </w:p>
        </w:tc>
        <w:tc>
          <w:tcPr>
            <w:tcW w:w="1400" w:type="dxa"/>
            <w:tcBorders>
              <w:bottom w:val="single" w:sz="4" w:space="0" w:color="auto"/>
            </w:tcBorders>
            <w:shd w:val="clear" w:color="auto" w:fill="F2F2F2"/>
            <w:vAlign w:val="center"/>
          </w:tcPr>
          <w:p w:rsidR="009B0266" w:rsidRPr="009B0266" w:rsidRDefault="009B0266" w:rsidP="009B0266">
            <w:pPr>
              <w:tabs>
                <w:tab w:val="left" w:pos="1185"/>
              </w:tabs>
              <w:spacing w:beforeLines="20" w:before="48" w:afterLines="20" w:after="48"/>
              <w:jc w:val="center"/>
              <w:rPr>
                <w:b/>
                <w:sz w:val="16"/>
                <w:szCs w:val="16"/>
                <w:lang w:eastAsia="en-US"/>
              </w:rPr>
            </w:pPr>
            <w:r w:rsidRPr="009B0266">
              <w:rPr>
                <w:b/>
                <w:sz w:val="16"/>
                <w:szCs w:val="16"/>
                <w:lang w:eastAsia="en-US"/>
              </w:rPr>
              <w:t>2020</w:t>
            </w:r>
          </w:p>
        </w:tc>
        <w:tc>
          <w:tcPr>
            <w:tcW w:w="1400" w:type="dxa"/>
            <w:tcBorders>
              <w:bottom w:val="single" w:sz="4" w:space="0" w:color="auto"/>
            </w:tcBorders>
            <w:shd w:val="clear" w:color="auto" w:fill="F2F2F2"/>
            <w:vAlign w:val="center"/>
          </w:tcPr>
          <w:p w:rsidR="009B0266" w:rsidRPr="009B0266" w:rsidRDefault="009B0266" w:rsidP="009B0266">
            <w:pPr>
              <w:tabs>
                <w:tab w:val="left" w:pos="1185"/>
              </w:tabs>
              <w:spacing w:beforeLines="20" w:before="48" w:afterLines="20" w:after="48"/>
              <w:jc w:val="center"/>
              <w:rPr>
                <w:b/>
                <w:sz w:val="16"/>
                <w:szCs w:val="16"/>
                <w:lang w:eastAsia="en-US"/>
              </w:rPr>
            </w:pPr>
            <w:r w:rsidRPr="009B0266">
              <w:rPr>
                <w:b/>
                <w:sz w:val="16"/>
                <w:szCs w:val="16"/>
                <w:lang w:eastAsia="en-US"/>
              </w:rPr>
              <w:t>Spolu  2014-2020</w:t>
            </w:r>
          </w:p>
        </w:tc>
      </w:tr>
      <w:tr w:rsidR="009B0266" w:rsidRPr="009B0266" w:rsidTr="009B0266">
        <w:tc>
          <w:tcPr>
            <w:tcW w:w="993" w:type="dxa"/>
          </w:tcPr>
          <w:p w:rsidR="009B0266" w:rsidRPr="009B0266" w:rsidRDefault="009B0266" w:rsidP="009B0266">
            <w:pPr>
              <w:spacing w:beforeLines="20" w:before="48" w:afterLines="20" w:after="48" w:line="276" w:lineRule="auto"/>
              <w:jc w:val="left"/>
              <w:rPr>
                <w:rFonts w:eastAsiaTheme="minorHAnsi"/>
                <w:sz w:val="16"/>
                <w:szCs w:val="16"/>
                <w:lang w:eastAsia="en-US"/>
              </w:rPr>
            </w:pPr>
            <w:r w:rsidRPr="009B0266">
              <w:rPr>
                <w:rFonts w:eastAsiaTheme="minorHAnsi"/>
                <w:sz w:val="16"/>
                <w:szCs w:val="16"/>
                <w:lang w:eastAsia="en-US"/>
              </w:rPr>
              <w:t>59(3)(a)</w:t>
            </w:r>
          </w:p>
        </w:tc>
        <w:tc>
          <w:tcPr>
            <w:tcW w:w="2976" w:type="dxa"/>
            <w:tcBorders>
              <w:bottom w:val="single" w:sz="4" w:space="0" w:color="auto"/>
            </w:tcBorders>
            <w:shd w:val="clear" w:color="auto" w:fill="auto"/>
          </w:tcPr>
          <w:p w:rsidR="009B0266" w:rsidRPr="009B0266" w:rsidRDefault="009B0266" w:rsidP="009B0266">
            <w:pPr>
              <w:spacing w:beforeLines="20" w:before="48" w:afterLines="20" w:after="48" w:line="276" w:lineRule="auto"/>
              <w:jc w:val="left"/>
              <w:rPr>
                <w:rFonts w:eastAsiaTheme="minorHAnsi"/>
                <w:sz w:val="16"/>
                <w:szCs w:val="16"/>
                <w:lang w:eastAsia="en-US"/>
              </w:rPr>
            </w:pPr>
            <w:r w:rsidRPr="009B0266">
              <w:rPr>
                <w:rFonts w:eastAsiaTheme="minorHAnsi"/>
                <w:sz w:val="16"/>
                <w:szCs w:val="16"/>
              </w:rPr>
              <w:t>Menej rozvinuté regióny, najvzdialenejšie regióny a menšie ostrovy v Egejskom mori v zmysle nariadenia (EHS) č. 2019/93</w:t>
            </w:r>
          </w:p>
        </w:tc>
        <w:tc>
          <w:tcPr>
            <w:tcW w:w="1399" w:type="dxa"/>
            <w:tcBorders>
              <w:bottom w:val="single" w:sz="4" w:space="0" w:color="auto"/>
            </w:tcBorders>
            <w:shd w:val="clear" w:color="auto" w:fill="auto"/>
            <w:vAlign w:val="center"/>
          </w:tcPr>
          <w:p w:rsidR="009B0266" w:rsidRPr="009B0266" w:rsidRDefault="009B0266" w:rsidP="009B0266">
            <w:pPr>
              <w:spacing w:beforeLines="20" w:before="48" w:afterLines="20" w:after="48"/>
              <w:jc w:val="center"/>
              <w:rPr>
                <w:sz w:val="16"/>
                <w:szCs w:val="16"/>
                <w:lang w:eastAsia="en-US"/>
              </w:rPr>
            </w:pPr>
            <w:r w:rsidRPr="009B0266">
              <w:rPr>
                <w:sz w:val="16"/>
                <w:szCs w:val="16"/>
                <w:lang w:eastAsia="en-US"/>
              </w:rPr>
              <w:t>265 251 687</w:t>
            </w:r>
          </w:p>
        </w:tc>
        <w:tc>
          <w:tcPr>
            <w:tcW w:w="1400" w:type="dxa"/>
            <w:tcBorders>
              <w:bottom w:val="single" w:sz="4" w:space="0" w:color="auto"/>
            </w:tcBorders>
            <w:shd w:val="clear" w:color="auto" w:fill="auto"/>
            <w:vAlign w:val="center"/>
          </w:tcPr>
          <w:p w:rsidR="009B0266" w:rsidRPr="009B0266" w:rsidRDefault="009B0266" w:rsidP="009B0266">
            <w:pPr>
              <w:spacing w:beforeLines="20" w:before="48" w:afterLines="20" w:after="48"/>
              <w:jc w:val="center"/>
              <w:rPr>
                <w:sz w:val="16"/>
                <w:szCs w:val="16"/>
                <w:lang w:eastAsia="en-US"/>
              </w:rPr>
            </w:pPr>
            <w:r w:rsidRPr="009B0266">
              <w:rPr>
                <w:sz w:val="16"/>
                <w:szCs w:val="16"/>
                <w:lang w:eastAsia="en-US"/>
              </w:rPr>
              <w:t>208 462 865</w:t>
            </w:r>
          </w:p>
        </w:tc>
        <w:tc>
          <w:tcPr>
            <w:tcW w:w="1400" w:type="dxa"/>
            <w:tcBorders>
              <w:bottom w:val="single" w:sz="4" w:space="0" w:color="auto"/>
            </w:tcBorders>
            <w:shd w:val="clear" w:color="auto" w:fill="auto"/>
            <w:vAlign w:val="center"/>
          </w:tcPr>
          <w:p w:rsidR="009B0266" w:rsidRPr="009B0266" w:rsidRDefault="009B0266" w:rsidP="009B0266">
            <w:pPr>
              <w:spacing w:beforeLines="20" w:before="48" w:afterLines="20" w:after="48"/>
              <w:jc w:val="center"/>
              <w:rPr>
                <w:sz w:val="16"/>
                <w:szCs w:val="16"/>
                <w:lang w:eastAsia="en-US"/>
              </w:rPr>
            </w:pPr>
            <w:r w:rsidRPr="009B0266">
              <w:rPr>
                <w:sz w:val="16"/>
                <w:szCs w:val="16"/>
                <w:lang w:eastAsia="en-US"/>
              </w:rPr>
              <w:t>208 182 185</w:t>
            </w:r>
          </w:p>
        </w:tc>
        <w:tc>
          <w:tcPr>
            <w:tcW w:w="1400" w:type="dxa"/>
            <w:tcBorders>
              <w:bottom w:val="single" w:sz="4" w:space="0" w:color="auto"/>
            </w:tcBorders>
            <w:shd w:val="clear" w:color="auto" w:fill="auto"/>
            <w:vAlign w:val="center"/>
          </w:tcPr>
          <w:p w:rsidR="009B0266" w:rsidRPr="009B0266" w:rsidRDefault="009B0266" w:rsidP="009B0266">
            <w:pPr>
              <w:spacing w:beforeLines="20" w:before="48" w:afterLines="20" w:after="48"/>
              <w:jc w:val="center"/>
              <w:rPr>
                <w:sz w:val="16"/>
                <w:szCs w:val="16"/>
                <w:lang w:eastAsia="en-US"/>
              </w:rPr>
            </w:pPr>
            <w:r w:rsidRPr="009B0266">
              <w:rPr>
                <w:sz w:val="16"/>
                <w:szCs w:val="16"/>
                <w:lang w:eastAsia="en-US"/>
              </w:rPr>
              <w:t>207 896 142</w:t>
            </w:r>
          </w:p>
        </w:tc>
        <w:tc>
          <w:tcPr>
            <w:tcW w:w="1400" w:type="dxa"/>
            <w:tcBorders>
              <w:bottom w:val="single" w:sz="4" w:space="0" w:color="auto"/>
            </w:tcBorders>
            <w:vAlign w:val="center"/>
          </w:tcPr>
          <w:p w:rsidR="009B0266" w:rsidRPr="009B0266" w:rsidRDefault="009B0266" w:rsidP="009B0266">
            <w:pPr>
              <w:spacing w:beforeLines="20" w:before="48" w:afterLines="20" w:after="48"/>
              <w:jc w:val="center"/>
              <w:rPr>
                <w:sz w:val="16"/>
                <w:szCs w:val="16"/>
                <w:lang w:eastAsia="en-US"/>
              </w:rPr>
            </w:pPr>
            <w:r w:rsidRPr="009B0266">
              <w:rPr>
                <w:sz w:val="16"/>
                <w:szCs w:val="16"/>
                <w:lang w:eastAsia="en-US"/>
              </w:rPr>
              <w:t>207 605 414</w:t>
            </w:r>
          </w:p>
        </w:tc>
        <w:tc>
          <w:tcPr>
            <w:tcW w:w="1400" w:type="dxa"/>
            <w:tcBorders>
              <w:bottom w:val="single" w:sz="4" w:space="0" w:color="auto"/>
            </w:tcBorders>
            <w:vAlign w:val="center"/>
          </w:tcPr>
          <w:p w:rsidR="009B0266" w:rsidRPr="009B0266" w:rsidRDefault="009B0266" w:rsidP="009B0266">
            <w:pPr>
              <w:spacing w:beforeLines="20" w:before="48" w:afterLines="20" w:after="48"/>
              <w:jc w:val="center"/>
              <w:rPr>
                <w:sz w:val="16"/>
                <w:szCs w:val="16"/>
                <w:lang w:eastAsia="en-US"/>
              </w:rPr>
            </w:pPr>
            <w:r w:rsidRPr="009B0266">
              <w:rPr>
                <w:sz w:val="16"/>
                <w:szCs w:val="16"/>
                <w:lang w:eastAsia="en-US"/>
              </w:rPr>
              <w:t>207 298 990</w:t>
            </w:r>
          </w:p>
        </w:tc>
        <w:tc>
          <w:tcPr>
            <w:tcW w:w="1400" w:type="dxa"/>
            <w:tcBorders>
              <w:bottom w:val="single" w:sz="4" w:space="0" w:color="auto"/>
            </w:tcBorders>
            <w:vAlign w:val="center"/>
          </w:tcPr>
          <w:p w:rsidR="009B0266" w:rsidRPr="009B0266" w:rsidRDefault="009B0266" w:rsidP="009B0266">
            <w:pPr>
              <w:spacing w:beforeLines="20" w:before="48" w:afterLines="20" w:after="48"/>
              <w:jc w:val="center"/>
              <w:rPr>
                <w:sz w:val="16"/>
                <w:szCs w:val="16"/>
                <w:lang w:eastAsia="en-US"/>
              </w:rPr>
            </w:pPr>
            <w:r w:rsidRPr="009B0266">
              <w:rPr>
                <w:sz w:val="16"/>
                <w:szCs w:val="16"/>
                <w:lang w:eastAsia="en-US"/>
              </w:rPr>
              <w:t>206 935 812</w:t>
            </w:r>
          </w:p>
        </w:tc>
        <w:tc>
          <w:tcPr>
            <w:tcW w:w="1400" w:type="dxa"/>
            <w:tcBorders>
              <w:bottom w:val="single" w:sz="4" w:space="0" w:color="auto"/>
            </w:tcBorders>
            <w:vAlign w:val="center"/>
          </w:tcPr>
          <w:p w:rsidR="009B0266" w:rsidRPr="009B0266" w:rsidRDefault="009B0266" w:rsidP="009B0266">
            <w:pPr>
              <w:spacing w:beforeLines="20" w:before="48" w:afterLines="20" w:after="48"/>
              <w:jc w:val="center"/>
              <w:rPr>
                <w:b/>
                <w:sz w:val="16"/>
                <w:szCs w:val="16"/>
                <w:lang w:eastAsia="en-US"/>
              </w:rPr>
            </w:pPr>
            <w:r w:rsidRPr="009B0266">
              <w:rPr>
                <w:b/>
                <w:sz w:val="16"/>
                <w:szCs w:val="16"/>
                <w:lang w:eastAsia="en-US"/>
              </w:rPr>
              <w:t>1 511 633 094</w:t>
            </w:r>
          </w:p>
        </w:tc>
      </w:tr>
      <w:tr w:rsidR="009B0266" w:rsidRPr="009B0266" w:rsidTr="009B0266">
        <w:tc>
          <w:tcPr>
            <w:tcW w:w="993" w:type="dxa"/>
            <w:tcBorders>
              <w:bottom w:val="single" w:sz="4" w:space="0" w:color="auto"/>
            </w:tcBorders>
          </w:tcPr>
          <w:p w:rsidR="009B0266" w:rsidRPr="009B0266" w:rsidRDefault="009B0266" w:rsidP="009B0266">
            <w:pPr>
              <w:spacing w:beforeLines="20" w:before="48" w:afterLines="20" w:after="48" w:line="276" w:lineRule="auto"/>
              <w:jc w:val="left"/>
              <w:rPr>
                <w:rFonts w:eastAsiaTheme="minorHAnsi"/>
                <w:sz w:val="16"/>
                <w:szCs w:val="16"/>
                <w:lang w:eastAsia="en-US"/>
              </w:rPr>
            </w:pPr>
            <w:r w:rsidRPr="009B0266">
              <w:rPr>
                <w:rFonts w:eastAsiaTheme="minorHAnsi"/>
                <w:sz w:val="16"/>
                <w:szCs w:val="16"/>
                <w:lang w:eastAsia="en-US"/>
              </w:rPr>
              <w:t>59(3)(b)</w:t>
            </w:r>
          </w:p>
        </w:tc>
        <w:tc>
          <w:tcPr>
            <w:tcW w:w="2976" w:type="dxa"/>
            <w:tcBorders>
              <w:bottom w:val="single" w:sz="4" w:space="0" w:color="auto"/>
              <w:tl2br w:val="nil"/>
              <w:tr2bl w:val="nil"/>
            </w:tcBorders>
            <w:shd w:val="clear" w:color="auto" w:fill="FFFFFF"/>
          </w:tcPr>
          <w:p w:rsidR="009B0266" w:rsidRPr="009B0266" w:rsidRDefault="009B0266" w:rsidP="009B0266">
            <w:pPr>
              <w:spacing w:beforeLines="20" w:before="48" w:afterLines="20" w:after="48" w:line="276" w:lineRule="auto"/>
              <w:jc w:val="left"/>
              <w:rPr>
                <w:rFonts w:eastAsiaTheme="minorHAnsi"/>
                <w:sz w:val="16"/>
                <w:szCs w:val="16"/>
                <w:lang w:eastAsia="en-US"/>
              </w:rPr>
            </w:pPr>
            <w:r w:rsidRPr="009B0266">
              <w:rPr>
                <w:rFonts w:eastAsiaTheme="minorHAnsi"/>
                <w:iCs/>
                <w:sz w:val="16"/>
                <w:szCs w:val="16"/>
                <w:lang w:eastAsia="en-US"/>
              </w:rPr>
              <w:t>Pre všetky regióny, ktorých HDP na obyvateľa v období rokov 2007 – 2013 bol nižší ako 75 % priemeru EÚ-25 za referenčné obdobie, ale ktorých HDP na obyvateľa prekračuje 75 % priemerného HDP EÚ-27</w:t>
            </w:r>
          </w:p>
        </w:tc>
        <w:tc>
          <w:tcPr>
            <w:tcW w:w="1399" w:type="dxa"/>
            <w:tcBorders>
              <w:bottom w:val="single" w:sz="4" w:space="0" w:color="auto"/>
            </w:tcBorders>
            <w:shd w:val="clear" w:color="auto" w:fill="auto"/>
            <w:vAlign w:val="center"/>
          </w:tcPr>
          <w:p w:rsidR="009B0266" w:rsidRPr="009B0266" w:rsidRDefault="009B0266" w:rsidP="009B0266">
            <w:pPr>
              <w:spacing w:after="200" w:line="276" w:lineRule="auto"/>
              <w:jc w:val="center"/>
              <w:rPr>
                <w:rFonts w:eastAsiaTheme="minorHAnsi"/>
                <w:sz w:val="16"/>
                <w:szCs w:val="16"/>
                <w:lang w:eastAsia="en-US"/>
              </w:rPr>
            </w:pPr>
            <w:r w:rsidRPr="009B0266">
              <w:rPr>
                <w:rFonts w:eastAsiaTheme="minorHAnsi"/>
                <w:sz w:val="16"/>
                <w:szCs w:val="16"/>
                <w:lang w:eastAsia="en-US"/>
              </w:rPr>
              <w:t>-</w:t>
            </w:r>
          </w:p>
        </w:tc>
        <w:tc>
          <w:tcPr>
            <w:tcW w:w="1400" w:type="dxa"/>
            <w:tcBorders>
              <w:bottom w:val="single" w:sz="4" w:space="0" w:color="auto"/>
            </w:tcBorders>
            <w:shd w:val="clear" w:color="auto" w:fill="auto"/>
            <w:vAlign w:val="center"/>
          </w:tcPr>
          <w:p w:rsidR="009B0266" w:rsidRPr="009B0266" w:rsidRDefault="009B0266" w:rsidP="009B0266">
            <w:pPr>
              <w:spacing w:after="200" w:line="276" w:lineRule="auto"/>
              <w:jc w:val="center"/>
              <w:rPr>
                <w:rFonts w:eastAsiaTheme="minorHAnsi"/>
                <w:sz w:val="16"/>
                <w:szCs w:val="16"/>
                <w:lang w:eastAsia="en-US"/>
              </w:rPr>
            </w:pPr>
            <w:r w:rsidRPr="009B0266">
              <w:rPr>
                <w:rFonts w:eastAsiaTheme="minorHAnsi"/>
                <w:sz w:val="16"/>
                <w:szCs w:val="16"/>
                <w:lang w:eastAsia="en-US"/>
              </w:rPr>
              <w:t>-</w:t>
            </w:r>
          </w:p>
        </w:tc>
        <w:tc>
          <w:tcPr>
            <w:tcW w:w="1400" w:type="dxa"/>
            <w:tcBorders>
              <w:bottom w:val="single" w:sz="4" w:space="0" w:color="auto"/>
            </w:tcBorders>
            <w:shd w:val="clear" w:color="auto" w:fill="auto"/>
            <w:vAlign w:val="center"/>
          </w:tcPr>
          <w:p w:rsidR="009B0266" w:rsidRPr="009B0266" w:rsidRDefault="009B0266" w:rsidP="009B0266">
            <w:pPr>
              <w:spacing w:after="200" w:line="276" w:lineRule="auto"/>
              <w:jc w:val="center"/>
              <w:rPr>
                <w:rFonts w:eastAsiaTheme="minorHAnsi"/>
                <w:sz w:val="16"/>
                <w:szCs w:val="16"/>
                <w:lang w:eastAsia="en-US"/>
              </w:rPr>
            </w:pPr>
            <w:r w:rsidRPr="009B0266">
              <w:rPr>
                <w:rFonts w:eastAsiaTheme="minorHAnsi"/>
                <w:sz w:val="16"/>
                <w:szCs w:val="16"/>
                <w:lang w:eastAsia="en-US"/>
              </w:rPr>
              <w:t>-</w:t>
            </w:r>
          </w:p>
        </w:tc>
        <w:tc>
          <w:tcPr>
            <w:tcW w:w="1400" w:type="dxa"/>
            <w:tcBorders>
              <w:bottom w:val="single" w:sz="4" w:space="0" w:color="auto"/>
            </w:tcBorders>
            <w:shd w:val="clear" w:color="auto" w:fill="auto"/>
            <w:vAlign w:val="center"/>
          </w:tcPr>
          <w:p w:rsidR="009B0266" w:rsidRPr="009B0266" w:rsidRDefault="009B0266" w:rsidP="009B0266">
            <w:pPr>
              <w:spacing w:after="200" w:line="276" w:lineRule="auto"/>
              <w:jc w:val="center"/>
              <w:rPr>
                <w:rFonts w:eastAsiaTheme="minorHAnsi"/>
                <w:sz w:val="16"/>
                <w:szCs w:val="16"/>
                <w:lang w:eastAsia="en-US"/>
              </w:rPr>
            </w:pPr>
            <w:r w:rsidRPr="009B0266">
              <w:rPr>
                <w:rFonts w:eastAsiaTheme="minorHAnsi"/>
                <w:sz w:val="16"/>
                <w:szCs w:val="16"/>
                <w:lang w:eastAsia="en-US"/>
              </w:rPr>
              <w:t>-</w:t>
            </w:r>
          </w:p>
        </w:tc>
        <w:tc>
          <w:tcPr>
            <w:tcW w:w="1400" w:type="dxa"/>
            <w:tcBorders>
              <w:bottom w:val="single" w:sz="4" w:space="0" w:color="auto"/>
            </w:tcBorders>
            <w:vAlign w:val="center"/>
          </w:tcPr>
          <w:p w:rsidR="009B0266" w:rsidRPr="009B0266" w:rsidRDefault="009B0266" w:rsidP="009B0266">
            <w:pPr>
              <w:spacing w:after="200" w:line="276" w:lineRule="auto"/>
              <w:jc w:val="center"/>
              <w:rPr>
                <w:rFonts w:eastAsiaTheme="minorHAnsi"/>
                <w:sz w:val="16"/>
                <w:szCs w:val="16"/>
                <w:lang w:eastAsia="en-US"/>
              </w:rPr>
            </w:pPr>
            <w:r w:rsidRPr="009B0266">
              <w:rPr>
                <w:rFonts w:eastAsiaTheme="minorHAnsi"/>
                <w:sz w:val="16"/>
                <w:szCs w:val="16"/>
                <w:lang w:eastAsia="en-US"/>
              </w:rPr>
              <w:t>-</w:t>
            </w:r>
          </w:p>
        </w:tc>
        <w:tc>
          <w:tcPr>
            <w:tcW w:w="1400" w:type="dxa"/>
            <w:tcBorders>
              <w:bottom w:val="single" w:sz="4" w:space="0" w:color="auto"/>
            </w:tcBorders>
            <w:vAlign w:val="center"/>
          </w:tcPr>
          <w:p w:rsidR="009B0266" w:rsidRPr="009B0266" w:rsidRDefault="009B0266" w:rsidP="009B0266">
            <w:pPr>
              <w:spacing w:after="200" w:line="276" w:lineRule="auto"/>
              <w:jc w:val="center"/>
              <w:rPr>
                <w:rFonts w:eastAsiaTheme="minorHAnsi"/>
                <w:sz w:val="16"/>
                <w:szCs w:val="16"/>
                <w:lang w:eastAsia="en-US"/>
              </w:rPr>
            </w:pPr>
            <w:r w:rsidRPr="009B0266">
              <w:rPr>
                <w:rFonts w:eastAsiaTheme="minorHAnsi"/>
                <w:sz w:val="16"/>
                <w:szCs w:val="16"/>
                <w:lang w:eastAsia="en-US"/>
              </w:rPr>
              <w:t>-</w:t>
            </w:r>
          </w:p>
        </w:tc>
        <w:tc>
          <w:tcPr>
            <w:tcW w:w="1400" w:type="dxa"/>
            <w:tcBorders>
              <w:bottom w:val="single" w:sz="4" w:space="0" w:color="auto"/>
            </w:tcBorders>
            <w:vAlign w:val="center"/>
          </w:tcPr>
          <w:p w:rsidR="009B0266" w:rsidRPr="009B0266" w:rsidRDefault="009B0266" w:rsidP="009B0266">
            <w:pPr>
              <w:spacing w:after="200" w:line="276" w:lineRule="auto"/>
              <w:jc w:val="center"/>
              <w:rPr>
                <w:rFonts w:eastAsiaTheme="minorHAnsi"/>
                <w:sz w:val="16"/>
                <w:szCs w:val="16"/>
                <w:lang w:eastAsia="en-US"/>
              </w:rPr>
            </w:pPr>
            <w:r w:rsidRPr="009B0266">
              <w:rPr>
                <w:rFonts w:eastAsiaTheme="minorHAnsi"/>
                <w:sz w:val="16"/>
                <w:szCs w:val="16"/>
                <w:lang w:eastAsia="en-US"/>
              </w:rPr>
              <w:t>-</w:t>
            </w:r>
          </w:p>
        </w:tc>
        <w:tc>
          <w:tcPr>
            <w:tcW w:w="1400" w:type="dxa"/>
            <w:tcBorders>
              <w:bottom w:val="single" w:sz="4" w:space="0" w:color="auto"/>
            </w:tcBorders>
            <w:vAlign w:val="center"/>
          </w:tcPr>
          <w:p w:rsidR="009B0266" w:rsidRPr="009B0266" w:rsidRDefault="009B0266" w:rsidP="009B0266">
            <w:pPr>
              <w:spacing w:after="200" w:line="276" w:lineRule="auto"/>
              <w:jc w:val="center"/>
              <w:rPr>
                <w:rFonts w:eastAsiaTheme="minorHAnsi"/>
                <w:b/>
                <w:sz w:val="16"/>
                <w:szCs w:val="16"/>
                <w:lang w:eastAsia="en-US"/>
              </w:rPr>
            </w:pPr>
            <w:r w:rsidRPr="009B0266">
              <w:rPr>
                <w:rFonts w:eastAsiaTheme="minorHAnsi"/>
                <w:b/>
                <w:sz w:val="16"/>
                <w:szCs w:val="16"/>
                <w:lang w:eastAsia="en-US"/>
              </w:rPr>
              <w:t>-</w:t>
            </w:r>
          </w:p>
        </w:tc>
      </w:tr>
      <w:tr w:rsidR="009B0266" w:rsidRPr="009B0266" w:rsidTr="009B0266">
        <w:tc>
          <w:tcPr>
            <w:tcW w:w="993" w:type="dxa"/>
            <w:tcBorders>
              <w:bottom w:val="single" w:sz="4" w:space="0" w:color="auto"/>
            </w:tcBorders>
          </w:tcPr>
          <w:p w:rsidR="009B0266" w:rsidRPr="009B0266" w:rsidRDefault="009B0266" w:rsidP="009B0266">
            <w:pPr>
              <w:spacing w:beforeLines="20" w:before="48" w:afterLines="20" w:after="48" w:line="276" w:lineRule="auto"/>
              <w:jc w:val="left"/>
              <w:rPr>
                <w:rFonts w:eastAsiaTheme="minorHAnsi"/>
                <w:sz w:val="16"/>
                <w:szCs w:val="16"/>
                <w:lang w:eastAsia="en-US"/>
              </w:rPr>
            </w:pPr>
            <w:r w:rsidRPr="009B0266">
              <w:rPr>
                <w:rFonts w:eastAsiaTheme="minorHAnsi"/>
                <w:sz w:val="16"/>
                <w:szCs w:val="16"/>
                <w:lang w:eastAsia="en-US"/>
              </w:rPr>
              <w:t>59(3)(c)</w:t>
            </w:r>
          </w:p>
        </w:tc>
        <w:tc>
          <w:tcPr>
            <w:tcW w:w="2976" w:type="dxa"/>
            <w:tcBorders>
              <w:bottom w:val="single" w:sz="4" w:space="0" w:color="auto"/>
              <w:tl2br w:val="nil"/>
              <w:tr2bl w:val="nil"/>
            </w:tcBorders>
            <w:shd w:val="clear" w:color="auto" w:fill="FFFFFF"/>
          </w:tcPr>
          <w:p w:rsidR="009B0266" w:rsidRPr="009B0266" w:rsidRDefault="009B0266" w:rsidP="009B0266">
            <w:pPr>
              <w:spacing w:beforeLines="20" w:before="48" w:afterLines="20" w:after="48" w:line="276" w:lineRule="auto"/>
              <w:jc w:val="left"/>
              <w:rPr>
                <w:rFonts w:eastAsiaTheme="minorHAnsi"/>
                <w:sz w:val="16"/>
                <w:szCs w:val="16"/>
                <w:lang w:eastAsia="en-US"/>
              </w:rPr>
            </w:pPr>
            <w:r w:rsidRPr="009B0266">
              <w:rPr>
                <w:rFonts w:eastAsiaTheme="minorHAnsi"/>
                <w:sz w:val="16"/>
                <w:szCs w:val="16"/>
                <w:lang w:eastAsia="en-US"/>
              </w:rPr>
              <w:t>Prechodné regióny iné ako tie, ktoré sú uvedené v predošlom odseku</w:t>
            </w:r>
          </w:p>
        </w:tc>
        <w:tc>
          <w:tcPr>
            <w:tcW w:w="1399" w:type="dxa"/>
            <w:tcBorders>
              <w:bottom w:val="single" w:sz="4" w:space="0" w:color="auto"/>
            </w:tcBorders>
            <w:shd w:val="clear" w:color="auto" w:fill="auto"/>
            <w:vAlign w:val="center"/>
          </w:tcPr>
          <w:p w:rsidR="009B0266" w:rsidRPr="009B0266" w:rsidRDefault="009B0266" w:rsidP="009B0266">
            <w:pPr>
              <w:spacing w:beforeLines="20" w:before="48" w:afterLines="20" w:after="48"/>
              <w:jc w:val="center"/>
              <w:rPr>
                <w:sz w:val="16"/>
                <w:szCs w:val="16"/>
                <w:lang w:eastAsia="en-US"/>
              </w:rPr>
            </w:pPr>
            <w:r w:rsidRPr="009B0266">
              <w:rPr>
                <w:sz w:val="16"/>
                <w:szCs w:val="16"/>
                <w:lang w:eastAsia="en-US"/>
              </w:rPr>
              <w:t>-</w:t>
            </w:r>
          </w:p>
        </w:tc>
        <w:tc>
          <w:tcPr>
            <w:tcW w:w="1400" w:type="dxa"/>
            <w:tcBorders>
              <w:bottom w:val="single" w:sz="4" w:space="0" w:color="auto"/>
            </w:tcBorders>
            <w:shd w:val="clear" w:color="auto" w:fill="auto"/>
            <w:vAlign w:val="center"/>
          </w:tcPr>
          <w:p w:rsidR="009B0266" w:rsidRPr="009B0266" w:rsidRDefault="009B0266" w:rsidP="009B0266">
            <w:pPr>
              <w:spacing w:beforeLines="20" w:before="48" w:afterLines="20" w:after="48"/>
              <w:jc w:val="center"/>
              <w:rPr>
                <w:sz w:val="16"/>
                <w:szCs w:val="16"/>
                <w:lang w:eastAsia="en-US"/>
              </w:rPr>
            </w:pPr>
            <w:r w:rsidRPr="009B0266">
              <w:rPr>
                <w:sz w:val="16"/>
                <w:szCs w:val="16"/>
                <w:lang w:eastAsia="en-US"/>
              </w:rPr>
              <w:t>-</w:t>
            </w:r>
          </w:p>
        </w:tc>
        <w:tc>
          <w:tcPr>
            <w:tcW w:w="1400" w:type="dxa"/>
            <w:tcBorders>
              <w:bottom w:val="single" w:sz="4" w:space="0" w:color="auto"/>
            </w:tcBorders>
            <w:shd w:val="clear" w:color="auto" w:fill="auto"/>
            <w:vAlign w:val="center"/>
          </w:tcPr>
          <w:p w:rsidR="009B0266" w:rsidRPr="009B0266" w:rsidRDefault="009B0266" w:rsidP="009B0266">
            <w:pPr>
              <w:spacing w:beforeLines="20" w:before="48" w:afterLines="20" w:after="48"/>
              <w:jc w:val="center"/>
              <w:rPr>
                <w:sz w:val="16"/>
                <w:szCs w:val="16"/>
                <w:lang w:eastAsia="en-US"/>
              </w:rPr>
            </w:pPr>
            <w:r w:rsidRPr="009B0266">
              <w:rPr>
                <w:sz w:val="16"/>
                <w:szCs w:val="16"/>
                <w:lang w:eastAsia="en-US"/>
              </w:rPr>
              <w:t>-</w:t>
            </w:r>
          </w:p>
        </w:tc>
        <w:tc>
          <w:tcPr>
            <w:tcW w:w="1400" w:type="dxa"/>
            <w:tcBorders>
              <w:bottom w:val="single" w:sz="4" w:space="0" w:color="auto"/>
            </w:tcBorders>
            <w:shd w:val="clear" w:color="auto" w:fill="auto"/>
            <w:vAlign w:val="center"/>
          </w:tcPr>
          <w:p w:rsidR="009B0266" w:rsidRPr="009B0266" w:rsidRDefault="009B0266" w:rsidP="009B0266">
            <w:pPr>
              <w:spacing w:beforeLines="20" w:before="48" w:afterLines="20" w:after="48"/>
              <w:jc w:val="center"/>
              <w:rPr>
                <w:sz w:val="16"/>
                <w:szCs w:val="16"/>
                <w:lang w:eastAsia="en-US"/>
              </w:rPr>
            </w:pPr>
            <w:r w:rsidRPr="009B0266">
              <w:rPr>
                <w:sz w:val="16"/>
                <w:szCs w:val="16"/>
                <w:lang w:eastAsia="en-US"/>
              </w:rPr>
              <w:t>-</w:t>
            </w:r>
          </w:p>
        </w:tc>
        <w:tc>
          <w:tcPr>
            <w:tcW w:w="1400" w:type="dxa"/>
            <w:tcBorders>
              <w:bottom w:val="single" w:sz="4" w:space="0" w:color="auto"/>
            </w:tcBorders>
            <w:vAlign w:val="center"/>
          </w:tcPr>
          <w:p w:rsidR="009B0266" w:rsidRPr="009B0266" w:rsidRDefault="009B0266" w:rsidP="009B0266">
            <w:pPr>
              <w:spacing w:beforeLines="20" w:before="48" w:afterLines="20" w:after="48"/>
              <w:jc w:val="center"/>
              <w:rPr>
                <w:sz w:val="16"/>
                <w:szCs w:val="16"/>
                <w:lang w:eastAsia="en-US"/>
              </w:rPr>
            </w:pPr>
            <w:r w:rsidRPr="009B0266">
              <w:rPr>
                <w:sz w:val="16"/>
                <w:szCs w:val="16"/>
                <w:lang w:eastAsia="en-US"/>
              </w:rPr>
              <w:t>-</w:t>
            </w:r>
          </w:p>
        </w:tc>
        <w:tc>
          <w:tcPr>
            <w:tcW w:w="1400" w:type="dxa"/>
            <w:tcBorders>
              <w:bottom w:val="single" w:sz="4" w:space="0" w:color="auto"/>
            </w:tcBorders>
            <w:vAlign w:val="center"/>
          </w:tcPr>
          <w:p w:rsidR="009B0266" w:rsidRPr="009B0266" w:rsidRDefault="009B0266" w:rsidP="009B0266">
            <w:pPr>
              <w:spacing w:beforeLines="20" w:before="48" w:afterLines="20" w:after="48"/>
              <w:jc w:val="center"/>
              <w:rPr>
                <w:sz w:val="16"/>
                <w:szCs w:val="16"/>
                <w:lang w:eastAsia="en-US"/>
              </w:rPr>
            </w:pPr>
            <w:r w:rsidRPr="009B0266">
              <w:rPr>
                <w:sz w:val="16"/>
                <w:szCs w:val="16"/>
                <w:lang w:eastAsia="en-US"/>
              </w:rPr>
              <w:t>-</w:t>
            </w:r>
          </w:p>
        </w:tc>
        <w:tc>
          <w:tcPr>
            <w:tcW w:w="1400" w:type="dxa"/>
            <w:tcBorders>
              <w:bottom w:val="single" w:sz="4" w:space="0" w:color="auto"/>
            </w:tcBorders>
            <w:vAlign w:val="center"/>
          </w:tcPr>
          <w:p w:rsidR="009B0266" w:rsidRPr="009B0266" w:rsidRDefault="009B0266" w:rsidP="009B0266">
            <w:pPr>
              <w:spacing w:beforeLines="20" w:before="48" w:afterLines="20" w:after="48"/>
              <w:jc w:val="center"/>
              <w:rPr>
                <w:sz w:val="16"/>
                <w:szCs w:val="16"/>
                <w:lang w:eastAsia="en-US"/>
              </w:rPr>
            </w:pPr>
            <w:r w:rsidRPr="009B0266">
              <w:rPr>
                <w:sz w:val="16"/>
                <w:szCs w:val="16"/>
                <w:lang w:eastAsia="en-US"/>
              </w:rPr>
              <w:t>-</w:t>
            </w:r>
          </w:p>
        </w:tc>
        <w:tc>
          <w:tcPr>
            <w:tcW w:w="1400" w:type="dxa"/>
            <w:tcBorders>
              <w:bottom w:val="single" w:sz="4" w:space="0" w:color="auto"/>
            </w:tcBorders>
            <w:vAlign w:val="center"/>
          </w:tcPr>
          <w:p w:rsidR="009B0266" w:rsidRPr="009B0266" w:rsidRDefault="009B0266" w:rsidP="009B0266">
            <w:pPr>
              <w:spacing w:beforeLines="20" w:before="48" w:afterLines="20" w:after="48"/>
              <w:jc w:val="center"/>
              <w:rPr>
                <w:b/>
                <w:sz w:val="16"/>
                <w:szCs w:val="16"/>
                <w:lang w:eastAsia="en-US"/>
              </w:rPr>
            </w:pPr>
            <w:r w:rsidRPr="009B0266">
              <w:rPr>
                <w:b/>
                <w:sz w:val="16"/>
                <w:szCs w:val="16"/>
                <w:lang w:eastAsia="en-US"/>
              </w:rPr>
              <w:t>-</w:t>
            </w:r>
          </w:p>
        </w:tc>
      </w:tr>
      <w:tr w:rsidR="009B0266" w:rsidRPr="009B0266" w:rsidTr="009B0266">
        <w:tc>
          <w:tcPr>
            <w:tcW w:w="993" w:type="dxa"/>
            <w:tcBorders>
              <w:bottom w:val="single" w:sz="4" w:space="0" w:color="auto"/>
            </w:tcBorders>
          </w:tcPr>
          <w:p w:rsidR="009B0266" w:rsidRPr="009B0266" w:rsidRDefault="009B0266" w:rsidP="009B0266">
            <w:pPr>
              <w:spacing w:beforeLines="20" w:before="48" w:afterLines="20" w:after="48" w:line="276" w:lineRule="auto"/>
              <w:jc w:val="left"/>
              <w:rPr>
                <w:rFonts w:eastAsiaTheme="minorHAnsi"/>
                <w:sz w:val="16"/>
                <w:szCs w:val="16"/>
                <w:lang w:eastAsia="en-US"/>
              </w:rPr>
            </w:pPr>
            <w:r w:rsidRPr="009B0266">
              <w:rPr>
                <w:rFonts w:eastAsiaTheme="minorHAnsi"/>
                <w:sz w:val="16"/>
                <w:szCs w:val="16"/>
                <w:lang w:eastAsia="en-US"/>
              </w:rPr>
              <w:t>59(3)(d)</w:t>
            </w:r>
          </w:p>
        </w:tc>
        <w:tc>
          <w:tcPr>
            <w:tcW w:w="2976" w:type="dxa"/>
            <w:tcBorders>
              <w:bottom w:val="single" w:sz="4" w:space="0" w:color="auto"/>
              <w:tl2br w:val="nil"/>
              <w:tr2bl w:val="nil"/>
            </w:tcBorders>
            <w:shd w:val="clear" w:color="auto" w:fill="FFFFFF"/>
          </w:tcPr>
          <w:p w:rsidR="009B0266" w:rsidRPr="009B0266" w:rsidRDefault="009B0266" w:rsidP="009B0266">
            <w:pPr>
              <w:spacing w:beforeLines="20" w:before="48" w:afterLines="20" w:after="48" w:line="276" w:lineRule="auto"/>
              <w:jc w:val="left"/>
              <w:rPr>
                <w:rFonts w:eastAsiaTheme="minorHAnsi"/>
                <w:sz w:val="16"/>
                <w:szCs w:val="16"/>
                <w:lang w:eastAsia="en-US"/>
              </w:rPr>
            </w:pPr>
            <w:r w:rsidRPr="009B0266">
              <w:rPr>
                <w:rFonts w:eastAsiaTheme="minorHAnsi"/>
                <w:sz w:val="16"/>
                <w:szCs w:val="16"/>
                <w:lang w:eastAsia="en-US"/>
              </w:rPr>
              <w:t>Ostatné regióny</w:t>
            </w:r>
          </w:p>
        </w:tc>
        <w:tc>
          <w:tcPr>
            <w:tcW w:w="1399" w:type="dxa"/>
            <w:tcBorders>
              <w:bottom w:val="single" w:sz="4" w:space="0" w:color="auto"/>
            </w:tcBorders>
            <w:shd w:val="clear" w:color="auto" w:fill="auto"/>
            <w:vAlign w:val="bottom"/>
          </w:tcPr>
          <w:p w:rsidR="009B0266" w:rsidRPr="009B0266" w:rsidRDefault="009B0266" w:rsidP="009B0266">
            <w:pPr>
              <w:spacing w:beforeLines="20" w:before="48" w:afterLines="20" w:after="48"/>
              <w:jc w:val="center"/>
              <w:rPr>
                <w:sz w:val="16"/>
                <w:szCs w:val="16"/>
                <w:lang w:eastAsia="en-US"/>
              </w:rPr>
            </w:pPr>
            <w:r w:rsidRPr="009B0266">
              <w:rPr>
                <w:sz w:val="16"/>
                <w:szCs w:val="16"/>
                <w:lang w:eastAsia="en-US"/>
              </w:rPr>
              <w:t>5 902 888</w:t>
            </w:r>
          </w:p>
        </w:tc>
        <w:tc>
          <w:tcPr>
            <w:tcW w:w="1400" w:type="dxa"/>
            <w:tcBorders>
              <w:bottom w:val="single" w:sz="4" w:space="0" w:color="auto"/>
            </w:tcBorders>
            <w:shd w:val="clear" w:color="auto" w:fill="auto"/>
            <w:vAlign w:val="bottom"/>
          </w:tcPr>
          <w:p w:rsidR="009B0266" w:rsidRPr="009B0266" w:rsidRDefault="009B0266" w:rsidP="009B0266">
            <w:pPr>
              <w:spacing w:beforeLines="20" w:before="48" w:afterLines="20" w:after="48"/>
              <w:jc w:val="center"/>
              <w:rPr>
                <w:sz w:val="16"/>
                <w:szCs w:val="16"/>
                <w:lang w:eastAsia="en-US"/>
              </w:rPr>
            </w:pPr>
            <w:r w:rsidRPr="009B0266">
              <w:rPr>
                <w:sz w:val="16"/>
                <w:szCs w:val="16"/>
                <w:lang w:eastAsia="en-US"/>
              </w:rPr>
              <w:t>4 639 114</w:t>
            </w:r>
          </w:p>
        </w:tc>
        <w:tc>
          <w:tcPr>
            <w:tcW w:w="1400" w:type="dxa"/>
            <w:tcBorders>
              <w:bottom w:val="single" w:sz="4" w:space="0" w:color="auto"/>
            </w:tcBorders>
            <w:shd w:val="clear" w:color="auto" w:fill="auto"/>
            <w:vAlign w:val="bottom"/>
          </w:tcPr>
          <w:p w:rsidR="009B0266" w:rsidRPr="009B0266" w:rsidRDefault="009B0266" w:rsidP="009B0266">
            <w:pPr>
              <w:spacing w:beforeLines="20" w:before="48" w:afterLines="20" w:after="48"/>
              <w:jc w:val="center"/>
              <w:rPr>
                <w:sz w:val="16"/>
                <w:szCs w:val="16"/>
                <w:lang w:eastAsia="en-US"/>
              </w:rPr>
            </w:pPr>
            <w:r w:rsidRPr="009B0266">
              <w:rPr>
                <w:sz w:val="16"/>
                <w:szCs w:val="16"/>
                <w:lang w:eastAsia="en-US"/>
              </w:rPr>
              <w:t>4 632 868</w:t>
            </w:r>
          </w:p>
        </w:tc>
        <w:tc>
          <w:tcPr>
            <w:tcW w:w="1400" w:type="dxa"/>
            <w:tcBorders>
              <w:bottom w:val="single" w:sz="4" w:space="0" w:color="auto"/>
            </w:tcBorders>
            <w:shd w:val="clear" w:color="auto" w:fill="auto"/>
            <w:vAlign w:val="bottom"/>
          </w:tcPr>
          <w:p w:rsidR="009B0266" w:rsidRPr="009B0266" w:rsidRDefault="009B0266" w:rsidP="009B0266">
            <w:pPr>
              <w:spacing w:beforeLines="20" w:before="48" w:afterLines="20" w:after="48"/>
              <w:jc w:val="center"/>
              <w:rPr>
                <w:sz w:val="16"/>
                <w:szCs w:val="16"/>
                <w:lang w:eastAsia="en-US"/>
              </w:rPr>
            </w:pPr>
            <w:r w:rsidRPr="009B0266">
              <w:rPr>
                <w:sz w:val="16"/>
                <w:szCs w:val="16"/>
                <w:lang w:eastAsia="en-US"/>
              </w:rPr>
              <w:t>4 626 502</w:t>
            </w:r>
          </w:p>
        </w:tc>
        <w:tc>
          <w:tcPr>
            <w:tcW w:w="1400" w:type="dxa"/>
            <w:tcBorders>
              <w:bottom w:val="single" w:sz="4" w:space="0" w:color="auto"/>
            </w:tcBorders>
            <w:vAlign w:val="bottom"/>
          </w:tcPr>
          <w:p w:rsidR="009B0266" w:rsidRPr="009B0266" w:rsidRDefault="009B0266" w:rsidP="009B0266">
            <w:pPr>
              <w:spacing w:beforeLines="20" w:before="48" w:afterLines="20" w:after="48"/>
              <w:jc w:val="center"/>
              <w:rPr>
                <w:sz w:val="16"/>
                <w:szCs w:val="16"/>
                <w:lang w:eastAsia="en-US"/>
              </w:rPr>
            </w:pPr>
            <w:r w:rsidRPr="009B0266">
              <w:rPr>
                <w:sz w:val="16"/>
                <w:szCs w:val="16"/>
                <w:lang w:eastAsia="en-US"/>
              </w:rPr>
              <w:t>4 620 033</w:t>
            </w:r>
          </w:p>
        </w:tc>
        <w:tc>
          <w:tcPr>
            <w:tcW w:w="1400" w:type="dxa"/>
            <w:tcBorders>
              <w:bottom w:val="single" w:sz="4" w:space="0" w:color="auto"/>
            </w:tcBorders>
            <w:vAlign w:val="bottom"/>
          </w:tcPr>
          <w:p w:rsidR="009B0266" w:rsidRPr="009B0266" w:rsidRDefault="009B0266" w:rsidP="009B0266">
            <w:pPr>
              <w:spacing w:beforeLines="20" w:before="48" w:afterLines="20" w:after="48"/>
              <w:jc w:val="center"/>
              <w:rPr>
                <w:sz w:val="16"/>
                <w:szCs w:val="16"/>
                <w:lang w:eastAsia="en-US"/>
              </w:rPr>
            </w:pPr>
            <w:r w:rsidRPr="009B0266">
              <w:rPr>
                <w:sz w:val="16"/>
                <w:szCs w:val="16"/>
                <w:lang w:eastAsia="en-US"/>
              </w:rPr>
              <w:t>4 613 213</w:t>
            </w:r>
          </w:p>
        </w:tc>
        <w:tc>
          <w:tcPr>
            <w:tcW w:w="1400" w:type="dxa"/>
            <w:tcBorders>
              <w:bottom w:val="single" w:sz="4" w:space="0" w:color="auto"/>
            </w:tcBorders>
            <w:vAlign w:val="bottom"/>
          </w:tcPr>
          <w:p w:rsidR="009B0266" w:rsidRPr="009B0266" w:rsidRDefault="009B0266" w:rsidP="009B0266">
            <w:pPr>
              <w:spacing w:beforeLines="20" w:before="48" w:afterLines="20" w:after="48"/>
              <w:jc w:val="center"/>
              <w:rPr>
                <w:sz w:val="16"/>
                <w:szCs w:val="16"/>
                <w:lang w:eastAsia="en-US"/>
              </w:rPr>
            </w:pPr>
            <w:r w:rsidRPr="009B0266">
              <w:rPr>
                <w:sz w:val="16"/>
                <w:szCs w:val="16"/>
                <w:lang w:eastAsia="en-US"/>
              </w:rPr>
              <w:t>4 605 131</w:t>
            </w:r>
          </w:p>
        </w:tc>
        <w:tc>
          <w:tcPr>
            <w:tcW w:w="1400" w:type="dxa"/>
            <w:tcBorders>
              <w:bottom w:val="single" w:sz="4" w:space="0" w:color="auto"/>
            </w:tcBorders>
            <w:vAlign w:val="bottom"/>
          </w:tcPr>
          <w:p w:rsidR="009B0266" w:rsidRPr="009B0266" w:rsidRDefault="009B0266" w:rsidP="009B0266">
            <w:pPr>
              <w:spacing w:beforeLines="20" w:before="48" w:afterLines="20" w:after="48"/>
              <w:jc w:val="center"/>
              <w:rPr>
                <w:b/>
                <w:sz w:val="16"/>
                <w:szCs w:val="16"/>
                <w:lang w:eastAsia="en-US"/>
              </w:rPr>
            </w:pPr>
            <w:r w:rsidRPr="009B0266">
              <w:rPr>
                <w:b/>
                <w:sz w:val="16"/>
                <w:szCs w:val="16"/>
                <w:lang w:eastAsia="en-US"/>
              </w:rPr>
              <w:t>33 639 750</w:t>
            </w:r>
          </w:p>
        </w:tc>
      </w:tr>
      <w:tr w:rsidR="009B0266" w:rsidRPr="009B0266" w:rsidTr="009B0266">
        <w:tc>
          <w:tcPr>
            <w:tcW w:w="993" w:type="dxa"/>
            <w:tcBorders>
              <w:bottom w:val="single" w:sz="4" w:space="0" w:color="auto"/>
            </w:tcBorders>
          </w:tcPr>
          <w:p w:rsidR="009B0266" w:rsidRPr="009B0266" w:rsidRDefault="009B0266" w:rsidP="009B0266">
            <w:pPr>
              <w:spacing w:beforeLines="20" w:before="48" w:afterLines="20" w:after="48" w:line="276" w:lineRule="auto"/>
              <w:jc w:val="left"/>
              <w:rPr>
                <w:rFonts w:eastAsiaTheme="minorHAnsi"/>
                <w:sz w:val="16"/>
                <w:szCs w:val="16"/>
                <w:lang w:eastAsia="en-US"/>
              </w:rPr>
            </w:pPr>
            <w:r w:rsidRPr="009B0266">
              <w:rPr>
                <w:rFonts w:eastAsiaTheme="minorHAnsi"/>
                <w:sz w:val="16"/>
                <w:szCs w:val="16"/>
                <w:lang w:eastAsia="en-US"/>
              </w:rPr>
              <w:t>59(4)(e)</w:t>
            </w:r>
          </w:p>
        </w:tc>
        <w:tc>
          <w:tcPr>
            <w:tcW w:w="2976" w:type="dxa"/>
            <w:tcBorders>
              <w:bottom w:val="single" w:sz="4" w:space="0" w:color="auto"/>
              <w:tl2br w:val="nil"/>
              <w:tr2bl w:val="nil"/>
            </w:tcBorders>
            <w:shd w:val="clear" w:color="auto" w:fill="FFFFFF"/>
          </w:tcPr>
          <w:p w:rsidR="009B0266" w:rsidRPr="009B0266" w:rsidRDefault="009B0266" w:rsidP="009B0266">
            <w:pPr>
              <w:spacing w:beforeLines="20" w:before="48" w:afterLines="20" w:after="48" w:line="276" w:lineRule="auto"/>
              <w:jc w:val="left"/>
              <w:rPr>
                <w:rFonts w:eastAsiaTheme="minorHAnsi"/>
                <w:sz w:val="16"/>
                <w:szCs w:val="16"/>
                <w:lang w:eastAsia="en-US"/>
              </w:rPr>
            </w:pPr>
            <w:r w:rsidRPr="009B0266">
              <w:rPr>
                <w:rFonts w:eastAsiaTheme="minorHAnsi"/>
                <w:sz w:val="16"/>
                <w:szCs w:val="16"/>
                <w:lang w:eastAsia="en-US"/>
              </w:rPr>
              <w:t>Finančné prostriedky prenesené do EPFRV pri uplatnení článku 7 ods. 2 a článku 14 ods. 1 nariadenia (EÚ) č. DP/2012</w:t>
            </w:r>
          </w:p>
        </w:tc>
        <w:tc>
          <w:tcPr>
            <w:tcW w:w="1399" w:type="dxa"/>
            <w:tcBorders>
              <w:bottom w:val="single" w:sz="4" w:space="0" w:color="auto"/>
            </w:tcBorders>
            <w:shd w:val="clear" w:color="auto" w:fill="auto"/>
            <w:vAlign w:val="center"/>
          </w:tcPr>
          <w:p w:rsidR="009B0266" w:rsidRPr="009B0266" w:rsidRDefault="009B0266" w:rsidP="009B0266">
            <w:pPr>
              <w:spacing w:beforeLines="20" w:before="48" w:afterLines="20" w:after="48"/>
              <w:jc w:val="center"/>
              <w:rPr>
                <w:sz w:val="16"/>
                <w:szCs w:val="16"/>
                <w:lang w:eastAsia="en-US"/>
              </w:rPr>
            </w:pPr>
            <w:r w:rsidRPr="009B0266">
              <w:rPr>
                <w:sz w:val="16"/>
                <w:szCs w:val="16"/>
                <w:lang w:eastAsia="en-US"/>
              </w:rPr>
              <w:t>-</w:t>
            </w:r>
          </w:p>
        </w:tc>
        <w:tc>
          <w:tcPr>
            <w:tcW w:w="1400" w:type="dxa"/>
            <w:tcBorders>
              <w:bottom w:val="single" w:sz="4" w:space="0" w:color="auto"/>
            </w:tcBorders>
            <w:shd w:val="clear" w:color="auto" w:fill="auto"/>
            <w:vAlign w:val="center"/>
          </w:tcPr>
          <w:p w:rsidR="009B0266" w:rsidRPr="009B0266" w:rsidRDefault="009B0266" w:rsidP="009B0266">
            <w:pPr>
              <w:spacing w:beforeLines="20" w:before="48" w:afterLines="20" w:after="48"/>
              <w:jc w:val="center"/>
              <w:rPr>
                <w:sz w:val="16"/>
                <w:szCs w:val="16"/>
                <w:lang w:eastAsia="en-US"/>
              </w:rPr>
            </w:pPr>
            <w:r w:rsidRPr="009B0266">
              <w:rPr>
                <w:sz w:val="16"/>
                <w:szCs w:val="16"/>
                <w:lang w:eastAsia="en-US"/>
              </w:rPr>
              <w:t>-</w:t>
            </w:r>
          </w:p>
        </w:tc>
        <w:tc>
          <w:tcPr>
            <w:tcW w:w="1400" w:type="dxa"/>
            <w:tcBorders>
              <w:bottom w:val="single" w:sz="4" w:space="0" w:color="auto"/>
            </w:tcBorders>
            <w:shd w:val="clear" w:color="auto" w:fill="auto"/>
            <w:vAlign w:val="center"/>
          </w:tcPr>
          <w:p w:rsidR="009B0266" w:rsidRPr="009B0266" w:rsidRDefault="009B0266" w:rsidP="009B0266">
            <w:pPr>
              <w:spacing w:beforeLines="20" w:before="48" w:afterLines="20" w:after="48"/>
              <w:jc w:val="center"/>
              <w:rPr>
                <w:sz w:val="16"/>
                <w:szCs w:val="16"/>
                <w:lang w:eastAsia="en-US"/>
              </w:rPr>
            </w:pPr>
            <w:r w:rsidRPr="009B0266">
              <w:rPr>
                <w:sz w:val="16"/>
                <w:szCs w:val="16"/>
                <w:lang w:eastAsia="en-US"/>
              </w:rPr>
              <w:t>-</w:t>
            </w:r>
          </w:p>
        </w:tc>
        <w:tc>
          <w:tcPr>
            <w:tcW w:w="1400" w:type="dxa"/>
            <w:tcBorders>
              <w:bottom w:val="single" w:sz="4" w:space="0" w:color="auto"/>
            </w:tcBorders>
            <w:shd w:val="clear" w:color="auto" w:fill="auto"/>
            <w:vAlign w:val="center"/>
          </w:tcPr>
          <w:p w:rsidR="009B0266" w:rsidRPr="009B0266" w:rsidRDefault="009B0266" w:rsidP="009B0266">
            <w:pPr>
              <w:spacing w:beforeLines="20" w:before="48" w:afterLines="20" w:after="48"/>
              <w:jc w:val="center"/>
              <w:rPr>
                <w:sz w:val="16"/>
                <w:szCs w:val="16"/>
                <w:lang w:eastAsia="en-US"/>
              </w:rPr>
            </w:pPr>
            <w:r w:rsidRPr="009B0266">
              <w:rPr>
                <w:sz w:val="16"/>
                <w:szCs w:val="16"/>
                <w:lang w:eastAsia="en-US"/>
              </w:rPr>
              <w:t>-</w:t>
            </w:r>
          </w:p>
        </w:tc>
        <w:tc>
          <w:tcPr>
            <w:tcW w:w="1400" w:type="dxa"/>
            <w:tcBorders>
              <w:bottom w:val="single" w:sz="4" w:space="0" w:color="auto"/>
            </w:tcBorders>
            <w:vAlign w:val="center"/>
          </w:tcPr>
          <w:p w:rsidR="009B0266" w:rsidRPr="009B0266" w:rsidRDefault="009B0266" w:rsidP="009B0266">
            <w:pPr>
              <w:spacing w:beforeLines="20" w:before="48" w:afterLines="20" w:after="48"/>
              <w:jc w:val="center"/>
              <w:rPr>
                <w:sz w:val="16"/>
                <w:szCs w:val="16"/>
                <w:lang w:eastAsia="en-US"/>
              </w:rPr>
            </w:pPr>
            <w:r w:rsidRPr="009B0266">
              <w:rPr>
                <w:sz w:val="16"/>
                <w:szCs w:val="16"/>
                <w:lang w:eastAsia="en-US"/>
              </w:rPr>
              <w:t>-</w:t>
            </w:r>
          </w:p>
        </w:tc>
        <w:tc>
          <w:tcPr>
            <w:tcW w:w="1400" w:type="dxa"/>
            <w:tcBorders>
              <w:bottom w:val="single" w:sz="4" w:space="0" w:color="auto"/>
            </w:tcBorders>
            <w:vAlign w:val="center"/>
          </w:tcPr>
          <w:p w:rsidR="009B0266" w:rsidRPr="009B0266" w:rsidRDefault="009B0266" w:rsidP="009B0266">
            <w:pPr>
              <w:spacing w:beforeLines="20" w:before="48" w:afterLines="20" w:after="48"/>
              <w:jc w:val="center"/>
              <w:rPr>
                <w:sz w:val="16"/>
                <w:szCs w:val="16"/>
                <w:lang w:eastAsia="en-US"/>
              </w:rPr>
            </w:pPr>
            <w:r w:rsidRPr="009B0266">
              <w:rPr>
                <w:sz w:val="16"/>
                <w:szCs w:val="16"/>
                <w:lang w:eastAsia="en-US"/>
              </w:rPr>
              <w:t>-</w:t>
            </w:r>
          </w:p>
        </w:tc>
        <w:tc>
          <w:tcPr>
            <w:tcW w:w="1400" w:type="dxa"/>
            <w:tcBorders>
              <w:bottom w:val="single" w:sz="4" w:space="0" w:color="auto"/>
            </w:tcBorders>
            <w:vAlign w:val="center"/>
          </w:tcPr>
          <w:p w:rsidR="009B0266" w:rsidRPr="009B0266" w:rsidRDefault="009B0266" w:rsidP="009B0266">
            <w:pPr>
              <w:spacing w:beforeLines="20" w:before="48" w:afterLines="20" w:after="48"/>
              <w:jc w:val="center"/>
              <w:rPr>
                <w:sz w:val="16"/>
                <w:szCs w:val="16"/>
                <w:lang w:eastAsia="en-US"/>
              </w:rPr>
            </w:pPr>
            <w:r w:rsidRPr="009B0266">
              <w:rPr>
                <w:sz w:val="16"/>
                <w:szCs w:val="16"/>
                <w:lang w:eastAsia="en-US"/>
              </w:rPr>
              <w:t>-</w:t>
            </w:r>
          </w:p>
        </w:tc>
        <w:tc>
          <w:tcPr>
            <w:tcW w:w="1400" w:type="dxa"/>
            <w:tcBorders>
              <w:bottom w:val="single" w:sz="4" w:space="0" w:color="auto"/>
            </w:tcBorders>
            <w:vAlign w:val="center"/>
          </w:tcPr>
          <w:p w:rsidR="009B0266" w:rsidRPr="009B0266" w:rsidRDefault="009B0266" w:rsidP="009B0266">
            <w:pPr>
              <w:spacing w:beforeLines="20" w:before="48" w:afterLines="20" w:after="48"/>
              <w:jc w:val="center"/>
              <w:rPr>
                <w:b/>
                <w:sz w:val="16"/>
                <w:szCs w:val="16"/>
                <w:lang w:eastAsia="en-US"/>
              </w:rPr>
            </w:pPr>
            <w:r w:rsidRPr="009B0266">
              <w:rPr>
                <w:b/>
                <w:sz w:val="16"/>
                <w:szCs w:val="16"/>
                <w:lang w:eastAsia="en-US"/>
              </w:rPr>
              <w:t>-</w:t>
            </w:r>
          </w:p>
        </w:tc>
      </w:tr>
      <w:tr w:rsidR="009B0266" w:rsidRPr="009B0266" w:rsidTr="009B0266">
        <w:tc>
          <w:tcPr>
            <w:tcW w:w="993" w:type="dxa"/>
            <w:tcBorders>
              <w:bottom w:val="single" w:sz="4" w:space="0" w:color="auto"/>
            </w:tcBorders>
          </w:tcPr>
          <w:p w:rsidR="009B0266" w:rsidRPr="009B0266" w:rsidRDefault="009B0266" w:rsidP="009B0266">
            <w:pPr>
              <w:spacing w:beforeLines="20" w:before="48" w:afterLines="20" w:after="48" w:line="276" w:lineRule="auto"/>
              <w:jc w:val="left"/>
              <w:rPr>
                <w:rFonts w:eastAsiaTheme="minorHAnsi"/>
                <w:sz w:val="16"/>
                <w:szCs w:val="16"/>
                <w:lang w:eastAsia="en-US"/>
              </w:rPr>
            </w:pPr>
            <w:r w:rsidRPr="009B0266">
              <w:rPr>
                <w:rFonts w:eastAsiaTheme="minorHAnsi"/>
                <w:sz w:val="16"/>
                <w:szCs w:val="16"/>
                <w:lang w:eastAsia="en-US"/>
              </w:rPr>
              <w:t>59(4)(f)</w:t>
            </w:r>
          </w:p>
        </w:tc>
        <w:tc>
          <w:tcPr>
            <w:tcW w:w="2976" w:type="dxa"/>
            <w:tcBorders>
              <w:bottom w:val="single" w:sz="4" w:space="0" w:color="auto"/>
              <w:tl2br w:val="nil"/>
              <w:tr2bl w:val="nil"/>
            </w:tcBorders>
            <w:shd w:val="clear" w:color="auto" w:fill="FFFFFF"/>
          </w:tcPr>
          <w:p w:rsidR="009B0266" w:rsidRPr="009B0266" w:rsidRDefault="009B0266" w:rsidP="009B0266">
            <w:pPr>
              <w:spacing w:beforeLines="20" w:before="48" w:afterLines="20" w:after="48" w:line="276" w:lineRule="auto"/>
              <w:jc w:val="left"/>
              <w:rPr>
                <w:rFonts w:eastAsiaTheme="minorHAnsi"/>
                <w:sz w:val="16"/>
                <w:szCs w:val="16"/>
                <w:lang w:eastAsia="en-US"/>
              </w:rPr>
            </w:pPr>
            <w:r w:rsidRPr="009B0266">
              <w:rPr>
                <w:rFonts w:eastAsiaTheme="minorHAnsi"/>
                <w:sz w:val="16"/>
                <w:szCs w:val="16"/>
                <w:lang w:eastAsia="en-US"/>
              </w:rPr>
              <w:t>Členské štáty, ktoré dostávajú finančnú pomoc v súlade s článkom 136 a článkom 143 ZFEÚ, dodatočné zdroje.</w:t>
            </w:r>
          </w:p>
        </w:tc>
        <w:tc>
          <w:tcPr>
            <w:tcW w:w="1399" w:type="dxa"/>
            <w:tcBorders>
              <w:bottom w:val="single" w:sz="4" w:space="0" w:color="auto"/>
            </w:tcBorders>
            <w:shd w:val="clear" w:color="auto" w:fill="auto"/>
            <w:vAlign w:val="center"/>
          </w:tcPr>
          <w:p w:rsidR="009B0266" w:rsidRPr="009B0266" w:rsidRDefault="009B0266" w:rsidP="009B0266">
            <w:pPr>
              <w:spacing w:beforeLines="20" w:before="48" w:afterLines="20" w:after="48"/>
              <w:jc w:val="center"/>
              <w:rPr>
                <w:sz w:val="16"/>
                <w:szCs w:val="16"/>
                <w:lang w:eastAsia="en-US"/>
              </w:rPr>
            </w:pPr>
            <w:r w:rsidRPr="009B0266">
              <w:rPr>
                <w:sz w:val="16"/>
                <w:szCs w:val="16"/>
                <w:lang w:eastAsia="en-US"/>
              </w:rPr>
              <w:t>-</w:t>
            </w:r>
          </w:p>
        </w:tc>
        <w:tc>
          <w:tcPr>
            <w:tcW w:w="1400" w:type="dxa"/>
            <w:tcBorders>
              <w:bottom w:val="single" w:sz="4" w:space="0" w:color="auto"/>
            </w:tcBorders>
            <w:shd w:val="clear" w:color="auto" w:fill="auto"/>
            <w:vAlign w:val="center"/>
          </w:tcPr>
          <w:p w:rsidR="009B0266" w:rsidRPr="009B0266" w:rsidRDefault="009B0266" w:rsidP="009B0266">
            <w:pPr>
              <w:spacing w:beforeLines="20" w:before="48" w:afterLines="20" w:after="48"/>
              <w:jc w:val="center"/>
              <w:rPr>
                <w:sz w:val="16"/>
                <w:szCs w:val="16"/>
                <w:lang w:eastAsia="en-US"/>
              </w:rPr>
            </w:pPr>
            <w:r w:rsidRPr="009B0266">
              <w:rPr>
                <w:sz w:val="16"/>
                <w:szCs w:val="16"/>
                <w:lang w:eastAsia="en-US"/>
              </w:rPr>
              <w:t>-</w:t>
            </w:r>
          </w:p>
        </w:tc>
        <w:tc>
          <w:tcPr>
            <w:tcW w:w="1400" w:type="dxa"/>
            <w:tcBorders>
              <w:bottom w:val="single" w:sz="4" w:space="0" w:color="auto"/>
            </w:tcBorders>
            <w:shd w:val="clear" w:color="auto" w:fill="auto"/>
            <w:vAlign w:val="center"/>
          </w:tcPr>
          <w:p w:rsidR="009B0266" w:rsidRPr="009B0266" w:rsidRDefault="009B0266" w:rsidP="009B0266">
            <w:pPr>
              <w:spacing w:beforeLines="20" w:before="48" w:afterLines="20" w:after="48"/>
              <w:jc w:val="center"/>
              <w:rPr>
                <w:sz w:val="16"/>
                <w:szCs w:val="16"/>
                <w:lang w:eastAsia="en-US"/>
              </w:rPr>
            </w:pPr>
            <w:r w:rsidRPr="009B0266">
              <w:rPr>
                <w:sz w:val="16"/>
                <w:szCs w:val="16"/>
                <w:lang w:eastAsia="en-US"/>
              </w:rPr>
              <w:t>-</w:t>
            </w:r>
          </w:p>
        </w:tc>
        <w:tc>
          <w:tcPr>
            <w:tcW w:w="1400" w:type="dxa"/>
            <w:tcBorders>
              <w:bottom w:val="single" w:sz="4" w:space="0" w:color="auto"/>
            </w:tcBorders>
            <w:shd w:val="clear" w:color="auto" w:fill="auto"/>
            <w:vAlign w:val="center"/>
          </w:tcPr>
          <w:p w:rsidR="009B0266" w:rsidRPr="009B0266" w:rsidRDefault="009B0266" w:rsidP="009B0266">
            <w:pPr>
              <w:spacing w:beforeLines="20" w:before="48" w:afterLines="20" w:after="48"/>
              <w:jc w:val="center"/>
              <w:rPr>
                <w:sz w:val="16"/>
                <w:szCs w:val="16"/>
                <w:lang w:eastAsia="en-US"/>
              </w:rPr>
            </w:pPr>
            <w:r w:rsidRPr="009B0266">
              <w:rPr>
                <w:sz w:val="16"/>
                <w:szCs w:val="16"/>
                <w:lang w:eastAsia="en-US"/>
              </w:rPr>
              <w:t>-</w:t>
            </w:r>
          </w:p>
        </w:tc>
        <w:tc>
          <w:tcPr>
            <w:tcW w:w="1400" w:type="dxa"/>
            <w:tcBorders>
              <w:bottom w:val="single" w:sz="4" w:space="0" w:color="auto"/>
            </w:tcBorders>
            <w:vAlign w:val="center"/>
          </w:tcPr>
          <w:p w:rsidR="009B0266" w:rsidRPr="009B0266" w:rsidRDefault="009B0266" w:rsidP="009B0266">
            <w:pPr>
              <w:spacing w:beforeLines="20" w:before="48" w:afterLines="20" w:after="48"/>
              <w:jc w:val="center"/>
              <w:rPr>
                <w:sz w:val="16"/>
                <w:szCs w:val="16"/>
                <w:lang w:eastAsia="en-US"/>
              </w:rPr>
            </w:pPr>
            <w:r w:rsidRPr="009B0266">
              <w:rPr>
                <w:sz w:val="16"/>
                <w:szCs w:val="16"/>
                <w:lang w:eastAsia="en-US"/>
              </w:rPr>
              <w:t>-</w:t>
            </w:r>
          </w:p>
        </w:tc>
        <w:tc>
          <w:tcPr>
            <w:tcW w:w="1400" w:type="dxa"/>
            <w:tcBorders>
              <w:bottom w:val="single" w:sz="4" w:space="0" w:color="auto"/>
            </w:tcBorders>
            <w:vAlign w:val="center"/>
          </w:tcPr>
          <w:p w:rsidR="009B0266" w:rsidRPr="009B0266" w:rsidRDefault="009B0266" w:rsidP="009B0266">
            <w:pPr>
              <w:spacing w:beforeLines="20" w:before="48" w:afterLines="20" w:after="48"/>
              <w:jc w:val="center"/>
              <w:rPr>
                <w:sz w:val="16"/>
                <w:szCs w:val="16"/>
                <w:lang w:eastAsia="en-US"/>
              </w:rPr>
            </w:pPr>
            <w:r w:rsidRPr="009B0266">
              <w:rPr>
                <w:sz w:val="16"/>
                <w:szCs w:val="16"/>
                <w:lang w:eastAsia="en-US"/>
              </w:rPr>
              <w:t>-</w:t>
            </w:r>
          </w:p>
        </w:tc>
        <w:tc>
          <w:tcPr>
            <w:tcW w:w="1400" w:type="dxa"/>
            <w:tcBorders>
              <w:bottom w:val="single" w:sz="4" w:space="0" w:color="auto"/>
            </w:tcBorders>
            <w:vAlign w:val="center"/>
          </w:tcPr>
          <w:p w:rsidR="009B0266" w:rsidRPr="009B0266" w:rsidRDefault="009B0266" w:rsidP="009B0266">
            <w:pPr>
              <w:spacing w:beforeLines="20" w:before="48" w:afterLines="20" w:after="48"/>
              <w:jc w:val="center"/>
              <w:rPr>
                <w:sz w:val="16"/>
                <w:szCs w:val="16"/>
                <w:lang w:eastAsia="en-US"/>
              </w:rPr>
            </w:pPr>
            <w:r w:rsidRPr="009B0266">
              <w:rPr>
                <w:sz w:val="16"/>
                <w:szCs w:val="16"/>
                <w:lang w:eastAsia="en-US"/>
              </w:rPr>
              <w:t>-</w:t>
            </w:r>
          </w:p>
        </w:tc>
        <w:tc>
          <w:tcPr>
            <w:tcW w:w="1400" w:type="dxa"/>
            <w:tcBorders>
              <w:bottom w:val="single" w:sz="4" w:space="0" w:color="auto"/>
            </w:tcBorders>
            <w:vAlign w:val="center"/>
          </w:tcPr>
          <w:p w:rsidR="009B0266" w:rsidRPr="009B0266" w:rsidRDefault="009B0266" w:rsidP="009B0266">
            <w:pPr>
              <w:spacing w:beforeLines="20" w:before="48" w:afterLines="20" w:after="48"/>
              <w:jc w:val="center"/>
              <w:rPr>
                <w:b/>
                <w:sz w:val="16"/>
                <w:szCs w:val="16"/>
                <w:lang w:eastAsia="en-US"/>
              </w:rPr>
            </w:pPr>
            <w:r w:rsidRPr="009B0266">
              <w:rPr>
                <w:b/>
                <w:sz w:val="16"/>
                <w:szCs w:val="16"/>
                <w:lang w:eastAsia="en-US"/>
              </w:rPr>
              <w:t>-</w:t>
            </w:r>
          </w:p>
        </w:tc>
      </w:tr>
      <w:tr w:rsidR="009B0266" w:rsidRPr="009B0266" w:rsidTr="009B0266">
        <w:tc>
          <w:tcPr>
            <w:tcW w:w="993" w:type="dxa"/>
            <w:tcBorders>
              <w:bottom w:val="single" w:sz="4" w:space="0" w:color="auto"/>
            </w:tcBorders>
          </w:tcPr>
          <w:p w:rsidR="009B0266" w:rsidRPr="009B0266" w:rsidRDefault="009B0266" w:rsidP="009B0266">
            <w:pPr>
              <w:spacing w:beforeLines="20" w:before="48" w:afterLines="20" w:after="48" w:line="276" w:lineRule="auto"/>
              <w:jc w:val="left"/>
              <w:rPr>
                <w:rFonts w:eastAsiaTheme="minorHAnsi"/>
                <w:sz w:val="16"/>
                <w:szCs w:val="16"/>
                <w:lang w:eastAsia="en-US"/>
              </w:rPr>
            </w:pPr>
            <w:r w:rsidRPr="009B0266">
              <w:rPr>
                <w:rFonts w:eastAsiaTheme="minorHAnsi"/>
                <w:sz w:val="16"/>
                <w:szCs w:val="16"/>
                <w:lang w:eastAsia="en-US"/>
              </w:rPr>
              <w:t>73/2009</w:t>
            </w:r>
          </w:p>
        </w:tc>
        <w:tc>
          <w:tcPr>
            <w:tcW w:w="2976" w:type="dxa"/>
            <w:tcBorders>
              <w:bottom w:val="single" w:sz="4" w:space="0" w:color="auto"/>
              <w:tl2br w:val="nil"/>
              <w:tr2bl w:val="nil"/>
            </w:tcBorders>
            <w:shd w:val="clear" w:color="auto" w:fill="FFFFFF"/>
          </w:tcPr>
          <w:p w:rsidR="009B0266" w:rsidRPr="009B0266" w:rsidRDefault="009B0266" w:rsidP="009B0266">
            <w:pPr>
              <w:spacing w:beforeLines="20" w:before="48" w:afterLines="20" w:after="48" w:line="276" w:lineRule="auto"/>
              <w:jc w:val="left"/>
              <w:rPr>
                <w:rFonts w:eastAsiaTheme="minorHAnsi"/>
                <w:sz w:val="16"/>
                <w:szCs w:val="16"/>
                <w:lang w:eastAsia="en-US"/>
              </w:rPr>
            </w:pPr>
            <w:r w:rsidRPr="009B0266">
              <w:rPr>
                <w:rFonts w:eastAsiaTheme="minorHAnsi"/>
                <w:sz w:val="16"/>
                <w:szCs w:val="16"/>
                <w:lang w:eastAsia="en-US"/>
              </w:rPr>
              <w:t>Dobrovoľne presuny</w:t>
            </w:r>
          </w:p>
        </w:tc>
        <w:tc>
          <w:tcPr>
            <w:tcW w:w="1399" w:type="dxa"/>
            <w:tcBorders>
              <w:bottom w:val="single" w:sz="4" w:space="0" w:color="auto"/>
            </w:tcBorders>
            <w:shd w:val="clear" w:color="auto" w:fill="auto"/>
            <w:vAlign w:val="center"/>
          </w:tcPr>
          <w:p w:rsidR="009B0266" w:rsidRPr="009B0266" w:rsidRDefault="009B0266" w:rsidP="009B0266">
            <w:pPr>
              <w:spacing w:beforeLines="20" w:before="48" w:afterLines="20" w:after="48"/>
              <w:jc w:val="center"/>
              <w:rPr>
                <w:sz w:val="16"/>
                <w:szCs w:val="16"/>
                <w:lang w:eastAsia="en-US"/>
              </w:rPr>
            </w:pPr>
            <w:r w:rsidRPr="009B0266">
              <w:rPr>
                <w:sz w:val="16"/>
                <w:szCs w:val="16"/>
                <w:lang w:eastAsia="en-US"/>
              </w:rPr>
              <w:t>-</w:t>
            </w:r>
          </w:p>
        </w:tc>
        <w:tc>
          <w:tcPr>
            <w:tcW w:w="1400" w:type="dxa"/>
            <w:tcBorders>
              <w:bottom w:val="single" w:sz="4" w:space="0" w:color="auto"/>
            </w:tcBorders>
            <w:shd w:val="clear" w:color="auto" w:fill="auto"/>
            <w:vAlign w:val="center"/>
          </w:tcPr>
          <w:p w:rsidR="009B0266" w:rsidRPr="009B0266" w:rsidRDefault="009B0266" w:rsidP="009B0266">
            <w:pPr>
              <w:spacing w:beforeLines="20" w:before="48" w:afterLines="20" w:after="48"/>
              <w:jc w:val="center"/>
              <w:rPr>
                <w:sz w:val="16"/>
                <w:szCs w:val="16"/>
                <w:lang w:eastAsia="en-US"/>
              </w:rPr>
            </w:pPr>
            <w:r w:rsidRPr="009B0266">
              <w:rPr>
                <w:sz w:val="16"/>
                <w:szCs w:val="16"/>
                <w:lang w:eastAsia="en-US"/>
              </w:rPr>
              <w:t>-</w:t>
            </w:r>
          </w:p>
        </w:tc>
        <w:tc>
          <w:tcPr>
            <w:tcW w:w="1400" w:type="dxa"/>
            <w:tcBorders>
              <w:bottom w:val="single" w:sz="4" w:space="0" w:color="auto"/>
            </w:tcBorders>
            <w:shd w:val="clear" w:color="auto" w:fill="auto"/>
            <w:vAlign w:val="center"/>
          </w:tcPr>
          <w:p w:rsidR="009B0266" w:rsidRPr="009B0266" w:rsidRDefault="009B0266" w:rsidP="009B0266">
            <w:pPr>
              <w:spacing w:beforeLines="20" w:before="48" w:afterLines="20" w:after="48"/>
              <w:jc w:val="center"/>
              <w:rPr>
                <w:sz w:val="16"/>
                <w:szCs w:val="16"/>
                <w:lang w:eastAsia="en-US"/>
              </w:rPr>
            </w:pPr>
            <w:r w:rsidRPr="009B0266">
              <w:rPr>
                <w:sz w:val="16"/>
                <w:szCs w:val="16"/>
                <w:lang w:eastAsia="en-US"/>
              </w:rPr>
              <w:t>-</w:t>
            </w:r>
          </w:p>
        </w:tc>
        <w:tc>
          <w:tcPr>
            <w:tcW w:w="1400" w:type="dxa"/>
            <w:tcBorders>
              <w:bottom w:val="single" w:sz="4" w:space="0" w:color="auto"/>
            </w:tcBorders>
            <w:shd w:val="clear" w:color="auto" w:fill="auto"/>
            <w:vAlign w:val="center"/>
          </w:tcPr>
          <w:p w:rsidR="009B0266" w:rsidRPr="009B0266" w:rsidRDefault="009B0266" w:rsidP="009B0266">
            <w:pPr>
              <w:spacing w:beforeLines="20" w:before="48" w:afterLines="20" w:after="48"/>
              <w:jc w:val="center"/>
              <w:rPr>
                <w:sz w:val="16"/>
                <w:szCs w:val="16"/>
                <w:lang w:eastAsia="en-US"/>
              </w:rPr>
            </w:pPr>
            <w:r w:rsidRPr="009B0266">
              <w:rPr>
                <w:sz w:val="16"/>
                <w:szCs w:val="16"/>
                <w:lang w:eastAsia="en-US"/>
              </w:rPr>
              <w:t>-</w:t>
            </w:r>
          </w:p>
        </w:tc>
        <w:tc>
          <w:tcPr>
            <w:tcW w:w="1400" w:type="dxa"/>
            <w:tcBorders>
              <w:bottom w:val="single" w:sz="4" w:space="0" w:color="auto"/>
            </w:tcBorders>
            <w:vAlign w:val="center"/>
          </w:tcPr>
          <w:p w:rsidR="009B0266" w:rsidRPr="009B0266" w:rsidRDefault="009B0266" w:rsidP="009B0266">
            <w:pPr>
              <w:spacing w:beforeLines="20" w:before="48" w:afterLines="20" w:after="48"/>
              <w:jc w:val="center"/>
              <w:rPr>
                <w:sz w:val="16"/>
                <w:szCs w:val="16"/>
                <w:lang w:eastAsia="en-US"/>
              </w:rPr>
            </w:pPr>
            <w:r w:rsidRPr="009B0266">
              <w:rPr>
                <w:sz w:val="16"/>
                <w:szCs w:val="16"/>
                <w:lang w:eastAsia="en-US"/>
              </w:rPr>
              <w:t>-</w:t>
            </w:r>
          </w:p>
        </w:tc>
        <w:tc>
          <w:tcPr>
            <w:tcW w:w="1400" w:type="dxa"/>
            <w:tcBorders>
              <w:bottom w:val="single" w:sz="4" w:space="0" w:color="auto"/>
            </w:tcBorders>
            <w:vAlign w:val="center"/>
          </w:tcPr>
          <w:p w:rsidR="009B0266" w:rsidRPr="009B0266" w:rsidRDefault="009B0266" w:rsidP="009B0266">
            <w:pPr>
              <w:spacing w:beforeLines="20" w:before="48" w:afterLines="20" w:after="48"/>
              <w:jc w:val="center"/>
              <w:rPr>
                <w:sz w:val="16"/>
                <w:szCs w:val="16"/>
                <w:lang w:eastAsia="en-US"/>
              </w:rPr>
            </w:pPr>
            <w:r w:rsidRPr="009B0266">
              <w:rPr>
                <w:sz w:val="16"/>
                <w:szCs w:val="16"/>
                <w:lang w:eastAsia="en-US"/>
              </w:rPr>
              <w:t>-</w:t>
            </w:r>
          </w:p>
        </w:tc>
        <w:tc>
          <w:tcPr>
            <w:tcW w:w="1400" w:type="dxa"/>
            <w:tcBorders>
              <w:bottom w:val="single" w:sz="4" w:space="0" w:color="auto"/>
            </w:tcBorders>
            <w:vAlign w:val="center"/>
          </w:tcPr>
          <w:p w:rsidR="009B0266" w:rsidRPr="009B0266" w:rsidRDefault="009B0266" w:rsidP="009B0266">
            <w:pPr>
              <w:spacing w:beforeLines="20" w:before="48" w:afterLines="20" w:after="48"/>
              <w:jc w:val="center"/>
              <w:rPr>
                <w:sz w:val="16"/>
                <w:szCs w:val="16"/>
                <w:lang w:eastAsia="en-US"/>
              </w:rPr>
            </w:pPr>
            <w:r w:rsidRPr="009B0266">
              <w:rPr>
                <w:sz w:val="16"/>
                <w:szCs w:val="16"/>
                <w:lang w:eastAsia="en-US"/>
              </w:rPr>
              <w:t>-</w:t>
            </w:r>
          </w:p>
        </w:tc>
        <w:tc>
          <w:tcPr>
            <w:tcW w:w="1400" w:type="dxa"/>
            <w:tcBorders>
              <w:bottom w:val="single" w:sz="4" w:space="0" w:color="auto"/>
            </w:tcBorders>
            <w:vAlign w:val="center"/>
          </w:tcPr>
          <w:p w:rsidR="009B0266" w:rsidRPr="009B0266" w:rsidRDefault="009B0266" w:rsidP="009B0266">
            <w:pPr>
              <w:spacing w:beforeLines="20" w:before="48" w:afterLines="20" w:after="48"/>
              <w:jc w:val="center"/>
              <w:rPr>
                <w:b/>
                <w:sz w:val="16"/>
                <w:szCs w:val="16"/>
                <w:lang w:eastAsia="en-US"/>
              </w:rPr>
            </w:pPr>
            <w:r w:rsidRPr="009B0266">
              <w:rPr>
                <w:b/>
                <w:sz w:val="16"/>
                <w:szCs w:val="16"/>
                <w:lang w:eastAsia="en-US"/>
              </w:rPr>
              <w:t>-</w:t>
            </w:r>
          </w:p>
        </w:tc>
      </w:tr>
      <w:tr w:rsidR="009B0266" w:rsidRPr="009B0266" w:rsidTr="009B0266">
        <w:trPr>
          <w:trHeight w:val="686"/>
        </w:trPr>
        <w:tc>
          <w:tcPr>
            <w:tcW w:w="3969" w:type="dxa"/>
            <w:gridSpan w:val="2"/>
            <w:tcBorders>
              <w:bottom w:val="single" w:sz="4" w:space="0" w:color="auto"/>
            </w:tcBorders>
            <w:shd w:val="clear" w:color="auto" w:fill="EAF1DD" w:themeFill="accent3" w:themeFillTint="33"/>
            <w:vAlign w:val="center"/>
          </w:tcPr>
          <w:p w:rsidR="009B0266" w:rsidRPr="009B0266" w:rsidRDefault="009B0266" w:rsidP="009B0266">
            <w:pPr>
              <w:spacing w:beforeLines="20" w:before="48" w:afterLines="20" w:after="48"/>
              <w:jc w:val="center"/>
              <w:rPr>
                <w:b/>
                <w:sz w:val="16"/>
                <w:szCs w:val="16"/>
                <w:lang w:eastAsia="en-US"/>
              </w:rPr>
            </w:pPr>
            <w:r w:rsidRPr="009B0266">
              <w:rPr>
                <w:b/>
                <w:sz w:val="16"/>
                <w:szCs w:val="16"/>
                <w:lang w:eastAsia="en-US"/>
              </w:rPr>
              <w:t>Celkom</w:t>
            </w:r>
          </w:p>
        </w:tc>
        <w:tc>
          <w:tcPr>
            <w:tcW w:w="1399" w:type="dxa"/>
            <w:tcBorders>
              <w:bottom w:val="single" w:sz="4" w:space="0" w:color="auto"/>
            </w:tcBorders>
            <w:shd w:val="clear" w:color="auto" w:fill="EAF1DD" w:themeFill="accent3" w:themeFillTint="33"/>
            <w:vAlign w:val="center"/>
          </w:tcPr>
          <w:p w:rsidR="009B0266" w:rsidRPr="009B0266" w:rsidRDefault="009B0266" w:rsidP="009B0266">
            <w:pPr>
              <w:spacing w:beforeLines="20" w:before="48" w:afterLines="20" w:after="48"/>
              <w:jc w:val="center"/>
              <w:rPr>
                <w:b/>
                <w:sz w:val="16"/>
                <w:szCs w:val="16"/>
                <w:lang w:eastAsia="en-US"/>
              </w:rPr>
            </w:pPr>
            <w:r w:rsidRPr="009B0266">
              <w:rPr>
                <w:b/>
                <w:sz w:val="16"/>
                <w:szCs w:val="16"/>
                <w:lang w:eastAsia="en-US"/>
              </w:rPr>
              <w:t>271 154 575</w:t>
            </w:r>
          </w:p>
        </w:tc>
        <w:tc>
          <w:tcPr>
            <w:tcW w:w="1400" w:type="dxa"/>
            <w:tcBorders>
              <w:bottom w:val="single" w:sz="4" w:space="0" w:color="auto"/>
            </w:tcBorders>
            <w:shd w:val="clear" w:color="auto" w:fill="EAF1DD" w:themeFill="accent3" w:themeFillTint="33"/>
            <w:vAlign w:val="center"/>
          </w:tcPr>
          <w:p w:rsidR="009B0266" w:rsidRPr="009B0266" w:rsidRDefault="009B0266" w:rsidP="009B0266">
            <w:pPr>
              <w:spacing w:beforeLines="20" w:before="48" w:afterLines="20" w:after="48"/>
              <w:jc w:val="center"/>
              <w:rPr>
                <w:b/>
                <w:sz w:val="16"/>
                <w:szCs w:val="16"/>
                <w:lang w:eastAsia="en-US"/>
              </w:rPr>
            </w:pPr>
            <w:r w:rsidRPr="009B0266">
              <w:rPr>
                <w:b/>
                <w:sz w:val="16"/>
                <w:szCs w:val="16"/>
                <w:lang w:eastAsia="en-US"/>
              </w:rPr>
              <w:t>213 101 979</w:t>
            </w:r>
          </w:p>
        </w:tc>
        <w:tc>
          <w:tcPr>
            <w:tcW w:w="1400" w:type="dxa"/>
            <w:tcBorders>
              <w:bottom w:val="single" w:sz="4" w:space="0" w:color="auto"/>
            </w:tcBorders>
            <w:shd w:val="clear" w:color="auto" w:fill="EAF1DD" w:themeFill="accent3" w:themeFillTint="33"/>
            <w:vAlign w:val="center"/>
          </w:tcPr>
          <w:p w:rsidR="009B0266" w:rsidRPr="009B0266" w:rsidRDefault="009B0266" w:rsidP="009B0266">
            <w:pPr>
              <w:spacing w:beforeLines="20" w:before="48" w:afterLines="20" w:after="48"/>
              <w:jc w:val="center"/>
              <w:rPr>
                <w:b/>
                <w:sz w:val="16"/>
                <w:szCs w:val="16"/>
                <w:lang w:eastAsia="en-US"/>
              </w:rPr>
            </w:pPr>
            <w:r w:rsidRPr="009B0266">
              <w:rPr>
                <w:b/>
                <w:sz w:val="16"/>
                <w:szCs w:val="16"/>
                <w:lang w:eastAsia="en-US"/>
              </w:rPr>
              <w:t>212 815 053</w:t>
            </w:r>
          </w:p>
        </w:tc>
        <w:tc>
          <w:tcPr>
            <w:tcW w:w="1400" w:type="dxa"/>
            <w:tcBorders>
              <w:bottom w:val="single" w:sz="4" w:space="0" w:color="auto"/>
            </w:tcBorders>
            <w:shd w:val="clear" w:color="auto" w:fill="EAF1DD" w:themeFill="accent3" w:themeFillTint="33"/>
            <w:vAlign w:val="center"/>
          </w:tcPr>
          <w:p w:rsidR="009B0266" w:rsidRPr="009B0266" w:rsidRDefault="009B0266" w:rsidP="009B0266">
            <w:pPr>
              <w:spacing w:beforeLines="20" w:before="48" w:afterLines="20" w:after="48"/>
              <w:jc w:val="center"/>
              <w:rPr>
                <w:b/>
                <w:sz w:val="16"/>
                <w:szCs w:val="16"/>
                <w:lang w:eastAsia="en-US"/>
              </w:rPr>
            </w:pPr>
            <w:r w:rsidRPr="009B0266">
              <w:rPr>
                <w:b/>
                <w:sz w:val="16"/>
                <w:szCs w:val="16"/>
                <w:lang w:eastAsia="en-US"/>
              </w:rPr>
              <w:t>212 522 644</w:t>
            </w:r>
          </w:p>
        </w:tc>
        <w:tc>
          <w:tcPr>
            <w:tcW w:w="1400" w:type="dxa"/>
            <w:tcBorders>
              <w:bottom w:val="single" w:sz="4" w:space="0" w:color="auto"/>
            </w:tcBorders>
            <w:shd w:val="clear" w:color="auto" w:fill="EAF1DD" w:themeFill="accent3" w:themeFillTint="33"/>
            <w:vAlign w:val="center"/>
          </w:tcPr>
          <w:p w:rsidR="009B0266" w:rsidRPr="009B0266" w:rsidRDefault="009B0266" w:rsidP="009B0266">
            <w:pPr>
              <w:spacing w:beforeLines="20" w:before="48" w:afterLines="20" w:after="48"/>
              <w:jc w:val="center"/>
              <w:rPr>
                <w:b/>
                <w:sz w:val="16"/>
                <w:szCs w:val="16"/>
                <w:lang w:eastAsia="en-US"/>
              </w:rPr>
            </w:pPr>
            <w:r w:rsidRPr="009B0266">
              <w:rPr>
                <w:b/>
                <w:sz w:val="16"/>
                <w:szCs w:val="16"/>
                <w:lang w:eastAsia="en-US"/>
              </w:rPr>
              <w:t>212 225 447</w:t>
            </w:r>
          </w:p>
        </w:tc>
        <w:tc>
          <w:tcPr>
            <w:tcW w:w="1400" w:type="dxa"/>
            <w:tcBorders>
              <w:bottom w:val="single" w:sz="4" w:space="0" w:color="auto"/>
            </w:tcBorders>
            <w:shd w:val="clear" w:color="auto" w:fill="EAF1DD" w:themeFill="accent3" w:themeFillTint="33"/>
            <w:vAlign w:val="center"/>
          </w:tcPr>
          <w:p w:rsidR="009B0266" w:rsidRPr="009B0266" w:rsidRDefault="009B0266" w:rsidP="009B0266">
            <w:pPr>
              <w:spacing w:beforeLines="20" w:before="48" w:afterLines="20" w:after="48"/>
              <w:jc w:val="center"/>
              <w:rPr>
                <w:b/>
                <w:sz w:val="16"/>
                <w:szCs w:val="16"/>
                <w:lang w:eastAsia="en-US"/>
              </w:rPr>
            </w:pPr>
            <w:r w:rsidRPr="009B0266">
              <w:rPr>
                <w:b/>
                <w:sz w:val="16"/>
                <w:szCs w:val="16"/>
                <w:lang w:eastAsia="en-US"/>
              </w:rPr>
              <w:t>211 912 203</w:t>
            </w:r>
          </w:p>
        </w:tc>
        <w:tc>
          <w:tcPr>
            <w:tcW w:w="1400" w:type="dxa"/>
            <w:tcBorders>
              <w:bottom w:val="single" w:sz="4" w:space="0" w:color="auto"/>
            </w:tcBorders>
            <w:shd w:val="clear" w:color="auto" w:fill="EAF1DD" w:themeFill="accent3" w:themeFillTint="33"/>
            <w:vAlign w:val="center"/>
          </w:tcPr>
          <w:p w:rsidR="009B0266" w:rsidRPr="009B0266" w:rsidRDefault="009B0266" w:rsidP="009B0266">
            <w:pPr>
              <w:spacing w:beforeLines="20" w:before="48" w:afterLines="20" w:after="48"/>
              <w:jc w:val="center"/>
              <w:rPr>
                <w:b/>
                <w:sz w:val="16"/>
                <w:szCs w:val="16"/>
                <w:lang w:eastAsia="en-US"/>
              </w:rPr>
            </w:pPr>
            <w:r w:rsidRPr="009B0266">
              <w:rPr>
                <w:b/>
                <w:sz w:val="16"/>
                <w:szCs w:val="16"/>
                <w:lang w:eastAsia="en-US"/>
              </w:rPr>
              <w:t>211 540 943</w:t>
            </w:r>
          </w:p>
        </w:tc>
        <w:tc>
          <w:tcPr>
            <w:tcW w:w="1400" w:type="dxa"/>
            <w:tcBorders>
              <w:bottom w:val="single" w:sz="4" w:space="0" w:color="auto"/>
            </w:tcBorders>
            <w:shd w:val="clear" w:color="auto" w:fill="FFFF00"/>
            <w:vAlign w:val="center"/>
          </w:tcPr>
          <w:p w:rsidR="009B0266" w:rsidRPr="009B0266" w:rsidRDefault="009B0266" w:rsidP="009B0266">
            <w:pPr>
              <w:spacing w:beforeLines="20" w:before="48" w:afterLines="20" w:after="48"/>
              <w:jc w:val="center"/>
              <w:rPr>
                <w:b/>
                <w:sz w:val="16"/>
                <w:szCs w:val="16"/>
                <w:lang w:eastAsia="en-US"/>
              </w:rPr>
            </w:pPr>
            <w:r w:rsidRPr="009B0266">
              <w:rPr>
                <w:b/>
                <w:sz w:val="16"/>
                <w:szCs w:val="16"/>
                <w:lang w:eastAsia="en-US"/>
              </w:rPr>
              <w:t>1 545 272 844</w:t>
            </w:r>
          </w:p>
        </w:tc>
      </w:tr>
      <w:tr w:rsidR="009B0266" w:rsidRPr="009B0266" w:rsidTr="009B0266">
        <w:trPr>
          <w:trHeight w:val="510"/>
        </w:trPr>
        <w:tc>
          <w:tcPr>
            <w:tcW w:w="15168" w:type="dxa"/>
            <w:gridSpan w:val="10"/>
            <w:shd w:val="clear" w:color="auto" w:fill="auto"/>
            <w:vAlign w:val="center"/>
          </w:tcPr>
          <w:p w:rsidR="009B0266" w:rsidRPr="009B0266" w:rsidRDefault="009B0266" w:rsidP="009B0266">
            <w:pPr>
              <w:spacing w:beforeLines="20" w:before="48" w:afterLines="20" w:after="48"/>
              <w:jc w:val="left"/>
              <w:rPr>
                <w:b/>
                <w:sz w:val="16"/>
                <w:szCs w:val="16"/>
                <w:lang w:eastAsia="en-US"/>
              </w:rPr>
            </w:pPr>
            <w:r w:rsidRPr="009B0266">
              <w:rPr>
                <w:b/>
                <w:sz w:val="16"/>
                <w:szCs w:val="16"/>
                <w:lang w:eastAsia="en-US"/>
              </w:rPr>
              <w:t>Z toho</w:t>
            </w:r>
          </w:p>
        </w:tc>
      </w:tr>
      <w:tr w:rsidR="009B0266" w:rsidRPr="009B0266" w:rsidTr="009B0266">
        <w:trPr>
          <w:trHeight w:val="686"/>
        </w:trPr>
        <w:tc>
          <w:tcPr>
            <w:tcW w:w="3969" w:type="dxa"/>
            <w:gridSpan w:val="2"/>
            <w:tcBorders>
              <w:bottom w:val="single" w:sz="4" w:space="0" w:color="auto"/>
            </w:tcBorders>
            <w:shd w:val="clear" w:color="auto" w:fill="E5DFEC" w:themeFill="accent4" w:themeFillTint="33"/>
            <w:vAlign w:val="center"/>
          </w:tcPr>
          <w:p w:rsidR="009B0266" w:rsidRPr="009B0266" w:rsidRDefault="009B0266" w:rsidP="009B0266">
            <w:pPr>
              <w:spacing w:after="200" w:line="276" w:lineRule="auto"/>
              <w:jc w:val="center"/>
              <w:rPr>
                <w:rFonts w:eastAsiaTheme="minorHAnsi"/>
                <w:b/>
                <w:sz w:val="16"/>
                <w:szCs w:val="16"/>
                <w:lang w:eastAsia="en-US"/>
              </w:rPr>
            </w:pPr>
            <w:r w:rsidRPr="009B0266">
              <w:rPr>
                <w:rFonts w:eastAsiaTheme="minorHAnsi"/>
                <w:b/>
                <w:bCs/>
                <w:color w:val="000000"/>
                <w:sz w:val="16"/>
                <w:szCs w:val="16"/>
                <w:lang w:eastAsia="en-US"/>
              </w:rPr>
              <w:t>Výkonnostná rezerva, článok 20 nariadenia č.1303/2013</w:t>
            </w:r>
          </w:p>
        </w:tc>
        <w:tc>
          <w:tcPr>
            <w:tcW w:w="1399" w:type="dxa"/>
            <w:tcBorders>
              <w:bottom w:val="single" w:sz="4" w:space="0" w:color="auto"/>
            </w:tcBorders>
            <w:shd w:val="clear" w:color="auto" w:fill="E5DFEC" w:themeFill="accent4" w:themeFillTint="33"/>
            <w:vAlign w:val="center"/>
          </w:tcPr>
          <w:p w:rsidR="009B0266" w:rsidRPr="009B0266" w:rsidRDefault="009B0266" w:rsidP="009B0266">
            <w:pPr>
              <w:spacing w:beforeLines="20" w:before="48" w:afterLines="20" w:after="48"/>
              <w:jc w:val="center"/>
              <w:rPr>
                <w:sz w:val="16"/>
                <w:szCs w:val="16"/>
                <w:lang w:eastAsia="en-US"/>
              </w:rPr>
            </w:pPr>
            <w:r w:rsidRPr="009B0266">
              <w:rPr>
                <w:sz w:val="16"/>
                <w:szCs w:val="16"/>
                <w:lang w:eastAsia="en-US"/>
              </w:rPr>
              <w:t>16 269 275</w:t>
            </w:r>
          </w:p>
        </w:tc>
        <w:tc>
          <w:tcPr>
            <w:tcW w:w="1400" w:type="dxa"/>
            <w:tcBorders>
              <w:bottom w:val="single" w:sz="4" w:space="0" w:color="auto"/>
            </w:tcBorders>
            <w:shd w:val="clear" w:color="auto" w:fill="E5DFEC" w:themeFill="accent4" w:themeFillTint="33"/>
            <w:vAlign w:val="center"/>
          </w:tcPr>
          <w:p w:rsidR="009B0266" w:rsidRPr="009B0266" w:rsidRDefault="009B0266" w:rsidP="009B0266">
            <w:pPr>
              <w:spacing w:beforeLines="20" w:before="48" w:afterLines="20" w:after="48"/>
              <w:jc w:val="center"/>
              <w:rPr>
                <w:sz w:val="16"/>
                <w:szCs w:val="16"/>
                <w:lang w:eastAsia="en-US"/>
              </w:rPr>
            </w:pPr>
            <w:r w:rsidRPr="009B0266">
              <w:rPr>
                <w:sz w:val="16"/>
                <w:szCs w:val="16"/>
                <w:lang w:eastAsia="en-US"/>
              </w:rPr>
              <w:t>12 786 119</w:t>
            </w:r>
          </w:p>
        </w:tc>
        <w:tc>
          <w:tcPr>
            <w:tcW w:w="1400" w:type="dxa"/>
            <w:tcBorders>
              <w:bottom w:val="single" w:sz="4" w:space="0" w:color="auto"/>
            </w:tcBorders>
            <w:shd w:val="clear" w:color="auto" w:fill="E5DFEC" w:themeFill="accent4" w:themeFillTint="33"/>
            <w:vAlign w:val="center"/>
          </w:tcPr>
          <w:p w:rsidR="009B0266" w:rsidRPr="009B0266" w:rsidRDefault="009B0266" w:rsidP="009B0266">
            <w:pPr>
              <w:spacing w:beforeLines="20" w:before="48" w:afterLines="20" w:after="48"/>
              <w:jc w:val="center"/>
              <w:rPr>
                <w:sz w:val="16"/>
                <w:szCs w:val="16"/>
                <w:lang w:eastAsia="en-US"/>
              </w:rPr>
            </w:pPr>
            <w:r w:rsidRPr="009B0266">
              <w:rPr>
                <w:sz w:val="16"/>
                <w:szCs w:val="16"/>
                <w:lang w:eastAsia="en-US"/>
              </w:rPr>
              <w:t>12 768 903</w:t>
            </w:r>
          </w:p>
        </w:tc>
        <w:tc>
          <w:tcPr>
            <w:tcW w:w="1400" w:type="dxa"/>
            <w:tcBorders>
              <w:bottom w:val="single" w:sz="4" w:space="0" w:color="auto"/>
            </w:tcBorders>
            <w:shd w:val="clear" w:color="auto" w:fill="E5DFEC" w:themeFill="accent4" w:themeFillTint="33"/>
            <w:vAlign w:val="center"/>
          </w:tcPr>
          <w:p w:rsidR="009B0266" w:rsidRPr="009B0266" w:rsidRDefault="009B0266" w:rsidP="009B0266">
            <w:pPr>
              <w:spacing w:beforeLines="20" w:before="48" w:afterLines="20" w:after="48"/>
              <w:jc w:val="center"/>
              <w:rPr>
                <w:sz w:val="16"/>
                <w:szCs w:val="16"/>
                <w:lang w:eastAsia="en-US"/>
              </w:rPr>
            </w:pPr>
            <w:r w:rsidRPr="009B0266">
              <w:rPr>
                <w:sz w:val="16"/>
                <w:szCs w:val="16"/>
                <w:lang w:eastAsia="en-US"/>
              </w:rPr>
              <w:t>12 751 359</w:t>
            </w:r>
          </w:p>
        </w:tc>
        <w:tc>
          <w:tcPr>
            <w:tcW w:w="1400" w:type="dxa"/>
            <w:tcBorders>
              <w:bottom w:val="single" w:sz="4" w:space="0" w:color="auto"/>
            </w:tcBorders>
            <w:shd w:val="clear" w:color="auto" w:fill="E5DFEC" w:themeFill="accent4" w:themeFillTint="33"/>
            <w:vAlign w:val="center"/>
          </w:tcPr>
          <w:p w:rsidR="009B0266" w:rsidRPr="009B0266" w:rsidRDefault="009B0266" w:rsidP="009B0266">
            <w:pPr>
              <w:spacing w:beforeLines="20" w:before="48" w:afterLines="20" w:after="48"/>
              <w:jc w:val="center"/>
              <w:rPr>
                <w:sz w:val="16"/>
                <w:szCs w:val="16"/>
                <w:lang w:eastAsia="en-US"/>
              </w:rPr>
            </w:pPr>
            <w:r w:rsidRPr="009B0266">
              <w:rPr>
                <w:sz w:val="16"/>
                <w:szCs w:val="16"/>
                <w:lang w:eastAsia="en-US"/>
              </w:rPr>
              <w:t>12 733 527</w:t>
            </w:r>
          </w:p>
        </w:tc>
        <w:tc>
          <w:tcPr>
            <w:tcW w:w="1400" w:type="dxa"/>
            <w:tcBorders>
              <w:bottom w:val="single" w:sz="4" w:space="0" w:color="auto"/>
            </w:tcBorders>
            <w:shd w:val="clear" w:color="auto" w:fill="E5DFEC" w:themeFill="accent4" w:themeFillTint="33"/>
            <w:vAlign w:val="center"/>
          </w:tcPr>
          <w:p w:rsidR="009B0266" w:rsidRPr="009B0266" w:rsidRDefault="009B0266" w:rsidP="009B0266">
            <w:pPr>
              <w:spacing w:beforeLines="20" w:before="48" w:afterLines="20" w:after="48"/>
              <w:jc w:val="center"/>
              <w:rPr>
                <w:sz w:val="16"/>
                <w:szCs w:val="16"/>
                <w:lang w:eastAsia="en-US"/>
              </w:rPr>
            </w:pPr>
            <w:r w:rsidRPr="009B0266">
              <w:rPr>
                <w:sz w:val="16"/>
                <w:szCs w:val="16"/>
                <w:lang w:eastAsia="en-US"/>
              </w:rPr>
              <w:t>12 714 732</w:t>
            </w:r>
          </w:p>
        </w:tc>
        <w:tc>
          <w:tcPr>
            <w:tcW w:w="1400" w:type="dxa"/>
            <w:tcBorders>
              <w:bottom w:val="single" w:sz="4" w:space="0" w:color="auto"/>
            </w:tcBorders>
            <w:shd w:val="clear" w:color="auto" w:fill="E5DFEC" w:themeFill="accent4" w:themeFillTint="33"/>
            <w:vAlign w:val="center"/>
          </w:tcPr>
          <w:p w:rsidR="009B0266" w:rsidRPr="009B0266" w:rsidRDefault="009B0266" w:rsidP="009B0266">
            <w:pPr>
              <w:spacing w:beforeLines="20" w:before="48" w:afterLines="20" w:after="48"/>
              <w:jc w:val="center"/>
              <w:rPr>
                <w:sz w:val="16"/>
                <w:szCs w:val="16"/>
                <w:lang w:eastAsia="en-US"/>
              </w:rPr>
            </w:pPr>
            <w:r w:rsidRPr="009B0266">
              <w:rPr>
                <w:sz w:val="16"/>
                <w:szCs w:val="16"/>
                <w:lang w:eastAsia="en-US"/>
              </w:rPr>
              <w:t>12 692 457</w:t>
            </w:r>
          </w:p>
        </w:tc>
        <w:tc>
          <w:tcPr>
            <w:tcW w:w="1400" w:type="dxa"/>
            <w:tcBorders>
              <w:bottom w:val="single" w:sz="4" w:space="0" w:color="auto"/>
            </w:tcBorders>
            <w:shd w:val="clear" w:color="auto" w:fill="E5DFEC" w:themeFill="accent4" w:themeFillTint="33"/>
            <w:vAlign w:val="center"/>
          </w:tcPr>
          <w:p w:rsidR="009B0266" w:rsidRPr="009B0266" w:rsidRDefault="009B0266" w:rsidP="009B0266">
            <w:pPr>
              <w:spacing w:beforeLines="20" w:before="48" w:afterLines="20" w:after="48"/>
              <w:jc w:val="center"/>
              <w:rPr>
                <w:b/>
                <w:sz w:val="16"/>
                <w:szCs w:val="16"/>
                <w:lang w:eastAsia="en-US"/>
              </w:rPr>
            </w:pPr>
            <w:r w:rsidRPr="009B0266">
              <w:rPr>
                <w:b/>
                <w:sz w:val="16"/>
                <w:szCs w:val="16"/>
                <w:lang w:eastAsia="en-US"/>
              </w:rPr>
              <w:t>92 716 371</w:t>
            </w:r>
          </w:p>
        </w:tc>
      </w:tr>
    </w:tbl>
    <w:p w:rsidR="009B0266" w:rsidRDefault="009B0266" w:rsidP="009B0266">
      <w:pPr>
        <w:keepNext/>
        <w:outlineLvl w:val="1"/>
        <w:rPr>
          <w:rFonts w:eastAsia="Calibri"/>
          <w:b/>
          <w:sz w:val="16"/>
          <w:szCs w:val="16"/>
          <w:lang w:eastAsia="ja-JP"/>
        </w:rPr>
      </w:pPr>
      <w:r w:rsidRPr="009B0266">
        <w:rPr>
          <w:rFonts w:eastAsia="Calibri"/>
          <w:b/>
          <w:sz w:val="16"/>
          <w:szCs w:val="16"/>
          <w:lang w:eastAsia="ja-JP"/>
        </w:rPr>
        <w:br w:type="page"/>
      </w:r>
      <w:bookmarkStart w:id="131" w:name="_Toc369609074"/>
    </w:p>
    <w:p w:rsidR="009B0266" w:rsidRDefault="009B0266" w:rsidP="009B0266">
      <w:pPr>
        <w:keepNext/>
        <w:outlineLvl w:val="1"/>
        <w:rPr>
          <w:rFonts w:eastAsia="Calibri"/>
          <w:b/>
          <w:sz w:val="16"/>
          <w:szCs w:val="16"/>
          <w:lang w:eastAsia="ja-JP"/>
        </w:rPr>
      </w:pPr>
    </w:p>
    <w:p w:rsidR="009B0266" w:rsidRPr="009B0266" w:rsidRDefault="009B0266" w:rsidP="009B0266">
      <w:pPr>
        <w:keepNext/>
        <w:outlineLvl w:val="1"/>
        <w:rPr>
          <w:rFonts w:eastAsia="Calibri"/>
          <w:b/>
          <w:szCs w:val="22"/>
          <w:lang w:eastAsia="ja-JP"/>
        </w:rPr>
      </w:pPr>
      <w:r w:rsidRPr="009B0266">
        <w:rPr>
          <w:rFonts w:eastAsia="Calibri"/>
          <w:b/>
          <w:szCs w:val="22"/>
          <w:lang w:eastAsia="ja-JP"/>
        </w:rPr>
        <w:t>10.2 Rozčlenenie podľa opatrení a operácií v závislosti od rozdielnej miery spolufinancovania EPFRV (v EUR, celé obdobie 2014 - 2020)</w:t>
      </w:r>
    </w:p>
    <w:p w:rsidR="009B0266" w:rsidRDefault="009B0266" w:rsidP="009B0266">
      <w:pPr>
        <w:keepNext/>
        <w:outlineLvl w:val="1"/>
        <w:rPr>
          <w:rFonts w:eastAsia="Calibri"/>
          <w:b/>
          <w:szCs w:val="22"/>
          <w:lang w:eastAsia="ja-JP"/>
        </w:rPr>
      </w:pPr>
    </w:p>
    <w:p w:rsidR="009B0266" w:rsidRPr="009B0266" w:rsidRDefault="009B0266" w:rsidP="009B0266">
      <w:pPr>
        <w:keepNext/>
        <w:outlineLvl w:val="1"/>
        <w:rPr>
          <w:rFonts w:eastAsia="Calibri"/>
          <w:b/>
          <w:szCs w:val="22"/>
          <w:lang w:eastAsia="ja-JP"/>
        </w:rPr>
      </w:pPr>
      <w:r w:rsidRPr="009B0266">
        <w:rPr>
          <w:rFonts w:eastAsia="Calibri"/>
          <w:b/>
          <w:szCs w:val="22"/>
          <w:lang w:eastAsia="ja-JP"/>
        </w:rPr>
        <w:t>10.2.1. Miera príspevku z EPFRV uplatnená pre všetkých opatrenia, článok 59(3)</w:t>
      </w:r>
    </w:p>
    <w:tbl>
      <w:tblPr>
        <w:tblW w:w="1318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1"/>
        <w:gridCol w:w="8363"/>
        <w:gridCol w:w="3969"/>
      </w:tblGrid>
      <w:tr w:rsidR="009B0266" w:rsidRPr="009B0266" w:rsidTr="009B0266">
        <w:tc>
          <w:tcPr>
            <w:tcW w:w="9214" w:type="dxa"/>
            <w:gridSpan w:val="2"/>
            <w:tcBorders>
              <w:bottom w:val="single" w:sz="4" w:space="0" w:color="auto"/>
            </w:tcBorders>
            <w:shd w:val="clear" w:color="auto" w:fill="F2F2F2"/>
            <w:vAlign w:val="center"/>
          </w:tcPr>
          <w:p w:rsidR="009B0266" w:rsidRPr="009B0266" w:rsidRDefault="009B0266" w:rsidP="009B0266">
            <w:pPr>
              <w:tabs>
                <w:tab w:val="left" w:pos="1185"/>
              </w:tabs>
              <w:spacing w:beforeLines="20" w:before="48" w:afterLines="20" w:after="48"/>
              <w:jc w:val="left"/>
              <w:rPr>
                <w:sz w:val="16"/>
                <w:szCs w:val="16"/>
                <w:lang w:eastAsia="en-US"/>
              </w:rPr>
            </w:pPr>
            <w:r w:rsidRPr="009B0266">
              <w:rPr>
                <w:sz w:val="16"/>
                <w:szCs w:val="16"/>
                <w:lang w:eastAsia="en-US"/>
              </w:rPr>
              <w:t>Typy regiónov a dodatočných alokácií</w:t>
            </w:r>
          </w:p>
        </w:tc>
        <w:tc>
          <w:tcPr>
            <w:tcW w:w="3969" w:type="dxa"/>
            <w:tcBorders>
              <w:bottom w:val="single" w:sz="4" w:space="0" w:color="auto"/>
            </w:tcBorders>
            <w:shd w:val="clear" w:color="auto" w:fill="F2F2F2"/>
            <w:vAlign w:val="center"/>
          </w:tcPr>
          <w:p w:rsidR="009B0266" w:rsidRPr="009B0266" w:rsidRDefault="009B0266" w:rsidP="009B0266">
            <w:pPr>
              <w:tabs>
                <w:tab w:val="left" w:pos="1185"/>
              </w:tabs>
              <w:spacing w:beforeLines="20" w:before="48" w:afterLines="20" w:after="48"/>
              <w:jc w:val="center"/>
              <w:rPr>
                <w:sz w:val="16"/>
                <w:szCs w:val="16"/>
                <w:lang w:eastAsia="en-US"/>
              </w:rPr>
            </w:pPr>
            <w:r w:rsidRPr="009B0266">
              <w:rPr>
                <w:sz w:val="16"/>
                <w:szCs w:val="16"/>
                <w:lang w:eastAsia="en-US"/>
              </w:rPr>
              <w:t>Uplatnená miera príspevku z EPFRV 2014-2020 (%)</w:t>
            </w:r>
          </w:p>
        </w:tc>
      </w:tr>
      <w:tr w:rsidR="009B0266" w:rsidRPr="009B0266" w:rsidTr="009B0266">
        <w:tc>
          <w:tcPr>
            <w:tcW w:w="851" w:type="dxa"/>
          </w:tcPr>
          <w:p w:rsidR="009B0266" w:rsidRPr="009B0266" w:rsidRDefault="009B0266" w:rsidP="009B0266">
            <w:pPr>
              <w:spacing w:beforeLines="20" w:before="48" w:afterLines="20" w:after="48" w:line="276" w:lineRule="auto"/>
              <w:jc w:val="left"/>
              <w:rPr>
                <w:rFonts w:eastAsiaTheme="minorHAnsi"/>
                <w:sz w:val="16"/>
                <w:szCs w:val="16"/>
                <w:lang w:eastAsia="en-US"/>
              </w:rPr>
            </w:pPr>
            <w:r w:rsidRPr="009B0266">
              <w:rPr>
                <w:rFonts w:eastAsiaTheme="minorHAnsi"/>
                <w:sz w:val="16"/>
                <w:szCs w:val="16"/>
                <w:lang w:eastAsia="en-US"/>
              </w:rPr>
              <w:t>59(3)(a)</w:t>
            </w:r>
          </w:p>
        </w:tc>
        <w:tc>
          <w:tcPr>
            <w:tcW w:w="8363" w:type="dxa"/>
            <w:tcBorders>
              <w:bottom w:val="single" w:sz="4" w:space="0" w:color="auto"/>
            </w:tcBorders>
            <w:shd w:val="clear" w:color="auto" w:fill="auto"/>
          </w:tcPr>
          <w:p w:rsidR="009B0266" w:rsidRPr="009B0266" w:rsidRDefault="009B0266" w:rsidP="009B0266">
            <w:pPr>
              <w:spacing w:beforeLines="20" w:before="48" w:afterLines="20" w:after="48" w:line="276" w:lineRule="auto"/>
              <w:jc w:val="left"/>
              <w:rPr>
                <w:rFonts w:eastAsiaTheme="minorHAnsi"/>
                <w:sz w:val="16"/>
                <w:szCs w:val="16"/>
                <w:lang w:eastAsia="en-US"/>
              </w:rPr>
            </w:pPr>
            <w:r w:rsidRPr="009B0266">
              <w:rPr>
                <w:rFonts w:eastAsiaTheme="minorHAnsi"/>
                <w:sz w:val="16"/>
                <w:szCs w:val="16"/>
              </w:rPr>
              <w:t>Menej rozvinuté regióny, najvzdialenejšie regióny a menšie ostrovy v Egejskom mori v zmysle nariadenia (EHS) č. 2019/93</w:t>
            </w:r>
          </w:p>
        </w:tc>
        <w:tc>
          <w:tcPr>
            <w:tcW w:w="3969" w:type="dxa"/>
            <w:tcBorders>
              <w:bottom w:val="single" w:sz="4" w:space="0" w:color="auto"/>
            </w:tcBorders>
            <w:shd w:val="clear" w:color="auto" w:fill="auto"/>
            <w:vAlign w:val="center"/>
          </w:tcPr>
          <w:p w:rsidR="009B0266" w:rsidRPr="009B0266" w:rsidRDefault="009B0266" w:rsidP="009B0266">
            <w:pPr>
              <w:spacing w:beforeLines="20" w:before="48" w:afterLines="20" w:after="48"/>
              <w:jc w:val="center"/>
              <w:rPr>
                <w:sz w:val="16"/>
                <w:szCs w:val="16"/>
                <w:lang w:eastAsia="en-US"/>
              </w:rPr>
            </w:pPr>
            <w:r w:rsidRPr="009B0266">
              <w:rPr>
                <w:sz w:val="16"/>
                <w:szCs w:val="16"/>
                <w:lang w:eastAsia="en-US"/>
              </w:rPr>
              <w:t>75 %</w:t>
            </w:r>
          </w:p>
        </w:tc>
      </w:tr>
      <w:tr w:rsidR="009B0266" w:rsidRPr="009B0266" w:rsidTr="009B0266">
        <w:tc>
          <w:tcPr>
            <w:tcW w:w="851" w:type="dxa"/>
            <w:tcBorders>
              <w:bottom w:val="single" w:sz="4" w:space="0" w:color="auto"/>
            </w:tcBorders>
          </w:tcPr>
          <w:p w:rsidR="009B0266" w:rsidRPr="009B0266" w:rsidRDefault="009B0266" w:rsidP="009B0266">
            <w:pPr>
              <w:spacing w:beforeLines="20" w:before="48" w:afterLines="20" w:after="48" w:line="276" w:lineRule="auto"/>
              <w:jc w:val="left"/>
              <w:rPr>
                <w:rFonts w:eastAsiaTheme="minorHAnsi"/>
                <w:sz w:val="16"/>
                <w:szCs w:val="16"/>
                <w:lang w:eastAsia="en-US"/>
              </w:rPr>
            </w:pPr>
            <w:r w:rsidRPr="009B0266">
              <w:rPr>
                <w:rFonts w:eastAsiaTheme="minorHAnsi"/>
                <w:sz w:val="16"/>
                <w:szCs w:val="16"/>
                <w:lang w:eastAsia="en-US"/>
              </w:rPr>
              <w:t>59(3)(b)</w:t>
            </w:r>
          </w:p>
        </w:tc>
        <w:tc>
          <w:tcPr>
            <w:tcW w:w="8363" w:type="dxa"/>
            <w:tcBorders>
              <w:bottom w:val="single" w:sz="4" w:space="0" w:color="auto"/>
              <w:tl2br w:val="nil"/>
              <w:tr2bl w:val="nil"/>
            </w:tcBorders>
            <w:shd w:val="clear" w:color="auto" w:fill="FFFFFF"/>
          </w:tcPr>
          <w:p w:rsidR="009B0266" w:rsidRPr="009B0266" w:rsidRDefault="009B0266" w:rsidP="009B0266">
            <w:pPr>
              <w:spacing w:beforeLines="20" w:before="48" w:afterLines="20" w:after="48" w:line="276" w:lineRule="auto"/>
              <w:jc w:val="left"/>
              <w:rPr>
                <w:rFonts w:eastAsiaTheme="minorHAnsi"/>
                <w:sz w:val="16"/>
                <w:szCs w:val="16"/>
                <w:lang w:eastAsia="en-US"/>
              </w:rPr>
            </w:pPr>
            <w:r w:rsidRPr="009B0266">
              <w:rPr>
                <w:rFonts w:eastAsiaTheme="minorHAnsi"/>
                <w:iCs/>
                <w:sz w:val="16"/>
                <w:szCs w:val="16"/>
                <w:lang w:eastAsia="en-US"/>
              </w:rPr>
              <w:t>Pre všetky regióny, ktorých HDP na obyvateľa v období rokov 2007 – 2013 bol nižší ako 75 % priemeru EÚ-25 za referenčné obdobie, ale ktorých HDP na obyvateľa prekračuje 75 % priemerného HDP EÚ-27</w:t>
            </w:r>
          </w:p>
        </w:tc>
        <w:tc>
          <w:tcPr>
            <w:tcW w:w="3969" w:type="dxa"/>
            <w:tcBorders>
              <w:bottom w:val="single" w:sz="4" w:space="0" w:color="auto"/>
            </w:tcBorders>
            <w:shd w:val="clear" w:color="auto" w:fill="auto"/>
            <w:vAlign w:val="center"/>
          </w:tcPr>
          <w:p w:rsidR="009B0266" w:rsidRPr="009B0266" w:rsidRDefault="009B0266" w:rsidP="009B0266">
            <w:pPr>
              <w:spacing w:beforeLines="20" w:before="48" w:afterLines="20" w:after="48"/>
              <w:jc w:val="center"/>
              <w:rPr>
                <w:sz w:val="16"/>
                <w:szCs w:val="16"/>
                <w:lang w:eastAsia="en-US"/>
              </w:rPr>
            </w:pPr>
          </w:p>
        </w:tc>
      </w:tr>
      <w:tr w:rsidR="009B0266" w:rsidRPr="009B0266" w:rsidTr="009B0266">
        <w:tc>
          <w:tcPr>
            <w:tcW w:w="851" w:type="dxa"/>
            <w:tcBorders>
              <w:bottom w:val="single" w:sz="4" w:space="0" w:color="auto"/>
            </w:tcBorders>
          </w:tcPr>
          <w:p w:rsidR="009B0266" w:rsidRPr="009B0266" w:rsidRDefault="009B0266" w:rsidP="009B0266">
            <w:pPr>
              <w:spacing w:beforeLines="20" w:before="48" w:afterLines="20" w:after="48" w:line="276" w:lineRule="auto"/>
              <w:jc w:val="left"/>
              <w:rPr>
                <w:rFonts w:eastAsiaTheme="minorHAnsi"/>
                <w:sz w:val="16"/>
                <w:szCs w:val="16"/>
                <w:lang w:eastAsia="en-US"/>
              </w:rPr>
            </w:pPr>
            <w:r w:rsidRPr="009B0266">
              <w:rPr>
                <w:rFonts w:eastAsiaTheme="minorHAnsi"/>
                <w:sz w:val="16"/>
                <w:szCs w:val="16"/>
                <w:lang w:eastAsia="en-US"/>
              </w:rPr>
              <w:t>59(3)(c)</w:t>
            </w:r>
          </w:p>
        </w:tc>
        <w:tc>
          <w:tcPr>
            <w:tcW w:w="8363" w:type="dxa"/>
            <w:tcBorders>
              <w:bottom w:val="single" w:sz="4" w:space="0" w:color="auto"/>
              <w:tl2br w:val="nil"/>
              <w:tr2bl w:val="nil"/>
            </w:tcBorders>
            <w:shd w:val="clear" w:color="auto" w:fill="FFFFFF"/>
          </w:tcPr>
          <w:p w:rsidR="009B0266" w:rsidRPr="009B0266" w:rsidRDefault="009B0266" w:rsidP="009B0266">
            <w:pPr>
              <w:spacing w:beforeLines="20" w:before="48" w:afterLines="20" w:after="48" w:line="276" w:lineRule="auto"/>
              <w:jc w:val="left"/>
              <w:rPr>
                <w:rFonts w:eastAsiaTheme="minorHAnsi"/>
                <w:sz w:val="16"/>
                <w:szCs w:val="16"/>
                <w:lang w:eastAsia="en-US"/>
              </w:rPr>
            </w:pPr>
            <w:r w:rsidRPr="009B0266">
              <w:rPr>
                <w:rFonts w:eastAsiaTheme="minorHAnsi"/>
                <w:sz w:val="16"/>
                <w:szCs w:val="16"/>
                <w:lang w:eastAsia="en-US"/>
              </w:rPr>
              <w:t>Prechodné regióny iné ako tie, ktoré sú uvedené v predošlom odseku</w:t>
            </w:r>
          </w:p>
        </w:tc>
        <w:tc>
          <w:tcPr>
            <w:tcW w:w="3969" w:type="dxa"/>
            <w:tcBorders>
              <w:bottom w:val="single" w:sz="4" w:space="0" w:color="auto"/>
            </w:tcBorders>
            <w:shd w:val="clear" w:color="auto" w:fill="auto"/>
            <w:vAlign w:val="center"/>
          </w:tcPr>
          <w:p w:rsidR="009B0266" w:rsidRPr="009B0266" w:rsidRDefault="009B0266" w:rsidP="009B0266">
            <w:pPr>
              <w:spacing w:beforeLines="20" w:before="48" w:afterLines="20" w:after="48"/>
              <w:jc w:val="center"/>
              <w:rPr>
                <w:sz w:val="16"/>
                <w:szCs w:val="16"/>
                <w:lang w:eastAsia="en-US"/>
              </w:rPr>
            </w:pPr>
          </w:p>
        </w:tc>
      </w:tr>
      <w:tr w:rsidR="009B0266" w:rsidRPr="009B0266" w:rsidTr="009B0266">
        <w:tc>
          <w:tcPr>
            <w:tcW w:w="851" w:type="dxa"/>
            <w:tcBorders>
              <w:bottom w:val="single" w:sz="4" w:space="0" w:color="auto"/>
            </w:tcBorders>
          </w:tcPr>
          <w:p w:rsidR="009B0266" w:rsidRPr="009B0266" w:rsidRDefault="009B0266" w:rsidP="009B0266">
            <w:pPr>
              <w:spacing w:beforeLines="20" w:before="48" w:afterLines="20" w:after="48" w:line="276" w:lineRule="auto"/>
              <w:jc w:val="left"/>
              <w:rPr>
                <w:rFonts w:eastAsiaTheme="minorHAnsi"/>
                <w:sz w:val="16"/>
                <w:szCs w:val="16"/>
                <w:lang w:eastAsia="en-US"/>
              </w:rPr>
            </w:pPr>
            <w:r w:rsidRPr="009B0266">
              <w:rPr>
                <w:rFonts w:eastAsiaTheme="minorHAnsi"/>
                <w:sz w:val="16"/>
                <w:szCs w:val="16"/>
                <w:lang w:eastAsia="en-US"/>
              </w:rPr>
              <w:t>59(3)(d)</w:t>
            </w:r>
          </w:p>
        </w:tc>
        <w:tc>
          <w:tcPr>
            <w:tcW w:w="8363" w:type="dxa"/>
            <w:tcBorders>
              <w:bottom w:val="single" w:sz="4" w:space="0" w:color="auto"/>
              <w:tl2br w:val="nil"/>
              <w:tr2bl w:val="nil"/>
            </w:tcBorders>
            <w:shd w:val="clear" w:color="auto" w:fill="FFFFFF"/>
          </w:tcPr>
          <w:p w:rsidR="009B0266" w:rsidRPr="009B0266" w:rsidRDefault="009B0266" w:rsidP="009B0266">
            <w:pPr>
              <w:spacing w:beforeLines="20" w:before="48" w:afterLines="20" w:after="48" w:line="276" w:lineRule="auto"/>
              <w:jc w:val="left"/>
              <w:rPr>
                <w:rFonts w:eastAsiaTheme="minorHAnsi"/>
                <w:sz w:val="16"/>
                <w:szCs w:val="16"/>
                <w:lang w:eastAsia="en-US"/>
              </w:rPr>
            </w:pPr>
            <w:r w:rsidRPr="009B0266">
              <w:rPr>
                <w:rFonts w:eastAsiaTheme="minorHAnsi"/>
                <w:sz w:val="16"/>
                <w:szCs w:val="16"/>
                <w:lang w:eastAsia="en-US"/>
              </w:rPr>
              <w:t>Ostatné regióny</w:t>
            </w:r>
          </w:p>
        </w:tc>
        <w:tc>
          <w:tcPr>
            <w:tcW w:w="3969" w:type="dxa"/>
            <w:tcBorders>
              <w:bottom w:val="single" w:sz="4" w:space="0" w:color="auto"/>
            </w:tcBorders>
            <w:shd w:val="clear" w:color="auto" w:fill="auto"/>
            <w:vAlign w:val="center"/>
          </w:tcPr>
          <w:p w:rsidR="009B0266" w:rsidRPr="009B0266" w:rsidRDefault="009B0266" w:rsidP="009B0266">
            <w:pPr>
              <w:spacing w:beforeLines="20" w:before="48" w:afterLines="20" w:after="48"/>
              <w:jc w:val="center"/>
              <w:rPr>
                <w:sz w:val="16"/>
                <w:szCs w:val="16"/>
                <w:lang w:eastAsia="en-US"/>
              </w:rPr>
            </w:pPr>
            <w:r w:rsidRPr="009B0266">
              <w:rPr>
                <w:sz w:val="16"/>
                <w:szCs w:val="16"/>
                <w:lang w:eastAsia="en-US"/>
              </w:rPr>
              <w:t>53 %</w:t>
            </w:r>
          </w:p>
        </w:tc>
      </w:tr>
    </w:tbl>
    <w:p w:rsidR="009B0266" w:rsidRPr="009B0266" w:rsidRDefault="009B0266" w:rsidP="009B0266">
      <w:pPr>
        <w:keepNext/>
        <w:spacing w:before="240" w:after="120"/>
        <w:outlineLvl w:val="1"/>
        <w:rPr>
          <w:rFonts w:eastAsia="Calibri"/>
          <w:b/>
          <w:szCs w:val="22"/>
          <w:lang w:eastAsia="ja-JP"/>
        </w:rPr>
      </w:pPr>
      <w:bookmarkStart w:id="132" w:name="_Toc374976724"/>
      <w:r w:rsidRPr="009B0266">
        <w:rPr>
          <w:rFonts w:eastAsia="Calibri"/>
          <w:b/>
          <w:szCs w:val="22"/>
          <w:lang w:eastAsia="ja-JP"/>
        </w:rPr>
        <w:t>10.2.2. Rozčlenenie podľa opatrení a výnimiek miery spolufinancovania EPFRV - podľa typu operácie výnimiek miery spolufinancovania EPFRV – článok 59(4)</w:t>
      </w:r>
      <w:bookmarkEnd w:id="132"/>
    </w:p>
    <w:tbl>
      <w:tblPr>
        <w:tblW w:w="1318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1"/>
        <w:gridCol w:w="1559"/>
        <w:gridCol w:w="851"/>
        <w:gridCol w:w="4659"/>
        <w:gridCol w:w="1440"/>
        <w:gridCol w:w="1800"/>
        <w:gridCol w:w="2023"/>
      </w:tblGrid>
      <w:tr w:rsidR="009B0266" w:rsidRPr="009B0266" w:rsidTr="009B0266">
        <w:trPr>
          <w:tblHeader/>
        </w:trPr>
        <w:tc>
          <w:tcPr>
            <w:tcW w:w="7920" w:type="dxa"/>
            <w:gridSpan w:val="4"/>
            <w:tcBorders>
              <w:bottom w:val="single" w:sz="4" w:space="0" w:color="auto"/>
            </w:tcBorders>
            <w:shd w:val="clear" w:color="auto" w:fill="F2F2F2"/>
            <w:vAlign w:val="center"/>
          </w:tcPr>
          <w:p w:rsidR="009B0266" w:rsidRPr="009B0266" w:rsidRDefault="009B0266" w:rsidP="009B0266">
            <w:pPr>
              <w:spacing w:before="60" w:after="60"/>
              <w:jc w:val="center"/>
              <w:rPr>
                <w:rFonts w:eastAsiaTheme="minorHAnsi" w:cstheme="minorBidi"/>
                <w:sz w:val="16"/>
                <w:szCs w:val="16"/>
                <w:lang w:eastAsia="en-US"/>
              </w:rPr>
            </w:pPr>
            <w:r w:rsidRPr="009B0266">
              <w:rPr>
                <w:rFonts w:eastAsiaTheme="minorHAnsi"/>
                <w:sz w:val="16"/>
                <w:szCs w:val="16"/>
                <w:lang w:eastAsia="en-US"/>
              </w:rPr>
              <w:t>Článok, ktorým sa stanovuje maximálna miera príspevkov z EPFRV</w:t>
            </w:r>
          </w:p>
        </w:tc>
        <w:tc>
          <w:tcPr>
            <w:tcW w:w="1440" w:type="dxa"/>
            <w:tcBorders>
              <w:bottom w:val="single" w:sz="4" w:space="0" w:color="auto"/>
            </w:tcBorders>
            <w:shd w:val="clear" w:color="auto" w:fill="F2F2F2"/>
          </w:tcPr>
          <w:p w:rsidR="009B0266" w:rsidRPr="009B0266" w:rsidRDefault="009B0266" w:rsidP="009B0266">
            <w:pPr>
              <w:spacing w:before="60" w:after="60"/>
              <w:jc w:val="left"/>
              <w:rPr>
                <w:rFonts w:eastAsiaTheme="minorHAnsi" w:cstheme="minorBidi"/>
                <w:sz w:val="16"/>
                <w:szCs w:val="16"/>
                <w:lang w:eastAsia="en-US"/>
              </w:rPr>
            </w:pPr>
            <w:r w:rsidRPr="009B0266">
              <w:rPr>
                <w:rFonts w:eastAsiaTheme="minorHAnsi"/>
                <w:sz w:val="16"/>
                <w:szCs w:val="16"/>
                <w:lang w:eastAsia="en-US"/>
              </w:rPr>
              <w:t>Uplatnená miera príspevku z EPFRV 2014-2020 (v %)</w:t>
            </w:r>
          </w:p>
        </w:tc>
        <w:tc>
          <w:tcPr>
            <w:tcW w:w="1800" w:type="dxa"/>
            <w:tcBorders>
              <w:bottom w:val="single" w:sz="4" w:space="0" w:color="auto"/>
            </w:tcBorders>
            <w:shd w:val="clear" w:color="auto" w:fill="F2F2F2"/>
          </w:tcPr>
          <w:p w:rsidR="009B0266" w:rsidRPr="009B0266" w:rsidRDefault="009B0266" w:rsidP="009B0266">
            <w:pPr>
              <w:spacing w:before="60" w:after="60"/>
              <w:jc w:val="left"/>
              <w:rPr>
                <w:rFonts w:eastAsiaTheme="minorHAnsi" w:cstheme="minorBidi"/>
                <w:sz w:val="16"/>
                <w:szCs w:val="16"/>
                <w:lang w:eastAsia="en-US"/>
              </w:rPr>
            </w:pPr>
            <w:r w:rsidRPr="009B0266">
              <w:rPr>
                <w:rFonts w:eastAsiaTheme="minorHAnsi"/>
                <w:sz w:val="16"/>
                <w:szCs w:val="16"/>
                <w:lang w:eastAsia="en-US"/>
              </w:rPr>
              <w:t>Miera príspevku uplatnená pre finančný nástroj  zriadený na úrovni členského štátu 2014-2020 (v %)</w:t>
            </w:r>
          </w:p>
        </w:tc>
        <w:tc>
          <w:tcPr>
            <w:tcW w:w="2023" w:type="dxa"/>
            <w:tcBorders>
              <w:bottom w:val="single" w:sz="4" w:space="0" w:color="auto"/>
            </w:tcBorders>
            <w:shd w:val="clear" w:color="auto" w:fill="F2F2F2"/>
          </w:tcPr>
          <w:p w:rsidR="009B0266" w:rsidRPr="009B0266" w:rsidRDefault="009B0266" w:rsidP="009B0266">
            <w:pPr>
              <w:spacing w:before="60" w:after="60"/>
              <w:jc w:val="left"/>
              <w:rPr>
                <w:rFonts w:eastAsiaTheme="minorHAnsi" w:cstheme="minorBidi"/>
                <w:sz w:val="16"/>
                <w:szCs w:val="16"/>
                <w:lang w:eastAsia="en-US"/>
              </w:rPr>
            </w:pPr>
            <w:r w:rsidRPr="009B0266">
              <w:rPr>
                <w:rFonts w:eastAsiaTheme="minorHAnsi"/>
                <w:sz w:val="16"/>
                <w:szCs w:val="16"/>
                <w:lang w:eastAsia="en-US"/>
              </w:rPr>
              <w:t>Indikatívny plánovaný príspevok EPFRV pre finančný nástroj zriadený na úrovni členského štátu 2014-2020 (v EUR)</w:t>
            </w:r>
          </w:p>
        </w:tc>
      </w:tr>
      <w:tr w:rsidR="009B0266" w:rsidRPr="009B0266" w:rsidTr="009B0266">
        <w:trPr>
          <w:trHeight w:val="211"/>
        </w:trPr>
        <w:tc>
          <w:tcPr>
            <w:tcW w:w="851" w:type="dxa"/>
            <w:vMerge w:val="restart"/>
            <w:tcBorders>
              <w:right w:val="single" w:sz="4" w:space="0" w:color="auto"/>
            </w:tcBorders>
          </w:tcPr>
          <w:p w:rsidR="009B0266" w:rsidRPr="009B0266" w:rsidRDefault="009B0266" w:rsidP="009B0266">
            <w:pPr>
              <w:spacing w:beforeLines="20" w:before="48" w:afterLines="20" w:after="48"/>
              <w:jc w:val="left"/>
              <w:rPr>
                <w:sz w:val="16"/>
                <w:szCs w:val="16"/>
                <w:lang w:eastAsia="en-US"/>
              </w:rPr>
            </w:pPr>
            <w:r w:rsidRPr="009B0266">
              <w:rPr>
                <w:sz w:val="16"/>
                <w:szCs w:val="16"/>
                <w:lang w:eastAsia="en-US"/>
              </w:rPr>
              <w:t>59(3)(a)</w:t>
            </w:r>
          </w:p>
        </w:tc>
        <w:tc>
          <w:tcPr>
            <w:tcW w:w="1559" w:type="dxa"/>
            <w:vMerge w:val="restart"/>
            <w:tcBorders>
              <w:left w:val="single" w:sz="4" w:space="0" w:color="auto"/>
              <w:right w:val="single" w:sz="6" w:space="0" w:color="auto"/>
            </w:tcBorders>
          </w:tcPr>
          <w:p w:rsidR="009B0266" w:rsidRPr="009B0266" w:rsidRDefault="009B0266" w:rsidP="009B0266">
            <w:pPr>
              <w:spacing w:beforeLines="20" w:before="48" w:afterLines="20" w:after="48"/>
              <w:jc w:val="left"/>
              <w:rPr>
                <w:sz w:val="16"/>
                <w:szCs w:val="16"/>
                <w:lang w:eastAsia="en-US"/>
              </w:rPr>
            </w:pPr>
            <w:r w:rsidRPr="009B0266">
              <w:rPr>
                <w:sz w:val="16"/>
                <w:szCs w:val="16"/>
              </w:rPr>
              <w:t>Menej rozvinuté regióny, najvzdialenejšie regióny a menšie ostrovy v Egejskom mori v zmysle nariadenia (EHS) č. 2019/93</w:t>
            </w:r>
          </w:p>
        </w:tc>
        <w:tc>
          <w:tcPr>
            <w:tcW w:w="5510" w:type="dxa"/>
            <w:gridSpan w:val="2"/>
            <w:tcBorders>
              <w:left w:val="single" w:sz="6" w:space="0" w:color="auto"/>
              <w:right w:val="single" w:sz="6" w:space="0" w:color="auto"/>
            </w:tcBorders>
          </w:tcPr>
          <w:p w:rsidR="009B0266" w:rsidRPr="009B0266" w:rsidRDefault="009B0266" w:rsidP="009B0266">
            <w:pPr>
              <w:spacing w:beforeLines="20" w:before="48" w:afterLines="20" w:after="48"/>
              <w:jc w:val="center"/>
              <w:rPr>
                <w:sz w:val="16"/>
                <w:szCs w:val="16"/>
                <w:lang w:eastAsia="en-US"/>
              </w:rPr>
            </w:pPr>
            <w:r w:rsidRPr="009B0266">
              <w:rPr>
                <w:sz w:val="16"/>
                <w:szCs w:val="16"/>
                <w:lang w:eastAsia="en-US"/>
              </w:rPr>
              <w:t>bez výnimiek</w:t>
            </w:r>
          </w:p>
        </w:tc>
        <w:tc>
          <w:tcPr>
            <w:tcW w:w="1440" w:type="dxa"/>
            <w:tcBorders>
              <w:left w:val="single" w:sz="6" w:space="0" w:color="auto"/>
              <w:bottom w:val="single" w:sz="6" w:space="0" w:color="auto"/>
              <w:right w:val="single" w:sz="6" w:space="0" w:color="auto"/>
            </w:tcBorders>
            <w:shd w:val="clear" w:color="auto" w:fill="E5B8B7"/>
          </w:tcPr>
          <w:p w:rsidR="009B0266" w:rsidRPr="009B0266" w:rsidRDefault="009B0266" w:rsidP="009B0266">
            <w:pPr>
              <w:spacing w:beforeLines="20" w:before="48" w:afterLines="20" w:after="48"/>
              <w:jc w:val="center"/>
              <w:rPr>
                <w:sz w:val="16"/>
                <w:szCs w:val="16"/>
                <w:lang w:eastAsia="en-US"/>
              </w:rPr>
            </w:pPr>
          </w:p>
        </w:tc>
        <w:tc>
          <w:tcPr>
            <w:tcW w:w="1800" w:type="dxa"/>
            <w:tcBorders>
              <w:left w:val="single" w:sz="6" w:space="0" w:color="auto"/>
              <w:right w:val="single" w:sz="6" w:space="0" w:color="auto"/>
            </w:tcBorders>
          </w:tcPr>
          <w:p w:rsidR="009B0266" w:rsidRPr="009B0266" w:rsidRDefault="009B0266" w:rsidP="009B0266">
            <w:pPr>
              <w:spacing w:beforeLines="20" w:before="48" w:afterLines="20" w:after="48"/>
              <w:jc w:val="center"/>
              <w:rPr>
                <w:sz w:val="16"/>
                <w:szCs w:val="16"/>
                <w:lang w:eastAsia="en-US"/>
              </w:rPr>
            </w:pPr>
          </w:p>
        </w:tc>
        <w:tc>
          <w:tcPr>
            <w:tcW w:w="2023" w:type="dxa"/>
            <w:tcBorders>
              <w:left w:val="single" w:sz="6" w:space="0" w:color="auto"/>
              <w:right w:val="single" w:sz="6" w:space="0" w:color="auto"/>
            </w:tcBorders>
          </w:tcPr>
          <w:p w:rsidR="009B0266" w:rsidRPr="009B0266" w:rsidRDefault="009B0266" w:rsidP="009B0266">
            <w:pPr>
              <w:spacing w:beforeLines="20" w:before="48" w:afterLines="20" w:after="48"/>
              <w:jc w:val="center"/>
              <w:rPr>
                <w:sz w:val="16"/>
                <w:szCs w:val="16"/>
                <w:lang w:eastAsia="en-US"/>
              </w:rPr>
            </w:pPr>
          </w:p>
        </w:tc>
      </w:tr>
      <w:tr w:rsidR="009B0266" w:rsidRPr="009B0266" w:rsidTr="009B0266">
        <w:trPr>
          <w:trHeight w:val="210"/>
        </w:trPr>
        <w:tc>
          <w:tcPr>
            <w:tcW w:w="851" w:type="dxa"/>
            <w:vMerge/>
            <w:tcBorders>
              <w:right w:val="single" w:sz="4" w:space="0" w:color="auto"/>
            </w:tcBorders>
          </w:tcPr>
          <w:p w:rsidR="009B0266" w:rsidRPr="009B0266" w:rsidRDefault="009B0266" w:rsidP="009B0266">
            <w:pPr>
              <w:spacing w:beforeLines="20" w:before="48" w:afterLines="20" w:after="48"/>
              <w:jc w:val="left"/>
              <w:rPr>
                <w:sz w:val="16"/>
                <w:szCs w:val="16"/>
                <w:lang w:eastAsia="en-US"/>
              </w:rPr>
            </w:pPr>
          </w:p>
        </w:tc>
        <w:tc>
          <w:tcPr>
            <w:tcW w:w="1559" w:type="dxa"/>
            <w:vMerge/>
            <w:tcBorders>
              <w:left w:val="single" w:sz="4" w:space="0" w:color="auto"/>
              <w:right w:val="single" w:sz="6" w:space="0" w:color="auto"/>
            </w:tcBorders>
          </w:tcPr>
          <w:p w:rsidR="009B0266" w:rsidRPr="009B0266" w:rsidRDefault="009B0266" w:rsidP="009B0266">
            <w:pPr>
              <w:spacing w:beforeLines="20" w:before="48" w:afterLines="20" w:after="48"/>
              <w:jc w:val="left"/>
              <w:rPr>
                <w:sz w:val="16"/>
                <w:szCs w:val="16"/>
                <w:lang w:eastAsia="en-US"/>
              </w:rPr>
            </w:pPr>
          </w:p>
        </w:tc>
        <w:tc>
          <w:tcPr>
            <w:tcW w:w="851" w:type="dxa"/>
            <w:tcBorders>
              <w:left w:val="single" w:sz="6" w:space="0" w:color="auto"/>
              <w:right w:val="single" w:sz="6" w:space="0" w:color="auto"/>
            </w:tcBorders>
          </w:tcPr>
          <w:p w:rsidR="009B0266" w:rsidRPr="009B0266" w:rsidRDefault="009B0266" w:rsidP="009B0266">
            <w:pPr>
              <w:spacing w:beforeLines="20" w:before="48" w:afterLines="20" w:after="48"/>
              <w:jc w:val="left"/>
              <w:rPr>
                <w:sz w:val="16"/>
                <w:szCs w:val="16"/>
                <w:lang w:eastAsia="en-US"/>
              </w:rPr>
            </w:pPr>
            <w:r w:rsidRPr="009B0266">
              <w:rPr>
                <w:sz w:val="16"/>
                <w:szCs w:val="16"/>
                <w:lang w:eastAsia="en-US"/>
              </w:rPr>
              <w:t>59(4)(a)</w:t>
            </w:r>
          </w:p>
        </w:tc>
        <w:tc>
          <w:tcPr>
            <w:tcW w:w="4659" w:type="dxa"/>
            <w:tcBorders>
              <w:left w:val="single" w:sz="6" w:space="0" w:color="auto"/>
              <w:bottom w:val="single" w:sz="6" w:space="0" w:color="auto"/>
              <w:right w:val="single" w:sz="6" w:space="0" w:color="auto"/>
            </w:tcBorders>
          </w:tcPr>
          <w:p w:rsidR="009B0266" w:rsidRPr="009B0266" w:rsidRDefault="009B0266" w:rsidP="009B0266">
            <w:pPr>
              <w:spacing w:beforeLines="20" w:before="48" w:afterLines="20" w:after="48"/>
              <w:jc w:val="left"/>
              <w:rPr>
                <w:sz w:val="16"/>
                <w:szCs w:val="16"/>
                <w:lang w:eastAsia="en-US"/>
              </w:rPr>
            </w:pPr>
            <w:r w:rsidRPr="009B0266">
              <w:rPr>
                <w:sz w:val="16"/>
                <w:szCs w:val="16"/>
                <w:lang w:eastAsia="en-US"/>
              </w:rPr>
              <w:t xml:space="preserve">Operácie pre  opatrenia uvedené v článkoch 14, 27 a 35, na miestny rozvoj v rámci iniciatívy LEADER uvedený v článku 32 nariadenia (EÚ) č. [CSF/2012] a na operácie uvedené v článku 19 ods. 1 písm. a) bode i). </w:t>
            </w:r>
          </w:p>
        </w:tc>
        <w:tc>
          <w:tcPr>
            <w:tcW w:w="1440" w:type="dxa"/>
            <w:tcBorders>
              <w:left w:val="single" w:sz="6" w:space="0" w:color="auto"/>
              <w:bottom w:val="single" w:sz="6" w:space="0" w:color="auto"/>
              <w:right w:val="single" w:sz="6" w:space="0" w:color="auto"/>
            </w:tcBorders>
          </w:tcPr>
          <w:p w:rsidR="009B0266" w:rsidRPr="009B0266" w:rsidRDefault="009B0266" w:rsidP="009B0266">
            <w:pPr>
              <w:spacing w:beforeLines="20" w:before="48" w:afterLines="20" w:after="48"/>
              <w:jc w:val="center"/>
              <w:rPr>
                <w:sz w:val="16"/>
                <w:szCs w:val="16"/>
                <w:lang w:eastAsia="en-US"/>
              </w:rPr>
            </w:pPr>
          </w:p>
        </w:tc>
        <w:tc>
          <w:tcPr>
            <w:tcW w:w="1800" w:type="dxa"/>
            <w:tcBorders>
              <w:left w:val="single" w:sz="6" w:space="0" w:color="auto"/>
              <w:bottom w:val="single" w:sz="6" w:space="0" w:color="auto"/>
              <w:right w:val="single" w:sz="6" w:space="0" w:color="auto"/>
            </w:tcBorders>
          </w:tcPr>
          <w:p w:rsidR="009B0266" w:rsidRPr="009B0266" w:rsidRDefault="009B0266" w:rsidP="009B0266">
            <w:pPr>
              <w:spacing w:beforeLines="20" w:before="48" w:afterLines="20" w:after="48"/>
              <w:jc w:val="center"/>
              <w:rPr>
                <w:sz w:val="16"/>
                <w:szCs w:val="16"/>
                <w:lang w:eastAsia="en-US"/>
              </w:rPr>
            </w:pPr>
          </w:p>
        </w:tc>
        <w:tc>
          <w:tcPr>
            <w:tcW w:w="2023" w:type="dxa"/>
            <w:tcBorders>
              <w:left w:val="single" w:sz="6" w:space="0" w:color="auto"/>
              <w:bottom w:val="single" w:sz="6" w:space="0" w:color="auto"/>
              <w:right w:val="single" w:sz="6" w:space="0" w:color="auto"/>
            </w:tcBorders>
          </w:tcPr>
          <w:p w:rsidR="009B0266" w:rsidRPr="009B0266" w:rsidRDefault="009B0266" w:rsidP="009B0266">
            <w:pPr>
              <w:spacing w:beforeLines="20" w:before="48" w:afterLines="20" w:after="48"/>
              <w:jc w:val="center"/>
              <w:rPr>
                <w:sz w:val="16"/>
                <w:szCs w:val="16"/>
                <w:lang w:eastAsia="en-US"/>
              </w:rPr>
            </w:pPr>
          </w:p>
        </w:tc>
      </w:tr>
      <w:tr w:rsidR="009B0266" w:rsidRPr="009B0266" w:rsidTr="009B0266">
        <w:trPr>
          <w:trHeight w:val="210"/>
        </w:trPr>
        <w:tc>
          <w:tcPr>
            <w:tcW w:w="851" w:type="dxa"/>
            <w:vMerge/>
            <w:tcBorders>
              <w:right w:val="single" w:sz="4" w:space="0" w:color="auto"/>
            </w:tcBorders>
          </w:tcPr>
          <w:p w:rsidR="009B0266" w:rsidRPr="009B0266" w:rsidRDefault="009B0266" w:rsidP="009B0266">
            <w:pPr>
              <w:spacing w:beforeLines="20" w:before="48" w:afterLines="20" w:after="48"/>
              <w:jc w:val="left"/>
              <w:rPr>
                <w:sz w:val="16"/>
                <w:szCs w:val="16"/>
                <w:lang w:eastAsia="en-US"/>
              </w:rPr>
            </w:pPr>
          </w:p>
        </w:tc>
        <w:tc>
          <w:tcPr>
            <w:tcW w:w="1559" w:type="dxa"/>
            <w:vMerge/>
            <w:tcBorders>
              <w:left w:val="single" w:sz="4" w:space="0" w:color="auto"/>
              <w:right w:val="single" w:sz="6" w:space="0" w:color="auto"/>
            </w:tcBorders>
          </w:tcPr>
          <w:p w:rsidR="009B0266" w:rsidRPr="009B0266" w:rsidRDefault="009B0266" w:rsidP="009B0266">
            <w:pPr>
              <w:spacing w:beforeLines="20" w:before="48" w:afterLines="20" w:after="48"/>
              <w:jc w:val="left"/>
              <w:rPr>
                <w:sz w:val="16"/>
                <w:szCs w:val="16"/>
                <w:lang w:eastAsia="en-US"/>
              </w:rPr>
            </w:pPr>
          </w:p>
        </w:tc>
        <w:tc>
          <w:tcPr>
            <w:tcW w:w="851" w:type="dxa"/>
            <w:tcBorders>
              <w:left w:val="single" w:sz="6" w:space="0" w:color="auto"/>
              <w:bottom w:val="single" w:sz="6" w:space="0" w:color="auto"/>
              <w:right w:val="single" w:sz="6" w:space="0" w:color="auto"/>
            </w:tcBorders>
          </w:tcPr>
          <w:p w:rsidR="009B0266" w:rsidRPr="009B0266" w:rsidRDefault="009B0266" w:rsidP="009B0266">
            <w:pPr>
              <w:spacing w:beforeLines="20" w:before="48" w:afterLines="20" w:after="48"/>
              <w:jc w:val="left"/>
              <w:rPr>
                <w:sz w:val="16"/>
                <w:szCs w:val="16"/>
                <w:lang w:eastAsia="en-US"/>
              </w:rPr>
            </w:pPr>
            <w:r w:rsidRPr="009B0266">
              <w:rPr>
                <w:sz w:val="16"/>
                <w:szCs w:val="16"/>
                <w:lang w:eastAsia="en-US"/>
              </w:rPr>
              <w:t>59(4)(b)</w:t>
            </w:r>
          </w:p>
        </w:tc>
        <w:tc>
          <w:tcPr>
            <w:tcW w:w="4659" w:type="dxa"/>
            <w:tcBorders>
              <w:left w:val="single" w:sz="6" w:space="0" w:color="auto"/>
              <w:bottom w:val="single" w:sz="6" w:space="0" w:color="auto"/>
              <w:right w:val="single" w:sz="6" w:space="0" w:color="auto"/>
            </w:tcBorders>
          </w:tcPr>
          <w:p w:rsidR="009B0266" w:rsidRPr="009B0266" w:rsidRDefault="009B0266" w:rsidP="009B0266">
            <w:pPr>
              <w:spacing w:beforeLines="20" w:before="48" w:afterLines="20" w:after="48"/>
              <w:jc w:val="left"/>
              <w:rPr>
                <w:sz w:val="16"/>
                <w:szCs w:val="16"/>
                <w:lang w:eastAsia="en-US"/>
              </w:rPr>
            </w:pPr>
            <w:r w:rsidRPr="009B0266">
              <w:rPr>
                <w:sz w:val="16"/>
                <w:szCs w:val="16"/>
                <w:lang w:eastAsia="en-US"/>
              </w:rPr>
              <w:t>Operácie, ktoré prispievajú k cieľom v oblasti životného prostredia a zmierňovania zmeny klímy a adaptácie na ňu podľa článkov  17, 21 ods. 1 písm. a) a b), 28, 29,30, 31 a 34.</w:t>
            </w:r>
          </w:p>
        </w:tc>
        <w:tc>
          <w:tcPr>
            <w:tcW w:w="1440" w:type="dxa"/>
            <w:tcBorders>
              <w:left w:val="single" w:sz="6" w:space="0" w:color="auto"/>
              <w:bottom w:val="single" w:sz="6" w:space="0" w:color="auto"/>
              <w:right w:val="single" w:sz="6" w:space="0" w:color="auto"/>
            </w:tcBorders>
          </w:tcPr>
          <w:p w:rsidR="009B0266" w:rsidRPr="009B0266" w:rsidRDefault="009B0266" w:rsidP="009B0266">
            <w:pPr>
              <w:spacing w:beforeLines="20" w:before="48" w:afterLines="20" w:after="48"/>
              <w:jc w:val="center"/>
              <w:rPr>
                <w:sz w:val="16"/>
                <w:szCs w:val="16"/>
                <w:lang w:eastAsia="en-US"/>
              </w:rPr>
            </w:pPr>
          </w:p>
        </w:tc>
        <w:tc>
          <w:tcPr>
            <w:tcW w:w="1800" w:type="dxa"/>
            <w:tcBorders>
              <w:left w:val="single" w:sz="6" w:space="0" w:color="auto"/>
              <w:bottom w:val="single" w:sz="4" w:space="0" w:color="auto"/>
              <w:right w:val="single" w:sz="6" w:space="0" w:color="auto"/>
            </w:tcBorders>
          </w:tcPr>
          <w:p w:rsidR="009B0266" w:rsidRPr="009B0266" w:rsidRDefault="009B0266" w:rsidP="009B0266">
            <w:pPr>
              <w:spacing w:beforeLines="20" w:before="48" w:afterLines="20" w:after="48"/>
              <w:jc w:val="center"/>
              <w:rPr>
                <w:sz w:val="16"/>
                <w:szCs w:val="16"/>
                <w:lang w:eastAsia="en-US"/>
              </w:rPr>
            </w:pPr>
          </w:p>
        </w:tc>
        <w:tc>
          <w:tcPr>
            <w:tcW w:w="2023" w:type="dxa"/>
            <w:tcBorders>
              <w:left w:val="single" w:sz="6" w:space="0" w:color="auto"/>
              <w:bottom w:val="single" w:sz="4" w:space="0" w:color="auto"/>
              <w:right w:val="single" w:sz="6" w:space="0" w:color="auto"/>
            </w:tcBorders>
          </w:tcPr>
          <w:p w:rsidR="009B0266" w:rsidRPr="009B0266" w:rsidRDefault="009B0266" w:rsidP="009B0266">
            <w:pPr>
              <w:spacing w:beforeLines="20" w:before="48" w:afterLines="20" w:after="48"/>
              <w:jc w:val="center"/>
              <w:rPr>
                <w:sz w:val="16"/>
                <w:szCs w:val="16"/>
                <w:lang w:eastAsia="en-US"/>
              </w:rPr>
            </w:pPr>
          </w:p>
        </w:tc>
      </w:tr>
      <w:tr w:rsidR="009B0266" w:rsidRPr="009B0266" w:rsidTr="009B0266">
        <w:trPr>
          <w:trHeight w:val="210"/>
        </w:trPr>
        <w:tc>
          <w:tcPr>
            <w:tcW w:w="851" w:type="dxa"/>
            <w:vMerge/>
            <w:tcBorders>
              <w:right w:val="single" w:sz="4" w:space="0" w:color="auto"/>
            </w:tcBorders>
          </w:tcPr>
          <w:p w:rsidR="009B0266" w:rsidRPr="009B0266" w:rsidRDefault="009B0266" w:rsidP="009B0266">
            <w:pPr>
              <w:spacing w:beforeLines="20" w:before="48" w:afterLines="20" w:after="48"/>
              <w:jc w:val="left"/>
              <w:rPr>
                <w:sz w:val="16"/>
                <w:szCs w:val="16"/>
                <w:lang w:eastAsia="en-US"/>
              </w:rPr>
            </w:pPr>
          </w:p>
        </w:tc>
        <w:tc>
          <w:tcPr>
            <w:tcW w:w="1559" w:type="dxa"/>
            <w:vMerge/>
            <w:tcBorders>
              <w:left w:val="single" w:sz="4" w:space="0" w:color="auto"/>
              <w:right w:val="single" w:sz="6" w:space="0" w:color="auto"/>
            </w:tcBorders>
          </w:tcPr>
          <w:p w:rsidR="009B0266" w:rsidRPr="009B0266" w:rsidRDefault="009B0266" w:rsidP="009B0266">
            <w:pPr>
              <w:spacing w:beforeLines="20" w:before="48" w:afterLines="20" w:after="48"/>
              <w:jc w:val="left"/>
              <w:rPr>
                <w:sz w:val="16"/>
                <w:szCs w:val="16"/>
                <w:lang w:eastAsia="en-US"/>
              </w:rPr>
            </w:pPr>
          </w:p>
        </w:tc>
        <w:tc>
          <w:tcPr>
            <w:tcW w:w="851" w:type="dxa"/>
            <w:tcBorders>
              <w:left w:val="single" w:sz="6" w:space="0" w:color="auto"/>
              <w:bottom w:val="single" w:sz="6" w:space="0" w:color="auto"/>
              <w:right w:val="single" w:sz="6" w:space="0" w:color="auto"/>
            </w:tcBorders>
          </w:tcPr>
          <w:p w:rsidR="009B0266" w:rsidRPr="009B0266" w:rsidRDefault="009B0266" w:rsidP="009B0266">
            <w:pPr>
              <w:spacing w:beforeLines="20" w:before="48" w:afterLines="20" w:after="48"/>
              <w:jc w:val="left"/>
              <w:rPr>
                <w:sz w:val="16"/>
                <w:szCs w:val="16"/>
                <w:lang w:eastAsia="en-US"/>
              </w:rPr>
            </w:pPr>
            <w:r w:rsidRPr="009B0266">
              <w:rPr>
                <w:sz w:val="16"/>
                <w:szCs w:val="16"/>
                <w:lang w:eastAsia="en-US"/>
              </w:rPr>
              <w:t>59(4)(c)</w:t>
            </w:r>
          </w:p>
        </w:tc>
        <w:tc>
          <w:tcPr>
            <w:tcW w:w="4659" w:type="dxa"/>
            <w:tcBorders>
              <w:left w:val="single" w:sz="6" w:space="0" w:color="auto"/>
              <w:bottom w:val="single" w:sz="6" w:space="0" w:color="auto"/>
              <w:right w:val="single" w:sz="6" w:space="0" w:color="auto"/>
            </w:tcBorders>
          </w:tcPr>
          <w:p w:rsidR="009B0266" w:rsidRPr="009B0266" w:rsidRDefault="009B0266" w:rsidP="009B0266">
            <w:pPr>
              <w:spacing w:beforeLines="20" w:before="48" w:afterLines="20" w:after="48"/>
              <w:jc w:val="left"/>
              <w:rPr>
                <w:sz w:val="16"/>
                <w:szCs w:val="16"/>
                <w:lang w:eastAsia="en-US"/>
              </w:rPr>
            </w:pPr>
            <w:r w:rsidRPr="009B0266">
              <w:rPr>
                <w:sz w:val="16"/>
                <w:szCs w:val="16"/>
                <w:lang w:eastAsia="en-US"/>
              </w:rPr>
              <w:t>Finančné nástroje na úrovni EÚ uvedené v článku  38 ods. 1 písm. a) nariadenia [CPR/2013]</w:t>
            </w:r>
          </w:p>
        </w:tc>
        <w:tc>
          <w:tcPr>
            <w:tcW w:w="1440" w:type="dxa"/>
            <w:tcBorders>
              <w:left w:val="single" w:sz="6" w:space="0" w:color="auto"/>
              <w:bottom w:val="single" w:sz="6" w:space="0" w:color="auto"/>
              <w:right w:val="single" w:sz="4" w:space="0" w:color="auto"/>
            </w:tcBorders>
          </w:tcPr>
          <w:p w:rsidR="009B0266" w:rsidRPr="009B0266" w:rsidRDefault="009B0266" w:rsidP="009B0266">
            <w:pPr>
              <w:spacing w:beforeLines="20" w:before="48" w:afterLines="20" w:after="48"/>
              <w:jc w:val="center"/>
              <w:rPr>
                <w:sz w:val="16"/>
                <w:szCs w:val="16"/>
                <w:lang w:eastAsia="en-US"/>
              </w:rPr>
            </w:pPr>
          </w:p>
        </w:tc>
        <w:tc>
          <w:tcPr>
            <w:tcW w:w="1800" w:type="dxa"/>
            <w:tcBorders>
              <w:top w:val="single" w:sz="4" w:space="0" w:color="auto"/>
              <w:left w:val="single" w:sz="4" w:space="0" w:color="auto"/>
              <w:bottom w:val="single" w:sz="4" w:space="0" w:color="auto"/>
              <w:right w:val="single" w:sz="4" w:space="0" w:color="auto"/>
            </w:tcBorders>
            <w:shd w:val="clear" w:color="auto" w:fill="E5B8B7"/>
          </w:tcPr>
          <w:p w:rsidR="009B0266" w:rsidRPr="009B0266" w:rsidRDefault="009B0266" w:rsidP="009B0266">
            <w:pPr>
              <w:spacing w:beforeLines="20" w:before="48" w:afterLines="20" w:after="48"/>
              <w:jc w:val="center"/>
              <w:rPr>
                <w:sz w:val="16"/>
                <w:szCs w:val="16"/>
                <w:lang w:eastAsia="en-US"/>
              </w:rPr>
            </w:pPr>
          </w:p>
        </w:tc>
        <w:tc>
          <w:tcPr>
            <w:tcW w:w="2023" w:type="dxa"/>
            <w:tcBorders>
              <w:top w:val="single" w:sz="4" w:space="0" w:color="auto"/>
              <w:left w:val="single" w:sz="4" w:space="0" w:color="auto"/>
              <w:bottom w:val="single" w:sz="4" w:space="0" w:color="auto"/>
              <w:right w:val="single" w:sz="4" w:space="0" w:color="auto"/>
            </w:tcBorders>
            <w:shd w:val="clear" w:color="auto" w:fill="E5B8B7"/>
          </w:tcPr>
          <w:p w:rsidR="009B0266" w:rsidRPr="009B0266" w:rsidRDefault="009B0266" w:rsidP="009B0266">
            <w:pPr>
              <w:spacing w:beforeLines="20" w:before="48" w:afterLines="20" w:after="48"/>
              <w:jc w:val="center"/>
              <w:rPr>
                <w:sz w:val="16"/>
                <w:szCs w:val="16"/>
                <w:lang w:eastAsia="en-US"/>
              </w:rPr>
            </w:pPr>
          </w:p>
        </w:tc>
      </w:tr>
      <w:tr w:rsidR="009B0266" w:rsidRPr="009B0266" w:rsidTr="009B0266">
        <w:trPr>
          <w:trHeight w:val="210"/>
        </w:trPr>
        <w:tc>
          <w:tcPr>
            <w:tcW w:w="851" w:type="dxa"/>
            <w:vMerge/>
            <w:tcBorders>
              <w:right w:val="single" w:sz="4" w:space="0" w:color="auto"/>
            </w:tcBorders>
          </w:tcPr>
          <w:p w:rsidR="009B0266" w:rsidRPr="009B0266" w:rsidRDefault="009B0266" w:rsidP="009B0266">
            <w:pPr>
              <w:spacing w:beforeLines="20" w:before="48" w:afterLines="20" w:after="48"/>
              <w:jc w:val="left"/>
              <w:rPr>
                <w:sz w:val="16"/>
                <w:szCs w:val="16"/>
                <w:lang w:eastAsia="en-US"/>
              </w:rPr>
            </w:pPr>
          </w:p>
        </w:tc>
        <w:tc>
          <w:tcPr>
            <w:tcW w:w="1559" w:type="dxa"/>
            <w:vMerge/>
            <w:tcBorders>
              <w:left w:val="single" w:sz="4" w:space="0" w:color="auto"/>
              <w:right w:val="single" w:sz="6" w:space="0" w:color="auto"/>
            </w:tcBorders>
          </w:tcPr>
          <w:p w:rsidR="009B0266" w:rsidRPr="009B0266" w:rsidRDefault="009B0266" w:rsidP="009B0266">
            <w:pPr>
              <w:spacing w:beforeLines="20" w:before="48" w:afterLines="20" w:after="48"/>
              <w:jc w:val="left"/>
              <w:rPr>
                <w:sz w:val="16"/>
                <w:szCs w:val="16"/>
                <w:lang w:eastAsia="en-US"/>
              </w:rPr>
            </w:pPr>
          </w:p>
        </w:tc>
        <w:tc>
          <w:tcPr>
            <w:tcW w:w="851" w:type="dxa"/>
            <w:tcBorders>
              <w:left w:val="single" w:sz="6" w:space="0" w:color="auto"/>
              <w:bottom w:val="single" w:sz="6" w:space="0" w:color="auto"/>
              <w:right w:val="single" w:sz="6" w:space="0" w:color="auto"/>
            </w:tcBorders>
          </w:tcPr>
          <w:p w:rsidR="009B0266" w:rsidRPr="009B0266" w:rsidRDefault="009B0266" w:rsidP="009B0266">
            <w:pPr>
              <w:spacing w:beforeLines="20" w:before="48" w:afterLines="20" w:after="48"/>
              <w:jc w:val="left"/>
              <w:rPr>
                <w:sz w:val="16"/>
                <w:szCs w:val="16"/>
                <w:lang w:eastAsia="en-US"/>
              </w:rPr>
            </w:pPr>
            <w:r w:rsidRPr="009B0266">
              <w:rPr>
                <w:sz w:val="16"/>
                <w:szCs w:val="16"/>
                <w:lang w:eastAsia="en-US"/>
              </w:rPr>
              <w:t>59(4)(b)</w:t>
            </w:r>
          </w:p>
        </w:tc>
        <w:tc>
          <w:tcPr>
            <w:tcW w:w="4659" w:type="dxa"/>
            <w:tcBorders>
              <w:left w:val="single" w:sz="6" w:space="0" w:color="auto"/>
              <w:bottom w:val="single" w:sz="6" w:space="0" w:color="auto"/>
              <w:right w:val="single" w:sz="6" w:space="0" w:color="auto"/>
            </w:tcBorders>
          </w:tcPr>
          <w:p w:rsidR="009B0266" w:rsidRPr="009B0266" w:rsidRDefault="009B0266" w:rsidP="009B0266">
            <w:pPr>
              <w:spacing w:beforeLines="20" w:before="48" w:afterLines="20" w:after="48"/>
              <w:jc w:val="left"/>
              <w:rPr>
                <w:sz w:val="16"/>
                <w:szCs w:val="16"/>
                <w:lang w:eastAsia="en-US"/>
              </w:rPr>
            </w:pPr>
            <w:r w:rsidRPr="009B0266">
              <w:rPr>
                <w:sz w:val="16"/>
                <w:szCs w:val="16"/>
                <w:lang w:eastAsia="en-US"/>
              </w:rPr>
              <w:t>Finančné prostriedky  prenesené do EPFRV pri uplatnení článku 7 ods. 2 a článku 14 ods. 1 nariadenia (EÚ) č. DP/2012</w:t>
            </w:r>
          </w:p>
        </w:tc>
        <w:tc>
          <w:tcPr>
            <w:tcW w:w="1440" w:type="dxa"/>
            <w:tcBorders>
              <w:left w:val="single" w:sz="6" w:space="0" w:color="auto"/>
              <w:bottom w:val="single" w:sz="6" w:space="0" w:color="auto"/>
              <w:right w:val="single" w:sz="6" w:space="0" w:color="auto"/>
            </w:tcBorders>
          </w:tcPr>
          <w:p w:rsidR="009B0266" w:rsidRPr="009B0266" w:rsidRDefault="009B0266" w:rsidP="009B0266">
            <w:pPr>
              <w:spacing w:beforeLines="20" w:before="48" w:afterLines="20" w:after="48"/>
              <w:jc w:val="center"/>
              <w:rPr>
                <w:sz w:val="16"/>
                <w:szCs w:val="16"/>
                <w:lang w:eastAsia="en-US"/>
              </w:rPr>
            </w:pPr>
          </w:p>
        </w:tc>
        <w:tc>
          <w:tcPr>
            <w:tcW w:w="1800" w:type="dxa"/>
            <w:tcBorders>
              <w:top w:val="single" w:sz="4" w:space="0" w:color="auto"/>
              <w:left w:val="single" w:sz="6" w:space="0" w:color="auto"/>
              <w:bottom w:val="single" w:sz="6" w:space="0" w:color="auto"/>
              <w:right w:val="single" w:sz="6" w:space="0" w:color="auto"/>
            </w:tcBorders>
          </w:tcPr>
          <w:p w:rsidR="009B0266" w:rsidRPr="009B0266" w:rsidRDefault="009B0266" w:rsidP="009B0266">
            <w:pPr>
              <w:spacing w:beforeLines="20" w:before="48" w:afterLines="20" w:after="48"/>
              <w:jc w:val="center"/>
              <w:rPr>
                <w:sz w:val="16"/>
                <w:szCs w:val="16"/>
                <w:lang w:eastAsia="en-US"/>
              </w:rPr>
            </w:pPr>
          </w:p>
        </w:tc>
        <w:tc>
          <w:tcPr>
            <w:tcW w:w="2023" w:type="dxa"/>
            <w:tcBorders>
              <w:top w:val="single" w:sz="4" w:space="0" w:color="auto"/>
              <w:left w:val="single" w:sz="6" w:space="0" w:color="auto"/>
              <w:bottom w:val="single" w:sz="6" w:space="0" w:color="auto"/>
              <w:right w:val="single" w:sz="6" w:space="0" w:color="auto"/>
            </w:tcBorders>
          </w:tcPr>
          <w:p w:rsidR="009B0266" w:rsidRPr="009B0266" w:rsidRDefault="009B0266" w:rsidP="009B0266">
            <w:pPr>
              <w:spacing w:beforeLines="20" w:before="48" w:afterLines="20" w:after="48"/>
              <w:jc w:val="center"/>
              <w:rPr>
                <w:sz w:val="16"/>
                <w:szCs w:val="16"/>
                <w:lang w:eastAsia="en-US"/>
              </w:rPr>
            </w:pPr>
          </w:p>
        </w:tc>
      </w:tr>
      <w:tr w:rsidR="009B0266" w:rsidRPr="009B0266" w:rsidTr="009B0266">
        <w:trPr>
          <w:trHeight w:val="210"/>
        </w:trPr>
        <w:tc>
          <w:tcPr>
            <w:tcW w:w="851" w:type="dxa"/>
            <w:vMerge/>
            <w:tcBorders>
              <w:right w:val="single" w:sz="4" w:space="0" w:color="auto"/>
            </w:tcBorders>
          </w:tcPr>
          <w:p w:rsidR="009B0266" w:rsidRPr="009B0266" w:rsidRDefault="009B0266" w:rsidP="009B0266">
            <w:pPr>
              <w:spacing w:beforeLines="20" w:before="48" w:afterLines="20" w:after="48"/>
              <w:jc w:val="left"/>
              <w:rPr>
                <w:sz w:val="16"/>
                <w:szCs w:val="16"/>
                <w:lang w:eastAsia="en-US"/>
              </w:rPr>
            </w:pPr>
          </w:p>
        </w:tc>
        <w:tc>
          <w:tcPr>
            <w:tcW w:w="1559" w:type="dxa"/>
            <w:vMerge/>
            <w:tcBorders>
              <w:left w:val="single" w:sz="4" w:space="0" w:color="auto"/>
              <w:right w:val="single" w:sz="6" w:space="0" w:color="auto"/>
            </w:tcBorders>
          </w:tcPr>
          <w:p w:rsidR="009B0266" w:rsidRPr="009B0266" w:rsidRDefault="009B0266" w:rsidP="009B0266">
            <w:pPr>
              <w:spacing w:beforeLines="20" w:before="48" w:afterLines="20" w:after="48"/>
              <w:jc w:val="left"/>
              <w:rPr>
                <w:sz w:val="16"/>
                <w:szCs w:val="16"/>
                <w:lang w:eastAsia="en-US"/>
              </w:rPr>
            </w:pPr>
          </w:p>
        </w:tc>
        <w:tc>
          <w:tcPr>
            <w:tcW w:w="851" w:type="dxa"/>
            <w:tcBorders>
              <w:left w:val="single" w:sz="6" w:space="0" w:color="auto"/>
              <w:bottom w:val="single" w:sz="6" w:space="0" w:color="auto"/>
              <w:right w:val="single" w:sz="6" w:space="0" w:color="auto"/>
            </w:tcBorders>
          </w:tcPr>
          <w:p w:rsidR="009B0266" w:rsidRPr="009B0266" w:rsidRDefault="009B0266" w:rsidP="009B0266">
            <w:pPr>
              <w:spacing w:beforeLines="20" w:before="48" w:afterLines="20" w:after="48"/>
              <w:jc w:val="left"/>
              <w:rPr>
                <w:sz w:val="16"/>
                <w:szCs w:val="16"/>
                <w:lang w:eastAsia="en-US"/>
              </w:rPr>
            </w:pPr>
            <w:r w:rsidRPr="009B0266">
              <w:rPr>
                <w:sz w:val="16"/>
                <w:szCs w:val="16"/>
                <w:lang w:eastAsia="en-US"/>
              </w:rPr>
              <w:t>59(4)(ba)</w:t>
            </w:r>
          </w:p>
        </w:tc>
        <w:tc>
          <w:tcPr>
            <w:tcW w:w="4659" w:type="dxa"/>
            <w:tcBorders>
              <w:left w:val="single" w:sz="6" w:space="0" w:color="auto"/>
              <w:bottom w:val="single" w:sz="6" w:space="0" w:color="auto"/>
              <w:right w:val="single" w:sz="6" w:space="0" w:color="auto"/>
            </w:tcBorders>
          </w:tcPr>
          <w:p w:rsidR="009B0266" w:rsidRPr="009B0266" w:rsidRDefault="009B0266" w:rsidP="009B0266">
            <w:pPr>
              <w:spacing w:beforeLines="20" w:before="48" w:afterLines="20" w:after="48"/>
              <w:jc w:val="left"/>
              <w:rPr>
                <w:sz w:val="16"/>
                <w:szCs w:val="16"/>
                <w:lang w:eastAsia="en-US"/>
              </w:rPr>
            </w:pPr>
            <w:r w:rsidRPr="009B0266">
              <w:rPr>
                <w:sz w:val="16"/>
                <w:szCs w:val="16"/>
                <w:lang w:eastAsia="en-US"/>
              </w:rPr>
              <w:t>Členské štáty, ktoré dostávajú finančnú pomoc v súlade s článkom 136 a článkom 143 ZFEÚ, dodatočné zdroje.</w:t>
            </w:r>
          </w:p>
        </w:tc>
        <w:tc>
          <w:tcPr>
            <w:tcW w:w="1440" w:type="dxa"/>
            <w:tcBorders>
              <w:left w:val="single" w:sz="6" w:space="0" w:color="auto"/>
              <w:bottom w:val="single" w:sz="6" w:space="0" w:color="auto"/>
              <w:right w:val="single" w:sz="6" w:space="0" w:color="auto"/>
            </w:tcBorders>
          </w:tcPr>
          <w:p w:rsidR="009B0266" w:rsidRPr="009B0266" w:rsidRDefault="009B0266" w:rsidP="009B0266">
            <w:pPr>
              <w:spacing w:beforeLines="20" w:before="48" w:afterLines="20" w:after="48"/>
              <w:jc w:val="center"/>
              <w:rPr>
                <w:sz w:val="16"/>
                <w:szCs w:val="16"/>
                <w:lang w:eastAsia="en-US"/>
              </w:rPr>
            </w:pPr>
          </w:p>
        </w:tc>
        <w:tc>
          <w:tcPr>
            <w:tcW w:w="1800" w:type="dxa"/>
            <w:tcBorders>
              <w:left w:val="single" w:sz="6" w:space="0" w:color="auto"/>
              <w:bottom w:val="single" w:sz="6" w:space="0" w:color="auto"/>
              <w:right w:val="single" w:sz="6" w:space="0" w:color="auto"/>
            </w:tcBorders>
          </w:tcPr>
          <w:p w:rsidR="009B0266" w:rsidRPr="009B0266" w:rsidRDefault="009B0266" w:rsidP="009B0266">
            <w:pPr>
              <w:spacing w:beforeLines="20" w:before="48" w:afterLines="20" w:after="48"/>
              <w:jc w:val="center"/>
              <w:rPr>
                <w:sz w:val="16"/>
                <w:szCs w:val="16"/>
                <w:lang w:eastAsia="en-US"/>
              </w:rPr>
            </w:pPr>
          </w:p>
        </w:tc>
        <w:tc>
          <w:tcPr>
            <w:tcW w:w="2023" w:type="dxa"/>
            <w:tcBorders>
              <w:left w:val="single" w:sz="6" w:space="0" w:color="auto"/>
              <w:bottom w:val="single" w:sz="6" w:space="0" w:color="auto"/>
              <w:right w:val="single" w:sz="6" w:space="0" w:color="auto"/>
            </w:tcBorders>
          </w:tcPr>
          <w:p w:rsidR="009B0266" w:rsidRPr="009B0266" w:rsidRDefault="009B0266" w:rsidP="009B0266">
            <w:pPr>
              <w:spacing w:beforeLines="20" w:before="48" w:afterLines="20" w:after="48"/>
              <w:jc w:val="center"/>
              <w:rPr>
                <w:sz w:val="16"/>
                <w:szCs w:val="16"/>
                <w:lang w:eastAsia="en-US"/>
              </w:rPr>
            </w:pPr>
          </w:p>
        </w:tc>
      </w:tr>
      <w:tr w:rsidR="009B0266" w:rsidRPr="009B0266" w:rsidTr="009B0266">
        <w:trPr>
          <w:trHeight w:val="210"/>
        </w:trPr>
        <w:tc>
          <w:tcPr>
            <w:tcW w:w="851" w:type="dxa"/>
            <w:vMerge/>
            <w:tcBorders>
              <w:right w:val="single" w:sz="4" w:space="0" w:color="auto"/>
            </w:tcBorders>
          </w:tcPr>
          <w:p w:rsidR="009B0266" w:rsidRPr="009B0266" w:rsidRDefault="009B0266" w:rsidP="009B0266">
            <w:pPr>
              <w:spacing w:beforeLines="20" w:before="48" w:afterLines="20" w:after="48"/>
              <w:jc w:val="left"/>
              <w:rPr>
                <w:sz w:val="16"/>
                <w:szCs w:val="16"/>
                <w:lang w:eastAsia="en-US"/>
              </w:rPr>
            </w:pPr>
          </w:p>
        </w:tc>
        <w:tc>
          <w:tcPr>
            <w:tcW w:w="1559" w:type="dxa"/>
            <w:vMerge/>
            <w:tcBorders>
              <w:left w:val="single" w:sz="4" w:space="0" w:color="auto"/>
              <w:right w:val="single" w:sz="6" w:space="0" w:color="auto"/>
            </w:tcBorders>
          </w:tcPr>
          <w:p w:rsidR="009B0266" w:rsidRPr="009B0266" w:rsidRDefault="009B0266" w:rsidP="009B0266">
            <w:pPr>
              <w:spacing w:beforeLines="20" w:before="48" w:afterLines="20" w:after="48"/>
              <w:jc w:val="left"/>
              <w:rPr>
                <w:sz w:val="16"/>
                <w:szCs w:val="16"/>
                <w:lang w:eastAsia="en-US"/>
              </w:rPr>
            </w:pPr>
          </w:p>
        </w:tc>
        <w:tc>
          <w:tcPr>
            <w:tcW w:w="851" w:type="dxa"/>
            <w:tcBorders>
              <w:left w:val="single" w:sz="6" w:space="0" w:color="auto"/>
              <w:bottom w:val="single" w:sz="6" w:space="0" w:color="auto"/>
              <w:right w:val="single" w:sz="6" w:space="0" w:color="auto"/>
            </w:tcBorders>
          </w:tcPr>
          <w:p w:rsidR="009B0266" w:rsidRPr="009B0266" w:rsidRDefault="009B0266" w:rsidP="009B0266">
            <w:pPr>
              <w:spacing w:beforeLines="20" w:before="48" w:afterLines="20" w:after="48"/>
              <w:jc w:val="left"/>
              <w:rPr>
                <w:sz w:val="16"/>
                <w:szCs w:val="16"/>
                <w:lang w:eastAsia="en-US"/>
              </w:rPr>
            </w:pPr>
            <w:r w:rsidRPr="009B0266">
              <w:rPr>
                <w:sz w:val="16"/>
                <w:szCs w:val="16"/>
                <w:lang w:eastAsia="en-US"/>
              </w:rPr>
              <w:t>73/2009</w:t>
            </w:r>
          </w:p>
        </w:tc>
        <w:tc>
          <w:tcPr>
            <w:tcW w:w="4659" w:type="dxa"/>
            <w:tcBorders>
              <w:left w:val="single" w:sz="6" w:space="0" w:color="auto"/>
              <w:bottom w:val="single" w:sz="6" w:space="0" w:color="auto"/>
              <w:right w:val="single" w:sz="6" w:space="0" w:color="auto"/>
            </w:tcBorders>
          </w:tcPr>
          <w:p w:rsidR="009B0266" w:rsidRPr="009B0266" w:rsidRDefault="009B0266" w:rsidP="009B0266">
            <w:pPr>
              <w:spacing w:beforeLines="20" w:before="48" w:afterLines="20" w:after="48"/>
              <w:jc w:val="left"/>
              <w:rPr>
                <w:sz w:val="16"/>
                <w:szCs w:val="16"/>
                <w:lang w:eastAsia="en-US"/>
              </w:rPr>
            </w:pPr>
            <w:r w:rsidRPr="009B0266">
              <w:rPr>
                <w:sz w:val="16"/>
                <w:szCs w:val="16"/>
                <w:lang w:eastAsia="en-US"/>
              </w:rPr>
              <w:t>Dobrovoľne presuny</w:t>
            </w:r>
          </w:p>
        </w:tc>
        <w:tc>
          <w:tcPr>
            <w:tcW w:w="1440" w:type="dxa"/>
            <w:tcBorders>
              <w:left w:val="single" w:sz="6" w:space="0" w:color="auto"/>
              <w:bottom w:val="single" w:sz="6" w:space="0" w:color="auto"/>
              <w:right w:val="single" w:sz="6" w:space="0" w:color="auto"/>
            </w:tcBorders>
          </w:tcPr>
          <w:p w:rsidR="009B0266" w:rsidRPr="009B0266" w:rsidRDefault="009B0266" w:rsidP="009B0266">
            <w:pPr>
              <w:spacing w:beforeLines="20" w:before="48" w:afterLines="20" w:after="48"/>
              <w:jc w:val="center"/>
              <w:rPr>
                <w:sz w:val="16"/>
                <w:szCs w:val="16"/>
                <w:lang w:eastAsia="en-US"/>
              </w:rPr>
            </w:pPr>
          </w:p>
        </w:tc>
        <w:tc>
          <w:tcPr>
            <w:tcW w:w="1800" w:type="dxa"/>
            <w:tcBorders>
              <w:left w:val="single" w:sz="6" w:space="0" w:color="auto"/>
              <w:bottom w:val="single" w:sz="6" w:space="0" w:color="auto"/>
              <w:right w:val="single" w:sz="6" w:space="0" w:color="auto"/>
            </w:tcBorders>
          </w:tcPr>
          <w:p w:rsidR="009B0266" w:rsidRPr="009B0266" w:rsidRDefault="009B0266" w:rsidP="009B0266">
            <w:pPr>
              <w:spacing w:beforeLines="20" w:before="48" w:afterLines="20" w:after="48"/>
              <w:jc w:val="center"/>
              <w:rPr>
                <w:sz w:val="16"/>
                <w:szCs w:val="16"/>
                <w:lang w:eastAsia="en-US"/>
              </w:rPr>
            </w:pPr>
          </w:p>
        </w:tc>
        <w:tc>
          <w:tcPr>
            <w:tcW w:w="2023" w:type="dxa"/>
            <w:tcBorders>
              <w:left w:val="single" w:sz="6" w:space="0" w:color="auto"/>
              <w:bottom w:val="single" w:sz="6" w:space="0" w:color="auto"/>
              <w:right w:val="single" w:sz="6" w:space="0" w:color="auto"/>
            </w:tcBorders>
          </w:tcPr>
          <w:p w:rsidR="009B0266" w:rsidRPr="009B0266" w:rsidRDefault="009B0266" w:rsidP="009B0266">
            <w:pPr>
              <w:spacing w:beforeLines="20" w:before="48" w:afterLines="20" w:after="48"/>
              <w:jc w:val="center"/>
              <w:rPr>
                <w:sz w:val="16"/>
                <w:szCs w:val="16"/>
                <w:lang w:eastAsia="en-US"/>
              </w:rPr>
            </w:pPr>
          </w:p>
        </w:tc>
      </w:tr>
      <w:tr w:rsidR="009B0266" w:rsidRPr="009B0266" w:rsidTr="009B0266">
        <w:trPr>
          <w:trHeight w:val="210"/>
        </w:trPr>
        <w:tc>
          <w:tcPr>
            <w:tcW w:w="851" w:type="dxa"/>
            <w:vMerge/>
            <w:tcBorders>
              <w:right w:val="single" w:sz="4" w:space="0" w:color="auto"/>
            </w:tcBorders>
          </w:tcPr>
          <w:p w:rsidR="009B0266" w:rsidRPr="009B0266" w:rsidRDefault="009B0266" w:rsidP="009B0266">
            <w:pPr>
              <w:spacing w:beforeLines="20" w:before="48" w:afterLines="20" w:after="48"/>
              <w:jc w:val="left"/>
              <w:rPr>
                <w:sz w:val="16"/>
                <w:szCs w:val="16"/>
                <w:lang w:eastAsia="en-US"/>
              </w:rPr>
            </w:pPr>
          </w:p>
        </w:tc>
        <w:tc>
          <w:tcPr>
            <w:tcW w:w="1559" w:type="dxa"/>
            <w:vMerge/>
            <w:tcBorders>
              <w:left w:val="single" w:sz="4" w:space="0" w:color="auto"/>
              <w:bottom w:val="single" w:sz="6" w:space="0" w:color="auto"/>
              <w:right w:val="single" w:sz="6" w:space="0" w:color="auto"/>
            </w:tcBorders>
          </w:tcPr>
          <w:p w:rsidR="009B0266" w:rsidRPr="009B0266" w:rsidRDefault="009B0266" w:rsidP="009B0266">
            <w:pPr>
              <w:spacing w:beforeLines="20" w:before="48" w:afterLines="20" w:after="48"/>
              <w:jc w:val="left"/>
              <w:rPr>
                <w:sz w:val="16"/>
                <w:szCs w:val="16"/>
                <w:lang w:eastAsia="en-US"/>
              </w:rPr>
            </w:pPr>
          </w:p>
        </w:tc>
        <w:tc>
          <w:tcPr>
            <w:tcW w:w="851" w:type="dxa"/>
            <w:tcBorders>
              <w:left w:val="single" w:sz="6" w:space="0" w:color="auto"/>
              <w:bottom w:val="single" w:sz="6" w:space="0" w:color="auto"/>
              <w:right w:val="single" w:sz="6" w:space="0" w:color="auto"/>
            </w:tcBorders>
          </w:tcPr>
          <w:p w:rsidR="009B0266" w:rsidRPr="009B0266" w:rsidRDefault="009B0266" w:rsidP="009B0266">
            <w:pPr>
              <w:spacing w:beforeLines="20" w:before="48" w:afterLines="20" w:after="48"/>
              <w:jc w:val="left"/>
              <w:rPr>
                <w:sz w:val="16"/>
                <w:szCs w:val="16"/>
                <w:lang w:eastAsia="en-US"/>
              </w:rPr>
            </w:pPr>
            <w:r w:rsidRPr="009B0266">
              <w:rPr>
                <w:sz w:val="16"/>
                <w:szCs w:val="16"/>
                <w:lang w:eastAsia="en-US"/>
              </w:rPr>
              <w:t>51 (3)</w:t>
            </w:r>
          </w:p>
        </w:tc>
        <w:tc>
          <w:tcPr>
            <w:tcW w:w="4659" w:type="dxa"/>
            <w:tcBorders>
              <w:left w:val="single" w:sz="6" w:space="0" w:color="auto"/>
              <w:bottom w:val="single" w:sz="6" w:space="0" w:color="auto"/>
              <w:right w:val="single" w:sz="6" w:space="0" w:color="auto"/>
            </w:tcBorders>
          </w:tcPr>
          <w:p w:rsidR="009B0266" w:rsidRPr="009B0266" w:rsidRDefault="009B0266" w:rsidP="009B0266">
            <w:pPr>
              <w:spacing w:beforeLines="20" w:before="48" w:afterLines="20" w:after="48"/>
              <w:jc w:val="left"/>
              <w:rPr>
                <w:sz w:val="16"/>
                <w:szCs w:val="16"/>
                <w:lang w:eastAsia="en-US"/>
              </w:rPr>
            </w:pPr>
            <w:r w:rsidRPr="009B0266">
              <w:rPr>
                <w:sz w:val="16"/>
                <w:szCs w:val="16"/>
                <w:lang w:eastAsia="en-US"/>
              </w:rPr>
              <w:t>Technická pomoc</w:t>
            </w:r>
          </w:p>
        </w:tc>
        <w:tc>
          <w:tcPr>
            <w:tcW w:w="1440" w:type="dxa"/>
            <w:tcBorders>
              <w:left w:val="single" w:sz="6" w:space="0" w:color="auto"/>
              <w:bottom w:val="single" w:sz="6" w:space="0" w:color="auto"/>
              <w:right w:val="single" w:sz="6" w:space="0" w:color="auto"/>
            </w:tcBorders>
          </w:tcPr>
          <w:p w:rsidR="009B0266" w:rsidRPr="009B0266" w:rsidRDefault="009B0266" w:rsidP="009B0266">
            <w:pPr>
              <w:spacing w:beforeLines="20" w:before="48" w:afterLines="20" w:after="48"/>
              <w:jc w:val="center"/>
              <w:rPr>
                <w:sz w:val="16"/>
                <w:szCs w:val="16"/>
                <w:lang w:eastAsia="en-US"/>
              </w:rPr>
            </w:pPr>
            <w:r w:rsidRPr="009B0266">
              <w:rPr>
                <w:sz w:val="16"/>
                <w:szCs w:val="16"/>
                <w:lang w:eastAsia="en-US"/>
              </w:rPr>
              <w:t>75 %</w:t>
            </w:r>
          </w:p>
        </w:tc>
        <w:tc>
          <w:tcPr>
            <w:tcW w:w="1800" w:type="dxa"/>
            <w:tcBorders>
              <w:top w:val="single" w:sz="6" w:space="0" w:color="auto"/>
              <w:left w:val="single" w:sz="6" w:space="0" w:color="auto"/>
              <w:bottom w:val="single" w:sz="6" w:space="0" w:color="auto"/>
              <w:right w:val="single" w:sz="6" w:space="0" w:color="auto"/>
            </w:tcBorders>
            <w:shd w:val="clear" w:color="auto" w:fill="E5B8B7"/>
          </w:tcPr>
          <w:p w:rsidR="009B0266" w:rsidRPr="009B0266" w:rsidRDefault="009B0266" w:rsidP="009B0266">
            <w:pPr>
              <w:spacing w:beforeLines="20" w:before="48" w:afterLines="20" w:after="48"/>
              <w:jc w:val="center"/>
              <w:rPr>
                <w:sz w:val="16"/>
                <w:szCs w:val="16"/>
                <w:lang w:eastAsia="en-US"/>
              </w:rPr>
            </w:pPr>
          </w:p>
        </w:tc>
        <w:tc>
          <w:tcPr>
            <w:tcW w:w="2023" w:type="dxa"/>
            <w:tcBorders>
              <w:top w:val="single" w:sz="6" w:space="0" w:color="auto"/>
              <w:left w:val="single" w:sz="6" w:space="0" w:color="auto"/>
              <w:bottom w:val="single" w:sz="6" w:space="0" w:color="auto"/>
              <w:right w:val="single" w:sz="6" w:space="0" w:color="auto"/>
            </w:tcBorders>
            <w:shd w:val="clear" w:color="auto" w:fill="E5B8B7"/>
          </w:tcPr>
          <w:p w:rsidR="009B0266" w:rsidRPr="009B0266" w:rsidRDefault="009B0266" w:rsidP="009B0266">
            <w:pPr>
              <w:spacing w:beforeLines="20" w:before="48" w:afterLines="20" w:after="48"/>
              <w:jc w:val="center"/>
              <w:rPr>
                <w:sz w:val="16"/>
                <w:szCs w:val="16"/>
                <w:lang w:eastAsia="en-US"/>
              </w:rPr>
            </w:pPr>
          </w:p>
        </w:tc>
      </w:tr>
    </w:tbl>
    <w:p w:rsidR="009B0266" w:rsidRPr="009B0266" w:rsidRDefault="009B0266" w:rsidP="009B0266">
      <w:pPr>
        <w:keepNext/>
        <w:keepLines/>
        <w:spacing w:line="276" w:lineRule="auto"/>
        <w:jc w:val="left"/>
        <w:outlineLvl w:val="2"/>
        <w:rPr>
          <w:rFonts w:asciiTheme="majorHAnsi" w:eastAsiaTheme="majorEastAsia" w:hAnsiTheme="majorHAnsi" w:cstheme="majorBidi"/>
          <w:b/>
          <w:bCs/>
          <w:color w:val="4F81BD" w:themeColor="accent1"/>
          <w:szCs w:val="22"/>
          <w:lang w:eastAsia="en-US"/>
        </w:rPr>
      </w:pPr>
    </w:p>
    <w:p w:rsidR="009B0266" w:rsidRPr="009B0266" w:rsidRDefault="009B0266" w:rsidP="009B0266">
      <w:pPr>
        <w:keepNext/>
        <w:spacing w:after="240"/>
        <w:outlineLvl w:val="1"/>
        <w:rPr>
          <w:rFonts w:eastAsia="Calibri"/>
          <w:b/>
          <w:szCs w:val="22"/>
          <w:lang w:eastAsia="ja-JP"/>
        </w:rPr>
      </w:pPr>
      <w:r w:rsidRPr="009B0266">
        <w:rPr>
          <w:rFonts w:eastAsia="Calibri"/>
          <w:b/>
          <w:szCs w:val="22"/>
          <w:lang w:eastAsia="ja-JP"/>
        </w:rPr>
        <w:t>10.2.3. Celkový príspevok EPFRV na opatrenie a indikatívne rozčlenenie podľa fokusových oblastí (v EUR)</w:t>
      </w:r>
    </w:p>
    <w:tbl>
      <w:tblPr>
        <w:tblW w:w="1275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00"/>
        <w:gridCol w:w="5339"/>
        <w:gridCol w:w="2977"/>
        <w:gridCol w:w="142"/>
      </w:tblGrid>
      <w:tr w:rsidR="009B0266" w:rsidRPr="00961CB3" w:rsidTr="00A55745">
        <w:tc>
          <w:tcPr>
            <w:tcW w:w="4300" w:type="dxa"/>
            <w:tcBorders>
              <w:bottom w:val="single" w:sz="4" w:space="0" w:color="auto"/>
            </w:tcBorders>
            <w:shd w:val="clear" w:color="auto" w:fill="F2F2F2"/>
            <w:vAlign w:val="center"/>
          </w:tcPr>
          <w:p w:rsidR="009B0266" w:rsidRPr="00961CB3" w:rsidRDefault="009B0266" w:rsidP="009B0266">
            <w:pPr>
              <w:tabs>
                <w:tab w:val="left" w:pos="1185"/>
              </w:tabs>
              <w:spacing w:beforeLines="20" w:before="48" w:afterLines="20" w:after="48"/>
              <w:jc w:val="center"/>
              <w:rPr>
                <w:b/>
                <w:sz w:val="16"/>
                <w:szCs w:val="16"/>
                <w:lang w:eastAsia="en-US"/>
              </w:rPr>
            </w:pPr>
            <w:r w:rsidRPr="00961CB3">
              <w:rPr>
                <w:b/>
                <w:sz w:val="16"/>
                <w:szCs w:val="16"/>
                <w:lang w:eastAsia="en-US"/>
              </w:rPr>
              <w:t>Miera príspevku EPFRV</w:t>
            </w:r>
          </w:p>
        </w:tc>
        <w:tc>
          <w:tcPr>
            <w:tcW w:w="5339" w:type="dxa"/>
            <w:tcBorders>
              <w:bottom w:val="single" w:sz="4" w:space="0" w:color="auto"/>
            </w:tcBorders>
            <w:shd w:val="clear" w:color="auto" w:fill="F2F2F2"/>
            <w:vAlign w:val="center"/>
          </w:tcPr>
          <w:p w:rsidR="009B0266" w:rsidRPr="00961CB3" w:rsidRDefault="009B0266" w:rsidP="009B0266">
            <w:pPr>
              <w:tabs>
                <w:tab w:val="left" w:pos="1185"/>
              </w:tabs>
              <w:spacing w:beforeLines="20" w:before="48" w:afterLines="20" w:after="48"/>
              <w:jc w:val="center"/>
              <w:rPr>
                <w:b/>
                <w:sz w:val="16"/>
                <w:szCs w:val="16"/>
                <w:lang w:eastAsia="en-US"/>
              </w:rPr>
            </w:pPr>
            <w:r w:rsidRPr="00961CB3">
              <w:rPr>
                <w:b/>
                <w:sz w:val="16"/>
                <w:szCs w:val="16"/>
                <w:lang w:eastAsia="en-US"/>
              </w:rPr>
              <w:t>Fokusová oblasť</w:t>
            </w:r>
          </w:p>
        </w:tc>
        <w:tc>
          <w:tcPr>
            <w:tcW w:w="3119" w:type="dxa"/>
            <w:gridSpan w:val="2"/>
            <w:tcBorders>
              <w:bottom w:val="single" w:sz="4" w:space="0" w:color="auto"/>
            </w:tcBorders>
            <w:shd w:val="clear" w:color="auto" w:fill="F2F2F2"/>
            <w:vAlign w:val="center"/>
          </w:tcPr>
          <w:p w:rsidR="009B0266" w:rsidRPr="00961CB3" w:rsidRDefault="009B0266" w:rsidP="009B0266">
            <w:pPr>
              <w:tabs>
                <w:tab w:val="left" w:pos="1185"/>
              </w:tabs>
              <w:spacing w:beforeLines="20" w:before="48" w:afterLines="20" w:after="48"/>
              <w:jc w:val="center"/>
              <w:rPr>
                <w:b/>
                <w:sz w:val="16"/>
                <w:szCs w:val="16"/>
                <w:lang w:eastAsia="en-US"/>
              </w:rPr>
            </w:pPr>
            <w:r w:rsidRPr="00961CB3">
              <w:rPr>
                <w:b/>
                <w:sz w:val="16"/>
                <w:szCs w:val="16"/>
                <w:lang w:eastAsia="en-US"/>
              </w:rPr>
              <w:t>Celkový príspevok EPFRV</w:t>
            </w:r>
          </w:p>
        </w:tc>
      </w:tr>
      <w:tr w:rsidR="009B0266" w:rsidRPr="00961CB3" w:rsidTr="004F2B59">
        <w:trPr>
          <w:gridAfter w:val="1"/>
          <w:wAfter w:w="142" w:type="dxa"/>
        </w:trPr>
        <w:tc>
          <w:tcPr>
            <w:tcW w:w="4300" w:type="dxa"/>
            <w:tcBorders>
              <w:bottom w:val="single" w:sz="4" w:space="0" w:color="auto"/>
            </w:tcBorders>
            <w:shd w:val="clear" w:color="auto" w:fill="auto"/>
            <w:vAlign w:val="center"/>
          </w:tcPr>
          <w:p w:rsidR="009B0266" w:rsidRPr="00961CB3" w:rsidRDefault="009B0266" w:rsidP="009B0266">
            <w:pPr>
              <w:spacing w:beforeLines="20" w:before="48" w:afterLines="20" w:after="48"/>
              <w:jc w:val="center"/>
              <w:rPr>
                <w:sz w:val="16"/>
                <w:szCs w:val="16"/>
                <w:lang w:eastAsia="en-US"/>
              </w:rPr>
            </w:pPr>
            <w:r w:rsidRPr="00961CB3">
              <w:rPr>
                <w:sz w:val="16"/>
                <w:szCs w:val="16"/>
                <w:lang w:eastAsia="en-US"/>
              </w:rPr>
              <w:t>59(3)(a) – bez výnimiek</w:t>
            </w:r>
          </w:p>
        </w:tc>
        <w:tc>
          <w:tcPr>
            <w:tcW w:w="5339" w:type="dxa"/>
            <w:tcBorders>
              <w:bottom w:val="single" w:sz="4" w:space="0" w:color="auto"/>
            </w:tcBorders>
            <w:shd w:val="clear" w:color="auto" w:fill="auto"/>
            <w:vAlign w:val="center"/>
          </w:tcPr>
          <w:p w:rsidR="009B0266" w:rsidRPr="00961CB3" w:rsidRDefault="009B0266" w:rsidP="009B0266">
            <w:pPr>
              <w:spacing w:beforeLines="20" w:before="48" w:afterLines="20" w:after="48"/>
              <w:jc w:val="center"/>
              <w:rPr>
                <w:sz w:val="16"/>
                <w:szCs w:val="16"/>
                <w:lang w:eastAsia="en-US"/>
              </w:rPr>
            </w:pPr>
            <w:r w:rsidRPr="00961CB3">
              <w:rPr>
                <w:sz w:val="16"/>
                <w:szCs w:val="16"/>
                <w:lang w:eastAsia="en-US"/>
              </w:rPr>
              <w:t>2A</w:t>
            </w:r>
          </w:p>
        </w:tc>
        <w:tc>
          <w:tcPr>
            <w:tcW w:w="2977" w:type="dxa"/>
            <w:tcBorders>
              <w:bottom w:val="single" w:sz="4" w:space="0" w:color="auto"/>
            </w:tcBorders>
            <w:shd w:val="clear" w:color="auto" w:fill="auto"/>
            <w:vAlign w:val="bottom"/>
          </w:tcPr>
          <w:p w:rsidR="009B0266" w:rsidRPr="00961CB3" w:rsidRDefault="009B0266" w:rsidP="004F2B59">
            <w:pPr>
              <w:tabs>
                <w:tab w:val="left" w:pos="1877"/>
                <w:tab w:val="left" w:pos="2019"/>
              </w:tabs>
              <w:ind w:right="742"/>
              <w:jc w:val="right"/>
              <w:rPr>
                <w:rFonts w:eastAsiaTheme="minorHAnsi"/>
                <w:sz w:val="16"/>
                <w:szCs w:val="16"/>
                <w:lang w:eastAsia="en-US"/>
              </w:rPr>
            </w:pPr>
            <w:r w:rsidRPr="00961CB3">
              <w:rPr>
                <w:rFonts w:eastAsiaTheme="minorHAnsi"/>
                <w:sz w:val="16"/>
                <w:szCs w:val="16"/>
                <w:lang w:eastAsia="en-US"/>
              </w:rPr>
              <w:t>2 136 488,55</w:t>
            </w:r>
          </w:p>
        </w:tc>
      </w:tr>
      <w:tr w:rsidR="009B0266" w:rsidRPr="00961CB3" w:rsidTr="004F2B59">
        <w:trPr>
          <w:gridAfter w:val="1"/>
          <w:wAfter w:w="142" w:type="dxa"/>
        </w:trPr>
        <w:tc>
          <w:tcPr>
            <w:tcW w:w="4300" w:type="dxa"/>
            <w:tcBorders>
              <w:bottom w:val="single" w:sz="4" w:space="0" w:color="auto"/>
            </w:tcBorders>
            <w:shd w:val="clear" w:color="auto" w:fill="auto"/>
            <w:vAlign w:val="center"/>
          </w:tcPr>
          <w:p w:rsidR="009B0266" w:rsidRPr="00961CB3" w:rsidRDefault="009B0266" w:rsidP="009B0266">
            <w:pPr>
              <w:spacing w:beforeLines="20" w:before="48" w:afterLines="20" w:after="48"/>
              <w:jc w:val="center"/>
              <w:rPr>
                <w:sz w:val="16"/>
                <w:szCs w:val="16"/>
                <w:lang w:eastAsia="en-US"/>
              </w:rPr>
            </w:pPr>
            <w:r w:rsidRPr="00961CB3">
              <w:rPr>
                <w:sz w:val="16"/>
                <w:szCs w:val="16"/>
                <w:lang w:eastAsia="en-US"/>
              </w:rPr>
              <w:t>59(3)(a) – bez výnimiek</w:t>
            </w:r>
          </w:p>
        </w:tc>
        <w:tc>
          <w:tcPr>
            <w:tcW w:w="5339" w:type="dxa"/>
            <w:tcBorders>
              <w:bottom w:val="single" w:sz="4" w:space="0" w:color="auto"/>
            </w:tcBorders>
            <w:shd w:val="clear" w:color="auto" w:fill="auto"/>
            <w:vAlign w:val="center"/>
          </w:tcPr>
          <w:p w:rsidR="009B0266" w:rsidRPr="00961CB3" w:rsidRDefault="009B0266" w:rsidP="009B0266">
            <w:pPr>
              <w:spacing w:beforeLines="20" w:before="48" w:afterLines="20" w:after="48"/>
              <w:jc w:val="center"/>
              <w:rPr>
                <w:sz w:val="16"/>
                <w:szCs w:val="16"/>
                <w:lang w:eastAsia="en-US"/>
              </w:rPr>
            </w:pPr>
            <w:r w:rsidRPr="00961CB3">
              <w:rPr>
                <w:sz w:val="16"/>
                <w:szCs w:val="16"/>
                <w:lang w:eastAsia="en-US"/>
              </w:rPr>
              <w:t>2B</w:t>
            </w:r>
          </w:p>
        </w:tc>
        <w:tc>
          <w:tcPr>
            <w:tcW w:w="2977" w:type="dxa"/>
            <w:tcBorders>
              <w:bottom w:val="single" w:sz="4" w:space="0" w:color="auto"/>
            </w:tcBorders>
            <w:shd w:val="clear" w:color="auto" w:fill="auto"/>
            <w:vAlign w:val="bottom"/>
          </w:tcPr>
          <w:p w:rsidR="009B0266" w:rsidRPr="00961CB3" w:rsidRDefault="009B0266" w:rsidP="004F2B59">
            <w:pPr>
              <w:tabs>
                <w:tab w:val="left" w:pos="2019"/>
              </w:tabs>
              <w:ind w:right="742"/>
              <w:jc w:val="right"/>
              <w:rPr>
                <w:rFonts w:eastAsiaTheme="minorHAnsi"/>
                <w:sz w:val="16"/>
                <w:szCs w:val="16"/>
                <w:lang w:eastAsia="en-US"/>
              </w:rPr>
            </w:pPr>
            <w:r w:rsidRPr="00961CB3">
              <w:rPr>
                <w:rFonts w:eastAsiaTheme="minorHAnsi"/>
                <w:sz w:val="16"/>
                <w:szCs w:val="16"/>
                <w:lang w:eastAsia="en-US"/>
              </w:rPr>
              <w:t>920 595,00</w:t>
            </w:r>
          </w:p>
        </w:tc>
      </w:tr>
      <w:tr w:rsidR="009B0266" w:rsidRPr="00961CB3" w:rsidTr="004F2B59">
        <w:trPr>
          <w:gridAfter w:val="1"/>
          <w:wAfter w:w="142" w:type="dxa"/>
        </w:trPr>
        <w:tc>
          <w:tcPr>
            <w:tcW w:w="4300" w:type="dxa"/>
            <w:tcBorders>
              <w:bottom w:val="single" w:sz="4" w:space="0" w:color="auto"/>
            </w:tcBorders>
            <w:shd w:val="clear" w:color="auto" w:fill="auto"/>
            <w:vAlign w:val="center"/>
          </w:tcPr>
          <w:p w:rsidR="009B0266" w:rsidRPr="00961CB3" w:rsidRDefault="009B0266" w:rsidP="009B0266">
            <w:pPr>
              <w:spacing w:beforeLines="20" w:before="48" w:afterLines="20" w:after="48"/>
              <w:jc w:val="center"/>
              <w:rPr>
                <w:sz w:val="16"/>
                <w:szCs w:val="16"/>
                <w:lang w:eastAsia="en-US"/>
              </w:rPr>
            </w:pPr>
            <w:r w:rsidRPr="00961CB3">
              <w:rPr>
                <w:sz w:val="16"/>
                <w:szCs w:val="16"/>
                <w:lang w:eastAsia="en-US"/>
              </w:rPr>
              <w:t>59(3)(a) – bez výnimiek</w:t>
            </w:r>
          </w:p>
        </w:tc>
        <w:tc>
          <w:tcPr>
            <w:tcW w:w="5339" w:type="dxa"/>
            <w:tcBorders>
              <w:bottom w:val="single" w:sz="4" w:space="0" w:color="auto"/>
            </w:tcBorders>
            <w:shd w:val="clear" w:color="auto" w:fill="auto"/>
            <w:vAlign w:val="center"/>
          </w:tcPr>
          <w:p w:rsidR="009B0266" w:rsidRPr="00961CB3" w:rsidRDefault="009B0266" w:rsidP="009B0266">
            <w:pPr>
              <w:spacing w:beforeLines="20" w:before="48" w:afterLines="20" w:after="48"/>
              <w:jc w:val="center"/>
              <w:rPr>
                <w:sz w:val="16"/>
                <w:szCs w:val="16"/>
                <w:lang w:eastAsia="en-US"/>
              </w:rPr>
            </w:pPr>
            <w:r w:rsidRPr="00961CB3">
              <w:rPr>
                <w:sz w:val="16"/>
                <w:szCs w:val="16"/>
                <w:lang w:eastAsia="en-US"/>
              </w:rPr>
              <w:t>3A</w:t>
            </w:r>
          </w:p>
        </w:tc>
        <w:tc>
          <w:tcPr>
            <w:tcW w:w="2977" w:type="dxa"/>
            <w:tcBorders>
              <w:bottom w:val="single" w:sz="4" w:space="0" w:color="auto"/>
            </w:tcBorders>
            <w:shd w:val="clear" w:color="auto" w:fill="auto"/>
            <w:vAlign w:val="bottom"/>
          </w:tcPr>
          <w:p w:rsidR="009B0266" w:rsidRPr="00961CB3" w:rsidRDefault="009B0266" w:rsidP="004F2B59">
            <w:pPr>
              <w:tabs>
                <w:tab w:val="left" w:pos="2019"/>
              </w:tabs>
              <w:ind w:right="742"/>
              <w:jc w:val="right"/>
              <w:rPr>
                <w:rFonts w:eastAsiaTheme="minorHAnsi"/>
                <w:sz w:val="16"/>
                <w:szCs w:val="16"/>
                <w:lang w:eastAsia="en-US"/>
              </w:rPr>
            </w:pPr>
            <w:r w:rsidRPr="00961CB3">
              <w:rPr>
                <w:rFonts w:eastAsiaTheme="minorHAnsi"/>
                <w:sz w:val="16"/>
                <w:szCs w:val="16"/>
                <w:lang w:eastAsia="en-US"/>
              </w:rPr>
              <w:t>1 133 040,00</w:t>
            </w:r>
          </w:p>
        </w:tc>
      </w:tr>
      <w:tr w:rsidR="009B0266" w:rsidRPr="00961CB3" w:rsidTr="004F2B59">
        <w:trPr>
          <w:gridAfter w:val="1"/>
          <w:wAfter w:w="142" w:type="dxa"/>
        </w:trPr>
        <w:tc>
          <w:tcPr>
            <w:tcW w:w="4300" w:type="dxa"/>
            <w:tcBorders>
              <w:bottom w:val="single" w:sz="4" w:space="0" w:color="auto"/>
            </w:tcBorders>
            <w:shd w:val="clear" w:color="auto" w:fill="auto"/>
            <w:vAlign w:val="center"/>
          </w:tcPr>
          <w:p w:rsidR="009B0266" w:rsidRPr="00961CB3" w:rsidRDefault="009B0266" w:rsidP="009B0266">
            <w:pPr>
              <w:spacing w:beforeLines="20" w:before="48" w:afterLines="20" w:after="48"/>
              <w:jc w:val="center"/>
              <w:rPr>
                <w:sz w:val="16"/>
                <w:szCs w:val="16"/>
                <w:lang w:eastAsia="en-US"/>
              </w:rPr>
            </w:pPr>
            <w:r w:rsidRPr="00961CB3">
              <w:rPr>
                <w:sz w:val="16"/>
                <w:szCs w:val="16"/>
                <w:lang w:eastAsia="en-US"/>
              </w:rPr>
              <w:t>59(3)(a) – bez výnimiek</w:t>
            </w:r>
          </w:p>
        </w:tc>
        <w:tc>
          <w:tcPr>
            <w:tcW w:w="5339" w:type="dxa"/>
            <w:tcBorders>
              <w:bottom w:val="single" w:sz="4" w:space="0" w:color="auto"/>
            </w:tcBorders>
            <w:shd w:val="clear" w:color="auto" w:fill="auto"/>
            <w:vAlign w:val="center"/>
          </w:tcPr>
          <w:p w:rsidR="009B0266" w:rsidRPr="00961CB3" w:rsidRDefault="009B0266" w:rsidP="009B0266">
            <w:pPr>
              <w:spacing w:beforeLines="20" w:before="48" w:afterLines="20" w:after="48"/>
              <w:jc w:val="center"/>
              <w:rPr>
                <w:sz w:val="16"/>
                <w:szCs w:val="16"/>
                <w:lang w:eastAsia="en-US"/>
              </w:rPr>
            </w:pPr>
            <w:r w:rsidRPr="00961CB3">
              <w:rPr>
                <w:sz w:val="16"/>
                <w:szCs w:val="16"/>
                <w:lang w:eastAsia="en-US"/>
              </w:rPr>
              <w:t>3B</w:t>
            </w:r>
          </w:p>
        </w:tc>
        <w:tc>
          <w:tcPr>
            <w:tcW w:w="2977" w:type="dxa"/>
            <w:tcBorders>
              <w:bottom w:val="single" w:sz="4" w:space="0" w:color="auto"/>
            </w:tcBorders>
            <w:shd w:val="clear" w:color="auto" w:fill="auto"/>
            <w:vAlign w:val="bottom"/>
          </w:tcPr>
          <w:p w:rsidR="009B0266" w:rsidRPr="00961CB3" w:rsidRDefault="009B0266" w:rsidP="004F2B59">
            <w:pPr>
              <w:tabs>
                <w:tab w:val="left" w:pos="2019"/>
              </w:tabs>
              <w:ind w:right="742"/>
              <w:jc w:val="right"/>
              <w:rPr>
                <w:rFonts w:eastAsiaTheme="minorHAnsi"/>
                <w:sz w:val="16"/>
                <w:szCs w:val="16"/>
                <w:lang w:eastAsia="en-US"/>
              </w:rPr>
            </w:pPr>
            <w:r w:rsidRPr="00961CB3">
              <w:rPr>
                <w:rFonts w:eastAsiaTheme="minorHAnsi"/>
                <w:sz w:val="16"/>
                <w:szCs w:val="16"/>
                <w:lang w:eastAsia="en-US"/>
              </w:rPr>
              <w:t>354 075,00</w:t>
            </w:r>
          </w:p>
        </w:tc>
      </w:tr>
      <w:tr w:rsidR="009B0266" w:rsidRPr="00961CB3" w:rsidTr="004F2B59">
        <w:trPr>
          <w:gridAfter w:val="1"/>
          <w:wAfter w:w="142" w:type="dxa"/>
        </w:trPr>
        <w:tc>
          <w:tcPr>
            <w:tcW w:w="4300" w:type="dxa"/>
            <w:tcBorders>
              <w:bottom w:val="single" w:sz="4" w:space="0" w:color="auto"/>
            </w:tcBorders>
            <w:shd w:val="clear" w:color="auto" w:fill="auto"/>
            <w:vAlign w:val="center"/>
          </w:tcPr>
          <w:p w:rsidR="009B0266" w:rsidRPr="00961CB3" w:rsidRDefault="009B0266" w:rsidP="009B0266">
            <w:pPr>
              <w:spacing w:beforeLines="20" w:before="48" w:afterLines="20" w:after="48"/>
              <w:jc w:val="center"/>
              <w:rPr>
                <w:sz w:val="16"/>
                <w:szCs w:val="16"/>
                <w:lang w:eastAsia="en-US"/>
              </w:rPr>
            </w:pPr>
            <w:r w:rsidRPr="00961CB3">
              <w:rPr>
                <w:sz w:val="16"/>
                <w:szCs w:val="16"/>
                <w:lang w:eastAsia="en-US"/>
              </w:rPr>
              <w:t>59(3)(a) – bez výnimiek</w:t>
            </w:r>
          </w:p>
        </w:tc>
        <w:tc>
          <w:tcPr>
            <w:tcW w:w="5339" w:type="dxa"/>
            <w:tcBorders>
              <w:bottom w:val="single" w:sz="4" w:space="0" w:color="auto"/>
            </w:tcBorders>
            <w:shd w:val="clear" w:color="auto" w:fill="auto"/>
            <w:vAlign w:val="center"/>
          </w:tcPr>
          <w:p w:rsidR="009B0266" w:rsidRPr="00961CB3" w:rsidRDefault="009B0266" w:rsidP="009B0266">
            <w:pPr>
              <w:spacing w:beforeLines="20" w:before="48" w:afterLines="20" w:after="48"/>
              <w:jc w:val="center"/>
              <w:rPr>
                <w:sz w:val="16"/>
                <w:szCs w:val="16"/>
                <w:lang w:eastAsia="en-US"/>
              </w:rPr>
            </w:pPr>
            <w:r w:rsidRPr="00961CB3">
              <w:rPr>
                <w:sz w:val="16"/>
                <w:szCs w:val="16"/>
                <w:lang w:eastAsia="en-US"/>
              </w:rPr>
              <w:t>4</w:t>
            </w:r>
          </w:p>
        </w:tc>
        <w:tc>
          <w:tcPr>
            <w:tcW w:w="2977" w:type="dxa"/>
            <w:tcBorders>
              <w:bottom w:val="single" w:sz="4" w:space="0" w:color="auto"/>
            </w:tcBorders>
            <w:shd w:val="clear" w:color="auto" w:fill="auto"/>
            <w:vAlign w:val="bottom"/>
          </w:tcPr>
          <w:p w:rsidR="009B0266" w:rsidRPr="00961CB3" w:rsidRDefault="009B0266" w:rsidP="004F2B59">
            <w:pPr>
              <w:tabs>
                <w:tab w:val="left" w:pos="2019"/>
              </w:tabs>
              <w:ind w:right="742"/>
              <w:jc w:val="right"/>
              <w:rPr>
                <w:rFonts w:eastAsiaTheme="minorHAnsi"/>
                <w:sz w:val="16"/>
                <w:szCs w:val="16"/>
                <w:lang w:eastAsia="en-US"/>
              </w:rPr>
            </w:pPr>
            <w:r w:rsidRPr="00961CB3">
              <w:rPr>
                <w:rFonts w:eastAsiaTheme="minorHAnsi"/>
                <w:sz w:val="16"/>
                <w:szCs w:val="16"/>
                <w:lang w:eastAsia="en-US"/>
              </w:rPr>
              <w:t>4 258 596,45</w:t>
            </w:r>
          </w:p>
        </w:tc>
      </w:tr>
      <w:tr w:rsidR="009B0266" w:rsidRPr="00961CB3" w:rsidTr="004F2B59">
        <w:trPr>
          <w:gridAfter w:val="1"/>
          <w:wAfter w:w="142" w:type="dxa"/>
        </w:trPr>
        <w:tc>
          <w:tcPr>
            <w:tcW w:w="4300" w:type="dxa"/>
            <w:tcBorders>
              <w:bottom w:val="single" w:sz="4" w:space="0" w:color="auto"/>
            </w:tcBorders>
            <w:shd w:val="clear" w:color="auto" w:fill="auto"/>
            <w:vAlign w:val="center"/>
          </w:tcPr>
          <w:p w:rsidR="009B0266" w:rsidRPr="00961CB3" w:rsidRDefault="009B0266" w:rsidP="009B0266">
            <w:pPr>
              <w:spacing w:beforeLines="20" w:before="48" w:afterLines="20" w:after="48"/>
              <w:jc w:val="center"/>
              <w:rPr>
                <w:sz w:val="16"/>
                <w:szCs w:val="16"/>
                <w:lang w:eastAsia="en-US"/>
              </w:rPr>
            </w:pPr>
            <w:r w:rsidRPr="00961CB3">
              <w:rPr>
                <w:sz w:val="16"/>
                <w:szCs w:val="16"/>
                <w:lang w:eastAsia="en-US"/>
              </w:rPr>
              <w:t>59(3)(a) – bez výnimiek</w:t>
            </w:r>
          </w:p>
        </w:tc>
        <w:tc>
          <w:tcPr>
            <w:tcW w:w="5339" w:type="dxa"/>
            <w:tcBorders>
              <w:bottom w:val="single" w:sz="4" w:space="0" w:color="auto"/>
            </w:tcBorders>
            <w:shd w:val="clear" w:color="auto" w:fill="auto"/>
            <w:vAlign w:val="center"/>
          </w:tcPr>
          <w:p w:rsidR="009B0266" w:rsidRPr="00961CB3" w:rsidRDefault="009B0266" w:rsidP="009B0266">
            <w:pPr>
              <w:spacing w:beforeLines="20" w:before="48" w:afterLines="20" w:after="48"/>
              <w:jc w:val="center"/>
              <w:rPr>
                <w:sz w:val="16"/>
                <w:szCs w:val="16"/>
                <w:lang w:eastAsia="en-US"/>
              </w:rPr>
            </w:pPr>
            <w:r w:rsidRPr="00961CB3">
              <w:rPr>
                <w:sz w:val="16"/>
                <w:szCs w:val="16"/>
                <w:lang w:eastAsia="en-US"/>
              </w:rPr>
              <w:t>5B</w:t>
            </w:r>
          </w:p>
        </w:tc>
        <w:tc>
          <w:tcPr>
            <w:tcW w:w="2977" w:type="dxa"/>
            <w:tcBorders>
              <w:bottom w:val="single" w:sz="4" w:space="0" w:color="auto"/>
            </w:tcBorders>
            <w:shd w:val="clear" w:color="auto" w:fill="auto"/>
            <w:vAlign w:val="bottom"/>
          </w:tcPr>
          <w:p w:rsidR="009B0266" w:rsidRPr="00961CB3" w:rsidRDefault="009B0266" w:rsidP="004F2B59">
            <w:pPr>
              <w:tabs>
                <w:tab w:val="left" w:pos="2019"/>
              </w:tabs>
              <w:ind w:right="742"/>
              <w:jc w:val="right"/>
              <w:rPr>
                <w:rFonts w:eastAsiaTheme="minorHAnsi"/>
                <w:sz w:val="16"/>
                <w:szCs w:val="16"/>
                <w:lang w:eastAsia="en-US"/>
              </w:rPr>
            </w:pPr>
            <w:r w:rsidRPr="00961CB3">
              <w:rPr>
                <w:rFonts w:eastAsiaTheme="minorHAnsi"/>
                <w:sz w:val="16"/>
                <w:szCs w:val="16"/>
                <w:lang w:eastAsia="en-US"/>
              </w:rPr>
              <w:t>1 062 225,00</w:t>
            </w:r>
          </w:p>
        </w:tc>
      </w:tr>
      <w:tr w:rsidR="009B0266" w:rsidRPr="00961CB3" w:rsidTr="004F2B59">
        <w:trPr>
          <w:gridAfter w:val="1"/>
          <w:wAfter w:w="142" w:type="dxa"/>
        </w:trPr>
        <w:tc>
          <w:tcPr>
            <w:tcW w:w="4300" w:type="dxa"/>
            <w:tcBorders>
              <w:bottom w:val="single" w:sz="4" w:space="0" w:color="auto"/>
            </w:tcBorders>
            <w:shd w:val="clear" w:color="auto" w:fill="auto"/>
            <w:vAlign w:val="center"/>
          </w:tcPr>
          <w:p w:rsidR="009B0266" w:rsidRPr="00961CB3" w:rsidRDefault="009B0266" w:rsidP="009B0266">
            <w:pPr>
              <w:spacing w:beforeLines="20" w:before="48" w:afterLines="20" w:after="48"/>
              <w:jc w:val="center"/>
              <w:rPr>
                <w:sz w:val="16"/>
                <w:szCs w:val="16"/>
                <w:lang w:eastAsia="en-US"/>
              </w:rPr>
            </w:pPr>
            <w:r w:rsidRPr="00961CB3">
              <w:rPr>
                <w:sz w:val="16"/>
                <w:szCs w:val="16"/>
                <w:lang w:eastAsia="en-US"/>
              </w:rPr>
              <w:t>59(3)(a) – bez výnimiek</w:t>
            </w:r>
          </w:p>
        </w:tc>
        <w:tc>
          <w:tcPr>
            <w:tcW w:w="5339" w:type="dxa"/>
            <w:tcBorders>
              <w:bottom w:val="single" w:sz="4" w:space="0" w:color="auto"/>
            </w:tcBorders>
            <w:shd w:val="clear" w:color="auto" w:fill="auto"/>
            <w:vAlign w:val="center"/>
          </w:tcPr>
          <w:p w:rsidR="009B0266" w:rsidRPr="00961CB3" w:rsidRDefault="009B0266" w:rsidP="009B0266">
            <w:pPr>
              <w:spacing w:beforeLines="20" w:before="48" w:afterLines="20" w:after="48"/>
              <w:jc w:val="center"/>
              <w:rPr>
                <w:sz w:val="16"/>
                <w:szCs w:val="16"/>
                <w:lang w:eastAsia="en-US"/>
              </w:rPr>
            </w:pPr>
            <w:r w:rsidRPr="00961CB3">
              <w:rPr>
                <w:sz w:val="16"/>
                <w:szCs w:val="16"/>
                <w:lang w:eastAsia="en-US"/>
              </w:rPr>
              <w:t>5C</w:t>
            </w:r>
          </w:p>
        </w:tc>
        <w:tc>
          <w:tcPr>
            <w:tcW w:w="2977" w:type="dxa"/>
            <w:tcBorders>
              <w:bottom w:val="single" w:sz="4" w:space="0" w:color="auto"/>
            </w:tcBorders>
            <w:shd w:val="clear" w:color="auto" w:fill="auto"/>
            <w:vAlign w:val="bottom"/>
          </w:tcPr>
          <w:p w:rsidR="009B0266" w:rsidRPr="00961CB3" w:rsidRDefault="009B0266" w:rsidP="004F2B59">
            <w:pPr>
              <w:tabs>
                <w:tab w:val="left" w:pos="2019"/>
              </w:tabs>
              <w:ind w:right="742"/>
              <w:jc w:val="right"/>
              <w:rPr>
                <w:rFonts w:eastAsiaTheme="minorHAnsi"/>
                <w:sz w:val="16"/>
                <w:szCs w:val="16"/>
                <w:lang w:eastAsia="en-US"/>
              </w:rPr>
            </w:pPr>
            <w:r w:rsidRPr="00961CB3">
              <w:rPr>
                <w:rFonts w:eastAsiaTheme="minorHAnsi"/>
                <w:sz w:val="16"/>
                <w:szCs w:val="16"/>
                <w:lang w:eastAsia="en-US"/>
              </w:rPr>
              <w:t>424 890,00</w:t>
            </w:r>
          </w:p>
        </w:tc>
      </w:tr>
      <w:tr w:rsidR="009B0266" w:rsidRPr="00961CB3" w:rsidTr="004F2B59">
        <w:trPr>
          <w:gridAfter w:val="1"/>
          <w:wAfter w:w="142" w:type="dxa"/>
        </w:trPr>
        <w:tc>
          <w:tcPr>
            <w:tcW w:w="4300" w:type="dxa"/>
            <w:tcBorders>
              <w:bottom w:val="single" w:sz="4" w:space="0" w:color="auto"/>
            </w:tcBorders>
            <w:shd w:val="clear" w:color="auto" w:fill="auto"/>
            <w:vAlign w:val="center"/>
          </w:tcPr>
          <w:p w:rsidR="009B0266" w:rsidRPr="00961CB3" w:rsidRDefault="009B0266" w:rsidP="009B0266">
            <w:pPr>
              <w:spacing w:beforeLines="20" w:before="48" w:afterLines="20" w:after="48"/>
              <w:jc w:val="center"/>
              <w:rPr>
                <w:sz w:val="16"/>
                <w:szCs w:val="16"/>
                <w:lang w:eastAsia="en-US"/>
              </w:rPr>
            </w:pPr>
            <w:r w:rsidRPr="00961CB3">
              <w:rPr>
                <w:sz w:val="16"/>
                <w:szCs w:val="16"/>
                <w:lang w:eastAsia="en-US"/>
              </w:rPr>
              <w:t>59(3)(a) – bez výnimiek</w:t>
            </w:r>
          </w:p>
        </w:tc>
        <w:tc>
          <w:tcPr>
            <w:tcW w:w="5339" w:type="dxa"/>
            <w:tcBorders>
              <w:bottom w:val="single" w:sz="4" w:space="0" w:color="auto"/>
            </w:tcBorders>
            <w:shd w:val="clear" w:color="auto" w:fill="auto"/>
            <w:vAlign w:val="center"/>
          </w:tcPr>
          <w:p w:rsidR="009B0266" w:rsidRPr="00961CB3" w:rsidRDefault="009B0266" w:rsidP="009B0266">
            <w:pPr>
              <w:spacing w:beforeLines="20" w:before="48" w:afterLines="20" w:after="48"/>
              <w:jc w:val="center"/>
              <w:rPr>
                <w:sz w:val="16"/>
                <w:szCs w:val="16"/>
                <w:lang w:eastAsia="en-US"/>
              </w:rPr>
            </w:pPr>
            <w:r w:rsidRPr="00961CB3">
              <w:rPr>
                <w:sz w:val="16"/>
                <w:szCs w:val="16"/>
                <w:lang w:eastAsia="en-US"/>
              </w:rPr>
              <w:t>5D</w:t>
            </w:r>
          </w:p>
        </w:tc>
        <w:tc>
          <w:tcPr>
            <w:tcW w:w="2977" w:type="dxa"/>
            <w:tcBorders>
              <w:bottom w:val="single" w:sz="4" w:space="0" w:color="auto"/>
            </w:tcBorders>
            <w:shd w:val="clear" w:color="auto" w:fill="auto"/>
            <w:vAlign w:val="bottom"/>
          </w:tcPr>
          <w:p w:rsidR="009B0266" w:rsidRPr="00961CB3" w:rsidRDefault="009B0266" w:rsidP="004F2B59">
            <w:pPr>
              <w:tabs>
                <w:tab w:val="left" w:pos="2019"/>
              </w:tabs>
              <w:ind w:right="742"/>
              <w:jc w:val="right"/>
              <w:rPr>
                <w:rFonts w:eastAsiaTheme="minorHAnsi"/>
                <w:sz w:val="16"/>
                <w:szCs w:val="16"/>
                <w:lang w:eastAsia="en-US"/>
              </w:rPr>
            </w:pPr>
            <w:r w:rsidRPr="00961CB3">
              <w:rPr>
                <w:rFonts w:eastAsiaTheme="minorHAnsi"/>
                <w:sz w:val="16"/>
                <w:szCs w:val="16"/>
                <w:lang w:eastAsia="en-US"/>
              </w:rPr>
              <w:t>424 890,00</w:t>
            </w:r>
          </w:p>
        </w:tc>
      </w:tr>
      <w:tr w:rsidR="009B0266" w:rsidRPr="00961CB3" w:rsidTr="004F2B59">
        <w:trPr>
          <w:gridAfter w:val="1"/>
          <w:wAfter w:w="142" w:type="dxa"/>
        </w:trPr>
        <w:tc>
          <w:tcPr>
            <w:tcW w:w="4300" w:type="dxa"/>
            <w:tcBorders>
              <w:bottom w:val="single" w:sz="4" w:space="0" w:color="auto"/>
            </w:tcBorders>
            <w:shd w:val="clear" w:color="auto" w:fill="auto"/>
            <w:vAlign w:val="center"/>
          </w:tcPr>
          <w:p w:rsidR="009B0266" w:rsidRPr="00961CB3" w:rsidRDefault="009B0266" w:rsidP="009B0266">
            <w:pPr>
              <w:spacing w:beforeLines="20" w:before="48" w:afterLines="20" w:after="48"/>
              <w:jc w:val="center"/>
              <w:rPr>
                <w:sz w:val="16"/>
                <w:szCs w:val="16"/>
                <w:lang w:eastAsia="en-US"/>
              </w:rPr>
            </w:pPr>
            <w:r w:rsidRPr="00961CB3">
              <w:rPr>
                <w:sz w:val="16"/>
                <w:szCs w:val="16"/>
                <w:lang w:eastAsia="en-US"/>
              </w:rPr>
              <w:t>59(3)(a) – bez výnimiek</w:t>
            </w:r>
          </w:p>
        </w:tc>
        <w:tc>
          <w:tcPr>
            <w:tcW w:w="5339" w:type="dxa"/>
            <w:tcBorders>
              <w:bottom w:val="single" w:sz="4" w:space="0" w:color="auto"/>
            </w:tcBorders>
            <w:shd w:val="clear" w:color="auto" w:fill="auto"/>
            <w:vAlign w:val="center"/>
          </w:tcPr>
          <w:p w:rsidR="009B0266" w:rsidRPr="00961CB3" w:rsidRDefault="009B0266" w:rsidP="009B0266">
            <w:pPr>
              <w:spacing w:beforeLines="20" w:before="48" w:afterLines="20" w:after="48"/>
              <w:jc w:val="center"/>
              <w:rPr>
                <w:sz w:val="16"/>
                <w:szCs w:val="16"/>
                <w:lang w:eastAsia="en-US"/>
              </w:rPr>
            </w:pPr>
            <w:r w:rsidRPr="00961CB3">
              <w:rPr>
                <w:sz w:val="16"/>
                <w:szCs w:val="16"/>
                <w:lang w:eastAsia="en-US"/>
              </w:rPr>
              <w:t>5E</w:t>
            </w:r>
          </w:p>
        </w:tc>
        <w:tc>
          <w:tcPr>
            <w:tcW w:w="2977" w:type="dxa"/>
            <w:tcBorders>
              <w:bottom w:val="single" w:sz="4" w:space="0" w:color="auto"/>
            </w:tcBorders>
            <w:shd w:val="clear" w:color="auto" w:fill="auto"/>
            <w:vAlign w:val="bottom"/>
          </w:tcPr>
          <w:p w:rsidR="009B0266" w:rsidRPr="00961CB3" w:rsidRDefault="009B0266" w:rsidP="004F2B59">
            <w:pPr>
              <w:tabs>
                <w:tab w:val="left" w:pos="2019"/>
              </w:tabs>
              <w:ind w:right="742"/>
              <w:jc w:val="right"/>
              <w:rPr>
                <w:rFonts w:eastAsiaTheme="minorHAnsi"/>
                <w:sz w:val="16"/>
                <w:szCs w:val="16"/>
                <w:lang w:eastAsia="en-US"/>
              </w:rPr>
            </w:pPr>
            <w:r w:rsidRPr="00961CB3">
              <w:rPr>
                <w:rFonts w:eastAsiaTheme="minorHAnsi"/>
                <w:sz w:val="16"/>
                <w:szCs w:val="16"/>
                <w:lang w:eastAsia="en-US"/>
              </w:rPr>
              <w:t>424 890,00</w:t>
            </w:r>
          </w:p>
        </w:tc>
      </w:tr>
      <w:tr w:rsidR="009B0266" w:rsidRPr="00961CB3" w:rsidTr="004F2B59">
        <w:trPr>
          <w:gridAfter w:val="1"/>
          <w:wAfter w:w="142" w:type="dxa"/>
        </w:trPr>
        <w:tc>
          <w:tcPr>
            <w:tcW w:w="4300" w:type="dxa"/>
            <w:tcBorders>
              <w:bottom w:val="single" w:sz="4" w:space="0" w:color="auto"/>
            </w:tcBorders>
            <w:shd w:val="clear" w:color="auto" w:fill="auto"/>
            <w:vAlign w:val="center"/>
          </w:tcPr>
          <w:p w:rsidR="009B0266" w:rsidRPr="00961CB3" w:rsidRDefault="009B0266" w:rsidP="009B0266">
            <w:pPr>
              <w:spacing w:beforeLines="20" w:before="48" w:afterLines="20" w:after="48"/>
              <w:jc w:val="center"/>
              <w:rPr>
                <w:sz w:val="16"/>
                <w:szCs w:val="16"/>
                <w:lang w:eastAsia="en-US"/>
              </w:rPr>
            </w:pPr>
            <w:r w:rsidRPr="00961CB3">
              <w:rPr>
                <w:sz w:val="16"/>
                <w:szCs w:val="16"/>
                <w:lang w:eastAsia="en-US"/>
              </w:rPr>
              <w:t>59(3)(a) – bez výnimiek</w:t>
            </w:r>
          </w:p>
        </w:tc>
        <w:tc>
          <w:tcPr>
            <w:tcW w:w="5339" w:type="dxa"/>
            <w:tcBorders>
              <w:bottom w:val="single" w:sz="4" w:space="0" w:color="auto"/>
            </w:tcBorders>
            <w:shd w:val="clear" w:color="auto" w:fill="auto"/>
            <w:vAlign w:val="center"/>
          </w:tcPr>
          <w:p w:rsidR="009B0266" w:rsidRPr="00961CB3" w:rsidRDefault="009B0266" w:rsidP="009B0266">
            <w:pPr>
              <w:spacing w:beforeLines="20" w:before="48" w:afterLines="20" w:after="48"/>
              <w:jc w:val="center"/>
              <w:rPr>
                <w:sz w:val="16"/>
                <w:szCs w:val="16"/>
                <w:lang w:eastAsia="en-US"/>
              </w:rPr>
            </w:pPr>
            <w:r w:rsidRPr="00961CB3">
              <w:rPr>
                <w:sz w:val="16"/>
                <w:szCs w:val="16"/>
                <w:lang w:eastAsia="en-US"/>
              </w:rPr>
              <w:t>6A</w:t>
            </w:r>
          </w:p>
        </w:tc>
        <w:tc>
          <w:tcPr>
            <w:tcW w:w="2977" w:type="dxa"/>
            <w:tcBorders>
              <w:bottom w:val="single" w:sz="4" w:space="0" w:color="auto"/>
            </w:tcBorders>
            <w:shd w:val="clear" w:color="auto" w:fill="auto"/>
            <w:vAlign w:val="bottom"/>
          </w:tcPr>
          <w:p w:rsidR="009B0266" w:rsidRPr="00961CB3" w:rsidRDefault="009B0266" w:rsidP="004F2B59">
            <w:pPr>
              <w:tabs>
                <w:tab w:val="left" w:pos="2019"/>
              </w:tabs>
              <w:ind w:right="742"/>
              <w:jc w:val="right"/>
              <w:rPr>
                <w:rFonts w:eastAsiaTheme="minorHAnsi"/>
                <w:sz w:val="16"/>
                <w:szCs w:val="16"/>
                <w:lang w:eastAsia="en-US"/>
              </w:rPr>
            </w:pPr>
            <w:r w:rsidRPr="00961CB3">
              <w:rPr>
                <w:rFonts w:eastAsiaTheme="minorHAnsi"/>
                <w:sz w:val="16"/>
                <w:szCs w:val="16"/>
                <w:lang w:eastAsia="en-US"/>
              </w:rPr>
              <w:t>2 336 895,00</w:t>
            </w:r>
          </w:p>
        </w:tc>
      </w:tr>
      <w:tr w:rsidR="009B0266" w:rsidRPr="00961CB3" w:rsidTr="004F2B59">
        <w:trPr>
          <w:gridAfter w:val="1"/>
          <w:wAfter w:w="142" w:type="dxa"/>
        </w:trPr>
        <w:tc>
          <w:tcPr>
            <w:tcW w:w="4300" w:type="dxa"/>
            <w:tcBorders>
              <w:bottom w:val="single" w:sz="4" w:space="0" w:color="auto"/>
            </w:tcBorders>
            <w:shd w:val="clear" w:color="auto" w:fill="auto"/>
            <w:vAlign w:val="center"/>
          </w:tcPr>
          <w:p w:rsidR="009B0266" w:rsidRPr="00961CB3" w:rsidRDefault="009B0266" w:rsidP="009B0266">
            <w:pPr>
              <w:spacing w:beforeLines="20" w:before="48" w:afterLines="20" w:after="48"/>
              <w:jc w:val="center"/>
              <w:rPr>
                <w:sz w:val="16"/>
                <w:szCs w:val="16"/>
                <w:lang w:eastAsia="en-US"/>
              </w:rPr>
            </w:pPr>
            <w:r w:rsidRPr="00961CB3">
              <w:rPr>
                <w:sz w:val="16"/>
                <w:szCs w:val="16"/>
                <w:lang w:eastAsia="en-US"/>
              </w:rPr>
              <w:t>59(3)(a) – bez výnimiek</w:t>
            </w:r>
          </w:p>
        </w:tc>
        <w:tc>
          <w:tcPr>
            <w:tcW w:w="5339" w:type="dxa"/>
            <w:tcBorders>
              <w:bottom w:val="single" w:sz="4" w:space="0" w:color="auto"/>
            </w:tcBorders>
            <w:shd w:val="clear" w:color="auto" w:fill="auto"/>
            <w:vAlign w:val="center"/>
          </w:tcPr>
          <w:p w:rsidR="009B0266" w:rsidRPr="00961CB3" w:rsidRDefault="009B0266" w:rsidP="009B0266">
            <w:pPr>
              <w:spacing w:beforeLines="20" w:before="48" w:afterLines="20" w:after="48"/>
              <w:jc w:val="center"/>
              <w:rPr>
                <w:sz w:val="16"/>
                <w:szCs w:val="16"/>
                <w:lang w:eastAsia="en-US"/>
              </w:rPr>
            </w:pPr>
            <w:r w:rsidRPr="00961CB3">
              <w:rPr>
                <w:sz w:val="16"/>
                <w:szCs w:val="16"/>
                <w:lang w:eastAsia="en-US"/>
              </w:rPr>
              <w:t>6C</w:t>
            </w:r>
          </w:p>
        </w:tc>
        <w:tc>
          <w:tcPr>
            <w:tcW w:w="2977" w:type="dxa"/>
            <w:tcBorders>
              <w:bottom w:val="single" w:sz="4" w:space="0" w:color="auto"/>
            </w:tcBorders>
            <w:shd w:val="clear" w:color="auto" w:fill="auto"/>
            <w:vAlign w:val="bottom"/>
          </w:tcPr>
          <w:p w:rsidR="009B0266" w:rsidRPr="00961CB3" w:rsidRDefault="009B0266" w:rsidP="004F2B59">
            <w:pPr>
              <w:tabs>
                <w:tab w:val="left" w:pos="2019"/>
              </w:tabs>
              <w:ind w:right="742"/>
              <w:jc w:val="right"/>
              <w:rPr>
                <w:rFonts w:eastAsiaTheme="minorHAnsi"/>
                <w:sz w:val="16"/>
                <w:szCs w:val="16"/>
                <w:lang w:eastAsia="en-US"/>
              </w:rPr>
            </w:pPr>
            <w:r w:rsidRPr="00961CB3">
              <w:rPr>
                <w:rFonts w:eastAsiaTheme="minorHAnsi"/>
                <w:sz w:val="16"/>
                <w:szCs w:val="16"/>
                <w:lang w:eastAsia="en-US"/>
              </w:rPr>
              <w:t>920 595,00</w:t>
            </w:r>
          </w:p>
        </w:tc>
      </w:tr>
      <w:tr w:rsidR="009B0266" w:rsidRPr="00961CB3" w:rsidTr="004F2B59">
        <w:trPr>
          <w:gridAfter w:val="1"/>
          <w:wAfter w:w="142" w:type="dxa"/>
        </w:trPr>
        <w:tc>
          <w:tcPr>
            <w:tcW w:w="4300" w:type="dxa"/>
            <w:tcBorders>
              <w:bottom w:val="single" w:sz="4" w:space="0" w:color="auto"/>
            </w:tcBorders>
            <w:shd w:val="clear" w:color="auto" w:fill="auto"/>
            <w:vAlign w:val="center"/>
          </w:tcPr>
          <w:p w:rsidR="009B0266" w:rsidRPr="00961CB3" w:rsidRDefault="009B0266" w:rsidP="009B0266">
            <w:pPr>
              <w:spacing w:beforeLines="20" w:before="48" w:afterLines="20" w:after="48"/>
              <w:jc w:val="center"/>
              <w:rPr>
                <w:sz w:val="16"/>
                <w:szCs w:val="16"/>
                <w:lang w:eastAsia="en-US"/>
              </w:rPr>
            </w:pPr>
            <w:r w:rsidRPr="00961CB3">
              <w:rPr>
                <w:sz w:val="16"/>
                <w:szCs w:val="16"/>
                <w:lang w:eastAsia="en-US"/>
              </w:rPr>
              <w:t>59(3)(d) – bez výnimiek</w:t>
            </w:r>
          </w:p>
        </w:tc>
        <w:tc>
          <w:tcPr>
            <w:tcW w:w="5339" w:type="dxa"/>
            <w:tcBorders>
              <w:bottom w:val="single" w:sz="4" w:space="0" w:color="auto"/>
            </w:tcBorders>
            <w:shd w:val="clear" w:color="auto" w:fill="auto"/>
            <w:vAlign w:val="center"/>
          </w:tcPr>
          <w:p w:rsidR="009B0266" w:rsidRPr="00961CB3" w:rsidRDefault="009B0266" w:rsidP="009B0266">
            <w:pPr>
              <w:spacing w:beforeLines="20" w:before="48" w:afterLines="20" w:after="48"/>
              <w:jc w:val="center"/>
              <w:rPr>
                <w:sz w:val="16"/>
                <w:szCs w:val="16"/>
                <w:lang w:eastAsia="en-US"/>
              </w:rPr>
            </w:pPr>
            <w:r w:rsidRPr="00961CB3">
              <w:rPr>
                <w:sz w:val="16"/>
                <w:szCs w:val="16"/>
                <w:lang w:eastAsia="en-US"/>
              </w:rPr>
              <w:t>2A</w:t>
            </w:r>
          </w:p>
        </w:tc>
        <w:tc>
          <w:tcPr>
            <w:tcW w:w="2977" w:type="dxa"/>
            <w:tcBorders>
              <w:bottom w:val="single" w:sz="4" w:space="0" w:color="auto"/>
            </w:tcBorders>
            <w:shd w:val="clear" w:color="auto" w:fill="auto"/>
            <w:vAlign w:val="bottom"/>
          </w:tcPr>
          <w:p w:rsidR="009B0266" w:rsidRPr="00961CB3" w:rsidRDefault="009B0266" w:rsidP="004F2B59">
            <w:pPr>
              <w:tabs>
                <w:tab w:val="left" w:pos="2019"/>
              </w:tabs>
              <w:ind w:right="742"/>
              <w:jc w:val="right"/>
              <w:rPr>
                <w:rFonts w:eastAsiaTheme="minorHAnsi"/>
                <w:sz w:val="16"/>
                <w:szCs w:val="16"/>
                <w:lang w:eastAsia="en-US"/>
              </w:rPr>
            </w:pPr>
            <w:r w:rsidRPr="00961CB3">
              <w:rPr>
                <w:rFonts w:eastAsiaTheme="minorHAnsi"/>
                <w:sz w:val="16"/>
                <w:szCs w:val="16"/>
                <w:lang w:eastAsia="en-US"/>
              </w:rPr>
              <w:t>89 224,76</w:t>
            </w:r>
          </w:p>
        </w:tc>
      </w:tr>
      <w:tr w:rsidR="009B0266" w:rsidRPr="00961CB3" w:rsidTr="004F2B59">
        <w:trPr>
          <w:gridAfter w:val="1"/>
          <w:wAfter w:w="142" w:type="dxa"/>
        </w:trPr>
        <w:tc>
          <w:tcPr>
            <w:tcW w:w="4300" w:type="dxa"/>
            <w:tcBorders>
              <w:bottom w:val="single" w:sz="4" w:space="0" w:color="auto"/>
            </w:tcBorders>
            <w:shd w:val="clear" w:color="auto" w:fill="auto"/>
            <w:vAlign w:val="center"/>
          </w:tcPr>
          <w:p w:rsidR="009B0266" w:rsidRPr="00961CB3" w:rsidRDefault="009B0266" w:rsidP="009B0266">
            <w:pPr>
              <w:spacing w:beforeLines="20" w:before="48" w:afterLines="20" w:after="48"/>
              <w:jc w:val="center"/>
              <w:rPr>
                <w:sz w:val="16"/>
                <w:szCs w:val="16"/>
                <w:lang w:eastAsia="en-US"/>
              </w:rPr>
            </w:pPr>
            <w:r w:rsidRPr="00961CB3">
              <w:rPr>
                <w:sz w:val="16"/>
                <w:szCs w:val="16"/>
                <w:lang w:eastAsia="en-US"/>
              </w:rPr>
              <w:t>59(3)(d) – bez výnimiek</w:t>
            </w:r>
          </w:p>
        </w:tc>
        <w:tc>
          <w:tcPr>
            <w:tcW w:w="5339" w:type="dxa"/>
            <w:tcBorders>
              <w:bottom w:val="single" w:sz="4" w:space="0" w:color="auto"/>
            </w:tcBorders>
            <w:shd w:val="clear" w:color="auto" w:fill="auto"/>
            <w:vAlign w:val="center"/>
          </w:tcPr>
          <w:p w:rsidR="009B0266" w:rsidRPr="00961CB3" w:rsidRDefault="009B0266" w:rsidP="009B0266">
            <w:pPr>
              <w:spacing w:beforeLines="20" w:before="48" w:afterLines="20" w:after="48"/>
              <w:jc w:val="center"/>
              <w:rPr>
                <w:sz w:val="16"/>
                <w:szCs w:val="16"/>
                <w:lang w:eastAsia="en-US"/>
              </w:rPr>
            </w:pPr>
            <w:r w:rsidRPr="00961CB3">
              <w:rPr>
                <w:sz w:val="16"/>
                <w:szCs w:val="16"/>
                <w:lang w:eastAsia="en-US"/>
              </w:rPr>
              <w:t>2B</w:t>
            </w:r>
          </w:p>
        </w:tc>
        <w:tc>
          <w:tcPr>
            <w:tcW w:w="2977" w:type="dxa"/>
            <w:tcBorders>
              <w:bottom w:val="single" w:sz="4" w:space="0" w:color="auto"/>
            </w:tcBorders>
            <w:shd w:val="clear" w:color="auto" w:fill="auto"/>
            <w:vAlign w:val="bottom"/>
          </w:tcPr>
          <w:p w:rsidR="009B0266" w:rsidRPr="00961CB3" w:rsidRDefault="009B0266" w:rsidP="004F2B59">
            <w:pPr>
              <w:tabs>
                <w:tab w:val="left" w:pos="2019"/>
              </w:tabs>
              <w:ind w:right="742"/>
              <w:jc w:val="right"/>
              <w:rPr>
                <w:rFonts w:eastAsiaTheme="minorHAnsi"/>
                <w:sz w:val="16"/>
                <w:szCs w:val="16"/>
                <w:lang w:eastAsia="en-US"/>
              </w:rPr>
            </w:pPr>
            <w:r w:rsidRPr="00961CB3">
              <w:rPr>
                <w:rFonts w:eastAsiaTheme="minorHAnsi"/>
                <w:sz w:val="16"/>
                <w:szCs w:val="16"/>
                <w:lang w:eastAsia="en-US"/>
              </w:rPr>
              <w:t>38 446,20</w:t>
            </w:r>
          </w:p>
        </w:tc>
      </w:tr>
      <w:tr w:rsidR="009B0266" w:rsidRPr="00961CB3" w:rsidTr="004F2B59">
        <w:trPr>
          <w:gridAfter w:val="1"/>
          <w:wAfter w:w="142" w:type="dxa"/>
        </w:trPr>
        <w:tc>
          <w:tcPr>
            <w:tcW w:w="4300" w:type="dxa"/>
            <w:tcBorders>
              <w:bottom w:val="single" w:sz="4" w:space="0" w:color="auto"/>
            </w:tcBorders>
            <w:shd w:val="clear" w:color="auto" w:fill="auto"/>
            <w:vAlign w:val="center"/>
          </w:tcPr>
          <w:p w:rsidR="009B0266" w:rsidRPr="00961CB3" w:rsidRDefault="009B0266" w:rsidP="009B0266">
            <w:pPr>
              <w:spacing w:beforeLines="20" w:before="48" w:afterLines="20" w:after="48"/>
              <w:jc w:val="center"/>
              <w:rPr>
                <w:sz w:val="16"/>
                <w:szCs w:val="16"/>
                <w:lang w:eastAsia="en-US"/>
              </w:rPr>
            </w:pPr>
            <w:r w:rsidRPr="00961CB3">
              <w:rPr>
                <w:sz w:val="16"/>
                <w:szCs w:val="16"/>
                <w:lang w:eastAsia="en-US"/>
              </w:rPr>
              <w:t>59(3)(d) – bez výnimiek</w:t>
            </w:r>
          </w:p>
        </w:tc>
        <w:tc>
          <w:tcPr>
            <w:tcW w:w="5339" w:type="dxa"/>
            <w:tcBorders>
              <w:bottom w:val="single" w:sz="4" w:space="0" w:color="auto"/>
            </w:tcBorders>
            <w:shd w:val="clear" w:color="auto" w:fill="auto"/>
            <w:vAlign w:val="center"/>
          </w:tcPr>
          <w:p w:rsidR="009B0266" w:rsidRPr="00961CB3" w:rsidRDefault="009B0266" w:rsidP="009B0266">
            <w:pPr>
              <w:spacing w:beforeLines="20" w:before="48" w:afterLines="20" w:after="48"/>
              <w:jc w:val="center"/>
              <w:rPr>
                <w:sz w:val="16"/>
                <w:szCs w:val="16"/>
                <w:lang w:eastAsia="en-US"/>
              </w:rPr>
            </w:pPr>
            <w:r w:rsidRPr="00961CB3">
              <w:rPr>
                <w:sz w:val="16"/>
                <w:szCs w:val="16"/>
                <w:lang w:eastAsia="en-US"/>
              </w:rPr>
              <w:t>3A</w:t>
            </w:r>
          </w:p>
        </w:tc>
        <w:tc>
          <w:tcPr>
            <w:tcW w:w="2977" w:type="dxa"/>
            <w:tcBorders>
              <w:bottom w:val="single" w:sz="4" w:space="0" w:color="auto"/>
            </w:tcBorders>
            <w:shd w:val="clear" w:color="auto" w:fill="auto"/>
            <w:vAlign w:val="bottom"/>
          </w:tcPr>
          <w:p w:rsidR="009B0266" w:rsidRPr="00961CB3" w:rsidRDefault="009B0266" w:rsidP="004F2B59">
            <w:pPr>
              <w:tabs>
                <w:tab w:val="left" w:pos="2019"/>
              </w:tabs>
              <w:ind w:right="742"/>
              <w:jc w:val="right"/>
              <w:rPr>
                <w:rFonts w:eastAsiaTheme="minorHAnsi"/>
                <w:sz w:val="16"/>
                <w:szCs w:val="16"/>
                <w:lang w:eastAsia="en-US"/>
              </w:rPr>
            </w:pPr>
            <w:r w:rsidRPr="00961CB3">
              <w:rPr>
                <w:rFonts w:eastAsiaTheme="minorHAnsi"/>
                <w:sz w:val="16"/>
                <w:szCs w:val="16"/>
                <w:lang w:eastAsia="en-US"/>
              </w:rPr>
              <w:t>47 318,40</w:t>
            </w:r>
          </w:p>
        </w:tc>
      </w:tr>
      <w:tr w:rsidR="009B0266" w:rsidRPr="00961CB3" w:rsidTr="004F2B59">
        <w:trPr>
          <w:gridAfter w:val="1"/>
          <w:wAfter w:w="142" w:type="dxa"/>
        </w:trPr>
        <w:tc>
          <w:tcPr>
            <w:tcW w:w="4300" w:type="dxa"/>
            <w:tcBorders>
              <w:bottom w:val="single" w:sz="4" w:space="0" w:color="auto"/>
            </w:tcBorders>
            <w:shd w:val="clear" w:color="auto" w:fill="auto"/>
            <w:vAlign w:val="center"/>
          </w:tcPr>
          <w:p w:rsidR="009B0266" w:rsidRPr="00961CB3" w:rsidRDefault="009B0266" w:rsidP="009B0266">
            <w:pPr>
              <w:spacing w:beforeLines="20" w:before="48" w:afterLines="20" w:after="48"/>
              <w:jc w:val="center"/>
              <w:rPr>
                <w:sz w:val="16"/>
                <w:szCs w:val="16"/>
                <w:lang w:eastAsia="en-US"/>
              </w:rPr>
            </w:pPr>
            <w:r w:rsidRPr="00961CB3">
              <w:rPr>
                <w:sz w:val="16"/>
                <w:szCs w:val="16"/>
                <w:lang w:eastAsia="en-US"/>
              </w:rPr>
              <w:t>59(3)(d) – bez výnimiek</w:t>
            </w:r>
          </w:p>
        </w:tc>
        <w:tc>
          <w:tcPr>
            <w:tcW w:w="5339" w:type="dxa"/>
            <w:tcBorders>
              <w:bottom w:val="single" w:sz="4" w:space="0" w:color="auto"/>
            </w:tcBorders>
            <w:shd w:val="clear" w:color="auto" w:fill="auto"/>
            <w:vAlign w:val="center"/>
          </w:tcPr>
          <w:p w:rsidR="009B0266" w:rsidRPr="00961CB3" w:rsidRDefault="009B0266" w:rsidP="009B0266">
            <w:pPr>
              <w:spacing w:beforeLines="20" w:before="48" w:afterLines="20" w:after="48"/>
              <w:jc w:val="center"/>
              <w:rPr>
                <w:sz w:val="16"/>
                <w:szCs w:val="16"/>
                <w:lang w:eastAsia="en-US"/>
              </w:rPr>
            </w:pPr>
            <w:r w:rsidRPr="00961CB3">
              <w:rPr>
                <w:sz w:val="16"/>
                <w:szCs w:val="16"/>
                <w:lang w:eastAsia="en-US"/>
              </w:rPr>
              <w:t>3B</w:t>
            </w:r>
          </w:p>
        </w:tc>
        <w:tc>
          <w:tcPr>
            <w:tcW w:w="2977" w:type="dxa"/>
            <w:tcBorders>
              <w:bottom w:val="single" w:sz="4" w:space="0" w:color="auto"/>
            </w:tcBorders>
            <w:shd w:val="clear" w:color="auto" w:fill="auto"/>
            <w:vAlign w:val="bottom"/>
          </w:tcPr>
          <w:p w:rsidR="009B0266" w:rsidRPr="00961CB3" w:rsidRDefault="009B0266" w:rsidP="004F2B59">
            <w:pPr>
              <w:tabs>
                <w:tab w:val="left" w:pos="2019"/>
              </w:tabs>
              <w:ind w:right="742"/>
              <w:jc w:val="right"/>
              <w:rPr>
                <w:rFonts w:eastAsiaTheme="minorHAnsi"/>
                <w:sz w:val="16"/>
                <w:szCs w:val="16"/>
                <w:lang w:eastAsia="en-US"/>
              </w:rPr>
            </w:pPr>
            <w:r w:rsidRPr="00961CB3">
              <w:rPr>
                <w:rFonts w:eastAsiaTheme="minorHAnsi"/>
                <w:sz w:val="16"/>
                <w:szCs w:val="16"/>
                <w:lang w:eastAsia="en-US"/>
              </w:rPr>
              <w:t>14 787,00</w:t>
            </w:r>
          </w:p>
        </w:tc>
      </w:tr>
      <w:tr w:rsidR="009B0266" w:rsidRPr="00961CB3" w:rsidTr="004F2B59">
        <w:trPr>
          <w:gridAfter w:val="1"/>
          <w:wAfter w:w="142" w:type="dxa"/>
        </w:trPr>
        <w:tc>
          <w:tcPr>
            <w:tcW w:w="4300" w:type="dxa"/>
            <w:tcBorders>
              <w:bottom w:val="single" w:sz="4" w:space="0" w:color="auto"/>
            </w:tcBorders>
            <w:shd w:val="clear" w:color="auto" w:fill="auto"/>
            <w:vAlign w:val="center"/>
          </w:tcPr>
          <w:p w:rsidR="009B0266" w:rsidRPr="00961CB3" w:rsidRDefault="009B0266" w:rsidP="009B0266">
            <w:pPr>
              <w:spacing w:beforeLines="20" w:before="48" w:afterLines="20" w:after="48"/>
              <w:jc w:val="center"/>
              <w:rPr>
                <w:sz w:val="16"/>
                <w:szCs w:val="16"/>
                <w:lang w:eastAsia="en-US"/>
              </w:rPr>
            </w:pPr>
            <w:r w:rsidRPr="00961CB3">
              <w:rPr>
                <w:sz w:val="16"/>
                <w:szCs w:val="16"/>
                <w:lang w:eastAsia="en-US"/>
              </w:rPr>
              <w:t>59(3)(d) – bez výnimiek</w:t>
            </w:r>
          </w:p>
        </w:tc>
        <w:tc>
          <w:tcPr>
            <w:tcW w:w="5339" w:type="dxa"/>
            <w:tcBorders>
              <w:bottom w:val="single" w:sz="4" w:space="0" w:color="auto"/>
            </w:tcBorders>
            <w:shd w:val="clear" w:color="auto" w:fill="auto"/>
            <w:vAlign w:val="center"/>
          </w:tcPr>
          <w:p w:rsidR="009B0266" w:rsidRPr="00961CB3" w:rsidRDefault="009B0266" w:rsidP="009B0266">
            <w:pPr>
              <w:spacing w:beforeLines="20" w:before="48" w:afterLines="20" w:after="48"/>
              <w:jc w:val="center"/>
              <w:rPr>
                <w:sz w:val="16"/>
                <w:szCs w:val="16"/>
                <w:lang w:eastAsia="en-US"/>
              </w:rPr>
            </w:pPr>
            <w:r w:rsidRPr="00961CB3">
              <w:rPr>
                <w:sz w:val="16"/>
                <w:szCs w:val="16"/>
                <w:lang w:eastAsia="en-US"/>
              </w:rPr>
              <w:t>4</w:t>
            </w:r>
          </w:p>
        </w:tc>
        <w:tc>
          <w:tcPr>
            <w:tcW w:w="2977" w:type="dxa"/>
            <w:tcBorders>
              <w:bottom w:val="single" w:sz="4" w:space="0" w:color="auto"/>
            </w:tcBorders>
            <w:shd w:val="clear" w:color="auto" w:fill="auto"/>
            <w:vAlign w:val="bottom"/>
          </w:tcPr>
          <w:p w:rsidR="009B0266" w:rsidRPr="00961CB3" w:rsidRDefault="009B0266" w:rsidP="004F2B59">
            <w:pPr>
              <w:tabs>
                <w:tab w:val="left" w:pos="2019"/>
              </w:tabs>
              <w:ind w:right="742"/>
              <w:jc w:val="right"/>
              <w:rPr>
                <w:rFonts w:eastAsiaTheme="minorHAnsi"/>
                <w:sz w:val="16"/>
                <w:szCs w:val="16"/>
                <w:lang w:eastAsia="en-US"/>
              </w:rPr>
            </w:pPr>
            <w:r w:rsidRPr="00961CB3">
              <w:rPr>
                <w:rFonts w:eastAsiaTheme="minorHAnsi"/>
                <w:sz w:val="16"/>
                <w:szCs w:val="16"/>
                <w:lang w:eastAsia="en-US"/>
              </w:rPr>
              <w:t>177 481,84</w:t>
            </w:r>
          </w:p>
        </w:tc>
      </w:tr>
      <w:tr w:rsidR="009B0266" w:rsidRPr="00961CB3" w:rsidTr="004F2B59">
        <w:trPr>
          <w:gridAfter w:val="1"/>
          <w:wAfter w:w="142" w:type="dxa"/>
        </w:trPr>
        <w:tc>
          <w:tcPr>
            <w:tcW w:w="4300" w:type="dxa"/>
            <w:tcBorders>
              <w:bottom w:val="single" w:sz="4" w:space="0" w:color="auto"/>
            </w:tcBorders>
            <w:shd w:val="clear" w:color="auto" w:fill="auto"/>
            <w:vAlign w:val="center"/>
          </w:tcPr>
          <w:p w:rsidR="009B0266" w:rsidRPr="00961CB3" w:rsidRDefault="009B0266" w:rsidP="009B0266">
            <w:pPr>
              <w:spacing w:beforeLines="20" w:before="48" w:afterLines="20" w:after="48"/>
              <w:jc w:val="center"/>
              <w:rPr>
                <w:sz w:val="16"/>
                <w:szCs w:val="16"/>
                <w:lang w:eastAsia="en-US"/>
              </w:rPr>
            </w:pPr>
            <w:r w:rsidRPr="00961CB3">
              <w:rPr>
                <w:sz w:val="16"/>
                <w:szCs w:val="16"/>
                <w:lang w:eastAsia="en-US"/>
              </w:rPr>
              <w:t>59(3)(d) – bez výnimiek</w:t>
            </w:r>
          </w:p>
        </w:tc>
        <w:tc>
          <w:tcPr>
            <w:tcW w:w="5339" w:type="dxa"/>
            <w:tcBorders>
              <w:bottom w:val="single" w:sz="4" w:space="0" w:color="auto"/>
            </w:tcBorders>
            <w:shd w:val="clear" w:color="auto" w:fill="auto"/>
            <w:vAlign w:val="center"/>
          </w:tcPr>
          <w:p w:rsidR="009B0266" w:rsidRPr="00961CB3" w:rsidRDefault="009B0266" w:rsidP="009B0266">
            <w:pPr>
              <w:spacing w:beforeLines="20" w:before="48" w:afterLines="20" w:after="48"/>
              <w:jc w:val="center"/>
              <w:rPr>
                <w:sz w:val="16"/>
                <w:szCs w:val="16"/>
                <w:lang w:eastAsia="en-US"/>
              </w:rPr>
            </w:pPr>
            <w:r w:rsidRPr="00961CB3">
              <w:rPr>
                <w:sz w:val="16"/>
                <w:szCs w:val="16"/>
                <w:lang w:eastAsia="en-US"/>
              </w:rPr>
              <w:t>5B</w:t>
            </w:r>
          </w:p>
        </w:tc>
        <w:tc>
          <w:tcPr>
            <w:tcW w:w="2977" w:type="dxa"/>
            <w:tcBorders>
              <w:bottom w:val="single" w:sz="4" w:space="0" w:color="auto"/>
            </w:tcBorders>
            <w:shd w:val="clear" w:color="auto" w:fill="auto"/>
            <w:vAlign w:val="bottom"/>
          </w:tcPr>
          <w:p w:rsidR="009B0266" w:rsidRPr="00961CB3" w:rsidRDefault="009B0266" w:rsidP="004F2B59">
            <w:pPr>
              <w:tabs>
                <w:tab w:val="left" w:pos="2019"/>
              </w:tabs>
              <w:ind w:right="742"/>
              <w:jc w:val="right"/>
              <w:rPr>
                <w:rFonts w:eastAsiaTheme="minorHAnsi"/>
                <w:sz w:val="16"/>
                <w:szCs w:val="16"/>
                <w:lang w:eastAsia="en-US"/>
              </w:rPr>
            </w:pPr>
            <w:r w:rsidRPr="00961CB3">
              <w:rPr>
                <w:rFonts w:eastAsiaTheme="minorHAnsi"/>
                <w:sz w:val="16"/>
                <w:szCs w:val="16"/>
                <w:lang w:eastAsia="en-US"/>
              </w:rPr>
              <w:t>44 361,00</w:t>
            </w:r>
          </w:p>
        </w:tc>
      </w:tr>
      <w:tr w:rsidR="009B0266" w:rsidRPr="00961CB3" w:rsidTr="004F2B59">
        <w:trPr>
          <w:gridAfter w:val="1"/>
          <w:wAfter w:w="142" w:type="dxa"/>
        </w:trPr>
        <w:tc>
          <w:tcPr>
            <w:tcW w:w="4300" w:type="dxa"/>
            <w:tcBorders>
              <w:bottom w:val="single" w:sz="4" w:space="0" w:color="auto"/>
            </w:tcBorders>
            <w:shd w:val="clear" w:color="auto" w:fill="auto"/>
            <w:vAlign w:val="center"/>
          </w:tcPr>
          <w:p w:rsidR="009B0266" w:rsidRPr="00961CB3" w:rsidRDefault="009B0266" w:rsidP="009B0266">
            <w:pPr>
              <w:spacing w:beforeLines="20" w:before="48" w:afterLines="20" w:after="48"/>
              <w:jc w:val="center"/>
              <w:rPr>
                <w:sz w:val="16"/>
                <w:szCs w:val="16"/>
                <w:lang w:eastAsia="en-US"/>
              </w:rPr>
            </w:pPr>
            <w:r w:rsidRPr="00961CB3">
              <w:rPr>
                <w:sz w:val="16"/>
                <w:szCs w:val="16"/>
                <w:lang w:eastAsia="en-US"/>
              </w:rPr>
              <w:t>59(3)(d) – bez výnimiek</w:t>
            </w:r>
          </w:p>
        </w:tc>
        <w:tc>
          <w:tcPr>
            <w:tcW w:w="5339" w:type="dxa"/>
            <w:tcBorders>
              <w:bottom w:val="single" w:sz="4" w:space="0" w:color="auto"/>
            </w:tcBorders>
            <w:shd w:val="clear" w:color="auto" w:fill="auto"/>
            <w:vAlign w:val="center"/>
          </w:tcPr>
          <w:p w:rsidR="009B0266" w:rsidRPr="00961CB3" w:rsidRDefault="009B0266" w:rsidP="009B0266">
            <w:pPr>
              <w:spacing w:beforeLines="20" w:before="48" w:afterLines="20" w:after="48"/>
              <w:jc w:val="center"/>
              <w:rPr>
                <w:sz w:val="16"/>
                <w:szCs w:val="16"/>
                <w:lang w:eastAsia="en-US"/>
              </w:rPr>
            </w:pPr>
            <w:r w:rsidRPr="00961CB3">
              <w:rPr>
                <w:sz w:val="16"/>
                <w:szCs w:val="16"/>
                <w:lang w:eastAsia="en-US"/>
              </w:rPr>
              <w:t>5C</w:t>
            </w:r>
          </w:p>
        </w:tc>
        <w:tc>
          <w:tcPr>
            <w:tcW w:w="2977" w:type="dxa"/>
            <w:tcBorders>
              <w:bottom w:val="single" w:sz="4" w:space="0" w:color="auto"/>
            </w:tcBorders>
            <w:shd w:val="clear" w:color="auto" w:fill="auto"/>
            <w:vAlign w:val="bottom"/>
          </w:tcPr>
          <w:p w:rsidR="009B0266" w:rsidRPr="00961CB3" w:rsidRDefault="009B0266" w:rsidP="004F2B59">
            <w:pPr>
              <w:tabs>
                <w:tab w:val="left" w:pos="2019"/>
              </w:tabs>
              <w:ind w:right="742"/>
              <w:jc w:val="right"/>
              <w:rPr>
                <w:rFonts w:eastAsiaTheme="minorHAnsi"/>
                <w:sz w:val="16"/>
                <w:szCs w:val="16"/>
                <w:lang w:eastAsia="en-US"/>
              </w:rPr>
            </w:pPr>
            <w:r w:rsidRPr="00961CB3">
              <w:rPr>
                <w:rFonts w:eastAsiaTheme="minorHAnsi"/>
                <w:sz w:val="16"/>
                <w:szCs w:val="16"/>
                <w:lang w:eastAsia="en-US"/>
              </w:rPr>
              <w:t>17 744,40</w:t>
            </w:r>
          </w:p>
        </w:tc>
      </w:tr>
      <w:tr w:rsidR="009B0266" w:rsidRPr="00961CB3" w:rsidTr="004F2B59">
        <w:trPr>
          <w:gridAfter w:val="1"/>
          <w:wAfter w:w="142" w:type="dxa"/>
        </w:trPr>
        <w:tc>
          <w:tcPr>
            <w:tcW w:w="4300" w:type="dxa"/>
            <w:tcBorders>
              <w:bottom w:val="single" w:sz="4" w:space="0" w:color="auto"/>
            </w:tcBorders>
            <w:shd w:val="clear" w:color="auto" w:fill="auto"/>
            <w:vAlign w:val="center"/>
          </w:tcPr>
          <w:p w:rsidR="009B0266" w:rsidRPr="00961CB3" w:rsidRDefault="009B0266" w:rsidP="009B0266">
            <w:pPr>
              <w:spacing w:beforeLines="20" w:before="48" w:afterLines="20" w:after="48"/>
              <w:jc w:val="center"/>
              <w:rPr>
                <w:sz w:val="16"/>
                <w:szCs w:val="16"/>
                <w:lang w:eastAsia="en-US"/>
              </w:rPr>
            </w:pPr>
            <w:r w:rsidRPr="00961CB3">
              <w:rPr>
                <w:sz w:val="16"/>
                <w:szCs w:val="16"/>
                <w:lang w:eastAsia="en-US"/>
              </w:rPr>
              <w:t>59(3)(d) – bez výnimiek</w:t>
            </w:r>
          </w:p>
        </w:tc>
        <w:tc>
          <w:tcPr>
            <w:tcW w:w="5339" w:type="dxa"/>
            <w:tcBorders>
              <w:bottom w:val="single" w:sz="4" w:space="0" w:color="auto"/>
            </w:tcBorders>
            <w:shd w:val="clear" w:color="auto" w:fill="auto"/>
            <w:vAlign w:val="center"/>
          </w:tcPr>
          <w:p w:rsidR="009B0266" w:rsidRPr="00961CB3" w:rsidRDefault="009B0266" w:rsidP="009B0266">
            <w:pPr>
              <w:spacing w:beforeLines="20" w:before="48" w:afterLines="20" w:after="48"/>
              <w:jc w:val="center"/>
              <w:rPr>
                <w:sz w:val="16"/>
                <w:szCs w:val="16"/>
                <w:lang w:eastAsia="en-US"/>
              </w:rPr>
            </w:pPr>
            <w:r w:rsidRPr="00961CB3">
              <w:rPr>
                <w:sz w:val="16"/>
                <w:szCs w:val="16"/>
                <w:lang w:eastAsia="en-US"/>
              </w:rPr>
              <w:t>5D</w:t>
            </w:r>
          </w:p>
        </w:tc>
        <w:tc>
          <w:tcPr>
            <w:tcW w:w="2977" w:type="dxa"/>
            <w:tcBorders>
              <w:bottom w:val="single" w:sz="4" w:space="0" w:color="auto"/>
            </w:tcBorders>
            <w:shd w:val="clear" w:color="auto" w:fill="auto"/>
            <w:vAlign w:val="bottom"/>
          </w:tcPr>
          <w:p w:rsidR="009B0266" w:rsidRPr="00961CB3" w:rsidRDefault="009B0266" w:rsidP="004F2B59">
            <w:pPr>
              <w:tabs>
                <w:tab w:val="left" w:pos="2019"/>
              </w:tabs>
              <w:ind w:right="742"/>
              <w:jc w:val="right"/>
              <w:rPr>
                <w:rFonts w:eastAsiaTheme="minorHAnsi"/>
                <w:sz w:val="16"/>
                <w:szCs w:val="16"/>
                <w:lang w:eastAsia="en-US"/>
              </w:rPr>
            </w:pPr>
            <w:r w:rsidRPr="00961CB3">
              <w:rPr>
                <w:rFonts w:eastAsiaTheme="minorHAnsi"/>
                <w:sz w:val="16"/>
                <w:szCs w:val="16"/>
                <w:lang w:eastAsia="en-US"/>
              </w:rPr>
              <w:t>17 744,40</w:t>
            </w:r>
          </w:p>
        </w:tc>
      </w:tr>
      <w:tr w:rsidR="009B0266" w:rsidRPr="00961CB3" w:rsidTr="004F2B59">
        <w:trPr>
          <w:gridAfter w:val="1"/>
          <w:wAfter w:w="142" w:type="dxa"/>
        </w:trPr>
        <w:tc>
          <w:tcPr>
            <w:tcW w:w="4300" w:type="dxa"/>
            <w:tcBorders>
              <w:bottom w:val="single" w:sz="4" w:space="0" w:color="auto"/>
            </w:tcBorders>
            <w:shd w:val="clear" w:color="auto" w:fill="auto"/>
            <w:vAlign w:val="center"/>
          </w:tcPr>
          <w:p w:rsidR="009B0266" w:rsidRPr="00961CB3" w:rsidRDefault="009B0266" w:rsidP="009B0266">
            <w:pPr>
              <w:spacing w:beforeLines="20" w:before="48" w:afterLines="20" w:after="48"/>
              <w:jc w:val="center"/>
              <w:rPr>
                <w:sz w:val="16"/>
                <w:szCs w:val="16"/>
                <w:lang w:eastAsia="en-US"/>
              </w:rPr>
            </w:pPr>
            <w:r w:rsidRPr="00961CB3">
              <w:rPr>
                <w:sz w:val="16"/>
                <w:szCs w:val="16"/>
                <w:lang w:eastAsia="en-US"/>
              </w:rPr>
              <w:t>59(3)(d) – bez výnimiek</w:t>
            </w:r>
          </w:p>
        </w:tc>
        <w:tc>
          <w:tcPr>
            <w:tcW w:w="5339" w:type="dxa"/>
            <w:tcBorders>
              <w:bottom w:val="single" w:sz="4" w:space="0" w:color="auto"/>
            </w:tcBorders>
            <w:shd w:val="clear" w:color="auto" w:fill="auto"/>
            <w:vAlign w:val="center"/>
          </w:tcPr>
          <w:p w:rsidR="009B0266" w:rsidRPr="00961CB3" w:rsidRDefault="009B0266" w:rsidP="009B0266">
            <w:pPr>
              <w:spacing w:beforeLines="20" w:before="48" w:afterLines="20" w:after="48"/>
              <w:jc w:val="center"/>
              <w:rPr>
                <w:sz w:val="16"/>
                <w:szCs w:val="16"/>
                <w:lang w:eastAsia="en-US"/>
              </w:rPr>
            </w:pPr>
            <w:r w:rsidRPr="00961CB3">
              <w:rPr>
                <w:sz w:val="16"/>
                <w:szCs w:val="16"/>
                <w:lang w:eastAsia="en-US"/>
              </w:rPr>
              <w:t>5E</w:t>
            </w:r>
          </w:p>
        </w:tc>
        <w:tc>
          <w:tcPr>
            <w:tcW w:w="2977" w:type="dxa"/>
            <w:tcBorders>
              <w:bottom w:val="single" w:sz="4" w:space="0" w:color="auto"/>
            </w:tcBorders>
            <w:shd w:val="clear" w:color="auto" w:fill="auto"/>
            <w:vAlign w:val="bottom"/>
          </w:tcPr>
          <w:p w:rsidR="009B0266" w:rsidRPr="00961CB3" w:rsidRDefault="009B0266" w:rsidP="004F2B59">
            <w:pPr>
              <w:tabs>
                <w:tab w:val="left" w:pos="2019"/>
              </w:tabs>
              <w:ind w:right="742"/>
              <w:jc w:val="right"/>
              <w:rPr>
                <w:rFonts w:eastAsiaTheme="minorHAnsi"/>
                <w:sz w:val="16"/>
                <w:szCs w:val="16"/>
                <w:lang w:eastAsia="en-US"/>
              </w:rPr>
            </w:pPr>
            <w:r w:rsidRPr="00961CB3">
              <w:rPr>
                <w:rFonts w:eastAsiaTheme="minorHAnsi"/>
                <w:sz w:val="16"/>
                <w:szCs w:val="16"/>
                <w:lang w:eastAsia="en-US"/>
              </w:rPr>
              <w:t>17 744,40</w:t>
            </w:r>
          </w:p>
        </w:tc>
      </w:tr>
      <w:tr w:rsidR="009B0266" w:rsidRPr="00961CB3" w:rsidTr="004F2B59">
        <w:trPr>
          <w:gridAfter w:val="1"/>
          <w:wAfter w:w="142" w:type="dxa"/>
        </w:trPr>
        <w:tc>
          <w:tcPr>
            <w:tcW w:w="4300" w:type="dxa"/>
            <w:tcBorders>
              <w:bottom w:val="single" w:sz="4" w:space="0" w:color="auto"/>
            </w:tcBorders>
            <w:shd w:val="clear" w:color="auto" w:fill="auto"/>
            <w:vAlign w:val="center"/>
          </w:tcPr>
          <w:p w:rsidR="009B0266" w:rsidRPr="00961CB3" w:rsidRDefault="009B0266" w:rsidP="009B0266">
            <w:pPr>
              <w:spacing w:beforeLines="20" w:before="48" w:afterLines="20" w:after="48"/>
              <w:jc w:val="center"/>
              <w:rPr>
                <w:sz w:val="16"/>
                <w:szCs w:val="16"/>
                <w:lang w:eastAsia="en-US"/>
              </w:rPr>
            </w:pPr>
            <w:r w:rsidRPr="00961CB3">
              <w:rPr>
                <w:sz w:val="16"/>
                <w:szCs w:val="16"/>
                <w:lang w:eastAsia="en-US"/>
              </w:rPr>
              <w:t>59(3)(d) – bez výnimiek</w:t>
            </w:r>
          </w:p>
        </w:tc>
        <w:tc>
          <w:tcPr>
            <w:tcW w:w="5339" w:type="dxa"/>
            <w:tcBorders>
              <w:bottom w:val="single" w:sz="4" w:space="0" w:color="auto"/>
            </w:tcBorders>
            <w:shd w:val="clear" w:color="auto" w:fill="auto"/>
            <w:vAlign w:val="center"/>
          </w:tcPr>
          <w:p w:rsidR="009B0266" w:rsidRPr="00961CB3" w:rsidRDefault="009B0266" w:rsidP="009B0266">
            <w:pPr>
              <w:spacing w:beforeLines="20" w:before="48" w:afterLines="20" w:after="48"/>
              <w:jc w:val="center"/>
              <w:rPr>
                <w:sz w:val="16"/>
                <w:szCs w:val="16"/>
                <w:lang w:eastAsia="en-US"/>
              </w:rPr>
            </w:pPr>
            <w:r w:rsidRPr="00961CB3">
              <w:rPr>
                <w:sz w:val="16"/>
                <w:szCs w:val="16"/>
                <w:lang w:eastAsia="en-US"/>
              </w:rPr>
              <w:t>6A</w:t>
            </w:r>
          </w:p>
        </w:tc>
        <w:tc>
          <w:tcPr>
            <w:tcW w:w="2977" w:type="dxa"/>
            <w:tcBorders>
              <w:bottom w:val="single" w:sz="4" w:space="0" w:color="auto"/>
            </w:tcBorders>
            <w:shd w:val="clear" w:color="auto" w:fill="auto"/>
            <w:vAlign w:val="bottom"/>
          </w:tcPr>
          <w:p w:rsidR="009B0266" w:rsidRPr="00961CB3" w:rsidRDefault="009B0266" w:rsidP="004F2B59">
            <w:pPr>
              <w:tabs>
                <w:tab w:val="left" w:pos="2019"/>
              </w:tabs>
              <w:ind w:right="742"/>
              <w:jc w:val="right"/>
              <w:rPr>
                <w:rFonts w:eastAsiaTheme="minorHAnsi"/>
                <w:sz w:val="16"/>
                <w:szCs w:val="16"/>
                <w:lang w:eastAsia="en-US"/>
              </w:rPr>
            </w:pPr>
            <w:r w:rsidRPr="00961CB3">
              <w:rPr>
                <w:rFonts w:eastAsiaTheme="minorHAnsi"/>
                <w:sz w:val="16"/>
                <w:szCs w:val="16"/>
                <w:lang w:eastAsia="en-US"/>
              </w:rPr>
              <w:t>97 594,20</w:t>
            </w:r>
          </w:p>
        </w:tc>
      </w:tr>
      <w:tr w:rsidR="009B0266" w:rsidRPr="00961CB3" w:rsidTr="004F2B59">
        <w:trPr>
          <w:gridAfter w:val="1"/>
          <w:wAfter w:w="142" w:type="dxa"/>
        </w:trPr>
        <w:tc>
          <w:tcPr>
            <w:tcW w:w="4300" w:type="dxa"/>
            <w:tcBorders>
              <w:bottom w:val="single" w:sz="4" w:space="0" w:color="auto"/>
            </w:tcBorders>
            <w:shd w:val="clear" w:color="auto" w:fill="auto"/>
            <w:vAlign w:val="center"/>
          </w:tcPr>
          <w:p w:rsidR="009B0266" w:rsidRPr="00961CB3" w:rsidRDefault="009B0266" w:rsidP="009B0266">
            <w:pPr>
              <w:spacing w:beforeLines="20" w:before="48" w:afterLines="20" w:after="48"/>
              <w:jc w:val="center"/>
              <w:rPr>
                <w:sz w:val="16"/>
                <w:szCs w:val="16"/>
                <w:lang w:eastAsia="en-US"/>
              </w:rPr>
            </w:pPr>
            <w:r w:rsidRPr="00961CB3">
              <w:rPr>
                <w:sz w:val="16"/>
                <w:szCs w:val="16"/>
                <w:lang w:eastAsia="en-US"/>
              </w:rPr>
              <w:t>59(3)(d) – bez výnimiek</w:t>
            </w:r>
          </w:p>
        </w:tc>
        <w:tc>
          <w:tcPr>
            <w:tcW w:w="5339" w:type="dxa"/>
            <w:tcBorders>
              <w:bottom w:val="single" w:sz="4" w:space="0" w:color="auto"/>
            </w:tcBorders>
            <w:shd w:val="clear" w:color="auto" w:fill="auto"/>
            <w:vAlign w:val="center"/>
          </w:tcPr>
          <w:p w:rsidR="009B0266" w:rsidRPr="00961CB3" w:rsidRDefault="009B0266" w:rsidP="009B0266">
            <w:pPr>
              <w:spacing w:beforeLines="20" w:before="48" w:afterLines="20" w:after="48"/>
              <w:jc w:val="center"/>
              <w:rPr>
                <w:sz w:val="16"/>
                <w:szCs w:val="16"/>
                <w:lang w:eastAsia="en-US"/>
              </w:rPr>
            </w:pPr>
            <w:r w:rsidRPr="00961CB3">
              <w:rPr>
                <w:sz w:val="16"/>
                <w:szCs w:val="16"/>
                <w:lang w:eastAsia="en-US"/>
              </w:rPr>
              <w:t>6C</w:t>
            </w:r>
          </w:p>
        </w:tc>
        <w:tc>
          <w:tcPr>
            <w:tcW w:w="2977" w:type="dxa"/>
            <w:tcBorders>
              <w:bottom w:val="single" w:sz="4" w:space="0" w:color="auto"/>
            </w:tcBorders>
            <w:shd w:val="clear" w:color="auto" w:fill="auto"/>
            <w:vAlign w:val="bottom"/>
          </w:tcPr>
          <w:p w:rsidR="009B0266" w:rsidRPr="00961CB3" w:rsidRDefault="009B0266" w:rsidP="004F2B59">
            <w:pPr>
              <w:tabs>
                <w:tab w:val="left" w:pos="2019"/>
              </w:tabs>
              <w:ind w:right="742"/>
              <w:jc w:val="right"/>
              <w:rPr>
                <w:rFonts w:eastAsiaTheme="minorHAnsi"/>
                <w:sz w:val="16"/>
                <w:szCs w:val="16"/>
                <w:lang w:eastAsia="en-US"/>
              </w:rPr>
            </w:pPr>
            <w:r w:rsidRPr="00961CB3">
              <w:rPr>
                <w:rFonts w:eastAsiaTheme="minorHAnsi"/>
                <w:sz w:val="16"/>
                <w:szCs w:val="16"/>
                <w:lang w:eastAsia="en-US"/>
              </w:rPr>
              <w:t>38 446,20</w:t>
            </w:r>
          </w:p>
        </w:tc>
      </w:tr>
      <w:tr w:rsidR="009B0266" w:rsidRPr="00961CB3" w:rsidTr="004F2B59">
        <w:trPr>
          <w:gridAfter w:val="1"/>
          <w:wAfter w:w="142" w:type="dxa"/>
        </w:trPr>
        <w:tc>
          <w:tcPr>
            <w:tcW w:w="9639" w:type="dxa"/>
            <w:gridSpan w:val="2"/>
            <w:tcBorders>
              <w:bottom w:val="single" w:sz="4" w:space="0" w:color="auto"/>
            </w:tcBorders>
            <w:shd w:val="clear" w:color="auto" w:fill="DAEEF3" w:themeFill="accent5" w:themeFillTint="33"/>
            <w:vAlign w:val="center"/>
          </w:tcPr>
          <w:p w:rsidR="009B0266" w:rsidRPr="00961CB3" w:rsidRDefault="009B0266" w:rsidP="00961CB3">
            <w:pPr>
              <w:spacing w:beforeLines="20" w:before="48" w:afterLines="20" w:after="48"/>
              <w:jc w:val="left"/>
              <w:rPr>
                <w:b/>
                <w:color w:val="8064A2"/>
                <w:sz w:val="20"/>
                <w:szCs w:val="20"/>
                <w:lang w:eastAsia="en-US"/>
              </w:rPr>
            </w:pPr>
            <w:r w:rsidRPr="00961CB3">
              <w:rPr>
                <w:b/>
                <w:sz w:val="20"/>
                <w:szCs w:val="20"/>
                <w:lang w:eastAsia="en-US"/>
              </w:rPr>
              <w:t xml:space="preserve">Celkovo opatrenie </w:t>
            </w:r>
            <w:r w:rsidR="00961CB3">
              <w:rPr>
                <w:b/>
                <w:sz w:val="20"/>
                <w:szCs w:val="20"/>
                <w:lang w:eastAsia="en-US"/>
              </w:rPr>
              <w:t>1 (</w:t>
            </w:r>
            <w:r w:rsidRPr="00961CB3">
              <w:rPr>
                <w:b/>
                <w:sz w:val="20"/>
                <w:szCs w:val="20"/>
                <w:lang w:eastAsia="en-US"/>
              </w:rPr>
              <w:t>čl. 14</w:t>
            </w:r>
            <w:r w:rsidR="00961CB3">
              <w:rPr>
                <w:b/>
                <w:sz w:val="20"/>
                <w:szCs w:val="20"/>
                <w:lang w:eastAsia="en-US"/>
              </w:rPr>
              <w:t>)</w:t>
            </w:r>
            <w:r w:rsidRPr="00961CB3">
              <w:rPr>
                <w:b/>
                <w:sz w:val="20"/>
                <w:szCs w:val="20"/>
                <w:lang w:eastAsia="en-US"/>
              </w:rPr>
              <w:t xml:space="preserve"> – Prenos znalostí a informačné akcie</w:t>
            </w:r>
          </w:p>
        </w:tc>
        <w:tc>
          <w:tcPr>
            <w:tcW w:w="2977" w:type="dxa"/>
            <w:tcBorders>
              <w:bottom w:val="single" w:sz="4" w:space="0" w:color="auto"/>
            </w:tcBorders>
            <w:shd w:val="clear" w:color="auto" w:fill="DAEEF3" w:themeFill="accent5" w:themeFillTint="33"/>
            <w:vAlign w:val="center"/>
          </w:tcPr>
          <w:p w:rsidR="009B0266" w:rsidRPr="00961CB3" w:rsidRDefault="009B0266" w:rsidP="004F2B59">
            <w:pPr>
              <w:ind w:right="742"/>
              <w:jc w:val="right"/>
              <w:rPr>
                <w:rFonts w:eastAsiaTheme="minorHAnsi"/>
                <w:b/>
                <w:sz w:val="20"/>
                <w:szCs w:val="20"/>
                <w:lang w:eastAsia="en-US"/>
              </w:rPr>
            </w:pPr>
            <w:r w:rsidRPr="00961CB3">
              <w:rPr>
                <w:rFonts w:eastAsiaTheme="minorHAnsi"/>
                <w:b/>
                <w:sz w:val="20"/>
                <w:szCs w:val="20"/>
                <w:lang w:eastAsia="en-US"/>
              </w:rPr>
              <w:t>14 998 072,80</w:t>
            </w:r>
          </w:p>
        </w:tc>
      </w:tr>
    </w:tbl>
    <w:p w:rsidR="009B0266" w:rsidRPr="00961CB3" w:rsidRDefault="009B0266" w:rsidP="009B0266">
      <w:pPr>
        <w:keepNext/>
        <w:spacing w:after="240"/>
        <w:outlineLvl w:val="1"/>
        <w:rPr>
          <w:rFonts w:eastAsia="Calibri"/>
          <w:b/>
          <w:sz w:val="24"/>
          <w:szCs w:val="20"/>
          <w:lang w:eastAsia="ja-JP"/>
        </w:rPr>
        <w:sectPr w:rsidR="009B0266" w:rsidRPr="00961CB3" w:rsidSect="009B0266">
          <w:footerReference w:type="default" r:id="rId87"/>
          <w:pgSz w:w="16838" w:h="11906" w:orient="landscape"/>
          <w:pgMar w:top="851" w:right="851" w:bottom="849" w:left="851" w:header="601" w:footer="1077" w:gutter="0"/>
          <w:cols w:space="720"/>
          <w:docGrid w:linePitch="326"/>
        </w:sectPr>
      </w:pPr>
    </w:p>
    <w:p w:rsidR="009B0266" w:rsidRPr="00961CB3" w:rsidRDefault="009B0266" w:rsidP="009B0266">
      <w:pPr>
        <w:keepNext/>
        <w:spacing w:after="80"/>
        <w:outlineLvl w:val="1"/>
        <w:rPr>
          <w:rFonts w:eastAsia="Calibri"/>
          <w:b/>
          <w:sz w:val="16"/>
          <w:szCs w:val="16"/>
          <w:lang w:eastAsia="ja-JP"/>
        </w:rPr>
      </w:pPr>
    </w:p>
    <w:tbl>
      <w:tblPr>
        <w:tblW w:w="1290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00"/>
        <w:gridCol w:w="5339"/>
        <w:gridCol w:w="3261"/>
      </w:tblGrid>
      <w:tr w:rsidR="009B0266" w:rsidRPr="00961CB3" w:rsidTr="00D905DE">
        <w:tc>
          <w:tcPr>
            <w:tcW w:w="4300" w:type="dxa"/>
            <w:tcBorders>
              <w:bottom w:val="single" w:sz="4" w:space="0" w:color="auto"/>
            </w:tcBorders>
            <w:shd w:val="clear" w:color="auto" w:fill="F2F2F2"/>
            <w:vAlign w:val="center"/>
          </w:tcPr>
          <w:p w:rsidR="009B0266" w:rsidRPr="00961CB3" w:rsidRDefault="009B0266" w:rsidP="009B0266">
            <w:pPr>
              <w:tabs>
                <w:tab w:val="left" w:pos="1185"/>
              </w:tabs>
              <w:spacing w:beforeLines="20" w:before="48" w:afterLines="20" w:after="48"/>
              <w:jc w:val="center"/>
              <w:rPr>
                <w:b/>
                <w:sz w:val="16"/>
                <w:szCs w:val="16"/>
                <w:lang w:eastAsia="en-US"/>
              </w:rPr>
            </w:pPr>
            <w:r w:rsidRPr="00961CB3">
              <w:rPr>
                <w:b/>
                <w:sz w:val="16"/>
                <w:szCs w:val="16"/>
                <w:lang w:eastAsia="en-US"/>
              </w:rPr>
              <w:t>Miera príspevku EPFRV</w:t>
            </w:r>
          </w:p>
        </w:tc>
        <w:tc>
          <w:tcPr>
            <w:tcW w:w="5339" w:type="dxa"/>
            <w:tcBorders>
              <w:bottom w:val="single" w:sz="4" w:space="0" w:color="auto"/>
            </w:tcBorders>
            <w:shd w:val="clear" w:color="auto" w:fill="F2F2F2"/>
            <w:vAlign w:val="center"/>
          </w:tcPr>
          <w:p w:rsidR="009B0266" w:rsidRPr="00961CB3" w:rsidRDefault="009B0266" w:rsidP="009B0266">
            <w:pPr>
              <w:tabs>
                <w:tab w:val="left" w:pos="1185"/>
              </w:tabs>
              <w:spacing w:beforeLines="20" w:before="48" w:afterLines="20" w:after="48"/>
              <w:jc w:val="center"/>
              <w:rPr>
                <w:b/>
                <w:sz w:val="16"/>
                <w:szCs w:val="16"/>
                <w:lang w:eastAsia="en-US"/>
              </w:rPr>
            </w:pPr>
            <w:r w:rsidRPr="00961CB3">
              <w:rPr>
                <w:b/>
                <w:sz w:val="16"/>
                <w:szCs w:val="16"/>
                <w:lang w:eastAsia="en-US"/>
              </w:rPr>
              <w:t>Fokusová oblasť</w:t>
            </w:r>
          </w:p>
        </w:tc>
        <w:tc>
          <w:tcPr>
            <w:tcW w:w="3261" w:type="dxa"/>
            <w:tcBorders>
              <w:bottom w:val="single" w:sz="4" w:space="0" w:color="auto"/>
            </w:tcBorders>
            <w:shd w:val="clear" w:color="auto" w:fill="F2F2F2"/>
            <w:vAlign w:val="center"/>
          </w:tcPr>
          <w:p w:rsidR="009B0266" w:rsidRPr="00961CB3" w:rsidRDefault="009B0266" w:rsidP="009B0266">
            <w:pPr>
              <w:tabs>
                <w:tab w:val="left" w:pos="1185"/>
              </w:tabs>
              <w:spacing w:beforeLines="20" w:before="48" w:afterLines="20" w:after="48"/>
              <w:jc w:val="center"/>
              <w:rPr>
                <w:b/>
                <w:sz w:val="16"/>
                <w:szCs w:val="16"/>
                <w:lang w:eastAsia="en-US"/>
              </w:rPr>
            </w:pPr>
            <w:r w:rsidRPr="00961CB3">
              <w:rPr>
                <w:b/>
                <w:sz w:val="16"/>
                <w:szCs w:val="16"/>
                <w:lang w:eastAsia="en-US"/>
              </w:rPr>
              <w:t>Celkový príspevok EPFRV</w:t>
            </w:r>
          </w:p>
        </w:tc>
      </w:tr>
      <w:tr w:rsidR="009B0266" w:rsidRPr="00961CB3" w:rsidTr="004F2B59">
        <w:tc>
          <w:tcPr>
            <w:tcW w:w="4300" w:type="dxa"/>
            <w:tcBorders>
              <w:bottom w:val="single" w:sz="4" w:space="0" w:color="auto"/>
            </w:tcBorders>
            <w:shd w:val="clear" w:color="auto" w:fill="auto"/>
            <w:vAlign w:val="center"/>
          </w:tcPr>
          <w:p w:rsidR="009B0266" w:rsidRPr="00961CB3" w:rsidRDefault="009B0266" w:rsidP="009B0266">
            <w:pPr>
              <w:spacing w:beforeLines="20" w:before="48" w:afterLines="20" w:after="48"/>
              <w:jc w:val="center"/>
              <w:rPr>
                <w:sz w:val="16"/>
                <w:szCs w:val="16"/>
                <w:lang w:eastAsia="en-US"/>
              </w:rPr>
            </w:pPr>
            <w:r w:rsidRPr="00961CB3">
              <w:rPr>
                <w:sz w:val="16"/>
                <w:szCs w:val="16"/>
                <w:lang w:eastAsia="en-US"/>
              </w:rPr>
              <w:t>59(3)(a) – bez výnimiek</w:t>
            </w:r>
          </w:p>
        </w:tc>
        <w:tc>
          <w:tcPr>
            <w:tcW w:w="5339" w:type="dxa"/>
            <w:tcBorders>
              <w:bottom w:val="single" w:sz="4" w:space="0" w:color="auto"/>
            </w:tcBorders>
            <w:shd w:val="clear" w:color="auto" w:fill="auto"/>
            <w:vAlign w:val="center"/>
          </w:tcPr>
          <w:p w:rsidR="009B0266" w:rsidRPr="00961CB3" w:rsidRDefault="009B0266" w:rsidP="009B0266">
            <w:pPr>
              <w:spacing w:beforeLines="20" w:before="48" w:afterLines="20" w:after="48"/>
              <w:jc w:val="center"/>
              <w:rPr>
                <w:sz w:val="16"/>
                <w:szCs w:val="16"/>
                <w:lang w:eastAsia="en-US"/>
              </w:rPr>
            </w:pPr>
            <w:r w:rsidRPr="00961CB3">
              <w:rPr>
                <w:sz w:val="16"/>
                <w:szCs w:val="16"/>
                <w:lang w:eastAsia="en-US"/>
              </w:rPr>
              <w:t>2A</w:t>
            </w:r>
          </w:p>
        </w:tc>
        <w:tc>
          <w:tcPr>
            <w:tcW w:w="3261" w:type="dxa"/>
            <w:tcBorders>
              <w:bottom w:val="single" w:sz="4" w:space="0" w:color="auto"/>
            </w:tcBorders>
            <w:shd w:val="clear" w:color="auto" w:fill="auto"/>
            <w:vAlign w:val="bottom"/>
          </w:tcPr>
          <w:p w:rsidR="009B0266" w:rsidRPr="00961CB3" w:rsidRDefault="009B0266" w:rsidP="004F2B59">
            <w:pPr>
              <w:tabs>
                <w:tab w:val="left" w:pos="1877"/>
                <w:tab w:val="left" w:pos="2019"/>
              </w:tabs>
              <w:ind w:right="742"/>
              <w:jc w:val="right"/>
              <w:rPr>
                <w:rFonts w:eastAsiaTheme="minorHAnsi"/>
                <w:sz w:val="16"/>
                <w:szCs w:val="16"/>
                <w:lang w:eastAsia="en-US"/>
              </w:rPr>
            </w:pPr>
            <w:r w:rsidRPr="00961CB3">
              <w:rPr>
                <w:rFonts w:eastAsiaTheme="minorHAnsi"/>
                <w:sz w:val="16"/>
                <w:szCs w:val="16"/>
                <w:lang w:eastAsia="en-US"/>
              </w:rPr>
              <w:t>187 138,13</w:t>
            </w:r>
          </w:p>
        </w:tc>
      </w:tr>
      <w:tr w:rsidR="009B0266" w:rsidRPr="00961CB3" w:rsidTr="004F2B59">
        <w:tc>
          <w:tcPr>
            <w:tcW w:w="4300" w:type="dxa"/>
            <w:tcBorders>
              <w:bottom w:val="single" w:sz="4" w:space="0" w:color="auto"/>
            </w:tcBorders>
            <w:shd w:val="clear" w:color="auto" w:fill="auto"/>
            <w:vAlign w:val="center"/>
          </w:tcPr>
          <w:p w:rsidR="009B0266" w:rsidRPr="00961CB3" w:rsidRDefault="009B0266" w:rsidP="009B0266">
            <w:pPr>
              <w:spacing w:beforeLines="20" w:before="48" w:afterLines="20" w:after="48"/>
              <w:jc w:val="center"/>
              <w:rPr>
                <w:sz w:val="16"/>
                <w:szCs w:val="16"/>
                <w:lang w:eastAsia="en-US"/>
              </w:rPr>
            </w:pPr>
            <w:r w:rsidRPr="00961CB3">
              <w:rPr>
                <w:sz w:val="16"/>
                <w:szCs w:val="16"/>
                <w:lang w:eastAsia="en-US"/>
              </w:rPr>
              <w:t>59(3)(a) – bez výnimiek</w:t>
            </w:r>
          </w:p>
        </w:tc>
        <w:tc>
          <w:tcPr>
            <w:tcW w:w="5339" w:type="dxa"/>
            <w:tcBorders>
              <w:bottom w:val="single" w:sz="4" w:space="0" w:color="auto"/>
            </w:tcBorders>
            <w:shd w:val="clear" w:color="auto" w:fill="auto"/>
            <w:vAlign w:val="center"/>
          </w:tcPr>
          <w:p w:rsidR="009B0266" w:rsidRPr="00961CB3" w:rsidRDefault="009B0266" w:rsidP="009B0266">
            <w:pPr>
              <w:spacing w:beforeLines="20" w:before="48" w:afterLines="20" w:after="48"/>
              <w:jc w:val="center"/>
              <w:rPr>
                <w:sz w:val="16"/>
                <w:szCs w:val="16"/>
                <w:lang w:eastAsia="en-US"/>
              </w:rPr>
            </w:pPr>
            <w:r w:rsidRPr="00961CB3">
              <w:rPr>
                <w:sz w:val="16"/>
                <w:szCs w:val="16"/>
                <w:lang w:eastAsia="en-US"/>
              </w:rPr>
              <w:t>2B</w:t>
            </w:r>
          </w:p>
        </w:tc>
        <w:tc>
          <w:tcPr>
            <w:tcW w:w="3261" w:type="dxa"/>
            <w:tcBorders>
              <w:bottom w:val="single" w:sz="4" w:space="0" w:color="auto"/>
            </w:tcBorders>
            <w:shd w:val="clear" w:color="auto" w:fill="auto"/>
            <w:vAlign w:val="bottom"/>
          </w:tcPr>
          <w:p w:rsidR="009B0266" w:rsidRPr="00961CB3" w:rsidRDefault="009B0266" w:rsidP="004F2B59">
            <w:pPr>
              <w:tabs>
                <w:tab w:val="left" w:pos="1877"/>
                <w:tab w:val="left" w:pos="2019"/>
              </w:tabs>
              <w:ind w:right="742"/>
              <w:jc w:val="right"/>
              <w:rPr>
                <w:rFonts w:eastAsiaTheme="minorHAnsi"/>
                <w:sz w:val="16"/>
                <w:szCs w:val="16"/>
                <w:lang w:eastAsia="en-US"/>
              </w:rPr>
            </w:pPr>
            <w:r w:rsidRPr="00961CB3">
              <w:rPr>
                <w:rFonts w:eastAsiaTheme="minorHAnsi"/>
                <w:sz w:val="16"/>
                <w:szCs w:val="16"/>
                <w:lang w:eastAsia="en-US"/>
              </w:rPr>
              <w:t>51 371,25</w:t>
            </w:r>
          </w:p>
        </w:tc>
      </w:tr>
      <w:tr w:rsidR="009B0266" w:rsidRPr="00961CB3" w:rsidTr="004F2B59">
        <w:tc>
          <w:tcPr>
            <w:tcW w:w="4300" w:type="dxa"/>
            <w:tcBorders>
              <w:bottom w:val="single" w:sz="4" w:space="0" w:color="auto"/>
            </w:tcBorders>
            <w:shd w:val="clear" w:color="auto" w:fill="auto"/>
            <w:vAlign w:val="center"/>
          </w:tcPr>
          <w:p w:rsidR="009B0266" w:rsidRPr="00961CB3" w:rsidRDefault="009B0266" w:rsidP="009B0266">
            <w:pPr>
              <w:spacing w:beforeLines="20" w:before="48" w:afterLines="20" w:after="48"/>
              <w:jc w:val="center"/>
              <w:rPr>
                <w:sz w:val="16"/>
                <w:szCs w:val="16"/>
                <w:lang w:eastAsia="en-US"/>
              </w:rPr>
            </w:pPr>
            <w:r w:rsidRPr="00961CB3">
              <w:rPr>
                <w:sz w:val="16"/>
                <w:szCs w:val="16"/>
                <w:lang w:eastAsia="en-US"/>
              </w:rPr>
              <w:t>59(3)(a) – bez výnimiek</w:t>
            </w:r>
          </w:p>
        </w:tc>
        <w:tc>
          <w:tcPr>
            <w:tcW w:w="5339" w:type="dxa"/>
            <w:tcBorders>
              <w:bottom w:val="single" w:sz="4" w:space="0" w:color="auto"/>
            </w:tcBorders>
            <w:shd w:val="clear" w:color="auto" w:fill="auto"/>
            <w:vAlign w:val="center"/>
          </w:tcPr>
          <w:p w:rsidR="009B0266" w:rsidRPr="00961CB3" w:rsidRDefault="009B0266" w:rsidP="009B0266">
            <w:pPr>
              <w:spacing w:beforeLines="20" w:before="48" w:afterLines="20" w:after="48"/>
              <w:jc w:val="center"/>
              <w:rPr>
                <w:sz w:val="16"/>
                <w:szCs w:val="16"/>
                <w:lang w:eastAsia="en-US"/>
              </w:rPr>
            </w:pPr>
            <w:r w:rsidRPr="00961CB3">
              <w:rPr>
                <w:sz w:val="16"/>
                <w:szCs w:val="16"/>
                <w:lang w:eastAsia="en-US"/>
              </w:rPr>
              <w:t>3A</w:t>
            </w:r>
          </w:p>
        </w:tc>
        <w:tc>
          <w:tcPr>
            <w:tcW w:w="3261" w:type="dxa"/>
            <w:tcBorders>
              <w:bottom w:val="single" w:sz="4" w:space="0" w:color="auto"/>
            </w:tcBorders>
            <w:shd w:val="clear" w:color="auto" w:fill="auto"/>
            <w:vAlign w:val="bottom"/>
          </w:tcPr>
          <w:p w:rsidR="009B0266" w:rsidRPr="00961CB3" w:rsidRDefault="009B0266" w:rsidP="004F2B59">
            <w:pPr>
              <w:tabs>
                <w:tab w:val="left" w:pos="1877"/>
                <w:tab w:val="left" w:pos="2019"/>
              </w:tabs>
              <w:ind w:right="742"/>
              <w:jc w:val="right"/>
              <w:rPr>
                <w:rFonts w:eastAsiaTheme="minorHAnsi"/>
                <w:sz w:val="16"/>
                <w:szCs w:val="16"/>
                <w:lang w:eastAsia="en-US"/>
              </w:rPr>
            </w:pPr>
            <w:r w:rsidRPr="00961CB3">
              <w:rPr>
                <w:rFonts w:eastAsiaTheme="minorHAnsi"/>
                <w:sz w:val="16"/>
                <w:szCs w:val="16"/>
                <w:lang w:eastAsia="en-US"/>
              </w:rPr>
              <w:t>77 056,88</w:t>
            </w:r>
          </w:p>
        </w:tc>
      </w:tr>
      <w:tr w:rsidR="009B0266" w:rsidRPr="00961CB3" w:rsidTr="004F2B59">
        <w:tc>
          <w:tcPr>
            <w:tcW w:w="4300" w:type="dxa"/>
            <w:tcBorders>
              <w:bottom w:val="single" w:sz="4" w:space="0" w:color="auto"/>
            </w:tcBorders>
            <w:shd w:val="clear" w:color="auto" w:fill="auto"/>
            <w:vAlign w:val="center"/>
          </w:tcPr>
          <w:p w:rsidR="009B0266" w:rsidRPr="00961CB3" w:rsidRDefault="009B0266" w:rsidP="009B0266">
            <w:pPr>
              <w:spacing w:beforeLines="20" w:before="48" w:afterLines="20" w:after="48"/>
              <w:jc w:val="center"/>
              <w:rPr>
                <w:sz w:val="16"/>
                <w:szCs w:val="16"/>
                <w:lang w:eastAsia="en-US"/>
              </w:rPr>
            </w:pPr>
            <w:r w:rsidRPr="00961CB3">
              <w:rPr>
                <w:sz w:val="16"/>
                <w:szCs w:val="16"/>
                <w:lang w:eastAsia="en-US"/>
              </w:rPr>
              <w:t>59(3)(a) – bez výnimiek</w:t>
            </w:r>
          </w:p>
        </w:tc>
        <w:tc>
          <w:tcPr>
            <w:tcW w:w="5339" w:type="dxa"/>
            <w:tcBorders>
              <w:bottom w:val="single" w:sz="4" w:space="0" w:color="auto"/>
            </w:tcBorders>
            <w:shd w:val="clear" w:color="auto" w:fill="auto"/>
            <w:vAlign w:val="center"/>
          </w:tcPr>
          <w:p w:rsidR="009B0266" w:rsidRPr="00961CB3" w:rsidRDefault="009B0266" w:rsidP="009B0266">
            <w:pPr>
              <w:spacing w:beforeLines="20" w:before="48" w:afterLines="20" w:after="48"/>
              <w:jc w:val="center"/>
              <w:rPr>
                <w:sz w:val="16"/>
                <w:szCs w:val="16"/>
                <w:lang w:eastAsia="en-US"/>
              </w:rPr>
            </w:pPr>
            <w:r w:rsidRPr="00961CB3">
              <w:rPr>
                <w:sz w:val="16"/>
                <w:szCs w:val="16"/>
                <w:lang w:eastAsia="en-US"/>
              </w:rPr>
              <w:t>3B</w:t>
            </w:r>
          </w:p>
        </w:tc>
        <w:tc>
          <w:tcPr>
            <w:tcW w:w="3261" w:type="dxa"/>
            <w:tcBorders>
              <w:bottom w:val="single" w:sz="4" w:space="0" w:color="auto"/>
            </w:tcBorders>
            <w:shd w:val="clear" w:color="auto" w:fill="auto"/>
            <w:vAlign w:val="bottom"/>
          </w:tcPr>
          <w:p w:rsidR="009B0266" w:rsidRPr="00961CB3" w:rsidRDefault="009B0266" w:rsidP="004F2B59">
            <w:pPr>
              <w:tabs>
                <w:tab w:val="left" w:pos="1877"/>
                <w:tab w:val="left" w:pos="2019"/>
              </w:tabs>
              <w:ind w:right="742"/>
              <w:jc w:val="right"/>
              <w:rPr>
                <w:rFonts w:eastAsiaTheme="minorHAnsi"/>
                <w:sz w:val="16"/>
                <w:szCs w:val="16"/>
                <w:lang w:eastAsia="en-US"/>
              </w:rPr>
            </w:pPr>
            <w:r w:rsidRPr="00961CB3">
              <w:rPr>
                <w:rFonts w:eastAsiaTheme="minorHAnsi"/>
                <w:sz w:val="16"/>
                <w:szCs w:val="16"/>
                <w:lang w:eastAsia="en-US"/>
              </w:rPr>
              <w:t>62 379,38</w:t>
            </w:r>
          </w:p>
        </w:tc>
      </w:tr>
      <w:tr w:rsidR="009B0266" w:rsidRPr="00961CB3" w:rsidTr="004F2B59">
        <w:tc>
          <w:tcPr>
            <w:tcW w:w="4300" w:type="dxa"/>
            <w:tcBorders>
              <w:bottom w:val="single" w:sz="4" w:space="0" w:color="auto"/>
            </w:tcBorders>
            <w:shd w:val="clear" w:color="auto" w:fill="auto"/>
            <w:vAlign w:val="center"/>
          </w:tcPr>
          <w:p w:rsidR="009B0266" w:rsidRPr="00961CB3" w:rsidRDefault="009B0266" w:rsidP="009B0266">
            <w:pPr>
              <w:spacing w:beforeLines="20" w:before="48" w:afterLines="20" w:after="48"/>
              <w:jc w:val="center"/>
              <w:rPr>
                <w:sz w:val="16"/>
                <w:szCs w:val="16"/>
                <w:lang w:eastAsia="en-US"/>
              </w:rPr>
            </w:pPr>
            <w:r w:rsidRPr="00961CB3">
              <w:rPr>
                <w:sz w:val="16"/>
                <w:szCs w:val="16"/>
                <w:lang w:eastAsia="en-US"/>
              </w:rPr>
              <w:t>59(3)(a) – bez výnimiek</w:t>
            </w:r>
          </w:p>
        </w:tc>
        <w:tc>
          <w:tcPr>
            <w:tcW w:w="5339" w:type="dxa"/>
            <w:tcBorders>
              <w:bottom w:val="single" w:sz="4" w:space="0" w:color="auto"/>
            </w:tcBorders>
            <w:shd w:val="clear" w:color="auto" w:fill="auto"/>
            <w:vAlign w:val="center"/>
          </w:tcPr>
          <w:p w:rsidR="009B0266" w:rsidRPr="00961CB3" w:rsidRDefault="009B0266" w:rsidP="009B0266">
            <w:pPr>
              <w:spacing w:beforeLines="20" w:before="48" w:afterLines="20" w:after="48"/>
              <w:jc w:val="center"/>
              <w:rPr>
                <w:sz w:val="16"/>
                <w:szCs w:val="16"/>
                <w:lang w:eastAsia="en-US"/>
              </w:rPr>
            </w:pPr>
            <w:r w:rsidRPr="00961CB3">
              <w:rPr>
                <w:sz w:val="16"/>
                <w:szCs w:val="16"/>
                <w:lang w:eastAsia="en-US"/>
              </w:rPr>
              <w:t>4</w:t>
            </w:r>
          </w:p>
        </w:tc>
        <w:tc>
          <w:tcPr>
            <w:tcW w:w="3261" w:type="dxa"/>
            <w:tcBorders>
              <w:bottom w:val="single" w:sz="4" w:space="0" w:color="auto"/>
            </w:tcBorders>
            <w:shd w:val="clear" w:color="auto" w:fill="auto"/>
            <w:vAlign w:val="bottom"/>
          </w:tcPr>
          <w:p w:rsidR="009B0266" w:rsidRPr="00961CB3" w:rsidRDefault="009B0266" w:rsidP="004F2B59">
            <w:pPr>
              <w:tabs>
                <w:tab w:val="left" w:pos="1877"/>
                <w:tab w:val="left" w:pos="2019"/>
              </w:tabs>
              <w:ind w:right="742"/>
              <w:jc w:val="right"/>
              <w:rPr>
                <w:rFonts w:eastAsiaTheme="minorHAnsi"/>
                <w:sz w:val="16"/>
                <w:szCs w:val="16"/>
                <w:lang w:eastAsia="en-US"/>
              </w:rPr>
            </w:pPr>
            <w:r w:rsidRPr="00961CB3">
              <w:rPr>
                <w:rFonts w:eastAsiaTheme="minorHAnsi"/>
                <w:sz w:val="16"/>
                <w:szCs w:val="16"/>
                <w:lang w:eastAsia="en-US"/>
              </w:rPr>
              <w:t>913 674,38</w:t>
            </w:r>
          </w:p>
        </w:tc>
      </w:tr>
      <w:tr w:rsidR="009B0266" w:rsidRPr="00961CB3" w:rsidTr="004F2B59">
        <w:tc>
          <w:tcPr>
            <w:tcW w:w="4300" w:type="dxa"/>
            <w:tcBorders>
              <w:bottom w:val="single" w:sz="4" w:space="0" w:color="auto"/>
            </w:tcBorders>
            <w:shd w:val="clear" w:color="auto" w:fill="auto"/>
            <w:vAlign w:val="center"/>
          </w:tcPr>
          <w:p w:rsidR="009B0266" w:rsidRPr="00961CB3" w:rsidRDefault="009B0266" w:rsidP="009B0266">
            <w:pPr>
              <w:spacing w:beforeLines="20" w:before="48" w:afterLines="20" w:after="48"/>
              <w:jc w:val="center"/>
              <w:rPr>
                <w:sz w:val="16"/>
                <w:szCs w:val="16"/>
                <w:lang w:eastAsia="en-US"/>
              </w:rPr>
            </w:pPr>
            <w:r w:rsidRPr="00961CB3">
              <w:rPr>
                <w:sz w:val="16"/>
                <w:szCs w:val="16"/>
                <w:lang w:eastAsia="en-US"/>
              </w:rPr>
              <w:t>59(3)(a) – bez výnimiek</w:t>
            </w:r>
          </w:p>
        </w:tc>
        <w:tc>
          <w:tcPr>
            <w:tcW w:w="5339" w:type="dxa"/>
            <w:tcBorders>
              <w:bottom w:val="single" w:sz="4" w:space="0" w:color="auto"/>
            </w:tcBorders>
            <w:shd w:val="clear" w:color="auto" w:fill="auto"/>
            <w:vAlign w:val="center"/>
          </w:tcPr>
          <w:p w:rsidR="009B0266" w:rsidRPr="00961CB3" w:rsidRDefault="009B0266" w:rsidP="009B0266">
            <w:pPr>
              <w:spacing w:beforeLines="20" w:before="48" w:afterLines="20" w:after="48"/>
              <w:jc w:val="center"/>
              <w:rPr>
                <w:sz w:val="16"/>
                <w:szCs w:val="16"/>
                <w:lang w:eastAsia="en-US"/>
              </w:rPr>
            </w:pPr>
            <w:r w:rsidRPr="00961CB3">
              <w:rPr>
                <w:sz w:val="16"/>
                <w:szCs w:val="16"/>
                <w:lang w:eastAsia="en-US"/>
              </w:rPr>
              <w:t>5A</w:t>
            </w:r>
          </w:p>
        </w:tc>
        <w:tc>
          <w:tcPr>
            <w:tcW w:w="3261" w:type="dxa"/>
            <w:tcBorders>
              <w:bottom w:val="single" w:sz="4" w:space="0" w:color="auto"/>
            </w:tcBorders>
            <w:shd w:val="clear" w:color="auto" w:fill="auto"/>
            <w:vAlign w:val="bottom"/>
          </w:tcPr>
          <w:p w:rsidR="009B0266" w:rsidRPr="00961CB3" w:rsidRDefault="009B0266" w:rsidP="004F2B59">
            <w:pPr>
              <w:tabs>
                <w:tab w:val="left" w:pos="1877"/>
                <w:tab w:val="left" w:pos="2019"/>
              </w:tabs>
              <w:ind w:right="742"/>
              <w:jc w:val="right"/>
              <w:rPr>
                <w:rFonts w:eastAsiaTheme="minorHAnsi"/>
                <w:sz w:val="16"/>
                <w:szCs w:val="16"/>
                <w:lang w:eastAsia="en-US"/>
              </w:rPr>
            </w:pPr>
            <w:r w:rsidRPr="00961CB3">
              <w:rPr>
                <w:rFonts w:eastAsiaTheme="minorHAnsi"/>
                <w:sz w:val="16"/>
                <w:szCs w:val="16"/>
                <w:lang w:eastAsia="en-US"/>
              </w:rPr>
              <w:t>69 718,13</w:t>
            </w:r>
          </w:p>
        </w:tc>
      </w:tr>
      <w:tr w:rsidR="009B0266" w:rsidRPr="00961CB3" w:rsidTr="004F2B59">
        <w:tc>
          <w:tcPr>
            <w:tcW w:w="4300" w:type="dxa"/>
            <w:tcBorders>
              <w:bottom w:val="single" w:sz="4" w:space="0" w:color="auto"/>
            </w:tcBorders>
            <w:shd w:val="clear" w:color="auto" w:fill="auto"/>
            <w:vAlign w:val="center"/>
          </w:tcPr>
          <w:p w:rsidR="009B0266" w:rsidRPr="00961CB3" w:rsidRDefault="009B0266" w:rsidP="009B0266">
            <w:pPr>
              <w:spacing w:beforeLines="20" w:before="48" w:afterLines="20" w:after="48"/>
              <w:jc w:val="center"/>
              <w:rPr>
                <w:sz w:val="16"/>
                <w:szCs w:val="16"/>
                <w:lang w:eastAsia="en-US"/>
              </w:rPr>
            </w:pPr>
            <w:r w:rsidRPr="00961CB3">
              <w:rPr>
                <w:sz w:val="16"/>
                <w:szCs w:val="16"/>
                <w:lang w:eastAsia="en-US"/>
              </w:rPr>
              <w:t>59(3)(a) – bez výnimiek</w:t>
            </w:r>
          </w:p>
        </w:tc>
        <w:tc>
          <w:tcPr>
            <w:tcW w:w="5339" w:type="dxa"/>
            <w:tcBorders>
              <w:bottom w:val="single" w:sz="4" w:space="0" w:color="auto"/>
            </w:tcBorders>
            <w:shd w:val="clear" w:color="auto" w:fill="auto"/>
            <w:vAlign w:val="center"/>
          </w:tcPr>
          <w:p w:rsidR="009B0266" w:rsidRPr="00961CB3" w:rsidRDefault="009B0266" w:rsidP="009B0266">
            <w:pPr>
              <w:spacing w:beforeLines="20" w:before="48" w:afterLines="20" w:after="48"/>
              <w:jc w:val="center"/>
              <w:rPr>
                <w:sz w:val="16"/>
                <w:szCs w:val="16"/>
                <w:lang w:eastAsia="en-US"/>
              </w:rPr>
            </w:pPr>
            <w:r w:rsidRPr="00961CB3">
              <w:rPr>
                <w:sz w:val="16"/>
                <w:szCs w:val="16"/>
                <w:lang w:eastAsia="en-US"/>
              </w:rPr>
              <w:t>5B</w:t>
            </w:r>
          </w:p>
        </w:tc>
        <w:tc>
          <w:tcPr>
            <w:tcW w:w="3261" w:type="dxa"/>
            <w:tcBorders>
              <w:bottom w:val="single" w:sz="4" w:space="0" w:color="auto"/>
            </w:tcBorders>
            <w:shd w:val="clear" w:color="auto" w:fill="auto"/>
            <w:vAlign w:val="bottom"/>
          </w:tcPr>
          <w:p w:rsidR="009B0266" w:rsidRPr="00961CB3" w:rsidRDefault="009B0266" w:rsidP="004F2B59">
            <w:pPr>
              <w:tabs>
                <w:tab w:val="left" w:pos="1877"/>
                <w:tab w:val="left" w:pos="2019"/>
              </w:tabs>
              <w:ind w:right="742"/>
              <w:jc w:val="right"/>
              <w:rPr>
                <w:rFonts w:eastAsiaTheme="minorHAnsi"/>
                <w:sz w:val="16"/>
                <w:szCs w:val="16"/>
                <w:lang w:eastAsia="en-US"/>
              </w:rPr>
            </w:pPr>
            <w:r w:rsidRPr="00961CB3">
              <w:rPr>
                <w:rFonts w:eastAsiaTheme="minorHAnsi"/>
                <w:sz w:val="16"/>
                <w:szCs w:val="16"/>
                <w:lang w:eastAsia="en-US"/>
              </w:rPr>
              <w:t>69 718,13</w:t>
            </w:r>
          </w:p>
        </w:tc>
      </w:tr>
      <w:tr w:rsidR="009B0266" w:rsidRPr="00961CB3" w:rsidTr="004F2B59">
        <w:tc>
          <w:tcPr>
            <w:tcW w:w="4300" w:type="dxa"/>
            <w:tcBorders>
              <w:bottom w:val="single" w:sz="4" w:space="0" w:color="auto"/>
            </w:tcBorders>
            <w:shd w:val="clear" w:color="auto" w:fill="auto"/>
            <w:vAlign w:val="center"/>
          </w:tcPr>
          <w:p w:rsidR="009B0266" w:rsidRPr="00961CB3" w:rsidRDefault="009B0266" w:rsidP="009B0266">
            <w:pPr>
              <w:spacing w:beforeLines="20" w:before="48" w:afterLines="20" w:after="48"/>
              <w:jc w:val="center"/>
              <w:rPr>
                <w:sz w:val="16"/>
                <w:szCs w:val="16"/>
                <w:lang w:eastAsia="en-US"/>
              </w:rPr>
            </w:pPr>
            <w:r w:rsidRPr="00961CB3">
              <w:rPr>
                <w:sz w:val="16"/>
                <w:szCs w:val="16"/>
                <w:lang w:eastAsia="en-US"/>
              </w:rPr>
              <w:t>59(3)(a) – bez výnimiek</w:t>
            </w:r>
          </w:p>
        </w:tc>
        <w:tc>
          <w:tcPr>
            <w:tcW w:w="5339" w:type="dxa"/>
            <w:tcBorders>
              <w:bottom w:val="single" w:sz="4" w:space="0" w:color="auto"/>
            </w:tcBorders>
            <w:shd w:val="clear" w:color="auto" w:fill="auto"/>
            <w:vAlign w:val="center"/>
          </w:tcPr>
          <w:p w:rsidR="009B0266" w:rsidRPr="00961CB3" w:rsidRDefault="009B0266" w:rsidP="009B0266">
            <w:pPr>
              <w:spacing w:beforeLines="20" w:before="48" w:afterLines="20" w:after="48"/>
              <w:jc w:val="center"/>
              <w:rPr>
                <w:sz w:val="16"/>
                <w:szCs w:val="16"/>
                <w:lang w:eastAsia="en-US"/>
              </w:rPr>
            </w:pPr>
            <w:r w:rsidRPr="00961CB3">
              <w:rPr>
                <w:sz w:val="16"/>
                <w:szCs w:val="16"/>
                <w:lang w:eastAsia="en-US"/>
              </w:rPr>
              <w:t>5D</w:t>
            </w:r>
          </w:p>
        </w:tc>
        <w:tc>
          <w:tcPr>
            <w:tcW w:w="3261" w:type="dxa"/>
            <w:tcBorders>
              <w:bottom w:val="single" w:sz="4" w:space="0" w:color="auto"/>
            </w:tcBorders>
            <w:shd w:val="clear" w:color="auto" w:fill="auto"/>
            <w:vAlign w:val="bottom"/>
          </w:tcPr>
          <w:p w:rsidR="009B0266" w:rsidRPr="00961CB3" w:rsidRDefault="009B0266" w:rsidP="004F2B59">
            <w:pPr>
              <w:tabs>
                <w:tab w:val="left" w:pos="1877"/>
                <w:tab w:val="left" w:pos="2019"/>
              </w:tabs>
              <w:ind w:right="742"/>
              <w:jc w:val="right"/>
              <w:rPr>
                <w:rFonts w:eastAsiaTheme="minorHAnsi"/>
                <w:sz w:val="16"/>
                <w:szCs w:val="16"/>
                <w:lang w:eastAsia="en-US"/>
              </w:rPr>
            </w:pPr>
            <w:r w:rsidRPr="00961CB3">
              <w:rPr>
                <w:rFonts w:eastAsiaTheme="minorHAnsi"/>
                <w:sz w:val="16"/>
                <w:szCs w:val="16"/>
                <w:lang w:eastAsia="en-US"/>
              </w:rPr>
              <w:t>675 165,00</w:t>
            </w:r>
          </w:p>
        </w:tc>
      </w:tr>
      <w:tr w:rsidR="009B0266" w:rsidRPr="00961CB3" w:rsidTr="004F2B59">
        <w:tc>
          <w:tcPr>
            <w:tcW w:w="4300" w:type="dxa"/>
            <w:tcBorders>
              <w:bottom w:val="single" w:sz="4" w:space="0" w:color="auto"/>
            </w:tcBorders>
            <w:shd w:val="clear" w:color="auto" w:fill="auto"/>
            <w:vAlign w:val="center"/>
          </w:tcPr>
          <w:p w:rsidR="009B0266" w:rsidRPr="00961CB3" w:rsidRDefault="009B0266" w:rsidP="009B0266">
            <w:pPr>
              <w:spacing w:beforeLines="20" w:before="48" w:afterLines="20" w:after="48"/>
              <w:jc w:val="center"/>
              <w:rPr>
                <w:sz w:val="16"/>
                <w:szCs w:val="16"/>
                <w:lang w:eastAsia="en-US"/>
              </w:rPr>
            </w:pPr>
            <w:r w:rsidRPr="00961CB3">
              <w:rPr>
                <w:sz w:val="16"/>
                <w:szCs w:val="16"/>
                <w:lang w:eastAsia="en-US"/>
              </w:rPr>
              <w:t>59(3)(a) – bez výnimiek</w:t>
            </w:r>
          </w:p>
        </w:tc>
        <w:tc>
          <w:tcPr>
            <w:tcW w:w="5339" w:type="dxa"/>
            <w:tcBorders>
              <w:bottom w:val="single" w:sz="4" w:space="0" w:color="auto"/>
            </w:tcBorders>
            <w:shd w:val="clear" w:color="auto" w:fill="auto"/>
            <w:vAlign w:val="center"/>
          </w:tcPr>
          <w:p w:rsidR="009B0266" w:rsidRPr="00961CB3" w:rsidRDefault="009B0266" w:rsidP="009B0266">
            <w:pPr>
              <w:spacing w:beforeLines="20" w:before="48" w:afterLines="20" w:after="48"/>
              <w:jc w:val="center"/>
              <w:rPr>
                <w:sz w:val="16"/>
                <w:szCs w:val="16"/>
                <w:lang w:eastAsia="en-US"/>
              </w:rPr>
            </w:pPr>
            <w:r w:rsidRPr="00961CB3">
              <w:rPr>
                <w:sz w:val="16"/>
                <w:szCs w:val="16"/>
                <w:lang w:eastAsia="en-US"/>
              </w:rPr>
              <w:t>5E</w:t>
            </w:r>
          </w:p>
        </w:tc>
        <w:tc>
          <w:tcPr>
            <w:tcW w:w="3261" w:type="dxa"/>
            <w:tcBorders>
              <w:bottom w:val="single" w:sz="4" w:space="0" w:color="auto"/>
            </w:tcBorders>
            <w:shd w:val="clear" w:color="auto" w:fill="auto"/>
            <w:vAlign w:val="bottom"/>
          </w:tcPr>
          <w:p w:rsidR="009B0266" w:rsidRPr="00961CB3" w:rsidRDefault="009B0266" w:rsidP="004F2B59">
            <w:pPr>
              <w:tabs>
                <w:tab w:val="left" w:pos="1877"/>
                <w:tab w:val="left" w:pos="2019"/>
              </w:tabs>
              <w:ind w:right="742"/>
              <w:jc w:val="right"/>
              <w:rPr>
                <w:rFonts w:eastAsiaTheme="minorHAnsi"/>
                <w:sz w:val="16"/>
                <w:szCs w:val="16"/>
                <w:lang w:eastAsia="en-US"/>
              </w:rPr>
            </w:pPr>
            <w:r w:rsidRPr="00961CB3">
              <w:rPr>
                <w:rFonts w:eastAsiaTheme="minorHAnsi"/>
                <w:sz w:val="16"/>
                <w:szCs w:val="16"/>
                <w:lang w:eastAsia="en-US"/>
              </w:rPr>
              <w:t>29 355,00</w:t>
            </w:r>
          </w:p>
        </w:tc>
      </w:tr>
      <w:tr w:rsidR="009B0266" w:rsidRPr="00961CB3" w:rsidTr="004F2B59">
        <w:tc>
          <w:tcPr>
            <w:tcW w:w="4300" w:type="dxa"/>
            <w:tcBorders>
              <w:bottom w:val="single" w:sz="4" w:space="0" w:color="auto"/>
            </w:tcBorders>
            <w:shd w:val="clear" w:color="auto" w:fill="auto"/>
            <w:vAlign w:val="center"/>
          </w:tcPr>
          <w:p w:rsidR="009B0266" w:rsidRPr="00961CB3" w:rsidRDefault="009B0266" w:rsidP="009B0266">
            <w:pPr>
              <w:spacing w:beforeLines="20" w:before="48" w:afterLines="20" w:after="48"/>
              <w:jc w:val="center"/>
              <w:rPr>
                <w:sz w:val="16"/>
                <w:szCs w:val="16"/>
                <w:lang w:eastAsia="en-US"/>
              </w:rPr>
            </w:pPr>
            <w:r w:rsidRPr="00961CB3">
              <w:rPr>
                <w:sz w:val="16"/>
                <w:szCs w:val="16"/>
                <w:lang w:eastAsia="en-US"/>
              </w:rPr>
              <w:t>59(3)(d) – bez výnimiek</w:t>
            </w:r>
          </w:p>
        </w:tc>
        <w:tc>
          <w:tcPr>
            <w:tcW w:w="5339" w:type="dxa"/>
            <w:tcBorders>
              <w:bottom w:val="single" w:sz="4" w:space="0" w:color="auto"/>
            </w:tcBorders>
            <w:shd w:val="clear" w:color="auto" w:fill="auto"/>
            <w:vAlign w:val="center"/>
          </w:tcPr>
          <w:p w:rsidR="009B0266" w:rsidRPr="00961CB3" w:rsidRDefault="009B0266" w:rsidP="009B0266">
            <w:pPr>
              <w:spacing w:beforeLines="20" w:before="48" w:afterLines="20" w:after="48"/>
              <w:jc w:val="center"/>
              <w:rPr>
                <w:sz w:val="16"/>
                <w:szCs w:val="16"/>
                <w:lang w:eastAsia="en-US"/>
              </w:rPr>
            </w:pPr>
            <w:r w:rsidRPr="00961CB3">
              <w:rPr>
                <w:sz w:val="16"/>
                <w:szCs w:val="16"/>
                <w:lang w:eastAsia="en-US"/>
              </w:rPr>
              <w:t>2A</w:t>
            </w:r>
          </w:p>
        </w:tc>
        <w:tc>
          <w:tcPr>
            <w:tcW w:w="3261" w:type="dxa"/>
            <w:tcBorders>
              <w:bottom w:val="single" w:sz="4" w:space="0" w:color="auto"/>
            </w:tcBorders>
            <w:shd w:val="clear" w:color="auto" w:fill="auto"/>
            <w:vAlign w:val="bottom"/>
          </w:tcPr>
          <w:p w:rsidR="009B0266" w:rsidRPr="00961CB3" w:rsidRDefault="009B0266" w:rsidP="004F2B59">
            <w:pPr>
              <w:tabs>
                <w:tab w:val="left" w:pos="1877"/>
                <w:tab w:val="left" w:pos="2019"/>
              </w:tabs>
              <w:ind w:right="742"/>
              <w:jc w:val="right"/>
              <w:rPr>
                <w:rFonts w:eastAsiaTheme="minorHAnsi"/>
                <w:sz w:val="16"/>
                <w:szCs w:val="16"/>
                <w:lang w:eastAsia="en-US"/>
              </w:rPr>
            </w:pPr>
            <w:r w:rsidRPr="00961CB3">
              <w:rPr>
                <w:rFonts w:eastAsiaTheme="minorHAnsi"/>
                <w:sz w:val="16"/>
                <w:szCs w:val="16"/>
                <w:lang w:eastAsia="en-US"/>
              </w:rPr>
              <w:t>2 905,73</w:t>
            </w:r>
          </w:p>
        </w:tc>
      </w:tr>
      <w:tr w:rsidR="009B0266" w:rsidRPr="00961CB3" w:rsidTr="004F2B59">
        <w:tc>
          <w:tcPr>
            <w:tcW w:w="4300" w:type="dxa"/>
            <w:tcBorders>
              <w:bottom w:val="single" w:sz="4" w:space="0" w:color="auto"/>
            </w:tcBorders>
            <w:shd w:val="clear" w:color="auto" w:fill="auto"/>
            <w:vAlign w:val="center"/>
          </w:tcPr>
          <w:p w:rsidR="009B0266" w:rsidRPr="00961CB3" w:rsidRDefault="009B0266" w:rsidP="009B0266">
            <w:pPr>
              <w:spacing w:beforeLines="20" w:before="48" w:afterLines="20" w:after="48"/>
              <w:jc w:val="center"/>
              <w:rPr>
                <w:sz w:val="16"/>
                <w:szCs w:val="16"/>
                <w:lang w:eastAsia="en-US"/>
              </w:rPr>
            </w:pPr>
            <w:r w:rsidRPr="00961CB3">
              <w:rPr>
                <w:sz w:val="16"/>
                <w:szCs w:val="16"/>
                <w:lang w:eastAsia="en-US"/>
              </w:rPr>
              <w:t>59(3)(d) – bez výnimiek</w:t>
            </w:r>
          </w:p>
        </w:tc>
        <w:tc>
          <w:tcPr>
            <w:tcW w:w="5339" w:type="dxa"/>
            <w:tcBorders>
              <w:bottom w:val="single" w:sz="4" w:space="0" w:color="auto"/>
            </w:tcBorders>
            <w:shd w:val="clear" w:color="auto" w:fill="auto"/>
            <w:vAlign w:val="center"/>
          </w:tcPr>
          <w:p w:rsidR="009B0266" w:rsidRPr="00961CB3" w:rsidRDefault="009B0266" w:rsidP="009B0266">
            <w:pPr>
              <w:spacing w:beforeLines="20" w:before="48" w:afterLines="20" w:after="48"/>
              <w:jc w:val="center"/>
              <w:rPr>
                <w:sz w:val="16"/>
                <w:szCs w:val="16"/>
                <w:lang w:eastAsia="en-US"/>
              </w:rPr>
            </w:pPr>
            <w:r w:rsidRPr="00961CB3">
              <w:rPr>
                <w:sz w:val="16"/>
                <w:szCs w:val="16"/>
                <w:lang w:eastAsia="en-US"/>
              </w:rPr>
              <w:t>2B</w:t>
            </w:r>
          </w:p>
        </w:tc>
        <w:tc>
          <w:tcPr>
            <w:tcW w:w="3261" w:type="dxa"/>
            <w:tcBorders>
              <w:bottom w:val="single" w:sz="4" w:space="0" w:color="auto"/>
            </w:tcBorders>
            <w:shd w:val="clear" w:color="auto" w:fill="auto"/>
            <w:vAlign w:val="bottom"/>
          </w:tcPr>
          <w:p w:rsidR="009B0266" w:rsidRPr="00961CB3" w:rsidRDefault="009B0266" w:rsidP="004F2B59">
            <w:pPr>
              <w:tabs>
                <w:tab w:val="left" w:pos="1877"/>
                <w:tab w:val="left" w:pos="2019"/>
              </w:tabs>
              <w:ind w:right="742"/>
              <w:jc w:val="right"/>
              <w:rPr>
                <w:rFonts w:eastAsiaTheme="minorHAnsi"/>
                <w:sz w:val="16"/>
                <w:szCs w:val="16"/>
                <w:lang w:eastAsia="en-US"/>
              </w:rPr>
            </w:pPr>
            <w:r w:rsidRPr="00961CB3">
              <w:rPr>
                <w:rFonts w:eastAsiaTheme="minorHAnsi"/>
                <w:sz w:val="16"/>
                <w:szCs w:val="16"/>
                <w:lang w:eastAsia="en-US"/>
              </w:rPr>
              <w:t>797,65</w:t>
            </w:r>
          </w:p>
        </w:tc>
      </w:tr>
      <w:tr w:rsidR="009B0266" w:rsidRPr="00961CB3" w:rsidTr="004F2B59">
        <w:tc>
          <w:tcPr>
            <w:tcW w:w="4300" w:type="dxa"/>
            <w:tcBorders>
              <w:bottom w:val="single" w:sz="4" w:space="0" w:color="auto"/>
            </w:tcBorders>
            <w:shd w:val="clear" w:color="auto" w:fill="auto"/>
            <w:vAlign w:val="center"/>
          </w:tcPr>
          <w:p w:rsidR="009B0266" w:rsidRPr="00961CB3" w:rsidRDefault="009B0266" w:rsidP="009B0266">
            <w:pPr>
              <w:spacing w:beforeLines="20" w:before="48" w:afterLines="20" w:after="48"/>
              <w:jc w:val="center"/>
              <w:rPr>
                <w:sz w:val="16"/>
                <w:szCs w:val="16"/>
                <w:lang w:eastAsia="en-US"/>
              </w:rPr>
            </w:pPr>
            <w:r w:rsidRPr="00961CB3">
              <w:rPr>
                <w:sz w:val="16"/>
                <w:szCs w:val="16"/>
                <w:lang w:eastAsia="en-US"/>
              </w:rPr>
              <w:t>59(3)(d) – bez výnimiek</w:t>
            </w:r>
          </w:p>
        </w:tc>
        <w:tc>
          <w:tcPr>
            <w:tcW w:w="5339" w:type="dxa"/>
            <w:tcBorders>
              <w:bottom w:val="single" w:sz="4" w:space="0" w:color="auto"/>
            </w:tcBorders>
            <w:shd w:val="clear" w:color="auto" w:fill="auto"/>
            <w:vAlign w:val="center"/>
          </w:tcPr>
          <w:p w:rsidR="009B0266" w:rsidRPr="00961CB3" w:rsidRDefault="009B0266" w:rsidP="009B0266">
            <w:pPr>
              <w:spacing w:beforeLines="20" w:before="48" w:afterLines="20" w:after="48"/>
              <w:jc w:val="center"/>
              <w:rPr>
                <w:sz w:val="16"/>
                <w:szCs w:val="16"/>
                <w:lang w:eastAsia="en-US"/>
              </w:rPr>
            </w:pPr>
            <w:r w:rsidRPr="00961CB3">
              <w:rPr>
                <w:sz w:val="16"/>
                <w:szCs w:val="16"/>
                <w:lang w:eastAsia="en-US"/>
              </w:rPr>
              <w:t>3A</w:t>
            </w:r>
          </w:p>
        </w:tc>
        <w:tc>
          <w:tcPr>
            <w:tcW w:w="3261" w:type="dxa"/>
            <w:tcBorders>
              <w:bottom w:val="single" w:sz="4" w:space="0" w:color="auto"/>
            </w:tcBorders>
            <w:shd w:val="clear" w:color="auto" w:fill="auto"/>
            <w:vAlign w:val="bottom"/>
          </w:tcPr>
          <w:p w:rsidR="009B0266" w:rsidRPr="00961CB3" w:rsidRDefault="009B0266" w:rsidP="004F2B59">
            <w:pPr>
              <w:tabs>
                <w:tab w:val="left" w:pos="1877"/>
                <w:tab w:val="left" w:pos="2019"/>
              </w:tabs>
              <w:ind w:right="742"/>
              <w:jc w:val="right"/>
              <w:rPr>
                <w:rFonts w:eastAsiaTheme="minorHAnsi"/>
                <w:sz w:val="16"/>
                <w:szCs w:val="16"/>
                <w:lang w:eastAsia="en-US"/>
              </w:rPr>
            </w:pPr>
            <w:r w:rsidRPr="00961CB3">
              <w:rPr>
                <w:rFonts w:eastAsiaTheme="minorHAnsi"/>
                <w:sz w:val="16"/>
                <w:szCs w:val="16"/>
                <w:lang w:eastAsia="en-US"/>
              </w:rPr>
              <w:t>1 196,48</w:t>
            </w:r>
          </w:p>
        </w:tc>
      </w:tr>
      <w:tr w:rsidR="009B0266" w:rsidRPr="00961CB3" w:rsidTr="004F2B59">
        <w:tc>
          <w:tcPr>
            <w:tcW w:w="4300" w:type="dxa"/>
            <w:tcBorders>
              <w:bottom w:val="single" w:sz="4" w:space="0" w:color="auto"/>
            </w:tcBorders>
            <w:shd w:val="clear" w:color="auto" w:fill="auto"/>
            <w:vAlign w:val="center"/>
          </w:tcPr>
          <w:p w:rsidR="009B0266" w:rsidRPr="00961CB3" w:rsidRDefault="009B0266" w:rsidP="009B0266">
            <w:pPr>
              <w:spacing w:beforeLines="20" w:before="48" w:afterLines="20" w:after="48"/>
              <w:jc w:val="center"/>
              <w:rPr>
                <w:sz w:val="16"/>
                <w:szCs w:val="16"/>
                <w:lang w:eastAsia="en-US"/>
              </w:rPr>
            </w:pPr>
            <w:r w:rsidRPr="00961CB3">
              <w:rPr>
                <w:sz w:val="16"/>
                <w:szCs w:val="16"/>
                <w:lang w:eastAsia="en-US"/>
              </w:rPr>
              <w:t>59(3)(d) – bez výnimiek</w:t>
            </w:r>
          </w:p>
        </w:tc>
        <w:tc>
          <w:tcPr>
            <w:tcW w:w="5339" w:type="dxa"/>
            <w:tcBorders>
              <w:bottom w:val="single" w:sz="4" w:space="0" w:color="auto"/>
            </w:tcBorders>
            <w:shd w:val="clear" w:color="auto" w:fill="auto"/>
            <w:vAlign w:val="center"/>
          </w:tcPr>
          <w:p w:rsidR="009B0266" w:rsidRPr="00961CB3" w:rsidRDefault="009B0266" w:rsidP="009B0266">
            <w:pPr>
              <w:spacing w:beforeLines="20" w:before="48" w:afterLines="20" w:after="48"/>
              <w:jc w:val="center"/>
              <w:rPr>
                <w:sz w:val="16"/>
                <w:szCs w:val="16"/>
                <w:lang w:eastAsia="en-US"/>
              </w:rPr>
            </w:pPr>
            <w:r w:rsidRPr="00961CB3">
              <w:rPr>
                <w:sz w:val="16"/>
                <w:szCs w:val="16"/>
                <w:lang w:eastAsia="en-US"/>
              </w:rPr>
              <w:t>3B</w:t>
            </w:r>
          </w:p>
        </w:tc>
        <w:tc>
          <w:tcPr>
            <w:tcW w:w="3261" w:type="dxa"/>
            <w:tcBorders>
              <w:bottom w:val="single" w:sz="4" w:space="0" w:color="auto"/>
            </w:tcBorders>
            <w:shd w:val="clear" w:color="auto" w:fill="auto"/>
            <w:vAlign w:val="bottom"/>
          </w:tcPr>
          <w:p w:rsidR="009B0266" w:rsidRPr="00961CB3" w:rsidRDefault="009B0266" w:rsidP="004F2B59">
            <w:pPr>
              <w:tabs>
                <w:tab w:val="left" w:pos="1877"/>
                <w:tab w:val="left" w:pos="2019"/>
              </w:tabs>
              <w:ind w:right="742"/>
              <w:jc w:val="right"/>
              <w:rPr>
                <w:rFonts w:eastAsiaTheme="minorHAnsi"/>
                <w:sz w:val="16"/>
                <w:szCs w:val="16"/>
                <w:lang w:eastAsia="en-US"/>
              </w:rPr>
            </w:pPr>
            <w:r w:rsidRPr="00961CB3">
              <w:rPr>
                <w:rFonts w:eastAsiaTheme="minorHAnsi"/>
                <w:sz w:val="16"/>
                <w:szCs w:val="16"/>
                <w:lang w:eastAsia="en-US"/>
              </w:rPr>
              <w:t>968,58</w:t>
            </w:r>
          </w:p>
        </w:tc>
      </w:tr>
      <w:tr w:rsidR="009B0266" w:rsidRPr="00961CB3" w:rsidTr="004F2B59">
        <w:tc>
          <w:tcPr>
            <w:tcW w:w="4300" w:type="dxa"/>
            <w:tcBorders>
              <w:bottom w:val="single" w:sz="4" w:space="0" w:color="auto"/>
            </w:tcBorders>
            <w:shd w:val="clear" w:color="auto" w:fill="auto"/>
            <w:vAlign w:val="center"/>
          </w:tcPr>
          <w:p w:rsidR="009B0266" w:rsidRPr="00961CB3" w:rsidRDefault="009B0266" w:rsidP="009B0266">
            <w:pPr>
              <w:spacing w:beforeLines="20" w:before="48" w:afterLines="20" w:after="48"/>
              <w:jc w:val="center"/>
              <w:rPr>
                <w:sz w:val="16"/>
                <w:szCs w:val="16"/>
                <w:lang w:eastAsia="en-US"/>
              </w:rPr>
            </w:pPr>
            <w:r w:rsidRPr="00961CB3">
              <w:rPr>
                <w:sz w:val="16"/>
                <w:szCs w:val="16"/>
                <w:lang w:eastAsia="en-US"/>
              </w:rPr>
              <w:t>59(3)(d) – bez výnimiek</w:t>
            </w:r>
          </w:p>
        </w:tc>
        <w:tc>
          <w:tcPr>
            <w:tcW w:w="5339" w:type="dxa"/>
            <w:tcBorders>
              <w:bottom w:val="single" w:sz="4" w:space="0" w:color="auto"/>
            </w:tcBorders>
            <w:shd w:val="clear" w:color="auto" w:fill="auto"/>
            <w:vAlign w:val="center"/>
          </w:tcPr>
          <w:p w:rsidR="009B0266" w:rsidRPr="00961CB3" w:rsidRDefault="009B0266" w:rsidP="009B0266">
            <w:pPr>
              <w:spacing w:beforeLines="20" w:before="48" w:afterLines="20" w:after="48"/>
              <w:jc w:val="center"/>
              <w:rPr>
                <w:sz w:val="16"/>
                <w:szCs w:val="16"/>
                <w:lang w:eastAsia="en-US"/>
              </w:rPr>
            </w:pPr>
            <w:r w:rsidRPr="00961CB3">
              <w:rPr>
                <w:sz w:val="16"/>
                <w:szCs w:val="16"/>
                <w:lang w:eastAsia="en-US"/>
              </w:rPr>
              <w:t>4</w:t>
            </w:r>
          </w:p>
        </w:tc>
        <w:tc>
          <w:tcPr>
            <w:tcW w:w="3261" w:type="dxa"/>
            <w:tcBorders>
              <w:bottom w:val="single" w:sz="4" w:space="0" w:color="auto"/>
            </w:tcBorders>
            <w:shd w:val="clear" w:color="auto" w:fill="auto"/>
            <w:vAlign w:val="bottom"/>
          </w:tcPr>
          <w:p w:rsidR="009B0266" w:rsidRPr="00961CB3" w:rsidRDefault="009B0266" w:rsidP="004F2B59">
            <w:pPr>
              <w:tabs>
                <w:tab w:val="left" w:pos="1877"/>
                <w:tab w:val="left" w:pos="2019"/>
              </w:tabs>
              <w:ind w:right="742"/>
              <w:jc w:val="right"/>
              <w:rPr>
                <w:rFonts w:eastAsiaTheme="minorHAnsi"/>
                <w:sz w:val="16"/>
                <w:szCs w:val="16"/>
                <w:lang w:eastAsia="en-US"/>
              </w:rPr>
            </w:pPr>
            <w:r w:rsidRPr="00961CB3">
              <w:rPr>
                <w:rFonts w:eastAsiaTheme="minorHAnsi"/>
                <w:sz w:val="16"/>
                <w:szCs w:val="16"/>
                <w:lang w:eastAsia="en-US"/>
              </w:rPr>
              <w:t>14 186,78</w:t>
            </w:r>
          </w:p>
        </w:tc>
      </w:tr>
      <w:tr w:rsidR="009B0266" w:rsidRPr="00961CB3" w:rsidTr="004F2B59">
        <w:tc>
          <w:tcPr>
            <w:tcW w:w="4300" w:type="dxa"/>
            <w:tcBorders>
              <w:bottom w:val="single" w:sz="4" w:space="0" w:color="auto"/>
            </w:tcBorders>
            <w:shd w:val="clear" w:color="auto" w:fill="auto"/>
            <w:vAlign w:val="center"/>
          </w:tcPr>
          <w:p w:rsidR="009B0266" w:rsidRPr="00961CB3" w:rsidRDefault="009B0266" w:rsidP="009B0266">
            <w:pPr>
              <w:spacing w:beforeLines="20" w:before="48" w:afterLines="20" w:after="48"/>
              <w:jc w:val="center"/>
              <w:rPr>
                <w:sz w:val="16"/>
                <w:szCs w:val="16"/>
                <w:lang w:eastAsia="en-US"/>
              </w:rPr>
            </w:pPr>
            <w:r w:rsidRPr="00961CB3">
              <w:rPr>
                <w:sz w:val="16"/>
                <w:szCs w:val="16"/>
                <w:lang w:eastAsia="en-US"/>
              </w:rPr>
              <w:t>59(3)(d) – bez výnimiek</w:t>
            </w:r>
          </w:p>
        </w:tc>
        <w:tc>
          <w:tcPr>
            <w:tcW w:w="5339" w:type="dxa"/>
            <w:tcBorders>
              <w:bottom w:val="single" w:sz="4" w:space="0" w:color="auto"/>
            </w:tcBorders>
            <w:shd w:val="clear" w:color="auto" w:fill="auto"/>
            <w:vAlign w:val="center"/>
          </w:tcPr>
          <w:p w:rsidR="009B0266" w:rsidRPr="00961CB3" w:rsidRDefault="009B0266" w:rsidP="009B0266">
            <w:pPr>
              <w:spacing w:beforeLines="20" w:before="48" w:afterLines="20" w:after="48"/>
              <w:jc w:val="center"/>
              <w:rPr>
                <w:sz w:val="16"/>
                <w:szCs w:val="16"/>
                <w:lang w:eastAsia="en-US"/>
              </w:rPr>
            </w:pPr>
            <w:r w:rsidRPr="00961CB3">
              <w:rPr>
                <w:sz w:val="16"/>
                <w:szCs w:val="16"/>
                <w:lang w:eastAsia="en-US"/>
              </w:rPr>
              <w:t>5A</w:t>
            </w:r>
          </w:p>
        </w:tc>
        <w:tc>
          <w:tcPr>
            <w:tcW w:w="3261" w:type="dxa"/>
            <w:tcBorders>
              <w:bottom w:val="single" w:sz="4" w:space="0" w:color="auto"/>
            </w:tcBorders>
            <w:shd w:val="clear" w:color="auto" w:fill="auto"/>
            <w:vAlign w:val="bottom"/>
          </w:tcPr>
          <w:p w:rsidR="009B0266" w:rsidRPr="00961CB3" w:rsidRDefault="009B0266" w:rsidP="004F2B59">
            <w:pPr>
              <w:tabs>
                <w:tab w:val="left" w:pos="1877"/>
                <w:tab w:val="left" w:pos="2019"/>
              </w:tabs>
              <w:ind w:right="742"/>
              <w:jc w:val="right"/>
              <w:rPr>
                <w:rFonts w:eastAsiaTheme="minorHAnsi"/>
                <w:sz w:val="16"/>
                <w:szCs w:val="16"/>
                <w:lang w:eastAsia="en-US"/>
              </w:rPr>
            </w:pPr>
            <w:r w:rsidRPr="00961CB3">
              <w:rPr>
                <w:rFonts w:eastAsiaTheme="minorHAnsi"/>
                <w:sz w:val="16"/>
                <w:szCs w:val="16"/>
                <w:lang w:eastAsia="en-US"/>
              </w:rPr>
              <w:t>1 082,53</w:t>
            </w:r>
          </w:p>
        </w:tc>
      </w:tr>
      <w:tr w:rsidR="009B0266" w:rsidRPr="00961CB3" w:rsidTr="004F2B59">
        <w:tc>
          <w:tcPr>
            <w:tcW w:w="4300" w:type="dxa"/>
            <w:tcBorders>
              <w:bottom w:val="single" w:sz="4" w:space="0" w:color="auto"/>
            </w:tcBorders>
            <w:shd w:val="clear" w:color="auto" w:fill="auto"/>
            <w:vAlign w:val="center"/>
          </w:tcPr>
          <w:p w:rsidR="009B0266" w:rsidRPr="00961CB3" w:rsidRDefault="009B0266" w:rsidP="009B0266">
            <w:pPr>
              <w:spacing w:beforeLines="20" w:before="48" w:afterLines="20" w:after="48"/>
              <w:jc w:val="center"/>
              <w:rPr>
                <w:sz w:val="16"/>
                <w:szCs w:val="16"/>
                <w:lang w:eastAsia="en-US"/>
              </w:rPr>
            </w:pPr>
            <w:r w:rsidRPr="00961CB3">
              <w:rPr>
                <w:sz w:val="16"/>
                <w:szCs w:val="16"/>
                <w:lang w:eastAsia="en-US"/>
              </w:rPr>
              <w:t>59(3)(d) – bez výnimiek</w:t>
            </w:r>
          </w:p>
        </w:tc>
        <w:tc>
          <w:tcPr>
            <w:tcW w:w="5339" w:type="dxa"/>
            <w:tcBorders>
              <w:bottom w:val="single" w:sz="4" w:space="0" w:color="auto"/>
            </w:tcBorders>
            <w:shd w:val="clear" w:color="auto" w:fill="auto"/>
            <w:vAlign w:val="center"/>
          </w:tcPr>
          <w:p w:rsidR="009B0266" w:rsidRPr="00961CB3" w:rsidRDefault="009B0266" w:rsidP="009B0266">
            <w:pPr>
              <w:spacing w:beforeLines="20" w:before="48" w:afterLines="20" w:after="48"/>
              <w:jc w:val="center"/>
              <w:rPr>
                <w:sz w:val="16"/>
                <w:szCs w:val="16"/>
                <w:lang w:eastAsia="en-US"/>
              </w:rPr>
            </w:pPr>
            <w:r w:rsidRPr="00961CB3">
              <w:rPr>
                <w:sz w:val="16"/>
                <w:szCs w:val="16"/>
                <w:lang w:eastAsia="en-US"/>
              </w:rPr>
              <w:t>5B</w:t>
            </w:r>
          </w:p>
        </w:tc>
        <w:tc>
          <w:tcPr>
            <w:tcW w:w="3261" w:type="dxa"/>
            <w:tcBorders>
              <w:bottom w:val="single" w:sz="4" w:space="0" w:color="auto"/>
            </w:tcBorders>
            <w:shd w:val="clear" w:color="auto" w:fill="auto"/>
            <w:vAlign w:val="bottom"/>
          </w:tcPr>
          <w:p w:rsidR="009B0266" w:rsidRPr="00961CB3" w:rsidRDefault="009B0266" w:rsidP="004F2B59">
            <w:pPr>
              <w:tabs>
                <w:tab w:val="left" w:pos="1877"/>
                <w:tab w:val="left" w:pos="2019"/>
              </w:tabs>
              <w:ind w:right="742"/>
              <w:jc w:val="right"/>
              <w:rPr>
                <w:rFonts w:eastAsiaTheme="minorHAnsi"/>
                <w:sz w:val="16"/>
                <w:szCs w:val="16"/>
                <w:lang w:eastAsia="en-US"/>
              </w:rPr>
            </w:pPr>
            <w:r w:rsidRPr="00961CB3">
              <w:rPr>
                <w:rFonts w:eastAsiaTheme="minorHAnsi"/>
                <w:sz w:val="16"/>
                <w:szCs w:val="16"/>
                <w:lang w:eastAsia="en-US"/>
              </w:rPr>
              <w:t>1 082,53</w:t>
            </w:r>
          </w:p>
        </w:tc>
      </w:tr>
      <w:tr w:rsidR="009B0266" w:rsidRPr="00961CB3" w:rsidTr="004F2B59">
        <w:tc>
          <w:tcPr>
            <w:tcW w:w="4300" w:type="dxa"/>
            <w:tcBorders>
              <w:bottom w:val="single" w:sz="4" w:space="0" w:color="auto"/>
            </w:tcBorders>
            <w:shd w:val="clear" w:color="auto" w:fill="auto"/>
            <w:vAlign w:val="center"/>
          </w:tcPr>
          <w:p w:rsidR="009B0266" w:rsidRPr="00961CB3" w:rsidRDefault="009B0266" w:rsidP="009B0266">
            <w:pPr>
              <w:spacing w:beforeLines="20" w:before="48" w:afterLines="20" w:after="48"/>
              <w:jc w:val="center"/>
              <w:rPr>
                <w:sz w:val="16"/>
                <w:szCs w:val="16"/>
                <w:lang w:eastAsia="en-US"/>
              </w:rPr>
            </w:pPr>
            <w:r w:rsidRPr="00961CB3">
              <w:rPr>
                <w:sz w:val="16"/>
                <w:szCs w:val="16"/>
                <w:lang w:eastAsia="en-US"/>
              </w:rPr>
              <w:t>59(3)(d) – bez výnimiek</w:t>
            </w:r>
          </w:p>
        </w:tc>
        <w:tc>
          <w:tcPr>
            <w:tcW w:w="5339" w:type="dxa"/>
            <w:tcBorders>
              <w:bottom w:val="single" w:sz="4" w:space="0" w:color="auto"/>
            </w:tcBorders>
            <w:shd w:val="clear" w:color="auto" w:fill="auto"/>
            <w:vAlign w:val="center"/>
          </w:tcPr>
          <w:p w:rsidR="009B0266" w:rsidRPr="00961CB3" w:rsidRDefault="009B0266" w:rsidP="009B0266">
            <w:pPr>
              <w:spacing w:beforeLines="20" w:before="48" w:afterLines="20" w:after="48"/>
              <w:jc w:val="center"/>
              <w:rPr>
                <w:sz w:val="16"/>
                <w:szCs w:val="16"/>
                <w:lang w:eastAsia="en-US"/>
              </w:rPr>
            </w:pPr>
            <w:r w:rsidRPr="00961CB3">
              <w:rPr>
                <w:sz w:val="16"/>
                <w:szCs w:val="16"/>
                <w:lang w:eastAsia="en-US"/>
              </w:rPr>
              <w:t>5D</w:t>
            </w:r>
          </w:p>
        </w:tc>
        <w:tc>
          <w:tcPr>
            <w:tcW w:w="3261" w:type="dxa"/>
            <w:tcBorders>
              <w:bottom w:val="single" w:sz="4" w:space="0" w:color="auto"/>
            </w:tcBorders>
            <w:shd w:val="clear" w:color="auto" w:fill="auto"/>
            <w:vAlign w:val="bottom"/>
          </w:tcPr>
          <w:p w:rsidR="009B0266" w:rsidRPr="00961CB3" w:rsidRDefault="009B0266" w:rsidP="004F2B59">
            <w:pPr>
              <w:tabs>
                <w:tab w:val="left" w:pos="1877"/>
                <w:tab w:val="left" w:pos="2019"/>
              </w:tabs>
              <w:ind w:right="742"/>
              <w:jc w:val="right"/>
              <w:rPr>
                <w:rFonts w:eastAsiaTheme="minorHAnsi"/>
                <w:sz w:val="16"/>
                <w:szCs w:val="16"/>
                <w:lang w:eastAsia="en-US"/>
              </w:rPr>
            </w:pPr>
            <w:r w:rsidRPr="00961CB3">
              <w:rPr>
                <w:rFonts w:eastAsiaTheme="minorHAnsi"/>
                <w:sz w:val="16"/>
                <w:szCs w:val="16"/>
                <w:lang w:eastAsia="en-US"/>
              </w:rPr>
              <w:t>10 483,40</w:t>
            </w:r>
          </w:p>
        </w:tc>
      </w:tr>
      <w:tr w:rsidR="009B0266" w:rsidRPr="00961CB3" w:rsidTr="004F2B59">
        <w:tc>
          <w:tcPr>
            <w:tcW w:w="4300" w:type="dxa"/>
            <w:tcBorders>
              <w:bottom w:val="single" w:sz="4" w:space="0" w:color="auto"/>
            </w:tcBorders>
            <w:shd w:val="clear" w:color="auto" w:fill="auto"/>
            <w:vAlign w:val="center"/>
          </w:tcPr>
          <w:p w:rsidR="009B0266" w:rsidRPr="00961CB3" w:rsidRDefault="009B0266" w:rsidP="009B0266">
            <w:pPr>
              <w:spacing w:beforeLines="20" w:before="48" w:afterLines="20" w:after="48"/>
              <w:jc w:val="center"/>
              <w:rPr>
                <w:sz w:val="16"/>
                <w:szCs w:val="16"/>
                <w:lang w:eastAsia="en-US"/>
              </w:rPr>
            </w:pPr>
            <w:r w:rsidRPr="00961CB3">
              <w:rPr>
                <w:sz w:val="16"/>
                <w:szCs w:val="16"/>
                <w:lang w:eastAsia="en-US"/>
              </w:rPr>
              <w:t>59(3)(d) – bez výnimiek</w:t>
            </w:r>
          </w:p>
        </w:tc>
        <w:tc>
          <w:tcPr>
            <w:tcW w:w="5339" w:type="dxa"/>
            <w:tcBorders>
              <w:bottom w:val="single" w:sz="4" w:space="0" w:color="auto"/>
            </w:tcBorders>
            <w:shd w:val="clear" w:color="auto" w:fill="auto"/>
            <w:vAlign w:val="center"/>
          </w:tcPr>
          <w:p w:rsidR="009B0266" w:rsidRPr="00961CB3" w:rsidRDefault="009B0266" w:rsidP="009B0266">
            <w:pPr>
              <w:spacing w:beforeLines="20" w:before="48" w:afterLines="20" w:after="48"/>
              <w:jc w:val="center"/>
              <w:rPr>
                <w:sz w:val="16"/>
                <w:szCs w:val="16"/>
                <w:lang w:eastAsia="en-US"/>
              </w:rPr>
            </w:pPr>
            <w:r w:rsidRPr="00961CB3">
              <w:rPr>
                <w:sz w:val="16"/>
                <w:szCs w:val="16"/>
                <w:lang w:eastAsia="en-US"/>
              </w:rPr>
              <w:t>5E</w:t>
            </w:r>
          </w:p>
        </w:tc>
        <w:tc>
          <w:tcPr>
            <w:tcW w:w="3261" w:type="dxa"/>
            <w:tcBorders>
              <w:bottom w:val="single" w:sz="4" w:space="0" w:color="auto"/>
            </w:tcBorders>
            <w:shd w:val="clear" w:color="auto" w:fill="auto"/>
            <w:vAlign w:val="bottom"/>
          </w:tcPr>
          <w:p w:rsidR="009B0266" w:rsidRPr="00961CB3" w:rsidRDefault="009B0266" w:rsidP="004F2B59">
            <w:pPr>
              <w:tabs>
                <w:tab w:val="left" w:pos="1877"/>
                <w:tab w:val="left" w:pos="2019"/>
              </w:tabs>
              <w:ind w:right="742"/>
              <w:jc w:val="right"/>
              <w:rPr>
                <w:rFonts w:eastAsiaTheme="minorHAnsi"/>
                <w:sz w:val="16"/>
                <w:szCs w:val="16"/>
                <w:lang w:eastAsia="en-US"/>
              </w:rPr>
            </w:pPr>
            <w:r w:rsidRPr="00961CB3">
              <w:rPr>
                <w:rFonts w:eastAsiaTheme="minorHAnsi"/>
                <w:sz w:val="16"/>
                <w:szCs w:val="16"/>
                <w:lang w:eastAsia="en-US"/>
              </w:rPr>
              <w:t>455,80</w:t>
            </w:r>
          </w:p>
        </w:tc>
      </w:tr>
      <w:tr w:rsidR="009B0266" w:rsidRPr="00961CB3" w:rsidTr="004F2B59">
        <w:tc>
          <w:tcPr>
            <w:tcW w:w="9639" w:type="dxa"/>
            <w:gridSpan w:val="2"/>
            <w:tcBorders>
              <w:bottom w:val="single" w:sz="4" w:space="0" w:color="auto"/>
            </w:tcBorders>
            <w:shd w:val="clear" w:color="auto" w:fill="DAEEF3" w:themeFill="accent5" w:themeFillTint="33"/>
            <w:vAlign w:val="center"/>
          </w:tcPr>
          <w:p w:rsidR="009B0266" w:rsidRPr="00961CB3" w:rsidRDefault="009B0266" w:rsidP="00961CB3">
            <w:pPr>
              <w:spacing w:beforeLines="20" w:before="48" w:afterLines="20" w:after="48"/>
              <w:ind w:left="2444" w:hanging="2444"/>
              <w:jc w:val="left"/>
              <w:rPr>
                <w:b/>
                <w:color w:val="8064A2"/>
                <w:sz w:val="20"/>
                <w:szCs w:val="20"/>
                <w:lang w:eastAsia="en-US"/>
              </w:rPr>
            </w:pPr>
            <w:r w:rsidRPr="00961CB3">
              <w:rPr>
                <w:b/>
                <w:sz w:val="20"/>
                <w:szCs w:val="20"/>
                <w:lang w:eastAsia="en-US"/>
              </w:rPr>
              <w:t>Celkovo opatrenie</w:t>
            </w:r>
            <w:r w:rsidR="00961CB3">
              <w:rPr>
                <w:b/>
                <w:sz w:val="20"/>
                <w:szCs w:val="20"/>
                <w:lang w:eastAsia="en-US"/>
              </w:rPr>
              <w:t xml:space="preserve"> 2 (</w:t>
            </w:r>
            <w:r w:rsidRPr="00961CB3">
              <w:rPr>
                <w:b/>
                <w:sz w:val="20"/>
                <w:szCs w:val="20"/>
                <w:lang w:eastAsia="en-US"/>
              </w:rPr>
              <w:t>čl. 15</w:t>
            </w:r>
            <w:r w:rsidR="00961CB3">
              <w:rPr>
                <w:b/>
                <w:sz w:val="20"/>
                <w:szCs w:val="20"/>
                <w:lang w:eastAsia="en-US"/>
              </w:rPr>
              <w:t>)</w:t>
            </w:r>
            <w:r w:rsidRPr="00961CB3">
              <w:rPr>
                <w:b/>
                <w:sz w:val="20"/>
                <w:szCs w:val="20"/>
                <w:lang w:eastAsia="en-US"/>
              </w:rPr>
              <w:t xml:space="preserve"> – Poradenské služby, služby pomoci pri riadení poľnohospodárskych podnikov a výpomoci pre poľnohospodárske podniky</w:t>
            </w:r>
          </w:p>
        </w:tc>
        <w:tc>
          <w:tcPr>
            <w:tcW w:w="3261" w:type="dxa"/>
            <w:tcBorders>
              <w:bottom w:val="single" w:sz="4" w:space="0" w:color="auto"/>
            </w:tcBorders>
            <w:shd w:val="clear" w:color="auto" w:fill="DAEEF3" w:themeFill="accent5" w:themeFillTint="33"/>
            <w:vAlign w:val="center"/>
          </w:tcPr>
          <w:p w:rsidR="009B0266" w:rsidRPr="004F2B59" w:rsidRDefault="009B0266" w:rsidP="004F2B59">
            <w:pPr>
              <w:tabs>
                <w:tab w:val="left" w:pos="1877"/>
                <w:tab w:val="left" w:pos="2019"/>
              </w:tabs>
              <w:ind w:right="742"/>
              <w:jc w:val="right"/>
              <w:rPr>
                <w:rFonts w:eastAsiaTheme="minorHAnsi"/>
                <w:b/>
                <w:sz w:val="20"/>
                <w:szCs w:val="20"/>
                <w:lang w:eastAsia="en-US"/>
              </w:rPr>
            </w:pPr>
            <w:r w:rsidRPr="004F2B59">
              <w:rPr>
                <w:rFonts w:eastAsiaTheme="minorHAnsi"/>
                <w:b/>
                <w:sz w:val="20"/>
                <w:szCs w:val="20"/>
                <w:lang w:eastAsia="en-US"/>
              </w:rPr>
              <w:t>2 168 735,70</w:t>
            </w:r>
          </w:p>
        </w:tc>
      </w:tr>
    </w:tbl>
    <w:p w:rsidR="009B0266" w:rsidRPr="00961CB3" w:rsidRDefault="009B0266" w:rsidP="009B0266">
      <w:pPr>
        <w:keepNext/>
        <w:spacing w:after="80"/>
        <w:outlineLvl w:val="1"/>
        <w:rPr>
          <w:rFonts w:eastAsia="Calibri"/>
          <w:b/>
          <w:sz w:val="16"/>
          <w:szCs w:val="16"/>
          <w:lang w:eastAsia="ja-JP"/>
        </w:rPr>
      </w:pPr>
    </w:p>
    <w:tbl>
      <w:tblPr>
        <w:tblW w:w="1290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00"/>
        <w:gridCol w:w="5339"/>
        <w:gridCol w:w="3261"/>
      </w:tblGrid>
      <w:tr w:rsidR="009B0266" w:rsidRPr="00961CB3" w:rsidTr="00D905DE">
        <w:tc>
          <w:tcPr>
            <w:tcW w:w="4300" w:type="dxa"/>
            <w:tcBorders>
              <w:bottom w:val="single" w:sz="4" w:space="0" w:color="auto"/>
            </w:tcBorders>
            <w:shd w:val="clear" w:color="auto" w:fill="F2F2F2"/>
            <w:vAlign w:val="center"/>
          </w:tcPr>
          <w:p w:rsidR="009B0266" w:rsidRPr="00961CB3" w:rsidRDefault="009B0266" w:rsidP="009B0266">
            <w:pPr>
              <w:tabs>
                <w:tab w:val="left" w:pos="1185"/>
              </w:tabs>
              <w:spacing w:beforeLines="20" w:before="48" w:afterLines="20" w:after="48"/>
              <w:jc w:val="center"/>
              <w:rPr>
                <w:b/>
                <w:sz w:val="16"/>
                <w:szCs w:val="16"/>
                <w:lang w:eastAsia="en-US"/>
              </w:rPr>
            </w:pPr>
            <w:r w:rsidRPr="00961CB3">
              <w:rPr>
                <w:b/>
                <w:sz w:val="16"/>
                <w:szCs w:val="16"/>
                <w:lang w:eastAsia="en-US"/>
              </w:rPr>
              <w:t>Miera príspevku EPFRV</w:t>
            </w:r>
          </w:p>
        </w:tc>
        <w:tc>
          <w:tcPr>
            <w:tcW w:w="5339" w:type="dxa"/>
            <w:tcBorders>
              <w:bottom w:val="single" w:sz="4" w:space="0" w:color="auto"/>
            </w:tcBorders>
            <w:shd w:val="clear" w:color="auto" w:fill="F2F2F2"/>
            <w:vAlign w:val="center"/>
          </w:tcPr>
          <w:p w:rsidR="009B0266" w:rsidRPr="00961CB3" w:rsidRDefault="009B0266" w:rsidP="009B0266">
            <w:pPr>
              <w:tabs>
                <w:tab w:val="left" w:pos="1185"/>
              </w:tabs>
              <w:spacing w:beforeLines="20" w:before="48" w:afterLines="20" w:after="48"/>
              <w:jc w:val="center"/>
              <w:rPr>
                <w:b/>
                <w:sz w:val="16"/>
                <w:szCs w:val="16"/>
                <w:lang w:eastAsia="en-US"/>
              </w:rPr>
            </w:pPr>
            <w:r w:rsidRPr="00961CB3">
              <w:rPr>
                <w:b/>
                <w:sz w:val="16"/>
                <w:szCs w:val="16"/>
                <w:lang w:eastAsia="en-US"/>
              </w:rPr>
              <w:t>Fokusová oblasť</w:t>
            </w:r>
          </w:p>
        </w:tc>
        <w:tc>
          <w:tcPr>
            <w:tcW w:w="3261" w:type="dxa"/>
            <w:tcBorders>
              <w:bottom w:val="single" w:sz="4" w:space="0" w:color="auto"/>
            </w:tcBorders>
            <w:shd w:val="clear" w:color="auto" w:fill="F2F2F2"/>
            <w:vAlign w:val="center"/>
          </w:tcPr>
          <w:p w:rsidR="009B0266" w:rsidRPr="00961CB3" w:rsidRDefault="009B0266" w:rsidP="009B0266">
            <w:pPr>
              <w:tabs>
                <w:tab w:val="left" w:pos="1185"/>
              </w:tabs>
              <w:spacing w:beforeLines="20" w:before="48" w:afterLines="20" w:after="48"/>
              <w:jc w:val="center"/>
              <w:rPr>
                <w:b/>
                <w:sz w:val="16"/>
                <w:szCs w:val="16"/>
                <w:lang w:eastAsia="en-US"/>
              </w:rPr>
            </w:pPr>
            <w:r w:rsidRPr="00961CB3">
              <w:rPr>
                <w:b/>
                <w:sz w:val="16"/>
                <w:szCs w:val="16"/>
                <w:lang w:eastAsia="en-US"/>
              </w:rPr>
              <w:t>Celkový príspevok EPFRV</w:t>
            </w:r>
          </w:p>
        </w:tc>
      </w:tr>
      <w:tr w:rsidR="009B0266" w:rsidRPr="00961CB3" w:rsidTr="00D905DE">
        <w:tc>
          <w:tcPr>
            <w:tcW w:w="4300" w:type="dxa"/>
            <w:tcBorders>
              <w:bottom w:val="single" w:sz="4" w:space="0" w:color="auto"/>
            </w:tcBorders>
            <w:shd w:val="clear" w:color="auto" w:fill="auto"/>
            <w:vAlign w:val="center"/>
          </w:tcPr>
          <w:p w:rsidR="009B0266" w:rsidRPr="00961CB3" w:rsidRDefault="009B0266" w:rsidP="009B0266">
            <w:pPr>
              <w:spacing w:beforeLines="20" w:before="48" w:afterLines="20" w:after="48"/>
              <w:jc w:val="center"/>
              <w:rPr>
                <w:sz w:val="16"/>
                <w:szCs w:val="16"/>
                <w:lang w:eastAsia="en-US"/>
              </w:rPr>
            </w:pPr>
            <w:r w:rsidRPr="00961CB3">
              <w:rPr>
                <w:sz w:val="16"/>
                <w:szCs w:val="16"/>
                <w:lang w:eastAsia="en-US"/>
              </w:rPr>
              <w:t>59(3)(a) – bez výnimiek</w:t>
            </w:r>
          </w:p>
        </w:tc>
        <w:tc>
          <w:tcPr>
            <w:tcW w:w="5339" w:type="dxa"/>
            <w:tcBorders>
              <w:bottom w:val="single" w:sz="4" w:space="0" w:color="auto"/>
            </w:tcBorders>
            <w:shd w:val="clear" w:color="auto" w:fill="auto"/>
            <w:vAlign w:val="center"/>
          </w:tcPr>
          <w:p w:rsidR="009B0266" w:rsidRPr="00961CB3" w:rsidRDefault="009B0266" w:rsidP="009B0266">
            <w:pPr>
              <w:spacing w:beforeLines="20" w:before="48" w:afterLines="20" w:after="48"/>
              <w:jc w:val="center"/>
              <w:rPr>
                <w:sz w:val="16"/>
                <w:szCs w:val="16"/>
                <w:lang w:eastAsia="en-US"/>
              </w:rPr>
            </w:pPr>
            <w:r w:rsidRPr="00961CB3">
              <w:rPr>
                <w:sz w:val="16"/>
                <w:szCs w:val="16"/>
                <w:lang w:eastAsia="en-US"/>
              </w:rPr>
              <w:t>2A</w:t>
            </w:r>
          </w:p>
        </w:tc>
        <w:tc>
          <w:tcPr>
            <w:tcW w:w="3261" w:type="dxa"/>
            <w:tcBorders>
              <w:bottom w:val="single" w:sz="4" w:space="0" w:color="auto"/>
            </w:tcBorders>
            <w:shd w:val="clear" w:color="auto" w:fill="auto"/>
            <w:vAlign w:val="bottom"/>
          </w:tcPr>
          <w:p w:rsidR="009B0266" w:rsidRPr="00961CB3" w:rsidRDefault="009B0266" w:rsidP="004F2B59">
            <w:pPr>
              <w:tabs>
                <w:tab w:val="left" w:pos="1877"/>
                <w:tab w:val="left" w:pos="2019"/>
              </w:tabs>
              <w:ind w:right="742"/>
              <w:jc w:val="right"/>
              <w:rPr>
                <w:rFonts w:eastAsiaTheme="minorHAnsi"/>
                <w:sz w:val="16"/>
                <w:szCs w:val="16"/>
                <w:lang w:eastAsia="en-US"/>
              </w:rPr>
            </w:pPr>
            <w:r w:rsidRPr="00961CB3">
              <w:rPr>
                <w:rFonts w:eastAsiaTheme="minorHAnsi"/>
                <w:sz w:val="16"/>
                <w:szCs w:val="16"/>
                <w:lang w:eastAsia="en-US"/>
              </w:rPr>
              <w:t>161 965 950,00</w:t>
            </w:r>
          </w:p>
        </w:tc>
      </w:tr>
      <w:tr w:rsidR="009B0266" w:rsidRPr="00961CB3" w:rsidTr="00D905DE">
        <w:tc>
          <w:tcPr>
            <w:tcW w:w="4300" w:type="dxa"/>
            <w:tcBorders>
              <w:bottom w:val="single" w:sz="4" w:space="0" w:color="auto"/>
            </w:tcBorders>
            <w:shd w:val="clear" w:color="auto" w:fill="auto"/>
            <w:vAlign w:val="center"/>
          </w:tcPr>
          <w:p w:rsidR="009B0266" w:rsidRPr="00961CB3" w:rsidRDefault="009B0266" w:rsidP="009B0266">
            <w:pPr>
              <w:spacing w:beforeLines="20" w:before="48" w:afterLines="20" w:after="48"/>
              <w:jc w:val="center"/>
              <w:rPr>
                <w:sz w:val="16"/>
                <w:szCs w:val="16"/>
                <w:lang w:eastAsia="en-US"/>
              </w:rPr>
            </w:pPr>
            <w:r w:rsidRPr="00961CB3">
              <w:rPr>
                <w:sz w:val="16"/>
                <w:szCs w:val="16"/>
                <w:lang w:eastAsia="en-US"/>
              </w:rPr>
              <w:t>59(3)(a) – bez výnimiek</w:t>
            </w:r>
          </w:p>
        </w:tc>
        <w:tc>
          <w:tcPr>
            <w:tcW w:w="5339" w:type="dxa"/>
            <w:tcBorders>
              <w:bottom w:val="single" w:sz="4" w:space="0" w:color="auto"/>
            </w:tcBorders>
            <w:shd w:val="clear" w:color="auto" w:fill="auto"/>
            <w:vAlign w:val="center"/>
          </w:tcPr>
          <w:p w:rsidR="009B0266" w:rsidRPr="00961CB3" w:rsidRDefault="009B0266" w:rsidP="009B0266">
            <w:pPr>
              <w:spacing w:beforeLines="20" w:before="48" w:afterLines="20" w:after="48"/>
              <w:jc w:val="center"/>
              <w:rPr>
                <w:sz w:val="16"/>
                <w:szCs w:val="16"/>
                <w:lang w:eastAsia="en-US"/>
              </w:rPr>
            </w:pPr>
            <w:r w:rsidRPr="00961CB3">
              <w:rPr>
                <w:sz w:val="16"/>
                <w:szCs w:val="16"/>
                <w:lang w:eastAsia="en-US"/>
              </w:rPr>
              <w:t>2B</w:t>
            </w:r>
          </w:p>
        </w:tc>
        <w:tc>
          <w:tcPr>
            <w:tcW w:w="3261" w:type="dxa"/>
            <w:tcBorders>
              <w:bottom w:val="single" w:sz="4" w:space="0" w:color="auto"/>
            </w:tcBorders>
            <w:shd w:val="clear" w:color="auto" w:fill="auto"/>
            <w:vAlign w:val="bottom"/>
          </w:tcPr>
          <w:p w:rsidR="009B0266" w:rsidRPr="00961CB3" w:rsidRDefault="009B0266" w:rsidP="004F2B59">
            <w:pPr>
              <w:tabs>
                <w:tab w:val="left" w:pos="1877"/>
                <w:tab w:val="left" w:pos="2019"/>
              </w:tabs>
              <w:ind w:right="742"/>
              <w:jc w:val="right"/>
              <w:rPr>
                <w:rFonts w:eastAsiaTheme="minorHAnsi"/>
                <w:sz w:val="16"/>
                <w:szCs w:val="16"/>
                <w:lang w:eastAsia="en-US"/>
              </w:rPr>
            </w:pPr>
            <w:r w:rsidRPr="00961CB3">
              <w:rPr>
                <w:rFonts w:eastAsiaTheme="minorHAnsi"/>
                <w:sz w:val="16"/>
                <w:szCs w:val="16"/>
                <w:lang w:eastAsia="en-US"/>
              </w:rPr>
              <w:t>13 011 300,00</w:t>
            </w:r>
          </w:p>
        </w:tc>
      </w:tr>
      <w:tr w:rsidR="009B0266" w:rsidRPr="00961CB3" w:rsidTr="00D905DE">
        <w:tc>
          <w:tcPr>
            <w:tcW w:w="4300" w:type="dxa"/>
            <w:tcBorders>
              <w:bottom w:val="single" w:sz="4" w:space="0" w:color="auto"/>
            </w:tcBorders>
            <w:shd w:val="clear" w:color="auto" w:fill="auto"/>
            <w:vAlign w:val="center"/>
          </w:tcPr>
          <w:p w:rsidR="009B0266" w:rsidRPr="00961CB3" w:rsidRDefault="009B0266" w:rsidP="009B0266">
            <w:pPr>
              <w:spacing w:beforeLines="20" w:before="48" w:afterLines="20" w:after="48"/>
              <w:jc w:val="center"/>
              <w:rPr>
                <w:sz w:val="16"/>
                <w:szCs w:val="16"/>
                <w:lang w:eastAsia="en-US"/>
              </w:rPr>
            </w:pPr>
            <w:r w:rsidRPr="00961CB3">
              <w:rPr>
                <w:sz w:val="16"/>
                <w:szCs w:val="16"/>
                <w:lang w:eastAsia="en-US"/>
              </w:rPr>
              <w:t>59(3)(a) – bez výnimiek</w:t>
            </w:r>
          </w:p>
        </w:tc>
        <w:tc>
          <w:tcPr>
            <w:tcW w:w="5339" w:type="dxa"/>
            <w:tcBorders>
              <w:bottom w:val="single" w:sz="4" w:space="0" w:color="auto"/>
            </w:tcBorders>
            <w:shd w:val="clear" w:color="auto" w:fill="auto"/>
            <w:vAlign w:val="center"/>
          </w:tcPr>
          <w:p w:rsidR="009B0266" w:rsidRPr="00961CB3" w:rsidRDefault="009B0266" w:rsidP="009B0266">
            <w:pPr>
              <w:spacing w:beforeLines="20" w:before="48" w:afterLines="20" w:after="48"/>
              <w:jc w:val="center"/>
              <w:rPr>
                <w:sz w:val="16"/>
                <w:szCs w:val="16"/>
                <w:lang w:eastAsia="en-US"/>
              </w:rPr>
            </w:pPr>
            <w:r w:rsidRPr="00961CB3">
              <w:rPr>
                <w:sz w:val="16"/>
                <w:szCs w:val="16"/>
                <w:lang w:eastAsia="en-US"/>
              </w:rPr>
              <w:t>2C</w:t>
            </w:r>
          </w:p>
        </w:tc>
        <w:tc>
          <w:tcPr>
            <w:tcW w:w="3261" w:type="dxa"/>
            <w:tcBorders>
              <w:bottom w:val="single" w:sz="4" w:space="0" w:color="auto"/>
            </w:tcBorders>
            <w:shd w:val="clear" w:color="auto" w:fill="auto"/>
            <w:vAlign w:val="bottom"/>
          </w:tcPr>
          <w:p w:rsidR="009B0266" w:rsidRPr="00961CB3" w:rsidRDefault="009B0266" w:rsidP="004F2B59">
            <w:pPr>
              <w:tabs>
                <w:tab w:val="left" w:pos="1877"/>
                <w:tab w:val="left" w:pos="2019"/>
              </w:tabs>
              <w:ind w:right="742"/>
              <w:jc w:val="right"/>
              <w:rPr>
                <w:rFonts w:eastAsiaTheme="minorHAnsi"/>
                <w:sz w:val="16"/>
                <w:szCs w:val="16"/>
                <w:lang w:eastAsia="en-US"/>
              </w:rPr>
            </w:pPr>
            <w:r w:rsidRPr="00961CB3">
              <w:rPr>
                <w:rFonts w:eastAsiaTheme="minorHAnsi"/>
                <w:sz w:val="16"/>
                <w:szCs w:val="16"/>
                <w:lang w:eastAsia="en-US"/>
              </w:rPr>
              <w:t>22 124 250,00</w:t>
            </w:r>
          </w:p>
        </w:tc>
      </w:tr>
      <w:tr w:rsidR="009B0266" w:rsidRPr="00961CB3" w:rsidTr="00D905DE">
        <w:tc>
          <w:tcPr>
            <w:tcW w:w="4300" w:type="dxa"/>
            <w:tcBorders>
              <w:bottom w:val="single" w:sz="4" w:space="0" w:color="auto"/>
            </w:tcBorders>
            <w:shd w:val="clear" w:color="auto" w:fill="auto"/>
            <w:vAlign w:val="center"/>
          </w:tcPr>
          <w:p w:rsidR="009B0266" w:rsidRPr="00961CB3" w:rsidRDefault="009B0266" w:rsidP="009B0266">
            <w:pPr>
              <w:spacing w:beforeLines="20" w:before="48" w:afterLines="20" w:after="48"/>
              <w:jc w:val="center"/>
              <w:rPr>
                <w:sz w:val="16"/>
                <w:szCs w:val="16"/>
                <w:lang w:eastAsia="en-US"/>
              </w:rPr>
            </w:pPr>
            <w:r w:rsidRPr="00961CB3">
              <w:rPr>
                <w:sz w:val="16"/>
                <w:szCs w:val="16"/>
                <w:lang w:eastAsia="en-US"/>
              </w:rPr>
              <w:t>59(3)(a) – bez výnimiek</w:t>
            </w:r>
          </w:p>
        </w:tc>
        <w:tc>
          <w:tcPr>
            <w:tcW w:w="5339" w:type="dxa"/>
            <w:tcBorders>
              <w:bottom w:val="single" w:sz="4" w:space="0" w:color="auto"/>
            </w:tcBorders>
            <w:shd w:val="clear" w:color="auto" w:fill="auto"/>
            <w:vAlign w:val="center"/>
          </w:tcPr>
          <w:p w:rsidR="009B0266" w:rsidRPr="00961CB3" w:rsidRDefault="009B0266" w:rsidP="009B0266">
            <w:pPr>
              <w:spacing w:beforeLines="20" w:before="48" w:afterLines="20" w:after="48"/>
              <w:jc w:val="center"/>
              <w:rPr>
                <w:sz w:val="16"/>
                <w:szCs w:val="16"/>
                <w:lang w:eastAsia="en-US"/>
              </w:rPr>
            </w:pPr>
            <w:r w:rsidRPr="00961CB3">
              <w:rPr>
                <w:sz w:val="16"/>
                <w:szCs w:val="16"/>
                <w:lang w:eastAsia="en-US"/>
              </w:rPr>
              <w:t>3A</w:t>
            </w:r>
          </w:p>
        </w:tc>
        <w:tc>
          <w:tcPr>
            <w:tcW w:w="3261" w:type="dxa"/>
            <w:tcBorders>
              <w:bottom w:val="single" w:sz="4" w:space="0" w:color="auto"/>
            </w:tcBorders>
            <w:shd w:val="clear" w:color="auto" w:fill="auto"/>
            <w:vAlign w:val="bottom"/>
          </w:tcPr>
          <w:p w:rsidR="009B0266" w:rsidRPr="00961CB3" w:rsidRDefault="009B0266" w:rsidP="004F2B59">
            <w:pPr>
              <w:tabs>
                <w:tab w:val="left" w:pos="1877"/>
                <w:tab w:val="left" w:pos="2019"/>
              </w:tabs>
              <w:ind w:right="742"/>
              <w:jc w:val="right"/>
              <w:rPr>
                <w:rFonts w:eastAsiaTheme="minorHAnsi"/>
                <w:sz w:val="16"/>
                <w:szCs w:val="16"/>
                <w:lang w:eastAsia="en-US"/>
              </w:rPr>
            </w:pPr>
            <w:r w:rsidRPr="00961CB3">
              <w:rPr>
                <w:rFonts w:eastAsiaTheme="minorHAnsi"/>
                <w:sz w:val="16"/>
                <w:szCs w:val="16"/>
                <w:lang w:eastAsia="en-US"/>
              </w:rPr>
              <w:t>115 296 000,00</w:t>
            </w:r>
          </w:p>
        </w:tc>
      </w:tr>
      <w:tr w:rsidR="009B0266" w:rsidRPr="00961CB3" w:rsidTr="00D905DE">
        <w:tc>
          <w:tcPr>
            <w:tcW w:w="4300" w:type="dxa"/>
            <w:tcBorders>
              <w:bottom w:val="single" w:sz="4" w:space="0" w:color="auto"/>
            </w:tcBorders>
            <w:shd w:val="clear" w:color="auto" w:fill="auto"/>
            <w:vAlign w:val="center"/>
          </w:tcPr>
          <w:p w:rsidR="009B0266" w:rsidRPr="00961CB3" w:rsidRDefault="009B0266" w:rsidP="009B0266">
            <w:pPr>
              <w:spacing w:beforeLines="20" w:before="48" w:afterLines="20" w:after="48"/>
              <w:jc w:val="center"/>
              <w:rPr>
                <w:sz w:val="16"/>
                <w:szCs w:val="16"/>
                <w:lang w:eastAsia="en-US"/>
              </w:rPr>
            </w:pPr>
            <w:r w:rsidRPr="00961CB3">
              <w:rPr>
                <w:sz w:val="16"/>
                <w:szCs w:val="16"/>
                <w:lang w:eastAsia="en-US"/>
              </w:rPr>
              <w:t>59(3)(a) – bez výnimiek</w:t>
            </w:r>
          </w:p>
        </w:tc>
        <w:tc>
          <w:tcPr>
            <w:tcW w:w="5339" w:type="dxa"/>
            <w:tcBorders>
              <w:bottom w:val="single" w:sz="4" w:space="0" w:color="auto"/>
            </w:tcBorders>
            <w:shd w:val="clear" w:color="auto" w:fill="auto"/>
            <w:vAlign w:val="center"/>
          </w:tcPr>
          <w:p w:rsidR="009B0266" w:rsidRPr="00961CB3" w:rsidRDefault="009B0266" w:rsidP="009B0266">
            <w:pPr>
              <w:spacing w:beforeLines="20" w:before="48" w:afterLines="20" w:after="48"/>
              <w:jc w:val="center"/>
              <w:rPr>
                <w:sz w:val="16"/>
                <w:szCs w:val="16"/>
                <w:lang w:eastAsia="en-US"/>
              </w:rPr>
            </w:pPr>
            <w:r w:rsidRPr="00961CB3">
              <w:rPr>
                <w:sz w:val="16"/>
                <w:szCs w:val="16"/>
                <w:lang w:eastAsia="en-US"/>
              </w:rPr>
              <w:t>4</w:t>
            </w:r>
          </w:p>
        </w:tc>
        <w:tc>
          <w:tcPr>
            <w:tcW w:w="3261" w:type="dxa"/>
            <w:tcBorders>
              <w:bottom w:val="single" w:sz="4" w:space="0" w:color="auto"/>
            </w:tcBorders>
            <w:shd w:val="clear" w:color="auto" w:fill="auto"/>
            <w:vAlign w:val="bottom"/>
          </w:tcPr>
          <w:p w:rsidR="009B0266" w:rsidRPr="00961CB3" w:rsidRDefault="009B0266" w:rsidP="004F2B59">
            <w:pPr>
              <w:tabs>
                <w:tab w:val="left" w:pos="1877"/>
                <w:tab w:val="left" w:pos="2019"/>
              </w:tabs>
              <w:ind w:right="742"/>
              <w:jc w:val="right"/>
              <w:rPr>
                <w:rFonts w:eastAsiaTheme="minorHAnsi"/>
                <w:sz w:val="16"/>
                <w:szCs w:val="16"/>
                <w:lang w:eastAsia="en-US"/>
              </w:rPr>
            </w:pPr>
            <w:r w:rsidRPr="00961CB3">
              <w:rPr>
                <w:rFonts w:eastAsiaTheme="minorHAnsi"/>
                <w:sz w:val="16"/>
                <w:szCs w:val="16"/>
                <w:lang w:eastAsia="en-US"/>
              </w:rPr>
              <w:t>22 500 000,00</w:t>
            </w:r>
          </w:p>
        </w:tc>
      </w:tr>
      <w:tr w:rsidR="009B0266" w:rsidRPr="00961CB3" w:rsidTr="00D905DE">
        <w:tc>
          <w:tcPr>
            <w:tcW w:w="4300" w:type="dxa"/>
            <w:tcBorders>
              <w:bottom w:val="single" w:sz="4" w:space="0" w:color="auto"/>
            </w:tcBorders>
            <w:shd w:val="clear" w:color="auto" w:fill="auto"/>
            <w:vAlign w:val="center"/>
          </w:tcPr>
          <w:p w:rsidR="009B0266" w:rsidRPr="00961CB3" w:rsidRDefault="009B0266" w:rsidP="009B0266">
            <w:pPr>
              <w:spacing w:beforeLines="20" w:before="48" w:afterLines="20" w:after="48"/>
              <w:jc w:val="center"/>
              <w:rPr>
                <w:sz w:val="16"/>
                <w:szCs w:val="16"/>
                <w:lang w:eastAsia="en-US"/>
              </w:rPr>
            </w:pPr>
            <w:r w:rsidRPr="00961CB3">
              <w:rPr>
                <w:sz w:val="16"/>
                <w:szCs w:val="16"/>
                <w:lang w:eastAsia="en-US"/>
              </w:rPr>
              <w:t>59(3)(a) – bez výnimiek</w:t>
            </w:r>
          </w:p>
        </w:tc>
        <w:tc>
          <w:tcPr>
            <w:tcW w:w="5339" w:type="dxa"/>
            <w:tcBorders>
              <w:bottom w:val="single" w:sz="4" w:space="0" w:color="auto"/>
            </w:tcBorders>
            <w:shd w:val="clear" w:color="auto" w:fill="auto"/>
            <w:vAlign w:val="center"/>
          </w:tcPr>
          <w:p w:rsidR="009B0266" w:rsidRPr="00961CB3" w:rsidRDefault="009B0266" w:rsidP="009B0266">
            <w:pPr>
              <w:spacing w:beforeLines="20" w:before="48" w:afterLines="20" w:after="48"/>
              <w:jc w:val="center"/>
              <w:rPr>
                <w:sz w:val="16"/>
                <w:szCs w:val="16"/>
                <w:lang w:eastAsia="en-US"/>
              </w:rPr>
            </w:pPr>
            <w:r w:rsidRPr="00961CB3">
              <w:rPr>
                <w:sz w:val="16"/>
                <w:szCs w:val="16"/>
                <w:lang w:eastAsia="en-US"/>
              </w:rPr>
              <w:t>5A</w:t>
            </w:r>
          </w:p>
        </w:tc>
        <w:tc>
          <w:tcPr>
            <w:tcW w:w="3261" w:type="dxa"/>
            <w:tcBorders>
              <w:bottom w:val="single" w:sz="4" w:space="0" w:color="auto"/>
            </w:tcBorders>
            <w:shd w:val="clear" w:color="auto" w:fill="auto"/>
            <w:vAlign w:val="bottom"/>
          </w:tcPr>
          <w:p w:rsidR="009B0266" w:rsidRPr="00961CB3" w:rsidRDefault="009B0266" w:rsidP="004F2B59">
            <w:pPr>
              <w:tabs>
                <w:tab w:val="left" w:pos="1877"/>
                <w:tab w:val="left" w:pos="2019"/>
              </w:tabs>
              <w:ind w:right="742"/>
              <w:jc w:val="right"/>
              <w:rPr>
                <w:rFonts w:eastAsiaTheme="minorHAnsi"/>
                <w:sz w:val="16"/>
                <w:szCs w:val="16"/>
                <w:lang w:eastAsia="en-US"/>
              </w:rPr>
            </w:pPr>
            <w:r w:rsidRPr="00961CB3">
              <w:rPr>
                <w:rFonts w:eastAsiaTheme="minorHAnsi"/>
                <w:sz w:val="16"/>
                <w:szCs w:val="16"/>
                <w:lang w:eastAsia="en-US"/>
              </w:rPr>
              <w:t>10 842 750,00</w:t>
            </w:r>
          </w:p>
        </w:tc>
      </w:tr>
      <w:tr w:rsidR="009B0266" w:rsidRPr="00961CB3" w:rsidTr="00D905DE">
        <w:tc>
          <w:tcPr>
            <w:tcW w:w="4300" w:type="dxa"/>
            <w:tcBorders>
              <w:bottom w:val="single" w:sz="4" w:space="0" w:color="auto"/>
            </w:tcBorders>
            <w:shd w:val="clear" w:color="auto" w:fill="auto"/>
            <w:vAlign w:val="center"/>
          </w:tcPr>
          <w:p w:rsidR="009B0266" w:rsidRPr="00961CB3" w:rsidRDefault="009B0266" w:rsidP="009B0266">
            <w:pPr>
              <w:spacing w:beforeLines="20" w:before="48" w:afterLines="20" w:after="48"/>
              <w:jc w:val="center"/>
              <w:rPr>
                <w:sz w:val="16"/>
                <w:szCs w:val="16"/>
                <w:lang w:eastAsia="en-US"/>
              </w:rPr>
            </w:pPr>
            <w:r w:rsidRPr="00961CB3">
              <w:rPr>
                <w:sz w:val="16"/>
                <w:szCs w:val="16"/>
                <w:lang w:eastAsia="en-US"/>
              </w:rPr>
              <w:t>59(3)(a) – bez výnimiek</w:t>
            </w:r>
          </w:p>
        </w:tc>
        <w:tc>
          <w:tcPr>
            <w:tcW w:w="5339" w:type="dxa"/>
            <w:tcBorders>
              <w:bottom w:val="single" w:sz="4" w:space="0" w:color="auto"/>
            </w:tcBorders>
            <w:shd w:val="clear" w:color="auto" w:fill="auto"/>
            <w:vAlign w:val="center"/>
          </w:tcPr>
          <w:p w:rsidR="009B0266" w:rsidRPr="00961CB3" w:rsidRDefault="009B0266" w:rsidP="009B0266">
            <w:pPr>
              <w:spacing w:beforeLines="20" w:before="48" w:afterLines="20" w:after="48"/>
              <w:jc w:val="center"/>
              <w:rPr>
                <w:sz w:val="16"/>
                <w:szCs w:val="16"/>
                <w:lang w:eastAsia="en-US"/>
              </w:rPr>
            </w:pPr>
            <w:r w:rsidRPr="00961CB3">
              <w:rPr>
                <w:sz w:val="16"/>
                <w:szCs w:val="16"/>
                <w:lang w:eastAsia="en-US"/>
              </w:rPr>
              <w:t>5B</w:t>
            </w:r>
          </w:p>
        </w:tc>
        <w:tc>
          <w:tcPr>
            <w:tcW w:w="3261" w:type="dxa"/>
            <w:tcBorders>
              <w:bottom w:val="single" w:sz="4" w:space="0" w:color="auto"/>
            </w:tcBorders>
            <w:shd w:val="clear" w:color="auto" w:fill="auto"/>
            <w:vAlign w:val="bottom"/>
          </w:tcPr>
          <w:p w:rsidR="009B0266" w:rsidRPr="00961CB3" w:rsidRDefault="009B0266" w:rsidP="004F2B59">
            <w:pPr>
              <w:tabs>
                <w:tab w:val="left" w:pos="1877"/>
                <w:tab w:val="left" w:pos="2019"/>
              </w:tabs>
              <w:ind w:right="742"/>
              <w:jc w:val="right"/>
              <w:rPr>
                <w:rFonts w:eastAsiaTheme="minorHAnsi"/>
                <w:sz w:val="16"/>
                <w:szCs w:val="16"/>
                <w:lang w:eastAsia="en-US"/>
              </w:rPr>
            </w:pPr>
            <w:r w:rsidRPr="00961CB3">
              <w:rPr>
                <w:rFonts w:eastAsiaTheme="minorHAnsi"/>
                <w:sz w:val="16"/>
                <w:szCs w:val="16"/>
                <w:lang w:eastAsia="en-US"/>
              </w:rPr>
              <w:t>28 824 000,00</w:t>
            </w:r>
          </w:p>
        </w:tc>
      </w:tr>
      <w:tr w:rsidR="009B0266" w:rsidRPr="00961CB3" w:rsidTr="00D905DE">
        <w:tc>
          <w:tcPr>
            <w:tcW w:w="4300" w:type="dxa"/>
            <w:tcBorders>
              <w:bottom w:val="single" w:sz="4" w:space="0" w:color="auto"/>
            </w:tcBorders>
            <w:shd w:val="clear" w:color="auto" w:fill="auto"/>
            <w:vAlign w:val="center"/>
          </w:tcPr>
          <w:p w:rsidR="009B0266" w:rsidRPr="00961CB3" w:rsidRDefault="009B0266" w:rsidP="009B0266">
            <w:pPr>
              <w:spacing w:beforeLines="20" w:before="48" w:afterLines="20" w:after="48"/>
              <w:jc w:val="center"/>
              <w:rPr>
                <w:sz w:val="16"/>
                <w:szCs w:val="16"/>
                <w:lang w:eastAsia="en-US"/>
              </w:rPr>
            </w:pPr>
            <w:r w:rsidRPr="00961CB3">
              <w:rPr>
                <w:sz w:val="16"/>
                <w:szCs w:val="16"/>
                <w:lang w:eastAsia="en-US"/>
              </w:rPr>
              <w:t>59(3)(a) – bez výnimiek</w:t>
            </w:r>
          </w:p>
        </w:tc>
        <w:tc>
          <w:tcPr>
            <w:tcW w:w="5339" w:type="dxa"/>
            <w:tcBorders>
              <w:bottom w:val="single" w:sz="4" w:space="0" w:color="auto"/>
            </w:tcBorders>
            <w:shd w:val="clear" w:color="auto" w:fill="auto"/>
            <w:vAlign w:val="center"/>
          </w:tcPr>
          <w:p w:rsidR="009B0266" w:rsidRPr="00961CB3" w:rsidRDefault="009B0266" w:rsidP="009B0266">
            <w:pPr>
              <w:spacing w:beforeLines="20" w:before="48" w:afterLines="20" w:after="48"/>
              <w:jc w:val="center"/>
              <w:rPr>
                <w:sz w:val="16"/>
                <w:szCs w:val="16"/>
                <w:lang w:eastAsia="en-US"/>
              </w:rPr>
            </w:pPr>
            <w:r w:rsidRPr="00961CB3">
              <w:rPr>
                <w:sz w:val="16"/>
                <w:szCs w:val="16"/>
                <w:lang w:eastAsia="en-US"/>
              </w:rPr>
              <w:t>5C</w:t>
            </w:r>
          </w:p>
        </w:tc>
        <w:tc>
          <w:tcPr>
            <w:tcW w:w="3261" w:type="dxa"/>
            <w:tcBorders>
              <w:bottom w:val="single" w:sz="4" w:space="0" w:color="auto"/>
            </w:tcBorders>
            <w:shd w:val="clear" w:color="auto" w:fill="auto"/>
            <w:vAlign w:val="bottom"/>
          </w:tcPr>
          <w:p w:rsidR="009B0266" w:rsidRPr="00961CB3" w:rsidRDefault="009B0266" w:rsidP="004F2B59">
            <w:pPr>
              <w:tabs>
                <w:tab w:val="left" w:pos="1877"/>
                <w:tab w:val="left" w:pos="2019"/>
              </w:tabs>
              <w:ind w:right="742"/>
              <w:jc w:val="right"/>
              <w:rPr>
                <w:rFonts w:eastAsiaTheme="minorHAnsi"/>
                <w:sz w:val="16"/>
                <w:szCs w:val="16"/>
                <w:lang w:eastAsia="en-US"/>
              </w:rPr>
            </w:pPr>
            <w:r w:rsidRPr="00961CB3">
              <w:rPr>
                <w:rFonts w:eastAsiaTheme="minorHAnsi"/>
                <w:sz w:val="16"/>
                <w:szCs w:val="16"/>
                <w:lang w:eastAsia="en-US"/>
              </w:rPr>
              <w:t>7 228 500,00</w:t>
            </w:r>
          </w:p>
        </w:tc>
      </w:tr>
      <w:tr w:rsidR="009B0266" w:rsidRPr="00961CB3" w:rsidTr="00D905DE">
        <w:tc>
          <w:tcPr>
            <w:tcW w:w="4300" w:type="dxa"/>
            <w:tcBorders>
              <w:bottom w:val="single" w:sz="4" w:space="0" w:color="auto"/>
            </w:tcBorders>
            <w:shd w:val="clear" w:color="auto" w:fill="auto"/>
            <w:vAlign w:val="center"/>
          </w:tcPr>
          <w:p w:rsidR="009B0266" w:rsidRPr="00961CB3" w:rsidRDefault="009B0266" w:rsidP="009B0266">
            <w:pPr>
              <w:spacing w:beforeLines="20" w:before="48" w:afterLines="20" w:after="48"/>
              <w:jc w:val="center"/>
              <w:rPr>
                <w:sz w:val="16"/>
                <w:szCs w:val="16"/>
                <w:lang w:eastAsia="en-US"/>
              </w:rPr>
            </w:pPr>
            <w:r w:rsidRPr="00961CB3">
              <w:rPr>
                <w:sz w:val="16"/>
                <w:szCs w:val="16"/>
                <w:lang w:eastAsia="en-US"/>
              </w:rPr>
              <w:t>59(3)(a) – bez výnimiek</w:t>
            </w:r>
          </w:p>
        </w:tc>
        <w:tc>
          <w:tcPr>
            <w:tcW w:w="5339" w:type="dxa"/>
            <w:tcBorders>
              <w:bottom w:val="single" w:sz="4" w:space="0" w:color="auto"/>
            </w:tcBorders>
            <w:shd w:val="clear" w:color="auto" w:fill="auto"/>
            <w:vAlign w:val="center"/>
          </w:tcPr>
          <w:p w:rsidR="009B0266" w:rsidRPr="00961CB3" w:rsidRDefault="009B0266" w:rsidP="009B0266">
            <w:pPr>
              <w:spacing w:beforeLines="20" w:before="48" w:afterLines="20" w:after="48"/>
              <w:jc w:val="center"/>
              <w:rPr>
                <w:sz w:val="16"/>
                <w:szCs w:val="16"/>
                <w:lang w:eastAsia="en-US"/>
              </w:rPr>
            </w:pPr>
            <w:r w:rsidRPr="00961CB3">
              <w:rPr>
                <w:sz w:val="16"/>
                <w:szCs w:val="16"/>
                <w:lang w:eastAsia="en-US"/>
              </w:rPr>
              <w:t>5D</w:t>
            </w:r>
          </w:p>
        </w:tc>
        <w:tc>
          <w:tcPr>
            <w:tcW w:w="3261" w:type="dxa"/>
            <w:tcBorders>
              <w:bottom w:val="single" w:sz="4" w:space="0" w:color="auto"/>
            </w:tcBorders>
            <w:shd w:val="clear" w:color="auto" w:fill="auto"/>
            <w:vAlign w:val="bottom"/>
          </w:tcPr>
          <w:p w:rsidR="009B0266" w:rsidRPr="00961CB3" w:rsidRDefault="009B0266" w:rsidP="004F2B59">
            <w:pPr>
              <w:tabs>
                <w:tab w:val="left" w:pos="1877"/>
                <w:tab w:val="left" w:pos="2019"/>
              </w:tabs>
              <w:ind w:right="742"/>
              <w:jc w:val="right"/>
              <w:rPr>
                <w:rFonts w:eastAsiaTheme="minorHAnsi"/>
                <w:sz w:val="16"/>
                <w:szCs w:val="16"/>
                <w:lang w:eastAsia="en-US"/>
              </w:rPr>
            </w:pPr>
            <w:r w:rsidRPr="00961CB3">
              <w:rPr>
                <w:rFonts w:eastAsiaTheme="minorHAnsi"/>
                <w:sz w:val="16"/>
                <w:szCs w:val="16"/>
                <w:lang w:eastAsia="en-US"/>
              </w:rPr>
              <w:t>14 758 500,00</w:t>
            </w:r>
          </w:p>
        </w:tc>
      </w:tr>
      <w:tr w:rsidR="009B0266" w:rsidRPr="00961CB3" w:rsidTr="00D905DE">
        <w:tc>
          <w:tcPr>
            <w:tcW w:w="4300" w:type="dxa"/>
            <w:tcBorders>
              <w:bottom w:val="single" w:sz="4" w:space="0" w:color="auto"/>
            </w:tcBorders>
            <w:shd w:val="clear" w:color="auto" w:fill="auto"/>
            <w:vAlign w:val="center"/>
          </w:tcPr>
          <w:p w:rsidR="009B0266" w:rsidRPr="00961CB3" w:rsidRDefault="009B0266" w:rsidP="009B0266">
            <w:pPr>
              <w:spacing w:beforeLines="20" w:before="48" w:afterLines="20" w:after="48"/>
              <w:jc w:val="center"/>
              <w:rPr>
                <w:sz w:val="16"/>
                <w:szCs w:val="16"/>
                <w:lang w:eastAsia="en-US"/>
              </w:rPr>
            </w:pPr>
            <w:r w:rsidRPr="00961CB3">
              <w:rPr>
                <w:sz w:val="16"/>
                <w:szCs w:val="16"/>
                <w:lang w:eastAsia="en-US"/>
              </w:rPr>
              <w:t>59(3)(d) – bez výnimiek</w:t>
            </w:r>
          </w:p>
        </w:tc>
        <w:tc>
          <w:tcPr>
            <w:tcW w:w="5339" w:type="dxa"/>
            <w:tcBorders>
              <w:bottom w:val="single" w:sz="4" w:space="0" w:color="auto"/>
            </w:tcBorders>
            <w:shd w:val="clear" w:color="auto" w:fill="auto"/>
            <w:vAlign w:val="center"/>
          </w:tcPr>
          <w:p w:rsidR="009B0266" w:rsidRPr="00961CB3" w:rsidRDefault="009B0266" w:rsidP="009B0266">
            <w:pPr>
              <w:spacing w:beforeLines="20" w:before="48" w:afterLines="20" w:after="48"/>
              <w:jc w:val="center"/>
              <w:rPr>
                <w:sz w:val="16"/>
                <w:szCs w:val="16"/>
                <w:lang w:eastAsia="en-US"/>
              </w:rPr>
            </w:pPr>
            <w:r w:rsidRPr="00961CB3">
              <w:rPr>
                <w:sz w:val="16"/>
                <w:szCs w:val="16"/>
                <w:lang w:eastAsia="en-US"/>
              </w:rPr>
              <w:t>2A</w:t>
            </w:r>
          </w:p>
        </w:tc>
        <w:tc>
          <w:tcPr>
            <w:tcW w:w="3261" w:type="dxa"/>
            <w:tcBorders>
              <w:bottom w:val="single" w:sz="4" w:space="0" w:color="auto"/>
            </w:tcBorders>
            <w:shd w:val="clear" w:color="auto" w:fill="auto"/>
            <w:vAlign w:val="bottom"/>
          </w:tcPr>
          <w:p w:rsidR="009B0266" w:rsidRPr="00961CB3" w:rsidRDefault="009B0266" w:rsidP="004F2B59">
            <w:pPr>
              <w:tabs>
                <w:tab w:val="left" w:pos="1877"/>
                <w:tab w:val="left" w:pos="2019"/>
              </w:tabs>
              <w:ind w:right="742"/>
              <w:jc w:val="right"/>
              <w:rPr>
                <w:rFonts w:eastAsiaTheme="minorHAnsi"/>
                <w:sz w:val="16"/>
                <w:szCs w:val="16"/>
                <w:lang w:eastAsia="en-US"/>
              </w:rPr>
            </w:pPr>
            <w:r w:rsidRPr="00961CB3">
              <w:rPr>
                <w:rFonts w:eastAsiaTheme="minorHAnsi"/>
                <w:sz w:val="16"/>
                <w:szCs w:val="16"/>
                <w:lang w:eastAsia="en-US"/>
              </w:rPr>
              <w:t>3 204 062,00</w:t>
            </w:r>
          </w:p>
        </w:tc>
      </w:tr>
      <w:tr w:rsidR="009B0266" w:rsidRPr="00961CB3" w:rsidTr="00D905DE">
        <w:tc>
          <w:tcPr>
            <w:tcW w:w="4300" w:type="dxa"/>
            <w:tcBorders>
              <w:bottom w:val="single" w:sz="4" w:space="0" w:color="auto"/>
            </w:tcBorders>
            <w:shd w:val="clear" w:color="auto" w:fill="auto"/>
            <w:vAlign w:val="center"/>
          </w:tcPr>
          <w:p w:rsidR="009B0266" w:rsidRPr="00961CB3" w:rsidRDefault="009B0266" w:rsidP="009B0266">
            <w:pPr>
              <w:spacing w:beforeLines="20" w:before="48" w:afterLines="20" w:after="48"/>
              <w:jc w:val="center"/>
              <w:rPr>
                <w:sz w:val="16"/>
                <w:szCs w:val="16"/>
                <w:lang w:eastAsia="en-US"/>
              </w:rPr>
            </w:pPr>
            <w:r w:rsidRPr="00961CB3">
              <w:rPr>
                <w:sz w:val="16"/>
                <w:szCs w:val="16"/>
                <w:lang w:eastAsia="en-US"/>
              </w:rPr>
              <w:t>59(3)(d) – bez výnimiek</w:t>
            </w:r>
          </w:p>
        </w:tc>
        <w:tc>
          <w:tcPr>
            <w:tcW w:w="5339" w:type="dxa"/>
            <w:tcBorders>
              <w:bottom w:val="single" w:sz="4" w:space="0" w:color="auto"/>
            </w:tcBorders>
            <w:shd w:val="clear" w:color="auto" w:fill="auto"/>
            <w:vAlign w:val="center"/>
          </w:tcPr>
          <w:p w:rsidR="009B0266" w:rsidRPr="00961CB3" w:rsidRDefault="009B0266" w:rsidP="009B0266">
            <w:pPr>
              <w:spacing w:beforeLines="20" w:before="48" w:afterLines="20" w:after="48"/>
              <w:jc w:val="center"/>
              <w:rPr>
                <w:sz w:val="16"/>
                <w:szCs w:val="16"/>
                <w:lang w:eastAsia="en-US"/>
              </w:rPr>
            </w:pPr>
            <w:r w:rsidRPr="00961CB3">
              <w:rPr>
                <w:sz w:val="16"/>
                <w:szCs w:val="16"/>
                <w:lang w:eastAsia="en-US"/>
              </w:rPr>
              <w:t>2B</w:t>
            </w:r>
          </w:p>
        </w:tc>
        <w:tc>
          <w:tcPr>
            <w:tcW w:w="3261" w:type="dxa"/>
            <w:tcBorders>
              <w:bottom w:val="single" w:sz="4" w:space="0" w:color="auto"/>
            </w:tcBorders>
            <w:shd w:val="clear" w:color="auto" w:fill="auto"/>
            <w:vAlign w:val="bottom"/>
          </w:tcPr>
          <w:p w:rsidR="009B0266" w:rsidRPr="00961CB3" w:rsidRDefault="009B0266" w:rsidP="004F2B59">
            <w:pPr>
              <w:tabs>
                <w:tab w:val="left" w:pos="1877"/>
                <w:tab w:val="left" w:pos="2019"/>
              </w:tabs>
              <w:ind w:right="742"/>
              <w:jc w:val="right"/>
              <w:rPr>
                <w:rFonts w:eastAsiaTheme="minorHAnsi"/>
                <w:sz w:val="16"/>
                <w:szCs w:val="16"/>
                <w:lang w:eastAsia="en-US"/>
              </w:rPr>
            </w:pPr>
            <w:r w:rsidRPr="00961CB3">
              <w:rPr>
                <w:rFonts w:eastAsiaTheme="minorHAnsi"/>
                <w:sz w:val="16"/>
                <w:szCs w:val="16"/>
                <w:lang w:eastAsia="en-US"/>
              </w:rPr>
              <w:t>345 348,00</w:t>
            </w:r>
          </w:p>
        </w:tc>
      </w:tr>
      <w:tr w:rsidR="009B0266" w:rsidRPr="00961CB3" w:rsidTr="00D905DE">
        <w:tc>
          <w:tcPr>
            <w:tcW w:w="4300" w:type="dxa"/>
            <w:tcBorders>
              <w:bottom w:val="single" w:sz="4" w:space="0" w:color="auto"/>
            </w:tcBorders>
            <w:shd w:val="clear" w:color="auto" w:fill="auto"/>
            <w:vAlign w:val="center"/>
          </w:tcPr>
          <w:p w:rsidR="009B0266" w:rsidRPr="00961CB3" w:rsidRDefault="009B0266" w:rsidP="009B0266">
            <w:pPr>
              <w:spacing w:beforeLines="20" w:before="48" w:afterLines="20" w:after="48"/>
              <w:jc w:val="center"/>
              <w:rPr>
                <w:sz w:val="16"/>
                <w:szCs w:val="16"/>
                <w:lang w:eastAsia="en-US"/>
              </w:rPr>
            </w:pPr>
            <w:r w:rsidRPr="00961CB3">
              <w:rPr>
                <w:sz w:val="16"/>
                <w:szCs w:val="16"/>
                <w:lang w:eastAsia="en-US"/>
              </w:rPr>
              <w:t>59(3)(d) – bez výnimiek</w:t>
            </w:r>
          </w:p>
        </w:tc>
        <w:tc>
          <w:tcPr>
            <w:tcW w:w="5339" w:type="dxa"/>
            <w:tcBorders>
              <w:bottom w:val="single" w:sz="4" w:space="0" w:color="auto"/>
            </w:tcBorders>
            <w:shd w:val="clear" w:color="auto" w:fill="auto"/>
            <w:vAlign w:val="center"/>
          </w:tcPr>
          <w:p w:rsidR="009B0266" w:rsidRPr="00961CB3" w:rsidRDefault="009B0266" w:rsidP="009B0266">
            <w:pPr>
              <w:spacing w:beforeLines="20" w:before="48" w:afterLines="20" w:after="48"/>
              <w:jc w:val="center"/>
              <w:rPr>
                <w:sz w:val="16"/>
                <w:szCs w:val="16"/>
                <w:lang w:eastAsia="en-US"/>
              </w:rPr>
            </w:pPr>
            <w:r w:rsidRPr="00961CB3">
              <w:rPr>
                <w:sz w:val="16"/>
                <w:szCs w:val="16"/>
                <w:lang w:eastAsia="en-US"/>
              </w:rPr>
              <w:t>2C</w:t>
            </w:r>
          </w:p>
        </w:tc>
        <w:tc>
          <w:tcPr>
            <w:tcW w:w="3261" w:type="dxa"/>
            <w:tcBorders>
              <w:bottom w:val="single" w:sz="4" w:space="0" w:color="auto"/>
            </w:tcBorders>
            <w:shd w:val="clear" w:color="auto" w:fill="auto"/>
            <w:vAlign w:val="bottom"/>
          </w:tcPr>
          <w:p w:rsidR="009B0266" w:rsidRPr="00961CB3" w:rsidRDefault="009B0266" w:rsidP="004F2B59">
            <w:pPr>
              <w:tabs>
                <w:tab w:val="left" w:pos="1877"/>
                <w:tab w:val="left" w:pos="2019"/>
              </w:tabs>
              <w:ind w:right="742"/>
              <w:jc w:val="right"/>
              <w:rPr>
                <w:rFonts w:eastAsiaTheme="minorHAnsi"/>
                <w:sz w:val="16"/>
                <w:szCs w:val="16"/>
                <w:lang w:eastAsia="en-US"/>
              </w:rPr>
            </w:pPr>
            <w:r w:rsidRPr="00961CB3">
              <w:rPr>
                <w:rFonts w:eastAsiaTheme="minorHAnsi"/>
                <w:sz w:val="16"/>
                <w:szCs w:val="16"/>
                <w:lang w:eastAsia="en-US"/>
              </w:rPr>
              <w:t>265 530,00</w:t>
            </w:r>
          </w:p>
        </w:tc>
      </w:tr>
      <w:tr w:rsidR="009B0266" w:rsidRPr="00961CB3" w:rsidTr="00D905DE">
        <w:tc>
          <w:tcPr>
            <w:tcW w:w="4300" w:type="dxa"/>
            <w:tcBorders>
              <w:bottom w:val="single" w:sz="4" w:space="0" w:color="auto"/>
            </w:tcBorders>
            <w:shd w:val="clear" w:color="auto" w:fill="auto"/>
            <w:vAlign w:val="center"/>
          </w:tcPr>
          <w:p w:rsidR="009B0266" w:rsidRPr="00961CB3" w:rsidRDefault="009B0266" w:rsidP="009B0266">
            <w:pPr>
              <w:spacing w:beforeLines="20" w:before="48" w:afterLines="20" w:after="48"/>
              <w:jc w:val="center"/>
              <w:rPr>
                <w:sz w:val="16"/>
                <w:szCs w:val="16"/>
                <w:lang w:eastAsia="en-US"/>
              </w:rPr>
            </w:pPr>
            <w:r w:rsidRPr="00961CB3">
              <w:rPr>
                <w:sz w:val="16"/>
                <w:szCs w:val="16"/>
                <w:lang w:eastAsia="en-US"/>
              </w:rPr>
              <w:t>59(3)(d) – bez výnimiek</w:t>
            </w:r>
          </w:p>
        </w:tc>
        <w:tc>
          <w:tcPr>
            <w:tcW w:w="5339" w:type="dxa"/>
            <w:tcBorders>
              <w:bottom w:val="single" w:sz="4" w:space="0" w:color="auto"/>
            </w:tcBorders>
            <w:shd w:val="clear" w:color="auto" w:fill="auto"/>
            <w:vAlign w:val="center"/>
          </w:tcPr>
          <w:p w:rsidR="009B0266" w:rsidRPr="00961CB3" w:rsidRDefault="009B0266" w:rsidP="009B0266">
            <w:pPr>
              <w:spacing w:beforeLines="20" w:before="48" w:afterLines="20" w:after="48"/>
              <w:jc w:val="center"/>
              <w:rPr>
                <w:sz w:val="16"/>
                <w:szCs w:val="16"/>
                <w:lang w:eastAsia="en-US"/>
              </w:rPr>
            </w:pPr>
            <w:r w:rsidRPr="00961CB3">
              <w:rPr>
                <w:sz w:val="16"/>
                <w:szCs w:val="16"/>
                <w:lang w:eastAsia="en-US"/>
              </w:rPr>
              <w:t>3A</w:t>
            </w:r>
          </w:p>
        </w:tc>
        <w:tc>
          <w:tcPr>
            <w:tcW w:w="3261" w:type="dxa"/>
            <w:tcBorders>
              <w:bottom w:val="single" w:sz="4" w:space="0" w:color="auto"/>
            </w:tcBorders>
            <w:shd w:val="clear" w:color="auto" w:fill="auto"/>
            <w:vAlign w:val="bottom"/>
          </w:tcPr>
          <w:p w:rsidR="009B0266" w:rsidRPr="00961CB3" w:rsidRDefault="009B0266" w:rsidP="004F2B59">
            <w:pPr>
              <w:tabs>
                <w:tab w:val="left" w:pos="1877"/>
                <w:tab w:val="left" w:pos="2019"/>
              </w:tabs>
              <w:ind w:right="742"/>
              <w:jc w:val="right"/>
              <w:rPr>
                <w:rFonts w:eastAsiaTheme="minorHAnsi"/>
                <w:sz w:val="16"/>
                <w:szCs w:val="16"/>
                <w:lang w:eastAsia="en-US"/>
              </w:rPr>
            </w:pPr>
            <w:r w:rsidRPr="00961CB3">
              <w:rPr>
                <w:rFonts w:eastAsiaTheme="minorHAnsi"/>
                <w:sz w:val="16"/>
                <w:szCs w:val="16"/>
                <w:lang w:eastAsia="en-US"/>
              </w:rPr>
              <w:t>3 324 160,00</w:t>
            </w:r>
          </w:p>
        </w:tc>
      </w:tr>
      <w:tr w:rsidR="009B0266" w:rsidRPr="00961CB3" w:rsidTr="00D905DE">
        <w:tc>
          <w:tcPr>
            <w:tcW w:w="4300" w:type="dxa"/>
            <w:tcBorders>
              <w:bottom w:val="single" w:sz="4" w:space="0" w:color="auto"/>
            </w:tcBorders>
            <w:shd w:val="clear" w:color="auto" w:fill="auto"/>
            <w:vAlign w:val="center"/>
          </w:tcPr>
          <w:p w:rsidR="009B0266" w:rsidRPr="00961CB3" w:rsidRDefault="009B0266" w:rsidP="009B0266">
            <w:pPr>
              <w:spacing w:beforeLines="20" w:before="48" w:afterLines="20" w:after="48"/>
              <w:jc w:val="center"/>
              <w:rPr>
                <w:sz w:val="16"/>
                <w:szCs w:val="16"/>
                <w:lang w:eastAsia="en-US"/>
              </w:rPr>
            </w:pPr>
            <w:r w:rsidRPr="00961CB3">
              <w:rPr>
                <w:sz w:val="16"/>
                <w:szCs w:val="16"/>
                <w:lang w:eastAsia="en-US"/>
              </w:rPr>
              <w:t>59(3)(d) – bez výnimiek</w:t>
            </w:r>
          </w:p>
        </w:tc>
        <w:tc>
          <w:tcPr>
            <w:tcW w:w="5339" w:type="dxa"/>
            <w:tcBorders>
              <w:bottom w:val="single" w:sz="4" w:space="0" w:color="auto"/>
            </w:tcBorders>
            <w:shd w:val="clear" w:color="auto" w:fill="auto"/>
            <w:vAlign w:val="center"/>
          </w:tcPr>
          <w:p w:rsidR="009B0266" w:rsidRPr="00961CB3" w:rsidRDefault="009B0266" w:rsidP="009B0266">
            <w:pPr>
              <w:spacing w:beforeLines="20" w:before="48" w:afterLines="20" w:after="48"/>
              <w:jc w:val="center"/>
              <w:rPr>
                <w:sz w:val="16"/>
                <w:szCs w:val="16"/>
                <w:lang w:eastAsia="en-US"/>
              </w:rPr>
            </w:pPr>
            <w:r w:rsidRPr="00961CB3">
              <w:rPr>
                <w:sz w:val="16"/>
                <w:szCs w:val="16"/>
                <w:lang w:eastAsia="en-US"/>
              </w:rPr>
              <w:t>4</w:t>
            </w:r>
          </w:p>
        </w:tc>
        <w:tc>
          <w:tcPr>
            <w:tcW w:w="3261" w:type="dxa"/>
            <w:tcBorders>
              <w:bottom w:val="single" w:sz="4" w:space="0" w:color="auto"/>
            </w:tcBorders>
            <w:shd w:val="clear" w:color="auto" w:fill="auto"/>
            <w:vAlign w:val="bottom"/>
          </w:tcPr>
          <w:p w:rsidR="009B0266" w:rsidRPr="00961CB3" w:rsidRDefault="009B0266" w:rsidP="004F2B59">
            <w:pPr>
              <w:tabs>
                <w:tab w:val="left" w:pos="1877"/>
                <w:tab w:val="left" w:pos="2019"/>
              </w:tabs>
              <w:ind w:right="742"/>
              <w:jc w:val="right"/>
              <w:rPr>
                <w:rFonts w:eastAsiaTheme="minorHAnsi"/>
                <w:sz w:val="16"/>
                <w:szCs w:val="16"/>
                <w:lang w:eastAsia="en-US"/>
              </w:rPr>
            </w:pPr>
            <w:r w:rsidRPr="00961CB3">
              <w:rPr>
                <w:rFonts w:eastAsiaTheme="minorHAnsi"/>
                <w:sz w:val="16"/>
                <w:szCs w:val="16"/>
                <w:lang w:eastAsia="en-US"/>
              </w:rPr>
              <w:t>0,00</w:t>
            </w:r>
          </w:p>
        </w:tc>
      </w:tr>
      <w:tr w:rsidR="009B0266" w:rsidRPr="00961CB3" w:rsidTr="00D905DE">
        <w:tc>
          <w:tcPr>
            <w:tcW w:w="4300" w:type="dxa"/>
            <w:tcBorders>
              <w:bottom w:val="single" w:sz="4" w:space="0" w:color="auto"/>
            </w:tcBorders>
            <w:shd w:val="clear" w:color="auto" w:fill="auto"/>
            <w:vAlign w:val="center"/>
          </w:tcPr>
          <w:p w:rsidR="009B0266" w:rsidRPr="00961CB3" w:rsidRDefault="009B0266" w:rsidP="009B0266">
            <w:pPr>
              <w:spacing w:beforeLines="20" w:before="48" w:afterLines="20" w:after="48"/>
              <w:jc w:val="center"/>
              <w:rPr>
                <w:sz w:val="16"/>
                <w:szCs w:val="16"/>
                <w:lang w:eastAsia="en-US"/>
              </w:rPr>
            </w:pPr>
            <w:r w:rsidRPr="00961CB3">
              <w:rPr>
                <w:sz w:val="16"/>
                <w:szCs w:val="16"/>
                <w:lang w:eastAsia="en-US"/>
              </w:rPr>
              <w:t>59(3)(d) – bez výnimiek</w:t>
            </w:r>
          </w:p>
        </w:tc>
        <w:tc>
          <w:tcPr>
            <w:tcW w:w="5339" w:type="dxa"/>
            <w:tcBorders>
              <w:bottom w:val="single" w:sz="4" w:space="0" w:color="auto"/>
            </w:tcBorders>
            <w:shd w:val="clear" w:color="auto" w:fill="auto"/>
            <w:vAlign w:val="center"/>
          </w:tcPr>
          <w:p w:rsidR="009B0266" w:rsidRPr="00961CB3" w:rsidRDefault="009B0266" w:rsidP="009B0266">
            <w:pPr>
              <w:spacing w:beforeLines="20" w:before="48" w:afterLines="20" w:after="48"/>
              <w:jc w:val="center"/>
              <w:rPr>
                <w:sz w:val="16"/>
                <w:szCs w:val="16"/>
                <w:lang w:eastAsia="en-US"/>
              </w:rPr>
            </w:pPr>
            <w:r w:rsidRPr="00961CB3">
              <w:rPr>
                <w:sz w:val="16"/>
                <w:szCs w:val="16"/>
                <w:lang w:eastAsia="en-US"/>
              </w:rPr>
              <w:t>5A</w:t>
            </w:r>
          </w:p>
        </w:tc>
        <w:tc>
          <w:tcPr>
            <w:tcW w:w="3261" w:type="dxa"/>
            <w:tcBorders>
              <w:bottom w:val="single" w:sz="4" w:space="0" w:color="auto"/>
            </w:tcBorders>
            <w:shd w:val="clear" w:color="auto" w:fill="auto"/>
            <w:vAlign w:val="bottom"/>
          </w:tcPr>
          <w:p w:rsidR="009B0266" w:rsidRPr="00961CB3" w:rsidRDefault="009B0266" w:rsidP="004F2B59">
            <w:pPr>
              <w:tabs>
                <w:tab w:val="left" w:pos="1877"/>
                <w:tab w:val="left" w:pos="2019"/>
              </w:tabs>
              <w:ind w:right="742"/>
              <w:jc w:val="right"/>
              <w:rPr>
                <w:rFonts w:eastAsiaTheme="minorHAnsi"/>
                <w:sz w:val="16"/>
                <w:szCs w:val="16"/>
                <w:lang w:eastAsia="en-US"/>
              </w:rPr>
            </w:pPr>
            <w:r w:rsidRPr="00961CB3">
              <w:rPr>
                <w:rFonts w:eastAsiaTheme="minorHAnsi"/>
                <w:sz w:val="16"/>
                <w:szCs w:val="16"/>
                <w:lang w:eastAsia="en-US"/>
              </w:rPr>
              <w:t>287 790,00</w:t>
            </w:r>
          </w:p>
        </w:tc>
      </w:tr>
      <w:tr w:rsidR="009B0266" w:rsidRPr="00961CB3" w:rsidTr="00D905DE">
        <w:tc>
          <w:tcPr>
            <w:tcW w:w="4300" w:type="dxa"/>
            <w:tcBorders>
              <w:bottom w:val="single" w:sz="4" w:space="0" w:color="auto"/>
            </w:tcBorders>
            <w:shd w:val="clear" w:color="auto" w:fill="auto"/>
            <w:vAlign w:val="center"/>
          </w:tcPr>
          <w:p w:rsidR="009B0266" w:rsidRPr="00961CB3" w:rsidRDefault="009B0266" w:rsidP="009B0266">
            <w:pPr>
              <w:spacing w:beforeLines="20" w:before="48" w:afterLines="20" w:after="48"/>
              <w:jc w:val="center"/>
              <w:rPr>
                <w:sz w:val="16"/>
                <w:szCs w:val="16"/>
                <w:lang w:eastAsia="en-US"/>
              </w:rPr>
            </w:pPr>
            <w:r w:rsidRPr="00961CB3">
              <w:rPr>
                <w:sz w:val="16"/>
                <w:szCs w:val="16"/>
                <w:lang w:eastAsia="en-US"/>
              </w:rPr>
              <w:t>59(3)(d) – bez výnimiek</w:t>
            </w:r>
          </w:p>
        </w:tc>
        <w:tc>
          <w:tcPr>
            <w:tcW w:w="5339" w:type="dxa"/>
            <w:tcBorders>
              <w:bottom w:val="single" w:sz="4" w:space="0" w:color="auto"/>
            </w:tcBorders>
            <w:shd w:val="clear" w:color="auto" w:fill="auto"/>
            <w:vAlign w:val="center"/>
          </w:tcPr>
          <w:p w:rsidR="009B0266" w:rsidRPr="00961CB3" w:rsidRDefault="009B0266" w:rsidP="009B0266">
            <w:pPr>
              <w:spacing w:beforeLines="20" w:before="48" w:afterLines="20" w:after="48"/>
              <w:jc w:val="center"/>
              <w:rPr>
                <w:sz w:val="16"/>
                <w:szCs w:val="16"/>
                <w:lang w:eastAsia="en-US"/>
              </w:rPr>
            </w:pPr>
            <w:r w:rsidRPr="00961CB3">
              <w:rPr>
                <w:sz w:val="16"/>
                <w:szCs w:val="16"/>
                <w:lang w:eastAsia="en-US"/>
              </w:rPr>
              <w:t>5B</w:t>
            </w:r>
          </w:p>
        </w:tc>
        <w:tc>
          <w:tcPr>
            <w:tcW w:w="3261" w:type="dxa"/>
            <w:tcBorders>
              <w:bottom w:val="single" w:sz="4" w:space="0" w:color="auto"/>
            </w:tcBorders>
            <w:shd w:val="clear" w:color="auto" w:fill="auto"/>
            <w:vAlign w:val="bottom"/>
          </w:tcPr>
          <w:p w:rsidR="009B0266" w:rsidRPr="00961CB3" w:rsidRDefault="009B0266" w:rsidP="004F2B59">
            <w:pPr>
              <w:tabs>
                <w:tab w:val="left" w:pos="1877"/>
                <w:tab w:val="left" w:pos="2019"/>
              </w:tabs>
              <w:ind w:right="742"/>
              <w:jc w:val="right"/>
              <w:rPr>
                <w:rFonts w:eastAsiaTheme="minorHAnsi"/>
                <w:sz w:val="16"/>
                <w:szCs w:val="16"/>
                <w:lang w:eastAsia="en-US"/>
              </w:rPr>
            </w:pPr>
            <w:r w:rsidRPr="00961CB3">
              <w:rPr>
                <w:rFonts w:eastAsiaTheme="minorHAnsi"/>
                <w:sz w:val="16"/>
                <w:szCs w:val="16"/>
                <w:lang w:eastAsia="en-US"/>
              </w:rPr>
              <w:t>831 040,00</w:t>
            </w:r>
          </w:p>
        </w:tc>
      </w:tr>
      <w:tr w:rsidR="009B0266" w:rsidRPr="00961CB3" w:rsidTr="00D905DE">
        <w:tc>
          <w:tcPr>
            <w:tcW w:w="4300" w:type="dxa"/>
            <w:tcBorders>
              <w:bottom w:val="single" w:sz="4" w:space="0" w:color="auto"/>
            </w:tcBorders>
            <w:shd w:val="clear" w:color="auto" w:fill="auto"/>
            <w:vAlign w:val="center"/>
          </w:tcPr>
          <w:p w:rsidR="009B0266" w:rsidRPr="00961CB3" w:rsidRDefault="009B0266" w:rsidP="009B0266">
            <w:pPr>
              <w:spacing w:beforeLines="20" w:before="48" w:afterLines="20" w:after="48"/>
              <w:jc w:val="center"/>
              <w:rPr>
                <w:sz w:val="16"/>
                <w:szCs w:val="16"/>
                <w:lang w:eastAsia="en-US"/>
              </w:rPr>
            </w:pPr>
            <w:r w:rsidRPr="00961CB3">
              <w:rPr>
                <w:sz w:val="16"/>
                <w:szCs w:val="16"/>
                <w:lang w:eastAsia="en-US"/>
              </w:rPr>
              <w:t>59(3)(d) – bez výnimiek</w:t>
            </w:r>
          </w:p>
        </w:tc>
        <w:tc>
          <w:tcPr>
            <w:tcW w:w="5339" w:type="dxa"/>
            <w:tcBorders>
              <w:bottom w:val="single" w:sz="4" w:space="0" w:color="auto"/>
            </w:tcBorders>
            <w:shd w:val="clear" w:color="auto" w:fill="auto"/>
            <w:vAlign w:val="center"/>
          </w:tcPr>
          <w:p w:rsidR="009B0266" w:rsidRPr="00961CB3" w:rsidRDefault="009B0266" w:rsidP="009B0266">
            <w:pPr>
              <w:spacing w:beforeLines="20" w:before="48" w:afterLines="20" w:after="48"/>
              <w:jc w:val="center"/>
              <w:rPr>
                <w:sz w:val="16"/>
                <w:szCs w:val="16"/>
                <w:lang w:eastAsia="en-US"/>
              </w:rPr>
            </w:pPr>
            <w:r w:rsidRPr="00961CB3">
              <w:rPr>
                <w:sz w:val="16"/>
                <w:szCs w:val="16"/>
                <w:lang w:eastAsia="en-US"/>
              </w:rPr>
              <w:t>5C</w:t>
            </w:r>
          </w:p>
        </w:tc>
        <w:tc>
          <w:tcPr>
            <w:tcW w:w="3261" w:type="dxa"/>
            <w:tcBorders>
              <w:bottom w:val="single" w:sz="4" w:space="0" w:color="auto"/>
            </w:tcBorders>
            <w:shd w:val="clear" w:color="auto" w:fill="auto"/>
            <w:vAlign w:val="bottom"/>
          </w:tcPr>
          <w:p w:rsidR="009B0266" w:rsidRPr="00961CB3" w:rsidRDefault="009B0266" w:rsidP="004F2B59">
            <w:pPr>
              <w:tabs>
                <w:tab w:val="left" w:pos="1877"/>
                <w:tab w:val="left" w:pos="2019"/>
              </w:tabs>
              <w:ind w:right="742"/>
              <w:jc w:val="right"/>
              <w:rPr>
                <w:rFonts w:eastAsiaTheme="minorHAnsi"/>
                <w:sz w:val="16"/>
                <w:szCs w:val="16"/>
                <w:lang w:eastAsia="en-US"/>
              </w:rPr>
            </w:pPr>
            <w:r w:rsidRPr="00961CB3">
              <w:rPr>
                <w:rFonts w:eastAsiaTheme="minorHAnsi"/>
                <w:sz w:val="16"/>
                <w:szCs w:val="16"/>
                <w:lang w:eastAsia="en-US"/>
              </w:rPr>
              <w:t>191 860,00</w:t>
            </w:r>
          </w:p>
        </w:tc>
      </w:tr>
      <w:tr w:rsidR="009B0266" w:rsidRPr="00961CB3" w:rsidTr="00D905DE">
        <w:tc>
          <w:tcPr>
            <w:tcW w:w="4300" w:type="dxa"/>
            <w:tcBorders>
              <w:bottom w:val="single" w:sz="4" w:space="0" w:color="auto"/>
            </w:tcBorders>
            <w:shd w:val="clear" w:color="auto" w:fill="auto"/>
            <w:vAlign w:val="center"/>
          </w:tcPr>
          <w:p w:rsidR="009B0266" w:rsidRPr="00961CB3" w:rsidRDefault="009B0266" w:rsidP="009B0266">
            <w:pPr>
              <w:spacing w:beforeLines="20" w:before="48" w:afterLines="20" w:after="48"/>
              <w:jc w:val="center"/>
              <w:rPr>
                <w:sz w:val="16"/>
                <w:szCs w:val="16"/>
                <w:lang w:eastAsia="en-US"/>
              </w:rPr>
            </w:pPr>
            <w:r w:rsidRPr="00961CB3">
              <w:rPr>
                <w:sz w:val="16"/>
                <w:szCs w:val="16"/>
                <w:lang w:eastAsia="en-US"/>
              </w:rPr>
              <w:t>59(3)(d) – bez výnimiek</w:t>
            </w:r>
          </w:p>
        </w:tc>
        <w:tc>
          <w:tcPr>
            <w:tcW w:w="5339" w:type="dxa"/>
            <w:tcBorders>
              <w:bottom w:val="single" w:sz="4" w:space="0" w:color="auto"/>
            </w:tcBorders>
            <w:shd w:val="clear" w:color="auto" w:fill="auto"/>
            <w:vAlign w:val="center"/>
          </w:tcPr>
          <w:p w:rsidR="009B0266" w:rsidRPr="00961CB3" w:rsidRDefault="009B0266" w:rsidP="009B0266">
            <w:pPr>
              <w:spacing w:beforeLines="20" w:before="48" w:afterLines="20" w:after="48"/>
              <w:jc w:val="center"/>
              <w:rPr>
                <w:sz w:val="16"/>
                <w:szCs w:val="16"/>
                <w:lang w:eastAsia="en-US"/>
              </w:rPr>
            </w:pPr>
            <w:r w:rsidRPr="00961CB3">
              <w:rPr>
                <w:sz w:val="16"/>
                <w:szCs w:val="16"/>
                <w:lang w:eastAsia="en-US"/>
              </w:rPr>
              <w:t>5D</w:t>
            </w:r>
          </w:p>
        </w:tc>
        <w:tc>
          <w:tcPr>
            <w:tcW w:w="3261" w:type="dxa"/>
            <w:tcBorders>
              <w:bottom w:val="single" w:sz="4" w:space="0" w:color="auto"/>
            </w:tcBorders>
            <w:shd w:val="clear" w:color="auto" w:fill="auto"/>
            <w:vAlign w:val="bottom"/>
          </w:tcPr>
          <w:p w:rsidR="009B0266" w:rsidRPr="00961CB3" w:rsidRDefault="009B0266" w:rsidP="004F2B59">
            <w:pPr>
              <w:tabs>
                <w:tab w:val="left" w:pos="1877"/>
                <w:tab w:val="left" w:pos="2019"/>
              </w:tabs>
              <w:ind w:right="742"/>
              <w:jc w:val="right"/>
              <w:rPr>
                <w:rFonts w:eastAsiaTheme="minorHAnsi"/>
                <w:sz w:val="16"/>
                <w:szCs w:val="16"/>
                <w:lang w:eastAsia="en-US"/>
              </w:rPr>
            </w:pPr>
            <w:r w:rsidRPr="00961CB3">
              <w:rPr>
                <w:rFonts w:eastAsiaTheme="minorHAnsi"/>
                <w:sz w:val="16"/>
                <w:szCs w:val="16"/>
                <w:lang w:eastAsia="en-US"/>
              </w:rPr>
              <w:t>387 960,00</w:t>
            </w:r>
          </w:p>
        </w:tc>
      </w:tr>
      <w:tr w:rsidR="009B0266" w:rsidRPr="00961CB3" w:rsidTr="00D905DE">
        <w:tc>
          <w:tcPr>
            <w:tcW w:w="9639" w:type="dxa"/>
            <w:gridSpan w:val="2"/>
            <w:tcBorders>
              <w:bottom w:val="single" w:sz="4" w:space="0" w:color="auto"/>
            </w:tcBorders>
            <w:shd w:val="clear" w:color="auto" w:fill="DAEEF3" w:themeFill="accent5" w:themeFillTint="33"/>
            <w:vAlign w:val="center"/>
          </w:tcPr>
          <w:p w:rsidR="009B0266" w:rsidRPr="00961CB3" w:rsidRDefault="009B0266" w:rsidP="00961CB3">
            <w:pPr>
              <w:spacing w:beforeLines="20" w:before="48" w:afterLines="20" w:after="48"/>
              <w:jc w:val="left"/>
              <w:rPr>
                <w:b/>
                <w:color w:val="8064A2"/>
                <w:sz w:val="20"/>
                <w:szCs w:val="20"/>
                <w:lang w:eastAsia="en-US"/>
              </w:rPr>
            </w:pPr>
            <w:r w:rsidRPr="00961CB3">
              <w:rPr>
                <w:b/>
                <w:sz w:val="20"/>
                <w:szCs w:val="20"/>
                <w:lang w:eastAsia="en-US"/>
              </w:rPr>
              <w:t xml:space="preserve">Celkovo opatrenie </w:t>
            </w:r>
            <w:r w:rsidR="00961CB3">
              <w:rPr>
                <w:b/>
                <w:sz w:val="20"/>
                <w:szCs w:val="20"/>
                <w:lang w:eastAsia="en-US"/>
              </w:rPr>
              <w:t>4 (</w:t>
            </w:r>
            <w:r w:rsidRPr="00961CB3">
              <w:rPr>
                <w:b/>
                <w:sz w:val="20"/>
                <w:szCs w:val="20"/>
                <w:lang w:eastAsia="en-US"/>
              </w:rPr>
              <w:t>čl. 17</w:t>
            </w:r>
            <w:r w:rsidR="00961CB3">
              <w:rPr>
                <w:b/>
                <w:sz w:val="20"/>
                <w:szCs w:val="20"/>
                <w:lang w:eastAsia="en-US"/>
              </w:rPr>
              <w:t>)</w:t>
            </w:r>
            <w:r w:rsidRPr="00961CB3">
              <w:rPr>
                <w:b/>
                <w:sz w:val="20"/>
                <w:szCs w:val="20"/>
                <w:lang w:eastAsia="en-US"/>
              </w:rPr>
              <w:t xml:space="preserve"> – Investície do hmotného majetku</w:t>
            </w:r>
          </w:p>
        </w:tc>
        <w:tc>
          <w:tcPr>
            <w:tcW w:w="3261" w:type="dxa"/>
            <w:tcBorders>
              <w:bottom w:val="single" w:sz="4" w:space="0" w:color="auto"/>
            </w:tcBorders>
            <w:shd w:val="clear" w:color="auto" w:fill="DAEEF3" w:themeFill="accent5" w:themeFillTint="33"/>
            <w:vAlign w:val="center"/>
          </w:tcPr>
          <w:p w:rsidR="009B0266" w:rsidRPr="004F2B59" w:rsidRDefault="009B0266" w:rsidP="004F2B59">
            <w:pPr>
              <w:tabs>
                <w:tab w:val="left" w:pos="1877"/>
                <w:tab w:val="left" w:pos="2019"/>
              </w:tabs>
              <w:ind w:right="742"/>
              <w:jc w:val="right"/>
              <w:rPr>
                <w:rFonts w:eastAsiaTheme="minorHAnsi"/>
                <w:b/>
                <w:sz w:val="20"/>
                <w:szCs w:val="20"/>
                <w:lang w:eastAsia="en-US"/>
              </w:rPr>
            </w:pPr>
            <w:r w:rsidRPr="004F2B59">
              <w:rPr>
                <w:rFonts w:eastAsiaTheme="minorHAnsi"/>
                <w:b/>
                <w:sz w:val="20"/>
                <w:szCs w:val="20"/>
                <w:lang w:eastAsia="en-US"/>
              </w:rPr>
              <w:t>405 389 000,00</w:t>
            </w:r>
          </w:p>
        </w:tc>
      </w:tr>
    </w:tbl>
    <w:p w:rsidR="009B0266" w:rsidRPr="00961CB3" w:rsidRDefault="009B0266" w:rsidP="009B0266">
      <w:pPr>
        <w:keepNext/>
        <w:spacing w:after="80"/>
        <w:outlineLvl w:val="1"/>
        <w:rPr>
          <w:rFonts w:eastAsia="Calibri"/>
          <w:b/>
          <w:sz w:val="16"/>
          <w:szCs w:val="16"/>
          <w:lang w:eastAsia="ja-JP"/>
        </w:rPr>
      </w:pPr>
    </w:p>
    <w:tbl>
      <w:tblPr>
        <w:tblW w:w="1290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00"/>
        <w:gridCol w:w="5339"/>
        <w:gridCol w:w="3261"/>
      </w:tblGrid>
      <w:tr w:rsidR="009B0266" w:rsidRPr="00961CB3" w:rsidTr="00D905DE">
        <w:tc>
          <w:tcPr>
            <w:tcW w:w="4300" w:type="dxa"/>
            <w:tcBorders>
              <w:bottom w:val="single" w:sz="4" w:space="0" w:color="auto"/>
            </w:tcBorders>
            <w:shd w:val="clear" w:color="auto" w:fill="F2F2F2"/>
            <w:vAlign w:val="center"/>
          </w:tcPr>
          <w:p w:rsidR="009B0266" w:rsidRPr="00961CB3" w:rsidRDefault="009B0266" w:rsidP="009B0266">
            <w:pPr>
              <w:tabs>
                <w:tab w:val="left" w:pos="1185"/>
              </w:tabs>
              <w:spacing w:beforeLines="20" w:before="48" w:afterLines="20" w:after="48"/>
              <w:jc w:val="center"/>
              <w:rPr>
                <w:b/>
                <w:sz w:val="16"/>
                <w:szCs w:val="16"/>
                <w:lang w:eastAsia="en-US"/>
              </w:rPr>
            </w:pPr>
            <w:r w:rsidRPr="00961CB3">
              <w:rPr>
                <w:b/>
                <w:sz w:val="16"/>
                <w:szCs w:val="16"/>
                <w:lang w:eastAsia="en-US"/>
              </w:rPr>
              <w:t>Miera príspevku EPFRV</w:t>
            </w:r>
          </w:p>
        </w:tc>
        <w:tc>
          <w:tcPr>
            <w:tcW w:w="5339" w:type="dxa"/>
            <w:tcBorders>
              <w:bottom w:val="single" w:sz="4" w:space="0" w:color="auto"/>
            </w:tcBorders>
            <w:shd w:val="clear" w:color="auto" w:fill="F2F2F2"/>
            <w:vAlign w:val="center"/>
          </w:tcPr>
          <w:p w:rsidR="009B0266" w:rsidRPr="00961CB3" w:rsidRDefault="009B0266" w:rsidP="009B0266">
            <w:pPr>
              <w:tabs>
                <w:tab w:val="left" w:pos="1185"/>
              </w:tabs>
              <w:spacing w:beforeLines="20" w:before="48" w:afterLines="20" w:after="48"/>
              <w:jc w:val="center"/>
              <w:rPr>
                <w:b/>
                <w:sz w:val="16"/>
                <w:szCs w:val="16"/>
                <w:lang w:eastAsia="en-US"/>
              </w:rPr>
            </w:pPr>
            <w:r w:rsidRPr="00961CB3">
              <w:rPr>
                <w:b/>
                <w:sz w:val="16"/>
                <w:szCs w:val="16"/>
                <w:lang w:eastAsia="en-US"/>
              </w:rPr>
              <w:t>Fokusová oblasť</w:t>
            </w:r>
          </w:p>
        </w:tc>
        <w:tc>
          <w:tcPr>
            <w:tcW w:w="3261" w:type="dxa"/>
            <w:tcBorders>
              <w:bottom w:val="single" w:sz="4" w:space="0" w:color="auto"/>
            </w:tcBorders>
            <w:shd w:val="clear" w:color="auto" w:fill="F2F2F2"/>
            <w:vAlign w:val="center"/>
          </w:tcPr>
          <w:p w:rsidR="009B0266" w:rsidRPr="00961CB3" w:rsidRDefault="009B0266" w:rsidP="009B0266">
            <w:pPr>
              <w:tabs>
                <w:tab w:val="left" w:pos="1185"/>
              </w:tabs>
              <w:spacing w:beforeLines="20" w:before="48" w:afterLines="20" w:after="48"/>
              <w:jc w:val="center"/>
              <w:rPr>
                <w:b/>
                <w:sz w:val="16"/>
                <w:szCs w:val="16"/>
                <w:lang w:eastAsia="en-US"/>
              </w:rPr>
            </w:pPr>
            <w:r w:rsidRPr="00961CB3">
              <w:rPr>
                <w:b/>
                <w:sz w:val="16"/>
                <w:szCs w:val="16"/>
                <w:lang w:eastAsia="en-US"/>
              </w:rPr>
              <w:t>Celkový príspevok EPFRV</w:t>
            </w:r>
          </w:p>
        </w:tc>
      </w:tr>
      <w:tr w:rsidR="009B0266" w:rsidRPr="00961CB3" w:rsidTr="00D905DE">
        <w:tc>
          <w:tcPr>
            <w:tcW w:w="4300" w:type="dxa"/>
            <w:tcBorders>
              <w:bottom w:val="single" w:sz="4" w:space="0" w:color="auto"/>
            </w:tcBorders>
            <w:shd w:val="clear" w:color="auto" w:fill="auto"/>
            <w:vAlign w:val="center"/>
          </w:tcPr>
          <w:p w:rsidR="009B0266" w:rsidRPr="00961CB3" w:rsidRDefault="009B0266" w:rsidP="009B0266">
            <w:pPr>
              <w:spacing w:beforeLines="20" w:before="48" w:afterLines="20" w:after="48"/>
              <w:jc w:val="center"/>
              <w:rPr>
                <w:sz w:val="16"/>
                <w:szCs w:val="16"/>
                <w:lang w:eastAsia="en-US"/>
              </w:rPr>
            </w:pPr>
            <w:r w:rsidRPr="00961CB3">
              <w:rPr>
                <w:sz w:val="16"/>
                <w:szCs w:val="16"/>
                <w:lang w:eastAsia="en-US"/>
              </w:rPr>
              <w:t>59(3)(a) – bez výnimiek</w:t>
            </w:r>
          </w:p>
        </w:tc>
        <w:tc>
          <w:tcPr>
            <w:tcW w:w="5339" w:type="dxa"/>
            <w:tcBorders>
              <w:bottom w:val="single" w:sz="4" w:space="0" w:color="auto"/>
            </w:tcBorders>
            <w:shd w:val="clear" w:color="auto" w:fill="auto"/>
            <w:vAlign w:val="center"/>
          </w:tcPr>
          <w:p w:rsidR="009B0266" w:rsidRPr="00961CB3" w:rsidRDefault="009B0266" w:rsidP="009B0266">
            <w:pPr>
              <w:spacing w:beforeLines="20" w:before="48" w:afterLines="20" w:after="48"/>
              <w:jc w:val="center"/>
              <w:rPr>
                <w:sz w:val="16"/>
                <w:szCs w:val="16"/>
                <w:lang w:eastAsia="en-US"/>
              </w:rPr>
            </w:pPr>
            <w:r w:rsidRPr="00961CB3">
              <w:rPr>
                <w:sz w:val="16"/>
                <w:szCs w:val="16"/>
                <w:lang w:eastAsia="en-US"/>
              </w:rPr>
              <w:t>3B</w:t>
            </w:r>
          </w:p>
        </w:tc>
        <w:tc>
          <w:tcPr>
            <w:tcW w:w="3261" w:type="dxa"/>
            <w:tcBorders>
              <w:bottom w:val="single" w:sz="4" w:space="0" w:color="auto"/>
            </w:tcBorders>
            <w:shd w:val="clear" w:color="auto" w:fill="auto"/>
            <w:vAlign w:val="center"/>
          </w:tcPr>
          <w:p w:rsidR="009B0266" w:rsidRPr="00961CB3" w:rsidRDefault="009B0266" w:rsidP="004F2B59">
            <w:pPr>
              <w:tabs>
                <w:tab w:val="left" w:pos="1877"/>
                <w:tab w:val="left" w:pos="2019"/>
              </w:tabs>
              <w:ind w:right="742"/>
              <w:jc w:val="right"/>
              <w:rPr>
                <w:rFonts w:eastAsiaTheme="minorHAnsi"/>
                <w:sz w:val="16"/>
                <w:szCs w:val="16"/>
                <w:lang w:eastAsia="en-US"/>
              </w:rPr>
            </w:pPr>
            <w:r w:rsidRPr="00961CB3">
              <w:rPr>
                <w:rFonts w:eastAsiaTheme="minorHAnsi"/>
                <w:sz w:val="16"/>
                <w:szCs w:val="16"/>
                <w:lang w:eastAsia="en-US"/>
              </w:rPr>
              <w:t>52 500 000,00</w:t>
            </w:r>
          </w:p>
        </w:tc>
      </w:tr>
      <w:tr w:rsidR="009B0266" w:rsidRPr="00961CB3" w:rsidTr="00D905DE">
        <w:tc>
          <w:tcPr>
            <w:tcW w:w="4300" w:type="dxa"/>
            <w:tcBorders>
              <w:bottom w:val="single" w:sz="4" w:space="0" w:color="auto"/>
            </w:tcBorders>
            <w:shd w:val="clear" w:color="auto" w:fill="auto"/>
            <w:vAlign w:val="center"/>
          </w:tcPr>
          <w:p w:rsidR="009B0266" w:rsidRPr="00961CB3" w:rsidRDefault="009B0266" w:rsidP="009B0266">
            <w:pPr>
              <w:spacing w:beforeLines="20" w:before="48" w:afterLines="20" w:after="48"/>
              <w:jc w:val="center"/>
              <w:rPr>
                <w:sz w:val="16"/>
                <w:szCs w:val="16"/>
                <w:lang w:eastAsia="en-US"/>
              </w:rPr>
            </w:pPr>
            <w:r w:rsidRPr="00961CB3">
              <w:rPr>
                <w:sz w:val="16"/>
                <w:szCs w:val="16"/>
                <w:lang w:eastAsia="en-US"/>
              </w:rPr>
              <w:t>59(3)(d) – bez výnimiek</w:t>
            </w:r>
          </w:p>
        </w:tc>
        <w:tc>
          <w:tcPr>
            <w:tcW w:w="5339" w:type="dxa"/>
            <w:tcBorders>
              <w:bottom w:val="single" w:sz="4" w:space="0" w:color="auto"/>
            </w:tcBorders>
            <w:shd w:val="clear" w:color="auto" w:fill="auto"/>
            <w:vAlign w:val="center"/>
          </w:tcPr>
          <w:p w:rsidR="009B0266" w:rsidRPr="00961CB3" w:rsidRDefault="009B0266" w:rsidP="009B0266">
            <w:pPr>
              <w:spacing w:beforeLines="20" w:before="48" w:afterLines="20" w:after="48"/>
              <w:jc w:val="center"/>
              <w:rPr>
                <w:sz w:val="16"/>
                <w:szCs w:val="16"/>
                <w:lang w:eastAsia="en-US"/>
              </w:rPr>
            </w:pPr>
            <w:r w:rsidRPr="00961CB3">
              <w:rPr>
                <w:sz w:val="16"/>
                <w:szCs w:val="16"/>
                <w:lang w:eastAsia="en-US"/>
              </w:rPr>
              <w:t>3B</w:t>
            </w:r>
          </w:p>
        </w:tc>
        <w:tc>
          <w:tcPr>
            <w:tcW w:w="3261" w:type="dxa"/>
            <w:tcBorders>
              <w:bottom w:val="single" w:sz="4" w:space="0" w:color="auto"/>
            </w:tcBorders>
            <w:shd w:val="clear" w:color="auto" w:fill="auto"/>
            <w:vAlign w:val="center"/>
          </w:tcPr>
          <w:p w:rsidR="009B0266" w:rsidRPr="00961CB3" w:rsidRDefault="009B0266" w:rsidP="004F2B59">
            <w:pPr>
              <w:tabs>
                <w:tab w:val="left" w:pos="1877"/>
                <w:tab w:val="left" w:pos="2019"/>
              </w:tabs>
              <w:ind w:right="742"/>
              <w:jc w:val="right"/>
              <w:rPr>
                <w:rFonts w:eastAsiaTheme="minorHAnsi"/>
                <w:sz w:val="16"/>
                <w:szCs w:val="16"/>
                <w:lang w:eastAsia="en-US"/>
              </w:rPr>
            </w:pPr>
            <w:r w:rsidRPr="00961CB3">
              <w:rPr>
                <w:rFonts w:eastAsiaTheme="minorHAnsi"/>
                <w:sz w:val="16"/>
                <w:szCs w:val="16"/>
                <w:lang w:eastAsia="en-US"/>
              </w:rPr>
              <w:t>0,00</w:t>
            </w:r>
          </w:p>
        </w:tc>
      </w:tr>
      <w:tr w:rsidR="009B0266" w:rsidRPr="00961CB3" w:rsidTr="00D905DE">
        <w:tc>
          <w:tcPr>
            <w:tcW w:w="9639" w:type="dxa"/>
            <w:gridSpan w:val="2"/>
            <w:tcBorders>
              <w:bottom w:val="single" w:sz="4" w:space="0" w:color="auto"/>
            </w:tcBorders>
            <w:shd w:val="clear" w:color="auto" w:fill="DAEEF3" w:themeFill="accent5" w:themeFillTint="33"/>
            <w:vAlign w:val="center"/>
          </w:tcPr>
          <w:p w:rsidR="009B0266" w:rsidRPr="00961CB3" w:rsidRDefault="009B0266" w:rsidP="00961CB3">
            <w:pPr>
              <w:spacing w:beforeLines="20" w:before="48" w:afterLines="20" w:after="48"/>
              <w:ind w:left="2586" w:hanging="2552"/>
              <w:jc w:val="left"/>
              <w:rPr>
                <w:b/>
                <w:color w:val="8064A2"/>
                <w:sz w:val="20"/>
                <w:szCs w:val="20"/>
                <w:lang w:eastAsia="en-US"/>
              </w:rPr>
            </w:pPr>
            <w:r w:rsidRPr="00961CB3">
              <w:rPr>
                <w:b/>
                <w:sz w:val="20"/>
                <w:szCs w:val="20"/>
                <w:lang w:eastAsia="en-US"/>
              </w:rPr>
              <w:t>Celkovo opatrenie</w:t>
            </w:r>
            <w:r w:rsidR="00961CB3">
              <w:rPr>
                <w:b/>
                <w:sz w:val="20"/>
                <w:szCs w:val="20"/>
                <w:lang w:eastAsia="en-US"/>
              </w:rPr>
              <w:t xml:space="preserve"> 5 (</w:t>
            </w:r>
            <w:r w:rsidRPr="00961CB3">
              <w:rPr>
                <w:b/>
                <w:sz w:val="20"/>
                <w:szCs w:val="20"/>
                <w:lang w:eastAsia="en-US"/>
              </w:rPr>
              <w:t>čl. 18</w:t>
            </w:r>
            <w:r w:rsidR="00961CB3">
              <w:rPr>
                <w:b/>
                <w:sz w:val="20"/>
                <w:szCs w:val="20"/>
                <w:lang w:eastAsia="en-US"/>
              </w:rPr>
              <w:t>)</w:t>
            </w:r>
            <w:r w:rsidRPr="00961CB3">
              <w:rPr>
                <w:b/>
                <w:sz w:val="20"/>
                <w:szCs w:val="20"/>
                <w:lang w:eastAsia="en-US"/>
              </w:rPr>
              <w:t xml:space="preserve"> – Obnova potenciálu poľnohospodárskej výroby poškodeného prírodnými katastrofami a katastrofickými udalosťami a zavedenie vhodných preventívnych opatrení </w:t>
            </w:r>
          </w:p>
        </w:tc>
        <w:tc>
          <w:tcPr>
            <w:tcW w:w="3261" w:type="dxa"/>
            <w:tcBorders>
              <w:bottom w:val="single" w:sz="4" w:space="0" w:color="auto"/>
            </w:tcBorders>
            <w:shd w:val="clear" w:color="auto" w:fill="DAEEF3" w:themeFill="accent5" w:themeFillTint="33"/>
            <w:vAlign w:val="center"/>
          </w:tcPr>
          <w:p w:rsidR="009B0266" w:rsidRPr="004F2B59" w:rsidRDefault="009B0266" w:rsidP="004F2B59">
            <w:pPr>
              <w:tabs>
                <w:tab w:val="left" w:pos="1877"/>
                <w:tab w:val="left" w:pos="2019"/>
              </w:tabs>
              <w:ind w:right="742"/>
              <w:jc w:val="right"/>
              <w:rPr>
                <w:rFonts w:eastAsiaTheme="minorHAnsi"/>
                <w:b/>
                <w:sz w:val="20"/>
                <w:szCs w:val="20"/>
                <w:lang w:eastAsia="en-US"/>
              </w:rPr>
            </w:pPr>
            <w:r w:rsidRPr="004F2B59">
              <w:rPr>
                <w:rFonts w:eastAsiaTheme="minorHAnsi"/>
                <w:b/>
                <w:sz w:val="20"/>
                <w:szCs w:val="20"/>
                <w:lang w:eastAsia="en-US"/>
              </w:rPr>
              <w:t>52 500 000,00</w:t>
            </w:r>
          </w:p>
        </w:tc>
      </w:tr>
    </w:tbl>
    <w:p w:rsidR="009B0266" w:rsidRPr="00961CB3" w:rsidRDefault="009B0266" w:rsidP="009B0266">
      <w:pPr>
        <w:keepNext/>
        <w:spacing w:after="80"/>
        <w:outlineLvl w:val="1"/>
        <w:rPr>
          <w:rFonts w:eastAsia="Calibri"/>
          <w:b/>
          <w:sz w:val="16"/>
          <w:szCs w:val="16"/>
          <w:lang w:eastAsia="ja-JP"/>
        </w:rPr>
      </w:pPr>
    </w:p>
    <w:tbl>
      <w:tblPr>
        <w:tblW w:w="1290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00"/>
        <w:gridCol w:w="5339"/>
        <w:gridCol w:w="3261"/>
      </w:tblGrid>
      <w:tr w:rsidR="009B0266" w:rsidRPr="00961CB3" w:rsidTr="00D905DE">
        <w:tc>
          <w:tcPr>
            <w:tcW w:w="4300" w:type="dxa"/>
            <w:tcBorders>
              <w:bottom w:val="single" w:sz="4" w:space="0" w:color="auto"/>
            </w:tcBorders>
            <w:shd w:val="clear" w:color="auto" w:fill="F2F2F2"/>
            <w:vAlign w:val="center"/>
          </w:tcPr>
          <w:p w:rsidR="009B0266" w:rsidRPr="00961CB3" w:rsidRDefault="009B0266" w:rsidP="009B0266">
            <w:pPr>
              <w:tabs>
                <w:tab w:val="left" w:pos="1185"/>
              </w:tabs>
              <w:spacing w:beforeLines="20" w:before="48" w:afterLines="20" w:after="48"/>
              <w:jc w:val="center"/>
              <w:rPr>
                <w:b/>
                <w:sz w:val="16"/>
                <w:szCs w:val="16"/>
                <w:lang w:eastAsia="en-US"/>
              </w:rPr>
            </w:pPr>
            <w:r w:rsidRPr="00961CB3">
              <w:rPr>
                <w:b/>
                <w:sz w:val="16"/>
                <w:szCs w:val="16"/>
                <w:lang w:eastAsia="en-US"/>
              </w:rPr>
              <w:t>Miera príspevku EPFRV</w:t>
            </w:r>
          </w:p>
        </w:tc>
        <w:tc>
          <w:tcPr>
            <w:tcW w:w="5339" w:type="dxa"/>
            <w:tcBorders>
              <w:bottom w:val="single" w:sz="4" w:space="0" w:color="auto"/>
            </w:tcBorders>
            <w:shd w:val="clear" w:color="auto" w:fill="F2F2F2"/>
            <w:vAlign w:val="center"/>
          </w:tcPr>
          <w:p w:rsidR="009B0266" w:rsidRPr="00961CB3" w:rsidRDefault="009B0266" w:rsidP="009B0266">
            <w:pPr>
              <w:tabs>
                <w:tab w:val="left" w:pos="1185"/>
              </w:tabs>
              <w:spacing w:beforeLines="20" w:before="48" w:afterLines="20" w:after="48"/>
              <w:jc w:val="center"/>
              <w:rPr>
                <w:b/>
                <w:sz w:val="16"/>
                <w:szCs w:val="16"/>
                <w:lang w:eastAsia="en-US"/>
              </w:rPr>
            </w:pPr>
            <w:r w:rsidRPr="00961CB3">
              <w:rPr>
                <w:b/>
                <w:sz w:val="16"/>
                <w:szCs w:val="16"/>
                <w:lang w:eastAsia="en-US"/>
              </w:rPr>
              <w:t>Fokusová oblasť</w:t>
            </w:r>
          </w:p>
        </w:tc>
        <w:tc>
          <w:tcPr>
            <w:tcW w:w="3261" w:type="dxa"/>
            <w:tcBorders>
              <w:bottom w:val="single" w:sz="4" w:space="0" w:color="auto"/>
            </w:tcBorders>
            <w:shd w:val="clear" w:color="auto" w:fill="F2F2F2"/>
            <w:vAlign w:val="center"/>
          </w:tcPr>
          <w:p w:rsidR="009B0266" w:rsidRPr="00961CB3" w:rsidRDefault="009B0266" w:rsidP="009B0266">
            <w:pPr>
              <w:tabs>
                <w:tab w:val="left" w:pos="1185"/>
              </w:tabs>
              <w:spacing w:beforeLines="20" w:before="48" w:afterLines="20" w:after="48"/>
              <w:jc w:val="center"/>
              <w:rPr>
                <w:b/>
                <w:sz w:val="16"/>
                <w:szCs w:val="16"/>
                <w:lang w:eastAsia="en-US"/>
              </w:rPr>
            </w:pPr>
            <w:r w:rsidRPr="00961CB3">
              <w:rPr>
                <w:b/>
                <w:sz w:val="16"/>
                <w:szCs w:val="16"/>
                <w:lang w:eastAsia="en-US"/>
              </w:rPr>
              <w:t>Celkový príspevok EPFRV</w:t>
            </w:r>
          </w:p>
        </w:tc>
      </w:tr>
      <w:tr w:rsidR="009B0266" w:rsidRPr="00961CB3" w:rsidTr="00D905DE">
        <w:tc>
          <w:tcPr>
            <w:tcW w:w="4300" w:type="dxa"/>
            <w:tcBorders>
              <w:bottom w:val="single" w:sz="4" w:space="0" w:color="auto"/>
            </w:tcBorders>
            <w:shd w:val="clear" w:color="auto" w:fill="auto"/>
            <w:vAlign w:val="center"/>
          </w:tcPr>
          <w:p w:rsidR="009B0266" w:rsidRPr="00961CB3" w:rsidRDefault="009B0266" w:rsidP="009B0266">
            <w:pPr>
              <w:spacing w:beforeLines="20" w:before="48" w:afterLines="20" w:after="48"/>
              <w:jc w:val="center"/>
              <w:rPr>
                <w:sz w:val="16"/>
                <w:szCs w:val="16"/>
                <w:lang w:eastAsia="en-US"/>
              </w:rPr>
            </w:pPr>
            <w:r w:rsidRPr="00961CB3">
              <w:rPr>
                <w:sz w:val="16"/>
                <w:szCs w:val="16"/>
                <w:lang w:eastAsia="en-US"/>
              </w:rPr>
              <w:t>59(3)(a) – bez výnimiek</w:t>
            </w:r>
          </w:p>
        </w:tc>
        <w:tc>
          <w:tcPr>
            <w:tcW w:w="5339" w:type="dxa"/>
            <w:tcBorders>
              <w:bottom w:val="single" w:sz="4" w:space="0" w:color="auto"/>
            </w:tcBorders>
            <w:shd w:val="clear" w:color="auto" w:fill="auto"/>
            <w:vAlign w:val="center"/>
          </w:tcPr>
          <w:p w:rsidR="009B0266" w:rsidRPr="00961CB3" w:rsidRDefault="009B0266" w:rsidP="009B0266">
            <w:pPr>
              <w:spacing w:beforeLines="20" w:before="48" w:afterLines="20" w:after="48"/>
              <w:jc w:val="center"/>
              <w:rPr>
                <w:sz w:val="16"/>
                <w:szCs w:val="16"/>
                <w:lang w:eastAsia="en-US"/>
              </w:rPr>
            </w:pPr>
            <w:r w:rsidRPr="00961CB3">
              <w:rPr>
                <w:sz w:val="16"/>
                <w:szCs w:val="16"/>
                <w:lang w:eastAsia="en-US"/>
              </w:rPr>
              <w:t>2A</w:t>
            </w:r>
          </w:p>
        </w:tc>
        <w:tc>
          <w:tcPr>
            <w:tcW w:w="3261" w:type="dxa"/>
            <w:tcBorders>
              <w:bottom w:val="single" w:sz="4" w:space="0" w:color="auto"/>
            </w:tcBorders>
            <w:shd w:val="clear" w:color="auto" w:fill="auto"/>
            <w:vAlign w:val="bottom"/>
          </w:tcPr>
          <w:p w:rsidR="009B0266" w:rsidRPr="00961CB3" w:rsidRDefault="009B0266" w:rsidP="004F2B59">
            <w:pPr>
              <w:tabs>
                <w:tab w:val="left" w:pos="1877"/>
                <w:tab w:val="left" w:pos="2019"/>
              </w:tabs>
              <w:ind w:right="742"/>
              <w:jc w:val="right"/>
              <w:rPr>
                <w:rFonts w:eastAsiaTheme="minorHAnsi"/>
                <w:sz w:val="16"/>
                <w:szCs w:val="16"/>
                <w:lang w:eastAsia="en-US"/>
              </w:rPr>
            </w:pPr>
            <w:r w:rsidRPr="00961CB3">
              <w:rPr>
                <w:rFonts w:eastAsiaTheme="minorHAnsi"/>
                <w:sz w:val="16"/>
                <w:szCs w:val="16"/>
                <w:lang w:eastAsia="en-US"/>
              </w:rPr>
              <w:t>1 136 227,50</w:t>
            </w:r>
          </w:p>
        </w:tc>
      </w:tr>
      <w:tr w:rsidR="009B0266" w:rsidRPr="00961CB3" w:rsidTr="00D905DE">
        <w:tc>
          <w:tcPr>
            <w:tcW w:w="4300" w:type="dxa"/>
            <w:tcBorders>
              <w:bottom w:val="single" w:sz="4" w:space="0" w:color="auto"/>
            </w:tcBorders>
            <w:shd w:val="clear" w:color="auto" w:fill="auto"/>
            <w:vAlign w:val="center"/>
          </w:tcPr>
          <w:p w:rsidR="009B0266" w:rsidRPr="00961CB3" w:rsidRDefault="009B0266" w:rsidP="009B0266">
            <w:pPr>
              <w:spacing w:beforeLines="20" w:before="48" w:afterLines="20" w:after="48"/>
              <w:jc w:val="center"/>
              <w:rPr>
                <w:sz w:val="16"/>
                <w:szCs w:val="16"/>
                <w:lang w:eastAsia="en-US"/>
              </w:rPr>
            </w:pPr>
            <w:r w:rsidRPr="00961CB3">
              <w:rPr>
                <w:sz w:val="16"/>
                <w:szCs w:val="16"/>
                <w:lang w:eastAsia="en-US"/>
              </w:rPr>
              <w:t>59(3)(a) – bez výnimiek</w:t>
            </w:r>
          </w:p>
        </w:tc>
        <w:tc>
          <w:tcPr>
            <w:tcW w:w="5339" w:type="dxa"/>
            <w:tcBorders>
              <w:bottom w:val="single" w:sz="4" w:space="0" w:color="auto"/>
            </w:tcBorders>
            <w:shd w:val="clear" w:color="auto" w:fill="auto"/>
            <w:vAlign w:val="center"/>
          </w:tcPr>
          <w:p w:rsidR="009B0266" w:rsidRPr="00961CB3" w:rsidRDefault="009B0266" w:rsidP="009B0266">
            <w:pPr>
              <w:spacing w:beforeLines="20" w:before="48" w:afterLines="20" w:after="48"/>
              <w:jc w:val="center"/>
              <w:rPr>
                <w:sz w:val="16"/>
                <w:szCs w:val="16"/>
                <w:lang w:eastAsia="en-US"/>
              </w:rPr>
            </w:pPr>
            <w:r w:rsidRPr="00961CB3">
              <w:rPr>
                <w:sz w:val="16"/>
                <w:szCs w:val="16"/>
                <w:lang w:eastAsia="en-US"/>
              </w:rPr>
              <w:t>2B</w:t>
            </w:r>
          </w:p>
        </w:tc>
        <w:tc>
          <w:tcPr>
            <w:tcW w:w="3261" w:type="dxa"/>
            <w:tcBorders>
              <w:bottom w:val="single" w:sz="4" w:space="0" w:color="auto"/>
            </w:tcBorders>
            <w:shd w:val="clear" w:color="auto" w:fill="auto"/>
            <w:vAlign w:val="bottom"/>
          </w:tcPr>
          <w:p w:rsidR="009B0266" w:rsidRPr="00961CB3" w:rsidRDefault="009B0266" w:rsidP="004F2B59">
            <w:pPr>
              <w:tabs>
                <w:tab w:val="left" w:pos="1877"/>
                <w:tab w:val="left" w:pos="2019"/>
              </w:tabs>
              <w:ind w:right="742"/>
              <w:jc w:val="right"/>
              <w:rPr>
                <w:rFonts w:eastAsiaTheme="minorHAnsi"/>
                <w:sz w:val="16"/>
                <w:szCs w:val="16"/>
                <w:lang w:eastAsia="en-US"/>
              </w:rPr>
            </w:pPr>
            <w:r w:rsidRPr="00961CB3">
              <w:rPr>
                <w:rFonts w:eastAsiaTheme="minorHAnsi"/>
                <w:sz w:val="16"/>
                <w:szCs w:val="16"/>
                <w:lang w:eastAsia="en-US"/>
              </w:rPr>
              <w:t>21 850 147,50</w:t>
            </w:r>
          </w:p>
        </w:tc>
      </w:tr>
      <w:tr w:rsidR="009B0266" w:rsidRPr="00961CB3" w:rsidTr="00D905DE">
        <w:tc>
          <w:tcPr>
            <w:tcW w:w="4300" w:type="dxa"/>
            <w:tcBorders>
              <w:bottom w:val="single" w:sz="4" w:space="0" w:color="auto"/>
            </w:tcBorders>
            <w:shd w:val="clear" w:color="auto" w:fill="auto"/>
            <w:vAlign w:val="center"/>
          </w:tcPr>
          <w:p w:rsidR="009B0266" w:rsidRPr="00961CB3" w:rsidRDefault="009B0266" w:rsidP="009B0266">
            <w:pPr>
              <w:spacing w:beforeLines="20" w:before="48" w:afterLines="20" w:after="48"/>
              <w:jc w:val="center"/>
              <w:rPr>
                <w:sz w:val="16"/>
                <w:szCs w:val="16"/>
                <w:lang w:eastAsia="en-US"/>
              </w:rPr>
            </w:pPr>
            <w:r w:rsidRPr="00961CB3">
              <w:rPr>
                <w:sz w:val="16"/>
                <w:szCs w:val="16"/>
                <w:lang w:eastAsia="en-US"/>
              </w:rPr>
              <w:t>59(3)(a) – bez výnimiek</w:t>
            </w:r>
          </w:p>
        </w:tc>
        <w:tc>
          <w:tcPr>
            <w:tcW w:w="5339" w:type="dxa"/>
            <w:tcBorders>
              <w:bottom w:val="single" w:sz="4" w:space="0" w:color="auto"/>
            </w:tcBorders>
            <w:shd w:val="clear" w:color="auto" w:fill="auto"/>
            <w:vAlign w:val="center"/>
          </w:tcPr>
          <w:p w:rsidR="009B0266" w:rsidRPr="00961CB3" w:rsidRDefault="009B0266" w:rsidP="009B0266">
            <w:pPr>
              <w:spacing w:beforeLines="20" w:before="48" w:afterLines="20" w:after="48"/>
              <w:jc w:val="center"/>
              <w:rPr>
                <w:sz w:val="16"/>
                <w:szCs w:val="16"/>
                <w:lang w:eastAsia="en-US"/>
              </w:rPr>
            </w:pPr>
            <w:r w:rsidRPr="00961CB3">
              <w:rPr>
                <w:sz w:val="16"/>
                <w:szCs w:val="16"/>
                <w:lang w:eastAsia="en-US"/>
              </w:rPr>
              <w:t>5C</w:t>
            </w:r>
          </w:p>
        </w:tc>
        <w:tc>
          <w:tcPr>
            <w:tcW w:w="3261" w:type="dxa"/>
            <w:tcBorders>
              <w:bottom w:val="single" w:sz="4" w:space="0" w:color="auto"/>
            </w:tcBorders>
            <w:shd w:val="clear" w:color="auto" w:fill="auto"/>
            <w:vAlign w:val="bottom"/>
          </w:tcPr>
          <w:p w:rsidR="009B0266" w:rsidRPr="00961CB3" w:rsidRDefault="009B0266" w:rsidP="004F2B59">
            <w:pPr>
              <w:tabs>
                <w:tab w:val="left" w:pos="1877"/>
                <w:tab w:val="left" w:pos="2019"/>
              </w:tabs>
              <w:ind w:right="742"/>
              <w:jc w:val="right"/>
              <w:rPr>
                <w:rFonts w:eastAsiaTheme="minorHAnsi"/>
                <w:sz w:val="16"/>
                <w:szCs w:val="16"/>
                <w:lang w:eastAsia="en-US"/>
              </w:rPr>
            </w:pPr>
            <w:r w:rsidRPr="00961CB3">
              <w:rPr>
                <w:rFonts w:eastAsiaTheme="minorHAnsi"/>
                <w:sz w:val="16"/>
                <w:szCs w:val="16"/>
                <w:lang w:eastAsia="en-US"/>
              </w:rPr>
              <w:t>3 601 875,00</w:t>
            </w:r>
          </w:p>
        </w:tc>
      </w:tr>
      <w:tr w:rsidR="009B0266" w:rsidRPr="00961CB3" w:rsidTr="00D905DE">
        <w:tc>
          <w:tcPr>
            <w:tcW w:w="4300" w:type="dxa"/>
            <w:tcBorders>
              <w:bottom w:val="single" w:sz="4" w:space="0" w:color="auto"/>
            </w:tcBorders>
            <w:shd w:val="clear" w:color="auto" w:fill="auto"/>
            <w:vAlign w:val="center"/>
          </w:tcPr>
          <w:p w:rsidR="009B0266" w:rsidRPr="00961CB3" w:rsidRDefault="009B0266" w:rsidP="009B0266">
            <w:pPr>
              <w:spacing w:beforeLines="20" w:before="48" w:afterLines="20" w:after="48"/>
              <w:jc w:val="center"/>
              <w:rPr>
                <w:sz w:val="16"/>
                <w:szCs w:val="16"/>
                <w:lang w:eastAsia="en-US"/>
              </w:rPr>
            </w:pPr>
            <w:r w:rsidRPr="00961CB3">
              <w:rPr>
                <w:sz w:val="16"/>
                <w:szCs w:val="16"/>
                <w:lang w:eastAsia="en-US"/>
              </w:rPr>
              <w:t>59(3)(a) – bez výnimiek</w:t>
            </w:r>
          </w:p>
        </w:tc>
        <w:tc>
          <w:tcPr>
            <w:tcW w:w="5339" w:type="dxa"/>
            <w:tcBorders>
              <w:bottom w:val="single" w:sz="4" w:space="0" w:color="auto"/>
            </w:tcBorders>
            <w:shd w:val="clear" w:color="auto" w:fill="auto"/>
            <w:vAlign w:val="center"/>
          </w:tcPr>
          <w:p w:rsidR="009B0266" w:rsidRPr="00961CB3" w:rsidRDefault="009B0266" w:rsidP="009B0266">
            <w:pPr>
              <w:spacing w:beforeLines="20" w:before="48" w:afterLines="20" w:after="48"/>
              <w:jc w:val="center"/>
              <w:rPr>
                <w:sz w:val="16"/>
                <w:szCs w:val="16"/>
                <w:lang w:eastAsia="en-US"/>
              </w:rPr>
            </w:pPr>
            <w:r w:rsidRPr="00961CB3">
              <w:rPr>
                <w:sz w:val="16"/>
                <w:szCs w:val="16"/>
                <w:lang w:eastAsia="en-US"/>
              </w:rPr>
              <w:t>6A</w:t>
            </w:r>
          </w:p>
        </w:tc>
        <w:tc>
          <w:tcPr>
            <w:tcW w:w="3261" w:type="dxa"/>
            <w:tcBorders>
              <w:bottom w:val="single" w:sz="4" w:space="0" w:color="auto"/>
            </w:tcBorders>
            <w:shd w:val="clear" w:color="auto" w:fill="auto"/>
            <w:vAlign w:val="bottom"/>
          </w:tcPr>
          <w:p w:rsidR="009B0266" w:rsidRPr="00961CB3" w:rsidRDefault="009B0266" w:rsidP="004F2B59">
            <w:pPr>
              <w:tabs>
                <w:tab w:val="left" w:pos="1877"/>
                <w:tab w:val="left" w:pos="2019"/>
              </w:tabs>
              <w:ind w:right="742"/>
              <w:jc w:val="right"/>
              <w:rPr>
                <w:rFonts w:eastAsiaTheme="minorHAnsi"/>
                <w:sz w:val="16"/>
                <w:szCs w:val="16"/>
                <w:lang w:eastAsia="en-US"/>
              </w:rPr>
            </w:pPr>
            <w:r w:rsidRPr="00961CB3">
              <w:rPr>
                <w:rFonts w:eastAsiaTheme="minorHAnsi"/>
                <w:sz w:val="16"/>
                <w:szCs w:val="16"/>
                <w:lang w:eastAsia="en-US"/>
              </w:rPr>
              <w:t>54 028 125,00</w:t>
            </w:r>
          </w:p>
        </w:tc>
      </w:tr>
      <w:tr w:rsidR="009B0266" w:rsidRPr="00961CB3" w:rsidTr="00D905DE">
        <w:tc>
          <w:tcPr>
            <w:tcW w:w="4300" w:type="dxa"/>
            <w:tcBorders>
              <w:bottom w:val="single" w:sz="4" w:space="0" w:color="auto"/>
            </w:tcBorders>
            <w:shd w:val="clear" w:color="auto" w:fill="auto"/>
            <w:vAlign w:val="center"/>
          </w:tcPr>
          <w:p w:rsidR="009B0266" w:rsidRPr="00961CB3" w:rsidRDefault="009B0266" w:rsidP="009B0266">
            <w:pPr>
              <w:spacing w:beforeLines="20" w:before="48" w:afterLines="20" w:after="48"/>
              <w:jc w:val="center"/>
              <w:rPr>
                <w:sz w:val="16"/>
                <w:szCs w:val="16"/>
                <w:lang w:eastAsia="en-US"/>
              </w:rPr>
            </w:pPr>
            <w:r w:rsidRPr="00961CB3">
              <w:rPr>
                <w:sz w:val="16"/>
                <w:szCs w:val="16"/>
                <w:lang w:eastAsia="en-US"/>
              </w:rPr>
              <w:t>59(3)(d) – bez výnimiek</w:t>
            </w:r>
          </w:p>
        </w:tc>
        <w:tc>
          <w:tcPr>
            <w:tcW w:w="5339" w:type="dxa"/>
            <w:tcBorders>
              <w:bottom w:val="single" w:sz="4" w:space="0" w:color="auto"/>
            </w:tcBorders>
            <w:shd w:val="clear" w:color="auto" w:fill="auto"/>
            <w:vAlign w:val="center"/>
          </w:tcPr>
          <w:p w:rsidR="009B0266" w:rsidRPr="00961CB3" w:rsidRDefault="009B0266" w:rsidP="009B0266">
            <w:pPr>
              <w:spacing w:beforeLines="20" w:before="48" w:afterLines="20" w:after="48"/>
              <w:jc w:val="center"/>
              <w:rPr>
                <w:sz w:val="16"/>
                <w:szCs w:val="16"/>
                <w:lang w:eastAsia="en-US"/>
              </w:rPr>
            </w:pPr>
            <w:r w:rsidRPr="00961CB3">
              <w:rPr>
                <w:sz w:val="16"/>
                <w:szCs w:val="16"/>
                <w:lang w:eastAsia="en-US"/>
              </w:rPr>
              <w:t>2A</w:t>
            </w:r>
          </w:p>
        </w:tc>
        <w:tc>
          <w:tcPr>
            <w:tcW w:w="3261" w:type="dxa"/>
            <w:tcBorders>
              <w:bottom w:val="single" w:sz="4" w:space="0" w:color="auto"/>
            </w:tcBorders>
            <w:shd w:val="clear" w:color="auto" w:fill="auto"/>
            <w:vAlign w:val="bottom"/>
          </w:tcPr>
          <w:p w:rsidR="009B0266" w:rsidRPr="00961CB3" w:rsidRDefault="009B0266" w:rsidP="004F2B59">
            <w:pPr>
              <w:tabs>
                <w:tab w:val="left" w:pos="1877"/>
                <w:tab w:val="left" w:pos="2019"/>
              </w:tabs>
              <w:ind w:right="742"/>
              <w:jc w:val="right"/>
              <w:rPr>
                <w:rFonts w:eastAsiaTheme="minorHAnsi"/>
                <w:sz w:val="16"/>
                <w:szCs w:val="16"/>
                <w:lang w:eastAsia="en-US"/>
              </w:rPr>
            </w:pPr>
            <w:r w:rsidRPr="00961CB3">
              <w:rPr>
                <w:rFonts w:eastAsiaTheme="minorHAnsi"/>
                <w:sz w:val="16"/>
                <w:szCs w:val="16"/>
                <w:lang w:eastAsia="en-US"/>
              </w:rPr>
              <w:t>18 565,90</w:t>
            </w:r>
          </w:p>
        </w:tc>
      </w:tr>
      <w:tr w:rsidR="009B0266" w:rsidRPr="00961CB3" w:rsidTr="00D905DE">
        <w:tc>
          <w:tcPr>
            <w:tcW w:w="4300" w:type="dxa"/>
            <w:tcBorders>
              <w:bottom w:val="single" w:sz="4" w:space="0" w:color="auto"/>
            </w:tcBorders>
            <w:shd w:val="clear" w:color="auto" w:fill="auto"/>
            <w:vAlign w:val="center"/>
          </w:tcPr>
          <w:p w:rsidR="009B0266" w:rsidRPr="00961CB3" w:rsidRDefault="009B0266" w:rsidP="009B0266">
            <w:pPr>
              <w:spacing w:beforeLines="20" w:before="48" w:afterLines="20" w:after="48"/>
              <w:jc w:val="center"/>
              <w:rPr>
                <w:sz w:val="16"/>
                <w:szCs w:val="16"/>
                <w:lang w:eastAsia="en-US"/>
              </w:rPr>
            </w:pPr>
            <w:r w:rsidRPr="00961CB3">
              <w:rPr>
                <w:sz w:val="16"/>
                <w:szCs w:val="16"/>
                <w:lang w:eastAsia="en-US"/>
              </w:rPr>
              <w:t>59(3)(d) – bez výnimiek</w:t>
            </w:r>
          </w:p>
        </w:tc>
        <w:tc>
          <w:tcPr>
            <w:tcW w:w="5339" w:type="dxa"/>
            <w:tcBorders>
              <w:bottom w:val="single" w:sz="4" w:space="0" w:color="auto"/>
            </w:tcBorders>
            <w:shd w:val="clear" w:color="auto" w:fill="auto"/>
            <w:vAlign w:val="center"/>
          </w:tcPr>
          <w:p w:rsidR="009B0266" w:rsidRPr="00961CB3" w:rsidRDefault="009B0266" w:rsidP="009B0266">
            <w:pPr>
              <w:spacing w:beforeLines="20" w:before="48" w:afterLines="20" w:after="48"/>
              <w:jc w:val="center"/>
              <w:rPr>
                <w:sz w:val="16"/>
                <w:szCs w:val="16"/>
                <w:lang w:eastAsia="en-US"/>
              </w:rPr>
            </w:pPr>
            <w:r w:rsidRPr="00961CB3">
              <w:rPr>
                <w:sz w:val="16"/>
                <w:szCs w:val="16"/>
                <w:lang w:eastAsia="en-US"/>
              </w:rPr>
              <w:t>2B</w:t>
            </w:r>
          </w:p>
        </w:tc>
        <w:tc>
          <w:tcPr>
            <w:tcW w:w="3261" w:type="dxa"/>
            <w:tcBorders>
              <w:bottom w:val="single" w:sz="4" w:space="0" w:color="auto"/>
            </w:tcBorders>
            <w:shd w:val="clear" w:color="auto" w:fill="auto"/>
            <w:vAlign w:val="bottom"/>
          </w:tcPr>
          <w:p w:rsidR="009B0266" w:rsidRPr="00961CB3" w:rsidRDefault="009B0266" w:rsidP="004F2B59">
            <w:pPr>
              <w:tabs>
                <w:tab w:val="left" w:pos="1877"/>
                <w:tab w:val="left" w:pos="2019"/>
              </w:tabs>
              <w:ind w:right="742"/>
              <w:jc w:val="right"/>
              <w:rPr>
                <w:rFonts w:eastAsiaTheme="minorHAnsi"/>
                <w:sz w:val="16"/>
                <w:szCs w:val="16"/>
                <w:lang w:eastAsia="en-US"/>
              </w:rPr>
            </w:pPr>
            <w:r w:rsidRPr="00961CB3">
              <w:rPr>
                <w:rFonts w:eastAsiaTheme="minorHAnsi"/>
                <w:sz w:val="16"/>
                <w:szCs w:val="16"/>
                <w:lang w:eastAsia="en-US"/>
              </w:rPr>
              <w:t>459 229,10</w:t>
            </w:r>
          </w:p>
        </w:tc>
      </w:tr>
      <w:tr w:rsidR="009B0266" w:rsidRPr="00961CB3" w:rsidTr="00D905DE">
        <w:tc>
          <w:tcPr>
            <w:tcW w:w="4300" w:type="dxa"/>
            <w:tcBorders>
              <w:bottom w:val="single" w:sz="4" w:space="0" w:color="auto"/>
            </w:tcBorders>
            <w:shd w:val="clear" w:color="auto" w:fill="auto"/>
            <w:vAlign w:val="center"/>
          </w:tcPr>
          <w:p w:rsidR="009B0266" w:rsidRPr="00961CB3" w:rsidRDefault="009B0266" w:rsidP="009B0266">
            <w:pPr>
              <w:spacing w:beforeLines="20" w:before="48" w:afterLines="20" w:after="48"/>
              <w:jc w:val="center"/>
              <w:rPr>
                <w:sz w:val="16"/>
                <w:szCs w:val="16"/>
                <w:lang w:eastAsia="en-US"/>
              </w:rPr>
            </w:pPr>
            <w:r w:rsidRPr="00961CB3">
              <w:rPr>
                <w:sz w:val="16"/>
                <w:szCs w:val="16"/>
                <w:lang w:eastAsia="en-US"/>
              </w:rPr>
              <w:t>59(3)(d) – bez výnimiek</w:t>
            </w:r>
          </w:p>
        </w:tc>
        <w:tc>
          <w:tcPr>
            <w:tcW w:w="5339" w:type="dxa"/>
            <w:tcBorders>
              <w:bottom w:val="single" w:sz="4" w:space="0" w:color="auto"/>
            </w:tcBorders>
            <w:shd w:val="clear" w:color="auto" w:fill="auto"/>
            <w:vAlign w:val="center"/>
          </w:tcPr>
          <w:p w:rsidR="009B0266" w:rsidRPr="00961CB3" w:rsidRDefault="009B0266" w:rsidP="009B0266">
            <w:pPr>
              <w:spacing w:beforeLines="20" w:before="48" w:afterLines="20" w:after="48"/>
              <w:jc w:val="center"/>
              <w:rPr>
                <w:sz w:val="16"/>
                <w:szCs w:val="16"/>
                <w:lang w:eastAsia="en-US"/>
              </w:rPr>
            </w:pPr>
            <w:r w:rsidRPr="00961CB3">
              <w:rPr>
                <w:sz w:val="16"/>
                <w:szCs w:val="16"/>
                <w:lang w:eastAsia="en-US"/>
              </w:rPr>
              <w:t>5C</w:t>
            </w:r>
          </w:p>
        </w:tc>
        <w:tc>
          <w:tcPr>
            <w:tcW w:w="3261" w:type="dxa"/>
            <w:tcBorders>
              <w:bottom w:val="single" w:sz="4" w:space="0" w:color="auto"/>
            </w:tcBorders>
            <w:shd w:val="clear" w:color="auto" w:fill="auto"/>
            <w:vAlign w:val="bottom"/>
          </w:tcPr>
          <w:p w:rsidR="009B0266" w:rsidRPr="00961CB3" w:rsidRDefault="009B0266" w:rsidP="004F2B59">
            <w:pPr>
              <w:tabs>
                <w:tab w:val="left" w:pos="1877"/>
                <w:tab w:val="left" w:pos="2019"/>
              </w:tabs>
              <w:ind w:right="742"/>
              <w:jc w:val="right"/>
              <w:rPr>
                <w:rFonts w:eastAsiaTheme="minorHAnsi"/>
                <w:sz w:val="16"/>
                <w:szCs w:val="16"/>
                <w:lang w:eastAsia="en-US"/>
              </w:rPr>
            </w:pPr>
            <w:r w:rsidRPr="00961CB3">
              <w:rPr>
                <w:rFonts w:eastAsiaTheme="minorHAnsi"/>
                <w:sz w:val="16"/>
                <w:szCs w:val="16"/>
                <w:lang w:eastAsia="en-US"/>
              </w:rPr>
              <w:t>104 675,00</w:t>
            </w:r>
          </w:p>
        </w:tc>
      </w:tr>
      <w:tr w:rsidR="009B0266" w:rsidRPr="00961CB3" w:rsidTr="00D905DE">
        <w:tc>
          <w:tcPr>
            <w:tcW w:w="4300" w:type="dxa"/>
            <w:tcBorders>
              <w:bottom w:val="single" w:sz="4" w:space="0" w:color="auto"/>
            </w:tcBorders>
            <w:shd w:val="clear" w:color="auto" w:fill="auto"/>
            <w:vAlign w:val="center"/>
          </w:tcPr>
          <w:p w:rsidR="009B0266" w:rsidRPr="00961CB3" w:rsidRDefault="009B0266" w:rsidP="009B0266">
            <w:pPr>
              <w:spacing w:beforeLines="20" w:before="48" w:afterLines="20" w:after="48"/>
              <w:jc w:val="center"/>
              <w:rPr>
                <w:sz w:val="16"/>
                <w:szCs w:val="16"/>
                <w:lang w:eastAsia="en-US"/>
              </w:rPr>
            </w:pPr>
            <w:r w:rsidRPr="00961CB3">
              <w:rPr>
                <w:sz w:val="16"/>
                <w:szCs w:val="16"/>
                <w:lang w:eastAsia="en-US"/>
              </w:rPr>
              <w:t>59(3)(d) – bez výnimiek</w:t>
            </w:r>
          </w:p>
        </w:tc>
        <w:tc>
          <w:tcPr>
            <w:tcW w:w="5339" w:type="dxa"/>
            <w:tcBorders>
              <w:bottom w:val="single" w:sz="4" w:space="0" w:color="auto"/>
            </w:tcBorders>
            <w:shd w:val="clear" w:color="auto" w:fill="auto"/>
            <w:vAlign w:val="center"/>
          </w:tcPr>
          <w:p w:rsidR="009B0266" w:rsidRPr="00961CB3" w:rsidRDefault="009B0266" w:rsidP="009B0266">
            <w:pPr>
              <w:spacing w:beforeLines="20" w:before="48" w:afterLines="20" w:after="48"/>
              <w:jc w:val="center"/>
              <w:rPr>
                <w:sz w:val="16"/>
                <w:szCs w:val="16"/>
                <w:lang w:eastAsia="en-US"/>
              </w:rPr>
            </w:pPr>
            <w:r w:rsidRPr="00961CB3">
              <w:rPr>
                <w:sz w:val="16"/>
                <w:szCs w:val="16"/>
                <w:lang w:eastAsia="en-US"/>
              </w:rPr>
              <w:t>6A</w:t>
            </w:r>
          </w:p>
        </w:tc>
        <w:tc>
          <w:tcPr>
            <w:tcW w:w="3261" w:type="dxa"/>
            <w:tcBorders>
              <w:bottom w:val="single" w:sz="4" w:space="0" w:color="auto"/>
            </w:tcBorders>
            <w:shd w:val="clear" w:color="auto" w:fill="auto"/>
            <w:vAlign w:val="bottom"/>
          </w:tcPr>
          <w:p w:rsidR="009B0266" w:rsidRPr="00961CB3" w:rsidRDefault="009B0266" w:rsidP="004F2B59">
            <w:pPr>
              <w:tabs>
                <w:tab w:val="left" w:pos="1877"/>
                <w:tab w:val="left" w:pos="2019"/>
              </w:tabs>
              <w:ind w:right="742"/>
              <w:jc w:val="right"/>
              <w:rPr>
                <w:rFonts w:eastAsiaTheme="minorHAnsi"/>
                <w:sz w:val="16"/>
                <w:szCs w:val="16"/>
                <w:lang w:eastAsia="en-US"/>
              </w:rPr>
            </w:pPr>
            <w:r w:rsidRPr="00961CB3">
              <w:rPr>
                <w:rFonts w:eastAsiaTheme="minorHAnsi"/>
                <w:sz w:val="16"/>
                <w:szCs w:val="16"/>
                <w:lang w:eastAsia="en-US"/>
              </w:rPr>
              <w:t>1 570 125,00</w:t>
            </w:r>
          </w:p>
        </w:tc>
      </w:tr>
      <w:tr w:rsidR="009B0266" w:rsidRPr="00961CB3" w:rsidTr="00D905DE">
        <w:tc>
          <w:tcPr>
            <w:tcW w:w="9639" w:type="dxa"/>
            <w:gridSpan w:val="2"/>
            <w:tcBorders>
              <w:bottom w:val="single" w:sz="4" w:space="0" w:color="auto"/>
            </w:tcBorders>
            <w:shd w:val="clear" w:color="auto" w:fill="DAEEF3" w:themeFill="accent5" w:themeFillTint="33"/>
            <w:vAlign w:val="center"/>
          </w:tcPr>
          <w:p w:rsidR="009B0266" w:rsidRPr="00961CB3" w:rsidRDefault="009B0266" w:rsidP="00961CB3">
            <w:pPr>
              <w:spacing w:beforeLines="20" w:before="48" w:afterLines="20" w:after="48"/>
              <w:jc w:val="left"/>
              <w:rPr>
                <w:b/>
                <w:color w:val="8064A2"/>
                <w:sz w:val="20"/>
                <w:szCs w:val="20"/>
                <w:lang w:eastAsia="en-US"/>
              </w:rPr>
            </w:pPr>
            <w:r w:rsidRPr="00961CB3">
              <w:rPr>
                <w:b/>
                <w:sz w:val="20"/>
                <w:szCs w:val="20"/>
                <w:lang w:eastAsia="en-US"/>
              </w:rPr>
              <w:t>Celkovo opatrenie</w:t>
            </w:r>
            <w:r w:rsidR="00961CB3">
              <w:rPr>
                <w:b/>
                <w:sz w:val="20"/>
                <w:szCs w:val="20"/>
                <w:lang w:eastAsia="en-US"/>
              </w:rPr>
              <w:t xml:space="preserve"> 6 (</w:t>
            </w:r>
            <w:r w:rsidRPr="00961CB3">
              <w:rPr>
                <w:b/>
                <w:sz w:val="20"/>
                <w:szCs w:val="20"/>
                <w:lang w:eastAsia="en-US"/>
              </w:rPr>
              <w:t>čl. 19</w:t>
            </w:r>
            <w:r w:rsidR="00961CB3">
              <w:rPr>
                <w:b/>
                <w:sz w:val="20"/>
                <w:szCs w:val="20"/>
                <w:lang w:eastAsia="en-US"/>
              </w:rPr>
              <w:t xml:space="preserve">) </w:t>
            </w:r>
            <w:r w:rsidRPr="00961CB3">
              <w:rPr>
                <w:b/>
                <w:sz w:val="20"/>
                <w:szCs w:val="20"/>
                <w:lang w:eastAsia="en-US"/>
              </w:rPr>
              <w:t xml:space="preserve"> – Rozvoj poľnohospodárskych podnikov a podnikateľskej činnosti</w:t>
            </w:r>
          </w:p>
        </w:tc>
        <w:tc>
          <w:tcPr>
            <w:tcW w:w="3261" w:type="dxa"/>
            <w:tcBorders>
              <w:bottom w:val="single" w:sz="4" w:space="0" w:color="auto"/>
            </w:tcBorders>
            <w:shd w:val="clear" w:color="auto" w:fill="DAEEF3" w:themeFill="accent5" w:themeFillTint="33"/>
            <w:vAlign w:val="center"/>
          </w:tcPr>
          <w:p w:rsidR="009B0266" w:rsidRPr="004F2B59" w:rsidRDefault="009B0266" w:rsidP="004F2B59">
            <w:pPr>
              <w:tabs>
                <w:tab w:val="left" w:pos="1877"/>
                <w:tab w:val="left" w:pos="2019"/>
              </w:tabs>
              <w:ind w:right="742"/>
              <w:jc w:val="right"/>
              <w:rPr>
                <w:rFonts w:eastAsiaTheme="minorHAnsi"/>
                <w:b/>
                <w:sz w:val="20"/>
                <w:szCs w:val="20"/>
                <w:lang w:eastAsia="en-US"/>
              </w:rPr>
            </w:pPr>
            <w:r w:rsidRPr="004F2B59">
              <w:rPr>
                <w:rFonts w:eastAsiaTheme="minorHAnsi"/>
                <w:b/>
                <w:sz w:val="20"/>
                <w:szCs w:val="20"/>
                <w:lang w:eastAsia="en-US"/>
              </w:rPr>
              <w:t>82 768 970,00</w:t>
            </w:r>
          </w:p>
        </w:tc>
      </w:tr>
    </w:tbl>
    <w:p w:rsidR="009B0266" w:rsidRPr="00961CB3" w:rsidRDefault="009B0266" w:rsidP="009B0266">
      <w:pPr>
        <w:keepNext/>
        <w:spacing w:after="240"/>
        <w:outlineLvl w:val="1"/>
        <w:rPr>
          <w:rFonts w:eastAsia="Calibri"/>
          <w:b/>
          <w:sz w:val="24"/>
          <w:szCs w:val="20"/>
          <w:lang w:eastAsia="ja-JP"/>
        </w:rPr>
        <w:sectPr w:rsidR="009B0266" w:rsidRPr="00961CB3" w:rsidSect="00D905DE">
          <w:pgSz w:w="16838" w:h="11906" w:orient="landscape"/>
          <w:pgMar w:top="851" w:right="851" w:bottom="849" w:left="851" w:header="601" w:footer="1077" w:gutter="0"/>
          <w:cols w:space="720"/>
          <w:docGrid w:linePitch="326"/>
        </w:sectPr>
      </w:pPr>
    </w:p>
    <w:tbl>
      <w:tblPr>
        <w:tblW w:w="1290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00"/>
        <w:gridCol w:w="4772"/>
        <w:gridCol w:w="3828"/>
      </w:tblGrid>
      <w:tr w:rsidR="009B0266" w:rsidRPr="00961CB3" w:rsidTr="00D905DE">
        <w:tc>
          <w:tcPr>
            <w:tcW w:w="4300" w:type="dxa"/>
            <w:tcBorders>
              <w:bottom w:val="single" w:sz="4" w:space="0" w:color="auto"/>
            </w:tcBorders>
            <w:shd w:val="clear" w:color="auto" w:fill="F2F2F2"/>
            <w:vAlign w:val="center"/>
          </w:tcPr>
          <w:p w:rsidR="009B0266" w:rsidRPr="00961CB3" w:rsidRDefault="009B0266" w:rsidP="009B0266">
            <w:pPr>
              <w:tabs>
                <w:tab w:val="left" w:pos="1185"/>
              </w:tabs>
              <w:spacing w:beforeLines="20" w:before="48" w:afterLines="20" w:after="48"/>
              <w:jc w:val="center"/>
              <w:rPr>
                <w:b/>
                <w:sz w:val="16"/>
                <w:szCs w:val="16"/>
                <w:lang w:eastAsia="en-US"/>
              </w:rPr>
            </w:pPr>
            <w:r w:rsidRPr="00961CB3">
              <w:rPr>
                <w:b/>
                <w:sz w:val="16"/>
                <w:szCs w:val="16"/>
                <w:lang w:eastAsia="en-US"/>
              </w:rPr>
              <w:t>Miera príspevku EPFRV</w:t>
            </w:r>
          </w:p>
        </w:tc>
        <w:tc>
          <w:tcPr>
            <w:tcW w:w="4772" w:type="dxa"/>
            <w:tcBorders>
              <w:bottom w:val="single" w:sz="4" w:space="0" w:color="auto"/>
            </w:tcBorders>
            <w:shd w:val="clear" w:color="auto" w:fill="F2F2F2"/>
            <w:vAlign w:val="center"/>
          </w:tcPr>
          <w:p w:rsidR="009B0266" w:rsidRPr="00961CB3" w:rsidRDefault="009B0266" w:rsidP="009B0266">
            <w:pPr>
              <w:tabs>
                <w:tab w:val="left" w:pos="1185"/>
              </w:tabs>
              <w:spacing w:beforeLines="20" w:before="48" w:afterLines="20" w:after="48"/>
              <w:jc w:val="center"/>
              <w:rPr>
                <w:b/>
                <w:sz w:val="16"/>
                <w:szCs w:val="16"/>
                <w:lang w:eastAsia="en-US"/>
              </w:rPr>
            </w:pPr>
            <w:r w:rsidRPr="00961CB3">
              <w:rPr>
                <w:b/>
                <w:sz w:val="16"/>
                <w:szCs w:val="16"/>
                <w:lang w:eastAsia="en-US"/>
              </w:rPr>
              <w:t>Fokusová oblasť</w:t>
            </w:r>
          </w:p>
        </w:tc>
        <w:tc>
          <w:tcPr>
            <w:tcW w:w="3828" w:type="dxa"/>
            <w:tcBorders>
              <w:bottom w:val="single" w:sz="4" w:space="0" w:color="auto"/>
            </w:tcBorders>
            <w:shd w:val="clear" w:color="auto" w:fill="F2F2F2"/>
            <w:vAlign w:val="center"/>
          </w:tcPr>
          <w:p w:rsidR="009B0266" w:rsidRPr="00961CB3" w:rsidRDefault="009B0266" w:rsidP="009B0266">
            <w:pPr>
              <w:tabs>
                <w:tab w:val="left" w:pos="1185"/>
              </w:tabs>
              <w:spacing w:beforeLines="20" w:before="48" w:afterLines="20" w:after="48"/>
              <w:jc w:val="center"/>
              <w:rPr>
                <w:b/>
                <w:sz w:val="16"/>
                <w:szCs w:val="16"/>
                <w:lang w:eastAsia="en-US"/>
              </w:rPr>
            </w:pPr>
            <w:r w:rsidRPr="00961CB3">
              <w:rPr>
                <w:b/>
                <w:sz w:val="16"/>
                <w:szCs w:val="16"/>
                <w:lang w:eastAsia="en-US"/>
              </w:rPr>
              <w:t>Celkový príspevok EPFRV</w:t>
            </w:r>
          </w:p>
        </w:tc>
      </w:tr>
      <w:tr w:rsidR="009B0266" w:rsidRPr="00961CB3" w:rsidTr="00D905DE">
        <w:tc>
          <w:tcPr>
            <w:tcW w:w="4300" w:type="dxa"/>
            <w:tcBorders>
              <w:bottom w:val="single" w:sz="4" w:space="0" w:color="auto"/>
            </w:tcBorders>
            <w:shd w:val="clear" w:color="auto" w:fill="auto"/>
            <w:vAlign w:val="center"/>
          </w:tcPr>
          <w:p w:rsidR="009B0266" w:rsidRPr="00961CB3" w:rsidRDefault="009B0266" w:rsidP="009B0266">
            <w:pPr>
              <w:spacing w:beforeLines="20" w:before="48" w:afterLines="20" w:after="48"/>
              <w:jc w:val="center"/>
              <w:rPr>
                <w:sz w:val="16"/>
                <w:szCs w:val="16"/>
                <w:lang w:eastAsia="en-US"/>
              </w:rPr>
            </w:pPr>
            <w:r w:rsidRPr="00961CB3">
              <w:rPr>
                <w:sz w:val="16"/>
                <w:szCs w:val="16"/>
                <w:lang w:eastAsia="en-US"/>
              </w:rPr>
              <w:t>59(3)(a) – bez výnimiek</w:t>
            </w:r>
          </w:p>
        </w:tc>
        <w:tc>
          <w:tcPr>
            <w:tcW w:w="4772" w:type="dxa"/>
            <w:tcBorders>
              <w:bottom w:val="single" w:sz="4" w:space="0" w:color="auto"/>
            </w:tcBorders>
            <w:shd w:val="clear" w:color="auto" w:fill="auto"/>
            <w:vAlign w:val="center"/>
          </w:tcPr>
          <w:p w:rsidR="009B0266" w:rsidRPr="00961CB3" w:rsidRDefault="009B0266" w:rsidP="009B0266">
            <w:pPr>
              <w:spacing w:beforeLines="20" w:before="48" w:afterLines="20" w:after="48"/>
              <w:jc w:val="center"/>
              <w:rPr>
                <w:sz w:val="16"/>
                <w:szCs w:val="16"/>
                <w:lang w:eastAsia="en-US"/>
              </w:rPr>
            </w:pPr>
            <w:r w:rsidRPr="00961CB3">
              <w:rPr>
                <w:sz w:val="16"/>
                <w:szCs w:val="16"/>
                <w:lang w:eastAsia="en-US"/>
              </w:rPr>
              <w:t>5C</w:t>
            </w:r>
          </w:p>
        </w:tc>
        <w:tc>
          <w:tcPr>
            <w:tcW w:w="3828" w:type="dxa"/>
            <w:tcBorders>
              <w:bottom w:val="single" w:sz="4" w:space="0" w:color="auto"/>
            </w:tcBorders>
            <w:shd w:val="clear" w:color="auto" w:fill="auto"/>
            <w:vAlign w:val="bottom"/>
          </w:tcPr>
          <w:p w:rsidR="009B0266" w:rsidRPr="00961CB3" w:rsidRDefault="009B0266" w:rsidP="004F2B59">
            <w:pPr>
              <w:tabs>
                <w:tab w:val="left" w:pos="1877"/>
                <w:tab w:val="left" w:pos="2019"/>
              </w:tabs>
              <w:ind w:right="742"/>
              <w:jc w:val="right"/>
              <w:rPr>
                <w:rFonts w:eastAsiaTheme="minorHAnsi"/>
                <w:sz w:val="16"/>
                <w:szCs w:val="16"/>
                <w:lang w:eastAsia="en-US"/>
              </w:rPr>
            </w:pPr>
            <w:r w:rsidRPr="00961CB3">
              <w:rPr>
                <w:rFonts w:eastAsiaTheme="minorHAnsi"/>
                <w:sz w:val="16"/>
                <w:szCs w:val="16"/>
                <w:lang w:eastAsia="en-US"/>
              </w:rPr>
              <w:t>8 874 000,00</w:t>
            </w:r>
          </w:p>
        </w:tc>
      </w:tr>
      <w:tr w:rsidR="009B0266" w:rsidRPr="00961CB3" w:rsidTr="00D905DE">
        <w:tc>
          <w:tcPr>
            <w:tcW w:w="4300" w:type="dxa"/>
            <w:tcBorders>
              <w:bottom w:val="single" w:sz="4" w:space="0" w:color="auto"/>
            </w:tcBorders>
            <w:shd w:val="clear" w:color="auto" w:fill="auto"/>
            <w:vAlign w:val="center"/>
          </w:tcPr>
          <w:p w:rsidR="009B0266" w:rsidRPr="00961CB3" w:rsidRDefault="009B0266" w:rsidP="009B0266">
            <w:pPr>
              <w:spacing w:beforeLines="20" w:before="48" w:afterLines="20" w:after="48"/>
              <w:jc w:val="center"/>
              <w:rPr>
                <w:sz w:val="16"/>
                <w:szCs w:val="16"/>
                <w:lang w:eastAsia="en-US"/>
              </w:rPr>
            </w:pPr>
            <w:r w:rsidRPr="00961CB3">
              <w:rPr>
                <w:sz w:val="16"/>
                <w:szCs w:val="16"/>
                <w:lang w:eastAsia="en-US"/>
              </w:rPr>
              <w:t>59(3)(a) – bez výnimiek</w:t>
            </w:r>
          </w:p>
        </w:tc>
        <w:tc>
          <w:tcPr>
            <w:tcW w:w="4772" w:type="dxa"/>
            <w:tcBorders>
              <w:bottom w:val="single" w:sz="4" w:space="0" w:color="auto"/>
            </w:tcBorders>
            <w:shd w:val="clear" w:color="auto" w:fill="auto"/>
            <w:vAlign w:val="center"/>
          </w:tcPr>
          <w:p w:rsidR="009B0266" w:rsidRPr="00961CB3" w:rsidRDefault="009B0266" w:rsidP="009B0266">
            <w:pPr>
              <w:spacing w:beforeLines="20" w:before="48" w:afterLines="20" w:after="48"/>
              <w:jc w:val="center"/>
              <w:rPr>
                <w:sz w:val="16"/>
                <w:szCs w:val="16"/>
                <w:lang w:eastAsia="en-US"/>
              </w:rPr>
            </w:pPr>
            <w:r w:rsidRPr="00961CB3">
              <w:rPr>
                <w:sz w:val="16"/>
                <w:szCs w:val="16"/>
                <w:lang w:eastAsia="en-US"/>
              </w:rPr>
              <w:t>6B</w:t>
            </w:r>
          </w:p>
        </w:tc>
        <w:tc>
          <w:tcPr>
            <w:tcW w:w="3828" w:type="dxa"/>
            <w:tcBorders>
              <w:bottom w:val="single" w:sz="4" w:space="0" w:color="auto"/>
            </w:tcBorders>
            <w:shd w:val="clear" w:color="auto" w:fill="auto"/>
            <w:vAlign w:val="bottom"/>
          </w:tcPr>
          <w:p w:rsidR="009B0266" w:rsidRPr="00961CB3" w:rsidRDefault="009B0266" w:rsidP="004F2B59">
            <w:pPr>
              <w:tabs>
                <w:tab w:val="left" w:pos="1877"/>
                <w:tab w:val="left" w:pos="2019"/>
              </w:tabs>
              <w:ind w:right="742"/>
              <w:jc w:val="right"/>
              <w:rPr>
                <w:rFonts w:eastAsiaTheme="minorHAnsi"/>
                <w:sz w:val="16"/>
                <w:szCs w:val="16"/>
                <w:lang w:eastAsia="en-US"/>
              </w:rPr>
            </w:pPr>
            <w:r w:rsidRPr="00961CB3">
              <w:rPr>
                <w:rFonts w:eastAsiaTheme="minorHAnsi"/>
                <w:sz w:val="16"/>
                <w:szCs w:val="16"/>
                <w:lang w:eastAsia="en-US"/>
              </w:rPr>
              <w:t>59 529 637,50</w:t>
            </w:r>
          </w:p>
        </w:tc>
      </w:tr>
      <w:tr w:rsidR="009B0266" w:rsidRPr="00961CB3" w:rsidTr="00D905DE">
        <w:tc>
          <w:tcPr>
            <w:tcW w:w="4300" w:type="dxa"/>
            <w:tcBorders>
              <w:bottom w:val="single" w:sz="4" w:space="0" w:color="auto"/>
            </w:tcBorders>
            <w:shd w:val="clear" w:color="auto" w:fill="auto"/>
            <w:vAlign w:val="center"/>
          </w:tcPr>
          <w:p w:rsidR="009B0266" w:rsidRPr="00961CB3" w:rsidRDefault="009B0266" w:rsidP="009B0266">
            <w:pPr>
              <w:spacing w:beforeLines="20" w:before="48" w:afterLines="20" w:after="48"/>
              <w:jc w:val="center"/>
              <w:rPr>
                <w:sz w:val="16"/>
                <w:szCs w:val="16"/>
                <w:lang w:eastAsia="en-US"/>
              </w:rPr>
            </w:pPr>
            <w:r w:rsidRPr="00961CB3">
              <w:rPr>
                <w:sz w:val="16"/>
                <w:szCs w:val="16"/>
                <w:lang w:eastAsia="en-US"/>
              </w:rPr>
              <w:t>59(3)(a) – bez výnimiek</w:t>
            </w:r>
          </w:p>
        </w:tc>
        <w:tc>
          <w:tcPr>
            <w:tcW w:w="4772" w:type="dxa"/>
            <w:tcBorders>
              <w:bottom w:val="single" w:sz="4" w:space="0" w:color="auto"/>
            </w:tcBorders>
            <w:shd w:val="clear" w:color="auto" w:fill="auto"/>
            <w:vAlign w:val="center"/>
          </w:tcPr>
          <w:p w:rsidR="009B0266" w:rsidRPr="00961CB3" w:rsidRDefault="009B0266" w:rsidP="009B0266">
            <w:pPr>
              <w:spacing w:beforeLines="20" w:before="48" w:afterLines="20" w:after="48"/>
              <w:jc w:val="center"/>
              <w:rPr>
                <w:sz w:val="16"/>
                <w:szCs w:val="16"/>
                <w:lang w:eastAsia="en-US"/>
              </w:rPr>
            </w:pPr>
            <w:r w:rsidRPr="00961CB3">
              <w:rPr>
                <w:sz w:val="16"/>
                <w:szCs w:val="16"/>
                <w:lang w:eastAsia="en-US"/>
              </w:rPr>
              <w:t>6C</w:t>
            </w:r>
          </w:p>
        </w:tc>
        <w:tc>
          <w:tcPr>
            <w:tcW w:w="3828" w:type="dxa"/>
            <w:tcBorders>
              <w:bottom w:val="single" w:sz="4" w:space="0" w:color="auto"/>
            </w:tcBorders>
            <w:shd w:val="clear" w:color="auto" w:fill="auto"/>
            <w:vAlign w:val="bottom"/>
          </w:tcPr>
          <w:p w:rsidR="009B0266" w:rsidRPr="00961CB3" w:rsidRDefault="009B0266" w:rsidP="004F2B59">
            <w:pPr>
              <w:tabs>
                <w:tab w:val="left" w:pos="1877"/>
                <w:tab w:val="left" w:pos="2019"/>
              </w:tabs>
              <w:ind w:right="742"/>
              <w:jc w:val="right"/>
              <w:rPr>
                <w:rFonts w:eastAsiaTheme="minorHAnsi"/>
                <w:sz w:val="16"/>
                <w:szCs w:val="16"/>
                <w:lang w:eastAsia="en-US"/>
              </w:rPr>
            </w:pPr>
            <w:r w:rsidRPr="00961CB3">
              <w:rPr>
                <w:rFonts w:eastAsiaTheme="minorHAnsi"/>
                <w:sz w:val="16"/>
                <w:szCs w:val="16"/>
                <w:lang w:eastAsia="en-US"/>
              </w:rPr>
              <w:t>19 966 500,00</w:t>
            </w:r>
          </w:p>
        </w:tc>
      </w:tr>
      <w:tr w:rsidR="009B0266" w:rsidRPr="00961CB3" w:rsidTr="00D905DE">
        <w:tc>
          <w:tcPr>
            <w:tcW w:w="4300" w:type="dxa"/>
            <w:tcBorders>
              <w:bottom w:val="single" w:sz="4" w:space="0" w:color="auto"/>
            </w:tcBorders>
            <w:shd w:val="clear" w:color="auto" w:fill="auto"/>
            <w:vAlign w:val="center"/>
          </w:tcPr>
          <w:p w:rsidR="009B0266" w:rsidRPr="00961CB3" w:rsidRDefault="009B0266" w:rsidP="009B0266">
            <w:pPr>
              <w:spacing w:beforeLines="20" w:before="48" w:afterLines="20" w:after="48"/>
              <w:jc w:val="center"/>
              <w:rPr>
                <w:sz w:val="16"/>
                <w:szCs w:val="16"/>
                <w:lang w:eastAsia="en-US"/>
              </w:rPr>
            </w:pPr>
            <w:r w:rsidRPr="00961CB3">
              <w:rPr>
                <w:sz w:val="16"/>
                <w:szCs w:val="16"/>
                <w:lang w:eastAsia="en-US"/>
              </w:rPr>
              <w:t>59(3)(d) – bez výnimiek</w:t>
            </w:r>
          </w:p>
        </w:tc>
        <w:tc>
          <w:tcPr>
            <w:tcW w:w="4772" w:type="dxa"/>
            <w:tcBorders>
              <w:bottom w:val="single" w:sz="4" w:space="0" w:color="auto"/>
            </w:tcBorders>
            <w:shd w:val="clear" w:color="auto" w:fill="auto"/>
            <w:vAlign w:val="center"/>
          </w:tcPr>
          <w:p w:rsidR="009B0266" w:rsidRPr="00961CB3" w:rsidRDefault="009B0266" w:rsidP="009B0266">
            <w:pPr>
              <w:spacing w:beforeLines="20" w:before="48" w:afterLines="20" w:after="48"/>
              <w:jc w:val="center"/>
              <w:rPr>
                <w:sz w:val="16"/>
                <w:szCs w:val="16"/>
                <w:lang w:eastAsia="en-US"/>
              </w:rPr>
            </w:pPr>
            <w:r w:rsidRPr="00961CB3">
              <w:rPr>
                <w:sz w:val="16"/>
                <w:szCs w:val="16"/>
                <w:lang w:eastAsia="en-US"/>
              </w:rPr>
              <w:t>5C</w:t>
            </w:r>
          </w:p>
        </w:tc>
        <w:tc>
          <w:tcPr>
            <w:tcW w:w="3828" w:type="dxa"/>
            <w:tcBorders>
              <w:bottom w:val="single" w:sz="4" w:space="0" w:color="auto"/>
            </w:tcBorders>
            <w:shd w:val="clear" w:color="auto" w:fill="auto"/>
            <w:vAlign w:val="bottom"/>
          </w:tcPr>
          <w:p w:rsidR="009B0266" w:rsidRPr="00961CB3" w:rsidRDefault="009B0266" w:rsidP="004F2B59">
            <w:pPr>
              <w:tabs>
                <w:tab w:val="left" w:pos="1877"/>
                <w:tab w:val="left" w:pos="2019"/>
              </w:tabs>
              <w:ind w:right="742"/>
              <w:jc w:val="right"/>
              <w:rPr>
                <w:rFonts w:eastAsiaTheme="minorHAnsi"/>
                <w:sz w:val="16"/>
                <w:szCs w:val="16"/>
                <w:lang w:eastAsia="en-US"/>
              </w:rPr>
            </w:pPr>
            <w:r w:rsidRPr="00961CB3">
              <w:rPr>
                <w:rFonts w:eastAsiaTheme="minorHAnsi"/>
                <w:sz w:val="16"/>
                <w:szCs w:val="16"/>
                <w:lang w:eastAsia="en-US"/>
              </w:rPr>
              <w:t>89 040,00</w:t>
            </w:r>
          </w:p>
        </w:tc>
      </w:tr>
      <w:tr w:rsidR="009B0266" w:rsidRPr="00961CB3" w:rsidTr="00D905DE">
        <w:tc>
          <w:tcPr>
            <w:tcW w:w="4300" w:type="dxa"/>
            <w:tcBorders>
              <w:bottom w:val="single" w:sz="4" w:space="0" w:color="auto"/>
            </w:tcBorders>
            <w:shd w:val="clear" w:color="auto" w:fill="auto"/>
            <w:vAlign w:val="center"/>
          </w:tcPr>
          <w:p w:rsidR="009B0266" w:rsidRPr="00961CB3" w:rsidRDefault="009B0266" w:rsidP="009B0266">
            <w:pPr>
              <w:spacing w:beforeLines="20" w:before="48" w:afterLines="20" w:after="48"/>
              <w:jc w:val="center"/>
              <w:rPr>
                <w:sz w:val="16"/>
                <w:szCs w:val="16"/>
                <w:lang w:eastAsia="en-US"/>
              </w:rPr>
            </w:pPr>
            <w:r w:rsidRPr="00961CB3">
              <w:rPr>
                <w:sz w:val="16"/>
                <w:szCs w:val="16"/>
                <w:lang w:eastAsia="en-US"/>
              </w:rPr>
              <w:t>59(3)(d) – bez výnimiek</w:t>
            </w:r>
          </w:p>
        </w:tc>
        <w:tc>
          <w:tcPr>
            <w:tcW w:w="4772" w:type="dxa"/>
            <w:tcBorders>
              <w:bottom w:val="single" w:sz="4" w:space="0" w:color="auto"/>
            </w:tcBorders>
            <w:shd w:val="clear" w:color="auto" w:fill="auto"/>
            <w:vAlign w:val="center"/>
          </w:tcPr>
          <w:p w:rsidR="009B0266" w:rsidRPr="00961CB3" w:rsidRDefault="009B0266" w:rsidP="009B0266">
            <w:pPr>
              <w:spacing w:beforeLines="20" w:before="48" w:afterLines="20" w:after="48"/>
              <w:jc w:val="center"/>
              <w:rPr>
                <w:sz w:val="16"/>
                <w:szCs w:val="16"/>
                <w:lang w:eastAsia="en-US"/>
              </w:rPr>
            </w:pPr>
            <w:r w:rsidRPr="00961CB3">
              <w:rPr>
                <w:sz w:val="16"/>
                <w:szCs w:val="16"/>
                <w:lang w:eastAsia="en-US"/>
              </w:rPr>
              <w:t>6B</w:t>
            </w:r>
          </w:p>
        </w:tc>
        <w:tc>
          <w:tcPr>
            <w:tcW w:w="3828" w:type="dxa"/>
            <w:tcBorders>
              <w:bottom w:val="single" w:sz="4" w:space="0" w:color="auto"/>
            </w:tcBorders>
            <w:shd w:val="clear" w:color="auto" w:fill="auto"/>
            <w:vAlign w:val="bottom"/>
          </w:tcPr>
          <w:p w:rsidR="009B0266" w:rsidRPr="00961CB3" w:rsidRDefault="009B0266" w:rsidP="004F2B59">
            <w:pPr>
              <w:tabs>
                <w:tab w:val="left" w:pos="1877"/>
                <w:tab w:val="left" w:pos="2019"/>
              </w:tabs>
              <w:ind w:right="742"/>
              <w:jc w:val="right"/>
              <w:rPr>
                <w:rFonts w:eastAsiaTheme="minorHAnsi"/>
                <w:sz w:val="16"/>
                <w:szCs w:val="16"/>
                <w:lang w:eastAsia="en-US"/>
              </w:rPr>
            </w:pPr>
            <w:r w:rsidRPr="00961CB3">
              <w:rPr>
                <w:rFonts w:eastAsiaTheme="minorHAnsi"/>
                <w:sz w:val="16"/>
                <w:szCs w:val="16"/>
                <w:lang w:eastAsia="en-US"/>
              </w:rPr>
              <w:t>597 389,50</w:t>
            </w:r>
          </w:p>
        </w:tc>
      </w:tr>
      <w:tr w:rsidR="009B0266" w:rsidRPr="00961CB3" w:rsidTr="00D905DE">
        <w:tc>
          <w:tcPr>
            <w:tcW w:w="4300" w:type="dxa"/>
            <w:tcBorders>
              <w:bottom w:val="single" w:sz="4" w:space="0" w:color="auto"/>
            </w:tcBorders>
            <w:shd w:val="clear" w:color="auto" w:fill="auto"/>
            <w:vAlign w:val="center"/>
          </w:tcPr>
          <w:p w:rsidR="009B0266" w:rsidRPr="00961CB3" w:rsidRDefault="009B0266" w:rsidP="009B0266">
            <w:pPr>
              <w:spacing w:beforeLines="20" w:before="48" w:afterLines="20" w:after="48"/>
              <w:jc w:val="center"/>
              <w:rPr>
                <w:sz w:val="16"/>
                <w:szCs w:val="16"/>
                <w:lang w:eastAsia="en-US"/>
              </w:rPr>
            </w:pPr>
            <w:r w:rsidRPr="00961CB3">
              <w:rPr>
                <w:sz w:val="16"/>
                <w:szCs w:val="16"/>
                <w:lang w:eastAsia="en-US"/>
              </w:rPr>
              <w:t>59(3)(d) – bez výnimiek</w:t>
            </w:r>
          </w:p>
        </w:tc>
        <w:tc>
          <w:tcPr>
            <w:tcW w:w="4772" w:type="dxa"/>
            <w:tcBorders>
              <w:bottom w:val="single" w:sz="4" w:space="0" w:color="auto"/>
            </w:tcBorders>
            <w:shd w:val="clear" w:color="auto" w:fill="auto"/>
            <w:vAlign w:val="center"/>
          </w:tcPr>
          <w:p w:rsidR="009B0266" w:rsidRPr="00961CB3" w:rsidRDefault="009B0266" w:rsidP="009B0266">
            <w:pPr>
              <w:spacing w:beforeLines="20" w:before="48" w:afterLines="20" w:after="48"/>
              <w:jc w:val="center"/>
              <w:rPr>
                <w:sz w:val="16"/>
                <w:szCs w:val="16"/>
                <w:lang w:eastAsia="en-US"/>
              </w:rPr>
            </w:pPr>
            <w:r w:rsidRPr="00961CB3">
              <w:rPr>
                <w:sz w:val="16"/>
                <w:szCs w:val="16"/>
                <w:lang w:eastAsia="en-US"/>
              </w:rPr>
              <w:t>6C</w:t>
            </w:r>
          </w:p>
        </w:tc>
        <w:tc>
          <w:tcPr>
            <w:tcW w:w="3828" w:type="dxa"/>
            <w:tcBorders>
              <w:bottom w:val="single" w:sz="4" w:space="0" w:color="auto"/>
            </w:tcBorders>
            <w:shd w:val="clear" w:color="auto" w:fill="auto"/>
            <w:vAlign w:val="bottom"/>
          </w:tcPr>
          <w:p w:rsidR="009B0266" w:rsidRPr="00961CB3" w:rsidRDefault="009B0266" w:rsidP="004F2B59">
            <w:pPr>
              <w:tabs>
                <w:tab w:val="left" w:pos="1877"/>
                <w:tab w:val="left" w:pos="2019"/>
              </w:tabs>
              <w:ind w:right="742"/>
              <w:jc w:val="right"/>
              <w:rPr>
                <w:rFonts w:eastAsiaTheme="minorHAnsi"/>
                <w:sz w:val="16"/>
                <w:szCs w:val="16"/>
                <w:lang w:eastAsia="en-US"/>
              </w:rPr>
            </w:pPr>
            <w:r w:rsidRPr="00961CB3">
              <w:rPr>
                <w:rFonts w:eastAsiaTheme="minorHAnsi"/>
                <w:sz w:val="16"/>
                <w:szCs w:val="16"/>
                <w:lang w:eastAsia="en-US"/>
              </w:rPr>
              <w:t>200 340,00</w:t>
            </w:r>
          </w:p>
        </w:tc>
      </w:tr>
      <w:tr w:rsidR="009B0266" w:rsidRPr="00961CB3" w:rsidTr="00D905DE">
        <w:tc>
          <w:tcPr>
            <w:tcW w:w="9072" w:type="dxa"/>
            <w:gridSpan w:val="2"/>
            <w:tcBorders>
              <w:bottom w:val="single" w:sz="4" w:space="0" w:color="auto"/>
            </w:tcBorders>
            <w:shd w:val="clear" w:color="auto" w:fill="DAEEF3" w:themeFill="accent5" w:themeFillTint="33"/>
            <w:vAlign w:val="center"/>
          </w:tcPr>
          <w:p w:rsidR="009B0266" w:rsidRPr="00961CB3" w:rsidRDefault="009B0266" w:rsidP="00961CB3">
            <w:pPr>
              <w:spacing w:beforeLines="20" w:before="48" w:afterLines="20" w:after="48"/>
              <w:jc w:val="left"/>
              <w:rPr>
                <w:b/>
                <w:color w:val="8064A2"/>
                <w:sz w:val="20"/>
                <w:szCs w:val="20"/>
                <w:lang w:eastAsia="en-US"/>
              </w:rPr>
            </w:pPr>
            <w:r w:rsidRPr="00961CB3">
              <w:rPr>
                <w:b/>
                <w:sz w:val="20"/>
                <w:szCs w:val="20"/>
                <w:lang w:eastAsia="en-US"/>
              </w:rPr>
              <w:t xml:space="preserve">Celkovo opatrenie </w:t>
            </w:r>
            <w:r w:rsidR="00961CB3">
              <w:rPr>
                <w:b/>
                <w:sz w:val="20"/>
                <w:szCs w:val="20"/>
                <w:lang w:eastAsia="en-US"/>
              </w:rPr>
              <w:t>7 (</w:t>
            </w:r>
            <w:r w:rsidRPr="00961CB3">
              <w:rPr>
                <w:b/>
                <w:sz w:val="20"/>
                <w:szCs w:val="20"/>
                <w:lang w:eastAsia="en-US"/>
              </w:rPr>
              <w:t>čl. 20</w:t>
            </w:r>
            <w:r w:rsidR="00961CB3">
              <w:rPr>
                <w:b/>
                <w:sz w:val="20"/>
                <w:szCs w:val="20"/>
                <w:lang w:eastAsia="en-US"/>
              </w:rPr>
              <w:t xml:space="preserve">) </w:t>
            </w:r>
            <w:r w:rsidRPr="00961CB3">
              <w:rPr>
                <w:b/>
                <w:sz w:val="20"/>
                <w:szCs w:val="20"/>
                <w:lang w:eastAsia="en-US"/>
              </w:rPr>
              <w:t xml:space="preserve"> – Základné služby a obnova dedín vo vidieckych oblastiach</w:t>
            </w:r>
          </w:p>
        </w:tc>
        <w:tc>
          <w:tcPr>
            <w:tcW w:w="3828" w:type="dxa"/>
            <w:tcBorders>
              <w:bottom w:val="single" w:sz="4" w:space="0" w:color="auto"/>
            </w:tcBorders>
            <w:shd w:val="clear" w:color="auto" w:fill="DAEEF3" w:themeFill="accent5" w:themeFillTint="33"/>
            <w:vAlign w:val="center"/>
          </w:tcPr>
          <w:p w:rsidR="009B0266" w:rsidRPr="004F2B59" w:rsidRDefault="009B0266" w:rsidP="004F2B59">
            <w:pPr>
              <w:tabs>
                <w:tab w:val="left" w:pos="1877"/>
                <w:tab w:val="left" w:pos="2019"/>
              </w:tabs>
              <w:ind w:right="742"/>
              <w:jc w:val="right"/>
              <w:rPr>
                <w:rFonts w:eastAsiaTheme="minorHAnsi"/>
                <w:b/>
                <w:sz w:val="20"/>
                <w:szCs w:val="20"/>
                <w:lang w:eastAsia="en-US"/>
              </w:rPr>
            </w:pPr>
            <w:r w:rsidRPr="004F2B59">
              <w:rPr>
                <w:rFonts w:eastAsiaTheme="minorHAnsi"/>
                <w:b/>
                <w:sz w:val="20"/>
                <w:szCs w:val="20"/>
                <w:lang w:eastAsia="en-US"/>
              </w:rPr>
              <w:t>89 256 907,00</w:t>
            </w:r>
          </w:p>
        </w:tc>
      </w:tr>
    </w:tbl>
    <w:p w:rsidR="009B0266" w:rsidRPr="00961CB3" w:rsidRDefault="009B0266" w:rsidP="009B0266">
      <w:pPr>
        <w:keepNext/>
        <w:spacing w:after="80"/>
        <w:outlineLvl w:val="1"/>
        <w:rPr>
          <w:rFonts w:eastAsia="Calibri"/>
          <w:b/>
          <w:sz w:val="16"/>
          <w:szCs w:val="16"/>
          <w:lang w:eastAsia="ja-JP"/>
        </w:rPr>
      </w:pPr>
    </w:p>
    <w:tbl>
      <w:tblPr>
        <w:tblW w:w="1290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00"/>
        <w:gridCol w:w="4772"/>
        <w:gridCol w:w="3828"/>
      </w:tblGrid>
      <w:tr w:rsidR="009B0266" w:rsidRPr="00961CB3" w:rsidTr="00D905DE">
        <w:tc>
          <w:tcPr>
            <w:tcW w:w="4300" w:type="dxa"/>
            <w:tcBorders>
              <w:bottom w:val="single" w:sz="4" w:space="0" w:color="auto"/>
            </w:tcBorders>
            <w:shd w:val="clear" w:color="auto" w:fill="F2F2F2"/>
            <w:vAlign w:val="center"/>
          </w:tcPr>
          <w:p w:rsidR="009B0266" w:rsidRPr="00961CB3" w:rsidRDefault="009B0266" w:rsidP="009B0266">
            <w:pPr>
              <w:tabs>
                <w:tab w:val="left" w:pos="1185"/>
              </w:tabs>
              <w:spacing w:beforeLines="20" w:before="48" w:afterLines="20" w:after="48"/>
              <w:jc w:val="center"/>
              <w:rPr>
                <w:b/>
                <w:sz w:val="16"/>
                <w:szCs w:val="16"/>
                <w:lang w:eastAsia="en-US"/>
              </w:rPr>
            </w:pPr>
            <w:r w:rsidRPr="00961CB3">
              <w:rPr>
                <w:b/>
                <w:sz w:val="16"/>
                <w:szCs w:val="16"/>
                <w:lang w:eastAsia="en-US"/>
              </w:rPr>
              <w:t>Miera príspevku EPFRV</w:t>
            </w:r>
          </w:p>
        </w:tc>
        <w:tc>
          <w:tcPr>
            <w:tcW w:w="4772" w:type="dxa"/>
            <w:tcBorders>
              <w:bottom w:val="single" w:sz="4" w:space="0" w:color="auto"/>
            </w:tcBorders>
            <w:shd w:val="clear" w:color="auto" w:fill="F2F2F2"/>
            <w:vAlign w:val="center"/>
          </w:tcPr>
          <w:p w:rsidR="009B0266" w:rsidRPr="00961CB3" w:rsidRDefault="009B0266" w:rsidP="009B0266">
            <w:pPr>
              <w:tabs>
                <w:tab w:val="left" w:pos="1185"/>
              </w:tabs>
              <w:spacing w:beforeLines="20" w:before="48" w:afterLines="20" w:after="48"/>
              <w:jc w:val="center"/>
              <w:rPr>
                <w:b/>
                <w:sz w:val="16"/>
                <w:szCs w:val="16"/>
                <w:lang w:eastAsia="en-US"/>
              </w:rPr>
            </w:pPr>
            <w:r w:rsidRPr="00961CB3">
              <w:rPr>
                <w:b/>
                <w:sz w:val="16"/>
                <w:szCs w:val="16"/>
                <w:lang w:eastAsia="en-US"/>
              </w:rPr>
              <w:t>Fokusová oblasť</w:t>
            </w:r>
          </w:p>
        </w:tc>
        <w:tc>
          <w:tcPr>
            <w:tcW w:w="3828" w:type="dxa"/>
            <w:tcBorders>
              <w:bottom w:val="single" w:sz="4" w:space="0" w:color="auto"/>
            </w:tcBorders>
            <w:shd w:val="clear" w:color="auto" w:fill="F2F2F2"/>
            <w:vAlign w:val="center"/>
          </w:tcPr>
          <w:p w:rsidR="009B0266" w:rsidRPr="00961CB3" w:rsidRDefault="009B0266" w:rsidP="009B0266">
            <w:pPr>
              <w:tabs>
                <w:tab w:val="left" w:pos="1185"/>
              </w:tabs>
              <w:spacing w:beforeLines="20" w:before="48" w:afterLines="20" w:after="48"/>
              <w:jc w:val="center"/>
              <w:rPr>
                <w:b/>
                <w:sz w:val="16"/>
                <w:szCs w:val="16"/>
                <w:lang w:eastAsia="en-US"/>
              </w:rPr>
            </w:pPr>
            <w:r w:rsidRPr="00961CB3">
              <w:rPr>
                <w:b/>
                <w:sz w:val="16"/>
                <w:szCs w:val="16"/>
                <w:lang w:eastAsia="en-US"/>
              </w:rPr>
              <w:t>Celkový príspevok EPFRV</w:t>
            </w:r>
          </w:p>
        </w:tc>
      </w:tr>
      <w:tr w:rsidR="009B0266" w:rsidRPr="00961CB3" w:rsidTr="00D905DE">
        <w:tc>
          <w:tcPr>
            <w:tcW w:w="4300" w:type="dxa"/>
            <w:tcBorders>
              <w:bottom w:val="single" w:sz="4" w:space="0" w:color="auto"/>
            </w:tcBorders>
            <w:shd w:val="clear" w:color="auto" w:fill="auto"/>
            <w:vAlign w:val="center"/>
          </w:tcPr>
          <w:p w:rsidR="009B0266" w:rsidRPr="00961CB3" w:rsidRDefault="009B0266" w:rsidP="009B0266">
            <w:pPr>
              <w:spacing w:beforeLines="20" w:before="48" w:afterLines="20" w:after="48"/>
              <w:jc w:val="center"/>
              <w:rPr>
                <w:sz w:val="16"/>
                <w:szCs w:val="16"/>
                <w:lang w:eastAsia="en-US"/>
              </w:rPr>
            </w:pPr>
            <w:r w:rsidRPr="00961CB3">
              <w:rPr>
                <w:sz w:val="16"/>
                <w:szCs w:val="16"/>
                <w:lang w:eastAsia="en-US"/>
              </w:rPr>
              <w:t>59(3)(a) – bez výnimiek</w:t>
            </w:r>
          </w:p>
        </w:tc>
        <w:tc>
          <w:tcPr>
            <w:tcW w:w="4772" w:type="dxa"/>
            <w:tcBorders>
              <w:bottom w:val="single" w:sz="4" w:space="0" w:color="auto"/>
            </w:tcBorders>
            <w:shd w:val="clear" w:color="auto" w:fill="auto"/>
            <w:vAlign w:val="center"/>
          </w:tcPr>
          <w:p w:rsidR="009B0266" w:rsidRPr="00961CB3" w:rsidRDefault="009B0266" w:rsidP="009B0266">
            <w:pPr>
              <w:spacing w:beforeLines="20" w:before="48" w:afterLines="20" w:after="48"/>
              <w:jc w:val="center"/>
              <w:rPr>
                <w:sz w:val="16"/>
                <w:szCs w:val="16"/>
                <w:lang w:eastAsia="en-US"/>
              </w:rPr>
            </w:pPr>
            <w:r w:rsidRPr="00961CB3">
              <w:rPr>
                <w:sz w:val="16"/>
                <w:szCs w:val="16"/>
                <w:lang w:eastAsia="en-US"/>
              </w:rPr>
              <w:t>2C</w:t>
            </w:r>
          </w:p>
        </w:tc>
        <w:tc>
          <w:tcPr>
            <w:tcW w:w="3828" w:type="dxa"/>
            <w:tcBorders>
              <w:bottom w:val="single" w:sz="4" w:space="0" w:color="auto"/>
            </w:tcBorders>
            <w:shd w:val="clear" w:color="auto" w:fill="auto"/>
            <w:vAlign w:val="bottom"/>
          </w:tcPr>
          <w:p w:rsidR="009B0266" w:rsidRPr="00961CB3" w:rsidRDefault="009B0266" w:rsidP="004F2B59">
            <w:pPr>
              <w:tabs>
                <w:tab w:val="left" w:pos="1877"/>
                <w:tab w:val="left" w:pos="2019"/>
              </w:tabs>
              <w:ind w:right="742"/>
              <w:jc w:val="right"/>
              <w:rPr>
                <w:rFonts w:eastAsiaTheme="minorHAnsi"/>
                <w:sz w:val="16"/>
                <w:szCs w:val="16"/>
                <w:lang w:eastAsia="en-US"/>
              </w:rPr>
            </w:pPr>
            <w:r w:rsidRPr="00961CB3">
              <w:rPr>
                <w:rFonts w:eastAsiaTheme="minorHAnsi"/>
                <w:sz w:val="16"/>
                <w:szCs w:val="16"/>
                <w:lang w:eastAsia="en-US"/>
              </w:rPr>
              <w:t>12 585 750,00</w:t>
            </w:r>
          </w:p>
        </w:tc>
      </w:tr>
      <w:tr w:rsidR="009B0266" w:rsidRPr="00961CB3" w:rsidTr="00D905DE">
        <w:tc>
          <w:tcPr>
            <w:tcW w:w="4300" w:type="dxa"/>
            <w:tcBorders>
              <w:bottom w:val="single" w:sz="4" w:space="0" w:color="auto"/>
            </w:tcBorders>
            <w:shd w:val="clear" w:color="auto" w:fill="auto"/>
            <w:vAlign w:val="center"/>
          </w:tcPr>
          <w:p w:rsidR="009B0266" w:rsidRPr="00961CB3" w:rsidRDefault="009B0266" w:rsidP="009B0266">
            <w:pPr>
              <w:spacing w:beforeLines="20" w:before="48" w:afterLines="20" w:after="48"/>
              <w:jc w:val="center"/>
              <w:rPr>
                <w:sz w:val="16"/>
                <w:szCs w:val="16"/>
                <w:lang w:eastAsia="en-US"/>
              </w:rPr>
            </w:pPr>
            <w:r w:rsidRPr="00961CB3">
              <w:rPr>
                <w:sz w:val="16"/>
                <w:szCs w:val="16"/>
                <w:lang w:eastAsia="en-US"/>
              </w:rPr>
              <w:t>59(3)(a) – bez výnimiek</w:t>
            </w:r>
          </w:p>
        </w:tc>
        <w:tc>
          <w:tcPr>
            <w:tcW w:w="4772" w:type="dxa"/>
            <w:tcBorders>
              <w:bottom w:val="single" w:sz="4" w:space="0" w:color="auto"/>
            </w:tcBorders>
            <w:shd w:val="clear" w:color="auto" w:fill="auto"/>
            <w:vAlign w:val="center"/>
          </w:tcPr>
          <w:p w:rsidR="009B0266" w:rsidRPr="00961CB3" w:rsidRDefault="009B0266" w:rsidP="009B0266">
            <w:pPr>
              <w:spacing w:beforeLines="20" w:before="48" w:afterLines="20" w:after="48"/>
              <w:jc w:val="center"/>
              <w:rPr>
                <w:sz w:val="16"/>
                <w:szCs w:val="16"/>
                <w:lang w:eastAsia="en-US"/>
              </w:rPr>
            </w:pPr>
            <w:r w:rsidRPr="00961CB3">
              <w:rPr>
                <w:sz w:val="16"/>
                <w:szCs w:val="16"/>
                <w:lang w:eastAsia="en-US"/>
              </w:rPr>
              <w:t>4</w:t>
            </w:r>
          </w:p>
        </w:tc>
        <w:tc>
          <w:tcPr>
            <w:tcW w:w="3828" w:type="dxa"/>
            <w:tcBorders>
              <w:bottom w:val="single" w:sz="4" w:space="0" w:color="auto"/>
            </w:tcBorders>
            <w:shd w:val="clear" w:color="auto" w:fill="auto"/>
            <w:vAlign w:val="bottom"/>
          </w:tcPr>
          <w:p w:rsidR="009B0266" w:rsidRPr="00961CB3" w:rsidRDefault="009B0266" w:rsidP="004F2B59">
            <w:pPr>
              <w:tabs>
                <w:tab w:val="left" w:pos="1877"/>
                <w:tab w:val="left" w:pos="2019"/>
              </w:tabs>
              <w:ind w:right="742"/>
              <w:jc w:val="right"/>
              <w:rPr>
                <w:rFonts w:eastAsiaTheme="minorHAnsi"/>
                <w:sz w:val="16"/>
                <w:szCs w:val="16"/>
                <w:lang w:eastAsia="en-US"/>
              </w:rPr>
            </w:pPr>
            <w:r w:rsidRPr="00961CB3">
              <w:rPr>
                <w:rFonts w:eastAsiaTheme="minorHAnsi"/>
                <w:sz w:val="16"/>
                <w:szCs w:val="16"/>
                <w:lang w:eastAsia="en-US"/>
              </w:rPr>
              <w:t>58 083 450,00</w:t>
            </w:r>
          </w:p>
        </w:tc>
      </w:tr>
      <w:tr w:rsidR="009B0266" w:rsidRPr="00961CB3" w:rsidTr="00D905DE">
        <w:tc>
          <w:tcPr>
            <w:tcW w:w="4300" w:type="dxa"/>
            <w:tcBorders>
              <w:bottom w:val="single" w:sz="4" w:space="0" w:color="auto"/>
            </w:tcBorders>
            <w:shd w:val="clear" w:color="auto" w:fill="auto"/>
            <w:vAlign w:val="center"/>
          </w:tcPr>
          <w:p w:rsidR="009B0266" w:rsidRPr="00961CB3" w:rsidRDefault="009B0266" w:rsidP="009B0266">
            <w:pPr>
              <w:spacing w:beforeLines="20" w:before="48" w:afterLines="20" w:after="48"/>
              <w:jc w:val="center"/>
              <w:rPr>
                <w:sz w:val="16"/>
                <w:szCs w:val="16"/>
                <w:lang w:eastAsia="en-US"/>
              </w:rPr>
            </w:pPr>
            <w:r w:rsidRPr="00961CB3">
              <w:rPr>
                <w:sz w:val="16"/>
                <w:szCs w:val="16"/>
                <w:lang w:eastAsia="en-US"/>
              </w:rPr>
              <w:t>59(3)(a) – bez výnimiek</w:t>
            </w:r>
          </w:p>
        </w:tc>
        <w:tc>
          <w:tcPr>
            <w:tcW w:w="4772" w:type="dxa"/>
            <w:tcBorders>
              <w:bottom w:val="single" w:sz="4" w:space="0" w:color="auto"/>
            </w:tcBorders>
            <w:shd w:val="clear" w:color="auto" w:fill="auto"/>
            <w:vAlign w:val="center"/>
          </w:tcPr>
          <w:p w:rsidR="009B0266" w:rsidRPr="00961CB3" w:rsidRDefault="009B0266" w:rsidP="009B0266">
            <w:pPr>
              <w:spacing w:beforeLines="20" w:before="48" w:afterLines="20" w:after="48"/>
              <w:jc w:val="center"/>
              <w:rPr>
                <w:sz w:val="16"/>
                <w:szCs w:val="16"/>
                <w:lang w:eastAsia="en-US"/>
              </w:rPr>
            </w:pPr>
            <w:r w:rsidRPr="00961CB3">
              <w:rPr>
                <w:sz w:val="16"/>
                <w:szCs w:val="16"/>
                <w:lang w:eastAsia="en-US"/>
              </w:rPr>
              <w:t>5C</w:t>
            </w:r>
          </w:p>
        </w:tc>
        <w:tc>
          <w:tcPr>
            <w:tcW w:w="3828" w:type="dxa"/>
            <w:tcBorders>
              <w:bottom w:val="single" w:sz="4" w:space="0" w:color="auto"/>
            </w:tcBorders>
            <w:shd w:val="clear" w:color="auto" w:fill="auto"/>
            <w:vAlign w:val="bottom"/>
          </w:tcPr>
          <w:p w:rsidR="009B0266" w:rsidRPr="00961CB3" w:rsidRDefault="009B0266" w:rsidP="004F2B59">
            <w:pPr>
              <w:tabs>
                <w:tab w:val="left" w:pos="1877"/>
                <w:tab w:val="left" w:pos="2019"/>
              </w:tabs>
              <w:ind w:right="742"/>
              <w:jc w:val="right"/>
              <w:rPr>
                <w:rFonts w:eastAsiaTheme="minorHAnsi"/>
                <w:sz w:val="16"/>
                <w:szCs w:val="16"/>
                <w:lang w:eastAsia="en-US"/>
              </w:rPr>
            </w:pPr>
            <w:r w:rsidRPr="00961CB3">
              <w:rPr>
                <w:rFonts w:eastAsiaTheme="minorHAnsi"/>
                <w:sz w:val="16"/>
                <w:szCs w:val="16"/>
                <w:lang w:eastAsia="en-US"/>
              </w:rPr>
              <w:t>3 637 500,00</w:t>
            </w:r>
          </w:p>
        </w:tc>
      </w:tr>
      <w:tr w:rsidR="009B0266" w:rsidRPr="00961CB3" w:rsidTr="00D905DE">
        <w:tc>
          <w:tcPr>
            <w:tcW w:w="4300" w:type="dxa"/>
            <w:tcBorders>
              <w:bottom w:val="single" w:sz="4" w:space="0" w:color="auto"/>
            </w:tcBorders>
            <w:shd w:val="clear" w:color="auto" w:fill="auto"/>
            <w:vAlign w:val="center"/>
          </w:tcPr>
          <w:p w:rsidR="009B0266" w:rsidRPr="00961CB3" w:rsidRDefault="009B0266" w:rsidP="009B0266">
            <w:pPr>
              <w:spacing w:beforeLines="20" w:before="48" w:afterLines="20" w:after="48"/>
              <w:jc w:val="center"/>
              <w:rPr>
                <w:sz w:val="16"/>
                <w:szCs w:val="16"/>
                <w:lang w:eastAsia="en-US"/>
              </w:rPr>
            </w:pPr>
            <w:r w:rsidRPr="00961CB3">
              <w:rPr>
                <w:sz w:val="16"/>
                <w:szCs w:val="16"/>
                <w:lang w:eastAsia="en-US"/>
              </w:rPr>
              <w:t>59(3)(d) – bez výnimiek</w:t>
            </w:r>
          </w:p>
        </w:tc>
        <w:tc>
          <w:tcPr>
            <w:tcW w:w="4772" w:type="dxa"/>
            <w:tcBorders>
              <w:bottom w:val="single" w:sz="4" w:space="0" w:color="auto"/>
            </w:tcBorders>
            <w:shd w:val="clear" w:color="auto" w:fill="auto"/>
            <w:vAlign w:val="center"/>
          </w:tcPr>
          <w:p w:rsidR="009B0266" w:rsidRPr="00961CB3" w:rsidRDefault="009B0266" w:rsidP="009B0266">
            <w:pPr>
              <w:spacing w:beforeLines="20" w:before="48" w:afterLines="20" w:after="48"/>
              <w:jc w:val="center"/>
              <w:rPr>
                <w:sz w:val="16"/>
                <w:szCs w:val="16"/>
                <w:lang w:eastAsia="en-US"/>
              </w:rPr>
            </w:pPr>
            <w:r w:rsidRPr="00961CB3">
              <w:rPr>
                <w:sz w:val="16"/>
                <w:szCs w:val="16"/>
                <w:lang w:eastAsia="en-US"/>
              </w:rPr>
              <w:t>2C</w:t>
            </w:r>
          </w:p>
        </w:tc>
        <w:tc>
          <w:tcPr>
            <w:tcW w:w="3828" w:type="dxa"/>
            <w:tcBorders>
              <w:bottom w:val="single" w:sz="4" w:space="0" w:color="auto"/>
            </w:tcBorders>
            <w:shd w:val="clear" w:color="auto" w:fill="auto"/>
            <w:vAlign w:val="bottom"/>
          </w:tcPr>
          <w:p w:rsidR="009B0266" w:rsidRPr="00961CB3" w:rsidRDefault="009B0266" w:rsidP="004F2B59">
            <w:pPr>
              <w:tabs>
                <w:tab w:val="left" w:pos="1877"/>
                <w:tab w:val="left" w:pos="2019"/>
              </w:tabs>
              <w:ind w:right="742"/>
              <w:jc w:val="right"/>
              <w:rPr>
                <w:rFonts w:eastAsiaTheme="minorHAnsi"/>
                <w:sz w:val="16"/>
                <w:szCs w:val="16"/>
                <w:lang w:eastAsia="en-US"/>
              </w:rPr>
            </w:pPr>
            <w:r w:rsidRPr="00961CB3">
              <w:rPr>
                <w:rFonts w:eastAsiaTheme="minorHAnsi"/>
                <w:sz w:val="16"/>
                <w:szCs w:val="16"/>
                <w:lang w:eastAsia="en-US"/>
              </w:rPr>
              <w:t>275 070,00</w:t>
            </w:r>
          </w:p>
        </w:tc>
      </w:tr>
      <w:tr w:rsidR="009B0266" w:rsidRPr="00961CB3" w:rsidTr="00D905DE">
        <w:tc>
          <w:tcPr>
            <w:tcW w:w="4300" w:type="dxa"/>
            <w:tcBorders>
              <w:bottom w:val="single" w:sz="4" w:space="0" w:color="auto"/>
            </w:tcBorders>
            <w:shd w:val="clear" w:color="auto" w:fill="auto"/>
            <w:vAlign w:val="center"/>
          </w:tcPr>
          <w:p w:rsidR="009B0266" w:rsidRPr="00961CB3" w:rsidRDefault="009B0266" w:rsidP="009B0266">
            <w:pPr>
              <w:spacing w:beforeLines="20" w:before="48" w:afterLines="20" w:after="48"/>
              <w:jc w:val="center"/>
              <w:rPr>
                <w:sz w:val="16"/>
                <w:szCs w:val="16"/>
                <w:lang w:eastAsia="en-US"/>
              </w:rPr>
            </w:pPr>
            <w:r w:rsidRPr="00961CB3">
              <w:rPr>
                <w:sz w:val="16"/>
                <w:szCs w:val="16"/>
                <w:lang w:eastAsia="en-US"/>
              </w:rPr>
              <w:t>59(3)(d) – bez výnimiek</w:t>
            </w:r>
          </w:p>
        </w:tc>
        <w:tc>
          <w:tcPr>
            <w:tcW w:w="4772" w:type="dxa"/>
            <w:tcBorders>
              <w:bottom w:val="single" w:sz="4" w:space="0" w:color="auto"/>
            </w:tcBorders>
            <w:shd w:val="clear" w:color="auto" w:fill="auto"/>
            <w:vAlign w:val="center"/>
          </w:tcPr>
          <w:p w:rsidR="009B0266" w:rsidRPr="00961CB3" w:rsidRDefault="009B0266" w:rsidP="009B0266">
            <w:pPr>
              <w:spacing w:beforeLines="20" w:before="48" w:afterLines="20" w:after="48"/>
              <w:jc w:val="center"/>
              <w:rPr>
                <w:sz w:val="16"/>
                <w:szCs w:val="16"/>
                <w:lang w:eastAsia="en-US"/>
              </w:rPr>
            </w:pPr>
            <w:r w:rsidRPr="00961CB3">
              <w:rPr>
                <w:sz w:val="16"/>
                <w:szCs w:val="16"/>
                <w:lang w:eastAsia="en-US"/>
              </w:rPr>
              <w:t>4</w:t>
            </w:r>
          </w:p>
        </w:tc>
        <w:tc>
          <w:tcPr>
            <w:tcW w:w="3828" w:type="dxa"/>
            <w:tcBorders>
              <w:bottom w:val="single" w:sz="4" w:space="0" w:color="auto"/>
            </w:tcBorders>
            <w:shd w:val="clear" w:color="auto" w:fill="auto"/>
            <w:vAlign w:val="bottom"/>
          </w:tcPr>
          <w:p w:rsidR="009B0266" w:rsidRPr="00961CB3" w:rsidRDefault="009B0266" w:rsidP="004F2B59">
            <w:pPr>
              <w:tabs>
                <w:tab w:val="left" w:pos="1877"/>
                <w:tab w:val="left" w:pos="2019"/>
              </w:tabs>
              <w:ind w:right="742"/>
              <w:jc w:val="right"/>
              <w:rPr>
                <w:rFonts w:eastAsiaTheme="minorHAnsi"/>
                <w:sz w:val="16"/>
                <w:szCs w:val="16"/>
                <w:lang w:eastAsia="en-US"/>
              </w:rPr>
            </w:pPr>
            <w:r w:rsidRPr="00961CB3">
              <w:rPr>
                <w:rFonts w:eastAsiaTheme="minorHAnsi"/>
                <w:sz w:val="16"/>
                <w:szCs w:val="16"/>
                <w:lang w:eastAsia="en-US"/>
              </w:rPr>
              <w:t>5 064 362,00</w:t>
            </w:r>
          </w:p>
        </w:tc>
      </w:tr>
      <w:tr w:rsidR="009B0266" w:rsidRPr="00961CB3" w:rsidTr="00D905DE">
        <w:tc>
          <w:tcPr>
            <w:tcW w:w="4300" w:type="dxa"/>
            <w:tcBorders>
              <w:bottom w:val="single" w:sz="4" w:space="0" w:color="auto"/>
            </w:tcBorders>
            <w:shd w:val="clear" w:color="auto" w:fill="auto"/>
            <w:vAlign w:val="center"/>
          </w:tcPr>
          <w:p w:rsidR="009B0266" w:rsidRPr="00961CB3" w:rsidRDefault="009B0266" w:rsidP="009B0266">
            <w:pPr>
              <w:spacing w:beforeLines="20" w:before="48" w:afterLines="20" w:after="48"/>
              <w:jc w:val="center"/>
              <w:rPr>
                <w:sz w:val="16"/>
                <w:szCs w:val="16"/>
                <w:lang w:eastAsia="en-US"/>
              </w:rPr>
            </w:pPr>
            <w:r w:rsidRPr="00961CB3">
              <w:rPr>
                <w:sz w:val="16"/>
                <w:szCs w:val="16"/>
                <w:lang w:eastAsia="en-US"/>
              </w:rPr>
              <w:t>59(3)(d) – bez výnimiek</w:t>
            </w:r>
          </w:p>
        </w:tc>
        <w:tc>
          <w:tcPr>
            <w:tcW w:w="4772" w:type="dxa"/>
            <w:tcBorders>
              <w:bottom w:val="single" w:sz="4" w:space="0" w:color="auto"/>
            </w:tcBorders>
            <w:shd w:val="clear" w:color="auto" w:fill="auto"/>
            <w:vAlign w:val="center"/>
          </w:tcPr>
          <w:p w:rsidR="009B0266" w:rsidRPr="00961CB3" w:rsidRDefault="009B0266" w:rsidP="009B0266">
            <w:pPr>
              <w:spacing w:beforeLines="20" w:before="48" w:afterLines="20" w:after="48"/>
              <w:jc w:val="center"/>
              <w:rPr>
                <w:sz w:val="16"/>
                <w:szCs w:val="16"/>
                <w:lang w:eastAsia="en-US"/>
              </w:rPr>
            </w:pPr>
            <w:r w:rsidRPr="00961CB3">
              <w:rPr>
                <w:sz w:val="16"/>
                <w:szCs w:val="16"/>
                <w:lang w:eastAsia="en-US"/>
              </w:rPr>
              <w:t>5C</w:t>
            </w:r>
          </w:p>
        </w:tc>
        <w:tc>
          <w:tcPr>
            <w:tcW w:w="3828" w:type="dxa"/>
            <w:tcBorders>
              <w:bottom w:val="single" w:sz="4" w:space="0" w:color="auto"/>
            </w:tcBorders>
            <w:shd w:val="clear" w:color="auto" w:fill="auto"/>
            <w:vAlign w:val="bottom"/>
          </w:tcPr>
          <w:p w:rsidR="009B0266" w:rsidRPr="00961CB3" w:rsidRDefault="009B0266" w:rsidP="004F2B59">
            <w:pPr>
              <w:tabs>
                <w:tab w:val="left" w:pos="1877"/>
                <w:tab w:val="left" w:pos="2019"/>
              </w:tabs>
              <w:ind w:right="742"/>
              <w:jc w:val="right"/>
              <w:rPr>
                <w:rFonts w:eastAsiaTheme="minorHAnsi"/>
                <w:sz w:val="16"/>
                <w:szCs w:val="16"/>
                <w:lang w:eastAsia="en-US"/>
              </w:rPr>
            </w:pPr>
            <w:r w:rsidRPr="00961CB3">
              <w:rPr>
                <w:rFonts w:eastAsiaTheme="minorHAnsi"/>
                <w:sz w:val="16"/>
                <w:szCs w:val="16"/>
                <w:lang w:eastAsia="en-US"/>
              </w:rPr>
              <w:t>79 500,00</w:t>
            </w:r>
          </w:p>
        </w:tc>
      </w:tr>
      <w:tr w:rsidR="009B0266" w:rsidRPr="00961CB3" w:rsidTr="00D905DE">
        <w:tc>
          <w:tcPr>
            <w:tcW w:w="9072" w:type="dxa"/>
            <w:gridSpan w:val="2"/>
            <w:tcBorders>
              <w:bottom w:val="single" w:sz="4" w:space="0" w:color="auto"/>
            </w:tcBorders>
            <w:shd w:val="clear" w:color="auto" w:fill="DAEEF3" w:themeFill="accent5" w:themeFillTint="33"/>
            <w:vAlign w:val="center"/>
          </w:tcPr>
          <w:p w:rsidR="009B0266" w:rsidRPr="00961CB3" w:rsidRDefault="009B0266" w:rsidP="009B0266">
            <w:pPr>
              <w:spacing w:beforeLines="20" w:before="48" w:afterLines="20" w:after="48"/>
              <w:jc w:val="center"/>
              <w:rPr>
                <w:b/>
                <w:color w:val="8064A2"/>
                <w:sz w:val="20"/>
                <w:szCs w:val="20"/>
                <w:lang w:eastAsia="en-US"/>
              </w:rPr>
            </w:pPr>
            <w:r w:rsidRPr="00961CB3">
              <w:rPr>
                <w:b/>
                <w:sz w:val="20"/>
                <w:szCs w:val="20"/>
                <w:lang w:eastAsia="en-US"/>
              </w:rPr>
              <w:t xml:space="preserve">Celkovo opatrenie </w:t>
            </w:r>
            <w:r w:rsidR="00961CB3">
              <w:rPr>
                <w:b/>
                <w:sz w:val="20"/>
                <w:szCs w:val="20"/>
                <w:lang w:eastAsia="en-US"/>
              </w:rPr>
              <w:t>8 (</w:t>
            </w:r>
            <w:r w:rsidRPr="00961CB3">
              <w:rPr>
                <w:b/>
                <w:sz w:val="20"/>
                <w:szCs w:val="20"/>
                <w:lang w:eastAsia="en-US"/>
              </w:rPr>
              <w:t>čl. 21</w:t>
            </w:r>
            <w:r w:rsidR="00961CB3">
              <w:rPr>
                <w:b/>
                <w:sz w:val="20"/>
                <w:szCs w:val="20"/>
                <w:lang w:eastAsia="en-US"/>
              </w:rPr>
              <w:t>)</w:t>
            </w:r>
            <w:r w:rsidRPr="00961CB3">
              <w:rPr>
                <w:b/>
                <w:sz w:val="20"/>
                <w:szCs w:val="20"/>
                <w:lang w:eastAsia="en-US"/>
              </w:rPr>
              <w:t xml:space="preserve"> – Investície do rozvoja lesných oblastí a zlepšenia životaschopnosti lesov</w:t>
            </w:r>
          </w:p>
        </w:tc>
        <w:tc>
          <w:tcPr>
            <w:tcW w:w="3828" w:type="dxa"/>
            <w:tcBorders>
              <w:bottom w:val="single" w:sz="4" w:space="0" w:color="auto"/>
            </w:tcBorders>
            <w:shd w:val="clear" w:color="auto" w:fill="DAEEF3" w:themeFill="accent5" w:themeFillTint="33"/>
            <w:vAlign w:val="center"/>
          </w:tcPr>
          <w:p w:rsidR="009B0266" w:rsidRPr="00961CB3" w:rsidRDefault="009B0266" w:rsidP="004F2B59">
            <w:pPr>
              <w:tabs>
                <w:tab w:val="left" w:pos="1877"/>
                <w:tab w:val="left" w:pos="2019"/>
              </w:tabs>
              <w:ind w:right="742"/>
              <w:jc w:val="right"/>
              <w:rPr>
                <w:rFonts w:eastAsiaTheme="minorHAnsi"/>
                <w:b/>
                <w:sz w:val="20"/>
                <w:szCs w:val="20"/>
                <w:lang w:eastAsia="en-US"/>
              </w:rPr>
            </w:pPr>
            <w:r w:rsidRPr="00961CB3">
              <w:rPr>
                <w:rFonts w:eastAsiaTheme="minorHAnsi"/>
                <w:b/>
                <w:sz w:val="20"/>
                <w:szCs w:val="20"/>
                <w:lang w:eastAsia="en-US"/>
              </w:rPr>
              <w:t>79 725 632,00</w:t>
            </w:r>
          </w:p>
        </w:tc>
      </w:tr>
    </w:tbl>
    <w:p w:rsidR="009B0266" w:rsidRPr="00961CB3" w:rsidRDefault="009B0266" w:rsidP="009B0266">
      <w:pPr>
        <w:keepNext/>
        <w:spacing w:after="80"/>
        <w:outlineLvl w:val="1"/>
        <w:rPr>
          <w:rFonts w:eastAsia="Calibri"/>
          <w:b/>
          <w:sz w:val="16"/>
          <w:szCs w:val="16"/>
          <w:lang w:eastAsia="ja-JP"/>
        </w:rPr>
      </w:pPr>
    </w:p>
    <w:tbl>
      <w:tblPr>
        <w:tblW w:w="1290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00"/>
        <w:gridCol w:w="4772"/>
        <w:gridCol w:w="3828"/>
      </w:tblGrid>
      <w:tr w:rsidR="009B0266" w:rsidRPr="00961CB3" w:rsidTr="00D905DE">
        <w:tc>
          <w:tcPr>
            <w:tcW w:w="4300" w:type="dxa"/>
            <w:tcBorders>
              <w:bottom w:val="single" w:sz="4" w:space="0" w:color="auto"/>
            </w:tcBorders>
            <w:shd w:val="clear" w:color="auto" w:fill="F2F2F2"/>
            <w:vAlign w:val="center"/>
          </w:tcPr>
          <w:p w:rsidR="009B0266" w:rsidRPr="00961CB3" w:rsidRDefault="009B0266" w:rsidP="009B0266">
            <w:pPr>
              <w:tabs>
                <w:tab w:val="left" w:pos="1185"/>
              </w:tabs>
              <w:spacing w:beforeLines="20" w:before="48" w:afterLines="20" w:after="48"/>
              <w:jc w:val="center"/>
              <w:rPr>
                <w:b/>
                <w:sz w:val="16"/>
                <w:szCs w:val="16"/>
                <w:lang w:eastAsia="en-US"/>
              </w:rPr>
            </w:pPr>
            <w:r w:rsidRPr="00961CB3">
              <w:rPr>
                <w:b/>
                <w:sz w:val="16"/>
                <w:szCs w:val="16"/>
                <w:lang w:eastAsia="en-US"/>
              </w:rPr>
              <w:t>Miera príspevku EPFRV</w:t>
            </w:r>
          </w:p>
        </w:tc>
        <w:tc>
          <w:tcPr>
            <w:tcW w:w="4772" w:type="dxa"/>
            <w:tcBorders>
              <w:bottom w:val="single" w:sz="4" w:space="0" w:color="auto"/>
            </w:tcBorders>
            <w:shd w:val="clear" w:color="auto" w:fill="F2F2F2"/>
            <w:vAlign w:val="center"/>
          </w:tcPr>
          <w:p w:rsidR="009B0266" w:rsidRPr="00961CB3" w:rsidRDefault="009B0266" w:rsidP="009B0266">
            <w:pPr>
              <w:tabs>
                <w:tab w:val="left" w:pos="1185"/>
              </w:tabs>
              <w:spacing w:beforeLines="20" w:before="48" w:afterLines="20" w:after="48"/>
              <w:jc w:val="center"/>
              <w:rPr>
                <w:b/>
                <w:sz w:val="16"/>
                <w:szCs w:val="16"/>
                <w:lang w:eastAsia="en-US"/>
              </w:rPr>
            </w:pPr>
            <w:r w:rsidRPr="00961CB3">
              <w:rPr>
                <w:b/>
                <w:sz w:val="16"/>
                <w:szCs w:val="16"/>
                <w:lang w:eastAsia="en-US"/>
              </w:rPr>
              <w:t>Fokusová oblasť</w:t>
            </w:r>
          </w:p>
        </w:tc>
        <w:tc>
          <w:tcPr>
            <w:tcW w:w="3828" w:type="dxa"/>
            <w:tcBorders>
              <w:bottom w:val="single" w:sz="4" w:space="0" w:color="auto"/>
            </w:tcBorders>
            <w:shd w:val="clear" w:color="auto" w:fill="F2F2F2"/>
            <w:vAlign w:val="center"/>
          </w:tcPr>
          <w:p w:rsidR="009B0266" w:rsidRPr="00961CB3" w:rsidRDefault="009B0266" w:rsidP="009B0266">
            <w:pPr>
              <w:tabs>
                <w:tab w:val="left" w:pos="1185"/>
              </w:tabs>
              <w:spacing w:beforeLines="20" w:before="48" w:afterLines="20" w:after="48"/>
              <w:jc w:val="center"/>
              <w:rPr>
                <w:b/>
                <w:sz w:val="16"/>
                <w:szCs w:val="16"/>
                <w:lang w:eastAsia="en-US"/>
              </w:rPr>
            </w:pPr>
            <w:r w:rsidRPr="00961CB3">
              <w:rPr>
                <w:b/>
                <w:sz w:val="16"/>
                <w:szCs w:val="16"/>
                <w:lang w:eastAsia="en-US"/>
              </w:rPr>
              <w:t>Celkový príspevok EPFRV</w:t>
            </w:r>
          </w:p>
        </w:tc>
      </w:tr>
      <w:tr w:rsidR="009B0266" w:rsidRPr="00961CB3" w:rsidTr="00D905DE">
        <w:tc>
          <w:tcPr>
            <w:tcW w:w="4300" w:type="dxa"/>
            <w:tcBorders>
              <w:bottom w:val="single" w:sz="4" w:space="0" w:color="auto"/>
            </w:tcBorders>
            <w:shd w:val="clear" w:color="auto" w:fill="auto"/>
            <w:vAlign w:val="center"/>
          </w:tcPr>
          <w:p w:rsidR="009B0266" w:rsidRPr="00961CB3" w:rsidRDefault="009B0266" w:rsidP="009B0266">
            <w:pPr>
              <w:spacing w:beforeLines="20" w:before="48" w:afterLines="20" w:after="48"/>
              <w:jc w:val="center"/>
              <w:rPr>
                <w:sz w:val="16"/>
                <w:szCs w:val="16"/>
                <w:lang w:eastAsia="en-US"/>
              </w:rPr>
            </w:pPr>
            <w:r w:rsidRPr="00961CB3">
              <w:rPr>
                <w:sz w:val="16"/>
                <w:szCs w:val="16"/>
                <w:lang w:eastAsia="en-US"/>
              </w:rPr>
              <w:t>59(3)(a) – bez výnimiek</w:t>
            </w:r>
          </w:p>
        </w:tc>
        <w:tc>
          <w:tcPr>
            <w:tcW w:w="4772" w:type="dxa"/>
            <w:tcBorders>
              <w:bottom w:val="single" w:sz="4" w:space="0" w:color="auto"/>
            </w:tcBorders>
            <w:shd w:val="clear" w:color="auto" w:fill="auto"/>
            <w:vAlign w:val="center"/>
          </w:tcPr>
          <w:p w:rsidR="009B0266" w:rsidRPr="00961CB3" w:rsidRDefault="009B0266" w:rsidP="009B0266">
            <w:pPr>
              <w:spacing w:beforeLines="20" w:before="48" w:afterLines="20" w:after="48"/>
              <w:jc w:val="center"/>
              <w:rPr>
                <w:sz w:val="16"/>
                <w:szCs w:val="16"/>
                <w:lang w:eastAsia="en-US"/>
              </w:rPr>
            </w:pPr>
            <w:r w:rsidRPr="00961CB3">
              <w:rPr>
                <w:sz w:val="16"/>
                <w:szCs w:val="16"/>
                <w:lang w:eastAsia="en-US"/>
              </w:rPr>
              <w:t>3A</w:t>
            </w:r>
          </w:p>
        </w:tc>
        <w:tc>
          <w:tcPr>
            <w:tcW w:w="3828" w:type="dxa"/>
            <w:tcBorders>
              <w:bottom w:val="single" w:sz="4" w:space="0" w:color="auto"/>
            </w:tcBorders>
            <w:shd w:val="clear" w:color="auto" w:fill="auto"/>
            <w:vAlign w:val="center"/>
          </w:tcPr>
          <w:p w:rsidR="009B0266" w:rsidRPr="00961CB3" w:rsidRDefault="009B0266" w:rsidP="004F2B59">
            <w:pPr>
              <w:tabs>
                <w:tab w:val="left" w:pos="1877"/>
                <w:tab w:val="left" w:pos="2019"/>
              </w:tabs>
              <w:ind w:right="742"/>
              <w:jc w:val="right"/>
              <w:rPr>
                <w:rFonts w:eastAsiaTheme="minorHAnsi"/>
                <w:sz w:val="16"/>
                <w:szCs w:val="16"/>
                <w:lang w:eastAsia="en-US"/>
              </w:rPr>
            </w:pPr>
            <w:r w:rsidRPr="00961CB3">
              <w:rPr>
                <w:rFonts w:eastAsiaTheme="minorHAnsi"/>
                <w:sz w:val="16"/>
                <w:szCs w:val="16"/>
                <w:lang w:eastAsia="en-US"/>
              </w:rPr>
              <w:t>7 200 000,00</w:t>
            </w:r>
          </w:p>
        </w:tc>
      </w:tr>
      <w:tr w:rsidR="009B0266" w:rsidRPr="00961CB3" w:rsidTr="00D905DE">
        <w:tc>
          <w:tcPr>
            <w:tcW w:w="4300" w:type="dxa"/>
            <w:tcBorders>
              <w:bottom w:val="single" w:sz="4" w:space="0" w:color="auto"/>
            </w:tcBorders>
            <w:shd w:val="clear" w:color="auto" w:fill="auto"/>
            <w:vAlign w:val="center"/>
          </w:tcPr>
          <w:p w:rsidR="009B0266" w:rsidRPr="00961CB3" w:rsidRDefault="009B0266" w:rsidP="009B0266">
            <w:pPr>
              <w:spacing w:beforeLines="20" w:before="48" w:afterLines="20" w:after="48"/>
              <w:jc w:val="center"/>
              <w:rPr>
                <w:sz w:val="16"/>
                <w:szCs w:val="16"/>
                <w:lang w:eastAsia="en-US"/>
              </w:rPr>
            </w:pPr>
            <w:r w:rsidRPr="00961CB3">
              <w:rPr>
                <w:sz w:val="16"/>
                <w:szCs w:val="16"/>
                <w:lang w:eastAsia="en-US"/>
              </w:rPr>
              <w:t>59(3)(d) – bez výnimiek</w:t>
            </w:r>
          </w:p>
        </w:tc>
        <w:tc>
          <w:tcPr>
            <w:tcW w:w="4772" w:type="dxa"/>
            <w:tcBorders>
              <w:bottom w:val="single" w:sz="4" w:space="0" w:color="auto"/>
            </w:tcBorders>
            <w:shd w:val="clear" w:color="auto" w:fill="auto"/>
            <w:vAlign w:val="center"/>
          </w:tcPr>
          <w:p w:rsidR="009B0266" w:rsidRPr="00961CB3" w:rsidRDefault="009B0266" w:rsidP="009B0266">
            <w:pPr>
              <w:spacing w:beforeLines="20" w:before="48" w:afterLines="20" w:after="48"/>
              <w:jc w:val="center"/>
              <w:rPr>
                <w:sz w:val="16"/>
                <w:szCs w:val="16"/>
                <w:lang w:eastAsia="en-US"/>
              </w:rPr>
            </w:pPr>
            <w:r w:rsidRPr="00961CB3">
              <w:rPr>
                <w:sz w:val="16"/>
                <w:szCs w:val="16"/>
                <w:lang w:eastAsia="en-US"/>
              </w:rPr>
              <w:t>3A</w:t>
            </w:r>
          </w:p>
        </w:tc>
        <w:tc>
          <w:tcPr>
            <w:tcW w:w="3828" w:type="dxa"/>
            <w:tcBorders>
              <w:bottom w:val="single" w:sz="4" w:space="0" w:color="auto"/>
            </w:tcBorders>
            <w:shd w:val="clear" w:color="auto" w:fill="auto"/>
            <w:vAlign w:val="center"/>
          </w:tcPr>
          <w:p w:rsidR="009B0266" w:rsidRPr="00961CB3" w:rsidRDefault="009B0266" w:rsidP="004F2B59">
            <w:pPr>
              <w:tabs>
                <w:tab w:val="left" w:pos="1877"/>
                <w:tab w:val="left" w:pos="2019"/>
              </w:tabs>
              <w:ind w:right="742"/>
              <w:jc w:val="right"/>
              <w:rPr>
                <w:rFonts w:eastAsiaTheme="minorHAnsi"/>
                <w:sz w:val="16"/>
                <w:szCs w:val="16"/>
                <w:lang w:eastAsia="en-US"/>
              </w:rPr>
            </w:pPr>
            <w:r w:rsidRPr="00961CB3">
              <w:rPr>
                <w:rFonts w:eastAsiaTheme="minorHAnsi"/>
                <w:sz w:val="16"/>
                <w:szCs w:val="16"/>
                <w:lang w:eastAsia="en-US"/>
              </w:rPr>
              <w:t>212 000,00</w:t>
            </w:r>
          </w:p>
        </w:tc>
      </w:tr>
      <w:tr w:rsidR="009B0266" w:rsidRPr="00961CB3" w:rsidTr="00D905DE">
        <w:tc>
          <w:tcPr>
            <w:tcW w:w="9072" w:type="dxa"/>
            <w:gridSpan w:val="2"/>
            <w:tcBorders>
              <w:bottom w:val="single" w:sz="4" w:space="0" w:color="auto"/>
            </w:tcBorders>
            <w:shd w:val="clear" w:color="auto" w:fill="DAEEF3" w:themeFill="accent5" w:themeFillTint="33"/>
            <w:vAlign w:val="center"/>
          </w:tcPr>
          <w:p w:rsidR="009B0266" w:rsidRPr="00961CB3" w:rsidRDefault="009B0266" w:rsidP="00961CB3">
            <w:pPr>
              <w:spacing w:beforeLines="20" w:before="48" w:afterLines="20" w:after="48"/>
              <w:jc w:val="left"/>
              <w:rPr>
                <w:b/>
                <w:color w:val="8064A2"/>
                <w:sz w:val="20"/>
                <w:szCs w:val="20"/>
                <w:lang w:eastAsia="en-US"/>
              </w:rPr>
            </w:pPr>
            <w:r w:rsidRPr="00961CB3">
              <w:rPr>
                <w:b/>
                <w:sz w:val="20"/>
                <w:szCs w:val="20"/>
                <w:lang w:eastAsia="en-US"/>
              </w:rPr>
              <w:t xml:space="preserve">Celkovo opatrenie </w:t>
            </w:r>
            <w:r w:rsidR="00961CB3">
              <w:rPr>
                <w:b/>
                <w:sz w:val="20"/>
                <w:szCs w:val="20"/>
                <w:lang w:eastAsia="en-US"/>
              </w:rPr>
              <w:t>9 (</w:t>
            </w:r>
            <w:r w:rsidRPr="00961CB3">
              <w:rPr>
                <w:b/>
                <w:sz w:val="20"/>
                <w:szCs w:val="20"/>
                <w:lang w:eastAsia="en-US"/>
              </w:rPr>
              <w:t>čl. 27</w:t>
            </w:r>
            <w:r w:rsidR="00961CB3">
              <w:rPr>
                <w:b/>
                <w:sz w:val="20"/>
                <w:szCs w:val="20"/>
                <w:lang w:eastAsia="en-US"/>
              </w:rPr>
              <w:t>)</w:t>
            </w:r>
            <w:r w:rsidRPr="00961CB3">
              <w:rPr>
                <w:b/>
                <w:sz w:val="20"/>
                <w:szCs w:val="20"/>
                <w:lang w:eastAsia="en-US"/>
              </w:rPr>
              <w:t xml:space="preserve"> – Zakladanie skupín a organizácií výrobcov</w:t>
            </w:r>
          </w:p>
        </w:tc>
        <w:tc>
          <w:tcPr>
            <w:tcW w:w="3828" w:type="dxa"/>
            <w:tcBorders>
              <w:bottom w:val="single" w:sz="4" w:space="0" w:color="auto"/>
            </w:tcBorders>
            <w:shd w:val="clear" w:color="auto" w:fill="DAEEF3" w:themeFill="accent5" w:themeFillTint="33"/>
            <w:vAlign w:val="center"/>
          </w:tcPr>
          <w:p w:rsidR="009B0266" w:rsidRPr="004F2B59" w:rsidRDefault="009B0266" w:rsidP="004F2B59">
            <w:pPr>
              <w:tabs>
                <w:tab w:val="left" w:pos="1877"/>
                <w:tab w:val="left" w:pos="2019"/>
              </w:tabs>
              <w:ind w:right="742"/>
              <w:jc w:val="right"/>
              <w:rPr>
                <w:rFonts w:eastAsiaTheme="minorHAnsi"/>
                <w:b/>
                <w:sz w:val="20"/>
                <w:szCs w:val="20"/>
                <w:lang w:eastAsia="en-US"/>
              </w:rPr>
            </w:pPr>
            <w:r w:rsidRPr="00961CB3">
              <w:rPr>
                <w:rFonts w:eastAsiaTheme="minorHAnsi"/>
                <w:b/>
                <w:sz w:val="20"/>
                <w:szCs w:val="20"/>
                <w:lang w:eastAsia="en-US"/>
              </w:rPr>
              <w:t>7 412 000,00</w:t>
            </w:r>
          </w:p>
        </w:tc>
      </w:tr>
    </w:tbl>
    <w:p w:rsidR="009B0266" w:rsidRPr="00961CB3" w:rsidRDefault="009B0266" w:rsidP="009B0266">
      <w:pPr>
        <w:keepNext/>
        <w:spacing w:after="80"/>
        <w:outlineLvl w:val="1"/>
        <w:rPr>
          <w:rFonts w:eastAsia="Calibri"/>
          <w:b/>
          <w:sz w:val="16"/>
          <w:szCs w:val="16"/>
          <w:lang w:eastAsia="ja-JP"/>
        </w:rPr>
      </w:pPr>
    </w:p>
    <w:tbl>
      <w:tblPr>
        <w:tblW w:w="1290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00"/>
        <w:gridCol w:w="4772"/>
        <w:gridCol w:w="3828"/>
      </w:tblGrid>
      <w:tr w:rsidR="009B0266" w:rsidRPr="00961CB3" w:rsidTr="00D905DE">
        <w:tc>
          <w:tcPr>
            <w:tcW w:w="4300" w:type="dxa"/>
            <w:tcBorders>
              <w:bottom w:val="single" w:sz="4" w:space="0" w:color="auto"/>
            </w:tcBorders>
            <w:shd w:val="clear" w:color="auto" w:fill="F2F2F2"/>
            <w:vAlign w:val="center"/>
          </w:tcPr>
          <w:p w:rsidR="009B0266" w:rsidRPr="00961CB3" w:rsidRDefault="009B0266" w:rsidP="009B0266">
            <w:pPr>
              <w:tabs>
                <w:tab w:val="left" w:pos="1185"/>
              </w:tabs>
              <w:spacing w:beforeLines="20" w:before="48" w:afterLines="20" w:after="48"/>
              <w:jc w:val="center"/>
              <w:rPr>
                <w:b/>
                <w:sz w:val="16"/>
                <w:szCs w:val="16"/>
                <w:lang w:eastAsia="en-US"/>
              </w:rPr>
            </w:pPr>
            <w:r w:rsidRPr="00961CB3">
              <w:rPr>
                <w:b/>
                <w:sz w:val="16"/>
                <w:szCs w:val="16"/>
                <w:lang w:eastAsia="en-US"/>
              </w:rPr>
              <w:t>Miera príspevku EPFRV</w:t>
            </w:r>
          </w:p>
        </w:tc>
        <w:tc>
          <w:tcPr>
            <w:tcW w:w="4772" w:type="dxa"/>
            <w:tcBorders>
              <w:bottom w:val="single" w:sz="4" w:space="0" w:color="auto"/>
            </w:tcBorders>
            <w:shd w:val="clear" w:color="auto" w:fill="F2F2F2"/>
            <w:vAlign w:val="center"/>
          </w:tcPr>
          <w:p w:rsidR="009B0266" w:rsidRPr="00961CB3" w:rsidRDefault="009B0266" w:rsidP="009B0266">
            <w:pPr>
              <w:tabs>
                <w:tab w:val="left" w:pos="1185"/>
              </w:tabs>
              <w:spacing w:beforeLines="20" w:before="48" w:afterLines="20" w:after="48"/>
              <w:jc w:val="center"/>
              <w:rPr>
                <w:b/>
                <w:sz w:val="16"/>
                <w:szCs w:val="16"/>
                <w:lang w:eastAsia="en-US"/>
              </w:rPr>
            </w:pPr>
            <w:r w:rsidRPr="00961CB3">
              <w:rPr>
                <w:b/>
                <w:sz w:val="16"/>
                <w:szCs w:val="16"/>
                <w:lang w:eastAsia="en-US"/>
              </w:rPr>
              <w:t>Fokusová oblasť</w:t>
            </w:r>
          </w:p>
        </w:tc>
        <w:tc>
          <w:tcPr>
            <w:tcW w:w="3828" w:type="dxa"/>
            <w:tcBorders>
              <w:bottom w:val="single" w:sz="4" w:space="0" w:color="auto"/>
            </w:tcBorders>
            <w:shd w:val="clear" w:color="auto" w:fill="F2F2F2"/>
            <w:vAlign w:val="center"/>
          </w:tcPr>
          <w:p w:rsidR="009B0266" w:rsidRPr="00961CB3" w:rsidRDefault="009B0266" w:rsidP="009B0266">
            <w:pPr>
              <w:tabs>
                <w:tab w:val="left" w:pos="1185"/>
              </w:tabs>
              <w:spacing w:beforeLines="20" w:before="48" w:afterLines="20" w:after="48"/>
              <w:jc w:val="center"/>
              <w:rPr>
                <w:b/>
                <w:sz w:val="16"/>
                <w:szCs w:val="16"/>
                <w:lang w:eastAsia="en-US"/>
              </w:rPr>
            </w:pPr>
            <w:r w:rsidRPr="00961CB3">
              <w:rPr>
                <w:b/>
                <w:sz w:val="16"/>
                <w:szCs w:val="16"/>
                <w:lang w:eastAsia="en-US"/>
              </w:rPr>
              <w:t>Celkový príspevok EPFRV</w:t>
            </w:r>
          </w:p>
        </w:tc>
      </w:tr>
      <w:tr w:rsidR="009B0266" w:rsidRPr="00961CB3" w:rsidTr="00D905DE">
        <w:tc>
          <w:tcPr>
            <w:tcW w:w="4300" w:type="dxa"/>
            <w:tcBorders>
              <w:bottom w:val="single" w:sz="4" w:space="0" w:color="auto"/>
            </w:tcBorders>
            <w:shd w:val="clear" w:color="auto" w:fill="auto"/>
            <w:vAlign w:val="center"/>
          </w:tcPr>
          <w:p w:rsidR="009B0266" w:rsidRPr="00961CB3" w:rsidRDefault="009B0266" w:rsidP="009B0266">
            <w:pPr>
              <w:spacing w:beforeLines="20" w:before="48" w:afterLines="20" w:after="48"/>
              <w:jc w:val="center"/>
              <w:rPr>
                <w:sz w:val="16"/>
                <w:szCs w:val="16"/>
                <w:lang w:eastAsia="en-US"/>
              </w:rPr>
            </w:pPr>
            <w:r w:rsidRPr="00961CB3">
              <w:rPr>
                <w:sz w:val="16"/>
                <w:szCs w:val="16"/>
                <w:lang w:eastAsia="en-US"/>
              </w:rPr>
              <w:t>59(3)(a) – bez výnimiek</w:t>
            </w:r>
          </w:p>
        </w:tc>
        <w:tc>
          <w:tcPr>
            <w:tcW w:w="4772" w:type="dxa"/>
            <w:tcBorders>
              <w:bottom w:val="single" w:sz="4" w:space="0" w:color="auto"/>
            </w:tcBorders>
            <w:shd w:val="clear" w:color="auto" w:fill="auto"/>
            <w:vAlign w:val="center"/>
          </w:tcPr>
          <w:p w:rsidR="009B0266" w:rsidRPr="00961CB3" w:rsidRDefault="009B0266" w:rsidP="009B0266">
            <w:pPr>
              <w:spacing w:beforeLines="20" w:before="48" w:afterLines="20" w:after="48"/>
              <w:jc w:val="center"/>
              <w:rPr>
                <w:sz w:val="16"/>
                <w:szCs w:val="16"/>
                <w:lang w:eastAsia="en-US"/>
              </w:rPr>
            </w:pPr>
            <w:r w:rsidRPr="00961CB3">
              <w:rPr>
                <w:sz w:val="16"/>
                <w:szCs w:val="16"/>
                <w:lang w:eastAsia="en-US"/>
              </w:rPr>
              <w:t>4</w:t>
            </w:r>
          </w:p>
        </w:tc>
        <w:tc>
          <w:tcPr>
            <w:tcW w:w="3828" w:type="dxa"/>
            <w:tcBorders>
              <w:bottom w:val="single" w:sz="4" w:space="0" w:color="auto"/>
            </w:tcBorders>
            <w:shd w:val="clear" w:color="auto" w:fill="auto"/>
            <w:vAlign w:val="center"/>
          </w:tcPr>
          <w:p w:rsidR="009B0266" w:rsidRPr="00961CB3" w:rsidRDefault="009B0266" w:rsidP="004F2B59">
            <w:pPr>
              <w:tabs>
                <w:tab w:val="left" w:pos="1877"/>
                <w:tab w:val="left" w:pos="2019"/>
              </w:tabs>
              <w:ind w:right="742"/>
              <w:jc w:val="right"/>
              <w:rPr>
                <w:rFonts w:eastAsiaTheme="minorHAnsi"/>
                <w:sz w:val="16"/>
                <w:szCs w:val="16"/>
                <w:lang w:eastAsia="en-US"/>
              </w:rPr>
            </w:pPr>
            <w:r w:rsidRPr="00961CB3">
              <w:rPr>
                <w:rFonts w:eastAsiaTheme="minorHAnsi"/>
                <w:sz w:val="16"/>
                <w:szCs w:val="16"/>
                <w:lang w:eastAsia="en-US"/>
              </w:rPr>
              <w:t>104 132 175,00</w:t>
            </w:r>
          </w:p>
        </w:tc>
      </w:tr>
      <w:tr w:rsidR="009B0266" w:rsidRPr="00961CB3" w:rsidTr="00D905DE">
        <w:tc>
          <w:tcPr>
            <w:tcW w:w="4300" w:type="dxa"/>
            <w:tcBorders>
              <w:bottom w:val="single" w:sz="4" w:space="0" w:color="auto"/>
            </w:tcBorders>
            <w:shd w:val="clear" w:color="auto" w:fill="auto"/>
            <w:vAlign w:val="center"/>
          </w:tcPr>
          <w:p w:rsidR="009B0266" w:rsidRPr="00961CB3" w:rsidRDefault="009B0266" w:rsidP="009B0266">
            <w:pPr>
              <w:spacing w:beforeLines="20" w:before="48" w:afterLines="20" w:after="48"/>
              <w:jc w:val="center"/>
              <w:rPr>
                <w:sz w:val="16"/>
                <w:szCs w:val="16"/>
                <w:lang w:eastAsia="en-US"/>
              </w:rPr>
            </w:pPr>
            <w:r w:rsidRPr="00961CB3">
              <w:rPr>
                <w:sz w:val="16"/>
                <w:szCs w:val="16"/>
                <w:lang w:eastAsia="en-US"/>
              </w:rPr>
              <w:t>59(3)(d) – bez výnimiek</w:t>
            </w:r>
          </w:p>
        </w:tc>
        <w:tc>
          <w:tcPr>
            <w:tcW w:w="4772" w:type="dxa"/>
            <w:tcBorders>
              <w:bottom w:val="single" w:sz="4" w:space="0" w:color="auto"/>
            </w:tcBorders>
            <w:shd w:val="clear" w:color="auto" w:fill="auto"/>
            <w:vAlign w:val="center"/>
          </w:tcPr>
          <w:p w:rsidR="009B0266" w:rsidRPr="00961CB3" w:rsidRDefault="009B0266" w:rsidP="009B0266">
            <w:pPr>
              <w:spacing w:beforeLines="20" w:before="48" w:afterLines="20" w:after="48"/>
              <w:jc w:val="center"/>
              <w:rPr>
                <w:sz w:val="16"/>
                <w:szCs w:val="16"/>
                <w:lang w:eastAsia="en-US"/>
              </w:rPr>
            </w:pPr>
            <w:r w:rsidRPr="00961CB3">
              <w:rPr>
                <w:sz w:val="16"/>
                <w:szCs w:val="16"/>
                <w:lang w:eastAsia="en-US"/>
              </w:rPr>
              <w:t>4</w:t>
            </w:r>
          </w:p>
        </w:tc>
        <w:tc>
          <w:tcPr>
            <w:tcW w:w="3828" w:type="dxa"/>
            <w:tcBorders>
              <w:bottom w:val="single" w:sz="4" w:space="0" w:color="auto"/>
            </w:tcBorders>
            <w:shd w:val="clear" w:color="auto" w:fill="auto"/>
            <w:vAlign w:val="center"/>
          </w:tcPr>
          <w:p w:rsidR="009B0266" w:rsidRPr="00961CB3" w:rsidRDefault="009B0266" w:rsidP="004F2B59">
            <w:pPr>
              <w:tabs>
                <w:tab w:val="left" w:pos="1877"/>
                <w:tab w:val="left" w:pos="2019"/>
              </w:tabs>
              <w:ind w:right="742"/>
              <w:jc w:val="right"/>
              <w:rPr>
                <w:rFonts w:eastAsiaTheme="minorHAnsi"/>
                <w:sz w:val="16"/>
                <w:szCs w:val="16"/>
                <w:lang w:eastAsia="en-US"/>
              </w:rPr>
            </w:pPr>
            <w:r w:rsidRPr="00961CB3">
              <w:rPr>
                <w:rFonts w:eastAsiaTheme="minorHAnsi"/>
                <w:sz w:val="16"/>
                <w:szCs w:val="16"/>
                <w:lang w:eastAsia="en-US"/>
              </w:rPr>
              <w:t>2 600 763,00</w:t>
            </w:r>
          </w:p>
        </w:tc>
      </w:tr>
      <w:tr w:rsidR="009B0266" w:rsidRPr="00961CB3" w:rsidTr="00D905DE">
        <w:tc>
          <w:tcPr>
            <w:tcW w:w="9072" w:type="dxa"/>
            <w:gridSpan w:val="2"/>
            <w:tcBorders>
              <w:bottom w:val="single" w:sz="4" w:space="0" w:color="auto"/>
            </w:tcBorders>
            <w:shd w:val="clear" w:color="auto" w:fill="DAEEF3" w:themeFill="accent5" w:themeFillTint="33"/>
            <w:vAlign w:val="center"/>
          </w:tcPr>
          <w:p w:rsidR="009B0266" w:rsidRPr="00961CB3" w:rsidRDefault="009B0266" w:rsidP="00961CB3">
            <w:pPr>
              <w:spacing w:beforeLines="20" w:before="48" w:afterLines="20" w:after="48"/>
              <w:jc w:val="left"/>
              <w:rPr>
                <w:b/>
                <w:color w:val="8064A2"/>
                <w:sz w:val="20"/>
                <w:szCs w:val="20"/>
                <w:lang w:eastAsia="en-US"/>
              </w:rPr>
            </w:pPr>
            <w:r w:rsidRPr="00961CB3">
              <w:rPr>
                <w:b/>
                <w:sz w:val="20"/>
                <w:szCs w:val="20"/>
                <w:lang w:eastAsia="en-US"/>
              </w:rPr>
              <w:t>Celkovo opatrenie</w:t>
            </w:r>
            <w:r w:rsidR="00961CB3">
              <w:rPr>
                <w:b/>
                <w:sz w:val="20"/>
                <w:szCs w:val="20"/>
                <w:lang w:eastAsia="en-US"/>
              </w:rPr>
              <w:t xml:space="preserve"> 10 (</w:t>
            </w:r>
            <w:r w:rsidRPr="00961CB3">
              <w:rPr>
                <w:b/>
                <w:sz w:val="20"/>
                <w:szCs w:val="20"/>
                <w:lang w:eastAsia="en-US"/>
              </w:rPr>
              <w:t>čl. 28</w:t>
            </w:r>
            <w:r w:rsidR="00961CB3">
              <w:rPr>
                <w:b/>
                <w:sz w:val="20"/>
                <w:szCs w:val="20"/>
                <w:lang w:eastAsia="en-US"/>
              </w:rPr>
              <w:t>)</w:t>
            </w:r>
            <w:r w:rsidRPr="00961CB3">
              <w:rPr>
                <w:b/>
                <w:sz w:val="20"/>
                <w:szCs w:val="20"/>
                <w:lang w:eastAsia="en-US"/>
              </w:rPr>
              <w:t xml:space="preserve"> – Agroenvironmentálno- klimatické opatrenie </w:t>
            </w:r>
          </w:p>
        </w:tc>
        <w:tc>
          <w:tcPr>
            <w:tcW w:w="3828" w:type="dxa"/>
            <w:tcBorders>
              <w:bottom w:val="single" w:sz="4" w:space="0" w:color="auto"/>
            </w:tcBorders>
            <w:shd w:val="clear" w:color="auto" w:fill="DAEEF3" w:themeFill="accent5" w:themeFillTint="33"/>
            <w:vAlign w:val="center"/>
          </w:tcPr>
          <w:p w:rsidR="009B0266" w:rsidRPr="00961CB3" w:rsidRDefault="009B0266" w:rsidP="004F2B59">
            <w:pPr>
              <w:tabs>
                <w:tab w:val="left" w:pos="1877"/>
                <w:tab w:val="left" w:pos="2019"/>
              </w:tabs>
              <w:ind w:right="742"/>
              <w:jc w:val="right"/>
              <w:rPr>
                <w:rFonts w:eastAsiaTheme="minorHAnsi"/>
                <w:b/>
                <w:sz w:val="20"/>
                <w:szCs w:val="20"/>
                <w:lang w:eastAsia="en-US"/>
              </w:rPr>
            </w:pPr>
            <w:r w:rsidRPr="00961CB3">
              <w:rPr>
                <w:rFonts w:eastAsiaTheme="minorHAnsi"/>
                <w:b/>
                <w:sz w:val="20"/>
                <w:szCs w:val="20"/>
                <w:lang w:eastAsia="en-US"/>
              </w:rPr>
              <w:t>106 732 938,00</w:t>
            </w:r>
          </w:p>
        </w:tc>
      </w:tr>
    </w:tbl>
    <w:p w:rsidR="00D905DE" w:rsidRDefault="00D905DE" w:rsidP="00D905DE">
      <w:pPr>
        <w:keepNext/>
        <w:outlineLvl w:val="1"/>
        <w:rPr>
          <w:rFonts w:eastAsia="Calibri"/>
          <w:b/>
          <w:sz w:val="16"/>
          <w:szCs w:val="16"/>
          <w:lang w:eastAsia="ja-JP"/>
        </w:rPr>
      </w:pPr>
    </w:p>
    <w:p w:rsidR="00D905DE" w:rsidRDefault="00D905DE" w:rsidP="00D905DE">
      <w:pPr>
        <w:keepNext/>
        <w:outlineLvl w:val="1"/>
        <w:rPr>
          <w:rFonts w:eastAsia="Calibri"/>
          <w:b/>
          <w:sz w:val="16"/>
          <w:szCs w:val="16"/>
          <w:lang w:eastAsia="ja-JP"/>
        </w:rPr>
      </w:pPr>
    </w:p>
    <w:tbl>
      <w:tblPr>
        <w:tblW w:w="1290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00"/>
        <w:gridCol w:w="4772"/>
        <w:gridCol w:w="3828"/>
      </w:tblGrid>
      <w:tr w:rsidR="009B0266" w:rsidRPr="00961CB3" w:rsidTr="00D905DE">
        <w:tc>
          <w:tcPr>
            <w:tcW w:w="4300" w:type="dxa"/>
            <w:tcBorders>
              <w:bottom w:val="single" w:sz="4" w:space="0" w:color="auto"/>
            </w:tcBorders>
            <w:shd w:val="clear" w:color="auto" w:fill="F2F2F2"/>
            <w:vAlign w:val="center"/>
          </w:tcPr>
          <w:p w:rsidR="009B0266" w:rsidRPr="00961CB3" w:rsidRDefault="009B0266" w:rsidP="009B0266">
            <w:pPr>
              <w:tabs>
                <w:tab w:val="left" w:pos="1185"/>
              </w:tabs>
              <w:spacing w:beforeLines="20" w:before="48" w:afterLines="20" w:after="48"/>
              <w:jc w:val="center"/>
              <w:rPr>
                <w:b/>
                <w:sz w:val="16"/>
                <w:szCs w:val="16"/>
                <w:lang w:eastAsia="en-US"/>
              </w:rPr>
            </w:pPr>
            <w:r w:rsidRPr="00961CB3">
              <w:rPr>
                <w:b/>
                <w:sz w:val="16"/>
                <w:szCs w:val="16"/>
                <w:lang w:eastAsia="en-US"/>
              </w:rPr>
              <w:t>Miera príspevku EPFRV</w:t>
            </w:r>
          </w:p>
        </w:tc>
        <w:tc>
          <w:tcPr>
            <w:tcW w:w="4772" w:type="dxa"/>
            <w:tcBorders>
              <w:bottom w:val="single" w:sz="4" w:space="0" w:color="auto"/>
            </w:tcBorders>
            <w:shd w:val="clear" w:color="auto" w:fill="F2F2F2"/>
            <w:vAlign w:val="center"/>
          </w:tcPr>
          <w:p w:rsidR="009B0266" w:rsidRPr="00961CB3" w:rsidRDefault="009B0266" w:rsidP="009B0266">
            <w:pPr>
              <w:tabs>
                <w:tab w:val="left" w:pos="1185"/>
              </w:tabs>
              <w:spacing w:beforeLines="20" w:before="48" w:afterLines="20" w:after="48"/>
              <w:jc w:val="center"/>
              <w:rPr>
                <w:b/>
                <w:sz w:val="16"/>
                <w:szCs w:val="16"/>
                <w:lang w:eastAsia="en-US"/>
              </w:rPr>
            </w:pPr>
            <w:r w:rsidRPr="00961CB3">
              <w:rPr>
                <w:b/>
                <w:sz w:val="16"/>
                <w:szCs w:val="16"/>
                <w:lang w:eastAsia="en-US"/>
              </w:rPr>
              <w:t>Fokusová oblasť</w:t>
            </w:r>
          </w:p>
        </w:tc>
        <w:tc>
          <w:tcPr>
            <w:tcW w:w="3828" w:type="dxa"/>
            <w:tcBorders>
              <w:bottom w:val="single" w:sz="4" w:space="0" w:color="auto"/>
            </w:tcBorders>
            <w:shd w:val="clear" w:color="auto" w:fill="F2F2F2"/>
            <w:vAlign w:val="center"/>
          </w:tcPr>
          <w:p w:rsidR="009B0266" w:rsidRPr="00961CB3" w:rsidRDefault="009B0266" w:rsidP="009B0266">
            <w:pPr>
              <w:tabs>
                <w:tab w:val="left" w:pos="1185"/>
              </w:tabs>
              <w:spacing w:beforeLines="20" w:before="48" w:afterLines="20" w:after="48"/>
              <w:jc w:val="center"/>
              <w:rPr>
                <w:b/>
                <w:sz w:val="16"/>
                <w:szCs w:val="16"/>
                <w:lang w:eastAsia="en-US"/>
              </w:rPr>
            </w:pPr>
            <w:r w:rsidRPr="00961CB3">
              <w:rPr>
                <w:b/>
                <w:sz w:val="16"/>
                <w:szCs w:val="16"/>
                <w:lang w:eastAsia="en-US"/>
              </w:rPr>
              <w:t>Celkový príspevok EPFRV</w:t>
            </w:r>
          </w:p>
        </w:tc>
      </w:tr>
      <w:tr w:rsidR="009B0266" w:rsidRPr="00961CB3" w:rsidTr="00D905DE">
        <w:tc>
          <w:tcPr>
            <w:tcW w:w="4300" w:type="dxa"/>
            <w:tcBorders>
              <w:bottom w:val="single" w:sz="4" w:space="0" w:color="auto"/>
            </w:tcBorders>
            <w:shd w:val="clear" w:color="auto" w:fill="auto"/>
            <w:vAlign w:val="center"/>
          </w:tcPr>
          <w:p w:rsidR="009B0266" w:rsidRPr="00961CB3" w:rsidRDefault="009B0266" w:rsidP="009B0266">
            <w:pPr>
              <w:spacing w:beforeLines="20" w:before="48" w:afterLines="20" w:after="48"/>
              <w:jc w:val="center"/>
              <w:rPr>
                <w:sz w:val="16"/>
                <w:szCs w:val="16"/>
                <w:lang w:eastAsia="en-US"/>
              </w:rPr>
            </w:pPr>
            <w:r w:rsidRPr="00961CB3">
              <w:rPr>
                <w:sz w:val="16"/>
                <w:szCs w:val="16"/>
                <w:lang w:eastAsia="en-US"/>
              </w:rPr>
              <w:t>59(3)(a) – bez výnimiek</w:t>
            </w:r>
          </w:p>
        </w:tc>
        <w:tc>
          <w:tcPr>
            <w:tcW w:w="4772" w:type="dxa"/>
            <w:tcBorders>
              <w:bottom w:val="single" w:sz="4" w:space="0" w:color="auto"/>
            </w:tcBorders>
            <w:shd w:val="clear" w:color="auto" w:fill="auto"/>
            <w:vAlign w:val="center"/>
          </w:tcPr>
          <w:p w:rsidR="009B0266" w:rsidRPr="00961CB3" w:rsidRDefault="009B0266" w:rsidP="009B0266">
            <w:pPr>
              <w:spacing w:beforeLines="20" w:before="48" w:afterLines="20" w:after="48"/>
              <w:jc w:val="center"/>
              <w:rPr>
                <w:sz w:val="16"/>
                <w:szCs w:val="16"/>
                <w:lang w:eastAsia="en-US"/>
              </w:rPr>
            </w:pPr>
            <w:r w:rsidRPr="00961CB3">
              <w:rPr>
                <w:sz w:val="16"/>
                <w:szCs w:val="16"/>
                <w:lang w:eastAsia="en-US"/>
              </w:rPr>
              <w:t>4</w:t>
            </w:r>
          </w:p>
        </w:tc>
        <w:tc>
          <w:tcPr>
            <w:tcW w:w="3828" w:type="dxa"/>
            <w:tcBorders>
              <w:bottom w:val="single" w:sz="4" w:space="0" w:color="auto"/>
            </w:tcBorders>
            <w:shd w:val="clear" w:color="auto" w:fill="auto"/>
            <w:vAlign w:val="center"/>
          </w:tcPr>
          <w:p w:rsidR="009B0266" w:rsidRPr="00961CB3" w:rsidRDefault="009B0266" w:rsidP="004F2B59">
            <w:pPr>
              <w:tabs>
                <w:tab w:val="left" w:pos="1877"/>
                <w:tab w:val="left" w:pos="2019"/>
              </w:tabs>
              <w:ind w:right="742"/>
              <w:jc w:val="right"/>
              <w:rPr>
                <w:rFonts w:eastAsiaTheme="minorHAnsi"/>
                <w:sz w:val="16"/>
                <w:szCs w:val="16"/>
                <w:lang w:eastAsia="en-US"/>
              </w:rPr>
            </w:pPr>
            <w:r w:rsidRPr="00961CB3">
              <w:rPr>
                <w:rFonts w:eastAsiaTheme="minorHAnsi"/>
                <w:sz w:val="16"/>
                <w:szCs w:val="16"/>
                <w:lang w:eastAsia="en-US"/>
              </w:rPr>
              <w:t>66 622 500,00</w:t>
            </w:r>
          </w:p>
        </w:tc>
      </w:tr>
      <w:tr w:rsidR="009B0266" w:rsidRPr="00961CB3" w:rsidTr="00D905DE">
        <w:tc>
          <w:tcPr>
            <w:tcW w:w="4300" w:type="dxa"/>
            <w:tcBorders>
              <w:bottom w:val="single" w:sz="4" w:space="0" w:color="auto"/>
            </w:tcBorders>
            <w:shd w:val="clear" w:color="auto" w:fill="auto"/>
            <w:vAlign w:val="center"/>
          </w:tcPr>
          <w:p w:rsidR="009B0266" w:rsidRPr="00961CB3" w:rsidRDefault="009B0266" w:rsidP="009B0266">
            <w:pPr>
              <w:spacing w:beforeLines="20" w:before="48" w:afterLines="20" w:after="48"/>
              <w:jc w:val="center"/>
              <w:rPr>
                <w:sz w:val="16"/>
                <w:szCs w:val="16"/>
                <w:lang w:eastAsia="en-US"/>
              </w:rPr>
            </w:pPr>
            <w:r w:rsidRPr="00961CB3">
              <w:rPr>
                <w:sz w:val="16"/>
                <w:szCs w:val="16"/>
                <w:lang w:eastAsia="en-US"/>
              </w:rPr>
              <w:t>59(3)(d) – bez výnimiek</w:t>
            </w:r>
          </w:p>
        </w:tc>
        <w:tc>
          <w:tcPr>
            <w:tcW w:w="4772" w:type="dxa"/>
            <w:tcBorders>
              <w:bottom w:val="single" w:sz="4" w:space="0" w:color="auto"/>
            </w:tcBorders>
            <w:shd w:val="clear" w:color="auto" w:fill="auto"/>
            <w:vAlign w:val="center"/>
          </w:tcPr>
          <w:p w:rsidR="009B0266" w:rsidRPr="00961CB3" w:rsidRDefault="009B0266" w:rsidP="009B0266">
            <w:pPr>
              <w:spacing w:beforeLines="20" w:before="48" w:afterLines="20" w:after="48"/>
              <w:jc w:val="center"/>
              <w:rPr>
                <w:sz w:val="16"/>
                <w:szCs w:val="16"/>
                <w:lang w:eastAsia="en-US"/>
              </w:rPr>
            </w:pPr>
            <w:r w:rsidRPr="00961CB3">
              <w:rPr>
                <w:sz w:val="16"/>
                <w:szCs w:val="16"/>
                <w:lang w:eastAsia="en-US"/>
              </w:rPr>
              <w:t>4</w:t>
            </w:r>
          </w:p>
        </w:tc>
        <w:tc>
          <w:tcPr>
            <w:tcW w:w="3828" w:type="dxa"/>
            <w:tcBorders>
              <w:bottom w:val="single" w:sz="4" w:space="0" w:color="auto"/>
            </w:tcBorders>
            <w:shd w:val="clear" w:color="auto" w:fill="auto"/>
            <w:vAlign w:val="center"/>
          </w:tcPr>
          <w:p w:rsidR="009B0266" w:rsidRPr="00961CB3" w:rsidRDefault="009B0266" w:rsidP="004F2B59">
            <w:pPr>
              <w:tabs>
                <w:tab w:val="left" w:pos="1877"/>
                <w:tab w:val="left" w:pos="2019"/>
              </w:tabs>
              <w:ind w:right="742"/>
              <w:jc w:val="right"/>
              <w:rPr>
                <w:rFonts w:eastAsiaTheme="minorHAnsi"/>
                <w:sz w:val="16"/>
                <w:szCs w:val="16"/>
                <w:lang w:eastAsia="en-US"/>
              </w:rPr>
            </w:pPr>
            <w:r w:rsidRPr="00961CB3">
              <w:rPr>
                <w:rFonts w:eastAsiaTheme="minorHAnsi"/>
                <w:sz w:val="16"/>
                <w:szCs w:val="16"/>
                <w:lang w:eastAsia="en-US"/>
              </w:rPr>
              <w:t>620 100,00</w:t>
            </w:r>
          </w:p>
        </w:tc>
      </w:tr>
      <w:tr w:rsidR="009B0266" w:rsidRPr="00961CB3" w:rsidTr="00D905DE">
        <w:tc>
          <w:tcPr>
            <w:tcW w:w="9072" w:type="dxa"/>
            <w:gridSpan w:val="2"/>
            <w:tcBorders>
              <w:bottom w:val="single" w:sz="4" w:space="0" w:color="auto"/>
            </w:tcBorders>
            <w:shd w:val="clear" w:color="auto" w:fill="DAEEF3" w:themeFill="accent5" w:themeFillTint="33"/>
            <w:vAlign w:val="center"/>
          </w:tcPr>
          <w:p w:rsidR="009B0266" w:rsidRPr="00961CB3" w:rsidRDefault="009B0266" w:rsidP="00961CB3">
            <w:pPr>
              <w:spacing w:beforeLines="20" w:before="48" w:afterLines="20" w:after="48"/>
              <w:jc w:val="left"/>
              <w:rPr>
                <w:b/>
                <w:color w:val="8064A2"/>
                <w:sz w:val="20"/>
                <w:szCs w:val="20"/>
                <w:lang w:eastAsia="en-US"/>
              </w:rPr>
            </w:pPr>
            <w:r w:rsidRPr="00961CB3">
              <w:rPr>
                <w:b/>
                <w:sz w:val="20"/>
                <w:szCs w:val="20"/>
                <w:lang w:eastAsia="en-US"/>
              </w:rPr>
              <w:t xml:space="preserve">Celkovo opatrenie </w:t>
            </w:r>
            <w:r w:rsidR="00961CB3">
              <w:rPr>
                <w:b/>
                <w:sz w:val="20"/>
                <w:szCs w:val="20"/>
                <w:lang w:eastAsia="en-US"/>
              </w:rPr>
              <w:t>11 (</w:t>
            </w:r>
            <w:r w:rsidRPr="00961CB3">
              <w:rPr>
                <w:b/>
                <w:sz w:val="20"/>
                <w:szCs w:val="20"/>
                <w:lang w:eastAsia="en-US"/>
              </w:rPr>
              <w:t>čl. 29</w:t>
            </w:r>
            <w:r w:rsidR="00961CB3">
              <w:rPr>
                <w:b/>
                <w:sz w:val="20"/>
                <w:szCs w:val="20"/>
                <w:lang w:eastAsia="en-US"/>
              </w:rPr>
              <w:t>)</w:t>
            </w:r>
            <w:r w:rsidRPr="00961CB3">
              <w:rPr>
                <w:b/>
                <w:sz w:val="20"/>
                <w:szCs w:val="20"/>
                <w:lang w:eastAsia="en-US"/>
              </w:rPr>
              <w:t xml:space="preserve"> – Ekologické poľnohospodárstvo</w:t>
            </w:r>
          </w:p>
        </w:tc>
        <w:tc>
          <w:tcPr>
            <w:tcW w:w="3828" w:type="dxa"/>
            <w:tcBorders>
              <w:bottom w:val="single" w:sz="4" w:space="0" w:color="auto"/>
            </w:tcBorders>
            <w:shd w:val="clear" w:color="auto" w:fill="DAEEF3" w:themeFill="accent5" w:themeFillTint="33"/>
            <w:vAlign w:val="center"/>
          </w:tcPr>
          <w:p w:rsidR="009B0266" w:rsidRPr="004F2B59" w:rsidRDefault="009B0266" w:rsidP="004F2B59">
            <w:pPr>
              <w:tabs>
                <w:tab w:val="left" w:pos="1877"/>
                <w:tab w:val="left" w:pos="2019"/>
              </w:tabs>
              <w:ind w:right="742"/>
              <w:jc w:val="right"/>
              <w:rPr>
                <w:rFonts w:eastAsiaTheme="minorHAnsi"/>
                <w:b/>
                <w:sz w:val="20"/>
                <w:szCs w:val="20"/>
                <w:lang w:eastAsia="en-US"/>
              </w:rPr>
            </w:pPr>
            <w:r w:rsidRPr="00961CB3">
              <w:rPr>
                <w:rFonts w:eastAsiaTheme="minorHAnsi"/>
                <w:b/>
                <w:sz w:val="20"/>
                <w:szCs w:val="20"/>
                <w:lang w:eastAsia="en-US"/>
              </w:rPr>
              <w:t>67 242 600,00</w:t>
            </w:r>
          </w:p>
        </w:tc>
      </w:tr>
    </w:tbl>
    <w:p w:rsidR="009B0266" w:rsidRPr="00961CB3" w:rsidRDefault="009B0266" w:rsidP="009B0266">
      <w:pPr>
        <w:keepNext/>
        <w:spacing w:after="80"/>
        <w:outlineLvl w:val="1"/>
        <w:rPr>
          <w:rFonts w:eastAsia="Calibri"/>
          <w:b/>
          <w:sz w:val="16"/>
          <w:szCs w:val="16"/>
          <w:lang w:eastAsia="ja-JP"/>
        </w:rPr>
      </w:pPr>
    </w:p>
    <w:tbl>
      <w:tblPr>
        <w:tblW w:w="1290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00"/>
        <w:gridCol w:w="4772"/>
        <w:gridCol w:w="3828"/>
      </w:tblGrid>
      <w:tr w:rsidR="009B0266" w:rsidRPr="00961CB3" w:rsidTr="00D905DE">
        <w:tc>
          <w:tcPr>
            <w:tcW w:w="4300" w:type="dxa"/>
            <w:tcBorders>
              <w:bottom w:val="single" w:sz="4" w:space="0" w:color="auto"/>
            </w:tcBorders>
            <w:shd w:val="clear" w:color="auto" w:fill="F2F2F2"/>
            <w:vAlign w:val="center"/>
          </w:tcPr>
          <w:p w:rsidR="009B0266" w:rsidRPr="00961CB3" w:rsidRDefault="009B0266" w:rsidP="009B0266">
            <w:pPr>
              <w:tabs>
                <w:tab w:val="left" w:pos="1185"/>
              </w:tabs>
              <w:spacing w:beforeLines="20" w:before="48" w:afterLines="20" w:after="48"/>
              <w:jc w:val="center"/>
              <w:rPr>
                <w:b/>
                <w:sz w:val="16"/>
                <w:szCs w:val="16"/>
                <w:lang w:eastAsia="en-US"/>
              </w:rPr>
            </w:pPr>
            <w:r w:rsidRPr="00961CB3">
              <w:rPr>
                <w:b/>
                <w:sz w:val="16"/>
                <w:szCs w:val="16"/>
                <w:lang w:eastAsia="en-US"/>
              </w:rPr>
              <w:t>Miera príspevku EPFRV</w:t>
            </w:r>
          </w:p>
        </w:tc>
        <w:tc>
          <w:tcPr>
            <w:tcW w:w="4772" w:type="dxa"/>
            <w:tcBorders>
              <w:bottom w:val="single" w:sz="4" w:space="0" w:color="auto"/>
            </w:tcBorders>
            <w:shd w:val="clear" w:color="auto" w:fill="F2F2F2"/>
            <w:vAlign w:val="center"/>
          </w:tcPr>
          <w:p w:rsidR="009B0266" w:rsidRPr="00961CB3" w:rsidRDefault="009B0266" w:rsidP="009B0266">
            <w:pPr>
              <w:tabs>
                <w:tab w:val="left" w:pos="1185"/>
              </w:tabs>
              <w:spacing w:beforeLines="20" w:before="48" w:afterLines="20" w:after="48"/>
              <w:jc w:val="center"/>
              <w:rPr>
                <w:b/>
                <w:sz w:val="16"/>
                <w:szCs w:val="16"/>
                <w:lang w:eastAsia="en-US"/>
              </w:rPr>
            </w:pPr>
            <w:r w:rsidRPr="00961CB3">
              <w:rPr>
                <w:b/>
                <w:sz w:val="16"/>
                <w:szCs w:val="16"/>
                <w:lang w:eastAsia="en-US"/>
              </w:rPr>
              <w:t>Fokusová oblasť</w:t>
            </w:r>
          </w:p>
        </w:tc>
        <w:tc>
          <w:tcPr>
            <w:tcW w:w="3828" w:type="dxa"/>
            <w:tcBorders>
              <w:bottom w:val="single" w:sz="4" w:space="0" w:color="auto"/>
            </w:tcBorders>
            <w:shd w:val="clear" w:color="auto" w:fill="F2F2F2"/>
            <w:vAlign w:val="center"/>
          </w:tcPr>
          <w:p w:rsidR="009B0266" w:rsidRPr="00961CB3" w:rsidRDefault="009B0266" w:rsidP="009B0266">
            <w:pPr>
              <w:tabs>
                <w:tab w:val="left" w:pos="1185"/>
              </w:tabs>
              <w:spacing w:beforeLines="20" w:before="48" w:afterLines="20" w:after="48"/>
              <w:jc w:val="center"/>
              <w:rPr>
                <w:b/>
                <w:sz w:val="16"/>
                <w:szCs w:val="16"/>
                <w:lang w:eastAsia="en-US"/>
              </w:rPr>
            </w:pPr>
            <w:r w:rsidRPr="00961CB3">
              <w:rPr>
                <w:b/>
                <w:sz w:val="16"/>
                <w:szCs w:val="16"/>
                <w:lang w:eastAsia="en-US"/>
              </w:rPr>
              <w:t>Celkový príspevok EPFRV</w:t>
            </w:r>
          </w:p>
        </w:tc>
      </w:tr>
      <w:tr w:rsidR="009B0266" w:rsidRPr="00961CB3" w:rsidTr="00D905DE">
        <w:tc>
          <w:tcPr>
            <w:tcW w:w="4300" w:type="dxa"/>
            <w:tcBorders>
              <w:bottom w:val="single" w:sz="4" w:space="0" w:color="auto"/>
            </w:tcBorders>
            <w:shd w:val="clear" w:color="auto" w:fill="auto"/>
            <w:vAlign w:val="center"/>
          </w:tcPr>
          <w:p w:rsidR="009B0266" w:rsidRPr="00961CB3" w:rsidRDefault="009B0266" w:rsidP="009B0266">
            <w:pPr>
              <w:spacing w:beforeLines="20" w:before="48" w:afterLines="20" w:after="48"/>
              <w:jc w:val="center"/>
              <w:rPr>
                <w:sz w:val="16"/>
                <w:szCs w:val="16"/>
                <w:lang w:eastAsia="en-US"/>
              </w:rPr>
            </w:pPr>
            <w:r w:rsidRPr="00961CB3">
              <w:rPr>
                <w:sz w:val="16"/>
                <w:szCs w:val="16"/>
                <w:lang w:eastAsia="en-US"/>
              </w:rPr>
              <w:t>59(3)(a) – bez výnimiek</w:t>
            </w:r>
          </w:p>
        </w:tc>
        <w:tc>
          <w:tcPr>
            <w:tcW w:w="4772" w:type="dxa"/>
            <w:tcBorders>
              <w:bottom w:val="single" w:sz="4" w:space="0" w:color="auto"/>
            </w:tcBorders>
            <w:shd w:val="clear" w:color="auto" w:fill="auto"/>
            <w:vAlign w:val="center"/>
          </w:tcPr>
          <w:p w:rsidR="009B0266" w:rsidRPr="00961CB3" w:rsidRDefault="009B0266" w:rsidP="009B0266">
            <w:pPr>
              <w:spacing w:beforeLines="20" w:before="48" w:afterLines="20" w:after="48"/>
              <w:jc w:val="center"/>
              <w:rPr>
                <w:sz w:val="16"/>
                <w:szCs w:val="16"/>
                <w:lang w:eastAsia="en-US"/>
              </w:rPr>
            </w:pPr>
            <w:r w:rsidRPr="00961CB3">
              <w:rPr>
                <w:sz w:val="16"/>
                <w:szCs w:val="16"/>
                <w:lang w:eastAsia="en-US"/>
              </w:rPr>
              <w:t>4</w:t>
            </w:r>
          </w:p>
        </w:tc>
        <w:tc>
          <w:tcPr>
            <w:tcW w:w="3828" w:type="dxa"/>
            <w:tcBorders>
              <w:bottom w:val="single" w:sz="4" w:space="0" w:color="auto"/>
            </w:tcBorders>
            <w:shd w:val="clear" w:color="auto" w:fill="auto"/>
            <w:vAlign w:val="center"/>
          </w:tcPr>
          <w:p w:rsidR="009B0266" w:rsidRPr="00961CB3" w:rsidRDefault="009B0266" w:rsidP="004F2B59">
            <w:pPr>
              <w:tabs>
                <w:tab w:val="left" w:pos="1877"/>
                <w:tab w:val="left" w:pos="2019"/>
              </w:tabs>
              <w:ind w:right="742"/>
              <w:jc w:val="right"/>
              <w:rPr>
                <w:rFonts w:eastAsiaTheme="minorHAnsi"/>
                <w:sz w:val="16"/>
                <w:szCs w:val="16"/>
                <w:lang w:eastAsia="en-US"/>
              </w:rPr>
            </w:pPr>
            <w:r w:rsidRPr="00961CB3">
              <w:rPr>
                <w:rFonts w:eastAsiaTheme="minorHAnsi"/>
                <w:sz w:val="16"/>
                <w:szCs w:val="16"/>
                <w:lang w:eastAsia="en-US"/>
              </w:rPr>
              <w:t>6 438 321,00</w:t>
            </w:r>
          </w:p>
        </w:tc>
      </w:tr>
      <w:tr w:rsidR="009B0266" w:rsidRPr="00961CB3" w:rsidTr="00D905DE">
        <w:tc>
          <w:tcPr>
            <w:tcW w:w="4300" w:type="dxa"/>
            <w:tcBorders>
              <w:bottom w:val="single" w:sz="4" w:space="0" w:color="auto"/>
            </w:tcBorders>
            <w:shd w:val="clear" w:color="auto" w:fill="auto"/>
            <w:vAlign w:val="center"/>
          </w:tcPr>
          <w:p w:rsidR="009B0266" w:rsidRPr="00961CB3" w:rsidRDefault="009B0266" w:rsidP="009B0266">
            <w:pPr>
              <w:spacing w:beforeLines="20" w:before="48" w:afterLines="20" w:after="48"/>
              <w:jc w:val="center"/>
              <w:rPr>
                <w:sz w:val="16"/>
                <w:szCs w:val="16"/>
                <w:lang w:eastAsia="en-US"/>
              </w:rPr>
            </w:pPr>
            <w:r w:rsidRPr="00961CB3">
              <w:rPr>
                <w:sz w:val="16"/>
                <w:szCs w:val="16"/>
                <w:lang w:eastAsia="en-US"/>
              </w:rPr>
              <w:t>59(3)(d) – bez výnimiek</w:t>
            </w:r>
          </w:p>
        </w:tc>
        <w:tc>
          <w:tcPr>
            <w:tcW w:w="4772" w:type="dxa"/>
            <w:tcBorders>
              <w:bottom w:val="single" w:sz="4" w:space="0" w:color="auto"/>
            </w:tcBorders>
            <w:shd w:val="clear" w:color="auto" w:fill="auto"/>
            <w:vAlign w:val="center"/>
          </w:tcPr>
          <w:p w:rsidR="009B0266" w:rsidRPr="00961CB3" w:rsidRDefault="009B0266" w:rsidP="009B0266">
            <w:pPr>
              <w:spacing w:beforeLines="20" w:before="48" w:afterLines="20" w:after="48"/>
              <w:jc w:val="center"/>
              <w:rPr>
                <w:sz w:val="16"/>
                <w:szCs w:val="16"/>
                <w:lang w:eastAsia="en-US"/>
              </w:rPr>
            </w:pPr>
            <w:r w:rsidRPr="00961CB3">
              <w:rPr>
                <w:sz w:val="16"/>
                <w:szCs w:val="16"/>
                <w:lang w:eastAsia="en-US"/>
              </w:rPr>
              <w:t>4</w:t>
            </w:r>
          </w:p>
        </w:tc>
        <w:tc>
          <w:tcPr>
            <w:tcW w:w="3828" w:type="dxa"/>
            <w:tcBorders>
              <w:bottom w:val="single" w:sz="4" w:space="0" w:color="auto"/>
            </w:tcBorders>
            <w:shd w:val="clear" w:color="auto" w:fill="auto"/>
            <w:vAlign w:val="center"/>
          </w:tcPr>
          <w:p w:rsidR="009B0266" w:rsidRPr="00961CB3" w:rsidRDefault="009B0266" w:rsidP="004F2B59">
            <w:pPr>
              <w:tabs>
                <w:tab w:val="left" w:pos="1877"/>
                <w:tab w:val="left" w:pos="2019"/>
              </w:tabs>
              <w:ind w:right="742"/>
              <w:jc w:val="right"/>
              <w:rPr>
                <w:rFonts w:eastAsiaTheme="minorHAnsi"/>
                <w:sz w:val="16"/>
                <w:szCs w:val="16"/>
                <w:lang w:eastAsia="en-US"/>
              </w:rPr>
            </w:pPr>
            <w:r w:rsidRPr="00961CB3">
              <w:rPr>
                <w:rFonts w:eastAsiaTheme="minorHAnsi"/>
                <w:sz w:val="16"/>
                <w:szCs w:val="16"/>
                <w:lang w:eastAsia="en-US"/>
              </w:rPr>
              <w:t>82 453,16</w:t>
            </w:r>
          </w:p>
        </w:tc>
      </w:tr>
      <w:tr w:rsidR="009B0266" w:rsidRPr="00961CB3" w:rsidTr="00D905DE">
        <w:tc>
          <w:tcPr>
            <w:tcW w:w="9072" w:type="dxa"/>
            <w:gridSpan w:val="2"/>
            <w:tcBorders>
              <w:bottom w:val="single" w:sz="4" w:space="0" w:color="auto"/>
            </w:tcBorders>
            <w:shd w:val="clear" w:color="auto" w:fill="DAEEF3" w:themeFill="accent5" w:themeFillTint="33"/>
            <w:vAlign w:val="center"/>
          </w:tcPr>
          <w:p w:rsidR="009B0266" w:rsidRPr="00961CB3" w:rsidRDefault="009B0266" w:rsidP="00050550">
            <w:pPr>
              <w:spacing w:beforeLines="20" w:before="48" w:afterLines="20" w:after="48"/>
              <w:ind w:left="2586" w:hanging="2586"/>
              <w:jc w:val="left"/>
              <w:rPr>
                <w:b/>
                <w:color w:val="8064A2"/>
                <w:sz w:val="20"/>
                <w:szCs w:val="20"/>
                <w:lang w:eastAsia="en-US"/>
              </w:rPr>
            </w:pPr>
            <w:r w:rsidRPr="00961CB3">
              <w:rPr>
                <w:b/>
                <w:sz w:val="20"/>
                <w:szCs w:val="20"/>
                <w:lang w:eastAsia="en-US"/>
              </w:rPr>
              <w:t>Celkovo opatrenie</w:t>
            </w:r>
            <w:r w:rsidR="00961CB3">
              <w:rPr>
                <w:b/>
                <w:sz w:val="20"/>
                <w:szCs w:val="20"/>
                <w:lang w:eastAsia="en-US"/>
              </w:rPr>
              <w:t xml:space="preserve"> 12 (</w:t>
            </w:r>
            <w:r w:rsidRPr="00961CB3">
              <w:rPr>
                <w:b/>
                <w:sz w:val="20"/>
                <w:szCs w:val="20"/>
                <w:lang w:eastAsia="en-US"/>
              </w:rPr>
              <w:t>čl. 30</w:t>
            </w:r>
            <w:r w:rsidR="00961CB3">
              <w:rPr>
                <w:b/>
                <w:sz w:val="20"/>
                <w:szCs w:val="20"/>
                <w:lang w:eastAsia="en-US"/>
              </w:rPr>
              <w:t>)</w:t>
            </w:r>
            <w:r w:rsidRPr="00961CB3">
              <w:rPr>
                <w:b/>
                <w:sz w:val="20"/>
                <w:szCs w:val="20"/>
                <w:lang w:eastAsia="en-US"/>
              </w:rPr>
              <w:t xml:space="preserve"> – Platby v rámci sústavy NATURA 2000 a podľa rámcovej smernice o vode</w:t>
            </w:r>
          </w:p>
        </w:tc>
        <w:tc>
          <w:tcPr>
            <w:tcW w:w="3828" w:type="dxa"/>
            <w:tcBorders>
              <w:bottom w:val="single" w:sz="4" w:space="0" w:color="auto"/>
            </w:tcBorders>
            <w:shd w:val="clear" w:color="auto" w:fill="DAEEF3" w:themeFill="accent5" w:themeFillTint="33"/>
            <w:vAlign w:val="center"/>
          </w:tcPr>
          <w:p w:rsidR="009B0266" w:rsidRPr="004F2B59" w:rsidRDefault="009B0266" w:rsidP="004F2B59">
            <w:pPr>
              <w:tabs>
                <w:tab w:val="left" w:pos="1877"/>
                <w:tab w:val="left" w:pos="2019"/>
              </w:tabs>
              <w:ind w:right="742"/>
              <w:jc w:val="right"/>
              <w:rPr>
                <w:rFonts w:eastAsiaTheme="minorHAnsi"/>
                <w:b/>
                <w:sz w:val="20"/>
                <w:szCs w:val="20"/>
                <w:lang w:eastAsia="en-US"/>
              </w:rPr>
            </w:pPr>
            <w:r w:rsidRPr="00961CB3">
              <w:rPr>
                <w:rFonts w:eastAsiaTheme="minorHAnsi"/>
                <w:b/>
                <w:sz w:val="20"/>
                <w:szCs w:val="20"/>
                <w:lang w:eastAsia="en-US"/>
              </w:rPr>
              <w:t>6 520 774,16</w:t>
            </w:r>
          </w:p>
        </w:tc>
      </w:tr>
    </w:tbl>
    <w:p w:rsidR="009B0266" w:rsidRPr="00961CB3" w:rsidRDefault="009B0266" w:rsidP="009B0266">
      <w:pPr>
        <w:keepNext/>
        <w:spacing w:after="80"/>
        <w:outlineLvl w:val="1"/>
        <w:rPr>
          <w:rFonts w:eastAsia="Calibri"/>
          <w:b/>
          <w:sz w:val="16"/>
          <w:szCs w:val="16"/>
          <w:lang w:eastAsia="ja-JP"/>
        </w:rPr>
      </w:pPr>
    </w:p>
    <w:tbl>
      <w:tblPr>
        <w:tblW w:w="1290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00"/>
        <w:gridCol w:w="4772"/>
        <w:gridCol w:w="3828"/>
      </w:tblGrid>
      <w:tr w:rsidR="009B0266" w:rsidRPr="00961CB3" w:rsidTr="00D905DE">
        <w:tc>
          <w:tcPr>
            <w:tcW w:w="4300" w:type="dxa"/>
            <w:tcBorders>
              <w:bottom w:val="single" w:sz="4" w:space="0" w:color="auto"/>
            </w:tcBorders>
            <w:shd w:val="clear" w:color="auto" w:fill="F2F2F2"/>
            <w:vAlign w:val="center"/>
          </w:tcPr>
          <w:p w:rsidR="009B0266" w:rsidRPr="00961CB3" w:rsidRDefault="009B0266" w:rsidP="009B0266">
            <w:pPr>
              <w:tabs>
                <w:tab w:val="left" w:pos="1185"/>
              </w:tabs>
              <w:spacing w:beforeLines="20" w:before="48" w:afterLines="20" w:after="48"/>
              <w:jc w:val="center"/>
              <w:rPr>
                <w:b/>
                <w:sz w:val="16"/>
                <w:szCs w:val="16"/>
                <w:lang w:eastAsia="en-US"/>
              </w:rPr>
            </w:pPr>
            <w:r w:rsidRPr="00961CB3">
              <w:rPr>
                <w:b/>
                <w:sz w:val="16"/>
                <w:szCs w:val="16"/>
                <w:lang w:eastAsia="en-US"/>
              </w:rPr>
              <w:t>Miera príspevku EPFRV</w:t>
            </w:r>
          </w:p>
        </w:tc>
        <w:tc>
          <w:tcPr>
            <w:tcW w:w="4772" w:type="dxa"/>
            <w:tcBorders>
              <w:bottom w:val="single" w:sz="4" w:space="0" w:color="auto"/>
            </w:tcBorders>
            <w:shd w:val="clear" w:color="auto" w:fill="F2F2F2"/>
            <w:vAlign w:val="center"/>
          </w:tcPr>
          <w:p w:rsidR="009B0266" w:rsidRPr="00961CB3" w:rsidRDefault="009B0266" w:rsidP="009B0266">
            <w:pPr>
              <w:tabs>
                <w:tab w:val="left" w:pos="1185"/>
              </w:tabs>
              <w:spacing w:beforeLines="20" w:before="48" w:afterLines="20" w:after="48"/>
              <w:jc w:val="center"/>
              <w:rPr>
                <w:b/>
                <w:sz w:val="16"/>
                <w:szCs w:val="16"/>
                <w:lang w:eastAsia="en-US"/>
              </w:rPr>
            </w:pPr>
            <w:r w:rsidRPr="00961CB3">
              <w:rPr>
                <w:b/>
                <w:sz w:val="16"/>
                <w:szCs w:val="16"/>
                <w:lang w:eastAsia="en-US"/>
              </w:rPr>
              <w:t>Fokusová oblasť</w:t>
            </w:r>
          </w:p>
        </w:tc>
        <w:tc>
          <w:tcPr>
            <w:tcW w:w="3828" w:type="dxa"/>
            <w:tcBorders>
              <w:bottom w:val="single" w:sz="4" w:space="0" w:color="auto"/>
            </w:tcBorders>
            <w:shd w:val="clear" w:color="auto" w:fill="F2F2F2"/>
            <w:vAlign w:val="center"/>
          </w:tcPr>
          <w:p w:rsidR="009B0266" w:rsidRPr="00961CB3" w:rsidRDefault="009B0266" w:rsidP="009B0266">
            <w:pPr>
              <w:tabs>
                <w:tab w:val="left" w:pos="1185"/>
              </w:tabs>
              <w:spacing w:beforeLines="20" w:before="48" w:afterLines="20" w:after="48"/>
              <w:jc w:val="center"/>
              <w:rPr>
                <w:b/>
                <w:sz w:val="16"/>
                <w:szCs w:val="16"/>
                <w:lang w:eastAsia="en-US"/>
              </w:rPr>
            </w:pPr>
            <w:r w:rsidRPr="00961CB3">
              <w:rPr>
                <w:b/>
                <w:sz w:val="16"/>
                <w:szCs w:val="16"/>
                <w:lang w:eastAsia="en-US"/>
              </w:rPr>
              <w:t>Celkový príspevok EPFRV</w:t>
            </w:r>
          </w:p>
        </w:tc>
      </w:tr>
      <w:tr w:rsidR="009B0266" w:rsidRPr="00961CB3" w:rsidTr="00D905DE">
        <w:tc>
          <w:tcPr>
            <w:tcW w:w="4300" w:type="dxa"/>
            <w:tcBorders>
              <w:bottom w:val="single" w:sz="4" w:space="0" w:color="auto"/>
            </w:tcBorders>
            <w:shd w:val="clear" w:color="auto" w:fill="auto"/>
            <w:vAlign w:val="center"/>
          </w:tcPr>
          <w:p w:rsidR="009B0266" w:rsidRPr="00961CB3" w:rsidRDefault="009B0266" w:rsidP="009B0266">
            <w:pPr>
              <w:spacing w:beforeLines="20" w:before="48" w:afterLines="20" w:after="48"/>
              <w:jc w:val="center"/>
              <w:rPr>
                <w:sz w:val="16"/>
                <w:szCs w:val="16"/>
                <w:lang w:eastAsia="en-US"/>
              </w:rPr>
            </w:pPr>
            <w:r w:rsidRPr="00961CB3">
              <w:rPr>
                <w:sz w:val="16"/>
                <w:szCs w:val="16"/>
                <w:lang w:eastAsia="en-US"/>
              </w:rPr>
              <w:t>59(3)(a) – bez výnimiek</w:t>
            </w:r>
          </w:p>
        </w:tc>
        <w:tc>
          <w:tcPr>
            <w:tcW w:w="4772" w:type="dxa"/>
            <w:tcBorders>
              <w:bottom w:val="single" w:sz="4" w:space="0" w:color="auto"/>
            </w:tcBorders>
            <w:shd w:val="clear" w:color="auto" w:fill="auto"/>
            <w:vAlign w:val="center"/>
          </w:tcPr>
          <w:p w:rsidR="009B0266" w:rsidRPr="00961CB3" w:rsidRDefault="009B0266" w:rsidP="009B0266">
            <w:pPr>
              <w:spacing w:beforeLines="20" w:before="48" w:afterLines="20" w:after="48"/>
              <w:jc w:val="center"/>
              <w:rPr>
                <w:sz w:val="16"/>
                <w:szCs w:val="16"/>
                <w:lang w:eastAsia="en-US"/>
              </w:rPr>
            </w:pPr>
            <w:r w:rsidRPr="00961CB3">
              <w:rPr>
                <w:sz w:val="16"/>
                <w:szCs w:val="16"/>
                <w:lang w:eastAsia="en-US"/>
              </w:rPr>
              <w:t>4</w:t>
            </w:r>
          </w:p>
        </w:tc>
        <w:tc>
          <w:tcPr>
            <w:tcW w:w="3828" w:type="dxa"/>
            <w:tcBorders>
              <w:bottom w:val="single" w:sz="4" w:space="0" w:color="auto"/>
            </w:tcBorders>
            <w:shd w:val="clear" w:color="auto" w:fill="auto"/>
            <w:vAlign w:val="center"/>
          </w:tcPr>
          <w:p w:rsidR="009B0266" w:rsidRPr="00961CB3" w:rsidRDefault="009B0266" w:rsidP="004F2B59">
            <w:pPr>
              <w:tabs>
                <w:tab w:val="left" w:pos="1877"/>
                <w:tab w:val="left" w:pos="2019"/>
              </w:tabs>
              <w:ind w:right="742"/>
              <w:jc w:val="right"/>
              <w:rPr>
                <w:rFonts w:eastAsiaTheme="minorHAnsi"/>
                <w:sz w:val="16"/>
                <w:szCs w:val="16"/>
                <w:lang w:eastAsia="en-US"/>
              </w:rPr>
            </w:pPr>
            <w:r w:rsidRPr="00961CB3">
              <w:rPr>
                <w:rFonts w:eastAsiaTheme="minorHAnsi"/>
                <w:sz w:val="16"/>
                <w:szCs w:val="16"/>
                <w:lang w:eastAsia="en-US"/>
              </w:rPr>
              <w:t>356 050 905,00</w:t>
            </w:r>
          </w:p>
        </w:tc>
      </w:tr>
      <w:tr w:rsidR="009B0266" w:rsidRPr="00961CB3" w:rsidTr="00D905DE">
        <w:tc>
          <w:tcPr>
            <w:tcW w:w="4300" w:type="dxa"/>
            <w:tcBorders>
              <w:bottom w:val="single" w:sz="4" w:space="0" w:color="auto"/>
            </w:tcBorders>
            <w:shd w:val="clear" w:color="auto" w:fill="auto"/>
            <w:vAlign w:val="center"/>
          </w:tcPr>
          <w:p w:rsidR="009B0266" w:rsidRPr="00961CB3" w:rsidRDefault="009B0266" w:rsidP="009B0266">
            <w:pPr>
              <w:spacing w:beforeLines="20" w:before="48" w:afterLines="20" w:after="48"/>
              <w:jc w:val="center"/>
              <w:rPr>
                <w:sz w:val="16"/>
                <w:szCs w:val="16"/>
                <w:lang w:eastAsia="en-US"/>
              </w:rPr>
            </w:pPr>
            <w:r w:rsidRPr="00961CB3">
              <w:rPr>
                <w:sz w:val="16"/>
                <w:szCs w:val="16"/>
                <w:lang w:eastAsia="en-US"/>
              </w:rPr>
              <w:t>59(3)(d) – bez výnimiek</w:t>
            </w:r>
          </w:p>
        </w:tc>
        <w:tc>
          <w:tcPr>
            <w:tcW w:w="4772" w:type="dxa"/>
            <w:tcBorders>
              <w:bottom w:val="single" w:sz="4" w:space="0" w:color="auto"/>
            </w:tcBorders>
            <w:shd w:val="clear" w:color="auto" w:fill="auto"/>
            <w:vAlign w:val="center"/>
          </w:tcPr>
          <w:p w:rsidR="009B0266" w:rsidRPr="00961CB3" w:rsidRDefault="009B0266" w:rsidP="009B0266">
            <w:pPr>
              <w:spacing w:beforeLines="20" w:before="48" w:afterLines="20" w:after="48"/>
              <w:jc w:val="center"/>
              <w:rPr>
                <w:sz w:val="16"/>
                <w:szCs w:val="16"/>
                <w:lang w:eastAsia="en-US"/>
              </w:rPr>
            </w:pPr>
            <w:r w:rsidRPr="00961CB3">
              <w:rPr>
                <w:sz w:val="16"/>
                <w:szCs w:val="16"/>
                <w:lang w:eastAsia="en-US"/>
              </w:rPr>
              <w:t>4</w:t>
            </w:r>
          </w:p>
        </w:tc>
        <w:tc>
          <w:tcPr>
            <w:tcW w:w="3828" w:type="dxa"/>
            <w:tcBorders>
              <w:bottom w:val="single" w:sz="4" w:space="0" w:color="auto"/>
            </w:tcBorders>
            <w:shd w:val="clear" w:color="auto" w:fill="auto"/>
            <w:vAlign w:val="center"/>
          </w:tcPr>
          <w:p w:rsidR="009B0266" w:rsidRPr="00961CB3" w:rsidRDefault="009B0266" w:rsidP="004F2B59">
            <w:pPr>
              <w:tabs>
                <w:tab w:val="left" w:pos="1877"/>
                <w:tab w:val="left" w:pos="2019"/>
              </w:tabs>
              <w:ind w:right="742"/>
              <w:jc w:val="right"/>
              <w:rPr>
                <w:rFonts w:eastAsiaTheme="minorHAnsi"/>
                <w:sz w:val="16"/>
                <w:szCs w:val="16"/>
                <w:lang w:eastAsia="en-US"/>
              </w:rPr>
            </w:pPr>
            <w:r w:rsidRPr="00961CB3">
              <w:rPr>
                <w:rFonts w:eastAsiaTheme="minorHAnsi"/>
                <w:sz w:val="16"/>
                <w:szCs w:val="16"/>
                <w:lang w:eastAsia="en-US"/>
              </w:rPr>
              <w:t>4 195 193,80</w:t>
            </w:r>
          </w:p>
        </w:tc>
      </w:tr>
      <w:tr w:rsidR="009B0266" w:rsidRPr="00050550" w:rsidTr="00D905DE">
        <w:tc>
          <w:tcPr>
            <w:tcW w:w="9072" w:type="dxa"/>
            <w:gridSpan w:val="2"/>
            <w:tcBorders>
              <w:bottom w:val="single" w:sz="4" w:space="0" w:color="auto"/>
            </w:tcBorders>
            <w:shd w:val="clear" w:color="auto" w:fill="DAEEF3" w:themeFill="accent5" w:themeFillTint="33"/>
            <w:vAlign w:val="center"/>
          </w:tcPr>
          <w:p w:rsidR="009B0266" w:rsidRPr="00050550" w:rsidRDefault="009B0266" w:rsidP="00050550">
            <w:pPr>
              <w:spacing w:beforeLines="20" w:before="48" w:afterLines="20" w:after="48"/>
              <w:jc w:val="left"/>
              <w:rPr>
                <w:b/>
                <w:color w:val="8064A2"/>
                <w:sz w:val="20"/>
                <w:szCs w:val="20"/>
                <w:lang w:eastAsia="en-US"/>
              </w:rPr>
            </w:pPr>
            <w:r w:rsidRPr="00050550">
              <w:rPr>
                <w:b/>
                <w:sz w:val="20"/>
                <w:szCs w:val="20"/>
                <w:lang w:eastAsia="en-US"/>
              </w:rPr>
              <w:t xml:space="preserve">Celkovo opatrenie </w:t>
            </w:r>
            <w:r w:rsidR="00D905DE">
              <w:rPr>
                <w:b/>
                <w:sz w:val="20"/>
                <w:szCs w:val="20"/>
                <w:lang w:eastAsia="en-US"/>
              </w:rPr>
              <w:t>13 (</w:t>
            </w:r>
            <w:r w:rsidRPr="00050550">
              <w:rPr>
                <w:b/>
                <w:sz w:val="20"/>
                <w:szCs w:val="20"/>
                <w:lang w:eastAsia="en-US"/>
              </w:rPr>
              <w:t>čl. 31</w:t>
            </w:r>
            <w:r w:rsidR="00D905DE">
              <w:rPr>
                <w:b/>
                <w:sz w:val="20"/>
                <w:szCs w:val="20"/>
                <w:lang w:eastAsia="en-US"/>
              </w:rPr>
              <w:t>)</w:t>
            </w:r>
            <w:r w:rsidRPr="00050550">
              <w:rPr>
                <w:b/>
                <w:sz w:val="20"/>
                <w:szCs w:val="20"/>
                <w:lang w:eastAsia="en-US"/>
              </w:rPr>
              <w:t xml:space="preserve"> – Platby pre oblasti s prírodnými alebo inými osobitnými obmedzeniami (LFA)</w:t>
            </w:r>
          </w:p>
        </w:tc>
        <w:tc>
          <w:tcPr>
            <w:tcW w:w="3828" w:type="dxa"/>
            <w:tcBorders>
              <w:bottom w:val="single" w:sz="4" w:space="0" w:color="auto"/>
            </w:tcBorders>
            <w:shd w:val="clear" w:color="auto" w:fill="DAEEF3" w:themeFill="accent5" w:themeFillTint="33"/>
            <w:vAlign w:val="center"/>
          </w:tcPr>
          <w:p w:rsidR="009B0266" w:rsidRPr="004F2B59" w:rsidRDefault="009B0266" w:rsidP="004F2B59">
            <w:pPr>
              <w:tabs>
                <w:tab w:val="left" w:pos="1877"/>
                <w:tab w:val="left" w:pos="2019"/>
              </w:tabs>
              <w:ind w:right="742"/>
              <w:jc w:val="right"/>
              <w:rPr>
                <w:rFonts w:eastAsiaTheme="minorHAnsi"/>
                <w:b/>
                <w:sz w:val="20"/>
                <w:szCs w:val="20"/>
                <w:lang w:eastAsia="en-US"/>
              </w:rPr>
            </w:pPr>
            <w:r w:rsidRPr="00050550">
              <w:rPr>
                <w:rFonts w:eastAsiaTheme="minorHAnsi"/>
                <w:b/>
                <w:sz w:val="20"/>
                <w:szCs w:val="20"/>
                <w:lang w:eastAsia="en-US"/>
              </w:rPr>
              <w:t>360 246 098,80</w:t>
            </w:r>
          </w:p>
        </w:tc>
      </w:tr>
    </w:tbl>
    <w:p w:rsidR="009B0266" w:rsidRPr="00961CB3" w:rsidRDefault="009B0266" w:rsidP="009B0266">
      <w:pPr>
        <w:keepNext/>
        <w:spacing w:after="80"/>
        <w:outlineLvl w:val="1"/>
        <w:rPr>
          <w:rFonts w:eastAsia="Calibri"/>
          <w:b/>
          <w:sz w:val="16"/>
          <w:szCs w:val="16"/>
          <w:lang w:eastAsia="ja-JP"/>
        </w:rPr>
      </w:pPr>
    </w:p>
    <w:tbl>
      <w:tblPr>
        <w:tblW w:w="1290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00"/>
        <w:gridCol w:w="4772"/>
        <w:gridCol w:w="3828"/>
      </w:tblGrid>
      <w:tr w:rsidR="009B0266" w:rsidRPr="00961CB3" w:rsidTr="00D905DE">
        <w:tc>
          <w:tcPr>
            <w:tcW w:w="4300" w:type="dxa"/>
            <w:tcBorders>
              <w:bottom w:val="single" w:sz="4" w:space="0" w:color="auto"/>
            </w:tcBorders>
            <w:shd w:val="clear" w:color="auto" w:fill="F2F2F2"/>
            <w:vAlign w:val="center"/>
          </w:tcPr>
          <w:p w:rsidR="009B0266" w:rsidRPr="00961CB3" w:rsidRDefault="009B0266" w:rsidP="009B0266">
            <w:pPr>
              <w:tabs>
                <w:tab w:val="left" w:pos="1185"/>
              </w:tabs>
              <w:spacing w:beforeLines="20" w:before="48" w:afterLines="20" w:after="48"/>
              <w:jc w:val="center"/>
              <w:rPr>
                <w:b/>
                <w:sz w:val="16"/>
                <w:szCs w:val="16"/>
                <w:lang w:eastAsia="en-US"/>
              </w:rPr>
            </w:pPr>
            <w:r w:rsidRPr="00961CB3">
              <w:rPr>
                <w:b/>
                <w:sz w:val="16"/>
                <w:szCs w:val="16"/>
                <w:lang w:eastAsia="en-US"/>
              </w:rPr>
              <w:t>Miera príspevku EPFRV</w:t>
            </w:r>
          </w:p>
        </w:tc>
        <w:tc>
          <w:tcPr>
            <w:tcW w:w="4772" w:type="dxa"/>
            <w:tcBorders>
              <w:bottom w:val="single" w:sz="4" w:space="0" w:color="auto"/>
            </w:tcBorders>
            <w:shd w:val="clear" w:color="auto" w:fill="F2F2F2"/>
            <w:vAlign w:val="center"/>
          </w:tcPr>
          <w:p w:rsidR="009B0266" w:rsidRPr="00961CB3" w:rsidRDefault="009B0266" w:rsidP="009B0266">
            <w:pPr>
              <w:tabs>
                <w:tab w:val="left" w:pos="1185"/>
              </w:tabs>
              <w:spacing w:beforeLines="20" w:before="48" w:afterLines="20" w:after="48"/>
              <w:jc w:val="center"/>
              <w:rPr>
                <w:b/>
                <w:sz w:val="16"/>
                <w:szCs w:val="16"/>
                <w:lang w:eastAsia="en-US"/>
              </w:rPr>
            </w:pPr>
            <w:r w:rsidRPr="00961CB3">
              <w:rPr>
                <w:b/>
                <w:sz w:val="16"/>
                <w:szCs w:val="16"/>
                <w:lang w:eastAsia="en-US"/>
              </w:rPr>
              <w:t>Fokusová oblasť</w:t>
            </w:r>
          </w:p>
        </w:tc>
        <w:tc>
          <w:tcPr>
            <w:tcW w:w="3828" w:type="dxa"/>
            <w:tcBorders>
              <w:bottom w:val="single" w:sz="4" w:space="0" w:color="auto"/>
            </w:tcBorders>
            <w:shd w:val="clear" w:color="auto" w:fill="F2F2F2"/>
            <w:vAlign w:val="center"/>
          </w:tcPr>
          <w:p w:rsidR="009B0266" w:rsidRPr="00961CB3" w:rsidRDefault="009B0266" w:rsidP="009B0266">
            <w:pPr>
              <w:tabs>
                <w:tab w:val="left" w:pos="1185"/>
              </w:tabs>
              <w:spacing w:beforeLines="20" w:before="48" w:afterLines="20" w:after="48"/>
              <w:jc w:val="center"/>
              <w:rPr>
                <w:b/>
                <w:sz w:val="16"/>
                <w:szCs w:val="16"/>
                <w:lang w:eastAsia="en-US"/>
              </w:rPr>
            </w:pPr>
            <w:r w:rsidRPr="00961CB3">
              <w:rPr>
                <w:b/>
                <w:sz w:val="16"/>
                <w:szCs w:val="16"/>
                <w:lang w:eastAsia="en-US"/>
              </w:rPr>
              <w:t>Celkový príspevok EPFRV</w:t>
            </w:r>
          </w:p>
        </w:tc>
      </w:tr>
      <w:tr w:rsidR="009B0266" w:rsidRPr="00961CB3" w:rsidTr="00D905DE">
        <w:tc>
          <w:tcPr>
            <w:tcW w:w="4300" w:type="dxa"/>
            <w:tcBorders>
              <w:bottom w:val="single" w:sz="4" w:space="0" w:color="auto"/>
            </w:tcBorders>
            <w:shd w:val="clear" w:color="auto" w:fill="auto"/>
            <w:vAlign w:val="center"/>
          </w:tcPr>
          <w:p w:rsidR="009B0266" w:rsidRPr="00961CB3" w:rsidRDefault="009B0266" w:rsidP="009B0266">
            <w:pPr>
              <w:spacing w:beforeLines="20" w:before="48" w:afterLines="20" w:after="48"/>
              <w:jc w:val="center"/>
              <w:rPr>
                <w:sz w:val="16"/>
                <w:szCs w:val="16"/>
                <w:lang w:eastAsia="en-US"/>
              </w:rPr>
            </w:pPr>
            <w:r w:rsidRPr="00961CB3">
              <w:rPr>
                <w:sz w:val="16"/>
                <w:szCs w:val="16"/>
                <w:lang w:eastAsia="en-US"/>
              </w:rPr>
              <w:t>59(3)(a) – bez výnimiek</w:t>
            </w:r>
          </w:p>
        </w:tc>
        <w:tc>
          <w:tcPr>
            <w:tcW w:w="4772" w:type="dxa"/>
            <w:tcBorders>
              <w:bottom w:val="single" w:sz="4" w:space="0" w:color="auto"/>
            </w:tcBorders>
            <w:shd w:val="clear" w:color="auto" w:fill="auto"/>
            <w:vAlign w:val="center"/>
          </w:tcPr>
          <w:p w:rsidR="009B0266" w:rsidRPr="00961CB3" w:rsidRDefault="009B0266" w:rsidP="009B0266">
            <w:pPr>
              <w:spacing w:beforeLines="20" w:before="48" w:afterLines="20" w:after="48"/>
              <w:jc w:val="center"/>
              <w:rPr>
                <w:sz w:val="16"/>
                <w:szCs w:val="16"/>
                <w:lang w:eastAsia="en-US"/>
              </w:rPr>
            </w:pPr>
            <w:r w:rsidRPr="00961CB3">
              <w:rPr>
                <w:sz w:val="16"/>
                <w:szCs w:val="16"/>
                <w:lang w:eastAsia="en-US"/>
              </w:rPr>
              <w:t>3A</w:t>
            </w:r>
          </w:p>
        </w:tc>
        <w:tc>
          <w:tcPr>
            <w:tcW w:w="3828" w:type="dxa"/>
            <w:tcBorders>
              <w:bottom w:val="single" w:sz="4" w:space="0" w:color="auto"/>
            </w:tcBorders>
            <w:shd w:val="clear" w:color="auto" w:fill="auto"/>
            <w:vAlign w:val="center"/>
          </w:tcPr>
          <w:p w:rsidR="009B0266" w:rsidRPr="00961CB3" w:rsidRDefault="009B0266" w:rsidP="004F2B59">
            <w:pPr>
              <w:tabs>
                <w:tab w:val="left" w:pos="1877"/>
                <w:tab w:val="left" w:pos="2019"/>
              </w:tabs>
              <w:ind w:right="742"/>
              <w:jc w:val="right"/>
              <w:rPr>
                <w:rFonts w:eastAsiaTheme="minorHAnsi"/>
                <w:sz w:val="16"/>
                <w:szCs w:val="16"/>
                <w:lang w:eastAsia="en-US"/>
              </w:rPr>
            </w:pPr>
            <w:r w:rsidRPr="00961CB3">
              <w:rPr>
                <w:rFonts w:eastAsiaTheme="minorHAnsi"/>
                <w:sz w:val="16"/>
                <w:szCs w:val="16"/>
                <w:lang w:eastAsia="en-US"/>
              </w:rPr>
              <w:t>76 950 000,00</w:t>
            </w:r>
          </w:p>
        </w:tc>
      </w:tr>
      <w:tr w:rsidR="009B0266" w:rsidRPr="00961CB3" w:rsidTr="00D905DE">
        <w:tc>
          <w:tcPr>
            <w:tcW w:w="4300" w:type="dxa"/>
            <w:tcBorders>
              <w:bottom w:val="single" w:sz="4" w:space="0" w:color="auto"/>
            </w:tcBorders>
            <w:shd w:val="clear" w:color="auto" w:fill="auto"/>
            <w:vAlign w:val="center"/>
          </w:tcPr>
          <w:p w:rsidR="009B0266" w:rsidRPr="00961CB3" w:rsidRDefault="009B0266" w:rsidP="009B0266">
            <w:pPr>
              <w:spacing w:beforeLines="20" w:before="48" w:afterLines="20" w:after="48"/>
              <w:jc w:val="center"/>
              <w:rPr>
                <w:sz w:val="16"/>
                <w:szCs w:val="16"/>
                <w:lang w:eastAsia="en-US"/>
              </w:rPr>
            </w:pPr>
            <w:r w:rsidRPr="00961CB3">
              <w:rPr>
                <w:sz w:val="16"/>
                <w:szCs w:val="16"/>
                <w:lang w:eastAsia="en-US"/>
              </w:rPr>
              <w:t>59(3)(d) – bez výnimiek</w:t>
            </w:r>
          </w:p>
        </w:tc>
        <w:tc>
          <w:tcPr>
            <w:tcW w:w="4772" w:type="dxa"/>
            <w:tcBorders>
              <w:bottom w:val="single" w:sz="4" w:space="0" w:color="auto"/>
            </w:tcBorders>
            <w:shd w:val="clear" w:color="auto" w:fill="auto"/>
            <w:vAlign w:val="center"/>
          </w:tcPr>
          <w:p w:rsidR="009B0266" w:rsidRPr="00961CB3" w:rsidRDefault="009B0266" w:rsidP="009B0266">
            <w:pPr>
              <w:spacing w:beforeLines="20" w:before="48" w:afterLines="20" w:after="48"/>
              <w:jc w:val="center"/>
              <w:rPr>
                <w:sz w:val="16"/>
                <w:szCs w:val="16"/>
                <w:lang w:eastAsia="en-US"/>
              </w:rPr>
            </w:pPr>
            <w:r w:rsidRPr="00961CB3">
              <w:rPr>
                <w:sz w:val="16"/>
                <w:szCs w:val="16"/>
                <w:lang w:eastAsia="en-US"/>
              </w:rPr>
              <w:t>3A</w:t>
            </w:r>
          </w:p>
        </w:tc>
        <w:tc>
          <w:tcPr>
            <w:tcW w:w="3828" w:type="dxa"/>
            <w:tcBorders>
              <w:bottom w:val="single" w:sz="4" w:space="0" w:color="auto"/>
            </w:tcBorders>
            <w:shd w:val="clear" w:color="auto" w:fill="auto"/>
            <w:vAlign w:val="center"/>
          </w:tcPr>
          <w:p w:rsidR="009B0266" w:rsidRPr="00961CB3" w:rsidRDefault="009B0266" w:rsidP="004F2B59">
            <w:pPr>
              <w:tabs>
                <w:tab w:val="left" w:pos="1877"/>
                <w:tab w:val="left" w:pos="2019"/>
              </w:tabs>
              <w:ind w:right="742"/>
              <w:jc w:val="right"/>
              <w:rPr>
                <w:rFonts w:eastAsiaTheme="minorHAnsi"/>
                <w:sz w:val="16"/>
                <w:szCs w:val="16"/>
                <w:lang w:eastAsia="en-US"/>
              </w:rPr>
            </w:pPr>
            <w:r w:rsidRPr="00961CB3">
              <w:rPr>
                <w:rFonts w:eastAsiaTheme="minorHAnsi"/>
                <w:sz w:val="16"/>
                <w:szCs w:val="16"/>
                <w:lang w:eastAsia="en-US"/>
              </w:rPr>
              <w:t>2 862 000,00</w:t>
            </w:r>
          </w:p>
        </w:tc>
      </w:tr>
      <w:tr w:rsidR="009B0266" w:rsidRPr="00050550" w:rsidTr="00D905DE">
        <w:tc>
          <w:tcPr>
            <w:tcW w:w="9072" w:type="dxa"/>
            <w:gridSpan w:val="2"/>
            <w:tcBorders>
              <w:bottom w:val="single" w:sz="4" w:space="0" w:color="auto"/>
            </w:tcBorders>
            <w:shd w:val="clear" w:color="auto" w:fill="DAEEF3" w:themeFill="accent5" w:themeFillTint="33"/>
            <w:vAlign w:val="center"/>
          </w:tcPr>
          <w:p w:rsidR="009B0266" w:rsidRPr="00050550" w:rsidRDefault="009B0266" w:rsidP="00D905DE">
            <w:pPr>
              <w:jc w:val="left"/>
              <w:rPr>
                <w:b/>
                <w:color w:val="8064A2"/>
                <w:sz w:val="20"/>
                <w:szCs w:val="20"/>
                <w:lang w:eastAsia="en-US"/>
              </w:rPr>
            </w:pPr>
            <w:r w:rsidRPr="00050550">
              <w:rPr>
                <w:b/>
                <w:sz w:val="20"/>
                <w:szCs w:val="20"/>
                <w:lang w:eastAsia="en-US"/>
              </w:rPr>
              <w:t xml:space="preserve">Celkovo opatrenie </w:t>
            </w:r>
            <w:r w:rsidR="00D905DE">
              <w:rPr>
                <w:b/>
                <w:sz w:val="20"/>
                <w:szCs w:val="20"/>
                <w:lang w:eastAsia="en-US"/>
              </w:rPr>
              <w:t xml:space="preserve"> 14 (</w:t>
            </w:r>
            <w:r w:rsidRPr="00050550">
              <w:rPr>
                <w:b/>
                <w:sz w:val="20"/>
                <w:szCs w:val="20"/>
                <w:lang w:eastAsia="en-US"/>
              </w:rPr>
              <w:t>čl. 33</w:t>
            </w:r>
            <w:r w:rsidR="00D905DE">
              <w:rPr>
                <w:b/>
                <w:sz w:val="20"/>
                <w:szCs w:val="20"/>
                <w:lang w:eastAsia="en-US"/>
              </w:rPr>
              <w:t>)</w:t>
            </w:r>
            <w:r w:rsidRPr="00050550">
              <w:rPr>
                <w:b/>
                <w:sz w:val="20"/>
                <w:szCs w:val="20"/>
                <w:lang w:eastAsia="en-US"/>
              </w:rPr>
              <w:t xml:space="preserve"> – Dobré životné podmienky zvierat</w:t>
            </w:r>
          </w:p>
        </w:tc>
        <w:tc>
          <w:tcPr>
            <w:tcW w:w="3828" w:type="dxa"/>
            <w:tcBorders>
              <w:bottom w:val="single" w:sz="4" w:space="0" w:color="auto"/>
            </w:tcBorders>
            <w:shd w:val="clear" w:color="auto" w:fill="DAEEF3" w:themeFill="accent5" w:themeFillTint="33"/>
            <w:vAlign w:val="center"/>
          </w:tcPr>
          <w:p w:rsidR="009B0266" w:rsidRPr="004F2B59" w:rsidRDefault="009B0266" w:rsidP="004F2B59">
            <w:pPr>
              <w:tabs>
                <w:tab w:val="left" w:pos="1877"/>
                <w:tab w:val="left" w:pos="2019"/>
              </w:tabs>
              <w:ind w:right="742"/>
              <w:jc w:val="right"/>
              <w:rPr>
                <w:rFonts w:eastAsiaTheme="minorHAnsi"/>
                <w:b/>
                <w:sz w:val="20"/>
                <w:szCs w:val="20"/>
                <w:lang w:eastAsia="en-US"/>
              </w:rPr>
            </w:pPr>
            <w:r w:rsidRPr="00050550">
              <w:rPr>
                <w:rFonts w:eastAsiaTheme="minorHAnsi"/>
                <w:b/>
                <w:sz w:val="20"/>
                <w:szCs w:val="20"/>
                <w:lang w:eastAsia="en-US"/>
              </w:rPr>
              <w:t>79 812 000,00</w:t>
            </w:r>
          </w:p>
        </w:tc>
      </w:tr>
    </w:tbl>
    <w:p w:rsidR="009B0266" w:rsidRPr="00961CB3" w:rsidRDefault="009B0266" w:rsidP="009B0266">
      <w:pPr>
        <w:keepNext/>
        <w:spacing w:after="80"/>
        <w:outlineLvl w:val="1"/>
        <w:rPr>
          <w:rFonts w:eastAsia="Calibri"/>
          <w:b/>
          <w:sz w:val="16"/>
          <w:szCs w:val="16"/>
          <w:lang w:eastAsia="ja-JP"/>
        </w:rPr>
      </w:pPr>
    </w:p>
    <w:tbl>
      <w:tblPr>
        <w:tblW w:w="1290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00"/>
        <w:gridCol w:w="4772"/>
        <w:gridCol w:w="3828"/>
      </w:tblGrid>
      <w:tr w:rsidR="009B0266" w:rsidRPr="00961CB3" w:rsidTr="00D905DE">
        <w:tc>
          <w:tcPr>
            <w:tcW w:w="4300" w:type="dxa"/>
            <w:tcBorders>
              <w:bottom w:val="single" w:sz="4" w:space="0" w:color="auto"/>
            </w:tcBorders>
            <w:shd w:val="clear" w:color="auto" w:fill="F2F2F2"/>
            <w:vAlign w:val="center"/>
          </w:tcPr>
          <w:p w:rsidR="009B0266" w:rsidRPr="00961CB3" w:rsidRDefault="009B0266" w:rsidP="009B0266">
            <w:pPr>
              <w:tabs>
                <w:tab w:val="left" w:pos="1185"/>
              </w:tabs>
              <w:spacing w:beforeLines="20" w:before="48" w:afterLines="20" w:after="48"/>
              <w:jc w:val="center"/>
              <w:rPr>
                <w:b/>
                <w:sz w:val="16"/>
                <w:szCs w:val="16"/>
                <w:lang w:eastAsia="en-US"/>
              </w:rPr>
            </w:pPr>
            <w:r w:rsidRPr="00961CB3">
              <w:rPr>
                <w:b/>
                <w:sz w:val="16"/>
                <w:szCs w:val="16"/>
                <w:lang w:eastAsia="en-US"/>
              </w:rPr>
              <w:t>Miera príspevku EPFRV</w:t>
            </w:r>
          </w:p>
        </w:tc>
        <w:tc>
          <w:tcPr>
            <w:tcW w:w="4772" w:type="dxa"/>
            <w:tcBorders>
              <w:bottom w:val="single" w:sz="4" w:space="0" w:color="auto"/>
            </w:tcBorders>
            <w:shd w:val="clear" w:color="auto" w:fill="F2F2F2"/>
            <w:vAlign w:val="center"/>
          </w:tcPr>
          <w:p w:rsidR="009B0266" w:rsidRPr="00961CB3" w:rsidRDefault="009B0266" w:rsidP="009B0266">
            <w:pPr>
              <w:tabs>
                <w:tab w:val="left" w:pos="1185"/>
              </w:tabs>
              <w:spacing w:beforeLines="20" w:before="48" w:afterLines="20" w:after="48"/>
              <w:jc w:val="center"/>
              <w:rPr>
                <w:b/>
                <w:sz w:val="16"/>
                <w:szCs w:val="16"/>
                <w:lang w:eastAsia="en-US"/>
              </w:rPr>
            </w:pPr>
            <w:r w:rsidRPr="00961CB3">
              <w:rPr>
                <w:b/>
                <w:sz w:val="16"/>
                <w:szCs w:val="16"/>
                <w:lang w:eastAsia="en-US"/>
              </w:rPr>
              <w:t>Fokusová oblasť</w:t>
            </w:r>
          </w:p>
        </w:tc>
        <w:tc>
          <w:tcPr>
            <w:tcW w:w="3828" w:type="dxa"/>
            <w:tcBorders>
              <w:bottom w:val="single" w:sz="4" w:space="0" w:color="auto"/>
            </w:tcBorders>
            <w:shd w:val="clear" w:color="auto" w:fill="F2F2F2"/>
            <w:vAlign w:val="center"/>
          </w:tcPr>
          <w:p w:rsidR="009B0266" w:rsidRPr="00961CB3" w:rsidRDefault="009B0266" w:rsidP="009B0266">
            <w:pPr>
              <w:tabs>
                <w:tab w:val="left" w:pos="1185"/>
              </w:tabs>
              <w:spacing w:beforeLines="20" w:before="48" w:afterLines="20" w:after="48"/>
              <w:jc w:val="center"/>
              <w:rPr>
                <w:b/>
                <w:sz w:val="16"/>
                <w:szCs w:val="16"/>
                <w:lang w:eastAsia="en-US"/>
              </w:rPr>
            </w:pPr>
            <w:r w:rsidRPr="00961CB3">
              <w:rPr>
                <w:b/>
                <w:sz w:val="16"/>
                <w:szCs w:val="16"/>
                <w:lang w:eastAsia="en-US"/>
              </w:rPr>
              <w:t>Celkový príspevok EPFRV</w:t>
            </w:r>
          </w:p>
        </w:tc>
      </w:tr>
      <w:tr w:rsidR="009B0266" w:rsidRPr="00961CB3" w:rsidTr="00D905DE">
        <w:tc>
          <w:tcPr>
            <w:tcW w:w="4300" w:type="dxa"/>
            <w:tcBorders>
              <w:bottom w:val="single" w:sz="4" w:space="0" w:color="auto"/>
            </w:tcBorders>
            <w:shd w:val="clear" w:color="auto" w:fill="auto"/>
            <w:vAlign w:val="center"/>
          </w:tcPr>
          <w:p w:rsidR="009B0266" w:rsidRPr="00961CB3" w:rsidRDefault="009B0266" w:rsidP="009B0266">
            <w:pPr>
              <w:spacing w:beforeLines="20" w:before="48" w:afterLines="20" w:after="48"/>
              <w:jc w:val="center"/>
              <w:rPr>
                <w:sz w:val="16"/>
                <w:szCs w:val="16"/>
                <w:lang w:eastAsia="en-US"/>
              </w:rPr>
            </w:pPr>
            <w:r w:rsidRPr="00961CB3">
              <w:rPr>
                <w:sz w:val="16"/>
                <w:szCs w:val="16"/>
                <w:lang w:eastAsia="en-US"/>
              </w:rPr>
              <w:t>59(3)(a) – bez výnimiek</w:t>
            </w:r>
          </w:p>
        </w:tc>
        <w:tc>
          <w:tcPr>
            <w:tcW w:w="4772" w:type="dxa"/>
            <w:tcBorders>
              <w:bottom w:val="single" w:sz="4" w:space="0" w:color="auto"/>
            </w:tcBorders>
            <w:shd w:val="clear" w:color="auto" w:fill="auto"/>
            <w:vAlign w:val="center"/>
          </w:tcPr>
          <w:p w:rsidR="009B0266" w:rsidRPr="00961CB3" w:rsidRDefault="009B0266" w:rsidP="009B0266">
            <w:pPr>
              <w:spacing w:beforeLines="20" w:before="48" w:afterLines="20" w:after="48"/>
              <w:jc w:val="center"/>
              <w:rPr>
                <w:sz w:val="16"/>
                <w:szCs w:val="16"/>
                <w:lang w:eastAsia="en-US"/>
              </w:rPr>
            </w:pPr>
            <w:r w:rsidRPr="00961CB3">
              <w:rPr>
                <w:sz w:val="16"/>
                <w:szCs w:val="16"/>
                <w:lang w:eastAsia="en-US"/>
              </w:rPr>
              <w:t>4</w:t>
            </w:r>
          </w:p>
        </w:tc>
        <w:tc>
          <w:tcPr>
            <w:tcW w:w="3828" w:type="dxa"/>
            <w:tcBorders>
              <w:bottom w:val="single" w:sz="4" w:space="0" w:color="auto"/>
            </w:tcBorders>
            <w:shd w:val="clear" w:color="auto" w:fill="auto"/>
            <w:vAlign w:val="center"/>
          </w:tcPr>
          <w:p w:rsidR="009B0266" w:rsidRPr="00961CB3" w:rsidRDefault="009B0266" w:rsidP="004F2B59">
            <w:pPr>
              <w:tabs>
                <w:tab w:val="left" w:pos="1877"/>
                <w:tab w:val="left" w:pos="2019"/>
              </w:tabs>
              <w:ind w:right="742"/>
              <w:jc w:val="right"/>
              <w:rPr>
                <w:rFonts w:eastAsiaTheme="minorHAnsi"/>
                <w:sz w:val="16"/>
                <w:szCs w:val="16"/>
                <w:lang w:eastAsia="en-US"/>
              </w:rPr>
            </w:pPr>
            <w:r w:rsidRPr="00961CB3">
              <w:rPr>
                <w:rFonts w:eastAsiaTheme="minorHAnsi"/>
                <w:sz w:val="16"/>
                <w:szCs w:val="16"/>
                <w:lang w:eastAsia="en-US"/>
              </w:rPr>
              <w:t>3 712 500,00</w:t>
            </w:r>
          </w:p>
        </w:tc>
      </w:tr>
      <w:tr w:rsidR="009B0266" w:rsidRPr="00961CB3" w:rsidTr="00D905DE">
        <w:tc>
          <w:tcPr>
            <w:tcW w:w="4300" w:type="dxa"/>
            <w:tcBorders>
              <w:bottom w:val="single" w:sz="4" w:space="0" w:color="auto"/>
            </w:tcBorders>
            <w:shd w:val="clear" w:color="auto" w:fill="auto"/>
            <w:vAlign w:val="center"/>
          </w:tcPr>
          <w:p w:rsidR="009B0266" w:rsidRPr="00961CB3" w:rsidRDefault="009B0266" w:rsidP="009B0266">
            <w:pPr>
              <w:spacing w:beforeLines="20" w:before="48" w:afterLines="20" w:after="48"/>
              <w:jc w:val="center"/>
              <w:rPr>
                <w:sz w:val="16"/>
                <w:szCs w:val="16"/>
                <w:lang w:eastAsia="en-US"/>
              </w:rPr>
            </w:pPr>
            <w:r w:rsidRPr="00961CB3">
              <w:rPr>
                <w:sz w:val="16"/>
                <w:szCs w:val="16"/>
                <w:lang w:eastAsia="en-US"/>
              </w:rPr>
              <w:t>59(3)(d) – bez výnimiek</w:t>
            </w:r>
          </w:p>
        </w:tc>
        <w:tc>
          <w:tcPr>
            <w:tcW w:w="4772" w:type="dxa"/>
            <w:tcBorders>
              <w:bottom w:val="single" w:sz="4" w:space="0" w:color="auto"/>
            </w:tcBorders>
            <w:shd w:val="clear" w:color="auto" w:fill="auto"/>
            <w:vAlign w:val="center"/>
          </w:tcPr>
          <w:p w:rsidR="009B0266" w:rsidRPr="00961CB3" w:rsidRDefault="009B0266" w:rsidP="009B0266">
            <w:pPr>
              <w:spacing w:beforeLines="20" w:before="48" w:afterLines="20" w:after="48"/>
              <w:jc w:val="center"/>
              <w:rPr>
                <w:sz w:val="16"/>
                <w:szCs w:val="16"/>
                <w:lang w:eastAsia="en-US"/>
              </w:rPr>
            </w:pPr>
            <w:r w:rsidRPr="00961CB3">
              <w:rPr>
                <w:sz w:val="16"/>
                <w:szCs w:val="16"/>
                <w:lang w:eastAsia="en-US"/>
              </w:rPr>
              <w:t>4</w:t>
            </w:r>
          </w:p>
        </w:tc>
        <w:tc>
          <w:tcPr>
            <w:tcW w:w="3828" w:type="dxa"/>
            <w:tcBorders>
              <w:bottom w:val="single" w:sz="4" w:space="0" w:color="auto"/>
            </w:tcBorders>
            <w:shd w:val="clear" w:color="auto" w:fill="auto"/>
            <w:vAlign w:val="center"/>
          </w:tcPr>
          <w:p w:rsidR="009B0266" w:rsidRPr="00961CB3" w:rsidRDefault="009B0266" w:rsidP="004F2B59">
            <w:pPr>
              <w:tabs>
                <w:tab w:val="left" w:pos="1877"/>
                <w:tab w:val="left" w:pos="2019"/>
              </w:tabs>
              <w:ind w:right="742"/>
              <w:jc w:val="right"/>
              <w:rPr>
                <w:rFonts w:eastAsiaTheme="minorHAnsi"/>
                <w:sz w:val="16"/>
                <w:szCs w:val="16"/>
                <w:lang w:eastAsia="en-US"/>
              </w:rPr>
            </w:pPr>
            <w:r w:rsidRPr="00961CB3">
              <w:rPr>
                <w:rFonts w:eastAsiaTheme="minorHAnsi"/>
                <w:sz w:val="16"/>
                <w:szCs w:val="16"/>
                <w:lang w:eastAsia="en-US"/>
              </w:rPr>
              <w:t>0,00</w:t>
            </w:r>
          </w:p>
        </w:tc>
      </w:tr>
      <w:tr w:rsidR="009B0266" w:rsidRPr="00050550" w:rsidTr="00D905DE">
        <w:tc>
          <w:tcPr>
            <w:tcW w:w="9072" w:type="dxa"/>
            <w:gridSpan w:val="2"/>
            <w:tcBorders>
              <w:bottom w:val="single" w:sz="4" w:space="0" w:color="auto"/>
            </w:tcBorders>
            <w:shd w:val="clear" w:color="auto" w:fill="DAEEF3" w:themeFill="accent5" w:themeFillTint="33"/>
            <w:vAlign w:val="center"/>
          </w:tcPr>
          <w:p w:rsidR="009B0266" w:rsidRPr="00050550" w:rsidRDefault="009B0266" w:rsidP="00D905DE">
            <w:pPr>
              <w:jc w:val="left"/>
              <w:rPr>
                <w:b/>
                <w:color w:val="8064A2"/>
                <w:sz w:val="20"/>
                <w:szCs w:val="20"/>
                <w:lang w:eastAsia="en-US"/>
              </w:rPr>
            </w:pPr>
            <w:r w:rsidRPr="00050550">
              <w:rPr>
                <w:b/>
                <w:sz w:val="20"/>
                <w:szCs w:val="20"/>
                <w:lang w:eastAsia="en-US"/>
              </w:rPr>
              <w:t xml:space="preserve">Celkovo opatrenie </w:t>
            </w:r>
            <w:r w:rsidR="00D905DE">
              <w:rPr>
                <w:b/>
                <w:sz w:val="20"/>
                <w:szCs w:val="20"/>
                <w:lang w:eastAsia="en-US"/>
              </w:rPr>
              <w:t>15 (</w:t>
            </w:r>
            <w:r w:rsidRPr="00050550">
              <w:rPr>
                <w:b/>
                <w:sz w:val="20"/>
                <w:szCs w:val="20"/>
                <w:lang w:eastAsia="en-US"/>
              </w:rPr>
              <w:t>čl. 34</w:t>
            </w:r>
            <w:r w:rsidR="00D905DE">
              <w:rPr>
                <w:b/>
                <w:sz w:val="20"/>
                <w:szCs w:val="20"/>
                <w:lang w:eastAsia="en-US"/>
              </w:rPr>
              <w:t>)</w:t>
            </w:r>
            <w:r w:rsidRPr="00050550">
              <w:rPr>
                <w:b/>
                <w:sz w:val="20"/>
                <w:szCs w:val="20"/>
                <w:lang w:eastAsia="en-US"/>
              </w:rPr>
              <w:t xml:space="preserve"> – Lesnícko-environmentálne a klimatické služby a ochrana lesov</w:t>
            </w:r>
          </w:p>
        </w:tc>
        <w:tc>
          <w:tcPr>
            <w:tcW w:w="3828" w:type="dxa"/>
            <w:tcBorders>
              <w:bottom w:val="single" w:sz="4" w:space="0" w:color="auto"/>
            </w:tcBorders>
            <w:shd w:val="clear" w:color="auto" w:fill="DAEEF3" w:themeFill="accent5" w:themeFillTint="33"/>
            <w:vAlign w:val="center"/>
          </w:tcPr>
          <w:p w:rsidR="009B0266" w:rsidRPr="004F2B59" w:rsidRDefault="009B0266" w:rsidP="004F2B59">
            <w:pPr>
              <w:tabs>
                <w:tab w:val="left" w:pos="1877"/>
                <w:tab w:val="left" w:pos="2019"/>
              </w:tabs>
              <w:ind w:right="742"/>
              <w:jc w:val="right"/>
              <w:rPr>
                <w:rFonts w:eastAsiaTheme="minorHAnsi"/>
                <w:b/>
                <w:sz w:val="20"/>
                <w:szCs w:val="20"/>
                <w:lang w:eastAsia="en-US"/>
              </w:rPr>
            </w:pPr>
            <w:r w:rsidRPr="00050550">
              <w:rPr>
                <w:rFonts w:eastAsiaTheme="minorHAnsi"/>
                <w:b/>
                <w:sz w:val="20"/>
                <w:szCs w:val="20"/>
                <w:lang w:eastAsia="en-US"/>
              </w:rPr>
              <w:t>3 712 500,00</w:t>
            </w:r>
          </w:p>
        </w:tc>
      </w:tr>
    </w:tbl>
    <w:p w:rsidR="009B0266" w:rsidRPr="00961CB3" w:rsidRDefault="009B0266" w:rsidP="009B0266">
      <w:pPr>
        <w:keepNext/>
        <w:spacing w:after="80"/>
        <w:outlineLvl w:val="1"/>
        <w:rPr>
          <w:rFonts w:eastAsia="Calibri"/>
          <w:b/>
          <w:sz w:val="16"/>
          <w:szCs w:val="16"/>
          <w:lang w:eastAsia="ja-JP"/>
        </w:rPr>
      </w:pPr>
    </w:p>
    <w:tbl>
      <w:tblPr>
        <w:tblW w:w="1290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00"/>
        <w:gridCol w:w="4772"/>
        <w:gridCol w:w="3828"/>
      </w:tblGrid>
      <w:tr w:rsidR="009B0266" w:rsidRPr="00961CB3" w:rsidTr="00D905DE">
        <w:tc>
          <w:tcPr>
            <w:tcW w:w="4300" w:type="dxa"/>
            <w:tcBorders>
              <w:bottom w:val="single" w:sz="4" w:space="0" w:color="auto"/>
            </w:tcBorders>
            <w:shd w:val="clear" w:color="auto" w:fill="F2F2F2"/>
            <w:vAlign w:val="center"/>
          </w:tcPr>
          <w:p w:rsidR="009B0266" w:rsidRPr="00961CB3" w:rsidRDefault="009B0266" w:rsidP="009B0266">
            <w:pPr>
              <w:tabs>
                <w:tab w:val="left" w:pos="1185"/>
              </w:tabs>
              <w:spacing w:beforeLines="20" w:before="48" w:afterLines="20" w:after="48"/>
              <w:jc w:val="center"/>
              <w:rPr>
                <w:b/>
                <w:sz w:val="16"/>
                <w:szCs w:val="16"/>
                <w:lang w:eastAsia="en-US"/>
              </w:rPr>
            </w:pPr>
            <w:r w:rsidRPr="00961CB3">
              <w:rPr>
                <w:b/>
                <w:sz w:val="16"/>
                <w:szCs w:val="16"/>
                <w:lang w:eastAsia="en-US"/>
              </w:rPr>
              <w:t>Miera príspevku EPFRV</w:t>
            </w:r>
          </w:p>
        </w:tc>
        <w:tc>
          <w:tcPr>
            <w:tcW w:w="4772" w:type="dxa"/>
            <w:tcBorders>
              <w:bottom w:val="single" w:sz="4" w:space="0" w:color="auto"/>
            </w:tcBorders>
            <w:shd w:val="clear" w:color="auto" w:fill="F2F2F2"/>
            <w:vAlign w:val="center"/>
          </w:tcPr>
          <w:p w:rsidR="009B0266" w:rsidRPr="00961CB3" w:rsidRDefault="009B0266" w:rsidP="009B0266">
            <w:pPr>
              <w:tabs>
                <w:tab w:val="left" w:pos="1185"/>
              </w:tabs>
              <w:spacing w:beforeLines="20" w:before="48" w:afterLines="20" w:after="48"/>
              <w:jc w:val="center"/>
              <w:rPr>
                <w:b/>
                <w:sz w:val="16"/>
                <w:szCs w:val="16"/>
                <w:lang w:eastAsia="en-US"/>
              </w:rPr>
            </w:pPr>
            <w:r w:rsidRPr="00961CB3">
              <w:rPr>
                <w:b/>
                <w:sz w:val="16"/>
                <w:szCs w:val="16"/>
                <w:lang w:eastAsia="en-US"/>
              </w:rPr>
              <w:t>Fokusová oblasť</w:t>
            </w:r>
          </w:p>
        </w:tc>
        <w:tc>
          <w:tcPr>
            <w:tcW w:w="3828" w:type="dxa"/>
            <w:tcBorders>
              <w:bottom w:val="single" w:sz="4" w:space="0" w:color="auto"/>
            </w:tcBorders>
            <w:shd w:val="clear" w:color="auto" w:fill="F2F2F2"/>
            <w:vAlign w:val="center"/>
          </w:tcPr>
          <w:p w:rsidR="009B0266" w:rsidRPr="00961CB3" w:rsidRDefault="009B0266" w:rsidP="009B0266">
            <w:pPr>
              <w:tabs>
                <w:tab w:val="left" w:pos="1185"/>
              </w:tabs>
              <w:spacing w:beforeLines="20" w:before="48" w:afterLines="20" w:after="48"/>
              <w:jc w:val="center"/>
              <w:rPr>
                <w:b/>
                <w:sz w:val="16"/>
                <w:szCs w:val="16"/>
                <w:lang w:eastAsia="en-US"/>
              </w:rPr>
            </w:pPr>
            <w:r w:rsidRPr="00961CB3">
              <w:rPr>
                <w:b/>
                <w:sz w:val="16"/>
                <w:szCs w:val="16"/>
                <w:lang w:eastAsia="en-US"/>
              </w:rPr>
              <w:t>Celkový príspevok EPFRV</w:t>
            </w:r>
          </w:p>
        </w:tc>
      </w:tr>
      <w:tr w:rsidR="009B0266" w:rsidRPr="00961CB3" w:rsidTr="00D905DE">
        <w:tc>
          <w:tcPr>
            <w:tcW w:w="4300" w:type="dxa"/>
            <w:tcBorders>
              <w:bottom w:val="single" w:sz="4" w:space="0" w:color="auto"/>
            </w:tcBorders>
            <w:shd w:val="clear" w:color="auto" w:fill="auto"/>
            <w:vAlign w:val="center"/>
          </w:tcPr>
          <w:p w:rsidR="009B0266" w:rsidRPr="00961CB3" w:rsidRDefault="009B0266" w:rsidP="009B0266">
            <w:pPr>
              <w:spacing w:beforeLines="20" w:before="48" w:afterLines="20" w:after="48"/>
              <w:jc w:val="center"/>
              <w:rPr>
                <w:sz w:val="16"/>
                <w:szCs w:val="16"/>
                <w:lang w:eastAsia="en-US"/>
              </w:rPr>
            </w:pPr>
            <w:r w:rsidRPr="00961CB3">
              <w:rPr>
                <w:sz w:val="16"/>
                <w:szCs w:val="16"/>
                <w:lang w:eastAsia="en-US"/>
              </w:rPr>
              <w:t>59(3)(a) – bez výnimiek</w:t>
            </w:r>
          </w:p>
        </w:tc>
        <w:tc>
          <w:tcPr>
            <w:tcW w:w="4772" w:type="dxa"/>
            <w:tcBorders>
              <w:bottom w:val="single" w:sz="4" w:space="0" w:color="auto"/>
            </w:tcBorders>
            <w:shd w:val="clear" w:color="auto" w:fill="auto"/>
            <w:vAlign w:val="center"/>
          </w:tcPr>
          <w:p w:rsidR="009B0266" w:rsidRPr="00961CB3" w:rsidRDefault="009B0266" w:rsidP="009B0266">
            <w:pPr>
              <w:spacing w:beforeLines="20" w:before="48" w:afterLines="20" w:after="48"/>
              <w:jc w:val="center"/>
              <w:rPr>
                <w:sz w:val="16"/>
                <w:szCs w:val="16"/>
                <w:lang w:eastAsia="en-US"/>
              </w:rPr>
            </w:pPr>
            <w:r w:rsidRPr="00961CB3">
              <w:rPr>
                <w:sz w:val="16"/>
                <w:szCs w:val="16"/>
                <w:lang w:eastAsia="en-US"/>
              </w:rPr>
              <w:t>2A</w:t>
            </w:r>
          </w:p>
        </w:tc>
        <w:tc>
          <w:tcPr>
            <w:tcW w:w="3828" w:type="dxa"/>
            <w:tcBorders>
              <w:bottom w:val="single" w:sz="4" w:space="0" w:color="auto"/>
            </w:tcBorders>
            <w:shd w:val="clear" w:color="auto" w:fill="auto"/>
            <w:vAlign w:val="bottom"/>
          </w:tcPr>
          <w:p w:rsidR="009B0266" w:rsidRPr="00961CB3" w:rsidRDefault="009B0266" w:rsidP="004F2B59">
            <w:pPr>
              <w:tabs>
                <w:tab w:val="left" w:pos="1877"/>
                <w:tab w:val="left" w:pos="2019"/>
              </w:tabs>
              <w:ind w:right="742"/>
              <w:jc w:val="right"/>
              <w:rPr>
                <w:rFonts w:eastAsiaTheme="minorHAnsi"/>
                <w:sz w:val="16"/>
                <w:szCs w:val="16"/>
                <w:lang w:eastAsia="en-US"/>
              </w:rPr>
            </w:pPr>
            <w:r w:rsidRPr="00961CB3">
              <w:rPr>
                <w:rFonts w:eastAsiaTheme="minorHAnsi"/>
                <w:sz w:val="16"/>
                <w:szCs w:val="16"/>
                <w:lang w:eastAsia="en-US"/>
              </w:rPr>
              <w:t>1 425 000,00</w:t>
            </w:r>
          </w:p>
        </w:tc>
      </w:tr>
      <w:tr w:rsidR="009B0266" w:rsidRPr="00961CB3" w:rsidTr="00D905DE">
        <w:tc>
          <w:tcPr>
            <w:tcW w:w="4300" w:type="dxa"/>
            <w:tcBorders>
              <w:bottom w:val="single" w:sz="4" w:space="0" w:color="auto"/>
            </w:tcBorders>
            <w:shd w:val="clear" w:color="auto" w:fill="auto"/>
            <w:vAlign w:val="center"/>
          </w:tcPr>
          <w:p w:rsidR="009B0266" w:rsidRPr="00961CB3" w:rsidRDefault="009B0266" w:rsidP="009B0266">
            <w:pPr>
              <w:spacing w:beforeLines="20" w:before="48" w:afterLines="20" w:after="48"/>
              <w:jc w:val="center"/>
              <w:rPr>
                <w:sz w:val="16"/>
                <w:szCs w:val="16"/>
                <w:lang w:eastAsia="en-US"/>
              </w:rPr>
            </w:pPr>
            <w:r w:rsidRPr="00961CB3">
              <w:rPr>
                <w:sz w:val="16"/>
                <w:szCs w:val="16"/>
                <w:lang w:eastAsia="en-US"/>
              </w:rPr>
              <w:t>59(3)(a) – bez výnimiek</w:t>
            </w:r>
          </w:p>
        </w:tc>
        <w:tc>
          <w:tcPr>
            <w:tcW w:w="4772" w:type="dxa"/>
            <w:tcBorders>
              <w:bottom w:val="single" w:sz="4" w:space="0" w:color="auto"/>
            </w:tcBorders>
            <w:shd w:val="clear" w:color="auto" w:fill="auto"/>
            <w:vAlign w:val="center"/>
          </w:tcPr>
          <w:p w:rsidR="009B0266" w:rsidRPr="00961CB3" w:rsidRDefault="009B0266" w:rsidP="009B0266">
            <w:pPr>
              <w:spacing w:beforeLines="20" w:before="48" w:afterLines="20" w:after="48"/>
              <w:jc w:val="center"/>
              <w:rPr>
                <w:sz w:val="16"/>
                <w:szCs w:val="16"/>
                <w:lang w:eastAsia="en-US"/>
              </w:rPr>
            </w:pPr>
            <w:r w:rsidRPr="00961CB3">
              <w:rPr>
                <w:sz w:val="16"/>
                <w:szCs w:val="16"/>
                <w:lang w:eastAsia="en-US"/>
              </w:rPr>
              <w:t>3A</w:t>
            </w:r>
          </w:p>
        </w:tc>
        <w:tc>
          <w:tcPr>
            <w:tcW w:w="3828" w:type="dxa"/>
            <w:tcBorders>
              <w:bottom w:val="single" w:sz="4" w:space="0" w:color="auto"/>
            </w:tcBorders>
            <w:shd w:val="clear" w:color="auto" w:fill="auto"/>
            <w:vAlign w:val="bottom"/>
          </w:tcPr>
          <w:p w:rsidR="009B0266" w:rsidRPr="00961CB3" w:rsidRDefault="009B0266" w:rsidP="004F2B59">
            <w:pPr>
              <w:tabs>
                <w:tab w:val="left" w:pos="1877"/>
                <w:tab w:val="left" w:pos="2019"/>
              </w:tabs>
              <w:ind w:right="742"/>
              <w:jc w:val="right"/>
              <w:rPr>
                <w:rFonts w:eastAsiaTheme="minorHAnsi"/>
                <w:sz w:val="16"/>
                <w:szCs w:val="16"/>
                <w:lang w:eastAsia="en-US"/>
              </w:rPr>
            </w:pPr>
            <w:r w:rsidRPr="00961CB3">
              <w:rPr>
                <w:rFonts w:eastAsiaTheme="minorHAnsi"/>
                <w:sz w:val="16"/>
                <w:szCs w:val="16"/>
                <w:lang w:eastAsia="en-US"/>
              </w:rPr>
              <w:t>17 483 810,84</w:t>
            </w:r>
          </w:p>
        </w:tc>
      </w:tr>
      <w:tr w:rsidR="009B0266" w:rsidRPr="00961CB3" w:rsidTr="00D905DE">
        <w:tc>
          <w:tcPr>
            <w:tcW w:w="4300" w:type="dxa"/>
            <w:tcBorders>
              <w:bottom w:val="single" w:sz="4" w:space="0" w:color="auto"/>
            </w:tcBorders>
            <w:shd w:val="clear" w:color="auto" w:fill="auto"/>
            <w:vAlign w:val="center"/>
          </w:tcPr>
          <w:p w:rsidR="009B0266" w:rsidRPr="00961CB3" w:rsidRDefault="009B0266" w:rsidP="009B0266">
            <w:pPr>
              <w:spacing w:beforeLines="20" w:before="48" w:afterLines="20" w:after="48"/>
              <w:jc w:val="center"/>
              <w:rPr>
                <w:sz w:val="16"/>
                <w:szCs w:val="16"/>
                <w:lang w:eastAsia="en-US"/>
              </w:rPr>
            </w:pPr>
            <w:r w:rsidRPr="00961CB3">
              <w:rPr>
                <w:sz w:val="16"/>
                <w:szCs w:val="16"/>
                <w:lang w:eastAsia="en-US"/>
              </w:rPr>
              <w:t>59(3)(a) – bez výnimiek</w:t>
            </w:r>
          </w:p>
        </w:tc>
        <w:tc>
          <w:tcPr>
            <w:tcW w:w="4772" w:type="dxa"/>
            <w:tcBorders>
              <w:bottom w:val="single" w:sz="4" w:space="0" w:color="auto"/>
            </w:tcBorders>
            <w:shd w:val="clear" w:color="auto" w:fill="auto"/>
            <w:vAlign w:val="center"/>
          </w:tcPr>
          <w:p w:rsidR="009B0266" w:rsidRPr="00961CB3" w:rsidRDefault="009B0266" w:rsidP="009B0266">
            <w:pPr>
              <w:spacing w:beforeLines="20" w:before="48" w:afterLines="20" w:after="48"/>
              <w:jc w:val="center"/>
              <w:rPr>
                <w:sz w:val="16"/>
                <w:szCs w:val="16"/>
                <w:lang w:eastAsia="en-US"/>
              </w:rPr>
            </w:pPr>
            <w:r w:rsidRPr="00961CB3">
              <w:rPr>
                <w:sz w:val="16"/>
                <w:szCs w:val="16"/>
                <w:lang w:eastAsia="en-US"/>
              </w:rPr>
              <w:t>4</w:t>
            </w:r>
          </w:p>
        </w:tc>
        <w:tc>
          <w:tcPr>
            <w:tcW w:w="3828" w:type="dxa"/>
            <w:tcBorders>
              <w:bottom w:val="single" w:sz="4" w:space="0" w:color="auto"/>
            </w:tcBorders>
            <w:shd w:val="clear" w:color="auto" w:fill="auto"/>
            <w:vAlign w:val="bottom"/>
          </w:tcPr>
          <w:p w:rsidR="009B0266" w:rsidRPr="00961CB3" w:rsidRDefault="009B0266" w:rsidP="004F2B59">
            <w:pPr>
              <w:tabs>
                <w:tab w:val="left" w:pos="1877"/>
                <w:tab w:val="left" w:pos="2019"/>
              </w:tabs>
              <w:ind w:right="742"/>
              <w:jc w:val="right"/>
              <w:rPr>
                <w:rFonts w:eastAsiaTheme="minorHAnsi"/>
                <w:sz w:val="16"/>
                <w:szCs w:val="16"/>
                <w:lang w:eastAsia="en-US"/>
              </w:rPr>
            </w:pPr>
            <w:r w:rsidRPr="00961CB3">
              <w:rPr>
                <w:rFonts w:eastAsiaTheme="minorHAnsi"/>
                <w:sz w:val="16"/>
                <w:szCs w:val="16"/>
                <w:lang w:eastAsia="en-US"/>
              </w:rPr>
              <w:t>27 118 689,16</w:t>
            </w:r>
          </w:p>
        </w:tc>
      </w:tr>
      <w:tr w:rsidR="009B0266" w:rsidRPr="00961CB3" w:rsidTr="00D905DE">
        <w:tc>
          <w:tcPr>
            <w:tcW w:w="4300" w:type="dxa"/>
            <w:tcBorders>
              <w:bottom w:val="single" w:sz="4" w:space="0" w:color="auto"/>
            </w:tcBorders>
            <w:shd w:val="clear" w:color="auto" w:fill="auto"/>
            <w:vAlign w:val="center"/>
          </w:tcPr>
          <w:p w:rsidR="009B0266" w:rsidRPr="00961CB3" w:rsidRDefault="009B0266" w:rsidP="009B0266">
            <w:pPr>
              <w:spacing w:beforeLines="20" w:before="48" w:afterLines="20" w:after="48"/>
              <w:jc w:val="center"/>
              <w:rPr>
                <w:sz w:val="16"/>
                <w:szCs w:val="16"/>
                <w:lang w:eastAsia="en-US"/>
              </w:rPr>
            </w:pPr>
            <w:r w:rsidRPr="00961CB3">
              <w:rPr>
                <w:sz w:val="16"/>
                <w:szCs w:val="16"/>
                <w:lang w:eastAsia="en-US"/>
              </w:rPr>
              <w:t>59(3)(a) – bez výnimiek</w:t>
            </w:r>
          </w:p>
        </w:tc>
        <w:tc>
          <w:tcPr>
            <w:tcW w:w="4772" w:type="dxa"/>
            <w:tcBorders>
              <w:bottom w:val="single" w:sz="4" w:space="0" w:color="auto"/>
            </w:tcBorders>
            <w:shd w:val="clear" w:color="auto" w:fill="auto"/>
            <w:vAlign w:val="center"/>
          </w:tcPr>
          <w:p w:rsidR="009B0266" w:rsidRPr="00961CB3" w:rsidRDefault="009B0266" w:rsidP="009B0266">
            <w:pPr>
              <w:spacing w:beforeLines="20" w:before="48" w:afterLines="20" w:after="48"/>
              <w:jc w:val="center"/>
              <w:rPr>
                <w:sz w:val="16"/>
                <w:szCs w:val="16"/>
                <w:lang w:eastAsia="en-US"/>
              </w:rPr>
            </w:pPr>
            <w:r w:rsidRPr="00961CB3">
              <w:rPr>
                <w:sz w:val="16"/>
                <w:szCs w:val="16"/>
                <w:lang w:eastAsia="en-US"/>
              </w:rPr>
              <w:t>5C</w:t>
            </w:r>
          </w:p>
        </w:tc>
        <w:tc>
          <w:tcPr>
            <w:tcW w:w="3828" w:type="dxa"/>
            <w:tcBorders>
              <w:bottom w:val="single" w:sz="4" w:space="0" w:color="auto"/>
            </w:tcBorders>
            <w:shd w:val="clear" w:color="auto" w:fill="auto"/>
            <w:vAlign w:val="bottom"/>
          </w:tcPr>
          <w:p w:rsidR="009B0266" w:rsidRPr="00961CB3" w:rsidRDefault="009B0266" w:rsidP="004F2B59">
            <w:pPr>
              <w:tabs>
                <w:tab w:val="left" w:pos="1877"/>
                <w:tab w:val="left" w:pos="2019"/>
              </w:tabs>
              <w:ind w:right="742"/>
              <w:jc w:val="right"/>
              <w:rPr>
                <w:rFonts w:eastAsiaTheme="minorHAnsi"/>
                <w:sz w:val="16"/>
                <w:szCs w:val="16"/>
                <w:lang w:eastAsia="en-US"/>
              </w:rPr>
            </w:pPr>
            <w:r w:rsidRPr="00961CB3">
              <w:rPr>
                <w:rFonts w:eastAsiaTheme="minorHAnsi"/>
                <w:sz w:val="16"/>
                <w:szCs w:val="16"/>
                <w:lang w:eastAsia="en-US"/>
              </w:rPr>
              <w:t>712 500,00</w:t>
            </w:r>
          </w:p>
        </w:tc>
      </w:tr>
      <w:tr w:rsidR="009B0266" w:rsidRPr="00961CB3" w:rsidTr="00D905DE">
        <w:tc>
          <w:tcPr>
            <w:tcW w:w="4300" w:type="dxa"/>
            <w:tcBorders>
              <w:bottom w:val="single" w:sz="4" w:space="0" w:color="auto"/>
            </w:tcBorders>
            <w:shd w:val="clear" w:color="auto" w:fill="auto"/>
            <w:vAlign w:val="center"/>
          </w:tcPr>
          <w:p w:rsidR="009B0266" w:rsidRPr="00961CB3" w:rsidRDefault="009B0266" w:rsidP="009B0266">
            <w:pPr>
              <w:spacing w:beforeLines="20" w:before="48" w:afterLines="20" w:after="48"/>
              <w:jc w:val="center"/>
              <w:rPr>
                <w:sz w:val="16"/>
                <w:szCs w:val="16"/>
                <w:lang w:eastAsia="en-US"/>
              </w:rPr>
            </w:pPr>
            <w:r w:rsidRPr="00961CB3">
              <w:rPr>
                <w:sz w:val="16"/>
                <w:szCs w:val="16"/>
                <w:lang w:eastAsia="en-US"/>
              </w:rPr>
              <w:t>59(3)(a) – bez výnimiek</w:t>
            </w:r>
          </w:p>
        </w:tc>
        <w:tc>
          <w:tcPr>
            <w:tcW w:w="4772" w:type="dxa"/>
            <w:tcBorders>
              <w:bottom w:val="single" w:sz="4" w:space="0" w:color="auto"/>
            </w:tcBorders>
            <w:shd w:val="clear" w:color="auto" w:fill="auto"/>
            <w:vAlign w:val="center"/>
          </w:tcPr>
          <w:p w:rsidR="009B0266" w:rsidRPr="00961CB3" w:rsidRDefault="009B0266" w:rsidP="009B0266">
            <w:pPr>
              <w:spacing w:beforeLines="20" w:before="48" w:afterLines="20" w:after="48"/>
              <w:jc w:val="center"/>
              <w:rPr>
                <w:sz w:val="16"/>
                <w:szCs w:val="16"/>
                <w:lang w:eastAsia="en-US"/>
              </w:rPr>
            </w:pPr>
            <w:r w:rsidRPr="00961CB3">
              <w:rPr>
                <w:sz w:val="16"/>
                <w:szCs w:val="16"/>
                <w:lang w:eastAsia="en-US"/>
              </w:rPr>
              <w:t>6A</w:t>
            </w:r>
          </w:p>
        </w:tc>
        <w:tc>
          <w:tcPr>
            <w:tcW w:w="3828" w:type="dxa"/>
            <w:tcBorders>
              <w:bottom w:val="single" w:sz="4" w:space="0" w:color="auto"/>
            </w:tcBorders>
            <w:shd w:val="clear" w:color="auto" w:fill="auto"/>
            <w:vAlign w:val="bottom"/>
          </w:tcPr>
          <w:p w:rsidR="009B0266" w:rsidRPr="00961CB3" w:rsidRDefault="009B0266" w:rsidP="004F2B59">
            <w:pPr>
              <w:tabs>
                <w:tab w:val="left" w:pos="1877"/>
                <w:tab w:val="left" w:pos="2019"/>
              </w:tabs>
              <w:ind w:right="742"/>
              <w:jc w:val="right"/>
              <w:rPr>
                <w:rFonts w:eastAsiaTheme="minorHAnsi"/>
                <w:sz w:val="16"/>
                <w:szCs w:val="16"/>
                <w:lang w:eastAsia="en-US"/>
              </w:rPr>
            </w:pPr>
            <w:r w:rsidRPr="00961CB3">
              <w:rPr>
                <w:rFonts w:eastAsiaTheme="minorHAnsi"/>
                <w:sz w:val="16"/>
                <w:szCs w:val="16"/>
                <w:lang w:eastAsia="en-US"/>
              </w:rPr>
              <w:t>712 500,00</w:t>
            </w:r>
          </w:p>
        </w:tc>
      </w:tr>
      <w:tr w:rsidR="009B0266" w:rsidRPr="00961CB3" w:rsidTr="00D905DE">
        <w:tc>
          <w:tcPr>
            <w:tcW w:w="4300" w:type="dxa"/>
            <w:tcBorders>
              <w:bottom w:val="single" w:sz="4" w:space="0" w:color="auto"/>
            </w:tcBorders>
            <w:shd w:val="clear" w:color="auto" w:fill="auto"/>
            <w:vAlign w:val="center"/>
          </w:tcPr>
          <w:p w:rsidR="009B0266" w:rsidRPr="00961CB3" w:rsidRDefault="009B0266" w:rsidP="009B0266">
            <w:pPr>
              <w:spacing w:beforeLines="20" w:before="48" w:afterLines="20" w:after="48"/>
              <w:jc w:val="center"/>
              <w:rPr>
                <w:sz w:val="16"/>
                <w:szCs w:val="16"/>
                <w:lang w:eastAsia="en-US"/>
              </w:rPr>
            </w:pPr>
            <w:r w:rsidRPr="00961CB3">
              <w:rPr>
                <w:sz w:val="16"/>
                <w:szCs w:val="16"/>
                <w:lang w:eastAsia="en-US"/>
              </w:rPr>
              <w:t>59(3)(d) – bez výnimiek</w:t>
            </w:r>
          </w:p>
        </w:tc>
        <w:tc>
          <w:tcPr>
            <w:tcW w:w="4772" w:type="dxa"/>
            <w:tcBorders>
              <w:bottom w:val="single" w:sz="4" w:space="0" w:color="auto"/>
            </w:tcBorders>
            <w:shd w:val="clear" w:color="auto" w:fill="auto"/>
            <w:vAlign w:val="center"/>
          </w:tcPr>
          <w:p w:rsidR="009B0266" w:rsidRPr="00961CB3" w:rsidRDefault="009B0266" w:rsidP="009B0266">
            <w:pPr>
              <w:spacing w:beforeLines="20" w:before="48" w:afterLines="20" w:after="48"/>
              <w:jc w:val="center"/>
              <w:rPr>
                <w:sz w:val="16"/>
                <w:szCs w:val="16"/>
                <w:lang w:eastAsia="en-US"/>
              </w:rPr>
            </w:pPr>
            <w:r w:rsidRPr="00961CB3">
              <w:rPr>
                <w:sz w:val="16"/>
                <w:szCs w:val="16"/>
                <w:lang w:eastAsia="en-US"/>
              </w:rPr>
              <w:t>2A</w:t>
            </w:r>
          </w:p>
        </w:tc>
        <w:tc>
          <w:tcPr>
            <w:tcW w:w="3828" w:type="dxa"/>
            <w:tcBorders>
              <w:bottom w:val="single" w:sz="4" w:space="0" w:color="auto"/>
            </w:tcBorders>
            <w:shd w:val="clear" w:color="auto" w:fill="auto"/>
            <w:vAlign w:val="bottom"/>
          </w:tcPr>
          <w:p w:rsidR="009B0266" w:rsidRPr="00961CB3" w:rsidRDefault="009B0266" w:rsidP="004F2B59">
            <w:pPr>
              <w:tabs>
                <w:tab w:val="left" w:pos="1877"/>
                <w:tab w:val="left" w:pos="2019"/>
              </w:tabs>
              <w:ind w:right="742"/>
              <w:jc w:val="right"/>
              <w:rPr>
                <w:rFonts w:eastAsiaTheme="minorHAnsi"/>
                <w:sz w:val="16"/>
                <w:szCs w:val="16"/>
                <w:lang w:eastAsia="en-US"/>
              </w:rPr>
            </w:pPr>
            <w:r w:rsidRPr="00961CB3">
              <w:rPr>
                <w:rFonts w:eastAsiaTheme="minorHAnsi"/>
                <w:sz w:val="16"/>
                <w:szCs w:val="16"/>
                <w:lang w:eastAsia="en-US"/>
              </w:rPr>
              <w:t>53 000,00</w:t>
            </w:r>
          </w:p>
        </w:tc>
      </w:tr>
      <w:tr w:rsidR="009B0266" w:rsidRPr="00961CB3" w:rsidTr="00D905DE">
        <w:tc>
          <w:tcPr>
            <w:tcW w:w="4300" w:type="dxa"/>
            <w:tcBorders>
              <w:bottom w:val="single" w:sz="4" w:space="0" w:color="auto"/>
            </w:tcBorders>
            <w:shd w:val="clear" w:color="auto" w:fill="auto"/>
            <w:vAlign w:val="center"/>
          </w:tcPr>
          <w:p w:rsidR="009B0266" w:rsidRPr="00961CB3" w:rsidRDefault="009B0266" w:rsidP="009B0266">
            <w:pPr>
              <w:spacing w:beforeLines="20" w:before="48" w:afterLines="20" w:after="48"/>
              <w:jc w:val="center"/>
              <w:rPr>
                <w:sz w:val="16"/>
                <w:szCs w:val="16"/>
                <w:lang w:eastAsia="en-US"/>
              </w:rPr>
            </w:pPr>
            <w:r w:rsidRPr="00961CB3">
              <w:rPr>
                <w:sz w:val="16"/>
                <w:szCs w:val="16"/>
                <w:lang w:eastAsia="en-US"/>
              </w:rPr>
              <w:t>59(3)(d) – bez výnimiek</w:t>
            </w:r>
          </w:p>
        </w:tc>
        <w:tc>
          <w:tcPr>
            <w:tcW w:w="4772" w:type="dxa"/>
            <w:tcBorders>
              <w:bottom w:val="single" w:sz="4" w:space="0" w:color="auto"/>
            </w:tcBorders>
            <w:shd w:val="clear" w:color="auto" w:fill="auto"/>
            <w:vAlign w:val="center"/>
          </w:tcPr>
          <w:p w:rsidR="009B0266" w:rsidRPr="00961CB3" w:rsidRDefault="009B0266" w:rsidP="009B0266">
            <w:pPr>
              <w:spacing w:beforeLines="20" w:before="48" w:afterLines="20" w:after="48"/>
              <w:jc w:val="center"/>
              <w:rPr>
                <w:sz w:val="16"/>
                <w:szCs w:val="16"/>
                <w:lang w:eastAsia="en-US"/>
              </w:rPr>
            </w:pPr>
            <w:r w:rsidRPr="00961CB3">
              <w:rPr>
                <w:sz w:val="16"/>
                <w:szCs w:val="16"/>
                <w:lang w:eastAsia="en-US"/>
              </w:rPr>
              <w:t>3A</w:t>
            </w:r>
          </w:p>
        </w:tc>
        <w:tc>
          <w:tcPr>
            <w:tcW w:w="3828" w:type="dxa"/>
            <w:tcBorders>
              <w:bottom w:val="single" w:sz="4" w:space="0" w:color="auto"/>
            </w:tcBorders>
            <w:shd w:val="clear" w:color="auto" w:fill="auto"/>
            <w:vAlign w:val="bottom"/>
          </w:tcPr>
          <w:p w:rsidR="009B0266" w:rsidRPr="00961CB3" w:rsidRDefault="009B0266" w:rsidP="004F2B59">
            <w:pPr>
              <w:tabs>
                <w:tab w:val="left" w:pos="1877"/>
                <w:tab w:val="left" w:pos="2019"/>
              </w:tabs>
              <w:ind w:right="742"/>
              <w:jc w:val="right"/>
              <w:rPr>
                <w:rFonts w:eastAsiaTheme="minorHAnsi"/>
                <w:sz w:val="16"/>
                <w:szCs w:val="16"/>
                <w:lang w:eastAsia="en-US"/>
              </w:rPr>
            </w:pPr>
            <w:r w:rsidRPr="00961CB3">
              <w:rPr>
                <w:rFonts w:eastAsiaTheme="minorHAnsi"/>
                <w:sz w:val="16"/>
                <w:szCs w:val="16"/>
                <w:lang w:eastAsia="en-US"/>
              </w:rPr>
              <w:t>629 773,67</w:t>
            </w:r>
          </w:p>
        </w:tc>
      </w:tr>
      <w:tr w:rsidR="009B0266" w:rsidRPr="00961CB3" w:rsidTr="00D905DE">
        <w:tc>
          <w:tcPr>
            <w:tcW w:w="4300" w:type="dxa"/>
            <w:tcBorders>
              <w:bottom w:val="single" w:sz="4" w:space="0" w:color="auto"/>
            </w:tcBorders>
            <w:shd w:val="clear" w:color="auto" w:fill="auto"/>
            <w:vAlign w:val="center"/>
          </w:tcPr>
          <w:p w:rsidR="009B0266" w:rsidRPr="00961CB3" w:rsidRDefault="009B0266" w:rsidP="009B0266">
            <w:pPr>
              <w:spacing w:beforeLines="20" w:before="48" w:afterLines="20" w:after="48"/>
              <w:jc w:val="center"/>
              <w:rPr>
                <w:sz w:val="16"/>
                <w:szCs w:val="16"/>
                <w:lang w:eastAsia="en-US"/>
              </w:rPr>
            </w:pPr>
            <w:r w:rsidRPr="00961CB3">
              <w:rPr>
                <w:sz w:val="16"/>
                <w:szCs w:val="16"/>
                <w:lang w:eastAsia="en-US"/>
              </w:rPr>
              <w:t>59(3)(d) – bez výnimiek</w:t>
            </w:r>
          </w:p>
        </w:tc>
        <w:tc>
          <w:tcPr>
            <w:tcW w:w="4772" w:type="dxa"/>
            <w:tcBorders>
              <w:bottom w:val="single" w:sz="4" w:space="0" w:color="auto"/>
            </w:tcBorders>
            <w:shd w:val="clear" w:color="auto" w:fill="auto"/>
            <w:vAlign w:val="center"/>
          </w:tcPr>
          <w:p w:rsidR="009B0266" w:rsidRPr="00961CB3" w:rsidRDefault="009B0266" w:rsidP="009B0266">
            <w:pPr>
              <w:spacing w:beforeLines="20" w:before="48" w:afterLines="20" w:after="48"/>
              <w:jc w:val="center"/>
              <w:rPr>
                <w:sz w:val="16"/>
                <w:szCs w:val="16"/>
                <w:lang w:eastAsia="en-US"/>
              </w:rPr>
            </w:pPr>
            <w:r w:rsidRPr="00961CB3">
              <w:rPr>
                <w:sz w:val="16"/>
                <w:szCs w:val="16"/>
                <w:lang w:eastAsia="en-US"/>
              </w:rPr>
              <w:t>4</w:t>
            </w:r>
          </w:p>
        </w:tc>
        <w:tc>
          <w:tcPr>
            <w:tcW w:w="3828" w:type="dxa"/>
            <w:tcBorders>
              <w:bottom w:val="single" w:sz="4" w:space="0" w:color="auto"/>
            </w:tcBorders>
            <w:shd w:val="clear" w:color="auto" w:fill="auto"/>
            <w:vAlign w:val="bottom"/>
          </w:tcPr>
          <w:p w:rsidR="009B0266" w:rsidRPr="00961CB3" w:rsidRDefault="009B0266" w:rsidP="004F2B59">
            <w:pPr>
              <w:tabs>
                <w:tab w:val="left" w:pos="1877"/>
                <w:tab w:val="left" w:pos="2019"/>
              </w:tabs>
              <w:ind w:right="742"/>
              <w:jc w:val="right"/>
              <w:rPr>
                <w:rFonts w:eastAsiaTheme="minorHAnsi"/>
                <w:sz w:val="16"/>
                <w:szCs w:val="16"/>
                <w:lang w:eastAsia="en-US"/>
              </w:rPr>
            </w:pPr>
            <w:r w:rsidRPr="00961CB3">
              <w:rPr>
                <w:rFonts w:eastAsiaTheme="minorHAnsi"/>
                <w:sz w:val="16"/>
                <w:szCs w:val="16"/>
                <w:lang w:eastAsia="en-US"/>
              </w:rPr>
              <w:t>976 126,33</w:t>
            </w:r>
          </w:p>
        </w:tc>
      </w:tr>
      <w:tr w:rsidR="009B0266" w:rsidRPr="00961CB3" w:rsidTr="00D905DE">
        <w:tc>
          <w:tcPr>
            <w:tcW w:w="4300" w:type="dxa"/>
            <w:tcBorders>
              <w:bottom w:val="single" w:sz="4" w:space="0" w:color="auto"/>
            </w:tcBorders>
            <w:shd w:val="clear" w:color="auto" w:fill="auto"/>
            <w:vAlign w:val="center"/>
          </w:tcPr>
          <w:p w:rsidR="009B0266" w:rsidRPr="00961CB3" w:rsidRDefault="009B0266" w:rsidP="009B0266">
            <w:pPr>
              <w:spacing w:beforeLines="20" w:before="48" w:afterLines="20" w:after="48"/>
              <w:jc w:val="center"/>
              <w:rPr>
                <w:sz w:val="16"/>
                <w:szCs w:val="16"/>
                <w:lang w:eastAsia="en-US"/>
              </w:rPr>
            </w:pPr>
            <w:r w:rsidRPr="00961CB3">
              <w:rPr>
                <w:sz w:val="16"/>
                <w:szCs w:val="16"/>
                <w:lang w:eastAsia="en-US"/>
              </w:rPr>
              <w:t>59(3)(d) – bez výnimiek</w:t>
            </w:r>
          </w:p>
        </w:tc>
        <w:tc>
          <w:tcPr>
            <w:tcW w:w="4772" w:type="dxa"/>
            <w:tcBorders>
              <w:bottom w:val="single" w:sz="4" w:space="0" w:color="auto"/>
            </w:tcBorders>
            <w:shd w:val="clear" w:color="auto" w:fill="auto"/>
            <w:vAlign w:val="center"/>
          </w:tcPr>
          <w:p w:rsidR="009B0266" w:rsidRPr="00961CB3" w:rsidRDefault="009B0266" w:rsidP="009B0266">
            <w:pPr>
              <w:spacing w:beforeLines="20" w:before="48" w:afterLines="20" w:after="48"/>
              <w:jc w:val="center"/>
              <w:rPr>
                <w:sz w:val="16"/>
                <w:szCs w:val="16"/>
                <w:lang w:eastAsia="en-US"/>
              </w:rPr>
            </w:pPr>
            <w:r w:rsidRPr="00961CB3">
              <w:rPr>
                <w:sz w:val="16"/>
                <w:szCs w:val="16"/>
                <w:lang w:eastAsia="en-US"/>
              </w:rPr>
              <w:t>5C</w:t>
            </w:r>
          </w:p>
        </w:tc>
        <w:tc>
          <w:tcPr>
            <w:tcW w:w="3828" w:type="dxa"/>
            <w:tcBorders>
              <w:bottom w:val="single" w:sz="4" w:space="0" w:color="auto"/>
            </w:tcBorders>
            <w:shd w:val="clear" w:color="auto" w:fill="auto"/>
            <w:vAlign w:val="bottom"/>
          </w:tcPr>
          <w:p w:rsidR="009B0266" w:rsidRPr="00961CB3" w:rsidRDefault="009B0266" w:rsidP="004F2B59">
            <w:pPr>
              <w:tabs>
                <w:tab w:val="left" w:pos="1877"/>
                <w:tab w:val="left" w:pos="2019"/>
              </w:tabs>
              <w:ind w:right="742"/>
              <w:jc w:val="right"/>
              <w:rPr>
                <w:rFonts w:eastAsiaTheme="minorHAnsi"/>
                <w:sz w:val="16"/>
                <w:szCs w:val="16"/>
                <w:lang w:eastAsia="en-US"/>
              </w:rPr>
            </w:pPr>
            <w:r w:rsidRPr="00961CB3">
              <w:rPr>
                <w:rFonts w:eastAsiaTheme="minorHAnsi"/>
                <w:sz w:val="16"/>
                <w:szCs w:val="16"/>
                <w:lang w:eastAsia="en-US"/>
              </w:rPr>
              <w:t>26 500,00</w:t>
            </w:r>
          </w:p>
        </w:tc>
      </w:tr>
      <w:tr w:rsidR="009B0266" w:rsidRPr="00961CB3" w:rsidTr="00D905DE">
        <w:tc>
          <w:tcPr>
            <w:tcW w:w="4300" w:type="dxa"/>
            <w:tcBorders>
              <w:bottom w:val="single" w:sz="4" w:space="0" w:color="auto"/>
            </w:tcBorders>
            <w:shd w:val="clear" w:color="auto" w:fill="auto"/>
            <w:vAlign w:val="center"/>
          </w:tcPr>
          <w:p w:rsidR="009B0266" w:rsidRPr="00961CB3" w:rsidRDefault="009B0266" w:rsidP="009B0266">
            <w:pPr>
              <w:spacing w:beforeLines="20" w:before="48" w:afterLines="20" w:after="48"/>
              <w:jc w:val="center"/>
              <w:rPr>
                <w:sz w:val="16"/>
                <w:szCs w:val="16"/>
                <w:lang w:eastAsia="en-US"/>
              </w:rPr>
            </w:pPr>
            <w:r w:rsidRPr="00961CB3">
              <w:rPr>
                <w:sz w:val="16"/>
                <w:szCs w:val="16"/>
                <w:lang w:eastAsia="en-US"/>
              </w:rPr>
              <w:t>59(3)(d) – bez výnimiek</w:t>
            </w:r>
          </w:p>
        </w:tc>
        <w:tc>
          <w:tcPr>
            <w:tcW w:w="4772" w:type="dxa"/>
            <w:tcBorders>
              <w:bottom w:val="single" w:sz="4" w:space="0" w:color="auto"/>
            </w:tcBorders>
            <w:shd w:val="clear" w:color="auto" w:fill="auto"/>
            <w:vAlign w:val="center"/>
          </w:tcPr>
          <w:p w:rsidR="009B0266" w:rsidRPr="00961CB3" w:rsidRDefault="009B0266" w:rsidP="009B0266">
            <w:pPr>
              <w:spacing w:beforeLines="20" w:before="48" w:afterLines="20" w:after="48"/>
              <w:jc w:val="center"/>
              <w:rPr>
                <w:sz w:val="16"/>
                <w:szCs w:val="16"/>
                <w:lang w:eastAsia="en-US"/>
              </w:rPr>
            </w:pPr>
            <w:r w:rsidRPr="00961CB3">
              <w:rPr>
                <w:sz w:val="16"/>
                <w:szCs w:val="16"/>
                <w:lang w:eastAsia="en-US"/>
              </w:rPr>
              <w:t>6A</w:t>
            </w:r>
          </w:p>
        </w:tc>
        <w:tc>
          <w:tcPr>
            <w:tcW w:w="3828" w:type="dxa"/>
            <w:tcBorders>
              <w:bottom w:val="single" w:sz="4" w:space="0" w:color="auto"/>
            </w:tcBorders>
            <w:shd w:val="clear" w:color="auto" w:fill="auto"/>
            <w:vAlign w:val="bottom"/>
          </w:tcPr>
          <w:p w:rsidR="009B0266" w:rsidRPr="00961CB3" w:rsidRDefault="009B0266" w:rsidP="004F2B59">
            <w:pPr>
              <w:tabs>
                <w:tab w:val="left" w:pos="1877"/>
                <w:tab w:val="left" w:pos="2019"/>
              </w:tabs>
              <w:ind w:right="742"/>
              <w:jc w:val="right"/>
              <w:rPr>
                <w:rFonts w:eastAsiaTheme="minorHAnsi"/>
                <w:sz w:val="16"/>
                <w:szCs w:val="16"/>
                <w:lang w:eastAsia="en-US"/>
              </w:rPr>
            </w:pPr>
            <w:r w:rsidRPr="00961CB3">
              <w:rPr>
                <w:rFonts w:eastAsiaTheme="minorHAnsi"/>
                <w:sz w:val="16"/>
                <w:szCs w:val="16"/>
                <w:lang w:eastAsia="en-US"/>
              </w:rPr>
              <w:t>26 500,00</w:t>
            </w:r>
          </w:p>
        </w:tc>
      </w:tr>
      <w:tr w:rsidR="009B0266" w:rsidRPr="00050550" w:rsidTr="00D905DE">
        <w:tc>
          <w:tcPr>
            <w:tcW w:w="9072" w:type="dxa"/>
            <w:gridSpan w:val="2"/>
            <w:tcBorders>
              <w:bottom w:val="single" w:sz="4" w:space="0" w:color="auto"/>
            </w:tcBorders>
            <w:shd w:val="clear" w:color="auto" w:fill="DAEEF3" w:themeFill="accent5" w:themeFillTint="33"/>
            <w:vAlign w:val="center"/>
          </w:tcPr>
          <w:p w:rsidR="009B0266" w:rsidRPr="00050550" w:rsidRDefault="009B0266" w:rsidP="00050550">
            <w:pPr>
              <w:spacing w:beforeLines="20" w:before="48" w:afterLines="20" w:after="48"/>
              <w:jc w:val="left"/>
              <w:rPr>
                <w:b/>
                <w:color w:val="8064A2"/>
                <w:sz w:val="20"/>
                <w:szCs w:val="20"/>
                <w:lang w:eastAsia="en-US"/>
              </w:rPr>
            </w:pPr>
            <w:r w:rsidRPr="00050550">
              <w:rPr>
                <w:b/>
                <w:sz w:val="20"/>
                <w:szCs w:val="20"/>
                <w:lang w:eastAsia="en-US"/>
              </w:rPr>
              <w:t xml:space="preserve">Celkovo opatrenie </w:t>
            </w:r>
            <w:r w:rsidR="00D905DE">
              <w:rPr>
                <w:b/>
                <w:sz w:val="20"/>
                <w:szCs w:val="20"/>
                <w:lang w:eastAsia="en-US"/>
              </w:rPr>
              <w:t>16 (</w:t>
            </w:r>
            <w:r w:rsidRPr="00050550">
              <w:rPr>
                <w:b/>
                <w:sz w:val="20"/>
                <w:szCs w:val="20"/>
                <w:lang w:eastAsia="en-US"/>
              </w:rPr>
              <w:t>čl. 35</w:t>
            </w:r>
            <w:r w:rsidR="00D905DE">
              <w:rPr>
                <w:b/>
                <w:sz w:val="20"/>
                <w:szCs w:val="20"/>
                <w:lang w:eastAsia="en-US"/>
              </w:rPr>
              <w:t>)</w:t>
            </w:r>
            <w:r w:rsidRPr="00050550">
              <w:rPr>
                <w:b/>
                <w:sz w:val="20"/>
                <w:szCs w:val="20"/>
                <w:lang w:eastAsia="en-US"/>
              </w:rPr>
              <w:t xml:space="preserve"> – Spolupráca</w:t>
            </w:r>
          </w:p>
        </w:tc>
        <w:tc>
          <w:tcPr>
            <w:tcW w:w="3828" w:type="dxa"/>
            <w:tcBorders>
              <w:bottom w:val="single" w:sz="4" w:space="0" w:color="auto"/>
            </w:tcBorders>
            <w:shd w:val="clear" w:color="auto" w:fill="DAEEF3" w:themeFill="accent5" w:themeFillTint="33"/>
            <w:vAlign w:val="center"/>
          </w:tcPr>
          <w:p w:rsidR="009B0266" w:rsidRPr="00050550" w:rsidRDefault="009B0266" w:rsidP="004F2B59">
            <w:pPr>
              <w:tabs>
                <w:tab w:val="left" w:pos="1877"/>
                <w:tab w:val="left" w:pos="2019"/>
              </w:tabs>
              <w:ind w:right="742"/>
              <w:jc w:val="right"/>
              <w:rPr>
                <w:rFonts w:eastAsiaTheme="minorHAnsi"/>
                <w:sz w:val="20"/>
                <w:szCs w:val="20"/>
                <w:lang w:eastAsia="en-US"/>
              </w:rPr>
            </w:pPr>
            <w:r w:rsidRPr="00050550">
              <w:rPr>
                <w:rFonts w:eastAsiaTheme="minorHAnsi"/>
                <w:b/>
                <w:sz w:val="20"/>
                <w:szCs w:val="20"/>
                <w:lang w:eastAsia="en-US"/>
              </w:rPr>
              <w:t>49 164 400,00</w:t>
            </w:r>
          </w:p>
        </w:tc>
      </w:tr>
    </w:tbl>
    <w:p w:rsidR="009B0266" w:rsidRPr="00961CB3" w:rsidRDefault="009B0266" w:rsidP="009B0266">
      <w:pPr>
        <w:keepNext/>
        <w:spacing w:after="80"/>
        <w:outlineLvl w:val="1"/>
        <w:rPr>
          <w:rFonts w:eastAsia="Calibri"/>
          <w:b/>
          <w:sz w:val="16"/>
          <w:szCs w:val="16"/>
          <w:lang w:eastAsia="ja-JP"/>
        </w:rPr>
      </w:pPr>
    </w:p>
    <w:tbl>
      <w:tblPr>
        <w:tblW w:w="1290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00"/>
        <w:gridCol w:w="4772"/>
        <w:gridCol w:w="3828"/>
      </w:tblGrid>
      <w:tr w:rsidR="009B0266" w:rsidRPr="00961CB3" w:rsidTr="00A55745">
        <w:tc>
          <w:tcPr>
            <w:tcW w:w="4300" w:type="dxa"/>
            <w:tcBorders>
              <w:bottom w:val="single" w:sz="4" w:space="0" w:color="auto"/>
            </w:tcBorders>
            <w:shd w:val="clear" w:color="auto" w:fill="F2F2F2"/>
            <w:vAlign w:val="center"/>
          </w:tcPr>
          <w:p w:rsidR="009B0266" w:rsidRPr="00961CB3" w:rsidRDefault="009B0266" w:rsidP="009B0266">
            <w:pPr>
              <w:tabs>
                <w:tab w:val="left" w:pos="1185"/>
              </w:tabs>
              <w:spacing w:beforeLines="20" w:before="48" w:afterLines="20" w:after="48"/>
              <w:jc w:val="center"/>
              <w:rPr>
                <w:b/>
                <w:sz w:val="16"/>
                <w:szCs w:val="16"/>
                <w:lang w:eastAsia="en-US"/>
              </w:rPr>
            </w:pPr>
            <w:r w:rsidRPr="00961CB3">
              <w:rPr>
                <w:b/>
                <w:sz w:val="16"/>
                <w:szCs w:val="16"/>
                <w:lang w:eastAsia="en-US"/>
              </w:rPr>
              <w:t>Miera príspevku EPFRV</w:t>
            </w:r>
          </w:p>
        </w:tc>
        <w:tc>
          <w:tcPr>
            <w:tcW w:w="4772" w:type="dxa"/>
            <w:tcBorders>
              <w:bottom w:val="single" w:sz="4" w:space="0" w:color="auto"/>
            </w:tcBorders>
            <w:shd w:val="clear" w:color="auto" w:fill="F2F2F2"/>
            <w:vAlign w:val="center"/>
          </w:tcPr>
          <w:p w:rsidR="009B0266" w:rsidRPr="00961CB3" w:rsidRDefault="009B0266" w:rsidP="009B0266">
            <w:pPr>
              <w:tabs>
                <w:tab w:val="left" w:pos="1185"/>
              </w:tabs>
              <w:spacing w:beforeLines="20" w:before="48" w:afterLines="20" w:after="48"/>
              <w:jc w:val="center"/>
              <w:rPr>
                <w:b/>
                <w:sz w:val="16"/>
                <w:szCs w:val="16"/>
                <w:lang w:eastAsia="en-US"/>
              </w:rPr>
            </w:pPr>
            <w:r w:rsidRPr="00961CB3">
              <w:rPr>
                <w:b/>
                <w:sz w:val="16"/>
                <w:szCs w:val="16"/>
                <w:lang w:eastAsia="en-US"/>
              </w:rPr>
              <w:t>Fokusová oblasť</w:t>
            </w:r>
          </w:p>
        </w:tc>
        <w:tc>
          <w:tcPr>
            <w:tcW w:w="3828" w:type="dxa"/>
            <w:tcBorders>
              <w:bottom w:val="single" w:sz="4" w:space="0" w:color="auto"/>
            </w:tcBorders>
            <w:shd w:val="clear" w:color="auto" w:fill="F2F2F2"/>
            <w:vAlign w:val="center"/>
          </w:tcPr>
          <w:p w:rsidR="009B0266" w:rsidRPr="00961CB3" w:rsidRDefault="009B0266" w:rsidP="009B0266">
            <w:pPr>
              <w:tabs>
                <w:tab w:val="left" w:pos="1185"/>
              </w:tabs>
              <w:spacing w:beforeLines="20" w:before="48" w:afterLines="20" w:after="48"/>
              <w:jc w:val="center"/>
              <w:rPr>
                <w:b/>
                <w:sz w:val="16"/>
                <w:szCs w:val="16"/>
                <w:lang w:eastAsia="en-US"/>
              </w:rPr>
            </w:pPr>
            <w:r w:rsidRPr="00961CB3">
              <w:rPr>
                <w:b/>
                <w:sz w:val="16"/>
                <w:szCs w:val="16"/>
                <w:lang w:eastAsia="en-US"/>
              </w:rPr>
              <w:t>Celkový príspevok EPFRV</w:t>
            </w:r>
          </w:p>
        </w:tc>
      </w:tr>
      <w:tr w:rsidR="009B0266" w:rsidRPr="00961CB3" w:rsidTr="00A55745">
        <w:tc>
          <w:tcPr>
            <w:tcW w:w="4300" w:type="dxa"/>
            <w:tcBorders>
              <w:bottom w:val="single" w:sz="4" w:space="0" w:color="auto"/>
            </w:tcBorders>
            <w:shd w:val="clear" w:color="auto" w:fill="auto"/>
            <w:vAlign w:val="center"/>
          </w:tcPr>
          <w:p w:rsidR="009B0266" w:rsidRPr="00961CB3" w:rsidRDefault="009B0266" w:rsidP="009B0266">
            <w:pPr>
              <w:spacing w:beforeLines="20" w:before="48" w:afterLines="20" w:after="48"/>
              <w:jc w:val="center"/>
              <w:rPr>
                <w:sz w:val="16"/>
                <w:szCs w:val="16"/>
                <w:lang w:eastAsia="en-US"/>
              </w:rPr>
            </w:pPr>
            <w:r w:rsidRPr="00961CB3">
              <w:rPr>
                <w:sz w:val="16"/>
                <w:szCs w:val="16"/>
                <w:lang w:eastAsia="en-US"/>
              </w:rPr>
              <w:t>59(3)(a) – bez výnimiek</w:t>
            </w:r>
          </w:p>
        </w:tc>
        <w:tc>
          <w:tcPr>
            <w:tcW w:w="4772" w:type="dxa"/>
            <w:tcBorders>
              <w:bottom w:val="single" w:sz="4" w:space="0" w:color="auto"/>
            </w:tcBorders>
            <w:shd w:val="clear" w:color="auto" w:fill="auto"/>
            <w:vAlign w:val="center"/>
          </w:tcPr>
          <w:p w:rsidR="009B0266" w:rsidRPr="00961CB3" w:rsidRDefault="009B0266" w:rsidP="009B0266">
            <w:pPr>
              <w:spacing w:beforeLines="20" w:before="48" w:afterLines="20" w:after="48"/>
              <w:jc w:val="center"/>
              <w:rPr>
                <w:sz w:val="16"/>
                <w:szCs w:val="16"/>
                <w:lang w:eastAsia="en-US"/>
              </w:rPr>
            </w:pPr>
            <w:r w:rsidRPr="00961CB3">
              <w:rPr>
                <w:sz w:val="16"/>
                <w:szCs w:val="16"/>
                <w:lang w:eastAsia="en-US"/>
              </w:rPr>
              <w:t>3B</w:t>
            </w:r>
          </w:p>
        </w:tc>
        <w:tc>
          <w:tcPr>
            <w:tcW w:w="3828" w:type="dxa"/>
            <w:tcBorders>
              <w:bottom w:val="single" w:sz="4" w:space="0" w:color="auto"/>
            </w:tcBorders>
            <w:shd w:val="clear" w:color="auto" w:fill="auto"/>
            <w:vAlign w:val="center"/>
          </w:tcPr>
          <w:p w:rsidR="009B0266" w:rsidRPr="00961CB3" w:rsidRDefault="009B0266" w:rsidP="004F2B59">
            <w:pPr>
              <w:tabs>
                <w:tab w:val="left" w:pos="1877"/>
                <w:tab w:val="left" w:pos="2019"/>
              </w:tabs>
              <w:ind w:right="742"/>
              <w:jc w:val="right"/>
              <w:rPr>
                <w:rFonts w:eastAsiaTheme="minorHAnsi"/>
                <w:sz w:val="16"/>
                <w:szCs w:val="16"/>
                <w:lang w:eastAsia="en-US"/>
              </w:rPr>
            </w:pPr>
            <w:r w:rsidRPr="00961CB3">
              <w:rPr>
                <w:rFonts w:eastAsiaTheme="minorHAnsi"/>
                <w:sz w:val="16"/>
                <w:szCs w:val="16"/>
                <w:lang w:eastAsia="en-US"/>
              </w:rPr>
              <w:t>7 144 500,00</w:t>
            </w:r>
          </w:p>
        </w:tc>
      </w:tr>
      <w:tr w:rsidR="009B0266" w:rsidRPr="00961CB3" w:rsidTr="00A55745">
        <w:tc>
          <w:tcPr>
            <w:tcW w:w="4300" w:type="dxa"/>
            <w:tcBorders>
              <w:bottom w:val="single" w:sz="4" w:space="0" w:color="auto"/>
            </w:tcBorders>
            <w:shd w:val="clear" w:color="auto" w:fill="auto"/>
            <w:vAlign w:val="center"/>
          </w:tcPr>
          <w:p w:rsidR="009B0266" w:rsidRPr="00961CB3" w:rsidRDefault="009B0266" w:rsidP="009B0266">
            <w:pPr>
              <w:spacing w:beforeLines="20" w:before="48" w:afterLines="20" w:after="48"/>
              <w:jc w:val="center"/>
              <w:rPr>
                <w:sz w:val="16"/>
                <w:szCs w:val="16"/>
                <w:lang w:eastAsia="en-US"/>
              </w:rPr>
            </w:pPr>
            <w:r w:rsidRPr="00961CB3">
              <w:rPr>
                <w:sz w:val="16"/>
                <w:szCs w:val="16"/>
                <w:lang w:eastAsia="en-US"/>
              </w:rPr>
              <w:t>59(3)(d) – bez výnimiek</w:t>
            </w:r>
          </w:p>
        </w:tc>
        <w:tc>
          <w:tcPr>
            <w:tcW w:w="4772" w:type="dxa"/>
            <w:tcBorders>
              <w:bottom w:val="single" w:sz="4" w:space="0" w:color="auto"/>
            </w:tcBorders>
            <w:shd w:val="clear" w:color="auto" w:fill="auto"/>
            <w:vAlign w:val="center"/>
          </w:tcPr>
          <w:p w:rsidR="009B0266" w:rsidRPr="00961CB3" w:rsidRDefault="009B0266" w:rsidP="009B0266">
            <w:pPr>
              <w:spacing w:beforeLines="20" w:before="48" w:afterLines="20" w:after="48"/>
              <w:jc w:val="center"/>
              <w:rPr>
                <w:sz w:val="16"/>
                <w:szCs w:val="16"/>
                <w:lang w:eastAsia="en-US"/>
              </w:rPr>
            </w:pPr>
            <w:r w:rsidRPr="00961CB3">
              <w:rPr>
                <w:sz w:val="16"/>
                <w:szCs w:val="16"/>
                <w:lang w:eastAsia="en-US"/>
              </w:rPr>
              <w:t>3B</w:t>
            </w:r>
          </w:p>
        </w:tc>
        <w:tc>
          <w:tcPr>
            <w:tcW w:w="3828" w:type="dxa"/>
            <w:tcBorders>
              <w:bottom w:val="single" w:sz="4" w:space="0" w:color="auto"/>
            </w:tcBorders>
            <w:shd w:val="clear" w:color="auto" w:fill="auto"/>
            <w:vAlign w:val="center"/>
          </w:tcPr>
          <w:p w:rsidR="009B0266" w:rsidRPr="00961CB3" w:rsidRDefault="009B0266" w:rsidP="004F2B59">
            <w:pPr>
              <w:tabs>
                <w:tab w:val="left" w:pos="1877"/>
                <w:tab w:val="left" w:pos="2019"/>
              </w:tabs>
              <w:ind w:right="742"/>
              <w:jc w:val="right"/>
              <w:rPr>
                <w:rFonts w:eastAsiaTheme="minorHAnsi"/>
                <w:sz w:val="16"/>
                <w:szCs w:val="16"/>
                <w:lang w:eastAsia="en-US"/>
              </w:rPr>
            </w:pPr>
            <w:r w:rsidRPr="00961CB3">
              <w:rPr>
                <w:rFonts w:eastAsiaTheme="minorHAnsi"/>
                <w:sz w:val="16"/>
                <w:szCs w:val="16"/>
                <w:lang w:eastAsia="en-US"/>
              </w:rPr>
              <w:t>251 220,00</w:t>
            </w:r>
          </w:p>
        </w:tc>
      </w:tr>
      <w:tr w:rsidR="009B0266" w:rsidRPr="00050550" w:rsidTr="00A55745">
        <w:tc>
          <w:tcPr>
            <w:tcW w:w="9072" w:type="dxa"/>
            <w:gridSpan w:val="2"/>
            <w:tcBorders>
              <w:bottom w:val="single" w:sz="4" w:space="0" w:color="auto"/>
            </w:tcBorders>
            <w:shd w:val="clear" w:color="auto" w:fill="DAEEF3" w:themeFill="accent5" w:themeFillTint="33"/>
            <w:vAlign w:val="center"/>
          </w:tcPr>
          <w:p w:rsidR="009B0266" w:rsidRPr="00050550" w:rsidRDefault="009B0266" w:rsidP="00050550">
            <w:pPr>
              <w:spacing w:beforeLines="20" w:before="48" w:afterLines="20" w:after="48"/>
              <w:jc w:val="left"/>
              <w:rPr>
                <w:b/>
                <w:color w:val="8064A2"/>
                <w:sz w:val="20"/>
                <w:szCs w:val="20"/>
                <w:lang w:eastAsia="en-US"/>
              </w:rPr>
            </w:pPr>
            <w:r w:rsidRPr="00050550">
              <w:rPr>
                <w:b/>
                <w:sz w:val="20"/>
                <w:szCs w:val="20"/>
                <w:lang w:eastAsia="en-US"/>
              </w:rPr>
              <w:t xml:space="preserve">Celkovo opatrenie </w:t>
            </w:r>
            <w:r w:rsidR="00D905DE">
              <w:rPr>
                <w:b/>
                <w:sz w:val="20"/>
                <w:szCs w:val="20"/>
                <w:lang w:eastAsia="en-US"/>
              </w:rPr>
              <w:t>17 (</w:t>
            </w:r>
            <w:r w:rsidRPr="00050550">
              <w:rPr>
                <w:b/>
                <w:sz w:val="20"/>
                <w:szCs w:val="20"/>
                <w:lang w:eastAsia="en-US"/>
              </w:rPr>
              <w:t>čl. 36</w:t>
            </w:r>
            <w:r w:rsidR="00D905DE">
              <w:rPr>
                <w:b/>
                <w:sz w:val="20"/>
                <w:szCs w:val="20"/>
                <w:lang w:eastAsia="en-US"/>
              </w:rPr>
              <w:t>)</w:t>
            </w:r>
            <w:r w:rsidRPr="00050550">
              <w:rPr>
                <w:b/>
                <w:sz w:val="20"/>
                <w:szCs w:val="20"/>
                <w:lang w:eastAsia="en-US"/>
              </w:rPr>
              <w:t xml:space="preserve"> - Riadenie rizík</w:t>
            </w:r>
          </w:p>
        </w:tc>
        <w:tc>
          <w:tcPr>
            <w:tcW w:w="3828" w:type="dxa"/>
            <w:tcBorders>
              <w:bottom w:val="single" w:sz="4" w:space="0" w:color="auto"/>
            </w:tcBorders>
            <w:shd w:val="clear" w:color="auto" w:fill="DAEEF3" w:themeFill="accent5" w:themeFillTint="33"/>
            <w:vAlign w:val="center"/>
          </w:tcPr>
          <w:p w:rsidR="009B0266" w:rsidRPr="004F2B59" w:rsidRDefault="009B0266" w:rsidP="004F2B59">
            <w:pPr>
              <w:tabs>
                <w:tab w:val="left" w:pos="1877"/>
                <w:tab w:val="left" w:pos="2019"/>
              </w:tabs>
              <w:ind w:right="742"/>
              <w:jc w:val="right"/>
              <w:rPr>
                <w:rFonts w:eastAsiaTheme="minorHAnsi"/>
                <w:b/>
                <w:sz w:val="20"/>
                <w:szCs w:val="20"/>
                <w:lang w:eastAsia="en-US"/>
              </w:rPr>
            </w:pPr>
            <w:r w:rsidRPr="00050550">
              <w:rPr>
                <w:rFonts w:eastAsiaTheme="minorHAnsi"/>
                <w:b/>
                <w:sz w:val="20"/>
                <w:szCs w:val="20"/>
                <w:lang w:eastAsia="en-US"/>
              </w:rPr>
              <w:t>7 395 720,00</w:t>
            </w:r>
          </w:p>
        </w:tc>
      </w:tr>
    </w:tbl>
    <w:p w:rsidR="009B0266" w:rsidRPr="00961CB3" w:rsidRDefault="009B0266" w:rsidP="009B0266">
      <w:pPr>
        <w:keepNext/>
        <w:spacing w:after="80"/>
        <w:outlineLvl w:val="1"/>
        <w:rPr>
          <w:rFonts w:eastAsia="Calibri"/>
          <w:b/>
          <w:sz w:val="16"/>
          <w:szCs w:val="16"/>
          <w:lang w:eastAsia="ja-JP"/>
        </w:rPr>
      </w:pPr>
    </w:p>
    <w:tbl>
      <w:tblPr>
        <w:tblW w:w="1290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00"/>
        <w:gridCol w:w="4772"/>
        <w:gridCol w:w="3828"/>
      </w:tblGrid>
      <w:tr w:rsidR="009B0266" w:rsidRPr="00961CB3" w:rsidTr="00A55745">
        <w:tc>
          <w:tcPr>
            <w:tcW w:w="4300" w:type="dxa"/>
            <w:tcBorders>
              <w:bottom w:val="single" w:sz="4" w:space="0" w:color="auto"/>
            </w:tcBorders>
            <w:shd w:val="clear" w:color="auto" w:fill="F2F2F2"/>
            <w:vAlign w:val="center"/>
          </w:tcPr>
          <w:p w:rsidR="009B0266" w:rsidRPr="00961CB3" w:rsidRDefault="009B0266" w:rsidP="009B0266">
            <w:pPr>
              <w:tabs>
                <w:tab w:val="left" w:pos="1185"/>
              </w:tabs>
              <w:spacing w:beforeLines="20" w:before="48" w:afterLines="20" w:after="48"/>
              <w:jc w:val="center"/>
              <w:rPr>
                <w:b/>
                <w:sz w:val="16"/>
                <w:szCs w:val="16"/>
                <w:lang w:eastAsia="en-US"/>
              </w:rPr>
            </w:pPr>
            <w:r w:rsidRPr="00961CB3">
              <w:rPr>
                <w:b/>
                <w:sz w:val="16"/>
                <w:szCs w:val="16"/>
                <w:lang w:eastAsia="en-US"/>
              </w:rPr>
              <w:t>Miera príspevku EPFRV</w:t>
            </w:r>
          </w:p>
        </w:tc>
        <w:tc>
          <w:tcPr>
            <w:tcW w:w="4772" w:type="dxa"/>
            <w:tcBorders>
              <w:bottom w:val="single" w:sz="4" w:space="0" w:color="auto"/>
            </w:tcBorders>
            <w:shd w:val="clear" w:color="auto" w:fill="F2F2F2"/>
            <w:vAlign w:val="center"/>
          </w:tcPr>
          <w:p w:rsidR="009B0266" w:rsidRPr="00961CB3" w:rsidRDefault="009B0266" w:rsidP="009B0266">
            <w:pPr>
              <w:tabs>
                <w:tab w:val="left" w:pos="1185"/>
              </w:tabs>
              <w:spacing w:beforeLines="20" w:before="48" w:afterLines="20" w:after="48"/>
              <w:jc w:val="center"/>
              <w:rPr>
                <w:b/>
                <w:sz w:val="16"/>
                <w:szCs w:val="16"/>
                <w:lang w:eastAsia="en-US"/>
              </w:rPr>
            </w:pPr>
            <w:r w:rsidRPr="00961CB3">
              <w:rPr>
                <w:b/>
                <w:sz w:val="16"/>
                <w:szCs w:val="16"/>
                <w:lang w:eastAsia="en-US"/>
              </w:rPr>
              <w:t>Fokusová oblasť</w:t>
            </w:r>
          </w:p>
        </w:tc>
        <w:tc>
          <w:tcPr>
            <w:tcW w:w="3828" w:type="dxa"/>
            <w:tcBorders>
              <w:bottom w:val="single" w:sz="4" w:space="0" w:color="auto"/>
            </w:tcBorders>
            <w:shd w:val="clear" w:color="auto" w:fill="F2F2F2"/>
            <w:vAlign w:val="center"/>
          </w:tcPr>
          <w:p w:rsidR="009B0266" w:rsidRPr="00961CB3" w:rsidRDefault="009B0266" w:rsidP="009B0266">
            <w:pPr>
              <w:tabs>
                <w:tab w:val="left" w:pos="1185"/>
              </w:tabs>
              <w:spacing w:beforeLines="20" w:before="48" w:afterLines="20" w:after="48"/>
              <w:jc w:val="center"/>
              <w:rPr>
                <w:b/>
                <w:sz w:val="16"/>
                <w:szCs w:val="16"/>
                <w:lang w:eastAsia="en-US"/>
              </w:rPr>
            </w:pPr>
            <w:r w:rsidRPr="00961CB3">
              <w:rPr>
                <w:b/>
                <w:sz w:val="16"/>
                <w:szCs w:val="16"/>
                <w:lang w:eastAsia="en-US"/>
              </w:rPr>
              <w:t>Celkový príspevok EPFRV</w:t>
            </w:r>
          </w:p>
        </w:tc>
      </w:tr>
      <w:tr w:rsidR="009B0266" w:rsidRPr="00961CB3" w:rsidTr="00A55745">
        <w:tc>
          <w:tcPr>
            <w:tcW w:w="4300" w:type="dxa"/>
            <w:tcBorders>
              <w:bottom w:val="single" w:sz="4" w:space="0" w:color="auto"/>
            </w:tcBorders>
            <w:shd w:val="clear" w:color="auto" w:fill="auto"/>
            <w:vAlign w:val="center"/>
          </w:tcPr>
          <w:p w:rsidR="009B0266" w:rsidRPr="00961CB3" w:rsidRDefault="009B0266" w:rsidP="009B0266">
            <w:pPr>
              <w:spacing w:beforeLines="20" w:before="48" w:afterLines="20" w:after="48"/>
              <w:jc w:val="center"/>
              <w:rPr>
                <w:sz w:val="16"/>
                <w:szCs w:val="16"/>
                <w:lang w:eastAsia="en-US"/>
              </w:rPr>
            </w:pPr>
            <w:r w:rsidRPr="00961CB3">
              <w:rPr>
                <w:sz w:val="16"/>
                <w:szCs w:val="16"/>
                <w:lang w:eastAsia="en-US"/>
              </w:rPr>
              <w:t>59(3)(a) – bez výnimiek</w:t>
            </w:r>
          </w:p>
        </w:tc>
        <w:tc>
          <w:tcPr>
            <w:tcW w:w="4772" w:type="dxa"/>
            <w:tcBorders>
              <w:bottom w:val="single" w:sz="4" w:space="0" w:color="auto"/>
            </w:tcBorders>
            <w:shd w:val="clear" w:color="auto" w:fill="auto"/>
            <w:vAlign w:val="center"/>
          </w:tcPr>
          <w:p w:rsidR="009B0266" w:rsidRPr="00961CB3" w:rsidRDefault="009B0266" w:rsidP="009B0266">
            <w:pPr>
              <w:spacing w:beforeLines="20" w:before="48" w:afterLines="20" w:after="48"/>
              <w:jc w:val="center"/>
              <w:rPr>
                <w:sz w:val="16"/>
                <w:szCs w:val="16"/>
                <w:lang w:eastAsia="en-US"/>
              </w:rPr>
            </w:pPr>
            <w:r w:rsidRPr="00961CB3">
              <w:rPr>
                <w:sz w:val="16"/>
                <w:szCs w:val="16"/>
                <w:lang w:eastAsia="en-US"/>
              </w:rPr>
              <w:t>6B</w:t>
            </w:r>
          </w:p>
        </w:tc>
        <w:tc>
          <w:tcPr>
            <w:tcW w:w="3828" w:type="dxa"/>
            <w:tcBorders>
              <w:bottom w:val="single" w:sz="4" w:space="0" w:color="auto"/>
            </w:tcBorders>
            <w:shd w:val="clear" w:color="auto" w:fill="auto"/>
            <w:vAlign w:val="center"/>
          </w:tcPr>
          <w:p w:rsidR="009B0266" w:rsidRPr="00961CB3" w:rsidRDefault="009B0266" w:rsidP="004F2B59">
            <w:pPr>
              <w:tabs>
                <w:tab w:val="left" w:pos="1877"/>
                <w:tab w:val="left" w:pos="2019"/>
              </w:tabs>
              <w:ind w:right="742"/>
              <w:jc w:val="right"/>
              <w:rPr>
                <w:rFonts w:eastAsiaTheme="minorHAnsi"/>
                <w:sz w:val="16"/>
                <w:szCs w:val="16"/>
                <w:lang w:eastAsia="en-US"/>
              </w:rPr>
            </w:pPr>
            <w:r w:rsidRPr="00961CB3">
              <w:rPr>
                <w:rFonts w:eastAsiaTheme="minorHAnsi"/>
                <w:sz w:val="16"/>
                <w:szCs w:val="16"/>
                <w:lang w:eastAsia="en-US"/>
              </w:rPr>
              <w:t>74 095 725,00</w:t>
            </w:r>
          </w:p>
        </w:tc>
      </w:tr>
      <w:tr w:rsidR="009B0266" w:rsidRPr="00961CB3" w:rsidTr="00A55745">
        <w:tc>
          <w:tcPr>
            <w:tcW w:w="4300" w:type="dxa"/>
            <w:tcBorders>
              <w:bottom w:val="single" w:sz="4" w:space="0" w:color="auto"/>
            </w:tcBorders>
            <w:shd w:val="clear" w:color="auto" w:fill="auto"/>
            <w:vAlign w:val="center"/>
          </w:tcPr>
          <w:p w:rsidR="009B0266" w:rsidRPr="00961CB3" w:rsidRDefault="009B0266" w:rsidP="009B0266">
            <w:pPr>
              <w:spacing w:beforeLines="20" w:before="48" w:afterLines="20" w:after="48"/>
              <w:jc w:val="center"/>
              <w:rPr>
                <w:sz w:val="16"/>
                <w:szCs w:val="16"/>
                <w:lang w:eastAsia="en-US"/>
              </w:rPr>
            </w:pPr>
            <w:r w:rsidRPr="00961CB3">
              <w:rPr>
                <w:sz w:val="16"/>
                <w:szCs w:val="16"/>
                <w:lang w:eastAsia="en-US"/>
              </w:rPr>
              <w:t>59(3)(d) – bez výnimiek</w:t>
            </w:r>
          </w:p>
        </w:tc>
        <w:tc>
          <w:tcPr>
            <w:tcW w:w="4772" w:type="dxa"/>
            <w:tcBorders>
              <w:bottom w:val="single" w:sz="4" w:space="0" w:color="auto"/>
            </w:tcBorders>
            <w:shd w:val="clear" w:color="auto" w:fill="auto"/>
            <w:vAlign w:val="center"/>
          </w:tcPr>
          <w:p w:rsidR="009B0266" w:rsidRPr="00961CB3" w:rsidRDefault="009B0266" w:rsidP="009B0266">
            <w:pPr>
              <w:spacing w:beforeLines="20" w:before="48" w:afterLines="20" w:after="48"/>
              <w:jc w:val="center"/>
              <w:rPr>
                <w:sz w:val="16"/>
                <w:szCs w:val="16"/>
                <w:lang w:eastAsia="en-US"/>
              </w:rPr>
            </w:pPr>
            <w:r w:rsidRPr="00961CB3">
              <w:rPr>
                <w:sz w:val="16"/>
                <w:szCs w:val="16"/>
                <w:lang w:eastAsia="en-US"/>
              </w:rPr>
              <w:t>6B</w:t>
            </w:r>
          </w:p>
        </w:tc>
        <w:tc>
          <w:tcPr>
            <w:tcW w:w="3828" w:type="dxa"/>
            <w:tcBorders>
              <w:bottom w:val="single" w:sz="4" w:space="0" w:color="auto"/>
            </w:tcBorders>
            <w:shd w:val="clear" w:color="auto" w:fill="auto"/>
            <w:vAlign w:val="center"/>
          </w:tcPr>
          <w:p w:rsidR="009B0266" w:rsidRPr="00961CB3" w:rsidRDefault="009B0266" w:rsidP="004F2B59">
            <w:pPr>
              <w:tabs>
                <w:tab w:val="left" w:pos="1877"/>
                <w:tab w:val="left" w:pos="2019"/>
              </w:tabs>
              <w:ind w:right="742"/>
              <w:jc w:val="right"/>
              <w:rPr>
                <w:rFonts w:eastAsiaTheme="minorHAnsi"/>
                <w:sz w:val="16"/>
                <w:szCs w:val="16"/>
                <w:lang w:eastAsia="en-US"/>
              </w:rPr>
            </w:pPr>
            <w:r w:rsidRPr="00961CB3">
              <w:rPr>
                <w:rFonts w:eastAsiaTheme="minorHAnsi"/>
                <w:sz w:val="16"/>
                <w:szCs w:val="16"/>
                <w:lang w:eastAsia="en-US"/>
              </w:rPr>
              <w:t>3 174 021,00</w:t>
            </w:r>
          </w:p>
        </w:tc>
      </w:tr>
      <w:tr w:rsidR="009B0266" w:rsidRPr="00050550" w:rsidTr="00A55745">
        <w:tc>
          <w:tcPr>
            <w:tcW w:w="9072" w:type="dxa"/>
            <w:gridSpan w:val="2"/>
            <w:tcBorders>
              <w:bottom w:val="single" w:sz="4" w:space="0" w:color="auto"/>
            </w:tcBorders>
            <w:shd w:val="clear" w:color="auto" w:fill="DAEEF3" w:themeFill="accent5" w:themeFillTint="33"/>
            <w:vAlign w:val="center"/>
          </w:tcPr>
          <w:p w:rsidR="009B0266" w:rsidRPr="00050550" w:rsidRDefault="009B0266" w:rsidP="00050550">
            <w:pPr>
              <w:spacing w:beforeLines="20" w:before="48" w:afterLines="20" w:after="48"/>
              <w:jc w:val="left"/>
              <w:rPr>
                <w:b/>
                <w:color w:val="8064A2"/>
                <w:sz w:val="20"/>
                <w:szCs w:val="20"/>
                <w:lang w:eastAsia="en-US"/>
              </w:rPr>
            </w:pPr>
            <w:r w:rsidRPr="00050550">
              <w:rPr>
                <w:b/>
                <w:sz w:val="20"/>
                <w:szCs w:val="20"/>
                <w:lang w:eastAsia="en-US"/>
              </w:rPr>
              <w:t xml:space="preserve">Celkovo opatrenie </w:t>
            </w:r>
            <w:r w:rsidR="00D905DE">
              <w:rPr>
                <w:b/>
                <w:sz w:val="20"/>
                <w:szCs w:val="20"/>
                <w:lang w:eastAsia="en-US"/>
              </w:rPr>
              <w:t>19 (</w:t>
            </w:r>
            <w:r w:rsidRPr="00050550">
              <w:rPr>
                <w:b/>
                <w:sz w:val="20"/>
                <w:szCs w:val="20"/>
                <w:lang w:eastAsia="en-US"/>
              </w:rPr>
              <w:t>čl. 42-44</w:t>
            </w:r>
            <w:r w:rsidR="00D905DE">
              <w:rPr>
                <w:b/>
                <w:sz w:val="20"/>
                <w:szCs w:val="20"/>
                <w:lang w:eastAsia="en-US"/>
              </w:rPr>
              <w:t>)</w:t>
            </w:r>
            <w:r w:rsidRPr="00050550">
              <w:rPr>
                <w:b/>
                <w:sz w:val="20"/>
                <w:szCs w:val="20"/>
                <w:lang w:eastAsia="en-US"/>
              </w:rPr>
              <w:t xml:space="preserve"> - LEADER</w:t>
            </w:r>
          </w:p>
        </w:tc>
        <w:tc>
          <w:tcPr>
            <w:tcW w:w="3828" w:type="dxa"/>
            <w:tcBorders>
              <w:bottom w:val="single" w:sz="4" w:space="0" w:color="auto"/>
            </w:tcBorders>
            <w:shd w:val="clear" w:color="auto" w:fill="DAEEF3" w:themeFill="accent5" w:themeFillTint="33"/>
            <w:vAlign w:val="center"/>
          </w:tcPr>
          <w:p w:rsidR="009B0266" w:rsidRPr="004F2B59" w:rsidRDefault="009B0266" w:rsidP="004F2B59">
            <w:pPr>
              <w:tabs>
                <w:tab w:val="left" w:pos="1877"/>
                <w:tab w:val="left" w:pos="2019"/>
              </w:tabs>
              <w:ind w:right="742"/>
              <w:jc w:val="right"/>
              <w:rPr>
                <w:rFonts w:eastAsiaTheme="minorHAnsi"/>
                <w:b/>
                <w:sz w:val="20"/>
                <w:szCs w:val="20"/>
                <w:lang w:eastAsia="en-US"/>
              </w:rPr>
            </w:pPr>
            <w:r w:rsidRPr="00050550">
              <w:rPr>
                <w:rFonts w:eastAsiaTheme="minorHAnsi"/>
                <w:b/>
                <w:sz w:val="20"/>
                <w:szCs w:val="20"/>
                <w:lang w:eastAsia="en-US"/>
              </w:rPr>
              <w:t>77 269 746,00</w:t>
            </w:r>
          </w:p>
        </w:tc>
      </w:tr>
    </w:tbl>
    <w:p w:rsidR="009B0266" w:rsidRPr="00961CB3" w:rsidRDefault="009B0266" w:rsidP="009B0266">
      <w:pPr>
        <w:keepNext/>
        <w:spacing w:after="80"/>
        <w:outlineLvl w:val="1"/>
        <w:rPr>
          <w:rFonts w:eastAsia="Calibri"/>
          <w:b/>
          <w:sz w:val="16"/>
          <w:szCs w:val="16"/>
          <w:lang w:eastAsia="ja-JP"/>
        </w:rPr>
      </w:pPr>
    </w:p>
    <w:tbl>
      <w:tblPr>
        <w:tblW w:w="1290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00"/>
        <w:gridCol w:w="4772"/>
        <w:gridCol w:w="3828"/>
      </w:tblGrid>
      <w:tr w:rsidR="009B0266" w:rsidRPr="00961CB3" w:rsidTr="00A55745">
        <w:tc>
          <w:tcPr>
            <w:tcW w:w="4300" w:type="dxa"/>
            <w:tcBorders>
              <w:bottom w:val="single" w:sz="4" w:space="0" w:color="auto"/>
            </w:tcBorders>
            <w:shd w:val="clear" w:color="auto" w:fill="F2F2F2"/>
            <w:vAlign w:val="center"/>
          </w:tcPr>
          <w:p w:rsidR="009B0266" w:rsidRPr="00961CB3" w:rsidRDefault="009B0266" w:rsidP="009B0266">
            <w:pPr>
              <w:tabs>
                <w:tab w:val="left" w:pos="1185"/>
              </w:tabs>
              <w:spacing w:beforeLines="20" w:before="48" w:afterLines="20" w:after="48"/>
              <w:jc w:val="center"/>
              <w:rPr>
                <w:b/>
                <w:sz w:val="16"/>
                <w:szCs w:val="16"/>
                <w:lang w:eastAsia="en-US"/>
              </w:rPr>
            </w:pPr>
            <w:r w:rsidRPr="00961CB3">
              <w:rPr>
                <w:b/>
                <w:sz w:val="16"/>
                <w:szCs w:val="16"/>
                <w:lang w:eastAsia="en-US"/>
              </w:rPr>
              <w:t>Miera príspevku EPFRV</w:t>
            </w:r>
          </w:p>
        </w:tc>
        <w:tc>
          <w:tcPr>
            <w:tcW w:w="4772" w:type="dxa"/>
            <w:tcBorders>
              <w:bottom w:val="single" w:sz="4" w:space="0" w:color="auto"/>
            </w:tcBorders>
            <w:shd w:val="clear" w:color="auto" w:fill="F2F2F2"/>
            <w:vAlign w:val="center"/>
          </w:tcPr>
          <w:p w:rsidR="009B0266" w:rsidRPr="00961CB3" w:rsidRDefault="009B0266" w:rsidP="009B0266">
            <w:pPr>
              <w:tabs>
                <w:tab w:val="left" w:pos="1185"/>
              </w:tabs>
              <w:spacing w:beforeLines="20" w:before="48" w:afterLines="20" w:after="48"/>
              <w:jc w:val="center"/>
              <w:rPr>
                <w:b/>
                <w:sz w:val="16"/>
                <w:szCs w:val="16"/>
                <w:lang w:eastAsia="en-US"/>
              </w:rPr>
            </w:pPr>
            <w:r w:rsidRPr="00961CB3">
              <w:rPr>
                <w:b/>
                <w:sz w:val="16"/>
                <w:szCs w:val="16"/>
                <w:lang w:eastAsia="en-US"/>
              </w:rPr>
              <w:t>Fokusová oblasť</w:t>
            </w:r>
          </w:p>
        </w:tc>
        <w:tc>
          <w:tcPr>
            <w:tcW w:w="3828" w:type="dxa"/>
            <w:tcBorders>
              <w:bottom w:val="single" w:sz="4" w:space="0" w:color="auto"/>
            </w:tcBorders>
            <w:shd w:val="clear" w:color="auto" w:fill="F2F2F2"/>
            <w:vAlign w:val="center"/>
          </w:tcPr>
          <w:p w:rsidR="009B0266" w:rsidRPr="00961CB3" w:rsidRDefault="009B0266" w:rsidP="009B0266">
            <w:pPr>
              <w:tabs>
                <w:tab w:val="left" w:pos="1185"/>
              </w:tabs>
              <w:spacing w:beforeLines="20" w:before="48" w:afterLines="20" w:after="48"/>
              <w:jc w:val="center"/>
              <w:rPr>
                <w:b/>
                <w:sz w:val="16"/>
                <w:szCs w:val="16"/>
                <w:lang w:eastAsia="en-US"/>
              </w:rPr>
            </w:pPr>
            <w:r w:rsidRPr="00961CB3">
              <w:rPr>
                <w:b/>
                <w:sz w:val="16"/>
                <w:szCs w:val="16"/>
                <w:lang w:eastAsia="en-US"/>
              </w:rPr>
              <w:t>Celkový príspevok EPFRV</w:t>
            </w:r>
          </w:p>
        </w:tc>
      </w:tr>
      <w:tr w:rsidR="009B0266" w:rsidRPr="00961CB3" w:rsidTr="00A55745">
        <w:tc>
          <w:tcPr>
            <w:tcW w:w="4300" w:type="dxa"/>
            <w:tcBorders>
              <w:bottom w:val="single" w:sz="4" w:space="0" w:color="auto"/>
            </w:tcBorders>
            <w:shd w:val="clear" w:color="auto" w:fill="auto"/>
            <w:vAlign w:val="center"/>
          </w:tcPr>
          <w:p w:rsidR="009B0266" w:rsidRPr="00961CB3" w:rsidRDefault="009B0266" w:rsidP="009B0266">
            <w:pPr>
              <w:spacing w:beforeLines="20" w:before="48" w:afterLines="20" w:after="48"/>
              <w:jc w:val="center"/>
              <w:rPr>
                <w:sz w:val="16"/>
                <w:szCs w:val="16"/>
                <w:lang w:eastAsia="en-US"/>
              </w:rPr>
            </w:pPr>
            <w:r w:rsidRPr="00961CB3">
              <w:rPr>
                <w:sz w:val="16"/>
                <w:szCs w:val="16"/>
                <w:lang w:eastAsia="en-US"/>
              </w:rPr>
              <w:t>51(3)</w:t>
            </w:r>
          </w:p>
        </w:tc>
        <w:tc>
          <w:tcPr>
            <w:tcW w:w="4772" w:type="dxa"/>
            <w:tcBorders>
              <w:bottom w:val="single" w:sz="4" w:space="0" w:color="auto"/>
            </w:tcBorders>
            <w:shd w:val="clear" w:color="auto" w:fill="auto"/>
            <w:vAlign w:val="center"/>
          </w:tcPr>
          <w:p w:rsidR="009B0266" w:rsidRPr="00961CB3" w:rsidRDefault="009B0266" w:rsidP="009B0266">
            <w:pPr>
              <w:spacing w:beforeLines="20" w:before="48" w:afterLines="20" w:after="48"/>
              <w:jc w:val="center"/>
              <w:rPr>
                <w:sz w:val="16"/>
                <w:szCs w:val="16"/>
                <w:lang w:eastAsia="en-US"/>
              </w:rPr>
            </w:pPr>
            <w:r w:rsidRPr="00961CB3">
              <w:rPr>
                <w:sz w:val="16"/>
                <w:szCs w:val="16"/>
                <w:lang w:eastAsia="en-US"/>
              </w:rPr>
              <w:t>-</w:t>
            </w:r>
          </w:p>
        </w:tc>
        <w:tc>
          <w:tcPr>
            <w:tcW w:w="3828" w:type="dxa"/>
            <w:tcBorders>
              <w:bottom w:val="single" w:sz="4" w:space="0" w:color="auto"/>
            </w:tcBorders>
            <w:shd w:val="clear" w:color="auto" w:fill="auto"/>
            <w:vAlign w:val="center"/>
          </w:tcPr>
          <w:p w:rsidR="009B0266" w:rsidRPr="00961CB3" w:rsidRDefault="009B0266" w:rsidP="004F2B59">
            <w:pPr>
              <w:tabs>
                <w:tab w:val="left" w:pos="1877"/>
                <w:tab w:val="left" w:pos="2019"/>
              </w:tabs>
              <w:ind w:right="742"/>
              <w:jc w:val="right"/>
              <w:rPr>
                <w:rFonts w:eastAsiaTheme="minorHAnsi"/>
                <w:sz w:val="16"/>
                <w:szCs w:val="16"/>
                <w:lang w:eastAsia="en-US"/>
              </w:rPr>
            </w:pPr>
            <w:r w:rsidRPr="00961CB3">
              <w:rPr>
                <w:rFonts w:eastAsiaTheme="minorHAnsi"/>
                <w:sz w:val="16"/>
                <w:szCs w:val="16"/>
                <w:lang w:eastAsia="en-US"/>
              </w:rPr>
              <w:t>52 669 012,04</w:t>
            </w:r>
          </w:p>
        </w:tc>
      </w:tr>
      <w:tr w:rsidR="009B0266" w:rsidRPr="00D905DE" w:rsidTr="00A55745">
        <w:tc>
          <w:tcPr>
            <w:tcW w:w="9072" w:type="dxa"/>
            <w:gridSpan w:val="2"/>
            <w:tcBorders>
              <w:bottom w:val="single" w:sz="4" w:space="0" w:color="auto"/>
            </w:tcBorders>
            <w:shd w:val="clear" w:color="auto" w:fill="DAEEF3" w:themeFill="accent5" w:themeFillTint="33"/>
            <w:vAlign w:val="center"/>
          </w:tcPr>
          <w:p w:rsidR="009B0266" w:rsidRPr="00D905DE" w:rsidRDefault="009B0266" w:rsidP="00D905DE">
            <w:pPr>
              <w:spacing w:beforeLines="20" w:before="48" w:afterLines="20" w:after="48"/>
              <w:jc w:val="left"/>
              <w:rPr>
                <w:b/>
                <w:color w:val="8064A2"/>
                <w:sz w:val="20"/>
                <w:szCs w:val="20"/>
                <w:lang w:eastAsia="en-US"/>
              </w:rPr>
            </w:pPr>
            <w:r w:rsidRPr="00D905DE">
              <w:rPr>
                <w:b/>
                <w:sz w:val="20"/>
                <w:szCs w:val="20"/>
                <w:lang w:eastAsia="en-US"/>
              </w:rPr>
              <w:t xml:space="preserve">Celkovo opatrenie </w:t>
            </w:r>
            <w:r w:rsidR="00D905DE">
              <w:rPr>
                <w:b/>
                <w:sz w:val="20"/>
                <w:szCs w:val="20"/>
                <w:lang w:eastAsia="en-US"/>
              </w:rPr>
              <w:t>20 (</w:t>
            </w:r>
            <w:r w:rsidRPr="00D905DE">
              <w:rPr>
                <w:b/>
                <w:sz w:val="20"/>
                <w:szCs w:val="20"/>
                <w:lang w:eastAsia="en-US"/>
              </w:rPr>
              <w:t>čl. 51</w:t>
            </w:r>
            <w:r w:rsidR="00D905DE">
              <w:rPr>
                <w:b/>
                <w:sz w:val="20"/>
                <w:szCs w:val="20"/>
                <w:lang w:eastAsia="en-US"/>
              </w:rPr>
              <w:t xml:space="preserve">) </w:t>
            </w:r>
            <w:r w:rsidRPr="00D905DE">
              <w:rPr>
                <w:b/>
                <w:sz w:val="20"/>
                <w:szCs w:val="20"/>
                <w:lang w:eastAsia="en-US"/>
              </w:rPr>
              <w:t xml:space="preserve"> – Technická pomoc</w:t>
            </w:r>
          </w:p>
        </w:tc>
        <w:tc>
          <w:tcPr>
            <w:tcW w:w="3828" w:type="dxa"/>
            <w:tcBorders>
              <w:bottom w:val="single" w:sz="4" w:space="0" w:color="auto"/>
            </w:tcBorders>
            <w:shd w:val="clear" w:color="auto" w:fill="DAEEF3" w:themeFill="accent5" w:themeFillTint="33"/>
            <w:vAlign w:val="center"/>
          </w:tcPr>
          <w:p w:rsidR="009B0266" w:rsidRPr="00D905DE" w:rsidRDefault="009B0266" w:rsidP="004F2B59">
            <w:pPr>
              <w:tabs>
                <w:tab w:val="left" w:pos="1877"/>
                <w:tab w:val="left" w:pos="2019"/>
              </w:tabs>
              <w:ind w:right="742"/>
              <w:jc w:val="right"/>
              <w:rPr>
                <w:rFonts w:eastAsiaTheme="minorHAnsi"/>
                <w:b/>
                <w:sz w:val="20"/>
                <w:szCs w:val="20"/>
                <w:lang w:eastAsia="en-US"/>
              </w:rPr>
            </w:pPr>
            <w:r w:rsidRPr="00D905DE">
              <w:rPr>
                <w:rFonts w:eastAsiaTheme="minorHAnsi"/>
                <w:b/>
                <w:sz w:val="20"/>
                <w:szCs w:val="20"/>
                <w:lang w:eastAsia="en-US"/>
              </w:rPr>
              <w:t>52 669 012,04</w:t>
            </w:r>
          </w:p>
        </w:tc>
      </w:tr>
      <w:bookmarkEnd w:id="128"/>
      <w:bookmarkEnd w:id="129"/>
      <w:bookmarkEnd w:id="130"/>
      <w:bookmarkEnd w:id="131"/>
    </w:tbl>
    <w:p w:rsidR="009B0266" w:rsidRPr="00961CB3" w:rsidRDefault="009B0266" w:rsidP="009B0266">
      <w:pPr>
        <w:keepNext/>
        <w:spacing w:after="80"/>
        <w:outlineLvl w:val="1"/>
        <w:rPr>
          <w:rFonts w:eastAsia="Calibri"/>
          <w:b/>
          <w:sz w:val="16"/>
          <w:szCs w:val="16"/>
          <w:lang w:eastAsia="ja-JP"/>
        </w:rPr>
      </w:pPr>
    </w:p>
    <w:tbl>
      <w:tblPr>
        <w:tblW w:w="1290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00"/>
        <w:gridCol w:w="4772"/>
        <w:gridCol w:w="3828"/>
      </w:tblGrid>
      <w:tr w:rsidR="009B0266" w:rsidRPr="00961CB3" w:rsidTr="004F2B59">
        <w:tc>
          <w:tcPr>
            <w:tcW w:w="4300" w:type="dxa"/>
            <w:tcBorders>
              <w:bottom w:val="single" w:sz="4" w:space="0" w:color="auto"/>
            </w:tcBorders>
            <w:shd w:val="clear" w:color="auto" w:fill="F2F2F2"/>
            <w:vAlign w:val="center"/>
          </w:tcPr>
          <w:p w:rsidR="009B0266" w:rsidRPr="00961CB3" w:rsidRDefault="009B0266" w:rsidP="009B0266">
            <w:pPr>
              <w:tabs>
                <w:tab w:val="left" w:pos="1185"/>
              </w:tabs>
              <w:spacing w:beforeLines="20" w:before="48" w:afterLines="20" w:after="48"/>
              <w:jc w:val="center"/>
              <w:rPr>
                <w:b/>
                <w:sz w:val="16"/>
                <w:szCs w:val="16"/>
                <w:lang w:eastAsia="en-US"/>
              </w:rPr>
            </w:pPr>
            <w:r w:rsidRPr="00961CB3">
              <w:rPr>
                <w:b/>
                <w:sz w:val="16"/>
                <w:szCs w:val="16"/>
                <w:lang w:eastAsia="en-US"/>
              </w:rPr>
              <w:t>Miera príspevku EPFRV</w:t>
            </w:r>
          </w:p>
        </w:tc>
        <w:tc>
          <w:tcPr>
            <w:tcW w:w="4772" w:type="dxa"/>
            <w:tcBorders>
              <w:bottom w:val="single" w:sz="4" w:space="0" w:color="auto"/>
            </w:tcBorders>
            <w:shd w:val="clear" w:color="auto" w:fill="F2F2F2"/>
            <w:vAlign w:val="center"/>
          </w:tcPr>
          <w:p w:rsidR="009B0266" w:rsidRPr="00961CB3" w:rsidRDefault="009B0266" w:rsidP="009B0266">
            <w:pPr>
              <w:tabs>
                <w:tab w:val="left" w:pos="1185"/>
              </w:tabs>
              <w:spacing w:beforeLines="20" w:before="48" w:afterLines="20" w:after="48"/>
              <w:jc w:val="center"/>
              <w:rPr>
                <w:b/>
                <w:sz w:val="16"/>
                <w:szCs w:val="16"/>
                <w:lang w:eastAsia="en-US"/>
              </w:rPr>
            </w:pPr>
            <w:r w:rsidRPr="00961CB3">
              <w:rPr>
                <w:b/>
                <w:sz w:val="16"/>
                <w:szCs w:val="16"/>
                <w:lang w:eastAsia="en-US"/>
              </w:rPr>
              <w:t>Fokusová oblasť</w:t>
            </w:r>
          </w:p>
        </w:tc>
        <w:tc>
          <w:tcPr>
            <w:tcW w:w="3828" w:type="dxa"/>
            <w:tcBorders>
              <w:bottom w:val="single" w:sz="4" w:space="0" w:color="auto"/>
            </w:tcBorders>
            <w:shd w:val="clear" w:color="auto" w:fill="F2F2F2"/>
            <w:vAlign w:val="center"/>
          </w:tcPr>
          <w:p w:rsidR="009B0266" w:rsidRPr="00961CB3" w:rsidRDefault="009B0266" w:rsidP="009B0266">
            <w:pPr>
              <w:tabs>
                <w:tab w:val="left" w:pos="1185"/>
              </w:tabs>
              <w:spacing w:beforeLines="20" w:before="48" w:afterLines="20" w:after="48"/>
              <w:jc w:val="center"/>
              <w:rPr>
                <w:b/>
                <w:sz w:val="16"/>
                <w:szCs w:val="16"/>
                <w:lang w:eastAsia="en-US"/>
              </w:rPr>
            </w:pPr>
            <w:r w:rsidRPr="00961CB3">
              <w:rPr>
                <w:b/>
                <w:sz w:val="16"/>
                <w:szCs w:val="16"/>
                <w:lang w:eastAsia="en-US"/>
              </w:rPr>
              <w:t>Celkový príspevok EPFRV</w:t>
            </w:r>
          </w:p>
        </w:tc>
      </w:tr>
      <w:tr w:rsidR="009B0266" w:rsidRPr="00961CB3" w:rsidTr="004F2B59">
        <w:tc>
          <w:tcPr>
            <w:tcW w:w="4300" w:type="dxa"/>
            <w:tcBorders>
              <w:bottom w:val="single" w:sz="4" w:space="0" w:color="auto"/>
            </w:tcBorders>
            <w:shd w:val="clear" w:color="auto" w:fill="auto"/>
            <w:vAlign w:val="center"/>
          </w:tcPr>
          <w:p w:rsidR="009B0266" w:rsidRPr="00961CB3" w:rsidRDefault="009B0266" w:rsidP="009B0266">
            <w:pPr>
              <w:spacing w:beforeLines="20" w:before="48" w:afterLines="20" w:after="48"/>
              <w:jc w:val="center"/>
              <w:rPr>
                <w:sz w:val="16"/>
                <w:szCs w:val="16"/>
                <w:lang w:eastAsia="en-US"/>
              </w:rPr>
            </w:pPr>
            <w:r w:rsidRPr="00961CB3">
              <w:rPr>
                <w:sz w:val="16"/>
                <w:szCs w:val="16"/>
                <w:lang w:eastAsia="en-US"/>
              </w:rPr>
              <w:t>Pokračujúce záväzky</w:t>
            </w:r>
          </w:p>
        </w:tc>
        <w:tc>
          <w:tcPr>
            <w:tcW w:w="4772" w:type="dxa"/>
            <w:tcBorders>
              <w:bottom w:val="single" w:sz="4" w:space="0" w:color="auto"/>
            </w:tcBorders>
            <w:shd w:val="clear" w:color="auto" w:fill="auto"/>
            <w:vAlign w:val="center"/>
          </w:tcPr>
          <w:p w:rsidR="009B0266" w:rsidRPr="00961CB3" w:rsidRDefault="009B0266" w:rsidP="009B0266">
            <w:pPr>
              <w:spacing w:beforeLines="20" w:before="48" w:afterLines="20" w:after="48"/>
              <w:jc w:val="center"/>
              <w:rPr>
                <w:sz w:val="16"/>
                <w:szCs w:val="16"/>
                <w:lang w:eastAsia="en-US"/>
              </w:rPr>
            </w:pPr>
            <w:r w:rsidRPr="00961CB3">
              <w:rPr>
                <w:sz w:val="16"/>
                <w:szCs w:val="16"/>
                <w:lang w:eastAsia="en-US"/>
              </w:rPr>
              <w:t>-</w:t>
            </w:r>
          </w:p>
        </w:tc>
        <w:tc>
          <w:tcPr>
            <w:tcW w:w="3828" w:type="dxa"/>
            <w:tcBorders>
              <w:bottom w:val="single" w:sz="4" w:space="0" w:color="auto"/>
            </w:tcBorders>
            <w:shd w:val="clear" w:color="auto" w:fill="auto"/>
            <w:vAlign w:val="center"/>
          </w:tcPr>
          <w:p w:rsidR="009B0266" w:rsidRPr="00961CB3" w:rsidRDefault="009B0266" w:rsidP="004F2B59">
            <w:pPr>
              <w:tabs>
                <w:tab w:val="left" w:pos="1877"/>
                <w:tab w:val="left" w:pos="2019"/>
              </w:tabs>
              <w:ind w:right="742"/>
              <w:jc w:val="right"/>
              <w:rPr>
                <w:rFonts w:eastAsiaTheme="minorHAnsi"/>
                <w:sz w:val="16"/>
                <w:szCs w:val="16"/>
                <w:lang w:eastAsia="en-US"/>
              </w:rPr>
            </w:pPr>
            <w:r w:rsidRPr="00961CB3">
              <w:rPr>
                <w:rFonts w:eastAsiaTheme="minorHAnsi"/>
                <w:sz w:val="16"/>
                <w:szCs w:val="16"/>
                <w:lang w:eastAsia="en-US"/>
              </w:rPr>
              <w:t>287 737,50</w:t>
            </w:r>
          </w:p>
        </w:tc>
      </w:tr>
      <w:tr w:rsidR="009B0266" w:rsidRPr="00D905DE" w:rsidTr="004F2B59">
        <w:tc>
          <w:tcPr>
            <w:tcW w:w="9072" w:type="dxa"/>
            <w:gridSpan w:val="2"/>
            <w:tcBorders>
              <w:bottom w:val="single" w:sz="4" w:space="0" w:color="auto"/>
            </w:tcBorders>
            <w:shd w:val="clear" w:color="auto" w:fill="DAEEF3" w:themeFill="accent5" w:themeFillTint="33"/>
            <w:vAlign w:val="center"/>
          </w:tcPr>
          <w:p w:rsidR="009B0266" w:rsidRPr="00D905DE" w:rsidRDefault="009B0266" w:rsidP="00D905DE">
            <w:pPr>
              <w:spacing w:beforeLines="20" w:before="48" w:afterLines="20" w:after="48"/>
              <w:jc w:val="left"/>
              <w:rPr>
                <w:b/>
                <w:color w:val="8064A2"/>
                <w:sz w:val="20"/>
                <w:szCs w:val="20"/>
                <w:lang w:eastAsia="en-US"/>
              </w:rPr>
            </w:pPr>
            <w:r w:rsidRPr="00D905DE">
              <w:rPr>
                <w:b/>
                <w:sz w:val="20"/>
                <w:szCs w:val="20"/>
                <w:lang w:eastAsia="en-US"/>
              </w:rPr>
              <w:t>Celkovo opatrenie – Prvé zalesnenie poľnohospodárskej pôdy (pokračujúce záväzky)</w:t>
            </w:r>
          </w:p>
        </w:tc>
        <w:tc>
          <w:tcPr>
            <w:tcW w:w="3828" w:type="dxa"/>
            <w:tcBorders>
              <w:bottom w:val="single" w:sz="4" w:space="0" w:color="auto"/>
            </w:tcBorders>
            <w:shd w:val="clear" w:color="auto" w:fill="DAEEF3" w:themeFill="accent5" w:themeFillTint="33"/>
            <w:vAlign w:val="center"/>
          </w:tcPr>
          <w:p w:rsidR="009B0266" w:rsidRPr="004F2B59" w:rsidRDefault="009B0266" w:rsidP="004F2B59">
            <w:pPr>
              <w:tabs>
                <w:tab w:val="left" w:pos="1877"/>
                <w:tab w:val="left" w:pos="2019"/>
              </w:tabs>
              <w:ind w:right="742"/>
              <w:jc w:val="right"/>
              <w:rPr>
                <w:rFonts w:eastAsiaTheme="minorHAnsi"/>
                <w:b/>
                <w:sz w:val="20"/>
                <w:szCs w:val="20"/>
                <w:lang w:eastAsia="en-US"/>
              </w:rPr>
            </w:pPr>
            <w:r w:rsidRPr="00D905DE">
              <w:rPr>
                <w:rFonts w:eastAsiaTheme="minorHAnsi"/>
                <w:b/>
                <w:sz w:val="20"/>
                <w:szCs w:val="20"/>
                <w:lang w:eastAsia="en-US"/>
              </w:rPr>
              <w:t>287 737,50</w:t>
            </w:r>
          </w:p>
        </w:tc>
      </w:tr>
    </w:tbl>
    <w:p w:rsidR="008676F9" w:rsidRDefault="008676F9" w:rsidP="008676F9">
      <w:pPr>
        <w:keepNext/>
        <w:keepLines/>
        <w:spacing w:before="200" w:line="276" w:lineRule="auto"/>
        <w:outlineLvl w:val="1"/>
        <w:rPr>
          <w:rFonts w:ascii="Calibri" w:hAnsi="Calibri"/>
          <w:b/>
          <w:bCs/>
          <w:color w:val="4F81BD"/>
          <w:sz w:val="26"/>
          <w:szCs w:val="26"/>
          <w:lang w:eastAsia="en-US"/>
        </w:rPr>
        <w:sectPr w:rsidR="008676F9" w:rsidSect="006B60DF">
          <w:headerReference w:type="default" r:id="rId88"/>
          <w:pgSz w:w="16838" w:h="11906" w:orient="landscape" w:code="9"/>
          <w:pgMar w:top="1701" w:right="1418" w:bottom="1134" w:left="1418" w:header="1021" w:footer="1021" w:gutter="0"/>
          <w:cols w:space="708"/>
          <w:docGrid w:linePitch="360"/>
        </w:sectPr>
      </w:pPr>
    </w:p>
    <w:p w:rsidR="008676F9" w:rsidRPr="005F1407" w:rsidRDefault="008676F9" w:rsidP="00366F96">
      <w:pPr>
        <w:pStyle w:val="Hlavn"/>
      </w:pPr>
      <w:bookmarkStart w:id="133" w:name="_Toc387041347"/>
      <w:r w:rsidRPr="008676F9">
        <w:t>11. PLÁN UKAZOVATEĽOV</w:t>
      </w:r>
      <w:bookmarkStart w:id="134" w:name="_Toc359914519"/>
      <w:bookmarkStart w:id="135" w:name="_Toc359930822"/>
      <w:bookmarkEnd w:id="133"/>
    </w:p>
    <w:bookmarkEnd w:id="134"/>
    <w:bookmarkEnd w:id="135"/>
    <w:p w:rsidR="00664E86" w:rsidRPr="00EB5386" w:rsidRDefault="00664E86" w:rsidP="00EB5386">
      <w:pPr>
        <w:pStyle w:val="Nadpis3"/>
        <w:keepLines/>
        <w:spacing w:before="0"/>
        <w:rPr>
          <w:rFonts w:eastAsiaTheme="majorEastAsia" w:cstheme="majorBidi"/>
          <w:b/>
          <w:bCs/>
          <w:i w:val="0"/>
          <w:szCs w:val="22"/>
          <w:u w:val="none"/>
          <w:lang w:val="sk-SK"/>
        </w:rPr>
      </w:pPr>
      <w:r w:rsidRPr="00EB5386">
        <w:rPr>
          <w:rFonts w:eastAsiaTheme="majorEastAsia" w:cstheme="majorBidi"/>
          <w:b/>
          <w:bCs/>
          <w:i w:val="0"/>
          <w:szCs w:val="22"/>
          <w:u w:val="none"/>
          <w:lang w:val="sk-SK"/>
        </w:rPr>
        <w:t>11.1 Plán ukazovateľov</w:t>
      </w:r>
    </w:p>
    <w:p w:rsidR="00664E86" w:rsidRPr="00F849C3" w:rsidRDefault="00664E86" w:rsidP="00664E86">
      <w:pPr>
        <w:spacing w:after="120"/>
        <w:rPr>
          <w:lang w:eastAsia="en-GB"/>
        </w:rPr>
      </w:pPr>
      <w:r w:rsidRPr="00F849C3">
        <w:rPr>
          <w:lang w:eastAsia="en-GB"/>
        </w:rPr>
        <w:t xml:space="preserve">Plán ukazovateľov je súbor tabuliek, ktorý dopĺňa stratégiu PRV, kvantifikuje cieľové hodnoty pre obdobie 2014-2020 ako aj plánované výstupy a plánované výdavky pre každú fokusovú oblasť PRV. Okrem toho plán ukazovateľov zobrazuje (a kvantifikuje) špecifický podiel každého programovaného opatrenia pre danú fokusovú oblasť (plánované výstupy, plánované výdavky). </w:t>
      </w:r>
    </w:p>
    <w:p w:rsidR="00664E86" w:rsidRPr="00F849C3" w:rsidRDefault="00664E86" w:rsidP="00664E86">
      <w:pPr>
        <w:spacing w:before="120" w:after="120"/>
        <w:rPr>
          <w:lang w:eastAsia="en-GB"/>
        </w:rPr>
      </w:pPr>
      <w:r w:rsidRPr="00F849C3">
        <w:rPr>
          <w:lang w:eastAsia="en-GB"/>
        </w:rPr>
        <w:t xml:space="preserve">Samotný plán ukazovateľov poskytuje informácie o rozdelení zdrojov (výdavky/ fyzické výstupy) podľa opatrení v rámci jednotlivých fokusových oblastí a vo vzťahu k cieľovým ukazovateľom kvantifikovaných pre r.2020. </w:t>
      </w:r>
    </w:p>
    <w:p w:rsidR="00664E86" w:rsidRPr="00F849C3" w:rsidRDefault="00664E86" w:rsidP="00664E86">
      <w:pPr>
        <w:spacing w:after="120"/>
        <w:rPr>
          <w:b/>
        </w:rPr>
      </w:pPr>
    </w:p>
    <w:p w:rsidR="00664E86" w:rsidRPr="00F849C3" w:rsidRDefault="00664E86" w:rsidP="00664E86">
      <w:pPr>
        <w:spacing w:after="120"/>
        <w:rPr>
          <w:b/>
        </w:rPr>
      </w:pPr>
      <w:r w:rsidRPr="00F849C3">
        <w:rPr>
          <w:b/>
        </w:rPr>
        <w:t>11.1.1 Špecifický prípad priority 1:</w:t>
      </w:r>
    </w:p>
    <w:p w:rsidR="00664E86" w:rsidRPr="00F849C3" w:rsidRDefault="00664E86" w:rsidP="00664E86">
      <w:pPr>
        <w:spacing w:after="120"/>
      </w:pPr>
      <w:r w:rsidRPr="00F849C3">
        <w:t xml:space="preserve">Priorita 1 (Prenos poznatkov a inovácie) je horizontálnou prioritou a vyžaduje si osobitý prístup. Tým, že je „Prenos poznatkov a inovácie (PP&amp;I) “ prierezovou témou, a pretože inovácie je pritom ťažko zachytiť ukazovateľom, plán ukazovateľov poskytne sumár opatrení zahrnutých do jednotlivých fokusových oblastí, ktoré sú najdôležitejšie pre PP&amp;I (menovite "Prenos znalostí a informačné akcie“ (čl. 15), "Poradenské služby" (čl.16) a "Spolupráca" (čl.36)).  Cieľové hodnoty pre prioritu 1 budú  vychádzať z plánovaných výstupov (/výdavkov) tých opatrení PP&amp;I zahrnutých do ostatných fokusových oblastí. </w:t>
      </w:r>
    </w:p>
    <w:p w:rsidR="00664E86" w:rsidRPr="00F849C3" w:rsidRDefault="00664E86" w:rsidP="00664E86">
      <w:pPr>
        <w:spacing w:after="120"/>
        <w:rPr>
          <w:b/>
        </w:rPr>
      </w:pPr>
    </w:p>
    <w:p w:rsidR="00664E86" w:rsidRPr="00F849C3" w:rsidRDefault="00664E86" w:rsidP="00664E86">
      <w:pPr>
        <w:pStyle w:val="StylTunZarovnatdoblokuVlevo0cmPedsazen1cm"/>
        <w:spacing w:before="0" w:after="120" w:line="240" w:lineRule="auto"/>
        <w:rPr>
          <w:rFonts w:asciiTheme="minorHAnsi" w:hAnsiTheme="minorHAnsi"/>
          <w:b/>
        </w:rPr>
      </w:pPr>
      <w:bookmarkStart w:id="136" w:name="_Toc359930823"/>
      <w:r w:rsidRPr="00F849C3">
        <w:rPr>
          <w:rFonts w:asciiTheme="minorHAnsi" w:hAnsiTheme="minorHAnsi"/>
          <w:b/>
        </w:rPr>
        <w:t>11.1.2 Špecifický prípad opatrení riešiacich niekoľko environmentálnych/klimatických cieľov na tých istých hektároch:</w:t>
      </w:r>
      <w:bookmarkEnd w:id="136"/>
    </w:p>
    <w:p w:rsidR="00664E86" w:rsidRPr="00F849C3" w:rsidRDefault="00664E86" w:rsidP="00664E86">
      <w:r w:rsidRPr="00F849C3">
        <w:t>Niektoré environmentálne opatrenia/podopatrenia sú programované spôsobom, že jednotlivé podporné schémy sa môžu vzťahovať na ten istý hektár (napr.  súbežne prispejú k zlepšeniu vodného hospodárstva a k ochrane pôdy proti erózii). V týchto prípadoch je možné podporené plochy (ha) započítavať viac než k jednému cieľovému ukazovateľu v rámci fokusových oblastí priorít 4 a 5.</w:t>
      </w:r>
    </w:p>
    <w:p w:rsidR="00664E86" w:rsidRPr="00F849C3" w:rsidRDefault="00664E86" w:rsidP="00664E86"/>
    <w:p w:rsidR="008676F9" w:rsidRPr="008676F9" w:rsidRDefault="008676F9" w:rsidP="00F14F63">
      <w:pPr>
        <w:rPr>
          <w:rFonts w:ascii="Calibri" w:eastAsia="Calibri" w:hAnsi="Calibri"/>
          <w:szCs w:val="22"/>
          <w:lang w:eastAsia="en-US"/>
        </w:rPr>
      </w:pPr>
    </w:p>
    <w:p w:rsidR="008676F9" w:rsidRPr="008676F9" w:rsidRDefault="008676F9" w:rsidP="008676F9">
      <w:pPr>
        <w:rPr>
          <w:rFonts w:ascii="Calibri" w:eastAsia="Calibri" w:hAnsi="Calibri"/>
          <w:szCs w:val="22"/>
          <w:lang w:eastAsia="en-US"/>
        </w:rPr>
      </w:pPr>
    </w:p>
    <w:p w:rsidR="008676F9" w:rsidRPr="008676F9" w:rsidRDefault="008676F9" w:rsidP="008676F9">
      <w:pPr>
        <w:rPr>
          <w:rFonts w:ascii="Calibri" w:eastAsia="Calibri" w:hAnsi="Calibri"/>
          <w:szCs w:val="22"/>
          <w:lang w:eastAsia="en-US"/>
        </w:rPr>
      </w:pPr>
    </w:p>
    <w:p w:rsidR="008676F9" w:rsidRPr="008676F9" w:rsidRDefault="008676F9" w:rsidP="008676F9">
      <w:pPr>
        <w:rPr>
          <w:rFonts w:ascii="Calibri" w:eastAsia="Calibri" w:hAnsi="Calibri"/>
          <w:szCs w:val="22"/>
          <w:lang w:eastAsia="en-US"/>
        </w:rPr>
      </w:pPr>
    </w:p>
    <w:p w:rsidR="008676F9" w:rsidRPr="008676F9" w:rsidRDefault="008676F9" w:rsidP="008676F9">
      <w:pPr>
        <w:rPr>
          <w:rFonts w:ascii="Calibri" w:eastAsia="Calibri" w:hAnsi="Calibri"/>
          <w:szCs w:val="22"/>
          <w:lang w:eastAsia="en-US"/>
        </w:rPr>
      </w:pPr>
    </w:p>
    <w:p w:rsidR="008676F9" w:rsidRPr="008676F9" w:rsidRDefault="008676F9" w:rsidP="008676F9">
      <w:pPr>
        <w:rPr>
          <w:rFonts w:ascii="Calibri" w:eastAsia="Calibri" w:hAnsi="Calibri"/>
          <w:szCs w:val="22"/>
          <w:lang w:eastAsia="en-US"/>
        </w:rPr>
      </w:pPr>
    </w:p>
    <w:p w:rsidR="008676F9" w:rsidRPr="008676F9" w:rsidRDefault="008676F9" w:rsidP="008676F9">
      <w:pPr>
        <w:rPr>
          <w:rFonts w:ascii="Calibri" w:eastAsia="Calibri" w:hAnsi="Calibri"/>
          <w:szCs w:val="22"/>
          <w:lang w:eastAsia="en-US"/>
        </w:rPr>
      </w:pPr>
    </w:p>
    <w:p w:rsidR="008676F9" w:rsidRPr="005F1407" w:rsidRDefault="008676F9" w:rsidP="00AA30CA">
      <w:pPr>
        <w:pStyle w:val="Pod"/>
        <w:rPr>
          <w:rFonts w:eastAsia="Calibri"/>
          <w:lang w:eastAsia="en-US"/>
        </w:rPr>
      </w:pPr>
      <w:r w:rsidRPr="008676F9">
        <w:rPr>
          <w:rFonts w:eastAsia="Calibri"/>
          <w:lang w:eastAsia="en-US"/>
        </w:rPr>
        <w:lastRenderedPageBreak/>
        <w:br w:type="page"/>
      </w:r>
      <w:bookmarkStart w:id="137" w:name="_Toc359914520"/>
      <w:bookmarkStart w:id="138" w:name="_Toc359930824"/>
      <w:bookmarkStart w:id="139" w:name="_Toc384111080"/>
      <w:bookmarkStart w:id="140" w:name="_Toc387041348"/>
      <w:r w:rsidRPr="008676F9">
        <w:rPr>
          <w:lang w:eastAsia="en-US"/>
        </w:rPr>
        <w:t>11.2 Prehľad opatrení a fokusových oblastí:</w:t>
      </w:r>
      <w:bookmarkEnd w:id="137"/>
      <w:bookmarkEnd w:id="138"/>
      <w:bookmarkEnd w:id="139"/>
      <w:bookmarkEnd w:id="140"/>
    </w:p>
    <w:p w:rsidR="008676F9" w:rsidRPr="008676F9" w:rsidRDefault="008676F9" w:rsidP="005F1407">
      <w:pPr>
        <w:keepNext/>
        <w:spacing w:before="240" w:after="60" w:line="276" w:lineRule="auto"/>
        <w:outlineLvl w:val="3"/>
        <w:rPr>
          <w:rFonts w:ascii="Calibri" w:hAnsi="Calibri"/>
          <w:b/>
          <w:bCs/>
          <w:szCs w:val="22"/>
          <w:lang w:eastAsia="en-US"/>
        </w:rPr>
      </w:pPr>
      <w:bookmarkStart w:id="141" w:name="_Toc359930825"/>
      <w:r w:rsidRPr="008676F9">
        <w:rPr>
          <w:rFonts w:ascii="Calibri" w:hAnsi="Calibri"/>
          <w:b/>
          <w:bCs/>
          <w:szCs w:val="22"/>
          <w:lang w:eastAsia="en-US"/>
        </w:rPr>
        <w:t>PRIORITA 1: Prenos poznatkov a inovácie</w:t>
      </w:r>
      <w:bookmarkEnd w:id="141"/>
    </w:p>
    <w:tbl>
      <w:tblPr>
        <w:tblW w:w="7680" w:type="dxa"/>
        <w:tblInd w:w="55" w:type="dxa"/>
        <w:tblCellMar>
          <w:left w:w="70" w:type="dxa"/>
          <w:right w:w="70" w:type="dxa"/>
        </w:tblCellMar>
        <w:tblLook w:val="04A0" w:firstRow="1" w:lastRow="0" w:firstColumn="1" w:lastColumn="0" w:noHBand="0" w:noVBand="1"/>
      </w:tblPr>
      <w:tblGrid>
        <w:gridCol w:w="1660"/>
        <w:gridCol w:w="1660"/>
        <w:gridCol w:w="2700"/>
        <w:gridCol w:w="1660"/>
      </w:tblGrid>
      <w:tr w:rsidR="008676F9" w:rsidRPr="00E820E4" w:rsidTr="00BB33FC">
        <w:trPr>
          <w:trHeight w:val="705"/>
        </w:trPr>
        <w:tc>
          <w:tcPr>
            <w:tcW w:w="7680" w:type="dxa"/>
            <w:gridSpan w:val="4"/>
            <w:tcBorders>
              <w:top w:val="single" w:sz="8" w:space="0" w:color="000000"/>
              <w:left w:val="single" w:sz="8" w:space="0" w:color="000000"/>
              <w:bottom w:val="single" w:sz="4" w:space="0" w:color="auto"/>
              <w:right w:val="single" w:sz="8" w:space="0" w:color="000000"/>
            </w:tcBorders>
            <w:shd w:val="clear" w:color="auto" w:fill="FFFF00"/>
            <w:vAlign w:val="center"/>
            <w:hideMark/>
          </w:tcPr>
          <w:p w:rsidR="008676F9" w:rsidRPr="00E820E4" w:rsidRDefault="008676F9" w:rsidP="00E820E4">
            <w:pPr>
              <w:ind w:left="371" w:hanging="371"/>
              <w:jc w:val="left"/>
              <w:rPr>
                <w:rFonts w:ascii="Calibri" w:hAnsi="Calibri"/>
                <w:b/>
                <w:bCs/>
                <w:szCs w:val="22"/>
              </w:rPr>
            </w:pPr>
            <w:r w:rsidRPr="00E820E4">
              <w:rPr>
                <w:rFonts w:ascii="Calibri" w:hAnsi="Calibri"/>
                <w:b/>
                <w:bCs/>
                <w:szCs w:val="22"/>
              </w:rPr>
              <w:t xml:space="preserve">1A </w:t>
            </w:r>
            <w:r w:rsidR="00E820E4">
              <w:rPr>
                <w:rFonts w:ascii="Calibri" w:hAnsi="Calibri"/>
                <w:b/>
                <w:bCs/>
                <w:szCs w:val="22"/>
              </w:rPr>
              <w:t xml:space="preserve"> </w:t>
            </w:r>
            <w:r w:rsidRPr="00E820E4">
              <w:rPr>
                <w:rFonts w:ascii="Calibri" w:hAnsi="Calibri"/>
                <w:b/>
                <w:bCs/>
                <w:szCs w:val="22"/>
              </w:rPr>
              <w:t>P</w:t>
            </w:r>
            <w:r w:rsidRPr="00E820E4">
              <w:rPr>
                <w:rFonts w:ascii="Calibri" w:hAnsi="Calibri" w:cs="Arial"/>
                <w:b/>
                <w:bCs/>
                <w:szCs w:val="22"/>
              </w:rPr>
              <w:t>odpora inovácie, spolupráce a rozvoja vedomostnej základne vo vidieckych oblastiach</w:t>
            </w:r>
          </w:p>
        </w:tc>
      </w:tr>
      <w:tr w:rsidR="008676F9" w:rsidRPr="008676F9" w:rsidTr="00BB33FC">
        <w:trPr>
          <w:trHeight w:val="499"/>
        </w:trPr>
        <w:tc>
          <w:tcPr>
            <w:tcW w:w="1660" w:type="dxa"/>
            <w:vMerge w:val="restart"/>
            <w:tcBorders>
              <w:top w:val="nil"/>
              <w:left w:val="single" w:sz="8" w:space="0" w:color="000000"/>
              <w:bottom w:val="single" w:sz="8" w:space="0" w:color="000000"/>
              <w:right w:val="single" w:sz="4" w:space="0" w:color="auto"/>
            </w:tcBorders>
            <w:shd w:val="clear" w:color="000000" w:fill="FFFFFF"/>
            <w:noWrap/>
            <w:vAlign w:val="center"/>
            <w:hideMark/>
          </w:tcPr>
          <w:p w:rsidR="008676F9" w:rsidRPr="008676F9" w:rsidRDefault="008676F9" w:rsidP="008676F9">
            <w:pPr>
              <w:jc w:val="center"/>
              <w:rPr>
                <w:rFonts w:ascii="Calibri" w:hAnsi="Calibri"/>
                <w:b/>
                <w:bCs/>
                <w:sz w:val="20"/>
                <w:szCs w:val="20"/>
              </w:rPr>
            </w:pPr>
            <w:r w:rsidRPr="008676F9">
              <w:rPr>
                <w:rFonts w:ascii="Calibri" w:hAnsi="Calibri"/>
                <w:b/>
                <w:bCs/>
                <w:sz w:val="20"/>
                <w:szCs w:val="20"/>
              </w:rPr>
              <w:t>Cieľová hodnota</w:t>
            </w:r>
          </w:p>
        </w:tc>
        <w:tc>
          <w:tcPr>
            <w:tcW w:w="6020" w:type="dxa"/>
            <w:gridSpan w:val="3"/>
            <w:tcBorders>
              <w:top w:val="single" w:sz="4" w:space="0" w:color="auto"/>
              <w:left w:val="nil"/>
              <w:bottom w:val="single" w:sz="4" w:space="0" w:color="auto"/>
              <w:right w:val="single" w:sz="8" w:space="0" w:color="000000"/>
            </w:tcBorders>
            <w:shd w:val="clear" w:color="000000" w:fill="FFFFFF"/>
            <w:vAlign w:val="center"/>
            <w:hideMark/>
          </w:tcPr>
          <w:p w:rsidR="008676F9" w:rsidRPr="008676F9" w:rsidRDefault="008676F9" w:rsidP="008676F9">
            <w:pPr>
              <w:jc w:val="center"/>
              <w:rPr>
                <w:rFonts w:ascii="Calibri" w:hAnsi="Calibri"/>
                <w:b/>
                <w:bCs/>
                <w:sz w:val="20"/>
                <w:szCs w:val="20"/>
              </w:rPr>
            </w:pPr>
            <w:r w:rsidRPr="008676F9">
              <w:rPr>
                <w:rFonts w:ascii="Calibri" w:hAnsi="Calibri"/>
                <w:b/>
                <w:bCs/>
                <w:sz w:val="20"/>
                <w:szCs w:val="20"/>
              </w:rPr>
              <w:t>% z celkových verejných výdavkov</w:t>
            </w:r>
          </w:p>
        </w:tc>
      </w:tr>
      <w:tr w:rsidR="008676F9" w:rsidRPr="008676F9" w:rsidTr="00BB33FC">
        <w:trPr>
          <w:trHeight w:val="499"/>
        </w:trPr>
        <w:tc>
          <w:tcPr>
            <w:tcW w:w="1660" w:type="dxa"/>
            <w:vMerge/>
            <w:tcBorders>
              <w:top w:val="nil"/>
              <w:left w:val="single" w:sz="8" w:space="0" w:color="000000"/>
              <w:bottom w:val="single" w:sz="8" w:space="0" w:color="000000"/>
              <w:right w:val="single" w:sz="4" w:space="0" w:color="auto"/>
            </w:tcBorders>
            <w:vAlign w:val="center"/>
            <w:hideMark/>
          </w:tcPr>
          <w:p w:rsidR="008676F9" w:rsidRPr="008676F9" w:rsidRDefault="008676F9" w:rsidP="008676F9">
            <w:pPr>
              <w:rPr>
                <w:rFonts w:ascii="Calibri" w:hAnsi="Calibri"/>
                <w:b/>
                <w:bCs/>
                <w:sz w:val="20"/>
                <w:szCs w:val="20"/>
              </w:rPr>
            </w:pPr>
          </w:p>
        </w:tc>
        <w:tc>
          <w:tcPr>
            <w:tcW w:w="6020" w:type="dxa"/>
            <w:gridSpan w:val="3"/>
            <w:tcBorders>
              <w:top w:val="single" w:sz="4" w:space="0" w:color="auto"/>
              <w:left w:val="nil"/>
              <w:bottom w:val="single" w:sz="4" w:space="0" w:color="auto"/>
              <w:right w:val="single" w:sz="8" w:space="0" w:color="000000"/>
            </w:tcBorders>
            <w:shd w:val="clear" w:color="000000" w:fill="FFFFFF"/>
            <w:vAlign w:val="center"/>
            <w:hideMark/>
          </w:tcPr>
          <w:p w:rsidR="008676F9" w:rsidRPr="008676F9" w:rsidRDefault="008676F9" w:rsidP="008676F9">
            <w:pPr>
              <w:jc w:val="center"/>
              <w:rPr>
                <w:rFonts w:ascii="Calibri" w:hAnsi="Calibri"/>
                <w:b/>
                <w:bCs/>
                <w:sz w:val="20"/>
                <w:szCs w:val="20"/>
              </w:rPr>
            </w:pPr>
            <w:r w:rsidRPr="008676F9">
              <w:rPr>
                <w:rFonts w:ascii="Calibri" w:hAnsi="Calibri"/>
                <w:b/>
                <w:bCs/>
                <w:sz w:val="20"/>
                <w:szCs w:val="20"/>
              </w:rPr>
              <w:t>r.2020</w:t>
            </w:r>
          </w:p>
        </w:tc>
      </w:tr>
      <w:tr w:rsidR="008676F9" w:rsidRPr="008676F9" w:rsidTr="00BB33FC">
        <w:trPr>
          <w:trHeight w:val="499"/>
        </w:trPr>
        <w:tc>
          <w:tcPr>
            <w:tcW w:w="1660" w:type="dxa"/>
            <w:vMerge/>
            <w:tcBorders>
              <w:top w:val="nil"/>
              <w:left w:val="single" w:sz="8" w:space="0" w:color="000000"/>
              <w:bottom w:val="single" w:sz="8" w:space="0" w:color="000000"/>
              <w:right w:val="single" w:sz="4" w:space="0" w:color="auto"/>
            </w:tcBorders>
            <w:vAlign w:val="center"/>
            <w:hideMark/>
          </w:tcPr>
          <w:p w:rsidR="008676F9" w:rsidRPr="008676F9" w:rsidRDefault="008676F9" w:rsidP="008676F9">
            <w:pPr>
              <w:rPr>
                <w:rFonts w:ascii="Calibri" w:hAnsi="Calibri"/>
                <w:b/>
                <w:bCs/>
                <w:sz w:val="20"/>
                <w:szCs w:val="20"/>
              </w:rPr>
            </w:pPr>
          </w:p>
        </w:tc>
        <w:tc>
          <w:tcPr>
            <w:tcW w:w="6020" w:type="dxa"/>
            <w:gridSpan w:val="3"/>
            <w:tcBorders>
              <w:top w:val="single" w:sz="4" w:space="0" w:color="auto"/>
              <w:left w:val="nil"/>
              <w:bottom w:val="single" w:sz="4" w:space="0" w:color="auto"/>
              <w:right w:val="single" w:sz="8" w:space="0" w:color="000000"/>
            </w:tcBorders>
            <w:shd w:val="clear" w:color="000000" w:fill="FFFFFF"/>
            <w:vAlign w:val="center"/>
            <w:hideMark/>
          </w:tcPr>
          <w:p w:rsidR="008676F9" w:rsidRPr="008676F9" w:rsidRDefault="008676F9" w:rsidP="008676F9">
            <w:pPr>
              <w:jc w:val="center"/>
              <w:rPr>
                <w:rFonts w:ascii="Calibri" w:hAnsi="Calibri"/>
                <w:b/>
                <w:bCs/>
                <w:sz w:val="20"/>
                <w:szCs w:val="20"/>
              </w:rPr>
            </w:pPr>
            <w:r w:rsidRPr="008676F9">
              <w:rPr>
                <w:rFonts w:ascii="Calibri" w:hAnsi="Calibri"/>
                <w:b/>
                <w:bCs/>
                <w:sz w:val="20"/>
                <w:szCs w:val="20"/>
              </w:rPr>
              <w:t>4%</w:t>
            </w:r>
          </w:p>
        </w:tc>
      </w:tr>
      <w:tr w:rsidR="008676F9" w:rsidRPr="008676F9" w:rsidTr="00BB33FC">
        <w:trPr>
          <w:trHeight w:val="855"/>
        </w:trPr>
        <w:tc>
          <w:tcPr>
            <w:tcW w:w="1660" w:type="dxa"/>
            <w:vMerge/>
            <w:tcBorders>
              <w:top w:val="nil"/>
              <w:left w:val="single" w:sz="8" w:space="0" w:color="000000"/>
              <w:bottom w:val="single" w:sz="8" w:space="0" w:color="000000"/>
              <w:right w:val="single" w:sz="4" w:space="0" w:color="auto"/>
            </w:tcBorders>
            <w:vAlign w:val="center"/>
            <w:hideMark/>
          </w:tcPr>
          <w:p w:rsidR="008676F9" w:rsidRPr="008676F9" w:rsidRDefault="008676F9" w:rsidP="008676F9">
            <w:pPr>
              <w:rPr>
                <w:rFonts w:ascii="Calibri" w:hAnsi="Calibri"/>
                <w:b/>
                <w:bCs/>
                <w:sz w:val="20"/>
                <w:szCs w:val="20"/>
              </w:rPr>
            </w:pPr>
          </w:p>
        </w:tc>
        <w:tc>
          <w:tcPr>
            <w:tcW w:w="1660" w:type="dxa"/>
            <w:tcBorders>
              <w:top w:val="nil"/>
              <w:left w:val="nil"/>
              <w:bottom w:val="single" w:sz="8" w:space="0" w:color="auto"/>
              <w:right w:val="single" w:sz="4" w:space="0" w:color="auto"/>
            </w:tcBorders>
            <w:shd w:val="clear" w:color="000000" w:fill="FFFFFF"/>
            <w:vAlign w:val="center"/>
            <w:hideMark/>
          </w:tcPr>
          <w:p w:rsidR="008676F9" w:rsidRPr="008676F9" w:rsidRDefault="008676F9" w:rsidP="008676F9">
            <w:pPr>
              <w:jc w:val="center"/>
              <w:rPr>
                <w:rFonts w:ascii="Calibri" w:hAnsi="Calibri"/>
                <w:b/>
                <w:bCs/>
                <w:sz w:val="20"/>
                <w:szCs w:val="20"/>
              </w:rPr>
            </w:pPr>
            <w:r w:rsidRPr="008676F9">
              <w:rPr>
                <w:rFonts w:ascii="Calibri" w:hAnsi="Calibri"/>
                <w:b/>
                <w:bCs/>
                <w:sz w:val="20"/>
                <w:szCs w:val="20"/>
              </w:rPr>
              <w:t xml:space="preserve">Celkové plánované </w:t>
            </w:r>
            <w:r w:rsidRPr="008676F9">
              <w:rPr>
                <w:rFonts w:ascii="Calibri" w:hAnsi="Calibri"/>
                <w:b/>
                <w:bCs/>
                <w:sz w:val="20"/>
                <w:szCs w:val="20"/>
              </w:rPr>
              <w:br/>
              <w:t>výdavky PRV</w:t>
            </w:r>
          </w:p>
        </w:tc>
        <w:tc>
          <w:tcPr>
            <w:tcW w:w="4360" w:type="dxa"/>
            <w:gridSpan w:val="2"/>
            <w:tcBorders>
              <w:top w:val="single" w:sz="4" w:space="0" w:color="auto"/>
              <w:left w:val="nil"/>
              <w:bottom w:val="single" w:sz="8" w:space="0" w:color="auto"/>
              <w:right w:val="single" w:sz="8" w:space="0" w:color="000000"/>
            </w:tcBorders>
            <w:shd w:val="clear" w:color="000000" w:fill="FFFFFF"/>
            <w:vAlign w:val="center"/>
            <w:hideMark/>
          </w:tcPr>
          <w:p w:rsidR="008676F9" w:rsidRPr="008676F9" w:rsidRDefault="008676F9" w:rsidP="008676F9">
            <w:pPr>
              <w:jc w:val="center"/>
              <w:rPr>
                <w:rFonts w:ascii="Calibri" w:hAnsi="Calibri"/>
                <w:b/>
                <w:bCs/>
                <w:sz w:val="20"/>
                <w:szCs w:val="20"/>
              </w:rPr>
            </w:pPr>
            <w:r w:rsidRPr="008676F9">
              <w:rPr>
                <w:rFonts w:ascii="Calibri" w:hAnsi="Calibri"/>
                <w:b/>
                <w:bCs/>
                <w:sz w:val="20"/>
                <w:szCs w:val="20"/>
              </w:rPr>
              <w:t xml:space="preserve">                                             2 078 982 018,25 </w:t>
            </w:r>
          </w:p>
        </w:tc>
      </w:tr>
      <w:tr w:rsidR="008676F9" w:rsidRPr="008676F9" w:rsidTr="00BB33FC">
        <w:trPr>
          <w:trHeight w:val="499"/>
        </w:trPr>
        <w:tc>
          <w:tcPr>
            <w:tcW w:w="1660" w:type="dxa"/>
            <w:tcBorders>
              <w:top w:val="nil"/>
              <w:left w:val="single" w:sz="8" w:space="0" w:color="000000"/>
              <w:bottom w:val="nil"/>
              <w:right w:val="nil"/>
            </w:tcBorders>
            <w:shd w:val="clear" w:color="000000" w:fill="FFFFFF"/>
            <w:noWrap/>
            <w:vAlign w:val="center"/>
            <w:hideMark/>
          </w:tcPr>
          <w:p w:rsidR="008676F9" w:rsidRPr="008676F9" w:rsidRDefault="008676F9" w:rsidP="008676F9">
            <w:pPr>
              <w:jc w:val="center"/>
              <w:rPr>
                <w:rFonts w:ascii="Calibri" w:hAnsi="Calibri"/>
                <w:sz w:val="20"/>
                <w:szCs w:val="20"/>
              </w:rPr>
            </w:pPr>
            <w:r w:rsidRPr="008676F9">
              <w:rPr>
                <w:rFonts w:ascii="Calibri" w:hAnsi="Calibri"/>
                <w:sz w:val="20"/>
                <w:szCs w:val="20"/>
              </w:rPr>
              <w:t> </w:t>
            </w:r>
          </w:p>
        </w:tc>
        <w:tc>
          <w:tcPr>
            <w:tcW w:w="1660" w:type="dxa"/>
            <w:tcBorders>
              <w:top w:val="nil"/>
              <w:left w:val="nil"/>
              <w:bottom w:val="nil"/>
              <w:right w:val="nil"/>
            </w:tcBorders>
            <w:shd w:val="clear" w:color="000000" w:fill="FFFFFF"/>
            <w:noWrap/>
            <w:vAlign w:val="center"/>
            <w:hideMark/>
          </w:tcPr>
          <w:p w:rsidR="008676F9" w:rsidRPr="008676F9" w:rsidRDefault="008676F9" w:rsidP="008676F9">
            <w:pPr>
              <w:rPr>
                <w:rFonts w:ascii="Calibri" w:hAnsi="Calibri"/>
                <w:sz w:val="20"/>
                <w:szCs w:val="20"/>
              </w:rPr>
            </w:pPr>
            <w:r w:rsidRPr="008676F9">
              <w:rPr>
                <w:rFonts w:ascii="Calibri" w:hAnsi="Calibri"/>
                <w:sz w:val="20"/>
                <w:szCs w:val="20"/>
              </w:rPr>
              <w:t> </w:t>
            </w:r>
          </w:p>
        </w:tc>
        <w:tc>
          <w:tcPr>
            <w:tcW w:w="2700" w:type="dxa"/>
            <w:tcBorders>
              <w:top w:val="nil"/>
              <w:left w:val="nil"/>
              <w:bottom w:val="nil"/>
              <w:right w:val="nil"/>
            </w:tcBorders>
            <w:shd w:val="clear" w:color="000000" w:fill="FFFFFF"/>
            <w:noWrap/>
            <w:vAlign w:val="center"/>
            <w:hideMark/>
          </w:tcPr>
          <w:p w:rsidR="008676F9" w:rsidRPr="008676F9" w:rsidRDefault="008676F9" w:rsidP="008676F9">
            <w:pPr>
              <w:rPr>
                <w:rFonts w:ascii="Calibri" w:hAnsi="Calibri"/>
                <w:sz w:val="20"/>
                <w:szCs w:val="20"/>
              </w:rPr>
            </w:pPr>
            <w:r w:rsidRPr="008676F9">
              <w:rPr>
                <w:rFonts w:ascii="Calibri" w:hAnsi="Calibri"/>
                <w:sz w:val="20"/>
                <w:szCs w:val="20"/>
              </w:rPr>
              <w:t> </w:t>
            </w:r>
          </w:p>
        </w:tc>
        <w:tc>
          <w:tcPr>
            <w:tcW w:w="1660" w:type="dxa"/>
            <w:tcBorders>
              <w:top w:val="nil"/>
              <w:left w:val="nil"/>
              <w:bottom w:val="nil"/>
              <w:right w:val="single" w:sz="8" w:space="0" w:color="000000"/>
            </w:tcBorders>
            <w:shd w:val="clear" w:color="000000" w:fill="FFFFFF"/>
            <w:noWrap/>
            <w:vAlign w:val="center"/>
            <w:hideMark/>
          </w:tcPr>
          <w:p w:rsidR="008676F9" w:rsidRPr="008676F9" w:rsidRDefault="008676F9" w:rsidP="008676F9">
            <w:pPr>
              <w:rPr>
                <w:rFonts w:ascii="Calibri" w:hAnsi="Calibri"/>
                <w:sz w:val="20"/>
                <w:szCs w:val="20"/>
              </w:rPr>
            </w:pPr>
            <w:r w:rsidRPr="008676F9">
              <w:rPr>
                <w:rFonts w:ascii="Calibri" w:hAnsi="Calibri"/>
                <w:sz w:val="20"/>
                <w:szCs w:val="20"/>
              </w:rPr>
              <w:t> </w:t>
            </w:r>
          </w:p>
        </w:tc>
      </w:tr>
      <w:tr w:rsidR="008676F9" w:rsidRPr="008676F9" w:rsidTr="00BB33FC">
        <w:trPr>
          <w:trHeight w:val="499"/>
        </w:trPr>
        <w:tc>
          <w:tcPr>
            <w:tcW w:w="7680" w:type="dxa"/>
            <w:gridSpan w:val="4"/>
            <w:tcBorders>
              <w:top w:val="single" w:sz="8" w:space="0" w:color="auto"/>
              <w:left w:val="single" w:sz="8" w:space="0" w:color="000000"/>
              <w:bottom w:val="nil"/>
              <w:right w:val="single" w:sz="8" w:space="0" w:color="000000"/>
            </w:tcBorders>
            <w:shd w:val="clear" w:color="000000" w:fill="FFFFFF"/>
            <w:noWrap/>
            <w:vAlign w:val="center"/>
            <w:hideMark/>
          </w:tcPr>
          <w:p w:rsidR="008676F9" w:rsidRPr="008676F9" w:rsidRDefault="008676F9" w:rsidP="008676F9">
            <w:pPr>
              <w:jc w:val="center"/>
              <w:rPr>
                <w:rFonts w:ascii="Calibri" w:hAnsi="Calibri"/>
                <w:b/>
                <w:bCs/>
                <w:sz w:val="20"/>
                <w:szCs w:val="20"/>
              </w:rPr>
            </w:pPr>
            <w:r w:rsidRPr="008676F9">
              <w:rPr>
                <w:rFonts w:ascii="Calibri" w:hAnsi="Calibri"/>
                <w:b/>
                <w:bCs/>
                <w:sz w:val="20"/>
                <w:szCs w:val="20"/>
              </w:rPr>
              <w:t>plánovaný výstup 2014-2020</w:t>
            </w:r>
          </w:p>
        </w:tc>
      </w:tr>
      <w:tr w:rsidR="00664E86" w:rsidRPr="008676F9" w:rsidTr="00BB33FC">
        <w:trPr>
          <w:trHeight w:val="499"/>
        </w:trPr>
        <w:tc>
          <w:tcPr>
            <w:tcW w:w="1660" w:type="dxa"/>
            <w:tcBorders>
              <w:top w:val="single" w:sz="8" w:space="0" w:color="auto"/>
              <w:left w:val="single" w:sz="8" w:space="0" w:color="000000"/>
              <w:bottom w:val="single" w:sz="4" w:space="0" w:color="auto"/>
              <w:right w:val="single" w:sz="4" w:space="0" w:color="auto"/>
            </w:tcBorders>
            <w:shd w:val="clear" w:color="000000" w:fill="FFFFFF"/>
            <w:vAlign w:val="center"/>
            <w:hideMark/>
          </w:tcPr>
          <w:p w:rsidR="00664E86" w:rsidRPr="008676F9" w:rsidRDefault="00664E86" w:rsidP="008676F9">
            <w:pPr>
              <w:jc w:val="center"/>
              <w:rPr>
                <w:rFonts w:ascii="Calibri" w:hAnsi="Calibri"/>
                <w:b/>
                <w:bCs/>
                <w:sz w:val="16"/>
                <w:szCs w:val="16"/>
              </w:rPr>
            </w:pPr>
            <w:r w:rsidRPr="008676F9">
              <w:rPr>
                <w:rFonts w:ascii="Calibri" w:hAnsi="Calibri"/>
                <w:b/>
                <w:bCs/>
                <w:sz w:val="16"/>
                <w:szCs w:val="16"/>
              </w:rPr>
              <w:t>1 (14)</w:t>
            </w:r>
          </w:p>
        </w:tc>
        <w:tc>
          <w:tcPr>
            <w:tcW w:w="4360" w:type="dxa"/>
            <w:gridSpan w:val="2"/>
            <w:tcBorders>
              <w:top w:val="single" w:sz="8" w:space="0" w:color="auto"/>
              <w:left w:val="nil"/>
              <w:bottom w:val="single" w:sz="4" w:space="0" w:color="auto"/>
              <w:right w:val="single" w:sz="4" w:space="0" w:color="000000"/>
            </w:tcBorders>
            <w:shd w:val="clear" w:color="000000" w:fill="FFFFFF"/>
            <w:vAlign w:val="center"/>
            <w:hideMark/>
          </w:tcPr>
          <w:p w:rsidR="00664E86" w:rsidRPr="008676F9" w:rsidRDefault="00664E86" w:rsidP="008676F9">
            <w:pPr>
              <w:rPr>
                <w:rFonts w:ascii="Calibri" w:hAnsi="Calibri"/>
                <w:sz w:val="16"/>
                <w:szCs w:val="16"/>
              </w:rPr>
            </w:pPr>
            <w:r w:rsidRPr="008676F9">
              <w:rPr>
                <w:rFonts w:ascii="Calibri" w:hAnsi="Calibri"/>
                <w:sz w:val="16"/>
                <w:szCs w:val="16"/>
              </w:rPr>
              <w:t>Celkové verejné výdavky  € (školenia, informačné aktivity, demonštračné  predvádzacie činnosti ) (1.1 a 1.2)</w:t>
            </w:r>
          </w:p>
        </w:tc>
        <w:tc>
          <w:tcPr>
            <w:tcW w:w="1660" w:type="dxa"/>
            <w:tcBorders>
              <w:top w:val="single" w:sz="8" w:space="0" w:color="auto"/>
              <w:left w:val="nil"/>
              <w:bottom w:val="single" w:sz="4" w:space="0" w:color="auto"/>
              <w:right w:val="single" w:sz="8" w:space="0" w:color="000000"/>
            </w:tcBorders>
            <w:shd w:val="clear" w:color="000000" w:fill="FFFFFF"/>
            <w:noWrap/>
            <w:vAlign w:val="center"/>
            <w:hideMark/>
          </w:tcPr>
          <w:p w:rsidR="00664E86" w:rsidRPr="00F849C3" w:rsidRDefault="00664E86" w:rsidP="00664E86">
            <w:pPr>
              <w:jc w:val="right"/>
              <w:rPr>
                <w:sz w:val="20"/>
                <w:szCs w:val="20"/>
              </w:rPr>
            </w:pPr>
            <w:r>
              <w:rPr>
                <w:sz w:val="20"/>
                <w:szCs w:val="20"/>
              </w:rPr>
              <w:t xml:space="preserve">      20 330 000</w:t>
            </w:r>
            <w:r w:rsidRPr="00F849C3">
              <w:rPr>
                <w:sz w:val="20"/>
                <w:szCs w:val="20"/>
              </w:rPr>
              <w:t xml:space="preserve">,00 </w:t>
            </w:r>
          </w:p>
        </w:tc>
      </w:tr>
      <w:tr w:rsidR="00664E86" w:rsidRPr="008676F9" w:rsidTr="008676F9">
        <w:trPr>
          <w:trHeight w:val="499"/>
        </w:trPr>
        <w:tc>
          <w:tcPr>
            <w:tcW w:w="1660" w:type="dxa"/>
            <w:tcBorders>
              <w:top w:val="single" w:sz="4" w:space="0" w:color="auto"/>
              <w:left w:val="single" w:sz="8" w:space="0" w:color="000000"/>
              <w:bottom w:val="single" w:sz="4" w:space="0" w:color="auto"/>
              <w:right w:val="single" w:sz="4" w:space="0" w:color="auto"/>
            </w:tcBorders>
            <w:shd w:val="clear" w:color="auto" w:fill="FFFFFF"/>
            <w:vAlign w:val="center"/>
            <w:hideMark/>
          </w:tcPr>
          <w:p w:rsidR="00664E86" w:rsidRPr="008676F9" w:rsidRDefault="00664E86" w:rsidP="008676F9">
            <w:pPr>
              <w:jc w:val="center"/>
              <w:rPr>
                <w:rFonts w:ascii="Calibri" w:hAnsi="Calibri"/>
                <w:b/>
                <w:bCs/>
                <w:sz w:val="16"/>
                <w:szCs w:val="16"/>
              </w:rPr>
            </w:pPr>
            <w:r w:rsidRPr="008676F9">
              <w:rPr>
                <w:rFonts w:ascii="Calibri" w:hAnsi="Calibri"/>
                <w:b/>
                <w:bCs/>
                <w:sz w:val="16"/>
                <w:szCs w:val="16"/>
              </w:rPr>
              <w:t>2 (15)</w:t>
            </w:r>
          </w:p>
        </w:tc>
        <w:tc>
          <w:tcPr>
            <w:tcW w:w="4360" w:type="dxa"/>
            <w:gridSpan w:val="2"/>
            <w:tcBorders>
              <w:top w:val="single" w:sz="4" w:space="0" w:color="auto"/>
              <w:left w:val="nil"/>
              <w:bottom w:val="single" w:sz="4" w:space="0" w:color="auto"/>
              <w:right w:val="single" w:sz="4" w:space="0" w:color="000000"/>
            </w:tcBorders>
            <w:shd w:val="clear" w:color="auto" w:fill="FFFFFF"/>
            <w:vAlign w:val="center"/>
            <w:hideMark/>
          </w:tcPr>
          <w:p w:rsidR="00664E86" w:rsidRPr="008676F9" w:rsidRDefault="00664E86" w:rsidP="008676F9">
            <w:pPr>
              <w:rPr>
                <w:rFonts w:ascii="Calibri" w:hAnsi="Calibri"/>
                <w:sz w:val="16"/>
                <w:szCs w:val="16"/>
              </w:rPr>
            </w:pPr>
            <w:r w:rsidRPr="008676F9">
              <w:rPr>
                <w:rFonts w:ascii="Calibri" w:hAnsi="Calibri"/>
                <w:sz w:val="16"/>
                <w:szCs w:val="16"/>
              </w:rPr>
              <w:t>Celkové verejné výdavky € (2.1 a 2.3)</w:t>
            </w:r>
          </w:p>
        </w:tc>
        <w:tc>
          <w:tcPr>
            <w:tcW w:w="1660" w:type="dxa"/>
            <w:tcBorders>
              <w:top w:val="single" w:sz="4" w:space="0" w:color="auto"/>
              <w:left w:val="nil"/>
              <w:bottom w:val="single" w:sz="4" w:space="0" w:color="auto"/>
              <w:right w:val="single" w:sz="8" w:space="0" w:color="000000"/>
            </w:tcBorders>
            <w:shd w:val="clear" w:color="auto" w:fill="FFFFFF"/>
            <w:noWrap/>
            <w:vAlign w:val="center"/>
            <w:hideMark/>
          </w:tcPr>
          <w:p w:rsidR="00664E86" w:rsidRPr="00F849C3" w:rsidRDefault="00664E86" w:rsidP="00664E86">
            <w:pPr>
              <w:jc w:val="right"/>
              <w:rPr>
                <w:sz w:val="20"/>
                <w:szCs w:val="20"/>
              </w:rPr>
            </w:pPr>
            <w:r>
              <w:rPr>
                <w:sz w:val="20"/>
                <w:szCs w:val="20"/>
              </w:rPr>
              <w:t xml:space="preserve">      2 910 000</w:t>
            </w:r>
            <w:r w:rsidRPr="00F849C3">
              <w:rPr>
                <w:sz w:val="20"/>
                <w:szCs w:val="20"/>
              </w:rPr>
              <w:t xml:space="preserve">,00 </w:t>
            </w:r>
          </w:p>
        </w:tc>
      </w:tr>
      <w:tr w:rsidR="00664E86" w:rsidRPr="008676F9" w:rsidTr="00BB33FC">
        <w:trPr>
          <w:trHeight w:val="499"/>
        </w:trPr>
        <w:tc>
          <w:tcPr>
            <w:tcW w:w="1660" w:type="dxa"/>
            <w:tcBorders>
              <w:top w:val="nil"/>
              <w:left w:val="single" w:sz="8" w:space="0" w:color="000000"/>
              <w:bottom w:val="single" w:sz="8" w:space="0" w:color="000000"/>
              <w:right w:val="single" w:sz="4" w:space="0" w:color="auto"/>
            </w:tcBorders>
            <w:shd w:val="clear" w:color="000000" w:fill="FFFFFF"/>
            <w:vAlign w:val="center"/>
            <w:hideMark/>
          </w:tcPr>
          <w:p w:rsidR="00664E86" w:rsidRPr="008676F9" w:rsidRDefault="00664E86" w:rsidP="008676F9">
            <w:pPr>
              <w:jc w:val="center"/>
              <w:rPr>
                <w:rFonts w:ascii="Calibri" w:hAnsi="Calibri"/>
                <w:b/>
                <w:bCs/>
                <w:sz w:val="16"/>
                <w:szCs w:val="16"/>
              </w:rPr>
            </w:pPr>
            <w:r w:rsidRPr="008676F9">
              <w:rPr>
                <w:rFonts w:ascii="Calibri" w:hAnsi="Calibri"/>
                <w:b/>
                <w:bCs/>
                <w:sz w:val="16"/>
                <w:szCs w:val="16"/>
              </w:rPr>
              <w:t>16 (35)</w:t>
            </w:r>
          </w:p>
        </w:tc>
        <w:tc>
          <w:tcPr>
            <w:tcW w:w="4360" w:type="dxa"/>
            <w:gridSpan w:val="2"/>
            <w:tcBorders>
              <w:top w:val="single" w:sz="4" w:space="0" w:color="auto"/>
              <w:left w:val="nil"/>
              <w:bottom w:val="single" w:sz="8" w:space="0" w:color="000000"/>
              <w:right w:val="single" w:sz="4" w:space="0" w:color="auto"/>
            </w:tcBorders>
            <w:shd w:val="clear" w:color="000000" w:fill="FFFFFF"/>
            <w:vAlign w:val="center"/>
            <w:hideMark/>
          </w:tcPr>
          <w:p w:rsidR="00664E86" w:rsidRPr="008676F9" w:rsidRDefault="00664E86" w:rsidP="008676F9">
            <w:pPr>
              <w:rPr>
                <w:rFonts w:ascii="Calibri" w:hAnsi="Calibri"/>
                <w:sz w:val="16"/>
                <w:szCs w:val="16"/>
              </w:rPr>
            </w:pPr>
            <w:r w:rsidRPr="008676F9">
              <w:rPr>
                <w:rFonts w:ascii="Calibri" w:hAnsi="Calibri"/>
                <w:sz w:val="16"/>
                <w:szCs w:val="16"/>
              </w:rPr>
              <w:t>Celkové verejné výdavky € (od 16.0 do 16.9)</w:t>
            </w:r>
          </w:p>
        </w:tc>
        <w:tc>
          <w:tcPr>
            <w:tcW w:w="1660" w:type="dxa"/>
            <w:tcBorders>
              <w:top w:val="nil"/>
              <w:left w:val="nil"/>
              <w:bottom w:val="single" w:sz="8" w:space="0" w:color="000000"/>
              <w:right w:val="single" w:sz="8" w:space="0" w:color="000000"/>
            </w:tcBorders>
            <w:shd w:val="clear" w:color="000000" w:fill="FFFFFF"/>
            <w:noWrap/>
            <w:vAlign w:val="center"/>
            <w:hideMark/>
          </w:tcPr>
          <w:p w:rsidR="00664E86" w:rsidRPr="00F849C3" w:rsidRDefault="00664E86" w:rsidP="00664E86">
            <w:pPr>
              <w:jc w:val="right"/>
              <w:rPr>
                <w:sz w:val="20"/>
                <w:szCs w:val="20"/>
              </w:rPr>
            </w:pPr>
            <w:r>
              <w:rPr>
                <w:sz w:val="20"/>
                <w:szCs w:val="20"/>
              </w:rPr>
              <w:t xml:space="preserve">    66 500 000,00</w:t>
            </w:r>
            <w:r w:rsidRPr="00F849C3">
              <w:rPr>
                <w:sz w:val="20"/>
                <w:szCs w:val="20"/>
              </w:rPr>
              <w:t xml:space="preserve"> </w:t>
            </w:r>
          </w:p>
        </w:tc>
      </w:tr>
    </w:tbl>
    <w:p w:rsidR="008676F9" w:rsidRPr="008676F9" w:rsidRDefault="008676F9" w:rsidP="008676F9">
      <w:pPr>
        <w:spacing w:after="200" w:line="276" w:lineRule="auto"/>
        <w:rPr>
          <w:rFonts w:ascii="Calibri" w:eastAsia="Calibri" w:hAnsi="Calibri"/>
          <w:szCs w:val="22"/>
          <w:lang w:eastAsia="en-US"/>
        </w:rPr>
      </w:pPr>
    </w:p>
    <w:tbl>
      <w:tblPr>
        <w:tblW w:w="7670" w:type="dxa"/>
        <w:tblInd w:w="55" w:type="dxa"/>
        <w:tblCellMar>
          <w:left w:w="70" w:type="dxa"/>
          <w:right w:w="70" w:type="dxa"/>
        </w:tblCellMar>
        <w:tblLook w:val="00A0" w:firstRow="1" w:lastRow="0" w:firstColumn="1" w:lastColumn="0" w:noHBand="0" w:noVBand="0"/>
      </w:tblPr>
      <w:tblGrid>
        <w:gridCol w:w="1660"/>
        <w:gridCol w:w="1660"/>
        <w:gridCol w:w="2700"/>
        <w:gridCol w:w="1650"/>
      </w:tblGrid>
      <w:tr w:rsidR="008676F9" w:rsidRPr="00E820E4" w:rsidTr="00BB33FC">
        <w:trPr>
          <w:trHeight w:val="810"/>
        </w:trPr>
        <w:tc>
          <w:tcPr>
            <w:tcW w:w="7670" w:type="dxa"/>
            <w:gridSpan w:val="4"/>
            <w:tcBorders>
              <w:top w:val="single" w:sz="8" w:space="0" w:color="000000"/>
              <w:left w:val="single" w:sz="8" w:space="0" w:color="000000"/>
              <w:bottom w:val="single" w:sz="8" w:space="0" w:color="auto"/>
              <w:right w:val="single" w:sz="8" w:space="0" w:color="000000"/>
            </w:tcBorders>
            <w:shd w:val="clear" w:color="auto" w:fill="FFFF00"/>
            <w:vAlign w:val="center"/>
          </w:tcPr>
          <w:p w:rsidR="008676F9" w:rsidRPr="00E820E4" w:rsidRDefault="008676F9" w:rsidP="00E820E4">
            <w:pPr>
              <w:ind w:left="512" w:hanging="425"/>
              <w:rPr>
                <w:rFonts w:ascii="Calibri" w:eastAsia="Calibri" w:hAnsi="Calibri"/>
                <w:b/>
                <w:bCs/>
                <w:szCs w:val="22"/>
              </w:rPr>
            </w:pPr>
            <w:r w:rsidRPr="00E820E4">
              <w:rPr>
                <w:rFonts w:ascii="Calibri" w:eastAsia="Calibri" w:hAnsi="Calibri"/>
                <w:b/>
                <w:bCs/>
                <w:szCs w:val="22"/>
              </w:rPr>
              <w:t>1B Posilnenie prepojenia poľnohospodárstva, výroby potravín a lesného hospodárstva s výskumom a inováciou, a to aj na účely zlepšenia environmentálneho riadenia a výkonu</w:t>
            </w:r>
          </w:p>
        </w:tc>
      </w:tr>
      <w:tr w:rsidR="008676F9" w:rsidRPr="008676F9" w:rsidTr="00BB33FC">
        <w:trPr>
          <w:trHeight w:val="170"/>
        </w:trPr>
        <w:tc>
          <w:tcPr>
            <w:tcW w:w="1660" w:type="dxa"/>
            <w:tcBorders>
              <w:top w:val="nil"/>
              <w:left w:val="single" w:sz="8" w:space="0" w:color="000000"/>
              <w:bottom w:val="nil"/>
              <w:right w:val="nil"/>
            </w:tcBorders>
            <w:vAlign w:val="center"/>
          </w:tcPr>
          <w:p w:rsidR="008676F9" w:rsidRPr="008676F9" w:rsidRDefault="008676F9" w:rsidP="008676F9">
            <w:pPr>
              <w:jc w:val="center"/>
              <w:rPr>
                <w:rFonts w:ascii="Calibri" w:eastAsia="Calibri" w:hAnsi="Calibri"/>
                <w:b/>
                <w:sz w:val="20"/>
                <w:szCs w:val="20"/>
              </w:rPr>
            </w:pPr>
            <w:r w:rsidRPr="008676F9">
              <w:rPr>
                <w:rFonts w:ascii="Calibri" w:eastAsia="Calibri" w:hAnsi="Calibri"/>
                <w:b/>
                <w:sz w:val="20"/>
                <w:szCs w:val="20"/>
              </w:rPr>
              <w:t> </w:t>
            </w:r>
          </w:p>
        </w:tc>
        <w:tc>
          <w:tcPr>
            <w:tcW w:w="1660" w:type="dxa"/>
            <w:tcBorders>
              <w:top w:val="nil"/>
              <w:left w:val="nil"/>
              <w:bottom w:val="nil"/>
              <w:right w:val="nil"/>
            </w:tcBorders>
            <w:vAlign w:val="center"/>
          </w:tcPr>
          <w:p w:rsidR="008676F9" w:rsidRPr="008676F9" w:rsidRDefault="008676F9" w:rsidP="008676F9">
            <w:pPr>
              <w:jc w:val="center"/>
              <w:rPr>
                <w:rFonts w:ascii="Calibri" w:eastAsia="Calibri" w:hAnsi="Calibri"/>
                <w:b/>
                <w:sz w:val="20"/>
                <w:szCs w:val="20"/>
              </w:rPr>
            </w:pPr>
            <w:r w:rsidRPr="008676F9">
              <w:rPr>
                <w:rFonts w:ascii="Calibri" w:eastAsia="Calibri" w:hAnsi="Calibri"/>
                <w:b/>
                <w:sz w:val="20"/>
                <w:szCs w:val="20"/>
              </w:rPr>
              <w:t> </w:t>
            </w:r>
          </w:p>
        </w:tc>
        <w:tc>
          <w:tcPr>
            <w:tcW w:w="2700" w:type="dxa"/>
            <w:tcBorders>
              <w:top w:val="nil"/>
              <w:left w:val="nil"/>
              <w:bottom w:val="nil"/>
              <w:right w:val="nil"/>
            </w:tcBorders>
            <w:vAlign w:val="center"/>
          </w:tcPr>
          <w:p w:rsidR="008676F9" w:rsidRPr="008676F9" w:rsidRDefault="008676F9" w:rsidP="008676F9">
            <w:pPr>
              <w:jc w:val="center"/>
              <w:rPr>
                <w:rFonts w:ascii="Calibri" w:eastAsia="Calibri" w:hAnsi="Calibri"/>
                <w:b/>
                <w:sz w:val="20"/>
                <w:szCs w:val="20"/>
              </w:rPr>
            </w:pPr>
            <w:r w:rsidRPr="008676F9">
              <w:rPr>
                <w:rFonts w:ascii="Calibri" w:eastAsia="Calibri" w:hAnsi="Calibri"/>
                <w:b/>
                <w:sz w:val="20"/>
                <w:szCs w:val="20"/>
              </w:rPr>
              <w:t> </w:t>
            </w:r>
          </w:p>
        </w:tc>
        <w:tc>
          <w:tcPr>
            <w:tcW w:w="1650" w:type="dxa"/>
            <w:tcBorders>
              <w:top w:val="single" w:sz="8" w:space="0" w:color="auto"/>
              <w:left w:val="nil"/>
              <w:bottom w:val="nil"/>
              <w:right w:val="single" w:sz="8" w:space="0" w:color="000000"/>
            </w:tcBorders>
            <w:vAlign w:val="center"/>
          </w:tcPr>
          <w:p w:rsidR="008676F9" w:rsidRPr="008676F9" w:rsidRDefault="008676F9" w:rsidP="008676F9">
            <w:pPr>
              <w:jc w:val="center"/>
              <w:rPr>
                <w:rFonts w:ascii="Calibri" w:eastAsia="Calibri" w:hAnsi="Calibri"/>
                <w:b/>
                <w:sz w:val="20"/>
                <w:szCs w:val="20"/>
              </w:rPr>
            </w:pPr>
            <w:r w:rsidRPr="008676F9">
              <w:rPr>
                <w:rFonts w:ascii="Calibri" w:eastAsia="Calibri" w:hAnsi="Calibri"/>
                <w:b/>
                <w:sz w:val="20"/>
                <w:szCs w:val="20"/>
              </w:rPr>
              <w:t> </w:t>
            </w:r>
          </w:p>
        </w:tc>
      </w:tr>
      <w:tr w:rsidR="008676F9" w:rsidRPr="008676F9" w:rsidTr="00BB33FC">
        <w:trPr>
          <w:trHeight w:val="690"/>
        </w:trPr>
        <w:tc>
          <w:tcPr>
            <w:tcW w:w="1660" w:type="dxa"/>
            <w:vMerge w:val="restart"/>
            <w:tcBorders>
              <w:top w:val="single" w:sz="8" w:space="0" w:color="auto"/>
              <w:left w:val="single" w:sz="8" w:space="0" w:color="000000"/>
              <w:bottom w:val="single" w:sz="8" w:space="0" w:color="000000"/>
              <w:right w:val="single" w:sz="4" w:space="0" w:color="auto"/>
            </w:tcBorders>
            <w:shd w:val="clear" w:color="000000" w:fill="FFFFFF"/>
            <w:noWrap/>
            <w:vAlign w:val="center"/>
          </w:tcPr>
          <w:p w:rsidR="008676F9" w:rsidRPr="008676F9" w:rsidRDefault="008676F9" w:rsidP="008676F9">
            <w:pPr>
              <w:jc w:val="center"/>
              <w:rPr>
                <w:rFonts w:ascii="Calibri" w:eastAsia="Calibri" w:hAnsi="Calibri"/>
                <w:b/>
                <w:bCs/>
                <w:sz w:val="20"/>
                <w:szCs w:val="20"/>
              </w:rPr>
            </w:pPr>
            <w:r w:rsidRPr="008676F9">
              <w:rPr>
                <w:rFonts w:ascii="Calibri" w:eastAsia="Calibri" w:hAnsi="Calibri"/>
                <w:b/>
                <w:bCs/>
                <w:sz w:val="20"/>
                <w:szCs w:val="20"/>
              </w:rPr>
              <w:t>Cieľová hodnota</w:t>
            </w:r>
          </w:p>
        </w:tc>
        <w:tc>
          <w:tcPr>
            <w:tcW w:w="6010" w:type="dxa"/>
            <w:gridSpan w:val="3"/>
            <w:tcBorders>
              <w:top w:val="single" w:sz="8" w:space="0" w:color="auto"/>
              <w:left w:val="nil"/>
              <w:bottom w:val="single" w:sz="4" w:space="0" w:color="auto"/>
              <w:right w:val="single" w:sz="8" w:space="0" w:color="000000"/>
            </w:tcBorders>
            <w:shd w:val="clear" w:color="000000" w:fill="FFFFFF"/>
            <w:vAlign w:val="center"/>
          </w:tcPr>
          <w:p w:rsidR="008676F9" w:rsidRPr="008676F9" w:rsidRDefault="008676F9" w:rsidP="008676F9">
            <w:pPr>
              <w:jc w:val="center"/>
              <w:rPr>
                <w:rFonts w:ascii="Calibri" w:eastAsia="Calibri" w:hAnsi="Calibri"/>
                <w:b/>
                <w:bCs/>
                <w:sz w:val="20"/>
                <w:szCs w:val="20"/>
              </w:rPr>
            </w:pPr>
            <w:r w:rsidRPr="008676F9">
              <w:rPr>
                <w:rFonts w:ascii="Calibri" w:eastAsia="Calibri" w:hAnsi="Calibri"/>
                <w:b/>
                <w:bCs/>
                <w:sz w:val="20"/>
                <w:szCs w:val="20"/>
              </w:rPr>
              <w:t xml:space="preserve">Počet  projektov spolupráce naplánovaných v rámci </w:t>
            </w:r>
            <w:r w:rsidRPr="008676F9">
              <w:rPr>
                <w:rFonts w:ascii="Calibri" w:eastAsia="Calibri" w:hAnsi="Calibri"/>
                <w:b/>
                <w:bCs/>
                <w:sz w:val="20"/>
                <w:szCs w:val="20"/>
              </w:rPr>
              <w:br/>
              <w:t xml:space="preserve">opatrenia spolupráca (skupiny, siete/klastre, pilotné projekty) </w:t>
            </w:r>
          </w:p>
        </w:tc>
      </w:tr>
      <w:tr w:rsidR="008676F9" w:rsidRPr="008676F9" w:rsidTr="00BB33FC">
        <w:trPr>
          <w:trHeight w:val="499"/>
        </w:trPr>
        <w:tc>
          <w:tcPr>
            <w:tcW w:w="1660" w:type="dxa"/>
            <w:vMerge/>
            <w:tcBorders>
              <w:top w:val="single" w:sz="8" w:space="0" w:color="auto"/>
              <w:left w:val="single" w:sz="8" w:space="0" w:color="000000"/>
              <w:bottom w:val="single" w:sz="8" w:space="0" w:color="000000"/>
              <w:right w:val="single" w:sz="4" w:space="0" w:color="auto"/>
            </w:tcBorders>
            <w:vAlign w:val="center"/>
          </w:tcPr>
          <w:p w:rsidR="008676F9" w:rsidRPr="008676F9" w:rsidRDefault="008676F9" w:rsidP="008676F9">
            <w:pPr>
              <w:rPr>
                <w:rFonts w:ascii="Calibri" w:eastAsia="Calibri" w:hAnsi="Calibri"/>
                <w:b/>
                <w:bCs/>
                <w:sz w:val="20"/>
                <w:szCs w:val="20"/>
              </w:rPr>
            </w:pPr>
          </w:p>
        </w:tc>
        <w:tc>
          <w:tcPr>
            <w:tcW w:w="6010" w:type="dxa"/>
            <w:gridSpan w:val="3"/>
            <w:tcBorders>
              <w:top w:val="single" w:sz="4" w:space="0" w:color="auto"/>
              <w:left w:val="nil"/>
              <w:bottom w:val="single" w:sz="4" w:space="0" w:color="auto"/>
              <w:right w:val="single" w:sz="8" w:space="0" w:color="000000"/>
            </w:tcBorders>
            <w:shd w:val="clear" w:color="000000" w:fill="FFFFFF"/>
            <w:vAlign w:val="center"/>
          </w:tcPr>
          <w:p w:rsidR="008676F9" w:rsidRPr="008676F9" w:rsidRDefault="008676F9" w:rsidP="008676F9">
            <w:pPr>
              <w:jc w:val="center"/>
              <w:rPr>
                <w:rFonts w:ascii="Calibri" w:eastAsia="Calibri" w:hAnsi="Calibri"/>
                <w:b/>
                <w:bCs/>
                <w:sz w:val="20"/>
                <w:szCs w:val="20"/>
              </w:rPr>
            </w:pPr>
            <w:r w:rsidRPr="008676F9">
              <w:rPr>
                <w:rFonts w:ascii="Calibri" w:eastAsia="Calibri" w:hAnsi="Calibri"/>
                <w:b/>
                <w:bCs/>
                <w:sz w:val="20"/>
                <w:szCs w:val="20"/>
              </w:rPr>
              <w:t>r.2020</w:t>
            </w:r>
          </w:p>
        </w:tc>
      </w:tr>
      <w:tr w:rsidR="008676F9" w:rsidRPr="008676F9" w:rsidTr="00BB33FC">
        <w:trPr>
          <w:trHeight w:val="499"/>
        </w:trPr>
        <w:tc>
          <w:tcPr>
            <w:tcW w:w="1660" w:type="dxa"/>
            <w:vMerge/>
            <w:tcBorders>
              <w:top w:val="single" w:sz="8" w:space="0" w:color="auto"/>
              <w:left w:val="single" w:sz="8" w:space="0" w:color="000000"/>
              <w:bottom w:val="single" w:sz="8" w:space="0" w:color="000000"/>
              <w:right w:val="single" w:sz="4" w:space="0" w:color="auto"/>
            </w:tcBorders>
            <w:vAlign w:val="center"/>
          </w:tcPr>
          <w:p w:rsidR="008676F9" w:rsidRPr="008676F9" w:rsidRDefault="008676F9" w:rsidP="008676F9">
            <w:pPr>
              <w:rPr>
                <w:rFonts w:ascii="Calibri" w:eastAsia="Calibri" w:hAnsi="Calibri"/>
                <w:b/>
                <w:bCs/>
                <w:sz w:val="20"/>
                <w:szCs w:val="20"/>
              </w:rPr>
            </w:pPr>
          </w:p>
        </w:tc>
        <w:tc>
          <w:tcPr>
            <w:tcW w:w="6010" w:type="dxa"/>
            <w:gridSpan w:val="3"/>
            <w:tcBorders>
              <w:top w:val="single" w:sz="4" w:space="0" w:color="auto"/>
              <w:left w:val="nil"/>
              <w:bottom w:val="single" w:sz="8" w:space="0" w:color="auto"/>
              <w:right w:val="single" w:sz="8" w:space="0" w:color="000000"/>
            </w:tcBorders>
            <w:shd w:val="clear" w:color="000000" w:fill="FFFFFF"/>
            <w:vAlign w:val="center"/>
          </w:tcPr>
          <w:p w:rsidR="008676F9" w:rsidRPr="008676F9" w:rsidRDefault="008676F9" w:rsidP="008676F9">
            <w:pPr>
              <w:jc w:val="center"/>
              <w:rPr>
                <w:rFonts w:ascii="Calibri" w:eastAsia="Calibri" w:hAnsi="Calibri"/>
                <w:b/>
                <w:bCs/>
                <w:sz w:val="20"/>
                <w:szCs w:val="20"/>
              </w:rPr>
            </w:pPr>
            <w:r w:rsidRPr="008676F9">
              <w:rPr>
                <w:rFonts w:ascii="Calibri" w:eastAsia="Calibri" w:hAnsi="Calibri"/>
                <w:b/>
                <w:bCs/>
                <w:sz w:val="20"/>
                <w:szCs w:val="20"/>
              </w:rPr>
              <w:t>17</w:t>
            </w:r>
          </w:p>
        </w:tc>
      </w:tr>
      <w:tr w:rsidR="008676F9" w:rsidRPr="008676F9" w:rsidTr="00BB33FC">
        <w:trPr>
          <w:trHeight w:val="142"/>
        </w:trPr>
        <w:tc>
          <w:tcPr>
            <w:tcW w:w="1660" w:type="dxa"/>
            <w:tcBorders>
              <w:top w:val="nil"/>
              <w:left w:val="single" w:sz="8" w:space="0" w:color="000000"/>
              <w:bottom w:val="nil"/>
              <w:right w:val="nil"/>
            </w:tcBorders>
            <w:shd w:val="clear" w:color="000000" w:fill="FFFFFF"/>
            <w:noWrap/>
            <w:vAlign w:val="center"/>
          </w:tcPr>
          <w:p w:rsidR="008676F9" w:rsidRPr="008676F9" w:rsidRDefault="008676F9" w:rsidP="008676F9">
            <w:pPr>
              <w:rPr>
                <w:rFonts w:ascii="Calibri" w:eastAsia="Calibri" w:hAnsi="Calibri"/>
                <w:sz w:val="20"/>
                <w:szCs w:val="20"/>
              </w:rPr>
            </w:pPr>
            <w:r w:rsidRPr="008676F9">
              <w:rPr>
                <w:rFonts w:ascii="Calibri" w:eastAsia="Calibri" w:hAnsi="Calibri"/>
                <w:sz w:val="20"/>
                <w:szCs w:val="20"/>
              </w:rPr>
              <w:t> </w:t>
            </w:r>
          </w:p>
        </w:tc>
        <w:tc>
          <w:tcPr>
            <w:tcW w:w="1660" w:type="dxa"/>
            <w:tcBorders>
              <w:top w:val="nil"/>
              <w:left w:val="nil"/>
              <w:bottom w:val="nil"/>
              <w:right w:val="nil"/>
            </w:tcBorders>
            <w:shd w:val="clear" w:color="000000" w:fill="FFFFFF"/>
            <w:noWrap/>
            <w:vAlign w:val="center"/>
          </w:tcPr>
          <w:p w:rsidR="008676F9" w:rsidRPr="008676F9" w:rsidRDefault="008676F9" w:rsidP="008676F9">
            <w:pPr>
              <w:rPr>
                <w:rFonts w:ascii="Calibri" w:eastAsia="Calibri" w:hAnsi="Calibri"/>
                <w:sz w:val="20"/>
                <w:szCs w:val="20"/>
              </w:rPr>
            </w:pPr>
            <w:r w:rsidRPr="008676F9">
              <w:rPr>
                <w:rFonts w:ascii="Calibri" w:eastAsia="Calibri" w:hAnsi="Calibri"/>
                <w:sz w:val="20"/>
                <w:szCs w:val="20"/>
              </w:rPr>
              <w:t> </w:t>
            </w:r>
          </w:p>
        </w:tc>
        <w:tc>
          <w:tcPr>
            <w:tcW w:w="2700" w:type="dxa"/>
            <w:tcBorders>
              <w:top w:val="nil"/>
              <w:left w:val="nil"/>
              <w:bottom w:val="nil"/>
              <w:right w:val="nil"/>
            </w:tcBorders>
            <w:shd w:val="clear" w:color="000000" w:fill="FFFFFF"/>
            <w:noWrap/>
            <w:vAlign w:val="center"/>
          </w:tcPr>
          <w:p w:rsidR="008676F9" w:rsidRPr="008676F9" w:rsidRDefault="008676F9" w:rsidP="008676F9">
            <w:pPr>
              <w:rPr>
                <w:rFonts w:ascii="Calibri" w:eastAsia="Calibri" w:hAnsi="Calibri"/>
                <w:sz w:val="20"/>
                <w:szCs w:val="20"/>
              </w:rPr>
            </w:pPr>
            <w:r w:rsidRPr="008676F9">
              <w:rPr>
                <w:rFonts w:ascii="Calibri" w:eastAsia="Calibri" w:hAnsi="Calibri"/>
                <w:sz w:val="20"/>
                <w:szCs w:val="20"/>
              </w:rPr>
              <w:t> </w:t>
            </w:r>
          </w:p>
        </w:tc>
        <w:tc>
          <w:tcPr>
            <w:tcW w:w="1650" w:type="dxa"/>
            <w:tcBorders>
              <w:top w:val="nil"/>
              <w:left w:val="nil"/>
              <w:bottom w:val="nil"/>
              <w:right w:val="single" w:sz="8" w:space="0" w:color="000000"/>
            </w:tcBorders>
            <w:shd w:val="clear" w:color="000000" w:fill="FFFFFF"/>
            <w:noWrap/>
            <w:vAlign w:val="center"/>
          </w:tcPr>
          <w:p w:rsidR="008676F9" w:rsidRPr="008676F9" w:rsidRDefault="008676F9" w:rsidP="008676F9">
            <w:pPr>
              <w:rPr>
                <w:rFonts w:ascii="Calibri" w:eastAsia="Calibri" w:hAnsi="Calibri"/>
                <w:sz w:val="20"/>
                <w:szCs w:val="20"/>
              </w:rPr>
            </w:pPr>
            <w:r w:rsidRPr="008676F9">
              <w:rPr>
                <w:rFonts w:ascii="Calibri" w:eastAsia="Calibri" w:hAnsi="Calibri"/>
                <w:sz w:val="20"/>
                <w:szCs w:val="20"/>
              </w:rPr>
              <w:t> </w:t>
            </w:r>
          </w:p>
        </w:tc>
      </w:tr>
      <w:tr w:rsidR="008676F9" w:rsidRPr="008676F9" w:rsidTr="00BB33FC">
        <w:trPr>
          <w:trHeight w:val="499"/>
        </w:trPr>
        <w:tc>
          <w:tcPr>
            <w:tcW w:w="7670" w:type="dxa"/>
            <w:gridSpan w:val="4"/>
            <w:tcBorders>
              <w:top w:val="single" w:sz="8" w:space="0" w:color="auto"/>
              <w:left w:val="single" w:sz="8" w:space="0" w:color="000000"/>
              <w:bottom w:val="nil"/>
              <w:right w:val="single" w:sz="8" w:space="0" w:color="000000"/>
            </w:tcBorders>
            <w:shd w:val="clear" w:color="000000" w:fill="FFFFFF"/>
            <w:noWrap/>
            <w:vAlign w:val="center"/>
          </w:tcPr>
          <w:p w:rsidR="008676F9" w:rsidRPr="008676F9" w:rsidRDefault="008676F9" w:rsidP="008676F9">
            <w:pPr>
              <w:jc w:val="center"/>
              <w:rPr>
                <w:rFonts w:ascii="Calibri" w:eastAsia="Calibri" w:hAnsi="Calibri"/>
                <w:b/>
                <w:bCs/>
                <w:sz w:val="20"/>
                <w:szCs w:val="20"/>
              </w:rPr>
            </w:pPr>
            <w:r w:rsidRPr="008676F9">
              <w:rPr>
                <w:rFonts w:ascii="Calibri" w:eastAsia="Calibri" w:hAnsi="Calibri"/>
                <w:b/>
                <w:bCs/>
                <w:sz w:val="20"/>
                <w:szCs w:val="20"/>
              </w:rPr>
              <w:t>plánovaný výstup 2014-2020</w:t>
            </w:r>
          </w:p>
        </w:tc>
      </w:tr>
      <w:tr w:rsidR="008676F9" w:rsidRPr="008676F9" w:rsidTr="00BB33FC">
        <w:trPr>
          <w:trHeight w:val="499"/>
        </w:trPr>
        <w:tc>
          <w:tcPr>
            <w:tcW w:w="1660" w:type="dxa"/>
            <w:vMerge w:val="restart"/>
            <w:tcBorders>
              <w:top w:val="single" w:sz="8" w:space="0" w:color="auto"/>
              <w:left w:val="single" w:sz="8" w:space="0" w:color="000000"/>
              <w:bottom w:val="single" w:sz="8" w:space="0" w:color="000000"/>
              <w:right w:val="single" w:sz="4" w:space="0" w:color="auto"/>
            </w:tcBorders>
            <w:shd w:val="clear" w:color="000000" w:fill="FFFFFF"/>
            <w:vAlign w:val="center"/>
          </w:tcPr>
          <w:p w:rsidR="008676F9" w:rsidRPr="008676F9" w:rsidRDefault="008676F9" w:rsidP="008676F9">
            <w:pPr>
              <w:jc w:val="center"/>
              <w:rPr>
                <w:rFonts w:ascii="Calibri" w:eastAsia="Calibri" w:hAnsi="Calibri"/>
                <w:b/>
                <w:bCs/>
                <w:sz w:val="16"/>
                <w:szCs w:val="16"/>
              </w:rPr>
            </w:pPr>
            <w:r w:rsidRPr="008676F9">
              <w:rPr>
                <w:rFonts w:ascii="Calibri" w:eastAsia="Calibri" w:hAnsi="Calibri"/>
                <w:b/>
                <w:bCs/>
                <w:sz w:val="16"/>
                <w:szCs w:val="16"/>
              </w:rPr>
              <w:t>16 (35)</w:t>
            </w:r>
          </w:p>
        </w:tc>
        <w:tc>
          <w:tcPr>
            <w:tcW w:w="4360" w:type="dxa"/>
            <w:gridSpan w:val="2"/>
            <w:tcBorders>
              <w:top w:val="single" w:sz="8" w:space="0" w:color="auto"/>
              <w:left w:val="nil"/>
              <w:bottom w:val="single" w:sz="4" w:space="0" w:color="auto"/>
              <w:right w:val="single" w:sz="4" w:space="0" w:color="auto"/>
            </w:tcBorders>
            <w:shd w:val="clear" w:color="000000" w:fill="FFFFFF"/>
            <w:vAlign w:val="center"/>
          </w:tcPr>
          <w:p w:rsidR="008676F9" w:rsidRPr="008676F9" w:rsidRDefault="008676F9" w:rsidP="008676F9">
            <w:pPr>
              <w:rPr>
                <w:rFonts w:ascii="Calibri" w:eastAsia="Calibri" w:hAnsi="Calibri"/>
                <w:sz w:val="16"/>
                <w:szCs w:val="16"/>
              </w:rPr>
            </w:pPr>
            <w:r w:rsidRPr="008676F9">
              <w:rPr>
                <w:rFonts w:ascii="Calibri" w:eastAsia="Calibri" w:hAnsi="Calibri"/>
                <w:sz w:val="16"/>
                <w:szCs w:val="16"/>
              </w:rPr>
              <w:t>Počet operačných skupín EIP, ktoré budú podporené</w:t>
            </w:r>
            <w:r w:rsidRPr="008676F9">
              <w:rPr>
                <w:rFonts w:ascii="Calibri" w:eastAsia="Calibri" w:hAnsi="Calibri"/>
                <w:sz w:val="16"/>
                <w:szCs w:val="16"/>
              </w:rPr>
              <w:br/>
              <w:t>(založenie a prevádzka ) (16.1)</w:t>
            </w:r>
          </w:p>
        </w:tc>
        <w:tc>
          <w:tcPr>
            <w:tcW w:w="1650" w:type="dxa"/>
            <w:tcBorders>
              <w:top w:val="single" w:sz="8" w:space="0" w:color="auto"/>
              <w:left w:val="nil"/>
              <w:bottom w:val="single" w:sz="4" w:space="0" w:color="auto"/>
              <w:right w:val="single" w:sz="8" w:space="0" w:color="000000"/>
            </w:tcBorders>
            <w:shd w:val="clear" w:color="000000" w:fill="FFFFFF"/>
            <w:noWrap/>
            <w:vAlign w:val="center"/>
          </w:tcPr>
          <w:p w:rsidR="008676F9" w:rsidRPr="008676F9" w:rsidRDefault="008676F9" w:rsidP="008676F9">
            <w:pPr>
              <w:jc w:val="right"/>
              <w:rPr>
                <w:rFonts w:ascii="Calibri" w:eastAsia="Calibri" w:hAnsi="Calibri"/>
                <w:sz w:val="20"/>
                <w:szCs w:val="20"/>
              </w:rPr>
            </w:pPr>
            <w:r w:rsidRPr="008676F9">
              <w:rPr>
                <w:rFonts w:ascii="Calibri" w:eastAsia="Calibri" w:hAnsi="Calibri"/>
                <w:sz w:val="20"/>
                <w:szCs w:val="20"/>
              </w:rPr>
              <w:t>2</w:t>
            </w:r>
          </w:p>
        </w:tc>
      </w:tr>
      <w:tr w:rsidR="008676F9" w:rsidRPr="008676F9" w:rsidTr="00BB33FC">
        <w:trPr>
          <w:trHeight w:val="499"/>
        </w:trPr>
        <w:tc>
          <w:tcPr>
            <w:tcW w:w="1660" w:type="dxa"/>
            <w:vMerge/>
            <w:tcBorders>
              <w:top w:val="single" w:sz="8" w:space="0" w:color="auto"/>
              <w:left w:val="single" w:sz="8" w:space="0" w:color="000000"/>
              <w:bottom w:val="single" w:sz="8" w:space="0" w:color="000000"/>
              <w:right w:val="single" w:sz="4" w:space="0" w:color="auto"/>
            </w:tcBorders>
            <w:vAlign w:val="center"/>
          </w:tcPr>
          <w:p w:rsidR="008676F9" w:rsidRPr="008676F9" w:rsidRDefault="008676F9" w:rsidP="008676F9">
            <w:pPr>
              <w:rPr>
                <w:rFonts w:ascii="Calibri" w:eastAsia="Calibri" w:hAnsi="Calibri"/>
                <w:b/>
                <w:bCs/>
                <w:sz w:val="16"/>
                <w:szCs w:val="16"/>
              </w:rPr>
            </w:pPr>
          </w:p>
        </w:tc>
        <w:tc>
          <w:tcPr>
            <w:tcW w:w="4360" w:type="dxa"/>
            <w:gridSpan w:val="2"/>
            <w:tcBorders>
              <w:top w:val="single" w:sz="4" w:space="0" w:color="auto"/>
              <w:left w:val="nil"/>
              <w:bottom w:val="single" w:sz="8" w:space="0" w:color="000000"/>
              <w:right w:val="single" w:sz="4" w:space="0" w:color="auto"/>
            </w:tcBorders>
            <w:shd w:val="clear" w:color="000000" w:fill="FFFFFF"/>
            <w:vAlign w:val="center"/>
          </w:tcPr>
          <w:p w:rsidR="008676F9" w:rsidRPr="008676F9" w:rsidRDefault="008676F9" w:rsidP="008676F9">
            <w:pPr>
              <w:rPr>
                <w:rFonts w:ascii="Calibri" w:eastAsia="Calibri" w:hAnsi="Calibri"/>
                <w:sz w:val="16"/>
                <w:szCs w:val="16"/>
              </w:rPr>
            </w:pPr>
            <w:r w:rsidRPr="008676F9">
              <w:rPr>
                <w:rFonts w:ascii="Calibri" w:eastAsia="Calibri" w:hAnsi="Calibri"/>
                <w:sz w:val="16"/>
                <w:szCs w:val="16"/>
              </w:rPr>
              <w:t>počet ostatných operácií spolupráce  (skupiny, siete/klastre, pilotné projekty) (16.2 do 16.9)</w:t>
            </w:r>
          </w:p>
        </w:tc>
        <w:tc>
          <w:tcPr>
            <w:tcW w:w="1650" w:type="dxa"/>
            <w:tcBorders>
              <w:top w:val="nil"/>
              <w:left w:val="nil"/>
              <w:bottom w:val="single" w:sz="8" w:space="0" w:color="000000"/>
              <w:right w:val="single" w:sz="8" w:space="0" w:color="000000"/>
            </w:tcBorders>
            <w:shd w:val="clear" w:color="000000" w:fill="FFFFFF"/>
            <w:noWrap/>
            <w:vAlign w:val="center"/>
          </w:tcPr>
          <w:p w:rsidR="008676F9" w:rsidRPr="008676F9" w:rsidRDefault="008676F9" w:rsidP="008676F9">
            <w:pPr>
              <w:jc w:val="right"/>
              <w:rPr>
                <w:rFonts w:ascii="Calibri" w:eastAsia="Calibri" w:hAnsi="Calibri"/>
                <w:sz w:val="20"/>
                <w:szCs w:val="20"/>
              </w:rPr>
            </w:pPr>
            <w:r w:rsidRPr="008676F9">
              <w:rPr>
                <w:rFonts w:ascii="Calibri" w:eastAsia="Calibri" w:hAnsi="Calibri"/>
                <w:sz w:val="20"/>
                <w:szCs w:val="20"/>
              </w:rPr>
              <w:t>15</w:t>
            </w:r>
          </w:p>
        </w:tc>
      </w:tr>
    </w:tbl>
    <w:p w:rsidR="008676F9" w:rsidRPr="008676F9" w:rsidRDefault="008676F9" w:rsidP="008676F9">
      <w:pPr>
        <w:spacing w:after="200" w:line="276" w:lineRule="auto"/>
        <w:rPr>
          <w:rFonts w:ascii="Calibri" w:eastAsia="Calibri" w:hAnsi="Calibri"/>
          <w:szCs w:val="22"/>
          <w:lang w:eastAsia="en-US"/>
        </w:rPr>
      </w:pPr>
    </w:p>
    <w:p w:rsidR="008676F9" w:rsidRPr="008676F9" w:rsidRDefault="008676F9" w:rsidP="008676F9">
      <w:pPr>
        <w:spacing w:after="200" w:line="276" w:lineRule="auto"/>
        <w:rPr>
          <w:rFonts w:ascii="Calibri" w:eastAsia="Calibri" w:hAnsi="Calibri"/>
          <w:szCs w:val="22"/>
          <w:lang w:eastAsia="en-US"/>
        </w:rPr>
      </w:pPr>
    </w:p>
    <w:p w:rsidR="008676F9" w:rsidRPr="008676F9" w:rsidRDefault="008676F9" w:rsidP="008676F9">
      <w:pPr>
        <w:spacing w:after="200" w:line="276" w:lineRule="auto"/>
        <w:rPr>
          <w:rFonts w:ascii="Calibri" w:eastAsia="Calibri" w:hAnsi="Calibri"/>
          <w:szCs w:val="22"/>
          <w:lang w:eastAsia="en-US"/>
        </w:rPr>
      </w:pPr>
    </w:p>
    <w:p w:rsidR="008676F9" w:rsidRPr="008676F9" w:rsidRDefault="008676F9" w:rsidP="008676F9">
      <w:pPr>
        <w:spacing w:after="200" w:line="276" w:lineRule="auto"/>
        <w:rPr>
          <w:rFonts w:ascii="Calibri" w:eastAsia="Calibri" w:hAnsi="Calibri"/>
          <w:szCs w:val="22"/>
          <w:lang w:eastAsia="en-US"/>
        </w:rPr>
      </w:pPr>
    </w:p>
    <w:p w:rsidR="008676F9" w:rsidRPr="008676F9" w:rsidRDefault="008676F9" w:rsidP="008676F9">
      <w:pPr>
        <w:spacing w:after="200" w:line="276" w:lineRule="auto"/>
        <w:rPr>
          <w:rFonts w:ascii="Calibri" w:eastAsia="Calibri" w:hAnsi="Calibri"/>
          <w:szCs w:val="22"/>
          <w:lang w:eastAsia="en-US"/>
        </w:rPr>
      </w:pPr>
    </w:p>
    <w:tbl>
      <w:tblPr>
        <w:tblW w:w="7680" w:type="dxa"/>
        <w:tblInd w:w="55" w:type="dxa"/>
        <w:tblCellMar>
          <w:left w:w="70" w:type="dxa"/>
          <w:right w:w="70" w:type="dxa"/>
        </w:tblCellMar>
        <w:tblLook w:val="00A0" w:firstRow="1" w:lastRow="0" w:firstColumn="1" w:lastColumn="0" w:noHBand="0" w:noVBand="0"/>
      </w:tblPr>
      <w:tblGrid>
        <w:gridCol w:w="5527"/>
        <w:gridCol w:w="577"/>
        <w:gridCol w:w="484"/>
        <w:gridCol w:w="1092"/>
      </w:tblGrid>
      <w:tr w:rsidR="008676F9" w:rsidRPr="00E820E4" w:rsidTr="00BB33FC">
        <w:trPr>
          <w:trHeight w:val="645"/>
        </w:trPr>
        <w:tc>
          <w:tcPr>
            <w:tcW w:w="7680" w:type="dxa"/>
            <w:gridSpan w:val="4"/>
            <w:tcBorders>
              <w:top w:val="single" w:sz="8" w:space="0" w:color="000000"/>
              <w:left w:val="single" w:sz="8" w:space="0" w:color="000000"/>
              <w:bottom w:val="single" w:sz="8" w:space="0" w:color="auto"/>
              <w:right w:val="single" w:sz="8" w:space="0" w:color="000000"/>
            </w:tcBorders>
            <w:shd w:val="clear" w:color="auto" w:fill="FFFF00"/>
            <w:vAlign w:val="center"/>
          </w:tcPr>
          <w:p w:rsidR="008676F9" w:rsidRPr="00E820E4" w:rsidRDefault="008676F9" w:rsidP="00962FCB">
            <w:pPr>
              <w:ind w:left="371" w:hanging="371"/>
              <w:rPr>
                <w:rFonts w:ascii="Calibri" w:eastAsia="Calibri" w:hAnsi="Calibri"/>
                <w:b/>
                <w:bCs/>
                <w:szCs w:val="22"/>
              </w:rPr>
            </w:pPr>
            <w:r w:rsidRPr="00E820E4">
              <w:rPr>
                <w:rFonts w:ascii="Calibri" w:eastAsia="Calibri" w:hAnsi="Calibri"/>
                <w:b/>
                <w:bCs/>
                <w:szCs w:val="22"/>
              </w:rPr>
              <w:t xml:space="preserve">1C </w:t>
            </w:r>
            <w:r w:rsidRPr="00E820E4">
              <w:rPr>
                <w:rFonts w:ascii="Calibri" w:eastAsia="Calibri" w:hAnsi="Calibri" w:cs="Arial"/>
                <w:b/>
                <w:bCs/>
                <w:szCs w:val="22"/>
                <w:lang w:eastAsia="en-US"/>
              </w:rPr>
              <w:t>Podpora celoživotného vzdelávania a odborného vzdelávania v odvetviach poľnohospodárstva a lesného hospodárstva</w:t>
            </w:r>
          </w:p>
        </w:tc>
      </w:tr>
      <w:tr w:rsidR="008676F9" w:rsidRPr="008676F9" w:rsidTr="00BB33FC">
        <w:trPr>
          <w:trHeight w:val="499"/>
        </w:trPr>
        <w:tc>
          <w:tcPr>
            <w:tcW w:w="7680" w:type="dxa"/>
            <w:gridSpan w:val="4"/>
            <w:tcBorders>
              <w:top w:val="single" w:sz="8" w:space="0" w:color="auto"/>
              <w:left w:val="single" w:sz="8" w:space="0" w:color="000000"/>
              <w:bottom w:val="single" w:sz="8" w:space="0" w:color="auto"/>
              <w:right w:val="single" w:sz="8" w:space="0" w:color="000000"/>
            </w:tcBorders>
            <w:shd w:val="clear" w:color="000000" w:fill="FFFFFF"/>
            <w:vAlign w:val="center"/>
          </w:tcPr>
          <w:p w:rsidR="008676F9" w:rsidRPr="008676F9" w:rsidRDefault="008676F9" w:rsidP="008676F9">
            <w:pPr>
              <w:jc w:val="center"/>
              <w:rPr>
                <w:rFonts w:ascii="Calibri" w:eastAsia="Calibri" w:hAnsi="Calibri"/>
                <w:i/>
                <w:iCs/>
                <w:sz w:val="20"/>
                <w:szCs w:val="20"/>
              </w:rPr>
            </w:pPr>
            <w:r w:rsidRPr="008676F9">
              <w:rPr>
                <w:rFonts w:ascii="Calibri" w:eastAsia="Calibri" w:hAnsi="Calibri"/>
                <w:i/>
                <w:iCs/>
                <w:sz w:val="20"/>
                <w:szCs w:val="20"/>
              </w:rPr>
              <w:t xml:space="preserve">údaje generované agregáciou z plánu ukazovateľov priorít 2 až 6 </w:t>
            </w:r>
          </w:p>
        </w:tc>
      </w:tr>
      <w:tr w:rsidR="008676F9" w:rsidRPr="008676F9" w:rsidTr="00BB33FC">
        <w:trPr>
          <w:trHeight w:val="499"/>
        </w:trPr>
        <w:tc>
          <w:tcPr>
            <w:tcW w:w="5527" w:type="dxa"/>
            <w:vMerge w:val="restart"/>
            <w:tcBorders>
              <w:top w:val="nil"/>
              <w:left w:val="single" w:sz="8" w:space="0" w:color="000000"/>
              <w:bottom w:val="single" w:sz="8" w:space="0" w:color="000000"/>
              <w:right w:val="single" w:sz="4" w:space="0" w:color="auto"/>
            </w:tcBorders>
            <w:shd w:val="clear" w:color="000000" w:fill="FFFFFF"/>
            <w:noWrap/>
            <w:vAlign w:val="center"/>
          </w:tcPr>
          <w:p w:rsidR="008676F9" w:rsidRPr="008676F9" w:rsidRDefault="008676F9" w:rsidP="008676F9">
            <w:pPr>
              <w:jc w:val="center"/>
              <w:rPr>
                <w:rFonts w:ascii="Calibri" w:eastAsia="Calibri" w:hAnsi="Calibri"/>
                <w:b/>
                <w:bCs/>
                <w:sz w:val="20"/>
                <w:szCs w:val="20"/>
              </w:rPr>
            </w:pPr>
            <w:r w:rsidRPr="008676F9">
              <w:rPr>
                <w:rFonts w:ascii="Calibri" w:eastAsia="Calibri" w:hAnsi="Calibri"/>
                <w:b/>
                <w:bCs/>
                <w:sz w:val="20"/>
                <w:szCs w:val="20"/>
              </w:rPr>
              <w:t>Cieľová hodnota</w:t>
            </w:r>
          </w:p>
        </w:tc>
        <w:tc>
          <w:tcPr>
            <w:tcW w:w="2153" w:type="dxa"/>
            <w:gridSpan w:val="3"/>
            <w:tcBorders>
              <w:top w:val="single" w:sz="8" w:space="0" w:color="auto"/>
              <w:left w:val="nil"/>
              <w:bottom w:val="single" w:sz="4" w:space="0" w:color="auto"/>
              <w:right w:val="single" w:sz="8" w:space="0" w:color="000000"/>
            </w:tcBorders>
            <w:shd w:val="clear" w:color="000000" w:fill="FFFFFF"/>
            <w:vAlign w:val="center"/>
          </w:tcPr>
          <w:p w:rsidR="008676F9" w:rsidRPr="008676F9" w:rsidRDefault="008676F9" w:rsidP="008676F9">
            <w:pPr>
              <w:jc w:val="center"/>
              <w:rPr>
                <w:rFonts w:ascii="Calibri" w:eastAsia="Calibri" w:hAnsi="Calibri"/>
                <w:b/>
                <w:bCs/>
                <w:sz w:val="20"/>
                <w:szCs w:val="20"/>
              </w:rPr>
            </w:pPr>
            <w:r w:rsidRPr="008676F9">
              <w:rPr>
                <w:rFonts w:ascii="Calibri" w:eastAsia="Calibri" w:hAnsi="Calibri"/>
                <w:b/>
                <w:bCs/>
                <w:sz w:val="20"/>
                <w:szCs w:val="20"/>
              </w:rPr>
              <w:t>Počet  účastníkov školení</w:t>
            </w:r>
          </w:p>
        </w:tc>
      </w:tr>
      <w:tr w:rsidR="008676F9" w:rsidRPr="008676F9" w:rsidTr="00BB33FC">
        <w:trPr>
          <w:trHeight w:val="499"/>
        </w:trPr>
        <w:tc>
          <w:tcPr>
            <w:tcW w:w="5527" w:type="dxa"/>
            <w:vMerge/>
            <w:tcBorders>
              <w:top w:val="nil"/>
              <w:left w:val="single" w:sz="8" w:space="0" w:color="000000"/>
              <w:bottom w:val="single" w:sz="8" w:space="0" w:color="000000"/>
              <w:right w:val="single" w:sz="4" w:space="0" w:color="auto"/>
            </w:tcBorders>
            <w:vAlign w:val="center"/>
          </w:tcPr>
          <w:p w:rsidR="008676F9" w:rsidRPr="008676F9" w:rsidRDefault="008676F9" w:rsidP="008676F9">
            <w:pPr>
              <w:rPr>
                <w:rFonts w:ascii="Calibri" w:eastAsia="Calibri" w:hAnsi="Calibri"/>
                <w:b/>
                <w:bCs/>
                <w:sz w:val="20"/>
                <w:szCs w:val="20"/>
              </w:rPr>
            </w:pPr>
          </w:p>
        </w:tc>
        <w:tc>
          <w:tcPr>
            <w:tcW w:w="2153" w:type="dxa"/>
            <w:gridSpan w:val="3"/>
            <w:tcBorders>
              <w:top w:val="single" w:sz="4" w:space="0" w:color="auto"/>
              <w:left w:val="nil"/>
              <w:bottom w:val="single" w:sz="4" w:space="0" w:color="auto"/>
              <w:right w:val="single" w:sz="8" w:space="0" w:color="000000"/>
            </w:tcBorders>
            <w:shd w:val="clear" w:color="000000" w:fill="FFFFFF"/>
            <w:vAlign w:val="center"/>
          </w:tcPr>
          <w:p w:rsidR="008676F9" w:rsidRPr="008676F9" w:rsidRDefault="008676F9" w:rsidP="008676F9">
            <w:pPr>
              <w:jc w:val="center"/>
              <w:rPr>
                <w:rFonts w:ascii="Calibri" w:eastAsia="Calibri" w:hAnsi="Calibri"/>
                <w:b/>
                <w:bCs/>
                <w:sz w:val="20"/>
                <w:szCs w:val="20"/>
              </w:rPr>
            </w:pPr>
            <w:r w:rsidRPr="008676F9">
              <w:rPr>
                <w:rFonts w:ascii="Calibri" w:eastAsia="Calibri" w:hAnsi="Calibri"/>
                <w:b/>
                <w:bCs/>
                <w:sz w:val="20"/>
                <w:szCs w:val="20"/>
              </w:rPr>
              <w:t>r.2020</w:t>
            </w:r>
          </w:p>
        </w:tc>
      </w:tr>
      <w:tr w:rsidR="008676F9" w:rsidRPr="008676F9" w:rsidTr="00BB33FC">
        <w:trPr>
          <w:trHeight w:val="499"/>
        </w:trPr>
        <w:tc>
          <w:tcPr>
            <w:tcW w:w="5527" w:type="dxa"/>
            <w:vMerge/>
            <w:tcBorders>
              <w:top w:val="nil"/>
              <w:left w:val="single" w:sz="8" w:space="0" w:color="000000"/>
              <w:bottom w:val="single" w:sz="8" w:space="0" w:color="000000"/>
              <w:right w:val="single" w:sz="4" w:space="0" w:color="auto"/>
            </w:tcBorders>
            <w:vAlign w:val="center"/>
          </w:tcPr>
          <w:p w:rsidR="008676F9" w:rsidRPr="008676F9" w:rsidRDefault="008676F9" w:rsidP="008676F9">
            <w:pPr>
              <w:rPr>
                <w:rFonts w:ascii="Calibri" w:eastAsia="Calibri" w:hAnsi="Calibri"/>
                <w:b/>
                <w:bCs/>
                <w:sz w:val="20"/>
                <w:szCs w:val="20"/>
              </w:rPr>
            </w:pPr>
          </w:p>
        </w:tc>
        <w:tc>
          <w:tcPr>
            <w:tcW w:w="2153" w:type="dxa"/>
            <w:gridSpan w:val="3"/>
            <w:tcBorders>
              <w:top w:val="single" w:sz="4" w:space="0" w:color="auto"/>
              <w:left w:val="nil"/>
              <w:bottom w:val="single" w:sz="8" w:space="0" w:color="auto"/>
              <w:right w:val="single" w:sz="8" w:space="0" w:color="000000"/>
            </w:tcBorders>
            <w:shd w:val="clear" w:color="000000" w:fill="FFFFFF"/>
            <w:vAlign w:val="center"/>
          </w:tcPr>
          <w:p w:rsidR="008676F9" w:rsidRPr="008676F9" w:rsidRDefault="00664E86" w:rsidP="008676F9">
            <w:pPr>
              <w:jc w:val="center"/>
              <w:rPr>
                <w:rFonts w:ascii="Calibri" w:eastAsia="Calibri" w:hAnsi="Calibri"/>
                <w:b/>
                <w:bCs/>
                <w:sz w:val="20"/>
                <w:szCs w:val="20"/>
              </w:rPr>
            </w:pPr>
            <w:r>
              <w:rPr>
                <w:b/>
                <w:bCs/>
                <w:sz w:val="20"/>
                <w:szCs w:val="20"/>
              </w:rPr>
              <w:t>8 460</w:t>
            </w:r>
          </w:p>
        </w:tc>
      </w:tr>
      <w:tr w:rsidR="008676F9" w:rsidRPr="008676F9" w:rsidTr="00BB33FC">
        <w:trPr>
          <w:trHeight w:val="231"/>
        </w:trPr>
        <w:tc>
          <w:tcPr>
            <w:tcW w:w="5527" w:type="dxa"/>
            <w:tcBorders>
              <w:top w:val="nil"/>
              <w:left w:val="single" w:sz="8" w:space="0" w:color="000000"/>
              <w:bottom w:val="nil"/>
              <w:right w:val="nil"/>
            </w:tcBorders>
            <w:shd w:val="clear" w:color="000000" w:fill="FFFFFF"/>
            <w:noWrap/>
            <w:vAlign w:val="center"/>
          </w:tcPr>
          <w:p w:rsidR="008676F9" w:rsidRPr="008676F9" w:rsidRDefault="008676F9" w:rsidP="008676F9">
            <w:pPr>
              <w:rPr>
                <w:rFonts w:ascii="Calibri" w:eastAsia="Calibri" w:hAnsi="Calibri"/>
                <w:sz w:val="20"/>
                <w:szCs w:val="20"/>
              </w:rPr>
            </w:pPr>
            <w:r w:rsidRPr="008676F9">
              <w:rPr>
                <w:rFonts w:ascii="Calibri" w:eastAsia="Calibri" w:hAnsi="Calibri"/>
                <w:sz w:val="20"/>
                <w:szCs w:val="20"/>
              </w:rPr>
              <w:t> </w:t>
            </w:r>
          </w:p>
        </w:tc>
        <w:tc>
          <w:tcPr>
            <w:tcW w:w="577" w:type="dxa"/>
            <w:tcBorders>
              <w:top w:val="nil"/>
              <w:left w:val="nil"/>
              <w:bottom w:val="nil"/>
              <w:right w:val="nil"/>
            </w:tcBorders>
            <w:shd w:val="clear" w:color="000000" w:fill="FFFFFF"/>
            <w:noWrap/>
            <w:vAlign w:val="center"/>
          </w:tcPr>
          <w:p w:rsidR="008676F9" w:rsidRPr="008676F9" w:rsidRDefault="008676F9" w:rsidP="008676F9">
            <w:pPr>
              <w:rPr>
                <w:rFonts w:ascii="Calibri" w:eastAsia="Calibri" w:hAnsi="Calibri"/>
                <w:sz w:val="20"/>
                <w:szCs w:val="20"/>
              </w:rPr>
            </w:pPr>
            <w:r w:rsidRPr="008676F9">
              <w:rPr>
                <w:rFonts w:ascii="Calibri" w:eastAsia="Calibri" w:hAnsi="Calibri"/>
                <w:sz w:val="20"/>
                <w:szCs w:val="20"/>
              </w:rPr>
              <w:t> </w:t>
            </w:r>
          </w:p>
        </w:tc>
        <w:tc>
          <w:tcPr>
            <w:tcW w:w="484" w:type="dxa"/>
            <w:tcBorders>
              <w:top w:val="nil"/>
              <w:left w:val="nil"/>
              <w:bottom w:val="nil"/>
              <w:right w:val="nil"/>
            </w:tcBorders>
            <w:shd w:val="clear" w:color="000000" w:fill="FFFFFF"/>
            <w:noWrap/>
            <w:vAlign w:val="center"/>
          </w:tcPr>
          <w:p w:rsidR="008676F9" w:rsidRPr="008676F9" w:rsidRDefault="008676F9" w:rsidP="008676F9">
            <w:pPr>
              <w:rPr>
                <w:rFonts w:ascii="Calibri" w:eastAsia="Calibri" w:hAnsi="Calibri"/>
                <w:sz w:val="20"/>
                <w:szCs w:val="20"/>
              </w:rPr>
            </w:pPr>
            <w:r w:rsidRPr="008676F9">
              <w:rPr>
                <w:rFonts w:ascii="Calibri" w:eastAsia="Calibri" w:hAnsi="Calibri"/>
                <w:sz w:val="20"/>
                <w:szCs w:val="20"/>
              </w:rPr>
              <w:t> </w:t>
            </w:r>
          </w:p>
        </w:tc>
        <w:tc>
          <w:tcPr>
            <w:tcW w:w="1092" w:type="dxa"/>
            <w:tcBorders>
              <w:top w:val="nil"/>
              <w:left w:val="nil"/>
              <w:bottom w:val="nil"/>
              <w:right w:val="single" w:sz="8" w:space="0" w:color="000000"/>
            </w:tcBorders>
            <w:shd w:val="clear" w:color="000000" w:fill="FFFFFF"/>
            <w:noWrap/>
            <w:vAlign w:val="center"/>
          </w:tcPr>
          <w:p w:rsidR="008676F9" w:rsidRPr="008676F9" w:rsidRDefault="008676F9" w:rsidP="008676F9">
            <w:pPr>
              <w:rPr>
                <w:rFonts w:ascii="Calibri" w:eastAsia="Calibri" w:hAnsi="Calibri"/>
                <w:sz w:val="20"/>
                <w:szCs w:val="20"/>
              </w:rPr>
            </w:pPr>
            <w:r w:rsidRPr="008676F9">
              <w:rPr>
                <w:rFonts w:ascii="Calibri" w:eastAsia="Calibri" w:hAnsi="Calibri"/>
                <w:sz w:val="20"/>
                <w:szCs w:val="20"/>
              </w:rPr>
              <w:t> </w:t>
            </w:r>
          </w:p>
        </w:tc>
      </w:tr>
      <w:tr w:rsidR="008676F9" w:rsidRPr="008676F9" w:rsidTr="00BB33FC">
        <w:trPr>
          <w:trHeight w:val="499"/>
        </w:trPr>
        <w:tc>
          <w:tcPr>
            <w:tcW w:w="7680" w:type="dxa"/>
            <w:gridSpan w:val="4"/>
            <w:tcBorders>
              <w:top w:val="single" w:sz="8" w:space="0" w:color="auto"/>
              <w:left w:val="single" w:sz="8" w:space="0" w:color="000000"/>
              <w:bottom w:val="single" w:sz="4" w:space="0" w:color="auto"/>
              <w:right w:val="single" w:sz="8" w:space="0" w:color="000000"/>
            </w:tcBorders>
            <w:shd w:val="clear" w:color="000000" w:fill="FFFFFF"/>
            <w:noWrap/>
            <w:vAlign w:val="center"/>
          </w:tcPr>
          <w:p w:rsidR="008676F9" w:rsidRPr="008676F9" w:rsidRDefault="008676F9" w:rsidP="008676F9">
            <w:pPr>
              <w:jc w:val="center"/>
              <w:rPr>
                <w:rFonts w:ascii="Calibri" w:eastAsia="Calibri" w:hAnsi="Calibri"/>
                <w:b/>
                <w:bCs/>
                <w:sz w:val="20"/>
                <w:szCs w:val="20"/>
              </w:rPr>
            </w:pPr>
            <w:r w:rsidRPr="008676F9">
              <w:rPr>
                <w:rFonts w:ascii="Calibri" w:eastAsia="Calibri" w:hAnsi="Calibri"/>
                <w:b/>
                <w:bCs/>
                <w:sz w:val="20"/>
                <w:szCs w:val="20"/>
              </w:rPr>
              <w:t>plánovaný výstup 2014-2020</w:t>
            </w:r>
          </w:p>
        </w:tc>
      </w:tr>
      <w:tr w:rsidR="008676F9" w:rsidRPr="008676F9" w:rsidTr="00BB33FC">
        <w:trPr>
          <w:trHeight w:val="499"/>
        </w:trPr>
        <w:tc>
          <w:tcPr>
            <w:tcW w:w="5527" w:type="dxa"/>
            <w:tcBorders>
              <w:top w:val="nil"/>
              <w:left w:val="single" w:sz="8" w:space="0" w:color="000000"/>
              <w:bottom w:val="single" w:sz="8" w:space="0" w:color="000000"/>
              <w:right w:val="single" w:sz="4" w:space="0" w:color="auto"/>
            </w:tcBorders>
            <w:shd w:val="clear" w:color="000000" w:fill="FFFFFF"/>
            <w:vAlign w:val="center"/>
          </w:tcPr>
          <w:p w:rsidR="008676F9" w:rsidRPr="008676F9" w:rsidRDefault="008676F9" w:rsidP="008676F9">
            <w:pPr>
              <w:jc w:val="center"/>
              <w:rPr>
                <w:rFonts w:ascii="Calibri" w:eastAsia="Calibri" w:hAnsi="Calibri"/>
                <w:b/>
                <w:bCs/>
                <w:sz w:val="16"/>
                <w:szCs w:val="16"/>
              </w:rPr>
            </w:pPr>
            <w:r w:rsidRPr="008676F9">
              <w:rPr>
                <w:rFonts w:ascii="Calibri" w:eastAsia="Calibri" w:hAnsi="Calibri"/>
                <w:b/>
                <w:bCs/>
                <w:sz w:val="16"/>
                <w:szCs w:val="16"/>
              </w:rPr>
              <w:t>1 (14)</w:t>
            </w:r>
          </w:p>
        </w:tc>
        <w:tc>
          <w:tcPr>
            <w:tcW w:w="1061" w:type="dxa"/>
            <w:gridSpan w:val="2"/>
            <w:tcBorders>
              <w:top w:val="single" w:sz="4" w:space="0" w:color="auto"/>
              <w:left w:val="nil"/>
              <w:bottom w:val="single" w:sz="8" w:space="0" w:color="000000"/>
              <w:right w:val="single" w:sz="4" w:space="0" w:color="auto"/>
            </w:tcBorders>
            <w:shd w:val="clear" w:color="000000" w:fill="FFFFFF"/>
            <w:vAlign w:val="center"/>
          </w:tcPr>
          <w:p w:rsidR="008676F9" w:rsidRPr="008676F9" w:rsidRDefault="008676F9" w:rsidP="008676F9">
            <w:pPr>
              <w:rPr>
                <w:rFonts w:ascii="Calibri" w:eastAsia="Calibri" w:hAnsi="Calibri"/>
                <w:sz w:val="16"/>
                <w:szCs w:val="16"/>
              </w:rPr>
            </w:pPr>
            <w:r w:rsidRPr="008676F9">
              <w:rPr>
                <w:rFonts w:ascii="Calibri" w:eastAsia="Calibri" w:hAnsi="Calibri"/>
                <w:sz w:val="16"/>
                <w:szCs w:val="16"/>
              </w:rPr>
              <w:t>počet účastníkov školení (1.1)</w:t>
            </w:r>
          </w:p>
        </w:tc>
        <w:tc>
          <w:tcPr>
            <w:tcW w:w="1092" w:type="dxa"/>
            <w:tcBorders>
              <w:top w:val="nil"/>
              <w:left w:val="nil"/>
              <w:bottom w:val="single" w:sz="8" w:space="0" w:color="000000"/>
              <w:right w:val="single" w:sz="8" w:space="0" w:color="000000"/>
            </w:tcBorders>
            <w:shd w:val="clear" w:color="000000" w:fill="FFFFFF"/>
            <w:noWrap/>
            <w:vAlign w:val="center"/>
          </w:tcPr>
          <w:p w:rsidR="008676F9" w:rsidRPr="008676F9" w:rsidRDefault="00664E86" w:rsidP="008676F9">
            <w:pPr>
              <w:jc w:val="right"/>
              <w:rPr>
                <w:rFonts w:ascii="Calibri" w:eastAsia="Calibri" w:hAnsi="Calibri"/>
                <w:sz w:val="20"/>
                <w:szCs w:val="20"/>
              </w:rPr>
            </w:pPr>
            <w:r>
              <w:rPr>
                <w:sz w:val="20"/>
                <w:szCs w:val="20"/>
              </w:rPr>
              <w:t>8 460</w:t>
            </w:r>
          </w:p>
        </w:tc>
      </w:tr>
    </w:tbl>
    <w:p w:rsidR="008676F9" w:rsidRPr="008676F9" w:rsidRDefault="008676F9" w:rsidP="008676F9">
      <w:pPr>
        <w:spacing w:after="200" w:line="276" w:lineRule="auto"/>
        <w:jc w:val="center"/>
        <w:rPr>
          <w:rFonts w:ascii="Calibri" w:eastAsia="Calibri" w:hAnsi="Calibri"/>
          <w:b/>
          <w:szCs w:val="22"/>
          <w:lang w:eastAsia="en-US"/>
        </w:rPr>
      </w:pPr>
    </w:p>
    <w:p w:rsidR="008676F9" w:rsidRPr="008676F9" w:rsidRDefault="008676F9" w:rsidP="008676F9">
      <w:pPr>
        <w:spacing w:after="200" w:line="276" w:lineRule="auto"/>
        <w:jc w:val="center"/>
        <w:rPr>
          <w:rFonts w:ascii="Calibri" w:eastAsia="Calibri" w:hAnsi="Calibri"/>
          <w:b/>
          <w:szCs w:val="22"/>
          <w:lang w:eastAsia="en-US"/>
        </w:rPr>
      </w:pPr>
      <w:r w:rsidRPr="008676F9">
        <w:rPr>
          <w:rFonts w:ascii="Calibri" w:eastAsia="Calibri" w:hAnsi="Calibri"/>
          <w:b/>
          <w:szCs w:val="22"/>
          <w:lang w:eastAsia="en-US"/>
        </w:rPr>
        <w:t xml:space="preserve"> </w:t>
      </w:r>
      <w:r w:rsidRPr="008676F9">
        <w:rPr>
          <w:rFonts w:ascii="Calibri" w:eastAsia="Calibri" w:hAnsi="Calibri"/>
          <w:b/>
          <w:szCs w:val="22"/>
          <w:lang w:eastAsia="en-US"/>
        </w:rPr>
        <w:br w:type="page"/>
      </w:r>
    </w:p>
    <w:p w:rsidR="008676F9" w:rsidRPr="008676F9" w:rsidRDefault="008676F9" w:rsidP="006C75BE">
      <w:pPr>
        <w:keepNext/>
        <w:spacing w:after="200"/>
        <w:ind w:left="1276" w:hanging="1276"/>
        <w:outlineLvl w:val="3"/>
        <w:rPr>
          <w:rFonts w:ascii="Calibri" w:hAnsi="Calibri"/>
          <w:b/>
          <w:bCs/>
          <w:szCs w:val="22"/>
          <w:lang w:eastAsia="en-US"/>
        </w:rPr>
      </w:pPr>
      <w:bookmarkStart w:id="142" w:name="_Toc359930826"/>
      <w:r w:rsidRPr="008676F9">
        <w:rPr>
          <w:rFonts w:ascii="Calibri" w:hAnsi="Calibri"/>
          <w:b/>
          <w:bCs/>
          <w:szCs w:val="22"/>
          <w:lang w:eastAsia="en-US"/>
        </w:rPr>
        <w:t xml:space="preserve">PRIORITA 2: </w:t>
      </w:r>
      <w:bookmarkEnd w:id="142"/>
      <w:r w:rsidRPr="008676F9">
        <w:rPr>
          <w:rFonts w:ascii="Calibri" w:hAnsi="Calibri"/>
          <w:b/>
          <w:bCs/>
          <w:szCs w:val="22"/>
          <w:lang w:eastAsia="en-US"/>
        </w:rPr>
        <w:t>Posilnenie životaschopnosti poľnohospodárskych podnikov a konkurencieschopnosti všetkých druhov poľnohospodárstva vo všetkých regiónoch a presadzovanie inovačných poľnohospodárskych technológií a udržateľného obhospodarovania lesov</w:t>
      </w:r>
    </w:p>
    <w:tbl>
      <w:tblPr>
        <w:tblW w:w="7973" w:type="dxa"/>
        <w:tblInd w:w="55" w:type="dxa"/>
        <w:tblCellMar>
          <w:left w:w="70" w:type="dxa"/>
          <w:right w:w="70" w:type="dxa"/>
        </w:tblCellMar>
        <w:tblLook w:val="00A0" w:firstRow="1" w:lastRow="0" w:firstColumn="1" w:lastColumn="0" w:noHBand="0" w:noVBand="0"/>
      </w:tblPr>
      <w:tblGrid>
        <w:gridCol w:w="1660"/>
        <w:gridCol w:w="20"/>
        <w:gridCol w:w="20"/>
        <w:gridCol w:w="1620"/>
        <w:gridCol w:w="20"/>
        <w:gridCol w:w="20"/>
        <w:gridCol w:w="2660"/>
        <w:gridCol w:w="20"/>
        <w:gridCol w:w="20"/>
        <w:gridCol w:w="1620"/>
        <w:gridCol w:w="20"/>
        <w:gridCol w:w="273"/>
      </w:tblGrid>
      <w:tr w:rsidR="008676F9" w:rsidRPr="00E820E4" w:rsidTr="00564D41">
        <w:trPr>
          <w:trHeight w:val="1005"/>
        </w:trPr>
        <w:tc>
          <w:tcPr>
            <w:tcW w:w="7973" w:type="dxa"/>
            <w:gridSpan w:val="12"/>
            <w:tcBorders>
              <w:top w:val="single" w:sz="8" w:space="0" w:color="auto"/>
              <w:left w:val="single" w:sz="8" w:space="0" w:color="auto"/>
              <w:bottom w:val="single" w:sz="4" w:space="0" w:color="auto"/>
              <w:right w:val="single" w:sz="8" w:space="0" w:color="000000"/>
            </w:tcBorders>
            <w:shd w:val="clear" w:color="auto" w:fill="FFFF00"/>
            <w:vAlign w:val="center"/>
          </w:tcPr>
          <w:p w:rsidR="008676F9" w:rsidRPr="00E820E4" w:rsidRDefault="008676F9" w:rsidP="00962FCB">
            <w:pPr>
              <w:ind w:left="371" w:hanging="371"/>
              <w:rPr>
                <w:rFonts w:ascii="Calibri" w:eastAsia="Calibri" w:hAnsi="Calibri"/>
                <w:b/>
                <w:bCs/>
                <w:color w:val="000000"/>
                <w:szCs w:val="22"/>
              </w:rPr>
            </w:pPr>
            <w:r w:rsidRPr="00E820E4">
              <w:rPr>
                <w:rFonts w:ascii="Calibri" w:eastAsia="Calibri" w:hAnsi="Calibri"/>
                <w:b/>
                <w:bCs/>
                <w:color w:val="000000"/>
                <w:szCs w:val="22"/>
              </w:rPr>
              <w:t xml:space="preserve">2A Zlepšenie ekonomického výkonu všetkých poľnohospodárskych podnikov a  uľahčenie reštrukturalizácie a modernizácie poľnohospodárskych podnikov najmä za účelom zvýšenia ich účasti na trhu a zvýšenia poľnohospodárskej diverzifikácii </w:t>
            </w:r>
          </w:p>
        </w:tc>
      </w:tr>
      <w:tr w:rsidR="008676F9" w:rsidRPr="008676F9" w:rsidTr="00564D41">
        <w:trPr>
          <w:trHeight w:val="499"/>
        </w:trPr>
        <w:tc>
          <w:tcPr>
            <w:tcW w:w="1700" w:type="dxa"/>
            <w:gridSpan w:val="3"/>
            <w:vMerge w:val="restart"/>
            <w:tcBorders>
              <w:top w:val="nil"/>
              <w:left w:val="single" w:sz="8" w:space="0" w:color="auto"/>
              <w:bottom w:val="single" w:sz="4" w:space="0" w:color="auto"/>
              <w:right w:val="single" w:sz="4" w:space="0" w:color="auto"/>
            </w:tcBorders>
            <w:shd w:val="clear" w:color="000000" w:fill="FFFFFF"/>
            <w:noWrap/>
            <w:vAlign w:val="center"/>
          </w:tcPr>
          <w:p w:rsidR="008676F9" w:rsidRPr="008676F9" w:rsidRDefault="008676F9" w:rsidP="008676F9">
            <w:pPr>
              <w:jc w:val="center"/>
              <w:rPr>
                <w:rFonts w:ascii="Calibri" w:eastAsia="Calibri" w:hAnsi="Calibri"/>
                <w:b/>
                <w:bCs/>
                <w:sz w:val="18"/>
                <w:szCs w:val="18"/>
              </w:rPr>
            </w:pPr>
            <w:r w:rsidRPr="008676F9">
              <w:rPr>
                <w:rFonts w:ascii="Calibri" w:eastAsia="Calibri" w:hAnsi="Calibri"/>
                <w:b/>
                <w:bCs/>
                <w:sz w:val="18"/>
                <w:szCs w:val="18"/>
              </w:rPr>
              <w:t>Cieľová hodnota</w:t>
            </w:r>
          </w:p>
        </w:tc>
        <w:tc>
          <w:tcPr>
            <w:tcW w:w="6273" w:type="dxa"/>
            <w:gridSpan w:val="9"/>
            <w:tcBorders>
              <w:top w:val="single" w:sz="4" w:space="0" w:color="auto"/>
              <w:left w:val="nil"/>
              <w:bottom w:val="single" w:sz="4" w:space="0" w:color="auto"/>
              <w:right w:val="single" w:sz="8" w:space="0" w:color="000000"/>
            </w:tcBorders>
            <w:shd w:val="clear" w:color="000000" w:fill="FFFFFF"/>
            <w:vAlign w:val="center"/>
          </w:tcPr>
          <w:p w:rsidR="008676F9" w:rsidRPr="008676F9" w:rsidRDefault="008676F9" w:rsidP="008676F9">
            <w:pPr>
              <w:jc w:val="center"/>
              <w:rPr>
                <w:rFonts w:ascii="Calibri" w:eastAsia="Calibri" w:hAnsi="Calibri"/>
                <w:b/>
                <w:bCs/>
                <w:sz w:val="18"/>
                <w:szCs w:val="18"/>
              </w:rPr>
            </w:pPr>
            <w:r w:rsidRPr="008676F9">
              <w:rPr>
                <w:rFonts w:ascii="Calibri" w:eastAsia="Calibri" w:hAnsi="Calibri"/>
                <w:b/>
                <w:bCs/>
                <w:sz w:val="18"/>
                <w:szCs w:val="18"/>
              </w:rPr>
              <w:t>% podporených poľnohospodárov z PRV s investíciami do reštrukturalizácie</w:t>
            </w:r>
          </w:p>
        </w:tc>
      </w:tr>
      <w:tr w:rsidR="008676F9" w:rsidRPr="008676F9" w:rsidTr="00564D41">
        <w:trPr>
          <w:trHeight w:val="499"/>
        </w:trPr>
        <w:tc>
          <w:tcPr>
            <w:tcW w:w="1700" w:type="dxa"/>
            <w:gridSpan w:val="3"/>
            <w:vMerge/>
            <w:tcBorders>
              <w:top w:val="nil"/>
              <w:left w:val="single" w:sz="8" w:space="0" w:color="auto"/>
              <w:bottom w:val="single" w:sz="4" w:space="0" w:color="auto"/>
              <w:right w:val="single" w:sz="4" w:space="0" w:color="auto"/>
            </w:tcBorders>
            <w:vAlign w:val="center"/>
          </w:tcPr>
          <w:p w:rsidR="008676F9" w:rsidRPr="008676F9" w:rsidRDefault="008676F9" w:rsidP="008676F9">
            <w:pPr>
              <w:rPr>
                <w:rFonts w:ascii="Calibri" w:eastAsia="Calibri" w:hAnsi="Calibri"/>
                <w:b/>
                <w:bCs/>
                <w:sz w:val="18"/>
                <w:szCs w:val="18"/>
              </w:rPr>
            </w:pPr>
          </w:p>
        </w:tc>
        <w:tc>
          <w:tcPr>
            <w:tcW w:w="1660" w:type="dxa"/>
            <w:gridSpan w:val="3"/>
            <w:tcBorders>
              <w:top w:val="nil"/>
              <w:left w:val="nil"/>
              <w:bottom w:val="single" w:sz="4" w:space="0" w:color="auto"/>
              <w:right w:val="single" w:sz="4" w:space="0" w:color="auto"/>
            </w:tcBorders>
            <w:shd w:val="clear" w:color="000000" w:fill="FFFFFF"/>
            <w:vAlign w:val="center"/>
          </w:tcPr>
          <w:p w:rsidR="008676F9" w:rsidRPr="008676F9" w:rsidRDefault="008676F9" w:rsidP="008676F9">
            <w:pPr>
              <w:jc w:val="center"/>
              <w:rPr>
                <w:rFonts w:ascii="Calibri" w:eastAsia="Calibri" w:hAnsi="Calibri"/>
                <w:b/>
                <w:bCs/>
                <w:sz w:val="18"/>
                <w:szCs w:val="18"/>
              </w:rPr>
            </w:pPr>
            <w:r w:rsidRPr="008676F9">
              <w:rPr>
                <w:rFonts w:ascii="Calibri" w:eastAsia="Calibri" w:hAnsi="Calibri"/>
                <w:b/>
                <w:bCs/>
                <w:sz w:val="18"/>
                <w:szCs w:val="18"/>
              </w:rPr>
              <w:t>Počet</w:t>
            </w:r>
          </w:p>
        </w:tc>
        <w:tc>
          <w:tcPr>
            <w:tcW w:w="4613" w:type="dxa"/>
            <w:gridSpan w:val="6"/>
            <w:tcBorders>
              <w:top w:val="single" w:sz="4" w:space="0" w:color="auto"/>
              <w:left w:val="nil"/>
              <w:bottom w:val="single" w:sz="4" w:space="0" w:color="auto"/>
              <w:right w:val="single" w:sz="8" w:space="0" w:color="000000"/>
            </w:tcBorders>
            <w:shd w:val="clear" w:color="000000" w:fill="FFFFFF"/>
            <w:vAlign w:val="center"/>
          </w:tcPr>
          <w:p w:rsidR="008676F9" w:rsidRPr="008676F9" w:rsidRDefault="008676F9" w:rsidP="008676F9">
            <w:pPr>
              <w:jc w:val="center"/>
              <w:rPr>
                <w:rFonts w:ascii="Calibri" w:eastAsia="Calibri" w:hAnsi="Calibri"/>
                <w:b/>
                <w:bCs/>
                <w:sz w:val="18"/>
                <w:szCs w:val="18"/>
              </w:rPr>
            </w:pPr>
            <w:r w:rsidRPr="008676F9">
              <w:rPr>
                <w:rFonts w:ascii="Calibri" w:eastAsia="Calibri" w:hAnsi="Calibri"/>
                <w:b/>
                <w:bCs/>
                <w:sz w:val="18"/>
                <w:szCs w:val="18"/>
              </w:rPr>
              <w:t>%</w:t>
            </w:r>
          </w:p>
        </w:tc>
      </w:tr>
      <w:tr w:rsidR="008676F9" w:rsidRPr="008676F9" w:rsidTr="00564D41">
        <w:trPr>
          <w:trHeight w:val="1050"/>
        </w:trPr>
        <w:tc>
          <w:tcPr>
            <w:tcW w:w="1700" w:type="dxa"/>
            <w:gridSpan w:val="3"/>
            <w:tcBorders>
              <w:top w:val="nil"/>
              <w:left w:val="single" w:sz="8" w:space="0" w:color="auto"/>
              <w:bottom w:val="single" w:sz="4" w:space="0" w:color="auto"/>
              <w:right w:val="single" w:sz="4" w:space="0" w:color="auto"/>
            </w:tcBorders>
            <w:shd w:val="clear" w:color="000000" w:fill="FFFFFF"/>
            <w:vAlign w:val="center"/>
          </w:tcPr>
          <w:p w:rsidR="008676F9" w:rsidRPr="008676F9" w:rsidRDefault="008676F9" w:rsidP="008676F9">
            <w:pPr>
              <w:jc w:val="center"/>
              <w:rPr>
                <w:rFonts w:ascii="Calibri" w:eastAsia="Calibri" w:hAnsi="Calibri"/>
                <w:b/>
                <w:bCs/>
                <w:sz w:val="18"/>
                <w:szCs w:val="18"/>
              </w:rPr>
            </w:pPr>
            <w:r w:rsidRPr="008676F9">
              <w:rPr>
                <w:rFonts w:ascii="Calibri" w:eastAsia="Calibri" w:hAnsi="Calibri"/>
                <w:b/>
                <w:bCs/>
                <w:sz w:val="18"/>
                <w:szCs w:val="18"/>
              </w:rPr>
              <w:t xml:space="preserve">Podporení poľnohospodári </w:t>
            </w:r>
            <w:r w:rsidRPr="008676F9">
              <w:rPr>
                <w:rFonts w:ascii="Calibri" w:eastAsia="Calibri" w:hAnsi="Calibri"/>
                <w:b/>
                <w:bCs/>
                <w:sz w:val="18"/>
                <w:szCs w:val="18"/>
              </w:rPr>
              <w:br/>
              <w:t xml:space="preserve">s investíciami </w:t>
            </w:r>
            <w:r w:rsidRPr="008676F9">
              <w:rPr>
                <w:rFonts w:ascii="Calibri" w:eastAsia="Calibri" w:hAnsi="Calibri"/>
                <w:b/>
                <w:bCs/>
                <w:sz w:val="18"/>
                <w:szCs w:val="18"/>
              </w:rPr>
              <w:br/>
              <w:t>v r.2020</w:t>
            </w:r>
          </w:p>
        </w:tc>
        <w:tc>
          <w:tcPr>
            <w:tcW w:w="1660" w:type="dxa"/>
            <w:gridSpan w:val="3"/>
            <w:tcBorders>
              <w:top w:val="nil"/>
              <w:left w:val="nil"/>
              <w:bottom w:val="single" w:sz="4" w:space="0" w:color="auto"/>
              <w:right w:val="single" w:sz="4" w:space="0" w:color="auto"/>
            </w:tcBorders>
            <w:shd w:val="clear" w:color="000000" w:fill="FFFFFF"/>
            <w:vAlign w:val="center"/>
          </w:tcPr>
          <w:p w:rsidR="008676F9" w:rsidRPr="008676F9" w:rsidRDefault="008676F9" w:rsidP="008676F9">
            <w:pPr>
              <w:jc w:val="center"/>
              <w:rPr>
                <w:rFonts w:ascii="Calibri" w:eastAsia="Calibri" w:hAnsi="Calibri"/>
                <w:b/>
                <w:bCs/>
                <w:sz w:val="18"/>
                <w:szCs w:val="18"/>
              </w:rPr>
            </w:pPr>
            <w:r w:rsidRPr="008676F9">
              <w:rPr>
                <w:rFonts w:ascii="Calibri" w:eastAsia="Calibri" w:hAnsi="Calibri"/>
                <w:b/>
                <w:bCs/>
                <w:sz w:val="18"/>
                <w:szCs w:val="18"/>
              </w:rPr>
              <w:t xml:space="preserve">                           420 </w:t>
            </w:r>
          </w:p>
        </w:tc>
        <w:tc>
          <w:tcPr>
            <w:tcW w:w="4613" w:type="dxa"/>
            <w:gridSpan w:val="6"/>
            <w:tcBorders>
              <w:top w:val="single" w:sz="4" w:space="0" w:color="auto"/>
              <w:left w:val="nil"/>
              <w:bottom w:val="single" w:sz="4" w:space="0" w:color="auto"/>
              <w:right w:val="single" w:sz="8" w:space="0" w:color="000000"/>
            </w:tcBorders>
            <w:shd w:val="clear" w:color="000000" w:fill="FFFFFF"/>
            <w:vAlign w:val="center"/>
          </w:tcPr>
          <w:p w:rsidR="008676F9" w:rsidRPr="008676F9" w:rsidRDefault="008676F9" w:rsidP="008676F9">
            <w:pPr>
              <w:jc w:val="center"/>
              <w:rPr>
                <w:rFonts w:ascii="Calibri" w:eastAsia="Calibri" w:hAnsi="Calibri"/>
                <w:b/>
                <w:bCs/>
                <w:sz w:val="18"/>
                <w:szCs w:val="18"/>
              </w:rPr>
            </w:pPr>
            <w:r w:rsidRPr="008676F9">
              <w:rPr>
                <w:rFonts w:ascii="Calibri" w:eastAsia="Calibri" w:hAnsi="Calibri"/>
                <w:b/>
                <w:bCs/>
                <w:sz w:val="18"/>
                <w:szCs w:val="18"/>
              </w:rPr>
              <w:t>1,72%</w:t>
            </w:r>
          </w:p>
        </w:tc>
      </w:tr>
      <w:tr w:rsidR="008676F9" w:rsidRPr="008676F9" w:rsidTr="00564D41">
        <w:trPr>
          <w:trHeight w:val="900"/>
        </w:trPr>
        <w:tc>
          <w:tcPr>
            <w:tcW w:w="1700" w:type="dxa"/>
            <w:gridSpan w:val="3"/>
            <w:tcBorders>
              <w:top w:val="nil"/>
              <w:left w:val="single" w:sz="8" w:space="0" w:color="auto"/>
              <w:bottom w:val="single" w:sz="8" w:space="0" w:color="auto"/>
              <w:right w:val="single" w:sz="4" w:space="0" w:color="auto"/>
            </w:tcBorders>
            <w:shd w:val="clear" w:color="000000" w:fill="FFFFFF"/>
            <w:vAlign w:val="center"/>
          </w:tcPr>
          <w:p w:rsidR="008676F9" w:rsidRPr="008676F9" w:rsidRDefault="008676F9" w:rsidP="008676F9">
            <w:pPr>
              <w:jc w:val="center"/>
              <w:rPr>
                <w:rFonts w:ascii="Calibri" w:eastAsia="Calibri" w:hAnsi="Calibri"/>
                <w:b/>
                <w:bCs/>
                <w:sz w:val="18"/>
                <w:szCs w:val="18"/>
              </w:rPr>
            </w:pPr>
            <w:r w:rsidRPr="008676F9">
              <w:rPr>
                <w:rFonts w:ascii="Calibri" w:eastAsia="Calibri" w:hAnsi="Calibri"/>
                <w:b/>
                <w:bCs/>
                <w:sz w:val="18"/>
                <w:szCs w:val="18"/>
              </w:rPr>
              <w:t>Celkový počet poľnohospodárov  (východiskový rok)</w:t>
            </w:r>
          </w:p>
        </w:tc>
        <w:tc>
          <w:tcPr>
            <w:tcW w:w="1660" w:type="dxa"/>
            <w:gridSpan w:val="3"/>
            <w:tcBorders>
              <w:top w:val="nil"/>
              <w:left w:val="nil"/>
              <w:bottom w:val="single" w:sz="8" w:space="0" w:color="auto"/>
              <w:right w:val="single" w:sz="4" w:space="0" w:color="auto"/>
            </w:tcBorders>
            <w:shd w:val="clear" w:color="000000" w:fill="FFFFFF"/>
            <w:vAlign w:val="center"/>
          </w:tcPr>
          <w:p w:rsidR="008676F9" w:rsidRPr="008676F9" w:rsidRDefault="008676F9" w:rsidP="008676F9">
            <w:pPr>
              <w:jc w:val="center"/>
              <w:rPr>
                <w:rFonts w:ascii="Calibri" w:eastAsia="Calibri" w:hAnsi="Calibri"/>
                <w:b/>
                <w:bCs/>
                <w:sz w:val="18"/>
                <w:szCs w:val="18"/>
              </w:rPr>
            </w:pPr>
            <w:r w:rsidRPr="008676F9">
              <w:rPr>
                <w:rFonts w:ascii="Calibri" w:eastAsia="Calibri" w:hAnsi="Calibri"/>
                <w:b/>
                <w:bCs/>
                <w:sz w:val="18"/>
                <w:szCs w:val="18"/>
              </w:rPr>
              <w:t xml:space="preserve">                     24 460 </w:t>
            </w:r>
          </w:p>
        </w:tc>
        <w:tc>
          <w:tcPr>
            <w:tcW w:w="4613" w:type="dxa"/>
            <w:gridSpan w:val="6"/>
            <w:tcBorders>
              <w:top w:val="single" w:sz="4" w:space="0" w:color="auto"/>
              <w:left w:val="nil"/>
              <w:bottom w:val="single" w:sz="8" w:space="0" w:color="auto"/>
              <w:right w:val="single" w:sz="8" w:space="0" w:color="000000"/>
            </w:tcBorders>
            <w:shd w:val="clear" w:color="000000" w:fill="FFFFFF"/>
            <w:noWrap/>
            <w:vAlign w:val="center"/>
          </w:tcPr>
          <w:p w:rsidR="008676F9" w:rsidRPr="008676F9" w:rsidRDefault="008676F9" w:rsidP="008676F9">
            <w:pPr>
              <w:jc w:val="center"/>
              <w:rPr>
                <w:rFonts w:ascii="Calibri" w:eastAsia="Calibri" w:hAnsi="Calibri"/>
                <w:sz w:val="18"/>
                <w:szCs w:val="18"/>
              </w:rPr>
            </w:pPr>
            <w:r w:rsidRPr="008676F9">
              <w:rPr>
                <w:rFonts w:ascii="Calibri" w:eastAsia="Calibri" w:hAnsi="Calibri"/>
                <w:sz w:val="18"/>
                <w:szCs w:val="18"/>
              </w:rPr>
              <w:t> </w:t>
            </w:r>
          </w:p>
        </w:tc>
      </w:tr>
      <w:tr w:rsidR="008676F9" w:rsidRPr="008676F9" w:rsidTr="00564D41">
        <w:trPr>
          <w:trHeight w:val="188"/>
        </w:trPr>
        <w:tc>
          <w:tcPr>
            <w:tcW w:w="1700" w:type="dxa"/>
            <w:gridSpan w:val="3"/>
            <w:tcBorders>
              <w:top w:val="nil"/>
              <w:left w:val="nil"/>
              <w:bottom w:val="nil"/>
              <w:right w:val="nil"/>
            </w:tcBorders>
            <w:shd w:val="clear" w:color="000000" w:fill="FFFFFF"/>
            <w:vAlign w:val="center"/>
          </w:tcPr>
          <w:p w:rsidR="008676F9" w:rsidRPr="008676F9" w:rsidRDefault="008676F9" w:rsidP="008676F9">
            <w:pPr>
              <w:rPr>
                <w:rFonts w:ascii="Calibri" w:eastAsia="Calibri" w:hAnsi="Calibri"/>
                <w:sz w:val="20"/>
                <w:szCs w:val="20"/>
              </w:rPr>
            </w:pPr>
            <w:r w:rsidRPr="008676F9">
              <w:rPr>
                <w:rFonts w:ascii="Calibri" w:eastAsia="Calibri" w:hAnsi="Calibri"/>
                <w:sz w:val="20"/>
                <w:szCs w:val="20"/>
              </w:rPr>
              <w:t> </w:t>
            </w:r>
          </w:p>
        </w:tc>
        <w:tc>
          <w:tcPr>
            <w:tcW w:w="1660" w:type="dxa"/>
            <w:gridSpan w:val="3"/>
            <w:tcBorders>
              <w:top w:val="nil"/>
              <w:left w:val="nil"/>
              <w:bottom w:val="nil"/>
              <w:right w:val="nil"/>
            </w:tcBorders>
            <w:shd w:val="clear" w:color="000000" w:fill="FFFFFF"/>
            <w:vAlign w:val="center"/>
          </w:tcPr>
          <w:p w:rsidR="008676F9" w:rsidRPr="008676F9" w:rsidRDefault="008676F9" w:rsidP="008676F9">
            <w:pPr>
              <w:rPr>
                <w:rFonts w:ascii="Calibri" w:eastAsia="Calibri" w:hAnsi="Calibri"/>
                <w:sz w:val="20"/>
                <w:szCs w:val="20"/>
              </w:rPr>
            </w:pPr>
            <w:r w:rsidRPr="008676F9">
              <w:rPr>
                <w:rFonts w:ascii="Calibri" w:eastAsia="Calibri" w:hAnsi="Calibri"/>
                <w:sz w:val="20"/>
                <w:szCs w:val="20"/>
              </w:rPr>
              <w:t> </w:t>
            </w:r>
          </w:p>
        </w:tc>
        <w:tc>
          <w:tcPr>
            <w:tcW w:w="2700" w:type="dxa"/>
            <w:gridSpan w:val="3"/>
            <w:tcBorders>
              <w:top w:val="nil"/>
              <w:left w:val="nil"/>
              <w:bottom w:val="nil"/>
              <w:right w:val="nil"/>
            </w:tcBorders>
            <w:shd w:val="clear" w:color="000000" w:fill="FFFFFF"/>
            <w:vAlign w:val="center"/>
          </w:tcPr>
          <w:p w:rsidR="008676F9" w:rsidRPr="008676F9" w:rsidRDefault="008676F9" w:rsidP="008676F9">
            <w:pPr>
              <w:rPr>
                <w:rFonts w:ascii="Calibri" w:eastAsia="Calibri" w:hAnsi="Calibri"/>
                <w:sz w:val="20"/>
                <w:szCs w:val="20"/>
              </w:rPr>
            </w:pPr>
            <w:r w:rsidRPr="008676F9">
              <w:rPr>
                <w:rFonts w:ascii="Calibri" w:eastAsia="Calibri" w:hAnsi="Calibri"/>
                <w:sz w:val="20"/>
                <w:szCs w:val="20"/>
              </w:rPr>
              <w:t> </w:t>
            </w:r>
          </w:p>
        </w:tc>
        <w:tc>
          <w:tcPr>
            <w:tcW w:w="1913" w:type="dxa"/>
            <w:gridSpan w:val="3"/>
            <w:tcBorders>
              <w:top w:val="nil"/>
              <w:left w:val="nil"/>
              <w:bottom w:val="nil"/>
              <w:right w:val="nil"/>
            </w:tcBorders>
            <w:shd w:val="clear" w:color="000000" w:fill="FFFFFF"/>
            <w:vAlign w:val="center"/>
          </w:tcPr>
          <w:p w:rsidR="008676F9" w:rsidRPr="008676F9" w:rsidRDefault="008676F9" w:rsidP="008676F9">
            <w:pPr>
              <w:rPr>
                <w:rFonts w:ascii="Calibri" w:eastAsia="Calibri" w:hAnsi="Calibri"/>
                <w:sz w:val="20"/>
                <w:szCs w:val="20"/>
              </w:rPr>
            </w:pPr>
            <w:r w:rsidRPr="008676F9">
              <w:rPr>
                <w:rFonts w:ascii="Calibri" w:eastAsia="Calibri" w:hAnsi="Calibri"/>
                <w:sz w:val="20"/>
                <w:szCs w:val="20"/>
              </w:rPr>
              <w:t> </w:t>
            </w:r>
          </w:p>
        </w:tc>
      </w:tr>
      <w:tr w:rsidR="008676F9" w:rsidRPr="008676F9" w:rsidTr="00564D41">
        <w:trPr>
          <w:trHeight w:val="499"/>
        </w:trPr>
        <w:tc>
          <w:tcPr>
            <w:tcW w:w="7973" w:type="dxa"/>
            <w:gridSpan w:val="12"/>
            <w:tcBorders>
              <w:top w:val="single" w:sz="8" w:space="0" w:color="auto"/>
              <w:left w:val="single" w:sz="8" w:space="0" w:color="auto"/>
              <w:bottom w:val="nil"/>
              <w:right w:val="single" w:sz="8" w:space="0" w:color="000000"/>
            </w:tcBorders>
            <w:shd w:val="clear" w:color="000000" w:fill="FFFFFF"/>
            <w:noWrap/>
            <w:vAlign w:val="center"/>
          </w:tcPr>
          <w:p w:rsidR="008676F9" w:rsidRPr="008676F9" w:rsidRDefault="008676F9" w:rsidP="008676F9">
            <w:pPr>
              <w:jc w:val="center"/>
              <w:rPr>
                <w:rFonts w:ascii="Calibri" w:eastAsia="Calibri" w:hAnsi="Calibri"/>
                <w:b/>
                <w:bCs/>
                <w:sz w:val="20"/>
                <w:szCs w:val="20"/>
              </w:rPr>
            </w:pPr>
            <w:r w:rsidRPr="008676F9">
              <w:rPr>
                <w:rFonts w:ascii="Calibri" w:eastAsia="Calibri" w:hAnsi="Calibri"/>
                <w:b/>
                <w:bCs/>
                <w:sz w:val="20"/>
                <w:szCs w:val="20"/>
              </w:rPr>
              <w:t>plánovaný výstup 2014-2020</w:t>
            </w:r>
          </w:p>
        </w:tc>
      </w:tr>
      <w:tr w:rsidR="008676F9" w:rsidRPr="008676F9" w:rsidTr="00564D41">
        <w:trPr>
          <w:trHeight w:val="499"/>
        </w:trPr>
        <w:tc>
          <w:tcPr>
            <w:tcW w:w="1700" w:type="dxa"/>
            <w:gridSpan w:val="3"/>
            <w:tcBorders>
              <w:top w:val="single" w:sz="8" w:space="0" w:color="auto"/>
              <w:left w:val="single" w:sz="8" w:space="0" w:color="auto"/>
              <w:bottom w:val="nil"/>
              <w:right w:val="nil"/>
            </w:tcBorders>
            <w:shd w:val="clear" w:color="000000" w:fill="FFFFFF"/>
            <w:noWrap/>
            <w:vAlign w:val="center"/>
          </w:tcPr>
          <w:p w:rsidR="008676F9" w:rsidRPr="008676F9" w:rsidRDefault="008676F9" w:rsidP="008676F9">
            <w:pPr>
              <w:rPr>
                <w:rFonts w:ascii="Calibri" w:eastAsia="Calibri" w:hAnsi="Calibri"/>
                <w:b/>
                <w:bCs/>
                <w:sz w:val="20"/>
                <w:szCs w:val="20"/>
              </w:rPr>
            </w:pPr>
            <w:r w:rsidRPr="008676F9">
              <w:rPr>
                <w:rFonts w:ascii="Calibri" w:eastAsia="Calibri" w:hAnsi="Calibri"/>
                <w:b/>
                <w:bCs/>
                <w:sz w:val="20"/>
                <w:szCs w:val="20"/>
              </w:rPr>
              <w:t>Opatrenia</w:t>
            </w:r>
          </w:p>
        </w:tc>
        <w:tc>
          <w:tcPr>
            <w:tcW w:w="6273" w:type="dxa"/>
            <w:gridSpan w:val="9"/>
            <w:tcBorders>
              <w:top w:val="single" w:sz="8" w:space="0" w:color="auto"/>
              <w:left w:val="nil"/>
              <w:bottom w:val="single" w:sz="8" w:space="0" w:color="auto"/>
              <w:right w:val="single" w:sz="8" w:space="0" w:color="000000"/>
            </w:tcBorders>
            <w:shd w:val="clear" w:color="000000" w:fill="FFFFFF"/>
            <w:noWrap/>
            <w:vAlign w:val="center"/>
          </w:tcPr>
          <w:p w:rsidR="008676F9" w:rsidRPr="008676F9" w:rsidRDefault="008676F9" w:rsidP="008676F9">
            <w:pPr>
              <w:jc w:val="center"/>
              <w:rPr>
                <w:rFonts w:ascii="Calibri" w:eastAsia="Calibri" w:hAnsi="Calibri"/>
                <w:b/>
                <w:bCs/>
                <w:sz w:val="20"/>
                <w:szCs w:val="20"/>
              </w:rPr>
            </w:pPr>
            <w:r w:rsidRPr="008676F9">
              <w:rPr>
                <w:rFonts w:ascii="Calibri" w:eastAsia="Calibri" w:hAnsi="Calibri"/>
                <w:b/>
                <w:bCs/>
                <w:sz w:val="20"/>
                <w:szCs w:val="20"/>
              </w:rPr>
              <w:t> </w:t>
            </w:r>
          </w:p>
        </w:tc>
      </w:tr>
      <w:tr w:rsidR="008676F9" w:rsidRPr="008676F9" w:rsidTr="00564D41">
        <w:trPr>
          <w:trHeight w:val="499"/>
        </w:trPr>
        <w:tc>
          <w:tcPr>
            <w:tcW w:w="1700" w:type="dxa"/>
            <w:gridSpan w:val="3"/>
            <w:vMerge w:val="restart"/>
            <w:tcBorders>
              <w:top w:val="single" w:sz="8" w:space="0" w:color="auto"/>
              <w:left w:val="single" w:sz="8" w:space="0" w:color="auto"/>
              <w:bottom w:val="single" w:sz="4" w:space="0" w:color="000000"/>
              <w:right w:val="single" w:sz="4" w:space="0" w:color="auto"/>
            </w:tcBorders>
            <w:shd w:val="clear" w:color="000000" w:fill="FFFFFF"/>
            <w:vAlign w:val="center"/>
          </w:tcPr>
          <w:p w:rsidR="008676F9" w:rsidRPr="008676F9" w:rsidRDefault="008676F9" w:rsidP="008676F9">
            <w:pPr>
              <w:jc w:val="center"/>
              <w:rPr>
                <w:rFonts w:ascii="Calibri" w:eastAsia="Calibri" w:hAnsi="Calibri"/>
                <w:b/>
                <w:bCs/>
                <w:sz w:val="16"/>
                <w:szCs w:val="16"/>
              </w:rPr>
            </w:pPr>
            <w:r w:rsidRPr="008676F9">
              <w:rPr>
                <w:rFonts w:ascii="Calibri" w:eastAsia="Calibri" w:hAnsi="Calibri"/>
                <w:b/>
                <w:bCs/>
                <w:sz w:val="16"/>
                <w:szCs w:val="16"/>
              </w:rPr>
              <w:t>4  (17)</w:t>
            </w:r>
          </w:p>
        </w:tc>
        <w:tc>
          <w:tcPr>
            <w:tcW w:w="4360" w:type="dxa"/>
            <w:gridSpan w:val="6"/>
            <w:tcBorders>
              <w:top w:val="single" w:sz="8" w:space="0" w:color="auto"/>
              <w:left w:val="nil"/>
              <w:bottom w:val="single" w:sz="4" w:space="0" w:color="auto"/>
              <w:right w:val="single" w:sz="4" w:space="0" w:color="auto"/>
            </w:tcBorders>
            <w:shd w:val="clear" w:color="000000" w:fill="FFFFFF"/>
            <w:vAlign w:val="center"/>
          </w:tcPr>
          <w:p w:rsidR="008676F9" w:rsidRPr="008676F9" w:rsidRDefault="008676F9" w:rsidP="008676F9">
            <w:pPr>
              <w:rPr>
                <w:rFonts w:ascii="Calibri" w:eastAsia="Calibri" w:hAnsi="Calibri"/>
                <w:sz w:val="16"/>
                <w:szCs w:val="16"/>
              </w:rPr>
            </w:pPr>
            <w:r w:rsidRPr="008676F9">
              <w:rPr>
                <w:rFonts w:ascii="Calibri" w:eastAsia="Calibri" w:hAnsi="Calibri"/>
                <w:sz w:val="16"/>
                <w:szCs w:val="16"/>
              </w:rPr>
              <w:t>Počet podporených podnikov s investíciami v poľnohospodárskych podnikoch (4.1)</w:t>
            </w:r>
          </w:p>
        </w:tc>
        <w:tc>
          <w:tcPr>
            <w:tcW w:w="1913" w:type="dxa"/>
            <w:gridSpan w:val="3"/>
            <w:tcBorders>
              <w:top w:val="nil"/>
              <w:left w:val="nil"/>
              <w:bottom w:val="single" w:sz="4" w:space="0" w:color="auto"/>
              <w:right w:val="single" w:sz="8" w:space="0" w:color="auto"/>
            </w:tcBorders>
            <w:shd w:val="clear" w:color="000000" w:fill="FFFFFF"/>
            <w:noWrap/>
            <w:vAlign w:val="center"/>
          </w:tcPr>
          <w:p w:rsidR="008676F9" w:rsidRPr="008676F9" w:rsidRDefault="008676F9" w:rsidP="008676F9">
            <w:pPr>
              <w:jc w:val="right"/>
              <w:rPr>
                <w:rFonts w:ascii="Calibri" w:eastAsia="Calibri" w:hAnsi="Calibri"/>
                <w:sz w:val="20"/>
                <w:szCs w:val="20"/>
              </w:rPr>
            </w:pPr>
            <w:r w:rsidRPr="008676F9">
              <w:rPr>
                <w:rFonts w:ascii="Calibri" w:eastAsia="Calibri" w:hAnsi="Calibri"/>
                <w:sz w:val="20"/>
                <w:szCs w:val="20"/>
              </w:rPr>
              <w:t xml:space="preserve">                    420 </w:t>
            </w:r>
          </w:p>
        </w:tc>
      </w:tr>
      <w:tr w:rsidR="008676F9" w:rsidRPr="008676F9" w:rsidTr="00564D41">
        <w:trPr>
          <w:trHeight w:val="499"/>
        </w:trPr>
        <w:tc>
          <w:tcPr>
            <w:tcW w:w="1700" w:type="dxa"/>
            <w:gridSpan w:val="3"/>
            <w:vMerge/>
            <w:tcBorders>
              <w:top w:val="single" w:sz="8" w:space="0" w:color="auto"/>
              <w:left w:val="single" w:sz="8" w:space="0" w:color="auto"/>
              <w:bottom w:val="single" w:sz="4" w:space="0" w:color="000000"/>
              <w:right w:val="single" w:sz="4" w:space="0" w:color="auto"/>
            </w:tcBorders>
            <w:vAlign w:val="center"/>
          </w:tcPr>
          <w:p w:rsidR="008676F9" w:rsidRPr="008676F9" w:rsidRDefault="008676F9" w:rsidP="008676F9">
            <w:pPr>
              <w:rPr>
                <w:rFonts w:ascii="Calibri" w:eastAsia="Calibri" w:hAnsi="Calibri"/>
                <w:b/>
                <w:bCs/>
                <w:sz w:val="16"/>
                <w:szCs w:val="16"/>
              </w:rPr>
            </w:pPr>
          </w:p>
        </w:tc>
        <w:tc>
          <w:tcPr>
            <w:tcW w:w="4360" w:type="dxa"/>
            <w:gridSpan w:val="6"/>
            <w:tcBorders>
              <w:top w:val="single" w:sz="4" w:space="0" w:color="auto"/>
              <w:left w:val="nil"/>
              <w:bottom w:val="single" w:sz="4" w:space="0" w:color="auto"/>
              <w:right w:val="single" w:sz="4" w:space="0" w:color="000000"/>
            </w:tcBorders>
            <w:shd w:val="clear" w:color="000000" w:fill="FFFFFF"/>
            <w:vAlign w:val="center"/>
          </w:tcPr>
          <w:p w:rsidR="008676F9" w:rsidRPr="008676F9" w:rsidRDefault="008676F9" w:rsidP="008676F9">
            <w:pPr>
              <w:rPr>
                <w:rFonts w:ascii="Calibri" w:eastAsia="Calibri" w:hAnsi="Calibri"/>
                <w:sz w:val="16"/>
                <w:szCs w:val="16"/>
              </w:rPr>
            </w:pPr>
            <w:r w:rsidRPr="008676F9">
              <w:rPr>
                <w:rFonts w:ascii="Calibri" w:eastAsia="Calibri" w:hAnsi="Calibri"/>
                <w:sz w:val="16"/>
                <w:szCs w:val="16"/>
              </w:rPr>
              <w:t>Celkové verejné výdavky pre investície do infraštruktúry (4.3) - projekty pozemkových úprav</w:t>
            </w:r>
          </w:p>
        </w:tc>
        <w:tc>
          <w:tcPr>
            <w:tcW w:w="1913" w:type="dxa"/>
            <w:gridSpan w:val="3"/>
            <w:tcBorders>
              <w:top w:val="nil"/>
              <w:left w:val="nil"/>
              <w:bottom w:val="single" w:sz="4" w:space="0" w:color="auto"/>
              <w:right w:val="single" w:sz="8" w:space="0" w:color="auto"/>
            </w:tcBorders>
            <w:shd w:val="clear" w:color="000000" w:fill="FFFFFF"/>
            <w:noWrap/>
            <w:vAlign w:val="center"/>
          </w:tcPr>
          <w:p w:rsidR="008676F9" w:rsidRPr="008676F9" w:rsidRDefault="008676F9" w:rsidP="008676F9">
            <w:pPr>
              <w:jc w:val="right"/>
              <w:rPr>
                <w:rFonts w:ascii="Calibri" w:eastAsia="Calibri" w:hAnsi="Calibri"/>
                <w:sz w:val="20"/>
                <w:szCs w:val="20"/>
              </w:rPr>
            </w:pPr>
            <w:r w:rsidRPr="008676F9">
              <w:rPr>
                <w:rFonts w:ascii="Calibri" w:eastAsia="Calibri" w:hAnsi="Calibri"/>
                <w:sz w:val="20"/>
                <w:szCs w:val="20"/>
              </w:rPr>
              <w:t xml:space="preserve">    55 000 000,00 </w:t>
            </w:r>
          </w:p>
        </w:tc>
      </w:tr>
      <w:tr w:rsidR="008676F9" w:rsidRPr="008676F9" w:rsidTr="00564D41">
        <w:trPr>
          <w:trHeight w:val="499"/>
        </w:trPr>
        <w:tc>
          <w:tcPr>
            <w:tcW w:w="1700" w:type="dxa"/>
            <w:gridSpan w:val="3"/>
            <w:vMerge/>
            <w:tcBorders>
              <w:top w:val="single" w:sz="8" w:space="0" w:color="auto"/>
              <w:left w:val="single" w:sz="8" w:space="0" w:color="auto"/>
              <w:bottom w:val="single" w:sz="4" w:space="0" w:color="000000"/>
              <w:right w:val="single" w:sz="4" w:space="0" w:color="auto"/>
            </w:tcBorders>
            <w:vAlign w:val="center"/>
          </w:tcPr>
          <w:p w:rsidR="008676F9" w:rsidRPr="008676F9" w:rsidRDefault="008676F9" w:rsidP="008676F9">
            <w:pPr>
              <w:rPr>
                <w:rFonts w:ascii="Calibri" w:eastAsia="Calibri" w:hAnsi="Calibri"/>
                <w:b/>
                <w:bCs/>
                <w:sz w:val="16"/>
                <w:szCs w:val="16"/>
              </w:rPr>
            </w:pPr>
          </w:p>
        </w:tc>
        <w:tc>
          <w:tcPr>
            <w:tcW w:w="4360" w:type="dxa"/>
            <w:gridSpan w:val="6"/>
            <w:tcBorders>
              <w:top w:val="single" w:sz="4" w:space="0" w:color="auto"/>
              <w:left w:val="nil"/>
              <w:bottom w:val="single" w:sz="4" w:space="0" w:color="auto"/>
              <w:right w:val="single" w:sz="4" w:space="0" w:color="000000"/>
            </w:tcBorders>
            <w:shd w:val="clear" w:color="000000" w:fill="FFFFFF"/>
            <w:vAlign w:val="center"/>
          </w:tcPr>
          <w:p w:rsidR="008676F9" w:rsidRPr="008676F9" w:rsidRDefault="008676F9" w:rsidP="008676F9">
            <w:pPr>
              <w:rPr>
                <w:rFonts w:ascii="Calibri" w:eastAsia="Calibri" w:hAnsi="Calibri"/>
                <w:sz w:val="16"/>
                <w:szCs w:val="16"/>
              </w:rPr>
            </w:pPr>
            <w:r w:rsidRPr="008676F9">
              <w:rPr>
                <w:rFonts w:ascii="Calibri" w:eastAsia="Calibri" w:hAnsi="Calibri"/>
                <w:sz w:val="16"/>
                <w:szCs w:val="16"/>
              </w:rPr>
              <w:t>Počet zapísaných projektov pozemkových úprav do katastra nehnuteľností</w:t>
            </w:r>
          </w:p>
        </w:tc>
        <w:tc>
          <w:tcPr>
            <w:tcW w:w="1913" w:type="dxa"/>
            <w:gridSpan w:val="3"/>
            <w:tcBorders>
              <w:top w:val="nil"/>
              <w:left w:val="nil"/>
              <w:bottom w:val="single" w:sz="4" w:space="0" w:color="auto"/>
              <w:right w:val="single" w:sz="8" w:space="0" w:color="auto"/>
            </w:tcBorders>
            <w:shd w:val="clear" w:color="000000" w:fill="FFFFFF"/>
            <w:noWrap/>
            <w:vAlign w:val="center"/>
          </w:tcPr>
          <w:p w:rsidR="008676F9" w:rsidRPr="008676F9" w:rsidRDefault="008676F9" w:rsidP="008676F9">
            <w:pPr>
              <w:jc w:val="right"/>
              <w:rPr>
                <w:rFonts w:ascii="Calibri" w:eastAsia="Calibri" w:hAnsi="Calibri"/>
                <w:sz w:val="20"/>
                <w:szCs w:val="20"/>
              </w:rPr>
            </w:pPr>
            <w:r w:rsidRPr="008676F9">
              <w:rPr>
                <w:rFonts w:ascii="Calibri" w:eastAsia="Calibri" w:hAnsi="Calibri"/>
                <w:sz w:val="20"/>
                <w:szCs w:val="20"/>
              </w:rPr>
              <w:t xml:space="preserve">                    179 </w:t>
            </w:r>
          </w:p>
        </w:tc>
      </w:tr>
      <w:tr w:rsidR="008676F9" w:rsidRPr="008676F9" w:rsidTr="00564D41">
        <w:trPr>
          <w:trHeight w:val="705"/>
        </w:trPr>
        <w:tc>
          <w:tcPr>
            <w:tcW w:w="1700" w:type="dxa"/>
            <w:gridSpan w:val="3"/>
            <w:vMerge/>
            <w:tcBorders>
              <w:top w:val="single" w:sz="8" w:space="0" w:color="auto"/>
              <w:left w:val="single" w:sz="8" w:space="0" w:color="auto"/>
              <w:bottom w:val="single" w:sz="4" w:space="0" w:color="000000"/>
              <w:right w:val="single" w:sz="4" w:space="0" w:color="auto"/>
            </w:tcBorders>
            <w:vAlign w:val="center"/>
          </w:tcPr>
          <w:p w:rsidR="008676F9" w:rsidRPr="008676F9" w:rsidRDefault="008676F9" w:rsidP="008676F9">
            <w:pPr>
              <w:rPr>
                <w:rFonts w:ascii="Calibri" w:eastAsia="Calibri" w:hAnsi="Calibri"/>
                <w:b/>
                <w:bCs/>
                <w:sz w:val="16"/>
                <w:szCs w:val="16"/>
              </w:rPr>
            </w:pPr>
          </w:p>
        </w:tc>
        <w:tc>
          <w:tcPr>
            <w:tcW w:w="4360" w:type="dxa"/>
            <w:gridSpan w:val="6"/>
            <w:tcBorders>
              <w:top w:val="single" w:sz="4" w:space="0" w:color="auto"/>
              <w:left w:val="nil"/>
              <w:bottom w:val="single" w:sz="4" w:space="0" w:color="auto"/>
              <w:right w:val="single" w:sz="4" w:space="0" w:color="000000"/>
            </w:tcBorders>
            <w:shd w:val="clear" w:color="000000" w:fill="FFFFFF"/>
            <w:vAlign w:val="center"/>
          </w:tcPr>
          <w:p w:rsidR="008676F9" w:rsidRPr="008676F9" w:rsidRDefault="008676F9" w:rsidP="008676F9">
            <w:pPr>
              <w:rPr>
                <w:rFonts w:ascii="Calibri" w:eastAsia="Calibri" w:hAnsi="Calibri"/>
                <w:sz w:val="16"/>
                <w:szCs w:val="16"/>
              </w:rPr>
            </w:pPr>
            <w:r w:rsidRPr="008676F9">
              <w:rPr>
                <w:rFonts w:ascii="Calibri" w:eastAsia="Calibri" w:hAnsi="Calibri"/>
                <w:sz w:val="16"/>
                <w:szCs w:val="16"/>
              </w:rPr>
              <w:t>Percentuálne zníženie fragmentácie vlastníctva poľnohospodárskej a lesnej pôdy v projektoch pozemkových úprav</w:t>
            </w:r>
          </w:p>
        </w:tc>
        <w:tc>
          <w:tcPr>
            <w:tcW w:w="1913" w:type="dxa"/>
            <w:gridSpan w:val="3"/>
            <w:tcBorders>
              <w:top w:val="nil"/>
              <w:left w:val="nil"/>
              <w:bottom w:val="single" w:sz="4" w:space="0" w:color="auto"/>
              <w:right w:val="single" w:sz="8" w:space="0" w:color="auto"/>
            </w:tcBorders>
            <w:shd w:val="clear" w:color="000000" w:fill="FFFFFF"/>
            <w:noWrap/>
            <w:vAlign w:val="center"/>
          </w:tcPr>
          <w:p w:rsidR="008676F9" w:rsidRPr="008676F9" w:rsidRDefault="008676F9" w:rsidP="008676F9">
            <w:pPr>
              <w:jc w:val="right"/>
              <w:rPr>
                <w:rFonts w:ascii="Calibri" w:eastAsia="Calibri" w:hAnsi="Calibri"/>
                <w:sz w:val="20"/>
                <w:szCs w:val="20"/>
              </w:rPr>
            </w:pPr>
            <w:r w:rsidRPr="008676F9">
              <w:rPr>
                <w:rFonts w:ascii="Calibri" w:eastAsia="Calibri" w:hAnsi="Calibri"/>
                <w:sz w:val="20"/>
                <w:szCs w:val="20"/>
              </w:rPr>
              <w:t>50%</w:t>
            </w:r>
          </w:p>
        </w:tc>
      </w:tr>
      <w:tr w:rsidR="008676F9" w:rsidRPr="008676F9" w:rsidTr="00564D41">
        <w:trPr>
          <w:trHeight w:val="364"/>
        </w:trPr>
        <w:tc>
          <w:tcPr>
            <w:tcW w:w="1700" w:type="dxa"/>
            <w:gridSpan w:val="3"/>
            <w:vMerge/>
            <w:tcBorders>
              <w:top w:val="single" w:sz="8" w:space="0" w:color="auto"/>
              <w:left w:val="single" w:sz="8" w:space="0" w:color="auto"/>
              <w:bottom w:val="single" w:sz="4" w:space="0" w:color="000000"/>
              <w:right w:val="single" w:sz="4" w:space="0" w:color="auto"/>
            </w:tcBorders>
            <w:vAlign w:val="center"/>
          </w:tcPr>
          <w:p w:rsidR="008676F9" w:rsidRPr="008676F9" w:rsidRDefault="008676F9" w:rsidP="008676F9">
            <w:pPr>
              <w:rPr>
                <w:rFonts w:ascii="Calibri" w:eastAsia="Calibri" w:hAnsi="Calibri"/>
                <w:b/>
                <w:bCs/>
                <w:sz w:val="16"/>
                <w:szCs w:val="16"/>
              </w:rPr>
            </w:pPr>
          </w:p>
        </w:tc>
        <w:tc>
          <w:tcPr>
            <w:tcW w:w="4360" w:type="dxa"/>
            <w:gridSpan w:val="6"/>
            <w:tcBorders>
              <w:top w:val="single" w:sz="4" w:space="0" w:color="auto"/>
              <w:left w:val="nil"/>
              <w:bottom w:val="single" w:sz="4" w:space="0" w:color="auto"/>
              <w:right w:val="single" w:sz="4" w:space="0" w:color="000000"/>
            </w:tcBorders>
            <w:shd w:val="clear" w:color="000000" w:fill="FFFFFF"/>
            <w:vAlign w:val="center"/>
          </w:tcPr>
          <w:p w:rsidR="008676F9" w:rsidRPr="008676F9" w:rsidRDefault="008676F9" w:rsidP="008676F9">
            <w:pPr>
              <w:rPr>
                <w:rFonts w:ascii="Calibri" w:eastAsia="Calibri" w:hAnsi="Calibri"/>
                <w:sz w:val="16"/>
                <w:szCs w:val="16"/>
              </w:rPr>
            </w:pPr>
            <w:r w:rsidRPr="008676F9">
              <w:rPr>
                <w:rFonts w:ascii="Calibri" w:eastAsia="Calibri" w:hAnsi="Calibri"/>
                <w:sz w:val="16"/>
                <w:szCs w:val="16"/>
              </w:rPr>
              <w:t>Celkové investície € (verejné + súkromné )</w:t>
            </w:r>
          </w:p>
        </w:tc>
        <w:tc>
          <w:tcPr>
            <w:tcW w:w="1913" w:type="dxa"/>
            <w:gridSpan w:val="3"/>
            <w:tcBorders>
              <w:top w:val="nil"/>
              <w:left w:val="nil"/>
              <w:bottom w:val="single" w:sz="4" w:space="0" w:color="auto"/>
              <w:right w:val="single" w:sz="8" w:space="0" w:color="auto"/>
            </w:tcBorders>
            <w:shd w:val="clear" w:color="000000" w:fill="FFFFFF"/>
            <w:noWrap/>
            <w:vAlign w:val="center"/>
          </w:tcPr>
          <w:p w:rsidR="008676F9" w:rsidRPr="008676F9" w:rsidRDefault="008676F9" w:rsidP="008676F9">
            <w:pPr>
              <w:jc w:val="right"/>
              <w:rPr>
                <w:rFonts w:ascii="Calibri" w:eastAsia="Calibri" w:hAnsi="Calibri"/>
                <w:sz w:val="20"/>
                <w:szCs w:val="20"/>
              </w:rPr>
            </w:pPr>
            <w:r w:rsidRPr="008676F9">
              <w:rPr>
                <w:rFonts w:ascii="Calibri" w:eastAsia="Calibri" w:hAnsi="Calibri"/>
                <w:sz w:val="20"/>
                <w:szCs w:val="20"/>
              </w:rPr>
              <w:t xml:space="preserve">   389 000 000,00 </w:t>
            </w:r>
          </w:p>
        </w:tc>
      </w:tr>
      <w:tr w:rsidR="008676F9" w:rsidRPr="008676F9" w:rsidTr="00564D41">
        <w:trPr>
          <w:trHeight w:val="414"/>
        </w:trPr>
        <w:tc>
          <w:tcPr>
            <w:tcW w:w="1700" w:type="dxa"/>
            <w:gridSpan w:val="3"/>
            <w:vMerge/>
            <w:tcBorders>
              <w:top w:val="single" w:sz="8" w:space="0" w:color="auto"/>
              <w:left w:val="single" w:sz="8" w:space="0" w:color="auto"/>
              <w:bottom w:val="single" w:sz="4" w:space="0" w:color="000000"/>
              <w:right w:val="single" w:sz="4" w:space="0" w:color="auto"/>
            </w:tcBorders>
            <w:vAlign w:val="center"/>
          </w:tcPr>
          <w:p w:rsidR="008676F9" w:rsidRPr="008676F9" w:rsidRDefault="008676F9" w:rsidP="008676F9">
            <w:pPr>
              <w:rPr>
                <w:rFonts w:ascii="Calibri" w:eastAsia="Calibri" w:hAnsi="Calibri"/>
                <w:b/>
                <w:bCs/>
                <w:sz w:val="16"/>
                <w:szCs w:val="16"/>
              </w:rPr>
            </w:pPr>
          </w:p>
        </w:tc>
        <w:tc>
          <w:tcPr>
            <w:tcW w:w="4360" w:type="dxa"/>
            <w:gridSpan w:val="6"/>
            <w:tcBorders>
              <w:top w:val="single" w:sz="4" w:space="0" w:color="auto"/>
              <w:left w:val="nil"/>
              <w:bottom w:val="single" w:sz="4" w:space="0" w:color="auto"/>
              <w:right w:val="single" w:sz="4" w:space="0" w:color="auto"/>
            </w:tcBorders>
            <w:shd w:val="clear" w:color="000000" w:fill="FFFFFF"/>
            <w:vAlign w:val="center"/>
          </w:tcPr>
          <w:p w:rsidR="008676F9" w:rsidRPr="008676F9" w:rsidRDefault="008676F9" w:rsidP="008676F9">
            <w:pPr>
              <w:rPr>
                <w:rFonts w:ascii="Calibri" w:eastAsia="Calibri" w:hAnsi="Calibri"/>
                <w:sz w:val="16"/>
                <w:szCs w:val="16"/>
              </w:rPr>
            </w:pPr>
            <w:r w:rsidRPr="008676F9">
              <w:rPr>
                <w:rFonts w:ascii="Calibri" w:eastAsia="Calibri" w:hAnsi="Calibri"/>
                <w:sz w:val="16"/>
                <w:szCs w:val="16"/>
              </w:rPr>
              <w:t>Celkové verejné  výdavky € (4.1, 4.3)</w:t>
            </w:r>
          </w:p>
        </w:tc>
        <w:tc>
          <w:tcPr>
            <w:tcW w:w="1913" w:type="dxa"/>
            <w:gridSpan w:val="3"/>
            <w:tcBorders>
              <w:top w:val="nil"/>
              <w:left w:val="nil"/>
              <w:bottom w:val="single" w:sz="4" w:space="0" w:color="auto"/>
              <w:right w:val="single" w:sz="8" w:space="0" w:color="auto"/>
            </w:tcBorders>
            <w:shd w:val="clear" w:color="000000" w:fill="FFFFFF"/>
            <w:noWrap/>
            <w:vAlign w:val="center"/>
          </w:tcPr>
          <w:p w:rsidR="008676F9" w:rsidRPr="008676F9" w:rsidRDefault="008676F9" w:rsidP="008676F9">
            <w:pPr>
              <w:jc w:val="right"/>
              <w:rPr>
                <w:rFonts w:ascii="Calibri" w:eastAsia="Calibri" w:hAnsi="Calibri"/>
                <w:sz w:val="20"/>
                <w:szCs w:val="20"/>
              </w:rPr>
            </w:pPr>
            <w:r w:rsidRPr="008676F9">
              <w:rPr>
                <w:rFonts w:ascii="Calibri" w:eastAsia="Calibri" w:hAnsi="Calibri"/>
                <w:sz w:val="20"/>
                <w:szCs w:val="20"/>
              </w:rPr>
              <w:t xml:space="preserve">   222 000 000,00</w:t>
            </w:r>
          </w:p>
        </w:tc>
      </w:tr>
      <w:tr w:rsidR="008676F9" w:rsidRPr="008676F9" w:rsidTr="00564D41">
        <w:trPr>
          <w:trHeight w:val="705"/>
        </w:trPr>
        <w:tc>
          <w:tcPr>
            <w:tcW w:w="1700" w:type="dxa"/>
            <w:gridSpan w:val="3"/>
            <w:vMerge w:val="restart"/>
            <w:tcBorders>
              <w:top w:val="nil"/>
              <w:left w:val="single" w:sz="8" w:space="0" w:color="auto"/>
              <w:bottom w:val="single" w:sz="4" w:space="0" w:color="000000"/>
              <w:right w:val="single" w:sz="4" w:space="0" w:color="auto"/>
            </w:tcBorders>
            <w:shd w:val="clear" w:color="000000" w:fill="FFFFFF"/>
            <w:vAlign w:val="center"/>
          </w:tcPr>
          <w:p w:rsidR="008676F9" w:rsidRPr="008676F9" w:rsidRDefault="008676F9" w:rsidP="008676F9">
            <w:pPr>
              <w:jc w:val="center"/>
              <w:rPr>
                <w:rFonts w:ascii="Calibri" w:eastAsia="Calibri" w:hAnsi="Calibri"/>
                <w:b/>
                <w:bCs/>
                <w:sz w:val="16"/>
                <w:szCs w:val="16"/>
              </w:rPr>
            </w:pPr>
            <w:r w:rsidRPr="008676F9">
              <w:rPr>
                <w:rFonts w:ascii="Calibri" w:eastAsia="Calibri" w:hAnsi="Calibri"/>
                <w:b/>
                <w:bCs/>
                <w:sz w:val="16"/>
                <w:szCs w:val="16"/>
              </w:rPr>
              <w:t>6 (19)</w:t>
            </w:r>
          </w:p>
        </w:tc>
        <w:tc>
          <w:tcPr>
            <w:tcW w:w="4360" w:type="dxa"/>
            <w:gridSpan w:val="6"/>
            <w:tcBorders>
              <w:top w:val="single" w:sz="4" w:space="0" w:color="auto"/>
              <w:left w:val="nil"/>
              <w:bottom w:val="single" w:sz="4" w:space="0" w:color="auto"/>
              <w:right w:val="single" w:sz="4" w:space="0" w:color="auto"/>
            </w:tcBorders>
            <w:shd w:val="clear" w:color="000000" w:fill="FFFFFF"/>
            <w:vAlign w:val="center"/>
          </w:tcPr>
          <w:p w:rsidR="008676F9" w:rsidRPr="008676F9" w:rsidRDefault="008676F9" w:rsidP="008676F9">
            <w:pPr>
              <w:rPr>
                <w:rFonts w:ascii="Calibri" w:eastAsia="Calibri" w:hAnsi="Calibri"/>
                <w:sz w:val="16"/>
                <w:szCs w:val="16"/>
              </w:rPr>
            </w:pPr>
            <w:r w:rsidRPr="008676F9">
              <w:rPr>
                <w:rFonts w:ascii="Calibri" w:eastAsia="Calibri" w:hAnsi="Calibri"/>
                <w:sz w:val="16"/>
                <w:szCs w:val="16"/>
              </w:rPr>
              <w:t>Počet prijímateľov, ktorí prijali pomoc na začatie podnikateľskej činnosti pre rozvoj malých poľnohospodárskych podnikov (6.3)</w:t>
            </w:r>
          </w:p>
        </w:tc>
        <w:tc>
          <w:tcPr>
            <w:tcW w:w="1913" w:type="dxa"/>
            <w:gridSpan w:val="3"/>
            <w:tcBorders>
              <w:top w:val="nil"/>
              <w:left w:val="nil"/>
              <w:bottom w:val="single" w:sz="4" w:space="0" w:color="auto"/>
              <w:right w:val="single" w:sz="8" w:space="0" w:color="auto"/>
            </w:tcBorders>
            <w:shd w:val="clear" w:color="000000" w:fill="FFFFFF"/>
            <w:noWrap/>
            <w:vAlign w:val="center"/>
          </w:tcPr>
          <w:p w:rsidR="008676F9" w:rsidRPr="008676F9" w:rsidRDefault="008676F9" w:rsidP="008676F9">
            <w:pPr>
              <w:jc w:val="right"/>
              <w:rPr>
                <w:rFonts w:ascii="Calibri" w:eastAsia="Calibri" w:hAnsi="Calibri"/>
                <w:sz w:val="20"/>
                <w:szCs w:val="20"/>
              </w:rPr>
            </w:pPr>
            <w:r w:rsidRPr="008676F9">
              <w:rPr>
                <w:rFonts w:ascii="Calibri" w:eastAsia="Calibri" w:hAnsi="Calibri"/>
                <w:sz w:val="20"/>
                <w:szCs w:val="20"/>
              </w:rPr>
              <w:t xml:space="preserve">                    100 </w:t>
            </w:r>
          </w:p>
        </w:tc>
      </w:tr>
      <w:tr w:rsidR="008676F9" w:rsidRPr="008676F9" w:rsidTr="00564D41">
        <w:trPr>
          <w:trHeight w:val="499"/>
        </w:trPr>
        <w:tc>
          <w:tcPr>
            <w:tcW w:w="1700" w:type="dxa"/>
            <w:gridSpan w:val="3"/>
            <w:vMerge/>
            <w:tcBorders>
              <w:top w:val="nil"/>
              <w:left w:val="single" w:sz="8" w:space="0" w:color="auto"/>
              <w:bottom w:val="single" w:sz="4" w:space="0" w:color="000000"/>
              <w:right w:val="single" w:sz="4" w:space="0" w:color="auto"/>
            </w:tcBorders>
            <w:vAlign w:val="center"/>
          </w:tcPr>
          <w:p w:rsidR="008676F9" w:rsidRPr="008676F9" w:rsidRDefault="008676F9" w:rsidP="008676F9">
            <w:pPr>
              <w:rPr>
                <w:rFonts w:ascii="Calibri" w:eastAsia="Calibri" w:hAnsi="Calibri"/>
                <w:b/>
                <w:bCs/>
                <w:sz w:val="16"/>
                <w:szCs w:val="16"/>
              </w:rPr>
            </w:pPr>
          </w:p>
        </w:tc>
        <w:tc>
          <w:tcPr>
            <w:tcW w:w="4360" w:type="dxa"/>
            <w:gridSpan w:val="6"/>
            <w:tcBorders>
              <w:top w:val="single" w:sz="4" w:space="0" w:color="auto"/>
              <w:left w:val="nil"/>
              <w:bottom w:val="single" w:sz="4" w:space="0" w:color="auto"/>
              <w:right w:val="single" w:sz="4" w:space="0" w:color="000000"/>
            </w:tcBorders>
            <w:shd w:val="clear" w:color="000000" w:fill="FFFFFF"/>
            <w:vAlign w:val="center"/>
          </w:tcPr>
          <w:p w:rsidR="008676F9" w:rsidRPr="008676F9" w:rsidRDefault="008676F9" w:rsidP="008676F9">
            <w:pPr>
              <w:rPr>
                <w:rFonts w:ascii="Calibri" w:eastAsia="Calibri" w:hAnsi="Calibri"/>
                <w:sz w:val="16"/>
                <w:szCs w:val="16"/>
              </w:rPr>
            </w:pPr>
            <w:r w:rsidRPr="008676F9">
              <w:rPr>
                <w:rFonts w:ascii="Calibri" w:eastAsia="Calibri" w:hAnsi="Calibri"/>
                <w:sz w:val="16"/>
                <w:szCs w:val="16"/>
              </w:rPr>
              <w:t>Celkové investície € (verejné + súkromné)</w:t>
            </w:r>
          </w:p>
        </w:tc>
        <w:tc>
          <w:tcPr>
            <w:tcW w:w="1913" w:type="dxa"/>
            <w:gridSpan w:val="3"/>
            <w:tcBorders>
              <w:top w:val="nil"/>
              <w:left w:val="nil"/>
              <w:bottom w:val="single" w:sz="4" w:space="0" w:color="auto"/>
              <w:right w:val="single" w:sz="8" w:space="0" w:color="auto"/>
            </w:tcBorders>
            <w:shd w:val="clear" w:color="000000" w:fill="FFFFFF"/>
            <w:noWrap/>
            <w:vAlign w:val="center"/>
          </w:tcPr>
          <w:p w:rsidR="008676F9" w:rsidRPr="008676F9" w:rsidRDefault="008676F9" w:rsidP="008676F9">
            <w:pPr>
              <w:jc w:val="right"/>
              <w:rPr>
                <w:rFonts w:ascii="Calibri" w:eastAsia="Calibri" w:hAnsi="Calibri"/>
                <w:sz w:val="20"/>
                <w:szCs w:val="20"/>
              </w:rPr>
            </w:pPr>
            <w:r w:rsidRPr="008676F9">
              <w:rPr>
                <w:rFonts w:ascii="Calibri" w:eastAsia="Calibri" w:hAnsi="Calibri"/>
                <w:sz w:val="20"/>
                <w:szCs w:val="20"/>
              </w:rPr>
              <w:t xml:space="preserve">      1 550 000,00 </w:t>
            </w:r>
          </w:p>
        </w:tc>
      </w:tr>
      <w:tr w:rsidR="008676F9" w:rsidRPr="008676F9" w:rsidTr="00564D41">
        <w:trPr>
          <w:trHeight w:val="392"/>
        </w:trPr>
        <w:tc>
          <w:tcPr>
            <w:tcW w:w="1700" w:type="dxa"/>
            <w:gridSpan w:val="3"/>
            <w:vMerge/>
            <w:tcBorders>
              <w:top w:val="nil"/>
              <w:left w:val="single" w:sz="8" w:space="0" w:color="auto"/>
              <w:bottom w:val="single" w:sz="4" w:space="0" w:color="000000"/>
              <w:right w:val="single" w:sz="4" w:space="0" w:color="auto"/>
            </w:tcBorders>
            <w:vAlign w:val="center"/>
          </w:tcPr>
          <w:p w:rsidR="008676F9" w:rsidRPr="008676F9" w:rsidRDefault="008676F9" w:rsidP="008676F9">
            <w:pPr>
              <w:rPr>
                <w:rFonts w:ascii="Calibri" w:eastAsia="Calibri" w:hAnsi="Calibri"/>
                <w:b/>
                <w:bCs/>
                <w:sz w:val="16"/>
                <w:szCs w:val="16"/>
              </w:rPr>
            </w:pPr>
          </w:p>
        </w:tc>
        <w:tc>
          <w:tcPr>
            <w:tcW w:w="4360" w:type="dxa"/>
            <w:gridSpan w:val="6"/>
            <w:tcBorders>
              <w:top w:val="single" w:sz="4" w:space="0" w:color="auto"/>
              <w:left w:val="nil"/>
              <w:bottom w:val="single" w:sz="4" w:space="0" w:color="auto"/>
              <w:right w:val="single" w:sz="4" w:space="0" w:color="auto"/>
            </w:tcBorders>
            <w:shd w:val="clear" w:color="000000" w:fill="FFFFFF"/>
            <w:vAlign w:val="center"/>
          </w:tcPr>
          <w:p w:rsidR="008676F9" w:rsidRPr="008676F9" w:rsidRDefault="008676F9" w:rsidP="008676F9">
            <w:pPr>
              <w:rPr>
                <w:rFonts w:ascii="Calibri" w:eastAsia="Calibri" w:hAnsi="Calibri"/>
                <w:sz w:val="16"/>
                <w:szCs w:val="16"/>
              </w:rPr>
            </w:pPr>
            <w:r w:rsidRPr="008676F9">
              <w:rPr>
                <w:rFonts w:ascii="Calibri" w:eastAsia="Calibri" w:hAnsi="Calibri"/>
                <w:sz w:val="16"/>
                <w:szCs w:val="16"/>
              </w:rPr>
              <w:t>Celkové verejné výdavky  €</w:t>
            </w:r>
          </w:p>
        </w:tc>
        <w:tc>
          <w:tcPr>
            <w:tcW w:w="1913" w:type="dxa"/>
            <w:gridSpan w:val="3"/>
            <w:tcBorders>
              <w:top w:val="nil"/>
              <w:left w:val="nil"/>
              <w:bottom w:val="single" w:sz="4" w:space="0" w:color="auto"/>
              <w:right w:val="single" w:sz="8" w:space="0" w:color="auto"/>
            </w:tcBorders>
            <w:shd w:val="clear" w:color="000000" w:fill="FFFFFF"/>
            <w:noWrap/>
            <w:vAlign w:val="center"/>
          </w:tcPr>
          <w:p w:rsidR="008676F9" w:rsidRPr="008676F9" w:rsidRDefault="008676F9" w:rsidP="008676F9">
            <w:pPr>
              <w:jc w:val="right"/>
              <w:rPr>
                <w:rFonts w:ascii="Calibri" w:eastAsia="Calibri" w:hAnsi="Calibri"/>
                <w:sz w:val="20"/>
                <w:szCs w:val="20"/>
              </w:rPr>
            </w:pPr>
            <w:r w:rsidRPr="008676F9">
              <w:rPr>
                <w:rFonts w:ascii="Calibri" w:eastAsia="Calibri" w:hAnsi="Calibri"/>
                <w:sz w:val="20"/>
                <w:szCs w:val="20"/>
              </w:rPr>
              <w:t xml:space="preserve">      1 550 000,00 </w:t>
            </w:r>
          </w:p>
        </w:tc>
      </w:tr>
      <w:tr w:rsidR="00664E86" w:rsidRPr="008676F9" w:rsidTr="00564D41">
        <w:trPr>
          <w:trHeight w:val="442"/>
        </w:trPr>
        <w:tc>
          <w:tcPr>
            <w:tcW w:w="1700" w:type="dxa"/>
            <w:gridSpan w:val="3"/>
            <w:vMerge w:val="restart"/>
            <w:tcBorders>
              <w:top w:val="nil"/>
              <w:left w:val="single" w:sz="8" w:space="0" w:color="auto"/>
              <w:bottom w:val="single" w:sz="4" w:space="0" w:color="000000"/>
              <w:right w:val="single" w:sz="4" w:space="0" w:color="auto"/>
            </w:tcBorders>
            <w:shd w:val="clear" w:color="000000" w:fill="FFFFFF"/>
            <w:vAlign w:val="center"/>
          </w:tcPr>
          <w:p w:rsidR="00664E86" w:rsidRPr="008676F9" w:rsidRDefault="00664E86" w:rsidP="008676F9">
            <w:pPr>
              <w:jc w:val="center"/>
              <w:rPr>
                <w:rFonts w:ascii="Calibri" w:eastAsia="Calibri" w:hAnsi="Calibri"/>
                <w:b/>
                <w:bCs/>
                <w:sz w:val="16"/>
                <w:szCs w:val="16"/>
              </w:rPr>
            </w:pPr>
            <w:r w:rsidRPr="008676F9">
              <w:rPr>
                <w:rFonts w:ascii="Calibri" w:eastAsia="Calibri" w:hAnsi="Calibri"/>
                <w:b/>
                <w:bCs/>
                <w:sz w:val="16"/>
                <w:szCs w:val="16"/>
              </w:rPr>
              <w:t>1 (14)</w:t>
            </w:r>
          </w:p>
        </w:tc>
        <w:tc>
          <w:tcPr>
            <w:tcW w:w="1660" w:type="dxa"/>
            <w:gridSpan w:val="3"/>
            <w:vMerge w:val="restart"/>
            <w:tcBorders>
              <w:top w:val="nil"/>
              <w:left w:val="single" w:sz="4" w:space="0" w:color="auto"/>
              <w:bottom w:val="single" w:sz="4" w:space="0" w:color="auto"/>
              <w:right w:val="single" w:sz="4" w:space="0" w:color="auto"/>
            </w:tcBorders>
            <w:shd w:val="clear" w:color="000000" w:fill="FFFFFF"/>
            <w:vAlign w:val="center"/>
          </w:tcPr>
          <w:p w:rsidR="00664E86" w:rsidRPr="008676F9" w:rsidRDefault="00664E86" w:rsidP="008676F9">
            <w:pPr>
              <w:rPr>
                <w:rFonts w:ascii="Calibri" w:eastAsia="Calibri" w:hAnsi="Calibri"/>
                <w:sz w:val="16"/>
                <w:szCs w:val="16"/>
              </w:rPr>
            </w:pPr>
            <w:r w:rsidRPr="008676F9">
              <w:rPr>
                <w:rFonts w:ascii="Calibri" w:eastAsia="Calibri" w:hAnsi="Calibri"/>
                <w:sz w:val="16"/>
                <w:szCs w:val="16"/>
              </w:rPr>
              <w:t xml:space="preserve">Školenia/získavanie </w:t>
            </w:r>
            <w:r w:rsidRPr="008676F9">
              <w:rPr>
                <w:rFonts w:ascii="Calibri" w:eastAsia="Calibri" w:hAnsi="Calibri"/>
                <w:sz w:val="16"/>
                <w:szCs w:val="16"/>
              </w:rPr>
              <w:br/>
              <w:t>praktických zručností  (1.1)</w:t>
            </w:r>
          </w:p>
        </w:tc>
        <w:tc>
          <w:tcPr>
            <w:tcW w:w="2700" w:type="dxa"/>
            <w:gridSpan w:val="3"/>
            <w:tcBorders>
              <w:top w:val="nil"/>
              <w:left w:val="nil"/>
              <w:bottom w:val="single" w:sz="4" w:space="0" w:color="auto"/>
              <w:right w:val="single" w:sz="4" w:space="0" w:color="auto"/>
            </w:tcBorders>
            <w:shd w:val="clear" w:color="000000" w:fill="FFFFFF"/>
            <w:vAlign w:val="center"/>
          </w:tcPr>
          <w:p w:rsidR="00664E86" w:rsidRPr="008676F9" w:rsidRDefault="00664E86" w:rsidP="008676F9">
            <w:pPr>
              <w:rPr>
                <w:rFonts w:ascii="Calibri" w:eastAsia="Calibri" w:hAnsi="Calibri"/>
                <w:sz w:val="16"/>
                <w:szCs w:val="16"/>
              </w:rPr>
            </w:pPr>
            <w:r w:rsidRPr="008676F9">
              <w:rPr>
                <w:rFonts w:ascii="Calibri" w:eastAsia="Calibri" w:hAnsi="Calibri"/>
                <w:sz w:val="16"/>
                <w:szCs w:val="16"/>
              </w:rPr>
              <w:t>Počet účastníkov vzdelávania</w:t>
            </w:r>
          </w:p>
        </w:tc>
        <w:tc>
          <w:tcPr>
            <w:tcW w:w="1913" w:type="dxa"/>
            <w:gridSpan w:val="3"/>
            <w:tcBorders>
              <w:top w:val="nil"/>
              <w:left w:val="nil"/>
              <w:bottom w:val="single" w:sz="4" w:space="0" w:color="auto"/>
              <w:right w:val="single" w:sz="8" w:space="0" w:color="auto"/>
            </w:tcBorders>
            <w:shd w:val="clear" w:color="000000" w:fill="FFFFFF"/>
            <w:noWrap/>
            <w:vAlign w:val="center"/>
          </w:tcPr>
          <w:p w:rsidR="00664E86" w:rsidRPr="00F849C3" w:rsidRDefault="00664E86" w:rsidP="00664E86">
            <w:pPr>
              <w:jc w:val="right"/>
              <w:rPr>
                <w:sz w:val="20"/>
                <w:szCs w:val="20"/>
              </w:rPr>
            </w:pPr>
            <w:r w:rsidRPr="00F849C3">
              <w:rPr>
                <w:sz w:val="20"/>
                <w:szCs w:val="20"/>
              </w:rPr>
              <w:t xml:space="preserve">                    </w:t>
            </w:r>
            <w:r>
              <w:rPr>
                <w:sz w:val="20"/>
                <w:szCs w:val="20"/>
              </w:rPr>
              <w:t>1 200</w:t>
            </w:r>
          </w:p>
        </w:tc>
      </w:tr>
      <w:tr w:rsidR="00664E86" w:rsidRPr="008676F9" w:rsidTr="00564D41">
        <w:trPr>
          <w:trHeight w:val="499"/>
        </w:trPr>
        <w:tc>
          <w:tcPr>
            <w:tcW w:w="1700" w:type="dxa"/>
            <w:gridSpan w:val="3"/>
            <w:vMerge/>
            <w:tcBorders>
              <w:top w:val="nil"/>
              <w:left w:val="single" w:sz="8" w:space="0" w:color="auto"/>
              <w:bottom w:val="single" w:sz="4" w:space="0" w:color="000000"/>
              <w:right w:val="single" w:sz="4" w:space="0" w:color="auto"/>
            </w:tcBorders>
            <w:vAlign w:val="center"/>
          </w:tcPr>
          <w:p w:rsidR="00664E86" w:rsidRPr="008676F9" w:rsidRDefault="00664E86" w:rsidP="008676F9">
            <w:pPr>
              <w:rPr>
                <w:rFonts w:ascii="Calibri" w:eastAsia="Calibri" w:hAnsi="Calibri"/>
                <w:b/>
                <w:bCs/>
                <w:sz w:val="16"/>
                <w:szCs w:val="16"/>
              </w:rPr>
            </w:pPr>
          </w:p>
        </w:tc>
        <w:tc>
          <w:tcPr>
            <w:tcW w:w="1660" w:type="dxa"/>
            <w:gridSpan w:val="3"/>
            <w:vMerge/>
            <w:tcBorders>
              <w:top w:val="nil"/>
              <w:left w:val="single" w:sz="4" w:space="0" w:color="auto"/>
              <w:bottom w:val="single" w:sz="4" w:space="0" w:color="auto"/>
              <w:right w:val="single" w:sz="4" w:space="0" w:color="auto"/>
            </w:tcBorders>
            <w:vAlign w:val="center"/>
          </w:tcPr>
          <w:p w:rsidR="00664E86" w:rsidRPr="008676F9" w:rsidRDefault="00664E86" w:rsidP="008676F9">
            <w:pPr>
              <w:rPr>
                <w:rFonts w:ascii="Calibri" w:eastAsia="Calibri" w:hAnsi="Calibri"/>
                <w:sz w:val="16"/>
                <w:szCs w:val="16"/>
              </w:rPr>
            </w:pPr>
          </w:p>
        </w:tc>
        <w:tc>
          <w:tcPr>
            <w:tcW w:w="2700" w:type="dxa"/>
            <w:gridSpan w:val="3"/>
            <w:tcBorders>
              <w:top w:val="nil"/>
              <w:left w:val="nil"/>
              <w:bottom w:val="single" w:sz="4" w:space="0" w:color="auto"/>
              <w:right w:val="single" w:sz="4" w:space="0" w:color="auto"/>
            </w:tcBorders>
            <w:shd w:val="clear" w:color="000000" w:fill="FFFFFF"/>
            <w:vAlign w:val="center"/>
          </w:tcPr>
          <w:p w:rsidR="00664E86" w:rsidRPr="00F849C3" w:rsidRDefault="00664E86" w:rsidP="00664E86">
            <w:pPr>
              <w:jc w:val="right"/>
              <w:rPr>
                <w:sz w:val="20"/>
                <w:szCs w:val="20"/>
              </w:rPr>
            </w:pPr>
            <w:r>
              <w:rPr>
                <w:sz w:val="20"/>
                <w:szCs w:val="20"/>
              </w:rPr>
              <w:t>2 417 000</w:t>
            </w:r>
            <w:r w:rsidRPr="00F849C3">
              <w:rPr>
                <w:sz w:val="20"/>
                <w:szCs w:val="20"/>
              </w:rPr>
              <w:t xml:space="preserve">                     </w:t>
            </w:r>
          </w:p>
        </w:tc>
        <w:tc>
          <w:tcPr>
            <w:tcW w:w="1913" w:type="dxa"/>
            <w:gridSpan w:val="3"/>
            <w:tcBorders>
              <w:top w:val="nil"/>
              <w:left w:val="nil"/>
              <w:bottom w:val="single" w:sz="4" w:space="0" w:color="auto"/>
              <w:right w:val="single" w:sz="8" w:space="0" w:color="auto"/>
            </w:tcBorders>
            <w:shd w:val="clear" w:color="000000" w:fill="FFFFFF"/>
            <w:noWrap/>
            <w:vAlign w:val="center"/>
          </w:tcPr>
          <w:p w:rsidR="00664E86" w:rsidRPr="00F849C3" w:rsidRDefault="00664E86" w:rsidP="00664E86">
            <w:pPr>
              <w:jc w:val="right"/>
              <w:rPr>
                <w:sz w:val="20"/>
                <w:szCs w:val="20"/>
              </w:rPr>
            </w:pPr>
            <w:r>
              <w:rPr>
                <w:sz w:val="20"/>
                <w:szCs w:val="20"/>
              </w:rPr>
              <w:t>2 417 000</w:t>
            </w:r>
            <w:r w:rsidRPr="00F849C3">
              <w:rPr>
                <w:sz w:val="20"/>
                <w:szCs w:val="20"/>
              </w:rPr>
              <w:t xml:space="preserve">                     </w:t>
            </w:r>
          </w:p>
        </w:tc>
      </w:tr>
      <w:tr w:rsidR="00664E86" w:rsidRPr="008676F9" w:rsidTr="00564D41">
        <w:trPr>
          <w:trHeight w:val="499"/>
        </w:trPr>
        <w:tc>
          <w:tcPr>
            <w:tcW w:w="1700" w:type="dxa"/>
            <w:gridSpan w:val="3"/>
            <w:vMerge/>
            <w:tcBorders>
              <w:top w:val="nil"/>
              <w:left w:val="single" w:sz="8" w:space="0" w:color="auto"/>
              <w:bottom w:val="single" w:sz="4" w:space="0" w:color="000000"/>
              <w:right w:val="single" w:sz="4" w:space="0" w:color="auto"/>
            </w:tcBorders>
            <w:vAlign w:val="center"/>
          </w:tcPr>
          <w:p w:rsidR="00664E86" w:rsidRPr="008676F9" w:rsidRDefault="00664E86" w:rsidP="008676F9">
            <w:pPr>
              <w:rPr>
                <w:rFonts w:ascii="Calibri" w:eastAsia="Calibri" w:hAnsi="Calibri"/>
                <w:b/>
                <w:bCs/>
                <w:sz w:val="16"/>
                <w:szCs w:val="16"/>
              </w:rPr>
            </w:pPr>
          </w:p>
        </w:tc>
        <w:tc>
          <w:tcPr>
            <w:tcW w:w="4360" w:type="dxa"/>
            <w:gridSpan w:val="6"/>
            <w:tcBorders>
              <w:top w:val="single" w:sz="4" w:space="0" w:color="auto"/>
              <w:left w:val="nil"/>
              <w:bottom w:val="single" w:sz="4" w:space="0" w:color="auto"/>
              <w:right w:val="single" w:sz="4" w:space="0" w:color="auto"/>
            </w:tcBorders>
            <w:shd w:val="clear" w:color="000000" w:fill="FFFFFF"/>
            <w:vAlign w:val="center"/>
          </w:tcPr>
          <w:p w:rsidR="00664E86" w:rsidRPr="008676F9" w:rsidRDefault="00664E86" w:rsidP="008676F9">
            <w:pPr>
              <w:rPr>
                <w:rFonts w:ascii="Calibri" w:eastAsia="Calibri" w:hAnsi="Calibri"/>
                <w:sz w:val="16"/>
                <w:szCs w:val="16"/>
              </w:rPr>
            </w:pPr>
            <w:r w:rsidRPr="008676F9">
              <w:rPr>
                <w:rFonts w:ascii="Calibri" w:eastAsia="Calibri" w:hAnsi="Calibri"/>
                <w:sz w:val="16"/>
                <w:szCs w:val="16"/>
              </w:rPr>
              <w:t>Celkové verejné výdavky  € (školenia, informačné aktivity, demonštračné  predvádzacie činnosti ) (1.1, 1.2)</w:t>
            </w:r>
          </w:p>
        </w:tc>
        <w:tc>
          <w:tcPr>
            <w:tcW w:w="1913" w:type="dxa"/>
            <w:gridSpan w:val="3"/>
            <w:tcBorders>
              <w:top w:val="nil"/>
              <w:left w:val="nil"/>
              <w:bottom w:val="single" w:sz="4" w:space="0" w:color="auto"/>
              <w:right w:val="single" w:sz="8" w:space="0" w:color="auto"/>
            </w:tcBorders>
            <w:shd w:val="clear" w:color="000000" w:fill="FFFFFF"/>
            <w:noWrap/>
            <w:vAlign w:val="center"/>
          </w:tcPr>
          <w:p w:rsidR="00664E86" w:rsidRPr="00F849C3" w:rsidRDefault="00664E86" w:rsidP="00664E86">
            <w:pPr>
              <w:jc w:val="right"/>
              <w:rPr>
                <w:sz w:val="20"/>
                <w:szCs w:val="20"/>
              </w:rPr>
            </w:pPr>
            <w:r w:rsidRPr="00F849C3">
              <w:rPr>
                <w:sz w:val="20"/>
                <w:szCs w:val="20"/>
              </w:rPr>
              <w:t xml:space="preserve">         </w:t>
            </w:r>
            <w:r>
              <w:rPr>
                <w:sz w:val="20"/>
                <w:szCs w:val="20"/>
              </w:rPr>
              <w:t>3 017 000</w:t>
            </w:r>
            <w:r w:rsidRPr="00F849C3">
              <w:rPr>
                <w:sz w:val="20"/>
                <w:szCs w:val="20"/>
              </w:rPr>
              <w:t xml:space="preserve"> </w:t>
            </w:r>
          </w:p>
        </w:tc>
      </w:tr>
      <w:tr w:rsidR="008676F9" w:rsidRPr="008676F9" w:rsidTr="00564D41">
        <w:trPr>
          <w:trHeight w:val="499"/>
        </w:trPr>
        <w:tc>
          <w:tcPr>
            <w:tcW w:w="1700" w:type="dxa"/>
            <w:gridSpan w:val="3"/>
            <w:vMerge w:val="restart"/>
            <w:tcBorders>
              <w:top w:val="nil"/>
              <w:left w:val="single" w:sz="8" w:space="0" w:color="auto"/>
              <w:bottom w:val="single" w:sz="8" w:space="0" w:color="000000"/>
              <w:right w:val="single" w:sz="4" w:space="0" w:color="auto"/>
            </w:tcBorders>
            <w:shd w:val="clear" w:color="000000" w:fill="FFFFFF"/>
            <w:vAlign w:val="center"/>
          </w:tcPr>
          <w:p w:rsidR="008676F9" w:rsidRPr="008676F9" w:rsidRDefault="008676F9" w:rsidP="008676F9">
            <w:pPr>
              <w:jc w:val="center"/>
              <w:rPr>
                <w:rFonts w:ascii="Calibri" w:eastAsia="Calibri" w:hAnsi="Calibri"/>
                <w:b/>
                <w:bCs/>
                <w:sz w:val="16"/>
                <w:szCs w:val="16"/>
              </w:rPr>
            </w:pPr>
            <w:r w:rsidRPr="008676F9">
              <w:rPr>
                <w:rFonts w:ascii="Calibri" w:eastAsia="Calibri" w:hAnsi="Calibri"/>
                <w:b/>
                <w:bCs/>
                <w:sz w:val="16"/>
                <w:szCs w:val="16"/>
              </w:rPr>
              <w:t>2 (15)</w:t>
            </w:r>
          </w:p>
        </w:tc>
        <w:tc>
          <w:tcPr>
            <w:tcW w:w="4360" w:type="dxa"/>
            <w:gridSpan w:val="6"/>
            <w:tcBorders>
              <w:top w:val="single" w:sz="4" w:space="0" w:color="auto"/>
              <w:left w:val="nil"/>
              <w:bottom w:val="single" w:sz="4" w:space="0" w:color="auto"/>
              <w:right w:val="single" w:sz="4" w:space="0" w:color="auto"/>
            </w:tcBorders>
            <w:shd w:val="clear" w:color="000000" w:fill="FFFFFF"/>
            <w:vAlign w:val="center"/>
          </w:tcPr>
          <w:p w:rsidR="008676F9" w:rsidRPr="008676F9" w:rsidRDefault="008676F9" w:rsidP="008676F9">
            <w:pPr>
              <w:rPr>
                <w:rFonts w:ascii="Calibri" w:eastAsia="Calibri" w:hAnsi="Calibri"/>
                <w:sz w:val="16"/>
                <w:szCs w:val="16"/>
              </w:rPr>
            </w:pPr>
            <w:r w:rsidRPr="008676F9">
              <w:rPr>
                <w:rFonts w:ascii="Calibri" w:eastAsia="Calibri" w:hAnsi="Calibri"/>
                <w:sz w:val="16"/>
                <w:szCs w:val="16"/>
              </w:rPr>
              <w:t>Počet subjektov, kde bolo vykonané poradenstvo (2.1)</w:t>
            </w:r>
          </w:p>
        </w:tc>
        <w:tc>
          <w:tcPr>
            <w:tcW w:w="1913" w:type="dxa"/>
            <w:gridSpan w:val="3"/>
            <w:tcBorders>
              <w:top w:val="nil"/>
              <w:left w:val="nil"/>
              <w:bottom w:val="single" w:sz="4" w:space="0" w:color="auto"/>
              <w:right w:val="single" w:sz="8" w:space="0" w:color="auto"/>
            </w:tcBorders>
            <w:shd w:val="clear" w:color="000000" w:fill="FFFFFF"/>
            <w:noWrap/>
            <w:vAlign w:val="center"/>
          </w:tcPr>
          <w:p w:rsidR="008676F9" w:rsidRPr="008676F9" w:rsidRDefault="008676F9" w:rsidP="008676F9">
            <w:pPr>
              <w:jc w:val="right"/>
              <w:rPr>
                <w:rFonts w:ascii="Calibri" w:eastAsia="Calibri" w:hAnsi="Calibri"/>
                <w:sz w:val="20"/>
                <w:szCs w:val="20"/>
              </w:rPr>
            </w:pPr>
            <w:r w:rsidRPr="008676F9">
              <w:rPr>
                <w:rFonts w:ascii="Calibri" w:eastAsia="Calibri" w:hAnsi="Calibri"/>
                <w:sz w:val="20"/>
                <w:szCs w:val="20"/>
              </w:rPr>
              <w:t xml:space="preserve">                    150 </w:t>
            </w:r>
          </w:p>
        </w:tc>
      </w:tr>
      <w:tr w:rsidR="008676F9" w:rsidRPr="008676F9" w:rsidTr="00564D41">
        <w:trPr>
          <w:trHeight w:val="402"/>
        </w:trPr>
        <w:tc>
          <w:tcPr>
            <w:tcW w:w="1700" w:type="dxa"/>
            <w:gridSpan w:val="3"/>
            <w:vMerge/>
            <w:tcBorders>
              <w:top w:val="nil"/>
              <w:left w:val="single" w:sz="8" w:space="0" w:color="auto"/>
              <w:bottom w:val="single" w:sz="8" w:space="0" w:color="000000"/>
              <w:right w:val="single" w:sz="4" w:space="0" w:color="auto"/>
            </w:tcBorders>
            <w:vAlign w:val="center"/>
          </w:tcPr>
          <w:p w:rsidR="008676F9" w:rsidRPr="008676F9" w:rsidRDefault="008676F9" w:rsidP="008676F9">
            <w:pPr>
              <w:rPr>
                <w:rFonts w:ascii="Calibri" w:eastAsia="Calibri" w:hAnsi="Calibri"/>
                <w:b/>
                <w:bCs/>
                <w:sz w:val="16"/>
                <w:szCs w:val="16"/>
              </w:rPr>
            </w:pPr>
          </w:p>
        </w:tc>
        <w:tc>
          <w:tcPr>
            <w:tcW w:w="4360" w:type="dxa"/>
            <w:gridSpan w:val="6"/>
            <w:tcBorders>
              <w:top w:val="single" w:sz="4" w:space="0" w:color="auto"/>
              <w:left w:val="nil"/>
              <w:bottom w:val="single" w:sz="4" w:space="0" w:color="auto"/>
              <w:right w:val="single" w:sz="4" w:space="0" w:color="auto"/>
            </w:tcBorders>
            <w:shd w:val="clear" w:color="000000" w:fill="FFFFFF"/>
            <w:vAlign w:val="center"/>
          </w:tcPr>
          <w:p w:rsidR="008676F9" w:rsidRPr="008676F9" w:rsidRDefault="008676F9" w:rsidP="008676F9">
            <w:pPr>
              <w:rPr>
                <w:rFonts w:ascii="Calibri" w:eastAsia="Calibri" w:hAnsi="Calibri"/>
                <w:sz w:val="16"/>
                <w:szCs w:val="16"/>
              </w:rPr>
            </w:pPr>
            <w:r w:rsidRPr="008676F9">
              <w:rPr>
                <w:rFonts w:ascii="Calibri" w:eastAsia="Calibri" w:hAnsi="Calibri"/>
                <w:sz w:val="16"/>
                <w:szCs w:val="16"/>
              </w:rPr>
              <w:t>Celkové verejné výdavky  € (2.1, 2.3)</w:t>
            </w:r>
          </w:p>
        </w:tc>
        <w:tc>
          <w:tcPr>
            <w:tcW w:w="1913" w:type="dxa"/>
            <w:gridSpan w:val="3"/>
            <w:tcBorders>
              <w:top w:val="nil"/>
              <w:left w:val="nil"/>
              <w:bottom w:val="single" w:sz="4" w:space="0" w:color="auto"/>
              <w:right w:val="single" w:sz="8" w:space="0" w:color="auto"/>
            </w:tcBorders>
            <w:shd w:val="clear" w:color="000000" w:fill="FFFFFF"/>
            <w:noWrap/>
            <w:vAlign w:val="center"/>
          </w:tcPr>
          <w:p w:rsidR="008676F9" w:rsidRPr="008676F9" w:rsidRDefault="008676F9" w:rsidP="008676F9">
            <w:pPr>
              <w:jc w:val="right"/>
              <w:rPr>
                <w:rFonts w:ascii="Calibri" w:eastAsia="Calibri" w:hAnsi="Calibri"/>
                <w:sz w:val="20"/>
                <w:szCs w:val="20"/>
              </w:rPr>
            </w:pPr>
            <w:r w:rsidRPr="008676F9">
              <w:rPr>
                <w:rFonts w:ascii="Calibri" w:eastAsia="Calibri" w:hAnsi="Calibri"/>
                <w:sz w:val="20"/>
                <w:szCs w:val="20"/>
              </w:rPr>
              <w:t xml:space="preserve">           255 000,00 </w:t>
            </w:r>
          </w:p>
        </w:tc>
      </w:tr>
      <w:tr w:rsidR="008676F9" w:rsidRPr="008676F9" w:rsidTr="00564D41">
        <w:trPr>
          <w:trHeight w:val="333"/>
        </w:trPr>
        <w:tc>
          <w:tcPr>
            <w:tcW w:w="1700" w:type="dxa"/>
            <w:gridSpan w:val="3"/>
            <w:tcBorders>
              <w:top w:val="nil"/>
              <w:left w:val="single" w:sz="8" w:space="0" w:color="auto"/>
              <w:bottom w:val="single" w:sz="8" w:space="0" w:color="000000"/>
              <w:right w:val="single" w:sz="4" w:space="0" w:color="auto"/>
            </w:tcBorders>
            <w:vAlign w:val="center"/>
          </w:tcPr>
          <w:p w:rsidR="008676F9" w:rsidRPr="008676F9" w:rsidRDefault="008676F9" w:rsidP="008676F9">
            <w:pPr>
              <w:jc w:val="center"/>
              <w:rPr>
                <w:rFonts w:ascii="Calibri" w:eastAsia="Calibri" w:hAnsi="Calibri"/>
                <w:b/>
                <w:bCs/>
                <w:sz w:val="16"/>
                <w:szCs w:val="16"/>
              </w:rPr>
            </w:pPr>
            <w:r w:rsidRPr="008676F9">
              <w:rPr>
                <w:rFonts w:ascii="Calibri" w:eastAsia="Calibri" w:hAnsi="Calibri"/>
                <w:b/>
                <w:bCs/>
                <w:sz w:val="16"/>
                <w:szCs w:val="16"/>
              </w:rPr>
              <w:t>16  (35)</w:t>
            </w:r>
          </w:p>
        </w:tc>
        <w:tc>
          <w:tcPr>
            <w:tcW w:w="4360" w:type="dxa"/>
            <w:gridSpan w:val="6"/>
            <w:tcBorders>
              <w:top w:val="single" w:sz="4" w:space="0" w:color="auto"/>
              <w:left w:val="nil"/>
              <w:bottom w:val="single" w:sz="4" w:space="0" w:color="auto"/>
              <w:right w:val="single" w:sz="4" w:space="0" w:color="auto"/>
            </w:tcBorders>
            <w:shd w:val="clear" w:color="000000" w:fill="FFFFFF"/>
            <w:vAlign w:val="center"/>
          </w:tcPr>
          <w:p w:rsidR="008676F9" w:rsidRPr="008676F9" w:rsidRDefault="008676F9" w:rsidP="008676F9">
            <w:pPr>
              <w:rPr>
                <w:sz w:val="16"/>
                <w:szCs w:val="16"/>
              </w:rPr>
            </w:pPr>
            <w:r w:rsidRPr="008676F9">
              <w:rPr>
                <w:sz w:val="16"/>
                <w:szCs w:val="16"/>
              </w:rPr>
              <w:t>Celkové verejné výdavky €</w:t>
            </w:r>
          </w:p>
        </w:tc>
        <w:tc>
          <w:tcPr>
            <w:tcW w:w="1913" w:type="dxa"/>
            <w:gridSpan w:val="3"/>
            <w:tcBorders>
              <w:top w:val="nil"/>
              <w:left w:val="nil"/>
              <w:bottom w:val="single" w:sz="4" w:space="0" w:color="auto"/>
              <w:right w:val="single" w:sz="8" w:space="0" w:color="auto"/>
            </w:tcBorders>
            <w:shd w:val="clear" w:color="000000" w:fill="FFFFFF"/>
            <w:noWrap/>
            <w:vAlign w:val="center"/>
          </w:tcPr>
          <w:p w:rsidR="008676F9" w:rsidRPr="008676F9" w:rsidRDefault="008676F9" w:rsidP="008676F9">
            <w:pPr>
              <w:jc w:val="right"/>
              <w:rPr>
                <w:rFonts w:ascii="Calibri" w:eastAsia="Calibri" w:hAnsi="Calibri"/>
                <w:sz w:val="20"/>
                <w:szCs w:val="20"/>
              </w:rPr>
            </w:pPr>
            <w:r w:rsidRPr="008676F9">
              <w:rPr>
                <w:rFonts w:ascii="Calibri" w:eastAsia="Calibri" w:hAnsi="Calibri"/>
                <w:sz w:val="20"/>
                <w:szCs w:val="20"/>
              </w:rPr>
              <w:t>2 000 000,00</w:t>
            </w:r>
          </w:p>
        </w:tc>
      </w:tr>
      <w:tr w:rsidR="008676F9" w:rsidRPr="008676F9" w:rsidTr="00564D41">
        <w:tblPrEx>
          <w:tblLook w:val="04A0" w:firstRow="1" w:lastRow="0" w:firstColumn="1" w:lastColumn="0" w:noHBand="0" w:noVBand="1"/>
        </w:tblPrEx>
        <w:trPr>
          <w:gridAfter w:val="1"/>
          <w:wAfter w:w="273" w:type="dxa"/>
          <w:trHeight w:val="499"/>
        </w:trPr>
        <w:tc>
          <w:tcPr>
            <w:tcW w:w="1680" w:type="dxa"/>
            <w:gridSpan w:val="2"/>
            <w:tcBorders>
              <w:top w:val="nil"/>
              <w:left w:val="nil"/>
              <w:bottom w:val="nil"/>
              <w:right w:val="nil"/>
            </w:tcBorders>
            <w:shd w:val="clear" w:color="auto" w:fill="auto"/>
            <w:vAlign w:val="center"/>
            <w:hideMark/>
          </w:tcPr>
          <w:p w:rsidR="008676F9" w:rsidRPr="008676F9" w:rsidRDefault="008676F9" w:rsidP="008676F9">
            <w:pPr>
              <w:rPr>
                <w:sz w:val="20"/>
                <w:szCs w:val="20"/>
              </w:rPr>
            </w:pPr>
          </w:p>
          <w:p w:rsidR="008676F9" w:rsidRPr="008676F9" w:rsidRDefault="008676F9" w:rsidP="008676F9">
            <w:pPr>
              <w:rPr>
                <w:sz w:val="20"/>
                <w:szCs w:val="20"/>
              </w:rPr>
            </w:pPr>
          </w:p>
        </w:tc>
        <w:tc>
          <w:tcPr>
            <w:tcW w:w="1660" w:type="dxa"/>
            <w:gridSpan w:val="3"/>
            <w:tcBorders>
              <w:top w:val="nil"/>
              <w:left w:val="nil"/>
              <w:bottom w:val="nil"/>
              <w:right w:val="nil"/>
            </w:tcBorders>
            <w:shd w:val="clear" w:color="auto" w:fill="auto"/>
            <w:vAlign w:val="center"/>
            <w:hideMark/>
          </w:tcPr>
          <w:p w:rsidR="008676F9" w:rsidRPr="008676F9" w:rsidRDefault="008676F9" w:rsidP="008676F9">
            <w:pPr>
              <w:rPr>
                <w:sz w:val="20"/>
                <w:szCs w:val="20"/>
              </w:rPr>
            </w:pPr>
          </w:p>
        </w:tc>
        <w:tc>
          <w:tcPr>
            <w:tcW w:w="2700" w:type="dxa"/>
            <w:gridSpan w:val="3"/>
            <w:tcBorders>
              <w:top w:val="nil"/>
              <w:left w:val="nil"/>
              <w:bottom w:val="nil"/>
              <w:right w:val="nil"/>
            </w:tcBorders>
            <w:shd w:val="clear" w:color="auto" w:fill="auto"/>
            <w:vAlign w:val="center"/>
            <w:hideMark/>
          </w:tcPr>
          <w:p w:rsidR="008676F9" w:rsidRPr="008676F9" w:rsidRDefault="008676F9" w:rsidP="008676F9">
            <w:pPr>
              <w:rPr>
                <w:sz w:val="20"/>
                <w:szCs w:val="20"/>
              </w:rPr>
            </w:pPr>
          </w:p>
        </w:tc>
        <w:tc>
          <w:tcPr>
            <w:tcW w:w="1660" w:type="dxa"/>
            <w:gridSpan w:val="3"/>
            <w:tcBorders>
              <w:top w:val="nil"/>
              <w:left w:val="nil"/>
              <w:bottom w:val="nil"/>
              <w:right w:val="nil"/>
            </w:tcBorders>
            <w:shd w:val="clear" w:color="auto" w:fill="auto"/>
            <w:vAlign w:val="center"/>
            <w:hideMark/>
          </w:tcPr>
          <w:p w:rsidR="008676F9" w:rsidRPr="008676F9" w:rsidRDefault="008676F9" w:rsidP="008676F9">
            <w:pPr>
              <w:rPr>
                <w:sz w:val="20"/>
                <w:szCs w:val="20"/>
              </w:rPr>
            </w:pPr>
          </w:p>
        </w:tc>
      </w:tr>
      <w:tr w:rsidR="008676F9" w:rsidRPr="00E820E4" w:rsidTr="00564D41">
        <w:trPr>
          <w:gridAfter w:val="2"/>
          <w:wAfter w:w="293" w:type="dxa"/>
          <w:trHeight w:val="600"/>
        </w:trPr>
        <w:tc>
          <w:tcPr>
            <w:tcW w:w="7680" w:type="dxa"/>
            <w:gridSpan w:val="10"/>
            <w:tcBorders>
              <w:top w:val="single" w:sz="8" w:space="0" w:color="000000"/>
              <w:left w:val="single" w:sz="8" w:space="0" w:color="000000"/>
              <w:bottom w:val="nil"/>
              <w:right w:val="single" w:sz="8" w:space="0" w:color="000000"/>
            </w:tcBorders>
            <w:shd w:val="clear" w:color="auto" w:fill="FFFF00"/>
            <w:vAlign w:val="center"/>
          </w:tcPr>
          <w:p w:rsidR="008676F9" w:rsidRPr="00E820E4" w:rsidRDefault="008676F9" w:rsidP="00AB6231">
            <w:pPr>
              <w:ind w:left="371" w:hanging="371"/>
              <w:rPr>
                <w:rFonts w:ascii="Calibri" w:eastAsia="Calibri" w:hAnsi="Calibri"/>
                <w:b/>
                <w:bCs/>
                <w:color w:val="000000"/>
                <w:szCs w:val="22"/>
              </w:rPr>
            </w:pPr>
            <w:r w:rsidRPr="00E820E4">
              <w:rPr>
                <w:rFonts w:ascii="Calibri" w:eastAsia="Calibri" w:hAnsi="Calibri"/>
                <w:b/>
                <w:bCs/>
                <w:color w:val="000000"/>
                <w:szCs w:val="22"/>
              </w:rPr>
              <w:t xml:space="preserve">2B </w:t>
            </w:r>
            <w:r w:rsidR="00564D41" w:rsidRPr="00E820E4">
              <w:rPr>
                <w:rFonts w:ascii="Calibri" w:eastAsia="Calibri" w:hAnsi="Calibri"/>
                <w:b/>
                <w:bCs/>
                <w:color w:val="000000"/>
                <w:szCs w:val="22"/>
              </w:rPr>
              <w:t>U</w:t>
            </w:r>
            <w:r w:rsidR="00564D41" w:rsidRPr="00E820E4">
              <w:rPr>
                <w:rFonts w:ascii="Calibri" w:hAnsi="Calibri" w:cs="Arial"/>
                <w:b/>
                <w:bCs/>
                <w:color w:val="000000"/>
                <w:szCs w:val="22"/>
              </w:rPr>
              <w:t>ľahčenie vstupu poľnohospodárov s primeranými zručnosťami do odvetvia poľnohospodárstva a najmä generačnej výmeny</w:t>
            </w:r>
          </w:p>
        </w:tc>
      </w:tr>
      <w:tr w:rsidR="008676F9" w:rsidRPr="008676F9" w:rsidTr="00564D41">
        <w:trPr>
          <w:gridAfter w:val="2"/>
          <w:wAfter w:w="293" w:type="dxa"/>
          <w:trHeight w:val="499"/>
        </w:trPr>
        <w:tc>
          <w:tcPr>
            <w:tcW w:w="1660" w:type="dxa"/>
            <w:vMerge w:val="restart"/>
            <w:tcBorders>
              <w:top w:val="single" w:sz="8" w:space="0" w:color="auto"/>
              <w:left w:val="single" w:sz="8" w:space="0" w:color="000000"/>
              <w:bottom w:val="single" w:sz="4" w:space="0" w:color="auto"/>
              <w:right w:val="single" w:sz="4" w:space="0" w:color="auto"/>
            </w:tcBorders>
            <w:shd w:val="clear" w:color="000000" w:fill="FFFFFF"/>
            <w:noWrap/>
            <w:vAlign w:val="center"/>
          </w:tcPr>
          <w:p w:rsidR="008676F9" w:rsidRPr="008676F9" w:rsidRDefault="008676F9" w:rsidP="008676F9">
            <w:pPr>
              <w:jc w:val="center"/>
              <w:rPr>
                <w:rFonts w:ascii="Calibri" w:eastAsia="Calibri" w:hAnsi="Calibri"/>
                <w:b/>
                <w:bCs/>
                <w:sz w:val="18"/>
                <w:szCs w:val="18"/>
              </w:rPr>
            </w:pPr>
            <w:r w:rsidRPr="008676F9">
              <w:rPr>
                <w:rFonts w:ascii="Calibri" w:eastAsia="Calibri" w:hAnsi="Calibri"/>
                <w:b/>
                <w:bCs/>
                <w:sz w:val="18"/>
                <w:szCs w:val="18"/>
              </w:rPr>
              <w:t>Cieľová hodnota</w:t>
            </w:r>
          </w:p>
        </w:tc>
        <w:tc>
          <w:tcPr>
            <w:tcW w:w="6020" w:type="dxa"/>
            <w:gridSpan w:val="9"/>
            <w:tcBorders>
              <w:top w:val="single" w:sz="8" w:space="0" w:color="auto"/>
              <w:left w:val="nil"/>
              <w:bottom w:val="single" w:sz="4" w:space="0" w:color="auto"/>
              <w:right w:val="single" w:sz="8" w:space="0" w:color="000000"/>
            </w:tcBorders>
            <w:shd w:val="clear" w:color="000000" w:fill="FFFFFF"/>
            <w:vAlign w:val="center"/>
          </w:tcPr>
          <w:p w:rsidR="008676F9" w:rsidRPr="008676F9" w:rsidRDefault="008676F9" w:rsidP="008676F9">
            <w:pPr>
              <w:jc w:val="center"/>
              <w:rPr>
                <w:rFonts w:ascii="Calibri" w:eastAsia="Calibri" w:hAnsi="Calibri"/>
                <w:b/>
                <w:bCs/>
                <w:sz w:val="18"/>
                <w:szCs w:val="18"/>
              </w:rPr>
            </w:pPr>
            <w:r w:rsidRPr="008676F9">
              <w:rPr>
                <w:rFonts w:ascii="Calibri" w:eastAsia="Calibri" w:hAnsi="Calibri"/>
                <w:b/>
                <w:bCs/>
                <w:sz w:val="18"/>
                <w:szCs w:val="18"/>
              </w:rPr>
              <w:t>% podporených mladých poľnohospodárov na začatie činnosti</w:t>
            </w:r>
          </w:p>
        </w:tc>
      </w:tr>
      <w:tr w:rsidR="008676F9" w:rsidRPr="008676F9" w:rsidTr="00564D41">
        <w:trPr>
          <w:gridAfter w:val="2"/>
          <w:wAfter w:w="293" w:type="dxa"/>
          <w:trHeight w:val="499"/>
        </w:trPr>
        <w:tc>
          <w:tcPr>
            <w:tcW w:w="1660" w:type="dxa"/>
            <w:vMerge/>
            <w:tcBorders>
              <w:top w:val="single" w:sz="8" w:space="0" w:color="auto"/>
              <w:left w:val="single" w:sz="8" w:space="0" w:color="000000"/>
              <w:bottom w:val="single" w:sz="4" w:space="0" w:color="auto"/>
              <w:right w:val="single" w:sz="4" w:space="0" w:color="auto"/>
            </w:tcBorders>
            <w:vAlign w:val="center"/>
          </w:tcPr>
          <w:p w:rsidR="008676F9" w:rsidRPr="008676F9" w:rsidRDefault="008676F9" w:rsidP="008676F9">
            <w:pPr>
              <w:rPr>
                <w:rFonts w:ascii="Calibri" w:eastAsia="Calibri" w:hAnsi="Calibri"/>
                <w:b/>
                <w:bCs/>
                <w:sz w:val="18"/>
                <w:szCs w:val="18"/>
              </w:rPr>
            </w:pPr>
          </w:p>
        </w:tc>
        <w:tc>
          <w:tcPr>
            <w:tcW w:w="1660" w:type="dxa"/>
            <w:gridSpan w:val="3"/>
            <w:tcBorders>
              <w:top w:val="nil"/>
              <w:left w:val="nil"/>
              <w:bottom w:val="single" w:sz="4" w:space="0" w:color="auto"/>
              <w:right w:val="single" w:sz="4" w:space="0" w:color="auto"/>
            </w:tcBorders>
            <w:shd w:val="clear" w:color="000000" w:fill="FFFFFF"/>
            <w:vAlign w:val="center"/>
          </w:tcPr>
          <w:p w:rsidR="008676F9" w:rsidRPr="008676F9" w:rsidRDefault="008676F9" w:rsidP="008676F9">
            <w:pPr>
              <w:jc w:val="center"/>
              <w:rPr>
                <w:rFonts w:ascii="Calibri" w:eastAsia="Calibri" w:hAnsi="Calibri"/>
                <w:b/>
                <w:bCs/>
                <w:sz w:val="18"/>
                <w:szCs w:val="18"/>
              </w:rPr>
            </w:pPr>
            <w:r w:rsidRPr="008676F9">
              <w:rPr>
                <w:rFonts w:ascii="Calibri" w:eastAsia="Calibri" w:hAnsi="Calibri"/>
                <w:b/>
                <w:bCs/>
                <w:sz w:val="18"/>
                <w:szCs w:val="18"/>
              </w:rPr>
              <w:t>Počet</w:t>
            </w:r>
          </w:p>
        </w:tc>
        <w:tc>
          <w:tcPr>
            <w:tcW w:w="4360" w:type="dxa"/>
            <w:gridSpan w:val="6"/>
            <w:tcBorders>
              <w:top w:val="single" w:sz="4" w:space="0" w:color="auto"/>
              <w:left w:val="nil"/>
              <w:bottom w:val="single" w:sz="4" w:space="0" w:color="auto"/>
              <w:right w:val="single" w:sz="8" w:space="0" w:color="000000"/>
            </w:tcBorders>
            <w:shd w:val="clear" w:color="000000" w:fill="FFFFFF"/>
            <w:vAlign w:val="center"/>
          </w:tcPr>
          <w:p w:rsidR="008676F9" w:rsidRPr="008676F9" w:rsidRDefault="008676F9" w:rsidP="008676F9">
            <w:pPr>
              <w:jc w:val="center"/>
              <w:rPr>
                <w:rFonts w:ascii="Calibri" w:eastAsia="Calibri" w:hAnsi="Calibri"/>
                <w:b/>
                <w:bCs/>
                <w:sz w:val="18"/>
                <w:szCs w:val="18"/>
              </w:rPr>
            </w:pPr>
            <w:r w:rsidRPr="008676F9">
              <w:rPr>
                <w:rFonts w:ascii="Calibri" w:eastAsia="Calibri" w:hAnsi="Calibri"/>
                <w:b/>
                <w:bCs/>
                <w:sz w:val="18"/>
                <w:szCs w:val="18"/>
              </w:rPr>
              <w:t>%</w:t>
            </w:r>
          </w:p>
        </w:tc>
      </w:tr>
      <w:tr w:rsidR="00664E86" w:rsidRPr="008676F9" w:rsidTr="00564D41">
        <w:trPr>
          <w:gridAfter w:val="2"/>
          <w:wAfter w:w="293" w:type="dxa"/>
          <w:trHeight w:val="900"/>
        </w:trPr>
        <w:tc>
          <w:tcPr>
            <w:tcW w:w="1660" w:type="dxa"/>
            <w:tcBorders>
              <w:top w:val="nil"/>
              <w:left w:val="single" w:sz="8" w:space="0" w:color="000000"/>
              <w:bottom w:val="single" w:sz="4" w:space="0" w:color="auto"/>
              <w:right w:val="single" w:sz="4" w:space="0" w:color="auto"/>
            </w:tcBorders>
            <w:shd w:val="clear" w:color="000000" w:fill="FFFFFF"/>
            <w:vAlign w:val="center"/>
          </w:tcPr>
          <w:p w:rsidR="00664E86" w:rsidRPr="008676F9" w:rsidRDefault="00664E86" w:rsidP="008676F9">
            <w:pPr>
              <w:rPr>
                <w:rFonts w:ascii="Calibri" w:eastAsia="Calibri" w:hAnsi="Calibri"/>
                <w:b/>
                <w:bCs/>
                <w:sz w:val="18"/>
                <w:szCs w:val="18"/>
              </w:rPr>
            </w:pPr>
            <w:r w:rsidRPr="008676F9">
              <w:rPr>
                <w:rFonts w:ascii="Calibri" w:eastAsia="Calibri" w:hAnsi="Calibri"/>
                <w:b/>
                <w:bCs/>
                <w:sz w:val="18"/>
                <w:szCs w:val="18"/>
              </w:rPr>
              <w:t>Podporení poľnohospodári do r.2020</w:t>
            </w:r>
          </w:p>
        </w:tc>
        <w:tc>
          <w:tcPr>
            <w:tcW w:w="1660" w:type="dxa"/>
            <w:gridSpan w:val="3"/>
            <w:tcBorders>
              <w:top w:val="nil"/>
              <w:left w:val="nil"/>
              <w:bottom w:val="single" w:sz="4" w:space="0" w:color="auto"/>
              <w:right w:val="single" w:sz="4" w:space="0" w:color="auto"/>
            </w:tcBorders>
            <w:shd w:val="clear" w:color="000000" w:fill="FFFFFF"/>
            <w:vAlign w:val="center"/>
          </w:tcPr>
          <w:p w:rsidR="00664E86" w:rsidRPr="00F849C3" w:rsidRDefault="00664E86" w:rsidP="00664E86">
            <w:pPr>
              <w:jc w:val="right"/>
              <w:rPr>
                <w:b/>
                <w:bCs/>
                <w:sz w:val="18"/>
                <w:szCs w:val="18"/>
              </w:rPr>
            </w:pPr>
            <w:r>
              <w:rPr>
                <w:b/>
                <w:bCs/>
                <w:sz w:val="18"/>
                <w:szCs w:val="18"/>
              </w:rPr>
              <w:t>750</w:t>
            </w:r>
          </w:p>
        </w:tc>
        <w:tc>
          <w:tcPr>
            <w:tcW w:w="4360" w:type="dxa"/>
            <w:gridSpan w:val="6"/>
            <w:tcBorders>
              <w:top w:val="single" w:sz="4" w:space="0" w:color="auto"/>
              <w:left w:val="nil"/>
              <w:bottom w:val="single" w:sz="4" w:space="0" w:color="auto"/>
              <w:right w:val="single" w:sz="8" w:space="0" w:color="000000"/>
            </w:tcBorders>
            <w:shd w:val="clear" w:color="000000" w:fill="FFFFFF"/>
            <w:noWrap/>
            <w:vAlign w:val="center"/>
          </w:tcPr>
          <w:p w:rsidR="00664E86" w:rsidRPr="00F849C3" w:rsidRDefault="00664E86" w:rsidP="00664E86">
            <w:pPr>
              <w:jc w:val="center"/>
              <w:rPr>
                <w:sz w:val="20"/>
                <w:szCs w:val="20"/>
              </w:rPr>
            </w:pPr>
            <w:r>
              <w:rPr>
                <w:sz w:val="20"/>
                <w:szCs w:val="20"/>
              </w:rPr>
              <w:t>3,07</w:t>
            </w:r>
            <w:r w:rsidRPr="00F849C3">
              <w:rPr>
                <w:sz w:val="20"/>
                <w:szCs w:val="20"/>
              </w:rPr>
              <w:t>%</w:t>
            </w:r>
          </w:p>
        </w:tc>
      </w:tr>
      <w:tr w:rsidR="008676F9" w:rsidRPr="008676F9" w:rsidTr="00564D41">
        <w:trPr>
          <w:gridAfter w:val="2"/>
          <w:wAfter w:w="293" w:type="dxa"/>
          <w:trHeight w:val="900"/>
        </w:trPr>
        <w:tc>
          <w:tcPr>
            <w:tcW w:w="1660" w:type="dxa"/>
            <w:tcBorders>
              <w:top w:val="nil"/>
              <w:left w:val="single" w:sz="8" w:space="0" w:color="000000"/>
              <w:bottom w:val="single" w:sz="8" w:space="0" w:color="auto"/>
              <w:right w:val="single" w:sz="4" w:space="0" w:color="auto"/>
            </w:tcBorders>
            <w:shd w:val="clear" w:color="000000" w:fill="FFFFFF"/>
            <w:vAlign w:val="center"/>
          </w:tcPr>
          <w:p w:rsidR="008676F9" w:rsidRPr="008676F9" w:rsidRDefault="008676F9" w:rsidP="008676F9">
            <w:pPr>
              <w:rPr>
                <w:rFonts w:ascii="Calibri" w:eastAsia="Calibri" w:hAnsi="Calibri"/>
                <w:b/>
                <w:bCs/>
                <w:sz w:val="18"/>
                <w:szCs w:val="18"/>
              </w:rPr>
            </w:pPr>
            <w:r w:rsidRPr="008676F9">
              <w:rPr>
                <w:rFonts w:ascii="Calibri" w:eastAsia="Calibri" w:hAnsi="Calibri"/>
                <w:b/>
                <w:bCs/>
                <w:sz w:val="18"/>
                <w:szCs w:val="18"/>
              </w:rPr>
              <w:t>Celkový počet poľnohospodárov (východiskový rok)</w:t>
            </w:r>
          </w:p>
        </w:tc>
        <w:tc>
          <w:tcPr>
            <w:tcW w:w="1660" w:type="dxa"/>
            <w:gridSpan w:val="3"/>
            <w:tcBorders>
              <w:top w:val="nil"/>
              <w:left w:val="nil"/>
              <w:bottom w:val="single" w:sz="8" w:space="0" w:color="auto"/>
              <w:right w:val="single" w:sz="4" w:space="0" w:color="auto"/>
            </w:tcBorders>
            <w:shd w:val="clear" w:color="000000" w:fill="FFFFFF"/>
            <w:vAlign w:val="center"/>
          </w:tcPr>
          <w:p w:rsidR="008676F9" w:rsidRPr="008676F9" w:rsidRDefault="008676F9" w:rsidP="008676F9">
            <w:pPr>
              <w:jc w:val="right"/>
              <w:rPr>
                <w:rFonts w:ascii="Calibri" w:eastAsia="Calibri" w:hAnsi="Calibri"/>
                <w:b/>
                <w:bCs/>
                <w:sz w:val="18"/>
                <w:szCs w:val="18"/>
              </w:rPr>
            </w:pPr>
            <w:r w:rsidRPr="008676F9">
              <w:rPr>
                <w:rFonts w:ascii="Calibri" w:eastAsia="Calibri" w:hAnsi="Calibri"/>
                <w:b/>
                <w:bCs/>
                <w:sz w:val="18"/>
                <w:szCs w:val="18"/>
              </w:rPr>
              <w:t>24 460</w:t>
            </w:r>
          </w:p>
        </w:tc>
        <w:tc>
          <w:tcPr>
            <w:tcW w:w="4360" w:type="dxa"/>
            <w:gridSpan w:val="6"/>
            <w:tcBorders>
              <w:top w:val="single" w:sz="4" w:space="0" w:color="auto"/>
              <w:left w:val="nil"/>
              <w:bottom w:val="single" w:sz="8" w:space="0" w:color="auto"/>
              <w:right w:val="single" w:sz="8" w:space="0" w:color="000000"/>
            </w:tcBorders>
            <w:shd w:val="clear" w:color="000000" w:fill="FFFFFF"/>
            <w:noWrap/>
            <w:vAlign w:val="center"/>
          </w:tcPr>
          <w:p w:rsidR="008676F9" w:rsidRPr="008676F9" w:rsidRDefault="008676F9" w:rsidP="008676F9">
            <w:pPr>
              <w:jc w:val="center"/>
              <w:rPr>
                <w:rFonts w:ascii="Calibri" w:eastAsia="Calibri" w:hAnsi="Calibri"/>
                <w:sz w:val="18"/>
                <w:szCs w:val="18"/>
              </w:rPr>
            </w:pPr>
            <w:r w:rsidRPr="008676F9">
              <w:rPr>
                <w:rFonts w:ascii="Calibri" w:eastAsia="Calibri" w:hAnsi="Calibri"/>
                <w:sz w:val="18"/>
                <w:szCs w:val="18"/>
              </w:rPr>
              <w:t> </w:t>
            </w:r>
          </w:p>
        </w:tc>
      </w:tr>
      <w:tr w:rsidR="008676F9" w:rsidRPr="008676F9" w:rsidTr="00564D41">
        <w:trPr>
          <w:gridAfter w:val="2"/>
          <w:wAfter w:w="293" w:type="dxa"/>
          <w:trHeight w:val="114"/>
        </w:trPr>
        <w:tc>
          <w:tcPr>
            <w:tcW w:w="7680" w:type="dxa"/>
            <w:gridSpan w:val="10"/>
            <w:tcBorders>
              <w:top w:val="single" w:sz="8" w:space="0" w:color="auto"/>
              <w:left w:val="single" w:sz="8" w:space="0" w:color="000000"/>
              <w:bottom w:val="single" w:sz="8" w:space="0" w:color="auto"/>
              <w:right w:val="single" w:sz="8" w:space="0" w:color="000000"/>
            </w:tcBorders>
            <w:shd w:val="clear" w:color="000000" w:fill="FFFFFF"/>
            <w:vAlign w:val="center"/>
          </w:tcPr>
          <w:p w:rsidR="008676F9" w:rsidRPr="008676F9" w:rsidRDefault="008676F9" w:rsidP="008676F9">
            <w:pPr>
              <w:jc w:val="center"/>
              <w:rPr>
                <w:rFonts w:ascii="Calibri" w:eastAsia="Calibri" w:hAnsi="Calibri"/>
                <w:b/>
                <w:bCs/>
                <w:sz w:val="18"/>
                <w:szCs w:val="18"/>
              </w:rPr>
            </w:pPr>
          </w:p>
        </w:tc>
      </w:tr>
      <w:tr w:rsidR="008676F9" w:rsidRPr="008676F9" w:rsidTr="00564D41">
        <w:trPr>
          <w:gridAfter w:val="2"/>
          <w:wAfter w:w="293" w:type="dxa"/>
          <w:trHeight w:val="499"/>
        </w:trPr>
        <w:tc>
          <w:tcPr>
            <w:tcW w:w="7680" w:type="dxa"/>
            <w:gridSpan w:val="10"/>
            <w:tcBorders>
              <w:top w:val="single" w:sz="8" w:space="0" w:color="auto"/>
              <w:left w:val="single" w:sz="8" w:space="0" w:color="000000"/>
              <w:bottom w:val="single" w:sz="8" w:space="0" w:color="auto"/>
              <w:right w:val="single" w:sz="8" w:space="0" w:color="000000"/>
            </w:tcBorders>
            <w:shd w:val="clear" w:color="000000" w:fill="FFFFFF"/>
            <w:noWrap/>
            <w:vAlign w:val="center"/>
          </w:tcPr>
          <w:p w:rsidR="008676F9" w:rsidRPr="008676F9" w:rsidRDefault="008676F9" w:rsidP="008676F9">
            <w:pPr>
              <w:jc w:val="center"/>
              <w:rPr>
                <w:rFonts w:ascii="Calibri" w:eastAsia="Calibri" w:hAnsi="Calibri"/>
                <w:b/>
                <w:bCs/>
                <w:sz w:val="20"/>
                <w:szCs w:val="20"/>
              </w:rPr>
            </w:pPr>
            <w:r w:rsidRPr="008676F9">
              <w:rPr>
                <w:rFonts w:ascii="Calibri" w:eastAsia="Calibri" w:hAnsi="Calibri"/>
                <w:b/>
                <w:bCs/>
                <w:sz w:val="20"/>
                <w:szCs w:val="20"/>
              </w:rPr>
              <w:t>plánovaný výstup 2014-2020</w:t>
            </w:r>
          </w:p>
        </w:tc>
      </w:tr>
      <w:tr w:rsidR="008676F9" w:rsidRPr="008676F9" w:rsidTr="00564D41">
        <w:trPr>
          <w:gridAfter w:val="2"/>
          <w:wAfter w:w="293" w:type="dxa"/>
          <w:trHeight w:val="499"/>
        </w:trPr>
        <w:tc>
          <w:tcPr>
            <w:tcW w:w="1660" w:type="dxa"/>
            <w:tcBorders>
              <w:top w:val="nil"/>
              <w:left w:val="single" w:sz="8" w:space="0" w:color="000000"/>
              <w:bottom w:val="nil"/>
              <w:right w:val="nil"/>
            </w:tcBorders>
            <w:shd w:val="clear" w:color="000000" w:fill="FFFFFF"/>
            <w:noWrap/>
            <w:vAlign w:val="center"/>
          </w:tcPr>
          <w:p w:rsidR="008676F9" w:rsidRPr="008676F9" w:rsidRDefault="008676F9" w:rsidP="008676F9">
            <w:pPr>
              <w:jc w:val="center"/>
              <w:rPr>
                <w:rFonts w:ascii="Calibri" w:eastAsia="Calibri" w:hAnsi="Calibri"/>
                <w:b/>
                <w:bCs/>
                <w:sz w:val="20"/>
                <w:szCs w:val="20"/>
              </w:rPr>
            </w:pPr>
            <w:r w:rsidRPr="008676F9">
              <w:rPr>
                <w:rFonts w:ascii="Calibri" w:eastAsia="Calibri" w:hAnsi="Calibri"/>
                <w:b/>
                <w:bCs/>
                <w:sz w:val="20"/>
                <w:szCs w:val="20"/>
              </w:rPr>
              <w:t>Opatrenia</w:t>
            </w:r>
          </w:p>
        </w:tc>
        <w:tc>
          <w:tcPr>
            <w:tcW w:w="6020" w:type="dxa"/>
            <w:gridSpan w:val="9"/>
            <w:tcBorders>
              <w:top w:val="single" w:sz="8" w:space="0" w:color="auto"/>
              <w:left w:val="nil"/>
              <w:bottom w:val="nil"/>
              <w:right w:val="single" w:sz="8" w:space="0" w:color="000000"/>
            </w:tcBorders>
            <w:shd w:val="clear" w:color="000000" w:fill="FFFFFF"/>
            <w:noWrap/>
            <w:vAlign w:val="center"/>
          </w:tcPr>
          <w:p w:rsidR="008676F9" w:rsidRPr="008676F9" w:rsidRDefault="008676F9" w:rsidP="008676F9">
            <w:pPr>
              <w:jc w:val="center"/>
              <w:rPr>
                <w:rFonts w:ascii="Calibri" w:eastAsia="Calibri" w:hAnsi="Calibri"/>
                <w:b/>
                <w:bCs/>
                <w:sz w:val="20"/>
                <w:szCs w:val="20"/>
              </w:rPr>
            </w:pPr>
            <w:r w:rsidRPr="008676F9">
              <w:rPr>
                <w:rFonts w:ascii="Calibri" w:eastAsia="Calibri" w:hAnsi="Calibri"/>
                <w:b/>
                <w:bCs/>
                <w:sz w:val="20"/>
                <w:szCs w:val="20"/>
              </w:rPr>
              <w:t> </w:t>
            </w:r>
          </w:p>
        </w:tc>
      </w:tr>
      <w:tr w:rsidR="00664E86" w:rsidRPr="008676F9" w:rsidTr="00564D41">
        <w:trPr>
          <w:gridAfter w:val="2"/>
          <w:wAfter w:w="293" w:type="dxa"/>
          <w:trHeight w:val="499"/>
        </w:trPr>
        <w:tc>
          <w:tcPr>
            <w:tcW w:w="1660" w:type="dxa"/>
            <w:vMerge w:val="restart"/>
            <w:tcBorders>
              <w:top w:val="single" w:sz="4" w:space="0" w:color="000000"/>
              <w:left w:val="single" w:sz="8" w:space="0" w:color="000000"/>
              <w:bottom w:val="single" w:sz="4" w:space="0" w:color="000000"/>
              <w:right w:val="single" w:sz="4" w:space="0" w:color="000000"/>
            </w:tcBorders>
            <w:shd w:val="clear" w:color="000000" w:fill="FFFFFF"/>
            <w:vAlign w:val="center"/>
          </w:tcPr>
          <w:p w:rsidR="00664E86" w:rsidRPr="008676F9" w:rsidRDefault="00664E86" w:rsidP="008676F9">
            <w:pPr>
              <w:jc w:val="center"/>
              <w:rPr>
                <w:rFonts w:ascii="Calibri" w:eastAsia="Calibri" w:hAnsi="Calibri"/>
                <w:b/>
                <w:bCs/>
                <w:sz w:val="16"/>
                <w:szCs w:val="16"/>
              </w:rPr>
            </w:pPr>
            <w:r w:rsidRPr="008676F9">
              <w:rPr>
                <w:rFonts w:ascii="Calibri" w:eastAsia="Calibri" w:hAnsi="Calibri"/>
                <w:b/>
                <w:bCs/>
                <w:sz w:val="16"/>
                <w:szCs w:val="16"/>
              </w:rPr>
              <w:t>6 (19)</w:t>
            </w:r>
          </w:p>
        </w:tc>
        <w:tc>
          <w:tcPr>
            <w:tcW w:w="4360" w:type="dxa"/>
            <w:gridSpan w:val="6"/>
            <w:vMerge w:val="restart"/>
            <w:tcBorders>
              <w:top w:val="single" w:sz="4" w:space="0" w:color="000000"/>
              <w:left w:val="nil"/>
              <w:bottom w:val="single" w:sz="4" w:space="0" w:color="000000"/>
              <w:right w:val="single" w:sz="4" w:space="0" w:color="000000"/>
            </w:tcBorders>
            <w:shd w:val="clear" w:color="000000" w:fill="FFFFFF"/>
            <w:vAlign w:val="center"/>
          </w:tcPr>
          <w:p w:rsidR="00664E86" w:rsidRPr="008676F9" w:rsidRDefault="00664E86" w:rsidP="008676F9">
            <w:pPr>
              <w:rPr>
                <w:rFonts w:ascii="Calibri" w:eastAsia="Calibri" w:hAnsi="Calibri"/>
                <w:sz w:val="16"/>
                <w:szCs w:val="16"/>
              </w:rPr>
            </w:pPr>
            <w:r w:rsidRPr="008676F9">
              <w:rPr>
                <w:rFonts w:ascii="Calibri" w:eastAsia="Calibri" w:hAnsi="Calibri"/>
                <w:sz w:val="16"/>
                <w:szCs w:val="16"/>
              </w:rPr>
              <w:t>Počet príjemcov podporených na začatie podnikania mladých poľnohospodárov (6.1)</w:t>
            </w:r>
          </w:p>
        </w:tc>
        <w:tc>
          <w:tcPr>
            <w:tcW w:w="1660" w:type="dxa"/>
            <w:gridSpan w:val="3"/>
            <w:vMerge w:val="restart"/>
            <w:tcBorders>
              <w:top w:val="single" w:sz="4" w:space="0" w:color="000000"/>
              <w:left w:val="single" w:sz="4" w:space="0" w:color="auto"/>
              <w:bottom w:val="single" w:sz="4" w:space="0" w:color="000000"/>
              <w:right w:val="single" w:sz="8" w:space="0" w:color="000000"/>
            </w:tcBorders>
            <w:shd w:val="clear" w:color="000000" w:fill="FFFFFF"/>
            <w:noWrap/>
            <w:vAlign w:val="center"/>
          </w:tcPr>
          <w:p w:rsidR="00664E86" w:rsidRPr="00F849C3" w:rsidRDefault="00664E86" w:rsidP="00664E86">
            <w:pPr>
              <w:jc w:val="right"/>
              <w:rPr>
                <w:sz w:val="20"/>
                <w:szCs w:val="20"/>
              </w:rPr>
            </w:pPr>
            <w:r>
              <w:rPr>
                <w:sz w:val="20"/>
                <w:szCs w:val="20"/>
              </w:rPr>
              <w:t xml:space="preserve">                     750</w:t>
            </w:r>
            <w:r w:rsidRPr="00F849C3">
              <w:rPr>
                <w:sz w:val="20"/>
                <w:szCs w:val="20"/>
              </w:rPr>
              <w:t xml:space="preserve"> </w:t>
            </w:r>
          </w:p>
        </w:tc>
      </w:tr>
      <w:tr w:rsidR="00664E86" w:rsidRPr="008676F9" w:rsidTr="00564D41">
        <w:trPr>
          <w:gridAfter w:val="2"/>
          <w:wAfter w:w="293" w:type="dxa"/>
          <w:trHeight w:val="375"/>
        </w:trPr>
        <w:tc>
          <w:tcPr>
            <w:tcW w:w="1660" w:type="dxa"/>
            <w:vMerge/>
            <w:tcBorders>
              <w:top w:val="single" w:sz="4" w:space="0" w:color="000000"/>
              <w:left w:val="single" w:sz="8" w:space="0" w:color="000000"/>
              <w:bottom w:val="single" w:sz="4" w:space="0" w:color="000000"/>
              <w:right w:val="single" w:sz="4" w:space="0" w:color="000000"/>
            </w:tcBorders>
            <w:vAlign w:val="center"/>
          </w:tcPr>
          <w:p w:rsidR="00664E86" w:rsidRPr="008676F9" w:rsidRDefault="00664E86" w:rsidP="008676F9">
            <w:pPr>
              <w:rPr>
                <w:rFonts w:ascii="Calibri" w:eastAsia="Calibri" w:hAnsi="Calibri"/>
                <w:b/>
                <w:bCs/>
                <w:sz w:val="16"/>
                <w:szCs w:val="16"/>
              </w:rPr>
            </w:pPr>
          </w:p>
        </w:tc>
        <w:tc>
          <w:tcPr>
            <w:tcW w:w="4360" w:type="dxa"/>
            <w:gridSpan w:val="6"/>
            <w:vMerge/>
            <w:tcBorders>
              <w:top w:val="single" w:sz="4" w:space="0" w:color="000000"/>
              <w:left w:val="nil"/>
              <w:bottom w:val="single" w:sz="4" w:space="0" w:color="000000"/>
              <w:right w:val="single" w:sz="4" w:space="0" w:color="000000"/>
            </w:tcBorders>
            <w:vAlign w:val="center"/>
          </w:tcPr>
          <w:p w:rsidR="00664E86" w:rsidRPr="008676F9" w:rsidRDefault="00664E86" w:rsidP="008676F9">
            <w:pPr>
              <w:rPr>
                <w:rFonts w:ascii="Calibri" w:eastAsia="Calibri" w:hAnsi="Calibri"/>
                <w:sz w:val="16"/>
                <w:szCs w:val="16"/>
              </w:rPr>
            </w:pPr>
          </w:p>
        </w:tc>
        <w:tc>
          <w:tcPr>
            <w:tcW w:w="1660" w:type="dxa"/>
            <w:gridSpan w:val="3"/>
            <w:vMerge/>
            <w:tcBorders>
              <w:top w:val="single" w:sz="4" w:space="0" w:color="000000"/>
              <w:left w:val="single" w:sz="4" w:space="0" w:color="auto"/>
              <w:bottom w:val="single" w:sz="4" w:space="0" w:color="000000"/>
              <w:right w:val="single" w:sz="8" w:space="0" w:color="000000"/>
            </w:tcBorders>
            <w:vAlign w:val="center"/>
          </w:tcPr>
          <w:p w:rsidR="00664E86" w:rsidRPr="008676F9" w:rsidRDefault="00664E86" w:rsidP="008676F9">
            <w:pPr>
              <w:jc w:val="right"/>
              <w:rPr>
                <w:rFonts w:ascii="Calibri" w:eastAsia="Calibri" w:hAnsi="Calibri"/>
                <w:sz w:val="20"/>
                <w:szCs w:val="20"/>
              </w:rPr>
            </w:pPr>
          </w:p>
        </w:tc>
      </w:tr>
      <w:tr w:rsidR="00664E86" w:rsidRPr="008676F9" w:rsidTr="00564D41">
        <w:trPr>
          <w:gridAfter w:val="2"/>
          <w:wAfter w:w="293" w:type="dxa"/>
          <w:trHeight w:val="420"/>
        </w:trPr>
        <w:tc>
          <w:tcPr>
            <w:tcW w:w="1660" w:type="dxa"/>
            <w:vMerge/>
            <w:tcBorders>
              <w:top w:val="single" w:sz="4" w:space="0" w:color="000000"/>
              <w:left w:val="single" w:sz="8" w:space="0" w:color="000000"/>
              <w:bottom w:val="single" w:sz="4" w:space="0" w:color="000000"/>
              <w:right w:val="single" w:sz="4" w:space="0" w:color="000000"/>
            </w:tcBorders>
            <w:vAlign w:val="center"/>
          </w:tcPr>
          <w:p w:rsidR="00664E86" w:rsidRPr="008676F9" w:rsidRDefault="00664E86" w:rsidP="008676F9">
            <w:pPr>
              <w:rPr>
                <w:rFonts w:ascii="Calibri" w:eastAsia="Calibri" w:hAnsi="Calibri"/>
                <w:b/>
                <w:bCs/>
                <w:sz w:val="16"/>
                <w:szCs w:val="16"/>
              </w:rPr>
            </w:pPr>
          </w:p>
        </w:tc>
        <w:tc>
          <w:tcPr>
            <w:tcW w:w="4360" w:type="dxa"/>
            <w:gridSpan w:val="6"/>
            <w:tcBorders>
              <w:top w:val="nil"/>
              <w:left w:val="nil"/>
              <w:bottom w:val="single" w:sz="4" w:space="0" w:color="auto"/>
              <w:right w:val="single" w:sz="4" w:space="0" w:color="000000"/>
            </w:tcBorders>
            <w:shd w:val="clear" w:color="000000" w:fill="FFFFFF"/>
            <w:vAlign w:val="center"/>
          </w:tcPr>
          <w:p w:rsidR="00664E86" w:rsidRPr="008676F9" w:rsidRDefault="00664E86" w:rsidP="008676F9">
            <w:pPr>
              <w:rPr>
                <w:rFonts w:ascii="Calibri" w:eastAsia="Calibri" w:hAnsi="Calibri"/>
                <w:sz w:val="16"/>
                <w:szCs w:val="16"/>
              </w:rPr>
            </w:pPr>
            <w:r w:rsidRPr="008676F9">
              <w:rPr>
                <w:rFonts w:ascii="Calibri" w:eastAsia="Calibri" w:hAnsi="Calibri"/>
                <w:sz w:val="16"/>
                <w:szCs w:val="16"/>
              </w:rPr>
              <w:t>Celkové investície  € (verejné + súkromné)</w:t>
            </w:r>
          </w:p>
        </w:tc>
        <w:tc>
          <w:tcPr>
            <w:tcW w:w="1660" w:type="dxa"/>
            <w:gridSpan w:val="3"/>
            <w:tcBorders>
              <w:top w:val="nil"/>
              <w:left w:val="nil"/>
              <w:bottom w:val="single" w:sz="4" w:space="0" w:color="auto"/>
              <w:right w:val="single" w:sz="8" w:space="0" w:color="000000"/>
            </w:tcBorders>
            <w:shd w:val="clear" w:color="000000" w:fill="FFFFFF"/>
            <w:noWrap/>
            <w:vAlign w:val="center"/>
          </w:tcPr>
          <w:p w:rsidR="00664E86" w:rsidRPr="00F849C3" w:rsidRDefault="00664E86" w:rsidP="00664E86">
            <w:pPr>
              <w:jc w:val="right"/>
              <w:rPr>
                <w:sz w:val="20"/>
                <w:szCs w:val="20"/>
              </w:rPr>
            </w:pPr>
            <w:r w:rsidRPr="00F849C3">
              <w:rPr>
                <w:sz w:val="20"/>
                <w:szCs w:val="20"/>
              </w:rPr>
              <w:t xml:space="preserve">      </w:t>
            </w:r>
            <w:r>
              <w:rPr>
                <w:sz w:val="20"/>
                <w:szCs w:val="20"/>
              </w:rPr>
              <w:t>30 000 000</w:t>
            </w:r>
            <w:r w:rsidRPr="00F849C3">
              <w:rPr>
                <w:sz w:val="20"/>
                <w:szCs w:val="20"/>
              </w:rPr>
              <w:t xml:space="preserve">,00 </w:t>
            </w:r>
          </w:p>
        </w:tc>
      </w:tr>
      <w:tr w:rsidR="00664E86" w:rsidRPr="008676F9" w:rsidTr="00564D41">
        <w:trPr>
          <w:gridAfter w:val="2"/>
          <w:wAfter w:w="293" w:type="dxa"/>
          <w:trHeight w:val="499"/>
        </w:trPr>
        <w:tc>
          <w:tcPr>
            <w:tcW w:w="1660" w:type="dxa"/>
            <w:vMerge/>
            <w:tcBorders>
              <w:top w:val="single" w:sz="4" w:space="0" w:color="000000"/>
              <w:left w:val="single" w:sz="8" w:space="0" w:color="000000"/>
              <w:bottom w:val="single" w:sz="4" w:space="0" w:color="000000"/>
              <w:right w:val="single" w:sz="4" w:space="0" w:color="000000"/>
            </w:tcBorders>
            <w:vAlign w:val="center"/>
          </w:tcPr>
          <w:p w:rsidR="00664E86" w:rsidRPr="008676F9" w:rsidRDefault="00664E86" w:rsidP="008676F9">
            <w:pPr>
              <w:rPr>
                <w:rFonts w:ascii="Calibri" w:eastAsia="Calibri" w:hAnsi="Calibri"/>
                <w:b/>
                <w:bCs/>
                <w:sz w:val="16"/>
                <w:szCs w:val="16"/>
              </w:rPr>
            </w:pPr>
          </w:p>
        </w:tc>
        <w:tc>
          <w:tcPr>
            <w:tcW w:w="4360" w:type="dxa"/>
            <w:gridSpan w:val="6"/>
            <w:tcBorders>
              <w:top w:val="single" w:sz="4" w:space="0" w:color="auto"/>
              <w:left w:val="nil"/>
              <w:bottom w:val="single" w:sz="4" w:space="0" w:color="auto"/>
              <w:right w:val="single" w:sz="4" w:space="0" w:color="auto"/>
            </w:tcBorders>
            <w:shd w:val="clear" w:color="000000" w:fill="FFFFFF"/>
            <w:vAlign w:val="center"/>
          </w:tcPr>
          <w:p w:rsidR="00664E86" w:rsidRPr="008676F9" w:rsidRDefault="00664E86" w:rsidP="008676F9">
            <w:pPr>
              <w:rPr>
                <w:rFonts w:ascii="Calibri" w:eastAsia="Calibri" w:hAnsi="Calibri"/>
                <w:sz w:val="16"/>
                <w:szCs w:val="16"/>
              </w:rPr>
            </w:pPr>
            <w:r w:rsidRPr="008676F9">
              <w:rPr>
                <w:rFonts w:ascii="Calibri" w:eastAsia="Calibri" w:hAnsi="Calibri"/>
                <w:sz w:val="16"/>
                <w:szCs w:val="16"/>
              </w:rPr>
              <w:t>Celkové verejné výdavky (€)</w:t>
            </w:r>
          </w:p>
        </w:tc>
        <w:tc>
          <w:tcPr>
            <w:tcW w:w="1660" w:type="dxa"/>
            <w:gridSpan w:val="3"/>
            <w:tcBorders>
              <w:top w:val="nil"/>
              <w:left w:val="nil"/>
              <w:bottom w:val="single" w:sz="4" w:space="0" w:color="auto"/>
              <w:right w:val="single" w:sz="8" w:space="0" w:color="000000"/>
            </w:tcBorders>
            <w:shd w:val="clear" w:color="000000" w:fill="FFFFFF"/>
            <w:noWrap/>
            <w:vAlign w:val="center"/>
          </w:tcPr>
          <w:p w:rsidR="00664E86" w:rsidRPr="00F849C3" w:rsidRDefault="00664E86" w:rsidP="00664E86">
            <w:pPr>
              <w:jc w:val="right"/>
              <w:rPr>
                <w:sz w:val="20"/>
                <w:szCs w:val="20"/>
              </w:rPr>
            </w:pPr>
            <w:r w:rsidRPr="00F849C3">
              <w:rPr>
                <w:sz w:val="20"/>
                <w:szCs w:val="20"/>
              </w:rPr>
              <w:t xml:space="preserve">      </w:t>
            </w:r>
            <w:r>
              <w:rPr>
                <w:sz w:val="20"/>
                <w:szCs w:val="20"/>
              </w:rPr>
              <w:t>30 000 000</w:t>
            </w:r>
            <w:r w:rsidRPr="00F849C3">
              <w:rPr>
                <w:sz w:val="20"/>
                <w:szCs w:val="20"/>
              </w:rPr>
              <w:t xml:space="preserve">,00 </w:t>
            </w:r>
          </w:p>
        </w:tc>
      </w:tr>
      <w:tr w:rsidR="00664E86" w:rsidRPr="008676F9" w:rsidTr="00564D41">
        <w:trPr>
          <w:gridAfter w:val="2"/>
          <w:wAfter w:w="293" w:type="dxa"/>
          <w:trHeight w:val="499"/>
        </w:trPr>
        <w:tc>
          <w:tcPr>
            <w:tcW w:w="1660" w:type="dxa"/>
            <w:vMerge w:val="restart"/>
            <w:tcBorders>
              <w:top w:val="nil"/>
              <w:left w:val="single" w:sz="8" w:space="0" w:color="000000"/>
              <w:bottom w:val="single" w:sz="4" w:space="0" w:color="000000"/>
              <w:right w:val="single" w:sz="4" w:space="0" w:color="auto"/>
            </w:tcBorders>
            <w:shd w:val="clear" w:color="000000" w:fill="FFFFFF"/>
            <w:vAlign w:val="center"/>
          </w:tcPr>
          <w:p w:rsidR="00664E86" w:rsidRPr="008676F9" w:rsidRDefault="00664E86" w:rsidP="008676F9">
            <w:pPr>
              <w:jc w:val="center"/>
              <w:rPr>
                <w:rFonts w:ascii="Calibri" w:eastAsia="Calibri" w:hAnsi="Calibri"/>
                <w:b/>
                <w:bCs/>
                <w:sz w:val="16"/>
                <w:szCs w:val="16"/>
              </w:rPr>
            </w:pPr>
            <w:r w:rsidRPr="008676F9">
              <w:rPr>
                <w:rFonts w:ascii="Calibri" w:eastAsia="Calibri" w:hAnsi="Calibri"/>
                <w:b/>
                <w:bCs/>
                <w:sz w:val="16"/>
                <w:szCs w:val="16"/>
              </w:rPr>
              <w:t>1 (14)</w:t>
            </w:r>
          </w:p>
        </w:tc>
        <w:tc>
          <w:tcPr>
            <w:tcW w:w="1660" w:type="dxa"/>
            <w:gridSpan w:val="3"/>
            <w:vMerge w:val="restart"/>
            <w:tcBorders>
              <w:top w:val="nil"/>
              <w:left w:val="single" w:sz="4" w:space="0" w:color="auto"/>
              <w:bottom w:val="single" w:sz="4" w:space="0" w:color="auto"/>
              <w:right w:val="single" w:sz="4" w:space="0" w:color="auto"/>
            </w:tcBorders>
            <w:shd w:val="clear" w:color="000000" w:fill="FFFFFF"/>
            <w:vAlign w:val="center"/>
          </w:tcPr>
          <w:p w:rsidR="00664E86" w:rsidRPr="008676F9" w:rsidRDefault="00664E86" w:rsidP="008676F9">
            <w:pPr>
              <w:rPr>
                <w:rFonts w:ascii="Calibri" w:eastAsia="Calibri" w:hAnsi="Calibri"/>
                <w:sz w:val="16"/>
                <w:szCs w:val="16"/>
              </w:rPr>
            </w:pPr>
            <w:r w:rsidRPr="008676F9">
              <w:rPr>
                <w:rFonts w:ascii="Calibri" w:eastAsia="Calibri" w:hAnsi="Calibri"/>
                <w:sz w:val="16"/>
                <w:szCs w:val="16"/>
              </w:rPr>
              <w:t xml:space="preserve">Školenia/získavanie </w:t>
            </w:r>
            <w:r w:rsidRPr="008676F9">
              <w:rPr>
                <w:rFonts w:ascii="Calibri" w:eastAsia="Calibri" w:hAnsi="Calibri"/>
                <w:sz w:val="16"/>
                <w:szCs w:val="16"/>
              </w:rPr>
              <w:br/>
              <w:t>praktických zručností  (1.1)</w:t>
            </w:r>
          </w:p>
        </w:tc>
        <w:tc>
          <w:tcPr>
            <w:tcW w:w="2700" w:type="dxa"/>
            <w:gridSpan w:val="3"/>
            <w:tcBorders>
              <w:top w:val="nil"/>
              <w:left w:val="nil"/>
              <w:bottom w:val="single" w:sz="4" w:space="0" w:color="auto"/>
              <w:right w:val="single" w:sz="4" w:space="0" w:color="auto"/>
            </w:tcBorders>
            <w:shd w:val="clear" w:color="000000" w:fill="FFFFFF"/>
            <w:vAlign w:val="center"/>
          </w:tcPr>
          <w:p w:rsidR="00664E86" w:rsidRPr="008676F9" w:rsidRDefault="00664E86" w:rsidP="008676F9">
            <w:pPr>
              <w:rPr>
                <w:rFonts w:ascii="Calibri" w:eastAsia="Calibri" w:hAnsi="Calibri"/>
                <w:sz w:val="16"/>
                <w:szCs w:val="16"/>
              </w:rPr>
            </w:pPr>
            <w:r w:rsidRPr="008676F9">
              <w:rPr>
                <w:rFonts w:ascii="Calibri" w:eastAsia="Calibri" w:hAnsi="Calibri"/>
                <w:sz w:val="16"/>
                <w:szCs w:val="16"/>
              </w:rPr>
              <w:t>Počet účastníkov vzdelávania</w:t>
            </w:r>
          </w:p>
        </w:tc>
        <w:tc>
          <w:tcPr>
            <w:tcW w:w="1660" w:type="dxa"/>
            <w:gridSpan w:val="3"/>
            <w:tcBorders>
              <w:top w:val="nil"/>
              <w:left w:val="nil"/>
              <w:bottom w:val="single" w:sz="4" w:space="0" w:color="auto"/>
              <w:right w:val="single" w:sz="8" w:space="0" w:color="000000"/>
            </w:tcBorders>
            <w:shd w:val="clear" w:color="000000" w:fill="FFFFFF"/>
            <w:noWrap/>
            <w:vAlign w:val="center"/>
          </w:tcPr>
          <w:p w:rsidR="00664E86" w:rsidRPr="00F849C3" w:rsidRDefault="00664E86" w:rsidP="00664E86">
            <w:pPr>
              <w:jc w:val="right"/>
              <w:rPr>
                <w:sz w:val="20"/>
                <w:szCs w:val="20"/>
              </w:rPr>
            </w:pPr>
            <w:r w:rsidRPr="00F849C3">
              <w:rPr>
                <w:sz w:val="20"/>
                <w:szCs w:val="20"/>
              </w:rPr>
              <w:t xml:space="preserve">                    </w:t>
            </w:r>
            <w:r>
              <w:rPr>
                <w:sz w:val="20"/>
                <w:szCs w:val="20"/>
              </w:rPr>
              <w:t>5</w:t>
            </w:r>
            <w:r w:rsidRPr="00F849C3">
              <w:rPr>
                <w:sz w:val="20"/>
                <w:szCs w:val="20"/>
              </w:rPr>
              <w:t xml:space="preserve">00 </w:t>
            </w:r>
          </w:p>
        </w:tc>
      </w:tr>
      <w:tr w:rsidR="00664E86" w:rsidRPr="008676F9" w:rsidTr="00564D41">
        <w:trPr>
          <w:gridAfter w:val="2"/>
          <w:wAfter w:w="293" w:type="dxa"/>
          <w:trHeight w:val="499"/>
        </w:trPr>
        <w:tc>
          <w:tcPr>
            <w:tcW w:w="1660" w:type="dxa"/>
            <w:vMerge/>
            <w:tcBorders>
              <w:top w:val="nil"/>
              <w:left w:val="single" w:sz="8" w:space="0" w:color="000000"/>
              <w:bottom w:val="single" w:sz="4" w:space="0" w:color="000000"/>
              <w:right w:val="single" w:sz="4" w:space="0" w:color="auto"/>
            </w:tcBorders>
            <w:vAlign w:val="center"/>
          </w:tcPr>
          <w:p w:rsidR="00664E86" w:rsidRPr="008676F9" w:rsidRDefault="00664E86" w:rsidP="008676F9">
            <w:pPr>
              <w:rPr>
                <w:rFonts w:ascii="Calibri" w:eastAsia="Calibri" w:hAnsi="Calibri"/>
                <w:b/>
                <w:bCs/>
                <w:sz w:val="16"/>
                <w:szCs w:val="16"/>
              </w:rPr>
            </w:pPr>
          </w:p>
        </w:tc>
        <w:tc>
          <w:tcPr>
            <w:tcW w:w="1660" w:type="dxa"/>
            <w:gridSpan w:val="3"/>
            <w:vMerge/>
            <w:tcBorders>
              <w:top w:val="nil"/>
              <w:left w:val="single" w:sz="4" w:space="0" w:color="auto"/>
              <w:bottom w:val="single" w:sz="4" w:space="0" w:color="auto"/>
              <w:right w:val="single" w:sz="4" w:space="0" w:color="auto"/>
            </w:tcBorders>
            <w:vAlign w:val="center"/>
          </w:tcPr>
          <w:p w:rsidR="00664E86" w:rsidRPr="008676F9" w:rsidRDefault="00664E86" w:rsidP="008676F9">
            <w:pPr>
              <w:rPr>
                <w:rFonts w:ascii="Calibri" w:eastAsia="Calibri" w:hAnsi="Calibri"/>
                <w:sz w:val="16"/>
                <w:szCs w:val="16"/>
              </w:rPr>
            </w:pPr>
          </w:p>
        </w:tc>
        <w:tc>
          <w:tcPr>
            <w:tcW w:w="2700" w:type="dxa"/>
            <w:gridSpan w:val="3"/>
            <w:tcBorders>
              <w:top w:val="nil"/>
              <w:left w:val="nil"/>
              <w:bottom w:val="single" w:sz="4" w:space="0" w:color="auto"/>
              <w:right w:val="single" w:sz="4" w:space="0" w:color="auto"/>
            </w:tcBorders>
            <w:shd w:val="clear" w:color="000000" w:fill="FFFFFF"/>
            <w:vAlign w:val="center"/>
          </w:tcPr>
          <w:p w:rsidR="00664E86" w:rsidRPr="008676F9" w:rsidRDefault="00664E86" w:rsidP="008676F9">
            <w:pPr>
              <w:rPr>
                <w:rFonts w:ascii="Calibri" w:eastAsia="Calibri" w:hAnsi="Calibri"/>
                <w:sz w:val="16"/>
                <w:szCs w:val="16"/>
              </w:rPr>
            </w:pPr>
            <w:r w:rsidRPr="008676F9">
              <w:rPr>
                <w:rFonts w:ascii="Calibri" w:eastAsia="Calibri" w:hAnsi="Calibri"/>
                <w:sz w:val="16"/>
                <w:szCs w:val="16"/>
              </w:rPr>
              <w:t>Celkové verejné výdavky na školenia (1.1)</w:t>
            </w:r>
          </w:p>
        </w:tc>
        <w:tc>
          <w:tcPr>
            <w:tcW w:w="1660" w:type="dxa"/>
            <w:gridSpan w:val="3"/>
            <w:tcBorders>
              <w:top w:val="nil"/>
              <w:left w:val="nil"/>
              <w:bottom w:val="single" w:sz="4" w:space="0" w:color="auto"/>
              <w:right w:val="single" w:sz="8" w:space="0" w:color="000000"/>
            </w:tcBorders>
            <w:shd w:val="clear" w:color="000000" w:fill="FFFFFF"/>
            <w:noWrap/>
            <w:vAlign w:val="center"/>
          </w:tcPr>
          <w:p w:rsidR="00664E86" w:rsidRPr="00F849C3" w:rsidRDefault="00664E86" w:rsidP="00664E86">
            <w:pPr>
              <w:jc w:val="right"/>
              <w:rPr>
                <w:sz w:val="20"/>
                <w:szCs w:val="20"/>
              </w:rPr>
            </w:pPr>
            <w:r>
              <w:rPr>
                <w:sz w:val="20"/>
                <w:szCs w:val="20"/>
              </w:rPr>
              <w:t>9</w:t>
            </w:r>
            <w:r w:rsidRPr="00F849C3">
              <w:rPr>
                <w:sz w:val="20"/>
                <w:szCs w:val="20"/>
              </w:rPr>
              <w:t xml:space="preserve">00 000,00                      </w:t>
            </w:r>
          </w:p>
        </w:tc>
      </w:tr>
      <w:tr w:rsidR="00664E86" w:rsidRPr="008676F9" w:rsidTr="00564D41">
        <w:trPr>
          <w:gridAfter w:val="2"/>
          <w:wAfter w:w="293" w:type="dxa"/>
          <w:trHeight w:val="499"/>
        </w:trPr>
        <w:tc>
          <w:tcPr>
            <w:tcW w:w="1660" w:type="dxa"/>
            <w:vMerge/>
            <w:tcBorders>
              <w:top w:val="nil"/>
              <w:left w:val="single" w:sz="8" w:space="0" w:color="000000"/>
              <w:bottom w:val="single" w:sz="4" w:space="0" w:color="000000"/>
              <w:right w:val="single" w:sz="4" w:space="0" w:color="auto"/>
            </w:tcBorders>
            <w:vAlign w:val="center"/>
          </w:tcPr>
          <w:p w:rsidR="00664E86" w:rsidRPr="008676F9" w:rsidRDefault="00664E86" w:rsidP="008676F9">
            <w:pPr>
              <w:rPr>
                <w:rFonts w:ascii="Calibri" w:eastAsia="Calibri" w:hAnsi="Calibri"/>
                <w:b/>
                <w:bCs/>
                <w:sz w:val="16"/>
                <w:szCs w:val="16"/>
              </w:rPr>
            </w:pPr>
          </w:p>
        </w:tc>
        <w:tc>
          <w:tcPr>
            <w:tcW w:w="4360" w:type="dxa"/>
            <w:gridSpan w:val="6"/>
            <w:tcBorders>
              <w:top w:val="single" w:sz="4" w:space="0" w:color="auto"/>
              <w:left w:val="nil"/>
              <w:bottom w:val="single" w:sz="4" w:space="0" w:color="auto"/>
              <w:right w:val="single" w:sz="4" w:space="0" w:color="auto"/>
            </w:tcBorders>
            <w:shd w:val="clear" w:color="000000" w:fill="FFFFFF"/>
            <w:vAlign w:val="center"/>
          </w:tcPr>
          <w:p w:rsidR="00664E86" w:rsidRPr="008676F9" w:rsidRDefault="00664E86" w:rsidP="008676F9">
            <w:pPr>
              <w:rPr>
                <w:rFonts w:ascii="Calibri" w:eastAsia="Calibri" w:hAnsi="Calibri"/>
                <w:sz w:val="16"/>
                <w:szCs w:val="16"/>
              </w:rPr>
            </w:pPr>
            <w:r w:rsidRPr="008676F9">
              <w:rPr>
                <w:rFonts w:ascii="Calibri" w:eastAsia="Calibri" w:hAnsi="Calibri"/>
                <w:sz w:val="16"/>
                <w:szCs w:val="16"/>
              </w:rPr>
              <w:t>Celkové verejné výdavky  € (školenia, informačné aktivity, demonštračné  predvádzacie činnosti ) (1.1,1.2)</w:t>
            </w:r>
          </w:p>
        </w:tc>
        <w:tc>
          <w:tcPr>
            <w:tcW w:w="1660" w:type="dxa"/>
            <w:gridSpan w:val="3"/>
            <w:tcBorders>
              <w:top w:val="nil"/>
              <w:left w:val="nil"/>
              <w:bottom w:val="single" w:sz="4" w:space="0" w:color="auto"/>
              <w:right w:val="single" w:sz="8" w:space="0" w:color="000000"/>
            </w:tcBorders>
            <w:shd w:val="clear" w:color="000000" w:fill="FFFFFF"/>
            <w:noWrap/>
            <w:vAlign w:val="center"/>
          </w:tcPr>
          <w:p w:rsidR="00664E86" w:rsidRPr="008676F9" w:rsidRDefault="00664E86" w:rsidP="008676F9">
            <w:pPr>
              <w:jc w:val="right"/>
              <w:rPr>
                <w:rFonts w:ascii="Calibri" w:eastAsia="Calibri" w:hAnsi="Calibri"/>
                <w:sz w:val="20"/>
                <w:szCs w:val="20"/>
              </w:rPr>
            </w:pPr>
            <w:r w:rsidRPr="00F849C3">
              <w:rPr>
                <w:sz w:val="20"/>
                <w:szCs w:val="20"/>
              </w:rPr>
              <w:t xml:space="preserve">         </w:t>
            </w:r>
            <w:r>
              <w:rPr>
                <w:sz w:val="20"/>
                <w:szCs w:val="20"/>
              </w:rPr>
              <w:t xml:space="preserve">1 </w:t>
            </w:r>
            <w:r w:rsidRPr="00F849C3">
              <w:rPr>
                <w:sz w:val="20"/>
                <w:szCs w:val="20"/>
              </w:rPr>
              <w:t>300 000,00</w:t>
            </w:r>
          </w:p>
        </w:tc>
      </w:tr>
      <w:tr w:rsidR="008676F9" w:rsidRPr="008676F9" w:rsidTr="00564D41">
        <w:trPr>
          <w:gridAfter w:val="2"/>
          <w:wAfter w:w="293" w:type="dxa"/>
          <w:trHeight w:val="499"/>
        </w:trPr>
        <w:tc>
          <w:tcPr>
            <w:tcW w:w="1660" w:type="dxa"/>
            <w:vMerge w:val="restart"/>
            <w:tcBorders>
              <w:top w:val="nil"/>
              <w:left w:val="single" w:sz="8" w:space="0" w:color="000000"/>
              <w:bottom w:val="single" w:sz="8" w:space="0" w:color="000000"/>
              <w:right w:val="single" w:sz="4" w:space="0" w:color="auto"/>
            </w:tcBorders>
            <w:shd w:val="clear" w:color="000000" w:fill="FFFFFF"/>
            <w:vAlign w:val="center"/>
          </w:tcPr>
          <w:p w:rsidR="008676F9" w:rsidRPr="008676F9" w:rsidRDefault="008676F9" w:rsidP="008676F9">
            <w:pPr>
              <w:jc w:val="center"/>
              <w:rPr>
                <w:rFonts w:ascii="Calibri" w:eastAsia="Calibri" w:hAnsi="Calibri"/>
                <w:b/>
                <w:bCs/>
                <w:sz w:val="16"/>
                <w:szCs w:val="16"/>
              </w:rPr>
            </w:pPr>
            <w:r w:rsidRPr="008676F9">
              <w:rPr>
                <w:rFonts w:ascii="Calibri" w:eastAsia="Calibri" w:hAnsi="Calibri"/>
                <w:b/>
                <w:bCs/>
                <w:sz w:val="16"/>
                <w:szCs w:val="16"/>
              </w:rPr>
              <w:t>2 (15)</w:t>
            </w:r>
          </w:p>
        </w:tc>
        <w:tc>
          <w:tcPr>
            <w:tcW w:w="4360" w:type="dxa"/>
            <w:gridSpan w:val="6"/>
            <w:tcBorders>
              <w:top w:val="single" w:sz="4" w:space="0" w:color="auto"/>
              <w:left w:val="nil"/>
              <w:bottom w:val="single" w:sz="4" w:space="0" w:color="auto"/>
              <w:right w:val="single" w:sz="4" w:space="0" w:color="auto"/>
            </w:tcBorders>
            <w:shd w:val="clear" w:color="000000" w:fill="FFFFFF"/>
            <w:vAlign w:val="center"/>
          </w:tcPr>
          <w:p w:rsidR="008676F9" w:rsidRPr="008676F9" w:rsidRDefault="008676F9" w:rsidP="008676F9">
            <w:pPr>
              <w:rPr>
                <w:rFonts w:ascii="Calibri" w:eastAsia="Calibri" w:hAnsi="Calibri"/>
                <w:sz w:val="16"/>
                <w:szCs w:val="16"/>
              </w:rPr>
            </w:pPr>
            <w:r w:rsidRPr="008676F9">
              <w:rPr>
                <w:rFonts w:ascii="Calibri" w:eastAsia="Calibri" w:hAnsi="Calibri"/>
                <w:sz w:val="16"/>
                <w:szCs w:val="16"/>
              </w:rPr>
              <w:t>Počet subjektov, kde bolo vykonané poradenstvo (2.1)</w:t>
            </w:r>
          </w:p>
        </w:tc>
        <w:tc>
          <w:tcPr>
            <w:tcW w:w="1660" w:type="dxa"/>
            <w:gridSpan w:val="3"/>
            <w:tcBorders>
              <w:top w:val="nil"/>
              <w:left w:val="nil"/>
              <w:bottom w:val="single" w:sz="4" w:space="0" w:color="auto"/>
              <w:right w:val="single" w:sz="8" w:space="0" w:color="000000"/>
            </w:tcBorders>
            <w:shd w:val="clear" w:color="000000" w:fill="FFFFFF"/>
            <w:noWrap/>
            <w:vAlign w:val="center"/>
          </w:tcPr>
          <w:p w:rsidR="008676F9" w:rsidRPr="008676F9" w:rsidRDefault="008676F9" w:rsidP="008676F9">
            <w:pPr>
              <w:jc w:val="right"/>
              <w:rPr>
                <w:rFonts w:ascii="Calibri" w:eastAsia="Calibri" w:hAnsi="Calibri"/>
                <w:sz w:val="20"/>
                <w:szCs w:val="20"/>
              </w:rPr>
            </w:pPr>
            <w:r w:rsidRPr="008676F9">
              <w:rPr>
                <w:rFonts w:ascii="Calibri" w:eastAsia="Calibri" w:hAnsi="Calibri"/>
                <w:sz w:val="20"/>
                <w:szCs w:val="20"/>
              </w:rPr>
              <w:t xml:space="preserve">                     40 </w:t>
            </w:r>
          </w:p>
        </w:tc>
      </w:tr>
      <w:tr w:rsidR="008676F9" w:rsidRPr="008676F9" w:rsidTr="00564D41">
        <w:trPr>
          <w:gridAfter w:val="2"/>
          <w:wAfter w:w="293" w:type="dxa"/>
          <w:trHeight w:val="499"/>
        </w:trPr>
        <w:tc>
          <w:tcPr>
            <w:tcW w:w="1660" w:type="dxa"/>
            <w:vMerge/>
            <w:tcBorders>
              <w:top w:val="nil"/>
              <w:left w:val="single" w:sz="8" w:space="0" w:color="000000"/>
              <w:bottom w:val="single" w:sz="8" w:space="0" w:color="000000"/>
              <w:right w:val="single" w:sz="4" w:space="0" w:color="auto"/>
            </w:tcBorders>
            <w:vAlign w:val="center"/>
          </w:tcPr>
          <w:p w:rsidR="008676F9" w:rsidRPr="008676F9" w:rsidRDefault="008676F9" w:rsidP="008676F9">
            <w:pPr>
              <w:rPr>
                <w:rFonts w:ascii="Calibri" w:eastAsia="Calibri" w:hAnsi="Calibri"/>
                <w:b/>
                <w:bCs/>
                <w:sz w:val="16"/>
                <w:szCs w:val="16"/>
              </w:rPr>
            </w:pPr>
          </w:p>
        </w:tc>
        <w:tc>
          <w:tcPr>
            <w:tcW w:w="4360" w:type="dxa"/>
            <w:gridSpan w:val="6"/>
            <w:tcBorders>
              <w:top w:val="single" w:sz="4" w:space="0" w:color="auto"/>
              <w:left w:val="nil"/>
              <w:bottom w:val="single" w:sz="8" w:space="0" w:color="000000"/>
              <w:right w:val="single" w:sz="4" w:space="0" w:color="auto"/>
            </w:tcBorders>
            <w:shd w:val="clear" w:color="000000" w:fill="FFFFFF"/>
            <w:vAlign w:val="center"/>
          </w:tcPr>
          <w:p w:rsidR="008676F9" w:rsidRPr="008676F9" w:rsidRDefault="008676F9" w:rsidP="008676F9">
            <w:pPr>
              <w:rPr>
                <w:rFonts w:ascii="Calibri" w:eastAsia="Calibri" w:hAnsi="Calibri"/>
                <w:sz w:val="16"/>
                <w:szCs w:val="16"/>
              </w:rPr>
            </w:pPr>
            <w:r w:rsidRPr="008676F9">
              <w:rPr>
                <w:rFonts w:ascii="Calibri" w:eastAsia="Calibri" w:hAnsi="Calibri"/>
                <w:sz w:val="16"/>
                <w:szCs w:val="16"/>
              </w:rPr>
              <w:t>Celkové verejné výdavky  € (2.1, 2.3)</w:t>
            </w:r>
          </w:p>
        </w:tc>
        <w:tc>
          <w:tcPr>
            <w:tcW w:w="1660" w:type="dxa"/>
            <w:gridSpan w:val="3"/>
            <w:tcBorders>
              <w:top w:val="nil"/>
              <w:left w:val="nil"/>
              <w:bottom w:val="single" w:sz="8" w:space="0" w:color="000000"/>
              <w:right w:val="single" w:sz="8" w:space="0" w:color="000000"/>
            </w:tcBorders>
            <w:shd w:val="clear" w:color="000000" w:fill="FFFFFF"/>
            <w:noWrap/>
            <w:vAlign w:val="center"/>
          </w:tcPr>
          <w:p w:rsidR="008676F9" w:rsidRPr="008676F9" w:rsidRDefault="008676F9" w:rsidP="008676F9">
            <w:pPr>
              <w:jc w:val="right"/>
              <w:rPr>
                <w:rFonts w:ascii="Calibri" w:eastAsia="Calibri" w:hAnsi="Calibri"/>
                <w:sz w:val="20"/>
                <w:szCs w:val="20"/>
              </w:rPr>
            </w:pPr>
            <w:r w:rsidRPr="008676F9">
              <w:rPr>
                <w:rFonts w:ascii="Calibri" w:eastAsia="Calibri" w:hAnsi="Calibri"/>
                <w:sz w:val="20"/>
                <w:szCs w:val="20"/>
              </w:rPr>
              <w:t xml:space="preserve">           70 000,00 </w:t>
            </w:r>
          </w:p>
        </w:tc>
      </w:tr>
      <w:tr w:rsidR="008676F9" w:rsidRPr="008676F9" w:rsidTr="00564D41">
        <w:trPr>
          <w:gridAfter w:val="2"/>
          <w:wAfter w:w="293" w:type="dxa"/>
          <w:trHeight w:val="499"/>
        </w:trPr>
        <w:tc>
          <w:tcPr>
            <w:tcW w:w="1660" w:type="dxa"/>
            <w:vMerge w:val="restart"/>
            <w:tcBorders>
              <w:top w:val="nil"/>
              <w:left w:val="single" w:sz="8" w:space="0" w:color="000000"/>
              <w:bottom w:val="single" w:sz="8" w:space="0" w:color="000000"/>
              <w:right w:val="single" w:sz="4" w:space="0" w:color="auto"/>
            </w:tcBorders>
            <w:shd w:val="clear" w:color="000000" w:fill="FFFFFF"/>
            <w:vAlign w:val="center"/>
          </w:tcPr>
          <w:p w:rsidR="008676F9" w:rsidRPr="008676F9" w:rsidRDefault="008676F9" w:rsidP="008676F9">
            <w:pPr>
              <w:jc w:val="center"/>
              <w:rPr>
                <w:rFonts w:ascii="Calibri" w:eastAsia="Calibri" w:hAnsi="Calibri"/>
                <w:b/>
                <w:bCs/>
                <w:sz w:val="16"/>
                <w:szCs w:val="16"/>
              </w:rPr>
            </w:pPr>
            <w:r w:rsidRPr="008676F9">
              <w:rPr>
                <w:rFonts w:ascii="Calibri" w:eastAsia="Calibri" w:hAnsi="Calibri"/>
                <w:b/>
                <w:bCs/>
                <w:sz w:val="16"/>
                <w:szCs w:val="16"/>
              </w:rPr>
              <w:t>4  (17)</w:t>
            </w:r>
          </w:p>
        </w:tc>
        <w:tc>
          <w:tcPr>
            <w:tcW w:w="4360" w:type="dxa"/>
            <w:gridSpan w:val="6"/>
            <w:tcBorders>
              <w:top w:val="single" w:sz="4" w:space="0" w:color="auto"/>
              <w:left w:val="nil"/>
              <w:bottom w:val="single" w:sz="4" w:space="0" w:color="auto"/>
              <w:right w:val="single" w:sz="4" w:space="0" w:color="auto"/>
            </w:tcBorders>
            <w:shd w:val="clear" w:color="000000" w:fill="FFFFFF"/>
            <w:vAlign w:val="center"/>
          </w:tcPr>
          <w:p w:rsidR="008676F9" w:rsidRPr="008676F9" w:rsidRDefault="008676F9" w:rsidP="008676F9">
            <w:pPr>
              <w:rPr>
                <w:rFonts w:ascii="Calibri" w:eastAsia="Calibri" w:hAnsi="Calibri"/>
                <w:sz w:val="16"/>
                <w:szCs w:val="16"/>
              </w:rPr>
            </w:pPr>
            <w:r w:rsidRPr="008676F9">
              <w:rPr>
                <w:rFonts w:ascii="Calibri" w:eastAsia="Calibri" w:hAnsi="Calibri"/>
                <w:sz w:val="16"/>
                <w:szCs w:val="16"/>
              </w:rPr>
              <w:t>Počet podporených podnikov s investíciami v poľ. podnikoch  (podpora podnikateľských plánov mladých farmárov) (4.1)</w:t>
            </w:r>
          </w:p>
        </w:tc>
        <w:tc>
          <w:tcPr>
            <w:tcW w:w="1660" w:type="dxa"/>
            <w:gridSpan w:val="3"/>
            <w:tcBorders>
              <w:top w:val="nil"/>
              <w:left w:val="nil"/>
              <w:bottom w:val="single" w:sz="4" w:space="0" w:color="auto"/>
              <w:right w:val="single" w:sz="8" w:space="0" w:color="000000"/>
            </w:tcBorders>
            <w:shd w:val="clear" w:color="000000" w:fill="FFFFFF"/>
            <w:noWrap/>
            <w:vAlign w:val="center"/>
          </w:tcPr>
          <w:p w:rsidR="008676F9" w:rsidRPr="008676F9" w:rsidRDefault="008676F9" w:rsidP="008676F9">
            <w:pPr>
              <w:jc w:val="right"/>
              <w:rPr>
                <w:rFonts w:ascii="Calibri" w:eastAsia="Calibri" w:hAnsi="Calibri"/>
                <w:sz w:val="20"/>
                <w:szCs w:val="20"/>
              </w:rPr>
            </w:pPr>
            <w:r w:rsidRPr="008676F9">
              <w:rPr>
                <w:rFonts w:ascii="Calibri" w:eastAsia="Calibri" w:hAnsi="Calibri"/>
                <w:sz w:val="20"/>
                <w:szCs w:val="20"/>
              </w:rPr>
              <w:t xml:space="preserve">250                      </w:t>
            </w:r>
          </w:p>
        </w:tc>
      </w:tr>
      <w:tr w:rsidR="008676F9" w:rsidRPr="008676F9" w:rsidTr="00564D41">
        <w:trPr>
          <w:gridAfter w:val="2"/>
          <w:wAfter w:w="293" w:type="dxa"/>
          <w:trHeight w:val="499"/>
        </w:trPr>
        <w:tc>
          <w:tcPr>
            <w:tcW w:w="1660" w:type="dxa"/>
            <w:vMerge/>
            <w:tcBorders>
              <w:top w:val="nil"/>
              <w:left w:val="single" w:sz="8" w:space="0" w:color="000000"/>
              <w:bottom w:val="nil"/>
              <w:right w:val="single" w:sz="4" w:space="0" w:color="auto"/>
            </w:tcBorders>
            <w:vAlign w:val="center"/>
          </w:tcPr>
          <w:p w:rsidR="008676F9" w:rsidRPr="008676F9" w:rsidRDefault="008676F9" w:rsidP="008676F9">
            <w:pPr>
              <w:rPr>
                <w:rFonts w:ascii="Calibri" w:eastAsia="Calibri" w:hAnsi="Calibri"/>
                <w:b/>
                <w:bCs/>
                <w:sz w:val="16"/>
                <w:szCs w:val="16"/>
              </w:rPr>
            </w:pPr>
          </w:p>
        </w:tc>
        <w:tc>
          <w:tcPr>
            <w:tcW w:w="4360" w:type="dxa"/>
            <w:gridSpan w:val="6"/>
            <w:tcBorders>
              <w:top w:val="single" w:sz="4" w:space="0" w:color="auto"/>
              <w:left w:val="nil"/>
              <w:bottom w:val="single" w:sz="4" w:space="0" w:color="auto"/>
              <w:right w:val="single" w:sz="4" w:space="0" w:color="auto"/>
            </w:tcBorders>
            <w:shd w:val="clear" w:color="000000" w:fill="FFFFFF"/>
            <w:vAlign w:val="center"/>
          </w:tcPr>
          <w:p w:rsidR="008676F9" w:rsidRPr="008676F9" w:rsidRDefault="008676F9" w:rsidP="008676F9">
            <w:pPr>
              <w:rPr>
                <w:rFonts w:ascii="Calibri" w:eastAsia="Calibri" w:hAnsi="Calibri"/>
                <w:sz w:val="16"/>
                <w:szCs w:val="16"/>
              </w:rPr>
            </w:pPr>
            <w:r w:rsidRPr="008676F9">
              <w:rPr>
                <w:rFonts w:ascii="Calibri" w:eastAsia="Calibri" w:hAnsi="Calibri"/>
                <w:sz w:val="16"/>
                <w:szCs w:val="16"/>
              </w:rPr>
              <w:t xml:space="preserve">Celkové investície (verejné + súkromné) </w:t>
            </w:r>
          </w:p>
        </w:tc>
        <w:tc>
          <w:tcPr>
            <w:tcW w:w="1660" w:type="dxa"/>
            <w:gridSpan w:val="3"/>
            <w:tcBorders>
              <w:top w:val="single" w:sz="4" w:space="0" w:color="auto"/>
              <w:left w:val="nil"/>
              <w:bottom w:val="single" w:sz="4" w:space="0" w:color="000000"/>
              <w:right w:val="single" w:sz="8" w:space="0" w:color="000000"/>
            </w:tcBorders>
            <w:shd w:val="clear" w:color="000000" w:fill="FFFFFF"/>
            <w:noWrap/>
            <w:vAlign w:val="center"/>
          </w:tcPr>
          <w:p w:rsidR="008676F9" w:rsidRPr="008676F9" w:rsidRDefault="008676F9" w:rsidP="008676F9">
            <w:pPr>
              <w:jc w:val="right"/>
              <w:rPr>
                <w:rFonts w:ascii="Calibri" w:eastAsia="Calibri" w:hAnsi="Calibri"/>
                <w:sz w:val="20"/>
                <w:szCs w:val="20"/>
              </w:rPr>
            </w:pPr>
            <w:r w:rsidRPr="008676F9">
              <w:rPr>
                <w:rFonts w:ascii="Calibri" w:eastAsia="Calibri" w:hAnsi="Calibri"/>
                <w:sz w:val="20"/>
                <w:szCs w:val="20"/>
              </w:rPr>
              <w:t>30 000 000,00</w:t>
            </w:r>
          </w:p>
        </w:tc>
      </w:tr>
      <w:tr w:rsidR="008676F9" w:rsidRPr="008676F9" w:rsidTr="00564D41">
        <w:trPr>
          <w:gridAfter w:val="2"/>
          <w:wAfter w:w="293" w:type="dxa"/>
          <w:trHeight w:val="499"/>
        </w:trPr>
        <w:tc>
          <w:tcPr>
            <w:tcW w:w="1660" w:type="dxa"/>
            <w:tcBorders>
              <w:top w:val="nil"/>
              <w:left w:val="single" w:sz="8" w:space="0" w:color="000000"/>
              <w:bottom w:val="single" w:sz="8" w:space="0" w:color="000000"/>
              <w:right w:val="single" w:sz="4" w:space="0" w:color="auto"/>
            </w:tcBorders>
            <w:vAlign w:val="center"/>
          </w:tcPr>
          <w:p w:rsidR="008676F9" w:rsidRPr="008676F9" w:rsidRDefault="008676F9" w:rsidP="008676F9">
            <w:pPr>
              <w:rPr>
                <w:rFonts w:ascii="Calibri" w:eastAsia="Calibri" w:hAnsi="Calibri"/>
                <w:b/>
                <w:bCs/>
                <w:sz w:val="16"/>
                <w:szCs w:val="16"/>
              </w:rPr>
            </w:pPr>
          </w:p>
        </w:tc>
        <w:tc>
          <w:tcPr>
            <w:tcW w:w="4360" w:type="dxa"/>
            <w:gridSpan w:val="6"/>
            <w:tcBorders>
              <w:top w:val="single" w:sz="4" w:space="0" w:color="auto"/>
              <w:left w:val="nil"/>
              <w:bottom w:val="single" w:sz="8" w:space="0" w:color="000000"/>
              <w:right w:val="single" w:sz="4" w:space="0" w:color="auto"/>
            </w:tcBorders>
            <w:shd w:val="clear" w:color="000000" w:fill="FFFFFF"/>
            <w:vAlign w:val="center"/>
          </w:tcPr>
          <w:p w:rsidR="008676F9" w:rsidRPr="008676F9" w:rsidRDefault="008676F9" w:rsidP="008676F9">
            <w:pPr>
              <w:rPr>
                <w:rFonts w:ascii="Calibri" w:eastAsia="Calibri" w:hAnsi="Calibri"/>
                <w:sz w:val="16"/>
                <w:szCs w:val="16"/>
              </w:rPr>
            </w:pPr>
            <w:r w:rsidRPr="008676F9">
              <w:rPr>
                <w:rFonts w:ascii="Calibri" w:eastAsia="Calibri" w:hAnsi="Calibri"/>
                <w:sz w:val="16"/>
                <w:szCs w:val="16"/>
              </w:rPr>
              <w:t>Celkové verejné výdavky  € (2.1, 2.3)</w:t>
            </w:r>
          </w:p>
        </w:tc>
        <w:tc>
          <w:tcPr>
            <w:tcW w:w="1660" w:type="dxa"/>
            <w:gridSpan w:val="3"/>
            <w:tcBorders>
              <w:top w:val="single" w:sz="4" w:space="0" w:color="000000"/>
              <w:left w:val="nil"/>
              <w:bottom w:val="single" w:sz="8" w:space="0" w:color="000000"/>
              <w:right w:val="single" w:sz="8" w:space="0" w:color="000000"/>
            </w:tcBorders>
            <w:shd w:val="clear" w:color="000000" w:fill="FFFFFF"/>
            <w:noWrap/>
            <w:vAlign w:val="center"/>
          </w:tcPr>
          <w:p w:rsidR="008676F9" w:rsidRPr="008676F9" w:rsidRDefault="008676F9" w:rsidP="008676F9">
            <w:pPr>
              <w:jc w:val="right"/>
              <w:rPr>
                <w:rFonts w:ascii="Calibri" w:eastAsia="Calibri" w:hAnsi="Calibri"/>
                <w:sz w:val="20"/>
                <w:szCs w:val="20"/>
              </w:rPr>
            </w:pPr>
            <w:r w:rsidRPr="008676F9">
              <w:rPr>
                <w:rFonts w:ascii="Calibri" w:eastAsia="Calibri" w:hAnsi="Calibri"/>
                <w:sz w:val="20"/>
                <w:szCs w:val="20"/>
              </w:rPr>
              <w:t>18 000 000,00</w:t>
            </w:r>
          </w:p>
        </w:tc>
      </w:tr>
    </w:tbl>
    <w:p w:rsidR="008676F9" w:rsidRPr="008676F9" w:rsidRDefault="008676F9" w:rsidP="008676F9">
      <w:pPr>
        <w:spacing w:after="200" w:line="276" w:lineRule="auto"/>
        <w:rPr>
          <w:rFonts w:ascii="Calibri" w:eastAsia="Calibri" w:hAnsi="Calibri"/>
          <w:b/>
          <w:szCs w:val="22"/>
          <w:lang w:eastAsia="en-US"/>
        </w:rPr>
      </w:pPr>
    </w:p>
    <w:p w:rsidR="008676F9" w:rsidRPr="008676F9" w:rsidRDefault="008676F9" w:rsidP="008676F9">
      <w:pPr>
        <w:spacing w:after="200" w:line="276" w:lineRule="auto"/>
        <w:rPr>
          <w:rFonts w:ascii="Calibri" w:eastAsia="Calibri" w:hAnsi="Calibri"/>
          <w:b/>
          <w:szCs w:val="22"/>
          <w:lang w:eastAsia="en-US"/>
        </w:rPr>
      </w:pPr>
    </w:p>
    <w:p w:rsidR="008676F9" w:rsidRPr="008676F9" w:rsidRDefault="008676F9" w:rsidP="008676F9">
      <w:pPr>
        <w:spacing w:after="200" w:line="276" w:lineRule="auto"/>
        <w:rPr>
          <w:rFonts w:ascii="Calibri" w:eastAsia="Calibri" w:hAnsi="Calibri"/>
          <w:b/>
          <w:szCs w:val="22"/>
          <w:lang w:eastAsia="en-US"/>
        </w:rPr>
      </w:pPr>
    </w:p>
    <w:p w:rsidR="008676F9" w:rsidRPr="008676F9" w:rsidRDefault="008676F9" w:rsidP="008676F9">
      <w:pPr>
        <w:spacing w:after="200" w:line="276" w:lineRule="auto"/>
        <w:rPr>
          <w:rFonts w:ascii="Calibri" w:eastAsia="Calibri" w:hAnsi="Calibri"/>
          <w:b/>
          <w:szCs w:val="22"/>
          <w:lang w:eastAsia="en-US"/>
        </w:rPr>
      </w:pPr>
    </w:p>
    <w:p w:rsidR="008676F9" w:rsidRPr="008676F9" w:rsidRDefault="008676F9" w:rsidP="008676F9">
      <w:pPr>
        <w:spacing w:after="200" w:line="276" w:lineRule="auto"/>
        <w:rPr>
          <w:rFonts w:ascii="Calibri" w:eastAsia="Calibri" w:hAnsi="Calibri"/>
          <w:b/>
          <w:szCs w:val="22"/>
          <w:lang w:eastAsia="en-US"/>
        </w:rPr>
      </w:pPr>
    </w:p>
    <w:p w:rsidR="008676F9" w:rsidRPr="008676F9" w:rsidRDefault="008676F9" w:rsidP="008676F9">
      <w:pPr>
        <w:spacing w:after="200" w:line="276" w:lineRule="auto"/>
        <w:rPr>
          <w:rFonts w:ascii="Calibri" w:eastAsia="Calibri" w:hAnsi="Calibri"/>
          <w:b/>
          <w:szCs w:val="22"/>
          <w:lang w:eastAsia="en-US"/>
        </w:rPr>
      </w:pPr>
    </w:p>
    <w:tbl>
      <w:tblPr>
        <w:tblW w:w="7480" w:type="dxa"/>
        <w:tblInd w:w="55" w:type="dxa"/>
        <w:tblCellMar>
          <w:left w:w="70" w:type="dxa"/>
          <w:right w:w="70" w:type="dxa"/>
        </w:tblCellMar>
        <w:tblLook w:val="04A0" w:firstRow="1" w:lastRow="0" w:firstColumn="1" w:lastColumn="0" w:noHBand="0" w:noVBand="1"/>
      </w:tblPr>
      <w:tblGrid>
        <w:gridCol w:w="1780"/>
        <w:gridCol w:w="2000"/>
        <w:gridCol w:w="1560"/>
        <w:gridCol w:w="2140"/>
      </w:tblGrid>
      <w:tr w:rsidR="008676F9" w:rsidRPr="00E820E4" w:rsidTr="00BB33FC">
        <w:trPr>
          <w:trHeight w:val="510"/>
        </w:trPr>
        <w:tc>
          <w:tcPr>
            <w:tcW w:w="7480" w:type="dxa"/>
            <w:gridSpan w:val="4"/>
            <w:tcBorders>
              <w:top w:val="single" w:sz="8" w:space="0" w:color="auto"/>
              <w:left w:val="single" w:sz="8" w:space="0" w:color="auto"/>
              <w:bottom w:val="single" w:sz="4" w:space="0" w:color="auto"/>
              <w:right w:val="single" w:sz="8" w:space="0" w:color="000000"/>
            </w:tcBorders>
            <w:shd w:val="clear" w:color="auto" w:fill="FFFF00"/>
            <w:vAlign w:val="center"/>
            <w:hideMark/>
          </w:tcPr>
          <w:p w:rsidR="008676F9" w:rsidRPr="00E820E4" w:rsidRDefault="008676F9" w:rsidP="008676F9">
            <w:pPr>
              <w:jc w:val="center"/>
              <w:rPr>
                <w:rFonts w:ascii="Calibri" w:hAnsi="Calibri" w:cs="Arial"/>
                <w:b/>
                <w:bCs/>
                <w:color w:val="000000"/>
                <w:szCs w:val="22"/>
              </w:rPr>
            </w:pPr>
            <w:r w:rsidRPr="00E820E4">
              <w:rPr>
                <w:rFonts w:ascii="Calibri" w:hAnsi="Calibri" w:cs="Arial"/>
                <w:b/>
                <w:bCs/>
                <w:color w:val="000000"/>
                <w:szCs w:val="22"/>
              </w:rPr>
              <w:t xml:space="preserve">2C Zlepšenie hospodárskeho výkonu lesných podnikov </w:t>
            </w:r>
          </w:p>
        </w:tc>
      </w:tr>
      <w:tr w:rsidR="008676F9" w:rsidRPr="008676F9" w:rsidTr="00BB33FC">
        <w:trPr>
          <w:trHeight w:val="499"/>
        </w:trPr>
        <w:tc>
          <w:tcPr>
            <w:tcW w:w="1780" w:type="dxa"/>
            <w:vMerge w:val="restart"/>
            <w:tcBorders>
              <w:top w:val="nil"/>
              <w:left w:val="single" w:sz="8" w:space="0" w:color="auto"/>
              <w:bottom w:val="single" w:sz="4" w:space="0" w:color="auto"/>
              <w:right w:val="single" w:sz="4" w:space="0" w:color="auto"/>
            </w:tcBorders>
            <w:shd w:val="clear" w:color="auto" w:fill="auto"/>
            <w:noWrap/>
            <w:vAlign w:val="center"/>
            <w:hideMark/>
          </w:tcPr>
          <w:p w:rsidR="008676F9" w:rsidRPr="008676F9" w:rsidRDefault="008676F9" w:rsidP="008676F9">
            <w:pPr>
              <w:jc w:val="center"/>
              <w:rPr>
                <w:rFonts w:ascii="Calibri" w:hAnsi="Calibri" w:cs="Arial"/>
                <w:b/>
                <w:bCs/>
                <w:sz w:val="18"/>
                <w:szCs w:val="18"/>
              </w:rPr>
            </w:pPr>
            <w:r w:rsidRPr="008676F9">
              <w:rPr>
                <w:rFonts w:ascii="Calibri" w:hAnsi="Calibri" w:cs="Arial"/>
                <w:b/>
                <w:bCs/>
                <w:sz w:val="18"/>
                <w:szCs w:val="18"/>
              </w:rPr>
              <w:t>Cieľ</w:t>
            </w:r>
          </w:p>
        </w:tc>
        <w:tc>
          <w:tcPr>
            <w:tcW w:w="5700" w:type="dxa"/>
            <w:gridSpan w:val="3"/>
            <w:tcBorders>
              <w:top w:val="single" w:sz="4" w:space="0" w:color="auto"/>
              <w:left w:val="nil"/>
              <w:bottom w:val="single" w:sz="4" w:space="0" w:color="auto"/>
              <w:right w:val="single" w:sz="8" w:space="0" w:color="000000"/>
            </w:tcBorders>
            <w:shd w:val="clear" w:color="auto" w:fill="auto"/>
            <w:vAlign w:val="center"/>
            <w:hideMark/>
          </w:tcPr>
          <w:p w:rsidR="008676F9" w:rsidRPr="008676F9" w:rsidRDefault="008676F9" w:rsidP="008676F9">
            <w:pPr>
              <w:jc w:val="center"/>
              <w:rPr>
                <w:rFonts w:ascii="Calibri" w:hAnsi="Calibri" w:cs="Arial"/>
                <w:b/>
                <w:bCs/>
                <w:sz w:val="18"/>
                <w:szCs w:val="18"/>
              </w:rPr>
            </w:pPr>
            <w:r w:rsidRPr="008676F9">
              <w:rPr>
                <w:rFonts w:ascii="Calibri" w:hAnsi="Calibri" w:cs="Arial"/>
                <w:b/>
                <w:bCs/>
                <w:sz w:val="18"/>
                <w:szCs w:val="18"/>
              </w:rPr>
              <w:t>% podporených lesných podnikov  z PRV s investíciami do modernizácie techniky</w:t>
            </w:r>
          </w:p>
        </w:tc>
      </w:tr>
      <w:tr w:rsidR="008676F9" w:rsidRPr="008676F9" w:rsidTr="00BB33FC">
        <w:trPr>
          <w:trHeight w:val="499"/>
        </w:trPr>
        <w:tc>
          <w:tcPr>
            <w:tcW w:w="1780" w:type="dxa"/>
            <w:vMerge/>
            <w:tcBorders>
              <w:top w:val="nil"/>
              <w:left w:val="single" w:sz="8" w:space="0" w:color="auto"/>
              <w:bottom w:val="single" w:sz="4" w:space="0" w:color="auto"/>
              <w:right w:val="single" w:sz="4" w:space="0" w:color="auto"/>
            </w:tcBorders>
            <w:vAlign w:val="center"/>
            <w:hideMark/>
          </w:tcPr>
          <w:p w:rsidR="008676F9" w:rsidRPr="008676F9" w:rsidRDefault="008676F9" w:rsidP="008676F9">
            <w:pPr>
              <w:rPr>
                <w:rFonts w:ascii="Calibri" w:hAnsi="Calibri" w:cs="Arial"/>
                <w:b/>
                <w:bCs/>
                <w:sz w:val="18"/>
                <w:szCs w:val="18"/>
              </w:rPr>
            </w:pPr>
          </w:p>
        </w:tc>
        <w:tc>
          <w:tcPr>
            <w:tcW w:w="2000" w:type="dxa"/>
            <w:tcBorders>
              <w:top w:val="nil"/>
              <w:left w:val="nil"/>
              <w:bottom w:val="single" w:sz="4" w:space="0" w:color="auto"/>
              <w:right w:val="single" w:sz="4" w:space="0" w:color="auto"/>
            </w:tcBorders>
            <w:shd w:val="clear" w:color="auto" w:fill="auto"/>
            <w:vAlign w:val="center"/>
            <w:hideMark/>
          </w:tcPr>
          <w:p w:rsidR="008676F9" w:rsidRPr="008676F9" w:rsidRDefault="008676F9" w:rsidP="008676F9">
            <w:pPr>
              <w:jc w:val="center"/>
              <w:rPr>
                <w:rFonts w:ascii="Calibri" w:hAnsi="Calibri" w:cs="Arial"/>
                <w:b/>
                <w:bCs/>
                <w:sz w:val="18"/>
                <w:szCs w:val="18"/>
              </w:rPr>
            </w:pPr>
            <w:r w:rsidRPr="008676F9">
              <w:rPr>
                <w:rFonts w:ascii="Calibri" w:hAnsi="Calibri" w:cs="Arial"/>
                <w:b/>
                <w:bCs/>
                <w:sz w:val="18"/>
                <w:szCs w:val="18"/>
              </w:rPr>
              <w:t>Počet</w:t>
            </w:r>
          </w:p>
        </w:tc>
        <w:tc>
          <w:tcPr>
            <w:tcW w:w="3700" w:type="dxa"/>
            <w:gridSpan w:val="2"/>
            <w:tcBorders>
              <w:top w:val="single" w:sz="4" w:space="0" w:color="auto"/>
              <w:left w:val="nil"/>
              <w:bottom w:val="single" w:sz="4" w:space="0" w:color="auto"/>
              <w:right w:val="single" w:sz="8" w:space="0" w:color="000000"/>
            </w:tcBorders>
            <w:shd w:val="clear" w:color="auto" w:fill="auto"/>
            <w:vAlign w:val="center"/>
            <w:hideMark/>
          </w:tcPr>
          <w:p w:rsidR="008676F9" w:rsidRPr="008676F9" w:rsidRDefault="008676F9" w:rsidP="008676F9">
            <w:pPr>
              <w:jc w:val="center"/>
              <w:rPr>
                <w:rFonts w:ascii="Calibri" w:hAnsi="Calibri" w:cs="Arial"/>
                <w:b/>
                <w:bCs/>
                <w:sz w:val="18"/>
                <w:szCs w:val="18"/>
              </w:rPr>
            </w:pPr>
            <w:r w:rsidRPr="008676F9">
              <w:rPr>
                <w:rFonts w:ascii="Calibri" w:hAnsi="Calibri" w:cs="Arial"/>
                <w:b/>
                <w:bCs/>
                <w:sz w:val="18"/>
                <w:szCs w:val="18"/>
              </w:rPr>
              <w:t>%</w:t>
            </w:r>
          </w:p>
        </w:tc>
      </w:tr>
      <w:tr w:rsidR="008676F9" w:rsidRPr="008676F9" w:rsidTr="008676F9">
        <w:trPr>
          <w:trHeight w:val="1035"/>
        </w:trPr>
        <w:tc>
          <w:tcPr>
            <w:tcW w:w="1780" w:type="dxa"/>
            <w:tcBorders>
              <w:top w:val="nil"/>
              <w:left w:val="single" w:sz="8" w:space="0" w:color="auto"/>
              <w:bottom w:val="single" w:sz="4" w:space="0" w:color="auto"/>
              <w:right w:val="single" w:sz="4" w:space="0" w:color="auto"/>
            </w:tcBorders>
            <w:shd w:val="clear" w:color="auto" w:fill="auto"/>
            <w:vAlign w:val="center"/>
            <w:hideMark/>
          </w:tcPr>
          <w:p w:rsidR="008676F9" w:rsidRPr="008676F9" w:rsidRDefault="008676F9" w:rsidP="008676F9">
            <w:pPr>
              <w:jc w:val="center"/>
              <w:rPr>
                <w:rFonts w:ascii="Calibri" w:hAnsi="Calibri" w:cs="Arial"/>
                <w:b/>
                <w:bCs/>
                <w:sz w:val="18"/>
                <w:szCs w:val="18"/>
              </w:rPr>
            </w:pPr>
            <w:r w:rsidRPr="008676F9">
              <w:rPr>
                <w:rFonts w:ascii="Calibri" w:hAnsi="Calibri" w:cs="Arial"/>
                <w:b/>
                <w:bCs/>
                <w:sz w:val="18"/>
                <w:szCs w:val="18"/>
              </w:rPr>
              <w:t>Podporené les.podniky</w:t>
            </w:r>
            <w:r w:rsidRPr="008676F9">
              <w:rPr>
                <w:rFonts w:ascii="Calibri" w:hAnsi="Calibri" w:cs="Arial"/>
                <w:b/>
                <w:bCs/>
                <w:sz w:val="18"/>
                <w:szCs w:val="18"/>
              </w:rPr>
              <w:br/>
              <w:t xml:space="preserve">s investíciami </w:t>
            </w:r>
            <w:r w:rsidRPr="008676F9">
              <w:rPr>
                <w:rFonts w:ascii="Calibri" w:hAnsi="Calibri" w:cs="Arial"/>
                <w:b/>
                <w:bCs/>
                <w:sz w:val="18"/>
                <w:szCs w:val="18"/>
              </w:rPr>
              <w:br/>
              <w:t>do r.2020</w:t>
            </w:r>
          </w:p>
        </w:tc>
        <w:tc>
          <w:tcPr>
            <w:tcW w:w="2000" w:type="dxa"/>
            <w:tcBorders>
              <w:top w:val="nil"/>
              <w:left w:val="nil"/>
              <w:bottom w:val="single" w:sz="4" w:space="0" w:color="auto"/>
              <w:right w:val="single" w:sz="4" w:space="0" w:color="auto"/>
            </w:tcBorders>
            <w:shd w:val="clear" w:color="auto" w:fill="FFFFFF"/>
            <w:vAlign w:val="center"/>
            <w:hideMark/>
          </w:tcPr>
          <w:p w:rsidR="008676F9" w:rsidRPr="008676F9" w:rsidRDefault="008676F9" w:rsidP="008676F9">
            <w:pPr>
              <w:jc w:val="center"/>
              <w:rPr>
                <w:rFonts w:ascii="Calibri" w:hAnsi="Calibri" w:cs="Arial"/>
                <w:b/>
                <w:bCs/>
                <w:sz w:val="18"/>
                <w:szCs w:val="18"/>
              </w:rPr>
            </w:pPr>
            <w:r w:rsidRPr="008676F9">
              <w:rPr>
                <w:rFonts w:ascii="Calibri" w:hAnsi="Calibri" w:cs="Arial"/>
                <w:b/>
                <w:bCs/>
                <w:sz w:val="18"/>
                <w:szCs w:val="18"/>
              </w:rPr>
              <w:t>180</w:t>
            </w:r>
          </w:p>
        </w:tc>
        <w:tc>
          <w:tcPr>
            <w:tcW w:w="3700" w:type="dxa"/>
            <w:gridSpan w:val="2"/>
            <w:tcBorders>
              <w:top w:val="single" w:sz="4" w:space="0" w:color="auto"/>
              <w:left w:val="nil"/>
              <w:bottom w:val="single" w:sz="4" w:space="0" w:color="auto"/>
              <w:right w:val="single" w:sz="8" w:space="0" w:color="000000"/>
            </w:tcBorders>
            <w:shd w:val="clear" w:color="auto" w:fill="FFFFFF"/>
            <w:vAlign w:val="center"/>
            <w:hideMark/>
          </w:tcPr>
          <w:p w:rsidR="008676F9" w:rsidRPr="008676F9" w:rsidRDefault="008676F9" w:rsidP="008676F9">
            <w:pPr>
              <w:jc w:val="center"/>
              <w:rPr>
                <w:rFonts w:ascii="Calibri" w:hAnsi="Calibri" w:cs="Arial"/>
                <w:b/>
                <w:bCs/>
                <w:sz w:val="18"/>
                <w:szCs w:val="18"/>
              </w:rPr>
            </w:pPr>
            <w:r w:rsidRPr="008676F9">
              <w:rPr>
                <w:rFonts w:ascii="Calibri" w:hAnsi="Calibri" w:cs="Arial"/>
                <w:b/>
                <w:bCs/>
                <w:sz w:val="18"/>
                <w:szCs w:val="18"/>
              </w:rPr>
              <w:t>1,48%</w:t>
            </w:r>
          </w:p>
        </w:tc>
      </w:tr>
      <w:tr w:rsidR="008676F9" w:rsidRPr="008676F9" w:rsidTr="008676F9">
        <w:trPr>
          <w:trHeight w:val="900"/>
        </w:trPr>
        <w:tc>
          <w:tcPr>
            <w:tcW w:w="1780" w:type="dxa"/>
            <w:tcBorders>
              <w:top w:val="nil"/>
              <w:left w:val="single" w:sz="8" w:space="0" w:color="auto"/>
              <w:bottom w:val="single" w:sz="8" w:space="0" w:color="auto"/>
              <w:right w:val="single" w:sz="4" w:space="0" w:color="auto"/>
            </w:tcBorders>
            <w:shd w:val="clear" w:color="auto" w:fill="auto"/>
            <w:vAlign w:val="center"/>
            <w:hideMark/>
          </w:tcPr>
          <w:p w:rsidR="008676F9" w:rsidRPr="008676F9" w:rsidRDefault="008676F9" w:rsidP="008676F9">
            <w:pPr>
              <w:jc w:val="center"/>
              <w:rPr>
                <w:rFonts w:ascii="Calibri" w:hAnsi="Calibri" w:cs="Arial"/>
                <w:b/>
                <w:bCs/>
                <w:sz w:val="18"/>
                <w:szCs w:val="18"/>
              </w:rPr>
            </w:pPr>
            <w:r w:rsidRPr="008676F9">
              <w:rPr>
                <w:rFonts w:ascii="Calibri" w:hAnsi="Calibri" w:cs="Arial"/>
                <w:b/>
                <w:bCs/>
                <w:sz w:val="18"/>
                <w:szCs w:val="18"/>
              </w:rPr>
              <w:t>Celkový počet les.podnikov (východzí rok)</w:t>
            </w:r>
          </w:p>
        </w:tc>
        <w:tc>
          <w:tcPr>
            <w:tcW w:w="2000" w:type="dxa"/>
            <w:tcBorders>
              <w:top w:val="nil"/>
              <w:left w:val="nil"/>
              <w:bottom w:val="single" w:sz="8" w:space="0" w:color="auto"/>
              <w:right w:val="single" w:sz="4" w:space="0" w:color="auto"/>
            </w:tcBorders>
            <w:shd w:val="clear" w:color="auto" w:fill="FFFFFF"/>
            <w:vAlign w:val="center"/>
            <w:hideMark/>
          </w:tcPr>
          <w:p w:rsidR="008676F9" w:rsidRPr="008676F9" w:rsidRDefault="008676F9" w:rsidP="008676F9">
            <w:pPr>
              <w:jc w:val="center"/>
              <w:rPr>
                <w:rFonts w:ascii="Calibri" w:hAnsi="Calibri" w:cs="Arial"/>
                <w:b/>
                <w:bCs/>
                <w:sz w:val="18"/>
                <w:szCs w:val="18"/>
              </w:rPr>
            </w:pPr>
            <w:r w:rsidRPr="008676F9">
              <w:rPr>
                <w:rFonts w:ascii="Calibri" w:hAnsi="Calibri" w:cs="Arial"/>
                <w:b/>
                <w:bCs/>
                <w:sz w:val="18"/>
                <w:szCs w:val="18"/>
              </w:rPr>
              <w:t>12160</w:t>
            </w:r>
          </w:p>
        </w:tc>
        <w:tc>
          <w:tcPr>
            <w:tcW w:w="3700" w:type="dxa"/>
            <w:gridSpan w:val="2"/>
            <w:tcBorders>
              <w:top w:val="single" w:sz="4" w:space="0" w:color="auto"/>
              <w:left w:val="nil"/>
              <w:bottom w:val="single" w:sz="8" w:space="0" w:color="auto"/>
              <w:right w:val="single" w:sz="8" w:space="0" w:color="000000"/>
            </w:tcBorders>
            <w:shd w:val="clear" w:color="auto" w:fill="FFFFFF"/>
            <w:noWrap/>
            <w:vAlign w:val="center"/>
            <w:hideMark/>
          </w:tcPr>
          <w:p w:rsidR="008676F9" w:rsidRPr="008676F9" w:rsidRDefault="008676F9" w:rsidP="008676F9">
            <w:pPr>
              <w:jc w:val="center"/>
              <w:rPr>
                <w:rFonts w:ascii="Calibri" w:hAnsi="Calibri" w:cs="Arial"/>
                <w:sz w:val="18"/>
                <w:szCs w:val="18"/>
              </w:rPr>
            </w:pPr>
            <w:r w:rsidRPr="008676F9">
              <w:rPr>
                <w:rFonts w:ascii="Calibri" w:hAnsi="Calibri" w:cs="Arial"/>
                <w:sz w:val="18"/>
                <w:szCs w:val="18"/>
              </w:rPr>
              <w:t> </w:t>
            </w:r>
          </w:p>
        </w:tc>
      </w:tr>
      <w:tr w:rsidR="008676F9" w:rsidRPr="008676F9" w:rsidTr="00BB33FC">
        <w:trPr>
          <w:trHeight w:val="499"/>
        </w:trPr>
        <w:tc>
          <w:tcPr>
            <w:tcW w:w="1780" w:type="dxa"/>
            <w:tcBorders>
              <w:top w:val="nil"/>
              <w:left w:val="nil"/>
              <w:bottom w:val="nil"/>
              <w:right w:val="nil"/>
            </w:tcBorders>
            <w:shd w:val="clear" w:color="auto" w:fill="auto"/>
            <w:vAlign w:val="center"/>
            <w:hideMark/>
          </w:tcPr>
          <w:p w:rsidR="008676F9" w:rsidRPr="008676F9" w:rsidRDefault="008676F9" w:rsidP="008676F9">
            <w:pPr>
              <w:rPr>
                <w:rFonts w:ascii="Calibri" w:hAnsi="Calibri"/>
                <w:sz w:val="20"/>
                <w:szCs w:val="20"/>
              </w:rPr>
            </w:pPr>
          </w:p>
        </w:tc>
        <w:tc>
          <w:tcPr>
            <w:tcW w:w="2000" w:type="dxa"/>
            <w:tcBorders>
              <w:top w:val="nil"/>
              <w:left w:val="nil"/>
              <w:bottom w:val="nil"/>
              <w:right w:val="nil"/>
            </w:tcBorders>
            <w:shd w:val="clear" w:color="auto" w:fill="auto"/>
            <w:vAlign w:val="center"/>
            <w:hideMark/>
          </w:tcPr>
          <w:p w:rsidR="008676F9" w:rsidRPr="008676F9" w:rsidRDefault="008676F9" w:rsidP="008676F9">
            <w:pPr>
              <w:rPr>
                <w:rFonts w:ascii="Calibri" w:hAnsi="Calibri"/>
                <w:sz w:val="20"/>
                <w:szCs w:val="20"/>
              </w:rPr>
            </w:pPr>
          </w:p>
        </w:tc>
        <w:tc>
          <w:tcPr>
            <w:tcW w:w="1560" w:type="dxa"/>
            <w:tcBorders>
              <w:top w:val="nil"/>
              <w:left w:val="nil"/>
              <w:bottom w:val="nil"/>
              <w:right w:val="nil"/>
            </w:tcBorders>
            <w:shd w:val="clear" w:color="auto" w:fill="auto"/>
            <w:vAlign w:val="center"/>
            <w:hideMark/>
          </w:tcPr>
          <w:p w:rsidR="008676F9" w:rsidRPr="008676F9" w:rsidRDefault="008676F9" w:rsidP="008676F9">
            <w:pPr>
              <w:rPr>
                <w:rFonts w:ascii="Calibri" w:hAnsi="Calibri"/>
                <w:sz w:val="20"/>
                <w:szCs w:val="20"/>
              </w:rPr>
            </w:pPr>
          </w:p>
        </w:tc>
        <w:tc>
          <w:tcPr>
            <w:tcW w:w="2140" w:type="dxa"/>
            <w:tcBorders>
              <w:top w:val="nil"/>
              <w:left w:val="nil"/>
              <w:bottom w:val="nil"/>
              <w:right w:val="nil"/>
            </w:tcBorders>
            <w:shd w:val="clear" w:color="auto" w:fill="auto"/>
            <w:vAlign w:val="center"/>
            <w:hideMark/>
          </w:tcPr>
          <w:p w:rsidR="008676F9" w:rsidRPr="008676F9" w:rsidRDefault="008676F9" w:rsidP="008676F9">
            <w:pPr>
              <w:rPr>
                <w:rFonts w:ascii="Calibri" w:hAnsi="Calibri"/>
                <w:sz w:val="20"/>
                <w:szCs w:val="20"/>
              </w:rPr>
            </w:pPr>
          </w:p>
        </w:tc>
      </w:tr>
      <w:tr w:rsidR="008676F9" w:rsidRPr="008676F9" w:rsidTr="00BB33FC">
        <w:trPr>
          <w:trHeight w:val="499"/>
        </w:trPr>
        <w:tc>
          <w:tcPr>
            <w:tcW w:w="7480" w:type="dxa"/>
            <w:gridSpan w:val="4"/>
            <w:tcBorders>
              <w:top w:val="single" w:sz="8" w:space="0" w:color="auto"/>
              <w:left w:val="single" w:sz="8" w:space="0" w:color="auto"/>
              <w:bottom w:val="nil"/>
              <w:right w:val="single" w:sz="8" w:space="0" w:color="000000"/>
            </w:tcBorders>
            <w:shd w:val="clear" w:color="auto" w:fill="auto"/>
            <w:noWrap/>
            <w:vAlign w:val="center"/>
            <w:hideMark/>
          </w:tcPr>
          <w:p w:rsidR="008676F9" w:rsidRPr="008676F9" w:rsidRDefault="008676F9" w:rsidP="008676F9">
            <w:pPr>
              <w:jc w:val="center"/>
              <w:rPr>
                <w:rFonts w:ascii="Calibri" w:hAnsi="Calibri" w:cs="Arial"/>
                <w:b/>
                <w:bCs/>
                <w:sz w:val="20"/>
                <w:szCs w:val="20"/>
              </w:rPr>
            </w:pPr>
            <w:r w:rsidRPr="008676F9">
              <w:rPr>
                <w:rFonts w:ascii="Calibri" w:hAnsi="Calibri" w:cs="Arial"/>
                <w:b/>
                <w:bCs/>
                <w:sz w:val="20"/>
                <w:szCs w:val="20"/>
              </w:rPr>
              <w:t>plánovaný výstup  2014-2020</w:t>
            </w:r>
          </w:p>
        </w:tc>
      </w:tr>
      <w:tr w:rsidR="008676F9" w:rsidRPr="008676F9" w:rsidTr="00BB33FC">
        <w:trPr>
          <w:trHeight w:val="499"/>
        </w:trPr>
        <w:tc>
          <w:tcPr>
            <w:tcW w:w="1780" w:type="dxa"/>
            <w:tcBorders>
              <w:top w:val="single" w:sz="8" w:space="0" w:color="auto"/>
              <w:left w:val="single" w:sz="8" w:space="0" w:color="auto"/>
              <w:bottom w:val="nil"/>
              <w:right w:val="nil"/>
            </w:tcBorders>
            <w:shd w:val="clear" w:color="auto" w:fill="auto"/>
            <w:noWrap/>
            <w:vAlign w:val="center"/>
            <w:hideMark/>
          </w:tcPr>
          <w:p w:rsidR="008676F9" w:rsidRPr="008676F9" w:rsidRDefault="008676F9" w:rsidP="008676F9">
            <w:pPr>
              <w:rPr>
                <w:rFonts w:ascii="Calibri" w:hAnsi="Calibri" w:cs="Arial"/>
                <w:b/>
                <w:bCs/>
                <w:sz w:val="20"/>
                <w:szCs w:val="20"/>
              </w:rPr>
            </w:pPr>
            <w:r w:rsidRPr="008676F9">
              <w:rPr>
                <w:rFonts w:ascii="Calibri" w:hAnsi="Calibri" w:cs="Arial"/>
                <w:b/>
                <w:bCs/>
                <w:sz w:val="20"/>
                <w:szCs w:val="20"/>
              </w:rPr>
              <w:t>Opatrenia</w:t>
            </w:r>
          </w:p>
        </w:tc>
        <w:tc>
          <w:tcPr>
            <w:tcW w:w="5700" w:type="dxa"/>
            <w:gridSpan w:val="3"/>
            <w:tcBorders>
              <w:top w:val="single" w:sz="8" w:space="0" w:color="auto"/>
              <w:left w:val="nil"/>
              <w:bottom w:val="nil"/>
              <w:right w:val="single" w:sz="8" w:space="0" w:color="000000"/>
            </w:tcBorders>
            <w:shd w:val="clear" w:color="auto" w:fill="auto"/>
            <w:noWrap/>
            <w:vAlign w:val="center"/>
            <w:hideMark/>
          </w:tcPr>
          <w:p w:rsidR="008676F9" w:rsidRPr="008676F9" w:rsidRDefault="008676F9" w:rsidP="008676F9">
            <w:pPr>
              <w:jc w:val="center"/>
              <w:rPr>
                <w:rFonts w:ascii="Calibri" w:hAnsi="Calibri" w:cs="Arial"/>
                <w:b/>
                <w:bCs/>
                <w:sz w:val="20"/>
                <w:szCs w:val="20"/>
              </w:rPr>
            </w:pPr>
            <w:r w:rsidRPr="008676F9">
              <w:rPr>
                <w:rFonts w:ascii="Calibri" w:hAnsi="Calibri" w:cs="Arial"/>
                <w:b/>
                <w:bCs/>
                <w:sz w:val="20"/>
                <w:szCs w:val="20"/>
              </w:rPr>
              <w:t> </w:t>
            </w:r>
          </w:p>
        </w:tc>
      </w:tr>
      <w:tr w:rsidR="008676F9" w:rsidRPr="008676F9" w:rsidTr="00BB33FC">
        <w:trPr>
          <w:trHeight w:val="499"/>
        </w:trPr>
        <w:tc>
          <w:tcPr>
            <w:tcW w:w="1780" w:type="dxa"/>
            <w:vMerge w:val="restart"/>
            <w:tcBorders>
              <w:top w:val="single" w:sz="8" w:space="0" w:color="auto"/>
              <w:left w:val="single" w:sz="8" w:space="0" w:color="auto"/>
              <w:bottom w:val="single" w:sz="4" w:space="0" w:color="000000"/>
              <w:right w:val="nil"/>
            </w:tcBorders>
            <w:shd w:val="clear" w:color="auto" w:fill="auto"/>
            <w:vAlign w:val="center"/>
            <w:hideMark/>
          </w:tcPr>
          <w:p w:rsidR="008676F9" w:rsidRPr="008676F9" w:rsidRDefault="008676F9" w:rsidP="008676F9">
            <w:pPr>
              <w:jc w:val="center"/>
              <w:rPr>
                <w:rFonts w:ascii="Calibri" w:hAnsi="Calibri"/>
                <w:b/>
                <w:bCs/>
                <w:sz w:val="16"/>
                <w:szCs w:val="16"/>
              </w:rPr>
            </w:pPr>
            <w:r w:rsidRPr="008676F9">
              <w:rPr>
                <w:rFonts w:ascii="Calibri" w:eastAsia="Calibri" w:hAnsi="Calibri"/>
                <w:b/>
                <w:bCs/>
                <w:sz w:val="16"/>
                <w:szCs w:val="16"/>
              </w:rPr>
              <w:t xml:space="preserve">4 </w:t>
            </w:r>
            <w:r w:rsidRPr="008676F9">
              <w:rPr>
                <w:rFonts w:ascii="Calibri" w:hAnsi="Calibri"/>
                <w:b/>
                <w:bCs/>
                <w:sz w:val="16"/>
                <w:szCs w:val="16"/>
              </w:rPr>
              <w:t>(17)</w:t>
            </w:r>
          </w:p>
        </w:tc>
        <w:tc>
          <w:tcPr>
            <w:tcW w:w="3560" w:type="dxa"/>
            <w:gridSpan w:val="2"/>
            <w:tcBorders>
              <w:top w:val="single" w:sz="4" w:space="0" w:color="auto"/>
              <w:left w:val="single" w:sz="4" w:space="0" w:color="auto"/>
              <w:bottom w:val="single" w:sz="4" w:space="0" w:color="auto"/>
              <w:right w:val="single" w:sz="4" w:space="0" w:color="auto"/>
            </w:tcBorders>
            <w:shd w:val="clear" w:color="000000" w:fill="FFFFFF"/>
            <w:vAlign w:val="center"/>
            <w:hideMark/>
          </w:tcPr>
          <w:p w:rsidR="008676F9" w:rsidRPr="008676F9" w:rsidRDefault="008676F9" w:rsidP="008676F9">
            <w:pPr>
              <w:rPr>
                <w:rFonts w:ascii="Calibri" w:hAnsi="Calibri"/>
                <w:sz w:val="16"/>
                <w:szCs w:val="16"/>
              </w:rPr>
            </w:pPr>
            <w:r w:rsidRPr="008676F9">
              <w:rPr>
                <w:rFonts w:ascii="Calibri" w:hAnsi="Calibri"/>
                <w:sz w:val="16"/>
                <w:szCs w:val="16"/>
              </w:rPr>
              <w:t>Dĺžka vybudovaných lesných ciest (km)</w:t>
            </w:r>
          </w:p>
        </w:tc>
        <w:tc>
          <w:tcPr>
            <w:tcW w:w="2140" w:type="dxa"/>
            <w:tcBorders>
              <w:top w:val="single" w:sz="8" w:space="0" w:color="auto"/>
              <w:left w:val="nil"/>
              <w:bottom w:val="single" w:sz="4" w:space="0" w:color="auto"/>
              <w:right w:val="single" w:sz="8" w:space="0" w:color="auto"/>
            </w:tcBorders>
            <w:shd w:val="clear" w:color="auto" w:fill="auto"/>
            <w:noWrap/>
            <w:vAlign w:val="center"/>
            <w:hideMark/>
          </w:tcPr>
          <w:p w:rsidR="008676F9" w:rsidRPr="008676F9" w:rsidRDefault="008676F9" w:rsidP="008676F9">
            <w:pPr>
              <w:jc w:val="right"/>
              <w:rPr>
                <w:rFonts w:ascii="Calibri" w:hAnsi="Calibri" w:cs="Arial"/>
                <w:sz w:val="20"/>
                <w:szCs w:val="20"/>
              </w:rPr>
            </w:pPr>
            <w:r w:rsidRPr="008676F9">
              <w:rPr>
                <w:rFonts w:ascii="Calibri" w:hAnsi="Calibri" w:cs="Arial"/>
                <w:sz w:val="20"/>
                <w:szCs w:val="20"/>
              </w:rPr>
              <w:t xml:space="preserve">                            100 </w:t>
            </w:r>
          </w:p>
        </w:tc>
      </w:tr>
      <w:tr w:rsidR="008676F9" w:rsidRPr="008676F9" w:rsidTr="008676F9">
        <w:trPr>
          <w:trHeight w:val="499"/>
        </w:trPr>
        <w:tc>
          <w:tcPr>
            <w:tcW w:w="1780" w:type="dxa"/>
            <w:vMerge/>
            <w:tcBorders>
              <w:top w:val="single" w:sz="8" w:space="0" w:color="auto"/>
              <w:left w:val="single" w:sz="8" w:space="0" w:color="auto"/>
              <w:bottom w:val="single" w:sz="4" w:space="0" w:color="000000"/>
              <w:right w:val="nil"/>
            </w:tcBorders>
            <w:vAlign w:val="center"/>
            <w:hideMark/>
          </w:tcPr>
          <w:p w:rsidR="008676F9" w:rsidRPr="008676F9" w:rsidRDefault="008676F9" w:rsidP="008676F9">
            <w:pPr>
              <w:rPr>
                <w:rFonts w:ascii="Calibri" w:hAnsi="Calibri"/>
                <w:b/>
                <w:bCs/>
                <w:sz w:val="16"/>
                <w:szCs w:val="16"/>
              </w:rPr>
            </w:pPr>
          </w:p>
        </w:tc>
        <w:tc>
          <w:tcPr>
            <w:tcW w:w="3560" w:type="dxa"/>
            <w:gridSpan w:val="2"/>
            <w:tcBorders>
              <w:top w:val="single" w:sz="4" w:space="0" w:color="auto"/>
              <w:left w:val="single" w:sz="4" w:space="0" w:color="auto"/>
              <w:bottom w:val="single" w:sz="4" w:space="0" w:color="auto"/>
              <w:right w:val="single" w:sz="4" w:space="0" w:color="auto"/>
            </w:tcBorders>
            <w:shd w:val="clear" w:color="000000" w:fill="FFFFFF"/>
            <w:vAlign w:val="center"/>
            <w:hideMark/>
          </w:tcPr>
          <w:p w:rsidR="008676F9" w:rsidRPr="008676F9" w:rsidRDefault="008676F9" w:rsidP="008676F9">
            <w:pPr>
              <w:rPr>
                <w:rFonts w:ascii="Calibri" w:hAnsi="Calibri"/>
                <w:sz w:val="16"/>
                <w:szCs w:val="16"/>
              </w:rPr>
            </w:pPr>
            <w:r w:rsidRPr="008676F9">
              <w:rPr>
                <w:rFonts w:ascii="Calibri" w:hAnsi="Calibri"/>
                <w:sz w:val="16"/>
                <w:szCs w:val="16"/>
              </w:rPr>
              <w:t>Celkové investície € (verejné + súkromné)</w:t>
            </w:r>
          </w:p>
        </w:tc>
        <w:tc>
          <w:tcPr>
            <w:tcW w:w="2140" w:type="dxa"/>
            <w:tcBorders>
              <w:top w:val="single" w:sz="4" w:space="0" w:color="auto"/>
              <w:left w:val="nil"/>
              <w:bottom w:val="single" w:sz="4" w:space="0" w:color="auto"/>
              <w:right w:val="single" w:sz="8" w:space="0" w:color="auto"/>
            </w:tcBorders>
            <w:shd w:val="clear" w:color="000000" w:fill="FFFFFF"/>
            <w:noWrap/>
            <w:vAlign w:val="center"/>
            <w:hideMark/>
          </w:tcPr>
          <w:p w:rsidR="008676F9" w:rsidRPr="008676F9" w:rsidRDefault="008676F9" w:rsidP="008676F9">
            <w:pPr>
              <w:jc w:val="right"/>
              <w:rPr>
                <w:rFonts w:ascii="Calibri" w:hAnsi="Calibri" w:cs="Arial"/>
                <w:sz w:val="20"/>
                <w:szCs w:val="20"/>
              </w:rPr>
            </w:pPr>
            <w:r w:rsidRPr="008676F9">
              <w:rPr>
                <w:rFonts w:ascii="Calibri" w:hAnsi="Calibri" w:cs="Arial"/>
                <w:sz w:val="20"/>
                <w:szCs w:val="20"/>
              </w:rPr>
              <w:t xml:space="preserve">                 37 500 000,00 </w:t>
            </w:r>
          </w:p>
        </w:tc>
      </w:tr>
      <w:tr w:rsidR="008676F9" w:rsidRPr="008676F9" w:rsidTr="008676F9">
        <w:trPr>
          <w:trHeight w:val="499"/>
        </w:trPr>
        <w:tc>
          <w:tcPr>
            <w:tcW w:w="1780" w:type="dxa"/>
            <w:vMerge/>
            <w:tcBorders>
              <w:top w:val="single" w:sz="8" w:space="0" w:color="auto"/>
              <w:left w:val="single" w:sz="8" w:space="0" w:color="auto"/>
              <w:bottom w:val="single" w:sz="4" w:space="0" w:color="000000"/>
              <w:right w:val="nil"/>
            </w:tcBorders>
            <w:vAlign w:val="center"/>
            <w:hideMark/>
          </w:tcPr>
          <w:p w:rsidR="008676F9" w:rsidRPr="008676F9" w:rsidRDefault="008676F9" w:rsidP="008676F9">
            <w:pPr>
              <w:rPr>
                <w:rFonts w:ascii="Calibri" w:hAnsi="Calibri"/>
                <w:b/>
                <w:bCs/>
                <w:sz w:val="16"/>
                <w:szCs w:val="16"/>
              </w:rPr>
            </w:pPr>
          </w:p>
        </w:tc>
        <w:tc>
          <w:tcPr>
            <w:tcW w:w="3560" w:type="dxa"/>
            <w:gridSpan w:val="2"/>
            <w:tcBorders>
              <w:top w:val="single" w:sz="4" w:space="0" w:color="auto"/>
              <w:left w:val="single" w:sz="4" w:space="0" w:color="auto"/>
              <w:bottom w:val="single" w:sz="4" w:space="0" w:color="auto"/>
              <w:right w:val="single" w:sz="4" w:space="0" w:color="auto"/>
            </w:tcBorders>
            <w:shd w:val="clear" w:color="000000" w:fill="FFFFFF"/>
            <w:vAlign w:val="center"/>
            <w:hideMark/>
          </w:tcPr>
          <w:p w:rsidR="008676F9" w:rsidRPr="008676F9" w:rsidRDefault="008676F9" w:rsidP="008676F9">
            <w:pPr>
              <w:rPr>
                <w:rFonts w:ascii="Calibri" w:hAnsi="Calibri"/>
                <w:sz w:val="16"/>
                <w:szCs w:val="16"/>
              </w:rPr>
            </w:pPr>
            <w:r w:rsidRPr="008676F9">
              <w:rPr>
                <w:rFonts w:ascii="Calibri" w:hAnsi="Calibri"/>
                <w:sz w:val="16"/>
                <w:szCs w:val="16"/>
              </w:rPr>
              <w:t>Celkové verejné výdavky pre investície do infraštruktúry (4.3) -  lesné cesty</w:t>
            </w:r>
          </w:p>
        </w:tc>
        <w:tc>
          <w:tcPr>
            <w:tcW w:w="2140" w:type="dxa"/>
            <w:tcBorders>
              <w:top w:val="single" w:sz="4" w:space="0" w:color="auto"/>
              <w:left w:val="nil"/>
              <w:bottom w:val="single" w:sz="4" w:space="0" w:color="auto"/>
              <w:right w:val="single" w:sz="8" w:space="0" w:color="auto"/>
            </w:tcBorders>
            <w:shd w:val="clear" w:color="000000" w:fill="FFFFFF"/>
            <w:noWrap/>
            <w:vAlign w:val="center"/>
            <w:hideMark/>
          </w:tcPr>
          <w:p w:rsidR="008676F9" w:rsidRPr="008676F9" w:rsidRDefault="008676F9" w:rsidP="008676F9">
            <w:pPr>
              <w:jc w:val="right"/>
              <w:rPr>
                <w:rFonts w:ascii="Calibri" w:hAnsi="Calibri" w:cs="Arial"/>
                <w:sz w:val="20"/>
                <w:szCs w:val="20"/>
              </w:rPr>
            </w:pPr>
            <w:r w:rsidRPr="008676F9">
              <w:rPr>
                <w:rFonts w:ascii="Calibri" w:hAnsi="Calibri" w:cs="Arial"/>
                <w:sz w:val="20"/>
                <w:szCs w:val="20"/>
              </w:rPr>
              <w:t xml:space="preserve">                 30 000 000,00 </w:t>
            </w:r>
          </w:p>
        </w:tc>
      </w:tr>
      <w:tr w:rsidR="008676F9" w:rsidRPr="008676F9" w:rsidTr="008676F9">
        <w:trPr>
          <w:trHeight w:val="780"/>
        </w:trPr>
        <w:tc>
          <w:tcPr>
            <w:tcW w:w="1780" w:type="dxa"/>
            <w:vMerge w:val="restart"/>
            <w:tcBorders>
              <w:top w:val="nil"/>
              <w:left w:val="single" w:sz="8" w:space="0" w:color="auto"/>
              <w:bottom w:val="single" w:sz="8" w:space="0" w:color="000000"/>
              <w:right w:val="single" w:sz="4" w:space="0" w:color="auto"/>
            </w:tcBorders>
            <w:shd w:val="clear" w:color="auto" w:fill="auto"/>
            <w:vAlign w:val="center"/>
            <w:hideMark/>
          </w:tcPr>
          <w:p w:rsidR="008676F9" w:rsidRPr="008676F9" w:rsidRDefault="008676F9" w:rsidP="008676F9">
            <w:pPr>
              <w:jc w:val="center"/>
              <w:rPr>
                <w:rFonts w:ascii="Calibri" w:hAnsi="Calibri"/>
                <w:b/>
                <w:bCs/>
                <w:sz w:val="16"/>
                <w:szCs w:val="16"/>
              </w:rPr>
            </w:pPr>
            <w:r w:rsidRPr="008676F9">
              <w:rPr>
                <w:rFonts w:ascii="Calibri" w:hAnsi="Calibri"/>
                <w:b/>
                <w:bCs/>
                <w:sz w:val="16"/>
                <w:szCs w:val="16"/>
              </w:rPr>
              <w:t>8 (21)</w:t>
            </w:r>
          </w:p>
        </w:tc>
        <w:tc>
          <w:tcPr>
            <w:tcW w:w="3560" w:type="dxa"/>
            <w:gridSpan w:val="2"/>
            <w:tcBorders>
              <w:top w:val="single" w:sz="4" w:space="0" w:color="auto"/>
              <w:left w:val="nil"/>
              <w:bottom w:val="single" w:sz="4" w:space="0" w:color="auto"/>
              <w:right w:val="single" w:sz="4" w:space="0" w:color="auto"/>
            </w:tcBorders>
            <w:shd w:val="clear" w:color="000000" w:fill="FFFFFF"/>
            <w:vAlign w:val="center"/>
            <w:hideMark/>
          </w:tcPr>
          <w:p w:rsidR="008676F9" w:rsidRPr="008676F9" w:rsidRDefault="008676F9" w:rsidP="008676F9">
            <w:pPr>
              <w:rPr>
                <w:rFonts w:ascii="Calibri" w:hAnsi="Calibri"/>
                <w:sz w:val="16"/>
                <w:szCs w:val="16"/>
              </w:rPr>
            </w:pPr>
            <w:r w:rsidRPr="008676F9">
              <w:rPr>
                <w:rFonts w:ascii="Calibri" w:hAnsi="Calibri"/>
                <w:sz w:val="16"/>
                <w:szCs w:val="16"/>
              </w:rPr>
              <w:t>Počet operácii pre investície do lesnej technológie a primárneho spracovania/odbytu (8.6)</w:t>
            </w:r>
          </w:p>
        </w:tc>
        <w:tc>
          <w:tcPr>
            <w:tcW w:w="2140" w:type="dxa"/>
            <w:tcBorders>
              <w:top w:val="single" w:sz="4" w:space="0" w:color="auto"/>
              <w:left w:val="nil"/>
              <w:bottom w:val="single" w:sz="4" w:space="0" w:color="auto"/>
              <w:right w:val="single" w:sz="8" w:space="0" w:color="auto"/>
            </w:tcBorders>
            <w:shd w:val="clear" w:color="000000" w:fill="FFFFFF"/>
            <w:noWrap/>
            <w:vAlign w:val="center"/>
            <w:hideMark/>
          </w:tcPr>
          <w:p w:rsidR="008676F9" w:rsidRPr="008676F9" w:rsidRDefault="008676F9" w:rsidP="008676F9">
            <w:pPr>
              <w:jc w:val="right"/>
              <w:rPr>
                <w:rFonts w:ascii="Calibri" w:hAnsi="Calibri" w:cs="Arial"/>
                <w:sz w:val="20"/>
                <w:szCs w:val="20"/>
              </w:rPr>
            </w:pPr>
            <w:r w:rsidRPr="008676F9">
              <w:rPr>
                <w:rFonts w:ascii="Calibri" w:hAnsi="Calibri" w:cs="Arial"/>
                <w:sz w:val="20"/>
                <w:szCs w:val="20"/>
              </w:rPr>
              <w:t xml:space="preserve">                            180 </w:t>
            </w:r>
          </w:p>
        </w:tc>
      </w:tr>
      <w:tr w:rsidR="008676F9" w:rsidRPr="008676F9" w:rsidTr="008676F9">
        <w:trPr>
          <w:trHeight w:val="499"/>
        </w:trPr>
        <w:tc>
          <w:tcPr>
            <w:tcW w:w="1780" w:type="dxa"/>
            <w:vMerge/>
            <w:tcBorders>
              <w:top w:val="nil"/>
              <w:left w:val="single" w:sz="8" w:space="0" w:color="auto"/>
              <w:bottom w:val="single" w:sz="8" w:space="0" w:color="000000"/>
              <w:right w:val="single" w:sz="4" w:space="0" w:color="auto"/>
            </w:tcBorders>
            <w:vAlign w:val="center"/>
            <w:hideMark/>
          </w:tcPr>
          <w:p w:rsidR="008676F9" w:rsidRPr="008676F9" w:rsidRDefault="008676F9" w:rsidP="008676F9">
            <w:pPr>
              <w:rPr>
                <w:rFonts w:ascii="Calibri" w:hAnsi="Calibri"/>
                <w:b/>
                <w:bCs/>
                <w:sz w:val="16"/>
                <w:szCs w:val="16"/>
              </w:rPr>
            </w:pPr>
          </w:p>
        </w:tc>
        <w:tc>
          <w:tcPr>
            <w:tcW w:w="3560" w:type="dxa"/>
            <w:gridSpan w:val="2"/>
            <w:tcBorders>
              <w:top w:val="single" w:sz="4" w:space="0" w:color="auto"/>
              <w:left w:val="nil"/>
              <w:bottom w:val="single" w:sz="4" w:space="0" w:color="auto"/>
              <w:right w:val="single" w:sz="4" w:space="0" w:color="000000"/>
            </w:tcBorders>
            <w:shd w:val="clear" w:color="000000" w:fill="FFFFFF"/>
            <w:vAlign w:val="center"/>
            <w:hideMark/>
          </w:tcPr>
          <w:p w:rsidR="008676F9" w:rsidRPr="008676F9" w:rsidRDefault="008676F9" w:rsidP="008676F9">
            <w:pPr>
              <w:rPr>
                <w:rFonts w:ascii="Calibri" w:hAnsi="Calibri"/>
                <w:sz w:val="16"/>
                <w:szCs w:val="16"/>
              </w:rPr>
            </w:pPr>
            <w:r w:rsidRPr="008676F9">
              <w:rPr>
                <w:rFonts w:ascii="Calibri" w:hAnsi="Calibri"/>
                <w:sz w:val="16"/>
                <w:szCs w:val="16"/>
              </w:rPr>
              <w:t>Celkové investície € (verejné + súkromné)</w:t>
            </w:r>
          </w:p>
        </w:tc>
        <w:tc>
          <w:tcPr>
            <w:tcW w:w="2140" w:type="dxa"/>
            <w:tcBorders>
              <w:top w:val="single" w:sz="4" w:space="0" w:color="auto"/>
              <w:left w:val="nil"/>
              <w:bottom w:val="single" w:sz="4" w:space="0" w:color="auto"/>
              <w:right w:val="single" w:sz="8" w:space="0" w:color="auto"/>
            </w:tcBorders>
            <w:shd w:val="clear" w:color="000000" w:fill="FFFFFF"/>
            <w:noWrap/>
            <w:vAlign w:val="center"/>
            <w:hideMark/>
          </w:tcPr>
          <w:p w:rsidR="008676F9" w:rsidRPr="008676F9" w:rsidRDefault="008676F9" w:rsidP="008676F9">
            <w:pPr>
              <w:jc w:val="right"/>
              <w:rPr>
                <w:rFonts w:ascii="Calibri" w:hAnsi="Calibri" w:cs="Arial"/>
                <w:sz w:val="20"/>
                <w:szCs w:val="20"/>
              </w:rPr>
            </w:pPr>
            <w:r w:rsidRPr="008676F9">
              <w:rPr>
                <w:rFonts w:ascii="Calibri" w:hAnsi="Calibri" w:cs="Arial"/>
                <w:sz w:val="20"/>
                <w:szCs w:val="20"/>
              </w:rPr>
              <w:t xml:space="preserve">                 34 600 000,00</w:t>
            </w:r>
          </w:p>
        </w:tc>
      </w:tr>
      <w:tr w:rsidR="008676F9" w:rsidRPr="008676F9" w:rsidTr="008676F9">
        <w:trPr>
          <w:trHeight w:val="499"/>
        </w:trPr>
        <w:tc>
          <w:tcPr>
            <w:tcW w:w="1780" w:type="dxa"/>
            <w:vMerge/>
            <w:tcBorders>
              <w:top w:val="nil"/>
              <w:left w:val="single" w:sz="8" w:space="0" w:color="auto"/>
              <w:bottom w:val="single" w:sz="8" w:space="0" w:color="000000"/>
              <w:right w:val="single" w:sz="4" w:space="0" w:color="auto"/>
            </w:tcBorders>
            <w:vAlign w:val="center"/>
            <w:hideMark/>
          </w:tcPr>
          <w:p w:rsidR="008676F9" w:rsidRPr="008676F9" w:rsidRDefault="008676F9" w:rsidP="008676F9">
            <w:pPr>
              <w:rPr>
                <w:rFonts w:ascii="Calibri" w:hAnsi="Calibri"/>
                <w:b/>
                <w:bCs/>
                <w:sz w:val="16"/>
                <w:szCs w:val="16"/>
              </w:rPr>
            </w:pPr>
          </w:p>
        </w:tc>
        <w:tc>
          <w:tcPr>
            <w:tcW w:w="3560" w:type="dxa"/>
            <w:gridSpan w:val="2"/>
            <w:tcBorders>
              <w:top w:val="single" w:sz="4" w:space="0" w:color="auto"/>
              <w:left w:val="nil"/>
              <w:bottom w:val="single" w:sz="8" w:space="0" w:color="auto"/>
              <w:right w:val="single" w:sz="4" w:space="0" w:color="auto"/>
            </w:tcBorders>
            <w:shd w:val="clear" w:color="000000" w:fill="FFFFFF"/>
            <w:vAlign w:val="center"/>
            <w:hideMark/>
          </w:tcPr>
          <w:p w:rsidR="008676F9" w:rsidRPr="008676F9" w:rsidRDefault="008676F9" w:rsidP="008676F9">
            <w:pPr>
              <w:rPr>
                <w:rFonts w:ascii="Calibri" w:hAnsi="Calibri"/>
                <w:sz w:val="16"/>
                <w:szCs w:val="16"/>
              </w:rPr>
            </w:pPr>
            <w:r w:rsidRPr="008676F9">
              <w:rPr>
                <w:rFonts w:ascii="Calibri" w:hAnsi="Calibri"/>
                <w:sz w:val="16"/>
                <w:szCs w:val="16"/>
              </w:rPr>
              <w:t>Celkové verejné výdavky €</w:t>
            </w:r>
          </w:p>
        </w:tc>
        <w:tc>
          <w:tcPr>
            <w:tcW w:w="2140" w:type="dxa"/>
            <w:tcBorders>
              <w:top w:val="single" w:sz="4" w:space="0" w:color="auto"/>
              <w:left w:val="nil"/>
              <w:bottom w:val="single" w:sz="8" w:space="0" w:color="auto"/>
              <w:right w:val="single" w:sz="8" w:space="0" w:color="auto"/>
            </w:tcBorders>
            <w:shd w:val="clear" w:color="000000" w:fill="FFFFFF"/>
            <w:noWrap/>
            <w:vAlign w:val="center"/>
            <w:hideMark/>
          </w:tcPr>
          <w:p w:rsidR="008676F9" w:rsidRPr="008676F9" w:rsidRDefault="008676F9" w:rsidP="008676F9">
            <w:pPr>
              <w:jc w:val="right"/>
              <w:rPr>
                <w:rFonts w:ascii="Calibri" w:hAnsi="Calibri" w:cs="Arial"/>
                <w:sz w:val="20"/>
                <w:szCs w:val="20"/>
              </w:rPr>
            </w:pPr>
            <w:r w:rsidRPr="008676F9">
              <w:rPr>
                <w:rFonts w:ascii="Calibri" w:hAnsi="Calibri" w:cs="Arial"/>
                <w:sz w:val="20"/>
                <w:szCs w:val="20"/>
              </w:rPr>
              <w:t xml:space="preserve">                 17 300 000,00</w:t>
            </w:r>
          </w:p>
        </w:tc>
      </w:tr>
    </w:tbl>
    <w:p w:rsidR="008676F9" w:rsidRPr="008676F9" w:rsidRDefault="008676F9" w:rsidP="008676F9">
      <w:pPr>
        <w:spacing w:after="200" w:line="276" w:lineRule="auto"/>
        <w:rPr>
          <w:rFonts w:ascii="Calibri" w:eastAsia="Calibri" w:hAnsi="Calibri"/>
          <w:b/>
          <w:szCs w:val="22"/>
          <w:lang w:eastAsia="en-US"/>
        </w:rPr>
      </w:pPr>
    </w:p>
    <w:p w:rsidR="008676F9" w:rsidRPr="008676F9" w:rsidRDefault="008676F9" w:rsidP="008676F9">
      <w:pPr>
        <w:spacing w:after="200" w:line="276" w:lineRule="auto"/>
        <w:rPr>
          <w:rFonts w:ascii="Calibri" w:eastAsia="Calibri" w:hAnsi="Calibri"/>
          <w:b/>
          <w:szCs w:val="22"/>
          <w:lang w:eastAsia="en-US"/>
        </w:rPr>
      </w:pPr>
      <w:r w:rsidRPr="008676F9">
        <w:rPr>
          <w:rFonts w:ascii="Calibri" w:eastAsia="Calibri" w:hAnsi="Calibri"/>
          <w:b/>
          <w:szCs w:val="22"/>
          <w:lang w:eastAsia="en-US"/>
        </w:rPr>
        <w:br w:type="page"/>
      </w:r>
    </w:p>
    <w:p w:rsidR="008676F9" w:rsidRPr="008676F9" w:rsidRDefault="008676F9" w:rsidP="00E820E4">
      <w:pPr>
        <w:keepNext/>
        <w:spacing w:before="240" w:after="60"/>
        <w:ind w:left="1276" w:hanging="1276"/>
        <w:outlineLvl w:val="3"/>
        <w:rPr>
          <w:rFonts w:ascii="Calibri" w:hAnsi="Calibri"/>
          <w:b/>
          <w:bCs/>
          <w:szCs w:val="22"/>
          <w:lang w:eastAsia="en-US"/>
        </w:rPr>
      </w:pPr>
      <w:bookmarkStart w:id="143" w:name="_Toc359930828"/>
      <w:r w:rsidRPr="008676F9">
        <w:rPr>
          <w:rFonts w:ascii="Calibri" w:hAnsi="Calibri"/>
          <w:b/>
          <w:bCs/>
          <w:szCs w:val="22"/>
          <w:lang w:eastAsia="en-US"/>
        </w:rPr>
        <w:t xml:space="preserve">PRIORITA 3: </w:t>
      </w:r>
      <w:bookmarkEnd w:id="143"/>
      <w:r w:rsidRPr="008676F9">
        <w:rPr>
          <w:rFonts w:ascii="Calibri" w:hAnsi="Calibri"/>
          <w:b/>
          <w:bCs/>
          <w:szCs w:val="22"/>
          <w:lang w:eastAsia="en-US"/>
        </w:rPr>
        <w:t xml:space="preserve">Podpora organizácie potravinového reťazca vrátane spracovania poľnohospodárskych výrobkoch a ich uvádzania na trh, dobrých životných podmienok zvierat a riadenia rizík v poľnohospodárstve </w:t>
      </w:r>
    </w:p>
    <w:tbl>
      <w:tblPr>
        <w:tblW w:w="9000" w:type="dxa"/>
        <w:tblInd w:w="55" w:type="dxa"/>
        <w:tblCellMar>
          <w:left w:w="70" w:type="dxa"/>
          <w:right w:w="70" w:type="dxa"/>
        </w:tblCellMar>
        <w:tblLook w:val="00A0" w:firstRow="1" w:lastRow="0" w:firstColumn="1" w:lastColumn="0" w:noHBand="0" w:noVBand="0"/>
      </w:tblPr>
      <w:tblGrid>
        <w:gridCol w:w="1660"/>
        <w:gridCol w:w="2220"/>
        <w:gridCol w:w="3080"/>
        <w:gridCol w:w="10"/>
        <w:gridCol w:w="2030"/>
      </w:tblGrid>
      <w:tr w:rsidR="008676F9" w:rsidRPr="008676F9" w:rsidTr="00BB33FC">
        <w:trPr>
          <w:trHeight w:val="747"/>
        </w:trPr>
        <w:tc>
          <w:tcPr>
            <w:tcW w:w="9000" w:type="dxa"/>
            <w:gridSpan w:val="5"/>
            <w:tcBorders>
              <w:top w:val="single" w:sz="8" w:space="0" w:color="000000"/>
              <w:left w:val="single" w:sz="8" w:space="0" w:color="000000"/>
              <w:bottom w:val="single" w:sz="8" w:space="0" w:color="auto"/>
              <w:right w:val="single" w:sz="8" w:space="0" w:color="000000"/>
            </w:tcBorders>
            <w:shd w:val="clear" w:color="auto" w:fill="FFFF00"/>
            <w:vAlign w:val="center"/>
          </w:tcPr>
          <w:p w:rsidR="008676F9" w:rsidRPr="00E820E4" w:rsidRDefault="00E820E4" w:rsidP="00962FCB">
            <w:pPr>
              <w:ind w:left="371" w:hanging="371"/>
              <w:rPr>
                <w:rFonts w:ascii="Calibri" w:eastAsia="Calibri" w:hAnsi="Calibri"/>
                <w:b/>
                <w:bCs/>
                <w:color w:val="000000"/>
                <w:sz w:val="20"/>
                <w:szCs w:val="20"/>
              </w:rPr>
            </w:pPr>
            <w:r>
              <w:rPr>
                <w:rFonts w:ascii="Calibri" w:eastAsia="Calibri" w:hAnsi="Calibri"/>
                <w:b/>
                <w:bCs/>
                <w:color w:val="000000"/>
                <w:sz w:val="20"/>
                <w:szCs w:val="20"/>
              </w:rPr>
              <w:t xml:space="preserve">3A </w:t>
            </w:r>
            <w:r w:rsidR="008676F9" w:rsidRPr="00E820E4">
              <w:rPr>
                <w:rFonts w:ascii="Calibri" w:eastAsia="Calibri" w:hAnsi="Calibri"/>
                <w:b/>
                <w:bCs/>
                <w:color w:val="000000"/>
                <w:sz w:val="20"/>
                <w:szCs w:val="20"/>
              </w:rPr>
              <w:t>Zvýšenie konkurencieschopnosti prvovýrobcov prostredníctvom ich lepšej integrácie do poľnohospodársko-potravinového reťazca pomocou systémov kvality, pridávania hodnoty poľnohospodárskym produktom, propagácie na miestnych trhoch a v krátkych dodávateľských reťazcoch, skupín a organizácií výrobcov a medziodvetvových organizácií</w:t>
            </w:r>
          </w:p>
        </w:tc>
      </w:tr>
      <w:tr w:rsidR="008676F9" w:rsidRPr="008676F9" w:rsidTr="00BB33FC">
        <w:trPr>
          <w:trHeight w:val="499"/>
        </w:trPr>
        <w:tc>
          <w:tcPr>
            <w:tcW w:w="1660" w:type="dxa"/>
            <w:vMerge w:val="restart"/>
            <w:tcBorders>
              <w:top w:val="nil"/>
              <w:left w:val="single" w:sz="8" w:space="0" w:color="000000"/>
              <w:bottom w:val="single" w:sz="8" w:space="0" w:color="000000"/>
              <w:right w:val="single" w:sz="4" w:space="0" w:color="auto"/>
            </w:tcBorders>
            <w:shd w:val="clear" w:color="000000" w:fill="FFFFFF"/>
            <w:noWrap/>
            <w:vAlign w:val="center"/>
          </w:tcPr>
          <w:p w:rsidR="008676F9" w:rsidRPr="008676F9" w:rsidRDefault="008676F9" w:rsidP="008676F9">
            <w:pPr>
              <w:jc w:val="center"/>
              <w:rPr>
                <w:rFonts w:ascii="Calibri" w:eastAsia="Calibri" w:hAnsi="Calibri"/>
                <w:b/>
                <w:bCs/>
                <w:sz w:val="18"/>
                <w:szCs w:val="18"/>
              </w:rPr>
            </w:pPr>
            <w:r w:rsidRPr="008676F9">
              <w:rPr>
                <w:rFonts w:ascii="Calibri" w:eastAsia="Calibri" w:hAnsi="Calibri"/>
                <w:b/>
                <w:bCs/>
                <w:sz w:val="18"/>
                <w:szCs w:val="18"/>
              </w:rPr>
              <w:t>Cieľová hodnota</w:t>
            </w:r>
          </w:p>
        </w:tc>
        <w:tc>
          <w:tcPr>
            <w:tcW w:w="7340" w:type="dxa"/>
            <w:gridSpan w:val="4"/>
            <w:tcBorders>
              <w:top w:val="single" w:sz="8" w:space="0" w:color="auto"/>
              <w:left w:val="nil"/>
              <w:bottom w:val="single" w:sz="4" w:space="0" w:color="auto"/>
              <w:right w:val="single" w:sz="8" w:space="0" w:color="000000"/>
            </w:tcBorders>
            <w:shd w:val="clear" w:color="000000" w:fill="FFFFFF"/>
            <w:vAlign w:val="center"/>
          </w:tcPr>
          <w:p w:rsidR="008676F9" w:rsidRPr="008676F9" w:rsidRDefault="008676F9" w:rsidP="008676F9">
            <w:pPr>
              <w:jc w:val="center"/>
              <w:rPr>
                <w:rFonts w:ascii="Calibri" w:eastAsia="Calibri" w:hAnsi="Calibri"/>
                <w:b/>
                <w:bCs/>
                <w:sz w:val="18"/>
                <w:szCs w:val="18"/>
              </w:rPr>
            </w:pPr>
            <w:r w:rsidRPr="008676F9">
              <w:rPr>
                <w:rFonts w:ascii="Calibri" w:eastAsia="Calibri" w:hAnsi="Calibri"/>
                <w:b/>
                <w:bCs/>
                <w:sz w:val="18"/>
                <w:szCs w:val="18"/>
              </w:rPr>
              <w:t xml:space="preserve">% podporených subjektov prostredníctvom vytvárania  skupín výrobcov,  účasti v systéme kvality ,  spolupráce v dodávateľskom reťazci </w:t>
            </w:r>
          </w:p>
        </w:tc>
      </w:tr>
      <w:tr w:rsidR="008676F9" w:rsidRPr="008676F9" w:rsidTr="00BB33FC">
        <w:trPr>
          <w:trHeight w:val="499"/>
        </w:trPr>
        <w:tc>
          <w:tcPr>
            <w:tcW w:w="1660" w:type="dxa"/>
            <w:vMerge/>
            <w:tcBorders>
              <w:top w:val="nil"/>
              <w:left w:val="single" w:sz="8" w:space="0" w:color="000000"/>
              <w:bottom w:val="single" w:sz="8" w:space="0" w:color="000000"/>
              <w:right w:val="single" w:sz="4" w:space="0" w:color="auto"/>
            </w:tcBorders>
            <w:vAlign w:val="center"/>
          </w:tcPr>
          <w:p w:rsidR="008676F9" w:rsidRPr="008676F9" w:rsidRDefault="008676F9" w:rsidP="008676F9">
            <w:pPr>
              <w:rPr>
                <w:rFonts w:ascii="Calibri" w:eastAsia="Calibri" w:hAnsi="Calibri"/>
                <w:b/>
                <w:bCs/>
                <w:sz w:val="18"/>
                <w:szCs w:val="18"/>
              </w:rPr>
            </w:pPr>
          </w:p>
        </w:tc>
        <w:tc>
          <w:tcPr>
            <w:tcW w:w="2220" w:type="dxa"/>
            <w:tcBorders>
              <w:top w:val="nil"/>
              <w:left w:val="nil"/>
              <w:bottom w:val="single" w:sz="4" w:space="0" w:color="auto"/>
              <w:right w:val="single" w:sz="4" w:space="0" w:color="auto"/>
            </w:tcBorders>
            <w:shd w:val="clear" w:color="000000" w:fill="FFFFFF"/>
            <w:vAlign w:val="center"/>
          </w:tcPr>
          <w:p w:rsidR="008676F9" w:rsidRPr="008676F9" w:rsidRDefault="008676F9" w:rsidP="008676F9">
            <w:pPr>
              <w:rPr>
                <w:rFonts w:ascii="Calibri" w:eastAsia="Calibri" w:hAnsi="Calibri"/>
                <w:b/>
                <w:bCs/>
                <w:sz w:val="18"/>
                <w:szCs w:val="18"/>
              </w:rPr>
            </w:pPr>
            <w:r w:rsidRPr="008676F9">
              <w:rPr>
                <w:rFonts w:ascii="Calibri" w:eastAsia="Calibri" w:hAnsi="Calibri"/>
                <w:b/>
                <w:bCs/>
                <w:sz w:val="18"/>
                <w:szCs w:val="18"/>
              </w:rPr>
              <w:t> </w:t>
            </w:r>
          </w:p>
        </w:tc>
        <w:tc>
          <w:tcPr>
            <w:tcW w:w="3080" w:type="dxa"/>
            <w:tcBorders>
              <w:top w:val="nil"/>
              <w:left w:val="nil"/>
              <w:bottom w:val="single" w:sz="4" w:space="0" w:color="auto"/>
              <w:right w:val="single" w:sz="4" w:space="0" w:color="auto"/>
            </w:tcBorders>
            <w:shd w:val="clear" w:color="000000" w:fill="FFFFFF"/>
            <w:vAlign w:val="center"/>
          </w:tcPr>
          <w:p w:rsidR="008676F9" w:rsidRPr="008676F9" w:rsidRDefault="008676F9" w:rsidP="008676F9">
            <w:pPr>
              <w:rPr>
                <w:rFonts w:ascii="Calibri" w:eastAsia="Calibri" w:hAnsi="Calibri"/>
                <w:b/>
                <w:bCs/>
                <w:sz w:val="18"/>
                <w:szCs w:val="18"/>
              </w:rPr>
            </w:pPr>
            <w:r w:rsidRPr="008676F9">
              <w:rPr>
                <w:rFonts w:ascii="Calibri" w:eastAsia="Calibri" w:hAnsi="Calibri"/>
                <w:b/>
                <w:bCs/>
                <w:sz w:val="18"/>
                <w:szCs w:val="18"/>
              </w:rPr>
              <w:t>Počet</w:t>
            </w:r>
          </w:p>
        </w:tc>
        <w:tc>
          <w:tcPr>
            <w:tcW w:w="2040" w:type="dxa"/>
            <w:gridSpan w:val="2"/>
            <w:tcBorders>
              <w:top w:val="nil"/>
              <w:left w:val="nil"/>
              <w:bottom w:val="single" w:sz="4" w:space="0" w:color="auto"/>
              <w:right w:val="single" w:sz="8" w:space="0" w:color="000000"/>
            </w:tcBorders>
            <w:shd w:val="clear" w:color="000000" w:fill="FFFFFF"/>
            <w:vAlign w:val="center"/>
          </w:tcPr>
          <w:p w:rsidR="008676F9" w:rsidRPr="008676F9" w:rsidRDefault="008676F9" w:rsidP="008676F9">
            <w:pPr>
              <w:rPr>
                <w:rFonts w:ascii="Calibri" w:eastAsia="Calibri" w:hAnsi="Calibri"/>
                <w:b/>
                <w:bCs/>
                <w:sz w:val="18"/>
                <w:szCs w:val="18"/>
              </w:rPr>
            </w:pPr>
            <w:r w:rsidRPr="008676F9">
              <w:rPr>
                <w:rFonts w:ascii="Calibri" w:eastAsia="Calibri" w:hAnsi="Calibri"/>
                <w:b/>
                <w:bCs/>
                <w:sz w:val="18"/>
                <w:szCs w:val="18"/>
              </w:rPr>
              <w:t>%</w:t>
            </w:r>
          </w:p>
        </w:tc>
      </w:tr>
      <w:tr w:rsidR="008676F9" w:rsidRPr="008676F9" w:rsidTr="00BB33FC">
        <w:trPr>
          <w:trHeight w:val="499"/>
        </w:trPr>
        <w:tc>
          <w:tcPr>
            <w:tcW w:w="1660" w:type="dxa"/>
            <w:vMerge/>
            <w:tcBorders>
              <w:top w:val="nil"/>
              <w:left w:val="single" w:sz="8" w:space="0" w:color="000000"/>
              <w:bottom w:val="single" w:sz="8" w:space="0" w:color="000000"/>
              <w:right w:val="single" w:sz="4" w:space="0" w:color="auto"/>
            </w:tcBorders>
            <w:vAlign w:val="center"/>
          </w:tcPr>
          <w:p w:rsidR="008676F9" w:rsidRPr="008676F9" w:rsidRDefault="008676F9" w:rsidP="008676F9">
            <w:pPr>
              <w:rPr>
                <w:rFonts w:ascii="Calibri" w:eastAsia="Calibri" w:hAnsi="Calibri"/>
                <w:b/>
                <w:bCs/>
                <w:sz w:val="18"/>
                <w:szCs w:val="18"/>
              </w:rPr>
            </w:pPr>
          </w:p>
        </w:tc>
        <w:tc>
          <w:tcPr>
            <w:tcW w:w="2220" w:type="dxa"/>
            <w:tcBorders>
              <w:top w:val="nil"/>
              <w:left w:val="nil"/>
              <w:bottom w:val="single" w:sz="4" w:space="0" w:color="auto"/>
              <w:right w:val="single" w:sz="4" w:space="0" w:color="auto"/>
            </w:tcBorders>
            <w:shd w:val="clear" w:color="000000" w:fill="FFFFFF"/>
            <w:vAlign w:val="center"/>
          </w:tcPr>
          <w:p w:rsidR="008676F9" w:rsidRPr="008676F9" w:rsidRDefault="008676F9" w:rsidP="008676F9">
            <w:pPr>
              <w:rPr>
                <w:rFonts w:ascii="Calibri" w:eastAsia="Calibri" w:hAnsi="Calibri"/>
                <w:b/>
                <w:bCs/>
                <w:sz w:val="18"/>
                <w:szCs w:val="18"/>
              </w:rPr>
            </w:pPr>
            <w:r w:rsidRPr="008676F9">
              <w:rPr>
                <w:rFonts w:ascii="Calibri" w:eastAsia="Calibri" w:hAnsi="Calibri"/>
                <w:b/>
                <w:bCs/>
                <w:sz w:val="18"/>
                <w:szCs w:val="18"/>
              </w:rPr>
              <w:t>Počet podporených podnikov do 2020</w:t>
            </w:r>
          </w:p>
        </w:tc>
        <w:tc>
          <w:tcPr>
            <w:tcW w:w="3080" w:type="dxa"/>
            <w:tcBorders>
              <w:top w:val="nil"/>
              <w:left w:val="nil"/>
              <w:bottom w:val="single" w:sz="4" w:space="0" w:color="auto"/>
              <w:right w:val="single" w:sz="4" w:space="0" w:color="auto"/>
            </w:tcBorders>
            <w:shd w:val="clear" w:color="000000" w:fill="FFFFFF"/>
            <w:vAlign w:val="center"/>
          </w:tcPr>
          <w:p w:rsidR="008676F9" w:rsidRPr="008676F9" w:rsidRDefault="008676F9" w:rsidP="008676F9">
            <w:pPr>
              <w:jc w:val="right"/>
              <w:rPr>
                <w:rFonts w:ascii="Calibri" w:eastAsia="Calibri" w:hAnsi="Calibri"/>
                <w:i/>
                <w:iCs/>
                <w:sz w:val="18"/>
                <w:szCs w:val="18"/>
              </w:rPr>
            </w:pPr>
            <w:r w:rsidRPr="008676F9">
              <w:rPr>
                <w:rFonts w:ascii="Calibri" w:eastAsia="Calibri" w:hAnsi="Calibri"/>
                <w:i/>
                <w:iCs/>
                <w:sz w:val="18"/>
                <w:szCs w:val="18"/>
              </w:rPr>
              <w:t xml:space="preserve">                                                          480 </w:t>
            </w:r>
          </w:p>
        </w:tc>
        <w:tc>
          <w:tcPr>
            <w:tcW w:w="2040" w:type="dxa"/>
            <w:gridSpan w:val="2"/>
            <w:tcBorders>
              <w:top w:val="nil"/>
              <w:left w:val="nil"/>
              <w:bottom w:val="single" w:sz="4" w:space="0" w:color="auto"/>
              <w:right w:val="single" w:sz="8" w:space="0" w:color="000000"/>
            </w:tcBorders>
            <w:shd w:val="clear" w:color="000000" w:fill="FFFFFF"/>
            <w:vAlign w:val="center"/>
          </w:tcPr>
          <w:p w:rsidR="008676F9" w:rsidRPr="008676F9" w:rsidRDefault="008676F9" w:rsidP="008676F9">
            <w:pPr>
              <w:jc w:val="right"/>
              <w:rPr>
                <w:rFonts w:ascii="Calibri" w:eastAsia="Calibri" w:hAnsi="Calibri"/>
                <w:b/>
                <w:bCs/>
                <w:sz w:val="18"/>
                <w:szCs w:val="18"/>
              </w:rPr>
            </w:pPr>
            <w:r w:rsidRPr="008676F9">
              <w:rPr>
                <w:rFonts w:ascii="Calibri" w:eastAsia="Calibri" w:hAnsi="Calibri"/>
                <w:b/>
                <w:bCs/>
                <w:sz w:val="18"/>
                <w:szCs w:val="18"/>
              </w:rPr>
              <w:t>1,96%</w:t>
            </w:r>
          </w:p>
        </w:tc>
      </w:tr>
      <w:tr w:rsidR="008676F9" w:rsidRPr="008676F9" w:rsidTr="00BB33FC">
        <w:trPr>
          <w:trHeight w:val="499"/>
        </w:trPr>
        <w:tc>
          <w:tcPr>
            <w:tcW w:w="1660" w:type="dxa"/>
            <w:vMerge/>
            <w:tcBorders>
              <w:top w:val="nil"/>
              <w:left w:val="single" w:sz="8" w:space="0" w:color="000000"/>
              <w:bottom w:val="single" w:sz="8" w:space="0" w:color="000000"/>
              <w:right w:val="single" w:sz="4" w:space="0" w:color="auto"/>
            </w:tcBorders>
            <w:vAlign w:val="center"/>
          </w:tcPr>
          <w:p w:rsidR="008676F9" w:rsidRPr="008676F9" w:rsidRDefault="008676F9" w:rsidP="008676F9">
            <w:pPr>
              <w:rPr>
                <w:rFonts w:ascii="Calibri" w:eastAsia="Calibri" w:hAnsi="Calibri"/>
                <w:b/>
                <w:bCs/>
                <w:sz w:val="18"/>
                <w:szCs w:val="18"/>
              </w:rPr>
            </w:pPr>
          </w:p>
        </w:tc>
        <w:tc>
          <w:tcPr>
            <w:tcW w:w="2220" w:type="dxa"/>
            <w:tcBorders>
              <w:top w:val="nil"/>
              <w:left w:val="nil"/>
              <w:bottom w:val="single" w:sz="8" w:space="0" w:color="auto"/>
              <w:right w:val="single" w:sz="4" w:space="0" w:color="auto"/>
            </w:tcBorders>
            <w:shd w:val="clear" w:color="000000" w:fill="FFFFFF"/>
            <w:vAlign w:val="center"/>
          </w:tcPr>
          <w:p w:rsidR="008676F9" w:rsidRPr="008676F9" w:rsidRDefault="008676F9" w:rsidP="008676F9">
            <w:pPr>
              <w:rPr>
                <w:rFonts w:ascii="Calibri" w:eastAsia="Calibri" w:hAnsi="Calibri"/>
                <w:b/>
                <w:bCs/>
                <w:sz w:val="18"/>
                <w:szCs w:val="18"/>
              </w:rPr>
            </w:pPr>
            <w:r w:rsidRPr="008676F9">
              <w:rPr>
                <w:rFonts w:ascii="Calibri" w:eastAsia="Calibri" w:hAnsi="Calibri"/>
                <w:b/>
                <w:bCs/>
                <w:sz w:val="18"/>
                <w:szCs w:val="18"/>
              </w:rPr>
              <w:t>Celkový počet podnikov (východiskový rok)</w:t>
            </w:r>
          </w:p>
        </w:tc>
        <w:tc>
          <w:tcPr>
            <w:tcW w:w="3080" w:type="dxa"/>
            <w:tcBorders>
              <w:top w:val="nil"/>
              <w:left w:val="nil"/>
              <w:bottom w:val="single" w:sz="8" w:space="0" w:color="auto"/>
              <w:right w:val="single" w:sz="4" w:space="0" w:color="auto"/>
            </w:tcBorders>
            <w:shd w:val="clear" w:color="000000" w:fill="FFFFFF"/>
            <w:vAlign w:val="center"/>
          </w:tcPr>
          <w:p w:rsidR="008676F9" w:rsidRPr="008676F9" w:rsidRDefault="008676F9" w:rsidP="008676F9">
            <w:pPr>
              <w:jc w:val="right"/>
              <w:rPr>
                <w:rFonts w:ascii="Calibri" w:eastAsia="Calibri" w:hAnsi="Calibri"/>
                <w:i/>
                <w:iCs/>
                <w:sz w:val="18"/>
                <w:szCs w:val="18"/>
              </w:rPr>
            </w:pPr>
            <w:r w:rsidRPr="008676F9">
              <w:rPr>
                <w:rFonts w:ascii="Calibri" w:eastAsia="Calibri" w:hAnsi="Calibri"/>
                <w:i/>
                <w:iCs/>
                <w:sz w:val="18"/>
                <w:szCs w:val="18"/>
              </w:rPr>
              <w:t xml:space="preserve">                                              24 460 </w:t>
            </w:r>
          </w:p>
        </w:tc>
        <w:tc>
          <w:tcPr>
            <w:tcW w:w="2040" w:type="dxa"/>
            <w:gridSpan w:val="2"/>
            <w:tcBorders>
              <w:top w:val="nil"/>
              <w:left w:val="nil"/>
              <w:bottom w:val="single" w:sz="8" w:space="0" w:color="auto"/>
              <w:right w:val="single" w:sz="8" w:space="0" w:color="000000"/>
            </w:tcBorders>
            <w:shd w:val="clear" w:color="000000" w:fill="FFFFFF"/>
            <w:vAlign w:val="center"/>
          </w:tcPr>
          <w:p w:rsidR="008676F9" w:rsidRPr="008676F9" w:rsidRDefault="008676F9" w:rsidP="008676F9">
            <w:pPr>
              <w:rPr>
                <w:rFonts w:ascii="Calibri" w:eastAsia="Calibri" w:hAnsi="Calibri"/>
                <w:b/>
                <w:bCs/>
                <w:sz w:val="18"/>
                <w:szCs w:val="18"/>
              </w:rPr>
            </w:pPr>
            <w:r w:rsidRPr="008676F9">
              <w:rPr>
                <w:rFonts w:ascii="Calibri" w:eastAsia="Calibri" w:hAnsi="Calibri"/>
                <w:b/>
                <w:bCs/>
                <w:sz w:val="18"/>
                <w:szCs w:val="18"/>
              </w:rPr>
              <w:t> </w:t>
            </w:r>
          </w:p>
        </w:tc>
      </w:tr>
      <w:tr w:rsidR="008676F9" w:rsidRPr="008676F9" w:rsidTr="00BB33FC">
        <w:trPr>
          <w:trHeight w:val="162"/>
        </w:trPr>
        <w:tc>
          <w:tcPr>
            <w:tcW w:w="9000" w:type="dxa"/>
            <w:gridSpan w:val="5"/>
            <w:tcBorders>
              <w:top w:val="single" w:sz="8" w:space="0" w:color="auto"/>
              <w:left w:val="single" w:sz="8" w:space="0" w:color="000000"/>
              <w:bottom w:val="single" w:sz="8" w:space="0" w:color="auto"/>
              <w:right w:val="single" w:sz="8" w:space="0" w:color="000000"/>
            </w:tcBorders>
            <w:shd w:val="clear" w:color="000000" w:fill="FFFFFF"/>
            <w:noWrap/>
            <w:vAlign w:val="center"/>
          </w:tcPr>
          <w:p w:rsidR="008676F9" w:rsidRPr="008676F9" w:rsidRDefault="008676F9" w:rsidP="008676F9">
            <w:pPr>
              <w:jc w:val="center"/>
              <w:rPr>
                <w:rFonts w:ascii="Calibri" w:eastAsia="Calibri" w:hAnsi="Calibri"/>
                <w:b/>
                <w:bCs/>
                <w:sz w:val="18"/>
                <w:szCs w:val="18"/>
              </w:rPr>
            </w:pPr>
            <w:r w:rsidRPr="008676F9">
              <w:rPr>
                <w:rFonts w:ascii="Calibri" w:eastAsia="Calibri" w:hAnsi="Calibri"/>
                <w:b/>
                <w:bCs/>
                <w:sz w:val="18"/>
                <w:szCs w:val="18"/>
              </w:rPr>
              <w:t> </w:t>
            </w:r>
          </w:p>
        </w:tc>
      </w:tr>
      <w:tr w:rsidR="008676F9" w:rsidRPr="008676F9" w:rsidTr="00BB33FC">
        <w:trPr>
          <w:trHeight w:val="499"/>
        </w:trPr>
        <w:tc>
          <w:tcPr>
            <w:tcW w:w="9000" w:type="dxa"/>
            <w:gridSpan w:val="5"/>
            <w:tcBorders>
              <w:top w:val="single" w:sz="8" w:space="0" w:color="auto"/>
              <w:left w:val="single" w:sz="8" w:space="0" w:color="000000"/>
              <w:bottom w:val="nil"/>
              <w:right w:val="single" w:sz="8" w:space="0" w:color="000000"/>
            </w:tcBorders>
            <w:shd w:val="clear" w:color="000000" w:fill="FFFFFF"/>
            <w:noWrap/>
            <w:vAlign w:val="center"/>
          </w:tcPr>
          <w:p w:rsidR="008676F9" w:rsidRPr="008676F9" w:rsidRDefault="008676F9" w:rsidP="008676F9">
            <w:pPr>
              <w:jc w:val="center"/>
              <w:rPr>
                <w:rFonts w:ascii="Calibri" w:eastAsia="Calibri" w:hAnsi="Calibri"/>
                <w:b/>
                <w:bCs/>
                <w:sz w:val="18"/>
                <w:szCs w:val="18"/>
              </w:rPr>
            </w:pPr>
            <w:r w:rsidRPr="008676F9">
              <w:rPr>
                <w:rFonts w:ascii="Calibri" w:eastAsia="Calibri" w:hAnsi="Calibri"/>
                <w:b/>
                <w:bCs/>
                <w:sz w:val="18"/>
                <w:szCs w:val="18"/>
              </w:rPr>
              <w:t>plánovaný výstup 2014-2020</w:t>
            </w:r>
          </w:p>
        </w:tc>
      </w:tr>
      <w:tr w:rsidR="008676F9" w:rsidRPr="008676F9" w:rsidTr="00BB33FC">
        <w:trPr>
          <w:trHeight w:val="615"/>
        </w:trPr>
        <w:tc>
          <w:tcPr>
            <w:tcW w:w="1660" w:type="dxa"/>
            <w:tcBorders>
              <w:top w:val="single" w:sz="8" w:space="0" w:color="auto"/>
              <w:left w:val="single" w:sz="8" w:space="0" w:color="000000"/>
              <w:bottom w:val="nil"/>
              <w:right w:val="nil"/>
            </w:tcBorders>
            <w:shd w:val="clear" w:color="000000" w:fill="FFFFFF"/>
            <w:noWrap/>
            <w:vAlign w:val="center"/>
          </w:tcPr>
          <w:p w:rsidR="008676F9" w:rsidRPr="008676F9" w:rsidRDefault="008676F9" w:rsidP="008676F9">
            <w:pPr>
              <w:jc w:val="center"/>
              <w:rPr>
                <w:rFonts w:ascii="Calibri" w:eastAsia="Calibri" w:hAnsi="Calibri"/>
                <w:b/>
                <w:bCs/>
                <w:sz w:val="18"/>
                <w:szCs w:val="18"/>
              </w:rPr>
            </w:pPr>
            <w:r w:rsidRPr="008676F9">
              <w:rPr>
                <w:rFonts w:ascii="Calibri" w:eastAsia="Calibri" w:hAnsi="Calibri"/>
                <w:b/>
                <w:bCs/>
                <w:sz w:val="18"/>
                <w:szCs w:val="18"/>
              </w:rPr>
              <w:t>Opatrenia</w:t>
            </w:r>
          </w:p>
        </w:tc>
        <w:tc>
          <w:tcPr>
            <w:tcW w:w="7340" w:type="dxa"/>
            <w:gridSpan w:val="4"/>
            <w:tcBorders>
              <w:top w:val="single" w:sz="8" w:space="0" w:color="auto"/>
              <w:left w:val="nil"/>
              <w:bottom w:val="single" w:sz="8" w:space="0" w:color="auto"/>
              <w:right w:val="single" w:sz="8" w:space="0" w:color="000000"/>
            </w:tcBorders>
            <w:shd w:val="clear" w:color="000000" w:fill="FFFFFF"/>
            <w:noWrap/>
            <w:vAlign w:val="center"/>
          </w:tcPr>
          <w:p w:rsidR="008676F9" w:rsidRPr="008676F9" w:rsidRDefault="008676F9" w:rsidP="008676F9">
            <w:pPr>
              <w:jc w:val="center"/>
              <w:rPr>
                <w:rFonts w:ascii="Calibri" w:eastAsia="Calibri" w:hAnsi="Calibri"/>
                <w:b/>
                <w:bCs/>
                <w:sz w:val="18"/>
                <w:szCs w:val="18"/>
              </w:rPr>
            </w:pPr>
            <w:r w:rsidRPr="008676F9">
              <w:rPr>
                <w:rFonts w:ascii="Calibri" w:eastAsia="Calibri" w:hAnsi="Calibri"/>
                <w:b/>
                <w:bCs/>
                <w:sz w:val="18"/>
                <w:szCs w:val="18"/>
              </w:rPr>
              <w:t> </w:t>
            </w:r>
          </w:p>
        </w:tc>
      </w:tr>
      <w:tr w:rsidR="008676F9" w:rsidRPr="008676F9" w:rsidTr="00BB33FC">
        <w:trPr>
          <w:trHeight w:val="325"/>
        </w:trPr>
        <w:tc>
          <w:tcPr>
            <w:tcW w:w="1660" w:type="dxa"/>
            <w:vMerge w:val="restart"/>
            <w:tcBorders>
              <w:top w:val="single" w:sz="8" w:space="0" w:color="auto"/>
              <w:left w:val="single" w:sz="8" w:space="0" w:color="000000"/>
              <w:right w:val="single" w:sz="4" w:space="0" w:color="auto"/>
            </w:tcBorders>
            <w:shd w:val="clear" w:color="000000" w:fill="FFFFFF"/>
            <w:noWrap/>
            <w:vAlign w:val="center"/>
          </w:tcPr>
          <w:p w:rsidR="008676F9" w:rsidRPr="008676F9" w:rsidRDefault="008676F9" w:rsidP="008676F9">
            <w:pPr>
              <w:jc w:val="center"/>
              <w:rPr>
                <w:rFonts w:ascii="Calibri" w:eastAsia="Calibri" w:hAnsi="Calibri"/>
                <w:b/>
                <w:bCs/>
                <w:sz w:val="16"/>
                <w:szCs w:val="16"/>
              </w:rPr>
            </w:pPr>
            <w:r w:rsidRPr="008676F9">
              <w:rPr>
                <w:rFonts w:ascii="Calibri" w:eastAsia="Calibri" w:hAnsi="Calibri"/>
                <w:b/>
                <w:bCs/>
                <w:sz w:val="16"/>
                <w:szCs w:val="16"/>
              </w:rPr>
              <w:t>9 (27)</w:t>
            </w:r>
          </w:p>
        </w:tc>
        <w:tc>
          <w:tcPr>
            <w:tcW w:w="5310" w:type="dxa"/>
            <w:gridSpan w:val="3"/>
            <w:tcBorders>
              <w:top w:val="single" w:sz="8" w:space="0" w:color="auto"/>
              <w:left w:val="single" w:sz="4" w:space="0" w:color="auto"/>
              <w:bottom w:val="single" w:sz="4" w:space="0" w:color="auto"/>
              <w:right w:val="single" w:sz="4" w:space="0" w:color="auto"/>
            </w:tcBorders>
            <w:shd w:val="clear" w:color="000000" w:fill="FFFFFF"/>
            <w:noWrap/>
            <w:vAlign w:val="center"/>
          </w:tcPr>
          <w:p w:rsidR="008676F9" w:rsidRPr="008676F9" w:rsidRDefault="008676F9" w:rsidP="00255E13">
            <w:pPr>
              <w:jc w:val="left"/>
              <w:rPr>
                <w:rFonts w:ascii="Calibri" w:hAnsi="Calibri"/>
                <w:sz w:val="16"/>
                <w:szCs w:val="16"/>
              </w:rPr>
            </w:pPr>
            <w:r w:rsidRPr="008676F9">
              <w:rPr>
                <w:rFonts w:ascii="Calibri" w:hAnsi="Calibri"/>
                <w:sz w:val="16"/>
                <w:szCs w:val="16"/>
              </w:rPr>
              <w:t xml:space="preserve">Počet podporených projektov (založenie </w:t>
            </w:r>
            <w:r w:rsidR="00ED7832">
              <w:rPr>
                <w:rFonts w:ascii="Calibri" w:hAnsi="Calibri"/>
                <w:sz w:val="16"/>
                <w:szCs w:val="16"/>
              </w:rPr>
              <w:t>SaOV</w:t>
            </w:r>
            <w:r w:rsidRPr="008676F9">
              <w:rPr>
                <w:rFonts w:ascii="Calibri" w:hAnsi="Calibri"/>
                <w:sz w:val="16"/>
                <w:szCs w:val="16"/>
              </w:rPr>
              <w:t>)</w:t>
            </w:r>
          </w:p>
        </w:tc>
        <w:tc>
          <w:tcPr>
            <w:tcW w:w="2030" w:type="dxa"/>
            <w:tcBorders>
              <w:top w:val="single" w:sz="8" w:space="0" w:color="auto"/>
              <w:left w:val="single" w:sz="4" w:space="0" w:color="auto"/>
              <w:bottom w:val="single" w:sz="4" w:space="0" w:color="auto"/>
              <w:right w:val="single" w:sz="8" w:space="0" w:color="000000"/>
            </w:tcBorders>
            <w:shd w:val="clear" w:color="000000" w:fill="FFFFFF"/>
            <w:vAlign w:val="center"/>
          </w:tcPr>
          <w:p w:rsidR="008676F9" w:rsidRPr="008676F9" w:rsidRDefault="008676F9" w:rsidP="008676F9">
            <w:pPr>
              <w:jc w:val="right"/>
              <w:rPr>
                <w:rFonts w:ascii="Calibri" w:hAnsi="Calibri"/>
                <w:sz w:val="18"/>
                <w:szCs w:val="18"/>
              </w:rPr>
            </w:pPr>
            <w:r w:rsidRPr="008676F9">
              <w:rPr>
                <w:rFonts w:ascii="Calibri" w:hAnsi="Calibri"/>
                <w:sz w:val="18"/>
                <w:szCs w:val="18"/>
              </w:rPr>
              <w:t>25</w:t>
            </w:r>
          </w:p>
        </w:tc>
      </w:tr>
      <w:tr w:rsidR="008676F9" w:rsidRPr="008676F9" w:rsidTr="00BB33FC">
        <w:trPr>
          <w:trHeight w:val="325"/>
        </w:trPr>
        <w:tc>
          <w:tcPr>
            <w:tcW w:w="1660" w:type="dxa"/>
            <w:vMerge/>
            <w:tcBorders>
              <w:left w:val="single" w:sz="8" w:space="0" w:color="000000"/>
              <w:bottom w:val="nil"/>
              <w:right w:val="single" w:sz="4" w:space="0" w:color="auto"/>
            </w:tcBorders>
            <w:shd w:val="clear" w:color="000000" w:fill="FFFFFF"/>
            <w:noWrap/>
            <w:vAlign w:val="center"/>
          </w:tcPr>
          <w:p w:rsidR="008676F9" w:rsidRPr="008676F9" w:rsidRDefault="008676F9" w:rsidP="008676F9">
            <w:pPr>
              <w:jc w:val="center"/>
              <w:rPr>
                <w:rFonts w:ascii="Calibri" w:eastAsia="Calibri" w:hAnsi="Calibri"/>
                <w:b/>
                <w:bCs/>
                <w:sz w:val="18"/>
                <w:szCs w:val="18"/>
              </w:rPr>
            </w:pPr>
          </w:p>
        </w:tc>
        <w:tc>
          <w:tcPr>
            <w:tcW w:w="5310" w:type="dxa"/>
            <w:gridSpan w:val="3"/>
            <w:tcBorders>
              <w:top w:val="single" w:sz="4" w:space="0" w:color="auto"/>
              <w:left w:val="single" w:sz="4" w:space="0" w:color="auto"/>
              <w:bottom w:val="single" w:sz="8" w:space="0" w:color="auto"/>
              <w:right w:val="single" w:sz="4" w:space="0" w:color="auto"/>
            </w:tcBorders>
            <w:shd w:val="clear" w:color="000000" w:fill="FFFFFF"/>
            <w:noWrap/>
            <w:vAlign w:val="center"/>
          </w:tcPr>
          <w:p w:rsidR="008676F9" w:rsidRPr="008676F9" w:rsidRDefault="008676F9" w:rsidP="00255E13">
            <w:pPr>
              <w:jc w:val="left"/>
              <w:rPr>
                <w:rFonts w:ascii="Calibri" w:hAnsi="Calibri"/>
                <w:sz w:val="16"/>
                <w:szCs w:val="16"/>
              </w:rPr>
            </w:pPr>
            <w:r w:rsidRPr="008676F9">
              <w:rPr>
                <w:rFonts w:ascii="Calibri" w:hAnsi="Calibri"/>
                <w:sz w:val="16"/>
                <w:szCs w:val="16"/>
              </w:rPr>
              <w:t xml:space="preserve">Počet podnikov zahrnutých do podporených </w:t>
            </w:r>
            <w:r w:rsidR="00ED7832">
              <w:rPr>
                <w:rFonts w:ascii="Calibri" w:hAnsi="Calibri"/>
                <w:sz w:val="16"/>
                <w:szCs w:val="16"/>
              </w:rPr>
              <w:t>SaOV</w:t>
            </w:r>
          </w:p>
        </w:tc>
        <w:tc>
          <w:tcPr>
            <w:tcW w:w="2030" w:type="dxa"/>
            <w:tcBorders>
              <w:top w:val="single" w:sz="4" w:space="0" w:color="auto"/>
              <w:left w:val="single" w:sz="4" w:space="0" w:color="auto"/>
              <w:bottom w:val="single" w:sz="8" w:space="0" w:color="auto"/>
              <w:right w:val="single" w:sz="8" w:space="0" w:color="000000"/>
            </w:tcBorders>
            <w:shd w:val="clear" w:color="000000" w:fill="FFFFFF"/>
            <w:vAlign w:val="center"/>
          </w:tcPr>
          <w:p w:rsidR="008676F9" w:rsidRPr="008676F9" w:rsidRDefault="008676F9" w:rsidP="008676F9">
            <w:pPr>
              <w:jc w:val="right"/>
              <w:rPr>
                <w:rFonts w:ascii="Calibri" w:hAnsi="Calibri"/>
                <w:sz w:val="18"/>
                <w:szCs w:val="18"/>
              </w:rPr>
            </w:pPr>
            <w:r w:rsidRPr="008676F9">
              <w:rPr>
                <w:rFonts w:ascii="Calibri" w:hAnsi="Calibri"/>
                <w:sz w:val="18"/>
                <w:szCs w:val="18"/>
              </w:rPr>
              <w:t>360</w:t>
            </w:r>
          </w:p>
        </w:tc>
      </w:tr>
      <w:tr w:rsidR="008676F9" w:rsidRPr="008676F9" w:rsidTr="00BB33FC">
        <w:trPr>
          <w:trHeight w:val="325"/>
        </w:trPr>
        <w:tc>
          <w:tcPr>
            <w:tcW w:w="1660" w:type="dxa"/>
            <w:vMerge/>
            <w:tcBorders>
              <w:left w:val="single" w:sz="8" w:space="0" w:color="000000"/>
              <w:bottom w:val="nil"/>
              <w:right w:val="single" w:sz="4" w:space="0" w:color="auto"/>
            </w:tcBorders>
            <w:shd w:val="clear" w:color="000000" w:fill="FFFFFF"/>
            <w:noWrap/>
            <w:vAlign w:val="center"/>
          </w:tcPr>
          <w:p w:rsidR="008676F9" w:rsidRPr="008676F9" w:rsidRDefault="008676F9" w:rsidP="008676F9">
            <w:pPr>
              <w:jc w:val="center"/>
              <w:rPr>
                <w:rFonts w:ascii="Calibri" w:eastAsia="Calibri" w:hAnsi="Calibri"/>
                <w:b/>
                <w:bCs/>
                <w:sz w:val="18"/>
                <w:szCs w:val="18"/>
              </w:rPr>
            </w:pPr>
          </w:p>
        </w:tc>
        <w:tc>
          <w:tcPr>
            <w:tcW w:w="5310" w:type="dxa"/>
            <w:gridSpan w:val="3"/>
            <w:tcBorders>
              <w:top w:val="single" w:sz="4" w:space="0" w:color="auto"/>
              <w:left w:val="single" w:sz="4" w:space="0" w:color="auto"/>
              <w:bottom w:val="single" w:sz="8" w:space="0" w:color="auto"/>
              <w:right w:val="single" w:sz="4" w:space="0" w:color="auto"/>
            </w:tcBorders>
            <w:shd w:val="clear" w:color="000000" w:fill="FFFFFF"/>
            <w:noWrap/>
            <w:vAlign w:val="center"/>
          </w:tcPr>
          <w:p w:rsidR="008676F9" w:rsidRPr="008676F9" w:rsidRDefault="008676F9" w:rsidP="00255E13">
            <w:pPr>
              <w:jc w:val="left"/>
              <w:rPr>
                <w:rFonts w:ascii="Calibri" w:hAnsi="Calibri"/>
                <w:sz w:val="16"/>
                <w:szCs w:val="16"/>
              </w:rPr>
            </w:pPr>
            <w:r w:rsidRPr="008676F9">
              <w:rPr>
                <w:rFonts w:ascii="Calibri" w:hAnsi="Calibri"/>
                <w:sz w:val="16"/>
                <w:szCs w:val="16"/>
              </w:rPr>
              <w:t>Celkové verejné výdavky  (€)</w:t>
            </w:r>
          </w:p>
        </w:tc>
        <w:tc>
          <w:tcPr>
            <w:tcW w:w="2030" w:type="dxa"/>
            <w:tcBorders>
              <w:top w:val="single" w:sz="4" w:space="0" w:color="auto"/>
              <w:left w:val="single" w:sz="4" w:space="0" w:color="auto"/>
              <w:bottom w:val="single" w:sz="8" w:space="0" w:color="auto"/>
              <w:right w:val="single" w:sz="8" w:space="0" w:color="000000"/>
            </w:tcBorders>
            <w:shd w:val="clear" w:color="000000" w:fill="FFFFFF"/>
            <w:vAlign w:val="center"/>
          </w:tcPr>
          <w:p w:rsidR="008676F9" w:rsidRPr="008676F9" w:rsidRDefault="008676F9" w:rsidP="008676F9">
            <w:pPr>
              <w:jc w:val="right"/>
              <w:rPr>
                <w:rFonts w:ascii="Calibri" w:hAnsi="Calibri"/>
                <w:sz w:val="18"/>
                <w:szCs w:val="18"/>
              </w:rPr>
            </w:pPr>
            <w:r w:rsidRPr="008676F9">
              <w:rPr>
                <w:rFonts w:ascii="Calibri" w:hAnsi="Calibri"/>
                <w:sz w:val="18"/>
                <w:szCs w:val="18"/>
              </w:rPr>
              <w:t>10 000 000,00</w:t>
            </w:r>
          </w:p>
        </w:tc>
      </w:tr>
      <w:tr w:rsidR="008676F9" w:rsidRPr="008676F9" w:rsidTr="00BB33FC">
        <w:trPr>
          <w:trHeight w:val="570"/>
        </w:trPr>
        <w:tc>
          <w:tcPr>
            <w:tcW w:w="1660" w:type="dxa"/>
            <w:vMerge w:val="restart"/>
            <w:tcBorders>
              <w:top w:val="single" w:sz="4" w:space="0" w:color="auto"/>
              <w:left w:val="single" w:sz="8" w:space="0" w:color="000000"/>
              <w:bottom w:val="single" w:sz="4" w:space="0" w:color="000000"/>
              <w:right w:val="single" w:sz="4" w:space="0" w:color="auto"/>
            </w:tcBorders>
            <w:shd w:val="clear" w:color="000000" w:fill="FFFFFF"/>
            <w:vAlign w:val="center"/>
          </w:tcPr>
          <w:p w:rsidR="008676F9" w:rsidRPr="008676F9" w:rsidRDefault="008676F9" w:rsidP="000F31DC">
            <w:pPr>
              <w:jc w:val="center"/>
              <w:rPr>
                <w:rFonts w:ascii="Calibri" w:eastAsia="Calibri" w:hAnsi="Calibri"/>
                <w:b/>
                <w:bCs/>
                <w:sz w:val="16"/>
                <w:szCs w:val="16"/>
              </w:rPr>
            </w:pPr>
            <w:r w:rsidRPr="008676F9">
              <w:rPr>
                <w:rFonts w:ascii="Calibri" w:eastAsia="Calibri" w:hAnsi="Calibri"/>
                <w:b/>
                <w:bCs/>
                <w:sz w:val="16"/>
                <w:szCs w:val="16"/>
              </w:rPr>
              <w:t>16 (3</w:t>
            </w:r>
            <w:r w:rsidR="000F31DC">
              <w:rPr>
                <w:rFonts w:ascii="Calibri" w:eastAsia="Calibri" w:hAnsi="Calibri"/>
                <w:b/>
                <w:bCs/>
                <w:sz w:val="16"/>
                <w:szCs w:val="16"/>
              </w:rPr>
              <w:t>5</w:t>
            </w:r>
            <w:r w:rsidRPr="008676F9">
              <w:rPr>
                <w:rFonts w:ascii="Calibri" w:eastAsia="Calibri" w:hAnsi="Calibri"/>
                <w:b/>
                <w:bCs/>
                <w:sz w:val="16"/>
                <w:szCs w:val="16"/>
              </w:rPr>
              <w:t>)</w:t>
            </w:r>
          </w:p>
        </w:tc>
        <w:tc>
          <w:tcPr>
            <w:tcW w:w="5300" w:type="dxa"/>
            <w:gridSpan w:val="2"/>
            <w:tcBorders>
              <w:top w:val="single" w:sz="4" w:space="0" w:color="auto"/>
              <w:left w:val="nil"/>
              <w:bottom w:val="single" w:sz="4" w:space="0" w:color="auto"/>
              <w:right w:val="single" w:sz="4" w:space="0" w:color="auto"/>
            </w:tcBorders>
            <w:shd w:val="clear" w:color="000000" w:fill="FFFFFF"/>
            <w:vAlign w:val="center"/>
          </w:tcPr>
          <w:p w:rsidR="008676F9" w:rsidRPr="008676F9" w:rsidRDefault="008676F9" w:rsidP="00255E13">
            <w:pPr>
              <w:jc w:val="left"/>
              <w:rPr>
                <w:rFonts w:ascii="Calibri" w:eastAsia="Calibri" w:hAnsi="Calibri"/>
                <w:sz w:val="16"/>
                <w:szCs w:val="16"/>
              </w:rPr>
            </w:pPr>
            <w:r w:rsidRPr="008676F9">
              <w:rPr>
                <w:rFonts w:ascii="Calibri" w:eastAsia="Calibri" w:hAnsi="Calibri"/>
                <w:sz w:val="16"/>
                <w:szCs w:val="16"/>
              </w:rPr>
              <w:t xml:space="preserve">Počet poľnohospodárskych podnikov spolupracujúcich </w:t>
            </w:r>
            <w:r w:rsidRPr="008676F9">
              <w:rPr>
                <w:rFonts w:ascii="Calibri" w:eastAsia="Calibri" w:hAnsi="Calibri"/>
                <w:sz w:val="16"/>
                <w:szCs w:val="16"/>
              </w:rPr>
              <w:br/>
              <w:t>v rámci odbytových reťazcov  (16.4)</w:t>
            </w:r>
          </w:p>
        </w:tc>
        <w:tc>
          <w:tcPr>
            <w:tcW w:w="2040" w:type="dxa"/>
            <w:gridSpan w:val="2"/>
            <w:tcBorders>
              <w:top w:val="single" w:sz="4" w:space="0" w:color="auto"/>
              <w:left w:val="nil"/>
              <w:bottom w:val="single" w:sz="4" w:space="0" w:color="auto"/>
              <w:right w:val="single" w:sz="8" w:space="0" w:color="000000"/>
            </w:tcBorders>
            <w:shd w:val="clear" w:color="000000" w:fill="FFFFFF"/>
            <w:noWrap/>
            <w:vAlign w:val="center"/>
          </w:tcPr>
          <w:p w:rsidR="008676F9" w:rsidRPr="008676F9" w:rsidRDefault="008676F9" w:rsidP="008676F9">
            <w:pPr>
              <w:jc w:val="right"/>
              <w:rPr>
                <w:rFonts w:ascii="Calibri" w:eastAsia="Calibri" w:hAnsi="Calibri"/>
                <w:sz w:val="20"/>
                <w:szCs w:val="20"/>
              </w:rPr>
            </w:pPr>
            <w:r w:rsidRPr="008676F9">
              <w:rPr>
                <w:rFonts w:ascii="Calibri" w:eastAsia="Calibri" w:hAnsi="Calibri"/>
                <w:sz w:val="20"/>
                <w:szCs w:val="20"/>
              </w:rPr>
              <w:t xml:space="preserve">                          120 </w:t>
            </w:r>
          </w:p>
        </w:tc>
      </w:tr>
      <w:tr w:rsidR="008676F9" w:rsidRPr="008676F9" w:rsidTr="00BB33FC">
        <w:trPr>
          <w:trHeight w:val="479"/>
        </w:trPr>
        <w:tc>
          <w:tcPr>
            <w:tcW w:w="1660" w:type="dxa"/>
            <w:vMerge/>
            <w:tcBorders>
              <w:top w:val="single" w:sz="4" w:space="0" w:color="auto"/>
              <w:left w:val="single" w:sz="8" w:space="0" w:color="000000"/>
              <w:bottom w:val="single" w:sz="4" w:space="0" w:color="000000"/>
              <w:right w:val="single" w:sz="4" w:space="0" w:color="auto"/>
            </w:tcBorders>
            <w:vAlign w:val="center"/>
          </w:tcPr>
          <w:p w:rsidR="008676F9" w:rsidRPr="008676F9" w:rsidRDefault="008676F9" w:rsidP="008676F9">
            <w:pPr>
              <w:rPr>
                <w:rFonts w:ascii="Calibri" w:eastAsia="Calibri" w:hAnsi="Calibri"/>
                <w:b/>
                <w:bCs/>
                <w:sz w:val="16"/>
                <w:szCs w:val="16"/>
              </w:rPr>
            </w:pPr>
          </w:p>
        </w:tc>
        <w:tc>
          <w:tcPr>
            <w:tcW w:w="5300" w:type="dxa"/>
            <w:gridSpan w:val="2"/>
            <w:tcBorders>
              <w:top w:val="single" w:sz="4" w:space="0" w:color="auto"/>
              <w:left w:val="nil"/>
              <w:bottom w:val="single" w:sz="4" w:space="0" w:color="auto"/>
              <w:right w:val="single" w:sz="4" w:space="0" w:color="auto"/>
            </w:tcBorders>
            <w:shd w:val="clear" w:color="000000" w:fill="FFFFFF"/>
            <w:vAlign w:val="center"/>
          </w:tcPr>
          <w:p w:rsidR="008676F9" w:rsidRPr="008676F9" w:rsidRDefault="008676F9" w:rsidP="00255E13">
            <w:pPr>
              <w:jc w:val="left"/>
              <w:rPr>
                <w:rFonts w:ascii="Calibri" w:eastAsia="Calibri" w:hAnsi="Calibri"/>
                <w:sz w:val="16"/>
                <w:szCs w:val="16"/>
              </w:rPr>
            </w:pPr>
            <w:r w:rsidRPr="008676F9">
              <w:rPr>
                <w:rFonts w:ascii="Calibri" w:eastAsia="Calibri" w:hAnsi="Calibri"/>
                <w:sz w:val="16"/>
                <w:szCs w:val="16"/>
              </w:rPr>
              <w:t xml:space="preserve">Celkové verejné výdavky (€) </w:t>
            </w:r>
          </w:p>
        </w:tc>
        <w:tc>
          <w:tcPr>
            <w:tcW w:w="2040" w:type="dxa"/>
            <w:gridSpan w:val="2"/>
            <w:tcBorders>
              <w:top w:val="nil"/>
              <w:left w:val="nil"/>
              <w:bottom w:val="single" w:sz="4" w:space="0" w:color="auto"/>
              <w:right w:val="single" w:sz="8" w:space="0" w:color="000000"/>
            </w:tcBorders>
            <w:shd w:val="clear" w:color="000000" w:fill="FFFFFF"/>
            <w:noWrap/>
            <w:vAlign w:val="center"/>
          </w:tcPr>
          <w:p w:rsidR="008676F9" w:rsidRPr="008676F9" w:rsidRDefault="00255E13" w:rsidP="008676F9">
            <w:pPr>
              <w:jc w:val="right"/>
              <w:rPr>
                <w:rFonts w:ascii="Calibri" w:eastAsia="Calibri" w:hAnsi="Calibri"/>
                <w:sz w:val="20"/>
                <w:szCs w:val="20"/>
              </w:rPr>
            </w:pPr>
            <w:r>
              <w:rPr>
                <w:sz w:val="20"/>
                <w:szCs w:val="20"/>
              </w:rPr>
              <w:t>24 500 000,00</w:t>
            </w:r>
          </w:p>
        </w:tc>
      </w:tr>
      <w:tr w:rsidR="008676F9" w:rsidRPr="008676F9" w:rsidTr="00BB33FC">
        <w:trPr>
          <w:trHeight w:val="587"/>
        </w:trPr>
        <w:tc>
          <w:tcPr>
            <w:tcW w:w="1660" w:type="dxa"/>
            <w:vMerge w:val="restart"/>
            <w:tcBorders>
              <w:top w:val="nil"/>
              <w:left w:val="single" w:sz="8" w:space="0" w:color="000000"/>
              <w:bottom w:val="single" w:sz="4" w:space="0" w:color="000000"/>
              <w:right w:val="single" w:sz="4" w:space="0" w:color="auto"/>
            </w:tcBorders>
            <w:shd w:val="clear" w:color="000000" w:fill="FFFFFF"/>
            <w:vAlign w:val="center"/>
          </w:tcPr>
          <w:p w:rsidR="008676F9" w:rsidRPr="008676F9" w:rsidRDefault="008676F9" w:rsidP="008676F9">
            <w:pPr>
              <w:jc w:val="center"/>
              <w:rPr>
                <w:rFonts w:ascii="Calibri" w:eastAsia="Calibri" w:hAnsi="Calibri"/>
                <w:b/>
                <w:bCs/>
                <w:sz w:val="16"/>
                <w:szCs w:val="16"/>
              </w:rPr>
            </w:pPr>
            <w:r w:rsidRPr="008676F9">
              <w:rPr>
                <w:rFonts w:ascii="Calibri" w:eastAsia="Calibri" w:hAnsi="Calibri"/>
                <w:b/>
                <w:bCs/>
                <w:sz w:val="16"/>
                <w:szCs w:val="16"/>
              </w:rPr>
              <w:t>4 (17)</w:t>
            </w:r>
          </w:p>
        </w:tc>
        <w:tc>
          <w:tcPr>
            <w:tcW w:w="5300" w:type="dxa"/>
            <w:gridSpan w:val="2"/>
            <w:tcBorders>
              <w:top w:val="single" w:sz="4" w:space="0" w:color="auto"/>
              <w:left w:val="nil"/>
              <w:bottom w:val="single" w:sz="4" w:space="0" w:color="auto"/>
              <w:right w:val="single" w:sz="4" w:space="0" w:color="auto"/>
            </w:tcBorders>
            <w:shd w:val="clear" w:color="000000" w:fill="FFFFFF"/>
            <w:vAlign w:val="center"/>
          </w:tcPr>
          <w:p w:rsidR="008676F9" w:rsidRPr="008676F9" w:rsidRDefault="008676F9" w:rsidP="00255E13">
            <w:pPr>
              <w:jc w:val="left"/>
              <w:rPr>
                <w:rFonts w:ascii="Calibri" w:eastAsia="Calibri" w:hAnsi="Calibri"/>
                <w:sz w:val="16"/>
                <w:szCs w:val="16"/>
              </w:rPr>
            </w:pPr>
            <w:r w:rsidRPr="008676F9">
              <w:rPr>
                <w:rFonts w:ascii="Calibri" w:eastAsia="Calibri" w:hAnsi="Calibri"/>
                <w:sz w:val="16"/>
                <w:szCs w:val="16"/>
              </w:rPr>
              <w:t>Počet podporených projektov (poľ. podniky, spracovanie a odbyt poľ. produktov)   ( 4.2)</w:t>
            </w:r>
          </w:p>
        </w:tc>
        <w:tc>
          <w:tcPr>
            <w:tcW w:w="2040" w:type="dxa"/>
            <w:gridSpan w:val="2"/>
            <w:tcBorders>
              <w:top w:val="nil"/>
              <w:left w:val="nil"/>
              <w:bottom w:val="single" w:sz="4" w:space="0" w:color="auto"/>
              <w:right w:val="single" w:sz="8" w:space="0" w:color="000000"/>
            </w:tcBorders>
            <w:shd w:val="clear" w:color="000000" w:fill="FFFFFF"/>
            <w:noWrap/>
            <w:vAlign w:val="center"/>
          </w:tcPr>
          <w:p w:rsidR="008676F9" w:rsidRPr="008676F9" w:rsidRDefault="008676F9" w:rsidP="008676F9">
            <w:pPr>
              <w:jc w:val="right"/>
              <w:rPr>
                <w:rFonts w:ascii="Calibri" w:eastAsia="Calibri" w:hAnsi="Calibri"/>
                <w:sz w:val="20"/>
                <w:szCs w:val="20"/>
              </w:rPr>
            </w:pPr>
            <w:r w:rsidRPr="008676F9">
              <w:rPr>
                <w:rFonts w:ascii="Calibri" w:eastAsia="Calibri" w:hAnsi="Calibri"/>
                <w:sz w:val="20"/>
                <w:szCs w:val="20"/>
              </w:rPr>
              <w:t xml:space="preserve">                          214  </w:t>
            </w:r>
          </w:p>
        </w:tc>
      </w:tr>
      <w:tr w:rsidR="008676F9" w:rsidRPr="008676F9" w:rsidTr="00BB33FC">
        <w:trPr>
          <w:trHeight w:val="495"/>
        </w:trPr>
        <w:tc>
          <w:tcPr>
            <w:tcW w:w="1660" w:type="dxa"/>
            <w:vMerge/>
            <w:tcBorders>
              <w:top w:val="nil"/>
              <w:left w:val="single" w:sz="8" w:space="0" w:color="000000"/>
              <w:bottom w:val="single" w:sz="4" w:space="0" w:color="000000"/>
              <w:right w:val="single" w:sz="4" w:space="0" w:color="auto"/>
            </w:tcBorders>
            <w:vAlign w:val="center"/>
          </w:tcPr>
          <w:p w:rsidR="008676F9" w:rsidRPr="008676F9" w:rsidRDefault="008676F9" w:rsidP="008676F9">
            <w:pPr>
              <w:rPr>
                <w:rFonts w:ascii="Calibri" w:eastAsia="Calibri" w:hAnsi="Calibri"/>
                <w:b/>
                <w:bCs/>
                <w:sz w:val="16"/>
                <w:szCs w:val="16"/>
              </w:rPr>
            </w:pPr>
          </w:p>
        </w:tc>
        <w:tc>
          <w:tcPr>
            <w:tcW w:w="5300" w:type="dxa"/>
            <w:gridSpan w:val="2"/>
            <w:tcBorders>
              <w:top w:val="single" w:sz="4" w:space="0" w:color="auto"/>
              <w:left w:val="nil"/>
              <w:bottom w:val="single" w:sz="4" w:space="0" w:color="auto"/>
              <w:right w:val="single" w:sz="4" w:space="0" w:color="000000"/>
            </w:tcBorders>
            <w:shd w:val="clear" w:color="000000" w:fill="FFFFFF"/>
            <w:vAlign w:val="center"/>
          </w:tcPr>
          <w:p w:rsidR="008676F9" w:rsidRPr="008676F9" w:rsidRDefault="008676F9" w:rsidP="00255E13">
            <w:pPr>
              <w:jc w:val="left"/>
              <w:rPr>
                <w:rFonts w:ascii="Calibri" w:eastAsia="Calibri" w:hAnsi="Calibri"/>
                <w:sz w:val="16"/>
                <w:szCs w:val="16"/>
              </w:rPr>
            </w:pPr>
            <w:r w:rsidRPr="008676F9">
              <w:rPr>
                <w:rFonts w:ascii="Calibri" w:eastAsia="Calibri" w:hAnsi="Calibri"/>
                <w:sz w:val="16"/>
                <w:szCs w:val="16"/>
              </w:rPr>
              <w:t>Celkové investície € (verejné + súkromné)</w:t>
            </w:r>
          </w:p>
        </w:tc>
        <w:tc>
          <w:tcPr>
            <w:tcW w:w="2040" w:type="dxa"/>
            <w:gridSpan w:val="2"/>
            <w:tcBorders>
              <w:top w:val="nil"/>
              <w:left w:val="nil"/>
              <w:bottom w:val="single" w:sz="4" w:space="0" w:color="auto"/>
              <w:right w:val="single" w:sz="8" w:space="0" w:color="000000"/>
            </w:tcBorders>
            <w:shd w:val="clear" w:color="000000" w:fill="FFFFFF"/>
            <w:noWrap/>
            <w:vAlign w:val="center"/>
          </w:tcPr>
          <w:p w:rsidR="008676F9" w:rsidRPr="008676F9" w:rsidRDefault="008676F9" w:rsidP="008676F9">
            <w:pPr>
              <w:jc w:val="right"/>
              <w:rPr>
                <w:rFonts w:ascii="Calibri" w:eastAsia="Calibri" w:hAnsi="Calibri"/>
                <w:sz w:val="20"/>
                <w:szCs w:val="20"/>
              </w:rPr>
            </w:pPr>
            <w:r w:rsidRPr="008676F9">
              <w:rPr>
                <w:rFonts w:ascii="Calibri" w:eastAsia="Calibri" w:hAnsi="Calibri"/>
                <w:sz w:val="20"/>
                <w:szCs w:val="20"/>
              </w:rPr>
              <w:t xml:space="preserve">         320 000 000,00 </w:t>
            </w:r>
          </w:p>
        </w:tc>
      </w:tr>
      <w:tr w:rsidR="008676F9" w:rsidRPr="008676F9" w:rsidTr="00BB33FC">
        <w:trPr>
          <w:trHeight w:val="360"/>
        </w:trPr>
        <w:tc>
          <w:tcPr>
            <w:tcW w:w="1660" w:type="dxa"/>
            <w:vMerge/>
            <w:tcBorders>
              <w:top w:val="nil"/>
              <w:left w:val="single" w:sz="8" w:space="0" w:color="000000"/>
              <w:bottom w:val="single" w:sz="4" w:space="0" w:color="000000"/>
              <w:right w:val="single" w:sz="4" w:space="0" w:color="auto"/>
            </w:tcBorders>
            <w:vAlign w:val="center"/>
          </w:tcPr>
          <w:p w:rsidR="008676F9" w:rsidRPr="008676F9" w:rsidRDefault="008676F9" w:rsidP="008676F9">
            <w:pPr>
              <w:rPr>
                <w:rFonts w:ascii="Calibri" w:eastAsia="Calibri" w:hAnsi="Calibri"/>
                <w:b/>
                <w:bCs/>
                <w:sz w:val="16"/>
                <w:szCs w:val="16"/>
              </w:rPr>
            </w:pPr>
          </w:p>
        </w:tc>
        <w:tc>
          <w:tcPr>
            <w:tcW w:w="5300" w:type="dxa"/>
            <w:gridSpan w:val="2"/>
            <w:tcBorders>
              <w:top w:val="single" w:sz="4" w:space="0" w:color="auto"/>
              <w:left w:val="nil"/>
              <w:bottom w:val="single" w:sz="4" w:space="0" w:color="auto"/>
              <w:right w:val="single" w:sz="4" w:space="0" w:color="auto"/>
            </w:tcBorders>
            <w:shd w:val="clear" w:color="000000" w:fill="FFFFFF"/>
            <w:vAlign w:val="center"/>
          </w:tcPr>
          <w:p w:rsidR="008676F9" w:rsidRPr="008676F9" w:rsidRDefault="008676F9" w:rsidP="00255E13">
            <w:pPr>
              <w:jc w:val="left"/>
              <w:rPr>
                <w:rFonts w:ascii="Calibri" w:eastAsia="Calibri" w:hAnsi="Calibri"/>
                <w:sz w:val="16"/>
                <w:szCs w:val="16"/>
              </w:rPr>
            </w:pPr>
            <w:r w:rsidRPr="008676F9">
              <w:rPr>
                <w:rFonts w:ascii="Calibri" w:eastAsia="Calibri" w:hAnsi="Calibri"/>
                <w:sz w:val="16"/>
                <w:szCs w:val="16"/>
              </w:rPr>
              <w:t>Celkové verejné výdavky (€) (4.2)</w:t>
            </w:r>
          </w:p>
        </w:tc>
        <w:tc>
          <w:tcPr>
            <w:tcW w:w="2040" w:type="dxa"/>
            <w:gridSpan w:val="2"/>
            <w:tcBorders>
              <w:top w:val="nil"/>
              <w:left w:val="nil"/>
              <w:bottom w:val="single" w:sz="4" w:space="0" w:color="auto"/>
              <w:right w:val="single" w:sz="8" w:space="0" w:color="000000"/>
            </w:tcBorders>
            <w:shd w:val="clear" w:color="000000" w:fill="FFFFFF"/>
            <w:noWrap/>
            <w:vAlign w:val="center"/>
          </w:tcPr>
          <w:p w:rsidR="008676F9" w:rsidRPr="008676F9" w:rsidRDefault="008676F9" w:rsidP="008676F9">
            <w:pPr>
              <w:jc w:val="right"/>
              <w:rPr>
                <w:rFonts w:ascii="Calibri" w:eastAsia="Calibri" w:hAnsi="Calibri"/>
                <w:sz w:val="20"/>
                <w:szCs w:val="20"/>
              </w:rPr>
            </w:pPr>
            <w:r w:rsidRPr="008676F9">
              <w:rPr>
                <w:rFonts w:ascii="Calibri" w:eastAsia="Calibri" w:hAnsi="Calibri"/>
                <w:sz w:val="20"/>
                <w:szCs w:val="20"/>
              </w:rPr>
              <w:t xml:space="preserve">         160 000 000,00 </w:t>
            </w:r>
          </w:p>
        </w:tc>
      </w:tr>
      <w:tr w:rsidR="008676F9" w:rsidRPr="008676F9" w:rsidTr="00BB33FC">
        <w:trPr>
          <w:trHeight w:val="402"/>
        </w:trPr>
        <w:tc>
          <w:tcPr>
            <w:tcW w:w="1660" w:type="dxa"/>
            <w:vMerge w:val="restart"/>
            <w:tcBorders>
              <w:top w:val="nil"/>
              <w:left w:val="single" w:sz="8" w:space="0" w:color="000000"/>
              <w:bottom w:val="single" w:sz="4" w:space="0" w:color="000000"/>
              <w:right w:val="single" w:sz="4" w:space="0" w:color="auto"/>
            </w:tcBorders>
            <w:shd w:val="clear" w:color="000000" w:fill="FFFFFF"/>
            <w:vAlign w:val="center"/>
          </w:tcPr>
          <w:p w:rsidR="008676F9" w:rsidRPr="008676F9" w:rsidRDefault="008676F9" w:rsidP="008676F9">
            <w:pPr>
              <w:jc w:val="center"/>
              <w:rPr>
                <w:rFonts w:ascii="Calibri" w:eastAsia="Calibri" w:hAnsi="Calibri"/>
                <w:b/>
                <w:bCs/>
                <w:sz w:val="16"/>
                <w:szCs w:val="16"/>
              </w:rPr>
            </w:pPr>
            <w:r w:rsidRPr="008676F9">
              <w:rPr>
                <w:rFonts w:ascii="Calibri" w:eastAsia="Calibri" w:hAnsi="Calibri"/>
                <w:b/>
                <w:bCs/>
                <w:sz w:val="16"/>
                <w:szCs w:val="16"/>
              </w:rPr>
              <w:t xml:space="preserve">  14 (33)</w:t>
            </w:r>
          </w:p>
        </w:tc>
        <w:tc>
          <w:tcPr>
            <w:tcW w:w="5300" w:type="dxa"/>
            <w:gridSpan w:val="2"/>
            <w:tcBorders>
              <w:top w:val="single" w:sz="4" w:space="0" w:color="auto"/>
              <w:left w:val="nil"/>
              <w:bottom w:val="single" w:sz="4" w:space="0" w:color="auto"/>
              <w:right w:val="single" w:sz="4" w:space="0" w:color="auto"/>
            </w:tcBorders>
            <w:shd w:val="clear" w:color="000000" w:fill="FFFFFF"/>
            <w:vAlign w:val="center"/>
          </w:tcPr>
          <w:p w:rsidR="008676F9" w:rsidRPr="008676F9" w:rsidRDefault="008676F9" w:rsidP="00255E13">
            <w:pPr>
              <w:jc w:val="left"/>
              <w:rPr>
                <w:rFonts w:ascii="Calibri" w:eastAsia="Calibri" w:hAnsi="Calibri"/>
                <w:sz w:val="16"/>
                <w:szCs w:val="16"/>
              </w:rPr>
            </w:pPr>
            <w:r w:rsidRPr="008676F9">
              <w:rPr>
                <w:rFonts w:ascii="Calibri" w:eastAsia="Calibri" w:hAnsi="Calibri"/>
                <w:sz w:val="16"/>
                <w:szCs w:val="16"/>
              </w:rPr>
              <w:t>Počet príjemcov</w:t>
            </w:r>
          </w:p>
        </w:tc>
        <w:tc>
          <w:tcPr>
            <w:tcW w:w="2040" w:type="dxa"/>
            <w:gridSpan w:val="2"/>
            <w:tcBorders>
              <w:top w:val="nil"/>
              <w:left w:val="nil"/>
              <w:bottom w:val="single" w:sz="4" w:space="0" w:color="auto"/>
              <w:right w:val="single" w:sz="8" w:space="0" w:color="000000"/>
            </w:tcBorders>
            <w:shd w:val="clear" w:color="000000" w:fill="FFFFFF"/>
            <w:noWrap/>
            <w:vAlign w:val="center"/>
          </w:tcPr>
          <w:p w:rsidR="008676F9" w:rsidRPr="008676F9" w:rsidRDefault="008676F9" w:rsidP="008676F9">
            <w:pPr>
              <w:jc w:val="right"/>
              <w:rPr>
                <w:rFonts w:ascii="Calibri" w:eastAsia="Calibri" w:hAnsi="Calibri"/>
                <w:sz w:val="20"/>
                <w:szCs w:val="20"/>
              </w:rPr>
            </w:pPr>
            <w:r w:rsidRPr="008676F9">
              <w:rPr>
                <w:rFonts w:ascii="Calibri" w:eastAsia="Calibri" w:hAnsi="Calibri"/>
                <w:sz w:val="20"/>
                <w:szCs w:val="20"/>
              </w:rPr>
              <w:t xml:space="preserve">                          500</w:t>
            </w:r>
          </w:p>
        </w:tc>
      </w:tr>
      <w:tr w:rsidR="008676F9" w:rsidRPr="008676F9" w:rsidTr="00BB33FC">
        <w:trPr>
          <w:trHeight w:val="402"/>
        </w:trPr>
        <w:tc>
          <w:tcPr>
            <w:tcW w:w="1660" w:type="dxa"/>
            <w:vMerge/>
            <w:tcBorders>
              <w:top w:val="nil"/>
              <w:left w:val="single" w:sz="8" w:space="0" w:color="000000"/>
              <w:bottom w:val="single" w:sz="4" w:space="0" w:color="000000"/>
              <w:right w:val="single" w:sz="4" w:space="0" w:color="auto"/>
            </w:tcBorders>
            <w:vAlign w:val="center"/>
          </w:tcPr>
          <w:p w:rsidR="008676F9" w:rsidRPr="008676F9" w:rsidRDefault="008676F9" w:rsidP="008676F9">
            <w:pPr>
              <w:rPr>
                <w:rFonts w:ascii="Calibri" w:eastAsia="Calibri" w:hAnsi="Calibri"/>
                <w:b/>
                <w:bCs/>
                <w:sz w:val="16"/>
                <w:szCs w:val="16"/>
              </w:rPr>
            </w:pPr>
          </w:p>
        </w:tc>
        <w:tc>
          <w:tcPr>
            <w:tcW w:w="5300" w:type="dxa"/>
            <w:gridSpan w:val="2"/>
            <w:tcBorders>
              <w:top w:val="single" w:sz="4" w:space="0" w:color="auto"/>
              <w:left w:val="nil"/>
              <w:bottom w:val="single" w:sz="4" w:space="0" w:color="auto"/>
              <w:right w:val="single" w:sz="4" w:space="0" w:color="auto"/>
            </w:tcBorders>
            <w:shd w:val="clear" w:color="000000" w:fill="FFFFFF"/>
            <w:vAlign w:val="center"/>
          </w:tcPr>
          <w:p w:rsidR="008676F9" w:rsidRPr="008676F9" w:rsidRDefault="008676F9" w:rsidP="00255E13">
            <w:pPr>
              <w:jc w:val="left"/>
              <w:rPr>
                <w:rFonts w:ascii="Calibri" w:eastAsia="Calibri" w:hAnsi="Calibri"/>
                <w:sz w:val="16"/>
                <w:szCs w:val="16"/>
              </w:rPr>
            </w:pPr>
            <w:r w:rsidRPr="008676F9">
              <w:rPr>
                <w:rFonts w:ascii="Calibri" w:eastAsia="Calibri" w:hAnsi="Calibri"/>
                <w:sz w:val="16"/>
                <w:szCs w:val="16"/>
              </w:rPr>
              <w:t>Celkové verejné výdavky (€)</w:t>
            </w:r>
          </w:p>
        </w:tc>
        <w:tc>
          <w:tcPr>
            <w:tcW w:w="2040" w:type="dxa"/>
            <w:gridSpan w:val="2"/>
            <w:tcBorders>
              <w:top w:val="nil"/>
              <w:left w:val="nil"/>
              <w:bottom w:val="single" w:sz="4" w:space="0" w:color="auto"/>
              <w:right w:val="single" w:sz="8" w:space="0" w:color="000000"/>
            </w:tcBorders>
            <w:shd w:val="clear" w:color="000000" w:fill="FFFFFF"/>
            <w:noWrap/>
            <w:vAlign w:val="center"/>
          </w:tcPr>
          <w:p w:rsidR="008676F9" w:rsidRPr="008676F9" w:rsidRDefault="008676F9" w:rsidP="008676F9">
            <w:pPr>
              <w:jc w:val="right"/>
              <w:rPr>
                <w:rFonts w:ascii="Calibri" w:eastAsia="Calibri" w:hAnsi="Calibri"/>
                <w:sz w:val="20"/>
                <w:szCs w:val="20"/>
              </w:rPr>
            </w:pPr>
            <w:r w:rsidRPr="008676F9">
              <w:rPr>
                <w:rFonts w:ascii="Calibri" w:eastAsia="Calibri" w:hAnsi="Calibri"/>
                <w:sz w:val="20"/>
                <w:szCs w:val="20"/>
              </w:rPr>
              <w:t xml:space="preserve">         108 000 000,00</w:t>
            </w:r>
          </w:p>
        </w:tc>
      </w:tr>
      <w:tr w:rsidR="00255E13" w:rsidRPr="008676F9" w:rsidTr="00BB33FC">
        <w:trPr>
          <w:trHeight w:val="402"/>
        </w:trPr>
        <w:tc>
          <w:tcPr>
            <w:tcW w:w="1660" w:type="dxa"/>
            <w:vMerge w:val="restart"/>
            <w:tcBorders>
              <w:top w:val="nil"/>
              <w:left w:val="single" w:sz="8" w:space="0" w:color="000000"/>
              <w:bottom w:val="single" w:sz="4" w:space="0" w:color="000000"/>
              <w:right w:val="single" w:sz="4" w:space="0" w:color="auto"/>
            </w:tcBorders>
            <w:shd w:val="clear" w:color="000000" w:fill="FFFFFF"/>
            <w:vAlign w:val="center"/>
          </w:tcPr>
          <w:p w:rsidR="00255E13" w:rsidRPr="008676F9" w:rsidRDefault="00255E13" w:rsidP="008676F9">
            <w:pPr>
              <w:jc w:val="center"/>
              <w:rPr>
                <w:rFonts w:ascii="Calibri" w:eastAsia="Calibri" w:hAnsi="Calibri"/>
                <w:b/>
                <w:bCs/>
                <w:sz w:val="16"/>
                <w:szCs w:val="16"/>
              </w:rPr>
            </w:pPr>
            <w:r w:rsidRPr="008676F9">
              <w:rPr>
                <w:rFonts w:ascii="Calibri" w:eastAsia="Calibri" w:hAnsi="Calibri"/>
                <w:b/>
                <w:bCs/>
                <w:sz w:val="16"/>
                <w:szCs w:val="16"/>
              </w:rPr>
              <w:t>1 (14)</w:t>
            </w:r>
          </w:p>
        </w:tc>
        <w:tc>
          <w:tcPr>
            <w:tcW w:w="2220" w:type="dxa"/>
            <w:vMerge w:val="restart"/>
            <w:tcBorders>
              <w:top w:val="nil"/>
              <w:left w:val="single" w:sz="4" w:space="0" w:color="auto"/>
              <w:bottom w:val="single" w:sz="4" w:space="0" w:color="auto"/>
              <w:right w:val="single" w:sz="4" w:space="0" w:color="auto"/>
            </w:tcBorders>
            <w:shd w:val="clear" w:color="000000" w:fill="FFFFFF"/>
            <w:vAlign w:val="center"/>
          </w:tcPr>
          <w:p w:rsidR="00255E13" w:rsidRPr="008676F9" w:rsidRDefault="00255E13" w:rsidP="00255E13">
            <w:pPr>
              <w:jc w:val="left"/>
              <w:rPr>
                <w:rFonts w:ascii="Calibri" w:eastAsia="Calibri" w:hAnsi="Calibri"/>
                <w:sz w:val="16"/>
                <w:szCs w:val="16"/>
              </w:rPr>
            </w:pPr>
            <w:r w:rsidRPr="008676F9">
              <w:rPr>
                <w:rFonts w:ascii="Calibri" w:eastAsia="Calibri" w:hAnsi="Calibri"/>
                <w:sz w:val="16"/>
                <w:szCs w:val="16"/>
              </w:rPr>
              <w:t xml:space="preserve">Školenia/získavanie </w:t>
            </w:r>
            <w:r w:rsidRPr="008676F9">
              <w:rPr>
                <w:rFonts w:ascii="Calibri" w:eastAsia="Calibri" w:hAnsi="Calibri"/>
                <w:sz w:val="16"/>
                <w:szCs w:val="16"/>
              </w:rPr>
              <w:br/>
              <w:t>praktických zručností  (1.1)</w:t>
            </w:r>
          </w:p>
        </w:tc>
        <w:tc>
          <w:tcPr>
            <w:tcW w:w="3080" w:type="dxa"/>
            <w:tcBorders>
              <w:top w:val="nil"/>
              <w:left w:val="nil"/>
              <w:bottom w:val="single" w:sz="4" w:space="0" w:color="auto"/>
              <w:right w:val="single" w:sz="4" w:space="0" w:color="auto"/>
            </w:tcBorders>
            <w:shd w:val="clear" w:color="000000" w:fill="FFFFFF"/>
            <w:vAlign w:val="center"/>
          </w:tcPr>
          <w:p w:rsidR="00255E13" w:rsidRPr="008676F9" w:rsidRDefault="00255E13" w:rsidP="00255E13">
            <w:pPr>
              <w:jc w:val="left"/>
              <w:rPr>
                <w:rFonts w:ascii="Calibri" w:eastAsia="Calibri" w:hAnsi="Calibri"/>
                <w:sz w:val="16"/>
                <w:szCs w:val="16"/>
              </w:rPr>
            </w:pPr>
            <w:r w:rsidRPr="008676F9">
              <w:rPr>
                <w:rFonts w:ascii="Calibri" w:eastAsia="Calibri" w:hAnsi="Calibri"/>
                <w:sz w:val="16"/>
                <w:szCs w:val="16"/>
              </w:rPr>
              <w:t>Počet účastníkov vzdelávania</w:t>
            </w:r>
          </w:p>
        </w:tc>
        <w:tc>
          <w:tcPr>
            <w:tcW w:w="2040" w:type="dxa"/>
            <w:gridSpan w:val="2"/>
            <w:tcBorders>
              <w:top w:val="nil"/>
              <w:left w:val="nil"/>
              <w:bottom w:val="single" w:sz="4" w:space="0" w:color="auto"/>
              <w:right w:val="single" w:sz="8" w:space="0" w:color="000000"/>
            </w:tcBorders>
            <w:shd w:val="clear" w:color="000000" w:fill="FFFFFF"/>
            <w:noWrap/>
            <w:vAlign w:val="center"/>
          </w:tcPr>
          <w:p w:rsidR="00255E13" w:rsidRPr="00F849C3" w:rsidRDefault="00255E13" w:rsidP="00895B36">
            <w:pPr>
              <w:jc w:val="right"/>
              <w:rPr>
                <w:sz w:val="20"/>
                <w:szCs w:val="20"/>
              </w:rPr>
            </w:pPr>
            <w:r w:rsidRPr="00F849C3">
              <w:rPr>
                <w:sz w:val="20"/>
                <w:szCs w:val="20"/>
              </w:rPr>
              <w:t xml:space="preserve">                          </w:t>
            </w:r>
            <w:r>
              <w:rPr>
                <w:sz w:val="20"/>
                <w:szCs w:val="20"/>
              </w:rPr>
              <w:t>6</w:t>
            </w:r>
            <w:r w:rsidRPr="00F849C3">
              <w:rPr>
                <w:sz w:val="20"/>
                <w:szCs w:val="20"/>
              </w:rPr>
              <w:t xml:space="preserve">50 </w:t>
            </w:r>
          </w:p>
        </w:tc>
      </w:tr>
      <w:tr w:rsidR="00255E13" w:rsidRPr="008676F9" w:rsidTr="00BB33FC">
        <w:trPr>
          <w:trHeight w:val="525"/>
        </w:trPr>
        <w:tc>
          <w:tcPr>
            <w:tcW w:w="1660" w:type="dxa"/>
            <w:vMerge/>
            <w:tcBorders>
              <w:top w:val="nil"/>
              <w:left w:val="single" w:sz="8" w:space="0" w:color="000000"/>
              <w:bottom w:val="single" w:sz="4" w:space="0" w:color="000000"/>
              <w:right w:val="single" w:sz="4" w:space="0" w:color="auto"/>
            </w:tcBorders>
            <w:vAlign w:val="center"/>
          </w:tcPr>
          <w:p w:rsidR="00255E13" w:rsidRPr="008676F9" w:rsidRDefault="00255E13" w:rsidP="008676F9">
            <w:pPr>
              <w:rPr>
                <w:rFonts w:ascii="Calibri" w:eastAsia="Calibri" w:hAnsi="Calibri"/>
                <w:b/>
                <w:bCs/>
                <w:sz w:val="16"/>
                <w:szCs w:val="16"/>
              </w:rPr>
            </w:pPr>
          </w:p>
        </w:tc>
        <w:tc>
          <w:tcPr>
            <w:tcW w:w="2220" w:type="dxa"/>
            <w:vMerge/>
            <w:tcBorders>
              <w:top w:val="nil"/>
              <w:left w:val="single" w:sz="4" w:space="0" w:color="auto"/>
              <w:bottom w:val="single" w:sz="4" w:space="0" w:color="auto"/>
              <w:right w:val="single" w:sz="4" w:space="0" w:color="auto"/>
            </w:tcBorders>
            <w:vAlign w:val="center"/>
          </w:tcPr>
          <w:p w:rsidR="00255E13" w:rsidRPr="008676F9" w:rsidRDefault="00255E13" w:rsidP="00255E13">
            <w:pPr>
              <w:jc w:val="left"/>
              <w:rPr>
                <w:rFonts w:ascii="Calibri" w:eastAsia="Calibri" w:hAnsi="Calibri"/>
                <w:sz w:val="16"/>
                <w:szCs w:val="16"/>
              </w:rPr>
            </w:pPr>
          </w:p>
        </w:tc>
        <w:tc>
          <w:tcPr>
            <w:tcW w:w="3080" w:type="dxa"/>
            <w:tcBorders>
              <w:top w:val="nil"/>
              <w:left w:val="nil"/>
              <w:bottom w:val="single" w:sz="4" w:space="0" w:color="auto"/>
              <w:right w:val="single" w:sz="4" w:space="0" w:color="auto"/>
            </w:tcBorders>
            <w:shd w:val="clear" w:color="000000" w:fill="FFFFFF"/>
            <w:vAlign w:val="center"/>
          </w:tcPr>
          <w:p w:rsidR="00255E13" w:rsidRPr="008676F9" w:rsidRDefault="00255E13" w:rsidP="00255E13">
            <w:pPr>
              <w:jc w:val="left"/>
              <w:rPr>
                <w:rFonts w:ascii="Calibri" w:eastAsia="Calibri" w:hAnsi="Calibri"/>
                <w:sz w:val="16"/>
                <w:szCs w:val="16"/>
              </w:rPr>
            </w:pPr>
            <w:r w:rsidRPr="008676F9">
              <w:rPr>
                <w:rFonts w:ascii="Calibri" w:eastAsia="Calibri" w:hAnsi="Calibri"/>
                <w:sz w:val="16"/>
                <w:szCs w:val="16"/>
              </w:rPr>
              <w:t>Celkové verejné výdavky na školenia (1.1)</w:t>
            </w:r>
          </w:p>
        </w:tc>
        <w:tc>
          <w:tcPr>
            <w:tcW w:w="2040" w:type="dxa"/>
            <w:gridSpan w:val="2"/>
            <w:tcBorders>
              <w:top w:val="nil"/>
              <w:left w:val="nil"/>
              <w:bottom w:val="single" w:sz="4" w:space="0" w:color="auto"/>
              <w:right w:val="single" w:sz="8" w:space="0" w:color="000000"/>
            </w:tcBorders>
            <w:shd w:val="clear" w:color="000000" w:fill="FFFFFF"/>
            <w:noWrap/>
            <w:vAlign w:val="center"/>
          </w:tcPr>
          <w:p w:rsidR="00255E13" w:rsidRPr="00F849C3" w:rsidRDefault="00255E13" w:rsidP="00255E13">
            <w:pPr>
              <w:jc w:val="right"/>
              <w:rPr>
                <w:sz w:val="20"/>
                <w:szCs w:val="20"/>
              </w:rPr>
            </w:pPr>
            <w:r>
              <w:rPr>
                <w:sz w:val="20"/>
                <w:szCs w:val="20"/>
              </w:rPr>
              <w:t xml:space="preserve"> 1 3</w:t>
            </w:r>
            <w:r w:rsidRPr="00F849C3">
              <w:rPr>
                <w:sz w:val="20"/>
                <w:szCs w:val="20"/>
              </w:rPr>
              <w:t>00 000,00</w:t>
            </w:r>
          </w:p>
        </w:tc>
      </w:tr>
      <w:tr w:rsidR="00255E13" w:rsidRPr="008676F9" w:rsidTr="00BB33FC">
        <w:trPr>
          <w:trHeight w:val="495"/>
        </w:trPr>
        <w:tc>
          <w:tcPr>
            <w:tcW w:w="1660" w:type="dxa"/>
            <w:vMerge/>
            <w:tcBorders>
              <w:top w:val="nil"/>
              <w:left w:val="single" w:sz="8" w:space="0" w:color="000000"/>
              <w:bottom w:val="single" w:sz="4" w:space="0" w:color="000000"/>
              <w:right w:val="single" w:sz="4" w:space="0" w:color="auto"/>
            </w:tcBorders>
            <w:vAlign w:val="center"/>
          </w:tcPr>
          <w:p w:rsidR="00255E13" w:rsidRPr="008676F9" w:rsidRDefault="00255E13" w:rsidP="008676F9">
            <w:pPr>
              <w:rPr>
                <w:rFonts w:ascii="Calibri" w:eastAsia="Calibri" w:hAnsi="Calibri"/>
                <w:b/>
                <w:bCs/>
                <w:sz w:val="16"/>
                <w:szCs w:val="16"/>
              </w:rPr>
            </w:pPr>
          </w:p>
        </w:tc>
        <w:tc>
          <w:tcPr>
            <w:tcW w:w="5300" w:type="dxa"/>
            <w:gridSpan w:val="2"/>
            <w:tcBorders>
              <w:top w:val="single" w:sz="4" w:space="0" w:color="auto"/>
              <w:left w:val="nil"/>
              <w:bottom w:val="single" w:sz="4" w:space="0" w:color="auto"/>
              <w:right w:val="single" w:sz="4" w:space="0" w:color="auto"/>
            </w:tcBorders>
            <w:shd w:val="clear" w:color="000000" w:fill="FFFFFF"/>
            <w:vAlign w:val="center"/>
          </w:tcPr>
          <w:p w:rsidR="00255E13" w:rsidRPr="008676F9" w:rsidRDefault="00255E13" w:rsidP="00255E13">
            <w:pPr>
              <w:jc w:val="left"/>
              <w:rPr>
                <w:rFonts w:ascii="Calibri" w:eastAsia="Calibri" w:hAnsi="Calibri"/>
                <w:sz w:val="16"/>
                <w:szCs w:val="16"/>
              </w:rPr>
            </w:pPr>
            <w:r w:rsidRPr="008676F9">
              <w:rPr>
                <w:rFonts w:ascii="Calibri" w:eastAsia="Calibri" w:hAnsi="Calibri"/>
                <w:sz w:val="16"/>
                <w:szCs w:val="16"/>
              </w:rPr>
              <w:t>Celkové verejné výdavky  € (školenia, informačné aktivity, demonštračné  predvádzacie činnosti ) (1.1, 1.2)</w:t>
            </w:r>
          </w:p>
        </w:tc>
        <w:tc>
          <w:tcPr>
            <w:tcW w:w="2040" w:type="dxa"/>
            <w:gridSpan w:val="2"/>
            <w:tcBorders>
              <w:top w:val="nil"/>
              <w:left w:val="nil"/>
              <w:bottom w:val="single" w:sz="4" w:space="0" w:color="auto"/>
              <w:right w:val="single" w:sz="8" w:space="0" w:color="000000"/>
            </w:tcBorders>
            <w:shd w:val="clear" w:color="000000" w:fill="FFFFFF"/>
            <w:noWrap/>
            <w:vAlign w:val="center"/>
          </w:tcPr>
          <w:p w:rsidR="00255E13" w:rsidRPr="008676F9" w:rsidRDefault="00255E13" w:rsidP="008676F9">
            <w:pPr>
              <w:jc w:val="right"/>
              <w:rPr>
                <w:rFonts w:ascii="Calibri" w:eastAsia="Calibri" w:hAnsi="Calibri"/>
                <w:sz w:val="20"/>
                <w:szCs w:val="20"/>
              </w:rPr>
            </w:pPr>
            <w:r w:rsidRPr="008676F9">
              <w:rPr>
                <w:rFonts w:ascii="Calibri" w:eastAsia="Calibri" w:hAnsi="Calibri"/>
                <w:sz w:val="20"/>
                <w:szCs w:val="20"/>
              </w:rPr>
              <w:t xml:space="preserve">               </w:t>
            </w:r>
            <w:r>
              <w:rPr>
                <w:rFonts w:ascii="Calibri" w:eastAsia="Calibri" w:hAnsi="Calibri"/>
                <w:sz w:val="20"/>
                <w:szCs w:val="20"/>
              </w:rPr>
              <w:t xml:space="preserve">1 </w:t>
            </w:r>
            <w:r w:rsidRPr="008676F9">
              <w:rPr>
                <w:rFonts w:ascii="Calibri" w:eastAsia="Calibri" w:hAnsi="Calibri"/>
                <w:sz w:val="20"/>
                <w:szCs w:val="20"/>
              </w:rPr>
              <w:t>600 000,00</w:t>
            </w:r>
          </w:p>
        </w:tc>
      </w:tr>
      <w:tr w:rsidR="008676F9" w:rsidRPr="008676F9" w:rsidTr="00BB33FC">
        <w:trPr>
          <w:trHeight w:val="402"/>
        </w:trPr>
        <w:tc>
          <w:tcPr>
            <w:tcW w:w="1660" w:type="dxa"/>
            <w:vMerge w:val="restart"/>
            <w:tcBorders>
              <w:top w:val="nil"/>
              <w:left w:val="single" w:sz="8" w:space="0" w:color="000000"/>
              <w:bottom w:val="single" w:sz="8" w:space="0" w:color="000000"/>
              <w:right w:val="single" w:sz="4" w:space="0" w:color="auto"/>
            </w:tcBorders>
            <w:shd w:val="clear" w:color="000000" w:fill="FFFFFF"/>
            <w:vAlign w:val="center"/>
          </w:tcPr>
          <w:p w:rsidR="008676F9" w:rsidRPr="008676F9" w:rsidRDefault="008676F9" w:rsidP="008676F9">
            <w:pPr>
              <w:jc w:val="center"/>
              <w:rPr>
                <w:rFonts w:ascii="Calibri" w:eastAsia="Calibri" w:hAnsi="Calibri"/>
                <w:b/>
                <w:bCs/>
                <w:sz w:val="16"/>
                <w:szCs w:val="16"/>
              </w:rPr>
            </w:pPr>
            <w:r w:rsidRPr="008676F9">
              <w:rPr>
                <w:rFonts w:ascii="Calibri" w:eastAsia="Calibri" w:hAnsi="Calibri"/>
                <w:b/>
                <w:bCs/>
                <w:sz w:val="16"/>
                <w:szCs w:val="16"/>
              </w:rPr>
              <w:t>2 (15)</w:t>
            </w:r>
          </w:p>
        </w:tc>
        <w:tc>
          <w:tcPr>
            <w:tcW w:w="5300" w:type="dxa"/>
            <w:gridSpan w:val="2"/>
            <w:tcBorders>
              <w:top w:val="single" w:sz="4" w:space="0" w:color="auto"/>
              <w:left w:val="nil"/>
              <w:bottom w:val="single" w:sz="4" w:space="0" w:color="auto"/>
              <w:right w:val="single" w:sz="4" w:space="0" w:color="auto"/>
            </w:tcBorders>
            <w:shd w:val="clear" w:color="000000" w:fill="FFFFFF"/>
            <w:vAlign w:val="center"/>
          </w:tcPr>
          <w:p w:rsidR="008676F9" w:rsidRPr="008676F9" w:rsidRDefault="008676F9" w:rsidP="00255E13">
            <w:pPr>
              <w:jc w:val="left"/>
              <w:rPr>
                <w:rFonts w:ascii="Calibri" w:eastAsia="Calibri" w:hAnsi="Calibri"/>
                <w:sz w:val="16"/>
                <w:szCs w:val="16"/>
              </w:rPr>
            </w:pPr>
            <w:r w:rsidRPr="008676F9">
              <w:rPr>
                <w:rFonts w:ascii="Calibri" w:eastAsia="Calibri" w:hAnsi="Calibri"/>
                <w:sz w:val="16"/>
                <w:szCs w:val="16"/>
              </w:rPr>
              <w:t>Počet subjektov, kde bolo vykonané poradenstvo (2.1)</w:t>
            </w:r>
          </w:p>
        </w:tc>
        <w:tc>
          <w:tcPr>
            <w:tcW w:w="2040" w:type="dxa"/>
            <w:gridSpan w:val="2"/>
            <w:tcBorders>
              <w:top w:val="nil"/>
              <w:left w:val="nil"/>
              <w:bottom w:val="single" w:sz="4" w:space="0" w:color="auto"/>
              <w:right w:val="single" w:sz="8" w:space="0" w:color="000000"/>
            </w:tcBorders>
            <w:shd w:val="clear" w:color="000000" w:fill="FFFFFF"/>
            <w:noWrap/>
            <w:vAlign w:val="center"/>
          </w:tcPr>
          <w:p w:rsidR="008676F9" w:rsidRPr="008676F9" w:rsidRDefault="008676F9" w:rsidP="008676F9">
            <w:pPr>
              <w:jc w:val="right"/>
              <w:rPr>
                <w:rFonts w:ascii="Calibri" w:eastAsia="Calibri" w:hAnsi="Calibri"/>
                <w:sz w:val="20"/>
                <w:szCs w:val="20"/>
              </w:rPr>
            </w:pPr>
            <w:r w:rsidRPr="008676F9">
              <w:rPr>
                <w:rFonts w:ascii="Calibri" w:eastAsia="Calibri" w:hAnsi="Calibri"/>
                <w:sz w:val="20"/>
                <w:szCs w:val="20"/>
              </w:rPr>
              <w:t xml:space="preserve">                            50 </w:t>
            </w:r>
          </w:p>
        </w:tc>
      </w:tr>
      <w:tr w:rsidR="008676F9" w:rsidRPr="008676F9" w:rsidTr="00BB33FC">
        <w:trPr>
          <w:trHeight w:val="402"/>
        </w:trPr>
        <w:tc>
          <w:tcPr>
            <w:tcW w:w="1660" w:type="dxa"/>
            <w:vMerge/>
            <w:tcBorders>
              <w:top w:val="nil"/>
              <w:left w:val="single" w:sz="8" w:space="0" w:color="000000"/>
              <w:bottom w:val="single" w:sz="8" w:space="0" w:color="000000"/>
              <w:right w:val="single" w:sz="4" w:space="0" w:color="auto"/>
            </w:tcBorders>
            <w:vAlign w:val="center"/>
          </w:tcPr>
          <w:p w:rsidR="008676F9" w:rsidRPr="008676F9" w:rsidRDefault="008676F9" w:rsidP="008676F9">
            <w:pPr>
              <w:rPr>
                <w:rFonts w:ascii="Calibri" w:eastAsia="Calibri" w:hAnsi="Calibri"/>
                <w:b/>
                <w:bCs/>
                <w:sz w:val="16"/>
                <w:szCs w:val="16"/>
              </w:rPr>
            </w:pPr>
          </w:p>
        </w:tc>
        <w:tc>
          <w:tcPr>
            <w:tcW w:w="5300" w:type="dxa"/>
            <w:gridSpan w:val="2"/>
            <w:tcBorders>
              <w:top w:val="single" w:sz="4" w:space="0" w:color="auto"/>
              <w:left w:val="nil"/>
              <w:bottom w:val="single" w:sz="8" w:space="0" w:color="000000"/>
              <w:right w:val="single" w:sz="4" w:space="0" w:color="auto"/>
            </w:tcBorders>
            <w:shd w:val="clear" w:color="000000" w:fill="FFFFFF"/>
            <w:vAlign w:val="center"/>
          </w:tcPr>
          <w:p w:rsidR="008676F9" w:rsidRPr="008676F9" w:rsidRDefault="008676F9" w:rsidP="008676F9">
            <w:pPr>
              <w:rPr>
                <w:rFonts w:ascii="Calibri" w:eastAsia="Calibri" w:hAnsi="Calibri"/>
                <w:sz w:val="16"/>
                <w:szCs w:val="16"/>
              </w:rPr>
            </w:pPr>
            <w:r w:rsidRPr="008676F9">
              <w:rPr>
                <w:rFonts w:ascii="Calibri" w:eastAsia="Calibri" w:hAnsi="Calibri"/>
                <w:sz w:val="16"/>
                <w:szCs w:val="16"/>
              </w:rPr>
              <w:t>Celkové verejné výdavky  € (2.1,2.3)</w:t>
            </w:r>
          </w:p>
        </w:tc>
        <w:tc>
          <w:tcPr>
            <w:tcW w:w="2040" w:type="dxa"/>
            <w:gridSpan w:val="2"/>
            <w:tcBorders>
              <w:top w:val="nil"/>
              <w:left w:val="nil"/>
              <w:bottom w:val="single" w:sz="8" w:space="0" w:color="000000"/>
              <w:right w:val="single" w:sz="8" w:space="0" w:color="000000"/>
            </w:tcBorders>
            <w:shd w:val="clear" w:color="000000" w:fill="FFFFFF"/>
            <w:noWrap/>
            <w:vAlign w:val="center"/>
          </w:tcPr>
          <w:p w:rsidR="008676F9" w:rsidRPr="008676F9" w:rsidRDefault="008676F9" w:rsidP="008676F9">
            <w:pPr>
              <w:jc w:val="right"/>
              <w:rPr>
                <w:rFonts w:ascii="Calibri" w:eastAsia="Calibri" w:hAnsi="Calibri"/>
                <w:sz w:val="20"/>
                <w:szCs w:val="20"/>
              </w:rPr>
            </w:pPr>
            <w:r w:rsidRPr="008676F9">
              <w:rPr>
                <w:rFonts w:ascii="Calibri" w:eastAsia="Calibri" w:hAnsi="Calibri"/>
                <w:sz w:val="20"/>
                <w:szCs w:val="20"/>
              </w:rPr>
              <w:t xml:space="preserve">                 105 000,00</w:t>
            </w:r>
          </w:p>
        </w:tc>
      </w:tr>
    </w:tbl>
    <w:p w:rsidR="008676F9" w:rsidRPr="008676F9" w:rsidRDefault="008676F9" w:rsidP="008676F9">
      <w:pPr>
        <w:spacing w:after="200" w:line="276" w:lineRule="auto"/>
        <w:rPr>
          <w:rFonts w:ascii="Calibri" w:eastAsia="Calibri" w:hAnsi="Calibri"/>
          <w:b/>
          <w:szCs w:val="22"/>
          <w:lang w:eastAsia="en-US"/>
        </w:rPr>
      </w:pPr>
    </w:p>
    <w:p w:rsidR="008676F9" w:rsidRPr="008676F9" w:rsidRDefault="008676F9" w:rsidP="008676F9">
      <w:pPr>
        <w:spacing w:after="200" w:line="276" w:lineRule="auto"/>
        <w:rPr>
          <w:rFonts w:ascii="Calibri" w:eastAsia="Calibri" w:hAnsi="Calibri"/>
          <w:b/>
          <w:szCs w:val="22"/>
          <w:lang w:eastAsia="en-US"/>
        </w:rPr>
      </w:pPr>
    </w:p>
    <w:p w:rsidR="008676F9" w:rsidRPr="008676F9" w:rsidRDefault="008676F9" w:rsidP="008676F9">
      <w:pPr>
        <w:spacing w:after="200" w:line="276" w:lineRule="auto"/>
        <w:rPr>
          <w:rFonts w:ascii="Calibri" w:eastAsia="Calibri" w:hAnsi="Calibri"/>
          <w:b/>
          <w:szCs w:val="22"/>
          <w:lang w:eastAsia="en-US"/>
        </w:rPr>
      </w:pPr>
    </w:p>
    <w:p w:rsidR="008676F9" w:rsidRPr="008676F9" w:rsidRDefault="008676F9" w:rsidP="008676F9">
      <w:pPr>
        <w:spacing w:after="200" w:line="276" w:lineRule="auto"/>
        <w:rPr>
          <w:rFonts w:ascii="Calibri" w:eastAsia="Calibri" w:hAnsi="Calibri"/>
          <w:b/>
          <w:szCs w:val="22"/>
          <w:lang w:eastAsia="en-US"/>
        </w:rPr>
      </w:pPr>
    </w:p>
    <w:p w:rsidR="008676F9" w:rsidRPr="008676F9" w:rsidRDefault="008676F9" w:rsidP="008676F9">
      <w:pPr>
        <w:spacing w:after="200" w:line="276" w:lineRule="auto"/>
        <w:rPr>
          <w:rFonts w:ascii="Calibri" w:eastAsia="Calibri" w:hAnsi="Calibri"/>
          <w:b/>
          <w:szCs w:val="22"/>
          <w:lang w:eastAsia="en-US"/>
        </w:rPr>
      </w:pPr>
    </w:p>
    <w:tbl>
      <w:tblPr>
        <w:tblW w:w="8140" w:type="dxa"/>
        <w:tblInd w:w="55" w:type="dxa"/>
        <w:tblCellMar>
          <w:left w:w="70" w:type="dxa"/>
          <w:right w:w="70" w:type="dxa"/>
        </w:tblCellMar>
        <w:tblLook w:val="00A0" w:firstRow="1" w:lastRow="0" w:firstColumn="1" w:lastColumn="0" w:noHBand="0" w:noVBand="0"/>
      </w:tblPr>
      <w:tblGrid>
        <w:gridCol w:w="1660"/>
        <w:gridCol w:w="1900"/>
        <w:gridCol w:w="2920"/>
        <w:gridCol w:w="1660"/>
      </w:tblGrid>
      <w:tr w:rsidR="008676F9" w:rsidRPr="008676F9" w:rsidTr="00BB33FC">
        <w:trPr>
          <w:trHeight w:val="499"/>
        </w:trPr>
        <w:tc>
          <w:tcPr>
            <w:tcW w:w="8140" w:type="dxa"/>
            <w:gridSpan w:val="4"/>
            <w:tcBorders>
              <w:top w:val="single" w:sz="4" w:space="0" w:color="auto"/>
              <w:left w:val="single" w:sz="4" w:space="0" w:color="auto"/>
              <w:bottom w:val="single" w:sz="8" w:space="0" w:color="auto"/>
              <w:right w:val="single" w:sz="4" w:space="0" w:color="auto"/>
            </w:tcBorders>
            <w:shd w:val="clear" w:color="auto" w:fill="FFFF00"/>
            <w:noWrap/>
            <w:vAlign w:val="center"/>
          </w:tcPr>
          <w:p w:rsidR="008676F9" w:rsidRPr="00E820E4" w:rsidRDefault="008676F9" w:rsidP="008676F9">
            <w:pPr>
              <w:jc w:val="center"/>
              <w:rPr>
                <w:rFonts w:ascii="Calibri" w:eastAsia="Calibri" w:hAnsi="Calibri"/>
                <w:b/>
                <w:bCs/>
                <w:szCs w:val="22"/>
              </w:rPr>
            </w:pPr>
            <w:r w:rsidRPr="00E820E4">
              <w:rPr>
                <w:rFonts w:ascii="Calibri" w:eastAsia="Calibri" w:hAnsi="Calibri"/>
                <w:b/>
                <w:bCs/>
                <w:szCs w:val="22"/>
              </w:rPr>
              <w:t>3B Podpora riadenia rizika poľnohospodárskych podnikov a ich predchádzania</w:t>
            </w:r>
          </w:p>
        </w:tc>
      </w:tr>
      <w:tr w:rsidR="008676F9" w:rsidRPr="008676F9" w:rsidTr="00BB33FC">
        <w:trPr>
          <w:trHeight w:val="499"/>
        </w:trPr>
        <w:tc>
          <w:tcPr>
            <w:tcW w:w="1660" w:type="dxa"/>
            <w:vMerge w:val="restart"/>
            <w:tcBorders>
              <w:top w:val="nil"/>
              <w:left w:val="single" w:sz="4" w:space="0" w:color="auto"/>
              <w:bottom w:val="single" w:sz="8" w:space="0" w:color="000000"/>
              <w:right w:val="single" w:sz="4" w:space="0" w:color="auto"/>
            </w:tcBorders>
            <w:shd w:val="clear" w:color="000000" w:fill="FFFFFF"/>
            <w:noWrap/>
            <w:vAlign w:val="center"/>
          </w:tcPr>
          <w:p w:rsidR="008676F9" w:rsidRPr="008676F9" w:rsidRDefault="008676F9" w:rsidP="008676F9">
            <w:pPr>
              <w:jc w:val="center"/>
              <w:rPr>
                <w:rFonts w:ascii="Calibri" w:eastAsia="Calibri" w:hAnsi="Calibri"/>
                <w:b/>
                <w:bCs/>
                <w:sz w:val="18"/>
                <w:szCs w:val="18"/>
              </w:rPr>
            </w:pPr>
            <w:r w:rsidRPr="008676F9">
              <w:rPr>
                <w:rFonts w:ascii="Calibri" w:eastAsia="Calibri" w:hAnsi="Calibri"/>
                <w:b/>
                <w:bCs/>
                <w:sz w:val="18"/>
                <w:szCs w:val="18"/>
              </w:rPr>
              <w:t>Cieľová hodnota</w:t>
            </w:r>
          </w:p>
        </w:tc>
        <w:tc>
          <w:tcPr>
            <w:tcW w:w="6480" w:type="dxa"/>
            <w:gridSpan w:val="3"/>
            <w:tcBorders>
              <w:top w:val="single" w:sz="8" w:space="0" w:color="auto"/>
              <w:left w:val="nil"/>
              <w:bottom w:val="single" w:sz="4" w:space="0" w:color="auto"/>
              <w:right w:val="single" w:sz="4" w:space="0" w:color="auto"/>
            </w:tcBorders>
            <w:shd w:val="clear" w:color="000000" w:fill="FFFFFF"/>
            <w:vAlign w:val="center"/>
          </w:tcPr>
          <w:p w:rsidR="008676F9" w:rsidRPr="008676F9" w:rsidRDefault="008676F9" w:rsidP="008676F9">
            <w:pPr>
              <w:jc w:val="center"/>
              <w:rPr>
                <w:rFonts w:ascii="Calibri" w:eastAsia="Calibri" w:hAnsi="Calibri"/>
                <w:b/>
                <w:bCs/>
                <w:sz w:val="18"/>
                <w:szCs w:val="18"/>
              </w:rPr>
            </w:pPr>
            <w:r w:rsidRPr="008676F9">
              <w:rPr>
                <w:rFonts w:ascii="Calibri" w:eastAsia="Calibri" w:hAnsi="Calibri"/>
                <w:b/>
                <w:bCs/>
                <w:sz w:val="18"/>
                <w:szCs w:val="18"/>
              </w:rPr>
              <w:t>% podnikov zúčastnených v podporných schémach riadenia rizika</w:t>
            </w:r>
          </w:p>
        </w:tc>
      </w:tr>
      <w:tr w:rsidR="008676F9" w:rsidRPr="008676F9" w:rsidTr="00BB33FC">
        <w:trPr>
          <w:trHeight w:val="499"/>
        </w:trPr>
        <w:tc>
          <w:tcPr>
            <w:tcW w:w="1660" w:type="dxa"/>
            <w:vMerge/>
            <w:tcBorders>
              <w:top w:val="nil"/>
              <w:left w:val="single" w:sz="4" w:space="0" w:color="auto"/>
              <w:bottom w:val="single" w:sz="8" w:space="0" w:color="000000"/>
              <w:right w:val="single" w:sz="4" w:space="0" w:color="auto"/>
            </w:tcBorders>
            <w:vAlign w:val="center"/>
          </w:tcPr>
          <w:p w:rsidR="008676F9" w:rsidRPr="008676F9" w:rsidRDefault="008676F9" w:rsidP="008676F9">
            <w:pPr>
              <w:rPr>
                <w:rFonts w:ascii="Calibri" w:eastAsia="Calibri" w:hAnsi="Calibri"/>
                <w:b/>
                <w:bCs/>
                <w:sz w:val="18"/>
                <w:szCs w:val="18"/>
              </w:rPr>
            </w:pPr>
          </w:p>
        </w:tc>
        <w:tc>
          <w:tcPr>
            <w:tcW w:w="1900" w:type="dxa"/>
            <w:tcBorders>
              <w:top w:val="nil"/>
              <w:left w:val="nil"/>
              <w:bottom w:val="single" w:sz="4" w:space="0" w:color="auto"/>
              <w:right w:val="single" w:sz="4" w:space="0" w:color="auto"/>
            </w:tcBorders>
            <w:shd w:val="clear" w:color="000000" w:fill="FFFFFF"/>
            <w:vAlign w:val="center"/>
          </w:tcPr>
          <w:p w:rsidR="008676F9" w:rsidRPr="008676F9" w:rsidRDefault="008676F9" w:rsidP="008676F9">
            <w:pPr>
              <w:rPr>
                <w:rFonts w:ascii="Calibri" w:eastAsia="Calibri" w:hAnsi="Calibri"/>
                <w:b/>
                <w:bCs/>
                <w:sz w:val="18"/>
                <w:szCs w:val="18"/>
              </w:rPr>
            </w:pPr>
            <w:r w:rsidRPr="008676F9">
              <w:rPr>
                <w:rFonts w:ascii="Calibri" w:eastAsia="Calibri" w:hAnsi="Calibri"/>
                <w:b/>
                <w:bCs/>
                <w:sz w:val="18"/>
                <w:szCs w:val="18"/>
              </w:rPr>
              <w:t> </w:t>
            </w:r>
          </w:p>
        </w:tc>
        <w:tc>
          <w:tcPr>
            <w:tcW w:w="2920" w:type="dxa"/>
            <w:tcBorders>
              <w:top w:val="nil"/>
              <w:left w:val="nil"/>
              <w:bottom w:val="single" w:sz="4" w:space="0" w:color="auto"/>
              <w:right w:val="single" w:sz="4" w:space="0" w:color="auto"/>
            </w:tcBorders>
            <w:shd w:val="clear" w:color="000000" w:fill="FFFFFF"/>
            <w:vAlign w:val="center"/>
          </w:tcPr>
          <w:p w:rsidR="008676F9" w:rsidRPr="008676F9" w:rsidRDefault="008676F9" w:rsidP="008676F9">
            <w:pPr>
              <w:rPr>
                <w:rFonts w:ascii="Calibri" w:eastAsia="Calibri" w:hAnsi="Calibri"/>
                <w:b/>
                <w:bCs/>
                <w:sz w:val="18"/>
                <w:szCs w:val="18"/>
              </w:rPr>
            </w:pPr>
            <w:r w:rsidRPr="008676F9">
              <w:rPr>
                <w:rFonts w:ascii="Calibri" w:eastAsia="Calibri" w:hAnsi="Calibri"/>
                <w:b/>
                <w:bCs/>
                <w:sz w:val="18"/>
                <w:szCs w:val="18"/>
              </w:rPr>
              <w:t>Počet</w:t>
            </w:r>
          </w:p>
        </w:tc>
        <w:tc>
          <w:tcPr>
            <w:tcW w:w="1660" w:type="dxa"/>
            <w:tcBorders>
              <w:top w:val="nil"/>
              <w:left w:val="nil"/>
              <w:bottom w:val="single" w:sz="4" w:space="0" w:color="auto"/>
              <w:right w:val="single" w:sz="4" w:space="0" w:color="auto"/>
            </w:tcBorders>
            <w:shd w:val="clear" w:color="000000" w:fill="FFFFFF"/>
            <w:vAlign w:val="center"/>
          </w:tcPr>
          <w:p w:rsidR="008676F9" w:rsidRPr="008676F9" w:rsidRDefault="008676F9" w:rsidP="008676F9">
            <w:pPr>
              <w:rPr>
                <w:rFonts w:ascii="Calibri" w:eastAsia="Calibri" w:hAnsi="Calibri"/>
                <w:b/>
                <w:bCs/>
                <w:sz w:val="18"/>
                <w:szCs w:val="18"/>
              </w:rPr>
            </w:pPr>
            <w:r w:rsidRPr="008676F9">
              <w:rPr>
                <w:rFonts w:ascii="Calibri" w:eastAsia="Calibri" w:hAnsi="Calibri"/>
                <w:b/>
                <w:bCs/>
                <w:sz w:val="18"/>
                <w:szCs w:val="18"/>
              </w:rPr>
              <w:t>%</w:t>
            </w:r>
          </w:p>
        </w:tc>
      </w:tr>
      <w:tr w:rsidR="008676F9" w:rsidRPr="008676F9" w:rsidTr="00BB33FC">
        <w:trPr>
          <w:trHeight w:val="499"/>
        </w:trPr>
        <w:tc>
          <w:tcPr>
            <w:tcW w:w="1660" w:type="dxa"/>
            <w:vMerge/>
            <w:tcBorders>
              <w:top w:val="nil"/>
              <w:left w:val="single" w:sz="4" w:space="0" w:color="auto"/>
              <w:bottom w:val="single" w:sz="8" w:space="0" w:color="000000"/>
              <w:right w:val="single" w:sz="4" w:space="0" w:color="auto"/>
            </w:tcBorders>
            <w:vAlign w:val="center"/>
          </w:tcPr>
          <w:p w:rsidR="008676F9" w:rsidRPr="008676F9" w:rsidRDefault="008676F9" w:rsidP="008676F9">
            <w:pPr>
              <w:rPr>
                <w:rFonts w:ascii="Calibri" w:eastAsia="Calibri" w:hAnsi="Calibri"/>
                <w:b/>
                <w:bCs/>
                <w:sz w:val="18"/>
                <w:szCs w:val="18"/>
              </w:rPr>
            </w:pPr>
          </w:p>
        </w:tc>
        <w:tc>
          <w:tcPr>
            <w:tcW w:w="1900" w:type="dxa"/>
            <w:tcBorders>
              <w:top w:val="nil"/>
              <w:left w:val="nil"/>
              <w:bottom w:val="single" w:sz="4" w:space="0" w:color="auto"/>
              <w:right w:val="single" w:sz="4" w:space="0" w:color="auto"/>
            </w:tcBorders>
            <w:shd w:val="clear" w:color="000000" w:fill="FFFFFF"/>
            <w:vAlign w:val="center"/>
          </w:tcPr>
          <w:p w:rsidR="008676F9" w:rsidRPr="008676F9" w:rsidRDefault="008676F9" w:rsidP="008676F9">
            <w:pPr>
              <w:rPr>
                <w:rFonts w:ascii="Calibri" w:eastAsia="Calibri" w:hAnsi="Calibri"/>
                <w:b/>
                <w:bCs/>
                <w:sz w:val="18"/>
                <w:szCs w:val="18"/>
              </w:rPr>
            </w:pPr>
            <w:r w:rsidRPr="008676F9">
              <w:rPr>
                <w:rFonts w:ascii="Calibri" w:eastAsia="Calibri" w:hAnsi="Calibri"/>
                <w:b/>
                <w:bCs/>
                <w:sz w:val="18"/>
                <w:szCs w:val="18"/>
              </w:rPr>
              <w:t>Počet podporených podnikov do 2020</w:t>
            </w:r>
          </w:p>
        </w:tc>
        <w:tc>
          <w:tcPr>
            <w:tcW w:w="2920" w:type="dxa"/>
            <w:tcBorders>
              <w:top w:val="nil"/>
              <w:left w:val="nil"/>
              <w:bottom w:val="single" w:sz="4" w:space="0" w:color="auto"/>
              <w:right w:val="single" w:sz="4" w:space="0" w:color="auto"/>
            </w:tcBorders>
            <w:shd w:val="clear" w:color="000000" w:fill="FFFFFF"/>
            <w:vAlign w:val="center"/>
          </w:tcPr>
          <w:p w:rsidR="008676F9" w:rsidRPr="008676F9" w:rsidRDefault="008676F9" w:rsidP="008676F9">
            <w:pPr>
              <w:jc w:val="right"/>
              <w:rPr>
                <w:rFonts w:ascii="Calibri" w:eastAsia="Calibri" w:hAnsi="Calibri"/>
                <w:i/>
                <w:iCs/>
                <w:sz w:val="18"/>
                <w:szCs w:val="18"/>
              </w:rPr>
            </w:pPr>
            <w:r w:rsidRPr="008676F9">
              <w:rPr>
                <w:rFonts w:ascii="Calibri" w:eastAsia="Calibri" w:hAnsi="Calibri"/>
                <w:i/>
                <w:iCs/>
                <w:sz w:val="18"/>
                <w:szCs w:val="18"/>
              </w:rPr>
              <w:t>260</w:t>
            </w:r>
          </w:p>
        </w:tc>
        <w:tc>
          <w:tcPr>
            <w:tcW w:w="1660" w:type="dxa"/>
            <w:tcBorders>
              <w:top w:val="nil"/>
              <w:left w:val="nil"/>
              <w:bottom w:val="single" w:sz="4" w:space="0" w:color="auto"/>
              <w:right w:val="single" w:sz="4" w:space="0" w:color="auto"/>
            </w:tcBorders>
            <w:shd w:val="clear" w:color="000000" w:fill="FFFFFF"/>
            <w:vAlign w:val="center"/>
          </w:tcPr>
          <w:p w:rsidR="008676F9" w:rsidRPr="008676F9" w:rsidRDefault="008676F9" w:rsidP="008676F9">
            <w:pPr>
              <w:jc w:val="right"/>
              <w:rPr>
                <w:rFonts w:ascii="Calibri" w:eastAsia="Calibri" w:hAnsi="Calibri"/>
                <w:i/>
                <w:iCs/>
                <w:sz w:val="18"/>
                <w:szCs w:val="18"/>
              </w:rPr>
            </w:pPr>
            <w:r w:rsidRPr="008676F9">
              <w:rPr>
                <w:rFonts w:ascii="Calibri" w:eastAsia="Calibri" w:hAnsi="Calibri"/>
                <w:i/>
                <w:iCs/>
                <w:sz w:val="18"/>
                <w:szCs w:val="18"/>
              </w:rPr>
              <w:t>1,06 %</w:t>
            </w:r>
          </w:p>
        </w:tc>
      </w:tr>
      <w:tr w:rsidR="008676F9" w:rsidRPr="008676F9" w:rsidTr="00BB33FC">
        <w:trPr>
          <w:trHeight w:val="499"/>
        </w:trPr>
        <w:tc>
          <w:tcPr>
            <w:tcW w:w="1660" w:type="dxa"/>
            <w:vMerge/>
            <w:tcBorders>
              <w:top w:val="nil"/>
              <w:left w:val="single" w:sz="4" w:space="0" w:color="auto"/>
              <w:bottom w:val="single" w:sz="8" w:space="0" w:color="000000"/>
              <w:right w:val="single" w:sz="4" w:space="0" w:color="auto"/>
            </w:tcBorders>
            <w:vAlign w:val="center"/>
          </w:tcPr>
          <w:p w:rsidR="008676F9" w:rsidRPr="008676F9" w:rsidRDefault="008676F9" w:rsidP="008676F9">
            <w:pPr>
              <w:rPr>
                <w:rFonts w:ascii="Calibri" w:eastAsia="Calibri" w:hAnsi="Calibri"/>
                <w:b/>
                <w:bCs/>
                <w:sz w:val="18"/>
                <w:szCs w:val="18"/>
              </w:rPr>
            </w:pPr>
          </w:p>
        </w:tc>
        <w:tc>
          <w:tcPr>
            <w:tcW w:w="1900" w:type="dxa"/>
            <w:tcBorders>
              <w:top w:val="nil"/>
              <w:left w:val="nil"/>
              <w:bottom w:val="single" w:sz="8" w:space="0" w:color="auto"/>
              <w:right w:val="single" w:sz="4" w:space="0" w:color="auto"/>
            </w:tcBorders>
            <w:shd w:val="clear" w:color="000000" w:fill="FFFFFF"/>
            <w:vAlign w:val="center"/>
          </w:tcPr>
          <w:p w:rsidR="008676F9" w:rsidRPr="008676F9" w:rsidRDefault="008676F9" w:rsidP="008676F9">
            <w:pPr>
              <w:rPr>
                <w:rFonts w:ascii="Calibri" w:eastAsia="Calibri" w:hAnsi="Calibri"/>
                <w:b/>
                <w:bCs/>
                <w:sz w:val="18"/>
                <w:szCs w:val="18"/>
              </w:rPr>
            </w:pPr>
            <w:r w:rsidRPr="008676F9">
              <w:rPr>
                <w:rFonts w:ascii="Calibri" w:eastAsia="Calibri" w:hAnsi="Calibri"/>
                <w:b/>
                <w:bCs/>
                <w:sz w:val="18"/>
                <w:szCs w:val="18"/>
              </w:rPr>
              <w:t>Celkový počet podnikov (východiskový rok)</w:t>
            </w:r>
          </w:p>
        </w:tc>
        <w:tc>
          <w:tcPr>
            <w:tcW w:w="2920" w:type="dxa"/>
            <w:tcBorders>
              <w:top w:val="nil"/>
              <w:left w:val="nil"/>
              <w:bottom w:val="single" w:sz="8" w:space="0" w:color="auto"/>
              <w:right w:val="single" w:sz="4" w:space="0" w:color="auto"/>
            </w:tcBorders>
            <w:shd w:val="clear" w:color="000000" w:fill="FFFFFF"/>
            <w:vAlign w:val="center"/>
          </w:tcPr>
          <w:p w:rsidR="008676F9" w:rsidRPr="008676F9" w:rsidRDefault="008676F9" w:rsidP="008676F9">
            <w:pPr>
              <w:jc w:val="right"/>
              <w:rPr>
                <w:rFonts w:ascii="Calibri" w:eastAsia="Calibri" w:hAnsi="Calibri"/>
                <w:i/>
                <w:iCs/>
                <w:sz w:val="18"/>
                <w:szCs w:val="18"/>
              </w:rPr>
            </w:pPr>
            <w:r w:rsidRPr="008676F9">
              <w:rPr>
                <w:rFonts w:ascii="Calibri" w:eastAsia="Calibri" w:hAnsi="Calibri"/>
                <w:i/>
                <w:iCs/>
                <w:sz w:val="18"/>
                <w:szCs w:val="18"/>
              </w:rPr>
              <w:t>24 460</w:t>
            </w:r>
          </w:p>
        </w:tc>
        <w:tc>
          <w:tcPr>
            <w:tcW w:w="1660" w:type="dxa"/>
            <w:tcBorders>
              <w:top w:val="nil"/>
              <w:left w:val="nil"/>
              <w:bottom w:val="single" w:sz="8" w:space="0" w:color="auto"/>
              <w:right w:val="single" w:sz="4" w:space="0" w:color="auto"/>
            </w:tcBorders>
            <w:shd w:val="clear" w:color="000000" w:fill="FFFFFF"/>
            <w:vAlign w:val="center"/>
          </w:tcPr>
          <w:p w:rsidR="008676F9" w:rsidRPr="008676F9" w:rsidRDefault="008676F9" w:rsidP="008676F9">
            <w:pPr>
              <w:rPr>
                <w:rFonts w:ascii="Calibri" w:eastAsia="Calibri" w:hAnsi="Calibri"/>
                <w:b/>
                <w:bCs/>
                <w:sz w:val="18"/>
                <w:szCs w:val="18"/>
              </w:rPr>
            </w:pPr>
            <w:r w:rsidRPr="008676F9">
              <w:rPr>
                <w:rFonts w:ascii="Calibri" w:eastAsia="Calibri" w:hAnsi="Calibri"/>
                <w:b/>
                <w:bCs/>
                <w:sz w:val="18"/>
                <w:szCs w:val="18"/>
              </w:rPr>
              <w:t> </w:t>
            </w:r>
          </w:p>
        </w:tc>
      </w:tr>
      <w:tr w:rsidR="008676F9" w:rsidRPr="008676F9" w:rsidTr="00BB33FC">
        <w:trPr>
          <w:trHeight w:val="70"/>
        </w:trPr>
        <w:tc>
          <w:tcPr>
            <w:tcW w:w="8140" w:type="dxa"/>
            <w:gridSpan w:val="4"/>
            <w:tcBorders>
              <w:top w:val="single" w:sz="8" w:space="0" w:color="auto"/>
              <w:left w:val="single" w:sz="4" w:space="0" w:color="auto"/>
              <w:bottom w:val="single" w:sz="8" w:space="0" w:color="auto"/>
              <w:right w:val="single" w:sz="4" w:space="0" w:color="auto"/>
            </w:tcBorders>
            <w:shd w:val="clear" w:color="000000" w:fill="FFFFFF"/>
            <w:noWrap/>
            <w:vAlign w:val="center"/>
          </w:tcPr>
          <w:p w:rsidR="008676F9" w:rsidRPr="008676F9" w:rsidRDefault="008676F9" w:rsidP="008676F9">
            <w:pPr>
              <w:jc w:val="center"/>
              <w:rPr>
                <w:rFonts w:ascii="Calibri" w:eastAsia="Calibri" w:hAnsi="Calibri"/>
                <w:b/>
                <w:bCs/>
                <w:sz w:val="18"/>
                <w:szCs w:val="18"/>
              </w:rPr>
            </w:pPr>
            <w:r w:rsidRPr="008676F9">
              <w:rPr>
                <w:rFonts w:ascii="Calibri" w:eastAsia="Calibri" w:hAnsi="Calibri"/>
                <w:b/>
                <w:bCs/>
                <w:sz w:val="18"/>
                <w:szCs w:val="18"/>
              </w:rPr>
              <w:t> </w:t>
            </w:r>
          </w:p>
        </w:tc>
      </w:tr>
      <w:tr w:rsidR="008676F9" w:rsidRPr="008676F9" w:rsidTr="00BB33FC">
        <w:trPr>
          <w:trHeight w:val="499"/>
        </w:trPr>
        <w:tc>
          <w:tcPr>
            <w:tcW w:w="8140" w:type="dxa"/>
            <w:gridSpan w:val="4"/>
            <w:tcBorders>
              <w:top w:val="single" w:sz="8" w:space="0" w:color="auto"/>
              <w:left w:val="single" w:sz="4" w:space="0" w:color="auto"/>
              <w:bottom w:val="single" w:sz="8" w:space="0" w:color="auto"/>
              <w:right w:val="single" w:sz="4" w:space="0" w:color="auto"/>
            </w:tcBorders>
            <w:shd w:val="clear" w:color="000000" w:fill="FFFFFF"/>
            <w:noWrap/>
            <w:vAlign w:val="center"/>
          </w:tcPr>
          <w:p w:rsidR="008676F9" w:rsidRPr="008676F9" w:rsidRDefault="008676F9" w:rsidP="008676F9">
            <w:pPr>
              <w:jc w:val="center"/>
              <w:rPr>
                <w:rFonts w:ascii="Calibri" w:eastAsia="Calibri" w:hAnsi="Calibri"/>
                <w:b/>
                <w:bCs/>
                <w:sz w:val="18"/>
                <w:szCs w:val="18"/>
              </w:rPr>
            </w:pPr>
            <w:r w:rsidRPr="008676F9">
              <w:rPr>
                <w:rFonts w:ascii="Calibri" w:eastAsia="Calibri" w:hAnsi="Calibri"/>
                <w:b/>
                <w:bCs/>
                <w:sz w:val="18"/>
                <w:szCs w:val="18"/>
              </w:rPr>
              <w:t>plánovaný výstup 2014-2020</w:t>
            </w:r>
          </w:p>
        </w:tc>
      </w:tr>
      <w:tr w:rsidR="008676F9" w:rsidRPr="008676F9" w:rsidTr="00BB33FC">
        <w:trPr>
          <w:trHeight w:val="499"/>
        </w:trPr>
        <w:tc>
          <w:tcPr>
            <w:tcW w:w="1660" w:type="dxa"/>
            <w:tcBorders>
              <w:top w:val="single" w:sz="8" w:space="0" w:color="auto"/>
              <w:left w:val="single" w:sz="4" w:space="0" w:color="auto"/>
              <w:bottom w:val="single" w:sz="4" w:space="0" w:color="auto"/>
              <w:right w:val="single" w:sz="4" w:space="0" w:color="auto"/>
            </w:tcBorders>
            <w:shd w:val="clear" w:color="000000" w:fill="FFFFFF"/>
            <w:noWrap/>
            <w:vAlign w:val="center"/>
          </w:tcPr>
          <w:p w:rsidR="008676F9" w:rsidRPr="008676F9" w:rsidRDefault="008676F9" w:rsidP="008676F9">
            <w:pPr>
              <w:rPr>
                <w:rFonts w:ascii="Calibri" w:eastAsia="Calibri" w:hAnsi="Calibri"/>
                <w:b/>
                <w:bCs/>
                <w:sz w:val="18"/>
                <w:szCs w:val="18"/>
              </w:rPr>
            </w:pPr>
            <w:r w:rsidRPr="008676F9">
              <w:rPr>
                <w:rFonts w:ascii="Calibri" w:eastAsia="Calibri" w:hAnsi="Calibri"/>
                <w:b/>
                <w:bCs/>
                <w:sz w:val="18"/>
                <w:szCs w:val="18"/>
              </w:rPr>
              <w:t>Opatrenia</w:t>
            </w:r>
          </w:p>
        </w:tc>
        <w:tc>
          <w:tcPr>
            <w:tcW w:w="6480" w:type="dxa"/>
            <w:gridSpan w:val="3"/>
            <w:tcBorders>
              <w:top w:val="single" w:sz="8" w:space="0" w:color="auto"/>
              <w:left w:val="nil"/>
              <w:bottom w:val="single" w:sz="4" w:space="0" w:color="auto"/>
              <w:right w:val="single" w:sz="4" w:space="0" w:color="auto"/>
            </w:tcBorders>
            <w:shd w:val="clear" w:color="000000" w:fill="FFFFFF"/>
            <w:noWrap/>
            <w:vAlign w:val="center"/>
          </w:tcPr>
          <w:p w:rsidR="008676F9" w:rsidRPr="008676F9" w:rsidRDefault="008676F9" w:rsidP="008676F9">
            <w:pPr>
              <w:jc w:val="center"/>
              <w:rPr>
                <w:rFonts w:ascii="Calibri" w:eastAsia="Calibri" w:hAnsi="Calibri"/>
                <w:b/>
                <w:bCs/>
                <w:sz w:val="18"/>
                <w:szCs w:val="18"/>
              </w:rPr>
            </w:pPr>
            <w:r w:rsidRPr="008676F9">
              <w:rPr>
                <w:rFonts w:ascii="Calibri" w:eastAsia="Calibri" w:hAnsi="Calibri"/>
                <w:b/>
                <w:bCs/>
                <w:sz w:val="18"/>
                <w:szCs w:val="18"/>
              </w:rPr>
              <w:t> </w:t>
            </w:r>
          </w:p>
        </w:tc>
      </w:tr>
      <w:tr w:rsidR="008676F9" w:rsidRPr="008676F9" w:rsidTr="00BB33FC">
        <w:trPr>
          <w:trHeight w:val="499"/>
        </w:trPr>
        <w:tc>
          <w:tcPr>
            <w:tcW w:w="1660" w:type="dxa"/>
            <w:vMerge w:val="restart"/>
            <w:tcBorders>
              <w:top w:val="single" w:sz="8" w:space="0" w:color="auto"/>
              <w:left w:val="single" w:sz="4" w:space="0" w:color="auto"/>
              <w:right w:val="single" w:sz="4" w:space="0" w:color="auto"/>
            </w:tcBorders>
            <w:shd w:val="clear" w:color="000000" w:fill="FFFFFF"/>
            <w:noWrap/>
            <w:vAlign w:val="center"/>
          </w:tcPr>
          <w:p w:rsidR="008676F9" w:rsidRPr="008676F9" w:rsidRDefault="008676F9" w:rsidP="008676F9">
            <w:pPr>
              <w:jc w:val="center"/>
              <w:rPr>
                <w:rFonts w:ascii="Calibri" w:eastAsia="Calibri" w:hAnsi="Calibri"/>
                <w:b/>
                <w:bCs/>
                <w:sz w:val="18"/>
                <w:szCs w:val="18"/>
              </w:rPr>
            </w:pPr>
            <w:r w:rsidRPr="008676F9">
              <w:rPr>
                <w:rFonts w:ascii="Calibri" w:eastAsia="Calibri" w:hAnsi="Calibri"/>
                <w:b/>
                <w:bCs/>
                <w:sz w:val="18"/>
                <w:szCs w:val="18"/>
              </w:rPr>
              <w:t>17 (38)</w:t>
            </w:r>
          </w:p>
        </w:tc>
        <w:tc>
          <w:tcPr>
            <w:tcW w:w="4820" w:type="dxa"/>
            <w:gridSpan w:val="2"/>
            <w:tcBorders>
              <w:top w:val="single" w:sz="8" w:space="0" w:color="auto"/>
              <w:left w:val="nil"/>
              <w:bottom w:val="single" w:sz="4" w:space="0" w:color="auto"/>
              <w:right w:val="single" w:sz="4" w:space="0" w:color="auto"/>
            </w:tcBorders>
            <w:shd w:val="clear" w:color="000000" w:fill="FFFFFF"/>
            <w:noWrap/>
            <w:vAlign w:val="center"/>
          </w:tcPr>
          <w:p w:rsidR="008676F9" w:rsidRPr="008676F9" w:rsidRDefault="008676F9" w:rsidP="008676F9">
            <w:pPr>
              <w:rPr>
                <w:rFonts w:ascii="Calibri" w:eastAsia="Calibri" w:hAnsi="Calibri"/>
                <w:b/>
                <w:bCs/>
                <w:sz w:val="18"/>
                <w:szCs w:val="18"/>
              </w:rPr>
            </w:pPr>
            <w:r w:rsidRPr="008676F9">
              <w:rPr>
                <w:rFonts w:ascii="Calibri" w:eastAsia="Calibri" w:hAnsi="Calibri"/>
                <w:sz w:val="16"/>
                <w:szCs w:val="16"/>
              </w:rPr>
              <w:t>Počet poľnohospodárskych podnikov združených do vzájomných fondov (17.2)</w:t>
            </w:r>
          </w:p>
        </w:tc>
        <w:tc>
          <w:tcPr>
            <w:tcW w:w="1660" w:type="dxa"/>
            <w:tcBorders>
              <w:top w:val="single" w:sz="8" w:space="0" w:color="auto"/>
              <w:left w:val="nil"/>
              <w:bottom w:val="single" w:sz="4" w:space="0" w:color="auto"/>
              <w:right w:val="single" w:sz="4" w:space="0" w:color="auto"/>
            </w:tcBorders>
            <w:shd w:val="clear" w:color="000000" w:fill="FFFFFF"/>
            <w:vAlign w:val="center"/>
          </w:tcPr>
          <w:p w:rsidR="008676F9" w:rsidRPr="008676F9" w:rsidRDefault="008676F9" w:rsidP="00AB6231">
            <w:pPr>
              <w:jc w:val="right"/>
              <w:rPr>
                <w:rFonts w:ascii="Calibri" w:eastAsia="Calibri" w:hAnsi="Calibri"/>
                <w:bCs/>
                <w:sz w:val="18"/>
                <w:szCs w:val="18"/>
              </w:rPr>
            </w:pPr>
            <w:r w:rsidRPr="008676F9">
              <w:rPr>
                <w:rFonts w:ascii="Calibri" w:eastAsia="Calibri" w:hAnsi="Calibri"/>
                <w:bCs/>
                <w:sz w:val="18"/>
                <w:szCs w:val="18"/>
              </w:rPr>
              <w:t>100</w:t>
            </w:r>
          </w:p>
        </w:tc>
      </w:tr>
      <w:tr w:rsidR="008676F9" w:rsidRPr="008676F9" w:rsidTr="00BB33FC">
        <w:trPr>
          <w:trHeight w:val="499"/>
        </w:trPr>
        <w:tc>
          <w:tcPr>
            <w:tcW w:w="1660" w:type="dxa"/>
            <w:vMerge/>
            <w:tcBorders>
              <w:left w:val="single" w:sz="4" w:space="0" w:color="auto"/>
              <w:bottom w:val="single" w:sz="4" w:space="0" w:color="auto"/>
              <w:right w:val="single" w:sz="4" w:space="0" w:color="auto"/>
            </w:tcBorders>
            <w:shd w:val="clear" w:color="000000" w:fill="FFFFFF"/>
            <w:noWrap/>
            <w:vAlign w:val="center"/>
          </w:tcPr>
          <w:p w:rsidR="008676F9" w:rsidRPr="008676F9" w:rsidRDefault="008676F9" w:rsidP="008676F9">
            <w:pPr>
              <w:rPr>
                <w:rFonts w:ascii="Calibri" w:eastAsia="Calibri" w:hAnsi="Calibri"/>
                <w:b/>
                <w:bCs/>
                <w:sz w:val="18"/>
                <w:szCs w:val="18"/>
              </w:rPr>
            </w:pPr>
          </w:p>
        </w:tc>
        <w:tc>
          <w:tcPr>
            <w:tcW w:w="4820" w:type="dxa"/>
            <w:gridSpan w:val="2"/>
            <w:tcBorders>
              <w:top w:val="single" w:sz="8" w:space="0" w:color="auto"/>
              <w:left w:val="nil"/>
              <w:bottom w:val="single" w:sz="4" w:space="0" w:color="auto"/>
              <w:right w:val="single" w:sz="4" w:space="0" w:color="auto"/>
            </w:tcBorders>
            <w:shd w:val="clear" w:color="000000" w:fill="FFFFFF"/>
            <w:noWrap/>
            <w:vAlign w:val="center"/>
          </w:tcPr>
          <w:p w:rsidR="008676F9" w:rsidRPr="008676F9" w:rsidRDefault="008676F9" w:rsidP="008676F9">
            <w:pPr>
              <w:rPr>
                <w:rFonts w:ascii="Calibri" w:eastAsia="Calibri" w:hAnsi="Calibri"/>
                <w:b/>
                <w:bCs/>
                <w:sz w:val="18"/>
                <w:szCs w:val="18"/>
              </w:rPr>
            </w:pPr>
            <w:r w:rsidRPr="008676F9">
              <w:rPr>
                <w:rFonts w:ascii="Calibri" w:eastAsia="Calibri" w:hAnsi="Calibri"/>
                <w:sz w:val="16"/>
                <w:szCs w:val="16"/>
              </w:rPr>
              <w:t>Celkové verejné výdavky (€) (17.2)</w:t>
            </w:r>
          </w:p>
        </w:tc>
        <w:tc>
          <w:tcPr>
            <w:tcW w:w="1660" w:type="dxa"/>
            <w:tcBorders>
              <w:top w:val="single" w:sz="8" w:space="0" w:color="auto"/>
              <w:left w:val="nil"/>
              <w:bottom w:val="single" w:sz="4" w:space="0" w:color="auto"/>
              <w:right w:val="single" w:sz="4" w:space="0" w:color="auto"/>
            </w:tcBorders>
            <w:shd w:val="clear" w:color="000000" w:fill="FFFFFF"/>
            <w:vAlign w:val="center"/>
          </w:tcPr>
          <w:p w:rsidR="008676F9" w:rsidRPr="008676F9" w:rsidRDefault="008676F9" w:rsidP="008676F9">
            <w:pPr>
              <w:jc w:val="right"/>
              <w:rPr>
                <w:rFonts w:ascii="Calibri" w:eastAsia="Calibri" w:hAnsi="Calibri"/>
                <w:bCs/>
                <w:sz w:val="18"/>
                <w:szCs w:val="18"/>
              </w:rPr>
            </w:pPr>
            <w:r w:rsidRPr="008676F9">
              <w:rPr>
                <w:rFonts w:ascii="Calibri" w:eastAsia="Calibri" w:hAnsi="Calibri"/>
                <w:bCs/>
                <w:sz w:val="18"/>
                <w:szCs w:val="18"/>
              </w:rPr>
              <w:t>10 000 000,00</w:t>
            </w:r>
          </w:p>
        </w:tc>
      </w:tr>
      <w:tr w:rsidR="008676F9" w:rsidRPr="008676F9" w:rsidTr="00BB33FC">
        <w:trPr>
          <w:trHeight w:val="499"/>
        </w:trPr>
        <w:tc>
          <w:tcPr>
            <w:tcW w:w="1660" w:type="dxa"/>
            <w:vMerge w:val="restart"/>
            <w:tcBorders>
              <w:top w:val="single" w:sz="4" w:space="0" w:color="auto"/>
              <w:left w:val="single" w:sz="4" w:space="0" w:color="auto"/>
              <w:bottom w:val="single" w:sz="4" w:space="0" w:color="000000"/>
              <w:right w:val="single" w:sz="4" w:space="0" w:color="auto"/>
            </w:tcBorders>
            <w:shd w:val="clear" w:color="000000" w:fill="FFFFFF"/>
            <w:vAlign w:val="center"/>
          </w:tcPr>
          <w:p w:rsidR="008676F9" w:rsidRPr="008676F9" w:rsidRDefault="008676F9" w:rsidP="008676F9">
            <w:pPr>
              <w:jc w:val="center"/>
              <w:rPr>
                <w:rFonts w:ascii="Calibri" w:eastAsia="Calibri" w:hAnsi="Calibri"/>
                <w:b/>
                <w:bCs/>
                <w:sz w:val="16"/>
                <w:szCs w:val="16"/>
              </w:rPr>
            </w:pPr>
            <w:r w:rsidRPr="008676F9">
              <w:rPr>
                <w:rFonts w:ascii="Calibri" w:eastAsia="Calibri" w:hAnsi="Calibri"/>
                <w:b/>
                <w:bCs/>
                <w:sz w:val="16"/>
                <w:szCs w:val="16"/>
              </w:rPr>
              <w:t>5 (18)</w:t>
            </w:r>
          </w:p>
        </w:tc>
        <w:tc>
          <w:tcPr>
            <w:tcW w:w="1900" w:type="dxa"/>
            <w:vMerge w:val="restart"/>
            <w:tcBorders>
              <w:top w:val="single" w:sz="4" w:space="0" w:color="auto"/>
              <w:left w:val="single" w:sz="4" w:space="0" w:color="auto"/>
              <w:bottom w:val="single" w:sz="4" w:space="0" w:color="000000"/>
              <w:right w:val="single" w:sz="4" w:space="0" w:color="auto"/>
            </w:tcBorders>
            <w:shd w:val="clear" w:color="000000" w:fill="FFFFFF"/>
            <w:vAlign w:val="center"/>
          </w:tcPr>
          <w:p w:rsidR="008676F9" w:rsidRPr="008676F9" w:rsidRDefault="008676F9" w:rsidP="008676F9">
            <w:pPr>
              <w:rPr>
                <w:rFonts w:ascii="Calibri" w:eastAsia="Calibri" w:hAnsi="Calibri"/>
                <w:sz w:val="16"/>
                <w:szCs w:val="16"/>
              </w:rPr>
            </w:pPr>
            <w:r w:rsidRPr="008676F9">
              <w:rPr>
                <w:rFonts w:ascii="Calibri" w:eastAsia="Calibri" w:hAnsi="Calibri"/>
                <w:sz w:val="16"/>
                <w:szCs w:val="16"/>
              </w:rPr>
              <w:t xml:space="preserve">Počet </w:t>
            </w:r>
            <w:r w:rsidRPr="008676F9">
              <w:rPr>
                <w:rFonts w:ascii="Calibri" w:eastAsia="Calibri" w:hAnsi="Calibri"/>
                <w:bCs/>
                <w:sz w:val="16"/>
                <w:szCs w:val="16"/>
              </w:rPr>
              <w:t>beneficientov</w:t>
            </w:r>
            <w:r w:rsidRPr="008676F9">
              <w:rPr>
                <w:rFonts w:ascii="Calibri" w:eastAsia="Calibri" w:hAnsi="Calibri"/>
                <w:sz w:val="16"/>
                <w:szCs w:val="16"/>
              </w:rPr>
              <w:t xml:space="preserve"> podpory na preventívne činnosti (5.1)</w:t>
            </w:r>
          </w:p>
        </w:tc>
        <w:tc>
          <w:tcPr>
            <w:tcW w:w="2920" w:type="dxa"/>
            <w:tcBorders>
              <w:top w:val="single" w:sz="4" w:space="0" w:color="auto"/>
              <w:left w:val="nil"/>
              <w:bottom w:val="single" w:sz="4" w:space="0" w:color="auto"/>
              <w:right w:val="single" w:sz="4" w:space="0" w:color="auto"/>
            </w:tcBorders>
            <w:shd w:val="clear" w:color="000000" w:fill="FFFFFF"/>
            <w:vAlign w:val="center"/>
          </w:tcPr>
          <w:p w:rsidR="008676F9" w:rsidRPr="008676F9" w:rsidRDefault="008676F9" w:rsidP="008676F9">
            <w:pPr>
              <w:rPr>
                <w:rFonts w:ascii="Calibri" w:eastAsia="Calibri" w:hAnsi="Calibri"/>
                <w:sz w:val="16"/>
                <w:szCs w:val="16"/>
              </w:rPr>
            </w:pPr>
            <w:r w:rsidRPr="008676F9">
              <w:rPr>
                <w:rFonts w:ascii="Calibri" w:eastAsia="Calibri" w:hAnsi="Calibri"/>
                <w:sz w:val="16"/>
                <w:szCs w:val="16"/>
              </w:rPr>
              <w:t xml:space="preserve">Počet </w:t>
            </w:r>
            <w:r w:rsidRPr="008676F9">
              <w:rPr>
                <w:rFonts w:ascii="Calibri" w:eastAsia="Calibri" w:hAnsi="Calibri"/>
                <w:bCs/>
                <w:sz w:val="16"/>
                <w:szCs w:val="16"/>
              </w:rPr>
              <w:t>beneficientov</w:t>
            </w:r>
            <w:r w:rsidRPr="008676F9">
              <w:rPr>
                <w:rFonts w:ascii="Calibri" w:eastAsia="Calibri" w:hAnsi="Calibri"/>
                <w:sz w:val="16"/>
                <w:szCs w:val="16"/>
              </w:rPr>
              <w:t xml:space="preserve"> podpory na preventívne činnosti (5.1)</w:t>
            </w:r>
          </w:p>
          <w:p w:rsidR="008676F9" w:rsidRPr="008676F9" w:rsidRDefault="008676F9" w:rsidP="008676F9">
            <w:pPr>
              <w:rPr>
                <w:rFonts w:ascii="Calibri" w:eastAsia="Calibri" w:hAnsi="Calibri"/>
                <w:sz w:val="16"/>
                <w:szCs w:val="16"/>
              </w:rPr>
            </w:pPr>
          </w:p>
        </w:tc>
        <w:tc>
          <w:tcPr>
            <w:tcW w:w="1660" w:type="dxa"/>
            <w:tcBorders>
              <w:top w:val="single" w:sz="4" w:space="0" w:color="auto"/>
              <w:left w:val="nil"/>
              <w:bottom w:val="single" w:sz="4" w:space="0" w:color="auto"/>
              <w:right w:val="single" w:sz="4" w:space="0" w:color="auto"/>
            </w:tcBorders>
            <w:shd w:val="clear" w:color="000000" w:fill="FFFFFF"/>
            <w:noWrap/>
            <w:vAlign w:val="center"/>
          </w:tcPr>
          <w:p w:rsidR="008676F9" w:rsidRPr="008676F9" w:rsidRDefault="008676F9" w:rsidP="008676F9">
            <w:pPr>
              <w:jc w:val="right"/>
              <w:rPr>
                <w:rFonts w:ascii="Calibri" w:eastAsia="Calibri" w:hAnsi="Calibri"/>
                <w:sz w:val="20"/>
                <w:szCs w:val="20"/>
              </w:rPr>
            </w:pPr>
            <w:r w:rsidRPr="008676F9">
              <w:rPr>
                <w:rFonts w:ascii="Calibri" w:eastAsia="Calibri" w:hAnsi="Calibri"/>
                <w:sz w:val="20"/>
                <w:szCs w:val="20"/>
              </w:rPr>
              <w:t> 160</w:t>
            </w:r>
          </w:p>
        </w:tc>
      </w:tr>
      <w:tr w:rsidR="008676F9" w:rsidRPr="008676F9" w:rsidTr="00BB33FC">
        <w:trPr>
          <w:trHeight w:val="499"/>
        </w:trPr>
        <w:tc>
          <w:tcPr>
            <w:tcW w:w="1660" w:type="dxa"/>
            <w:vMerge/>
            <w:tcBorders>
              <w:top w:val="nil"/>
              <w:left w:val="single" w:sz="4" w:space="0" w:color="auto"/>
              <w:bottom w:val="single" w:sz="4" w:space="0" w:color="000000"/>
              <w:right w:val="single" w:sz="4" w:space="0" w:color="auto"/>
            </w:tcBorders>
            <w:vAlign w:val="center"/>
          </w:tcPr>
          <w:p w:rsidR="008676F9" w:rsidRPr="008676F9" w:rsidRDefault="008676F9" w:rsidP="008676F9">
            <w:pPr>
              <w:rPr>
                <w:rFonts w:ascii="Calibri" w:eastAsia="Calibri" w:hAnsi="Calibri"/>
                <w:b/>
                <w:bCs/>
                <w:sz w:val="16"/>
                <w:szCs w:val="16"/>
              </w:rPr>
            </w:pPr>
          </w:p>
        </w:tc>
        <w:tc>
          <w:tcPr>
            <w:tcW w:w="1900" w:type="dxa"/>
            <w:vMerge/>
            <w:tcBorders>
              <w:top w:val="nil"/>
              <w:left w:val="single" w:sz="4" w:space="0" w:color="auto"/>
              <w:bottom w:val="single" w:sz="4" w:space="0" w:color="000000"/>
              <w:right w:val="single" w:sz="4" w:space="0" w:color="auto"/>
            </w:tcBorders>
            <w:vAlign w:val="center"/>
          </w:tcPr>
          <w:p w:rsidR="008676F9" w:rsidRPr="008676F9" w:rsidRDefault="008676F9" w:rsidP="008676F9">
            <w:pPr>
              <w:rPr>
                <w:rFonts w:ascii="Calibri" w:eastAsia="Calibri" w:hAnsi="Calibri"/>
                <w:sz w:val="16"/>
                <w:szCs w:val="16"/>
              </w:rPr>
            </w:pPr>
          </w:p>
        </w:tc>
        <w:tc>
          <w:tcPr>
            <w:tcW w:w="2920" w:type="dxa"/>
            <w:tcBorders>
              <w:top w:val="nil"/>
              <w:left w:val="nil"/>
              <w:bottom w:val="single" w:sz="4" w:space="0" w:color="auto"/>
              <w:right w:val="single" w:sz="4" w:space="0" w:color="auto"/>
            </w:tcBorders>
            <w:shd w:val="clear" w:color="000000" w:fill="FFFFFF"/>
            <w:vAlign w:val="center"/>
          </w:tcPr>
          <w:p w:rsidR="008676F9" w:rsidRPr="008676F9" w:rsidRDefault="008676F9" w:rsidP="008676F9">
            <w:pPr>
              <w:rPr>
                <w:rFonts w:ascii="Calibri" w:eastAsia="Calibri" w:hAnsi="Calibri"/>
                <w:sz w:val="16"/>
                <w:szCs w:val="16"/>
              </w:rPr>
            </w:pPr>
            <w:r w:rsidRPr="008676F9">
              <w:rPr>
                <w:rFonts w:ascii="Calibri" w:eastAsia="Calibri" w:hAnsi="Calibri"/>
                <w:sz w:val="16"/>
                <w:szCs w:val="16"/>
              </w:rPr>
              <w:t>Verejné subjekty</w:t>
            </w:r>
          </w:p>
        </w:tc>
        <w:tc>
          <w:tcPr>
            <w:tcW w:w="1660" w:type="dxa"/>
            <w:tcBorders>
              <w:top w:val="nil"/>
              <w:left w:val="nil"/>
              <w:bottom w:val="single" w:sz="4" w:space="0" w:color="auto"/>
              <w:right w:val="single" w:sz="4" w:space="0" w:color="auto"/>
            </w:tcBorders>
            <w:shd w:val="clear" w:color="000000" w:fill="FFFFFF"/>
            <w:noWrap/>
            <w:vAlign w:val="center"/>
          </w:tcPr>
          <w:p w:rsidR="008676F9" w:rsidRPr="008676F9" w:rsidRDefault="008676F9" w:rsidP="008676F9">
            <w:pPr>
              <w:jc w:val="right"/>
              <w:rPr>
                <w:rFonts w:ascii="Calibri" w:eastAsia="Calibri" w:hAnsi="Calibri"/>
                <w:sz w:val="20"/>
                <w:szCs w:val="20"/>
              </w:rPr>
            </w:pPr>
            <w:r w:rsidRPr="008676F9">
              <w:rPr>
                <w:rFonts w:ascii="Calibri" w:eastAsia="Calibri" w:hAnsi="Calibri"/>
                <w:sz w:val="20"/>
                <w:szCs w:val="20"/>
              </w:rPr>
              <w:t>1</w:t>
            </w:r>
          </w:p>
        </w:tc>
      </w:tr>
      <w:tr w:rsidR="008676F9" w:rsidRPr="008676F9" w:rsidTr="00BB33FC">
        <w:trPr>
          <w:trHeight w:val="499"/>
        </w:trPr>
        <w:tc>
          <w:tcPr>
            <w:tcW w:w="1660" w:type="dxa"/>
            <w:vMerge/>
            <w:tcBorders>
              <w:top w:val="nil"/>
              <w:left w:val="single" w:sz="4" w:space="0" w:color="auto"/>
              <w:bottom w:val="single" w:sz="4" w:space="0" w:color="000000"/>
              <w:right w:val="single" w:sz="4" w:space="0" w:color="auto"/>
            </w:tcBorders>
            <w:vAlign w:val="center"/>
          </w:tcPr>
          <w:p w:rsidR="008676F9" w:rsidRPr="008676F9" w:rsidRDefault="008676F9" w:rsidP="008676F9">
            <w:pPr>
              <w:rPr>
                <w:rFonts w:ascii="Calibri" w:eastAsia="Calibri" w:hAnsi="Calibri"/>
                <w:b/>
                <w:bCs/>
                <w:sz w:val="16"/>
                <w:szCs w:val="16"/>
              </w:rPr>
            </w:pPr>
          </w:p>
        </w:tc>
        <w:tc>
          <w:tcPr>
            <w:tcW w:w="4820" w:type="dxa"/>
            <w:gridSpan w:val="2"/>
            <w:tcBorders>
              <w:top w:val="single" w:sz="4" w:space="0" w:color="auto"/>
              <w:left w:val="nil"/>
              <w:bottom w:val="single" w:sz="4" w:space="0" w:color="auto"/>
              <w:right w:val="single" w:sz="4" w:space="0" w:color="auto"/>
            </w:tcBorders>
            <w:shd w:val="clear" w:color="000000" w:fill="FFFFFF"/>
            <w:vAlign w:val="center"/>
          </w:tcPr>
          <w:p w:rsidR="008676F9" w:rsidRPr="008676F9" w:rsidRDefault="008676F9" w:rsidP="008676F9">
            <w:pPr>
              <w:rPr>
                <w:rFonts w:ascii="Calibri" w:eastAsia="Calibri" w:hAnsi="Calibri"/>
                <w:sz w:val="16"/>
                <w:szCs w:val="16"/>
              </w:rPr>
            </w:pPr>
            <w:r w:rsidRPr="008676F9">
              <w:rPr>
                <w:rFonts w:ascii="Calibri" w:eastAsia="Calibri" w:hAnsi="Calibri"/>
                <w:sz w:val="16"/>
                <w:szCs w:val="16"/>
              </w:rPr>
              <w:t>Celková dĺžka vystavaných, rekonštruovaných, modernizovaných a dostavaných odvodňovacích systémov</w:t>
            </w:r>
          </w:p>
        </w:tc>
        <w:tc>
          <w:tcPr>
            <w:tcW w:w="1660" w:type="dxa"/>
            <w:tcBorders>
              <w:top w:val="nil"/>
              <w:left w:val="nil"/>
              <w:bottom w:val="single" w:sz="4" w:space="0" w:color="auto"/>
              <w:right w:val="single" w:sz="4" w:space="0" w:color="auto"/>
            </w:tcBorders>
            <w:shd w:val="clear" w:color="000000" w:fill="FFFFFF"/>
            <w:noWrap/>
            <w:vAlign w:val="center"/>
          </w:tcPr>
          <w:p w:rsidR="008676F9" w:rsidRPr="008676F9" w:rsidRDefault="008676F9" w:rsidP="008676F9">
            <w:pPr>
              <w:jc w:val="right"/>
              <w:rPr>
                <w:rFonts w:ascii="Calibri" w:eastAsia="Calibri" w:hAnsi="Calibri"/>
                <w:sz w:val="20"/>
                <w:szCs w:val="20"/>
              </w:rPr>
            </w:pPr>
            <w:r w:rsidRPr="008676F9">
              <w:rPr>
                <w:rFonts w:ascii="Calibri" w:eastAsia="Calibri" w:hAnsi="Calibri"/>
                <w:sz w:val="20"/>
                <w:szCs w:val="20"/>
              </w:rPr>
              <w:t> 460</w:t>
            </w:r>
          </w:p>
        </w:tc>
      </w:tr>
      <w:tr w:rsidR="008676F9" w:rsidRPr="008676F9" w:rsidTr="00BB33FC">
        <w:trPr>
          <w:trHeight w:val="499"/>
        </w:trPr>
        <w:tc>
          <w:tcPr>
            <w:tcW w:w="1660" w:type="dxa"/>
            <w:vMerge/>
            <w:tcBorders>
              <w:top w:val="nil"/>
              <w:left w:val="single" w:sz="4" w:space="0" w:color="auto"/>
              <w:bottom w:val="single" w:sz="4" w:space="0" w:color="000000"/>
              <w:right w:val="single" w:sz="4" w:space="0" w:color="auto"/>
            </w:tcBorders>
            <w:vAlign w:val="center"/>
          </w:tcPr>
          <w:p w:rsidR="008676F9" w:rsidRPr="008676F9" w:rsidRDefault="008676F9" w:rsidP="008676F9">
            <w:pPr>
              <w:rPr>
                <w:rFonts w:ascii="Calibri" w:eastAsia="Calibri" w:hAnsi="Calibri"/>
                <w:b/>
                <w:bCs/>
                <w:sz w:val="16"/>
                <w:szCs w:val="16"/>
              </w:rPr>
            </w:pPr>
          </w:p>
        </w:tc>
        <w:tc>
          <w:tcPr>
            <w:tcW w:w="4820" w:type="dxa"/>
            <w:gridSpan w:val="2"/>
            <w:tcBorders>
              <w:top w:val="single" w:sz="4" w:space="0" w:color="auto"/>
              <w:left w:val="nil"/>
              <w:bottom w:val="single" w:sz="4" w:space="0" w:color="auto"/>
              <w:right w:val="single" w:sz="4" w:space="0" w:color="auto"/>
            </w:tcBorders>
            <w:shd w:val="clear" w:color="000000" w:fill="FFFFFF"/>
            <w:vAlign w:val="center"/>
          </w:tcPr>
          <w:p w:rsidR="008676F9" w:rsidRPr="008676F9" w:rsidRDefault="008676F9" w:rsidP="008676F9">
            <w:pPr>
              <w:rPr>
                <w:rFonts w:ascii="Calibri" w:eastAsia="Calibri" w:hAnsi="Calibri"/>
                <w:sz w:val="16"/>
                <w:szCs w:val="16"/>
              </w:rPr>
            </w:pPr>
            <w:r w:rsidRPr="008676F9">
              <w:rPr>
                <w:rFonts w:ascii="Calibri" w:eastAsia="Calibri" w:hAnsi="Calibri"/>
                <w:sz w:val="16"/>
                <w:szCs w:val="16"/>
              </w:rPr>
              <w:t xml:space="preserve">Celkové verejné výdavky (€) </w:t>
            </w:r>
          </w:p>
        </w:tc>
        <w:tc>
          <w:tcPr>
            <w:tcW w:w="1660" w:type="dxa"/>
            <w:tcBorders>
              <w:top w:val="nil"/>
              <w:left w:val="nil"/>
              <w:bottom w:val="single" w:sz="4" w:space="0" w:color="auto"/>
              <w:right w:val="single" w:sz="4" w:space="0" w:color="auto"/>
            </w:tcBorders>
            <w:shd w:val="clear" w:color="000000" w:fill="FFFFFF"/>
            <w:noWrap/>
            <w:vAlign w:val="center"/>
          </w:tcPr>
          <w:p w:rsidR="008676F9" w:rsidRPr="008676F9" w:rsidRDefault="008676F9" w:rsidP="008676F9">
            <w:pPr>
              <w:jc w:val="right"/>
              <w:rPr>
                <w:rFonts w:ascii="Calibri" w:eastAsia="Calibri" w:hAnsi="Calibri"/>
                <w:sz w:val="20"/>
                <w:szCs w:val="20"/>
              </w:rPr>
            </w:pPr>
            <w:r w:rsidRPr="008676F9">
              <w:rPr>
                <w:rFonts w:ascii="Calibri" w:eastAsia="Calibri" w:hAnsi="Calibri"/>
                <w:sz w:val="20"/>
                <w:szCs w:val="20"/>
              </w:rPr>
              <w:t xml:space="preserve">    70 000 000,00</w:t>
            </w:r>
          </w:p>
        </w:tc>
      </w:tr>
      <w:tr w:rsidR="00255E13" w:rsidRPr="008676F9" w:rsidTr="00BB33FC">
        <w:trPr>
          <w:trHeight w:val="499"/>
        </w:trPr>
        <w:tc>
          <w:tcPr>
            <w:tcW w:w="1660" w:type="dxa"/>
            <w:vMerge w:val="restart"/>
            <w:tcBorders>
              <w:top w:val="nil"/>
              <w:left w:val="single" w:sz="4" w:space="0" w:color="auto"/>
              <w:bottom w:val="single" w:sz="4" w:space="0" w:color="000000"/>
              <w:right w:val="single" w:sz="4" w:space="0" w:color="auto"/>
            </w:tcBorders>
            <w:shd w:val="clear" w:color="000000" w:fill="FFFFFF"/>
            <w:vAlign w:val="center"/>
          </w:tcPr>
          <w:p w:rsidR="00255E13" w:rsidRPr="008676F9" w:rsidRDefault="00255E13" w:rsidP="008676F9">
            <w:pPr>
              <w:jc w:val="center"/>
              <w:rPr>
                <w:rFonts w:ascii="Calibri" w:eastAsia="Calibri" w:hAnsi="Calibri"/>
                <w:b/>
                <w:bCs/>
                <w:sz w:val="16"/>
                <w:szCs w:val="16"/>
              </w:rPr>
            </w:pPr>
            <w:r w:rsidRPr="008676F9">
              <w:rPr>
                <w:rFonts w:ascii="Calibri" w:eastAsia="Calibri" w:hAnsi="Calibri"/>
                <w:b/>
                <w:bCs/>
                <w:sz w:val="16"/>
                <w:szCs w:val="16"/>
              </w:rPr>
              <w:t>1 (14)</w:t>
            </w:r>
          </w:p>
        </w:tc>
        <w:tc>
          <w:tcPr>
            <w:tcW w:w="1900" w:type="dxa"/>
            <w:vMerge w:val="restart"/>
            <w:tcBorders>
              <w:top w:val="nil"/>
              <w:left w:val="single" w:sz="4" w:space="0" w:color="auto"/>
              <w:bottom w:val="single" w:sz="4" w:space="0" w:color="auto"/>
              <w:right w:val="single" w:sz="4" w:space="0" w:color="auto"/>
            </w:tcBorders>
            <w:shd w:val="clear" w:color="000000" w:fill="FFFFFF"/>
            <w:vAlign w:val="center"/>
          </w:tcPr>
          <w:p w:rsidR="00255E13" w:rsidRPr="008676F9" w:rsidRDefault="00255E13" w:rsidP="008676F9">
            <w:pPr>
              <w:rPr>
                <w:rFonts w:ascii="Calibri" w:eastAsia="Calibri" w:hAnsi="Calibri"/>
                <w:sz w:val="16"/>
                <w:szCs w:val="16"/>
              </w:rPr>
            </w:pPr>
            <w:r w:rsidRPr="008676F9">
              <w:rPr>
                <w:rFonts w:ascii="Calibri" w:eastAsia="Calibri" w:hAnsi="Calibri"/>
                <w:sz w:val="16"/>
                <w:szCs w:val="16"/>
              </w:rPr>
              <w:t xml:space="preserve">Školenia/získavanie </w:t>
            </w:r>
            <w:r w:rsidRPr="008676F9">
              <w:rPr>
                <w:rFonts w:ascii="Calibri" w:eastAsia="Calibri" w:hAnsi="Calibri"/>
                <w:sz w:val="16"/>
                <w:szCs w:val="16"/>
              </w:rPr>
              <w:br/>
              <w:t>praktických zručností  (1.1)</w:t>
            </w:r>
          </w:p>
        </w:tc>
        <w:tc>
          <w:tcPr>
            <w:tcW w:w="2920" w:type="dxa"/>
            <w:tcBorders>
              <w:top w:val="nil"/>
              <w:left w:val="nil"/>
              <w:bottom w:val="single" w:sz="4" w:space="0" w:color="auto"/>
              <w:right w:val="single" w:sz="4" w:space="0" w:color="auto"/>
            </w:tcBorders>
            <w:shd w:val="clear" w:color="000000" w:fill="FFFFFF"/>
            <w:vAlign w:val="center"/>
          </w:tcPr>
          <w:p w:rsidR="00255E13" w:rsidRPr="008676F9" w:rsidRDefault="00255E13" w:rsidP="008676F9">
            <w:pPr>
              <w:rPr>
                <w:rFonts w:ascii="Calibri" w:eastAsia="Calibri" w:hAnsi="Calibri"/>
                <w:sz w:val="16"/>
                <w:szCs w:val="16"/>
              </w:rPr>
            </w:pPr>
            <w:r w:rsidRPr="008676F9">
              <w:rPr>
                <w:rFonts w:ascii="Calibri" w:eastAsia="Calibri" w:hAnsi="Calibri"/>
                <w:sz w:val="16"/>
                <w:szCs w:val="16"/>
              </w:rPr>
              <w:t>Počet účastníkov vzdelávania</w:t>
            </w:r>
          </w:p>
        </w:tc>
        <w:tc>
          <w:tcPr>
            <w:tcW w:w="1660" w:type="dxa"/>
            <w:tcBorders>
              <w:top w:val="nil"/>
              <w:left w:val="nil"/>
              <w:bottom w:val="single" w:sz="4" w:space="0" w:color="auto"/>
              <w:right w:val="single" w:sz="4" w:space="0" w:color="auto"/>
            </w:tcBorders>
            <w:shd w:val="clear" w:color="000000" w:fill="FFFFFF"/>
            <w:noWrap/>
            <w:vAlign w:val="center"/>
          </w:tcPr>
          <w:p w:rsidR="00255E13" w:rsidRPr="00F849C3" w:rsidRDefault="00255E13" w:rsidP="00895B36">
            <w:pPr>
              <w:jc w:val="right"/>
              <w:rPr>
                <w:sz w:val="20"/>
                <w:szCs w:val="20"/>
              </w:rPr>
            </w:pPr>
            <w:r w:rsidRPr="00F849C3">
              <w:rPr>
                <w:sz w:val="20"/>
                <w:szCs w:val="20"/>
              </w:rPr>
              <w:t xml:space="preserve">                    </w:t>
            </w:r>
            <w:r>
              <w:rPr>
                <w:sz w:val="20"/>
                <w:szCs w:val="20"/>
              </w:rPr>
              <w:t>2</w:t>
            </w:r>
            <w:r w:rsidRPr="00F849C3">
              <w:rPr>
                <w:sz w:val="20"/>
                <w:szCs w:val="20"/>
              </w:rPr>
              <w:t xml:space="preserve">00 </w:t>
            </w:r>
          </w:p>
        </w:tc>
      </w:tr>
      <w:tr w:rsidR="00255E13" w:rsidRPr="008676F9" w:rsidTr="00BB33FC">
        <w:trPr>
          <w:trHeight w:val="499"/>
        </w:trPr>
        <w:tc>
          <w:tcPr>
            <w:tcW w:w="1660" w:type="dxa"/>
            <w:vMerge/>
            <w:tcBorders>
              <w:top w:val="nil"/>
              <w:left w:val="single" w:sz="4" w:space="0" w:color="auto"/>
              <w:bottom w:val="single" w:sz="4" w:space="0" w:color="000000"/>
              <w:right w:val="single" w:sz="4" w:space="0" w:color="auto"/>
            </w:tcBorders>
            <w:vAlign w:val="center"/>
          </w:tcPr>
          <w:p w:rsidR="00255E13" w:rsidRPr="008676F9" w:rsidRDefault="00255E13" w:rsidP="008676F9">
            <w:pPr>
              <w:rPr>
                <w:rFonts w:ascii="Calibri" w:eastAsia="Calibri" w:hAnsi="Calibri"/>
                <w:b/>
                <w:bCs/>
                <w:sz w:val="16"/>
                <w:szCs w:val="16"/>
              </w:rPr>
            </w:pPr>
          </w:p>
        </w:tc>
        <w:tc>
          <w:tcPr>
            <w:tcW w:w="1900" w:type="dxa"/>
            <w:vMerge/>
            <w:tcBorders>
              <w:top w:val="nil"/>
              <w:left w:val="single" w:sz="4" w:space="0" w:color="auto"/>
              <w:bottom w:val="single" w:sz="4" w:space="0" w:color="auto"/>
              <w:right w:val="single" w:sz="4" w:space="0" w:color="auto"/>
            </w:tcBorders>
            <w:vAlign w:val="center"/>
          </w:tcPr>
          <w:p w:rsidR="00255E13" w:rsidRPr="008676F9" w:rsidRDefault="00255E13" w:rsidP="008676F9">
            <w:pPr>
              <w:rPr>
                <w:rFonts w:ascii="Calibri" w:eastAsia="Calibri" w:hAnsi="Calibri"/>
                <w:sz w:val="16"/>
                <w:szCs w:val="16"/>
              </w:rPr>
            </w:pPr>
          </w:p>
        </w:tc>
        <w:tc>
          <w:tcPr>
            <w:tcW w:w="2920" w:type="dxa"/>
            <w:tcBorders>
              <w:top w:val="nil"/>
              <w:left w:val="nil"/>
              <w:bottom w:val="single" w:sz="4" w:space="0" w:color="auto"/>
              <w:right w:val="single" w:sz="4" w:space="0" w:color="auto"/>
            </w:tcBorders>
            <w:shd w:val="clear" w:color="000000" w:fill="FFFFFF"/>
            <w:vAlign w:val="center"/>
          </w:tcPr>
          <w:p w:rsidR="00255E13" w:rsidRPr="008676F9" w:rsidRDefault="00255E13" w:rsidP="008676F9">
            <w:pPr>
              <w:rPr>
                <w:rFonts w:ascii="Calibri" w:eastAsia="Calibri" w:hAnsi="Calibri"/>
                <w:sz w:val="16"/>
                <w:szCs w:val="16"/>
              </w:rPr>
            </w:pPr>
            <w:r w:rsidRPr="008676F9">
              <w:rPr>
                <w:rFonts w:ascii="Calibri" w:eastAsia="Calibri" w:hAnsi="Calibri"/>
                <w:sz w:val="16"/>
                <w:szCs w:val="16"/>
              </w:rPr>
              <w:t>Celkové verejné výdavky na školenia (1.1)</w:t>
            </w:r>
          </w:p>
        </w:tc>
        <w:tc>
          <w:tcPr>
            <w:tcW w:w="1660" w:type="dxa"/>
            <w:tcBorders>
              <w:top w:val="nil"/>
              <w:left w:val="nil"/>
              <w:bottom w:val="single" w:sz="4" w:space="0" w:color="auto"/>
              <w:right w:val="single" w:sz="4" w:space="0" w:color="auto"/>
            </w:tcBorders>
            <w:shd w:val="clear" w:color="000000" w:fill="FFFFFF"/>
            <w:noWrap/>
            <w:vAlign w:val="center"/>
          </w:tcPr>
          <w:p w:rsidR="00255E13" w:rsidRPr="00F849C3" w:rsidRDefault="00255E13" w:rsidP="00895B36">
            <w:pPr>
              <w:jc w:val="right"/>
              <w:rPr>
                <w:sz w:val="20"/>
                <w:szCs w:val="20"/>
              </w:rPr>
            </w:pPr>
            <w:r>
              <w:rPr>
                <w:sz w:val="20"/>
                <w:szCs w:val="20"/>
              </w:rPr>
              <w:t>4</w:t>
            </w:r>
            <w:r w:rsidRPr="00F849C3">
              <w:rPr>
                <w:sz w:val="20"/>
                <w:szCs w:val="20"/>
              </w:rPr>
              <w:t>00 000,00</w:t>
            </w:r>
          </w:p>
        </w:tc>
      </w:tr>
      <w:tr w:rsidR="00255E13" w:rsidRPr="008676F9" w:rsidTr="00BB33FC">
        <w:trPr>
          <w:trHeight w:val="499"/>
        </w:trPr>
        <w:tc>
          <w:tcPr>
            <w:tcW w:w="1660" w:type="dxa"/>
            <w:vMerge/>
            <w:tcBorders>
              <w:top w:val="nil"/>
              <w:left w:val="single" w:sz="4" w:space="0" w:color="auto"/>
              <w:bottom w:val="single" w:sz="4" w:space="0" w:color="000000"/>
              <w:right w:val="single" w:sz="4" w:space="0" w:color="auto"/>
            </w:tcBorders>
            <w:vAlign w:val="center"/>
          </w:tcPr>
          <w:p w:rsidR="00255E13" w:rsidRPr="008676F9" w:rsidRDefault="00255E13" w:rsidP="008676F9">
            <w:pPr>
              <w:rPr>
                <w:rFonts w:ascii="Calibri" w:eastAsia="Calibri" w:hAnsi="Calibri"/>
                <w:b/>
                <w:bCs/>
                <w:sz w:val="16"/>
                <w:szCs w:val="16"/>
              </w:rPr>
            </w:pPr>
          </w:p>
        </w:tc>
        <w:tc>
          <w:tcPr>
            <w:tcW w:w="4820" w:type="dxa"/>
            <w:gridSpan w:val="2"/>
            <w:tcBorders>
              <w:top w:val="single" w:sz="4" w:space="0" w:color="auto"/>
              <w:left w:val="nil"/>
              <w:bottom w:val="single" w:sz="4" w:space="0" w:color="auto"/>
              <w:right w:val="single" w:sz="4" w:space="0" w:color="auto"/>
            </w:tcBorders>
            <w:shd w:val="clear" w:color="000000" w:fill="FFFFFF"/>
            <w:vAlign w:val="center"/>
          </w:tcPr>
          <w:p w:rsidR="00255E13" w:rsidRPr="008676F9" w:rsidRDefault="00255E13" w:rsidP="008676F9">
            <w:pPr>
              <w:rPr>
                <w:rFonts w:ascii="Calibri" w:eastAsia="Calibri" w:hAnsi="Calibri"/>
                <w:sz w:val="16"/>
                <w:szCs w:val="16"/>
              </w:rPr>
            </w:pPr>
            <w:r w:rsidRPr="008676F9">
              <w:rPr>
                <w:rFonts w:ascii="Calibri" w:eastAsia="Calibri" w:hAnsi="Calibri"/>
                <w:sz w:val="16"/>
                <w:szCs w:val="16"/>
              </w:rPr>
              <w:t>Celkové verejné výdavky  € (školenia, informačné aktivity, demonštračné  predvádzacie činnosti ) (1.1, 1.2)</w:t>
            </w:r>
          </w:p>
        </w:tc>
        <w:tc>
          <w:tcPr>
            <w:tcW w:w="1660" w:type="dxa"/>
            <w:tcBorders>
              <w:top w:val="nil"/>
              <w:left w:val="nil"/>
              <w:bottom w:val="single" w:sz="4" w:space="0" w:color="auto"/>
              <w:right w:val="single" w:sz="4" w:space="0" w:color="auto"/>
            </w:tcBorders>
            <w:shd w:val="clear" w:color="000000" w:fill="FFFFFF"/>
            <w:noWrap/>
            <w:vAlign w:val="center"/>
          </w:tcPr>
          <w:p w:rsidR="00255E13" w:rsidRPr="008676F9" w:rsidRDefault="00255E13" w:rsidP="00255E13">
            <w:pPr>
              <w:jc w:val="right"/>
              <w:rPr>
                <w:rFonts w:ascii="Calibri" w:eastAsia="Calibri" w:hAnsi="Calibri"/>
                <w:sz w:val="20"/>
                <w:szCs w:val="20"/>
              </w:rPr>
            </w:pPr>
            <w:r w:rsidRPr="008676F9">
              <w:rPr>
                <w:rFonts w:ascii="Calibri" w:eastAsia="Calibri" w:hAnsi="Calibri"/>
                <w:sz w:val="20"/>
                <w:szCs w:val="20"/>
              </w:rPr>
              <w:t xml:space="preserve">         </w:t>
            </w:r>
            <w:r>
              <w:rPr>
                <w:rFonts w:ascii="Calibri" w:eastAsia="Calibri" w:hAnsi="Calibri"/>
                <w:sz w:val="20"/>
                <w:szCs w:val="20"/>
              </w:rPr>
              <w:t>5</w:t>
            </w:r>
            <w:r w:rsidRPr="008676F9">
              <w:rPr>
                <w:rFonts w:ascii="Calibri" w:eastAsia="Calibri" w:hAnsi="Calibri"/>
                <w:sz w:val="20"/>
                <w:szCs w:val="20"/>
              </w:rPr>
              <w:t>00 000,00</w:t>
            </w:r>
          </w:p>
        </w:tc>
      </w:tr>
      <w:tr w:rsidR="008676F9" w:rsidRPr="008676F9" w:rsidTr="00BB33FC">
        <w:trPr>
          <w:trHeight w:val="499"/>
        </w:trPr>
        <w:tc>
          <w:tcPr>
            <w:tcW w:w="1660" w:type="dxa"/>
            <w:vMerge w:val="restart"/>
            <w:tcBorders>
              <w:top w:val="nil"/>
              <w:left w:val="single" w:sz="4" w:space="0" w:color="auto"/>
              <w:bottom w:val="single" w:sz="4" w:space="0" w:color="auto"/>
              <w:right w:val="single" w:sz="4" w:space="0" w:color="auto"/>
            </w:tcBorders>
            <w:shd w:val="clear" w:color="000000" w:fill="FFFFFF"/>
            <w:vAlign w:val="center"/>
          </w:tcPr>
          <w:p w:rsidR="008676F9" w:rsidRPr="008676F9" w:rsidRDefault="008676F9" w:rsidP="008676F9">
            <w:pPr>
              <w:jc w:val="center"/>
              <w:rPr>
                <w:rFonts w:ascii="Calibri" w:eastAsia="Calibri" w:hAnsi="Calibri"/>
                <w:b/>
                <w:bCs/>
                <w:sz w:val="16"/>
                <w:szCs w:val="16"/>
              </w:rPr>
            </w:pPr>
            <w:r w:rsidRPr="008676F9">
              <w:rPr>
                <w:rFonts w:ascii="Calibri" w:eastAsia="Calibri" w:hAnsi="Calibri"/>
                <w:b/>
                <w:bCs/>
                <w:sz w:val="16"/>
                <w:szCs w:val="16"/>
              </w:rPr>
              <w:t>2 (15)</w:t>
            </w:r>
          </w:p>
        </w:tc>
        <w:tc>
          <w:tcPr>
            <w:tcW w:w="4820" w:type="dxa"/>
            <w:gridSpan w:val="2"/>
            <w:tcBorders>
              <w:top w:val="single" w:sz="4" w:space="0" w:color="auto"/>
              <w:left w:val="nil"/>
              <w:bottom w:val="single" w:sz="4" w:space="0" w:color="auto"/>
              <w:right w:val="single" w:sz="4" w:space="0" w:color="auto"/>
            </w:tcBorders>
            <w:shd w:val="clear" w:color="000000" w:fill="FFFFFF"/>
            <w:vAlign w:val="center"/>
          </w:tcPr>
          <w:p w:rsidR="008676F9" w:rsidRPr="008676F9" w:rsidRDefault="008676F9" w:rsidP="008676F9">
            <w:pPr>
              <w:rPr>
                <w:rFonts w:ascii="Calibri" w:eastAsia="Calibri" w:hAnsi="Calibri"/>
                <w:sz w:val="16"/>
                <w:szCs w:val="16"/>
              </w:rPr>
            </w:pPr>
            <w:r w:rsidRPr="008676F9">
              <w:rPr>
                <w:rFonts w:ascii="Calibri" w:eastAsia="Calibri" w:hAnsi="Calibri"/>
                <w:sz w:val="16"/>
                <w:szCs w:val="16"/>
              </w:rPr>
              <w:t>Počet subjektov, kde bolo vykonané poradenstvo (2.1)</w:t>
            </w:r>
          </w:p>
        </w:tc>
        <w:tc>
          <w:tcPr>
            <w:tcW w:w="1660" w:type="dxa"/>
            <w:tcBorders>
              <w:top w:val="nil"/>
              <w:left w:val="nil"/>
              <w:bottom w:val="single" w:sz="4" w:space="0" w:color="auto"/>
              <w:right w:val="single" w:sz="4" w:space="0" w:color="auto"/>
            </w:tcBorders>
            <w:shd w:val="clear" w:color="000000" w:fill="FFFFFF"/>
            <w:noWrap/>
            <w:vAlign w:val="center"/>
          </w:tcPr>
          <w:p w:rsidR="008676F9" w:rsidRPr="008676F9" w:rsidRDefault="008676F9" w:rsidP="008676F9">
            <w:pPr>
              <w:jc w:val="right"/>
              <w:rPr>
                <w:rFonts w:ascii="Calibri" w:eastAsia="Calibri" w:hAnsi="Calibri"/>
                <w:sz w:val="20"/>
                <w:szCs w:val="20"/>
              </w:rPr>
            </w:pPr>
            <w:r w:rsidRPr="008676F9">
              <w:rPr>
                <w:rFonts w:ascii="Calibri" w:eastAsia="Calibri" w:hAnsi="Calibri"/>
                <w:sz w:val="20"/>
                <w:szCs w:val="20"/>
              </w:rPr>
              <w:t xml:space="preserve">                     50 </w:t>
            </w:r>
          </w:p>
        </w:tc>
      </w:tr>
      <w:tr w:rsidR="008676F9" w:rsidRPr="008676F9" w:rsidTr="00BB33FC">
        <w:trPr>
          <w:trHeight w:val="499"/>
        </w:trPr>
        <w:tc>
          <w:tcPr>
            <w:tcW w:w="1660" w:type="dxa"/>
            <w:vMerge/>
            <w:tcBorders>
              <w:top w:val="single" w:sz="4" w:space="0" w:color="auto"/>
              <w:left w:val="single" w:sz="8" w:space="0" w:color="auto"/>
              <w:bottom w:val="single" w:sz="4" w:space="0" w:color="000000"/>
              <w:right w:val="single" w:sz="4" w:space="0" w:color="auto"/>
            </w:tcBorders>
            <w:vAlign w:val="center"/>
          </w:tcPr>
          <w:p w:rsidR="008676F9" w:rsidRPr="008676F9" w:rsidRDefault="008676F9" w:rsidP="008676F9">
            <w:pPr>
              <w:rPr>
                <w:rFonts w:ascii="Calibri" w:eastAsia="Calibri" w:hAnsi="Calibri"/>
                <w:b/>
                <w:bCs/>
                <w:sz w:val="16"/>
                <w:szCs w:val="16"/>
              </w:rPr>
            </w:pPr>
          </w:p>
        </w:tc>
        <w:tc>
          <w:tcPr>
            <w:tcW w:w="4820" w:type="dxa"/>
            <w:gridSpan w:val="2"/>
            <w:tcBorders>
              <w:top w:val="single" w:sz="4" w:space="0" w:color="auto"/>
              <w:left w:val="nil"/>
              <w:bottom w:val="single" w:sz="4" w:space="0" w:color="auto"/>
              <w:right w:val="single" w:sz="4" w:space="0" w:color="auto"/>
            </w:tcBorders>
            <w:shd w:val="clear" w:color="000000" w:fill="FFFFFF"/>
            <w:vAlign w:val="center"/>
          </w:tcPr>
          <w:p w:rsidR="008676F9" w:rsidRPr="008676F9" w:rsidRDefault="008676F9" w:rsidP="008676F9">
            <w:pPr>
              <w:rPr>
                <w:rFonts w:ascii="Calibri" w:eastAsia="Calibri" w:hAnsi="Calibri"/>
                <w:sz w:val="16"/>
                <w:szCs w:val="16"/>
              </w:rPr>
            </w:pPr>
            <w:r w:rsidRPr="008676F9">
              <w:rPr>
                <w:rFonts w:ascii="Calibri" w:eastAsia="Calibri" w:hAnsi="Calibri"/>
                <w:sz w:val="16"/>
                <w:szCs w:val="16"/>
              </w:rPr>
              <w:t>Celkové verejné výdavky  € (2.1,2.3)</w:t>
            </w:r>
          </w:p>
        </w:tc>
        <w:tc>
          <w:tcPr>
            <w:tcW w:w="1660" w:type="dxa"/>
            <w:tcBorders>
              <w:top w:val="single" w:sz="4" w:space="0" w:color="auto"/>
              <w:left w:val="nil"/>
              <w:bottom w:val="single" w:sz="4" w:space="0" w:color="auto"/>
              <w:right w:val="single" w:sz="8" w:space="0" w:color="auto"/>
            </w:tcBorders>
            <w:shd w:val="clear" w:color="000000" w:fill="FFFFFF"/>
            <w:noWrap/>
            <w:vAlign w:val="center"/>
          </w:tcPr>
          <w:p w:rsidR="008676F9" w:rsidRPr="008676F9" w:rsidRDefault="008676F9" w:rsidP="008676F9">
            <w:pPr>
              <w:jc w:val="right"/>
              <w:rPr>
                <w:rFonts w:ascii="Calibri" w:eastAsia="Calibri" w:hAnsi="Calibri"/>
                <w:sz w:val="20"/>
                <w:szCs w:val="20"/>
              </w:rPr>
            </w:pPr>
            <w:r w:rsidRPr="008676F9">
              <w:rPr>
                <w:rFonts w:ascii="Calibri" w:eastAsia="Calibri" w:hAnsi="Calibri"/>
                <w:sz w:val="20"/>
                <w:szCs w:val="20"/>
              </w:rPr>
              <w:t xml:space="preserve">           85 000,00 </w:t>
            </w:r>
          </w:p>
        </w:tc>
      </w:tr>
    </w:tbl>
    <w:p w:rsidR="008676F9" w:rsidRPr="008676F9" w:rsidRDefault="008676F9" w:rsidP="008676F9">
      <w:pPr>
        <w:spacing w:after="200" w:line="276" w:lineRule="auto"/>
        <w:rPr>
          <w:rFonts w:ascii="Calibri" w:eastAsia="Calibri" w:hAnsi="Calibri"/>
          <w:b/>
          <w:szCs w:val="22"/>
          <w:lang w:eastAsia="en-US"/>
        </w:rPr>
      </w:pPr>
    </w:p>
    <w:p w:rsidR="008676F9" w:rsidRPr="008676F9" w:rsidRDefault="008676F9" w:rsidP="008676F9">
      <w:pPr>
        <w:spacing w:after="200" w:line="276" w:lineRule="auto"/>
        <w:rPr>
          <w:rFonts w:ascii="Calibri" w:eastAsia="Calibri" w:hAnsi="Calibri"/>
          <w:szCs w:val="22"/>
          <w:lang w:eastAsia="en-US"/>
        </w:rPr>
      </w:pPr>
    </w:p>
    <w:p w:rsidR="008676F9" w:rsidRPr="008676F9" w:rsidRDefault="008676F9" w:rsidP="008676F9">
      <w:pPr>
        <w:spacing w:after="200" w:line="276" w:lineRule="auto"/>
        <w:rPr>
          <w:rFonts w:ascii="Calibri" w:eastAsia="Calibri" w:hAnsi="Calibri"/>
          <w:szCs w:val="22"/>
          <w:lang w:eastAsia="en-US"/>
        </w:rPr>
      </w:pPr>
    </w:p>
    <w:p w:rsidR="008676F9" w:rsidRPr="008676F9" w:rsidRDefault="008676F9" w:rsidP="008676F9">
      <w:pPr>
        <w:spacing w:after="200" w:line="276" w:lineRule="auto"/>
        <w:rPr>
          <w:rFonts w:ascii="Calibri" w:eastAsia="Calibri" w:hAnsi="Calibri"/>
          <w:szCs w:val="22"/>
          <w:lang w:eastAsia="en-US"/>
        </w:rPr>
      </w:pPr>
    </w:p>
    <w:p w:rsidR="008676F9" w:rsidRPr="008676F9" w:rsidRDefault="008676F9" w:rsidP="005F1407">
      <w:pPr>
        <w:keepNext/>
        <w:spacing w:before="240" w:after="60" w:line="276" w:lineRule="auto"/>
        <w:outlineLvl w:val="3"/>
        <w:rPr>
          <w:rFonts w:ascii="Calibri" w:hAnsi="Calibri"/>
          <w:bCs/>
          <w:sz w:val="28"/>
          <w:szCs w:val="28"/>
          <w:lang w:eastAsia="en-US"/>
        </w:rPr>
      </w:pPr>
    </w:p>
    <w:p w:rsidR="008676F9" w:rsidRPr="008676F9" w:rsidRDefault="008676F9" w:rsidP="008676F9">
      <w:pPr>
        <w:spacing w:after="200" w:line="276" w:lineRule="auto"/>
        <w:rPr>
          <w:rFonts w:ascii="Calibri" w:eastAsia="Calibri" w:hAnsi="Calibri"/>
          <w:b/>
          <w:szCs w:val="22"/>
          <w:lang w:eastAsia="en-US"/>
        </w:rPr>
        <w:sectPr w:rsidR="008676F9" w:rsidRPr="008676F9" w:rsidSect="00BB33FC">
          <w:headerReference w:type="default" r:id="rId89"/>
          <w:footerReference w:type="default" r:id="rId90"/>
          <w:pgSz w:w="11906" w:h="16838"/>
          <w:pgMar w:top="1417" w:right="1417" w:bottom="1417" w:left="1417" w:header="708" w:footer="708" w:gutter="0"/>
          <w:cols w:space="708"/>
          <w:docGrid w:linePitch="360"/>
        </w:sectPr>
      </w:pPr>
    </w:p>
    <w:p w:rsidR="008676F9" w:rsidRPr="00E820E4" w:rsidRDefault="008676F9" w:rsidP="005F1407">
      <w:pPr>
        <w:keepNext/>
        <w:spacing w:after="200" w:line="276" w:lineRule="auto"/>
        <w:outlineLvl w:val="3"/>
        <w:rPr>
          <w:rFonts w:ascii="Calibri" w:hAnsi="Calibri"/>
          <w:b/>
          <w:bCs/>
          <w:szCs w:val="22"/>
          <w:lang w:eastAsia="en-US"/>
        </w:rPr>
      </w:pPr>
      <w:bookmarkStart w:id="144" w:name="_Toc359930829"/>
      <w:r w:rsidRPr="00E820E4">
        <w:rPr>
          <w:rFonts w:ascii="Calibri" w:hAnsi="Calibri"/>
          <w:b/>
          <w:bCs/>
          <w:szCs w:val="22"/>
          <w:lang w:eastAsia="en-US"/>
        </w:rPr>
        <w:t>PRIORITA 4: Obnov</w:t>
      </w:r>
      <w:bookmarkEnd w:id="144"/>
      <w:r w:rsidRPr="00E820E4">
        <w:rPr>
          <w:rFonts w:ascii="Calibri" w:hAnsi="Calibri"/>
          <w:b/>
          <w:bCs/>
          <w:szCs w:val="22"/>
          <w:lang w:eastAsia="en-US"/>
        </w:rPr>
        <w:t xml:space="preserve">a, zachovanie a posilnenie ekosystémov, ktoré súvisia s poľnohospodárstvom a lesným hospodárstvom </w:t>
      </w:r>
    </w:p>
    <w:tbl>
      <w:tblPr>
        <w:tblW w:w="13623" w:type="dxa"/>
        <w:tblInd w:w="55" w:type="dxa"/>
        <w:tblLayout w:type="fixed"/>
        <w:tblCellMar>
          <w:left w:w="70" w:type="dxa"/>
          <w:right w:w="70" w:type="dxa"/>
        </w:tblCellMar>
        <w:tblLook w:val="00A0" w:firstRow="1" w:lastRow="0" w:firstColumn="1" w:lastColumn="0" w:noHBand="0" w:noVBand="0"/>
      </w:tblPr>
      <w:tblGrid>
        <w:gridCol w:w="2278"/>
        <w:gridCol w:w="802"/>
        <w:gridCol w:w="1072"/>
        <w:gridCol w:w="536"/>
        <w:gridCol w:w="1418"/>
        <w:gridCol w:w="136"/>
        <w:gridCol w:w="1274"/>
        <w:gridCol w:w="149"/>
        <w:gridCol w:w="743"/>
        <w:gridCol w:w="391"/>
        <w:gridCol w:w="501"/>
        <w:gridCol w:w="312"/>
        <w:gridCol w:w="37"/>
        <w:gridCol w:w="851"/>
        <w:gridCol w:w="44"/>
        <w:gridCol w:w="1515"/>
        <w:gridCol w:w="1564"/>
      </w:tblGrid>
      <w:tr w:rsidR="00255E13" w:rsidRPr="00F849C3" w:rsidTr="00895B36">
        <w:trPr>
          <w:trHeight w:val="606"/>
        </w:trPr>
        <w:tc>
          <w:tcPr>
            <w:tcW w:w="13618" w:type="dxa"/>
            <w:gridSpan w:val="17"/>
            <w:tcBorders>
              <w:top w:val="single" w:sz="8" w:space="0" w:color="auto"/>
              <w:left w:val="single" w:sz="8" w:space="0" w:color="auto"/>
              <w:bottom w:val="single" w:sz="8" w:space="0" w:color="auto"/>
              <w:right w:val="single" w:sz="8" w:space="0" w:color="000000"/>
            </w:tcBorders>
            <w:shd w:val="clear" w:color="000000" w:fill="FFFFFF"/>
            <w:vAlign w:val="center"/>
          </w:tcPr>
          <w:p w:rsidR="00255E13" w:rsidRPr="00F849C3" w:rsidRDefault="00255E13" w:rsidP="00895B36">
            <w:pPr>
              <w:jc w:val="center"/>
              <w:rPr>
                <w:b/>
                <w:bCs/>
                <w:sz w:val="18"/>
                <w:szCs w:val="18"/>
              </w:rPr>
            </w:pPr>
            <w:r w:rsidRPr="00F849C3">
              <w:rPr>
                <w:b/>
                <w:sz w:val="18"/>
                <w:szCs w:val="18"/>
              </w:rPr>
              <w:br w:type="page"/>
            </w:r>
            <w:r w:rsidRPr="00F849C3">
              <w:rPr>
                <w:b/>
                <w:bCs/>
                <w:sz w:val="18"/>
                <w:szCs w:val="18"/>
              </w:rPr>
              <w:t xml:space="preserve">Tabuľka A1 - podporná tabuľka pre zobrazenie príspevku programovaných opatrení/schém k dosiahnutiu jedného alebo viacerých environmentálnych a klimatických cieľov na podporenej poľ. pôde </w:t>
            </w:r>
          </w:p>
        </w:tc>
      </w:tr>
      <w:tr w:rsidR="00255E13" w:rsidRPr="00F849C3" w:rsidTr="00895B36">
        <w:trPr>
          <w:trHeight w:val="119"/>
        </w:trPr>
        <w:tc>
          <w:tcPr>
            <w:tcW w:w="7665" w:type="dxa"/>
            <w:gridSpan w:val="8"/>
            <w:vMerge w:val="restart"/>
            <w:tcBorders>
              <w:top w:val="single" w:sz="8" w:space="0" w:color="auto"/>
              <w:left w:val="nil"/>
              <w:bottom w:val="single" w:sz="8" w:space="0" w:color="000000"/>
              <w:right w:val="nil"/>
            </w:tcBorders>
            <w:shd w:val="clear" w:color="000000" w:fill="FFFFFF"/>
            <w:vAlign w:val="center"/>
          </w:tcPr>
          <w:p w:rsidR="00255E13" w:rsidRPr="00F849C3" w:rsidRDefault="00255E13" w:rsidP="00895B36">
            <w:pPr>
              <w:jc w:val="center"/>
              <w:rPr>
                <w:sz w:val="18"/>
                <w:szCs w:val="18"/>
              </w:rPr>
            </w:pPr>
            <w:r w:rsidRPr="00F849C3">
              <w:rPr>
                <w:sz w:val="18"/>
                <w:szCs w:val="18"/>
              </w:rPr>
              <w:t> </w:t>
            </w:r>
          </w:p>
        </w:tc>
        <w:tc>
          <w:tcPr>
            <w:tcW w:w="5953" w:type="dxa"/>
            <w:gridSpan w:val="9"/>
            <w:tcBorders>
              <w:top w:val="single" w:sz="8" w:space="0" w:color="auto"/>
              <w:left w:val="nil"/>
              <w:bottom w:val="single" w:sz="8" w:space="0" w:color="auto"/>
              <w:right w:val="nil"/>
            </w:tcBorders>
            <w:shd w:val="clear" w:color="000000" w:fill="FFFFFF"/>
            <w:vAlign w:val="center"/>
          </w:tcPr>
          <w:p w:rsidR="00255E13" w:rsidRPr="00F849C3" w:rsidRDefault="00255E13" w:rsidP="00895B36">
            <w:pPr>
              <w:jc w:val="center"/>
              <w:rPr>
                <w:sz w:val="18"/>
                <w:szCs w:val="18"/>
              </w:rPr>
            </w:pPr>
            <w:r w:rsidRPr="00F849C3">
              <w:rPr>
                <w:sz w:val="18"/>
                <w:szCs w:val="18"/>
              </w:rPr>
              <w:t> </w:t>
            </w:r>
          </w:p>
        </w:tc>
      </w:tr>
      <w:tr w:rsidR="00255E13" w:rsidRPr="00F849C3" w:rsidTr="00895B36">
        <w:trPr>
          <w:trHeight w:val="60"/>
        </w:trPr>
        <w:tc>
          <w:tcPr>
            <w:tcW w:w="7665" w:type="dxa"/>
            <w:gridSpan w:val="8"/>
            <w:vMerge/>
            <w:tcBorders>
              <w:top w:val="single" w:sz="8" w:space="0" w:color="auto"/>
              <w:left w:val="nil"/>
              <w:bottom w:val="single" w:sz="8" w:space="0" w:color="000000"/>
              <w:right w:val="nil"/>
            </w:tcBorders>
            <w:vAlign w:val="center"/>
          </w:tcPr>
          <w:p w:rsidR="00255E13" w:rsidRPr="00F849C3" w:rsidRDefault="00255E13" w:rsidP="00895B36">
            <w:pPr>
              <w:rPr>
                <w:sz w:val="18"/>
                <w:szCs w:val="18"/>
              </w:rPr>
            </w:pPr>
          </w:p>
        </w:tc>
        <w:tc>
          <w:tcPr>
            <w:tcW w:w="5953" w:type="dxa"/>
            <w:gridSpan w:val="9"/>
            <w:tcBorders>
              <w:top w:val="single" w:sz="8" w:space="0" w:color="auto"/>
              <w:left w:val="single" w:sz="8" w:space="0" w:color="auto"/>
              <w:bottom w:val="single" w:sz="8" w:space="0" w:color="auto"/>
              <w:right w:val="single" w:sz="8" w:space="0" w:color="000000"/>
            </w:tcBorders>
            <w:shd w:val="clear" w:color="000000" w:fill="FFFFFF"/>
            <w:vAlign w:val="center"/>
          </w:tcPr>
          <w:p w:rsidR="00255E13" w:rsidRPr="00F849C3" w:rsidRDefault="00255E13" w:rsidP="00895B36">
            <w:pPr>
              <w:jc w:val="center"/>
              <w:rPr>
                <w:b/>
                <w:bCs/>
                <w:sz w:val="18"/>
                <w:szCs w:val="18"/>
              </w:rPr>
            </w:pPr>
          </w:p>
        </w:tc>
      </w:tr>
      <w:tr w:rsidR="00255E13" w:rsidRPr="00F849C3" w:rsidTr="00895B36">
        <w:trPr>
          <w:trHeight w:val="270"/>
        </w:trPr>
        <w:tc>
          <w:tcPr>
            <w:tcW w:w="7665" w:type="dxa"/>
            <w:gridSpan w:val="8"/>
            <w:vMerge/>
            <w:tcBorders>
              <w:top w:val="single" w:sz="8" w:space="0" w:color="auto"/>
              <w:left w:val="nil"/>
              <w:bottom w:val="single" w:sz="8" w:space="0" w:color="000000"/>
              <w:right w:val="nil"/>
            </w:tcBorders>
            <w:vAlign w:val="center"/>
          </w:tcPr>
          <w:p w:rsidR="00255E13" w:rsidRPr="00F849C3" w:rsidRDefault="00255E13" w:rsidP="00895B36">
            <w:pPr>
              <w:rPr>
                <w:sz w:val="18"/>
                <w:szCs w:val="18"/>
              </w:rPr>
            </w:pPr>
          </w:p>
        </w:tc>
        <w:tc>
          <w:tcPr>
            <w:tcW w:w="2835" w:type="dxa"/>
            <w:gridSpan w:val="6"/>
            <w:tcBorders>
              <w:top w:val="single" w:sz="8" w:space="0" w:color="auto"/>
              <w:left w:val="single" w:sz="8" w:space="0" w:color="auto"/>
              <w:bottom w:val="single" w:sz="8" w:space="0" w:color="auto"/>
              <w:right w:val="single" w:sz="8" w:space="0" w:color="000000"/>
            </w:tcBorders>
            <w:shd w:val="clear" w:color="000000" w:fill="FFFFFF"/>
            <w:vAlign w:val="center"/>
          </w:tcPr>
          <w:p w:rsidR="00255E13" w:rsidRPr="00F849C3" w:rsidRDefault="00255E13" w:rsidP="00895B36">
            <w:pPr>
              <w:jc w:val="center"/>
              <w:rPr>
                <w:b/>
                <w:bCs/>
                <w:sz w:val="18"/>
                <w:szCs w:val="18"/>
              </w:rPr>
            </w:pPr>
            <w:r w:rsidRPr="00F849C3">
              <w:rPr>
                <w:b/>
                <w:bCs/>
                <w:sz w:val="18"/>
                <w:szCs w:val="18"/>
              </w:rPr>
              <w:t>Priorita 4</w:t>
            </w:r>
          </w:p>
        </w:tc>
        <w:tc>
          <w:tcPr>
            <w:tcW w:w="3118" w:type="dxa"/>
            <w:gridSpan w:val="3"/>
            <w:tcBorders>
              <w:top w:val="single" w:sz="8" w:space="0" w:color="auto"/>
              <w:left w:val="nil"/>
              <w:bottom w:val="single" w:sz="8" w:space="0" w:color="auto"/>
              <w:right w:val="single" w:sz="8" w:space="0" w:color="000000"/>
            </w:tcBorders>
            <w:shd w:val="clear" w:color="000000" w:fill="FFFFFF"/>
            <w:vAlign w:val="center"/>
          </w:tcPr>
          <w:p w:rsidR="00255E13" w:rsidRPr="00F849C3" w:rsidRDefault="00255E13" w:rsidP="00895B36">
            <w:pPr>
              <w:jc w:val="center"/>
              <w:rPr>
                <w:b/>
                <w:bCs/>
                <w:sz w:val="18"/>
                <w:szCs w:val="18"/>
              </w:rPr>
            </w:pPr>
            <w:r w:rsidRPr="00F849C3">
              <w:rPr>
                <w:b/>
                <w:bCs/>
                <w:sz w:val="18"/>
                <w:szCs w:val="18"/>
              </w:rPr>
              <w:t>Priorita 5</w:t>
            </w:r>
          </w:p>
        </w:tc>
      </w:tr>
      <w:tr w:rsidR="00255E13" w:rsidRPr="00F849C3" w:rsidTr="00895B36">
        <w:trPr>
          <w:trHeight w:val="939"/>
        </w:trPr>
        <w:tc>
          <w:tcPr>
            <w:tcW w:w="2278" w:type="dxa"/>
            <w:tcBorders>
              <w:top w:val="nil"/>
              <w:left w:val="single" w:sz="8" w:space="0" w:color="auto"/>
              <w:bottom w:val="nil"/>
              <w:right w:val="single" w:sz="4" w:space="0" w:color="auto"/>
            </w:tcBorders>
            <w:shd w:val="clear" w:color="000000" w:fill="FFFFFF"/>
            <w:vAlign w:val="center"/>
          </w:tcPr>
          <w:p w:rsidR="00255E13" w:rsidRPr="00F849C3" w:rsidRDefault="00255E13" w:rsidP="00895B36">
            <w:pPr>
              <w:jc w:val="center"/>
              <w:rPr>
                <w:b/>
                <w:bCs/>
                <w:sz w:val="18"/>
                <w:szCs w:val="18"/>
              </w:rPr>
            </w:pPr>
            <w:r w:rsidRPr="00F849C3">
              <w:rPr>
                <w:b/>
                <w:bCs/>
                <w:sz w:val="18"/>
                <w:szCs w:val="18"/>
              </w:rPr>
              <w:t> </w:t>
            </w:r>
          </w:p>
        </w:tc>
        <w:tc>
          <w:tcPr>
            <w:tcW w:w="2410" w:type="dxa"/>
            <w:gridSpan w:val="3"/>
            <w:tcBorders>
              <w:top w:val="nil"/>
              <w:left w:val="nil"/>
              <w:bottom w:val="nil"/>
              <w:right w:val="nil"/>
            </w:tcBorders>
            <w:shd w:val="clear" w:color="000000" w:fill="FFFFFF"/>
            <w:vAlign w:val="center"/>
          </w:tcPr>
          <w:p w:rsidR="00255E13" w:rsidRPr="00F849C3" w:rsidRDefault="00255E13" w:rsidP="00895B36">
            <w:pPr>
              <w:jc w:val="center"/>
              <w:rPr>
                <w:b/>
                <w:bCs/>
                <w:sz w:val="18"/>
                <w:szCs w:val="18"/>
              </w:rPr>
            </w:pPr>
            <w:r w:rsidRPr="00F849C3">
              <w:rPr>
                <w:b/>
                <w:bCs/>
                <w:sz w:val="18"/>
                <w:szCs w:val="18"/>
              </w:rPr>
              <w:t xml:space="preserve">Kategória </w:t>
            </w:r>
          </w:p>
        </w:tc>
        <w:tc>
          <w:tcPr>
            <w:tcW w:w="1418" w:type="dxa"/>
            <w:tcBorders>
              <w:top w:val="nil"/>
              <w:left w:val="single" w:sz="4" w:space="0" w:color="auto"/>
              <w:bottom w:val="nil"/>
              <w:right w:val="nil"/>
            </w:tcBorders>
            <w:shd w:val="clear" w:color="000000" w:fill="FFFFFF"/>
            <w:vAlign w:val="center"/>
          </w:tcPr>
          <w:p w:rsidR="00255E13" w:rsidRPr="00F849C3" w:rsidRDefault="00255E13" w:rsidP="00895B36">
            <w:pPr>
              <w:jc w:val="center"/>
              <w:rPr>
                <w:b/>
                <w:bCs/>
                <w:sz w:val="18"/>
                <w:szCs w:val="18"/>
              </w:rPr>
            </w:pPr>
            <w:r w:rsidRPr="00F849C3">
              <w:rPr>
                <w:b/>
                <w:bCs/>
                <w:sz w:val="18"/>
                <w:szCs w:val="18"/>
              </w:rPr>
              <w:t>Celkové výdavky</w:t>
            </w:r>
          </w:p>
        </w:tc>
        <w:tc>
          <w:tcPr>
            <w:tcW w:w="1559" w:type="dxa"/>
            <w:gridSpan w:val="3"/>
            <w:tcBorders>
              <w:top w:val="nil"/>
              <w:left w:val="single" w:sz="8" w:space="0" w:color="auto"/>
              <w:bottom w:val="nil"/>
              <w:right w:val="single" w:sz="8" w:space="0" w:color="auto"/>
            </w:tcBorders>
            <w:shd w:val="clear" w:color="000000" w:fill="FFFFFF"/>
            <w:vAlign w:val="center"/>
          </w:tcPr>
          <w:p w:rsidR="00255E13" w:rsidRPr="00F849C3" w:rsidRDefault="00255E13" w:rsidP="00895B36">
            <w:pPr>
              <w:jc w:val="center"/>
              <w:rPr>
                <w:b/>
                <w:bCs/>
                <w:sz w:val="18"/>
                <w:szCs w:val="18"/>
              </w:rPr>
            </w:pPr>
            <w:r w:rsidRPr="00F849C3">
              <w:rPr>
                <w:b/>
                <w:bCs/>
                <w:sz w:val="18"/>
                <w:szCs w:val="18"/>
              </w:rPr>
              <w:t xml:space="preserve">počet fyzických ha (DJ)/opatrenie alebo schéma </w:t>
            </w:r>
          </w:p>
        </w:tc>
        <w:tc>
          <w:tcPr>
            <w:tcW w:w="1134" w:type="dxa"/>
            <w:gridSpan w:val="2"/>
            <w:tcBorders>
              <w:top w:val="nil"/>
              <w:left w:val="nil"/>
              <w:bottom w:val="single" w:sz="8" w:space="0" w:color="auto"/>
              <w:right w:val="single" w:sz="4" w:space="0" w:color="auto"/>
            </w:tcBorders>
            <w:shd w:val="clear" w:color="000000" w:fill="FFFFFF"/>
            <w:vAlign w:val="center"/>
          </w:tcPr>
          <w:p w:rsidR="00255E13" w:rsidRPr="00F849C3" w:rsidRDefault="00255E13" w:rsidP="00895B36">
            <w:pPr>
              <w:jc w:val="center"/>
              <w:rPr>
                <w:b/>
                <w:bCs/>
                <w:sz w:val="18"/>
                <w:szCs w:val="18"/>
              </w:rPr>
            </w:pPr>
            <w:r w:rsidRPr="00F849C3">
              <w:rPr>
                <w:b/>
                <w:bCs/>
                <w:sz w:val="18"/>
                <w:szCs w:val="18"/>
              </w:rPr>
              <w:t>Biodiverzita</w:t>
            </w:r>
          </w:p>
        </w:tc>
        <w:tc>
          <w:tcPr>
            <w:tcW w:w="850" w:type="dxa"/>
            <w:gridSpan w:val="3"/>
            <w:tcBorders>
              <w:top w:val="nil"/>
              <w:left w:val="nil"/>
              <w:bottom w:val="single" w:sz="8" w:space="0" w:color="auto"/>
              <w:right w:val="single" w:sz="4" w:space="0" w:color="auto"/>
            </w:tcBorders>
            <w:shd w:val="clear" w:color="000000" w:fill="FFFFFF"/>
            <w:vAlign w:val="center"/>
          </w:tcPr>
          <w:p w:rsidR="00255E13" w:rsidRPr="00F849C3" w:rsidRDefault="00255E13" w:rsidP="00895B36">
            <w:pPr>
              <w:jc w:val="center"/>
              <w:rPr>
                <w:b/>
                <w:bCs/>
                <w:sz w:val="18"/>
                <w:szCs w:val="18"/>
              </w:rPr>
            </w:pPr>
            <w:r w:rsidRPr="00F849C3">
              <w:rPr>
                <w:b/>
                <w:bCs/>
                <w:sz w:val="18"/>
                <w:szCs w:val="18"/>
              </w:rPr>
              <w:t>Voda</w:t>
            </w:r>
          </w:p>
        </w:tc>
        <w:tc>
          <w:tcPr>
            <w:tcW w:w="851" w:type="dxa"/>
            <w:tcBorders>
              <w:top w:val="nil"/>
              <w:left w:val="nil"/>
              <w:bottom w:val="single" w:sz="8" w:space="0" w:color="auto"/>
              <w:right w:val="single" w:sz="8" w:space="0" w:color="auto"/>
            </w:tcBorders>
            <w:shd w:val="clear" w:color="000000" w:fill="FFFFFF"/>
            <w:vAlign w:val="center"/>
          </w:tcPr>
          <w:p w:rsidR="00255E13" w:rsidRPr="00F849C3" w:rsidRDefault="00255E13" w:rsidP="00895B36">
            <w:pPr>
              <w:jc w:val="center"/>
              <w:rPr>
                <w:b/>
                <w:bCs/>
                <w:sz w:val="18"/>
                <w:szCs w:val="18"/>
              </w:rPr>
            </w:pPr>
            <w:r w:rsidRPr="00F849C3">
              <w:rPr>
                <w:b/>
                <w:bCs/>
                <w:sz w:val="18"/>
                <w:szCs w:val="18"/>
              </w:rPr>
              <w:t>Pôda</w:t>
            </w:r>
          </w:p>
        </w:tc>
        <w:tc>
          <w:tcPr>
            <w:tcW w:w="1559" w:type="dxa"/>
            <w:gridSpan w:val="2"/>
            <w:tcBorders>
              <w:top w:val="nil"/>
              <w:left w:val="nil"/>
              <w:bottom w:val="single" w:sz="8" w:space="0" w:color="auto"/>
              <w:right w:val="single" w:sz="4" w:space="0" w:color="auto"/>
            </w:tcBorders>
            <w:shd w:val="clear" w:color="000000" w:fill="FFFFFF"/>
            <w:vAlign w:val="center"/>
          </w:tcPr>
          <w:p w:rsidR="00255E13" w:rsidRPr="00F849C3" w:rsidRDefault="00255E13" w:rsidP="00895B36">
            <w:pPr>
              <w:jc w:val="center"/>
              <w:rPr>
                <w:b/>
                <w:bCs/>
                <w:sz w:val="18"/>
                <w:szCs w:val="18"/>
              </w:rPr>
            </w:pPr>
            <w:r w:rsidRPr="00F849C3">
              <w:rPr>
                <w:b/>
                <w:bCs/>
                <w:sz w:val="18"/>
                <w:szCs w:val="18"/>
              </w:rPr>
              <w:t xml:space="preserve">zníženie emisií sklen. plynov a amoniaku </w:t>
            </w:r>
          </w:p>
        </w:tc>
        <w:tc>
          <w:tcPr>
            <w:tcW w:w="1559" w:type="dxa"/>
            <w:tcBorders>
              <w:top w:val="nil"/>
              <w:left w:val="nil"/>
              <w:bottom w:val="single" w:sz="8" w:space="0" w:color="auto"/>
              <w:right w:val="single" w:sz="8" w:space="0" w:color="auto"/>
            </w:tcBorders>
            <w:shd w:val="clear" w:color="000000" w:fill="FFFFFF"/>
            <w:vAlign w:val="center"/>
          </w:tcPr>
          <w:p w:rsidR="00255E13" w:rsidRPr="00F849C3" w:rsidRDefault="00255E13" w:rsidP="00895B36">
            <w:pPr>
              <w:jc w:val="center"/>
              <w:rPr>
                <w:b/>
                <w:bCs/>
                <w:sz w:val="18"/>
                <w:szCs w:val="18"/>
              </w:rPr>
            </w:pPr>
            <w:r w:rsidRPr="00F849C3">
              <w:rPr>
                <w:b/>
                <w:bCs/>
                <w:sz w:val="18"/>
                <w:szCs w:val="18"/>
              </w:rPr>
              <w:t xml:space="preserve">sekvestrácia oxidu uhličitého </w:t>
            </w:r>
          </w:p>
        </w:tc>
      </w:tr>
      <w:tr w:rsidR="00255E13" w:rsidRPr="00F849C3" w:rsidTr="00895B36">
        <w:trPr>
          <w:trHeight w:val="270"/>
        </w:trPr>
        <w:tc>
          <w:tcPr>
            <w:tcW w:w="7665" w:type="dxa"/>
            <w:gridSpan w:val="8"/>
            <w:tcBorders>
              <w:top w:val="single" w:sz="8" w:space="0" w:color="auto"/>
              <w:left w:val="single" w:sz="8" w:space="0" w:color="auto"/>
              <w:bottom w:val="nil"/>
              <w:right w:val="nil"/>
            </w:tcBorders>
            <w:shd w:val="clear" w:color="000000" w:fill="FFFFFF"/>
            <w:vAlign w:val="center"/>
          </w:tcPr>
          <w:p w:rsidR="00255E13" w:rsidRPr="00F849C3" w:rsidRDefault="00255E13" w:rsidP="00895B36">
            <w:pPr>
              <w:rPr>
                <w:b/>
                <w:bCs/>
                <w:sz w:val="18"/>
                <w:szCs w:val="18"/>
              </w:rPr>
            </w:pPr>
            <w:r w:rsidRPr="00F849C3">
              <w:rPr>
                <w:b/>
                <w:bCs/>
                <w:sz w:val="18"/>
                <w:szCs w:val="18"/>
              </w:rPr>
              <w:t>1- Agroenvironmentá</w:t>
            </w:r>
            <w:r>
              <w:rPr>
                <w:b/>
                <w:bCs/>
                <w:sz w:val="18"/>
                <w:szCs w:val="18"/>
              </w:rPr>
              <w:t>lno-klimatické opatrenie (čl. 28</w:t>
            </w:r>
            <w:r w:rsidRPr="00F849C3">
              <w:rPr>
                <w:b/>
                <w:bCs/>
                <w:sz w:val="18"/>
                <w:szCs w:val="18"/>
              </w:rPr>
              <w:t>)</w:t>
            </w:r>
          </w:p>
        </w:tc>
        <w:tc>
          <w:tcPr>
            <w:tcW w:w="1134" w:type="dxa"/>
            <w:gridSpan w:val="2"/>
            <w:tcBorders>
              <w:top w:val="nil"/>
              <w:left w:val="single" w:sz="4" w:space="0" w:color="auto"/>
              <w:bottom w:val="nil"/>
              <w:right w:val="single" w:sz="4" w:space="0" w:color="auto"/>
            </w:tcBorders>
            <w:shd w:val="clear" w:color="000000" w:fill="FFFFFF"/>
            <w:vAlign w:val="center"/>
          </w:tcPr>
          <w:p w:rsidR="00255E13" w:rsidRPr="00F849C3" w:rsidRDefault="00255E13" w:rsidP="00895B36">
            <w:pPr>
              <w:jc w:val="center"/>
              <w:rPr>
                <w:b/>
                <w:bCs/>
                <w:sz w:val="18"/>
                <w:szCs w:val="18"/>
              </w:rPr>
            </w:pPr>
            <w:r w:rsidRPr="00F849C3">
              <w:rPr>
                <w:b/>
                <w:bCs/>
                <w:sz w:val="18"/>
                <w:szCs w:val="18"/>
              </w:rPr>
              <w:t> </w:t>
            </w:r>
          </w:p>
        </w:tc>
        <w:tc>
          <w:tcPr>
            <w:tcW w:w="3260" w:type="dxa"/>
            <w:gridSpan w:val="6"/>
            <w:tcBorders>
              <w:top w:val="nil"/>
              <w:left w:val="nil"/>
              <w:bottom w:val="nil"/>
              <w:right w:val="single" w:sz="4" w:space="0" w:color="auto"/>
            </w:tcBorders>
            <w:shd w:val="clear" w:color="000000" w:fill="FFFFFF"/>
            <w:vAlign w:val="center"/>
          </w:tcPr>
          <w:p w:rsidR="00255E13" w:rsidRPr="00F849C3" w:rsidRDefault="00255E13" w:rsidP="00895B36">
            <w:pPr>
              <w:jc w:val="center"/>
              <w:rPr>
                <w:sz w:val="18"/>
                <w:szCs w:val="18"/>
              </w:rPr>
            </w:pPr>
            <w:r w:rsidRPr="00F849C3">
              <w:rPr>
                <w:sz w:val="18"/>
                <w:szCs w:val="18"/>
              </w:rPr>
              <w:t> </w:t>
            </w:r>
          </w:p>
        </w:tc>
        <w:tc>
          <w:tcPr>
            <w:tcW w:w="1559" w:type="dxa"/>
            <w:tcBorders>
              <w:top w:val="nil"/>
              <w:left w:val="nil"/>
              <w:bottom w:val="nil"/>
              <w:right w:val="single" w:sz="4" w:space="0" w:color="auto"/>
            </w:tcBorders>
            <w:shd w:val="clear" w:color="000000" w:fill="FFFFFF"/>
            <w:vAlign w:val="center"/>
          </w:tcPr>
          <w:p w:rsidR="00255E13" w:rsidRPr="00F849C3" w:rsidRDefault="00255E13" w:rsidP="00895B36">
            <w:pPr>
              <w:jc w:val="center"/>
              <w:rPr>
                <w:sz w:val="18"/>
                <w:szCs w:val="18"/>
              </w:rPr>
            </w:pPr>
            <w:r w:rsidRPr="00F849C3">
              <w:rPr>
                <w:sz w:val="18"/>
                <w:szCs w:val="18"/>
              </w:rPr>
              <w:t> </w:t>
            </w:r>
          </w:p>
        </w:tc>
      </w:tr>
      <w:tr w:rsidR="00255E13" w:rsidRPr="00F849C3" w:rsidTr="00895B36">
        <w:trPr>
          <w:trHeight w:val="616"/>
        </w:trPr>
        <w:tc>
          <w:tcPr>
            <w:tcW w:w="2278" w:type="dxa"/>
            <w:tcBorders>
              <w:top w:val="single" w:sz="8" w:space="0" w:color="auto"/>
              <w:left w:val="single" w:sz="8" w:space="0" w:color="auto"/>
              <w:bottom w:val="single" w:sz="4" w:space="0" w:color="auto"/>
              <w:right w:val="single" w:sz="4" w:space="0" w:color="auto"/>
            </w:tcBorders>
            <w:shd w:val="clear" w:color="000000" w:fill="FFFFFF"/>
            <w:vAlign w:val="center"/>
          </w:tcPr>
          <w:p w:rsidR="00255E13" w:rsidRPr="00F849C3" w:rsidRDefault="00255E13" w:rsidP="00255E13">
            <w:pPr>
              <w:jc w:val="left"/>
              <w:rPr>
                <w:b/>
                <w:bCs/>
                <w:sz w:val="18"/>
                <w:szCs w:val="18"/>
              </w:rPr>
            </w:pPr>
            <w:r w:rsidRPr="00F849C3">
              <w:rPr>
                <w:b/>
                <w:bCs/>
                <w:sz w:val="18"/>
                <w:szCs w:val="18"/>
              </w:rPr>
              <w:t>Schéma 1: Integrovaná produkcia</w:t>
            </w:r>
          </w:p>
        </w:tc>
        <w:tc>
          <w:tcPr>
            <w:tcW w:w="2410" w:type="dxa"/>
            <w:gridSpan w:val="3"/>
            <w:tcBorders>
              <w:top w:val="single" w:sz="8" w:space="0" w:color="auto"/>
              <w:left w:val="nil"/>
              <w:bottom w:val="single" w:sz="4" w:space="0" w:color="auto"/>
              <w:right w:val="nil"/>
            </w:tcBorders>
            <w:shd w:val="clear" w:color="000000" w:fill="FFFFFF"/>
          </w:tcPr>
          <w:p w:rsidR="00255E13" w:rsidRPr="00F849C3" w:rsidRDefault="00255E13" w:rsidP="00255E13">
            <w:pPr>
              <w:jc w:val="left"/>
              <w:rPr>
                <w:sz w:val="18"/>
                <w:szCs w:val="18"/>
              </w:rPr>
            </w:pPr>
            <w:r w:rsidRPr="00F849C3">
              <w:rPr>
                <w:sz w:val="18"/>
                <w:szCs w:val="18"/>
              </w:rPr>
              <w:t>Integrovaná produkcia</w:t>
            </w:r>
          </w:p>
        </w:tc>
        <w:tc>
          <w:tcPr>
            <w:tcW w:w="1418" w:type="dxa"/>
            <w:tcBorders>
              <w:top w:val="single" w:sz="8" w:space="0" w:color="auto"/>
              <w:left w:val="single" w:sz="4" w:space="0" w:color="auto"/>
              <w:bottom w:val="single" w:sz="4" w:space="0" w:color="auto"/>
              <w:right w:val="single" w:sz="8" w:space="0" w:color="auto"/>
            </w:tcBorders>
            <w:shd w:val="clear" w:color="000000" w:fill="FFFFFF"/>
            <w:noWrap/>
            <w:vAlign w:val="center"/>
          </w:tcPr>
          <w:p w:rsidR="00255E13" w:rsidRPr="00F849C3" w:rsidRDefault="00255E13" w:rsidP="00895B36">
            <w:pPr>
              <w:jc w:val="right"/>
              <w:rPr>
                <w:sz w:val="18"/>
                <w:szCs w:val="18"/>
              </w:rPr>
            </w:pPr>
            <w:r>
              <w:rPr>
                <w:sz w:val="18"/>
                <w:szCs w:val="18"/>
              </w:rPr>
              <w:t>45 221 5</w:t>
            </w:r>
            <w:r w:rsidRPr="00F849C3">
              <w:rPr>
                <w:sz w:val="18"/>
                <w:szCs w:val="18"/>
              </w:rPr>
              <w:t>00</w:t>
            </w:r>
          </w:p>
        </w:tc>
        <w:tc>
          <w:tcPr>
            <w:tcW w:w="1559" w:type="dxa"/>
            <w:gridSpan w:val="3"/>
            <w:tcBorders>
              <w:top w:val="single" w:sz="8" w:space="0" w:color="auto"/>
              <w:left w:val="nil"/>
              <w:bottom w:val="single" w:sz="4" w:space="0" w:color="auto"/>
              <w:right w:val="nil"/>
            </w:tcBorders>
            <w:shd w:val="clear" w:color="000000" w:fill="FFFFFF"/>
            <w:noWrap/>
            <w:vAlign w:val="center"/>
          </w:tcPr>
          <w:p w:rsidR="00255E13" w:rsidRPr="00F849C3" w:rsidRDefault="00255E13" w:rsidP="00895B36">
            <w:pPr>
              <w:jc w:val="right"/>
              <w:rPr>
                <w:sz w:val="18"/>
                <w:szCs w:val="18"/>
              </w:rPr>
            </w:pPr>
            <w:r w:rsidRPr="00F849C3">
              <w:rPr>
                <w:sz w:val="18"/>
                <w:szCs w:val="18"/>
              </w:rPr>
              <w:t>2</w:t>
            </w:r>
            <w:r>
              <w:rPr>
                <w:sz w:val="18"/>
                <w:szCs w:val="18"/>
              </w:rPr>
              <w:t>1 150</w:t>
            </w:r>
          </w:p>
        </w:tc>
        <w:tc>
          <w:tcPr>
            <w:tcW w:w="1134" w:type="dxa"/>
            <w:gridSpan w:val="2"/>
            <w:tcBorders>
              <w:top w:val="single" w:sz="8" w:space="0" w:color="auto"/>
              <w:left w:val="single" w:sz="8" w:space="0" w:color="auto"/>
              <w:bottom w:val="single" w:sz="4" w:space="0" w:color="auto"/>
              <w:right w:val="single" w:sz="4" w:space="0" w:color="auto"/>
            </w:tcBorders>
            <w:shd w:val="clear" w:color="000000" w:fill="FFFFFF"/>
            <w:vAlign w:val="center"/>
          </w:tcPr>
          <w:p w:rsidR="00255E13" w:rsidRPr="00F849C3" w:rsidRDefault="00255E13" w:rsidP="00895B36">
            <w:pPr>
              <w:jc w:val="center"/>
              <w:rPr>
                <w:sz w:val="18"/>
                <w:szCs w:val="18"/>
              </w:rPr>
            </w:pPr>
            <w:r w:rsidRPr="00F849C3">
              <w:rPr>
                <w:sz w:val="18"/>
                <w:szCs w:val="18"/>
              </w:rPr>
              <w:t>√</w:t>
            </w:r>
          </w:p>
        </w:tc>
        <w:tc>
          <w:tcPr>
            <w:tcW w:w="850" w:type="dxa"/>
            <w:gridSpan w:val="3"/>
            <w:tcBorders>
              <w:top w:val="single" w:sz="8" w:space="0" w:color="auto"/>
              <w:left w:val="nil"/>
              <w:bottom w:val="single" w:sz="4" w:space="0" w:color="auto"/>
              <w:right w:val="single" w:sz="4" w:space="0" w:color="auto"/>
            </w:tcBorders>
            <w:shd w:val="clear" w:color="000000" w:fill="FFFFFF"/>
            <w:vAlign w:val="center"/>
          </w:tcPr>
          <w:p w:rsidR="00255E13" w:rsidRPr="00F849C3" w:rsidRDefault="00255E13" w:rsidP="00895B36">
            <w:pPr>
              <w:jc w:val="center"/>
              <w:rPr>
                <w:sz w:val="18"/>
                <w:szCs w:val="18"/>
              </w:rPr>
            </w:pPr>
            <w:r w:rsidRPr="00F849C3">
              <w:rPr>
                <w:sz w:val="18"/>
                <w:szCs w:val="18"/>
              </w:rPr>
              <w:t>√</w:t>
            </w:r>
          </w:p>
        </w:tc>
        <w:tc>
          <w:tcPr>
            <w:tcW w:w="851" w:type="dxa"/>
            <w:tcBorders>
              <w:top w:val="single" w:sz="8" w:space="0" w:color="auto"/>
              <w:left w:val="nil"/>
              <w:bottom w:val="single" w:sz="4" w:space="0" w:color="auto"/>
              <w:right w:val="nil"/>
            </w:tcBorders>
            <w:shd w:val="clear" w:color="000000" w:fill="FFFFFF"/>
            <w:vAlign w:val="center"/>
          </w:tcPr>
          <w:p w:rsidR="00255E13" w:rsidRPr="00F849C3" w:rsidRDefault="00255E13" w:rsidP="00895B36">
            <w:pPr>
              <w:jc w:val="center"/>
              <w:rPr>
                <w:sz w:val="18"/>
                <w:szCs w:val="18"/>
              </w:rPr>
            </w:pPr>
            <w:r w:rsidRPr="00F849C3">
              <w:rPr>
                <w:sz w:val="18"/>
                <w:szCs w:val="18"/>
              </w:rPr>
              <w:t> </w:t>
            </w:r>
          </w:p>
        </w:tc>
        <w:tc>
          <w:tcPr>
            <w:tcW w:w="1559" w:type="dxa"/>
            <w:gridSpan w:val="2"/>
            <w:tcBorders>
              <w:top w:val="single" w:sz="8" w:space="0" w:color="auto"/>
              <w:left w:val="single" w:sz="8" w:space="0" w:color="auto"/>
              <w:bottom w:val="single" w:sz="4" w:space="0" w:color="auto"/>
              <w:right w:val="single" w:sz="4" w:space="0" w:color="auto"/>
            </w:tcBorders>
            <w:shd w:val="clear" w:color="000000" w:fill="FFFFFF"/>
            <w:vAlign w:val="center"/>
          </w:tcPr>
          <w:p w:rsidR="00255E13" w:rsidRPr="00F849C3" w:rsidRDefault="00255E13" w:rsidP="00895B36">
            <w:pPr>
              <w:jc w:val="center"/>
              <w:rPr>
                <w:sz w:val="18"/>
                <w:szCs w:val="18"/>
              </w:rPr>
            </w:pPr>
            <w:r w:rsidRPr="00F849C3">
              <w:rPr>
                <w:sz w:val="18"/>
                <w:szCs w:val="18"/>
              </w:rPr>
              <w:t>√</w:t>
            </w:r>
          </w:p>
        </w:tc>
        <w:tc>
          <w:tcPr>
            <w:tcW w:w="1559" w:type="dxa"/>
            <w:tcBorders>
              <w:top w:val="single" w:sz="8" w:space="0" w:color="auto"/>
              <w:left w:val="nil"/>
              <w:bottom w:val="single" w:sz="4" w:space="0" w:color="auto"/>
              <w:right w:val="single" w:sz="8" w:space="0" w:color="auto"/>
            </w:tcBorders>
            <w:shd w:val="clear" w:color="000000" w:fill="FFFFFF"/>
            <w:vAlign w:val="center"/>
          </w:tcPr>
          <w:p w:rsidR="00255E13" w:rsidRPr="00F849C3" w:rsidRDefault="00255E13" w:rsidP="00895B36">
            <w:pPr>
              <w:jc w:val="center"/>
              <w:rPr>
                <w:sz w:val="18"/>
                <w:szCs w:val="18"/>
              </w:rPr>
            </w:pPr>
            <w:r w:rsidRPr="00F849C3">
              <w:rPr>
                <w:sz w:val="18"/>
                <w:szCs w:val="18"/>
              </w:rPr>
              <w:t> </w:t>
            </w:r>
          </w:p>
        </w:tc>
      </w:tr>
      <w:tr w:rsidR="00255E13" w:rsidRPr="00F849C3" w:rsidTr="00895B36">
        <w:trPr>
          <w:trHeight w:val="695"/>
        </w:trPr>
        <w:tc>
          <w:tcPr>
            <w:tcW w:w="2278" w:type="dxa"/>
            <w:tcBorders>
              <w:top w:val="nil"/>
              <w:left w:val="single" w:sz="8" w:space="0" w:color="auto"/>
              <w:bottom w:val="single" w:sz="4" w:space="0" w:color="auto"/>
              <w:right w:val="single" w:sz="4" w:space="0" w:color="auto"/>
            </w:tcBorders>
            <w:shd w:val="clear" w:color="000000" w:fill="FFFFFF"/>
            <w:vAlign w:val="center"/>
          </w:tcPr>
          <w:p w:rsidR="00255E13" w:rsidRPr="00F849C3" w:rsidRDefault="00255E13" w:rsidP="00255E13">
            <w:pPr>
              <w:jc w:val="left"/>
              <w:rPr>
                <w:b/>
                <w:bCs/>
                <w:sz w:val="18"/>
                <w:szCs w:val="18"/>
              </w:rPr>
            </w:pPr>
            <w:r w:rsidRPr="00F849C3">
              <w:rPr>
                <w:b/>
                <w:bCs/>
                <w:sz w:val="18"/>
                <w:szCs w:val="18"/>
              </w:rPr>
              <w:t>Schéma 2: Ochrana proti erózii pôdy</w:t>
            </w:r>
          </w:p>
        </w:tc>
        <w:tc>
          <w:tcPr>
            <w:tcW w:w="2410" w:type="dxa"/>
            <w:gridSpan w:val="3"/>
            <w:tcBorders>
              <w:top w:val="single" w:sz="8" w:space="0" w:color="auto"/>
              <w:left w:val="nil"/>
              <w:bottom w:val="single" w:sz="4" w:space="0" w:color="auto"/>
              <w:right w:val="nil"/>
            </w:tcBorders>
            <w:shd w:val="clear" w:color="000000" w:fill="FFFFFF"/>
          </w:tcPr>
          <w:p w:rsidR="00255E13" w:rsidRPr="00F849C3" w:rsidRDefault="00255E13" w:rsidP="00255E13">
            <w:pPr>
              <w:jc w:val="left"/>
              <w:rPr>
                <w:sz w:val="18"/>
                <w:szCs w:val="18"/>
              </w:rPr>
            </w:pPr>
            <w:r w:rsidRPr="00F849C3">
              <w:rPr>
                <w:sz w:val="18"/>
                <w:szCs w:val="18"/>
              </w:rPr>
              <w:t xml:space="preserve">Pokryv pôdy, techniky orby, plytká orba, ochranné poľnohospodárstvo </w:t>
            </w:r>
          </w:p>
        </w:tc>
        <w:tc>
          <w:tcPr>
            <w:tcW w:w="1418" w:type="dxa"/>
            <w:tcBorders>
              <w:top w:val="nil"/>
              <w:left w:val="single" w:sz="4" w:space="0" w:color="auto"/>
              <w:bottom w:val="single" w:sz="4" w:space="0" w:color="auto"/>
              <w:right w:val="single" w:sz="8" w:space="0" w:color="auto"/>
            </w:tcBorders>
            <w:shd w:val="clear" w:color="000000" w:fill="FFFFFF"/>
            <w:noWrap/>
            <w:vAlign w:val="center"/>
          </w:tcPr>
          <w:p w:rsidR="00255E13" w:rsidRPr="00F849C3" w:rsidRDefault="00255E13" w:rsidP="00895B36">
            <w:pPr>
              <w:jc w:val="right"/>
              <w:rPr>
                <w:sz w:val="18"/>
                <w:szCs w:val="18"/>
              </w:rPr>
            </w:pPr>
            <w:r>
              <w:rPr>
                <w:sz w:val="18"/>
                <w:szCs w:val="18"/>
              </w:rPr>
              <w:t>12</w:t>
            </w:r>
            <w:r w:rsidRPr="00F849C3">
              <w:rPr>
                <w:sz w:val="18"/>
                <w:szCs w:val="18"/>
              </w:rPr>
              <w:t xml:space="preserve"> </w:t>
            </w:r>
            <w:r>
              <w:rPr>
                <w:sz w:val="18"/>
                <w:szCs w:val="18"/>
              </w:rPr>
              <w:t>5</w:t>
            </w:r>
            <w:r w:rsidRPr="00F849C3">
              <w:rPr>
                <w:sz w:val="18"/>
                <w:szCs w:val="18"/>
              </w:rPr>
              <w:t>00 000</w:t>
            </w:r>
          </w:p>
        </w:tc>
        <w:tc>
          <w:tcPr>
            <w:tcW w:w="1559" w:type="dxa"/>
            <w:gridSpan w:val="3"/>
            <w:tcBorders>
              <w:top w:val="nil"/>
              <w:left w:val="nil"/>
              <w:bottom w:val="single" w:sz="4" w:space="0" w:color="auto"/>
              <w:right w:val="nil"/>
            </w:tcBorders>
            <w:shd w:val="clear" w:color="000000" w:fill="FFFFFF"/>
            <w:noWrap/>
            <w:vAlign w:val="center"/>
          </w:tcPr>
          <w:p w:rsidR="00255E13" w:rsidRPr="00F849C3" w:rsidRDefault="00255E13" w:rsidP="00895B36">
            <w:pPr>
              <w:jc w:val="right"/>
              <w:rPr>
                <w:sz w:val="18"/>
                <w:szCs w:val="18"/>
              </w:rPr>
            </w:pPr>
            <w:r w:rsidRPr="00F849C3">
              <w:rPr>
                <w:sz w:val="18"/>
                <w:szCs w:val="18"/>
              </w:rPr>
              <w:t>50000</w:t>
            </w:r>
          </w:p>
        </w:tc>
        <w:tc>
          <w:tcPr>
            <w:tcW w:w="1134" w:type="dxa"/>
            <w:gridSpan w:val="2"/>
            <w:tcBorders>
              <w:top w:val="nil"/>
              <w:left w:val="single" w:sz="8" w:space="0" w:color="auto"/>
              <w:bottom w:val="single" w:sz="4" w:space="0" w:color="auto"/>
              <w:right w:val="single" w:sz="4" w:space="0" w:color="auto"/>
            </w:tcBorders>
            <w:shd w:val="clear" w:color="000000" w:fill="FFFFFF"/>
            <w:vAlign w:val="center"/>
          </w:tcPr>
          <w:p w:rsidR="00255E13" w:rsidRPr="00F849C3" w:rsidRDefault="00255E13" w:rsidP="00895B36">
            <w:pPr>
              <w:jc w:val="center"/>
              <w:rPr>
                <w:sz w:val="18"/>
                <w:szCs w:val="18"/>
              </w:rPr>
            </w:pPr>
            <w:r w:rsidRPr="00F849C3">
              <w:rPr>
                <w:sz w:val="18"/>
                <w:szCs w:val="18"/>
              </w:rPr>
              <w:t> </w:t>
            </w:r>
          </w:p>
        </w:tc>
        <w:tc>
          <w:tcPr>
            <w:tcW w:w="850" w:type="dxa"/>
            <w:gridSpan w:val="3"/>
            <w:tcBorders>
              <w:top w:val="nil"/>
              <w:left w:val="nil"/>
              <w:bottom w:val="single" w:sz="4" w:space="0" w:color="auto"/>
              <w:right w:val="single" w:sz="4" w:space="0" w:color="auto"/>
            </w:tcBorders>
            <w:shd w:val="clear" w:color="000000" w:fill="FFFFFF"/>
            <w:vAlign w:val="center"/>
          </w:tcPr>
          <w:p w:rsidR="00255E13" w:rsidRPr="00F849C3" w:rsidRDefault="00255E13" w:rsidP="00895B36">
            <w:pPr>
              <w:jc w:val="center"/>
              <w:rPr>
                <w:sz w:val="18"/>
                <w:szCs w:val="18"/>
              </w:rPr>
            </w:pPr>
            <w:r w:rsidRPr="00F849C3">
              <w:rPr>
                <w:sz w:val="18"/>
                <w:szCs w:val="18"/>
              </w:rPr>
              <w:t>√</w:t>
            </w:r>
          </w:p>
        </w:tc>
        <w:tc>
          <w:tcPr>
            <w:tcW w:w="851" w:type="dxa"/>
            <w:tcBorders>
              <w:top w:val="nil"/>
              <w:left w:val="nil"/>
              <w:bottom w:val="single" w:sz="4" w:space="0" w:color="auto"/>
              <w:right w:val="nil"/>
            </w:tcBorders>
            <w:shd w:val="clear" w:color="000000" w:fill="FFFFFF"/>
            <w:vAlign w:val="center"/>
          </w:tcPr>
          <w:p w:rsidR="00255E13" w:rsidRPr="00F849C3" w:rsidRDefault="00255E13" w:rsidP="00895B36">
            <w:pPr>
              <w:jc w:val="center"/>
              <w:rPr>
                <w:sz w:val="18"/>
                <w:szCs w:val="18"/>
              </w:rPr>
            </w:pPr>
            <w:r w:rsidRPr="00F849C3">
              <w:rPr>
                <w:sz w:val="18"/>
                <w:szCs w:val="18"/>
              </w:rPr>
              <w:t>√</w:t>
            </w:r>
          </w:p>
        </w:tc>
        <w:tc>
          <w:tcPr>
            <w:tcW w:w="1559" w:type="dxa"/>
            <w:gridSpan w:val="2"/>
            <w:tcBorders>
              <w:top w:val="nil"/>
              <w:left w:val="single" w:sz="8" w:space="0" w:color="auto"/>
              <w:bottom w:val="single" w:sz="4" w:space="0" w:color="auto"/>
              <w:right w:val="single" w:sz="4" w:space="0" w:color="auto"/>
            </w:tcBorders>
            <w:shd w:val="clear" w:color="000000" w:fill="FFFFFF"/>
            <w:vAlign w:val="center"/>
          </w:tcPr>
          <w:p w:rsidR="00255E13" w:rsidRPr="00F849C3" w:rsidRDefault="00255E13" w:rsidP="00895B36">
            <w:pPr>
              <w:jc w:val="center"/>
              <w:rPr>
                <w:sz w:val="18"/>
                <w:szCs w:val="18"/>
              </w:rPr>
            </w:pPr>
            <w:r w:rsidRPr="00F849C3">
              <w:rPr>
                <w:sz w:val="18"/>
                <w:szCs w:val="18"/>
              </w:rPr>
              <w:t>√</w:t>
            </w:r>
          </w:p>
        </w:tc>
        <w:tc>
          <w:tcPr>
            <w:tcW w:w="1559" w:type="dxa"/>
            <w:tcBorders>
              <w:top w:val="nil"/>
              <w:left w:val="nil"/>
              <w:bottom w:val="single" w:sz="4" w:space="0" w:color="auto"/>
              <w:right w:val="single" w:sz="8" w:space="0" w:color="auto"/>
            </w:tcBorders>
            <w:shd w:val="clear" w:color="000000" w:fill="FFFFFF"/>
            <w:vAlign w:val="center"/>
          </w:tcPr>
          <w:p w:rsidR="00255E13" w:rsidRPr="00F849C3" w:rsidRDefault="00255E13" w:rsidP="00895B36">
            <w:pPr>
              <w:jc w:val="center"/>
              <w:rPr>
                <w:sz w:val="18"/>
                <w:szCs w:val="18"/>
              </w:rPr>
            </w:pPr>
            <w:r w:rsidRPr="00F849C3">
              <w:rPr>
                <w:sz w:val="18"/>
                <w:szCs w:val="18"/>
              </w:rPr>
              <w:t>√</w:t>
            </w:r>
          </w:p>
        </w:tc>
      </w:tr>
      <w:tr w:rsidR="00255E13" w:rsidRPr="00F849C3" w:rsidTr="00895B36">
        <w:trPr>
          <w:trHeight w:val="1542"/>
        </w:trPr>
        <w:tc>
          <w:tcPr>
            <w:tcW w:w="2278" w:type="dxa"/>
            <w:tcBorders>
              <w:top w:val="nil"/>
              <w:left w:val="single" w:sz="8" w:space="0" w:color="auto"/>
              <w:bottom w:val="single" w:sz="4" w:space="0" w:color="auto"/>
              <w:right w:val="single" w:sz="4" w:space="0" w:color="auto"/>
            </w:tcBorders>
            <w:shd w:val="clear" w:color="000000" w:fill="FFFFFF"/>
            <w:vAlign w:val="center"/>
          </w:tcPr>
          <w:p w:rsidR="00255E13" w:rsidRPr="00F849C3" w:rsidRDefault="00255E13" w:rsidP="00255E13">
            <w:pPr>
              <w:jc w:val="left"/>
              <w:rPr>
                <w:b/>
                <w:bCs/>
                <w:sz w:val="18"/>
                <w:szCs w:val="18"/>
              </w:rPr>
            </w:pPr>
            <w:r w:rsidRPr="00F849C3">
              <w:rPr>
                <w:b/>
                <w:bCs/>
                <w:sz w:val="18"/>
                <w:szCs w:val="18"/>
              </w:rPr>
              <w:t>Schéma 3: Ochrana biotopov</w:t>
            </w:r>
            <w:r>
              <w:rPr>
                <w:b/>
                <w:bCs/>
                <w:sz w:val="18"/>
                <w:szCs w:val="18"/>
              </w:rPr>
              <w:t xml:space="preserve"> TTP</w:t>
            </w:r>
          </w:p>
        </w:tc>
        <w:tc>
          <w:tcPr>
            <w:tcW w:w="2410" w:type="dxa"/>
            <w:gridSpan w:val="3"/>
            <w:tcBorders>
              <w:top w:val="single" w:sz="8" w:space="0" w:color="auto"/>
              <w:left w:val="nil"/>
              <w:bottom w:val="single" w:sz="4" w:space="0" w:color="auto"/>
              <w:right w:val="nil"/>
            </w:tcBorders>
            <w:shd w:val="clear" w:color="000000" w:fill="FFFFFF"/>
          </w:tcPr>
          <w:p w:rsidR="00255E13" w:rsidRPr="00F849C3" w:rsidRDefault="00255E13" w:rsidP="00255E13">
            <w:pPr>
              <w:jc w:val="left"/>
              <w:rPr>
                <w:sz w:val="18"/>
                <w:szCs w:val="18"/>
              </w:rPr>
            </w:pPr>
            <w:r w:rsidRPr="00F849C3">
              <w:rPr>
                <w:sz w:val="18"/>
                <w:szCs w:val="18"/>
              </w:rPr>
              <w:t>Údržba HNV na ornej pôde a TTP (napr. spôsob zberu úrody, ručná práca, ponechanie strniska na ornej pôde počas zimy ), zavedenie  extenzívneho spásania, konverzia ornej pôdy na TTP</w:t>
            </w:r>
          </w:p>
        </w:tc>
        <w:tc>
          <w:tcPr>
            <w:tcW w:w="1418" w:type="dxa"/>
            <w:tcBorders>
              <w:top w:val="nil"/>
              <w:left w:val="single" w:sz="4" w:space="0" w:color="auto"/>
              <w:bottom w:val="single" w:sz="4" w:space="0" w:color="auto"/>
              <w:right w:val="single" w:sz="8" w:space="0" w:color="auto"/>
            </w:tcBorders>
            <w:shd w:val="clear" w:color="000000" w:fill="FFFFFF"/>
            <w:noWrap/>
            <w:vAlign w:val="center"/>
          </w:tcPr>
          <w:p w:rsidR="00255E13" w:rsidRPr="00F849C3" w:rsidRDefault="00255E13" w:rsidP="00895B36">
            <w:pPr>
              <w:jc w:val="right"/>
              <w:rPr>
                <w:sz w:val="18"/>
                <w:szCs w:val="18"/>
              </w:rPr>
            </w:pPr>
            <w:r>
              <w:rPr>
                <w:sz w:val="18"/>
                <w:szCs w:val="18"/>
              </w:rPr>
              <w:t>59 449 100</w:t>
            </w:r>
          </w:p>
        </w:tc>
        <w:tc>
          <w:tcPr>
            <w:tcW w:w="1559" w:type="dxa"/>
            <w:gridSpan w:val="3"/>
            <w:tcBorders>
              <w:top w:val="nil"/>
              <w:left w:val="nil"/>
              <w:bottom w:val="single" w:sz="4" w:space="0" w:color="auto"/>
              <w:right w:val="nil"/>
            </w:tcBorders>
            <w:shd w:val="clear" w:color="000000" w:fill="FFFFFF"/>
            <w:noWrap/>
            <w:vAlign w:val="center"/>
          </w:tcPr>
          <w:p w:rsidR="00255E13" w:rsidRPr="00F849C3" w:rsidRDefault="00255E13" w:rsidP="00895B36">
            <w:pPr>
              <w:jc w:val="right"/>
              <w:rPr>
                <w:sz w:val="18"/>
                <w:szCs w:val="18"/>
              </w:rPr>
            </w:pPr>
            <w:r>
              <w:rPr>
                <w:sz w:val="18"/>
                <w:szCs w:val="18"/>
              </w:rPr>
              <w:t>138 000</w:t>
            </w:r>
          </w:p>
        </w:tc>
        <w:tc>
          <w:tcPr>
            <w:tcW w:w="1134" w:type="dxa"/>
            <w:gridSpan w:val="2"/>
            <w:tcBorders>
              <w:top w:val="nil"/>
              <w:left w:val="single" w:sz="8" w:space="0" w:color="auto"/>
              <w:bottom w:val="single" w:sz="4" w:space="0" w:color="auto"/>
              <w:right w:val="single" w:sz="4" w:space="0" w:color="auto"/>
            </w:tcBorders>
            <w:shd w:val="clear" w:color="000000" w:fill="FFFFFF"/>
            <w:vAlign w:val="center"/>
          </w:tcPr>
          <w:p w:rsidR="00255E13" w:rsidRPr="00F849C3" w:rsidRDefault="00255E13" w:rsidP="00895B36">
            <w:pPr>
              <w:jc w:val="center"/>
              <w:rPr>
                <w:sz w:val="18"/>
                <w:szCs w:val="18"/>
              </w:rPr>
            </w:pPr>
            <w:r w:rsidRPr="00F849C3">
              <w:rPr>
                <w:sz w:val="18"/>
                <w:szCs w:val="18"/>
              </w:rPr>
              <w:t>√</w:t>
            </w:r>
          </w:p>
        </w:tc>
        <w:tc>
          <w:tcPr>
            <w:tcW w:w="850" w:type="dxa"/>
            <w:gridSpan w:val="3"/>
            <w:tcBorders>
              <w:top w:val="nil"/>
              <w:left w:val="nil"/>
              <w:bottom w:val="single" w:sz="4" w:space="0" w:color="auto"/>
              <w:right w:val="single" w:sz="4" w:space="0" w:color="auto"/>
            </w:tcBorders>
            <w:shd w:val="clear" w:color="000000" w:fill="FFFFFF"/>
            <w:vAlign w:val="center"/>
          </w:tcPr>
          <w:p w:rsidR="00255E13" w:rsidRPr="00F849C3" w:rsidRDefault="00255E13" w:rsidP="00895B36">
            <w:pPr>
              <w:jc w:val="center"/>
              <w:rPr>
                <w:sz w:val="18"/>
                <w:szCs w:val="18"/>
              </w:rPr>
            </w:pPr>
            <w:r w:rsidRPr="00F849C3">
              <w:rPr>
                <w:sz w:val="18"/>
                <w:szCs w:val="18"/>
              </w:rPr>
              <w:t>√</w:t>
            </w:r>
          </w:p>
        </w:tc>
        <w:tc>
          <w:tcPr>
            <w:tcW w:w="851" w:type="dxa"/>
            <w:tcBorders>
              <w:top w:val="nil"/>
              <w:left w:val="nil"/>
              <w:bottom w:val="single" w:sz="4" w:space="0" w:color="auto"/>
              <w:right w:val="nil"/>
            </w:tcBorders>
            <w:shd w:val="clear" w:color="000000" w:fill="FFFFFF"/>
            <w:vAlign w:val="center"/>
          </w:tcPr>
          <w:p w:rsidR="00255E13" w:rsidRPr="00F849C3" w:rsidRDefault="00255E13" w:rsidP="00895B36">
            <w:pPr>
              <w:jc w:val="center"/>
              <w:rPr>
                <w:sz w:val="18"/>
                <w:szCs w:val="18"/>
              </w:rPr>
            </w:pPr>
            <w:r w:rsidRPr="00F849C3">
              <w:rPr>
                <w:sz w:val="18"/>
                <w:szCs w:val="18"/>
              </w:rPr>
              <w:t>√</w:t>
            </w:r>
          </w:p>
        </w:tc>
        <w:tc>
          <w:tcPr>
            <w:tcW w:w="1559" w:type="dxa"/>
            <w:gridSpan w:val="2"/>
            <w:tcBorders>
              <w:top w:val="nil"/>
              <w:left w:val="single" w:sz="8" w:space="0" w:color="auto"/>
              <w:bottom w:val="single" w:sz="4" w:space="0" w:color="auto"/>
              <w:right w:val="single" w:sz="4" w:space="0" w:color="auto"/>
            </w:tcBorders>
            <w:shd w:val="clear" w:color="000000" w:fill="FFFFFF"/>
            <w:vAlign w:val="center"/>
          </w:tcPr>
          <w:p w:rsidR="00255E13" w:rsidRPr="00F849C3" w:rsidRDefault="00255E13" w:rsidP="00895B36">
            <w:pPr>
              <w:jc w:val="center"/>
              <w:rPr>
                <w:sz w:val="18"/>
                <w:szCs w:val="18"/>
              </w:rPr>
            </w:pPr>
            <w:r w:rsidRPr="00F849C3">
              <w:rPr>
                <w:sz w:val="18"/>
                <w:szCs w:val="18"/>
              </w:rPr>
              <w:t>√</w:t>
            </w:r>
          </w:p>
        </w:tc>
        <w:tc>
          <w:tcPr>
            <w:tcW w:w="1559" w:type="dxa"/>
            <w:tcBorders>
              <w:top w:val="nil"/>
              <w:left w:val="nil"/>
              <w:bottom w:val="single" w:sz="4" w:space="0" w:color="auto"/>
              <w:right w:val="single" w:sz="8" w:space="0" w:color="auto"/>
            </w:tcBorders>
            <w:shd w:val="clear" w:color="000000" w:fill="FFFFFF"/>
            <w:vAlign w:val="center"/>
          </w:tcPr>
          <w:p w:rsidR="00255E13" w:rsidRPr="00F849C3" w:rsidRDefault="00255E13" w:rsidP="00895B36">
            <w:pPr>
              <w:jc w:val="center"/>
              <w:rPr>
                <w:sz w:val="18"/>
                <w:szCs w:val="18"/>
              </w:rPr>
            </w:pPr>
            <w:r w:rsidRPr="00F849C3">
              <w:rPr>
                <w:sz w:val="18"/>
                <w:szCs w:val="18"/>
              </w:rPr>
              <w:t>√</w:t>
            </w:r>
          </w:p>
        </w:tc>
      </w:tr>
      <w:tr w:rsidR="00255E13" w:rsidRPr="00F849C3" w:rsidTr="00895B36">
        <w:trPr>
          <w:trHeight w:val="969"/>
        </w:trPr>
        <w:tc>
          <w:tcPr>
            <w:tcW w:w="2278" w:type="dxa"/>
            <w:tcBorders>
              <w:top w:val="nil"/>
              <w:left w:val="single" w:sz="8" w:space="0" w:color="auto"/>
              <w:bottom w:val="single" w:sz="4" w:space="0" w:color="auto"/>
              <w:right w:val="single" w:sz="4" w:space="0" w:color="auto"/>
            </w:tcBorders>
            <w:shd w:val="clear" w:color="000000" w:fill="FFFFFF"/>
            <w:vAlign w:val="center"/>
          </w:tcPr>
          <w:p w:rsidR="00255E13" w:rsidRPr="00F849C3" w:rsidRDefault="00255E13" w:rsidP="00255E13">
            <w:pPr>
              <w:jc w:val="left"/>
              <w:rPr>
                <w:b/>
                <w:bCs/>
                <w:sz w:val="18"/>
                <w:szCs w:val="18"/>
              </w:rPr>
            </w:pPr>
            <w:r>
              <w:rPr>
                <w:b/>
                <w:bCs/>
                <w:sz w:val="18"/>
                <w:szCs w:val="18"/>
              </w:rPr>
              <w:t>Schéma 4: Multifunkčné okraje polí</w:t>
            </w:r>
          </w:p>
        </w:tc>
        <w:tc>
          <w:tcPr>
            <w:tcW w:w="2410" w:type="dxa"/>
            <w:gridSpan w:val="3"/>
            <w:tcBorders>
              <w:top w:val="single" w:sz="8" w:space="0" w:color="auto"/>
              <w:left w:val="nil"/>
              <w:bottom w:val="single" w:sz="4" w:space="0" w:color="auto"/>
              <w:right w:val="nil"/>
            </w:tcBorders>
            <w:shd w:val="clear" w:color="000000" w:fill="FFFFFF"/>
          </w:tcPr>
          <w:p w:rsidR="00255E13" w:rsidRPr="00F849C3" w:rsidRDefault="00255E13" w:rsidP="00255E13">
            <w:pPr>
              <w:jc w:val="left"/>
              <w:rPr>
                <w:sz w:val="18"/>
                <w:szCs w:val="18"/>
              </w:rPr>
            </w:pPr>
            <w:r w:rsidRPr="00413034">
              <w:rPr>
                <w:sz w:val="18"/>
                <w:szCs w:val="18"/>
              </w:rPr>
              <w:t>Tvorba, údržba ekologických funkcií (napr. okraje polí, ochranných pásiem, kvetinové pásy, živé ploty, stromy)</w:t>
            </w:r>
          </w:p>
        </w:tc>
        <w:tc>
          <w:tcPr>
            <w:tcW w:w="1418" w:type="dxa"/>
            <w:tcBorders>
              <w:top w:val="nil"/>
              <w:left w:val="single" w:sz="4" w:space="0" w:color="auto"/>
              <w:bottom w:val="single" w:sz="4" w:space="0" w:color="auto"/>
              <w:right w:val="single" w:sz="8" w:space="0" w:color="auto"/>
            </w:tcBorders>
            <w:shd w:val="clear" w:color="000000" w:fill="FFFFFF"/>
            <w:noWrap/>
            <w:vAlign w:val="center"/>
          </w:tcPr>
          <w:p w:rsidR="00255E13" w:rsidRPr="00F849C3" w:rsidDel="00413034" w:rsidRDefault="00255E13" w:rsidP="00895B36">
            <w:pPr>
              <w:jc w:val="right"/>
              <w:rPr>
                <w:sz w:val="18"/>
                <w:szCs w:val="18"/>
              </w:rPr>
            </w:pPr>
            <w:r>
              <w:rPr>
                <w:sz w:val="18"/>
                <w:szCs w:val="18"/>
              </w:rPr>
              <w:t>8 750 000</w:t>
            </w:r>
          </w:p>
        </w:tc>
        <w:tc>
          <w:tcPr>
            <w:tcW w:w="1559" w:type="dxa"/>
            <w:gridSpan w:val="3"/>
            <w:tcBorders>
              <w:top w:val="nil"/>
              <w:left w:val="nil"/>
              <w:bottom w:val="single" w:sz="4" w:space="0" w:color="auto"/>
              <w:right w:val="nil"/>
            </w:tcBorders>
            <w:shd w:val="clear" w:color="000000" w:fill="FFFFFF"/>
            <w:noWrap/>
            <w:vAlign w:val="center"/>
          </w:tcPr>
          <w:p w:rsidR="00255E13" w:rsidRPr="00F849C3" w:rsidDel="00413034" w:rsidRDefault="00255E13" w:rsidP="00895B36">
            <w:pPr>
              <w:jc w:val="right"/>
              <w:rPr>
                <w:sz w:val="18"/>
                <w:szCs w:val="18"/>
              </w:rPr>
            </w:pPr>
            <w:r>
              <w:rPr>
                <w:sz w:val="18"/>
                <w:szCs w:val="18"/>
              </w:rPr>
              <w:t>5 000</w:t>
            </w:r>
          </w:p>
        </w:tc>
        <w:tc>
          <w:tcPr>
            <w:tcW w:w="1134" w:type="dxa"/>
            <w:gridSpan w:val="2"/>
            <w:tcBorders>
              <w:top w:val="nil"/>
              <w:left w:val="single" w:sz="8" w:space="0" w:color="auto"/>
              <w:bottom w:val="single" w:sz="4" w:space="0" w:color="auto"/>
              <w:right w:val="single" w:sz="4" w:space="0" w:color="auto"/>
            </w:tcBorders>
            <w:shd w:val="clear" w:color="000000" w:fill="FFFFFF"/>
            <w:vAlign w:val="center"/>
          </w:tcPr>
          <w:p w:rsidR="00255E13" w:rsidRPr="00F849C3" w:rsidRDefault="00255E13" w:rsidP="00895B36">
            <w:pPr>
              <w:jc w:val="center"/>
              <w:rPr>
                <w:sz w:val="18"/>
                <w:szCs w:val="18"/>
              </w:rPr>
            </w:pPr>
            <w:r w:rsidRPr="00F849C3">
              <w:rPr>
                <w:sz w:val="18"/>
                <w:szCs w:val="18"/>
              </w:rPr>
              <w:t>√</w:t>
            </w:r>
          </w:p>
        </w:tc>
        <w:tc>
          <w:tcPr>
            <w:tcW w:w="850" w:type="dxa"/>
            <w:gridSpan w:val="3"/>
            <w:tcBorders>
              <w:top w:val="nil"/>
              <w:left w:val="nil"/>
              <w:bottom w:val="single" w:sz="4" w:space="0" w:color="auto"/>
              <w:right w:val="single" w:sz="4" w:space="0" w:color="auto"/>
            </w:tcBorders>
            <w:shd w:val="clear" w:color="000000" w:fill="FFFFFF"/>
            <w:vAlign w:val="center"/>
          </w:tcPr>
          <w:p w:rsidR="00255E13" w:rsidRPr="00F849C3" w:rsidRDefault="00255E13" w:rsidP="00895B36">
            <w:pPr>
              <w:jc w:val="center"/>
              <w:rPr>
                <w:sz w:val="18"/>
                <w:szCs w:val="18"/>
              </w:rPr>
            </w:pPr>
            <w:r w:rsidRPr="00F849C3">
              <w:rPr>
                <w:sz w:val="18"/>
                <w:szCs w:val="18"/>
              </w:rPr>
              <w:t>√</w:t>
            </w:r>
          </w:p>
        </w:tc>
        <w:tc>
          <w:tcPr>
            <w:tcW w:w="851" w:type="dxa"/>
            <w:tcBorders>
              <w:top w:val="nil"/>
              <w:left w:val="nil"/>
              <w:bottom w:val="single" w:sz="4" w:space="0" w:color="auto"/>
              <w:right w:val="nil"/>
            </w:tcBorders>
            <w:shd w:val="clear" w:color="000000" w:fill="FFFFFF"/>
            <w:vAlign w:val="center"/>
          </w:tcPr>
          <w:p w:rsidR="00255E13" w:rsidRPr="00F849C3" w:rsidRDefault="00255E13" w:rsidP="00895B36">
            <w:pPr>
              <w:jc w:val="center"/>
              <w:rPr>
                <w:sz w:val="18"/>
                <w:szCs w:val="18"/>
              </w:rPr>
            </w:pPr>
            <w:r w:rsidRPr="00F849C3">
              <w:rPr>
                <w:sz w:val="18"/>
                <w:szCs w:val="18"/>
              </w:rPr>
              <w:t>√</w:t>
            </w:r>
          </w:p>
        </w:tc>
        <w:tc>
          <w:tcPr>
            <w:tcW w:w="1559" w:type="dxa"/>
            <w:gridSpan w:val="2"/>
            <w:tcBorders>
              <w:top w:val="nil"/>
              <w:left w:val="single" w:sz="8" w:space="0" w:color="auto"/>
              <w:bottom w:val="single" w:sz="4" w:space="0" w:color="auto"/>
              <w:right w:val="single" w:sz="4" w:space="0" w:color="auto"/>
            </w:tcBorders>
            <w:shd w:val="clear" w:color="000000" w:fill="FFFFFF"/>
            <w:vAlign w:val="center"/>
          </w:tcPr>
          <w:p w:rsidR="00255E13" w:rsidRPr="00F849C3" w:rsidRDefault="00255E13" w:rsidP="00895B36">
            <w:pPr>
              <w:jc w:val="center"/>
              <w:rPr>
                <w:sz w:val="18"/>
                <w:szCs w:val="18"/>
              </w:rPr>
            </w:pPr>
            <w:r w:rsidRPr="00F849C3">
              <w:rPr>
                <w:sz w:val="18"/>
                <w:szCs w:val="18"/>
              </w:rPr>
              <w:t>√</w:t>
            </w:r>
          </w:p>
        </w:tc>
        <w:tc>
          <w:tcPr>
            <w:tcW w:w="1559" w:type="dxa"/>
            <w:tcBorders>
              <w:top w:val="nil"/>
              <w:left w:val="nil"/>
              <w:bottom w:val="single" w:sz="4" w:space="0" w:color="auto"/>
              <w:right w:val="single" w:sz="8" w:space="0" w:color="auto"/>
            </w:tcBorders>
            <w:shd w:val="clear" w:color="000000" w:fill="FFFFFF"/>
            <w:vAlign w:val="center"/>
          </w:tcPr>
          <w:p w:rsidR="00255E13" w:rsidRPr="00F849C3" w:rsidRDefault="00255E13" w:rsidP="00895B36">
            <w:pPr>
              <w:jc w:val="center"/>
              <w:rPr>
                <w:sz w:val="18"/>
                <w:szCs w:val="18"/>
              </w:rPr>
            </w:pPr>
            <w:r w:rsidRPr="00F849C3">
              <w:rPr>
                <w:sz w:val="18"/>
                <w:szCs w:val="18"/>
              </w:rPr>
              <w:t>√</w:t>
            </w:r>
          </w:p>
        </w:tc>
      </w:tr>
      <w:tr w:rsidR="00255E13" w:rsidRPr="00F849C3" w:rsidTr="00895B36">
        <w:trPr>
          <w:trHeight w:val="828"/>
        </w:trPr>
        <w:tc>
          <w:tcPr>
            <w:tcW w:w="2278" w:type="dxa"/>
            <w:tcBorders>
              <w:top w:val="nil"/>
              <w:left w:val="single" w:sz="8" w:space="0" w:color="auto"/>
              <w:bottom w:val="single" w:sz="4" w:space="0" w:color="auto"/>
              <w:right w:val="single" w:sz="4" w:space="0" w:color="auto"/>
            </w:tcBorders>
            <w:shd w:val="clear" w:color="000000" w:fill="FFFFFF"/>
            <w:vAlign w:val="center"/>
          </w:tcPr>
          <w:p w:rsidR="00255E13" w:rsidRPr="00F849C3" w:rsidRDefault="00255E13" w:rsidP="00255E13">
            <w:pPr>
              <w:jc w:val="left"/>
              <w:rPr>
                <w:b/>
                <w:bCs/>
                <w:sz w:val="18"/>
                <w:szCs w:val="18"/>
              </w:rPr>
            </w:pPr>
            <w:r>
              <w:rPr>
                <w:b/>
                <w:bCs/>
                <w:sz w:val="18"/>
                <w:szCs w:val="18"/>
              </w:rPr>
              <w:t>Schéma 5: CHVO Žitný ostrov</w:t>
            </w:r>
          </w:p>
        </w:tc>
        <w:tc>
          <w:tcPr>
            <w:tcW w:w="2410" w:type="dxa"/>
            <w:gridSpan w:val="3"/>
            <w:tcBorders>
              <w:top w:val="single" w:sz="8" w:space="0" w:color="auto"/>
              <w:left w:val="nil"/>
              <w:bottom w:val="single" w:sz="4" w:space="0" w:color="auto"/>
              <w:right w:val="nil"/>
            </w:tcBorders>
            <w:shd w:val="clear" w:color="000000" w:fill="FFFFFF"/>
          </w:tcPr>
          <w:p w:rsidR="00255E13" w:rsidRPr="00F849C3" w:rsidRDefault="00255E13" w:rsidP="00255E13">
            <w:pPr>
              <w:jc w:val="left"/>
              <w:rPr>
                <w:sz w:val="18"/>
                <w:szCs w:val="18"/>
              </w:rPr>
            </w:pPr>
            <w:r w:rsidRPr="00413034">
              <w:rPr>
                <w:sz w:val="18"/>
                <w:szCs w:val="18"/>
              </w:rPr>
              <w:t xml:space="preserve">Lepšie riadenie, zníženie minerálnych hnojív a pesticídov </w:t>
            </w:r>
          </w:p>
        </w:tc>
        <w:tc>
          <w:tcPr>
            <w:tcW w:w="1418" w:type="dxa"/>
            <w:tcBorders>
              <w:top w:val="nil"/>
              <w:left w:val="single" w:sz="4" w:space="0" w:color="auto"/>
              <w:bottom w:val="single" w:sz="4" w:space="0" w:color="auto"/>
              <w:right w:val="single" w:sz="8" w:space="0" w:color="auto"/>
            </w:tcBorders>
            <w:shd w:val="clear" w:color="000000" w:fill="FFFFFF"/>
            <w:noWrap/>
            <w:vAlign w:val="center"/>
          </w:tcPr>
          <w:p w:rsidR="00255E13" w:rsidRPr="00F849C3" w:rsidDel="00413034" w:rsidRDefault="00255E13" w:rsidP="00895B36">
            <w:pPr>
              <w:jc w:val="right"/>
              <w:rPr>
                <w:sz w:val="18"/>
                <w:szCs w:val="18"/>
              </w:rPr>
            </w:pPr>
            <w:r>
              <w:rPr>
                <w:sz w:val="18"/>
                <w:szCs w:val="18"/>
              </w:rPr>
              <w:t>8 750 000</w:t>
            </w:r>
          </w:p>
        </w:tc>
        <w:tc>
          <w:tcPr>
            <w:tcW w:w="1559" w:type="dxa"/>
            <w:gridSpan w:val="3"/>
            <w:tcBorders>
              <w:top w:val="nil"/>
              <w:left w:val="nil"/>
              <w:bottom w:val="single" w:sz="4" w:space="0" w:color="auto"/>
              <w:right w:val="nil"/>
            </w:tcBorders>
            <w:shd w:val="clear" w:color="000000" w:fill="FFFFFF"/>
            <w:noWrap/>
            <w:vAlign w:val="center"/>
          </w:tcPr>
          <w:p w:rsidR="00255E13" w:rsidRPr="00F849C3" w:rsidDel="00413034" w:rsidRDefault="00255E13" w:rsidP="00895B36">
            <w:pPr>
              <w:jc w:val="right"/>
              <w:rPr>
                <w:sz w:val="18"/>
                <w:szCs w:val="18"/>
              </w:rPr>
            </w:pPr>
            <w:r>
              <w:rPr>
                <w:sz w:val="18"/>
                <w:szCs w:val="18"/>
              </w:rPr>
              <w:t>70 000</w:t>
            </w:r>
          </w:p>
        </w:tc>
        <w:tc>
          <w:tcPr>
            <w:tcW w:w="1134" w:type="dxa"/>
            <w:gridSpan w:val="2"/>
            <w:tcBorders>
              <w:top w:val="nil"/>
              <w:left w:val="single" w:sz="8" w:space="0" w:color="auto"/>
              <w:bottom w:val="single" w:sz="4" w:space="0" w:color="auto"/>
              <w:right w:val="single" w:sz="4" w:space="0" w:color="auto"/>
            </w:tcBorders>
            <w:shd w:val="clear" w:color="000000" w:fill="FFFFFF"/>
            <w:vAlign w:val="center"/>
          </w:tcPr>
          <w:p w:rsidR="00255E13" w:rsidRPr="00F849C3" w:rsidRDefault="00255E13" w:rsidP="00895B36">
            <w:pPr>
              <w:jc w:val="center"/>
              <w:rPr>
                <w:sz w:val="18"/>
                <w:szCs w:val="18"/>
              </w:rPr>
            </w:pPr>
          </w:p>
        </w:tc>
        <w:tc>
          <w:tcPr>
            <w:tcW w:w="850" w:type="dxa"/>
            <w:gridSpan w:val="3"/>
            <w:tcBorders>
              <w:top w:val="nil"/>
              <w:left w:val="nil"/>
              <w:bottom w:val="single" w:sz="4" w:space="0" w:color="auto"/>
              <w:right w:val="single" w:sz="4" w:space="0" w:color="auto"/>
            </w:tcBorders>
            <w:shd w:val="clear" w:color="000000" w:fill="FFFFFF"/>
            <w:vAlign w:val="center"/>
          </w:tcPr>
          <w:p w:rsidR="00255E13" w:rsidRPr="00F849C3" w:rsidRDefault="00255E13" w:rsidP="00895B36">
            <w:pPr>
              <w:jc w:val="center"/>
              <w:rPr>
                <w:sz w:val="18"/>
                <w:szCs w:val="18"/>
              </w:rPr>
            </w:pPr>
            <w:r w:rsidRPr="00F849C3">
              <w:rPr>
                <w:sz w:val="18"/>
                <w:szCs w:val="18"/>
              </w:rPr>
              <w:t>√</w:t>
            </w:r>
          </w:p>
        </w:tc>
        <w:tc>
          <w:tcPr>
            <w:tcW w:w="851" w:type="dxa"/>
            <w:tcBorders>
              <w:top w:val="nil"/>
              <w:left w:val="nil"/>
              <w:bottom w:val="single" w:sz="4" w:space="0" w:color="auto"/>
              <w:right w:val="nil"/>
            </w:tcBorders>
            <w:shd w:val="clear" w:color="000000" w:fill="FFFFFF"/>
            <w:vAlign w:val="center"/>
          </w:tcPr>
          <w:p w:rsidR="00255E13" w:rsidRPr="00F849C3" w:rsidRDefault="00255E13" w:rsidP="00895B36">
            <w:pPr>
              <w:jc w:val="center"/>
              <w:rPr>
                <w:sz w:val="18"/>
                <w:szCs w:val="18"/>
              </w:rPr>
            </w:pPr>
            <w:r w:rsidRPr="00F849C3">
              <w:rPr>
                <w:sz w:val="18"/>
                <w:szCs w:val="18"/>
              </w:rPr>
              <w:t>√</w:t>
            </w:r>
          </w:p>
        </w:tc>
        <w:tc>
          <w:tcPr>
            <w:tcW w:w="1559" w:type="dxa"/>
            <w:gridSpan w:val="2"/>
            <w:tcBorders>
              <w:top w:val="nil"/>
              <w:left w:val="single" w:sz="8" w:space="0" w:color="auto"/>
              <w:bottom w:val="single" w:sz="4" w:space="0" w:color="auto"/>
              <w:right w:val="single" w:sz="4" w:space="0" w:color="auto"/>
            </w:tcBorders>
            <w:shd w:val="clear" w:color="000000" w:fill="FFFFFF"/>
            <w:vAlign w:val="center"/>
          </w:tcPr>
          <w:p w:rsidR="00255E13" w:rsidRPr="00F849C3" w:rsidRDefault="00255E13" w:rsidP="00895B36">
            <w:pPr>
              <w:jc w:val="center"/>
              <w:rPr>
                <w:sz w:val="18"/>
                <w:szCs w:val="18"/>
              </w:rPr>
            </w:pPr>
            <w:r w:rsidRPr="00F849C3">
              <w:rPr>
                <w:sz w:val="18"/>
                <w:szCs w:val="18"/>
              </w:rPr>
              <w:t>√</w:t>
            </w:r>
          </w:p>
        </w:tc>
        <w:tc>
          <w:tcPr>
            <w:tcW w:w="1559" w:type="dxa"/>
            <w:tcBorders>
              <w:top w:val="nil"/>
              <w:left w:val="nil"/>
              <w:bottom w:val="single" w:sz="4" w:space="0" w:color="auto"/>
              <w:right w:val="single" w:sz="8" w:space="0" w:color="auto"/>
            </w:tcBorders>
            <w:shd w:val="clear" w:color="000000" w:fill="FFFFFF"/>
            <w:vAlign w:val="center"/>
          </w:tcPr>
          <w:p w:rsidR="00255E13" w:rsidRPr="00F849C3" w:rsidRDefault="00255E13" w:rsidP="00895B36">
            <w:pPr>
              <w:jc w:val="center"/>
              <w:rPr>
                <w:sz w:val="18"/>
                <w:szCs w:val="18"/>
              </w:rPr>
            </w:pPr>
          </w:p>
        </w:tc>
      </w:tr>
      <w:tr w:rsidR="00255E13" w:rsidRPr="00F849C3" w:rsidTr="00895B36">
        <w:trPr>
          <w:trHeight w:val="697"/>
        </w:trPr>
        <w:tc>
          <w:tcPr>
            <w:tcW w:w="2278" w:type="dxa"/>
            <w:tcBorders>
              <w:top w:val="nil"/>
              <w:left w:val="single" w:sz="8" w:space="0" w:color="auto"/>
              <w:bottom w:val="single" w:sz="4" w:space="0" w:color="auto"/>
              <w:right w:val="single" w:sz="4" w:space="0" w:color="auto"/>
            </w:tcBorders>
            <w:shd w:val="clear" w:color="000000" w:fill="FFFFFF"/>
            <w:vAlign w:val="center"/>
          </w:tcPr>
          <w:p w:rsidR="00255E13" w:rsidRPr="00F849C3" w:rsidRDefault="00255E13" w:rsidP="00255E13">
            <w:pPr>
              <w:jc w:val="left"/>
              <w:rPr>
                <w:b/>
                <w:bCs/>
                <w:sz w:val="18"/>
                <w:szCs w:val="18"/>
              </w:rPr>
            </w:pPr>
            <w:r>
              <w:rPr>
                <w:b/>
                <w:bCs/>
                <w:sz w:val="18"/>
                <w:szCs w:val="18"/>
              </w:rPr>
              <w:t>Schéma 6: Ochrana sysľa pasienkového</w:t>
            </w:r>
          </w:p>
        </w:tc>
        <w:tc>
          <w:tcPr>
            <w:tcW w:w="2410" w:type="dxa"/>
            <w:gridSpan w:val="3"/>
            <w:tcBorders>
              <w:top w:val="single" w:sz="8" w:space="0" w:color="auto"/>
              <w:left w:val="nil"/>
              <w:bottom w:val="single" w:sz="4" w:space="0" w:color="auto"/>
              <w:right w:val="nil"/>
            </w:tcBorders>
            <w:shd w:val="clear" w:color="000000" w:fill="FFFFFF"/>
          </w:tcPr>
          <w:p w:rsidR="00255E13" w:rsidRPr="00F849C3" w:rsidRDefault="00255E13" w:rsidP="00255E13">
            <w:pPr>
              <w:jc w:val="left"/>
              <w:rPr>
                <w:sz w:val="18"/>
                <w:szCs w:val="18"/>
              </w:rPr>
            </w:pPr>
            <w:r>
              <w:rPr>
                <w:sz w:val="18"/>
                <w:szCs w:val="18"/>
              </w:rPr>
              <w:t xml:space="preserve">Ochrana biotopov </w:t>
            </w:r>
          </w:p>
        </w:tc>
        <w:tc>
          <w:tcPr>
            <w:tcW w:w="1418" w:type="dxa"/>
            <w:tcBorders>
              <w:top w:val="nil"/>
              <w:left w:val="single" w:sz="4" w:space="0" w:color="auto"/>
              <w:bottom w:val="single" w:sz="4" w:space="0" w:color="auto"/>
              <w:right w:val="single" w:sz="8" w:space="0" w:color="auto"/>
            </w:tcBorders>
            <w:shd w:val="clear" w:color="000000" w:fill="FFFFFF"/>
            <w:noWrap/>
            <w:vAlign w:val="center"/>
          </w:tcPr>
          <w:p w:rsidR="00255E13" w:rsidRPr="00F849C3" w:rsidDel="00413034" w:rsidRDefault="00255E13" w:rsidP="00895B36">
            <w:pPr>
              <w:jc w:val="right"/>
              <w:rPr>
                <w:sz w:val="18"/>
                <w:szCs w:val="18"/>
              </w:rPr>
            </w:pPr>
            <w:r>
              <w:rPr>
                <w:sz w:val="18"/>
                <w:szCs w:val="18"/>
              </w:rPr>
              <w:t>700 000</w:t>
            </w:r>
          </w:p>
        </w:tc>
        <w:tc>
          <w:tcPr>
            <w:tcW w:w="1559" w:type="dxa"/>
            <w:gridSpan w:val="3"/>
            <w:tcBorders>
              <w:top w:val="nil"/>
              <w:left w:val="nil"/>
              <w:bottom w:val="single" w:sz="4" w:space="0" w:color="auto"/>
              <w:right w:val="nil"/>
            </w:tcBorders>
            <w:shd w:val="clear" w:color="000000" w:fill="FFFFFF"/>
            <w:noWrap/>
            <w:vAlign w:val="center"/>
          </w:tcPr>
          <w:p w:rsidR="00255E13" w:rsidRPr="00F849C3" w:rsidDel="00413034" w:rsidRDefault="00255E13" w:rsidP="00895B36">
            <w:pPr>
              <w:jc w:val="right"/>
              <w:rPr>
                <w:sz w:val="18"/>
                <w:szCs w:val="18"/>
              </w:rPr>
            </w:pPr>
            <w:r>
              <w:rPr>
                <w:sz w:val="18"/>
                <w:szCs w:val="18"/>
              </w:rPr>
              <w:t>2 000</w:t>
            </w:r>
          </w:p>
        </w:tc>
        <w:tc>
          <w:tcPr>
            <w:tcW w:w="1134" w:type="dxa"/>
            <w:gridSpan w:val="2"/>
            <w:tcBorders>
              <w:top w:val="nil"/>
              <w:left w:val="single" w:sz="8" w:space="0" w:color="auto"/>
              <w:bottom w:val="single" w:sz="4" w:space="0" w:color="auto"/>
              <w:right w:val="single" w:sz="4" w:space="0" w:color="auto"/>
            </w:tcBorders>
            <w:shd w:val="clear" w:color="000000" w:fill="FFFFFF"/>
            <w:vAlign w:val="center"/>
          </w:tcPr>
          <w:p w:rsidR="00255E13" w:rsidRPr="00F849C3" w:rsidRDefault="00255E13" w:rsidP="00895B36">
            <w:pPr>
              <w:jc w:val="center"/>
              <w:rPr>
                <w:sz w:val="18"/>
                <w:szCs w:val="18"/>
              </w:rPr>
            </w:pPr>
            <w:r w:rsidRPr="00F849C3">
              <w:rPr>
                <w:sz w:val="18"/>
                <w:szCs w:val="18"/>
              </w:rPr>
              <w:t>√</w:t>
            </w:r>
          </w:p>
        </w:tc>
        <w:tc>
          <w:tcPr>
            <w:tcW w:w="850" w:type="dxa"/>
            <w:gridSpan w:val="3"/>
            <w:tcBorders>
              <w:top w:val="nil"/>
              <w:left w:val="nil"/>
              <w:bottom w:val="single" w:sz="4" w:space="0" w:color="auto"/>
              <w:right w:val="single" w:sz="4" w:space="0" w:color="auto"/>
            </w:tcBorders>
            <w:shd w:val="clear" w:color="000000" w:fill="FFFFFF"/>
            <w:vAlign w:val="center"/>
          </w:tcPr>
          <w:p w:rsidR="00255E13" w:rsidRPr="00F849C3" w:rsidRDefault="00255E13" w:rsidP="00895B36">
            <w:pPr>
              <w:jc w:val="center"/>
              <w:rPr>
                <w:sz w:val="18"/>
                <w:szCs w:val="18"/>
              </w:rPr>
            </w:pPr>
          </w:p>
        </w:tc>
        <w:tc>
          <w:tcPr>
            <w:tcW w:w="851" w:type="dxa"/>
            <w:tcBorders>
              <w:top w:val="nil"/>
              <w:left w:val="nil"/>
              <w:bottom w:val="single" w:sz="4" w:space="0" w:color="auto"/>
              <w:right w:val="nil"/>
            </w:tcBorders>
            <w:shd w:val="clear" w:color="000000" w:fill="FFFFFF"/>
            <w:vAlign w:val="center"/>
          </w:tcPr>
          <w:p w:rsidR="00255E13" w:rsidRPr="00F849C3" w:rsidRDefault="00255E13" w:rsidP="00895B36">
            <w:pPr>
              <w:jc w:val="center"/>
              <w:rPr>
                <w:sz w:val="18"/>
                <w:szCs w:val="18"/>
              </w:rPr>
            </w:pPr>
          </w:p>
        </w:tc>
        <w:tc>
          <w:tcPr>
            <w:tcW w:w="1559" w:type="dxa"/>
            <w:gridSpan w:val="2"/>
            <w:tcBorders>
              <w:top w:val="nil"/>
              <w:left w:val="single" w:sz="8" w:space="0" w:color="auto"/>
              <w:bottom w:val="single" w:sz="4" w:space="0" w:color="auto"/>
              <w:right w:val="single" w:sz="4" w:space="0" w:color="auto"/>
            </w:tcBorders>
            <w:shd w:val="clear" w:color="000000" w:fill="FFFFFF"/>
            <w:vAlign w:val="center"/>
          </w:tcPr>
          <w:p w:rsidR="00255E13" w:rsidRPr="00F849C3" w:rsidRDefault="00255E13" w:rsidP="00895B36">
            <w:pPr>
              <w:jc w:val="center"/>
              <w:rPr>
                <w:sz w:val="18"/>
                <w:szCs w:val="18"/>
              </w:rPr>
            </w:pPr>
          </w:p>
        </w:tc>
        <w:tc>
          <w:tcPr>
            <w:tcW w:w="1559" w:type="dxa"/>
            <w:tcBorders>
              <w:top w:val="nil"/>
              <w:left w:val="nil"/>
              <w:bottom w:val="single" w:sz="4" w:space="0" w:color="auto"/>
              <w:right w:val="single" w:sz="8" w:space="0" w:color="auto"/>
            </w:tcBorders>
            <w:shd w:val="clear" w:color="000000" w:fill="FFFFFF"/>
            <w:vAlign w:val="center"/>
          </w:tcPr>
          <w:p w:rsidR="00255E13" w:rsidRPr="00F849C3" w:rsidRDefault="00255E13" w:rsidP="00895B36">
            <w:pPr>
              <w:jc w:val="center"/>
              <w:rPr>
                <w:sz w:val="18"/>
                <w:szCs w:val="18"/>
              </w:rPr>
            </w:pPr>
          </w:p>
        </w:tc>
      </w:tr>
      <w:tr w:rsidR="00255E13" w:rsidRPr="00F849C3" w:rsidTr="00895B36">
        <w:trPr>
          <w:trHeight w:val="556"/>
        </w:trPr>
        <w:tc>
          <w:tcPr>
            <w:tcW w:w="2278" w:type="dxa"/>
            <w:tcBorders>
              <w:top w:val="nil"/>
              <w:left w:val="single" w:sz="8" w:space="0" w:color="auto"/>
              <w:bottom w:val="single" w:sz="4" w:space="0" w:color="auto"/>
              <w:right w:val="single" w:sz="4" w:space="0" w:color="auto"/>
            </w:tcBorders>
            <w:shd w:val="clear" w:color="000000" w:fill="FFFFFF"/>
            <w:vAlign w:val="center"/>
          </w:tcPr>
          <w:p w:rsidR="00255E13" w:rsidRPr="00F849C3" w:rsidRDefault="00255E13" w:rsidP="00895B36">
            <w:pPr>
              <w:rPr>
                <w:b/>
                <w:bCs/>
                <w:sz w:val="18"/>
                <w:szCs w:val="18"/>
              </w:rPr>
            </w:pPr>
            <w:r>
              <w:rPr>
                <w:b/>
                <w:bCs/>
                <w:sz w:val="18"/>
                <w:szCs w:val="18"/>
              </w:rPr>
              <w:t>Schéma 7: Ochrana dropa fúzatého</w:t>
            </w:r>
          </w:p>
        </w:tc>
        <w:tc>
          <w:tcPr>
            <w:tcW w:w="2410" w:type="dxa"/>
            <w:gridSpan w:val="3"/>
            <w:tcBorders>
              <w:top w:val="single" w:sz="8" w:space="0" w:color="auto"/>
              <w:left w:val="nil"/>
              <w:bottom w:val="single" w:sz="4" w:space="0" w:color="auto"/>
              <w:right w:val="nil"/>
            </w:tcBorders>
            <w:shd w:val="clear" w:color="000000" w:fill="FFFFFF"/>
          </w:tcPr>
          <w:p w:rsidR="00255E13" w:rsidRPr="00F849C3" w:rsidRDefault="00255E13" w:rsidP="00895B36">
            <w:pPr>
              <w:rPr>
                <w:sz w:val="18"/>
                <w:szCs w:val="18"/>
              </w:rPr>
            </w:pPr>
            <w:r>
              <w:rPr>
                <w:sz w:val="18"/>
                <w:szCs w:val="18"/>
              </w:rPr>
              <w:t>Ochrana biotopov</w:t>
            </w:r>
          </w:p>
        </w:tc>
        <w:tc>
          <w:tcPr>
            <w:tcW w:w="1418" w:type="dxa"/>
            <w:tcBorders>
              <w:top w:val="nil"/>
              <w:left w:val="single" w:sz="4" w:space="0" w:color="auto"/>
              <w:bottom w:val="single" w:sz="4" w:space="0" w:color="auto"/>
              <w:right w:val="single" w:sz="8" w:space="0" w:color="auto"/>
            </w:tcBorders>
            <w:shd w:val="clear" w:color="000000" w:fill="FFFFFF"/>
            <w:noWrap/>
            <w:vAlign w:val="center"/>
          </w:tcPr>
          <w:p w:rsidR="00255E13" w:rsidRPr="00F849C3" w:rsidDel="00413034" w:rsidRDefault="00255E13" w:rsidP="00895B36">
            <w:pPr>
              <w:jc w:val="right"/>
              <w:rPr>
                <w:sz w:val="18"/>
                <w:szCs w:val="18"/>
              </w:rPr>
            </w:pPr>
            <w:r>
              <w:rPr>
                <w:sz w:val="18"/>
                <w:szCs w:val="18"/>
              </w:rPr>
              <w:t>1 290 000</w:t>
            </w:r>
          </w:p>
        </w:tc>
        <w:tc>
          <w:tcPr>
            <w:tcW w:w="1559" w:type="dxa"/>
            <w:gridSpan w:val="3"/>
            <w:tcBorders>
              <w:top w:val="nil"/>
              <w:left w:val="nil"/>
              <w:bottom w:val="single" w:sz="4" w:space="0" w:color="auto"/>
              <w:right w:val="nil"/>
            </w:tcBorders>
            <w:shd w:val="clear" w:color="000000" w:fill="FFFFFF"/>
            <w:noWrap/>
            <w:vAlign w:val="center"/>
          </w:tcPr>
          <w:p w:rsidR="00255E13" w:rsidRPr="00F849C3" w:rsidDel="00413034" w:rsidRDefault="00255E13" w:rsidP="00895B36">
            <w:pPr>
              <w:jc w:val="right"/>
              <w:rPr>
                <w:sz w:val="18"/>
                <w:szCs w:val="18"/>
              </w:rPr>
            </w:pPr>
            <w:r>
              <w:rPr>
                <w:sz w:val="18"/>
                <w:szCs w:val="18"/>
              </w:rPr>
              <w:t>3 000</w:t>
            </w:r>
          </w:p>
        </w:tc>
        <w:tc>
          <w:tcPr>
            <w:tcW w:w="1134" w:type="dxa"/>
            <w:gridSpan w:val="2"/>
            <w:tcBorders>
              <w:top w:val="nil"/>
              <w:left w:val="single" w:sz="8" w:space="0" w:color="auto"/>
              <w:bottom w:val="single" w:sz="4" w:space="0" w:color="auto"/>
              <w:right w:val="single" w:sz="4" w:space="0" w:color="auto"/>
            </w:tcBorders>
            <w:shd w:val="clear" w:color="000000" w:fill="FFFFFF"/>
            <w:vAlign w:val="center"/>
          </w:tcPr>
          <w:p w:rsidR="00255E13" w:rsidRPr="00F849C3" w:rsidRDefault="00255E13" w:rsidP="00895B36">
            <w:pPr>
              <w:jc w:val="center"/>
              <w:rPr>
                <w:sz w:val="18"/>
                <w:szCs w:val="18"/>
              </w:rPr>
            </w:pPr>
            <w:r w:rsidRPr="00F849C3">
              <w:rPr>
                <w:sz w:val="18"/>
                <w:szCs w:val="18"/>
              </w:rPr>
              <w:t>√</w:t>
            </w:r>
          </w:p>
        </w:tc>
        <w:tc>
          <w:tcPr>
            <w:tcW w:w="850" w:type="dxa"/>
            <w:gridSpan w:val="3"/>
            <w:tcBorders>
              <w:top w:val="nil"/>
              <w:left w:val="nil"/>
              <w:bottom w:val="single" w:sz="4" w:space="0" w:color="auto"/>
              <w:right w:val="single" w:sz="4" w:space="0" w:color="auto"/>
            </w:tcBorders>
            <w:shd w:val="clear" w:color="000000" w:fill="FFFFFF"/>
            <w:vAlign w:val="center"/>
          </w:tcPr>
          <w:p w:rsidR="00255E13" w:rsidRPr="00F849C3" w:rsidRDefault="00255E13" w:rsidP="00895B36">
            <w:pPr>
              <w:jc w:val="center"/>
              <w:rPr>
                <w:sz w:val="18"/>
                <w:szCs w:val="18"/>
              </w:rPr>
            </w:pPr>
          </w:p>
        </w:tc>
        <w:tc>
          <w:tcPr>
            <w:tcW w:w="851" w:type="dxa"/>
            <w:tcBorders>
              <w:top w:val="nil"/>
              <w:left w:val="nil"/>
              <w:bottom w:val="single" w:sz="4" w:space="0" w:color="auto"/>
              <w:right w:val="nil"/>
            </w:tcBorders>
            <w:shd w:val="clear" w:color="000000" w:fill="FFFFFF"/>
            <w:vAlign w:val="center"/>
          </w:tcPr>
          <w:p w:rsidR="00255E13" w:rsidRPr="00F849C3" w:rsidRDefault="00255E13" w:rsidP="00895B36">
            <w:pPr>
              <w:jc w:val="center"/>
              <w:rPr>
                <w:sz w:val="18"/>
                <w:szCs w:val="18"/>
              </w:rPr>
            </w:pPr>
          </w:p>
        </w:tc>
        <w:tc>
          <w:tcPr>
            <w:tcW w:w="1559" w:type="dxa"/>
            <w:gridSpan w:val="2"/>
            <w:tcBorders>
              <w:top w:val="nil"/>
              <w:left w:val="single" w:sz="8" w:space="0" w:color="auto"/>
              <w:bottom w:val="single" w:sz="4" w:space="0" w:color="auto"/>
              <w:right w:val="single" w:sz="4" w:space="0" w:color="auto"/>
            </w:tcBorders>
            <w:shd w:val="clear" w:color="000000" w:fill="FFFFFF"/>
            <w:vAlign w:val="center"/>
          </w:tcPr>
          <w:p w:rsidR="00255E13" w:rsidRPr="00F849C3" w:rsidRDefault="00255E13" w:rsidP="00895B36">
            <w:pPr>
              <w:jc w:val="center"/>
              <w:rPr>
                <w:sz w:val="18"/>
                <w:szCs w:val="18"/>
              </w:rPr>
            </w:pPr>
          </w:p>
        </w:tc>
        <w:tc>
          <w:tcPr>
            <w:tcW w:w="1559" w:type="dxa"/>
            <w:tcBorders>
              <w:top w:val="nil"/>
              <w:left w:val="nil"/>
              <w:bottom w:val="single" w:sz="4" w:space="0" w:color="auto"/>
              <w:right w:val="single" w:sz="8" w:space="0" w:color="auto"/>
            </w:tcBorders>
            <w:shd w:val="clear" w:color="000000" w:fill="FFFFFF"/>
            <w:vAlign w:val="center"/>
          </w:tcPr>
          <w:p w:rsidR="00255E13" w:rsidRPr="00F849C3" w:rsidRDefault="00255E13" w:rsidP="00895B36">
            <w:pPr>
              <w:jc w:val="center"/>
              <w:rPr>
                <w:sz w:val="18"/>
                <w:szCs w:val="18"/>
              </w:rPr>
            </w:pPr>
          </w:p>
        </w:tc>
      </w:tr>
      <w:tr w:rsidR="00255E13" w:rsidRPr="00F849C3" w:rsidTr="00895B36">
        <w:trPr>
          <w:trHeight w:val="771"/>
        </w:trPr>
        <w:tc>
          <w:tcPr>
            <w:tcW w:w="2278" w:type="dxa"/>
            <w:tcBorders>
              <w:top w:val="nil"/>
              <w:left w:val="single" w:sz="8" w:space="0" w:color="auto"/>
              <w:bottom w:val="nil"/>
              <w:right w:val="single" w:sz="4" w:space="0" w:color="auto"/>
            </w:tcBorders>
            <w:shd w:val="clear" w:color="000000" w:fill="FFFFFF"/>
            <w:vAlign w:val="center"/>
          </w:tcPr>
          <w:p w:rsidR="00255E13" w:rsidRPr="00F849C3" w:rsidRDefault="00255E13" w:rsidP="00895B36">
            <w:pPr>
              <w:rPr>
                <w:b/>
                <w:bCs/>
                <w:sz w:val="18"/>
                <w:szCs w:val="18"/>
              </w:rPr>
            </w:pPr>
            <w:r w:rsidRPr="00F849C3">
              <w:rPr>
                <w:b/>
                <w:bCs/>
                <w:sz w:val="18"/>
                <w:szCs w:val="18"/>
              </w:rPr>
              <w:t xml:space="preserve">Schéma </w:t>
            </w:r>
            <w:r>
              <w:rPr>
                <w:b/>
                <w:bCs/>
                <w:sz w:val="18"/>
                <w:szCs w:val="18"/>
              </w:rPr>
              <w:t>8</w:t>
            </w:r>
            <w:r w:rsidRPr="00F849C3">
              <w:rPr>
                <w:b/>
                <w:bCs/>
                <w:sz w:val="18"/>
                <w:szCs w:val="18"/>
              </w:rPr>
              <w:t xml:space="preserve">: </w:t>
            </w:r>
            <w:r w:rsidRPr="00F849C3">
              <w:rPr>
                <w:b/>
                <w:bCs/>
                <w:sz w:val="18"/>
                <w:szCs w:val="18"/>
              </w:rPr>
              <w:br/>
              <w:t>Chov a udržanie ohrozených druhov zvierat</w:t>
            </w:r>
          </w:p>
        </w:tc>
        <w:tc>
          <w:tcPr>
            <w:tcW w:w="2410" w:type="dxa"/>
            <w:gridSpan w:val="3"/>
            <w:tcBorders>
              <w:top w:val="single" w:sz="8" w:space="0" w:color="auto"/>
              <w:left w:val="nil"/>
              <w:bottom w:val="nil"/>
              <w:right w:val="nil"/>
            </w:tcBorders>
            <w:shd w:val="clear" w:color="000000" w:fill="FFFFFF"/>
          </w:tcPr>
          <w:p w:rsidR="00255E13" w:rsidRPr="00F849C3" w:rsidRDefault="00255E13" w:rsidP="00895B36">
            <w:pPr>
              <w:rPr>
                <w:sz w:val="18"/>
                <w:szCs w:val="18"/>
              </w:rPr>
            </w:pPr>
            <w:r w:rsidRPr="00F849C3">
              <w:rPr>
                <w:sz w:val="18"/>
                <w:szCs w:val="18"/>
              </w:rPr>
              <w:t xml:space="preserve">Podpora na udržanie genetických zdrojov v poľnohospodárstve </w:t>
            </w:r>
          </w:p>
        </w:tc>
        <w:tc>
          <w:tcPr>
            <w:tcW w:w="1418" w:type="dxa"/>
            <w:tcBorders>
              <w:top w:val="nil"/>
              <w:left w:val="single" w:sz="4" w:space="0" w:color="auto"/>
              <w:bottom w:val="nil"/>
              <w:right w:val="single" w:sz="8" w:space="0" w:color="auto"/>
            </w:tcBorders>
            <w:shd w:val="clear" w:color="000000" w:fill="FFFFFF"/>
            <w:noWrap/>
            <w:vAlign w:val="center"/>
          </w:tcPr>
          <w:p w:rsidR="00255E13" w:rsidRPr="00F849C3" w:rsidRDefault="00255E13" w:rsidP="00895B36">
            <w:pPr>
              <w:jc w:val="right"/>
              <w:rPr>
                <w:sz w:val="18"/>
                <w:szCs w:val="18"/>
              </w:rPr>
            </w:pPr>
            <w:r>
              <w:rPr>
                <w:sz w:val="18"/>
                <w:szCs w:val="18"/>
              </w:rPr>
              <w:t>3 600 000</w:t>
            </w:r>
          </w:p>
        </w:tc>
        <w:tc>
          <w:tcPr>
            <w:tcW w:w="1559" w:type="dxa"/>
            <w:gridSpan w:val="3"/>
            <w:tcBorders>
              <w:top w:val="nil"/>
              <w:left w:val="nil"/>
              <w:bottom w:val="nil"/>
              <w:right w:val="nil"/>
            </w:tcBorders>
            <w:shd w:val="clear" w:color="000000" w:fill="FFFFFF"/>
            <w:noWrap/>
            <w:vAlign w:val="center"/>
          </w:tcPr>
          <w:p w:rsidR="00255E13" w:rsidRPr="00F849C3" w:rsidRDefault="00255E13" w:rsidP="00895B36">
            <w:pPr>
              <w:jc w:val="right"/>
              <w:rPr>
                <w:sz w:val="18"/>
                <w:szCs w:val="18"/>
              </w:rPr>
            </w:pPr>
            <w:r w:rsidRPr="00F849C3">
              <w:rPr>
                <w:sz w:val="18"/>
                <w:szCs w:val="18"/>
              </w:rPr>
              <w:t>3600</w:t>
            </w:r>
          </w:p>
        </w:tc>
        <w:tc>
          <w:tcPr>
            <w:tcW w:w="1134" w:type="dxa"/>
            <w:gridSpan w:val="2"/>
            <w:tcBorders>
              <w:top w:val="nil"/>
              <w:left w:val="single" w:sz="8" w:space="0" w:color="auto"/>
              <w:bottom w:val="nil"/>
              <w:right w:val="single" w:sz="4" w:space="0" w:color="auto"/>
            </w:tcBorders>
            <w:shd w:val="clear" w:color="000000" w:fill="FFFFFF"/>
            <w:vAlign w:val="center"/>
          </w:tcPr>
          <w:p w:rsidR="00255E13" w:rsidRPr="00F849C3" w:rsidRDefault="00255E13" w:rsidP="00895B36">
            <w:pPr>
              <w:jc w:val="center"/>
              <w:rPr>
                <w:sz w:val="18"/>
                <w:szCs w:val="18"/>
              </w:rPr>
            </w:pPr>
            <w:r w:rsidRPr="00F849C3">
              <w:rPr>
                <w:sz w:val="18"/>
                <w:szCs w:val="18"/>
              </w:rPr>
              <w:t>√</w:t>
            </w:r>
          </w:p>
        </w:tc>
        <w:tc>
          <w:tcPr>
            <w:tcW w:w="850" w:type="dxa"/>
            <w:gridSpan w:val="3"/>
            <w:tcBorders>
              <w:top w:val="nil"/>
              <w:left w:val="nil"/>
              <w:bottom w:val="nil"/>
              <w:right w:val="single" w:sz="4" w:space="0" w:color="auto"/>
            </w:tcBorders>
            <w:shd w:val="clear" w:color="000000" w:fill="FFFFFF"/>
            <w:vAlign w:val="center"/>
          </w:tcPr>
          <w:p w:rsidR="00255E13" w:rsidRPr="00F849C3" w:rsidRDefault="00255E13" w:rsidP="00895B36">
            <w:pPr>
              <w:jc w:val="center"/>
              <w:rPr>
                <w:sz w:val="18"/>
                <w:szCs w:val="18"/>
              </w:rPr>
            </w:pPr>
            <w:r w:rsidRPr="00F849C3">
              <w:rPr>
                <w:sz w:val="18"/>
                <w:szCs w:val="18"/>
              </w:rPr>
              <w:t> </w:t>
            </w:r>
          </w:p>
        </w:tc>
        <w:tc>
          <w:tcPr>
            <w:tcW w:w="851" w:type="dxa"/>
            <w:tcBorders>
              <w:top w:val="nil"/>
              <w:left w:val="nil"/>
              <w:bottom w:val="nil"/>
              <w:right w:val="nil"/>
            </w:tcBorders>
            <w:shd w:val="clear" w:color="000000" w:fill="FFFFFF"/>
            <w:vAlign w:val="center"/>
          </w:tcPr>
          <w:p w:rsidR="00255E13" w:rsidRPr="00F849C3" w:rsidRDefault="00255E13" w:rsidP="00895B36">
            <w:pPr>
              <w:jc w:val="center"/>
              <w:rPr>
                <w:sz w:val="18"/>
                <w:szCs w:val="18"/>
              </w:rPr>
            </w:pPr>
            <w:r w:rsidRPr="00F849C3">
              <w:rPr>
                <w:sz w:val="18"/>
                <w:szCs w:val="18"/>
              </w:rPr>
              <w:t> </w:t>
            </w:r>
          </w:p>
        </w:tc>
        <w:tc>
          <w:tcPr>
            <w:tcW w:w="1559" w:type="dxa"/>
            <w:gridSpan w:val="2"/>
            <w:tcBorders>
              <w:top w:val="nil"/>
              <w:left w:val="single" w:sz="8" w:space="0" w:color="auto"/>
              <w:bottom w:val="nil"/>
              <w:right w:val="single" w:sz="4" w:space="0" w:color="auto"/>
            </w:tcBorders>
            <w:shd w:val="clear" w:color="000000" w:fill="FFFFFF"/>
            <w:vAlign w:val="center"/>
          </w:tcPr>
          <w:p w:rsidR="00255E13" w:rsidRPr="00F849C3" w:rsidRDefault="00255E13" w:rsidP="00895B36">
            <w:pPr>
              <w:jc w:val="center"/>
              <w:rPr>
                <w:sz w:val="18"/>
                <w:szCs w:val="18"/>
              </w:rPr>
            </w:pPr>
            <w:r w:rsidRPr="00F849C3">
              <w:rPr>
                <w:sz w:val="18"/>
                <w:szCs w:val="18"/>
              </w:rPr>
              <w:t> </w:t>
            </w:r>
          </w:p>
        </w:tc>
        <w:tc>
          <w:tcPr>
            <w:tcW w:w="1559" w:type="dxa"/>
            <w:tcBorders>
              <w:top w:val="nil"/>
              <w:left w:val="nil"/>
              <w:bottom w:val="nil"/>
              <w:right w:val="single" w:sz="8" w:space="0" w:color="auto"/>
            </w:tcBorders>
            <w:shd w:val="clear" w:color="000000" w:fill="FFFFFF"/>
            <w:vAlign w:val="center"/>
          </w:tcPr>
          <w:p w:rsidR="00255E13" w:rsidRPr="00F849C3" w:rsidRDefault="00255E13" w:rsidP="00895B36">
            <w:pPr>
              <w:jc w:val="center"/>
              <w:rPr>
                <w:sz w:val="18"/>
                <w:szCs w:val="18"/>
              </w:rPr>
            </w:pPr>
            <w:r w:rsidRPr="00F849C3">
              <w:rPr>
                <w:sz w:val="18"/>
                <w:szCs w:val="18"/>
              </w:rPr>
              <w:t> </w:t>
            </w:r>
          </w:p>
        </w:tc>
      </w:tr>
      <w:tr w:rsidR="00255E13" w:rsidRPr="00F849C3" w:rsidTr="00895B36">
        <w:trPr>
          <w:trHeight w:val="255"/>
        </w:trPr>
        <w:tc>
          <w:tcPr>
            <w:tcW w:w="13618" w:type="dxa"/>
            <w:gridSpan w:val="17"/>
            <w:tcBorders>
              <w:top w:val="single" w:sz="8" w:space="0" w:color="auto"/>
              <w:left w:val="single" w:sz="8" w:space="0" w:color="auto"/>
              <w:bottom w:val="single" w:sz="8" w:space="0" w:color="auto"/>
              <w:right w:val="single" w:sz="8" w:space="0" w:color="000000"/>
            </w:tcBorders>
            <w:shd w:val="clear" w:color="000000" w:fill="FFFFFF"/>
            <w:vAlign w:val="center"/>
          </w:tcPr>
          <w:p w:rsidR="00255E13" w:rsidRPr="00F849C3" w:rsidRDefault="00255E13" w:rsidP="00895B36">
            <w:pPr>
              <w:rPr>
                <w:b/>
                <w:bCs/>
                <w:sz w:val="18"/>
                <w:szCs w:val="18"/>
              </w:rPr>
            </w:pPr>
            <w:r w:rsidRPr="00F849C3">
              <w:rPr>
                <w:b/>
                <w:bCs/>
                <w:sz w:val="18"/>
                <w:szCs w:val="18"/>
              </w:rPr>
              <w:t>2- Ekol</w:t>
            </w:r>
            <w:r>
              <w:rPr>
                <w:b/>
                <w:bCs/>
                <w:sz w:val="18"/>
                <w:szCs w:val="18"/>
              </w:rPr>
              <w:t>ogické poľnohospodárstvo (čl. 29</w:t>
            </w:r>
            <w:r w:rsidRPr="00F849C3">
              <w:rPr>
                <w:b/>
                <w:bCs/>
                <w:sz w:val="18"/>
                <w:szCs w:val="18"/>
              </w:rPr>
              <w:t>)</w:t>
            </w:r>
          </w:p>
        </w:tc>
      </w:tr>
      <w:tr w:rsidR="00255E13" w:rsidRPr="00F849C3" w:rsidTr="00895B36">
        <w:trPr>
          <w:trHeight w:val="255"/>
        </w:trPr>
        <w:tc>
          <w:tcPr>
            <w:tcW w:w="4688" w:type="dxa"/>
            <w:gridSpan w:val="4"/>
            <w:tcBorders>
              <w:top w:val="nil"/>
              <w:left w:val="single" w:sz="8" w:space="0" w:color="auto"/>
              <w:bottom w:val="single" w:sz="4" w:space="0" w:color="auto"/>
              <w:right w:val="single" w:sz="4" w:space="0" w:color="000000"/>
            </w:tcBorders>
            <w:shd w:val="clear" w:color="000000" w:fill="FFFFFF"/>
            <w:vAlign w:val="center"/>
          </w:tcPr>
          <w:p w:rsidR="00255E13" w:rsidRPr="00F849C3" w:rsidRDefault="00255E13" w:rsidP="00895B36">
            <w:pPr>
              <w:rPr>
                <w:sz w:val="18"/>
                <w:szCs w:val="18"/>
              </w:rPr>
            </w:pPr>
            <w:r w:rsidRPr="00F849C3">
              <w:rPr>
                <w:sz w:val="18"/>
                <w:szCs w:val="18"/>
              </w:rPr>
              <w:t>Konverzia</w:t>
            </w:r>
          </w:p>
        </w:tc>
        <w:tc>
          <w:tcPr>
            <w:tcW w:w="1418" w:type="dxa"/>
            <w:tcBorders>
              <w:top w:val="nil"/>
              <w:left w:val="nil"/>
              <w:bottom w:val="single" w:sz="4" w:space="0" w:color="auto"/>
              <w:right w:val="single" w:sz="8" w:space="0" w:color="auto"/>
            </w:tcBorders>
            <w:shd w:val="clear" w:color="000000" w:fill="FFFFFF"/>
            <w:noWrap/>
            <w:vAlign w:val="center"/>
          </w:tcPr>
          <w:p w:rsidR="00255E13" w:rsidRPr="00F849C3" w:rsidRDefault="00255E13" w:rsidP="00895B36">
            <w:pPr>
              <w:jc w:val="right"/>
              <w:rPr>
                <w:sz w:val="18"/>
                <w:szCs w:val="18"/>
              </w:rPr>
            </w:pPr>
            <w:r w:rsidRPr="00F849C3">
              <w:rPr>
                <w:sz w:val="18"/>
                <w:szCs w:val="18"/>
              </w:rPr>
              <w:t>0</w:t>
            </w:r>
          </w:p>
        </w:tc>
        <w:tc>
          <w:tcPr>
            <w:tcW w:w="1559" w:type="dxa"/>
            <w:gridSpan w:val="3"/>
            <w:tcBorders>
              <w:top w:val="nil"/>
              <w:left w:val="single" w:sz="4" w:space="0" w:color="auto"/>
              <w:bottom w:val="single" w:sz="4" w:space="0" w:color="auto"/>
              <w:right w:val="nil"/>
            </w:tcBorders>
            <w:shd w:val="clear" w:color="000000" w:fill="FFFFFF"/>
            <w:noWrap/>
            <w:vAlign w:val="center"/>
          </w:tcPr>
          <w:p w:rsidR="00255E13" w:rsidRPr="00F849C3" w:rsidRDefault="00255E13" w:rsidP="00895B36">
            <w:pPr>
              <w:jc w:val="right"/>
              <w:rPr>
                <w:sz w:val="18"/>
                <w:szCs w:val="18"/>
              </w:rPr>
            </w:pPr>
            <w:r w:rsidRPr="00F849C3">
              <w:rPr>
                <w:sz w:val="18"/>
                <w:szCs w:val="18"/>
              </w:rPr>
              <w:t>0</w:t>
            </w:r>
          </w:p>
        </w:tc>
        <w:tc>
          <w:tcPr>
            <w:tcW w:w="1134" w:type="dxa"/>
            <w:gridSpan w:val="2"/>
            <w:tcBorders>
              <w:top w:val="nil"/>
              <w:left w:val="single" w:sz="8" w:space="0" w:color="auto"/>
              <w:bottom w:val="single" w:sz="4" w:space="0" w:color="auto"/>
              <w:right w:val="single" w:sz="4" w:space="0" w:color="auto"/>
            </w:tcBorders>
            <w:shd w:val="clear" w:color="000000" w:fill="FFFFFF"/>
            <w:vAlign w:val="center"/>
          </w:tcPr>
          <w:p w:rsidR="00255E13" w:rsidRPr="00F849C3" w:rsidRDefault="00255E13" w:rsidP="00895B36">
            <w:pPr>
              <w:jc w:val="center"/>
              <w:rPr>
                <w:sz w:val="18"/>
                <w:szCs w:val="18"/>
              </w:rPr>
            </w:pPr>
            <w:r w:rsidRPr="00F849C3">
              <w:rPr>
                <w:sz w:val="18"/>
                <w:szCs w:val="18"/>
              </w:rPr>
              <w:t> </w:t>
            </w:r>
          </w:p>
        </w:tc>
        <w:tc>
          <w:tcPr>
            <w:tcW w:w="850" w:type="dxa"/>
            <w:gridSpan w:val="3"/>
            <w:tcBorders>
              <w:top w:val="nil"/>
              <w:left w:val="nil"/>
              <w:bottom w:val="single" w:sz="4" w:space="0" w:color="auto"/>
              <w:right w:val="single" w:sz="4" w:space="0" w:color="auto"/>
            </w:tcBorders>
            <w:shd w:val="clear" w:color="000000" w:fill="FFFFFF"/>
            <w:vAlign w:val="center"/>
          </w:tcPr>
          <w:p w:rsidR="00255E13" w:rsidRPr="00F849C3" w:rsidRDefault="00255E13" w:rsidP="00895B36">
            <w:pPr>
              <w:jc w:val="center"/>
              <w:rPr>
                <w:sz w:val="18"/>
                <w:szCs w:val="18"/>
              </w:rPr>
            </w:pPr>
            <w:r w:rsidRPr="00F849C3">
              <w:rPr>
                <w:sz w:val="18"/>
                <w:szCs w:val="18"/>
              </w:rPr>
              <w:t> </w:t>
            </w:r>
          </w:p>
        </w:tc>
        <w:tc>
          <w:tcPr>
            <w:tcW w:w="851" w:type="dxa"/>
            <w:tcBorders>
              <w:top w:val="nil"/>
              <w:left w:val="nil"/>
              <w:bottom w:val="single" w:sz="4" w:space="0" w:color="auto"/>
              <w:right w:val="single" w:sz="8" w:space="0" w:color="auto"/>
            </w:tcBorders>
            <w:shd w:val="clear" w:color="000000" w:fill="FFFFFF"/>
            <w:vAlign w:val="center"/>
          </w:tcPr>
          <w:p w:rsidR="00255E13" w:rsidRPr="00F849C3" w:rsidRDefault="00255E13" w:rsidP="00895B36">
            <w:pPr>
              <w:jc w:val="center"/>
              <w:rPr>
                <w:sz w:val="18"/>
                <w:szCs w:val="18"/>
              </w:rPr>
            </w:pPr>
            <w:r w:rsidRPr="00F849C3">
              <w:rPr>
                <w:sz w:val="18"/>
                <w:szCs w:val="18"/>
              </w:rPr>
              <w:t> </w:t>
            </w:r>
          </w:p>
        </w:tc>
        <w:tc>
          <w:tcPr>
            <w:tcW w:w="1559" w:type="dxa"/>
            <w:gridSpan w:val="2"/>
            <w:tcBorders>
              <w:top w:val="nil"/>
              <w:left w:val="nil"/>
              <w:bottom w:val="single" w:sz="4" w:space="0" w:color="auto"/>
              <w:right w:val="single" w:sz="4" w:space="0" w:color="auto"/>
            </w:tcBorders>
            <w:shd w:val="thinReverseDiagStripe" w:color="000000" w:fill="FFFFFF"/>
            <w:vAlign w:val="center"/>
          </w:tcPr>
          <w:p w:rsidR="00255E13" w:rsidRPr="00F849C3" w:rsidRDefault="00255E13" w:rsidP="00895B36">
            <w:pPr>
              <w:jc w:val="center"/>
              <w:rPr>
                <w:sz w:val="18"/>
                <w:szCs w:val="18"/>
              </w:rPr>
            </w:pPr>
            <w:r w:rsidRPr="00F849C3">
              <w:rPr>
                <w:sz w:val="18"/>
                <w:szCs w:val="18"/>
              </w:rPr>
              <w:t> </w:t>
            </w:r>
          </w:p>
        </w:tc>
        <w:tc>
          <w:tcPr>
            <w:tcW w:w="1559" w:type="dxa"/>
            <w:tcBorders>
              <w:top w:val="nil"/>
              <w:left w:val="nil"/>
              <w:bottom w:val="single" w:sz="4" w:space="0" w:color="auto"/>
              <w:right w:val="single" w:sz="8" w:space="0" w:color="auto"/>
            </w:tcBorders>
            <w:shd w:val="thinReverseDiagStripe" w:color="000000" w:fill="FFFFFF"/>
            <w:vAlign w:val="center"/>
          </w:tcPr>
          <w:p w:rsidR="00255E13" w:rsidRPr="00F849C3" w:rsidRDefault="00255E13" w:rsidP="00895B36">
            <w:pPr>
              <w:jc w:val="center"/>
              <w:rPr>
                <w:sz w:val="18"/>
                <w:szCs w:val="18"/>
              </w:rPr>
            </w:pPr>
            <w:r w:rsidRPr="00F849C3">
              <w:rPr>
                <w:sz w:val="18"/>
                <w:szCs w:val="18"/>
              </w:rPr>
              <w:t> </w:t>
            </w:r>
          </w:p>
        </w:tc>
      </w:tr>
      <w:tr w:rsidR="00255E13" w:rsidRPr="00F849C3" w:rsidTr="00895B36">
        <w:trPr>
          <w:trHeight w:val="270"/>
        </w:trPr>
        <w:tc>
          <w:tcPr>
            <w:tcW w:w="4688" w:type="dxa"/>
            <w:gridSpan w:val="4"/>
            <w:tcBorders>
              <w:top w:val="single" w:sz="4" w:space="0" w:color="auto"/>
              <w:left w:val="single" w:sz="8" w:space="0" w:color="auto"/>
              <w:bottom w:val="single" w:sz="8" w:space="0" w:color="auto"/>
              <w:right w:val="single" w:sz="4" w:space="0" w:color="000000"/>
            </w:tcBorders>
            <w:shd w:val="clear" w:color="000000" w:fill="FFFFFF"/>
            <w:vAlign w:val="center"/>
          </w:tcPr>
          <w:p w:rsidR="00255E13" w:rsidRPr="00F849C3" w:rsidRDefault="00255E13" w:rsidP="00895B36">
            <w:pPr>
              <w:rPr>
                <w:sz w:val="18"/>
                <w:szCs w:val="18"/>
              </w:rPr>
            </w:pPr>
            <w:r w:rsidRPr="00F849C3">
              <w:rPr>
                <w:sz w:val="18"/>
                <w:szCs w:val="18"/>
              </w:rPr>
              <w:t>Udržovanie</w:t>
            </w:r>
          </w:p>
        </w:tc>
        <w:tc>
          <w:tcPr>
            <w:tcW w:w="1418" w:type="dxa"/>
            <w:tcBorders>
              <w:top w:val="nil"/>
              <w:left w:val="nil"/>
              <w:bottom w:val="single" w:sz="4" w:space="0" w:color="auto"/>
              <w:right w:val="single" w:sz="8" w:space="0" w:color="auto"/>
            </w:tcBorders>
            <w:shd w:val="clear" w:color="000000" w:fill="FFFFFF"/>
            <w:noWrap/>
            <w:vAlign w:val="center"/>
          </w:tcPr>
          <w:p w:rsidR="00255E13" w:rsidRPr="00F849C3" w:rsidRDefault="00255E13" w:rsidP="00895B36">
            <w:pPr>
              <w:rPr>
                <w:sz w:val="18"/>
                <w:szCs w:val="18"/>
              </w:rPr>
            </w:pPr>
            <w:r w:rsidRPr="00F849C3">
              <w:rPr>
                <w:sz w:val="18"/>
                <w:szCs w:val="18"/>
              </w:rPr>
              <w:t xml:space="preserve">         90 000 000 </w:t>
            </w:r>
          </w:p>
        </w:tc>
        <w:tc>
          <w:tcPr>
            <w:tcW w:w="1559" w:type="dxa"/>
            <w:gridSpan w:val="3"/>
            <w:tcBorders>
              <w:top w:val="nil"/>
              <w:left w:val="single" w:sz="4" w:space="0" w:color="auto"/>
              <w:bottom w:val="single" w:sz="4" w:space="0" w:color="auto"/>
              <w:right w:val="nil"/>
            </w:tcBorders>
            <w:shd w:val="clear" w:color="000000" w:fill="FFFFFF"/>
            <w:noWrap/>
            <w:vAlign w:val="center"/>
          </w:tcPr>
          <w:p w:rsidR="00255E13" w:rsidRPr="00F849C3" w:rsidRDefault="00255E13" w:rsidP="00895B36">
            <w:pPr>
              <w:rPr>
                <w:sz w:val="18"/>
                <w:szCs w:val="18"/>
              </w:rPr>
            </w:pPr>
            <w:r w:rsidRPr="00F849C3">
              <w:rPr>
                <w:sz w:val="18"/>
                <w:szCs w:val="18"/>
              </w:rPr>
              <w:t xml:space="preserve">             15</w:t>
            </w:r>
            <w:r>
              <w:rPr>
                <w:sz w:val="18"/>
                <w:szCs w:val="18"/>
              </w:rPr>
              <w:t>0</w:t>
            </w:r>
            <w:r w:rsidRPr="00F849C3">
              <w:rPr>
                <w:sz w:val="18"/>
                <w:szCs w:val="18"/>
              </w:rPr>
              <w:t xml:space="preserve"> </w:t>
            </w:r>
            <w:r>
              <w:rPr>
                <w:sz w:val="18"/>
                <w:szCs w:val="18"/>
              </w:rPr>
              <w:t>34</w:t>
            </w:r>
            <w:r w:rsidRPr="00F849C3">
              <w:rPr>
                <w:sz w:val="18"/>
                <w:szCs w:val="18"/>
              </w:rPr>
              <w:t xml:space="preserve">0 </w:t>
            </w:r>
          </w:p>
        </w:tc>
        <w:tc>
          <w:tcPr>
            <w:tcW w:w="1134" w:type="dxa"/>
            <w:gridSpan w:val="2"/>
            <w:tcBorders>
              <w:top w:val="nil"/>
              <w:left w:val="single" w:sz="8" w:space="0" w:color="auto"/>
              <w:bottom w:val="single" w:sz="8" w:space="0" w:color="auto"/>
              <w:right w:val="single" w:sz="4" w:space="0" w:color="auto"/>
            </w:tcBorders>
            <w:shd w:val="clear" w:color="000000" w:fill="FFFFFF"/>
            <w:vAlign w:val="center"/>
          </w:tcPr>
          <w:p w:rsidR="00255E13" w:rsidRPr="00F849C3" w:rsidRDefault="00255E13" w:rsidP="00895B36">
            <w:pPr>
              <w:jc w:val="center"/>
              <w:rPr>
                <w:sz w:val="18"/>
                <w:szCs w:val="18"/>
              </w:rPr>
            </w:pPr>
            <w:r w:rsidRPr="00F849C3">
              <w:rPr>
                <w:sz w:val="18"/>
                <w:szCs w:val="18"/>
              </w:rPr>
              <w:t>√</w:t>
            </w:r>
          </w:p>
        </w:tc>
        <w:tc>
          <w:tcPr>
            <w:tcW w:w="850" w:type="dxa"/>
            <w:gridSpan w:val="3"/>
            <w:tcBorders>
              <w:top w:val="nil"/>
              <w:left w:val="nil"/>
              <w:bottom w:val="single" w:sz="8" w:space="0" w:color="auto"/>
              <w:right w:val="single" w:sz="4" w:space="0" w:color="auto"/>
            </w:tcBorders>
            <w:shd w:val="clear" w:color="000000" w:fill="FFFFFF"/>
            <w:vAlign w:val="center"/>
          </w:tcPr>
          <w:p w:rsidR="00255E13" w:rsidRPr="00F849C3" w:rsidRDefault="00255E13" w:rsidP="00895B36">
            <w:pPr>
              <w:jc w:val="center"/>
              <w:rPr>
                <w:sz w:val="18"/>
                <w:szCs w:val="18"/>
              </w:rPr>
            </w:pPr>
            <w:r w:rsidRPr="00F849C3">
              <w:rPr>
                <w:sz w:val="18"/>
                <w:szCs w:val="18"/>
              </w:rPr>
              <w:t>√</w:t>
            </w:r>
          </w:p>
        </w:tc>
        <w:tc>
          <w:tcPr>
            <w:tcW w:w="851" w:type="dxa"/>
            <w:tcBorders>
              <w:top w:val="nil"/>
              <w:left w:val="nil"/>
              <w:bottom w:val="single" w:sz="8" w:space="0" w:color="auto"/>
              <w:right w:val="single" w:sz="8" w:space="0" w:color="auto"/>
            </w:tcBorders>
            <w:shd w:val="clear" w:color="000000" w:fill="FFFFFF"/>
            <w:vAlign w:val="center"/>
          </w:tcPr>
          <w:p w:rsidR="00255E13" w:rsidRPr="00F849C3" w:rsidRDefault="00255E13" w:rsidP="00895B36">
            <w:pPr>
              <w:jc w:val="center"/>
              <w:rPr>
                <w:sz w:val="18"/>
                <w:szCs w:val="18"/>
              </w:rPr>
            </w:pPr>
            <w:r w:rsidRPr="00F849C3">
              <w:rPr>
                <w:sz w:val="18"/>
                <w:szCs w:val="18"/>
              </w:rPr>
              <w:t>√</w:t>
            </w:r>
          </w:p>
        </w:tc>
        <w:tc>
          <w:tcPr>
            <w:tcW w:w="1559" w:type="dxa"/>
            <w:gridSpan w:val="2"/>
            <w:tcBorders>
              <w:top w:val="nil"/>
              <w:left w:val="nil"/>
              <w:bottom w:val="single" w:sz="8" w:space="0" w:color="auto"/>
              <w:right w:val="nil"/>
            </w:tcBorders>
            <w:shd w:val="thinReverseDiagStripe" w:color="000000" w:fill="FFFFFF"/>
            <w:vAlign w:val="center"/>
          </w:tcPr>
          <w:p w:rsidR="00255E13" w:rsidRPr="00F849C3" w:rsidRDefault="00255E13" w:rsidP="00895B36">
            <w:pPr>
              <w:jc w:val="center"/>
              <w:rPr>
                <w:sz w:val="18"/>
                <w:szCs w:val="18"/>
              </w:rPr>
            </w:pPr>
            <w:r w:rsidRPr="00F849C3">
              <w:rPr>
                <w:sz w:val="18"/>
                <w:szCs w:val="18"/>
              </w:rPr>
              <w:t> </w:t>
            </w:r>
          </w:p>
        </w:tc>
        <w:tc>
          <w:tcPr>
            <w:tcW w:w="1559" w:type="dxa"/>
            <w:tcBorders>
              <w:top w:val="nil"/>
              <w:left w:val="single" w:sz="4" w:space="0" w:color="auto"/>
              <w:bottom w:val="single" w:sz="8" w:space="0" w:color="auto"/>
              <w:right w:val="single" w:sz="8" w:space="0" w:color="auto"/>
            </w:tcBorders>
            <w:shd w:val="thinReverseDiagStripe" w:color="000000" w:fill="FFFFFF"/>
            <w:vAlign w:val="center"/>
          </w:tcPr>
          <w:p w:rsidR="00255E13" w:rsidRPr="00F849C3" w:rsidRDefault="00255E13" w:rsidP="00895B36">
            <w:pPr>
              <w:jc w:val="center"/>
              <w:rPr>
                <w:sz w:val="18"/>
                <w:szCs w:val="18"/>
              </w:rPr>
            </w:pPr>
            <w:r w:rsidRPr="00F849C3">
              <w:rPr>
                <w:sz w:val="18"/>
                <w:szCs w:val="18"/>
              </w:rPr>
              <w:t> </w:t>
            </w:r>
          </w:p>
        </w:tc>
      </w:tr>
      <w:tr w:rsidR="00255E13" w:rsidRPr="00F849C3" w:rsidTr="00895B36">
        <w:trPr>
          <w:trHeight w:val="408"/>
        </w:trPr>
        <w:tc>
          <w:tcPr>
            <w:tcW w:w="6106" w:type="dxa"/>
            <w:gridSpan w:val="5"/>
            <w:tcBorders>
              <w:top w:val="single" w:sz="8" w:space="0" w:color="auto"/>
              <w:left w:val="single" w:sz="8" w:space="0" w:color="auto"/>
              <w:bottom w:val="single" w:sz="4" w:space="0" w:color="auto"/>
              <w:right w:val="single" w:sz="8" w:space="0" w:color="000000"/>
            </w:tcBorders>
            <w:shd w:val="clear" w:color="000000" w:fill="FFFFFF"/>
            <w:vAlign w:val="center"/>
          </w:tcPr>
          <w:p w:rsidR="00255E13" w:rsidRPr="00F849C3" w:rsidRDefault="00255E13" w:rsidP="00895B36">
            <w:pPr>
              <w:rPr>
                <w:b/>
                <w:bCs/>
                <w:sz w:val="18"/>
                <w:szCs w:val="18"/>
              </w:rPr>
            </w:pPr>
            <w:r w:rsidRPr="00F849C3">
              <w:rPr>
                <w:b/>
                <w:bCs/>
                <w:sz w:val="18"/>
                <w:szCs w:val="18"/>
              </w:rPr>
              <w:t>3- Natura 2000 a</w:t>
            </w:r>
            <w:r>
              <w:rPr>
                <w:b/>
                <w:bCs/>
                <w:sz w:val="18"/>
                <w:szCs w:val="18"/>
              </w:rPr>
              <w:t xml:space="preserve"> rámcová smernica o vode (čl. 30</w:t>
            </w:r>
            <w:r w:rsidRPr="00F849C3">
              <w:rPr>
                <w:b/>
                <w:bCs/>
                <w:sz w:val="18"/>
                <w:szCs w:val="18"/>
              </w:rPr>
              <w:t>)</w:t>
            </w:r>
          </w:p>
        </w:tc>
        <w:tc>
          <w:tcPr>
            <w:tcW w:w="1559" w:type="dxa"/>
            <w:gridSpan w:val="3"/>
            <w:tcBorders>
              <w:top w:val="single" w:sz="8" w:space="0" w:color="auto"/>
              <w:left w:val="nil"/>
              <w:bottom w:val="nil"/>
              <w:right w:val="single" w:sz="8" w:space="0" w:color="auto"/>
            </w:tcBorders>
            <w:shd w:val="clear" w:color="000000" w:fill="FFFFFF"/>
            <w:vAlign w:val="center"/>
          </w:tcPr>
          <w:p w:rsidR="00255E13" w:rsidRPr="00F849C3" w:rsidRDefault="00255E13" w:rsidP="00895B36">
            <w:pPr>
              <w:jc w:val="center"/>
              <w:rPr>
                <w:b/>
                <w:bCs/>
                <w:sz w:val="18"/>
                <w:szCs w:val="18"/>
              </w:rPr>
            </w:pPr>
            <w:r w:rsidRPr="00F849C3">
              <w:rPr>
                <w:b/>
                <w:bCs/>
                <w:sz w:val="18"/>
                <w:szCs w:val="18"/>
              </w:rPr>
              <w:t> </w:t>
            </w:r>
          </w:p>
        </w:tc>
        <w:tc>
          <w:tcPr>
            <w:tcW w:w="5953" w:type="dxa"/>
            <w:gridSpan w:val="9"/>
            <w:tcBorders>
              <w:top w:val="nil"/>
              <w:left w:val="nil"/>
              <w:bottom w:val="nil"/>
              <w:right w:val="single" w:sz="8" w:space="0" w:color="000000"/>
            </w:tcBorders>
            <w:shd w:val="clear" w:color="000000" w:fill="FFFFFF"/>
            <w:vAlign w:val="center"/>
          </w:tcPr>
          <w:p w:rsidR="00255E13" w:rsidRPr="00F849C3" w:rsidRDefault="00255E13" w:rsidP="00895B36">
            <w:pPr>
              <w:jc w:val="center"/>
              <w:rPr>
                <w:b/>
                <w:bCs/>
                <w:sz w:val="18"/>
                <w:szCs w:val="18"/>
              </w:rPr>
            </w:pPr>
            <w:r w:rsidRPr="00F849C3">
              <w:rPr>
                <w:b/>
                <w:bCs/>
                <w:sz w:val="18"/>
                <w:szCs w:val="18"/>
              </w:rPr>
              <w:t> </w:t>
            </w:r>
          </w:p>
        </w:tc>
      </w:tr>
      <w:tr w:rsidR="00255E13" w:rsidRPr="00F849C3" w:rsidTr="00895B36">
        <w:trPr>
          <w:trHeight w:val="358"/>
        </w:trPr>
        <w:tc>
          <w:tcPr>
            <w:tcW w:w="4688" w:type="dxa"/>
            <w:gridSpan w:val="4"/>
            <w:tcBorders>
              <w:top w:val="single" w:sz="4" w:space="0" w:color="auto"/>
              <w:left w:val="single" w:sz="8" w:space="0" w:color="auto"/>
              <w:bottom w:val="single" w:sz="4" w:space="0" w:color="auto"/>
              <w:right w:val="single" w:sz="4" w:space="0" w:color="000000"/>
            </w:tcBorders>
            <w:shd w:val="clear" w:color="000000" w:fill="FFFFFF"/>
            <w:vAlign w:val="center"/>
          </w:tcPr>
          <w:p w:rsidR="00255E13" w:rsidRPr="00F849C3" w:rsidRDefault="00255E13" w:rsidP="00895B36">
            <w:pPr>
              <w:rPr>
                <w:sz w:val="18"/>
                <w:szCs w:val="18"/>
              </w:rPr>
            </w:pPr>
            <w:r w:rsidRPr="00F849C3">
              <w:rPr>
                <w:sz w:val="18"/>
                <w:szCs w:val="18"/>
              </w:rPr>
              <w:t>Natura 2000 (poľ. pôda)</w:t>
            </w:r>
          </w:p>
        </w:tc>
        <w:tc>
          <w:tcPr>
            <w:tcW w:w="1418" w:type="dxa"/>
            <w:tcBorders>
              <w:top w:val="nil"/>
              <w:left w:val="nil"/>
              <w:bottom w:val="single" w:sz="4" w:space="0" w:color="auto"/>
              <w:right w:val="single" w:sz="8" w:space="0" w:color="auto"/>
            </w:tcBorders>
            <w:shd w:val="clear" w:color="000000" w:fill="FFFFFF"/>
            <w:noWrap/>
            <w:vAlign w:val="center"/>
          </w:tcPr>
          <w:p w:rsidR="00255E13" w:rsidRPr="00F849C3" w:rsidRDefault="00255E13" w:rsidP="00895B36">
            <w:pPr>
              <w:rPr>
                <w:sz w:val="18"/>
                <w:szCs w:val="18"/>
              </w:rPr>
            </w:pPr>
            <w:r w:rsidRPr="00F849C3">
              <w:rPr>
                <w:sz w:val="18"/>
                <w:szCs w:val="18"/>
              </w:rPr>
              <w:t xml:space="preserve">           </w:t>
            </w:r>
            <w:r>
              <w:rPr>
                <w:sz w:val="18"/>
                <w:szCs w:val="18"/>
              </w:rPr>
              <w:t> 900 000</w:t>
            </w:r>
          </w:p>
        </w:tc>
        <w:tc>
          <w:tcPr>
            <w:tcW w:w="1559" w:type="dxa"/>
            <w:gridSpan w:val="3"/>
            <w:tcBorders>
              <w:top w:val="single" w:sz="4" w:space="0" w:color="auto"/>
              <w:left w:val="single" w:sz="4" w:space="0" w:color="auto"/>
              <w:bottom w:val="single" w:sz="4" w:space="0" w:color="auto"/>
              <w:right w:val="single" w:sz="8" w:space="0" w:color="auto"/>
            </w:tcBorders>
            <w:shd w:val="clear" w:color="000000" w:fill="FFFFFF"/>
            <w:noWrap/>
            <w:vAlign w:val="center"/>
          </w:tcPr>
          <w:p w:rsidR="00255E13" w:rsidRPr="00F849C3" w:rsidRDefault="00255E13" w:rsidP="00895B36">
            <w:pPr>
              <w:rPr>
                <w:sz w:val="18"/>
                <w:szCs w:val="18"/>
              </w:rPr>
            </w:pPr>
            <w:r w:rsidRPr="00F849C3">
              <w:rPr>
                <w:sz w:val="18"/>
                <w:szCs w:val="18"/>
              </w:rPr>
              <w:t xml:space="preserve">                 </w:t>
            </w:r>
            <w:r>
              <w:rPr>
                <w:sz w:val="18"/>
                <w:szCs w:val="18"/>
              </w:rPr>
              <w:t>2 665</w:t>
            </w:r>
          </w:p>
        </w:tc>
        <w:tc>
          <w:tcPr>
            <w:tcW w:w="1134" w:type="dxa"/>
            <w:gridSpan w:val="2"/>
            <w:tcBorders>
              <w:top w:val="single" w:sz="8" w:space="0" w:color="auto"/>
              <w:left w:val="nil"/>
              <w:bottom w:val="single" w:sz="4" w:space="0" w:color="auto"/>
              <w:right w:val="single" w:sz="4" w:space="0" w:color="auto"/>
            </w:tcBorders>
            <w:shd w:val="clear" w:color="000000" w:fill="FFFFFF"/>
            <w:vAlign w:val="center"/>
          </w:tcPr>
          <w:p w:rsidR="00255E13" w:rsidRPr="00F849C3" w:rsidRDefault="00255E13" w:rsidP="00895B36">
            <w:pPr>
              <w:jc w:val="center"/>
              <w:rPr>
                <w:sz w:val="18"/>
                <w:szCs w:val="18"/>
              </w:rPr>
            </w:pPr>
            <w:r w:rsidRPr="00F849C3">
              <w:rPr>
                <w:sz w:val="18"/>
                <w:szCs w:val="18"/>
              </w:rPr>
              <w:t>√</w:t>
            </w:r>
          </w:p>
        </w:tc>
        <w:tc>
          <w:tcPr>
            <w:tcW w:w="813" w:type="dxa"/>
            <w:gridSpan w:val="2"/>
            <w:tcBorders>
              <w:top w:val="single" w:sz="8" w:space="0" w:color="auto"/>
              <w:left w:val="nil"/>
              <w:bottom w:val="single" w:sz="4" w:space="0" w:color="auto"/>
              <w:right w:val="single" w:sz="4" w:space="0" w:color="auto"/>
            </w:tcBorders>
            <w:shd w:val="thinReverseDiagStripe" w:color="000000" w:fill="FFFFFF"/>
            <w:vAlign w:val="center"/>
          </w:tcPr>
          <w:p w:rsidR="00255E13" w:rsidRPr="00F849C3" w:rsidRDefault="00255E13" w:rsidP="00895B36">
            <w:pPr>
              <w:jc w:val="center"/>
              <w:rPr>
                <w:sz w:val="18"/>
                <w:szCs w:val="18"/>
              </w:rPr>
            </w:pPr>
            <w:r w:rsidRPr="00F849C3">
              <w:rPr>
                <w:sz w:val="18"/>
                <w:szCs w:val="18"/>
              </w:rPr>
              <w:t> </w:t>
            </w:r>
          </w:p>
        </w:tc>
        <w:tc>
          <w:tcPr>
            <w:tcW w:w="932" w:type="dxa"/>
            <w:gridSpan w:val="3"/>
            <w:tcBorders>
              <w:top w:val="single" w:sz="8" w:space="0" w:color="auto"/>
              <w:left w:val="nil"/>
              <w:bottom w:val="single" w:sz="4" w:space="0" w:color="auto"/>
              <w:right w:val="single" w:sz="8" w:space="0" w:color="auto"/>
            </w:tcBorders>
            <w:shd w:val="thinReverseDiagStripe" w:color="000000" w:fill="FFFFFF"/>
            <w:vAlign w:val="center"/>
          </w:tcPr>
          <w:p w:rsidR="00255E13" w:rsidRPr="00F849C3" w:rsidRDefault="00255E13" w:rsidP="00895B36">
            <w:pPr>
              <w:jc w:val="center"/>
              <w:rPr>
                <w:sz w:val="18"/>
                <w:szCs w:val="18"/>
              </w:rPr>
            </w:pPr>
            <w:r w:rsidRPr="00F849C3">
              <w:rPr>
                <w:sz w:val="18"/>
                <w:szCs w:val="18"/>
              </w:rPr>
              <w:t> </w:t>
            </w:r>
          </w:p>
        </w:tc>
        <w:tc>
          <w:tcPr>
            <w:tcW w:w="1515" w:type="dxa"/>
            <w:tcBorders>
              <w:top w:val="single" w:sz="8" w:space="0" w:color="auto"/>
              <w:left w:val="nil"/>
              <w:bottom w:val="single" w:sz="4" w:space="0" w:color="auto"/>
              <w:right w:val="single" w:sz="4" w:space="0" w:color="auto"/>
            </w:tcBorders>
            <w:shd w:val="thinReverseDiagStripe" w:color="000000" w:fill="FFFFFF"/>
            <w:vAlign w:val="center"/>
          </w:tcPr>
          <w:p w:rsidR="00255E13" w:rsidRPr="00F849C3" w:rsidRDefault="00255E13" w:rsidP="00895B36">
            <w:pPr>
              <w:jc w:val="center"/>
              <w:rPr>
                <w:sz w:val="18"/>
                <w:szCs w:val="18"/>
              </w:rPr>
            </w:pPr>
            <w:r w:rsidRPr="00F849C3">
              <w:rPr>
                <w:sz w:val="18"/>
                <w:szCs w:val="18"/>
              </w:rPr>
              <w:t> </w:t>
            </w:r>
          </w:p>
        </w:tc>
        <w:tc>
          <w:tcPr>
            <w:tcW w:w="1559" w:type="dxa"/>
            <w:tcBorders>
              <w:top w:val="single" w:sz="8" w:space="0" w:color="auto"/>
              <w:left w:val="nil"/>
              <w:bottom w:val="single" w:sz="4" w:space="0" w:color="auto"/>
              <w:right w:val="single" w:sz="8" w:space="0" w:color="auto"/>
            </w:tcBorders>
            <w:shd w:val="thinReverseDiagStripe" w:color="000000" w:fill="FFFFFF"/>
            <w:vAlign w:val="center"/>
          </w:tcPr>
          <w:p w:rsidR="00255E13" w:rsidRPr="00F849C3" w:rsidRDefault="00255E13" w:rsidP="00895B36">
            <w:pPr>
              <w:jc w:val="center"/>
              <w:rPr>
                <w:sz w:val="18"/>
                <w:szCs w:val="18"/>
              </w:rPr>
            </w:pPr>
            <w:r w:rsidRPr="00F849C3">
              <w:rPr>
                <w:sz w:val="18"/>
                <w:szCs w:val="18"/>
              </w:rPr>
              <w:t> </w:t>
            </w:r>
          </w:p>
        </w:tc>
      </w:tr>
      <w:tr w:rsidR="00255E13" w:rsidRPr="00F849C3" w:rsidTr="00895B36">
        <w:trPr>
          <w:trHeight w:val="416"/>
        </w:trPr>
        <w:tc>
          <w:tcPr>
            <w:tcW w:w="4688" w:type="dxa"/>
            <w:gridSpan w:val="4"/>
            <w:tcBorders>
              <w:top w:val="single" w:sz="4" w:space="0" w:color="auto"/>
              <w:left w:val="single" w:sz="8" w:space="0" w:color="auto"/>
              <w:bottom w:val="single" w:sz="8" w:space="0" w:color="auto"/>
              <w:right w:val="single" w:sz="4" w:space="0" w:color="000000"/>
            </w:tcBorders>
            <w:shd w:val="clear" w:color="000000" w:fill="FFFFFF"/>
            <w:vAlign w:val="center"/>
          </w:tcPr>
          <w:p w:rsidR="00255E13" w:rsidRPr="00F849C3" w:rsidRDefault="00255E13" w:rsidP="00895B36">
            <w:pPr>
              <w:rPr>
                <w:sz w:val="18"/>
                <w:szCs w:val="18"/>
              </w:rPr>
            </w:pPr>
            <w:r w:rsidRPr="00F849C3">
              <w:rPr>
                <w:sz w:val="18"/>
                <w:szCs w:val="18"/>
              </w:rPr>
              <w:t>Rámcová smernica o vode</w:t>
            </w:r>
          </w:p>
        </w:tc>
        <w:tc>
          <w:tcPr>
            <w:tcW w:w="1418" w:type="dxa"/>
            <w:tcBorders>
              <w:top w:val="nil"/>
              <w:left w:val="nil"/>
              <w:bottom w:val="single" w:sz="4" w:space="0" w:color="auto"/>
              <w:right w:val="single" w:sz="8" w:space="0" w:color="auto"/>
            </w:tcBorders>
            <w:shd w:val="clear" w:color="000000" w:fill="FFFFFF"/>
            <w:noWrap/>
            <w:vAlign w:val="center"/>
          </w:tcPr>
          <w:p w:rsidR="00255E13" w:rsidRPr="00F849C3" w:rsidRDefault="00255E13" w:rsidP="00895B36">
            <w:pPr>
              <w:rPr>
                <w:sz w:val="18"/>
                <w:szCs w:val="18"/>
              </w:rPr>
            </w:pPr>
            <w:r w:rsidRPr="00F849C3">
              <w:rPr>
                <w:sz w:val="18"/>
                <w:szCs w:val="18"/>
              </w:rPr>
              <w:t>0</w:t>
            </w:r>
          </w:p>
        </w:tc>
        <w:tc>
          <w:tcPr>
            <w:tcW w:w="1559" w:type="dxa"/>
            <w:gridSpan w:val="3"/>
            <w:tcBorders>
              <w:top w:val="nil"/>
              <w:left w:val="single" w:sz="4" w:space="0" w:color="auto"/>
              <w:bottom w:val="single" w:sz="4" w:space="0" w:color="auto"/>
              <w:right w:val="single" w:sz="8" w:space="0" w:color="auto"/>
            </w:tcBorders>
            <w:shd w:val="clear" w:color="000000" w:fill="FFFFFF"/>
            <w:noWrap/>
            <w:vAlign w:val="center"/>
          </w:tcPr>
          <w:p w:rsidR="00255E13" w:rsidRPr="00F849C3" w:rsidRDefault="00255E13" w:rsidP="00895B36">
            <w:pPr>
              <w:jc w:val="right"/>
              <w:rPr>
                <w:sz w:val="18"/>
                <w:szCs w:val="18"/>
              </w:rPr>
            </w:pPr>
            <w:r w:rsidRPr="00F849C3">
              <w:rPr>
                <w:sz w:val="18"/>
                <w:szCs w:val="18"/>
              </w:rPr>
              <w:t>0</w:t>
            </w:r>
          </w:p>
        </w:tc>
        <w:tc>
          <w:tcPr>
            <w:tcW w:w="1134" w:type="dxa"/>
            <w:gridSpan w:val="2"/>
            <w:tcBorders>
              <w:top w:val="nil"/>
              <w:left w:val="nil"/>
              <w:bottom w:val="single" w:sz="8" w:space="0" w:color="auto"/>
              <w:right w:val="single" w:sz="4" w:space="0" w:color="auto"/>
            </w:tcBorders>
            <w:shd w:val="thinReverseDiagStripe" w:color="000000" w:fill="FFFFFF"/>
            <w:vAlign w:val="center"/>
          </w:tcPr>
          <w:p w:rsidR="00255E13" w:rsidRPr="00F849C3" w:rsidRDefault="00255E13" w:rsidP="00895B36">
            <w:pPr>
              <w:jc w:val="center"/>
              <w:rPr>
                <w:sz w:val="18"/>
                <w:szCs w:val="18"/>
              </w:rPr>
            </w:pPr>
            <w:r w:rsidRPr="00F849C3">
              <w:rPr>
                <w:sz w:val="18"/>
                <w:szCs w:val="18"/>
              </w:rPr>
              <w:t> </w:t>
            </w:r>
          </w:p>
        </w:tc>
        <w:tc>
          <w:tcPr>
            <w:tcW w:w="813" w:type="dxa"/>
            <w:gridSpan w:val="2"/>
            <w:tcBorders>
              <w:top w:val="nil"/>
              <w:left w:val="nil"/>
              <w:bottom w:val="single" w:sz="8" w:space="0" w:color="auto"/>
              <w:right w:val="single" w:sz="4" w:space="0" w:color="auto"/>
            </w:tcBorders>
            <w:shd w:val="clear" w:color="000000" w:fill="FFFFFF"/>
            <w:vAlign w:val="center"/>
          </w:tcPr>
          <w:p w:rsidR="00255E13" w:rsidRPr="00F849C3" w:rsidRDefault="00255E13" w:rsidP="00895B36">
            <w:pPr>
              <w:jc w:val="center"/>
              <w:rPr>
                <w:sz w:val="18"/>
                <w:szCs w:val="18"/>
              </w:rPr>
            </w:pPr>
            <w:r w:rsidRPr="00F849C3">
              <w:rPr>
                <w:sz w:val="18"/>
                <w:szCs w:val="18"/>
              </w:rPr>
              <w:t> </w:t>
            </w:r>
          </w:p>
        </w:tc>
        <w:tc>
          <w:tcPr>
            <w:tcW w:w="932" w:type="dxa"/>
            <w:gridSpan w:val="3"/>
            <w:tcBorders>
              <w:top w:val="nil"/>
              <w:left w:val="nil"/>
              <w:bottom w:val="single" w:sz="8" w:space="0" w:color="auto"/>
              <w:right w:val="single" w:sz="8" w:space="0" w:color="auto"/>
            </w:tcBorders>
            <w:shd w:val="thinReverseDiagStripe" w:color="000000" w:fill="FFFFFF"/>
            <w:vAlign w:val="center"/>
          </w:tcPr>
          <w:p w:rsidR="00255E13" w:rsidRPr="00F849C3" w:rsidRDefault="00255E13" w:rsidP="00895B36">
            <w:pPr>
              <w:jc w:val="center"/>
              <w:rPr>
                <w:sz w:val="18"/>
                <w:szCs w:val="18"/>
              </w:rPr>
            </w:pPr>
            <w:r w:rsidRPr="00F849C3">
              <w:rPr>
                <w:sz w:val="18"/>
                <w:szCs w:val="18"/>
              </w:rPr>
              <w:t> </w:t>
            </w:r>
          </w:p>
        </w:tc>
        <w:tc>
          <w:tcPr>
            <w:tcW w:w="1515" w:type="dxa"/>
            <w:tcBorders>
              <w:top w:val="nil"/>
              <w:left w:val="nil"/>
              <w:bottom w:val="single" w:sz="8" w:space="0" w:color="auto"/>
              <w:right w:val="nil"/>
            </w:tcBorders>
            <w:shd w:val="thinReverseDiagStripe" w:color="000000" w:fill="FFFFFF"/>
            <w:vAlign w:val="center"/>
          </w:tcPr>
          <w:p w:rsidR="00255E13" w:rsidRPr="00F849C3" w:rsidRDefault="00255E13" w:rsidP="00895B36">
            <w:pPr>
              <w:jc w:val="center"/>
              <w:rPr>
                <w:sz w:val="18"/>
                <w:szCs w:val="18"/>
              </w:rPr>
            </w:pPr>
            <w:r w:rsidRPr="00F849C3">
              <w:rPr>
                <w:sz w:val="18"/>
                <w:szCs w:val="18"/>
              </w:rPr>
              <w:t> </w:t>
            </w:r>
          </w:p>
        </w:tc>
        <w:tc>
          <w:tcPr>
            <w:tcW w:w="1559" w:type="dxa"/>
            <w:tcBorders>
              <w:top w:val="nil"/>
              <w:left w:val="single" w:sz="4" w:space="0" w:color="auto"/>
              <w:bottom w:val="single" w:sz="8" w:space="0" w:color="auto"/>
              <w:right w:val="single" w:sz="8" w:space="0" w:color="auto"/>
            </w:tcBorders>
            <w:shd w:val="thinReverseDiagStripe" w:color="000000" w:fill="FFFFFF"/>
            <w:vAlign w:val="center"/>
          </w:tcPr>
          <w:p w:rsidR="00255E13" w:rsidRPr="00F849C3" w:rsidRDefault="00255E13" w:rsidP="00895B36">
            <w:pPr>
              <w:jc w:val="center"/>
              <w:rPr>
                <w:sz w:val="18"/>
                <w:szCs w:val="18"/>
              </w:rPr>
            </w:pPr>
            <w:r w:rsidRPr="00F849C3">
              <w:rPr>
                <w:sz w:val="18"/>
                <w:szCs w:val="18"/>
              </w:rPr>
              <w:t> </w:t>
            </w:r>
          </w:p>
        </w:tc>
      </w:tr>
      <w:tr w:rsidR="00255E13" w:rsidRPr="00F849C3" w:rsidTr="00895B36">
        <w:trPr>
          <w:gridAfter w:val="6"/>
          <w:wAfter w:w="4323" w:type="dxa"/>
          <w:trHeight w:val="255"/>
        </w:trPr>
        <w:tc>
          <w:tcPr>
            <w:tcW w:w="9300" w:type="dxa"/>
            <w:gridSpan w:val="11"/>
            <w:vMerge w:val="restart"/>
            <w:tcBorders>
              <w:top w:val="single" w:sz="8" w:space="0" w:color="auto"/>
              <w:left w:val="single" w:sz="8" w:space="0" w:color="auto"/>
              <w:bottom w:val="single" w:sz="8" w:space="0" w:color="000000"/>
              <w:right w:val="single" w:sz="8" w:space="0" w:color="000000"/>
            </w:tcBorders>
            <w:shd w:val="clear" w:color="000000" w:fill="FFFFFF"/>
            <w:vAlign w:val="center"/>
          </w:tcPr>
          <w:p w:rsidR="00255E13" w:rsidRPr="00F849C3" w:rsidRDefault="00255E13" w:rsidP="00895B36">
            <w:pPr>
              <w:jc w:val="center"/>
              <w:rPr>
                <w:b/>
                <w:bCs/>
                <w:sz w:val="18"/>
                <w:szCs w:val="18"/>
              </w:rPr>
            </w:pPr>
            <w:r w:rsidRPr="00F849C3">
              <w:rPr>
                <w:b/>
                <w:bCs/>
                <w:sz w:val="18"/>
                <w:szCs w:val="18"/>
              </w:rPr>
              <w:t xml:space="preserve">Table A2 - podporná tabuľka pre zobrazenie príspevku programovaných opatrení/schém k dosiahnutiu jedného alebo viacerých environmentálnych a klimatických cieľov na podporenej lesnej pôde </w:t>
            </w:r>
          </w:p>
        </w:tc>
      </w:tr>
      <w:tr w:rsidR="00255E13" w:rsidRPr="00F849C3" w:rsidTr="00895B36">
        <w:trPr>
          <w:gridAfter w:val="6"/>
          <w:wAfter w:w="4323" w:type="dxa"/>
          <w:trHeight w:val="705"/>
        </w:trPr>
        <w:tc>
          <w:tcPr>
            <w:tcW w:w="9300" w:type="dxa"/>
            <w:gridSpan w:val="11"/>
            <w:vMerge/>
            <w:tcBorders>
              <w:top w:val="single" w:sz="8" w:space="0" w:color="auto"/>
              <w:left w:val="single" w:sz="8" w:space="0" w:color="auto"/>
              <w:bottom w:val="single" w:sz="8" w:space="0" w:color="000000"/>
              <w:right w:val="single" w:sz="8" w:space="0" w:color="000000"/>
            </w:tcBorders>
            <w:vAlign w:val="center"/>
          </w:tcPr>
          <w:p w:rsidR="00255E13" w:rsidRPr="00F849C3" w:rsidRDefault="00255E13" w:rsidP="00895B36">
            <w:pPr>
              <w:rPr>
                <w:b/>
                <w:bCs/>
                <w:sz w:val="18"/>
                <w:szCs w:val="18"/>
              </w:rPr>
            </w:pPr>
          </w:p>
        </w:tc>
      </w:tr>
      <w:tr w:rsidR="00255E13" w:rsidRPr="00F849C3" w:rsidTr="00895B36">
        <w:trPr>
          <w:gridAfter w:val="6"/>
          <w:wAfter w:w="4323" w:type="dxa"/>
          <w:trHeight w:val="270"/>
        </w:trPr>
        <w:tc>
          <w:tcPr>
            <w:tcW w:w="6242" w:type="dxa"/>
            <w:gridSpan w:val="6"/>
            <w:vMerge w:val="restart"/>
            <w:tcBorders>
              <w:top w:val="single" w:sz="8" w:space="0" w:color="auto"/>
              <w:left w:val="nil"/>
              <w:bottom w:val="single" w:sz="8" w:space="0" w:color="000000"/>
              <w:right w:val="nil"/>
            </w:tcBorders>
            <w:shd w:val="clear" w:color="000000" w:fill="FFFFFF"/>
            <w:vAlign w:val="center"/>
          </w:tcPr>
          <w:p w:rsidR="00255E13" w:rsidRPr="00F849C3" w:rsidRDefault="00255E13" w:rsidP="00895B36">
            <w:pPr>
              <w:jc w:val="center"/>
              <w:rPr>
                <w:sz w:val="18"/>
                <w:szCs w:val="18"/>
              </w:rPr>
            </w:pPr>
            <w:r w:rsidRPr="00F849C3">
              <w:rPr>
                <w:sz w:val="18"/>
                <w:szCs w:val="18"/>
              </w:rPr>
              <w:t> </w:t>
            </w:r>
          </w:p>
        </w:tc>
        <w:tc>
          <w:tcPr>
            <w:tcW w:w="3058" w:type="dxa"/>
            <w:gridSpan w:val="5"/>
            <w:tcBorders>
              <w:top w:val="single" w:sz="8" w:space="0" w:color="auto"/>
              <w:left w:val="nil"/>
              <w:bottom w:val="single" w:sz="8" w:space="0" w:color="auto"/>
              <w:right w:val="nil"/>
            </w:tcBorders>
            <w:shd w:val="clear" w:color="000000" w:fill="FFFFFF"/>
            <w:vAlign w:val="center"/>
          </w:tcPr>
          <w:p w:rsidR="00255E13" w:rsidRPr="00F849C3" w:rsidRDefault="00255E13" w:rsidP="00895B36">
            <w:pPr>
              <w:jc w:val="center"/>
              <w:rPr>
                <w:sz w:val="18"/>
                <w:szCs w:val="18"/>
              </w:rPr>
            </w:pPr>
            <w:r w:rsidRPr="00F849C3">
              <w:rPr>
                <w:sz w:val="18"/>
                <w:szCs w:val="18"/>
              </w:rPr>
              <w:t> </w:t>
            </w:r>
          </w:p>
        </w:tc>
      </w:tr>
      <w:tr w:rsidR="00255E13" w:rsidRPr="00F849C3" w:rsidTr="00895B36">
        <w:trPr>
          <w:gridAfter w:val="6"/>
          <w:wAfter w:w="4323" w:type="dxa"/>
          <w:trHeight w:val="138"/>
        </w:trPr>
        <w:tc>
          <w:tcPr>
            <w:tcW w:w="6242" w:type="dxa"/>
            <w:gridSpan w:val="6"/>
            <w:vMerge/>
            <w:tcBorders>
              <w:top w:val="single" w:sz="8" w:space="0" w:color="auto"/>
              <w:left w:val="nil"/>
              <w:bottom w:val="single" w:sz="8" w:space="0" w:color="000000"/>
              <w:right w:val="nil"/>
            </w:tcBorders>
            <w:vAlign w:val="center"/>
          </w:tcPr>
          <w:p w:rsidR="00255E13" w:rsidRPr="00F849C3" w:rsidRDefault="00255E13" w:rsidP="00895B36">
            <w:pPr>
              <w:rPr>
                <w:sz w:val="18"/>
                <w:szCs w:val="18"/>
              </w:rPr>
            </w:pPr>
          </w:p>
        </w:tc>
        <w:tc>
          <w:tcPr>
            <w:tcW w:w="3058" w:type="dxa"/>
            <w:gridSpan w:val="5"/>
            <w:tcBorders>
              <w:top w:val="single" w:sz="8" w:space="0" w:color="auto"/>
              <w:left w:val="single" w:sz="8" w:space="0" w:color="auto"/>
              <w:bottom w:val="single" w:sz="8" w:space="0" w:color="auto"/>
              <w:right w:val="single" w:sz="8" w:space="0" w:color="000000"/>
            </w:tcBorders>
            <w:shd w:val="clear" w:color="000000" w:fill="FFFFFF"/>
            <w:vAlign w:val="center"/>
          </w:tcPr>
          <w:p w:rsidR="00255E13" w:rsidRPr="00F849C3" w:rsidRDefault="00255E13" w:rsidP="00895B36">
            <w:pPr>
              <w:jc w:val="center"/>
              <w:rPr>
                <w:b/>
                <w:bCs/>
                <w:sz w:val="18"/>
                <w:szCs w:val="18"/>
              </w:rPr>
            </w:pPr>
          </w:p>
        </w:tc>
      </w:tr>
      <w:tr w:rsidR="00255E13" w:rsidRPr="00F849C3" w:rsidTr="00895B36">
        <w:trPr>
          <w:gridAfter w:val="6"/>
          <w:wAfter w:w="4323" w:type="dxa"/>
          <w:trHeight w:val="270"/>
        </w:trPr>
        <w:tc>
          <w:tcPr>
            <w:tcW w:w="6242" w:type="dxa"/>
            <w:gridSpan w:val="6"/>
            <w:vMerge/>
            <w:tcBorders>
              <w:top w:val="single" w:sz="8" w:space="0" w:color="auto"/>
              <w:left w:val="nil"/>
              <w:bottom w:val="single" w:sz="8" w:space="0" w:color="000000"/>
              <w:right w:val="nil"/>
            </w:tcBorders>
            <w:vAlign w:val="center"/>
          </w:tcPr>
          <w:p w:rsidR="00255E13" w:rsidRPr="00F849C3" w:rsidRDefault="00255E13" w:rsidP="00895B36">
            <w:pPr>
              <w:rPr>
                <w:sz w:val="18"/>
                <w:szCs w:val="18"/>
              </w:rPr>
            </w:pPr>
          </w:p>
        </w:tc>
        <w:tc>
          <w:tcPr>
            <w:tcW w:w="3058" w:type="dxa"/>
            <w:gridSpan w:val="5"/>
            <w:tcBorders>
              <w:top w:val="single" w:sz="8" w:space="0" w:color="auto"/>
              <w:left w:val="single" w:sz="8" w:space="0" w:color="auto"/>
              <w:bottom w:val="single" w:sz="8" w:space="0" w:color="auto"/>
              <w:right w:val="single" w:sz="8" w:space="0" w:color="000000"/>
            </w:tcBorders>
            <w:shd w:val="clear" w:color="000000" w:fill="FFFFFF"/>
            <w:vAlign w:val="center"/>
          </w:tcPr>
          <w:p w:rsidR="00255E13" w:rsidRPr="00F849C3" w:rsidRDefault="00255E13" w:rsidP="00895B36">
            <w:pPr>
              <w:jc w:val="center"/>
              <w:rPr>
                <w:b/>
                <w:bCs/>
                <w:sz w:val="18"/>
                <w:szCs w:val="18"/>
              </w:rPr>
            </w:pPr>
            <w:r w:rsidRPr="00F849C3">
              <w:rPr>
                <w:b/>
                <w:bCs/>
                <w:sz w:val="18"/>
                <w:szCs w:val="18"/>
              </w:rPr>
              <w:t>Priorita 4</w:t>
            </w:r>
          </w:p>
        </w:tc>
      </w:tr>
      <w:tr w:rsidR="00255E13" w:rsidRPr="00F849C3" w:rsidTr="00895B36">
        <w:trPr>
          <w:gridAfter w:val="6"/>
          <w:wAfter w:w="4323" w:type="dxa"/>
          <w:trHeight w:val="525"/>
        </w:trPr>
        <w:tc>
          <w:tcPr>
            <w:tcW w:w="6242" w:type="dxa"/>
            <w:gridSpan w:val="6"/>
            <w:vMerge/>
            <w:tcBorders>
              <w:top w:val="single" w:sz="8" w:space="0" w:color="auto"/>
              <w:left w:val="nil"/>
              <w:bottom w:val="single" w:sz="8" w:space="0" w:color="000000"/>
              <w:right w:val="nil"/>
            </w:tcBorders>
            <w:vAlign w:val="center"/>
          </w:tcPr>
          <w:p w:rsidR="00255E13" w:rsidRPr="00F849C3" w:rsidRDefault="00255E13" w:rsidP="00895B36">
            <w:pPr>
              <w:rPr>
                <w:sz w:val="18"/>
                <w:szCs w:val="18"/>
              </w:rPr>
            </w:pPr>
          </w:p>
        </w:tc>
        <w:tc>
          <w:tcPr>
            <w:tcW w:w="1274" w:type="dxa"/>
            <w:tcBorders>
              <w:top w:val="nil"/>
              <w:left w:val="single" w:sz="8" w:space="0" w:color="auto"/>
              <w:bottom w:val="nil"/>
              <w:right w:val="single" w:sz="4" w:space="0" w:color="auto"/>
            </w:tcBorders>
            <w:shd w:val="clear" w:color="000000" w:fill="FFFFFF"/>
            <w:vAlign w:val="center"/>
          </w:tcPr>
          <w:p w:rsidR="00255E13" w:rsidRPr="00F849C3" w:rsidRDefault="00255E13" w:rsidP="00895B36">
            <w:pPr>
              <w:jc w:val="center"/>
              <w:rPr>
                <w:b/>
                <w:bCs/>
                <w:sz w:val="18"/>
                <w:szCs w:val="18"/>
              </w:rPr>
            </w:pPr>
            <w:r w:rsidRPr="00F849C3">
              <w:rPr>
                <w:b/>
                <w:bCs/>
                <w:sz w:val="18"/>
                <w:szCs w:val="18"/>
              </w:rPr>
              <w:t>Biodiverzita</w:t>
            </w:r>
          </w:p>
        </w:tc>
        <w:tc>
          <w:tcPr>
            <w:tcW w:w="892" w:type="dxa"/>
            <w:gridSpan w:val="2"/>
            <w:tcBorders>
              <w:top w:val="nil"/>
              <w:left w:val="nil"/>
              <w:bottom w:val="nil"/>
              <w:right w:val="single" w:sz="4" w:space="0" w:color="auto"/>
            </w:tcBorders>
            <w:shd w:val="clear" w:color="000000" w:fill="FFFFFF"/>
            <w:vAlign w:val="center"/>
          </w:tcPr>
          <w:p w:rsidR="00255E13" w:rsidRPr="00F849C3" w:rsidRDefault="00255E13" w:rsidP="00895B36">
            <w:pPr>
              <w:jc w:val="center"/>
              <w:rPr>
                <w:b/>
                <w:bCs/>
                <w:sz w:val="18"/>
                <w:szCs w:val="18"/>
              </w:rPr>
            </w:pPr>
            <w:r w:rsidRPr="00F849C3">
              <w:rPr>
                <w:b/>
                <w:bCs/>
                <w:sz w:val="18"/>
                <w:szCs w:val="18"/>
              </w:rPr>
              <w:t>Voda</w:t>
            </w:r>
          </w:p>
        </w:tc>
        <w:tc>
          <w:tcPr>
            <w:tcW w:w="892" w:type="dxa"/>
            <w:gridSpan w:val="2"/>
            <w:tcBorders>
              <w:top w:val="nil"/>
              <w:left w:val="nil"/>
              <w:bottom w:val="nil"/>
              <w:right w:val="single" w:sz="8" w:space="0" w:color="auto"/>
            </w:tcBorders>
            <w:shd w:val="clear" w:color="000000" w:fill="FFFFFF"/>
            <w:vAlign w:val="center"/>
          </w:tcPr>
          <w:p w:rsidR="00255E13" w:rsidRPr="00F849C3" w:rsidRDefault="00255E13" w:rsidP="00895B36">
            <w:pPr>
              <w:jc w:val="center"/>
              <w:rPr>
                <w:b/>
                <w:bCs/>
                <w:sz w:val="18"/>
                <w:szCs w:val="18"/>
              </w:rPr>
            </w:pPr>
            <w:r w:rsidRPr="00F849C3">
              <w:rPr>
                <w:b/>
                <w:bCs/>
                <w:sz w:val="18"/>
                <w:szCs w:val="18"/>
              </w:rPr>
              <w:t>Pôda</w:t>
            </w:r>
          </w:p>
        </w:tc>
      </w:tr>
      <w:tr w:rsidR="00255E13" w:rsidRPr="00F849C3" w:rsidTr="00895B36">
        <w:trPr>
          <w:gridAfter w:val="6"/>
          <w:wAfter w:w="4323" w:type="dxa"/>
          <w:trHeight w:val="1065"/>
        </w:trPr>
        <w:tc>
          <w:tcPr>
            <w:tcW w:w="3080" w:type="dxa"/>
            <w:gridSpan w:val="2"/>
            <w:tcBorders>
              <w:top w:val="nil"/>
              <w:left w:val="single" w:sz="8" w:space="0" w:color="auto"/>
              <w:bottom w:val="nil"/>
              <w:right w:val="single" w:sz="4" w:space="0" w:color="auto"/>
            </w:tcBorders>
            <w:shd w:val="clear" w:color="000000" w:fill="FFFFFF"/>
            <w:vAlign w:val="center"/>
          </w:tcPr>
          <w:p w:rsidR="00255E13" w:rsidRPr="00F849C3" w:rsidRDefault="00255E13" w:rsidP="00895B36">
            <w:pPr>
              <w:jc w:val="center"/>
              <w:rPr>
                <w:b/>
                <w:bCs/>
                <w:sz w:val="18"/>
                <w:szCs w:val="18"/>
              </w:rPr>
            </w:pPr>
            <w:r w:rsidRPr="00F849C3">
              <w:rPr>
                <w:b/>
                <w:bCs/>
                <w:sz w:val="18"/>
                <w:szCs w:val="18"/>
              </w:rPr>
              <w:t>2- Natura 2000 a</w:t>
            </w:r>
            <w:r>
              <w:rPr>
                <w:b/>
                <w:bCs/>
                <w:sz w:val="18"/>
                <w:szCs w:val="18"/>
              </w:rPr>
              <w:t xml:space="preserve"> Rámcová smernica o vode (čl. 30</w:t>
            </w:r>
            <w:r w:rsidRPr="00F849C3">
              <w:rPr>
                <w:b/>
                <w:bCs/>
                <w:sz w:val="18"/>
                <w:szCs w:val="18"/>
              </w:rPr>
              <w:t>)</w:t>
            </w:r>
          </w:p>
        </w:tc>
        <w:tc>
          <w:tcPr>
            <w:tcW w:w="1072" w:type="dxa"/>
            <w:tcBorders>
              <w:top w:val="nil"/>
              <w:left w:val="nil"/>
              <w:bottom w:val="nil"/>
              <w:right w:val="single" w:sz="4" w:space="0" w:color="auto"/>
            </w:tcBorders>
            <w:shd w:val="clear" w:color="000000" w:fill="FFFFFF"/>
            <w:vAlign w:val="center"/>
          </w:tcPr>
          <w:p w:rsidR="00255E13" w:rsidRPr="00F849C3" w:rsidRDefault="00255E13" w:rsidP="00895B36">
            <w:pPr>
              <w:jc w:val="center"/>
              <w:rPr>
                <w:b/>
                <w:bCs/>
                <w:sz w:val="18"/>
                <w:szCs w:val="18"/>
              </w:rPr>
            </w:pPr>
            <w:r w:rsidRPr="00F849C3">
              <w:rPr>
                <w:b/>
                <w:bCs/>
                <w:sz w:val="18"/>
                <w:szCs w:val="18"/>
              </w:rPr>
              <w:t>ha</w:t>
            </w:r>
          </w:p>
        </w:tc>
        <w:tc>
          <w:tcPr>
            <w:tcW w:w="2090" w:type="dxa"/>
            <w:gridSpan w:val="3"/>
            <w:tcBorders>
              <w:top w:val="nil"/>
              <w:left w:val="nil"/>
              <w:bottom w:val="nil"/>
              <w:right w:val="nil"/>
            </w:tcBorders>
            <w:shd w:val="clear" w:color="000000" w:fill="FFFFFF"/>
            <w:vAlign w:val="center"/>
          </w:tcPr>
          <w:p w:rsidR="00255E13" w:rsidRPr="00F849C3" w:rsidRDefault="00255E13" w:rsidP="00895B36">
            <w:pPr>
              <w:jc w:val="center"/>
              <w:rPr>
                <w:b/>
                <w:bCs/>
                <w:sz w:val="18"/>
                <w:szCs w:val="18"/>
              </w:rPr>
            </w:pPr>
            <w:r w:rsidRPr="00F849C3">
              <w:rPr>
                <w:b/>
                <w:bCs/>
                <w:sz w:val="18"/>
                <w:szCs w:val="18"/>
              </w:rPr>
              <w:t>Celkové verejné výdavky  (€)</w:t>
            </w:r>
          </w:p>
        </w:tc>
        <w:tc>
          <w:tcPr>
            <w:tcW w:w="1274" w:type="dxa"/>
            <w:tcBorders>
              <w:top w:val="single" w:sz="8" w:space="0" w:color="auto"/>
              <w:left w:val="single" w:sz="8" w:space="0" w:color="auto"/>
              <w:bottom w:val="nil"/>
              <w:right w:val="single" w:sz="4" w:space="0" w:color="auto"/>
            </w:tcBorders>
            <w:shd w:val="clear" w:color="000000" w:fill="FFFFFF"/>
            <w:vAlign w:val="center"/>
          </w:tcPr>
          <w:p w:rsidR="00255E13" w:rsidRPr="00F849C3" w:rsidRDefault="00255E13" w:rsidP="00895B36">
            <w:pPr>
              <w:jc w:val="center"/>
              <w:rPr>
                <w:b/>
                <w:bCs/>
                <w:sz w:val="18"/>
                <w:szCs w:val="18"/>
              </w:rPr>
            </w:pPr>
            <w:r w:rsidRPr="00F849C3">
              <w:rPr>
                <w:b/>
                <w:bCs/>
                <w:sz w:val="18"/>
                <w:szCs w:val="18"/>
              </w:rPr>
              <w:t> </w:t>
            </w:r>
          </w:p>
        </w:tc>
        <w:tc>
          <w:tcPr>
            <w:tcW w:w="892" w:type="dxa"/>
            <w:gridSpan w:val="2"/>
            <w:tcBorders>
              <w:top w:val="single" w:sz="8" w:space="0" w:color="auto"/>
              <w:left w:val="nil"/>
              <w:bottom w:val="nil"/>
              <w:right w:val="single" w:sz="4" w:space="0" w:color="auto"/>
            </w:tcBorders>
            <w:shd w:val="clear" w:color="000000" w:fill="FFFFFF"/>
            <w:vAlign w:val="center"/>
          </w:tcPr>
          <w:p w:rsidR="00255E13" w:rsidRPr="00F849C3" w:rsidRDefault="00255E13" w:rsidP="00895B36">
            <w:pPr>
              <w:jc w:val="center"/>
              <w:rPr>
                <w:b/>
                <w:bCs/>
                <w:sz w:val="18"/>
                <w:szCs w:val="18"/>
              </w:rPr>
            </w:pPr>
            <w:r w:rsidRPr="00F849C3">
              <w:rPr>
                <w:b/>
                <w:bCs/>
                <w:sz w:val="18"/>
                <w:szCs w:val="18"/>
              </w:rPr>
              <w:t> </w:t>
            </w:r>
          </w:p>
        </w:tc>
        <w:tc>
          <w:tcPr>
            <w:tcW w:w="892" w:type="dxa"/>
            <w:gridSpan w:val="2"/>
            <w:tcBorders>
              <w:top w:val="single" w:sz="8" w:space="0" w:color="auto"/>
              <w:left w:val="nil"/>
              <w:bottom w:val="nil"/>
              <w:right w:val="single" w:sz="8" w:space="0" w:color="auto"/>
            </w:tcBorders>
            <w:shd w:val="clear" w:color="000000" w:fill="FFFFFF"/>
            <w:vAlign w:val="center"/>
          </w:tcPr>
          <w:p w:rsidR="00255E13" w:rsidRPr="00F849C3" w:rsidRDefault="00255E13" w:rsidP="00895B36">
            <w:pPr>
              <w:jc w:val="center"/>
              <w:rPr>
                <w:b/>
                <w:bCs/>
                <w:sz w:val="18"/>
                <w:szCs w:val="18"/>
              </w:rPr>
            </w:pPr>
            <w:r w:rsidRPr="00F849C3">
              <w:rPr>
                <w:b/>
                <w:bCs/>
                <w:sz w:val="18"/>
                <w:szCs w:val="18"/>
              </w:rPr>
              <w:t> </w:t>
            </w:r>
          </w:p>
        </w:tc>
      </w:tr>
      <w:tr w:rsidR="00255E13" w:rsidRPr="00F849C3" w:rsidTr="00895B36">
        <w:trPr>
          <w:gridAfter w:val="6"/>
          <w:wAfter w:w="4323" w:type="dxa"/>
          <w:trHeight w:val="270"/>
        </w:trPr>
        <w:tc>
          <w:tcPr>
            <w:tcW w:w="3080" w:type="dxa"/>
            <w:gridSpan w:val="2"/>
            <w:tcBorders>
              <w:top w:val="single" w:sz="4" w:space="0" w:color="auto"/>
              <w:left w:val="single" w:sz="8" w:space="0" w:color="auto"/>
              <w:bottom w:val="single" w:sz="8" w:space="0" w:color="auto"/>
              <w:right w:val="single" w:sz="4" w:space="0" w:color="auto"/>
            </w:tcBorders>
            <w:shd w:val="clear" w:color="000000" w:fill="FFFFFF"/>
            <w:vAlign w:val="center"/>
          </w:tcPr>
          <w:p w:rsidR="00255E13" w:rsidRPr="00F849C3" w:rsidRDefault="00255E13" w:rsidP="00895B36">
            <w:pPr>
              <w:rPr>
                <w:sz w:val="18"/>
                <w:szCs w:val="18"/>
              </w:rPr>
            </w:pPr>
            <w:r w:rsidRPr="00F849C3">
              <w:rPr>
                <w:sz w:val="18"/>
                <w:szCs w:val="18"/>
              </w:rPr>
              <w:t>Natura 2000 (lesná pôda)</w:t>
            </w:r>
          </w:p>
        </w:tc>
        <w:tc>
          <w:tcPr>
            <w:tcW w:w="1072" w:type="dxa"/>
            <w:tcBorders>
              <w:top w:val="single" w:sz="4" w:space="0" w:color="auto"/>
              <w:left w:val="nil"/>
              <w:bottom w:val="single" w:sz="8" w:space="0" w:color="auto"/>
              <w:right w:val="single" w:sz="4" w:space="0" w:color="auto"/>
            </w:tcBorders>
            <w:shd w:val="clear" w:color="000000" w:fill="FFFFFF"/>
            <w:noWrap/>
            <w:vAlign w:val="center"/>
          </w:tcPr>
          <w:p w:rsidR="00255E13" w:rsidRPr="00F849C3" w:rsidRDefault="00255E13" w:rsidP="00895B36">
            <w:pPr>
              <w:rPr>
                <w:sz w:val="18"/>
                <w:szCs w:val="18"/>
              </w:rPr>
            </w:pPr>
            <w:r w:rsidRPr="00F849C3">
              <w:rPr>
                <w:sz w:val="18"/>
                <w:szCs w:val="18"/>
              </w:rPr>
              <w:t xml:space="preserve">      </w:t>
            </w:r>
            <w:r>
              <w:rPr>
                <w:sz w:val="18"/>
                <w:szCs w:val="18"/>
              </w:rPr>
              <w:t>28 450</w:t>
            </w:r>
          </w:p>
        </w:tc>
        <w:tc>
          <w:tcPr>
            <w:tcW w:w="2090" w:type="dxa"/>
            <w:gridSpan w:val="3"/>
            <w:tcBorders>
              <w:top w:val="single" w:sz="4" w:space="0" w:color="auto"/>
              <w:left w:val="nil"/>
              <w:bottom w:val="single" w:sz="8" w:space="0" w:color="auto"/>
              <w:right w:val="single" w:sz="8" w:space="0" w:color="auto"/>
            </w:tcBorders>
            <w:shd w:val="clear" w:color="000000" w:fill="FFFFFF"/>
            <w:noWrap/>
            <w:vAlign w:val="center"/>
          </w:tcPr>
          <w:p w:rsidR="00255E13" w:rsidRPr="00F849C3" w:rsidRDefault="00255E13" w:rsidP="00895B36">
            <w:pPr>
              <w:rPr>
                <w:sz w:val="18"/>
                <w:szCs w:val="18"/>
              </w:rPr>
            </w:pPr>
            <w:r w:rsidRPr="00F849C3">
              <w:rPr>
                <w:sz w:val="18"/>
                <w:szCs w:val="18"/>
              </w:rPr>
              <w:t xml:space="preserve">              </w:t>
            </w:r>
            <w:r>
              <w:rPr>
                <w:sz w:val="18"/>
                <w:szCs w:val="18"/>
              </w:rPr>
              <w:t>7 840 000</w:t>
            </w:r>
            <w:r w:rsidRPr="00F849C3">
              <w:rPr>
                <w:sz w:val="18"/>
                <w:szCs w:val="18"/>
              </w:rPr>
              <w:t xml:space="preserve">,00 </w:t>
            </w:r>
          </w:p>
        </w:tc>
        <w:tc>
          <w:tcPr>
            <w:tcW w:w="1274" w:type="dxa"/>
            <w:tcBorders>
              <w:top w:val="single" w:sz="4" w:space="0" w:color="auto"/>
              <w:left w:val="single" w:sz="4" w:space="0" w:color="auto"/>
              <w:bottom w:val="single" w:sz="8" w:space="0" w:color="auto"/>
              <w:right w:val="single" w:sz="4" w:space="0" w:color="auto"/>
            </w:tcBorders>
            <w:shd w:val="clear" w:color="000000" w:fill="FFFFFF"/>
            <w:vAlign w:val="center"/>
          </w:tcPr>
          <w:p w:rsidR="00255E13" w:rsidRPr="00F849C3" w:rsidRDefault="00255E13" w:rsidP="00895B36">
            <w:pPr>
              <w:jc w:val="center"/>
              <w:rPr>
                <w:sz w:val="18"/>
                <w:szCs w:val="18"/>
              </w:rPr>
            </w:pPr>
            <w:r w:rsidRPr="00F849C3">
              <w:rPr>
                <w:sz w:val="18"/>
                <w:szCs w:val="18"/>
              </w:rPr>
              <w:t>√</w:t>
            </w:r>
          </w:p>
        </w:tc>
        <w:tc>
          <w:tcPr>
            <w:tcW w:w="892" w:type="dxa"/>
            <w:gridSpan w:val="2"/>
            <w:tcBorders>
              <w:top w:val="single" w:sz="4" w:space="0" w:color="auto"/>
              <w:left w:val="nil"/>
              <w:bottom w:val="nil"/>
              <w:right w:val="single" w:sz="4" w:space="0" w:color="auto"/>
            </w:tcBorders>
            <w:shd w:val="thinReverseDiagStripe" w:color="000000" w:fill="FFFFFF"/>
            <w:vAlign w:val="center"/>
          </w:tcPr>
          <w:p w:rsidR="00255E13" w:rsidRPr="00F849C3" w:rsidRDefault="00255E13" w:rsidP="00895B36">
            <w:pPr>
              <w:jc w:val="center"/>
              <w:rPr>
                <w:sz w:val="18"/>
                <w:szCs w:val="18"/>
              </w:rPr>
            </w:pPr>
            <w:r w:rsidRPr="00F849C3">
              <w:rPr>
                <w:sz w:val="18"/>
                <w:szCs w:val="18"/>
              </w:rPr>
              <w:t> </w:t>
            </w:r>
          </w:p>
        </w:tc>
        <w:tc>
          <w:tcPr>
            <w:tcW w:w="892" w:type="dxa"/>
            <w:gridSpan w:val="2"/>
            <w:tcBorders>
              <w:top w:val="single" w:sz="4" w:space="0" w:color="auto"/>
              <w:left w:val="nil"/>
              <w:bottom w:val="nil"/>
              <w:right w:val="single" w:sz="8" w:space="0" w:color="auto"/>
            </w:tcBorders>
            <w:shd w:val="thinReverseDiagStripe" w:color="000000" w:fill="FFFFFF"/>
            <w:vAlign w:val="center"/>
          </w:tcPr>
          <w:p w:rsidR="00255E13" w:rsidRPr="00F849C3" w:rsidRDefault="00255E13" w:rsidP="00895B36">
            <w:pPr>
              <w:jc w:val="center"/>
              <w:rPr>
                <w:sz w:val="18"/>
                <w:szCs w:val="18"/>
              </w:rPr>
            </w:pPr>
            <w:r w:rsidRPr="00F849C3">
              <w:rPr>
                <w:sz w:val="18"/>
                <w:szCs w:val="18"/>
              </w:rPr>
              <w:t> </w:t>
            </w:r>
          </w:p>
        </w:tc>
      </w:tr>
      <w:tr w:rsidR="00255E13" w:rsidRPr="00F849C3" w:rsidTr="00895B36">
        <w:trPr>
          <w:gridAfter w:val="6"/>
          <w:wAfter w:w="4323" w:type="dxa"/>
          <w:trHeight w:val="510"/>
        </w:trPr>
        <w:tc>
          <w:tcPr>
            <w:tcW w:w="3080" w:type="dxa"/>
            <w:gridSpan w:val="2"/>
            <w:tcBorders>
              <w:top w:val="nil"/>
              <w:left w:val="single" w:sz="8" w:space="0" w:color="auto"/>
              <w:bottom w:val="nil"/>
              <w:right w:val="single" w:sz="4" w:space="0" w:color="auto"/>
            </w:tcBorders>
            <w:vAlign w:val="center"/>
          </w:tcPr>
          <w:p w:rsidR="00255E13" w:rsidRPr="00F849C3" w:rsidRDefault="00255E13" w:rsidP="00895B36">
            <w:pPr>
              <w:jc w:val="center"/>
              <w:rPr>
                <w:b/>
                <w:bCs/>
                <w:sz w:val="18"/>
                <w:szCs w:val="18"/>
              </w:rPr>
            </w:pPr>
            <w:r w:rsidRPr="00F849C3">
              <w:rPr>
                <w:b/>
                <w:bCs/>
                <w:sz w:val="18"/>
                <w:szCs w:val="18"/>
              </w:rPr>
              <w:t>3- Inv</w:t>
            </w:r>
            <w:r>
              <w:rPr>
                <w:b/>
                <w:bCs/>
                <w:sz w:val="18"/>
                <w:szCs w:val="18"/>
              </w:rPr>
              <w:t>estície do rozvoja lesov (čl. 21</w:t>
            </w:r>
            <w:r w:rsidRPr="00F849C3">
              <w:rPr>
                <w:b/>
                <w:bCs/>
                <w:sz w:val="18"/>
                <w:szCs w:val="18"/>
              </w:rPr>
              <w:t>)</w:t>
            </w:r>
          </w:p>
        </w:tc>
        <w:tc>
          <w:tcPr>
            <w:tcW w:w="1072" w:type="dxa"/>
            <w:tcBorders>
              <w:top w:val="nil"/>
              <w:left w:val="nil"/>
              <w:bottom w:val="nil"/>
              <w:right w:val="single" w:sz="4" w:space="0" w:color="auto"/>
            </w:tcBorders>
            <w:vAlign w:val="center"/>
          </w:tcPr>
          <w:p w:rsidR="00255E13" w:rsidRPr="00F849C3" w:rsidRDefault="00255E13" w:rsidP="00895B36">
            <w:pPr>
              <w:jc w:val="center"/>
              <w:rPr>
                <w:b/>
                <w:bCs/>
                <w:sz w:val="18"/>
                <w:szCs w:val="18"/>
              </w:rPr>
            </w:pPr>
            <w:r w:rsidRPr="00F849C3">
              <w:rPr>
                <w:b/>
                <w:bCs/>
                <w:sz w:val="18"/>
                <w:szCs w:val="18"/>
              </w:rPr>
              <w:t> </w:t>
            </w:r>
          </w:p>
        </w:tc>
        <w:tc>
          <w:tcPr>
            <w:tcW w:w="2090" w:type="dxa"/>
            <w:gridSpan w:val="3"/>
            <w:tcBorders>
              <w:top w:val="nil"/>
              <w:left w:val="nil"/>
              <w:bottom w:val="single" w:sz="4" w:space="0" w:color="auto"/>
              <w:right w:val="nil"/>
            </w:tcBorders>
            <w:vAlign w:val="center"/>
          </w:tcPr>
          <w:p w:rsidR="00255E13" w:rsidRPr="00F849C3" w:rsidRDefault="00255E13" w:rsidP="00895B36">
            <w:pPr>
              <w:jc w:val="center"/>
              <w:rPr>
                <w:b/>
                <w:bCs/>
                <w:sz w:val="18"/>
                <w:szCs w:val="18"/>
              </w:rPr>
            </w:pPr>
            <w:r w:rsidRPr="00F849C3">
              <w:rPr>
                <w:b/>
                <w:bCs/>
                <w:sz w:val="18"/>
                <w:szCs w:val="18"/>
              </w:rPr>
              <w:t> </w:t>
            </w:r>
          </w:p>
        </w:tc>
        <w:tc>
          <w:tcPr>
            <w:tcW w:w="1274" w:type="dxa"/>
            <w:tcBorders>
              <w:top w:val="nil"/>
              <w:left w:val="single" w:sz="8" w:space="0" w:color="auto"/>
              <w:bottom w:val="single" w:sz="4" w:space="0" w:color="auto"/>
              <w:right w:val="single" w:sz="4" w:space="0" w:color="auto"/>
            </w:tcBorders>
            <w:vAlign w:val="center"/>
          </w:tcPr>
          <w:p w:rsidR="00255E13" w:rsidRPr="00F849C3" w:rsidRDefault="00255E13" w:rsidP="00895B36">
            <w:pPr>
              <w:jc w:val="center"/>
              <w:rPr>
                <w:b/>
                <w:bCs/>
                <w:sz w:val="18"/>
                <w:szCs w:val="18"/>
              </w:rPr>
            </w:pPr>
            <w:r w:rsidRPr="00F849C3">
              <w:rPr>
                <w:b/>
                <w:bCs/>
                <w:sz w:val="18"/>
                <w:szCs w:val="18"/>
              </w:rPr>
              <w:t> </w:t>
            </w:r>
          </w:p>
        </w:tc>
        <w:tc>
          <w:tcPr>
            <w:tcW w:w="892" w:type="dxa"/>
            <w:gridSpan w:val="2"/>
            <w:tcBorders>
              <w:top w:val="single" w:sz="8" w:space="0" w:color="auto"/>
              <w:left w:val="nil"/>
              <w:bottom w:val="single" w:sz="4" w:space="0" w:color="auto"/>
              <w:right w:val="single" w:sz="4" w:space="0" w:color="auto"/>
            </w:tcBorders>
            <w:vAlign w:val="center"/>
          </w:tcPr>
          <w:p w:rsidR="00255E13" w:rsidRPr="00F849C3" w:rsidRDefault="00255E13" w:rsidP="00895B36">
            <w:pPr>
              <w:jc w:val="center"/>
              <w:rPr>
                <w:b/>
                <w:bCs/>
                <w:sz w:val="18"/>
                <w:szCs w:val="18"/>
              </w:rPr>
            </w:pPr>
            <w:r w:rsidRPr="00F849C3">
              <w:rPr>
                <w:b/>
                <w:bCs/>
                <w:sz w:val="18"/>
                <w:szCs w:val="18"/>
              </w:rPr>
              <w:t> </w:t>
            </w:r>
          </w:p>
        </w:tc>
        <w:tc>
          <w:tcPr>
            <w:tcW w:w="892" w:type="dxa"/>
            <w:gridSpan w:val="2"/>
            <w:tcBorders>
              <w:top w:val="single" w:sz="8" w:space="0" w:color="auto"/>
              <w:left w:val="nil"/>
              <w:bottom w:val="single" w:sz="4" w:space="0" w:color="auto"/>
              <w:right w:val="single" w:sz="8" w:space="0" w:color="auto"/>
            </w:tcBorders>
            <w:vAlign w:val="center"/>
          </w:tcPr>
          <w:p w:rsidR="00255E13" w:rsidRPr="00F849C3" w:rsidRDefault="00255E13" w:rsidP="00895B36">
            <w:pPr>
              <w:jc w:val="center"/>
              <w:rPr>
                <w:b/>
                <w:bCs/>
                <w:sz w:val="18"/>
                <w:szCs w:val="18"/>
              </w:rPr>
            </w:pPr>
            <w:r w:rsidRPr="00F849C3">
              <w:rPr>
                <w:b/>
                <w:bCs/>
                <w:sz w:val="18"/>
                <w:szCs w:val="18"/>
              </w:rPr>
              <w:t> </w:t>
            </w:r>
          </w:p>
        </w:tc>
      </w:tr>
      <w:tr w:rsidR="00255E13" w:rsidRPr="00F849C3" w:rsidTr="00895B36">
        <w:trPr>
          <w:gridAfter w:val="6"/>
          <w:wAfter w:w="4323" w:type="dxa"/>
          <w:trHeight w:val="780"/>
        </w:trPr>
        <w:tc>
          <w:tcPr>
            <w:tcW w:w="3080" w:type="dxa"/>
            <w:gridSpan w:val="2"/>
            <w:tcBorders>
              <w:top w:val="single" w:sz="4" w:space="0" w:color="auto"/>
              <w:left w:val="single" w:sz="8" w:space="0" w:color="auto"/>
              <w:bottom w:val="single" w:sz="8" w:space="0" w:color="auto"/>
              <w:right w:val="single" w:sz="4" w:space="0" w:color="auto"/>
            </w:tcBorders>
            <w:vAlign w:val="center"/>
          </w:tcPr>
          <w:p w:rsidR="00255E13" w:rsidRPr="00F849C3" w:rsidRDefault="00255E13" w:rsidP="00895B36">
            <w:pPr>
              <w:rPr>
                <w:sz w:val="18"/>
                <w:szCs w:val="18"/>
              </w:rPr>
            </w:pPr>
            <w:r w:rsidRPr="00F849C3">
              <w:rPr>
                <w:sz w:val="18"/>
                <w:szCs w:val="18"/>
              </w:rPr>
              <w:t>Investície zlepšujúce odolnosť a environmentálnu hodnotu lesných ekosystémov (8.</w:t>
            </w:r>
            <w:r>
              <w:rPr>
                <w:sz w:val="18"/>
                <w:szCs w:val="18"/>
              </w:rPr>
              <w:t>5</w:t>
            </w:r>
            <w:r w:rsidRPr="00F849C3">
              <w:rPr>
                <w:sz w:val="18"/>
                <w:szCs w:val="18"/>
              </w:rPr>
              <w:t>)</w:t>
            </w:r>
          </w:p>
        </w:tc>
        <w:tc>
          <w:tcPr>
            <w:tcW w:w="1072" w:type="dxa"/>
            <w:tcBorders>
              <w:top w:val="single" w:sz="4" w:space="0" w:color="auto"/>
              <w:left w:val="nil"/>
              <w:bottom w:val="single" w:sz="8" w:space="0" w:color="auto"/>
              <w:right w:val="single" w:sz="4" w:space="0" w:color="auto"/>
            </w:tcBorders>
            <w:shd w:val="clear" w:color="000000" w:fill="FFFFFF"/>
            <w:noWrap/>
            <w:vAlign w:val="center"/>
          </w:tcPr>
          <w:p w:rsidR="00255E13" w:rsidRPr="00F849C3" w:rsidRDefault="00255E13" w:rsidP="00895B36">
            <w:pPr>
              <w:jc w:val="center"/>
              <w:rPr>
                <w:sz w:val="18"/>
                <w:szCs w:val="18"/>
              </w:rPr>
            </w:pPr>
            <w:r>
              <w:rPr>
                <w:sz w:val="18"/>
                <w:szCs w:val="18"/>
              </w:rPr>
              <w:t>840</w:t>
            </w:r>
          </w:p>
        </w:tc>
        <w:tc>
          <w:tcPr>
            <w:tcW w:w="2090" w:type="dxa"/>
            <w:gridSpan w:val="3"/>
            <w:tcBorders>
              <w:top w:val="nil"/>
              <w:left w:val="nil"/>
              <w:bottom w:val="single" w:sz="8" w:space="0" w:color="auto"/>
              <w:right w:val="single" w:sz="8" w:space="0" w:color="auto"/>
            </w:tcBorders>
            <w:shd w:val="clear" w:color="000000" w:fill="FFFFFF"/>
            <w:noWrap/>
            <w:vAlign w:val="center"/>
          </w:tcPr>
          <w:p w:rsidR="00255E13" w:rsidRPr="00F849C3" w:rsidRDefault="00255E13" w:rsidP="00895B36">
            <w:pPr>
              <w:jc w:val="center"/>
              <w:rPr>
                <w:sz w:val="18"/>
                <w:szCs w:val="18"/>
              </w:rPr>
            </w:pPr>
            <w:r>
              <w:rPr>
                <w:sz w:val="18"/>
                <w:szCs w:val="18"/>
              </w:rPr>
              <w:t>5 000 000,00</w:t>
            </w:r>
          </w:p>
        </w:tc>
        <w:tc>
          <w:tcPr>
            <w:tcW w:w="1274" w:type="dxa"/>
            <w:tcBorders>
              <w:top w:val="nil"/>
              <w:left w:val="nil"/>
              <w:bottom w:val="single" w:sz="8" w:space="0" w:color="auto"/>
              <w:right w:val="single" w:sz="4" w:space="0" w:color="auto"/>
            </w:tcBorders>
            <w:vAlign w:val="center"/>
          </w:tcPr>
          <w:p w:rsidR="00255E13" w:rsidRPr="00F849C3" w:rsidRDefault="00255E13" w:rsidP="00895B36">
            <w:pPr>
              <w:jc w:val="center"/>
              <w:rPr>
                <w:sz w:val="18"/>
                <w:szCs w:val="18"/>
              </w:rPr>
            </w:pPr>
            <w:r w:rsidRPr="00F849C3">
              <w:rPr>
                <w:sz w:val="18"/>
                <w:szCs w:val="18"/>
              </w:rPr>
              <w:t> √</w:t>
            </w:r>
          </w:p>
        </w:tc>
        <w:tc>
          <w:tcPr>
            <w:tcW w:w="892" w:type="dxa"/>
            <w:gridSpan w:val="2"/>
            <w:tcBorders>
              <w:top w:val="nil"/>
              <w:left w:val="nil"/>
              <w:bottom w:val="single" w:sz="8" w:space="0" w:color="auto"/>
              <w:right w:val="single" w:sz="4" w:space="0" w:color="auto"/>
            </w:tcBorders>
            <w:vAlign w:val="center"/>
          </w:tcPr>
          <w:p w:rsidR="00255E13" w:rsidRPr="00F849C3" w:rsidRDefault="00255E13" w:rsidP="00895B36">
            <w:pPr>
              <w:jc w:val="center"/>
              <w:rPr>
                <w:sz w:val="18"/>
                <w:szCs w:val="18"/>
              </w:rPr>
            </w:pPr>
            <w:r w:rsidRPr="00F849C3">
              <w:rPr>
                <w:sz w:val="18"/>
                <w:szCs w:val="18"/>
              </w:rPr>
              <w:t> √</w:t>
            </w:r>
          </w:p>
        </w:tc>
        <w:tc>
          <w:tcPr>
            <w:tcW w:w="892" w:type="dxa"/>
            <w:gridSpan w:val="2"/>
            <w:tcBorders>
              <w:top w:val="nil"/>
              <w:left w:val="nil"/>
              <w:bottom w:val="single" w:sz="8" w:space="0" w:color="auto"/>
              <w:right w:val="single" w:sz="8" w:space="0" w:color="auto"/>
            </w:tcBorders>
            <w:vAlign w:val="center"/>
          </w:tcPr>
          <w:p w:rsidR="00255E13" w:rsidRPr="00F849C3" w:rsidRDefault="00255E13" w:rsidP="00895B36">
            <w:pPr>
              <w:jc w:val="center"/>
              <w:rPr>
                <w:sz w:val="18"/>
                <w:szCs w:val="18"/>
              </w:rPr>
            </w:pPr>
            <w:r w:rsidRPr="00F849C3">
              <w:rPr>
                <w:sz w:val="18"/>
                <w:szCs w:val="18"/>
              </w:rPr>
              <w:t> √</w:t>
            </w:r>
          </w:p>
        </w:tc>
      </w:tr>
    </w:tbl>
    <w:p w:rsidR="008676F9" w:rsidRPr="008676F9" w:rsidRDefault="008676F9" w:rsidP="008676F9">
      <w:pPr>
        <w:spacing w:after="200" w:line="276" w:lineRule="auto"/>
        <w:rPr>
          <w:rFonts w:ascii="Calibri" w:eastAsia="Calibri" w:hAnsi="Calibri"/>
          <w:b/>
          <w:szCs w:val="22"/>
          <w:lang w:eastAsia="en-US"/>
        </w:rPr>
      </w:pPr>
      <w:r w:rsidRPr="008676F9">
        <w:rPr>
          <w:rFonts w:ascii="Calibri" w:eastAsia="Calibri" w:hAnsi="Calibri"/>
          <w:b/>
          <w:szCs w:val="22"/>
          <w:lang w:eastAsia="en-US"/>
        </w:rPr>
        <w:br w:type="page"/>
      </w:r>
    </w:p>
    <w:tbl>
      <w:tblPr>
        <w:tblW w:w="15300" w:type="dxa"/>
        <w:tblInd w:w="-356" w:type="dxa"/>
        <w:tblCellMar>
          <w:left w:w="70" w:type="dxa"/>
          <w:right w:w="70" w:type="dxa"/>
        </w:tblCellMar>
        <w:tblLook w:val="00A0" w:firstRow="1" w:lastRow="0" w:firstColumn="1" w:lastColumn="0" w:noHBand="0" w:noVBand="0"/>
      </w:tblPr>
      <w:tblGrid>
        <w:gridCol w:w="1660"/>
        <w:gridCol w:w="1660"/>
        <w:gridCol w:w="2020"/>
        <w:gridCol w:w="1660"/>
        <w:gridCol w:w="1660"/>
        <w:gridCol w:w="1660"/>
        <w:gridCol w:w="1660"/>
        <w:gridCol w:w="1660"/>
        <w:gridCol w:w="1660"/>
      </w:tblGrid>
      <w:tr w:rsidR="00255E13" w:rsidRPr="00E820E4" w:rsidTr="00895B36">
        <w:trPr>
          <w:trHeight w:val="375"/>
        </w:trPr>
        <w:tc>
          <w:tcPr>
            <w:tcW w:w="15300" w:type="dxa"/>
            <w:gridSpan w:val="9"/>
            <w:tcBorders>
              <w:top w:val="single" w:sz="4" w:space="0" w:color="auto"/>
              <w:left w:val="single" w:sz="4" w:space="0" w:color="auto"/>
              <w:bottom w:val="single" w:sz="8" w:space="0" w:color="auto"/>
              <w:right w:val="single" w:sz="4" w:space="0" w:color="auto"/>
            </w:tcBorders>
            <w:shd w:val="clear" w:color="auto" w:fill="FFFF00"/>
            <w:noWrap/>
            <w:vAlign w:val="center"/>
          </w:tcPr>
          <w:p w:rsidR="00255E13" w:rsidRPr="00E820E4" w:rsidRDefault="00255E13" w:rsidP="00895B36">
            <w:pPr>
              <w:jc w:val="center"/>
              <w:rPr>
                <w:b/>
                <w:bCs/>
                <w:szCs w:val="22"/>
              </w:rPr>
            </w:pPr>
            <w:r w:rsidRPr="00E820E4">
              <w:rPr>
                <w:b/>
                <w:bCs/>
                <w:szCs w:val="22"/>
              </w:rPr>
              <w:t xml:space="preserve">Priorita 4: Obnova, zachovanie a posilnenie ekosystémov, ktoré súvisia s poľnohospodárstvom a lesným hospodárstvom </w:t>
            </w:r>
          </w:p>
        </w:tc>
      </w:tr>
      <w:tr w:rsidR="00255E13" w:rsidRPr="00F849C3" w:rsidTr="00895B36">
        <w:trPr>
          <w:trHeight w:val="975"/>
        </w:trPr>
        <w:tc>
          <w:tcPr>
            <w:tcW w:w="5340" w:type="dxa"/>
            <w:gridSpan w:val="3"/>
            <w:tcBorders>
              <w:top w:val="single" w:sz="8" w:space="0" w:color="auto"/>
              <w:left w:val="single" w:sz="4" w:space="0" w:color="auto"/>
              <w:bottom w:val="nil"/>
              <w:right w:val="single" w:sz="4" w:space="0" w:color="auto"/>
            </w:tcBorders>
            <w:shd w:val="clear" w:color="000000" w:fill="FFFFFF"/>
            <w:vAlign w:val="center"/>
          </w:tcPr>
          <w:p w:rsidR="00255E13" w:rsidRPr="00F849C3" w:rsidRDefault="00255E13" w:rsidP="00895B36">
            <w:pPr>
              <w:jc w:val="center"/>
              <w:rPr>
                <w:b/>
                <w:bCs/>
                <w:color w:val="000000"/>
                <w:sz w:val="18"/>
                <w:szCs w:val="18"/>
              </w:rPr>
            </w:pPr>
            <w:r w:rsidRPr="00F849C3">
              <w:rPr>
                <w:b/>
                <w:bCs/>
                <w:color w:val="000000"/>
                <w:sz w:val="18"/>
                <w:szCs w:val="18"/>
              </w:rPr>
              <w:t xml:space="preserve">4A -  </w:t>
            </w:r>
            <w:r w:rsidRPr="00C852D9">
              <w:rPr>
                <w:b/>
                <w:bCs/>
                <w:color w:val="000000"/>
                <w:sz w:val="18"/>
                <w:szCs w:val="18"/>
              </w:rPr>
              <w:t>obnova, zachovanie a zvýšenie biologickej diverzity vrátane na územiach sústavy Natura 2000 a v oblastiach s prírodnými alebo inými osobitnými obmedzeniami a v poľnohospodárskej činnosti s vysokou prírodnou hodnotou a obnova, zachovanie ako aj zlepšenie stavu krajinných oblastí Európy</w:t>
            </w:r>
            <w:r w:rsidRPr="00F849C3">
              <w:rPr>
                <w:b/>
                <w:bCs/>
                <w:color w:val="000000"/>
                <w:sz w:val="18"/>
                <w:szCs w:val="18"/>
              </w:rPr>
              <w:t xml:space="preserve"> </w:t>
            </w:r>
          </w:p>
        </w:tc>
        <w:tc>
          <w:tcPr>
            <w:tcW w:w="4980" w:type="dxa"/>
            <w:gridSpan w:val="3"/>
            <w:tcBorders>
              <w:top w:val="single" w:sz="4" w:space="0" w:color="auto"/>
              <w:left w:val="single" w:sz="4" w:space="0" w:color="auto"/>
              <w:bottom w:val="single" w:sz="4" w:space="0" w:color="auto"/>
              <w:right w:val="single" w:sz="4" w:space="0" w:color="auto"/>
            </w:tcBorders>
            <w:shd w:val="clear" w:color="000000" w:fill="FFFFFF"/>
            <w:vAlign w:val="center"/>
          </w:tcPr>
          <w:p w:rsidR="00255E13" w:rsidRPr="00F849C3" w:rsidRDefault="00255E13" w:rsidP="00895B36">
            <w:pPr>
              <w:jc w:val="center"/>
              <w:rPr>
                <w:b/>
                <w:bCs/>
                <w:color w:val="000000"/>
                <w:sz w:val="18"/>
                <w:szCs w:val="18"/>
              </w:rPr>
            </w:pPr>
            <w:r w:rsidRPr="00F849C3">
              <w:rPr>
                <w:b/>
                <w:bCs/>
                <w:color w:val="000000"/>
                <w:sz w:val="18"/>
                <w:szCs w:val="18"/>
              </w:rPr>
              <w:t xml:space="preserve">4B -  </w:t>
            </w:r>
            <w:r w:rsidRPr="00C852D9">
              <w:rPr>
                <w:b/>
                <w:bCs/>
                <w:color w:val="000000"/>
                <w:sz w:val="18"/>
                <w:szCs w:val="18"/>
              </w:rPr>
              <w:t>zlepšenie vodného hospodárstva vrátane riadenia používania hnojív a pesticídov</w:t>
            </w:r>
          </w:p>
        </w:tc>
        <w:tc>
          <w:tcPr>
            <w:tcW w:w="4980" w:type="dxa"/>
            <w:gridSpan w:val="3"/>
            <w:tcBorders>
              <w:top w:val="single" w:sz="8" w:space="0" w:color="auto"/>
              <w:left w:val="single" w:sz="4" w:space="0" w:color="auto"/>
              <w:bottom w:val="single" w:sz="4" w:space="0" w:color="auto"/>
              <w:right w:val="single" w:sz="4" w:space="0" w:color="auto"/>
            </w:tcBorders>
            <w:shd w:val="clear" w:color="000000" w:fill="FFFFFF"/>
            <w:vAlign w:val="center"/>
          </w:tcPr>
          <w:p w:rsidR="00255E13" w:rsidRPr="00F849C3" w:rsidRDefault="00255E13" w:rsidP="00895B36">
            <w:pPr>
              <w:jc w:val="center"/>
              <w:rPr>
                <w:b/>
                <w:bCs/>
                <w:color w:val="000000"/>
                <w:sz w:val="18"/>
                <w:szCs w:val="18"/>
              </w:rPr>
            </w:pPr>
            <w:r w:rsidRPr="00F849C3">
              <w:rPr>
                <w:b/>
                <w:bCs/>
                <w:color w:val="000000"/>
                <w:sz w:val="18"/>
                <w:szCs w:val="18"/>
              </w:rPr>
              <w:t xml:space="preserve">4C - </w:t>
            </w:r>
            <w:r w:rsidRPr="00C852D9">
              <w:rPr>
                <w:b/>
                <w:bCs/>
                <w:color w:val="000000"/>
                <w:sz w:val="18"/>
                <w:szCs w:val="18"/>
              </w:rPr>
              <w:t>predchádzanie erózii pôdy a zlepšenie jej obhospodarovania</w:t>
            </w:r>
          </w:p>
        </w:tc>
      </w:tr>
      <w:tr w:rsidR="00255E13" w:rsidRPr="00F849C3" w:rsidTr="00895B36">
        <w:trPr>
          <w:trHeight w:val="635"/>
        </w:trPr>
        <w:tc>
          <w:tcPr>
            <w:tcW w:w="1660" w:type="dxa"/>
            <w:vMerge w:val="restart"/>
            <w:tcBorders>
              <w:top w:val="single" w:sz="4" w:space="0" w:color="auto"/>
              <w:left w:val="single" w:sz="4" w:space="0" w:color="auto"/>
              <w:bottom w:val="single" w:sz="4" w:space="0" w:color="auto"/>
              <w:right w:val="single" w:sz="4" w:space="0" w:color="auto"/>
            </w:tcBorders>
            <w:shd w:val="clear" w:color="000000" w:fill="FFFFFF"/>
            <w:noWrap/>
            <w:vAlign w:val="center"/>
          </w:tcPr>
          <w:p w:rsidR="00255E13" w:rsidRPr="00F849C3" w:rsidRDefault="00255E13" w:rsidP="00895B36">
            <w:pPr>
              <w:jc w:val="center"/>
              <w:rPr>
                <w:sz w:val="18"/>
                <w:szCs w:val="18"/>
              </w:rPr>
            </w:pPr>
            <w:r w:rsidRPr="00F849C3">
              <w:rPr>
                <w:sz w:val="18"/>
                <w:szCs w:val="18"/>
              </w:rPr>
              <w:t>Cieľová hodnota</w:t>
            </w:r>
          </w:p>
        </w:tc>
        <w:tc>
          <w:tcPr>
            <w:tcW w:w="3680" w:type="dxa"/>
            <w:gridSpan w:val="2"/>
            <w:tcBorders>
              <w:top w:val="single" w:sz="4" w:space="0" w:color="auto"/>
              <w:left w:val="nil"/>
              <w:bottom w:val="single" w:sz="4" w:space="0" w:color="auto"/>
              <w:right w:val="single" w:sz="4" w:space="0" w:color="auto"/>
            </w:tcBorders>
            <w:shd w:val="clear" w:color="000000" w:fill="FFFFFF"/>
            <w:vAlign w:val="center"/>
          </w:tcPr>
          <w:p w:rsidR="00255E13" w:rsidRPr="00F849C3" w:rsidRDefault="00255E13" w:rsidP="00895B36">
            <w:pPr>
              <w:jc w:val="center"/>
              <w:rPr>
                <w:b/>
                <w:bCs/>
                <w:sz w:val="18"/>
                <w:szCs w:val="18"/>
              </w:rPr>
            </w:pPr>
            <w:r w:rsidRPr="00F849C3">
              <w:rPr>
                <w:b/>
                <w:bCs/>
                <w:sz w:val="18"/>
                <w:szCs w:val="18"/>
              </w:rPr>
              <w:t xml:space="preserve">% podporeného poľ. územia, ktoré prispieva k biodiverzite (ha) </w:t>
            </w:r>
          </w:p>
        </w:tc>
        <w:tc>
          <w:tcPr>
            <w:tcW w:w="1660" w:type="dxa"/>
            <w:vMerge w:val="restart"/>
            <w:tcBorders>
              <w:top w:val="nil"/>
              <w:left w:val="nil"/>
              <w:bottom w:val="single" w:sz="4" w:space="0" w:color="auto"/>
              <w:right w:val="single" w:sz="4" w:space="0" w:color="auto"/>
            </w:tcBorders>
            <w:shd w:val="clear" w:color="000000" w:fill="FFFFFF"/>
            <w:noWrap/>
            <w:vAlign w:val="center"/>
          </w:tcPr>
          <w:p w:rsidR="00255E13" w:rsidRPr="00F849C3" w:rsidRDefault="00255E13" w:rsidP="00895B36">
            <w:pPr>
              <w:jc w:val="center"/>
              <w:rPr>
                <w:sz w:val="18"/>
                <w:szCs w:val="18"/>
              </w:rPr>
            </w:pPr>
            <w:r w:rsidRPr="00F849C3">
              <w:rPr>
                <w:sz w:val="18"/>
                <w:szCs w:val="18"/>
              </w:rPr>
              <w:t>Cieľová hodnota</w:t>
            </w:r>
          </w:p>
        </w:tc>
        <w:tc>
          <w:tcPr>
            <w:tcW w:w="3320" w:type="dxa"/>
            <w:gridSpan w:val="2"/>
            <w:tcBorders>
              <w:top w:val="single" w:sz="4" w:space="0" w:color="auto"/>
              <w:left w:val="nil"/>
              <w:bottom w:val="single" w:sz="4" w:space="0" w:color="auto"/>
              <w:right w:val="single" w:sz="4" w:space="0" w:color="auto"/>
            </w:tcBorders>
            <w:shd w:val="clear" w:color="000000" w:fill="FFFFFF"/>
            <w:vAlign w:val="center"/>
          </w:tcPr>
          <w:p w:rsidR="00255E13" w:rsidRPr="00F849C3" w:rsidRDefault="00255E13" w:rsidP="00895B36">
            <w:pPr>
              <w:jc w:val="center"/>
              <w:rPr>
                <w:b/>
                <w:bCs/>
                <w:sz w:val="18"/>
                <w:szCs w:val="18"/>
              </w:rPr>
            </w:pPr>
            <w:r w:rsidRPr="00F849C3">
              <w:rPr>
                <w:b/>
                <w:bCs/>
                <w:sz w:val="18"/>
                <w:szCs w:val="18"/>
              </w:rPr>
              <w:t>% podporeného poľ. územia, ktoré prispieva k  zlep. vod. hospodárstvo(ha)</w:t>
            </w:r>
          </w:p>
        </w:tc>
        <w:tc>
          <w:tcPr>
            <w:tcW w:w="1660" w:type="dxa"/>
            <w:vMerge w:val="restart"/>
            <w:tcBorders>
              <w:top w:val="nil"/>
              <w:left w:val="single" w:sz="4" w:space="0" w:color="auto"/>
              <w:bottom w:val="single" w:sz="4" w:space="0" w:color="auto"/>
              <w:right w:val="single" w:sz="4" w:space="0" w:color="auto"/>
            </w:tcBorders>
            <w:shd w:val="clear" w:color="000000" w:fill="FFFFFF"/>
            <w:noWrap/>
            <w:vAlign w:val="center"/>
          </w:tcPr>
          <w:p w:rsidR="00255E13" w:rsidRPr="00F849C3" w:rsidRDefault="00255E13" w:rsidP="00895B36">
            <w:pPr>
              <w:jc w:val="center"/>
              <w:rPr>
                <w:sz w:val="18"/>
                <w:szCs w:val="18"/>
              </w:rPr>
            </w:pPr>
            <w:r w:rsidRPr="00F849C3">
              <w:rPr>
                <w:sz w:val="18"/>
                <w:szCs w:val="18"/>
              </w:rPr>
              <w:t>Cieľová hodnota</w:t>
            </w:r>
          </w:p>
        </w:tc>
        <w:tc>
          <w:tcPr>
            <w:tcW w:w="3320" w:type="dxa"/>
            <w:gridSpan w:val="2"/>
            <w:tcBorders>
              <w:top w:val="single" w:sz="4" w:space="0" w:color="auto"/>
              <w:left w:val="nil"/>
              <w:bottom w:val="single" w:sz="4" w:space="0" w:color="auto"/>
              <w:right w:val="single" w:sz="4" w:space="0" w:color="auto"/>
            </w:tcBorders>
            <w:shd w:val="clear" w:color="000000" w:fill="FFFFFF"/>
            <w:vAlign w:val="center"/>
          </w:tcPr>
          <w:p w:rsidR="00255E13" w:rsidRPr="00F849C3" w:rsidRDefault="00255E13" w:rsidP="00895B36">
            <w:pPr>
              <w:jc w:val="center"/>
              <w:rPr>
                <w:b/>
                <w:bCs/>
                <w:sz w:val="18"/>
                <w:szCs w:val="18"/>
              </w:rPr>
            </w:pPr>
            <w:r w:rsidRPr="00F849C3">
              <w:rPr>
                <w:b/>
                <w:bCs/>
                <w:sz w:val="18"/>
                <w:szCs w:val="18"/>
              </w:rPr>
              <w:t>% podporeného poľ. územia, ktoré prispieva k  zlep. obhosp. pôdy a /alebo prevencii pôdnej erózii (ha)</w:t>
            </w:r>
          </w:p>
        </w:tc>
      </w:tr>
      <w:tr w:rsidR="00255E13" w:rsidRPr="00F849C3" w:rsidTr="00895B36">
        <w:trPr>
          <w:trHeight w:val="404"/>
        </w:trPr>
        <w:tc>
          <w:tcPr>
            <w:tcW w:w="1660" w:type="dxa"/>
            <w:vMerge/>
            <w:tcBorders>
              <w:top w:val="single" w:sz="4" w:space="0" w:color="auto"/>
              <w:left w:val="single" w:sz="4" w:space="0" w:color="auto"/>
              <w:bottom w:val="single" w:sz="4" w:space="0" w:color="auto"/>
              <w:right w:val="single" w:sz="4" w:space="0" w:color="auto"/>
            </w:tcBorders>
            <w:vAlign w:val="center"/>
          </w:tcPr>
          <w:p w:rsidR="00255E13" w:rsidRPr="00F849C3" w:rsidRDefault="00255E13" w:rsidP="00895B36">
            <w:pPr>
              <w:rPr>
                <w:sz w:val="18"/>
                <w:szCs w:val="18"/>
              </w:rPr>
            </w:pPr>
          </w:p>
        </w:tc>
        <w:tc>
          <w:tcPr>
            <w:tcW w:w="1660" w:type="dxa"/>
            <w:tcBorders>
              <w:top w:val="nil"/>
              <w:left w:val="nil"/>
              <w:bottom w:val="single" w:sz="4" w:space="0" w:color="auto"/>
              <w:right w:val="single" w:sz="4" w:space="0" w:color="auto"/>
            </w:tcBorders>
            <w:shd w:val="clear" w:color="000000" w:fill="FFFFFF"/>
            <w:vAlign w:val="center"/>
          </w:tcPr>
          <w:p w:rsidR="00255E13" w:rsidRPr="00F849C3" w:rsidRDefault="00255E13" w:rsidP="00895B36">
            <w:pPr>
              <w:jc w:val="center"/>
              <w:rPr>
                <w:sz w:val="18"/>
                <w:szCs w:val="18"/>
              </w:rPr>
            </w:pPr>
            <w:r w:rsidRPr="00F849C3">
              <w:rPr>
                <w:sz w:val="18"/>
                <w:szCs w:val="18"/>
              </w:rPr>
              <w:t>ha</w:t>
            </w:r>
          </w:p>
        </w:tc>
        <w:tc>
          <w:tcPr>
            <w:tcW w:w="2020" w:type="dxa"/>
            <w:tcBorders>
              <w:top w:val="nil"/>
              <w:left w:val="single" w:sz="4" w:space="0" w:color="auto"/>
              <w:bottom w:val="single" w:sz="4" w:space="0" w:color="auto"/>
              <w:right w:val="single" w:sz="4" w:space="0" w:color="auto"/>
            </w:tcBorders>
            <w:shd w:val="clear" w:color="000000" w:fill="FFFFFF"/>
            <w:vAlign w:val="center"/>
          </w:tcPr>
          <w:p w:rsidR="00255E13" w:rsidRPr="00F849C3" w:rsidRDefault="00255E13" w:rsidP="00895B36">
            <w:pPr>
              <w:jc w:val="center"/>
              <w:rPr>
                <w:sz w:val="18"/>
                <w:szCs w:val="18"/>
              </w:rPr>
            </w:pPr>
            <w:r w:rsidRPr="00F849C3">
              <w:rPr>
                <w:sz w:val="18"/>
                <w:szCs w:val="18"/>
              </w:rPr>
              <w:t>%</w:t>
            </w:r>
          </w:p>
        </w:tc>
        <w:tc>
          <w:tcPr>
            <w:tcW w:w="1660" w:type="dxa"/>
            <w:vMerge/>
            <w:tcBorders>
              <w:top w:val="nil"/>
              <w:left w:val="single" w:sz="4" w:space="0" w:color="auto"/>
              <w:bottom w:val="single" w:sz="4" w:space="0" w:color="auto"/>
              <w:right w:val="single" w:sz="4" w:space="0" w:color="auto"/>
            </w:tcBorders>
            <w:vAlign w:val="center"/>
          </w:tcPr>
          <w:p w:rsidR="00255E13" w:rsidRPr="00F849C3" w:rsidRDefault="00255E13" w:rsidP="00895B36">
            <w:pPr>
              <w:rPr>
                <w:sz w:val="18"/>
                <w:szCs w:val="18"/>
              </w:rPr>
            </w:pPr>
          </w:p>
        </w:tc>
        <w:tc>
          <w:tcPr>
            <w:tcW w:w="1660" w:type="dxa"/>
            <w:tcBorders>
              <w:top w:val="nil"/>
              <w:left w:val="nil"/>
              <w:bottom w:val="single" w:sz="4" w:space="0" w:color="auto"/>
              <w:right w:val="single" w:sz="4" w:space="0" w:color="auto"/>
            </w:tcBorders>
            <w:shd w:val="clear" w:color="000000" w:fill="FFFFFF"/>
            <w:vAlign w:val="center"/>
          </w:tcPr>
          <w:p w:rsidR="00255E13" w:rsidRPr="00F849C3" w:rsidRDefault="00255E13" w:rsidP="00895B36">
            <w:pPr>
              <w:jc w:val="center"/>
              <w:rPr>
                <w:sz w:val="18"/>
                <w:szCs w:val="18"/>
              </w:rPr>
            </w:pPr>
            <w:r w:rsidRPr="00F849C3">
              <w:rPr>
                <w:sz w:val="18"/>
                <w:szCs w:val="18"/>
              </w:rPr>
              <w:t>ha</w:t>
            </w:r>
          </w:p>
        </w:tc>
        <w:tc>
          <w:tcPr>
            <w:tcW w:w="1660" w:type="dxa"/>
            <w:tcBorders>
              <w:top w:val="nil"/>
              <w:left w:val="single" w:sz="4" w:space="0" w:color="auto"/>
              <w:bottom w:val="single" w:sz="4" w:space="0" w:color="auto"/>
              <w:right w:val="single" w:sz="4" w:space="0" w:color="auto"/>
            </w:tcBorders>
            <w:shd w:val="clear" w:color="000000" w:fill="FFFFFF"/>
            <w:vAlign w:val="center"/>
          </w:tcPr>
          <w:p w:rsidR="00255E13" w:rsidRPr="00F849C3" w:rsidRDefault="00255E13" w:rsidP="00895B36">
            <w:pPr>
              <w:jc w:val="center"/>
              <w:rPr>
                <w:sz w:val="18"/>
                <w:szCs w:val="18"/>
              </w:rPr>
            </w:pPr>
            <w:r w:rsidRPr="00F849C3">
              <w:rPr>
                <w:sz w:val="18"/>
                <w:szCs w:val="18"/>
              </w:rPr>
              <w:t>%</w:t>
            </w:r>
          </w:p>
        </w:tc>
        <w:tc>
          <w:tcPr>
            <w:tcW w:w="1660" w:type="dxa"/>
            <w:vMerge/>
            <w:tcBorders>
              <w:top w:val="nil"/>
              <w:left w:val="single" w:sz="4" w:space="0" w:color="auto"/>
              <w:bottom w:val="single" w:sz="4" w:space="0" w:color="auto"/>
              <w:right w:val="single" w:sz="4" w:space="0" w:color="auto"/>
            </w:tcBorders>
            <w:vAlign w:val="center"/>
          </w:tcPr>
          <w:p w:rsidR="00255E13" w:rsidRPr="00F849C3" w:rsidRDefault="00255E13" w:rsidP="00895B36">
            <w:pPr>
              <w:rPr>
                <w:sz w:val="18"/>
                <w:szCs w:val="18"/>
              </w:rPr>
            </w:pPr>
          </w:p>
        </w:tc>
        <w:tc>
          <w:tcPr>
            <w:tcW w:w="1660" w:type="dxa"/>
            <w:tcBorders>
              <w:top w:val="nil"/>
              <w:left w:val="nil"/>
              <w:bottom w:val="single" w:sz="4" w:space="0" w:color="auto"/>
              <w:right w:val="single" w:sz="4" w:space="0" w:color="auto"/>
            </w:tcBorders>
            <w:shd w:val="clear" w:color="000000" w:fill="FFFFFF"/>
            <w:vAlign w:val="center"/>
          </w:tcPr>
          <w:p w:rsidR="00255E13" w:rsidRPr="00F849C3" w:rsidRDefault="00255E13" w:rsidP="00895B36">
            <w:pPr>
              <w:jc w:val="center"/>
              <w:rPr>
                <w:sz w:val="18"/>
                <w:szCs w:val="18"/>
              </w:rPr>
            </w:pPr>
            <w:r w:rsidRPr="00F849C3">
              <w:rPr>
                <w:sz w:val="18"/>
                <w:szCs w:val="18"/>
              </w:rPr>
              <w:t>ha</w:t>
            </w:r>
          </w:p>
        </w:tc>
        <w:tc>
          <w:tcPr>
            <w:tcW w:w="1660" w:type="dxa"/>
            <w:tcBorders>
              <w:top w:val="nil"/>
              <w:left w:val="single" w:sz="4" w:space="0" w:color="auto"/>
              <w:bottom w:val="single" w:sz="4" w:space="0" w:color="auto"/>
              <w:right w:val="single" w:sz="4" w:space="0" w:color="auto"/>
            </w:tcBorders>
            <w:shd w:val="clear" w:color="000000" w:fill="FFFFFF"/>
            <w:vAlign w:val="center"/>
          </w:tcPr>
          <w:p w:rsidR="00255E13" w:rsidRPr="00F849C3" w:rsidRDefault="00255E13" w:rsidP="00895B36">
            <w:pPr>
              <w:jc w:val="center"/>
              <w:rPr>
                <w:sz w:val="18"/>
                <w:szCs w:val="18"/>
              </w:rPr>
            </w:pPr>
            <w:r w:rsidRPr="00F849C3">
              <w:rPr>
                <w:sz w:val="18"/>
                <w:szCs w:val="18"/>
              </w:rPr>
              <w:t>%</w:t>
            </w:r>
          </w:p>
        </w:tc>
      </w:tr>
      <w:tr w:rsidR="00255E13" w:rsidRPr="00F849C3" w:rsidTr="00895B36">
        <w:trPr>
          <w:trHeight w:val="499"/>
        </w:trPr>
        <w:tc>
          <w:tcPr>
            <w:tcW w:w="1660" w:type="dxa"/>
            <w:tcBorders>
              <w:top w:val="nil"/>
              <w:left w:val="single" w:sz="4" w:space="0" w:color="auto"/>
              <w:bottom w:val="single" w:sz="4" w:space="0" w:color="auto"/>
              <w:right w:val="single" w:sz="4" w:space="0" w:color="auto"/>
            </w:tcBorders>
            <w:shd w:val="clear" w:color="000000" w:fill="FFFFFF"/>
            <w:vAlign w:val="center"/>
          </w:tcPr>
          <w:p w:rsidR="00255E13" w:rsidRPr="00F849C3" w:rsidRDefault="00255E13" w:rsidP="00895B36">
            <w:pPr>
              <w:rPr>
                <w:sz w:val="18"/>
                <w:szCs w:val="18"/>
              </w:rPr>
            </w:pPr>
            <w:r w:rsidRPr="00F849C3">
              <w:rPr>
                <w:sz w:val="18"/>
                <w:szCs w:val="18"/>
              </w:rPr>
              <w:t>Fyzická výmera plôch do 2020</w:t>
            </w:r>
          </w:p>
        </w:tc>
        <w:tc>
          <w:tcPr>
            <w:tcW w:w="1660" w:type="dxa"/>
            <w:tcBorders>
              <w:top w:val="nil"/>
              <w:left w:val="nil"/>
              <w:bottom w:val="single" w:sz="4" w:space="0" w:color="auto"/>
              <w:right w:val="single" w:sz="4" w:space="0" w:color="auto"/>
            </w:tcBorders>
            <w:shd w:val="clear" w:color="000000" w:fill="FFFFFF"/>
            <w:vAlign w:val="center"/>
          </w:tcPr>
          <w:p w:rsidR="00255E13" w:rsidRPr="00F849C3" w:rsidRDefault="00255E13" w:rsidP="00895B36">
            <w:pPr>
              <w:jc w:val="right"/>
              <w:rPr>
                <w:i/>
                <w:iCs/>
                <w:sz w:val="18"/>
                <w:szCs w:val="18"/>
              </w:rPr>
            </w:pPr>
            <w:r w:rsidRPr="00F849C3">
              <w:rPr>
                <w:i/>
                <w:iCs/>
                <w:sz w:val="18"/>
                <w:szCs w:val="18"/>
              </w:rPr>
              <w:t xml:space="preserve">        </w:t>
            </w:r>
            <w:r>
              <w:rPr>
                <w:i/>
                <w:iCs/>
                <w:sz w:val="18"/>
                <w:szCs w:val="18"/>
              </w:rPr>
              <w:t>442 155</w:t>
            </w:r>
            <w:r w:rsidRPr="00F849C3">
              <w:rPr>
                <w:i/>
                <w:iCs/>
                <w:sz w:val="18"/>
                <w:szCs w:val="18"/>
              </w:rPr>
              <w:t xml:space="preserve">   </w:t>
            </w:r>
          </w:p>
        </w:tc>
        <w:tc>
          <w:tcPr>
            <w:tcW w:w="2020" w:type="dxa"/>
            <w:tcBorders>
              <w:top w:val="nil"/>
              <w:left w:val="single" w:sz="4" w:space="0" w:color="auto"/>
              <w:bottom w:val="single" w:sz="4" w:space="0" w:color="auto"/>
              <w:right w:val="single" w:sz="4" w:space="0" w:color="auto"/>
            </w:tcBorders>
            <w:shd w:val="clear" w:color="000000" w:fill="FFFFFF"/>
            <w:vAlign w:val="center"/>
          </w:tcPr>
          <w:p w:rsidR="00255E13" w:rsidRPr="00F849C3" w:rsidRDefault="00255E13" w:rsidP="00895B36">
            <w:pPr>
              <w:jc w:val="center"/>
              <w:rPr>
                <w:b/>
                <w:bCs/>
                <w:sz w:val="18"/>
                <w:szCs w:val="18"/>
              </w:rPr>
            </w:pPr>
            <w:r>
              <w:rPr>
                <w:b/>
                <w:bCs/>
                <w:sz w:val="18"/>
                <w:szCs w:val="18"/>
              </w:rPr>
              <w:t>23</w:t>
            </w:r>
            <w:r w:rsidRPr="00F849C3">
              <w:rPr>
                <w:b/>
                <w:bCs/>
                <w:sz w:val="18"/>
                <w:szCs w:val="18"/>
              </w:rPr>
              <w:t>%</w:t>
            </w:r>
          </w:p>
        </w:tc>
        <w:tc>
          <w:tcPr>
            <w:tcW w:w="1660" w:type="dxa"/>
            <w:tcBorders>
              <w:top w:val="nil"/>
              <w:left w:val="single" w:sz="4" w:space="0" w:color="auto"/>
              <w:bottom w:val="single" w:sz="4" w:space="0" w:color="auto"/>
              <w:right w:val="single" w:sz="4" w:space="0" w:color="auto"/>
            </w:tcBorders>
            <w:shd w:val="clear" w:color="000000" w:fill="FFFFFF"/>
            <w:vAlign w:val="center"/>
          </w:tcPr>
          <w:p w:rsidR="00255E13" w:rsidRPr="00F849C3" w:rsidRDefault="00255E13" w:rsidP="00895B36">
            <w:pPr>
              <w:rPr>
                <w:sz w:val="18"/>
                <w:szCs w:val="18"/>
              </w:rPr>
            </w:pPr>
            <w:r w:rsidRPr="00F849C3">
              <w:rPr>
                <w:sz w:val="18"/>
                <w:szCs w:val="18"/>
              </w:rPr>
              <w:t>Fyzická výmera plôch do 2020</w:t>
            </w:r>
          </w:p>
        </w:tc>
        <w:tc>
          <w:tcPr>
            <w:tcW w:w="1660" w:type="dxa"/>
            <w:tcBorders>
              <w:top w:val="nil"/>
              <w:left w:val="nil"/>
              <w:bottom w:val="single" w:sz="4" w:space="0" w:color="auto"/>
              <w:right w:val="single" w:sz="4" w:space="0" w:color="auto"/>
            </w:tcBorders>
            <w:shd w:val="clear" w:color="000000" w:fill="FFFFFF"/>
            <w:vAlign w:val="center"/>
          </w:tcPr>
          <w:p w:rsidR="00255E13" w:rsidRPr="00F849C3" w:rsidRDefault="00255E13" w:rsidP="00895B36">
            <w:pPr>
              <w:jc w:val="right"/>
              <w:rPr>
                <w:i/>
                <w:iCs/>
                <w:sz w:val="18"/>
                <w:szCs w:val="18"/>
              </w:rPr>
            </w:pPr>
            <w:r>
              <w:rPr>
                <w:i/>
                <w:iCs/>
                <w:sz w:val="18"/>
                <w:szCs w:val="18"/>
              </w:rPr>
              <w:t>434 490</w:t>
            </w:r>
          </w:p>
        </w:tc>
        <w:tc>
          <w:tcPr>
            <w:tcW w:w="1660" w:type="dxa"/>
            <w:tcBorders>
              <w:top w:val="nil"/>
              <w:left w:val="single" w:sz="4" w:space="0" w:color="auto"/>
              <w:bottom w:val="single" w:sz="4" w:space="0" w:color="auto"/>
              <w:right w:val="single" w:sz="4" w:space="0" w:color="auto"/>
            </w:tcBorders>
            <w:shd w:val="clear" w:color="000000" w:fill="FFFFFF"/>
            <w:vAlign w:val="center"/>
          </w:tcPr>
          <w:p w:rsidR="00255E13" w:rsidRPr="00F849C3" w:rsidRDefault="00255E13" w:rsidP="00895B36">
            <w:pPr>
              <w:jc w:val="center"/>
              <w:rPr>
                <w:b/>
                <w:bCs/>
                <w:sz w:val="18"/>
                <w:szCs w:val="18"/>
              </w:rPr>
            </w:pPr>
            <w:r>
              <w:rPr>
                <w:b/>
                <w:bCs/>
                <w:sz w:val="18"/>
                <w:szCs w:val="18"/>
              </w:rPr>
              <w:t>23</w:t>
            </w:r>
            <w:r w:rsidRPr="00F849C3">
              <w:rPr>
                <w:b/>
                <w:bCs/>
                <w:sz w:val="18"/>
                <w:szCs w:val="18"/>
              </w:rPr>
              <w:t>%</w:t>
            </w:r>
          </w:p>
        </w:tc>
        <w:tc>
          <w:tcPr>
            <w:tcW w:w="1660" w:type="dxa"/>
            <w:tcBorders>
              <w:top w:val="nil"/>
              <w:left w:val="nil"/>
              <w:bottom w:val="single" w:sz="8" w:space="0" w:color="auto"/>
              <w:right w:val="single" w:sz="4" w:space="0" w:color="auto"/>
            </w:tcBorders>
            <w:shd w:val="clear" w:color="000000" w:fill="FFFFFF"/>
            <w:vAlign w:val="center"/>
          </w:tcPr>
          <w:p w:rsidR="00255E13" w:rsidRPr="00F849C3" w:rsidRDefault="00255E13" w:rsidP="00895B36">
            <w:pPr>
              <w:rPr>
                <w:sz w:val="18"/>
                <w:szCs w:val="18"/>
              </w:rPr>
            </w:pPr>
            <w:r w:rsidRPr="00F849C3">
              <w:rPr>
                <w:sz w:val="18"/>
                <w:szCs w:val="18"/>
              </w:rPr>
              <w:t>Fyzická výmera plôch do 2020</w:t>
            </w:r>
          </w:p>
        </w:tc>
        <w:tc>
          <w:tcPr>
            <w:tcW w:w="1660" w:type="dxa"/>
            <w:tcBorders>
              <w:top w:val="nil"/>
              <w:left w:val="nil"/>
              <w:bottom w:val="single" w:sz="8" w:space="0" w:color="auto"/>
              <w:right w:val="single" w:sz="4" w:space="0" w:color="auto"/>
            </w:tcBorders>
            <w:shd w:val="clear" w:color="000000" w:fill="FFFFFF"/>
            <w:vAlign w:val="center"/>
          </w:tcPr>
          <w:p w:rsidR="00255E13" w:rsidRPr="00F849C3" w:rsidRDefault="00255E13" w:rsidP="00895B36">
            <w:pPr>
              <w:jc w:val="right"/>
              <w:rPr>
                <w:i/>
                <w:iCs/>
                <w:sz w:val="18"/>
                <w:szCs w:val="18"/>
              </w:rPr>
            </w:pPr>
            <w:r>
              <w:rPr>
                <w:i/>
                <w:iCs/>
                <w:sz w:val="18"/>
                <w:szCs w:val="18"/>
              </w:rPr>
              <w:t>434 490</w:t>
            </w:r>
          </w:p>
        </w:tc>
        <w:tc>
          <w:tcPr>
            <w:tcW w:w="1660" w:type="dxa"/>
            <w:tcBorders>
              <w:top w:val="nil"/>
              <w:left w:val="single" w:sz="4" w:space="0" w:color="auto"/>
              <w:bottom w:val="single" w:sz="8" w:space="0" w:color="auto"/>
              <w:right w:val="single" w:sz="4" w:space="0" w:color="auto"/>
            </w:tcBorders>
            <w:shd w:val="clear" w:color="000000" w:fill="FFFFFF"/>
            <w:vAlign w:val="center"/>
          </w:tcPr>
          <w:p w:rsidR="00255E13" w:rsidRPr="00F849C3" w:rsidRDefault="00255E13" w:rsidP="00895B36">
            <w:pPr>
              <w:jc w:val="center"/>
              <w:rPr>
                <w:b/>
                <w:bCs/>
                <w:sz w:val="18"/>
                <w:szCs w:val="18"/>
              </w:rPr>
            </w:pPr>
            <w:r>
              <w:rPr>
                <w:b/>
                <w:bCs/>
                <w:sz w:val="18"/>
                <w:szCs w:val="18"/>
              </w:rPr>
              <w:t>23</w:t>
            </w:r>
            <w:r w:rsidRPr="00F849C3">
              <w:rPr>
                <w:b/>
                <w:bCs/>
                <w:sz w:val="18"/>
                <w:szCs w:val="18"/>
              </w:rPr>
              <w:t>%</w:t>
            </w:r>
          </w:p>
        </w:tc>
      </w:tr>
      <w:tr w:rsidR="00255E13" w:rsidRPr="00F849C3" w:rsidTr="00895B36">
        <w:trPr>
          <w:trHeight w:val="735"/>
        </w:trPr>
        <w:tc>
          <w:tcPr>
            <w:tcW w:w="1660" w:type="dxa"/>
            <w:tcBorders>
              <w:top w:val="nil"/>
              <w:left w:val="single" w:sz="4" w:space="0" w:color="auto"/>
              <w:bottom w:val="single" w:sz="8" w:space="0" w:color="auto"/>
              <w:right w:val="single" w:sz="4" w:space="0" w:color="auto"/>
            </w:tcBorders>
            <w:shd w:val="clear" w:color="000000" w:fill="FFFFFF"/>
            <w:vAlign w:val="center"/>
          </w:tcPr>
          <w:p w:rsidR="00255E13" w:rsidRPr="00F849C3" w:rsidRDefault="00255E13" w:rsidP="00895B36">
            <w:pPr>
              <w:rPr>
                <w:sz w:val="18"/>
                <w:szCs w:val="18"/>
              </w:rPr>
            </w:pPr>
            <w:r w:rsidRPr="00F849C3">
              <w:rPr>
                <w:sz w:val="18"/>
                <w:szCs w:val="18"/>
              </w:rPr>
              <w:t>Celková výmera poľ.pôdy (východ. rok)</w:t>
            </w:r>
          </w:p>
        </w:tc>
        <w:tc>
          <w:tcPr>
            <w:tcW w:w="1660" w:type="dxa"/>
            <w:tcBorders>
              <w:top w:val="nil"/>
              <w:left w:val="nil"/>
              <w:bottom w:val="single" w:sz="8" w:space="0" w:color="auto"/>
              <w:right w:val="single" w:sz="4" w:space="0" w:color="auto"/>
            </w:tcBorders>
            <w:shd w:val="clear" w:color="000000" w:fill="FFFFFF"/>
            <w:vAlign w:val="center"/>
          </w:tcPr>
          <w:p w:rsidR="00255E13" w:rsidRPr="00F849C3" w:rsidRDefault="00255E13" w:rsidP="00895B36">
            <w:pPr>
              <w:jc w:val="right"/>
              <w:rPr>
                <w:i/>
                <w:iCs/>
                <w:sz w:val="18"/>
                <w:szCs w:val="18"/>
              </w:rPr>
            </w:pPr>
            <w:r w:rsidRPr="00F849C3">
              <w:rPr>
                <w:i/>
                <w:iCs/>
                <w:sz w:val="18"/>
                <w:szCs w:val="18"/>
              </w:rPr>
              <w:t>1 895 500</w:t>
            </w:r>
          </w:p>
        </w:tc>
        <w:tc>
          <w:tcPr>
            <w:tcW w:w="2020" w:type="dxa"/>
            <w:tcBorders>
              <w:top w:val="nil"/>
              <w:left w:val="single" w:sz="4" w:space="0" w:color="auto"/>
              <w:bottom w:val="single" w:sz="8" w:space="0" w:color="auto"/>
              <w:right w:val="nil"/>
            </w:tcBorders>
            <w:shd w:val="clear" w:color="000000" w:fill="FFFFFF"/>
            <w:noWrap/>
            <w:vAlign w:val="center"/>
          </w:tcPr>
          <w:p w:rsidR="00255E13" w:rsidRPr="00F849C3" w:rsidRDefault="00255E13" w:rsidP="00895B36">
            <w:pPr>
              <w:jc w:val="center"/>
              <w:rPr>
                <w:b/>
                <w:bCs/>
                <w:sz w:val="18"/>
                <w:szCs w:val="18"/>
              </w:rPr>
            </w:pPr>
            <w:r w:rsidRPr="00F849C3">
              <w:rPr>
                <w:b/>
                <w:bCs/>
                <w:sz w:val="18"/>
                <w:szCs w:val="18"/>
              </w:rPr>
              <w:t> </w:t>
            </w:r>
          </w:p>
        </w:tc>
        <w:tc>
          <w:tcPr>
            <w:tcW w:w="1660" w:type="dxa"/>
            <w:tcBorders>
              <w:top w:val="single" w:sz="4" w:space="0" w:color="auto"/>
              <w:left w:val="nil"/>
              <w:bottom w:val="nil"/>
              <w:right w:val="nil"/>
            </w:tcBorders>
            <w:shd w:val="clear" w:color="000000" w:fill="FFFFFF"/>
            <w:noWrap/>
            <w:vAlign w:val="center"/>
          </w:tcPr>
          <w:p w:rsidR="00255E13" w:rsidRPr="00F849C3" w:rsidRDefault="00255E13" w:rsidP="00895B36">
            <w:pPr>
              <w:rPr>
                <w:sz w:val="18"/>
                <w:szCs w:val="18"/>
              </w:rPr>
            </w:pPr>
            <w:r w:rsidRPr="00F849C3">
              <w:rPr>
                <w:sz w:val="18"/>
                <w:szCs w:val="18"/>
              </w:rPr>
              <w:t> </w:t>
            </w:r>
          </w:p>
        </w:tc>
        <w:tc>
          <w:tcPr>
            <w:tcW w:w="1660" w:type="dxa"/>
            <w:tcBorders>
              <w:top w:val="single" w:sz="4" w:space="0" w:color="auto"/>
              <w:left w:val="nil"/>
              <w:bottom w:val="nil"/>
              <w:right w:val="nil"/>
            </w:tcBorders>
            <w:shd w:val="clear" w:color="000000" w:fill="FFFFFF"/>
            <w:noWrap/>
            <w:vAlign w:val="center"/>
          </w:tcPr>
          <w:p w:rsidR="00255E13" w:rsidRPr="00F849C3" w:rsidRDefault="00255E13" w:rsidP="00895B36">
            <w:pPr>
              <w:rPr>
                <w:sz w:val="18"/>
                <w:szCs w:val="18"/>
              </w:rPr>
            </w:pPr>
            <w:r w:rsidRPr="00F849C3">
              <w:rPr>
                <w:sz w:val="18"/>
                <w:szCs w:val="18"/>
              </w:rPr>
              <w:t> </w:t>
            </w:r>
          </w:p>
        </w:tc>
        <w:tc>
          <w:tcPr>
            <w:tcW w:w="1660" w:type="dxa"/>
            <w:tcBorders>
              <w:top w:val="single" w:sz="4" w:space="0" w:color="auto"/>
              <w:left w:val="nil"/>
              <w:bottom w:val="nil"/>
              <w:right w:val="nil"/>
            </w:tcBorders>
            <w:shd w:val="clear" w:color="000000" w:fill="FFFFFF"/>
            <w:noWrap/>
            <w:vAlign w:val="center"/>
          </w:tcPr>
          <w:p w:rsidR="00255E13" w:rsidRPr="00F849C3" w:rsidRDefault="00255E13" w:rsidP="00895B36">
            <w:pPr>
              <w:rPr>
                <w:sz w:val="18"/>
                <w:szCs w:val="18"/>
              </w:rPr>
            </w:pPr>
            <w:r w:rsidRPr="00F849C3">
              <w:rPr>
                <w:sz w:val="18"/>
                <w:szCs w:val="18"/>
              </w:rPr>
              <w:t> </w:t>
            </w:r>
          </w:p>
        </w:tc>
        <w:tc>
          <w:tcPr>
            <w:tcW w:w="1660" w:type="dxa"/>
            <w:tcBorders>
              <w:top w:val="nil"/>
              <w:left w:val="nil"/>
              <w:bottom w:val="nil"/>
              <w:right w:val="nil"/>
            </w:tcBorders>
            <w:shd w:val="clear" w:color="000000" w:fill="FFFFFF"/>
            <w:noWrap/>
            <w:vAlign w:val="center"/>
          </w:tcPr>
          <w:p w:rsidR="00255E13" w:rsidRPr="00F849C3" w:rsidRDefault="00255E13" w:rsidP="00895B36">
            <w:pPr>
              <w:rPr>
                <w:sz w:val="18"/>
                <w:szCs w:val="18"/>
              </w:rPr>
            </w:pPr>
            <w:r w:rsidRPr="00F849C3">
              <w:rPr>
                <w:sz w:val="18"/>
                <w:szCs w:val="18"/>
              </w:rPr>
              <w:t> </w:t>
            </w:r>
          </w:p>
        </w:tc>
        <w:tc>
          <w:tcPr>
            <w:tcW w:w="1660" w:type="dxa"/>
            <w:tcBorders>
              <w:top w:val="nil"/>
              <w:left w:val="nil"/>
              <w:bottom w:val="nil"/>
              <w:right w:val="nil"/>
            </w:tcBorders>
            <w:shd w:val="clear" w:color="000000" w:fill="FFFFFF"/>
            <w:noWrap/>
            <w:vAlign w:val="center"/>
          </w:tcPr>
          <w:p w:rsidR="00255E13" w:rsidRPr="00F849C3" w:rsidRDefault="00255E13" w:rsidP="00895B36">
            <w:pPr>
              <w:rPr>
                <w:sz w:val="18"/>
                <w:szCs w:val="18"/>
              </w:rPr>
            </w:pPr>
            <w:r w:rsidRPr="00F849C3">
              <w:rPr>
                <w:sz w:val="18"/>
                <w:szCs w:val="18"/>
              </w:rPr>
              <w:t> </w:t>
            </w:r>
          </w:p>
        </w:tc>
        <w:tc>
          <w:tcPr>
            <w:tcW w:w="1660" w:type="dxa"/>
            <w:tcBorders>
              <w:top w:val="nil"/>
              <w:left w:val="nil"/>
              <w:bottom w:val="nil"/>
              <w:right w:val="single" w:sz="4" w:space="0" w:color="auto"/>
            </w:tcBorders>
            <w:shd w:val="clear" w:color="000000" w:fill="FFFFFF"/>
            <w:noWrap/>
            <w:vAlign w:val="center"/>
          </w:tcPr>
          <w:p w:rsidR="00255E13" w:rsidRPr="00F849C3" w:rsidRDefault="00255E13" w:rsidP="00895B36">
            <w:pPr>
              <w:rPr>
                <w:sz w:val="18"/>
                <w:szCs w:val="18"/>
              </w:rPr>
            </w:pPr>
            <w:r w:rsidRPr="00F849C3">
              <w:rPr>
                <w:sz w:val="18"/>
                <w:szCs w:val="18"/>
              </w:rPr>
              <w:t> </w:t>
            </w:r>
          </w:p>
        </w:tc>
      </w:tr>
      <w:tr w:rsidR="00255E13" w:rsidRPr="00F849C3" w:rsidTr="00895B36">
        <w:trPr>
          <w:trHeight w:val="285"/>
        </w:trPr>
        <w:tc>
          <w:tcPr>
            <w:tcW w:w="15300" w:type="dxa"/>
            <w:gridSpan w:val="9"/>
            <w:tcBorders>
              <w:top w:val="single" w:sz="8" w:space="0" w:color="auto"/>
              <w:left w:val="single" w:sz="4" w:space="0" w:color="auto"/>
              <w:bottom w:val="nil"/>
              <w:right w:val="single" w:sz="4" w:space="0" w:color="auto"/>
            </w:tcBorders>
            <w:shd w:val="clear" w:color="000000" w:fill="FFFFFF"/>
            <w:noWrap/>
            <w:vAlign w:val="center"/>
          </w:tcPr>
          <w:p w:rsidR="00255E13" w:rsidRPr="00F849C3" w:rsidRDefault="00255E13" w:rsidP="00895B36">
            <w:pPr>
              <w:jc w:val="center"/>
              <w:rPr>
                <w:b/>
                <w:bCs/>
                <w:sz w:val="20"/>
                <w:szCs w:val="20"/>
              </w:rPr>
            </w:pPr>
            <w:r w:rsidRPr="00F849C3">
              <w:rPr>
                <w:b/>
                <w:bCs/>
                <w:sz w:val="20"/>
                <w:szCs w:val="20"/>
              </w:rPr>
              <w:t>plánovaný výstup 2014-2020 pre prioritu 4</w:t>
            </w:r>
          </w:p>
        </w:tc>
      </w:tr>
      <w:tr w:rsidR="00255E13" w:rsidRPr="00F849C3" w:rsidTr="00895B36">
        <w:trPr>
          <w:trHeight w:val="345"/>
        </w:trPr>
        <w:tc>
          <w:tcPr>
            <w:tcW w:w="1660" w:type="dxa"/>
            <w:tcBorders>
              <w:top w:val="single" w:sz="4" w:space="0" w:color="auto"/>
              <w:left w:val="single" w:sz="4" w:space="0" w:color="auto"/>
              <w:bottom w:val="single" w:sz="4" w:space="0" w:color="auto"/>
              <w:right w:val="single" w:sz="4" w:space="0" w:color="auto"/>
            </w:tcBorders>
            <w:shd w:val="clear" w:color="000000" w:fill="FFFFFF"/>
            <w:noWrap/>
            <w:vAlign w:val="center"/>
          </w:tcPr>
          <w:p w:rsidR="00255E13" w:rsidRPr="00F849C3" w:rsidRDefault="00255E13" w:rsidP="00895B36">
            <w:pPr>
              <w:jc w:val="center"/>
              <w:rPr>
                <w:b/>
                <w:bCs/>
                <w:sz w:val="20"/>
                <w:szCs w:val="20"/>
              </w:rPr>
            </w:pPr>
            <w:r w:rsidRPr="00F849C3">
              <w:rPr>
                <w:b/>
                <w:bCs/>
                <w:sz w:val="20"/>
                <w:szCs w:val="20"/>
              </w:rPr>
              <w:t>Opatrenia</w:t>
            </w:r>
          </w:p>
        </w:tc>
        <w:tc>
          <w:tcPr>
            <w:tcW w:w="13640" w:type="dxa"/>
            <w:gridSpan w:val="8"/>
            <w:tcBorders>
              <w:top w:val="single" w:sz="4" w:space="0" w:color="auto"/>
              <w:left w:val="nil"/>
              <w:bottom w:val="single" w:sz="4" w:space="0" w:color="auto"/>
              <w:right w:val="single" w:sz="4" w:space="0" w:color="auto"/>
            </w:tcBorders>
            <w:shd w:val="clear" w:color="000000" w:fill="FFFFFF"/>
            <w:noWrap/>
            <w:vAlign w:val="center"/>
          </w:tcPr>
          <w:p w:rsidR="00255E13" w:rsidRPr="00F849C3" w:rsidRDefault="00255E13" w:rsidP="00895B36">
            <w:pPr>
              <w:jc w:val="center"/>
              <w:rPr>
                <w:b/>
                <w:bCs/>
                <w:sz w:val="20"/>
                <w:szCs w:val="20"/>
              </w:rPr>
            </w:pPr>
            <w:r w:rsidRPr="00F849C3">
              <w:rPr>
                <w:b/>
                <w:bCs/>
                <w:sz w:val="20"/>
                <w:szCs w:val="20"/>
              </w:rPr>
              <w:t> </w:t>
            </w:r>
          </w:p>
        </w:tc>
      </w:tr>
      <w:tr w:rsidR="00255E13" w:rsidRPr="00F849C3" w:rsidTr="00895B36">
        <w:trPr>
          <w:trHeight w:val="300"/>
        </w:trPr>
        <w:tc>
          <w:tcPr>
            <w:tcW w:w="1660" w:type="dxa"/>
            <w:vMerge w:val="restart"/>
            <w:tcBorders>
              <w:top w:val="nil"/>
              <w:left w:val="single" w:sz="4" w:space="0" w:color="auto"/>
              <w:bottom w:val="single" w:sz="4" w:space="0" w:color="000000"/>
              <w:right w:val="single" w:sz="4" w:space="0" w:color="auto"/>
            </w:tcBorders>
            <w:shd w:val="clear" w:color="000000" w:fill="FFFFFF"/>
            <w:vAlign w:val="center"/>
          </w:tcPr>
          <w:p w:rsidR="00255E13" w:rsidRPr="00F849C3" w:rsidRDefault="00255E13" w:rsidP="00895B36">
            <w:pPr>
              <w:jc w:val="center"/>
              <w:rPr>
                <w:b/>
                <w:bCs/>
                <w:sz w:val="16"/>
                <w:szCs w:val="16"/>
              </w:rPr>
            </w:pPr>
            <w:r>
              <w:rPr>
                <w:b/>
                <w:bCs/>
                <w:sz w:val="16"/>
                <w:szCs w:val="16"/>
              </w:rPr>
              <w:t>10 (28</w:t>
            </w:r>
            <w:r w:rsidRPr="00F849C3">
              <w:rPr>
                <w:b/>
                <w:bCs/>
                <w:sz w:val="16"/>
                <w:szCs w:val="16"/>
              </w:rPr>
              <w:t>)</w:t>
            </w:r>
          </w:p>
        </w:tc>
        <w:tc>
          <w:tcPr>
            <w:tcW w:w="10320" w:type="dxa"/>
            <w:gridSpan w:val="6"/>
            <w:tcBorders>
              <w:top w:val="nil"/>
              <w:left w:val="nil"/>
              <w:bottom w:val="single" w:sz="4" w:space="0" w:color="auto"/>
              <w:right w:val="single" w:sz="4" w:space="0" w:color="auto"/>
            </w:tcBorders>
            <w:shd w:val="clear" w:color="000000" w:fill="FFFFFF"/>
            <w:vAlign w:val="center"/>
          </w:tcPr>
          <w:p w:rsidR="00255E13" w:rsidRPr="00F849C3" w:rsidRDefault="00255E13" w:rsidP="00895B36">
            <w:pPr>
              <w:rPr>
                <w:sz w:val="16"/>
                <w:szCs w:val="16"/>
              </w:rPr>
            </w:pPr>
            <w:r w:rsidRPr="00F849C3">
              <w:rPr>
                <w:sz w:val="16"/>
                <w:szCs w:val="16"/>
              </w:rPr>
              <w:t>Výmera plôch (ha) podporená v rámci opatrenia (prispieva k 4A, 4B, 4C) (10.1)</w:t>
            </w:r>
          </w:p>
        </w:tc>
        <w:tc>
          <w:tcPr>
            <w:tcW w:w="3320" w:type="dxa"/>
            <w:gridSpan w:val="2"/>
            <w:tcBorders>
              <w:top w:val="nil"/>
              <w:left w:val="nil"/>
              <w:bottom w:val="single" w:sz="4" w:space="0" w:color="auto"/>
              <w:right w:val="single" w:sz="4" w:space="0" w:color="auto"/>
            </w:tcBorders>
            <w:shd w:val="clear" w:color="000000" w:fill="FFFFFF"/>
            <w:noWrap/>
            <w:vAlign w:val="center"/>
          </w:tcPr>
          <w:p w:rsidR="00255E13" w:rsidRPr="00F849C3" w:rsidRDefault="00255E13" w:rsidP="00895B36">
            <w:pPr>
              <w:jc w:val="right"/>
              <w:rPr>
                <w:b/>
                <w:bCs/>
                <w:sz w:val="20"/>
                <w:szCs w:val="20"/>
              </w:rPr>
            </w:pPr>
            <w:r w:rsidRPr="00F849C3">
              <w:rPr>
                <w:b/>
                <w:bCs/>
                <w:sz w:val="20"/>
                <w:szCs w:val="20"/>
              </w:rPr>
              <w:t xml:space="preserve">                                    </w:t>
            </w:r>
            <w:r>
              <w:rPr>
                <w:b/>
                <w:bCs/>
                <w:sz w:val="20"/>
                <w:szCs w:val="20"/>
              </w:rPr>
              <w:t> 289 150</w:t>
            </w:r>
          </w:p>
        </w:tc>
      </w:tr>
      <w:tr w:rsidR="00255E13" w:rsidRPr="00F849C3" w:rsidTr="00895B36">
        <w:trPr>
          <w:trHeight w:val="300"/>
        </w:trPr>
        <w:tc>
          <w:tcPr>
            <w:tcW w:w="1660" w:type="dxa"/>
            <w:vMerge/>
            <w:tcBorders>
              <w:top w:val="nil"/>
              <w:left w:val="single" w:sz="4" w:space="0" w:color="auto"/>
              <w:bottom w:val="single" w:sz="4" w:space="0" w:color="000000"/>
              <w:right w:val="single" w:sz="4" w:space="0" w:color="auto"/>
            </w:tcBorders>
            <w:vAlign w:val="center"/>
          </w:tcPr>
          <w:p w:rsidR="00255E13" w:rsidRPr="00F849C3" w:rsidRDefault="00255E13" w:rsidP="00895B36">
            <w:pPr>
              <w:rPr>
                <w:b/>
                <w:bCs/>
                <w:sz w:val="16"/>
                <w:szCs w:val="16"/>
              </w:rPr>
            </w:pPr>
          </w:p>
        </w:tc>
        <w:tc>
          <w:tcPr>
            <w:tcW w:w="10320" w:type="dxa"/>
            <w:gridSpan w:val="6"/>
            <w:tcBorders>
              <w:top w:val="single" w:sz="4" w:space="0" w:color="auto"/>
              <w:left w:val="nil"/>
              <w:bottom w:val="single" w:sz="4" w:space="0" w:color="auto"/>
              <w:right w:val="single" w:sz="4" w:space="0" w:color="auto"/>
            </w:tcBorders>
            <w:shd w:val="clear" w:color="000000" w:fill="FFFFFF"/>
            <w:vAlign w:val="center"/>
          </w:tcPr>
          <w:p w:rsidR="00255E13" w:rsidRPr="00F849C3" w:rsidRDefault="00255E13" w:rsidP="00895B36">
            <w:pPr>
              <w:rPr>
                <w:sz w:val="16"/>
                <w:szCs w:val="16"/>
              </w:rPr>
            </w:pPr>
            <w:r w:rsidRPr="00F849C3">
              <w:rPr>
                <w:sz w:val="16"/>
                <w:szCs w:val="16"/>
              </w:rPr>
              <w:t>Verejné výdavky na podporu ohrozených druhov zvieratá (10.2)</w:t>
            </w:r>
          </w:p>
        </w:tc>
        <w:tc>
          <w:tcPr>
            <w:tcW w:w="3320" w:type="dxa"/>
            <w:gridSpan w:val="2"/>
            <w:tcBorders>
              <w:top w:val="single" w:sz="4" w:space="0" w:color="auto"/>
              <w:left w:val="nil"/>
              <w:bottom w:val="single" w:sz="4" w:space="0" w:color="auto"/>
              <w:right w:val="single" w:sz="4" w:space="0" w:color="auto"/>
            </w:tcBorders>
            <w:shd w:val="clear" w:color="000000" w:fill="FFFFFF"/>
            <w:noWrap/>
            <w:vAlign w:val="center"/>
          </w:tcPr>
          <w:p w:rsidR="00255E13" w:rsidRPr="00F849C3" w:rsidRDefault="00255E13" w:rsidP="00895B36">
            <w:pPr>
              <w:jc w:val="right"/>
              <w:rPr>
                <w:sz w:val="20"/>
                <w:szCs w:val="20"/>
              </w:rPr>
            </w:pPr>
            <w:r w:rsidRPr="00F849C3">
              <w:rPr>
                <w:sz w:val="20"/>
                <w:szCs w:val="20"/>
              </w:rPr>
              <w:t xml:space="preserve">                                 </w:t>
            </w:r>
            <w:r>
              <w:rPr>
                <w:sz w:val="20"/>
                <w:szCs w:val="20"/>
              </w:rPr>
              <w:t>3 600 000</w:t>
            </w:r>
            <w:r w:rsidRPr="00F849C3">
              <w:rPr>
                <w:sz w:val="20"/>
                <w:szCs w:val="20"/>
              </w:rPr>
              <w:t xml:space="preserve">,00 </w:t>
            </w:r>
          </w:p>
        </w:tc>
      </w:tr>
      <w:tr w:rsidR="00255E13" w:rsidRPr="00F849C3" w:rsidTr="00895B36">
        <w:trPr>
          <w:trHeight w:val="300"/>
        </w:trPr>
        <w:tc>
          <w:tcPr>
            <w:tcW w:w="1660" w:type="dxa"/>
            <w:vMerge/>
            <w:tcBorders>
              <w:top w:val="nil"/>
              <w:left w:val="single" w:sz="4" w:space="0" w:color="auto"/>
              <w:bottom w:val="single" w:sz="4" w:space="0" w:color="000000"/>
              <w:right w:val="single" w:sz="4" w:space="0" w:color="auto"/>
            </w:tcBorders>
            <w:vAlign w:val="center"/>
          </w:tcPr>
          <w:p w:rsidR="00255E13" w:rsidRPr="00F849C3" w:rsidRDefault="00255E13" w:rsidP="00895B36">
            <w:pPr>
              <w:rPr>
                <w:b/>
                <w:bCs/>
                <w:sz w:val="16"/>
                <w:szCs w:val="16"/>
              </w:rPr>
            </w:pPr>
          </w:p>
        </w:tc>
        <w:tc>
          <w:tcPr>
            <w:tcW w:w="10320" w:type="dxa"/>
            <w:gridSpan w:val="6"/>
            <w:tcBorders>
              <w:top w:val="single" w:sz="4" w:space="0" w:color="auto"/>
              <w:left w:val="nil"/>
              <w:bottom w:val="single" w:sz="4" w:space="0" w:color="auto"/>
              <w:right w:val="single" w:sz="4" w:space="0" w:color="auto"/>
            </w:tcBorders>
            <w:shd w:val="clear" w:color="000000" w:fill="FFFFFF"/>
            <w:vAlign w:val="center"/>
          </w:tcPr>
          <w:p w:rsidR="00255E13" w:rsidRPr="00F849C3" w:rsidRDefault="00255E13" w:rsidP="00895B36">
            <w:pPr>
              <w:rPr>
                <w:sz w:val="16"/>
                <w:szCs w:val="16"/>
              </w:rPr>
            </w:pPr>
            <w:r w:rsidRPr="00F849C3">
              <w:rPr>
                <w:sz w:val="16"/>
                <w:szCs w:val="16"/>
              </w:rPr>
              <w:t>Celkové verejné výdavky (€) (10.1+10.2)</w:t>
            </w:r>
          </w:p>
        </w:tc>
        <w:tc>
          <w:tcPr>
            <w:tcW w:w="3320" w:type="dxa"/>
            <w:gridSpan w:val="2"/>
            <w:tcBorders>
              <w:top w:val="single" w:sz="4" w:space="0" w:color="auto"/>
              <w:left w:val="nil"/>
              <w:bottom w:val="single" w:sz="4" w:space="0" w:color="auto"/>
              <w:right w:val="single" w:sz="4" w:space="0" w:color="auto"/>
            </w:tcBorders>
            <w:shd w:val="clear" w:color="000000" w:fill="FFFFFF"/>
            <w:noWrap/>
            <w:vAlign w:val="center"/>
          </w:tcPr>
          <w:p w:rsidR="00255E13" w:rsidRPr="00F849C3" w:rsidRDefault="00255E13" w:rsidP="00895B36">
            <w:pPr>
              <w:jc w:val="right"/>
              <w:rPr>
                <w:sz w:val="20"/>
                <w:szCs w:val="20"/>
              </w:rPr>
            </w:pPr>
            <w:r w:rsidRPr="00F849C3">
              <w:rPr>
                <w:sz w:val="20"/>
                <w:szCs w:val="20"/>
              </w:rPr>
              <w:t xml:space="preserve">       </w:t>
            </w:r>
            <w:r>
              <w:rPr>
                <w:sz w:val="20"/>
                <w:szCs w:val="20"/>
              </w:rPr>
              <w:t xml:space="preserve">                       143 750 000</w:t>
            </w:r>
            <w:r w:rsidRPr="00F849C3">
              <w:rPr>
                <w:sz w:val="20"/>
                <w:szCs w:val="20"/>
              </w:rPr>
              <w:t xml:space="preserve">,00 </w:t>
            </w:r>
          </w:p>
        </w:tc>
      </w:tr>
      <w:tr w:rsidR="00255E13" w:rsidRPr="00F849C3" w:rsidTr="00895B36">
        <w:trPr>
          <w:trHeight w:val="300"/>
        </w:trPr>
        <w:tc>
          <w:tcPr>
            <w:tcW w:w="1660" w:type="dxa"/>
            <w:vMerge w:val="restart"/>
            <w:tcBorders>
              <w:top w:val="nil"/>
              <w:left w:val="single" w:sz="4" w:space="0" w:color="auto"/>
              <w:bottom w:val="single" w:sz="4" w:space="0" w:color="000000"/>
              <w:right w:val="single" w:sz="4" w:space="0" w:color="auto"/>
            </w:tcBorders>
            <w:shd w:val="clear" w:color="000000" w:fill="FFFFFF"/>
            <w:vAlign w:val="center"/>
          </w:tcPr>
          <w:p w:rsidR="00255E13" w:rsidRPr="00F849C3" w:rsidRDefault="00255E13" w:rsidP="00895B36">
            <w:pPr>
              <w:jc w:val="center"/>
              <w:rPr>
                <w:b/>
                <w:bCs/>
                <w:sz w:val="16"/>
                <w:szCs w:val="16"/>
              </w:rPr>
            </w:pPr>
            <w:r>
              <w:rPr>
                <w:b/>
                <w:bCs/>
                <w:sz w:val="16"/>
                <w:szCs w:val="16"/>
              </w:rPr>
              <w:t>11 (29</w:t>
            </w:r>
            <w:r w:rsidRPr="00F849C3">
              <w:rPr>
                <w:b/>
                <w:bCs/>
                <w:sz w:val="16"/>
                <w:szCs w:val="16"/>
              </w:rPr>
              <w:t>)</w:t>
            </w:r>
          </w:p>
        </w:tc>
        <w:tc>
          <w:tcPr>
            <w:tcW w:w="1660" w:type="dxa"/>
            <w:vMerge w:val="restart"/>
            <w:tcBorders>
              <w:top w:val="nil"/>
              <w:left w:val="single" w:sz="4" w:space="0" w:color="auto"/>
              <w:bottom w:val="single" w:sz="4" w:space="0" w:color="auto"/>
              <w:right w:val="single" w:sz="4" w:space="0" w:color="auto"/>
            </w:tcBorders>
            <w:shd w:val="clear" w:color="000000" w:fill="FFFFFF"/>
            <w:vAlign w:val="center"/>
          </w:tcPr>
          <w:p w:rsidR="00255E13" w:rsidRPr="00F849C3" w:rsidRDefault="00255E13" w:rsidP="00895B36">
            <w:pPr>
              <w:rPr>
                <w:sz w:val="16"/>
                <w:szCs w:val="16"/>
              </w:rPr>
            </w:pPr>
            <w:r w:rsidRPr="00F849C3">
              <w:rPr>
                <w:sz w:val="16"/>
                <w:szCs w:val="16"/>
              </w:rPr>
              <w:t>Výmera (ha)</w:t>
            </w:r>
          </w:p>
        </w:tc>
        <w:tc>
          <w:tcPr>
            <w:tcW w:w="8660" w:type="dxa"/>
            <w:gridSpan w:val="5"/>
            <w:tcBorders>
              <w:top w:val="single" w:sz="4" w:space="0" w:color="auto"/>
              <w:left w:val="nil"/>
              <w:bottom w:val="single" w:sz="4" w:space="0" w:color="auto"/>
              <w:right w:val="single" w:sz="4" w:space="0" w:color="auto"/>
            </w:tcBorders>
            <w:shd w:val="clear" w:color="000000" w:fill="FFFFFF"/>
            <w:vAlign w:val="center"/>
          </w:tcPr>
          <w:p w:rsidR="00255E13" w:rsidRPr="00F849C3" w:rsidRDefault="00255E13" w:rsidP="00895B36">
            <w:pPr>
              <w:rPr>
                <w:sz w:val="16"/>
                <w:szCs w:val="16"/>
              </w:rPr>
            </w:pPr>
            <w:r w:rsidRPr="00F849C3">
              <w:rPr>
                <w:sz w:val="16"/>
                <w:szCs w:val="16"/>
              </w:rPr>
              <w:t>Konverzia na ekologické poľnohospodárstvo (prispieva k 4A, 4B, 4C) (11.1)</w:t>
            </w:r>
          </w:p>
        </w:tc>
        <w:tc>
          <w:tcPr>
            <w:tcW w:w="3320" w:type="dxa"/>
            <w:gridSpan w:val="2"/>
            <w:tcBorders>
              <w:top w:val="single" w:sz="4" w:space="0" w:color="auto"/>
              <w:left w:val="nil"/>
              <w:bottom w:val="single" w:sz="4" w:space="0" w:color="auto"/>
              <w:right w:val="single" w:sz="4" w:space="0" w:color="auto"/>
            </w:tcBorders>
            <w:shd w:val="clear" w:color="000000" w:fill="FFFFFF"/>
            <w:noWrap/>
            <w:vAlign w:val="center"/>
          </w:tcPr>
          <w:p w:rsidR="00255E13" w:rsidRPr="0048735D" w:rsidRDefault="00255E13" w:rsidP="00895B36">
            <w:pPr>
              <w:jc w:val="right"/>
              <w:rPr>
                <w:b/>
                <w:sz w:val="20"/>
                <w:szCs w:val="20"/>
              </w:rPr>
            </w:pPr>
            <w:r w:rsidRPr="00F849C3">
              <w:rPr>
                <w:sz w:val="20"/>
                <w:szCs w:val="20"/>
              </w:rPr>
              <w:t xml:space="preserve">                  </w:t>
            </w:r>
            <w:r>
              <w:rPr>
                <w:sz w:val="20"/>
                <w:szCs w:val="20"/>
              </w:rPr>
              <w:t xml:space="preserve">                               </w:t>
            </w:r>
            <w:r w:rsidRPr="0048735D">
              <w:rPr>
                <w:b/>
                <w:sz w:val="20"/>
                <w:szCs w:val="20"/>
              </w:rPr>
              <w:t xml:space="preserve">15 000   </w:t>
            </w:r>
          </w:p>
        </w:tc>
      </w:tr>
      <w:tr w:rsidR="00255E13" w:rsidRPr="00F849C3" w:rsidTr="00895B36">
        <w:trPr>
          <w:trHeight w:val="300"/>
        </w:trPr>
        <w:tc>
          <w:tcPr>
            <w:tcW w:w="1660" w:type="dxa"/>
            <w:vMerge/>
            <w:tcBorders>
              <w:top w:val="nil"/>
              <w:left w:val="single" w:sz="4" w:space="0" w:color="auto"/>
              <w:bottom w:val="single" w:sz="4" w:space="0" w:color="000000"/>
              <w:right w:val="single" w:sz="4" w:space="0" w:color="auto"/>
            </w:tcBorders>
            <w:vAlign w:val="center"/>
          </w:tcPr>
          <w:p w:rsidR="00255E13" w:rsidRPr="00F849C3" w:rsidRDefault="00255E13" w:rsidP="00895B36">
            <w:pPr>
              <w:rPr>
                <w:b/>
                <w:bCs/>
                <w:sz w:val="16"/>
                <w:szCs w:val="16"/>
              </w:rPr>
            </w:pPr>
          </w:p>
        </w:tc>
        <w:tc>
          <w:tcPr>
            <w:tcW w:w="1660" w:type="dxa"/>
            <w:vMerge/>
            <w:tcBorders>
              <w:top w:val="nil"/>
              <w:left w:val="single" w:sz="4" w:space="0" w:color="auto"/>
              <w:bottom w:val="single" w:sz="4" w:space="0" w:color="auto"/>
              <w:right w:val="single" w:sz="4" w:space="0" w:color="auto"/>
            </w:tcBorders>
            <w:vAlign w:val="center"/>
          </w:tcPr>
          <w:p w:rsidR="00255E13" w:rsidRPr="00F849C3" w:rsidRDefault="00255E13" w:rsidP="00895B36">
            <w:pPr>
              <w:rPr>
                <w:sz w:val="16"/>
                <w:szCs w:val="16"/>
              </w:rPr>
            </w:pPr>
          </w:p>
        </w:tc>
        <w:tc>
          <w:tcPr>
            <w:tcW w:w="8660" w:type="dxa"/>
            <w:gridSpan w:val="5"/>
            <w:tcBorders>
              <w:top w:val="single" w:sz="4" w:space="0" w:color="auto"/>
              <w:left w:val="nil"/>
              <w:bottom w:val="single" w:sz="4" w:space="0" w:color="auto"/>
              <w:right w:val="single" w:sz="4" w:space="0" w:color="auto"/>
            </w:tcBorders>
            <w:shd w:val="clear" w:color="000000" w:fill="FFFFFF"/>
            <w:vAlign w:val="center"/>
          </w:tcPr>
          <w:p w:rsidR="00255E13" w:rsidRPr="00F849C3" w:rsidRDefault="00255E13" w:rsidP="00895B36">
            <w:pPr>
              <w:rPr>
                <w:sz w:val="16"/>
                <w:szCs w:val="16"/>
              </w:rPr>
            </w:pPr>
            <w:r w:rsidRPr="00F849C3">
              <w:rPr>
                <w:sz w:val="16"/>
                <w:szCs w:val="16"/>
              </w:rPr>
              <w:t>Udržovanie ekologického poľnohospodárstva (prispieva k 4A, 4B, 4C) (11.2)</w:t>
            </w:r>
          </w:p>
        </w:tc>
        <w:tc>
          <w:tcPr>
            <w:tcW w:w="3320" w:type="dxa"/>
            <w:gridSpan w:val="2"/>
            <w:tcBorders>
              <w:top w:val="single" w:sz="4" w:space="0" w:color="auto"/>
              <w:left w:val="nil"/>
              <w:bottom w:val="single" w:sz="4" w:space="0" w:color="auto"/>
              <w:right w:val="single" w:sz="4" w:space="0" w:color="auto"/>
            </w:tcBorders>
            <w:shd w:val="clear" w:color="000000" w:fill="FFFFFF"/>
            <w:noWrap/>
            <w:vAlign w:val="center"/>
          </w:tcPr>
          <w:p w:rsidR="00255E13" w:rsidRPr="00F849C3" w:rsidRDefault="00255E13" w:rsidP="00895B36">
            <w:pPr>
              <w:jc w:val="right"/>
              <w:rPr>
                <w:b/>
                <w:bCs/>
                <w:sz w:val="20"/>
                <w:szCs w:val="20"/>
              </w:rPr>
            </w:pPr>
            <w:r w:rsidRPr="00F849C3">
              <w:rPr>
                <w:b/>
                <w:bCs/>
                <w:sz w:val="20"/>
                <w:szCs w:val="20"/>
              </w:rPr>
              <w:t xml:space="preserve">                                         </w:t>
            </w:r>
            <w:r>
              <w:rPr>
                <w:b/>
                <w:bCs/>
                <w:sz w:val="20"/>
                <w:szCs w:val="20"/>
              </w:rPr>
              <w:t>135 340</w:t>
            </w:r>
            <w:r w:rsidRPr="00F849C3">
              <w:rPr>
                <w:b/>
                <w:bCs/>
                <w:sz w:val="20"/>
                <w:szCs w:val="20"/>
              </w:rPr>
              <w:t xml:space="preserve"> </w:t>
            </w:r>
          </w:p>
        </w:tc>
      </w:tr>
      <w:tr w:rsidR="00255E13" w:rsidRPr="00F849C3" w:rsidTr="00895B36">
        <w:trPr>
          <w:trHeight w:val="300"/>
        </w:trPr>
        <w:tc>
          <w:tcPr>
            <w:tcW w:w="1660" w:type="dxa"/>
            <w:vMerge/>
            <w:tcBorders>
              <w:top w:val="nil"/>
              <w:left w:val="single" w:sz="4" w:space="0" w:color="auto"/>
              <w:bottom w:val="single" w:sz="4" w:space="0" w:color="000000"/>
              <w:right w:val="single" w:sz="4" w:space="0" w:color="auto"/>
            </w:tcBorders>
            <w:vAlign w:val="center"/>
          </w:tcPr>
          <w:p w:rsidR="00255E13" w:rsidRPr="00F849C3" w:rsidRDefault="00255E13" w:rsidP="00895B36">
            <w:pPr>
              <w:rPr>
                <w:b/>
                <w:bCs/>
                <w:sz w:val="16"/>
                <w:szCs w:val="16"/>
              </w:rPr>
            </w:pPr>
          </w:p>
        </w:tc>
        <w:tc>
          <w:tcPr>
            <w:tcW w:w="10320" w:type="dxa"/>
            <w:gridSpan w:val="6"/>
            <w:tcBorders>
              <w:top w:val="single" w:sz="4" w:space="0" w:color="auto"/>
              <w:left w:val="nil"/>
              <w:bottom w:val="single" w:sz="4" w:space="0" w:color="auto"/>
              <w:right w:val="single" w:sz="4" w:space="0" w:color="auto"/>
            </w:tcBorders>
            <w:shd w:val="clear" w:color="000000" w:fill="FFFFFF"/>
            <w:vAlign w:val="center"/>
          </w:tcPr>
          <w:p w:rsidR="00255E13" w:rsidRPr="00F849C3" w:rsidRDefault="00255E13" w:rsidP="00895B36">
            <w:pPr>
              <w:rPr>
                <w:sz w:val="16"/>
                <w:szCs w:val="16"/>
              </w:rPr>
            </w:pPr>
            <w:r w:rsidRPr="00F849C3">
              <w:rPr>
                <w:sz w:val="16"/>
                <w:szCs w:val="16"/>
              </w:rPr>
              <w:t>Celkové verejné výdavky (€)</w:t>
            </w:r>
          </w:p>
        </w:tc>
        <w:tc>
          <w:tcPr>
            <w:tcW w:w="3320" w:type="dxa"/>
            <w:gridSpan w:val="2"/>
            <w:tcBorders>
              <w:top w:val="single" w:sz="4" w:space="0" w:color="auto"/>
              <w:left w:val="nil"/>
              <w:bottom w:val="single" w:sz="4" w:space="0" w:color="auto"/>
              <w:right w:val="single" w:sz="4" w:space="0" w:color="auto"/>
            </w:tcBorders>
            <w:shd w:val="clear" w:color="000000" w:fill="FFFFFF"/>
            <w:noWrap/>
            <w:vAlign w:val="center"/>
          </w:tcPr>
          <w:p w:rsidR="00255E13" w:rsidRPr="00F849C3" w:rsidRDefault="00255E13" w:rsidP="00895B36">
            <w:pPr>
              <w:jc w:val="right"/>
              <w:rPr>
                <w:sz w:val="20"/>
                <w:szCs w:val="20"/>
              </w:rPr>
            </w:pPr>
            <w:r w:rsidRPr="00F849C3">
              <w:rPr>
                <w:sz w:val="20"/>
                <w:szCs w:val="20"/>
              </w:rPr>
              <w:t xml:space="preserve">                                90 000 000,00 </w:t>
            </w:r>
          </w:p>
        </w:tc>
      </w:tr>
      <w:tr w:rsidR="00255E13" w:rsidRPr="00F849C3" w:rsidTr="00895B36">
        <w:trPr>
          <w:trHeight w:val="300"/>
        </w:trPr>
        <w:tc>
          <w:tcPr>
            <w:tcW w:w="1660" w:type="dxa"/>
            <w:vMerge w:val="restart"/>
            <w:tcBorders>
              <w:top w:val="nil"/>
              <w:left w:val="single" w:sz="4" w:space="0" w:color="auto"/>
              <w:bottom w:val="single" w:sz="4" w:space="0" w:color="000000"/>
              <w:right w:val="single" w:sz="4" w:space="0" w:color="auto"/>
            </w:tcBorders>
            <w:shd w:val="clear" w:color="000000" w:fill="FFFFFF"/>
            <w:vAlign w:val="center"/>
          </w:tcPr>
          <w:p w:rsidR="00255E13" w:rsidRPr="00F849C3" w:rsidRDefault="00255E13" w:rsidP="00895B36">
            <w:pPr>
              <w:jc w:val="center"/>
              <w:rPr>
                <w:b/>
                <w:bCs/>
                <w:sz w:val="16"/>
                <w:szCs w:val="16"/>
              </w:rPr>
            </w:pPr>
            <w:r>
              <w:rPr>
                <w:b/>
                <w:bCs/>
                <w:sz w:val="16"/>
                <w:szCs w:val="16"/>
              </w:rPr>
              <w:t>12 (30</w:t>
            </w:r>
            <w:r w:rsidRPr="00F849C3">
              <w:rPr>
                <w:b/>
                <w:bCs/>
                <w:sz w:val="16"/>
                <w:szCs w:val="16"/>
              </w:rPr>
              <w:t>)</w:t>
            </w:r>
          </w:p>
        </w:tc>
        <w:tc>
          <w:tcPr>
            <w:tcW w:w="1660" w:type="dxa"/>
            <w:vMerge w:val="restart"/>
            <w:tcBorders>
              <w:top w:val="nil"/>
              <w:left w:val="single" w:sz="4" w:space="0" w:color="auto"/>
              <w:bottom w:val="single" w:sz="4" w:space="0" w:color="auto"/>
              <w:right w:val="single" w:sz="4" w:space="0" w:color="auto"/>
            </w:tcBorders>
            <w:shd w:val="clear" w:color="000000" w:fill="FFFFFF"/>
            <w:vAlign w:val="center"/>
          </w:tcPr>
          <w:p w:rsidR="00255E13" w:rsidRPr="00F849C3" w:rsidRDefault="00255E13" w:rsidP="00895B36">
            <w:pPr>
              <w:rPr>
                <w:sz w:val="16"/>
                <w:szCs w:val="16"/>
              </w:rPr>
            </w:pPr>
            <w:r w:rsidRPr="00F849C3">
              <w:rPr>
                <w:sz w:val="16"/>
                <w:szCs w:val="16"/>
              </w:rPr>
              <w:t>Výmera (ha)</w:t>
            </w:r>
          </w:p>
        </w:tc>
        <w:tc>
          <w:tcPr>
            <w:tcW w:w="8660" w:type="dxa"/>
            <w:gridSpan w:val="5"/>
            <w:tcBorders>
              <w:top w:val="single" w:sz="4" w:space="0" w:color="auto"/>
              <w:left w:val="nil"/>
              <w:bottom w:val="single" w:sz="4" w:space="0" w:color="auto"/>
              <w:right w:val="single" w:sz="4" w:space="0" w:color="auto"/>
            </w:tcBorders>
            <w:shd w:val="clear" w:color="000000" w:fill="FFFFFF"/>
            <w:vAlign w:val="center"/>
          </w:tcPr>
          <w:p w:rsidR="00255E13" w:rsidRPr="00F849C3" w:rsidRDefault="00255E13" w:rsidP="00895B36">
            <w:pPr>
              <w:rPr>
                <w:sz w:val="16"/>
                <w:szCs w:val="16"/>
              </w:rPr>
            </w:pPr>
            <w:r w:rsidRPr="00F849C3">
              <w:rPr>
                <w:sz w:val="16"/>
                <w:szCs w:val="16"/>
              </w:rPr>
              <w:t>NATURA 2000 poľ. pôda  (prispieva k 4Aa) (12.1)</w:t>
            </w:r>
          </w:p>
        </w:tc>
        <w:tc>
          <w:tcPr>
            <w:tcW w:w="3320" w:type="dxa"/>
            <w:gridSpan w:val="2"/>
            <w:tcBorders>
              <w:top w:val="single" w:sz="4" w:space="0" w:color="auto"/>
              <w:left w:val="nil"/>
              <w:bottom w:val="single" w:sz="4" w:space="0" w:color="auto"/>
              <w:right w:val="single" w:sz="4" w:space="0" w:color="auto"/>
            </w:tcBorders>
            <w:shd w:val="clear" w:color="000000" w:fill="FFFFFF"/>
            <w:noWrap/>
            <w:vAlign w:val="center"/>
          </w:tcPr>
          <w:p w:rsidR="00255E13" w:rsidRPr="00F849C3" w:rsidRDefault="00255E13" w:rsidP="00895B36">
            <w:pPr>
              <w:jc w:val="right"/>
              <w:rPr>
                <w:b/>
                <w:bCs/>
                <w:sz w:val="20"/>
                <w:szCs w:val="20"/>
              </w:rPr>
            </w:pPr>
            <w:r w:rsidRPr="00F849C3">
              <w:rPr>
                <w:b/>
                <w:bCs/>
                <w:sz w:val="20"/>
                <w:szCs w:val="20"/>
              </w:rPr>
              <w:t xml:space="preserve">                                            </w:t>
            </w:r>
            <w:r>
              <w:rPr>
                <w:b/>
                <w:bCs/>
                <w:sz w:val="20"/>
                <w:szCs w:val="20"/>
              </w:rPr>
              <w:t>2 664,57</w:t>
            </w:r>
          </w:p>
        </w:tc>
      </w:tr>
      <w:tr w:rsidR="00255E13" w:rsidRPr="00F849C3" w:rsidTr="00895B36">
        <w:trPr>
          <w:trHeight w:val="300"/>
        </w:trPr>
        <w:tc>
          <w:tcPr>
            <w:tcW w:w="1660" w:type="dxa"/>
            <w:vMerge/>
            <w:tcBorders>
              <w:top w:val="nil"/>
              <w:left w:val="single" w:sz="4" w:space="0" w:color="auto"/>
              <w:bottom w:val="single" w:sz="4" w:space="0" w:color="000000"/>
              <w:right w:val="single" w:sz="4" w:space="0" w:color="auto"/>
            </w:tcBorders>
            <w:vAlign w:val="center"/>
          </w:tcPr>
          <w:p w:rsidR="00255E13" w:rsidRPr="00F849C3" w:rsidRDefault="00255E13" w:rsidP="00895B36">
            <w:pPr>
              <w:rPr>
                <w:b/>
                <w:bCs/>
                <w:sz w:val="16"/>
                <w:szCs w:val="16"/>
              </w:rPr>
            </w:pPr>
          </w:p>
        </w:tc>
        <w:tc>
          <w:tcPr>
            <w:tcW w:w="1660" w:type="dxa"/>
            <w:vMerge/>
            <w:tcBorders>
              <w:top w:val="nil"/>
              <w:left w:val="single" w:sz="4" w:space="0" w:color="auto"/>
              <w:bottom w:val="single" w:sz="4" w:space="0" w:color="auto"/>
              <w:right w:val="single" w:sz="4" w:space="0" w:color="auto"/>
            </w:tcBorders>
            <w:vAlign w:val="center"/>
          </w:tcPr>
          <w:p w:rsidR="00255E13" w:rsidRPr="00F849C3" w:rsidRDefault="00255E13" w:rsidP="00895B36">
            <w:pPr>
              <w:rPr>
                <w:sz w:val="16"/>
                <w:szCs w:val="16"/>
              </w:rPr>
            </w:pPr>
          </w:p>
        </w:tc>
        <w:tc>
          <w:tcPr>
            <w:tcW w:w="8660" w:type="dxa"/>
            <w:gridSpan w:val="5"/>
            <w:tcBorders>
              <w:top w:val="single" w:sz="4" w:space="0" w:color="auto"/>
              <w:left w:val="nil"/>
              <w:bottom w:val="single" w:sz="4" w:space="0" w:color="auto"/>
              <w:right w:val="single" w:sz="4" w:space="0" w:color="auto"/>
            </w:tcBorders>
            <w:shd w:val="clear" w:color="000000" w:fill="FFFFFF"/>
            <w:vAlign w:val="center"/>
          </w:tcPr>
          <w:p w:rsidR="00255E13" w:rsidRPr="00F849C3" w:rsidRDefault="00255E13" w:rsidP="00895B36">
            <w:pPr>
              <w:rPr>
                <w:sz w:val="16"/>
                <w:szCs w:val="16"/>
              </w:rPr>
            </w:pPr>
            <w:r w:rsidRPr="00F849C3">
              <w:rPr>
                <w:sz w:val="16"/>
                <w:szCs w:val="16"/>
              </w:rPr>
              <w:t>Podpora spojená so smernicou 2000/60/ES – program opatrení RBMP (prispieva k 4B)  (12.3)</w:t>
            </w:r>
          </w:p>
        </w:tc>
        <w:tc>
          <w:tcPr>
            <w:tcW w:w="3320" w:type="dxa"/>
            <w:gridSpan w:val="2"/>
            <w:tcBorders>
              <w:top w:val="single" w:sz="4" w:space="0" w:color="auto"/>
              <w:left w:val="nil"/>
              <w:bottom w:val="single" w:sz="4" w:space="0" w:color="auto"/>
              <w:right w:val="single" w:sz="4" w:space="0" w:color="auto"/>
            </w:tcBorders>
            <w:shd w:val="clear" w:color="000000" w:fill="FFFFFF"/>
            <w:noWrap/>
            <w:vAlign w:val="center"/>
          </w:tcPr>
          <w:p w:rsidR="00255E13" w:rsidRPr="00F849C3" w:rsidRDefault="00255E13" w:rsidP="00895B36">
            <w:pPr>
              <w:jc w:val="right"/>
              <w:rPr>
                <w:sz w:val="20"/>
                <w:szCs w:val="20"/>
              </w:rPr>
            </w:pPr>
            <w:r w:rsidRPr="00F849C3">
              <w:rPr>
                <w:sz w:val="20"/>
                <w:szCs w:val="20"/>
              </w:rPr>
              <w:t xml:space="preserve">                                                 -   </w:t>
            </w:r>
          </w:p>
        </w:tc>
      </w:tr>
      <w:tr w:rsidR="00255E13" w:rsidRPr="00F849C3" w:rsidTr="00895B36">
        <w:trPr>
          <w:trHeight w:val="300"/>
        </w:trPr>
        <w:tc>
          <w:tcPr>
            <w:tcW w:w="1660" w:type="dxa"/>
            <w:vMerge/>
            <w:tcBorders>
              <w:top w:val="nil"/>
              <w:left w:val="single" w:sz="4" w:space="0" w:color="auto"/>
              <w:bottom w:val="single" w:sz="4" w:space="0" w:color="000000"/>
              <w:right w:val="single" w:sz="4" w:space="0" w:color="auto"/>
            </w:tcBorders>
            <w:vAlign w:val="center"/>
          </w:tcPr>
          <w:p w:rsidR="00255E13" w:rsidRPr="00F849C3" w:rsidRDefault="00255E13" w:rsidP="00895B36">
            <w:pPr>
              <w:rPr>
                <w:b/>
                <w:bCs/>
                <w:sz w:val="16"/>
                <w:szCs w:val="16"/>
              </w:rPr>
            </w:pPr>
          </w:p>
        </w:tc>
        <w:tc>
          <w:tcPr>
            <w:tcW w:w="10320" w:type="dxa"/>
            <w:gridSpan w:val="6"/>
            <w:tcBorders>
              <w:top w:val="single" w:sz="4" w:space="0" w:color="auto"/>
              <w:left w:val="nil"/>
              <w:bottom w:val="single" w:sz="4" w:space="0" w:color="auto"/>
              <w:right w:val="single" w:sz="4" w:space="0" w:color="auto"/>
            </w:tcBorders>
            <w:shd w:val="clear" w:color="000000" w:fill="FFFFFF"/>
            <w:vAlign w:val="center"/>
          </w:tcPr>
          <w:p w:rsidR="00255E13" w:rsidRPr="00F849C3" w:rsidRDefault="00255E13" w:rsidP="00895B36">
            <w:pPr>
              <w:rPr>
                <w:sz w:val="16"/>
                <w:szCs w:val="16"/>
              </w:rPr>
            </w:pPr>
            <w:r w:rsidRPr="00F849C3">
              <w:rPr>
                <w:sz w:val="16"/>
                <w:szCs w:val="16"/>
              </w:rPr>
              <w:t>Celkové verejné výdavky (€)</w:t>
            </w:r>
          </w:p>
        </w:tc>
        <w:tc>
          <w:tcPr>
            <w:tcW w:w="3320" w:type="dxa"/>
            <w:gridSpan w:val="2"/>
            <w:tcBorders>
              <w:top w:val="single" w:sz="4" w:space="0" w:color="auto"/>
              <w:left w:val="nil"/>
              <w:bottom w:val="single" w:sz="4" w:space="0" w:color="auto"/>
              <w:right w:val="single" w:sz="4" w:space="0" w:color="auto"/>
            </w:tcBorders>
            <w:shd w:val="clear" w:color="000000" w:fill="FFFFFF"/>
            <w:noWrap/>
            <w:vAlign w:val="center"/>
          </w:tcPr>
          <w:p w:rsidR="00255E13" w:rsidRPr="00F849C3" w:rsidRDefault="00255E13" w:rsidP="00895B36">
            <w:pPr>
              <w:jc w:val="right"/>
              <w:rPr>
                <w:sz w:val="20"/>
                <w:szCs w:val="20"/>
              </w:rPr>
            </w:pPr>
            <w:r w:rsidRPr="00F849C3">
              <w:rPr>
                <w:sz w:val="20"/>
                <w:szCs w:val="20"/>
              </w:rPr>
              <w:t xml:space="preserve">                      </w:t>
            </w:r>
            <w:r>
              <w:rPr>
                <w:sz w:val="20"/>
                <w:szCs w:val="20"/>
              </w:rPr>
              <w:t xml:space="preserve">            900 000</w:t>
            </w:r>
            <w:r w:rsidRPr="00F849C3">
              <w:rPr>
                <w:sz w:val="20"/>
                <w:szCs w:val="20"/>
              </w:rPr>
              <w:t xml:space="preserve">,00 </w:t>
            </w:r>
          </w:p>
        </w:tc>
      </w:tr>
      <w:tr w:rsidR="00255E13" w:rsidRPr="00F849C3" w:rsidTr="00895B36">
        <w:trPr>
          <w:trHeight w:val="300"/>
        </w:trPr>
        <w:tc>
          <w:tcPr>
            <w:tcW w:w="1660" w:type="dxa"/>
            <w:vMerge w:val="restart"/>
            <w:tcBorders>
              <w:top w:val="nil"/>
              <w:left w:val="single" w:sz="4" w:space="0" w:color="auto"/>
              <w:bottom w:val="single" w:sz="4" w:space="0" w:color="000000"/>
              <w:right w:val="single" w:sz="4" w:space="0" w:color="auto"/>
            </w:tcBorders>
            <w:shd w:val="clear" w:color="000000" w:fill="FFFFFF"/>
            <w:vAlign w:val="center"/>
          </w:tcPr>
          <w:p w:rsidR="00255E13" w:rsidRPr="00F849C3" w:rsidRDefault="00255E13" w:rsidP="00895B36">
            <w:pPr>
              <w:jc w:val="center"/>
              <w:rPr>
                <w:b/>
                <w:bCs/>
                <w:sz w:val="16"/>
                <w:szCs w:val="16"/>
              </w:rPr>
            </w:pPr>
            <w:r>
              <w:rPr>
                <w:b/>
                <w:bCs/>
                <w:sz w:val="16"/>
                <w:szCs w:val="16"/>
              </w:rPr>
              <w:t>1 (14</w:t>
            </w:r>
            <w:r w:rsidRPr="00F849C3">
              <w:rPr>
                <w:b/>
                <w:bCs/>
                <w:sz w:val="16"/>
                <w:szCs w:val="16"/>
              </w:rPr>
              <w:t>)</w:t>
            </w:r>
          </w:p>
        </w:tc>
        <w:tc>
          <w:tcPr>
            <w:tcW w:w="1660" w:type="dxa"/>
            <w:vMerge w:val="restart"/>
            <w:tcBorders>
              <w:top w:val="nil"/>
              <w:left w:val="single" w:sz="4" w:space="0" w:color="auto"/>
              <w:bottom w:val="single" w:sz="4" w:space="0" w:color="auto"/>
              <w:right w:val="single" w:sz="4" w:space="0" w:color="auto"/>
            </w:tcBorders>
            <w:shd w:val="clear" w:color="000000" w:fill="FFFFFF"/>
            <w:vAlign w:val="center"/>
          </w:tcPr>
          <w:p w:rsidR="00255E13" w:rsidRPr="00F849C3" w:rsidRDefault="00255E13" w:rsidP="00895B36">
            <w:pPr>
              <w:rPr>
                <w:sz w:val="16"/>
                <w:szCs w:val="16"/>
              </w:rPr>
            </w:pPr>
            <w:r w:rsidRPr="00F849C3">
              <w:rPr>
                <w:sz w:val="16"/>
                <w:szCs w:val="16"/>
              </w:rPr>
              <w:t xml:space="preserve">Školenia/získavanie </w:t>
            </w:r>
            <w:r w:rsidRPr="00F849C3">
              <w:rPr>
                <w:sz w:val="16"/>
                <w:szCs w:val="16"/>
              </w:rPr>
              <w:br/>
              <w:t>praktických zručností  (1.1)</w:t>
            </w:r>
          </w:p>
        </w:tc>
        <w:tc>
          <w:tcPr>
            <w:tcW w:w="8660" w:type="dxa"/>
            <w:gridSpan w:val="5"/>
            <w:tcBorders>
              <w:top w:val="single" w:sz="4" w:space="0" w:color="auto"/>
              <w:left w:val="nil"/>
              <w:bottom w:val="single" w:sz="4" w:space="0" w:color="auto"/>
              <w:right w:val="single" w:sz="4" w:space="0" w:color="auto"/>
            </w:tcBorders>
            <w:shd w:val="clear" w:color="000000" w:fill="FFFFFF"/>
            <w:vAlign w:val="center"/>
          </w:tcPr>
          <w:p w:rsidR="00255E13" w:rsidRPr="00F849C3" w:rsidRDefault="00255E13" w:rsidP="00895B36">
            <w:pPr>
              <w:rPr>
                <w:sz w:val="16"/>
                <w:szCs w:val="16"/>
              </w:rPr>
            </w:pPr>
            <w:r w:rsidRPr="00F849C3">
              <w:rPr>
                <w:sz w:val="16"/>
                <w:szCs w:val="16"/>
              </w:rPr>
              <w:t>Počet účastníkov vzdelávania</w:t>
            </w:r>
          </w:p>
        </w:tc>
        <w:tc>
          <w:tcPr>
            <w:tcW w:w="3320" w:type="dxa"/>
            <w:gridSpan w:val="2"/>
            <w:tcBorders>
              <w:top w:val="single" w:sz="4" w:space="0" w:color="auto"/>
              <w:left w:val="nil"/>
              <w:bottom w:val="single" w:sz="4" w:space="0" w:color="auto"/>
              <w:right w:val="single" w:sz="4" w:space="0" w:color="auto"/>
            </w:tcBorders>
            <w:shd w:val="clear" w:color="000000" w:fill="FFFFFF"/>
            <w:noWrap/>
            <w:vAlign w:val="center"/>
          </w:tcPr>
          <w:p w:rsidR="00255E13" w:rsidRPr="00F849C3" w:rsidRDefault="00255E13" w:rsidP="00895B36">
            <w:pPr>
              <w:jc w:val="right"/>
              <w:rPr>
                <w:sz w:val="20"/>
                <w:szCs w:val="20"/>
              </w:rPr>
            </w:pPr>
            <w:r w:rsidRPr="00F849C3">
              <w:rPr>
                <w:sz w:val="20"/>
                <w:szCs w:val="20"/>
              </w:rPr>
              <w:t xml:space="preserve">                                               </w:t>
            </w:r>
            <w:r>
              <w:rPr>
                <w:sz w:val="20"/>
                <w:szCs w:val="20"/>
              </w:rPr>
              <w:t>1 600</w:t>
            </w:r>
          </w:p>
        </w:tc>
      </w:tr>
      <w:tr w:rsidR="00255E13" w:rsidRPr="00F849C3" w:rsidTr="00895B36">
        <w:trPr>
          <w:trHeight w:val="450"/>
        </w:trPr>
        <w:tc>
          <w:tcPr>
            <w:tcW w:w="1660" w:type="dxa"/>
            <w:vMerge/>
            <w:tcBorders>
              <w:top w:val="nil"/>
              <w:left w:val="single" w:sz="4" w:space="0" w:color="auto"/>
              <w:bottom w:val="single" w:sz="4" w:space="0" w:color="000000"/>
              <w:right w:val="single" w:sz="4" w:space="0" w:color="auto"/>
            </w:tcBorders>
            <w:vAlign w:val="center"/>
          </w:tcPr>
          <w:p w:rsidR="00255E13" w:rsidRPr="00F849C3" w:rsidRDefault="00255E13" w:rsidP="00895B36">
            <w:pPr>
              <w:rPr>
                <w:b/>
                <w:bCs/>
                <w:sz w:val="16"/>
                <w:szCs w:val="16"/>
              </w:rPr>
            </w:pPr>
          </w:p>
        </w:tc>
        <w:tc>
          <w:tcPr>
            <w:tcW w:w="1660" w:type="dxa"/>
            <w:vMerge/>
            <w:tcBorders>
              <w:top w:val="nil"/>
              <w:left w:val="single" w:sz="4" w:space="0" w:color="auto"/>
              <w:bottom w:val="single" w:sz="4" w:space="0" w:color="auto"/>
              <w:right w:val="single" w:sz="4" w:space="0" w:color="auto"/>
            </w:tcBorders>
            <w:vAlign w:val="center"/>
          </w:tcPr>
          <w:p w:rsidR="00255E13" w:rsidRPr="00F849C3" w:rsidRDefault="00255E13" w:rsidP="00895B36">
            <w:pPr>
              <w:rPr>
                <w:sz w:val="16"/>
                <w:szCs w:val="16"/>
              </w:rPr>
            </w:pPr>
          </w:p>
        </w:tc>
        <w:tc>
          <w:tcPr>
            <w:tcW w:w="8660" w:type="dxa"/>
            <w:gridSpan w:val="5"/>
            <w:tcBorders>
              <w:top w:val="single" w:sz="4" w:space="0" w:color="auto"/>
              <w:left w:val="nil"/>
              <w:bottom w:val="single" w:sz="4" w:space="0" w:color="auto"/>
              <w:right w:val="single" w:sz="4" w:space="0" w:color="auto"/>
            </w:tcBorders>
            <w:shd w:val="clear" w:color="000000" w:fill="FFFFFF"/>
            <w:vAlign w:val="center"/>
          </w:tcPr>
          <w:p w:rsidR="00255E13" w:rsidRPr="00F849C3" w:rsidRDefault="00255E13" w:rsidP="00895B36">
            <w:pPr>
              <w:rPr>
                <w:sz w:val="16"/>
                <w:szCs w:val="16"/>
              </w:rPr>
            </w:pPr>
            <w:r w:rsidRPr="00F849C3">
              <w:rPr>
                <w:sz w:val="16"/>
                <w:szCs w:val="16"/>
              </w:rPr>
              <w:t>Celkové verejné výdavky na školenia (1.1)</w:t>
            </w:r>
          </w:p>
        </w:tc>
        <w:tc>
          <w:tcPr>
            <w:tcW w:w="3320" w:type="dxa"/>
            <w:gridSpan w:val="2"/>
            <w:tcBorders>
              <w:top w:val="single" w:sz="4" w:space="0" w:color="auto"/>
              <w:left w:val="nil"/>
              <w:bottom w:val="single" w:sz="4" w:space="0" w:color="auto"/>
              <w:right w:val="single" w:sz="4" w:space="0" w:color="auto"/>
            </w:tcBorders>
            <w:shd w:val="clear" w:color="000000" w:fill="FFFFFF"/>
            <w:noWrap/>
            <w:vAlign w:val="center"/>
          </w:tcPr>
          <w:p w:rsidR="00255E13" w:rsidRPr="00F849C3" w:rsidRDefault="00255E13" w:rsidP="00895B36">
            <w:pPr>
              <w:jc w:val="right"/>
              <w:rPr>
                <w:sz w:val="20"/>
                <w:szCs w:val="20"/>
              </w:rPr>
            </w:pPr>
            <w:r>
              <w:rPr>
                <w:sz w:val="20"/>
                <w:szCs w:val="20"/>
              </w:rPr>
              <w:t>3 100 849</w:t>
            </w:r>
            <w:r w:rsidRPr="00F849C3">
              <w:rPr>
                <w:sz w:val="20"/>
                <w:szCs w:val="20"/>
              </w:rPr>
              <w:t>,</w:t>
            </w:r>
            <w:r>
              <w:rPr>
                <w:sz w:val="20"/>
                <w:szCs w:val="20"/>
              </w:rPr>
              <w:t>6</w:t>
            </w:r>
            <w:r w:rsidRPr="00F849C3">
              <w:rPr>
                <w:sz w:val="20"/>
                <w:szCs w:val="20"/>
              </w:rPr>
              <w:t xml:space="preserve">0                                                 </w:t>
            </w:r>
          </w:p>
        </w:tc>
      </w:tr>
      <w:tr w:rsidR="00255E13" w:rsidRPr="00F849C3" w:rsidTr="00895B36">
        <w:trPr>
          <w:trHeight w:val="300"/>
        </w:trPr>
        <w:tc>
          <w:tcPr>
            <w:tcW w:w="1660" w:type="dxa"/>
            <w:vMerge/>
            <w:tcBorders>
              <w:top w:val="nil"/>
              <w:left w:val="single" w:sz="4" w:space="0" w:color="auto"/>
              <w:bottom w:val="single" w:sz="4" w:space="0" w:color="000000"/>
              <w:right w:val="single" w:sz="4" w:space="0" w:color="auto"/>
            </w:tcBorders>
            <w:vAlign w:val="center"/>
          </w:tcPr>
          <w:p w:rsidR="00255E13" w:rsidRPr="00F849C3" w:rsidRDefault="00255E13" w:rsidP="00895B36">
            <w:pPr>
              <w:rPr>
                <w:b/>
                <w:bCs/>
                <w:sz w:val="16"/>
                <w:szCs w:val="16"/>
              </w:rPr>
            </w:pPr>
          </w:p>
        </w:tc>
        <w:tc>
          <w:tcPr>
            <w:tcW w:w="10320" w:type="dxa"/>
            <w:gridSpan w:val="6"/>
            <w:tcBorders>
              <w:top w:val="single" w:sz="4" w:space="0" w:color="auto"/>
              <w:left w:val="nil"/>
              <w:bottom w:val="single" w:sz="4" w:space="0" w:color="auto"/>
              <w:right w:val="single" w:sz="4" w:space="0" w:color="auto"/>
            </w:tcBorders>
            <w:shd w:val="clear" w:color="000000" w:fill="FFFFFF"/>
            <w:vAlign w:val="center"/>
          </w:tcPr>
          <w:p w:rsidR="00255E13" w:rsidRPr="00F849C3" w:rsidRDefault="00255E13" w:rsidP="00895B36">
            <w:pPr>
              <w:rPr>
                <w:sz w:val="16"/>
                <w:szCs w:val="16"/>
              </w:rPr>
            </w:pPr>
            <w:r w:rsidRPr="00F849C3">
              <w:rPr>
                <w:sz w:val="16"/>
                <w:szCs w:val="16"/>
              </w:rPr>
              <w:t>Celkové verejné výdavky  € (školenia, informačné aktivity, demonštračné  predvádzacie činnosti ) (1.1, 1.2)</w:t>
            </w:r>
          </w:p>
        </w:tc>
        <w:tc>
          <w:tcPr>
            <w:tcW w:w="3320" w:type="dxa"/>
            <w:gridSpan w:val="2"/>
            <w:tcBorders>
              <w:top w:val="single" w:sz="4" w:space="0" w:color="auto"/>
              <w:left w:val="nil"/>
              <w:bottom w:val="single" w:sz="4" w:space="0" w:color="auto"/>
              <w:right w:val="single" w:sz="4" w:space="0" w:color="auto"/>
            </w:tcBorders>
            <w:shd w:val="clear" w:color="000000" w:fill="FFFFFF"/>
            <w:noWrap/>
            <w:vAlign w:val="center"/>
          </w:tcPr>
          <w:p w:rsidR="00255E13" w:rsidRPr="00F849C3" w:rsidRDefault="00255E13" w:rsidP="00895B36">
            <w:pPr>
              <w:jc w:val="right"/>
              <w:rPr>
                <w:sz w:val="20"/>
                <w:szCs w:val="20"/>
              </w:rPr>
            </w:pPr>
            <w:r w:rsidRPr="00F849C3">
              <w:rPr>
                <w:sz w:val="20"/>
                <w:szCs w:val="20"/>
              </w:rPr>
              <w:t xml:space="preserve">                                         </w:t>
            </w:r>
            <w:r>
              <w:rPr>
                <w:sz w:val="20"/>
                <w:szCs w:val="20"/>
              </w:rPr>
              <w:t>3 663 000</w:t>
            </w:r>
            <w:r w:rsidRPr="00F849C3">
              <w:rPr>
                <w:sz w:val="20"/>
                <w:szCs w:val="20"/>
              </w:rPr>
              <w:t xml:space="preserve">,00 </w:t>
            </w:r>
          </w:p>
        </w:tc>
      </w:tr>
      <w:tr w:rsidR="00255E13" w:rsidRPr="00F849C3" w:rsidTr="00895B36">
        <w:trPr>
          <w:trHeight w:val="300"/>
        </w:trPr>
        <w:tc>
          <w:tcPr>
            <w:tcW w:w="1660" w:type="dxa"/>
            <w:vMerge w:val="restart"/>
            <w:tcBorders>
              <w:top w:val="nil"/>
              <w:left w:val="single" w:sz="4" w:space="0" w:color="auto"/>
              <w:bottom w:val="single" w:sz="4" w:space="0" w:color="000000"/>
              <w:right w:val="single" w:sz="4" w:space="0" w:color="auto"/>
            </w:tcBorders>
            <w:shd w:val="clear" w:color="000000" w:fill="FFFFFF"/>
            <w:vAlign w:val="center"/>
          </w:tcPr>
          <w:p w:rsidR="00255E13" w:rsidRPr="00F849C3" w:rsidRDefault="00255E13" w:rsidP="00895B36">
            <w:pPr>
              <w:jc w:val="center"/>
              <w:rPr>
                <w:b/>
                <w:bCs/>
                <w:sz w:val="16"/>
                <w:szCs w:val="16"/>
              </w:rPr>
            </w:pPr>
            <w:r>
              <w:rPr>
                <w:b/>
                <w:bCs/>
                <w:sz w:val="16"/>
                <w:szCs w:val="16"/>
              </w:rPr>
              <w:t>2 (15</w:t>
            </w:r>
            <w:r w:rsidRPr="00F849C3">
              <w:rPr>
                <w:b/>
                <w:bCs/>
                <w:sz w:val="16"/>
                <w:szCs w:val="16"/>
              </w:rPr>
              <w:t>)</w:t>
            </w:r>
          </w:p>
        </w:tc>
        <w:tc>
          <w:tcPr>
            <w:tcW w:w="10320" w:type="dxa"/>
            <w:gridSpan w:val="6"/>
            <w:tcBorders>
              <w:top w:val="single" w:sz="4" w:space="0" w:color="auto"/>
              <w:left w:val="nil"/>
              <w:bottom w:val="single" w:sz="4" w:space="0" w:color="auto"/>
              <w:right w:val="single" w:sz="4" w:space="0" w:color="auto"/>
            </w:tcBorders>
            <w:shd w:val="clear" w:color="000000" w:fill="FFFFFF"/>
            <w:vAlign w:val="center"/>
          </w:tcPr>
          <w:p w:rsidR="00255E13" w:rsidRPr="00F849C3" w:rsidRDefault="00255E13" w:rsidP="00895B36">
            <w:pPr>
              <w:rPr>
                <w:sz w:val="16"/>
                <w:szCs w:val="16"/>
              </w:rPr>
            </w:pPr>
            <w:r w:rsidRPr="00F849C3">
              <w:rPr>
                <w:sz w:val="16"/>
                <w:szCs w:val="16"/>
              </w:rPr>
              <w:t>Počet subjektov, kde bolo vykonané poradenstvo (2.1)</w:t>
            </w:r>
          </w:p>
        </w:tc>
        <w:tc>
          <w:tcPr>
            <w:tcW w:w="3320" w:type="dxa"/>
            <w:gridSpan w:val="2"/>
            <w:tcBorders>
              <w:top w:val="single" w:sz="4" w:space="0" w:color="auto"/>
              <w:left w:val="single" w:sz="4" w:space="0" w:color="auto"/>
              <w:bottom w:val="single" w:sz="4" w:space="0" w:color="auto"/>
              <w:right w:val="single" w:sz="4" w:space="0" w:color="auto"/>
            </w:tcBorders>
            <w:shd w:val="clear" w:color="000000" w:fill="FFFFFF"/>
            <w:noWrap/>
            <w:vAlign w:val="center"/>
          </w:tcPr>
          <w:p w:rsidR="00255E13" w:rsidRPr="00F849C3" w:rsidRDefault="00255E13" w:rsidP="00895B36">
            <w:pPr>
              <w:jc w:val="right"/>
              <w:rPr>
                <w:sz w:val="20"/>
                <w:szCs w:val="20"/>
              </w:rPr>
            </w:pPr>
            <w:r w:rsidRPr="00F849C3">
              <w:rPr>
                <w:sz w:val="20"/>
                <w:szCs w:val="20"/>
              </w:rPr>
              <w:t xml:space="preserve">                                               </w:t>
            </w:r>
            <w:r>
              <w:rPr>
                <w:sz w:val="20"/>
                <w:szCs w:val="20"/>
              </w:rPr>
              <w:t>477</w:t>
            </w:r>
            <w:r w:rsidRPr="00F849C3">
              <w:rPr>
                <w:sz w:val="20"/>
                <w:szCs w:val="20"/>
              </w:rPr>
              <w:t xml:space="preserve"> </w:t>
            </w:r>
          </w:p>
        </w:tc>
      </w:tr>
      <w:tr w:rsidR="00255E13" w:rsidRPr="00F849C3" w:rsidTr="00895B36">
        <w:trPr>
          <w:trHeight w:val="300"/>
        </w:trPr>
        <w:tc>
          <w:tcPr>
            <w:tcW w:w="1660" w:type="dxa"/>
            <w:vMerge/>
            <w:tcBorders>
              <w:top w:val="nil"/>
              <w:left w:val="single" w:sz="4" w:space="0" w:color="auto"/>
              <w:bottom w:val="single" w:sz="4" w:space="0" w:color="000000"/>
              <w:right w:val="single" w:sz="4" w:space="0" w:color="auto"/>
            </w:tcBorders>
            <w:vAlign w:val="center"/>
          </w:tcPr>
          <w:p w:rsidR="00255E13" w:rsidRPr="00F849C3" w:rsidRDefault="00255E13" w:rsidP="00895B36">
            <w:pPr>
              <w:rPr>
                <w:b/>
                <w:bCs/>
                <w:sz w:val="16"/>
                <w:szCs w:val="16"/>
              </w:rPr>
            </w:pPr>
          </w:p>
        </w:tc>
        <w:tc>
          <w:tcPr>
            <w:tcW w:w="10320" w:type="dxa"/>
            <w:gridSpan w:val="6"/>
            <w:tcBorders>
              <w:top w:val="single" w:sz="4" w:space="0" w:color="auto"/>
              <w:left w:val="nil"/>
              <w:bottom w:val="single" w:sz="4" w:space="0" w:color="auto"/>
              <w:right w:val="single" w:sz="4" w:space="0" w:color="auto"/>
            </w:tcBorders>
            <w:shd w:val="clear" w:color="000000" w:fill="FFFFFF"/>
            <w:vAlign w:val="center"/>
          </w:tcPr>
          <w:p w:rsidR="00255E13" w:rsidRPr="00F849C3" w:rsidRDefault="00255E13" w:rsidP="00895B36">
            <w:pPr>
              <w:rPr>
                <w:sz w:val="16"/>
                <w:szCs w:val="16"/>
              </w:rPr>
            </w:pPr>
            <w:r w:rsidRPr="00F849C3">
              <w:rPr>
                <w:sz w:val="16"/>
                <w:szCs w:val="16"/>
              </w:rPr>
              <w:t>Celkové verejné výdavky  (€) (2.1</w:t>
            </w:r>
            <w:r>
              <w:rPr>
                <w:sz w:val="16"/>
                <w:szCs w:val="16"/>
              </w:rPr>
              <w:t>,2.3</w:t>
            </w:r>
            <w:r w:rsidRPr="00F849C3">
              <w:rPr>
                <w:sz w:val="16"/>
                <w:szCs w:val="16"/>
              </w:rPr>
              <w:t>)</w:t>
            </w:r>
          </w:p>
        </w:tc>
        <w:tc>
          <w:tcPr>
            <w:tcW w:w="3320" w:type="dxa"/>
            <w:gridSpan w:val="2"/>
            <w:tcBorders>
              <w:top w:val="single" w:sz="4" w:space="0" w:color="auto"/>
              <w:left w:val="single" w:sz="4" w:space="0" w:color="auto"/>
              <w:bottom w:val="single" w:sz="4" w:space="0" w:color="auto"/>
              <w:right w:val="single" w:sz="4" w:space="0" w:color="auto"/>
            </w:tcBorders>
            <w:shd w:val="clear" w:color="000000" w:fill="FFFFFF"/>
            <w:noWrap/>
            <w:vAlign w:val="center"/>
          </w:tcPr>
          <w:p w:rsidR="00255E13" w:rsidRPr="00F849C3" w:rsidRDefault="00255E13" w:rsidP="00895B36">
            <w:pPr>
              <w:jc w:val="right"/>
              <w:rPr>
                <w:sz w:val="20"/>
                <w:szCs w:val="20"/>
              </w:rPr>
            </w:pPr>
            <w:r w:rsidRPr="00F849C3">
              <w:rPr>
                <w:sz w:val="20"/>
                <w:szCs w:val="20"/>
              </w:rPr>
              <w:t xml:space="preserve">                                </w:t>
            </w:r>
            <w:r>
              <w:rPr>
                <w:sz w:val="20"/>
                <w:szCs w:val="20"/>
              </w:rPr>
              <w:t>748 000</w:t>
            </w:r>
            <w:r w:rsidRPr="00F849C3">
              <w:rPr>
                <w:sz w:val="20"/>
                <w:szCs w:val="20"/>
              </w:rPr>
              <w:t xml:space="preserve">,00 </w:t>
            </w:r>
          </w:p>
        </w:tc>
      </w:tr>
      <w:tr w:rsidR="00255E13" w:rsidRPr="00F849C3" w:rsidTr="00895B36">
        <w:trPr>
          <w:trHeight w:val="300"/>
        </w:trPr>
        <w:tc>
          <w:tcPr>
            <w:tcW w:w="1660" w:type="dxa"/>
            <w:vMerge w:val="restart"/>
            <w:tcBorders>
              <w:top w:val="nil"/>
              <w:left w:val="single" w:sz="4" w:space="0" w:color="auto"/>
              <w:bottom w:val="single" w:sz="4" w:space="0" w:color="000000"/>
              <w:right w:val="single" w:sz="4" w:space="0" w:color="auto"/>
            </w:tcBorders>
            <w:vAlign w:val="center"/>
          </w:tcPr>
          <w:p w:rsidR="00255E13" w:rsidRPr="00F849C3" w:rsidRDefault="00255E13" w:rsidP="00895B36">
            <w:pPr>
              <w:jc w:val="center"/>
              <w:rPr>
                <w:b/>
                <w:bCs/>
                <w:sz w:val="16"/>
                <w:szCs w:val="16"/>
              </w:rPr>
            </w:pPr>
            <w:r>
              <w:rPr>
                <w:b/>
                <w:bCs/>
                <w:sz w:val="16"/>
                <w:szCs w:val="16"/>
              </w:rPr>
              <w:t>4 (17</w:t>
            </w:r>
            <w:r w:rsidRPr="00F849C3">
              <w:rPr>
                <w:b/>
                <w:bCs/>
                <w:sz w:val="16"/>
                <w:szCs w:val="16"/>
              </w:rPr>
              <w:t>)</w:t>
            </w:r>
          </w:p>
        </w:tc>
        <w:tc>
          <w:tcPr>
            <w:tcW w:w="10320" w:type="dxa"/>
            <w:gridSpan w:val="6"/>
            <w:tcBorders>
              <w:top w:val="single" w:sz="4" w:space="0" w:color="auto"/>
              <w:left w:val="nil"/>
              <w:bottom w:val="single" w:sz="4" w:space="0" w:color="auto"/>
              <w:right w:val="single" w:sz="4" w:space="0" w:color="auto"/>
            </w:tcBorders>
            <w:shd w:val="clear" w:color="000000" w:fill="FFFFFF"/>
            <w:vAlign w:val="center"/>
          </w:tcPr>
          <w:p w:rsidR="00255E13" w:rsidRPr="00F849C3" w:rsidRDefault="00255E13" w:rsidP="00895B36">
            <w:pPr>
              <w:rPr>
                <w:sz w:val="16"/>
                <w:szCs w:val="16"/>
              </w:rPr>
            </w:pPr>
            <w:r w:rsidRPr="00F849C3">
              <w:rPr>
                <w:sz w:val="16"/>
                <w:szCs w:val="16"/>
              </w:rPr>
              <w:t xml:space="preserve">Počet vybudovaných spoločných zariadení a opatrení (komunikačných, vodohospodárskych, protieróznych) na poľ. pôde </w:t>
            </w:r>
          </w:p>
        </w:tc>
        <w:tc>
          <w:tcPr>
            <w:tcW w:w="3320" w:type="dxa"/>
            <w:gridSpan w:val="2"/>
            <w:tcBorders>
              <w:top w:val="single" w:sz="4" w:space="0" w:color="auto"/>
              <w:left w:val="single" w:sz="4" w:space="0" w:color="auto"/>
              <w:bottom w:val="single" w:sz="4" w:space="0" w:color="auto"/>
              <w:right w:val="single" w:sz="4" w:space="0" w:color="auto"/>
            </w:tcBorders>
            <w:shd w:val="clear" w:color="000000" w:fill="FFFFFF"/>
            <w:noWrap/>
            <w:vAlign w:val="center"/>
          </w:tcPr>
          <w:p w:rsidR="00255E13" w:rsidRPr="00F849C3" w:rsidRDefault="00255E13" w:rsidP="00895B36">
            <w:pPr>
              <w:jc w:val="right"/>
              <w:rPr>
                <w:sz w:val="20"/>
                <w:szCs w:val="20"/>
              </w:rPr>
            </w:pPr>
            <w:r w:rsidRPr="00F849C3">
              <w:rPr>
                <w:sz w:val="20"/>
                <w:szCs w:val="20"/>
              </w:rPr>
              <w:t xml:space="preserve">                                                 42 </w:t>
            </w:r>
          </w:p>
        </w:tc>
      </w:tr>
      <w:tr w:rsidR="00255E13" w:rsidRPr="00F849C3" w:rsidTr="00895B36">
        <w:trPr>
          <w:trHeight w:val="300"/>
        </w:trPr>
        <w:tc>
          <w:tcPr>
            <w:tcW w:w="1660" w:type="dxa"/>
            <w:vMerge/>
            <w:tcBorders>
              <w:top w:val="nil"/>
              <w:left w:val="single" w:sz="4" w:space="0" w:color="auto"/>
              <w:bottom w:val="single" w:sz="4" w:space="0" w:color="000000"/>
              <w:right w:val="single" w:sz="4" w:space="0" w:color="auto"/>
            </w:tcBorders>
            <w:vAlign w:val="center"/>
          </w:tcPr>
          <w:p w:rsidR="00255E13" w:rsidRPr="00F849C3" w:rsidRDefault="00255E13" w:rsidP="00895B36">
            <w:pPr>
              <w:rPr>
                <w:b/>
                <w:bCs/>
                <w:sz w:val="16"/>
                <w:szCs w:val="16"/>
              </w:rPr>
            </w:pPr>
          </w:p>
        </w:tc>
        <w:tc>
          <w:tcPr>
            <w:tcW w:w="10320" w:type="dxa"/>
            <w:gridSpan w:val="6"/>
            <w:tcBorders>
              <w:top w:val="single" w:sz="4" w:space="0" w:color="auto"/>
              <w:left w:val="nil"/>
              <w:bottom w:val="single" w:sz="4" w:space="0" w:color="auto"/>
              <w:right w:val="single" w:sz="4" w:space="0" w:color="auto"/>
            </w:tcBorders>
            <w:shd w:val="clear" w:color="000000" w:fill="FFFFFF"/>
            <w:vAlign w:val="center"/>
          </w:tcPr>
          <w:p w:rsidR="00255E13" w:rsidRPr="00F849C3" w:rsidRDefault="00255E13" w:rsidP="00895B36">
            <w:pPr>
              <w:rPr>
                <w:sz w:val="16"/>
                <w:szCs w:val="16"/>
              </w:rPr>
            </w:pPr>
            <w:r w:rsidRPr="00F849C3">
              <w:rPr>
                <w:sz w:val="16"/>
                <w:szCs w:val="16"/>
              </w:rPr>
              <w:t>Celkové investície € (verejné + súkromné)</w:t>
            </w:r>
          </w:p>
        </w:tc>
        <w:tc>
          <w:tcPr>
            <w:tcW w:w="3320" w:type="dxa"/>
            <w:gridSpan w:val="2"/>
            <w:tcBorders>
              <w:top w:val="single" w:sz="4" w:space="0" w:color="auto"/>
              <w:left w:val="single" w:sz="4" w:space="0" w:color="auto"/>
              <w:bottom w:val="single" w:sz="4" w:space="0" w:color="auto"/>
              <w:right w:val="single" w:sz="4" w:space="0" w:color="auto"/>
            </w:tcBorders>
            <w:shd w:val="clear" w:color="000000" w:fill="FFFFFF"/>
            <w:noWrap/>
            <w:vAlign w:val="center"/>
          </w:tcPr>
          <w:p w:rsidR="00255E13" w:rsidRPr="00F849C3" w:rsidRDefault="00255E13" w:rsidP="00895B36">
            <w:pPr>
              <w:jc w:val="right"/>
              <w:rPr>
                <w:sz w:val="20"/>
                <w:szCs w:val="20"/>
              </w:rPr>
            </w:pPr>
            <w:r>
              <w:rPr>
                <w:sz w:val="20"/>
                <w:szCs w:val="20"/>
              </w:rPr>
              <w:t xml:space="preserve">                              30</w:t>
            </w:r>
            <w:r w:rsidRPr="00F849C3">
              <w:rPr>
                <w:sz w:val="20"/>
                <w:szCs w:val="20"/>
              </w:rPr>
              <w:t xml:space="preserve"> 000 000,00 </w:t>
            </w:r>
          </w:p>
        </w:tc>
      </w:tr>
      <w:tr w:rsidR="00255E13" w:rsidRPr="00F849C3" w:rsidTr="00895B36">
        <w:trPr>
          <w:trHeight w:val="300"/>
        </w:trPr>
        <w:tc>
          <w:tcPr>
            <w:tcW w:w="1660" w:type="dxa"/>
            <w:vMerge/>
            <w:tcBorders>
              <w:top w:val="nil"/>
              <w:left w:val="single" w:sz="4" w:space="0" w:color="auto"/>
              <w:bottom w:val="single" w:sz="4" w:space="0" w:color="000000"/>
              <w:right w:val="single" w:sz="4" w:space="0" w:color="auto"/>
            </w:tcBorders>
            <w:vAlign w:val="center"/>
          </w:tcPr>
          <w:p w:rsidR="00255E13" w:rsidRPr="00F849C3" w:rsidRDefault="00255E13" w:rsidP="00895B36">
            <w:pPr>
              <w:rPr>
                <w:b/>
                <w:bCs/>
                <w:sz w:val="16"/>
                <w:szCs w:val="16"/>
              </w:rPr>
            </w:pPr>
          </w:p>
        </w:tc>
        <w:tc>
          <w:tcPr>
            <w:tcW w:w="10320" w:type="dxa"/>
            <w:gridSpan w:val="6"/>
            <w:tcBorders>
              <w:top w:val="single" w:sz="4" w:space="0" w:color="auto"/>
              <w:left w:val="nil"/>
              <w:bottom w:val="single" w:sz="4" w:space="0" w:color="auto"/>
              <w:right w:val="single" w:sz="4" w:space="0" w:color="auto"/>
            </w:tcBorders>
            <w:shd w:val="clear" w:color="000000" w:fill="FFFFFF"/>
            <w:vAlign w:val="center"/>
          </w:tcPr>
          <w:p w:rsidR="00255E13" w:rsidRPr="00F849C3" w:rsidRDefault="00255E13" w:rsidP="00895B36">
            <w:pPr>
              <w:rPr>
                <w:sz w:val="16"/>
                <w:szCs w:val="16"/>
              </w:rPr>
            </w:pPr>
            <w:r w:rsidRPr="00F849C3">
              <w:rPr>
                <w:sz w:val="16"/>
                <w:szCs w:val="16"/>
              </w:rPr>
              <w:t>Celkové verejné výdavky  (€)(4.3)</w:t>
            </w:r>
          </w:p>
        </w:tc>
        <w:tc>
          <w:tcPr>
            <w:tcW w:w="3320" w:type="dxa"/>
            <w:gridSpan w:val="2"/>
            <w:tcBorders>
              <w:top w:val="single" w:sz="4" w:space="0" w:color="auto"/>
              <w:left w:val="nil"/>
              <w:bottom w:val="single" w:sz="4" w:space="0" w:color="auto"/>
              <w:right w:val="single" w:sz="4" w:space="0" w:color="auto"/>
            </w:tcBorders>
            <w:shd w:val="clear" w:color="000000" w:fill="FFFFFF"/>
            <w:noWrap/>
            <w:vAlign w:val="center"/>
          </w:tcPr>
          <w:p w:rsidR="00255E13" w:rsidRPr="00F849C3" w:rsidRDefault="00255E13" w:rsidP="00895B36">
            <w:pPr>
              <w:jc w:val="right"/>
              <w:rPr>
                <w:sz w:val="20"/>
                <w:szCs w:val="20"/>
              </w:rPr>
            </w:pPr>
            <w:r>
              <w:rPr>
                <w:sz w:val="20"/>
                <w:szCs w:val="20"/>
              </w:rPr>
              <w:t xml:space="preserve">                              30</w:t>
            </w:r>
            <w:r w:rsidRPr="00F849C3">
              <w:rPr>
                <w:sz w:val="20"/>
                <w:szCs w:val="20"/>
              </w:rPr>
              <w:t xml:space="preserve"> 000 000,00 </w:t>
            </w:r>
          </w:p>
        </w:tc>
      </w:tr>
      <w:tr w:rsidR="00255E13" w:rsidRPr="00F849C3" w:rsidTr="00895B36">
        <w:trPr>
          <w:trHeight w:val="300"/>
        </w:trPr>
        <w:tc>
          <w:tcPr>
            <w:tcW w:w="1660" w:type="dxa"/>
            <w:tcBorders>
              <w:top w:val="nil"/>
              <w:left w:val="single" w:sz="4" w:space="0" w:color="auto"/>
              <w:bottom w:val="single" w:sz="4" w:space="0" w:color="auto"/>
              <w:right w:val="single" w:sz="4" w:space="0" w:color="auto"/>
            </w:tcBorders>
            <w:shd w:val="clear" w:color="000000" w:fill="FFFFFF"/>
            <w:vAlign w:val="center"/>
          </w:tcPr>
          <w:p w:rsidR="00255E13" w:rsidRPr="00F849C3" w:rsidRDefault="00255E13" w:rsidP="00895B36">
            <w:pPr>
              <w:jc w:val="center"/>
              <w:rPr>
                <w:b/>
                <w:bCs/>
                <w:sz w:val="16"/>
                <w:szCs w:val="16"/>
              </w:rPr>
            </w:pPr>
            <w:r w:rsidRPr="00F849C3">
              <w:rPr>
                <w:b/>
                <w:bCs/>
                <w:sz w:val="16"/>
                <w:szCs w:val="16"/>
              </w:rPr>
              <w:t>SPOLUPRAC (36)</w:t>
            </w:r>
          </w:p>
        </w:tc>
        <w:tc>
          <w:tcPr>
            <w:tcW w:w="10320" w:type="dxa"/>
            <w:gridSpan w:val="6"/>
            <w:tcBorders>
              <w:top w:val="single" w:sz="4" w:space="0" w:color="auto"/>
              <w:left w:val="nil"/>
              <w:bottom w:val="single" w:sz="4" w:space="0" w:color="auto"/>
              <w:right w:val="single" w:sz="4" w:space="0" w:color="auto"/>
            </w:tcBorders>
            <w:shd w:val="clear" w:color="000000" w:fill="FFFFFF"/>
            <w:vAlign w:val="center"/>
          </w:tcPr>
          <w:p w:rsidR="00255E13" w:rsidRPr="00F849C3" w:rsidRDefault="00255E13" w:rsidP="00895B36">
            <w:pPr>
              <w:rPr>
                <w:sz w:val="16"/>
                <w:szCs w:val="16"/>
              </w:rPr>
            </w:pPr>
            <w:r w:rsidRPr="00F849C3">
              <w:rPr>
                <w:sz w:val="16"/>
                <w:szCs w:val="16"/>
              </w:rPr>
              <w:t>Celkové verejné výdavky (€)</w:t>
            </w:r>
          </w:p>
        </w:tc>
        <w:tc>
          <w:tcPr>
            <w:tcW w:w="3320" w:type="dxa"/>
            <w:gridSpan w:val="2"/>
            <w:tcBorders>
              <w:top w:val="single" w:sz="4" w:space="0" w:color="auto"/>
              <w:left w:val="nil"/>
              <w:bottom w:val="single" w:sz="4" w:space="0" w:color="auto"/>
              <w:right w:val="single" w:sz="4" w:space="0" w:color="auto"/>
            </w:tcBorders>
            <w:shd w:val="clear" w:color="000000" w:fill="FFFFFF"/>
            <w:noWrap/>
            <w:vAlign w:val="center"/>
          </w:tcPr>
          <w:p w:rsidR="00255E13" w:rsidRPr="00F849C3" w:rsidRDefault="00255E13" w:rsidP="00895B36">
            <w:pPr>
              <w:jc w:val="right"/>
              <w:rPr>
                <w:sz w:val="20"/>
                <w:szCs w:val="20"/>
              </w:rPr>
            </w:pPr>
            <w:r w:rsidRPr="00F849C3">
              <w:rPr>
                <w:sz w:val="20"/>
                <w:szCs w:val="20"/>
              </w:rPr>
              <w:t xml:space="preserve">                                </w:t>
            </w:r>
            <w:r>
              <w:rPr>
                <w:sz w:val="20"/>
                <w:szCs w:val="20"/>
              </w:rPr>
              <w:t>10</w:t>
            </w:r>
            <w:r w:rsidRPr="00F849C3">
              <w:rPr>
                <w:sz w:val="20"/>
                <w:szCs w:val="20"/>
              </w:rPr>
              <w:t xml:space="preserve"> 000 000,00 </w:t>
            </w:r>
          </w:p>
        </w:tc>
      </w:tr>
      <w:tr w:rsidR="00255E13" w:rsidRPr="00F849C3" w:rsidTr="00895B36">
        <w:trPr>
          <w:trHeight w:val="300"/>
        </w:trPr>
        <w:tc>
          <w:tcPr>
            <w:tcW w:w="1660" w:type="dxa"/>
            <w:vMerge w:val="restart"/>
            <w:tcBorders>
              <w:top w:val="nil"/>
              <w:left w:val="single" w:sz="4" w:space="0" w:color="auto"/>
              <w:bottom w:val="single" w:sz="8" w:space="0" w:color="000000"/>
              <w:right w:val="single" w:sz="4" w:space="0" w:color="auto"/>
            </w:tcBorders>
            <w:shd w:val="clear" w:color="000000" w:fill="FFFFFF"/>
            <w:vAlign w:val="center"/>
          </w:tcPr>
          <w:p w:rsidR="00255E13" w:rsidRPr="00F849C3" w:rsidRDefault="00255E13" w:rsidP="00895B36">
            <w:pPr>
              <w:jc w:val="center"/>
              <w:rPr>
                <w:b/>
                <w:bCs/>
                <w:sz w:val="16"/>
                <w:szCs w:val="16"/>
              </w:rPr>
            </w:pPr>
            <w:r>
              <w:rPr>
                <w:b/>
                <w:bCs/>
                <w:sz w:val="16"/>
                <w:szCs w:val="16"/>
              </w:rPr>
              <w:t>13 (31</w:t>
            </w:r>
            <w:r w:rsidRPr="00F849C3">
              <w:rPr>
                <w:b/>
                <w:bCs/>
                <w:sz w:val="16"/>
                <w:szCs w:val="16"/>
              </w:rPr>
              <w:t>)</w:t>
            </w:r>
          </w:p>
        </w:tc>
        <w:tc>
          <w:tcPr>
            <w:tcW w:w="1660" w:type="dxa"/>
            <w:vMerge w:val="restart"/>
            <w:tcBorders>
              <w:top w:val="nil"/>
              <w:left w:val="single" w:sz="4" w:space="0" w:color="auto"/>
              <w:bottom w:val="single" w:sz="4" w:space="0" w:color="auto"/>
              <w:right w:val="single" w:sz="4" w:space="0" w:color="auto"/>
            </w:tcBorders>
            <w:shd w:val="clear" w:color="000000" w:fill="FFFFFF"/>
            <w:vAlign w:val="center"/>
          </w:tcPr>
          <w:p w:rsidR="00255E13" w:rsidRPr="00F849C3" w:rsidRDefault="00255E13" w:rsidP="00895B36">
            <w:pPr>
              <w:rPr>
                <w:sz w:val="16"/>
                <w:szCs w:val="16"/>
              </w:rPr>
            </w:pPr>
            <w:r w:rsidRPr="00F849C3">
              <w:rPr>
                <w:sz w:val="16"/>
                <w:szCs w:val="16"/>
              </w:rPr>
              <w:t>Výmera (ha)</w:t>
            </w:r>
          </w:p>
        </w:tc>
        <w:tc>
          <w:tcPr>
            <w:tcW w:w="8660" w:type="dxa"/>
            <w:gridSpan w:val="5"/>
            <w:tcBorders>
              <w:top w:val="single" w:sz="4" w:space="0" w:color="auto"/>
              <w:left w:val="nil"/>
              <w:bottom w:val="single" w:sz="4" w:space="0" w:color="auto"/>
              <w:right w:val="single" w:sz="4" w:space="0" w:color="auto"/>
            </w:tcBorders>
            <w:shd w:val="clear" w:color="000000" w:fill="FFFFFF"/>
            <w:vAlign w:val="center"/>
          </w:tcPr>
          <w:p w:rsidR="00255E13" w:rsidRPr="00F849C3" w:rsidRDefault="00255E13" w:rsidP="00895B36">
            <w:pPr>
              <w:rPr>
                <w:sz w:val="16"/>
                <w:szCs w:val="16"/>
              </w:rPr>
            </w:pPr>
            <w:r w:rsidRPr="00F849C3">
              <w:rPr>
                <w:sz w:val="16"/>
                <w:szCs w:val="16"/>
              </w:rPr>
              <w:t>Horské oblasti (13.1)</w:t>
            </w:r>
          </w:p>
        </w:tc>
        <w:tc>
          <w:tcPr>
            <w:tcW w:w="3320" w:type="dxa"/>
            <w:gridSpan w:val="2"/>
            <w:tcBorders>
              <w:top w:val="single" w:sz="4" w:space="0" w:color="auto"/>
              <w:left w:val="nil"/>
              <w:bottom w:val="single" w:sz="4" w:space="0" w:color="auto"/>
              <w:right w:val="single" w:sz="4" w:space="0" w:color="auto"/>
            </w:tcBorders>
            <w:shd w:val="clear" w:color="000000" w:fill="FFFFFF"/>
            <w:noWrap/>
            <w:vAlign w:val="center"/>
          </w:tcPr>
          <w:p w:rsidR="00255E13" w:rsidRPr="00F849C3" w:rsidRDefault="00255E13" w:rsidP="00895B36">
            <w:pPr>
              <w:jc w:val="right"/>
              <w:rPr>
                <w:sz w:val="20"/>
                <w:szCs w:val="20"/>
              </w:rPr>
            </w:pPr>
            <w:r w:rsidRPr="00F849C3">
              <w:rPr>
                <w:sz w:val="20"/>
                <w:szCs w:val="20"/>
              </w:rPr>
              <w:t xml:space="preserve">                                         354 000 </w:t>
            </w:r>
          </w:p>
        </w:tc>
      </w:tr>
      <w:tr w:rsidR="00255E13" w:rsidRPr="00F849C3" w:rsidTr="00895B36">
        <w:trPr>
          <w:trHeight w:val="300"/>
        </w:trPr>
        <w:tc>
          <w:tcPr>
            <w:tcW w:w="1660" w:type="dxa"/>
            <w:vMerge/>
            <w:tcBorders>
              <w:top w:val="nil"/>
              <w:left w:val="single" w:sz="4" w:space="0" w:color="auto"/>
              <w:bottom w:val="single" w:sz="8" w:space="0" w:color="000000"/>
              <w:right w:val="single" w:sz="4" w:space="0" w:color="auto"/>
            </w:tcBorders>
            <w:vAlign w:val="center"/>
          </w:tcPr>
          <w:p w:rsidR="00255E13" w:rsidRPr="00F849C3" w:rsidRDefault="00255E13" w:rsidP="00895B36">
            <w:pPr>
              <w:rPr>
                <w:b/>
                <w:bCs/>
                <w:sz w:val="16"/>
                <w:szCs w:val="16"/>
              </w:rPr>
            </w:pPr>
          </w:p>
        </w:tc>
        <w:tc>
          <w:tcPr>
            <w:tcW w:w="1660" w:type="dxa"/>
            <w:vMerge/>
            <w:tcBorders>
              <w:top w:val="nil"/>
              <w:left w:val="single" w:sz="4" w:space="0" w:color="auto"/>
              <w:bottom w:val="single" w:sz="4" w:space="0" w:color="auto"/>
              <w:right w:val="single" w:sz="4" w:space="0" w:color="auto"/>
            </w:tcBorders>
            <w:vAlign w:val="center"/>
          </w:tcPr>
          <w:p w:rsidR="00255E13" w:rsidRPr="00F849C3" w:rsidRDefault="00255E13" w:rsidP="00895B36">
            <w:pPr>
              <w:rPr>
                <w:sz w:val="16"/>
                <w:szCs w:val="16"/>
              </w:rPr>
            </w:pPr>
          </w:p>
        </w:tc>
        <w:tc>
          <w:tcPr>
            <w:tcW w:w="8660" w:type="dxa"/>
            <w:gridSpan w:val="5"/>
            <w:tcBorders>
              <w:top w:val="single" w:sz="4" w:space="0" w:color="auto"/>
              <w:left w:val="nil"/>
              <w:bottom w:val="single" w:sz="4" w:space="0" w:color="auto"/>
              <w:right w:val="single" w:sz="4" w:space="0" w:color="auto"/>
            </w:tcBorders>
            <w:shd w:val="clear" w:color="000000" w:fill="FFFFFF"/>
            <w:vAlign w:val="center"/>
          </w:tcPr>
          <w:p w:rsidR="00255E13" w:rsidRPr="00F849C3" w:rsidRDefault="00255E13" w:rsidP="00895B36">
            <w:pPr>
              <w:rPr>
                <w:sz w:val="16"/>
                <w:szCs w:val="16"/>
              </w:rPr>
            </w:pPr>
            <w:r w:rsidRPr="00F849C3">
              <w:rPr>
                <w:sz w:val="16"/>
                <w:szCs w:val="16"/>
              </w:rPr>
              <w:t>Ostatné oblasti s významnými prírodnými obmedzeniami (13.2)</w:t>
            </w:r>
          </w:p>
        </w:tc>
        <w:tc>
          <w:tcPr>
            <w:tcW w:w="3320" w:type="dxa"/>
            <w:gridSpan w:val="2"/>
            <w:tcBorders>
              <w:top w:val="single" w:sz="4" w:space="0" w:color="auto"/>
              <w:left w:val="nil"/>
              <w:bottom w:val="single" w:sz="4" w:space="0" w:color="auto"/>
              <w:right w:val="single" w:sz="4" w:space="0" w:color="auto"/>
            </w:tcBorders>
            <w:shd w:val="clear" w:color="000000" w:fill="FFFFFF"/>
            <w:noWrap/>
            <w:vAlign w:val="center"/>
          </w:tcPr>
          <w:p w:rsidR="00255E13" w:rsidRPr="00F849C3" w:rsidRDefault="00255E13" w:rsidP="00895B36">
            <w:pPr>
              <w:jc w:val="right"/>
              <w:rPr>
                <w:sz w:val="20"/>
                <w:szCs w:val="20"/>
              </w:rPr>
            </w:pPr>
            <w:r w:rsidRPr="00F849C3">
              <w:rPr>
                <w:sz w:val="20"/>
                <w:szCs w:val="20"/>
              </w:rPr>
              <w:t xml:space="preserve">                                         290 000 </w:t>
            </w:r>
          </w:p>
        </w:tc>
      </w:tr>
      <w:tr w:rsidR="00255E13" w:rsidRPr="00F849C3" w:rsidTr="00895B36">
        <w:trPr>
          <w:trHeight w:val="300"/>
        </w:trPr>
        <w:tc>
          <w:tcPr>
            <w:tcW w:w="1660" w:type="dxa"/>
            <w:vMerge/>
            <w:tcBorders>
              <w:top w:val="nil"/>
              <w:left w:val="single" w:sz="4" w:space="0" w:color="auto"/>
              <w:bottom w:val="single" w:sz="8" w:space="0" w:color="000000"/>
              <w:right w:val="single" w:sz="4" w:space="0" w:color="auto"/>
            </w:tcBorders>
            <w:vAlign w:val="center"/>
          </w:tcPr>
          <w:p w:rsidR="00255E13" w:rsidRPr="00F849C3" w:rsidRDefault="00255E13" w:rsidP="00895B36">
            <w:pPr>
              <w:rPr>
                <w:b/>
                <w:bCs/>
                <w:sz w:val="16"/>
                <w:szCs w:val="16"/>
              </w:rPr>
            </w:pPr>
          </w:p>
        </w:tc>
        <w:tc>
          <w:tcPr>
            <w:tcW w:w="1660" w:type="dxa"/>
            <w:vMerge/>
            <w:tcBorders>
              <w:top w:val="nil"/>
              <w:left w:val="single" w:sz="4" w:space="0" w:color="auto"/>
              <w:bottom w:val="single" w:sz="4" w:space="0" w:color="auto"/>
              <w:right w:val="single" w:sz="4" w:space="0" w:color="auto"/>
            </w:tcBorders>
            <w:vAlign w:val="center"/>
          </w:tcPr>
          <w:p w:rsidR="00255E13" w:rsidRPr="00F849C3" w:rsidRDefault="00255E13" w:rsidP="00895B36">
            <w:pPr>
              <w:rPr>
                <w:sz w:val="16"/>
                <w:szCs w:val="16"/>
              </w:rPr>
            </w:pPr>
          </w:p>
        </w:tc>
        <w:tc>
          <w:tcPr>
            <w:tcW w:w="8660" w:type="dxa"/>
            <w:gridSpan w:val="5"/>
            <w:tcBorders>
              <w:top w:val="single" w:sz="4" w:space="0" w:color="auto"/>
              <w:left w:val="nil"/>
              <w:bottom w:val="single" w:sz="4" w:space="0" w:color="auto"/>
              <w:right w:val="single" w:sz="4" w:space="0" w:color="auto"/>
            </w:tcBorders>
            <w:shd w:val="clear" w:color="000000" w:fill="FFFFFF"/>
            <w:vAlign w:val="center"/>
          </w:tcPr>
          <w:p w:rsidR="00255E13" w:rsidRPr="00F849C3" w:rsidRDefault="00255E13" w:rsidP="00895B36">
            <w:pPr>
              <w:rPr>
                <w:sz w:val="16"/>
                <w:szCs w:val="16"/>
              </w:rPr>
            </w:pPr>
            <w:r w:rsidRPr="00F849C3">
              <w:rPr>
                <w:sz w:val="16"/>
                <w:szCs w:val="16"/>
              </w:rPr>
              <w:t>Oblasti so špecifickými obmedzeniami  (13.3)</w:t>
            </w:r>
          </w:p>
        </w:tc>
        <w:tc>
          <w:tcPr>
            <w:tcW w:w="3320" w:type="dxa"/>
            <w:gridSpan w:val="2"/>
            <w:tcBorders>
              <w:top w:val="single" w:sz="4" w:space="0" w:color="auto"/>
              <w:left w:val="nil"/>
              <w:bottom w:val="single" w:sz="4" w:space="0" w:color="auto"/>
              <w:right w:val="single" w:sz="4" w:space="0" w:color="auto"/>
            </w:tcBorders>
            <w:shd w:val="clear" w:color="000000" w:fill="FFFFFF"/>
            <w:noWrap/>
            <w:vAlign w:val="center"/>
          </w:tcPr>
          <w:p w:rsidR="00255E13" w:rsidRPr="00F849C3" w:rsidRDefault="00255E13" w:rsidP="00895B36">
            <w:pPr>
              <w:jc w:val="right"/>
              <w:rPr>
                <w:sz w:val="20"/>
                <w:szCs w:val="20"/>
              </w:rPr>
            </w:pPr>
            <w:r w:rsidRPr="00F849C3">
              <w:rPr>
                <w:sz w:val="20"/>
                <w:szCs w:val="20"/>
              </w:rPr>
              <w:t xml:space="preserve">                                         256 000 </w:t>
            </w:r>
          </w:p>
        </w:tc>
      </w:tr>
      <w:tr w:rsidR="00255E13" w:rsidRPr="00F849C3" w:rsidTr="00895B36">
        <w:trPr>
          <w:trHeight w:val="300"/>
        </w:trPr>
        <w:tc>
          <w:tcPr>
            <w:tcW w:w="1660" w:type="dxa"/>
            <w:vMerge/>
            <w:tcBorders>
              <w:top w:val="nil"/>
              <w:left w:val="single" w:sz="4" w:space="0" w:color="auto"/>
              <w:bottom w:val="single" w:sz="4" w:space="0" w:color="auto"/>
              <w:right w:val="single" w:sz="4" w:space="0" w:color="auto"/>
            </w:tcBorders>
            <w:vAlign w:val="center"/>
          </w:tcPr>
          <w:p w:rsidR="00255E13" w:rsidRPr="00F849C3" w:rsidRDefault="00255E13" w:rsidP="00895B36">
            <w:pPr>
              <w:rPr>
                <w:b/>
                <w:bCs/>
                <w:sz w:val="16"/>
                <w:szCs w:val="16"/>
              </w:rPr>
            </w:pPr>
          </w:p>
        </w:tc>
        <w:tc>
          <w:tcPr>
            <w:tcW w:w="10320" w:type="dxa"/>
            <w:gridSpan w:val="6"/>
            <w:tcBorders>
              <w:top w:val="single" w:sz="4" w:space="0" w:color="auto"/>
              <w:left w:val="nil"/>
              <w:bottom w:val="single" w:sz="4" w:space="0" w:color="auto"/>
              <w:right w:val="single" w:sz="4" w:space="0" w:color="auto"/>
            </w:tcBorders>
            <w:shd w:val="clear" w:color="000000" w:fill="FFFFFF"/>
            <w:vAlign w:val="center"/>
          </w:tcPr>
          <w:p w:rsidR="00255E13" w:rsidRPr="00F849C3" w:rsidRDefault="00255E13" w:rsidP="00895B36">
            <w:pPr>
              <w:rPr>
                <w:sz w:val="16"/>
                <w:szCs w:val="16"/>
              </w:rPr>
            </w:pPr>
            <w:r w:rsidRPr="00F849C3">
              <w:rPr>
                <w:sz w:val="16"/>
                <w:szCs w:val="16"/>
              </w:rPr>
              <w:t>Celkové verejné výdavky (€)</w:t>
            </w:r>
          </w:p>
        </w:tc>
        <w:tc>
          <w:tcPr>
            <w:tcW w:w="3320" w:type="dxa"/>
            <w:gridSpan w:val="2"/>
            <w:tcBorders>
              <w:top w:val="single" w:sz="4" w:space="0" w:color="auto"/>
              <w:left w:val="single" w:sz="4" w:space="0" w:color="auto"/>
              <w:bottom w:val="single" w:sz="4" w:space="0" w:color="auto"/>
              <w:right w:val="single" w:sz="4" w:space="0" w:color="auto"/>
            </w:tcBorders>
            <w:shd w:val="clear" w:color="000000" w:fill="FFFFFF"/>
            <w:noWrap/>
            <w:vAlign w:val="center"/>
          </w:tcPr>
          <w:p w:rsidR="00255E13" w:rsidRPr="00F849C3" w:rsidRDefault="00255E13" w:rsidP="00895B36">
            <w:pPr>
              <w:jc w:val="right"/>
              <w:rPr>
                <w:sz w:val="20"/>
                <w:szCs w:val="20"/>
              </w:rPr>
            </w:pPr>
            <w:r w:rsidRPr="00F849C3">
              <w:rPr>
                <w:sz w:val="20"/>
                <w:szCs w:val="20"/>
              </w:rPr>
              <w:t xml:space="preserve">         </w:t>
            </w:r>
            <w:r>
              <w:rPr>
                <w:sz w:val="20"/>
                <w:szCs w:val="20"/>
              </w:rPr>
              <w:t xml:space="preserve">                     482 650 000</w:t>
            </w:r>
            <w:r w:rsidRPr="00F849C3">
              <w:rPr>
                <w:sz w:val="20"/>
                <w:szCs w:val="20"/>
              </w:rPr>
              <w:t xml:space="preserve">,00 </w:t>
            </w:r>
          </w:p>
        </w:tc>
      </w:tr>
    </w:tbl>
    <w:p w:rsidR="008676F9" w:rsidRPr="008676F9" w:rsidRDefault="008676F9" w:rsidP="008676F9">
      <w:pPr>
        <w:keepNext/>
        <w:spacing w:before="240" w:after="60" w:line="276" w:lineRule="auto"/>
        <w:outlineLvl w:val="3"/>
        <w:rPr>
          <w:rFonts w:ascii="Calibri" w:hAnsi="Calibri"/>
          <w:szCs w:val="20"/>
          <w:lang w:eastAsia="en-US"/>
        </w:rPr>
      </w:pPr>
      <w:r w:rsidRPr="008676F9">
        <w:rPr>
          <w:rFonts w:ascii="Calibri" w:hAnsi="Calibri"/>
          <w:szCs w:val="20"/>
          <w:lang w:eastAsia="en-US"/>
        </w:rPr>
        <w:br w:type="page"/>
      </w:r>
    </w:p>
    <w:tbl>
      <w:tblPr>
        <w:tblW w:w="15160" w:type="dxa"/>
        <w:tblInd w:w="-356" w:type="dxa"/>
        <w:tblLayout w:type="fixed"/>
        <w:tblCellMar>
          <w:left w:w="70" w:type="dxa"/>
          <w:right w:w="70" w:type="dxa"/>
        </w:tblCellMar>
        <w:tblLook w:val="00A0" w:firstRow="1" w:lastRow="0" w:firstColumn="1" w:lastColumn="0" w:noHBand="0" w:noVBand="0"/>
      </w:tblPr>
      <w:tblGrid>
        <w:gridCol w:w="1440"/>
        <w:gridCol w:w="1396"/>
        <w:gridCol w:w="44"/>
        <w:gridCol w:w="440"/>
        <w:gridCol w:w="650"/>
        <w:gridCol w:w="1590"/>
        <w:gridCol w:w="1954"/>
        <w:gridCol w:w="966"/>
        <w:gridCol w:w="2040"/>
        <w:gridCol w:w="1450"/>
        <w:gridCol w:w="10"/>
        <w:gridCol w:w="1430"/>
        <w:gridCol w:w="1750"/>
      </w:tblGrid>
      <w:tr w:rsidR="00255E13" w:rsidRPr="00E820E4" w:rsidTr="00895B36">
        <w:trPr>
          <w:trHeight w:val="415"/>
        </w:trPr>
        <w:tc>
          <w:tcPr>
            <w:tcW w:w="15160" w:type="dxa"/>
            <w:gridSpan w:val="13"/>
            <w:tcBorders>
              <w:top w:val="single" w:sz="8" w:space="0" w:color="000000"/>
              <w:left w:val="single" w:sz="8" w:space="0" w:color="000000"/>
              <w:bottom w:val="single" w:sz="8" w:space="0" w:color="auto"/>
              <w:right w:val="single" w:sz="8" w:space="0" w:color="000000"/>
            </w:tcBorders>
            <w:shd w:val="clear" w:color="auto" w:fill="FFFF00"/>
            <w:noWrap/>
            <w:vAlign w:val="center"/>
          </w:tcPr>
          <w:p w:rsidR="00255E13" w:rsidRPr="00E820E4" w:rsidRDefault="00255E13" w:rsidP="00895B36">
            <w:pPr>
              <w:jc w:val="center"/>
              <w:rPr>
                <w:b/>
                <w:bCs/>
                <w:szCs w:val="22"/>
              </w:rPr>
            </w:pPr>
            <w:r w:rsidRPr="00E820E4">
              <w:rPr>
                <w:b/>
                <w:bCs/>
                <w:szCs w:val="22"/>
              </w:rPr>
              <w:t>Priorita 4: Obnova, zachovanie a posilnenie ekosystémov, ktoré súvisia s poľnohospodárstvom a lesným hospodárstvom</w:t>
            </w:r>
          </w:p>
        </w:tc>
      </w:tr>
      <w:tr w:rsidR="00255E13" w:rsidRPr="00F849C3" w:rsidTr="00895B36">
        <w:trPr>
          <w:trHeight w:val="832"/>
        </w:trPr>
        <w:tc>
          <w:tcPr>
            <w:tcW w:w="5560" w:type="dxa"/>
            <w:gridSpan w:val="6"/>
            <w:tcBorders>
              <w:top w:val="single" w:sz="8" w:space="0" w:color="auto"/>
              <w:left w:val="single" w:sz="8" w:space="0" w:color="000000"/>
              <w:bottom w:val="nil"/>
              <w:right w:val="single" w:sz="8" w:space="0" w:color="000000"/>
            </w:tcBorders>
            <w:shd w:val="clear" w:color="000000" w:fill="FFFFFF"/>
            <w:vAlign w:val="center"/>
          </w:tcPr>
          <w:p w:rsidR="00255E13" w:rsidRPr="00F849C3" w:rsidRDefault="00255E13" w:rsidP="00895B36">
            <w:pPr>
              <w:jc w:val="center"/>
              <w:rPr>
                <w:b/>
                <w:bCs/>
                <w:color w:val="000000"/>
                <w:sz w:val="18"/>
                <w:szCs w:val="18"/>
              </w:rPr>
            </w:pPr>
            <w:r w:rsidRPr="00F849C3">
              <w:rPr>
                <w:b/>
                <w:bCs/>
                <w:color w:val="000000"/>
                <w:sz w:val="18"/>
                <w:szCs w:val="18"/>
              </w:rPr>
              <w:t xml:space="preserve">4A -  </w:t>
            </w:r>
            <w:r w:rsidRPr="00C852D9">
              <w:rPr>
                <w:b/>
                <w:bCs/>
                <w:color w:val="000000"/>
                <w:sz w:val="18"/>
                <w:szCs w:val="18"/>
              </w:rPr>
              <w:t>obnova, zachovanie a zvýšenie biologickej diverzity vrátane na územiach sústavy Natura 2000 a v oblastiach s prírodnými alebo inými osobitnými obmedzeniami a v poľnohospodárskej činnosti s vysokou prírodnou hodnotou a obnova, zachovanie ako aj zlepšenie stavu krajinných oblastí Európy</w:t>
            </w:r>
            <w:r w:rsidRPr="00F849C3">
              <w:rPr>
                <w:b/>
                <w:bCs/>
                <w:color w:val="000000"/>
                <w:sz w:val="18"/>
                <w:szCs w:val="18"/>
              </w:rPr>
              <w:t xml:space="preserve"> </w:t>
            </w:r>
          </w:p>
        </w:tc>
        <w:tc>
          <w:tcPr>
            <w:tcW w:w="4960" w:type="dxa"/>
            <w:gridSpan w:val="3"/>
            <w:tcBorders>
              <w:top w:val="single" w:sz="8" w:space="0" w:color="auto"/>
              <w:left w:val="nil"/>
              <w:bottom w:val="single" w:sz="4" w:space="0" w:color="auto"/>
              <w:right w:val="single" w:sz="8" w:space="0" w:color="000000"/>
            </w:tcBorders>
            <w:shd w:val="clear" w:color="000000" w:fill="FFFFFF"/>
            <w:vAlign w:val="center"/>
          </w:tcPr>
          <w:p w:rsidR="00255E13" w:rsidRPr="00F849C3" w:rsidRDefault="00255E13" w:rsidP="00895B36">
            <w:pPr>
              <w:jc w:val="center"/>
              <w:rPr>
                <w:b/>
                <w:bCs/>
                <w:color w:val="000000"/>
                <w:sz w:val="18"/>
                <w:szCs w:val="18"/>
              </w:rPr>
            </w:pPr>
            <w:r w:rsidRPr="00F849C3">
              <w:rPr>
                <w:b/>
                <w:bCs/>
                <w:color w:val="000000"/>
                <w:sz w:val="18"/>
                <w:szCs w:val="18"/>
              </w:rPr>
              <w:t xml:space="preserve">4B -   </w:t>
            </w:r>
            <w:r w:rsidRPr="00C852D9">
              <w:rPr>
                <w:b/>
                <w:bCs/>
                <w:color w:val="000000"/>
                <w:sz w:val="18"/>
                <w:szCs w:val="18"/>
              </w:rPr>
              <w:t>zlepšenie vodného hospodárstva vrátane riadenia používania hnojív a pesticídov</w:t>
            </w:r>
          </w:p>
        </w:tc>
        <w:tc>
          <w:tcPr>
            <w:tcW w:w="4640" w:type="dxa"/>
            <w:gridSpan w:val="4"/>
            <w:tcBorders>
              <w:top w:val="single" w:sz="8" w:space="0" w:color="auto"/>
              <w:left w:val="nil"/>
              <w:bottom w:val="single" w:sz="4" w:space="0" w:color="auto"/>
              <w:right w:val="single" w:sz="8" w:space="0" w:color="000000"/>
            </w:tcBorders>
            <w:shd w:val="clear" w:color="000000" w:fill="FFFFFF"/>
            <w:vAlign w:val="center"/>
          </w:tcPr>
          <w:p w:rsidR="00255E13" w:rsidRPr="00F849C3" w:rsidRDefault="00255E13" w:rsidP="00895B36">
            <w:pPr>
              <w:jc w:val="center"/>
              <w:rPr>
                <w:b/>
                <w:bCs/>
                <w:color w:val="000000"/>
                <w:sz w:val="18"/>
                <w:szCs w:val="18"/>
              </w:rPr>
            </w:pPr>
            <w:r w:rsidRPr="00F849C3">
              <w:rPr>
                <w:b/>
                <w:bCs/>
                <w:color w:val="000000"/>
                <w:sz w:val="18"/>
                <w:szCs w:val="18"/>
              </w:rPr>
              <w:t xml:space="preserve">4C </w:t>
            </w:r>
            <w:r>
              <w:rPr>
                <w:b/>
                <w:bCs/>
                <w:color w:val="000000"/>
                <w:sz w:val="18"/>
                <w:szCs w:val="18"/>
              </w:rPr>
              <w:t xml:space="preserve">´- </w:t>
            </w:r>
            <w:r w:rsidRPr="00C852D9">
              <w:rPr>
                <w:b/>
                <w:bCs/>
                <w:color w:val="000000"/>
                <w:sz w:val="18"/>
                <w:szCs w:val="18"/>
              </w:rPr>
              <w:t>predchádzanie erózii pôdy a zlepšenie jej obhospodarovania</w:t>
            </w:r>
          </w:p>
        </w:tc>
      </w:tr>
      <w:tr w:rsidR="00255E13" w:rsidRPr="00F849C3" w:rsidTr="00895B36">
        <w:trPr>
          <w:trHeight w:val="687"/>
        </w:trPr>
        <w:tc>
          <w:tcPr>
            <w:tcW w:w="2836" w:type="dxa"/>
            <w:gridSpan w:val="2"/>
            <w:vMerge w:val="restart"/>
            <w:tcBorders>
              <w:top w:val="single" w:sz="4" w:space="0" w:color="auto"/>
              <w:left w:val="single" w:sz="8" w:space="0" w:color="000000"/>
              <w:bottom w:val="single" w:sz="4" w:space="0" w:color="auto"/>
              <w:right w:val="single" w:sz="4" w:space="0" w:color="auto"/>
            </w:tcBorders>
            <w:shd w:val="clear" w:color="000000" w:fill="FFFFFF"/>
            <w:noWrap/>
            <w:vAlign w:val="center"/>
          </w:tcPr>
          <w:p w:rsidR="00255E13" w:rsidRPr="00F849C3" w:rsidRDefault="00255E13" w:rsidP="00895B36">
            <w:pPr>
              <w:jc w:val="center"/>
              <w:rPr>
                <w:sz w:val="18"/>
                <w:szCs w:val="18"/>
              </w:rPr>
            </w:pPr>
            <w:r w:rsidRPr="00F849C3">
              <w:rPr>
                <w:sz w:val="18"/>
                <w:szCs w:val="18"/>
              </w:rPr>
              <w:t>Cieľová hodnota</w:t>
            </w:r>
          </w:p>
        </w:tc>
        <w:tc>
          <w:tcPr>
            <w:tcW w:w="2724" w:type="dxa"/>
            <w:gridSpan w:val="4"/>
            <w:tcBorders>
              <w:top w:val="single" w:sz="4" w:space="0" w:color="auto"/>
              <w:left w:val="nil"/>
              <w:bottom w:val="single" w:sz="4" w:space="0" w:color="auto"/>
              <w:right w:val="single" w:sz="8" w:space="0" w:color="000000"/>
            </w:tcBorders>
            <w:shd w:val="clear" w:color="000000" w:fill="FFFFFF"/>
            <w:vAlign w:val="center"/>
          </w:tcPr>
          <w:p w:rsidR="00255E13" w:rsidRPr="00F849C3" w:rsidRDefault="00255E13" w:rsidP="00895B36">
            <w:pPr>
              <w:jc w:val="center"/>
              <w:rPr>
                <w:b/>
                <w:bCs/>
                <w:sz w:val="18"/>
                <w:szCs w:val="18"/>
              </w:rPr>
            </w:pPr>
            <w:r w:rsidRPr="00F849C3">
              <w:rPr>
                <w:b/>
                <w:bCs/>
                <w:sz w:val="18"/>
                <w:szCs w:val="18"/>
              </w:rPr>
              <w:t xml:space="preserve">% podporenej lesnej pôdy, ktorá prispieva k biodiverzite (ha) </w:t>
            </w:r>
          </w:p>
        </w:tc>
        <w:tc>
          <w:tcPr>
            <w:tcW w:w="1954" w:type="dxa"/>
            <w:vMerge w:val="restart"/>
            <w:tcBorders>
              <w:top w:val="nil"/>
              <w:left w:val="nil"/>
              <w:bottom w:val="single" w:sz="4" w:space="0" w:color="auto"/>
              <w:right w:val="single" w:sz="4" w:space="0" w:color="auto"/>
            </w:tcBorders>
            <w:shd w:val="clear" w:color="000000" w:fill="FFFFFF"/>
            <w:noWrap/>
            <w:vAlign w:val="center"/>
          </w:tcPr>
          <w:p w:rsidR="00255E13" w:rsidRPr="00F849C3" w:rsidRDefault="00255E13" w:rsidP="00895B36">
            <w:pPr>
              <w:jc w:val="center"/>
              <w:rPr>
                <w:sz w:val="18"/>
                <w:szCs w:val="18"/>
              </w:rPr>
            </w:pPr>
            <w:r w:rsidRPr="00F849C3">
              <w:rPr>
                <w:sz w:val="18"/>
                <w:szCs w:val="18"/>
              </w:rPr>
              <w:t>Cieľová hodnota</w:t>
            </w:r>
          </w:p>
        </w:tc>
        <w:tc>
          <w:tcPr>
            <w:tcW w:w="3006" w:type="dxa"/>
            <w:gridSpan w:val="2"/>
            <w:tcBorders>
              <w:top w:val="single" w:sz="4" w:space="0" w:color="auto"/>
              <w:left w:val="nil"/>
              <w:bottom w:val="single" w:sz="4" w:space="0" w:color="auto"/>
              <w:right w:val="single" w:sz="8" w:space="0" w:color="000000"/>
            </w:tcBorders>
            <w:shd w:val="clear" w:color="000000" w:fill="FFFFFF"/>
            <w:vAlign w:val="center"/>
          </w:tcPr>
          <w:p w:rsidR="00255E13" w:rsidRPr="00F849C3" w:rsidRDefault="00255E13" w:rsidP="00895B36">
            <w:pPr>
              <w:jc w:val="center"/>
              <w:rPr>
                <w:b/>
                <w:bCs/>
                <w:sz w:val="18"/>
                <w:szCs w:val="18"/>
              </w:rPr>
            </w:pPr>
            <w:r w:rsidRPr="00F849C3">
              <w:rPr>
                <w:b/>
                <w:bCs/>
                <w:sz w:val="18"/>
                <w:szCs w:val="18"/>
              </w:rPr>
              <w:t>% podporenej lesnej pôdy, ktorá prispieva k zlep.  vod. hospodárstvo(ha)</w:t>
            </w:r>
          </w:p>
        </w:tc>
        <w:tc>
          <w:tcPr>
            <w:tcW w:w="1450" w:type="dxa"/>
            <w:vMerge w:val="restart"/>
            <w:tcBorders>
              <w:top w:val="nil"/>
              <w:left w:val="single" w:sz="8" w:space="0" w:color="auto"/>
              <w:bottom w:val="single" w:sz="4" w:space="0" w:color="auto"/>
              <w:right w:val="single" w:sz="4" w:space="0" w:color="auto"/>
            </w:tcBorders>
            <w:shd w:val="clear" w:color="000000" w:fill="FFFFFF"/>
            <w:noWrap/>
            <w:vAlign w:val="center"/>
          </w:tcPr>
          <w:p w:rsidR="00255E13" w:rsidRPr="00F849C3" w:rsidRDefault="00255E13" w:rsidP="00895B36">
            <w:pPr>
              <w:jc w:val="center"/>
              <w:rPr>
                <w:b/>
                <w:bCs/>
                <w:sz w:val="18"/>
                <w:szCs w:val="18"/>
              </w:rPr>
            </w:pPr>
            <w:r w:rsidRPr="00F849C3">
              <w:rPr>
                <w:b/>
                <w:bCs/>
                <w:sz w:val="18"/>
                <w:szCs w:val="18"/>
              </w:rPr>
              <w:t>Cieľová hodnota</w:t>
            </w:r>
          </w:p>
        </w:tc>
        <w:tc>
          <w:tcPr>
            <w:tcW w:w="3190" w:type="dxa"/>
            <w:gridSpan w:val="3"/>
            <w:tcBorders>
              <w:top w:val="single" w:sz="4" w:space="0" w:color="auto"/>
              <w:left w:val="nil"/>
              <w:bottom w:val="single" w:sz="4" w:space="0" w:color="auto"/>
              <w:right w:val="single" w:sz="8" w:space="0" w:color="000000"/>
            </w:tcBorders>
            <w:shd w:val="clear" w:color="000000" w:fill="FFFFFF"/>
            <w:vAlign w:val="center"/>
          </w:tcPr>
          <w:p w:rsidR="00255E13" w:rsidRPr="00F849C3" w:rsidRDefault="00255E13" w:rsidP="00895B36">
            <w:pPr>
              <w:jc w:val="center"/>
              <w:rPr>
                <w:b/>
                <w:bCs/>
                <w:sz w:val="18"/>
                <w:szCs w:val="18"/>
              </w:rPr>
            </w:pPr>
            <w:r w:rsidRPr="00F849C3">
              <w:rPr>
                <w:b/>
                <w:bCs/>
                <w:sz w:val="18"/>
                <w:szCs w:val="18"/>
              </w:rPr>
              <w:t>% podporenej lesnej pôdy, ktorá prispieva k zlep. obhosp. pôdy(ha)</w:t>
            </w:r>
          </w:p>
        </w:tc>
      </w:tr>
      <w:tr w:rsidR="00255E13" w:rsidRPr="00F849C3" w:rsidTr="00895B36">
        <w:trPr>
          <w:trHeight w:val="420"/>
        </w:trPr>
        <w:tc>
          <w:tcPr>
            <w:tcW w:w="2836" w:type="dxa"/>
            <w:gridSpan w:val="2"/>
            <w:vMerge/>
            <w:tcBorders>
              <w:top w:val="single" w:sz="4" w:space="0" w:color="auto"/>
              <w:left w:val="single" w:sz="8" w:space="0" w:color="000000"/>
              <w:bottom w:val="single" w:sz="4" w:space="0" w:color="auto"/>
              <w:right w:val="single" w:sz="4" w:space="0" w:color="auto"/>
            </w:tcBorders>
            <w:vAlign w:val="center"/>
          </w:tcPr>
          <w:p w:rsidR="00255E13" w:rsidRPr="00F849C3" w:rsidRDefault="00255E13" w:rsidP="00895B36">
            <w:pPr>
              <w:rPr>
                <w:sz w:val="18"/>
                <w:szCs w:val="18"/>
              </w:rPr>
            </w:pPr>
          </w:p>
        </w:tc>
        <w:tc>
          <w:tcPr>
            <w:tcW w:w="1134" w:type="dxa"/>
            <w:gridSpan w:val="3"/>
            <w:tcBorders>
              <w:top w:val="nil"/>
              <w:left w:val="nil"/>
              <w:bottom w:val="single" w:sz="4" w:space="0" w:color="auto"/>
              <w:right w:val="single" w:sz="4" w:space="0" w:color="auto"/>
            </w:tcBorders>
            <w:shd w:val="clear" w:color="000000" w:fill="FFFFFF"/>
            <w:vAlign w:val="center"/>
          </w:tcPr>
          <w:p w:rsidR="00255E13" w:rsidRPr="00F849C3" w:rsidRDefault="00255E13" w:rsidP="00895B36">
            <w:pPr>
              <w:jc w:val="center"/>
              <w:rPr>
                <w:sz w:val="18"/>
                <w:szCs w:val="18"/>
              </w:rPr>
            </w:pPr>
            <w:r w:rsidRPr="00F849C3">
              <w:rPr>
                <w:sz w:val="18"/>
                <w:szCs w:val="18"/>
              </w:rPr>
              <w:t>ha</w:t>
            </w:r>
          </w:p>
        </w:tc>
        <w:tc>
          <w:tcPr>
            <w:tcW w:w="1590" w:type="dxa"/>
            <w:tcBorders>
              <w:top w:val="single" w:sz="4" w:space="0" w:color="auto"/>
              <w:left w:val="nil"/>
              <w:bottom w:val="single" w:sz="4" w:space="0" w:color="auto"/>
              <w:right w:val="single" w:sz="8" w:space="0" w:color="000000"/>
            </w:tcBorders>
            <w:shd w:val="clear" w:color="000000" w:fill="FFFFFF"/>
            <w:vAlign w:val="center"/>
          </w:tcPr>
          <w:p w:rsidR="00255E13" w:rsidRPr="00F849C3" w:rsidRDefault="00255E13" w:rsidP="00895B36">
            <w:pPr>
              <w:jc w:val="center"/>
              <w:rPr>
                <w:sz w:val="18"/>
                <w:szCs w:val="18"/>
              </w:rPr>
            </w:pPr>
            <w:r w:rsidRPr="00F849C3">
              <w:rPr>
                <w:sz w:val="18"/>
                <w:szCs w:val="18"/>
              </w:rPr>
              <w:t>%</w:t>
            </w:r>
          </w:p>
        </w:tc>
        <w:tc>
          <w:tcPr>
            <w:tcW w:w="1954" w:type="dxa"/>
            <w:vMerge/>
            <w:tcBorders>
              <w:top w:val="nil"/>
              <w:left w:val="nil"/>
              <w:bottom w:val="single" w:sz="4" w:space="0" w:color="auto"/>
              <w:right w:val="single" w:sz="4" w:space="0" w:color="auto"/>
            </w:tcBorders>
            <w:vAlign w:val="center"/>
          </w:tcPr>
          <w:p w:rsidR="00255E13" w:rsidRPr="00F849C3" w:rsidRDefault="00255E13" w:rsidP="00895B36">
            <w:pPr>
              <w:rPr>
                <w:sz w:val="18"/>
                <w:szCs w:val="18"/>
              </w:rPr>
            </w:pPr>
          </w:p>
        </w:tc>
        <w:tc>
          <w:tcPr>
            <w:tcW w:w="966" w:type="dxa"/>
            <w:tcBorders>
              <w:top w:val="nil"/>
              <w:left w:val="nil"/>
              <w:bottom w:val="single" w:sz="4" w:space="0" w:color="auto"/>
              <w:right w:val="single" w:sz="4" w:space="0" w:color="auto"/>
            </w:tcBorders>
            <w:shd w:val="clear" w:color="000000" w:fill="FFFFFF"/>
            <w:vAlign w:val="center"/>
          </w:tcPr>
          <w:p w:rsidR="00255E13" w:rsidRPr="00F849C3" w:rsidRDefault="00255E13" w:rsidP="00895B36">
            <w:pPr>
              <w:jc w:val="center"/>
              <w:rPr>
                <w:sz w:val="18"/>
                <w:szCs w:val="18"/>
              </w:rPr>
            </w:pPr>
            <w:r w:rsidRPr="00F849C3">
              <w:rPr>
                <w:sz w:val="18"/>
                <w:szCs w:val="18"/>
              </w:rPr>
              <w:t>ha</w:t>
            </w:r>
          </w:p>
        </w:tc>
        <w:tc>
          <w:tcPr>
            <w:tcW w:w="2040" w:type="dxa"/>
            <w:tcBorders>
              <w:top w:val="single" w:sz="4" w:space="0" w:color="auto"/>
              <w:left w:val="nil"/>
              <w:bottom w:val="single" w:sz="4" w:space="0" w:color="auto"/>
              <w:right w:val="single" w:sz="8" w:space="0" w:color="000000"/>
            </w:tcBorders>
            <w:shd w:val="clear" w:color="000000" w:fill="FFFFFF"/>
            <w:vAlign w:val="center"/>
          </w:tcPr>
          <w:p w:rsidR="00255E13" w:rsidRPr="00F849C3" w:rsidRDefault="00255E13" w:rsidP="00895B36">
            <w:pPr>
              <w:jc w:val="center"/>
              <w:rPr>
                <w:sz w:val="18"/>
                <w:szCs w:val="18"/>
              </w:rPr>
            </w:pPr>
            <w:r w:rsidRPr="00F849C3">
              <w:rPr>
                <w:sz w:val="18"/>
                <w:szCs w:val="18"/>
              </w:rPr>
              <w:t>%</w:t>
            </w:r>
          </w:p>
        </w:tc>
        <w:tc>
          <w:tcPr>
            <w:tcW w:w="1450" w:type="dxa"/>
            <w:vMerge/>
            <w:tcBorders>
              <w:top w:val="nil"/>
              <w:left w:val="single" w:sz="8" w:space="0" w:color="auto"/>
              <w:bottom w:val="single" w:sz="4" w:space="0" w:color="auto"/>
              <w:right w:val="single" w:sz="4" w:space="0" w:color="auto"/>
            </w:tcBorders>
            <w:vAlign w:val="center"/>
          </w:tcPr>
          <w:p w:rsidR="00255E13" w:rsidRPr="00F849C3" w:rsidRDefault="00255E13" w:rsidP="00895B36">
            <w:pPr>
              <w:rPr>
                <w:b/>
                <w:bCs/>
                <w:sz w:val="18"/>
                <w:szCs w:val="18"/>
              </w:rPr>
            </w:pPr>
          </w:p>
        </w:tc>
        <w:tc>
          <w:tcPr>
            <w:tcW w:w="1440" w:type="dxa"/>
            <w:gridSpan w:val="2"/>
            <w:tcBorders>
              <w:top w:val="nil"/>
              <w:left w:val="nil"/>
              <w:bottom w:val="single" w:sz="4" w:space="0" w:color="auto"/>
              <w:right w:val="single" w:sz="4" w:space="0" w:color="auto"/>
            </w:tcBorders>
            <w:shd w:val="clear" w:color="000000" w:fill="FFFFFF"/>
            <w:vAlign w:val="center"/>
          </w:tcPr>
          <w:p w:rsidR="00255E13" w:rsidRPr="00F849C3" w:rsidRDefault="00255E13" w:rsidP="00895B36">
            <w:pPr>
              <w:jc w:val="center"/>
              <w:rPr>
                <w:sz w:val="18"/>
                <w:szCs w:val="18"/>
              </w:rPr>
            </w:pPr>
            <w:r w:rsidRPr="00F849C3">
              <w:rPr>
                <w:sz w:val="18"/>
                <w:szCs w:val="18"/>
              </w:rPr>
              <w:t>ha</w:t>
            </w:r>
          </w:p>
        </w:tc>
        <w:tc>
          <w:tcPr>
            <w:tcW w:w="1750" w:type="dxa"/>
            <w:tcBorders>
              <w:top w:val="single" w:sz="4" w:space="0" w:color="auto"/>
              <w:left w:val="nil"/>
              <w:bottom w:val="single" w:sz="4" w:space="0" w:color="auto"/>
              <w:right w:val="single" w:sz="8" w:space="0" w:color="000000"/>
            </w:tcBorders>
            <w:shd w:val="clear" w:color="000000" w:fill="FFFFFF"/>
            <w:vAlign w:val="center"/>
          </w:tcPr>
          <w:p w:rsidR="00255E13" w:rsidRPr="00F849C3" w:rsidRDefault="00255E13" w:rsidP="00895B36">
            <w:pPr>
              <w:jc w:val="center"/>
              <w:rPr>
                <w:sz w:val="18"/>
                <w:szCs w:val="18"/>
              </w:rPr>
            </w:pPr>
            <w:r w:rsidRPr="00F849C3">
              <w:rPr>
                <w:sz w:val="18"/>
                <w:szCs w:val="18"/>
              </w:rPr>
              <w:t>%</w:t>
            </w:r>
          </w:p>
        </w:tc>
      </w:tr>
      <w:tr w:rsidR="00255E13" w:rsidRPr="00F849C3" w:rsidTr="00895B36">
        <w:trPr>
          <w:trHeight w:val="499"/>
        </w:trPr>
        <w:tc>
          <w:tcPr>
            <w:tcW w:w="2836" w:type="dxa"/>
            <w:gridSpan w:val="2"/>
            <w:tcBorders>
              <w:top w:val="nil"/>
              <w:left w:val="single" w:sz="8" w:space="0" w:color="000000"/>
              <w:bottom w:val="single" w:sz="4" w:space="0" w:color="auto"/>
              <w:right w:val="single" w:sz="4" w:space="0" w:color="auto"/>
            </w:tcBorders>
            <w:shd w:val="clear" w:color="000000" w:fill="FFFFFF"/>
            <w:vAlign w:val="center"/>
          </w:tcPr>
          <w:p w:rsidR="00255E13" w:rsidRPr="00F849C3" w:rsidRDefault="00255E13" w:rsidP="00895B36">
            <w:pPr>
              <w:rPr>
                <w:sz w:val="18"/>
                <w:szCs w:val="18"/>
              </w:rPr>
            </w:pPr>
            <w:r w:rsidRPr="00F849C3">
              <w:rPr>
                <w:sz w:val="18"/>
                <w:szCs w:val="18"/>
              </w:rPr>
              <w:t>Fyzická výmera plôch do 2020</w:t>
            </w:r>
          </w:p>
        </w:tc>
        <w:tc>
          <w:tcPr>
            <w:tcW w:w="1134" w:type="dxa"/>
            <w:gridSpan w:val="3"/>
            <w:tcBorders>
              <w:top w:val="nil"/>
              <w:left w:val="nil"/>
              <w:bottom w:val="single" w:sz="4" w:space="0" w:color="auto"/>
              <w:right w:val="single" w:sz="4" w:space="0" w:color="auto"/>
            </w:tcBorders>
            <w:shd w:val="clear" w:color="000000" w:fill="FFFFFF"/>
            <w:vAlign w:val="center"/>
          </w:tcPr>
          <w:p w:rsidR="00255E13" w:rsidRPr="00F849C3" w:rsidRDefault="00255E13" w:rsidP="00895B36">
            <w:pPr>
              <w:jc w:val="right"/>
              <w:rPr>
                <w:i/>
                <w:iCs/>
                <w:sz w:val="18"/>
                <w:szCs w:val="18"/>
              </w:rPr>
            </w:pPr>
            <w:r>
              <w:rPr>
                <w:i/>
                <w:iCs/>
                <w:sz w:val="18"/>
                <w:szCs w:val="18"/>
              </w:rPr>
              <w:t>6</w:t>
            </w:r>
            <w:r w:rsidRPr="00F849C3">
              <w:rPr>
                <w:i/>
                <w:iCs/>
                <w:sz w:val="18"/>
                <w:szCs w:val="18"/>
              </w:rPr>
              <w:t xml:space="preserve">0 000 </w:t>
            </w:r>
          </w:p>
        </w:tc>
        <w:tc>
          <w:tcPr>
            <w:tcW w:w="1590" w:type="dxa"/>
            <w:tcBorders>
              <w:top w:val="single" w:sz="4" w:space="0" w:color="auto"/>
              <w:left w:val="nil"/>
              <w:bottom w:val="single" w:sz="4" w:space="0" w:color="auto"/>
              <w:right w:val="single" w:sz="8" w:space="0" w:color="000000"/>
            </w:tcBorders>
            <w:shd w:val="clear" w:color="000000" w:fill="FFFFFF"/>
            <w:vAlign w:val="center"/>
          </w:tcPr>
          <w:p w:rsidR="00255E13" w:rsidRPr="00F849C3" w:rsidRDefault="00255E13" w:rsidP="00895B36">
            <w:pPr>
              <w:jc w:val="center"/>
              <w:rPr>
                <w:b/>
                <w:bCs/>
                <w:sz w:val="18"/>
                <w:szCs w:val="18"/>
              </w:rPr>
            </w:pPr>
            <w:r>
              <w:rPr>
                <w:b/>
                <w:bCs/>
                <w:sz w:val="18"/>
                <w:szCs w:val="18"/>
              </w:rPr>
              <w:t>3,10</w:t>
            </w:r>
            <w:r w:rsidRPr="00F849C3">
              <w:rPr>
                <w:b/>
                <w:bCs/>
                <w:sz w:val="18"/>
                <w:szCs w:val="18"/>
              </w:rPr>
              <w:t>%</w:t>
            </w:r>
          </w:p>
        </w:tc>
        <w:tc>
          <w:tcPr>
            <w:tcW w:w="1954" w:type="dxa"/>
            <w:tcBorders>
              <w:top w:val="nil"/>
              <w:left w:val="nil"/>
              <w:bottom w:val="single" w:sz="8" w:space="0" w:color="auto"/>
              <w:right w:val="single" w:sz="4" w:space="0" w:color="auto"/>
            </w:tcBorders>
            <w:shd w:val="clear" w:color="000000" w:fill="FFFFFF"/>
            <w:vAlign w:val="center"/>
          </w:tcPr>
          <w:p w:rsidR="00255E13" w:rsidRPr="00F849C3" w:rsidRDefault="00255E13" w:rsidP="00895B36">
            <w:pPr>
              <w:rPr>
                <w:sz w:val="18"/>
                <w:szCs w:val="18"/>
              </w:rPr>
            </w:pPr>
            <w:r w:rsidRPr="00F849C3">
              <w:rPr>
                <w:sz w:val="18"/>
                <w:szCs w:val="18"/>
              </w:rPr>
              <w:t>Fyzická výmera plôch do 2020</w:t>
            </w:r>
          </w:p>
        </w:tc>
        <w:tc>
          <w:tcPr>
            <w:tcW w:w="966" w:type="dxa"/>
            <w:tcBorders>
              <w:top w:val="nil"/>
              <w:left w:val="nil"/>
              <w:bottom w:val="single" w:sz="8" w:space="0" w:color="auto"/>
              <w:right w:val="single" w:sz="4" w:space="0" w:color="auto"/>
            </w:tcBorders>
            <w:shd w:val="clear" w:color="000000" w:fill="FFFFFF"/>
            <w:vAlign w:val="center"/>
          </w:tcPr>
          <w:p w:rsidR="00255E13" w:rsidRPr="00F849C3" w:rsidRDefault="00255E13" w:rsidP="00895B36">
            <w:pPr>
              <w:jc w:val="center"/>
              <w:rPr>
                <w:i/>
                <w:iCs/>
                <w:sz w:val="18"/>
                <w:szCs w:val="18"/>
              </w:rPr>
            </w:pPr>
            <w:r>
              <w:rPr>
                <w:i/>
                <w:iCs/>
                <w:sz w:val="18"/>
                <w:szCs w:val="18"/>
              </w:rPr>
              <w:t>30 840</w:t>
            </w:r>
          </w:p>
        </w:tc>
        <w:tc>
          <w:tcPr>
            <w:tcW w:w="2040" w:type="dxa"/>
            <w:tcBorders>
              <w:top w:val="single" w:sz="4" w:space="0" w:color="auto"/>
              <w:left w:val="nil"/>
              <w:bottom w:val="single" w:sz="8" w:space="0" w:color="auto"/>
              <w:right w:val="single" w:sz="8" w:space="0" w:color="000000"/>
            </w:tcBorders>
            <w:shd w:val="clear" w:color="000000" w:fill="FFFFFF"/>
            <w:vAlign w:val="center"/>
          </w:tcPr>
          <w:p w:rsidR="00255E13" w:rsidRPr="00F849C3" w:rsidRDefault="00255E13" w:rsidP="00895B36">
            <w:pPr>
              <w:jc w:val="center"/>
              <w:rPr>
                <w:b/>
                <w:bCs/>
                <w:sz w:val="18"/>
                <w:szCs w:val="18"/>
              </w:rPr>
            </w:pPr>
            <w:r>
              <w:rPr>
                <w:b/>
                <w:bCs/>
                <w:sz w:val="18"/>
                <w:szCs w:val="18"/>
              </w:rPr>
              <w:t>1,59</w:t>
            </w:r>
            <w:r w:rsidRPr="00F849C3">
              <w:rPr>
                <w:b/>
                <w:bCs/>
                <w:sz w:val="18"/>
                <w:szCs w:val="18"/>
              </w:rPr>
              <w:t>%</w:t>
            </w:r>
          </w:p>
        </w:tc>
        <w:tc>
          <w:tcPr>
            <w:tcW w:w="1450" w:type="dxa"/>
            <w:tcBorders>
              <w:top w:val="nil"/>
              <w:left w:val="nil"/>
              <w:bottom w:val="single" w:sz="8" w:space="0" w:color="auto"/>
              <w:right w:val="single" w:sz="4" w:space="0" w:color="auto"/>
            </w:tcBorders>
            <w:shd w:val="clear" w:color="000000" w:fill="FFFFFF"/>
            <w:vAlign w:val="center"/>
          </w:tcPr>
          <w:p w:rsidR="00255E13" w:rsidRPr="00F849C3" w:rsidRDefault="00255E13" w:rsidP="00895B36">
            <w:pPr>
              <w:rPr>
                <w:sz w:val="18"/>
                <w:szCs w:val="18"/>
              </w:rPr>
            </w:pPr>
            <w:r w:rsidRPr="00F849C3">
              <w:rPr>
                <w:sz w:val="18"/>
                <w:szCs w:val="18"/>
              </w:rPr>
              <w:t>Fyzická výmera plôch do 2020</w:t>
            </w:r>
          </w:p>
        </w:tc>
        <w:tc>
          <w:tcPr>
            <w:tcW w:w="1440" w:type="dxa"/>
            <w:gridSpan w:val="2"/>
            <w:tcBorders>
              <w:top w:val="nil"/>
              <w:left w:val="nil"/>
              <w:bottom w:val="single" w:sz="8" w:space="0" w:color="auto"/>
              <w:right w:val="single" w:sz="4" w:space="0" w:color="auto"/>
            </w:tcBorders>
            <w:shd w:val="clear" w:color="000000" w:fill="FFFFFF"/>
            <w:vAlign w:val="center"/>
          </w:tcPr>
          <w:p w:rsidR="00255E13" w:rsidRPr="00F849C3" w:rsidRDefault="00255E13" w:rsidP="00895B36">
            <w:pPr>
              <w:jc w:val="center"/>
              <w:rPr>
                <w:i/>
                <w:iCs/>
                <w:sz w:val="18"/>
                <w:szCs w:val="18"/>
              </w:rPr>
            </w:pPr>
            <w:r>
              <w:rPr>
                <w:i/>
                <w:iCs/>
                <w:sz w:val="18"/>
                <w:szCs w:val="18"/>
              </w:rPr>
              <w:t>30 840</w:t>
            </w:r>
          </w:p>
        </w:tc>
        <w:tc>
          <w:tcPr>
            <w:tcW w:w="1750" w:type="dxa"/>
            <w:tcBorders>
              <w:top w:val="single" w:sz="4" w:space="0" w:color="auto"/>
              <w:left w:val="nil"/>
              <w:bottom w:val="single" w:sz="8" w:space="0" w:color="auto"/>
              <w:right w:val="single" w:sz="8" w:space="0" w:color="000000"/>
            </w:tcBorders>
            <w:shd w:val="clear" w:color="000000" w:fill="FFFFFF"/>
            <w:vAlign w:val="center"/>
          </w:tcPr>
          <w:p w:rsidR="00255E13" w:rsidRPr="00F849C3" w:rsidRDefault="00255E13" w:rsidP="00895B36">
            <w:pPr>
              <w:jc w:val="center"/>
              <w:rPr>
                <w:b/>
                <w:bCs/>
                <w:sz w:val="18"/>
                <w:szCs w:val="18"/>
              </w:rPr>
            </w:pPr>
            <w:r>
              <w:rPr>
                <w:b/>
                <w:bCs/>
                <w:sz w:val="18"/>
                <w:szCs w:val="18"/>
              </w:rPr>
              <w:t>1,59</w:t>
            </w:r>
            <w:r w:rsidRPr="00F849C3">
              <w:rPr>
                <w:b/>
                <w:bCs/>
                <w:sz w:val="18"/>
                <w:szCs w:val="18"/>
              </w:rPr>
              <w:t>%</w:t>
            </w:r>
          </w:p>
        </w:tc>
      </w:tr>
      <w:tr w:rsidR="00255E13" w:rsidRPr="00F849C3" w:rsidTr="00895B36">
        <w:trPr>
          <w:trHeight w:val="328"/>
        </w:trPr>
        <w:tc>
          <w:tcPr>
            <w:tcW w:w="2836" w:type="dxa"/>
            <w:gridSpan w:val="2"/>
            <w:tcBorders>
              <w:top w:val="nil"/>
              <w:left w:val="single" w:sz="8" w:space="0" w:color="000000"/>
              <w:bottom w:val="single" w:sz="8" w:space="0" w:color="auto"/>
              <w:right w:val="single" w:sz="4" w:space="0" w:color="auto"/>
            </w:tcBorders>
            <w:shd w:val="clear" w:color="000000" w:fill="FFFFFF"/>
            <w:vAlign w:val="center"/>
          </w:tcPr>
          <w:p w:rsidR="00255E13" w:rsidRPr="00F849C3" w:rsidRDefault="00255E13" w:rsidP="00895B36">
            <w:pPr>
              <w:rPr>
                <w:sz w:val="18"/>
                <w:szCs w:val="18"/>
              </w:rPr>
            </w:pPr>
            <w:r w:rsidRPr="00F849C3">
              <w:rPr>
                <w:sz w:val="18"/>
                <w:szCs w:val="18"/>
              </w:rPr>
              <w:t>Celková výmera lesov (východzí rok)</w:t>
            </w:r>
          </w:p>
        </w:tc>
        <w:tc>
          <w:tcPr>
            <w:tcW w:w="1134" w:type="dxa"/>
            <w:gridSpan w:val="3"/>
            <w:tcBorders>
              <w:top w:val="nil"/>
              <w:left w:val="nil"/>
              <w:bottom w:val="single" w:sz="8" w:space="0" w:color="auto"/>
              <w:right w:val="single" w:sz="4" w:space="0" w:color="auto"/>
            </w:tcBorders>
            <w:shd w:val="clear" w:color="000000" w:fill="FFFFFF"/>
            <w:vAlign w:val="center"/>
          </w:tcPr>
          <w:p w:rsidR="00255E13" w:rsidRPr="00F849C3" w:rsidRDefault="00255E13" w:rsidP="00895B36">
            <w:pPr>
              <w:jc w:val="right"/>
              <w:rPr>
                <w:i/>
                <w:iCs/>
                <w:sz w:val="18"/>
                <w:szCs w:val="18"/>
              </w:rPr>
            </w:pPr>
            <w:r w:rsidRPr="00F849C3">
              <w:rPr>
                <w:i/>
                <w:iCs/>
                <w:sz w:val="18"/>
                <w:szCs w:val="18"/>
              </w:rPr>
              <w:t>1 938 000</w:t>
            </w:r>
          </w:p>
        </w:tc>
        <w:tc>
          <w:tcPr>
            <w:tcW w:w="1590" w:type="dxa"/>
            <w:tcBorders>
              <w:top w:val="single" w:sz="4" w:space="0" w:color="auto"/>
              <w:left w:val="nil"/>
              <w:bottom w:val="single" w:sz="8" w:space="0" w:color="auto"/>
              <w:right w:val="single" w:sz="8" w:space="0" w:color="000000"/>
            </w:tcBorders>
            <w:shd w:val="clear" w:color="000000" w:fill="FFFFFF"/>
            <w:noWrap/>
            <w:vAlign w:val="center"/>
          </w:tcPr>
          <w:p w:rsidR="00255E13" w:rsidRPr="00F849C3" w:rsidRDefault="00255E13" w:rsidP="00895B36">
            <w:pPr>
              <w:jc w:val="center"/>
              <w:rPr>
                <w:b/>
                <w:bCs/>
                <w:sz w:val="18"/>
                <w:szCs w:val="18"/>
              </w:rPr>
            </w:pPr>
            <w:r w:rsidRPr="00F849C3">
              <w:rPr>
                <w:b/>
                <w:bCs/>
                <w:sz w:val="18"/>
                <w:szCs w:val="18"/>
              </w:rPr>
              <w:t> </w:t>
            </w:r>
          </w:p>
        </w:tc>
        <w:tc>
          <w:tcPr>
            <w:tcW w:w="9600" w:type="dxa"/>
            <w:gridSpan w:val="7"/>
            <w:tcBorders>
              <w:top w:val="single" w:sz="8" w:space="0" w:color="auto"/>
              <w:left w:val="nil"/>
              <w:bottom w:val="single" w:sz="8" w:space="0" w:color="auto"/>
              <w:right w:val="single" w:sz="8" w:space="0" w:color="000000"/>
            </w:tcBorders>
            <w:shd w:val="clear" w:color="000000" w:fill="FFFFFF"/>
            <w:noWrap/>
            <w:vAlign w:val="center"/>
          </w:tcPr>
          <w:p w:rsidR="00255E13" w:rsidRPr="00F849C3" w:rsidRDefault="00255E13" w:rsidP="00895B36">
            <w:pPr>
              <w:jc w:val="center"/>
              <w:rPr>
                <w:sz w:val="18"/>
                <w:szCs w:val="18"/>
              </w:rPr>
            </w:pPr>
            <w:r w:rsidRPr="00F849C3">
              <w:rPr>
                <w:sz w:val="18"/>
                <w:szCs w:val="18"/>
              </w:rPr>
              <w:t> </w:t>
            </w:r>
          </w:p>
        </w:tc>
      </w:tr>
      <w:tr w:rsidR="00255E13" w:rsidRPr="00F849C3" w:rsidTr="00895B36">
        <w:trPr>
          <w:trHeight w:val="360"/>
        </w:trPr>
        <w:tc>
          <w:tcPr>
            <w:tcW w:w="15160" w:type="dxa"/>
            <w:gridSpan w:val="13"/>
            <w:tcBorders>
              <w:top w:val="single" w:sz="8" w:space="0" w:color="auto"/>
              <w:left w:val="single" w:sz="8" w:space="0" w:color="000000"/>
              <w:bottom w:val="single" w:sz="8" w:space="0" w:color="auto"/>
              <w:right w:val="single" w:sz="8" w:space="0" w:color="000000"/>
            </w:tcBorders>
            <w:shd w:val="clear" w:color="000000" w:fill="FFFFFF"/>
            <w:noWrap/>
            <w:vAlign w:val="center"/>
          </w:tcPr>
          <w:p w:rsidR="00255E13" w:rsidRPr="00F849C3" w:rsidRDefault="00255E13" w:rsidP="00895B36">
            <w:pPr>
              <w:jc w:val="center"/>
              <w:rPr>
                <w:b/>
                <w:bCs/>
                <w:sz w:val="20"/>
                <w:szCs w:val="20"/>
              </w:rPr>
            </w:pPr>
            <w:r w:rsidRPr="00F849C3">
              <w:rPr>
                <w:b/>
                <w:bCs/>
                <w:sz w:val="20"/>
                <w:szCs w:val="20"/>
              </w:rPr>
              <w:t>plánovaný výstup 2014-2020 pre prioritu 4</w:t>
            </w:r>
          </w:p>
        </w:tc>
      </w:tr>
      <w:tr w:rsidR="00255E13" w:rsidRPr="00F849C3" w:rsidTr="00895B36">
        <w:trPr>
          <w:trHeight w:val="360"/>
        </w:trPr>
        <w:tc>
          <w:tcPr>
            <w:tcW w:w="1440" w:type="dxa"/>
            <w:tcBorders>
              <w:top w:val="nil"/>
              <w:left w:val="single" w:sz="8" w:space="0" w:color="000000"/>
              <w:bottom w:val="nil"/>
              <w:right w:val="nil"/>
            </w:tcBorders>
            <w:shd w:val="clear" w:color="000000" w:fill="FFFFFF"/>
            <w:noWrap/>
            <w:vAlign w:val="center"/>
          </w:tcPr>
          <w:p w:rsidR="00255E13" w:rsidRPr="00F849C3" w:rsidRDefault="00255E13" w:rsidP="00895B36">
            <w:pPr>
              <w:jc w:val="center"/>
              <w:rPr>
                <w:b/>
                <w:bCs/>
                <w:sz w:val="20"/>
                <w:szCs w:val="20"/>
              </w:rPr>
            </w:pPr>
            <w:r w:rsidRPr="00F849C3">
              <w:rPr>
                <w:b/>
                <w:bCs/>
                <w:sz w:val="20"/>
                <w:szCs w:val="20"/>
              </w:rPr>
              <w:t>Opatrenia</w:t>
            </w:r>
          </w:p>
        </w:tc>
        <w:tc>
          <w:tcPr>
            <w:tcW w:w="13720" w:type="dxa"/>
            <w:gridSpan w:val="12"/>
            <w:tcBorders>
              <w:top w:val="single" w:sz="8" w:space="0" w:color="auto"/>
              <w:left w:val="nil"/>
              <w:bottom w:val="single" w:sz="8" w:space="0" w:color="auto"/>
              <w:right w:val="single" w:sz="8" w:space="0" w:color="000000"/>
            </w:tcBorders>
            <w:shd w:val="clear" w:color="000000" w:fill="FFFFFF"/>
            <w:noWrap/>
            <w:vAlign w:val="center"/>
          </w:tcPr>
          <w:p w:rsidR="00255E13" w:rsidRPr="00F849C3" w:rsidRDefault="00255E13" w:rsidP="00895B36">
            <w:pPr>
              <w:jc w:val="center"/>
              <w:rPr>
                <w:b/>
                <w:bCs/>
                <w:sz w:val="20"/>
                <w:szCs w:val="20"/>
              </w:rPr>
            </w:pPr>
            <w:r w:rsidRPr="00F849C3">
              <w:rPr>
                <w:b/>
                <w:bCs/>
                <w:sz w:val="20"/>
                <w:szCs w:val="20"/>
              </w:rPr>
              <w:t> </w:t>
            </w:r>
          </w:p>
        </w:tc>
      </w:tr>
      <w:tr w:rsidR="00255E13" w:rsidRPr="00F849C3" w:rsidTr="00895B36">
        <w:trPr>
          <w:trHeight w:val="480"/>
        </w:trPr>
        <w:tc>
          <w:tcPr>
            <w:tcW w:w="1440" w:type="dxa"/>
            <w:vMerge w:val="restart"/>
            <w:tcBorders>
              <w:top w:val="single" w:sz="4" w:space="0" w:color="auto"/>
              <w:left w:val="single" w:sz="8" w:space="0" w:color="000000"/>
              <w:right w:val="single" w:sz="4" w:space="0" w:color="auto"/>
            </w:tcBorders>
            <w:shd w:val="clear" w:color="000000" w:fill="FFFFFF"/>
            <w:vAlign w:val="center"/>
          </w:tcPr>
          <w:p w:rsidR="00255E13" w:rsidRDefault="00255E13" w:rsidP="00895B36">
            <w:pPr>
              <w:jc w:val="center"/>
              <w:rPr>
                <w:b/>
                <w:bCs/>
                <w:sz w:val="16"/>
                <w:szCs w:val="16"/>
              </w:rPr>
            </w:pPr>
            <w:r>
              <w:rPr>
                <w:b/>
                <w:bCs/>
                <w:sz w:val="16"/>
                <w:szCs w:val="16"/>
              </w:rPr>
              <w:t>15 (34)</w:t>
            </w:r>
          </w:p>
        </w:tc>
        <w:tc>
          <w:tcPr>
            <w:tcW w:w="10530" w:type="dxa"/>
            <w:gridSpan w:val="9"/>
            <w:tcBorders>
              <w:top w:val="single" w:sz="4" w:space="0" w:color="auto"/>
              <w:left w:val="nil"/>
              <w:bottom w:val="single" w:sz="4" w:space="0" w:color="auto"/>
              <w:right w:val="single" w:sz="4" w:space="0" w:color="auto"/>
            </w:tcBorders>
            <w:shd w:val="clear" w:color="000000" w:fill="FFFFFF"/>
            <w:vAlign w:val="center"/>
          </w:tcPr>
          <w:p w:rsidR="00255E13" w:rsidRPr="00F849C3" w:rsidRDefault="00255E13" w:rsidP="00895B36">
            <w:pPr>
              <w:rPr>
                <w:sz w:val="16"/>
                <w:szCs w:val="16"/>
              </w:rPr>
            </w:pPr>
            <w:r w:rsidRPr="00A36C2A">
              <w:rPr>
                <w:sz w:val="16"/>
                <w:szCs w:val="16"/>
              </w:rPr>
              <w:t>Výmera (ha) podporená v rámci  lesnícko-environmentálnych záväzkov (15.1)</w:t>
            </w:r>
          </w:p>
        </w:tc>
        <w:tc>
          <w:tcPr>
            <w:tcW w:w="3190" w:type="dxa"/>
            <w:gridSpan w:val="3"/>
            <w:tcBorders>
              <w:top w:val="single" w:sz="4" w:space="0" w:color="auto"/>
              <w:left w:val="nil"/>
              <w:bottom w:val="single" w:sz="4" w:space="0" w:color="auto"/>
              <w:right w:val="single" w:sz="8" w:space="0" w:color="000000"/>
            </w:tcBorders>
            <w:shd w:val="clear" w:color="000000" w:fill="FFFFFF"/>
            <w:noWrap/>
            <w:vAlign w:val="center"/>
          </w:tcPr>
          <w:p w:rsidR="00255E13" w:rsidRPr="00F849C3" w:rsidRDefault="00255E13" w:rsidP="00895B36">
            <w:pPr>
              <w:jc w:val="right"/>
              <w:rPr>
                <w:sz w:val="20"/>
                <w:szCs w:val="20"/>
              </w:rPr>
            </w:pPr>
            <w:r>
              <w:rPr>
                <w:sz w:val="20"/>
                <w:szCs w:val="20"/>
              </w:rPr>
              <w:t>10 000</w:t>
            </w:r>
          </w:p>
        </w:tc>
      </w:tr>
      <w:tr w:rsidR="00255E13" w:rsidRPr="00F849C3" w:rsidTr="00895B36">
        <w:trPr>
          <w:trHeight w:val="480"/>
        </w:trPr>
        <w:tc>
          <w:tcPr>
            <w:tcW w:w="1440" w:type="dxa"/>
            <w:vMerge/>
            <w:tcBorders>
              <w:left w:val="single" w:sz="8" w:space="0" w:color="000000"/>
              <w:right w:val="single" w:sz="4" w:space="0" w:color="auto"/>
            </w:tcBorders>
            <w:shd w:val="clear" w:color="000000" w:fill="FFFFFF"/>
            <w:vAlign w:val="center"/>
          </w:tcPr>
          <w:p w:rsidR="00255E13" w:rsidRDefault="00255E13" w:rsidP="00895B36">
            <w:pPr>
              <w:jc w:val="center"/>
              <w:rPr>
                <w:b/>
                <w:bCs/>
                <w:sz w:val="16"/>
                <w:szCs w:val="16"/>
              </w:rPr>
            </w:pPr>
          </w:p>
        </w:tc>
        <w:tc>
          <w:tcPr>
            <w:tcW w:w="10530" w:type="dxa"/>
            <w:gridSpan w:val="9"/>
            <w:tcBorders>
              <w:top w:val="single" w:sz="4" w:space="0" w:color="auto"/>
              <w:left w:val="nil"/>
              <w:bottom w:val="single" w:sz="4" w:space="0" w:color="auto"/>
              <w:right w:val="single" w:sz="4" w:space="0" w:color="auto"/>
            </w:tcBorders>
            <w:shd w:val="clear" w:color="000000" w:fill="FFFFFF"/>
            <w:vAlign w:val="center"/>
          </w:tcPr>
          <w:p w:rsidR="00255E13" w:rsidRPr="00F849C3" w:rsidRDefault="00255E13" w:rsidP="00895B36">
            <w:pPr>
              <w:rPr>
                <w:sz w:val="16"/>
                <w:szCs w:val="16"/>
              </w:rPr>
            </w:pPr>
            <w:r w:rsidRPr="00A36C2A">
              <w:rPr>
                <w:sz w:val="16"/>
                <w:szCs w:val="16"/>
              </w:rPr>
              <w:t>Verejné výdavky pre ochranu a podporu lesných genetických zdrojov (15.2)</w:t>
            </w:r>
          </w:p>
        </w:tc>
        <w:tc>
          <w:tcPr>
            <w:tcW w:w="3190" w:type="dxa"/>
            <w:gridSpan w:val="3"/>
            <w:tcBorders>
              <w:top w:val="single" w:sz="4" w:space="0" w:color="auto"/>
              <w:left w:val="nil"/>
              <w:bottom w:val="single" w:sz="4" w:space="0" w:color="auto"/>
              <w:right w:val="single" w:sz="8" w:space="0" w:color="000000"/>
            </w:tcBorders>
            <w:shd w:val="clear" w:color="000000" w:fill="FFFFFF"/>
            <w:noWrap/>
            <w:vAlign w:val="center"/>
          </w:tcPr>
          <w:p w:rsidR="00255E13" w:rsidRPr="00F849C3" w:rsidRDefault="00255E13" w:rsidP="00895B36">
            <w:pPr>
              <w:jc w:val="right"/>
              <w:rPr>
                <w:sz w:val="20"/>
                <w:szCs w:val="20"/>
              </w:rPr>
            </w:pPr>
            <w:r>
              <w:rPr>
                <w:sz w:val="20"/>
                <w:szCs w:val="20"/>
              </w:rPr>
              <w:t>3 000 000,00</w:t>
            </w:r>
          </w:p>
        </w:tc>
      </w:tr>
      <w:tr w:rsidR="00255E13" w:rsidRPr="00F849C3" w:rsidTr="00895B36">
        <w:trPr>
          <w:trHeight w:val="480"/>
        </w:trPr>
        <w:tc>
          <w:tcPr>
            <w:tcW w:w="1440" w:type="dxa"/>
            <w:vMerge/>
            <w:tcBorders>
              <w:left w:val="single" w:sz="8" w:space="0" w:color="000000"/>
              <w:bottom w:val="single" w:sz="4" w:space="0" w:color="000000"/>
              <w:right w:val="single" w:sz="4" w:space="0" w:color="auto"/>
            </w:tcBorders>
            <w:shd w:val="clear" w:color="000000" w:fill="FFFFFF"/>
            <w:vAlign w:val="center"/>
          </w:tcPr>
          <w:p w:rsidR="00255E13" w:rsidRDefault="00255E13" w:rsidP="00895B36">
            <w:pPr>
              <w:jc w:val="center"/>
              <w:rPr>
                <w:b/>
                <w:bCs/>
                <w:sz w:val="16"/>
                <w:szCs w:val="16"/>
              </w:rPr>
            </w:pPr>
          </w:p>
        </w:tc>
        <w:tc>
          <w:tcPr>
            <w:tcW w:w="10530" w:type="dxa"/>
            <w:gridSpan w:val="9"/>
            <w:tcBorders>
              <w:top w:val="single" w:sz="4" w:space="0" w:color="auto"/>
              <w:left w:val="nil"/>
              <w:bottom w:val="single" w:sz="4" w:space="0" w:color="auto"/>
              <w:right w:val="single" w:sz="4" w:space="0" w:color="auto"/>
            </w:tcBorders>
            <w:shd w:val="clear" w:color="000000" w:fill="FFFFFF"/>
            <w:vAlign w:val="center"/>
          </w:tcPr>
          <w:p w:rsidR="00255E13" w:rsidRPr="00F849C3" w:rsidRDefault="00255E13" w:rsidP="00895B36">
            <w:pPr>
              <w:rPr>
                <w:sz w:val="16"/>
                <w:szCs w:val="16"/>
              </w:rPr>
            </w:pPr>
            <w:r w:rsidRPr="00A36C2A">
              <w:rPr>
                <w:sz w:val="16"/>
                <w:szCs w:val="16"/>
              </w:rPr>
              <w:t>Celkové verejné výdavky (€)</w:t>
            </w:r>
          </w:p>
        </w:tc>
        <w:tc>
          <w:tcPr>
            <w:tcW w:w="3190" w:type="dxa"/>
            <w:gridSpan w:val="3"/>
            <w:tcBorders>
              <w:top w:val="single" w:sz="4" w:space="0" w:color="auto"/>
              <w:left w:val="nil"/>
              <w:bottom w:val="single" w:sz="4" w:space="0" w:color="auto"/>
              <w:right w:val="single" w:sz="8" w:space="0" w:color="000000"/>
            </w:tcBorders>
            <w:shd w:val="clear" w:color="000000" w:fill="FFFFFF"/>
            <w:noWrap/>
            <w:vAlign w:val="center"/>
          </w:tcPr>
          <w:p w:rsidR="00255E13" w:rsidRPr="00F849C3" w:rsidRDefault="00255E13" w:rsidP="00895B36">
            <w:pPr>
              <w:jc w:val="right"/>
              <w:rPr>
                <w:sz w:val="20"/>
                <w:szCs w:val="20"/>
              </w:rPr>
            </w:pPr>
            <w:r>
              <w:rPr>
                <w:sz w:val="20"/>
                <w:szCs w:val="20"/>
              </w:rPr>
              <w:t>4 950 000,00</w:t>
            </w:r>
          </w:p>
        </w:tc>
      </w:tr>
      <w:tr w:rsidR="00255E13" w:rsidRPr="00F849C3" w:rsidTr="00895B36">
        <w:trPr>
          <w:trHeight w:val="480"/>
        </w:trPr>
        <w:tc>
          <w:tcPr>
            <w:tcW w:w="1440" w:type="dxa"/>
            <w:vMerge w:val="restart"/>
            <w:tcBorders>
              <w:top w:val="single" w:sz="4" w:space="0" w:color="auto"/>
              <w:left w:val="single" w:sz="8" w:space="0" w:color="000000"/>
              <w:bottom w:val="single" w:sz="4" w:space="0" w:color="000000"/>
              <w:right w:val="single" w:sz="4" w:space="0" w:color="auto"/>
            </w:tcBorders>
            <w:shd w:val="clear" w:color="000000" w:fill="FFFFFF"/>
            <w:vAlign w:val="center"/>
          </w:tcPr>
          <w:p w:rsidR="00255E13" w:rsidRPr="00F849C3" w:rsidRDefault="00255E13" w:rsidP="00895B36">
            <w:pPr>
              <w:jc w:val="center"/>
              <w:rPr>
                <w:b/>
                <w:bCs/>
                <w:sz w:val="16"/>
                <w:szCs w:val="16"/>
              </w:rPr>
            </w:pPr>
            <w:r>
              <w:rPr>
                <w:b/>
                <w:bCs/>
                <w:sz w:val="16"/>
                <w:szCs w:val="16"/>
              </w:rPr>
              <w:t>12 (30</w:t>
            </w:r>
            <w:r w:rsidRPr="00F849C3">
              <w:rPr>
                <w:b/>
                <w:bCs/>
                <w:sz w:val="16"/>
                <w:szCs w:val="16"/>
              </w:rPr>
              <w:t>)</w:t>
            </w:r>
          </w:p>
        </w:tc>
        <w:tc>
          <w:tcPr>
            <w:tcW w:w="1440" w:type="dxa"/>
            <w:gridSpan w:val="2"/>
            <w:tcBorders>
              <w:top w:val="single" w:sz="4" w:space="0" w:color="auto"/>
              <w:left w:val="nil"/>
              <w:bottom w:val="single" w:sz="4" w:space="0" w:color="auto"/>
              <w:right w:val="single" w:sz="4" w:space="0" w:color="auto"/>
            </w:tcBorders>
            <w:shd w:val="clear" w:color="000000" w:fill="FFFFFF"/>
            <w:vAlign w:val="center"/>
          </w:tcPr>
          <w:p w:rsidR="00255E13" w:rsidRPr="00F849C3" w:rsidRDefault="00255E13" w:rsidP="00895B36">
            <w:pPr>
              <w:rPr>
                <w:sz w:val="16"/>
                <w:szCs w:val="16"/>
              </w:rPr>
            </w:pPr>
            <w:r w:rsidRPr="00F849C3">
              <w:rPr>
                <w:sz w:val="16"/>
                <w:szCs w:val="16"/>
              </w:rPr>
              <w:t>Výmera  (ha)</w:t>
            </w:r>
          </w:p>
        </w:tc>
        <w:tc>
          <w:tcPr>
            <w:tcW w:w="9090" w:type="dxa"/>
            <w:gridSpan w:val="7"/>
            <w:tcBorders>
              <w:top w:val="single" w:sz="4" w:space="0" w:color="auto"/>
              <w:left w:val="nil"/>
              <w:bottom w:val="single" w:sz="4" w:space="0" w:color="auto"/>
              <w:right w:val="single" w:sz="4" w:space="0" w:color="auto"/>
            </w:tcBorders>
            <w:shd w:val="clear" w:color="000000" w:fill="FFFFFF"/>
            <w:vAlign w:val="center"/>
          </w:tcPr>
          <w:p w:rsidR="00255E13" w:rsidRPr="00F849C3" w:rsidRDefault="00255E13" w:rsidP="00895B36">
            <w:pPr>
              <w:rPr>
                <w:sz w:val="16"/>
                <w:szCs w:val="16"/>
              </w:rPr>
            </w:pPr>
            <w:r w:rsidRPr="00F849C3">
              <w:rPr>
                <w:sz w:val="16"/>
                <w:szCs w:val="16"/>
              </w:rPr>
              <w:t>Rozloha (ha) podporenej lesnej pôdy v území NATURA 2000 (prispieva k 4A) (12.2)</w:t>
            </w:r>
          </w:p>
        </w:tc>
        <w:tc>
          <w:tcPr>
            <w:tcW w:w="3190" w:type="dxa"/>
            <w:gridSpan w:val="3"/>
            <w:tcBorders>
              <w:top w:val="single" w:sz="4" w:space="0" w:color="auto"/>
              <w:left w:val="nil"/>
              <w:bottom w:val="single" w:sz="4" w:space="0" w:color="auto"/>
              <w:right w:val="single" w:sz="8" w:space="0" w:color="000000"/>
            </w:tcBorders>
            <w:shd w:val="clear" w:color="000000" w:fill="FFFFFF"/>
            <w:noWrap/>
            <w:vAlign w:val="center"/>
          </w:tcPr>
          <w:p w:rsidR="00255E13" w:rsidRPr="00F849C3" w:rsidRDefault="00255E13" w:rsidP="00895B36">
            <w:pPr>
              <w:jc w:val="right"/>
              <w:rPr>
                <w:sz w:val="20"/>
                <w:szCs w:val="20"/>
              </w:rPr>
            </w:pPr>
            <w:r w:rsidRPr="00F849C3">
              <w:rPr>
                <w:sz w:val="20"/>
                <w:szCs w:val="20"/>
              </w:rPr>
              <w:t xml:space="preserve">                                         30 000 </w:t>
            </w:r>
          </w:p>
        </w:tc>
      </w:tr>
      <w:tr w:rsidR="00255E13" w:rsidRPr="00F849C3" w:rsidTr="00895B36">
        <w:trPr>
          <w:trHeight w:val="345"/>
        </w:trPr>
        <w:tc>
          <w:tcPr>
            <w:tcW w:w="1440" w:type="dxa"/>
            <w:vMerge/>
            <w:tcBorders>
              <w:top w:val="single" w:sz="4" w:space="0" w:color="auto"/>
              <w:left w:val="single" w:sz="8" w:space="0" w:color="000000"/>
              <w:bottom w:val="single" w:sz="4" w:space="0" w:color="000000"/>
              <w:right w:val="single" w:sz="4" w:space="0" w:color="auto"/>
            </w:tcBorders>
            <w:vAlign w:val="center"/>
          </w:tcPr>
          <w:p w:rsidR="00255E13" w:rsidRPr="00F849C3" w:rsidRDefault="00255E13" w:rsidP="00895B36">
            <w:pPr>
              <w:rPr>
                <w:b/>
                <w:bCs/>
                <w:sz w:val="16"/>
                <w:szCs w:val="16"/>
              </w:rPr>
            </w:pPr>
          </w:p>
        </w:tc>
        <w:tc>
          <w:tcPr>
            <w:tcW w:w="10530" w:type="dxa"/>
            <w:gridSpan w:val="9"/>
            <w:tcBorders>
              <w:top w:val="single" w:sz="4" w:space="0" w:color="auto"/>
              <w:left w:val="nil"/>
              <w:bottom w:val="single" w:sz="4" w:space="0" w:color="auto"/>
              <w:right w:val="single" w:sz="4" w:space="0" w:color="auto"/>
            </w:tcBorders>
            <w:shd w:val="clear" w:color="000000" w:fill="FFFFFF"/>
            <w:vAlign w:val="center"/>
          </w:tcPr>
          <w:p w:rsidR="00255E13" w:rsidRPr="00F849C3" w:rsidRDefault="00255E13" w:rsidP="00895B36">
            <w:pPr>
              <w:rPr>
                <w:sz w:val="16"/>
                <w:szCs w:val="16"/>
              </w:rPr>
            </w:pPr>
            <w:r w:rsidRPr="00F849C3">
              <w:rPr>
                <w:sz w:val="16"/>
                <w:szCs w:val="16"/>
              </w:rPr>
              <w:t>Celkové verejné výdavky (€)</w:t>
            </w:r>
          </w:p>
        </w:tc>
        <w:tc>
          <w:tcPr>
            <w:tcW w:w="3190" w:type="dxa"/>
            <w:gridSpan w:val="3"/>
            <w:tcBorders>
              <w:top w:val="single" w:sz="4" w:space="0" w:color="auto"/>
              <w:left w:val="nil"/>
              <w:bottom w:val="single" w:sz="4" w:space="0" w:color="auto"/>
              <w:right w:val="single" w:sz="8" w:space="0" w:color="000000"/>
            </w:tcBorders>
            <w:shd w:val="clear" w:color="000000" w:fill="FFFFFF"/>
            <w:noWrap/>
            <w:vAlign w:val="center"/>
          </w:tcPr>
          <w:p w:rsidR="00255E13" w:rsidRPr="00F849C3" w:rsidRDefault="00255E13" w:rsidP="00895B36">
            <w:pPr>
              <w:jc w:val="right"/>
              <w:rPr>
                <w:sz w:val="20"/>
                <w:szCs w:val="20"/>
              </w:rPr>
            </w:pPr>
            <w:r w:rsidRPr="00F849C3">
              <w:rPr>
                <w:sz w:val="20"/>
                <w:szCs w:val="20"/>
              </w:rPr>
              <w:t xml:space="preserve">                                7 200 000,00 </w:t>
            </w:r>
          </w:p>
        </w:tc>
      </w:tr>
      <w:tr w:rsidR="00255E13" w:rsidRPr="00F849C3" w:rsidTr="00895B36">
        <w:trPr>
          <w:trHeight w:val="540"/>
        </w:trPr>
        <w:tc>
          <w:tcPr>
            <w:tcW w:w="1440" w:type="dxa"/>
            <w:vMerge w:val="restart"/>
            <w:tcBorders>
              <w:top w:val="nil"/>
              <w:left w:val="single" w:sz="8" w:space="0" w:color="000000"/>
              <w:bottom w:val="single" w:sz="4" w:space="0" w:color="000000"/>
              <w:right w:val="single" w:sz="4" w:space="0" w:color="auto"/>
            </w:tcBorders>
            <w:shd w:val="clear" w:color="000000" w:fill="FFFFFF"/>
            <w:vAlign w:val="center"/>
          </w:tcPr>
          <w:p w:rsidR="00255E13" w:rsidRPr="00F849C3" w:rsidRDefault="00255E13" w:rsidP="00895B36">
            <w:pPr>
              <w:jc w:val="center"/>
              <w:rPr>
                <w:b/>
                <w:bCs/>
                <w:sz w:val="16"/>
                <w:szCs w:val="16"/>
              </w:rPr>
            </w:pPr>
            <w:r>
              <w:rPr>
                <w:b/>
                <w:bCs/>
                <w:sz w:val="16"/>
                <w:szCs w:val="16"/>
              </w:rPr>
              <w:t>8 (21</w:t>
            </w:r>
            <w:r w:rsidRPr="00F849C3">
              <w:rPr>
                <w:b/>
                <w:bCs/>
                <w:sz w:val="16"/>
                <w:szCs w:val="16"/>
              </w:rPr>
              <w:t>)</w:t>
            </w:r>
          </w:p>
        </w:tc>
        <w:tc>
          <w:tcPr>
            <w:tcW w:w="10530" w:type="dxa"/>
            <w:gridSpan w:val="9"/>
            <w:tcBorders>
              <w:top w:val="single" w:sz="4" w:space="0" w:color="auto"/>
              <w:left w:val="nil"/>
              <w:bottom w:val="single" w:sz="4" w:space="0" w:color="auto"/>
              <w:right w:val="single" w:sz="4" w:space="0" w:color="auto"/>
            </w:tcBorders>
            <w:shd w:val="clear" w:color="auto" w:fill="FFFFFF" w:themeFill="background1"/>
            <w:vAlign w:val="center"/>
          </w:tcPr>
          <w:p w:rsidR="00255E13" w:rsidRPr="00F849C3" w:rsidRDefault="00255E13" w:rsidP="00895B36">
            <w:pPr>
              <w:rPr>
                <w:sz w:val="16"/>
                <w:szCs w:val="16"/>
              </w:rPr>
            </w:pPr>
            <w:r w:rsidRPr="00F849C3">
              <w:rPr>
                <w:sz w:val="16"/>
                <w:szCs w:val="16"/>
              </w:rPr>
              <w:t>Rozloha obnovených lesov poškodených požiarmi a inými prírodnými katastrofami vrátane škodcov, chorôb a katastrofických udalostí a javov súvisiacich so zmenou k</w:t>
            </w:r>
            <w:r>
              <w:rPr>
                <w:sz w:val="16"/>
                <w:szCs w:val="16"/>
              </w:rPr>
              <w:t>límy (prispieva 4A, 4B, 4C) (8.4</w:t>
            </w:r>
            <w:r w:rsidRPr="00F849C3">
              <w:rPr>
                <w:sz w:val="16"/>
                <w:szCs w:val="16"/>
              </w:rPr>
              <w:t>)</w:t>
            </w:r>
          </w:p>
        </w:tc>
        <w:tc>
          <w:tcPr>
            <w:tcW w:w="3190" w:type="dxa"/>
            <w:gridSpan w:val="3"/>
            <w:tcBorders>
              <w:top w:val="single" w:sz="4" w:space="0" w:color="auto"/>
              <w:left w:val="nil"/>
              <w:bottom w:val="single" w:sz="4" w:space="0" w:color="auto"/>
              <w:right w:val="single" w:sz="8" w:space="0" w:color="000000"/>
            </w:tcBorders>
            <w:shd w:val="clear" w:color="auto" w:fill="FFFFFF" w:themeFill="background1"/>
            <w:noWrap/>
            <w:vAlign w:val="center"/>
          </w:tcPr>
          <w:p w:rsidR="00255E13" w:rsidRPr="00F849C3" w:rsidRDefault="00255E13" w:rsidP="00895B36">
            <w:pPr>
              <w:jc w:val="right"/>
              <w:rPr>
                <w:sz w:val="20"/>
                <w:szCs w:val="20"/>
              </w:rPr>
            </w:pPr>
            <w:r w:rsidRPr="00F849C3">
              <w:rPr>
                <w:sz w:val="20"/>
                <w:szCs w:val="20"/>
              </w:rPr>
              <w:t xml:space="preserve">          </w:t>
            </w:r>
            <w:r>
              <w:rPr>
                <w:sz w:val="20"/>
                <w:szCs w:val="20"/>
              </w:rPr>
              <w:t xml:space="preserve">                               2</w:t>
            </w:r>
            <w:r w:rsidRPr="00F849C3">
              <w:rPr>
                <w:sz w:val="20"/>
                <w:szCs w:val="20"/>
              </w:rPr>
              <w:t xml:space="preserve">0 000 </w:t>
            </w:r>
          </w:p>
        </w:tc>
      </w:tr>
      <w:tr w:rsidR="00255E13" w:rsidRPr="00F849C3" w:rsidTr="00895B36">
        <w:trPr>
          <w:trHeight w:val="405"/>
        </w:trPr>
        <w:tc>
          <w:tcPr>
            <w:tcW w:w="1440" w:type="dxa"/>
            <w:vMerge/>
            <w:tcBorders>
              <w:top w:val="nil"/>
              <w:left w:val="single" w:sz="8" w:space="0" w:color="000000"/>
              <w:bottom w:val="single" w:sz="4" w:space="0" w:color="000000"/>
              <w:right w:val="single" w:sz="4" w:space="0" w:color="auto"/>
            </w:tcBorders>
            <w:vAlign w:val="center"/>
          </w:tcPr>
          <w:p w:rsidR="00255E13" w:rsidRPr="00F849C3" w:rsidRDefault="00255E13" w:rsidP="00895B36">
            <w:pPr>
              <w:rPr>
                <w:b/>
                <w:bCs/>
                <w:sz w:val="16"/>
                <w:szCs w:val="16"/>
              </w:rPr>
            </w:pPr>
          </w:p>
        </w:tc>
        <w:tc>
          <w:tcPr>
            <w:tcW w:w="10530" w:type="dxa"/>
            <w:gridSpan w:val="9"/>
            <w:tcBorders>
              <w:top w:val="single" w:sz="4" w:space="0" w:color="auto"/>
              <w:left w:val="nil"/>
              <w:bottom w:val="single" w:sz="4" w:space="0" w:color="auto"/>
              <w:right w:val="single" w:sz="4" w:space="0" w:color="000000"/>
            </w:tcBorders>
            <w:shd w:val="clear" w:color="auto" w:fill="FFFFFF" w:themeFill="background1"/>
            <w:vAlign w:val="center"/>
          </w:tcPr>
          <w:p w:rsidR="00255E13" w:rsidRPr="00F849C3" w:rsidRDefault="00255E13" w:rsidP="00895B36">
            <w:pPr>
              <w:rPr>
                <w:sz w:val="16"/>
                <w:szCs w:val="16"/>
              </w:rPr>
            </w:pPr>
            <w:r w:rsidRPr="00F849C3">
              <w:rPr>
                <w:sz w:val="16"/>
                <w:szCs w:val="16"/>
              </w:rPr>
              <w:t>Počet projektov zameraných na obnovu lesa poškodených požiarmi a inými prírodnými katastrofami</w:t>
            </w:r>
            <w:r>
              <w:rPr>
                <w:sz w:val="16"/>
                <w:szCs w:val="16"/>
              </w:rPr>
              <w:t xml:space="preserve"> (8.4)</w:t>
            </w:r>
          </w:p>
        </w:tc>
        <w:tc>
          <w:tcPr>
            <w:tcW w:w="3190" w:type="dxa"/>
            <w:gridSpan w:val="3"/>
            <w:tcBorders>
              <w:top w:val="single" w:sz="4" w:space="0" w:color="auto"/>
              <w:left w:val="nil"/>
              <w:bottom w:val="single" w:sz="4" w:space="0" w:color="auto"/>
              <w:right w:val="single" w:sz="8" w:space="0" w:color="000000"/>
            </w:tcBorders>
            <w:shd w:val="clear" w:color="auto" w:fill="FFFFFF" w:themeFill="background1"/>
            <w:noWrap/>
            <w:vAlign w:val="center"/>
          </w:tcPr>
          <w:p w:rsidR="00255E13" w:rsidRPr="00F849C3" w:rsidRDefault="00255E13" w:rsidP="00895B36">
            <w:pPr>
              <w:jc w:val="right"/>
              <w:rPr>
                <w:sz w:val="20"/>
                <w:szCs w:val="20"/>
              </w:rPr>
            </w:pPr>
            <w:r w:rsidRPr="00F849C3">
              <w:rPr>
                <w:sz w:val="20"/>
                <w:szCs w:val="20"/>
              </w:rPr>
              <w:t xml:space="preserve">                                               40 </w:t>
            </w:r>
          </w:p>
        </w:tc>
      </w:tr>
      <w:tr w:rsidR="00255E13" w:rsidRPr="00F849C3" w:rsidTr="00895B36">
        <w:trPr>
          <w:trHeight w:val="405"/>
        </w:trPr>
        <w:tc>
          <w:tcPr>
            <w:tcW w:w="1440" w:type="dxa"/>
            <w:vMerge/>
            <w:tcBorders>
              <w:top w:val="nil"/>
              <w:left w:val="single" w:sz="8" w:space="0" w:color="000000"/>
              <w:bottom w:val="single" w:sz="4" w:space="0" w:color="000000"/>
              <w:right w:val="single" w:sz="4" w:space="0" w:color="auto"/>
            </w:tcBorders>
            <w:vAlign w:val="center"/>
          </w:tcPr>
          <w:p w:rsidR="00255E13" w:rsidRPr="00F849C3" w:rsidRDefault="00255E13" w:rsidP="00895B36">
            <w:pPr>
              <w:rPr>
                <w:b/>
                <w:bCs/>
                <w:sz w:val="16"/>
                <w:szCs w:val="16"/>
              </w:rPr>
            </w:pPr>
          </w:p>
        </w:tc>
        <w:tc>
          <w:tcPr>
            <w:tcW w:w="10530" w:type="dxa"/>
            <w:gridSpan w:val="9"/>
            <w:tcBorders>
              <w:top w:val="single" w:sz="4" w:space="0" w:color="auto"/>
              <w:left w:val="nil"/>
              <w:bottom w:val="single" w:sz="4" w:space="0" w:color="auto"/>
              <w:right w:val="single" w:sz="4" w:space="0" w:color="000000"/>
            </w:tcBorders>
            <w:shd w:val="clear" w:color="auto" w:fill="FFFFFF" w:themeFill="background1"/>
            <w:vAlign w:val="center"/>
          </w:tcPr>
          <w:p w:rsidR="00255E13" w:rsidRPr="00F849C3" w:rsidRDefault="00255E13" w:rsidP="00895B36">
            <w:pPr>
              <w:rPr>
                <w:sz w:val="16"/>
                <w:szCs w:val="16"/>
              </w:rPr>
            </w:pPr>
            <w:r w:rsidRPr="00F849C3">
              <w:rPr>
                <w:sz w:val="16"/>
                <w:szCs w:val="16"/>
              </w:rPr>
              <w:t>Dĺžka upravených malých vodných tokov (km)</w:t>
            </w:r>
            <w:r>
              <w:rPr>
                <w:sz w:val="16"/>
                <w:szCs w:val="16"/>
              </w:rPr>
              <w:t xml:space="preserve"> (8.4)</w:t>
            </w:r>
          </w:p>
        </w:tc>
        <w:tc>
          <w:tcPr>
            <w:tcW w:w="3190" w:type="dxa"/>
            <w:gridSpan w:val="3"/>
            <w:tcBorders>
              <w:top w:val="single" w:sz="4" w:space="0" w:color="auto"/>
              <w:left w:val="nil"/>
              <w:bottom w:val="single" w:sz="4" w:space="0" w:color="auto"/>
              <w:right w:val="single" w:sz="8" w:space="0" w:color="000000"/>
            </w:tcBorders>
            <w:shd w:val="clear" w:color="auto" w:fill="FFFFFF" w:themeFill="background1"/>
            <w:noWrap/>
            <w:vAlign w:val="center"/>
          </w:tcPr>
          <w:p w:rsidR="00255E13" w:rsidRPr="00F849C3" w:rsidRDefault="00255E13" w:rsidP="00895B36">
            <w:pPr>
              <w:jc w:val="right"/>
              <w:rPr>
                <w:sz w:val="20"/>
                <w:szCs w:val="20"/>
              </w:rPr>
            </w:pPr>
            <w:r w:rsidRPr="00F849C3">
              <w:rPr>
                <w:sz w:val="20"/>
                <w:szCs w:val="20"/>
              </w:rPr>
              <w:t xml:space="preserve">                                    18 000</w:t>
            </w:r>
          </w:p>
        </w:tc>
      </w:tr>
      <w:tr w:rsidR="00255E13" w:rsidRPr="00F849C3" w:rsidTr="00895B36">
        <w:trPr>
          <w:trHeight w:val="435"/>
        </w:trPr>
        <w:tc>
          <w:tcPr>
            <w:tcW w:w="1440" w:type="dxa"/>
            <w:vMerge/>
            <w:tcBorders>
              <w:top w:val="nil"/>
              <w:left w:val="single" w:sz="8" w:space="0" w:color="000000"/>
              <w:bottom w:val="single" w:sz="4" w:space="0" w:color="000000"/>
              <w:right w:val="single" w:sz="4" w:space="0" w:color="auto"/>
            </w:tcBorders>
            <w:vAlign w:val="center"/>
          </w:tcPr>
          <w:p w:rsidR="00255E13" w:rsidRPr="00F849C3" w:rsidRDefault="00255E13" w:rsidP="00895B36">
            <w:pPr>
              <w:rPr>
                <w:b/>
                <w:bCs/>
                <w:sz w:val="16"/>
                <w:szCs w:val="16"/>
              </w:rPr>
            </w:pPr>
          </w:p>
        </w:tc>
        <w:tc>
          <w:tcPr>
            <w:tcW w:w="10530" w:type="dxa"/>
            <w:gridSpan w:val="9"/>
            <w:tcBorders>
              <w:top w:val="single" w:sz="4" w:space="0" w:color="auto"/>
              <w:left w:val="nil"/>
              <w:bottom w:val="single" w:sz="4" w:space="0" w:color="auto"/>
              <w:right w:val="single" w:sz="4" w:space="0" w:color="000000"/>
            </w:tcBorders>
            <w:shd w:val="clear" w:color="auto" w:fill="FFFFFF" w:themeFill="background1"/>
            <w:vAlign w:val="center"/>
          </w:tcPr>
          <w:p w:rsidR="00255E13" w:rsidRPr="00F849C3" w:rsidRDefault="00255E13" w:rsidP="00895B36">
            <w:pPr>
              <w:rPr>
                <w:sz w:val="16"/>
                <w:szCs w:val="16"/>
              </w:rPr>
            </w:pPr>
            <w:r w:rsidRPr="00F849C3">
              <w:rPr>
                <w:sz w:val="16"/>
                <w:szCs w:val="16"/>
              </w:rPr>
              <w:t>Počet projektov zameraných na malé vodné toky</w:t>
            </w:r>
            <w:r>
              <w:rPr>
                <w:sz w:val="16"/>
                <w:szCs w:val="16"/>
              </w:rPr>
              <w:t xml:space="preserve"> (8.4)</w:t>
            </w:r>
          </w:p>
        </w:tc>
        <w:tc>
          <w:tcPr>
            <w:tcW w:w="3190" w:type="dxa"/>
            <w:gridSpan w:val="3"/>
            <w:tcBorders>
              <w:top w:val="single" w:sz="4" w:space="0" w:color="auto"/>
              <w:left w:val="nil"/>
              <w:bottom w:val="single" w:sz="4" w:space="0" w:color="auto"/>
              <w:right w:val="single" w:sz="8" w:space="0" w:color="000000"/>
            </w:tcBorders>
            <w:shd w:val="clear" w:color="auto" w:fill="FFFFFF" w:themeFill="background1"/>
            <w:noWrap/>
            <w:vAlign w:val="center"/>
          </w:tcPr>
          <w:p w:rsidR="00255E13" w:rsidRPr="00F849C3" w:rsidRDefault="00255E13" w:rsidP="00895B36">
            <w:pPr>
              <w:jc w:val="right"/>
              <w:rPr>
                <w:sz w:val="20"/>
                <w:szCs w:val="20"/>
              </w:rPr>
            </w:pPr>
            <w:r w:rsidRPr="00F849C3">
              <w:rPr>
                <w:sz w:val="20"/>
                <w:szCs w:val="20"/>
              </w:rPr>
              <w:t xml:space="preserve">                                               25 </w:t>
            </w:r>
          </w:p>
        </w:tc>
      </w:tr>
      <w:tr w:rsidR="00255E13" w:rsidRPr="00F849C3" w:rsidTr="00895B36">
        <w:trPr>
          <w:trHeight w:val="450"/>
        </w:trPr>
        <w:tc>
          <w:tcPr>
            <w:tcW w:w="1440" w:type="dxa"/>
            <w:vMerge/>
            <w:tcBorders>
              <w:top w:val="nil"/>
              <w:left w:val="single" w:sz="8" w:space="0" w:color="000000"/>
              <w:bottom w:val="single" w:sz="4" w:space="0" w:color="000000"/>
              <w:right w:val="single" w:sz="4" w:space="0" w:color="auto"/>
            </w:tcBorders>
            <w:vAlign w:val="center"/>
          </w:tcPr>
          <w:p w:rsidR="00255E13" w:rsidRPr="00F849C3" w:rsidRDefault="00255E13" w:rsidP="00895B36">
            <w:pPr>
              <w:rPr>
                <w:b/>
                <w:bCs/>
                <w:sz w:val="16"/>
                <w:szCs w:val="16"/>
              </w:rPr>
            </w:pPr>
          </w:p>
        </w:tc>
        <w:tc>
          <w:tcPr>
            <w:tcW w:w="10530" w:type="dxa"/>
            <w:gridSpan w:val="9"/>
            <w:tcBorders>
              <w:top w:val="single" w:sz="4" w:space="0" w:color="auto"/>
              <w:left w:val="nil"/>
              <w:bottom w:val="single" w:sz="4" w:space="0" w:color="auto"/>
              <w:right w:val="single" w:sz="4" w:space="0" w:color="000000"/>
            </w:tcBorders>
            <w:shd w:val="clear" w:color="auto" w:fill="FFFFFF" w:themeFill="background1"/>
            <w:vAlign w:val="center"/>
          </w:tcPr>
          <w:p w:rsidR="00255E13" w:rsidRPr="00F849C3" w:rsidRDefault="00255E13" w:rsidP="00895B36">
            <w:pPr>
              <w:rPr>
                <w:sz w:val="16"/>
                <w:szCs w:val="16"/>
              </w:rPr>
            </w:pPr>
            <w:r w:rsidRPr="00F849C3">
              <w:rPr>
                <w:sz w:val="16"/>
                <w:szCs w:val="16"/>
              </w:rPr>
              <w:t>Počet projektov preventívnych protipožiarny</w:t>
            </w:r>
            <w:r>
              <w:rPr>
                <w:sz w:val="16"/>
                <w:szCs w:val="16"/>
              </w:rPr>
              <w:t>ch opatrení, (prispieva 4B) (8.4</w:t>
            </w:r>
            <w:r w:rsidRPr="00F849C3">
              <w:rPr>
                <w:sz w:val="16"/>
                <w:szCs w:val="16"/>
              </w:rPr>
              <w:t>)</w:t>
            </w:r>
          </w:p>
        </w:tc>
        <w:tc>
          <w:tcPr>
            <w:tcW w:w="3190" w:type="dxa"/>
            <w:gridSpan w:val="3"/>
            <w:tcBorders>
              <w:top w:val="single" w:sz="4" w:space="0" w:color="auto"/>
              <w:left w:val="nil"/>
              <w:bottom w:val="single" w:sz="4" w:space="0" w:color="auto"/>
              <w:right w:val="single" w:sz="8" w:space="0" w:color="000000"/>
            </w:tcBorders>
            <w:shd w:val="clear" w:color="auto" w:fill="FFFFFF" w:themeFill="background1"/>
            <w:noWrap/>
            <w:vAlign w:val="center"/>
          </w:tcPr>
          <w:p w:rsidR="00255E13" w:rsidRPr="00F849C3" w:rsidRDefault="00255E13" w:rsidP="00895B36">
            <w:pPr>
              <w:jc w:val="right"/>
              <w:rPr>
                <w:sz w:val="20"/>
                <w:szCs w:val="20"/>
              </w:rPr>
            </w:pPr>
            <w:r w:rsidRPr="00F849C3">
              <w:rPr>
                <w:sz w:val="20"/>
                <w:szCs w:val="20"/>
              </w:rPr>
              <w:t xml:space="preserve">                                               10 </w:t>
            </w:r>
          </w:p>
        </w:tc>
      </w:tr>
      <w:tr w:rsidR="00255E13" w:rsidRPr="00F849C3" w:rsidTr="00895B36">
        <w:trPr>
          <w:trHeight w:val="390"/>
        </w:trPr>
        <w:tc>
          <w:tcPr>
            <w:tcW w:w="1440" w:type="dxa"/>
            <w:vMerge/>
            <w:tcBorders>
              <w:top w:val="nil"/>
              <w:left w:val="single" w:sz="8" w:space="0" w:color="000000"/>
              <w:bottom w:val="single" w:sz="4" w:space="0" w:color="000000"/>
              <w:right w:val="single" w:sz="4" w:space="0" w:color="auto"/>
            </w:tcBorders>
            <w:vAlign w:val="center"/>
          </w:tcPr>
          <w:p w:rsidR="00255E13" w:rsidRPr="00F849C3" w:rsidRDefault="00255E13" w:rsidP="00895B36">
            <w:pPr>
              <w:rPr>
                <w:b/>
                <w:bCs/>
                <w:sz w:val="16"/>
                <w:szCs w:val="16"/>
              </w:rPr>
            </w:pPr>
          </w:p>
        </w:tc>
        <w:tc>
          <w:tcPr>
            <w:tcW w:w="10530" w:type="dxa"/>
            <w:gridSpan w:val="9"/>
            <w:tcBorders>
              <w:top w:val="single" w:sz="4" w:space="0" w:color="auto"/>
              <w:left w:val="nil"/>
              <w:bottom w:val="single" w:sz="4" w:space="0" w:color="auto"/>
              <w:right w:val="single" w:sz="4" w:space="0" w:color="000000"/>
            </w:tcBorders>
            <w:shd w:val="clear" w:color="auto" w:fill="FFFFFF" w:themeFill="background1"/>
            <w:vAlign w:val="center"/>
          </w:tcPr>
          <w:p w:rsidR="00255E13" w:rsidRPr="00F849C3" w:rsidRDefault="00255E13" w:rsidP="00255E13">
            <w:pPr>
              <w:jc w:val="left"/>
              <w:rPr>
                <w:sz w:val="16"/>
                <w:szCs w:val="16"/>
              </w:rPr>
            </w:pPr>
            <w:r w:rsidRPr="00F849C3">
              <w:rPr>
                <w:sz w:val="16"/>
                <w:szCs w:val="16"/>
              </w:rPr>
              <w:t>Počet beneficie</w:t>
            </w:r>
            <w:r>
              <w:rPr>
                <w:sz w:val="16"/>
                <w:szCs w:val="16"/>
              </w:rPr>
              <w:t>ntov preventívnych činností (8.4</w:t>
            </w:r>
            <w:r w:rsidRPr="00F849C3">
              <w:rPr>
                <w:sz w:val="16"/>
                <w:szCs w:val="16"/>
              </w:rPr>
              <w:t>)</w:t>
            </w:r>
          </w:p>
        </w:tc>
        <w:tc>
          <w:tcPr>
            <w:tcW w:w="3190" w:type="dxa"/>
            <w:gridSpan w:val="3"/>
            <w:tcBorders>
              <w:top w:val="single" w:sz="4" w:space="0" w:color="auto"/>
              <w:left w:val="nil"/>
              <w:bottom w:val="single" w:sz="4" w:space="0" w:color="auto"/>
              <w:right w:val="single" w:sz="8" w:space="0" w:color="000000"/>
            </w:tcBorders>
            <w:shd w:val="clear" w:color="auto" w:fill="FFFFFF" w:themeFill="background1"/>
            <w:noWrap/>
            <w:vAlign w:val="center"/>
          </w:tcPr>
          <w:p w:rsidR="00255E13" w:rsidRPr="00F849C3" w:rsidRDefault="00255E13" w:rsidP="00895B36">
            <w:pPr>
              <w:jc w:val="right"/>
              <w:rPr>
                <w:sz w:val="20"/>
                <w:szCs w:val="20"/>
              </w:rPr>
            </w:pPr>
            <w:r w:rsidRPr="00F849C3">
              <w:rPr>
                <w:sz w:val="20"/>
                <w:szCs w:val="20"/>
              </w:rPr>
              <w:t xml:space="preserve">                                             150 </w:t>
            </w:r>
          </w:p>
        </w:tc>
      </w:tr>
      <w:tr w:rsidR="00255E13" w:rsidRPr="00F849C3" w:rsidTr="00895B36">
        <w:trPr>
          <w:trHeight w:val="390"/>
        </w:trPr>
        <w:tc>
          <w:tcPr>
            <w:tcW w:w="1440" w:type="dxa"/>
            <w:vMerge/>
            <w:tcBorders>
              <w:top w:val="nil"/>
              <w:left w:val="single" w:sz="8" w:space="0" w:color="000000"/>
              <w:bottom w:val="single" w:sz="4" w:space="0" w:color="000000"/>
              <w:right w:val="single" w:sz="4" w:space="0" w:color="auto"/>
            </w:tcBorders>
            <w:vAlign w:val="center"/>
          </w:tcPr>
          <w:p w:rsidR="00255E13" w:rsidRPr="00F849C3" w:rsidRDefault="00255E13" w:rsidP="00895B36">
            <w:pPr>
              <w:rPr>
                <w:b/>
                <w:bCs/>
                <w:sz w:val="16"/>
                <w:szCs w:val="16"/>
              </w:rPr>
            </w:pPr>
          </w:p>
        </w:tc>
        <w:tc>
          <w:tcPr>
            <w:tcW w:w="10530" w:type="dxa"/>
            <w:gridSpan w:val="9"/>
            <w:tcBorders>
              <w:top w:val="single" w:sz="4" w:space="0" w:color="auto"/>
              <w:left w:val="nil"/>
              <w:bottom w:val="single" w:sz="4" w:space="0" w:color="auto"/>
              <w:right w:val="single" w:sz="4" w:space="0" w:color="000000"/>
            </w:tcBorders>
            <w:shd w:val="clear" w:color="auto" w:fill="FFFFFF" w:themeFill="background1"/>
            <w:vAlign w:val="center"/>
          </w:tcPr>
          <w:p w:rsidR="00255E13" w:rsidRPr="00F849C3" w:rsidRDefault="00255E13" w:rsidP="00255E13">
            <w:pPr>
              <w:jc w:val="left"/>
              <w:rPr>
                <w:sz w:val="16"/>
                <w:szCs w:val="16"/>
              </w:rPr>
            </w:pPr>
            <w:r w:rsidRPr="00F849C3">
              <w:rPr>
                <w:sz w:val="16"/>
                <w:szCs w:val="16"/>
              </w:rPr>
              <w:t>Počet operácií (investície zlepšujúce odolnosť a hodnotu l</w:t>
            </w:r>
            <w:r>
              <w:rPr>
                <w:sz w:val="16"/>
                <w:szCs w:val="16"/>
              </w:rPr>
              <w:t>esných ekosystémov) (8.5</w:t>
            </w:r>
            <w:r w:rsidRPr="00F849C3">
              <w:rPr>
                <w:sz w:val="16"/>
                <w:szCs w:val="16"/>
              </w:rPr>
              <w:t>)</w:t>
            </w:r>
          </w:p>
        </w:tc>
        <w:tc>
          <w:tcPr>
            <w:tcW w:w="3190" w:type="dxa"/>
            <w:gridSpan w:val="3"/>
            <w:tcBorders>
              <w:top w:val="single" w:sz="4" w:space="0" w:color="auto"/>
              <w:left w:val="nil"/>
              <w:bottom w:val="single" w:sz="4" w:space="0" w:color="auto"/>
              <w:right w:val="single" w:sz="8" w:space="0" w:color="000000"/>
            </w:tcBorders>
            <w:shd w:val="clear" w:color="auto" w:fill="FFFFFF" w:themeFill="background1"/>
            <w:noWrap/>
            <w:vAlign w:val="center"/>
          </w:tcPr>
          <w:p w:rsidR="00255E13" w:rsidRPr="00255E13" w:rsidRDefault="00255E13" w:rsidP="00895B36">
            <w:pPr>
              <w:jc w:val="right"/>
              <w:rPr>
                <w:sz w:val="20"/>
                <w:szCs w:val="20"/>
              </w:rPr>
            </w:pPr>
            <w:r w:rsidRPr="00255E13">
              <w:rPr>
                <w:sz w:val="20"/>
                <w:szCs w:val="20"/>
              </w:rPr>
              <w:t>90</w:t>
            </w:r>
          </w:p>
        </w:tc>
      </w:tr>
      <w:tr w:rsidR="00255E13" w:rsidRPr="00F849C3" w:rsidTr="00895B36">
        <w:trPr>
          <w:trHeight w:val="450"/>
        </w:trPr>
        <w:tc>
          <w:tcPr>
            <w:tcW w:w="1440" w:type="dxa"/>
            <w:vMerge/>
            <w:tcBorders>
              <w:top w:val="nil"/>
              <w:left w:val="single" w:sz="8" w:space="0" w:color="000000"/>
              <w:bottom w:val="single" w:sz="4" w:space="0" w:color="000000"/>
              <w:right w:val="single" w:sz="4" w:space="0" w:color="auto"/>
            </w:tcBorders>
            <w:vAlign w:val="center"/>
          </w:tcPr>
          <w:p w:rsidR="00255E13" w:rsidRPr="00F849C3" w:rsidRDefault="00255E13" w:rsidP="00895B36">
            <w:pPr>
              <w:rPr>
                <w:b/>
                <w:bCs/>
                <w:sz w:val="16"/>
                <w:szCs w:val="16"/>
              </w:rPr>
            </w:pPr>
          </w:p>
        </w:tc>
        <w:tc>
          <w:tcPr>
            <w:tcW w:w="10530" w:type="dxa"/>
            <w:gridSpan w:val="9"/>
            <w:tcBorders>
              <w:top w:val="single" w:sz="4" w:space="0" w:color="auto"/>
              <w:left w:val="nil"/>
              <w:bottom w:val="single" w:sz="4" w:space="0" w:color="auto"/>
              <w:right w:val="single" w:sz="4" w:space="0" w:color="auto"/>
            </w:tcBorders>
            <w:shd w:val="clear" w:color="auto" w:fill="FFFFFF" w:themeFill="background1"/>
            <w:vAlign w:val="center"/>
          </w:tcPr>
          <w:p w:rsidR="00255E13" w:rsidRPr="00F849C3" w:rsidRDefault="00255E13" w:rsidP="00255E13">
            <w:pPr>
              <w:jc w:val="left"/>
              <w:rPr>
                <w:sz w:val="16"/>
                <w:szCs w:val="16"/>
              </w:rPr>
            </w:pPr>
            <w:r w:rsidRPr="00F849C3">
              <w:rPr>
                <w:sz w:val="16"/>
                <w:szCs w:val="16"/>
              </w:rPr>
              <w:t xml:space="preserve">Rozloha lesov týkajúca sa investícií, ktoré zlepšujú odolnosť a </w:t>
            </w:r>
            <w:r>
              <w:rPr>
                <w:sz w:val="16"/>
                <w:szCs w:val="16"/>
              </w:rPr>
              <w:t>hodnotu lesných ekosystémov (8.5</w:t>
            </w:r>
            <w:r w:rsidRPr="00F849C3">
              <w:rPr>
                <w:sz w:val="16"/>
                <w:szCs w:val="16"/>
              </w:rPr>
              <w:t>)</w:t>
            </w:r>
          </w:p>
        </w:tc>
        <w:tc>
          <w:tcPr>
            <w:tcW w:w="3190" w:type="dxa"/>
            <w:gridSpan w:val="3"/>
            <w:tcBorders>
              <w:top w:val="single" w:sz="4" w:space="0" w:color="auto"/>
              <w:left w:val="nil"/>
              <w:bottom w:val="single" w:sz="4" w:space="0" w:color="auto"/>
              <w:right w:val="single" w:sz="8" w:space="0" w:color="000000"/>
            </w:tcBorders>
            <w:shd w:val="clear" w:color="auto" w:fill="FFFFFF" w:themeFill="background1"/>
            <w:noWrap/>
            <w:vAlign w:val="center"/>
          </w:tcPr>
          <w:p w:rsidR="00255E13" w:rsidRPr="00255E13" w:rsidRDefault="00255E13" w:rsidP="00895B36">
            <w:pPr>
              <w:jc w:val="right"/>
              <w:rPr>
                <w:sz w:val="20"/>
                <w:szCs w:val="20"/>
              </w:rPr>
            </w:pPr>
            <w:r w:rsidRPr="00255E13">
              <w:rPr>
                <w:sz w:val="20"/>
                <w:szCs w:val="20"/>
              </w:rPr>
              <w:t>840</w:t>
            </w:r>
          </w:p>
        </w:tc>
      </w:tr>
      <w:tr w:rsidR="00255E13" w:rsidRPr="00F849C3" w:rsidTr="00895B36">
        <w:trPr>
          <w:trHeight w:val="450"/>
        </w:trPr>
        <w:tc>
          <w:tcPr>
            <w:tcW w:w="1440" w:type="dxa"/>
            <w:vMerge w:val="restart"/>
            <w:tcBorders>
              <w:top w:val="nil"/>
              <w:left w:val="single" w:sz="8" w:space="0" w:color="000000"/>
              <w:right w:val="single" w:sz="4" w:space="0" w:color="auto"/>
            </w:tcBorders>
            <w:vAlign w:val="center"/>
          </w:tcPr>
          <w:p w:rsidR="00255E13" w:rsidRPr="00F849C3" w:rsidRDefault="00255E13" w:rsidP="00895B36">
            <w:pPr>
              <w:rPr>
                <w:b/>
                <w:bCs/>
                <w:sz w:val="16"/>
                <w:szCs w:val="16"/>
              </w:rPr>
            </w:pPr>
          </w:p>
        </w:tc>
        <w:tc>
          <w:tcPr>
            <w:tcW w:w="10530" w:type="dxa"/>
            <w:gridSpan w:val="9"/>
            <w:tcBorders>
              <w:top w:val="single" w:sz="4" w:space="0" w:color="auto"/>
              <w:left w:val="nil"/>
              <w:bottom w:val="single" w:sz="4" w:space="0" w:color="auto"/>
              <w:right w:val="single" w:sz="4" w:space="0" w:color="auto"/>
            </w:tcBorders>
            <w:shd w:val="clear" w:color="auto" w:fill="FFFFFF" w:themeFill="background1"/>
            <w:vAlign w:val="center"/>
          </w:tcPr>
          <w:p w:rsidR="00255E13" w:rsidRPr="00F849C3" w:rsidRDefault="00255E13" w:rsidP="00255E13">
            <w:pPr>
              <w:jc w:val="left"/>
              <w:rPr>
                <w:sz w:val="16"/>
                <w:szCs w:val="16"/>
              </w:rPr>
            </w:pPr>
            <w:r>
              <w:rPr>
                <w:sz w:val="16"/>
                <w:szCs w:val="16"/>
              </w:rPr>
              <w:t>Celkové verejné výdavky (8.5</w:t>
            </w:r>
            <w:r w:rsidRPr="00F849C3">
              <w:rPr>
                <w:sz w:val="16"/>
                <w:szCs w:val="16"/>
              </w:rPr>
              <w:t>)</w:t>
            </w:r>
          </w:p>
        </w:tc>
        <w:tc>
          <w:tcPr>
            <w:tcW w:w="3190" w:type="dxa"/>
            <w:gridSpan w:val="3"/>
            <w:tcBorders>
              <w:top w:val="single" w:sz="4" w:space="0" w:color="auto"/>
              <w:left w:val="nil"/>
              <w:bottom w:val="single" w:sz="4" w:space="0" w:color="auto"/>
              <w:right w:val="single" w:sz="8" w:space="0" w:color="000000"/>
            </w:tcBorders>
            <w:shd w:val="clear" w:color="auto" w:fill="FFFFFF" w:themeFill="background1"/>
            <w:noWrap/>
            <w:vAlign w:val="center"/>
          </w:tcPr>
          <w:p w:rsidR="00255E13" w:rsidRPr="00255E13" w:rsidRDefault="00255E13" w:rsidP="00895B36">
            <w:pPr>
              <w:jc w:val="right"/>
              <w:rPr>
                <w:sz w:val="20"/>
                <w:szCs w:val="20"/>
              </w:rPr>
            </w:pPr>
            <w:r w:rsidRPr="00255E13">
              <w:rPr>
                <w:sz w:val="20"/>
                <w:szCs w:val="20"/>
              </w:rPr>
              <w:t>5 000 000,00</w:t>
            </w:r>
          </w:p>
        </w:tc>
      </w:tr>
      <w:tr w:rsidR="00255E13" w:rsidRPr="00F849C3" w:rsidTr="00895B36">
        <w:trPr>
          <w:trHeight w:val="450"/>
        </w:trPr>
        <w:tc>
          <w:tcPr>
            <w:tcW w:w="1440" w:type="dxa"/>
            <w:vMerge/>
            <w:tcBorders>
              <w:left w:val="single" w:sz="8" w:space="0" w:color="000000"/>
              <w:bottom w:val="single" w:sz="4" w:space="0" w:color="000000"/>
              <w:right w:val="single" w:sz="4" w:space="0" w:color="auto"/>
            </w:tcBorders>
            <w:vAlign w:val="center"/>
          </w:tcPr>
          <w:p w:rsidR="00255E13" w:rsidRPr="00F849C3" w:rsidRDefault="00255E13" w:rsidP="00895B36">
            <w:pPr>
              <w:rPr>
                <w:b/>
                <w:bCs/>
                <w:sz w:val="16"/>
                <w:szCs w:val="16"/>
              </w:rPr>
            </w:pPr>
          </w:p>
        </w:tc>
        <w:tc>
          <w:tcPr>
            <w:tcW w:w="10530" w:type="dxa"/>
            <w:gridSpan w:val="9"/>
            <w:tcBorders>
              <w:top w:val="single" w:sz="4" w:space="0" w:color="auto"/>
              <w:left w:val="nil"/>
              <w:bottom w:val="single" w:sz="4" w:space="0" w:color="auto"/>
              <w:right w:val="single" w:sz="4" w:space="0" w:color="auto"/>
            </w:tcBorders>
            <w:shd w:val="clear" w:color="auto" w:fill="FFFFFF" w:themeFill="background1"/>
            <w:vAlign w:val="center"/>
          </w:tcPr>
          <w:p w:rsidR="00255E13" w:rsidRPr="00F849C3" w:rsidRDefault="00255E13" w:rsidP="00255E13">
            <w:pPr>
              <w:jc w:val="left"/>
              <w:rPr>
                <w:sz w:val="16"/>
                <w:szCs w:val="16"/>
              </w:rPr>
            </w:pPr>
            <w:r>
              <w:rPr>
                <w:sz w:val="16"/>
                <w:szCs w:val="16"/>
              </w:rPr>
              <w:t>Celkové verejné výdavky (€) (8.4</w:t>
            </w:r>
            <w:r w:rsidRPr="00F849C3">
              <w:rPr>
                <w:sz w:val="16"/>
                <w:szCs w:val="16"/>
              </w:rPr>
              <w:t>)</w:t>
            </w:r>
          </w:p>
        </w:tc>
        <w:tc>
          <w:tcPr>
            <w:tcW w:w="3190" w:type="dxa"/>
            <w:gridSpan w:val="3"/>
            <w:tcBorders>
              <w:top w:val="single" w:sz="4" w:space="0" w:color="auto"/>
              <w:left w:val="nil"/>
              <w:bottom w:val="single" w:sz="4" w:space="0" w:color="auto"/>
              <w:right w:val="single" w:sz="8" w:space="0" w:color="000000"/>
            </w:tcBorders>
            <w:shd w:val="clear" w:color="auto" w:fill="FFFFFF" w:themeFill="background1"/>
            <w:noWrap/>
            <w:vAlign w:val="center"/>
          </w:tcPr>
          <w:p w:rsidR="00255E13" w:rsidRPr="00255E13" w:rsidRDefault="00255E13" w:rsidP="00895B36">
            <w:pPr>
              <w:jc w:val="right"/>
              <w:rPr>
                <w:sz w:val="20"/>
                <w:szCs w:val="20"/>
              </w:rPr>
            </w:pPr>
            <w:r w:rsidRPr="00255E13">
              <w:rPr>
                <w:sz w:val="20"/>
                <w:szCs w:val="20"/>
              </w:rPr>
              <w:t xml:space="preserve">                            82 000 000,00 </w:t>
            </w:r>
          </w:p>
        </w:tc>
      </w:tr>
      <w:tr w:rsidR="00255E13" w:rsidRPr="002A134B" w:rsidTr="00895B36">
        <w:tblPrEx>
          <w:tblLook w:val="04A0" w:firstRow="1" w:lastRow="0" w:firstColumn="1" w:lastColumn="0" w:noHBand="0" w:noVBand="1"/>
        </w:tblPrEx>
        <w:trPr>
          <w:trHeight w:val="300"/>
        </w:trPr>
        <w:tc>
          <w:tcPr>
            <w:tcW w:w="1440" w:type="dxa"/>
            <w:vMerge w:val="restart"/>
            <w:tcBorders>
              <w:top w:val="nil"/>
              <w:left w:val="single" w:sz="4" w:space="0" w:color="auto"/>
              <w:bottom w:val="single" w:sz="4" w:space="0" w:color="000000"/>
              <w:right w:val="single" w:sz="4" w:space="0" w:color="auto"/>
            </w:tcBorders>
            <w:shd w:val="clear" w:color="000000" w:fill="FFFFFF"/>
            <w:vAlign w:val="center"/>
            <w:hideMark/>
          </w:tcPr>
          <w:p w:rsidR="00255E13" w:rsidRPr="002A134B" w:rsidRDefault="00255E13" w:rsidP="00895B36">
            <w:pPr>
              <w:jc w:val="center"/>
              <w:rPr>
                <w:rFonts w:ascii="Times New Roman" w:hAnsi="Times New Roman"/>
                <w:b/>
                <w:bCs/>
                <w:sz w:val="16"/>
                <w:szCs w:val="16"/>
              </w:rPr>
            </w:pPr>
            <w:r>
              <w:rPr>
                <w:rFonts w:ascii="Times New Roman" w:hAnsi="Times New Roman"/>
                <w:b/>
                <w:bCs/>
                <w:sz w:val="16"/>
                <w:szCs w:val="16"/>
              </w:rPr>
              <w:t>1 (14</w:t>
            </w:r>
            <w:r w:rsidRPr="002A134B">
              <w:rPr>
                <w:rFonts w:ascii="Times New Roman" w:hAnsi="Times New Roman"/>
                <w:b/>
                <w:bCs/>
                <w:sz w:val="16"/>
                <w:szCs w:val="16"/>
              </w:rPr>
              <w:t>)</w:t>
            </w:r>
          </w:p>
        </w:tc>
        <w:tc>
          <w:tcPr>
            <w:tcW w:w="1880" w:type="dxa"/>
            <w:gridSpan w:val="3"/>
            <w:vMerge w:val="restart"/>
            <w:tcBorders>
              <w:top w:val="nil"/>
              <w:left w:val="single" w:sz="4" w:space="0" w:color="auto"/>
              <w:bottom w:val="single" w:sz="4" w:space="0" w:color="auto"/>
              <w:right w:val="single" w:sz="4" w:space="0" w:color="auto"/>
            </w:tcBorders>
            <w:shd w:val="clear" w:color="000000" w:fill="FFFFFF"/>
            <w:vAlign w:val="center"/>
            <w:hideMark/>
          </w:tcPr>
          <w:p w:rsidR="00255E13" w:rsidRPr="0048735D" w:rsidRDefault="00255E13" w:rsidP="00255E13">
            <w:pPr>
              <w:jc w:val="left"/>
              <w:rPr>
                <w:sz w:val="16"/>
                <w:szCs w:val="16"/>
              </w:rPr>
            </w:pPr>
            <w:r w:rsidRPr="0048735D">
              <w:rPr>
                <w:sz w:val="16"/>
                <w:szCs w:val="16"/>
              </w:rPr>
              <w:t xml:space="preserve">Školenia/získavanie </w:t>
            </w:r>
            <w:r w:rsidRPr="0048735D">
              <w:rPr>
                <w:sz w:val="16"/>
                <w:szCs w:val="16"/>
              </w:rPr>
              <w:br/>
              <w:t>praktických zručností  (1.1)</w:t>
            </w:r>
          </w:p>
        </w:tc>
        <w:tc>
          <w:tcPr>
            <w:tcW w:w="8660" w:type="dxa"/>
            <w:gridSpan w:val="7"/>
            <w:tcBorders>
              <w:top w:val="single" w:sz="4" w:space="0" w:color="auto"/>
              <w:left w:val="nil"/>
              <w:bottom w:val="single" w:sz="4" w:space="0" w:color="auto"/>
              <w:right w:val="single" w:sz="4" w:space="0" w:color="auto"/>
            </w:tcBorders>
            <w:shd w:val="clear" w:color="000000" w:fill="FFFFFF"/>
            <w:vAlign w:val="center"/>
            <w:hideMark/>
          </w:tcPr>
          <w:p w:rsidR="00255E13" w:rsidRPr="00255E13" w:rsidRDefault="00255E13" w:rsidP="00255E13">
            <w:pPr>
              <w:jc w:val="left"/>
              <w:rPr>
                <w:sz w:val="16"/>
                <w:szCs w:val="16"/>
              </w:rPr>
            </w:pPr>
            <w:r w:rsidRPr="00255E13">
              <w:rPr>
                <w:sz w:val="16"/>
                <w:szCs w:val="16"/>
              </w:rPr>
              <w:t>Počet účastníkov vzdelávania</w:t>
            </w:r>
          </w:p>
        </w:tc>
        <w:tc>
          <w:tcPr>
            <w:tcW w:w="3180" w:type="dxa"/>
            <w:gridSpan w:val="2"/>
            <w:tcBorders>
              <w:top w:val="single" w:sz="4" w:space="0" w:color="auto"/>
              <w:left w:val="nil"/>
              <w:bottom w:val="single" w:sz="4" w:space="0" w:color="auto"/>
              <w:right w:val="single" w:sz="4" w:space="0" w:color="auto"/>
            </w:tcBorders>
            <w:shd w:val="clear" w:color="000000" w:fill="FFFFFF"/>
            <w:noWrap/>
            <w:vAlign w:val="center"/>
            <w:hideMark/>
          </w:tcPr>
          <w:p w:rsidR="00255E13" w:rsidRPr="00255E13" w:rsidRDefault="00255E13" w:rsidP="00895B36">
            <w:pPr>
              <w:jc w:val="right"/>
              <w:rPr>
                <w:sz w:val="20"/>
                <w:szCs w:val="20"/>
              </w:rPr>
            </w:pPr>
            <w:r w:rsidRPr="00255E13">
              <w:rPr>
                <w:sz w:val="20"/>
                <w:szCs w:val="20"/>
              </w:rPr>
              <w:t xml:space="preserve">                                               1 100</w:t>
            </w:r>
          </w:p>
        </w:tc>
      </w:tr>
      <w:tr w:rsidR="00255E13" w:rsidRPr="002A134B" w:rsidTr="00895B36">
        <w:tblPrEx>
          <w:tblLook w:val="04A0" w:firstRow="1" w:lastRow="0" w:firstColumn="1" w:lastColumn="0" w:noHBand="0" w:noVBand="1"/>
        </w:tblPrEx>
        <w:trPr>
          <w:trHeight w:val="450"/>
        </w:trPr>
        <w:tc>
          <w:tcPr>
            <w:tcW w:w="1440" w:type="dxa"/>
            <w:vMerge/>
            <w:tcBorders>
              <w:top w:val="nil"/>
              <w:left w:val="single" w:sz="4" w:space="0" w:color="auto"/>
              <w:bottom w:val="single" w:sz="4" w:space="0" w:color="000000"/>
              <w:right w:val="single" w:sz="4" w:space="0" w:color="auto"/>
            </w:tcBorders>
            <w:vAlign w:val="center"/>
            <w:hideMark/>
          </w:tcPr>
          <w:p w:rsidR="00255E13" w:rsidRPr="002A134B" w:rsidRDefault="00255E13" w:rsidP="00895B36">
            <w:pPr>
              <w:rPr>
                <w:rFonts w:ascii="Times New Roman" w:hAnsi="Times New Roman"/>
                <w:b/>
                <w:bCs/>
                <w:sz w:val="16"/>
                <w:szCs w:val="16"/>
              </w:rPr>
            </w:pPr>
          </w:p>
        </w:tc>
        <w:tc>
          <w:tcPr>
            <w:tcW w:w="1880" w:type="dxa"/>
            <w:gridSpan w:val="3"/>
            <w:vMerge/>
            <w:tcBorders>
              <w:top w:val="nil"/>
              <w:left w:val="single" w:sz="4" w:space="0" w:color="auto"/>
              <w:bottom w:val="single" w:sz="4" w:space="0" w:color="auto"/>
              <w:right w:val="single" w:sz="4" w:space="0" w:color="auto"/>
            </w:tcBorders>
            <w:vAlign w:val="center"/>
            <w:hideMark/>
          </w:tcPr>
          <w:p w:rsidR="00255E13" w:rsidRPr="0048735D" w:rsidRDefault="00255E13" w:rsidP="00255E13">
            <w:pPr>
              <w:jc w:val="left"/>
              <w:rPr>
                <w:sz w:val="16"/>
                <w:szCs w:val="16"/>
              </w:rPr>
            </w:pPr>
          </w:p>
        </w:tc>
        <w:tc>
          <w:tcPr>
            <w:tcW w:w="8660" w:type="dxa"/>
            <w:gridSpan w:val="7"/>
            <w:tcBorders>
              <w:top w:val="single" w:sz="4" w:space="0" w:color="auto"/>
              <w:left w:val="nil"/>
              <w:bottom w:val="single" w:sz="4" w:space="0" w:color="auto"/>
              <w:right w:val="single" w:sz="4" w:space="0" w:color="auto"/>
            </w:tcBorders>
            <w:shd w:val="clear" w:color="000000" w:fill="FFFFFF"/>
            <w:vAlign w:val="center"/>
            <w:hideMark/>
          </w:tcPr>
          <w:p w:rsidR="00255E13" w:rsidRPr="00255E13" w:rsidRDefault="00255E13" w:rsidP="00255E13">
            <w:pPr>
              <w:jc w:val="left"/>
              <w:rPr>
                <w:sz w:val="16"/>
                <w:szCs w:val="16"/>
              </w:rPr>
            </w:pPr>
            <w:r w:rsidRPr="00255E13">
              <w:rPr>
                <w:sz w:val="16"/>
                <w:szCs w:val="16"/>
              </w:rPr>
              <w:t>Celkové verejné výdavky na školenia (1.1)</w:t>
            </w:r>
          </w:p>
        </w:tc>
        <w:tc>
          <w:tcPr>
            <w:tcW w:w="3180" w:type="dxa"/>
            <w:gridSpan w:val="2"/>
            <w:tcBorders>
              <w:top w:val="single" w:sz="4" w:space="0" w:color="auto"/>
              <w:left w:val="nil"/>
              <w:bottom w:val="single" w:sz="4" w:space="0" w:color="auto"/>
              <w:right w:val="single" w:sz="4" w:space="0" w:color="auto"/>
            </w:tcBorders>
            <w:shd w:val="clear" w:color="000000" w:fill="FFFFFF"/>
            <w:noWrap/>
            <w:vAlign w:val="center"/>
            <w:hideMark/>
          </w:tcPr>
          <w:p w:rsidR="00255E13" w:rsidRPr="00255E13" w:rsidRDefault="00255E13" w:rsidP="00895B36">
            <w:pPr>
              <w:jc w:val="right"/>
              <w:rPr>
                <w:sz w:val="20"/>
                <w:szCs w:val="20"/>
              </w:rPr>
            </w:pPr>
            <w:r w:rsidRPr="00255E13">
              <w:rPr>
                <w:sz w:val="20"/>
                <w:szCs w:val="20"/>
              </w:rPr>
              <w:t xml:space="preserve">2 000 000,00                                                 </w:t>
            </w:r>
          </w:p>
        </w:tc>
      </w:tr>
      <w:tr w:rsidR="00255E13" w:rsidRPr="002A134B" w:rsidTr="00895B36">
        <w:tblPrEx>
          <w:tblLook w:val="04A0" w:firstRow="1" w:lastRow="0" w:firstColumn="1" w:lastColumn="0" w:noHBand="0" w:noVBand="1"/>
        </w:tblPrEx>
        <w:trPr>
          <w:trHeight w:val="300"/>
        </w:trPr>
        <w:tc>
          <w:tcPr>
            <w:tcW w:w="1440" w:type="dxa"/>
            <w:vMerge/>
            <w:tcBorders>
              <w:top w:val="nil"/>
              <w:left w:val="single" w:sz="4" w:space="0" w:color="auto"/>
              <w:bottom w:val="single" w:sz="4" w:space="0" w:color="000000"/>
              <w:right w:val="single" w:sz="4" w:space="0" w:color="auto"/>
            </w:tcBorders>
            <w:vAlign w:val="center"/>
            <w:hideMark/>
          </w:tcPr>
          <w:p w:rsidR="00255E13" w:rsidRPr="002A134B" w:rsidRDefault="00255E13" w:rsidP="00895B36">
            <w:pPr>
              <w:rPr>
                <w:rFonts w:ascii="Times New Roman" w:hAnsi="Times New Roman"/>
                <w:b/>
                <w:bCs/>
                <w:sz w:val="16"/>
                <w:szCs w:val="16"/>
              </w:rPr>
            </w:pPr>
          </w:p>
        </w:tc>
        <w:tc>
          <w:tcPr>
            <w:tcW w:w="10540" w:type="dxa"/>
            <w:gridSpan w:val="10"/>
            <w:tcBorders>
              <w:top w:val="single" w:sz="4" w:space="0" w:color="auto"/>
              <w:left w:val="nil"/>
              <w:bottom w:val="single" w:sz="4" w:space="0" w:color="auto"/>
              <w:right w:val="single" w:sz="4" w:space="0" w:color="auto"/>
            </w:tcBorders>
            <w:shd w:val="clear" w:color="000000" w:fill="FFFFFF"/>
            <w:vAlign w:val="center"/>
            <w:hideMark/>
          </w:tcPr>
          <w:p w:rsidR="00255E13" w:rsidRPr="00255E13" w:rsidRDefault="00255E13" w:rsidP="00255E13">
            <w:pPr>
              <w:jc w:val="left"/>
              <w:rPr>
                <w:sz w:val="16"/>
                <w:szCs w:val="16"/>
              </w:rPr>
            </w:pPr>
            <w:r w:rsidRPr="00255E13">
              <w:rPr>
                <w:sz w:val="16"/>
                <w:szCs w:val="16"/>
              </w:rPr>
              <w:t>Celkové verejné výdavky  € (školenia, informačné aktivity, demonštračné  predvádzacie činnosti ) (1.1, 1.2)</w:t>
            </w:r>
          </w:p>
        </w:tc>
        <w:tc>
          <w:tcPr>
            <w:tcW w:w="3180" w:type="dxa"/>
            <w:gridSpan w:val="2"/>
            <w:tcBorders>
              <w:top w:val="single" w:sz="4" w:space="0" w:color="auto"/>
              <w:left w:val="nil"/>
              <w:bottom w:val="single" w:sz="4" w:space="0" w:color="auto"/>
              <w:right w:val="single" w:sz="4" w:space="0" w:color="auto"/>
            </w:tcBorders>
            <w:shd w:val="clear" w:color="000000" w:fill="FFFFFF"/>
            <w:noWrap/>
            <w:vAlign w:val="center"/>
            <w:hideMark/>
          </w:tcPr>
          <w:p w:rsidR="00255E13" w:rsidRPr="00255E13" w:rsidRDefault="00255E13" w:rsidP="00895B36">
            <w:pPr>
              <w:jc w:val="right"/>
              <w:rPr>
                <w:sz w:val="20"/>
                <w:szCs w:val="20"/>
              </w:rPr>
            </w:pPr>
            <w:r w:rsidRPr="00255E13">
              <w:rPr>
                <w:sz w:val="20"/>
                <w:szCs w:val="20"/>
              </w:rPr>
              <w:t xml:space="preserve">                                        2 350 000,00 </w:t>
            </w:r>
          </w:p>
        </w:tc>
      </w:tr>
      <w:tr w:rsidR="00255E13" w:rsidRPr="002A134B" w:rsidTr="00895B36">
        <w:tblPrEx>
          <w:tblLook w:val="04A0" w:firstRow="1" w:lastRow="0" w:firstColumn="1" w:lastColumn="0" w:noHBand="0" w:noVBand="1"/>
        </w:tblPrEx>
        <w:trPr>
          <w:trHeight w:val="300"/>
        </w:trPr>
        <w:tc>
          <w:tcPr>
            <w:tcW w:w="1440" w:type="dxa"/>
            <w:vMerge w:val="restart"/>
            <w:tcBorders>
              <w:top w:val="nil"/>
              <w:left w:val="single" w:sz="4" w:space="0" w:color="auto"/>
              <w:bottom w:val="single" w:sz="4" w:space="0" w:color="000000"/>
              <w:right w:val="single" w:sz="4" w:space="0" w:color="auto"/>
            </w:tcBorders>
            <w:shd w:val="clear" w:color="000000" w:fill="FFFFFF"/>
            <w:vAlign w:val="center"/>
            <w:hideMark/>
          </w:tcPr>
          <w:p w:rsidR="00255E13" w:rsidRPr="002A134B" w:rsidRDefault="00255E13" w:rsidP="00895B36">
            <w:pPr>
              <w:jc w:val="center"/>
              <w:rPr>
                <w:rFonts w:ascii="Times New Roman" w:hAnsi="Times New Roman"/>
                <w:b/>
                <w:bCs/>
                <w:sz w:val="16"/>
                <w:szCs w:val="16"/>
              </w:rPr>
            </w:pPr>
            <w:r>
              <w:rPr>
                <w:rFonts w:ascii="Times New Roman" w:hAnsi="Times New Roman"/>
                <w:b/>
                <w:bCs/>
                <w:sz w:val="16"/>
                <w:szCs w:val="16"/>
              </w:rPr>
              <w:t>2 (15</w:t>
            </w:r>
            <w:r w:rsidRPr="002A134B">
              <w:rPr>
                <w:rFonts w:ascii="Times New Roman" w:hAnsi="Times New Roman"/>
                <w:b/>
                <w:bCs/>
                <w:sz w:val="16"/>
                <w:szCs w:val="16"/>
              </w:rPr>
              <w:t>)</w:t>
            </w:r>
          </w:p>
        </w:tc>
        <w:tc>
          <w:tcPr>
            <w:tcW w:w="10540" w:type="dxa"/>
            <w:gridSpan w:val="10"/>
            <w:tcBorders>
              <w:top w:val="single" w:sz="4" w:space="0" w:color="auto"/>
              <w:left w:val="nil"/>
              <w:bottom w:val="single" w:sz="4" w:space="0" w:color="auto"/>
              <w:right w:val="single" w:sz="4" w:space="0" w:color="auto"/>
            </w:tcBorders>
            <w:shd w:val="clear" w:color="000000" w:fill="FFFFFF"/>
            <w:vAlign w:val="center"/>
            <w:hideMark/>
          </w:tcPr>
          <w:p w:rsidR="00255E13" w:rsidRPr="00255E13" w:rsidRDefault="00255E13" w:rsidP="00255E13">
            <w:pPr>
              <w:jc w:val="left"/>
              <w:rPr>
                <w:sz w:val="16"/>
                <w:szCs w:val="16"/>
              </w:rPr>
            </w:pPr>
            <w:r w:rsidRPr="00255E13">
              <w:rPr>
                <w:sz w:val="16"/>
                <w:szCs w:val="16"/>
              </w:rPr>
              <w:t>Počet subjektov, kde bolo vykonané poradenstvo (2.1)</w:t>
            </w:r>
          </w:p>
        </w:tc>
        <w:tc>
          <w:tcPr>
            <w:tcW w:w="3180" w:type="dxa"/>
            <w:gridSpan w:val="2"/>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255E13" w:rsidRPr="00255E13" w:rsidRDefault="00255E13" w:rsidP="00895B36">
            <w:pPr>
              <w:jc w:val="right"/>
              <w:rPr>
                <w:sz w:val="20"/>
                <w:szCs w:val="20"/>
              </w:rPr>
            </w:pPr>
            <w:r w:rsidRPr="00255E13">
              <w:rPr>
                <w:sz w:val="20"/>
                <w:szCs w:val="20"/>
              </w:rPr>
              <w:t xml:space="preserve">                                               317 </w:t>
            </w:r>
          </w:p>
        </w:tc>
      </w:tr>
      <w:tr w:rsidR="00255E13" w:rsidRPr="002A134B" w:rsidTr="00895B36">
        <w:tblPrEx>
          <w:tblLook w:val="04A0" w:firstRow="1" w:lastRow="0" w:firstColumn="1" w:lastColumn="0" w:noHBand="0" w:noVBand="1"/>
        </w:tblPrEx>
        <w:trPr>
          <w:trHeight w:val="300"/>
        </w:trPr>
        <w:tc>
          <w:tcPr>
            <w:tcW w:w="1440" w:type="dxa"/>
            <w:vMerge/>
            <w:tcBorders>
              <w:top w:val="nil"/>
              <w:left w:val="single" w:sz="4" w:space="0" w:color="auto"/>
              <w:bottom w:val="single" w:sz="4" w:space="0" w:color="000000"/>
              <w:right w:val="single" w:sz="4" w:space="0" w:color="auto"/>
            </w:tcBorders>
            <w:vAlign w:val="center"/>
            <w:hideMark/>
          </w:tcPr>
          <w:p w:rsidR="00255E13" w:rsidRPr="002A134B" w:rsidRDefault="00255E13" w:rsidP="00895B36">
            <w:pPr>
              <w:rPr>
                <w:rFonts w:ascii="Times New Roman" w:hAnsi="Times New Roman"/>
                <w:b/>
                <w:bCs/>
                <w:sz w:val="16"/>
                <w:szCs w:val="16"/>
              </w:rPr>
            </w:pPr>
          </w:p>
        </w:tc>
        <w:tc>
          <w:tcPr>
            <w:tcW w:w="10540" w:type="dxa"/>
            <w:gridSpan w:val="10"/>
            <w:tcBorders>
              <w:top w:val="single" w:sz="4" w:space="0" w:color="auto"/>
              <w:left w:val="nil"/>
              <w:bottom w:val="single" w:sz="4" w:space="0" w:color="auto"/>
              <w:right w:val="single" w:sz="4" w:space="0" w:color="auto"/>
            </w:tcBorders>
            <w:shd w:val="clear" w:color="000000" w:fill="FFFFFF"/>
            <w:vAlign w:val="center"/>
            <w:hideMark/>
          </w:tcPr>
          <w:p w:rsidR="00255E13" w:rsidRPr="00255E13" w:rsidRDefault="00255E13" w:rsidP="00255E13">
            <w:pPr>
              <w:jc w:val="left"/>
              <w:rPr>
                <w:sz w:val="16"/>
                <w:szCs w:val="16"/>
              </w:rPr>
            </w:pPr>
            <w:r w:rsidRPr="00255E13">
              <w:rPr>
                <w:sz w:val="16"/>
                <w:szCs w:val="16"/>
              </w:rPr>
              <w:t>Celkové verejné výdavky  (€) (2.1, 2.3)</w:t>
            </w:r>
          </w:p>
        </w:tc>
        <w:tc>
          <w:tcPr>
            <w:tcW w:w="3180" w:type="dxa"/>
            <w:gridSpan w:val="2"/>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255E13" w:rsidRPr="00255E13" w:rsidRDefault="00255E13" w:rsidP="00895B36">
            <w:pPr>
              <w:jc w:val="right"/>
              <w:rPr>
                <w:sz w:val="20"/>
                <w:szCs w:val="20"/>
              </w:rPr>
            </w:pPr>
            <w:r w:rsidRPr="00255E13">
              <w:rPr>
                <w:sz w:val="20"/>
                <w:szCs w:val="20"/>
              </w:rPr>
              <w:t xml:space="preserve">                                  497 000,00 </w:t>
            </w:r>
          </w:p>
        </w:tc>
      </w:tr>
      <w:tr w:rsidR="00255E13" w:rsidRPr="00F849C3" w:rsidTr="00895B36">
        <w:trPr>
          <w:trHeight w:val="405"/>
        </w:trPr>
        <w:tc>
          <w:tcPr>
            <w:tcW w:w="1440" w:type="dxa"/>
            <w:tcBorders>
              <w:top w:val="nil"/>
              <w:left w:val="single" w:sz="8" w:space="0" w:color="000000"/>
              <w:bottom w:val="single" w:sz="8" w:space="0" w:color="000000"/>
              <w:right w:val="single" w:sz="4" w:space="0" w:color="auto"/>
            </w:tcBorders>
            <w:vAlign w:val="center"/>
          </w:tcPr>
          <w:p w:rsidR="00255E13" w:rsidRPr="00F849C3" w:rsidRDefault="00255E13" w:rsidP="00895B36">
            <w:pPr>
              <w:jc w:val="center"/>
              <w:rPr>
                <w:b/>
                <w:bCs/>
                <w:sz w:val="16"/>
                <w:szCs w:val="16"/>
              </w:rPr>
            </w:pPr>
            <w:r>
              <w:rPr>
                <w:b/>
                <w:bCs/>
                <w:sz w:val="16"/>
                <w:szCs w:val="16"/>
              </w:rPr>
              <w:t>16 (35</w:t>
            </w:r>
            <w:r w:rsidRPr="00F849C3">
              <w:rPr>
                <w:b/>
                <w:bCs/>
                <w:sz w:val="16"/>
                <w:szCs w:val="16"/>
              </w:rPr>
              <w:t>)</w:t>
            </w:r>
          </w:p>
        </w:tc>
        <w:tc>
          <w:tcPr>
            <w:tcW w:w="10530" w:type="dxa"/>
            <w:gridSpan w:val="9"/>
            <w:tcBorders>
              <w:top w:val="single" w:sz="4" w:space="0" w:color="auto"/>
              <w:left w:val="nil"/>
              <w:bottom w:val="single" w:sz="8" w:space="0" w:color="000000"/>
              <w:right w:val="single" w:sz="4" w:space="0" w:color="auto"/>
            </w:tcBorders>
            <w:vAlign w:val="center"/>
          </w:tcPr>
          <w:p w:rsidR="00255E13" w:rsidRPr="0048735D" w:rsidRDefault="00255E13" w:rsidP="00255E13">
            <w:pPr>
              <w:jc w:val="left"/>
              <w:rPr>
                <w:sz w:val="16"/>
                <w:szCs w:val="16"/>
              </w:rPr>
            </w:pPr>
            <w:r w:rsidRPr="0048735D">
              <w:rPr>
                <w:sz w:val="16"/>
                <w:szCs w:val="16"/>
              </w:rPr>
              <w:t>Celkové verejné výdavky (€)</w:t>
            </w:r>
          </w:p>
        </w:tc>
        <w:tc>
          <w:tcPr>
            <w:tcW w:w="3190" w:type="dxa"/>
            <w:gridSpan w:val="3"/>
            <w:tcBorders>
              <w:top w:val="single" w:sz="4" w:space="0" w:color="auto"/>
              <w:left w:val="nil"/>
              <w:bottom w:val="single" w:sz="8" w:space="0" w:color="000000"/>
              <w:right w:val="single" w:sz="8" w:space="0" w:color="000000"/>
            </w:tcBorders>
            <w:shd w:val="clear" w:color="000000" w:fill="FFFFFF"/>
            <w:noWrap/>
            <w:vAlign w:val="center"/>
          </w:tcPr>
          <w:p w:rsidR="00255E13" w:rsidRPr="00255E13" w:rsidRDefault="00255E13" w:rsidP="00895B36">
            <w:pPr>
              <w:jc w:val="right"/>
              <w:rPr>
                <w:sz w:val="20"/>
                <w:szCs w:val="20"/>
              </w:rPr>
            </w:pPr>
            <w:r w:rsidRPr="00255E13">
              <w:rPr>
                <w:sz w:val="20"/>
                <w:szCs w:val="20"/>
              </w:rPr>
              <w:t xml:space="preserve">                              28 000 000,00 </w:t>
            </w:r>
          </w:p>
        </w:tc>
      </w:tr>
    </w:tbl>
    <w:p w:rsidR="008676F9" w:rsidRPr="008676F9" w:rsidRDefault="008676F9" w:rsidP="008676F9">
      <w:pPr>
        <w:keepNext/>
        <w:spacing w:before="240" w:after="60" w:line="276" w:lineRule="auto"/>
        <w:outlineLvl w:val="3"/>
        <w:rPr>
          <w:rFonts w:ascii="Calibri" w:hAnsi="Calibri"/>
          <w:szCs w:val="20"/>
          <w:lang w:eastAsia="en-US"/>
        </w:rPr>
      </w:pPr>
    </w:p>
    <w:p w:rsidR="008676F9" w:rsidRPr="008676F9" w:rsidRDefault="008676F9" w:rsidP="008676F9">
      <w:pPr>
        <w:keepNext/>
        <w:spacing w:before="240" w:after="60" w:line="276" w:lineRule="auto"/>
        <w:outlineLvl w:val="3"/>
        <w:rPr>
          <w:rFonts w:ascii="Calibri" w:hAnsi="Calibri"/>
          <w:szCs w:val="20"/>
          <w:lang w:eastAsia="en-US"/>
        </w:rPr>
        <w:sectPr w:rsidR="008676F9" w:rsidRPr="008676F9" w:rsidSect="00BB33FC">
          <w:headerReference w:type="default" r:id="rId91"/>
          <w:pgSz w:w="16838" w:h="11906" w:orient="landscape"/>
          <w:pgMar w:top="1417" w:right="1417" w:bottom="1417" w:left="1417" w:header="708" w:footer="708" w:gutter="0"/>
          <w:cols w:space="708"/>
          <w:docGrid w:linePitch="360"/>
        </w:sectPr>
      </w:pPr>
    </w:p>
    <w:p w:rsidR="008676F9" w:rsidRPr="008676F9" w:rsidRDefault="008676F9" w:rsidP="006C75BE">
      <w:pPr>
        <w:keepNext/>
        <w:spacing w:after="200"/>
        <w:ind w:left="1134" w:hanging="1134"/>
        <w:outlineLvl w:val="3"/>
        <w:rPr>
          <w:rFonts w:ascii="Calibri" w:hAnsi="Calibri"/>
          <w:b/>
          <w:bCs/>
          <w:szCs w:val="22"/>
          <w:lang w:eastAsia="en-US"/>
        </w:rPr>
      </w:pPr>
      <w:bookmarkStart w:id="145" w:name="_Toc359930830"/>
      <w:r w:rsidRPr="008676F9">
        <w:rPr>
          <w:rFonts w:ascii="Calibri" w:hAnsi="Calibri"/>
          <w:b/>
          <w:bCs/>
          <w:szCs w:val="22"/>
          <w:lang w:eastAsia="en-US"/>
        </w:rPr>
        <w:t xml:space="preserve">PRIORITA 5: </w:t>
      </w:r>
      <w:bookmarkEnd w:id="145"/>
      <w:r w:rsidRPr="008676F9">
        <w:rPr>
          <w:rFonts w:ascii="Calibri" w:hAnsi="Calibri"/>
          <w:b/>
          <w:bCs/>
          <w:szCs w:val="22"/>
          <w:lang w:eastAsia="en-US"/>
        </w:rPr>
        <w:t xml:space="preserve">Propagácia efektívneho využívania zdrojov a podpora prechodu na nízkouhlíkové hospodárstvo odolné voči zmene klímy v odvetví poľnohospodárstva, potravinárstva a lesného hospodárstva </w:t>
      </w:r>
    </w:p>
    <w:tbl>
      <w:tblPr>
        <w:tblW w:w="7680" w:type="dxa"/>
        <w:tblInd w:w="55" w:type="dxa"/>
        <w:tblCellMar>
          <w:left w:w="70" w:type="dxa"/>
          <w:right w:w="70" w:type="dxa"/>
        </w:tblCellMar>
        <w:tblLook w:val="00A0" w:firstRow="1" w:lastRow="0" w:firstColumn="1" w:lastColumn="0" w:noHBand="0" w:noVBand="0"/>
      </w:tblPr>
      <w:tblGrid>
        <w:gridCol w:w="1660"/>
        <w:gridCol w:w="198"/>
        <w:gridCol w:w="1462"/>
        <w:gridCol w:w="2700"/>
        <w:gridCol w:w="1660"/>
      </w:tblGrid>
      <w:tr w:rsidR="008676F9" w:rsidRPr="00E820E4" w:rsidTr="00BB33FC">
        <w:trPr>
          <w:trHeight w:val="499"/>
        </w:trPr>
        <w:tc>
          <w:tcPr>
            <w:tcW w:w="7680" w:type="dxa"/>
            <w:gridSpan w:val="5"/>
            <w:tcBorders>
              <w:top w:val="single" w:sz="8" w:space="0" w:color="000000"/>
              <w:left w:val="single" w:sz="8" w:space="0" w:color="000000"/>
              <w:bottom w:val="nil"/>
              <w:right w:val="single" w:sz="8" w:space="0" w:color="000000"/>
            </w:tcBorders>
            <w:shd w:val="clear" w:color="auto" w:fill="FFFF00"/>
            <w:vAlign w:val="center"/>
          </w:tcPr>
          <w:p w:rsidR="008676F9" w:rsidRPr="00E820E4" w:rsidRDefault="008676F9" w:rsidP="008676F9">
            <w:pPr>
              <w:jc w:val="center"/>
              <w:rPr>
                <w:rFonts w:ascii="Calibri" w:eastAsia="Calibri" w:hAnsi="Calibri"/>
                <w:b/>
                <w:bCs/>
                <w:color w:val="000000"/>
                <w:szCs w:val="22"/>
              </w:rPr>
            </w:pPr>
            <w:r w:rsidRPr="00E820E4">
              <w:rPr>
                <w:rFonts w:ascii="Calibri" w:eastAsia="Calibri" w:hAnsi="Calibri"/>
                <w:b/>
                <w:bCs/>
                <w:color w:val="000000"/>
                <w:szCs w:val="22"/>
              </w:rPr>
              <w:t xml:space="preserve">5A Zvýšenie účinnosti využívania vody v poľnohospodárstve  </w:t>
            </w:r>
          </w:p>
        </w:tc>
      </w:tr>
      <w:tr w:rsidR="008676F9" w:rsidRPr="008676F9" w:rsidTr="00BB33FC">
        <w:trPr>
          <w:trHeight w:val="499"/>
        </w:trPr>
        <w:tc>
          <w:tcPr>
            <w:tcW w:w="1858" w:type="dxa"/>
            <w:gridSpan w:val="2"/>
            <w:vMerge w:val="restart"/>
            <w:tcBorders>
              <w:top w:val="single" w:sz="8" w:space="0" w:color="auto"/>
              <w:left w:val="single" w:sz="8" w:space="0" w:color="000000"/>
              <w:bottom w:val="single" w:sz="4" w:space="0" w:color="auto"/>
              <w:right w:val="single" w:sz="4" w:space="0" w:color="auto"/>
            </w:tcBorders>
            <w:shd w:val="clear" w:color="000000" w:fill="FFFFFF"/>
            <w:noWrap/>
            <w:vAlign w:val="center"/>
          </w:tcPr>
          <w:p w:rsidR="008676F9" w:rsidRPr="008676F9" w:rsidRDefault="008676F9" w:rsidP="008676F9">
            <w:pPr>
              <w:jc w:val="center"/>
              <w:rPr>
                <w:rFonts w:ascii="Calibri" w:eastAsia="Calibri" w:hAnsi="Calibri"/>
                <w:b/>
                <w:bCs/>
                <w:sz w:val="18"/>
                <w:szCs w:val="18"/>
              </w:rPr>
            </w:pPr>
            <w:r w:rsidRPr="008676F9">
              <w:rPr>
                <w:rFonts w:ascii="Calibri" w:eastAsia="Calibri" w:hAnsi="Calibri"/>
                <w:b/>
                <w:bCs/>
                <w:sz w:val="18"/>
                <w:szCs w:val="18"/>
              </w:rPr>
              <w:t>Cieľová hodnota</w:t>
            </w:r>
          </w:p>
        </w:tc>
        <w:tc>
          <w:tcPr>
            <w:tcW w:w="5822" w:type="dxa"/>
            <w:gridSpan w:val="3"/>
            <w:tcBorders>
              <w:top w:val="single" w:sz="8" w:space="0" w:color="auto"/>
              <w:left w:val="nil"/>
              <w:bottom w:val="single" w:sz="4" w:space="0" w:color="auto"/>
              <w:right w:val="single" w:sz="8" w:space="0" w:color="000000"/>
            </w:tcBorders>
            <w:shd w:val="clear" w:color="000000" w:fill="FFFFFF"/>
            <w:vAlign w:val="center"/>
          </w:tcPr>
          <w:p w:rsidR="008676F9" w:rsidRPr="008676F9" w:rsidRDefault="008676F9" w:rsidP="008676F9">
            <w:pPr>
              <w:jc w:val="center"/>
              <w:rPr>
                <w:rFonts w:ascii="Calibri" w:eastAsia="Calibri" w:hAnsi="Calibri"/>
                <w:b/>
                <w:bCs/>
                <w:sz w:val="18"/>
                <w:szCs w:val="18"/>
              </w:rPr>
            </w:pPr>
            <w:r w:rsidRPr="008676F9">
              <w:rPr>
                <w:rFonts w:ascii="Calibri" w:eastAsia="Calibri" w:hAnsi="Calibri"/>
                <w:b/>
                <w:bCs/>
                <w:sz w:val="18"/>
                <w:szCs w:val="18"/>
              </w:rPr>
              <w:t xml:space="preserve"> % zavlažovanej výmery, kde sa zvýšila efektivita využívania vody (cez investície podporené z PRV)</w:t>
            </w:r>
          </w:p>
        </w:tc>
      </w:tr>
      <w:tr w:rsidR="008676F9" w:rsidRPr="008676F9" w:rsidTr="00BB33FC">
        <w:trPr>
          <w:trHeight w:val="499"/>
        </w:trPr>
        <w:tc>
          <w:tcPr>
            <w:tcW w:w="1858" w:type="dxa"/>
            <w:gridSpan w:val="2"/>
            <w:vMerge/>
            <w:tcBorders>
              <w:top w:val="single" w:sz="8" w:space="0" w:color="auto"/>
              <w:left w:val="single" w:sz="8" w:space="0" w:color="000000"/>
              <w:bottom w:val="single" w:sz="4" w:space="0" w:color="auto"/>
              <w:right w:val="single" w:sz="4" w:space="0" w:color="auto"/>
            </w:tcBorders>
            <w:vAlign w:val="center"/>
          </w:tcPr>
          <w:p w:rsidR="008676F9" w:rsidRPr="008676F9" w:rsidRDefault="008676F9" w:rsidP="008676F9">
            <w:pPr>
              <w:rPr>
                <w:rFonts w:ascii="Calibri" w:eastAsia="Calibri" w:hAnsi="Calibri"/>
                <w:b/>
                <w:bCs/>
                <w:sz w:val="18"/>
                <w:szCs w:val="18"/>
              </w:rPr>
            </w:pPr>
          </w:p>
        </w:tc>
        <w:tc>
          <w:tcPr>
            <w:tcW w:w="1462" w:type="dxa"/>
            <w:tcBorders>
              <w:top w:val="nil"/>
              <w:left w:val="nil"/>
              <w:bottom w:val="single" w:sz="4" w:space="0" w:color="auto"/>
              <w:right w:val="single" w:sz="4" w:space="0" w:color="auto"/>
            </w:tcBorders>
            <w:shd w:val="clear" w:color="000000" w:fill="FFFFFF"/>
            <w:vAlign w:val="center"/>
          </w:tcPr>
          <w:p w:rsidR="008676F9" w:rsidRPr="008676F9" w:rsidRDefault="008676F9" w:rsidP="008676F9">
            <w:pPr>
              <w:jc w:val="center"/>
              <w:rPr>
                <w:rFonts w:ascii="Calibri" w:eastAsia="Calibri" w:hAnsi="Calibri"/>
                <w:b/>
                <w:bCs/>
                <w:sz w:val="18"/>
                <w:szCs w:val="18"/>
              </w:rPr>
            </w:pPr>
            <w:r w:rsidRPr="008676F9">
              <w:rPr>
                <w:rFonts w:ascii="Calibri" w:eastAsia="Calibri" w:hAnsi="Calibri"/>
                <w:b/>
                <w:bCs/>
                <w:sz w:val="18"/>
                <w:szCs w:val="18"/>
              </w:rPr>
              <w:t>ha</w:t>
            </w:r>
          </w:p>
        </w:tc>
        <w:tc>
          <w:tcPr>
            <w:tcW w:w="4360" w:type="dxa"/>
            <w:gridSpan w:val="2"/>
            <w:tcBorders>
              <w:top w:val="single" w:sz="4" w:space="0" w:color="auto"/>
              <w:left w:val="nil"/>
              <w:bottom w:val="single" w:sz="4" w:space="0" w:color="auto"/>
              <w:right w:val="single" w:sz="8" w:space="0" w:color="000000"/>
            </w:tcBorders>
            <w:shd w:val="clear" w:color="000000" w:fill="FFFFFF"/>
            <w:vAlign w:val="center"/>
          </w:tcPr>
          <w:p w:rsidR="008676F9" w:rsidRPr="008676F9" w:rsidRDefault="008676F9" w:rsidP="008676F9">
            <w:pPr>
              <w:jc w:val="center"/>
              <w:rPr>
                <w:rFonts w:ascii="Calibri" w:eastAsia="Calibri" w:hAnsi="Calibri"/>
                <w:b/>
                <w:bCs/>
                <w:sz w:val="18"/>
                <w:szCs w:val="18"/>
              </w:rPr>
            </w:pPr>
            <w:r w:rsidRPr="008676F9">
              <w:rPr>
                <w:rFonts w:ascii="Calibri" w:eastAsia="Calibri" w:hAnsi="Calibri"/>
                <w:b/>
                <w:bCs/>
                <w:sz w:val="18"/>
                <w:szCs w:val="18"/>
              </w:rPr>
              <w:t>%</w:t>
            </w:r>
          </w:p>
        </w:tc>
      </w:tr>
      <w:tr w:rsidR="008676F9" w:rsidRPr="008676F9" w:rsidTr="00BB33FC">
        <w:trPr>
          <w:trHeight w:val="499"/>
        </w:trPr>
        <w:tc>
          <w:tcPr>
            <w:tcW w:w="1858" w:type="dxa"/>
            <w:gridSpan w:val="2"/>
            <w:tcBorders>
              <w:top w:val="nil"/>
              <w:left w:val="single" w:sz="8" w:space="0" w:color="000000"/>
              <w:bottom w:val="single" w:sz="4" w:space="0" w:color="auto"/>
              <w:right w:val="single" w:sz="4" w:space="0" w:color="auto"/>
            </w:tcBorders>
            <w:shd w:val="clear" w:color="000000" w:fill="FFFFFF"/>
            <w:vAlign w:val="center"/>
          </w:tcPr>
          <w:p w:rsidR="008676F9" w:rsidRPr="008676F9" w:rsidRDefault="008676F9" w:rsidP="008676F9">
            <w:pPr>
              <w:rPr>
                <w:rFonts w:ascii="Calibri" w:eastAsia="Calibri" w:hAnsi="Calibri"/>
                <w:b/>
                <w:bCs/>
                <w:sz w:val="18"/>
                <w:szCs w:val="18"/>
              </w:rPr>
            </w:pPr>
            <w:r w:rsidRPr="008676F9">
              <w:rPr>
                <w:rFonts w:ascii="Calibri" w:eastAsia="Calibri" w:hAnsi="Calibri"/>
                <w:b/>
                <w:bCs/>
                <w:sz w:val="18"/>
                <w:szCs w:val="18"/>
              </w:rPr>
              <w:t>Celková výmera v 2020</w:t>
            </w:r>
          </w:p>
        </w:tc>
        <w:tc>
          <w:tcPr>
            <w:tcW w:w="1462" w:type="dxa"/>
            <w:tcBorders>
              <w:top w:val="nil"/>
              <w:left w:val="nil"/>
              <w:bottom w:val="single" w:sz="4" w:space="0" w:color="auto"/>
              <w:right w:val="single" w:sz="4" w:space="0" w:color="auto"/>
            </w:tcBorders>
            <w:shd w:val="clear" w:color="000000" w:fill="FFFFFF"/>
            <w:vAlign w:val="center"/>
          </w:tcPr>
          <w:p w:rsidR="008676F9" w:rsidRPr="008676F9" w:rsidRDefault="008676F9" w:rsidP="008676F9">
            <w:pPr>
              <w:jc w:val="right"/>
              <w:rPr>
                <w:rFonts w:ascii="Calibri" w:eastAsia="Calibri" w:hAnsi="Calibri"/>
                <w:i/>
                <w:iCs/>
                <w:sz w:val="18"/>
                <w:szCs w:val="18"/>
              </w:rPr>
            </w:pPr>
            <w:r w:rsidRPr="008676F9">
              <w:rPr>
                <w:rFonts w:ascii="Calibri" w:eastAsia="Calibri" w:hAnsi="Calibri"/>
                <w:i/>
                <w:iCs/>
                <w:sz w:val="18"/>
                <w:szCs w:val="18"/>
              </w:rPr>
              <w:t xml:space="preserve">            4 000 </w:t>
            </w:r>
          </w:p>
        </w:tc>
        <w:tc>
          <w:tcPr>
            <w:tcW w:w="4360" w:type="dxa"/>
            <w:gridSpan w:val="2"/>
            <w:tcBorders>
              <w:top w:val="single" w:sz="4" w:space="0" w:color="auto"/>
              <w:left w:val="nil"/>
              <w:bottom w:val="single" w:sz="4" w:space="0" w:color="auto"/>
              <w:right w:val="single" w:sz="8" w:space="0" w:color="000000"/>
            </w:tcBorders>
            <w:shd w:val="clear" w:color="000000" w:fill="FFFFFF"/>
            <w:vAlign w:val="center"/>
          </w:tcPr>
          <w:p w:rsidR="008676F9" w:rsidRPr="008676F9" w:rsidRDefault="008676F9" w:rsidP="008676F9">
            <w:pPr>
              <w:jc w:val="center"/>
              <w:rPr>
                <w:rFonts w:ascii="Calibri" w:eastAsia="Calibri" w:hAnsi="Calibri"/>
                <w:b/>
                <w:bCs/>
                <w:sz w:val="18"/>
                <w:szCs w:val="18"/>
              </w:rPr>
            </w:pPr>
            <w:r w:rsidRPr="008676F9">
              <w:rPr>
                <w:rFonts w:ascii="Calibri" w:eastAsia="Calibri" w:hAnsi="Calibri"/>
                <w:b/>
                <w:bCs/>
                <w:sz w:val="18"/>
                <w:szCs w:val="18"/>
              </w:rPr>
              <w:t>27%</w:t>
            </w:r>
          </w:p>
        </w:tc>
      </w:tr>
      <w:tr w:rsidR="008676F9" w:rsidRPr="008676F9" w:rsidTr="00BB33FC">
        <w:trPr>
          <w:trHeight w:val="945"/>
        </w:trPr>
        <w:tc>
          <w:tcPr>
            <w:tcW w:w="1858" w:type="dxa"/>
            <w:gridSpan w:val="2"/>
            <w:tcBorders>
              <w:top w:val="nil"/>
              <w:left w:val="single" w:sz="8" w:space="0" w:color="000000"/>
              <w:bottom w:val="single" w:sz="8" w:space="0" w:color="auto"/>
              <w:right w:val="single" w:sz="4" w:space="0" w:color="auto"/>
            </w:tcBorders>
            <w:shd w:val="clear" w:color="000000" w:fill="FFFFFF"/>
            <w:vAlign w:val="center"/>
          </w:tcPr>
          <w:p w:rsidR="008676F9" w:rsidRPr="008676F9" w:rsidRDefault="008676F9" w:rsidP="008676F9">
            <w:pPr>
              <w:rPr>
                <w:rFonts w:ascii="Calibri" w:eastAsia="Calibri" w:hAnsi="Calibri"/>
                <w:b/>
                <w:bCs/>
                <w:sz w:val="18"/>
                <w:szCs w:val="18"/>
              </w:rPr>
            </w:pPr>
            <w:r w:rsidRPr="008676F9">
              <w:rPr>
                <w:rFonts w:ascii="Calibri" w:eastAsia="Calibri" w:hAnsi="Calibri"/>
                <w:b/>
                <w:bCs/>
                <w:sz w:val="18"/>
                <w:szCs w:val="18"/>
              </w:rPr>
              <w:t xml:space="preserve">Celková zavlažovaná </w:t>
            </w:r>
            <w:r w:rsidRPr="008676F9">
              <w:rPr>
                <w:rFonts w:ascii="Calibri" w:eastAsia="Calibri" w:hAnsi="Calibri"/>
                <w:b/>
                <w:bCs/>
                <w:sz w:val="18"/>
                <w:szCs w:val="18"/>
              </w:rPr>
              <w:br/>
              <w:t>výmera (východ. rok)</w:t>
            </w:r>
          </w:p>
        </w:tc>
        <w:tc>
          <w:tcPr>
            <w:tcW w:w="1462" w:type="dxa"/>
            <w:tcBorders>
              <w:top w:val="nil"/>
              <w:left w:val="nil"/>
              <w:bottom w:val="single" w:sz="8" w:space="0" w:color="auto"/>
              <w:right w:val="single" w:sz="4" w:space="0" w:color="auto"/>
            </w:tcBorders>
            <w:shd w:val="clear" w:color="000000" w:fill="FFFFFF"/>
            <w:vAlign w:val="center"/>
          </w:tcPr>
          <w:p w:rsidR="008676F9" w:rsidRPr="008676F9" w:rsidRDefault="008676F9" w:rsidP="008676F9">
            <w:pPr>
              <w:jc w:val="right"/>
              <w:rPr>
                <w:rFonts w:ascii="Calibri" w:eastAsia="Calibri" w:hAnsi="Calibri"/>
                <w:i/>
                <w:iCs/>
                <w:sz w:val="18"/>
                <w:szCs w:val="18"/>
              </w:rPr>
            </w:pPr>
            <w:r w:rsidRPr="008676F9">
              <w:rPr>
                <w:rFonts w:ascii="Calibri" w:eastAsia="Calibri" w:hAnsi="Calibri"/>
                <w:i/>
                <w:iCs/>
                <w:sz w:val="18"/>
                <w:szCs w:val="18"/>
              </w:rPr>
              <w:t>14 840</w:t>
            </w:r>
          </w:p>
        </w:tc>
        <w:tc>
          <w:tcPr>
            <w:tcW w:w="4360" w:type="dxa"/>
            <w:gridSpan w:val="2"/>
            <w:tcBorders>
              <w:top w:val="single" w:sz="4" w:space="0" w:color="auto"/>
              <w:left w:val="nil"/>
              <w:bottom w:val="single" w:sz="8" w:space="0" w:color="auto"/>
              <w:right w:val="single" w:sz="8" w:space="0" w:color="000000"/>
            </w:tcBorders>
            <w:shd w:val="clear" w:color="000000" w:fill="FFFFFF"/>
            <w:noWrap/>
            <w:vAlign w:val="center"/>
          </w:tcPr>
          <w:p w:rsidR="008676F9" w:rsidRPr="008676F9" w:rsidRDefault="008676F9" w:rsidP="008676F9">
            <w:pPr>
              <w:jc w:val="center"/>
              <w:rPr>
                <w:rFonts w:ascii="Calibri" w:eastAsia="Calibri" w:hAnsi="Calibri"/>
                <w:b/>
                <w:bCs/>
                <w:sz w:val="18"/>
                <w:szCs w:val="18"/>
              </w:rPr>
            </w:pPr>
            <w:r w:rsidRPr="008676F9">
              <w:rPr>
                <w:rFonts w:ascii="Calibri" w:eastAsia="Calibri" w:hAnsi="Calibri"/>
                <w:b/>
                <w:bCs/>
                <w:sz w:val="18"/>
                <w:szCs w:val="18"/>
              </w:rPr>
              <w:t> </w:t>
            </w:r>
          </w:p>
        </w:tc>
      </w:tr>
      <w:tr w:rsidR="008676F9" w:rsidRPr="008676F9" w:rsidTr="00BB33FC">
        <w:trPr>
          <w:trHeight w:val="256"/>
        </w:trPr>
        <w:tc>
          <w:tcPr>
            <w:tcW w:w="7680" w:type="dxa"/>
            <w:gridSpan w:val="5"/>
            <w:tcBorders>
              <w:top w:val="single" w:sz="8" w:space="0" w:color="auto"/>
              <w:left w:val="single" w:sz="8" w:space="0" w:color="000000"/>
              <w:bottom w:val="nil"/>
              <w:right w:val="single" w:sz="8" w:space="0" w:color="000000"/>
            </w:tcBorders>
            <w:shd w:val="clear" w:color="000000" w:fill="FFFFFF"/>
            <w:vAlign w:val="center"/>
          </w:tcPr>
          <w:p w:rsidR="008676F9" w:rsidRPr="008676F9" w:rsidRDefault="008676F9" w:rsidP="008676F9">
            <w:pPr>
              <w:jc w:val="center"/>
              <w:rPr>
                <w:rFonts w:ascii="Calibri" w:eastAsia="Calibri" w:hAnsi="Calibri"/>
                <w:b/>
                <w:bCs/>
                <w:sz w:val="18"/>
                <w:szCs w:val="18"/>
              </w:rPr>
            </w:pPr>
            <w:r w:rsidRPr="008676F9">
              <w:rPr>
                <w:rFonts w:ascii="Calibri" w:eastAsia="Calibri" w:hAnsi="Calibri"/>
                <w:b/>
                <w:bCs/>
                <w:sz w:val="18"/>
                <w:szCs w:val="18"/>
              </w:rPr>
              <w:t> </w:t>
            </w:r>
          </w:p>
        </w:tc>
      </w:tr>
      <w:tr w:rsidR="008676F9" w:rsidRPr="008676F9" w:rsidTr="00BB33FC">
        <w:trPr>
          <w:trHeight w:val="499"/>
        </w:trPr>
        <w:tc>
          <w:tcPr>
            <w:tcW w:w="7680" w:type="dxa"/>
            <w:gridSpan w:val="5"/>
            <w:tcBorders>
              <w:top w:val="single" w:sz="8" w:space="0" w:color="000000"/>
              <w:left w:val="single" w:sz="8" w:space="0" w:color="000000"/>
              <w:bottom w:val="single" w:sz="8" w:space="0" w:color="000000"/>
              <w:right w:val="single" w:sz="8" w:space="0" w:color="000000"/>
            </w:tcBorders>
            <w:shd w:val="clear" w:color="000000" w:fill="FFFFFF"/>
            <w:noWrap/>
            <w:vAlign w:val="center"/>
          </w:tcPr>
          <w:p w:rsidR="008676F9" w:rsidRPr="008676F9" w:rsidRDefault="008676F9" w:rsidP="008676F9">
            <w:pPr>
              <w:jc w:val="center"/>
              <w:rPr>
                <w:rFonts w:ascii="Calibri" w:eastAsia="Calibri" w:hAnsi="Calibri"/>
                <w:b/>
                <w:bCs/>
                <w:sz w:val="20"/>
                <w:szCs w:val="20"/>
              </w:rPr>
            </w:pPr>
            <w:r w:rsidRPr="008676F9">
              <w:rPr>
                <w:rFonts w:ascii="Calibri" w:eastAsia="Calibri" w:hAnsi="Calibri"/>
                <w:b/>
                <w:bCs/>
                <w:sz w:val="20"/>
                <w:szCs w:val="20"/>
              </w:rPr>
              <w:t xml:space="preserve">plánovaný výstup 2014-2020 </w:t>
            </w:r>
          </w:p>
        </w:tc>
      </w:tr>
      <w:tr w:rsidR="008676F9" w:rsidRPr="008676F9" w:rsidTr="00BB33FC">
        <w:trPr>
          <w:trHeight w:val="499"/>
        </w:trPr>
        <w:tc>
          <w:tcPr>
            <w:tcW w:w="1660" w:type="dxa"/>
            <w:tcBorders>
              <w:top w:val="nil"/>
              <w:left w:val="single" w:sz="8" w:space="0" w:color="000000"/>
              <w:bottom w:val="nil"/>
              <w:right w:val="nil"/>
            </w:tcBorders>
            <w:shd w:val="clear" w:color="000000" w:fill="FFFFFF"/>
            <w:noWrap/>
            <w:vAlign w:val="center"/>
          </w:tcPr>
          <w:p w:rsidR="008676F9" w:rsidRPr="008676F9" w:rsidRDefault="008676F9" w:rsidP="008676F9">
            <w:pPr>
              <w:jc w:val="center"/>
              <w:rPr>
                <w:rFonts w:ascii="Calibri" w:eastAsia="Calibri" w:hAnsi="Calibri"/>
                <w:b/>
                <w:bCs/>
                <w:sz w:val="20"/>
                <w:szCs w:val="20"/>
              </w:rPr>
            </w:pPr>
            <w:r w:rsidRPr="008676F9">
              <w:rPr>
                <w:rFonts w:ascii="Calibri" w:eastAsia="Calibri" w:hAnsi="Calibri"/>
                <w:b/>
                <w:bCs/>
                <w:sz w:val="20"/>
                <w:szCs w:val="20"/>
              </w:rPr>
              <w:t>Opatrenia</w:t>
            </w:r>
          </w:p>
        </w:tc>
        <w:tc>
          <w:tcPr>
            <w:tcW w:w="6020" w:type="dxa"/>
            <w:gridSpan w:val="4"/>
            <w:tcBorders>
              <w:top w:val="nil"/>
              <w:left w:val="nil"/>
              <w:bottom w:val="single" w:sz="4" w:space="0" w:color="auto"/>
              <w:right w:val="single" w:sz="8" w:space="0" w:color="000000"/>
            </w:tcBorders>
            <w:shd w:val="clear" w:color="000000" w:fill="FFFFFF"/>
            <w:noWrap/>
            <w:vAlign w:val="center"/>
          </w:tcPr>
          <w:p w:rsidR="008676F9" w:rsidRPr="008676F9" w:rsidRDefault="008676F9" w:rsidP="008676F9">
            <w:pPr>
              <w:jc w:val="center"/>
              <w:rPr>
                <w:rFonts w:ascii="Calibri" w:eastAsia="Calibri" w:hAnsi="Calibri"/>
                <w:b/>
                <w:bCs/>
                <w:sz w:val="20"/>
                <w:szCs w:val="20"/>
              </w:rPr>
            </w:pPr>
            <w:r w:rsidRPr="008676F9">
              <w:rPr>
                <w:rFonts w:ascii="Calibri" w:eastAsia="Calibri" w:hAnsi="Calibri"/>
                <w:b/>
                <w:bCs/>
                <w:sz w:val="20"/>
                <w:szCs w:val="20"/>
              </w:rPr>
              <w:t> </w:t>
            </w:r>
          </w:p>
        </w:tc>
      </w:tr>
      <w:tr w:rsidR="008676F9" w:rsidRPr="008676F9" w:rsidTr="00BB33FC">
        <w:trPr>
          <w:trHeight w:val="499"/>
        </w:trPr>
        <w:tc>
          <w:tcPr>
            <w:tcW w:w="1660" w:type="dxa"/>
            <w:vMerge w:val="restart"/>
            <w:tcBorders>
              <w:top w:val="single" w:sz="4" w:space="0" w:color="auto"/>
              <w:left w:val="single" w:sz="8" w:space="0" w:color="000000"/>
              <w:bottom w:val="single" w:sz="4" w:space="0" w:color="000000"/>
              <w:right w:val="single" w:sz="4" w:space="0" w:color="auto"/>
            </w:tcBorders>
            <w:shd w:val="clear" w:color="000000" w:fill="FFFFFF"/>
            <w:vAlign w:val="center"/>
          </w:tcPr>
          <w:p w:rsidR="008676F9" w:rsidRPr="008676F9" w:rsidRDefault="008676F9" w:rsidP="008676F9">
            <w:pPr>
              <w:jc w:val="center"/>
              <w:rPr>
                <w:rFonts w:ascii="Calibri" w:eastAsia="Calibri" w:hAnsi="Calibri"/>
                <w:b/>
                <w:bCs/>
                <w:sz w:val="16"/>
                <w:szCs w:val="16"/>
              </w:rPr>
            </w:pPr>
            <w:r w:rsidRPr="008676F9">
              <w:rPr>
                <w:rFonts w:ascii="Calibri" w:eastAsia="Calibri" w:hAnsi="Calibri"/>
                <w:b/>
                <w:bCs/>
                <w:sz w:val="16"/>
                <w:szCs w:val="16"/>
              </w:rPr>
              <w:t>4  (17)</w:t>
            </w:r>
          </w:p>
        </w:tc>
        <w:tc>
          <w:tcPr>
            <w:tcW w:w="4360" w:type="dxa"/>
            <w:gridSpan w:val="3"/>
            <w:tcBorders>
              <w:top w:val="single" w:sz="4" w:space="0" w:color="auto"/>
              <w:left w:val="nil"/>
              <w:bottom w:val="single" w:sz="4" w:space="0" w:color="auto"/>
              <w:right w:val="single" w:sz="4" w:space="0" w:color="auto"/>
            </w:tcBorders>
            <w:shd w:val="clear" w:color="000000" w:fill="FFFFFF"/>
            <w:vAlign w:val="center"/>
          </w:tcPr>
          <w:p w:rsidR="008676F9" w:rsidRPr="008676F9" w:rsidRDefault="008676F9" w:rsidP="008676F9">
            <w:pPr>
              <w:rPr>
                <w:rFonts w:ascii="Calibri" w:eastAsia="Calibri" w:hAnsi="Calibri"/>
                <w:sz w:val="16"/>
                <w:szCs w:val="16"/>
              </w:rPr>
            </w:pPr>
            <w:r w:rsidRPr="008676F9">
              <w:rPr>
                <w:rFonts w:ascii="Calibri" w:eastAsia="Calibri" w:hAnsi="Calibri"/>
                <w:sz w:val="16"/>
                <w:szCs w:val="16"/>
              </w:rPr>
              <w:t>Počet podporených projektov  (4.1)</w:t>
            </w:r>
          </w:p>
        </w:tc>
        <w:tc>
          <w:tcPr>
            <w:tcW w:w="1660" w:type="dxa"/>
            <w:tcBorders>
              <w:top w:val="nil"/>
              <w:left w:val="nil"/>
              <w:bottom w:val="single" w:sz="4" w:space="0" w:color="auto"/>
              <w:right w:val="single" w:sz="8" w:space="0" w:color="000000"/>
            </w:tcBorders>
            <w:shd w:val="clear" w:color="000000" w:fill="FFFFFF"/>
            <w:noWrap/>
            <w:vAlign w:val="center"/>
          </w:tcPr>
          <w:p w:rsidR="008676F9" w:rsidRPr="008676F9" w:rsidRDefault="008676F9" w:rsidP="008676F9">
            <w:pPr>
              <w:jc w:val="right"/>
              <w:rPr>
                <w:rFonts w:ascii="Calibri" w:eastAsia="Calibri" w:hAnsi="Calibri"/>
                <w:sz w:val="20"/>
                <w:szCs w:val="20"/>
              </w:rPr>
            </w:pPr>
            <w:r w:rsidRPr="008676F9">
              <w:rPr>
                <w:rFonts w:ascii="Calibri" w:eastAsia="Calibri" w:hAnsi="Calibri"/>
                <w:sz w:val="20"/>
                <w:szCs w:val="20"/>
              </w:rPr>
              <w:t xml:space="preserve">                     75 </w:t>
            </w:r>
          </w:p>
        </w:tc>
      </w:tr>
      <w:tr w:rsidR="008676F9" w:rsidRPr="008676F9" w:rsidTr="00BB33FC">
        <w:trPr>
          <w:trHeight w:val="499"/>
        </w:trPr>
        <w:tc>
          <w:tcPr>
            <w:tcW w:w="1660" w:type="dxa"/>
            <w:vMerge/>
            <w:tcBorders>
              <w:top w:val="single" w:sz="4" w:space="0" w:color="auto"/>
              <w:left w:val="single" w:sz="8" w:space="0" w:color="000000"/>
              <w:bottom w:val="single" w:sz="4" w:space="0" w:color="000000"/>
              <w:right w:val="single" w:sz="4" w:space="0" w:color="auto"/>
            </w:tcBorders>
            <w:vAlign w:val="center"/>
          </w:tcPr>
          <w:p w:rsidR="008676F9" w:rsidRPr="008676F9" w:rsidRDefault="008676F9" w:rsidP="008676F9">
            <w:pPr>
              <w:rPr>
                <w:rFonts w:ascii="Calibri" w:eastAsia="Calibri" w:hAnsi="Calibri"/>
                <w:b/>
                <w:bCs/>
                <w:sz w:val="16"/>
                <w:szCs w:val="16"/>
              </w:rPr>
            </w:pPr>
          </w:p>
        </w:tc>
        <w:tc>
          <w:tcPr>
            <w:tcW w:w="4360" w:type="dxa"/>
            <w:gridSpan w:val="3"/>
            <w:tcBorders>
              <w:top w:val="single" w:sz="4" w:space="0" w:color="auto"/>
              <w:left w:val="nil"/>
              <w:bottom w:val="single" w:sz="4" w:space="0" w:color="auto"/>
              <w:right w:val="single" w:sz="4" w:space="0" w:color="000000"/>
            </w:tcBorders>
            <w:shd w:val="clear" w:color="000000" w:fill="FFFFFF"/>
            <w:vAlign w:val="center"/>
          </w:tcPr>
          <w:p w:rsidR="008676F9" w:rsidRPr="008676F9" w:rsidRDefault="008676F9" w:rsidP="008676F9">
            <w:pPr>
              <w:rPr>
                <w:rFonts w:ascii="Calibri" w:eastAsia="Calibri" w:hAnsi="Calibri"/>
                <w:sz w:val="16"/>
                <w:szCs w:val="16"/>
              </w:rPr>
            </w:pPr>
            <w:r w:rsidRPr="008676F9">
              <w:rPr>
                <w:rFonts w:ascii="Calibri" w:eastAsia="Calibri" w:hAnsi="Calibri"/>
                <w:sz w:val="16"/>
                <w:szCs w:val="16"/>
              </w:rPr>
              <w:t>Výmera (ha) pokrytá investíciou do závlah (t.j. efektívnejšie závlahové systémy)</w:t>
            </w:r>
          </w:p>
        </w:tc>
        <w:tc>
          <w:tcPr>
            <w:tcW w:w="1660" w:type="dxa"/>
            <w:tcBorders>
              <w:top w:val="nil"/>
              <w:left w:val="nil"/>
              <w:bottom w:val="single" w:sz="4" w:space="0" w:color="auto"/>
              <w:right w:val="single" w:sz="8" w:space="0" w:color="000000"/>
            </w:tcBorders>
            <w:shd w:val="clear" w:color="000000" w:fill="FFFFFF"/>
            <w:noWrap/>
            <w:vAlign w:val="center"/>
          </w:tcPr>
          <w:p w:rsidR="008676F9" w:rsidRPr="008676F9" w:rsidRDefault="008676F9" w:rsidP="008676F9">
            <w:pPr>
              <w:jc w:val="right"/>
              <w:rPr>
                <w:rFonts w:ascii="Calibri" w:eastAsia="Calibri" w:hAnsi="Calibri"/>
                <w:sz w:val="20"/>
                <w:szCs w:val="20"/>
              </w:rPr>
            </w:pPr>
            <w:r w:rsidRPr="008676F9">
              <w:rPr>
                <w:rFonts w:ascii="Calibri" w:eastAsia="Calibri" w:hAnsi="Calibri"/>
                <w:sz w:val="20"/>
                <w:szCs w:val="20"/>
              </w:rPr>
              <w:t xml:space="preserve">                 4 000 </w:t>
            </w:r>
          </w:p>
        </w:tc>
      </w:tr>
      <w:tr w:rsidR="008676F9" w:rsidRPr="008676F9" w:rsidTr="00BB33FC">
        <w:trPr>
          <w:trHeight w:val="499"/>
        </w:trPr>
        <w:tc>
          <w:tcPr>
            <w:tcW w:w="1660" w:type="dxa"/>
            <w:vMerge/>
            <w:tcBorders>
              <w:top w:val="single" w:sz="4" w:space="0" w:color="auto"/>
              <w:left w:val="single" w:sz="8" w:space="0" w:color="000000"/>
              <w:bottom w:val="single" w:sz="4" w:space="0" w:color="000000"/>
              <w:right w:val="single" w:sz="4" w:space="0" w:color="auto"/>
            </w:tcBorders>
            <w:vAlign w:val="center"/>
          </w:tcPr>
          <w:p w:rsidR="008676F9" w:rsidRPr="008676F9" w:rsidRDefault="008676F9" w:rsidP="008676F9">
            <w:pPr>
              <w:rPr>
                <w:rFonts w:ascii="Calibri" w:eastAsia="Calibri" w:hAnsi="Calibri"/>
                <w:b/>
                <w:bCs/>
                <w:sz w:val="16"/>
                <w:szCs w:val="16"/>
              </w:rPr>
            </w:pPr>
          </w:p>
        </w:tc>
        <w:tc>
          <w:tcPr>
            <w:tcW w:w="4360" w:type="dxa"/>
            <w:gridSpan w:val="3"/>
            <w:tcBorders>
              <w:top w:val="single" w:sz="4" w:space="0" w:color="auto"/>
              <w:left w:val="nil"/>
              <w:bottom w:val="single" w:sz="4" w:space="0" w:color="auto"/>
              <w:right w:val="single" w:sz="4" w:space="0" w:color="000000"/>
            </w:tcBorders>
            <w:shd w:val="clear" w:color="000000" w:fill="FFFFFF"/>
            <w:vAlign w:val="center"/>
          </w:tcPr>
          <w:p w:rsidR="008676F9" w:rsidRPr="008676F9" w:rsidRDefault="008676F9" w:rsidP="008676F9">
            <w:pPr>
              <w:rPr>
                <w:rFonts w:ascii="Calibri" w:eastAsia="Calibri" w:hAnsi="Calibri"/>
                <w:sz w:val="16"/>
                <w:szCs w:val="16"/>
              </w:rPr>
            </w:pPr>
            <w:r w:rsidRPr="008676F9">
              <w:rPr>
                <w:rFonts w:ascii="Calibri" w:eastAsia="Calibri" w:hAnsi="Calibri"/>
                <w:sz w:val="16"/>
                <w:szCs w:val="16"/>
              </w:rPr>
              <w:t>Celkové investície € (verejné + súkromné)</w:t>
            </w:r>
          </w:p>
        </w:tc>
        <w:tc>
          <w:tcPr>
            <w:tcW w:w="1660" w:type="dxa"/>
            <w:tcBorders>
              <w:top w:val="nil"/>
              <w:left w:val="nil"/>
              <w:bottom w:val="single" w:sz="4" w:space="0" w:color="auto"/>
              <w:right w:val="single" w:sz="8" w:space="0" w:color="000000"/>
            </w:tcBorders>
            <w:shd w:val="clear" w:color="000000" w:fill="FFFFFF"/>
            <w:noWrap/>
            <w:vAlign w:val="center"/>
          </w:tcPr>
          <w:p w:rsidR="008676F9" w:rsidRPr="008676F9" w:rsidRDefault="008676F9" w:rsidP="008676F9">
            <w:pPr>
              <w:jc w:val="right"/>
              <w:rPr>
                <w:rFonts w:ascii="Calibri" w:eastAsia="Calibri" w:hAnsi="Calibri"/>
                <w:sz w:val="20"/>
                <w:szCs w:val="20"/>
              </w:rPr>
            </w:pPr>
            <w:r w:rsidRPr="008676F9">
              <w:rPr>
                <w:rFonts w:ascii="Calibri" w:eastAsia="Calibri" w:hAnsi="Calibri"/>
                <w:sz w:val="20"/>
                <w:szCs w:val="20"/>
              </w:rPr>
              <w:t xml:space="preserve">    30 000 000,00 </w:t>
            </w:r>
          </w:p>
        </w:tc>
      </w:tr>
      <w:tr w:rsidR="008676F9" w:rsidRPr="008676F9" w:rsidTr="00BB33FC">
        <w:trPr>
          <w:trHeight w:val="510"/>
        </w:trPr>
        <w:tc>
          <w:tcPr>
            <w:tcW w:w="1660" w:type="dxa"/>
            <w:vMerge/>
            <w:tcBorders>
              <w:top w:val="single" w:sz="4" w:space="0" w:color="auto"/>
              <w:left w:val="single" w:sz="8" w:space="0" w:color="000000"/>
              <w:bottom w:val="single" w:sz="4" w:space="0" w:color="000000"/>
              <w:right w:val="single" w:sz="4" w:space="0" w:color="auto"/>
            </w:tcBorders>
            <w:vAlign w:val="center"/>
          </w:tcPr>
          <w:p w:rsidR="008676F9" w:rsidRPr="008676F9" w:rsidRDefault="008676F9" w:rsidP="008676F9">
            <w:pPr>
              <w:rPr>
                <w:rFonts w:ascii="Calibri" w:eastAsia="Calibri" w:hAnsi="Calibri"/>
                <w:b/>
                <w:bCs/>
                <w:sz w:val="16"/>
                <w:szCs w:val="16"/>
              </w:rPr>
            </w:pPr>
          </w:p>
        </w:tc>
        <w:tc>
          <w:tcPr>
            <w:tcW w:w="4360" w:type="dxa"/>
            <w:gridSpan w:val="3"/>
            <w:tcBorders>
              <w:top w:val="single" w:sz="4" w:space="0" w:color="auto"/>
              <w:left w:val="nil"/>
              <w:bottom w:val="single" w:sz="4" w:space="0" w:color="auto"/>
              <w:right w:val="single" w:sz="4" w:space="0" w:color="auto"/>
            </w:tcBorders>
            <w:shd w:val="clear" w:color="000000" w:fill="FFFFFF"/>
            <w:vAlign w:val="center"/>
          </w:tcPr>
          <w:p w:rsidR="008676F9" w:rsidRPr="008676F9" w:rsidRDefault="008676F9" w:rsidP="008676F9">
            <w:pPr>
              <w:rPr>
                <w:rFonts w:ascii="Calibri" w:eastAsia="Calibri" w:hAnsi="Calibri"/>
                <w:sz w:val="16"/>
                <w:szCs w:val="16"/>
              </w:rPr>
            </w:pPr>
            <w:r w:rsidRPr="008676F9">
              <w:rPr>
                <w:rFonts w:ascii="Calibri" w:eastAsia="Calibri" w:hAnsi="Calibri"/>
                <w:sz w:val="16"/>
                <w:szCs w:val="16"/>
              </w:rPr>
              <w:t>Celkové verejné výdavky (€)</w:t>
            </w:r>
          </w:p>
        </w:tc>
        <w:tc>
          <w:tcPr>
            <w:tcW w:w="1660" w:type="dxa"/>
            <w:tcBorders>
              <w:top w:val="nil"/>
              <w:left w:val="nil"/>
              <w:bottom w:val="single" w:sz="4" w:space="0" w:color="auto"/>
              <w:right w:val="single" w:sz="8" w:space="0" w:color="000000"/>
            </w:tcBorders>
            <w:shd w:val="clear" w:color="000000" w:fill="FFFFFF"/>
            <w:noWrap/>
            <w:vAlign w:val="center"/>
          </w:tcPr>
          <w:p w:rsidR="008676F9" w:rsidRPr="008676F9" w:rsidRDefault="008676F9" w:rsidP="008676F9">
            <w:pPr>
              <w:jc w:val="right"/>
              <w:rPr>
                <w:rFonts w:ascii="Calibri" w:eastAsia="Calibri" w:hAnsi="Calibri"/>
                <w:sz w:val="20"/>
                <w:szCs w:val="20"/>
              </w:rPr>
            </w:pPr>
            <w:r w:rsidRPr="008676F9">
              <w:rPr>
                <w:rFonts w:ascii="Calibri" w:eastAsia="Calibri" w:hAnsi="Calibri"/>
                <w:sz w:val="20"/>
                <w:szCs w:val="20"/>
              </w:rPr>
              <w:t xml:space="preserve">    15 000 000,00 </w:t>
            </w:r>
          </w:p>
        </w:tc>
      </w:tr>
      <w:tr w:rsidR="008676F9" w:rsidRPr="008676F9" w:rsidTr="00BB33FC">
        <w:trPr>
          <w:trHeight w:val="499"/>
        </w:trPr>
        <w:tc>
          <w:tcPr>
            <w:tcW w:w="1660" w:type="dxa"/>
            <w:vMerge w:val="restart"/>
            <w:tcBorders>
              <w:top w:val="nil"/>
              <w:left w:val="single" w:sz="8" w:space="0" w:color="000000"/>
              <w:bottom w:val="single" w:sz="8" w:space="0" w:color="000000"/>
              <w:right w:val="single" w:sz="4" w:space="0" w:color="auto"/>
            </w:tcBorders>
            <w:shd w:val="clear" w:color="000000" w:fill="FFFFFF"/>
            <w:vAlign w:val="center"/>
          </w:tcPr>
          <w:p w:rsidR="008676F9" w:rsidRPr="008676F9" w:rsidRDefault="008676F9" w:rsidP="008676F9">
            <w:pPr>
              <w:jc w:val="center"/>
              <w:rPr>
                <w:rFonts w:ascii="Calibri" w:eastAsia="Calibri" w:hAnsi="Calibri"/>
                <w:b/>
                <w:bCs/>
                <w:sz w:val="16"/>
                <w:szCs w:val="16"/>
              </w:rPr>
            </w:pPr>
            <w:r w:rsidRPr="008676F9">
              <w:rPr>
                <w:rFonts w:ascii="Calibri" w:eastAsia="Calibri" w:hAnsi="Calibri"/>
                <w:b/>
                <w:bCs/>
                <w:sz w:val="16"/>
                <w:szCs w:val="16"/>
              </w:rPr>
              <w:t>2 (15)</w:t>
            </w:r>
          </w:p>
        </w:tc>
        <w:tc>
          <w:tcPr>
            <w:tcW w:w="4360" w:type="dxa"/>
            <w:gridSpan w:val="3"/>
            <w:tcBorders>
              <w:top w:val="single" w:sz="4" w:space="0" w:color="auto"/>
              <w:left w:val="nil"/>
              <w:bottom w:val="single" w:sz="4" w:space="0" w:color="auto"/>
              <w:right w:val="single" w:sz="4" w:space="0" w:color="auto"/>
            </w:tcBorders>
            <w:shd w:val="clear" w:color="000000" w:fill="FFFFFF"/>
            <w:vAlign w:val="center"/>
          </w:tcPr>
          <w:p w:rsidR="008676F9" w:rsidRPr="008676F9" w:rsidRDefault="008676F9" w:rsidP="008676F9">
            <w:pPr>
              <w:rPr>
                <w:rFonts w:ascii="Calibri" w:eastAsia="Calibri" w:hAnsi="Calibri"/>
                <w:sz w:val="16"/>
                <w:szCs w:val="16"/>
              </w:rPr>
            </w:pPr>
            <w:r w:rsidRPr="008676F9">
              <w:rPr>
                <w:rFonts w:ascii="Calibri" w:eastAsia="Calibri" w:hAnsi="Calibri"/>
                <w:sz w:val="16"/>
                <w:szCs w:val="16"/>
              </w:rPr>
              <w:t>Počet subjektov, kde bolo vykonané poradenstvo (2.1)</w:t>
            </w:r>
          </w:p>
        </w:tc>
        <w:tc>
          <w:tcPr>
            <w:tcW w:w="1660" w:type="dxa"/>
            <w:tcBorders>
              <w:top w:val="nil"/>
              <w:left w:val="nil"/>
              <w:bottom w:val="single" w:sz="4" w:space="0" w:color="auto"/>
              <w:right w:val="single" w:sz="8" w:space="0" w:color="000000"/>
            </w:tcBorders>
            <w:shd w:val="clear" w:color="000000" w:fill="FFFFFF"/>
            <w:noWrap/>
            <w:vAlign w:val="center"/>
          </w:tcPr>
          <w:p w:rsidR="008676F9" w:rsidRPr="008676F9" w:rsidRDefault="008676F9" w:rsidP="008676F9">
            <w:pPr>
              <w:jc w:val="right"/>
              <w:rPr>
                <w:rFonts w:ascii="Calibri" w:eastAsia="Calibri" w:hAnsi="Calibri"/>
                <w:sz w:val="20"/>
                <w:szCs w:val="20"/>
              </w:rPr>
            </w:pPr>
            <w:r w:rsidRPr="008676F9">
              <w:rPr>
                <w:rFonts w:ascii="Calibri" w:eastAsia="Calibri" w:hAnsi="Calibri"/>
                <w:sz w:val="20"/>
                <w:szCs w:val="20"/>
              </w:rPr>
              <w:t xml:space="preserve">                     50 </w:t>
            </w:r>
          </w:p>
        </w:tc>
      </w:tr>
      <w:tr w:rsidR="008676F9" w:rsidRPr="008676F9" w:rsidTr="00BB33FC">
        <w:trPr>
          <w:trHeight w:val="499"/>
        </w:trPr>
        <w:tc>
          <w:tcPr>
            <w:tcW w:w="1660" w:type="dxa"/>
            <w:vMerge/>
            <w:tcBorders>
              <w:top w:val="nil"/>
              <w:left w:val="single" w:sz="8" w:space="0" w:color="000000"/>
              <w:bottom w:val="single" w:sz="8" w:space="0" w:color="000000"/>
              <w:right w:val="single" w:sz="4" w:space="0" w:color="auto"/>
            </w:tcBorders>
            <w:vAlign w:val="center"/>
          </w:tcPr>
          <w:p w:rsidR="008676F9" w:rsidRPr="008676F9" w:rsidRDefault="008676F9" w:rsidP="008676F9">
            <w:pPr>
              <w:rPr>
                <w:rFonts w:ascii="Calibri" w:eastAsia="Calibri" w:hAnsi="Calibri"/>
                <w:b/>
                <w:bCs/>
                <w:sz w:val="16"/>
                <w:szCs w:val="16"/>
              </w:rPr>
            </w:pPr>
          </w:p>
        </w:tc>
        <w:tc>
          <w:tcPr>
            <w:tcW w:w="4360" w:type="dxa"/>
            <w:gridSpan w:val="3"/>
            <w:tcBorders>
              <w:top w:val="single" w:sz="4" w:space="0" w:color="auto"/>
              <w:left w:val="nil"/>
              <w:bottom w:val="single" w:sz="8" w:space="0" w:color="000000"/>
              <w:right w:val="single" w:sz="4" w:space="0" w:color="auto"/>
            </w:tcBorders>
            <w:shd w:val="clear" w:color="000000" w:fill="FFFFFF"/>
            <w:vAlign w:val="center"/>
          </w:tcPr>
          <w:p w:rsidR="008676F9" w:rsidRPr="008676F9" w:rsidRDefault="008676F9" w:rsidP="008676F9">
            <w:pPr>
              <w:rPr>
                <w:rFonts w:ascii="Calibri" w:eastAsia="Calibri" w:hAnsi="Calibri"/>
                <w:sz w:val="16"/>
                <w:szCs w:val="16"/>
              </w:rPr>
            </w:pPr>
            <w:r w:rsidRPr="008676F9">
              <w:rPr>
                <w:rFonts w:ascii="Calibri" w:eastAsia="Calibri" w:hAnsi="Calibri"/>
                <w:sz w:val="16"/>
                <w:szCs w:val="16"/>
              </w:rPr>
              <w:t>Celkové verejné výdavky  € (2.1,2.3)</w:t>
            </w:r>
          </w:p>
        </w:tc>
        <w:tc>
          <w:tcPr>
            <w:tcW w:w="1660" w:type="dxa"/>
            <w:tcBorders>
              <w:top w:val="nil"/>
              <w:left w:val="nil"/>
              <w:bottom w:val="single" w:sz="8" w:space="0" w:color="000000"/>
              <w:right w:val="single" w:sz="8" w:space="0" w:color="000000"/>
            </w:tcBorders>
            <w:shd w:val="clear" w:color="000000" w:fill="FFFFFF"/>
            <w:noWrap/>
            <w:vAlign w:val="center"/>
          </w:tcPr>
          <w:p w:rsidR="008676F9" w:rsidRPr="008676F9" w:rsidRDefault="008676F9" w:rsidP="008676F9">
            <w:pPr>
              <w:jc w:val="right"/>
              <w:rPr>
                <w:rFonts w:ascii="Calibri" w:eastAsia="Calibri" w:hAnsi="Calibri"/>
                <w:sz w:val="20"/>
                <w:szCs w:val="20"/>
              </w:rPr>
            </w:pPr>
            <w:r w:rsidRPr="008676F9">
              <w:rPr>
                <w:rFonts w:ascii="Calibri" w:eastAsia="Calibri" w:hAnsi="Calibri"/>
                <w:sz w:val="20"/>
                <w:szCs w:val="20"/>
              </w:rPr>
              <w:t xml:space="preserve">           95 000,00 </w:t>
            </w:r>
          </w:p>
        </w:tc>
      </w:tr>
    </w:tbl>
    <w:p w:rsidR="008676F9" w:rsidRPr="008676F9" w:rsidRDefault="008676F9" w:rsidP="008676F9">
      <w:pPr>
        <w:spacing w:after="200" w:line="276" w:lineRule="auto"/>
        <w:rPr>
          <w:rFonts w:ascii="Calibri" w:eastAsia="Calibri" w:hAnsi="Calibri"/>
          <w:noProof/>
          <w:szCs w:val="22"/>
        </w:rPr>
      </w:pPr>
      <w:r w:rsidRPr="008676F9">
        <w:rPr>
          <w:rFonts w:ascii="Calibri" w:eastAsia="Calibri" w:hAnsi="Calibri"/>
          <w:noProof/>
          <w:szCs w:val="22"/>
        </w:rPr>
        <w:br w:type="page"/>
      </w:r>
    </w:p>
    <w:tbl>
      <w:tblPr>
        <w:tblW w:w="7680" w:type="dxa"/>
        <w:tblInd w:w="55" w:type="dxa"/>
        <w:tblCellMar>
          <w:left w:w="70" w:type="dxa"/>
          <w:right w:w="70" w:type="dxa"/>
        </w:tblCellMar>
        <w:tblLook w:val="00A0" w:firstRow="1" w:lastRow="0" w:firstColumn="1" w:lastColumn="0" w:noHBand="0" w:noVBand="0"/>
      </w:tblPr>
      <w:tblGrid>
        <w:gridCol w:w="1660"/>
        <w:gridCol w:w="1660"/>
        <w:gridCol w:w="2700"/>
        <w:gridCol w:w="1660"/>
      </w:tblGrid>
      <w:tr w:rsidR="008676F9" w:rsidRPr="00E820E4" w:rsidTr="00BB33FC">
        <w:trPr>
          <w:trHeight w:val="499"/>
        </w:trPr>
        <w:tc>
          <w:tcPr>
            <w:tcW w:w="7680" w:type="dxa"/>
            <w:gridSpan w:val="4"/>
            <w:tcBorders>
              <w:top w:val="single" w:sz="8" w:space="0" w:color="000000"/>
              <w:left w:val="single" w:sz="8" w:space="0" w:color="000000"/>
              <w:bottom w:val="single" w:sz="8" w:space="0" w:color="auto"/>
              <w:right w:val="single" w:sz="8" w:space="0" w:color="000000"/>
            </w:tcBorders>
            <w:shd w:val="clear" w:color="auto" w:fill="FFFF00"/>
            <w:vAlign w:val="center"/>
          </w:tcPr>
          <w:p w:rsidR="008676F9" w:rsidRPr="00E820E4" w:rsidRDefault="008676F9" w:rsidP="00E820E4">
            <w:pPr>
              <w:ind w:left="371" w:hanging="371"/>
              <w:jc w:val="left"/>
              <w:rPr>
                <w:rFonts w:ascii="Calibri" w:eastAsia="Calibri" w:hAnsi="Calibri"/>
                <w:b/>
                <w:bCs/>
                <w:color w:val="000000"/>
                <w:szCs w:val="22"/>
              </w:rPr>
            </w:pPr>
            <w:r w:rsidRPr="00E820E4">
              <w:rPr>
                <w:rFonts w:ascii="Calibri" w:eastAsia="Calibri" w:hAnsi="Calibri"/>
                <w:b/>
                <w:bCs/>
                <w:color w:val="000000"/>
                <w:szCs w:val="22"/>
              </w:rPr>
              <w:t xml:space="preserve">5B Zvýšenie efektívnosti využívania energie v poľnohospodárstve a pri spracovaní potravín </w:t>
            </w:r>
          </w:p>
        </w:tc>
      </w:tr>
      <w:tr w:rsidR="008676F9" w:rsidRPr="008676F9" w:rsidTr="00BB33FC">
        <w:trPr>
          <w:trHeight w:val="499"/>
        </w:trPr>
        <w:tc>
          <w:tcPr>
            <w:tcW w:w="1660" w:type="dxa"/>
            <w:vMerge w:val="restart"/>
            <w:tcBorders>
              <w:top w:val="nil"/>
              <w:left w:val="single" w:sz="8" w:space="0" w:color="000000"/>
              <w:bottom w:val="single" w:sz="8" w:space="0" w:color="000000"/>
              <w:right w:val="single" w:sz="4" w:space="0" w:color="auto"/>
            </w:tcBorders>
            <w:shd w:val="clear" w:color="000000" w:fill="FFFFFF"/>
            <w:noWrap/>
            <w:vAlign w:val="center"/>
          </w:tcPr>
          <w:p w:rsidR="008676F9" w:rsidRPr="008676F9" w:rsidRDefault="008676F9" w:rsidP="008676F9">
            <w:pPr>
              <w:jc w:val="center"/>
              <w:rPr>
                <w:rFonts w:ascii="Calibri" w:eastAsia="Calibri" w:hAnsi="Calibri"/>
                <w:b/>
                <w:bCs/>
                <w:sz w:val="18"/>
                <w:szCs w:val="18"/>
              </w:rPr>
            </w:pPr>
            <w:r w:rsidRPr="008676F9">
              <w:rPr>
                <w:rFonts w:ascii="Calibri" w:eastAsia="Calibri" w:hAnsi="Calibri"/>
                <w:b/>
                <w:bCs/>
                <w:sz w:val="18"/>
                <w:szCs w:val="18"/>
              </w:rPr>
              <w:t>Cieľová hodnota</w:t>
            </w:r>
          </w:p>
        </w:tc>
        <w:tc>
          <w:tcPr>
            <w:tcW w:w="6020" w:type="dxa"/>
            <w:gridSpan w:val="3"/>
            <w:tcBorders>
              <w:top w:val="single" w:sz="8" w:space="0" w:color="auto"/>
              <w:left w:val="nil"/>
              <w:bottom w:val="single" w:sz="4" w:space="0" w:color="auto"/>
              <w:right w:val="single" w:sz="8" w:space="0" w:color="000000"/>
            </w:tcBorders>
            <w:shd w:val="clear" w:color="000000" w:fill="FFFFFF"/>
            <w:vAlign w:val="center"/>
          </w:tcPr>
          <w:p w:rsidR="008676F9" w:rsidRPr="008676F9" w:rsidRDefault="008676F9" w:rsidP="008676F9">
            <w:pPr>
              <w:jc w:val="center"/>
              <w:rPr>
                <w:rFonts w:ascii="Calibri" w:eastAsia="Calibri" w:hAnsi="Calibri"/>
                <w:b/>
                <w:bCs/>
                <w:sz w:val="18"/>
                <w:szCs w:val="18"/>
              </w:rPr>
            </w:pPr>
            <w:r w:rsidRPr="008676F9">
              <w:rPr>
                <w:rFonts w:ascii="Calibri" w:eastAsia="Calibri" w:hAnsi="Calibri"/>
                <w:b/>
                <w:bCs/>
                <w:sz w:val="18"/>
                <w:szCs w:val="18"/>
              </w:rPr>
              <w:t>Celkové investície na úsporu energie a zvýšenie účinnosti (€)</w:t>
            </w:r>
          </w:p>
        </w:tc>
      </w:tr>
      <w:tr w:rsidR="008676F9" w:rsidRPr="008676F9" w:rsidTr="00BB33FC">
        <w:trPr>
          <w:trHeight w:val="499"/>
        </w:trPr>
        <w:tc>
          <w:tcPr>
            <w:tcW w:w="1660" w:type="dxa"/>
            <w:vMerge/>
            <w:tcBorders>
              <w:top w:val="nil"/>
              <w:left w:val="single" w:sz="8" w:space="0" w:color="000000"/>
              <w:bottom w:val="single" w:sz="8" w:space="0" w:color="000000"/>
              <w:right w:val="single" w:sz="4" w:space="0" w:color="auto"/>
            </w:tcBorders>
            <w:vAlign w:val="center"/>
          </w:tcPr>
          <w:p w:rsidR="008676F9" w:rsidRPr="008676F9" w:rsidRDefault="008676F9" w:rsidP="008676F9">
            <w:pPr>
              <w:rPr>
                <w:rFonts w:ascii="Calibri" w:eastAsia="Calibri" w:hAnsi="Calibri"/>
                <w:b/>
                <w:bCs/>
                <w:sz w:val="18"/>
                <w:szCs w:val="18"/>
              </w:rPr>
            </w:pPr>
          </w:p>
        </w:tc>
        <w:tc>
          <w:tcPr>
            <w:tcW w:w="6020" w:type="dxa"/>
            <w:gridSpan w:val="3"/>
            <w:tcBorders>
              <w:top w:val="single" w:sz="4" w:space="0" w:color="auto"/>
              <w:left w:val="nil"/>
              <w:bottom w:val="single" w:sz="4" w:space="0" w:color="auto"/>
              <w:right w:val="single" w:sz="8" w:space="0" w:color="000000"/>
            </w:tcBorders>
            <w:shd w:val="clear" w:color="000000" w:fill="FFFFFF"/>
            <w:vAlign w:val="center"/>
          </w:tcPr>
          <w:p w:rsidR="008676F9" w:rsidRPr="008676F9" w:rsidRDefault="008676F9" w:rsidP="008676F9">
            <w:pPr>
              <w:jc w:val="center"/>
              <w:rPr>
                <w:rFonts w:ascii="Calibri" w:eastAsia="Calibri" w:hAnsi="Calibri"/>
                <w:b/>
                <w:bCs/>
                <w:sz w:val="18"/>
                <w:szCs w:val="18"/>
              </w:rPr>
            </w:pPr>
            <w:r w:rsidRPr="008676F9">
              <w:rPr>
                <w:rFonts w:ascii="Calibri" w:eastAsia="Calibri" w:hAnsi="Calibri"/>
                <w:b/>
                <w:bCs/>
                <w:sz w:val="18"/>
                <w:szCs w:val="18"/>
              </w:rPr>
              <w:t>r.2020</w:t>
            </w:r>
          </w:p>
        </w:tc>
      </w:tr>
      <w:tr w:rsidR="008676F9" w:rsidRPr="008676F9" w:rsidTr="00BB33FC">
        <w:trPr>
          <w:trHeight w:val="499"/>
        </w:trPr>
        <w:tc>
          <w:tcPr>
            <w:tcW w:w="1660" w:type="dxa"/>
            <w:vMerge/>
            <w:tcBorders>
              <w:top w:val="nil"/>
              <w:left w:val="single" w:sz="8" w:space="0" w:color="000000"/>
              <w:bottom w:val="single" w:sz="8" w:space="0" w:color="000000"/>
              <w:right w:val="single" w:sz="4" w:space="0" w:color="auto"/>
            </w:tcBorders>
            <w:vAlign w:val="center"/>
          </w:tcPr>
          <w:p w:rsidR="008676F9" w:rsidRPr="008676F9" w:rsidRDefault="008676F9" w:rsidP="008676F9">
            <w:pPr>
              <w:rPr>
                <w:rFonts w:ascii="Calibri" w:eastAsia="Calibri" w:hAnsi="Calibri"/>
                <w:b/>
                <w:bCs/>
                <w:sz w:val="18"/>
                <w:szCs w:val="18"/>
              </w:rPr>
            </w:pPr>
          </w:p>
        </w:tc>
        <w:tc>
          <w:tcPr>
            <w:tcW w:w="6020" w:type="dxa"/>
            <w:gridSpan w:val="3"/>
            <w:tcBorders>
              <w:top w:val="single" w:sz="4" w:space="0" w:color="auto"/>
              <w:left w:val="nil"/>
              <w:bottom w:val="single" w:sz="8" w:space="0" w:color="auto"/>
              <w:right w:val="single" w:sz="8" w:space="0" w:color="000000"/>
            </w:tcBorders>
            <w:shd w:val="clear" w:color="000000" w:fill="FFFFFF"/>
            <w:vAlign w:val="center"/>
          </w:tcPr>
          <w:p w:rsidR="008676F9" w:rsidRPr="008676F9" w:rsidRDefault="008676F9" w:rsidP="008676F9">
            <w:pPr>
              <w:jc w:val="center"/>
              <w:rPr>
                <w:rFonts w:ascii="Calibri" w:eastAsia="Calibri" w:hAnsi="Calibri"/>
                <w:b/>
                <w:bCs/>
                <w:sz w:val="18"/>
                <w:szCs w:val="18"/>
              </w:rPr>
            </w:pPr>
            <w:r w:rsidRPr="008676F9">
              <w:rPr>
                <w:rFonts w:ascii="Calibri" w:eastAsia="Calibri" w:hAnsi="Calibri"/>
                <w:b/>
                <w:bCs/>
                <w:sz w:val="18"/>
                <w:szCs w:val="18"/>
              </w:rPr>
              <w:t xml:space="preserve">80 000 000,00 </w:t>
            </w:r>
          </w:p>
        </w:tc>
      </w:tr>
      <w:tr w:rsidR="008676F9" w:rsidRPr="008676F9" w:rsidTr="00BB33FC">
        <w:trPr>
          <w:trHeight w:val="174"/>
        </w:trPr>
        <w:tc>
          <w:tcPr>
            <w:tcW w:w="7680" w:type="dxa"/>
            <w:gridSpan w:val="4"/>
            <w:tcBorders>
              <w:top w:val="single" w:sz="8" w:space="0" w:color="auto"/>
              <w:left w:val="single" w:sz="8" w:space="0" w:color="000000"/>
              <w:bottom w:val="single" w:sz="8" w:space="0" w:color="000000"/>
              <w:right w:val="single" w:sz="8" w:space="0" w:color="000000"/>
            </w:tcBorders>
            <w:shd w:val="clear" w:color="000000" w:fill="FFFFFF"/>
            <w:noWrap/>
            <w:vAlign w:val="center"/>
          </w:tcPr>
          <w:p w:rsidR="008676F9" w:rsidRPr="008676F9" w:rsidRDefault="008676F9" w:rsidP="008676F9">
            <w:pPr>
              <w:jc w:val="center"/>
              <w:rPr>
                <w:rFonts w:ascii="Calibri" w:eastAsia="Calibri" w:hAnsi="Calibri"/>
                <w:b/>
                <w:bCs/>
                <w:sz w:val="18"/>
                <w:szCs w:val="18"/>
              </w:rPr>
            </w:pPr>
            <w:r w:rsidRPr="008676F9">
              <w:rPr>
                <w:rFonts w:ascii="Calibri" w:eastAsia="Calibri" w:hAnsi="Calibri"/>
                <w:b/>
                <w:bCs/>
                <w:sz w:val="18"/>
                <w:szCs w:val="18"/>
              </w:rPr>
              <w:t> </w:t>
            </w:r>
          </w:p>
        </w:tc>
      </w:tr>
      <w:tr w:rsidR="008676F9" w:rsidRPr="008676F9" w:rsidTr="00BB33FC">
        <w:trPr>
          <w:trHeight w:val="499"/>
        </w:trPr>
        <w:tc>
          <w:tcPr>
            <w:tcW w:w="7680" w:type="dxa"/>
            <w:gridSpan w:val="4"/>
            <w:tcBorders>
              <w:top w:val="single" w:sz="8" w:space="0" w:color="000000"/>
              <w:left w:val="single" w:sz="8" w:space="0" w:color="000000"/>
              <w:bottom w:val="single" w:sz="8" w:space="0" w:color="000000"/>
              <w:right w:val="single" w:sz="8" w:space="0" w:color="000000"/>
            </w:tcBorders>
            <w:shd w:val="clear" w:color="000000" w:fill="FFFFFF"/>
            <w:noWrap/>
            <w:vAlign w:val="center"/>
          </w:tcPr>
          <w:p w:rsidR="008676F9" w:rsidRPr="008676F9" w:rsidRDefault="008676F9" w:rsidP="008676F9">
            <w:pPr>
              <w:jc w:val="center"/>
              <w:rPr>
                <w:rFonts w:ascii="Calibri" w:eastAsia="Calibri" w:hAnsi="Calibri"/>
                <w:b/>
                <w:bCs/>
                <w:sz w:val="20"/>
                <w:szCs w:val="20"/>
              </w:rPr>
            </w:pPr>
            <w:r w:rsidRPr="008676F9">
              <w:rPr>
                <w:rFonts w:ascii="Calibri" w:eastAsia="Calibri" w:hAnsi="Calibri"/>
                <w:b/>
                <w:bCs/>
                <w:sz w:val="20"/>
                <w:szCs w:val="20"/>
              </w:rPr>
              <w:t>plánovaný výstup  2014-2020</w:t>
            </w:r>
          </w:p>
        </w:tc>
      </w:tr>
      <w:tr w:rsidR="008676F9" w:rsidRPr="008676F9" w:rsidTr="00BB33FC">
        <w:trPr>
          <w:trHeight w:val="499"/>
        </w:trPr>
        <w:tc>
          <w:tcPr>
            <w:tcW w:w="1660" w:type="dxa"/>
            <w:tcBorders>
              <w:top w:val="nil"/>
              <w:left w:val="single" w:sz="8" w:space="0" w:color="000000"/>
              <w:bottom w:val="nil"/>
              <w:right w:val="nil"/>
            </w:tcBorders>
            <w:shd w:val="clear" w:color="000000" w:fill="FFFFFF"/>
            <w:noWrap/>
            <w:vAlign w:val="center"/>
          </w:tcPr>
          <w:p w:rsidR="008676F9" w:rsidRPr="008676F9" w:rsidRDefault="008676F9" w:rsidP="008676F9">
            <w:pPr>
              <w:jc w:val="center"/>
              <w:rPr>
                <w:rFonts w:ascii="Calibri" w:eastAsia="Calibri" w:hAnsi="Calibri"/>
                <w:b/>
                <w:bCs/>
                <w:sz w:val="20"/>
                <w:szCs w:val="20"/>
              </w:rPr>
            </w:pPr>
            <w:r w:rsidRPr="008676F9">
              <w:rPr>
                <w:rFonts w:ascii="Calibri" w:eastAsia="Calibri" w:hAnsi="Calibri"/>
                <w:b/>
                <w:bCs/>
                <w:sz w:val="20"/>
                <w:szCs w:val="20"/>
              </w:rPr>
              <w:t>Opatrenia</w:t>
            </w:r>
          </w:p>
        </w:tc>
        <w:tc>
          <w:tcPr>
            <w:tcW w:w="6020" w:type="dxa"/>
            <w:gridSpan w:val="3"/>
            <w:tcBorders>
              <w:top w:val="nil"/>
              <w:left w:val="nil"/>
              <w:bottom w:val="single" w:sz="4" w:space="0" w:color="auto"/>
              <w:right w:val="single" w:sz="8" w:space="0" w:color="000000"/>
            </w:tcBorders>
            <w:shd w:val="clear" w:color="000000" w:fill="FFFFFF"/>
            <w:noWrap/>
            <w:vAlign w:val="center"/>
          </w:tcPr>
          <w:p w:rsidR="008676F9" w:rsidRPr="008676F9" w:rsidRDefault="008676F9" w:rsidP="008676F9">
            <w:pPr>
              <w:jc w:val="center"/>
              <w:rPr>
                <w:rFonts w:ascii="Calibri" w:eastAsia="Calibri" w:hAnsi="Calibri"/>
                <w:b/>
                <w:bCs/>
                <w:sz w:val="20"/>
                <w:szCs w:val="20"/>
              </w:rPr>
            </w:pPr>
            <w:r w:rsidRPr="008676F9">
              <w:rPr>
                <w:rFonts w:ascii="Calibri" w:eastAsia="Calibri" w:hAnsi="Calibri"/>
                <w:b/>
                <w:bCs/>
                <w:sz w:val="20"/>
                <w:szCs w:val="20"/>
              </w:rPr>
              <w:t> </w:t>
            </w:r>
          </w:p>
        </w:tc>
      </w:tr>
      <w:tr w:rsidR="008676F9" w:rsidRPr="008676F9" w:rsidTr="00BB33FC">
        <w:trPr>
          <w:trHeight w:val="705"/>
        </w:trPr>
        <w:tc>
          <w:tcPr>
            <w:tcW w:w="1660" w:type="dxa"/>
            <w:vMerge w:val="restart"/>
            <w:tcBorders>
              <w:top w:val="single" w:sz="4" w:space="0" w:color="auto"/>
              <w:left w:val="single" w:sz="8" w:space="0" w:color="000000"/>
              <w:bottom w:val="single" w:sz="4" w:space="0" w:color="000000"/>
              <w:right w:val="single" w:sz="4" w:space="0" w:color="auto"/>
            </w:tcBorders>
            <w:shd w:val="clear" w:color="000000" w:fill="FFFFFF"/>
            <w:vAlign w:val="center"/>
          </w:tcPr>
          <w:p w:rsidR="008676F9" w:rsidRPr="008676F9" w:rsidRDefault="008676F9" w:rsidP="008676F9">
            <w:pPr>
              <w:jc w:val="center"/>
              <w:rPr>
                <w:rFonts w:ascii="Calibri" w:eastAsia="Calibri" w:hAnsi="Calibri"/>
                <w:b/>
                <w:bCs/>
                <w:sz w:val="16"/>
                <w:szCs w:val="16"/>
              </w:rPr>
            </w:pPr>
            <w:r w:rsidRPr="008676F9">
              <w:rPr>
                <w:rFonts w:ascii="Calibri" w:eastAsia="Calibri" w:hAnsi="Calibri"/>
                <w:b/>
                <w:bCs/>
                <w:sz w:val="16"/>
                <w:szCs w:val="16"/>
              </w:rPr>
              <w:t>4 (17)</w:t>
            </w:r>
          </w:p>
        </w:tc>
        <w:tc>
          <w:tcPr>
            <w:tcW w:w="4360" w:type="dxa"/>
            <w:gridSpan w:val="2"/>
            <w:tcBorders>
              <w:top w:val="single" w:sz="4" w:space="0" w:color="auto"/>
              <w:left w:val="nil"/>
              <w:bottom w:val="single" w:sz="4" w:space="0" w:color="auto"/>
              <w:right w:val="single" w:sz="4" w:space="0" w:color="auto"/>
            </w:tcBorders>
            <w:shd w:val="clear" w:color="000000" w:fill="FFFFFF"/>
            <w:vAlign w:val="center"/>
          </w:tcPr>
          <w:p w:rsidR="008676F9" w:rsidRPr="008676F9" w:rsidRDefault="008676F9" w:rsidP="00255E13">
            <w:pPr>
              <w:jc w:val="left"/>
              <w:rPr>
                <w:rFonts w:ascii="Calibri" w:eastAsia="Calibri" w:hAnsi="Calibri"/>
                <w:sz w:val="16"/>
                <w:szCs w:val="16"/>
              </w:rPr>
            </w:pPr>
            <w:r w:rsidRPr="008676F9">
              <w:rPr>
                <w:rFonts w:ascii="Calibri" w:eastAsia="Calibri" w:hAnsi="Calibri"/>
                <w:sz w:val="16"/>
                <w:szCs w:val="16"/>
              </w:rPr>
              <w:t xml:space="preserve">Počet podporených projektov (v poľ. podnikoch, v spracovaní a odbyte poľ. produktov) (4.1 a 4.2) </w:t>
            </w:r>
          </w:p>
        </w:tc>
        <w:tc>
          <w:tcPr>
            <w:tcW w:w="1660" w:type="dxa"/>
            <w:tcBorders>
              <w:top w:val="nil"/>
              <w:left w:val="nil"/>
              <w:bottom w:val="single" w:sz="4" w:space="0" w:color="auto"/>
              <w:right w:val="single" w:sz="8" w:space="0" w:color="000000"/>
            </w:tcBorders>
            <w:shd w:val="clear" w:color="000000" w:fill="FFFFFF"/>
            <w:noWrap/>
            <w:vAlign w:val="center"/>
          </w:tcPr>
          <w:p w:rsidR="008676F9" w:rsidRPr="008676F9" w:rsidRDefault="008676F9" w:rsidP="008676F9">
            <w:pPr>
              <w:jc w:val="right"/>
              <w:rPr>
                <w:rFonts w:ascii="Calibri" w:eastAsia="Calibri" w:hAnsi="Calibri"/>
                <w:sz w:val="20"/>
                <w:szCs w:val="20"/>
              </w:rPr>
            </w:pPr>
            <w:r w:rsidRPr="008676F9">
              <w:rPr>
                <w:rFonts w:ascii="Calibri" w:eastAsia="Calibri" w:hAnsi="Calibri"/>
                <w:sz w:val="20"/>
                <w:szCs w:val="20"/>
              </w:rPr>
              <w:t xml:space="preserve">                     100 </w:t>
            </w:r>
          </w:p>
        </w:tc>
      </w:tr>
      <w:tr w:rsidR="008676F9" w:rsidRPr="008676F9" w:rsidTr="00BB33FC">
        <w:trPr>
          <w:trHeight w:val="499"/>
        </w:trPr>
        <w:tc>
          <w:tcPr>
            <w:tcW w:w="1660" w:type="dxa"/>
            <w:vMerge/>
            <w:tcBorders>
              <w:top w:val="single" w:sz="4" w:space="0" w:color="auto"/>
              <w:left w:val="single" w:sz="8" w:space="0" w:color="000000"/>
              <w:bottom w:val="single" w:sz="4" w:space="0" w:color="000000"/>
              <w:right w:val="single" w:sz="4" w:space="0" w:color="auto"/>
            </w:tcBorders>
            <w:vAlign w:val="center"/>
          </w:tcPr>
          <w:p w:rsidR="008676F9" w:rsidRPr="008676F9" w:rsidRDefault="008676F9" w:rsidP="008676F9">
            <w:pPr>
              <w:rPr>
                <w:rFonts w:ascii="Calibri" w:eastAsia="Calibri" w:hAnsi="Calibri"/>
                <w:b/>
                <w:bCs/>
                <w:sz w:val="16"/>
                <w:szCs w:val="16"/>
              </w:rPr>
            </w:pPr>
          </w:p>
        </w:tc>
        <w:tc>
          <w:tcPr>
            <w:tcW w:w="4360" w:type="dxa"/>
            <w:gridSpan w:val="2"/>
            <w:tcBorders>
              <w:top w:val="single" w:sz="4" w:space="0" w:color="auto"/>
              <w:left w:val="nil"/>
              <w:bottom w:val="single" w:sz="4" w:space="0" w:color="auto"/>
              <w:right w:val="single" w:sz="4" w:space="0" w:color="auto"/>
            </w:tcBorders>
            <w:shd w:val="clear" w:color="000000" w:fill="FFFFFF"/>
            <w:vAlign w:val="center"/>
          </w:tcPr>
          <w:p w:rsidR="008676F9" w:rsidRPr="008676F9" w:rsidRDefault="008676F9" w:rsidP="00255E13">
            <w:pPr>
              <w:jc w:val="left"/>
              <w:rPr>
                <w:rFonts w:ascii="Calibri" w:eastAsia="Calibri" w:hAnsi="Calibri"/>
                <w:sz w:val="16"/>
                <w:szCs w:val="16"/>
              </w:rPr>
            </w:pPr>
            <w:r w:rsidRPr="008676F9">
              <w:rPr>
                <w:rFonts w:ascii="Calibri" w:eastAsia="Calibri" w:hAnsi="Calibri"/>
                <w:sz w:val="16"/>
                <w:szCs w:val="16"/>
              </w:rPr>
              <w:t>Celkové investície € (verejné a súkromné )</w:t>
            </w:r>
          </w:p>
        </w:tc>
        <w:tc>
          <w:tcPr>
            <w:tcW w:w="1660" w:type="dxa"/>
            <w:tcBorders>
              <w:top w:val="nil"/>
              <w:left w:val="nil"/>
              <w:bottom w:val="single" w:sz="4" w:space="0" w:color="auto"/>
              <w:right w:val="single" w:sz="8" w:space="0" w:color="000000"/>
            </w:tcBorders>
            <w:shd w:val="clear" w:color="000000" w:fill="FFFFFF"/>
            <w:noWrap/>
            <w:vAlign w:val="center"/>
          </w:tcPr>
          <w:p w:rsidR="008676F9" w:rsidRPr="008676F9" w:rsidRDefault="008676F9" w:rsidP="008676F9">
            <w:pPr>
              <w:jc w:val="right"/>
              <w:rPr>
                <w:rFonts w:ascii="Calibri" w:eastAsia="Calibri" w:hAnsi="Calibri"/>
                <w:sz w:val="20"/>
                <w:szCs w:val="20"/>
              </w:rPr>
            </w:pPr>
            <w:r w:rsidRPr="008676F9">
              <w:rPr>
                <w:rFonts w:ascii="Calibri" w:eastAsia="Calibri" w:hAnsi="Calibri"/>
                <w:sz w:val="20"/>
                <w:szCs w:val="20"/>
              </w:rPr>
              <w:t xml:space="preserve">    80 000 000,00 </w:t>
            </w:r>
          </w:p>
        </w:tc>
      </w:tr>
      <w:tr w:rsidR="008676F9" w:rsidRPr="008676F9" w:rsidTr="00BB33FC">
        <w:trPr>
          <w:trHeight w:val="499"/>
        </w:trPr>
        <w:tc>
          <w:tcPr>
            <w:tcW w:w="1660" w:type="dxa"/>
            <w:vMerge/>
            <w:tcBorders>
              <w:top w:val="single" w:sz="4" w:space="0" w:color="auto"/>
              <w:left w:val="single" w:sz="8" w:space="0" w:color="000000"/>
              <w:bottom w:val="single" w:sz="4" w:space="0" w:color="000000"/>
              <w:right w:val="single" w:sz="4" w:space="0" w:color="auto"/>
            </w:tcBorders>
            <w:vAlign w:val="center"/>
          </w:tcPr>
          <w:p w:rsidR="008676F9" w:rsidRPr="008676F9" w:rsidRDefault="008676F9" w:rsidP="008676F9">
            <w:pPr>
              <w:rPr>
                <w:rFonts w:ascii="Calibri" w:eastAsia="Calibri" w:hAnsi="Calibri"/>
                <w:b/>
                <w:bCs/>
                <w:sz w:val="16"/>
                <w:szCs w:val="16"/>
              </w:rPr>
            </w:pPr>
          </w:p>
        </w:tc>
        <w:tc>
          <w:tcPr>
            <w:tcW w:w="4360" w:type="dxa"/>
            <w:gridSpan w:val="2"/>
            <w:tcBorders>
              <w:top w:val="single" w:sz="4" w:space="0" w:color="auto"/>
              <w:left w:val="nil"/>
              <w:bottom w:val="single" w:sz="4" w:space="0" w:color="auto"/>
              <w:right w:val="single" w:sz="4" w:space="0" w:color="auto"/>
            </w:tcBorders>
            <w:shd w:val="clear" w:color="000000" w:fill="FFFFFF"/>
            <w:vAlign w:val="center"/>
          </w:tcPr>
          <w:p w:rsidR="008676F9" w:rsidRPr="008676F9" w:rsidRDefault="008676F9" w:rsidP="00255E13">
            <w:pPr>
              <w:jc w:val="left"/>
              <w:rPr>
                <w:rFonts w:ascii="Calibri" w:eastAsia="Calibri" w:hAnsi="Calibri"/>
                <w:sz w:val="16"/>
                <w:szCs w:val="16"/>
              </w:rPr>
            </w:pPr>
            <w:r w:rsidRPr="008676F9">
              <w:rPr>
                <w:rFonts w:ascii="Calibri" w:eastAsia="Calibri" w:hAnsi="Calibri"/>
                <w:sz w:val="16"/>
                <w:szCs w:val="16"/>
              </w:rPr>
              <w:t>Celkové verejné investície (€)</w:t>
            </w:r>
          </w:p>
        </w:tc>
        <w:tc>
          <w:tcPr>
            <w:tcW w:w="1660" w:type="dxa"/>
            <w:tcBorders>
              <w:top w:val="nil"/>
              <w:left w:val="nil"/>
              <w:bottom w:val="single" w:sz="4" w:space="0" w:color="auto"/>
              <w:right w:val="single" w:sz="8" w:space="0" w:color="000000"/>
            </w:tcBorders>
            <w:shd w:val="clear" w:color="000000" w:fill="FFFFFF"/>
            <w:noWrap/>
            <w:vAlign w:val="center"/>
          </w:tcPr>
          <w:p w:rsidR="008676F9" w:rsidRPr="008676F9" w:rsidRDefault="008676F9" w:rsidP="008676F9">
            <w:pPr>
              <w:jc w:val="right"/>
              <w:rPr>
                <w:rFonts w:ascii="Calibri" w:eastAsia="Calibri" w:hAnsi="Calibri"/>
                <w:sz w:val="20"/>
                <w:szCs w:val="20"/>
              </w:rPr>
            </w:pPr>
            <w:r w:rsidRPr="008676F9">
              <w:rPr>
                <w:rFonts w:ascii="Calibri" w:eastAsia="Calibri" w:hAnsi="Calibri"/>
                <w:sz w:val="20"/>
                <w:szCs w:val="20"/>
              </w:rPr>
              <w:t xml:space="preserve">    40 000 000,00 </w:t>
            </w:r>
          </w:p>
        </w:tc>
      </w:tr>
      <w:tr w:rsidR="00255E13" w:rsidRPr="008676F9" w:rsidTr="00BB33FC">
        <w:trPr>
          <w:trHeight w:val="499"/>
        </w:trPr>
        <w:tc>
          <w:tcPr>
            <w:tcW w:w="1660" w:type="dxa"/>
            <w:vMerge w:val="restart"/>
            <w:tcBorders>
              <w:top w:val="nil"/>
              <w:left w:val="single" w:sz="8" w:space="0" w:color="000000"/>
              <w:bottom w:val="single" w:sz="4" w:space="0" w:color="000000"/>
              <w:right w:val="single" w:sz="4" w:space="0" w:color="auto"/>
            </w:tcBorders>
            <w:shd w:val="clear" w:color="000000" w:fill="FFFFFF"/>
            <w:vAlign w:val="center"/>
          </w:tcPr>
          <w:p w:rsidR="00255E13" w:rsidRPr="008676F9" w:rsidRDefault="00255E13" w:rsidP="008676F9">
            <w:pPr>
              <w:jc w:val="center"/>
              <w:rPr>
                <w:rFonts w:ascii="Calibri" w:eastAsia="Calibri" w:hAnsi="Calibri"/>
                <w:b/>
                <w:bCs/>
                <w:sz w:val="16"/>
                <w:szCs w:val="16"/>
              </w:rPr>
            </w:pPr>
            <w:r w:rsidRPr="008676F9">
              <w:rPr>
                <w:rFonts w:ascii="Calibri" w:eastAsia="Calibri" w:hAnsi="Calibri"/>
                <w:b/>
                <w:bCs/>
                <w:sz w:val="16"/>
                <w:szCs w:val="16"/>
              </w:rPr>
              <w:t>1 (14)</w:t>
            </w:r>
          </w:p>
        </w:tc>
        <w:tc>
          <w:tcPr>
            <w:tcW w:w="1660" w:type="dxa"/>
            <w:vMerge w:val="restart"/>
            <w:tcBorders>
              <w:top w:val="nil"/>
              <w:left w:val="single" w:sz="4" w:space="0" w:color="auto"/>
              <w:bottom w:val="single" w:sz="4" w:space="0" w:color="auto"/>
              <w:right w:val="single" w:sz="4" w:space="0" w:color="auto"/>
            </w:tcBorders>
            <w:shd w:val="clear" w:color="000000" w:fill="FFFFFF"/>
            <w:vAlign w:val="center"/>
          </w:tcPr>
          <w:p w:rsidR="00255E13" w:rsidRPr="008676F9" w:rsidRDefault="00255E13" w:rsidP="00255E13">
            <w:pPr>
              <w:jc w:val="left"/>
              <w:rPr>
                <w:rFonts w:ascii="Calibri" w:eastAsia="Calibri" w:hAnsi="Calibri"/>
                <w:sz w:val="16"/>
                <w:szCs w:val="16"/>
              </w:rPr>
            </w:pPr>
            <w:r w:rsidRPr="008676F9">
              <w:rPr>
                <w:rFonts w:ascii="Calibri" w:eastAsia="Calibri" w:hAnsi="Calibri"/>
                <w:sz w:val="16"/>
                <w:szCs w:val="16"/>
              </w:rPr>
              <w:t xml:space="preserve">Školenia/získavanie </w:t>
            </w:r>
            <w:r w:rsidRPr="008676F9">
              <w:rPr>
                <w:rFonts w:ascii="Calibri" w:eastAsia="Calibri" w:hAnsi="Calibri"/>
                <w:sz w:val="16"/>
                <w:szCs w:val="16"/>
              </w:rPr>
              <w:br/>
              <w:t>praktických zručností  (1.1)</w:t>
            </w:r>
          </w:p>
        </w:tc>
        <w:tc>
          <w:tcPr>
            <w:tcW w:w="2700" w:type="dxa"/>
            <w:tcBorders>
              <w:top w:val="nil"/>
              <w:left w:val="nil"/>
              <w:bottom w:val="single" w:sz="4" w:space="0" w:color="auto"/>
              <w:right w:val="single" w:sz="4" w:space="0" w:color="auto"/>
            </w:tcBorders>
            <w:shd w:val="clear" w:color="000000" w:fill="FFFFFF"/>
            <w:vAlign w:val="center"/>
          </w:tcPr>
          <w:p w:rsidR="00255E13" w:rsidRPr="008676F9" w:rsidRDefault="00255E13" w:rsidP="00255E13">
            <w:pPr>
              <w:jc w:val="left"/>
              <w:rPr>
                <w:rFonts w:ascii="Calibri" w:eastAsia="Calibri" w:hAnsi="Calibri"/>
                <w:sz w:val="16"/>
                <w:szCs w:val="16"/>
              </w:rPr>
            </w:pPr>
            <w:r w:rsidRPr="008676F9">
              <w:rPr>
                <w:rFonts w:ascii="Calibri" w:eastAsia="Calibri" w:hAnsi="Calibri"/>
                <w:sz w:val="16"/>
                <w:szCs w:val="16"/>
              </w:rPr>
              <w:t>Počet účastníkov vzdelávania</w:t>
            </w:r>
          </w:p>
        </w:tc>
        <w:tc>
          <w:tcPr>
            <w:tcW w:w="1660" w:type="dxa"/>
            <w:tcBorders>
              <w:top w:val="nil"/>
              <w:left w:val="nil"/>
              <w:bottom w:val="single" w:sz="4" w:space="0" w:color="auto"/>
              <w:right w:val="single" w:sz="8" w:space="0" w:color="000000"/>
            </w:tcBorders>
            <w:shd w:val="clear" w:color="000000" w:fill="FFFFFF"/>
            <w:noWrap/>
            <w:vAlign w:val="center"/>
          </w:tcPr>
          <w:p w:rsidR="00255E13" w:rsidRPr="00F849C3" w:rsidRDefault="00255E13" w:rsidP="00895B36">
            <w:pPr>
              <w:jc w:val="right"/>
              <w:rPr>
                <w:sz w:val="20"/>
                <w:szCs w:val="20"/>
              </w:rPr>
            </w:pPr>
            <w:r w:rsidRPr="00F849C3">
              <w:rPr>
                <w:sz w:val="20"/>
                <w:szCs w:val="20"/>
              </w:rPr>
              <w:t xml:space="preserve">                    </w:t>
            </w:r>
            <w:r>
              <w:rPr>
                <w:sz w:val="20"/>
                <w:szCs w:val="20"/>
              </w:rPr>
              <w:t>60</w:t>
            </w:r>
            <w:r w:rsidRPr="00F849C3">
              <w:rPr>
                <w:sz w:val="20"/>
                <w:szCs w:val="20"/>
              </w:rPr>
              <w:t xml:space="preserve">0 </w:t>
            </w:r>
          </w:p>
        </w:tc>
      </w:tr>
      <w:tr w:rsidR="00255E13" w:rsidRPr="008676F9" w:rsidTr="00BB33FC">
        <w:trPr>
          <w:trHeight w:val="499"/>
        </w:trPr>
        <w:tc>
          <w:tcPr>
            <w:tcW w:w="1660" w:type="dxa"/>
            <w:vMerge/>
            <w:tcBorders>
              <w:top w:val="nil"/>
              <w:left w:val="single" w:sz="8" w:space="0" w:color="000000"/>
              <w:bottom w:val="single" w:sz="4" w:space="0" w:color="000000"/>
              <w:right w:val="single" w:sz="4" w:space="0" w:color="auto"/>
            </w:tcBorders>
            <w:vAlign w:val="center"/>
          </w:tcPr>
          <w:p w:rsidR="00255E13" w:rsidRPr="008676F9" w:rsidRDefault="00255E13" w:rsidP="008676F9">
            <w:pPr>
              <w:rPr>
                <w:rFonts w:ascii="Calibri" w:eastAsia="Calibri" w:hAnsi="Calibri"/>
                <w:b/>
                <w:bCs/>
                <w:sz w:val="16"/>
                <w:szCs w:val="16"/>
              </w:rPr>
            </w:pPr>
          </w:p>
        </w:tc>
        <w:tc>
          <w:tcPr>
            <w:tcW w:w="1660" w:type="dxa"/>
            <w:vMerge/>
            <w:tcBorders>
              <w:top w:val="nil"/>
              <w:left w:val="single" w:sz="4" w:space="0" w:color="auto"/>
              <w:bottom w:val="single" w:sz="4" w:space="0" w:color="auto"/>
              <w:right w:val="single" w:sz="4" w:space="0" w:color="auto"/>
            </w:tcBorders>
            <w:vAlign w:val="center"/>
          </w:tcPr>
          <w:p w:rsidR="00255E13" w:rsidRPr="008676F9" w:rsidRDefault="00255E13" w:rsidP="00255E13">
            <w:pPr>
              <w:jc w:val="left"/>
              <w:rPr>
                <w:rFonts w:ascii="Calibri" w:eastAsia="Calibri" w:hAnsi="Calibri"/>
                <w:sz w:val="16"/>
                <w:szCs w:val="16"/>
              </w:rPr>
            </w:pPr>
          </w:p>
        </w:tc>
        <w:tc>
          <w:tcPr>
            <w:tcW w:w="2700" w:type="dxa"/>
            <w:tcBorders>
              <w:top w:val="nil"/>
              <w:left w:val="nil"/>
              <w:bottom w:val="single" w:sz="4" w:space="0" w:color="auto"/>
              <w:right w:val="single" w:sz="4" w:space="0" w:color="auto"/>
            </w:tcBorders>
            <w:shd w:val="clear" w:color="000000" w:fill="FFFFFF"/>
            <w:vAlign w:val="center"/>
          </w:tcPr>
          <w:p w:rsidR="00255E13" w:rsidRPr="008676F9" w:rsidRDefault="00255E13" w:rsidP="00255E13">
            <w:pPr>
              <w:jc w:val="left"/>
              <w:rPr>
                <w:rFonts w:ascii="Calibri" w:eastAsia="Calibri" w:hAnsi="Calibri"/>
                <w:sz w:val="16"/>
                <w:szCs w:val="16"/>
              </w:rPr>
            </w:pPr>
            <w:r w:rsidRPr="008676F9">
              <w:rPr>
                <w:rFonts w:ascii="Calibri" w:eastAsia="Calibri" w:hAnsi="Calibri"/>
                <w:sz w:val="16"/>
                <w:szCs w:val="16"/>
              </w:rPr>
              <w:t>Celkové verejné výdavky na školenia (1.1)</w:t>
            </w:r>
          </w:p>
        </w:tc>
        <w:tc>
          <w:tcPr>
            <w:tcW w:w="1660" w:type="dxa"/>
            <w:tcBorders>
              <w:top w:val="nil"/>
              <w:left w:val="nil"/>
              <w:bottom w:val="single" w:sz="4" w:space="0" w:color="auto"/>
              <w:right w:val="single" w:sz="8" w:space="0" w:color="000000"/>
            </w:tcBorders>
            <w:shd w:val="clear" w:color="000000" w:fill="FFFFFF"/>
            <w:noWrap/>
            <w:vAlign w:val="center"/>
          </w:tcPr>
          <w:p w:rsidR="00255E13" w:rsidRPr="00F849C3" w:rsidRDefault="00255E13" w:rsidP="00895B36">
            <w:pPr>
              <w:jc w:val="right"/>
              <w:rPr>
                <w:sz w:val="20"/>
                <w:szCs w:val="20"/>
              </w:rPr>
            </w:pPr>
            <w:r>
              <w:rPr>
                <w:sz w:val="20"/>
                <w:szCs w:val="20"/>
              </w:rPr>
              <w:t>1 2</w:t>
            </w:r>
            <w:r w:rsidRPr="00F849C3">
              <w:rPr>
                <w:sz w:val="20"/>
                <w:szCs w:val="20"/>
              </w:rPr>
              <w:t>00</w:t>
            </w:r>
            <w:r>
              <w:rPr>
                <w:sz w:val="20"/>
                <w:szCs w:val="20"/>
              </w:rPr>
              <w:t> </w:t>
            </w:r>
            <w:r w:rsidRPr="00F849C3">
              <w:rPr>
                <w:sz w:val="20"/>
                <w:szCs w:val="20"/>
              </w:rPr>
              <w:t>000</w:t>
            </w:r>
            <w:r>
              <w:rPr>
                <w:sz w:val="20"/>
                <w:szCs w:val="20"/>
              </w:rPr>
              <w:t>,00</w:t>
            </w:r>
          </w:p>
        </w:tc>
      </w:tr>
      <w:tr w:rsidR="00255E13" w:rsidRPr="008676F9" w:rsidTr="00BB33FC">
        <w:trPr>
          <w:trHeight w:val="480"/>
        </w:trPr>
        <w:tc>
          <w:tcPr>
            <w:tcW w:w="1660" w:type="dxa"/>
            <w:vMerge/>
            <w:tcBorders>
              <w:top w:val="nil"/>
              <w:left w:val="single" w:sz="8" w:space="0" w:color="000000"/>
              <w:bottom w:val="single" w:sz="4" w:space="0" w:color="000000"/>
              <w:right w:val="single" w:sz="4" w:space="0" w:color="auto"/>
            </w:tcBorders>
            <w:vAlign w:val="center"/>
          </w:tcPr>
          <w:p w:rsidR="00255E13" w:rsidRPr="008676F9" w:rsidRDefault="00255E13" w:rsidP="008676F9">
            <w:pPr>
              <w:rPr>
                <w:rFonts w:ascii="Calibri" w:eastAsia="Calibri" w:hAnsi="Calibri"/>
                <w:b/>
                <w:bCs/>
                <w:sz w:val="16"/>
                <w:szCs w:val="16"/>
              </w:rPr>
            </w:pPr>
          </w:p>
        </w:tc>
        <w:tc>
          <w:tcPr>
            <w:tcW w:w="4360" w:type="dxa"/>
            <w:gridSpan w:val="2"/>
            <w:tcBorders>
              <w:top w:val="single" w:sz="4" w:space="0" w:color="auto"/>
              <w:left w:val="nil"/>
              <w:bottom w:val="single" w:sz="4" w:space="0" w:color="auto"/>
              <w:right w:val="single" w:sz="4" w:space="0" w:color="auto"/>
            </w:tcBorders>
            <w:shd w:val="clear" w:color="000000" w:fill="FFFFFF"/>
            <w:vAlign w:val="center"/>
          </w:tcPr>
          <w:p w:rsidR="00255E13" w:rsidRPr="008676F9" w:rsidRDefault="00255E13" w:rsidP="00255E13">
            <w:pPr>
              <w:jc w:val="left"/>
              <w:rPr>
                <w:rFonts w:ascii="Calibri" w:eastAsia="Calibri" w:hAnsi="Calibri"/>
                <w:sz w:val="16"/>
                <w:szCs w:val="16"/>
              </w:rPr>
            </w:pPr>
            <w:r w:rsidRPr="008676F9">
              <w:rPr>
                <w:rFonts w:ascii="Calibri" w:eastAsia="Calibri" w:hAnsi="Calibri"/>
                <w:sz w:val="16"/>
                <w:szCs w:val="16"/>
              </w:rPr>
              <w:t>Celkové verejné výdavky  € (školenia, informačné aktivity, demonštračné  predvádzacie činnosti ) (1.1, 1.2)</w:t>
            </w:r>
          </w:p>
        </w:tc>
        <w:tc>
          <w:tcPr>
            <w:tcW w:w="1660" w:type="dxa"/>
            <w:tcBorders>
              <w:top w:val="nil"/>
              <w:left w:val="nil"/>
              <w:bottom w:val="single" w:sz="4" w:space="0" w:color="auto"/>
              <w:right w:val="single" w:sz="8" w:space="0" w:color="000000"/>
            </w:tcBorders>
            <w:shd w:val="clear" w:color="000000" w:fill="FFFFFF"/>
            <w:noWrap/>
            <w:vAlign w:val="center"/>
          </w:tcPr>
          <w:p w:rsidR="00255E13" w:rsidRPr="008676F9" w:rsidRDefault="00255E13" w:rsidP="00255E13">
            <w:pPr>
              <w:jc w:val="right"/>
              <w:rPr>
                <w:rFonts w:ascii="Calibri" w:eastAsia="Calibri" w:hAnsi="Calibri"/>
                <w:sz w:val="20"/>
                <w:szCs w:val="20"/>
              </w:rPr>
            </w:pPr>
            <w:r>
              <w:rPr>
                <w:sz w:val="20"/>
                <w:szCs w:val="20"/>
              </w:rPr>
              <w:t xml:space="preserve">       </w:t>
            </w:r>
            <w:r w:rsidRPr="00F849C3">
              <w:rPr>
                <w:sz w:val="20"/>
                <w:szCs w:val="20"/>
              </w:rPr>
              <w:t xml:space="preserve">  </w:t>
            </w:r>
            <w:r>
              <w:rPr>
                <w:sz w:val="20"/>
                <w:szCs w:val="20"/>
              </w:rPr>
              <w:t>1 5</w:t>
            </w:r>
            <w:r w:rsidRPr="00F849C3">
              <w:rPr>
                <w:sz w:val="20"/>
                <w:szCs w:val="20"/>
              </w:rPr>
              <w:t>00</w:t>
            </w:r>
            <w:r>
              <w:rPr>
                <w:sz w:val="20"/>
                <w:szCs w:val="20"/>
              </w:rPr>
              <w:t> </w:t>
            </w:r>
            <w:r w:rsidRPr="00F849C3">
              <w:rPr>
                <w:sz w:val="20"/>
                <w:szCs w:val="20"/>
              </w:rPr>
              <w:t>000</w:t>
            </w:r>
            <w:r>
              <w:rPr>
                <w:sz w:val="20"/>
                <w:szCs w:val="20"/>
              </w:rPr>
              <w:t>,00</w:t>
            </w:r>
          </w:p>
        </w:tc>
      </w:tr>
      <w:tr w:rsidR="008676F9" w:rsidRPr="008676F9" w:rsidTr="00BB33FC">
        <w:trPr>
          <w:trHeight w:val="499"/>
        </w:trPr>
        <w:tc>
          <w:tcPr>
            <w:tcW w:w="1660" w:type="dxa"/>
            <w:vMerge w:val="restart"/>
            <w:tcBorders>
              <w:top w:val="nil"/>
              <w:left w:val="single" w:sz="8" w:space="0" w:color="000000"/>
              <w:bottom w:val="single" w:sz="8" w:space="0" w:color="000000"/>
              <w:right w:val="single" w:sz="4" w:space="0" w:color="auto"/>
            </w:tcBorders>
            <w:shd w:val="clear" w:color="000000" w:fill="FFFFFF"/>
            <w:vAlign w:val="center"/>
          </w:tcPr>
          <w:p w:rsidR="008676F9" w:rsidRPr="008676F9" w:rsidRDefault="008676F9" w:rsidP="008676F9">
            <w:pPr>
              <w:jc w:val="center"/>
              <w:rPr>
                <w:rFonts w:ascii="Calibri" w:eastAsia="Calibri" w:hAnsi="Calibri"/>
                <w:b/>
                <w:bCs/>
                <w:sz w:val="16"/>
                <w:szCs w:val="16"/>
              </w:rPr>
            </w:pPr>
            <w:r w:rsidRPr="008676F9">
              <w:rPr>
                <w:rFonts w:ascii="Calibri" w:eastAsia="Calibri" w:hAnsi="Calibri"/>
                <w:b/>
                <w:bCs/>
                <w:sz w:val="16"/>
                <w:szCs w:val="16"/>
              </w:rPr>
              <w:t>2 (15)</w:t>
            </w:r>
          </w:p>
        </w:tc>
        <w:tc>
          <w:tcPr>
            <w:tcW w:w="4360" w:type="dxa"/>
            <w:gridSpan w:val="2"/>
            <w:tcBorders>
              <w:top w:val="single" w:sz="4" w:space="0" w:color="auto"/>
              <w:left w:val="nil"/>
              <w:bottom w:val="single" w:sz="4" w:space="0" w:color="auto"/>
              <w:right w:val="single" w:sz="4" w:space="0" w:color="auto"/>
            </w:tcBorders>
            <w:shd w:val="clear" w:color="000000" w:fill="FFFFFF"/>
            <w:vAlign w:val="center"/>
          </w:tcPr>
          <w:p w:rsidR="008676F9" w:rsidRPr="008676F9" w:rsidRDefault="008676F9" w:rsidP="00255E13">
            <w:pPr>
              <w:jc w:val="left"/>
              <w:rPr>
                <w:rFonts w:ascii="Calibri" w:eastAsia="Calibri" w:hAnsi="Calibri"/>
                <w:sz w:val="16"/>
                <w:szCs w:val="16"/>
              </w:rPr>
            </w:pPr>
            <w:r w:rsidRPr="008676F9">
              <w:rPr>
                <w:rFonts w:ascii="Calibri" w:eastAsia="Calibri" w:hAnsi="Calibri"/>
                <w:sz w:val="16"/>
                <w:szCs w:val="16"/>
              </w:rPr>
              <w:t>Počet subjektov, kde bolo vykonané poradenstvo (2.1)</w:t>
            </w:r>
          </w:p>
        </w:tc>
        <w:tc>
          <w:tcPr>
            <w:tcW w:w="1660" w:type="dxa"/>
            <w:tcBorders>
              <w:top w:val="nil"/>
              <w:left w:val="nil"/>
              <w:bottom w:val="single" w:sz="4" w:space="0" w:color="auto"/>
              <w:right w:val="single" w:sz="8" w:space="0" w:color="000000"/>
            </w:tcBorders>
            <w:shd w:val="clear" w:color="000000" w:fill="FFFFFF"/>
            <w:noWrap/>
            <w:vAlign w:val="center"/>
          </w:tcPr>
          <w:p w:rsidR="008676F9" w:rsidRPr="008676F9" w:rsidRDefault="008676F9" w:rsidP="008676F9">
            <w:pPr>
              <w:jc w:val="right"/>
              <w:rPr>
                <w:rFonts w:ascii="Calibri" w:eastAsia="Calibri" w:hAnsi="Calibri"/>
                <w:sz w:val="20"/>
                <w:szCs w:val="20"/>
              </w:rPr>
            </w:pPr>
            <w:r w:rsidRPr="008676F9">
              <w:rPr>
                <w:rFonts w:ascii="Calibri" w:eastAsia="Calibri" w:hAnsi="Calibri"/>
                <w:sz w:val="20"/>
                <w:szCs w:val="20"/>
              </w:rPr>
              <w:t xml:space="preserve">                     50 </w:t>
            </w:r>
          </w:p>
        </w:tc>
      </w:tr>
      <w:tr w:rsidR="008676F9" w:rsidRPr="008676F9" w:rsidTr="00BB33FC">
        <w:trPr>
          <w:trHeight w:val="499"/>
        </w:trPr>
        <w:tc>
          <w:tcPr>
            <w:tcW w:w="1660" w:type="dxa"/>
            <w:vMerge/>
            <w:tcBorders>
              <w:top w:val="nil"/>
              <w:left w:val="single" w:sz="8" w:space="0" w:color="000000"/>
              <w:bottom w:val="single" w:sz="8" w:space="0" w:color="000000"/>
              <w:right w:val="single" w:sz="4" w:space="0" w:color="auto"/>
            </w:tcBorders>
            <w:vAlign w:val="center"/>
          </w:tcPr>
          <w:p w:rsidR="008676F9" w:rsidRPr="008676F9" w:rsidRDefault="008676F9" w:rsidP="008676F9">
            <w:pPr>
              <w:rPr>
                <w:rFonts w:ascii="Calibri" w:eastAsia="Calibri" w:hAnsi="Calibri"/>
                <w:b/>
                <w:bCs/>
                <w:sz w:val="16"/>
                <w:szCs w:val="16"/>
              </w:rPr>
            </w:pPr>
          </w:p>
        </w:tc>
        <w:tc>
          <w:tcPr>
            <w:tcW w:w="4360" w:type="dxa"/>
            <w:gridSpan w:val="2"/>
            <w:tcBorders>
              <w:top w:val="single" w:sz="4" w:space="0" w:color="auto"/>
              <w:left w:val="nil"/>
              <w:bottom w:val="single" w:sz="8" w:space="0" w:color="000000"/>
              <w:right w:val="single" w:sz="4" w:space="0" w:color="auto"/>
            </w:tcBorders>
            <w:shd w:val="clear" w:color="000000" w:fill="FFFFFF"/>
            <w:vAlign w:val="center"/>
          </w:tcPr>
          <w:p w:rsidR="008676F9" w:rsidRPr="008676F9" w:rsidRDefault="008676F9" w:rsidP="00255E13">
            <w:pPr>
              <w:jc w:val="left"/>
              <w:rPr>
                <w:rFonts w:ascii="Calibri" w:eastAsia="Calibri" w:hAnsi="Calibri"/>
                <w:sz w:val="16"/>
                <w:szCs w:val="16"/>
              </w:rPr>
            </w:pPr>
            <w:r w:rsidRPr="008676F9">
              <w:rPr>
                <w:rFonts w:ascii="Calibri" w:eastAsia="Calibri" w:hAnsi="Calibri"/>
                <w:sz w:val="16"/>
                <w:szCs w:val="16"/>
              </w:rPr>
              <w:t>Celkové verejné výdavky  € (2.1,2.3)</w:t>
            </w:r>
          </w:p>
        </w:tc>
        <w:tc>
          <w:tcPr>
            <w:tcW w:w="1660" w:type="dxa"/>
            <w:tcBorders>
              <w:top w:val="nil"/>
              <w:left w:val="nil"/>
              <w:bottom w:val="single" w:sz="8" w:space="0" w:color="000000"/>
              <w:right w:val="single" w:sz="8" w:space="0" w:color="000000"/>
            </w:tcBorders>
            <w:shd w:val="clear" w:color="000000" w:fill="FFFFFF"/>
            <w:noWrap/>
            <w:vAlign w:val="center"/>
          </w:tcPr>
          <w:p w:rsidR="008676F9" w:rsidRPr="008676F9" w:rsidRDefault="008676F9" w:rsidP="008676F9">
            <w:pPr>
              <w:jc w:val="right"/>
              <w:rPr>
                <w:rFonts w:ascii="Calibri" w:eastAsia="Calibri" w:hAnsi="Calibri"/>
                <w:sz w:val="20"/>
                <w:szCs w:val="20"/>
              </w:rPr>
            </w:pPr>
            <w:r w:rsidRPr="008676F9">
              <w:rPr>
                <w:rFonts w:ascii="Calibri" w:eastAsia="Calibri" w:hAnsi="Calibri"/>
                <w:sz w:val="20"/>
                <w:szCs w:val="20"/>
              </w:rPr>
              <w:t xml:space="preserve">           95 000,00 </w:t>
            </w:r>
          </w:p>
        </w:tc>
      </w:tr>
    </w:tbl>
    <w:p w:rsidR="008676F9" w:rsidRPr="008676F9" w:rsidRDefault="008676F9" w:rsidP="008676F9">
      <w:pPr>
        <w:spacing w:after="200" w:line="276" w:lineRule="auto"/>
        <w:rPr>
          <w:rFonts w:ascii="Calibri" w:eastAsia="Calibri" w:hAnsi="Calibri"/>
          <w:b/>
          <w:szCs w:val="22"/>
          <w:lang w:eastAsia="en-US"/>
        </w:rPr>
      </w:pPr>
    </w:p>
    <w:p w:rsidR="008676F9" w:rsidRPr="008676F9" w:rsidRDefault="008676F9" w:rsidP="008676F9">
      <w:pPr>
        <w:spacing w:after="200" w:line="276" w:lineRule="auto"/>
        <w:rPr>
          <w:rFonts w:ascii="Calibri" w:eastAsia="Calibri" w:hAnsi="Calibri"/>
          <w:b/>
          <w:szCs w:val="22"/>
          <w:lang w:eastAsia="en-US"/>
        </w:rPr>
      </w:pPr>
      <w:r w:rsidRPr="008676F9">
        <w:rPr>
          <w:rFonts w:ascii="Calibri" w:eastAsia="Calibri" w:hAnsi="Calibri"/>
          <w:b/>
          <w:szCs w:val="22"/>
          <w:lang w:eastAsia="en-US"/>
        </w:rPr>
        <w:br w:type="page"/>
      </w:r>
    </w:p>
    <w:tbl>
      <w:tblPr>
        <w:tblW w:w="7680" w:type="dxa"/>
        <w:tblInd w:w="55" w:type="dxa"/>
        <w:tblCellMar>
          <w:left w:w="70" w:type="dxa"/>
          <w:right w:w="70" w:type="dxa"/>
        </w:tblCellMar>
        <w:tblLook w:val="00A0" w:firstRow="1" w:lastRow="0" w:firstColumn="1" w:lastColumn="0" w:noHBand="0" w:noVBand="0"/>
      </w:tblPr>
      <w:tblGrid>
        <w:gridCol w:w="1660"/>
        <w:gridCol w:w="1660"/>
        <w:gridCol w:w="2700"/>
        <w:gridCol w:w="1660"/>
      </w:tblGrid>
      <w:tr w:rsidR="008676F9" w:rsidRPr="00E820E4" w:rsidTr="00BB33FC">
        <w:trPr>
          <w:trHeight w:val="499"/>
        </w:trPr>
        <w:tc>
          <w:tcPr>
            <w:tcW w:w="7680" w:type="dxa"/>
            <w:gridSpan w:val="4"/>
            <w:tcBorders>
              <w:top w:val="single" w:sz="4" w:space="0" w:color="auto"/>
              <w:left w:val="single" w:sz="4" w:space="0" w:color="auto"/>
              <w:bottom w:val="single" w:sz="8" w:space="0" w:color="auto"/>
              <w:right w:val="single" w:sz="4" w:space="0" w:color="auto"/>
            </w:tcBorders>
            <w:shd w:val="clear" w:color="auto" w:fill="FFFF00"/>
            <w:vAlign w:val="center"/>
          </w:tcPr>
          <w:p w:rsidR="008676F9" w:rsidRPr="00E820E4" w:rsidRDefault="008676F9" w:rsidP="00E820E4">
            <w:pPr>
              <w:ind w:left="229" w:hanging="229"/>
              <w:rPr>
                <w:rFonts w:ascii="Calibri" w:eastAsia="Calibri" w:hAnsi="Calibri"/>
                <w:b/>
                <w:bCs/>
                <w:color w:val="000000"/>
                <w:szCs w:val="22"/>
              </w:rPr>
            </w:pPr>
            <w:r w:rsidRPr="00E820E4">
              <w:rPr>
                <w:rFonts w:ascii="Calibri" w:eastAsia="Calibri" w:hAnsi="Calibri"/>
                <w:b/>
                <w:bCs/>
                <w:color w:val="000000"/>
                <w:szCs w:val="22"/>
              </w:rPr>
              <w:t xml:space="preserve">5C Uľahčenie dodávok a využívania obnoviteľných zdrojov energie, vedľajších produktov, odpadov, zvyškov a iných nepotravinových surovín na účely bioekonomiky </w:t>
            </w:r>
          </w:p>
        </w:tc>
      </w:tr>
      <w:tr w:rsidR="008676F9" w:rsidRPr="008676F9" w:rsidTr="00BB33FC">
        <w:trPr>
          <w:trHeight w:val="499"/>
        </w:trPr>
        <w:tc>
          <w:tcPr>
            <w:tcW w:w="1660" w:type="dxa"/>
            <w:vMerge w:val="restart"/>
            <w:tcBorders>
              <w:top w:val="nil"/>
              <w:left w:val="single" w:sz="4" w:space="0" w:color="auto"/>
              <w:bottom w:val="single" w:sz="8" w:space="0" w:color="000000"/>
              <w:right w:val="nil"/>
            </w:tcBorders>
            <w:shd w:val="clear" w:color="000000" w:fill="FFFFFF"/>
            <w:noWrap/>
            <w:vAlign w:val="center"/>
          </w:tcPr>
          <w:p w:rsidR="008676F9" w:rsidRPr="008676F9" w:rsidRDefault="008676F9" w:rsidP="008676F9">
            <w:pPr>
              <w:jc w:val="center"/>
              <w:rPr>
                <w:rFonts w:ascii="Calibri" w:eastAsia="Calibri" w:hAnsi="Calibri"/>
                <w:b/>
                <w:bCs/>
                <w:sz w:val="18"/>
                <w:szCs w:val="18"/>
              </w:rPr>
            </w:pPr>
            <w:r w:rsidRPr="008676F9">
              <w:rPr>
                <w:rFonts w:ascii="Calibri" w:eastAsia="Calibri" w:hAnsi="Calibri"/>
                <w:b/>
                <w:bCs/>
                <w:sz w:val="18"/>
                <w:szCs w:val="18"/>
              </w:rPr>
              <w:t>Cieľová hodnota</w:t>
            </w:r>
          </w:p>
        </w:tc>
        <w:tc>
          <w:tcPr>
            <w:tcW w:w="6020" w:type="dxa"/>
            <w:gridSpan w:val="3"/>
            <w:tcBorders>
              <w:top w:val="single" w:sz="8" w:space="0" w:color="auto"/>
              <w:left w:val="single" w:sz="8" w:space="0" w:color="auto"/>
              <w:bottom w:val="single" w:sz="4" w:space="0" w:color="auto"/>
              <w:right w:val="single" w:sz="4" w:space="0" w:color="auto"/>
            </w:tcBorders>
            <w:shd w:val="clear" w:color="000000" w:fill="FFFFFF"/>
            <w:vAlign w:val="center"/>
          </w:tcPr>
          <w:p w:rsidR="008676F9" w:rsidRPr="008676F9" w:rsidRDefault="008676F9" w:rsidP="008676F9">
            <w:pPr>
              <w:jc w:val="center"/>
              <w:rPr>
                <w:rFonts w:ascii="Calibri" w:eastAsia="Calibri" w:hAnsi="Calibri"/>
                <w:b/>
                <w:bCs/>
                <w:sz w:val="18"/>
                <w:szCs w:val="18"/>
              </w:rPr>
            </w:pPr>
            <w:r w:rsidRPr="008676F9">
              <w:rPr>
                <w:rFonts w:ascii="Calibri" w:eastAsia="Calibri" w:hAnsi="Calibri"/>
                <w:b/>
                <w:bCs/>
                <w:sz w:val="18"/>
                <w:szCs w:val="18"/>
              </w:rPr>
              <w:t>Celkové investície na výrobu obnoviteľnej energie (€)</w:t>
            </w:r>
          </w:p>
        </w:tc>
      </w:tr>
      <w:tr w:rsidR="008676F9" w:rsidRPr="008676F9" w:rsidTr="00BB33FC">
        <w:trPr>
          <w:trHeight w:val="499"/>
        </w:trPr>
        <w:tc>
          <w:tcPr>
            <w:tcW w:w="1660" w:type="dxa"/>
            <w:vMerge/>
            <w:tcBorders>
              <w:top w:val="nil"/>
              <w:left w:val="single" w:sz="4" w:space="0" w:color="auto"/>
              <w:bottom w:val="single" w:sz="8" w:space="0" w:color="000000"/>
              <w:right w:val="nil"/>
            </w:tcBorders>
            <w:vAlign w:val="center"/>
          </w:tcPr>
          <w:p w:rsidR="008676F9" w:rsidRPr="008676F9" w:rsidRDefault="008676F9" w:rsidP="008676F9">
            <w:pPr>
              <w:rPr>
                <w:rFonts w:ascii="Calibri" w:eastAsia="Calibri" w:hAnsi="Calibri"/>
                <w:b/>
                <w:bCs/>
                <w:sz w:val="18"/>
                <w:szCs w:val="18"/>
              </w:rPr>
            </w:pPr>
          </w:p>
        </w:tc>
        <w:tc>
          <w:tcPr>
            <w:tcW w:w="6020" w:type="dxa"/>
            <w:gridSpan w:val="3"/>
            <w:tcBorders>
              <w:top w:val="single" w:sz="4" w:space="0" w:color="auto"/>
              <w:left w:val="single" w:sz="8" w:space="0" w:color="auto"/>
              <w:bottom w:val="single" w:sz="4" w:space="0" w:color="auto"/>
              <w:right w:val="single" w:sz="4" w:space="0" w:color="auto"/>
            </w:tcBorders>
            <w:shd w:val="clear" w:color="000000" w:fill="FFFFFF"/>
            <w:vAlign w:val="center"/>
          </w:tcPr>
          <w:p w:rsidR="008676F9" w:rsidRPr="008676F9" w:rsidRDefault="008676F9" w:rsidP="008676F9">
            <w:pPr>
              <w:jc w:val="center"/>
              <w:rPr>
                <w:rFonts w:ascii="Calibri" w:eastAsia="Calibri" w:hAnsi="Calibri"/>
                <w:b/>
                <w:bCs/>
                <w:sz w:val="18"/>
                <w:szCs w:val="18"/>
              </w:rPr>
            </w:pPr>
            <w:r w:rsidRPr="008676F9">
              <w:rPr>
                <w:rFonts w:ascii="Calibri" w:eastAsia="Calibri" w:hAnsi="Calibri"/>
                <w:b/>
                <w:bCs/>
                <w:sz w:val="18"/>
                <w:szCs w:val="18"/>
              </w:rPr>
              <w:t>r.2020</w:t>
            </w:r>
          </w:p>
        </w:tc>
      </w:tr>
      <w:tr w:rsidR="008676F9" w:rsidRPr="008676F9" w:rsidTr="00BB33FC">
        <w:trPr>
          <w:trHeight w:val="499"/>
        </w:trPr>
        <w:tc>
          <w:tcPr>
            <w:tcW w:w="1660" w:type="dxa"/>
            <w:vMerge/>
            <w:tcBorders>
              <w:top w:val="nil"/>
              <w:left w:val="single" w:sz="4" w:space="0" w:color="auto"/>
              <w:bottom w:val="single" w:sz="8" w:space="0" w:color="000000"/>
              <w:right w:val="nil"/>
            </w:tcBorders>
            <w:vAlign w:val="center"/>
          </w:tcPr>
          <w:p w:rsidR="008676F9" w:rsidRPr="008676F9" w:rsidRDefault="008676F9" w:rsidP="008676F9">
            <w:pPr>
              <w:rPr>
                <w:rFonts w:ascii="Calibri" w:eastAsia="Calibri" w:hAnsi="Calibri"/>
                <w:b/>
                <w:bCs/>
                <w:sz w:val="18"/>
                <w:szCs w:val="18"/>
              </w:rPr>
            </w:pPr>
          </w:p>
        </w:tc>
        <w:tc>
          <w:tcPr>
            <w:tcW w:w="6020" w:type="dxa"/>
            <w:gridSpan w:val="3"/>
            <w:tcBorders>
              <w:top w:val="single" w:sz="4" w:space="0" w:color="auto"/>
              <w:left w:val="single" w:sz="8" w:space="0" w:color="auto"/>
              <w:bottom w:val="single" w:sz="8" w:space="0" w:color="auto"/>
              <w:right w:val="single" w:sz="4" w:space="0" w:color="auto"/>
            </w:tcBorders>
            <w:shd w:val="clear" w:color="000000" w:fill="FFFFFF"/>
            <w:vAlign w:val="center"/>
          </w:tcPr>
          <w:p w:rsidR="008676F9" w:rsidRPr="008676F9" w:rsidRDefault="008676F9" w:rsidP="008676F9">
            <w:pPr>
              <w:jc w:val="center"/>
              <w:rPr>
                <w:rFonts w:ascii="Calibri" w:eastAsia="Calibri" w:hAnsi="Calibri"/>
                <w:b/>
                <w:bCs/>
                <w:sz w:val="18"/>
                <w:szCs w:val="18"/>
              </w:rPr>
            </w:pPr>
            <w:r w:rsidRPr="008676F9">
              <w:rPr>
                <w:rFonts w:ascii="Calibri" w:hAnsi="Calibri"/>
                <w:b/>
                <w:bCs/>
                <w:sz w:val="18"/>
                <w:szCs w:val="18"/>
              </w:rPr>
              <w:t>52 000 000,00</w:t>
            </w:r>
          </w:p>
        </w:tc>
      </w:tr>
      <w:tr w:rsidR="008676F9" w:rsidRPr="008676F9" w:rsidTr="00BB33FC">
        <w:trPr>
          <w:trHeight w:val="188"/>
        </w:trPr>
        <w:tc>
          <w:tcPr>
            <w:tcW w:w="7680" w:type="dxa"/>
            <w:gridSpan w:val="4"/>
            <w:tcBorders>
              <w:top w:val="single" w:sz="8" w:space="0" w:color="auto"/>
              <w:left w:val="single" w:sz="4" w:space="0" w:color="auto"/>
              <w:bottom w:val="nil"/>
              <w:right w:val="single" w:sz="4" w:space="0" w:color="auto"/>
            </w:tcBorders>
            <w:shd w:val="clear" w:color="000000" w:fill="FFFFFF"/>
            <w:noWrap/>
            <w:vAlign w:val="center"/>
          </w:tcPr>
          <w:p w:rsidR="008676F9" w:rsidRPr="008676F9" w:rsidRDefault="008676F9" w:rsidP="008676F9">
            <w:pPr>
              <w:jc w:val="center"/>
              <w:rPr>
                <w:rFonts w:ascii="Calibri" w:eastAsia="Calibri" w:hAnsi="Calibri"/>
                <w:b/>
                <w:bCs/>
                <w:sz w:val="18"/>
                <w:szCs w:val="18"/>
              </w:rPr>
            </w:pPr>
            <w:r w:rsidRPr="008676F9">
              <w:rPr>
                <w:rFonts w:ascii="Calibri" w:eastAsia="Calibri" w:hAnsi="Calibri"/>
                <w:b/>
                <w:bCs/>
                <w:sz w:val="18"/>
                <w:szCs w:val="18"/>
              </w:rPr>
              <w:t> </w:t>
            </w:r>
          </w:p>
        </w:tc>
      </w:tr>
      <w:tr w:rsidR="008676F9" w:rsidRPr="008676F9" w:rsidTr="00BB33FC">
        <w:trPr>
          <w:trHeight w:val="499"/>
        </w:trPr>
        <w:tc>
          <w:tcPr>
            <w:tcW w:w="7680" w:type="dxa"/>
            <w:gridSpan w:val="4"/>
            <w:tcBorders>
              <w:top w:val="single" w:sz="8" w:space="0" w:color="000000"/>
              <w:left w:val="single" w:sz="4" w:space="0" w:color="auto"/>
              <w:bottom w:val="single" w:sz="8" w:space="0" w:color="000000"/>
              <w:right w:val="single" w:sz="4" w:space="0" w:color="auto"/>
            </w:tcBorders>
            <w:shd w:val="clear" w:color="000000" w:fill="FFFFFF"/>
            <w:noWrap/>
            <w:vAlign w:val="center"/>
          </w:tcPr>
          <w:p w:rsidR="008676F9" w:rsidRPr="008676F9" w:rsidRDefault="008676F9" w:rsidP="008676F9">
            <w:pPr>
              <w:jc w:val="center"/>
              <w:rPr>
                <w:rFonts w:ascii="Calibri" w:eastAsia="Calibri" w:hAnsi="Calibri"/>
                <w:b/>
                <w:bCs/>
                <w:sz w:val="20"/>
                <w:szCs w:val="20"/>
              </w:rPr>
            </w:pPr>
            <w:r w:rsidRPr="008676F9">
              <w:rPr>
                <w:rFonts w:ascii="Calibri" w:eastAsia="Calibri" w:hAnsi="Calibri"/>
                <w:b/>
                <w:bCs/>
                <w:sz w:val="20"/>
                <w:szCs w:val="20"/>
              </w:rPr>
              <w:t>plánovaný výstup 2014-2020</w:t>
            </w:r>
          </w:p>
        </w:tc>
      </w:tr>
      <w:tr w:rsidR="008676F9" w:rsidRPr="008676F9" w:rsidTr="00BB33FC">
        <w:trPr>
          <w:trHeight w:val="499"/>
        </w:trPr>
        <w:tc>
          <w:tcPr>
            <w:tcW w:w="1660" w:type="dxa"/>
            <w:tcBorders>
              <w:top w:val="nil"/>
              <w:left w:val="single" w:sz="4" w:space="0" w:color="auto"/>
              <w:bottom w:val="nil"/>
              <w:right w:val="nil"/>
            </w:tcBorders>
            <w:shd w:val="clear" w:color="000000" w:fill="FFFFFF"/>
            <w:noWrap/>
            <w:vAlign w:val="center"/>
          </w:tcPr>
          <w:p w:rsidR="008676F9" w:rsidRPr="008676F9" w:rsidRDefault="008676F9" w:rsidP="008676F9">
            <w:pPr>
              <w:jc w:val="center"/>
              <w:rPr>
                <w:rFonts w:ascii="Calibri" w:eastAsia="Calibri" w:hAnsi="Calibri"/>
                <w:b/>
                <w:bCs/>
                <w:sz w:val="20"/>
                <w:szCs w:val="20"/>
              </w:rPr>
            </w:pPr>
            <w:r w:rsidRPr="008676F9">
              <w:rPr>
                <w:rFonts w:ascii="Calibri" w:eastAsia="Calibri" w:hAnsi="Calibri"/>
                <w:b/>
                <w:bCs/>
                <w:sz w:val="20"/>
                <w:szCs w:val="20"/>
              </w:rPr>
              <w:t>Opatrenia</w:t>
            </w:r>
          </w:p>
        </w:tc>
        <w:tc>
          <w:tcPr>
            <w:tcW w:w="6020" w:type="dxa"/>
            <w:gridSpan w:val="3"/>
            <w:tcBorders>
              <w:top w:val="nil"/>
              <w:left w:val="nil"/>
              <w:bottom w:val="single" w:sz="4" w:space="0" w:color="auto"/>
              <w:right w:val="single" w:sz="4" w:space="0" w:color="auto"/>
            </w:tcBorders>
            <w:shd w:val="clear" w:color="000000" w:fill="FFFFFF"/>
            <w:noWrap/>
            <w:vAlign w:val="center"/>
          </w:tcPr>
          <w:p w:rsidR="008676F9" w:rsidRPr="008676F9" w:rsidRDefault="008676F9" w:rsidP="008676F9">
            <w:pPr>
              <w:jc w:val="center"/>
              <w:rPr>
                <w:rFonts w:ascii="Calibri" w:eastAsia="Calibri" w:hAnsi="Calibri"/>
                <w:b/>
                <w:bCs/>
                <w:sz w:val="20"/>
                <w:szCs w:val="20"/>
              </w:rPr>
            </w:pPr>
            <w:r w:rsidRPr="008676F9">
              <w:rPr>
                <w:rFonts w:ascii="Calibri" w:eastAsia="Calibri" w:hAnsi="Calibri"/>
                <w:b/>
                <w:bCs/>
                <w:sz w:val="20"/>
                <w:szCs w:val="20"/>
              </w:rPr>
              <w:t> </w:t>
            </w:r>
          </w:p>
        </w:tc>
      </w:tr>
      <w:tr w:rsidR="008676F9" w:rsidRPr="008676F9" w:rsidTr="00BB33FC">
        <w:trPr>
          <w:trHeight w:val="510"/>
        </w:trPr>
        <w:tc>
          <w:tcPr>
            <w:tcW w:w="1660" w:type="dxa"/>
            <w:vMerge w:val="restart"/>
            <w:tcBorders>
              <w:top w:val="single" w:sz="4" w:space="0" w:color="auto"/>
              <w:left w:val="single" w:sz="4" w:space="0" w:color="auto"/>
              <w:bottom w:val="single" w:sz="4" w:space="0" w:color="000000"/>
              <w:right w:val="single" w:sz="4" w:space="0" w:color="auto"/>
            </w:tcBorders>
            <w:shd w:val="clear" w:color="000000" w:fill="FFFFFF"/>
            <w:vAlign w:val="center"/>
          </w:tcPr>
          <w:p w:rsidR="008676F9" w:rsidRPr="008676F9" w:rsidRDefault="008676F9" w:rsidP="008676F9">
            <w:pPr>
              <w:jc w:val="center"/>
              <w:rPr>
                <w:rFonts w:ascii="Calibri" w:eastAsia="Calibri" w:hAnsi="Calibri"/>
                <w:b/>
                <w:bCs/>
                <w:sz w:val="16"/>
                <w:szCs w:val="16"/>
              </w:rPr>
            </w:pPr>
            <w:r w:rsidRPr="008676F9">
              <w:rPr>
                <w:rFonts w:ascii="Calibri" w:eastAsia="Calibri" w:hAnsi="Calibri"/>
                <w:b/>
                <w:bCs/>
                <w:sz w:val="16"/>
                <w:szCs w:val="16"/>
              </w:rPr>
              <w:t>4 (17)</w:t>
            </w:r>
          </w:p>
        </w:tc>
        <w:tc>
          <w:tcPr>
            <w:tcW w:w="4360" w:type="dxa"/>
            <w:gridSpan w:val="2"/>
            <w:tcBorders>
              <w:top w:val="single" w:sz="4" w:space="0" w:color="auto"/>
              <w:left w:val="nil"/>
              <w:bottom w:val="single" w:sz="4" w:space="0" w:color="auto"/>
              <w:right w:val="single" w:sz="4" w:space="0" w:color="auto"/>
            </w:tcBorders>
            <w:shd w:val="clear" w:color="000000" w:fill="FFFFFF"/>
            <w:vAlign w:val="center"/>
          </w:tcPr>
          <w:p w:rsidR="008676F9" w:rsidRPr="008676F9" w:rsidRDefault="008676F9" w:rsidP="008676F9">
            <w:pPr>
              <w:rPr>
                <w:rFonts w:ascii="Calibri" w:eastAsia="Calibri" w:hAnsi="Calibri"/>
                <w:sz w:val="16"/>
                <w:szCs w:val="16"/>
              </w:rPr>
            </w:pPr>
            <w:r w:rsidRPr="008676F9">
              <w:rPr>
                <w:rFonts w:ascii="Calibri" w:eastAsia="Calibri" w:hAnsi="Calibri"/>
                <w:sz w:val="16"/>
                <w:szCs w:val="16"/>
              </w:rPr>
              <w:t>Počet podporených projektov – investície poľnohospodárskych podnikov do OZE (4.1 a 4.2)</w:t>
            </w:r>
          </w:p>
        </w:tc>
        <w:tc>
          <w:tcPr>
            <w:tcW w:w="1660" w:type="dxa"/>
            <w:tcBorders>
              <w:top w:val="nil"/>
              <w:left w:val="nil"/>
              <w:bottom w:val="single" w:sz="4" w:space="0" w:color="auto"/>
              <w:right w:val="single" w:sz="4" w:space="0" w:color="auto"/>
            </w:tcBorders>
            <w:shd w:val="clear" w:color="000000" w:fill="FFFFFF"/>
            <w:noWrap/>
            <w:vAlign w:val="center"/>
          </w:tcPr>
          <w:p w:rsidR="008676F9" w:rsidRPr="008676F9" w:rsidRDefault="008676F9" w:rsidP="008676F9">
            <w:pPr>
              <w:jc w:val="right"/>
              <w:rPr>
                <w:rFonts w:ascii="Calibri" w:eastAsia="Calibri" w:hAnsi="Calibri"/>
                <w:sz w:val="20"/>
                <w:szCs w:val="20"/>
              </w:rPr>
            </w:pPr>
            <w:r w:rsidRPr="008676F9">
              <w:rPr>
                <w:rFonts w:ascii="Calibri" w:eastAsia="Calibri" w:hAnsi="Calibri"/>
                <w:sz w:val="20"/>
                <w:szCs w:val="20"/>
              </w:rPr>
              <w:t xml:space="preserve">                       10 </w:t>
            </w:r>
          </w:p>
        </w:tc>
      </w:tr>
      <w:tr w:rsidR="008676F9" w:rsidRPr="008676F9" w:rsidTr="00BB33FC">
        <w:trPr>
          <w:trHeight w:val="499"/>
        </w:trPr>
        <w:tc>
          <w:tcPr>
            <w:tcW w:w="1660" w:type="dxa"/>
            <w:vMerge/>
            <w:tcBorders>
              <w:top w:val="single" w:sz="4" w:space="0" w:color="auto"/>
              <w:left w:val="single" w:sz="4" w:space="0" w:color="auto"/>
              <w:bottom w:val="single" w:sz="4" w:space="0" w:color="000000"/>
              <w:right w:val="single" w:sz="4" w:space="0" w:color="auto"/>
            </w:tcBorders>
            <w:vAlign w:val="center"/>
          </w:tcPr>
          <w:p w:rsidR="008676F9" w:rsidRPr="008676F9" w:rsidRDefault="008676F9" w:rsidP="008676F9">
            <w:pPr>
              <w:rPr>
                <w:rFonts w:ascii="Calibri" w:eastAsia="Calibri" w:hAnsi="Calibri"/>
                <w:b/>
                <w:bCs/>
                <w:sz w:val="16"/>
                <w:szCs w:val="16"/>
              </w:rPr>
            </w:pPr>
          </w:p>
        </w:tc>
        <w:tc>
          <w:tcPr>
            <w:tcW w:w="4360" w:type="dxa"/>
            <w:gridSpan w:val="2"/>
            <w:tcBorders>
              <w:top w:val="single" w:sz="4" w:space="0" w:color="auto"/>
              <w:left w:val="nil"/>
              <w:bottom w:val="single" w:sz="4" w:space="0" w:color="auto"/>
              <w:right w:val="single" w:sz="4" w:space="0" w:color="auto"/>
            </w:tcBorders>
            <w:shd w:val="clear" w:color="000000" w:fill="FFFFFF"/>
            <w:vAlign w:val="center"/>
          </w:tcPr>
          <w:p w:rsidR="008676F9" w:rsidRPr="008676F9" w:rsidRDefault="008676F9" w:rsidP="008676F9">
            <w:pPr>
              <w:rPr>
                <w:rFonts w:ascii="Calibri" w:eastAsia="Calibri" w:hAnsi="Calibri"/>
                <w:sz w:val="16"/>
                <w:szCs w:val="16"/>
              </w:rPr>
            </w:pPr>
            <w:r w:rsidRPr="008676F9">
              <w:rPr>
                <w:rFonts w:ascii="Calibri" w:eastAsia="Calibri" w:hAnsi="Calibri"/>
                <w:sz w:val="16"/>
                <w:szCs w:val="16"/>
              </w:rPr>
              <w:t>Celkové investície  € (verejné + súkromné )</w:t>
            </w:r>
          </w:p>
        </w:tc>
        <w:tc>
          <w:tcPr>
            <w:tcW w:w="1660" w:type="dxa"/>
            <w:tcBorders>
              <w:top w:val="nil"/>
              <w:left w:val="nil"/>
              <w:bottom w:val="single" w:sz="4" w:space="0" w:color="auto"/>
              <w:right w:val="single" w:sz="4" w:space="0" w:color="auto"/>
            </w:tcBorders>
            <w:shd w:val="clear" w:color="000000" w:fill="FFFFFF"/>
            <w:noWrap/>
            <w:vAlign w:val="center"/>
          </w:tcPr>
          <w:p w:rsidR="008676F9" w:rsidRPr="008676F9" w:rsidRDefault="008676F9" w:rsidP="008676F9">
            <w:pPr>
              <w:jc w:val="right"/>
              <w:rPr>
                <w:rFonts w:ascii="Calibri" w:eastAsia="Calibri" w:hAnsi="Calibri"/>
                <w:sz w:val="20"/>
                <w:szCs w:val="20"/>
              </w:rPr>
            </w:pPr>
            <w:r w:rsidRPr="008676F9">
              <w:rPr>
                <w:rFonts w:ascii="Calibri" w:eastAsia="Calibri" w:hAnsi="Calibri"/>
                <w:sz w:val="20"/>
                <w:szCs w:val="20"/>
              </w:rPr>
              <w:t xml:space="preserve">    20 000 000,00 </w:t>
            </w:r>
          </w:p>
        </w:tc>
      </w:tr>
      <w:tr w:rsidR="008676F9" w:rsidRPr="008676F9" w:rsidTr="00BB33FC">
        <w:trPr>
          <w:trHeight w:val="499"/>
        </w:trPr>
        <w:tc>
          <w:tcPr>
            <w:tcW w:w="1660" w:type="dxa"/>
            <w:vMerge/>
            <w:tcBorders>
              <w:top w:val="single" w:sz="4" w:space="0" w:color="auto"/>
              <w:left w:val="single" w:sz="4" w:space="0" w:color="auto"/>
              <w:bottom w:val="single" w:sz="4" w:space="0" w:color="000000"/>
              <w:right w:val="single" w:sz="4" w:space="0" w:color="auto"/>
            </w:tcBorders>
            <w:vAlign w:val="center"/>
          </w:tcPr>
          <w:p w:rsidR="008676F9" w:rsidRPr="008676F9" w:rsidRDefault="008676F9" w:rsidP="008676F9">
            <w:pPr>
              <w:rPr>
                <w:rFonts w:ascii="Calibri" w:eastAsia="Calibri" w:hAnsi="Calibri"/>
                <w:b/>
                <w:bCs/>
                <w:sz w:val="16"/>
                <w:szCs w:val="16"/>
              </w:rPr>
            </w:pPr>
          </w:p>
        </w:tc>
        <w:tc>
          <w:tcPr>
            <w:tcW w:w="4360" w:type="dxa"/>
            <w:gridSpan w:val="2"/>
            <w:tcBorders>
              <w:top w:val="single" w:sz="4" w:space="0" w:color="auto"/>
              <w:left w:val="nil"/>
              <w:bottom w:val="single" w:sz="4" w:space="0" w:color="auto"/>
              <w:right w:val="single" w:sz="4" w:space="0" w:color="auto"/>
            </w:tcBorders>
            <w:shd w:val="clear" w:color="000000" w:fill="FFFFFF"/>
            <w:vAlign w:val="center"/>
          </w:tcPr>
          <w:p w:rsidR="008676F9" w:rsidRPr="008676F9" w:rsidRDefault="008676F9" w:rsidP="008676F9">
            <w:pPr>
              <w:rPr>
                <w:rFonts w:ascii="Calibri" w:eastAsia="Calibri" w:hAnsi="Calibri"/>
                <w:sz w:val="16"/>
                <w:szCs w:val="16"/>
              </w:rPr>
            </w:pPr>
            <w:r w:rsidRPr="008676F9">
              <w:rPr>
                <w:rFonts w:ascii="Calibri" w:eastAsia="Calibri" w:hAnsi="Calibri"/>
                <w:sz w:val="16"/>
                <w:szCs w:val="16"/>
              </w:rPr>
              <w:t>Celkové verejné výdavky  (€)</w:t>
            </w:r>
          </w:p>
        </w:tc>
        <w:tc>
          <w:tcPr>
            <w:tcW w:w="1660" w:type="dxa"/>
            <w:tcBorders>
              <w:top w:val="nil"/>
              <w:left w:val="nil"/>
              <w:bottom w:val="single" w:sz="4" w:space="0" w:color="auto"/>
              <w:right w:val="single" w:sz="4" w:space="0" w:color="auto"/>
            </w:tcBorders>
            <w:shd w:val="clear" w:color="000000" w:fill="FFFFFF"/>
            <w:noWrap/>
            <w:vAlign w:val="center"/>
          </w:tcPr>
          <w:p w:rsidR="008676F9" w:rsidRPr="008676F9" w:rsidRDefault="008676F9" w:rsidP="008676F9">
            <w:pPr>
              <w:jc w:val="right"/>
              <w:rPr>
                <w:rFonts w:ascii="Calibri" w:eastAsia="Calibri" w:hAnsi="Calibri"/>
                <w:sz w:val="20"/>
                <w:szCs w:val="20"/>
              </w:rPr>
            </w:pPr>
            <w:r w:rsidRPr="008676F9">
              <w:rPr>
                <w:rFonts w:ascii="Calibri" w:eastAsia="Calibri" w:hAnsi="Calibri"/>
                <w:sz w:val="20"/>
                <w:szCs w:val="20"/>
              </w:rPr>
              <w:t xml:space="preserve">      10 000 000,00 </w:t>
            </w:r>
          </w:p>
        </w:tc>
      </w:tr>
      <w:tr w:rsidR="008676F9" w:rsidRPr="008676F9" w:rsidTr="00BB33FC">
        <w:trPr>
          <w:trHeight w:val="660"/>
        </w:trPr>
        <w:tc>
          <w:tcPr>
            <w:tcW w:w="1660" w:type="dxa"/>
            <w:vMerge w:val="restart"/>
            <w:tcBorders>
              <w:top w:val="nil"/>
              <w:left w:val="single" w:sz="4" w:space="0" w:color="auto"/>
              <w:bottom w:val="single" w:sz="4" w:space="0" w:color="000000"/>
              <w:right w:val="single" w:sz="4" w:space="0" w:color="auto"/>
            </w:tcBorders>
            <w:shd w:val="clear" w:color="000000" w:fill="FFFFFF"/>
            <w:vAlign w:val="center"/>
          </w:tcPr>
          <w:p w:rsidR="008676F9" w:rsidRPr="008676F9" w:rsidRDefault="008676F9" w:rsidP="008676F9">
            <w:pPr>
              <w:jc w:val="center"/>
              <w:rPr>
                <w:rFonts w:ascii="Calibri" w:eastAsia="Calibri" w:hAnsi="Calibri"/>
                <w:b/>
                <w:bCs/>
                <w:sz w:val="16"/>
                <w:szCs w:val="16"/>
              </w:rPr>
            </w:pPr>
            <w:r w:rsidRPr="008676F9">
              <w:rPr>
                <w:rFonts w:ascii="Calibri" w:eastAsia="Calibri" w:hAnsi="Calibri"/>
                <w:b/>
                <w:bCs/>
                <w:sz w:val="16"/>
                <w:szCs w:val="16"/>
              </w:rPr>
              <w:t>7 (20)</w:t>
            </w:r>
          </w:p>
        </w:tc>
        <w:tc>
          <w:tcPr>
            <w:tcW w:w="4360" w:type="dxa"/>
            <w:gridSpan w:val="2"/>
            <w:tcBorders>
              <w:top w:val="single" w:sz="4" w:space="0" w:color="auto"/>
              <w:left w:val="nil"/>
              <w:bottom w:val="single" w:sz="4" w:space="0" w:color="auto"/>
              <w:right w:val="single" w:sz="4" w:space="0" w:color="auto"/>
            </w:tcBorders>
            <w:shd w:val="clear" w:color="000000" w:fill="FFFFFF"/>
            <w:vAlign w:val="center"/>
          </w:tcPr>
          <w:p w:rsidR="008676F9" w:rsidRPr="008676F9" w:rsidRDefault="008676F9" w:rsidP="008676F9">
            <w:pPr>
              <w:rPr>
                <w:rFonts w:ascii="Calibri" w:eastAsia="Calibri" w:hAnsi="Calibri"/>
                <w:sz w:val="16"/>
                <w:szCs w:val="16"/>
              </w:rPr>
            </w:pPr>
            <w:r w:rsidRPr="008676F9">
              <w:rPr>
                <w:rFonts w:ascii="Calibri" w:eastAsia="Calibri" w:hAnsi="Calibri"/>
                <w:sz w:val="16"/>
                <w:szCs w:val="16"/>
              </w:rPr>
              <w:t>Počet projektov investujúcich do malej infraštruktúry vrátane obnoviteľných zdrojov (7.2)</w:t>
            </w:r>
          </w:p>
        </w:tc>
        <w:tc>
          <w:tcPr>
            <w:tcW w:w="1660" w:type="dxa"/>
            <w:tcBorders>
              <w:top w:val="nil"/>
              <w:left w:val="nil"/>
              <w:bottom w:val="single" w:sz="4" w:space="0" w:color="auto"/>
              <w:right w:val="single" w:sz="4" w:space="0" w:color="auto"/>
            </w:tcBorders>
            <w:shd w:val="clear" w:color="000000" w:fill="FFFFFF"/>
            <w:noWrap/>
            <w:vAlign w:val="center"/>
          </w:tcPr>
          <w:p w:rsidR="008676F9" w:rsidRPr="008676F9" w:rsidRDefault="008676F9" w:rsidP="008676F9">
            <w:pPr>
              <w:jc w:val="right"/>
              <w:rPr>
                <w:rFonts w:ascii="Calibri" w:eastAsia="Calibri" w:hAnsi="Calibri"/>
                <w:sz w:val="20"/>
                <w:szCs w:val="20"/>
              </w:rPr>
            </w:pPr>
            <w:r w:rsidRPr="008676F9">
              <w:rPr>
                <w:rFonts w:ascii="Calibri" w:eastAsia="Calibri" w:hAnsi="Calibri"/>
                <w:sz w:val="20"/>
                <w:szCs w:val="20"/>
              </w:rPr>
              <w:t xml:space="preserve">                     40 </w:t>
            </w:r>
          </w:p>
        </w:tc>
      </w:tr>
      <w:tr w:rsidR="008676F9" w:rsidRPr="008676F9" w:rsidTr="00BB33FC">
        <w:trPr>
          <w:trHeight w:val="499"/>
        </w:trPr>
        <w:tc>
          <w:tcPr>
            <w:tcW w:w="1660" w:type="dxa"/>
            <w:vMerge/>
            <w:tcBorders>
              <w:top w:val="nil"/>
              <w:left w:val="single" w:sz="4" w:space="0" w:color="auto"/>
              <w:bottom w:val="single" w:sz="4" w:space="0" w:color="000000"/>
              <w:right w:val="single" w:sz="4" w:space="0" w:color="auto"/>
            </w:tcBorders>
            <w:vAlign w:val="center"/>
          </w:tcPr>
          <w:p w:rsidR="008676F9" w:rsidRPr="008676F9" w:rsidRDefault="008676F9" w:rsidP="008676F9">
            <w:pPr>
              <w:rPr>
                <w:rFonts w:ascii="Calibri" w:eastAsia="Calibri" w:hAnsi="Calibri"/>
                <w:b/>
                <w:bCs/>
                <w:sz w:val="16"/>
                <w:szCs w:val="16"/>
              </w:rPr>
            </w:pPr>
          </w:p>
        </w:tc>
        <w:tc>
          <w:tcPr>
            <w:tcW w:w="4360" w:type="dxa"/>
            <w:gridSpan w:val="2"/>
            <w:tcBorders>
              <w:top w:val="single" w:sz="4" w:space="0" w:color="auto"/>
              <w:left w:val="nil"/>
              <w:bottom w:val="single" w:sz="4" w:space="0" w:color="auto"/>
              <w:right w:val="single" w:sz="4" w:space="0" w:color="auto"/>
            </w:tcBorders>
            <w:shd w:val="clear" w:color="000000" w:fill="FFFFFF"/>
            <w:vAlign w:val="center"/>
          </w:tcPr>
          <w:p w:rsidR="008676F9" w:rsidRPr="008676F9" w:rsidRDefault="008676F9" w:rsidP="008676F9">
            <w:pPr>
              <w:rPr>
                <w:rFonts w:ascii="Calibri" w:eastAsia="Calibri" w:hAnsi="Calibri"/>
                <w:sz w:val="16"/>
                <w:szCs w:val="16"/>
              </w:rPr>
            </w:pPr>
            <w:r w:rsidRPr="008676F9">
              <w:rPr>
                <w:rFonts w:ascii="Calibri" w:eastAsia="Calibri" w:hAnsi="Calibri"/>
                <w:sz w:val="16"/>
                <w:szCs w:val="16"/>
              </w:rPr>
              <w:t>Celkové investície € (verejné + súkromné )</w:t>
            </w:r>
          </w:p>
        </w:tc>
        <w:tc>
          <w:tcPr>
            <w:tcW w:w="1660" w:type="dxa"/>
            <w:tcBorders>
              <w:top w:val="nil"/>
              <w:left w:val="nil"/>
              <w:bottom w:val="single" w:sz="4" w:space="0" w:color="auto"/>
              <w:right w:val="single" w:sz="4" w:space="0" w:color="auto"/>
            </w:tcBorders>
            <w:shd w:val="clear" w:color="000000" w:fill="FFFFFF"/>
            <w:noWrap/>
            <w:vAlign w:val="center"/>
          </w:tcPr>
          <w:p w:rsidR="008676F9" w:rsidRPr="008676F9" w:rsidRDefault="008676F9" w:rsidP="008676F9">
            <w:pPr>
              <w:jc w:val="right"/>
              <w:rPr>
                <w:rFonts w:ascii="Calibri" w:eastAsia="Calibri" w:hAnsi="Calibri"/>
                <w:sz w:val="20"/>
                <w:szCs w:val="20"/>
              </w:rPr>
            </w:pPr>
            <w:r w:rsidRPr="008676F9">
              <w:rPr>
                <w:rFonts w:ascii="Calibri" w:eastAsia="Calibri" w:hAnsi="Calibri"/>
                <w:sz w:val="20"/>
                <w:szCs w:val="20"/>
              </w:rPr>
              <w:t xml:space="preserve">    12 000 000,00 </w:t>
            </w:r>
          </w:p>
        </w:tc>
      </w:tr>
      <w:tr w:rsidR="008676F9" w:rsidRPr="008676F9" w:rsidTr="00BB33FC">
        <w:trPr>
          <w:trHeight w:val="465"/>
        </w:trPr>
        <w:tc>
          <w:tcPr>
            <w:tcW w:w="1660" w:type="dxa"/>
            <w:vMerge/>
            <w:tcBorders>
              <w:top w:val="nil"/>
              <w:left w:val="single" w:sz="4" w:space="0" w:color="auto"/>
              <w:bottom w:val="single" w:sz="4" w:space="0" w:color="000000"/>
              <w:right w:val="single" w:sz="4" w:space="0" w:color="auto"/>
            </w:tcBorders>
            <w:vAlign w:val="center"/>
          </w:tcPr>
          <w:p w:rsidR="008676F9" w:rsidRPr="008676F9" w:rsidRDefault="008676F9" w:rsidP="008676F9">
            <w:pPr>
              <w:rPr>
                <w:rFonts w:ascii="Calibri" w:eastAsia="Calibri" w:hAnsi="Calibri"/>
                <w:b/>
                <w:bCs/>
                <w:sz w:val="16"/>
                <w:szCs w:val="16"/>
              </w:rPr>
            </w:pPr>
          </w:p>
        </w:tc>
        <w:tc>
          <w:tcPr>
            <w:tcW w:w="4360" w:type="dxa"/>
            <w:gridSpan w:val="2"/>
            <w:tcBorders>
              <w:top w:val="single" w:sz="4" w:space="0" w:color="auto"/>
              <w:left w:val="nil"/>
              <w:bottom w:val="single" w:sz="4" w:space="0" w:color="auto"/>
              <w:right w:val="single" w:sz="4" w:space="0" w:color="auto"/>
            </w:tcBorders>
            <w:shd w:val="clear" w:color="000000" w:fill="FFFFFF"/>
            <w:vAlign w:val="center"/>
          </w:tcPr>
          <w:p w:rsidR="008676F9" w:rsidRPr="008676F9" w:rsidRDefault="008676F9" w:rsidP="008676F9">
            <w:pPr>
              <w:rPr>
                <w:rFonts w:ascii="Calibri" w:eastAsia="Calibri" w:hAnsi="Calibri"/>
                <w:sz w:val="16"/>
                <w:szCs w:val="16"/>
              </w:rPr>
            </w:pPr>
            <w:r w:rsidRPr="008676F9">
              <w:rPr>
                <w:rFonts w:ascii="Calibri" w:eastAsia="Calibri" w:hAnsi="Calibri"/>
                <w:sz w:val="16"/>
                <w:szCs w:val="16"/>
              </w:rPr>
              <w:t>Celkové verejné výdavky (€)</w:t>
            </w:r>
          </w:p>
        </w:tc>
        <w:tc>
          <w:tcPr>
            <w:tcW w:w="1660" w:type="dxa"/>
            <w:tcBorders>
              <w:top w:val="nil"/>
              <w:left w:val="nil"/>
              <w:bottom w:val="single" w:sz="4" w:space="0" w:color="auto"/>
              <w:right w:val="single" w:sz="4" w:space="0" w:color="auto"/>
            </w:tcBorders>
            <w:shd w:val="clear" w:color="000000" w:fill="FFFFFF"/>
            <w:noWrap/>
            <w:vAlign w:val="center"/>
          </w:tcPr>
          <w:p w:rsidR="008676F9" w:rsidRPr="008676F9" w:rsidRDefault="008676F9" w:rsidP="008676F9">
            <w:pPr>
              <w:jc w:val="right"/>
              <w:rPr>
                <w:rFonts w:ascii="Calibri" w:eastAsia="Calibri" w:hAnsi="Calibri"/>
                <w:sz w:val="20"/>
                <w:szCs w:val="20"/>
              </w:rPr>
            </w:pPr>
            <w:r w:rsidRPr="008676F9">
              <w:rPr>
                <w:rFonts w:ascii="Calibri" w:eastAsia="Calibri" w:hAnsi="Calibri"/>
                <w:sz w:val="20"/>
                <w:szCs w:val="20"/>
              </w:rPr>
              <w:t xml:space="preserve">    12 000 000,00 </w:t>
            </w:r>
          </w:p>
        </w:tc>
      </w:tr>
      <w:tr w:rsidR="008676F9" w:rsidRPr="008676F9" w:rsidTr="00BB33FC">
        <w:trPr>
          <w:trHeight w:val="499"/>
        </w:trPr>
        <w:tc>
          <w:tcPr>
            <w:tcW w:w="1660" w:type="dxa"/>
            <w:vMerge w:val="restart"/>
            <w:tcBorders>
              <w:top w:val="nil"/>
              <w:left w:val="single" w:sz="4" w:space="0" w:color="auto"/>
              <w:bottom w:val="single" w:sz="4" w:space="0" w:color="000000"/>
              <w:right w:val="single" w:sz="4" w:space="0" w:color="auto"/>
            </w:tcBorders>
            <w:shd w:val="clear" w:color="000000" w:fill="FFFFFF"/>
            <w:vAlign w:val="center"/>
          </w:tcPr>
          <w:p w:rsidR="008676F9" w:rsidRPr="008676F9" w:rsidRDefault="008676F9" w:rsidP="008676F9">
            <w:pPr>
              <w:jc w:val="center"/>
              <w:rPr>
                <w:rFonts w:ascii="Calibri" w:eastAsia="Calibri" w:hAnsi="Calibri"/>
                <w:b/>
                <w:bCs/>
                <w:color w:val="000000"/>
                <w:sz w:val="16"/>
                <w:szCs w:val="16"/>
              </w:rPr>
            </w:pPr>
            <w:r w:rsidRPr="008676F9">
              <w:rPr>
                <w:rFonts w:ascii="Calibri" w:eastAsia="Calibri" w:hAnsi="Calibri"/>
                <w:b/>
                <w:bCs/>
                <w:color w:val="000000"/>
                <w:sz w:val="16"/>
                <w:szCs w:val="16"/>
              </w:rPr>
              <w:t>8 (21)</w:t>
            </w:r>
          </w:p>
        </w:tc>
        <w:tc>
          <w:tcPr>
            <w:tcW w:w="4360" w:type="dxa"/>
            <w:gridSpan w:val="2"/>
            <w:tcBorders>
              <w:top w:val="single" w:sz="4" w:space="0" w:color="auto"/>
              <w:left w:val="nil"/>
              <w:bottom w:val="single" w:sz="4" w:space="0" w:color="auto"/>
              <w:right w:val="single" w:sz="4" w:space="0" w:color="auto"/>
            </w:tcBorders>
            <w:shd w:val="clear" w:color="000000" w:fill="FFFFFF"/>
            <w:vAlign w:val="center"/>
          </w:tcPr>
          <w:p w:rsidR="008676F9" w:rsidRPr="008676F9" w:rsidRDefault="008676F9" w:rsidP="008676F9">
            <w:pPr>
              <w:rPr>
                <w:rFonts w:ascii="Calibri" w:eastAsia="Calibri" w:hAnsi="Calibri"/>
                <w:sz w:val="16"/>
                <w:szCs w:val="16"/>
              </w:rPr>
            </w:pPr>
            <w:r w:rsidRPr="008676F9">
              <w:rPr>
                <w:rFonts w:ascii="Calibri" w:eastAsia="Calibri" w:hAnsi="Calibri"/>
                <w:sz w:val="16"/>
                <w:szCs w:val="16"/>
              </w:rPr>
              <w:t>Počet podporených projektov - investície do techniky</w:t>
            </w:r>
          </w:p>
        </w:tc>
        <w:tc>
          <w:tcPr>
            <w:tcW w:w="1660" w:type="dxa"/>
            <w:tcBorders>
              <w:top w:val="nil"/>
              <w:left w:val="nil"/>
              <w:bottom w:val="single" w:sz="4" w:space="0" w:color="auto"/>
              <w:right w:val="single" w:sz="4" w:space="0" w:color="auto"/>
            </w:tcBorders>
            <w:shd w:val="clear" w:color="000000" w:fill="FFFFFF"/>
            <w:noWrap/>
            <w:vAlign w:val="center"/>
          </w:tcPr>
          <w:p w:rsidR="008676F9" w:rsidRPr="008676F9" w:rsidRDefault="008676F9" w:rsidP="008676F9">
            <w:pPr>
              <w:jc w:val="right"/>
              <w:rPr>
                <w:rFonts w:ascii="Calibri" w:hAnsi="Calibri"/>
                <w:sz w:val="20"/>
                <w:szCs w:val="20"/>
              </w:rPr>
            </w:pPr>
            <w:r w:rsidRPr="008676F9">
              <w:rPr>
                <w:rFonts w:ascii="Calibri" w:hAnsi="Calibri"/>
                <w:sz w:val="20"/>
                <w:szCs w:val="20"/>
              </w:rPr>
              <w:t xml:space="preserve">                     50</w:t>
            </w:r>
          </w:p>
        </w:tc>
      </w:tr>
      <w:tr w:rsidR="008676F9" w:rsidRPr="008676F9" w:rsidTr="00BB33FC">
        <w:trPr>
          <w:trHeight w:val="499"/>
        </w:trPr>
        <w:tc>
          <w:tcPr>
            <w:tcW w:w="1660" w:type="dxa"/>
            <w:vMerge/>
            <w:tcBorders>
              <w:top w:val="nil"/>
              <w:left w:val="single" w:sz="4" w:space="0" w:color="auto"/>
              <w:bottom w:val="single" w:sz="4" w:space="0" w:color="000000"/>
              <w:right w:val="single" w:sz="4" w:space="0" w:color="auto"/>
            </w:tcBorders>
            <w:vAlign w:val="center"/>
          </w:tcPr>
          <w:p w:rsidR="008676F9" w:rsidRPr="008676F9" w:rsidRDefault="008676F9" w:rsidP="008676F9">
            <w:pPr>
              <w:rPr>
                <w:rFonts w:ascii="Calibri" w:eastAsia="Calibri" w:hAnsi="Calibri"/>
                <w:b/>
                <w:bCs/>
                <w:color w:val="000000"/>
                <w:sz w:val="16"/>
                <w:szCs w:val="16"/>
              </w:rPr>
            </w:pPr>
          </w:p>
        </w:tc>
        <w:tc>
          <w:tcPr>
            <w:tcW w:w="4360" w:type="dxa"/>
            <w:gridSpan w:val="2"/>
            <w:tcBorders>
              <w:top w:val="single" w:sz="4" w:space="0" w:color="auto"/>
              <w:left w:val="nil"/>
              <w:bottom w:val="single" w:sz="4" w:space="0" w:color="auto"/>
              <w:right w:val="single" w:sz="4" w:space="0" w:color="auto"/>
            </w:tcBorders>
            <w:shd w:val="clear" w:color="000000" w:fill="FFFFFF"/>
            <w:vAlign w:val="center"/>
          </w:tcPr>
          <w:p w:rsidR="008676F9" w:rsidRPr="008676F9" w:rsidRDefault="008676F9" w:rsidP="008676F9">
            <w:pPr>
              <w:rPr>
                <w:rFonts w:ascii="Calibri" w:eastAsia="Calibri" w:hAnsi="Calibri"/>
                <w:sz w:val="16"/>
                <w:szCs w:val="16"/>
              </w:rPr>
            </w:pPr>
            <w:r w:rsidRPr="008676F9">
              <w:rPr>
                <w:rFonts w:ascii="Calibri" w:eastAsia="Calibri" w:hAnsi="Calibri"/>
                <w:sz w:val="16"/>
                <w:szCs w:val="16"/>
              </w:rPr>
              <w:t>Celkové investície € (verejné + súkromné ) (8.6)</w:t>
            </w:r>
          </w:p>
        </w:tc>
        <w:tc>
          <w:tcPr>
            <w:tcW w:w="1660" w:type="dxa"/>
            <w:tcBorders>
              <w:top w:val="nil"/>
              <w:left w:val="nil"/>
              <w:bottom w:val="single" w:sz="4" w:space="0" w:color="auto"/>
              <w:right w:val="single" w:sz="4" w:space="0" w:color="auto"/>
            </w:tcBorders>
            <w:shd w:val="clear" w:color="000000" w:fill="FFFFFF"/>
            <w:noWrap/>
            <w:vAlign w:val="center"/>
          </w:tcPr>
          <w:p w:rsidR="008676F9" w:rsidRPr="008676F9" w:rsidRDefault="008676F9" w:rsidP="008676F9">
            <w:pPr>
              <w:jc w:val="right"/>
              <w:rPr>
                <w:rFonts w:ascii="Calibri" w:hAnsi="Calibri"/>
                <w:sz w:val="20"/>
                <w:szCs w:val="20"/>
              </w:rPr>
            </w:pPr>
            <w:r w:rsidRPr="008676F9">
              <w:rPr>
                <w:rFonts w:ascii="Calibri" w:hAnsi="Calibri"/>
                <w:sz w:val="20"/>
                <w:szCs w:val="20"/>
              </w:rPr>
              <w:t xml:space="preserve">      10 000 000,00 </w:t>
            </w:r>
          </w:p>
        </w:tc>
      </w:tr>
      <w:tr w:rsidR="008676F9" w:rsidRPr="008676F9" w:rsidTr="00BB33FC">
        <w:trPr>
          <w:trHeight w:val="525"/>
        </w:trPr>
        <w:tc>
          <w:tcPr>
            <w:tcW w:w="1660" w:type="dxa"/>
            <w:vMerge/>
            <w:tcBorders>
              <w:top w:val="nil"/>
              <w:left w:val="single" w:sz="4" w:space="0" w:color="auto"/>
              <w:bottom w:val="single" w:sz="4" w:space="0" w:color="000000"/>
              <w:right w:val="single" w:sz="4" w:space="0" w:color="auto"/>
            </w:tcBorders>
            <w:vAlign w:val="center"/>
          </w:tcPr>
          <w:p w:rsidR="008676F9" w:rsidRPr="008676F9" w:rsidRDefault="008676F9" w:rsidP="008676F9">
            <w:pPr>
              <w:rPr>
                <w:rFonts w:ascii="Calibri" w:eastAsia="Calibri" w:hAnsi="Calibri"/>
                <w:b/>
                <w:bCs/>
                <w:color w:val="000000"/>
                <w:sz w:val="16"/>
                <w:szCs w:val="16"/>
              </w:rPr>
            </w:pPr>
          </w:p>
        </w:tc>
        <w:tc>
          <w:tcPr>
            <w:tcW w:w="4360" w:type="dxa"/>
            <w:gridSpan w:val="2"/>
            <w:tcBorders>
              <w:top w:val="single" w:sz="4" w:space="0" w:color="auto"/>
              <w:left w:val="nil"/>
              <w:bottom w:val="single" w:sz="4" w:space="0" w:color="auto"/>
              <w:right w:val="single" w:sz="4" w:space="0" w:color="auto"/>
            </w:tcBorders>
            <w:shd w:val="clear" w:color="000000" w:fill="FFFFFF"/>
            <w:vAlign w:val="center"/>
          </w:tcPr>
          <w:p w:rsidR="008676F9" w:rsidRPr="008676F9" w:rsidRDefault="008676F9" w:rsidP="008676F9">
            <w:pPr>
              <w:rPr>
                <w:rFonts w:ascii="Calibri" w:eastAsia="Calibri" w:hAnsi="Calibri"/>
                <w:sz w:val="16"/>
                <w:szCs w:val="16"/>
              </w:rPr>
            </w:pPr>
            <w:r w:rsidRPr="008676F9">
              <w:rPr>
                <w:rFonts w:ascii="Calibri" w:eastAsia="Calibri" w:hAnsi="Calibri"/>
                <w:sz w:val="16"/>
                <w:szCs w:val="16"/>
              </w:rPr>
              <w:t>Celkové verejné výdavky  (€) (8.6)</w:t>
            </w:r>
          </w:p>
        </w:tc>
        <w:tc>
          <w:tcPr>
            <w:tcW w:w="1660" w:type="dxa"/>
            <w:tcBorders>
              <w:top w:val="nil"/>
              <w:left w:val="nil"/>
              <w:bottom w:val="single" w:sz="4" w:space="0" w:color="auto"/>
              <w:right w:val="single" w:sz="4" w:space="0" w:color="auto"/>
            </w:tcBorders>
            <w:shd w:val="clear" w:color="000000" w:fill="FFFFFF"/>
            <w:noWrap/>
            <w:vAlign w:val="center"/>
          </w:tcPr>
          <w:p w:rsidR="008676F9" w:rsidRPr="008676F9" w:rsidRDefault="008676F9" w:rsidP="008676F9">
            <w:pPr>
              <w:jc w:val="right"/>
              <w:rPr>
                <w:rFonts w:ascii="Calibri" w:hAnsi="Calibri"/>
                <w:sz w:val="20"/>
                <w:szCs w:val="20"/>
              </w:rPr>
            </w:pPr>
            <w:r w:rsidRPr="008676F9">
              <w:rPr>
                <w:rFonts w:ascii="Calibri" w:hAnsi="Calibri"/>
                <w:sz w:val="20"/>
                <w:szCs w:val="20"/>
              </w:rPr>
              <w:t xml:space="preserve">      5 000 000,00 </w:t>
            </w:r>
          </w:p>
        </w:tc>
      </w:tr>
      <w:tr w:rsidR="00255E13" w:rsidRPr="008676F9" w:rsidTr="00BB33FC">
        <w:trPr>
          <w:trHeight w:val="499"/>
        </w:trPr>
        <w:tc>
          <w:tcPr>
            <w:tcW w:w="1660" w:type="dxa"/>
            <w:vMerge w:val="restart"/>
            <w:tcBorders>
              <w:top w:val="nil"/>
              <w:left w:val="single" w:sz="4" w:space="0" w:color="auto"/>
              <w:bottom w:val="single" w:sz="4" w:space="0" w:color="000000"/>
              <w:right w:val="single" w:sz="4" w:space="0" w:color="auto"/>
            </w:tcBorders>
            <w:shd w:val="clear" w:color="000000" w:fill="FFFFFF"/>
            <w:vAlign w:val="center"/>
          </w:tcPr>
          <w:p w:rsidR="00255E13" w:rsidRPr="008676F9" w:rsidRDefault="00255E13" w:rsidP="008676F9">
            <w:pPr>
              <w:jc w:val="center"/>
              <w:rPr>
                <w:rFonts w:ascii="Calibri" w:eastAsia="Calibri" w:hAnsi="Calibri"/>
                <w:b/>
                <w:bCs/>
                <w:color w:val="000000"/>
                <w:sz w:val="16"/>
                <w:szCs w:val="16"/>
              </w:rPr>
            </w:pPr>
            <w:r w:rsidRPr="008676F9">
              <w:rPr>
                <w:rFonts w:ascii="Calibri" w:eastAsia="Calibri" w:hAnsi="Calibri"/>
                <w:b/>
                <w:bCs/>
                <w:color w:val="000000"/>
                <w:sz w:val="16"/>
                <w:szCs w:val="16"/>
              </w:rPr>
              <w:t>1 (14)</w:t>
            </w:r>
          </w:p>
        </w:tc>
        <w:tc>
          <w:tcPr>
            <w:tcW w:w="1660" w:type="dxa"/>
            <w:vMerge w:val="restart"/>
            <w:tcBorders>
              <w:top w:val="nil"/>
              <w:left w:val="single" w:sz="4" w:space="0" w:color="auto"/>
              <w:bottom w:val="single" w:sz="4" w:space="0" w:color="auto"/>
              <w:right w:val="single" w:sz="4" w:space="0" w:color="auto"/>
            </w:tcBorders>
            <w:shd w:val="clear" w:color="000000" w:fill="FFFFFF"/>
            <w:vAlign w:val="center"/>
          </w:tcPr>
          <w:p w:rsidR="00255E13" w:rsidRPr="008676F9" w:rsidRDefault="00255E13" w:rsidP="008676F9">
            <w:pPr>
              <w:rPr>
                <w:rFonts w:ascii="Calibri" w:eastAsia="Calibri" w:hAnsi="Calibri"/>
                <w:sz w:val="16"/>
                <w:szCs w:val="16"/>
              </w:rPr>
            </w:pPr>
            <w:r w:rsidRPr="008676F9">
              <w:rPr>
                <w:rFonts w:ascii="Calibri" w:eastAsia="Calibri" w:hAnsi="Calibri"/>
                <w:sz w:val="16"/>
                <w:szCs w:val="16"/>
              </w:rPr>
              <w:t xml:space="preserve">Školenia/získavanie </w:t>
            </w:r>
            <w:r w:rsidRPr="008676F9">
              <w:rPr>
                <w:rFonts w:ascii="Calibri" w:eastAsia="Calibri" w:hAnsi="Calibri"/>
                <w:sz w:val="16"/>
                <w:szCs w:val="16"/>
              </w:rPr>
              <w:br/>
              <w:t>praktických zručností  (1.1)</w:t>
            </w:r>
          </w:p>
        </w:tc>
        <w:tc>
          <w:tcPr>
            <w:tcW w:w="2700" w:type="dxa"/>
            <w:tcBorders>
              <w:top w:val="nil"/>
              <w:left w:val="nil"/>
              <w:bottom w:val="single" w:sz="4" w:space="0" w:color="auto"/>
              <w:right w:val="single" w:sz="4" w:space="0" w:color="auto"/>
            </w:tcBorders>
            <w:shd w:val="clear" w:color="000000" w:fill="FFFFFF"/>
            <w:vAlign w:val="center"/>
          </w:tcPr>
          <w:p w:rsidR="00255E13" w:rsidRPr="008676F9" w:rsidRDefault="00255E13" w:rsidP="008676F9">
            <w:pPr>
              <w:rPr>
                <w:rFonts w:ascii="Calibri" w:eastAsia="Calibri" w:hAnsi="Calibri"/>
                <w:sz w:val="16"/>
                <w:szCs w:val="16"/>
              </w:rPr>
            </w:pPr>
            <w:r w:rsidRPr="008676F9">
              <w:rPr>
                <w:rFonts w:ascii="Calibri" w:eastAsia="Calibri" w:hAnsi="Calibri"/>
                <w:sz w:val="16"/>
                <w:szCs w:val="16"/>
              </w:rPr>
              <w:t>Počet účastníkov vzdelávania</w:t>
            </w:r>
          </w:p>
        </w:tc>
        <w:tc>
          <w:tcPr>
            <w:tcW w:w="1660" w:type="dxa"/>
            <w:tcBorders>
              <w:top w:val="nil"/>
              <w:left w:val="nil"/>
              <w:bottom w:val="single" w:sz="4" w:space="0" w:color="auto"/>
              <w:right w:val="single" w:sz="4" w:space="0" w:color="auto"/>
            </w:tcBorders>
            <w:shd w:val="clear" w:color="000000" w:fill="FFFFFF"/>
            <w:noWrap/>
            <w:vAlign w:val="center"/>
          </w:tcPr>
          <w:p w:rsidR="00255E13" w:rsidRPr="00F849C3" w:rsidRDefault="00255E13" w:rsidP="00895B36">
            <w:pPr>
              <w:jc w:val="right"/>
              <w:rPr>
                <w:sz w:val="20"/>
                <w:szCs w:val="20"/>
              </w:rPr>
            </w:pPr>
            <w:r w:rsidRPr="00F849C3">
              <w:rPr>
                <w:sz w:val="20"/>
                <w:szCs w:val="20"/>
              </w:rPr>
              <w:t xml:space="preserve">                    </w:t>
            </w:r>
            <w:r>
              <w:rPr>
                <w:sz w:val="20"/>
                <w:szCs w:val="20"/>
              </w:rPr>
              <w:t>22</w:t>
            </w:r>
            <w:r w:rsidRPr="00F849C3">
              <w:rPr>
                <w:sz w:val="20"/>
                <w:szCs w:val="20"/>
              </w:rPr>
              <w:t xml:space="preserve">0 </w:t>
            </w:r>
          </w:p>
        </w:tc>
      </w:tr>
      <w:tr w:rsidR="00255E13" w:rsidRPr="008676F9" w:rsidTr="00BB33FC">
        <w:trPr>
          <w:trHeight w:val="705"/>
        </w:trPr>
        <w:tc>
          <w:tcPr>
            <w:tcW w:w="1660" w:type="dxa"/>
            <w:vMerge/>
            <w:tcBorders>
              <w:top w:val="nil"/>
              <w:left w:val="single" w:sz="4" w:space="0" w:color="auto"/>
              <w:bottom w:val="single" w:sz="4" w:space="0" w:color="000000"/>
              <w:right w:val="single" w:sz="4" w:space="0" w:color="auto"/>
            </w:tcBorders>
            <w:vAlign w:val="center"/>
          </w:tcPr>
          <w:p w:rsidR="00255E13" w:rsidRPr="008676F9" w:rsidRDefault="00255E13" w:rsidP="008676F9">
            <w:pPr>
              <w:rPr>
                <w:rFonts w:ascii="Calibri" w:eastAsia="Calibri" w:hAnsi="Calibri"/>
                <w:b/>
                <w:bCs/>
                <w:color w:val="000000"/>
                <w:sz w:val="16"/>
                <w:szCs w:val="16"/>
              </w:rPr>
            </w:pPr>
          </w:p>
        </w:tc>
        <w:tc>
          <w:tcPr>
            <w:tcW w:w="1660" w:type="dxa"/>
            <w:vMerge/>
            <w:tcBorders>
              <w:top w:val="nil"/>
              <w:left w:val="single" w:sz="4" w:space="0" w:color="auto"/>
              <w:bottom w:val="single" w:sz="4" w:space="0" w:color="auto"/>
              <w:right w:val="single" w:sz="4" w:space="0" w:color="auto"/>
            </w:tcBorders>
            <w:vAlign w:val="center"/>
          </w:tcPr>
          <w:p w:rsidR="00255E13" w:rsidRPr="008676F9" w:rsidRDefault="00255E13" w:rsidP="008676F9">
            <w:pPr>
              <w:rPr>
                <w:rFonts w:ascii="Calibri" w:eastAsia="Calibri" w:hAnsi="Calibri"/>
                <w:sz w:val="16"/>
                <w:szCs w:val="16"/>
              </w:rPr>
            </w:pPr>
          </w:p>
        </w:tc>
        <w:tc>
          <w:tcPr>
            <w:tcW w:w="2700" w:type="dxa"/>
            <w:tcBorders>
              <w:top w:val="nil"/>
              <w:left w:val="nil"/>
              <w:bottom w:val="single" w:sz="4" w:space="0" w:color="auto"/>
              <w:right w:val="single" w:sz="4" w:space="0" w:color="auto"/>
            </w:tcBorders>
            <w:shd w:val="clear" w:color="000000" w:fill="FFFFFF"/>
            <w:vAlign w:val="center"/>
          </w:tcPr>
          <w:p w:rsidR="00255E13" w:rsidRPr="008676F9" w:rsidRDefault="00255E13" w:rsidP="008676F9">
            <w:pPr>
              <w:rPr>
                <w:rFonts w:ascii="Calibri" w:eastAsia="Calibri" w:hAnsi="Calibri"/>
                <w:sz w:val="16"/>
                <w:szCs w:val="16"/>
              </w:rPr>
            </w:pPr>
            <w:r w:rsidRPr="008676F9">
              <w:rPr>
                <w:rFonts w:ascii="Calibri" w:eastAsia="Calibri" w:hAnsi="Calibri"/>
                <w:sz w:val="16"/>
                <w:szCs w:val="16"/>
              </w:rPr>
              <w:t>Celkové verejné výdavky na školenia</w:t>
            </w:r>
          </w:p>
        </w:tc>
        <w:tc>
          <w:tcPr>
            <w:tcW w:w="1660" w:type="dxa"/>
            <w:tcBorders>
              <w:top w:val="nil"/>
              <w:left w:val="nil"/>
              <w:bottom w:val="single" w:sz="4" w:space="0" w:color="auto"/>
              <w:right w:val="single" w:sz="4" w:space="0" w:color="auto"/>
            </w:tcBorders>
            <w:shd w:val="clear" w:color="000000" w:fill="FFFFFF"/>
            <w:noWrap/>
            <w:vAlign w:val="center"/>
          </w:tcPr>
          <w:p w:rsidR="00255E13" w:rsidRPr="00F849C3" w:rsidRDefault="00255E13" w:rsidP="00895B36">
            <w:pPr>
              <w:jc w:val="right"/>
              <w:rPr>
                <w:sz w:val="20"/>
                <w:szCs w:val="20"/>
              </w:rPr>
            </w:pPr>
            <w:r>
              <w:rPr>
                <w:sz w:val="20"/>
                <w:szCs w:val="20"/>
              </w:rPr>
              <w:t>45</w:t>
            </w:r>
            <w:r w:rsidRPr="00F849C3">
              <w:rPr>
                <w:sz w:val="20"/>
                <w:szCs w:val="20"/>
              </w:rPr>
              <w:t xml:space="preserve">0 000,00                                            </w:t>
            </w:r>
          </w:p>
        </w:tc>
      </w:tr>
      <w:tr w:rsidR="00255E13" w:rsidRPr="008676F9" w:rsidTr="00BB33FC">
        <w:trPr>
          <w:trHeight w:val="499"/>
        </w:trPr>
        <w:tc>
          <w:tcPr>
            <w:tcW w:w="1660" w:type="dxa"/>
            <w:vMerge/>
            <w:tcBorders>
              <w:top w:val="nil"/>
              <w:left w:val="single" w:sz="4" w:space="0" w:color="auto"/>
              <w:bottom w:val="single" w:sz="4" w:space="0" w:color="000000"/>
              <w:right w:val="single" w:sz="4" w:space="0" w:color="auto"/>
            </w:tcBorders>
            <w:vAlign w:val="center"/>
          </w:tcPr>
          <w:p w:rsidR="00255E13" w:rsidRPr="008676F9" w:rsidRDefault="00255E13" w:rsidP="008676F9">
            <w:pPr>
              <w:rPr>
                <w:rFonts w:ascii="Calibri" w:eastAsia="Calibri" w:hAnsi="Calibri"/>
                <w:b/>
                <w:bCs/>
                <w:color w:val="000000"/>
                <w:sz w:val="16"/>
                <w:szCs w:val="16"/>
              </w:rPr>
            </w:pPr>
          </w:p>
        </w:tc>
        <w:tc>
          <w:tcPr>
            <w:tcW w:w="4360" w:type="dxa"/>
            <w:gridSpan w:val="2"/>
            <w:tcBorders>
              <w:top w:val="single" w:sz="4" w:space="0" w:color="auto"/>
              <w:left w:val="nil"/>
              <w:bottom w:val="single" w:sz="4" w:space="0" w:color="auto"/>
              <w:right w:val="single" w:sz="4" w:space="0" w:color="auto"/>
            </w:tcBorders>
            <w:shd w:val="clear" w:color="000000" w:fill="FFFFFF"/>
            <w:vAlign w:val="center"/>
          </w:tcPr>
          <w:p w:rsidR="00255E13" w:rsidRPr="008676F9" w:rsidRDefault="00255E13" w:rsidP="008676F9">
            <w:pPr>
              <w:rPr>
                <w:rFonts w:ascii="Calibri" w:eastAsia="Calibri" w:hAnsi="Calibri"/>
                <w:sz w:val="16"/>
                <w:szCs w:val="16"/>
              </w:rPr>
            </w:pPr>
            <w:r w:rsidRPr="008676F9">
              <w:rPr>
                <w:rFonts w:ascii="Calibri" w:eastAsia="Calibri" w:hAnsi="Calibri"/>
                <w:sz w:val="16"/>
                <w:szCs w:val="16"/>
              </w:rPr>
              <w:t>Celkové verejné výdavky  € (školenia, informačné aktivity, demonštračné  predvádzacie činnosti ) (1.1, 1.2)</w:t>
            </w:r>
          </w:p>
        </w:tc>
        <w:tc>
          <w:tcPr>
            <w:tcW w:w="1660" w:type="dxa"/>
            <w:tcBorders>
              <w:top w:val="nil"/>
              <w:left w:val="nil"/>
              <w:bottom w:val="single" w:sz="4" w:space="0" w:color="auto"/>
              <w:right w:val="single" w:sz="4" w:space="0" w:color="auto"/>
            </w:tcBorders>
            <w:shd w:val="clear" w:color="000000" w:fill="FFFFFF"/>
            <w:noWrap/>
            <w:vAlign w:val="center"/>
          </w:tcPr>
          <w:p w:rsidR="00255E13" w:rsidRPr="008676F9" w:rsidRDefault="00255E13" w:rsidP="00255E13">
            <w:pPr>
              <w:jc w:val="right"/>
              <w:rPr>
                <w:rFonts w:ascii="Calibri" w:eastAsia="Calibri" w:hAnsi="Calibri"/>
                <w:sz w:val="20"/>
                <w:szCs w:val="20"/>
              </w:rPr>
            </w:pPr>
            <w:r w:rsidRPr="008676F9">
              <w:rPr>
                <w:rFonts w:ascii="Calibri" w:eastAsia="Calibri" w:hAnsi="Calibri"/>
                <w:sz w:val="20"/>
                <w:szCs w:val="20"/>
              </w:rPr>
              <w:t xml:space="preserve">       </w:t>
            </w:r>
            <w:r>
              <w:rPr>
                <w:rFonts w:ascii="Calibri" w:eastAsia="Calibri" w:hAnsi="Calibri"/>
                <w:sz w:val="20"/>
                <w:szCs w:val="20"/>
              </w:rPr>
              <w:t>6</w:t>
            </w:r>
            <w:r w:rsidRPr="008676F9">
              <w:rPr>
                <w:rFonts w:ascii="Calibri" w:eastAsia="Calibri" w:hAnsi="Calibri"/>
                <w:sz w:val="20"/>
                <w:szCs w:val="20"/>
              </w:rPr>
              <w:t xml:space="preserve">00 000,00 </w:t>
            </w:r>
          </w:p>
        </w:tc>
      </w:tr>
      <w:tr w:rsidR="008676F9" w:rsidRPr="008676F9" w:rsidTr="00BB33FC">
        <w:trPr>
          <w:trHeight w:val="499"/>
        </w:trPr>
        <w:tc>
          <w:tcPr>
            <w:tcW w:w="1660" w:type="dxa"/>
            <w:tcBorders>
              <w:top w:val="single" w:sz="4" w:space="0" w:color="auto"/>
              <w:left w:val="single" w:sz="4" w:space="0" w:color="auto"/>
              <w:bottom w:val="single" w:sz="4" w:space="0" w:color="auto"/>
              <w:right w:val="single" w:sz="4" w:space="0" w:color="auto"/>
            </w:tcBorders>
            <w:shd w:val="clear" w:color="000000" w:fill="FFFFFF"/>
            <w:vAlign w:val="center"/>
          </w:tcPr>
          <w:p w:rsidR="008676F9" w:rsidRPr="008676F9" w:rsidRDefault="008676F9" w:rsidP="008676F9">
            <w:pPr>
              <w:jc w:val="center"/>
              <w:rPr>
                <w:rFonts w:ascii="Calibri" w:eastAsia="Calibri" w:hAnsi="Calibri"/>
                <w:b/>
                <w:bCs/>
                <w:sz w:val="16"/>
                <w:szCs w:val="16"/>
              </w:rPr>
            </w:pPr>
            <w:r w:rsidRPr="008676F9">
              <w:rPr>
                <w:rFonts w:ascii="Calibri" w:eastAsia="Calibri" w:hAnsi="Calibri"/>
                <w:b/>
                <w:bCs/>
                <w:sz w:val="16"/>
                <w:szCs w:val="16"/>
              </w:rPr>
              <w:t>16 (35)</w:t>
            </w:r>
          </w:p>
        </w:tc>
        <w:tc>
          <w:tcPr>
            <w:tcW w:w="4360" w:type="dxa"/>
            <w:gridSpan w:val="2"/>
            <w:tcBorders>
              <w:top w:val="single" w:sz="4" w:space="0" w:color="auto"/>
              <w:left w:val="nil"/>
              <w:bottom w:val="single" w:sz="4" w:space="0" w:color="auto"/>
              <w:right w:val="single" w:sz="4" w:space="0" w:color="auto"/>
            </w:tcBorders>
            <w:shd w:val="clear" w:color="000000" w:fill="FFFFFF"/>
            <w:vAlign w:val="center"/>
          </w:tcPr>
          <w:p w:rsidR="008676F9" w:rsidRPr="008676F9" w:rsidRDefault="008676F9" w:rsidP="008676F9">
            <w:pPr>
              <w:rPr>
                <w:rFonts w:ascii="Calibri" w:eastAsia="Calibri" w:hAnsi="Calibri"/>
                <w:sz w:val="16"/>
                <w:szCs w:val="16"/>
              </w:rPr>
            </w:pPr>
            <w:r w:rsidRPr="008676F9">
              <w:rPr>
                <w:rFonts w:ascii="Calibri" w:eastAsia="Calibri" w:hAnsi="Calibri"/>
                <w:sz w:val="16"/>
                <w:szCs w:val="16"/>
              </w:rPr>
              <w:t>Celkové verejné výdavky  (€)</w:t>
            </w:r>
          </w:p>
        </w:tc>
        <w:tc>
          <w:tcPr>
            <w:tcW w:w="1660" w:type="dxa"/>
            <w:tcBorders>
              <w:top w:val="nil"/>
              <w:left w:val="nil"/>
              <w:bottom w:val="single" w:sz="4" w:space="0" w:color="auto"/>
              <w:right w:val="single" w:sz="4" w:space="0" w:color="auto"/>
            </w:tcBorders>
            <w:shd w:val="clear" w:color="000000" w:fill="FFFFFF"/>
            <w:noWrap/>
            <w:vAlign w:val="center"/>
          </w:tcPr>
          <w:p w:rsidR="008676F9" w:rsidRPr="008676F9" w:rsidRDefault="008676F9" w:rsidP="008676F9">
            <w:pPr>
              <w:jc w:val="right"/>
              <w:rPr>
                <w:rFonts w:ascii="Calibri" w:eastAsia="Calibri" w:hAnsi="Calibri"/>
                <w:sz w:val="20"/>
                <w:szCs w:val="20"/>
              </w:rPr>
            </w:pPr>
            <w:r w:rsidRPr="008676F9">
              <w:rPr>
                <w:rFonts w:ascii="Calibri" w:eastAsia="Calibri" w:hAnsi="Calibri"/>
                <w:sz w:val="20"/>
                <w:szCs w:val="20"/>
              </w:rPr>
              <w:t xml:space="preserve">    1 000 000,00 </w:t>
            </w:r>
          </w:p>
        </w:tc>
      </w:tr>
      <w:tr w:rsidR="008676F9" w:rsidRPr="008676F9" w:rsidTr="00BB33FC">
        <w:tblPrEx>
          <w:tblCellMar>
            <w:left w:w="0" w:type="dxa"/>
            <w:right w:w="0" w:type="dxa"/>
          </w:tblCellMar>
          <w:tblLook w:val="04A0" w:firstRow="1" w:lastRow="0" w:firstColumn="1" w:lastColumn="0" w:noHBand="0" w:noVBand="1"/>
        </w:tblPrEx>
        <w:trPr>
          <w:trHeight w:val="660"/>
        </w:trPr>
        <w:tc>
          <w:tcPr>
            <w:tcW w:w="1660" w:type="dxa"/>
            <w:vMerge w:val="restart"/>
            <w:tcBorders>
              <w:top w:val="single" w:sz="4" w:space="0" w:color="auto"/>
              <w:left w:val="single" w:sz="8" w:space="0" w:color="auto"/>
              <w:bottom w:val="single" w:sz="4" w:space="0" w:color="000000"/>
              <w:right w:val="single" w:sz="4" w:space="0" w:color="auto"/>
            </w:tcBorders>
            <w:shd w:val="clear" w:color="auto" w:fill="auto"/>
            <w:tcMar>
              <w:top w:w="15" w:type="dxa"/>
              <w:left w:w="15" w:type="dxa"/>
              <w:bottom w:w="0" w:type="dxa"/>
              <w:right w:w="15" w:type="dxa"/>
            </w:tcMar>
            <w:vAlign w:val="center"/>
            <w:hideMark/>
          </w:tcPr>
          <w:p w:rsidR="008676F9" w:rsidRPr="008676F9" w:rsidRDefault="008676F9" w:rsidP="008676F9">
            <w:pPr>
              <w:jc w:val="center"/>
              <w:rPr>
                <w:rFonts w:ascii="Calibri" w:eastAsia="Calibri" w:hAnsi="Calibri"/>
                <w:b/>
                <w:sz w:val="16"/>
                <w:szCs w:val="16"/>
              </w:rPr>
            </w:pPr>
            <w:r w:rsidRPr="008676F9">
              <w:rPr>
                <w:rFonts w:ascii="Calibri" w:eastAsia="Calibri" w:hAnsi="Calibri"/>
                <w:b/>
                <w:sz w:val="16"/>
                <w:szCs w:val="16"/>
              </w:rPr>
              <w:t>6 (19)</w:t>
            </w:r>
          </w:p>
        </w:tc>
        <w:tc>
          <w:tcPr>
            <w:tcW w:w="4360" w:type="dxa"/>
            <w:gridSpan w:val="2"/>
            <w:tcBorders>
              <w:top w:val="single" w:sz="4" w:space="0" w:color="auto"/>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8676F9" w:rsidRPr="008676F9" w:rsidRDefault="008676F9" w:rsidP="008676F9">
            <w:pPr>
              <w:rPr>
                <w:rFonts w:ascii="Calibri" w:eastAsia="Calibri" w:hAnsi="Calibri"/>
                <w:sz w:val="16"/>
                <w:szCs w:val="16"/>
              </w:rPr>
            </w:pPr>
            <w:r w:rsidRPr="008676F9">
              <w:rPr>
                <w:rFonts w:ascii="Calibri" w:eastAsia="Calibri" w:hAnsi="Calibri"/>
                <w:sz w:val="16"/>
                <w:szCs w:val="16"/>
              </w:rPr>
              <w:t xml:space="preserve">Počet podnikov, ktoré prijali pomoc na investície do nepoľnohospodárskych aktivít (6.4) </w:t>
            </w:r>
          </w:p>
        </w:tc>
        <w:tc>
          <w:tcPr>
            <w:tcW w:w="1660" w:type="dxa"/>
            <w:tcBorders>
              <w:top w:val="single" w:sz="4" w:space="0" w:color="auto"/>
              <w:left w:val="nil"/>
              <w:bottom w:val="single" w:sz="4" w:space="0" w:color="auto"/>
              <w:right w:val="single" w:sz="8" w:space="0" w:color="auto"/>
            </w:tcBorders>
            <w:shd w:val="clear" w:color="auto" w:fill="auto"/>
            <w:noWrap/>
            <w:tcMar>
              <w:top w:w="15" w:type="dxa"/>
              <w:left w:w="15" w:type="dxa"/>
              <w:bottom w:w="0" w:type="dxa"/>
              <w:right w:w="15" w:type="dxa"/>
            </w:tcMar>
            <w:vAlign w:val="center"/>
            <w:hideMark/>
          </w:tcPr>
          <w:p w:rsidR="008676F9" w:rsidRPr="008676F9" w:rsidRDefault="008676F9" w:rsidP="008676F9">
            <w:pPr>
              <w:jc w:val="right"/>
              <w:rPr>
                <w:rFonts w:ascii="Calibri" w:eastAsia="Calibri" w:hAnsi="Calibri"/>
                <w:sz w:val="20"/>
                <w:szCs w:val="20"/>
              </w:rPr>
            </w:pPr>
            <w:r w:rsidRPr="008676F9">
              <w:rPr>
                <w:rFonts w:ascii="Calibri" w:eastAsia="Calibri" w:hAnsi="Calibri"/>
                <w:sz w:val="20"/>
                <w:szCs w:val="20"/>
              </w:rPr>
              <w:t xml:space="preserve">40  </w:t>
            </w:r>
          </w:p>
        </w:tc>
      </w:tr>
      <w:tr w:rsidR="008676F9" w:rsidRPr="008676F9" w:rsidTr="00BB33FC">
        <w:tblPrEx>
          <w:tblCellMar>
            <w:left w:w="0" w:type="dxa"/>
            <w:right w:w="0" w:type="dxa"/>
          </w:tblCellMar>
          <w:tblLook w:val="04A0" w:firstRow="1" w:lastRow="0" w:firstColumn="1" w:lastColumn="0" w:noHBand="0" w:noVBand="1"/>
        </w:tblPrEx>
        <w:trPr>
          <w:trHeight w:val="499"/>
        </w:trPr>
        <w:tc>
          <w:tcPr>
            <w:tcW w:w="0" w:type="auto"/>
            <w:vMerge/>
            <w:tcBorders>
              <w:top w:val="single" w:sz="4" w:space="0" w:color="auto"/>
              <w:left w:val="single" w:sz="8" w:space="0" w:color="auto"/>
              <w:bottom w:val="single" w:sz="4" w:space="0" w:color="000000"/>
              <w:right w:val="single" w:sz="4" w:space="0" w:color="auto"/>
            </w:tcBorders>
            <w:vAlign w:val="center"/>
            <w:hideMark/>
          </w:tcPr>
          <w:p w:rsidR="008676F9" w:rsidRPr="008676F9" w:rsidRDefault="008676F9" w:rsidP="008676F9">
            <w:pPr>
              <w:rPr>
                <w:rFonts w:ascii="Calibri" w:eastAsia="Calibri" w:hAnsi="Calibri"/>
                <w:sz w:val="16"/>
                <w:szCs w:val="16"/>
              </w:rPr>
            </w:pPr>
          </w:p>
        </w:tc>
        <w:tc>
          <w:tcPr>
            <w:tcW w:w="4360" w:type="dxa"/>
            <w:gridSpan w:val="2"/>
            <w:tcBorders>
              <w:top w:val="single" w:sz="4" w:space="0" w:color="auto"/>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8676F9" w:rsidRPr="008676F9" w:rsidRDefault="008676F9" w:rsidP="008676F9">
            <w:pPr>
              <w:rPr>
                <w:rFonts w:ascii="Calibri" w:eastAsia="Calibri" w:hAnsi="Calibri"/>
                <w:sz w:val="16"/>
                <w:szCs w:val="16"/>
              </w:rPr>
            </w:pPr>
            <w:r w:rsidRPr="008676F9">
              <w:rPr>
                <w:rFonts w:ascii="Calibri" w:eastAsia="Calibri" w:hAnsi="Calibri"/>
                <w:sz w:val="16"/>
                <w:szCs w:val="16"/>
              </w:rPr>
              <w:t>Celkové investície € (verejné + súkromné)</w:t>
            </w:r>
          </w:p>
        </w:tc>
        <w:tc>
          <w:tcPr>
            <w:tcW w:w="0" w:type="auto"/>
            <w:tcBorders>
              <w:top w:val="nil"/>
              <w:left w:val="nil"/>
              <w:bottom w:val="single" w:sz="4" w:space="0" w:color="auto"/>
              <w:right w:val="single" w:sz="8" w:space="0" w:color="auto"/>
            </w:tcBorders>
            <w:shd w:val="clear" w:color="auto" w:fill="auto"/>
            <w:noWrap/>
            <w:tcMar>
              <w:top w:w="15" w:type="dxa"/>
              <w:left w:w="15" w:type="dxa"/>
              <w:bottom w:w="0" w:type="dxa"/>
              <w:right w:w="15" w:type="dxa"/>
            </w:tcMar>
            <w:vAlign w:val="center"/>
            <w:hideMark/>
          </w:tcPr>
          <w:p w:rsidR="008676F9" w:rsidRPr="008676F9" w:rsidRDefault="008676F9" w:rsidP="008676F9">
            <w:pPr>
              <w:jc w:val="right"/>
              <w:rPr>
                <w:rFonts w:ascii="Calibri" w:eastAsia="Calibri" w:hAnsi="Calibri"/>
                <w:sz w:val="20"/>
                <w:szCs w:val="20"/>
              </w:rPr>
            </w:pPr>
            <w:r w:rsidRPr="008676F9">
              <w:rPr>
                <w:rFonts w:ascii="Calibri" w:eastAsia="Calibri" w:hAnsi="Calibri"/>
                <w:sz w:val="20"/>
                <w:szCs w:val="20"/>
              </w:rPr>
              <w:t xml:space="preserve">    10 000 000,00 </w:t>
            </w:r>
          </w:p>
        </w:tc>
      </w:tr>
      <w:tr w:rsidR="008676F9" w:rsidRPr="008676F9" w:rsidTr="00BB33FC">
        <w:tblPrEx>
          <w:tblCellMar>
            <w:left w:w="0" w:type="dxa"/>
            <w:right w:w="0" w:type="dxa"/>
          </w:tblCellMar>
          <w:tblLook w:val="04A0" w:firstRow="1" w:lastRow="0" w:firstColumn="1" w:lastColumn="0" w:noHBand="0" w:noVBand="1"/>
        </w:tblPrEx>
        <w:trPr>
          <w:trHeight w:val="499"/>
        </w:trPr>
        <w:tc>
          <w:tcPr>
            <w:tcW w:w="0" w:type="auto"/>
            <w:vMerge/>
            <w:tcBorders>
              <w:top w:val="single" w:sz="4" w:space="0" w:color="auto"/>
              <w:left w:val="single" w:sz="8" w:space="0" w:color="auto"/>
              <w:bottom w:val="single" w:sz="4" w:space="0" w:color="000000"/>
              <w:right w:val="single" w:sz="4" w:space="0" w:color="auto"/>
            </w:tcBorders>
            <w:vAlign w:val="center"/>
            <w:hideMark/>
          </w:tcPr>
          <w:p w:rsidR="008676F9" w:rsidRPr="008676F9" w:rsidRDefault="008676F9" w:rsidP="008676F9">
            <w:pPr>
              <w:rPr>
                <w:rFonts w:ascii="Calibri" w:eastAsia="Calibri" w:hAnsi="Calibri"/>
                <w:sz w:val="16"/>
                <w:szCs w:val="16"/>
              </w:rPr>
            </w:pPr>
          </w:p>
        </w:tc>
        <w:tc>
          <w:tcPr>
            <w:tcW w:w="4360" w:type="dxa"/>
            <w:gridSpan w:val="2"/>
            <w:tcBorders>
              <w:top w:val="single" w:sz="4" w:space="0" w:color="auto"/>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8676F9" w:rsidRPr="008676F9" w:rsidRDefault="008676F9" w:rsidP="008676F9">
            <w:pPr>
              <w:rPr>
                <w:rFonts w:ascii="Calibri" w:eastAsia="Calibri" w:hAnsi="Calibri"/>
                <w:sz w:val="16"/>
                <w:szCs w:val="16"/>
              </w:rPr>
            </w:pPr>
            <w:r w:rsidRPr="008676F9">
              <w:rPr>
                <w:rFonts w:ascii="Calibri" w:eastAsia="Calibri" w:hAnsi="Calibri"/>
                <w:sz w:val="16"/>
                <w:szCs w:val="16"/>
              </w:rPr>
              <w:t xml:space="preserve">Počet operácií </w:t>
            </w:r>
          </w:p>
        </w:tc>
        <w:tc>
          <w:tcPr>
            <w:tcW w:w="0" w:type="auto"/>
            <w:tcBorders>
              <w:top w:val="nil"/>
              <w:left w:val="nil"/>
              <w:bottom w:val="single" w:sz="4" w:space="0" w:color="auto"/>
              <w:right w:val="single" w:sz="8" w:space="0" w:color="auto"/>
            </w:tcBorders>
            <w:shd w:val="clear" w:color="auto" w:fill="auto"/>
            <w:noWrap/>
            <w:tcMar>
              <w:top w:w="15" w:type="dxa"/>
              <w:left w:w="15" w:type="dxa"/>
              <w:bottom w:w="0" w:type="dxa"/>
              <w:right w:w="15" w:type="dxa"/>
            </w:tcMar>
            <w:vAlign w:val="center"/>
            <w:hideMark/>
          </w:tcPr>
          <w:p w:rsidR="008676F9" w:rsidRPr="008676F9" w:rsidRDefault="008676F9" w:rsidP="008676F9">
            <w:pPr>
              <w:jc w:val="right"/>
              <w:rPr>
                <w:rFonts w:ascii="Calibri" w:eastAsia="Calibri" w:hAnsi="Calibri"/>
                <w:sz w:val="20"/>
                <w:szCs w:val="20"/>
              </w:rPr>
            </w:pPr>
            <w:r w:rsidRPr="008676F9">
              <w:rPr>
                <w:rFonts w:ascii="Calibri" w:eastAsia="Calibri" w:hAnsi="Calibri"/>
                <w:sz w:val="20"/>
                <w:szCs w:val="20"/>
              </w:rPr>
              <w:t>40</w:t>
            </w:r>
          </w:p>
        </w:tc>
      </w:tr>
      <w:tr w:rsidR="008676F9" w:rsidRPr="008676F9" w:rsidTr="00BB33FC">
        <w:tblPrEx>
          <w:tblCellMar>
            <w:left w:w="0" w:type="dxa"/>
            <w:right w:w="0" w:type="dxa"/>
          </w:tblCellMar>
          <w:tblLook w:val="04A0" w:firstRow="1" w:lastRow="0" w:firstColumn="1" w:lastColumn="0" w:noHBand="0" w:noVBand="1"/>
        </w:tblPrEx>
        <w:trPr>
          <w:trHeight w:val="499"/>
        </w:trPr>
        <w:tc>
          <w:tcPr>
            <w:tcW w:w="0" w:type="auto"/>
            <w:vMerge/>
            <w:tcBorders>
              <w:top w:val="single" w:sz="4" w:space="0" w:color="auto"/>
              <w:left w:val="single" w:sz="8" w:space="0" w:color="auto"/>
              <w:bottom w:val="single" w:sz="4" w:space="0" w:color="000000"/>
              <w:right w:val="single" w:sz="4" w:space="0" w:color="auto"/>
            </w:tcBorders>
            <w:vAlign w:val="center"/>
            <w:hideMark/>
          </w:tcPr>
          <w:p w:rsidR="008676F9" w:rsidRPr="008676F9" w:rsidRDefault="008676F9" w:rsidP="008676F9">
            <w:pPr>
              <w:rPr>
                <w:rFonts w:ascii="Calibri" w:eastAsia="Calibri" w:hAnsi="Calibri"/>
                <w:sz w:val="16"/>
                <w:szCs w:val="16"/>
              </w:rPr>
            </w:pPr>
          </w:p>
        </w:tc>
        <w:tc>
          <w:tcPr>
            <w:tcW w:w="4360" w:type="dxa"/>
            <w:gridSpan w:val="2"/>
            <w:tcBorders>
              <w:top w:val="single" w:sz="4" w:space="0" w:color="auto"/>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8676F9" w:rsidRPr="008676F9" w:rsidRDefault="008676F9" w:rsidP="008676F9">
            <w:pPr>
              <w:rPr>
                <w:rFonts w:ascii="Calibri" w:eastAsia="Calibri" w:hAnsi="Calibri"/>
                <w:sz w:val="16"/>
                <w:szCs w:val="16"/>
              </w:rPr>
            </w:pPr>
            <w:r w:rsidRPr="008676F9">
              <w:rPr>
                <w:rFonts w:ascii="Calibri" w:eastAsia="Calibri" w:hAnsi="Calibri"/>
                <w:sz w:val="16"/>
                <w:szCs w:val="16"/>
              </w:rPr>
              <w:t>Celkové verejné výdavky  (€)</w:t>
            </w:r>
          </w:p>
        </w:tc>
        <w:tc>
          <w:tcPr>
            <w:tcW w:w="0" w:type="auto"/>
            <w:tcBorders>
              <w:top w:val="nil"/>
              <w:left w:val="nil"/>
              <w:bottom w:val="single" w:sz="4" w:space="0" w:color="auto"/>
              <w:right w:val="single" w:sz="8" w:space="0" w:color="auto"/>
            </w:tcBorders>
            <w:shd w:val="clear" w:color="auto" w:fill="auto"/>
            <w:noWrap/>
            <w:tcMar>
              <w:top w:w="15" w:type="dxa"/>
              <w:left w:w="15" w:type="dxa"/>
              <w:bottom w:w="0" w:type="dxa"/>
              <w:right w:w="15" w:type="dxa"/>
            </w:tcMar>
            <w:vAlign w:val="center"/>
            <w:hideMark/>
          </w:tcPr>
          <w:p w:rsidR="008676F9" w:rsidRPr="008676F9" w:rsidRDefault="008676F9" w:rsidP="008676F9">
            <w:pPr>
              <w:jc w:val="right"/>
              <w:rPr>
                <w:rFonts w:ascii="Calibri" w:eastAsia="Calibri" w:hAnsi="Calibri"/>
                <w:sz w:val="20"/>
                <w:szCs w:val="20"/>
              </w:rPr>
            </w:pPr>
            <w:r w:rsidRPr="008676F9">
              <w:rPr>
                <w:rFonts w:ascii="Calibri" w:eastAsia="Calibri" w:hAnsi="Calibri"/>
                <w:sz w:val="20"/>
                <w:szCs w:val="20"/>
              </w:rPr>
              <w:t xml:space="preserve">      5 000 000,00 </w:t>
            </w:r>
          </w:p>
        </w:tc>
      </w:tr>
    </w:tbl>
    <w:p w:rsidR="008676F9" w:rsidRPr="008676F9" w:rsidRDefault="008676F9" w:rsidP="008676F9">
      <w:pPr>
        <w:spacing w:after="200" w:line="276" w:lineRule="auto"/>
        <w:rPr>
          <w:rFonts w:ascii="Calibri" w:eastAsia="Calibri" w:hAnsi="Calibri"/>
          <w:b/>
          <w:szCs w:val="22"/>
          <w:lang w:eastAsia="en-US"/>
        </w:rPr>
      </w:pPr>
      <w:r w:rsidRPr="008676F9">
        <w:rPr>
          <w:rFonts w:ascii="Calibri" w:eastAsia="Calibri" w:hAnsi="Calibri"/>
          <w:b/>
          <w:szCs w:val="22"/>
          <w:lang w:eastAsia="en-US"/>
        </w:rPr>
        <w:t xml:space="preserve"> </w:t>
      </w:r>
      <w:r w:rsidRPr="008676F9">
        <w:rPr>
          <w:rFonts w:ascii="Calibri" w:eastAsia="Calibri" w:hAnsi="Calibri"/>
          <w:b/>
          <w:szCs w:val="22"/>
          <w:lang w:eastAsia="en-US"/>
        </w:rPr>
        <w:br w:type="page"/>
      </w:r>
    </w:p>
    <w:p w:rsidR="008676F9" w:rsidRPr="008676F9" w:rsidRDefault="008676F9" w:rsidP="008676F9">
      <w:pPr>
        <w:spacing w:after="200" w:line="276" w:lineRule="auto"/>
        <w:rPr>
          <w:rFonts w:ascii="Calibri" w:eastAsia="Calibri" w:hAnsi="Calibri"/>
          <w:b/>
          <w:szCs w:val="22"/>
          <w:lang w:eastAsia="en-US"/>
        </w:rPr>
      </w:pPr>
    </w:p>
    <w:tbl>
      <w:tblPr>
        <w:tblW w:w="8804" w:type="dxa"/>
        <w:tblInd w:w="55" w:type="dxa"/>
        <w:tblCellMar>
          <w:left w:w="70" w:type="dxa"/>
          <w:right w:w="70" w:type="dxa"/>
        </w:tblCellMar>
        <w:tblLook w:val="00A0" w:firstRow="1" w:lastRow="0" w:firstColumn="1" w:lastColumn="0" w:noHBand="0" w:noVBand="0"/>
      </w:tblPr>
      <w:tblGrid>
        <w:gridCol w:w="1440"/>
        <w:gridCol w:w="1440"/>
        <w:gridCol w:w="1440"/>
        <w:gridCol w:w="1440"/>
        <w:gridCol w:w="1440"/>
        <w:gridCol w:w="1604"/>
      </w:tblGrid>
      <w:tr w:rsidR="008676F9" w:rsidRPr="00E820E4" w:rsidTr="00BB33FC">
        <w:trPr>
          <w:trHeight w:val="499"/>
        </w:trPr>
        <w:tc>
          <w:tcPr>
            <w:tcW w:w="8804" w:type="dxa"/>
            <w:gridSpan w:val="6"/>
            <w:tcBorders>
              <w:top w:val="single" w:sz="8" w:space="0" w:color="000000"/>
              <w:left w:val="single" w:sz="8" w:space="0" w:color="000000"/>
              <w:bottom w:val="nil"/>
              <w:right w:val="single" w:sz="8" w:space="0" w:color="000000"/>
            </w:tcBorders>
            <w:shd w:val="clear" w:color="auto" w:fill="FFFF00"/>
            <w:vAlign w:val="center"/>
          </w:tcPr>
          <w:p w:rsidR="008676F9" w:rsidRPr="00E820E4" w:rsidRDefault="008676F9" w:rsidP="008676F9">
            <w:pPr>
              <w:jc w:val="center"/>
              <w:rPr>
                <w:rFonts w:ascii="Calibri" w:eastAsia="Calibri" w:hAnsi="Calibri"/>
                <w:b/>
                <w:bCs/>
                <w:color w:val="000000"/>
                <w:szCs w:val="22"/>
              </w:rPr>
            </w:pPr>
            <w:r w:rsidRPr="00E820E4">
              <w:rPr>
                <w:rFonts w:ascii="Calibri" w:eastAsia="Calibri" w:hAnsi="Calibri"/>
                <w:b/>
                <w:bCs/>
                <w:color w:val="000000"/>
                <w:szCs w:val="22"/>
              </w:rPr>
              <w:t>5D Zníženie emisií skleníkových plynov a amoniaku z poľnohospodárstva</w:t>
            </w:r>
          </w:p>
        </w:tc>
      </w:tr>
      <w:tr w:rsidR="008676F9" w:rsidRPr="008676F9" w:rsidTr="00BB33FC">
        <w:trPr>
          <w:trHeight w:val="1125"/>
        </w:trPr>
        <w:tc>
          <w:tcPr>
            <w:tcW w:w="4320" w:type="dxa"/>
            <w:gridSpan w:val="3"/>
            <w:tcBorders>
              <w:top w:val="single" w:sz="8" w:space="0" w:color="auto"/>
              <w:left w:val="single" w:sz="8" w:space="0" w:color="000000"/>
              <w:bottom w:val="single" w:sz="4" w:space="0" w:color="auto"/>
              <w:right w:val="single" w:sz="8" w:space="0" w:color="000000"/>
            </w:tcBorders>
            <w:shd w:val="clear" w:color="000000" w:fill="FFFFFF"/>
            <w:vAlign w:val="center"/>
          </w:tcPr>
          <w:p w:rsidR="008676F9" w:rsidRPr="008676F9" w:rsidRDefault="008676F9" w:rsidP="008676F9">
            <w:pPr>
              <w:jc w:val="center"/>
              <w:rPr>
                <w:rFonts w:ascii="Calibri" w:eastAsia="Calibri" w:hAnsi="Calibri"/>
                <w:b/>
                <w:bCs/>
                <w:sz w:val="18"/>
                <w:szCs w:val="18"/>
              </w:rPr>
            </w:pPr>
            <w:r w:rsidRPr="008676F9">
              <w:rPr>
                <w:rFonts w:ascii="Calibri" w:eastAsia="Calibri" w:hAnsi="Calibri"/>
                <w:b/>
                <w:bCs/>
                <w:sz w:val="18"/>
                <w:szCs w:val="18"/>
              </w:rPr>
              <w:t xml:space="preserve">% podiel dobytčích jednotiek v podporených podnikoch, kde sa investovalo do zníženia emisií sklen. plynov a/alebo amoniaku </w:t>
            </w:r>
          </w:p>
        </w:tc>
        <w:tc>
          <w:tcPr>
            <w:tcW w:w="4484" w:type="dxa"/>
            <w:gridSpan w:val="3"/>
            <w:tcBorders>
              <w:top w:val="single" w:sz="8" w:space="0" w:color="auto"/>
              <w:left w:val="nil"/>
              <w:bottom w:val="single" w:sz="4" w:space="0" w:color="auto"/>
              <w:right w:val="single" w:sz="8" w:space="0" w:color="000000"/>
            </w:tcBorders>
            <w:shd w:val="clear" w:color="000000" w:fill="FFFFFF"/>
            <w:vAlign w:val="center"/>
          </w:tcPr>
          <w:p w:rsidR="008676F9" w:rsidRPr="008676F9" w:rsidRDefault="008676F9" w:rsidP="008676F9">
            <w:pPr>
              <w:jc w:val="center"/>
              <w:rPr>
                <w:rFonts w:ascii="Calibri" w:eastAsia="Calibri" w:hAnsi="Calibri"/>
                <w:b/>
                <w:bCs/>
                <w:sz w:val="18"/>
                <w:szCs w:val="18"/>
              </w:rPr>
            </w:pPr>
            <w:r w:rsidRPr="008676F9">
              <w:rPr>
                <w:rFonts w:ascii="Calibri" w:eastAsia="Calibri" w:hAnsi="Calibri"/>
                <w:b/>
                <w:bCs/>
                <w:sz w:val="18"/>
                <w:szCs w:val="18"/>
              </w:rPr>
              <w:t xml:space="preserve">% podiel poľnohospodárskej pôdy, kde sú realizované opatrenia na zníženie emisií sklen. plynov a amoniaku </w:t>
            </w:r>
          </w:p>
        </w:tc>
      </w:tr>
      <w:tr w:rsidR="00255E13" w:rsidRPr="008676F9" w:rsidTr="00BB33FC">
        <w:trPr>
          <w:trHeight w:val="705"/>
        </w:trPr>
        <w:tc>
          <w:tcPr>
            <w:tcW w:w="1440" w:type="dxa"/>
            <w:tcBorders>
              <w:top w:val="nil"/>
              <w:left w:val="single" w:sz="8" w:space="0" w:color="000000"/>
              <w:bottom w:val="single" w:sz="4" w:space="0" w:color="auto"/>
              <w:right w:val="single" w:sz="4" w:space="0" w:color="auto"/>
            </w:tcBorders>
            <w:shd w:val="clear" w:color="000000" w:fill="FFFFFF"/>
            <w:vAlign w:val="center"/>
          </w:tcPr>
          <w:p w:rsidR="00255E13" w:rsidRPr="008676F9" w:rsidRDefault="00255E13" w:rsidP="008676F9">
            <w:pPr>
              <w:rPr>
                <w:rFonts w:ascii="Calibri" w:eastAsia="Calibri" w:hAnsi="Calibri"/>
                <w:b/>
                <w:bCs/>
                <w:sz w:val="18"/>
                <w:szCs w:val="18"/>
              </w:rPr>
            </w:pPr>
            <w:r w:rsidRPr="008676F9">
              <w:rPr>
                <w:rFonts w:ascii="Calibri" w:eastAsia="Calibri" w:hAnsi="Calibri"/>
                <w:b/>
                <w:bCs/>
                <w:sz w:val="18"/>
                <w:szCs w:val="18"/>
              </w:rPr>
              <w:t xml:space="preserve">Celkové DJ  </w:t>
            </w:r>
            <w:r w:rsidRPr="008676F9">
              <w:rPr>
                <w:rFonts w:ascii="Calibri" w:eastAsia="Calibri" w:hAnsi="Calibri"/>
                <w:b/>
                <w:bCs/>
                <w:sz w:val="18"/>
                <w:szCs w:val="18"/>
              </w:rPr>
              <w:br/>
              <w:t>v pod. podnikoch</w:t>
            </w:r>
          </w:p>
        </w:tc>
        <w:tc>
          <w:tcPr>
            <w:tcW w:w="1440" w:type="dxa"/>
            <w:tcBorders>
              <w:top w:val="nil"/>
              <w:left w:val="nil"/>
              <w:bottom w:val="single" w:sz="4" w:space="0" w:color="auto"/>
              <w:right w:val="single" w:sz="4" w:space="0" w:color="auto"/>
            </w:tcBorders>
            <w:shd w:val="clear" w:color="000000" w:fill="FFFFFF"/>
            <w:vAlign w:val="center"/>
          </w:tcPr>
          <w:p w:rsidR="00255E13" w:rsidRPr="00F849C3" w:rsidRDefault="00255E13" w:rsidP="00895B36">
            <w:pPr>
              <w:jc w:val="right"/>
              <w:rPr>
                <w:i/>
                <w:iCs/>
                <w:sz w:val="18"/>
                <w:szCs w:val="18"/>
              </w:rPr>
            </w:pPr>
            <w:r>
              <w:rPr>
                <w:i/>
                <w:iCs/>
                <w:sz w:val="18"/>
                <w:szCs w:val="18"/>
              </w:rPr>
              <w:t>2</w:t>
            </w:r>
            <w:r w:rsidRPr="00F849C3">
              <w:rPr>
                <w:i/>
                <w:iCs/>
                <w:sz w:val="18"/>
                <w:szCs w:val="18"/>
              </w:rPr>
              <w:t xml:space="preserve">0 000  </w:t>
            </w:r>
          </w:p>
        </w:tc>
        <w:tc>
          <w:tcPr>
            <w:tcW w:w="1440" w:type="dxa"/>
            <w:tcBorders>
              <w:top w:val="nil"/>
              <w:left w:val="nil"/>
              <w:bottom w:val="single" w:sz="4" w:space="0" w:color="auto"/>
              <w:right w:val="single" w:sz="8" w:space="0" w:color="auto"/>
            </w:tcBorders>
            <w:shd w:val="clear" w:color="000000" w:fill="FFFFFF"/>
            <w:vAlign w:val="center"/>
          </w:tcPr>
          <w:p w:rsidR="00255E13" w:rsidRPr="00F849C3" w:rsidRDefault="00255E13" w:rsidP="00895B36">
            <w:pPr>
              <w:jc w:val="center"/>
              <w:rPr>
                <w:b/>
                <w:bCs/>
                <w:sz w:val="18"/>
                <w:szCs w:val="18"/>
              </w:rPr>
            </w:pPr>
            <w:r>
              <w:rPr>
                <w:b/>
                <w:bCs/>
                <w:sz w:val="18"/>
                <w:szCs w:val="18"/>
              </w:rPr>
              <w:t>2,99</w:t>
            </w:r>
            <w:r w:rsidRPr="00F849C3">
              <w:rPr>
                <w:b/>
                <w:bCs/>
                <w:sz w:val="18"/>
                <w:szCs w:val="18"/>
              </w:rPr>
              <w:t>%</w:t>
            </w:r>
          </w:p>
        </w:tc>
        <w:tc>
          <w:tcPr>
            <w:tcW w:w="1440" w:type="dxa"/>
            <w:tcBorders>
              <w:top w:val="nil"/>
              <w:left w:val="nil"/>
              <w:bottom w:val="single" w:sz="4" w:space="0" w:color="auto"/>
              <w:right w:val="single" w:sz="4" w:space="0" w:color="auto"/>
            </w:tcBorders>
            <w:shd w:val="clear" w:color="000000" w:fill="FFFFFF"/>
            <w:vAlign w:val="center"/>
          </w:tcPr>
          <w:p w:rsidR="00255E13" w:rsidRPr="008676F9" w:rsidRDefault="00255E13" w:rsidP="008676F9">
            <w:pPr>
              <w:rPr>
                <w:rFonts w:ascii="Calibri" w:eastAsia="Calibri" w:hAnsi="Calibri"/>
                <w:b/>
                <w:bCs/>
                <w:sz w:val="18"/>
                <w:szCs w:val="18"/>
              </w:rPr>
            </w:pPr>
            <w:r w:rsidRPr="008676F9">
              <w:rPr>
                <w:rFonts w:ascii="Calibri" w:eastAsia="Calibri" w:hAnsi="Calibri"/>
                <w:b/>
                <w:bCs/>
                <w:sz w:val="18"/>
                <w:szCs w:val="18"/>
              </w:rPr>
              <w:t xml:space="preserve">Celková fyzická </w:t>
            </w:r>
            <w:r w:rsidRPr="008676F9">
              <w:rPr>
                <w:rFonts w:ascii="Calibri" w:eastAsia="Calibri" w:hAnsi="Calibri"/>
                <w:b/>
                <w:bCs/>
                <w:sz w:val="18"/>
                <w:szCs w:val="18"/>
              </w:rPr>
              <w:br/>
              <w:t>výmera do 2020</w:t>
            </w:r>
          </w:p>
        </w:tc>
        <w:tc>
          <w:tcPr>
            <w:tcW w:w="1440" w:type="dxa"/>
            <w:tcBorders>
              <w:top w:val="nil"/>
              <w:left w:val="nil"/>
              <w:bottom w:val="single" w:sz="4" w:space="0" w:color="auto"/>
              <w:right w:val="single" w:sz="4" w:space="0" w:color="auto"/>
            </w:tcBorders>
            <w:shd w:val="clear" w:color="000000" w:fill="FFFFFF"/>
            <w:vAlign w:val="center"/>
          </w:tcPr>
          <w:p w:rsidR="00255E13" w:rsidRPr="008676F9" w:rsidRDefault="00255E13" w:rsidP="008676F9">
            <w:pPr>
              <w:jc w:val="right"/>
              <w:rPr>
                <w:rFonts w:ascii="Calibri" w:eastAsia="Calibri" w:hAnsi="Calibri"/>
                <w:i/>
                <w:iCs/>
                <w:sz w:val="18"/>
                <w:szCs w:val="18"/>
              </w:rPr>
            </w:pPr>
            <w:r w:rsidRPr="008676F9">
              <w:rPr>
                <w:rFonts w:ascii="Calibri" w:eastAsia="Calibri" w:hAnsi="Calibri"/>
                <w:i/>
                <w:iCs/>
                <w:sz w:val="18"/>
                <w:szCs w:val="18"/>
              </w:rPr>
              <w:t xml:space="preserve">            153 500 </w:t>
            </w:r>
          </w:p>
        </w:tc>
        <w:tc>
          <w:tcPr>
            <w:tcW w:w="1604" w:type="dxa"/>
            <w:tcBorders>
              <w:top w:val="nil"/>
              <w:left w:val="nil"/>
              <w:bottom w:val="single" w:sz="4" w:space="0" w:color="auto"/>
              <w:right w:val="single" w:sz="8" w:space="0" w:color="000000"/>
            </w:tcBorders>
            <w:shd w:val="clear" w:color="000000" w:fill="FFFFFF"/>
            <w:vAlign w:val="center"/>
          </w:tcPr>
          <w:p w:rsidR="00255E13" w:rsidRPr="008676F9" w:rsidRDefault="00255E13" w:rsidP="008676F9">
            <w:pPr>
              <w:jc w:val="center"/>
              <w:rPr>
                <w:rFonts w:ascii="Calibri" w:eastAsia="Calibri" w:hAnsi="Calibri"/>
                <w:b/>
                <w:bCs/>
                <w:sz w:val="18"/>
                <w:szCs w:val="18"/>
              </w:rPr>
            </w:pPr>
            <w:r w:rsidRPr="008676F9">
              <w:rPr>
                <w:rFonts w:ascii="Calibri" w:eastAsia="Calibri" w:hAnsi="Calibri"/>
                <w:b/>
                <w:bCs/>
                <w:sz w:val="18"/>
                <w:szCs w:val="18"/>
              </w:rPr>
              <w:t>8,1%</w:t>
            </w:r>
          </w:p>
        </w:tc>
      </w:tr>
      <w:tr w:rsidR="008676F9" w:rsidRPr="008676F9" w:rsidTr="00BB33FC">
        <w:trPr>
          <w:trHeight w:val="765"/>
        </w:trPr>
        <w:tc>
          <w:tcPr>
            <w:tcW w:w="1440" w:type="dxa"/>
            <w:tcBorders>
              <w:top w:val="nil"/>
              <w:left w:val="single" w:sz="8" w:space="0" w:color="000000"/>
              <w:bottom w:val="single" w:sz="8" w:space="0" w:color="auto"/>
              <w:right w:val="single" w:sz="4" w:space="0" w:color="auto"/>
            </w:tcBorders>
            <w:shd w:val="clear" w:color="000000" w:fill="FFFFFF"/>
            <w:vAlign w:val="center"/>
          </w:tcPr>
          <w:p w:rsidR="008676F9" w:rsidRPr="008676F9" w:rsidRDefault="008676F9" w:rsidP="008676F9">
            <w:pPr>
              <w:rPr>
                <w:rFonts w:ascii="Calibri" w:eastAsia="Calibri" w:hAnsi="Calibri"/>
                <w:b/>
                <w:bCs/>
                <w:sz w:val="18"/>
                <w:szCs w:val="18"/>
              </w:rPr>
            </w:pPr>
            <w:r w:rsidRPr="008676F9">
              <w:rPr>
                <w:rFonts w:ascii="Calibri" w:eastAsia="Calibri" w:hAnsi="Calibri"/>
                <w:b/>
                <w:bCs/>
                <w:sz w:val="18"/>
                <w:szCs w:val="18"/>
              </w:rPr>
              <w:t xml:space="preserve">DJ celkom </w:t>
            </w:r>
            <w:r w:rsidRPr="008676F9">
              <w:rPr>
                <w:rFonts w:ascii="Calibri" w:eastAsia="Calibri" w:hAnsi="Calibri"/>
                <w:b/>
                <w:bCs/>
                <w:sz w:val="18"/>
                <w:szCs w:val="18"/>
              </w:rPr>
              <w:br/>
              <w:t>(východ. rok)</w:t>
            </w:r>
          </w:p>
        </w:tc>
        <w:tc>
          <w:tcPr>
            <w:tcW w:w="1440" w:type="dxa"/>
            <w:tcBorders>
              <w:top w:val="nil"/>
              <w:left w:val="nil"/>
              <w:bottom w:val="single" w:sz="8" w:space="0" w:color="auto"/>
              <w:right w:val="single" w:sz="4" w:space="0" w:color="auto"/>
            </w:tcBorders>
            <w:shd w:val="clear" w:color="000000" w:fill="FFFFFF"/>
            <w:vAlign w:val="center"/>
          </w:tcPr>
          <w:p w:rsidR="008676F9" w:rsidRPr="008676F9" w:rsidRDefault="008676F9" w:rsidP="008676F9">
            <w:pPr>
              <w:jc w:val="right"/>
              <w:rPr>
                <w:rFonts w:ascii="Calibri" w:eastAsia="Calibri" w:hAnsi="Calibri"/>
                <w:i/>
                <w:iCs/>
                <w:sz w:val="18"/>
                <w:szCs w:val="18"/>
              </w:rPr>
            </w:pPr>
            <w:r w:rsidRPr="008676F9">
              <w:rPr>
                <w:rFonts w:ascii="Calibri" w:eastAsia="Calibri" w:hAnsi="Calibri"/>
                <w:i/>
                <w:iCs/>
                <w:sz w:val="18"/>
                <w:szCs w:val="18"/>
              </w:rPr>
              <w:t xml:space="preserve">            668 340</w:t>
            </w:r>
          </w:p>
        </w:tc>
        <w:tc>
          <w:tcPr>
            <w:tcW w:w="1440" w:type="dxa"/>
            <w:tcBorders>
              <w:top w:val="nil"/>
              <w:left w:val="nil"/>
              <w:bottom w:val="single" w:sz="8" w:space="0" w:color="auto"/>
              <w:right w:val="single" w:sz="8" w:space="0" w:color="auto"/>
            </w:tcBorders>
            <w:shd w:val="clear" w:color="000000" w:fill="FFFFFF"/>
            <w:vAlign w:val="center"/>
          </w:tcPr>
          <w:p w:rsidR="008676F9" w:rsidRPr="008676F9" w:rsidRDefault="008676F9" w:rsidP="008676F9">
            <w:pPr>
              <w:rPr>
                <w:rFonts w:ascii="Calibri" w:eastAsia="Calibri" w:hAnsi="Calibri"/>
                <w:b/>
                <w:bCs/>
                <w:sz w:val="18"/>
                <w:szCs w:val="18"/>
              </w:rPr>
            </w:pPr>
            <w:r w:rsidRPr="008676F9">
              <w:rPr>
                <w:rFonts w:ascii="Calibri" w:eastAsia="Calibri" w:hAnsi="Calibri"/>
                <w:b/>
                <w:bCs/>
                <w:sz w:val="18"/>
                <w:szCs w:val="18"/>
              </w:rPr>
              <w:t> </w:t>
            </w:r>
          </w:p>
        </w:tc>
        <w:tc>
          <w:tcPr>
            <w:tcW w:w="1440" w:type="dxa"/>
            <w:tcBorders>
              <w:top w:val="nil"/>
              <w:left w:val="nil"/>
              <w:bottom w:val="single" w:sz="8" w:space="0" w:color="auto"/>
              <w:right w:val="single" w:sz="4" w:space="0" w:color="auto"/>
            </w:tcBorders>
            <w:shd w:val="clear" w:color="000000" w:fill="FFFFFF"/>
            <w:vAlign w:val="center"/>
          </w:tcPr>
          <w:p w:rsidR="008676F9" w:rsidRPr="008676F9" w:rsidRDefault="008676F9" w:rsidP="008676F9">
            <w:pPr>
              <w:rPr>
                <w:rFonts w:ascii="Calibri" w:eastAsia="Calibri" w:hAnsi="Calibri"/>
                <w:b/>
                <w:bCs/>
                <w:sz w:val="18"/>
                <w:szCs w:val="18"/>
              </w:rPr>
            </w:pPr>
            <w:r w:rsidRPr="008676F9">
              <w:rPr>
                <w:rFonts w:ascii="Calibri" w:eastAsia="Calibri" w:hAnsi="Calibri"/>
                <w:b/>
                <w:bCs/>
                <w:sz w:val="18"/>
                <w:szCs w:val="18"/>
              </w:rPr>
              <w:t xml:space="preserve">Celková výmera poľ. pôdy </w:t>
            </w:r>
            <w:r w:rsidRPr="008676F9">
              <w:rPr>
                <w:rFonts w:ascii="Calibri" w:eastAsia="Calibri" w:hAnsi="Calibri"/>
                <w:b/>
                <w:bCs/>
                <w:sz w:val="18"/>
                <w:szCs w:val="18"/>
              </w:rPr>
              <w:br/>
              <w:t>(východiskový rok)</w:t>
            </w:r>
          </w:p>
        </w:tc>
        <w:tc>
          <w:tcPr>
            <w:tcW w:w="1440" w:type="dxa"/>
            <w:tcBorders>
              <w:top w:val="nil"/>
              <w:left w:val="nil"/>
              <w:bottom w:val="single" w:sz="8" w:space="0" w:color="auto"/>
              <w:right w:val="single" w:sz="4" w:space="0" w:color="auto"/>
            </w:tcBorders>
            <w:shd w:val="clear" w:color="000000" w:fill="FFFFFF"/>
            <w:vAlign w:val="center"/>
          </w:tcPr>
          <w:p w:rsidR="008676F9" w:rsidRPr="008676F9" w:rsidRDefault="008676F9" w:rsidP="008676F9">
            <w:pPr>
              <w:jc w:val="right"/>
              <w:rPr>
                <w:rFonts w:ascii="Calibri" w:eastAsia="Calibri" w:hAnsi="Calibri"/>
                <w:i/>
                <w:iCs/>
                <w:sz w:val="18"/>
                <w:szCs w:val="18"/>
              </w:rPr>
            </w:pPr>
            <w:r w:rsidRPr="008676F9">
              <w:rPr>
                <w:rFonts w:ascii="Calibri" w:eastAsia="Calibri" w:hAnsi="Calibri"/>
                <w:i/>
                <w:iCs/>
                <w:sz w:val="18"/>
                <w:szCs w:val="18"/>
              </w:rPr>
              <w:t xml:space="preserve">         1 895 500 </w:t>
            </w:r>
          </w:p>
        </w:tc>
        <w:tc>
          <w:tcPr>
            <w:tcW w:w="1604" w:type="dxa"/>
            <w:tcBorders>
              <w:top w:val="nil"/>
              <w:left w:val="nil"/>
              <w:bottom w:val="single" w:sz="8" w:space="0" w:color="auto"/>
              <w:right w:val="single" w:sz="8" w:space="0" w:color="000000"/>
            </w:tcBorders>
            <w:shd w:val="clear" w:color="000000" w:fill="FFFFFF"/>
            <w:noWrap/>
            <w:vAlign w:val="center"/>
          </w:tcPr>
          <w:p w:rsidR="008676F9" w:rsidRPr="008676F9" w:rsidRDefault="008676F9" w:rsidP="008676F9">
            <w:pPr>
              <w:jc w:val="center"/>
              <w:rPr>
                <w:rFonts w:ascii="Calibri" w:eastAsia="Calibri" w:hAnsi="Calibri"/>
                <w:b/>
                <w:bCs/>
                <w:sz w:val="18"/>
                <w:szCs w:val="18"/>
              </w:rPr>
            </w:pPr>
            <w:r w:rsidRPr="008676F9">
              <w:rPr>
                <w:rFonts w:ascii="Calibri" w:eastAsia="Calibri" w:hAnsi="Calibri"/>
                <w:b/>
                <w:bCs/>
                <w:sz w:val="18"/>
                <w:szCs w:val="18"/>
              </w:rPr>
              <w:t> </w:t>
            </w:r>
          </w:p>
        </w:tc>
      </w:tr>
      <w:tr w:rsidR="008676F9" w:rsidRPr="008676F9" w:rsidTr="00BB33FC">
        <w:trPr>
          <w:trHeight w:val="262"/>
        </w:trPr>
        <w:tc>
          <w:tcPr>
            <w:tcW w:w="8804" w:type="dxa"/>
            <w:gridSpan w:val="6"/>
            <w:tcBorders>
              <w:top w:val="single" w:sz="8" w:space="0" w:color="auto"/>
              <w:left w:val="single" w:sz="8" w:space="0" w:color="000000"/>
              <w:bottom w:val="single" w:sz="8" w:space="0" w:color="auto"/>
              <w:right w:val="single" w:sz="8" w:space="0" w:color="000000"/>
            </w:tcBorders>
            <w:shd w:val="clear" w:color="000000" w:fill="FFFFFF"/>
            <w:noWrap/>
            <w:vAlign w:val="center"/>
          </w:tcPr>
          <w:p w:rsidR="008676F9" w:rsidRPr="008676F9" w:rsidRDefault="008676F9" w:rsidP="008676F9">
            <w:pPr>
              <w:jc w:val="center"/>
              <w:rPr>
                <w:rFonts w:ascii="Calibri" w:eastAsia="Calibri" w:hAnsi="Calibri"/>
                <w:b/>
                <w:bCs/>
                <w:sz w:val="20"/>
                <w:szCs w:val="20"/>
              </w:rPr>
            </w:pPr>
            <w:r w:rsidRPr="008676F9">
              <w:rPr>
                <w:rFonts w:ascii="Calibri" w:eastAsia="Calibri" w:hAnsi="Calibri"/>
                <w:b/>
                <w:bCs/>
                <w:sz w:val="20"/>
                <w:szCs w:val="20"/>
              </w:rPr>
              <w:t> </w:t>
            </w:r>
          </w:p>
        </w:tc>
      </w:tr>
      <w:tr w:rsidR="008676F9" w:rsidRPr="008676F9" w:rsidTr="00BB33FC">
        <w:trPr>
          <w:trHeight w:val="499"/>
        </w:trPr>
        <w:tc>
          <w:tcPr>
            <w:tcW w:w="8804" w:type="dxa"/>
            <w:gridSpan w:val="6"/>
            <w:tcBorders>
              <w:top w:val="single" w:sz="8" w:space="0" w:color="auto"/>
              <w:left w:val="single" w:sz="8" w:space="0" w:color="000000"/>
              <w:bottom w:val="single" w:sz="8" w:space="0" w:color="auto"/>
              <w:right w:val="single" w:sz="8" w:space="0" w:color="000000"/>
            </w:tcBorders>
            <w:shd w:val="clear" w:color="000000" w:fill="FFFFFF"/>
            <w:noWrap/>
            <w:vAlign w:val="center"/>
          </w:tcPr>
          <w:p w:rsidR="008676F9" w:rsidRPr="008676F9" w:rsidRDefault="008676F9" w:rsidP="008676F9">
            <w:pPr>
              <w:jc w:val="center"/>
              <w:rPr>
                <w:rFonts w:ascii="Calibri" w:eastAsia="Calibri" w:hAnsi="Calibri"/>
                <w:b/>
                <w:bCs/>
                <w:sz w:val="20"/>
                <w:szCs w:val="20"/>
              </w:rPr>
            </w:pPr>
            <w:r w:rsidRPr="008676F9">
              <w:rPr>
                <w:rFonts w:ascii="Calibri" w:eastAsia="Calibri" w:hAnsi="Calibri"/>
                <w:b/>
                <w:bCs/>
                <w:sz w:val="20"/>
                <w:szCs w:val="20"/>
              </w:rPr>
              <w:t>plánovaný výstup 2014-2020</w:t>
            </w:r>
          </w:p>
        </w:tc>
      </w:tr>
      <w:tr w:rsidR="008676F9" w:rsidRPr="008676F9" w:rsidTr="00BB33FC">
        <w:trPr>
          <w:trHeight w:val="499"/>
        </w:trPr>
        <w:tc>
          <w:tcPr>
            <w:tcW w:w="1440" w:type="dxa"/>
            <w:tcBorders>
              <w:top w:val="nil"/>
              <w:left w:val="single" w:sz="8" w:space="0" w:color="000000"/>
              <w:bottom w:val="nil"/>
              <w:right w:val="nil"/>
            </w:tcBorders>
            <w:shd w:val="clear" w:color="000000" w:fill="FFFFFF"/>
            <w:noWrap/>
            <w:vAlign w:val="center"/>
          </w:tcPr>
          <w:p w:rsidR="008676F9" w:rsidRPr="008676F9" w:rsidRDefault="008676F9" w:rsidP="008676F9">
            <w:pPr>
              <w:jc w:val="center"/>
              <w:rPr>
                <w:rFonts w:ascii="Calibri" w:eastAsia="Calibri" w:hAnsi="Calibri"/>
                <w:b/>
                <w:bCs/>
                <w:sz w:val="20"/>
                <w:szCs w:val="20"/>
              </w:rPr>
            </w:pPr>
            <w:r w:rsidRPr="008676F9">
              <w:rPr>
                <w:rFonts w:ascii="Calibri" w:eastAsia="Calibri" w:hAnsi="Calibri"/>
                <w:b/>
                <w:bCs/>
                <w:sz w:val="20"/>
                <w:szCs w:val="20"/>
              </w:rPr>
              <w:t>Opatrenia</w:t>
            </w:r>
          </w:p>
        </w:tc>
        <w:tc>
          <w:tcPr>
            <w:tcW w:w="7364" w:type="dxa"/>
            <w:gridSpan w:val="5"/>
            <w:tcBorders>
              <w:top w:val="single" w:sz="8" w:space="0" w:color="auto"/>
              <w:left w:val="nil"/>
              <w:bottom w:val="nil"/>
              <w:right w:val="single" w:sz="8" w:space="0" w:color="000000"/>
            </w:tcBorders>
            <w:shd w:val="clear" w:color="000000" w:fill="FFFFFF"/>
            <w:noWrap/>
            <w:vAlign w:val="center"/>
          </w:tcPr>
          <w:p w:rsidR="008676F9" w:rsidRPr="008676F9" w:rsidRDefault="008676F9" w:rsidP="008676F9">
            <w:pPr>
              <w:jc w:val="center"/>
              <w:rPr>
                <w:rFonts w:ascii="Calibri" w:eastAsia="Calibri" w:hAnsi="Calibri"/>
                <w:b/>
                <w:bCs/>
                <w:sz w:val="20"/>
                <w:szCs w:val="20"/>
              </w:rPr>
            </w:pPr>
            <w:r w:rsidRPr="008676F9">
              <w:rPr>
                <w:rFonts w:ascii="Calibri" w:eastAsia="Calibri" w:hAnsi="Calibri"/>
                <w:b/>
                <w:bCs/>
                <w:sz w:val="20"/>
                <w:szCs w:val="20"/>
              </w:rPr>
              <w:t> </w:t>
            </w:r>
          </w:p>
        </w:tc>
      </w:tr>
      <w:tr w:rsidR="008676F9" w:rsidRPr="008676F9" w:rsidTr="00BB33FC">
        <w:trPr>
          <w:trHeight w:val="480"/>
        </w:trPr>
        <w:tc>
          <w:tcPr>
            <w:tcW w:w="1440" w:type="dxa"/>
            <w:vMerge w:val="restart"/>
            <w:tcBorders>
              <w:top w:val="single" w:sz="8" w:space="0" w:color="auto"/>
              <w:left w:val="single" w:sz="8" w:space="0" w:color="000000"/>
              <w:bottom w:val="single" w:sz="4" w:space="0" w:color="000000"/>
              <w:right w:val="single" w:sz="4" w:space="0" w:color="auto"/>
            </w:tcBorders>
            <w:shd w:val="clear" w:color="000000" w:fill="FFFFFF"/>
            <w:vAlign w:val="center"/>
          </w:tcPr>
          <w:p w:rsidR="008676F9" w:rsidRPr="008676F9" w:rsidRDefault="008676F9" w:rsidP="008676F9">
            <w:pPr>
              <w:jc w:val="center"/>
              <w:rPr>
                <w:rFonts w:ascii="Calibri" w:eastAsia="Calibri" w:hAnsi="Calibri"/>
                <w:b/>
                <w:bCs/>
                <w:sz w:val="16"/>
                <w:szCs w:val="16"/>
              </w:rPr>
            </w:pPr>
            <w:r w:rsidRPr="008676F9">
              <w:rPr>
                <w:rFonts w:ascii="Calibri" w:eastAsia="Calibri" w:hAnsi="Calibri"/>
                <w:b/>
                <w:bCs/>
                <w:sz w:val="16"/>
                <w:szCs w:val="16"/>
              </w:rPr>
              <w:t>4 (17)</w:t>
            </w:r>
          </w:p>
        </w:tc>
        <w:tc>
          <w:tcPr>
            <w:tcW w:w="5760" w:type="dxa"/>
            <w:gridSpan w:val="4"/>
            <w:tcBorders>
              <w:top w:val="single" w:sz="8" w:space="0" w:color="auto"/>
              <w:left w:val="nil"/>
              <w:bottom w:val="single" w:sz="4" w:space="0" w:color="auto"/>
              <w:right w:val="single" w:sz="4" w:space="0" w:color="auto"/>
            </w:tcBorders>
            <w:shd w:val="clear" w:color="000000" w:fill="FFFFFF"/>
            <w:vAlign w:val="center"/>
          </w:tcPr>
          <w:p w:rsidR="008676F9" w:rsidRPr="008676F9" w:rsidRDefault="008676F9" w:rsidP="008676F9">
            <w:pPr>
              <w:rPr>
                <w:rFonts w:ascii="Calibri" w:eastAsia="Calibri" w:hAnsi="Calibri"/>
                <w:sz w:val="16"/>
                <w:szCs w:val="16"/>
              </w:rPr>
            </w:pPr>
            <w:r w:rsidRPr="008676F9">
              <w:rPr>
                <w:rFonts w:ascii="Calibri" w:eastAsia="Calibri" w:hAnsi="Calibri"/>
                <w:sz w:val="16"/>
                <w:szCs w:val="16"/>
              </w:rPr>
              <w:t>Počet podporených projektov zameraných na uskladnenie a spracovanie odpadovej vody a biologického odpadu (žumpy, hnojiská, uskladňovacie nádrže) (4.4)</w:t>
            </w:r>
          </w:p>
        </w:tc>
        <w:tc>
          <w:tcPr>
            <w:tcW w:w="1604" w:type="dxa"/>
            <w:tcBorders>
              <w:top w:val="single" w:sz="8" w:space="0" w:color="auto"/>
              <w:left w:val="nil"/>
              <w:bottom w:val="single" w:sz="4" w:space="0" w:color="auto"/>
              <w:right w:val="single" w:sz="8" w:space="0" w:color="000000"/>
            </w:tcBorders>
            <w:shd w:val="clear" w:color="000000" w:fill="FFFFFF"/>
            <w:noWrap/>
            <w:vAlign w:val="center"/>
          </w:tcPr>
          <w:p w:rsidR="008676F9" w:rsidRPr="008676F9" w:rsidRDefault="008676F9" w:rsidP="008676F9">
            <w:pPr>
              <w:jc w:val="right"/>
              <w:rPr>
                <w:rFonts w:ascii="Calibri" w:hAnsi="Calibri"/>
                <w:sz w:val="20"/>
                <w:szCs w:val="20"/>
              </w:rPr>
            </w:pPr>
            <w:r w:rsidRPr="008676F9">
              <w:rPr>
                <w:rFonts w:ascii="Calibri" w:hAnsi="Calibri"/>
                <w:sz w:val="20"/>
                <w:szCs w:val="20"/>
              </w:rPr>
              <w:t xml:space="preserve">                  200  </w:t>
            </w:r>
          </w:p>
        </w:tc>
      </w:tr>
      <w:tr w:rsidR="00255E13" w:rsidRPr="008676F9" w:rsidTr="00BB33FC">
        <w:trPr>
          <w:trHeight w:val="499"/>
        </w:trPr>
        <w:tc>
          <w:tcPr>
            <w:tcW w:w="1440" w:type="dxa"/>
            <w:vMerge/>
            <w:tcBorders>
              <w:top w:val="single" w:sz="8" w:space="0" w:color="auto"/>
              <w:left w:val="single" w:sz="8" w:space="0" w:color="000000"/>
              <w:bottom w:val="single" w:sz="4" w:space="0" w:color="000000"/>
              <w:right w:val="single" w:sz="4" w:space="0" w:color="auto"/>
            </w:tcBorders>
            <w:vAlign w:val="center"/>
          </w:tcPr>
          <w:p w:rsidR="00255E13" w:rsidRPr="008676F9" w:rsidRDefault="00255E13" w:rsidP="008676F9">
            <w:pPr>
              <w:rPr>
                <w:rFonts w:ascii="Calibri" w:eastAsia="Calibri" w:hAnsi="Calibri"/>
                <w:b/>
                <w:bCs/>
                <w:sz w:val="16"/>
                <w:szCs w:val="16"/>
              </w:rPr>
            </w:pPr>
          </w:p>
        </w:tc>
        <w:tc>
          <w:tcPr>
            <w:tcW w:w="5760" w:type="dxa"/>
            <w:gridSpan w:val="4"/>
            <w:tcBorders>
              <w:top w:val="single" w:sz="4" w:space="0" w:color="auto"/>
              <w:left w:val="nil"/>
              <w:bottom w:val="single" w:sz="4" w:space="0" w:color="auto"/>
              <w:right w:val="single" w:sz="4" w:space="0" w:color="auto"/>
            </w:tcBorders>
            <w:shd w:val="clear" w:color="000000" w:fill="FFFFFF"/>
            <w:vAlign w:val="center"/>
          </w:tcPr>
          <w:p w:rsidR="00255E13" w:rsidRPr="008676F9" w:rsidRDefault="00255E13" w:rsidP="008676F9">
            <w:pPr>
              <w:rPr>
                <w:rFonts w:ascii="Calibri" w:eastAsia="Calibri" w:hAnsi="Calibri"/>
                <w:sz w:val="16"/>
                <w:szCs w:val="16"/>
              </w:rPr>
            </w:pPr>
            <w:r w:rsidRPr="008676F9">
              <w:rPr>
                <w:rFonts w:ascii="Calibri" w:eastAsia="Calibri" w:hAnsi="Calibri"/>
                <w:sz w:val="16"/>
                <w:szCs w:val="16"/>
              </w:rPr>
              <w:t xml:space="preserve">VDJ na ktoré sa vzťahujú investície do živočíšnej výroby s cieľom zníženia emisií sklen. plynov a amoniaku </w:t>
            </w:r>
          </w:p>
        </w:tc>
        <w:tc>
          <w:tcPr>
            <w:tcW w:w="1604" w:type="dxa"/>
            <w:tcBorders>
              <w:top w:val="nil"/>
              <w:left w:val="nil"/>
              <w:bottom w:val="single" w:sz="4" w:space="0" w:color="auto"/>
              <w:right w:val="single" w:sz="8" w:space="0" w:color="000000"/>
            </w:tcBorders>
            <w:shd w:val="clear" w:color="000000" w:fill="FFFFFF"/>
            <w:noWrap/>
            <w:vAlign w:val="center"/>
          </w:tcPr>
          <w:p w:rsidR="00255E13" w:rsidRPr="00F849C3" w:rsidRDefault="00255E13" w:rsidP="00895B36">
            <w:pPr>
              <w:jc w:val="right"/>
              <w:rPr>
                <w:sz w:val="20"/>
                <w:szCs w:val="20"/>
              </w:rPr>
            </w:pPr>
            <w:r w:rsidRPr="00F849C3">
              <w:rPr>
                <w:sz w:val="20"/>
                <w:szCs w:val="20"/>
              </w:rPr>
              <w:t xml:space="preserve">            </w:t>
            </w:r>
            <w:r>
              <w:rPr>
                <w:sz w:val="20"/>
                <w:szCs w:val="20"/>
              </w:rPr>
              <w:t>2</w:t>
            </w:r>
            <w:r w:rsidRPr="00F849C3">
              <w:rPr>
                <w:sz w:val="20"/>
                <w:szCs w:val="20"/>
              </w:rPr>
              <w:t xml:space="preserve">0 000 </w:t>
            </w:r>
          </w:p>
        </w:tc>
      </w:tr>
      <w:tr w:rsidR="00255E13" w:rsidRPr="008676F9" w:rsidTr="00BB33FC">
        <w:trPr>
          <w:trHeight w:val="499"/>
        </w:trPr>
        <w:tc>
          <w:tcPr>
            <w:tcW w:w="1440" w:type="dxa"/>
            <w:vMerge/>
            <w:tcBorders>
              <w:top w:val="single" w:sz="8" w:space="0" w:color="auto"/>
              <w:left w:val="single" w:sz="8" w:space="0" w:color="000000"/>
              <w:bottom w:val="single" w:sz="4" w:space="0" w:color="000000"/>
              <w:right w:val="single" w:sz="4" w:space="0" w:color="auto"/>
            </w:tcBorders>
            <w:vAlign w:val="center"/>
          </w:tcPr>
          <w:p w:rsidR="00255E13" w:rsidRPr="008676F9" w:rsidRDefault="00255E13" w:rsidP="008676F9">
            <w:pPr>
              <w:rPr>
                <w:rFonts w:ascii="Calibri" w:eastAsia="Calibri" w:hAnsi="Calibri"/>
                <w:b/>
                <w:bCs/>
                <w:sz w:val="16"/>
                <w:szCs w:val="16"/>
              </w:rPr>
            </w:pPr>
          </w:p>
        </w:tc>
        <w:tc>
          <w:tcPr>
            <w:tcW w:w="5760" w:type="dxa"/>
            <w:gridSpan w:val="4"/>
            <w:tcBorders>
              <w:top w:val="single" w:sz="4" w:space="0" w:color="auto"/>
              <w:left w:val="nil"/>
              <w:bottom w:val="single" w:sz="4" w:space="0" w:color="auto"/>
              <w:right w:val="single" w:sz="4" w:space="0" w:color="auto"/>
            </w:tcBorders>
            <w:shd w:val="clear" w:color="000000" w:fill="FFFFFF"/>
            <w:vAlign w:val="center"/>
          </w:tcPr>
          <w:p w:rsidR="00255E13" w:rsidRPr="008676F9" w:rsidRDefault="00255E13" w:rsidP="008676F9">
            <w:pPr>
              <w:rPr>
                <w:rFonts w:ascii="Calibri" w:eastAsia="Calibri" w:hAnsi="Calibri"/>
                <w:sz w:val="16"/>
                <w:szCs w:val="16"/>
              </w:rPr>
            </w:pPr>
            <w:r w:rsidRPr="008676F9">
              <w:rPr>
                <w:rFonts w:ascii="Calibri" w:eastAsia="Calibri" w:hAnsi="Calibri"/>
                <w:sz w:val="16"/>
                <w:szCs w:val="16"/>
              </w:rPr>
              <w:t>Celkové investície  € (verejné + súkromné)</w:t>
            </w:r>
          </w:p>
        </w:tc>
        <w:tc>
          <w:tcPr>
            <w:tcW w:w="1604" w:type="dxa"/>
            <w:tcBorders>
              <w:top w:val="nil"/>
              <w:left w:val="nil"/>
              <w:bottom w:val="single" w:sz="4" w:space="0" w:color="auto"/>
              <w:right w:val="single" w:sz="8" w:space="0" w:color="000000"/>
            </w:tcBorders>
            <w:shd w:val="clear" w:color="000000" w:fill="FFFFFF"/>
            <w:noWrap/>
            <w:vAlign w:val="center"/>
          </w:tcPr>
          <w:p w:rsidR="00255E13" w:rsidRPr="00F849C3" w:rsidRDefault="00255E13" w:rsidP="00895B36">
            <w:pPr>
              <w:jc w:val="right"/>
              <w:rPr>
                <w:sz w:val="20"/>
                <w:szCs w:val="20"/>
              </w:rPr>
            </w:pPr>
            <w:r w:rsidRPr="00F849C3">
              <w:rPr>
                <w:sz w:val="20"/>
                <w:szCs w:val="20"/>
              </w:rPr>
              <w:t xml:space="preserve"> </w:t>
            </w:r>
            <w:r>
              <w:rPr>
                <w:sz w:val="20"/>
                <w:szCs w:val="20"/>
              </w:rPr>
              <w:t xml:space="preserve">20 410  </w:t>
            </w:r>
            <w:r w:rsidRPr="00F849C3">
              <w:rPr>
                <w:sz w:val="20"/>
                <w:szCs w:val="20"/>
              </w:rPr>
              <w:t xml:space="preserve">000,00 </w:t>
            </w:r>
          </w:p>
        </w:tc>
      </w:tr>
      <w:tr w:rsidR="00255E13" w:rsidRPr="008676F9" w:rsidTr="00BB33FC">
        <w:trPr>
          <w:trHeight w:val="499"/>
        </w:trPr>
        <w:tc>
          <w:tcPr>
            <w:tcW w:w="1440" w:type="dxa"/>
            <w:vMerge/>
            <w:tcBorders>
              <w:top w:val="single" w:sz="8" w:space="0" w:color="auto"/>
              <w:left w:val="single" w:sz="8" w:space="0" w:color="000000"/>
              <w:bottom w:val="single" w:sz="4" w:space="0" w:color="000000"/>
              <w:right w:val="single" w:sz="4" w:space="0" w:color="auto"/>
            </w:tcBorders>
            <w:vAlign w:val="center"/>
          </w:tcPr>
          <w:p w:rsidR="00255E13" w:rsidRPr="008676F9" w:rsidRDefault="00255E13" w:rsidP="008676F9">
            <w:pPr>
              <w:rPr>
                <w:rFonts w:ascii="Calibri" w:eastAsia="Calibri" w:hAnsi="Calibri"/>
                <w:b/>
                <w:bCs/>
                <w:sz w:val="16"/>
                <w:szCs w:val="16"/>
              </w:rPr>
            </w:pPr>
          </w:p>
        </w:tc>
        <w:tc>
          <w:tcPr>
            <w:tcW w:w="5760" w:type="dxa"/>
            <w:gridSpan w:val="4"/>
            <w:tcBorders>
              <w:top w:val="single" w:sz="4" w:space="0" w:color="auto"/>
              <w:left w:val="nil"/>
              <w:bottom w:val="single" w:sz="4" w:space="0" w:color="auto"/>
              <w:right w:val="single" w:sz="4" w:space="0" w:color="auto"/>
            </w:tcBorders>
            <w:shd w:val="clear" w:color="000000" w:fill="FFFFFF"/>
            <w:vAlign w:val="center"/>
          </w:tcPr>
          <w:p w:rsidR="00255E13" w:rsidRPr="008676F9" w:rsidRDefault="00255E13" w:rsidP="008676F9">
            <w:pPr>
              <w:rPr>
                <w:rFonts w:ascii="Calibri" w:eastAsia="Calibri" w:hAnsi="Calibri"/>
                <w:sz w:val="16"/>
                <w:szCs w:val="16"/>
              </w:rPr>
            </w:pPr>
            <w:r w:rsidRPr="008676F9">
              <w:rPr>
                <w:rFonts w:ascii="Calibri" w:eastAsia="Calibri" w:hAnsi="Calibri"/>
                <w:sz w:val="16"/>
                <w:szCs w:val="16"/>
              </w:rPr>
              <w:t>Celkové verejné výdavky (€) (4.4)</w:t>
            </w:r>
          </w:p>
        </w:tc>
        <w:tc>
          <w:tcPr>
            <w:tcW w:w="1604" w:type="dxa"/>
            <w:tcBorders>
              <w:top w:val="nil"/>
              <w:left w:val="nil"/>
              <w:bottom w:val="single" w:sz="4" w:space="0" w:color="auto"/>
              <w:right w:val="single" w:sz="8" w:space="0" w:color="000000"/>
            </w:tcBorders>
            <w:shd w:val="clear" w:color="000000" w:fill="FFFFFF"/>
            <w:noWrap/>
            <w:vAlign w:val="center"/>
          </w:tcPr>
          <w:p w:rsidR="00255E13" w:rsidRPr="00F849C3" w:rsidRDefault="00255E13" w:rsidP="00895B36">
            <w:pPr>
              <w:jc w:val="right"/>
              <w:rPr>
                <w:sz w:val="20"/>
                <w:szCs w:val="20"/>
              </w:rPr>
            </w:pPr>
            <w:r w:rsidRPr="00F849C3">
              <w:rPr>
                <w:sz w:val="20"/>
                <w:szCs w:val="20"/>
              </w:rPr>
              <w:t xml:space="preserve"> </w:t>
            </w:r>
            <w:r>
              <w:rPr>
                <w:sz w:val="20"/>
                <w:szCs w:val="20"/>
              </w:rPr>
              <w:t xml:space="preserve">20 410 </w:t>
            </w:r>
            <w:r w:rsidRPr="00F849C3">
              <w:rPr>
                <w:sz w:val="20"/>
                <w:szCs w:val="20"/>
              </w:rPr>
              <w:t xml:space="preserve">000,00 </w:t>
            </w:r>
          </w:p>
        </w:tc>
      </w:tr>
      <w:tr w:rsidR="008676F9" w:rsidRPr="008676F9" w:rsidTr="00BB33FC">
        <w:trPr>
          <w:trHeight w:val="499"/>
        </w:trPr>
        <w:tc>
          <w:tcPr>
            <w:tcW w:w="1440" w:type="dxa"/>
            <w:vMerge w:val="restart"/>
            <w:tcBorders>
              <w:top w:val="nil"/>
              <w:left w:val="single" w:sz="8" w:space="0" w:color="000000"/>
              <w:bottom w:val="single" w:sz="4" w:space="0" w:color="000000"/>
              <w:right w:val="single" w:sz="4" w:space="0" w:color="auto"/>
            </w:tcBorders>
            <w:shd w:val="clear" w:color="000000" w:fill="FFFFFF"/>
            <w:vAlign w:val="center"/>
          </w:tcPr>
          <w:p w:rsidR="008676F9" w:rsidRPr="008676F9" w:rsidRDefault="008676F9" w:rsidP="008676F9">
            <w:pPr>
              <w:jc w:val="center"/>
              <w:rPr>
                <w:rFonts w:ascii="Calibri" w:eastAsia="Calibri" w:hAnsi="Calibri"/>
                <w:b/>
                <w:bCs/>
                <w:sz w:val="16"/>
                <w:szCs w:val="16"/>
              </w:rPr>
            </w:pPr>
            <w:r w:rsidRPr="008676F9">
              <w:rPr>
                <w:rFonts w:ascii="Calibri" w:eastAsia="Calibri" w:hAnsi="Calibri"/>
                <w:b/>
                <w:bCs/>
                <w:sz w:val="16"/>
                <w:szCs w:val="16"/>
              </w:rPr>
              <w:t>10 (28)</w:t>
            </w:r>
          </w:p>
        </w:tc>
        <w:tc>
          <w:tcPr>
            <w:tcW w:w="5760" w:type="dxa"/>
            <w:gridSpan w:val="4"/>
            <w:tcBorders>
              <w:top w:val="single" w:sz="4" w:space="0" w:color="auto"/>
              <w:left w:val="nil"/>
              <w:bottom w:val="single" w:sz="4" w:space="0" w:color="auto"/>
              <w:right w:val="single" w:sz="4" w:space="0" w:color="auto"/>
            </w:tcBorders>
            <w:shd w:val="clear" w:color="000000" w:fill="FFFFFF"/>
            <w:vAlign w:val="center"/>
          </w:tcPr>
          <w:p w:rsidR="008676F9" w:rsidRPr="008676F9" w:rsidRDefault="008676F9" w:rsidP="008676F9">
            <w:pPr>
              <w:rPr>
                <w:rFonts w:ascii="Calibri" w:eastAsia="Calibri" w:hAnsi="Calibri"/>
                <w:sz w:val="16"/>
                <w:szCs w:val="16"/>
              </w:rPr>
            </w:pPr>
            <w:r w:rsidRPr="008676F9">
              <w:rPr>
                <w:rFonts w:ascii="Calibri" w:eastAsia="Calibri" w:hAnsi="Calibri"/>
                <w:sz w:val="16"/>
                <w:szCs w:val="16"/>
              </w:rPr>
              <w:t>Plocha (ha) ( vegetačný pokryv, medzikultúra, znížené hnojenie, extenzifikácia)</w:t>
            </w:r>
          </w:p>
        </w:tc>
        <w:tc>
          <w:tcPr>
            <w:tcW w:w="1604" w:type="dxa"/>
            <w:tcBorders>
              <w:top w:val="nil"/>
              <w:left w:val="nil"/>
              <w:bottom w:val="single" w:sz="4" w:space="0" w:color="auto"/>
              <w:right w:val="single" w:sz="8" w:space="0" w:color="000000"/>
            </w:tcBorders>
            <w:shd w:val="clear" w:color="000000" w:fill="FFFFFF"/>
            <w:noWrap/>
            <w:vAlign w:val="center"/>
          </w:tcPr>
          <w:p w:rsidR="008676F9" w:rsidRPr="008676F9" w:rsidRDefault="008676F9" w:rsidP="008676F9">
            <w:pPr>
              <w:jc w:val="right"/>
              <w:rPr>
                <w:rFonts w:ascii="Calibri" w:hAnsi="Calibri"/>
                <w:sz w:val="20"/>
                <w:szCs w:val="20"/>
              </w:rPr>
            </w:pPr>
            <w:r w:rsidRPr="008676F9">
              <w:rPr>
                <w:rFonts w:ascii="Calibri" w:hAnsi="Calibri"/>
                <w:sz w:val="20"/>
                <w:szCs w:val="20"/>
              </w:rPr>
              <w:t xml:space="preserve">          153 500 </w:t>
            </w:r>
          </w:p>
        </w:tc>
      </w:tr>
      <w:tr w:rsidR="008676F9" w:rsidRPr="008676F9" w:rsidTr="00BB33FC">
        <w:trPr>
          <w:trHeight w:val="499"/>
        </w:trPr>
        <w:tc>
          <w:tcPr>
            <w:tcW w:w="1440" w:type="dxa"/>
            <w:vMerge/>
            <w:tcBorders>
              <w:top w:val="nil"/>
              <w:left w:val="single" w:sz="8" w:space="0" w:color="000000"/>
              <w:bottom w:val="single" w:sz="4" w:space="0" w:color="000000"/>
              <w:right w:val="single" w:sz="4" w:space="0" w:color="auto"/>
            </w:tcBorders>
            <w:vAlign w:val="center"/>
          </w:tcPr>
          <w:p w:rsidR="008676F9" w:rsidRPr="008676F9" w:rsidRDefault="008676F9" w:rsidP="008676F9">
            <w:pPr>
              <w:rPr>
                <w:rFonts w:ascii="Calibri" w:eastAsia="Calibri" w:hAnsi="Calibri"/>
                <w:b/>
                <w:bCs/>
                <w:sz w:val="16"/>
                <w:szCs w:val="16"/>
              </w:rPr>
            </w:pPr>
          </w:p>
        </w:tc>
        <w:tc>
          <w:tcPr>
            <w:tcW w:w="5760" w:type="dxa"/>
            <w:gridSpan w:val="4"/>
            <w:tcBorders>
              <w:top w:val="single" w:sz="4" w:space="0" w:color="auto"/>
              <w:left w:val="nil"/>
              <w:bottom w:val="single" w:sz="4" w:space="0" w:color="auto"/>
              <w:right w:val="single" w:sz="4" w:space="0" w:color="auto"/>
            </w:tcBorders>
            <w:shd w:val="clear" w:color="000000" w:fill="FFFFFF"/>
            <w:vAlign w:val="center"/>
          </w:tcPr>
          <w:p w:rsidR="008676F9" w:rsidRPr="008676F9" w:rsidRDefault="008676F9" w:rsidP="008676F9">
            <w:pPr>
              <w:rPr>
                <w:rFonts w:ascii="Calibri" w:eastAsia="Calibri" w:hAnsi="Calibri"/>
                <w:sz w:val="16"/>
                <w:szCs w:val="16"/>
              </w:rPr>
            </w:pPr>
            <w:r w:rsidRPr="008676F9">
              <w:rPr>
                <w:rFonts w:ascii="Calibri" w:eastAsia="Calibri" w:hAnsi="Calibri"/>
                <w:sz w:val="16"/>
                <w:szCs w:val="16"/>
              </w:rPr>
              <w:t xml:space="preserve">Celkové verejné výdavky (€) </w:t>
            </w:r>
          </w:p>
        </w:tc>
        <w:tc>
          <w:tcPr>
            <w:tcW w:w="1604" w:type="dxa"/>
            <w:tcBorders>
              <w:top w:val="nil"/>
              <w:left w:val="nil"/>
              <w:bottom w:val="single" w:sz="4" w:space="0" w:color="auto"/>
              <w:right w:val="single" w:sz="8" w:space="0" w:color="000000"/>
            </w:tcBorders>
            <w:shd w:val="clear" w:color="000000" w:fill="FFFFFF"/>
            <w:vAlign w:val="center"/>
          </w:tcPr>
          <w:p w:rsidR="008676F9" w:rsidRPr="008676F9" w:rsidRDefault="008676F9" w:rsidP="008676F9">
            <w:pPr>
              <w:jc w:val="right"/>
              <w:rPr>
                <w:rFonts w:ascii="Calibri" w:hAnsi="Calibri"/>
                <w:sz w:val="16"/>
                <w:szCs w:val="16"/>
              </w:rPr>
            </w:pPr>
            <w:r w:rsidRPr="008676F9">
              <w:rPr>
                <w:rFonts w:ascii="Calibri" w:hAnsi="Calibri"/>
                <w:sz w:val="16"/>
                <w:szCs w:val="16"/>
              </w:rPr>
              <w:t>-</w:t>
            </w:r>
          </w:p>
        </w:tc>
      </w:tr>
      <w:tr w:rsidR="008676F9" w:rsidRPr="008676F9" w:rsidTr="00BB33FC">
        <w:trPr>
          <w:trHeight w:val="420"/>
        </w:trPr>
        <w:tc>
          <w:tcPr>
            <w:tcW w:w="1440" w:type="dxa"/>
            <w:vMerge w:val="restart"/>
            <w:tcBorders>
              <w:top w:val="nil"/>
              <w:left w:val="single" w:sz="8" w:space="0" w:color="000000"/>
              <w:bottom w:val="single" w:sz="4" w:space="0" w:color="000000"/>
              <w:right w:val="single" w:sz="4" w:space="0" w:color="auto"/>
            </w:tcBorders>
            <w:shd w:val="clear" w:color="000000" w:fill="FFFFFF"/>
            <w:vAlign w:val="center"/>
          </w:tcPr>
          <w:p w:rsidR="008676F9" w:rsidRPr="008676F9" w:rsidRDefault="008676F9" w:rsidP="008676F9">
            <w:pPr>
              <w:jc w:val="center"/>
              <w:rPr>
                <w:rFonts w:ascii="Calibri" w:eastAsia="Calibri" w:hAnsi="Calibri"/>
                <w:b/>
                <w:bCs/>
                <w:sz w:val="16"/>
                <w:szCs w:val="16"/>
              </w:rPr>
            </w:pPr>
            <w:r w:rsidRPr="008676F9">
              <w:rPr>
                <w:rFonts w:ascii="Calibri" w:eastAsia="Calibri" w:hAnsi="Calibri"/>
                <w:b/>
                <w:bCs/>
                <w:sz w:val="16"/>
                <w:szCs w:val="16"/>
              </w:rPr>
              <w:t>1 (14)</w:t>
            </w:r>
          </w:p>
        </w:tc>
        <w:tc>
          <w:tcPr>
            <w:tcW w:w="1440" w:type="dxa"/>
            <w:vMerge w:val="restart"/>
            <w:tcBorders>
              <w:top w:val="nil"/>
              <w:left w:val="single" w:sz="4" w:space="0" w:color="auto"/>
              <w:bottom w:val="single" w:sz="4" w:space="0" w:color="auto"/>
              <w:right w:val="single" w:sz="4" w:space="0" w:color="auto"/>
            </w:tcBorders>
            <w:shd w:val="clear" w:color="000000" w:fill="FFFFFF"/>
            <w:vAlign w:val="center"/>
          </w:tcPr>
          <w:p w:rsidR="008676F9" w:rsidRPr="008676F9" w:rsidRDefault="008676F9" w:rsidP="008676F9">
            <w:pPr>
              <w:rPr>
                <w:rFonts w:ascii="Calibri" w:eastAsia="Calibri" w:hAnsi="Calibri"/>
                <w:sz w:val="16"/>
                <w:szCs w:val="16"/>
              </w:rPr>
            </w:pPr>
            <w:r w:rsidRPr="008676F9">
              <w:rPr>
                <w:rFonts w:ascii="Calibri" w:eastAsia="Calibri" w:hAnsi="Calibri"/>
                <w:sz w:val="16"/>
                <w:szCs w:val="16"/>
              </w:rPr>
              <w:t xml:space="preserve">Školenia/získavanie </w:t>
            </w:r>
            <w:r w:rsidRPr="008676F9">
              <w:rPr>
                <w:rFonts w:ascii="Calibri" w:eastAsia="Calibri" w:hAnsi="Calibri"/>
                <w:sz w:val="16"/>
                <w:szCs w:val="16"/>
              </w:rPr>
              <w:br/>
              <w:t>praktických zručností  (1.1)</w:t>
            </w:r>
          </w:p>
        </w:tc>
        <w:tc>
          <w:tcPr>
            <w:tcW w:w="4320" w:type="dxa"/>
            <w:gridSpan w:val="3"/>
            <w:tcBorders>
              <w:top w:val="single" w:sz="4" w:space="0" w:color="auto"/>
              <w:left w:val="nil"/>
              <w:bottom w:val="single" w:sz="4" w:space="0" w:color="auto"/>
              <w:right w:val="single" w:sz="4" w:space="0" w:color="auto"/>
            </w:tcBorders>
            <w:shd w:val="clear" w:color="000000" w:fill="FFFFFF"/>
            <w:vAlign w:val="center"/>
          </w:tcPr>
          <w:p w:rsidR="008676F9" w:rsidRPr="008676F9" w:rsidRDefault="008676F9" w:rsidP="008676F9">
            <w:pPr>
              <w:rPr>
                <w:rFonts w:ascii="Calibri" w:hAnsi="Calibri"/>
                <w:sz w:val="16"/>
                <w:szCs w:val="16"/>
              </w:rPr>
            </w:pPr>
            <w:r w:rsidRPr="008676F9">
              <w:rPr>
                <w:rFonts w:ascii="Calibri" w:hAnsi="Calibri"/>
                <w:sz w:val="16"/>
                <w:szCs w:val="16"/>
              </w:rPr>
              <w:t>Počet účastníkov vzdelávania</w:t>
            </w:r>
          </w:p>
        </w:tc>
        <w:tc>
          <w:tcPr>
            <w:tcW w:w="1604" w:type="dxa"/>
            <w:tcBorders>
              <w:top w:val="nil"/>
              <w:left w:val="nil"/>
              <w:bottom w:val="single" w:sz="4" w:space="0" w:color="auto"/>
              <w:right w:val="single" w:sz="8" w:space="0" w:color="000000"/>
            </w:tcBorders>
            <w:shd w:val="clear" w:color="000000" w:fill="FFFFFF"/>
            <w:noWrap/>
            <w:vAlign w:val="center"/>
          </w:tcPr>
          <w:p w:rsidR="008676F9" w:rsidRPr="008676F9" w:rsidRDefault="00255E13" w:rsidP="00255E13">
            <w:pPr>
              <w:jc w:val="right"/>
              <w:rPr>
                <w:rFonts w:ascii="Calibri" w:eastAsia="Calibri" w:hAnsi="Calibri"/>
                <w:sz w:val="20"/>
                <w:szCs w:val="20"/>
              </w:rPr>
            </w:pPr>
            <w:r>
              <w:rPr>
                <w:rFonts w:ascii="Calibri" w:eastAsia="Calibri" w:hAnsi="Calibri"/>
                <w:sz w:val="20"/>
                <w:szCs w:val="20"/>
              </w:rPr>
              <w:t>22</w:t>
            </w:r>
            <w:r w:rsidR="008676F9" w:rsidRPr="008676F9">
              <w:rPr>
                <w:rFonts w:ascii="Calibri" w:eastAsia="Calibri" w:hAnsi="Calibri"/>
                <w:sz w:val="20"/>
                <w:szCs w:val="20"/>
              </w:rPr>
              <w:t xml:space="preserve">0 </w:t>
            </w:r>
          </w:p>
        </w:tc>
      </w:tr>
      <w:tr w:rsidR="008676F9" w:rsidRPr="008676F9" w:rsidTr="00BB33FC">
        <w:trPr>
          <w:trHeight w:val="499"/>
        </w:trPr>
        <w:tc>
          <w:tcPr>
            <w:tcW w:w="1440" w:type="dxa"/>
            <w:vMerge/>
            <w:tcBorders>
              <w:top w:val="nil"/>
              <w:left w:val="single" w:sz="8" w:space="0" w:color="000000"/>
              <w:bottom w:val="single" w:sz="4" w:space="0" w:color="000000"/>
              <w:right w:val="single" w:sz="4" w:space="0" w:color="auto"/>
            </w:tcBorders>
            <w:vAlign w:val="center"/>
          </w:tcPr>
          <w:p w:rsidR="008676F9" w:rsidRPr="008676F9" w:rsidRDefault="008676F9" w:rsidP="008676F9">
            <w:pPr>
              <w:rPr>
                <w:rFonts w:ascii="Calibri" w:eastAsia="Calibri" w:hAnsi="Calibri"/>
                <w:b/>
                <w:bCs/>
                <w:sz w:val="16"/>
                <w:szCs w:val="16"/>
              </w:rPr>
            </w:pPr>
          </w:p>
        </w:tc>
        <w:tc>
          <w:tcPr>
            <w:tcW w:w="1440" w:type="dxa"/>
            <w:vMerge/>
            <w:tcBorders>
              <w:top w:val="nil"/>
              <w:left w:val="single" w:sz="4" w:space="0" w:color="auto"/>
              <w:bottom w:val="single" w:sz="4" w:space="0" w:color="auto"/>
              <w:right w:val="single" w:sz="4" w:space="0" w:color="auto"/>
            </w:tcBorders>
            <w:vAlign w:val="center"/>
          </w:tcPr>
          <w:p w:rsidR="008676F9" w:rsidRPr="008676F9" w:rsidRDefault="008676F9" w:rsidP="008676F9">
            <w:pPr>
              <w:rPr>
                <w:rFonts w:ascii="Calibri" w:eastAsia="Calibri" w:hAnsi="Calibri"/>
                <w:sz w:val="16"/>
                <w:szCs w:val="16"/>
              </w:rPr>
            </w:pPr>
          </w:p>
        </w:tc>
        <w:tc>
          <w:tcPr>
            <w:tcW w:w="4320" w:type="dxa"/>
            <w:gridSpan w:val="3"/>
            <w:tcBorders>
              <w:top w:val="single" w:sz="4" w:space="0" w:color="auto"/>
              <w:left w:val="nil"/>
              <w:bottom w:val="single" w:sz="4" w:space="0" w:color="auto"/>
              <w:right w:val="single" w:sz="4" w:space="0" w:color="auto"/>
            </w:tcBorders>
            <w:shd w:val="clear" w:color="000000" w:fill="FFFFFF"/>
            <w:vAlign w:val="center"/>
          </w:tcPr>
          <w:p w:rsidR="008676F9" w:rsidRPr="008676F9" w:rsidRDefault="008676F9" w:rsidP="008676F9">
            <w:pPr>
              <w:rPr>
                <w:rFonts w:ascii="Calibri" w:hAnsi="Calibri"/>
                <w:sz w:val="16"/>
                <w:szCs w:val="16"/>
              </w:rPr>
            </w:pPr>
            <w:r w:rsidRPr="008676F9">
              <w:rPr>
                <w:rFonts w:ascii="Calibri" w:hAnsi="Calibri"/>
                <w:sz w:val="16"/>
                <w:szCs w:val="16"/>
              </w:rPr>
              <w:t>Celkové verejné výdavky na školenia (1.1)</w:t>
            </w:r>
          </w:p>
        </w:tc>
        <w:tc>
          <w:tcPr>
            <w:tcW w:w="1604" w:type="dxa"/>
            <w:tcBorders>
              <w:top w:val="nil"/>
              <w:left w:val="nil"/>
              <w:bottom w:val="single" w:sz="4" w:space="0" w:color="auto"/>
              <w:right w:val="single" w:sz="8" w:space="0" w:color="000000"/>
            </w:tcBorders>
            <w:shd w:val="clear" w:color="000000" w:fill="FFFFFF"/>
            <w:noWrap/>
            <w:vAlign w:val="center"/>
          </w:tcPr>
          <w:p w:rsidR="008676F9" w:rsidRPr="008676F9" w:rsidRDefault="00006FEA" w:rsidP="00006FEA">
            <w:pPr>
              <w:jc w:val="right"/>
              <w:rPr>
                <w:rFonts w:ascii="Calibri" w:eastAsia="Calibri" w:hAnsi="Calibri"/>
                <w:sz w:val="20"/>
                <w:szCs w:val="20"/>
              </w:rPr>
            </w:pPr>
            <w:r>
              <w:rPr>
                <w:rFonts w:ascii="Calibri" w:eastAsia="Calibri" w:hAnsi="Calibri"/>
                <w:sz w:val="20"/>
                <w:szCs w:val="20"/>
              </w:rPr>
              <w:t>45</w:t>
            </w:r>
            <w:r w:rsidR="008676F9" w:rsidRPr="008676F9">
              <w:rPr>
                <w:rFonts w:ascii="Calibri" w:eastAsia="Calibri" w:hAnsi="Calibri"/>
                <w:sz w:val="20"/>
                <w:szCs w:val="20"/>
              </w:rPr>
              <w:t xml:space="preserve">0 000,00                  </w:t>
            </w:r>
          </w:p>
        </w:tc>
      </w:tr>
      <w:tr w:rsidR="008676F9" w:rsidRPr="008676F9" w:rsidTr="00BB33FC">
        <w:trPr>
          <w:trHeight w:val="499"/>
        </w:trPr>
        <w:tc>
          <w:tcPr>
            <w:tcW w:w="1440" w:type="dxa"/>
            <w:vMerge/>
            <w:tcBorders>
              <w:top w:val="nil"/>
              <w:left w:val="single" w:sz="8" w:space="0" w:color="000000"/>
              <w:bottom w:val="single" w:sz="4" w:space="0" w:color="000000"/>
              <w:right w:val="single" w:sz="4" w:space="0" w:color="auto"/>
            </w:tcBorders>
            <w:vAlign w:val="center"/>
          </w:tcPr>
          <w:p w:rsidR="008676F9" w:rsidRPr="008676F9" w:rsidRDefault="008676F9" w:rsidP="008676F9">
            <w:pPr>
              <w:rPr>
                <w:rFonts w:ascii="Calibri" w:eastAsia="Calibri" w:hAnsi="Calibri"/>
                <w:b/>
                <w:bCs/>
                <w:sz w:val="16"/>
                <w:szCs w:val="16"/>
              </w:rPr>
            </w:pPr>
          </w:p>
        </w:tc>
        <w:tc>
          <w:tcPr>
            <w:tcW w:w="5760" w:type="dxa"/>
            <w:gridSpan w:val="4"/>
            <w:tcBorders>
              <w:top w:val="single" w:sz="4" w:space="0" w:color="auto"/>
              <w:left w:val="nil"/>
              <w:bottom w:val="single" w:sz="4" w:space="0" w:color="auto"/>
              <w:right w:val="single" w:sz="4" w:space="0" w:color="auto"/>
            </w:tcBorders>
            <w:shd w:val="clear" w:color="000000" w:fill="FFFFFF"/>
            <w:vAlign w:val="center"/>
          </w:tcPr>
          <w:p w:rsidR="008676F9" w:rsidRPr="008676F9" w:rsidRDefault="008676F9" w:rsidP="008676F9">
            <w:pPr>
              <w:rPr>
                <w:rFonts w:ascii="Calibri" w:eastAsia="Calibri" w:hAnsi="Calibri"/>
                <w:sz w:val="16"/>
                <w:szCs w:val="16"/>
              </w:rPr>
            </w:pPr>
            <w:r w:rsidRPr="008676F9">
              <w:rPr>
                <w:rFonts w:ascii="Calibri" w:eastAsia="Calibri" w:hAnsi="Calibri"/>
                <w:sz w:val="16"/>
                <w:szCs w:val="16"/>
              </w:rPr>
              <w:t>Celkové verejné výdavky  € (školenia, informačné aktivity, demonštračné  predvádzacie činnosti ) (1.1, 1.2)</w:t>
            </w:r>
          </w:p>
        </w:tc>
        <w:tc>
          <w:tcPr>
            <w:tcW w:w="1604" w:type="dxa"/>
            <w:tcBorders>
              <w:top w:val="nil"/>
              <w:left w:val="nil"/>
              <w:bottom w:val="single" w:sz="4" w:space="0" w:color="auto"/>
              <w:right w:val="single" w:sz="8" w:space="0" w:color="000000"/>
            </w:tcBorders>
            <w:shd w:val="clear" w:color="000000" w:fill="FFFFFF"/>
            <w:noWrap/>
            <w:vAlign w:val="center"/>
          </w:tcPr>
          <w:p w:rsidR="008676F9" w:rsidRPr="008676F9" w:rsidRDefault="008676F9" w:rsidP="00006FEA">
            <w:pPr>
              <w:jc w:val="right"/>
              <w:rPr>
                <w:rFonts w:ascii="Calibri" w:hAnsi="Calibri"/>
                <w:sz w:val="20"/>
                <w:szCs w:val="20"/>
              </w:rPr>
            </w:pPr>
            <w:r w:rsidRPr="008676F9">
              <w:rPr>
                <w:rFonts w:ascii="Calibri" w:hAnsi="Calibri"/>
                <w:sz w:val="20"/>
                <w:szCs w:val="20"/>
              </w:rPr>
              <w:t xml:space="preserve">     </w:t>
            </w:r>
            <w:r w:rsidR="00006FEA">
              <w:rPr>
                <w:rFonts w:ascii="Calibri" w:hAnsi="Calibri"/>
                <w:sz w:val="20"/>
                <w:szCs w:val="20"/>
              </w:rPr>
              <w:t>6</w:t>
            </w:r>
            <w:r w:rsidRPr="008676F9">
              <w:rPr>
                <w:rFonts w:ascii="Calibri" w:hAnsi="Calibri"/>
                <w:sz w:val="20"/>
                <w:szCs w:val="20"/>
              </w:rPr>
              <w:t xml:space="preserve">00 000,00 </w:t>
            </w:r>
          </w:p>
        </w:tc>
      </w:tr>
      <w:tr w:rsidR="008676F9" w:rsidRPr="008676F9" w:rsidTr="00BB33FC">
        <w:trPr>
          <w:trHeight w:val="510"/>
        </w:trPr>
        <w:tc>
          <w:tcPr>
            <w:tcW w:w="1440" w:type="dxa"/>
            <w:vMerge w:val="restart"/>
            <w:tcBorders>
              <w:top w:val="nil"/>
              <w:left w:val="single" w:sz="8" w:space="0" w:color="000000"/>
              <w:bottom w:val="single" w:sz="8" w:space="0" w:color="000000"/>
              <w:right w:val="single" w:sz="4" w:space="0" w:color="auto"/>
            </w:tcBorders>
            <w:shd w:val="clear" w:color="000000" w:fill="FFFFFF"/>
            <w:vAlign w:val="center"/>
          </w:tcPr>
          <w:p w:rsidR="008676F9" w:rsidRPr="008676F9" w:rsidRDefault="008676F9" w:rsidP="008676F9">
            <w:pPr>
              <w:jc w:val="center"/>
              <w:rPr>
                <w:rFonts w:ascii="Calibri" w:eastAsia="Calibri" w:hAnsi="Calibri"/>
                <w:b/>
                <w:bCs/>
                <w:sz w:val="16"/>
                <w:szCs w:val="16"/>
              </w:rPr>
            </w:pPr>
            <w:r w:rsidRPr="008676F9">
              <w:rPr>
                <w:rFonts w:ascii="Calibri" w:eastAsia="Calibri" w:hAnsi="Calibri"/>
                <w:b/>
                <w:bCs/>
                <w:sz w:val="16"/>
                <w:szCs w:val="16"/>
              </w:rPr>
              <w:t>2 (15)</w:t>
            </w:r>
          </w:p>
        </w:tc>
        <w:tc>
          <w:tcPr>
            <w:tcW w:w="5760" w:type="dxa"/>
            <w:gridSpan w:val="4"/>
            <w:tcBorders>
              <w:top w:val="single" w:sz="4" w:space="0" w:color="auto"/>
              <w:left w:val="nil"/>
              <w:bottom w:val="single" w:sz="4" w:space="0" w:color="auto"/>
              <w:right w:val="single" w:sz="4" w:space="0" w:color="auto"/>
            </w:tcBorders>
            <w:shd w:val="clear" w:color="000000" w:fill="FFFFFF"/>
            <w:vAlign w:val="center"/>
          </w:tcPr>
          <w:p w:rsidR="008676F9" w:rsidRPr="008676F9" w:rsidRDefault="008676F9" w:rsidP="008676F9">
            <w:pPr>
              <w:rPr>
                <w:rFonts w:ascii="Calibri" w:eastAsia="Calibri" w:hAnsi="Calibri"/>
                <w:sz w:val="16"/>
                <w:szCs w:val="16"/>
              </w:rPr>
            </w:pPr>
            <w:r w:rsidRPr="008676F9">
              <w:rPr>
                <w:rFonts w:ascii="Calibri" w:eastAsia="Calibri" w:hAnsi="Calibri"/>
                <w:sz w:val="16"/>
                <w:szCs w:val="16"/>
              </w:rPr>
              <w:t>Počet subjektov, kde bolo vykonané poradenstvo (2.1)</w:t>
            </w:r>
          </w:p>
        </w:tc>
        <w:tc>
          <w:tcPr>
            <w:tcW w:w="1604" w:type="dxa"/>
            <w:tcBorders>
              <w:top w:val="nil"/>
              <w:left w:val="nil"/>
              <w:bottom w:val="single" w:sz="4" w:space="0" w:color="auto"/>
              <w:right w:val="single" w:sz="8" w:space="0" w:color="000000"/>
            </w:tcBorders>
            <w:shd w:val="clear" w:color="000000" w:fill="FFFFFF"/>
            <w:noWrap/>
            <w:vAlign w:val="center"/>
          </w:tcPr>
          <w:p w:rsidR="008676F9" w:rsidRPr="008676F9" w:rsidRDefault="008676F9" w:rsidP="008676F9">
            <w:pPr>
              <w:jc w:val="right"/>
              <w:rPr>
                <w:rFonts w:ascii="Calibri" w:hAnsi="Calibri"/>
                <w:sz w:val="20"/>
                <w:szCs w:val="20"/>
              </w:rPr>
            </w:pPr>
            <w:r w:rsidRPr="008676F9">
              <w:rPr>
                <w:rFonts w:ascii="Calibri" w:hAnsi="Calibri"/>
                <w:sz w:val="20"/>
                <w:szCs w:val="20"/>
              </w:rPr>
              <w:t xml:space="preserve">                600 </w:t>
            </w:r>
          </w:p>
        </w:tc>
      </w:tr>
      <w:tr w:rsidR="008676F9" w:rsidRPr="008676F9" w:rsidTr="00BB33FC">
        <w:trPr>
          <w:trHeight w:val="499"/>
        </w:trPr>
        <w:tc>
          <w:tcPr>
            <w:tcW w:w="1440" w:type="dxa"/>
            <w:vMerge/>
            <w:tcBorders>
              <w:top w:val="nil"/>
              <w:left w:val="single" w:sz="8" w:space="0" w:color="000000"/>
              <w:bottom w:val="single" w:sz="8" w:space="0" w:color="000000"/>
              <w:right w:val="single" w:sz="4" w:space="0" w:color="auto"/>
            </w:tcBorders>
            <w:vAlign w:val="center"/>
          </w:tcPr>
          <w:p w:rsidR="008676F9" w:rsidRPr="008676F9" w:rsidRDefault="008676F9" w:rsidP="008676F9">
            <w:pPr>
              <w:rPr>
                <w:rFonts w:ascii="Calibri" w:eastAsia="Calibri" w:hAnsi="Calibri"/>
                <w:b/>
                <w:bCs/>
                <w:sz w:val="16"/>
                <w:szCs w:val="16"/>
              </w:rPr>
            </w:pPr>
          </w:p>
        </w:tc>
        <w:tc>
          <w:tcPr>
            <w:tcW w:w="5760" w:type="dxa"/>
            <w:gridSpan w:val="4"/>
            <w:tcBorders>
              <w:top w:val="single" w:sz="4" w:space="0" w:color="auto"/>
              <w:left w:val="nil"/>
              <w:bottom w:val="single" w:sz="8" w:space="0" w:color="000000"/>
              <w:right w:val="single" w:sz="4" w:space="0" w:color="auto"/>
            </w:tcBorders>
            <w:shd w:val="clear" w:color="000000" w:fill="FFFFFF"/>
            <w:vAlign w:val="center"/>
          </w:tcPr>
          <w:p w:rsidR="008676F9" w:rsidRPr="008676F9" w:rsidRDefault="008676F9" w:rsidP="008676F9">
            <w:pPr>
              <w:rPr>
                <w:rFonts w:ascii="Calibri" w:eastAsia="Calibri" w:hAnsi="Calibri"/>
                <w:sz w:val="16"/>
                <w:szCs w:val="16"/>
              </w:rPr>
            </w:pPr>
            <w:r w:rsidRPr="008676F9">
              <w:rPr>
                <w:rFonts w:ascii="Calibri" w:eastAsia="Calibri" w:hAnsi="Calibri"/>
                <w:sz w:val="16"/>
                <w:szCs w:val="16"/>
              </w:rPr>
              <w:t>Celkové verejné výdavky (€) (2.1, 2.3)</w:t>
            </w:r>
          </w:p>
        </w:tc>
        <w:tc>
          <w:tcPr>
            <w:tcW w:w="1604" w:type="dxa"/>
            <w:tcBorders>
              <w:top w:val="nil"/>
              <w:left w:val="nil"/>
              <w:bottom w:val="single" w:sz="8" w:space="0" w:color="000000"/>
              <w:right w:val="single" w:sz="8" w:space="0" w:color="000000"/>
            </w:tcBorders>
            <w:shd w:val="clear" w:color="000000" w:fill="FFFFFF"/>
            <w:noWrap/>
            <w:vAlign w:val="center"/>
          </w:tcPr>
          <w:p w:rsidR="008676F9" w:rsidRPr="008676F9" w:rsidRDefault="008676F9" w:rsidP="008676F9">
            <w:pPr>
              <w:jc w:val="right"/>
              <w:rPr>
                <w:rFonts w:ascii="Calibri" w:hAnsi="Calibri"/>
                <w:sz w:val="20"/>
                <w:szCs w:val="20"/>
              </w:rPr>
            </w:pPr>
            <w:r w:rsidRPr="008676F9">
              <w:rPr>
                <w:rFonts w:ascii="Calibri" w:hAnsi="Calibri"/>
                <w:sz w:val="20"/>
                <w:szCs w:val="20"/>
              </w:rPr>
              <w:t xml:space="preserve">   920 000,00 </w:t>
            </w:r>
          </w:p>
        </w:tc>
      </w:tr>
    </w:tbl>
    <w:p w:rsidR="008676F9" w:rsidRPr="008676F9" w:rsidRDefault="008676F9" w:rsidP="008676F9">
      <w:pPr>
        <w:spacing w:after="200" w:line="276" w:lineRule="auto"/>
        <w:rPr>
          <w:rFonts w:ascii="Calibri" w:eastAsia="Calibri" w:hAnsi="Calibri"/>
          <w:noProof/>
          <w:szCs w:val="22"/>
        </w:rPr>
      </w:pPr>
    </w:p>
    <w:p w:rsidR="008676F9" w:rsidRPr="008676F9" w:rsidRDefault="008676F9" w:rsidP="008676F9">
      <w:pPr>
        <w:spacing w:after="200" w:line="276" w:lineRule="auto"/>
        <w:rPr>
          <w:rFonts w:ascii="Calibri" w:eastAsia="Calibri" w:hAnsi="Calibri"/>
          <w:b/>
          <w:szCs w:val="22"/>
          <w:lang w:eastAsia="en-US"/>
        </w:rPr>
      </w:pPr>
    </w:p>
    <w:p w:rsidR="008676F9" w:rsidRPr="008676F9" w:rsidRDefault="008676F9" w:rsidP="008676F9">
      <w:pPr>
        <w:spacing w:after="200" w:line="276" w:lineRule="auto"/>
        <w:rPr>
          <w:rFonts w:ascii="Calibri" w:eastAsia="Calibri" w:hAnsi="Calibri"/>
          <w:b/>
          <w:szCs w:val="22"/>
          <w:lang w:eastAsia="en-US"/>
        </w:rPr>
      </w:pPr>
      <w:r w:rsidRPr="008676F9">
        <w:rPr>
          <w:rFonts w:ascii="Calibri" w:eastAsia="Calibri" w:hAnsi="Calibri"/>
          <w:b/>
          <w:szCs w:val="22"/>
          <w:lang w:eastAsia="en-US"/>
        </w:rPr>
        <w:br w:type="page"/>
      </w:r>
    </w:p>
    <w:tbl>
      <w:tblPr>
        <w:tblW w:w="8980" w:type="dxa"/>
        <w:tblInd w:w="55" w:type="dxa"/>
        <w:tblCellMar>
          <w:left w:w="70" w:type="dxa"/>
          <w:right w:w="70" w:type="dxa"/>
        </w:tblCellMar>
        <w:tblLook w:val="00A0" w:firstRow="1" w:lastRow="0" w:firstColumn="1" w:lastColumn="0" w:noHBand="0" w:noVBand="0"/>
      </w:tblPr>
      <w:tblGrid>
        <w:gridCol w:w="1741"/>
        <w:gridCol w:w="1579"/>
        <w:gridCol w:w="71"/>
        <w:gridCol w:w="3929"/>
        <w:gridCol w:w="1660"/>
      </w:tblGrid>
      <w:tr w:rsidR="008676F9" w:rsidRPr="00E820E4" w:rsidTr="00BB33FC">
        <w:trPr>
          <w:trHeight w:val="390"/>
        </w:trPr>
        <w:tc>
          <w:tcPr>
            <w:tcW w:w="8980" w:type="dxa"/>
            <w:gridSpan w:val="5"/>
            <w:vMerge w:val="restart"/>
            <w:tcBorders>
              <w:top w:val="single" w:sz="8" w:space="0" w:color="000000"/>
              <w:left w:val="single" w:sz="8" w:space="0" w:color="000000"/>
              <w:bottom w:val="single" w:sz="8" w:space="0" w:color="000000"/>
              <w:right w:val="single" w:sz="8" w:space="0" w:color="000000"/>
            </w:tcBorders>
            <w:shd w:val="clear" w:color="auto" w:fill="FFFF00"/>
            <w:vAlign w:val="center"/>
          </w:tcPr>
          <w:p w:rsidR="008676F9" w:rsidRPr="00E820E4" w:rsidRDefault="008676F9" w:rsidP="00E820E4">
            <w:pPr>
              <w:ind w:left="371" w:hanging="371"/>
              <w:jc w:val="left"/>
              <w:rPr>
                <w:rFonts w:ascii="Calibri" w:eastAsia="Calibri" w:hAnsi="Calibri"/>
                <w:b/>
                <w:bCs/>
                <w:color w:val="000000"/>
                <w:szCs w:val="22"/>
              </w:rPr>
            </w:pPr>
            <w:r w:rsidRPr="00E820E4">
              <w:rPr>
                <w:rFonts w:ascii="Calibri" w:eastAsia="Calibri" w:hAnsi="Calibri"/>
                <w:b/>
                <w:bCs/>
                <w:color w:val="000000"/>
                <w:szCs w:val="22"/>
              </w:rPr>
              <w:t>5E Podpora zachovania a sekvestrácie oxidu uhličitého v poľnohospodárstve a lesnom hospodárstve</w:t>
            </w:r>
          </w:p>
        </w:tc>
      </w:tr>
      <w:tr w:rsidR="008676F9" w:rsidRPr="008676F9" w:rsidTr="00BB33FC">
        <w:trPr>
          <w:trHeight w:val="240"/>
        </w:trPr>
        <w:tc>
          <w:tcPr>
            <w:tcW w:w="8980" w:type="dxa"/>
            <w:gridSpan w:val="5"/>
            <w:vMerge/>
            <w:tcBorders>
              <w:top w:val="single" w:sz="8" w:space="0" w:color="000000"/>
              <w:left w:val="single" w:sz="8" w:space="0" w:color="000000"/>
              <w:bottom w:val="single" w:sz="8" w:space="0" w:color="000000"/>
              <w:right w:val="single" w:sz="8" w:space="0" w:color="000000"/>
            </w:tcBorders>
            <w:shd w:val="clear" w:color="auto" w:fill="FFFF00"/>
            <w:vAlign w:val="center"/>
          </w:tcPr>
          <w:p w:rsidR="008676F9" w:rsidRPr="008676F9" w:rsidRDefault="008676F9" w:rsidP="008676F9">
            <w:pPr>
              <w:rPr>
                <w:rFonts w:ascii="Calibri" w:eastAsia="Calibri" w:hAnsi="Calibri"/>
                <w:b/>
                <w:bCs/>
                <w:color w:val="000000"/>
                <w:sz w:val="18"/>
                <w:szCs w:val="18"/>
              </w:rPr>
            </w:pPr>
          </w:p>
        </w:tc>
      </w:tr>
      <w:tr w:rsidR="008676F9" w:rsidRPr="008676F9" w:rsidTr="00BB33FC">
        <w:trPr>
          <w:trHeight w:val="555"/>
        </w:trPr>
        <w:tc>
          <w:tcPr>
            <w:tcW w:w="1741" w:type="dxa"/>
            <w:vMerge w:val="restart"/>
            <w:tcBorders>
              <w:top w:val="single" w:sz="8" w:space="0" w:color="000000"/>
              <w:left w:val="single" w:sz="8" w:space="0" w:color="000000"/>
              <w:bottom w:val="single" w:sz="4" w:space="0" w:color="auto"/>
              <w:right w:val="single" w:sz="4" w:space="0" w:color="auto"/>
            </w:tcBorders>
            <w:shd w:val="clear" w:color="000000" w:fill="FFFFFF"/>
            <w:noWrap/>
            <w:vAlign w:val="center"/>
          </w:tcPr>
          <w:p w:rsidR="008676F9" w:rsidRPr="008676F9" w:rsidRDefault="008676F9" w:rsidP="008676F9">
            <w:pPr>
              <w:jc w:val="center"/>
              <w:rPr>
                <w:rFonts w:ascii="Calibri" w:eastAsia="Calibri" w:hAnsi="Calibri"/>
                <w:b/>
                <w:bCs/>
                <w:sz w:val="18"/>
                <w:szCs w:val="18"/>
              </w:rPr>
            </w:pPr>
            <w:r w:rsidRPr="008676F9">
              <w:rPr>
                <w:rFonts w:ascii="Calibri" w:eastAsia="Calibri" w:hAnsi="Calibri"/>
                <w:b/>
                <w:bCs/>
                <w:sz w:val="18"/>
                <w:szCs w:val="18"/>
              </w:rPr>
              <w:t>Cieľová hodnota</w:t>
            </w:r>
          </w:p>
        </w:tc>
        <w:tc>
          <w:tcPr>
            <w:tcW w:w="7239" w:type="dxa"/>
            <w:gridSpan w:val="4"/>
            <w:tcBorders>
              <w:top w:val="single" w:sz="8" w:space="0" w:color="000000"/>
              <w:left w:val="nil"/>
              <w:bottom w:val="single" w:sz="4" w:space="0" w:color="auto"/>
              <w:right w:val="single" w:sz="8" w:space="0" w:color="000000"/>
            </w:tcBorders>
            <w:shd w:val="clear" w:color="000000" w:fill="FFFFFF"/>
            <w:vAlign w:val="center"/>
          </w:tcPr>
          <w:p w:rsidR="008676F9" w:rsidRPr="008676F9" w:rsidRDefault="008676F9" w:rsidP="008676F9">
            <w:pPr>
              <w:jc w:val="center"/>
              <w:rPr>
                <w:rFonts w:ascii="Calibri" w:eastAsia="Calibri" w:hAnsi="Calibri"/>
                <w:b/>
                <w:bCs/>
                <w:sz w:val="18"/>
                <w:szCs w:val="18"/>
              </w:rPr>
            </w:pPr>
            <w:r w:rsidRPr="008676F9">
              <w:rPr>
                <w:rFonts w:ascii="Calibri" w:eastAsia="Calibri" w:hAnsi="Calibri"/>
                <w:b/>
                <w:bCs/>
                <w:sz w:val="18"/>
                <w:szCs w:val="18"/>
              </w:rPr>
              <w:t xml:space="preserve">% podiel poľnohospodárskej a lesnej pôdy spolu, </w:t>
            </w:r>
            <w:r w:rsidRPr="008676F9">
              <w:rPr>
                <w:rFonts w:ascii="Calibri" w:eastAsia="Calibri" w:hAnsi="Calibri"/>
                <w:b/>
                <w:bCs/>
                <w:sz w:val="18"/>
                <w:szCs w:val="18"/>
              </w:rPr>
              <w:br/>
              <w:t xml:space="preserve">kde sa realizujú opatrenia na posilnenie sekvestrácie oxidu uhličitého </w:t>
            </w:r>
          </w:p>
        </w:tc>
      </w:tr>
      <w:tr w:rsidR="008676F9" w:rsidRPr="008676F9" w:rsidTr="00BB33FC">
        <w:trPr>
          <w:trHeight w:val="499"/>
        </w:trPr>
        <w:tc>
          <w:tcPr>
            <w:tcW w:w="1741" w:type="dxa"/>
            <w:vMerge/>
            <w:tcBorders>
              <w:top w:val="single" w:sz="8" w:space="0" w:color="000000"/>
              <w:left w:val="single" w:sz="8" w:space="0" w:color="000000"/>
              <w:bottom w:val="single" w:sz="4" w:space="0" w:color="auto"/>
              <w:right w:val="single" w:sz="4" w:space="0" w:color="auto"/>
            </w:tcBorders>
            <w:vAlign w:val="center"/>
          </w:tcPr>
          <w:p w:rsidR="008676F9" w:rsidRPr="008676F9" w:rsidRDefault="008676F9" w:rsidP="008676F9">
            <w:pPr>
              <w:rPr>
                <w:rFonts w:ascii="Calibri" w:eastAsia="Calibri" w:hAnsi="Calibri"/>
                <w:b/>
                <w:bCs/>
                <w:sz w:val="18"/>
                <w:szCs w:val="18"/>
              </w:rPr>
            </w:pPr>
          </w:p>
        </w:tc>
        <w:tc>
          <w:tcPr>
            <w:tcW w:w="1650" w:type="dxa"/>
            <w:gridSpan w:val="2"/>
            <w:tcBorders>
              <w:top w:val="nil"/>
              <w:left w:val="nil"/>
              <w:bottom w:val="single" w:sz="4" w:space="0" w:color="auto"/>
              <w:right w:val="single" w:sz="4" w:space="0" w:color="auto"/>
            </w:tcBorders>
            <w:shd w:val="clear" w:color="000000" w:fill="FFFFFF"/>
            <w:vAlign w:val="center"/>
          </w:tcPr>
          <w:p w:rsidR="008676F9" w:rsidRPr="008676F9" w:rsidRDefault="008676F9" w:rsidP="008676F9">
            <w:pPr>
              <w:jc w:val="center"/>
              <w:rPr>
                <w:rFonts w:ascii="Calibri" w:eastAsia="Calibri" w:hAnsi="Calibri"/>
                <w:b/>
                <w:bCs/>
                <w:sz w:val="18"/>
                <w:szCs w:val="18"/>
              </w:rPr>
            </w:pPr>
            <w:r w:rsidRPr="008676F9">
              <w:rPr>
                <w:rFonts w:ascii="Calibri" w:eastAsia="Calibri" w:hAnsi="Calibri"/>
                <w:b/>
                <w:bCs/>
                <w:sz w:val="18"/>
                <w:szCs w:val="18"/>
              </w:rPr>
              <w:t>ha</w:t>
            </w:r>
          </w:p>
        </w:tc>
        <w:tc>
          <w:tcPr>
            <w:tcW w:w="5589" w:type="dxa"/>
            <w:gridSpan w:val="2"/>
            <w:tcBorders>
              <w:top w:val="single" w:sz="4" w:space="0" w:color="auto"/>
              <w:left w:val="nil"/>
              <w:bottom w:val="single" w:sz="4" w:space="0" w:color="auto"/>
              <w:right w:val="single" w:sz="8" w:space="0" w:color="000000"/>
            </w:tcBorders>
            <w:shd w:val="clear" w:color="000000" w:fill="FFFFFF"/>
            <w:vAlign w:val="center"/>
          </w:tcPr>
          <w:p w:rsidR="008676F9" w:rsidRPr="008676F9" w:rsidRDefault="008676F9" w:rsidP="008676F9">
            <w:pPr>
              <w:jc w:val="center"/>
              <w:rPr>
                <w:rFonts w:ascii="Calibri" w:eastAsia="Calibri" w:hAnsi="Calibri"/>
                <w:b/>
                <w:bCs/>
                <w:sz w:val="18"/>
                <w:szCs w:val="18"/>
              </w:rPr>
            </w:pPr>
            <w:r w:rsidRPr="008676F9">
              <w:rPr>
                <w:rFonts w:ascii="Calibri" w:eastAsia="Calibri" w:hAnsi="Calibri"/>
                <w:b/>
                <w:bCs/>
                <w:sz w:val="18"/>
                <w:szCs w:val="18"/>
              </w:rPr>
              <w:t>%</w:t>
            </w:r>
          </w:p>
        </w:tc>
      </w:tr>
      <w:tr w:rsidR="008676F9" w:rsidRPr="008676F9" w:rsidTr="00BB33FC">
        <w:trPr>
          <w:trHeight w:val="499"/>
        </w:trPr>
        <w:tc>
          <w:tcPr>
            <w:tcW w:w="1741" w:type="dxa"/>
            <w:tcBorders>
              <w:top w:val="nil"/>
              <w:left w:val="single" w:sz="8" w:space="0" w:color="000000"/>
              <w:bottom w:val="single" w:sz="4" w:space="0" w:color="auto"/>
              <w:right w:val="single" w:sz="4" w:space="0" w:color="auto"/>
            </w:tcBorders>
            <w:shd w:val="clear" w:color="000000" w:fill="FFFFFF"/>
            <w:vAlign w:val="center"/>
          </w:tcPr>
          <w:p w:rsidR="008676F9" w:rsidRPr="008676F9" w:rsidRDefault="008676F9" w:rsidP="008676F9">
            <w:pPr>
              <w:rPr>
                <w:rFonts w:ascii="Calibri" w:eastAsia="Calibri" w:hAnsi="Calibri"/>
                <w:b/>
                <w:bCs/>
                <w:sz w:val="18"/>
                <w:szCs w:val="18"/>
              </w:rPr>
            </w:pPr>
            <w:r w:rsidRPr="008676F9">
              <w:rPr>
                <w:rFonts w:ascii="Calibri" w:eastAsia="Calibri" w:hAnsi="Calibri"/>
                <w:b/>
                <w:bCs/>
                <w:sz w:val="18"/>
                <w:szCs w:val="18"/>
              </w:rPr>
              <w:t>Celková fyzické výmera do 2020</w:t>
            </w:r>
          </w:p>
        </w:tc>
        <w:tc>
          <w:tcPr>
            <w:tcW w:w="1650" w:type="dxa"/>
            <w:gridSpan w:val="2"/>
            <w:tcBorders>
              <w:top w:val="nil"/>
              <w:left w:val="nil"/>
              <w:bottom w:val="single" w:sz="4" w:space="0" w:color="auto"/>
              <w:right w:val="single" w:sz="4" w:space="0" w:color="auto"/>
            </w:tcBorders>
            <w:shd w:val="clear" w:color="000000" w:fill="FFFFFF"/>
            <w:vAlign w:val="center"/>
          </w:tcPr>
          <w:p w:rsidR="008676F9" w:rsidRPr="008676F9" w:rsidRDefault="008676F9" w:rsidP="008676F9">
            <w:pPr>
              <w:jc w:val="right"/>
              <w:rPr>
                <w:rFonts w:ascii="Calibri" w:eastAsia="Calibri" w:hAnsi="Calibri"/>
                <w:i/>
                <w:iCs/>
                <w:sz w:val="18"/>
                <w:szCs w:val="18"/>
              </w:rPr>
            </w:pPr>
            <w:r w:rsidRPr="008676F9">
              <w:rPr>
                <w:rFonts w:ascii="Calibri" w:eastAsia="Calibri" w:hAnsi="Calibri"/>
                <w:i/>
                <w:iCs/>
                <w:sz w:val="18"/>
                <w:szCs w:val="18"/>
              </w:rPr>
              <w:t xml:space="preserve">          154 340  </w:t>
            </w:r>
          </w:p>
        </w:tc>
        <w:tc>
          <w:tcPr>
            <w:tcW w:w="5589" w:type="dxa"/>
            <w:gridSpan w:val="2"/>
            <w:tcBorders>
              <w:top w:val="single" w:sz="4" w:space="0" w:color="auto"/>
              <w:left w:val="nil"/>
              <w:bottom w:val="single" w:sz="4" w:space="0" w:color="auto"/>
              <w:right w:val="single" w:sz="8" w:space="0" w:color="000000"/>
            </w:tcBorders>
            <w:shd w:val="clear" w:color="000000" w:fill="FFFFFF"/>
            <w:vAlign w:val="center"/>
          </w:tcPr>
          <w:p w:rsidR="008676F9" w:rsidRPr="008676F9" w:rsidRDefault="008676F9" w:rsidP="008676F9">
            <w:pPr>
              <w:jc w:val="center"/>
              <w:rPr>
                <w:rFonts w:ascii="Calibri" w:eastAsia="Calibri" w:hAnsi="Calibri"/>
                <w:b/>
                <w:bCs/>
                <w:sz w:val="18"/>
                <w:szCs w:val="18"/>
              </w:rPr>
            </w:pPr>
            <w:r w:rsidRPr="008676F9">
              <w:rPr>
                <w:rFonts w:ascii="Calibri" w:eastAsia="Calibri" w:hAnsi="Calibri"/>
                <w:b/>
                <w:bCs/>
                <w:sz w:val="18"/>
                <w:szCs w:val="18"/>
              </w:rPr>
              <w:t>4,03%</w:t>
            </w:r>
          </w:p>
        </w:tc>
      </w:tr>
      <w:tr w:rsidR="008676F9" w:rsidRPr="008676F9" w:rsidTr="00BB33FC">
        <w:trPr>
          <w:trHeight w:val="750"/>
        </w:trPr>
        <w:tc>
          <w:tcPr>
            <w:tcW w:w="1741" w:type="dxa"/>
            <w:tcBorders>
              <w:top w:val="nil"/>
              <w:left w:val="single" w:sz="8" w:space="0" w:color="000000"/>
              <w:bottom w:val="single" w:sz="8" w:space="0" w:color="auto"/>
              <w:right w:val="single" w:sz="4" w:space="0" w:color="auto"/>
            </w:tcBorders>
            <w:shd w:val="clear" w:color="000000" w:fill="FFFFFF"/>
            <w:vAlign w:val="center"/>
          </w:tcPr>
          <w:p w:rsidR="008676F9" w:rsidRPr="008676F9" w:rsidRDefault="008676F9" w:rsidP="008676F9">
            <w:pPr>
              <w:rPr>
                <w:rFonts w:ascii="Calibri" w:eastAsia="Calibri" w:hAnsi="Calibri"/>
                <w:b/>
                <w:bCs/>
                <w:sz w:val="18"/>
                <w:szCs w:val="18"/>
              </w:rPr>
            </w:pPr>
            <w:r w:rsidRPr="008676F9">
              <w:rPr>
                <w:rFonts w:ascii="Calibri" w:eastAsia="Calibri" w:hAnsi="Calibri"/>
                <w:b/>
                <w:bCs/>
                <w:sz w:val="18"/>
                <w:szCs w:val="18"/>
              </w:rPr>
              <w:t>Celková poľ. a les. výmera(východ.rok)</w:t>
            </w:r>
          </w:p>
        </w:tc>
        <w:tc>
          <w:tcPr>
            <w:tcW w:w="1650" w:type="dxa"/>
            <w:gridSpan w:val="2"/>
            <w:tcBorders>
              <w:top w:val="nil"/>
              <w:left w:val="nil"/>
              <w:bottom w:val="single" w:sz="8" w:space="0" w:color="auto"/>
              <w:right w:val="single" w:sz="4" w:space="0" w:color="auto"/>
            </w:tcBorders>
            <w:shd w:val="clear" w:color="000000" w:fill="FFFFFF"/>
            <w:vAlign w:val="center"/>
          </w:tcPr>
          <w:p w:rsidR="008676F9" w:rsidRPr="008676F9" w:rsidRDefault="008676F9" w:rsidP="008676F9">
            <w:pPr>
              <w:jc w:val="right"/>
              <w:rPr>
                <w:rFonts w:ascii="Calibri" w:eastAsia="Calibri" w:hAnsi="Calibri"/>
                <w:i/>
                <w:iCs/>
                <w:sz w:val="18"/>
                <w:szCs w:val="18"/>
              </w:rPr>
            </w:pPr>
            <w:r w:rsidRPr="008676F9">
              <w:rPr>
                <w:rFonts w:ascii="Calibri" w:eastAsia="Calibri" w:hAnsi="Calibri"/>
                <w:i/>
                <w:iCs/>
                <w:sz w:val="18"/>
                <w:szCs w:val="18"/>
              </w:rPr>
              <w:t xml:space="preserve">3 833 500  </w:t>
            </w:r>
          </w:p>
        </w:tc>
        <w:tc>
          <w:tcPr>
            <w:tcW w:w="5589" w:type="dxa"/>
            <w:gridSpan w:val="2"/>
            <w:tcBorders>
              <w:top w:val="single" w:sz="4" w:space="0" w:color="auto"/>
              <w:left w:val="nil"/>
              <w:bottom w:val="single" w:sz="8" w:space="0" w:color="auto"/>
              <w:right w:val="single" w:sz="8" w:space="0" w:color="000000"/>
            </w:tcBorders>
            <w:shd w:val="clear" w:color="000000" w:fill="FFFFFF"/>
            <w:noWrap/>
            <w:vAlign w:val="center"/>
          </w:tcPr>
          <w:p w:rsidR="008676F9" w:rsidRPr="008676F9" w:rsidRDefault="008676F9" w:rsidP="008676F9">
            <w:pPr>
              <w:jc w:val="center"/>
              <w:rPr>
                <w:rFonts w:ascii="Calibri" w:eastAsia="Calibri" w:hAnsi="Calibri"/>
                <w:b/>
                <w:bCs/>
                <w:sz w:val="18"/>
                <w:szCs w:val="18"/>
              </w:rPr>
            </w:pPr>
            <w:r w:rsidRPr="008676F9">
              <w:rPr>
                <w:rFonts w:ascii="Calibri" w:eastAsia="Calibri" w:hAnsi="Calibri"/>
                <w:b/>
                <w:bCs/>
                <w:sz w:val="18"/>
                <w:szCs w:val="18"/>
              </w:rPr>
              <w:t> </w:t>
            </w:r>
          </w:p>
        </w:tc>
      </w:tr>
      <w:tr w:rsidR="008676F9" w:rsidRPr="008676F9" w:rsidTr="00BB33FC">
        <w:trPr>
          <w:trHeight w:val="266"/>
        </w:trPr>
        <w:tc>
          <w:tcPr>
            <w:tcW w:w="8980" w:type="dxa"/>
            <w:gridSpan w:val="5"/>
            <w:tcBorders>
              <w:top w:val="single" w:sz="8" w:space="0" w:color="auto"/>
              <w:left w:val="single" w:sz="8" w:space="0" w:color="000000"/>
              <w:bottom w:val="single" w:sz="8" w:space="0" w:color="auto"/>
              <w:right w:val="single" w:sz="8" w:space="0" w:color="000000"/>
            </w:tcBorders>
            <w:shd w:val="clear" w:color="000000" w:fill="FFFFFF"/>
            <w:vAlign w:val="center"/>
          </w:tcPr>
          <w:p w:rsidR="008676F9" w:rsidRPr="008676F9" w:rsidRDefault="008676F9" w:rsidP="008676F9">
            <w:pPr>
              <w:jc w:val="center"/>
              <w:rPr>
                <w:rFonts w:ascii="Calibri" w:eastAsia="Calibri" w:hAnsi="Calibri"/>
                <w:sz w:val="20"/>
                <w:szCs w:val="20"/>
              </w:rPr>
            </w:pPr>
            <w:r w:rsidRPr="008676F9">
              <w:rPr>
                <w:rFonts w:ascii="Calibri" w:eastAsia="Calibri" w:hAnsi="Calibri"/>
                <w:sz w:val="20"/>
                <w:szCs w:val="20"/>
              </w:rPr>
              <w:t> </w:t>
            </w:r>
          </w:p>
        </w:tc>
      </w:tr>
      <w:tr w:rsidR="008676F9" w:rsidRPr="008676F9" w:rsidTr="00BB33FC">
        <w:trPr>
          <w:trHeight w:val="499"/>
        </w:trPr>
        <w:tc>
          <w:tcPr>
            <w:tcW w:w="8980" w:type="dxa"/>
            <w:gridSpan w:val="5"/>
            <w:tcBorders>
              <w:top w:val="single" w:sz="8" w:space="0" w:color="auto"/>
              <w:left w:val="single" w:sz="8" w:space="0" w:color="000000"/>
              <w:bottom w:val="single" w:sz="4" w:space="0" w:color="auto"/>
              <w:right w:val="single" w:sz="8" w:space="0" w:color="000000"/>
            </w:tcBorders>
            <w:shd w:val="clear" w:color="000000" w:fill="FFFFFF"/>
            <w:noWrap/>
            <w:vAlign w:val="center"/>
          </w:tcPr>
          <w:p w:rsidR="008676F9" w:rsidRPr="008676F9" w:rsidRDefault="008676F9" w:rsidP="008676F9">
            <w:pPr>
              <w:jc w:val="center"/>
              <w:rPr>
                <w:rFonts w:ascii="Calibri" w:eastAsia="Calibri" w:hAnsi="Calibri"/>
                <w:b/>
                <w:bCs/>
                <w:sz w:val="20"/>
                <w:szCs w:val="20"/>
              </w:rPr>
            </w:pPr>
            <w:r w:rsidRPr="008676F9">
              <w:rPr>
                <w:rFonts w:ascii="Calibri" w:eastAsia="Calibri" w:hAnsi="Calibri"/>
                <w:b/>
                <w:bCs/>
                <w:sz w:val="20"/>
                <w:szCs w:val="20"/>
              </w:rPr>
              <w:t>plánovaný výstup 2014-2020</w:t>
            </w:r>
          </w:p>
        </w:tc>
      </w:tr>
      <w:tr w:rsidR="008676F9" w:rsidRPr="008676F9" w:rsidTr="00BB33FC">
        <w:trPr>
          <w:trHeight w:val="555"/>
        </w:trPr>
        <w:tc>
          <w:tcPr>
            <w:tcW w:w="1741" w:type="dxa"/>
            <w:tcBorders>
              <w:top w:val="nil"/>
              <w:left w:val="single" w:sz="8" w:space="0" w:color="000000"/>
              <w:bottom w:val="nil"/>
              <w:right w:val="single" w:sz="4" w:space="0" w:color="auto"/>
            </w:tcBorders>
            <w:shd w:val="clear" w:color="000000" w:fill="FFFFFF"/>
            <w:noWrap/>
            <w:vAlign w:val="center"/>
          </w:tcPr>
          <w:p w:rsidR="008676F9" w:rsidRPr="008676F9" w:rsidRDefault="008676F9" w:rsidP="008676F9">
            <w:pPr>
              <w:jc w:val="center"/>
              <w:rPr>
                <w:rFonts w:ascii="Calibri" w:eastAsia="Calibri" w:hAnsi="Calibri"/>
                <w:b/>
                <w:bCs/>
                <w:sz w:val="20"/>
                <w:szCs w:val="20"/>
              </w:rPr>
            </w:pPr>
            <w:r w:rsidRPr="008676F9">
              <w:rPr>
                <w:rFonts w:ascii="Calibri" w:eastAsia="Calibri" w:hAnsi="Calibri"/>
                <w:b/>
                <w:bCs/>
                <w:sz w:val="20"/>
                <w:szCs w:val="20"/>
              </w:rPr>
              <w:t>Opatrenia</w:t>
            </w:r>
          </w:p>
        </w:tc>
        <w:tc>
          <w:tcPr>
            <w:tcW w:w="7239" w:type="dxa"/>
            <w:gridSpan w:val="4"/>
            <w:tcBorders>
              <w:top w:val="single" w:sz="4" w:space="0" w:color="auto"/>
              <w:left w:val="nil"/>
              <w:bottom w:val="single" w:sz="4" w:space="0" w:color="auto"/>
              <w:right w:val="single" w:sz="8" w:space="0" w:color="000000"/>
            </w:tcBorders>
            <w:shd w:val="clear" w:color="000000" w:fill="FFFFFF"/>
            <w:noWrap/>
            <w:vAlign w:val="center"/>
          </w:tcPr>
          <w:p w:rsidR="008676F9" w:rsidRPr="008676F9" w:rsidRDefault="008676F9" w:rsidP="008676F9">
            <w:pPr>
              <w:jc w:val="center"/>
              <w:rPr>
                <w:rFonts w:ascii="Calibri" w:eastAsia="Calibri" w:hAnsi="Calibri"/>
                <w:b/>
                <w:bCs/>
                <w:sz w:val="20"/>
                <w:szCs w:val="20"/>
              </w:rPr>
            </w:pPr>
            <w:r w:rsidRPr="008676F9">
              <w:rPr>
                <w:rFonts w:ascii="Calibri" w:eastAsia="Calibri" w:hAnsi="Calibri"/>
                <w:b/>
                <w:bCs/>
                <w:sz w:val="20"/>
                <w:szCs w:val="20"/>
              </w:rPr>
              <w:t> </w:t>
            </w:r>
          </w:p>
        </w:tc>
      </w:tr>
      <w:tr w:rsidR="008676F9" w:rsidRPr="008676F9" w:rsidTr="00BB33FC">
        <w:tblPrEx>
          <w:tblLook w:val="04A0" w:firstRow="1" w:lastRow="0" w:firstColumn="1" w:lastColumn="0" w:noHBand="0" w:noVBand="1"/>
        </w:tblPrEx>
        <w:trPr>
          <w:trHeight w:val="499"/>
        </w:trPr>
        <w:tc>
          <w:tcPr>
            <w:tcW w:w="1741" w:type="dxa"/>
            <w:vMerge w:val="restart"/>
            <w:tcBorders>
              <w:top w:val="single" w:sz="4" w:space="0" w:color="auto"/>
              <w:left w:val="single" w:sz="8" w:space="0" w:color="auto"/>
              <w:bottom w:val="single" w:sz="4" w:space="0" w:color="000000"/>
              <w:right w:val="single" w:sz="4" w:space="0" w:color="auto"/>
            </w:tcBorders>
            <w:shd w:val="clear" w:color="auto" w:fill="auto"/>
            <w:vAlign w:val="center"/>
            <w:hideMark/>
          </w:tcPr>
          <w:p w:rsidR="008676F9" w:rsidRPr="008676F9" w:rsidRDefault="008676F9" w:rsidP="008676F9">
            <w:pPr>
              <w:jc w:val="center"/>
              <w:rPr>
                <w:rFonts w:ascii="Calibri" w:hAnsi="Calibri"/>
                <w:b/>
                <w:bCs/>
                <w:sz w:val="16"/>
                <w:szCs w:val="16"/>
              </w:rPr>
            </w:pPr>
            <w:r w:rsidRPr="008676F9">
              <w:rPr>
                <w:rFonts w:ascii="Calibri" w:hAnsi="Calibri"/>
                <w:b/>
                <w:bCs/>
                <w:sz w:val="16"/>
                <w:szCs w:val="16"/>
              </w:rPr>
              <w:t>8 (21)</w:t>
            </w:r>
          </w:p>
        </w:tc>
        <w:tc>
          <w:tcPr>
            <w:tcW w:w="5579" w:type="dxa"/>
            <w:gridSpan w:val="3"/>
            <w:tcBorders>
              <w:top w:val="single" w:sz="4" w:space="0" w:color="auto"/>
              <w:left w:val="nil"/>
              <w:bottom w:val="single" w:sz="4" w:space="0" w:color="auto"/>
              <w:right w:val="single" w:sz="4" w:space="0" w:color="auto"/>
            </w:tcBorders>
            <w:shd w:val="clear" w:color="auto" w:fill="auto"/>
            <w:vAlign w:val="center"/>
            <w:hideMark/>
          </w:tcPr>
          <w:p w:rsidR="008676F9" w:rsidRPr="008676F9" w:rsidRDefault="008676F9" w:rsidP="008676F9">
            <w:pPr>
              <w:rPr>
                <w:rFonts w:ascii="Calibri" w:hAnsi="Calibri"/>
                <w:sz w:val="16"/>
                <w:szCs w:val="16"/>
              </w:rPr>
            </w:pPr>
            <w:r w:rsidRPr="008676F9">
              <w:rPr>
                <w:rFonts w:ascii="Calibri" w:hAnsi="Calibri"/>
                <w:sz w:val="16"/>
                <w:szCs w:val="16"/>
              </w:rPr>
              <w:t>Rozloha lesov týkajúca sa investícií, ktoré zlepšujú odolnosť a hodnotu lesných ekosystémov  (8.5)</w:t>
            </w:r>
          </w:p>
        </w:tc>
        <w:tc>
          <w:tcPr>
            <w:tcW w:w="1660" w:type="dxa"/>
            <w:tcBorders>
              <w:top w:val="single" w:sz="4" w:space="0" w:color="auto"/>
              <w:left w:val="nil"/>
              <w:bottom w:val="single" w:sz="4" w:space="0" w:color="auto"/>
              <w:right w:val="single" w:sz="8" w:space="0" w:color="auto"/>
            </w:tcBorders>
            <w:shd w:val="clear" w:color="auto" w:fill="auto"/>
            <w:noWrap/>
            <w:vAlign w:val="center"/>
            <w:hideMark/>
          </w:tcPr>
          <w:p w:rsidR="008676F9" w:rsidRPr="008676F9" w:rsidRDefault="008676F9" w:rsidP="008676F9">
            <w:pPr>
              <w:jc w:val="right"/>
              <w:rPr>
                <w:rFonts w:ascii="Calibri" w:hAnsi="Calibri" w:cs="Arial"/>
                <w:sz w:val="20"/>
                <w:szCs w:val="20"/>
              </w:rPr>
            </w:pPr>
            <w:r w:rsidRPr="008676F9">
              <w:rPr>
                <w:rFonts w:ascii="Calibri" w:hAnsi="Calibri" w:cs="Arial"/>
                <w:sz w:val="20"/>
                <w:szCs w:val="20"/>
              </w:rPr>
              <w:t>840</w:t>
            </w:r>
          </w:p>
        </w:tc>
      </w:tr>
      <w:tr w:rsidR="008676F9" w:rsidRPr="008676F9" w:rsidTr="00BB33FC">
        <w:tblPrEx>
          <w:tblLook w:val="04A0" w:firstRow="1" w:lastRow="0" w:firstColumn="1" w:lastColumn="0" w:noHBand="0" w:noVBand="1"/>
        </w:tblPrEx>
        <w:trPr>
          <w:trHeight w:val="499"/>
        </w:trPr>
        <w:tc>
          <w:tcPr>
            <w:tcW w:w="1741" w:type="dxa"/>
            <w:vMerge/>
            <w:tcBorders>
              <w:top w:val="single" w:sz="4" w:space="0" w:color="auto"/>
              <w:left w:val="single" w:sz="8" w:space="0" w:color="auto"/>
              <w:bottom w:val="single" w:sz="4" w:space="0" w:color="000000"/>
              <w:right w:val="single" w:sz="4" w:space="0" w:color="auto"/>
            </w:tcBorders>
            <w:vAlign w:val="center"/>
            <w:hideMark/>
          </w:tcPr>
          <w:p w:rsidR="008676F9" w:rsidRPr="008676F9" w:rsidRDefault="008676F9" w:rsidP="008676F9">
            <w:pPr>
              <w:rPr>
                <w:rFonts w:ascii="Calibri" w:hAnsi="Calibri"/>
                <w:b/>
                <w:bCs/>
                <w:sz w:val="16"/>
                <w:szCs w:val="16"/>
              </w:rPr>
            </w:pPr>
          </w:p>
        </w:tc>
        <w:tc>
          <w:tcPr>
            <w:tcW w:w="5579" w:type="dxa"/>
            <w:gridSpan w:val="3"/>
            <w:tcBorders>
              <w:top w:val="single" w:sz="4" w:space="0" w:color="auto"/>
              <w:left w:val="nil"/>
              <w:bottom w:val="single" w:sz="4" w:space="0" w:color="auto"/>
              <w:right w:val="single" w:sz="4" w:space="0" w:color="000000"/>
            </w:tcBorders>
            <w:shd w:val="clear" w:color="auto" w:fill="auto"/>
            <w:vAlign w:val="center"/>
            <w:hideMark/>
          </w:tcPr>
          <w:p w:rsidR="008676F9" w:rsidRPr="008676F9" w:rsidRDefault="008676F9" w:rsidP="008676F9">
            <w:pPr>
              <w:rPr>
                <w:rFonts w:ascii="Calibri" w:hAnsi="Calibri"/>
                <w:sz w:val="16"/>
                <w:szCs w:val="16"/>
              </w:rPr>
            </w:pPr>
            <w:r w:rsidRPr="008676F9">
              <w:rPr>
                <w:rFonts w:ascii="Calibri" w:hAnsi="Calibri"/>
                <w:sz w:val="16"/>
                <w:szCs w:val="16"/>
              </w:rPr>
              <w:t>Počet operácií (investície zlepšujúce odolnosť a hodnotu lesných ekosystémov) (8.5)</w:t>
            </w:r>
          </w:p>
        </w:tc>
        <w:tc>
          <w:tcPr>
            <w:tcW w:w="1660" w:type="dxa"/>
            <w:tcBorders>
              <w:top w:val="nil"/>
              <w:left w:val="nil"/>
              <w:bottom w:val="single" w:sz="4" w:space="0" w:color="auto"/>
              <w:right w:val="single" w:sz="8" w:space="0" w:color="auto"/>
            </w:tcBorders>
            <w:shd w:val="clear" w:color="auto" w:fill="auto"/>
            <w:noWrap/>
            <w:vAlign w:val="center"/>
            <w:hideMark/>
          </w:tcPr>
          <w:p w:rsidR="008676F9" w:rsidRPr="008676F9" w:rsidRDefault="008676F9" w:rsidP="008676F9">
            <w:pPr>
              <w:jc w:val="right"/>
              <w:rPr>
                <w:rFonts w:ascii="Calibri" w:hAnsi="Calibri" w:cs="Arial"/>
                <w:sz w:val="20"/>
                <w:szCs w:val="20"/>
              </w:rPr>
            </w:pPr>
            <w:r w:rsidRPr="008676F9">
              <w:rPr>
                <w:rFonts w:ascii="Calibri" w:hAnsi="Calibri" w:cs="Arial"/>
                <w:sz w:val="20"/>
                <w:szCs w:val="20"/>
              </w:rPr>
              <w:t>90</w:t>
            </w:r>
          </w:p>
        </w:tc>
      </w:tr>
      <w:tr w:rsidR="008676F9" w:rsidRPr="008676F9" w:rsidTr="00BB33FC">
        <w:tblPrEx>
          <w:tblLook w:val="04A0" w:firstRow="1" w:lastRow="0" w:firstColumn="1" w:lastColumn="0" w:noHBand="0" w:noVBand="1"/>
        </w:tblPrEx>
        <w:trPr>
          <w:trHeight w:val="499"/>
        </w:trPr>
        <w:tc>
          <w:tcPr>
            <w:tcW w:w="1741" w:type="dxa"/>
            <w:vMerge/>
            <w:tcBorders>
              <w:top w:val="single" w:sz="4" w:space="0" w:color="auto"/>
              <w:left w:val="single" w:sz="8" w:space="0" w:color="auto"/>
              <w:bottom w:val="single" w:sz="4" w:space="0" w:color="000000"/>
              <w:right w:val="single" w:sz="4" w:space="0" w:color="auto"/>
            </w:tcBorders>
            <w:vAlign w:val="center"/>
            <w:hideMark/>
          </w:tcPr>
          <w:p w:rsidR="008676F9" w:rsidRPr="008676F9" w:rsidRDefault="008676F9" w:rsidP="008676F9">
            <w:pPr>
              <w:rPr>
                <w:rFonts w:ascii="Calibri" w:hAnsi="Calibri"/>
                <w:b/>
                <w:bCs/>
                <w:sz w:val="16"/>
                <w:szCs w:val="16"/>
              </w:rPr>
            </w:pPr>
          </w:p>
        </w:tc>
        <w:tc>
          <w:tcPr>
            <w:tcW w:w="5579" w:type="dxa"/>
            <w:gridSpan w:val="3"/>
            <w:tcBorders>
              <w:top w:val="single" w:sz="4" w:space="0" w:color="auto"/>
              <w:left w:val="nil"/>
              <w:bottom w:val="single" w:sz="4" w:space="0" w:color="auto"/>
              <w:right w:val="single" w:sz="4" w:space="0" w:color="auto"/>
            </w:tcBorders>
            <w:shd w:val="clear" w:color="auto" w:fill="auto"/>
            <w:vAlign w:val="center"/>
            <w:hideMark/>
          </w:tcPr>
          <w:p w:rsidR="008676F9" w:rsidRPr="008676F9" w:rsidRDefault="008676F9" w:rsidP="008676F9">
            <w:pPr>
              <w:rPr>
                <w:rFonts w:ascii="Calibri" w:hAnsi="Calibri"/>
                <w:sz w:val="16"/>
                <w:szCs w:val="16"/>
              </w:rPr>
            </w:pPr>
            <w:r w:rsidRPr="008676F9">
              <w:rPr>
                <w:rFonts w:ascii="Calibri" w:hAnsi="Calibri"/>
                <w:sz w:val="16"/>
                <w:szCs w:val="16"/>
              </w:rPr>
              <w:t>Celkové verejné výdavky (€) (8.5)</w:t>
            </w:r>
          </w:p>
        </w:tc>
        <w:tc>
          <w:tcPr>
            <w:tcW w:w="1660" w:type="dxa"/>
            <w:tcBorders>
              <w:top w:val="nil"/>
              <w:left w:val="nil"/>
              <w:bottom w:val="single" w:sz="4" w:space="0" w:color="auto"/>
              <w:right w:val="single" w:sz="8" w:space="0" w:color="auto"/>
            </w:tcBorders>
            <w:shd w:val="clear" w:color="auto" w:fill="auto"/>
            <w:noWrap/>
            <w:vAlign w:val="center"/>
            <w:hideMark/>
          </w:tcPr>
          <w:p w:rsidR="008676F9" w:rsidRPr="008676F9" w:rsidRDefault="008676F9" w:rsidP="008676F9">
            <w:pPr>
              <w:jc w:val="right"/>
              <w:rPr>
                <w:rFonts w:ascii="Calibri" w:hAnsi="Calibri" w:cs="Arial"/>
                <w:sz w:val="20"/>
                <w:szCs w:val="20"/>
              </w:rPr>
            </w:pPr>
            <w:r w:rsidRPr="008676F9">
              <w:rPr>
                <w:rFonts w:ascii="Calibri" w:hAnsi="Calibri" w:cs="Arial"/>
                <w:sz w:val="20"/>
                <w:szCs w:val="20"/>
              </w:rPr>
              <w:t>-</w:t>
            </w:r>
          </w:p>
        </w:tc>
      </w:tr>
      <w:tr w:rsidR="008676F9" w:rsidRPr="008676F9" w:rsidTr="00BB33FC">
        <w:tblPrEx>
          <w:tblLook w:val="04A0" w:firstRow="1" w:lastRow="0" w:firstColumn="1" w:lastColumn="0" w:noHBand="0" w:noVBand="1"/>
        </w:tblPrEx>
        <w:trPr>
          <w:trHeight w:val="499"/>
        </w:trPr>
        <w:tc>
          <w:tcPr>
            <w:tcW w:w="1741" w:type="dxa"/>
            <w:vMerge w:val="restart"/>
            <w:tcBorders>
              <w:top w:val="nil"/>
              <w:left w:val="single" w:sz="8" w:space="0" w:color="auto"/>
              <w:bottom w:val="single" w:sz="4" w:space="0" w:color="000000"/>
              <w:right w:val="single" w:sz="4" w:space="0" w:color="auto"/>
            </w:tcBorders>
            <w:shd w:val="clear" w:color="auto" w:fill="auto"/>
            <w:vAlign w:val="center"/>
            <w:hideMark/>
          </w:tcPr>
          <w:p w:rsidR="008676F9" w:rsidRPr="008676F9" w:rsidRDefault="008676F9" w:rsidP="008676F9">
            <w:pPr>
              <w:jc w:val="center"/>
              <w:rPr>
                <w:rFonts w:ascii="Calibri" w:hAnsi="Calibri"/>
                <w:b/>
                <w:bCs/>
                <w:sz w:val="16"/>
                <w:szCs w:val="16"/>
              </w:rPr>
            </w:pPr>
            <w:r w:rsidRPr="008676F9">
              <w:rPr>
                <w:rFonts w:ascii="Calibri" w:hAnsi="Calibri"/>
                <w:b/>
                <w:bCs/>
                <w:sz w:val="16"/>
                <w:szCs w:val="16"/>
              </w:rPr>
              <w:t>10 (28)</w:t>
            </w:r>
          </w:p>
        </w:tc>
        <w:tc>
          <w:tcPr>
            <w:tcW w:w="5579" w:type="dxa"/>
            <w:gridSpan w:val="3"/>
            <w:tcBorders>
              <w:top w:val="single" w:sz="4" w:space="0" w:color="auto"/>
              <w:left w:val="nil"/>
              <w:bottom w:val="single" w:sz="4" w:space="0" w:color="auto"/>
              <w:right w:val="single" w:sz="4" w:space="0" w:color="auto"/>
            </w:tcBorders>
            <w:shd w:val="clear" w:color="auto" w:fill="auto"/>
            <w:vAlign w:val="center"/>
            <w:hideMark/>
          </w:tcPr>
          <w:p w:rsidR="008676F9" w:rsidRPr="008676F9" w:rsidRDefault="008676F9" w:rsidP="008676F9">
            <w:pPr>
              <w:rPr>
                <w:rFonts w:ascii="Calibri" w:hAnsi="Calibri"/>
                <w:sz w:val="16"/>
                <w:szCs w:val="16"/>
              </w:rPr>
            </w:pPr>
            <w:r w:rsidRPr="008676F9">
              <w:rPr>
                <w:rFonts w:ascii="Calibri" w:hAnsi="Calibri"/>
                <w:sz w:val="16"/>
                <w:szCs w:val="16"/>
              </w:rPr>
              <w:t>Výmera  (ha) podporená v rámci agroenvir.</w:t>
            </w:r>
            <w:r w:rsidR="00D95CA5">
              <w:rPr>
                <w:rFonts w:ascii="Calibri" w:hAnsi="Calibri"/>
                <w:sz w:val="16"/>
                <w:szCs w:val="16"/>
              </w:rPr>
              <w:t xml:space="preserve"> </w:t>
            </w:r>
            <w:r w:rsidRPr="008676F9">
              <w:rPr>
                <w:rFonts w:ascii="Calibri" w:hAnsi="Calibri"/>
                <w:sz w:val="16"/>
                <w:szCs w:val="16"/>
              </w:rPr>
              <w:t xml:space="preserve">schém podporujúce sekvestráciu uhlíka (územie priradené k priorite 4) </w:t>
            </w:r>
          </w:p>
        </w:tc>
        <w:tc>
          <w:tcPr>
            <w:tcW w:w="1660" w:type="dxa"/>
            <w:tcBorders>
              <w:top w:val="nil"/>
              <w:left w:val="nil"/>
              <w:bottom w:val="single" w:sz="4" w:space="0" w:color="auto"/>
              <w:right w:val="single" w:sz="8" w:space="0" w:color="auto"/>
            </w:tcBorders>
            <w:shd w:val="clear" w:color="auto" w:fill="auto"/>
            <w:noWrap/>
            <w:vAlign w:val="center"/>
            <w:hideMark/>
          </w:tcPr>
          <w:p w:rsidR="008676F9" w:rsidRPr="008676F9" w:rsidRDefault="008676F9" w:rsidP="008676F9">
            <w:pPr>
              <w:jc w:val="right"/>
              <w:rPr>
                <w:rFonts w:ascii="Calibri" w:hAnsi="Calibri" w:cs="Arial"/>
                <w:sz w:val="20"/>
                <w:szCs w:val="20"/>
              </w:rPr>
            </w:pPr>
            <w:r w:rsidRPr="008676F9">
              <w:rPr>
                <w:rFonts w:ascii="Calibri" w:hAnsi="Calibri" w:cs="Arial"/>
                <w:sz w:val="20"/>
                <w:szCs w:val="20"/>
              </w:rPr>
              <w:t xml:space="preserve">             153 500 </w:t>
            </w:r>
          </w:p>
        </w:tc>
      </w:tr>
      <w:tr w:rsidR="008676F9" w:rsidRPr="008676F9" w:rsidTr="00BB33FC">
        <w:tblPrEx>
          <w:tblLook w:val="04A0" w:firstRow="1" w:lastRow="0" w:firstColumn="1" w:lastColumn="0" w:noHBand="0" w:noVBand="1"/>
        </w:tblPrEx>
        <w:trPr>
          <w:trHeight w:val="499"/>
        </w:trPr>
        <w:tc>
          <w:tcPr>
            <w:tcW w:w="1741" w:type="dxa"/>
            <w:vMerge/>
            <w:tcBorders>
              <w:top w:val="nil"/>
              <w:left w:val="single" w:sz="8" w:space="0" w:color="auto"/>
              <w:bottom w:val="single" w:sz="4" w:space="0" w:color="000000"/>
              <w:right w:val="single" w:sz="4" w:space="0" w:color="auto"/>
            </w:tcBorders>
            <w:vAlign w:val="center"/>
            <w:hideMark/>
          </w:tcPr>
          <w:p w:rsidR="008676F9" w:rsidRPr="008676F9" w:rsidRDefault="008676F9" w:rsidP="008676F9">
            <w:pPr>
              <w:rPr>
                <w:rFonts w:ascii="Calibri" w:hAnsi="Calibri"/>
                <w:b/>
                <w:bCs/>
                <w:sz w:val="16"/>
                <w:szCs w:val="16"/>
              </w:rPr>
            </w:pPr>
          </w:p>
        </w:tc>
        <w:tc>
          <w:tcPr>
            <w:tcW w:w="5579" w:type="dxa"/>
            <w:gridSpan w:val="3"/>
            <w:tcBorders>
              <w:top w:val="single" w:sz="4" w:space="0" w:color="auto"/>
              <w:left w:val="nil"/>
              <w:bottom w:val="single" w:sz="4" w:space="0" w:color="auto"/>
              <w:right w:val="single" w:sz="4" w:space="0" w:color="auto"/>
            </w:tcBorders>
            <w:shd w:val="clear" w:color="auto" w:fill="auto"/>
            <w:vAlign w:val="center"/>
            <w:hideMark/>
          </w:tcPr>
          <w:p w:rsidR="008676F9" w:rsidRPr="008676F9" w:rsidRDefault="008676F9" w:rsidP="008676F9">
            <w:pPr>
              <w:rPr>
                <w:rFonts w:ascii="Calibri" w:hAnsi="Calibri"/>
                <w:sz w:val="16"/>
                <w:szCs w:val="16"/>
              </w:rPr>
            </w:pPr>
            <w:r w:rsidRPr="008676F9">
              <w:rPr>
                <w:rFonts w:ascii="Calibri" w:hAnsi="Calibri"/>
                <w:sz w:val="16"/>
                <w:szCs w:val="16"/>
              </w:rPr>
              <w:t>Celkové verejné výdavky (€)</w:t>
            </w:r>
          </w:p>
        </w:tc>
        <w:tc>
          <w:tcPr>
            <w:tcW w:w="1660" w:type="dxa"/>
            <w:tcBorders>
              <w:top w:val="nil"/>
              <w:left w:val="nil"/>
              <w:bottom w:val="single" w:sz="4" w:space="0" w:color="auto"/>
              <w:right w:val="single" w:sz="8" w:space="0" w:color="auto"/>
            </w:tcBorders>
            <w:shd w:val="clear" w:color="auto" w:fill="auto"/>
            <w:noWrap/>
            <w:vAlign w:val="center"/>
            <w:hideMark/>
          </w:tcPr>
          <w:p w:rsidR="008676F9" w:rsidRPr="008676F9" w:rsidRDefault="008676F9" w:rsidP="008676F9">
            <w:pPr>
              <w:jc w:val="right"/>
              <w:rPr>
                <w:rFonts w:ascii="Calibri" w:hAnsi="Calibri" w:cs="Arial"/>
                <w:sz w:val="20"/>
                <w:szCs w:val="20"/>
              </w:rPr>
            </w:pPr>
            <w:r w:rsidRPr="008676F9">
              <w:rPr>
                <w:rFonts w:ascii="Calibri" w:hAnsi="Calibri" w:cs="Arial"/>
                <w:sz w:val="20"/>
                <w:szCs w:val="20"/>
              </w:rPr>
              <w:t>-</w:t>
            </w:r>
          </w:p>
        </w:tc>
      </w:tr>
      <w:tr w:rsidR="00006FEA" w:rsidRPr="008676F9" w:rsidTr="00BB33FC">
        <w:tblPrEx>
          <w:tblLook w:val="04A0" w:firstRow="1" w:lastRow="0" w:firstColumn="1" w:lastColumn="0" w:noHBand="0" w:noVBand="1"/>
        </w:tblPrEx>
        <w:trPr>
          <w:trHeight w:val="499"/>
        </w:trPr>
        <w:tc>
          <w:tcPr>
            <w:tcW w:w="1741" w:type="dxa"/>
            <w:vMerge w:val="restart"/>
            <w:tcBorders>
              <w:top w:val="nil"/>
              <w:left w:val="single" w:sz="8" w:space="0" w:color="auto"/>
              <w:bottom w:val="single" w:sz="4" w:space="0" w:color="000000"/>
              <w:right w:val="single" w:sz="4" w:space="0" w:color="auto"/>
            </w:tcBorders>
            <w:shd w:val="clear" w:color="auto" w:fill="auto"/>
            <w:vAlign w:val="center"/>
            <w:hideMark/>
          </w:tcPr>
          <w:p w:rsidR="00006FEA" w:rsidRPr="008676F9" w:rsidRDefault="00006FEA" w:rsidP="008676F9">
            <w:pPr>
              <w:jc w:val="center"/>
              <w:rPr>
                <w:rFonts w:ascii="Calibri" w:hAnsi="Calibri"/>
                <w:b/>
                <w:bCs/>
                <w:sz w:val="16"/>
                <w:szCs w:val="16"/>
              </w:rPr>
            </w:pPr>
            <w:r w:rsidRPr="008676F9">
              <w:rPr>
                <w:rFonts w:ascii="Calibri" w:hAnsi="Calibri"/>
                <w:b/>
                <w:bCs/>
                <w:sz w:val="16"/>
                <w:szCs w:val="16"/>
              </w:rPr>
              <w:t>1 (14)</w:t>
            </w:r>
          </w:p>
        </w:tc>
        <w:tc>
          <w:tcPr>
            <w:tcW w:w="1579" w:type="dxa"/>
            <w:vMerge w:val="restart"/>
            <w:tcBorders>
              <w:top w:val="nil"/>
              <w:left w:val="single" w:sz="4" w:space="0" w:color="auto"/>
              <w:bottom w:val="single" w:sz="4" w:space="0" w:color="auto"/>
              <w:right w:val="single" w:sz="4" w:space="0" w:color="auto"/>
            </w:tcBorders>
            <w:shd w:val="clear" w:color="auto" w:fill="auto"/>
            <w:vAlign w:val="center"/>
            <w:hideMark/>
          </w:tcPr>
          <w:p w:rsidR="00006FEA" w:rsidRPr="008676F9" w:rsidRDefault="00006FEA" w:rsidP="008676F9">
            <w:pPr>
              <w:rPr>
                <w:rFonts w:ascii="Calibri" w:hAnsi="Calibri"/>
                <w:sz w:val="16"/>
                <w:szCs w:val="16"/>
              </w:rPr>
            </w:pPr>
            <w:r w:rsidRPr="008676F9">
              <w:rPr>
                <w:rFonts w:ascii="Calibri" w:hAnsi="Calibri"/>
                <w:sz w:val="16"/>
                <w:szCs w:val="16"/>
              </w:rPr>
              <w:t xml:space="preserve">Školenia/získavanie </w:t>
            </w:r>
            <w:r w:rsidRPr="008676F9">
              <w:rPr>
                <w:rFonts w:ascii="Calibri" w:hAnsi="Calibri"/>
                <w:sz w:val="16"/>
                <w:szCs w:val="16"/>
              </w:rPr>
              <w:br/>
              <w:t>praktických zručností  (1.1)</w:t>
            </w:r>
          </w:p>
        </w:tc>
        <w:tc>
          <w:tcPr>
            <w:tcW w:w="4000" w:type="dxa"/>
            <w:gridSpan w:val="2"/>
            <w:tcBorders>
              <w:top w:val="nil"/>
              <w:left w:val="nil"/>
              <w:bottom w:val="single" w:sz="4" w:space="0" w:color="auto"/>
              <w:right w:val="single" w:sz="4" w:space="0" w:color="auto"/>
            </w:tcBorders>
            <w:shd w:val="clear" w:color="auto" w:fill="auto"/>
            <w:vAlign w:val="center"/>
            <w:hideMark/>
          </w:tcPr>
          <w:p w:rsidR="00006FEA" w:rsidRPr="008676F9" w:rsidRDefault="00006FEA" w:rsidP="008676F9">
            <w:pPr>
              <w:rPr>
                <w:rFonts w:ascii="Calibri" w:hAnsi="Calibri"/>
                <w:sz w:val="16"/>
                <w:szCs w:val="16"/>
              </w:rPr>
            </w:pPr>
            <w:r w:rsidRPr="008676F9">
              <w:rPr>
                <w:rFonts w:ascii="Calibri" w:hAnsi="Calibri"/>
                <w:sz w:val="16"/>
                <w:szCs w:val="16"/>
              </w:rPr>
              <w:t>Počet účastníkov vzdelávania</w:t>
            </w:r>
          </w:p>
        </w:tc>
        <w:tc>
          <w:tcPr>
            <w:tcW w:w="1660" w:type="dxa"/>
            <w:tcBorders>
              <w:top w:val="nil"/>
              <w:left w:val="nil"/>
              <w:bottom w:val="single" w:sz="4" w:space="0" w:color="auto"/>
              <w:right w:val="single" w:sz="8" w:space="0" w:color="auto"/>
            </w:tcBorders>
            <w:shd w:val="clear" w:color="auto" w:fill="auto"/>
            <w:noWrap/>
            <w:vAlign w:val="center"/>
            <w:hideMark/>
          </w:tcPr>
          <w:p w:rsidR="00006FEA" w:rsidRPr="000653D2" w:rsidRDefault="00006FEA" w:rsidP="00895B36">
            <w:pPr>
              <w:jc w:val="right"/>
              <w:rPr>
                <w:rFonts w:cs="Arial"/>
                <w:sz w:val="20"/>
                <w:szCs w:val="20"/>
              </w:rPr>
            </w:pPr>
            <w:r>
              <w:rPr>
                <w:rFonts w:cs="Arial"/>
                <w:sz w:val="20"/>
                <w:szCs w:val="20"/>
              </w:rPr>
              <w:t>22</w:t>
            </w:r>
            <w:r w:rsidRPr="000653D2">
              <w:rPr>
                <w:rFonts w:cs="Arial"/>
                <w:sz w:val="20"/>
                <w:szCs w:val="20"/>
              </w:rPr>
              <w:t>0</w:t>
            </w:r>
          </w:p>
        </w:tc>
      </w:tr>
      <w:tr w:rsidR="00006FEA" w:rsidRPr="008676F9" w:rsidTr="00BB33FC">
        <w:tblPrEx>
          <w:tblLook w:val="04A0" w:firstRow="1" w:lastRow="0" w:firstColumn="1" w:lastColumn="0" w:noHBand="0" w:noVBand="1"/>
        </w:tblPrEx>
        <w:trPr>
          <w:trHeight w:val="499"/>
        </w:trPr>
        <w:tc>
          <w:tcPr>
            <w:tcW w:w="1741" w:type="dxa"/>
            <w:vMerge/>
            <w:tcBorders>
              <w:top w:val="nil"/>
              <w:left w:val="single" w:sz="8" w:space="0" w:color="auto"/>
              <w:bottom w:val="single" w:sz="4" w:space="0" w:color="000000"/>
              <w:right w:val="single" w:sz="4" w:space="0" w:color="auto"/>
            </w:tcBorders>
            <w:vAlign w:val="center"/>
            <w:hideMark/>
          </w:tcPr>
          <w:p w:rsidR="00006FEA" w:rsidRPr="008676F9" w:rsidRDefault="00006FEA" w:rsidP="008676F9">
            <w:pPr>
              <w:rPr>
                <w:rFonts w:ascii="Calibri" w:hAnsi="Calibri"/>
                <w:b/>
                <w:bCs/>
                <w:sz w:val="16"/>
                <w:szCs w:val="16"/>
              </w:rPr>
            </w:pPr>
          </w:p>
        </w:tc>
        <w:tc>
          <w:tcPr>
            <w:tcW w:w="1579" w:type="dxa"/>
            <w:vMerge/>
            <w:tcBorders>
              <w:top w:val="nil"/>
              <w:left w:val="single" w:sz="4" w:space="0" w:color="auto"/>
              <w:bottom w:val="single" w:sz="4" w:space="0" w:color="auto"/>
              <w:right w:val="single" w:sz="4" w:space="0" w:color="auto"/>
            </w:tcBorders>
            <w:vAlign w:val="center"/>
            <w:hideMark/>
          </w:tcPr>
          <w:p w:rsidR="00006FEA" w:rsidRPr="008676F9" w:rsidRDefault="00006FEA" w:rsidP="008676F9">
            <w:pPr>
              <w:rPr>
                <w:rFonts w:ascii="Calibri" w:hAnsi="Calibri"/>
                <w:sz w:val="16"/>
                <w:szCs w:val="16"/>
              </w:rPr>
            </w:pPr>
          </w:p>
        </w:tc>
        <w:tc>
          <w:tcPr>
            <w:tcW w:w="4000" w:type="dxa"/>
            <w:gridSpan w:val="2"/>
            <w:tcBorders>
              <w:top w:val="nil"/>
              <w:left w:val="nil"/>
              <w:bottom w:val="single" w:sz="4" w:space="0" w:color="auto"/>
              <w:right w:val="single" w:sz="4" w:space="0" w:color="auto"/>
            </w:tcBorders>
            <w:shd w:val="clear" w:color="auto" w:fill="auto"/>
            <w:vAlign w:val="center"/>
            <w:hideMark/>
          </w:tcPr>
          <w:p w:rsidR="00006FEA" w:rsidRPr="008676F9" w:rsidRDefault="00006FEA" w:rsidP="008676F9">
            <w:pPr>
              <w:rPr>
                <w:rFonts w:ascii="Calibri" w:hAnsi="Calibri"/>
                <w:sz w:val="16"/>
                <w:szCs w:val="16"/>
              </w:rPr>
            </w:pPr>
            <w:r w:rsidRPr="008676F9">
              <w:rPr>
                <w:rFonts w:ascii="Calibri" w:hAnsi="Calibri"/>
                <w:sz w:val="16"/>
                <w:szCs w:val="16"/>
              </w:rPr>
              <w:t>Celkové verejné výdavky (1.1)</w:t>
            </w:r>
          </w:p>
        </w:tc>
        <w:tc>
          <w:tcPr>
            <w:tcW w:w="1660" w:type="dxa"/>
            <w:tcBorders>
              <w:top w:val="nil"/>
              <w:left w:val="nil"/>
              <w:bottom w:val="single" w:sz="4" w:space="0" w:color="auto"/>
              <w:right w:val="single" w:sz="8" w:space="0" w:color="auto"/>
            </w:tcBorders>
            <w:shd w:val="clear" w:color="auto" w:fill="auto"/>
            <w:noWrap/>
            <w:vAlign w:val="center"/>
            <w:hideMark/>
          </w:tcPr>
          <w:p w:rsidR="00006FEA" w:rsidRPr="000653D2" w:rsidRDefault="00006FEA" w:rsidP="00895B36">
            <w:pPr>
              <w:jc w:val="right"/>
              <w:rPr>
                <w:rFonts w:cs="Arial"/>
                <w:sz w:val="20"/>
                <w:szCs w:val="20"/>
              </w:rPr>
            </w:pPr>
            <w:r w:rsidRPr="000653D2">
              <w:rPr>
                <w:rFonts w:cs="Arial"/>
                <w:sz w:val="20"/>
                <w:szCs w:val="20"/>
              </w:rPr>
              <w:t xml:space="preserve">         </w:t>
            </w:r>
            <w:r>
              <w:rPr>
                <w:rFonts w:cs="Arial"/>
                <w:sz w:val="20"/>
                <w:szCs w:val="20"/>
              </w:rPr>
              <w:t>45</w:t>
            </w:r>
            <w:r w:rsidRPr="000653D2">
              <w:rPr>
                <w:rFonts w:cs="Arial"/>
                <w:sz w:val="20"/>
                <w:szCs w:val="20"/>
              </w:rPr>
              <w:t xml:space="preserve">0 000,00 </w:t>
            </w:r>
          </w:p>
        </w:tc>
      </w:tr>
      <w:tr w:rsidR="008676F9" w:rsidRPr="008676F9" w:rsidTr="00BB33FC">
        <w:tblPrEx>
          <w:tblLook w:val="04A0" w:firstRow="1" w:lastRow="0" w:firstColumn="1" w:lastColumn="0" w:noHBand="0" w:noVBand="1"/>
        </w:tblPrEx>
        <w:trPr>
          <w:trHeight w:val="499"/>
        </w:trPr>
        <w:tc>
          <w:tcPr>
            <w:tcW w:w="1741" w:type="dxa"/>
            <w:vMerge/>
            <w:tcBorders>
              <w:top w:val="nil"/>
              <w:left w:val="single" w:sz="8" w:space="0" w:color="auto"/>
              <w:bottom w:val="single" w:sz="4" w:space="0" w:color="000000"/>
              <w:right w:val="single" w:sz="4" w:space="0" w:color="auto"/>
            </w:tcBorders>
            <w:vAlign w:val="center"/>
            <w:hideMark/>
          </w:tcPr>
          <w:p w:rsidR="008676F9" w:rsidRPr="008676F9" w:rsidRDefault="008676F9" w:rsidP="008676F9">
            <w:pPr>
              <w:rPr>
                <w:rFonts w:ascii="Calibri" w:hAnsi="Calibri"/>
                <w:b/>
                <w:bCs/>
                <w:sz w:val="16"/>
                <w:szCs w:val="16"/>
              </w:rPr>
            </w:pPr>
          </w:p>
        </w:tc>
        <w:tc>
          <w:tcPr>
            <w:tcW w:w="5579" w:type="dxa"/>
            <w:gridSpan w:val="3"/>
            <w:tcBorders>
              <w:top w:val="single" w:sz="4" w:space="0" w:color="auto"/>
              <w:left w:val="nil"/>
              <w:bottom w:val="single" w:sz="4" w:space="0" w:color="auto"/>
              <w:right w:val="single" w:sz="4" w:space="0" w:color="auto"/>
            </w:tcBorders>
            <w:shd w:val="clear" w:color="auto" w:fill="auto"/>
            <w:vAlign w:val="center"/>
            <w:hideMark/>
          </w:tcPr>
          <w:p w:rsidR="008676F9" w:rsidRPr="008676F9" w:rsidRDefault="008676F9" w:rsidP="008676F9">
            <w:pPr>
              <w:rPr>
                <w:rFonts w:ascii="Calibri" w:hAnsi="Calibri"/>
                <w:sz w:val="16"/>
                <w:szCs w:val="16"/>
              </w:rPr>
            </w:pPr>
            <w:r w:rsidRPr="008676F9">
              <w:rPr>
                <w:rFonts w:ascii="Calibri" w:hAnsi="Calibri"/>
                <w:sz w:val="16"/>
                <w:szCs w:val="16"/>
              </w:rPr>
              <w:t>Celkové verejné výdavky  € (školenia, informačné aktivity, demonštračné  predvádzacie činnosti ) (1.1, 1.3)</w:t>
            </w:r>
          </w:p>
        </w:tc>
        <w:tc>
          <w:tcPr>
            <w:tcW w:w="1660" w:type="dxa"/>
            <w:tcBorders>
              <w:top w:val="nil"/>
              <w:left w:val="nil"/>
              <w:bottom w:val="single" w:sz="4" w:space="0" w:color="auto"/>
              <w:right w:val="single" w:sz="8" w:space="0" w:color="auto"/>
            </w:tcBorders>
            <w:shd w:val="clear" w:color="auto" w:fill="auto"/>
            <w:noWrap/>
            <w:vAlign w:val="center"/>
            <w:hideMark/>
          </w:tcPr>
          <w:p w:rsidR="008676F9" w:rsidRPr="008676F9" w:rsidRDefault="008676F9" w:rsidP="00006FEA">
            <w:pPr>
              <w:jc w:val="right"/>
              <w:rPr>
                <w:rFonts w:ascii="Calibri" w:hAnsi="Calibri" w:cs="Arial"/>
                <w:sz w:val="20"/>
                <w:szCs w:val="20"/>
              </w:rPr>
            </w:pPr>
            <w:r w:rsidRPr="008676F9">
              <w:rPr>
                <w:rFonts w:ascii="Calibri" w:hAnsi="Calibri" w:cs="Arial"/>
                <w:sz w:val="20"/>
                <w:szCs w:val="20"/>
              </w:rPr>
              <w:t xml:space="preserve">         </w:t>
            </w:r>
            <w:r w:rsidR="00006FEA">
              <w:rPr>
                <w:rFonts w:ascii="Calibri" w:hAnsi="Calibri" w:cs="Arial"/>
                <w:sz w:val="20"/>
                <w:szCs w:val="20"/>
              </w:rPr>
              <w:t>6</w:t>
            </w:r>
            <w:r w:rsidRPr="008676F9">
              <w:rPr>
                <w:rFonts w:ascii="Calibri" w:hAnsi="Calibri" w:cs="Arial"/>
                <w:sz w:val="20"/>
                <w:szCs w:val="20"/>
              </w:rPr>
              <w:t xml:space="preserve">00 000,00 </w:t>
            </w:r>
          </w:p>
        </w:tc>
      </w:tr>
      <w:tr w:rsidR="008676F9" w:rsidRPr="008676F9" w:rsidTr="00BB33FC">
        <w:tblPrEx>
          <w:tblLook w:val="04A0" w:firstRow="1" w:lastRow="0" w:firstColumn="1" w:lastColumn="0" w:noHBand="0" w:noVBand="1"/>
        </w:tblPrEx>
        <w:trPr>
          <w:trHeight w:val="499"/>
        </w:trPr>
        <w:tc>
          <w:tcPr>
            <w:tcW w:w="1741" w:type="dxa"/>
            <w:vMerge w:val="restart"/>
            <w:tcBorders>
              <w:top w:val="nil"/>
              <w:left w:val="single" w:sz="8" w:space="0" w:color="auto"/>
              <w:bottom w:val="single" w:sz="4" w:space="0" w:color="000000"/>
              <w:right w:val="single" w:sz="4" w:space="0" w:color="auto"/>
            </w:tcBorders>
            <w:shd w:val="clear" w:color="auto" w:fill="auto"/>
            <w:vAlign w:val="center"/>
            <w:hideMark/>
          </w:tcPr>
          <w:p w:rsidR="008676F9" w:rsidRPr="008676F9" w:rsidRDefault="008676F9" w:rsidP="008676F9">
            <w:pPr>
              <w:jc w:val="center"/>
              <w:rPr>
                <w:rFonts w:ascii="Calibri" w:hAnsi="Calibri"/>
                <w:b/>
                <w:bCs/>
                <w:sz w:val="16"/>
                <w:szCs w:val="16"/>
              </w:rPr>
            </w:pPr>
            <w:r w:rsidRPr="008676F9">
              <w:rPr>
                <w:rFonts w:ascii="Calibri" w:hAnsi="Calibri"/>
                <w:b/>
                <w:bCs/>
                <w:sz w:val="16"/>
                <w:szCs w:val="16"/>
              </w:rPr>
              <w:t>2 (15)</w:t>
            </w:r>
          </w:p>
        </w:tc>
        <w:tc>
          <w:tcPr>
            <w:tcW w:w="5579" w:type="dxa"/>
            <w:gridSpan w:val="3"/>
            <w:tcBorders>
              <w:top w:val="single" w:sz="4" w:space="0" w:color="auto"/>
              <w:left w:val="nil"/>
              <w:bottom w:val="single" w:sz="4" w:space="0" w:color="auto"/>
              <w:right w:val="single" w:sz="4" w:space="0" w:color="auto"/>
            </w:tcBorders>
            <w:shd w:val="clear" w:color="auto" w:fill="auto"/>
            <w:vAlign w:val="center"/>
            <w:hideMark/>
          </w:tcPr>
          <w:p w:rsidR="008676F9" w:rsidRPr="008676F9" w:rsidRDefault="008676F9" w:rsidP="008676F9">
            <w:pPr>
              <w:rPr>
                <w:rFonts w:ascii="Calibri" w:hAnsi="Calibri"/>
                <w:sz w:val="16"/>
                <w:szCs w:val="16"/>
              </w:rPr>
            </w:pPr>
            <w:r w:rsidRPr="008676F9">
              <w:rPr>
                <w:rFonts w:ascii="Calibri" w:hAnsi="Calibri"/>
                <w:sz w:val="16"/>
                <w:szCs w:val="16"/>
              </w:rPr>
              <w:t>Počet subjektov, kde bolo vykonané poradenstvo  (2.1)</w:t>
            </w:r>
          </w:p>
        </w:tc>
        <w:tc>
          <w:tcPr>
            <w:tcW w:w="1660" w:type="dxa"/>
            <w:tcBorders>
              <w:top w:val="nil"/>
              <w:left w:val="nil"/>
              <w:bottom w:val="single" w:sz="4" w:space="0" w:color="auto"/>
              <w:right w:val="single" w:sz="8" w:space="0" w:color="auto"/>
            </w:tcBorders>
            <w:shd w:val="clear" w:color="auto" w:fill="auto"/>
            <w:noWrap/>
            <w:vAlign w:val="center"/>
            <w:hideMark/>
          </w:tcPr>
          <w:p w:rsidR="008676F9" w:rsidRPr="008676F9" w:rsidRDefault="008676F9" w:rsidP="008676F9">
            <w:pPr>
              <w:jc w:val="right"/>
              <w:rPr>
                <w:rFonts w:ascii="Calibri" w:hAnsi="Calibri" w:cs="Arial"/>
                <w:sz w:val="20"/>
                <w:szCs w:val="20"/>
              </w:rPr>
            </w:pPr>
            <w:r w:rsidRPr="008676F9">
              <w:rPr>
                <w:rFonts w:ascii="Calibri" w:hAnsi="Calibri" w:cs="Arial"/>
                <w:sz w:val="20"/>
                <w:szCs w:val="20"/>
              </w:rPr>
              <w:t>20</w:t>
            </w:r>
          </w:p>
        </w:tc>
      </w:tr>
      <w:tr w:rsidR="008676F9" w:rsidRPr="008676F9" w:rsidTr="00BB33FC">
        <w:tblPrEx>
          <w:tblLook w:val="04A0" w:firstRow="1" w:lastRow="0" w:firstColumn="1" w:lastColumn="0" w:noHBand="0" w:noVBand="1"/>
        </w:tblPrEx>
        <w:trPr>
          <w:trHeight w:val="499"/>
        </w:trPr>
        <w:tc>
          <w:tcPr>
            <w:tcW w:w="1741" w:type="dxa"/>
            <w:vMerge/>
            <w:tcBorders>
              <w:top w:val="nil"/>
              <w:left w:val="single" w:sz="8" w:space="0" w:color="auto"/>
              <w:bottom w:val="single" w:sz="4" w:space="0" w:color="000000"/>
              <w:right w:val="single" w:sz="4" w:space="0" w:color="auto"/>
            </w:tcBorders>
            <w:vAlign w:val="center"/>
            <w:hideMark/>
          </w:tcPr>
          <w:p w:rsidR="008676F9" w:rsidRPr="008676F9" w:rsidRDefault="008676F9" w:rsidP="008676F9">
            <w:pPr>
              <w:rPr>
                <w:rFonts w:ascii="Calibri" w:hAnsi="Calibri"/>
                <w:b/>
                <w:bCs/>
                <w:sz w:val="16"/>
                <w:szCs w:val="16"/>
              </w:rPr>
            </w:pPr>
          </w:p>
        </w:tc>
        <w:tc>
          <w:tcPr>
            <w:tcW w:w="5579" w:type="dxa"/>
            <w:gridSpan w:val="3"/>
            <w:tcBorders>
              <w:top w:val="single" w:sz="4" w:space="0" w:color="auto"/>
              <w:left w:val="nil"/>
              <w:bottom w:val="single" w:sz="4" w:space="0" w:color="auto"/>
              <w:right w:val="single" w:sz="4" w:space="0" w:color="auto"/>
            </w:tcBorders>
            <w:shd w:val="clear" w:color="auto" w:fill="auto"/>
            <w:vAlign w:val="center"/>
            <w:hideMark/>
          </w:tcPr>
          <w:p w:rsidR="008676F9" w:rsidRPr="008676F9" w:rsidRDefault="008676F9" w:rsidP="008676F9">
            <w:pPr>
              <w:rPr>
                <w:rFonts w:ascii="Calibri" w:hAnsi="Calibri"/>
                <w:sz w:val="16"/>
                <w:szCs w:val="16"/>
              </w:rPr>
            </w:pPr>
            <w:r w:rsidRPr="008676F9">
              <w:rPr>
                <w:rFonts w:ascii="Calibri" w:hAnsi="Calibri"/>
                <w:sz w:val="16"/>
                <w:szCs w:val="16"/>
              </w:rPr>
              <w:t>Celkové verejné výdavky (€) (2.1, 2.3)</w:t>
            </w:r>
          </w:p>
        </w:tc>
        <w:tc>
          <w:tcPr>
            <w:tcW w:w="1660" w:type="dxa"/>
            <w:tcBorders>
              <w:top w:val="nil"/>
              <w:left w:val="nil"/>
              <w:bottom w:val="single" w:sz="4" w:space="0" w:color="auto"/>
              <w:right w:val="single" w:sz="8" w:space="0" w:color="auto"/>
            </w:tcBorders>
            <w:shd w:val="clear" w:color="auto" w:fill="auto"/>
            <w:noWrap/>
            <w:vAlign w:val="center"/>
            <w:hideMark/>
          </w:tcPr>
          <w:p w:rsidR="008676F9" w:rsidRPr="008676F9" w:rsidRDefault="008676F9" w:rsidP="008676F9">
            <w:pPr>
              <w:jc w:val="right"/>
              <w:rPr>
                <w:rFonts w:ascii="Calibri" w:hAnsi="Calibri" w:cs="Arial"/>
                <w:sz w:val="20"/>
                <w:szCs w:val="20"/>
              </w:rPr>
            </w:pPr>
            <w:r w:rsidRPr="008676F9">
              <w:rPr>
                <w:rFonts w:ascii="Calibri" w:hAnsi="Calibri" w:cs="Arial"/>
                <w:sz w:val="20"/>
                <w:szCs w:val="20"/>
              </w:rPr>
              <w:t xml:space="preserve">           40 000,00 </w:t>
            </w:r>
          </w:p>
        </w:tc>
      </w:tr>
    </w:tbl>
    <w:p w:rsidR="008676F9" w:rsidRPr="008676F9" w:rsidRDefault="008676F9" w:rsidP="008676F9">
      <w:pPr>
        <w:spacing w:after="200" w:line="276" w:lineRule="auto"/>
        <w:rPr>
          <w:rFonts w:ascii="Calibri" w:eastAsia="Calibri" w:hAnsi="Calibri"/>
          <w:b/>
          <w:szCs w:val="22"/>
          <w:lang w:eastAsia="en-US"/>
        </w:rPr>
      </w:pPr>
    </w:p>
    <w:p w:rsidR="008676F9" w:rsidRPr="008676F9" w:rsidRDefault="008676F9" w:rsidP="008676F9">
      <w:pPr>
        <w:spacing w:after="200" w:line="276" w:lineRule="auto"/>
        <w:rPr>
          <w:rFonts w:ascii="Calibri" w:eastAsia="Calibri" w:hAnsi="Calibri"/>
          <w:b/>
          <w:szCs w:val="22"/>
          <w:lang w:eastAsia="en-US"/>
        </w:rPr>
      </w:pPr>
    </w:p>
    <w:p w:rsidR="008676F9" w:rsidRPr="008676F9" w:rsidRDefault="008676F9" w:rsidP="008676F9">
      <w:pPr>
        <w:spacing w:after="200" w:line="276" w:lineRule="auto"/>
        <w:rPr>
          <w:rFonts w:ascii="Calibri" w:eastAsia="Calibri" w:hAnsi="Calibri"/>
          <w:b/>
          <w:szCs w:val="22"/>
          <w:lang w:eastAsia="en-US"/>
        </w:rPr>
      </w:pPr>
    </w:p>
    <w:p w:rsidR="008676F9" w:rsidRPr="008676F9" w:rsidRDefault="008676F9" w:rsidP="008676F9">
      <w:pPr>
        <w:spacing w:after="200" w:line="276" w:lineRule="auto"/>
        <w:rPr>
          <w:rFonts w:ascii="Calibri" w:eastAsia="Calibri" w:hAnsi="Calibri"/>
          <w:b/>
          <w:szCs w:val="22"/>
          <w:lang w:eastAsia="en-US"/>
        </w:rPr>
      </w:pPr>
    </w:p>
    <w:p w:rsidR="008676F9" w:rsidRPr="008676F9" w:rsidRDefault="008676F9" w:rsidP="008676F9">
      <w:pPr>
        <w:rPr>
          <w:rFonts w:ascii="Calibri" w:eastAsia="Calibri" w:hAnsi="Calibri"/>
          <w:b/>
          <w:szCs w:val="22"/>
          <w:lang w:eastAsia="en-US"/>
        </w:rPr>
      </w:pPr>
      <w:r w:rsidRPr="008676F9">
        <w:rPr>
          <w:rFonts w:ascii="Calibri" w:eastAsia="Calibri" w:hAnsi="Calibri"/>
          <w:b/>
          <w:szCs w:val="22"/>
          <w:lang w:eastAsia="en-US"/>
        </w:rPr>
        <w:br w:type="page"/>
      </w:r>
    </w:p>
    <w:p w:rsidR="008676F9" w:rsidRPr="008676F9" w:rsidRDefault="008676F9" w:rsidP="006C75BE">
      <w:pPr>
        <w:keepNext/>
        <w:spacing w:after="200" w:line="276" w:lineRule="auto"/>
        <w:ind w:left="1134" w:hanging="1134"/>
        <w:outlineLvl w:val="3"/>
        <w:rPr>
          <w:rFonts w:ascii="Calibri" w:hAnsi="Calibri"/>
          <w:b/>
          <w:bCs/>
          <w:szCs w:val="22"/>
          <w:lang w:eastAsia="en-US"/>
        </w:rPr>
      </w:pPr>
      <w:bookmarkStart w:id="146" w:name="_Toc359930831"/>
      <w:r w:rsidRPr="008676F9">
        <w:rPr>
          <w:rFonts w:ascii="Calibri" w:hAnsi="Calibri"/>
          <w:b/>
          <w:bCs/>
          <w:szCs w:val="22"/>
          <w:lang w:eastAsia="en-US"/>
        </w:rPr>
        <w:t xml:space="preserve">PRIORITA 6: Podpora </w:t>
      </w:r>
      <w:bookmarkEnd w:id="146"/>
      <w:r w:rsidRPr="008676F9">
        <w:rPr>
          <w:rFonts w:ascii="Calibri" w:hAnsi="Calibri"/>
          <w:b/>
          <w:bCs/>
          <w:szCs w:val="22"/>
          <w:lang w:eastAsia="en-US"/>
        </w:rPr>
        <w:t xml:space="preserve">sociálneho začleňovania, zmierňovania chudoby a hospodárskeho rozvoja vo vidieckych oblastiach </w:t>
      </w:r>
    </w:p>
    <w:p w:rsidR="008676F9" w:rsidRPr="008676F9" w:rsidRDefault="008676F9" w:rsidP="008676F9">
      <w:pPr>
        <w:spacing w:after="200" w:line="276" w:lineRule="auto"/>
        <w:rPr>
          <w:rFonts w:ascii="Calibri" w:eastAsia="Calibri" w:hAnsi="Calibri"/>
          <w:szCs w:val="22"/>
          <w:lang w:eastAsia="en-US"/>
        </w:rPr>
      </w:pPr>
    </w:p>
    <w:tbl>
      <w:tblPr>
        <w:tblW w:w="7953" w:type="dxa"/>
        <w:tblInd w:w="55" w:type="dxa"/>
        <w:tblCellMar>
          <w:left w:w="70" w:type="dxa"/>
          <w:right w:w="70" w:type="dxa"/>
        </w:tblCellMar>
        <w:tblLook w:val="00A0" w:firstRow="1" w:lastRow="0" w:firstColumn="1" w:lastColumn="0" w:noHBand="0" w:noVBand="0"/>
      </w:tblPr>
      <w:tblGrid>
        <w:gridCol w:w="1660"/>
        <w:gridCol w:w="1660"/>
        <w:gridCol w:w="2700"/>
        <w:gridCol w:w="1933"/>
      </w:tblGrid>
      <w:tr w:rsidR="008676F9" w:rsidRPr="00E820E4" w:rsidTr="00BB33FC">
        <w:trPr>
          <w:trHeight w:val="499"/>
        </w:trPr>
        <w:tc>
          <w:tcPr>
            <w:tcW w:w="7953" w:type="dxa"/>
            <w:gridSpan w:val="4"/>
            <w:tcBorders>
              <w:top w:val="single" w:sz="8" w:space="0" w:color="000000"/>
              <w:left w:val="single" w:sz="8" w:space="0" w:color="000000"/>
              <w:bottom w:val="nil"/>
              <w:right w:val="single" w:sz="8" w:space="0" w:color="000000"/>
            </w:tcBorders>
            <w:shd w:val="clear" w:color="auto" w:fill="FFFF00"/>
            <w:vAlign w:val="center"/>
          </w:tcPr>
          <w:p w:rsidR="008676F9" w:rsidRPr="00E820E4" w:rsidRDefault="008676F9" w:rsidP="00E820E4">
            <w:pPr>
              <w:ind w:left="371" w:hanging="371"/>
              <w:jc w:val="left"/>
              <w:rPr>
                <w:rFonts w:ascii="Calibri" w:eastAsia="Calibri" w:hAnsi="Calibri"/>
                <w:b/>
                <w:bCs/>
                <w:color w:val="000000"/>
                <w:szCs w:val="22"/>
              </w:rPr>
            </w:pPr>
            <w:r w:rsidRPr="00E820E4">
              <w:rPr>
                <w:rFonts w:ascii="Calibri" w:eastAsia="Calibri" w:hAnsi="Calibri"/>
                <w:b/>
                <w:bCs/>
                <w:color w:val="000000"/>
                <w:szCs w:val="22"/>
              </w:rPr>
              <w:t xml:space="preserve">6A Uľahčenie diverzifikácie, zakladania a rozvoja malých podnikov ako aj vytvárania pracovných miest </w:t>
            </w:r>
          </w:p>
        </w:tc>
      </w:tr>
      <w:tr w:rsidR="008676F9" w:rsidRPr="008676F9" w:rsidTr="00BB33FC">
        <w:trPr>
          <w:trHeight w:val="499"/>
        </w:trPr>
        <w:tc>
          <w:tcPr>
            <w:tcW w:w="1660" w:type="dxa"/>
            <w:vMerge w:val="restart"/>
            <w:tcBorders>
              <w:top w:val="single" w:sz="8" w:space="0" w:color="auto"/>
              <w:left w:val="single" w:sz="8" w:space="0" w:color="000000"/>
              <w:bottom w:val="single" w:sz="8" w:space="0" w:color="000000"/>
              <w:right w:val="single" w:sz="4" w:space="0" w:color="auto"/>
            </w:tcBorders>
            <w:shd w:val="clear" w:color="000000" w:fill="FFFFFF"/>
            <w:noWrap/>
            <w:vAlign w:val="center"/>
          </w:tcPr>
          <w:p w:rsidR="008676F9" w:rsidRPr="008676F9" w:rsidRDefault="008676F9" w:rsidP="008676F9">
            <w:pPr>
              <w:jc w:val="center"/>
              <w:rPr>
                <w:rFonts w:ascii="Calibri" w:eastAsia="Calibri" w:hAnsi="Calibri"/>
                <w:b/>
                <w:bCs/>
                <w:sz w:val="18"/>
                <w:szCs w:val="18"/>
              </w:rPr>
            </w:pPr>
            <w:r w:rsidRPr="008676F9">
              <w:rPr>
                <w:rFonts w:ascii="Calibri" w:eastAsia="Calibri" w:hAnsi="Calibri"/>
                <w:b/>
                <w:bCs/>
                <w:sz w:val="18"/>
                <w:szCs w:val="18"/>
              </w:rPr>
              <w:t>Cieľová hodnota</w:t>
            </w:r>
          </w:p>
        </w:tc>
        <w:tc>
          <w:tcPr>
            <w:tcW w:w="6293" w:type="dxa"/>
            <w:gridSpan w:val="3"/>
            <w:tcBorders>
              <w:top w:val="single" w:sz="8" w:space="0" w:color="auto"/>
              <w:left w:val="nil"/>
              <w:bottom w:val="single" w:sz="4" w:space="0" w:color="auto"/>
              <w:right w:val="single" w:sz="8" w:space="0" w:color="000000"/>
            </w:tcBorders>
            <w:shd w:val="clear" w:color="000000" w:fill="FFFFFF"/>
            <w:vAlign w:val="center"/>
          </w:tcPr>
          <w:p w:rsidR="008676F9" w:rsidRPr="008676F9" w:rsidRDefault="008676F9" w:rsidP="008676F9">
            <w:pPr>
              <w:jc w:val="center"/>
              <w:rPr>
                <w:rFonts w:ascii="Calibri" w:eastAsia="Calibri" w:hAnsi="Calibri"/>
                <w:b/>
                <w:bCs/>
                <w:sz w:val="18"/>
                <w:szCs w:val="18"/>
              </w:rPr>
            </w:pPr>
            <w:r w:rsidRPr="008676F9">
              <w:rPr>
                <w:rFonts w:ascii="Calibri" w:eastAsia="Calibri" w:hAnsi="Calibri"/>
                <w:b/>
                <w:bCs/>
                <w:sz w:val="18"/>
                <w:szCs w:val="18"/>
              </w:rPr>
              <w:t>Počet vytvorených miest prostredníctvom podporených projektov</w:t>
            </w:r>
          </w:p>
        </w:tc>
      </w:tr>
      <w:tr w:rsidR="008676F9" w:rsidRPr="008676F9" w:rsidTr="00BB33FC">
        <w:trPr>
          <w:trHeight w:val="499"/>
        </w:trPr>
        <w:tc>
          <w:tcPr>
            <w:tcW w:w="1660" w:type="dxa"/>
            <w:vMerge/>
            <w:tcBorders>
              <w:top w:val="single" w:sz="8" w:space="0" w:color="auto"/>
              <w:left w:val="single" w:sz="8" w:space="0" w:color="000000"/>
              <w:bottom w:val="single" w:sz="8" w:space="0" w:color="000000"/>
              <w:right w:val="single" w:sz="4" w:space="0" w:color="auto"/>
            </w:tcBorders>
            <w:vAlign w:val="center"/>
          </w:tcPr>
          <w:p w:rsidR="008676F9" w:rsidRPr="008676F9" w:rsidRDefault="008676F9" w:rsidP="008676F9">
            <w:pPr>
              <w:rPr>
                <w:rFonts w:ascii="Calibri" w:eastAsia="Calibri" w:hAnsi="Calibri"/>
                <w:b/>
                <w:bCs/>
                <w:sz w:val="18"/>
                <w:szCs w:val="18"/>
              </w:rPr>
            </w:pPr>
          </w:p>
        </w:tc>
        <w:tc>
          <w:tcPr>
            <w:tcW w:w="6293" w:type="dxa"/>
            <w:gridSpan w:val="3"/>
            <w:tcBorders>
              <w:top w:val="single" w:sz="4" w:space="0" w:color="auto"/>
              <w:left w:val="nil"/>
              <w:bottom w:val="single" w:sz="4" w:space="0" w:color="auto"/>
              <w:right w:val="single" w:sz="8" w:space="0" w:color="000000"/>
            </w:tcBorders>
            <w:shd w:val="clear" w:color="000000" w:fill="FFFFFF"/>
            <w:vAlign w:val="center"/>
          </w:tcPr>
          <w:p w:rsidR="008676F9" w:rsidRPr="008676F9" w:rsidRDefault="008676F9" w:rsidP="008676F9">
            <w:pPr>
              <w:jc w:val="center"/>
              <w:rPr>
                <w:rFonts w:ascii="Calibri" w:eastAsia="Calibri" w:hAnsi="Calibri"/>
                <w:b/>
                <w:bCs/>
                <w:sz w:val="18"/>
                <w:szCs w:val="18"/>
              </w:rPr>
            </w:pPr>
            <w:r w:rsidRPr="008676F9">
              <w:rPr>
                <w:rFonts w:ascii="Calibri" w:eastAsia="Calibri" w:hAnsi="Calibri"/>
                <w:b/>
                <w:bCs/>
                <w:sz w:val="18"/>
                <w:szCs w:val="18"/>
              </w:rPr>
              <w:t>r.2020</w:t>
            </w:r>
          </w:p>
        </w:tc>
      </w:tr>
      <w:tr w:rsidR="008676F9" w:rsidRPr="008676F9" w:rsidTr="00BB33FC">
        <w:trPr>
          <w:trHeight w:val="499"/>
        </w:trPr>
        <w:tc>
          <w:tcPr>
            <w:tcW w:w="1660" w:type="dxa"/>
            <w:vMerge/>
            <w:tcBorders>
              <w:top w:val="single" w:sz="8" w:space="0" w:color="auto"/>
              <w:left w:val="single" w:sz="8" w:space="0" w:color="000000"/>
              <w:bottom w:val="single" w:sz="8" w:space="0" w:color="000000"/>
              <w:right w:val="single" w:sz="4" w:space="0" w:color="auto"/>
            </w:tcBorders>
            <w:vAlign w:val="center"/>
          </w:tcPr>
          <w:p w:rsidR="008676F9" w:rsidRPr="008676F9" w:rsidRDefault="008676F9" w:rsidP="008676F9">
            <w:pPr>
              <w:rPr>
                <w:rFonts w:ascii="Calibri" w:eastAsia="Calibri" w:hAnsi="Calibri"/>
                <w:b/>
                <w:bCs/>
                <w:sz w:val="18"/>
                <w:szCs w:val="18"/>
              </w:rPr>
            </w:pPr>
          </w:p>
        </w:tc>
        <w:tc>
          <w:tcPr>
            <w:tcW w:w="6293" w:type="dxa"/>
            <w:gridSpan w:val="3"/>
            <w:tcBorders>
              <w:top w:val="single" w:sz="4" w:space="0" w:color="auto"/>
              <w:left w:val="nil"/>
              <w:bottom w:val="single" w:sz="8" w:space="0" w:color="auto"/>
              <w:right w:val="single" w:sz="8" w:space="0" w:color="000000"/>
            </w:tcBorders>
            <w:shd w:val="clear" w:color="000000" w:fill="FFFFFF"/>
            <w:vAlign w:val="center"/>
          </w:tcPr>
          <w:p w:rsidR="008676F9" w:rsidRPr="008676F9" w:rsidRDefault="008676F9" w:rsidP="008676F9">
            <w:pPr>
              <w:jc w:val="center"/>
              <w:rPr>
                <w:rFonts w:ascii="Calibri" w:eastAsia="Calibri" w:hAnsi="Calibri"/>
                <w:i/>
                <w:iCs/>
                <w:sz w:val="18"/>
                <w:szCs w:val="18"/>
              </w:rPr>
            </w:pPr>
            <w:r w:rsidRPr="008676F9">
              <w:rPr>
                <w:rFonts w:ascii="Calibri" w:eastAsia="Calibri" w:hAnsi="Calibri"/>
                <w:i/>
                <w:iCs/>
                <w:sz w:val="18"/>
                <w:szCs w:val="18"/>
              </w:rPr>
              <w:t>520</w:t>
            </w:r>
          </w:p>
        </w:tc>
      </w:tr>
      <w:tr w:rsidR="008676F9" w:rsidRPr="008676F9" w:rsidTr="00BB33FC">
        <w:trPr>
          <w:trHeight w:val="261"/>
        </w:trPr>
        <w:tc>
          <w:tcPr>
            <w:tcW w:w="7953" w:type="dxa"/>
            <w:gridSpan w:val="4"/>
            <w:tcBorders>
              <w:top w:val="single" w:sz="8" w:space="0" w:color="auto"/>
              <w:left w:val="single" w:sz="8" w:space="0" w:color="000000"/>
              <w:bottom w:val="single" w:sz="4" w:space="0" w:color="auto"/>
              <w:right w:val="single" w:sz="8" w:space="0" w:color="000000"/>
            </w:tcBorders>
            <w:shd w:val="clear" w:color="000000" w:fill="FFFFFF"/>
            <w:noWrap/>
            <w:vAlign w:val="center"/>
          </w:tcPr>
          <w:p w:rsidR="008676F9" w:rsidRPr="008676F9" w:rsidRDefault="008676F9" w:rsidP="008676F9">
            <w:pPr>
              <w:rPr>
                <w:rFonts w:ascii="Calibri" w:eastAsia="Calibri" w:hAnsi="Calibri"/>
                <w:sz w:val="20"/>
                <w:szCs w:val="20"/>
              </w:rPr>
            </w:pPr>
            <w:r w:rsidRPr="008676F9">
              <w:rPr>
                <w:rFonts w:ascii="Calibri" w:eastAsia="Calibri" w:hAnsi="Calibri"/>
                <w:sz w:val="20"/>
                <w:szCs w:val="20"/>
              </w:rPr>
              <w:t> </w:t>
            </w:r>
          </w:p>
        </w:tc>
      </w:tr>
      <w:tr w:rsidR="008676F9" w:rsidRPr="008676F9" w:rsidTr="00BB33FC">
        <w:trPr>
          <w:trHeight w:val="499"/>
        </w:trPr>
        <w:tc>
          <w:tcPr>
            <w:tcW w:w="7953" w:type="dxa"/>
            <w:gridSpan w:val="4"/>
            <w:tcBorders>
              <w:top w:val="single" w:sz="4" w:space="0" w:color="auto"/>
              <w:left w:val="single" w:sz="4" w:space="0" w:color="auto"/>
              <w:bottom w:val="single" w:sz="4" w:space="0" w:color="auto"/>
              <w:right w:val="single" w:sz="4" w:space="0" w:color="auto"/>
            </w:tcBorders>
            <w:shd w:val="clear" w:color="000000" w:fill="FFFFFF"/>
            <w:noWrap/>
            <w:vAlign w:val="center"/>
          </w:tcPr>
          <w:p w:rsidR="008676F9" w:rsidRPr="008676F9" w:rsidRDefault="008676F9" w:rsidP="008676F9">
            <w:pPr>
              <w:jc w:val="center"/>
              <w:rPr>
                <w:rFonts w:ascii="Calibri" w:eastAsia="Calibri" w:hAnsi="Calibri"/>
                <w:b/>
                <w:bCs/>
                <w:sz w:val="20"/>
                <w:szCs w:val="20"/>
              </w:rPr>
            </w:pPr>
            <w:r w:rsidRPr="008676F9">
              <w:rPr>
                <w:rFonts w:ascii="Calibri" w:eastAsia="Calibri" w:hAnsi="Calibri"/>
                <w:b/>
                <w:bCs/>
                <w:sz w:val="20"/>
                <w:szCs w:val="20"/>
              </w:rPr>
              <w:t>plánovaný výstup 2014-2020</w:t>
            </w:r>
          </w:p>
        </w:tc>
      </w:tr>
      <w:tr w:rsidR="008676F9" w:rsidRPr="008676F9" w:rsidTr="00BB33FC">
        <w:trPr>
          <w:trHeight w:val="390"/>
        </w:trPr>
        <w:tc>
          <w:tcPr>
            <w:tcW w:w="1660" w:type="dxa"/>
            <w:tcBorders>
              <w:top w:val="single" w:sz="4" w:space="0" w:color="auto"/>
              <w:left w:val="single" w:sz="8" w:space="0" w:color="000000"/>
              <w:bottom w:val="single" w:sz="8" w:space="0" w:color="auto"/>
              <w:right w:val="nil"/>
            </w:tcBorders>
            <w:shd w:val="clear" w:color="000000" w:fill="FFFFFF"/>
            <w:noWrap/>
            <w:vAlign w:val="center"/>
          </w:tcPr>
          <w:p w:rsidR="008676F9" w:rsidRPr="008676F9" w:rsidRDefault="008676F9" w:rsidP="008676F9">
            <w:pPr>
              <w:jc w:val="center"/>
              <w:rPr>
                <w:rFonts w:ascii="Calibri" w:eastAsia="Calibri" w:hAnsi="Calibri"/>
                <w:b/>
                <w:bCs/>
                <w:sz w:val="20"/>
                <w:szCs w:val="20"/>
              </w:rPr>
            </w:pPr>
            <w:r w:rsidRPr="008676F9">
              <w:rPr>
                <w:rFonts w:ascii="Calibri" w:eastAsia="Calibri" w:hAnsi="Calibri"/>
                <w:b/>
                <w:bCs/>
                <w:sz w:val="20"/>
                <w:szCs w:val="20"/>
              </w:rPr>
              <w:t>Opatrenia</w:t>
            </w:r>
          </w:p>
        </w:tc>
        <w:tc>
          <w:tcPr>
            <w:tcW w:w="6293" w:type="dxa"/>
            <w:gridSpan w:val="3"/>
            <w:tcBorders>
              <w:top w:val="single" w:sz="4" w:space="0" w:color="auto"/>
              <w:left w:val="nil"/>
              <w:bottom w:val="single" w:sz="8" w:space="0" w:color="auto"/>
              <w:right w:val="single" w:sz="8" w:space="0" w:color="000000"/>
            </w:tcBorders>
            <w:shd w:val="clear" w:color="000000" w:fill="FFFFFF"/>
            <w:noWrap/>
            <w:vAlign w:val="center"/>
          </w:tcPr>
          <w:p w:rsidR="008676F9" w:rsidRPr="008676F9" w:rsidRDefault="008676F9" w:rsidP="008676F9">
            <w:pPr>
              <w:jc w:val="center"/>
              <w:rPr>
                <w:rFonts w:ascii="Calibri" w:eastAsia="Calibri" w:hAnsi="Calibri"/>
                <w:b/>
                <w:bCs/>
                <w:sz w:val="20"/>
                <w:szCs w:val="20"/>
              </w:rPr>
            </w:pPr>
            <w:r w:rsidRPr="008676F9">
              <w:rPr>
                <w:rFonts w:ascii="Calibri" w:eastAsia="Calibri" w:hAnsi="Calibri"/>
                <w:b/>
                <w:bCs/>
                <w:sz w:val="20"/>
                <w:szCs w:val="20"/>
              </w:rPr>
              <w:t> </w:t>
            </w:r>
          </w:p>
        </w:tc>
      </w:tr>
      <w:tr w:rsidR="008676F9" w:rsidRPr="008676F9" w:rsidTr="00BB33FC">
        <w:tblPrEx>
          <w:tblLook w:val="04A0" w:firstRow="1" w:lastRow="0" w:firstColumn="1" w:lastColumn="0" w:noHBand="0" w:noVBand="1"/>
        </w:tblPrEx>
        <w:trPr>
          <w:trHeight w:val="705"/>
        </w:trPr>
        <w:tc>
          <w:tcPr>
            <w:tcW w:w="1660" w:type="dxa"/>
            <w:vMerge w:val="restart"/>
            <w:tcBorders>
              <w:top w:val="single" w:sz="4" w:space="0" w:color="auto"/>
              <w:left w:val="single" w:sz="8" w:space="0" w:color="auto"/>
              <w:bottom w:val="single" w:sz="4" w:space="0" w:color="000000"/>
              <w:right w:val="single" w:sz="4" w:space="0" w:color="auto"/>
            </w:tcBorders>
            <w:shd w:val="clear" w:color="auto" w:fill="auto"/>
            <w:vAlign w:val="center"/>
            <w:hideMark/>
          </w:tcPr>
          <w:p w:rsidR="008676F9" w:rsidRPr="008676F9" w:rsidRDefault="008676F9" w:rsidP="008676F9">
            <w:pPr>
              <w:jc w:val="center"/>
              <w:rPr>
                <w:rFonts w:ascii="Calibri" w:hAnsi="Calibri"/>
                <w:b/>
                <w:bCs/>
                <w:sz w:val="16"/>
                <w:szCs w:val="16"/>
              </w:rPr>
            </w:pPr>
            <w:r w:rsidRPr="008676F9">
              <w:rPr>
                <w:rFonts w:ascii="Calibri" w:hAnsi="Calibri"/>
                <w:b/>
                <w:bCs/>
                <w:sz w:val="16"/>
                <w:szCs w:val="16"/>
              </w:rPr>
              <w:t>6 (19)</w:t>
            </w:r>
          </w:p>
        </w:tc>
        <w:tc>
          <w:tcPr>
            <w:tcW w:w="4360" w:type="dxa"/>
            <w:gridSpan w:val="2"/>
            <w:tcBorders>
              <w:top w:val="single" w:sz="4" w:space="0" w:color="auto"/>
              <w:left w:val="nil"/>
              <w:bottom w:val="single" w:sz="4" w:space="0" w:color="auto"/>
              <w:right w:val="single" w:sz="4" w:space="0" w:color="000000"/>
            </w:tcBorders>
            <w:shd w:val="clear" w:color="000000" w:fill="FFFFFF"/>
            <w:vAlign w:val="center"/>
            <w:hideMark/>
          </w:tcPr>
          <w:p w:rsidR="008676F9" w:rsidRPr="008676F9" w:rsidRDefault="008676F9" w:rsidP="008676F9">
            <w:pPr>
              <w:rPr>
                <w:rFonts w:ascii="Calibri" w:hAnsi="Calibri"/>
                <w:sz w:val="16"/>
                <w:szCs w:val="16"/>
              </w:rPr>
            </w:pPr>
            <w:r w:rsidRPr="008676F9">
              <w:rPr>
                <w:rFonts w:ascii="Calibri" w:hAnsi="Calibri"/>
                <w:sz w:val="16"/>
                <w:szCs w:val="16"/>
              </w:rPr>
              <w:t xml:space="preserve">Počet podnikov, ktoré prijali pomoc na investície do nepoľnohospodárskych aktivít (6.4) </w:t>
            </w:r>
          </w:p>
        </w:tc>
        <w:tc>
          <w:tcPr>
            <w:tcW w:w="1933" w:type="dxa"/>
            <w:tcBorders>
              <w:top w:val="single" w:sz="4" w:space="0" w:color="auto"/>
              <w:left w:val="nil"/>
              <w:bottom w:val="single" w:sz="4" w:space="0" w:color="auto"/>
              <w:right w:val="single" w:sz="8" w:space="0" w:color="auto"/>
            </w:tcBorders>
            <w:shd w:val="clear" w:color="auto" w:fill="auto"/>
            <w:noWrap/>
            <w:vAlign w:val="center"/>
            <w:hideMark/>
          </w:tcPr>
          <w:p w:rsidR="008676F9" w:rsidRPr="008676F9" w:rsidRDefault="008676F9" w:rsidP="008676F9">
            <w:pPr>
              <w:jc w:val="right"/>
              <w:rPr>
                <w:rFonts w:ascii="Calibri" w:hAnsi="Calibri" w:cs="Arial"/>
                <w:sz w:val="20"/>
                <w:szCs w:val="20"/>
              </w:rPr>
            </w:pPr>
            <w:r w:rsidRPr="008676F9">
              <w:rPr>
                <w:rFonts w:ascii="Calibri" w:hAnsi="Calibri" w:cs="Arial"/>
                <w:sz w:val="20"/>
                <w:szCs w:val="20"/>
              </w:rPr>
              <w:t xml:space="preserve">                180,00   </w:t>
            </w:r>
          </w:p>
        </w:tc>
      </w:tr>
      <w:tr w:rsidR="008676F9" w:rsidRPr="008676F9" w:rsidTr="00BB33FC">
        <w:tblPrEx>
          <w:tblLook w:val="04A0" w:firstRow="1" w:lastRow="0" w:firstColumn="1" w:lastColumn="0" w:noHBand="0" w:noVBand="1"/>
        </w:tblPrEx>
        <w:trPr>
          <w:trHeight w:val="390"/>
        </w:trPr>
        <w:tc>
          <w:tcPr>
            <w:tcW w:w="1660" w:type="dxa"/>
            <w:vMerge/>
            <w:tcBorders>
              <w:top w:val="single" w:sz="4" w:space="0" w:color="auto"/>
              <w:left w:val="single" w:sz="8" w:space="0" w:color="auto"/>
              <w:bottom w:val="single" w:sz="4" w:space="0" w:color="000000"/>
              <w:right w:val="single" w:sz="4" w:space="0" w:color="auto"/>
            </w:tcBorders>
            <w:vAlign w:val="center"/>
            <w:hideMark/>
          </w:tcPr>
          <w:p w:rsidR="008676F9" w:rsidRPr="008676F9" w:rsidRDefault="008676F9" w:rsidP="008676F9">
            <w:pPr>
              <w:rPr>
                <w:rFonts w:ascii="Calibri" w:hAnsi="Calibri"/>
                <w:b/>
                <w:bCs/>
                <w:sz w:val="16"/>
                <w:szCs w:val="16"/>
              </w:rPr>
            </w:pPr>
          </w:p>
        </w:tc>
        <w:tc>
          <w:tcPr>
            <w:tcW w:w="4360" w:type="dxa"/>
            <w:gridSpan w:val="2"/>
            <w:tcBorders>
              <w:top w:val="single" w:sz="4" w:space="0" w:color="auto"/>
              <w:left w:val="nil"/>
              <w:bottom w:val="single" w:sz="4" w:space="0" w:color="auto"/>
              <w:right w:val="single" w:sz="4" w:space="0" w:color="000000"/>
            </w:tcBorders>
            <w:shd w:val="clear" w:color="000000" w:fill="FFFFFF"/>
            <w:vAlign w:val="center"/>
            <w:hideMark/>
          </w:tcPr>
          <w:p w:rsidR="008676F9" w:rsidRPr="008676F9" w:rsidRDefault="008676F9" w:rsidP="008676F9">
            <w:pPr>
              <w:rPr>
                <w:rFonts w:ascii="Calibri" w:hAnsi="Calibri"/>
                <w:sz w:val="16"/>
                <w:szCs w:val="16"/>
              </w:rPr>
            </w:pPr>
            <w:r w:rsidRPr="008676F9">
              <w:rPr>
                <w:rFonts w:ascii="Calibri" w:hAnsi="Calibri"/>
                <w:sz w:val="16"/>
                <w:szCs w:val="16"/>
              </w:rPr>
              <w:t>Celkové investície € (verejné + súkromné)</w:t>
            </w:r>
          </w:p>
        </w:tc>
        <w:tc>
          <w:tcPr>
            <w:tcW w:w="1933" w:type="dxa"/>
            <w:tcBorders>
              <w:top w:val="nil"/>
              <w:left w:val="nil"/>
              <w:bottom w:val="single" w:sz="4" w:space="0" w:color="auto"/>
              <w:right w:val="single" w:sz="8" w:space="0" w:color="auto"/>
            </w:tcBorders>
            <w:shd w:val="clear" w:color="auto" w:fill="auto"/>
            <w:noWrap/>
            <w:vAlign w:val="center"/>
            <w:hideMark/>
          </w:tcPr>
          <w:p w:rsidR="008676F9" w:rsidRPr="008676F9" w:rsidRDefault="008676F9" w:rsidP="008676F9">
            <w:pPr>
              <w:jc w:val="right"/>
              <w:rPr>
                <w:rFonts w:ascii="Calibri" w:hAnsi="Calibri" w:cs="Arial"/>
                <w:sz w:val="20"/>
                <w:szCs w:val="20"/>
              </w:rPr>
            </w:pPr>
            <w:r w:rsidRPr="008676F9">
              <w:rPr>
                <w:rFonts w:ascii="Calibri" w:hAnsi="Calibri" w:cs="Arial"/>
                <w:sz w:val="20"/>
                <w:szCs w:val="20"/>
              </w:rPr>
              <w:t xml:space="preserve">   150 000 000,00   </w:t>
            </w:r>
          </w:p>
        </w:tc>
      </w:tr>
      <w:tr w:rsidR="008676F9" w:rsidRPr="008676F9" w:rsidTr="00BB33FC">
        <w:tblPrEx>
          <w:tblLook w:val="04A0" w:firstRow="1" w:lastRow="0" w:firstColumn="1" w:lastColumn="0" w:noHBand="0" w:noVBand="1"/>
        </w:tblPrEx>
        <w:trPr>
          <w:trHeight w:val="499"/>
        </w:trPr>
        <w:tc>
          <w:tcPr>
            <w:tcW w:w="1660" w:type="dxa"/>
            <w:vMerge/>
            <w:tcBorders>
              <w:top w:val="single" w:sz="4" w:space="0" w:color="auto"/>
              <w:left w:val="single" w:sz="8" w:space="0" w:color="auto"/>
              <w:bottom w:val="single" w:sz="4" w:space="0" w:color="000000"/>
              <w:right w:val="single" w:sz="4" w:space="0" w:color="auto"/>
            </w:tcBorders>
            <w:vAlign w:val="center"/>
            <w:hideMark/>
          </w:tcPr>
          <w:p w:rsidR="008676F9" w:rsidRPr="008676F9" w:rsidRDefault="008676F9" w:rsidP="008676F9">
            <w:pPr>
              <w:rPr>
                <w:rFonts w:ascii="Calibri" w:hAnsi="Calibri"/>
                <w:b/>
                <w:bCs/>
                <w:sz w:val="16"/>
                <w:szCs w:val="16"/>
              </w:rPr>
            </w:pPr>
          </w:p>
        </w:tc>
        <w:tc>
          <w:tcPr>
            <w:tcW w:w="4360" w:type="dxa"/>
            <w:gridSpan w:val="2"/>
            <w:tcBorders>
              <w:top w:val="single" w:sz="4" w:space="0" w:color="auto"/>
              <w:left w:val="nil"/>
              <w:bottom w:val="single" w:sz="4" w:space="0" w:color="auto"/>
              <w:right w:val="single" w:sz="4" w:space="0" w:color="auto"/>
            </w:tcBorders>
            <w:shd w:val="clear" w:color="000000" w:fill="FFFFFF"/>
            <w:vAlign w:val="center"/>
            <w:hideMark/>
          </w:tcPr>
          <w:p w:rsidR="008676F9" w:rsidRPr="008676F9" w:rsidRDefault="008676F9" w:rsidP="008676F9">
            <w:pPr>
              <w:rPr>
                <w:rFonts w:ascii="Calibri" w:hAnsi="Calibri"/>
                <w:sz w:val="16"/>
                <w:szCs w:val="16"/>
              </w:rPr>
            </w:pPr>
            <w:r w:rsidRPr="008676F9">
              <w:rPr>
                <w:rFonts w:ascii="Calibri" w:hAnsi="Calibri"/>
                <w:sz w:val="16"/>
                <w:szCs w:val="16"/>
              </w:rPr>
              <w:t>Celkové verejné výdavky  (€)</w:t>
            </w:r>
          </w:p>
        </w:tc>
        <w:tc>
          <w:tcPr>
            <w:tcW w:w="1933" w:type="dxa"/>
            <w:tcBorders>
              <w:top w:val="nil"/>
              <w:left w:val="nil"/>
              <w:bottom w:val="single" w:sz="4" w:space="0" w:color="auto"/>
              <w:right w:val="single" w:sz="8" w:space="0" w:color="auto"/>
            </w:tcBorders>
            <w:shd w:val="clear" w:color="auto" w:fill="auto"/>
            <w:noWrap/>
            <w:vAlign w:val="center"/>
            <w:hideMark/>
          </w:tcPr>
          <w:p w:rsidR="008676F9" w:rsidRPr="008676F9" w:rsidRDefault="008676F9" w:rsidP="008676F9">
            <w:pPr>
              <w:jc w:val="right"/>
              <w:rPr>
                <w:rFonts w:ascii="Calibri" w:hAnsi="Calibri" w:cs="Arial"/>
                <w:sz w:val="20"/>
                <w:szCs w:val="20"/>
              </w:rPr>
            </w:pPr>
            <w:r w:rsidRPr="008676F9">
              <w:rPr>
                <w:rFonts w:ascii="Calibri" w:hAnsi="Calibri" w:cs="Arial"/>
                <w:sz w:val="20"/>
                <w:szCs w:val="20"/>
              </w:rPr>
              <w:t xml:space="preserve">       75 000 000,00 </w:t>
            </w:r>
          </w:p>
        </w:tc>
      </w:tr>
      <w:tr w:rsidR="008676F9" w:rsidRPr="008676F9" w:rsidTr="00BB33FC">
        <w:tblPrEx>
          <w:tblLook w:val="04A0" w:firstRow="1" w:lastRow="0" w:firstColumn="1" w:lastColumn="0" w:noHBand="0" w:noVBand="1"/>
        </w:tblPrEx>
        <w:trPr>
          <w:trHeight w:val="499"/>
        </w:trPr>
        <w:tc>
          <w:tcPr>
            <w:tcW w:w="1660" w:type="dxa"/>
            <w:vMerge w:val="restart"/>
            <w:tcBorders>
              <w:top w:val="nil"/>
              <w:left w:val="single" w:sz="8" w:space="0" w:color="auto"/>
              <w:bottom w:val="single" w:sz="4" w:space="0" w:color="000000"/>
              <w:right w:val="single" w:sz="4" w:space="0" w:color="auto"/>
            </w:tcBorders>
            <w:shd w:val="clear" w:color="auto" w:fill="auto"/>
            <w:vAlign w:val="center"/>
            <w:hideMark/>
          </w:tcPr>
          <w:p w:rsidR="008676F9" w:rsidRPr="008676F9" w:rsidRDefault="008676F9" w:rsidP="008676F9">
            <w:pPr>
              <w:jc w:val="center"/>
              <w:rPr>
                <w:rFonts w:ascii="Calibri" w:hAnsi="Calibri"/>
                <w:b/>
                <w:bCs/>
                <w:sz w:val="16"/>
                <w:szCs w:val="16"/>
              </w:rPr>
            </w:pPr>
            <w:r w:rsidRPr="008676F9">
              <w:rPr>
                <w:rFonts w:ascii="Calibri" w:hAnsi="Calibri"/>
                <w:b/>
                <w:bCs/>
                <w:sz w:val="16"/>
                <w:szCs w:val="16"/>
              </w:rPr>
              <w:t>1 (14)</w:t>
            </w:r>
          </w:p>
        </w:tc>
        <w:tc>
          <w:tcPr>
            <w:tcW w:w="1660" w:type="dxa"/>
            <w:vMerge w:val="restart"/>
            <w:tcBorders>
              <w:top w:val="nil"/>
              <w:left w:val="single" w:sz="4" w:space="0" w:color="auto"/>
              <w:bottom w:val="single" w:sz="4" w:space="0" w:color="auto"/>
              <w:right w:val="single" w:sz="4" w:space="0" w:color="auto"/>
            </w:tcBorders>
            <w:shd w:val="clear" w:color="auto" w:fill="auto"/>
            <w:vAlign w:val="center"/>
            <w:hideMark/>
          </w:tcPr>
          <w:p w:rsidR="008676F9" w:rsidRPr="008676F9" w:rsidRDefault="008676F9" w:rsidP="008676F9">
            <w:pPr>
              <w:rPr>
                <w:rFonts w:ascii="Calibri" w:hAnsi="Calibri"/>
                <w:sz w:val="16"/>
                <w:szCs w:val="16"/>
              </w:rPr>
            </w:pPr>
            <w:r w:rsidRPr="008676F9">
              <w:rPr>
                <w:rFonts w:ascii="Calibri" w:hAnsi="Calibri"/>
                <w:sz w:val="16"/>
                <w:szCs w:val="16"/>
              </w:rPr>
              <w:t xml:space="preserve">Školenia/získavanie </w:t>
            </w:r>
            <w:r w:rsidRPr="008676F9">
              <w:rPr>
                <w:rFonts w:ascii="Calibri" w:hAnsi="Calibri"/>
                <w:sz w:val="16"/>
                <w:szCs w:val="16"/>
              </w:rPr>
              <w:br/>
              <w:t>praktických zručností  (1.1)</w:t>
            </w:r>
          </w:p>
        </w:tc>
        <w:tc>
          <w:tcPr>
            <w:tcW w:w="2700" w:type="dxa"/>
            <w:tcBorders>
              <w:top w:val="nil"/>
              <w:left w:val="nil"/>
              <w:bottom w:val="single" w:sz="4" w:space="0" w:color="auto"/>
              <w:right w:val="single" w:sz="4" w:space="0" w:color="auto"/>
            </w:tcBorders>
            <w:shd w:val="clear" w:color="auto" w:fill="auto"/>
            <w:vAlign w:val="center"/>
            <w:hideMark/>
          </w:tcPr>
          <w:p w:rsidR="008676F9" w:rsidRPr="008676F9" w:rsidRDefault="008676F9" w:rsidP="008676F9">
            <w:pPr>
              <w:rPr>
                <w:rFonts w:ascii="Calibri" w:hAnsi="Calibri"/>
                <w:sz w:val="16"/>
                <w:szCs w:val="16"/>
              </w:rPr>
            </w:pPr>
            <w:r w:rsidRPr="008676F9">
              <w:rPr>
                <w:rFonts w:ascii="Calibri" w:hAnsi="Calibri"/>
                <w:sz w:val="16"/>
                <w:szCs w:val="16"/>
              </w:rPr>
              <w:t>Počet účastníkov vzdelávania</w:t>
            </w:r>
          </w:p>
        </w:tc>
        <w:tc>
          <w:tcPr>
            <w:tcW w:w="1933" w:type="dxa"/>
            <w:tcBorders>
              <w:top w:val="nil"/>
              <w:left w:val="nil"/>
              <w:bottom w:val="single" w:sz="4" w:space="0" w:color="auto"/>
              <w:right w:val="single" w:sz="8" w:space="0" w:color="auto"/>
            </w:tcBorders>
            <w:shd w:val="clear" w:color="auto" w:fill="auto"/>
            <w:noWrap/>
            <w:vAlign w:val="center"/>
            <w:hideMark/>
          </w:tcPr>
          <w:p w:rsidR="008676F9" w:rsidRPr="008676F9" w:rsidRDefault="00006FEA" w:rsidP="008676F9">
            <w:pPr>
              <w:jc w:val="right"/>
              <w:rPr>
                <w:rFonts w:ascii="Calibri" w:hAnsi="Calibri" w:cs="Arial"/>
                <w:sz w:val="20"/>
                <w:szCs w:val="20"/>
              </w:rPr>
            </w:pPr>
            <w:r>
              <w:rPr>
                <w:rFonts w:ascii="Calibri" w:hAnsi="Calibri" w:cs="Arial"/>
                <w:sz w:val="20"/>
                <w:szCs w:val="20"/>
              </w:rPr>
              <w:t>4</w:t>
            </w:r>
            <w:r w:rsidR="008676F9" w:rsidRPr="008676F9">
              <w:rPr>
                <w:rFonts w:ascii="Calibri" w:hAnsi="Calibri" w:cs="Arial"/>
                <w:sz w:val="20"/>
                <w:szCs w:val="20"/>
              </w:rPr>
              <w:t>00</w:t>
            </w:r>
          </w:p>
        </w:tc>
      </w:tr>
      <w:tr w:rsidR="008676F9" w:rsidRPr="008676F9" w:rsidTr="00BB33FC">
        <w:tblPrEx>
          <w:tblLook w:val="04A0" w:firstRow="1" w:lastRow="0" w:firstColumn="1" w:lastColumn="0" w:noHBand="0" w:noVBand="1"/>
        </w:tblPrEx>
        <w:trPr>
          <w:trHeight w:val="499"/>
        </w:trPr>
        <w:tc>
          <w:tcPr>
            <w:tcW w:w="1660" w:type="dxa"/>
            <w:vMerge/>
            <w:tcBorders>
              <w:top w:val="nil"/>
              <w:left w:val="single" w:sz="8" w:space="0" w:color="auto"/>
              <w:bottom w:val="single" w:sz="4" w:space="0" w:color="000000"/>
              <w:right w:val="single" w:sz="4" w:space="0" w:color="auto"/>
            </w:tcBorders>
            <w:vAlign w:val="center"/>
            <w:hideMark/>
          </w:tcPr>
          <w:p w:rsidR="008676F9" w:rsidRPr="008676F9" w:rsidRDefault="008676F9" w:rsidP="008676F9">
            <w:pPr>
              <w:rPr>
                <w:rFonts w:ascii="Calibri" w:hAnsi="Calibri"/>
                <w:b/>
                <w:bCs/>
                <w:sz w:val="16"/>
                <w:szCs w:val="16"/>
              </w:rPr>
            </w:pPr>
          </w:p>
        </w:tc>
        <w:tc>
          <w:tcPr>
            <w:tcW w:w="1660" w:type="dxa"/>
            <w:vMerge/>
            <w:tcBorders>
              <w:top w:val="nil"/>
              <w:left w:val="single" w:sz="4" w:space="0" w:color="auto"/>
              <w:bottom w:val="single" w:sz="4" w:space="0" w:color="auto"/>
              <w:right w:val="single" w:sz="4" w:space="0" w:color="auto"/>
            </w:tcBorders>
            <w:vAlign w:val="center"/>
            <w:hideMark/>
          </w:tcPr>
          <w:p w:rsidR="008676F9" w:rsidRPr="008676F9" w:rsidRDefault="008676F9" w:rsidP="008676F9">
            <w:pPr>
              <w:rPr>
                <w:rFonts w:ascii="Calibri" w:hAnsi="Calibri"/>
                <w:sz w:val="16"/>
                <w:szCs w:val="16"/>
              </w:rPr>
            </w:pPr>
          </w:p>
        </w:tc>
        <w:tc>
          <w:tcPr>
            <w:tcW w:w="2700" w:type="dxa"/>
            <w:tcBorders>
              <w:top w:val="nil"/>
              <w:left w:val="nil"/>
              <w:bottom w:val="single" w:sz="4" w:space="0" w:color="auto"/>
              <w:right w:val="single" w:sz="4" w:space="0" w:color="auto"/>
            </w:tcBorders>
            <w:shd w:val="clear" w:color="auto" w:fill="auto"/>
            <w:vAlign w:val="center"/>
            <w:hideMark/>
          </w:tcPr>
          <w:p w:rsidR="008676F9" w:rsidRPr="008676F9" w:rsidRDefault="008676F9" w:rsidP="008676F9">
            <w:pPr>
              <w:rPr>
                <w:rFonts w:ascii="Calibri" w:hAnsi="Calibri"/>
                <w:sz w:val="16"/>
                <w:szCs w:val="16"/>
              </w:rPr>
            </w:pPr>
            <w:r w:rsidRPr="008676F9">
              <w:rPr>
                <w:rFonts w:ascii="Calibri" w:hAnsi="Calibri"/>
                <w:sz w:val="16"/>
                <w:szCs w:val="16"/>
              </w:rPr>
              <w:t>Celkové verejné výdavky (1.1)</w:t>
            </w:r>
          </w:p>
        </w:tc>
        <w:tc>
          <w:tcPr>
            <w:tcW w:w="1933" w:type="dxa"/>
            <w:tcBorders>
              <w:top w:val="nil"/>
              <w:left w:val="nil"/>
              <w:bottom w:val="single" w:sz="4" w:space="0" w:color="auto"/>
              <w:right w:val="single" w:sz="8" w:space="0" w:color="auto"/>
            </w:tcBorders>
            <w:shd w:val="clear" w:color="auto" w:fill="auto"/>
            <w:noWrap/>
            <w:vAlign w:val="center"/>
            <w:hideMark/>
          </w:tcPr>
          <w:p w:rsidR="008676F9" w:rsidRPr="008676F9" w:rsidRDefault="008676F9" w:rsidP="00006FEA">
            <w:pPr>
              <w:jc w:val="right"/>
              <w:rPr>
                <w:rFonts w:ascii="Calibri" w:hAnsi="Calibri" w:cs="Arial"/>
                <w:sz w:val="20"/>
                <w:szCs w:val="20"/>
              </w:rPr>
            </w:pPr>
            <w:r w:rsidRPr="008676F9">
              <w:rPr>
                <w:rFonts w:ascii="Calibri" w:hAnsi="Calibri" w:cs="Arial"/>
                <w:sz w:val="20"/>
                <w:szCs w:val="20"/>
              </w:rPr>
              <w:t xml:space="preserve">            </w:t>
            </w:r>
            <w:r w:rsidR="00006FEA">
              <w:rPr>
                <w:rFonts w:ascii="Calibri" w:hAnsi="Calibri" w:cs="Arial"/>
                <w:sz w:val="20"/>
                <w:szCs w:val="20"/>
              </w:rPr>
              <w:t>2 7</w:t>
            </w:r>
            <w:r w:rsidRPr="008676F9">
              <w:rPr>
                <w:rFonts w:ascii="Calibri" w:hAnsi="Calibri" w:cs="Arial"/>
                <w:sz w:val="20"/>
                <w:szCs w:val="20"/>
              </w:rPr>
              <w:t xml:space="preserve">00 000,00 </w:t>
            </w:r>
          </w:p>
        </w:tc>
      </w:tr>
      <w:tr w:rsidR="008676F9" w:rsidRPr="008676F9" w:rsidTr="00BB33FC">
        <w:tblPrEx>
          <w:tblLook w:val="04A0" w:firstRow="1" w:lastRow="0" w:firstColumn="1" w:lastColumn="0" w:noHBand="0" w:noVBand="1"/>
        </w:tblPrEx>
        <w:trPr>
          <w:trHeight w:val="499"/>
        </w:trPr>
        <w:tc>
          <w:tcPr>
            <w:tcW w:w="1660" w:type="dxa"/>
            <w:vMerge/>
            <w:tcBorders>
              <w:top w:val="nil"/>
              <w:left w:val="single" w:sz="8" w:space="0" w:color="auto"/>
              <w:bottom w:val="single" w:sz="4" w:space="0" w:color="000000"/>
              <w:right w:val="single" w:sz="4" w:space="0" w:color="auto"/>
            </w:tcBorders>
            <w:vAlign w:val="center"/>
            <w:hideMark/>
          </w:tcPr>
          <w:p w:rsidR="008676F9" w:rsidRPr="008676F9" w:rsidRDefault="008676F9" w:rsidP="008676F9">
            <w:pPr>
              <w:rPr>
                <w:rFonts w:ascii="Calibri" w:hAnsi="Calibri"/>
                <w:b/>
                <w:bCs/>
                <w:sz w:val="16"/>
                <w:szCs w:val="16"/>
              </w:rPr>
            </w:pPr>
          </w:p>
        </w:tc>
        <w:tc>
          <w:tcPr>
            <w:tcW w:w="4360" w:type="dxa"/>
            <w:gridSpan w:val="2"/>
            <w:tcBorders>
              <w:top w:val="single" w:sz="4" w:space="0" w:color="auto"/>
              <w:left w:val="nil"/>
              <w:bottom w:val="single" w:sz="4" w:space="0" w:color="auto"/>
              <w:right w:val="single" w:sz="4" w:space="0" w:color="auto"/>
            </w:tcBorders>
            <w:shd w:val="clear" w:color="auto" w:fill="auto"/>
            <w:vAlign w:val="center"/>
            <w:hideMark/>
          </w:tcPr>
          <w:p w:rsidR="008676F9" w:rsidRPr="008676F9" w:rsidRDefault="008676F9" w:rsidP="008676F9">
            <w:pPr>
              <w:rPr>
                <w:rFonts w:ascii="Calibri" w:hAnsi="Calibri"/>
                <w:sz w:val="16"/>
                <w:szCs w:val="16"/>
              </w:rPr>
            </w:pPr>
            <w:r w:rsidRPr="008676F9">
              <w:rPr>
                <w:rFonts w:ascii="Calibri" w:hAnsi="Calibri"/>
                <w:sz w:val="16"/>
                <w:szCs w:val="16"/>
              </w:rPr>
              <w:t>Celkové verejné výdavky  € (školenia, informačné aktivity, demonštračné  predvádzacie činnosti ) (1.1, 1.3)</w:t>
            </w:r>
          </w:p>
        </w:tc>
        <w:tc>
          <w:tcPr>
            <w:tcW w:w="1933" w:type="dxa"/>
            <w:tcBorders>
              <w:top w:val="nil"/>
              <w:left w:val="nil"/>
              <w:bottom w:val="single" w:sz="4" w:space="0" w:color="auto"/>
              <w:right w:val="single" w:sz="8" w:space="0" w:color="auto"/>
            </w:tcBorders>
            <w:shd w:val="clear" w:color="auto" w:fill="auto"/>
            <w:noWrap/>
            <w:vAlign w:val="center"/>
            <w:hideMark/>
          </w:tcPr>
          <w:p w:rsidR="008676F9" w:rsidRPr="008676F9" w:rsidRDefault="008676F9" w:rsidP="008676F9">
            <w:pPr>
              <w:jc w:val="right"/>
              <w:rPr>
                <w:rFonts w:ascii="Calibri" w:hAnsi="Calibri" w:cs="Arial"/>
                <w:sz w:val="20"/>
                <w:szCs w:val="20"/>
              </w:rPr>
            </w:pPr>
            <w:r w:rsidRPr="008676F9">
              <w:rPr>
                <w:rFonts w:ascii="Calibri" w:hAnsi="Calibri" w:cs="Arial"/>
                <w:sz w:val="20"/>
                <w:szCs w:val="20"/>
              </w:rPr>
              <w:t xml:space="preserve">          </w:t>
            </w:r>
            <w:r w:rsidR="00006FEA">
              <w:rPr>
                <w:rFonts w:ascii="Calibri" w:hAnsi="Calibri" w:cs="Arial"/>
                <w:sz w:val="20"/>
                <w:szCs w:val="20"/>
              </w:rPr>
              <w:t>3</w:t>
            </w:r>
            <w:r w:rsidRPr="008676F9">
              <w:rPr>
                <w:rFonts w:ascii="Calibri" w:hAnsi="Calibri" w:cs="Arial"/>
                <w:sz w:val="20"/>
                <w:szCs w:val="20"/>
              </w:rPr>
              <w:t xml:space="preserve">  300 000,00 </w:t>
            </w:r>
          </w:p>
        </w:tc>
      </w:tr>
      <w:tr w:rsidR="008676F9" w:rsidRPr="008676F9" w:rsidTr="00BB33FC">
        <w:tblPrEx>
          <w:tblLook w:val="04A0" w:firstRow="1" w:lastRow="0" w:firstColumn="1" w:lastColumn="0" w:noHBand="0" w:noVBand="1"/>
        </w:tblPrEx>
        <w:trPr>
          <w:trHeight w:val="499"/>
        </w:trPr>
        <w:tc>
          <w:tcPr>
            <w:tcW w:w="1660" w:type="dxa"/>
            <w:tcBorders>
              <w:top w:val="single" w:sz="4" w:space="0" w:color="auto"/>
              <w:left w:val="single" w:sz="8" w:space="0" w:color="auto"/>
              <w:bottom w:val="single" w:sz="4" w:space="0" w:color="auto"/>
              <w:right w:val="single" w:sz="4" w:space="0" w:color="auto"/>
            </w:tcBorders>
            <w:shd w:val="clear" w:color="auto" w:fill="auto"/>
            <w:vAlign w:val="center"/>
            <w:hideMark/>
          </w:tcPr>
          <w:p w:rsidR="008676F9" w:rsidRPr="008676F9" w:rsidRDefault="008676F9" w:rsidP="008676F9">
            <w:pPr>
              <w:jc w:val="center"/>
              <w:rPr>
                <w:rFonts w:ascii="Calibri" w:hAnsi="Calibri"/>
                <w:b/>
                <w:bCs/>
                <w:sz w:val="16"/>
                <w:szCs w:val="16"/>
              </w:rPr>
            </w:pPr>
            <w:r w:rsidRPr="008676F9">
              <w:rPr>
                <w:rFonts w:ascii="Calibri" w:hAnsi="Calibri"/>
                <w:b/>
                <w:bCs/>
                <w:sz w:val="16"/>
                <w:szCs w:val="16"/>
              </w:rPr>
              <w:t>16 (35)</w:t>
            </w:r>
          </w:p>
        </w:tc>
        <w:tc>
          <w:tcPr>
            <w:tcW w:w="4360" w:type="dxa"/>
            <w:gridSpan w:val="2"/>
            <w:tcBorders>
              <w:top w:val="single" w:sz="4" w:space="0" w:color="auto"/>
              <w:left w:val="nil"/>
              <w:bottom w:val="single" w:sz="4" w:space="0" w:color="auto"/>
              <w:right w:val="single" w:sz="4" w:space="0" w:color="auto"/>
            </w:tcBorders>
            <w:shd w:val="clear" w:color="auto" w:fill="auto"/>
            <w:vAlign w:val="center"/>
            <w:hideMark/>
          </w:tcPr>
          <w:p w:rsidR="008676F9" w:rsidRPr="008676F9" w:rsidRDefault="008676F9" w:rsidP="008676F9">
            <w:pPr>
              <w:rPr>
                <w:rFonts w:ascii="Calibri" w:hAnsi="Calibri"/>
                <w:sz w:val="16"/>
                <w:szCs w:val="16"/>
              </w:rPr>
            </w:pPr>
            <w:r w:rsidRPr="008676F9">
              <w:rPr>
                <w:rFonts w:ascii="Calibri" w:hAnsi="Calibri"/>
                <w:sz w:val="16"/>
                <w:szCs w:val="16"/>
              </w:rPr>
              <w:t>Celkové verejné výdavky  (€)</w:t>
            </w:r>
          </w:p>
        </w:tc>
        <w:tc>
          <w:tcPr>
            <w:tcW w:w="1933" w:type="dxa"/>
            <w:tcBorders>
              <w:top w:val="nil"/>
              <w:left w:val="nil"/>
              <w:bottom w:val="single" w:sz="4" w:space="0" w:color="auto"/>
              <w:right w:val="single" w:sz="8" w:space="0" w:color="auto"/>
            </w:tcBorders>
            <w:shd w:val="clear" w:color="auto" w:fill="auto"/>
            <w:noWrap/>
            <w:vAlign w:val="center"/>
            <w:hideMark/>
          </w:tcPr>
          <w:p w:rsidR="008676F9" w:rsidRPr="008676F9" w:rsidRDefault="008676F9" w:rsidP="008676F9">
            <w:pPr>
              <w:jc w:val="right"/>
              <w:rPr>
                <w:rFonts w:ascii="Calibri" w:hAnsi="Calibri" w:cs="Arial"/>
                <w:sz w:val="20"/>
                <w:szCs w:val="20"/>
              </w:rPr>
            </w:pPr>
            <w:r w:rsidRPr="008676F9">
              <w:rPr>
                <w:rFonts w:ascii="Calibri" w:hAnsi="Calibri" w:cs="Arial"/>
                <w:sz w:val="20"/>
                <w:szCs w:val="20"/>
              </w:rPr>
              <w:t xml:space="preserve">         1 000 000,00 </w:t>
            </w:r>
          </w:p>
        </w:tc>
      </w:tr>
    </w:tbl>
    <w:p w:rsidR="008676F9" w:rsidRPr="008676F9" w:rsidRDefault="008676F9" w:rsidP="008676F9">
      <w:pPr>
        <w:spacing w:after="200" w:line="276" w:lineRule="auto"/>
        <w:rPr>
          <w:rFonts w:ascii="Calibri" w:eastAsia="Calibri" w:hAnsi="Calibri"/>
          <w:b/>
          <w:szCs w:val="22"/>
          <w:lang w:eastAsia="en-US"/>
        </w:rPr>
      </w:pPr>
    </w:p>
    <w:p w:rsidR="008676F9" w:rsidRPr="008676F9" w:rsidRDefault="008676F9" w:rsidP="008676F9">
      <w:pPr>
        <w:spacing w:after="200" w:line="276" w:lineRule="auto"/>
        <w:rPr>
          <w:rFonts w:ascii="Calibri" w:eastAsia="Calibri" w:hAnsi="Calibri"/>
          <w:b/>
          <w:szCs w:val="22"/>
          <w:lang w:eastAsia="en-US"/>
        </w:rPr>
      </w:pPr>
      <w:r w:rsidRPr="008676F9">
        <w:rPr>
          <w:rFonts w:ascii="Calibri" w:eastAsia="Calibri" w:hAnsi="Calibri"/>
          <w:b/>
          <w:szCs w:val="22"/>
          <w:lang w:eastAsia="en-US"/>
        </w:rPr>
        <w:br w:type="page"/>
      </w:r>
    </w:p>
    <w:tbl>
      <w:tblPr>
        <w:tblW w:w="9371" w:type="dxa"/>
        <w:tblInd w:w="55" w:type="dxa"/>
        <w:tblCellMar>
          <w:left w:w="70" w:type="dxa"/>
          <w:right w:w="70" w:type="dxa"/>
        </w:tblCellMar>
        <w:tblLook w:val="00A0" w:firstRow="1" w:lastRow="0" w:firstColumn="1" w:lastColumn="0" w:noHBand="0" w:noVBand="0"/>
      </w:tblPr>
      <w:tblGrid>
        <w:gridCol w:w="1180"/>
        <w:gridCol w:w="1560"/>
        <w:gridCol w:w="1840"/>
        <w:gridCol w:w="2020"/>
        <w:gridCol w:w="361"/>
        <w:gridCol w:w="2410"/>
      </w:tblGrid>
      <w:tr w:rsidR="008676F9" w:rsidRPr="00E820E4" w:rsidTr="00BB33FC">
        <w:trPr>
          <w:trHeight w:val="420"/>
        </w:trPr>
        <w:tc>
          <w:tcPr>
            <w:tcW w:w="9371" w:type="dxa"/>
            <w:gridSpan w:val="6"/>
            <w:tcBorders>
              <w:top w:val="single" w:sz="8" w:space="0" w:color="000000"/>
              <w:left w:val="single" w:sz="8" w:space="0" w:color="000000"/>
              <w:bottom w:val="nil"/>
              <w:right w:val="single" w:sz="8" w:space="0" w:color="000000"/>
            </w:tcBorders>
            <w:shd w:val="clear" w:color="auto" w:fill="FFFF00"/>
            <w:vAlign w:val="center"/>
          </w:tcPr>
          <w:p w:rsidR="008676F9" w:rsidRPr="00E820E4" w:rsidRDefault="008676F9" w:rsidP="008676F9">
            <w:pPr>
              <w:jc w:val="center"/>
              <w:rPr>
                <w:rFonts w:ascii="Calibri" w:eastAsia="Calibri" w:hAnsi="Calibri"/>
                <w:b/>
                <w:bCs/>
                <w:color w:val="000000"/>
                <w:szCs w:val="22"/>
              </w:rPr>
            </w:pPr>
            <w:bookmarkStart w:id="147" w:name="RANGE!A1:G26"/>
            <w:bookmarkEnd w:id="147"/>
            <w:r w:rsidRPr="00E820E4">
              <w:rPr>
                <w:rFonts w:ascii="Calibri" w:eastAsia="Calibri" w:hAnsi="Calibri"/>
                <w:b/>
                <w:bCs/>
                <w:color w:val="000000"/>
                <w:szCs w:val="22"/>
              </w:rPr>
              <w:t xml:space="preserve">6B Podpora miestneho rozvoja vo vidieckych oblastiach </w:t>
            </w:r>
          </w:p>
        </w:tc>
      </w:tr>
      <w:tr w:rsidR="008676F9" w:rsidRPr="008676F9" w:rsidTr="00BB33FC">
        <w:trPr>
          <w:trHeight w:val="900"/>
        </w:trPr>
        <w:tc>
          <w:tcPr>
            <w:tcW w:w="1180" w:type="dxa"/>
            <w:vMerge w:val="restart"/>
            <w:tcBorders>
              <w:top w:val="single" w:sz="8" w:space="0" w:color="auto"/>
              <w:left w:val="single" w:sz="8" w:space="0" w:color="000000"/>
              <w:bottom w:val="single" w:sz="8" w:space="0" w:color="000000"/>
              <w:right w:val="single" w:sz="8" w:space="0" w:color="auto"/>
            </w:tcBorders>
            <w:vAlign w:val="center"/>
          </w:tcPr>
          <w:p w:rsidR="008676F9" w:rsidRPr="008676F9" w:rsidRDefault="008676F9" w:rsidP="008676F9">
            <w:pPr>
              <w:jc w:val="center"/>
              <w:rPr>
                <w:rFonts w:ascii="Calibri" w:eastAsia="Calibri" w:hAnsi="Calibri"/>
                <w:b/>
                <w:bCs/>
                <w:sz w:val="18"/>
                <w:szCs w:val="18"/>
              </w:rPr>
            </w:pPr>
            <w:r w:rsidRPr="008676F9">
              <w:rPr>
                <w:rFonts w:ascii="Calibri" w:eastAsia="Calibri" w:hAnsi="Calibri"/>
                <w:b/>
                <w:bCs/>
                <w:sz w:val="18"/>
                <w:szCs w:val="18"/>
              </w:rPr>
              <w:t>Cieľová</w:t>
            </w:r>
            <w:r w:rsidRPr="008676F9">
              <w:rPr>
                <w:rFonts w:ascii="Calibri" w:eastAsia="Calibri" w:hAnsi="Calibri"/>
                <w:b/>
                <w:bCs/>
                <w:sz w:val="18"/>
                <w:szCs w:val="18"/>
              </w:rPr>
              <w:br/>
              <w:t xml:space="preserve"> hodnota</w:t>
            </w:r>
          </w:p>
        </w:tc>
        <w:tc>
          <w:tcPr>
            <w:tcW w:w="5420" w:type="dxa"/>
            <w:gridSpan w:val="3"/>
            <w:tcBorders>
              <w:top w:val="single" w:sz="8" w:space="0" w:color="auto"/>
              <w:left w:val="nil"/>
              <w:bottom w:val="single" w:sz="4" w:space="0" w:color="auto"/>
              <w:right w:val="single" w:sz="8" w:space="0" w:color="000000"/>
            </w:tcBorders>
            <w:vAlign w:val="center"/>
          </w:tcPr>
          <w:p w:rsidR="008676F9" w:rsidRPr="008676F9" w:rsidRDefault="008676F9" w:rsidP="008676F9">
            <w:pPr>
              <w:jc w:val="center"/>
              <w:rPr>
                <w:rFonts w:ascii="Calibri" w:eastAsia="Calibri" w:hAnsi="Calibri"/>
                <w:b/>
                <w:bCs/>
                <w:sz w:val="18"/>
                <w:szCs w:val="18"/>
              </w:rPr>
            </w:pPr>
            <w:r w:rsidRPr="008676F9">
              <w:rPr>
                <w:rFonts w:ascii="Calibri" w:eastAsia="Calibri" w:hAnsi="Calibri"/>
                <w:b/>
                <w:bCs/>
                <w:sz w:val="18"/>
                <w:szCs w:val="18"/>
              </w:rPr>
              <w:t>% vidieckej populácie začlenenej v stratégiách miestneho  rozvoja</w:t>
            </w:r>
          </w:p>
        </w:tc>
        <w:tc>
          <w:tcPr>
            <w:tcW w:w="2771" w:type="dxa"/>
            <w:gridSpan w:val="2"/>
            <w:tcBorders>
              <w:top w:val="single" w:sz="8" w:space="0" w:color="auto"/>
              <w:left w:val="nil"/>
              <w:bottom w:val="single" w:sz="4" w:space="0" w:color="auto"/>
              <w:right w:val="single" w:sz="8" w:space="0" w:color="000000"/>
            </w:tcBorders>
            <w:vAlign w:val="center"/>
          </w:tcPr>
          <w:p w:rsidR="008676F9" w:rsidRPr="008676F9" w:rsidRDefault="008676F9" w:rsidP="008676F9">
            <w:pPr>
              <w:jc w:val="center"/>
              <w:rPr>
                <w:rFonts w:ascii="Calibri" w:eastAsia="Calibri" w:hAnsi="Calibri"/>
                <w:b/>
                <w:bCs/>
                <w:sz w:val="18"/>
                <w:szCs w:val="18"/>
              </w:rPr>
            </w:pPr>
            <w:r w:rsidRPr="008676F9">
              <w:rPr>
                <w:rFonts w:ascii="Calibri" w:eastAsia="Calibri" w:hAnsi="Calibri"/>
                <w:b/>
                <w:bCs/>
                <w:sz w:val="18"/>
                <w:szCs w:val="18"/>
              </w:rPr>
              <w:t xml:space="preserve">Populácia majúca prospech </w:t>
            </w:r>
            <w:r w:rsidRPr="008676F9">
              <w:rPr>
                <w:rFonts w:ascii="Calibri" w:eastAsia="Calibri" w:hAnsi="Calibri"/>
                <w:b/>
                <w:bCs/>
                <w:sz w:val="18"/>
                <w:szCs w:val="18"/>
              </w:rPr>
              <w:br/>
              <w:t xml:space="preserve">z nových alebo zlepšených </w:t>
            </w:r>
            <w:r w:rsidRPr="008676F9">
              <w:rPr>
                <w:rFonts w:ascii="Calibri" w:eastAsia="Calibri" w:hAnsi="Calibri"/>
                <w:b/>
                <w:bCs/>
                <w:sz w:val="18"/>
                <w:szCs w:val="18"/>
              </w:rPr>
              <w:br/>
              <w:t>služieb / infraštruktúry</w:t>
            </w:r>
          </w:p>
        </w:tc>
      </w:tr>
      <w:tr w:rsidR="008676F9" w:rsidRPr="008676F9" w:rsidTr="00BB33FC">
        <w:trPr>
          <w:trHeight w:val="420"/>
        </w:trPr>
        <w:tc>
          <w:tcPr>
            <w:tcW w:w="1180" w:type="dxa"/>
            <w:vMerge/>
            <w:tcBorders>
              <w:top w:val="single" w:sz="8" w:space="0" w:color="auto"/>
              <w:left w:val="single" w:sz="8" w:space="0" w:color="000000"/>
              <w:bottom w:val="single" w:sz="8" w:space="0" w:color="000000"/>
              <w:right w:val="single" w:sz="8" w:space="0" w:color="auto"/>
            </w:tcBorders>
            <w:vAlign w:val="center"/>
          </w:tcPr>
          <w:p w:rsidR="008676F9" w:rsidRPr="008676F9" w:rsidRDefault="008676F9" w:rsidP="008676F9">
            <w:pPr>
              <w:rPr>
                <w:rFonts w:ascii="Calibri" w:eastAsia="Calibri" w:hAnsi="Calibri"/>
                <w:b/>
                <w:bCs/>
                <w:sz w:val="18"/>
                <w:szCs w:val="18"/>
              </w:rPr>
            </w:pPr>
          </w:p>
        </w:tc>
        <w:tc>
          <w:tcPr>
            <w:tcW w:w="1560" w:type="dxa"/>
            <w:tcBorders>
              <w:top w:val="nil"/>
              <w:left w:val="nil"/>
              <w:bottom w:val="single" w:sz="4" w:space="0" w:color="auto"/>
              <w:right w:val="single" w:sz="4" w:space="0" w:color="auto"/>
            </w:tcBorders>
            <w:vAlign w:val="center"/>
          </w:tcPr>
          <w:p w:rsidR="008676F9" w:rsidRPr="008676F9" w:rsidRDefault="008676F9" w:rsidP="008676F9">
            <w:pPr>
              <w:rPr>
                <w:rFonts w:ascii="Calibri" w:eastAsia="Calibri" w:hAnsi="Calibri"/>
                <w:b/>
                <w:bCs/>
                <w:sz w:val="18"/>
                <w:szCs w:val="18"/>
              </w:rPr>
            </w:pPr>
            <w:r w:rsidRPr="008676F9">
              <w:rPr>
                <w:rFonts w:ascii="Calibri" w:eastAsia="Calibri" w:hAnsi="Calibri"/>
                <w:b/>
                <w:bCs/>
                <w:sz w:val="18"/>
                <w:szCs w:val="18"/>
              </w:rPr>
              <w:t> </w:t>
            </w:r>
          </w:p>
        </w:tc>
        <w:tc>
          <w:tcPr>
            <w:tcW w:w="1840" w:type="dxa"/>
            <w:tcBorders>
              <w:top w:val="nil"/>
              <w:left w:val="nil"/>
              <w:bottom w:val="single" w:sz="4" w:space="0" w:color="auto"/>
              <w:right w:val="single" w:sz="4" w:space="0" w:color="auto"/>
            </w:tcBorders>
            <w:vAlign w:val="center"/>
          </w:tcPr>
          <w:p w:rsidR="008676F9" w:rsidRPr="008676F9" w:rsidRDefault="008676F9" w:rsidP="008676F9">
            <w:pPr>
              <w:rPr>
                <w:rFonts w:ascii="Calibri" w:eastAsia="Calibri" w:hAnsi="Calibri"/>
                <w:b/>
                <w:bCs/>
                <w:sz w:val="18"/>
                <w:szCs w:val="18"/>
              </w:rPr>
            </w:pPr>
            <w:r w:rsidRPr="008676F9">
              <w:rPr>
                <w:rFonts w:ascii="Calibri" w:eastAsia="Calibri" w:hAnsi="Calibri"/>
                <w:b/>
                <w:bCs/>
                <w:sz w:val="18"/>
                <w:szCs w:val="18"/>
              </w:rPr>
              <w:t>Počet</w:t>
            </w:r>
          </w:p>
        </w:tc>
        <w:tc>
          <w:tcPr>
            <w:tcW w:w="2020" w:type="dxa"/>
            <w:tcBorders>
              <w:top w:val="nil"/>
              <w:left w:val="nil"/>
              <w:bottom w:val="single" w:sz="4" w:space="0" w:color="auto"/>
              <w:right w:val="single" w:sz="8" w:space="0" w:color="000000"/>
            </w:tcBorders>
            <w:vAlign w:val="center"/>
          </w:tcPr>
          <w:p w:rsidR="008676F9" w:rsidRPr="008676F9" w:rsidRDefault="008676F9" w:rsidP="008676F9">
            <w:pPr>
              <w:rPr>
                <w:rFonts w:ascii="Calibri" w:eastAsia="Calibri" w:hAnsi="Calibri"/>
                <w:b/>
                <w:bCs/>
                <w:sz w:val="18"/>
                <w:szCs w:val="18"/>
              </w:rPr>
            </w:pPr>
            <w:r w:rsidRPr="008676F9">
              <w:rPr>
                <w:rFonts w:ascii="Calibri" w:eastAsia="Calibri" w:hAnsi="Calibri"/>
                <w:b/>
                <w:bCs/>
                <w:sz w:val="18"/>
                <w:szCs w:val="18"/>
              </w:rPr>
              <w:t>%</w:t>
            </w:r>
          </w:p>
        </w:tc>
        <w:tc>
          <w:tcPr>
            <w:tcW w:w="2771" w:type="dxa"/>
            <w:gridSpan w:val="2"/>
            <w:tcBorders>
              <w:top w:val="single" w:sz="4" w:space="0" w:color="auto"/>
              <w:left w:val="nil"/>
              <w:bottom w:val="single" w:sz="4" w:space="0" w:color="auto"/>
              <w:right w:val="single" w:sz="8" w:space="0" w:color="000000"/>
            </w:tcBorders>
            <w:vAlign w:val="center"/>
          </w:tcPr>
          <w:p w:rsidR="008676F9" w:rsidRPr="008676F9" w:rsidRDefault="008676F9" w:rsidP="008676F9">
            <w:pPr>
              <w:jc w:val="center"/>
              <w:rPr>
                <w:rFonts w:ascii="Calibri" w:eastAsia="Calibri" w:hAnsi="Calibri"/>
                <w:b/>
                <w:bCs/>
                <w:sz w:val="18"/>
                <w:szCs w:val="18"/>
              </w:rPr>
            </w:pPr>
            <w:r w:rsidRPr="008676F9">
              <w:rPr>
                <w:rFonts w:ascii="Calibri" w:eastAsia="Calibri" w:hAnsi="Calibri"/>
                <w:b/>
                <w:bCs/>
                <w:sz w:val="18"/>
                <w:szCs w:val="18"/>
              </w:rPr>
              <w:t>2020</w:t>
            </w:r>
          </w:p>
        </w:tc>
      </w:tr>
      <w:tr w:rsidR="008676F9" w:rsidRPr="008676F9" w:rsidTr="00BB33FC">
        <w:trPr>
          <w:trHeight w:val="750"/>
        </w:trPr>
        <w:tc>
          <w:tcPr>
            <w:tcW w:w="1180" w:type="dxa"/>
            <w:vMerge/>
            <w:tcBorders>
              <w:top w:val="single" w:sz="8" w:space="0" w:color="auto"/>
              <w:left w:val="single" w:sz="8" w:space="0" w:color="000000"/>
              <w:bottom w:val="single" w:sz="8" w:space="0" w:color="000000"/>
              <w:right w:val="single" w:sz="8" w:space="0" w:color="auto"/>
            </w:tcBorders>
            <w:vAlign w:val="center"/>
          </w:tcPr>
          <w:p w:rsidR="008676F9" w:rsidRPr="008676F9" w:rsidRDefault="008676F9" w:rsidP="008676F9">
            <w:pPr>
              <w:rPr>
                <w:rFonts w:ascii="Calibri" w:eastAsia="Calibri" w:hAnsi="Calibri"/>
                <w:b/>
                <w:bCs/>
                <w:sz w:val="18"/>
                <w:szCs w:val="18"/>
              </w:rPr>
            </w:pPr>
          </w:p>
        </w:tc>
        <w:tc>
          <w:tcPr>
            <w:tcW w:w="1560" w:type="dxa"/>
            <w:tcBorders>
              <w:top w:val="nil"/>
              <w:left w:val="nil"/>
              <w:bottom w:val="single" w:sz="4" w:space="0" w:color="auto"/>
              <w:right w:val="single" w:sz="4" w:space="0" w:color="auto"/>
            </w:tcBorders>
            <w:vAlign w:val="center"/>
          </w:tcPr>
          <w:p w:rsidR="008676F9" w:rsidRPr="008676F9" w:rsidRDefault="008676F9" w:rsidP="008676F9">
            <w:pPr>
              <w:rPr>
                <w:rFonts w:ascii="Calibri" w:eastAsia="Calibri" w:hAnsi="Calibri"/>
                <w:b/>
                <w:bCs/>
                <w:sz w:val="18"/>
                <w:szCs w:val="18"/>
              </w:rPr>
            </w:pPr>
            <w:r w:rsidRPr="008676F9">
              <w:rPr>
                <w:rFonts w:ascii="Calibri" w:eastAsia="Calibri" w:hAnsi="Calibri"/>
                <w:b/>
                <w:bCs/>
                <w:sz w:val="18"/>
                <w:szCs w:val="18"/>
              </w:rPr>
              <w:t xml:space="preserve">Začlenená </w:t>
            </w:r>
            <w:r w:rsidRPr="008676F9">
              <w:rPr>
                <w:rFonts w:ascii="Calibri" w:eastAsia="Calibri" w:hAnsi="Calibri"/>
                <w:b/>
                <w:bCs/>
                <w:sz w:val="18"/>
                <w:szCs w:val="18"/>
              </w:rPr>
              <w:br/>
              <w:t>vid.populácia do 2020</w:t>
            </w:r>
          </w:p>
        </w:tc>
        <w:tc>
          <w:tcPr>
            <w:tcW w:w="1840" w:type="dxa"/>
            <w:tcBorders>
              <w:top w:val="nil"/>
              <w:left w:val="nil"/>
              <w:bottom w:val="single" w:sz="4" w:space="0" w:color="auto"/>
              <w:right w:val="single" w:sz="4" w:space="0" w:color="auto"/>
            </w:tcBorders>
            <w:vAlign w:val="center"/>
          </w:tcPr>
          <w:p w:rsidR="008676F9" w:rsidRPr="008676F9" w:rsidRDefault="008676F9" w:rsidP="008676F9">
            <w:pPr>
              <w:rPr>
                <w:rFonts w:ascii="Calibri" w:eastAsia="Calibri" w:hAnsi="Calibri"/>
                <w:i/>
                <w:iCs/>
                <w:sz w:val="18"/>
                <w:szCs w:val="18"/>
              </w:rPr>
            </w:pPr>
            <w:r w:rsidRPr="008676F9">
              <w:rPr>
                <w:rFonts w:ascii="Calibri" w:eastAsia="Calibri" w:hAnsi="Calibri"/>
                <w:i/>
                <w:iCs/>
                <w:sz w:val="18"/>
                <w:szCs w:val="18"/>
              </w:rPr>
              <w:t xml:space="preserve">                   1 000 000 </w:t>
            </w:r>
          </w:p>
        </w:tc>
        <w:tc>
          <w:tcPr>
            <w:tcW w:w="2020" w:type="dxa"/>
            <w:tcBorders>
              <w:top w:val="nil"/>
              <w:left w:val="nil"/>
              <w:bottom w:val="single" w:sz="4" w:space="0" w:color="auto"/>
              <w:right w:val="single" w:sz="8" w:space="0" w:color="000000"/>
            </w:tcBorders>
            <w:vAlign w:val="center"/>
          </w:tcPr>
          <w:p w:rsidR="008676F9" w:rsidRPr="008676F9" w:rsidRDefault="008676F9" w:rsidP="008676F9">
            <w:pPr>
              <w:jc w:val="right"/>
              <w:rPr>
                <w:rFonts w:ascii="Calibri" w:eastAsia="Calibri" w:hAnsi="Calibri"/>
                <w:b/>
                <w:bCs/>
                <w:sz w:val="18"/>
                <w:szCs w:val="18"/>
              </w:rPr>
            </w:pPr>
            <w:r w:rsidRPr="008676F9">
              <w:rPr>
                <w:rFonts w:ascii="Calibri" w:eastAsia="Calibri" w:hAnsi="Calibri"/>
                <w:b/>
                <w:bCs/>
                <w:sz w:val="18"/>
                <w:szCs w:val="18"/>
              </w:rPr>
              <w:t>20,80%</w:t>
            </w:r>
          </w:p>
        </w:tc>
        <w:tc>
          <w:tcPr>
            <w:tcW w:w="2771" w:type="dxa"/>
            <w:gridSpan w:val="2"/>
            <w:vMerge w:val="restart"/>
            <w:tcBorders>
              <w:top w:val="single" w:sz="4" w:space="0" w:color="auto"/>
              <w:left w:val="nil"/>
              <w:bottom w:val="single" w:sz="8" w:space="0" w:color="000000"/>
              <w:right w:val="single" w:sz="8" w:space="0" w:color="000000"/>
            </w:tcBorders>
            <w:vAlign w:val="center"/>
          </w:tcPr>
          <w:p w:rsidR="008676F9" w:rsidRPr="008676F9" w:rsidRDefault="008676F9" w:rsidP="008676F9">
            <w:pPr>
              <w:jc w:val="center"/>
              <w:rPr>
                <w:rFonts w:ascii="Calibri" w:eastAsia="Calibri" w:hAnsi="Calibri"/>
                <w:b/>
                <w:bCs/>
                <w:sz w:val="18"/>
                <w:szCs w:val="18"/>
              </w:rPr>
            </w:pPr>
            <w:r w:rsidRPr="008676F9">
              <w:rPr>
                <w:rFonts w:ascii="Calibri" w:eastAsia="Calibri" w:hAnsi="Calibri"/>
                <w:b/>
                <w:bCs/>
                <w:sz w:val="18"/>
                <w:szCs w:val="18"/>
              </w:rPr>
              <w:t xml:space="preserve">                                      176 000 </w:t>
            </w:r>
          </w:p>
        </w:tc>
      </w:tr>
      <w:tr w:rsidR="008676F9" w:rsidRPr="008676F9" w:rsidTr="00BB33FC">
        <w:trPr>
          <w:trHeight w:val="870"/>
        </w:trPr>
        <w:tc>
          <w:tcPr>
            <w:tcW w:w="1180" w:type="dxa"/>
            <w:vMerge/>
            <w:tcBorders>
              <w:top w:val="single" w:sz="8" w:space="0" w:color="auto"/>
              <w:left w:val="single" w:sz="8" w:space="0" w:color="000000"/>
              <w:bottom w:val="single" w:sz="8" w:space="0" w:color="000000"/>
              <w:right w:val="single" w:sz="8" w:space="0" w:color="auto"/>
            </w:tcBorders>
            <w:vAlign w:val="center"/>
          </w:tcPr>
          <w:p w:rsidR="008676F9" w:rsidRPr="008676F9" w:rsidRDefault="008676F9" w:rsidP="008676F9">
            <w:pPr>
              <w:rPr>
                <w:rFonts w:ascii="Calibri" w:eastAsia="Calibri" w:hAnsi="Calibri"/>
                <w:b/>
                <w:bCs/>
                <w:sz w:val="18"/>
                <w:szCs w:val="18"/>
              </w:rPr>
            </w:pPr>
          </w:p>
        </w:tc>
        <w:tc>
          <w:tcPr>
            <w:tcW w:w="1560" w:type="dxa"/>
            <w:tcBorders>
              <w:top w:val="nil"/>
              <w:left w:val="nil"/>
              <w:bottom w:val="single" w:sz="8" w:space="0" w:color="auto"/>
              <w:right w:val="single" w:sz="4" w:space="0" w:color="auto"/>
            </w:tcBorders>
            <w:vAlign w:val="center"/>
          </w:tcPr>
          <w:p w:rsidR="008676F9" w:rsidRPr="008676F9" w:rsidRDefault="008676F9" w:rsidP="008676F9">
            <w:pPr>
              <w:rPr>
                <w:rFonts w:ascii="Calibri" w:eastAsia="Calibri" w:hAnsi="Calibri"/>
                <w:b/>
                <w:bCs/>
                <w:sz w:val="18"/>
                <w:szCs w:val="18"/>
              </w:rPr>
            </w:pPr>
            <w:r w:rsidRPr="008676F9">
              <w:rPr>
                <w:rFonts w:ascii="Calibri" w:eastAsia="Calibri" w:hAnsi="Calibri"/>
                <w:b/>
                <w:bCs/>
                <w:sz w:val="18"/>
                <w:szCs w:val="18"/>
              </w:rPr>
              <w:t>Celková vid.populácia</w:t>
            </w:r>
            <w:r w:rsidRPr="008676F9">
              <w:rPr>
                <w:rFonts w:ascii="Calibri" w:eastAsia="Calibri" w:hAnsi="Calibri"/>
                <w:b/>
                <w:bCs/>
                <w:sz w:val="18"/>
                <w:szCs w:val="18"/>
              </w:rPr>
              <w:br/>
              <w:t>(východzí rok)</w:t>
            </w:r>
          </w:p>
        </w:tc>
        <w:tc>
          <w:tcPr>
            <w:tcW w:w="1840" w:type="dxa"/>
            <w:tcBorders>
              <w:top w:val="nil"/>
              <w:left w:val="nil"/>
              <w:bottom w:val="single" w:sz="8" w:space="0" w:color="auto"/>
              <w:right w:val="single" w:sz="4" w:space="0" w:color="auto"/>
            </w:tcBorders>
            <w:vAlign w:val="center"/>
          </w:tcPr>
          <w:p w:rsidR="008676F9" w:rsidRPr="008676F9" w:rsidRDefault="008676F9" w:rsidP="008676F9">
            <w:pPr>
              <w:rPr>
                <w:rFonts w:ascii="Calibri" w:eastAsia="Calibri" w:hAnsi="Calibri"/>
                <w:i/>
                <w:iCs/>
                <w:sz w:val="18"/>
                <w:szCs w:val="18"/>
              </w:rPr>
            </w:pPr>
            <w:r w:rsidRPr="008676F9">
              <w:rPr>
                <w:rFonts w:ascii="Calibri" w:eastAsia="Calibri" w:hAnsi="Calibri"/>
                <w:i/>
                <w:iCs/>
                <w:sz w:val="18"/>
                <w:szCs w:val="18"/>
              </w:rPr>
              <w:t xml:space="preserve">                4 797 785 </w:t>
            </w:r>
          </w:p>
        </w:tc>
        <w:tc>
          <w:tcPr>
            <w:tcW w:w="2020" w:type="dxa"/>
            <w:tcBorders>
              <w:top w:val="nil"/>
              <w:left w:val="nil"/>
              <w:bottom w:val="single" w:sz="8" w:space="0" w:color="auto"/>
              <w:right w:val="single" w:sz="8" w:space="0" w:color="000000"/>
            </w:tcBorders>
            <w:vAlign w:val="center"/>
          </w:tcPr>
          <w:p w:rsidR="008676F9" w:rsidRPr="008676F9" w:rsidRDefault="008676F9" w:rsidP="008676F9">
            <w:pPr>
              <w:rPr>
                <w:rFonts w:ascii="Calibri" w:eastAsia="Calibri" w:hAnsi="Calibri"/>
                <w:b/>
                <w:bCs/>
                <w:sz w:val="18"/>
                <w:szCs w:val="18"/>
              </w:rPr>
            </w:pPr>
            <w:r w:rsidRPr="008676F9">
              <w:rPr>
                <w:rFonts w:ascii="Calibri" w:eastAsia="Calibri" w:hAnsi="Calibri"/>
                <w:b/>
                <w:bCs/>
                <w:sz w:val="18"/>
                <w:szCs w:val="18"/>
              </w:rPr>
              <w:t> </w:t>
            </w:r>
          </w:p>
        </w:tc>
        <w:tc>
          <w:tcPr>
            <w:tcW w:w="2771" w:type="dxa"/>
            <w:gridSpan w:val="2"/>
            <w:vMerge/>
            <w:tcBorders>
              <w:top w:val="nil"/>
              <w:left w:val="nil"/>
              <w:bottom w:val="single" w:sz="8" w:space="0" w:color="auto"/>
              <w:right w:val="single" w:sz="8" w:space="0" w:color="000000"/>
            </w:tcBorders>
            <w:vAlign w:val="center"/>
          </w:tcPr>
          <w:p w:rsidR="008676F9" w:rsidRPr="008676F9" w:rsidRDefault="008676F9" w:rsidP="008676F9">
            <w:pPr>
              <w:rPr>
                <w:rFonts w:ascii="Calibri" w:eastAsia="Calibri" w:hAnsi="Calibri"/>
                <w:b/>
                <w:bCs/>
                <w:sz w:val="18"/>
                <w:szCs w:val="18"/>
              </w:rPr>
            </w:pPr>
          </w:p>
        </w:tc>
      </w:tr>
      <w:tr w:rsidR="008676F9" w:rsidRPr="008676F9" w:rsidTr="00BB33FC">
        <w:trPr>
          <w:trHeight w:val="420"/>
        </w:trPr>
        <w:tc>
          <w:tcPr>
            <w:tcW w:w="1180" w:type="dxa"/>
            <w:vMerge/>
            <w:tcBorders>
              <w:top w:val="single" w:sz="8" w:space="0" w:color="auto"/>
              <w:left w:val="single" w:sz="8" w:space="0" w:color="000000"/>
              <w:bottom w:val="single" w:sz="8" w:space="0" w:color="000000"/>
              <w:right w:val="single" w:sz="8" w:space="0" w:color="auto"/>
            </w:tcBorders>
            <w:vAlign w:val="center"/>
          </w:tcPr>
          <w:p w:rsidR="008676F9" w:rsidRPr="008676F9" w:rsidRDefault="008676F9" w:rsidP="008676F9">
            <w:pPr>
              <w:rPr>
                <w:rFonts w:ascii="Calibri" w:eastAsia="Calibri" w:hAnsi="Calibri"/>
                <w:b/>
                <w:bCs/>
                <w:sz w:val="18"/>
                <w:szCs w:val="18"/>
              </w:rPr>
            </w:pPr>
          </w:p>
        </w:tc>
        <w:tc>
          <w:tcPr>
            <w:tcW w:w="5420" w:type="dxa"/>
            <w:gridSpan w:val="3"/>
            <w:tcBorders>
              <w:top w:val="single" w:sz="8" w:space="0" w:color="auto"/>
              <w:left w:val="nil"/>
              <w:bottom w:val="single" w:sz="4" w:space="0" w:color="auto"/>
              <w:right w:val="single" w:sz="8" w:space="0" w:color="000000"/>
            </w:tcBorders>
            <w:vAlign w:val="center"/>
          </w:tcPr>
          <w:p w:rsidR="008676F9" w:rsidRPr="008676F9" w:rsidRDefault="008676F9" w:rsidP="008676F9">
            <w:pPr>
              <w:jc w:val="center"/>
              <w:rPr>
                <w:rFonts w:ascii="Calibri" w:eastAsia="Calibri" w:hAnsi="Calibri"/>
                <w:b/>
                <w:bCs/>
                <w:sz w:val="20"/>
                <w:szCs w:val="20"/>
              </w:rPr>
            </w:pPr>
            <w:r w:rsidRPr="008676F9">
              <w:rPr>
                <w:rFonts w:ascii="Calibri" w:eastAsia="Calibri" w:hAnsi="Calibri"/>
                <w:b/>
                <w:bCs/>
                <w:sz w:val="20"/>
                <w:szCs w:val="20"/>
              </w:rPr>
              <w:t>Počet vytvorených pracovných miest (2014-2020)</w:t>
            </w:r>
          </w:p>
        </w:tc>
        <w:tc>
          <w:tcPr>
            <w:tcW w:w="2771" w:type="dxa"/>
            <w:gridSpan w:val="2"/>
            <w:vMerge w:val="restart"/>
            <w:tcBorders>
              <w:top w:val="single" w:sz="8" w:space="0" w:color="auto"/>
              <w:left w:val="single" w:sz="8" w:space="0" w:color="000000"/>
              <w:bottom w:val="single" w:sz="8" w:space="0" w:color="000000"/>
              <w:right w:val="single" w:sz="8" w:space="0" w:color="000000"/>
            </w:tcBorders>
            <w:noWrap/>
            <w:vAlign w:val="center"/>
          </w:tcPr>
          <w:p w:rsidR="008676F9" w:rsidRPr="008676F9" w:rsidRDefault="008676F9" w:rsidP="008676F9">
            <w:pPr>
              <w:jc w:val="center"/>
              <w:rPr>
                <w:rFonts w:ascii="Calibri" w:eastAsia="Calibri" w:hAnsi="Calibri"/>
                <w:sz w:val="20"/>
                <w:szCs w:val="20"/>
              </w:rPr>
            </w:pPr>
            <w:r w:rsidRPr="008676F9">
              <w:rPr>
                <w:rFonts w:ascii="Calibri" w:eastAsia="Calibri" w:hAnsi="Calibri"/>
                <w:sz w:val="20"/>
                <w:szCs w:val="20"/>
              </w:rPr>
              <w:t> </w:t>
            </w:r>
          </w:p>
        </w:tc>
      </w:tr>
      <w:tr w:rsidR="008676F9" w:rsidRPr="008676F9" w:rsidTr="00BB33FC">
        <w:trPr>
          <w:trHeight w:val="420"/>
        </w:trPr>
        <w:tc>
          <w:tcPr>
            <w:tcW w:w="1180" w:type="dxa"/>
            <w:vMerge/>
            <w:tcBorders>
              <w:top w:val="single" w:sz="8" w:space="0" w:color="auto"/>
              <w:left w:val="single" w:sz="8" w:space="0" w:color="000000"/>
              <w:bottom w:val="single" w:sz="8" w:space="0" w:color="000000"/>
              <w:right w:val="single" w:sz="8" w:space="0" w:color="auto"/>
            </w:tcBorders>
            <w:vAlign w:val="center"/>
          </w:tcPr>
          <w:p w:rsidR="008676F9" w:rsidRPr="008676F9" w:rsidRDefault="008676F9" w:rsidP="008676F9">
            <w:pPr>
              <w:rPr>
                <w:rFonts w:ascii="Calibri" w:eastAsia="Calibri" w:hAnsi="Calibri"/>
                <w:b/>
                <w:bCs/>
                <w:sz w:val="18"/>
                <w:szCs w:val="18"/>
              </w:rPr>
            </w:pPr>
          </w:p>
        </w:tc>
        <w:tc>
          <w:tcPr>
            <w:tcW w:w="5420" w:type="dxa"/>
            <w:gridSpan w:val="3"/>
            <w:tcBorders>
              <w:top w:val="single" w:sz="4" w:space="0" w:color="auto"/>
              <w:left w:val="nil"/>
              <w:bottom w:val="single" w:sz="8" w:space="0" w:color="auto"/>
              <w:right w:val="single" w:sz="8" w:space="0" w:color="000000"/>
            </w:tcBorders>
            <w:vAlign w:val="center"/>
          </w:tcPr>
          <w:p w:rsidR="008676F9" w:rsidRPr="008676F9" w:rsidRDefault="008676F9" w:rsidP="008676F9">
            <w:pPr>
              <w:jc w:val="center"/>
              <w:rPr>
                <w:rFonts w:ascii="Calibri" w:eastAsia="Calibri" w:hAnsi="Calibri"/>
                <w:i/>
                <w:iCs/>
                <w:sz w:val="18"/>
                <w:szCs w:val="18"/>
              </w:rPr>
            </w:pPr>
            <w:r w:rsidRPr="008676F9">
              <w:rPr>
                <w:rFonts w:ascii="Calibri" w:eastAsia="Calibri" w:hAnsi="Calibri"/>
                <w:i/>
                <w:iCs/>
                <w:sz w:val="18"/>
                <w:szCs w:val="18"/>
              </w:rPr>
              <w:t>500</w:t>
            </w:r>
          </w:p>
        </w:tc>
        <w:tc>
          <w:tcPr>
            <w:tcW w:w="2771" w:type="dxa"/>
            <w:gridSpan w:val="2"/>
            <w:vMerge/>
            <w:tcBorders>
              <w:top w:val="single" w:sz="8" w:space="0" w:color="auto"/>
              <w:left w:val="single" w:sz="8" w:space="0" w:color="000000"/>
              <w:bottom w:val="single" w:sz="8" w:space="0" w:color="000000"/>
              <w:right w:val="single" w:sz="8" w:space="0" w:color="000000"/>
            </w:tcBorders>
            <w:vAlign w:val="center"/>
          </w:tcPr>
          <w:p w:rsidR="008676F9" w:rsidRPr="008676F9" w:rsidRDefault="008676F9" w:rsidP="008676F9">
            <w:pPr>
              <w:rPr>
                <w:rFonts w:ascii="Calibri" w:eastAsia="Calibri" w:hAnsi="Calibri"/>
                <w:sz w:val="20"/>
                <w:szCs w:val="20"/>
              </w:rPr>
            </w:pPr>
          </w:p>
        </w:tc>
      </w:tr>
      <w:tr w:rsidR="008676F9" w:rsidRPr="008676F9" w:rsidTr="00BB33FC">
        <w:trPr>
          <w:trHeight w:val="210"/>
        </w:trPr>
        <w:tc>
          <w:tcPr>
            <w:tcW w:w="9371" w:type="dxa"/>
            <w:gridSpan w:val="6"/>
            <w:tcBorders>
              <w:top w:val="single" w:sz="8" w:space="0" w:color="auto"/>
              <w:left w:val="single" w:sz="8" w:space="0" w:color="000000"/>
              <w:bottom w:val="single" w:sz="8" w:space="0" w:color="auto"/>
              <w:right w:val="single" w:sz="8" w:space="0" w:color="000000"/>
            </w:tcBorders>
            <w:shd w:val="clear" w:color="000000" w:fill="FFFFFF"/>
            <w:vAlign w:val="center"/>
          </w:tcPr>
          <w:p w:rsidR="008676F9" w:rsidRPr="008676F9" w:rsidRDefault="008676F9" w:rsidP="008676F9">
            <w:pPr>
              <w:jc w:val="center"/>
              <w:rPr>
                <w:rFonts w:ascii="Calibri" w:eastAsia="Calibri" w:hAnsi="Calibri"/>
                <w:sz w:val="20"/>
                <w:szCs w:val="20"/>
              </w:rPr>
            </w:pPr>
            <w:r w:rsidRPr="008676F9">
              <w:rPr>
                <w:rFonts w:ascii="Calibri" w:eastAsia="Calibri" w:hAnsi="Calibri"/>
                <w:sz w:val="20"/>
                <w:szCs w:val="20"/>
              </w:rPr>
              <w:t> </w:t>
            </w:r>
          </w:p>
        </w:tc>
      </w:tr>
      <w:tr w:rsidR="008676F9" w:rsidRPr="008676F9" w:rsidTr="00BB33FC">
        <w:trPr>
          <w:trHeight w:val="345"/>
        </w:trPr>
        <w:tc>
          <w:tcPr>
            <w:tcW w:w="9371" w:type="dxa"/>
            <w:gridSpan w:val="6"/>
            <w:tcBorders>
              <w:top w:val="single" w:sz="8" w:space="0" w:color="auto"/>
              <w:left w:val="single" w:sz="8" w:space="0" w:color="000000"/>
              <w:bottom w:val="nil"/>
              <w:right w:val="single" w:sz="8" w:space="0" w:color="000000"/>
            </w:tcBorders>
            <w:shd w:val="clear" w:color="000000" w:fill="FFFFFF"/>
            <w:noWrap/>
            <w:vAlign w:val="center"/>
          </w:tcPr>
          <w:p w:rsidR="008676F9" w:rsidRPr="008676F9" w:rsidRDefault="008676F9" w:rsidP="008676F9">
            <w:pPr>
              <w:jc w:val="center"/>
              <w:rPr>
                <w:rFonts w:ascii="Calibri" w:eastAsia="Calibri" w:hAnsi="Calibri"/>
                <w:b/>
                <w:bCs/>
                <w:sz w:val="18"/>
                <w:szCs w:val="18"/>
              </w:rPr>
            </w:pPr>
            <w:r w:rsidRPr="008676F9">
              <w:rPr>
                <w:rFonts w:ascii="Calibri" w:eastAsia="Calibri" w:hAnsi="Calibri"/>
                <w:b/>
                <w:bCs/>
                <w:sz w:val="18"/>
                <w:szCs w:val="18"/>
              </w:rPr>
              <w:t>plánovaný výstup  2014-2020</w:t>
            </w:r>
          </w:p>
        </w:tc>
      </w:tr>
      <w:tr w:rsidR="008676F9" w:rsidRPr="008676F9" w:rsidTr="00BB33FC">
        <w:trPr>
          <w:trHeight w:val="255"/>
        </w:trPr>
        <w:tc>
          <w:tcPr>
            <w:tcW w:w="1180" w:type="dxa"/>
            <w:tcBorders>
              <w:top w:val="single" w:sz="4" w:space="0" w:color="auto"/>
              <w:left w:val="single" w:sz="8" w:space="0" w:color="000000"/>
              <w:bottom w:val="single" w:sz="4" w:space="0" w:color="auto"/>
              <w:right w:val="nil"/>
            </w:tcBorders>
            <w:shd w:val="clear" w:color="000000" w:fill="FFFFFF"/>
            <w:noWrap/>
            <w:vAlign w:val="center"/>
          </w:tcPr>
          <w:p w:rsidR="008676F9" w:rsidRPr="008676F9" w:rsidRDefault="008676F9" w:rsidP="008676F9">
            <w:pPr>
              <w:jc w:val="center"/>
              <w:rPr>
                <w:rFonts w:ascii="Calibri" w:eastAsia="Calibri" w:hAnsi="Calibri"/>
                <w:b/>
                <w:bCs/>
                <w:sz w:val="18"/>
                <w:szCs w:val="18"/>
              </w:rPr>
            </w:pPr>
            <w:r w:rsidRPr="008676F9">
              <w:rPr>
                <w:rFonts w:ascii="Calibri" w:eastAsia="Calibri" w:hAnsi="Calibri"/>
                <w:b/>
                <w:bCs/>
                <w:sz w:val="18"/>
                <w:szCs w:val="18"/>
              </w:rPr>
              <w:t>Opatrenia</w:t>
            </w:r>
          </w:p>
        </w:tc>
        <w:tc>
          <w:tcPr>
            <w:tcW w:w="8191" w:type="dxa"/>
            <w:gridSpan w:val="5"/>
            <w:tcBorders>
              <w:top w:val="single" w:sz="4" w:space="0" w:color="auto"/>
              <w:left w:val="nil"/>
              <w:bottom w:val="single" w:sz="4" w:space="0" w:color="auto"/>
              <w:right w:val="single" w:sz="8" w:space="0" w:color="000000"/>
            </w:tcBorders>
            <w:shd w:val="clear" w:color="000000" w:fill="FFFFFF"/>
            <w:noWrap/>
            <w:vAlign w:val="center"/>
          </w:tcPr>
          <w:p w:rsidR="008676F9" w:rsidRPr="008676F9" w:rsidRDefault="008676F9" w:rsidP="008676F9">
            <w:pPr>
              <w:jc w:val="center"/>
              <w:rPr>
                <w:rFonts w:ascii="Calibri" w:eastAsia="Calibri" w:hAnsi="Calibri"/>
                <w:b/>
                <w:bCs/>
                <w:sz w:val="18"/>
                <w:szCs w:val="18"/>
              </w:rPr>
            </w:pPr>
            <w:r w:rsidRPr="008676F9">
              <w:rPr>
                <w:rFonts w:ascii="Calibri" w:eastAsia="Calibri" w:hAnsi="Calibri"/>
                <w:b/>
                <w:bCs/>
                <w:sz w:val="18"/>
                <w:szCs w:val="18"/>
              </w:rPr>
              <w:t> </w:t>
            </w:r>
          </w:p>
        </w:tc>
      </w:tr>
      <w:tr w:rsidR="008676F9" w:rsidRPr="008676F9" w:rsidTr="00BB33FC">
        <w:trPr>
          <w:trHeight w:val="420"/>
        </w:trPr>
        <w:tc>
          <w:tcPr>
            <w:tcW w:w="1180" w:type="dxa"/>
            <w:vMerge w:val="restart"/>
            <w:tcBorders>
              <w:top w:val="nil"/>
              <w:left w:val="single" w:sz="8" w:space="0" w:color="000000"/>
              <w:bottom w:val="single" w:sz="4" w:space="0" w:color="000000"/>
              <w:right w:val="single" w:sz="4" w:space="0" w:color="auto"/>
            </w:tcBorders>
            <w:shd w:val="clear" w:color="000000" w:fill="FFFFFF"/>
            <w:vAlign w:val="center"/>
          </w:tcPr>
          <w:p w:rsidR="008676F9" w:rsidRPr="008676F9" w:rsidRDefault="008676F9" w:rsidP="008676F9">
            <w:pPr>
              <w:jc w:val="center"/>
              <w:rPr>
                <w:rFonts w:ascii="Calibri" w:eastAsia="Calibri" w:hAnsi="Calibri"/>
                <w:b/>
                <w:bCs/>
                <w:sz w:val="16"/>
                <w:szCs w:val="16"/>
              </w:rPr>
            </w:pPr>
            <w:r w:rsidRPr="008676F9">
              <w:rPr>
                <w:rFonts w:ascii="Calibri" w:eastAsia="Calibri" w:hAnsi="Calibri"/>
                <w:b/>
                <w:bCs/>
                <w:sz w:val="16"/>
                <w:szCs w:val="16"/>
              </w:rPr>
              <w:t>7 (20)</w:t>
            </w:r>
          </w:p>
        </w:tc>
        <w:tc>
          <w:tcPr>
            <w:tcW w:w="1560" w:type="dxa"/>
            <w:vMerge w:val="restart"/>
            <w:tcBorders>
              <w:top w:val="nil"/>
              <w:left w:val="nil"/>
              <w:bottom w:val="single" w:sz="4" w:space="0" w:color="auto"/>
              <w:right w:val="single" w:sz="4" w:space="0" w:color="auto"/>
            </w:tcBorders>
            <w:shd w:val="clear" w:color="000000" w:fill="FFFFFF"/>
            <w:vAlign w:val="center"/>
          </w:tcPr>
          <w:p w:rsidR="008676F9" w:rsidRPr="008676F9" w:rsidRDefault="008676F9" w:rsidP="008676F9">
            <w:pPr>
              <w:rPr>
                <w:rFonts w:ascii="Calibri" w:eastAsia="Calibri" w:hAnsi="Calibri"/>
                <w:sz w:val="16"/>
                <w:szCs w:val="16"/>
              </w:rPr>
            </w:pPr>
            <w:r w:rsidRPr="008676F9">
              <w:rPr>
                <w:rFonts w:ascii="Calibri" w:eastAsia="Calibri" w:hAnsi="Calibri"/>
                <w:sz w:val="16"/>
                <w:szCs w:val="16"/>
              </w:rPr>
              <w:t>Počet projektov</w:t>
            </w:r>
          </w:p>
        </w:tc>
        <w:tc>
          <w:tcPr>
            <w:tcW w:w="4221" w:type="dxa"/>
            <w:gridSpan w:val="3"/>
            <w:vMerge w:val="restart"/>
            <w:tcBorders>
              <w:top w:val="single" w:sz="4" w:space="0" w:color="auto"/>
              <w:left w:val="single" w:sz="4" w:space="0" w:color="auto"/>
              <w:bottom w:val="single" w:sz="4" w:space="0" w:color="000000"/>
              <w:right w:val="single" w:sz="4" w:space="0" w:color="000000"/>
            </w:tcBorders>
            <w:shd w:val="clear" w:color="000000" w:fill="FFFFFF"/>
            <w:vAlign w:val="center"/>
          </w:tcPr>
          <w:p w:rsidR="008676F9" w:rsidRPr="008676F9" w:rsidRDefault="008676F9" w:rsidP="008676F9">
            <w:pPr>
              <w:rPr>
                <w:rFonts w:ascii="Calibri" w:eastAsia="Calibri" w:hAnsi="Calibri"/>
                <w:sz w:val="16"/>
                <w:szCs w:val="16"/>
              </w:rPr>
            </w:pPr>
            <w:r w:rsidRPr="008676F9">
              <w:rPr>
                <w:rFonts w:ascii="Calibri" w:eastAsia="Calibri" w:hAnsi="Calibri"/>
                <w:sz w:val="16"/>
                <w:szCs w:val="16"/>
              </w:rPr>
              <w:t>Počet projektov investujúcich do malej infraštruktúry vrátane obnoviteľných zdrojov (7.2)</w:t>
            </w:r>
          </w:p>
        </w:tc>
        <w:tc>
          <w:tcPr>
            <w:tcW w:w="2410" w:type="dxa"/>
            <w:vMerge w:val="restart"/>
            <w:tcBorders>
              <w:top w:val="nil"/>
              <w:left w:val="single" w:sz="8" w:space="0" w:color="000000"/>
              <w:bottom w:val="single" w:sz="4" w:space="0" w:color="000000"/>
              <w:right w:val="single" w:sz="8" w:space="0" w:color="000000"/>
            </w:tcBorders>
            <w:shd w:val="clear" w:color="000000" w:fill="FFFFFF"/>
            <w:noWrap/>
          </w:tcPr>
          <w:p w:rsidR="008676F9" w:rsidRPr="008676F9" w:rsidRDefault="008676F9" w:rsidP="008676F9">
            <w:pPr>
              <w:jc w:val="right"/>
              <w:rPr>
                <w:rFonts w:ascii="Calibri" w:eastAsia="Calibri" w:hAnsi="Calibri"/>
                <w:sz w:val="20"/>
                <w:szCs w:val="20"/>
              </w:rPr>
            </w:pPr>
            <w:r w:rsidRPr="008676F9">
              <w:rPr>
                <w:rFonts w:ascii="Calibri" w:eastAsia="Calibri" w:hAnsi="Calibri"/>
                <w:sz w:val="20"/>
                <w:szCs w:val="20"/>
              </w:rPr>
              <w:t xml:space="preserve">         40   </w:t>
            </w:r>
          </w:p>
        </w:tc>
      </w:tr>
      <w:tr w:rsidR="008676F9" w:rsidRPr="008676F9" w:rsidTr="00BB33FC">
        <w:trPr>
          <w:trHeight w:val="195"/>
        </w:trPr>
        <w:tc>
          <w:tcPr>
            <w:tcW w:w="1180" w:type="dxa"/>
            <w:vMerge/>
            <w:tcBorders>
              <w:top w:val="nil"/>
              <w:left w:val="single" w:sz="8" w:space="0" w:color="000000"/>
              <w:bottom w:val="single" w:sz="4" w:space="0" w:color="000000"/>
              <w:right w:val="single" w:sz="4" w:space="0" w:color="auto"/>
            </w:tcBorders>
            <w:vAlign w:val="center"/>
          </w:tcPr>
          <w:p w:rsidR="008676F9" w:rsidRPr="008676F9" w:rsidRDefault="008676F9" w:rsidP="008676F9">
            <w:pPr>
              <w:rPr>
                <w:rFonts w:ascii="Calibri" w:eastAsia="Calibri" w:hAnsi="Calibri"/>
                <w:b/>
                <w:bCs/>
                <w:sz w:val="16"/>
                <w:szCs w:val="16"/>
              </w:rPr>
            </w:pPr>
          </w:p>
        </w:tc>
        <w:tc>
          <w:tcPr>
            <w:tcW w:w="1560" w:type="dxa"/>
            <w:vMerge/>
            <w:tcBorders>
              <w:top w:val="nil"/>
              <w:left w:val="nil"/>
              <w:bottom w:val="single" w:sz="4" w:space="0" w:color="auto"/>
              <w:right w:val="single" w:sz="4" w:space="0" w:color="auto"/>
            </w:tcBorders>
            <w:vAlign w:val="center"/>
          </w:tcPr>
          <w:p w:rsidR="008676F9" w:rsidRPr="008676F9" w:rsidRDefault="008676F9" w:rsidP="008676F9">
            <w:pPr>
              <w:rPr>
                <w:rFonts w:ascii="Calibri" w:eastAsia="Calibri" w:hAnsi="Calibri"/>
                <w:sz w:val="16"/>
                <w:szCs w:val="16"/>
              </w:rPr>
            </w:pPr>
          </w:p>
        </w:tc>
        <w:tc>
          <w:tcPr>
            <w:tcW w:w="4221" w:type="dxa"/>
            <w:gridSpan w:val="3"/>
            <w:vMerge/>
            <w:tcBorders>
              <w:top w:val="single" w:sz="4" w:space="0" w:color="auto"/>
              <w:left w:val="single" w:sz="4" w:space="0" w:color="auto"/>
              <w:bottom w:val="single" w:sz="4" w:space="0" w:color="000000"/>
              <w:right w:val="single" w:sz="4" w:space="0" w:color="000000"/>
            </w:tcBorders>
            <w:vAlign w:val="center"/>
          </w:tcPr>
          <w:p w:rsidR="008676F9" w:rsidRPr="008676F9" w:rsidRDefault="008676F9" w:rsidP="008676F9">
            <w:pPr>
              <w:rPr>
                <w:rFonts w:ascii="Calibri" w:eastAsia="Calibri" w:hAnsi="Calibri"/>
                <w:sz w:val="16"/>
                <w:szCs w:val="16"/>
              </w:rPr>
            </w:pPr>
          </w:p>
        </w:tc>
        <w:tc>
          <w:tcPr>
            <w:tcW w:w="2410" w:type="dxa"/>
            <w:vMerge/>
            <w:tcBorders>
              <w:top w:val="nil"/>
              <w:left w:val="single" w:sz="8" w:space="0" w:color="000000"/>
              <w:bottom w:val="single" w:sz="4" w:space="0" w:color="000000"/>
              <w:right w:val="single" w:sz="8" w:space="0" w:color="000000"/>
            </w:tcBorders>
            <w:vAlign w:val="center"/>
          </w:tcPr>
          <w:p w:rsidR="008676F9" w:rsidRPr="008676F9" w:rsidRDefault="008676F9" w:rsidP="008676F9">
            <w:pPr>
              <w:jc w:val="right"/>
              <w:rPr>
                <w:rFonts w:ascii="Calibri" w:eastAsia="Calibri" w:hAnsi="Calibri"/>
                <w:sz w:val="20"/>
                <w:szCs w:val="20"/>
              </w:rPr>
            </w:pPr>
          </w:p>
        </w:tc>
      </w:tr>
      <w:tr w:rsidR="008676F9" w:rsidRPr="008676F9" w:rsidTr="00BB33FC">
        <w:trPr>
          <w:trHeight w:val="525"/>
        </w:trPr>
        <w:tc>
          <w:tcPr>
            <w:tcW w:w="1180" w:type="dxa"/>
            <w:vMerge/>
            <w:tcBorders>
              <w:top w:val="nil"/>
              <w:left w:val="single" w:sz="8" w:space="0" w:color="000000"/>
              <w:bottom w:val="single" w:sz="4" w:space="0" w:color="000000"/>
              <w:right w:val="single" w:sz="4" w:space="0" w:color="auto"/>
            </w:tcBorders>
            <w:vAlign w:val="center"/>
          </w:tcPr>
          <w:p w:rsidR="008676F9" w:rsidRPr="008676F9" w:rsidRDefault="008676F9" w:rsidP="008676F9">
            <w:pPr>
              <w:rPr>
                <w:rFonts w:ascii="Calibri" w:eastAsia="Calibri" w:hAnsi="Calibri"/>
                <w:b/>
                <w:bCs/>
                <w:sz w:val="16"/>
                <w:szCs w:val="16"/>
              </w:rPr>
            </w:pPr>
          </w:p>
        </w:tc>
        <w:tc>
          <w:tcPr>
            <w:tcW w:w="1560" w:type="dxa"/>
            <w:vMerge/>
            <w:tcBorders>
              <w:top w:val="nil"/>
              <w:left w:val="nil"/>
              <w:bottom w:val="single" w:sz="4" w:space="0" w:color="auto"/>
              <w:right w:val="single" w:sz="4" w:space="0" w:color="auto"/>
            </w:tcBorders>
            <w:vAlign w:val="center"/>
          </w:tcPr>
          <w:p w:rsidR="008676F9" w:rsidRPr="008676F9" w:rsidRDefault="008676F9" w:rsidP="008676F9">
            <w:pPr>
              <w:rPr>
                <w:rFonts w:ascii="Calibri" w:eastAsia="Calibri" w:hAnsi="Calibri"/>
                <w:sz w:val="16"/>
                <w:szCs w:val="16"/>
              </w:rPr>
            </w:pPr>
          </w:p>
        </w:tc>
        <w:tc>
          <w:tcPr>
            <w:tcW w:w="4221" w:type="dxa"/>
            <w:gridSpan w:val="3"/>
            <w:tcBorders>
              <w:top w:val="single" w:sz="4" w:space="0" w:color="auto"/>
              <w:left w:val="nil"/>
              <w:bottom w:val="single" w:sz="4" w:space="0" w:color="auto"/>
              <w:right w:val="single" w:sz="4" w:space="0" w:color="auto"/>
            </w:tcBorders>
            <w:shd w:val="clear" w:color="000000" w:fill="FFFFFF"/>
            <w:vAlign w:val="center"/>
          </w:tcPr>
          <w:p w:rsidR="008676F9" w:rsidRPr="008676F9" w:rsidRDefault="008676F9" w:rsidP="008676F9">
            <w:pPr>
              <w:rPr>
                <w:rFonts w:ascii="Calibri" w:eastAsia="Calibri" w:hAnsi="Calibri"/>
                <w:sz w:val="16"/>
                <w:szCs w:val="16"/>
              </w:rPr>
            </w:pPr>
            <w:r w:rsidRPr="008676F9">
              <w:rPr>
                <w:rFonts w:ascii="Calibri" w:eastAsia="Calibri" w:hAnsi="Calibri"/>
                <w:sz w:val="16"/>
                <w:szCs w:val="16"/>
              </w:rPr>
              <w:t>Počet projektov podporujúcich miestne základné služby pre vidiecke obyvateľstvo (7.4)</w:t>
            </w:r>
          </w:p>
        </w:tc>
        <w:tc>
          <w:tcPr>
            <w:tcW w:w="2410" w:type="dxa"/>
            <w:tcBorders>
              <w:top w:val="nil"/>
              <w:left w:val="single" w:sz="8" w:space="0" w:color="000000"/>
              <w:bottom w:val="single" w:sz="4" w:space="0" w:color="auto"/>
              <w:right w:val="single" w:sz="8" w:space="0" w:color="000000"/>
            </w:tcBorders>
            <w:shd w:val="clear" w:color="000000" w:fill="FFFFFF"/>
            <w:noWrap/>
            <w:vAlign w:val="center"/>
          </w:tcPr>
          <w:p w:rsidR="008676F9" w:rsidRPr="008676F9" w:rsidRDefault="008676F9" w:rsidP="008676F9">
            <w:pPr>
              <w:jc w:val="right"/>
              <w:rPr>
                <w:rFonts w:ascii="Calibri" w:eastAsia="Calibri" w:hAnsi="Calibri"/>
                <w:sz w:val="20"/>
                <w:szCs w:val="20"/>
              </w:rPr>
            </w:pPr>
            <w:r w:rsidRPr="008676F9">
              <w:rPr>
                <w:rFonts w:ascii="Calibri" w:eastAsia="Calibri" w:hAnsi="Calibri"/>
                <w:sz w:val="20"/>
                <w:szCs w:val="20"/>
              </w:rPr>
              <w:t xml:space="preserve">                                300 </w:t>
            </w:r>
          </w:p>
        </w:tc>
      </w:tr>
      <w:tr w:rsidR="008676F9" w:rsidRPr="008676F9" w:rsidTr="00BB33FC">
        <w:trPr>
          <w:trHeight w:val="540"/>
        </w:trPr>
        <w:tc>
          <w:tcPr>
            <w:tcW w:w="1180" w:type="dxa"/>
            <w:vMerge/>
            <w:tcBorders>
              <w:top w:val="nil"/>
              <w:left w:val="single" w:sz="8" w:space="0" w:color="000000"/>
              <w:bottom w:val="single" w:sz="4" w:space="0" w:color="000000"/>
              <w:right w:val="single" w:sz="4" w:space="0" w:color="auto"/>
            </w:tcBorders>
            <w:vAlign w:val="center"/>
          </w:tcPr>
          <w:p w:rsidR="008676F9" w:rsidRPr="008676F9" w:rsidRDefault="008676F9" w:rsidP="008676F9">
            <w:pPr>
              <w:rPr>
                <w:rFonts w:ascii="Calibri" w:eastAsia="Calibri" w:hAnsi="Calibri"/>
                <w:b/>
                <w:bCs/>
                <w:sz w:val="16"/>
                <w:szCs w:val="16"/>
              </w:rPr>
            </w:pPr>
          </w:p>
        </w:tc>
        <w:tc>
          <w:tcPr>
            <w:tcW w:w="1560" w:type="dxa"/>
            <w:vMerge/>
            <w:tcBorders>
              <w:top w:val="nil"/>
              <w:left w:val="nil"/>
              <w:bottom w:val="single" w:sz="4" w:space="0" w:color="auto"/>
              <w:right w:val="single" w:sz="4" w:space="0" w:color="auto"/>
            </w:tcBorders>
            <w:vAlign w:val="center"/>
          </w:tcPr>
          <w:p w:rsidR="008676F9" w:rsidRPr="008676F9" w:rsidRDefault="008676F9" w:rsidP="008676F9">
            <w:pPr>
              <w:rPr>
                <w:rFonts w:ascii="Calibri" w:eastAsia="Calibri" w:hAnsi="Calibri"/>
                <w:sz w:val="16"/>
                <w:szCs w:val="16"/>
              </w:rPr>
            </w:pPr>
          </w:p>
        </w:tc>
        <w:tc>
          <w:tcPr>
            <w:tcW w:w="4221" w:type="dxa"/>
            <w:gridSpan w:val="3"/>
            <w:tcBorders>
              <w:top w:val="single" w:sz="4" w:space="0" w:color="auto"/>
              <w:left w:val="nil"/>
              <w:bottom w:val="single" w:sz="4" w:space="0" w:color="auto"/>
              <w:right w:val="single" w:sz="4" w:space="0" w:color="auto"/>
            </w:tcBorders>
            <w:shd w:val="clear" w:color="000000" w:fill="FFFFFF"/>
            <w:vAlign w:val="center"/>
          </w:tcPr>
          <w:p w:rsidR="008676F9" w:rsidRPr="008676F9" w:rsidRDefault="008676F9" w:rsidP="008676F9">
            <w:pPr>
              <w:rPr>
                <w:rFonts w:ascii="Calibri" w:eastAsia="Calibri" w:hAnsi="Calibri"/>
                <w:sz w:val="16"/>
                <w:szCs w:val="16"/>
              </w:rPr>
            </w:pPr>
            <w:r w:rsidRPr="008676F9">
              <w:rPr>
                <w:rFonts w:ascii="Calibri" w:eastAsia="Calibri" w:hAnsi="Calibri"/>
                <w:sz w:val="16"/>
                <w:szCs w:val="16"/>
              </w:rPr>
              <w:t>Počet projektov investujúcich do rekreačnej infraštruktúry a rozvoja cestovného ruchu (7.5)</w:t>
            </w:r>
          </w:p>
        </w:tc>
        <w:tc>
          <w:tcPr>
            <w:tcW w:w="2410" w:type="dxa"/>
            <w:tcBorders>
              <w:top w:val="nil"/>
              <w:left w:val="single" w:sz="8" w:space="0" w:color="000000"/>
              <w:bottom w:val="single" w:sz="4" w:space="0" w:color="auto"/>
              <w:right w:val="single" w:sz="8" w:space="0" w:color="000000"/>
            </w:tcBorders>
            <w:shd w:val="clear" w:color="000000" w:fill="FFFFFF"/>
            <w:noWrap/>
            <w:vAlign w:val="center"/>
          </w:tcPr>
          <w:p w:rsidR="008676F9" w:rsidRPr="008676F9" w:rsidRDefault="008676F9" w:rsidP="008676F9">
            <w:pPr>
              <w:jc w:val="right"/>
              <w:rPr>
                <w:rFonts w:ascii="Calibri" w:eastAsia="Calibri" w:hAnsi="Calibri"/>
                <w:sz w:val="20"/>
                <w:szCs w:val="20"/>
              </w:rPr>
            </w:pPr>
            <w:r w:rsidRPr="008676F9">
              <w:rPr>
                <w:rFonts w:ascii="Calibri" w:eastAsia="Calibri" w:hAnsi="Calibri"/>
                <w:sz w:val="20"/>
                <w:szCs w:val="20"/>
              </w:rPr>
              <w:t xml:space="preserve">                                  30 </w:t>
            </w:r>
          </w:p>
        </w:tc>
      </w:tr>
      <w:tr w:rsidR="008676F9" w:rsidRPr="008676F9" w:rsidTr="00BB33FC">
        <w:trPr>
          <w:trHeight w:val="690"/>
        </w:trPr>
        <w:tc>
          <w:tcPr>
            <w:tcW w:w="1180" w:type="dxa"/>
            <w:vMerge/>
            <w:tcBorders>
              <w:top w:val="nil"/>
              <w:left w:val="single" w:sz="8" w:space="0" w:color="000000"/>
              <w:bottom w:val="single" w:sz="4" w:space="0" w:color="000000"/>
              <w:right w:val="single" w:sz="4" w:space="0" w:color="auto"/>
            </w:tcBorders>
            <w:vAlign w:val="center"/>
          </w:tcPr>
          <w:p w:rsidR="008676F9" w:rsidRPr="008676F9" w:rsidRDefault="008676F9" w:rsidP="008676F9">
            <w:pPr>
              <w:rPr>
                <w:rFonts w:ascii="Calibri" w:eastAsia="Calibri" w:hAnsi="Calibri"/>
                <w:b/>
                <w:bCs/>
                <w:sz w:val="16"/>
                <w:szCs w:val="16"/>
              </w:rPr>
            </w:pPr>
          </w:p>
        </w:tc>
        <w:tc>
          <w:tcPr>
            <w:tcW w:w="1560" w:type="dxa"/>
            <w:vMerge/>
            <w:tcBorders>
              <w:top w:val="nil"/>
              <w:left w:val="nil"/>
              <w:bottom w:val="single" w:sz="4" w:space="0" w:color="auto"/>
              <w:right w:val="single" w:sz="4" w:space="0" w:color="auto"/>
            </w:tcBorders>
            <w:vAlign w:val="center"/>
          </w:tcPr>
          <w:p w:rsidR="008676F9" w:rsidRPr="008676F9" w:rsidRDefault="008676F9" w:rsidP="008676F9">
            <w:pPr>
              <w:rPr>
                <w:rFonts w:ascii="Calibri" w:eastAsia="Calibri" w:hAnsi="Calibri"/>
                <w:sz w:val="16"/>
                <w:szCs w:val="16"/>
              </w:rPr>
            </w:pPr>
          </w:p>
        </w:tc>
        <w:tc>
          <w:tcPr>
            <w:tcW w:w="4221" w:type="dxa"/>
            <w:gridSpan w:val="3"/>
            <w:tcBorders>
              <w:top w:val="single" w:sz="4" w:space="0" w:color="auto"/>
              <w:left w:val="nil"/>
              <w:bottom w:val="single" w:sz="4" w:space="0" w:color="auto"/>
              <w:right w:val="single" w:sz="4" w:space="0" w:color="auto"/>
            </w:tcBorders>
            <w:shd w:val="clear" w:color="000000" w:fill="FFFFFF"/>
            <w:vAlign w:val="center"/>
          </w:tcPr>
          <w:p w:rsidR="008676F9" w:rsidRPr="008676F9" w:rsidRDefault="008676F9" w:rsidP="008676F9">
            <w:pPr>
              <w:rPr>
                <w:rFonts w:ascii="Calibri" w:eastAsia="Calibri" w:hAnsi="Calibri"/>
                <w:sz w:val="16"/>
                <w:szCs w:val="16"/>
              </w:rPr>
            </w:pPr>
            <w:r w:rsidRPr="008676F9">
              <w:rPr>
                <w:rFonts w:ascii="Calibri" w:eastAsia="Calibri" w:hAnsi="Calibri"/>
                <w:sz w:val="16"/>
                <w:szCs w:val="16"/>
              </w:rPr>
              <w:t>Počet projektov súvisiacich s udržiavaním, obnovou a skvalitňovaním kultúrneho a prírodného dedičstva (7.6)</w:t>
            </w:r>
          </w:p>
        </w:tc>
        <w:tc>
          <w:tcPr>
            <w:tcW w:w="2410" w:type="dxa"/>
            <w:tcBorders>
              <w:top w:val="nil"/>
              <w:left w:val="single" w:sz="8" w:space="0" w:color="000000"/>
              <w:bottom w:val="single" w:sz="4" w:space="0" w:color="auto"/>
              <w:right w:val="single" w:sz="8" w:space="0" w:color="000000"/>
            </w:tcBorders>
            <w:shd w:val="clear" w:color="000000" w:fill="FFFFFF"/>
            <w:noWrap/>
            <w:vAlign w:val="center"/>
          </w:tcPr>
          <w:p w:rsidR="008676F9" w:rsidRPr="008676F9" w:rsidRDefault="008676F9" w:rsidP="008676F9">
            <w:pPr>
              <w:jc w:val="right"/>
              <w:rPr>
                <w:rFonts w:ascii="Calibri" w:eastAsia="Calibri" w:hAnsi="Calibri"/>
                <w:sz w:val="20"/>
                <w:szCs w:val="20"/>
              </w:rPr>
            </w:pPr>
            <w:r w:rsidRPr="008676F9">
              <w:rPr>
                <w:rFonts w:ascii="Calibri" w:eastAsia="Calibri" w:hAnsi="Calibri"/>
                <w:sz w:val="20"/>
                <w:szCs w:val="20"/>
              </w:rPr>
              <w:t xml:space="preserve">                                  50 </w:t>
            </w:r>
          </w:p>
        </w:tc>
      </w:tr>
      <w:tr w:rsidR="008676F9" w:rsidRPr="008676F9" w:rsidTr="00BB33FC">
        <w:trPr>
          <w:trHeight w:val="420"/>
        </w:trPr>
        <w:tc>
          <w:tcPr>
            <w:tcW w:w="1180" w:type="dxa"/>
            <w:vMerge/>
            <w:tcBorders>
              <w:top w:val="nil"/>
              <w:left w:val="single" w:sz="8" w:space="0" w:color="000000"/>
              <w:bottom w:val="single" w:sz="4" w:space="0" w:color="000000"/>
              <w:right w:val="single" w:sz="4" w:space="0" w:color="auto"/>
            </w:tcBorders>
            <w:vAlign w:val="center"/>
          </w:tcPr>
          <w:p w:rsidR="008676F9" w:rsidRPr="008676F9" w:rsidRDefault="008676F9" w:rsidP="008676F9">
            <w:pPr>
              <w:rPr>
                <w:rFonts w:ascii="Calibri" w:eastAsia="Calibri" w:hAnsi="Calibri"/>
                <w:b/>
                <w:bCs/>
                <w:sz w:val="16"/>
                <w:szCs w:val="16"/>
              </w:rPr>
            </w:pPr>
          </w:p>
        </w:tc>
        <w:tc>
          <w:tcPr>
            <w:tcW w:w="1560" w:type="dxa"/>
            <w:vMerge/>
            <w:tcBorders>
              <w:top w:val="nil"/>
              <w:left w:val="nil"/>
              <w:bottom w:val="single" w:sz="4" w:space="0" w:color="auto"/>
              <w:right w:val="single" w:sz="4" w:space="0" w:color="auto"/>
            </w:tcBorders>
            <w:vAlign w:val="center"/>
          </w:tcPr>
          <w:p w:rsidR="008676F9" w:rsidRPr="008676F9" w:rsidRDefault="008676F9" w:rsidP="008676F9">
            <w:pPr>
              <w:rPr>
                <w:rFonts w:ascii="Calibri" w:eastAsia="Calibri" w:hAnsi="Calibri"/>
                <w:sz w:val="16"/>
                <w:szCs w:val="16"/>
              </w:rPr>
            </w:pPr>
          </w:p>
        </w:tc>
        <w:tc>
          <w:tcPr>
            <w:tcW w:w="4221" w:type="dxa"/>
            <w:gridSpan w:val="3"/>
            <w:tcBorders>
              <w:top w:val="single" w:sz="4" w:space="0" w:color="auto"/>
              <w:left w:val="nil"/>
              <w:bottom w:val="single" w:sz="4" w:space="0" w:color="auto"/>
              <w:right w:val="single" w:sz="4" w:space="0" w:color="auto"/>
            </w:tcBorders>
            <w:shd w:val="clear" w:color="000000" w:fill="FFFFFF"/>
            <w:vAlign w:val="center"/>
          </w:tcPr>
          <w:p w:rsidR="008676F9" w:rsidRPr="008676F9" w:rsidRDefault="008676F9" w:rsidP="008676F9">
            <w:pPr>
              <w:rPr>
                <w:rFonts w:ascii="Calibri" w:eastAsia="Calibri" w:hAnsi="Calibri"/>
                <w:sz w:val="16"/>
                <w:szCs w:val="16"/>
              </w:rPr>
            </w:pPr>
            <w:r w:rsidRPr="008676F9">
              <w:rPr>
                <w:rFonts w:ascii="Calibri" w:eastAsia="Calibri" w:hAnsi="Calibri"/>
                <w:sz w:val="16"/>
                <w:szCs w:val="16"/>
              </w:rPr>
              <w:t>Počet projektov súvisiacich s konverziou budov (7.7)</w:t>
            </w:r>
          </w:p>
        </w:tc>
        <w:tc>
          <w:tcPr>
            <w:tcW w:w="2410" w:type="dxa"/>
            <w:tcBorders>
              <w:top w:val="nil"/>
              <w:left w:val="single" w:sz="8" w:space="0" w:color="000000"/>
              <w:bottom w:val="single" w:sz="4" w:space="0" w:color="auto"/>
              <w:right w:val="single" w:sz="8" w:space="0" w:color="000000"/>
            </w:tcBorders>
            <w:shd w:val="clear" w:color="000000" w:fill="FFFFFF"/>
            <w:noWrap/>
            <w:vAlign w:val="center"/>
          </w:tcPr>
          <w:p w:rsidR="008676F9" w:rsidRPr="008676F9" w:rsidRDefault="008676F9" w:rsidP="008676F9">
            <w:pPr>
              <w:jc w:val="right"/>
              <w:rPr>
                <w:rFonts w:ascii="Calibri" w:eastAsia="Calibri" w:hAnsi="Calibri"/>
                <w:sz w:val="20"/>
                <w:szCs w:val="20"/>
              </w:rPr>
            </w:pPr>
            <w:r w:rsidRPr="008676F9">
              <w:rPr>
                <w:rFonts w:ascii="Calibri" w:eastAsia="Calibri" w:hAnsi="Calibri"/>
                <w:sz w:val="20"/>
                <w:szCs w:val="20"/>
              </w:rPr>
              <w:t xml:space="preserve">                                  10 </w:t>
            </w:r>
          </w:p>
        </w:tc>
      </w:tr>
      <w:tr w:rsidR="008676F9" w:rsidRPr="008676F9" w:rsidTr="00BB33FC">
        <w:trPr>
          <w:trHeight w:val="495"/>
        </w:trPr>
        <w:tc>
          <w:tcPr>
            <w:tcW w:w="1180" w:type="dxa"/>
            <w:vMerge/>
            <w:tcBorders>
              <w:top w:val="nil"/>
              <w:left w:val="single" w:sz="8" w:space="0" w:color="000000"/>
              <w:bottom w:val="single" w:sz="4" w:space="0" w:color="000000"/>
              <w:right w:val="single" w:sz="4" w:space="0" w:color="auto"/>
            </w:tcBorders>
            <w:vAlign w:val="center"/>
          </w:tcPr>
          <w:p w:rsidR="008676F9" w:rsidRPr="008676F9" w:rsidRDefault="008676F9" w:rsidP="008676F9">
            <w:pPr>
              <w:rPr>
                <w:rFonts w:ascii="Calibri" w:eastAsia="Calibri" w:hAnsi="Calibri"/>
                <w:b/>
                <w:bCs/>
                <w:sz w:val="16"/>
                <w:szCs w:val="16"/>
              </w:rPr>
            </w:pPr>
          </w:p>
        </w:tc>
        <w:tc>
          <w:tcPr>
            <w:tcW w:w="5781" w:type="dxa"/>
            <w:gridSpan w:val="4"/>
            <w:tcBorders>
              <w:top w:val="single" w:sz="4" w:space="0" w:color="auto"/>
              <w:left w:val="nil"/>
              <w:bottom w:val="single" w:sz="4" w:space="0" w:color="auto"/>
              <w:right w:val="single" w:sz="4" w:space="0" w:color="auto"/>
            </w:tcBorders>
            <w:shd w:val="clear" w:color="000000" w:fill="FFFFFF"/>
            <w:vAlign w:val="center"/>
          </w:tcPr>
          <w:p w:rsidR="008676F9" w:rsidRPr="008676F9" w:rsidRDefault="008676F9" w:rsidP="008676F9">
            <w:pPr>
              <w:rPr>
                <w:rFonts w:ascii="Calibri" w:eastAsia="Calibri" w:hAnsi="Calibri"/>
                <w:sz w:val="16"/>
                <w:szCs w:val="16"/>
              </w:rPr>
            </w:pPr>
            <w:r w:rsidRPr="008676F9">
              <w:rPr>
                <w:rFonts w:ascii="Calibri" w:eastAsia="Calibri" w:hAnsi="Calibri"/>
                <w:sz w:val="16"/>
                <w:szCs w:val="16"/>
              </w:rPr>
              <w:t>Celková populácia profitujúca zo zlepšenej infraštruktúry a služieb (7.2; 7.4; 7.5.;7.6; 7.7)</w:t>
            </w:r>
          </w:p>
        </w:tc>
        <w:tc>
          <w:tcPr>
            <w:tcW w:w="2410" w:type="dxa"/>
            <w:tcBorders>
              <w:top w:val="nil"/>
              <w:left w:val="single" w:sz="8" w:space="0" w:color="000000"/>
              <w:bottom w:val="single" w:sz="4" w:space="0" w:color="auto"/>
              <w:right w:val="single" w:sz="8" w:space="0" w:color="000000"/>
            </w:tcBorders>
            <w:shd w:val="clear" w:color="000000" w:fill="FFFFFF"/>
            <w:noWrap/>
            <w:vAlign w:val="center"/>
          </w:tcPr>
          <w:p w:rsidR="008676F9" w:rsidRPr="008676F9" w:rsidRDefault="008676F9" w:rsidP="008676F9">
            <w:pPr>
              <w:jc w:val="right"/>
              <w:rPr>
                <w:rFonts w:ascii="Calibri" w:eastAsia="Calibri" w:hAnsi="Calibri"/>
                <w:sz w:val="20"/>
                <w:szCs w:val="20"/>
              </w:rPr>
            </w:pPr>
            <w:r w:rsidRPr="008676F9">
              <w:rPr>
                <w:rFonts w:ascii="Calibri" w:eastAsia="Calibri" w:hAnsi="Calibri"/>
                <w:sz w:val="20"/>
                <w:szCs w:val="20"/>
              </w:rPr>
              <w:t xml:space="preserve">                          176 000 </w:t>
            </w:r>
          </w:p>
        </w:tc>
      </w:tr>
      <w:tr w:rsidR="008676F9" w:rsidRPr="008676F9" w:rsidTr="00BB33FC">
        <w:trPr>
          <w:trHeight w:val="420"/>
        </w:trPr>
        <w:tc>
          <w:tcPr>
            <w:tcW w:w="1180" w:type="dxa"/>
            <w:vMerge/>
            <w:tcBorders>
              <w:top w:val="nil"/>
              <w:left w:val="single" w:sz="8" w:space="0" w:color="000000"/>
              <w:bottom w:val="single" w:sz="4" w:space="0" w:color="000000"/>
              <w:right w:val="single" w:sz="4" w:space="0" w:color="auto"/>
            </w:tcBorders>
            <w:vAlign w:val="center"/>
          </w:tcPr>
          <w:p w:rsidR="008676F9" w:rsidRPr="008676F9" w:rsidRDefault="008676F9" w:rsidP="008676F9">
            <w:pPr>
              <w:rPr>
                <w:rFonts w:ascii="Calibri" w:eastAsia="Calibri" w:hAnsi="Calibri"/>
                <w:b/>
                <w:bCs/>
                <w:sz w:val="16"/>
                <w:szCs w:val="16"/>
              </w:rPr>
            </w:pPr>
          </w:p>
        </w:tc>
        <w:tc>
          <w:tcPr>
            <w:tcW w:w="5781" w:type="dxa"/>
            <w:gridSpan w:val="4"/>
            <w:tcBorders>
              <w:top w:val="single" w:sz="4" w:space="0" w:color="auto"/>
              <w:left w:val="nil"/>
              <w:bottom w:val="single" w:sz="4" w:space="0" w:color="auto"/>
              <w:right w:val="single" w:sz="4" w:space="0" w:color="auto"/>
            </w:tcBorders>
            <w:shd w:val="clear" w:color="000000" w:fill="FFFFFF"/>
            <w:vAlign w:val="center"/>
          </w:tcPr>
          <w:p w:rsidR="008676F9" w:rsidRPr="008676F9" w:rsidRDefault="008676F9" w:rsidP="008676F9">
            <w:pPr>
              <w:rPr>
                <w:rFonts w:ascii="Calibri" w:eastAsia="Calibri" w:hAnsi="Calibri"/>
                <w:sz w:val="16"/>
                <w:szCs w:val="16"/>
              </w:rPr>
            </w:pPr>
            <w:r w:rsidRPr="008676F9">
              <w:rPr>
                <w:rFonts w:ascii="Calibri" w:eastAsia="Calibri" w:hAnsi="Calibri"/>
                <w:sz w:val="16"/>
                <w:szCs w:val="16"/>
              </w:rPr>
              <w:t>Celkové verejné výdavky (€)(7.2; 7.4; 7.5.;7.6; 7.7)</w:t>
            </w:r>
          </w:p>
        </w:tc>
        <w:tc>
          <w:tcPr>
            <w:tcW w:w="2410" w:type="dxa"/>
            <w:tcBorders>
              <w:top w:val="nil"/>
              <w:left w:val="single" w:sz="8" w:space="0" w:color="000000"/>
              <w:bottom w:val="single" w:sz="4" w:space="0" w:color="auto"/>
              <w:right w:val="single" w:sz="8" w:space="0" w:color="000000"/>
            </w:tcBorders>
            <w:shd w:val="clear" w:color="000000" w:fill="FFFFFF"/>
            <w:noWrap/>
            <w:vAlign w:val="center"/>
          </w:tcPr>
          <w:p w:rsidR="008676F9" w:rsidRPr="008676F9" w:rsidRDefault="008676F9" w:rsidP="008676F9">
            <w:pPr>
              <w:jc w:val="right"/>
              <w:rPr>
                <w:rFonts w:ascii="Calibri" w:eastAsia="Calibri" w:hAnsi="Calibri"/>
                <w:sz w:val="20"/>
                <w:szCs w:val="20"/>
              </w:rPr>
            </w:pPr>
            <w:r w:rsidRPr="008676F9">
              <w:rPr>
                <w:rFonts w:ascii="Calibri" w:eastAsia="Calibri" w:hAnsi="Calibri"/>
                <w:sz w:val="20"/>
                <w:szCs w:val="20"/>
              </w:rPr>
              <w:t xml:space="preserve">                 80 500 000,00 </w:t>
            </w:r>
          </w:p>
        </w:tc>
      </w:tr>
      <w:tr w:rsidR="008676F9" w:rsidRPr="008676F9" w:rsidTr="00BB33FC">
        <w:trPr>
          <w:trHeight w:val="420"/>
        </w:trPr>
        <w:tc>
          <w:tcPr>
            <w:tcW w:w="1180" w:type="dxa"/>
            <w:vMerge w:val="restart"/>
            <w:tcBorders>
              <w:top w:val="nil"/>
              <w:left w:val="single" w:sz="8" w:space="0" w:color="000000"/>
              <w:bottom w:val="single" w:sz="8" w:space="0" w:color="000000"/>
              <w:right w:val="single" w:sz="4" w:space="0" w:color="auto"/>
            </w:tcBorders>
            <w:shd w:val="clear" w:color="000000" w:fill="FFFFFF"/>
            <w:vAlign w:val="center"/>
          </w:tcPr>
          <w:p w:rsidR="008676F9" w:rsidRPr="008676F9" w:rsidRDefault="008676F9" w:rsidP="008676F9">
            <w:pPr>
              <w:jc w:val="center"/>
              <w:rPr>
                <w:rFonts w:ascii="Calibri" w:eastAsia="Calibri" w:hAnsi="Calibri"/>
                <w:b/>
                <w:bCs/>
                <w:sz w:val="16"/>
                <w:szCs w:val="16"/>
              </w:rPr>
            </w:pPr>
            <w:r w:rsidRPr="008676F9">
              <w:rPr>
                <w:rFonts w:ascii="Calibri" w:eastAsia="Calibri" w:hAnsi="Calibri"/>
                <w:b/>
                <w:bCs/>
                <w:sz w:val="16"/>
                <w:szCs w:val="16"/>
              </w:rPr>
              <w:t>19 (42-44)</w:t>
            </w:r>
          </w:p>
        </w:tc>
        <w:tc>
          <w:tcPr>
            <w:tcW w:w="5781" w:type="dxa"/>
            <w:gridSpan w:val="4"/>
            <w:tcBorders>
              <w:top w:val="single" w:sz="4" w:space="0" w:color="auto"/>
              <w:left w:val="nil"/>
              <w:bottom w:val="single" w:sz="4" w:space="0" w:color="auto"/>
              <w:right w:val="single" w:sz="4" w:space="0" w:color="auto"/>
            </w:tcBorders>
            <w:shd w:val="clear" w:color="000000" w:fill="FFFFFF"/>
            <w:vAlign w:val="center"/>
          </w:tcPr>
          <w:p w:rsidR="008676F9" w:rsidRPr="008676F9" w:rsidRDefault="008676F9" w:rsidP="008676F9">
            <w:pPr>
              <w:rPr>
                <w:rFonts w:ascii="Calibri" w:eastAsia="Calibri" w:hAnsi="Calibri"/>
                <w:sz w:val="16"/>
                <w:szCs w:val="16"/>
              </w:rPr>
            </w:pPr>
            <w:r w:rsidRPr="008676F9">
              <w:rPr>
                <w:rFonts w:ascii="Calibri" w:eastAsia="Calibri" w:hAnsi="Calibri"/>
                <w:sz w:val="16"/>
                <w:szCs w:val="16"/>
              </w:rPr>
              <w:t>Počet schválených MAS</w:t>
            </w:r>
          </w:p>
        </w:tc>
        <w:tc>
          <w:tcPr>
            <w:tcW w:w="2410" w:type="dxa"/>
            <w:tcBorders>
              <w:top w:val="nil"/>
              <w:left w:val="single" w:sz="8" w:space="0" w:color="000000"/>
              <w:bottom w:val="single" w:sz="4" w:space="0" w:color="auto"/>
              <w:right w:val="single" w:sz="8" w:space="0" w:color="000000"/>
            </w:tcBorders>
            <w:shd w:val="clear" w:color="000000" w:fill="FFFFFF"/>
            <w:noWrap/>
            <w:vAlign w:val="center"/>
          </w:tcPr>
          <w:p w:rsidR="008676F9" w:rsidRPr="008676F9" w:rsidRDefault="008676F9" w:rsidP="008676F9">
            <w:pPr>
              <w:jc w:val="right"/>
              <w:rPr>
                <w:rFonts w:ascii="Calibri" w:eastAsia="Calibri" w:hAnsi="Calibri"/>
                <w:sz w:val="20"/>
                <w:szCs w:val="20"/>
              </w:rPr>
            </w:pPr>
            <w:r w:rsidRPr="008676F9">
              <w:rPr>
                <w:rFonts w:ascii="Calibri" w:eastAsia="Calibri" w:hAnsi="Calibri"/>
                <w:sz w:val="20"/>
                <w:szCs w:val="20"/>
              </w:rPr>
              <w:t xml:space="preserve">                                  50 </w:t>
            </w:r>
          </w:p>
        </w:tc>
      </w:tr>
      <w:tr w:rsidR="008676F9" w:rsidRPr="008676F9" w:rsidTr="00BB33FC">
        <w:trPr>
          <w:trHeight w:val="420"/>
        </w:trPr>
        <w:tc>
          <w:tcPr>
            <w:tcW w:w="1180" w:type="dxa"/>
            <w:vMerge/>
            <w:tcBorders>
              <w:top w:val="nil"/>
              <w:left w:val="single" w:sz="8" w:space="0" w:color="000000"/>
              <w:bottom w:val="single" w:sz="8" w:space="0" w:color="000000"/>
              <w:right w:val="single" w:sz="4" w:space="0" w:color="auto"/>
            </w:tcBorders>
            <w:vAlign w:val="center"/>
          </w:tcPr>
          <w:p w:rsidR="008676F9" w:rsidRPr="008676F9" w:rsidRDefault="008676F9" w:rsidP="008676F9">
            <w:pPr>
              <w:rPr>
                <w:rFonts w:ascii="Calibri" w:eastAsia="Calibri" w:hAnsi="Calibri"/>
                <w:b/>
                <w:bCs/>
                <w:sz w:val="16"/>
                <w:szCs w:val="16"/>
              </w:rPr>
            </w:pPr>
          </w:p>
        </w:tc>
        <w:tc>
          <w:tcPr>
            <w:tcW w:w="5781" w:type="dxa"/>
            <w:gridSpan w:val="4"/>
            <w:tcBorders>
              <w:top w:val="single" w:sz="4" w:space="0" w:color="auto"/>
              <w:left w:val="nil"/>
              <w:bottom w:val="single" w:sz="4" w:space="0" w:color="auto"/>
              <w:right w:val="single" w:sz="4" w:space="0" w:color="auto"/>
            </w:tcBorders>
            <w:shd w:val="clear" w:color="000000" w:fill="FFFFFF"/>
            <w:vAlign w:val="center"/>
          </w:tcPr>
          <w:p w:rsidR="008676F9" w:rsidRPr="008676F9" w:rsidRDefault="008676F9" w:rsidP="008676F9">
            <w:pPr>
              <w:rPr>
                <w:rFonts w:ascii="Calibri" w:eastAsia="Calibri" w:hAnsi="Calibri"/>
                <w:sz w:val="16"/>
                <w:szCs w:val="16"/>
              </w:rPr>
            </w:pPr>
            <w:r w:rsidRPr="008676F9">
              <w:rPr>
                <w:rFonts w:ascii="Calibri" w:eastAsia="Calibri" w:hAnsi="Calibri"/>
                <w:sz w:val="16"/>
                <w:szCs w:val="16"/>
              </w:rPr>
              <w:t>Počet obyvateľov v rámci schválených MAS</w:t>
            </w:r>
          </w:p>
        </w:tc>
        <w:tc>
          <w:tcPr>
            <w:tcW w:w="2410" w:type="dxa"/>
            <w:tcBorders>
              <w:top w:val="nil"/>
              <w:left w:val="single" w:sz="8" w:space="0" w:color="000000"/>
              <w:bottom w:val="single" w:sz="4" w:space="0" w:color="auto"/>
              <w:right w:val="single" w:sz="8" w:space="0" w:color="000000"/>
            </w:tcBorders>
            <w:shd w:val="clear" w:color="000000" w:fill="FFFFFF"/>
            <w:noWrap/>
            <w:vAlign w:val="center"/>
          </w:tcPr>
          <w:p w:rsidR="008676F9" w:rsidRPr="008676F9" w:rsidRDefault="008676F9" w:rsidP="008676F9">
            <w:pPr>
              <w:jc w:val="right"/>
              <w:rPr>
                <w:rFonts w:ascii="Calibri" w:eastAsia="Calibri" w:hAnsi="Calibri"/>
                <w:sz w:val="20"/>
                <w:szCs w:val="20"/>
              </w:rPr>
            </w:pPr>
            <w:r w:rsidRPr="008676F9">
              <w:rPr>
                <w:rFonts w:ascii="Calibri" w:eastAsia="Calibri" w:hAnsi="Calibri"/>
                <w:sz w:val="20"/>
                <w:szCs w:val="20"/>
              </w:rPr>
              <w:t xml:space="preserve">                          1 000 000 </w:t>
            </w:r>
          </w:p>
        </w:tc>
      </w:tr>
      <w:tr w:rsidR="008676F9" w:rsidRPr="008676F9" w:rsidTr="00BB33FC">
        <w:trPr>
          <w:trHeight w:val="705"/>
        </w:trPr>
        <w:tc>
          <w:tcPr>
            <w:tcW w:w="1180" w:type="dxa"/>
            <w:vMerge/>
            <w:tcBorders>
              <w:top w:val="nil"/>
              <w:left w:val="single" w:sz="8" w:space="0" w:color="000000"/>
              <w:bottom w:val="single" w:sz="8" w:space="0" w:color="000000"/>
              <w:right w:val="single" w:sz="4" w:space="0" w:color="auto"/>
            </w:tcBorders>
            <w:vAlign w:val="center"/>
          </w:tcPr>
          <w:p w:rsidR="008676F9" w:rsidRPr="008676F9" w:rsidRDefault="008676F9" w:rsidP="008676F9">
            <w:pPr>
              <w:rPr>
                <w:rFonts w:ascii="Calibri" w:eastAsia="Calibri" w:hAnsi="Calibri"/>
                <w:b/>
                <w:bCs/>
                <w:sz w:val="16"/>
                <w:szCs w:val="16"/>
              </w:rPr>
            </w:pPr>
          </w:p>
        </w:tc>
        <w:tc>
          <w:tcPr>
            <w:tcW w:w="1560" w:type="dxa"/>
            <w:vMerge w:val="restart"/>
            <w:tcBorders>
              <w:top w:val="nil"/>
              <w:left w:val="single" w:sz="4" w:space="0" w:color="auto"/>
              <w:bottom w:val="single" w:sz="8" w:space="0" w:color="000000"/>
              <w:right w:val="single" w:sz="4" w:space="0" w:color="auto"/>
            </w:tcBorders>
            <w:shd w:val="clear" w:color="000000" w:fill="FFFFFF"/>
            <w:vAlign w:val="center"/>
          </w:tcPr>
          <w:p w:rsidR="008676F9" w:rsidRPr="008676F9" w:rsidRDefault="008676F9" w:rsidP="008676F9">
            <w:pPr>
              <w:rPr>
                <w:rFonts w:ascii="Calibri" w:eastAsia="Calibri" w:hAnsi="Calibri"/>
                <w:sz w:val="16"/>
                <w:szCs w:val="16"/>
              </w:rPr>
            </w:pPr>
            <w:r w:rsidRPr="008676F9">
              <w:rPr>
                <w:rFonts w:ascii="Calibri" w:eastAsia="Calibri" w:hAnsi="Calibri"/>
                <w:sz w:val="16"/>
                <w:szCs w:val="16"/>
              </w:rPr>
              <w:t>Celkové verejné výdavky (€)</w:t>
            </w:r>
          </w:p>
        </w:tc>
        <w:tc>
          <w:tcPr>
            <w:tcW w:w="4221" w:type="dxa"/>
            <w:gridSpan w:val="3"/>
            <w:tcBorders>
              <w:top w:val="single" w:sz="4" w:space="0" w:color="auto"/>
              <w:left w:val="nil"/>
              <w:bottom w:val="single" w:sz="4" w:space="0" w:color="auto"/>
              <w:right w:val="single" w:sz="8" w:space="0" w:color="000000"/>
            </w:tcBorders>
            <w:shd w:val="clear" w:color="000000" w:fill="FFFFFF"/>
            <w:vAlign w:val="center"/>
          </w:tcPr>
          <w:p w:rsidR="008676F9" w:rsidRPr="008676F9" w:rsidRDefault="008676F9" w:rsidP="008676F9">
            <w:pPr>
              <w:rPr>
                <w:rFonts w:ascii="Calibri" w:eastAsia="Calibri" w:hAnsi="Calibri"/>
                <w:sz w:val="16"/>
                <w:szCs w:val="16"/>
              </w:rPr>
            </w:pPr>
            <w:r w:rsidRPr="008676F9">
              <w:rPr>
                <w:rFonts w:ascii="Calibri" w:eastAsia="Calibri" w:hAnsi="Calibri"/>
                <w:sz w:val="16"/>
                <w:szCs w:val="16"/>
              </w:rPr>
              <w:t>Podpora budovania kapacít, tréningov a sieťovania stratégie miestneho rozvoja v rámci prípravy/implementácie (19.1))</w:t>
            </w:r>
          </w:p>
        </w:tc>
        <w:tc>
          <w:tcPr>
            <w:tcW w:w="2410" w:type="dxa"/>
            <w:tcBorders>
              <w:top w:val="nil"/>
              <w:left w:val="nil"/>
              <w:bottom w:val="single" w:sz="4" w:space="0" w:color="auto"/>
              <w:right w:val="single" w:sz="8" w:space="0" w:color="000000"/>
            </w:tcBorders>
            <w:shd w:val="clear" w:color="000000" w:fill="FFFFFF"/>
            <w:noWrap/>
            <w:vAlign w:val="center"/>
          </w:tcPr>
          <w:p w:rsidR="008676F9" w:rsidRPr="008676F9" w:rsidRDefault="008676F9" w:rsidP="008676F9">
            <w:pPr>
              <w:jc w:val="right"/>
              <w:rPr>
                <w:rFonts w:ascii="Calibri" w:eastAsia="Calibri" w:hAnsi="Calibri"/>
                <w:sz w:val="20"/>
                <w:szCs w:val="20"/>
              </w:rPr>
            </w:pPr>
            <w:r w:rsidRPr="008676F9">
              <w:rPr>
                <w:rFonts w:ascii="Calibri" w:eastAsia="Calibri" w:hAnsi="Calibri"/>
                <w:sz w:val="20"/>
                <w:szCs w:val="20"/>
              </w:rPr>
              <w:t>1 500 000,00</w:t>
            </w:r>
          </w:p>
        </w:tc>
      </w:tr>
      <w:tr w:rsidR="008676F9" w:rsidRPr="008676F9" w:rsidTr="00BB33FC">
        <w:trPr>
          <w:trHeight w:val="495"/>
        </w:trPr>
        <w:tc>
          <w:tcPr>
            <w:tcW w:w="1180" w:type="dxa"/>
            <w:vMerge/>
            <w:tcBorders>
              <w:top w:val="nil"/>
              <w:left w:val="single" w:sz="8" w:space="0" w:color="000000"/>
              <w:bottom w:val="single" w:sz="8" w:space="0" w:color="000000"/>
              <w:right w:val="single" w:sz="4" w:space="0" w:color="auto"/>
            </w:tcBorders>
            <w:vAlign w:val="center"/>
          </w:tcPr>
          <w:p w:rsidR="008676F9" w:rsidRPr="008676F9" w:rsidRDefault="008676F9" w:rsidP="008676F9">
            <w:pPr>
              <w:rPr>
                <w:rFonts w:ascii="Calibri" w:eastAsia="Calibri" w:hAnsi="Calibri"/>
                <w:b/>
                <w:bCs/>
                <w:sz w:val="16"/>
                <w:szCs w:val="16"/>
              </w:rPr>
            </w:pPr>
          </w:p>
        </w:tc>
        <w:tc>
          <w:tcPr>
            <w:tcW w:w="1560" w:type="dxa"/>
            <w:vMerge/>
            <w:tcBorders>
              <w:top w:val="nil"/>
              <w:left w:val="single" w:sz="4" w:space="0" w:color="auto"/>
              <w:bottom w:val="single" w:sz="8" w:space="0" w:color="000000"/>
              <w:right w:val="single" w:sz="4" w:space="0" w:color="auto"/>
            </w:tcBorders>
            <w:vAlign w:val="center"/>
          </w:tcPr>
          <w:p w:rsidR="008676F9" w:rsidRPr="008676F9" w:rsidRDefault="008676F9" w:rsidP="008676F9">
            <w:pPr>
              <w:rPr>
                <w:rFonts w:ascii="Calibri" w:eastAsia="Calibri" w:hAnsi="Calibri"/>
                <w:sz w:val="16"/>
                <w:szCs w:val="16"/>
              </w:rPr>
            </w:pPr>
          </w:p>
        </w:tc>
        <w:tc>
          <w:tcPr>
            <w:tcW w:w="4221" w:type="dxa"/>
            <w:gridSpan w:val="3"/>
            <w:tcBorders>
              <w:top w:val="single" w:sz="4" w:space="0" w:color="auto"/>
              <w:left w:val="nil"/>
              <w:bottom w:val="single" w:sz="4" w:space="0" w:color="auto"/>
              <w:right w:val="single" w:sz="8" w:space="0" w:color="000000"/>
            </w:tcBorders>
            <w:shd w:val="clear" w:color="000000" w:fill="FFFFFF"/>
            <w:vAlign w:val="center"/>
          </w:tcPr>
          <w:p w:rsidR="008676F9" w:rsidRPr="008676F9" w:rsidRDefault="008676F9" w:rsidP="008676F9">
            <w:pPr>
              <w:rPr>
                <w:rFonts w:ascii="Calibri" w:eastAsia="Calibri" w:hAnsi="Calibri"/>
                <w:sz w:val="16"/>
                <w:szCs w:val="16"/>
              </w:rPr>
            </w:pPr>
            <w:r w:rsidRPr="008676F9">
              <w:rPr>
                <w:rFonts w:ascii="Calibri" w:eastAsia="Calibri" w:hAnsi="Calibri"/>
                <w:sz w:val="16"/>
                <w:szCs w:val="16"/>
              </w:rPr>
              <w:t>Podpora operácií v rámci stratégie miestneho rozvoja (19.2) (prispieva k d)</w:t>
            </w:r>
          </w:p>
        </w:tc>
        <w:tc>
          <w:tcPr>
            <w:tcW w:w="2410" w:type="dxa"/>
            <w:tcBorders>
              <w:top w:val="nil"/>
              <w:left w:val="nil"/>
              <w:bottom w:val="single" w:sz="4" w:space="0" w:color="auto"/>
              <w:right w:val="single" w:sz="8" w:space="0" w:color="000000"/>
            </w:tcBorders>
            <w:shd w:val="clear" w:color="000000" w:fill="FFFFFF"/>
            <w:noWrap/>
            <w:vAlign w:val="center"/>
          </w:tcPr>
          <w:p w:rsidR="008676F9" w:rsidRPr="008676F9" w:rsidRDefault="008676F9" w:rsidP="008676F9">
            <w:pPr>
              <w:jc w:val="right"/>
              <w:rPr>
                <w:rFonts w:ascii="Calibri" w:eastAsia="Calibri" w:hAnsi="Calibri"/>
                <w:sz w:val="20"/>
                <w:szCs w:val="20"/>
              </w:rPr>
            </w:pPr>
            <w:r w:rsidRPr="008676F9">
              <w:rPr>
                <w:rFonts w:ascii="Calibri" w:eastAsia="Calibri" w:hAnsi="Calibri"/>
                <w:sz w:val="20"/>
                <w:szCs w:val="20"/>
              </w:rPr>
              <w:t>81 069 182,87</w:t>
            </w:r>
          </w:p>
        </w:tc>
      </w:tr>
      <w:tr w:rsidR="008676F9" w:rsidRPr="008676F9" w:rsidTr="00BB33FC">
        <w:trPr>
          <w:trHeight w:val="495"/>
        </w:trPr>
        <w:tc>
          <w:tcPr>
            <w:tcW w:w="1180" w:type="dxa"/>
            <w:vMerge/>
            <w:tcBorders>
              <w:top w:val="nil"/>
              <w:left w:val="single" w:sz="8" w:space="0" w:color="000000"/>
              <w:bottom w:val="single" w:sz="8" w:space="0" w:color="000000"/>
              <w:right w:val="single" w:sz="4" w:space="0" w:color="auto"/>
            </w:tcBorders>
            <w:vAlign w:val="center"/>
          </w:tcPr>
          <w:p w:rsidR="008676F9" w:rsidRPr="008676F9" w:rsidRDefault="008676F9" w:rsidP="008676F9">
            <w:pPr>
              <w:rPr>
                <w:rFonts w:ascii="Calibri" w:eastAsia="Calibri" w:hAnsi="Calibri"/>
                <w:b/>
                <w:bCs/>
                <w:sz w:val="16"/>
                <w:szCs w:val="16"/>
              </w:rPr>
            </w:pPr>
          </w:p>
        </w:tc>
        <w:tc>
          <w:tcPr>
            <w:tcW w:w="1560" w:type="dxa"/>
            <w:vMerge/>
            <w:tcBorders>
              <w:top w:val="nil"/>
              <w:left w:val="single" w:sz="4" w:space="0" w:color="auto"/>
              <w:bottom w:val="single" w:sz="8" w:space="0" w:color="000000"/>
              <w:right w:val="single" w:sz="4" w:space="0" w:color="auto"/>
            </w:tcBorders>
            <w:vAlign w:val="center"/>
          </w:tcPr>
          <w:p w:rsidR="008676F9" w:rsidRPr="008676F9" w:rsidRDefault="008676F9" w:rsidP="008676F9">
            <w:pPr>
              <w:rPr>
                <w:rFonts w:ascii="Calibri" w:eastAsia="Calibri" w:hAnsi="Calibri"/>
                <w:sz w:val="16"/>
                <w:szCs w:val="16"/>
              </w:rPr>
            </w:pPr>
          </w:p>
        </w:tc>
        <w:tc>
          <w:tcPr>
            <w:tcW w:w="4221" w:type="dxa"/>
            <w:gridSpan w:val="3"/>
            <w:tcBorders>
              <w:top w:val="single" w:sz="4" w:space="0" w:color="auto"/>
              <w:left w:val="nil"/>
              <w:bottom w:val="single" w:sz="4" w:space="0" w:color="auto"/>
              <w:right w:val="single" w:sz="8" w:space="0" w:color="000000"/>
            </w:tcBorders>
            <w:shd w:val="clear" w:color="000000" w:fill="FFFFFF"/>
            <w:vAlign w:val="center"/>
          </w:tcPr>
          <w:p w:rsidR="008676F9" w:rsidRPr="008676F9" w:rsidRDefault="008676F9" w:rsidP="008676F9">
            <w:pPr>
              <w:rPr>
                <w:rFonts w:ascii="Calibri" w:eastAsia="Calibri" w:hAnsi="Calibri"/>
                <w:sz w:val="16"/>
                <w:szCs w:val="16"/>
              </w:rPr>
            </w:pPr>
            <w:r w:rsidRPr="008676F9">
              <w:rPr>
                <w:rFonts w:ascii="Calibri" w:eastAsia="Calibri" w:hAnsi="Calibri"/>
                <w:sz w:val="16"/>
                <w:szCs w:val="16"/>
              </w:rPr>
              <w:t>Príprava a implementácia projektov spolupráce miestnych akčných skupín (19.3)</w:t>
            </w:r>
          </w:p>
        </w:tc>
        <w:tc>
          <w:tcPr>
            <w:tcW w:w="2410" w:type="dxa"/>
            <w:tcBorders>
              <w:top w:val="nil"/>
              <w:left w:val="nil"/>
              <w:bottom w:val="single" w:sz="4" w:space="0" w:color="auto"/>
              <w:right w:val="single" w:sz="8" w:space="0" w:color="000000"/>
            </w:tcBorders>
            <w:shd w:val="clear" w:color="000000" w:fill="FFFFFF"/>
            <w:noWrap/>
            <w:vAlign w:val="center"/>
          </w:tcPr>
          <w:p w:rsidR="008676F9" w:rsidRPr="008676F9" w:rsidRDefault="008676F9" w:rsidP="008676F9">
            <w:pPr>
              <w:jc w:val="right"/>
              <w:rPr>
                <w:rFonts w:ascii="Calibri" w:eastAsia="Calibri" w:hAnsi="Calibri"/>
                <w:sz w:val="20"/>
                <w:szCs w:val="20"/>
              </w:rPr>
            </w:pPr>
            <w:r w:rsidRPr="008676F9">
              <w:rPr>
                <w:rFonts w:ascii="Calibri" w:eastAsia="Calibri" w:hAnsi="Calibri"/>
                <w:sz w:val="20"/>
                <w:szCs w:val="20"/>
              </w:rPr>
              <w:t>6 000 000,00</w:t>
            </w:r>
          </w:p>
        </w:tc>
      </w:tr>
      <w:tr w:rsidR="008676F9" w:rsidRPr="008676F9" w:rsidTr="00BB33FC">
        <w:trPr>
          <w:trHeight w:val="420"/>
        </w:trPr>
        <w:tc>
          <w:tcPr>
            <w:tcW w:w="1180" w:type="dxa"/>
            <w:vMerge/>
            <w:tcBorders>
              <w:top w:val="nil"/>
              <w:left w:val="single" w:sz="8" w:space="0" w:color="000000"/>
              <w:bottom w:val="single" w:sz="8" w:space="0" w:color="000000"/>
              <w:right w:val="single" w:sz="4" w:space="0" w:color="auto"/>
            </w:tcBorders>
            <w:vAlign w:val="center"/>
          </w:tcPr>
          <w:p w:rsidR="008676F9" w:rsidRPr="008676F9" w:rsidRDefault="008676F9" w:rsidP="008676F9">
            <w:pPr>
              <w:rPr>
                <w:rFonts w:ascii="Calibri" w:eastAsia="Calibri" w:hAnsi="Calibri"/>
                <w:b/>
                <w:bCs/>
                <w:sz w:val="16"/>
                <w:szCs w:val="16"/>
              </w:rPr>
            </w:pPr>
          </w:p>
        </w:tc>
        <w:tc>
          <w:tcPr>
            <w:tcW w:w="1560" w:type="dxa"/>
            <w:vMerge/>
            <w:tcBorders>
              <w:top w:val="nil"/>
              <w:left w:val="single" w:sz="4" w:space="0" w:color="auto"/>
              <w:bottom w:val="single" w:sz="8" w:space="0" w:color="000000"/>
              <w:right w:val="single" w:sz="4" w:space="0" w:color="auto"/>
            </w:tcBorders>
            <w:vAlign w:val="center"/>
          </w:tcPr>
          <w:p w:rsidR="008676F9" w:rsidRPr="008676F9" w:rsidRDefault="008676F9" w:rsidP="008676F9">
            <w:pPr>
              <w:rPr>
                <w:rFonts w:ascii="Calibri" w:eastAsia="Calibri" w:hAnsi="Calibri"/>
                <w:sz w:val="16"/>
                <w:szCs w:val="16"/>
              </w:rPr>
            </w:pPr>
          </w:p>
        </w:tc>
        <w:tc>
          <w:tcPr>
            <w:tcW w:w="4221" w:type="dxa"/>
            <w:gridSpan w:val="3"/>
            <w:tcBorders>
              <w:top w:val="single" w:sz="4" w:space="0" w:color="auto"/>
              <w:left w:val="nil"/>
              <w:bottom w:val="single" w:sz="4" w:space="0" w:color="auto"/>
              <w:right w:val="single" w:sz="8" w:space="0" w:color="000000"/>
            </w:tcBorders>
            <w:shd w:val="clear" w:color="000000" w:fill="FFFFFF"/>
            <w:vAlign w:val="center"/>
          </w:tcPr>
          <w:p w:rsidR="008676F9" w:rsidRPr="008676F9" w:rsidRDefault="008676F9" w:rsidP="008676F9">
            <w:pPr>
              <w:rPr>
                <w:rFonts w:ascii="Calibri" w:eastAsia="Calibri" w:hAnsi="Calibri"/>
                <w:sz w:val="16"/>
                <w:szCs w:val="16"/>
              </w:rPr>
            </w:pPr>
            <w:r w:rsidRPr="008676F9">
              <w:rPr>
                <w:rFonts w:ascii="Calibri" w:eastAsia="Calibri" w:hAnsi="Calibri"/>
                <w:sz w:val="16"/>
                <w:szCs w:val="16"/>
              </w:rPr>
              <w:t>Podpora prevádzkových nákladov Chod miestnej akčnej skupiny a animácie stratégie miestneho rozvoja (19.4)</w:t>
            </w:r>
          </w:p>
        </w:tc>
        <w:tc>
          <w:tcPr>
            <w:tcW w:w="2410" w:type="dxa"/>
            <w:tcBorders>
              <w:top w:val="nil"/>
              <w:left w:val="nil"/>
              <w:bottom w:val="single" w:sz="4" w:space="0" w:color="auto"/>
              <w:right w:val="single" w:sz="8" w:space="0" w:color="000000"/>
            </w:tcBorders>
            <w:shd w:val="clear" w:color="000000" w:fill="FFFFFF"/>
            <w:noWrap/>
            <w:vAlign w:val="center"/>
          </w:tcPr>
          <w:p w:rsidR="008676F9" w:rsidRPr="008676F9" w:rsidRDefault="008676F9" w:rsidP="008676F9">
            <w:pPr>
              <w:jc w:val="right"/>
              <w:rPr>
                <w:rFonts w:ascii="Calibri" w:eastAsia="Calibri" w:hAnsi="Calibri"/>
                <w:sz w:val="20"/>
                <w:szCs w:val="20"/>
              </w:rPr>
            </w:pPr>
            <w:r w:rsidRPr="008676F9">
              <w:rPr>
                <w:rFonts w:ascii="Calibri" w:eastAsia="Calibri" w:hAnsi="Calibri"/>
                <w:sz w:val="20"/>
                <w:szCs w:val="20"/>
              </w:rPr>
              <w:t>16 213 836,00</w:t>
            </w:r>
          </w:p>
        </w:tc>
      </w:tr>
    </w:tbl>
    <w:p w:rsidR="008676F9" w:rsidRPr="008676F9" w:rsidRDefault="008676F9" w:rsidP="008676F9">
      <w:pPr>
        <w:spacing w:after="200" w:line="276" w:lineRule="auto"/>
        <w:rPr>
          <w:rFonts w:ascii="Calibri" w:eastAsia="Calibri" w:hAnsi="Calibri"/>
          <w:b/>
          <w:szCs w:val="22"/>
          <w:lang w:eastAsia="en-US"/>
        </w:rPr>
      </w:pPr>
    </w:p>
    <w:p w:rsidR="008676F9" w:rsidRPr="008676F9" w:rsidRDefault="008676F9" w:rsidP="008676F9">
      <w:pPr>
        <w:spacing w:after="200" w:line="276" w:lineRule="auto"/>
        <w:rPr>
          <w:rFonts w:ascii="Calibri" w:eastAsia="Calibri" w:hAnsi="Calibri"/>
          <w:b/>
          <w:szCs w:val="22"/>
          <w:lang w:eastAsia="en-US"/>
        </w:rPr>
      </w:pPr>
    </w:p>
    <w:p w:rsidR="008676F9" w:rsidRPr="008676F9" w:rsidRDefault="008676F9" w:rsidP="008676F9">
      <w:pPr>
        <w:spacing w:after="200" w:line="276" w:lineRule="auto"/>
        <w:rPr>
          <w:rFonts w:ascii="Calibri" w:eastAsia="Calibri" w:hAnsi="Calibri"/>
          <w:b/>
          <w:szCs w:val="22"/>
          <w:lang w:eastAsia="en-US"/>
        </w:rPr>
      </w:pPr>
    </w:p>
    <w:p w:rsidR="008676F9" w:rsidRPr="008676F9" w:rsidRDefault="008676F9" w:rsidP="008676F9">
      <w:pPr>
        <w:spacing w:after="200" w:line="276" w:lineRule="auto"/>
        <w:rPr>
          <w:rFonts w:ascii="Calibri" w:eastAsia="Calibri" w:hAnsi="Calibri"/>
          <w:b/>
          <w:szCs w:val="22"/>
          <w:lang w:eastAsia="en-US"/>
        </w:rPr>
      </w:pPr>
    </w:p>
    <w:p w:rsidR="008676F9" w:rsidRPr="008676F9" w:rsidRDefault="008676F9" w:rsidP="008676F9">
      <w:pPr>
        <w:spacing w:after="200" w:line="276" w:lineRule="auto"/>
        <w:rPr>
          <w:rFonts w:ascii="Calibri" w:eastAsia="Calibri" w:hAnsi="Calibri"/>
          <w:b/>
          <w:szCs w:val="22"/>
          <w:lang w:eastAsia="en-US"/>
        </w:rPr>
      </w:pPr>
    </w:p>
    <w:tbl>
      <w:tblPr>
        <w:tblW w:w="7680" w:type="dxa"/>
        <w:tblInd w:w="55" w:type="dxa"/>
        <w:tblCellMar>
          <w:left w:w="70" w:type="dxa"/>
          <w:right w:w="70" w:type="dxa"/>
        </w:tblCellMar>
        <w:tblLook w:val="00A0" w:firstRow="1" w:lastRow="0" w:firstColumn="1" w:lastColumn="0" w:noHBand="0" w:noVBand="0"/>
      </w:tblPr>
      <w:tblGrid>
        <w:gridCol w:w="1660"/>
        <w:gridCol w:w="1660"/>
        <w:gridCol w:w="2700"/>
        <w:gridCol w:w="1660"/>
      </w:tblGrid>
      <w:tr w:rsidR="008676F9" w:rsidRPr="00E820E4" w:rsidTr="00BB33FC">
        <w:trPr>
          <w:trHeight w:val="499"/>
        </w:trPr>
        <w:tc>
          <w:tcPr>
            <w:tcW w:w="7680" w:type="dxa"/>
            <w:gridSpan w:val="4"/>
            <w:tcBorders>
              <w:top w:val="single" w:sz="8" w:space="0" w:color="000000"/>
              <w:left w:val="single" w:sz="8" w:space="0" w:color="000000"/>
              <w:bottom w:val="nil"/>
              <w:right w:val="single" w:sz="8" w:space="0" w:color="000000"/>
            </w:tcBorders>
            <w:shd w:val="clear" w:color="auto" w:fill="FFFF00"/>
            <w:vAlign w:val="center"/>
          </w:tcPr>
          <w:p w:rsidR="008676F9" w:rsidRPr="00E820E4" w:rsidRDefault="008676F9" w:rsidP="00962FCB">
            <w:pPr>
              <w:ind w:left="229" w:hanging="229"/>
              <w:rPr>
                <w:rFonts w:ascii="Calibri" w:eastAsia="Calibri" w:hAnsi="Calibri"/>
                <w:b/>
                <w:bCs/>
                <w:color w:val="000000"/>
                <w:szCs w:val="22"/>
              </w:rPr>
            </w:pPr>
            <w:r w:rsidRPr="00E820E4">
              <w:rPr>
                <w:rFonts w:ascii="Calibri" w:eastAsia="Calibri" w:hAnsi="Calibri"/>
                <w:b/>
                <w:bCs/>
                <w:color w:val="000000"/>
                <w:szCs w:val="22"/>
              </w:rPr>
              <w:t>6C Rozšírenie prístupnosti, využívania a kvality informačných a komunikačných technológií (IKT) vo vidieckych oblastiach</w:t>
            </w:r>
          </w:p>
        </w:tc>
      </w:tr>
      <w:tr w:rsidR="008676F9" w:rsidRPr="008676F9" w:rsidTr="00BB33FC">
        <w:trPr>
          <w:trHeight w:val="499"/>
        </w:trPr>
        <w:tc>
          <w:tcPr>
            <w:tcW w:w="1660" w:type="dxa"/>
            <w:vMerge w:val="restart"/>
            <w:tcBorders>
              <w:top w:val="single" w:sz="8" w:space="0" w:color="auto"/>
              <w:left w:val="single" w:sz="8" w:space="0" w:color="000000"/>
              <w:bottom w:val="single" w:sz="8" w:space="0" w:color="000000"/>
              <w:right w:val="single" w:sz="4" w:space="0" w:color="auto"/>
            </w:tcBorders>
            <w:noWrap/>
            <w:vAlign w:val="center"/>
          </w:tcPr>
          <w:p w:rsidR="008676F9" w:rsidRPr="008676F9" w:rsidRDefault="008676F9" w:rsidP="008676F9">
            <w:pPr>
              <w:jc w:val="center"/>
              <w:rPr>
                <w:rFonts w:ascii="Calibri" w:eastAsia="Calibri" w:hAnsi="Calibri"/>
                <w:b/>
                <w:bCs/>
                <w:sz w:val="18"/>
                <w:szCs w:val="18"/>
              </w:rPr>
            </w:pPr>
            <w:r w:rsidRPr="008676F9">
              <w:rPr>
                <w:rFonts w:ascii="Calibri" w:eastAsia="Calibri" w:hAnsi="Calibri"/>
                <w:b/>
                <w:bCs/>
                <w:sz w:val="18"/>
                <w:szCs w:val="18"/>
              </w:rPr>
              <w:t>Cieľová hodnota</w:t>
            </w:r>
          </w:p>
        </w:tc>
        <w:tc>
          <w:tcPr>
            <w:tcW w:w="6020" w:type="dxa"/>
            <w:gridSpan w:val="3"/>
            <w:tcBorders>
              <w:top w:val="single" w:sz="8" w:space="0" w:color="auto"/>
              <w:left w:val="nil"/>
              <w:bottom w:val="single" w:sz="4" w:space="0" w:color="auto"/>
              <w:right w:val="single" w:sz="8" w:space="0" w:color="000000"/>
            </w:tcBorders>
            <w:vAlign w:val="center"/>
          </w:tcPr>
          <w:p w:rsidR="008676F9" w:rsidRPr="008676F9" w:rsidRDefault="008676F9" w:rsidP="008676F9">
            <w:pPr>
              <w:jc w:val="center"/>
              <w:rPr>
                <w:rFonts w:ascii="Calibri" w:eastAsia="Calibri" w:hAnsi="Calibri"/>
                <w:b/>
                <w:bCs/>
                <w:sz w:val="18"/>
                <w:szCs w:val="18"/>
              </w:rPr>
            </w:pPr>
            <w:r w:rsidRPr="008676F9">
              <w:rPr>
                <w:rFonts w:ascii="Calibri" w:eastAsia="Calibri" w:hAnsi="Calibri"/>
                <w:b/>
                <w:bCs/>
                <w:sz w:val="18"/>
                <w:szCs w:val="18"/>
              </w:rPr>
              <w:t xml:space="preserve">Populácia majúca prospech z novej alebo zlepšenej informačnej infraštruktúry </w:t>
            </w:r>
          </w:p>
        </w:tc>
      </w:tr>
      <w:tr w:rsidR="008676F9" w:rsidRPr="008676F9" w:rsidTr="00BB33FC">
        <w:trPr>
          <w:trHeight w:val="499"/>
        </w:trPr>
        <w:tc>
          <w:tcPr>
            <w:tcW w:w="1660" w:type="dxa"/>
            <w:vMerge/>
            <w:tcBorders>
              <w:top w:val="single" w:sz="8" w:space="0" w:color="auto"/>
              <w:left w:val="single" w:sz="8" w:space="0" w:color="000000"/>
              <w:bottom w:val="single" w:sz="8" w:space="0" w:color="000000"/>
              <w:right w:val="single" w:sz="4" w:space="0" w:color="auto"/>
            </w:tcBorders>
            <w:vAlign w:val="center"/>
          </w:tcPr>
          <w:p w:rsidR="008676F9" w:rsidRPr="008676F9" w:rsidRDefault="008676F9" w:rsidP="008676F9">
            <w:pPr>
              <w:rPr>
                <w:rFonts w:ascii="Calibri" w:eastAsia="Calibri" w:hAnsi="Calibri"/>
                <w:b/>
                <w:bCs/>
                <w:sz w:val="18"/>
                <w:szCs w:val="18"/>
              </w:rPr>
            </w:pPr>
          </w:p>
        </w:tc>
        <w:tc>
          <w:tcPr>
            <w:tcW w:w="6020" w:type="dxa"/>
            <w:gridSpan w:val="3"/>
            <w:tcBorders>
              <w:top w:val="single" w:sz="4" w:space="0" w:color="auto"/>
              <w:left w:val="nil"/>
              <w:bottom w:val="single" w:sz="4" w:space="0" w:color="auto"/>
              <w:right w:val="single" w:sz="8" w:space="0" w:color="000000"/>
            </w:tcBorders>
            <w:vAlign w:val="center"/>
          </w:tcPr>
          <w:p w:rsidR="008676F9" w:rsidRPr="008676F9" w:rsidRDefault="008676F9" w:rsidP="008676F9">
            <w:pPr>
              <w:jc w:val="center"/>
              <w:rPr>
                <w:rFonts w:ascii="Calibri" w:eastAsia="Calibri" w:hAnsi="Calibri"/>
                <w:b/>
                <w:bCs/>
                <w:sz w:val="18"/>
                <w:szCs w:val="18"/>
              </w:rPr>
            </w:pPr>
            <w:r w:rsidRPr="008676F9">
              <w:rPr>
                <w:rFonts w:ascii="Calibri" w:eastAsia="Calibri" w:hAnsi="Calibri"/>
                <w:b/>
                <w:bCs/>
                <w:sz w:val="18"/>
                <w:szCs w:val="18"/>
              </w:rPr>
              <w:t>r.2020</w:t>
            </w:r>
          </w:p>
        </w:tc>
      </w:tr>
      <w:tr w:rsidR="008676F9" w:rsidRPr="008676F9" w:rsidTr="00BB33FC">
        <w:trPr>
          <w:trHeight w:val="499"/>
        </w:trPr>
        <w:tc>
          <w:tcPr>
            <w:tcW w:w="1660" w:type="dxa"/>
            <w:vMerge/>
            <w:tcBorders>
              <w:top w:val="single" w:sz="8" w:space="0" w:color="auto"/>
              <w:left w:val="single" w:sz="8" w:space="0" w:color="000000"/>
              <w:bottom w:val="single" w:sz="8" w:space="0" w:color="000000"/>
              <w:right w:val="single" w:sz="4" w:space="0" w:color="auto"/>
            </w:tcBorders>
            <w:vAlign w:val="center"/>
          </w:tcPr>
          <w:p w:rsidR="008676F9" w:rsidRPr="008676F9" w:rsidRDefault="008676F9" w:rsidP="008676F9">
            <w:pPr>
              <w:rPr>
                <w:rFonts w:ascii="Calibri" w:eastAsia="Calibri" w:hAnsi="Calibri"/>
                <w:b/>
                <w:bCs/>
                <w:sz w:val="18"/>
                <w:szCs w:val="18"/>
              </w:rPr>
            </w:pPr>
          </w:p>
        </w:tc>
        <w:tc>
          <w:tcPr>
            <w:tcW w:w="6020" w:type="dxa"/>
            <w:gridSpan w:val="3"/>
            <w:tcBorders>
              <w:top w:val="single" w:sz="4" w:space="0" w:color="auto"/>
              <w:left w:val="nil"/>
              <w:bottom w:val="single" w:sz="8" w:space="0" w:color="auto"/>
              <w:right w:val="single" w:sz="8" w:space="0" w:color="000000"/>
            </w:tcBorders>
            <w:vAlign w:val="center"/>
          </w:tcPr>
          <w:p w:rsidR="008676F9" w:rsidRPr="008676F9" w:rsidRDefault="008676F9" w:rsidP="008676F9">
            <w:pPr>
              <w:jc w:val="center"/>
              <w:rPr>
                <w:rFonts w:ascii="Calibri" w:eastAsia="Calibri" w:hAnsi="Calibri"/>
                <w:b/>
                <w:bCs/>
                <w:sz w:val="18"/>
                <w:szCs w:val="18"/>
              </w:rPr>
            </w:pPr>
            <w:r w:rsidRPr="008676F9">
              <w:rPr>
                <w:rFonts w:ascii="Calibri" w:eastAsia="Calibri" w:hAnsi="Calibri"/>
                <w:b/>
                <w:bCs/>
                <w:sz w:val="18"/>
                <w:szCs w:val="18"/>
              </w:rPr>
              <w:t>52</w:t>
            </w:r>
            <w:r w:rsidR="00D01739">
              <w:rPr>
                <w:rFonts w:ascii="Calibri" w:eastAsia="Calibri" w:hAnsi="Calibri"/>
                <w:b/>
                <w:bCs/>
                <w:sz w:val="18"/>
                <w:szCs w:val="18"/>
              </w:rPr>
              <w:t xml:space="preserve"> </w:t>
            </w:r>
            <w:r w:rsidRPr="008676F9">
              <w:rPr>
                <w:rFonts w:ascii="Calibri" w:eastAsia="Calibri" w:hAnsi="Calibri"/>
                <w:b/>
                <w:bCs/>
                <w:sz w:val="18"/>
                <w:szCs w:val="18"/>
              </w:rPr>
              <w:t>500</w:t>
            </w:r>
          </w:p>
        </w:tc>
      </w:tr>
      <w:tr w:rsidR="008676F9" w:rsidRPr="008676F9" w:rsidTr="00BB33FC">
        <w:trPr>
          <w:trHeight w:val="175"/>
        </w:trPr>
        <w:tc>
          <w:tcPr>
            <w:tcW w:w="7680" w:type="dxa"/>
            <w:gridSpan w:val="4"/>
            <w:tcBorders>
              <w:top w:val="single" w:sz="8" w:space="0" w:color="auto"/>
              <w:left w:val="single" w:sz="8" w:space="0" w:color="000000"/>
              <w:bottom w:val="nil"/>
              <w:right w:val="single" w:sz="8" w:space="0" w:color="000000"/>
            </w:tcBorders>
            <w:noWrap/>
            <w:vAlign w:val="center"/>
          </w:tcPr>
          <w:p w:rsidR="008676F9" w:rsidRPr="008676F9" w:rsidRDefault="008676F9" w:rsidP="008676F9">
            <w:pPr>
              <w:jc w:val="center"/>
              <w:rPr>
                <w:rFonts w:ascii="Calibri" w:eastAsia="Calibri" w:hAnsi="Calibri"/>
                <w:b/>
                <w:bCs/>
                <w:sz w:val="20"/>
                <w:szCs w:val="20"/>
              </w:rPr>
            </w:pPr>
            <w:r w:rsidRPr="008676F9">
              <w:rPr>
                <w:rFonts w:ascii="Calibri" w:eastAsia="Calibri" w:hAnsi="Calibri"/>
                <w:b/>
                <w:bCs/>
                <w:sz w:val="20"/>
                <w:szCs w:val="20"/>
              </w:rPr>
              <w:t> </w:t>
            </w:r>
          </w:p>
        </w:tc>
      </w:tr>
      <w:tr w:rsidR="008676F9" w:rsidRPr="008676F9" w:rsidTr="00BB33FC">
        <w:trPr>
          <w:trHeight w:val="499"/>
        </w:trPr>
        <w:tc>
          <w:tcPr>
            <w:tcW w:w="7680" w:type="dxa"/>
            <w:gridSpan w:val="4"/>
            <w:tcBorders>
              <w:top w:val="single" w:sz="8" w:space="0" w:color="000000"/>
              <w:left w:val="single" w:sz="8" w:space="0" w:color="000000"/>
              <w:bottom w:val="single" w:sz="8" w:space="0" w:color="000000"/>
              <w:right w:val="single" w:sz="8" w:space="0" w:color="000000"/>
            </w:tcBorders>
            <w:noWrap/>
            <w:vAlign w:val="center"/>
          </w:tcPr>
          <w:p w:rsidR="008676F9" w:rsidRPr="008676F9" w:rsidRDefault="008676F9" w:rsidP="008676F9">
            <w:pPr>
              <w:jc w:val="center"/>
              <w:rPr>
                <w:rFonts w:ascii="Calibri" w:eastAsia="Calibri" w:hAnsi="Calibri"/>
                <w:b/>
                <w:bCs/>
                <w:sz w:val="20"/>
                <w:szCs w:val="20"/>
              </w:rPr>
            </w:pPr>
            <w:r w:rsidRPr="008676F9">
              <w:rPr>
                <w:rFonts w:ascii="Calibri" w:eastAsia="Calibri" w:hAnsi="Calibri"/>
                <w:b/>
                <w:bCs/>
                <w:sz w:val="20"/>
                <w:szCs w:val="20"/>
              </w:rPr>
              <w:t>plánovaný výstup 2014-2020</w:t>
            </w:r>
          </w:p>
        </w:tc>
      </w:tr>
      <w:tr w:rsidR="008676F9" w:rsidRPr="008676F9" w:rsidTr="00BB33FC">
        <w:trPr>
          <w:trHeight w:val="499"/>
        </w:trPr>
        <w:tc>
          <w:tcPr>
            <w:tcW w:w="1660" w:type="dxa"/>
            <w:tcBorders>
              <w:top w:val="nil"/>
              <w:left w:val="single" w:sz="8" w:space="0" w:color="000000"/>
              <w:bottom w:val="nil"/>
              <w:right w:val="nil"/>
            </w:tcBorders>
            <w:noWrap/>
            <w:vAlign w:val="center"/>
          </w:tcPr>
          <w:p w:rsidR="008676F9" w:rsidRPr="008676F9" w:rsidRDefault="008676F9" w:rsidP="008676F9">
            <w:pPr>
              <w:jc w:val="center"/>
              <w:rPr>
                <w:rFonts w:ascii="Calibri" w:eastAsia="Calibri" w:hAnsi="Calibri"/>
                <w:b/>
                <w:bCs/>
                <w:sz w:val="20"/>
                <w:szCs w:val="20"/>
              </w:rPr>
            </w:pPr>
            <w:r w:rsidRPr="008676F9">
              <w:rPr>
                <w:rFonts w:ascii="Calibri" w:eastAsia="Calibri" w:hAnsi="Calibri"/>
                <w:b/>
                <w:bCs/>
                <w:sz w:val="20"/>
                <w:szCs w:val="20"/>
              </w:rPr>
              <w:t>Opatrenia</w:t>
            </w:r>
          </w:p>
        </w:tc>
        <w:tc>
          <w:tcPr>
            <w:tcW w:w="6020" w:type="dxa"/>
            <w:gridSpan w:val="3"/>
            <w:tcBorders>
              <w:top w:val="nil"/>
              <w:left w:val="nil"/>
              <w:bottom w:val="single" w:sz="4" w:space="0" w:color="auto"/>
              <w:right w:val="single" w:sz="8" w:space="0" w:color="000000"/>
            </w:tcBorders>
            <w:noWrap/>
            <w:vAlign w:val="center"/>
          </w:tcPr>
          <w:p w:rsidR="008676F9" w:rsidRPr="008676F9" w:rsidRDefault="008676F9" w:rsidP="008676F9">
            <w:pPr>
              <w:jc w:val="center"/>
              <w:rPr>
                <w:rFonts w:ascii="Calibri" w:eastAsia="Calibri" w:hAnsi="Calibri"/>
                <w:b/>
                <w:bCs/>
                <w:sz w:val="20"/>
                <w:szCs w:val="20"/>
              </w:rPr>
            </w:pPr>
            <w:r w:rsidRPr="008676F9">
              <w:rPr>
                <w:rFonts w:ascii="Calibri" w:eastAsia="Calibri" w:hAnsi="Calibri"/>
                <w:b/>
                <w:bCs/>
                <w:sz w:val="20"/>
                <w:szCs w:val="20"/>
              </w:rPr>
              <w:t> </w:t>
            </w:r>
          </w:p>
        </w:tc>
      </w:tr>
      <w:tr w:rsidR="008676F9" w:rsidRPr="008676F9" w:rsidTr="00BB33FC">
        <w:trPr>
          <w:trHeight w:val="510"/>
        </w:trPr>
        <w:tc>
          <w:tcPr>
            <w:tcW w:w="1660" w:type="dxa"/>
            <w:vMerge w:val="restart"/>
            <w:tcBorders>
              <w:top w:val="single" w:sz="4" w:space="0" w:color="auto"/>
              <w:left w:val="single" w:sz="8" w:space="0" w:color="000000"/>
              <w:bottom w:val="single" w:sz="4" w:space="0" w:color="000000"/>
              <w:right w:val="single" w:sz="4" w:space="0" w:color="auto"/>
            </w:tcBorders>
            <w:vAlign w:val="center"/>
          </w:tcPr>
          <w:p w:rsidR="008676F9" w:rsidRPr="008676F9" w:rsidRDefault="008676F9" w:rsidP="008676F9">
            <w:pPr>
              <w:jc w:val="center"/>
              <w:rPr>
                <w:rFonts w:ascii="Calibri" w:eastAsia="Calibri" w:hAnsi="Calibri"/>
                <w:b/>
                <w:bCs/>
                <w:sz w:val="16"/>
                <w:szCs w:val="16"/>
              </w:rPr>
            </w:pPr>
            <w:r w:rsidRPr="008676F9">
              <w:rPr>
                <w:rFonts w:ascii="Calibri" w:eastAsia="Calibri" w:hAnsi="Calibri"/>
                <w:b/>
                <w:bCs/>
                <w:sz w:val="16"/>
                <w:szCs w:val="16"/>
              </w:rPr>
              <w:t>7 (20)</w:t>
            </w:r>
          </w:p>
        </w:tc>
        <w:tc>
          <w:tcPr>
            <w:tcW w:w="4360" w:type="dxa"/>
            <w:gridSpan w:val="2"/>
            <w:tcBorders>
              <w:top w:val="single" w:sz="4" w:space="0" w:color="auto"/>
              <w:left w:val="nil"/>
              <w:bottom w:val="single" w:sz="4" w:space="0" w:color="auto"/>
              <w:right w:val="single" w:sz="4" w:space="0" w:color="000000"/>
            </w:tcBorders>
            <w:vAlign w:val="center"/>
          </w:tcPr>
          <w:p w:rsidR="008676F9" w:rsidRPr="008676F9" w:rsidRDefault="008676F9" w:rsidP="00006FEA">
            <w:pPr>
              <w:rPr>
                <w:rFonts w:ascii="Calibri" w:eastAsia="Calibri" w:hAnsi="Calibri"/>
                <w:sz w:val="16"/>
                <w:szCs w:val="16"/>
              </w:rPr>
            </w:pPr>
            <w:r w:rsidRPr="008676F9">
              <w:rPr>
                <w:rFonts w:ascii="Calibri" w:eastAsia="Calibri" w:hAnsi="Calibri"/>
                <w:sz w:val="16"/>
                <w:szCs w:val="16"/>
              </w:rPr>
              <w:t xml:space="preserve">Počet projektov investujúcich do </w:t>
            </w:r>
            <w:r w:rsidR="00006FEA">
              <w:rPr>
                <w:rFonts w:ascii="Calibri" w:eastAsia="Calibri" w:hAnsi="Calibri"/>
                <w:sz w:val="16"/>
                <w:szCs w:val="16"/>
              </w:rPr>
              <w:t xml:space="preserve">budovania </w:t>
            </w:r>
            <w:r w:rsidRPr="008676F9">
              <w:rPr>
                <w:rFonts w:ascii="Calibri" w:eastAsia="Calibri" w:hAnsi="Calibri"/>
                <w:sz w:val="16"/>
                <w:szCs w:val="16"/>
              </w:rPr>
              <w:t>širokopásmového  prístupu</w:t>
            </w:r>
            <w:r w:rsidR="00006FEA">
              <w:rPr>
                <w:rFonts w:ascii="Calibri" w:eastAsia="Calibri" w:hAnsi="Calibri"/>
                <w:sz w:val="16"/>
                <w:szCs w:val="16"/>
              </w:rPr>
              <w:t xml:space="preserve"> (last mile connection)</w:t>
            </w:r>
            <w:r w:rsidRPr="008676F9">
              <w:rPr>
                <w:rFonts w:ascii="Calibri" w:eastAsia="Calibri" w:hAnsi="Calibri"/>
                <w:sz w:val="16"/>
                <w:szCs w:val="16"/>
              </w:rPr>
              <w:t xml:space="preserve"> (7.3)</w:t>
            </w:r>
          </w:p>
        </w:tc>
        <w:tc>
          <w:tcPr>
            <w:tcW w:w="1660" w:type="dxa"/>
            <w:tcBorders>
              <w:top w:val="nil"/>
              <w:left w:val="nil"/>
              <w:bottom w:val="single" w:sz="4" w:space="0" w:color="auto"/>
              <w:right w:val="single" w:sz="8" w:space="0" w:color="000000"/>
            </w:tcBorders>
            <w:noWrap/>
            <w:vAlign w:val="center"/>
          </w:tcPr>
          <w:p w:rsidR="008676F9" w:rsidRPr="008676F9" w:rsidRDefault="008676F9" w:rsidP="008676F9">
            <w:pPr>
              <w:jc w:val="right"/>
              <w:rPr>
                <w:rFonts w:ascii="Calibri" w:eastAsia="Calibri" w:hAnsi="Calibri"/>
                <w:sz w:val="20"/>
                <w:szCs w:val="20"/>
              </w:rPr>
            </w:pPr>
            <w:r w:rsidRPr="008676F9">
              <w:rPr>
                <w:rFonts w:ascii="Calibri" w:eastAsia="Calibri" w:hAnsi="Calibri"/>
                <w:sz w:val="20"/>
                <w:szCs w:val="20"/>
              </w:rPr>
              <w:t xml:space="preserve">                    135 </w:t>
            </w:r>
          </w:p>
        </w:tc>
      </w:tr>
      <w:tr w:rsidR="008676F9" w:rsidRPr="008676F9" w:rsidTr="00BB33FC">
        <w:trPr>
          <w:trHeight w:val="499"/>
        </w:trPr>
        <w:tc>
          <w:tcPr>
            <w:tcW w:w="1660" w:type="dxa"/>
            <w:vMerge/>
            <w:tcBorders>
              <w:top w:val="single" w:sz="4" w:space="0" w:color="auto"/>
              <w:left w:val="single" w:sz="8" w:space="0" w:color="000000"/>
              <w:bottom w:val="single" w:sz="4" w:space="0" w:color="000000"/>
              <w:right w:val="single" w:sz="4" w:space="0" w:color="auto"/>
            </w:tcBorders>
            <w:vAlign w:val="center"/>
          </w:tcPr>
          <w:p w:rsidR="008676F9" w:rsidRPr="008676F9" w:rsidRDefault="008676F9" w:rsidP="008676F9">
            <w:pPr>
              <w:rPr>
                <w:rFonts w:ascii="Calibri" w:eastAsia="Calibri" w:hAnsi="Calibri"/>
                <w:b/>
                <w:bCs/>
                <w:sz w:val="16"/>
                <w:szCs w:val="16"/>
              </w:rPr>
            </w:pPr>
          </w:p>
        </w:tc>
        <w:tc>
          <w:tcPr>
            <w:tcW w:w="4360" w:type="dxa"/>
            <w:gridSpan w:val="2"/>
            <w:tcBorders>
              <w:top w:val="single" w:sz="4" w:space="0" w:color="auto"/>
              <w:left w:val="nil"/>
              <w:bottom w:val="single" w:sz="4" w:space="0" w:color="auto"/>
              <w:right w:val="single" w:sz="4" w:space="0" w:color="auto"/>
            </w:tcBorders>
            <w:vAlign w:val="center"/>
          </w:tcPr>
          <w:p w:rsidR="008676F9" w:rsidRPr="008676F9" w:rsidRDefault="008676F9" w:rsidP="008676F9">
            <w:pPr>
              <w:rPr>
                <w:rFonts w:ascii="Calibri" w:eastAsia="Calibri" w:hAnsi="Calibri"/>
                <w:sz w:val="16"/>
                <w:szCs w:val="16"/>
              </w:rPr>
            </w:pPr>
            <w:r w:rsidRPr="008676F9">
              <w:rPr>
                <w:rFonts w:ascii="Calibri" w:eastAsia="Calibri" w:hAnsi="Calibri"/>
                <w:sz w:val="16"/>
                <w:szCs w:val="16"/>
              </w:rPr>
              <w:t xml:space="preserve">Populácia majúca prospech z nových alebo zlepšených infraštruktúr IT </w:t>
            </w:r>
          </w:p>
        </w:tc>
        <w:tc>
          <w:tcPr>
            <w:tcW w:w="1660" w:type="dxa"/>
            <w:tcBorders>
              <w:top w:val="nil"/>
              <w:left w:val="nil"/>
              <w:bottom w:val="single" w:sz="4" w:space="0" w:color="auto"/>
              <w:right w:val="single" w:sz="8" w:space="0" w:color="000000"/>
            </w:tcBorders>
            <w:noWrap/>
            <w:vAlign w:val="center"/>
          </w:tcPr>
          <w:p w:rsidR="008676F9" w:rsidRPr="008676F9" w:rsidRDefault="008676F9" w:rsidP="008676F9">
            <w:pPr>
              <w:jc w:val="right"/>
              <w:rPr>
                <w:rFonts w:ascii="Calibri" w:eastAsia="Calibri" w:hAnsi="Calibri"/>
                <w:sz w:val="20"/>
                <w:szCs w:val="20"/>
              </w:rPr>
            </w:pPr>
            <w:r w:rsidRPr="008676F9">
              <w:rPr>
                <w:rFonts w:ascii="Calibri" w:eastAsia="Calibri" w:hAnsi="Calibri"/>
                <w:sz w:val="20"/>
                <w:szCs w:val="20"/>
              </w:rPr>
              <w:t xml:space="preserve">               52 500 </w:t>
            </w:r>
          </w:p>
        </w:tc>
      </w:tr>
      <w:tr w:rsidR="008676F9" w:rsidRPr="008676F9" w:rsidTr="00BB33FC">
        <w:trPr>
          <w:trHeight w:val="499"/>
        </w:trPr>
        <w:tc>
          <w:tcPr>
            <w:tcW w:w="1660" w:type="dxa"/>
            <w:vMerge/>
            <w:tcBorders>
              <w:top w:val="single" w:sz="4" w:space="0" w:color="auto"/>
              <w:left w:val="single" w:sz="8" w:space="0" w:color="000000"/>
              <w:bottom w:val="single" w:sz="4" w:space="0" w:color="000000"/>
              <w:right w:val="single" w:sz="4" w:space="0" w:color="auto"/>
            </w:tcBorders>
            <w:vAlign w:val="center"/>
          </w:tcPr>
          <w:p w:rsidR="008676F9" w:rsidRPr="008676F9" w:rsidRDefault="008676F9" w:rsidP="008676F9">
            <w:pPr>
              <w:rPr>
                <w:rFonts w:ascii="Calibri" w:eastAsia="Calibri" w:hAnsi="Calibri"/>
                <w:b/>
                <w:bCs/>
                <w:sz w:val="16"/>
                <w:szCs w:val="16"/>
              </w:rPr>
            </w:pPr>
          </w:p>
        </w:tc>
        <w:tc>
          <w:tcPr>
            <w:tcW w:w="4360" w:type="dxa"/>
            <w:gridSpan w:val="2"/>
            <w:tcBorders>
              <w:top w:val="single" w:sz="4" w:space="0" w:color="auto"/>
              <w:left w:val="nil"/>
              <w:bottom w:val="single" w:sz="4" w:space="0" w:color="auto"/>
              <w:right w:val="single" w:sz="4" w:space="0" w:color="auto"/>
            </w:tcBorders>
            <w:vAlign w:val="center"/>
          </w:tcPr>
          <w:p w:rsidR="008676F9" w:rsidRPr="008676F9" w:rsidRDefault="008676F9" w:rsidP="008676F9">
            <w:pPr>
              <w:rPr>
                <w:rFonts w:ascii="Calibri" w:eastAsia="Calibri" w:hAnsi="Calibri"/>
                <w:sz w:val="16"/>
                <w:szCs w:val="16"/>
              </w:rPr>
            </w:pPr>
            <w:r w:rsidRPr="008676F9">
              <w:rPr>
                <w:rFonts w:ascii="Calibri" w:eastAsia="Calibri" w:hAnsi="Calibri"/>
                <w:sz w:val="16"/>
                <w:szCs w:val="16"/>
              </w:rPr>
              <w:t>Celkové verejné výdavky (€)</w:t>
            </w:r>
          </w:p>
        </w:tc>
        <w:tc>
          <w:tcPr>
            <w:tcW w:w="1660" w:type="dxa"/>
            <w:tcBorders>
              <w:top w:val="nil"/>
              <w:left w:val="nil"/>
              <w:bottom w:val="single" w:sz="4" w:space="0" w:color="auto"/>
              <w:right w:val="single" w:sz="8" w:space="0" w:color="000000"/>
            </w:tcBorders>
            <w:noWrap/>
            <w:vAlign w:val="center"/>
          </w:tcPr>
          <w:p w:rsidR="008676F9" w:rsidRPr="008676F9" w:rsidRDefault="008676F9" w:rsidP="008676F9">
            <w:pPr>
              <w:jc w:val="right"/>
              <w:rPr>
                <w:rFonts w:ascii="Calibri" w:eastAsia="Calibri" w:hAnsi="Calibri"/>
                <w:sz w:val="20"/>
                <w:szCs w:val="20"/>
              </w:rPr>
            </w:pPr>
            <w:r w:rsidRPr="008676F9">
              <w:rPr>
                <w:rFonts w:ascii="Calibri" w:eastAsia="Calibri" w:hAnsi="Calibri"/>
                <w:sz w:val="20"/>
                <w:szCs w:val="20"/>
              </w:rPr>
              <w:t xml:space="preserve">    27 000 000,00 </w:t>
            </w:r>
          </w:p>
        </w:tc>
      </w:tr>
      <w:tr w:rsidR="00006FEA" w:rsidRPr="008676F9" w:rsidTr="00BB33FC">
        <w:trPr>
          <w:trHeight w:val="499"/>
        </w:trPr>
        <w:tc>
          <w:tcPr>
            <w:tcW w:w="1660" w:type="dxa"/>
            <w:vMerge w:val="restart"/>
            <w:tcBorders>
              <w:top w:val="nil"/>
              <w:left w:val="single" w:sz="8" w:space="0" w:color="000000"/>
              <w:bottom w:val="single" w:sz="8" w:space="0" w:color="000000"/>
              <w:right w:val="single" w:sz="4" w:space="0" w:color="auto"/>
            </w:tcBorders>
            <w:vAlign w:val="center"/>
          </w:tcPr>
          <w:p w:rsidR="00006FEA" w:rsidRPr="008676F9" w:rsidRDefault="00006FEA" w:rsidP="008676F9">
            <w:pPr>
              <w:jc w:val="center"/>
              <w:rPr>
                <w:rFonts w:ascii="Calibri" w:eastAsia="Calibri" w:hAnsi="Calibri"/>
                <w:b/>
                <w:bCs/>
                <w:sz w:val="16"/>
                <w:szCs w:val="16"/>
              </w:rPr>
            </w:pPr>
            <w:r w:rsidRPr="008676F9">
              <w:rPr>
                <w:rFonts w:ascii="Calibri" w:eastAsia="Calibri" w:hAnsi="Calibri"/>
                <w:b/>
                <w:bCs/>
                <w:sz w:val="16"/>
                <w:szCs w:val="16"/>
              </w:rPr>
              <w:t>1 (14)</w:t>
            </w:r>
          </w:p>
        </w:tc>
        <w:tc>
          <w:tcPr>
            <w:tcW w:w="1660" w:type="dxa"/>
            <w:vMerge w:val="restart"/>
            <w:tcBorders>
              <w:top w:val="nil"/>
              <w:left w:val="single" w:sz="4" w:space="0" w:color="auto"/>
              <w:bottom w:val="single" w:sz="4" w:space="0" w:color="auto"/>
              <w:right w:val="single" w:sz="4" w:space="0" w:color="auto"/>
            </w:tcBorders>
            <w:vAlign w:val="center"/>
          </w:tcPr>
          <w:p w:rsidR="00006FEA" w:rsidRPr="008676F9" w:rsidRDefault="00006FEA" w:rsidP="008676F9">
            <w:pPr>
              <w:rPr>
                <w:rFonts w:ascii="Calibri" w:eastAsia="Calibri" w:hAnsi="Calibri"/>
                <w:sz w:val="16"/>
                <w:szCs w:val="16"/>
              </w:rPr>
            </w:pPr>
            <w:r w:rsidRPr="008676F9">
              <w:rPr>
                <w:rFonts w:ascii="Calibri" w:eastAsia="Calibri" w:hAnsi="Calibri"/>
                <w:sz w:val="16"/>
                <w:szCs w:val="16"/>
              </w:rPr>
              <w:t xml:space="preserve">Školenia/získavanie </w:t>
            </w:r>
            <w:r w:rsidRPr="008676F9">
              <w:rPr>
                <w:rFonts w:ascii="Calibri" w:eastAsia="Calibri" w:hAnsi="Calibri"/>
                <w:sz w:val="16"/>
                <w:szCs w:val="16"/>
              </w:rPr>
              <w:br/>
              <w:t>praktických zručností  (1.1)</w:t>
            </w:r>
          </w:p>
        </w:tc>
        <w:tc>
          <w:tcPr>
            <w:tcW w:w="2700" w:type="dxa"/>
            <w:tcBorders>
              <w:top w:val="nil"/>
              <w:left w:val="nil"/>
              <w:bottom w:val="single" w:sz="4" w:space="0" w:color="auto"/>
              <w:right w:val="single" w:sz="4" w:space="0" w:color="auto"/>
            </w:tcBorders>
            <w:vAlign w:val="center"/>
          </w:tcPr>
          <w:p w:rsidR="00006FEA" w:rsidRPr="008676F9" w:rsidRDefault="00006FEA" w:rsidP="008676F9">
            <w:pPr>
              <w:rPr>
                <w:rFonts w:ascii="Calibri" w:eastAsia="Calibri" w:hAnsi="Calibri"/>
                <w:sz w:val="16"/>
                <w:szCs w:val="16"/>
              </w:rPr>
            </w:pPr>
            <w:r w:rsidRPr="008676F9">
              <w:rPr>
                <w:rFonts w:ascii="Calibri" w:eastAsia="Calibri" w:hAnsi="Calibri"/>
                <w:sz w:val="16"/>
                <w:szCs w:val="16"/>
              </w:rPr>
              <w:t>Počet účastníkov vzdelávania</w:t>
            </w:r>
          </w:p>
        </w:tc>
        <w:tc>
          <w:tcPr>
            <w:tcW w:w="1660" w:type="dxa"/>
            <w:tcBorders>
              <w:top w:val="nil"/>
              <w:left w:val="nil"/>
              <w:bottom w:val="single" w:sz="4" w:space="0" w:color="auto"/>
              <w:right w:val="single" w:sz="8" w:space="0" w:color="000000"/>
            </w:tcBorders>
            <w:noWrap/>
            <w:vAlign w:val="center"/>
          </w:tcPr>
          <w:p w:rsidR="00006FEA" w:rsidRPr="00F849C3" w:rsidRDefault="00006FEA" w:rsidP="00895B36">
            <w:pPr>
              <w:jc w:val="right"/>
              <w:rPr>
                <w:sz w:val="20"/>
                <w:szCs w:val="20"/>
              </w:rPr>
            </w:pPr>
            <w:r w:rsidRPr="00F849C3">
              <w:rPr>
                <w:sz w:val="20"/>
                <w:szCs w:val="20"/>
              </w:rPr>
              <w:t xml:space="preserve">                    </w:t>
            </w:r>
            <w:r>
              <w:rPr>
                <w:sz w:val="20"/>
                <w:szCs w:val="20"/>
              </w:rPr>
              <w:t>55</w:t>
            </w:r>
            <w:r w:rsidRPr="00F849C3">
              <w:rPr>
                <w:sz w:val="20"/>
                <w:szCs w:val="20"/>
              </w:rPr>
              <w:t xml:space="preserve">0 </w:t>
            </w:r>
          </w:p>
        </w:tc>
      </w:tr>
      <w:tr w:rsidR="00006FEA" w:rsidRPr="008676F9" w:rsidTr="00BB33FC">
        <w:trPr>
          <w:trHeight w:val="499"/>
        </w:trPr>
        <w:tc>
          <w:tcPr>
            <w:tcW w:w="1660" w:type="dxa"/>
            <w:vMerge/>
            <w:tcBorders>
              <w:top w:val="nil"/>
              <w:left w:val="single" w:sz="8" w:space="0" w:color="000000"/>
              <w:bottom w:val="single" w:sz="8" w:space="0" w:color="000000"/>
              <w:right w:val="single" w:sz="4" w:space="0" w:color="auto"/>
            </w:tcBorders>
            <w:vAlign w:val="center"/>
          </w:tcPr>
          <w:p w:rsidR="00006FEA" w:rsidRPr="008676F9" w:rsidRDefault="00006FEA" w:rsidP="008676F9">
            <w:pPr>
              <w:rPr>
                <w:rFonts w:ascii="Calibri" w:eastAsia="Calibri" w:hAnsi="Calibri"/>
                <w:b/>
                <w:bCs/>
                <w:sz w:val="16"/>
                <w:szCs w:val="16"/>
              </w:rPr>
            </w:pPr>
          </w:p>
        </w:tc>
        <w:tc>
          <w:tcPr>
            <w:tcW w:w="1660" w:type="dxa"/>
            <w:vMerge/>
            <w:tcBorders>
              <w:top w:val="nil"/>
              <w:left w:val="single" w:sz="4" w:space="0" w:color="auto"/>
              <w:bottom w:val="single" w:sz="4" w:space="0" w:color="auto"/>
              <w:right w:val="single" w:sz="4" w:space="0" w:color="auto"/>
            </w:tcBorders>
            <w:vAlign w:val="center"/>
          </w:tcPr>
          <w:p w:rsidR="00006FEA" w:rsidRPr="008676F9" w:rsidRDefault="00006FEA" w:rsidP="008676F9">
            <w:pPr>
              <w:rPr>
                <w:rFonts w:ascii="Calibri" w:eastAsia="Calibri" w:hAnsi="Calibri"/>
                <w:sz w:val="16"/>
                <w:szCs w:val="16"/>
              </w:rPr>
            </w:pPr>
          </w:p>
        </w:tc>
        <w:tc>
          <w:tcPr>
            <w:tcW w:w="2700" w:type="dxa"/>
            <w:tcBorders>
              <w:top w:val="nil"/>
              <w:left w:val="nil"/>
              <w:bottom w:val="single" w:sz="4" w:space="0" w:color="auto"/>
              <w:right w:val="single" w:sz="4" w:space="0" w:color="auto"/>
            </w:tcBorders>
            <w:vAlign w:val="center"/>
          </w:tcPr>
          <w:p w:rsidR="00006FEA" w:rsidRPr="008676F9" w:rsidRDefault="00006FEA" w:rsidP="008676F9">
            <w:pPr>
              <w:rPr>
                <w:rFonts w:ascii="Calibri" w:eastAsia="Calibri" w:hAnsi="Calibri"/>
                <w:sz w:val="16"/>
                <w:szCs w:val="16"/>
              </w:rPr>
            </w:pPr>
            <w:r w:rsidRPr="008676F9">
              <w:rPr>
                <w:rFonts w:ascii="Calibri" w:eastAsia="Calibri" w:hAnsi="Calibri"/>
                <w:sz w:val="16"/>
                <w:szCs w:val="16"/>
              </w:rPr>
              <w:t>Celkové verejné výdavky na školenia (1.1)</w:t>
            </w:r>
          </w:p>
        </w:tc>
        <w:tc>
          <w:tcPr>
            <w:tcW w:w="1660" w:type="dxa"/>
            <w:tcBorders>
              <w:top w:val="nil"/>
              <w:left w:val="nil"/>
              <w:bottom w:val="single" w:sz="4" w:space="0" w:color="auto"/>
              <w:right w:val="single" w:sz="8" w:space="0" w:color="000000"/>
            </w:tcBorders>
            <w:vAlign w:val="center"/>
          </w:tcPr>
          <w:p w:rsidR="00006FEA" w:rsidRPr="00F849C3" w:rsidRDefault="00006FEA" w:rsidP="00895B36">
            <w:pPr>
              <w:jc w:val="right"/>
              <w:rPr>
                <w:sz w:val="20"/>
                <w:szCs w:val="20"/>
              </w:rPr>
            </w:pPr>
            <w:r>
              <w:rPr>
                <w:sz w:val="20"/>
                <w:szCs w:val="20"/>
              </w:rPr>
              <w:t>1 1</w:t>
            </w:r>
            <w:r w:rsidRPr="00F849C3">
              <w:rPr>
                <w:sz w:val="20"/>
                <w:szCs w:val="20"/>
              </w:rPr>
              <w:t>00 000,00</w:t>
            </w:r>
          </w:p>
        </w:tc>
      </w:tr>
      <w:tr w:rsidR="008676F9" w:rsidRPr="008676F9" w:rsidTr="00BB33FC">
        <w:trPr>
          <w:trHeight w:val="499"/>
        </w:trPr>
        <w:tc>
          <w:tcPr>
            <w:tcW w:w="1660" w:type="dxa"/>
            <w:vMerge/>
            <w:tcBorders>
              <w:top w:val="nil"/>
              <w:left w:val="single" w:sz="8" w:space="0" w:color="000000"/>
              <w:bottom w:val="single" w:sz="8" w:space="0" w:color="000000"/>
              <w:right w:val="single" w:sz="4" w:space="0" w:color="auto"/>
            </w:tcBorders>
            <w:vAlign w:val="center"/>
          </w:tcPr>
          <w:p w:rsidR="008676F9" w:rsidRPr="008676F9" w:rsidRDefault="008676F9" w:rsidP="008676F9">
            <w:pPr>
              <w:rPr>
                <w:rFonts w:ascii="Calibri" w:eastAsia="Calibri" w:hAnsi="Calibri"/>
                <w:b/>
                <w:bCs/>
                <w:sz w:val="16"/>
                <w:szCs w:val="16"/>
              </w:rPr>
            </w:pPr>
          </w:p>
        </w:tc>
        <w:tc>
          <w:tcPr>
            <w:tcW w:w="4360" w:type="dxa"/>
            <w:gridSpan w:val="2"/>
            <w:tcBorders>
              <w:top w:val="single" w:sz="4" w:space="0" w:color="auto"/>
              <w:left w:val="nil"/>
              <w:bottom w:val="single" w:sz="8" w:space="0" w:color="000000"/>
              <w:right w:val="single" w:sz="4" w:space="0" w:color="auto"/>
            </w:tcBorders>
            <w:vAlign w:val="center"/>
          </w:tcPr>
          <w:p w:rsidR="008676F9" w:rsidRPr="008676F9" w:rsidRDefault="008676F9" w:rsidP="008676F9">
            <w:pPr>
              <w:rPr>
                <w:rFonts w:ascii="Calibri" w:eastAsia="Calibri" w:hAnsi="Calibri"/>
                <w:sz w:val="16"/>
                <w:szCs w:val="16"/>
              </w:rPr>
            </w:pPr>
            <w:r w:rsidRPr="008676F9">
              <w:rPr>
                <w:rFonts w:ascii="Calibri" w:eastAsia="Calibri" w:hAnsi="Calibri"/>
                <w:sz w:val="16"/>
                <w:szCs w:val="16"/>
              </w:rPr>
              <w:t>Celkové verejné výdavky  € (školenia, informačné aktivity, demonštračné  predvádzacie činnosti ) (1.1, 1.2)</w:t>
            </w:r>
          </w:p>
        </w:tc>
        <w:tc>
          <w:tcPr>
            <w:tcW w:w="1660" w:type="dxa"/>
            <w:tcBorders>
              <w:top w:val="nil"/>
              <w:left w:val="nil"/>
              <w:bottom w:val="single" w:sz="8" w:space="0" w:color="000000"/>
              <w:right w:val="single" w:sz="8" w:space="0" w:color="000000"/>
            </w:tcBorders>
            <w:noWrap/>
            <w:vAlign w:val="center"/>
          </w:tcPr>
          <w:p w:rsidR="008676F9" w:rsidRPr="008676F9" w:rsidRDefault="008676F9" w:rsidP="00006FEA">
            <w:pPr>
              <w:jc w:val="right"/>
              <w:rPr>
                <w:rFonts w:ascii="Calibri" w:eastAsia="Calibri" w:hAnsi="Calibri"/>
                <w:sz w:val="20"/>
                <w:szCs w:val="20"/>
              </w:rPr>
            </w:pPr>
            <w:r w:rsidRPr="008676F9">
              <w:rPr>
                <w:rFonts w:ascii="Calibri" w:eastAsia="Calibri" w:hAnsi="Calibri"/>
                <w:sz w:val="20"/>
                <w:szCs w:val="20"/>
              </w:rPr>
              <w:t xml:space="preserve">       </w:t>
            </w:r>
            <w:r w:rsidR="00006FEA">
              <w:rPr>
                <w:rFonts w:ascii="Calibri" w:eastAsia="Calibri" w:hAnsi="Calibri"/>
                <w:sz w:val="20"/>
                <w:szCs w:val="20"/>
              </w:rPr>
              <w:t>1</w:t>
            </w:r>
            <w:r w:rsidRPr="008676F9">
              <w:rPr>
                <w:rFonts w:ascii="Calibri" w:eastAsia="Calibri" w:hAnsi="Calibri"/>
                <w:sz w:val="20"/>
                <w:szCs w:val="20"/>
              </w:rPr>
              <w:t xml:space="preserve"> 300 000,00 </w:t>
            </w:r>
          </w:p>
        </w:tc>
      </w:tr>
    </w:tbl>
    <w:p w:rsidR="008676F9" w:rsidRPr="008676F9" w:rsidRDefault="008676F9" w:rsidP="008676F9">
      <w:pPr>
        <w:spacing w:after="200" w:line="276" w:lineRule="auto"/>
        <w:rPr>
          <w:rFonts w:ascii="Calibri" w:eastAsia="Calibri" w:hAnsi="Calibri"/>
          <w:b/>
          <w:szCs w:val="22"/>
          <w:lang w:eastAsia="en-US"/>
        </w:rPr>
      </w:pPr>
    </w:p>
    <w:p w:rsidR="008676F9" w:rsidRPr="008676F9" w:rsidRDefault="008676F9" w:rsidP="008676F9">
      <w:pPr>
        <w:spacing w:after="200" w:line="276" w:lineRule="auto"/>
        <w:rPr>
          <w:rFonts w:ascii="Calibri" w:eastAsia="Calibri" w:hAnsi="Calibri"/>
          <w:b/>
          <w:szCs w:val="22"/>
          <w:lang w:eastAsia="en-US"/>
        </w:rPr>
      </w:pPr>
    </w:p>
    <w:p w:rsidR="008676F9" w:rsidRPr="008676F9" w:rsidRDefault="008676F9" w:rsidP="008676F9">
      <w:pPr>
        <w:spacing w:after="200" w:line="276" w:lineRule="auto"/>
        <w:rPr>
          <w:rFonts w:ascii="Calibri" w:eastAsia="Calibri" w:hAnsi="Calibri"/>
          <w:szCs w:val="22"/>
          <w:lang w:eastAsia="en-US"/>
        </w:rPr>
      </w:pPr>
    </w:p>
    <w:p w:rsidR="008676F9" w:rsidRPr="008676F9" w:rsidRDefault="008676F9" w:rsidP="008676F9">
      <w:pPr>
        <w:spacing w:after="200" w:line="276" w:lineRule="auto"/>
        <w:rPr>
          <w:rFonts w:ascii="Calibri" w:eastAsia="Calibri" w:hAnsi="Calibri"/>
          <w:szCs w:val="22"/>
          <w:lang w:eastAsia="en-US"/>
        </w:rPr>
      </w:pPr>
    </w:p>
    <w:p w:rsidR="008676F9" w:rsidRPr="008676F9" w:rsidRDefault="008676F9" w:rsidP="008676F9">
      <w:pPr>
        <w:spacing w:after="200" w:line="276" w:lineRule="auto"/>
        <w:rPr>
          <w:rFonts w:ascii="Calibri" w:eastAsia="Calibri" w:hAnsi="Calibri"/>
          <w:szCs w:val="22"/>
          <w:lang w:eastAsia="en-US"/>
        </w:rPr>
      </w:pPr>
    </w:p>
    <w:p w:rsidR="008676F9" w:rsidRPr="008676F9" w:rsidRDefault="008676F9" w:rsidP="008676F9">
      <w:pPr>
        <w:keepNext/>
        <w:keepLines/>
        <w:spacing w:before="200" w:line="276" w:lineRule="auto"/>
        <w:outlineLvl w:val="1"/>
        <w:rPr>
          <w:rFonts w:ascii="Calibri" w:hAnsi="Calibri"/>
          <w:b/>
          <w:bCs/>
          <w:color w:val="4F81BD"/>
          <w:sz w:val="26"/>
          <w:szCs w:val="26"/>
          <w:lang w:eastAsia="en-US"/>
        </w:rPr>
      </w:pPr>
    </w:p>
    <w:p w:rsidR="008676F9" w:rsidRPr="008676F9" w:rsidRDefault="008676F9" w:rsidP="008676F9">
      <w:pPr>
        <w:spacing w:before="120" w:after="200" w:line="276" w:lineRule="auto"/>
        <w:contextualSpacing/>
        <w:rPr>
          <w:rFonts w:ascii="Calibri" w:hAnsi="Calibri"/>
          <w:szCs w:val="22"/>
        </w:rPr>
      </w:pPr>
    </w:p>
    <w:p w:rsidR="008676F9" w:rsidRPr="008676F9" w:rsidRDefault="008676F9" w:rsidP="008676F9">
      <w:pPr>
        <w:spacing w:before="120" w:after="200"/>
        <w:ind w:left="360"/>
        <w:rPr>
          <w:rFonts w:ascii="Calibri" w:hAnsi="Calibri"/>
          <w:szCs w:val="22"/>
        </w:rPr>
      </w:pPr>
    </w:p>
    <w:p w:rsidR="008676F9" w:rsidRPr="008676F9" w:rsidRDefault="008676F9" w:rsidP="008676F9">
      <w:pPr>
        <w:spacing w:before="120" w:after="200"/>
        <w:ind w:left="360"/>
        <w:rPr>
          <w:rFonts w:ascii="Calibri" w:hAnsi="Calibri"/>
          <w:szCs w:val="22"/>
        </w:rPr>
      </w:pPr>
    </w:p>
    <w:p w:rsidR="008676F9" w:rsidRPr="008676F9" w:rsidRDefault="008676F9" w:rsidP="008676F9">
      <w:pPr>
        <w:suppressAutoHyphens/>
        <w:spacing w:line="100" w:lineRule="atLeast"/>
        <w:rPr>
          <w:rFonts w:ascii="Calibri" w:eastAsia="SimSun" w:hAnsi="Calibri" w:cs="Calibri"/>
          <w:b/>
          <w:bCs/>
          <w:kern w:val="1"/>
          <w:szCs w:val="22"/>
          <w:lang w:eastAsia="ar-SA"/>
        </w:rPr>
      </w:pPr>
    </w:p>
    <w:p w:rsidR="008676F9" w:rsidRPr="008676F9" w:rsidRDefault="008676F9" w:rsidP="008676F9">
      <w:pPr>
        <w:spacing w:after="200" w:line="276" w:lineRule="auto"/>
        <w:contextualSpacing/>
        <w:rPr>
          <w:rFonts w:ascii="Calibri" w:eastAsia="Calibri" w:hAnsi="Calibri"/>
          <w:szCs w:val="22"/>
          <w:lang w:eastAsia="en-US"/>
        </w:rPr>
      </w:pPr>
    </w:p>
    <w:p w:rsidR="00E43137" w:rsidRPr="00E43137" w:rsidRDefault="00E43137" w:rsidP="008676F9">
      <w:pPr>
        <w:keepNext/>
        <w:keepLines/>
        <w:pBdr>
          <w:bar w:val="single" w:sz="6" w:color="808080"/>
        </w:pBdr>
        <w:spacing w:after="120"/>
        <w:outlineLvl w:val="1"/>
        <w:rPr>
          <w:rFonts w:ascii="Calibri" w:hAnsi="Calibri"/>
          <w:b/>
          <w:bCs/>
          <w:szCs w:val="22"/>
        </w:rPr>
      </w:pPr>
    </w:p>
    <w:p w:rsidR="00E43137" w:rsidRPr="00E43137" w:rsidRDefault="00E43137" w:rsidP="008676F9"/>
    <w:p w:rsidR="00E43137" w:rsidRPr="00E43137" w:rsidRDefault="00E43137" w:rsidP="008676F9"/>
    <w:p w:rsidR="000905ED" w:rsidRDefault="000905ED" w:rsidP="008676F9">
      <w:pPr>
        <w:spacing w:after="200" w:line="276" w:lineRule="auto"/>
        <w:rPr>
          <w:rFonts w:ascii="Calibri" w:eastAsia="Calibri" w:hAnsi="Calibri"/>
          <w:lang w:eastAsia="en-US"/>
        </w:rPr>
      </w:pPr>
      <w:r>
        <w:rPr>
          <w:rFonts w:ascii="Calibri" w:eastAsia="Calibri" w:hAnsi="Calibri"/>
          <w:lang w:eastAsia="en-US"/>
        </w:rPr>
        <w:br w:type="page"/>
      </w:r>
    </w:p>
    <w:p w:rsidR="00425CA0" w:rsidRDefault="00425CA0" w:rsidP="008676F9">
      <w:pPr>
        <w:keepNext/>
        <w:keepLines/>
        <w:spacing w:before="200" w:line="276" w:lineRule="auto"/>
        <w:outlineLvl w:val="2"/>
        <w:rPr>
          <w:rFonts w:ascii="Cambria" w:hAnsi="Cambria"/>
          <w:b/>
          <w:bCs/>
          <w:sz w:val="28"/>
          <w:szCs w:val="28"/>
          <w:lang w:eastAsia="en-US"/>
        </w:rPr>
      </w:pPr>
    </w:p>
    <w:p w:rsidR="008676F9" w:rsidRPr="008676F9" w:rsidRDefault="008676F9" w:rsidP="00366F96">
      <w:pPr>
        <w:pStyle w:val="Hlavn"/>
      </w:pPr>
      <w:bookmarkStart w:id="148" w:name="_Toc387041349"/>
      <w:r w:rsidRPr="008676F9">
        <w:t>12. ĎALŠIE NÁRODNÉ FINANCOVANIE</w:t>
      </w:r>
      <w:bookmarkEnd w:id="148"/>
    </w:p>
    <w:p w:rsidR="008676F9" w:rsidRPr="008676F9" w:rsidRDefault="008676F9" w:rsidP="008676F9">
      <w:pPr>
        <w:spacing w:after="200" w:line="276" w:lineRule="auto"/>
        <w:rPr>
          <w:rFonts w:ascii="Calibri" w:eastAsia="Calibri" w:hAnsi="Calibri"/>
          <w:szCs w:val="22"/>
          <w:lang w:eastAsia="en-US"/>
        </w:rPr>
      </w:pPr>
    </w:p>
    <w:p w:rsidR="008676F9" w:rsidRPr="005F1407" w:rsidRDefault="008676F9" w:rsidP="00D95CA5">
      <w:pPr>
        <w:spacing w:after="200" w:line="276" w:lineRule="auto"/>
        <w:jc w:val="left"/>
        <w:rPr>
          <w:rFonts w:ascii="Calibri" w:eastAsia="Calibri" w:hAnsi="Calibri"/>
          <w:szCs w:val="22"/>
          <w:lang w:eastAsia="en-US"/>
        </w:rPr>
        <w:sectPr w:rsidR="008676F9" w:rsidRPr="005F1407" w:rsidSect="006B60DF">
          <w:pgSz w:w="11906" w:h="16838" w:code="9"/>
          <w:pgMar w:top="1418" w:right="1134" w:bottom="1418" w:left="1701" w:header="1021" w:footer="1021" w:gutter="0"/>
          <w:cols w:space="708"/>
          <w:docGrid w:linePitch="360"/>
        </w:sectPr>
      </w:pPr>
      <w:r w:rsidRPr="008676F9">
        <w:rPr>
          <w:rFonts w:ascii="Calibri" w:eastAsia="Calibri" w:hAnsi="Calibri"/>
          <w:szCs w:val="22"/>
          <w:lang w:eastAsia="en-US"/>
        </w:rPr>
        <w:t>Neuplatňuje sa.</w:t>
      </w:r>
    </w:p>
    <w:p w:rsidR="008676F9" w:rsidRPr="008676F9" w:rsidRDefault="008676F9" w:rsidP="00366F96">
      <w:pPr>
        <w:pStyle w:val="Hlavn"/>
      </w:pPr>
      <w:bookmarkStart w:id="149" w:name="_Toc387041350"/>
      <w:r w:rsidRPr="008676F9">
        <w:t>13. PRVKY POTREBNÉ NA POSÚDENIE ŠTÁTNEJ POMOCI</w:t>
      </w:r>
      <w:bookmarkEnd w:id="149"/>
    </w:p>
    <w:p w:rsidR="008676F9" w:rsidRPr="008676F9" w:rsidRDefault="008676F9" w:rsidP="008676F9">
      <w:pPr>
        <w:keepNext/>
        <w:outlineLvl w:val="1"/>
        <w:rPr>
          <w:rFonts w:ascii="Calibri" w:hAnsi="Calibri"/>
          <w:b/>
          <w:sz w:val="20"/>
          <w:szCs w:val="20"/>
          <w:lang w:eastAsia="en-US"/>
        </w:rPr>
      </w:pPr>
    </w:p>
    <w:tbl>
      <w:tblPr>
        <w:tblW w:w="1417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7"/>
        <w:gridCol w:w="1842"/>
        <w:gridCol w:w="3969"/>
        <w:gridCol w:w="1418"/>
        <w:gridCol w:w="1843"/>
        <w:gridCol w:w="1559"/>
        <w:gridCol w:w="1417"/>
      </w:tblGrid>
      <w:tr w:rsidR="008676F9" w:rsidRPr="008676F9" w:rsidTr="008612D8">
        <w:trPr>
          <w:tblHeader/>
        </w:trPr>
        <w:tc>
          <w:tcPr>
            <w:tcW w:w="2127" w:type="dxa"/>
            <w:vMerge w:val="restart"/>
            <w:shd w:val="clear" w:color="auto" w:fill="F2F2F2"/>
            <w:vAlign w:val="center"/>
          </w:tcPr>
          <w:p w:rsidR="008676F9" w:rsidRPr="008676F9" w:rsidRDefault="008676F9" w:rsidP="00D95CA5">
            <w:pPr>
              <w:widowControl w:val="0"/>
              <w:autoSpaceDE w:val="0"/>
              <w:autoSpaceDN w:val="0"/>
              <w:adjustRightInd w:val="0"/>
              <w:ind w:right="-28"/>
              <w:jc w:val="left"/>
              <w:rPr>
                <w:rFonts w:ascii="Calibri" w:hAnsi="Calibri"/>
                <w:b/>
                <w:noProof/>
                <w:sz w:val="20"/>
                <w:szCs w:val="20"/>
                <w:lang w:eastAsia="en-US"/>
              </w:rPr>
            </w:pPr>
            <w:r w:rsidRPr="008676F9">
              <w:rPr>
                <w:rFonts w:ascii="Calibri" w:hAnsi="Calibri"/>
                <w:b/>
                <w:noProof/>
                <w:sz w:val="20"/>
                <w:szCs w:val="20"/>
                <w:lang w:eastAsia="en-US"/>
              </w:rPr>
              <w:t xml:space="preserve">Opatrenie </w:t>
            </w:r>
          </w:p>
        </w:tc>
        <w:tc>
          <w:tcPr>
            <w:tcW w:w="1842" w:type="dxa"/>
            <w:vMerge w:val="restart"/>
            <w:shd w:val="clear" w:color="auto" w:fill="F2F2F2"/>
            <w:vAlign w:val="center"/>
          </w:tcPr>
          <w:p w:rsidR="008676F9" w:rsidRPr="008676F9" w:rsidRDefault="008676F9" w:rsidP="00D95CA5">
            <w:pPr>
              <w:widowControl w:val="0"/>
              <w:autoSpaceDE w:val="0"/>
              <w:autoSpaceDN w:val="0"/>
              <w:adjustRightInd w:val="0"/>
              <w:ind w:right="-28"/>
              <w:jc w:val="left"/>
              <w:rPr>
                <w:rFonts w:ascii="Calibri" w:hAnsi="Calibri"/>
                <w:b/>
                <w:noProof/>
                <w:sz w:val="20"/>
                <w:szCs w:val="20"/>
                <w:lang w:eastAsia="en-US"/>
              </w:rPr>
            </w:pPr>
            <w:r w:rsidRPr="008676F9">
              <w:rPr>
                <w:rFonts w:ascii="Calibri" w:hAnsi="Calibri"/>
                <w:b/>
                <w:noProof/>
                <w:sz w:val="20"/>
                <w:szCs w:val="20"/>
                <w:lang w:eastAsia="en-US"/>
              </w:rPr>
              <w:t>Názov schémy  pomoci</w:t>
            </w:r>
          </w:p>
        </w:tc>
        <w:tc>
          <w:tcPr>
            <w:tcW w:w="3969" w:type="dxa"/>
            <w:vMerge w:val="restart"/>
            <w:shd w:val="clear" w:color="auto" w:fill="F2F2F2"/>
          </w:tcPr>
          <w:p w:rsidR="008676F9" w:rsidRPr="008676F9" w:rsidRDefault="008676F9" w:rsidP="008676F9">
            <w:pPr>
              <w:widowControl w:val="0"/>
              <w:autoSpaceDE w:val="0"/>
              <w:autoSpaceDN w:val="0"/>
              <w:adjustRightInd w:val="0"/>
              <w:ind w:right="-28"/>
              <w:rPr>
                <w:rFonts w:ascii="Calibri" w:hAnsi="Calibri"/>
                <w:b/>
                <w:noProof/>
                <w:sz w:val="20"/>
                <w:szCs w:val="20"/>
                <w:lang w:eastAsia="en-US"/>
              </w:rPr>
            </w:pPr>
            <w:r w:rsidRPr="008676F9">
              <w:rPr>
                <w:rFonts w:ascii="Calibri" w:hAnsi="Calibri"/>
                <w:b/>
                <w:noProof/>
                <w:sz w:val="20"/>
                <w:szCs w:val="20"/>
                <w:lang w:eastAsia="en-US"/>
              </w:rPr>
              <w:t>Uvedenie:</w:t>
            </w:r>
          </w:p>
          <w:p w:rsidR="008676F9" w:rsidRPr="008676F9" w:rsidRDefault="008676F9" w:rsidP="00CE203B">
            <w:pPr>
              <w:widowControl w:val="0"/>
              <w:numPr>
                <w:ilvl w:val="0"/>
                <w:numId w:val="290"/>
              </w:numPr>
              <w:autoSpaceDE w:val="0"/>
              <w:autoSpaceDN w:val="0"/>
              <w:adjustRightInd w:val="0"/>
              <w:ind w:left="318" w:right="-28" w:hanging="284"/>
              <w:rPr>
                <w:rFonts w:ascii="Calibri" w:hAnsi="Calibri"/>
                <w:b/>
                <w:noProof/>
                <w:sz w:val="20"/>
                <w:szCs w:val="20"/>
                <w:lang w:eastAsia="en-US"/>
              </w:rPr>
            </w:pPr>
            <w:r w:rsidRPr="008676F9">
              <w:rPr>
                <w:rFonts w:ascii="Calibri" w:hAnsi="Calibri"/>
                <w:b/>
                <w:noProof/>
                <w:sz w:val="20"/>
                <w:szCs w:val="20"/>
                <w:lang w:eastAsia="en-US"/>
              </w:rPr>
              <w:t>rozhodnutia Komisie o schválení po notifikácii schémy alebo</w:t>
            </w:r>
          </w:p>
          <w:p w:rsidR="008676F9" w:rsidRPr="008676F9" w:rsidRDefault="008676F9" w:rsidP="00CE203B">
            <w:pPr>
              <w:widowControl w:val="0"/>
              <w:numPr>
                <w:ilvl w:val="0"/>
                <w:numId w:val="290"/>
              </w:numPr>
              <w:autoSpaceDE w:val="0"/>
              <w:autoSpaceDN w:val="0"/>
              <w:adjustRightInd w:val="0"/>
              <w:ind w:left="318" w:right="-28" w:hanging="284"/>
              <w:rPr>
                <w:rFonts w:ascii="Calibri" w:hAnsi="Calibri"/>
                <w:b/>
                <w:noProof/>
                <w:sz w:val="20"/>
                <w:szCs w:val="20"/>
                <w:lang w:eastAsia="en-US"/>
              </w:rPr>
            </w:pPr>
            <w:r w:rsidRPr="008676F9">
              <w:rPr>
                <w:rFonts w:ascii="Calibri" w:hAnsi="Calibri"/>
                <w:b/>
                <w:noProof/>
                <w:sz w:val="20"/>
                <w:szCs w:val="20"/>
                <w:lang w:eastAsia="en-US"/>
              </w:rPr>
              <w:t>skupinovej výnimky alebo</w:t>
            </w:r>
          </w:p>
          <w:p w:rsidR="008676F9" w:rsidRPr="008676F9" w:rsidRDefault="008676F9" w:rsidP="00CE203B">
            <w:pPr>
              <w:widowControl w:val="0"/>
              <w:numPr>
                <w:ilvl w:val="0"/>
                <w:numId w:val="290"/>
              </w:numPr>
              <w:autoSpaceDE w:val="0"/>
              <w:autoSpaceDN w:val="0"/>
              <w:adjustRightInd w:val="0"/>
              <w:ind w:left="318" w:right="-28" w:hanging="284"/>
              <w:rPr>
                <w:rFonts w:ascii="Calibri" w:hAnsi="Calibri"/>
                <w:b/>
                <w:noProof/>
                <w:sz w:val="20"/>
                <w:szCs w:val="20"/>
                <w:lang w:eastAsia="en-US"/>
              </w:rPr>
            </w:pPr>
            <w:r w:rsidRPr="008676F9">
              <w:rPr>
                <w:rFonts w:ascii="Calibri" w:hAnsi="Calibri"/>
                <w:b/>
                <w:noProof/>
                <w:sz w:val="20"/>
                <w:szCs w:val="20"/>
                <w:lang w:eastAsia="en-US"/>
              </w:rPr>
              <w:t>že platby sú vykonávané  rámci de minimis</w:t>
            </w:r>
          </w:p>
        </w:tc>
        <w:tc>
          <w:tcPr>
            <w:tcW w:w="6237" w:type="dxa"/>
            <w:gridSpan w:val="4"/>
            <w:tcBorders>
              <w:bottom w:val="single" w:sz="4" w:space="0" w:color="auto"/>
            </w:tcBorders>
            <w:shd w:val="clear" w:color="auto" w:fill="F2F2F2"/>
            <w:vAlign w:val="center"/>
          </w:tcPr>
          <w:p w:rsidR="008676F9" w:rsidRPr="008676F9" w:rsidRDefault="008676F9" w:rsidP="008676F9">
            <w:pPr>
              <w:widowControl w:val="0"/>
              <w:autoSpaceDE w:val="0"/>
              <w:autoSpaceDN w:val="0"/>
              <w:adjustRightInd w:val="0"/>
              <w:ind w:right="-28"/>
              <w:jc w:val="center"/>
              <w:rPr>
                <w:rFonts w:ascii="Calibri" w:hAnsi="Calibri"/>
                <w:b/>
                <w:noProof/>
                <w:sz w:val="20"/>
                <w:szCs w:val="20"/>
                <w:lang w:eastAsia="en-US"/>
              </w:rPr>
            </w:pPr>
            <w:r w:rsidRPr="008676F9">
              <w:rPr>
                <w:rFonts w:ascii="Calibri" w:hAnsi="Calibri"/>
                <w:b/>
                <w:noProof/>
                <w:sz w:val="20"/>
                <w:szCs w:val="20"/>
                <w:lang w:eastAsia="en-US"/>
              </w:rPr>
              <w:t>Spolufinancovanie a ďalšie národné financovanie</w:t>
            </w:r>
          </w:p>
          <w:p w:rsidR="008676F9" w:rsidRPr="008676F9" w:rsidRDefault="008676F9" w:rsidP="008676F9">
            <w:pPr>
              <w:widowControl w:val="0"/>
              <w:autoSpaceDE w:val="0"/>
              <w:autoSpaceDN w:val="0"/>
              <w:adjustRightInd w:val="0"/>
              <w:ind w:right="-28"/>
              <w:jc w:val="center"/>
              <w:rPr>
                <w:rFonts w:ascii="Calibri" w:hAnsi="Calibri"/>
                <w:b/>
                <w:noProof/>
                <w:sz w:val="20"/>
                <w:szCs w:val="20"/>
                <w:lang w:eastAsia="en-US"/>
              </w:rPr>
            </w:pPr>
            <w:r w:rsidRPr="008676F9">
              <w:rPr>
                <w:rFonts w:ascii="Calibri" w:hAnsi="Calibri"/>
                <w:b/>
                <w:noProof/>
                <w:sz w:val="20"/>
                <w:szCs w:val="20"/>
                <w:lang w:eastAsia="en-US"/>
              </w:rPr>
              <w:t>Programovacie obdobie 2014-2020 (</w:t>
            </w:r>
            <w:r w:rsidR="00646537">
              <w:rPr>
                <w:rFonts w:ascii="Calibri" w:hAnsi="Calibri"/>
                <w:b/>
                <w:noProof/>
                <w:sz w:val="20"/>
                <w:szCs w:val="20"/>
                <w:lang w:eastAsia="en-US"/>
              </w:rPr>
              <w:t>€</w:t>
            </w:r>
            <w:r w:rsidRPr="008676F9">
              <w:rPr>
                <w:rFonts w:ascii="Calibri" w:hAnsi="Calibri"/>
                <w:b/>
                <w:noProof/>
                <w:sz w:val="20"/>
                <w:szCs w:val="20"/>
                <w:lang w:eastAsia="en-US"/>
              </w:rPr>
              <w:t>)</w:t>
            </w:r>
          </w:p>
        </w:tc>
      </w:tr>
      <w:tr w:rsidR="008676F9" w:rsidRPr="008676F9" w:rsidTr="008612D8">
        <w:trPr>
          <w:tblHeader/>
        </w:trPr>
        <w:tc>
          <w:tcPr>
            <w:tcW w:w="2127" w:type="dxa"/>
            <w:vMerge/>
          </w:tcPr>
          <w:p w:rsidR="008676F9" w:rsidRPr="008676F9" w:rsidRDefault="008676F9" w:rsidP="00D95CA5">
            <w:pPr>
              <w:widowControl w:val="0"/>
              <w:autoSpaceDE w:val="0"/>
              <w:autoSpaceDN w:val="0"/>
              <w:adjustRightInd w:val="0"/>
              <w:ind w:right="-28"/>
              <w:jc w:val="left"/>
              <w:rPr>
                <w:rFonts w:ascii="Calibri" w:hAnsi="Calibri"/>
                <w:noProof/>
                <w:sz w:val="20"/>
                <w:szCs w:val="20"/>
                <w:lang w:eastAsia="en-US"/>
              </w:rPr>
            </w:pPr>
          </w:p>
        </w:tc>
        <w:tc>
          <w:tcPr>
            <w:tcW w:w="1842" w:type="dxa"/>
            <w:vMerge/>
          </w:tcPr>
          <w:p w:rsidR="008676F9" w:rsidRPr="008676F9" w:rsidRDefault="008676F9" w:rsidP="00D95CA5">
            <w:pPr>
              <w:widowControl w:val="0"/>
              <w:autoSpaceDE w:val="0"/>
              <w:autoSpaceDN w:val="0"/>
              <w:adjustRightInd w:val="0"/>
              <w:ind w:right="-28"/>
              <w:jc w:val="left"/>
              <w:rPr>
                <w:rFonts w:ascii="Calibri" w:hAnsi="Calibri"/>
                <w:b/>
                <w:noProof/>
                <w:sz w:val="20"/>
                <w:szCs w:val="20"/>
                <w:lang w:eastAsia="en-US"/>
              </w:rPr>
            </w:pPr>
          </w:p>
        </w:tc>
        <w:tc>
          <w:tcPr>
            <w:tcW w:w="3969" w:type="dxa"/>
            <w:vMerge/>
          </w:tcPr>
          <w:p w:rsidR="008676F9" w:rsidRPr="008676F9" w:rsidRDefault="008676F9" w:rsidP="008676F9">
            <w:pPr>
              <w:widowControl w:val="0"/>
              <w:autoSpaceDE w:val="0"/>
              <w:autoSpaceDN w:val="0"/>
              <w:adjustRightInd w:val="0"/>
              <w:ind w:right="-28"/>
              <w:rPr>
                <w:rFonts w:ascii="Calibri" w:hAnsi="Calibri"/>
                <w:b/>
                <w:noProof/>
                <w:sz w:val="20"/>
                <w:szCs w:val="20"/>
                <w:lang w:eastAsia="en-US"/>
              </w:rPr>
            </w:pPr>
          </w:p>
        </w:tc>
        <w:tc>
          <w:tcPr>
            <w:tcW w:w="1418" w:type="dxa"/>
            <w:tcBorders>
              <w:bottom w:val="single" w:sz="4" w:space="0" w:color="auto"/>
            </w:tcBorders>
            <w:shd w:val="clear" w:color="auto" w:fill="FDE9D9"/>
            <w:vAlign w:val="center"/>
          </w:tcPr>
          <w:p w:rsidR="008676F9" w:rsidRPr="008676F9" w:rsidRDefault="008676F9" w:rsidP="008676F9">
            <w:pPr>
              <w:widowControl w:val="0"/>
              <w:autoSpaceDE w:val="0"/>
              <w:autoSpaceDN w:val="0"/>
              <w:adjustRightInd w:val="0"/>
              <w:ind w:right="-28"/>
              <w:jc w:val="center"/>
              <w:rPr>
                <w:rFonts w:ascii="Calibri" w:hAnsi="Calibri"/>
                <w:b/>
                <w:noProof/>
                <w:sz w:val="20"/>
                <w:szCs w:val="20"/>
                <w:lang w:eastAsia="en-US"/>
              </w:rPr>
            </w:pPr>
            <w:r w:rsidRPr="008676F9">
              <w:rPr>
                <w:rFonts w:ascii="Calibri" w:hAnsi="Calibri"/>
                <w:b/>
                <w:noProof/>
                <w:sz w:val="20"/>
                <w:szCs w:val="20"/>
                <w:lang w:eastAsia="en-US"/>
              </w:rPr>
              <w:t>EPFRV</w:t>
            </w:r>
          </w:p>
        </w:tc>
        <w:tc>
          <w:tcPr>
            <w:tcW w:w="1843" w:type="dxa"/>
            <w:tcBorders>
              <w:bottom w:val="single" w:sz="4" w:space="0" w:color="auto"/>
            </w:tcBorders>
            <w:shd w:val="clear" w:color="auto" w:fill="FDE9D9"/>
            <w:vAlign w:val="center"/>
          </w:tcPr>
          <w:p w:rsidR="008676F9" w:rsidRPr="008676F9" w:rsidRDefault="008676F9" w:rsidP="008676F9">
            <w:pPr>
              <w:widowControl w:val="0"/>
              <w:autoSpaceDE w:val="0"/>
              <w:autoSpaceDN w:val="0"/>
              <w:adjustRightInd w:val="0"/>
              <w:ind w:right="-28"/>
              <w:jc w:val="center"/>
              <w:rPr>
                <w:rFonts w:ascii="Calibri" w:hAnsi="Calibri"/>
                <w:b/>
                <w:noProof/>
                <w:sz w:val="20"/>
                <w:szCs w:val="20"/>
                <w:lang w:eastAsia="en-US"/>
              </w:rPr>
            </w:pPr>
            <w:r w:rsidRPr="008676F9">
              <w:rPr>
                <w:rFonts w:ascii="Calibri" w:hAnsi="Calibri"/>
                <w:b/>
                <w:noProof/>
                <w:sz w:val="20"/>
                <w:szCs w:val="20"/>
                <w:lang w:eastAsia="en-US"/>
              </w:rPr>
              <w:t>Národné spolufinancovanie</w:t>
            </w:r>
          </w:p>
        </w:tc>
        <w:tc>
          <w:tcPr>
            <w:tcW w:w="1559" w:type="dxa"/>
            <w:tcBorders>
              <w:bottom w:val="single" w:sz="4" w:space="0" w:color="auto"/>
            </w:tcBorders>
            <w:shd w:val="clear" w:color="auto" w:fill="FDE9D9"/>
            <w:vAlign w:val="center"/>
          </w:tcPr>
          <w:p w:rsidR="008676F9" w:rsidRPr="008676F9" w:rsidRDefault="008676F9" w:rsidP="008676F9">
            <w:pPr>
              <w:widowControl w:val="0"/>
              <w:autoSpaceDE w:val="0"/>
              <w:autoSpaceDN w:val="0"/>
              <w:adjustRightInd w:val="0"/>
              <w:ind w:right="-28"/>
              <w:jc w:val="center"/>
              <w:rPr>
                <w:rFonts w:ascii="Calibri" w:hAnsi="Calibri"/>
                <w:b/>
                <w:noProof/>
                <w:sz w:val="20"/>
                <w:szCs w:val="20"/>
                <w:lang w:eastAsia="en-US"/>
              </w:rPr>
            </w:pPr>
            <w:r w:rsidRPr="008676F9">
              <w:rPr>
                <w:rFonts w:ascii="Calibri" w:hAnsi="Calibri"/>
                <w:b/>
                <w:noProof/>
                <w:sz w:val="20"/>
                <w:szCs w:val="20"/>
                <w:lang w:eastAsia="en-US"/>
              </w:rPr>
              <w:t>Ďalšie národné financovanie</w:t>
            </w:r>
          </w:p>
        </w:tc>
        <w:tc>
          <w:tcPr>
            <w:tcW w:w="1417" w:type="dxa"/>
            <w:tcBorders>
              <w:bottom w:val="single" w:sz="4" w:space="0" w:color="auto"/>
            </w:tcBorders>
            <w:shd w:val="clear" w:color="auto" w:fill="FDE9D9"/>
            <w:vAlign w:val="center"/>
          </w:tcPr>
          <w:p w:rsidR="008676F9" w:rsidRPr="008676F9" w:rsidRDefault="008676F9" w:rsidP="008676F9">
            <w:pPr>
              <w:widowControl w:val="0"/>
              <w:autoSpaceDE w:val="0"/>
              <w:autoSpaceDN w:val="0"/>
              <w:adjustRightInd w:val="0"/>
              <w:ind w:right="-28"/>
              <w:jc w:val="center"/>
              <w:rPr>
                <w:rFonts w:ascii="Calibri" w:hAnsi="Calibri"/>
                <w:b/>
                <w:noProof/>
                <w:sz w:val="20"/>
                <w:szCs w:val="20"/>
                <w:lang w:eastAsia="en-US"/>
              </w:rPr>
            </w:pPr>
            <w:r w:rsidRPr="008676F9">
              <w:rPr>
                <w:rFonts w:ascii="Calibri" w:hAnsi="Calibri"/>
                <w:b/>
                <w:noProof/>
                <w:sz w:val="20"/>
                <w:szCs w:val="20"/>
                <w:lang w:eastAsia="en-US"/>
              </w:rPr>
              <w:t>Spolu</w:t>
            </w:r>
          </w:p>
        </w:tc>
      </w:tr>
      <w:tr w:rsidR="008676F9" w:rsidRPr="008676F9" w:rsidTr="005F1407">
        <w:trPr>
          <w:trHeight w:val="1465"/>
        </w:trPr>
        <w:tc>
          <w:tcPr>
            <w:tcW w:w="2127" w:type="dxa"/>
            <w:tcBorders>
              <w:bottom w:val="single" w:sz="4" w:space="0" w:color="auto"/>
            </w:tcBorders>
          </w:tcPr>
          <w:p w:rsidR="008676F9" w:rsidRPr="008676F9" w:rsidRDefault="008676F9" w:rsidP="00D95CA5">
            <w:pPr>
              <w:widowControl w:val="0"/>
              <w:autoSpaceDE w:val="0"/>
              <w:autoSpaceDN w:val="0"/>
              <w:adjustRightInd w:val="0"/>
              <w:ind w:right="-28"/>
              <w:jc w:val="left"/>
              <w:rPr>
                <w:rFonts w:ascii="Calibri" w:hAnsi="Calibri"/>
                <w:b/>
                <w:noProof/>
                <w:sz w:val="20"/>
                <w:szCs w:val="20"/>
                <w:lang w:eastAsia="en-US"/>
              </w:rPr>
            </w:pPr>
            <w:r w:rsidRPr="008676F9">
              <w:rPr>
                <w:rFonts w:ascii="Calibri" w:hAnsi="Calibri"/>
                <w:b/>
                <w:noProof/>
                <w:sz w:val="20"/>
                <w:szCs w:val="20"/>
                <w:lang w:eastAsia="en-US"/>
              </w:rPr>
              <w:t xml:space="preserve">čl. 14  </w:t>
            </w:r>
          </w:p>
          <w:p w:rsidR="008676F9" w:rsidRPr="008676F9" w:rsidRDefault="008676F9" w:rsidP="00D95CA5">
            <w:pPr>
              <w:widowControl w:val="0"/>
              <w:autoSpaceDE w:val="0"/>
              <w:autoSpaceDN w:val="0"/>
              <w:adjustRightInd w:val="0"/>
              <w:ind w:right="-28"/>
              <w:jc w:val="left"/>
              <w:rPr>
                <w:rFonts w:ascii="Calibri" w:hAnsi="Calibri"/>
                <w:noProof/>
                <w:sz w:val="20"/>
                <w:szCs w:val="20"/>
                <w:lang w:eastAsia="en-US"/>
              </w:rPr>
            </w:pPr>
            <w:r w:rsidRPr="008676F9">
              <w:rPr>
                <w:rFonts w:ascii="Calibri" w:hAnsi="Calibri"/>
                <w:sz w:val="20"/>
                <w:szCs w:val="20"/>
                <w:lang w:eastAsia="en-US"/>
              </w:rPr>
              <w:t>Prenos znalostí a informačné akcie</w:t>
            </w:r>
          </w:p>
        </w:tc>
        <w:tc>
          <w:tcPr>
            <w:tcW w:w="1842" w:type="dxa"/>
            <w:tcBorders>
              <w:bottom w:val="single" w:sz="4" w:space="0" w:color="auto"/>
            </w:tcBorders>
          </w:tcPr>
          <w:p w:rsidR="008676F9" w:rsidRPr="008676F9" w:rsidRDefault="008676F9" w:rsidP="00D95CA5">
            <w:pPr>
              <w:widowControl w:val="0"/>
              <w:autoSpaceDE w:val="0"/>
              <w:autoSpaceDN w:val="0"/>
              <w:adjustRightInd w:val="0"/>
              <w:ind w:right="-28"/>
              <w:jc w:val="left"/>
              <w:rPr>
                <w:rFonts w:ascii="Calibri" w:hAnsi="Calibri"/>
                <w:noProof/>
                <w:sz w:val="20"/>
                <w:szCs w:val="20"/>
                <w:lang w:eastAsia="en-US"/>
              </w:rPr>
            </w:pPr>
            <w:r w:rsidRPr="008676F9">
              <w:rPr>
                <w:rFonts w:ascii="Calibri" w:hAnsi="Calibri"/>
                <w:noProof/>
                <w:sz w:val="20"/>
                <w:szCs w:val="20"/>
                <w:lang w:eastAsia="en-US"/>
              </w:rPr>
              <w:t xml:space="preserve">Prenos znalostí a informačné aktivity </w:t>
            </w:r>
          </w:p>
        </w:tc>
        <w:tc>
          <w:tcPr>
            <w:tcW w:w="3969" w:type="dxa"/>
            <w:tcBorders>
              <w:bottom w:val="single" w:sz="4" w:space="0" w:color="auto"/>
            </w:tcBorders>
          </w:tcPr>
          <w:p w:rsidR="008676F9" w:rsidRPr="008676F9" w:rsidRDefault="008676F9" w:rsidP="008676F9">
            <w:pPr>
              <w:widowControl w:val="0"/>
              <w:autoSpaceDE w:val="0"/>
              <w:autoSpaceDN w:val="0"/>
              <w:adjustRightInd w:val="0"/>
              <w:ind w:right="-28"/>
              <w:rPr>
                <w:rFonts w:ascii="Calibri" w:hAnsi="Calibri"/>
                <w:noProof/>
                <w:sz w:val="20"/>
                <w:szCs w:val="20"/>
                <w:lang w:eastAsia="en-US"/>
              </w:rPr>
            </w:pPr>
            <w:r w:rsidRPr="008676F9">
              <w:rPr>
                <w:rFonts w:ascii="Calibri" w:hAnsi="Calibri"/>
                <w:sz w:val="20"/>
                <w:szCs w:val="20"/>
                <w:lang w:eastAsia="en-US"/>
              </w:rPr>
              <w:t>Každá pomoc poskytnutá v rámci tohto opatrenia,</w:t>
            </w:r>
            <w:r w:rsidRPr="008676F9">
              <w:rPr>
                <w:rFonts w:ascii="Calibri" w:hAnsi="Calibri"/>
                <w:b/>
                <w:sz w:val="20"/>
                <w:szCs w:val="20"/>
                <w:lang w:eastAsia="en-US"/>
              </w:rPr>
              <w:t xml:space="preserve"> ktorá sa týka lesného hospodárstva</w:t>
            </w:r>
            <w:r w:rsidRPr="008676F9">
              <w:rPr>
                <w:rFonts w:ascii="Calibri" w:hAnsi="Calibri"/>
                <w:sz w:val="20"/>
                <w:szCs w:val="20"/>
                <w:lang w:eastAsia="en-US"/>
              </w:rPr>
              <w:t xml:space="preserve"> bude poskytnutá v súlade s </w:t>
            </w:r>
            <w:r w:rsidRPr="008676F9">
              <w:rPr>
                <w:rFonts w:ascii="Calibri" w:hAnsi="Calibri"/>
                <w:b/>
                <w:noProof/>
                <w:sz w:val="20"/>
                <w:szCs w:val="20"/>
                <w:lang w:eastAsia="en-US"/>
              </w:rPr>
              <w:t>nariadením Komisie (EÚ) č.1407/2013 o uplatňovaní článkov 107 a 108 ZFEÚ na pomoc de minimis.</w:t>
            </w:r>
          </w:p>
        </w:tc>
        <w:tc>
          <w:tcPr>
            <w:tcW w:w="1418" w:type="dxa"/>
            <w:tcBorders>
              <w:bottom w:val="single" w:sz="4" w:space="0" w:color="auto"/>
            </w:tcBorders>
            <w:vAlign w:val="center"/>
          </w:tcPr>
          <w:p w:rsidR="008676F9" w:rsidRPr="008676F9" w:rsidRDefault="008676F9" w:rsidP="008676F9">
            <w:pPr>
              <w:widowControl w:val="0"/>
              <w:autoSpaceDE w:val="0"/>
              <w:autoSpaceDN w:val="0"/>
              <w:adjustRightInd w:val="0"/>
              <w:ind w:right="-28"/>
              <w:rPr>
                <w:rFonts w:ascii="Calibri" w:hAnsi="Calibri"/>
                <w:noProof/>
                <w:sz w:val="20"/>
                <w:szCs w:val="20"/>
                <w:lang w:eastAsia="en-US"/>
              </w:rPr>
            </w:pPr>
          </w:p>
        </w:tc>
        <w:tc>
          <w:tcPr>
            <w:tcW w:w="1843" w:type="dxa"/>
            <w:tcBorders>
              <w:bottom w:val="single" w:sz="4" w:space="0" w:color="auto"/>
            </w:tcBorders>
            <w:vAlign w:val="center"/>
          </w:tcPr>
          <w:p w:rsidR="008676F9" w:rsidRPr="008676F9" w:rsidRDefault="008676F9" w:rsidP="008676F9">
            <w:pPr>
              <w:widowControl w:val="0"/>
              <w:autoSpaceDE w:val="0"/>
              <w:autoSpaceDN w:val="0"/>
              <w:adjustRightInd w:val="0"/>
              <w:ind w:right="-28"/>
              <w:rPr>
                <w:rFonts w:ascii="Calibri" w:hAnsi="Calibri"/>
                <w:noProof/>
                <w:sz w:val="20"/>
                <w:szCs w:val="20"/>
                <w:lang w:eastAsia="en-US"/>
              </w:rPr>
            </w:pPr>
          </w:p>
        </w:tc>
        <w:tc>
          <w:tcPr>
            <w:tcW w:w="1559" w:type="dxa"/>
            <w:tcBorders>
              <w:bottom w:val="single" w:sz="4" w:space="0" w:color="auto"/>
            </w:tcBorders>
            <w:vAlign w:val="center"/>
          </w:tcPr>
          <w:p w:rsidR="008676F9" w:rsidRPr="008676F9" w:rsidRDefault="008676F9" w:rsidP="008676F9">
            <w:pPr>
              <w:widowControl w:val="0"/>
              <w:autoSpaceDE w:val="0"/>
              <w:autoSpaceDN w:val="0"/>
              <w:adjustRightInd w:val="0"/>
              <w:ind w:right="-28"/>
              <w:jc w:val="center"/>
              <w:rPr>
                <w:rFonts w:ascii="Calibri" w:hAnsi="Calibri"/>
                <w:noProof/>
                <w:sz w:val="20"/>
                <w:szCs w:val="20"/>
                <w:lang w:eastAsia="en-US"/>
              </w:rPr>
            </w:pPr>
            <w:r w:rsidRPr="008676F9">
              <w:rPr>
                <w:rFonts w:ascii="Calibri" w:hAnsi="Calibri"/>
                <w:noProof/>
                <w:sz w:val="20"/>
                <w:szCs w:val="20"/>
                <w:lang w:eastAsia="en-US"/>
              </w:rPr>
              <w:t>X</w:t>
            </w:r>
          </w:p>
        </w:tc>
        <w:tc>
          <w:tcPr>
            <w:tcW w:w="1417" w:type="dxa"/>
            <w:tcBorders>
              <w:bottom w:val="single" w:sz="4" w:space="0" w:color="auto"/>
            </w:tcBorders>
            <w:vAlign w:val="center"/>
          </w:tcPr>
          <w:p w:rsidR="008676F9" w:rsidRPr="008676F9" w:rsidRDefault="008676F9" w:rsidP="008676F9">
            <w:pPr>
              <w:widowControl w:val="0"/>
              <w:autoSpaceDE w:val="0"/>
              <w:autoSpaceDN w:val="0"/>
              <w:adjustRightInd w:val="0"/>
              <w:ind w:right="-28"/>
              <w:rPr>
                <w:rFonts w:ascii="Calibri" w:hAnsi="Calibri"/>
                <w:noProof/>
                <w:sz w:val="20"/>
                <w:szCs w:val="20"/>
                <w:lang w:eastAsia="en-US"/>
              </w:rPr>
            </w:pPr>
          </w:p>
        </w:tc>
      </w:tr>
      <w:tr w:rsidR="008676F9" w:rsidRPr="008676F9" w:rsidTr="005F1407">
        <w:trPr>
          <w:trHeight w:val="1465"/>
        </w:trPr>
        <w:tc>
          <w:tcPr>
            <w:tcW w:w="2127" w:type="dxa"/>
            <w:tcBorders>
              <w:bottom w:val="single" w:sz="4" w:space="0" w:color="auto"/>
            </w:tcBorders>
          </w:tcPr>
          <w:p w:rsidR="008676F9" w:rsidRPr="008676F9" w:rsidRDefault="008676F9" w:rsidP="00D95CA5">
            <w:pPr>
              <w:widowControl w:val="0"/>
              <w:autoSpaceDE w:val="0"/>
              <w:autoSpaceDN w:val="0"/>
              <w:adjustRightInd w:val="0"/>
              <w:ind w:right="-28"/>
              <w:jc w:val="left"/>
              <w:rPr>
                <w:rFonts w:ascii="Calibri" w:hAnsi="Calibri"/>
                <w:b/>
                <w:noProof/>
                <w:sz w:val="20"/>
                <w:szCs w:val="20"/>
                <w:lang w:eastAsia="en-US"/>
              </w:rPr>
            </w:pPr>
            <w:r w:rsidRPr="008676F9">
              <w:rPr>
                <w:rFonts w:ascii="Calibri" w:hAnsi="Calibri"/>
                <w:b/>
                <w:noProof/>
                <w:sz w:val="20"/>
                <w:szCs w:val="20"/>
                <w:lang w:eastAsia="en-US"/>
              </w:rPr>
              <w:t xml:space="preserve">čl. 15 </w:t>
            </w:r>
          </w:p>
          <w:p w:rsidR="008676F9" w:rsidRPr="008676F9" w:rsidRDefault="008676F9" w:rsidP="00D95CA5">
            <w:pPr>
              <w:widowControl w:val="0"/>
              <w:autoSpaceDE w:val="0"/>
              <w:autoSpaceDN w:val="0"/>
              <w:adjustRightInd w:val="0"/>
              <w:ind w:right="-28"/>
              <w:jc w:val="left"/>
              <w:rPr>
                <w:rFonts w:ascii="Calibri" w:hAnsi="Calibri"/>
                <w:noProof/>
                <w:sz w:val="20"/>
                <w:szCs w:val="20"/>
                <w:lang w:eastAsia="en-US"/>
              </w:rPr>
            </w:pPr>
            <w:r w:rsidRPr="008676F9">
              <w:rPr>
                <w:rFonts w:ascii="Calibri" w:hAnsi="Calibri"/>
                <w:bCs/>
                <w:sz w:val="20"/>
                <w:szCs w:val="20"/>
                <w:lang w:eastAsia="en-US"/>
              </w:rPr>
              <w:t>Poradenské služby</w:t>
            </w:r>
          </w:p>
        </w:tc>
        <w:tc>
          <w:tcPr>
            <w:tcW w:w="1842" w:type="dxa"/>
            <w:tcBorders>
              <w:bottom w:val="single" w:sz="4" w:space="0" w:color="auto"/>
            </w:tcBorders>
          </w:tcPr>
          <w:p w:rsidR="008676F9" w:rsidRPr="008676F9" w:rsidRDefault="008676F9" w:rsidP="00D95CA5">
            <w:pPr>
              <w:widowControl w:val="0"/>
              <w:autoSpaceDE w:val="0"/>
              <w:autoSpaceDN w:val="0"/>
              <w:adjustRightInd w:val="0"/>
              <w:ind w:right="-28"/>
              <w:jc w:val="left"/>
              <w:rPr>
                <w:rFonts w:ascii="Calibri" w:hAnsi="Calibri"/>
                <w:noProof/>
                <w:sz w:val="20"/>
                <w:szCs w:val="20"/>
                <w:lang w:eastAsia="en-US"/>
              </w:rPr>
            </w:pPr>
            <w:r w:rsidRPr="008676F9">
              <w:rPr>
                <w:rFonts w:ascii="Calibri" w:hAnsi="Calibri"/>
                <w:noProof/>
                <w:sz w:val="20"/>
                <w:szCs w:val="20"/>
                <w:lang w:eastAsia="en-US"/>
              </w:rPr>
              <w:t>Poradenské služby</w:t>
            </w:r>
          </w:p>
        </w:tc>
        <w:tc>
          <w:tcPr>
            <w:tcW w:w="3969" w:type="dxa"/>
            <w:tcBorders>
              <w:bottom w:val="single" w:sz="4" w:space="0" w:color="auto"/>
            </w:tcBorders>
          </w:tcPr>
          <w:p w:rsidR="008676F9" w:rsidRPr="008676F9" w:rsidRDefault="008676F9" w:rsidP="008676F9">
            <w:pPr>
              <w:widowControl w:val="0"/>
              <w:autoSpaceDE w:val="0"/>
              <w:autoSpaceDN w:val="0"/>
              <w:adjustRightInd w:val="0"/>
              <w:ind w:right="-28"/>
              <w:rPr>
                <w:rFonts w:ascii="Calibri" w:hAnsi="Calibri"/>
                <w:noProof/>
                <w:sz w:val="20"/>
                <w:szCs w:val="20"/>
                <w:lang w:eastAsia="en-US"/>
              </w:rPr>
            </w:pPr>
            <w:r w:rsidRPr="008676F9">
              <w:rPr>
                <w:rFonts w:ascii="Calibri" w:hAnsi="Calibri"/>
                <w:sz w:val="20"/>
                <w:szCs w:val="20"/>
                <w:lang w:eastAsia="en-US"/>
              </w:rPr>
              <w:t>Každá pomoc poskytnutá v rámci tohto opatrenia,</w:t>
            </w:r>
            <w:r w:rsidRPr="008676F9">
              <w:rPr>
                <w:rFonts w:ascii="Calibri" w:hAnsi="Calibri"/>
                <w:b/>
                <w:sz w:val="20"/>
                <w:szCs w:val="20"/>
                <w:lang w:eastAsia="en-US"/>
              </w:rPr>
              <w:t xml:space="preserve"> ktorá sa týka lesného hospodárstva</w:t>
            </w:r>
            <w:r w:rsidRPr="008676F9">
              <w:rPr>
                <w:rFonts w:ascii="Calibri" w:hAnsi="Calibri"/>
                <w:sz w:val="20"/>
                <w:szCs w:val="20"/>
                <w:lang w:eastAsia="en-US"/>
              </w:rPr>
              <w:t xml:space="preserve"> bude poskytnutá v súlade s nariadením </w:t>
            </w:r>
            <w:r w:rsidRPr="008676F9">
              <w:rPr>
                <w:rFonts w:ascii="Calibri" w:hAnsi="Calibri"/>
                <w:b/>
                <w:noProof/>
                <w:sz w:val="20"/>
                <w:szCs w:val="20"/>
                <w:lang w:eastAsia="en-US"/>
              </w:rPr>
              <w:t>Komisie (EÚ) č.1407/2013 o uplatňovaní článkov 107 a 108 ZFEÚ na pomoc de minimis.</w:t>
            </w:r>
          </w:p>
        </w:tc>
        <w:tc>
          <w:tcPr>
            <w:tcW w:w="1418" w:type="dxa"/>
            <w:tcBorders>
              <w:bottom w:val="single" w:sz="4" w:space="0" w:color="auto"/>
            </w:tcBorders>
            <w:vAlign w:val="center"/>
          </w:tcPr>
          <w:p w:rsidR="008676F9" w:rsidRPr="008676F9" w:rsidRDefault="008676F9" w:rsidP="008676F9">
            <w:pPr>
              <w:widowControl w:val="0"/>
              <w:autoSpaceDE w:val="0"/>
              <w:autoSpaceDN w:val="0"/>
              <w:adjustRightInd w:val="0"/>
              <w:ind w:right="-28"/>
              <w:rPr>
                <w:rFonts w:ascii="Calibri" w:hAnsi="Calibri"/>
                <w:noProof/>
                <w:sz w:val="20"/>
                <w:szCs w:val="20"/>
                <w:lang w:eastAsia="en-US"/>
              </w:rPr>
            </w:pPr>
          </w:p>
        </w:tc>
        <w:tc>
          <w:tcPr>
            <w:tcW w:w="1843" w:type="dxa"/>
            <w:tcBorders>
              <w:bottom w:val="single" w:sz="4" w:space="0" w:color="auto"/>
            </w:tcBorders>
            <w:vAlign w:val="center"/>
          </w:tcPr>
          <w:p w:rsidR="008676F9" w:rsidRPr="008676F9" w:rsidRDefault="008676F9" w:rsidP="008676F9">
            <w:pPr>
              <w:widowControl w:val="0"/>
              <w:autoSpaceDE w:val="0"/>
              <w:autoSpaceDN w:val="0"/>
              <w:adjustRightInd w:val="0"/>
              <w:ind w:right="-28"/>
              <w:rPr>
                <w:rFonts w:ascii="Calibri" w:hAnsi="Calibri"/>
                <w:noProof/>
                <w:sz w:val="20"/>
                <w:szCs w:val="20"/>
                <w:lang w:eastAsia="en-US"/>
              </w:rPr>
            </w:pPr>
          </w:p>
        </w:tc>
        <w:tc>
          <w:tcPr>
            <w:tcW w:w="1559" w:type="dxa"/>
            <w:tcBorders>
              <w:bottom w:val="single" w:sz="4" w:space="0" w:color="auto"/>
            </w:tcBorders>
            <w:vAlign w:val="center"/>
          </w:tcPr>
          <w:p w:rsidR="008676F9" w:rsidRPr="008676F9" w:rsidRDefault="008676F9" w:rsidP="008676F9">
            <w:pPr>
              <w:spacing w:after="120"/>
              <w:jc w:val="center"/>
              <w:rPr>
                <w:szCs w:val="20"/>
                <w:lang w:val="en-GB" w:eastAsia="en-US"/>
              </w:rPr>
            </w:pPr>
            <w:r w:rsidRPr="008676F9">
              <w:rPr>
                <w:rFonts w:ascii="Calibri" w:hAnsi="Calibri"/>
                <w:noProof/>
                <w:sz w:val="20"/>
                <w:szCs w:val="20"/>
                <w:lang w:eastAsia="en-US"/>
              </w:rPr>
              <w:t>X</w:t>
            </w:r>
          </w:p>
        </w:tc>
        <w:tc>
          <w:tcPr>
            <w:tcW w:w="1417" w:type="dxa"/>
            <w:tcBorders>
              <w:bottom w:val="single" w:sz="4" w:space="0" w:color="auto"/>
            </w:tcBorders>
            <w:vAlign w:val="center"/>
          </w:tcPr>
          <w:p w:rsidR="008676F9" w:rsidRPr="008676F9" w:rsidRDefault="008676F9" w:rsidP="008676F9">
            <w:pPr>
              <w:widowControl w:val="0"/>
              <w:autoSpaceDE w:val="0"/>
              <w:autoSpaceDN w:val="0"/>
              <w:adjustRightInd w:val="0"/>
              <w:ind w:right="-28"/>
              <w:rPr>
                <w:rFonts w:ascii="Calibri" w:hAnsi="Calibri"/>
                <w:noProof/>
                <w:sz w:val="20"/>
                <w:szCs w:val="20"/>
                <w:lang w:eastAsia="en-US"/>
              </w:rPr>
            </w:pPr>
          </w:p>
        </w:tc>
      </w:tr>
      <w:tr w:rsidR="008676F9" w:rsidRPr="008676F9" w:rsidTr="005F1407">
        <w:trPr>
          <w:trHeight w:val="1465"/>
        </w:trPr>
        <w:tc>
          <w:tcPr>
            <w:tcW w:w="2127" w:type="dxa"/>
            <w:tcBorders>
              <w:bottom w:val="single" w:sz="4" w:space="0" w:color="auto"/>
            </w:tcBorders>
          </w:tcPr>
          <w:p w:rsidR="008676F9" w:rsidRPr="008676F9" w:rsidRDefault="008676F9" w:rsidP="00D95CA5">
            <w:pPr>
              <w:widowControl w:val="0"/>
              <w:autoSpaceDE w:val="0"/>
              <w:autoSpaceDN w:val="0"/>
              <w:adjustRightInd w:val="0"/>
              <w:ind w:right="-28"/>
              <w:jc w:val="left"/>
              <w:rPr>
                <w:rFonts w:ascii="Calibri" w:hAnsi="Calibri"/>
                <w:noProof/>
                <w:sz w:val="20"/>
                <w:szCs w:val="20"/>
                <w:lang w:eastAsia="en-US"/>
              </w:rPr>
            </w:pPr>
            <w:r w:rsidRPr="008676F9">
              <w:rPr>
                <w:rFonts w:ascii="Calibri" w:hAnsi="Calibri"/>
                <w:b/>
                <w:bCs/>
                <w:sz w:val="20"/>
                <w:szCs w:val="20"/>
                <w:lang w:eastAsia="en-US"/>
              </w:rPr>
              <w:t>Čl. 17(1b)</w:t>
            </w:r>
            <w:r w:rsidRPr="008676F9">
              <w:rPr>
                <w:rFonts w:ascii="Calibri" w:hAnsi="Calibri"/>
                <w:bCs/>
                <w:sz w:val="20"/>
                <w:szCs w:val="20"/>
                <w:lang w:eastAsia="en-US"/>
              </w:rPr>
              <w:t xml:space="preserve"> </w:t>
            </w:r>
            <w:r w:rsidRPr="008676F9">
              <w:rPr>
                <w:rFonts w:ascii="Calibri" w:hAnsi="Calibri"/>
                <w:bCs/>
                <w:noProof/>
                <w:sz w:val="20"/>
                <w:szCs w:val="20"/>
                <w:lang w:eastAsia="en-US"/>
              </w:rPr>
              <w:t>Investície do hmotného majetku, ktoré sa týkaju spracovania, uvádzania na trh a/alebo vývoja poľn. výrobkov</w:t>
            </w:r>
          </w:p>
        </w:tc>
        <w:tc>
          <w:tcPr>
            <w:tcW w:w="1842" w:type="dxa"/>
            <w:tcBorders>
              <w:bottom w:val="single" w:sz="4" w:space="0" w:color="auto"/>
            </w:tcBorders>
          </w:tcPr>
          <w:p w:rsidR="008676F9" w:rsidRPr="008676F9" w:rsidRDefault="008676F9" w:rsidP="00D95CA5">
            <w:pPr>
              <w:widowControl w:val="0"/>
              <w:autoSpaceDE w:val="0"/>
              <w:autoSpaceDN w:val="0"/>
              <w:adjustRightInd w:val="0"/>
              <w:ind w:right="-28"/>
              <w:jc w:val="left"/>
              <w:rPr>
                <w:rFonts w:ascii="Calibri" w:hAnsi="Calibri"/>
                <w:noProof/>
                <w:sz w:val="20"/>
                <w:szCs w:val="20"/>
                <w:lang w:eastAsia="en-US"/>
              </w:rPr>
            </w:pPr>
            <w:r w:rsidRPr="008676F9">
              <w:rPr>
                <w:rFonts w:ascii="Calibri" w:hAnsi="Calibri"/>
                <w:noProof/>
                <w:sz w:val="20"/>
                <w:szCs w:val="20"/>
                <w:lang w:eastAsia="en-US"/>
              </w:rPr>
              <w:t xml:space="preserve">Investície do hmotného majetku, </w:t>
            </w:r>
            <w:r w:rsidRPr="008676F9">
              <w:rPr>
                <w:rFonts w:ascii="Calibri" w:hAnsi="Calibri"/>
                <w:bCs/>
                <w:noProof/>
                <w:sz w:val="20"/>
                <w:szCs w:val="20"/>
                <w:lang w:eastAsia="en-US"/>
              </w:rPr>
              <w:t xml:space="preserve">ktoré sa týkaju </w:t>
            </w:r>
            <w:r w:rsidRPr="008676F9">
              <w:rPr>
                <w:rFonts w:ascii="Calibri" w:hAnsi="Calibri"/>
                <w:b/>
                <w:bCs/>
                <w:noProof/>
                <w:sz w:val="20"/>
                <w:szCs w:val="20"/>
                <w:lang w:eastAsia="en-US"/>
              </w:rPr>
              <w:t>spracovania,</w:t>
            </w:r>
            <w:r w:rsidRPr="008676F9">
              <w:rPr>
                <w:rFonts w:ascii="Calibri" w:hAnsi="Calibri"/>
                <w:bCs/>
                <w:noProof/>
                <w:sz w:val="20"/>
                <w:szCs w:val="20"/>
                <w:lang w:eastAsia="en-US"/>
              </w:rPr>
              <w:t xml:space="preserve"> uvádzania na trh a/alebo vývoja poľn. výrobkov</w:t>
            </w:r>
          </w:p>
        </w:tc>
        <w:tc>
          <w:tcPr>
            <w:tcW w:w="3969" w:type="dxa"/>
            <w:tcBorders>
              <w:bottom w:val="single" w:sz="4" w:space="0" w:color="auto"/>
            </w:tcBorders>
          </w:tcPr>
          <w:p w:rsidR="008676F9" w:rsidRPr="008676F9" w:rsidRDefault="008676F9" w:rsidP="008676F9">
            <w:pPr>
              <w:widowControl w:val="0"/>
              <w:autoSpaceDE w:val="0"/>
              <w:autoSpaceDN w:val="0"/>
              <w:adjustRightInd w:val="0"/>
              <w:ind w:right="-28"/>
              <w:rPr>
                <w:rFonts w:ascii="Calibri" w:hAnsi="Calibri"/>
                <w:b/>
                <w:noProof/>
                <w:sz w:val="20"/>
                <w:szCs w:val="20"/>
                <w:lang w:eastAsia="en-US"/>
              </w:rPr>
            </w:pPr>
            <w:r w:rsidRPr="008676F9">
              <w:rPr>
                <w:rFonts w:ascii="Calibri" w:hAnsi="Calibri"/>
                <w:sz w:val="20"/>
                <w:szCs w:val="20"/>
                <w:lang w:eastAsia="en-US"/>
              </w:rPr>
              <w:t xml:space="preserve">Každá pomoc poskytnutá v rámci tohto opatrenia, </w:t>
            </w:r>
            <w:r w:rsidRPr="008676F9">
              <w:rPr>
                <w:rFonts w:ascii="Calibri" w:hAnsi="Calibri"/>
                <w:b/>
                <w:sz w:val="20"/>
                <w:szCs w:val="20"/>
                <w:lang w:eastAsia="en-US"/>
              </w:rPr>
              <w:t>ktorá nespadá do rozsahu čl. 42 Zmluvy o fungovaní EÚ</w:t>
            </w:r>
            <w:r w:rsidRPr="008676F9">
              <w:rPr>
                <w:rFonts w:ascii="Calibri" w:hAnsi="Calibri"/>
                <w:sz w:val="20"/>
                <w:szCs w:val="20"/>
                <w:lang w:eastAsia="en-US"/>
              </w:rPr>
              <w:t xml:space="preserve"> bude poskytnutá  v súlade s nariadením </w:t>
            </w:r>
            <w:r w:rsidRPr="008676F9">
              <w:rPr>
                <w:rFonts w:ascii="Calibri" w:hAnsi="Calibri"/>
                <w:b/>
                <w:noProof/>
                <w:sz w:val="20"/>
                <w:szCs w:val="20"/>
                <w:lang w:eastAsia="en-US"/>
              </w:rPr>
              <w:t xml:space="preserve">Komisie č.XXX/XXXX o vyhlásení určitých kategórii pomoci za zlučiteľné so spoločným trhom </w:t>
            </w:r>
            <w:r w:rsidRPr="008676F9">
              <w:rPr>
                <w:rFonts w:ascii="Calibri" w:hAnsi="Calibri"/>
                <w:noProof/>
                <w:sz w:val="20"/>
                <w:szCs w:val="20"/>
                <w:lang w:eastAsia="en-US"/>
              </w:rPr>
              <w:t>(nariadenie o skupinových výnimkách).</w:t>
            </w:r>
          </w:p>
        </w:tc>
        <w:tc>
          <w:tcPr>
            <w:tcW w:w="1418" w:type="dxa"/>
            <w:tcBorders>
              <w:bottom w:val="single" w:sz="4" w:space="0" w:color="auto"/>
            </w:tcBorders>
          </w:tcPr>
          <w:p w:rsidR="008676F9" w:rsidRPr="008676F9" w:rsidRDefault="008676F9" w:rsidP="008676F9">
            <w:pPr>
              <w:widowControl w:val="0"/>
              <w:autoSpaceDE w:val="0"/>
              <w:autoSpaceDN w:val="0"/>
              <w:adjustRightInd w:val="0"/>
              <w:ind w:right="-28"/>
              <w:rPr>
                <w:rFonts w:ascii="Calibri" w:hAnsi="Calibri"/>
                <w:noProof/>
                <w:sz w:val="20"/>
                <w:szCs w:val="20"/>
                <w:lang w:eastAsia="en-US"/>
              </w:rPr>
            </w:pPr>
          </w:p>
        </w:tc>
        <w:tc>
          <w:tcPr>
            <w:tcW w:w="1843" w:type="dxa"/>
            <w:tcBorders>
              <w:bottom w:val="single" w:sz="4" w:space="0" w:color="auto"/>
            </w:tcBorders>
          </w:tcPr>
          <w:p w:rsidR="008676F9" w:rsidRPr="008676F9" w:rsidRDefault="008676F9" w:rsidP="008676F9">
            <w:pPr>
              <w:widowControl w:val="0"/>
              <w:autoSpaceDE w:val="0"/>
              <w:autoSpaceDN w:val="0"/>
              <w:adjustRightInd w:val="0"/>
              <w:ind w:right="-28"/>
              <w:rPr>
                <w:rFonts w:ascii="Calibri" w:hAnsi="Calibri"/>
                <w:noProof/>
                <w:sz w:val="20"/>
                <w:szCs w:val="20"/>
                <w:lang w:eastAsia="en-US"/>
              </w:rPr>
            </w:pPr>
          </w:p>
        </w:tc>
        <w:tc>
          <w:tcPr>
            <w:tcW w:w="1559" w:type="dxa"/>
            <w:tcBorders>
              <w:bottom w:val="single" w:sz="4" w:space="0" w:color="auto"/>
            </w:tcBorders>
            <w:vAlign w:val="center"/>
          </w:tcPr>
          <w:p w:rsidR="008676F9" w:rsidRPr="008676F9" w:rsidRDefault="008676F9" w:rsidP="008676F9">
            <w:pPr>
              <w:spacing w:after="120"/>
              <w:jc w:val="center"/>
              <w:rPr>
                <w:szCs w:val="20"/>
                <w:lang w:val="en-GB" w:eastAsia="en-US"/>
              </w:rPr>
            </w:pPr>
            <w:r w:rsidRPr="008676F9">
              <w:rPr>
                <w:rFonts w:ascii="Calibri" w:hAnsi="Calibri"/>
                <w:noProof/>
                <w:sz w:val="20"/>
                <w:szCs w:val="20"/>
                <w:lang w:eastAsia="en-US"/>
              </w:rPr>
              <w:t>X</w:t>
            </w:r>
          </w:p>
        </w:tc>
        <w:tc>
          <w:tcPr>
            <w:tcW w:w="1417" w:type="dxa"/>
            <w:tcBorders>
              <w:bottom w:val="single" w:sz="4" w:space="0" w:color="auto"/>
            </w:tcBorders>
          </w:tcPr>
          <w:p w:rsidR="008676F9" w:rsidRPr="008676F9" w:rsidRDefault="008676F9" w:rsidP="008676F9">
            <w:pPr>
              <w:widowControl w:val="0"/>
              <w:autoSpaceDE w:val="0"/>
              <w:autoSpaceDN w:val="0"/>
              <w:adjustRightInd w:val="0"/>
              <w:ind w:right="-28"/>
              <w:rPr>
                <w:rFonts w:ascii="Calibri" w:hAnsi="Calibri"/>
                <w:noProof/>
                <w:sz w:val="20"/>
                <w:szCs w:val="20"/>
                <w:lang w:eastAsia="en-US"/>
              </w:rPr>
            </w:pPr>
          </w:p>
        </w:tc>
      </w:tr>
      <w:tr w:rsidR="008676F9" w:rsidRPr="008676F9" w:rsidTr="005F1407">
        <w:trPr>
          <w:trHeight w:val="972"/>
        </w:trPr>
        <w:tc>
          <w:tcPr>
            <w:tcW w:w="2127" w:type="dxa"/>
            <w:tcBorders>
              <w:bottom w:val="single" w:sz="4" w:space="0" w:color="auto"/>
            </w:tcBorders>
          </w:tcPr>
          <w:p w:rsidR="008676F9" w:rsidRPr="008676F9" w:rsidRDefault="008676F9" w:rsidP="00D95CA5">
            <w:pPr>
              <w:widowControl w:val="0"/>
              <w:autoSpaceDE w:val="0"/>
              <w:autoSpaceDN w:val="0"/>
              <w:adjustRightInd w:val="0"/>
              <w:ind w:right="-28"/>
              <w:jc w:val="left"/>
              <w:rPr>
                <w:rFonts w:ascii="Calibri" w:hAnsi="Calibri" w:cs="Calibri"/>
                <w:b/>
                <w:bCs/>
                <w:sz w:val="20"/>
                <w:szCs w:val="20"/>
                <w:lang w:eastAsia="en-US"/>
              </w:rPr>
            </w:pPr>
            <w:r w:rsidRPr="008676F9">
              <w:rPr>
                <w:rFonts w:ascii="Calibri" w:hAnsi="Calibri" w:cs="Calibri"/>
                <w:b/>
                <w:bCs/>
                <w:sz w:val="20"/>
                <w:szCs w:val="20"/>
                <w:lang w:eastAsia="en-US"/>
              </w:rPr>
              <w:t>čl. 19(1b)</w:t>
            </w:r>
          </w:p>
          <w:p w:rsidR="008676F9" w:rsidRPr="008676F9" w:rsidRDefault="008676F9" w:rsidP="00D95CA5">
            <w:pPr>
              <w:widowControl w:val="0"/>
              <w:autoSpaceDE w:val="0"/>
              <w:autoSpaceDN w:val="0"/>
              <w:adjustRightInd w:val="0"/>
              <w:ind w:right="-28"/>
              <w:jc w:val="left"/>
              <w:rPr>
                <w:rFonts w:ascii="Calibri" w:hAnsi="Calibri"/>
                <w:noProof/>
                <w:sz w:val="20"/>
                <w:szCs w:val="20"/>
                <w:lang w:eastAsia="en-US"/>
              </w:rPr>
            </w:pPr>
            <w:r w:rsidRPr="008676F9">
              <w:rPr>
                <w:rFonts w:ascii="Calibri" w:hAnsi="Calibri" w:cs="Calibri"/>
                <w:bCs/>
                <w:noProof/>
                <w:sz w:val="20"/>
                <w:szCs w:val="20"/>
                <w:lang w:eastAsia="en-US"/>
              </w:rPr>
              <w:t>Investície do vytvárania a rozvoja nepoľn. činností</w:t>
            </w:r>
          </w:p>
        </w:tc>
        <w:tc>
          <w:tcPr>
            <w:tcW w:w="1842" w:type="dxa"/>
            <w:tcBorders>
              <w:bottom w:val="single" w:sz="4" w:space="0" w:color="auto"/>
            </w:tcBorders>
          </w:tcPr>
          <w:p w:rsidR="008676F9" w:rsidRPr="008676F9" w:rsidRDefault="008676F9" w:rsidP="00D95CA5">
            <w:pPr>
              <w:widowControl w:val="0"/>
              <w:autoSpaceDE w:val="0"/>
              <w:autoSpaceDN w:val="0"/>
              <w:adjustRightInd w:val="0"/>
              <w:ind w:right="-28"/>
              <w:jc w:val="left"/>
              <w:rPr>
                <w:rFonts w:ascii="Calibri" w:hAnsi="Calibri"/>
                <w:noProof/>
                <w:sz w:val="20"/>
                <w:szCs w:val="20"/>
                <w:lang w:eastAsia="en-US"/>
              </w:rPr>
            </w:pPr>
            <w:r w:rsidRPr="008676F9">
              <w:rPr>
                <w:rFonts w:ascii="Calibri" w:hAnsi="Calibri" w:cs="Calibri"/>
                <w:bCs/>
                <w:noProof/>
                <w:sz w:val="20"/>
                <w:szCs w:val="20"/>
                <w:lang w:eastAsia="en-US"/>
              </w:rPr>
              <w:t>Investície do vytvárania a rozvoja nepoľn. činností</w:t>
            </w:r>
          </w:p>
        </w:tc>
        <w:tc>
          <w:tcPr>
            <w:tcW w:w="3969" w:type="dxa"/>
            <w:tcBorders>
              <w:bottom w:val="single" w:sz="4" w:space="0" w:color="auto"/>
            </w:tcBorders>
          </w:tcPr>
          <w:p w:rsidR="008676F9" w:rsidRPr="008676F9" w:rsidRDefault="008676F9" w:rsidP="008676F9">
            <w:pPr>
              <w:widowControl w:val="0"/>
              <w:autoSpaceDE w:val="0"/>
              <w:autoSpaceDN w:val="0"/>
              <w:adjustRightInd w:val="0"/>
              <w:ind w:right="-28"/>
              <w:rPr>
                <w:rFonts w:ascii="Calibri" w:hAnsi="Calibri"/>
                <w:noProof/>
                <w:sz w:val="20"/>
                <w:szCs w:val="20"/>
                <w:lang w:eastAsia="en-US"/>
              </w:rPr>
            </w:pPr>
            <w:r w:rsidRPr="008676F9">
              <w:rPr>
                <w:rFonts w:ascii="Calibri" w:hAnsi="Calibri"/>
                <w:sz w:val="20"/>
                <w:szCs w:val="20"/>
                <w:lang w:eastAsia="en-US"/>
              </w:rPr>
              <w:t>Každá pomoc poskytnutá v rámci tohto opatrenia bude poskytnutá v súlade s </w:t>
            </w:r>
            <w:r w:rsidRPr="008676F9">
              <w:rPr>
                <w:rFonts w:ascii="Calibri" w:hAnsi="Calibri"/>
                <w:b/>
                <w:sz w:val="20"/>
                <w:szCs w:val="20"/>
                <w:lang w:eastAsia="en-US"/>
              </w:rPr>
              <w:t xml:space="preserve">nariadením </w:t>
            </w:r>
            <w:r w:rsidRPr="008676F9">
              <w:rPr>
                <w:rFonts w:ascii="Calibri" w:hAnsi="Calibri"/>
                <w:b/>
                <w:noProof/>
                <w:sz w:val="20"/>
                <w:szCs w:val="20"/>
                <w:lang w:eastAsia="en-US"/>
              </w:rPr>
              <w:t>Komisie č.XXX/XXXX o vyhlásení určitých kategórii pomoci za zlučiteľné so spoločným trhom</w:t>
            </w:r>
            <w:r w:rsidRPr="008676F9">
              <w:rPr>
                <w:rFonts w:ascii="Calibri" w:hAnsi="Calibri"/>
                <w:noProof/>
                <w:sz w:val="20"/>
                <w:szCs w:val="20"/>
                <w:lang w:eastAsia="en-US"/>
              </w:rPr>
              <w:t xml:space="preserve"> (nariadenie o skupinových výnimkách) podľa regiónalnej mapy pomoci.</w:t>
            </w:r>
          </w:p>
          <w:p w:rsidR="008676F9" w:rsidRPr="008676F9" w:rsidRDefault="008676F9" w:rsidP="008676F9">
            <w:pPr>
              <w:widowControl w:val="0"/>
              <w:autoSpaceDE w:val="0"/>
              <w:autoSpaceDN w:val="0"/>
              <w:adjustRightInd w:val="0"/>
              <w:ind w:right="-28"/>
              <w:rPr>
                <w:rFonts w:ascii="Calibri" w:hAnsi="Calibri"/>
                <w:b/>
                <w:noProof/>
                <w:sz w:val="20"/>
                <w:szCs w:val="20"/>
                <w:lang w:eastAsia="en-US"/>
              </w:rPr>
            </w:pPr>
          </w:p>
          <w:p w:rsidR="008676F9" w:rsidRPr="008676F9" w:rsidRDefault="008676F9" w:rsidP="008676F9">
            <w:pPr>
              <w:widowControl w:val="0"/>
              <w:autoSpaceDE w:val="0"/>
              <w:autoSpaceDN w:val="0"/>
              <w:adjustRightInd w:val="0"/>
              <w:ind w:right="-28"/>
              <w:rPr>
                <w:rFonts w:ascii="Calibri" w:hAnsi="Calibri"/>
                <w:noProof/>
                <w:sz w:val="20"/>
                <w:szCs w:val="20"/>
                <w:lang w:eastAsia="en-US"/>
              </w:rPr>
            </w:pPr>
            <w:r w:rsidRPr="008676F9">
              <w:rPr>
                <w:rFonts w:ascii="Calibri" w:hAnsi="Calibri"/>
                <w:noProof/>
                <w:sz w:val="20"/>
                <w:szCs w:val="20"/>
                <w:lang w:eastAsia="en-US"/>
              </w:rPr>
              <w:t>Každá pomoc poskytnutá v rámci tohto opatrenia,</w:t>
            </w:r>
            <w:r w:rsidRPr="008676F9">
              <w:rPr>
                <w:rFonts w:ascii="Calibri" w:hAnsi="Calibri"/>
                <w:b/>
                <w:noProof/>
                <w:sz w:val="20"/>
                <w:szCs w:val="20"/>
                <w:lang w:eastAsia="en-US"/>
              </w:rPr>
              <w:t xml:space="preserve"> ktorá nespadá pod mapu regionálnej pomoci, </w:t>
            </w:r>
            <w:r w:rsidRPr="008676F9">
              <w:rPr>
                <w:rFonts w:ascii="Calibri" w:hAnsi="Calibri"/>
                <w:noProof/>
                <w:sz w:val="20"/>
                <w:szCs w:val="20"/>
                <w:lang w:eastAsia="en-US"/>
              </w:rPr>
              <w:t>bude poskytnutá v súlade s</w:t>
            </w:r>
            <w:r w:rsidRPr="008676F9">
              <w:rPr>
                <w:rFonts w:ascii="Calibri" w:hAnsi="Calibri"/>
                <w:b/>
                <w:noProof/>
                <w:sz w:val="20"/>
                <w:szCs w:val="20"/>
                <w:lang w:eastAsia="en-US"/>
              </w:rPr>
              <w:t xml:space="preserve"> </w:t>
            </w:r>
            <w:r w:rsidRPr="008676F9">
              <w:rPr>
                <w:rFonts w:ascii="Calibri" w:hAnsi="Calibri"/>
                <w:sz w:val="20"/>
                <w:szCs w:val="20"/>
                <w:lang w:eastAsia="en-US"/>
              </w:rPr>
              <w:t xml:space="preserve">nariadením </w:t>
            </w:r>
            <w:r w:rsidRPr="008676F9">
              <w:rPr>
                <w:rFonts w:ascii="Calibri" w:hAnsi="Calibri"/>
                <w:noProof/>
                <w:sz w:val="20"/>
                <w:szCs w:val="20"/>
                <w:lang w:eastAsia="en-US"/>
              </w:rPr>
              <w:t>Komisie (EÚ) č.1407/2013 o uplatňovaní článkov 107 a 108 ZFEÚ na pomoc de minimis.</w:t>
            </w:r>
            <w:r w:rsidRPr="008676F9" w:rsidDel="006C59D5">
              <w:rPr>
                <w:rFonts w:ascii="Calibri" w:hAnsi="Calibri"/>
                <w:sz w:val="20"/>
                <w:szCs w:val="20"/>
                <w:lang w:eastAsia="en-US"/>
              </w:rPr>
              <w:t xml:space="preserve"> </w:t>
            </w:r>
          </w:p>
        </w:tc>
        <w:tc>
          <w:tcPr>
            <w:tcW w:w="1418" w:type="dxa"/>
            <w:tcBorders>
              <w:bottom w:val="single" w:sz="4" w:space="0" w:color="auto"/>
            </w:tcBorders>
            <w:vAlign w:val="center"/>
          </w:tcPr>
          <w:p w:rsidR="008676F9" w:rsidRPr="008676F9" w:rsidRDefault="008676F9" w:rsidP="008676F9">
            <w:pPr>
              <w:widowControl w:val="0"/>
              <w:autoSpaceDE w:val="0"/>
              <w:autoSpaceDN w:val="0"/>
              <w:adjustRightInd w:val="0"/>
              <w:ind w:right="-28"/>
              <w:rPr>
                <w:rFonts w:ascii="Calibri" w:hAnsi="Calibri"/>
                <w:noProof/>
                <w:sz w:val="20"/>
                <w:szCs w:val="20"/>
                <w:lang w:eastAsia="en-US"/>
              </w:rPr>
            </w:pPr>
          </w:p>
        </w:tc>
        <w:tc>
          <w:tcPr>
            <w:tcW w:w="1843" w:type="dxa"/>
            <w:tcBorders>
              <w:bottom w:val="single" w:sz="4" w:space="0" w:color="auto"/>
            </w:tcBorders>
            <w:vAlign w:val="center"/>
          </w:tcPr>
          <w:p w:rsidR="008676F9" w:rsidRPr="008676F9" w:rsidRDefault="008676F9" w:rsidP="008676F9">
            <w:pPr>
              <w:widowControl w:val="0"/>
              <w:autoSpaceDE w:val="0"/>
              <w:autoSpaceDN w:val="0"/>
              <w:adjustRightInd w:val="0"/>
              <w:ind w:right="-28"/>
              <w:rPr>
                <w:rFonts w:ascii="Calibri" w:hAnsi="Calibri"/>
                <w:noProof/>
                <w:sz w:val="20"/>
                <w:szCs w:val="20"/>
                <w:lang w:eastAsia="en-US"/>
              </w:rPr>
            </w:pPr>
          </w:p>
        </w:tc>
        <w:tc>
          <w:tcPr>
            <w:tcW w:w="1559" w:type="dxa"/>
            <w:tcBorders>
              <w:bottom w:val="single" w:sz="4" w:space="0" w:color="auto"/>
            </w:tcBorders>
            <w:vAlign w:val="center"/>
          </w:tcPr>
          <w:p w:rsidR="008676F9" w:rsidRPr="008676F9" w:rsidRDefault="008676F9" w:rsidP="008676F9">
            <w:pPr>
              <w:spacing w:after="120"/>
              <w:jc w:val="center"/>
              <w:rPr>
                <w:szCs w:val="20"/>
                <w:lang w:val="en-GB" w:eastAsia="en-US"/>
              </w:rPr>
            </w:pPr>
            <w:r w:rsidRPr="008676F9">
              <w:rPr>
                <w:rFonts w:ascii="Calibri" w:hAnsi="Calibri"/>
                <w:noProof/>
                <w:sz w:val="20"/>
                <w:szCs w:val="20"/>
                <w:lang w:eastAsia="en-US"/>
              </w:rPr>
              <w:t>X</w:t>
            </w:r>
          </w:p>
        </w:tc>
        <w:tc>
          <w:tcPr>
            <w:tcW w:w="1417" w:type="dxa"/>
            <w:tcBorders>
              <w:bottom w:val="single" w:sz="4" w:space="0" w:color="auto"/>
            </w:tcBorders>
            <w:vAlign w:val="center"/>
          </w:tcPr>
          <w:p w:rsidR="008676F9" w:rsidRPr="008676F9" w:rsidRDefault="008676F9" w:rsidP="008676F9">
            <w:pPr>
              <w:widowControl w:val="0"/>
              <w:autoSpaceDE w:val="0"/>
              <w:autoSpaceDN w:val="0"/>
              <w:adjustRightInd w:val="0"/>
              <w:ind w:right="-28"/>
              <w:rPr>
                <w:rFonts w:ascii="Calibri" w:hAnsi="Calibri"/>
                <w:noProof/>
                <w:sz w:val="20"/>
                <w:szCs w:val="20"/>
                <w:lang w:eastAsia="en-US"/>
              </w:rPr>
            </w:pPr>
          </w:p>
        </w:tc>
      </w:tr>
      <w:tr w:rsidR="008676F9" w:rsidRPr="008676F9" w:rsidTr="005F1407">
        <w:trPr>
          <w:trHeight w:val="1465"/>
        </w:trPr>
        <w:tc>
          <w:tcPr>
            <w:tcW w:w="2127" w:type="dxa"/>
            <w:tcBorders>
              <w:bottom w:val="single" w:sz="4" w:space="0" w:color="auto"/>
            </w:tcBorders>
          </w:tcPr>
          <w:p w:rsidR="008676F9" w:rsidRPr="008676F9" w:rsidRDefault="008676F9" w:rsidP="00D95CA5">
            <w:pPr>
              <w:widowControl w:val="0"/>
              <w:autoSpaceDE w:val="0"/>
              <w:autoSpaceDN w:val="0"/>
              <w:adjustRightInd w:val="0"/>
              <w:ind w:right="-28"/>
              <w:jc w:val="left"/>
              <w:rPr>
                <w:rFonts w:ascii="Calibri" w:hAnsi="Calibri"/>
                <w:b/>
                <w:noProof/>
                <w:sz w:val="20"/>
                <w:szCs w:val="20"/>
                <w:lang w:eastAsia="en-US"/>
              </w:rPr>
            </w:pPr>
            <w:r w:rsidRPr="008676F9">
              <w:rPr>
                <w:rFonts w:ascii="Calibri" w:hAnsi="Calibri"/>
                <w:b/>
                <w:noProof/>
                <w:sz w:val="20"/>
                <w:szCs w:val="20"/>
                <w:lang w:eastAsia="en-US"/>
              </w:rPr>
              <w:t>čl. 20</w:t>
            </w:r>
          </w:p>
          <w:p w:rsidR="008676F9" w:rsidRPr="008676F9" w:rsidRDefault="008676F9" w:rsidP="00D95CA5">
            <w:pPr>
              <w:widowControl w:val="0"/>
              <w:autoSpaceDE w:val="0"/>
              <w:autoSpaceDN w:val="0"/>
              <w:adjustRightInd w:val="0"/>
              <w:ind w:right="-28"/>
              <w:jc w:val="left"/>
              <w:rPr>
                <w:rFonts w:ascii="Calibri" w:hAnsi="Calibri"/>
                <w:noProof/>
                <w:sz w:val="20"/>
                <w:szCs w:val="20"/>
                <w:lang w:eastAsia="en-US"/>
              </w:rPr>
            </w:pPr>
            <w:r w:rsidRPr="008676F9">
              <w:rPr>
                <w:rFonts w:ascii="Calibri" w:hAnsi="Calibri"/>
                <w:noProof/>
                <w:sz w:val="20"/>
                <w:szCs w:val="20"/>
                <w:lang w:eastAsia="en-US"/>
              </w:rPr>
              <w:t>Základné služby a obnova dedín vo vidieckych oblastiach</w:t>
            </w:r>
          </w:p>
        </w:tc>
        <w:tc>
          <w:tcPr>
            <w:tcW w:w="1842" w:type="dxa"/>
            <w:tcBorders>
              <w:bottom w:val="single" w:sz="4" w:space="0" w:color="auto"/>
            </w:tcBorders>
          </w:tcPr>
          <w:p w:rsidR="008676F9" w:rsidRPr="008676F9" w:rsidRDefault="008676F9" w:rsidP="00D95CA5">
            <w:pPr>
              <w:widowControl w:val="0"/>
              <w:autoSpaceDE w:val="0"/>
              <w:autoSpaceDN w:val="0"/>
              <w:adjustRightInd w:val="0"/>
              <w:ind w:right="-28"/>
              <w:jc w:val="left"/>
              <w:rPr>
                <w:rFonts w:ascii="Calibri" w:hAnsi="Calibri"/>
                <w:noProof/>
                <w:sz w:val="20"/>
                <w:szCs w:val="20"/>
                <w:lang w:eastAsia="en-US"/>
              </w:rPr>
            </w:pPr>
            <w:r w:rsidRPr="008676F9">
              <w:rPr>
                <w:rFonts w:ascii="Calibri" w:hAnsi="Calibri"/>
                <w:noProof/>
                <w:sz w:val="20"/>
                <w:szCs w:val="20"/>
                <w:lang w:eastAsia="en-US"/>
              </w:rPr>
              <w:t>Základné služby a obnova dedín vo vidieckych oblastiach</w:t>
            </w:r>
          </w:p>
        </w:tc>
        <w:tc>
          <w:tcPr>
            <w:tcW w:w="3969" w:type="dxa"/>
            <w:tcBorders>
              <w:bottom w:val="single" w:sz="4" w:space="0" w:color="auto"/>
            </w:tcBorders>
          </w:tcPr>
          <w:p w:rsidR="008676F9" w:rsidRPr="008676F9" w:rsidRDefault="008676F9" w:rsidP="008676F9">
            <w:pPr>
              <w:widowControl w:val="0"/>
              <w:autoSpaceDE w:val="0"/>
              <w:autoSpaceDN w:val="0"/>
              <w:adjustRightInd w:val="0"/>
              <w:ind w:right="-28"/>
              <w:rPr>
                <w:rFonts w:ascii="Calibri" w:hAnsi="Calibri"/>
                <w:noProof/>
                <w:sz w:val="20"/>
                <w:szCs w:val="20"/>
                <w:lang w:eastAsia="en-US"/>
              </w:rPr>
            </w:pPr>
            <w:r w:rsidRPr="008676F9">
              <w:rPr>
                <w:rFonts w:ascii="Calibri" w:hAnsi="Calibri"/>
                <w:noProof/>
                <w:sz w:val="20"/>
                <w:szCs w:val="20"/>
                <w:lang w:eastAsia="en-US"/>
              </w:rPr>
              <w:t xml:space="preserve">Každá pomoc poskytnutá v rámci tohto opatrenia </w:t>
            </w:r>
            <w:r w:rsidRPr="008676F9">
              <w:rPr>
                <w:rFonts w:ascii="Calibri" w:hAnsi="Calibri"/>
                <w:b/>
                <w:noProof/>
                <w:sz w:val="20"/>
                <w:szCs w:val="20"/>
                <w:lang w:eastAsia="en-US"/>
              </w:rPr>
              <w:t>na činnosti súvisiace s infraštruktúrou širokopásmového internetu</w:t>
            </w:r>
            <w:r w:rsidRPr="008676F9">
              <w:rPr>
                <w:rFonts w:ascii="Calibri" w:hAnsi="Calibri"/>
                <w:noProof/>
                <w:sz w:val="20"/>
                <w:szCs w:val="20"/>
                <w:lang w:eastAsia="en-US"/>
              </w:rPr>
              <w:t xml:space="preserve"> bude poskytnutá v súlade </w:t>
            </w:r>
            <w:r w:rsidRPr="008676F9">
              <w:rPr>
                <w:rFonts w:ascii="Calibri" w:hAnsi="Calibri"/>
                <w:sz w:val="20"/>
                <w:szCs w:val="20"/>
                <w:lang w:eastAsia="en-US"/>
              </w:rPr>
              <w:t xml:space="preserve">s nariadením </w:t>
            </w:r>
            <w:r w:rsidRPr="008676F9">
              <w:rPr>
                <w:rFonts w:ascii="Calibri" w:hAnsi="Calibri"/>
                <w:noProof/>
                <w:sz w:val="20"/>
                <w:szCs w:val="20"/>
                <w:lang w:eastAsia="en-US"/>
              </w:rPr>
              <w:t>Komisie (EÚ) č.1407/2013 o uplatňovaní článkov 107 a 108 ZFEÚ na pomoc de minimis.</w:t>
            </w:r>
          </w:p>
        </w:tc>
        <w:tc>
          <w:tcPr>
            <w:tcW w:w="1418" w:type="dxa"/>
            <w:tcBorders>
              <w:bottom w:val="single" w:sz="4" w:space="0" w:color="auto"/>
            </w:tcBorders>
            <w:vAlign w:val="center"/>
          </w:tcPr>
          <w:p w:rsidR="008676F9" w:rsidRPr="008676F9" w:rsidRDefault="008676F9" w:rsidP="008676F9">
            <w:pPr>
              <w:widowControl w:val="0"/>
              <w:autoSpaceDE w:val="0"/>
              <w:autoSpaceDN w:val="0"/>
              <w:adjustRightInd w:val="0"/>
              <w:ind w:right="-28"/>
              <w:rPr>
                <w:rFonts w:ascii="Calibri" w:hAnsi="Calibri"/>
                <w:noProof/>
                <w:sz w:val="20"/>
                <w:szCs w:val="20"/>
                <w:lang w:eastAsia="en-US"/>
              </w:rPr>
            </w:pPr>
          </w:p>
        </w:tc>
        <w:tc>
          <w:tcPr>
            <w:tcW w:w="1843" w:type="dxa"/>
            <w:tcBorders>
              <w:bottom w:val="single" w:sz="4" w:space="0" w:color="auto"/>
            </w:tcBorders>
            <w:vAlign w:val="center"/>
          </w:tcPr>
          <w:p w:rsidR="008676F9" w:rsidRPr="008676F9" w:rsidRDefault="008676F9" w:rsidP="008676F9">
            <w:pPr>
              <w:widowControl w:val="0"/>
              <w:autoSpaceDE w:val="0"/>
              <w:autoSpaceDN w:val="0"/>
              <w:adjustRightInd w:val="0"/>
              <w:ind w:right="-28"/>
              <w:rPr>
                <w:rFonts w:ascii="Calibri" w:hAnsi="Calibri"/>
                <w:noProof/>
                <w:sz w:val="20"/>
                <w:szCs w:val="20"/>
                <w:lang w:eastAsia="en-US"/>
              </w:rPr>
            </w:pPr>
          </w:p>
        </w:tc>
        <w:tc>
          <w:tcPr>
            <w:tcW w:w="1559" w:type="dxa"/>
            <w:tcBorders>
              <w:bottom w:val="single" w:sz="4" w:space="0" w:color="auto"/>
            </w:tcBorders>
            <w:vAlign w:val="center"/>
          </w:tcPr>
          <w:p w:rsidR="008676F9" w:rsidRPr="008676F9" w:rsidRDefault="008676F9" w:rsidP="008676F9">
            <w:pPr>
              <w:spacing w:after="120"/>
              <w:jc w:val="center"/>
              <w:rPr>
                <w:szCs w:val="20"/>
                <w:lang w:val="en-GB" w:eastAsia="en-US"/>
              </w:rPr>
            </w:pPr>
            <w:r w:rsidRPr="008676F9">
              <w:rPr>
                <w:rFonts w:ascii="Calibri" w:hAnsi="Calibri"/>
                <w:noProof/>
                <w:sz w:val="20"/>
                <w:szCs w:val="20"/>
                <w:lang w:eastAsia="en-US"/>
              </w:rPr>
              <w:t>X</w:t>
            </w:r>
          </w:p>
        </w:tc>
        <w:tc>
          <w:tcPr>
            <w:tcW w:w="1417" w:type="dxa"/>
            <w:tcBorders>
              <w:bottom w:val="single" w:sz="4" w:space="0" w:color="auto"/>
            </w:tcBorders>
            <w:vAlign w:val="center"/>
          </w:tcPr>
          <w:p w:rsidR="008676F9" w:rsidRPr="008676F9" w:rsidRDefault="008676F9" w:rsidP="008676F9">
            <w:pPr>
              <w:widowControl w:val="0"/>
              <w:autoSpaceDE w:val="0"/>
              <w:autoSpaceDN w:val="0"/>
              <w:adjustRightInd w:val="0"/>
              <w:ind w:right="-28"/>
              <w:rPr>
                <w:rFonts w:ascii="Calibri" w:hAnsi="Calibri"/>
                <w:noProof/>
                <w:sz w:val="20"/>
                <w:szCs w:val="20"/>
                <w:lang w:eastAsia="en-US"/>
              </w:rPr>
            </w:pPr>
          </w:p>
        </w:tc>
      </w:tr>
      <w:tr w:rsidR="008676F9" w:rsidRPr="008676F9" w:rsidTr="005F1407">
        <w:trPr>
          <w:trHeight w:val="1465"/>
        </w:trPr>
        <w:tc>
          <w:tcPr>
            <w:tcW w:w="2127" w:type="dxa"/>
            <w:tcBorders>
              <w:bottom w:val="single" w:sz="4" w:space="0" w:color="auto"/>
            </w:tcBorders>
          </w:tcPr>
          <w:p w:rsidR="008676F9" w:rsidRPr="008676F9" w:rsidRDefault="008676F9" w:rsidP="00D95CA5">
            <w:pPr>
              <w:widowControl w:val="0"/>
              <w:autoSpaceDE w:val="0"/>
              <w:autoSpaceDN w:val="0"/>
              <w:adjustRightInd w:val="0"/>
              <w:ind w:right="-28"/>
              <w:jc w:val="left"/>
              <w:rPr>
                <w:rFonts w:ascii="Calibri" w:hAnsi="Calibri"/>
                <w:b/>
                <w:sz w:val="20"/>
                <w:szCs w:val="20"/>
                <w:lang w:eastAsia="en-US"/>
              </w:rPr>
            </w:pPr>
            <w:r w:rsidRPr="008676F9">
              <w:rPr>
                <w:rFonts w:ascii="Calibri" w:hAnsi="Calibri"/>
                <w:b/>
                <w:sz w:val="20"/>
                <w:szCs w:val="20"/>
                <w:lang w:eastAsia="en-US"/>
              </w:rPr>
              <w:t>čl. 24</w:t>
            </w:r>
          </w:p>
          <w:p w:rsidR="008676F9" w:rsidRPr="008676F9" w:rsidRDefault="008676F9" w:rsidP="00D95CA5">
            <w:pPr>
              <w:widowControl w:val="0"/>
              <w:autoSpaceDE w:val="0"/>
              <w:autoSpaceDN w:val="0"/>
              <w:adjustRightInd w:val="0"/>
              <w:ind w:right="-28"/>
              <w:jc w:val="left"/>
              <w:rPr>
                <w:rFonts w:ascii="Calibri" w:hAnsi="Calibri"/>
                <w:noProof/>
                <w:sz w:val="20"/>
                <w:szCs w:val="20"/>
                <w:lang w:eastAsia="en-US"/>
              </w:rPr>
            </w:pPr>
            <w:r w:rsidRPr="008676F9">
              <w:rPr>
                <w:rFonts w:ascii="Calibri" w:hAnsi="Calibri"/>
                <w:noProof/>
                <w:sz w:val="20"/>
                <w:szCs w:val="20"/>
                <w:lang w:eastAsia="en-US"/>
              </w:rPr>
              <w:t>Prevencia poškodzovania lesov  lesnými požiarmi a prírodnými katatrofami a katastrofickými udalosťami a obnova poškodených lesov</w:t>
            </w:r>
          </w:p>
        </w:tc>
        <w:tc>
          <w:tcPr>
            <w:tcW w:w="1842" w:type="dxa"/>
            <w:tcBorders>
              <w:bottom w:val="single" w:sz="4" w:space="0" w:color="auto"/>
            </w:tcBorders>
          </w:tcPr>
          <w:p w:rsidR="008676F9" w:rsidRPr="008676F9" w:rsidRDefault="008676F9" w:rsidP="00D95CA5">
            <w:pPr>
              <w:widowControl w:val="0"/>
              <w:autoSpaceDE w:val="0"/>
              <w:autoSpaceDN w:val="0"/>
              <w:adjustRightInd w:val="0"/>
              <w:ind w:right="-28"/>
              <w:jc w:val="left"/>
              <w:rPr>
                <w:rFonts w:ascii="Calibri" w:hAnsi="Calibri"/>
                <w:noProof/>
                <w:sz w:val="20"/>
                <w:szCs w:val="20"/>
                <w:lang w:eastAsia="en-US"/>
              </w:rPr>
            </w:pPr>
            <w:r w:rsidRPr="008676F9">
              <w:rPr>
                <w:rFonts w:ascii="Calibri" w:hAnsi="Calibri" w:cs="Calibri"/>
                <w:bCs/>
                <w:sz w:val="20"/>
                <w:szCs w:val="20"/>
                <w:lang w:eastAsia="en-US"/>
              </w:rPr>
              <w:t>Prevencia poškodzovania lesov lesnými požiarmi, prírodnými pohromami a katastrofickými udalosťami a obnova poškodených lesov.</w:t>
            </w:r>
            <w:r w:rsidRPr="008676F9" w:rsidDel="006C59D5">
              <w:rPr>
                <w:rFonts w:ascii="Calibri" w:hAnsi="Calibri"/>
                <w:noProof/>
                <w:sz w:val="20"/>
                <w:szCs w:val="20"/>
                <w:lang w:eastAsia="en-US"/>
              </w:rPr>
              <w:t xml:space="preserve"> </w:t>
            </w:r>
          </w:p>
        </w:tc>
        <w:tc>
          <w:tcPr>
            <w:tcW w:w="3969" w:type="dxa"/>
            <w:tcBorders>
              <w:bottom w:val="single" w:sz="4" w:space="0" w:color="auto"/>
            </w:tcBorders>
          </w:tcPr>
          <w:p w:rsidR="008676F9" w:rsidRPr="008676F9" w:rsidRDefault="008676F9" w:rsidP="008676F9">
            <w:pPr>
              <w:widowControl w:val="0"/>
              <w:autoSpaceDE w:val="0"/>
              <w:autoSpaceDN w:val="0"/>
              <w:adjustRightInd w:val="0"/>
              <w:ind w:right="-28"/>
              <w:rPr>
                <w:rFonts w:ascii="Calibri" w:hAnsi="Calibri"/>
                <w:noProof/>
                <w:sz w:val="20"/>
                <w:szCs w:val="20"/>
                <w:lang w:eastAsia="en-US"/>
              </w:rPr>
            </w:pPr>
            <w:r w:rsidRPr="008676F9">
              <w:rPr>
                <w:rFonts w:ascii="Calibri" w:hAnsi="Calibri"/>
                <w:noProof/>
                <w:sz w:val="20"/>
                <w:szCs w:val="20"/>
                <w:lang w:eastAsia="en-US"/>
              </w:rPr>
              <w:t xml:space="preserve">Každá pomoc poskytnutá v rámci tohto opatrenia bude poskytnutá v súlade s </w:t>
            </w:r>
            <w:r w:rsidRPr="008676F9">
              <w:rPr>
                <w:rFonts w:ascii="Calibri" w:hAnsi="Calibri"/>
                <w:b/>
                <w:noProof/>
                <w:sz w:val="20"/>
                <w:szCs w:val="20"/>
                <w:lang w:eastAsia="en-US"/>
              </w:rPr>
              <w:t>Usmerneniami Komisie pre štátnu pomoc v sektore poľnohospodárstva a lesného hospodárstva na roky 2014-2020.</w:t>
            </w:r>
          </w:p>
          <w:p w:rsidR="008676F9" w:rsidRPr="008676F9" w:rsidRDefault="008676F9" w:rsidP="008676F9">
            <w:pPr>
              <w:widowControl w:val="0"/>
              <w:autoSpaceDE w:val="0"/>
              <w:autoSpaceDN w:val="0"/>
              <w:adjustRightInd w:val="0"/>
              <w:ind w:right="-28"/>
              <w:rPr>
                <w:rFonts w:ascii="Calibri" w:hAnsi="Calibri"/>
                <w:noProof/>
                <w:sz w:val="20"/>
                <w:szCs w:val="20"/>
                <w:lang w:eastAsia="en-US"/>
              </w:rPr>
            </w:pPr>
            <w:r w:rsidRPr="008676F9">
              <w:rPr>
                <w:rFonts w:ascii="Calibri" w:hAnsi="Calibri"/>
                <w:noProof/>
                <w:sz w:val="20"/>
                <w:szCs w:val="20"/>
                <w:lang w:eastAsia="en-US"/>
              </w:rPr>
              <w:t>Číslo rozhodnutia: XXXX / XXXX</w:t>
            </w:r>
          </w:p>
        </w:tc>
        <w:tc>
          <w:tcPr>
            <w:tcW w:w="1418" w:type="dxa"/>
            <w:tcBorders>
              <w:bottom w:val="single" w:sz="4" w:space="0" w:color="auto"/>
            </w:tcBorders>
            <w:vAlign w:val="center"/>
          </w:tcPr>
          <w:p w:rsidR="008676F9" w:rsidRPr="008676F9" w:rsidRDefault="008676F9" w:rsidP="008676F9">
            <w:pPr>
              <w:widowControl w:val="0"/>
              <w:autoSpaceDE w:val="0"/>
              <w:autoSpaceDN w:val="0"/>
              <w:adjustRightInd w:val="0"/>
              <w:ind w:right="-28"/>
              <w:rPr>
                <w:rFonts w:ascii="Calibri" w:hAnsi="Calibri"/>
                <w:noProof/>
                <w:sz w:val="20"/>
                <w:szCs w:val="20"/>
                <w:lang w:eastAsia="en-US"/>
              </w:rPr>
            </w:pPr>
          </w:p>
        </w:tc>
        <w:tc>
          <w:tcPr>
            <w:tcW w:w="1843" w:type="dxa"/>
            <w:tcBorders>
              <w:bottom w:val="single" w:sz="4" w:space="0" w:color="auto"/>
            </w:tcBorders>
            <w:vAlign w:val="center"/>
          </w:tcPr>
          <w:p w:rsidR="008676F9" w:rsidRPr="008676F9" w:rsidRDefault="008676F9" w:rsidP="008676F9">
            <w:pPr>
              <w:widowControl w:val="0"/>
              <w:autoSpaceDE w:val="0"/>
              <w:autoSpaceDN w:val="0"/>
              <w:adjustRightInd w:val="0"/>
              <w:ind w:right="-28"/>
              <w:rPr>
                <w:rFonts w:ascii="Calibri" w:hAnsi="Calibri"/>
                <w:noProof/>
                <w:sz w:val="20"/>
                <w:szCs w:val="20"/>
                <w:lang w:eastAsia="en-US"/>
              </w:rPr>
            </w:pPr>
          </w:p>
        </w:tc>
        <w:tc>
          <w:tcPr>
            <w:tcW w:w="1559" w:type="dxa"/>
            <w:tcBorders>
              <w:bottom w:val="single" w:sz="4" w:space="0" w:color="auto"/>
            </w:tcBorders>
            <w:vAlign w:val="center"/>
          </w:tcPr>
          <w:p w:rsidR="008676F9" w:rsidRPr="008676F9" w:rsidRDefault="008676F9" w:rsidP="008676F9">
            <w:pPr>
              <w:spacing w:after="120"/>
              <w:jc w:val="center"/>
              <w:rPr>
                <w:szCs w:val="20"/>
                <w:lang w:val="en-GB" w:eastAsia="en-US"/>
              </w:rPr>
            </w:pPr>
            <w:r w:rsidRPr="008676F9">
              <w:rPr>
                <w:rFonts w:ascii="Calibri" w:hAnsi="Calibri"/>
                <w:noProof/>
                <w:sz w:val="20"/>
                <w:szCs w:val="20"/>
                <w:lang w:eastAsia="en-US"/>
              </w:rPr>
              <w:t>X</w:t>
            </w:r>
          </w:p>
        </w:tc>
        <w:tc>
          <w:tcPr>
            <w:tcW w:w="1417" w:type="dxa"/>
            <w:tcBorders>
              <w:bottom w:val="single" w:sz="4" w:space="0" w:color="auto"/>
            </w:tcBorders>
            <w:vAlign w:val="center"/>
          </w:tcPr>
          <w:p w:rsidR="008676F9" w:rsidRPr="008676F9" w:rsidRDefault="008676F9" w:rsidP="008676F9">
            <w:pPr>
              <w:widowControl w:val="0"/>
              <w:autoSpaceDE w:val="0"/>
              <w:autoSpaceDN w:val="0"/>
              <w:adjustRightInd w:val="0"/>
              <w:ind w:right="-28"/>
              <w:rPr>
                <w:rFonts w:ascii="Calibri" w:hAnsi="Calibri"/>
                <w:noProof/>
                <w:sz w:val="20"/>
                <w:szCs w:val="20"/>
                <w:lang w:eastAsia="en-US"/>
              </w:rPr>
            </w:pPr>
          </w:p>
        </w:tc>
      </w:tr>
      <w:tr w:rsidR="008676F9" w:rsidRPr="008676F9" w:rsidTr="005F1407">
        <w:trPr>
          <w:trHeight w:val="1465"/>
        </w:trPr>
        <w:tc>
          <w:tcPr>
            <w:tcW w:w="2127" w:type="dxa"/>
            <w:tcBorders>
              <w:bottom w:val="single" w:sz="4" w:space="0" w:color="auto"/>
            </w:tcBorders>
          </w:tcPr>
          <w:p w:rsidR="008676F9" w:rsidRPr="008676F9" w:rsidRDefault="008676F9" w:rsidP="00D95CA5">
            <w:pPr>
              <w:widowControl w:val="0"/>
              <w:autoSpaceDE w:val="0"/>
              <w:autoSpaceDN w:val="0"/>
              <w:adjustRightInd w:val="0"/>
              <w:ind w:right="-28"/>
              <w:jc w:val="left"/>
              <w:rPr>
                <w:rFonts w:ascii="Calibri" w:hAnsi="Calibri"/>
                <w:b/>
                <w:sz w:val="20"/>
                <w:szCs w:val="20"/>
                <w:lang w:eastAsia="en-US"/>
              </w:rPr>
            </w:pPr>
            <w:r w:rsidRPr="008676F9">
              <w:rPr>
                <w:rFonts w:ascii="Calibri" w:hAnsi="Calibri"/>
                <w:b/>
                <w:sz w:val="20"/>
                <w:szCs w:val="20"/>
                <w:lang w:eastAsia="en-US"/>
              </w:rPr>
              <w:t>Čl. 25</w:t>
            </w:r>
          </w:p>
          <w:p w:rsidR="008676F9" w:rsidRPr="008676F9" w:rsidRDefault="008676F9" w:rsidP="00D95CA5">
            <w:pPr>
              <w:widowControl w:val="0"/>
              <w:autoSpaceDE w:val="0"/>
              <w:autoSpaceDN w:val="0"/>
              <w:adjustRightInd w:val="0"/>
              <w:ind w:right="-28"/>
              <w:jc w:val="left"/>
              <w:rPr>
                <w:rFonts w:ascii="Calibri" w:hAnsi="Calibri"/>
                <w:sz w:val="20"/>
                <w:szCs w:val="20"/>
                <w:lang w:eastAsia="en-US"/>
              </w:rPr>
            </w:pPr>
            <w:r w:rsidRPr="008676F9">
              <w:rPr>
                <w:rFonts w:ascii="Calibri" w:hAnsi="Calibri"/>
                <w:sz w:val="20"/>
                <w:szCs w:val="20"/>
                <w:lang w:eastAsia="en-US"/>
              </w:rPr>
              <w:t>Investície na zlepšenie odolnosti  environmentálnej hodnoty lesných ekosystémov</w:t>
            </w:r>
          </w:p>
        </w:tc>
        <w:tc>
          <w:tcPr>
            <w:tcW w:w="1842" w:type="dxa"/>
            <w:tcBorders>
              <w:bottom w:val="single" w:sz="4" w:space="0" w:color="auto"/>
            </w:tcBorders>
          </w:tcPr>
          <w:p w:rsidR="008676F9" w:rsidRPr="008676F9" w:rsidRDefault="008676F9" w:rsidP="00D95CA5">
            <w:pPr>
              <w:widowControl w:val="0"/>
              <w:autoSpaceDE w:val="0"/>
              <w:autoSpaceDN w:val="0"/>
              <w:adjustRightInd w:val="0"/>
              <w:spacing w:after="120"/>
              <w:ind w:right="-28"/>
              <w:jc w:val="left"/>
              <w:rPr>
                <w:rFonts w:ascii="Calibri" w:hAnsi="Calibri"/>
                <w:noProof/>
                <w:sz w:val="20"/>
                <w:szCs w:val="20"/>
                <w:lang w:eastAsia="en-US"/>
              </w:rPr>
            </w:pPr>
            <w:r w:rsidRPr="008676F9">
              <w:rPr>
                <w:rFonts w:ascii="Calibri" w:hAnsi="Calibri"/>
                <w:sz w:val="20"/>
                <w:szCs w:val="20"/>
                <w:lang w:eastAsia="en-US"/>
              </w:rPr>
              <w:t>Investície na zlepšenie odolnosti  environmentálnej hodnoty lesných ekosystémov</w:t>
            </w:r>
          </w:p>
        </w:tc>
        <w:tc>
          <w:tcPr>
            <w:tcW w:w="3969" w:type="dxa"/>
            <w:tcBorders>
              <w:bottom w:val="single" w:sz="4" w:space="0" w:color="auto"/>
            </w:tcBorders>
          </w:tcPr>
          <w:p w:rsidR="008676F9" w:rsidRPr="008676F9" w:rsidRDefault="008676F9" w:rsidP="008676F9">
            <w:pPr>
              <w:widowControl w:val="0"/>
              <w:autoSpaceDE w:val="0"/>
              <w:autoSpaceDN w:val="0"/>
              <w:adjustRightInd w:val="0"/>
              <w:spacing w:after="120"/>
              <w:ind w:right="-28"/>
              <w:rPr>
                <w:rFonts w:ascii="Calibri" w:hAnsi="Calibri"/>
                <w:noProof/>
                <w:sz w:val="20"/>
                <w:szCs w:val="20"/>
                <w:lang w:eastAsia="en-US"/>
              </w:rPr>
            </w:pPr>
            <w:r w:rsidRPr="008676F9">
              <w:rPr>
                <w:rFonts w:ascii="Calibri" w:hAnsi="Calibri"/>
                <w:noProof/>
                <w:sz w:val="20"/>
                <w:szCs w:val="20"/>
                <w:lang w:eastAsia="en-US"/>
              </w:rPr>
              <w:t>Každá pomoc poskytnutá v rámci tohto opatrenia bude poskytnutá v súlade s s nariadením Komisie (EÚ) č.1407/2013 o uplatňovaní článkov 107 a 108 ZFEÚ na pomoc de minimis</w:t>
            </w:r>
          </w:p>
        </w:tc>
        <w:tc>
          <w:tcPr>
            <w:tcW w:w="1418" w:type="dxa"/>
            <w:tcBorders>
              <w:bottom w:val="single" w:sz="4" w:space="0" w:color="auto"/>
            </w:tcBorders>
            <w:vAlign w:val="center"/>
          </w:tcPr>
          <w:p w:rsidR="008676F9" w:rsidRPr="008676F9" w:rsidRDefault="008676F9" w:rsidP="008676F9">
            <w:pPr>
              <w:widowControl w:val="0"/>
              <w:autoSpaceDE w:val="0"/>
              <w:autoSpaceDN w:val="0"/>
              <w:adjustRightInd w:val="0"/>
              <w:ind w:right="-28"/>
              <w:rPr>
                <w:rFonts w:ascii="Calibri" w:hAnsi="Calibri"/>
                <w:noProof/>
                <w:sz w:val="20"/>
                <w:szCs w:val="20"/>
                <w:lang w:eastAsia="en-US"/>
              </w:rPr>
            </w:pPr>
          </w:p>
        </w:tc>
        <w:tc>
          <w:tcPr>
            <w:tcW w:w="1843" w:type="dxa"/>
            <w:tcBorders>
              <w:bottom w:val="single" w:sz="4" w:space="0" w:color="auto"/>
            </w:tcBorders>
            <w:vAlign w:val="center"/>
          </w:tcPr>
          <w:p w:rsidR="008676F9" w:rsidRPr="008676F9" w:rsidRDefault="008676F9" w:rsidP="008676F9">
            <w:pPr>
              <w:widowControl w:val="0"/>
              <w:autoSpaceDE w:val="0"/>
              <w:autoSpaceDN w:val="0"/>
              <w:adjustRightInd w:val="0"/>
              <w:ind w:right="-28"/>
              <w:rPr>
                <w:rFonts w:ascii="Calibri" w:hAnsi="Calibri"/>
                <w:noProof/>
                <w:sz w:val="20"/>
                <w:szCs w:val="20"/>
                <w:lang w:eastAsia="en-US"/>
              </w:rPr>
            </w:pPr>
          </w:p>
        </w:tc>
        <w:tc>
          <w:tcPr>
            <w:tcW w:w="1559" w:type="dxa"/>
            <w:tcBorders>
              <w:bottom w:val="single" w:sz="4" w:space="0" w:color="auto"/>
            </w:tcBorders>
            <w:vAlign w:val="center"/>
          </w:tcPr>
          <w:p w:rsidR="008676F9" w:rsidRPr="008676F9" w:rsidRDefault="008676F9" w:rsidP="008676F9">
            <w:pPr>
              <w:spacing w:after="120"/>
              <w:jc w:val="center"/>
              <w:rPr>
                <w:szCs w:val="20"/>
                <w:lang w:val="en-GB" w:eastAsia="en-US"/>
              </w:rPr>
            </w:pPr>
            <w:r w:rsidRPr="008676F9">
              <w:rPr>
                <w:rFonts w:ascii="Calibri" w:hAnsi="Calibri"/>
                <w:noProof/>
                <w:sz w:val="20"/>
                <w:szCs w:val="20"/>
                <w:lang w:eastAsia="en-US"/>
              </w:rPr>
              <w:t>X</w:t>
            </w:r>
          </w:p>
        </w:tc>
        <w:tc>
          <w:tcPr>
            <w:tcW w:w="1417" w:type="dxa"/>
            <w:tcBorders>
              <w:bottom w:val="single" w:sz="4" w:space="0" w:color="auto"/>
            </w:tcBorders>
            <w:vAlign w:val="center"/>
          </w:tcPr>
          <w:p w:rsidR="008676F9" w:rsidRPr="008676F9" w:rsidRDefault="008676F9" w:rsidP="008676F9">
            <w:pPr>
              <w:widowControl w:val="0"/>
              <w:autoSpaceDE w:val="0"/>
              <w:autoSpaceDN w:val="0"/>
              <w:adjustRightInd w:val="0"/>
              <w:ind w:right="-28"/>
              <w:rPr>
                <w:rFonts w:ascii="Calibri" w:hAnsi="Calibri"/>
                <w:noProof/>
                <w:sz w:val="20"/>
                <w:szCs w:val="20"/>
                <w:lang w:eastAsia="en-US"/>
              </w:rPr>
            </w:pPr>
          </w:p>
        </w:tc>
      </w:tr>
      <w:tr w:rsidR="008676F9" w:rsidRPr="008676F9" w:rsidTr="00D95CA5">
        <w:trPr>
          <w:trHeight w:val="562"/>
        </w:trPr>
        <w:tc>
          <w:tcPr>
            <w:tcW w:w="2127" w:type="dxa"/>
          </w:tcPr>
          <w:p w:rsidR="008676F9" w:rsidRPr="008676F9" w:rsidRDefault="008676F9" w:rsidP="00D95CA5">
            <w:pPr>
              <w:widowControl w:val="0"/>
              <w:autoSpaceDE w:val="0"/>
              <w:autoSpaceDN w:val="0"/>
              <w:adjustRightInd w:val="0"/>
              <w:ind w:right="-28"/>
              <w:jc w:val="left"/>
              <w:rPr>
                <w:rFonts w:ascii="Calibri" w:hAnsi="Calibri"/>
                <w:b/>
                <w:sz w:val="20"/>
                <w:szCs w:val="20"/>
                <w:lang w:eastAsia="en-US"/>
              </w:rPr>
            </w:pPr>
            <w:r w:rsidRPr="008676F9">
              <w:rPr>
                <w:rFonts w:ascii="Calibri" w:hAnsi="Calibri"/>
                <w:b/>
                <w:sz w:val="20"/>
                <w:szCs w:val="20"/>
                <w:lang w:eastAsia="en-US"/>
              </w:rPr>
              <w:t>čl. 26</w:t>
            </w:r>
          </w:p>
          <w:p w:rsidR="008676F9" w:rsidRPr="008676F9" w:rsidRDefault="008676F9" w:rsidP="00D95CA5">
            <w:pPr>
              <w:widowControl w:val="0"/>
              <w:autoSpaceDE w:val="0"/>
              <w:autoSpaceDN w:val="0"/>
              <w:adjustRightInd w:val="0"/>
              <w:ind w:right="-28"/>
              <w:jc w:val="left"/>
              <w:rPr>
                <w:rFonts w:ascii="Calibri" w:hAnsi="Calibri"/>
                <w:sz w:val="20"/>
                <w:szCs w:val="20"/>
                <w:lang w:eastAsia="en-US"/>
              </w:rPr>
            </w:pPr>
            <w:r w:rsidRPr="008676F9">
              <w:rPr>
                <w:rFonts w:ascii="Calibri" w:hAnsi="Calibri"/>
                <w:noProof/>
                <w:sz w:val="20"/>
                <w:szCs w:val="20"/>
                <w:lang w:eastAsia="en-US"/>
              </w:rPr>
              <w:t>Investície do lesníckych technológií a do spracovania, do mobilizácie a marketingu lesníckych produktov</w:t>
            </w:r>
          </w:p>
        </w:tc>
        <w:tc>
          <w:tcPr>
            <w:tcW w:w="1842" w:type="dxa"/>
          </w:tcPr>
          <w:p w:rsidR="008676F9" w:rsidRPr="008676F9" w:rsidRDefault="008676F9" w:rsidP="00D95CA5">
            <w:pPr>
              <w:widowControl w:val="0"/>
              <w:autoSpaceDE w:val="0"/>
              <w:autoSpaceDN w:val="0"/>
              <w:adjustRightInd w:val="0"/>
              <w:spacing w:after="120"/>
              <w:ind w:right="-28"/>
              <w:jc w:val="left"/>
              <w:rPr>
                <w:rFonts w:ascii="Calibri" w:hAnsi="Calibri"/>
                <w:noProof/>
                <w:sz w:val="20"/>
                <w:szCs w:val="20"/>
                <w:lang w:eastAsia="en-US"/>
              </w:rPr>
            </w:pPr>
            <w:r w:rsidRPr="008676F9">
              <w:rPr>
                <w:rFonts w:ascii="Calibri" w:hAnsi="Calibri"/>
                <w:noProof/>
                <w:sz w:val="20"/>
                <w:szCs w:val="20"/>
                <w:lang w:eastAsia="en-US"/>
              </w:rPr>
              <w:t>Investície do lesníckych technológií a do spracovania, do mobilizácie a marketingu lesníckych produktov</w:t>
            </w:r>
          </w:p>
        </w:tc>
        <w:tc>
          <w:tcPr>
            <w:tcW w:w="3969" w:type="dxa"/>
          </w:tcPr>
          <w:p w:rsidR="008676F9" w:rsidRPr="008676F9" w:rsidRDefault="008676F9" w:rsidP="008676F9">
            <w:pPr>
              <w:widowControl w:val="0"/>
              <w:autoSpaceDE w:val="0"/>
              <w:autoSpaceDN w:val="0"/>
              <w:adjustRightInd w:val="0"/>
              <w:spacing w:after="120"/>
              <w:ind w:right="-28"/>
              <w:rPr>
                <w:rFonts w:ascii="Calibri" w:hAnsi="Calibri"/>
                <w:noProof/>
                <w:sz w:val="20"/>
                <w:szCs w:val="20"/>
                <w:lang w:eastAsia="en-US"/>
              </w:rPr>
            </w:pPr>
            <w:r w:rsidRPr="008676F9">
              <w:rPr>
                <w:rFonts w:ascii="Calibri" w:hAnsi="Calibri"/>
                <w:sz w:val="20"/>
                <w:szCs w:val="20"/>
                <w:lang w:eastAsia="en-US"/>
              </w:rPr>
              <w:t xml:space="preserve">Každá pomoc poskytnutá v rámci tohto opatrenia bude poskytnutá v súlade s nariadením </w:t>
            </w:r>
            <w:r w:rsidRPr="008676F9">
              <w:rPr>
                <w:rFonts w:ascii="Calibri" w:hAnsi="Calibri"/>
                <w:b/>
                <w:noProof/>
                <w:sz w:val="20"/>
                <w:szCs w:val="20"/>
                <w:lang w:eastAsia="en-US"/>
              </w:rPr>
              <w:t>Komisie (EÚ) č.1407/2013 o uplatňovaní článkov 107 a 108 ZFEÚ na pomoc de minimis.</w:t>
            </w:r>
          </w:p>
        </w:tc>
        <w:tc>
          <w:tcPr>
            <w:tcW w:w="1418" w:type="dxa"/>
          </w:tcPr>
          <w:p w:rsidR="008676F9" w:rsidRPr="008676F9" w:rsidRDefault="008676F9" w:rsidP="008676F9">
            <w:pPr>
              <w:widowControl w:val="0"/>
              <w:autoSpaceDE w:val="0"/>
              <w:autoSpaceDN w:val="0"/>
              <w:adjustRightInd w:val="0"/>
              <w:ind w:right="-28"/>
              <w:rPr>
                <w:rFonts w:ascii="Calibri" w:hAnsi="Calibri"/>
                <w:noProof/>
                <w:sz w:val="20"/>
                <w:szCs w:val="20"/>
                <w:lang w:eastAsia="en-US"/>
              </w:rPr>
            </w:pPr>
          </w:p>
        </w:tc>
        <w:tc>
          <w:tcPr>
            <w:tcW w:w="1843" w:type="dxa"/>
          </w:tcPr>
          <w:p w:rsidR="008676F9" w:rsidRPr="008676F9" w:rsidRDefault="008676F9" w:rsidP="008676F9">
            <w:pPr>
              <w:widowControl w:val="0"/>
              <w:autoSpaceDE w:val="0"/>
              <w:autoSpaceDN w:val="0"/>
              <w:adjustRightInd w:val="0"/>
              <w:ind w:right="-28"/>
              <w:rPr>
                <w:rFonts w:ascii="Calibri" w:hAnsi="Calibri"/>
                <w:noProof/>
                <w:sz w:val="20"/>
                <w:szCs w:val="20"/>
                <w:lang w:eastAsia="en-US"/>
              </w:rPr>
            </w:pPr>
          </w:p>
        </w:tc>
        <w:tc>
          <w:tcPr>
            <w:tcW w:w="1559" w:type="dxa"/>
            <w:vAlign w:val="center"/>
          </w:tcPr>
          <w:p w:rsidR="008676F9" w:rsidRPr="008676F9" w:rsidRDefault="008676F9" w:rsidP="008676F9">
            <w:pPr>
              <w:spacing w:after="120"/>
              <w:jc w:val="center"/>
              <w:rPr>
                <w:szCs w:val="20"/>
                <w:lang w:val="en-GB" w:eastAsia="en-US"/>
              </w:rPr>
            </w:pPr>
            <w:r w:rsidRPr="008676F9">
              <w:rPr>
                <w:rFonts w:ascii="Calibri" w:hAnsi="Calibri"/>
                <w:noProof/>
                <w:sz w:val="20"/>
                <w:szCs w:val="20"/>
                <w:lang w:eastAsia="en-US"/>
              </w:rPr>
              <w:t>X</w:t>
            </w:r>
          </w:p>
        </w:tc>
        <w:tc>
          <w:tcPr>
            <w:tcW w:w="1417" w:type="dxa"/>
          </w:tcPr>
          <w:p w:rsidR="008676F9" w:rsidRPr="008676F9" w:rsidRDefault="008676F9" w:rsidP="008676F9">
            <w:pPr>
              <w:widowControl w:val="0"/>
              <w:autoSpaceDE w:val="0"/>
              <w:autoSpaceDN w:val="0"/>
              <w:adjustRightInd w:val="0"/>
              <w:ind w:right="-28"/>
              <w:rPr>
                <w:rFonts w:ascii="Calibri" w:hAnsi="Calibri"/>
                <w:noProof/>
                <w:sz w:val="20"/>
                <w:szCs w:val="20"/>
                <w:lang w:eastAsia="en-US"/>
              </w:rPr>
            </w:pPr>
          </w:p>
        </w:tc>
      </w:tr>
      <w:tr w:rsidR="008676F9" w:rsidRPr="008676F9" w:rsidTr="005F1407">
        <w:trPr>
          <w:trHeight w:val="1465"/>
        </w:trPr>
        <w:tc>
          <w:tcPr>
            <w:tcW w:w="2127" w:type="dxa"/>
          </w:tcPr>
          <w:p w:rsidR="008676F9" w:rsidRPr="008676F9" w:rsidRDefault="008676F9" w:rsidP="00D95CA5">
            <w:pPr>
              <w:widowControl w:val="0"/>
              <w:autoSpaceDE w:val="0"/>
              <w:autoSpaceDN w:val="0"/>
              <w:adjustRightInd w:val="0"/>
              <w:ind w:right="-28"/>
              <w:jc w:val="left"/>
              <w:rPr>
                <w:rFonts w:ascii="Calibri" w:hAnsi="Calibri"/>
                <w:b/>
                <w:sz w:val="20"/>
                <w:szCs w:val="20"/>
                <w:lang w:eastAsia="en-US"/>
              </w:rPr>
            </w:pPr>
            <w:r w:rsidRPr="008676F9">
              <w:rPr>
                <w:rFonts w:ascii="Calibri" w:hAnsi="Calibri"/>
                <w:b/>
                <w:sz w:val="20"/>
                <w:szCs w:val="20"/>
                <w:lang w:eastAsia="en-US"/>
              </w:rPr>
              <w:t>Čl. 30</w:t>
            </w:r>
          </w:p>
          <w:p w:rsidR="008676F9" w:rsidRPr="008676F9" w:rsidRDefault="008676F9" w:rsidP="00D95CA5">
            <w:pPr>
              <w:widowControl w:val="0"/>
              <w:autoSpaceDE w:val="0"/>
              <w:autoSpaceDN w:val="0"/>
              <w:adjustRightInd w:val="0"/>
              <w:ind w:right="-28"/>
              <w:jc w:val="left"/>
              <w:rPr>
                <w:rFonts w:ascii="Calibri" w:hAnsi="Calibri"/>
                <w:sz w:val="20"/>
                <w:szCs w:val="20"/>
                <w:lang w:eastAsia="en-US"/>
              </w:rPr>
            </w:pPr>
            <w:r w:rsidRPr="008676F9">
              <w:rPr>
                <w:rFonts w:ascii="Calibri" w:hAnsi="Calibri"/>
                <w:sz w:val="20"/>
                <w:szCs w:val="20"/>
                <w:lang w:eastAsia="en-US"/>
              </w:rPr>
              <w:t>Platby v rámci sústavy NATURA 2000 na lesných pozemkoch</w:t>
            </w:r>
          </w:p>
        </w:tc>
        <w:tc>
          <w:tcPr>
            <w:tcW w:w="1842" w:type="dxa"/>
          </w:tcPr>
          <w:p w:rsidR="008676F9" w:rsidRPr="008676F9" w:rsidRDefault="008676F9" w:rsidP="00D95CA5">
            <w:pPr>
              <w:widowControl w:val="0"/>
              <w:autoSpaceDE w:val="0"/>
              <w:autoSpaceDN w:val="0"/>
              <w:adjustRightInd w:val="0"/>
              <w:spacing w:after="120"/>
              <w:ind w:right="-28"/>
              <w:jc w:val="left"/>
              <w:rPr>
                <w:rFonts w:ascii="Calibri" w:hAnsi="Calibri"/>
                <w:noProof/>
                <w:sz w:val="20"/>
                <w:szCs w:val="20"/>
                <w:lang w:eastAsia="en-US"/>
              </w:rPr>
            </w:pPr>
            <w:r w:rsidRPr="008676F9">
              <w:rPr>
                <w:rFonts w:ascii="Calibri" w:hAnsi="Calibri"/>
                <w:noProof/>
                <w:sz w:val="20"/>
                <w:szCs w:val="20"/>
                <w:lang w:eastAsia="en-US"/>
              </w:rPr>
              <w:t>Platby v rámci sústavy NATURA 2000 na lesných pozemkoch.</w:t>
            </w:r>
          </w:p>
        </w:tc>
        <w:tc>
          <w:tcPr>
            <w:tcW w:w="3969" w:type="dxa"/>
          </w:tcPr>
          <w:p w:rsidR="008676F9" w:rsidRPr="008676F9" w:rsidRDefault="008676F9" w:rsidP="008676F9">
            <w:pPr>
              <w:widowControl w:val="0"/>
              <w:autoSpaceDE w:val="0"/>
              <w:autoSpaceDN w:val="0"/>
              <w:adjustRightInd w:val="0"/>
              <w:spacing w:after="120"/>
              <w:ind w:right="-28"/>
              <w:rPr>
                <w:rFonts w:ascii="Calibri" w:hAnsi="Calibri"/>
                <w:b/>
                <w:noProof/>
                <w:sz w:val="20"/>
                <w:szCs w:val="20"/>
                <w:lang w:eastAsia="en-US"/>
              </w:rPr>
            </w:pPr>
            <w:r w:rsidRPr="008676F9">
              <w:rPr>
                <w:rFonts w:ascii="Calibri" w:hAnsi="Calibri"/>
                <w:sz w:val="20"/>
                <w:szCs w:val="20"/>
                <w:lang w:eastAsia="en-US"/>
              </w:rPr>
              <w:t xml:space="preserve">Každá pomoc poskytnutá v rámci tohto opatrenia bude poskytnutá v súlade s </w:t>
            </w:r>
            <w:r w:rsidRPr="008676F9">
              <w:rPr>
                <w:rFonts w:ascii="Calibri" w:hAnsi="Calibri"/>
                <w:b/>
                <w:noProof/>
                <w:sz w:val="20"/>
                <w:szCs w:val="20"/>
                <w:lang w:eastAsia="en-US"/>
              </w:rPr>
              <w:t>Usmerneniami Komisie pre štátnu pomoc v sektore poľnohospodárstva a lesného hospodárstva na roky 2014-2020.</w:t>
            </w:r>
          </w:p>
          <w:p w:rsidR="008676F9" w:rsidRPr="008676F9" w:rsidRDefault="008676F9" w:rsidP="008676F9">
            <w:pPr>
              <w:widowControl w:val="0"/>
              <w:autoSpaceDE w:val="0"/>
              <w:autoSpaceDN w:val="0"/>
              <w:adjustRightInd w:val="0"/>
              <w:spacing w:after="120"/>
              <w:ind w:right="-28"/>
              <w:rPr>
                <w:rFonts w:ascii="Calibri" w:hAnsi="Calibri"/>
                <w:sz w:val="20"/>
                <w:szCs w:val="20"/>
                <w:lang w:eastAsia="en-US"/>
              </w:rPr>
            </w:pPr>
            <w:r w:rsidRPr="008676F9">
              <w:rPr>
                <w:rFonts w:ascii="Calibri" w:hAnsi="Calibri"/>
                <w:sz w:val="20"/>
                <w:szCs w:val="20"/>
                <w:lang w:eastAsia="en-US"/>
              </w:rPr>
              <w:t>Číslo rozhodnutia: XXXX / XXXX</w:t>
            </w:r>
          </w:p>
        </w:tc>
        <w:tc>
          <w:tcPr>
            <w:tcW w:w="1418" w:type="dxa"/>
          </w:tcPr>
          <w:p w:rsidR="008676F9" w:rsidRPr="008676F9" w:rsidRDefault="008676F9" w:rsidP="008676F9">
            <w:pPr>
              <w:widowControl w:val="0"/>
              <w:autoSpaceDE w:val="0"/>
              <w:autoSpaceDN w:val="0"/>
              <w:adjustRightInd w:val="0"/>
              <w:ind w:right="-28"/>
              <w:rPr>
                <w:rFonts w:ascii="Calibri" w:hAnsi="Calibri"/>
                <w:noProof/>
                <w:sz w:val="20"/>
                <w:szCs w:val="20"/>
                <w:lang w:eastAsia="en-US"/>
              </w:rPr>
            </w:pPr>
          </w:p>
        </w:tc>
        <w:tc>
          <w:tcPr>
            <w:tcW w:w="1843" w:type="dxa"/>
          </w:tcPr>
          <w:p w:rsidR="008676F9" w:rsidRPr="008676F9" w:rsidRDefault="008676F9" w:rsidP="008676F9">
            <w:pPr>
              <w:widowControl w:val="0"/>
              <w:autoSpaceDE w:val="0"/>
              <w:autoSpaceDN w:val="0"/>
              <w:adjustRightInd w:val="0"/>
              <w:ind w:right="-28"/>
              <w:rPr>
                <w:rFonts w:ascii="Calibri" w:hAnsi="Calibri"/>
                <w:noProof/>
                <w:sz w:val="20"/>
                <w:szCs w:val="20"/>
                <w:lang w:eastAsia="en-US"/>
              </w:rPr>
            </w:pPr>
          </w:p>
        </w:tc>
        <w:tc>
          <w:tcPr>
            <w:tcW w:w="1559" w:type="dxa"/>
            <w:vAlign w:val="center"/>
          </w:tcPr>
          <w:p w:rsidR="008676F9" w:rsidRPr="008676F9" w:rsidRDefault="008676F9" w:rsidP="008676F9">
            <w:pPr>
              <w:spacing w:after="120"/>
              <w:jc w:val="center"/>
              <w:rPr>
                <w:rFonts w:ascii="Calibri" w:hAnsi="Calibri"/>
                <w:noProof/>
                <w:sz w:val="20"/>
                <w:szCs w:val="20"/>
                <w:lang w:eastAsia="en-US"/>
              </w:rPr>
            </w:pPr>
            <w:r w:rsidRPr="008676F9">
              <w:rPr>
                <w:rFonts w:ascii="Calibri" w:hAnsi="Calibri"/>
                <w:noProof/>
                <w:sz w:val="20"/>
                <w:szCs w:val="20"/>
                <w:lang w:eastAsia="en-US"/>
              </w:rPr>
              <w:t>X</w:t>
            </w:r>
          </w:p>
        </w:tc>
        <w:tc>
          <w:tcPr>
            <w:tcW w:w="1417" w:type="dxa"/>
          </w:tcPr>
          <w:p w:rsidR="008676F9" w:rsidRPr="008676F9" w:rsidRDefault="008676F9" w:rsidP="008676F9">
            <w:pPr>
              <w:widowControl w:val="0"/>
              <w:autoSpaceDE w:val="0"/>
              <w:autoSpaceDN w:val="0"/>
              <w:adjustRightInd w:val="0"/>
              <w:ind w:right="-28"/>
              <w:rPr>
                <w:rFonts w:ascii="Calibri" w:hAnsi="Calibri"/>
                <w:noProof/>
                <w:sz w:val="20"/>
                <w:szCs w:val="20"/>
                <w:lang w:eastAsia="en-US"/>
              </w:rPr>
            </w:pPr>
          </w:p>
        </w:tc>
      </w:tr>
      <w:tr w:rsidR="00FF747C" w:rsidRPr="008676F9" w:rsidTr="005F1407">
        <w:trPr>
          <w:trHeight w:val="1465"/>
        </w:trPr>
        <w:tc>
          <w:tcPr>
            <w:tcW w:w="2127" w:type="dxa"/>
          </w:tcPr>
          <w:p w:rsidR="00FF747C" w:rsidRDefault="00C10C42" w:rsidP="00D95CA5">
            <w:pPr>
              <w:widowControl w:val="0"/>
              <w:autoSpaceDE w:val="0"/>
              <w:autoSpaceDN w:val="0"/>
              <w:adjustRightInd w:val="0"/>
              <w:ind w:right="-28"/>
              <w:jc w:val="left"/>
              <w:rPr>
                <w:rFonts w:ascii="Calibri" w:hAnsi="Calibri"/>
                <w:b/>
                <w:sz w:val="20"/>
                <w:szCs w:val="20"/>
                <w:lang w:eastAsia="en-US"/>
              </w:rPr>
            </w:pPr>
            <w:r>
              <w:rPr>
                <w:rFonts w:ascii="Calibri" w:hAnsi="Calibri"/>
                <w:b/>
                <w:sz w:val="20"/>
                <w:szCs w:val="20"/>
                <w:lang w:eastAsia="en-US"/>
              </w:rPr>
              <w:t>Čl. 34</w:t>
            </w:r>
          </w:p>
          <w:p w:rsidR="00C10C42" w:rsidRPr="008676F9" w:rsidRDefault="00C10C42" w:rsidP="00C10C42">
            <w:pPr>
              <w:widowControl w:val="0"/>
              <w:autoSpaceDE w:val="0"/>
              <w:autoSpaceDN w:val="0"/>
              <w:adjustRightInd w:val="0"/>
              <w:ind w:right="-28"/>
              <w:jc w:val="left"/>
              <w:rPr>
                <w:rFonts w:ascii="Calibri" w:hAnsi="Calibri"/>
                <w:b/>
                <w:sz w:val="20"/>
                <w:szCs w:val="20"/>
                <w:lang w:eastAsia="en-US"/>
              </w:rPr>
            </w:pPr>
            <w:r>
              <w:rPr>
                <w:rFonts w:ascii="Calibri" w:hAnsi="Calibri"/>
                <w:b/>
                <w:sz w:val="20"/>
                <w:szCs w:val="20"/>
                <w:lang w:eastAsia="en-US"/>
              </w:rPr>
              <w:t>Lesnícko-environmentálne a klimatické služby a ochrana lesov</w:t>
            </w:r>
          </w:p>
        </w:tc>
        <w:tc>
          <w:tcPr>
            <w:tcW w:w="1842" w:type="dxa"/>
          </w:tcPr>
          <w:p w:rsidR="00FF747C" w:rsidRPr="00C10C42" w:rsidRDefault="00C10C42" w:rsidP="00D95CA5">
            <w:pPr>
              <w:widowControl w:val="0"/>
              <w:autoSpaceDE w:val="0"/>
              <w:autoSpaceDN w:val="0"/>
              <w:adjustRightInd w:val="0"/>
              <w:spacing w:after="120"/>
              <w:ind w:right="-28"/>
              <w:jc w:val="left"/>
              <w:rPr>
                <w:rFonts w:ascii="Calibri" w:hAnsi="Calibri"/>
                <w:noProof/>
                <w:sz w:val="20"/>
                <w:szCs w:val="20"/>
                <w:lang w:eastAsia="en-US"/>
              </w:rPr>
            </w:pPr>
            <w:r w:rsidRPr="00C10C42">
              <w:rPr>
                <w:rFonts w:ascii="Calibri" w:hAnsi="Calibri" w:cs="Calibri"/>
                <w:bCs/>
                <w:iCs/>
                <w:sz w:val="20"/>
                <w:szCs w:val="20"/>
                <w:lang w:eastAsia="en-US"/>
              </w:rPr>
              <w:t>Platby na lesnícko-environmentálne záväzky</w:t>
            </w:r>
          </w:p>
        </w:tc>
        <w:tc>
          <w:tcPr>
            <w:tcW w:w="3969" w:type="dxa"/>
          </w:tcPr>
          <w:p w:rsidR="00C10C42" w:rsidRPr="008676F9" w:rsidRDefault="00C10C42" w:rsidP="00C10C42">
            <w:pPr>
              <w:widowControl w:val="0"/>
              <w:autoSpaceDE w:val="0"/>
              <w:autoSpaceDN w:val="0"/>
              <w:adjustRightInd w:val="0"/>
              <w:spacing w:after="120"/>
              <w:ind w:right="-28"/>
              <w:rPr>
                <w:rFonts w:ascii="Calibri" w:hAnsi="Calibri"/>
                <w:b/>
                <w:noProof/>
                <w:sz w:val="20"/>
                <w:szCs w:val="20"/>
                <w:lang w:eastAsia="en-US"/>
              </w:rPr>
            </w:pPr>
            <w:r w:rsidRPr="008676F9">
              <w:rPr>
                <w:rFonts w:ascii="Calibri" w:hAnsi="Calibri"/>
                <w:sz w:val="20"/>
                <w:szCs w:val="20"/>
                <w:lang w:eastAsia="en-US"/>
              </w:rPr>
              <w:t xml:space="preserve">Každá pomoc poskytnutá v rámci tohto opatrenia bude poskytnutá v súlade s </w:t>
            </w:r>
            <w:r w:rsidRPr="008676F9">
              <w:rPr>
                <w:rFonts w:ascii="Calibri" w:hAnsi="Calibri"/>
                <w:b/>
                <w:noProof/>
                <w:sz w:val="20"/>
                <w:szCs w:val="20"/>
                <w:lang w:eastAsia="en-US"/>
              </w:rPr>
              <w:t>Usmerneniami Komisie pre štátnu pomoc v sektore poľnohospodárstva a lesného hospodárstva na roky 2014-2020.</w:t>
            </w:r>
          </w:p>
          <w:p w:rsidR="00FF747C" w:rsidRPr="008676F9" w:rsidRDefault="00C10C42" w:rsidP="00C10C42">
            <w:pPr>
              <w:widowControl w:val="0"/>
              <w:autoSpaceDE w:val="0"/>
              <w:autoSpaceDN w:val="0"/>
              <w:adjustRightInd w:val="0"/>
              <w:spacing w:after="120"/>
              <w:ind w:right="-28"/>
              <w:rPr>
                <w:rFonts w:ascii="Calibri" w:hAnsi="Calibri"/>
                <w:sz w:val="20"/>
                <w:szCs w:val="20"/>
                <w:lang w:eastAsia="en-US"/>
              </w:rPr>
            </w:pPr>
            <w:r w:rsidRPr="008676F9">
              <w:rPr>
                <w:rFonts w:ascii="Calibri" w:hAnsi="Calibri"/>
                <w:sz w:val="20"/>
                <w:szCs w:val="20"/>
                <w:lang w:eastAsia="en-US"/>
              </w:rPr>
              <w:t>Číslo rozhodnutia: XXXX / XXXX</w:t>
            </w:r>
          </w:p>
        </w:tc>
        <w:tc>
          <w:tcPr>
            <w:tcW w:w="1418" w:type="dxa"/>
          </w:tcPr>
          <w:p w:rsidR="00FF747C" w:rsidRPr="008676F9" w:rsidRDefault="00FF747C" w:rsidP="008676F9">
            <w:pPr>
              <w:widowControl w:val="0"/>
              <w:autoSpaceDE w:val="0"/>
              <w:autoSpaceDN w:val="0"/>
              <w:adjustRightInd w:val="0"/>
              <w:ind w:right="-28"/>
              <w:rPr>
                <w:rFonts w:ascii="Calibri" w:hAnsi="Calibri"/>
                <w:noProof/>
                <w:sz w:val="20"/>
                <w:szCs w:val="20"/>
                <w:lang w:eastAsia="en-US"/>
              </w:rPr>
            </w:pPr>
          </w:p>
        </w:tc>
        <w:tc>
          <w:tcPr>
            <w:tcW w:w="1843" w:type="dxa"/>
          </w:tcPr>
          <w:p w:rsidR="00FF747C" w:rsidRPr="008676F9" w:rsidRDefault="00FF747C" w:rsidP="008676F9">
            <w:pPr>
              <w:widowControl w:val="0"/>
              <w:autoSpaceDE w:val="0"/>
              <w:autoSpaceDN w:val="0"/>
              <w:adjustRightInd w:val="0"/>
              <w:ind w:right="-28"/>
              <w:rPr>
                <w:rFonts w:ascii="Calibri" w:hAnsi="Calibri"/>
                <w:noProof/>
                <w:sz w:val="20"/>
                <w:szCs w:val="20"/>
                <w:lang w:eastAsia="en-US"/>
              </w:rPr>
            </w:pPr>
          </w:p>
        </w:tc>
        <w:tc>
          <w:tcPr>
            <w:tcW w:w="1559" w:type="dxa"/>
            <w:vAlign w:val="center"/>
          </w:tcPr>
          <w:p w:rsidR="00FF747C" w:rsidRPr="008676F9" w:rsidRDefault="00FF747C" w:rsidP="008676F9">
            <w:pPr>
              <w:spacing w:after="120"/>
              <w:jc w:val="center"/>
              <w:rPr>
                <w:rFonts w:ascii="Calibri" w:hAnsi="Calibri"/>
                <w:noProof/>
                <w:sz w:val="20"/>
                <w:szCs w:val="20"/>
                <w:lang w:eastAsia="en-US"/>
              </w:rPr>
            </w:pPr>
          </w:p>
        </w:tc>
        <w:tc>
          <w:tcPr>
            <w:tcW w:w="1417" w:type="dxa"/>
          </w:tcPr>
          <w:p w:rsidR="00FF747C" w:rsidRPr="008676F9" w:rsidRDefault="00FF747C" w:rsidP="008676F9">
            <w:pPr>
              <w:widowControl w:val="0"/>
              <w:autoSpaceDE w:val="0"/>
              <w:autoSpaceDN w:val="0"/>
              <w:adjustRightInd w:val="0"/>
              <w:ind w:right="-28"/>
              <w:rPr>
                <w:rFonts w:ascii="Calibri" w:hAnsi="Calibri"/>
                <w:noProof/>
                <w:sz w:val="20"/>
                <w:szCs w:val="20"/>
                <w:lang w:eastAsia="en-US"/>
              </w:rPr>
            </w:pPr>
          </w:p>
        </w:tc>
      </w:tr>
      <w:tr w:rsidR="00C10C42" w:rsidRPr="008676F9" w:rsidTr="00A850A4">
        <w:trPr>
          <w:trHeight w:val="328"/>
        </w:trPr>
        <w:tc>
          <w:tcPr>
            <w:tcW w:w="2127" w:type="dxa"/>
          </w:tcPr>
          <w:p w:rsidR="00C10C42" w:rsidRDefault="00C10C42" w:rsidP="00C10C42">
            <w:pPr>
              <w:widowControl w:val="0"/>
              <w:autoSpaceDE w:val="0"/>
              <w:autoSpaceDN w:val="0"/>
              <w:adjustRightInd w:val="0"/>
              <w:ind w:right="-28"/>
              <w:jc w:val="left"/>
              <w:rPr>
                <w:rFonts w:ascii="Calibri" w:hAnsi="Calibri"/>
                <w:b/>
                <w:sz w:val="20"/>
                <w:szCs w:val="20"/>
                <w:lang w:eastAsia="en-US"/>
              </w:rPr>
            </w:pPr>
            <w:r>
              <w:rPr>
                <w:rFonts w:ascii="Calibri" w:hAnsi="Calibri"/>
                <w:b/>
                <w:sz w:val="20"/>
                <w:szCs w:val="20"/>
                <w:lang w:eastAsia="en-US"/>
              </w:rPr>
              <w:t>Čl. 34</w:t>
            </w:r>
          </w:p>
          <w:p w:rsidR="00C10C42" w:rsidRDefault="00C10C42" w:rsidP="00C10C42">
            <w:pPr>
              <w:widowControl w:val="0"/>
              <w:autoSpaceDE w:val="0"/>
              <w:autoSpaceDN w:val="0"/>
              <w:adjustRightInd w:val="0"/>
              <w:ind w:right="-28"/>
              <w:jc w:val="left"/>
              <w:rPr>
                <w:rFonts w:ascii="Calibri" w:hAnsi="Calibri"/>
                <w:b/>
                <w:sz w:val="20"/>
                <w:szCs w:val="20"/>
                <w:lang w:eastAsia="en-US"/>
              </w:rPr>
            </w:pPr>
            <w:r>
              <w:rPr>
                <w:rFonts w:ascii="Calibri" w:hAnsi="Calibri"/>
                <w:b/>
                <w:sz w:val="20"/>
                <w:szCs w:val="20"/>
                <w:lang w:eastAsia="en-US"/>
              </w:rPr>
              <w:t>Lesnícko-environmentálne a klimatické služby a ochrana lesov</w:t>
            </w:r>
          </w:p>
        </w:tc>
        <w:tc>
          <w:tcPr>
            <w:tcW w:w="1842" w:type="dxa"/>
          </w:tcPr>
          <w:p w:rsidR="00C10C42" w:rsidRPr="00C10C42" w:rsidRDefault="00C10C42" w:rsidP="00D95CA5">
            <w:pPr>
              <w:widowControl w:val="0"/>
              <w:autoSpaceDE w:val="0"/>
              <w:autoSpaceDN w:val="0"/>
              <w:adjustRightInd w:val="0"/>
              <w:spacing w:after="120"/>
              <w:ind w:right="-28"/>
              <w:jc w:val="left"/>
              <w:rPr>
                <w:rFonts w:ascii="Calibri" w:hAnsi="Calibri"/>
                <w:noProof/>
                <w:sz w:val="20"/>
                <w:szCs w:val="20"/>
                <w:lang w:eastAsia="en-US"/>
              </w:rPr>
            </w:pPr>
            <w:r w:rsidRPr="00C10C42">
              <w:rPr>
                <w:rFonts w:ascii="Calibri" w:hAnsi="Calibri" w:cs="Calibri"/>
                <w:bCs/>
                <w:iCs/>
                <w:sz w:val="20"/>
                <w:szCs w:val="20"/>
                <w:lang w:eastAsia="en-US"/>
              </w:rPr>
              <w:t>Podpora na účely ochrany a podpory  lesných genetických zdrojov</w:t>
            </w:r>
          </w:p>
        </w:tc>
        <w:tc>
          <w:tcPr>
            <w:tcW w:w="3969" w:type="dxa"/>
          </w:tcPr>
          <w:p w:rsidR="00C10C42" w:rsidRPr="008676F9" w:rsidRDefault="00C10C42" w:rsidP="00C10C42">
            <w:pPr>
              <w:widowControl w:val="0"/>
              <w:autoSpaceDE w:val="0"/>
              <w:autoSpaceDN w:val="0"/>
              <w:adjustRightInd w:val="0"/>
              <w:spacing w:after="120"/>
              <w:ind w:right="-28"/>
              <w:rPr>
                <w:rFonts w:ascii="Calibri" w:hAnsi="Calibri"/>
                <w:b/>
                <w:noProof/>
                <w:sz w:val="20"/>
                <w:szCs w:val="20"/>
                <w:lang w:eastAsia="en-US"/>
              </w:rPr>
            </w:pPr>
            <w:r w:rsidRPr="008676F9">
              <w:rPr>
                <w:rFonts w:ascii="Calibri" w:hAnsi="Calibri"/>
                <w:sz w:val="20"/>
                <w:szCs w:val="20"/>
                <w:lang w:eastAsia="en-US"/>
              </w:rPr>
              <w:t xml:space="preserve">Každá pomoc poskytnutá v rámci tohto opatrenia bude poskytnutá v súlade s </w:t>
            </w:r>
            <w:r w:rsidRPr="008676F9">
              <w:rPr>
                <w:rFonts w:ascii="Calibri" w:hAnsi="Calibri"/>
                <w:b/>
                <w:noProof/>
                <w:sz w:val="20"/>
                <w:szCs w:val="20"/>
                <w:lang w:eastAsia="en-US"/>
              </w:rPr>
              <w:t>Usmerneniami Komisie pre štátnu pomoc v sektore poľnohospodárstva a lesného hospodárstva na roky 2014-2020.</w:t>
            </w:r>
          </w:p>
          <w:p w:rsidR="00C10C42" w:rsidRPr="008676F9" w:rsidRDefault="00C10C42" w:rsidP="00C10C42">
            <w:pPr>
              <w:widowControl w:val="0"/>
              <w:autoSpaceDE w:val="0"/>
              <w:autoSpaceDN w:val="0"/>
              <w:adjustRightInd w:val="0"/>
              <w:spacing w:after="120"/>
              <w:ind w:right="-28"/>
              <w:rPr>
                <w:rFonts w:ascii="Calibri" w:hAnsi="Calibri"/>
                <w:sz w:val="20"/>
                <w:szCs w:val="20"/>
                <w:lang w:eastAsia="en-US"/>
              </w:rPr>
            </w:pPr>
            <w:r w:rsidRPr="008676F9">
              <w:rPr>
                <w:rFonts w:ascii="Calibri" w:hAnsi="Calibri"/>
                <w:sz w:val="20"/>
                <w:szCs w:val="20"/>
                <w:lang w:eastAsia="en-US"/>
              </w:rPr>
              <w:t>Číslo rozhodnutia: XXXX / XXXX</w:t>
            </w:r>
          </w:p>
        </w:tc>
        <w:tc>
          <w:tcPr>
            <w:tcW w:w="1418" w:type="dxa"/>
          </w:tcPr>
          <w:p w:rsidR="00C10C42" w:rsidRPr="008676F9" w:rsidRDefault="00C10C42" w:rsidP="008676F9">
            <w:pPr>
              <w:widowControl w:val="0"/>
              <w:autoSpaceDE w:val="0"/>
              <w:autoSpaceDN w:val="0"/>
              <w:adjustRightInd w:val="0"/>
              <w:ind w:right="-28"/>
              <w:rPr>
                <w:rFonts w:ascii="Calibri" w:hAnsi="Calibri"/>
                <w:noProof/>
                <w:sz w:val="20"/>
                <w:szCs w:val="20"/>
                <w:lang w:eastAsia="en-US"/>
              </w:rPr>
            </w:pPr>
          </w:p>
        </w:tc>
        <w:tc>
          <w:tcPr>
            <w:tcW w:w="1843" w:type="dxa"/>
          </w:tcPr>
          <w:p w:rsidR="00C10C42" w:rsidRPr="008676F9" w:rsidRDefault="00C10C42" w:rsidP="008676F9">
            <w:pPr>
              <w:widowControl w:val="0"/>
              <w:autoSpaceDE w:val="0"/>
              <w:autoSpaceDN w:val="0"/>
              <w:adjustRightInd w:val="0"/>
              <w:ind w:right="-28"/>
              <w:rPr>
                <w:rFonts w:ascii="Calibri" w:hAnsi="Calibri"/>
                <w:noProof/>
                <w:sz w:val="20"/>
                <w:szCs w:val="20"/>
                <w:lang w:eastAsia="en-US"/>
              </w:rPr>
            </w:pPr>
          </w:p>
        </w:tc>
        <w:tc>
          <w:tcPr>
            <w:tcW w:w="1559" w:type="dxa"/>
            <w:vAlign w:val="center"/>
          </w:tcPr>
          <w:p w:rsidR="00C10C42" w:rsidRPr="008676F9" w:rsidRDefault="00C10C42" w:rsidP="008676F9">
            <w:pPr>
              <w:spacing w:after="120"/>
              <w:jc w:val="center"/>
              <w:rPr>
                <w:rFonts w:ascii="Calibri" w:hAnsi="Calibri"/>
                <w:noProof/>
                <w:sz w:val="20"/>
                <w:szCs w:val="20"/>
                <w:lang w:eastAsia="en-US"/>
              </w:rPr>
            </w:pPr>
          </w:p>
        </w:tc>
        <w:tc>
          <w:tcPr>
            <w:tcW w:w="1417" w:type="dxa"/>
          </w:tcPr>
          <w:p w:rsidR="00C10C42" w:rsidRPr="008676F9" w:rsidRDefault="00C10C42" w:rsidP="008676F9">
            <w:pPr>
              <w:widowControl w:val="0"/>
              <w:autoSpaceDE w:val="0"/>
              <w:autoSpaceDN w:val="0"/>
              <w:adjustRightInd w:val="0"/>
              <w:ind w:right="-28"/>
              <w:rPr>
                <w:rFonts w:ascii="Calibri" w:hAnsi="Calibri"/>
                <w:noProof/>
                <w:sz w:val="20"/>
                <w:szCs w:val="20"/>
                <w:lang w:eastAsia="en-US"/>
              </w:rPr>
            </w:pPr>
          </w:p>
        </w:tc>
      </w:tr>
    </w:tbl>
    <w:p w:rsidR="008676F9" w:rsidRPr="008676F9" w:rsidRDefault="008676F9" w:rsidP="008676F9">
      <w:pPr>
        <w:widowControl w:val="0"/>
        <w:autoSpaceDE w:val="0"/>
        <w:autoSpaceDN w:val="0"/>
        <w:adjustRightInd w:val="0"/>
        <w:ind w:right="-28"/>
        <w:rPr>
          <w:rFonts w:ascii="Calibri" w:hAnsi="Calibri"/>
          <w:noProof/>
          <w:sz w:val="20"/>
          <w:szCs w:val="20"/>
          <w:lang w:eastAsia="en-US"/>
        </w:rPr>
      </w:pPr>
    </w:p>
    <w:p w:rsidR="008676F9" w:rsidRPr="008676F9" w:rsidRDefault="008676F9" w:rsidP="008676F9">
      <w:pPr>
        <w:widowControl w:val="0"/>
        <w:autoSpaceDE w:val="0"/>
        <w:autoSpaceDN w:val="0"/>
        <w:adjustRightInd w:val="0"/>
        <w:ind w:right="-28"/>
        <w:rPr>
          <w:rFonts w:ascii="Calibri" w:hAnsi="Calibri"/>
          <w:noProof/>
          <w:sz w:val="20"/>
          <w:szCs w:val="20"/>
          <w:lang w:eastAsia="en-US"/>
        </w:rPr>
      </w:pPr>
    </w:p>
    <w:p w:rsidR="008676F9" w:rsidRPr="008676F9" w:rsidRDefault="008676F9" w:rsidP="008676F9">
      <w:pPr>
        <w:spacing w:after="120"/>
        <w:rPr>
          <w:rFonts w:ascii="Calibri" w:hAnsi="Calibri"/>
          <w:b/>
          <w:bCs/>
          <w:szCs w:val="22"/>
          <w:lang w:eastAsia="en-US"/>
        </w:rPr>
      </w:pPr>
      <w:r w:rsidRPr="008676F9">
        <w:rPr>
          <w:rFonts w:ascii="Calibri" w:hAnsi="Calibri"/>
          <w:b/>
          <w:bCs/>
          <w:szCs w:val="22"/>
          <w:lang w:eastAsia="en-US"/>
        </w:rPr>
        <w:t>Opatrenie Iniciatíva LEADER</w:t>
      </w:r>
    </w:p>
    <w:p w:rsidR="008676F9" w:rsidRPr="008676F9" w:rsidRDefault="008676F9" w:rsidP="008676F9">
      <w:pPr>
        <w:spacing w:after="120"/>
        <w:rPr>
          <w:rFonts w:ascii="Calibri" w:hAnsi="Calibri"/>
          <w:szCs w:val="22"/>
          <w:lang w:eastAsia="en-US"/>
        </w:rPr>
      </w:pPr>
      <w:r w:rsidRPr="008676F9">
        <w:rPr>
          <w:rFonts w:ascii="Calibri" w:hAnsi="Calibri"/>
          <w:szCs w:val="22"/>
          <w:lang w:eastAsia="en-US"/>
        </w:rPr>
        <w:t xml:space="preserve">Opatrenia PRV SR 2014 - 2020 podliehajúce schémam pomoci budú týmto spôsobom implementované aj v prípade ich realizácie prostredníctvom opatrenia Iniciatíva LEADER. </w:t>
      </w:r>
    </w:p>
    <w:p w:rsidR="008676F9" w:rsidRPr="008676F9" w:rsidRDefault="008676F9" w:rsidP="008676F9">
      <w:pPr>
        <w:widowControl w:val="0"/>
        <w:autoSpaceDE w:val="0"/>
        <w:autoSpaceDN w:val="0"/>
        <w:adjustRightInd w:val="0"/>
        <w:spacing w:after="120"/>
        <w:ind w:right="-28"/>
        <w:rPr>
          <w:rFonts w:ascii="Calibri" w:hAnsi="Calibri"/>
          <w:noProof/>
          <w:szCs w:val="22"/>
          <w:lang w:eastAsia="en-US"/>
        </w:rPr>
      </w:pPr>
      <w:r w:rsidRPr="008676F9">
        <w:rPr>
          <w:rFonts w:ascii="Calibri" w:hAnsi="Calibri"/>
          <w:noProof/>
          <w:szCs w:val="22"/>
          <w:lang w:eastAsia="en-US"/>
        </w:rPr>
        <w:t>Kompatibilita štátnej pomoci musí byť zabezpečená po celú dobu trvania programov</w:t>
      </w:r>
      <w:r w:rsidR="00BC4D3C">
        <w:rPr>
          <w:rFonts w:ascii="Calibri" w:hAnsi="Calibri"/>
          <w:noProof/>
          <w:szCs w:val="22"/>
          <w:lang w:eastAsia="en-US"/>
        </w:rPr>
        <w:t>acie</w:t>
      </w:r>
      <w:r w:rsidRPr="008676F9">
        <w:rPr>
          <w:rFonts w:ascii="Calibri" w:hAnsi="Calibri"/>
          <w:noProof/>
          <w:szCs w:val="22"/>
          <w:lang w:eastAsia="en-US"/>
        </w:rPr>
        <w:t>ho obdobia.</w:t>
      </w:r>
    </w:p>
    <w:p w:rsidR="008676F9" w:rsidRDefault="008676F9" w:rsidP="008676F9">
      <w:pPr>
        <w:spacing w:after="120"/>
        <w:rPr>
          <w:rFonts w:ascii="Calibri" w:hAnsi="Calibri"/>
          <w:szCs w:val="22"/>
          <w:lang w:eastAsia="en-US"/>
        </w:rPr>
      </w:pPr>
      <w:r w:rsidRPr="008676F9">
        <w:rPr>
          <w:rFonts w:ascii="Calibri" w:hAnsi="Calibri"/>
          <w:noProof/>
          <w:szCs w:val="22"/>
          <w:lang w:eastAsia="en-US"/>
        </w:rPr>
        <w:t xml:space="preserve">Všetky prípady </w:t>
      </w:r>
      <w:r w:rsidRPr="008676F9">
        <w:rPr>
          <w:rFonts w:ascii="Calibri" w:hAnsi="Calibri"/>
          <w:szCs w:val="22"/>
          <w:lang w:eastAsia="en-US"/>
        </w:rPr>
        <w:t>uplatňovania schém</w:t>
      </w:r>
      <w:r w:rsidRPr="008676F9">
        <w:rPr>
          <w:rFonts w:ascii="Calibri" w:hAnsi="Calibri"/>
          <w:noProof/>
          <w:szCs w:val="22"/>
          <w:lang w:eastAsia="en-US"/>
        </w:rPr>
        <w:t xml:space="preserve">, </w:t>
      </w:r>
      <w:r w:rsidRPr="008676F9">
        <w:rPr>
          <w:rFonts w:ascii="Calibri" w:hAnsi="Calibri"/>
          <w:szCs w:val="22"/>
          <w:lang w:eastAsia="en-US"/>
        </w:rPr>
        <w:t>pre ktoré sa v rámci pravidiel o štátnej pomoci alebo za podmienok a záväzkov ustanovených v príslušnom rozhodnutí o štátnej pomoci vyžaduje individuálna notifikácia, budú oznámené individuálne podľa článku 108(3) Zmluvy o fungovaní EÚ.</w:t>
      </w:r>
    </w:p>
    <w:p w:rsidR="008676F9" w:rsidRDefault="008676F9" w:rsidP="008676F9">
      <w:pPr>
        <w:spacing w:after="120"/>
        <w:rPr>
          <w:rFonts w:ascii="Calibri" w:hAnsi="Calibri"/>
          <w:szCs w:val="22"/>
          <w:lang w:eastAsia="en-US"/>
        </w:rPr>
        <w:sectPr w:rsidR="008676F9" w:rsidSect="006B60DF">
          <w:pgSz w:w="16838" w:h="11906" w:orient="landscape" w:code="9"/>
          <w:pgMar w:top="1701" w:right="1418" w:bottom="1134" w:left="1418" w:header="1021" w:footer="1021" w:gutter="0"/>
          <w:cols w:space="708"/>
          <w:docGrid w:linePitch="360"/>
        </w:sectPr>
      </w:pPr>
    </w:p>
    <w:p w:rsidR="00425CA0" w:rsidRDefault="00425CA0" w:rsidP="008676F9">
      <w:pPr>
        <w:keepNext/>
        <w:keepLines/>
        <w:outlineLvl w:val="0"/>
        <w:rPr>
          <w:rFonts w:ascii="Calibri" w:hAnsi="Calibri"/>
          <w:b/>
          <w:bCs/>
          <w:color w:val="000000"/>
          <w:lang w:eastAsia="en-US"/>
        </w:rPr>
      </w:pPr>
    </w:p>
    <w:p w:rsidR="008676F9" w:rsidRPr="008676F9" w:rsidRDefault="008676F9" w:rsidP="00366F96">
      <w:pPr>
        <w:pStyle w:val="Hlavn"/>
      </w:pPr>
      <w:bookmarkStart w:id="150" w:name="_Toc387041351"/>
      <w:r w:rsidRPr="008676F9">
        <w:t>14. INFORMÁCIE O DOPLNKOVOSTI</w:t>
      </w:r>
      <w:bookmarkEnd w:id="150"/>
    </w:p>
    <w:p w:rsidR="008676F9" w:rsidRPr="008676F9" w:rsidRDefault="008676F9" w:rsidP="008676F9">
      <w:pPr>
        <w:rPr>
          <w:rFonts w:ascii="Calibri" w:eastAsia="Calibri" w:hAnsi="Calibri"/>
          <w:b/>
          <w:szCs w:val="22"/>
          <w:lang w:eastAsia="en-US"/>
        </w:rPr>
      </w:pPr>
    </w:p>
    <w:p w:rsidR="008676F9" w:rsidRPr="008676F9" w:rsidRDefault="008676F9" w:rsidP="00AA30CA">
      <w:pPr>
        <w:pStyle w:val="Pod"/>
        <w:rPr>
          <w:rFonts w:eastAsia="Calibri"/>
          <w:lang w:eastAsia="en-US"/>
        </w:rPr>
      </w:pPr>
      <w:bookmarkStart w:id="151" w:name="_Toc384111084"/>
      <w:bookmarkStart w:id="152" w:name="_Toc387041352"/>
      <w:r w:rsidRPr="008676F9">
        <w:rPr>
          <w:rFonts w:eastAsia="Calibri"/>
          <w:lang w:eastAsia="en-US"/>
        </w:rPr>
        <w:t>14.1. Popis prostriedkov doplnkovosti/súdržnosti s:</w:t>
      </w:r>
      <w:bookmarkEnd w:id="151"/>
      <w:bookmarkEnd w:id="152"/>
      <w:r w:rsidRPr="008676F9">
        <w:rPr>
          <w:rFonts w:eastAsia="Calibri"/>
          <w:lang w:eastAsia="en-US"/>
        </w:rPr>
        <w:t xml:space="preserve"> </w:t>
      </w:r>
    </w:p>
    <w:p w:rsidR="008676F9" w:rsidRPr="008676F9" w:rsidRDefault="008676F9" w:rsidP="00AA30CA">
      <w:pPr>
        <w:pStyle w:val="Podpod"/>
      </w:pPr>
      <w:bookmarkStart w:id="153" w:name="_Toc384111085"/>
      <w:bookmarkStart w:id="154" w:name="_Toc387041353"/>
      <w:r w:rsidRPr="008676F9">
        <w:t>14.1.1. Inými nástrojmi únie, Európskym štrukturálnym a investičným fondom, I. Pilierom a ďalších nástrojov spoločnej poľnohospodárskej politiky</w:t>
      </w:r>
      <w:bookmarkEnd w:id="153"/>
      <w:bookmarkEnd w:id="154"/>
    </w:p>
    <w:p w:rsidR="008676F9" w:rsidRPr="008676F9" w:rsidRDefault="008676F9" w:rsidP="008676F9">
      <w:pPr>
        <w:rPr>
          <w:rFonts w:ascii="Calibri" w:eastAsia="Calibri" w:hAnsi="Calibri"/>
          <w:b/>
          <w:color w:val="000000"/>
          <w:szCs w:val="22"/>
        </w:rPr>
      </w:pPr>
    </w:p>
    <w:p w:rsidR="008676F9" w:rsidRPr="008676F9" w:rsidRDefault="008676F9" w:rsidP="008676F9">
      <w:pPr>
        <w:rPr>
          <w:rFonts w:ascii="Calibri" w:eastAsia="Calibri" w:hAnsi="Calibri"/>
          <w:b/>
          <w:color w:val="000000"/>
          <w:szCs w:val="22"/>
        </w:rPr>
      </w:pPr>
      <w:r w:rsidRPr="008676F9">
        <w:rPr>
          <w:rFonts w:ascii="Calibri" w:eastAsia="Calibri" w:hAnsi="Calibri"/>
          <w:b/>
          <w:color w:val="000000"/>
          <w:szCs w:val="22"/>
        </w:rPr>
        <w:t xml:space="preserve">TC 1: </w:t>
      </w:r>
    </w:p>
    <w:p w:rsidR="008676F9" w:rsidRPr="008676F9" w:rsidRDefault="008676F9" w:rsidP="006C75BE">
      <w:pPr>
        <w:spacing w:after="120"/>
        <w:rPr>
          <w:rFonts w:ascii="Calibri" w:eastAsia="Calibri" w:hAnsi="Calibri" w:cs="Arial"/>
          <w:szCs w:val="22"/>
          <w:lang w:eastAsia="en-US"/>
        </w:rPr>
      </w:pPr>
      <w:r w:rsidRPr="008676F9">
        <w:rPr>
          <w:rFonts w:ascii="Calibri" w:eastAsia="Calibri" w:hAnsi="Calibri"/>
          <w:b/>
          <w:szCs w:val="22"/>
          <w:lang w:eastAsia="en-US"/>
        </w:rPr>
        <w:t xml:space="preserve">P1, P2, P3 OP VaI Investičná priorita: </w:t>
      </w:r>
      <w:r w:rsidRPr="008676F9">
        <w:rPr>
          <w:rFonts w:ascii="Calibri" w:eastAsia="Calibri" w:hAnsi="Calibri"/>
          <w:szCs w:val="22"/>
          <w:lang w:eastAsia="en-US"/>
        </w:rPr>
        <w:t xml:space="preserve">Podpora podnikania, najmä prostredníctvom uľahčenia využívania nových nápadov v hospodárstve a podpora zakladania nových firiem, vrátane podnikateľských inkubátorov. </w:t>
      </w:r>
      <w:r w:rsidRPr="008676F9">
        <w:rPr>
          <w:rFonts w:ascii="Calibri" w:eastAsia="Calibri" w:hAnsi="Calibri" w:cs="Arial"/>
          <w:szCs w:val="22"/>
          <w:lang w:eastAsia="en-US"/>
        </w:rPr>
        <w:t>Doplnkovosť podpory inovácií v podnikoch je zabezpečená na úrovni oprávnených činností a žiadateľa.</w:t>
      </w:r>
    </w:p>
    <w:p w:rsidR="008676F9" w:rsidRPr="008676F9" w:rsidRDefault="008676F9" w:rsidP="008676F9">
      <w:pPr>
        <w:rPr>
          <w:rFonts w:ascii="Calibri" w:eastAsia="Calibri" w:hAnsi="Calibri"/>
          <w:szCs w:val="22"/>
          <w:lang w:eastAsia="en-US"/>
        </w:rPr>
      </w:pPr>
      <w:r w:rsidRPr="008676F9">
        <w:rPr>
          <w:rFonts w:ascii="Calibri" w:eastAsia="Calibri" w:hAnsi="Calibri"/>
          <w:b/>
          <w:szCs w:val="22"/>
          <w:lang w:eastAsia="en-US"/>
        </w:rPr>
        <w:t>P5</w:t>
      </w:r>
      <w:r w:rsidRPr="008676F9">
        <w:rPr>
          <w:rFonts w:ascii="Calibri" w:eastAsia="Calibri" w:hAnsi="Calibri"/>
          <w:szCs w:val="22"/>
          <w:lang w:eastAsia="en-US"/>
        </w:rPr>
        <w:t xml:space="preserve"> </w:t>
      </w:r>
      <w:r w:rsidRPr="008676F9">
        <w:rPr>
          <w:rFonts w:ascii="Calibri" w:eastAsia="Calibri" w:hAnsi="Calibri"/>
          <w:b/>
          <w:szCs w:val="22"/>
          <w:lang w:eastAsia="en-US"/>
        </w:rPr>
        <w:t>Investičná priorita IROP:</w:t>
      </w:r>
      <w:r w:rsidRPr="008676F9">
        <w:rPr>
          <w:rFonts w:ascii="Calibri" w:eastAsia="Calibri" w:hAnsi="Calibri"/>
          <w:szCs w:val="22"/>
          <w:lang w:eastAsia="en-US"/>
        </w:rPr>
        <w:t xml:space="preserve"> Podpora podnikateľských investícií do inovácií a výskumu, tvorba prepojení a synergii medzi podnikmi a vedecko-výskumnými centrami a vyšším vzdelávaním obzvlášť vo vývoji produktov a služieb, prenosu technológií, sociálnej inovácie a aplikácie verejných služieb, stimulácie dopytu, vytvárania sietí, klastrov a otvorenej inovácie prostredníctvom inteligentnej špecializácie, podpora technologického a aplikovaného výskumu, pilotných projektov a aktivít skorého overovania výrobkov, vyspelých výrobných kapacít a prvovýroby v kľúčových technológiách a šírenie všestranne využiteľných technológií. Doplnkovosť na úrovni činností.</w:t>
      </w:r>
    </w:p>
    <w:p w:rsidR="008676F9" w:rsidRPr="008676F9" w:rsidRDefault="008676F9" w:rsidP="008676F9">
      <w:pPr>
        <w:rPr>
          <w:rFonts w:ascii="Calibri" w:eastAsia="Calibri" w:hAnsi="Calibri"/>
          <w:szCs w:val="22"/>
          <w:lang w:eastAsia="en-US"/>
        </w:rPr>
      </w:pPr>
    </w:p>
    <w:p w:rsidR="00895B36" w:rsidRPr="00895B36" w:rsidRDefault="00895B36" w:rsidP="00895B36">
      <w:pPr>
        <w:rPr>
          <w:rFonts w:ascii="Calibri" w:eastAsia="Calibri" w:hAnsi="Calibri"/>
          <w:b/>
          <w:szCs w:val="22"/>
          <w:lang w:eastAsia="en-US"/>
        </w:rPr>
      </w:pPr>
      <w:r w:rsidRPr="00895B36">
        <w:rPr>
          <w:rFonts w:ascii="Calibri" w:eastAsia="Calibri" w:hAnsi="Calibri"/>
          <w:b/>
          <w:szCs w:val="22"/>
          <w:lang w:eastAsia="en-US"/>
        </w:rPr>
        <w:t xml:space="preserve">TC 2: </w:t>
      </w:r>
    </w:p>
    <w:p w:rsidR="00895B36" w:rsidRPr="00895B36" w:rsidRDefault="00895B36" w:rsidP="00895B36">
      <w:pPr>
        <w:rPr>
          <w:rFonts w:ascii="Calibri" w:eastAsia="Calibri" w:hAnsi="Calibri"/>
          <w:b/>
          <w:color w:val="000000"/>
          <w:szCs w:val="22"/>
        </w:rPr>
      </w:pPr>
      <w:r w:rsidRPr="00895B36">
        <w:rPr>
          <w:rFonts w:ascii="Calibri" w:eastAsia="Calibri" w:hAnsi="Calibri"/>
          <w:szCs w:val="22"/>
          <w:lang w:eastAsia="en-US"/>
        </w:rPr>
        <w:t>P6 Investičná priorita OP II: Rozšírenie širokopásmového pripojenia a zavádzanie vysokorýchlostných sietí a podpora zavádzania nastupujúcich technológií a sietí pre digitálne hospodárstvo. Doplnkovosť na úrovni oprávnených činností a žiadateľa.</w:t>
      </w:r>
    </w:p>
    <w:p w:rsidR="00895B36" w:rsidRDefault="00895B36" w:rsidP="00895B36">
      <w:pPr>
        <w:rPr>
          <w:rFonts w:ascii="Calibri" w:eastAsia="Calibri" w:hAnsi="Calibri"/>
          <w:b/>
          <w:color w:val="000000"/>
          <w:szCs w:val="22"/>
        </w:rPr>
      </w:pPr>
    </w:p>
    <w:p w:rsidR="00895B36" w:rsidRPr="00895B36" w:rsidRDefault="00895B36" w:rsidP="00895B36">
      <w:pPr>
        <w:rPr>
          <w:rFonts w:ascii="Calibri" w:eastAsia="Calibri" w:hAnsi="Calibri"/>
          <w:b/>
          <w:color w:val="000000"/>
          <w:szCs w:val="22"/>
        </w:rPr>
      </w:pPr>
      <w:r w:rsidRPr="00895B36">
        <w:rPr>
          <w:rFonts w:ascii="Calibri" w:eastAsia="Calibri" w:hAnsi="Calibri"/>
          <w:b/>
          <w:color w:val="000000"/>
          <w:szCs w:val="22"/>
        </w:rPr>
        <w:t xml:space="preserve">TC 3: </w:t>
      </w:r>
    </w:p>
    <w:p w:rsidR="00895B36" w:rsidRPr="00895B36" w:rsidRDefault="00895B36" w:rsidP="00895B36">
      <w:pPr>
        <w:spacing w:after="120"/>
        <w:rPr>
          <w:rFonts w:ascii="Calibri" w:eastAsia="Calibri" w:hAnsi="Calibri"/>
          <w:szCs w:val="22"/>
          <w:lang w:eastAsia="en-US"/>
        </w:rPr>
      </w:pPr>
      <w:r w:rsidRPr="00895B36">
        <w:rPr>
          <w:rFonts w:ascii="Calibri" w:eastAsia="Calibri" w:hAnsi="Calibri"/>
          <w:b/>
          <w:szCs w:val="22"/>
          <w:lang w:eastAsia="en-US"/>
        </w:rPr>
        <w:t xml:space="preserve">P2 </w:t>
      </w:r>
      <w:r w:rsidRPr="00895B36">
        <w:rPr>
          <w:rFonts w:ascii="Calibri" w:eastAsia="Calibri" w:hAnsi="Calibri"/>
          <w:b/>
          <w:bCs/>
          <w:szCs w:val="22"/>
          <w:lang w:eastAsia="en-US"/>
        </w:rPr>
        <w:t>OP ĽZ:</w:t>
      </w:r>
      <w:r w:rsidRPr="00895B36">
        <w:rPr>
          <w:rFonts w:ascii="Calibri" w:eastAsia="Calibri" w:hAnsi="Calibri"/>
          <w:szCs w:val="22"/>
          <w:lang w:eastAsia="en-US"/>
        </w:rPr>
        <w:t xml:space="preserve"> </w:t>
      </w:r>
      <w:r w:rsidRPr="00895B36">
        <w:rPr>
          <w:rFonts w:ascii="Calibri" w:eastAsia="Calibri" w:hAnsi="Calibri"/>
          <w:bCs/>
          <w:szCs w:val="22"/>
          <w:lang w:eastAsia="en-US"/>
        </w:rPr>
        <w:t xml:space="preserve">Podpora na začatie podnikateľskej činnosti pre UoZ. </w:t>
      </w:r>
      <w:r w:rsidRPr="00895B36">
        <w:rPr>
          <w:rFonts w:ascii="Calibri" w:eastAsia="Calibri" w:hAnsi="Calibri"/>
          <w:szCs w:val="22"/>
          <w:lang w:eastAsia="en-US"/>
        </w:rPr>
        <w:t>Doplnkovosť podpory je zabezpečená na úrovni príjemcu.</w:t>
      </w:r>
    </w:p>
    <w:p w:rsidR="00895B36" w:rsidRPr="00895B36" w:rsidRDefault="00895B36" w:rsidP="00895B36">
      <w:pPr>
        <w:spacing w:after="120"/>
        <w:rPr>
          <w:rFonts w:ascii="Calibri" w:eastAsia="Calibri" w:hAnsi="Calibri"/>
          <w:szCs w:val="22"/>
          <w:lang w:eastAsia="en-US"/>
        </w:rPr>
      </w:pPr>
      <w:r w:rsidRPr="00895B36">
        <w:rPr>
          <w:rFonts w:ascii="Calibri" w:eastAsia="Calibri" w:hAnsi="Calibri"/>
          <w:b/>
          <w:bCs/>
          <w:szCs w:val="22"/>
          <w:lang w:eastAsia="en-US"/>
        </w:rPr>
        <w:t xml:space="preserve">P2 OP Rybné hospodárstvo: </w:t>
      </w:r>
      <w:r w:rsidRPr="00895B36">
        <w:rPr>
          <w:rFonts w:ascii="Calibri" w:eastAsia="Calibri" w:hAnsi="Calibri"/>
          <w:bCs/>
          <w:szCs w:val="22"/>
          <w:lang w:eastAsia="en-US"/>
        </w:rPr>
        <w:t xml:space="preserve">Podpora diverzifikácie príjmu akvakultúrnych podnikov. </w:t>
      </w:r>
      <w:r w:rsidRPr="00895B36">
        <w:rPr>
          <w:rFonts w:ascii="Calibri" w:eastAsia="Calibri" w:hAnsi="Calibri"/>
          <w:szCs w:val="22"/>
          <w:lang w:eastAsia="en-US"/>
        </w:rPr>
        <w:t>Doplnkovosť na úrovni oprávnených činností.</w:t>
      </w:r>
    </w:p>
    <w:p w:rsidR="00895B36" w:rsidRPr="00895B36" w:rsidRDefault="00895B36" w:rsidP="00895B36">
      <w:pPr>
        <w:spacing w:after="120"/>
        <w:jc w:val="left"/>
        <w:rPr>
          <w:rFonts w:ascii="Calibri" w:eastAsia="Calibri" w:hAnsi="Calibri"/>
          <w:szCs w:val="22"/>
          <w:lang w:eastAsia="en-US"/>
        </w:rPr>
      </w:pPr>
      <w:r w:rsidRPr="00895B36">
        <w:rPr>
          <w:rFonts w:ascii="Calibri" w:eastAsia="Calibri" w:hAnsi="Calibri"/>
          <w:b/>
          <w:szCs w:val="22"/>
          <w:lang w:eastAsia="en-US"/>
        </w:rPr>
        <w:t>P2 OP Rybné hospodárstvo:</w:t>
      </w:r>
      <w:r w:rsidRPr="00895B36">
        <w:rPr>
          <w:rFonts w:ascii="Calibri" w:eastAsia="Calibri" w:hAnsi="Calibri"/>
          <w:szCs w:val="22"/>
          <w:lang w:eastAsia="en-US"/>
        </w:rPr>
        <w:t xml:space="preserve"> Podpora investícií do spracovania, uvádzania na trh a/alebo vývoja poľnohospodárskych výrobkov, na ktoré sa vzťahuje príloha I k Zmluvy o fungovaní EÚ. Doplnkovosť na úrovni žiadateľa.</w:t>
      </w:r>
    </w:p>
    <w:p w:rsidR="00895B36" w:rsidRPr="00895B36" w:rsidRDefault="00895B36" w:rsidP="00895B36">
      <w:pPr>
        <w:spacing w:after="120"/>
        <w:jc w:val="left"/>
        <w:rPr>
          <w:rFonts w:ascii="Calibri" w:eastAsia="Calibri" w:hAnsi="Calibri"/>
          <w:szCs w:val="22"/>
          <w:lang w:eastAsia="en-US"/>
        </w:rPr>
      </w:pPr>
      <w:r w:rsidRPr="00895B36">
        <w:rPr>
          <w:rFonts w:ascii="Calibri" w:eastAsia="Calibri" w:hAnsi="Calibri"/>
          <w:b/>
          <w:szCs w:val="22"/>
          <w:lang w:eastAsia="en-US"/>
        </w:rPr>
        <w:t xml:space="preserve">P2 OP VaI: </w:t>
      </w:r>
      <w:r w:rsidRPr="00895B36">
        <w:rPr>
          <w:rFonts w:ascii="Calibri" w:eastAsia="Calibri" w:hAnsi="Calibri"/>
          <w:szCs w:val="22"/>
          <w:lang w:eastAsia="en-US"/>
        </w:rPr>
        <w:t>Doplnkovosť v oblasti oprávnených aktivít. </w:t>
      </w:r>
    </w:p>
    <w:p w:rsidR="00895B36" w:rsidRPr="00895B36" w:rsidRDefault="00895B36" w:rsidP="00895B36">
      <w:pPr>
        <w:rPr>
          <w:rFonts w:ascii="Calibri" w:eastAsia="Calibri" w:hAnsi="Calibri"/>
          <w:szCs w:val="22"/>
          <w:lang w:eastAsia="en-US"/>
        </w:rPr>
      </w:pPr>
      <w:r w:rsidRPr="00895B36">
        <w:rPr>
          <w:rFonts w:ascii="Calibri" w:eastAsia="Calibri" w:hAnsi="Calibri"/>
          <w:b/>
          <w:szCs w:val="22"/>
          <w:lang w:eastAsia="en-US"/>
        </w:rPr>
        <w:t xml:space="preserve">P6 OP VaI: </w:t>
      </w:r>
      <w:r w:rsidRPr="00895B36">
        <w:rPr>
          <w:rFonts w:ascii="Calibri" w:eastAsia="Calibri" w:hAnsi="Calibri"/>
          <w:szCs w:val="22"/>
          <w:lang w:eastAsia="en-US"/>
        </w:rPr>
        <w:t xml:space="preserve">Doplnkovosť v oblasti spracovania a uvádzania na trh produktov mimo Prílohy I ZFEÚ je zabezpečené na úrovni aktivít a zároveň vzájomnou informovanosťou a súčinnosťou riadiacich orgánov. </w:t>
      </w:r>
    </w:p>
    <w:p w:rsidR="008676F9" w:rsidRPr="008676F9" w:rsidRDefault="008676F9" w:rsidP="008676F9">
      <w:pPr>
        <w:rPr>
          <w:rFonts w:ascii="Calibri" w:eastAsia="Calibri" w:hAnsi="Calibri"/>
          <w:szCs w:val="22"/>
          <w:lang w:eastAsia="en-US"/>
        </w:rPr>
      </w:pPr>
    </w:p>
    <w:p w:rsidR="008676F9" w:rsidRPr="008676F9" w:rsidRDefault="008676F9" w:rsidP="008676F9">
      <w:pPr>
        <w:rPr>
          <w:rFonts w:ascii="Calibri" w:eastAsia="Calibri" w:hAnsi="Calibri"/>
          <w:b/>
          <w:color w:val="000000"/>
          <w:szCs w:val="22"/>
        </w:rPr>
      </w:pPr>
      <w:r w:rsidRPr="008676F9">
        <w:rPr>
          <w:rFonts w:ascii="Calibri" w:eastAsia="Calibri" w:hAnsi="Calibri"/>
          <w:b/>
          <w:color w:val="000000"/>
          <w:szCs w:val="22"/>
        </w:rPr>
        <w:t>TC 4:</w:t>
      </w:r>
    </w:p>
    <w:p w:rsidR="008676F9" w:rsidRPr="008676F9" w:rsidRDefault="008676F9" w:rsidP="006C75BE">
      <w:pPr>
        <w:spacing w:after="120"/>
        <w:rPr>
          <w:rFonts w:ascii="Calibri" w:eastAsia="Calibri" w:hAnsi="Calibri"/>
          <w:szCs w:val="22"/>
          <w:lang w:eastAsia="en-US"/>
        </w:rPr>
      </w:pPr>
      <w:r w:rsidRPr="008676F9">
        <w:rPr>
          <w:rFonts w:ascii="Calibri" w:eastAsia="Calibri" w:hAnsi="Calibri" w:cs="Arial"/>
          <w:b/>
          <w:szCs w:val="22"/>
          <w:lang w:eastAsia="en-US"/>
        </w:rPr>
        <w:t xml:space="preserve">P5 </w:t>
      </w:r>
      <w:r w:rsidRPr="008676F9">
        <w:rPr>
          <w:rFonts w:ascii="Calibri" w:eastAsia="Calibri" w:hAnsi="Calibri"/>
          <w:b/>
          <w:szCs w:val="22"/>
          <w:lang w:eastAsia="en-US"/>
        </w:rPr>
        <w:t xml:space="preserve">OP KŽP Investičná priorita: </w:t>
      </w:r>
      <w:r w:rsidRPr="008676F9">
        <w:rPr>
          <w:rFonts w:ascii="Calibri" w:eastAsia="Calibri" w:hAnsi="Calibri"/>
          <w:szCs w:val="22"/>
          <w:lang w:eastAsia="en-US"/>
        </w:rPr>
        <w:t xml:space="preserve">Podpora výroby  a distribúcie obnoviteľných zdrojov. </w:t>
      </w:r>
      <w:r w:rsidRPr="008676F9">
        <w:rPr>
          <w:rFonts w:ascii="Calibri" w:eastAsia="Calibri" w:hAnsi="Calibri" w:cs="Arial"/>
          <w:szCs w:val="22"/>
          <w:lang w:eastAsia="en-US"/>
        </w:rPr>
        <w:t xml:space="preserve">Doplnkovosť podpory využívania obnoviteľných zdrojov energie je zabezpečená na úrovni oprávnených činností a žiadateľa. </w:t>
      </w:r>
    </w:p>
    <w:p w:rsidR="008676F9" w:rsidRPr="008676F9" w:rsidRDefault="008676F9" w:rsidP="006C75BE">
      <w:pPr>
        <w:spacing w:after="120"/>
        <w:rPr>
          <w:rFonts w:ascii="Calibri" w:eastAsia="Calibri" w:hAnsi="Calibri"/>
          <w:szCs w:val="22"/>
          <w:lang w:eastAsia="en-US"/>
        </w:rPr>
      </w:pPr>
      <w:r w:rsidRPr="008676F9">
        <w:rPr>
          <w:rFonts w:ascii="Calibri" w:eastAsia="Calibri" w:hAnsi="Calibri"/>
          <w:b/>
          <w:szCs w:val="22"/>
          <w:lang w:eastAsia="en-US"/>
        </w:rPr>
        <w:t xml:space="preserve">P5 OP KŽP Investičná priorita: </w:t>
      </w:r>
      <w:r w:rsidRPr="008676F9">
        <w:rPr>
          <w:rFonts w:ascii="Calibri" w:eastAsia="Calibri" w:hAnsi="Calibri"/>
          <w:szCs w:val="22"/>
          <w:lang w:eastAsia="en-US"/>
        </w:rPr>
        <w:t xml:space="preserve">Podpora energetickej efektívnosti a využitia energie z obnoviteľných zdrojov v podnikoch. </w:t>
      </w:r>
      <w:r w:rsidRPr="008676F9">
        <w:rPr>
          <w:rFonts w:ascii="Calibri" w:eastAsia="Calibri" w:hAnsi="Calibri" w:cs="Arial"/>
          <w:szCs w:val="22"/>
          <w:lang w:eastAsia="en-US"/>
        </w:rPr>
        <w:t xml:space="preserve">Doplnkovosť podpory zvýšenia energetickej efektívnosti je zabezpečená na úrovni oprávnených činností a žiadateľa. </w:t>
      </w:r>
    </w:p>
    <w:p w:rsidR="008676F9" w:rsidRPr="008676F9" w:rsidRDefault="008676F9" w:rsidP="006C75BE">
      <w:pPr>
        <w:spacing w:after="120"/>
        <w:rPr>
          <w:rFonts w:ascii="Calibri" w:eastAsia="Calibri" w:hAnsi="Calibri"/>
          <w:b/>
          <w:szCs w:val="22"/>
          <w:lang w:eastAsia="en-US"/>
        </w:rPr>
      </w:pPr>
      <w:r w:rsidRPr="008676F9">
        <w:rPr>
          <w:rFonts w:ascii="Calibri" w:eastAsia="Calibri" w:hAnsi="Calibri"/>
          <w:b/>
          <w:szCs w:val="22"/>
          <w:lang w:eastAsia="en-US"/>
        </w:rPr>
        <w:t xml:space="preserve">P5 </w:t>
      </w:r>
      <w:r w:rsidRPr="008676F9">
        <w:rPr>
          <w:rFonts w:ascii="Calibri" w:eastAsia="Calibri" w:hAnsi="Calibri"/>
          <w:b/>
          <w:bCs/>
          <w:szCs w:val="22"/>
          <w:lang w:eastAsia="en-US"/>
        </w:rPr>
        <w:t xml:space="preserve">OP KŽP Investičná priorita: </w:t>
      </w:r>
      <w:r w:rsidRPr="008676F9">
        <w:rPr>
          <w:rFonts w:ascii="Calibri" w:eastAsia="Calibri" w:hAnsi="Calibri"/>
          <w:szCs w:val="22"/>
          <w:lang w:eastAsia="en-US"/>
        </w:rPr>
        <w:t>Podpora výroby  a distribúcie obnoviteľných zdrojov. Doplnkovosť podpory využívania obnoviteľných zdrojov energie je zabezpečená na úrovni oprávnených činností a žiadateľa.</w:t>
      </w:r>
    </w:p>
    <w:p w:rsidR="008676F9" w:rsidRPr="008676F9" w:rsidRDefault="008676F9" w:rsidP="008676F9">
      <w:pPr>
        <w:rPr>
          <w:rFonts w:ascii="Calibri" w:eastAsia="Calibri" w:hAnsi="Calibri"/>
          <w:szCs w:val="22"/>
          <w:lang w:eastAsia="en-US"/>
        </w:rPr>
      </w:pPr>
      <w:r w:rsidRPr="008676F9">
        <w:rPr>
          <w:rFonts w:ascii="Calibri" w:eastAsia="Calibri" w:hAnsi="Calibri"/>
          <w:b/>
          <w:szCs w:val="22"/>
          <w:lang w:eastAsia="en-US"/>
        </w:rPr>
        <w:t>Investičná priorita IROP</w:t>
      </w:r>
      <w:r w:rsidRPr="008676F9">
        <w:rPr>
          <w:rFonts w:ascii="Calibri" w:eastAsia="Calibri" w:hAnsi="Calibri"/>
          <w:szCs w:val="22"/>
          <w:lang w:eastAsia="en-US"/>
        </w:rPr>
        <w:t>: Zlepšenie kvality života v regiónoch s dôrazom na životné prostredie. Doplnkovosť na úrovni žiadateľa a oprávnených činností.</w:t>
      </w:r>
    </w:p>
    <w:p w:rsidR="008676F9" w:rsidRPr="008676F9" w:rsidRDefault="008676F9" w:rsidP="008676F9">
      <w:pPr>
        <w:rPr>
          <w:rFonts w:ascii="Calibri" w:eastAsia="Calibri" w:hAnsi="Calibri" w:cs="Arial"/>
          <w:b/>
          <w:szCs w:val="22"/>
          <w:lang w:eastAsia="en-US"/>
        </w:rPr>
      </w:pPr>
    </w:p>
    <w:p w:rsidR="008676F9" w:rsidRPr="008676F9" w:rsidRDefault="008676F9" w:rsidP="008676F9">
      <w:pPr>
        <w:rPr>
          <w:rFonts w:ascii="Calibri" w:eastAsia="Calibri" w:hAnsi="Calibri"/>
          <w:b/>
          <w:szCs w:val="22"/>
          <w:lang w:eastAsia="en-US"/>
        </w:rPr>
      </w:pPr>
      <w:r w:rsidRPr="008676F9">
        <w:rPr>
          <w:rFonts w:ascii="Calibri" w:eastAsia="Calibri" w:hAnsi="Calibri" w:cs="Arial"/>
          <w:b/>
          <w:szCs w:val="22"/>
          <w:lang w:eastAsia="en-US"/>
        </w:rPr>
        <w:t>TC 5</w:t>
      </w:r>
      <w:r w:rsidRPr="008676F9">
        <w:rPr>
          <w:rFonts w:ascii="Calibri" w:eastAsia="Calibri" w:hAnsi="Calibri" w:cs="Arial"/>
          <w:szCs w:val="22"/>
          <w:lang w:eastAsia="en-US"/>
        </w:rPr>
        <w:t>:</w:t>
      </w:r>
    </w:p>
    <w:p w:rsidR="00895B36" w:rsidRPr="00895B36" w:rsidRDefault="00895B36" w:rsidP="00895B36">
      <w:pPr>
        <w:spacing w:after="120"/>
        <w:rPr>
          <w:rFonts w:ascii="Calibri" w:eastAsia="Calibri" w:hAnsi="Calibri"/>
          <w:szCs w:val="22"/>
          <w:lang w:eastAsia="en-US"/>
        </w:rPr>
      </w:pPr>
      <w:r w:rsidRPr="00895B36">
        <w:rPr>
          <w:rFonts w:ascii="Calibri" w:eastAsia="Calibri" w:hAnsi="Calibri"/>
          <w:b/>
          <w:szCs w:val="22"/>
          <w:lang w:eastAsia="en-US"/>
        </w:rPr>
        <w:t>P3, P4 OP KŽP</w:t>
      </w:r>
      <w:r w:rsidRPr="00895B36">
        <w:rPr>
          <w:rFonts w:ascii="Calibri" w:eastAsia="Calibri" w:hAnsi="Calibri"/>
          <w:szCs w:val="22"/>
          <w:lang w:eastAsia="en-US"/>
        </w:rPr>
        <w:t xml:space="preserve"> </w:t>
      </w:r>
      <w:r w:rsidRPr="00895B36">
        <w:rPr>
          <w:rFonts w:ascii="Calibri" w:eastAsia="Calibri" w:hAnsi="Calibri"/>
          <w:b/>
          <w:szCs w:val="22"/>
          <w:lang w:eastAsia="en-US"/>
        </w:rPr>
        <w:t>investičná priorita</w:t>
      </w:r>
      <w:r w:rsidRPr="00895B36">
        <w:rPr>
          <w:rFonts w:ascii="Calibri" w:eastAsia="Calibri" w:hAnsi="Calibri"/>
          <w:szCs w:val="22"/>
          <w:lang w:eastAsia="en-US"/>
        </w:rPr>
        <w:t>: Podpora vyhradených investícií na prispôsobenie sa zmene klímy vrátane ekosystémových prístupov; Podpora investícií na riešenie osobitých rizík, zabezpečiť predchádzanie vzniku katastrof a vyvíjanie systémov zvládania katastrof.</w:t>
      </w:r>
    </w:p>
    <w:p w:rsidR="00895B36" w:rsidRPr="00895B36" w:rsidRDefault="00895B36" w:rsidP="00895B36">
      <w:pPr>
        <w:spacing w:after="120"/>
        <w:rPr>
          <w:rFonts w:ascii="Calibri" w:eastAsia="Calibri" w:hAnsi="Calibri"/>
          <w:b/>
          <w:szCs w:val="22"/>
          <w:lang w:eastAsia="en-US"/>
        </w:rPr>
      </w:pPr>
      <w:r w:rsidRPr="00895B36">
        <w:rPr>
          <w:rFonts w:ascii="Calibri" w:eastAsia="Calibri" w:hAnsi="Calibri"/>
          <w:b/>
          <w:szCs w:val="22"/>
          <w:lang w:eastAsia="en-US"/>
        </w:rPr>
        <w:t>OP KŽP</w:t>
      </w:r>
      <w:r w:rsidRPr="00895B36">
        <w:rPr>
          <w:rFonts w:ascii="Calibri" w:eastAsia="Calibri" w:hAnsi="Calibri"/>
          <w:szCs w:val="22"/>
          <w:lang w:eastAsia="en-US"/>
        </w:rPr>
        <w:t xml:space="preserve"> </w:t>
      </w:r>
      <w:r w:rsidRPr="00895B36">
        <w:rPr>
          <w:rFonts w:ascii="Calibri" w:eastAsia="Calibri" w:hAnsi="Calibri"/>
          <w:b/>
          <w:szCs w:val="22"/>
          <w:lang w:eastAsia="en-US"/>
        </w:rPr>
        <w:t xml:space="preserve">špecifický cieľ 1 P2: </w:t>
      </w:r>
      <w:r w:rsidRPr="00895B36">
        <w:rPr>
          <w:rFonts w:ascii="Calibri" w:eastAsia="Calibri" w:hAnsi="Calibri"/>
          <w:szCs w:val="22"/>
          <w:lang w:eastAsia="en-US"/>
        </w:rPr>
        <w:t>Zmierniť negatívne dôsledky zmeny klímy realizáciou adaptačných opatrení, najmä preventívnych opatrení na ochranu pred povodňami.</w:t>
      </w:r>
      <w:r w:rsidRPr="00895B36">
        <w:rPr>
          <w:rFonts w:ascii="Calibri" w:eastAsia="Calibri" w:hAnsi="Calibri"/>
          <w:b/>
          <w:szCs w:val="22"/>
          <w:lang w:eastAsia="en-US"/>
        </w:rPr>
        <w:t xml:space="preserve"> </w:t>
      </w:r>
    </w:p>
    <w:p w:rsidR="00895B36" w:rsidRPr="00895B36" w:rsidRDefault="00895B36" w:rsidP="00895B36">
      <w:pPr>
        <w:rPr>
          <w:rFonts w:ascii="Calibri" w:eastAsia="Calibri" w:hAnsi="Calibri" w:cs="Arial"/>
          <w:szCs w:val="22"/>
          <w:lang w:eastAsia="en-US"/>
        </w:rPr>
      </w:pPr>
      <w:r w:rsidRPr="00895B36">
        <w:rPr>
          <w:rFonts w:ascii="Calibri" w:eastAsia="Calibri" w:hAnsi="Calibri"/>
          <w:b/>
          <w:szCs w:val="22"/>
          <w:lang w:eastAsia="en-US"/>
        </w:rPr>
        <w:t>OP KŽP</w:t>
      </w:r>
      <w:r w:rsidRPr="00895B36">
        <w:rPr>
          <w:rFonts w:ascii="Calibri" w:eastAsia="Calibri" w:hAnsi="Calibri"/>
          <w:szCs w:val="22"/>
          <w:lang w:eastAsia="en-US"/>
        </w:rPr>
        <w:t xml:space="preserve"> </w:t>
      </w:r>
      <w:r w:rsidRPr="00895B36">
        <w:rPr>
          <w:rFonts w:ascii="Calibri" w:eastAsia="Calibri" w:hAnsi="Calibri"/>
          <w:b/>
          <w:szCs w:val="22"/>
          <w:lang w:eastAsia="en-US"/>
        </w:rPr>
        <w:t>špecifický cieľ 1 P3</w:t>
      </w:r>
      <w:r w:rsidRPr="00895B36">
        <w:rPr>
          <w:rFonts w:ascii="Calibri" w:eastAsia="Calibri" w:hAnsi="Calibri"/>
          <w:szCs w:val="22"/>
          <w:lang w:eastAsia="en-US"/>
        </w:rPr>
        <w:t xml:space="preserve">: Zvýšiť úroveň pripravenosti na zvládanie mimoriadnych udalostí ovplyvnených zmenou klímy; Zvýšiť efektívnosť komplexného manažmentu mimoriadnych udalostí ovplyvnených zmenou klímy. </w:t>
      </w:r>
      <w:r w:rsidRPr="00895B36">
        <w:rPr>
          <w:rFonts w:ascii="Calibri" w:eastAsia="Calibri" w:hAnsi="Calibri" w:cs="Arial"/>
          <w:szCs w:val="22"/>
          <w:lang w:eastAsia="en-US"/>
        </w:rPr>
        <w:t>Doplnkovosť podpory preventívnych činností pred následkami povodní je zabezpečená na úrovni oprávnených činností.</w:t>
      </w:r>
    </w:p>
    <w:p w:rsidR="008676F9" w:rsidRPr="008676F9" w:rsidRDefault="008676F9" w:rsidP="008676F9">
      <w:pPr>
        <w:rPr>
          <w:rFonts w:ascii="Calibri" w:eastAsia="Calibri" w:hAnsi="Calibri" w:cs="Arial"/>
          <w:szCs w:val="22"/>
          <w:lang w:eastAsia="en-US"/>
        </w:rPr>
      </w:pPr>
    </w:p>
    <w:p w:rsidR="008676F9" w:rsidRPr="008676F9" w:rsidRDefault="008676F9" w:rsidP="008676F9">
      <w:pPr>
        <w:rPr>
          <w:rFonts w:ascii="Calibri" w:eastAsia="Calibri" w:hAnsi="Calibri"/>
          <w:b/>
          <w:szCs w:val="22"/>
          <w:lang w:eastAsia="en-US"/>
        </w:rPr>
      </w:pPr>
      <w:r w:rsidRPr="008676F9">
        <w:rPr>
          <w:rFonts w:ascii="Calibri" w:eastAsia="Calibri" w:hAnsi="Calibri"/>
          <w:b/>
          <w:szCs w:val="22"/>
          <w:lang w:eastAsia="en-US"/>
        </w:rPr>
        <w:t xml:space="preserve">TC 6: </w:t>
      </w:r>
    </w:p>
    <w:p w:rsidR="008676F9" w:rsidRPr="008676F9" w:rsidRDefault="008676F9" w:rsidP="006C75BE">
      <w:pPr>
        <w:spacing w:after="120"/>
        <w:rPr>
          <w:rFonts w:ascii="Calibri" w:eastAsia="Calibri" w:hAnsi="Calibri"/>
          <w:szCs w:val="22"/>
          <w:lang w:eastAsia="en-US"/>
        </w:rPr>
      </w:pPr>
      <w:r w:rsidRPr="008676F9">
        <w:rPr>
          <w:rFonts w:ascii="Calibri" w:eastAsia="Calibri" w:hAnsi="Calibri"/>
          <w:b/>
          <w:szCs w:val="22"/>
          <w:lang w:eastAsia="en-US"/>
        </w:rPr>
        <w:t>OP KŽP: ŠPECIFICKÝ CIEĽ 1:</w:t>
      </w:r>
      <w:r w:rsidRPr="008676F9">
        <w:rPr>
          <w:rFonts w:ascii="Calibri" w:eastAsia="Calibri" w:hAnsi="Calibri"/>
          <w:szCs w:val="22"/>
          <w:lang w:eastAsia="en-US"/>
        </w:rPr>
        <w:t xml:space="preserve"> Zabezpečiť podmienky pre zachovanie biologickej diverzity a zlepšenie stavu ekosystémov v krajine:</w:t>
      </w:r>
    </w:p>
    <w:p w:rsidR="008676F9" w:rsidRPr="008676F9" w:rsidRDefault="008676F9" w:rsidP="006C75BE">
      <w:pPr>
        <w:spacing w:after="120"/>
        <w:ind w:left="284" w:hanging="284"/>
        <w:rPr>
          <w:rFonts w:ascii="Calibri" w:eastAsia="Calibri" w:hAnsi="Calibri"/>
          <w:szCs w:val="22"/>
          <w:lang w:eastAsia="en-US"/>
        </w:rPr>
      </w:pPr>
      <w:r w:rsidRPr="008676F9">
        <w:rPr>
          <w:rFonts w:ascii="Calibri" w:eastAsia="Calibri" w:hAnsi="Calibri"/>
          <w:szCs w:val="22"/>
          <w:lang w:eastAsia="en-US"/>
        </w:rPr>
        <w:t>A. Dobudovanie sústavy Natura 2000 a zabezpečenie starostlivosti o sústavu Natura 2000 a ďalšie chránené územia (vrátane území medzinárodného významu)</w:t>
      </w:r>
    </w:p>
    <w:p w:rsidR="008676F9" w:rsidRPr="008676F9" w:rsidRDefault="008676F9" w:rsidP="006C75BE">
      <w:pPr>
        <w:spacing w:after="120"/>
        <w:ind w:left="284" w:hanging="284"/>
        <w:rPr>
          <w:rFonts w:ascii="Calibri" w:eastAsia="Calibri" w:hAnsi="Calibri"/>
          <w:szCs w:val="22"/>
          <w:lang w:eastAsia="en-US"/>
        </w:rPr>
      </w:pPr>
      <w:r w:rsidRPr="008676F9">
        <w:rPr>
          <w:rFonts w:ascii="Calibri" w:eastAsia="Calibri" w:hAnsi="Calibri"/>
          <w:szCs w:val="22"/>
          <w:lang w:eastAsia="en-US"/>
        </w:rPr>
        <w:t>B. Zachovanie a obnova biodiverzity a ekosystémov a ich služieb prostredníctvom ich revitalizácie, obnovy a budovania zelenej infraštruktúry a eliminácie nepôvodných inváznych druhov</w:t>
      </w:r>
    </w:p>
    <w:p w:rsidR="008676F9" w:rsidRPr="008676F9" w:rsidRDefault="008676F9" w:rsidP="006C75BE">
      <w:pPr>
        <w:spacing w:after="120"/>
        <w:ind w:left="284" w:hanging="284"/>
        <w:rPr>
          <w:rFonts w:ascii="Calibri" w:eastAsia="Calibri" w:hAnsi="Calibri"/>
          <w:szCs w:val="22"/>
          <w:lang w:eastAsia="en-US"/>
        </w:rPr>
      </w:pPr>
      <w:r w:rsidRPr="008676F9">
        <w:rPr>
          <w:rFonts w:ascii="Calibri" w:eastAsia="Calibri" w:hAnsi="Calibri"/>
          <w:szCs w:val="22"/>
          <w:lang w:eastAsia="en-US"/>
        </w:rPr>
        <w:t>Prijímatelia: rozpočtové a príspevkové organizácie zriadené MŽP SR s pôsobnosťou v oblasti ochrany prírody;  subjekty územnej samosprávy (s podmienkou odbornej garancie organizácie ochrany prírody MŽP SR)</w:t>
      </w:r>
    </w:p>
    <w:p w:rsidR="008676F9" w:rsidRPr="008676F9" w:rsidRDefault="008676F9" w:rsidP="006C75BE">
      <w:pPr>
        <w:spacing w:after="120"/>
        <w:ind w:left="284" w:hanging="284"/>
        <w:rPr>
          <w:rFonts w:ascii="Calibri" w:eastAsia="Calibri" w:hAnsi="Calibri"/>
          <w:szCs w:val="22"/>
          <w:lang w:eastAsia="en-US"/>
        </w:rPr>
      </w:pPr>
      <w:r w:rsidRPr="008676F9">
        <w:rPr>
          <w:rFonts w:ascii="Calibri" w:eastAsia="Calibri" w:hAnsi="Calibri"/>
          <w:szCs w:val="22"/>
          <w:lang w:eastAsia="en-US"/>
        </w:rPr>
        <w:t>C. Dobudovanie a skvalitnenie systému monitoringu druhov a biotopov európskeho významu a reportingu</w:t>
      </w:r>
    </w:p>
    <w:p w:rsidR="003F0BBD" w:rsidRPr="003F0BBD" w:rsidRDefault="003F0BBD" w:rsidP="003F0BBD">
      <w:pPr>
        <w:spacing w:after="120"/>
        <w:rPr>
          <w:rFonts w:ascii="Calibri" w:eastAsia="Calibri" w:hAnsi="Calibri"/>
          <w:szCs w:val="22"/>
          <w:lang w:eastAsia="en-US"/>
        </w:rPr>
      </w:pPr>
      <w:r w:rsidRPr="003F0BBD">
        <w:rPr>
          <w:rFonts w:ascii="Calibri" w:eastAsia="Calibri" w:hAnsi="Calibri"/>
          <w:szCs w:val="22"/>
          <w:lang w:eastAsia="en-US"/>
        </w:rPr>
        <w:t>Prijímateľ: odborná organizácia ochrany prírody a krajiny s celoslovenskou pôsobnosťou zriadená MŽP SR podľa zákona o ochrane prírody a krajiny, vlastníci alebo užívatelia pozemkov v chránených územiach okrem fyzických osôb ktoré nie sú oprávnené na podnikanie.</w:t>
      </w:r>
    </w:p>
    <w:p w:rsidR="003F0BBD" w:rsidRPr="003F0BBD" w:rsidRDefault="003F0BBD" w:rsidP="003F0BBD">
      <w:pPr>
        <w:spacing w:after="120"/>
        <w:rPr>
          <w:rFonts w:ascii="Calibri" w:eastAsia="Calibri" w:hAnsi="Calibri"/>
          <w:b/>
          <w:szCs w:val="22"/>
          <w:lang w:eastAsia="en-US"/>
        </w:rPr>
      </w:pPr>
      <w:r w:rsidRPr="003F0BBD">
        <w:rPr>
          <w:rFonts w:ascii="Calibri" w:eastAsia="Calibri" w:hAnsi="Calibri"/>
          <w:b/>
          <w:szCs w:val="22"/>
          <w:lang w:eastAsia="en-US"/>
        </w:rPr>
        <w:t>PRV:</w:t>
      </w:r>
      <w:r w:rsidRPr="003F0BBD">
        <w:rPr>
          <w:rFonts w:ascii="Calibri" w:eastAsia="Calibri" w:hAnsi="Calibri"/>
          <w:szCs w:val="22"/>
          <w:lang w:eastAsia="en-US"/>
        </w:rPr>
        <w:t xml:space="preserve"> Podpora vo forme kompenzačných platieb na príslušné územia NATURA 2000. Oprávnenými žiadateľmi podpory sú poľnohospodárske subjekty a  obhospodarovatelia lesov a ich združenia s právnou subjektivitou. Doplnkovosť na úrovni činností a žiadateľa.</w:t>
      </w:r>
      <w:r w:rsidRPr="003F0BBD">
        <w:rPr>
          <w:rFonts w:ascii="Calibri" w:eastAsia="Calibri" w:hAnsi="Calibri"/>
          <w:b/>
          <w:szCs w:val="22"/>
          <w:lang w:eastAsia="en-US"/>
        </w:rPr>
        <w:t xml:space="preserve"> </w:t>
      </w:r>
    </w:p>
    <w:p w:rsidR="003F0BBD" w:rsidRPr="003F0BBD" w:rsidRDefault="003F0BBD" w:rsidP="003F0BBD">
      <w:pPr>
        <w:spacing w:after="120"/>
        <w:rPr>
          <w:rFonts w:ascii="Calibri" w:eastAsia="Calibri" w:hAnsi="Calibri"/>
          <w:szCs w:val="22"/>
          <w:lang w:eastAsia="en-US"/>
        </w:rPr>
      </w:pPr>
      <w:r w:rsidRPr="003F0BBD">
        <w:rPr>
          <w:rFonts w:ascii="Calibri" w:eastAsia="Calibri" w:hAnsi="Calibri"/>
          <w:b/>
          <w:szCs w:val="22"/>
          <w:lang w:eastAsia="en-US"/>
        </w:rPr>
        <w:t>P6 Investičná priorita IROP:</w:t>
      </w:r>
      <w:r w:rsidRPr="003F0BBD">
        <w:rPr>
          <w:rFonts w:ascii="Calibri" w:eastAsia="Calibri" w:hAnsi="Calibri"/>
          <w:szCs w:val="22"/>
          <w:lang w:eastAsia="en-US"/>
        </w:rPr>
        <w:t xml:space="preserve"> Zlepšenie mestského prostredia a zníženie miery znečistenia vzduchu. Doplnkovosť na úrovni žiadateľa.</w:t>
      </w:r>
    </w:p>
    <w:p w:rsidR="003F0BBD" w:rsidRPr="003F0BBD" w:rsidRDefault="003F0BBD" w:rsidP="003F0BBD">
      <w:pPr>
        <w:spacing w:after="120"/>
        <w:rPr>
          <w:rFonts w:ascii="Calibri" w:eastAsia="Calibri" w:hAnsi="Calibri"/>
          <w:szCs w:val="22"/>
          <w:lang w:eastAsia="en-US"/>
        </w:rPr>
      </w:pPr>
      <w:r w:rsidRPr="003F0BBD">
        <w:rPr>
          <w:rFonts w:ascii="Calibri" w:eastAsia="Calibri" w:hAnsi="Calibri"/>
          <w:b/>
          <w:szCs w:val="22"/>
          <w:lang w:eastAsia="en-US"/>
        </w:rPr>
        <w:t>Investičná priorita OP KŽP:</w:t>
      </w:r>
      <w:r w:rsidRPr="003F0BBD">
        <w:rPr>
          <w:rFonts w:ascii="Calibri" w:eastAsia="Calibri" w:hAnsi="Calibri"/>
          <w:szCs w:val="22"/>
          <w:lang w:eastAsia="en-US"/>
        </w:rPr>
        <w:t xml:space="preserve"> Investovanie do sektora odpadového hospodárstva s cieľom splniť požiadavky environmentálneho acquis Únie a pokryť potreby, ktoré členské štáty špecifikovali v súvislosti s investíciami nad rámec uvedených požiadaviek. Doplnkovosť na úrovni žiadateľa.</w:t>
      </w:r>
    </w:p>
    <w:p w:rsidR="003F0BBD" w:rsidRDefault="003F0BBD" w:rsidP="003F0BBD">
      <w:pPr>
        <w:spacing w:after="120"/>
        <w:rPr>
          <w:rFonts w:ascii="Calibri" w:eastAsia="Calibri" w:hAnsi="Calibri"/>
          <w:szCs w:val="22"/>
          <w:lang w:eastAsia="en-US"/>
        </w:rPr>
      </w:pPr>
      <w:r w:rsidRPr="003F0BBD">
        <w:rPr>
          <w:rFonts w:ascii="Calibri" w:eastAsia="Calibri" w:hAnsi="Calibri"/>
          <w:b/>
          <w:szCs w:val="22"/>
          <w:lang w:eastAsia="en-US"/>
        </w:rPr>
        <w:t>Investičná priorita OP KŽP:</w:t>
      </w:r>
      <w:r w:rsidRPr="003F0BBD">
        <w:rPr>
          <w:rFonts w:ascii="Calibri" w:eastAsia="Calibri" w:hAnsi="Calibri"/>
          <w:szCs w:val="22"/>
          <w:lang w:eastAsia="en-US"/>
        </w:rPr>
        <w:t xml:space="preserve"> Investičnú prioritu 4 Prioritnej osi 1: Prijatie opatrení na zlepšenie mestského prostredia, revitalizácie miest, oživenia a dekontaminácie opustených priemyselných areálov (vrátane oblastí, ktoré prechádzajú zmenou), zníženie miery znečistenia ovzdušia a podpory opatrení na zníženie hluku. Doplnkovosť na úrovni žiadateľa.</w:t>
      </w:r>
    </w:p>
    <w:p w:rsidR="003F0BBD" w:rsidRPr="003F0BBD" w:rsidRDefault="003F0BBD" w:rsidP="003F0BBD">
      <w:pPr>
        <w:spacing w:after="120"/>
        <w:rPr>
          <w:rFonts w:ascii="Calibri" w:eastAsia="Calibri" w:hAnsi="Calibri"/>
          <w:szCs w:val="22"/>
          <w:lang w:eastAsia="en-US"/>
        </w:rPr>
      </w:pPr>
    </w:p>
    <w:p w:rsidR="008676F9" w:rsidRPr="008676F9" w:rsidRDefault="008676F9" w:rsidP="008676F9">
      <w:pPr>
        <w:rPr>
          <w:rFonts w:ascii="Calibri" w:eastAsia="Calibri" w:hAnsi="Calibri"/>
          <w:b/>
          <w:szCs w:val="22"/>
          <w:lang w:eastAsia="en-US"/>
        </w:rPr>
      </w:pPr>
      <w:r w:rsidRPr="008676F9">
        <w:rPr>
          <w:rFonts w:ascii="Calibri" w:eastAsia="Calibri" w:hAnsi="Calibri"/>
          <w:b/>
          <w:szCs w:val="22"/>
          <w:lang w:eastAsia="en-US"/>
        </w:rPr>
        <w:t xml:space="preserve">TC 9: </w:t>
      </w:r>
    </w:p>
    <w:p w:rsidR="008676F9" w:rsidRDefault="008676F9" w:rsidP="008676F9">
      <w:pPr>
        <w:rPr>
          <w:rFonts w:ascii="Calibri" w:eastAsia="Calibri" w:hAnsi="Calibri"/>
          <w:szCs w:val="22"/>
          <w:lang w:eastAsia="en-US"/>
        </w:rPr>
      </w:pPr>
      <w:r w:rsidRPr="008676F9">
        <w:rPr>
          <w:rFonts w:ascii="Calibri" w:eastAsia="Calibri" w:hAnsi="Calibri"/>
          <w:b/>
          <w:szCs w:val="22"/>
          <w:lang w:eastAsia="en-US"/>
        </w:rPr>
        <w:t>P6 Investičná priorita IROP:</w:t>
      </w:r>
      <w:r w:rsidRPr="008676F9">
        <w:rPr>
          <w:rFonts w:ascii="Calibri" w:eastAsia="Calibri" w:hAnsi="Calibri"/>
          <w:szCs w:val="22"/>
          <w:lang w:eastAsia="en-US"/>
        </w:rPr>
        <w:t xml:space="preserve"> Zlepšenie kvality života v regiónoch s dôrazom na životné prostredie. Doplnkovosť na úrovni žiadateľa a oprávnených činností.</w:t>
      </w:r>
    </w:p>
    <w:p w:rsidR="003F0BBD" w:rsidRPr="008676F9" w:rsidRDefault="003F0BBD" w:rsidP="008676F9">
      <w:pPr>
        <w:rPr>
          <w:rFonts w:ascii="Calibri" w:eastAsia="Calibri" w:hAnsi="Calibri"/>
          <w:b/>
          <w:szCs w:val="22"/>
          <w:lang w:eastAsia="en-US"/>
        </w:rPr>
      </w:pPr>
    </w:p>
    <w:p w:rsidR="003F0BBD" w:rsidRPr="003F0BBD" w:rsidRDefault="003F0BBD" w:rsidP="003F0BBD">
      <w:pPr>
        <w:rPr>
          <w:rFonts w:ascii="Calibri" w:eastAsia="Calibri" w:hAnsi="Calibri"/>
          <w:szCs w:val="22"/>
          <w:lang w:eastAsia="en-US"/>
        </w:rPr>
      </w:pPr>
      <w:r w:rsidRPr="003F0BBD">
        <w:rPr>
          <w:rFonts w:ascii="Calibri" w:eastAsia="Calibri" w:hAnsi="Calibri"/>
          <w:b/>
          <w:szCs w:val="22"/>
          <w:lang w:eastAsia="en-US"/>
        </w:rPr>
        <w:t>OP ĽZ, prioritná os 5</w:t>
      </w:r>
      <w:r w:rsidRPr="003F0BBD">
        <w:rPr>
          <w:rFonts w:ascii="Calibri" w:eastAsia="Calibri" w:hAnsi="Calibri"/>
          <w:szCs w:val="22"/>
          <w:lang w:eastAsia="en-US"/>
        </w:rPr>
        <w:t xml:space="preserve"> – doplnkovosť v oblasti podpory obcí (vrátane prístupu CLLD )bude v prípade podobných investícií zabezpečená vzájomnou koordináciou a súčinnosťou medzi riadiacimi orgánmi a príslušným sprostredkovateľským orgánom. V prípade realizácie podobných investícií</w:t>
      </w:r>
      <w:r w:rsidRPr="003F0BBD">
        <w:rPr>
          <w:rFonts w:ascii="Calibri" w:eastAsia="Calibri" w:hAnsi="Calibri"/>
          <w:szCs w:val="22"/>
          <w:lang w:eastAsia="en-US"/>
        </w:rPr>
        <w:lastRenderedPageBreak/>
        <w:t xml:space="preserve"> prostredníctvom opatrenia základné služby a obnova dedín ako aj investícií realizovaných prostredníctvom MAS, bude doplnkovosť zabezpečená na úrovni projektu.</w:t>
      </w:r>
    </w:p>
    <w:p w:rsidR="003F0BBD" w:rsidRPr="003F0BBD" w:rsidRDefault="003F0BBD" w:rsidP="003F0BBD">
      <w:pPr>
        <w:rPr>
          <w:rFonts w:ascii="Calibri" w:eastAsia="Calibri" w:hAnsi="Calibri"/>
          <w:szCs w:val="22"/>
          <w:lang w:eastAsia="en-US"/>
        </w:rPr>
      </w:pPr>
    </w:p>
    <w:p w:rsidR="008676F9" w:rsidRDefault="003F0BBD" w:rsidP="003F0BBD">
      <w:pPr>
        <w:rPr>
          <w:rFonts w:ascii="Calibri" w:eastAsia="Calibri" w:hAnsi="Calibri"/>
          <w:szCs w:val="22"/>
          <w:lang w:eastAsia="en-US"/>
        </w:rPr>
      </w:pPr>
      <w:r w:rsidRPr="003F0BBD">
        <w:rPr>
          <w:rFonts w:ascii="Calibri" w:eastAsia="Calibri" w:hAnsi="Calibri"/>
          <w:b/>
          <w:szCs w:val="22"/>
          <w:lang w:eastAsia="en-US"/>
        </w:rPr>
        <w:t>OP ĽZ</w:t>
      </w:r>
      <w:r w:rsidRPr="003F0BBD">
        <w:rPr>
          <w:rFonts w:ascii="Calibri" w:eastAsia="Calibri" w:hAnsi="Calibri"/>
          <w:szCs w:val="22"/>
          <w:lang w:eastAsia="en-US"/>
        </w:rPr>
        <w:t xml:space="preserve"> – v rámci CLLD bude zabezpečená synergia, tým že v OP ĽZ budú medzi oprávnenými žiadateľmi miestne akčné skupiny ako aj žiadatelia z územia miestnych akčných skupín. PRV bude doplnkovo prispievať k sociálnej inklúzii marginalizovaných skupín obyvateľstva, vrátane marginalizovaných rómskych komunít prostredníctvom opatrenia LEADER a základné služby a obnova dedín na vidieku vrátane aplikovania sociálneho aspektu pri verejnom obstarávaní v rámci týchto opatrení.</w:t>
      </w:r>
    </w:p>
    <w:p w:rsidR="003F0BBD" w:rsidRPr="008676F9" w:rsidRDefault="003F0BBD" w:rsidP="003F0BBD">
      <w:pPr>
        <w:rPr>
          <w:rFonts w:ascii="Calibri" w:eastAsia="Calibri" w:hAnsi="Calibri"/>
          <w:szCs w:val="22"/>
          <w:lang w:eastAsia="en-US"/>
        </w:rPr>
      </w:pPr>
    </w:p>
    <w:p w:rsidR="008676F9" w:rsidRPr="008676F9" w:rsidRDefault="008676F9" w:rsidP="008676F9">
      <w:pPr>
        <w:rPr>
          <w:rFonts w:ascii="Calibri" w:eastAsia="Calibri" w:hAnsi="Calibri"/>
          <w:b/>
          <w:szCs w:val="22"/>
          <w:lang w:eastAsia="en-US"/>
        </w:rPr>
      </w:pPr>
      <w:r w:rsidRPr="008676F9">
        <w:rPr>
          <w:rFonts w:ascii="Calibri" w:eastAsia="Calibri" w:hAnsi="Calibri"/>
          <w:b/>
          <w:szCs w:val="22"/>
          <w:lang w:eastAsia="en-US"/>
        </w:rPr>
        <w:t>CLLD / LEADER</w:t>
      </w:r>
    </w:p>
    <w:p w:rsidR="008676F9" w:rsidRDefault="008676F9" w:rsidP="008676F9">
      <w:pPr>
        <w:rPr>
          <w:rFonts w:ascii="Calibri" w:eastAsia="Calibri" w:hAnsi="Calibri"/>
          <w:b/>
          <w:szCs w:val="22"/>
          <w:lang w:eastAsia="en-US"/>
        </w:rPr>
      </w:pPr>
      <w:r w:rsidRPr="008676F9">
        <w:rPr>
          <w:rFonts w:ascii="Calibri" w:eastAsia="Calibri" w:hAnsi="Calibri"/>
          <w:szCs w:val="22"/>
          <w:lang w:eastAsia="en-US"/>
        </w:rPr>
        <w:t>V rámci stratégii miestneho rozvoja bude dochádzať k synergii a doplnkovosti medzi fondmi EPFRV a EFRR. Miestna akčná skupina v rámci svojej stratégie zahrn</w:t>
      </w:r>
      <w:r w:rsidR="003F0BBD">
        <w:rPr>
          <w:rFonts w:ascii="Calibri" w:eastAsia="Calibri" w:hAnsi="Calibri"/>
          <w:szCs w:val="22"/>
          <w:lang w:eastAsia="en-US"/>
        </w:rPr>
        <w:t>ie</w:t>
      </w:r>
      <w:r w:rsidRPr="008676F9">
        <w:rPr>
          <w:rFonts w:ascii="Calibri" w:eastAsia="Calibri" w:hAnsi="Calibri"/>
          <w:szCs w:val="22"/>
          <w:lang w:eastAsia="en-US"/>
        </w:rPr>
        <w:t xml:space="preserve"> obidva fondy, pričom v rámci jednotlivých fondov bude na úrovni programov špecifikovaná oblasť zamerania daného fondu. Doplnkovosť a pridaná hodnota operácií implementovaných v rámci CLLD voči ostatným operáciám realizovaných z iných opatrení PRV a IROP bude zabezpečená na úrovni činností ako aj veľkosťou investícií realizovaných cez CLLD.</w:t>
      </w:r>
      <w:r w:rsidRPr="008676F9">
        <w:rPr>
          <w:rFonts w:ascii="Calibri" w:eastAsia="Calibri" w:hAnsi="Calibri"/>
          <w:b/>
          <w:szCs w:val="22"/>
          <w:lang w:eastAsia="en-US"/>
        </w:rPr>
        <w:t xml:space="preserve"> </w:t>
      </w:r>
    </w:p>
    <w:p w:rsidR="003F0BBD" w:rsidRDefault="003F0BBD" w:rsidP="008676F9">
      <w:pPr>
        <w:rPr>
          <w:rFonts w:ascii="Calibri" w:eastAsia="Calibri" w:hAnsi="Calibri"/>
          <w:b/>
          <w:szCs w:val="22"/>
          <w:lang w:eastAsia="en-US"/>
        </w:rPr>
      </w:pPr>
    </w:p>
    <w:p w:rsidR="003F0BBD" w:rsidRPr="003F0BBD" w:rsidRDefault="003F0BBD" w:rsidP="008676F9">
      <w:pPr>
        <w:rPr>
          <w:rFonts w:ascii="Calibri" w:eastAsia="Calibri" w:hAnsi="Calibri"/>
          <w:szCs w:val="22"/>
          <w:lang w:eastAsia="en-US"/>
        </w:rPr>
      </w:pPr>
      <w:r w:rsidRPr="003F0BBD">
        <w:rPr>
          <w:rFonts w:ascii="Calibri" w:eastAsia="Calibri" w:hAnsi="Calibri"/>
          <w:b/>
          <w:szCs w:val="22"/>
          <w:lang w:eastAsia="en-US"/>
        </w:rPr>
        <w:t>OP VaI</w:t>
      </w:r>
      <w:r w:rsidRPr="003F0BBD">
        <w:rPr>
          <w:rFonts w:ascii="Calibri" w:eastAsia="Calibri" w:hAnsi="Calibri"/>
          <w:szCs w:val="22"/>
          <w:lang w:eastAsia="en-US"/>
        </w:rPr>
        <w:t xml:space="preserve"> – prioritná os 3 posilnenie konkurencieschopnosti a rastu MSP, v prípade realizovania projektov miestnymi akčnými skupinami v rovnakej oblasti ako v OP VaI bude doplnkovosť v rámci nástroja CLLD zabezpečená na úrovni projektu, t.z. rovnaký projekt môže byť realizovaný len z jedného programu.</w:t>
      </w:r>
    </w:p>
    <w:p w:rsidR="008676F9" w:rsidRPr="008676F9" w:rsidRDefault="008676F9" w:rsidP="008676F9">
      <w:pPr>
        <w:rPr>
          <w:rFonts w:ascii="Calibri" w:eastAsia="Calibri" w:hAnsi="Calibri"/>
          <w:b/>
          <w:szCs w:val="22"/>
          <w:lang w:eastAsia="en-US"/>
        </w:rPr>
      </w:pPr>
    </w:p>
    <w:p w:rsidR="008676F9" w:rsidRPr="008676F9" w:rsidRDefault="008676F9" w:rsidP="006C75BE">
      <w:pPr>
        <w:spacing w:after="120"/>
        <w:rPr>
          <w:rFonts w:ascii="Calibri" w:eastAsia="Calibri" w:hAnsi="Calibri"/>
          <w:szCs w:val="22"/>
          <w:lang w:eastAsia="en-US"/>
        </w:rPr>
      </w:pPr>
      <w:r w:rsidRPr="008676F9">
        <w:rPr>
          <w:rFonts w:ascii="Calibri" w:eastAsia="Calibri" w:hAnsi="Calibri"/>
          <w:b/>
          <w:szCs w:val="22"/>
          <w:lang w:eastAsia="en-US"/>
        </w:rPr>
        <w:t xml:space="preserve">I. Pilier SPP – jSOT, </w:t>
      </w:r>
      <w:r w:rsidRPr="008676F9">
        <w:rPr>
          <w:rFonts w:ascii="Calibri" w:eastAsia="Calibri" w:hAnsi="Calibri"/>
          <w:szCs w:val="22"/>
          <w:lang w:eastAsia="en-US"/>
        </w:rPr>
        <w:t xml:space="preserve">Národný program stabilizácie a rozvoja slovenského včelárstva na roky 2013/2014 až 2015/2016. </w:t>
      </w:r>
      <w:r w:rsidRPr="008676F9">
        <w:rPr>
          <w:rFonts w:ascii="Calibri" w:eastAsia="Calibri" w:hAnsi="Calibri" w:cs="Arial"/>
          <w:szCs w:val="22"/>
          <w:lang w:eastAsia="en-US"/>
        </w:rPr>
        <w:t>Doplnkovosť na úrovni oprávnených činností.</w:t>
      </w:r>
    </w:p>
    <w:p w:rsidR="008676F9" w:rsidRPr="008676F9" w:rsidRDefault="008676F9" w:rsidP="006C75BE">
      <w:pPr>
        <w:spacing w:after="120"/>
        <w:rPr>
          <w:rFonts w:ascii="Calibri" w:eastAsia="Calibri" w:hAnsi="Calibri" w:cs="Arial"/>
          <w:szCs w:val="22"/>
          <w:lang w:eastAsia="en-US"/>
        </w:rPr>
      </w:pPr>
      <w:r w:rsidRPr="008676F9">
        <w:rPr>
          <w:rFonts w:ascii="Calibri" w:eastAsia="Calibri" w:hAnsi="Calibri"/>
          <w:b/>
          <w:szCs w:val="22"/>
          <w:lang w:eastAsia="en-US"/>
        </w:rPr>
        <w:t xml:space="preserve">I. Pilier SPP – jSOT, </w:t>
      </w:r>
      <w:r w:rsidRPr="008676F9">
        <w:rPr>
          <w:rFonts w:ascii="Calibri" w:eastAsia="Calibri" w:hAnsi="Calibri"/>
          <w:szCs w:val="22"/>
          <w:lang w:eastAsia="en-US"/>
        </w:rPr>
        <w:t xml:space="preserve">Národný podporný program pre víno. </w:t>
      </w:r>
      <w:r w:rsidRPr="008676F9">
        <w:rPr>
          <w:rFonts w:ascii="Calibri" w:eastAsia="Calibri" w:hAnsi="Calibri" w:cs="Arial"/>
          <w:szCs w:val="22"/>
          <w:lang w:eastAsia="en-US"/>
        </w:rPr>
        <w:t>Doplnkovosť na úrovni oprávnených činností.</w:t>
      </w:r>
    </w:p>
    <w:p w:rsidR="00BC4D3C" w:rsidRDefault="008676F9" w:rsidP="006C75BE">
      <w:pPr>
        <w:spacing w:after="120"/>
        <w:rPr>
          <w:rFonts w:ascii="Calibri" w:eastAsia="Calibri" w:hAnsi="Calibri"/>
          <w:iCs/>
          <w:szCs w:val="22"/>
        </w:rPr>
      </w:pPr>
      <w:r w:rsidRPr="008676F9">
        <w:rPr>
          <w:rFonts w:ascii="Calibri" w:eastAsia="Calibri" w:hAnsi="Calibri"/>
          <w:b/>
          <w:szCs w:val="22"/>
          <w:lang w:eastAsia="en-US"/>
        </w:rPr>
        <w:t>I. Pilier SPP –</w:t>
      </w:r>
      <w:r w:rsidRPr="008676F9">
        <w:rPr>
          <w:rFonts w:ascii="Calibri" w:eastAsia="Calibri" w:hAnsi="Calibri"/>
          <w:iCs/>
          <w:szCs w:val="22"/>
        </w:rPr>
        <w:t xml:space="preserve"> Podpora v rámci podopatrenia 6.1 dopĺňa/nadväzuje na podporu v rámci „schémy pre mladých farmárov“ I. piliera Spoločnej poľnohospodárskej politiky v oblasti priamych platieb, ktorej </w:t>
      </w:r>
    </w:p>
    <w:p w:rsidR="00BC4D3C" w:rsidRDefault="00BC4D3C" w:rsidP="006C75BE">
      <w:pPr>
        <w:spacing w:after="120"/>
        <w:rPr>
          <w:rFonts w:ascii="Calibri" w:eastAsia="Calibri" w:hAnsi="Calibri"/>
          <w:iCs/>
          <w:szCs w:val="22"/>
        </w:rPr>
      </w:pPr>
    </w:p>
    <w:p w:rsidR="008676F9" w:rsidRPr="008676F9" w:rsidRDefault="008676F9" w:rsidP="006C75BE">
      <w:pPr>
        <w:spacing w:after="120"/>
        <w:rPr>
          <w:rFonts w:ascii="Calibri" w:eastAsia="Calibri" w:hAnsi="Calibri" w:cs="Arial"/>
          <w:szCs w:val="22"/>
          <w:lang w:eastAsia="en-US"/>
        </w:rPr>
      </w:pPr>
      <w:r w:rsidRPr="008676F9">
        <w:rPr>
          <w:rFonts w:ascii="Calibri" w:eastAsia="Calibri" w:hAnsi="Calibri"/>
          <w:iCs/>
          <w:szCs w:val="22"/>
        </w:rPr>
        <w:t>cieľom je rovnako uľahčiť mladým poľnohospodárom zakladanie podnikov a to zvýšenou mierou základného príjmu farmára prostredníctvom poskytnutia ročnej platby navyše k základnej platbe, počas obdobia najviac 5 rokov, ktorá zmierňuje riziko problémov súvisiacich s podnikaním (v rámci podopatrenia 6.1 sa poskytuje podpora na podnikateľský plán na začatie podnikateľskej činnosti)“.</w:t>
      </w:r>
    </w:p>
    <w:p w:rsidR="008676F9" w:rsidRPr="008676F9" w:rsidRDefault="008676F9" w:rsidP="006C75BE">
      <w:pPr>
        <w:spacing w:after="120"/>
        <w:rPr>
          <w:rFonts w:ascii="Calibri" w:eastAsia="Calibri" w:hAnsi="Calibri"/>
          <w:b/>
          <w:szCs w:val="22"/>
          <w:u w:val="single"/>
          <w:lang w:eastAsia="en-US"/>
        </w:rPr>
      </w:pPr>
      <w:r w:rsidRPr="008676F9">
        <w:rPr>
          <w:rFonts w:ascii="Calibri" w:eastAsia="Calibri" w:hAnsi="Calibri"/>
          <w:b/>
          <w:szCs w:val="22"/>
          <w:lang w:eastAsia="en-US"/>
        </w:rPr>
        <w:t xml:space="preserve">I. Pilier SPP - </w:t>
      </w:r>
      <w:r w:rsidRPr="008676F9">
        <w:rPr>
          <w:rFonts w:ascii="Calibri" w:eastAsia="Calibri" w:hAnsi="Calibri"/>
          <w:szCs w:val="22"/>
          <w:lang w:eastAsia="en-US"/>
        </w:rPr>
        <w:t>Podpora v rámci plošných poľnohospodárskych opatrení PRV ide nad rámec krížového plnenia (opatrenia č. 10,11,13 a v prípade opatrenia č. 12 nad podmienky GAEC), poľnohospodárskych postupov prospešných pre klímu a životné prostredie (opatrenie č. 10, 11, 12), ako aj nad rámec minimálnych činností (opatrenie 10, 11, 12). Podpora sa poskytuje na poľnohospodársku pôdu registrovanú v LPIS. Príjemcom podpory je aktívny poľnohospodár. Doplnkovosť na úrovni činností a koherencia na úrovni žiadateľa.</w:t>
      </w:r>
    </w:p>
    <w:p w:rsidR="008676F9" w:rsidRDefault="008676F9" w:rsidP="008676F9">
      <w:pPr>
        <w:rPr>
          <w:rFonts w:ascii="Calibri" w:eastAsia="Calibri" w:hAnsi="Calibri"/>
          <w:szCs w:val="22"/>
          <w:lang w:eastAsia="en-US"/>
        </w:rPr>
      </w:pPr>
      <w:r w:rsidRPr="008676F9">
        <w:rPr>
          <w:rFonts w:ascii="Calibri" w:eastAsia="Calibri" w:hAnsi="Calibri"/>
          <w:szCs w:val="22"/>
          <w:lang w:eastAsia="en-US"/>
        </w:rPr>
        <w:t>Opatrenie č. 14 Dobré životné podmienky zvierat tvorí nadštandard nad bežnú prax, národnú legislatívu a ide nad rámec podmienok krížového plnenia. Platba sa poskytuje na DJ. Príjemcom podpory je aktívny poľnohospodár. Doplnkovosť na úrovni činností a koherencia na úrovni žiadateľa.</w:t>
      </w:r>
    </w:p>
    <w:p w:rsidR="008676F9" w:rsidRPr="008676F9" w:rsidRDefault="008676F9" w:rsidP="008676F9">
      <w:pPr>
        <w:rPr>
          <w:rFonts w:ascii="Calibri" w:eastAsia="Calibri" w:hAnsi="Calibri"/>
          <w:b/>
          <w:szCs w:val="22"/>
          <w:lang w:eastAsia="en-US"/>
        </w:rPr>
        <w:sectPr w:rsidR="008676F9" w:rsidRPr="008676F9" w:rsidSect="008676F9">
          <w:headerReference w:type="default" r:id="rId92"/>
          <w:footerReference w:type="default" r:id="rId93"/>
          <w:pgSz w:w="11906" w:h="16838"/>
          <w:pgMar w:top="992" w:right="1418" w:bottom="709" w:left="1418" w:header="708" w:footer="708" w:gutter="0"/>
          <w:cols w:space="708"/>
          <w:docGrid w:linePitch="360"/>
        </w:sectPr>
      </w:pPr>
    </w:p>
    <w:p w:rsidR="008676F9" w:rsidRDefault="008676F9" w:rsidP="00366F96">
      <w:pPr>
        <w:pStyle w:val="Hlavn"/>
      </w:pPr>
      <w:bookmarkStart w:id="155" w:name="_Toc387041354"/>
      <w:r w:rsidRPr="008676F9">
        <w:t>15.  USTANOVENIA O VYKONÁVANÍ PROGRAMU</w:t>
      </w:r>
      <w:bookmarkEnd w:id="155"/>
    </w:p>
    <w:p w:rsidR="00D95CA5" w:rsidRPr="008676F9" w:rsidRDefault="00D95CA5" w:rsidP="00366F96">
      <w:pPr>
        <w:pStyle w:val="Hlavn"/>
      </w:pPr>
    </w:p>
    <w:p w:rsidR="008676F9" w:rsidRPr="008676F9" w:rsidRDefault="00AA30CA" w:rsidP="00AA30CA">
      <w:pPr>
        <w:pStyle w:val="Pod"/>
        <w:rPr>
          <w:lang w:eastAsia="en-US"/>
        </w:rPr>
      </w:pPr>
      <w:bookmarkStart w:id="156" w:name="_Toc369609087"/>
      <w:bookmarkStart w:id="157" w:name="_Toc384111087"/>
      <w:bookmarkStart w:id="158" w:name="_Toc387041355"/>
      <w:r>
        <w:rPr>
          <w:lang w:eastAsia="en-US"/>
        </w:rPr>
        <w:t xml:space="preserve">15.1. </w:t>
      </w:r>
      <w:r w:rsidR="008676F9" w:rsidRPr="008676F9">
        <w:rPr>
          <w:lang w:eastAsia="en-US"/>
        </w:rPr>
        <w:t>Určenie všetkých orgánov a súhrnný opis štruktúry riadenia a kontroly</w:t>
      </w:r>
      <w:bookmarkEnd w:id="156"/>
      <w:bookmarkEnd w:id="157"/>
      <w:bookmarkEnd w:id="158"/>
      <w:r w:rsidR="008676F9" w:rsidRPr="008676F9">
        <w:rPr>
          <w:lang w:eastAsia="en-US"/>
        </w:rPr>
        <w:t xml:space="preserve"> </w:t>
      </w:r>
    </w:p>
    <w:tbl>
      <w:tblPr>
        <w:tblW w:w="1548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59"/>
        <w:gridCol w:w="2558"/>
        <w:gridCol w:w="2597"/>
        <w:gridCol w:w="2571"/>
        <w:gridCol w:w="2577"/>
        <w:gridCol w:w="3118"/>
      </w:tblGrid>
      <w:tr w:rsidR="008676F9" w:rsidRPr="008676F9" w:rsidTr="008676F9">
        <w:tc>
          <w:tcPr>
            <w:tcW w:w="2059" w:type="dxa"/>
            <w:tcBorders>
              <w:bottom w:val="single" w:sz="4" w:space="0" w:color="auto"/>
            </w:tcBorders>
            <w:shd w:val="clear" w:color="auto" w:fill="DAEEF3"/>
            <w:vAlign w:val="center"/>
          </w:tcPr>
          <w:p w:rsidR="008676F9" w:rsidRPr="008676F9" w:rsidRDefault="008676F9" w:rsidP="008676F9">
            <w:pPr>
              <w:tabs>
                <w:tab w:val="left" w:pos="1185"/>
              </w:tabs>
              <w:jc w:val="center"/>
              <w:rPr>
                <w:rFonts w:ascii="Calibri" w:hAnsi="Calibri"/>
                <w:sz w:val="20"/>
                <w:szCs w:val="20"/>
                <w:lang w:eastAsia="en-US"/>
              </w:rPr>
            </w:pPr>
            <w:r w:rsidRPr="008676F9">
              <w:rPr>
                <w:rFonts w:ascii="Calibri" w:hAnsi="Calibri"/>
                <w:sz w:val="20"/>
                <w:szCs w:val="20"/>
                <w:lang w:eastAsia="en-US"/>
              </w:rPr>
              <w:t>Typ inštitúcie</w:t>
            </w:r>
          </w:p>
        </w:tc>
        <w:tc>
          <w:tcPr>
            <w:tcW w:w="2558" w:type="dxa"/>
            <w:tcBorders>
              <w:bottom w:val="single" w:sz="4" w:space="0" w:color="auto"/>
            </w:tcBorders>
            <w:shd w:val="clear" w:color="auto" w:fill="DAEEF3"/>
            <w:vAlign w:val="center"/>
          </w:tcPr>
          <w:p w:rsidR="008676F9" w:rsidRPr="008676F9" w:rsidRDefault="008676F9" w:rsidP="008676F9">
            <w:pPr>
              <w:tabs>
                <w:tab w:val="left" w:pos="1185"/>
              </w:tabs>
              <w:jc w:val="center"/>
              <w:rPr>
                <w:rFonts w:ascii="Calibri" w:hAnsi="Calibri"/>
                <w:sz w:val="20"/>
                <w:szCs w:val="20"/>
                <w:lang w:eastAsia="en-US"/>
              </w:rPr>
            </w:pPr>
            <w:r w:rsidRPr="008676F9">
              <w:rPr>
                <w:rFonts w:ascii="Calibri" w:hAnsi="Calibri"/>
                <w:sz w:val="20"/>
                <w:szCs w:val="20"/>
                <w:lang w:eastAsia="en-US"/>
              </w:rPr>
              <w:t>Názov orgánu/subjektu a oddelenie alebo jednotka, kde je to relevantné</w:t>
            </w:r>
          </w:p>
        </w:tc>
        <w:tc>
          <w:tcPr>
            <w:tcW w:w="2597" w:type="dxa"/>
            <w:tcBorders>
              <w:bottom w:val="single" w:sz="4" w:space="0" w:color="auto"/>
            </w:tcBorders>
            <w:shd w:val="clear" w:color="auto" w:fill="DAEEF3"/>
            <w:vAlign w:val="bottom"/>
          </w:tcPr>
          <w:p w:rsidR="008676F9" w:rsidRPr="008676F9" w:rsidRDefault="008676F9" w:rsidP="00D95CA5">
            <w:pPr>
              <w:tabs>
                <w:tab w:val="left" w:pos="1185"/>
              </w:tabs>
              <w:spacing w:before="120"/>
              <w:jc w:val="left"/>
              <w:rPr>
                <w:rFonts w:ascii="Calibri" w:hAnsi="Calibri"/>
                <w:sz w:val="20"/>
                <w:szCs w:val="20"/>
                <w:lang w:eastAsia="en-US"/>
              </w:rPr>
            </w:pPr>
            <w:r w:rsidRPr="008676F9">
              <w:rPr>
                <w:rFonts w:ascii="Calibri" w:hAnsi="Calibri"/>
                <w:sz w:val="20"/>
                <w:szCs w:val="20"/>
                <w:lang w:eastAsia="en-US"/>
              </w:rPr>
              <w:t>Predstaviteľ inštitúcie  (pozícia/postavenie)</w:t>
            </w:r>
          </w:p>
          <w:p w:rsidR="008676F9" w:rsidRPr="008676F9" w:rsidRDefault="008676F9" w:rsidP="00D95CA5">
            <w:pPr>
              <w:tabs>
                <w:tab w:val="left" w:pos="1185"/>
              </w:tabs>
              <w:jc w:val="left"/>
              <w:rPr>
                <w:rFonts w:ascii="Calibri" w:hAnsi="Calibri"/>
                <w:sz w:val="20"/>
                <w:szCs w:val="20"/>
                <w:lang w:eastAsia="en-US"/>
              </w:rPr>
            </w:pPr>
          </w:p>
        </w:tc>
        <w:tc>
          <w:tcPr>
            <w:tcW w:w="2571" w:type="dxa"/>
            <w:tcBorders>
              <w:bottom w:val="single" w:sz="4" w:space="0" w:color="auto"/>
            </w:tcBorders>
            <w:shd w:val="clear" w:color="auto" w:fill="DAEEF3"/>
            <w:vAlign w:val="center"/>
          </w:tcPr>
          <w:p w:rsidR="008676F9" w:rsidRPr="008676F9" w:rsidRDefault="008676F9" w:rsidP="008676F9">
            <w:pPr>
              <w:tabs>
                <w:tab w:val="left" w:pos="1185"/>
              </w:tabs>
              <w:jc w:val="center"/>
              <w:rPr>
                <w:rFonts w:ascii="Calibri" w:hAnsi="Calibri"/>
                <w:sz w:val="20"/>
                <w:szCs w:val="20"/>
                <w:lang w:eastAsia="en-US"/>
              </w:rPr>
            </w:pPr>
            <w:r w:rsidRPr="008676F9">
              <w:rPr>
                <w:rFonts w:ascii="Calibri" w:hAnsi="Calibri"/>
                <w:sz w:val="20"/>
                <w:szCs w:val="20"/>
                <w:lang w:eastAsia="en-US"/>
              </w:rPr>
              <w:t>Adresa</w:t>
            </w:r>
          </w:p>
          <w:p w:rsidR="008676F9" w:rsidRPr="008676F9" w:rsidRDefault="008676F9" w:rsidP="008676F9">
            <w:pPr>
              <w:tabs>
                <w:tab w:val="left" w:pos="1185"/>
              </w:tabs>
              <w:jc w:val="center"/>
              <w:rPr>
                <w:rFonts w:ascii="Calibri" w:hAnsi="Calibri"/>
                <w:sz w:val="20"/>
                <w:szCs w:val="20"/>
                <w:lang w:eastAsia="en-US"/>
              </w:rPr>
            </w:pPr>
          </w:p>
        </w:tc>
        <w:tc>
          <w:tcPr>
            <w:tcW w:w="2577" w:type="dxa"/>
            <w:tcBorders>
              <w:bottom w:val="single" w:sz="4" w:space="0" w:color="auto"/>
            </w:tcBorders>
            <w:shd w:val="clear" w:color="auto" w:fill="DAEEF3"/>
            <w:vAlign w:val="center"/>
          </w:tcPr>
          <w:p w:rsidR="008676F9" w:rsidRPr="008676F9" w:rsidRDefault="008676F9" w:rsidP="008676F9">
            <w:pPr>
              <w:tabs>
                <w:tab w:val="left" w:pos="1185"/>
              </w:tabs>
              <w:jc w:val="center"/>
              <w:rPr>
                <w:rFonts w:ascii="Calibri" w:hAnsi="Calibri"/>
                <w:sz w:val="20"/>
                <w:szCs w:val="20"/>
                <w:lang w:eastAsia="en-US"/>
              </w:rPr>
            </w:pPr>
            <w:r w:rsidRPr="008676F9">
              <w:rPr>
                <w:rFonts w:ascii="Calibri" w:hAnsi="Calibri"/>
                <w:sz w:val="20"/>
                <w:szCs w:val="20"/>
                <w:lang w:eastAsia="en-US"/>
              </w:rPr>
              <w:t>Telefónne číslo</w:t>
            </w:r>
          </w:p>
          <w:p w:rsidR="008676F9" w:rsidRPr="008676F9" w:rsidRDefault="008676F9" w:rsidP="008676F9">
            <w:pPr>
              <w:tabs>
                <w:tab w:val="left" w:pos="1185"/>
              </w:tabs>
              <w:jc w:val="center"/>
              <w:rPr>
                <w:rFonts w:ascii="Calibri" w:hAnsi="Calibri"/>
                <w:sz w:val="20"/>
                <w:szCs w:val="20"/>
                <w:lang w:eastAsia="en-US"/>
              </w:rPr>
            </w:pPr>
          </w:p>
        </w:tc>
        <w:tc>
          <w:tcPr>
            <w:tcW w:w="3118" w:type="dxa"/>
            <w:tcBorders>
              <w:bottom w:val="single" w:sz="4" w:space="0" w:color="auto"/>
            </w:tcBorders>
            <w:shd w:val="clear" w:color="auto" w:fill="DAEEF3"/>
            <w:vAlign w:val="center"/>
          </w:tcPr>
          <w:p w:rsidR="008676F9" w:rsidRPr="008676F9" w:rsidRDefault="008676F9" w:rsidP="00BC4D3C">
            <w:pPr>
              <w:tabs>
                <w:tab w:val="left" w:pos="1185"/>
              </w:tabs>
              <w:jc w:val="center"/>
              <w:rPr>
                <w:rFonts w:ascii="Calibri" w:hAnsi="Calibri"/>
                <w:sz w:val="20"/>
                <w:szCs w:val="20"/>
                <w:lang w:eastAsia="en-US"/>
              </w:rPr>
            </w:pPr>
            <w:r w:rsidRPr="008676F9">
              <w:rPr>
                <w:rFonts w:ascii="Calibri" w:hAnsi="Calibri"/>
                <w:sz w:val="20"/>
                <w:szCs w:val="20"/>
                <w:lang w:eastAsia="en-US"/>
              </w:rPr>
              <w:t>E-mail</w:t>
            </w:r>
          </w:p>
          <w:p w:rsidR="008676F9" w:rsidRPr="008676F9" w:rsidRDefault="008676F9" w:rsidP="00BC4D3C">
            <w:pPr>
              <w:tabs>
                <w:tab w:val="left" w:pos="1185"/>
              </w:tabs>
              <w:jc w:val="center"/>
              <w:rPr>
                <w:rFonts w:ascii="Calibri" w:hAnsi="Calibri"/>
                <w:sz w:val="20"/>
                <w:szCs w:val="20"/>
                <w:lang w:eastAsia="en-US"/>
              </w:rPr>
            </w:pPr>
          </w:p>
        </w:tc>
      </w:tr>
      <w:tr w:rsidR="008676F9" w:rsidRPr="008676F9" w:rsidTr="00BB33FC">
        <w:trPr>
          <w:trHeight w:val="972"/>
        </w:trPr>
        <w:tc>
          <w:tcPr>
            <w:tcW w:w="2059" w:type="dxa"/>
            <w:vAlign w:val="center"/>
          </w:tcPr>
          <w:p w:rsidR="008676F9" w:rsidRPr="008676F9" w:rsidRDefault="008676F9" w:rsidP="008676F9">
            <w:pPr>
              <w:spacing w:before="120" w:after="120"/>
              <w:rPr>
                <w:rFonts w:ascii="Calibri" w:hAnsi="Calibri"/>
                <w:sz w:val="20"/>
                <w:szCs w:val="20"/>
                <w:lang w:eastAsia="en-US"/>
              </w:rPr>
            </w:pPr>
            <w:r w:rsidRPr="008676F9">
              <w:rPr>
                <w:rFonts w:ascii="Calibri" w:hAnsi="Calibri"/>
                <w:sz w:val="20"/>
                <w:szCs w:val="20"/>
                <w:lang w:eastAsia="en-US"/>
              </w:rPr>
              <w:t>Riadiaci organ</w:t>
            </w:r>
          </w:p>
        </w:tc>
        <w:tc>
          <w:tcPr>
            <w:tcW w:w="2558" w:type="dxa"/>
            <w:vAlign w:val="center"/>
          </w:tcPr>
          <w:p w:rsidR="008676F9" w:rsidRPr="008676F9" w:rsidRDefault="008676F9" w:rsidP="008676F9">
            <w:pPr>
              <w:spacing w:before="120" w:after="120"/>
              <w:rPr>
                <w:rFonts w:ascii="Calibri" w:hAnsi="Calibri"/>
                <w:b/>
                <w:sz w:val="20"/>
                <w:szCs w:val="20"/>
                <w:lang w:eastAsia="en-US"/>
              </w:rPr>
            </w:pPr>
            <w:r w:rsidRPr="008676F9">
              <w:rPr>
                <w:rFonts w:ascii="Calibri" w:hAnsi="Calibri"/>
                <w:b/>
                <w:sz w:val="20"/>
                <w:szCs w:val="20"/>
                <w:lang w:eastAsia="en-US"/>
              </w:rPr>
              <w:t>Ministerstvo pôdohospodárstva a rozvoja vidieka SR</w:t>
            </w:r>
          </w:p>
        </w:tc>
        <w:tc>
          <w:tcPr>
            <w:tcW w:w="2597" w:type="dxa"/>
            <w:vAlign w:val="center"/>
          </w:tcPr>
          <w:p w:rsidR="008676F9" w:rsidRPr="008676F9" w:rsidRDefault="008676F9" w:rsidP="00D95CA5">
            <w:pPr>
              <w:spacing w:before="120" w:after="120"/>
              <w:jc w:val="left"/>
              <w:rPr>
                <w:rFonts w:ascii="Calibri" w:hAnsi="Calibri"/>
                <w:b/>
                <w:sz w:val="20"/>
                <w:szCs w:val="20"/>
                <w:lang w:eastAsia="en-US"/>
              </w:rPr>
            </w:pPr>
            <w:r w:rsidRPr="008676F9">
              <w:rPr>
                <w:rFonts w:ascii="Calibri" w:hAnsi="Calibri"/>
                <w:b/>
                <w:sz w:val="20"/>
                <w:szCs w:val="20"/>
                <w:lang w:eastAsia="en-US"/>
              </w:rPr>
              <w:t>Ing. Martin Barbarič, generálny riaditeľ sekcie rozvoja vidieka</w:t>
            </w:r>
            <w:r w:rsidR="00AE213F">
              <w:rPr>
                <w:rFonts w:ascii="Calibri" w:hAnsi="Calibri"/>
                <w:b/>
                <w:sz w:val="20"/>
                <w:szCs w:val="20"/>
                <w:lang w:eastAsia="en-US"/>
              </w:rPr>
              <w:t xml:space="preserve"> a priamych platieb</w:t>
            </w:r>
          </w:p>
        </w:tc>
        <w:tc>
          <w:tcPr>
            <w:tcW w:w="2571" w:type="dxa"/>
            <w:vAlign w:val="center"/>
          </w:tcPr>
          <w:p w:rsidR="008676F9" w:rsidRPr="008676F9" w:rsidRDefault="008676F9" w:rsidP="008676F9">
            <w:pPr>
              <w:autoSpaceDE w:val="0"/>
              <w:autoSpaceDN w:val="0"/>
              <w:adjustRightInd w:val="0"/>
              <w:spacing w:line="276" w:lineRule="auto"/>
              <w:rPr>
                <w:rFonts w:ascii="Calibri" w:eastAsia="Calibri" w:hAnsi="Calibri"/>
                <w:sz w:val="20"/>
                <w:szCs w:val="20"/>
                <w:lang w:eastAsia="en-US"/>
              </w:rPr>
            </w:pPr>
            <w:r w:rsidRPr="008676F9">
              <w:rPr>
                <w:rFonts w:ascii="Calibri" w:eastAsia="Calibri" w:hAnsi="Calibri"/>
                <w:sz w:val="20"/>
                <w:szCs w:val="20"/>
                <w:lang w:eastAsia="en-US"/>
              </w:rPr>
              <w:t>Dobrovičova 12</w:t>
            </w:r>
          </w:p>
          <w:p w:rsidR="008676F9" w:rsidRPr="008676F9" w:rsidRDefault="008676F9" w:rsidP="008676F9">
            <w:pPr>
              <w:autoSpaceDE w:val="0"/>
              <w:autoSpaceDN w:val="0"/>
              <w:adjustRightInd w:val="0"/>
              <w:spacing w:line="276" w:lineRule="auto"/>
              <w:rPr>
                <w:rFonts w:ascii="Calibri" w:eastAsia="Calibri" w:hAnsi="Calibri"/>
                <w:sz w:val="20"/>
                <w:szCs w:val="20"/>
                <w:lang w:eastAsia="en-US"/>
              </w:rPr>
            </w:pPr>
            <w:r w:rsidRPr="008676F9">
              <w:rPr>
                <w:rFonts w:ascii="Calibri" w:eastAsia="Calibri" w:hAnsi="Calibri"/>
                <w:sz w:val="20"/>
                <w:szCs w:val="20"/>
                <w:lang w:eastAsia="en-US"/>
              </w:rPr>
              <w:t>812 66 Bratislava I</w:t>
            </w:r>
          </w:p>
        </w:tc>
        <w:tc>
          <w:tcPr>
            <w:tcW w:w="2577" w:type="dxa"/>
            <w:vAlign w:val="center"/>
          </w:tcPr>
          <w:p w:rsidR="008676F9" w:rsidRPr="008676F9" w:rsidRDefault="008676F9" w:rsidP="008676F9">
            <w:pPr>
              <w:spacing w:before="120" w:after="120"/>
              <w:rPr>
                <w:rFonts w:ascii="Calibri" w:eastAsia="Calibri" w:hAnsi="Calibri"/>
                <w:sz w:val="20"/>
                <w:szCs w:val="20"/>
                <w:lang w:eastAsia="en-US"/>
              </w:rPr>
            </w:pPr>
          </w:p>
          <w:p w:rsidR="008676F9" w:rsidRPr="008676F9" w:rsidRDefault="008676F9" w:rsidP="008676F9">
            <w:pPr>
              <w:spacing w:before="120" w:after="120"/>
              <w:rPr>
                <w:rFonts w:ascii="Calibri" w:hAnsi="Calibri"/>
                <w:b/>
                <w:sz w:val="20"/>
                <w:szCs w:val="20"/>
                <w:lang w:eastAsia="en-US"/>
              </w:rPr>
            </w:pPr>
            <w:r w:rsidRPr="008676F9">
              <w:rPr>
                <w:rFonts w:ascii="Calibri" w:eastAsia="Calibri" w:hAnsi="Calibri"/>
                <w:sz w:val="20"/>
                <w:szCs w:val="20"/>
                <w:lang w:eastAsia="en-US"/>
              </w:rPr>
              <w:t>+421 2 59266 275</w:t>
            </w:r>
          </w:p>
        </w:tc>
        <w:tc>
          <w:tcPr>
            <w:tcW w:w="3118" w:type="dxa"/>
            <w:tcBorders>
              <w:bottom w:val="single" w:sz="4" w:space="0" w:color="auto"/>
            </w:tcBorders>
            <w:vAlign w:val="center"/>
          </w:tcPr>
          <w:p w:rsidR="008676F9" w:rsidRPr="008676F9" w:rsidRDefault="008676F9" w:rsidP="00BC4D3C">
            <w:pPr>
              <w:spacing w:before="120" w:after="120"/>
              <w:jc w:val="center"/>
              <w:rPr>
                <w:rFonts w:ascii="Calibri" w:eastAsia="Calibri" w:hAnsi="Calibri"/>
                <w:sz w:val="20"/>
                <w:szCs w:val="20"/>
                <w:lang w:eastAsia="en-US"/>
              </w:rPr>
            </w:pPr>
          </w:p>
          <w:p w:rsidR="008676F9" w:rsidRPr="008676F9" w:rsidRDefault="008676F9" w:rsidP="00BC4D3C">
            <w:pPr>
              <w:spacing w:before="120" w:after="120"/>
              <w:jc w:val="center"/>
              <w:rPr>
                <w:rFonts w:ascii="Calibri" w:hAnsi="Calibri"/>
                <w:b/>
                <w:sz w:val="20"/>
                <w:szCs w:val="20"/>
                <w:lang w:eastAsia="en-US"/>
              </w:rPr>
            </w:pPr>
            <w:r w:rsidRPr="008676F9">
              <w:rPr>
                <w:rFonts w:ascii="Calibri" w:eastAsia="Calibri" w:hAnsi="Calibri"/>
                <w:sz w:val="20"/>
                <w:szCs w:val="20"/>
                <w:lang w:eastAsia="en-US"/>
              </w:rPr>
              <w:t>martin.barbaric@land.gov.sk</w:t>
            </w:r>
          </w:p>
        </w:tc>
      </w:tr>
      <w:tr w:rsidR="008676F9" w:rsidRPr="008676F9" w:rsidTr="00BB33FC">
        <w:trPr>
          <w:trHeight w:val="972"/>
        </w:trPr>
        <w:tc>
          <w:tcPr>
            <w:tcW w:w="2059" w:type="dxa"/>
            <w:tcBorders>
              <w:bottom w:val="single" w:sz="4" w:space="0" w:color="auto"/>
            </w:tcBorders>
            <w:vAlign w:val="center"/>
          </w:tcPr>
          <w:p w:rsidR="008676F9" w:rsidRPr="008676F9" w:rsidRDefault="008676F9" w:rsidP="008676F9">
            <w:pPr>
              <w:spacing w:before="120" w:after="120"/>
              <w:rPr>
                <w:rFonts w:ascii="Calibri" w:hAnsi="Calibri"/>
                <w:sz w:val="20"/>
                <w:szCs w:val="20"/>
                <w:lang w:eastAsia="en-US"/>
              </w:rPr>
            </w:pPr>
            <w:r w:rsidRPr="008676F9">
              <w:rPr>
                <w:rFonts w:ascii="Calibri" w:hAnsi="Calibri"/>
                <w:sz w:val="20"/>
                <w:szCs w:val="20"/>
                <w:lang w:eastAsia="en-US"/>
              </w:rPr>
              <w:t>Príslušný organ</w:t>
            </w:r>
          </w:p>
        </w:tc>
        <w:tc>
          <w:tcPr>
            <w:tcW w:w="2558" w:type="dxa"/>
            <w:tcBorders>
              <w:bottom w:val="single" w:sz="4" w:space="0" w:color="auto"/>
            </w:tcBorders>
            <w:vAlign w:val="center"/>
          </w:tcPr>
          <w:p w:rsidR="008676F9" w:rsidRPr="008676F9" w:rsidRDefault="008676F9" w:rsidP="008676F9">
            <w:pPr>
              <w:spacing w:before="120" w:after="120"/>
              <w:rPr>
                <w:rFonts w:ascii="Calibri" w:hAnsi="Calibri"/>
                <w:b/>
                <w:sz w:val="20"/>
                <w:szCs w:val="20"/>
                <w:lang w:eastAsia="en-US"/>
              </w:rPr>
            </w:pPr>
            <w:r w:rsidRPr="008676F9">
              <w:rPr>
                <w:rFonts w:ascii="Calibri" w:hAnsi="Calibri"/>
                <w:b/>
                <w:sz w:val="20"/>
                <w:szCs w:val="20"/>
                <w:lang w:eastAsia="en-US"/>
              </w:rPr>
              <w:t>Ministerstvo pôdohospodárstva a rozvoja vidieka SR</w:t>
            </w:r>
          </w:p>
        </w:tc>
        <w:tc>
          <w:tcPr>
            <w:tcW w:w="2597" w:type="dxa"/>
            <w:tcBorders>
              <w:bottom w:val="single" w:sz="4" w:space="0" w:color="auto"/>
            </w:tcBorders>
            <w:vAlign w:val="center"/>
          </w:tcPr>
          <w:p w:rsidR="008676F9" w:rsidRPr="008676F9" w:rsidRDefault="008676F9" w:rsidP="00D95CA5">
            <w:pPr>
              <w:spacing w:before="120" w:after="120"/>
              <w:jc w:val="left"/>
              <w:rPr>
                <w:rFonts w:ascii="Calibri" w:hAnsi="Calibri"/>
                <w:b/>
                <w:sz w:val="20"/>
                <w:szCs w:val="20"/>
                <w:lang w:eastAsia="en-US"/>
              </w:rPr>
            </w:pPr>
            <w:r w:rsidRPr="008676F9">
              <w:rPr>
                <w:rFonts w:ascii="Calibri" w:hAnsi="Calibri"/>
                <w:b/>
                <w:sz w:val="20"/>
                <w:szCs w:val="20"/>
                <w:lang w:eastAsia="en-US"/>
              </w:rPr>
              <w:t>Ing. Martin Barbarič, generálny riaditeľ sekcie rozvoja vidieka</w:t>
            </w:r>
            <w:r w:rsidR="00AE213F">
              <w:rPr>
                <w:rFonts w:ascii="Calibri" w:hAnsi="Calibri"/>
                <w:b/>
                <w:sz w:val="20"/>
                <w:szCs w:val="20"/>
                <w:lang w:eastAsia="en-US"/>
              </w:rPr>
              <w:t xml:space="preserve"> a priamych platieb</w:t>
            </w:r>
          </w:p>
        </w:tc>
        <w:tc>
          <w:tcPr>
            <w:tcW w:w="2571" w:type="dxa"/>
            <w:tcBorders>
              <w:bottom w:val="single" w:sz="4" w:space="0" w:color="auto"/>
            </w:tcBorders>
            <w:vAlign w:val="center"/>
          </w:tcPr>
          <w:p w:rsidR="008676F9" w:rsidRPr="008676F9" w:rsidRDefault="008676F9" w:rsidP="008676F9">
            <w:pPr>
              <w:autoSpaceDE w:val="0"/>
              <w:autoSpaceDN w:val="0"/>
              <w:adjustRightInd w:val="0"/>
              <w:spacing w:line="276" w:lineRule="auto"/>
              <w:rPr>
                <w:rFonts w:ascii="Calibri" w:eastAsia="Calibri" w:hAnsi="Calibri"/>
                <w:sz w:val="20"/>
                <w:szCs w:val="20"/>
                <w:lang w:eastAsia="en-US"/>
              </w:rPr>
            </w:pPr>
            <w:r w:rsidRPr="008676F9">
              <w:rPr>
                <w:rFonts w:ascii="Calibri" w:eastAsia="Calibri" w:hAnsi="Calibri"/>
                <w:sz w:val="20"/>
                <w:szCs w:val="20"/>
                <w:lang w:eastAsia="en-US"/>
              </w:rPr>
              <w:t>Dobrovičova 12</w:t>
            </w:r>
          </w:p>
          <w:p w:rsidR="008676F9" w:rsidRPr="008676F9" w:rsidRDefault="008676F9" w:rsidP="008676F9">
            <w:pPr>
              <w:autoSpaceDE w:val="0"/>
              <w:autoSpaceDN w:val="0"/>
              <w:adjustRightInd w:val="0"/>
              <w:spacing w:line="276" w:lineRule="auto"/>
              <w:rPr>
                <w:rFonts w:ascii="Calibri" w:eastAsia="Calibri" w:hAnsi="Calibri"/>
                <w:sz w:val="20"/>
                <w:szCs w:val="20"/>
                <w:lang w:eastAsia="en-US"/>
              </w:rPr>
            </w:pPr>
            <w:r w:rsidRPr="008676F9">
              <w:rPr>
                <w:rFonts w:ascii="Calibri" w:eastAsia="Calibri" w:hAnsi="Calibri"/>
                <w:sz w:val="20"/>
                <w:szCs w:val="20"/>
                <w:lang w:eastAsia="en-US"/>
              </w:rPr>
              <w:t>812 66 Bratislava I</w:t>
            </w:r>
          </w:p>
        </w:tc>
        <w:tc>
          <w:tcPr>
            <w:tcW w:w="2577" w:type="dxa"/>
            <w:tcBorders>
              <w:bottom w:val="single" w:sz="4" w:space="0" w:color="auto"/>
            </w:tcBorders>
            <w:vAlign w:val="center"/>
          </w:tcPr>
          <w:p w:rsidR="008676F9" w:rsidRPr="008676F9" w:rsidRDefault="008676F9" w:rsidP="008676F9">
            <w:pPr>
              <w:spacing w:before="120" w:after="120"/>
              <w:rPr>
                <w:rFonts w:ascii="Calibri" w:eastAsia="Calibri" w:hAnsi="Calibri"/>
                <w:sz w:val="20"/>
                <w:szCs w:val="20"/>
                <w:lang w:eastAsia="en-US"/>
              </w:rPr>
            </w:pPr>
          </w:p>
          <w:p w:rsidR="008676F9" w:rsidRPr="008676F9" w:rsidRDefault="008676F9" w:rsidP="008676F9">
            <w:pPr>
              <w:spacing w:before="120" w:after="120"/>
              <w:rPr>
                <w:rFonts w:ascii="Calibri" w:hAnsi="Calibri"/>
                <w:b/>
                <w:sz w:val="20"/>
                <w:szCs w:val="20"/>
                <w:lang w:eastAsia="en-US"/>
              </w:rPr>
            </w:pPr>
            <w:r w:rsidRPr="008676F9">
              <w:rPr>
                <w:rFonts w:ascii="Calibri" w:eastAsia="Calibri" w:hAnsi="Calibri"/>
                <w:sz w:val="20"/>
                <w:szCs w:val="20"/>
                <w:lang w:eastAsia="en-US"/>
              </w:rPr>
              <w:t>+421 2 59266 275</w:t>
            </w:r>
          </w:p>
        </w:tc>
        <w:tc>
          <w:tcPr>
            <w:tcW w:w="3118" w:type="dxa"/>
            <w:tcBorders>
              <w:bottom w:val="single" w:sz="4" w:space="0" w:color="auto"/>
            </w:tcBorders>
            <w:vAlign w:val="center"/>
          </w:tcPr>
          <w:p w:rsidR="008676F9" w:rsidRPr="008676F9" w:rsidRDefault="008676F9" w:rsidP="00BC4D3C">
            <w:pPr>
              <w:spacing w:before="120" w:after="120"/>
              <w:jc w:val="center"/>
              <w:rPr>
                <w:rFonts w:ascii="Calibri" w:eastAsia="Calibri" w:hAnsi="Calibri"/>
                <w:sz w:val="20"/>
                <w:szCs w:val="20"/>
                <w:lang w:eastAsia="en-US"/>
              </w:rPr>
            </w:pPr>
          </w:p>
          <w:p w:rsidR="008676F9" w:rsidRPr="008676F9" w:rsidRDefault="008676F9" w:rsidP="00BC4D3C">
            <w:pPr>
              <w:spacing w:before="120" w:after="120"/>
              <w:jc w:val="center"/>
              <w:rPr>
                <w:rFonts w:ascii="Calibri" w:hAnsi="Calibri"/>
                <w:b/>
                <w:sz w:val="20"/>
                <w:szCs w:val="20"/>
                <w:lang w:eastAsia="en-US"/>
              </w:rPr>
            </w:pPr>
            <w:r w:rsidRPr="008676F9">
              <w:rPr>
                <w:rFonts w:ascii="Calibri" w:eastAsia="Calibri" w:hAnsi="Calibri"/>
                <w:sz w:val="20"/>
                <w:szCs w:val="20"/>
                <w:lang w:eastAsia="en-US"/>
              </w:rPr>
              <w:t>martin.barbaric@land.gov.sk</w:t>
            </w:r>
          </w:p>
        </w:tc>
      </w:tr>
      <w:tr w:rsidR="008676F9" w:rsidRPr="008676F9" w:rsidTr="00BB33FC">
        <w:trPr>
          <w:trHeight w:val="972"/>
        </w:trPr>
        <w:tc>
          <w:tcPr>
            <w:tcW w:w="2059" w:type="dxa"/>
            <w:tcBorders>
              <w:bottom w:val="single" w:sz="4" w:space="0" w:color="auto"/>
            </w:tcBorders>
            <w:vAlign w:val="center"/>
          </w:tcPr>
          <w:p w:rsidR="008676F9" w:rsidRPr="008676F9" w:rsidRDefault="008676F9" w:rsidP="008676F9">
            <w:pPr>
              <w:spacing w:before="120" w:after="120"/>
              <w:rPr>
                <w:rFonts w:ascii="Calibri" w:hAnsi="Calibri"/>
                <w:sz w:val="20"/>
                <w:szCs w:val="20"/>
                <w:lang w:eastAsia="en-US"/>
              </w:rPr>
            </w:pPr>
            <w:r w:rsidRPr="008676F9">
              <w:rPr>
                <w:rFonts w:ascii="Calibri" w:hAnsi="Calibri"/>
                <w:sz w:val="20"/>
                <w:szCs w:val="20"/>
                <w:lang w:eastAsia="en-US"/>
              </w:rPr>
              <w:t>Platobná agentúra</w:t>
            </w:r>
          </w:p>
        </w:tc>
        <w:tc>
          <w:tcPr>
            <w:tcW w:w="2558" w:type="dxa"/>
            <w:tcBorders>
              <w:bottom w:val="single" w:sz="4" w:space="0" w:color="auto"/>
            </w:tcBorders>
            <w:vAlign w:val="center"/>
          </w:tcPr>
          <w:p w:rsidR="008676F9" w:rsidRPr="008676F9" w:rsidRDefault="008676F9" w:rsidP="008676F9">
            <w:pPr>
              <w:spacing w:before="120" w:after="120"/>
              <w:rPr>
                <w:rFonts w:ascii="Calibri" w:hAnsi="Calibri"/>
                <w:b/>
                <w:sz w:val="20"/>
                <w:szCs w:val="20"/>
                <w:lang w:eastAsia="en-US"/>
              </w:rPr>
            </w:pPr>
            <w:r w:rsidRPr="008676F9">
              <w:rPr>
                <w:rFonts w:ascii="Calibri" w:hAnsi="Calibri"/>
                <w:b/>
                <w:sz w:val="20"/>
                <w:szCs w:val="20"/>
                <w:lang w:eastAsia="en-US"/>
              </w:rPr>
              <w:t>Pôdohospodárska platobná agentúra</w:t>
            </w:r>
          </w:p>
        </w:tc>
        <w:tc>
          <w:tcPr>
            <w:tcW w:w="2597" w:type="dxa"/>
            <w:tcBorders>
              <w:bottom w:val="single" w:sz="4" w:space="0" w:color="auto"/>
            </w:tcBorders>
            <w:vAlign w:val="center"/>
          </w:tcPr>
          <w:p w:rsidR="008676F9" w:rsidRPr="008676F9" w:rsidRDefault="008676F9" w:rsidP="00D95CA5">
            <w:pPr>
              <w:spacing w:before="120" w:after="120"/>
              <w:jc w:val="left"/>
              <w:rPr>
                <w:rFonts w:ascii="Calibri" w:hAnsi="Calibri"/>
                <w:b/>
                <w:sz w:val="20"/>
                <w:szCs w:val="20"/>
                <w:lang w:eastAsia="en-US"/>
              </w:rPr>
            </w:pPr>
            <w:r w:rsidRPr="008676F9">
              <w:rPr>
                <w:rFonts w:ascii="Calibri" w:hAnsi="Calibri"/>
                <w:b/>
                <w:sz w:val="20"/>
                <w:szCs w:val="20"/>
                <w:lang w:eastAsia="en-US"/>
              </w:rPr>
              <w:t>Ing. Stanislav Grobár, generálny riaditeľ PPA</w:t>
            </w:r>
          </w:p>
        </w:tc>
        <w:tc>
          <w:tcPr>
            <w:tcW w:w="2571" w:type="dxa"/>
            <w:tcBorders>
              <w:bottom w:val="single" w:sz="4" w:space="0" w:color="auto"/>
            </w:tcBorders>
            <w:vAlign w:val="center"/>
          </w:tcPr>
          <w:p w:rsidR="008676F9" w:rsidRPr="008676F9" w:rsidRDefault="008676F9" w:rsidP="008676F9">
            <w:pPr>
              <w:autoSpaceDE w:val="0"/>
              <w:autoSpaceDN w:val="0"/>
              <w:adjustRightInd w:val="0"/>
              <w:spacing w:line="276" w:lineRule="auto"/>
              <w:rPr>
                <w:rFonts w:ascii="Calibri" w:eastAsia="Calibri" w:hAnsi="Calibri"/>
                <w:sz w:val="20"/>
                <w:szCs w:val="20"/>
                <w:lang w:eastAsia="en-US"/>
              </w:rPr>
            </w:pPr>
            <w:r w:rsidRPr="008676F9">
              <w:rPr>
                <w:rFonts w:ascii="Calibri" w:eastAsia="Calibri" w:hAnsi="Calibri"/>
                <w:sz w:val="20"/>
                <w:szCs w:val="20"/>
                <w:lang w:eastAsia="en-US"/>
              </w:rPr>
              <w:t>Dobrovičova 10</w:t>
            </w:r>
          </w:p>
          <w:p w:rsidR="008676F9" w:rsidRPr="008676F9" w:rsidRDefault="008676F9" w:rsidP="008676F9">
            <w:pPr>
              <w:autoSpaceDE w:val="0"/>
              <w:autoSpaceDN w:val="0"/>
              <w:adjustRightInd w:val="0"/>
              <w:spacing w:line="276" w:lineRule="auto"/>
              <w:rPr>
                <w:rFonts w:ascii="Calibri" w:eastAsia="Calibri" w:hAnsi="Calibri"/>
                <w:sz w:val="20"/>
                <w:szCs w:val="20"/>
                <w:lang w:eastAsia="en-US"/>
              </w:rPr>
            </w:pPr>
            <w:r w:rsidRPr="008676F9">
              <w:rPr>
                <w:rFonts w:ascii="Calibri" w:eastAsia="Calibri" w:hAnsi="Calibri"/>
                <w:sz w:val="20"/>
                <w:szCs w:val="20"/>
                <w:lang w:eastAsia="en-US"/>
              </w:rPr>
              <w:t>812 66 Bratislava I</w:t>
            </w:r>
          </w:p>
        </w:tc>
        <w:tc>
          <w:tcPr>
            <w:tcW w:w="2577" w:type="dxa"/>
            <w:tcBorders>
              <w:bottom w:val="single" w:sz="4" w:space="0" w:color="auto"/>
            </w:tcBorders>
            <w:vAlign w:val="center"/>
          </w:tcPr>
          <w:p w:rsidR="008676F9" w:rsidRPr="008676F9" w:rsidRDefault="008676F9" w:rsidP="008676F9">
            <w:pPr>
              <w:spacing w:before="120" w:after="120"/>
              <w:rPr>
                <w:rFonts w:ascii="Calibri" w:hAnsi="Calibri"/>
                <w:b/>
                <w:sz w:val="20"/>
                <w:szCs w:val="20"/>
                <w:lang w:eastAsia="en-US"/>
              </w:rPr>
            </w:pPr>
            <w:r w:rsidRPr="008676F9">
              <w:rPr>
                <w:rFonts w:ascii="Calibri" w:eastAsia="Calibri" w:hAnsi="Calibri"/>
                <w:sz w:val="20"/>
                <w:szCs w:val="20"/>
                <w:lang w:eastAsia="en-US"/>
              </w:rPr>
              <w:t>+421 2 5751 2400</w:t>
            </w:r>
          </w:p>
        </w:tc>
        <w:tc>
          <w:tcPr>
            <w:tcW w:w="3118" w:type="dxa"/>
            <w:tcBorders>
              <w:bottom w:val="single" w:sz="4" w:space="0" w:color="auto"/>
            </w:tcBorders>
            <w:vAlign w:val="center"/>
          </w:tcPr>
          <w:p w:rsidR="008676F9" w:rsidRPr="008676F9" w:rsidRDefault="008676F9" w:rsidP="00BC4D3C">
            <w:pPr>
              <w:spacing w:before="120" w:after="120"/>
              <w:jc w:val="center"/>
              <w:rPr>
                <w:rFonts w:ascii="Calibri" w:hAnsi="Calibri"/>
                <w:b/>
                <w:sz w:val="20"/>
                <w:szCs w:val="20"/>
                <w:lang w:eastAsia="en-US"/>
              </w:rPr>
            </w:pPr>
            <w:r w:rsidRPr="008676F9">
              <w:rPr>
                <w:rFonts w:ascii="Calibri" w:eastAsia="Calibri" w:hAnsi="Calibri"/>
                <w:sz w:val="20"/>
                <w:szCs w:val="20"/>
                <w:lang w:eastAsia="en-US"/>
              </w:rPr>
              <w:t>stanislav.grobar@apa.sk</w:t>
            </w:r>
          </w:p>
        </w:tc>
      </w:tr>
      <w:tr w:rsidR="008676F9" w:rsidRPr="008676F9" w:rsidTr="00BB33FC">
        <w:trPr>
          <w:trHeight w:val="973"/>
        </w:trPr>
        <w:tc>
          <w:tcPr>
            <w:tcW w:w="2059" w:type="dxa"/>
            <w:tcBorders>
              <w:bottom w:val="single" w:sz="4" w:space="0" w:color="auto"/>
            </w:tcBorders>
            <w:vAlign w:val="center"/>
          </w:tcPr>
          <w:p w:rsidR="008676F9" w:rsidRPr="008676F9" w:rsidRDefault="008676F9" w:rsidP="008676F9">
            <w:pPr>
              <w:spacing w:before="120" w:after="120"/>
              <w:rPr>
                <w:rFonts w:ascii="Calibri" w:hAnsi="Calibri"/>
                <w:sz w:val="20"/>
                <w:szCs w:val="20"/>
                <w:lang w:eastAsia="en-US"/>
              </w:rPr>
            </w:pPr>
            <w:r w:rsidRPr="008676F9">
              <w:rPr>
                <w:rFonts w:ascii="Calibri" w:hAnsi="Calibri"/>
                <w:sz w:val="20"/>
                <w:szCs w:val="20"/>
                <w:lang w:eastAsia="en-US"/>
              </w:rPr>
              <w:t>Certifikačný orgán</w:t>
            </w:r>
          </w:p>
        </w:tc>
        <w:tc>
          <w:tcPr>
            <w:tcW w:w="2558" w:type="dxa"/>
            <w:tcBorders>
              <w:bottom w:val="single" w:sz="4" w:space="0" w:color="auto"/>
            </w:tcBorders>
            <w:vAlign w:val="center"/>
          </w:tcPr>
          <w:p w:rsidR="008676F9" w:rsidRPr="008676F9" w:rsidRDefault="008676F9" w:rsidP="00AB1B16">
            <w:pPr>
              <w:spacing w:before="120" w:after="120"/>
              <w:rPr>
                <w:rFonts w:ascii="Calibri" w:hAnsi="Calibri"/>
                <w:b/>
                <w:sz w:val="20"/>
                <w:szCs w:val="20"/>
                <w:lang w:eastAsia="en-US"/>
              </w:rPr>
            </w:pPr>
            <w:r w:rsidRPr="008676F9">
              <w:rPr>
                <w:rFonts w:ascii="Calibri" w:hAnsi="Calibri"/>
                <w:b/>
                <w:sz w:val="20"/>
                <w:szCs w:val="20"/>
                <w:lang w:eastAsia="en-US"/>
              </w:rPr>
              <w:t>Súkromný audítorský orgán podľa čl. 9 nariadenia (EÚ) č. 1306/2013 vybraný podľa zákona č. 25/2006 Z.z. o verejnom obstarávaní.</w:t>
            </w:r>
          </w:p>
        </w:tc>
        <w:tc>
          <w:tcPr>
            <w:tcW w:w="2597" w:type="dxa"/>
            <w:tcBorders>
              <w:bottom w:val="single" w:sz="4" w:space="0" w:color="auto"/>
            </w:tcBorders>
            <w:vAlign w:val="center"/>
          </w:tcPr>
          <w:p w:rsidR="008676F9" w:rsidRPr="008676F9" w:rsidRDefault="008676F9" w:rsidP="00D95CA5">
            <w:pPr>
              <w:spacing w:before="120" w:after="120"/>
              <w:jc w:val="left"/>
              <w:rPr>
                <w:rFonts w:ascii="Calibri" w:hAnsi="Calibri"/>
                <w:b/>
                <w:sz w:val="20"/>
                <w:szCs w:val="20"/>
                <w:lang w:eastAsia="en-US"/>
              </w:rPr>
            </w:pPr>
            <w:r w:rsidRPr="008676F9">
              <w:rPr>
                <w:rFonts w:ascii="Calibri" w:hAnsi="Calibri"/>
                <w:b/>
                <w:sz w:val="20"/>
                <w:szCs w:val="20"/>
                <w:lang w:eastAsia="en-US"/>
              </w:rPr>
              <w:t>-</w:t>
            </w:r>
          </w:p>
        </w:tc>
        <w:tc>
          <w:tcPr>
            <w:tcW w:w="2571" w:type="dxa"/>
            <w:tcBorders>
              <w:bottom w:val="single" w:sz="4" w:space="0" w:color="auto"/>
            </w:tcBorders>
            <w:vAlign w:val="center"/>
          </w:tcPr>
          <w:p w:rsidR="008676F9" w:rsidRPr="008676F9" w:rsidRDefault="008676F9" w:rsidP="008676F9">
            <w:pPr>
              <w:spacing w:before="120" w:after="120"/>
              <w:rPr>
                <w:rFonts w:ascii="Calibri" w:hAnsi="Calibri"/>
                <w:b/>
                <w:sz w:val="20"/>
                <w:szCs w:val="20"/>
                <w:lang w:eastAsia="en-US"/>
              </w:rPr>
            </w:pPr>
            <w:r w:rsidRPr="008676F9">
              <w:rPr>
                <w:rFonts w:ascii="Calibri" w:hAnsi="Calibri"/>
                <w:b/>
                <w:sz w:val="20"/>
                <w:szCs w:val="20"/>
                <w:lang w:eastAsia="en-US"/>
              </w:rPr>
              <w:t>-</w:t>
            </w:r>
          </w:p>
        </w:tc>
        <w:tc>
          <w:tcPr>
            <w:tcW w:w="2577" w:type="dxa"/>
            <w:tcBorders>
              <w:bottom w:val="single" w:sz="4" w:space="0" w:color="auto"/>
            </w:tcBorders>
            <w:vAlign w:val="center"/>
          </w:tcPr>
          <w:p w:rsidR="008676F9" w:rsidRPr="008676F9" w:rsidRDefault="008676F9" w:rsidP="008676F9">
            <w:pPr>
              <w:spacing w:before="120" w:after="120"/>
              <w:rPr>
                <w:rFonts w:ascii="Calibri" w:hAnsi="Calibri"/>
                <w:b/>
                <w:sz w:val="20"/>
                <w:szCs w:val="20"/>
                <w:lang w:eastAsia="en-US"/>
              </w:rPr>
            </w:pPr>
            <w:r w:rsidRPr="008676F9">
              <w:rPr>
                <w:rFonts w:ascii="Calibri" w:hAnsi="Calibri"/>
                <w:b/>
                <w:sz w:val="20"/>
                <w:szCs w:val="20"/>
                <w:lang w:eastAsia="en-US"/>
              </w:rPr>
              <w:t>-</w:t>
            </w:r>
          </w:p>
        </w:tc>
        <w:tc>
          <w:tcPr>
            <w:tcW w:w="3118" w:type="dxa"/>
            <w:tcBorders>
              <w:bottom w:val="single" w:sz="4" w:space="0" w:color="auto"/>
            </w:tcBorders>
            <w:vAlign w:val="center"/>
          </w:tcPr>
          <w:p w:rsidR="008676F9" w:rsidRPr="008676F9" w:rsidRDefault="008676F9" w:rsidP="00BC4D3C">
            <w:pPr>
              <w:spacing w:before="120" w:after="120"/>
              <w:jc w:val="center"/>
              <w:rPr>
                <w:rFonts w:ascii="Calibri" w:hAnsi="Calibri"/>
                <w:b/>
                <w:sz w:val="20"/>
                <w:szCs w:val="20"/>
                <w:lang w:eastAsia="en-US"/>
              </w:rPr>
            </w:pPr>
            <w:r w:rsidRPr="008676F9">
              <w:rPr>
                <w:rFonts w:ascii="Calibri" w:hAnsi="Calibri"/>
                <w:b/>
                <w:sz w:val="20"/>
                <w:szCs w:val="20"/>
                <w:lang w:eastAsia="en-US"/>
              </w:rPr>
              <w:t>-</w:t>
            </w:r>
          </w:p>
        </w:tc>
      </w:tr>
    </w:tbl>
    <w:p w:rsidR="008676F9" w:rsidRPr="008676F9" w:rsidRDefault="008676F9" w:rsidP="008676F9">
      <w:pPr>
        <w:spacing w:after="200" w:line="276" w:lineRule="auto"/>
        <w:rPr>
          <w:rFonts w:ascii="Calibri" w:eastAsia="Calibri" w:hAnsi="Calibri"/>
          <w:szCs w:val="22"/>
          <w:lang w:eastAsia="en-US"/>
        </w:rPr>
      </w:pPr>
    </w:p>
    <w:p w:rsidR="008676F9" w:rsidRPr="008676F9" w:rsidRDefault="008676F9" w:rsidP="008676F9">
      <w:pPr>
        <w:spacing w:after="200" w:line="276" w:lineRule="auto"/>
        <w:rPr>
          <w:rFonts w:ascii="Calibri" w:eastAsia="Calibri" w:hAnsi="Calibri"/>
          <w:szCs w:val="22"/>
          <w:lang w:eastAsia="en-US"/>
        </w:rPr>
        <w:sectPr w:rsidR="008676F9" w:rsidRPr="008676F9" w:rsidSect="008676F9">
          <w:pgSz w:w="16838" w:h="11906" w:orient="landscape"/>
          <w:pgMar w:top="1418" w:right="992" w:bottom="1418" w:left="709" w:header="708" w:footer="708" w:gutter="0"/>
          <w:cols w:space="708"/>
          <w:docGrid w:linePitch="360"/>
        </w:sectPr>
      </w:pPr>
    </w:p>
    <w:p w:rsidR="00D95CA5" w:rsidRDefault="00D95CA5" w:rsidP="00AA30CA">
      <w:pPr>
        <w:pStyle w:val="Podpod"/>
      </w:pPr>
      <w:bookmarkStart w:id="159" w:name="_Toc384111088"/>
    </w:p>
    <w:p w:rsidR="008676F9" w:rsidRPr="008676F9" w:rsidRDefault="008676F9" w:rsidP="00D95CA5">
      <w:pPr>
        <w:pStyle w:val="Podpod"/>
        <w:ind w:left="709" w:hanging="709"/>
      </w:pPr>
      <w:bookmarkStart w:id="160" w:name="_Toc387041356"/>
      <w:r w:rsidRPr="008676F9">
        <w:t>15.1.2. Opis štruktúry riadenia a kontroly podľa čl. 48(3)(i</w:t>
      </w:r>
      <w:r w:rsidRPr="00860DD7">
        <w:t>)</w:t>
      </w:r>
      <w:r w:rsidRPr="008676F9">
        <w:t xml:space="preserve"> a čl. 63(2) nariadenia (EÚ) 1303/2013 o všeobecných ustanoveniach EŠIF</w:t>
      </w:r>
      <w:bookmarkEnd w:id="159"/>
      <w:bookmarkEnd w:id="160"/>
      <w:r w:rsidRPr="008676F9">
        <w:t xml:space="preserve"> </w:t>
      </w:r>
    </w:p>
    <w:p w:rsidR="00D95CA5" w:rsidRDefault="00D95CA5" w:rsidP="00AA30CA">
      <w:pPr>
        <w:pStyle w:val="Podpodpod"/>
      </w:pPr>
      <w:bookmarkStart w:id="161" w:name="_Toc369609090"/>
      <w:bookmarkStart w:id="162" w:name="_Toc384111089"/>
    </w:p>
    <w:p w:rsidR="008676F9" w:rsidRPr="008676F9" w:rsidRDefault="008676F9" w:rsidP="00AA30CA">
      <w:pPr>
        <w:pStyle w:val="Podpodpod"/>
      </w:pPr>
      <w:bookmarkStart w:id="163" w:name="_Toc387041357"/>
      <w:r w:rsidRPr="008676F9">
        <w:t>15.1.2.1. Celkový opis</w:t>
      </w:r>
      <w:bookmarkEnd w:id="161"/>
      <w:bookmarkEnd w:id="162"/>
      <w:bookmarkEnd w:id="163"/>
    </w:p>
    <w:p w:rsidR="0095287E" w:rsidRPr="0040691A" w:rsidRDefault="0095287E" w:rsidP="0095287E">
      <w:pPr>
        <w:tabs>
          <w:tab w:val="left" w:pos="2302"/>
        </w:tabs>
        <w:rPr>
          <w:szCs w:val="22"/>
          <w:u w:val="single"/>
          <w:lang w:eastAsia="en-US"/>
        </w:rPr>
      </w:pPr>
      <w:r w:rsidRPr="0040691A">
        <w:rPr>
          <w:szCs w:val="22"/>
          <w:u w:val="single"/>
          <w:lang w:eastAsia="en-US"/>
        </w:rPr>
        <w:t>Riadenie programu:</w:t>
      </w:r>
    </w:p>
    <w:p w:rsidR="0095287E" w:rsidRPr="0040691A" w:rsidRDefault="0095287E" w:rsidP="0095287E">
      <w:pPr>
        <w:rPr>
          <w:rFonts w:eastAsia="Calibri"/>
          <w:szCs w:val="22"/>
          <w:lang w:eastAsia="en-US"/>
        </w:rPr>
      </w:pPr>
      <w:r w:rsidRPr="0040691A">
        <w:rPr>
          <w:szCs w:val="22"/>
          <w:lang w:eastAsia="en-US"/>
        </w:rPr>
        <w:t>Riadenie programu zabezpečuje riadiaci orgán, ktorým je MPRV SR, konkrétne sekcia rozvoja vidieka a priamych platieb prostredníctvom jej dvoch odborov</w:t>
      </w:r>
      <w:r>
        <w:rPr>
          <w:szCs w:val="22"/>
          <w:lang w:eastAsia="en-US"/>
        </w:rPr>
        <w:t>,</w:t>
      </w:r>
      <w:r w:rsidRPr="0040691A">
        <w:rPr>
          <w:szCs w:val="22"/>
          <w:lang w:eastAsia="en-US"/>
        </w:rPr>
        <w:t xml:space="preserve"> a to odboru rozvoja vidieka a LEADER a odboru environmentálnych činností. </w:t>
      </w:r>
    </w:p>
    <w:p w:rsidR="0095287E" w:rsidRPr="0040691A" w:rsidRDefault="0095287E" w:rsidP="0095287E">
      <w:pPr>
        <w:rPr>
          <w:rFonts w:eastAsia="Calibri"/>
          <w:szCs w:val="22"/>
          <w:lang w:eastAsia="en-US"/>
        </w:rPr>
      </w:pPr>
      <w:r>
        <w:rPr>
          <w:rFonts w:eastAsia="Calibri"/>
          <w:szCs w:val="22"/>
          <w:lang w:eastAsia="en-US"/>
        </w:rPr>
        <w:t xml:space="preserve">Riadiaci orgán je </w:t>
      </w:r>
      <w:r w:rsidRPr="0040691A">
        <w:rPr>
          <w:rFonts w:eastAsia="Calibri"/>
          <w:szCs w:val="22"/>
          <w:lang w:eastAsia="en-US"/>
        </w:rPr>
        <w:t xml:space="preserve">zodpovedný za účinné, efektívne a správne riadenie a vykonávanie programu </w:t>
      </w:r>
      <w:r>
        <w:rPr>
          <w:rFonts w:eastAsia="Calibri"/>
          <w:szCs w:val="22"/>
          <w:lang w:eastAsia="en-US"/>
        </w:rPr>
        <w:t>a to predovšetkým v medziach stanovených</w:t>
      </w:r>
      <w:r w:rsidRPr="0040691A">
        <w:rPr>
          <w:rFonts w:eastAsia="Calibri"/>
          <w:szCs w:val="22"/>
          <w:lang w:eastAsia="en-US"/>
        </w:rPr>
        <w:t xml:space="preserve"> čl. 66 nariadenia (EÚ) č. 1305/2013</w:t>
      </w:r>
      <w:r>
        <w:rPr>
          <w:rFonts w:eastAsia="Calibri"/>
          <w:szCs w:val="22"/>
          <w:lang w:eastAsia="en-US"/>
        </w:rPr>
        <w:t>.</w:t>
      </w:r>
      <w:r w:rsidRPr="0040691A">
        <w:rPr>
          <w:rFonts w:eastAsia="Calibri"/>
          <w:szCs w:val="22"/>
          <w:lang w:eastAsia="en-US"/>
        </w:rPr>
        <w:t xml:space="preserve"> </w:t>
      </w:r>
      <w:r>
        <w:rPr>
          <w:rFonts w:eastAsia="Calibri"/>
          <w:szCs w:val="22"/>
          <w:lang w:eastAsia="en-US"/>
        </w:rPr>
        <w:t xml:space="preserve"> </w:t>
      </w:r>
    </w:p>
    <w:p w:rsidR="0095287E" w:rsidRPr="0040691A" w:rsidRDefault="0095287E" w:rsidP="0095287E">
      <w:pPr>
        <w:rPr>
          <w:rFonts w:eastAsia="Calibri"/>
          <w:szCs w:val="22"/>
          <w:lang w:eastAsia="en-US"/>
        </w:rPr>
      </w:pPr>
    </w:p>
    <w:p w:rsidR="0095287E" w:rsidRPr="0040691A" w:rsidRDefault="0095287E" w:rsidP="0095287E">
      <w:pPr>
        <w:tabs>
          <w:tab w:val="left" w:pos="2302"/>
        </w:tabs>
        <w:rPr>
          <w:szCs w:val="22"/>
          <w:u w:val="single"/>
          <w:lang w:eastAsia="en-US"/>
        </w:rPr>
      </w:pPr>
      <w:r w:rsidRPr="0040691A">
        <w:rPr>
          <w:u w:val="single"/>
        </w:rPr>
        <w:t>Pôdohospodárska platobná agentúra</w:t>
      </w:r>
    </w:p>
    <w:p w:rsidR="0095287E" w:rsidRPr="0040691A" w:rsidRDefault="0095287E" w:rsidP="0095287E">
      <w:pPr>
        <w:tabs>
          <w:tab w:val="left" w:pos="2302"/>
        </w:tabs>
        <w:rPr>
          <w:szCs w:val="22"/>
          <w:lang w:eastAsia="en-US"/>
        </w:rPr>
      </w:pPr>
      <w:r w:rsidRPr="0040691A">
        <w:rPr>
          <w:szCs w:val="22"/>
          <w:lang w:eastAsia="en-US"/>
        </w:rPr>
        <w:t xml:space="preserve">Úlohy platobnej agentúry bude plniť PPA. </w:t>
      </w:r>
      <w:r w:rsidRPr="0040691A">
        <w:rPr>
          <w:rFonts w:eastAsia="Calibri"/>
          <w:szCs w:val="22"/>
          <w:lang w:eastAsia="en-US"/>
        </w:rPr>
        <w:t xml:space="preserve">PPA zriadená podľa doterajších zákonov je platobnou agentúrou podľa zákona č. 543/2007 Z. z. o pôsobnosti orgánov štátnej správy pri poskytovaní podpory v pôdohospodárstve a rozvoji vidieka. </w:t>
      </w:r>
    </w:p>
    <w:p w:rsidR="0095287E" w:rsidRPr="0040691A" w:rsidRDefault="0095287E" w:rsidP="0095287E">
      <w:pPr>
        <w:widowControl w:val="0"/>
        <w:autoSpaceDE w:val="0"/>
        <w:autoSpaceDN w:val="0"/>
        <w:adjustRightInd w:val="0"/>
        <w:spacing w:after="120"/>
        <w:rPr>
          <w:color w:val="1D1E24"/>
          <w:szCs w:val="22"/>
          <w:lang w:val="en-US"/>
        </w:rPr>
      </w:pPr>
      <w:r w:rsidRPr="0040691A">
        <w:rPr>
          <w:rFonts w:eastAsia="Calibri"/>
          <w:szCs w:val="22"/>
          <w:lang w:eastAsia="en-US"/>
        </w:rPr>
        <w:t>Podľa článku 7 nariadenia (EÚ) č. 1306/2013 je platobná agentúra zodpovedná za riadenie a kontrolu výdavkov EPFRV a kontrolu oprávnenosti výdavkov z EPFRV.</w:t>
      </w:r>
      <w:r w:rsidRPr="0040691A">
        <w:rPr>
          <w:color w:val="1D1E24"/>
          <w:szCs w:val="22"/>
          <w:lang w:val="en-US"/>
        </w:rPr>
        <w:t xml:space="preserve"> </w:t>
      </w:r>
    </w:p>
    <w:p w:rsidR="0095287E" w:rsidRPr="0095287E" w:rsidRDefault="0095287E" w:rsidP="0095287E">
      <w:pPr>
        <w:widowControl w:val="0"/>
        <w:autoSpaceDE w:val="0"/>
        <w:autoSpaceDN w:val="0"/>
        <w:adjustRightInd w:val="0"/>
        <w:spacing w:after="120"/>
        <w:rPr>
          <w:szCs w:val="22"/>
        </w:rPr>
      </w:pPr>
      <w:r w:rsidRPr="00BB1965">
        <w:rPr>
          <w:color w:val="1D1E24"/>
          <w:szCs w:val="22"/>
        </w:rPr>
        <w:t xml:space="preserve">V rámci PRV </w:t>
      </w:r>
      <w:r>
        <w:rPr>
          <w:color w:val="1D1E24"/>
          <w:szCs w:val="22"/>
        </w:rPr>
        <w:t xml:space="preserve">SR </w:t>
      </w:r>
      <w:r w:rsidRPr="00BB1965">
        <w:rPr>
          <w:color w:val="1D1E24"/>
          <w:szCs w:val="22"/>
        </w:rPr>
        <w:t xml:space="preserve">2007-2013 PPA v zmysle nariadenia Komisie (ES) č. 885/2006 PPA časť svojich činností delegovala formou uzatvorenia dohôd o delegovaní činnosti na externé inštitúcie – </w:t>
      </w:r>
      <w:r>
        <w:rPr>
          <w:color w:val="1D1E24"/>
          <w:szCs w:val="22"/>
        </w:rPr>
        <w:t>Ú</w:t>
      </w:r>
      <w:r w:rsidRPr="00BB1965">
        <w:rPr>
          <w:color w:val="1D1E24"/>
          <w:szCs w:val="22"/>
        </w:rPr>
        <w:t>KS</w:t>
      </w:r>
      <w:r>
        <w:rPr>
          <w:color w:val="1D1E24"/>
          <w:szCs w:val="22"/>
        </w:rPr>
        <w:t>Ú</w:t>
      </w:r>
      <w:r w:rsidRPr="00BB1965">
        <w:rPr>
          <w:color w:val="1D1E24"/>
          <w:szCs w:val="22"/>
        </w:rPr>
        <w:t xml:space="preserve">P – </w:t>
      </w:r>
      <w:r w:rsidRPr="0095287E">
        <w:rPr>
          <w:szCs w:val="22"/>
        </w:rPr>
        <w:t>zabezpečenie kontroly v rámci agroenvironmentálnych platieb, ŠVPS v rámci kontroly plnenia podmienok opatrenia Životné podmienky zvierat  a na V</w:t>
      </w:r>
      <w:r>
        <w:rPr>
          <w:szCs w:val="22"/>
        </w:rPr>
        <w:t>Ú</w:t>
      </w:r>
      <w:r w:rsidRPr="0095287E">
        <w:rPr>
          <w:szCs w:val="22"/>
        </w:rPr>
        <w:t xml:space="preserve">POP v rámci kontroly oprávnenosti poberania dotácií prostredníctvom diaľkového prieskumu zeme, aktualizácie a údržby registra pôdy (LPIS), spracovania kontrol na mieste a prípravy grafických podkladov pre platby. </w:t>
      </w:r>
    </w:p>
    <w:p w:rsidR="0095287E" w:rsidRPr="0095287E" w:rsidRDefault="0095287E" w:rsidP="0095287E">
      <w:pPr>
        <w:widowControl w:val="0"/>
        <w:autoSpaceDE w:val="0"/>
        <w:autoSpaceDN w:val="0"/>
        <w:adjustRightInd w:val="0"/>
        <w:spacing w:after="120"/>
        <w:rPr>
          <w:szCs w:val="22"/>
        </w:rPr>
      </w:pPr>
      <w:r w:rsidRPr="0095287E">
        <w:rPr>
          <w:szCs w:val="22"/>
        </w:rPr>
        <w:t xml:space="preserve">V rámci PRV </w:t>
      </w:r>
      <w:r>
        <w:rPr>
          <w:szCs w:val="22"/>
        </w:rPr>
        <w:t xml:space="preserve">SR </w:t>
      </w:r>
      <w:r w:rsidRPr="0095287E">
        <w:rPr>
          <w:szCs w:val="22"/>
        </w:rPr>
        <w:t>2014-2020 PPA predpokladá zabezpečovanie všetkých kontrol na mieste vlastnými kontrolórmi. Delegovanie činností by sa realizovalo len na V</w:t>
      </w:r>
      <w:r>
        <w:rPr>
          <w:szCs w:val="22"/>
        </w:rPr>
        <w:t>Ú</w:t>
      </w:r>
      <w:r w:rsidRPr="0095287E">
        <w:rPr>
          <w:szCs w:val="22"/>
        </w:rPr>
        <w:t xml:space="preserve">POP na zabezpečenie rovnakých aktivít a činností  ako v PRV </w:t>
      </w:r>
      <w:r>
        <w:rPr>
          <w:szCs w:val="22"/>
        </w:rPr>
        <w:t xml:space="preserve">SR </w:t>
      </w:r>
      <w:r w:rsidRPr="0095287E">
        <w:rPr>
          <w:szCs w:val="22"/>
        </w:rPr>
        <w:t>2007</w:t>
      </w:r>
      <w:r>
        <w:rPr>
          <w:szCs w:val="22"/>
        </w:rPr>
        <w:t>-</w:t>
      </w:r>
      <w:r w:rsidRPr="0095287E">
        <w:rPr>
          <w:szCs w:val="22"/>
        </w:rPr>
        <w:t xml:space="preserve">2013. </w:t>
      </w:r>
    </w:p>
    <w:p w:rsidR="0095287E" w:rsidRPr="0095287E" w:rsidRDefault="0095287E" w:rsidP="0095287E">
      <w:pPr>
        <w:spacing w:after="120"/>
        <w:rPr>
          <w:szCs w:val="22"/>
        </w:rPr>
      </w:pPr>
      <w:r w:rsidRPr="0095287E">
        <w:rPr>
          <w:rFonts w:cs="Tahoma"/>
          <w:szCs w:val="22"/>
        </w:rPr>
        <w:t>S ÚKSÚP-om a ŠVPS SR bude PPA úzko spolupracova</w:t>
      </w:r>
      <w:r w:rsidRPr="0095287E">
        <w:rPr>
          <w:szCs w:val="22"/>
        </w:rPr>
        <w:t>ť</w:t>
      </w:r>
      <w:r w:rsidRPr="0095287E">
        <w:rPr>
          <w:rFonts w:cs="Tahoma"/>
          <w:szCs w:val="22"/>
        </w:rPr>
        <w:t xml:space="preserve"> pri vzájomnej výmene informácií, predovšetkým v oblasti oznamovania zistení pri výkonoch KNM u žiadate</w:t>
      </w:r>
      <w:r w:rsidRPr="0095287E">
        <w:rPr>
          <w:szCs w:val="22"/>
        </w:rPr>
        <w:t>ľ</w:t>
      </w:r>
      <w:r w:rsidRPr="0095287E">
        <w:rPr>
          <w:rFonts w:cs="Tahoma"/>
          <w:szCs w:val="22"/>
        </w:rPr>
        <w:t>ov o podporu nachádzajúcich sa v zoznamoch žiadate</w:t>
      </w:r>
      <w:r w:rsidRPr="0095287E">
        <w:rPr>
          <w:szCs w:val="22"/>
        </w:rPr>
        <w:t>ľ</w:t>
      </w:r>
      <w:r w:rsidRPr="0095287E">
        <w:rPr>
          <w:rFonts w:cs="Tahoma"/>
          <w:szCs w:val="22"/>
        </w:rPr>
        <w:t>ov na PPA, ktoré tieto dve odborné inštitúcie vykonávajú na základe vlastných originálnych kompetencií.</w:t>
      </w:r>
    </w:p>
    <w:p w:rsidR="0095287E" w:rsidRPr="0095287E" w:rsidRDefault="0095287E" w:rsidP="0095287E">
      <w:pPr>
        <w:rPr>
          <w:rFonts w:eastAsia="Calibri"/>
          <w:szCs w:val="22"/>
          <w:lang w:eastAsia="en-US"/>
        </w:rPr>
      </w:pPr>
      <w:r w:rsidRPr="0095287E">
        <w:rPr>
          <w:rFonts w:eastAsia="Calibri"/>
          <w:szCs w:val="22"/>
          <w:lang w:eastAsia="en-US"/>
        </w:rPr>
        <w:t xml:space="preserve">Na implementácii PRV </w:t>
      </w:r>
      <w:r>
        <w:rPr>
          <w:rFonts w:eastAsia="Calibri"/>
          <w:szCs w:val="22"/>
          <w:lang w:eastAsia="en-US"/>
        </w:rPr>
        <w:t xml:space="preserve">SR </w:t>
      </w:r>
      <w:r w:rsidRPr="0095287E">
        <w:rPr>
          <w:rFonts w:eastAsia="Calibri"/>
          <w:szCs w:val="22"/>
          <w:lang w:eastAsia="en-US"/>
        </w:rPr>
        <w:t xml:space="preserve">2014-2020  sa budú priamo podieľať  zamestnanci sekcie projektových podpôr a štátnej pomoci, sekcie priamych podpôr, sekcie financovania a sekcie kontroly. Sprostredkovane aj zamestnanci ostatných útvarov PPA.  Na presné stanovenie požadovaných administratívnych kapacít a nastavenie procesov vzhľadom k novému PRV </w:t>
      </w:r>
      <w:r>
        <w:rPr>
          <w:rFonts w:eastAsia="Calibri"/>
          <w:szCs w:val="22"/>
          <w:lang w:eastAsia="en-US"/>
        </w:rPr>
        <w:t xml:space="preserve">SR </w:t>
      </w:r>
      <w:r w:rsidRPr="0095287E">
        <w:rPr>
          <w:rFonts w:eastAsia="Calibri"/>
          <w:szCs w:val="22"/>
          <w:lang w:eastAsia="en-US"/>
        </w:rPr>
        <w:t>2014-2020 bude vykonaný audit administratívnych kapacít.</w:t>
      </w:r>
    </w:p>
    <w:p w:rsidR="00AE213F" w:rsidRDefault="00AE213F" w:rsidP="008676F9">
      <w:pPr>
        <w:tabs>
          <w:tab w:val="left" w:pos="2302"/>
        </w:tabs>
        <w:rPr>
          <w:rFonts w:ascii="Calibri" w:hAnsi="Calibri"/>
          <w:szCs w:val="22"/>
          <w:u w:val="single"/>
          <w:lang w:eastAsia="en-US"/>
        </w:rPr>
      </w:pPr>
    </w:p>
    <w:p w:rsidR="008676F9" w:rsidRPr="008676F9" w:rsidRDefault="008676F9" w:rsidP="008676F9">
      <w:pPr>
        <w:tabs>
          <w:tab w:val="left" w:pos="2302"/>
        </w:tabs>
        <w:rPr>
          <w:rFonts w:ascii="Calibri" w:hAnsi="Calibri"/>
          <w:szCs w:val="22"/>
          <w:u w:val="single"/>
          <w:lang w:eastAsia="en-US"/>
        </w:rPr>
      </w:pPr>
      <w:r w:rsidRPr="008676F9">
        <w:rPr>
          <w:rFonts w:ascii="Calibri" w:hAnsi="Calibri"/>
          <w:szCs w:val="22"/>
          <w:u w:val="single"/>
          <w:lang w:eastAsia="en-US"/>
        </w:rPr>
        <w:t>Riadenie finančných tokov:</w:t>
      </w:r>
    </w:p>
    <w:p w:rsidR="008676F9" w:rsidRPr="008676F9" w:rsidRDefault="008676F9" w:rsidP="008676F9">
      <w:pPr>
        <w:tabs>
          <w:tab w:val="left" w:pos="2302"/>
        </w:tabs>
        <w:spacing w:after="120"/>
        <w:rPr>
          <w:rFonts w:ascii="Calibri" w:eastAsia="Calibri" w:hAnsi="Calibri"/>
          <w:szCs w:val="22"/>
          <w:lang w:eastAsia="en-US"/>
        </w:rPr>
      </w:pPr>
      <w:r w:rsidRPr="008676F9">
        <w:rPr>
          <w:rFonts w:ascii="Calibri" w:hAnsi="Calibri"/>
          <w:szCs w:val="22"/>
          <w:lang w:eastAsia="en-US"/>
        </w:rPr>
        <w:t xml:space="preserve">Nastavenie finančných tokov na úrovni platieb z Európskej komisie a platieb pre konečných prijímateľov bude uskutočňované v súlade s príslušnou legislatívou EÚ a SR, ktorú tvorí najmä nariadenie (EÚ) </w:t>
      </w:r>
      <w:r w:rsidRPr="008676F9">
        <w:rPr>
          <w:rFonts w:ascii="Calibri" w:eastAsia="Calibri" w:hAnsi="Calibri"/>
          <w:szCs w:val="22"/>
          <w:lang w:eastAsia="en-US"/>
        </w:rPr>
        <w:t xml:space="preserve">č. 1306/2013 </w:t>
      </w:r>
      <w:r w:rsidRPr="008676F9">
        <w:rPr>
          <w:rFonts w:ascii="Calibri" w:eastAsia="Calibri" w:hAnsi="Calibri"/>
          <w:i/>
          <w:szCs w:val="22"/>
          <w:lang w:eastAsia="en-US"/>
        </w:rPr>
        <w:t>o financovaní, riadení a monitorovaní spoločnej poľnohospodárskej politiky</w:t>
      </w:r>
      <w:r w:rsidRPr="008676F9">
        <w:rPr>
          <w:rFonts w:ascii="Calibri" w:eastAsia="Calibri" w:hAnsi="Calibri"/>
          <w:szCs w:val="22"/>
          <w:lang w:eastAsia="en-US"/>
        </w:rPr>
        <w:t xml:space="preserve"> a nariadenie (EÚ) č. 1305/2013 </w:t>
      </w:r>
      <w:r w:rsidRPr="008676F9">
        <w:rPr>
          <w:rFonts w:ascii="Calibri" w:eastAsia="Calibri" w:hAnsi="Calibri"/>
          <w:i/>
          <w:szCs w:val="22"/>
          <w:lang w:eastAsia="en-US"/>
        </w:rPr>
        <w:t>o podpore rozvoja vidieka z EPFRV</w:t>
      </w:r>
      <w:r w:rsidRPr="008676F9">
        <w:rPr>
          <w:rFonts w:ascii="Calibri" w:eastAsia="Calibri" w:hAnsi="Calibri"/>
          <w:szCs w:val="22"/>
          <w:lang w:eastAsia="en-US"/>
        </w:rPr>
        <w:t xml:space="preserve"> a z pohľadu legislatívy SR ide najmä o zákon č. 523/2004 Z. z. </w:t>
      </w:r>
      <w:r w:rsidRPr="008676F9">
        <w:rPr>
          <w:rFonts w:ascii="Calibri" w:eastAsia="Calibri" w:hAnsi="Calibri"/>
          <w:i/>
          <w:szCs w:val="22"/>
          <w:lang w:eastAsia="en-US"/>
        </w:rPr>
        <w:t xml:space="preserve">o rozpočtových pravidlách verejnej správy </w:t>
      </w:r>
      <w:r w:rsidRPr="008676F9">
        <w:rPr>
          <w:rFonts w:ascii="Calibri" w:eastAsia="Calibri" w:hAnsi="Calibri"/>
          <w:szCs w:val="22"/>
          <w:lang w:eastAsia="en-US"/>
        </w:rPr>
        <w:t xml:space="preserve">a zákon č. 543/2007 Z. z. </w:t>
      </w:r>
      <w:r w:rsidRPr="008676F9">
        <w:rPr>
          <w:rFonts w:ascii="Calibri" w:eastAsia="Calibri" w:hAnsi="Calibri"/>
          <w:i/>
          <w:szCs w:val="22"/>
          <w:lang w:eastAsia="en-US"/>
        </w:rPr>
        <w:t>o pôsobnosti orgánov štátnej správy pri poskytovaní podpory v pôdohospodárstve a rozvoji vidieka</w:t>
      </w:r>
      <w:r w:rsidR="00A33901">
        <w:rPr>
          <w:rFonts w:ascii="Calibri" w:eastAsia="Calibri" w:hAnsi="Calibri"/>
          <w:i/>
          <w:szCs w:val="22"/>
          <w:lang w:eastAsia="en-US"/>
        </w:rPr>
        <w:t xml:space="preserve"> </w:t>
      </w:r>
      <w:r w:rsidR="00A33901" w:rsidRPr="00A33901">
        <w:rPr>
          <w:rFonts w:ascii="Calibri" w:eastAsia="Calibri" w:hAnsi="Calibri"/>
          <w:szCs w:val="22"/>
          <w:lang w:eastAsia="en-US"/>
        </w:rPr>
        <w:t>a pripravovaný zákon o podpore z EŠIF</w:t>
      </w:r>
      <w:r w:rsidRPr="008676F9">
        <w:rPr>
          <w:rFonts w:ascii="Calibri" w:eastAsia="Calibri" w:hAnsi="Calibri"/>
          <w:szCs w:val="22"/>
          <w:lang w:eastAsia="en-US"/>
        </w:rPr>
        <w:t xml:space="preserve">. Efektívne finančné riadenie programu v novom programovacom období 2014-2020 bude v zmysle § 3 zákona č. </w:t>
      </w:r>
      <w:r w:rsidR="008B47BC">
        <w:rPr>
          <w:rFonts w:ascii="Calibri" w:eastAsia="Calibri" w:hAnsi="Calibri"/>
          <w:szCs w:val="22"/>
          <w:lang w:eastAsia="en-US"/>
        </w:rPr>
        <w:t>5</w:t>
      </w:r>
      <w:r w:rsidRPr="008676F9">
        <w:rPr>
          <w:rFonts w:ascii="Calibri" w:eastAsia="Calibri" w:hAnsi="Calibri"/>
          <w:szCs w:val="22"/>
          <w:lang w:eastAsia="en-US"/>
        </w:rPr>
        <w:t>43/2007 Z.z. zabezpečovať M</w:t>
      </w:r>
      <w:r w:rsidR="00A33901">
        <w:rPr>
          <w:rFonts w:ascii="Calibri" w:eastAsia="Calibri" w:hAnsi="Calibri"/>
          <w:szCs w:val="22"/>
          <w:lang w:eastAsia="en-US"/>
        </w:rPr>
        <w:t>PRV</w:t>
      </w:r>
      <w:r w:rsidRPr="008676F9">
        <w:rPr>
          <w:rFonts w:ascii="Calibri" w:eastAsia="Calibri" w:hAnsi="Calibri"/>
          <w:szCs w:val="22"/>
          <w:lang w:eastAsia="en-US"/>
        </w:rPr>
        <w:t xml:space="preserve"> SR.</w:t>
      </w:r>
    </w:p>
    <w:p w:rsidR="008676F9" w:rsidRDefault="008676F9" w:rsidP="00BC4D3C">
      <w:pPr>
        <w:tabs>
          <w:tab w:val="left" w:pos="2302"/>
        </w:tabs>
        <w:rPr>
          <w:rFonts w:ascii="Calibri" w:eastAsia="Calibri" w:hAnsi="Calibri"/>
          <w:szCs w:val="22"/>
          <w:lang w:eastAsia="en-US"/>
        </w:rPr>
      </w:pPr>
      <w:r w:rsidRPr="008676F9">
        <w:rPr>
          <w:rFonts w:ascii="Calibri" w:eastAsia="Calibri" w:hAnsi="Calibri"/>
          <w:szCs w:val="22"/>
          <w:lang w:eastAsia="en-US"/>
        </w:rPr>
        <w:t>Postupy pri jednotlivých systémoch platieb konečným prijímateľom, odhad a čerpanie výdavkov za program, zodpovednosť a úlohy jednotlivých orgánov podieľajúcich sa na zabezpečovaní hladkého</w:t>
      </w:r>
      <w:r w:rsidRPr="008676F9">
        <w:rPr>
          <w:rFonts w:ascii="Calibri" w:eastAsia="Calibri" w:hAnsi="Calibri"/>
          <w:szCs w:val="22"/>
          <w:lang w:eastAsia="en-US"/>
        </w:rPr>
        <w:lastRenderedPageBreak/>
        <w:t xml:space="preserve"> priebehu finančných tokov a ďalšie otázky finančného riadenia vyplývajúce z príslušnej legislatívy, budú stanovené M</w:t>
      </w:r>
      <w:r w:rsidR="00A33901">
        <w:rPr>
          <w:rFonts w:ascii="Calibri" w:eastAsia="Calibri" w:hAnsi="Calibri"/>
          <w:szCs w:val="22"/>
          <w:lang w:eastAsia="en-US"/>
        </w:rPr>
        <w:t>PRV</w:t>
      </w:r>
      <w:r w:rsidRPr="008676F9">
        <w:rPr>
          <w:rFonts w:ascii="Calibri" w:eastAsia="Calibri" w:hAnsi="Calibri"/>
          <w:szCs w:val="22"/>
          <w:lang w:eastAsia="en-US"/>
        </w:rPr>
        <w:t xml:space="preserve"> SR v Systéme finančného riadenia pre EPFRV, ktorý schvaľuje vláda SR.</w:t>
      </w:r>
    </w:p>
    <w:p w:rsidR="00BC4D3C" w:rsidRPr="008676F9" w:rsidRDefault="00BC4D3C" w:rsidP="008676F9">
      <w:pPr>
        <w:tabs>
          <w:tab w:val="left" w:pos="2302"/>
        </w:tabs>
        <w:spacing w:after="120"/>
        <w:rPr>
          <w:rFonts w:ascii="Calibri" w:eastAsia="Calibri" w:hAnsi="Calibri"/>
          <w:szCs w:val="22"/>
          <w:lang w:eastAsia="en-US"/>
        </w:rPr>
      </w:pPr>
    </w:p>
    <w:p w:rsidR="008676F9" w:rsidRPr="008676F9" w:rsidRDefault="008676F9" w:rsidP="008676F9">
      <w:pPr>
        <w:tabs>
          <w:tab w:val="left" w:pos="2302"/>
        </w:tabs>
        <w:rPr>
          <w:rFonts w:ascii="Calibri" w:hAnsi="Calibri"/>
          <w:szCs w:val="22"/>
          <w:u w:val="single"/>
          <w:lang w:eastAsia="en-US"/>
        </w:rPr>
      </w:pPr>
      <w:r w:rsidRPr="008676F9">
        <w:rPr>
          <w:rFonts w:ascii="Calibri" w:hAnsi="Calibri"/>
          <w:szCs w:val="22"/>
          <w:u w:val="single"/>
          <w:lang w:eastAsia="en-US"/>
        </w:rPr>
        <w:t>Orgány podieľajúce sa na finančnom riadení:</w:t>
      </w:r>
    </w:p>
    <w:p w:rsidR="00BC4D3C" w:rsidRDefault="008676F9" w:rsidP="008676F9">
      <w:pPr>
        <w:tabs>
          <w:tab w:val="left" w:pos="2302"/>
        </w:tabs>
        <w:rPr>
          <w:rFonts w:ascii="Calibri" w:hAnsi="Calibri"/>
          <w:szCs w:val="22"/>
          <w:lang w:eastAsia="en-US"/>
        </w:rPr>
      </w:pPr>
      <w:r w:rsidRPr="00A33901">
        <w:rPr>
          <w:rFonts w:ascii="Calibri" w:hAnsi="Calibri"/>
          <w:b/>
          <w:szCs w:val="22"/>
          <w:lang w:eastAsia="en-US"/>
        </w:rPr>
        <w:t>Riadiaci orgán</w:t>
      </w:r>
      <w:r w:rsidRPr="008676F9">
        <w:rPr>
          <w:rFonts w:ascii="Calibri" w:hAnsi="Calibri"/>
          <w:szCs w:val="22"/>
          <w:lang w:eastAsia="en-US"/>
        </w:rPr>
        <w:t xml:space="preserve">: </w:t>
      </w:r>
    </w:p>
    <w:p w:rsidR="008676F9" w:rsidRPr="008676F9" w:rsidRDefault="008676F9" w:rsidP="008676F9">
      <w:pPr>
        <w:tabs>
          <w:tab w:val="left" w:pos="2302"/>
        </w:tabs>
        <w:rPr>
          <w:rFonts w:ascii="Calibri" w:hAnsi="Calibri"/>
          <w:szCs w:val="22"/>
          <w:lang w:eastAsia="en-US"/>
        </w:rPr>
      </w:pPr>
      <w:r w:rsidRPr="008676F9">
        <w:rPr>
          <w:rFonts w:ascii="Calibri" w:hAnsi="Calibri"/>
          <w:i/>
          <w:szCs w:val="22"/>
          <w:lang w:eastAsia="en-US"/>
        </w:rPr>
        <w:t>Ministerstvo pôdohospodárstva a rozvoja vidieka SR</w:t>
      </w:r>
    </w:p>
    <w:p w:rsidR="00BC4D3C" w:rsidRDefault="00BC4D3C" w:rsidP="008676F9">
      <w:pPr>
        <w:tabs>
          <w:tab w:val="left" w:pos="2302"/>
        </w:tabs>
        <w:rPr>
          <w:rFonts w:ascii="Calibri" w:eastAsia="Calibri" w:hAnsi="Calibri"/>
          <w:b/>
          <w:szCs w:val="22"/>
          <w:lang w:eastAsia="en-US"/>
        </w:rPr>
      </w:pPr>
    </w:p>
    <w:p w:rsidR="00BC4D3C" w:rsidRDefault="008676F9" w:rsidP="008676F9">
      <w:pPr>
        <w:tabs>
          <w:tab w:val="left" w:pos="2302"/>
        </w:tabs>
        <w:rPr>
          <w:rFonts w:ascii="Calibri" w:eastAsia="Calibri" w:hAnsi="Calibri"/>
          <w:szCs w:val="22"/>
          <w:lang w:eastAsia="en-US"/>
        </w:rPr>
      </w:pPr>
      <w:r w:rsidRPr="00A33901">
        <w:rPr>
          <w:rFonts w:ascii="Calibri" w:eastAsia="Calibri" w:hAnsi="Calibri"/>
          <w:b/>
          <w:szCs w:val="22"/>
          <w:lang w:eastAsia="en-US"/>
        </w:rPr>
        <w:t>Príslušný orgán na akreditáciu PA</w:t>
      </w:r>
      <w:r w:rsidRPr="008676F9">
        <w:rPr>
          <w:rFonts w:ascii="Calibri" w:eastAsia="Calibri" w:hAnsi="Calibri"/>
          <w:szCs w:val="22"/>
          <w:lang w:eastAsia="en-US"/>
        </w:rPr>
        <w:t xml:space="preserve">: </w:t>
      </w:r>
    </w:p>
    <w:p w:rsidR="008676F9" w:rsidRPr="008676F9" w:rsidRDefault="008676F9" w:rsidP="008676F9">
      <w:pPr>
        <w:tabs>
          <w:tab w:val="left" w:pos="2302"/>
        </w:tabs>
        <w:rPr>
          <w:rFonts w:ascii="Calibri" w:eastAsia="Calibri" w:hAnsi="Calibri"/>
          <w:iCs/>
          <w:szCs w:val="22"/>
          <w:lang w:eastAsia="en-US"/>
        </w:rPr>
      </w:pPr>
      <w:r w:rsidRPr="008676F9">
        <w:rPr>
          <w:rFonts w:ascii="Calibri" w:eastAsia="Calibri" w:hAnsi="Calibri"/>
          <w:i/>
          <w:iCs/>
          <w:szCs w:val="22"/>
          <w:lang w:eastAsia="en-US"/>
        </w:rPr>
        <w:t>Ministerstvo pôdohospodárstva a rozvoja vidieka SR</w:t>
      </w:r>
    </w:p>
    <w:p w:rsidR="00BC4D3C" w:rsidRDefault="00BC4D3C" w:rsidP="008676F9">
      <w:pPr>
        <w:tabs>
          <w:tab w:val="left" w:pos="2302"/>
        </w:tabs>
        <w:rPr>
          <w:rFonts w:ascii="Calibri" w:eastAsia="Calibri" w:hAnsi="Calibri"/>
          <w:b/>
          <w:szCs w:val="22"/>
          <w:lang w:eastAsia="en-US"/>
        </w:rPr>
      </w:pPr>
    </w:p>
    <w:p w:rsidR="00BC4D3C" w:rsidRDefault="008676F9" w:rsidP="008676F9">
      <w:pPr>
        <w:tabs>
          <w:tab w:val="left" w:pos="2302"/>
        </w:tabs>
        <w:rPr>
          <w:rFonts w:ascii="Calibri" w:eastAsia="Calibri" w:hAnsi="Calibri"/>
          <w:szCs w:val="22"/>
          <w:lang w:eastAsia="en-US"/>
        </w:rPr>
      </w:pPr>
      <w:r w:rsidRPr="00A33901">
        <w:rPr>
          <w:rFonts w:ascii="Calibri" w:eastAsia="Calibri" w:hAnsi="Calibri"/>
          <w:b/>
          <w:szCs w:val="22"/>
          <w:lang w:eastAsia="en-US"/>
        </w:rPr>
        <w:t>Platobná agentúra</w:t>
      </w:r>
      <w:r w:rsidRPr="008676F9">
        <w:rPr>
          <w:rFonts w:ascii="Calibri" w:eastAsia="Calibri" w:hAnsi="Calibri"/>
          <w:szCs w:val="22"/>
          <w:lang w:eastAsia="en-US"/>
        </w:rPr>
        <w:t xml:space="preserve">: </w:t>
      </w:r>
    </w:p>
    <w:p w:rsidR="008676F9" w:rsidRPr="008676F9" w:rsidRDefault="008676F9" w:rsidP="008676F9">
      <w:pPr>
        <w:tabs>
          <w:tab w:val="left" w:pos="2302"/>
        </w:tabs>
        <w:rPr>
          <w:rFonts w:ascii="Calibri" w:eastAsia="Calibri" w:hAnsi="Calibri"/>
          <w:iCs/>
          <w:szCs w:val="22"/>
          <w:lang w:eastAsia="en-US"/>
        </w:rPr>
      </w:pPr>
      <w:r w:rsidRPr="008676F9">
        <w:rPr>
          <w:rFonts w:ascii="Calibri" w:eastAsia="Calibri" w:hAnsi="Calibri"/>
          <w:i/>
          <w:iCs/>
          <w:szCs w:val="22"/>
          <w:lang w:eastAsia="en-US"/>
        </w:rPr>
        <w:t>Pôdohospodárska platobná agentúra</w:t>
      </w:r>
    </w:p>
    <w:p w:rsidR="00BC4D3C" w:rsidRDefault="00BC4D3C" w:rsidP="008676F9">
      <w:pPr>
        <w:tabs>
          <w:tab w:val="left" w:pos="2302"/>
        </w:tabs>
        <w:rPr>
          <w:rFonts w:ascii="Calibri" w:eastAsia="Calibri" w:hAnsi="Calibri"/>
          <w:b/>
          <w:szCs w:val="22"/>
          <w:lang w:eastAsia="en-US"/>
        </w:rPr>
      </w:pPr>
    </w:p>
    <w:p w:rsidR="00BC4D3C" w:rsidRDefault="008676F9" w:rsidP="008676F9">
      <w:pPr>
        <w:tabs>
          <w:tab w:val="left" w:pos="2302"/>
        </w:tabs>
        <w:rPr>
          <w:rFonts w:ascii="Calibri" w:eastAsia="Calibri" w:hAnsi="Calibri"/>
          <w:b/>
          <w:szCs w:val="22"/>
          <w:lang w:eastAsia="en-US"/>
        </w:rPr>
      </w:pPr>
      <w:r w:rsidRPr="00A33901">
        <w:rPr>
          <w:rFonts w:ascii="Calibri" w:eastAsia="Calibri" w:hAnsi="Calibri"/>
          <w:b/>
          <w:szCs w:val="22"/>
          <w:lang w:eastAsia="en-US"/>
        </w:rPr>
        <w:t>Certifikačný orgán</w:t>
      </w:r>
      <w:r w:rsidR="00A33901">
        <w:rPr>
          <w:rFonts w:ascii="Calibri" w:eastAsia="Calibri" w:hAnsi="Calibri"/>
          <w:b/>
          <w:szCs w:val="22"/>
          <w:lang w:eastAsia="en-US"/>
        </w:rPr>
        <w:t xml:space="preserve">: </w:t>
      </w:r>
    </w:p>
    <w:p w:rsidR="008676F9" w:rsidRPr="00A33901" w:rsidRDefault="00A33901" w:rsidP="008676F9">
      <w:pPr>
        <w:tabs>
          <w:tab w:val="left" w:pos="2302"/>
        </w:tabs>
        <w:rPr>
          <w:rFonts w:ascii="Calibri" w:hAnsi="Calibri"/>
          <w:b/>
          <w:i/>
          <w:szCs w:val="22"/>
          <w:lang w:eastAsia="en-US"/>
        </w:rPr>
      </w:pPr>
      <w:r w:rsidRPr="00A33901">
        <w:rPr>
          <w:rFonts w:ascii="Calibri" w:eastAsia="Calibri" w:hAnsi="Calibri"/>
          <w:i/>
          <w:szCs w:val="22"/>
          <w:lang w:eastAsia="en-US"/>
        </w:rPr>
        <w:t>súkromný audítorský orgán stanovený podľa článku 9 nariadenia (EÚ) č. 1306/2013, vybraný podľa zákona č. 25/2006 Z.z. o verejnom obstarávaní</w:t>
      </w:r>
      <w:r w:rsidRPr="00A33901">
        <w:rPr>
          <w:rFonts w:ascii="Calibri" w:eastAsia="Calibri" w:hAnsi="Calibri"/>
          <w:b/>
          <w:i/>
          <w:szCs w:val="22"/>
          <w:lang w:eastAsia="en-US"/>
        </w:rPr>
        <w:t>.</w:t>
      </w:r>
    </w:p>
    <w:p w:rsidR="00BC4D3C" w:rsidRDefault="00BC4D3C" w:rsidP="008676F9">
      <w:pPr>
        <w:tabs>
          <w:tab w:val="left" w:pos="2302"/>
        </w:tabs>
        <w:rPr>
          <w:rFonts w:ascii="Calibri" w:hAnsi="Calibri"/>
          <w:b/>
          <w:szCs w:val="22"/>
          <w:lang w:eastAsia="en-US"/>
        </w:rPr>
      </w:pPr>
    </w:p>
    <w:p w:rsidR="008676F9" w:rsidRPr="00A33901" w:rsidRDefault="008676F9" w:rsidP="008676F9">
      <w:pPr>
        <w:tabs>
          <w:tab w:val="left" w:pos="2302"/>
        </w:tabs>
        <w:rPr>
          <w:rFonts w:ascii="Calibri" w:hAnsi="Calibri"/>
          <w:b/>
          <w:szCs w:val="22"/>
          <w:lang w:eastAsia="en-US"/>
        </w:rPr>
      </w:pPr>
      <w:r w:rsidRPr="00A33901">
        <w:rPr>
          <w:rFonts w:ascii="Calibri" w:hAnsi="Calibri"/>
          <w:b/>
          <w:szCs w:val="22"/>
          <w:lang w:eastAsia="en-US"/>
        </w:rPr>
        <w:t>Ministerstvo financií SR</w:t>
      </w:r>
    </w:p>
    <w:p w:rsidR="008676F9" w:rsidRPr="008676F9" w:rsidRDefault="008676F9" w:rsidP="008676F9">
      <w:pPr>
        <w:tabs>
          <w:tab w:val="left" w:pos="2302"/>
        </w:tabs>
        <w:rPr>
          <w:rFonts w:ascii="Calibri" w:hAnsi="Calibri"/>
          <w:szCs w:val="22"/>
          <w:u w:val="single"/>
          <w:lang w:eastAsia="en-US"/>
        </w:rPr>
      </w:pPr>
      <w:r w:rsidRPr="008676F9">
        <w:rPr>
          <w:rFonts w:ascii="Calibri" w:hAnsi="Calibri"/>
          <w:szCs w:val="22"/>
          <w:u w:val="single"/>
          <w:lang w:eastAsia="en-US"/>
        </w:rPr>
        <w:t>Kontrola:</w:t>
      </w:r>
    </w:p>
    <w:p w:rsidR="008676F9" w:rsidRPr="008676F9" w:rsidRDefault="008676F9" w:rsidP="008676F9">
      <w:pPr>
        <w:tabs>
          <w:tab w:val="left" w:pos="2302"/>
        </w:tabs>
        <w:spacing w:after="120"/>
        <w:rPr>
          <w:rFonts w:ascii="Calibri" w:eastAsia="Calibri" w:hAnsi="Calibri"/>
          <w:szCs w:val="22"/>
          <w:lang w:eastAsia="en-US"/>
        </w:rPr>
      </w:pPr>
      <w:r w:rsidRPr="008676F9">
        <w:rPr>
          <w:rFonts w:ascii="Calibri" w:eastAsia="Calibri" w:hAnsi="Calibri"/>
          <w:szCs w:val="22"/>
          <w:lang w:eastAsia="en-US"/>
        </w:rPr>
        <w:t>V zmysle čl. 65 nariadenia (EÚ) č. 1305/2013 členský štát zodpovedá za vytvorenie účinného systému riadenia a kontroly pre program rozvoja vidieka. Podrobné pravidlá pre vykonávanie kontrolných postupov a uplatňovanie sankcií budú stanovené Európskou komisiou vo vykonávacom nariadení Komisie (EÚ) č....../2014, ktorým sa ustanovujú pravidlá pre uplatňovanie nariadenia (EÚ) č. 1306/2013 v oblasti integrovaného administratívneho a kontrolného systému, opatrení rozvoja vidieka a krížového plnenia.</w:t>
      </w:r>
    </w:p>
    <w:p w:rsidR="008676F9" w:rsidRPr="008676F9" w:rsidRDefault="008676F9" w:rsidP="008676F9">
      <w:pPr>
        <w:tabs>
          <w:tab w:val="left" w:pos="2302"/>
        </w:tabs>
        <w:spacing w:after="120"/>
        <w:rPr>
          <w:rFonts w:ascii="Calibri" w:eastAsia="Calibri" w:hAnsi="Calibri"/>
          <w:szCs w:val="22"/>
          <w:lang w:eastAsia="en-US"/>
        </w:rPr>
      </w:pPr>
      <w:r w:rsidRPr="008676F9">
        <w:rPr>
          <w:rFonts w:ascii="Calibri" w:eastAsia="Calibri" w:hAnsi="Calibri"/>
          <w:szCs w:val="22"/>
          <w:lang w:eastAsia="en-US"/>
        </w:rPr>
        <w:t xml:space="preserve">Na účely stanovenia úloh a povinností jednotlivých orgánov pri výkone kontrol opatrení programu rozvoja vidieka bude </w:t>
      </w:r>
      <w:r w:rsidR="005C7530">
        <w:rPr>
          <w:rFonts w:ascii="Calibri" w:eastAsia="Calibri" w:hAnsi="Calibri"/>
          <w:szCs w:val="22"/>
          <w:lang w:eastAsia="en-US"/>
        </w:rPr>
        <w:t xml:space="preserve">MPRV SR </w:t>
      </w:r>
      <w:r w:rsidRPr="008676F9">
        <w:rPr>
          <w:rFonts w:ascii="Calibri" w:eastAsia="Calibri" w:hAnsi="Calibri"/>
          <w:szCs w:val="22"/>
          <w:lang w:eastAsia="en-US"/>
        </w:rPr>
        <w:t>vypracovaný systém kontroly a auditu podpôr z EPFRV. Tento dokument bude opisovať právny a metodický rámec vykonávania jednotlivých typov kontroly a auditu a komplexne rozdelí kompetencie jednotlivých útvarov a orgánov M</w:t>
      </w:r>
      <w:r w:rsidR="00A33901">
        <w:rPr>
          <w:rFonts w:ascii="Calibri" w:eastAsia="Calibri" w:hAnsi="Calibri"/>
          <w:szCs w:val="22"/>
          <w:lang w:eastAsia="en-US"/>
        </w:rPr>
        <w:t>PRV</w:t>
      </w:r>
      <w:r w:rsidRPr="008676F9">
        <w:rPr>
          <w:rFonts w:ascii="Calibri" w:eastAsia="Calibri" w:hAnsi="Calibri"/>
          <w:szCs w:val="22"/>
          <w:lang w:eastAsia="en-US"/>
        </w:rPr>
        <w:t xml:space="preserve"> SR a P</w:t>
      </w:r>
      <w:r w:rsidR="00A33901">
        <w:rPr>
          <w:rFonts w:ascii="Calibri" w:eastAsia="Calibri" w:hAnsi="Calibri"/>
          <w:szCs w:val="22"/>
          <w:lang w:eastAsia="en-US"/>
        </w:rPr>
        <w:t>PA</w:t>
      </w:r>
      <w:r w:rsidRPr="008676F9">
        <w:rPr>
          <w:rFonts w:ascii="Calibri" w:eastAsia="Calibri" w:hAnsi="Calibri"/>
          <w:szCs w:val="22"/>
          <w:lang w:eastAsia="en-US"/>
        </w:rPr>
        <w:t>, ktoré sa podieľajú na kontrole a audite v rámci rezortu pôdohospodárstva.</w:t>
      </w:r>
    </w:p>
    <w:p w:rsidR="008676F9" w:rsidRDefault="008676F9" w:rsidP="008676F9">
      <w:pPr>
        <w:tabs>
          <w:tab w:val="left" w:pos="2302"/>
        </w:tabs>
        <w:rPr>
          <w:rFonts w:ascii="Calibri" w:eastAsia="Calibri" w:hAnsi="Calibri"/>
          <w:szCs w:val="22"/>
          <w:lang w:eastAsia="en-US"/>
        </w:rPr>
      </w:pPr>
      <w:r w:rsidRPr="008676F9">
        <w:rPr>
          <w:rFonts w:ascii="Calibri" w:eastAsia="Calibri" w:hAnsi="Calibri"/>
          <w:szCs w:val="22"/>
          <w:lang w:eastAsia="en-US"/>
        </w:rPr>
        <w:t>Z hľadiska vnútroštátnej legislatívy budú uplatnené pravidlá finančnej kontroly príslušnými útvarmi v zmysle zákona č. 502/2001 Z. z. o finančnej kontrole a vnútornom audite. Ministerstvo financií SR ako príslušný orgán štátnej správy pre finančnú kontrolu a vnútorný audit metodicky usmerňuje a koordinuje výkon finančnej kontroly vo verejnej správe, vrátane kontroly prostriedkov fondov EÚ poskytnutých Slovensku. Vzhľadom k tomu, že je nutné zamedziť prekrývaniu spolufinancovania príslušných aktivít z viacerých zdrojov EÚ resp. príslušnej členskej krajiny, je potrebné stanoviť účinný kontrolný systém krížovej kontroly prekrývania spolufinancovania. Riadiaci orgán Programu rozvoja vidieka 2014 – 2020 delegoval v zmysle čl. 66(2) nariadenia (EÚ) 1305/2013 túto povinnosť na P</w:t>
      </w:r>
      <w:r w:rsidR="00A33901">
        <w:rPr>
          <w:rFonts w:ascii="Calibri" w:eastAsia="Calibri" w:hAnsi="Calibri"/>
          <w:szCs w:val="22"/>
          <w:lang w:eastAsia="en-US"/>
        </w:rPr>
        <w:t>PA</w:t>
      </w:r>
      <w:r w:rsidRPr="008676F9">
        <w:rPr>
          <w:rFonts w:ascii="Calibri" w:eastAsia="Calibri" w:hAnsi="Calibri"/>
          <w:szCs w:val="22"/>
          <w:lang w:eastAsia="en-US"/>
        </w:rPr>
        <w:t>. PPA za týmto účelom bude postupovať podľa účinného kontrolného softvérového systému, ktorý zamedzí prekrývaniu spolufinancovania z viacerých zdrojov.</w:t>
      </w:r>
    </w:p>
    <w:p w:rsidR="00860DD7" w:rsidRPr="008676F9" w:rsidRDefault="00860DD7" w:rsidP="008676F9">
      <w:pPr>
        <w:tabs>
          <w:tab w:val="left" w:pos="2302"/>
        </w:tabs>
        <w:rPr>
          <w:rFonts w:ascii="Calibri" w:hAnsi="Calibri"/>
          <w:b/>
          <w:szCs w:val="22"/>
          <w:lang w:eastAsia="en-US"/>
        </w:rPr>
      </w:pPr>
    </w:p>
    <w:p w:rsidR="005C7530" w:rsidRPr="00BB33FC" w:rsidRDefault="005C7530" w:rsidP="005C7530">
      <w:pPr>
        <w:pStyle w:val="Podpodpod"/>
      </w:pPr>
      <w:bookmarkStart w:id="164" w:name="_Toc384111090"/>
      <w:bookmarkStart w:id="165" w:name="_Toc387041358"/>
      <w:r w:rsidRPr="00BB33FC">
        <w:t xml:space="preserve">15.1.2.2. </w:t>
      </w:r>
      <w:bookmarkEnd w:id="164"/>
      <w:r>
        <w:t>Zhromažďovanie, evidencia a hlásenie nezrovnalostí</w:t>
      </w:r>
      <w:bookmarkEnd w:id="165"/>
    </w:p>
    <w:p w:rsidR="005C7530" w:rsidRPr="008676F9" w:rsidRDefault="005C7530" w:rsidP="005C7530">
      <w:pPr>
        <w:tabs>
          <w:tab w:val="left" w:pos="2302"/>
        </w:tabs>
        <w:spacing w:after="120"/>
        <w:rPr>
          <w:rFonts w:ascii="Calibri" w:eastAsia="Calibri" w:hAnsi="Calibri"/>
          <w:szCs w:val="22"/>
          <w:lang w:eastAsia="en-US"/>
        </w:rPr>
      </w:pPr>
      <w:r w:rsidRPr="008676F9">
        <w:rPr>
          <w:rFonts w:ascii="Calibri" w:eastAsia="Calibri" w:hAnsi="Calibri"/>
          <w:szCs w:val="22"/>
          <w:lang w:eastAsia="en-US"/>
        </w:rPr>
        <w:t xml:space="preserve">V rámci SR bol zriadený Centrálny kontaktný útvar </w:t>
      </w:r>
      <w:r>
        <w:rPr>
          <w:rFonts w:ascii="Calibri" w:eastAsia="Calibri" w:hAnsi="Calibri"/>
          <w:szCs w:val="22"/>
          <w:lang w:eastAsia="en-US"/>
        </w:rPr>
        <w:t xml:space="preserve">pre </w:t>
      </w:r>
      <w:r w:rsidRPr="008676F9">
        <w:rPr>
          <w:rFonts w:ascii="Calibri" w:eastAsia="Calibri" w:hAnsi="Calibri"/>
          <w:szCs w:val="22"/>
          <w:lang w:eastAsia="en-US"/>
        </w:rPr>
        <w:t xml:space="preserve">OLAF, ktorý plní úlohy ako </w:t>
      </w:r>
      <w:r>
        <w:rPr>
          <w:rFonts w:ascii="Calibri" w:eastAsia="Calibri" w:hAnsi="Calibri"/>
          <w:szCs w:val="22"/>
          <w:lang w:eastAsia="en-US"/>
        </w:rPr>
        <w:t>k</w:t>
      </w:r>
      <w:r w:rsidRPr="008676F9">
        <w:rPr>
          <w:rFonts w:ascii="Calibri" w:eastAsia="Calibri" w:hAnsi="Calibri"/>
          <w:szCs w:val="22"/>
          <w:lang w:eastAsia="en-US"/>
        </w:rPr>
        <w:t xml:space="preserve">oordinačný úrad pre boj proti podvodom v SR (zriadený uznesením vlády SR č. 1133 z 28. novembra 2001). Centrálny kontaktný útvar </w:t>
      </w:r>
      <w:r>
        <w:rPr>
          <w:rFonts w:ascii="Calibri" w:eastAsia="Calibri" w:hAnsi="Calibri"/>
          <w:szCs w:val="22"/>
          <w:lang w:eastAsia="en-US"/>
        </w:rPr>
        <w:t xml:space="preserve">pre </w:t>
      </w:r>
      <w:r w:rsidRPr="008676F9">
        <w:rPr>
          <w:rFonts w:ascii="Calibri" w:eastAsia="Calibri" w:hAnsi="Calibri"/>
          <w:szCs w:val="22"/>
          <w:lang w:eastAsia="en-US"/>
        </w:rPr>
        <w:t xml:space="preserve">OLAF je kontaktným bodom siete </w:t>
      </w:r>
      <w:r>
        <w:rPr>
          <w:rFonts w:ascii="Calibri" w:eastAsia="Calibri" w:hAnsi="Calibri"/>
          <w:szCs w:val="22"/>
          <w:lang w:eastAsia="en-US"/>
        </w:rPr>
        <w:t>AFCOS</w:t>
      </w:r>
      <w:r w:rsidRPr="008676F9">
        <w:rPr>
          <w:rFonts w:ascii="Calibri" w:eastAsia="Calibri" w:hAnsi="Calibri"/>
          <w:szCs w:val="22"/>
          <w:lang w:eastAsia="en-US"/>
        </w:rPr>
        <w:t xml:space="preserve"> </w:t>
      </w:r>
      <w:r>
        <w:rPr>
          <w:rFonts w:ascii="Calibri" w:eastAsia="Calibri" w:hAnsi="Calibri"/>
          <w:szCs w:val="22"/>
          <w:lang w:eastAsia="en-US"/>
        </w:rPr>
        <w:t xml:space="preserve">v SR, zabezpečuje spoluprácu a výmenu informácií s úradom OLAF </w:t>
      </w:r>
      <w:r w:rsidRPr="008676F9">
        <w:rPr>
          <w:rFonts w:ascii="Calibri" w:eastAsia="Calibri" w:hAnsi="Calibri"/>
          <w:szCs w:val="22"/>
          <w:lang w:eastAsia="en-US"/>
        </w:rPr>
        <w:t xml:space="preserve"> a zodpovedá za </w:t>
      </w:r>
      <w:r>
        <w:rPr>
          <w:rFonts w:ascii="Calibri" w:eastAsia="Calibri" w:hAnsi="Calibri"/>
          <w:szCs w:val="22"/>
          <w:lang w:eastAsia="en-US"/>
        </w:rPr>
        <w:t xml:space="preserve">zhromažďovanie a evidenciu správ o nezrovnalostiach za všetky fondy EÚ uplatňované v SR. Následne zasiela prostredníctvom AFIS úradu OLAF hlásenia </w:t>
      </w:r>
      <w:r w:rsidRPr="008676F9">
        <w:rPr>
          <w:rFonts w:ascii="Calibri" w:eastAsia="Calibri" w:hAnsi="Calibri"/>
          <w:szCs w:val="22"/>
          <w:lang w:eastAsia="en-US"/>
        </w:rPr>
        <w:t>o</w:t>
      </w:r>
      <w:r>
        <w:rPr>
          <w:rFonts w:ascii="Calibri" w:eastAsia="Calibri" w:hAnsi="Calibri"/>
          <w:szCs w:val="22"/>
          <w:lang w:eastAsia="en-US"/>
        </w:rPr>
        <w:t> </w:t>
      </w:r>
      <w:r w:rsidRPr="008676F9">
        <w:rPr>
          <w:rFonts w:ascii="Calibri" w:eastAsia="Calibri" w:hAnsi="Calibri"/>
          <w:szCs w:val="22"/>
          <w:lang w:eastAsia="en-US"/>
        </w:rPr>
        <w:t>nezrovnalostiach</w:t>
      </w:r>
      <w:r>
        <w:rPr>
          <w:rFonts w:ascii="Calibri" w:eastAsia="Calibri" w:hAnsi="Calibri"/>
          <w:szCs w:val="22"/>
          <w:lang w:eastAsia="en-US"/>
        </w:rPr>
        <w:t>, ktoré v zmysle relevantných nariadení spadajú pod nahlasovaciu povinnosť, a to najneskôr do 2 mesiacov po skončení každého štvrťroka.</w:t>
      </w:r>
      <w:r w:rsidRPr="008676F9">
        <w:rPr>
          <w:rFonts w:ascii="Calibri" w:eastAsia="Calibri" w:hAnsi="Calibri"/>
          <w:szCs w:val="22"/>
          <w:lang w:eastAsia="en-US"/>
        </w:rPr>
        <w:t xml:space="preserve"> </w:t>
      </w:r>
    </w:p>
    <w:p w:rsidR="00D95CA5" w:rsidRDefault="00D95CA5" w:rsidP="005C7530">
      <w:pPr>
        <w:tabs>
          <w:tab w:val="left" w:pos="2302"/>
        </w:tabs>
        <w:rPr>
          <w:rFonts w:ascii="Calibri" w:eastAsia="Calibri" w:hAnsi="Calibri"/>
          <w:szCs w:val="22"/>
          <w:lang w:eastAsia="en-US"/>
        </w:rPr>
      </w:pPr>
    </w:p>
    <w:p w:rsidR="00D95CA5" w:rsidRDefault="00D95CA5" w:rsidP="005C7530">
      <w:pPr>
        <w:tabs>
          <w:tab w:val="left" w:pos="2302"/>
        </w:tabs>
        <w:rPr>
          <w:rFonts w:ascii="Calibri" w:eastAsia="Calibri" w:hAnsi="Calibri"/>
          <w:szCs w:val="22"/>
          <w:lang w:eastAsia="en-US"/>
        </w:rPr>
      </w:pPr>
    </w:p>
    <w:p w:rsidR="005C7530" w:rsidRPr="008676F9" w:rsidRDefault="005C7530" w:rsidP="005C7530">
      <w:pPr>
        <w:tabs>
          <w:tab w:val="left" w:pos="2302"/>
        </w:tabs>
        <w:rPr>
          <w:rFonts w:ascii="Calibri" w:eastAsia="Calibri" w:hAnsi="Calibri"/>
          <w:szCs w:val="22"/>
          <w:lang w:eastAsia="en-US"/>
        </w:rPr>
      </w:pPr>
      <w:r w:rsidRPr="008676F9">
        <w:rPr>
          <w:rFonts w:ascii="Calibri" w:eastAsia="Calibri" w:hAnsi="Calibri"/>
          <w:szCs w:val="22"/>
          <w:lang w:eastAsia="en-US"/>
        </w:rPr>
        <w:t>Určeným orgánom zodpovedným za hlásenia nezrovnalostí z EPZF a EPFRV podľa nariadenia (EÚ) č. 1306/2013 je P</w:t>
      </w:r>
      <w:r>
        <w:rPr>
          <w:rFonts w:ascii="Calibri" w:eastAsia="Calibri" w:hAnsi="Calibri"/>
          <w:szCs w:val="22"/>
          <w:lang w:eastAsia="en-US"/>
        </w:rPr>
        <w:t>PA</w:t>
      </w:r>
      <w:r w:rsidRPr="008676F9">
        <w:rPr>
          <w:rFonts w:ascii="Calibri" w:eastAsia="Calibri" w:hAnsi="Calibri"/>
          <w:szCs w:val="22"/>
          <w:lang w:eastAsia="en-US"/>
        </w:rPr>
        <w:t>, ktorá štvrťročne zasiela hlásenia o nezrovnalostiach Centráln</w:t>
      </w:r>
      <w:r>
        <w:rPr>
          <w:rFonts w:ascii="Calibri" w:eastAsia="Calibri" w:hAnsi="Calibri"/>
          <w:szCs w:val="22"/>
          <w:lang w:eastAsia="en-US"/>
        </w:rPr>
        <w:t>emu</w:t>
      </w:r>
      <w:r w:rsidRPr="008676F9">
        <w:rPr>
          <w:rFonts w:ascii="Calibri" w:eastAsia="Calibri" w:hAnsi="Calibri"/>
          <w:szCs w:val="22"/>
          <w:lang w:eastAsia="en-US"/>
        </w:rPr>
        <w:t xml:space="preserve"> kontaktn</w:t>
      </w:r>
      <w:r>
        <w:rPr>
          <w:rFonts w:ascii="Calibri" w:eastAsia="Calibri" w:hAnsi="Calibri"/>
          <w:szCs w:val="22"/>
          <w:lang w:eastAsia="en-US"/>
        </w:rPr>
        <w:t>ému</w:t>
      </w:r>
      <w:r w:rsidRPr="008676F9">
        <w:rPr>
          <w:rFonts w:ascii="Calibri" w:eastAsia="Calibri" w:hAnsi="Calibri"/>
          <w:szCs w:val="22"/>
          <w:lang w:eastAsia="en-US"/>
        </w:rPr>
        <w:t xml:space="preserve"> útvar</w:t>
      </w:r>
      <w:r>
        <w:rPr>
          <w:rFonts w:ascii="Calibri" w:eastAsia="Calibri" w:hAnsi="Calibri"/>
          <w:szCs w:val="22"/>
          <w:lang w:eastAsia="en-US"/>
        </w:rPr>
        <w:t>u pre</w:t>
      </w:r>
      <w:r w:rsidRPr="008676F9">
        <w:rPr>
          <w:rFonts w:ascii="Calibri" w:eastAsia="Calibri" w:hAnsi="Calibri"/>
          <w:szCs w:val="22"/>
          <w:lang w:eastAsia="en-US"/>
        </w:rPr>
        <w:t xml:space="preserve"> OLAF. P</w:t>
      </w:r>
      <w:r>
        <w:rPr>
          <w:rFonts w:ascii="Calibri" w:eastAsia="Calibri" w:hAnsi="Calibri"/>
          <w:szCs w:val="22"/>
          <w:lang w:eastAsia="en-US"/>
        </w:rPr>
        <w:t>PA</w:t>
      </w:r>
      <w:r w:rsidRPr="008676F9">
        <w:rPr>
          <w:rFonts w:ascii="Calibri" w:eastAsia="Calibri" w:hAnsi="Calibri"/>
          <w:szCs w:val="22"/>
          <w:lang w:eastAsia="en-US"/>
        </w:rPr>
        <w:t xml:space="preserve"> vykonáva zisťovanie, klasifikáciu a vymáhanie nezrovnalostí vzniknutých neoprávnenými výdavkami z fondov EPZF a EPFRV. Vymáhanie zabezpečuje v správnom alebo v súdnom konaní. Uznesením vlády SR č. 547 z 27. júna 2007 bola prijatá „Národná stratégia ochrany finančných záujmov ES v SR“</w:t>
      </w:r>
      <w:r>
        <w:rPr>
          <w:rFonts w:ascii="Calibri" w:eastAsia="Calibri" w:hAnsi="Calibri"/>
          <w:szCs w:val="22"/>
          <w:lang w:eastAsia="en-US"/>
        </w:rPr>
        <w:t>, ktorá bola aktualizovaná v roku 2012</w:t>
      </w:r>
      <w:r w:rsidRPr="008676F9">
        <w:rPr>
          <w:rFonts w:ascii="Calibri" w:eastAsia="Calibri" w:hAnsi="Calibri"/>
          <w:szCs w:val="22"/>
          <w:lang w:eastAsia="en-US"/>
        </w:rPr>
        <w:t>. Za účelom realizácie a koordinácie opatrení prijatých národnou stratégiou bol uznesením vlády SR zriadený Riadiaci výbor pre ochranu finančných záujmov ES v SR. Výbor pracuje prostredníctvom stálych pracovných skupín, jedna je zriadená pre nezrovnalosti, kde má zastúpenie MPRV SR aj PPA.</w:t>
      </w:r>
    </w:p>
    <w:p w:rsidR="008676F9" w:rsidRDefault="008676F9" w:rsidP="00F14F63">
      <w:pPr>
        <w:tabs>
          <w:tab w:val="left" w:pos="2302"/>
        </w:tabs>
        <w:rPr>
          <w:rFonts w:ascii="Calibri" w:eastAsia="Calibri" w:hAnsi="Calibri"/>
          <w:szCs w:val="22"/>
          <w:lang w:eastAsia="en-US"/>
        </w:rPr>
      </w:pPr>
    </w:p>
    <w:p w:rsidR="00D95CA5" w:rsidRPr="008676F9" w:rsidRDefault="00D95CA5" w:rsidP="00F14F63">
      <w:pPr>
        <w:tabs>
          <w:tab w:val="left" w:pos="2302"/>
        </w:tabs>
        <w:rPr>
          <w:rFonts w:ascii="Calibri" w:eastAsia="Calibri" w:hAnsi="Calibri"/>
          <w:szCs w:val="22"/>
          <w:lang w:eastAsia="en-US"/>
        </w:rPr>
      </w:pPr>
    </w:p>
    <w:p w:rsidR="008676F9" w:rsidRPr="008676F9" w:rsidRDefault="008676F9" w:rsidP="00AA30CA">
      <w:pPr>
        <w:pStyle w:val="Pod"/>
        <w:rPr>
          <w:rFonts w:eastAsia="Calibri"/>
          <w:lang w:eastAsia="en-US"/>
        </w:rPr>
      </w:pPr>
      <w:bookmarkStart w:id="166" w:name="_Toc384111091"/>
      <w:bookmarkStart w:id="167" w:name="_Toc387041359"/>
      <w:r w:rsidRPr="008676F9">
        <w:rPr>
          <w:rFonts w:eastAsia="Calibri"/>
          <w:lang w:eastAsia="en-US"/>
        </w:rPr>
        <w:t>15.2 Predpokladané zloženie monitorovacieho výboru</w:t>
      </w:r>
      <w:bookmarkEnd w:id="166"/>
      <w:bookmarkEnd w:id="167"/>
    </w:p>
    <w:p w:rsidR="00D95CA5" w:rsidRDefault="00D95CA5" w:rsidP="00F14F63">
      <w:pPr>
        <w:ind w:right="72"/>
        <w:rPr>
          <w:rFonts w:ascii="Calibri" w:eastAsia="Calibri" w:hAnsi="Calibri"/>
          <w:b/>
          <w:szCs w:val="22"/>
          <w:lang w:eastAsia="en-US"/>
        </w:rPr>
      </w:pPr>
    </w:p>
    <w:p w:rsidR="008676F9" w:rsidRPr="008676F9" w:rsidRDefault="008676F9" w:rsidP="00F14F63">
      <w:pPr>
        <w:ind w:right="72"/>
        <w:rPr>
          <w:rFonts w:ascii="Calibri" w:eastAsia="Calibri" w:hAnsi="Calibri"/>
          <w:b/>
          <w:szCs w:val="22"/>
          <w:lang w:eastAsia="en-US"/>
        </w:rPr>
      </w:pPr>
      <w:r w:rsidRPr="008676F9">
        <w:rPr>
          <w:rFonts w:ascii="Calibri" w:eastAsia="Calibri" w:hAnsi="Calibri"/>
          <w:b/>
          <w:szCs w:val="22"/>
          <w:lang w:eastAsia="en-US"/>
        </w:rPr>
        <w:t>Monitorovací výbor</w:t>
      </w:r>
    </w:p>
    <w:p w:rsidR="008676F9" w:rsidRPr="008676F9" w:rsidRDefault="008676F9" w:rsidP="00F14F63">
      <w:pPr>
        <w:autoSpaceDE w:val="0"/>
        <w:autoSpaceDN w:val="0"/>
        <w:adjustRightInd w:val="0"/>
        <w:rPr>
          <w:rFonts w:ascii="Calibri" w:eastAsia="Calibri" w:hAnsi="Calibri"/>
          <w:szCs w:val="22"/>
          <w:lang w:eastAsia="en-US"/>
        </w:rPr>
      </w:pPr>
      <w:r w:rsidRPr="008676F9">
        <w:rPr>
          <w:rFonts w:ascii="Calibri" w:eastAsia="Calibri" w:hAnsi="Calibri"/>
          <w:szCs w:val="22"/>
          <w:lang w:eastAsia="en-US"/>
        </w:rPr>
        <w:t>Riadiaci orgán a monitorovací výbor monitorujú kvalitu vykonávania programu. Riadiaci orgán a monitorovací výbor monitorujú program rozvoja vidieka prostredníctvom finančných, výstupných a cieľových ukazovateľov. Na účely vykonávania svojich povinností monitorovací výbor vypracuje v spolupráci s riadiacim orgánom svoj rokovací poriadok. Štatút bude schválený na prvom zasadnutí výboru.</w:t>
      </w:r>
    </w:p>
    <w:p w:rsidR="008676F9" w:rsidRPr="008676F9" w:rsidRDefault="008676F9" w:rsidP="00F14F63">
      <w:pPr>
        <w:ind w:right="72"/>
        <w:rPr>
          <w:rFonts w:ascii="Calibri" w:eastAsia="Calibri" w:hAnsi="Calibri" w:cs="TimesNewRoman,BoldItalic"/>
          <w:b/>
          <w:bCs/>
          <w:iCs/>
          <w:szCs w:val="22"/>
          <w:lang w:eastAsia="en-US"/>
        </w:rPr>
      </w:pPr>
    </w:p>
    <w:p w:rsidR="008676F9" w:rsidRPr="008676F9" w:rsidRDefault="008676F9" w:rsidP="00F14F63">
      <w:pPr>
        <w:ind w:right="72"/>
        <w:rPr>
          <w:rFonts w:ascii="Calibri" w:eastAsia="Calibri" w:hAnsi="Calibri"/>
          <w:b/>
          <w:szCs w:val="22"/>
          <w:lang w:eastAsia="en-US"/>
        </w:rPr>
      </w:pPr>
      <w:r w:rsidRPr="008676F9">
        <w:rPr>
          <w:rFonts w:ascii="Calibri" w:eastAsia="Calibri" w:hAnsi="Calibri" w:cs="TimesNewRoman,BoldItalic"/>
          <w:b/>
          <w:bCs/>
          <w:iCs/>
          <w:szCs w:val="22"/>
          <w:lang w:eastAsia="en-US"/>
        </w:rPr>
        <w:t>Zloženie monitorovacieho výboru</w:t>
      </w:r>
    </w:p>
    <w:p w:rsidR="008676F9" w:rsidRPr="008676F9" w:rsidRDefault="008676F9" w:rsidP="00F14F63">
      <w:pPr>
        <w:rPr>
          <w:rFonts w:ascii="Calibri" w:eastAsia="Calibri" w:hAnsi="Calibri" w:cs="TimesNewRoman"/>
          <w:szCs w:val="22"/>
          <w:lang w:eastAsia="en-US"/>
        </w:rPr>
      </w:pPr>
      <w:r w:rsidRPr="008676F9">
        <w:rPr>
          <w:rFonts w:ascii="Calibri" w:eastAsia="Calibri" w:hAnsi="Calibri" w:cs="TimesNewRoman"/>
          <w:szCs w:val="22"/>
          <w:lang w:eastAsia="en-US"/>
        </w:rPr>
        <w:t xml:space="preserve">Predsedom monitorovacieho výboru je zástupca riadiaceho orgánu. V monitorovacom výbore budú zastúpení partneri v súlade s princípmi partnerstva. Členmi budú zástupcovia štátnej správy, samosprávy, hospodárski a sociálni partneri, mimovládne organizácie vrátane environmentálnych organizácií a subjekty zodpovedné za podporu sociálneho začleňovania, rodovej rovnosti a nediskriminácie. V zložení monitorovacieho výboru bude podporená rovnosť mužov a žien. Zástupcovia Komisie sa môžu na vlastný podnet zúčastňovať na práci monitorovacieho výboru ako poradcovia. </w:t>
      </w:r>
    </w:p>
    <w:p w:rsidR="008676F9" w:rsidRPr="008676F9" w:rsidRDefault="008676F9" w:rsidP="008676F9">
      <w:pPr>
        <w:rPr>
          <w:rFonts w:ascii="Calibri" w:eastAsia="Calibri" w:hAnsi="Calibri" w:cs="TimesNewRoman"/>
          <w:szCs w:val="22"/>
          <w:lang w:eastAsia="en-US"/>
        </w:rPr>
      </w:pPr>
    </w:p>
    <w:p w:rsidR="008676F9" w:rsidRPr="008676F9" w:rsidRDefault="008676F9" w:rsidP="008676F9">
      <w:pPr>
        <w:autoSpaceDE w:val="0"/>
        <w:autoSpaceDN w:val="0"/>
        <w:adjustRightInd w:val="0"/>
        <w:rPr>
          <w:rFonts w:ascii="Calibri" w:eastAsia="Calibri" w:hAnsi="Calibri" w:cs="TimesNewRoman,BoldItalic"/>
          <w:b/>
          <w:bCs/>
          <w:iCs/>
          <w:szCs w:val="22"/>
          <w:lang w:eastAsia="en-US"/>
        </w:rPr>
      </w:pPr>
      <w:r w:rsidRPr="008676F9">
        <w:rPr>
          <w:rFonts w:ascii="Calibri" w:eastAsia="Calibri" w:hAnsi="Calibri" w:cs="TimesNewRoman,BoldItalic"/>
          <w:b/>
          <w:bCs/>
          <w:iCs/>
          <w:szCs w:val="22"/>
          <w:lang w:eastAsia="en-US"/>
        </w:rPr>
        <w:t>Sekretariát monitorovacieho výboru</w:t>
      </w:r>
    </w:p>
    <w:p w:rsidR="008676F9" w:rsidRPr="008676F9" w:rsidRDefault="008676F9" w:rsidP="00F14F63">
      <w:pPr>
        <w:autoSpaceDE w:val="0"/>
        <w:autoSpaceDN w:val="0"/>
        <w:adjustRightInd w:val="0"/>
        <w:rPr>
          <w:rFonts w:ascii="Calibri" w:eastAsia="Calibri" w:hAnsi="Calibri" w:cs="TimesNewRoman"/>
          <w:szCs w:val="22"/>
          <w:lang w:eastAsia="en-US"/>
        </w:rPr>
      </w:pPr>
      <w:r w:rsidRPr="008676F9">
        <w:rPr>
          <w:rFonts w:ascii="Calibri" w:eastAsia="Calibri" w:hAnsi="Calibri" w:cs="TimesNewRoman"/>
          <w:szCs w:val="22"/>
          <w:lang w:eastAsia="en-US"/>
        </w:rPr>
        <w:t>Sekretariátom monitorovacieho výboru bude sekcia rozvoja vidieka MPRV SR, ktorá bude zodpovedná za prípravu dokumentácie týkajúcej sa monitorovania, správ, agendy a zápisov zo zasadnutí.</w:t>
      </w:r>
    </w:p>
    <w:p w:rsidR="008676F9" w:rsidRPr="008676F9" w:rsidRDefault="008676F9" w:rsidP="00F14F63">
      <w:pPr>
        <w:autoSpaceDE w:val="0"/>
        <w:autoSpaceDN w:val="0"/>
        <w:adjustRightInd w:val="0"/>
        <w:rPr>
          <w:rFonts w:ascii="Calibri" w:eastAsia="Calibri" w:hAnsi="Calibri" w:cs="TimesNewRoman"/>
          <w:szCs w:val="22"/>
          <w:lang w:eastAsia="en-US"/>
        </w:rPr>
      </w:pPr>
      <w:r w:rsidRPr="008676F9">
        <w:rPr>
          <w:rFonts w:ascii="Calibri" w:eastAsia="Calibri" w:hAnsi="Calibri" w:cs="TimesNewRoman"/>
          <w:szCs w:val="22"/>
          <w:lang w:eastAsia="en-US"/>
        </w:rPr>
        <w:t>Podrobnosti o úlohách a povinnostiach pre zabezpečenie  administratívy programu budú uvedené v rokovacom poriadku, ktorý sa schváli na prvom zasadnutí monitorovacieho výboru. Hlavné povinnosti sekretariátu budú zahŕňať:</w:t>
      </w:r>
    </w:p>
    <w:p w:rsidR="008676F9" w:rsidRPr="008676F9" w:rsidRDefault="008676F9" w:rsidP="00CE203B">
      <w:pPr>
        <w:numPr>
          <w:ilvl w:val="0"/>
          <w:numId w:val="292"/>
        </w:numPr>
        <w:tabs>
          <w:tab w:val="num" w:pos="360"/>
        </w:tabs>
        <w:autoSpaceDE w:val="0"/>
        <w:autoSpaceDN w:val="0"/>
        <w:adjustRightInd w:val="0"/>
        <w:ind w:hanging="720"/>
        <w:rPr>
          <w:rFonts w:ascii="Calibri" w:eastAsia="Calibri" w:hAnsi="Calibri" w:cs="TimesNewRoman"/>
          <w:szCs w:val="22"/>
          <w:lang w:eastAsia="en-US"/>
        </w:rPr>
      </w:pPr>
      <w:r w:rsidRPr="008676F9">
        <w:rPr>
          <w:rFonts w:ascii="Calibri" w:eastAsia="Calibri" w:hAnsi="Calibri" w:cs="TimesNewRoman"/>
          <w:szCs w:val="22"/>
          <w:lang w:eastAsia="en-US"/>
        </w:rPr>
        <w:t>vypracovanie návrhu agendy pre zasadnutie monitorovacieho výboru;</w:t>
      </w:r>
    </w:p>
    <w:p w:rsidR="008676F9" w:rsidRPr="008676F9" w:rsidRDefault="008676F9" w:rsidP="00CE203B">
      <w:pPr>
        <w:numPr>
          <w:ilvl w:val="0"/>
          <w:numId w:val="292"/>
        </w:numPr>
        <w:tabs>
          <w:tab w:val="num" w:pos="360"/>
        </w:tabs>
        <w:autoSpaceDE w:val="0"/>
        <w:autoSpaceDN w:val="0"/>
        <w:adjustRightInd w:val="0"/>
        <w:ind w:hanging="720"/>
        <w:rPr>
          <w:rFonts w:ascii="Calibri" w:eastAsia="Calibri" w:hAnsi="Calibri" w:cs="TimesNewRoman"/>
          <w:szCs w:val="22"/>
          <w:lang w:eastAsia="en-US"/>
        </w:rPr>
      </w:pPr>
      <w:r w:rsidRPr="008676F9">
        <w:rPr>
          <w:rFonts w:ascii="Calibri" w:eastAsia="Calibri" w:hAnsi="Calibri" w:cs="TimesNewRoman"/>
          <w:szCs w:val="22"/>
          <w:lang w:eastAsia="en-US"/>
        </w:rPr>
        <w:t>príprava a rozosielanie pozvánok, programov rokovaní a dokumentov;</w:t>
      </w:r>
    </w:p>
    <w:p w:rsidR="008676F9" w:rsidRPr="008676F9" w:rsidRDefault="008676F9" w:rsidP="00CE203B">
      <w:pPr>
        <w:numPr>
          <w:ilvl w:val="0"/>
          <w:numId w:val="292"/>
        </w:numPr>
        <w:tabs>
          <w:tab w:val="num" w:pos="360"/>
        </w:tabs>
        <w:ind w:hanging="720"/>
        <w:rPr>
          <w:rFonts w:ascii="Calibri" w:eastAsia="Calibri" w:hAnsi="Calibri"/>
          <w:szCs w:val="22"/>
          <w:lang w:eastAsia="en-US"/>
        </w:rPr>
      </w:pPr>
      <w:r w:rsidRPr="008676F9">
        <w:rPr>
          <w:rFonts w:ascii="Calibri" w:eastAsia="Calibri" w:hAnsi="Calibri" w:cs="TimesNewRoman"/>
          <w:szCs w:val="22"/>
          <w:lang w:eastAsia="en-US"/>
        </w:rPr>
        <w:t>písanie zápisníc zo zasadnutí.</w:t>
      </w:r>
    </w:p>
    <w:p w:rsidR="008676F9" w:rsidRPr="008676F9" w:rsidRDefault="008676F9" w:rsidP="00F14F63">
      <w:pPr>
        <w:tabs>
          <w:tab w:val="num" w:pos="360"/>
        </w:tabs>
        <w:ind w:hanging="720"/>
        <w:rPr>
          <w:rFonts w:ascii="Calibri" w:eastAsia="Calibri" w:hAnsi="Calibri"/>
          <w:szCs w:val="22"/>
          <w:lang w:eastAsia="en-US"/>
        </w:rPr>
      </w:pPr>
    </w:p>
    <w:p w:rsidR="008676F9" w:rsidRPr="008676F9" w:rsidRDefault="008676F9" w:rsidP="00F14F63">
      <w:pPr>
        <w:ind w:right="72"/>
        <w:rPr>
          <w:rFonts w:ascii="Calibri" w:eastAsia="Calibri" w:hAnsi="Calibri"/>
          <w:szCs w:val="22"/>
          <w:lang w:eastAsia="en-US"/>
        </w:rPr>
      </w:pPr>
      <w:r w:rsidRPr="008676F9">
        <w:rPr>
          <w:rFonts w:ascii="Calibri" w:eastAsia="Calibri" w:hAnsi="Calibri"/>
          <w:b/>
          <w:szCs w:val="22"/>
          <w:lang w:eastAsia="en-US"/>
        </w:rPr>
        <w:t xml:space="preserve">Funkcie monitorovacieho výboru </w:t>
      </w:r>
      <w:r w:rsidRPr="008676F9">
        <w:rPr>
          <w:rFonts w:ascii="Calibri" w:eastAsia="Calibri" w:hAnsi="Calibri"/>
          <w:szCs w:val="22"/>
          <w:lang w:eastAsia="en-US"/>
        </w:rPr>
        <w:t>(</w:t>
      </w:r>
      <w:r w:rsidRPr="008676F9">
        <w:rPr>
          <w:rFonts w:ascii="Calibri" w:eastAsia="Calibri" w:hAnsi="Calibri"/>
          <w:i/>
          <w:szCs w:val="22"/>
          <w:lang w:eastAsia="en-US"/>
        </w:rPr>
        <w:t>článok 49 nariadenia (EÚ) č. 1303/2013</w:t>
      </w:r>
      <w:r w:rsidRPr="008676F9">
        <w:rPr>
          <w:rFonts w:ascii="Calibri" w:eastAsia="Calibri" w:hAnsi="Calibri"/>
          <w:szCs w:val="22"/>
          <w:lang w:eastAsia="en-US"/>
        </w:rPr>
        <w:t>)</w:t>
      </w:r>
    </w:p>
    <w:p w:rsidR="008676F9" w:rsidRPr="008676F9" w:rsidRDefault="008676F9" w:rsidP="00CE203B">
      <w:pPr>
        <w:numPr>
          <w:ilvl w:val="0"/>
          <w:numId w:val="293"/>
        </w:numPr>
        <w:tabs>
          <w:tab w:val="num" w:pos="360"/>
        </w:tabs>
        <w:autoSpaceDE w:val="0"/>
        <w:autoSpaceDN w:val="0"/>
        <w:adjustRightInd w:val="0"/>
        <w:spacing w:after="120"/>
        <w:ind w:left="360"/>
        <w:rPr>
          <w:rFonts w:ascii="Calibri" w:eastAsia="Calibri" w:hAnsi="Calibri"/>
          <w:szCs w:val="22"/>
          <w:lang w:eastAsia="en-US"/>
        </w:rPr>
      </w:pPr>
      <w:r w:rsidRPr="008676F9">
        <w:rPr>
          <w:rFonts w:ascii="Calibri" w:eastAsia="Calibri" w:hAnsi="Calibri"/>
          <w:szCs w:val="22"/>
          <w:lang w:eastAsia="en-US"/>
        </w:rPr>
        <w:t>Monitorovací výbor sa stretáva aspoň raz do roka a kontroluje vykonávanie programu a pokrok dosiahnutý v napĺňaní jeho cieľov. Pri tom zohľadňuje finančné údaje, spoločné a špecifické ukazovatele týkajúce sa programu vrátane zmien v hodnotách ukazovateľov výsledkov a pokroku dosiahnutého v napĺňaní kvantifikovaných cieľových hodnôt a čiastkových cieľov (míľnikov) stanovených vo výkonnostnom rámci uvedenom v článku 21 ods. 1 nariadenia (EÚ) č. 1303/2013 a podľa potreby výsledky kvalitatívnych analýz.</w:t>
      </w:r>
    </w:p>
    <w:p w:rsidR="008676F9" w:rsidRPr="008676F9" w:rsidRDefault="008676F9" w:rsidP="00CE203B">
      <w:pPr>
        <w:numPr>
          <w:ilvl w:val="0"/>
          <w:numId w:val="293"/>
        </w:numPr>
        <w:tabs>
          <w:tab w:val="num" w:pos="0"/>
        </w:tabs>
        <w:autoSpaceDE w:val="0"/>
        <w:autoSpaceDN w:val="0"/>
        <w:adjustRightInd w:val="0"/>
        <w:spacing w:after="120"/>
        <w:ind w:left="360"/>
        <w:rPr>
          <w:rFonts w:ascii="Calibri" w:eastAsia="Calibri" w:hAnsi="Calibri"/>
          <w:szCs w:val="22"/>
          <w:lang w:eastAsia="en-US"/>
        </w:rPr>
      </w:pPr>
      <w:r w:rsidRPr="008676F9">
        <w:rPr>
          <w:rFonts w:ascii="Calibri" w:eastAsia="Calibri" w:hAnsi="Calibri"/>
          <w:szCs w:val="22"/>
          <w:lang w:eastAsia="en-US"/>
        </w:rPr>
        <w:t>Monitorovací výbor skúma všetky záležitosti, ktoré ovplyvňujú výkonnosť programu vrátane záverov z preskúmania výkonnosti.</w:t>
      </w:r>
    </w:p>
    <w:p w:rsidR="008676F9" w:rsidRPr="008676F9" w:rsidRDefault="008676F9" w:rsidP="00CE203B">
      <w:pPr>
        <w:numPr>
          <w:ilvl w:val="0"/>
          <w:numId w:val="293"/>
        </w:numPr>
        <w:tabs>
          <w:tab w:val="num" w:pos="360"/>
        </w:tabs>
        <w:autoSpaceDE w:val="0"/>
        <w:autoSpaceDN w:val="0"/>
        <w:adjustRightInd w:val="0"/>
        <w:spacing w:after="120"/>
        <w:ind w:left="426" w:hanging="426"/>
        <w:rPr>
          <w:rFonts w:ascii="Calibri" w:eastAsia="Calibri" w:hAnsi="Calibri"/>
          <w:szCs w:val="22"/>
          <w:lang w:eastAsia="en-US"/>
        </w:rPr>
      </w:pPr>
      <w:r w:rsidRPr="008676F9">
        <w:rPr>
          <w:rFonts w:ascii="Calibri" w:eastAsia="Calibri" w:hAnsi="Calibri"/>
          <w:szCs w:val="22"/>
          <w:lang w:eastAsia="en-US"/>
        </w:rPr>
        <w:t>Monitorovací výbor prekonzultuje akékoľvek zmeny programu, ktoré navrhol riadiaci orgán, a ak to požaduje za vhodné, vydá k nim stanovisko.</w:t>
      </w:r>
    </w:p>
    <w:p w:rsidR="008676F9" w:rsidRPr="008676F9" w:rsidRDefault="008676F9" w:rsidP="00CE203B">
      <w:pPr>
        <w:numPr>
          <w:ilvl w:val="0"/>
          <w:numId w:val="293"/>
        </w:numPr>
        <w:tabs>
          <w:tab w:val="num" w:pos="360"/>
        </w:tabs>
        <w:autoSpaceDE w:val="0"/>
        <w:autoSpaceDN w:val="0"/>
        <w:adjustRightInd w:val="0"/>
        <w:spacing w:after="200"/>
        <w:ind w:left="360"/>
        <w:rPr>
          <w:rFonts w:ascii="Calibri" w:eastAsia="Calibri" w:hAnsi="Calibri"/>
          <w:b/>
          <w:szCs w:val="22"/>
          <w:lang w:eastAsia="en-US"/>
        </w:rPr>
      </w:pPr>
      <w:r w:rsidRPr="008676F9">
        <w:rPr>
          <w:rFonts w:ascii="Calibri" w:eastAsia="Calibri" w:hAnsi="Calibri"/>
          <w:szCs w:val="22"/>
          <w:lang w:eastAsia="en-US"/>
        </w:rPr>
        <w:t>Monitorovací výbor môže riadiacemu orgánu predkladať pripomienky týkajúce sa vykonávania a hodnotenia programu vrátane opatrení zameraných na znižovanie administratívnej záťaže prijímateľov podpory. Monitorovací výbor monitoruje opatrenia prijaté v nadväznosti na jeho pripomienky.</w:t>
      </w:r>
    </w:p>
    <w:p w:rsidR="008676F9" w:rsidRPr="008676F9" w:rsidRDefault="008676F9" w:rsidP="00F14F63">
      <w:pPr>
        <w:ind w:right="72"/>
        <w:rPr>
          <w:rFonts w:ascii="Calibri" w:eastAsia="Calibri" w:hAnsi="Calibri"/>
          <w:szCs w:val="22"/>
          <w:lang w:eastAsia="en-US"/>
        </w:rPr>
      </w:pPr>
      <w:r w:rsidRPr="008676F9">
        <w:rPr>
          <w:rFonts w:ascii="Calibri" w:eastAsia="Calibri" w:hAnsi="Calibri"/>
          <w:b/>
          <w:szCs w:val="22"/>
          <w:lang w:eastAsia="en-US"/>
        </w:rPr>
        <w:t xml:space="preserve">Povinnosti  monitorovacieho výboru </w:t>
      </w:r>
      <w:r w:rsidRPr="008676F9">
        <w:rPr>
          <w:rFonts w:ascii="Calibri" w:eastAsia="Calibri" w:hAnsi="Calibri"/>
          <w:szCs w:val="22"/>
          <w:lang w:eastAsia="en-US"/>
        </w:rPr>
        <w:t>(</w:t>
      </w:r>
      <w:r w:rsidRPr="008676F9">
        <w:rPr>
          <w:rFonts w:ascii="Calibri" w:eastAsia="Calibri" w:hAnsi="Calibri"/>
          <w:i/>
          <w:szCs w:val="22"/>
          <w:lang w:eastAsia="en-US"/>
        </w:rPr>
        <w:t>článok 74 nariadenia (EÚ) č. 1305/2013</w:t>
      </w:r>
      <w:r w:rsidRPr="008676F9">
        <w:rPr>
          <w:rFonts w:ascii="Calibri" w:eastAsia="Calibri" w:hAnsi="Calibri"/>
          <w:szCs w:val="22"/>
          <w:lang w:eastAsia="en-US"/>
        </w:rPr>
        <w:t>)</w:t>
      </w:r>
    </w:p>
    <w:p w:rsidR="008676F9" w:rsidRPr="008676F9" w:rsidRDefault="008676F9" w:rsidP="00F14F63">
      <w:pPr>
        <w:spacing w:after="120"/>
        <w:ind w:right="74"/>
        <w:rPr>
          <w:rFonts w:ascii="Calibri" w:eastAsia="Calibri" w:hAnsi="Calibri"/>
          <w:szCs w:val="22"/>
          <w:lang w:eastAsia="en-US"/>
        </w:rPr>
      </w:pPr>
      <w:r w:rsidRPr="008676F9">
        <w:rPr>
          <w:rFonts w:ascii="Calibri" w:eastAsia="Calibri" w:hAnsi="Calibri"/>
          <w:szCs w:val="22"/>
          <w:lang w:eastAsia="en-US"/>
        </w:rPr>
        <w:t>Monitorovací výbor sa presvedčí o výsledkoch vykonávania programu rozvoja vidieka a účinnosti jeho vykonávania. Na tieto účely popri funkciách uvedených v článku 49 nariadenia (EÚ) č. 1303/2013 monitorovací výbor:</w:t>
      </w:r>
    </w:p>
    <w:p w:rsidR="008676F9" w:rsidRPr="008676F9" w:rsidRDefault="008676F9" w:rsidP="00CE203B">
      <w:pPr>
        <w:numPr>
          <w:ilvl w:val="0"/>
          <w:numId w:val="291"/>
        </w:numPr>
        <w:spacing w:after="120"/>
        <w:ind w:right="74"/>
        <w:rPr>
          <w:rFonts w:ascii="Calibri" w:eastAsia="Calibri" w:hAnsi="Calibri"/>
          <w:szCs w:val="22"/>
          <w:lang w:eastAsia="en-US"/>
        </w:rPr>
      </w:pPr>
      <w:r w:rsidRPr="008676F9">
        <w:rPr>
          <w:rFonts w:ascii="Calibri" w:eastAsia="Calibri" w:hAnsi="Calibri"/>
          <w:szCs w:val="22"/>
          <w:lang w:eastAsia="en-US"/>
        </w:rPr>
        <w:t>prekonzultuje a najneskôr do 4 mesiacov od rozhodnutia o schválení programu vydá stanovisko k výberovým kritériám pre financované operácie. Výberové kritériá sa upravia podľa potrieb programovania;</w:t>
      </w:r>
    </w:p>
    <w:p w:rsidR="008676F9" w:rsidRPr="008676F9" w:rsidRDefault="008676F9" w:rsidP="00CE203B">
      <w:pPr>
        <w:numPr>
          <w:ilvl w:val="0"/>
          <w:numId w:val="291"/>
        </w:numPr>
        <w:spacing w:after="120"/>
        <w:ind w:right="74"/>
        <w:rPr>
          <w:rFonts w:ascii="Calibri" w:eastAsia="Calibri" w:hAnsi="Calibri"/>
          <w:szCs w:val="22"/>
          <w:lang w:eastAsia="en-US"/>
        </w:rPr>
      </w:pPr>
      <w:r w:rsidRPr="008676F9">
        <w:rPr>
          <w:rFonts w:ascii="Calibri" w:eastAsia="Calibri" w:hAnsi="Calibri"/>
          <w:szCs w:val="22"/>
          <w:lang w:eastAsia="en-US"/>
        </w:rPr>
        <w:t>skúma činnosti a výstupy súvisiace s pokrokom vo vykonávaní  hodnotiaceho plánu programu;</w:t>
      </w:r>
    </w:p>
    <w:p w:rsidR="008676F9" w:rsidRPr="008676F9" w:rsidRDefault="008676F9" w:rsidP="00CE203B">
      <w:pPr>
        <w:numPr>
          <w:ilvl w:val="0"/>
          <w:numId w:val="291"/>
        </w:numPr>
        <w:spacing w:after="120"/>
        <w:ind w:right="74"/>
        <w:rPr>
          <w:rFonts w:ascii="Calibri" w:eastAsia="Calibri" w:hAnsi="Calibri"/>
          <w:szCs w:val="22"/>
          <w:lang w:eastAsia="en-US"/>
        </w:rPr>
      </w:pPr>
      <w:r w:rsidRPr="008676F9">
        <w:rPr>
          <w:rFonts w:ascii="Calibri" w:eastAsia="Calibri" w:hAnsi="Calibri"/>
          <w:szCs w:val="22"/>
          <w:lang w:eastAsia="en-US"/>
        </w:rPr>
        <w:t>skúma predovšetkým činnosti v programe týkajúce sa plnenia ex-ante kondicionalít v gescii riadiaceho orgánu a je informovaný o činnostiach súvisiacich s plnením ostatných ex-ante kondicionalít;</w:t>
      </w:r>
    </w:p>
    <w:p w:rsidR="008676F9" w:rsidRPr="008676F9" w:rsidRDefault="008676F9" w:rsidP="00CE203B">
      <w:pPr>
        <w:numPr>
          <w:ilvl w:val="0"/>
          <w:numId w:val="291"/>
        </w:numPr>
        <w:spacing w:after="120"/>
        <w:ind w:right="74"/>
        <w:rPr>
          <w:rFonts w:ascii="Calibri" w:eastAsia="Calibri" w:hAnsi="Calibri"/>
          <w:szCs w:val="22"/>
          <w:lang w:eastAsia="en-US"/>
        </w:rPr>
      </w:pPr>
      <w:r w:rsidRPr="008676F9">
        <w:rPr>
          <w:rFonts w:ascii="Calibri" w:eastAsia="Calibri" w:hAnsi="Calibri"/>
          <w:szCs w:val="22"/>
          <w:lang w:eastAsia="en-US"/>
        </w:rPr>
        <w:t>zúčastňuje sa na národnej sieti rozvoja vidieka za účelom výmeny informácií o realizácii programu a</w:t>
      </w:r>
    </w:p>
    <w:p w:rsidR="008676F9" w:rsidRPr="008676F9" w:rsidRDefault="008676F9" w:rsidP="00CE203B">
      <w:pPr>
        <w:numPr>
          <w:ilvl w:val="0"/>
          <w:numId w:val="291"/>
        </w:numPr>
        <w:spacing w:after="200"/>
        <w:ind w:right="72"/>
        <w:rPr>
          <w:rFonts w:ascii="Calibri" w:eastAsia="Calibri" w:hAnsi="Calibri"/>
          <w:szCs w:val="22"/>
          <w:lang w:eastAsia="en-US"/>
        </w:rPr>
      </w:pPr>
      <w:r w:rsidRPr="008676F9">
        <w:rPr>
          <w:rFonts w:ascii="Calibri" w:eastAsia="Calibri" w:hAnsi="Calibri"/>
          <w:szCs w:val="22"/>
          <w:lang w:eastAsia="en-US"/>
        </w:rPr>
        <w:t xml:space="preserve"> posudzuje a schvaľuje výročné správy o vykonávaní programu pred ich odoslaním Komisii.</w:t>
      </w:r>
    </w:p>
    <w:p w:rsidR="008676F9" w:rsidRPr="008676F9" w:rsidRDefault="008676F9" w:rsidP="00F14F63">
      <w:pPr>
        <w:rPr>
          <w:rFonts w:ascii="Calibri" w:eastAsia="Calibri" w:hAnsi="Calibri"/>
          <w:szCs w:val="22"/>
          <w:lang w:eastAsia="en-US"/>
        </w:rPr>
      </w:pPr>
    </w:p>
    <w:p w:rsidR="008676F9" w:rsidRPr="008676F9" w:rsidRDefault="008676F9" w:rsidP="00AA30CA">
      <w:pPr>
        <w:pStyle w:val="Pod"/>
        <w:rPr>
          <w:rFonts w:eastAsia="Calibri"/>
          <w:lang w:eastAsia="en-US"/>
        </w:rPr>
      </w:pPr>
      <w:bookmarkStart w:id="168" w:name="_Toc384111092"/>
      <w:bookmarkStart w:id="169" w:name="_Toc387041360"/>
      <w:r w:rsidRPr="008676F9">
        <w:rPr>
          <w:rFonts w:eastAsia="Calibri"/>
          <w:lang w:eastAsia="en-US"/>
        </w:rPr>
        <w:t>15.3 Informačná a propagačná stratégia</w:t>
      </w:r>
      <w:bookmarkEnd w:id="168"/>
      <w:bookmarkEnd w:id="169"/>
    </w:p>
    <w:p w:rsidR="008676F9" w:rsidRPr="008676F9" w:rsidRDefault="008676F9" w:rsidP="00AA30CA">
      <w:pPr>
        <w:pStyle w:val="Podpod"/>
      </w:pPr>
      <w:bookmarkStart w:id="170" w:name="_Toc384111093"/>
      <w:bookmarkStart w:id="171" w:name="_Toc387041361"/>
      <w:r w:rsidRPr="008676F9">
        <w:t>15.3.1 Informovanie potenciálnych prijímateľov a všetkých cieľových skupín o možnostiach ponúkaných programom a pravidlách pre prístup na získanie financovania z programu</w:t>
      </w:r>
      <w:bookmarkEnd w:id="170"/>
      <w:bookmarkEnd w:id="171"/>
    </w:p>
    <w:p w:rsidR="008676F9" w:rsidRPr="008676F9" w:rsidRDefault="008676F9" w:rsidP="00F14F63">
      <w:pPr>
        <w:autoSpaceDE w:val="0"/>
        <w:autoSpaceDN w:val="0"/>
        <w:adjustRightInd w:val="0"/>
        <w:rPr>
          <w:rFonts w:ascii="Calibri" w:eastAsia="Calibri" w:hAnsi="Calibri"/>
          <w:szCs w:val="22"/>
          <w:lang w:eastAsia="en-US"/>
        </w:rPr>
      </w:pPr>
      <w:r w:rsidRPr="008676F9">
        <w:rPr>
          <w:rFonts w:ascii="Calibri" w:eastAsia="Calibri" w:hAnsi="Calibri"/>
          <w:szCs w:val="22"/>
          <w:lang w:eastAsia="en-US"/>
        </w:rPr>
        <w:t>Informačnú a propagačnú stratégiu bude riadiaci orgán vykonávať prostredníctvom Komunikačného plánu. Cieľom komunikačného plánu bude informovanie potenciálnych príjemcov o možnosti získania finančných prostriedkov z EAFRD, zahájenie aktuálnych výziev v rámci Programu rozvoja vidieka SR, administratívne postupy a opisy postupov potrebné dodržať pri nároku na financovanie v rámci programu, podmienky oprávnenosti, kritériá pre výber a hodnotenie projektov, kontaktné údaje na riadiaci orgán, informačné a komunikačné opatrenia, ktoré sú potrebné pre príjemcu pomoci. Súčasťou komunikačného plánu je komunikačná kampaň a komunikačné nástroje:</w:t>
      </w:r>
    </w:p>
    <w:p w:rsidR="008676F9" w:rsidRPr="008676F9" w:rsidRDefault="008676F9" w:rsidP="00F14F63">
      <w:pPr>
        <w:autoSpaceDE w:val="0"/>
        <w:autoSpaceDN w:val="0"/>
        <w:adjustRightInd w:val="0"/>
        <w:rPr>
          <w:rFonts w:ascii="Calibri" w:eastAsia="Calibri" w:hAnsi="Calibri"/>
          <w:b/>
          <w:szCs w:val="22"/>
          <w:lang w:eastAsia="en-US"/>
        </w:rPr>
      </w:pPr>
    </w:p>
    <w:p w:rsidR="008676F9" w:rsidRPr="008676F9" w:rsidRDefault="008676F9" w:rsidP="00F14F63">
      <w:pPr>
        <w:spacing w:after="120"/>
        <w:rPr>
          <w:rFonts w:ascii="Calibri" w:eastAsia="Calibri" w:hAnsi="Calibri"/>
          <w:szCs w:val="22"/>
          <w:lang w:eastAsia="en-US"/>
        </w:rPr>
      </w:pPr>
      <w:r w:rsidRPr="008676F9">
        <w:rPr>
          <w:rFonts w:ascii="Calibri" w:eastAsia="Calibri" w:hAnsi="Calibri"/>
          <w:szCs w:val="22"/>
          <w:lang w:eastAsia="en-US"/>
        </w:rPr>
        <w:t xml:space="preserve">Komunikačná  kampaň  bude prebiehať v troch fázach: </w:t>
      </w:r>
    </w:p>
    <w:p w:rsidR="008676F9" w:rsidRPr="008676F9" w:rsidRDefault="008676F9" w:rsidP="00CE203B">
      <w:pPr>
        <w:numPr>
          <w:ilvl w:val="0"/>
          <w:numId w:val="295"/>
        </w:numPr>
        <w:tabs>
          <w:tab w:val="num" w:pos="284"/>
        </w:tabs>
        <w:spacing w:after="120"/>
        <w:ind w:left="284" w:hanging="284"/>
        <w:rPr>
          <w:rFonts w:ascii="Calibri" w:eastAsia="Calibri" w:hAnsi="Calibri"/>
          <w:szCs w:val="22"/>
          <w:lang w:eastAsia="en-US"/>
        </w:rPr>
      </w:pPr>
      <w:r w:rsidRPr="008676F9">
        <w:rPr>
          <w:rFonts w:ascii="Calibri" w:eastAsia="Calibri" w:hAnsi="Calibri"/>
          <w:szCs w:val="22"/>
          <w:lang w:eastAsia="en-US"/>
        </w:rPr>
        <w:t>1. fáza: informačná kampaň - cieľom informačnej kampane je informovať širokú verejnosť o cieľoch, možnostiach, realizácií jednotlivých projektov a financovaní z pomoci poskytovanej z Európskeho poľnohospodárskeho fondu pre rozvoj vidieka, zahájenie aktuálnych výziev v rámci Programu rozvoja vidieka SR, administratívne postupy a opisy postupov potrebné dodržať pri nároku na financovanie v rámci programu. Náležitá pozornosť sa bude venovať informovaniu, že činnosť sa financuje z programu financovaného z EAFRD.</w:t>
      </w:r>
    </w:p>
    <w:p w:rsidR="008676F9" w:rsidRPr="008676F9" w:rsidRDefault="008676F9" w:rsidP="00CE203B">
      <w:pPr>
        <w:numPr>
          <w:ilvl w:val="0"/>
          <w:numId w:val="295"/>
        </w:numPr>
        <w:tabs>
          <w:tab w:val="num" w:pos="284"/>
        </w:tabs>
        <w:spacing w:after="120"/>
        <w:ind w:left="284" w:hanging="284"/>
        <w:rPr>
          <w:rFonts w:ascii="Calibri" w:eastAsia="Calibri" w:hAnsi="Calibri"/>
          <w:szCs w:val="22"/>
          <w:lang w:eastAsia="en-US"/>
        </w:rPr>
      </w:pPr>
      <w:r w:rsidRPr="008676F9">
        <w:rPr>
          <w:rFonts w:ascii="Calibri" w:eastAsia="Calibri" w:hAnsi="Calibri"/>
          <w:szCs w:val="22"/>
          <w:lang w:eastAsia="en-US"/>
        </w:rPr>
        <w:t>2. fáza: presvedčovacia kampaň - presvedčovacia kampaň predstavuje najintenzívnejšiu fázu komunikačnej kampane, ktorej cieľom bude zvýšiť záujem potenciálnych a konečných príjemcov o čerpanie finančných prostriedkov z EAFRD. Súčasťou kampane bude aj informovanie o podmienkach oprávnenosti, kritériách výberu a hodnotenie projektov, kontaktné údaje na riadiaci orgán, informačné a komunikačné opatrenia, ktoré sú potrebné pre príjemcu pomoci</w:t>
      </w:r>
    </w:p>
    <w:p w:rsidR="008676F9" w:rsidRPr="008676F9" w:rsidRDefault="008676F9" w:rsidP="00CE203B">
      <w:pPr>
        <w:numPr>
          <w:ilvl w:val="0"/>
          <w:numId w:val="295"/>
        </w:numPr>
        <w:tabs>
          <w:tab w:val="num" w:pos="284"/>
        </w:tabs>
        <w:spacing w:after="200"/>
        <w:ind w:left="284" w:hanging="284"/>
        <w:rPr>
          <w:rFonts w:ascii="Calibri" w:eastAsia="Calibri" w:hAnsi="Calibri"/>
          <w:szCs w:val="22"/>
          <w:lang w:eastAsia="en-US"/>
        </w:rPr>
      </w:pPr>
      <w:r w:rsidRPr="008676F9">
        <w:rPr>
          <w:rFonts w:ascii="Calibri" w:eastAsia="Calibri" w:hAnsi="Calibri"/>
          <w:szCs w:val="22"/>
          <w:lang w:eastAsia="en-US"/>
        </w:rPr>
        <w:t>3. fáza: pripomínajúca kampaň - cieľom  pripomínajúcej kampane bude propagovať Program rozvoja vidieka SR tak, aby potenciálny a konečný príjemca, čo najlepšie pochopil a využil</w:t>
      </w:r>
      <w:r w:rsidRPr="008676F9">
        <w:rPr>
          <w:rFonts w:ascii="Calibri" w:eastAsia="Calibri" w:hAnsi="Calibri"/>
          <w:szCs w:val="22"/>
          <w:lang w:eastAsia="en-US"/>
        </w:rPr>
        <w:lastRenderedPageBreak/>
        <w:t xml:space="preserve"> príležitosť podpory. Informačné aktivity budú zamerané na motiváciu a to najmä príkladmi z praxe t.j. propagáciou úspešných a zrealizovaných projektov.</w:t>
      </w:r>
    </w:p>
    <w:p w:rsidR="008676F9" w:rsidRPr="008676F9" w:rsidRDefault="008676F9" w:rsidP="00F14F63">
      <w:pPr>
        <w:rPr>
          <w:rFonts w:ascii="Calibri" w:eastAsia="Calibri" w:hAnsi="Calibri"/>
          <w:szCs w:val="22"/>
          <w:lang w:eastAsia="en-US"/>
        </w:rPr>
      </w:pPr>
      <w:r w:rsidRPr="008676F9">
        <w:rPr>
          <w:rFonts w:ascii="Calibri" w:eastAsia="Calibri" w:hAnsi="Calibri"/>
          <w:szCs w:val="22"/>
          <w:lang w:eastAsia="en-US"/>
        </w:rPr>
        <w:t>Komunikačné nástroje budú vybrané v čo najširšom spektre tak, aby sa informácie o Programe rozvoja vidieka SR dostali k jednotlivým cieľovým skupinám, a to na základe ich čítanosti, počúvanosti a sledovanosti. Činnosti, zamerané na informovanie príjemcov príspevku budú mať za cieľ zvýšiť pripravenosť, pochopenie a zabezpečenie čerpania z  Programu rozvoja vidieka. Informácie budú zahrňovať prehľad administratívnych postupov, kritéria, mechanizmy pre vyhodnocovanie, kritéria oprávnenosti pre výber a pod. Aby boli dosiahnuté stanovené ciele informačnej a propagačnej stratégie, riadiaci orgán využije nasledovné komunikačné nástroje:</w:t>
      </w:r>
    </w:p>
    <w:p w:rsidR="008676F9" w:rsidRPr="008676F9" w:rsidRDefault="008676F9" w:rsidP="00F14F63">
      <w:pPr>
        <w:rPr>
          <w:rFonts w:ascii="Calibri" w:eastAsia="Calibri" w:hAnsi="Calibri"/>
          <w:szCs w:val="22"/>
          <w:lang w:eastAsia="en-US"/>
        </w:rPr>
      </w:pPr>
    </w:p>
    <w:p w:rsidR="008676F9" w:rsidRPr="008676F9" w:rsidRDefault="008676F9" w:rsidP="00CE203B">
      <w:pPr>
        <w:numPr>
          <w:ilvl w:val="0"/>
          <w:numId w:val="295"/>
        </w:numPr>
        <w:rPr>
          <w:rFonts w:ascii="Calibri" w:eastAsia="Calibri" w:hAnsi="Calibri"/>
          <w:b/>
          <w:szCs w:val="22"/>
          <w:u w:val="single"/>
          <w:lang w:eastAsia="en-US"/>
        </w:rPr>
      </w:pPr>
      <w:r w:rsidRPr="008676F9">
        <w:rPr>
          <w:rFonts w:ascii="Calibri" w:eastAsia="Calibri" w:hAnsi="Calibri"/>
          <w:b/>
          <w:szCs w:val="22"/>
          <w:u w:val="single"/>
          <w:lang w:eastAsia="en-US"/>
        </w:rPr>
        <w:t xml:space="preserve">Komunikácia s médiami </w:t>
      </w:r>
    </w:p>
    <w:p w:rsidR="008676F9" w:rsidRPr="008676F9" w:rsidRDefault="008676F9" w:rsidP="00BB33FC">
      <w:pPr>
        <w:ind w:left="1080" w:firstLine="336"/>
        <w:rPr>
          <w:rFonts w:ascii="Calibri" w:eastAsia="Calibri" w:hAnsi="Calibri"/>
          <w:szCs w:val="22"/>
          <w:lang w:eastAsia="en-US"/>
        </w:rPr>
      </w:pPr>
      <w:r w:rsidRPr="008676F9">
        <w:rPr>
          <w:rFonts w:ascii="Calibri" w:eastAsia="Calibri" w:hAnsi="Calibri"/>
          <w:b/>
          <w:bCs/>
          <w:szCs w:val="22"/>
          <w:lang w:eastAsia="en-US"/>
        </w:rPr>
        <w:t>Printové média</w:t>
      </w:r>
    </w:p>
    <w:p w:rsidR="008676F9" w:rsidRPr="008676F9" w:rsidRDefault="008676F9" w:rsidP="00BB33FC">
      <w:pPr>
        <w:ind w:left="1326" w:firstLine="90"/>
        <w:rPr>
          <w:rFonts w:ascii="Calibri" w:eastAsia="Calibri" w:hAnsi="Calibri"/>
          <w:szCs w:val="22"/>
          <w:lang w:eastAsia="en-US"/>
        </w:rPr>
      </w:pPr>
      <w:r w:rsidRPr="008676F9">
        <w:rPr>
          <w:rFonts w:ascii="Calibri" w:eastAsia="Calibri" w:hAnsi="Calibri"/>
          <w:b/>
          <w:bCs/>
          <w:color w:val="000000"/>
          <w:szCs w:val="22"/>
          <w:lang w:eastAsia="en-US"/>
        </w:rPr>
        <w:t xml:space="preserve">Televízia a rozhlas </w:t>
      </w:r>
    </w:p>
    <w:p w:rsidR="008676F9" w:rsidRDefault="008676F9" w:rsidP="00BB33FC">
      <w:pPr>
        <w:spacing w:line="276" w:lineRule="auto"/>
        <w:ind w:left="1315" w:firstLine="101"/>
        <w:rPr>
          <w:rFonts w:ascii="Calibri" w:eastAsia="Calibri" w:hAnsi="Calibri"/>
          <w:b/>
          <w:bCs/>
          <w:color w:val="000000"/>
          <w:szCs w:val="22"/>
          <w:lang w:eastAsia="en-US"/>
        </w:rPr>
      </w:pPr>
      <w:r w:rsidRPr="008676F9">
        <w:rPr>
          <w:rFonts w:ascii="Calibri" w:eastAsia="Calibri" w:hAnsi="Calibri"/>
          <w:b/>
          <w:bCs/>
          <w:color w:val="000000"/>
          <w:szCs w:val="22"/>
          <w:lang w:eastAsia="en-US"/>
        </w:rPr>
        <w:t>Internet, sociálne siete</w:t>
      </w:r>
    </w:p>
    <w:p w:rsidR="00BC4D3C" w:rsidRPr="008676F9" w:rsidRDefault="00BC4D3C" w:rsidP="00BB33FC">
      <w:pPr>
        <w:spacing w:line="276" w:lineRule="auto"/>
        <w:ind w:left="1315" w:firstLine="101"/>
        <w:rPr>
          <w:rFonts w:ascii="Calibri" w:eastAsia="Calibri" w:hAnsi="Calibri"/>
          <w:szCs w:val="22"/>
          <w:lang w:eastAsia="en-US"/>
        </w:rPr>
      </w:pPr>
    </w:p>
    <w:p w:rsidR="008676F9" w:rsidRPr="008676F9" w:rsidRDefault="008676F9" w:rsidP="00CE203B">
      <w:pPr>
        <w:numPr>
          <w:ilvl w:val="0"/>
          <w:numId w:val="295"/>
        </w:numPr>
        <w:spacing w:line="276" w:lineRule="auto"/>
        <w:rPr>
          <w:rFonts w:ascii="Calibri" w:eastAsia="Calibri" w:hAnsi="Calibri"/>
          <w:b/>
          <w:szCs w:val="22"/>
          <w:u w:val="single"/>
          <w:lang w:eastAsia="en-US"/>
        </w:rPr>
      </w:pPr>
      <w:r w:rsidRPr="008676F9">
        <w:rPr>
          <w:rFonts w:ascii="Calibri" w:eastAsia="Calibri" w:hAnsi="Calibri"/>
          <w:b/>
          <w:szCs w:val="22"/>
          <w:u w:val="single"/>
          <w:lang w:eastAsia="en-US"/>
        </w:rPr>
        <w:t>Audiovizuálne diela</w:t>
      </w:r>
    </w:p>
    <w:p w:rsidR="008676F9" w:rsidRPr="008676F9" w:rsidRDefault="008676F9" w:rsidP="00BB33FC">
      <w:pPr>
        <w:ind w:left="708" w:firstLine="708"/>
        <w:rPr>
          <w:rFonts w:ascii="Calibri" w:eastAsia="Calibri" w:hAnsi="Calibri"/>
          <w:b/>
          <w:bCs/>
          <w:color w:val="000000"/>
          <w:szCs w:val="22"/>
          <w:lang w:eastAsia="en-US"/>
        </w:rPr>
      </w:pPr>
      <w:r w:rsidRPr="008676F9">
        <w:rPr>
          <w:rFonts w:ascii="Calibri" w:eastAsia="Calibri" w:hAnsi="Calibri"/>
          <w:b/>
          <w:bCs/>
          <w:color w:val="000000"/>
          <w:szCs w:val="22"/>
          <w:lang w:eastAsia="en-US"/>
        </w:rPr>
        <w:t xml:space="preserve">Prezentačné CD </w:t>
      </w:r>
    </w:p>
    <w:p w:rsidR="008676F9" w:rsidRPr="008676F9" w:rsidRDefault="008676F9" w:rsidP="00BB33FC">
      <w:pPr>
        <w:ind w:left="708" w:firstLine="708"/>
        <w:rPr>
          <w:rFonts w:ascii="Calibri" w:eastAsia="Calibri" w:hAnsi="Calibri"/>
          <w:b/>
          <w:bCs/>
          <w:color w:val="000000"/>
          <w:szCs w:val="22"/>
          <w:lang w:eastAsia="en-US"/>
        </w:rPr>
      </w:pPr>
    </w:p>
    <w:p w:rsidR="008676F9" w:rsidRPr="008676F9" w:rsidRDefault="008676F9" w:rsidP="00CE203B">
      <w:pPr>
        <w:numPr>
          <w:ilvl w:val="0"/>
          <w:numId w:val="295"/>
        </w:numPr>
        <w:spacing w:line="276" w:lineRule="auto"/>
        <w:rPr>
          <w:rFonts w:ascii="Calibri" w:eastAsia="Calibri" w:hAnsi="Calibri"/>
          <w:b/>
          <w:szCs w:val="22"/>
          <w:u w:val="single"/>
          <w:lang w:eastAsia="en-US"/>
        </w:rPr>
      </w:pPr>
      <w:r w:rsidRPr="008676F9">
        <w:rPr>
          <w:rFonts w:ascii="Calibri" w:eastAsia="Calibri" w:hAnsi="Calibri"/>
          <w:b/>
          <w:szCs w:val="22"/>
          <w:u w:val="single"/>
          <w:lang w:eastAsia="en-US"/>
        </w:rPr>
        <w:t>Tlačené propagačné a informačné materiály</w:t>
      </w:r>
    </w:p>
    <w:p w:rsidR="008676F9" w:rsidRPr="008676F9" w:rsidRDefault="008676F9" w:rsidP="00BB33FC">
      <w:pPr>
        <w:ind w:left="708" w:firstLine="708"/>
        <w:rPr>
          <w:rFonts w:ascii="Calibri" w:eastAsia="Calibri" w:hAnsi="Calibri"/>
          <w:b/>
          <w:bCs/>
          <w:szCs w:val="22"/>
          <w:lang w:eastAsia="en-US"/>
        </w:rPr>
      </w:pPr>
      <w:r w:rsidRPr="008676F9">
        <w:rPr>
          <w:rFonts w:ascii="Calibri" w:eastAsia="Calibri" w:hAnsi="Calibri"/>
          <w:b/>
          <w:bCs/>
          <w:szCs w:val="22"/>
          <w:lang w:eastAsia="en-US"/>
        </w:rPr>
        <w:t>Letáky</w:t>
      </w:r>
    </w:p>
    <w:p w:rsidR="008676F9" w:rsidRPr="008676F9" w:rsidRDefault="008676F9" w:rsidP="00BB33FC">
      <w:pPr>
        <w:ind w:left="708" w:firstLine="708"/>
        <w:rPr>
          <w:rFonts w:ascii="Calibri" w:eastAsia="Calibri" w:hAnsi="Calibri"/>
          <w:b/>
          <w:bCs/>
          <w:szCs w:val="22"/>
          <w:lang w:eastAsia="en-US"/>
        </w:rPr>
      </w:pPr>
      <w:r w:rsidRPr="008676F9">
        <w:rPr>
          <w:rFonts w:ascii="Calibri" w:eastAsia="Calibri" w:hAnsi="Calibri"/>
          <w:b/>
          <w:bCs/>
          <w:szCs w:val="22"/>
          <w:lang w:eastAsia="en-US"/>
        </w:rPr>
        <w:t>Brožúry</w:t>
      </w:r>
    </w:p>
    <w:p w:rsidR="008676F9" w:rsidRPr="008676F9" w:rsidRDefault="008676F9" w:rsidP="00BB33FC">
      <w:pPr>
        <w:ind w:left="1332" w:firstLine="79"/>
        <w:rPr>
          <w:rFonts w:ascii="Calibri" w:eastAsia="Calibri" w:hAnsi="Calibri"/>
          <w:b/>
          <w:bCs/>
          <w:szCs w:val="22"/>
          <w:lang w:eastAsia="en-US"/>
        </w:rPr>
      </w:pPr>
      <w:r w:rsidRPr="008676F9">
        <w:rPr>
          <w:rFonts w:ascii="Calibri" w:eastAsia="Calibri" w:hAnsi="Calibri"/>
          <w:b/>
          <w:bCs/>
          <w:szCs w:val="22"/>
          <w:lang w:eastAsia="en-US"/>
        </w:rPr>
        <w:t>Reklamné tabule</w:t>
      </w:r>
    </w:p>
    <w:p w:rsidR="008676F9" w:rsidRPr="008676F9" w:rsidRDefault="008676F9" w:rsidP="00BB33FC">
      <w:pPr>
        <w:ind w:firstLine="709"/>
        <w:rPr>
          <w:rFonts w:ascii="Calibri" w:eastAsia="Calibri" w:hAnsi="Calibri"/>
          <w:b/>
          <w:bCs/>
          <w:szCs w:val="22"/>
          <w:lang w:eastAsia="en-US"/>
        </w:rPr>
      </w:pPr>
      <w:r w:rsidRPr="008676F9">
        <w:rPr>
          <w:rFonts w:ascii="Calibri" w:eastAsia="Calibri" w:hAnsi="Calibri"/>
          <w:b/>
          <w:bCs/>
          <w:szCs w:val="22"/>
          <w:lang w:eastAsia="en-US"/>
        </w:rPr>
        <w:t xml:space="preserve"> </w:t>
      </w:r>
      <w:r w:rsidRPr="008676F9">
        <w:rPr>
          <w:rFonts w:ascii="Calibri" w:eastAsia="Calibri" w:hAnsi="Calibri"/>
          <w:b/>
          <w:bCs/>
          <w:szCs w:val="22"/>
          <w:lang w:eastAsia="en-US"/>
        </w:rPr>
        <w:tab/>
        <w:t>Manuál informačnej a propagačnej stratégie</w:t>
      </w:r>
    </w:p>
    <w:p w:rsidR="008676F9" w:rsidRPr="008676F9" w:rsidRDefault="008676F9" w:rsidP="00BB33FC">
      <w:pPr>
        <w:ind w:firstLine="708"/>
        <w:rPr>
          <w:rFonts w:ascii="Calibri" w:eastAsia="Calibri" w:hAnsi="Calibri"/>
          <w:b/>
          <w:bCs/>
          <w:szCs w:val="22"/>
          <w:lang w:eastAsia="en-US"/>
        </w:rPr>
      </w:pPr>
    </w:p>
    <w:p w:rsidR="008676F9" w:rsidRPr="008676F9" w:rsidRDefault="008676F9" w:rsidP="00CE203B">
      <w:pPr>
        <w:numPr>
          <w:ilvl w:val="0"/>
          <w:numId w:val="295"/>
        </w:numPr>
        <w:spacing w:line="276" w:lineRule="auto"/>
        <w:ind w:left="1077" w:hanging="357"/>
        <w:rPr>
          <w:rFonts w:ascii="Calibri" w:eastAsia="Calibri" w:hAnsi="Calibri"/>
          <w:b/>
          <w:szCs w:val="22"/>
          <w:u w:val="single"/>
          <w:lang w:eastAsia="en-US"/>
        </w:rPr>
      </w:pPr>
      <w:r w:rsidRPr="008676F9">
        <w:rPr>
          <w:rFonts w:ascii="Calibri" w:eastAsia="Calibri" w:hAnsi="Calibri"/>
          <w:b/>
          <w:szCs w:val="22"/>
          <w:u w:val="single"/>
          <w:lang w:eastAsia="en-US"/>
        </w:rPr>
        <w:t>Informačné akcie</w:t>
      </w:r>
    </w:p>
    <w:p w:rsidR="008676F9" w:rsidRPr="008676F9" w:rsidRDefault="008676F9" w:rsidP="00BB33FC">
      <w:pPr>
        <w:ind w:left="939" w:firstLine="477"/>
        <w:rPr>
          <w:rFonts w:ascii="Calibri" w:eastAsia="Calibri" w:hAnsi="Calibri"/>
          <w:b/>
          <w:bCs/>
          <w:szCs w:val="22"/>
          <w:lang w:eastAsia="en-US"/>
        </w:rPr>
      </w:pPr>
      <w:r w:rsidRPr="008676F9">
        <w:rPr>
          <w:rFonts w:ascii="Calibri" w:eastAsia="Calibri" w:hAnsi="Calibri"/>
          <w:b/>
          <w:bCs/>
          <w:szCs w:val="22"/>
          <w:lang w:eastAsia="en-US"/>
        </w:rPr>
        <w:t>Semináre a konferencie</w:t>
      </w:r>
    </w:p>
    <w:p w:rsidR="008676F9" w:rsidRPr="008676F9" w:rsidRDefault="008676F9" w:rsidP="00BB33FC">
      <w:pPr>
        <w:ind w:left="939" w:firstLine="477"/>
        <w:rPr>
          <w:rFonts w:ascii="Calibri" w:eastAsia="Calibri" w:hAnsi="Calibri"/>
          <w:b/>
          <w:bCs/>
          <w:szCs w:val="22"/>
          <w:lang w:eastAsia="en-US"/>
        </w:rPr>
      </w:pPr>
    </w:p>
    <w:p w:rsidR="008676F9" w:rsidRPr="008676F9" w:rsidRDefault="008676F9" w:rsidP="00CE203B">
      <w:pPr>
        <w:numPr>
          <w:ilvl w:val="0"/>
          <w:numId w:val="295"/>
        </w:numPr>
        <w:spacing w:line="276" w:lineRule="auto"/>
        <w:rPr>
          <w:rFonts w:ascii="Calibri" w:eastAsia="Calibri" w:hAnsi="Calibri"/>
          <w:b/>
          <w:szCs w:val="22"/>
          <w:u w:val="single"/>
          <w:lang w:eastAsia="en-US"/>
        </w:rPr>
      </w:pPr>
      <w:r w:rsidRPr="008676F9">
        <w:rPr>
          <w:rFonts w:ascii="Calibri" w:eastAsia="Calibri" w:hAnsi="Calibri"/>
          <w:b/>
          <w:szCs w:val="22"/>
          <w:u w:val="single"/>
          <w:lang w:eastAsia="en-US"/>
        </w:rPr>
        <w:t>Propagačné predmety</w:t>
      </w:r>
    </w:p>
    <w:p w:rsidR="008676F9" w:rsidRDefault="008676F9" w:rsidP="00AA30CA">
      <w:pPr>
        <w:pStyle w:val="Podpod"/>
      </w:pPr>
    </w:p>
    <w:p w:rsidR="008676F9" w:rsidRPr="008676F9" w:rsidRDefault="008676F9" w:rsidP="00AA30CA">
      <w:pPr>
        <w:pStyle w:val="Podpod"/>
      </w:pPr>
      <w:bookmarkStart w:id="172" w:name="_Toc384111094"/>
      <w:bookmarkStart w:id="173" w:name="_Toc387041362"/>
      <w:r w:rsidRPr="008676F9">
        <w:t>15.3.2. Informácia pre širokú verejnosť o úlohe, ktorú zohráva EÚ v rámci financovania  programu</w:t>
      </w:r>
      <w:bookmarkEnd w:id="172"/>
      <w:bookmarkEnd w:id="173"/>
    </w:p>
    <w:p w:rsidR="008676F9" w:rsidRPr="008676F9" w:rsidRDefault="008676F9" w:rsidP="0063201A">
      <w:pPr>
        <w:tabs>
          <w:tab w:val="left" w:pos="720"/>
          <w:tab w:val="left" w:pos="900"/>
        </w:tabs>
        <w:spacing w:after="120"/>
        <w:rPr>
          <w:rFonts w:ascii="Calibri" w:eastAsia="Calibri" w:hAnsi="Calibri"/>
          <w:szCs w:val="22"/>
          <w:lang w:eastAsia="en-US"/>
        </w:rPr>
      </w:pPr>
      <w:r w:rsidRPr="008676F9">
        <w:rPr>
          <w:rFonts w:ascii="Calibri" w:eastAsia="Calibri" w:hAnsi="Calibri"/>
          <w:szCs w:val="22"/>
          <w:lang w:eastAsia="en-US"/>
        </w:rPr>
        <w:t>Riadiaci orgán bude informovať širokú verejnosť o úlohe, ktorú zohráva Európska únia v rámci Programu rozvoja vidieka SR prostredníctvom Komunikačného plánu, zároveň bude riadiaci orgán informovať o dosiahnutých výsledkoch v rámci implementácie programu všetkými masovo-komunikačnými prostriedkami. Náležitá pozornosť sa bude venovať informovaniu o financovaní z programu financovaného z EPFRV. Pozitívne pôsobenie je možné dosiahnuť  prostredníctvom PR článkov, tlačových správ a uverejňovaním komplexných</w:t>
      </w:r>
      <w:r w:rsidRPr="008676F9">
        <w:rPr>
          <w:rFonts w:ascii="Calibri" w:eastAsia="Calibri" w:hAnsi="Calibri"/>
          <w:b/>
          <w:bCs/>
          <w:szCs w:val="22"/>
          <w:lang w:eastAsia="en-US"/>
        </w:rPr>
        <w:t xml:space="preserve"> </w:t>
      </w:r>
      <w:r w:rsidRPr="008676F9">
        <w:rPr>
          <w:rFonts w:ascii="Calibri" w:eastAsia="Calibri" w:hAnsi="Calibri"/>
          <w:szCs w:val="22"/>
          <w:lang w:eastAsia="en-US"/>
        </w:rPr>
        <w:t>informácií v najčítanejších denníkoch,</w:t>
      </w:r>
      <w:r w:rsidRPr="008676F9">
        <w:rPr>
          <w:rFonts w:ascii="Calibri" w:eastAsia="Calibri" w:hAnsi="Calibri"/>
          <w:b/>
          <w:bCs/>
          <w:szCs w:val="22"/>
          <w:lang w:eastAsia="en-US"/>
        </w:rPr>
        <w:t xml:space="preserve"> </w:t>
      </w:r>
      <w:r w:rsidRPr="008676F9">
        <w:rPr>
          <w:rFonts w:ascii="Calibri" w:eastAsia="Calibri" w:hAnsi="Calibri"/>
          <w:szCs w:val="22"/>
          <w:lang w:eastAsia="en-US"/>
        </w:rPr>
        <w:t xml:space="preserve">týždenníkoch a mesačníkoch s celoslovenskou a regionálnou pôsobnosťou. </w:t>
      </w:r>
    </w:p>
    <w:p w:rsidR="008676F9" w:rsidRPr="008676F9" w:rsidRDefault="008676F9" w:rsidP="0063201A">
      <w:pPr>
        <w:rPr>
          <w:rFonts w:ascii="Calibri" w:eastAsia="Calibri" w:hAnsi="Calibri"/>
          <w:szCs w:val="22"/>
          <w:lang w:eastAsia="en-US"/>
        </w:rPr>
      </w:pPr>
      <w:r w:rsidRPr="008676F9">
        <w:rPr>
          <w:rFonts w:ascii="Calibri" w:eastAsia="Calibri" w:hAnsi="Calibri"/>
          <w:szCs w:val="22"/>
          <w:lang w:eastAsia="en-US"/>
        </w:rPr>
        <w:t>Aby bola zabezpečená viditeľnosť spolufinancovania Európskou úniou, pri jednotlivých projektoch financovaných z Programu rozvoja vidieka SR budú umiestnené oznamy, a to v súlade s  informačnými opatreniami pre prijímateľov, ktoré sú jasne formulované v Manuáli informačnej a propagačnej stratégie.</w:t>
      </w:r>
    </w:p>
    <w:p w:rsidR="008676F9" w:rsidRPr="008676F9" w:rsidRDefault="008676F9" w:rsidP="008676F9">
      <w:pPr>
        <w:autoSpaceDE w:val="0"/>
        <w:autoSpaceDN w:val="0"/>
        <w:adjustRightInd w:val="0"/>
        <w:rPr>
          <w:rFonts w:ascii="Calibri" w:eastAsia="Calibri" w:hAnsi="Calibri"/>
          <w:b/>
          <w:szCs w:val="22"/>
          <w:lang w:eastAsia="en-US"/>
        </w:rPr>
      </w:pPr>
    </w:p>
    <w:p w:rsidR="008676F9" w:rsidRPr="008676F9" w:rsidRDefault="008676F9" w:rsidP="00D95CA5">
      <w:pPr>
        <w:pStyle w:val="Podpod"/>
        <w:ind w:left="709" w:hanging="709"/>
      </w:pPr>
      <w:bookmarkStart w:id="174" w:name="_Toc384111095"/>
      <w:bookmarkStart w:id="175" w:name="_Toc387041363"/>
      <w:r w:rsidRPr="008676F9">
        <w:t>15.3.3. Úloha národnej siete rozvoja vidieka v informovaní a komunikačných aktivitách vo vzťahu k programu</w:t>
      </w:r>
      <w:bookmarkEnd w:id="174"/>
      <w:bookmarkEnd w:id="175"/>
    </w:p>
    <w:p w:rsidR="00D95CA5" w:rsidRDefault="008676F9" w:rsidP="00AB1B16">
      <w:pPr>
        <w:autoSpaceDE w:val="0"/>
        <w:autoSpaceDN w:val="0"/>
        <w:adjustRightInd w:val="0"/>
        <w:spacing w:after="120"/>
        <w:rPr>
          <w:rFonts w:ascii="Calibri" w:eastAsia="Calibri" w:hAnsi="Calibri"/>
          <w:szCs w:val="22"/>
          <w:lang w:eastAsia="en-US"/>
        </w:rPr>
      </w:pPr>
      <w:r w:rsidRPr="008676F9">
        <w:rPr>
          <w:rFonts w:ascii="Calibri" w:eastAsia="Calibri" w:hAnsi="Calibri"/>
          <w:szCs w:val="22"/>
          <w:lang w:eastAsia="en-US"/>
        </w:rPr>
        <w:t xml:space="preserve">Jednou z úloh NSRV v podmienkach SR bude aj vytvoriť komunikačný plán siete ako súčasť akčného plánu, ktorý bude dopĺňať komunikačný plán programu rozvoja vidieka. Komunikačný plán bude obsahovať prepojenie na široké ciele politiky, jasné úlohy  a časový harmonogram s jasným určením cieľových skupín v jej činnostiach. Komunikačné nástroje a štýl bude rozdelený tak, aby prislúchal k rozličným cieľovým skupinám a širokej verejnosti. Skúsenosti z programového obdobia 2007 – 2013 </w:t>
      </w:r>
    </w:p>
    <w:p w:rsidR="00D95CA5" w:rsidRDefault="00D95CA5" w:rsidP="00AB1B16">
      <w:pPr>
        <w:autoSpaceDE w:val="0"/>
        <w:autoSpaceDN w:val="0"/>
        <w:adjustRightInd w:val="0"/>
        <w:spacing w:after="120"/>
        <w:rPr>
          <w:rFonts w:ascii="Calibri" w:eastAsia="Calibri" w:hAnsi="Calibri"/>
          <w:szCs w:val="22"/>
          <w:lang w:eastAsia="en-US"/>
        </w:rPr>
      </w:pPr>
    </w:p>
    <w:p w:rsidR="008676F9" w:rsidRPr="008676F9" w:rsidRDefault="008676F9" w:rsidP="00AB1B16">
      <w:pPr>
        <w:autoSpaceDE w:val="0"/>
        <w:autoSpaceDN w:val="0"/>
        <w:adjustRightInd w:val="0"/>
        <w:spacing w:after="120"/>
        <w:rPr>
          <w:rFonts w:ascii="Calibri" w:eastAsia="Calibri" w:hAnsi="Calibri"/>
          <w:szCs w:val="22"/>
          <w:lang w:eastAsia="en-US"/>
        </w:rPr>
      </w:pPr>
      <w:r w:rsidRPr="008676F9">
        <w:rPr>
          <w:rFonts w:ascii="Calibri" w:eastAsia="Calibri" w:hAnsi="Calibri"/>
          <w:szCs w:val="22"/>
          <w:lang w:eastAsia="en-US"/>
        </w:rPr>
        <w:t>budú napomáhať k ďalšiemu šíreniu výsledkov a poznatkov. Komunikačný plán NSRV bude obsahovať  aj špeciálnu časť venovanú šíreniu poznatkov Európskej siete rozvoja vidieka, siete EIP a samotných aktivít NSRV. Na tieto účely budú slúžiť hlavne tieto nástroje:</w:t>
      </w:r>
    </w:p>
    <w:p w:rsidR="008676F9" w:rsidRPr="008676F9" w:rsidRDefault="008676F9" w:rsidP="00CE203B">
      <w:pPr>
        <w:numPr>
          <w:ilvl w:val="0"/>
          <w:numId w:val="294"/>
        </w:numPr>
        <w:autoSpaceDE w:val="0"/>
        <w:autoSpaceDN w:val="0"/>
        <w:adjustRightInd w:val="0"/>
        <w:spacing w:after="120"/>
        <w:ind w:left="714" w:hanging="357"/>
        <w:rPr>
          <w:rFonts w:ascii="Calibri" w:eastAsia="Calibri" w:hAnsi="Calibri"/>
          <w:szCs w:val="22"/>
          <w:lang w:eastAsia="en-US"/>
        </w:rPr>
      </w:pPr>
      <w:r w:rsidRPr="008676F9">
        <w:rPr>
          <w:rFonts w:ascii="Calibri" w:eastAsia="Calibri" w:hAnsi="Calibri"/>
          <w:szCs w:val="22"/>
          <w:lang w:eastAsia="en-US"/>
        </w:rPr>
        <w:t>webové sídlo NSRV SR zamerané na politiku rozvoja vidieka a politiku súdržnosti;</w:t>
      </w:r>
    </w:p>
    <w:p w:rsidR="008676F9" w:rsidRPr="008676F9" w:rsidRDefault="008676F9" w:rsidP="00CE203B">
      <w:pPr>
        <w:numPr>
          <w:ilvl w:val="0"/>
          <w:numId w:val="294"/>
        </w:numPr>
        <w:autoSpaceDE w:val="0"/>
        <w:autoSpaceDN w:val="0"/>
        <w:adjustRightInd w:val="0"/>
        <w:spacing w:after="120"/>
        <w:ind w:left="714" w:hanging="357"/>
        <w:rPr>
          <w:rFonts w:ascii="Calibri" w:eastAsia="Calibri" w:hAnsi="Calibri"/>
          <w:szCs w:val="22"/>
          <w:lang w:eastAsia="en-US"/>
        </w:rPr>
      </w:pPr>
      <w:r w:rsidRPr="008676F9">
        <w:rPr>
          <w:rFonts w:ascii="Calibri" w:eastAsia="Calibri" w:hAnsi="Calibri"/>
          <w:szCs w:val="22"/>
          <w:lang w:eastAsia="en-US"/>
        </w:rPr>
        <w:t>bulletiny o programe (fokusové oblasti, jednotlivé opatrenia, výberové kritériá, monitorovanie, hodnotenie, prezentovanie výročných správ v skrátenej forme a pod.);</w:t>
      </w:r>
    </w:p>
    <w:p w:rsidR="008676F9" w:rsidRPr="008676F9" w:rsidRDefault="008676F9" w:rsidP="00CE203B">
      <w:pPr>
        <w:numPr>
          <w:ilvl w:val="0"/>
          <w:numId w:val="294"/>
        </w:numPr>
        <w:autoSpaceDE w:val="0"/>
        <w:autoSpaceDN w:val="0"/>
        <w:adjustRightInd w:val="0"/>
        <w:spacing w:after="120"/>
        <w:ind w:left="714" w:hanging="357"/>
        <w:rPr>
          <w:rFonts w:ascii="Calibri" w:eastAsia="Calibri" w:hAnsi="Calibri"/>
          <w:szCs w:val="22"/>
          <w:lang w:eastAsia="en-US"/>
        </w:rPr>
      </w:pPr>
      <w:r w:rsidRPr="008676F9">
        <w:rPr>
          <w:rFonts w:ascii="Calibri" w:eastAsia="Calibri" w:hAnsi="Calibri"/>
          <w:szCs w:val="22"/>
          <w:lang w:eastAsia="en-US"/>
        </w:rPr>
        <w:t>informovanie členov siete ako aj verejnosti o monitorovacom výbore programu;</w:t>
      </w:r>
    </w:p>
    <w:p w:rsidR="008676F9" w:rsidRPr="008676F9" w:rsidRDefault="008676F9" w:rsidP="00CE203B">
      <w:pPr>
        <w:numPr>
          <w:ilvl w:val="0"/>
          <w:numId w:val="294"/>
        </w:numPr>
        <w:autoSpaceDE w:val="0"/>
        <w:autoSpaceDN w:val="0"/>
        <w:adjustRightInd w:val="0"/>
        <w:spacing w:after="120"/>
        <w:ind w:left="714" w:hanging="357"/>
        <w:rPr>
          <w:rFonts w:ascii="Calibri" w:eastAsia="Calibri" w:hAnsi="Calibri"/>
          <w:szCs w:val="22"/>
          <w:lang w:eastAsia="en-US"/>
        </w:rPr>
      </w:pPr>
      <w:r w:rsidRPr="008676F9">
        <w:rPr>
          <w:rFonts w:ascii="Calibri" w:eastAsia="Calibri" w:hAnsi="Calibri"/>
          <w:szCs w:val="22"/>
          <w:lang w:eastAsia="en-US"/>
        </w:rPr>
        <w:t>semináre, výročné konferencie, tréningy, workshopy;</w:t>
      </w:r>
    </w:p>
    <w:p w:rsidR="008676F9" w:rsidRPr="008676F9" w:rsidRDefault="008676F9" w:rsidP="00CE203B">
      <w:pPr>
        <w:numPr>
          <w:ilvl w:val="0"/>
          <w:numId w:val="294"/>
        </w:numPr>
        <w:autoSpaceDE w:val="0"/>
        <w:autoSpaceDN w:val="0"/>
        <w:adjustRightInd w:val="0"/>
        <w:spacing w:after="120"/>
        <w:ind w:left="714" w:hanging="357"/>
        <w:rPr>
          <w:rFonts w:ascii="Calibri" w:eastAsia="Calibri" w:hAnsi="Calibri"/>
          <w:szCs w:val="22"/>
          <w:lang w:eastAsia="en-US"/>
        </w:rPr>
      </w:pPr>
      <w:r w:rsidRPr="008676F9">
        <w:rPr>
          <w:rFonts w:ascii="Calibri" w:eastAsia="Calibri" w:hAnsi="Calibri"/>
          <w:szCs w:val="22"/>
          <w:lang w:eastAsia="en-US"/>
        </w:rPr>
        <w:t>zriadenie a vedenie riadiacej komisie PRV počas celého programového obdobia a informovanie o jej činnostiach širokú verejnosť;</w:t>
      </w:r>
    </w:p>
    <w:p w:rsidR="008676F9" w:rsidRPr="008676F9" w:rsidRDefault="008676F9" w:rsidP="00CE203B">
      <w:pPr>
        <w:numPr>
          <w:ilvl w:val="0"/>
          <w:numId w:val="294"/>
        </w:numPr>
        <w:autoSpaceDE w:val="0"/>
        <w:autoSpaceDN w:val="0"/>
        <w:adjustRightInd w:val="0"/>
        <w:spacing w:after="120"/>
        <w:ind w:left="714" w:hanging="357"/>
        <w:rPr>
          <w:rFonts w:ascii="Calibri" w:eastAsia="Calibri" w:hAnsi="Calibri"/>
          <w:szCs w:val="22"/>
          <w:lang w:eastAsia="en-US"/>
        </w:rPr>
      </w:pPr>
      <w:r w:rsidRPr="008676F9">
        <w:rPr>
          <w:rFonts w:ascii="Calibri" w:eastAsia="Calibri" w:hAnsi="Calibri"/>
          <w:szCs w:val="22"/>
          <w:lang w:eastAsia="en-US"/>
        </w:rPr>
        <w:t>viesť minimálne 2 tematické skupiny otvorené pre členov siete s výsledkami vo forme analýz;</w:t>
      </w:r>
    </w:p>
    <w:p w:rsidR="008676F9" w:rsidRPr="008676F9" w:rsidRDefault="008676F9" w:rsidP="00CE203B">
      <w:pPr>
        <w:numPr>
          <w:ilvl w:val="0"/>
          <w:numId w:val="294"/>
        </w:numPr>
        <w:autoSpaceDE w:val="0"/>
        <w:autoSpaceDN w:val="0"/>
        <w:adjustRightInd w:val="0"/>
        <w:spacing w:after="120"/>
        <w:ind w:left="714" w:hanging="357"/>
        <w:rPr>
          <w:rFonts w:ascii="Calibri" w:eastAsia="Calibri" w:hAnsi="Calibri"/>
          <w:szCs w:val="22"/>
          <w:lang w:eastAsia="en-US"/>
        </w:rPr>
      </w:pPr>
      <w:r w:rsidRPr="008676F9">
        <w:rPr>
          <w:rFonts w:ascii="Calibri" w:eastAsia="Calibri" w:hAnsi="Calibri"/>
          <w:szCs w:val="22"/>
          <w:lang w:eastAsia="en-US"/>
        </w:rPr>
        <w:t>publikovanie analýz a výsledkov z implementácie PRV;</w:t>
      </w:r>
    </w:p>
    <w:p w:rsidR="008676F9" w:rsidRPr="008676F9" w:rsidRDefault="008676F9" w:rsidP="00CE203B">
      <w:pPr>
        <w:numPr>
          <w:ilvl w:val="0"/>
          <w:numId w:val="294"/>
        </w:numPr>
        <w:autoSpaceDE w:val="0"/>
        <w:autoSpaceDN w:val="0"/>
        <w:adjustRightInd w:val="0"/>
        <w:spacing w:after="120"/>
        <w:ind w:left="714" w:hanging="357"/>
        <w:rPr>
          <w:rFonts w:ascii="Calibri" w:eastAsia="Calibri" w:hAnsi="Calibri"/>
          <w:szCs w:val="22"/>
          <w:lang w:eastAsia="en-US"/>
        </w:rPr>
      </w:pPr>
      <w:r w:rsidRPr="008676F9">
        <w:rPr>
          <w:rFonts w:ascii="Calibri" w:eastAsia="Calibri" w:hAnsi="Calibri"/>
          <w:szCs w:val="22"/>
          <w:lang w:eastAsia="en-US"/>
        </w:rPr>
        <w:t>spolupráca s inými formálnymi a neformálnymi sieťami/centrami prispievajúcich k implementácii  EŠIF fondov;</w:t>
      </w:r>
    </w:p>
    <w:p w:rsidR="008676F9" w:rsidRPr="008676F9" w:rsidRDefault="008676F9" w:rsidP="00CE203B">
      <w:pPr>
        <w:numPr>
          <w:ilvl w:val="0"/>
          <w:numId w:val="294"/>
        </w:numPr>
        <w:autoSpaceDE w:val="0"/>
        <w:autoSpaceDN w:val="0"/>
        <w:adjustRightInd w:val="0"/>
        <w:ind w:left="714" w:hanging="357"/>
        <w:rPr>
          <w:rFonts w:ascii="Calibri" w:eastAsia="Calibri" w:hAnsi="Calibri"/>
          <w:szCs w:val="22"/>
          <w:lang w:eastAsia="en-US"/>
        </w:rPr>
      </w:pPr>
      <w:r w:rsidRPr="008676F9">
        <w:rPr>
          <w:rFonts w:ascii="Calibri" w:eastAsia="Calibri" w:hAnsi="Calibri"/>
          <w:szCs w:val="22"/>
          <w:lang w:eastAsia="en-US"/>
        </w:rPr>
        <w:t xml:space="preserve">poskytovať poradenstvo, informácie v oblasti rozvoja vidieka a poľnohospodárstva vrátane lesného hospodárstva pre širokú verejnosť a potreby Európskej siete pre rozvoj vidieka hlavne prostredníctvom profesionálnych </w:t>
      </w:r>
      <w:r w:rsidR="00690F36">
        <w:rPr>
          <w:rFonts w:ascii="Calibri" w:eastAsia="Calibri" w:hAnsi="Calibri"/>
          <w:szCs w:val="22"/>
          <w:lang w:eastAsia="en-US"/>
        </w:rPr>
        <w:t>webových</w:t>
      </w:r>
      <w:r w:rsidRPr="008676F9">
        <w:rPr>
          <w:rFonts w:ascii="Calibri" w:eastAsia="Calibri" w:hAnsi="Calibri"/>
          <w:szCs w:val="22"/>
          <w:lang w:eastAsia="en-US"/>
        </w:rPr>
        <w:t xml:space="preserve"> stránok, informačných bulletinov, príručiek, priebežných štúdií a analýz a pod.</w:t>
      </w:r>
    </w:p>
    <w:p w:rsidR="008676F9" w:rsidRPr="008676F9" w:rsidRDefault="008676F9" w:rsidP="00BC4D3C">
      <w:pPr>
        <w:autoSpaceDE w:val="0"/>
        <w:autoSpaceDN w:val="0"/>
        <w:adjustRightInd w:val="0"/>
        <w:ind w:left="720"/>
        <w:rPr>
          <w:rFonts w:ascii="Calibri" w:eastAsia="Calibri" w:hAnsi="Calibri"/>
          <w:szCs w:val="22"/>
          <w:lang w:eastAsia="en-US"/>
        </w:rPr>
      </w:pPr>
    </w:p>
    <w:p w:rsidR="008676F9" w:rsidRPr="008676F9" w:rsidRDefault="008676F9" w:rsidP="008676F9">
      <w:pPr>
        <w:ind w:left="567" w:hanging="567"/>
        <w:rPr>
          <w:rFonts w:ascii="Calibri" w:eastAsia="Calibri" w:hAnsi="Calibri"/>
          <w:b/>
          <w:szCs w:val="22"/>
          <w:lang w:eastAsia="en-US"/>
        </w:rPr>
      </w:pPr>
    </w:p>
    <w:p w:rsidR="008676F9" w:rsidRDefault="00955DA4" w:rsidP="00431520">
      <w:pPr>
        <w:pStyle w:val="Pod"/>
        <w:ind w:left="709" w:hanging="709"/>
        <w:rPr>
          <w:rFonts w:eastAsia="Calibri"/>
          <w:szCs w:val="26"/>
          <w:lang w:eastAsia="en-US"/>
        </w:rPr>
      </w:pPr>
      <w:bookmarkStart w:id="176" w:name="_Toc384111096"/>
      <w:bookmarkStart w:id="177" w:name="_Toc387041364"/>
      <w:r w:rsidRPr="00D95CA5">
        <w:rPr>
          <w:rFonts w:eastAsia="Calibri"/>
          <w:szCs w:val="26"/>
          <w:lang w:eastAsia="en-US"/>
        </w:rPr>
        <w:t xml:space="preserve">15.4  </w:t>
      </w:r>
      <w:r w:rsidR="008676F9" w:rsidRPr="00D95CA5">
        <w:rPr>
          <w:rFonts w:eastAsia="Calibri"/>
          <w:szCs w:val="26"/>
          <w:lang w:eastAsia="en-US"/>
        </w:rPr>
        <w:t>opis mechanizmu na zaistenie súdržnosti, pokiaľ ide o stratégie miestneho rozvoja implementované prostredníctvom LEADER, aktivity v rámci opatrenia „Spolupráca“ (čl. 35) a opatrenia „Základné služby a obnova dedín vo vidieckych oblastiach“ (čl. 20)</w:t>
      </w:r>
      <w:bookmarkEnd w:id="176"/>
      <w:bookmarkEnd w:id="177"/>
    </w:p>
    <w:p w:rsidR="00D95CA5" w:rsidRPr="00D95CA5" w:rsidRDefault="00D95CA5" w:rsidP="00431520">
      <w:pPr>
        <w:pStyle w:val="Pod"/>
        <w:ind w:left="709" w:hanging="709"/>
        <w:rPr>
          <w:rFonts w:eastAsia="Calibri"/>
          <w:bCs/>
          <w:szCs w:val="26"/>
          <w:lang w:eastAsia="en-US"/>
        </w:rPr>
      </w:pPr>
    </w:p>
    <w:p w:rsidR="008676F9" w:rsidRPr="008676F9" w:rsidRDefault="008676F9" w:rsidP="008676F9">
      <w:pPr>
        <w:spacing w:after="120"/>
        <w:rPr>
          <w:rFonts w:ascii="Calibri" w:eastAsia="Calibri" w:hAnsi="Calibri"/>
          <w:bCs/>
          <w:szCs w:val="22"/>
          <w:lang w:eastAsia="en-US"/>
        </w:rPr>
      </w:pPr>
      <w:r w:rsidRPr="008676F9">
        <w:rPr>
          <w:rFonts w:ascii="Calibri" w:eastAsia="Calibri" w:hAnsi="Calibri"/>
          <w:bCs/>
          <w:szCs w:val="22"/>
          <w:lang w:eastAsia="en-US"/>
        </w:rPr>
        <w:t>V podmienkach SR sa budú opatrenia čl. 20 a 35 implementovať v štruktúre, ktorá bude vychádzať nie len zo samotného opisu týchto opatrení na úrovni programu rozvoja vidieka SR, ale aj na úrovni opatrenia čl. 42 iniciatíva LEADER. Pretože opatrenie čl. 35 je novým prvkom PRV SR 2014 – 2020, tak aktivity v rámci stratégií miestneho rozvoja  v rámci iniciatívy LEADER budú vychádzať z týchto druhov činností:</w:t>
      </w:r>
    </w:p>
    <w:p w:rsidR="008676F9" w:rsidRPr="008676F9" w:rsidRDefault="008676F9" w:rsidP="00CE203B">
      <w:pPr>
        <w:numPr>
          <w:ilvl w:val="0"/>
          <w:numId w:val="296"/>
        </w:numPr>
        <w:spacing w:after="120"/>
        <w:contextualSpacing/>
        <w:rPr>
          <w:rFonts w:ascii="Calibri" w:eastAsia="Calibri" w:hAnsi="Calibri" w:cs="Calibri"/>
          <w:szCs w:val="22"/>
          <w:lang w:eastAsia="en-US"/>
        </w:rPr>
      </w:pPr>
      <w:r w:rsidRPr="008676F9">
        <w:rPr>
          <w:rFonts w:ascii="Calibri" w:eastAsia="Calibri" w:hAnsi="Calibri" w:cs="Calibri"/>
          <w:szCs w:val="22"/>
          <w:lang w:eastAsia="en-US"/>
        </w:rPr>
        <w:t>Podpora inovácií a vedomostnej základne vo vidieckych oblastiach.</w:t>
      </w:r>
    </w:p>
    <w:p w:rsidR="008676F9" w:rsidRPr="008676F9" w:rsidRDefault="008676F9" w:rsidP="00CE203B">
      <w:pPr>
        <w:numPr>
          <w:ilvl w:val="0"/>
          <w:numId w:val="296"/>
        </w:numPr>
        <w:spacing w:after="120"/>
        <w:contextualSpacing/>
        <w:rPr>
          <w:rFonts w:ascii="Calibri" w:eastAsia="Calibri" w:hAnsi="Calibri" w:cs="Calibri"/>
          <w:szCs w:val="22"/>
          <w:lang w:eastAsia="en-US"/>
        </w:rPr>
      </w:pPr>
      <w:r w:rsidRPr="008676F9">
        <w:rPr>
          <w:rFonts w:ascii="Calibri" w:eastAsia="Calibri" w:hAnsi="Calibri" w:cs="Calibri"/>
          <w:szCs w:val="22"/>
          <w:lang w:eastAsia="en-US"/>
        </w:rPr>
        <w:t>Posilnenie prepojenia poľnohospodárstva a lesného hospodárstva s výskumom a inováciami.</w:t>
      </w:r>
    </w:p>
    <w:p w:rsidR="008676F9" w:rsidRPr="008676F9" w:rsidRDefault="008676F9" w:rsidP="00CE203B">
      <w:pPr>
        <w:numPr>
          <w:ilvl w:val="0"/>
          <w:numId w:val="296"/>
        </w:numPr>
        <w:spacing w:after="120"/>
        <w:contextualSpacing/>
        <w:rPr>
          <w:rFonts w:ascii="Calibri" w:eastAsia="Calibri" w:hAnsi="Calibri" w:cs="Calibri"/>
          <w:szCs w:val="22"/>
          <w:lang w:eastAsia="en-US"/>
        </w:rPr>
      </w:pPr>
      <w:r w:rsidRPr="008676F9">
        <w:rPr>
          <w:rFonts w:ascii="Calibri" w:eastAsia="Calibri" w:hAnsi="Calibri" w:cs="Calibri"/>
          <w:szCs w:val="22"/>
          <w:lang w:eastAsia="en-US"/>
        </w:rPr>
        <w:t xml:space="preserve">Spolupráca pri spoločnom využívaní logistiky, pracovných postupov, zariadení a zdrojov. </w:t>
      </w:r>
    </w:p>
    <w:p w:rsidR="008676F9" w:rsidRPr="008676F9" w:rsidRDefault="008676F9" w:rsidP="00CE203B">
      <w:pPr>
        <w:numPr>
          <w:ilvl w:val="0"/>
          <w:numId w:val="296"/>
        </w:numPr>
        <w:spacing w:after="120"/>
        <w:ind w:left="714" w:hanging="357"/>
        <w:rPr>
          <w:rFonts w:ascii="Calibri" w:eastAsia="Calibri" w:hAnsi="Calibri" w:cs="Calibri"/>
          <w:szCs w:val="22"/>
          <w:lang w:eastAsia="en-US"/>
        </w:rPr>
      </w:pPr>
      <w:r w:rsidRPr="008676F9">
        <w:rPr>
          <w:rFonts w:ascii="Calibri" w:eastAsia="Calibri" w:hAnsi="Calibri" w:cs="Calibri"/>
          <w:szCs w:val="22"/>
          <w:lang w:eastAsia="en-US"/>
        </w:rPr>
        <w:t>Začlenenie prvovýrobcov do potravinového reťazca prostredníctvom propagácie na miestnych trhoch, horizontálnej a vertikálnej spolupráce, vytváranie sietí, skupín výrobcov a medziodvetvových organizácií pri spoločnej centralizácii, príprave a umiestňovaní tovarov na trh, rozvoja krátkych dodávateľských reťazcov  a miestnych trhov.</w:t>
      </w:r>
    </w:p>
    <w:p w:rsidR="008676F9" w:rsidRPr="008676F9" w:rsidRDefault="008676F9" w:rsidP="008676F9">
      <w:pPr>
        <w:spacing w:after="120"/>
        <w:rPr>
          <w:rFonts w:ascii="Calibri" w:eastAsia="Calibri" w:hAnsi="Calibri"/>
          <w:szCs w:val="22"/>
          <w:lang w:eastAsia="en-US"/>
        </w:rPr>
      </w:pPr>
      <w:r w:rsidRPr="008676F9">
        <w:rPr>
          <w:rFonts w:ascii="Calibri" w:eastAsia="Calibri" w:hAnsi="Calibri"/>
          <w:szCs w:val="22"/>
          <w:lang w:eastAsia="en-US"/>
        </w:rPr>
        <w:t>Týmto sa posilní miestny rozvoj, čo bude vyhovovať aj požiadavkám znalostnej ekonomiky územia miestnej akčnej skupiny. Spájanie miestnych hospodárov v území MAS (malých s veľkým) pomôže aj k plneniu cieľov stratégie miestneho rozvoja. MAS bude dosiahnuté výsledky šíriť, čím sa dosiahne cieľ šírenia nových postupov, procesov alebo výrobkov v danom území. Podpora horizontálnej a vertikálnej spolupráce medzi aktérmi v dodávateľskom reťazci, ako aj na propagačné činnosti v miestnom kontexte, bude slúžiť ako katalyzátor pre ekonomicky racionálny rozvoj krátkych dodávateľských reťazcov, miestnych trhov a miestnych potravinových reťazcov. Spolupráca</w:t>
      </w:r>
      <w:r w:rsidRPr="008676F9">
        <w:rPr>
          <w:rFonts w:ascii="Calibri" w:eastAsia="Calibri" w:hAnsi="Calibri"/>
          <w:szCs w:val="22"/>
          <w:lang w:eastAsia="en-US"/>
        </w:rPr>
        <w:lastRenderedPageBreak/>
        <w:t xml:space="preserve"> s prepojením na stratégie miestneho rozvoja prispejú </w:t>
      </w:r>
      <w:r w:rsidRPr="008676F9">
        <w:rPr>
          <w:rFonts w:ascii="Calibri" w:eastAsia="Calibri" w:hAnsi="Calibri" w:cs="Calibri"/>
          <w:snapToGrid w:val="0"/>
          <w:szCs w:val="22"/>
          <w:lang w:eastAsia="en-US"/>
        </w:rPr>
        <w:t>k spoločnej činnosti realizovanej v záujme zmiernenia zmien klímy a adaptácie na ne.</w:t>
      </w:r>
      <w:r w:rsidRPr="008676F9">
        <w:rPr>
          <w:rFonts w:ascii="Calibri" w:eastAsia="Calibri" w:hAnsi="Calibri"/>
          <w:szCs w:val="22"/>
          <w:lang w:eastAsia="en-US"/>
        </w:rPr>
        <w:t xml:space="preserve"> Rovnako do týchto procesov budú zapojené obce, ktoré budú tvoriť schválené miestne akčné skupiny. </w:t>
      </w:r>
    </w:p>
    <w:p w:rsidR="008676F9" w:rsidRPr="008676F9" w:rsidRDefault="008676F9" w:rsidP="008676F9">
      <w:pPr>
        <w:spacing w:after="120"/>
        <w:rPr>
          <w:rFonts w:ascii="Calibri" w:eastAsia="Calibri" w:hAnsi="Calibri"/>
          <w:szCs w:val="22"/>
          <w:lang w:eastAsia="en-US"/>
        </w:rPr>
      </w:pPr>
      <w:r w:rsidRPr="008676F9">
        <w:rPr>
          <w:rFonts w:ascii="Calibri" w:eastAsia="Calibri" w:hAnsi="Calibri"/>
          <w:szCs w:val="22"/>
          <w:lang w:eastAsia="en-US"/>
        </w:rPr>
        <w:t>Avšak samotné opatrenie čl. 35 nebude na národnej úrovni implementovať stratégie miestneho rozvoja fungujúceho na iných princípoch ako je miestny rozvoj metódy LEADER.</w:t>
      </w:r>
    </w:p>
    <w:p w:rsidR="008676F9" w:rsidRPr="008676F9" w:rsidRDefault="008676F9" w:rsidP="008676F9">
      <w:pPr>
        <w:spacing w:after="120"/>
        <w:rPr>
          <w:rFonts w:ascii="Calibri" w:eastAsia="Calibri" w:hAnsi="Calibri"/>
          <w:szCs w:val="22"/>
          <w:lang w:eastAsia="en-US"/>
        </w:rPr>
      </w:pPr>
      <w:r w:rsidRPr="008676F9">
        <w:rPr>
          <w:rFonts w:ascii="Calibri" w:eastAsia="Calibri" w:hAnsi="Calibri"/>
          <w:szCs w:val="22"/>
          <w:lang w:eastAsia="en-US"/>
        </w:rPr>
        <w:t xml:space="preserve">V rámci opatrenia LEADER sú v PRV definované prioritné a tematické oblasti, ktoré môžu MAS zahrnúť do svojich stratégii miestneho rozvoja. Jednou z týchto oblastí je aj podpora miestneho rozvoja prostredníctvom rozvoja miestnych služieb a obnovy dedín (čl. 20). MAS budú na základe svojich analýz a svojho endogénneho potenciálu môcť implementovať aj operácie, ktoré nemusia byť súčasťou opatrenia PRV, pričom aj okruh konečných prijímateľov v rámci opatrení definovaných v stratégií miestneho rozvoja, môže byť širší ako v opatrení PRV na národnej úrovni. Týmto prístupom sa zabezpečí väčšia synergia a pridaná hodnota operácií realizovaných prostredníctvom iniciatívy LEADER voči štandardným opatreniam PRV. Zároveň pre LEADER platí, že má ísť najmä o malé projekty s finančným príspevkom do </w:t>
      </w:r>
      <w:r w:rsidR="00270D1E">
        <w:rPr>
          <w:rFonts w:ascii="Calibri" w:eastAsia="Calibri" w:hAnsi="Calibri"/>
          <w:szCs w:val="22"/>
          <w:lang w:eastAsia="en-US"/>
        </w:rPr>
        <w:t>10</w:t>
      </w:r>
      <w:r w:rsidRPr="008676F9">
        <w:rPr>
          <w:rFonts w:ascii="Calibri" w:eastAsia="Calibri" w:hAnsi="Calibri"/>
          <w:szCs w:val="22"/>
          <w:lang w:eastAsia="en-US"/>
        </w:rPr>
        <w:t xml:space="preserve">0 000 </w:t>
      </w:r>
      <w:r w:rsidR="00646537">
        <w:rPr>
          <w:rFonts w:ascii="Calibri" w:eastAsia="Calibri" w:hAnsi="Calibri"/>
          <w:szCs w:val="22"/>
          <w:lang w:eastAsia="en-US"/>
        </w:rPr>
        <w:t>€</w:t>
      </w:r>
      <w:r w:rsidRPr="008676F9">
        <w:rPr>
          <w:rFonts w:ascii="Calibri" w:eastAsia="Calibri" w:hAnsi="Calibri"/>
          <w:szCs w:val="22"/>
          <w:lang w:eastAsia="en-US"/>
        </w:rPr>
        <w:t xml:space="preserve">, ktoré tak budú prirodzene dopĺňať aktivity väčšieho rozsahu realizované prostredníctvom opatrenia čl. 20 alebo čl. 35. Aby podpora pre obce smerovala do území, kde je potrebná  a opodstatnená, je stanovená podmienka pre obec, že musí preukázať súlad príslušnej operácie s plánom hospodárskeho a sociálneho rozvoja obce (PHSR) a zároveň aj v súlade s príslušnou stratégiou miestneho rozvoja. </w:t>
      </w:r>
    </w:p>
    <w:p w:rsidR="008676F9" w:rsidRPr="008676F9" w:rsidRDefault="008676F9" w:rsidP="008676F9">
      <w:pPr>
        <w:spacing w:after="120"/>
        <w:rPr>
          <w:rFonts w:ascii="Calibri" w:eastAsia="Calibri" w:hAnsi="Calibri"/>
          <w:szCs w:val="22"/>
          <w:lang w:eastAsia="en-US"/>
        </w:rPr>
      </w:pPr>
      <w:r w:rsidRPr="008676F9">
        <w:rPr>
          <w:rFonts w:ascii="Calibri" w:eastAsia="Calibri" w:hAnsi="Calibri"/>
          <w:szCs w:val="22"/>
          <w:lang w:eastAsia="en-US"/>
        </w:rPr>
        <w:t>Čo sa týka ďalších opatrení, MAS si na základe analýz stanoví v stratégii, ktoré činnosti bude implementovať v rámci stratégie. Subjekty z územia MAS budú oprávnené žiadať o podporu aj na úrovni národných výziev pre jednotlivé opatrenia PRV za podmienky, ak im MAS vystaví potvrdenie o predmetnom  projekte, že nie je implementovaný cez stratégiu rozvoja územia alebo v ďalších plánoch MAS, čím deklaruje žiadateľ použitie jedného verejného finančného zdroja.</w:t>
      </w:r>
    </w:p>
    <w:p w:rsidR="008676F9" w:rsidRPr="008676F9" w:rsidRDefault="008676F9" w:rsidP="008676F9">
      <w:pPr>
        <w:keepNext/>
        <w:outlineLvl w:val="1"/>
        <w:rPr>
          <w:rFonts w:ascii="Calibri" w:hAnsi="Calibri"/>
          <w:b/>
          <w:szCs w:val="22"/>
          <w:lang w:eastAsia="en-US"/>
        </w:rPr>
      </w:pPr>
    </w:p>
    <w:p w:rsidR="008676F9" w:rsidRPr="008676F9" w:rsidRDefault="008676F9" w:rsidP="00D95CA5">
      <w:pPr>
        <w:pStyle w:val="Pod"/>
        <w:ind w:left="567" w:hanging="567"/>
        <w:rPr>
          <w:rFonts w:eastAsia="Calibri"/>
          <w:lang w:eastAsia="en-US"/>
        </w:rPr>
      </w:pPr>
      <w:bookmarkStart w:id="178" w:name="_Toc384111097"/>
      <w:bookmarkStart w:id="179" w:name="_Toc387041365"/>
      <w:r w:rsidRPr="008676F9">
        <w:rPr>
          <w:rFonts w:eastAsia="Calibri"/>
          <w:lang w:eastAsia="en-US"/>
        </w:rPr>
        <w:t>15.5. Činnosti, ktorými sa dosiahne zníženie administratívnej záťaže pre užívateľov programu</w:t>
      </w:r>
      <w:bookmarkEnd w:id="178"/>
      <w:bookmarkEnd w:id="179"/>
    </w:p>
    <w:p w:rsidR="008676F9" w:rsidRPr="008676F9" w:rsidRDefault="008676F9" w:rsidP="008676F9">
      <w:pPr>
        <w:autoSpaceDE w:val="0"/>
        <w:autoSpaceDN w:val="0"/>
        <w:spacing w:after="120"/>
        <w:rPr>
          <w:rFonts w:ascii="Calibri" w:eastAsia="Calibri" w:hAnsi="Calibri"/>
          <w:szCs w:val="22"/>
          <w:lang w:eastAsia="en-US"/>
        </w:rPr>
      </w:pPr>
      <w:r w:rsidRPr="008676F9">
        <w:rPr>
          <w:rFonts w:ascii="Calibri" w:eastAsia="Calibri" w:hAnsi="Calibri"/>
          <w:szCs w:val="22"/>
          <w:lang w:eastAsia="en-US"/>
        </w:rPr>
        <w:t xml:space="preserve">Prvok zjednodušenia tvorí podstatné miesto v rámci celej implementácie programu. Problematika zjednodušenia sa dotýka tak prijímateľov ako aj všetkých orgánov zapojených do vykonávania programu. Hlavným cieľom zjednodušenia je zníženie administratívnej záťaže prijímateľov oproti  programovaciemu obdobiu 2007-2013.  Bude možnosť využiť integrované projekty, ktoré umožnia žiadateľom podávať projekt obsahujúci viacero opatrení.  </w:t>
      </w:r>
    </w:p>
    <w:p w:rsidR="008676F9" w:rsidRPr="008676F9" w:rsidRDefault="008676F9" w:rsidP="008676F9">
      <w:pPr>
        <w:autoSpaceDE w:val="0"/>
        <w:autoSpaceDN w:val="0"/>
        <w:rPr>
          <w:rFonts w:ascii="Calibri" w:eastAsia="Calibri" w:hAnsi="Calibri"/>
          <w:szCs w:val="22"/>
          <w:lang w:eastAsia="en-US"/>
        </w:rPr>
      </w:pPr>
      <w:r w:rsidRPr="008676F9">
        <w:rPr>
          <w:rFonts w:ascii="Calibri" w:eastAsia="Calibri" w:hAnsi="Calibri"/>
          <w:szCs w:val="22"/>
          <w:lang w:eastAsia="en-US"/>
        </w:rPr>
        <w:t>Zníženie administratívnej záťaže príjemcov sa dosiahne aj vďaka tomu, že žiadateľ bude podávať všetky plošné žiadosti formou jednotnej žiadosti a to isté sa bude uplatňovať aj pre platby na DJ. Ďalším krokom pre odbúranie administratívnej záťaže je nastavenie pravidiel opatrení a platieb tak, aby boli čo najjednoduchšie a aby nevyžadovali veľké množstvo údajov a podkladov, ktoré bude musieť žiadateľ prikladať k žiadosti o vstup do opatrenia alebo k žiadosti o platbu. V prípade použitia výberových kritérií bude snaha, aby boli postačujúce údaje poskytnuté v žiadostiach.</w:t>
      </w:r>
    </w:p>
    <w:p w:rsidR="008676F9" w:rsidRPr="008676F9" w:rsidRDefault="008676F9" w:rsidP="008676F9">
      <w:pPr>
        <w:spacing w:before="120"/>
        <w:rPr>
          <w:rFonts w:ascii="Calibri" w:eastAsia="Calibri" w:hAnsi="Calibri"/>
          <w:szCs w:val="22"/>
          <w:lang w:eastAsia="en-US"/>
        </w:rPr>
      </w:pPr>
      <w:r w:rsidRPr="008676F9">
        <w:rPr>
          <w:rFonts w:ascii="Calibri" w:eastAsia="Calibri" w:hAnsi="Calibri"/>
          <w:szCs w:val="22"/>
          <w:lang w:eastAsia="en-US"/>
        </w:rPr>
        <w:t xml:space="preserve">Program bude využívať rôzne mechanizmy na zjednodušenie prípravy a realizácie projektov, napr. systém paušálnych platieb a systém jednotkových cien pre vybrané typy oprávnených výdavkov. Okrem toho sa predpokladá zavedenie elektronického predkladania projektov. V súčasnosti sa na Slovensku zavádzajú systémy na prepojenie orgánov štátnej správy (eGovernment), ktoré budú umožňovať PPA overiť si údaje o žiadateľovi on-line. Po ich zavedení budú žiadatelia odbremenení od predkladania potvrdení od iných ústredných orgánov štátnej správy čím sa zefektívni a zrýchli administratíva, realizácia a kontrola projektov. </w:t>
      </w:r>
    </w:p>
    <w:p w:rsidR="008676F9" w:rsidRDefault="008676F9" w:rsidP="008676F9">
      <w:pPr>
        <w:autoSpaceDE w:val="0"/>
        <w:autoSpaceDN w:val="0"/>
        <w:adjustRightInd w:val="0"/>
        <w:rPr>
          <w:rFonts w:ascii="Calibri" w:eastAsia="Calibri" w:hAnsi="Calibri"/>
          <w:b/>
          <w:szCs w:val="22"/>
          <w:lang w:eastAsia="en-US"/>
        </w:rPr>
      </w:pPr>
    </w:p>
    <w:p w:rsidR="00D95CA5" w:rsidRDefault="00D95CA5" w:rsidP="008676F9">
      <w:pPr>
        <w:autoSpaceDE w:val="0"/>
        <w:autoSpaceDN w:val="0"/>
        <w:adjustRightInd w:val="0"/>
        <w:rPr>
          <w:rFonts w:ascii="Calibri" w:eastAsia="Calibri" w:hAnsi="Calibri"/>
          <w:b/>
          <w:szCs w:val="22"/>
          <w:lang w:eastAsia="en-US"/>
        </w:rPr>
      </w:pPr>
    </w:p>
    <w:p w:rsidR="00D95CA5" w:rsidRDefault="00D95CA5" w:rsidP="008676F9">
      <w:pPr>
        <w:autoSpaceDE w:val="0"/>
        <w:autoSpaceDN w:val="0"/>
        <w:adjustRightInd w:val="0"/>
        <w:rPr>
          <w:rFonts w:ascii="Calibri" w:eastAsia="Calibri" w:hAnsi="Calibri"/>
          <w:b/>
          <w:szCs w:val="22"/>
          <w:lang w:eastAsia="en-US"/>
        </w:rPr>
      </w:pPr>
    </w:p>
    <w:p w:rsidR="00D95CA5" w:rsidRPr="008676F9" w:rsidRDefault="00D95CA5" w:rsidP="008676F9">
      <w:pPr>
        <w:autoSpaceDE w:val="0"/>
        <w:autoSpaceDN w:val="0"/>
        <w:adjustRightInd w:val="0"/>
        <w:rPr>
          <w:rFonts w:ascii="Calibri" w:eastAsia="Calibri" w:hAnsi="Calibri"/>
          <w:b/>
          <w:szCs w:val="22"/>
          <w:lang w:eastAsia="en-US"/>
        </w:rPr>
      </w:pPr>
    </w:p>
    <w:p w:rsidR="00D95CA5" w:rsidRDefault="00D95CA5" w:rsidP="00AA30CA">
      <w:pPr>
        <w:pStyle w:val="Pod"/>
        <w:rPr>
          <w:rFonts w:eastAsia="Calibri"/>
          <w:lang w:eastAsia="en-US"/>
        </w:rPr>
      </w:pPr>
      <w:bookmarkStart w:id="180" w:name="_Toc384111098"/>
    </w:p>
    <w:p w:rsidR="008676F9" w:rsidRPr="008676F9" w:rsidRDefault="008676F9" w:rsidP="00AA30CA">
      <w:pPr>
        <w:pStyle w:val="Pod"/>
        <w:rPr>
          <w:rFonts w:eastAsia="Calibri"/>
          <w:lang w:eastAsia="en-US"/>
        </w:rPr>
      </w:pPr>
      <w:bookmarkStart w:id="181" w:name="_Toc387041366"/>
      <w:r w:rsidRPr="008676F9">
        <w:rPr>
          <w:rFonts w:eastAsia="Calibri"/>
          <w:lang w:eastAsia="en-US"/>
        </w:rPr>
        <w:t>15.6. Opis využitia technickej pomoci</w:t>
      </w:r>
      <w:bookmarkEnd w:id="180"/>
      <w:bookmarkEnd w:id="181"/>
    </w:p>
    <w:p w:rsidR="008676F9" w:rsidRPr="008676F9" w:rsidRDefault="008676F9" w:rsidP="00F14F63">
      <w:pPr>
        <w:keepNext/>
        <w:spacing w:after="120"/>
        <w:outlineLvl w:val="1"/>
        <w:rPr>
          <w:rFonts w:ascii="Calibri" w:hAnsi="Calibri"/>
          <w:szCs w:val="22"/>
          <w:lang w:eastAsia="en-US"/>
        </w:rPr>
      </w:pPr>
      <w:r w:rsidRPr="008676F9">
        <w:rPr>
          <w:rFonts w:ascii="Calibri" w:hAnsi="Calibri"/>
          <w:szCs w:val="22"/>
          <w:lang w:eastAsia="en-US"/>
        </w:rPr>
        <w:t xml:space="preserve">Cieľom technickej pomoci je zabezpečiť efektívne riadenie, implementáciu, monitorovanie, hodnotenie, audit a kontrolu. Jej súčasťou je aj rozsiahla a cielená propagácia zameraná na informovanie v rámci vstupných a výstupných cieľov PRV. Pre zabezpečenie plynulej a efektívnej implementácie jednotlivých opatrení PRV bude nevyhnutné využívať súbor aktivít a nástrojov podporujúci daný cieľ, ako aj zabezpečiť nevyhnutné administratívne a personálne kapacity. </w:t>
      </w:r>
    </w:p>
    <w:p w:rsidR="00D95CA5" w:rsidRDefault="00D95CA5" w:rsidP="00F14F63">
      <w:pPr>
        <w:spacing w:after="120"/>
        <w:rPr>
          <w:rFonts w:ascii="Calibri" w:eastAsia="Calibri" w:hAnsi="Calibri"/>
          <w:szCs w:val="22"/>
          <w:u w:val="single"/>
          <w:lang w:eastAsia="en-US"/>
        </w:rPr>
      </w:pPr>
    </w:p>
    <w:p w:rsidR="008676F9" w:rsidRPr="008676F9" w:rsidRDefault="008676F9" w:rsidP="00F14F63">
      <w:pPr>
        <w:spacing w:after="120"/>
        <w:rPr>
          <w:rFonts w:ascii="Calibri" w:eastAsia="Calibri" w:hAnsi="Calibri"/>
          <w:szCs w:val="22"/>
          <w:u w:val="single"/>
          <w:lang w:eastAsia="en-US"/>
        </w:rPr>
      </w:pPr>
      <w:r w:rsidRPr="008676F9">
        <w:rPr>
          <w:rFonts w:ascii="Calibri" w:eastAsia="Calibri" w:hAnsi="Calibri"/>
          <w:szCs w:val="22"/>
          <w:u w:val="single"/>
          <w:lang w:eastAsia="en-US"/>
        </w:rPr>
        <w:t>Oprávnené náklady:</w:t>
      </w:r>
    </w:p>
    <w:p w:rsidR="008676F9" w:rsidRPr="008676F9" w:rsidRDefault="008676F9" w:rsidP="00CE203B">
      <w:pPr>
        <w:numPr>
          <w:ilvl w:val="0"/>
          <w:numId w:val="297"/>
        </w:numPr>
        <w:spacing w:after="120"/>
        <w:ind w:left="426" w:hanging="426"/>
        <w:rPr>
          <w:rFonts w:ascii="Calibri" w:hAnsi="Calibri"/>
          <w:szCs w:val="22"/>
          <w:lang w:eastAsia="en-US"/>
        </w:rPr>
      </w:pPr>
      <w:r w:rsidRPr="008676F9">
        <w:rPr>
          <w:rFonts w:ascii="Calibri" w:hAnsi="Calibri"/>
          <w:szCs w:val="22"/>
          <w:lang w:eastAsia="en-US"/>
        </w:rPr>
        <w:t>príprava, výber, riadenie, implementácia, hodnotenie a monitorovanie projektov, podpôr, činností a programu, zabezpečenie ostatných procesov nevyhnutných pre fungovanie programu a príprava nasledujúceho programového obdobia,</w:t>
      </w:r>
    </w:p>
    <w:p w:rsidR="008676F9" w:rsidRPr="008676F9" w:rsidRDefault="008676F9" w:rsidP="00CE203B">
      <w:pPr>
        <w:numPr>
          <w:ilvl w:val="0"/>
          <w:numId w:val="297"/>
        </w:numPr>
        <w:spacing w:after="120"/>
        <w:ind w:left="426" w:hanging="426"/>
        <w:rPr>
          <w:rFonts w:ascii="Calibri" w:hAnsi="Calibri"/>
          <w:szCs w:val="22"/>
          <w:lang w:eastAsia="en-US"/>
        </w:rPr>
      </w:pPr>
      <w:r w:rsidRPr="008676F9">
        <w:rPr>
          <w:rFonts w:ascii="Calibri" w:hAnsi="Calibri"/>
          <w:szCs w:val="22"/>
          <w:lang w:eastAsia="en-US"/>
        </w:rPr>
        <w:t>ex post hodnotenie predchádzajúceho programového obdobia,</w:t>
      </w:r>
    </w:p>
    <w:p w:rsidR="008676F9" w:rsidRPr="008676F9" w:rsidRDefault="008676F9" w:rsidP="00CE203B">
      <w:pPr>
        <w:numPr>
          <w:ilvl w:val="0"/>
          <w:numId w:val="297"/>
        </w:numPr>
        <w:spacing w:after="120"/>
        <w:ind w:left="426" w:hanging="426"/>
        <w:rPr>
          <w:rFonts w:ascii="Calibri" w:hAnsi="Calibri"/>
          <w:szCs w:val="22"/>
          <w:lang w:eastAsia="en-US"/>
        </w:rPr>
      </w:pPr>
      <w:r w:rsidRPr="008676F9">
        <w:rPr>
          <w:rFonts w:ascii="Calibri" w:hAnsi="Calibri"/>
          <w:szCs w:val="22"/>
          <w:lang w:eastAsia="en-US"/>
        </w:rPr>
        <w:t>právne služby,</w:t>
      </w:r>
    </w:p>
    <w:p w:rsidR="008676F9" w:rsidRPr="008676F9" w:rsidRDefault="008676F9" w:rsidP="00CE203B">
      <w:pPr>
        <w:numPr>
          <w:ilvl w:val="0"/>
          <w:numId w:val="297"/>
        </w:numPr>
        <w:spacing w:after="120"/>
        <w:ind w:left="426" w:hanging="426"/>
        <w:rPr>
          <w:rFonts w:ascii="Calibri" w:hAnsi="Calibri"/>
          <w:szCs w:val="22"/>
          <w:lang w:eastAsia="en-US"/>
        </w:rPr>
      </w:pPr>
      <w:r w:rsidRPr="008676F9">
        <w:rPr>
          <w:rFonts w:ascii="Calibri" w:hAnsi="Calibri"/>
          <w:szCs w:val="22"/>
          <w:lang w:eastAsia="en-US"/>
        </w:rPr>
        <w:t>zasadnutia monitorovacích výborov a podvýborov vrátane nákladov na expertov a iných účastníkov týchto výborov, ak je ich účasť nevyhnutná pre efektívnu prácu monitorovacieho výboru, prípravu a prenájom priestorov, zabezpečenie materiálov, náklady na účasť členov výboru, pracovné skupiny pre prípravu programovacieho obdobia,</w:t>
      </w:r>
    </w:p>
    <w:p w:rsidR="008676F9" w:rsidRPr="008676F9" w:rsidRDefault="008676F9" w:rsidP="00CE203B">
      <w:pPr>
        <w:numPr>
          <w:ilvl w:val="0"/>
          <w:numId w:val="297"/>
        </w:numPr>
        <w:spacing w:after="120"/>
        <w:ind w:left="426" w:hanging="426"/>
        <w:rPr>
          <w:rFonts w:ascii="Calibri" w:hAnsi="Calibri"/>
          <w:szCs w:val="22"/>
          <w:lang w:eastAsia="en-US"/>
        </w:rPr>
      </w:pPr>
      <w:r w:rsidRPr="008676F9">
        <w:rPr>
          <w:rFonts w:ascii="Calibri" w:hAnsi="Calibri"/>
          <w:szCs w:val="22"/>
          <w:lang w:eastAsia="en-US"/>
        </w:rPr>
        <w:t>audity a kontroly činností na mieste,</w:t>
      </w:r>
    </w:p>
    <w:p w:rsidR="008676F9" w:rsidRPr="008676F9" w:rsidRDefault="008676F9" w:rsidP="00CE203B">
      <w:pPr>
        <w:numPr>
          <w:ilvl w:val="0"/>
          <w:numId w:val="297"/>
        </w:numPr>
        <w:spacing w:after="120"/>
        <w:ind w:left="426" w:hanging="426"/>
        <w:rPr>
          <w:rFonts w:ascii="Calibri" w:hAnsi="Calibri"/>
          <w:szCs w:val="22"/>
          <w:lang w:eastAsia="en-US"/>
        </w:rPr>
      </w:pPr>
      <w:r w:rsidRPr="008676F9">
        <w:rPr>
          <w:rFonts w:ascii="Calibri" w:hAnsi="Calibri"/>
          <w:szCs w:val="22"/>
          <w:lang w:eastAsia="en-US"/>
        </w:rPr>
        <w:t>platy a odmeny štátnych a verejných zamestnancov vykonávajúcich činnosti spojené s riadením, implementáciou, kontrolou, auditom, monitorovaním, hodnotením programu, prípravou nového programovacieho obdobia a zabezpečovaním ostatných oprávnených činností technickej pomoci – činnosti musia byť podložené patrične zdôvodneným rozhodnutím príslušného orgánu o vykonávaní úloh a výkazom vykonanej práce,</w:t>
      </w:r>
    </w:p>
    <w:p w:rsidR="008676F9" w:rsidRPr="008676F9" w:rsidRDefault="008676F9" w:rsidP="00CE203B">
      <w:pPr>
        <w:numPr>
          <w:ilvl w:val="0"/>
          <w:numId w:val="297"/>
        </w:numPr>
        <w:spacing w:after="120"/>
        <w:ind w:left="426" w:hanging="426"/>
        <w:rPr>
          <w:rFonts w:ascii="Calibri" w:hAnsi="Calibri"/>
          <w:szCs w:val="22"/>
          <w:lang w:eastAsia="en-US"/>
        </w:rPr>
      </w:pPr>
      <w:r w:rsidRPr="008676F9">
        <w:rPr>
          <w:rFonts w:ascii="Calibri" w:hAnsi="Calibri"/>
          <w:szCs w:val="22"/>
          <w:lang w:eastAsia="en-US"/>
        </w:rPr>
        <w:t>zriadenie, aktualizácia a zdokonaľovanie IT systémov,</w:t>
      </w:r>
    </w:p>
    <w:p w:rsidR="008676F9" w:rsidRPr="008676F9" w:rsidRDefault="008676F9" w:rsidP="00CE203B">
      <w:pPr>
        <w:numPr>
          <w:ilvl w:val="0"/>
          <w:numId w:val="297"/>
        </w:numPr>
        <w:spacing w:after="120"/>
        <w:ind w:left="426" w:hanging="426"/>
        <w:rPr>
          <w:rFonts w:ascii="Calibri" w:hAnsi="Calibri"/>
          <w:szCs w:val="22"/>
          <w:lang w:eastAsia="en-US"/>
        </w:rPr>
      </w:pPr>
      <w:r w:rsidRPr="008676F9">
        <w:rPr>
          <w:rFonts w:ascii="Calibri" w:hAnsi="Calibri"/>
          <w:szCs w:val="22"/>
          <w:lang w:eastAsia="en-US"/>
        </w:rPr>
        <w:t>hardvér,  softvér a kancelárska technika na zhromažďovanie, porovnávanie, manipuláciu a podávanie informácií potrebných na riadenie, implementáciu, kontrolu, audit, monitorovanie a hodnotenie programu, projektov a činností, vrátane ich aktualizácie  a zdokonaľovania,</w:t>
      </w:r>
    </w:p>
    <w:p w:rsidR="008676F9" w:rsidRPr="008676F9" w:rsidRDefault="008676F9" w:rsidP="00CE203B">
      <w:pPr>
        <w:numPr>
          <w:ilvl w:val="0"/>
          <w:numId w:val="297"/>
        </w:numPr>
        <w:spacing w:after="120"/>
        <w:ind w:left="426" w:hanging="426"/>
        <w:rPr>
          <w:rFonts w:ascii="Calibri" w:hAnsi="Calibri"/>
          <w:szCs w:val="22"/>
          <w:lang w:eastAsia="en-US"/>
        </w:rPr>
      </w:pPr>
      <w:r w:rsidRPr="008676F9">
        <w:rPr>
          <w:rFonts w:ascii="Calibri" w:hAnsi="Calibri"/>
          <w:szCs w:val="22"/>
          <w:lang w:eastAsia="en-US"/>
        </w:rPr>
        <w:t>softvérové produkty a ich údržba,</w:t>
      </w:r>
    </w:p>
    <w:p w:rsidR="008676F9" w:rsidRPr="008676F9" w:rsidRDefault="008676F9" w:rsidP="00CE203B">
      <w:pPr>
        <w:numPr>
          <w:ilvl w:val="0"/>
          <w:numId w:val="297"/>
        </w:numPr>
        <w:spacing w:after="120"/>
        <w:ind w:left="426" w:hanging="426"/>
        <w:rPr>
          <w:rFonts w:ascii="Calibri" w:hAnsi="Calibri"/>
          <w:szCs w:val="22"/>
          <w:lang w:eastAsia="en-US"/>
        </w:rPr>
      </w:pPr>
      <w:r w:rsidRPr="008676F9">
        <w:rPr>
          <w:rFonts w:ascii="Calibri" w:hAnsi="Calibri"/>
          <w:szCs w:val="22"/>
          <w:lang w:eastAsia="en-US"/>
        </w:rPr>
        <w:t>technické, priestorové a prevádzkové vybavenie,</w:t>
      </w:r>
    </w:p>
    <w:p w:rsidR="008676F9" w:rsidRPr="008676F9" w:rsidRDefault="008676F9" w:rsidP="00CE203B">
      <w:pPr>
        <w:numPr>
          <w:ilvl w:val="0"/>
          <w:numId w:val="297"/>
        </w:numPr>
        <w:spacing w:after="120"/>
        <w:ind w:left="426" w:hanging="426"/>
        <w:rPr>
          <w:rFonts w:ascii="Calibri" w:hAnsi="Calibri"/>
          <w:szCs w:val="22"/>
          <w:lang w:eastAsia="en-US"/>
        </w:rPr>
      </w:pPr>
      <w:r w:rsidRPr="008676F9">
        <w:rPr>
          <w:rFonts w:ascii="Calibri" w:hAnsi="Calibri"/>
          <w:szCs w:val="22"/>
          <w:lang w:eastAsia="en-US"/>
        </w:rPr>
        <w:t>výdavky na expertov pri posudzovaní a revízii programových základní a indikátorov a pri asistencii alebo odporučeniach Monitorovaciemu výboru ohľadom implementácií monitorovacích úloh,</w:t>
      </w:r>
    </w:p>
    <w:p w:rsidR="008676F9" w:rsidRPr="008676F9" w:rsidRDefault="008676F9" w:rsidP="00CE203B">
      <w:pPr>
        <w:numPr>
          <w:ilvl w:val="0"/>
          <w:numId w:val="297"/>
        </w:numPr>
        <w:spacing w:after="120"/>
        <w:ind w:left="426" w:hanging="426"/>
        <w:rPr>
          <w:rFonts w:ascii="Calibri" w:hAnsi="Calibri"/>
          <w:szCs w:val="22"/>
          <w:lang w:eastAsia="en-US"/>
        </w:rPr>
      </w:pPr>
      <w:r w:rsidRPr="008676F9">
        <w:rPr>
          <w:rFonts w:ascii="Calibri" w:hAnsi="Calibri"/>
          <w:szCs w:val="22"/>
          <w:lang w:eastAsia="en-US"/>
        </w:rPr>
        <w:t>služby informačných a propagačných expertov,</w:t>
      </w:r>
    </w:p>
    <w:p w:rsidR="008676F9" w:rsidRPr="008676F9" w:rsidRDefault="008676F9" w:rsidP="00CE203B">
      <w:pPr>
        <w:numPr>
          <w:ilvl w:val="0"/>
          <w:numId w:val="297"/>
        </w:numPr>
        <w:spacing w:after="120"/>
        <w:ind w:left="426" w:hanging="426"/>
        <w:rPr>
          <w:rFonts w:ascii="Calibri" w:hAnsi="Calibri"/>
          <w:szCs w:val="22"/>
          <w:lang w:eastAsia="en-US"/>
        </w:rPr>
      </w:pPr>
      <w:r w:rsidRPr="008676F9">
        <w:rPr>
          <w:rFonts w:ascii="Calibri" w:hAnsi="Calibri"/>
          <w:szCs w:val="22"/>
          <w:lang w:eastAsia="en-US"/>
        </w:rPr>
        <w:t>štúdie, analýzy, koncepcie, prieskumy, metodické príručky,</w:t>
      </w:r>
    </w:p>
    <w:p w:rsidR="008676F9" w:rsidRPr="008676F9" w:rsidRDefault="008676F9" w:rsidP="00CE203B">
      <w:pPr>
        <w:numPr>
          <w:ilvl w:val="0"/>
          <w:numId w:val="297"/>
        </w:numPr>
        <w:spacing w:after="120"/>
        <w:ind w:left="426" w:hanging="426"/>
        <w:rPr>
          <w:rFonts w:ascii="Calibri" w:hAnsi="Calibri"/>
          <w:szCs w:val="22"/>
          <w:lang w:eastAsia="en-US"/>
        </w:rPr>
      </w:pPr>
      <w:r w:rsidRPr="008676F9">
        <w:rPr>
          <w:rFonts w:ascii="Calibri" w:hAnsi="Calibri"/>
          <w:szCs w:val="22"/>
          <w:lang w:eastAsia="en-US"/>
        </w:rPr>
        <w:t>informačné a propagačné kampane, zahŕňajúce tlač a distribúciu, informačné podujatia, konferencie a semináre, školenia pre žiadateľov a pre riadiace a implementačné štruktúry, vrátane odmeňovania externých školiteľov, brožúry,</w:t>
      </w:r>
    </w:p>
    <w:p w:rsidR="008676F9" w:rsidRPr="008676F9" w:rsidRDefault="008676F9" w:rsidP="00CE203B">
      <w:pPr>
        <w:numPr>
          <w:ilvl w:val="0"/>
          <w:numId w:val="297"/>
        </w:numPr>
        <w:spacing w:after="120"/>
        <w:ind w:left="426" w:hanging="426"/>
        <w:rPr>
          <w:rFonts w:ascii="Calibri" w:hAnsi="Calibri"/>
          <w:szCs w:val="22"/>
          <w:lang w:eastAsia="en-US"/>
        </w:rPr>
      </w:pPr>
      <w:r w:rsidRPr="008676F9">
        <w:rPr>
          <w:rFonts w:ascii="Calibri" w:hAnsi="Calibri"/>
          <w:szCs w:val="22"/>
          <w:lang w:eastAsia="en-US"/>
        </w:rPr>
        <w:t>pracovné návštevy členských a pristupujúcich krajín zamestnancami zaoberajúcimi sa administráciou programu,</w:t>
      </w:r>
    </w:p>
    <w:p w:rsidR="008676F9" w:rsidRPr="008676F9" w:rsidRDefault="008676F9" w:rsidP="00CE203B">
      <w:pPr>
        <w:numPr>
          <w:ilvl w:val="0"/>
          <w:numId w:val="297"/>
        </w:numPr>
        <w:spacing w:after="120"/>
        <w:ind w:left="426" w:hanging="426"/>
        <w:rPr>
          <w:rFonts w:ascii="Calibri" w:hAnsi="Calibri"/>
          <w:szCs w:val="22"/>
          <w:lang w:eastAsia="en-US"/>
        </w:rPr>
      </w:pPr>
      <w:r w:rsidRPr="008676F9">
        <w:rPr>
          <w:rFonts w:ascii="Calibri" w:hAnsi="Calibri"/>
          <w:szCs w:val="22"/>
          <w:lang w:eastAsia="en-US"/>
        </w:rPr>
        <w:t>rokovania so zástupcami členských a pristupujúcich krajín v súvislosti s administráciou programu,</w:t>
      </w:r>
    </w:p>
    <w:p w:rsidR="008676F9" w:rsidRPr="008676F9" w:rsidRDefault="008676F9" w:rsidP="00CE203B">
      <w:pPr>
        <w:numPr>
          <w:ilvl w:val="0"/>
          <w:numId w:val="297"/>
        </w:numPr>
        <w:spacing w:after="120"/>
        <w:ind w:left="426" w:hanging="426"/>
        <w:rPr>
          <w:rFonts w:ascii="Calibri" w:hAnsi="Calibri"/>
          <w:szCs w:val="22"/>
          <w:lang w:eastAsia="en-US"/>
        </w:rPr>
      </w:pPr>
      <w:r w:rsidRPr="008676F9">
        <w:rPr>
          <w:rFonts w:ascii="Calibri" w:hAnsi="Calibri"/>
          <w:szCs w:val="22"/>
          <w:lang w:eastAsia="en-US"/>
        </w:rPr>
        <w:t>propagácia programu (prednášky, semináre, školenia, konferencie, preklady, kampane a propagácia v médiách, propagačné predmety pre účely publicity programu, ostatná propagácia programu) súčasného i budúceho programovacieho obdobia,</w:t>
      </w:r>
    </w:p>
    <w:p w:rsidR="008676F9" w:rsidRPr="008676F9" w:rsidRDefault="008676F9" w:rsidP="00CE203B">
      <w:pPr>
        <w:numPr>
          <w:ilvl w:val="0"/>
          <w:numId w:val="297"/>
        </w:numPr>
        <w:spacing w:after="120"/>
        <w:ind w:left="426" w:hanging="426"/>
        <w:rPr>
          <w:rFonts w:ascii="Calibri" w:hAnsi="Calibri"/>
          <w:szCs w:val="22"/>
          <w:lang w:eastAsia="en-US"/>
        </w:rPr>
      </w:pPr>
      <w:r w:rsidRPr="008676F9">
        <w:rPr>
          <w:rFonts w:ascii="Calibri" w:hAnsi="Calibri"/>
          <w:szCs w:val="22"/>
          <w:lang w:eastAsia="en-US"/>
        </w:rPr>
        <w:t>služby expertov vo verejnom obstarávaní,</w:t>
      </w:r>
    </w:p>
    <w:p w:rsidR="008676F9" w:rsidRPr="008676F9" w:rsidRDefault="008676F9" w:rsidP="00CE203B">
      <w:pPr>
        <w:numPr>
          <w:ilvl w:val="0"/>
          <w:numId w:val="297"/>
        </w:numPr>
        <w:spacing w:after="120"/>
        <w:ind w:left="426" w:hanging="426"/>
        <w:rPr>
          <w:rFonts w:ascii="Calibri" w:hAnsi="Calibri"/>
          <w:szCs w:val="22"/>
          <w:lang w:eastAsia="en-US"/>
        </w:rPr>
      </w:pPr>
      <w:r w:rsidRPr="008676F9">
        <w:rPr>
          <w:rFonts w:ascii="Calibri" w:hAnsi="Calibri"/>
          <w:szCs w:val="22"/>
          <w:lang w:eastAsia="en-US"/>
        </w:rPr>
        <w:t>preklady a tlmočenie,</w:t>
      </w:r>
    </w:p>
    <w:p w:rsidR="008676F9" w:rsidRPr="008676F9" w:rsidRDefault="008676F9" w:rsidP="00CE203B">
      <w:pPr>
        <w:numPr>
          <w:ilvl w:val="0"/>
          <w:numId w:val="297"/>
        </w:numPr>
        <w:spacing w:after="120"/>
        <w:ind w:left="426" w:hanging="426"/>
        <w:rPr>
          <w:rFonts w:ascii="Calibri" w:hAnsi="Calibri"/>
          <w:szCs w:val="22"/>
          <w:lang w:eastAsia="en-US"/>
        </w:rPr>
      </w:pPr>
      <w:r w:rsidRPr="008676F9">
        <w:rPr>
          <w:rFonts w:ascii="Calibri" w:hAnsi="Calibri"/>
          <w:szCs w:val="22"/>
          <w:lang w:eastAsia="en-US"/>
        </w:rPr>
        <w:t>dopravné prostriedky pre štátnych a verejných zamestnancov vykonávajúcich činnosti spojené s riadením, implementáciou, kontrolou, auditom, monitorovaním, hodnotením programu, prípravou nového programovacieho obdobia a zabezpečovaním ostatných oprávnených činností technickej pomoci, ich servis, údržba a výdavky s tým spojené (dopravné),</w:t>
      </w:r>
    </w:p>
    <w:p w:rsidR="00BB33FC" w:rsidRDefault="008676F9" w:rsidP="00CE203B">
      <w:pPr>
        <w:numPr>
          <w:ilvl w:val="0"/>
          <w:numId w:val="297"/>
        </w:numPr>
        <w:spacing w:after="120"/>
        <w:ind w:left="426" w:hanging="426"/>
        <w:rPr>
          <w:rFonts w:ascii="Calibri" w:hAnsi="Calibri"/>
          <w:szCs w:val="22"/>
          <w:lang w:eastAsia="en-US"/>
        </w:rPr>
      </w:pPr>
      <w:r w:rsidRPr="008676F9">
        <w:rPr>
          <w:rFonts w:ascii="Calibri" w:hAnsi="Calibri"/>
          <w:szCs w:val="22"/>
          <w:lang w:eastAsia="en-US"/>
        </w:rPr>
        <w:t>prevádzka a aktivity akčného plánu Národnej siete rozvoja vidieka.</w:t>
      </w:r>
    </w:p>
    <w:p w:rsidR="006C75BE" w:rsidRDefault="00962FCB" w:rsidP="00BB33FC">
      <w:pPr>
        <w:keepNext/>
        <w:keepLines/>
        <w:ind w:left="426" w:hanging="426"/>
        <w:outlineLvl w:val="0"/>
        <w:rPr>
          <w:rFonts w:ascii="Calibri" w:hAnsi="Calibri"/>
          <w:b/>
          <w:bCs/>
          <w:color w:val="000000"/>
          <w:lang w:eastAsia="en-US"/>
        </w:rPr>
      </w:pPr>
      <w:r>
        <w:rPr>
          <w:rFonts w:ascii="Calibri" w:hAnsi="Calibri"/>
          <w:b/>
          <w:bCs/>
          <w:color w:val="000000"/>
          <w:lang w:eastAsia="en-US"/>
        </w:rPr>
        <w:br w:type="page"/>
      </w:r>
    </w:p>
    <w:p w:rsidR="00D95CA5" w:rsidRDefault="00D95CA5" w:rsidP="00366F96">
      <w:pPr>
        <w:pStyle w:val="Hlavn"/>
      </w:pPr>
    </w:p>
    <w:p w:rsidR="00BB33FC" w:rsidRPr="00BB33FC" w:rsidRDefault="00BB33FC" w:rsidP="00366F96">
      <w:pPr>
        <w:pStyle w:val="Hlavn"/>
      </w:pPr>
      <w:bookmarkStart w:id="182" w:name="_Toc387041367"/>
      <w:r w:rsidRPr="00BB33FC">
        <w:t>16.  OPATRENIA PRIJATÉ NA ZAPOJENIE PARTNEROV UVEDENÝCH V ČLÁNKU 5 NARIADENIA(EÚ) Č. 1305/2013 A ZHRNUTIE VÝSLEDKOV KONZULTÁCIÍ S PARTNERMI</w:t>
      </w:r>
      <w:bookmarkEnd w:id="182"/>
    </w:p>
    <w:p w:rsidR="00BB33FC" w:rsidRPr="00BB33FC" w:rsidRDefault="00BB33FC" w:rsidP="00BB33FC">
      <w:pPr>
        <w:tabs>
          <w:tab w:val="left" w:pos="5020"/>
        </w:tabs>
        <w:rPr>
          <w:rFonts w:ascii="Calibri" w:eastAsia="Calibri" w:hAnsi="Calibri"/>
          <w:szCs w:val="22"/>
          <w:lang w:eastAsia="en-US"/>
        </w:rPr>
      </w:pPr>
    </w:p>
    <w:p w:rsidR="00BB33FC" w:rsidRPr="00BB33FC" w:rsidRDefault="00BB33FC" w:rsidP="00AA30CA">
      <w:pPr>
        <w:pStyle w:val="Pod"/>
        <w:rPr>
          <w:rFonts w:eastAsia="Calibri"/>
          <w:lang w:eastAsia="en-US"/>
        </w:rPr>
      </w:pPr>
      <w:bookmarkStart w:id="183" w:name="_Toc384111100"/>
      <w:bookmarkStart w:id="184" w:name="_Toc387041368"/>
      <w:r w:rsidRPr="00BB33FC">
        <w:rPr>
          <w:rFonts w:eastAsia="Calibri"/>
          <w:lang w:eastAsia="en-US"/>
        </w:rPr>
        <w:t>16.1. Zoznam opatrení na zapojenie partnerov</w:t>
      </w:r>
      <w:bookmarkEnd w:id="183"/>
      <w:bookmarkEnd w:id="184"/>
    </w:p>
    <w:tbl>
      <w:tblP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36"/>
        <w:gridCol w:w="2148"/>
        <w:gridCol w:w="4888"/>
      </w:tblGrid>
      <w:tr w:rsidR="00BB33FC" w:rsidRPr="00BB33FC" w:rsidTr="00D95CA5">
        <w:trPr>
          <w:trHeight w:val="439"/>
          <w:tblHeader/>
        </w:trPr>
        <w:tc>
          <w:tcPr>
            <w:tcW w:w="2036" w:type="dxa"/>
            <w:tcBorders>
              <w:bottom w:val="single" w:sz="4" w:space="0" w:color="auto"/>
            </w:tcBorders>
            <w:shd w:val="clear" w:color="auto" w:fill="FDE9D9"/>
          </w:tcPr>
          <w:p w:rsidR="00BB33FC" w:rsidRPr="00BB33FC" w:rsidRDefault="00BB33FC" w:rsidP="00BB33FC">
            <w:pPr>
              <w:tabs>
                <w:tab w:val="left" w:pos="1185"/>
              </w:tabs>
              <w:rPr>
                <w:rFonts w:ascii="Calibri" w:eastAsia="Calibri" w:hAnsi="Calibri"/>
                <w:b/>
                <w:sz w:val="20"/>
                <w:szCs w:val="20"/>
                <w:lang w:eastAsia="en-US"/>
              </w:rPr>
            </w:pPr>
            <w:r w:rsidRPr="00BB33FC">
              <w:rPr>
                <w:rFonts w:ascii="Calibri" w:eastAsia="Calibri" w:hAnsi="Calibri"/>
                <w:b/>
                <w:sz w:val="20"/>
                <w:szCs w:val="20"/>
                <w:lang w:eastAsia="en-US"/>
              </w:rPr>
              <w:t xml:space="preserve">Opatrenia prijaté na zapojenie partnerov </w:t>
            </w:r>
          </w:p>
        </w:tc>
        <w:tc>
          <w:tcPr>
            <w:tcW w:w="2148" w:type="dxa"/>
            <w:tcBorders>
              <w:bottom w:val="single" w:sz="4" w:space="0" w:color="auto"/>
            </w:tcBorders>
            <w:shd w:val="clear" w:color="auto" w:fill="FDE9D9"/>
            <w:vAlign w:val="center"/>
          </w:tcPr>
          <w:p w:rsidR="00BB33FC" w:rsidRPr="00D95CA5" w:rsidRDefault="00BB33FC" w:rsidP="00D95CA5">
            <w:pPr>
              <w:tabs>
                <w:tab w:val="left" w:pos="1185"/>
              </w:tabs>
              <w:jc w:val="center"/>
              <w:rPr>
                <w:rFonts w:ascii="Calibri" w:eastAsia="Calibri" w:hAnsi="Calibri"/>
                <w:b/>
                <w:sz w:val="20"/>
                <w:szCs w:val="20"/>
                <w:lang w:eastAsia="en-US"/>
              </w:rPr>
            </w:pPr>
            <w:r w:rsidRPr="00BB33FC">
              <w:rPr>
                <w:rFonts w:ascii="Calibri" w:eastAsia="Calibri" w:hAnsi="Calibri"/>
                <w:b/>
                <w:sz w:val="20"/>
                <w:szCs w:val="20"/>
                <w:lang w:eastAsia="en-US"/>
              </w:rPr>
              <w:t>Predmet konzultácie</w:t>
            </w:r>
          </w:p>
        </w:tc>
        <w:tc>
          <w:tcPr>
            <w:tcW w:w="4888" w:type="dxa"/>
            <w:tcBorders>
              <w:bottom w:val="single" w:sz="4" w:space="0" w:color="auto"/>
            </w:tcBorders>
            <w:shd w:val="clear" w:color="auto" w:fill="FDE9D9"/>
            <w:vAlign w:val="center"/>
          </w:tcPr>
          <w:p w:rsidR="00BB33FC" w:rsidRPr="00D95CA5" w:rsidRDefault="00BB33FC" w:rsidP="00D95CA5">
            <w:pPr>
              <w:tabs>
                <w:tab w:val="left" w:pos="1185"/>
              </w:tabs>
              <w:jc w:val="center"/>
              <w:rPr>
                <w:rFonts w:ascii="Calibri" w:eastAsia="Calibri" w:hAnsi="Calibri"/>
                <w:b/>
                <w:sz w:val="20"/>
                <w:szCs w:val="20"/>
                <w:lang w:eastAsia="en-US"/>
              </w:rPr>
            </w:pPr>
            <w:r w:rsidRPr="00BB33FC">
              <w:rPr>
                <w:rFonts w:ascii="Calibri" w:eastAsia="Calibri" w:hAnsi="Calibri"/>
                <w:b/>
                <w:sz w:val="20"/>
                <w:szCs w:val="20"/>
                <w:lang w:eastAsia="en-US"/>
              </w:rPr>
              <w:t>Sumár výsledkov</w:t>
            </w:r>
          </w:p>
        </w:tc>
      </w:tr>
      <w:tr w:rsidR="00BB33FC" w:rsidRPr="00BB33FC" w:rsidTr="00BB33FC">
        <w:trPr>
          <w:trHeight w:val="466"/>
        </w:trPr>
        <w:tc>
          <w:tcPr>
            <w:tcW w:w="2036" w:type="dxa"/>
          </w:tcPr>
          <w:p w:rsidR="00BB33FC" w:rsidRPr="00BB33FC" w:rsidRDefault="00BB33FC" w:rsidP="006C7E72">
            <w:pPr>
              <w:rPr>
                <w:rFonts w:ascii="Calibri" w:eastAsia="Calibri" w:hAnsi="Calibri"/>
                <w:sz w:val="20"/>
                <w:szCs w:val="20"/>
                <w:lang w:eastAsia="en-US"/>
              </w:rPr>
            </w:pPr>
            <w:r w:rsidRPr="00BB33FC">
              <w:rPr>
                <w:rFonts w:ascii="Calibri" w:eastAsia="Calibri" w:hAnsi="Calibri"/>
                <w:sz w:val="20"/>
                <w:szCs w:val="20"/>
                <w:lang w:eastAsia="en-US"/>
              </w:rPr>
              <w:t>1.zasadnutie Pracovnej skupiny pre prípravu PRV SR 2014-2020</w:t>
            </w:r>
          </w:p>
        </w:tc>
        <w:tc>
          <w:tcPr>
            <w:tcW w:w="2148" w:type="dxa"/>
          </w:tcPr>
          <w:p w:rsidR="00BB33FC" w:rsidRPr="00BB33FC" w:rsidRDefault="00BB33FC" w:rsidP="00232F1B">
            <w:pPr>
              <w:spacing w:after="120"/>
              <w:jc w:val="left"/>
              <w:rPr>
                <w:rFonts w:ascii="Calibri" w:eastAsia="Calibri" w:hAnsi="Calibri"/>
                <w:sz w:val="20"/>
                <w:szCs w:val="20"/>
                <w:lang w:eastAsia="en-US"/>
              </w:rPr>
            </w:pPr>
            <w:r w:rsidRPr="00BB33FC">
              <w:rPr>
                <w:rFonts w:ascii="Calibri" w:eastAsia="Calibri" w:hAnsi="Calibri"/>
                <w:bCs/>
                <w:sz w:val="20"/>
                <w:szCs w:val="20"/>
                <w:lang w:eastAsia="en-US"/>
              </w:rPr>
              <w:t>Harmonogram prípravy PRV SR 2014-2020</w:t>
            </w:r>
          </w:p>
          <w:p w:rsidR="00BB33FC" w:rsidRPr="00BB33FC" w:rsidRDefault="00BB33FC" w:rsidP="00232F1B">
            <w:pPr>
              <w:spacing w:after="120"/>
              <w:jc w:val="left"/>
              <w:rPr>
                <w:rFonts w:ascii="Calibri" w:eastAsia="Calibri" w:hAnsi="Calibri"/>
                <w:sz w:val="20"/>
                <w:szCs w:val="20"/>
                <w:lang w:eastAsia="en-US"/>
              </w:rPr>
            </w:pPr>
            <w:r w:rsidRPr="00BB33FC">
              <w:rPr>
                <w:rFonts w:ascii="Calibri" w:eastAsia="Calibri" w:hAnsi="Calibri"/>
                <w:bCs/>
                <w:sz w:val="20"/>
                <w:szCs w:val="20"/>
                <w:lang w:eastAsia="en-US"/>
              </w:rPr>
              <w:t>Návrh nariadenia Európskeho parlamentu a  Rady o podpore rozvoja vidieka prostredníctvom Európskeho poľnohospodárskeho fondu pre rozvoj vidieka</w:t>
            </w:r>
          </w:p>
          <w:p w:rsidR="00BB33FC" w:rsidRPr="00BB33FC" w:rsidRDefault="00BB33FC" w:rsidP="00232F1B">
            <w:pPr>
              <w:spacing w:after="120"/>
              <w:jc w:val="left"/>
              <w:rPr>
                <w:rFonts w:ascii="Calibri" w:eastAsia="Calibri" w:hAnsi="Calibri"/>
                <w:sz w:val="20"/>
                <w:szCs w:val="20"/>
                <w:lang w:eastAsia="en-US"/>
              </w:rPr>
            </w:pPr>
            <w:r w:rsidRPr="00BB33FC">
              <w:rPr>
                <w:rFonts w:ascii="Calibri" w:eastAsia="Calibri" w:hAnsi="Calibri"/>
                <w:bCs/>
                <w:sz w:val="20"/>
                <w:szCs w:val="20"/>
                <w:lang w:eastAsia="en-US"/>
              </w:rPr>
              <w:t>Pozičný dokument EK pre SR</w:t>
            </w:r>
          </w:p>
          <w:p w:rsidR="00BB33FC" w:rsidRPr="00BB33FC" w:rsidRDefault="00BB33FC" w:rsidP="00232F1B">
            <w:pPr>
              <w:spacing w:after="120"/>
              <w:jc w:val="left"/>
              <w:rPr>
                <w:rFonts w:ascii="Calibri" w:eastAsia="Calibri" w:hAnsi="Calibri"/>
                <w:b/>
                <w:sz w:val="20"/>
                <w:szCs w:val="20"/>
                <w:lang w:eastAsia="en-US"/>
              </w:rPr>
            </w:pPr>
            <w:r w:rsidRPr="00BB33FC">
              <w:rPr>
                <w:rFonts w:ascii="Calibri" w:eastAsia="Calibri" w:hAnsi="Calibri"/>
                <w:bCs/>
                <w:sz w:val="20"/>
                <w:szCs w:val="20"/>
                <w:lang w:eastAsia="en-US"/>
              </w:rPr>
              <w:t>Vyhodnotenie dotazníka k opatreniam podľa článkov nariadenia o RV</w:t>
            </w:r>
          </w:p>
        </w:tc>
        <w:tc>
          <w:tcPr>
            <w:tcW w:w="4888" w:type="dxa"/>
          </w:tcPr>
          <w:p w:rsidR="00BB33FC" w:rsidRPr="00BB33FC" w:rsidRDefault="00BB33FC" w:rsidP="006C7E72">
            <w:pPr>
              <w:rPr>
                <w:rFonts w:ascii="Calibri" w:eastAsia="Calibri" w:hAnsi="Calibri"/>
                <w:b/>
                <w:sz w:val="20"/>
                <w:szCs w:val="20"/>
                <w:lang w:eastAsia="en-US"/>
              </w:rPr>
            </w:pPr>
            <w:r w:rsidRPr="00BB33FC">
              <w:rPr>
                <w:rFonts w:ascii="Calibri" w:eastAsia="Calibri" w:hAnsi="Calibri"/>
                <w:sz w:val="20"/>
                <w:szCs w:val="20"/>
                <w:lang w:eastAsia="en-US"/>
              </w:rPr>
              <w:t>Predstavené informácie prispeli k lepšiemu porozumeniu koncepcie prípravy programu rozvoja vidieka pre budúce programové obdobie členmi pracovnej skupiny. Taktiež bol vysvetlený postup schvaľovania programov a  boli predstavené hlavné priority MPRV SR pre budúce programové obdobie.</w:t>
            </w:r>
          </w:p>
        </w:tc>
      </w:tr>
      <w:tr w:rsidR="00BB33FC" w:rsidRPr="00BB33FC" w:rsidTr="00BB33FC">
        <w:trPr>
          <w:trHeight w:val="452"/>
        </w:trPr>
        <w:tc>
          <w:tcPr>
            <w:tcW w:w="2036" w:type="dxa"/>
            <w:tcBorders>
              <w:bottom w:val="single" w:sz="4" w:space="0" w:color="auto"/>
            </w:tcBorders>
          </w:tcPr>
          <w:p w:rsidR="00BB33FC" w:rsidRPr="00BB33FC" w:rsidRDefault="00BB33FC" w:rsidP="006C7E72">
            <w:pPr>
              <w:rPr>
                <w:rFonts w:ascii="Calibri" w:hAnsi="Calibri"/>
                <w:sz w:val="20"/>
                <w:szCs w:val="20"/>
              </w:rPr>
            </w:pPr>
            <w:r w:rsidRPr="00BB33FC">
              <w:rPr>
                <w:rFonts w:ascii="Calibri" w:eastAsia="Calibri" w:hAnsi="Calibri"/>
                <w:sz w:val="20"/>
                <w:szCs w:val="20"/>
                <w:lang w:eastAsia="en-US"/>
              </w:rPr>
              <w:t>2.zasadnutie Pracovnej skupiny pre prípravu PRV SR 2014-2020</w:t>
            </w:r>
          </w:p>
        </w:tc>
        <w:tc>
          <w:tcPr>
            <w:tcW w:w="2148" w:type="dxa"/>
            <w:tcBorders>
              <w:bottom w:val="single" w:sz="4" w:space="0" w:color="auto"/>
            </w:tcBorders>
          </w:tcPr>
          <w:p w:rsidR="00BB33FC" w:rsidRPr="00BB33FC" w:rsidRDefault="00BB33FC" w:rsidP="00232F1B">
            <w:pPr>
              <w:spacing w:after="120"/>
              <w:jc w:val="left"/>
              <w:rPr>
                <w:rFonts w:ascii="Calibri" w:eastAsia="Calibri" w:hAnsi="Calibri"/>
                <w:bCs/>
                <w:sz w:val="20"/>
                <w:szCs w:val="20"/>
                <w:lang w:eastAsia="en-US"/>
              </w:rPr>
            </w:pPr>
            <w:r w:rsidRPr="00BB33FC">
              <w:rPr>
                <w:rFonts w:ascii="Calibri" w:eastAsia="Calibri" w:hAnsi="Calibri"/>
                <w:bCs/>
                <w:sz w:val="20"/>
                <w:szCs w:val="20"/>
                <w:lang w:eastAsia="en-US"/>
              </w:rPr>
              <w:t>Plánovaný presun finančných prostriedkov  z II. do I. piliera</w:t>
            </w:r>
          </w:p>
          <w:p w:rsidR="00BB33FC" w:rsidRPr="00BB33FC" w:rsidRDefault="00BB33FC" w:rsidP="00232F1B">
            <w:pPr>
              <w:spacing w:after="120"/>
              <w:jc w:val="left"/>
              <w:rPr>
                <w:rFonts w:ascii="Calibri" w:eastAsia="Calibri" w:hAnsi="Calibri"/>
                <w:bCs/>
                <w:sz w:val="20"/>
                <w:szCs w:val="20"/>
                <w:lang w:eastAsia="en-US"/>
              </w:rPr>
            </w:pPr>
            <w:r w:rsidRPr="00BB33FC">
              <w:rPr>
                <w:rFonts w:ascii="Calibri" w:eastAsia="Calibri" w:hAnsi="Calibri"/>
                <w:bCs/>
                <w:sz w:val="20"/>
                <w:szCs w:val="20"/>
                <w:lang w:eastAsia="en-US"/>
              </w:rPr>
              <w:t xml:space="preserve">Pozícia MPRV SR k návrhu opatrení PRV SR 2014-2020 </w:t>
            </w:r>
          </w:p>
          <w:p w:rsidR="00BB33FC" w:rsidRPr="00BB33FC" w:rsidRDefault="00BB33FC" w:rsidP="00232F1B">
            <w:pPr>
              <w:spacing w:after="120"/>
              <w:jc w:val="left"/>
              <w:rPr>
                <w:rFonts w:ascii="Calibri" w:eastAsia="Calibri" w:hAnsi="Calibri"/>
                <w:sz w:val="20"/>
                <w:szCs w:val="20"/>
                <w:lang w:eastAsia="en-US"/>
              </w:rPr>
            </w:pPr>
            <w:r w:rsidRPr="00BB33FC">
              <w:rPr>
                <w:rFonts w:ascii="Calibri" w:eastAsia="Calibri" w:hAnsi="Calibri"/>
                <w:sz w:val="20"/>
                <w:szCs w:val="20"/>
                <w:lang w:eastAsia="en-US"/>
              </w:rPr>
              <w:t>Prístup Leader v budúcom programovom období 2014-2020</w:t>
            </w:r>
          </w:p>
          <w:p w:rsidR="00BB33FC" w:rsidRPr="00BB33FC" w:rsidRDefault="00BB33FC" w:rsidP="00232F1B">
            <w:pPr>
              <w:spacing w:after="120"/>
              <w:jc w:val="left"/>
              <w:rPr>
                <w:rFonts w:ascii="Calibri" w:eastAsia="Calibri" w:hAnsi="Calibri"/>
                <w:sz w:val="20"/>
                <w:szCs w:val="20"/>
                <w:lang w:eastAsia="en-US"/>
              </w:rPr>
            </w:pPr>
            <w:r w:rsidRPr="00BB33FC">
              <w:rPr>
                <w:rFonts w:ascii="Calibri" w:eastAsia="Calibri" w:hAnsi="Calibri"/>
                <w:sz w:val="20"/>
                <w:szCs w:val="20"/>
                <w:lang w:eastAsia="en-US"/>
              </w:rPr>
              <w:t xml:space="preserve">Manažment rizika v poľnohospodárstve po roku 2013. </w:t>
            </w:r>
          </w:p>
        </w:tc>
        <w:tc>
          <w:tcPr>
            <w:tcW w:w="4888" w:type="dxa"/>
            <w:tcBorders>
              <w:bottom w:val="single" w:sz="4" w:space="0" w:color="auto"/>
            </w:tcBorders>
          </w:tcPr>
          <w:p w:rsidR="00BB33FC" w:rsidRPr="00BB33FC" w:rsidRDefault="00BB33FC" w:rsidP="006C7E72">
            <w:pPr>
              <w:rPr>
                <w:rFonts w:ascii="Calibri" w:eastAsia="Calibri" w:hAnsi="Calibri"/>
                <w:sz w:val="20"/>
                <w:szCs w:val="20"/>
                <w:lang w:eastAsia="en-US"/>
              </w:rPr>
            </w:pPr>
            <w:r w:rsidRPr="00BB33FC">
              <w:rPr>
                <w:rFonts w:ascii="Calibri" w:eastAsia="Calibri" w:hAnsi="Calibri"/>
                <w:sz w:val="20"/>
                <w:szCs w:val="20"/>
                <w:lang w:eastAsia="en-US"/>
              </w:rPr>
              <w:t xml:space="preserve">Minister pôdohospodárstva a rozvoja vidieka SR Ľ. Jahnátek oboznámil členov pracovnej skupiny s plánovaným presunom finančných prostriedkov z II. do I. piliera. </w:t>
            </w:r>
          </w:p>
          <w:p w:rsidR="00BB33FC" w:rsidRPr="00BB33FC" w:rsidRDefault="00BB33FC" w:rsidP="006C7E72">
            <w:pPr>
              <w:rPr>
                <w:rFonts w:ascii="Calibri" w:eastAsia="Calibri" w:hAnsi="Calibri"/>
                <w:b/>
                <w:sz w:val="20"/>
                <w:szCs w:val="20"/>
                <w:lang w:eastAsia="en-US"/>
              </w:rPr>
            </w:pPr>
            <w:r w:rsidRPr="00BB33FC">
              <w:rPr>
                <w:rFonts w:ascii="Calibri" w:eastAsia="Calibri" w:hAnsi="Calibri"/>
                <w:sz w:val="20"/>
                <w:szCs w:val="20"/>
                <w:lang w:eastAsia="en-US"/>
              </w:rPr>
              <w:t>Na základe diskusie členov vyplynuli nasledovné návrhy na kľúčové opatrenia: Prenos znalostí a informačné akcie (článok 15), Investície do hmotného majetku (článok 18), Zakladanie skupín výrobcov (článok 28), Spolupráca (článok 36), ďalej Agro-environmentálne operácie súvisiace s klímou (článok 29), Dobré životné podmienky zvierat (článok 34), Oblasti s prírodnými alebo inými špecifickými obmedzeniami (článok 32), Rozvoj podnikov a podnikateľskej činnosti (článok 20) Ekologické poľnohospodárstvo (článok 30) a článok 28 – Zakladanie skupín výrobcov.</w:t>
            </w:r>
          </w:p>
        </w:tc>
      </w:tr>
      <w:tr w:rsidR="00BB33FC" w:rsidRPr="00BB33FC" w:rsidTr="00BB33FC">
        <w:trPr>
          <w:trHeight w:val="466"/>
        </w:trPr>
        <w:tc>
          <w:tcPr>
            <w:tcW w:w="2036" w:type="dxa"/>
            <w:tcBorders>
              <w:bottom w:val="single" w:sz="4" w:space="0" w:color="auto"/>
            </w:tcBorders>
          </w:tcPr>
          <w:p w:rsidR="00BB33FC" w:rsidRPr="00BB33FC" w:rsidRDefault="00BB33FC" w:rsidP="006C7E72">
            <w:pPr>
              <w:rPr>
                <w:rFonts w:ascii="Calibri" w:eastAsia="Calibri" w:hAnsi="Calibri"/>
                <w:sz w:val="20"/>
                <w:szCs w:val="20"/>
                <w:lang w:eastAsia="en-US"/>
              </w:rPr>
            </w:pPr>
            <w:r w:rsidRPr="00BB33FC">
              <w:rPr>
                <w:rFonts w:ascii="Calibri" w:eastAsia="Calibri" w:hAnsi="Calibri"/>
                <w:sz w:val="20"/>
                <w:szCs w:val="20"/>
                <w:lang w:eastAsia="en-US"/>
              </w:rPr>
              <w:t>Pracovná skupina pre prípravu PRV SR 2014-2020</w:t>
            </w:r>
          </w:p>
        </w:tc>
        <w:tc>
          <w:tcPr>
            <w:tcW w:w="2148" w:type="dxa"/>
            <w:tcBorders>
              <w:bottom w:val="single" w:sz="4" w:space="0" w:color="auto"/>
            </w:tcBorders>
          </w:tcPr>
          <w:p w:rsidR="00BB33FC" w:rsidRPr="00BB33FC" w:rsidRDefault="00BB33FC" w:rsidP="00232F1B">
            <w:pPr>
              <w:jc w:val="left"/>
              <w:rPr>
                <w:rFonts w:ascii="Calibri" w:eastAsia="Calibri" w:hAnsi="Calibri"/>
                <w:b/>
                <w:sz w:val="20"/>
                <w:szCs w:val="20"/>
                <w:lang w:eastAsia="en-US"/>
              </w:rPr>
            </w:pPr>
            <w:r w:rsidRPr="00BB33FC">
              <w:rPr>
                <w:rFonts w:ascii="Calibri" w:eastAsia="Calibri" w:hAnsi="Calibri"/>
                <w:sz w:val="20"/>
                <w:szCs w:val="20"/>
                <w:lang w:eastAsia="en-US"/>
              </w:rPr>
              <w:t>SWOT analýzy k PRV SR 2014 – 2020</w:t>
            </w:r>
          </w:p>
        </w:tc>
        <w:tc>
          <w:tcPr>
            <w:tcW w:w="4888" w:type="dxa"/>
            <w:tcBorders>
              <w:bottom w:val="single" w:sz="4" w:space="0" w:color="auto"/>
            </w:tcBorders>
          </w:tcPr>
          <w:p w:rsidR="00BB33FC" w:rsidRPr="00BB33FC" w:rsidRDefault="00BB33FC" w:rsidP="006C7E72">
            <w:pPr>
              <w:rPr>
                <w:rFonts w:ascii="Calibri" w:eastAsia="Calibri" w:hAnsi="Calibri"/>
                <w:b/>
                <w:sz w:val="20"/>
                <w:szCs w:val="20"/>
                <w:lang w:eastAsia="en-US"/>
              </w:rPr>
            </w:pPr>
            <w:r w:rsidRPr="00BB33FC">
              <w:rPr>
                <w:rFonts w:ascii="Calibri" w:eastAsia="Calibri" w:hAnsi="Calibri"/>
                <w:sz w:val="20"/>
                <w:szCs w:val="20"/>
                <w:lang w:eastAsia="en-US"/>
              </w:rPr>
              <w:t>Na základe pripomienok členov bola  SWOT analýza dopracovaná z hľadiska lesného hospodárstva.</w:t>
            </w:r>
          </w:p>
        </w:tc>
      </w:tr>
      <w:tr w:rsidR="00BB33FC" w:rsidRPr="00BB33FC" w:rsidTr="00BB33FC">
        <w:trPr>
          <w:trHeight w:val="466"/>
        </w:trPr>
        <w:tc>
          <w:tcPr>
            <w:tcW w:w="2036" w:type="dxa"/>
            <w:tcBorders>
              <w:bottom w:val="single" w:sz="4" w:space="0" w:color="auto"/>
            </w:tcBorders>
          </w:tcPr>
          <w:p w:rsidR="00BB33FC" w:rsidRPr="00BB33FC" w:rsidRDefault="00BB33FC" w:rsidP="006C7E72">
            <w:pPr>
              <w:rPr>
                <w:rFonts w:ascii="Calibri" w:eastAsia="Calibri" w:hAnsi="Calibri"/>
                <w:sz w:val="20"/>
                <w:szCs w:val="20"/>
                <w:lang w:eastAsia="en-US"/>
              </w:rPr>
            </w:pPr>
            <w:r w:rsidRPr="00BB33FC">
              <w:rPr>
                <w:rFonts w:ascii="Calibri" w:eastAsia="Calibri" w:hAnsi="Calibri"/>
                <w:sz w:val="20"/>
                <w:szCs w:val="20"/>
                <w:lang w:eastAsia="en-US"/>
              </w:rPr>
              <w:t>3.zasadnutie PS pre prípravu PRV SR 2014-2020</w:t>
            </w:r>
          </w:p>
        </w:tc>
        <w:tc>
          <w:tcPr>
            <w:tcW w:w="2148" w:type="dxa"/>
            <w:tcBorders>
              <w:bottom w:val="single" w:sz="4" w:space="0" w:color="auto"/>
            </w:tcBorders>
          </w:tcPr>
          <w:p w:rsidR="00BB33FC" w:rsidRPr="00BB33FC" w:rsidRDefault="00BB33FC" w:rsidP="00232F1B">
            <w:pPr>
              <w:jc w:val="left"/>
              <w:rPr>
                <w:rFonts w:ascii="Calibri" w:eastAsia="Calibri" w:hAnsi="Calibri"/>
                <w:sz w:val="20"/>
                <w:szCs w:val="20"/>
                <w:lang w:eastAsia="en-US"/>
              </w:rPr>
            </w:pPr>
            <w:r w:rsidRPr="00BB33FC">
              <w:rPr>
                <w:rFonts w:ascii="Calibri" w:eastAsia="Calibri" w:hAnsi="Calibri"/>
                <w:sz w:val="20"/>
                <w:szCs w:val="20"/>
                <w:lang w:eastAsia="en-US"/>
              </w:rPr>
              <w:t xml:space="preserve">Predstavenie návrhov jednotlivých projektových opatrení PRV SR 2014 – 2020 a prislúchajúcich pracovných podskupín v zmysle partnerstva </w:t>
            </w:r>
          </w:p>
          <w:p w:rsidR="00BB33FC" w:rsidRPr="00BB33FC" w:rsidRDefault="00BB33FC" w:rsidP="00232F1B">
            <w:pPr>
              <w:jc w:val="left"/>
              <w:rPr>
                <w:rFonts w:ascii="Calibri" w:eastAsia="Calibri" w:hAnsi="Calibri"/>
                <w:sz w:val="20"/>
                <w:szCs w:val="20"/>
                <w:lang w:eastAsia="en-US"/>
              </w:rPr>
            </w:pPr>
          </w:p>
          <w:p w:rsidR="00BB33FC" w:rsidRPr="00BB33FC" w:rsidRDefault="00BB33FC" w:rsidP="00232F1B">
            <w:pPr>
              <w:jc w:val="left"/>
              <w:rPr>
                <w:rFonts w:ascii="Calibri" w:eastAsia="Calibri" w:hAnsi="Calibri"/>
                <w:b/>
                <w:sz w:val="20"/>
                <w:szCs w:val="20"/>
                <w:lang w:eastAsia="en-US"/>
              </w:rPr>
            </w:pPr>
            <w:r w:rsidRPr="00BB33FC">
              <w:rPr>
                <w:rFonts w:ascii="Calibri" w:eastAsia="Calibri" w:hAnsi="Calibri"/>
                <w:sz w:val="20"/>
                <w:szCs w:val="20"/>
                <w:lang w:eastAsia="en-US"/>
              </w:rPr>
              <w:t>Predstavenie návrhov jednotlivých neprojektových opatrení PRV SR 2014 – 2020 a prislúchajúcich pracovných podskupín v zmysle partnerstva</w:t>
            </w:r>
          </w:p>
        </w:tc>
        <w:tc>
          <w:tcPr>
            <w:tcW w:w="4888" w:type="dxa"/>
            <w:tcBorders>
              <w:bottom w:val="single" w:sz="4" w:space="0" w:color="auto"/>
            </w:tcBorders>
          </w:tcPr>
          <w:p w:rsidR="00BB33FC" w:rsidRPr="00BB33FC" w:rsidRDefault="00BB33FC" w:rsidP="00232F1B">
            <w:pPr>
              <w:rPr>
                <w:rFonts w:ascii="Calibri" w:eastAsia="Calibri" w:hAnsi="Calibri"/>
                <w:sz w:val="20"/>
                <w:szCs w:val="20"/>
                <w:lang w:eastAsia="en-US"/>
              </w:rPr>
            </w:pPr>
            <w:r w:rsidRPr="00BB33FC">
              <w:rPr>
                <w:rFonts w:ascii="Calibri" w:eastAsia="Calibri" w:hAnsi="Calibri"/>
                <w:sz w:val="20"/>
                <w:szCs w:val="20"/>
                <w:lang w:eastAsia="en-US"/>
              </w:rPr>
              <w:t xml:space="preserve">V rámci diskusie k návrhom opatrení boli zo strany relevantných inštitúcií a členov pracovnej skupiny vznesené nasledovné pripomienky a komentáre:  </w:t>
            </w:r>
          </w:p>
          <w:p w:rsidR="00BB33FC" w:rsidRPr="00BB33FC" w:rsidRDefault="00BB33FC" w:rsidP="00CE203B">
            <w:pPr>
              <w:numPr>
                <w:ilvl w:val="0"/>
                <w:numId w:val="298"/>
              </w:numPr>
              <w:ind w:left="244" w:hanging="244"/>
              <w:rPr>
                <w:rFonts w:ascii="Calibri" w:eastAsia="Calibri" w:hAnsi="Calibri"/>
                <w:sz w:val="20"/>
                <w:szCs w:val="20"/>
                <w:lang w:eastAsia="en-US"/>
              </w:rPr>
            </w:pPr>
            <w:r w:rsidRPr="00BB33FC">
              <w:rPr>
                <w:rFonts w:ascii="Calibri" w:eastAsia="Calibri" w:hAnsi="Calibri"/>
                <w:sz w:val="20"/>
                <w:szCs w:val="20"/>
                <w:lang w:eastAsia="en-US"/>
              </w:rPr>
              <w:t>začleniť do nového PRV aj opatrenie Zakladanie skupín výrobcov pre prvovýrobcov  lesných produktov.</w:t>
            </w:r>
          </w:p>
          <w:p w:rsidR="00BB33FC" w:rsidRPr="00BB33FC" w:rsidRDefault="00BB33FC" w:rsidP="00CE203B">
            <w:pPr>
              <w:numPr>
                <w:ilvl w:val="0"/>
                <w:numId w:val="298"/>
              </w:numPr>
              <w:ind w:left="244" w:hanging="244"/>
              <w:rPr>
                <w:rFonts w:ascii="Calibri" w:eastAsia="Calibri" w:hAnsi="Calibri"/>
                <w:sz w:val="20"/>
                <w:szCs w:val="20"/>
                <w:lang w:eastAsia="en-US"/>
              </w:rPr>
            </w:pPr>
            <w:r w:rsidRPr="00BB33FC">
              <w:rPr>
                <w:rFonts w:ascii="Calibri" w:eastAsia="Calibri" w:hAnsi="Calibri"/>
                <w:sz w:val="20"/>
                <w:szCs w:val="20"/>
                <w:lang w:eastAsia="en-US"/>
              </w:rPr>
              <w:t xml:space="preserve">uvítali možnosť demonštračných aktivít v rámci opatrenia Prenos vedomostí a zručností (článok 15)  </w:t>
            </w:r>
          </w:p>
          <w:p w:rsidR="00BB33FC" w:rsidRPr="00BB33FC" w:rsidRDefault="00BB33FC" w:rsidP="00CE203B">
            <w:pPr>
              <w:numPr>
                <w:ilvl w:val="0"/>
                <w:numId w:val="298"/>
              </w:numPr>
              <w:ind w:left="244" w:hanging="244"/>
              <w:rPr>
                <w:rFonts w:ascii="Calibri" w:eastAsia="Calibri" w:hAnsi="Calibri"/>
                <w:sz w:val="20"/>
                <w:szCs w:val="20"/>
                <w:lang w:eastAsia="en-US"/>
              </w:rPr>
            </w:pPr>
            <w:r w:rsidRPr="00BB33FC">
              <w:rPr>
                <w:rFonts w:ascii="Calibri" w:eastAsia="Calibri" w:hAnsi="Calibri"/>
                <w:sz w:val="20"/>
                <w:szCs w:val="20"/>
                <w:lang w:eastAsia="en-US"/>
              </w:rPr>
              <w:t>v súčasnom období poradenstvo považujú za finančne poddimenzované pri  maximálnom príspevku 1 500 €</w:t>
            </w:r>
          </w:p>
          <w:p w:rsidR="00BB33FC" w:rsidRPr="00BB33FC" w:rsidRDefault="00BB33FC" w:rsidP="00CE203B">
            <w:pPr>
              <w:numPr>
                <w:ilvl w:val="0"/>
                <w:numId w:val="298"/>
              </w:numPr>
              <w:ind w:left="244" w:hanging="244"/>
              <w:rPr>
                <w:rFonts w:ascii="Calibri" w:eastAsia="Calibri" w:hAnsi="Calibri"/>
                <w:sz w:val="20"/>
                <w:szCs w:val="20"/>
                <w:lang w:eastAsia="en-US"/>
              </w:rPr>
            </w:pPr>
            <w:r w:rsidRPr="00BB33FC">
              <w:rPr>
                <w:rFonts w:ascii="Calibri" w:eastAsia="Calibri" w:hAnsi="Calibri"/>
                <w:sz w:val="20"/>
                <w:szCs w:val="20"/>
                <w:lang w:eastAsia="en-US"/>
              </w:rPr>
              <w:t>v článku 18 Investície do hmotného majetku navrhujú doplniť do opatrenia písm. d) neproduktívne investície</w:t>
            </w:r>
          </w:p>
          <w:p w:rsidR="00BB33FC" w:rsidRPr="00BB33FC" w:rsidRDefault="00BB33FC" w:rsidP="00CE203B">
            <w:pPr>
              <w:numPr>
                <w:ilvl w:val="0"/>
                <w:numId w:val="298"/>
              </w:numPr>
              <w:ind w:left="244" w:hanging="244"/>
              <w:rPr>
                <w:rFonts w:ascii="Calibri" w:eastAsia="Calibri" w:hAnsi="Calibri"/>
                <w:sz w:val="20"/>
                <w:szCs w:val="20"/>
                <w:lang w:eastAsia="en-US"/>
              </w:rPr>
            </w:pPr>
            <w:r w:rsidRPr="00BB33FC">
              <w:rPr>
                <w:rFonts w:ascii="Calibri" w:eastAsia="Calibri" w:hAnsi="Calibri"/>
                <w:sz w:val="20"/>
                <w:szCs w:val="20"/>
                <w:lang w:eastAsia="en-US"/>
              </w:rPr>
              <w:t xml:space="preserve">lepšie nastaviť opatrenie pozemkových úprav </w:t>
            </w:r>
          </w:p>
          <w:p w:rsidR="00BB33FC" w:rsidRPr="00BB33FC" w:rsidRDefault="00BB33FC" w:rsidP="00CE203B">
            <w:pPr>
              <w:numPr>
                <w:ilvl w:val="0"/>
                <w:numId w:val="298"/>
              </w:numPr>
              <w:ind w:left="244" w:hanging="244"/>
              <w:rPr>
                <w:rFonts w:ascii="Calibri" w:eastAsia="Calibri" w:hAnsi="Calibri"/>
                <w:sz w:val="20"/>
                <w:szCs w:val="20"/>
                <w:lang w:eastAsia="en-US"/>
              </w:rPr>
            </w:pPr>
            <w:r w:rsidRPr="00BB33FC">
              <w:rPr>
                <w:rFonts w:ascii="Calibri" w:eastAsia="Calibri" w:hAnsi="Calibri"/>
                <w:sz w:val="20"/>
                <w:szCs w:val="20"/>
                <w:lang w:eastAsia="en-US"/>
              </w:rPr>
              <w:t>v rámci opatrenia Investície do hmotného majetku na spracovanie poľnohospodárskych produktov oprávniť na podporu aj veľké domáce potravinárske podniky.</w:t>
            </w:r>
          </w:p>
          <w:p w:rsidR="00BB33FC" w:rsidRPr="00BB33FC" w:rsidRDefault="00BB33FC" w:rsidP="00CE203B">
            <w:pPr>
              <w:numPr>
                <w:ilvl w:val="0"/>
                <w:numId w:val="298"/>
              </w:numPr>
              <w:ind w:left="244" w:hanging="244"/>
              <w:rPr>
                <w:rFonts w:ascii="Calibri" w:eastAsia="Calibri" w:hAnsi="Calibri"/>
                <w:sz w:val="20"/>
                <w:szCs w:val="20"/>
                <w:lang w:eastAsia="en-US"/>
              </w:rPr>
            </w:pPr>
            <w:r w:rsidRPr="00BB33FC">
              <w:rPr>
                <w:rFonts w:ascii="Calibri" w:eastAsia="Calibri" w:hAnsi="Calibri"/>
                <w:sz w:val="20"/>
                <w:szCs w:val="20"/>
                <w:lang w:eastAsia="en-US"/>
              </w:rPr>
              <w:t>prehodnotiť zavedenie opatrenia Investície na zlepšenie odolnosti a environmentálnej hodnoty lesných ekosystémov (článok 26)</w:t>
            </w:r>
          </w:p>
          <w:p w:rsidR="00BB33FC" w:rsidRPr="00BB33FC" w:rsidRDefault="00BB33FC" w:rsidP="00CE203B">
            <w:pPr>
              <w:numPr>
                <w:ilvl w:val="0"/>
                <w:numId w:val="298"/>
              </w:numPr>
              <w:ind w:left="244" w:hanging="244"/>
              <w:rPr>
                <w:rFonts w:ascii="Calibri" w:eastAsia="Calibri" w:hAnsi="Calibri"/>
                <w:sz w:val="20"/>
                <w:szCs w:val="20"/>
                <w:lang w:eastAsia="en-US"/>
              </w:rPr>
            </w:pPr>
            <w:r w:rsidRPr="00BB33FC">
              <w:rPr>
                <w:rFonts w:ascii="Calibri" w:eastAsia="Calibri" w:hAnsi="Calibri"/>
                <w:sz w:val="20"/>
                <w:szCs w:val="20"/>
                <w:lang w:eastAsia="en-US"/>
              </w:rPr>
              <w:t>ďalej pokračovať v podpore biodiverzity a ochrany vtákov</w:t>
            </w:r>
          </w:p>
          <w:p w:rsidR="00BB33FC" w:rsidRPr="00BB33FC" w:rsidRDefault="00BB33FC" w:rsidP="00CE203B">
            <w:pPr>
              <w:numPr>
                <w:ilvl w:val="0"/>
                <w:numId w:val="298"/>
              </w:numPr>
              <w:ind w:left="244" w:hanging="244"/>
              <w:contextualSpacing/>
              <w:rPr>
                <w:rFonts w:ascii="Calibri" w:eastAsia="Calibri" w:hAnsi="Calibri"/>
                <w:sz w:val="20"/>
                <w:szCs w:val="20"/>
                <w:lang w:eastAsia="en-US"/>
              </w:rPr>
            </w:pPr>
            <w:r w:rsidRPr="00BB33FC">
              <w:rPr>
                <w:rFonts w:ascii="Calibri" w:eastAsia="Calibri" w:hAnsi="Calibri"/>
                <w:sz w:val="20"/>
                <w:szCs w:val="20"/>
                <w:lang w:eastAsia="en-US"/>
              </w:rPr>
              <w:t>obecné lesy oprávniť na podporu v rámci opatrenia Natura 2000.</w:t>
            </w:r>
          </w:p>
        </w:tc>
      </w:tr>
      <w:tr w:rsidR="00BB33FC" w:rsidRPr="00BB33FC" w:rsidTr="00BB33FC">
        <w:trPr>
          <w:trHeight w:val="466"/>
        </w:trPr>
        <w:tc>
          <w:tcPr>
            <w:tcW w:w="2036" w:type="dxa"/>
            <w:tcBorders>
              <w:bottom w:val="single" w:sz="4" w:space="0" w:color="auto"/>
            </w:tcBorders>
          </w:tcPr>
          <w:p w:rsidR="00BB33FC" w:rsidRPr="00BB33FC" w:rsidRDefault="00BB33FC" w:rsidP="006C7E72">
            <w:pPr>
              <w:rPr>
                <w:rFonts w:ascii="Calibri" w:eastAsia="Calibri" w:hAnsi="Calibri"/>
                <w:sz w:val="20"/>
                <w:szCs w:val="20"/>
                <w:lang w:eastAsia="en-US"/>
              </w:rPr>
            </w:pPr>
            <w:r w:rsidRPr="00BB33FC">
              <w:rPr>
                <w:rFonts w:ascii="Calibri" w:eastAsia="Calibri" w:hAnsi="Calibri"/>
                <w:sz w:val="20"/>
                <w:szCs w:val="20"/>
                <w:lang w:eastAsia="en-US"/>
              </w:rPr>
              <w:t>4. zasadnutie PS pre prípravu PRV SR 2014-2020</w:t>
            </w:r>
          </w:p>
        </w:tc>
        <w:tc>
          <w:tcPr>
            <w:tcW w:w="2148" w:type="dxa"/>
            <w:tcBorders>
              <w:bottom w:val="single" w:sz="4" w:space="0" w:color="auto"/>
            </w:tcBorders>
          </w:tcPr>
          <w:p w:rsidR="00BB33FC" w:rsidRPr="00BB33FC" w:rsidRDefault="00BB33FC" w:rsidP="00232F1B">
            <w:pPr>
              <w:jc w:val="left"/>
              <w:rPr>
                <w:rFonts w:ascii="Calibri" w:eastAsia="Calibri" w:hAnsi="Calibri"/>
                <w:sz w:val="20"/>
                <w:szCs w:val="20"/>
                <w:lang w:eastAsia="en-US"/>
              </w:rPr>
            </w:pPr>
            <w:r w:rsidRPr="00BB33FC">
              <w:rPr>
                <w:rFonts w:ascii="Calibri" w:eastAsia="Calibri" w:hAnsi="Calibri"/>
                <w:sz w:val="20"/>
                <w:szCs w:val="20"/>
                <w:lang w:eastAsia="en-US"/>
              </w:rPr>
              <w:t>Predstavenie dopracovaných návrhov jednotlivých opatrení PRV SR 2014 – 2020 a výsledky konzultácií pracovných podskupín v zmysle partnerstva</w:t>
            </w:r>
          </w:p>
          <w:p w:rsidR="00BB33FC" w:rsidRPr="00BB33FC" w:rsidRDefault="00BB33FC" w:rsidP="00232F1B">
            <w:pPr>
              <w:jc w:val="left"/>
              <w:rPr>
                <w:rFonts w:ascii="Calibri" w:eastAsia="Calibri" w:hAnsi="Calibri"/>
                <w:sz w:val="20"/>
                <w:szCs w:val="20"/>
                <w:lang w:eastAsia="en-US"/>
              </w:rPr>
            </w:pPr>
          </w:p>
          <w:p w:rsidR="00BB33FC" w:rsidRPr="00BB33FC" w:rsidRDefault="00BB33FC" w:rsidP="00232F1B">
            <w:pPr>
              <w:jc w:val="left"/>
              <w:rPr>
                <w:rFonts w:ascii="Calibri" w:eastAsia="Calibri" w:hAnsi="Calibri"/>
                <w:sz w:val="20"/>
                <w:szCs w:val="20"/>
                <w:lang w:eastAsia="en-US"/>
              </w:rPr>
            </w:pPr>
            <w:r w:rsidRPr="00BB33FC">
              <w:rPr>
                <w:rFonts w:ascii="Calibri" w:eastAsia="Calibri" w:hAnsi="Calibri"/>
                <w:sz w:val="20"/>
                <w:szCs w:val="20"/>
                <w:lang w:eastAsia="en-US"/>
              </w:rPr>
              <w:t>Ex ante hodnotenie</w:t>
            </w:r>
          </w:p>
          <w:p w:rsidR="00BB33FC" w:rsidRPr="00BB33FC" w:rsidRDefault="00BB33FC" w:rsidP="00232F1B">
            <w:pPr>
              <w:jc w:val="left"/>
              <w:rPr>
                <w:rFonts w:ascii="Calibri" w:eastAsia="Calibri" w:hAnsi="Calibri"/>
                <w:sz w:val="20"/>
                <w:szCs w:val="20"/>
                <w:lang w:eastAsia="en-US"/>
              </w:rPr>
            </w:pPr>
          </w:p>
          <w:p w:rsidR="00BB33FC" w:rsidRPr="00BB33FC" w:rsidRDefault="00BB33FC" w:rsidP="00232F1B">
            <w:pPr>
              <w:jc w:val="left"/>
              <w:rPr>
                <w:rFonts w:ascii="Calibri" w:eastAsia="Calibri" w:hAnsi="Calibri"/>
                <w:sz w:val="20"/>
                <w:szCs w:val="20"/>
                <w:lang w:eastAsia="en-US"/>
              </w:rPr>
            </w:pPr>
            <w:r w:rsidRPr="00BB33FC">
              <w:rPr>
                <w:rFonts w:ascii="Calibri" w:eastAsia="Calibri" w:hAnsi="Calibri"/>
                <w:sz w:val="20"/>
                <w:szCs w:val="20"/>
                <w:lang w:eastAsia="en-US"/>
              </w:rPr>
              <w:t>Finančné alokácie PRV SR 2014-2020</w:t>
            </w:r>
          </w:p>
        </w:tc>
        <w:tc>
          <w:tcPr>
            <w:tcW w:w="4888" w:type="dxa"/>
            <w:tcBorders>
              <w:bottom w:val="single" w:sz="4" w:space="0" w:color="auto"/>
            </w:tcBorders>
          </w:tcPr>
          <w:p w:rsidR="00BB33FC" w:rsidRPr="00BB33FC" w:rsidRDefault="00BB33FC" w:rsidP="006C7E72">
            <w:pPr>
              <w:rPr>
                <w:rFonts w:ascii="Calibri" w:eastAsia="Calibri" w:hAnsi="Calibri"/>
                <w:sz w:val="20"/>
                <w:szCs w:val="20"/>
                <w:lang w:eastAsia="en-US"/>
              </w:rPr>
            </w:pPr>
            <w:r w:rsidRPr="00BB33FC">
              <w:rPr>
                <w:rFonts w:ascii="Calibri" w:eastAsia="Calibri" w:hAnsi="Calibri"/>
                <w:sz w:val="20"/>
                <w:szCs w:val="20"/>
                <w:lang w:eastAsia="en-US"/>
              </w:rPr>
              <w:t>V rámci 4. stretnutia PS boli členom prezentované aktualizované návrhy opatrení, spolu s výsledkami konzultácií v rámci pracovných podskupín. Na zasadnutí dostal priestor ex nate hodnotiteľ, ktorý vysvetlil základné princípy ex ante hodnotenia. Členovia boli informovaní o aktuálnom návrhu finančných prostriedkoch alokovaných na jednotlivé opatrenia, ako aj o pripravovanom opatrení Odbytové organizácie výrobcov. K všetkým bodom programu mali možnosť členovia diskutovať.</w:t>
            </w:r>
          </w:p>
          <w:p w:rsidR="00BB33FC" w:rsidRPr="00BB33FC" w:rsidRDefault="00BB33FC" w:rsidP="006C7E72">
            <w:pPr>
              <w:rPr>
                <w:rFonts w:ascii="Calibri" w:eastAsia="Calibri" w:hAnsi="Calibri"/>
                <w:sz w:val="20"/>
                <w:szCs w:val="20"/>
                <w:lang w:eastAsia="en-US"/>
              </w:rPr>
            </w:pPr>
            <w:r w:rsidRPr="00BB33FC">
              <w:rPr>
                <w:rFonts w:ascii="Calibri" w:eastAsia="Calibri" w:hAnsi="Calibri"/>
                <w:sz w:val="20"/>
                <w:szCs w:val="20"/>
                <w:lang w:eastAsia="en-US"/>
              </w:rPr>
              <w:t>Hlavné pripomienky sa týkali:</w:t>
            </w:r>
          </w:p>
          <w:p w:rsidR="00BB33FC" w:rsidRPr="00BB33FC" w:rsidRDefault="00BB33FC" w:rsidP="00CE203B">
            <w:pPr>
              <w:numPr>
                <w:ilvl w:val="0"/>
                <w:numId w:val="299"/>
              </w:numPr>
              <w:spacing w:after="200"/>
              <w:contextualSpacing/>
              <w:rPr>
                <w:rFonts w:ascii="Calibri" w:eastAsia="Calibri" w:hAnsi="Calibri"/>
                <w:sz w:val="20"/>
                <w:szCs w:val="20"/>
                <w:lang w:eastAsia="en-US"/>
              </w:rPr>
            </w:pPr>
            <w:r w:rsidRPr="00BB33FC">
              <w:rPr>
                <w:rFonts w:ascii="Calibri" w:eastAsia="Calibri" w:hAnsi="Calibri"/>
                <w:sz w:val="20"/>
                <w:szCs w:val="20"/>
                <w:lang w:eastAsia="en-US"/>
              </w:rPr>
              <w:t>Článok 17a, 24, 25 – zváženie zníženie intenzity pomoci a vylúčenia všeobecných nákladov</w:t>
            </w:r>
          </w:p>
          <w:p w:rsidR="00BB33FC" w:rsidRPr="00BB33FC" w:rsidRDefault="00BB33FC" w:rsidP="00CE203B">
            <w:pPr>
              <w:numPr>
                <w:ilvl w:val="0"/>
                <w:numId w:val="299"/>
              </w:numPr>
              <w:spacing w:after="200"/>
              <w:contextualSpacing/>
              <w:rPr>
                <w:rFonts w:ascii="Calibri" w:eastAsia="Calibri" w:hAnsi="Calibri"/>
                <w:sz w:val="20"/>
                <w:szCs w:val="20"/>
                <w:lang w:eastAsia="en-US"/>
              </w:rPr>
            </w:pPr>
            <w:r w:rsidRPr="00BB33FC">
              <w:rPr>
                <w:rFonts w:ascii="Calibri" w:eastAsia="Calibri" w:hAnsi="Calibri"/>
                <w:sz w:val="20"/>
                <w:szCs w:val="20"/>
                <w:lang w:eastAsia="en-US"/>
              </w:rPr>
              <w:t>Posilniť podporu potravinárskeho sektora</w:t>
            </w:r>
          </w:p>
          <w:p w:rsidR="00BB33FC" w:rsidRPr="00BB33FC" w:rsidRDefault="00BB33FC" w:rsidP="00CE203B">
            <w:pPr>
              <w:numPr>
                <w:ilvl w:val="0"/>
                <w:numId w:val="299"/>
              </w:numPr>
              <w:spacing w:after="200"/>
              <w:contextualSpacing/>
              <w:rPr>
                <w:rFonts w:ascii="Calibri" w:eastAsia="Calibri" w:hAnsi="Calibri"/>
                <w:sz w:val="20"/>
                <w:szCs w:val="20"/>
                <w:lang w:eastAsia="en-US"/>
              </w:rPr>
            </w:pPr>
            <w:r w:rsidRPr="00BB33FC">
              <w:rPr>
                <w:rFonts w:ascii="Calibri" w:eastAsia="Calibri" w:hAnsi="Calibri"/>
                <w:sz w:val="20"/>
                <w:szCs w:val="20"/>
                <w:lang w:eastAsia="en-US"/>
              </w:rPr>
              <w:t>Navýšenie finančných prostriedkov na čl. 20</w:t>
            </w:r>
          </w:p>
          <w:p w:rsidR="00BB33FC" w:rsidRPr="00BB33FC" w:rsidRDefault="00BB33FC" w:rsidP="00CE203B">
            <w:pPr>
              <w:numPr>
                <w:ilvl w:val="0"/>
                <w:numId w:val="299"/>
              </w:numPr>
              <w:spacing w:after="200"/>
              <w:contextualSpacing/>
              <w:rPr>
                <w:rFonts w:ascii="Calibri" w:eastAsia="Calibri" w:hAnsi="Calibri"/>
                <w:sz w:val="20"/>
                <w:szCs w:val="20"/>
                <w:lang w:eastAsia="en-US"/>
              </w:rPr>
            </w:pPr>
            <w:r w:rsidRPr="00BB33FC">
              <w:rPr>
                <w:rFonts w:ascii="Calibri" w:eastAsia="Calibri" w:hAnsi="Calibri"/>
                <w:sz w:val="20"/>
                <w:szCs w:val="20"/>
                <w:lang w:eastAsia="en-US"/>
              </w:rPr>
              <w:t>zahrnutie opatrenia na ochranu vtákov  a vzájomných fondov</w:t>
            </w:r>
          </w:p>
        </w:tc>
      </w:tr>
      <w:tr w:rsidR="00BB33FC" w:rsidRPr="00BB33FC" w:rsidTr="00BB33FC">
        <w:trPr>
          <w:trHeight w:val="466"/>
        </w:trPr>
        <w:tc>
          <w:tcPr>
            <w:tcW w:w="2036" w:type="dxa"/>
          </w:tcPr>
          <w:p w:rsidR="00BB33FC" w:rsidRPr="00BB33FC" w:rsidRDefault="00BB33FC" w:rsidP="006C7E72">
            <w:pPr>
              <w:rPr>
                <w:rFonts w:ascii="Calibri" w:eastAsia="Calibri" w:hAnsi="Calibri"/>
                <w:sz w:val="20"/>
                <w:szCs w:val="20"/>
                <w:lang w:eastAsia="en-US"/>
              </w:rPr>
            </w:pPr>
            <w:r w:rsidRPr="00BB33FC">
              <w:rPr>
                <w:rFonts w:ascii="Calibri" w:eastAsia="Calibri" w:hAnsi="Calibri"/>
                <w:sz w:val="20"/>
                <w:szCs w:val="20"/>
                <w:lang w:eastAsia="en-US"/>
              </w:rPr>
              <w:t>Stretnutia pracovných podskupín pre jednotlivé opatrenia</w:t>
            </w:r>
          </w:p>
        </w:tc>
        <w:tc>
          <w:tcPr>
            <w:tcW w:w="2148" w:type="dxa"/>
          </w:tcPr>
          <w:p w:rsidR="00BB33FC" w:rsidRPr="00BB33FC" w:rsidRDefault="00BB33FC" w:rsidP="00232F1B">
            <w:pPr>
              <w:jc w:val="left"/>
              <w:rPr>
                <w:rFonts w:ascii="Calibri" w:hAnsi="Calibri"/>
                <w:sz w:val="20"/>
                <w:szCs w:val="20"/>
                <w:lang w:eastAsia="en-US"/>
              </w:rPr>
            </w:pPr>
            <w:r w:rsidRPr="00BB33FC">
              <w:rPr>
                <w:rFonts w:ascii="Calibri" w:eastAsia="Calibri" w:hAnsi="Calibri"/>
                <w:sz w:val="20"/>
                <w:szCs w:val="20"/>
                <w:lang w:eastAsia="en-US"/>
              </w:rPr>
              <w:t>Návrh opatrení PRV SR 2014-2020</w:t>
            </w:r>
          </w:p>
        </w:tc>
        <w:tc>
          <w:tcPr>
            <w:tcW w:w="4888" w:type="dxa"/>
          </w:tcPr>
          <w:p w:rsidR="00BB33FC" w:rsidRPr="00BB33FC" w:rsidRDefault="00BB33FC" w:rsidP="006C7E72">
            <w:pPr>
              <w:rPr>
                <w:rFonts w:ascii="Calibri" w:hAnsi="Calibri"/>
                <w:sz w:val="20"/>
                <w:szCs w:val="20"/>
                <w:lang w:eastAsia="en-US"/>
              </w:rPr>
            </w:pPr>
            <w:r w:rsidRPr="00BB33FC">
              <w:rPr>
                <w:rFonts w:ascii="Calibri" w:eastAsia="Calibri" w:hAnsi="Calibri"/>
                <w:sz w:val="20"/>
                <w:szCs w:val="20"/>
                <w:lang w:eastAsia="en-US"/>
              </w:rPr>
              <w:t>V rámci pracovných podskupín boli prekonzultované jednotlivé opatrenia a podopatrenia. Taktiež boli prekonzultované problémy súvisiace s nastavením podmienok opatrení, ich monitoring, ako aj kontrolovateľnosť stanovených podmienok.</w:t>
            </w:r>
          </w:p>
        </w:tc>
      </w:tr>
      <w:tr w:rsidR="00BB33FC" w:rsidRPr="00BB33FC" w:rsidTr="00BB33FC">
        <w:trPr>
          <w:trHeight w:val="466"/>
        </w:trPr>
        <w:tc>
          <w:tcPr>
            <w:tcW w:w="2036" w:type="dxa"/>
            <w:tcBorders>
              <w:bottom w:val="single" w:sz="4" w:space="0" w:color="auto"/>
            </w:tcBorders>
          </w:tcPr>
          <w:p w:rsidR="00BB33FC" w:rsidRPr="00BB33FC" w:rsidRDefault="00BB33FC" w:rsidP="00BB33FC">
            <w:pPr>
              <w:rPr>
                <w:rFonts w:ascii="Calibri" w:eastAsia="Calibri" w:hAnsi="Calibri"/>
                <w:sz w:val="20"/>
                <w:szCs w:val="20"/>
                <w:lang w:eastAsia="en-US"/>
              </w:rPr>
            </w:pPr>
            <w:r w:rsidRPr="00BB33FC">
              <w:rPr>
                <w:rFonts w:ascii="Calibri" w:eastAsia="Calibri" w:hAnsi="Calibri"/>
                <w:sz w:val="20"/>
                <w:szCs w:val="20"/>
                <w:lang w:eastAsia="en-US"/>
              </w:rPr>
              <w:t>Krajské informačné dni</w:t>
            </w:r>
          </w:p>
        </w:tc>
        <w:tc>
          <w:tcPr>
            <w:tcW w:w="2148" w:type="dxa"/>
            <w:tcBorders>
              <w:bottom w:val="single" w:sz="4" w:space="0" w:color="auto"/>
            </w:tcBorders>
          </w:tcPr>
          <w:p w:rsidR="00BB33FC" w:rsidRPr="00BB33FC" w:rsidRDefault="00BB33FC" w:rsidP="00232F1B">
            <w:pPr>
              <w:jc w:val="left"/>
              <w:rPr>
                <w:rFonts w:ascii="Calibri" w:eastAsia="Calibri" w:hAnsi="Calibri"/>
                <w:sz w:val="20"/>
                <w:szCs w:val="20"/>
                <w:lang w:eastAsia="en-US"/>
              </w:rPr>
            </w:pPr>
            <w:r w:rsidRPr="00BB33FC">
              <w:rPr>
                <w:rFonts w:ascii="Calibri" w:eastAsia="Calibri" w:hAnsi="Calibri"/>
                <w:sz w:val="20"/>
                <w:szCs w:val="20"/>
                <w:lang w:eastAsia="en-US"/>
              </w:rPr>
              <w:t xml:space="preserve">Spoločná poľnohospodárska politika v rokoch 2014-2020 </w:t>
            </w:r>
          </w:p>
        </w:tc>
        <w:tc>
          <w:tcPr>
            <w:tcW w:w="4888" w:type="dxa"/>
            <w:tcBorders>
              <w:bottom w:val="single" w:sz="4" w:space="0" w:color="auto"/>
            </w:tcBorders>
          </w:tcPr>
          <w:p w:rsidR="00BB33FC" w:rsidRPr="00BB33FC" w:rsidRDefault="00BB33FC" w:rsidP="00BB33FC">
            <w:pPr>
              <w:rPr>
                <w:rFonts w:ascii="Calibri" w:eastAsia="Calibri" w:hAnsi="Calibri"/>
                <w:sz w:val="20"/>
                <w:szCs w:val="20"/>
                <w:lang w:eastAsia="en-US"/>
              </w:rPr>
            </w:pPr>
            <w:r w:rsidRPr="00BB33FC">
              <w:rPr>
                <w:rFonts w:ascii="Calibri" w:eastAsia="Calibri" w:hAnsi="Calibri"/>
                <w:sz w:val="20"/>
                <w:szCs w:val="20"/>
                <w:lang w:eastAsia="en-US"/>
              </w:rPr>
              <w:t>V rámci krajských informačných dní boli širokej verejnosti poskytnuté informácie o novej podobe SPP v rokoch 2014-2020, o finančných alokáciách na 1. a 2. pilier, ako aj o možnosti využitia vnútroštátnej pomoci od roku 2014. Počas informačných dní bol poskytnutý priestor na diskusiu, ako aj na zasielanie návrhov a pripomienok.</w:t>
            </w:r>
          </w:p>
        </w:tc>
      </w:tr>
    </w:tbl>
    <w:p w:rsidR="00BB33FC" w:rsidRPr="00BB33FC" w:rsidRDefault="00BB33FC" w:rsidP="00BB33FC">
      <w:pPr>
        <w:rPr>
          <w:rFonts w:ascii="Calibri" w:eastAsia="Calibri" w:hAnsi="Calibri"/>
          <w:b/>
          <w:szCs w:val="22"/>
          <w:u w:val="single"/>
          <w:lang w:eastAsia="en-US"/>
        </w:rPr>
      </w:pPr>
    </w:p>
    <w:p w:rsidR="00BB33FC" w:rsidRPr="00BB33FC" w:rsidRDefault="00BB33FC" w:rsidP="00BB33FC">
      <w:pPr>
        <w:rPr>
          <w:rFonts w:ascii="Calibri" w:eastAsia="Calibri" w:hAnsi="Calibri"/>
          <w:b/>
          <w:szCs w:val="22"/>
          <w:u w:val="single"/>
          <w:lang w:eastAsia="en-US"/>
        </w:rPr>
      </w:pPr>
    </w:p>
    <w:p w:rsidR="00BB33FC" w:rsidRPr="00BB33FC" w:rsidRDefault="00BB33FC" w:rsidP="00AA30CA">
      <w:pPr>
        <w:pStyle w:val="Pod"/>
        <w:rPr>
          <w:rFonts w:eastAsia="Calibri"/>
          <w:lang w:eastAsia="en-US"/>
        </w:rPr>
      </w:pPr>
      <w:bookmarkStart w:id="185" w:name="_Toc384111101"/>
      <w:bookmarkStart w:id="186" w:name="_Toc387041369"/>
      <w:r w:rsidRPr="00BB33FC">
        <w:rPr>
          <w:rFonts w:eastAsia="Calibri"/>
          <w:lang w:eastAsia="en-US"/>
        </w:rPr>
        <w:t>16.2. Vysvetlenia alebo dodatočné informácie na doplnenie k zoznamu opatrení</w:t>
      </w:r>
      <w:bookmarkEnd w:id="185"/>
      <w:bookmarkEnd w:id="186"/>
      <w:r w:rsidRPr="00BB33FC">
        <w:rPr>
          <w:rFonts w:eastAsia="Calibri"/>
          <w:lang w:eastAsia="en-US"/>
        </w:rPr>
        <w:t xml:space="preserve"> </w:t>
      </w:r>
    </w:p>
    <w:p w:rsidR="00BB33FC" w:rsidRPr="00BB33FC" w:rsidRDefault="00BB33FC" w:rsidP="00BB33FC">
      <w:pPr>
        <w:tabs>
          <w:tab w:val="left" w:pos="5020"/>
        </w:tabs>
        <w:spacing w:after="120"/>
        <w:rPr>
          <w:rFonts w:ascii="Calibri" w:eastAsia="Calibri" w:hAnsi="Calibri"/>
          <w:szCs w:val="22"/>
          <w:lang w:eastAsia="en-US"/>
        </w:rPr>
      </w:pPr>
      <w:r w:rsidRPr="00BB33FC">
        <w:rPr>
          <w:rFonts w:ascii="Calibri" w:eastAsia="Calibri" w:hAnsi="Calibri"/>
          <w:szCs w:val="22"/>
          <w:lang w:eastAsia="en-US"/>
        </w:rPr>
        <w:t xml:space="preserve">Za účelom prípravy programu prijateľného pre potreby SR bola zriadená Pracovná skupina pre prípravu PRV SR 2014-2020. Pracovná skupina pozostáva zo zástupcov relevantných inštitúcií. Členmi pracovnej skupiny sú ministerstvá, samosprávne kraje, zväzy, združenia, komory, mimovládne organizácie, miestne akčné skupiny a vedecko-výskumná základňa, čo predstavuje  spolu 47 členov. </w:t>
      </w:r>
    </w:p>
    <w:p w:rsidR="00BB33FC" w:rsidRPr="00BB33FC" w:rsidRDefault="00BB33FC" w:rsidP="00BB33FC">
      <w:pPr>
        <w:tabs>
          <w:tab w:val="left" w:pos="5020"/>
        </w:tabs>
        <w:rPr>
          <w:rFonts w:ascii="Calibri" w:eastAsia="Calibri" w:hAnsi="Calibri"/>
          <w:szCs w:val="22"/>
          <w:lang w:eastAsia="en-US"/>
        </w:rPr>
      </w:pPr>
      <w:r w:rsidRPr="00BB33FC">
        <w:rPr>
          <w:rFonts w:ascii="Calibri" w:eastAsia="Calibri" w:hAnsi="Calibri"/>
          <w:szCs w:val="22"/>
          <w:lang w:eastAsia="en-US"/>
        </w:rPr>
        <w:t>Na podrobnejšom rozpracovaní jednotlivých opatrení sa od apríla 2013 podieľajú pracovné podskupiny, ktoré sú tvorené menším počtom zástupcov relevantných inštitúcií (zväzy, únie, štátne organizácie, výskumné ústavy, mimovládne organizácie, kontrolné orgány, PPA). Práca</w:t>
      </w:r>
      <w:r w:rsidRPr="00BB33FC">
        <w:rPr>
          <w:rFonts w:ascii="Calibri" w:eastAsia="Calibri" w:hAnsi="Calibri"/>
          <w:szCs w:val="22"/>
          <w:lang w:eastAsia="en-US"/>
        </w:rPr>
        <w:lastRenderedPageBreak/>
        <w:t xml:space="preserve"> v podskupinách prebieha prostredníctvom písomnej, telefonickej, ako aj osobnej konzultácie.  Pracovné podskupiny sa podieľajú na dopracovaní opatrení, prediskutovaní otvorených otázok a súvisiacich problémov. Na základe práce a pripomienok členov pracovných podskupín sú jednotlivé opatrenia upravované a následne opätovne komunikované s členmi podskupín.</w:t>
      </w:r>
    </w:p>
    <w:p w:rsidR="00BB33FC" w:rsidRPr="00BB33FC" w:rsidRDefault="00BB33FC" w:rsidP="00BB33FC">
      <w:pPr>
        <w:tabs>
          <w:tab w:val="left" w:pos="5020"/>
        </w:tabs>
        <w:rPr>
          <w:rFonts w:ascii="Calibri" w:eastAsia="Calibri" w:hAnsi="Calibri"/>
          <w:szCs w:val="22"/>
          <w:lang w:eastAsia="en-US"/>
        </w:rPr>
      </w:pPr>
    </w:p>
    <w:p w:rsidR="00BB33FC" w:rsidRPr="00BB33FC" w:rsidRDefault="00BB33FC" w:rsidP="00BB33FC">
      <w:pPr>
        <w:tabs>
          <w:tab w:val="left" w:pos="5020"/>
        </w:tabs>
        <w:rPr>
          <w:rFonts w:ascii="Calibri" w:eastAsia="Calibri" w:hAnsi="Calibri"/>
          <w:szCs w:val="22"/>
          <w:lang w:eastAsia="en-US"/>
        </w:rPr>
      </w:pPr>
      <w:r w:rsidRPr="00BB33FC">
        <w:rPr>
          <w:rFonts w:ascii="Calibri" w:eastAsia="Calibri" w:hAnsi="Calibri"/>
          <w:szCs w:val="22"/>
          <w:lang w:eastAsia="en-US"/>
        </w:rPr>
        <w:t>Do konzultácií v rámci prípravy programu boli zapojení najmä nasledovní partneri: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19"/>
        <w:gridCol w:w="4929"/>
      </w:tblGrid>
      <w:tr w:rsidR="00BB33FC" w:rsidRPr="00D578E2" w:rsidTr="00D95CA5">
        <w:trPr>
          <w:trHeight w:val="411"/>
          <w:tblHeader/>
        </w:trPr>
        <w:tc>
          <w:tcPr>
            <w:tcW w:w="4219" w:type="dxa"/>
            <w:shd w:val="clear" w:color="auto" w:fill="FDE9D9"/>
            <w:vAlign w:val="center"/>
          </w:tcPr>
          <w:p w:rsidR="00BB33FC" w:rsidRPr="00D578E2" w:rsidRDefault="00BB33FC" w:rsidP="00D95CA5">
            <w:pPr>
              <w:tabs>
                <w:tab w:val="left" w:pos="5020"/>
              </w:tabs>
              <w:spacing w:after="200" w:line="276" w:lineRule="auto"/>
              <w:jc w:val="center"/>
              <w:rPr>
                <w:rFonts w:ascii="Calibri" w:eastAsia="Calibri" w:hAnsi="Calibri"/>
                <w:b/>
                <w:sz w:val="20"/>
                <w:szCs w:val="20"/>
                <w:lang w:eastAsia="en-US"/>
              </w:rPr>
            </w:pPr>
            <w:r w:rsidRPr="00D578E2">
              <w:rPr>
                <w:rFonts w:ascii="Calibri" w:eastAsia="Calibri" w:hAnsi="Calibri"/>
                <w:b/>
                <w:sz w:val="20"/>
                <w:szCs w:val="20"/>
                <w:lang w:eastAsia="en-US"/>
              </w:rPr>
              <w:t>Názov inštitúcie</w:t>
            </w:r>
          </w:p>
        </w:tc>
        <w:tc>
          <w:tcPr>
            <w:tcW w:w="4929" w:type="dxa"/>
            <w:shd w:val="clear" w:color="auto" w:fill="FDE9D9"/>
            <w:vAlign w:val="center"/>
          </w:tcPr>
          <w:p w:rsidR="00BB33FC" w:rsidRPr="00D578E2" w:rsidRDefault="00BB33FC" w:rsidP="00D95CA5">
            <w:pPr>
              <w:tabs>
                <w:tab w:val="left" w:pos="5020"/>
              </w:tabs>
              <w:spacing w:after="200" w:line="276" w:lineRule="auto"/>
              <w:jc w:val="center"/>
              <w:rPr>
                <w:rFonts w:ascii="Calibri" w:eastAsia="Calibri" w:hAnsi="Calibri"/>
                <w:b/>
                <w:sz w:val="20"/>
                <w:szCs w:val="20"/>
                <w:lang w:eastAsia="en-US"/>
              </w:rPr>
            </w:pPr>
            <w:r w:rsidRPr="00D578E2">
              <w:rPr>
                <w:rFonts w:ascii="Calibri" w:eastAsia="Calibri" w:hAnsi="Calibri"/>
                <w:b/>
                <w:sz w:val="20"/>
                <w:szCs w:val="20"/>
                <w:lang w:eastAsia="en-US"/>
              </w:rPr>
              <w:t>Kompetencie/Odbornosť</w:t>
            </w:r>
          </w:p>
        </w:tc>
      </w:tr>
      <w:tr w:rsidR="00BB33FC" w:rsidRPr="00D578E2" w:rsidTr="00D578E2">
        <w:trPr>
          <w:trHeight w:val="145"/>
        </w:trPr>
        <w:tc>
          <w:tcPr>
            <w:tcW w:w="4219" w:type="dxa"/>
            <w:shd w:val="clear" w:color="auto" w:fill="auto"/>
          </w:tcPr>
          <w:p w:rsidR="00BB33FC" w:rsidRPr="00D578E2" w:rsidRDefault="00BB33FC" w:rsidP="006C7E72">
            <w:pPr>
              <w:tabs>
                <w:tab w:val="left" w:pos="5020"/>
              </w:tabs>
              <w:rPr>
                <w:rFonts w:ascii="Calibri" w:eastAsia="Calibri" w:hAnsi="Calibri"/>
                <w:sz w:val="20"/>
                <w:szCs w:val="20"/>
                <w:lang w:eastAsia="en-US"/>
              </w:rPr>
            </w:pPr>
            <w:r w:rsidRPr="00D578E2">
              <w:rPr>
                <w:rFonts w:ascii="Calibri" w:eastAsia="Calibri" w:hAnsi="Calibri"/>
                <w:sz w:val="20"/>
                <w:szCs w:val="20"/>
                <w:lang w:eastAsia="en-US"/>
              </w:rPr>
              <w:t>Banskobystrický samosprávny kraj</w:t>
            </w:r>
          </w:p>
        </w:tc>
        <w:tc>
          <w:tcPr>
            <w:tcW w:w="4929" w:type="dxa"/>
            <w:vMerge w:val="restart"/>
            <w:shd w:val="clear" w:color="auto" w:fill="auto"/>
          </w:tcPr>
          <w:p w:rsidR="00BB33FC" w:rsidRPr="00D578E2" w:rsidRDefault="00BB33FC" w:rsidP="006C7E72">
            <w:pPr>
              <w:tabs>
                <w:tab w:val="left" w:pos="5020"/>
              </w:tabs>
              <w:rPr>
                <w:rFonts w:ascii="Calibri" w:eastAsia="Calibri" w:hAnsi="Calibri"/>
                <w:sz w:val="20"/>
                <w:szCs w:val="20"/>
                <w:lang w:eastAsia="en-US"/>
              </w:rPr>
            </w:pPr>
            <w:r w:rsidRPr="00D578E2">
              <w:rPr>
                <w:rFonts w:ascii="Calibri" w:eastAsia="Calibri" w:hAnsi="Calibri"/>
                <w:sz w:val="20"/>
                <w:szCs w:val="20"/>
                <w:lang w:eastAsia="en-US"/>
              </w:rPr>
              <w:t>Samosprávne kraje SR pri výkone samosprávy sa starajú o všestranný rozvoj svojho územia a o potreby svojich obyvateľov. Zabezpečuje najmä tvorbu a plnenie programu sociálneho, ekonomického a kultúrneho rozvoja územia samosprávneho kraja.</w:t>
            </w:r>
            <w:r w:rsidR="00232F1B">
              <w:rPr>
                <w:rFonts w:ascii="Calibri" w:eastAsia="Calibri" w:hAnsi="Calibri"/>
                <w:sz w:val="20"/>
                <w:szCs w:val="20"/>
                <w:lang w:eastAsia="en-US"/>
              </w:rPr>
              <w:t xml:space="preserve"> V zmysle Partnerskej dohody SR 2014-2020 sú gestormi prípravy regionálnych integrovaných územných stratégií na príslušnom území NUTS 3.</w:t>
            </w:r>
          </w:p>
        </w:tc>
      </w:tr>
      <w:tr w:rsidR="00BB33FC" w:rsidRPr="00D578E2" w:rsidTr="00D578E2">
        <w:trPr>
          <w:trHeight w:val="145"/>
        </w:trPr>
        <w:tc>
          <w:tcPr>
            <w:tcW w:w="4219" w:type="dxa"/>
            <w:shd w:val="clear" w:color="auto" w:fill="auto"/>
          </w:tcPr>
          <w:p w:rsidR="00BB33FC" w:rsidRPr="00D578E2" w:rsidRDefault="00BB33FC" w:rsidP="006C7E72">
            <w:pPr>
              <w:tabs>
                <w:tab w:val="left" w:pos="5020"/>
              </w:tabs>
              <w:rPr>
                <w:rFonts w:ascii="Calibri" w:eastAsia="Calibri" w:hAnsi="Calibri"/>
                <w:sz w:val="20"/>
                <w:szCs w:val="20"/>
                <w:lang w:eastAsia="en-US"/>
              </w:rPr>
            </w:pPr>
            <w:r w:rsidRPr="00D578E2">
              <w:rPr>
                <w:rFonts w:ascii="Calibri" w:eastAsia="Calibri" w:hAnsi="Calibri"/>
                <w:sz w:val="20"/>
                <w:szCs w:val="20"/>
                <w:lang w:eastAsia="en-US"/>
              </w:rPr>
              <w:t>Bratislavský samosprávny kraj</w:t>
            </w:r>
          </w:p>
        </w:tc>
        <w:tc>
          <w:tcPr>
            <w:tcW w:w="4929" w:type="dxa"/>
            <w:vMerge/>
            <w:shd w:val="clear" w:color="auto" w:fill="auto"/>
          </w:tcPr>
          <w:p w:rsidR="00BB33FC" w:rsidRPr="00D578E2" w:rsidRDefault="00BB33FC" w:rsidP="006C7E72">
            <w:pPr>
              <w:tabs>
                <w:tab w:val="left" w:pos="5020"/>
              </w:tabs>
              <w:rPr>
                <w:rFonts w:ascii="Calibri" w:eastAsia="Calibri" w:hAnsi="Calibri"/>
                <w:sz w:val="20"/>
                <w:szCs w:val="20"/>
                <w:lang w:eastAsia="en-US"/>
              </w:rPr>
            </w:pPr>
          </w:p>
        </w:tc>
      </w:tr>
      <w:tr w:rsidR="00BB33FC" w:rsidRPr="00D578E2" w:rsidTr="00D578E2">
        <w:trPr>
          <w:trHeight w:val="145"/>
        </w:trPr>
        <w:tc>
          <w:tcPr>
            <w:tcW w:w="4219" w:type="dxa"/>
            <w:shd w:val="clear" w:color="auto" w:fill="auto"/>
          </w:tcPr>
          <w:p w:rsidR="00BB33FC" w:rsidRPr="00D578E2" w:rsidRDefault="00BB33FC" w:rsidP="006C7E72">
            <w:pPr>
              <w:tabs>
                <w:tab w:val="left" w:pos="5020"/>
              </w:tabs>
              <w:rPr>
                <w:rFonts w:ascii="Calibri" w:eastAsia="Calibri" w:hAnsi="Calibri"/>
                <w:sz w:val="20"/>
                <w:szCs w:val="20"/>
                <w:lang w:eastAsia="en-US"/>
              </w:rPr>
            </w:pPr>
            <w:r w:rsidRPr="00D578E2">
              <w:rPr>
                <w:rFonts w:ascii="Calibri" w:eastAsia="Calibri" w:hAnsi="Calibri"/>
                <w:sz w:val="20"/>
                <w:szCs w:val="20"/>
                <w:lang w:eastAsia="en-US"/>
              </w:rPr>
              <w:t>Košický samosprávny kraj</w:t>
            </w:r>
          </w:p>
        </w:tc>
        <w:tc>
          <w:tcPr>
            <w:tcW w:w="4929" w:type="dxa"/>
            <w:vMerge/>
            <w:shd w:val="clear" w:color="auto" w:fill="auto"/>
          </w:tcPr>
          <w:p w:rsidR="00BB33FC" w:rsidRPr="00D578E2" w:rsidRDefault="00BB33FC" w:rsidP="006C7E72">
            <w:pPr>
              <w:tabs>
                <w:tab w:val="left" w:pos="5020"/>
              </w:tabs>
              <w:rPr>
                <w:rFonts w:ascii="Calibri" w:eastAsia="Calibri" w:hAnsi="Calibri"/>
                <w:sz w:val="20"/>
                <w:szCs w:val="20"/>
                <w:lang w:eastAsia="en-US"/>
              </w:rPr>
            </w:pPr>
          </w:p>
        </w:tc>
      </w:tr>
      <w:tr w:rsidR="00BB33FC" w:rsidRPr="00D578E2" w:rsidTr="00D578E2">
        <w:trPr>
          <w:trHeight w:val="145"/>
        </w:trPr>
        <w:tc>
          <w:tcPr>
            <w:tcW w:w="4219" w:type="dxa"/>
            <w:shd w:val="clear" w:color="auto" w:fill="auto"/>
          </w:tcPr>
          <w:p w:rsidR="00BB33FC" w:rsidRPr="00D578E2" w:rsidRDefault="00BB33FC" w:rsidP="006C7E72">
            <w:pPr>
              <w:tabs>
                <w:tab w:val="left" w:pos="5020"/>
              </w:tabs>
              <w:rPr>
                <w:rFonts w:ascii="Calibri" w:eastAsia="Calibri" w:hAnsi="Calibri"/>
                <w:sz w:val="20"/>
                <w:szCs w:val="20"/>
                <w:lang w:eastAsia="en-US"/>
              </w:rPr>
            </w:pPr>
            <w:r w:rsidRPr="00D578E2">
              <w:rPr>
                <w:rFonts w:ascii="Calibri" w:eastAsia="Calibri" w:hAnsi="Calibri"/>
                <w:sz w:val="20"/>
                <w:szCs w:val="20"/>
                <w:lang w:eastAsia="en-US"/>
              </w:rPr>
              <w:t>Nitriansky samosprávny kraj</w:t>
            </w:r>
          </w:p>
        </w:tc>
        <w:tc>
          <w:tcPr>
            <w:tcW w:w="4929" w:type="dxa"/>
            <w:vMerge/>
            <w:shd w:val="clear" w:color="auto" w:fill="auto"/>
          </w:tcPr>
          <w:p w:rsidR="00BB33FC" w:rsidRPr="00D578E2" w:rsidRDefault="00BB33FC" w:rsidP="006C7E72">
            <w:pPr>
              <w:tabs>
                <w:tab w:val="left" w:pos="5020"/>
              </w:tabs>
              <w:rPr>
                <w:rFonts w:ascii="Calibri" w:eastAsia="Calibri" w:hAnsi="Calibri"/>
                <w:sz w:val="20"/>
                <w:szCs w:val="20"/>
                <w:lang w:eastAsia="en-US"/>
              </w:rPr>
            </w:pPr>
          </w:p>
        </w:tc>
      </w:tr>
      <w:tr w:rsidR="00BB33FC" w:rsidRPr="00D578E2" w:rsidTr="00D578E2">
        <w:trPr>
          <w:trHeight w:val="145"/>
        </w:trPr>
        <w:tc>
          <w:tcPr>
            <w:tcW w:w="4219" w:type="dxa"/>
            <w:shd w:val="clear" w:color="auto" w:fill="auto"/>
          </w:tcPr>
          <w:p w:rsidR="00BB33FC" w:rsidRPr="00D578E2" w:rsidRDefault="00BB33FC" w:rsidP="006C7E72">
            <w:pPr>
              <w:tabs>
                <w:tab w:val="left" w:pos="5020"/>
              </w:tabs>
              <w:rPr>
                <w:rFonts w:ascii="Calibri" w:eastAsia="Calibri" w:hAnsi="Calibri"/>
                <w:sz w:val="20"/>
                <w:szCs w:val="20"/>
                <w:lang w:eastAsia="en-US"/>
              </w:rPr>
            </w:pPr>
            <w:r w:rsidRPr="00D578E2">
              <w:rPr>
                <w:rFonts w:ascii="Calibri" w:eastAsia="Calibri" w:hAnsi="Calibri"/>
                <w:sz w:val="20"/>
                <w:szCs w:val="20"/>
                <w:lang w:eastAsia="en-US"/>
              </w:rPr>
              <w:t>Prešovský samosprávny kraj</w:t>
            </w:r>
          </w:p>
        </w:tc>
        <w:tc>
          <w:tcPr>
            <w:tcW w:w="4929" w:type="dxa"/>
            <w:vMerge/>
            <w:shd w:val="clear" w:color="auto" w:fill="auto"/>
          </w:tcPr>
          <w:p w:rsidR="00BB33FC" w:rsidRPr="00D578E2" w:rsidRDefault="00BB33FC" w:rsidP="006C7E72">
            <w:pPr>
              <w:tabs>
                <w:tab w:val="left" w:pos="5020"/>
              </w:tabs>
              <w:rPr>
                <w:rFonts w:ascii="Calibri" w:eastAsia="Calibri" w:hAnsi="Calibri"/>
                <w:sz w:val="20"/>
                <w:szCs w:val="20"/>
                <w:lang w:eastAsia="en-US"/>
              </w:rPr>
            </w:pPr>
          </w:p>
        </w:tc>
      </w:tr>
      <w:tr w:rsidR="00BB33FC" w:rsidRPr="00D578E2" w:rsidTr="00D578E2">
        <w:trPr>
          <w:trHeight w:val="145"/>
        </w:trPr>
        <w:tc>
          <w:tcPr>
            <w:tcW w:w="4219" w:type="dxa"/>
            <w:shd w:val="clear" w:color="auto" w:fill="auto"/>
          </w:tcPr>
          <w:p w:rsidR="00BB33FC" w:rsidRPr="00D578E2" w:rsidRDefault="00BB33FC" w:rsidP="006C7E72">
            <w:pPr>
              <w:tabs>
                <w:tab w:val="left" w:pos="5020"/>
              </w:tabs>
              <w:rPr>
                <w:rFonts w:ascii="Calibri" w:eastAsia="Calibri" w:hAnsi="Calibri"/>
                <w:sz w:val="20"/>
                <w:szCs w:val="20"/>
                <w:lang w:eastAsia="en-US"/>
              </w:rPr>
            </w:pPr>
            <w:r w:rsidRPr="00D578E2">
              <w:rPr>
                <w:rFonts w:ascii="Calibri" w:eastAsia="Calibri" w:hAnsi="Calibri"/>
                <w:sz w:val="20"/>
                <w:szCs w:val="20"/>
                <w:lang w:eastAsia="en-US"/>
              </w:rPr>
              <w:t>Trenčiansky samosprávny kraj</w:t>
            </w:r>
          </w:p>
        </w:tc>
        <w:tc>
          <w:tcPr>
            <w:tcW w:w="4929" w:type="dxa"/>
            <w:vMerge/>
            <w:shd w:val="clear" w:color="auto" w:fill="auto"/>
          </w:tcPr>
          <w:p w:rsidR="00BB33FC" w:rsidRPr="00D578E2" w:rsidRDefault="00BB33FC" w:rsidP="006C7E72">
            <w:pPr>
              <w:tabs>
                <w:tab w:val="left" w:pos="5020"/>
              </w:tabs>
              <w:rPr>
                <w:rFonts w:ascii="Calibri" w:eastAsia="Calibri" w:hAnsi="Calibri"/>
                <w:sz w:val="20"/>
                <w:szCs w:val="20"/>
                <w:lang w:eastAsia="en-US"/>
              </w:rPr>
            </w:pPr>
          </w:p>
        </w:tc>
      </w:tr>
      <w:tr w:rsidR="00BB33FC" w:rsidRPr="00D578E2" w:rsidTr="00D578E2">
        <w:trPr>
          <w:trHeight w:val="145"/>
        </w:trPr>
        <w:tc>
          <w:tcPr>
            <w:tcW w:w="4219" w:type="dxa"/>
            <w:shd w:val="clear" w:color="auto" w:fill="auto"/>
          </w:tcPr>
          <w:p w:rsidR="00BB33FC" w:rsidRPr="00D578E2" w:rsidRDefault="00BB33FC" w:rsidP="006C7E72">
            <w:pPr>
              <w:tabs>
                <w:tab w:val="left" w:pos="5020"/>
              </w:tabs>
              <w:rPr>
                <w:rFonts w:ascii="Calibri" w:eastAsia="Calibri" w:hAnsi="Calibri"/>
                <w:sz w:val="20"/>
                <w:szCs w:val="20"/>
                <w:lang w:eastAsia="en-US"/>
              </w:rPr>
            </w:pPr>
            <w:r w:rsidRPr="00D578E2">
              <w:rPr>
                <w:rFonts w:ascii="Calibri" w:eastAsia="Calibri" w:hAnsi="Calibri"/>
                <w:sz w:val="20"/>
                <w:szCs w:val="20"/>
                <w:lang w:eastAsia="en-US"/>
              </w:rPr>
              <w:t>Trnavský samosprávny kraj</w:t>
            </w:r>
          </w:p>
        </w:tc>
        <w:tc>
          <w:tcPr>
            <w:tcW w:w="4929" w:type="dxa"/>
            <w:vMerge/>
            <w:shd w:val="clear" w:color="auto" w:fill="auto"/>
          </w:tcPr>
          <w:p w:rsidR="00BB33FC" w:rsidRPr="00D578E2" w:rsidRDefault="00BB33FC" w:rsidP="006C7E72">
            <w:pPr>
              <w:tabs>
                <w:tab w:val="left" w:pos="5020"/>
              </w:tabs>
              <w:rPr>
                <w:rFonts w:ascii="Calibri" w:eastAsia="Calibri" w:hAnsi="Calibri"/>
                <w:sz w:val="20"/>
                <w:szCs w:val="20"/>
                <w:lang w:eastAsia="en-US"/>
              </w:rPr>
            </w:pPr>
          </w:p>
        </w:tc>
      </w:tr>
      <w:tr w:rsidR="00BB33FC" w:rsidRPr="00D578E2" w:rsidTr="00D578E2">
        <w:trPr>
          <w:trHeight w:val="145"/>
        </w:trPr>
        <w:tc>
          <w:tcPr>
            <w:tcW w:w="4219" w:type="dxa"/>
            <w:shd w:val="clear" w:color="auto" w:fill="auto"/>
          </w:tcPr>
          <w:p w:rsidR="00BB33FC" w:rsidRPr="00D578E2" w:rsidRDefault="00BB33FC" w:rsidP="006C7E72">
            <w:pPr>
              <w:tabs>
                <w:tab w:val="left" w:pos="5020"/>
              </w:tabs>
              <w:rPr>
                <w:rFonts w:ascii="Calibri" w:eastAsia="Calibri" w:hAnsi="Calibri"/>
                <w:sz w:val="20"/>
                <w:szCs w:val="20"/>
                <w:lang w:eastAsia="en-US"/>
              </w:rPr>
            </w:pPr>
            <w:r w:rsidRPr="00D578E2">
              <w:rPr>
                <w:rFonts w:ascii="Calibri" w:eastAsia="Calibri" w:hAnsi="Calibri"/>
                <w:sz w:val="20"/>
                <w:szCs w:val="20"/>
                <w:lang w:eastAsia="en-US"/>
              </w:rPr>
              <w:t>Žilinský samosprávny kraj</w:t>
            </w:r>
          </w:p>
        </w:tc>
        <w:tc>
          <w:tcPr>
            <w:tcW w:w="4929" w:type="dxa"/>
            <w:vMerge/>
            <w:shd w:val="clear" w:color="auto" w:fill="auto"/>
          </w:tcPr>
          <w:p w:rsidR="00BB33FC" w:rsidRPr="00D578E2" w:rsidRDefault="00BB33FC" w:rsidP="006C7E72">
            <w:pPr>
              <w:tabs>
                <w:tab w:val="left" w:pos="5020"/>
              </w:tabs>
              <w:rPr>
                <w:rFonts w:ascii="Calibri" w:eastAsia="Calibri" w:hAnsi="Calibri"/>
                <w:sz w:val="20"/>
                <w:szCs w:val="20"/>
                <w:lang w:eastAsia="en-US"/>
              </w:rPr>
            </w:pPr>
          </w:p>
        </w:tc>
      </w:tr>
      <w:tr w:rsidR="00BB33FC" w:rsidRPr="00D578E2" w:rsidTr="00D578E2">
        <w:trPr>
          <w:trHeight w:val="145"/>
        </w:trPr>
        <w:tc>
          <w:tcPr>
            <w:tcW w:w="4219" w:type="dxa"/>
            <w:shd w:val="clear" w:color="auto" w:fill="auto"/>
          </w:tcPr>
          <w:p w:rsidR="00BB33FC" w:rsidRPr="00D578E2" w:rsidRDefault="00BB33FC" w:rsidP="006C7E72">
            <w:pPr>
              <w:tabs>
                <w:tab w:val="left" w:pos="5020"/>
              </w:tabs>
              <w:rPr>
                <w:rFonts w:ascii="Calibri" w:eastAsia="Calibri" w:hAnsi="Calibri"/>
                <w:sz w:val="20"/>
                <w:szCs w:val="20"/>
                <w:lang w:eastAsia="en-US"/>
              </w:rPr>
            </w:pPr>
            <w:r w:rsidRPr="00D578E2">
              <w:rPr>
                <w:rFonts w:ascii="Calibri" w:eastAsia="Calibri" w:hAnsi="Calibri"/>
                <w:sz w:val="20"/>
                <w:szCs w:val="20"/>
                <w:lang w:eastAsia="en-US"/>
              </w:rPr>
              <w:t>Ministerstvo hospodárstva SR</w:t>
            </w:r>
          </w:p>
        </w:tc>
        <w:tc>
          <w:tcPr>
            <w:tcW w:w="4929" w:type="dxa"/>
            <w:vMerge w:val="restart"/>
            <w:shd w:val="clear" w:color="auto" w:fill="auto"/>
          </w:tcPr>
          <w:p w:rsidR="00BB33FC" w:rsidRPr="00D578E2" w:rsidRDefault="00BB33FC" w:rsidP="006C7E72">
            <w:pPr>
              <w:tabs>
                <w:tab w:val="left" w:pos="5020"/>
              </w:tabs>
              <w:rPr>
                <w:rFonts w:ascii="Calibri" w:eastAsia="Calibri" w:hAnsi="Calibri"/>
                <w:sz w:val="20"/>
                <w:szCs w:val="20"/>
                <w:lang w:eastAsia="en-US"/>
              </w:rPr>
            </w:pPr>
            <w:r w:rsidRPr="00D578E2">
              <w:rPr>
                <w:rFonts w:ascii="Calibri" w:eastAsia="Calibri" w:hAnsi="Calibri"/>
                <w:sz w:val="20"/>
                <w:szCs w:val="20"/>
                <w:lang w:eastAsia="en-US"/>
              </w:rPr>
              <w:t>Rezortný partner riešenia problematiky Programu rozvoja vidieka SR.</w:t>
            </w:r>
          </w:p>
          <w:p w:rsidR="00BB33FC" w:rsidRPr="00D578E2" w:rsidRDefault="00BB33FC" w:rsidP="006C7E72">
            <w:pPr>
              <w:tabs>
                <w:tab w:val="left" w:pos="5020"/>
              </w:tabs>
              <w:rPr>
                <w:rFonts w:ascii="Calibri" w:eastAsia="Calibri" w:hAnsi="Calibri"/>
                <w:sz w:val="20"/>
                <w:szCs w:val="20"/>
                <w:lang w:eastAsia="en-US"/>
              </w:rPr>
            </w:pPr>
          </w:p>
        </w:tc>
      </w:tr>
      <w:tr w:rsidR="00BB33FC" w:rsidRPr="00D578E2" w:rsidTr="00D578E2">
        <w:trPr>
          <w:trHeight w:val="145"/>
        </w:trPr>
        <w:tc>
          <w:tcPr>
            <w:tcW w:w="4219" w:type="dxa"/>
            <w:shd w:val="clear" w:color="auto" w:fill="auto"/>
          </w:tcPr>
          <w:p w:rsidR="00BB33FC" w:rsidRPr="00D578E2" w:rsidRDefault="00BB33FC" w:rsidP="006C7E72">
            <w:pPr>
              <w:tabs>
                <w:tab w:val="left" w:pos="5020"/>
              </w:tabs>
              <w:rPr>
                <w:rFonts w:ascii="Calibri" w:eastAsia="Calibri" w:hAnsi="Calibri"/>
                <w:sz w:val="20"/>
                <w:szCs w:val="20"/>
                <w:lang w:eastAsia="en-US"/>
              </w:rPr>
            </w:pPr>
            <w:r w:rsidRPr="00D578E2">
              <w:rPr>
                <w:rFonts w:ascii="Calibri" w:eastAsia="Calibri" w:hAnsi="Calibri"/>
                <w:sz w:val="20"/>
                <w:szCs w:val="20"/>
                <w:lang w:eastAsia="en-US"/>
              </w:rPr>
              <w:t>Ministerstvo dopravy, výstavby a reg. rozvoja  SR</w:t>
            </w:r>
          </w:p>
        </w:tc>
        <w:tc>
          <w:tcPr>
            <w:tcW w:w="4929" w:type="dxa"/>
            <w:vMerge/>
            <w:shd w:val="clear" w:color="auto" w:fill="auto"/>
          </w:tcPr>
          <w:p w:rsidR="00BB33FC" w:rsidRPr="00D578E2" w:rsidRDefault="00BB33FC" w:rsidP="006C7E72">
            <w:pPr>
              <w:tabs>
                <w:tab w:val="left" w:pos="5020"/>
              </w:tabs>
              <w:rPr>
                <w:rFonts w:ascii="Calibri" w:eastAsia="Calibri" w:hAnsi="Calibri"/>
                <w:sz w:val="20"/>
                <w:szCs w:val="20"/>
                <w:lang w:eastAsia="en-US"/>
              </w:rPr>
            </w:pPr>
          </w:p>
        </w:tc>
      </w:tr>
      <w:tr w:rsidR="00BB33FC" w:rsidRPr="00D578E2" w:rsidTr="00D578E2">
        <w:trPr>
          <w:trHeight w:val="145"/>
        </w:trPr>
        <w:tc>
          <w:tcPr>
            <w:tcW w:w="4219" w:type="dxa"/>
            <w:shd w:val="clear" w:color="auto" w:fill="auto"/>
          </w:tcPr>
          <w:p w:rsidR="00BB33FC" w:rsidRPr="00D578E2" w:rsidRDefault="00BB33FC" w:rsidP="006C7E72">
            <w:pPr>
              <w:tabs>
                <w:tab w:val="left" w:pos="5020"/>
              </w:tabs>
              <w:rPr>
                <w:rFonts w:ascii="Calibri" w:eastAsia="Calibri" w:hAnsi="Calibri"/>
                <w:sz w:val="20"/>
                <w:szCs w:val="20"/>
                <w:lang w:eastAsia="en-US"/>
              </w:rPr>
            </w:pPr>
            <w:r w:rsidRPr="00D578E2">
              <w:rPr>
                <w:rFonts w:ascii="Calibri" w:eastAsia="Calibri" w:hAnsi="Calibri"/>
                <w:sz w:val="20"/>
                <w:szCs w:val="20"/>
                <w:lang w:eastAsia="en-US"/>
              </w:rPr>
              <w:t>Ministerstvo práce, sociálnych vecí a rodiny SR</w:t>
            </w:r>
          </w:p>
        </w:tc>
        <w:tc>
          <w:tcPr>
            <w:tcW w:w="4929" w:type="dxa"/>
            <w:vMerge/>
            <w:shd w:val="clear" w:color="auto" w:fill="auto"/>
          </w:tcPr>
          <w:p w:rsidR="00BB33FC" w:rsidRPr="00D578E2" w:rsidRDefault="00BB33FC" w:rsidP="006C7E72">
            <w:pPr>
              <w:tabs>
                <w:tab w:val="left" w:pos="5020"/>
              </w:tabs>
              <w:rPr>
                <w:rFonts w:ascii="Calibri" w:eastAsia="Calibri" w:hAnsi="Calibri"/>
                <w:sz w:val="20"/>
                <w:szCs w:val="20"/>
                <w:lang w:eastAsia="en-US"/>
              </w:rPr>
            </w:pPr>
          </w:p>
        </w:tc>
      </w:tr>
      <w:tr w:rsidR="00BB33FC" w:rsidRPr="00D578E2" w:rsidTr="00D578E2">
        <w:trPr>
          <w:trHeight w:val="145"/>
        </w:trPr>
        <w:tc>
          <w:tcPr>
            <w:tcW w:w="4219" w:type="dxa"/>
            <w:shd w:val="clear" w:color="auto" w:fill="auto"/>
          </w:tcPr>
          <w:p w:rsidR="00BB33FC" w:rsidRPr="00D578E2" w:rsidRDefault="00BB33FC" w:rsidP="006C7E72">
            <w:pPr>
              <w:tabs>
                <w:tab w:val="left" w:pos="5020"/>
              </w:tabs>
              <w:rPr>
                <w:rFonts w:ascii="Calibri" w:eastAsia="Calibri" w:hAnsi="Calibri"/>
                <w:sz w:val="20"/>
                <w:szCs w:val="20"/>
                <w:lang w:eastAsia="en-US"/>
              </w:rPr>
            </w:pPr>
            <w:r w:rsidRPr="00D578E2">
              <w:rPr>
                <w:rFonts w:ascii="Calibri" w:eastAsia="Calibri" w:hAnsi="Calibri"/>
                <w:sz w:val="20"/>
                <w:szCs w:val="20"/>
                <w:lang w:eastAsia="en-US"/>
              </w:rPr>
              <w:t>Ministerstvo životného prostredia  SR</w:t>
            </w:r>
          </w:p>
        </w:tc>
        <w:tc>
          <w:tcPr>
            <w:tcW w:w="4929" w:type="dxa"/>
            <w:vMerge/>
            <w:shd w:val="clear" w:color="auto" w:fill="auto"/>
          </w:tcPr>
          <w:p w:rsidR="00BB33FC" w:rsidRPr="00D578E2" w:rsidRDefault="00BB33FC" w:rsidP="006C7E72">
            <w:pPr>
              <w:tabs>
                <w:tab w:val="left" w:pos="5020"/>
              </w:tabs>
              <w:rPr>
                <w:rFonts w:ascii="Calibri" w:eastAsia="Calibri" w:hAnsi="Calibri"/>
                <w:sz w:val="20"/>
                <w:szCs w:val="20"/>
                <w:lang w:eastAsia="en-US"/>
              </w:rPr>
            </w:pPr>
          </w:p>
        </w:tc>
      </w:tr>
      <w:tr w:rsidR="00BB33FC" w:rsidRPr="00D578E2" w:rsidTr="00D578E2">
        <w:trPr>
          <w:trHeight w:val="145"/>
        </w:trPr>
        <w:tc>
          <w:tcPr>
            <w:tcW w:w="4219" w:type="dxa"/>
            <w:shd w:val="clear" w:color="auto" w:fill="auto"/>
          </w:tcPr>
          <w:p w:rsidR="00BB33FC" w:rsidRPr="00D578E2" w:rsidRDefault="00BB33FC" w:rsidP="006C7E72">
            <w:pPr>
              <w:tabs>
                <w:tab w:val="left" w:pos="5020"/>
              </w:tabs>
              <w:rPr>
                <w:rFonts w:ascii="Calibri" w:eastAsia="Calibri" w:hAnsi="Calibri"/>
                <w:sz w:val="20"/>
                <w:szCs w:val="20"/>
                <w:lang w:eastAsia="en-US"/>
              </w:rPr>
            </w:pPr>
            <w:r w:rsidRPr="00D578E2">
              <w:rPr>
                <w:rFonts w:ascii="Calibri" w:eastAsia="Calibri" w:hAnsi="Calibri"/>
                <w:sz w:val="20"/>
                <w:szCs w:val="20"/>
                <w:lang w:eastAsia="en-US"/>
              </w:rPr>
              <w:t>Ministerstvo financií SR</w:t>
            </w:r>
          </w:p>
        </w:tc>
        <w:tc>
          <w:tcPr>
            <w:tcW w:w="4929" w:type="dxa"/>
            <w:vMerge/>
            <w:shd w:val="clear" w:color="auto" w:fill="auto"/>
          </w:tcPr>
          <w:p w:rsidR="00BB33FC" w:rsidRPr="00D578E2" w:rsidRDefault="00BB33FC" w:rsidP="006C7E72">
            <w:pPr>
              <w:tabs>
                <w:tab w:val="left" w:pos="5020"/>
              </w:tabs>
              <w:rPr>
                <w:rFonts w:ascii="Calibri" w:eastAsia="Calibri" w:hAnsi="Calibri"/>
                <w:sz w:val="20"/>
                <w:szCs w:val="20"/>
                <w:lang w:eastAsia="en-US"/>
              </w:rPr>
            </w:pPr>
          </w:p>
        </w:tc>
      </w:tr>
      <w:tr w:rsidR="00BB33FC" w:rsidRPr="00D578E2" w:rsidTr="00D578E2">
        <w:trPr>
          <w:trHeight w:val="145"/>
        </w:trPr>
        <w:tc>
          <w:tcPr>
            <w:tcW w:w="4219" w:type="dxa"/>
            <w:shd w:val="clear" w:color="auto" w:fill="auto"/>
          </w:tcPr>
          <w:p w:rsidR="00BB33FC" w:rsidRPr="00D578E2" w:rsidRDefault="00BB33FC" w:rsidP="006C7E72">
            <w:pPr>
              <w:tabs>
                <w:tab w:val="left" w:pos="5020"/>
              </w:tabs>
              <w:rPr>
                <w:rFonts w:ascii="Calibri" w:eastAsia="Calibri" w:hAnsi="Calibri"/>
                <w:sz w:val="20"/>
                <w:szCs w:val="20"/>
                <w:lang w:eastAsia="en-US"/>
              </w:rPr>
            </w:pPr>
            <w:r w:rsidRPr="00D578E2">
              <w:rPr>
                <w:rFonts w:ascii="Calibri" w:eastAsia="Calibri" w:hAnsi="Calibri"/>
                <w:sz w:val="20"/>
                <w:szCs w:val="20"/>
                <w:lang w:eastAsia="en-US"/>
              </w:rPr>
              <w:t>Úrad splnomocnenca vlády SR pre rómske komunity</w:t>
            </w:r>
          </w:p>
        </w:tc>
        <w:tc>
          <w:tcPr>
            <w:tcW w:w="4929" w:type="dxa"/>
            <w:shd w:val="clear" w:color="auto" w:fill="auto"/>
          </w:tcPr>
          <w:p w:rsidR="00BB33FC" w:rsidRPr="00D578E2" w:rsidRDefault="00BB33FC" w:rsidP="006C7E72">
            <w:pPr>
              <w:tabs>
                <w:tab w:val="left" w:pos="5020"/>
              </w:tabs>
              <w:rPr>
                <w:rFonts w:ascii="Calibri" w:eastAsia="Calibri" w:hAnsi="Calibri"/>
                <w:sz w:val="20"/>
                <w:szCs w:val="20"/>
                <w:lang w:eastAsia="en-US"/>
              </w:rPr>
            </w:pPr>
            <w:r w:rsidRPr="00D578E2">
              <w:rPr>
                <w:rFonts w:ascii="Calibri" w:eastAsia="Calibri" w:hAnsi="Calibri"/>
                <w:sz w:val="20"/>
                <w:szCs w:val="20"/>
                <w:lang w:eastAsia="en-US"/>
              </w:rPr>
              <w:t>Úrad splnomocnenca vlády SR pre rómske komunity koordinuje a kontroluje činnosti smerujúce k riešeniu problémov rómskej menšiny a po odsúhlasení vládou SR realizuje systémové riešenia na dosiahnutie rovnoprávneho postavenia občanov patriacich k rómskej menšine v spoločnosti. Dbá na dodržiavanie základných práv a slobôd zaručených ústavou a zákonmi SR, ako aj medzinárodnými zmluvami o ľudských právach.</w:t>
            </w:r>
          </w:p>
        </w:tc>
      </w:tr>
      <w:tr w:rsidR="00BB33FC" w:rsidRPr="00D578E2" w:rsidTr="00D578E2">
        <w:trPr>
          <w:trHeight w:val="145"/>
        </w:trPr>
        <w:tc>
          <w:tcPr>
            <w:tcW w:w="4219" w:type="dxa"/>
            <w:shd w:val="clear" w:color="auto" w:fill="auto"/>
          </w:tcPr>
          <w:p w:rsidR="00BB33FC" w:rsidRPr="00D578E2" w:rsidRDefault="00BB33FC" w:rsidP="006C7E72">
            <w:pPr>
              <w:tabs>
                <w:tab w:val="left" w:pos="5020"/>
              </w:tabs>
              <w:rPr>
                <w:rFonts w:ascii="Calibri" w:eastAsia="Calibri" w:hAnsi="Calibri"/>
                <w:sz w:val="20"/>
                <w:szCs w:val="20"/>
                <w:lang w:eastAsia="en-US"/>
              </w:rPr>
            </w:pPr>
            <w:r w:rsidRPr="00D578E2">
              <w:rPr>
                <w:rFonts w:ascii="Calibri" w:eastAsia="Calibri" w:hAnsi="Calibri"/>
                <w:sz w:val="20"/>
                <w:szCs w:val="20"/>
                <w:lang w:eastAsia="en-US"/>
              </w:rPr>
              <w:t>Združenie miest a obcí Slovenska</w:t>
            </w:r>
          </w:p>
        </w:tc>
        <w:tc>
          <w:tcPr>
            <w:tcW w:w="4929" w:type="dxa"/>
            <w:shd w:val="clear" w:color="auto" w:fill="auto"/>
          </w:tcPr>
          <w:p w:rsidR="00BB33FC" w:rsidRPr="00D578E2" w:rsidRDefault="00BB33FC" w:rsidP="006C7E72">
            <w:pPr>
              <w:tabs>
                <w:tab w:val="left" w:pos="5020"/>
              </w:tabs>
              <w:rPr>
                <w:rFonts w:ascii="Calibri" w:eastAsia="Calibri" w:hAnsi="Calibri"/>
                <w:sz w:val="20"/>
                <w:szCs w:val="20"/>
                <w:lang w:eastAsia="en-US"/>
              </w:rPr>
            </w:pPr>
            <w:r w:rsidRPr="00D578E2">
              <w:rPr>
                <w:rFonts w:ascii="Calibri" w:eastAsia="Calibri" w:hAnsi="Calibri"/>
                <w:sz w:val="20"/>
                <w:szCs w:val="20"/>
                <w:lang w:eastAsia="en-US"/>
              </w:rPr>
              <w:t>Cieľom združenia je obhajovať spoločné záujmy a práva členských miest a obcí pri rešpektovaní ich autonómneho postavenia, v súlade s Európskou chartou miestnej samosprávy, Ústavou SR a zákonmi Slovenskej republiky a na základe princípov trvalo udržateľného rozvoja a sociálnej kohézie, predkladať vecne príslušným ústredným orgánom návrhy na riešenie problémov miestnej územnej samosprávy a zjednocovať postup členských miest a obcí pri vykonávaní im zverených úloh.</w:t>
            </w:r>
          </w:p>
        </w:tc>
      </w:tr>
      <w:tr w:rsidR="00BB33FC" w:rsidRPr="00D578E2" w:rsidTr="00D578E2">
        <w:trPr>
          <w:trHeight w:val="145"/>
        </w:trPr>
        <w:tc>
          <w:tcPr>
            <w:tcW w:w="4219" w:type="dxa"/>
            <w:shd w:val="clear" w:color="auto" w:fill="auto"/>
          </w:tcPr>
          <w:p w:rsidR="00BB33FC" w:rsidRPr="00D578E2" w:rsidRDefault="00BB33FC" w:rsidP="006C7E72">
            <w:pPr>
              <w:tabs>
                <w:tab w:val="left" w:pos="5020"/>
              </w:tabs>
              <w:rPr>
                <w:rFonts w:ascii="Calibri" w:eastAsia="Calibri" w:hAnsi="Calibri"/>
                <w:sz w:val="20"/>
                <w:szCs w:val="20"/>
                <w:lang w:eastAsia="en-US"/>
              </w:rPr>
            </w:pPr>
            <w:r w:rsidRPr="00D578E2">
              <w:rPr>
                <w:rFonts w:ascii="Calibri" w:eastAsia="Calibri" w:hAnsi="Calibri"/>
                <w:sz w:val="20"/>
                <w:szCs w:val="20"/>
                <w:lang w:eastAsia="en-US"/>
              </w:rPr>
              <w:t>Vidiecky parlament SR</w:t>
            </w:r>
          </w:p>
        </w:tc>
        <w:tc>
          <w:tcPr>
            <w:tcW w:w="4929" w:type="dxa"/>
            <w:shd w:val="clear" w:color="auto" w:fill="auto"/>
          </w:tcPr>
          <w:p w:rsidR="00BB33FC" w:rsidRPr="00D578E2" w:rsidRDefault="00BB33FC" w:rsidP="006C7E72">
            <w:pPr>
              <w:tabs>
                <w:tab w:val="left" w:pos="5020"/>
              </w:tabs>
              <w:rPr>
                <w:rFonts w:ascii="Calibri" w:eastAsia="Calibri" w:hAnsi="Calibri"/>
                <w:sz w:val="20"/>
                <w:szCs w:val="20"/>
                <w:lang w:eastAsia="en-US"/>
              </w:rPr>
            </w:pPr>
            <w:r w:rsidRPr="00D578E2">
              <w:rPr>
                <w:rFonts w:ascii="Calibri" w:eastAsia="Calibri" w:hAnsi="Calibri"/>
                <w:sz w:val="20"/>
                <w:szCs w:val="20"/>
                <w:lang w:eastAsia="en-US"/>
              </w:rPr>
              <w:t>Poslaním OZ VIPA SK je presadzovať zvyšovanie kvality života na vidieku a podporovať vidiecke iniciatívy pri riadení vidieckeho rozvoja.</w:t>
            </w:r>
          </w:p>
        </w:tc>
      </w:tr>
      <w:tr w:rsidR="00BB33FC" w:rsidRPr="00D578E2" w:rsidTr="00D578E2">
        <w:trPr>
          <w:trHeight w:val="145"/>
        </w:trPr>
        <w:tc>
          <w:tcPr>
            <w:tcW w:w="4219" w:type="dxa"/>
            <w:shd w:val="clear" w:color="auto" w:fill="auto"/>
          </w:tcPr>
          <w:p w:rsidR="00BB33FC" w:rsidRPr="00D578E2" w:rsidRDefault="00BB33FC" w:rsidP="006C7E72">
            <w:pPr>
              <w:tabs>
                <w:tab w:val="left" w:pos="5020"/>
              </w:tabs>
              <w:rPr>
                <w:rFonts w:ascii="Calibri" w:eastAsia="Calibri" w:hAnsi="Calibri"/>
                <w:sz w:val="20"/>
                <w:szCs w:val="20"/>
                <w:lang w:eastAsia="en-US"/>
              </w:rPr>
            </w:pPr>
            <w:r w:rsidRPr="00D578E2">
              <w:rPr>
                <w:rFonts w:ascii="Calibri" w:eastAsia="Calibri" w:hAnsi="Calibri"/>
                <w:sz w:val="20"/>
                <w:szCs w:val="20"/>
                <w:lang w:eastAsia="en-US"/>
              </w:rPr>
              <w:t>Iniciatíva pre rozvoj slovenského vidieka</w:t>
            </w:r>
          </w:p>
        </w:tc>
        <w:tc>
          <w:tcPr>
            <w:tcW w:w="4929" w:type="dxa"/>
            <w:shd w:val="clear" w:color="auto" w:fill="auto"/>
          </w:tcPr>
          <w:p w:rsidR="00BB33FC" w:rsidRPr="00D578E2" w:rsidRDefault="00BB33FC" w:rsidP="006C7E72">
            <w:pPr>
              <w:tabs>
                <w:tab w:val="left" w:pos="5020"/>
              </w:tabs>
              <w:rPr>
                <w:rFonts w:ascii="Calibri" w:eastAsia="Calibri" w:hAnsi="Calibri"/>
                <w:sz w:val="20"/>
                <w:szCs w:val="20"/>
                <w:lang w:eastAsia="en-US"/>
              </w:rPr>
            </w:pPr>
            <w:r w:rsidRPr="00D578E2">
              <w:rPr>
                <w:rFonts w:ascii="Calibri" w:eastAsia="Calibri" w:hAnsi="Calibri"/>
                <w:sz w:val="20"/>
                <w:szCs w:val="20"/>
                <w:lang w:eastAsia="en-US"/>
              </w:rPr>
              <w:t>Neformálna platforma všetkých obyvateľov a organizácií bez ohľadu na stranícku, národnostnú, náboženskú, rasovú či inú viazanosť.</w:t>
            </w:r>
          </w:p>
        </w:tc>
      </w:tr>
      <w:tr w:rsidR="00BB33FC" w:rsidRPr="00D578E2" w:rsidTr="00D578E2">
        <w:trPr>
          <w:trHeight w:val="145"/>
        </w:trPr>
        <w:tc>
          <w:tcPr>
            <w:tcW w:w="4219" w:type="dxa"/>
            <w:shd w:val="clear" w:color="auto" w:fill="auto"/>
          </w:tcPr>
          <w:p w:rsidR="00BB33FC" w:rsidRPr="00D578E2" w:rsidRDefault="00BB33FC" w:rsidP="006C7E72">
            <w:pPr>
              <w:tabs>
                <w:tab w:val="left" w:pos="5020"/>
              </w:tabs>
              <w:rPr>
                <w:rFonts w:ascii="Calibri" w:eastAsia="Calibri" w:hAnsi="Calibri"/>
                <w:sz w:val="20"/>
                <w:szCs w:val="20"/>
                <w:lang w:eastAsia="en-US"/>
              </w:rPr>
            </w:pPr>
            <w:r w:rsidRPr="00D578E2">
              <w:rPr>
                <w:rFonts w:ascii="Calibri" w:eastAsia="Calibri" w:hAnsi="Calibri"/>
                <w:sz w:val="20"/>
                <w:szCs w:val="20"/>
                <w:lang w:eastAsia="en-US"/>
              </w:rPr>
              <w:t>Slovenská poľnohospodárska a  potravinárska komora</w:t>
            </w:r>
          </w:p>
        </w:tc>
        <w:tc>
          <w:tcPr>
            <w:tcW w:w="4929" w:type="dxa"/>
            <w:shd w:val="clear" w:color="auto" w:fill="auto"/>
          </w:tcPr>
          <w:p w:rsidR="00BB33FC" w:rsidRPr="00D578E2" w:rsidRDefault="00BB33FC" w:rsidP="006C7E72">
            <w:pPr>
              <w:tabs>
                <w:tab w:val="left" w:pos="5020"/>
              </w:tabs>
              <w:rPr>
                <w:rFonts w:ascii="Calibri" w:eastAsia="Calibri" w:hAnsi="Calibri"/>
                <w:sz w:val="20"/>
                <w:szCs w:val="20"/>
                <w:lang w:eastAsia="en-US"/>
              </w:rPr>
            </w:pPr>
            <w:r w:rsidRPr="00D578E2">
              <w:rPr>
                <w:rFonts w:ascii="Calibri" w:eastAsia="Calibri" w:hAnsi="Calibri"/>
                <w:sz w:val="20"/>
                <w:szCs w:val="20"/>
                <w:lang w:eastAsia="en-US"/>
              </w:rPr>
              <w:t>Neštátna, verejnoprávna a samosprávna inštitúcia, ktorej poslaním je uplatňovanie oprávnených spoločných záujmov svojich členov pri tvorbe hospodárskej a sociálnej politiky, účasť na jej uskutočňovaní a podpora a ochrana podnikania svojich členov v záujme rozvoja a zveľaďovania poľnohospodárstva a potravinárstva v Slovenskej republike. Členmi SPPK sú fyzické a právnické osoby, ktoré vykonávajú podnikateľskú činnosť v poľnohospodárstve, potravinárstve a v biologických, technických a obchodných službách pre poľnohospodárstvo a potravinárstvo, ako aj samosprávne</w:t>
            </w:r>
            <w:r w:rsidRPr="00D578E2">
              <w:rPr>
                <w:rFonts w:ascii="Calibri" w:eastAsia="Calibri" w:hAnsi="Calibri"/>
                <w:sz w:val="20"/>
                <w:szCs w:val="20"/>
                <w:lang w:eastAsia="en-US"/>
              </w:rPr>
              <w:lastRenderedPageBreak/>
              <w:t xml:space="preserve"> organizácie v rezorte pôdohospodárstva a iné subjekty.</w:t>
            </w:r>
          </w:p>
        </w:tc>
      </w:tr>
      <w:tr w:rsidR="00BB33FC" w:rsidRPr="00D578E2" w:rsidTr="00D578E2">
        <w:trPr>
          <w:trHeight w:val="145"/>
        </w:trPr>
        <w:tc>
          <w:tcPr>
            <w:tcW w:w="4219" w:type="dxa"/>
            <w:shd w:val="clear" w:color="auto" w:fill="auto"/>
          </w:tcPr>
          <w:p w:rsidR="00BB33FC" w:rsidRPr="00D578E2" w:rsidRDefault="00BB33FC" w:rsidP="006C7E72">
            <w:pPr>
              <w:tabs>
                <w:tab w:val="left" w:pos="5020"/>
              </w:tabs>
              <w:rPr>
                <w:rFonts w:ascii="Calibri" w:eastAsia="Calibri" w:hAnsi="Calibri"/>
                <w:sz w:val="20"/>
                <w:szCs w:val="20"/>
                <w:lang w:eastAsia="en-US"/>
              </w:rPr>
            </w:pPr>
            <w:r w:rsidRPr="00D578E2">
              <w:rPr>
                <w:rFonts w:ascii="Calibri" w:eastAsia="Calibri" w:hAnsi="Calibri"/>
                <w:sz w:val="20"/>
                <w:szCs w:val="20"/>
                <w:lang w:eastAsia="en-US"/>
              </w:rPr>
              <w:t>Potravinárska komora Slovenska</w:t>
            </w:r>
          </w:p>
        </w:tc>
        <w:tc>
          <w:tcPr>
            <w:tcW w:w="4929" w:type="dxa"/>
            <w:shd w:val="clear" w:color="auto" w:fill="auto"/>
          </w:tcPr>
          <w:p w:rsidR="00BB33FC" w:rsidRPr="00D578E2" w:rsidRDefault="00BB33FC" w:rsidP="006C7E72">
            <w:pPr>
              <w:tabs>
                <w:tab w:val="left" w:pos="5020"/>
              </w:tabs>
              <w:rPr>
                <w:rFonts w:ascii="Calibri" w:eastAsia="Calibri" w:hAnsi="Calibri"/>
                <w:sz w:val="20"/>
                <w:szCs w:val="20"/>
                <w:lang w:eastAsia="en-US"/>
              </w:rPr>
            </w:pPr>
            <w:r w:rsidRPr="00D578E2">
              <w:rPr>
                <w:rFonts w:ascii="Calibri" w:eastAsia="Calibri" w:hAnsi="Calibri"/>
                <w:sz w:val="20"/>
                <w:szCs w:val="20"/>
                <w:lang w:eastAsia="en-US"/>
              </w:rPr>
              <w:t>Dobrovoľné združenie právnických osôb, založené potravinárskymi firmami pôsobiacimi na Slovensku s cieľom spolupracovať pri obhajovaní spoločných záujmov potravinárskeho priemyslu.</w:t>
            </w:r>
          </w:p>
        </w:tc>
      </w:tr>
      <w:tr w:rsidR="00BB33FC" w:rsidRPr="00D578E2" w:rsidTr="00D578E2">
        <w:trPr>
          <w:trHeight w:val="145"/>
        </w:trPr>
        <w:tc>
          <w:tcPr>
            <w:tcW w:w="4219" w:type="dxa"/>
            <w:shd w:val="clear" w:color="auto" w:fill="auto"/>
          </w:tcPr>
          <w:p w:rsidR="00BB33FC" w:rsidRPr="00D578E2" w:rsidRDefault="00BB33FC" w:rsidP="006C7E72">
            <w:pPr>
              <w:tabs>
                <w:tab w:val="left" w:pos="5020"/>
              </w:tabs>
              <w:rPr>
                <w:rFonts w:ascii="Calibri" w:eastAsia="Calibri" w:hAnsi="Calibri"/>
                <w:sz w:val="20"/>
                <w:szCs w:val="20"/>
                <w:lang w:eastAsia="en-US"/>
              </w:rPr>
            </w:pPr>
            <w:r w:rsidRPr="00D578E2">
              <w:rPr>
                <w:rFonts w:ascii="Calibri" w:eastAsia="Calibri" w:hAnsi="Calibri"/>
                <w:sz w:val="20"/>
                <w:szCs w:val="20"/>
                <w:lang w:eastAsia="en-US"/>
              </w:rPr>
              <w:t>Zväz poľnohospodárskych družstiev a obchodných spoločností SR</w:t>
            </w:r>
          </w:p>
        </w:tc>
        <w:tc>
          <w:tcPr>
            <w:tcW w:w="4929" w:type="dxa"/>
            <w:shd w:val="clear" w:color="auto" w:fill="auto"/>
          </w:tcPr>
          <w:p w:rsidR="00BB33FC" w:rsidRPr="00D578E2" w:rsidRDefault="00BB33FC" w:rsidP="006C7E72">
            <w:pPr>
              <w:tabs>
                <w:tab w:val="left" w:pos="5020"/>
              </w:tabs>
              <w:rPr>
                <w:rFonts w:ascii="Calibri" w:eastAsia="Calibri" w:hAnsi="Calibri"/>
                <w:sz w:val="20"/>
                <w:szCs w:val="20"/>
                <w:lang w:eastAsia="en-US"/>
              </w:rPr>
            </w:pPr>
            <w:r w:rsidRPr="00D578E2">
              <w:rPr>
                <w:rFonts w:ascii="Calibri" w:eastAsia="Calibri" w:hAnsi="Calibri"/>
                <w:sz w:val="20"/>
                <w:szCs w:val="20"/>
                <w:lang w:eastAsia="en-US"/>
              </w:rPr>
              <w:t>Dobrovoľná, nezávislá a samosprávna organizácia združujúca právnické osoby - poľnohospodárske družstvá a obchodné spoločnosti pôsobiace v poľnohospodárstve.</w:t>
            </w:r>
          </w:p>
        </w:tc>
      </w:tr>
      <w:tr w:rsidR="00BB33FC" w:rsidRPr="00D578E2" w:rsidTr="00D578E2">
        <w:trPr>
          <w:trHeight w:val="145"/>
        </w:trPr>
        <w:tc>
          <w:tcPr>
            <w:tcW w:w="4219" w:type="dxa"/>
            <w:shd w:val="clear" w:color="auto" w:fill="auto"/>
          </w:tcPr>
          <w:p w:rsidR="00BB33FC" w:rsidRPr="00D578E2" w:rsidRDefault="00BB33FC" w:rsidP="006C7E72">
            <w:pPr>
              <w:tabs>
                <w:tab w:val="left" w:pos="5020"/>
              </w:tabs>
              <w:rPr>
                <w:rFonts w:ascii="Calibri" w:eastAsia="Calibri" w:hAnsi="Calibri"/>
                <w:sz w:val="20"/>
                <w:szCs w:val="20"/>
                <w:lang w:eastAsia="en-US"/>
              </w:rPr>
            </w:pPr>
            <w:r w:rsidRPr="00D578E2">
              <w:rPr>
                <w:rFonts w:ascii="Calibri" w:eastAsia="Calibri" w:hAnsi="Calibri"/>
                <w:sz w:val="20"/>
                <w:szCs w:val="20"/>
                <w:lang w:eastAsia="en-US"/>
              </w:rPr>
              <w:t>Agrárna  komora Slovenska</w:t>
            </w:r>
          </w:p>
        </w:tc>
        <w:tc>
          <w:tcPr>
            <w:tcW w:w="4929" w:type="dxa"/>
            <w:shd w:val="clear" w:color="auto" w:fill="auto"/>
          </w:tcPr>
          <w:p w:rsidR="00BB33FC" w:rsidRPr="00D578E2" w:rsidRDefault="00BB33FC" w:rsidP="006C7E72">
            <w:pPr>
              <w:tabs>
                <w:tab w:val="left" w:pos="5020"/>
              </w:tabs>
              <w:rPr>
                <w:rFonts w:ascii="Calibri" w:eastAsia="Calibri" w:hAnsi="Calibri"/>
                <w:sz w:val="20"/>
                <w:szCs w:val="20"/>
                <w:lang w:eastAsia="en-US"/>
              </w:rPr>
            </w:pPr>
            <w:r w:rsidRPr="00D578E2">
              <w:rPr>
                <w:rFonts w:ascii="Calibri" w:eastAsia="Calibri" w:hAnsi="Calibri"/>
                <w:sz w:val="20"/>
                <w:szCs w:val="20"/>
                <w:lang w:eastAsia="en-US"/>
              </w:rPr>
              <w:t>AKS je založená na ochranu záujmov svojich členov fyzických a právnických osôb, ktoré podnikajú v poľnohospodárstve, samostatne hospodáriacich roľníkov a žiadateľov o priame platby na pôdu vykonávajúcich svoju činnosť v Slovenskej republike.</w:t>
            </w:r>
          </w:p>
        </w:tc>
      </w:tr>
      <w:tr w:rsidR="00BB33FC" w:rsidRPr="00D578E2" w:rsidTr="00D578E2">
        <w:trPr>
          <w:trHeight w:val="145"/>
        </w:trPr>
        <w:tc>
          <w:tcPr>
            <w:tcW w:w="4219" w:type="dxa"/>
            <w:shd w:val="clear" w:color="auto" w:fill="auto"/>
          </w:tcPr>
          <w:p w:rsidR="00BB33FC" w:rsidRPr="00D578E2" w:rsidRDefault="00BB33FC" w:rsidP="006C7E72">
            <w:pPr>
              <w:tabs>
                <w:tab w:val="left" w:pos="5020"/>
              </w:tabs>
              <w:rPr>
                <w:rFonts w:ascii="Calibri" w:eastAsia="Calibri" w:hAnsi="Calibri"/>
                <w:sz w:val="20"/>
                <w:szCs w:val="20"/>
                <w:lang w:eastAsia="en-US"/>
              </w:rPr>
            </w:pPr>
            <w:r w:rsidRPr="00D578E2">
              <w:rPr>
                <w:rFonts w:ascii="Calibri" w:eastAsia="Calibri" w:hAnsi="Calibri"/>
                <w:sz w:val="20"/>
                <w:szCs w:val="20"/>
                <w:lang w:eastAsia="en-US"/>
              </w:rPr>
              <w:t>Združenie vlastníkov pôdy a agropodnikateľov Slovenska</w:t>
            </w:r>
          </w:p>
        </w:tc>
        <w:tc>
          <w:tcPr>
            <w:tcW w:w="4929" w:type="dxa"/>
            <w:shd w:val="clear" w:color="auto" w:fill="auto"/>
          </w:tcPr>
          <w:p w:rsidR="00BB33FC" w:rsidRPr="00D578E2" w:rsidRDefault="00BB33FC" w:rsidP="006C7E72">
            <w:pPr>
              <w:tabs>
                <w:tab w:val="left" w:pos="5020"/>
              </w:tabs>
              <w:rPr>
                <w:rFonts w:ascii="Calibri" w:eastAsia="Calibri" w:hAnsi="Calibri"/>
                <w:sz w:val="20"/>
                <w:szCs w:val="20"/>
                <w:lang w:eastAsia="en-US"/>
              </w:rPr>
            </w:pPr>
            <w:r w:rsidRPr="00D578E2">
              <w:rPr>
                <w:rFonts w:ascii="Calibri" w:eastAsia="Calibri" w:hAnsi="Calibri"/>
                <w:sz w:val="20"/>
                <w:szCs w:val="20"/>
                <w:lang w:eastAsia="en-US"/>
              </w:rPr>
              <w:t>Združuje vlastníkov pôdy a agropodnikateľov Slovenska</w:t>
            </w:r>
          </w:p>
        </w:tc>
      </w:tr>
      <w:tr w:rsidR="00BB33FC" w:rsidRPr="00D578E2" w:rsidTr="00D578E2">
        <w:trPr>
          <w:trHeight w:val="145"/>
        </w:trPr>
        <w:tc>
          <w:tcPr>
            <w:tcW w:w="4219" w:type="dxa"/>
            <w:shd w:val="clear" w:color="auto" w:fill="auto"/>
          </w:tcPr>
          <w:p w:rsidR="00BB33FC" w:rsidRPr="00D578E2" w:rsidRDefault="00BB33FC" w:rsidP="006C7E72">
            <w:pPr>
              <w:tabs>
                <w:tab w:val="left" w:pos="5020"/>
              </w:tabs>
              <w:rPr>
                <w:rFonts w:ascii="Calibri" w:eastAsia="Calibri" w:hAnsi="Calibri"/>
                <w:sz w:val="20"/>
                <w:szCs w:val="20"/>
                <w:lang w:eastAsia="en-US"/>
              </w:rPr>
            </w:pPr>
            <w:r w:rsidRPr="00D578E2">
              <w:rPr>
                <w:rFonts w:ascii="Calibri" w:eastAsia="Calibri" w:hAnsi="Calibri"/>
                <w:sz w:val="20"/>
                <w:szCs w:val="20"/>
                <w:lang w:eastAsia="en-US"/>
              </w:rPr>
              <w:t>Slovenský zväz agropodnikateľov a rodinných fariem</w:t>
            </w:r>
          </w:p>
        </w:tc>
        <w:tc>
          <w:tcPr>
            <w:tcW w:w="4929" w:type="dxa"/>
            <w:shd w:val="clear" w:color="auto" w:fill="auto"/>
          </w:tcPr>
          <w:p w:rsidR="00BB33FC" w:rsidRPr="00D578E2" w:rsidRDefault="00BB33FC" w:rsidP="006C7E72">
            <w:pPr>
              <w:tabs>
                <w:tab w:val="left" w:pos="5020"/>
              </w:tabs>
              <w:rPr>
                <w:rFonts w:ascii="Calibri" w:eastAsia="Calibri" w:hAnsi="Calibri"/>
                <w:sz w:val="20"/>
                <w:szCs w:val="20"/>
                <w:lang w:eastAsia="en-US"/>
              </w:rPr>
            </w:pPr>
            <w:r w:rsidRPr="00D578E2">
              <w:rPr>
                <w:rFonts w:ascii="Calibri" w:eastAsia="Calibri" w:hAnsi="Calibri"/>
                <w:sz w:val="20"/>
                <w:szCs w:val="20"/>
                <w:lang w:eastAsia="en-US"/>
              </w:rPr>
              <w:t>Združuje agropodnikateľov a rodinné farmy s SR</w:t>
            </w:r>
          </w:p>
        </w:tc>
      </w:tr>
      <w:tr w:rsidR="00BB33FC" w:rsidRPr="00D578E2" w:rsidTr="00D578E2">
        <w:trPr>
          <w:trHeight w:val="145"/>
        </w:trPr>
        <w:tc>
          <w:tcPr>
            <w:tcW w:w="4219" w:type="dxa"/>
            <w:shd w:val="clear" w:color="auto" w:fill="auto"/>
          </w:tcPr>
          <w:p w:rsidR="00BB33FC" w:rsidRPr="00D578E2" w:rsidRDefault="00BB33FC" w:rsidP="006C7E72">
            <w:pPr>
              <w:tabs>
                <w:tab w:val="left" w:pos="5020"/>
              </w:tabs>
              <w:rPr>
                <w:rFonts w:ascii="Calibri" w:eastAsia="Calibri" w:hAnsi="Calibri"/>
                <w:sz w:val="20"/>
                <w:szCs w:val="20"/>
                <w:lang w:eastAsia="en-US"/>
              </w:rPr>
            </w:pPr>
            <w:r w:rsidRPr="00D578E2">
              <w:rPr>
                <w:rFonts w:ascii="Calibri" w:eastAsia="Calibri" w:hAnsi="Calibri"/>
                <w:sz w:val="20"/>
                <w:szCs w:val="20"/>
                <w:lang w:eastAsia="en-US"/>
              </w:rPr>
              <w:t>Združenie mladých farmárov  Slovenska</w:t>
            </w:r>
          </w:p>
        </w:tc>
        <w:tc>
          <w:tcPr>
            <w:tcW w:w="4929" w:type="dxa"/>
            <w:shd w:val="clear" w:color="auto" w:fill="auto"/>
          </w:tcPr>
          <w:p w:rsidR="00BB33FC" w:rsidRPr="00D578E2" w:rsidRDefault="00BB33FC" w:rsidP="006C7E72">
            <w:pPr>
              <w:tabs>
                <w:tab w:val="left" w:pos="5020"/>
              </w:tabs>
              <w:rPr>
                <w:rFonts w:ascii="Calibri" w:eastAsia="Calibri" w:hAnsi="Calibri"/>
                <w:sz w:val="20"/>
                <w:szCs w:val="20"/>
                <w:lang w:eastAsia="en-US"/>
              </w:rPr>
            </w:pPr>
            <w:r w:rsidRPr="00D578E2">
              <w:rPr>
                <w:rFonts w:ascii="Calibri" w:eastAsia="Calibri" w:hAnsi="Calibri"/>
                <w:sz w:val="20"/>
                <w:szCs w:val="20"/>
                <w:lang w:eastAsia="en-US"/>
              </w:rPr>
              <w:t>Združuje mladých farmárov pôsobiacich v SR</w:t>
            </w:r>
          </w:p>
        </w:tc>
      </w:tr>
      <w:tr w:rsidR="00BB33FC" w:rsidRPr="00D578E2" w:rsidTr="00D578E2">
        <w:trPr>
          <w:trHeight w:val="145"/>
        </w:trPr>
        <w:tc>
          <w:tcPr>
            <w:tcW w:w="4219" w:type="dxa"/>
            <w:shd w:val="clear" w:color="auto" w:fill="auto"/>
          </w:tcPr>
          <w:p w:rsidR="00BB33FC" w:rsidRPr="00D578E2" w:rsidRDefault="00BB33FC" w:rsidP="006C7E72">
            <w:pPr>
              <w:tabs>
                <w:tab w:val="left" w:pos="5020"/>
              </w:tabs>
              <w:rPr>
                <w:rFonts w:ascii="Calibri" w:eastAsia="Calibri" w:hAnsi="Calibri"/>
                <w:sz w:val="20"/>
                <w:szCs w:val="20"/>
                <w:lang w:eastAsia="en-US"/>
              </w:rPr>
            </w:pPr>
            <w:r w:rsidRPr="00D578E2">
              <w:rPr>
                <w:rFonts w:ascii="Calibri" w:eastAsia="Calibri" w:hAnsi="Calibri"/>
                <w:sz w:val="20"/>
                <w:szCs w:val="20"/>
                <w:lang w:eastAsia="en-US"/>
              </w:rPr>
              <w:t>Klub 500</w:t>
            </w:r>
          </w:p>
        </w:tc>
        <w:tc>
          <w:tcPr>
            <w:tcW w:w="4929" w:type="dxa"/>
            <w:shd w:val="clear" w:color="auto" w:fill="auto"/>
          </w:tcPr>
          <w:p w:rsidR="00BB33FC" w:rsidRPr="00D578E2" w:rsidRDefault="00BB33FC" w:rsidP="006C7E72">
            <w:pPr>
              <w:rPr>
                <w:rFonts w:ascii="Calibri" w:eastAsia="Calibri" w:hAnsi="Calibri"/>
                <w:sz w:val="20"/>
                <w:szCs w:val="20"/>
                <w:lang w:eastAsia="en-US"/>
              </w:rPr>
            </w:pPr>
            <w:r w:rsidRPr="00D578E2">
              <w:rPr>
                <w:rFonts w:ascii="Calibri" w:eastAsia="Calibri" w:hAnsi="Calibri"/>
                <w:sz w:val="20"/>
                <w:szCs w:val="20"/>
                <w:lang w:eastAsia="en-US"/>
              </w:rPr>
              <w:t xml:space="preserve">Klub 500 tvoria slovenskí vlastníci a spoluvlastníci spoločností zamestnávajúcich viac ako 500 zamestnancov, ide o  neziskové občianske združenie s cieľom chrániť záujmy podnikateľskej obce, zamestnávateľov na Slovensku a prispievať k plnej integrácii ekonomiky SR do Európskej únie. </w:t>
            </w:r>
          </w:p>
        </w:tc>
      </w:tr>
      <w:tr w:rsidR="00BB33FC" w:rsidRPr="00D578E2" w:rsidTr="00D578E2">
        <w:trPr>
          <w:trHeight w:val="145"/>
        </w:trPr>
        <w:tc>
          <w:tcPr>
            <w:tcW w:w="4219" w:type="dxa"/>
            <w:shd w:val="clear" w:color="auto" w:fill="auto"/>
          </w:tcPr>
          <w:p w:rsidR="00BB33FC" w:rsidRPr="00D578E2" w:rsidRDefault="00BB33FC" w:rsidP="006C7E72">
            <w:pPr>
              <w:tabs>
                <w:tab w:val="left" w:pos="5020"/>
              </w:tabs>
              <w:rPr>
                <w:rFonts w:ascii="Calibri" w:eastAsia="Calibri" w:hAnsi="Calibri"/>
                <w:sz w:val="20"/>
                <w:szCs w:val="20"/>
                <w:lang w:eastAsia="en-US"/>
              </w:rPr>
            </w:pPr>
            <w:r w:rsidRPr="00D578E2">
              <w:rPr>
                <w:rFonts w:ascii="Calibri" w:eastAsia="Calibri" w:hAnsi="Calibri"/>
                <w:sz w:val="20"/>
                <w:szCs w:val="20"/>
                <w:lang w:eastAsia="en-US"/>
              </w:rPr>
              <w:t xml:space="preserve">MAS Tokaj- Rovina, o.z. </w:t>
            </w:r>
          </w:p>
        </w:tc>
        <w:tc>
          <w:tcPr>
            <w:tcW w:w="4929" w:type="dxa"/>
            <w:shd w:val="clear" w:color="auto" w:fill="auto"/>
          </w:tcPr>
          <w:p w:rsidR="00BB33FC" w:rsidRPr="00D578E2" w:rsidRDefault="00BB33FC" w:rsidP="006C7E72">
            <w:pPr>
              <w:tabs>
                <w:tab w:val="left" w:pos="5020"/>
              </w:tabs>
              <w:rPr>
                <w:rFonts w:ascii="Calibri" w:eastAsia="Calibri" w:hAnsi="Calibri"/>
                <w:sz w:val="20"/>
                <w:szCs w:val="20"/>
                <w:lang w:eastAsia="en-US"/>
              </w:rPr>
            </w:pPr>
            <w:r w:rsidRPr="00D578E2">
              <w:rPr>
                <w:rFonts w:ascii="Calibri" w:eastAsia="Calibri" w:hAnsi="Calibri"/>
                <w:sz w:val="20"/>
                <w:szCs w:val="20"/>
                <w:lang w:eastAsia="en-US"/>
              </w:rPr>
              <w:t xml:space="preserve">MAS pozostáva z 21 obcí, ktoré už od minulosti intenzívne spolupracujú a to nielen z hľadiska teritoriálneho, prírodného, ale aj kultúrno – spoločenského a sociálneho. </w:t>
            </w:r>
          </w:p>
        </w:tc>
      </w:tr>
      <w:tr w:rsidR="00BB33FC" w:rsidRPr="00D578E2" w:rsidTr="00D578E2">
        <w:trPr>
          <w:trHeight w:val="145"/>
        </w:trPr>
        <w:tc>
          <w:tcPr>
            <w:tcW w:w="4219" w:type="dxa"/>
            <w:shd w:val="clear" w:color="auto" w:fill="auto"/>
          </w:tcPr>
          <w:p w:rsidR="00BB33FC" w:rsidRPr="00D578E2" w:rsidRDefault="00BB33FC" w:rsidP="006C7E72">
            <w:pPr>
              <w:tabs>
                <w:tab w:val="left" w:pos="5020"/>
              </w:tabs>
              <w:rPr>
                <w:rFonts w:ascii="Calibri" w:eastAsia="Calibri" w:hAnsi="Calibri"/>
                <w:sz w:val="20"/>
                <w:szCs w:val="20"/>
                <w:lang w:eastAsia="en-US"/>
              </w:rPr>
            </w:pPr>
            <w:r w:rsidRPr="00D578E2">
              <w:rPr>
                <w:rFonts w:ascii="Calibri" w:eastAsia="Calibri" w:hAnsi="Calibri"/>
                <w:sz w:val="20"/>
                <w:szCs w:val="20"/>
                <w:lang w:eastAsia="en-US"/>
              </w:rPr>
              <w:t>Národná sieť slovenských MAS</w:t>
            </w:r>
          </w:p>
        </w:tc>
        <w:tc>
          <w:tcPr>
            <w:tcW w:w="4929" w:type="dxa"/>
            <w:shd w:val="clear" w:color="auto" w:fill="auto"/>
          </w:tcPr>
          <w:p w:rsidR="00BB33FC" w:rsidRPr="00D578E2" w:rsidRDefault="00BB33FC" w:rsidP="006C7E72">
            <w:pPr>
              <w:tabs>
                <w:tab w:val="left" w:pos="5020"/>
              </w:tabs>
              <w:rPr>
                <w:rFonts w:ascii="Calibri" w:eastAsia="Calibri" w:hAnsi="Calibri"/>
                <w:sz w:val="20"/>
                <w:szCs w:val="20"/>
                <w:lang w:eastAsia="en-US"/>
              </w:rPr>
            </w:pPr>
            <w:r w:rsidRPr="00D578E2">
              <w:rPr>
                <w:rFonts w:ascii="Calibri" w:eastAsia="Calibri" w:hAnsi="Calibri"/>
                <w:sz w:val="20"/>
                <w:szCs w:val="20"/>
                <w:lang w:eastAsia="en-US"/>
              </w:rPr>
              <w:t xml:space="preserve">Poslaním NSS MAS je predovšetkým združovať miestne akčné skupiny a verejno-súkromné partnerstvá  pracujúce na princípoch prístupu LEADER a odborníkov pôsobiacich v oblasti regionálneho rozvoja. </w:t>
            </w:r>
          </w:p>
        </w:tc>
      </w:tr>
      <w:tr w:rsidR="00BB33FC" w:rsidRPr="00D578E2" w:rsidTr="00D578E2">
        <w:trPr>
          <w:trHeight w:val="145"/>
        </w:trPr>
        <w:tc>
          <w:tcPr>
            <w:tcW w:w="4219" w:type="dxa"/>
            <w:shd w:val="clear" w:color="auto" w:fill="auto"/>
          </w:tcPr>
          <w:p w:rsidR="00BB33FC" w:rsidRPr="00D578E2" w:rsidRDefault="00BB33FC" w:rsidP="006C7E72">
            <w:pPr>
              <w:tabs>
                <w:tab w:val="left" w:pos="5020"/>
              </w:tabs>
              <w:rPr>
                <w:rFonts w:ascii="Calibri" w:eastAsia="Calibri" w:hAnsi="Calibri"/>
                <w:sz w:val="20"/>
                <w:szCs w:val="20"/>
                <w:lang w:eastAsia="en-US"/>
              </w:rPr>
            </w:pPr>
            <w:r w:rsidRPr="00D578E2">
              <w:rPr>
                <w:rFonts w:ascii="Calibri" w:eastAsia="Calibri" w:hAnsi="Calibri"/>
                <w:sz w:val="20"/>
                <w:szCs w:val="20"/>
                <w:lang w:eastAsia="en-US"/>
              </w:rPr>
              <w:t>Rada združení vlastníkov neštátnych lesov Slovenska</w:t>
            </w:r>
          </w:p>
        </w:tc>
        <w:tc>
          <w:tcPr>
            <w:tcW w:w="4929" w:type="dxa"/>
            <w:shd w:val="clear" w:color="auto" w:fill="auto"/>
          </w:tcPr>
          <w:p w:rsidR="00BB33FC" w:rsidRPr="00D578E2" w:rsidRDefault="00BB33FC" w:rsidP="006C7E72">
            <w:pPr>
              <w:tabs>
                <w:tab w:val="left" w:pos="5020"/>
              </w:tabs>
              <w:rPr>
                <w:rFonts w:ascii="Calibri" w:eastAsia="Calibri" w:hAnsi="Calibri"/>
                <w:sz w:val="20"/>
                <w:szCs w:val="20"/>
                <w:lang w:eastAsia="en-US"/>
              </w:rPr>
            </w:pPr>
            <w:r w:rsidRPr="00D578E2">
              <w:rPr>
                <w:rFonts w:ascii="Calibri" w:eastAsia="Calibri" w:hAnsi="Calibri"/>
                <w:sz w:val="20"/>
                <w:szCs w:val="20"/>
                <w:lang w:eastAsia="en-US"/>
              </w:rPr>
              <w:t>Rada združení vlastníkov neštátnych lesov Slovenska je reprezentatívnym orgánom zastupujúcim záujmy vlastníkov súkromných, obecných a cirkevných lesov v SR.</w:t>
            </w:r>
          </w:p>
        </w:tc>
      </w:tr>
      <w:tr w:rsidR="00BB33FC" w:rsidRPr="00D578E2" w:rsidTr="00D578E2">
        <w:trPr>
          <w:trHeight w:val="145"/>
        </w:trPr>
        <w:tc>
          <w:tcPr>
            <w:tcW w:w="4219" w:type="dxa"/>
            <w:shd w:val="clear" w:color="auto" w:fill="auto"/>
          </w:tcPr>
          <w:p w:rsidR="00BB33FC" w:rsidRPr="00D578E2" w:rsidRDefault="00BB33FC" w:rsidP="006C7E72">
            <w:pPr>
              <w:tabs>
                <w:tab w:val="left" w:pos="5020"/>
              </w:tabs>
              <w:rPr>
                <w:rFonts w:ascii="Calibri" w:eastAsia="Calibri" w:hAnsi="Calibri"/>
                <w:sz w:val="20"/>
                <w:szCs w:val="20"/>
                <w:lang w:eastAsia="en-US"/>
              </w:rPr>
            </w:pPr>
            <w:r w:rsidRPr="00D578E2">
              <w:rPr>
                <w:rFonts w:ascii="Calibri" w:eastAsia="Calibri" w:hAnsi="Calibri"/>
                <w:sz w:val="20"/>
                <w:szCs w:val="20"/>
                <w:lang w:eastAsia="en-US"/>
              </w:rPr>
              <w:t>Slovenská lesnícka komora</w:t>
            </w:r>
          </w:p>
        </w:tc>
        <w:tc>
          <w:tcPr>
            <w:tcW w:w="4929" w:type="dxa"/>
            <w:shd w:val="clear" w:color="auto" w:fill="auto"/>
          </w:tcPr>
          <w:p w:rsidR="00BB33FC" w:rsidRPr="00D578E2" w:rsidRDefault="00BB33FC" w:rsidP="006C7E72">
            <w:pPr>
              <w:tabs>
                <w:tab w:val="left" w:pos="5020"/>
              </w:tabs>
              <w:rPr>
                <w:rFonts w:ascii="Calibri" w:eastAsia="Calibri" w:hAnsi="Calibri"/>
                <w:sz w:val="20"/>
                <w:szCs w:val="20"/>
                <w:lang w:eastAsia="en-US"/>
              </w:rPr>
            </w:pPr>
            <w:r w:rsidRPr="00D578E2">
              <w:rPr>
                <w:rFonts w:ascii="Calibri" w:eastAsia="Calibri" w:hAnsi="Calibri"/>
                <w:sz w:val="20"/>
                <w:szCs w:val="20"/>
                <w:lang w:eastAsia="en-US"/>
              </w:rPr>
              <w:t>Komora presadzuje a obhajuje oprávnené, profesijné, sociálne a hospodárske záujmy svojich členov. Pri plnení tohto poslania komora vstupuje do právnych vzťahov so štátnymi orgánmi, orgánmi samospráv a inými právnickými a fyzickými osobami.</w:t>
            </w:r>
          </w:p>
        </w:tc>
      </w:tr>
      <w:tr w:rsidR="00BB33FC" w:rsidRPr="00D578E2" w:rsidTr="00D578E2">
        <w:trPr>
          <w:trHeight w:val="145"/>
        </w:trPr>
        <w:tc>
          <w:tcPr>
            <w:tcW w:w="4219" w:type="dxa"/>
            <w:shd w:val="clear" w:color="auto" w:fill="auto"/>
          </w:tcPr>
          <w:p w:rsidR="00BB33FC" w:rsidRPr="00D578E2" w:rsidRDefault="00BB33FC" w:rsidP="006C7E72">
            <w:pPr>
              <w:tabs>
                <w:tab w:val="left" w:pos="5020"/>
              </w:tabs>
              <w:rPr>
                <w:rFonts w:ascii="Calibri" w:eastAsia="Calibri" w:hAnsi="Calibri"/>
                <w:sz w:val="20"/>
                <w:szCs w:val="20"/>
                <w:lang w:eastAsia="en-US"/>
              </w:rPr>
            </w:pPr>
            <w:r w:rsidRPr="00D578E2">
              <w:rPr>
                <w:rFonts w:ascii="Calibri" w:eastAsia="Calibri" w:hAnsi="Calibri"/>
                <w:sz w:val="20"/>
                <w:szCs w:val="20"/>
                <w:lang w:eastAsia="en-US"/>
              </w:rPr>
              <w:t>Agro-eko fórum</w:t>
            </w:r>
          </w:p>
        </w:tc>
        <w:tc>
          <w:tcPr>
            <w:tcW w:w="4929" w:type="dxa"/>
            <w:shd w:val="clear" w:color="auto" w:fill="auto"/>
          </w:tcPr>
          <w:p w:rsidR="00BB33FC" w:rsidRPr="00D578E2" w:rsidRDefault="00BB33FC" w:rsidP="006C7E72">
            <w:pPr>
              <w:tabs>
                <w:tab w:val="left" w:pos="5020"/>
              </w:tabs>
              <w:rPr>
                <w:rFonts w:ascii="Calibri" w:eastAsia="Calibri" w:hAnsi="Calibri"/>
                <w:sz w:val="20"/>
                <w:szCs w:val="20"/>
                <w:lang w:eastAsia="en-US"/>
              </w:rPr>
            </w:pPr>
            <w:r w:rsidRPr="00D578E2">
              <w:rPr>
                <w:rFonts w:ascii="Calibri" w:eastAsia="Calibri" w:hAnsi="Calibri"/>
                <w:sz w:val="20"/>
                <w:szCs w:val="20"/>
                <w:lang w:eastAsia="en-US"/>
              </w:rPr>
              <w:t>Agro-ekofórum (AEF) vzniklo ako platforma dvanástich slovenských mimovládnych organizácií, ktoré sa zaoberajú rôznymi problémami v oblasti poľnohospodárstva a lesníctva.</w:t>
            </w:r>
          </w:p>
          <w:p w:rsidR="00BB33FC" w:rsidRPr="00D578E2" w:rsidRDefault="00BB33FC" w:rsidP="006C7E72">
            <w:pPr>
              <w:tabs>
                <w:tab w:val="left" w:pos="5020"/>
              </w:tabs>
              <w:rPr>
                <w:rFonts w:ascii="Calibri" w:eastAsia="Calibri" w:hAnsi="Calibri"/>
                <w:sz w:val="20"/>
                <w:szCs w:val="20"/>
                <w:lang w:eastAsia="en-US"/>
              </w:rPr>
            </w:pPr>
            <w:r w:rsidRPr="00D578E2">
              <w:rPr>
                <w:rFonts w:ascii="Calibri" w:eastAsia="Calibri" w:hAnsi="Calibri"/>
                <w:sz w:val="20"/>
                <w:szCs w:val="20"/>
                <w:lang w:eastAsia="en-US"/>
              </w:rPr>
              <w:t xml:space="preserve"> Hlavným poslaním AEF je presadzovať zásady trvalo udržateľného poľnohospodárstva a lesníctva na politickej úrovni aj v praxi. </w:t>
            </w:r>
          </w:p>
        </w:tc>
      </w:tr>
      <w:tr w:rsidR="00BB33FC" w:rsidRPr="00D578E2" w:rsidTr="00D578E2">
        <w:trPr>
          <w:trHeight w:val="145"/>
        </w:trPr>
        <w:tc>
          <w:tcPr>
            <w:tcW w:w="4219" w:type="dxa"/>
            <w:shd w:val="clear" w:color="auto" w:fill="auto"/>
          </w:tcPr>
          <w:p w:rsidR="00BB33FC" w:rsidRPr="00D578E2" w:rsidRDefault="00BB33FC" w:rsidP="006C7E72">
            <w:pPr>
              <w:tabs>
                <w:tab w:val="left" w:pos="5020"/>
              </w:tabs>
              <w:rPr>
                <w:rFonts w:ascii="Calibri" w:eastAsia="Calibri" w:hAnsi="Calibri"/>
                <w:sz w:val="20"/>
                <w:szCs w:val="20"/>
                <w:lang w:eastAsia="en-US"/>
              </w:rPr>
            </w:pPr>
            <w:r w:rsidRPr="00D578E2">
              <w:rPr>
                <w:rFonts w:ascii="Calibri" w:eastAsia="Calibri" w:hAnsi="Calibri"/>
                <w:sz w:val="20"/>
                <w:szCs w:val="20"/>
                <w:lang w:eastAsia="en-US"/>
              </w:rPr>
              <w:t>Slovenská poľnohospodárska univerzita</w:t>
            </w:r>
          </w:p>
        </w:tc>
        <w:tc>
          <w:tcPr>
            <w:tcW w:w="4929" w:type="dxa"/>
            <w:shd w:val="clear" w:color="auto" w:fill="auto"/>
          </w:tcPr>
          <w:p w:rsidR="00BB33FC" w:rsidRPr="00D578E2" w:rsidRDefault="00BB33FC" w:rsidP="006C7E72">
            <w:pPr>
              <w:tabs>
                <w:tab w:val="left" w:pos="5020"/>
              </w:tabs>
              <w:rPr>
                <w:rFonts w:ascii="Calibri" w:eastAsia="Calibri" w:hAnsi="Calibri"/>
                <w:sz w:val="20"/>
                <w:szCs w:val="20"/>
                <w:lang w:eastAsia="en-US"/>
              </w:rPr>
            </w:pPr>
            <w:r w:rsidRPr="00D578E2">
              <w:rPr>
                <w:rFonts w:ascii="Calibri" w:eastAsia="Calibri" w:hAnsi="Calibri"/>
                <w:sz w:val="20"/>
                <w:szCs w:val="20"/>
                <w:lang w:eastAsia="en-US"/>
              </w:rPr>
              <w:t>Poskytovanie pedagogickej a vedeckovýskumnej činnosti v oblasti poľnohospodárstva.</w:t>
            </w:r>
          </w:p>
        </w:tc>
      </w:tr>
      <w:tr w:rsidR="00BB33FC" w:rsidRPr="00D578E2" w:rsidTr="00D578E2">
        <w:trPr>
          <w:trHeight w:val="543"/>
        </w:trPr>
        <w:tc>
          <w:tcPr>
            <w:tcW w:w="4219" w:type="dxa"/>
            <w:shd w:val="clear" w:color="auto" w:fill="auto"/>
          </w:tcPr>
          <w:p w:rsidR="00BB33FC" w:rsidRPr="00D578E2" w:rsidRDefault="00BB33FC" w:rsidP="006C7E72">
            <w:pPr>
              <w:tabs>
                <w:tab w:val="left" w:pos="5020"/>
              </w:tabs>
              <w:rPr>
                <w:rFonts w:ascii="Calibri" w:eastAsia="Calibri" w:hAnsi="Calibri"/>
                <w:sz w:val="20"/>
                <w:szCs w:val="20"/>
                <w:lang w:eastAsia="en-US"/>
              </w:rPr>
            </w:pPr>
            <w:r w:rsidRPr="00D578E2">
              <w:rPr>
                <w:rFonts w:ascii="Calibri" w:eastAsia="Calibri" w:hAnsi="Calibri"/>
                <w:sz w:val="20"/>
                <w:szCs w:val="20"/>
                <w:lang w:eastAsia="en-US"/>
              </w:rPr>
              <w:t> Národné poľnohospodárske a potravinárske centrum</w:t>
            </w:r>
          </w:p>
        </w:tc>
        <w:tc>
          <w:tcPr>
            <w:tcW w:w="4929" w:type="dxa"/>
            <w:shd w:val="clear" w:color="auto" w:fill="auto"/>
          </w:tcPr>
          <w:p w:rsidR="00BB33FC" w:rsidRPr="00D578E2" w:rsidRDefault="00BB33FC" w:rsidP="006C7E72">
            <w:pPr>
              <w:tabs>
                <w:tab w:val="left" w:pos="5020"/>
              </w:tabs>
              <w:rPr>
                <w:rFonts w:ascii="Calibri" w:eastAsia="Calibri" w:hAnsi="Calibri"/>
                <w:sz w:val="20"/>
                <w:szCs w:val="20"/>
                <w:lang w:eastAsia="en-US"/>
              </w:rPr>
            </w:pPr>
            <w:r w:rsidRPr="00D578E2">
              <w:rPr>
                <w:rFonts w:ascii="Calibri" w:eastAsia="Calibri" w:hAnsi="Calibri"/>
                <w:sz w:val="20"/>
                <w:szCs w:val="20"/>
                <w:lang w:eastAsia="en-US"/>
              </w:rPr>
              <w:t>Centrum zabezpečuje komplexný výskum a zhromažďovanie poznatkov z oblasti trvalo udržateľného využívania a ochrany prírodných, predovšetkým pôdnych zdrojov a vody pre pestovanie rastlín a chov zvierat, zabezpečenia kvality, bezpečnosti, inovácií a  konkurencieschopnosti potravín</w:t>
            </w:r>
            <w:r w:rsidRPr="00D578E2">
              <w:rPr>
                <w:rFonts w:ascii="Calibri" w:eastAsia="Calibri" w:hAnsi="Calibri"/>
                <w:sz w:val="20"/>
                <w:szCs w:val="20"/>
                <w:lang w:eastAsia="en-US"/>
              </w:rPr>
              <w:lastRenderedPageBreak/>
              <w:t xml:space="preserve"> i nepotravinárskych výrobkov poľnohospodárskeho pôvodu, produkčného i mimoprodukčného vplyvu poľnohospodárstva na životné prostredie a rozvoj vidieka a transfer poznatkov poľnohospodárskeho výskumu užívateľom. </w:t>
            </w:r>
          </w:p>
        </w:tc>
      </w:tr>
      <w:tr w:rsidR="00BB33FC" w:rsidRPr="00D578E2" w:rsidTr="00D578E2">
        <w:trPr>
          <w:trHeight w:val="145"/>
        </w:trPr>
        <w:tc>
          <w:tcPr>
            <w:tcW w:w="4219" w:type="dxa"/>
            <w:shd w:val="clear" w:color="auto" w:fill="auto"/>
          </w:tcPr>
          <w:p w:rsidR="00BB33FC" w:rsidRPr="00D578E2" w:rsidRDefault="00BB33FC" w:rsidP="006C7E72">
            <w:pPr>
              <w:tabs>
                <w:tab w:val="left" w:pos="5020"/>
              </w:tabs>
              <w:rPr>
                <w:rFonts w:ascii="Calibri" w:eastAsia="Calibri" w:hAnsi="Calibri"/>
                <w:sz w:val="20"/>
                <w:szCs w:val="20"/>
                <w:lang w:eastAsia="en-US"/>
              </w:rPr>
            </w:pPr>
            <w:r w:rsidRPr="00D578E2">
              <w:rPr>
                <w:rFonts w:ascii="Calibri" w:eastAsia="Calibri" w:hAnsi="Calibri"/>
                <w:sz w:val="20"/>
                <w:szCs w:val="20"/>
                <w:lang w:eastAsia="en-US"/>
              </w:rPr>
              <w:t>Agentúra pre rozvoj vidieka</w:t>
            </w:r>
          </w:p>
        </w:tc>
        <w:tc>
          <w:tcPr>
            <w:tcW w:w="4929" w:type="dxa"/>
            <w:shd w:val="clear" w:color="auto" w:fill="auto"/>
          </w:tcPr>
          <w:p w:rsidR="00BB33FC" w:rsidRPr="00D578E2" w:rsidRDefault="00BB33FC" w:rsidP="006C7E72">
            <w:pPr>
              <w:tabs>
                <w:tab w:val="left" w:pos="5020"/>
              </w:tabs>
              <w:rPr>
                <w:rFonts w:ascii="Calibri" w:eastAsia="Calibri" w:hAnsi="Calibri"/>
                <w:sz w:val="20"/>
                <w:szCs w:val="20"/>
                <w:lang w:eastAsia="en-US"/>
              </w:rPr>
            </w:pPr>
            <w:r w:rsidRPr="00D578E2">
              <w:rPr>
                <w:rFonts w:ascii="Calibri" w:eastAsia="Calibri" w:hAnsi="Calibri"/>
                <w:sz w:val="20"/>
                <w:szCs w:val="20"/>
                <w:lang w:eastAsia="en-US"/>
              </w:rPr>
              <w:t>Poslaním Agentúry pre rozvoj vidieka je zhromažďovať, analyzovať a šíriť informácie v oblasti rozvoja vidieka, zabezpečovať spätnú väzbu zodpovedným orgánom vo vzťahu k rozvoju vidieka, podporovať aktivity trvalo udržateľného, vyváženého sociálno-ekonomického rozvoja vidieckych sídiel, poskytovať poradenstvo potenciálnym a existujúcim podnikateľským subjektom, verejnému a neziskovému sektoru na vidieku k ich činnosti zameranej na rozvoj vidieka.</w:t>
            </w:r>
          </w:p>
        </w:tc>
      </w:tr>
      <w:tr w:rsidR="00BB33FC" w:rsidRPr="00D578E2" w:rsidTr="00D578E2">
        <w:trPr>
          <w:trHeight w:val="145"/>
        </w:trPr>
        <w:tc>
          <w:tcPr>
            <w:tcW w:w="4219" w:type="dxa"/>
            <w:shd w:val="clear" w:color="auto" w:fill="auto"/>
          </w:tcPr>
          <w:p w:rsidR="00BB33FC" w:rsidRPr="00D578E2" w:rsidRDefault="00BB33FC" w:rsidP="006C7E72">
            <w:pPr>
              <w:tabs>
                <w:tab w:val="left" w:pos="5020"/>
              </w:tabs>
              <w:rPr>
                <w:rFonts w:ascii="Calibri" w:eastAsia="Calibri" w:hAnsi="Calibri"/>
                <w:sz w:val="20"/>
                <w:szCs w:val="20"/>
                <w:lang w:eastAsia="en-US"/>
              </w:rPr>
            </w:pPr>
            <w:r w:rsidRPr="00D578E2">
              <w:rPr>
                <w:rFonts w:ascii="Calibri" w:eastAsia="Calibri" w:hAnsi="Calibri"/>
                <w:sz w:val="20"/>
                <w:szCs w:val="20"/>
                <w:lang w:eastAsia="en-US"/>
              </w:rPr>
              <w:t>Národné lesnícke centrum</w:t>
            </w:r>
          </w:p>
        </w:tc>
        <w:tc>
          <w:tcPr>
            <w:tcW w:w="4929" w:type="dxa"/>
            <w:shd w:val="clear" w:color="auto" w:fill="auto"/>
          </w:tcPr>
          <w:p w:rsidR="00BB33FC" w:rsidRPr="00D578E2" w:rsidRDefault="00BB33FC" w:rsidP="006C7E72">
            <w:pPr>
              <w:tabs>
                <w:tab w:val="left" w:pos="5020"/>
              </w:tabs>
              <w:rPr>
                <w:rFonts w:ascii="Calibri" w:eastAsia="Calibri" w:hAnsi="Calibri"/>
                <w:sz w:val="20"/>
                <w:szCs w:val="20"/>
                <w:lang w:eastAsia="en-US"/>
              </w:rPr>
            </w:pPr>
            <w:r w:rsidRPr="00D578E2">
              <w:rPr>
                <w:rFonts w:ascii="Calibri" w:eastAsia="Calibri" w:hAnsi="Calibri"/>
                <w:sz w:val="20"/>
                <w:szCs w:val="20"/>
                <w:lang w:eastAsia="en-US"/>
              </w:rPr>
              <w:t>Zabezpečuje výskum a vývoj vo všetkých oblastiach lesníctva a príbuzných odvetviach, vykonáva funkciu koordinačného pracoviska pre výskumné a vývojové úlohy v LH.</w:t>
            </w:r>
          </w:p>
        </w:tc>
      </w:tr>
    </w:tbl>
    <w:p w:rsidR="00BB33FC" w:rsidRPr="00BB33FC" w:rsidRDefault="00BB33FC" w:rsidP="006C7E72">
      <w:pPr>
        <w:rPr>
          <w:rFonts w:ascii="Calibri" w:eastAsia="Calibri" w:hAnsi="Calibri"/>
          <w:b/>
          <w:szCs w:val="22"/>
          <w:u w:val="single"/>
          <w:lang w:eastAsia="en-US"/>
        </w:rPr>
      </w:pPr>
    </w:p>
    <w:p w:rsidR="008676F9" w:rsidRPr="008676F9" w:rsidRDefault="00BB33FC" w:rsidP="006C7E72">
      <w:pPr>
        <w:autoSpaceDE w:val="0"/>
        <w:autoSpaceDN w:val="0"/>
        <w:adjustRightInd w:val="0"/>
        <w:rPr>
          <w:rFonts w:ascii="Calibri" w:eastAsia="Calibri" w:hAnsi="Calibri" w:cs="TimesNewRoman,Bold"/>
          <w:b/>
          <w:bCs/>
          <w:szCs w:val="22"/>
          <w:lang w:eastAsia="en-US"/>
        </w:rPr>
      </w:pPr>
      <w:r>
        <w:rPr>
          <w:rFonts w:ascii="Calibri" w:eastAsia="Calibri" w:hAnsi="Calibri" w:cs="TimesNewRoman,Bold"/>
          <w:b/>
          <w:bCs/>
          <w:szCs w:val="22"/>
          <w:lang w:eastAsia="en-US"/>
        </w:rPr>
        <w:br w:type="page"/>
      </w:r>
    </w:p>
    <w:p w:rsidR="006C75BE" w:rsidRPr="006C75BE" w:rsidRDefault="006C75BE" w:rsidP="006C75BE">
      <w:pPr>
        <w:keepNext/>
        <w:keepLines/>
        <w:outlineLvl w:val="2"/>
        <w:rPr>
          <w:rFonts w:ascii="Calibri" w:hAnsi="Calibri"/>
          <w:b/>
          <w:bCs/>
          <w:szCs w:val="22"/>
          <w:lang w:eastAsia="en-US"/>
        </w:rPr>
      </w:pPr>
    </w:p>
    <w:p w:rsidR="00BB33FC" w:rsidRDefault="00BB33FC" w:rsidP="00366F96">
      <w:pPr>
        <w:pStyle w:val="Hlavn"/>
      </w:pPr>
      <w:bookmarkStart w:id="187" w:name="_Toc387041370"/>
      <w:r w:rsidRPr="00BB33FC">
        <w:t>17. NÁRODNÁ SIEŤ ROZVOJA VIDIEKA</w:t>
      </w:r>
      <w:bookmarkEnd w:id="187"/>
    </w:p>
    <w:p w:rsidR="00D95CA5" w:rsidRPr="00BB33FC" w:rsidRDefault="00D95CA5" w:rsidP="00366F96">
      <w:pPr>
        <w:pStyle w:val="Hlavn"/>
      </w:pPr>
    </w:p>
    <w:p w:rsidR="00BB33FC" w:rsidRPr="00BB33FC" w:rsidRDefault="00BB33FC" w:rsidP="00AA30CA">
      <w:pPr>
        <w:pStyle w:val="Pod"/>
        <w:rPr>
          <w:rFonts w:eastAsia="Calibri"/>
          <w:lang w:eastAsia="en-US"/>
        </w:rPr>
      </w:pPr>
      <w:bookmarkStart w:id="188" w:name="_Toc384111103"/>
      <w:bookmarkStart w:id="189" w:name="_Toc387041371"/>
      <w:r w:rsidRPr="00BB33FC">
        <w:rPr>
          <w:rFonts w:eastAsia="Calibri" w:cs="Calibri"/>
          <w:lang w:eastAsia="en-US"/>
        </w:rPr>
        <w:t>17.1</w:t>
      </w:r>
      <w:r w:rsidR="00AA30CA">
        <w:rPr>
          <w:rFonts w:eastAsia="Calibri" w:cs="Calibri"/>
          <w:lang w:eastAsia="en-US"/>
        </w:rPr>
        <w:t>.</w:t>
      </w:r>
      <w:r w:rsidRPr="00BB33FC">
        <w:rPr>
          <w:rFonts w:eastAsia="Calibri" w:cs="Calibri"/>
          <w:lang w:eastAsia="en-US"/>
        </w:rPr>
        <w:t xml:space="preserve"> </w:t>
      </w:r>
      <w:r w:rsidRPr="00BB33FC">
        <w:rPr>
          <w:rFonts w:eastAsia="Calibri"/>
          <w:lang w:eastAsia="en-US"/>
        </w:rPr>
        <w:t>Postup a časový harmonogram  pre zriadenie národnej siete rozvoja vidieka</w:t>
      </w:r>
      <w:bookmarkEnd w:id="188"/>
      <w:bookmarkEnd w:id="189"/>
      <w:r w:rsidRPr="00BB33FC">
        <w:rPr>
          <w:rFonts w:eastAsia="Calibri"/>
          <w:lang w:eastAsia="en-US"/>
        </w:rPr>
        <w:t xml:space="preserve"> </w:t>
      </w:r>
    </w:p>
    <w:p w:rsidR="00BB33FC" w:rsidRPr="00BB33FC" w:rsidRDefault="00BB33FC" w:rsidP="00BB33FC">
      <w:pPr>
        <w:spacing w:after="120"/>
        <w:rPr>
          <w:rFonts w:ascii="Calibri" w:eastAsia="Calibri" w:hAnsi="Calibri"/>
          <w:szCs w:val="22"/>
          <w:lang w:eastAsia="en-US"/>
        </w:rPr>
      </w:pPr>
      <w:r w:rsidRPr="00BB33FC">
        <w:rPr>
          <w:rFonts w:ascii="Calibri" w:eastAsia="Calibri" w:hAnsi="Calibri"/>
          <w:szCs w:val="22"/>
          <w:lang w:eastAsia="en-US"/>
        </w:rPr>
        <w:t xml:space="preserve">Súčasťou PRV SR 2014 – 2020  je zriadenie a prevádzka národnej siete rozvoja vidieka (NSRV) financovanej z technickej pomoci programu. </w:t>
      </w:r>
      <w:r w:rsidRPr="00BB33FC">
        <w:rPr>
          <w:rFonts w:ascii="Calibri" w:eastAsia="Calibri" w:hAnsi="Calibri"/>
          <w:bCs/>
          <w:szCs w:val="22"/>
          <w:lang w:eastAsia="en-US"/>
        </w:rPr>
        <w:t xml:space="preserve">V období 2007 – 2013 túto funkciu vykonávala Agentúra pre rozvoj vidieka ako </w:t>
      </w:r>
      <w:r w:rsidRPr="00BB33FC">
        <w:rPr>
          <w:rFonts w:ascii="Calibri" w:eastAsia="Calibri" w:hAnsi="Calibri"/>
          <w:szCs w:val="22"/>
          <w:lang w:eastAsia="en-US"/>
        </w:rPr>
        <w:t>jednotka NSRV so sídlom v Nitre (hostiteľský orgán). Regionálne pracoviská NSRV pôsobili v 7 regiónoch SR – v nitrianskom, trenčianskom, banskobystrickom, žilinskom, prešovskom, košickom a pre trnavský a bratislavský región</w:t>
      </w:r>
      <w:r w:rsidR="00A37B18">
        <w:rPr>
          <w:rFonts w:ascii="Calibri" w:eastAsia="Calibri" w:hAnsi="Calibri"/>
          <w:szCs w:val="22"/>
          <w:lang w:eastAsia="en-US"/>
        </w:rPr>
        <w:t xml:space="preserve"> bolo zriadené spoločné pracovi</w:t>
      </w:r>
      <w:r w:rsidR="006B60DF">
        <w:rPr>
          <w:rFonts w:ascii="Calibri" w:eastAsia="Calibri" w:hAnsi="Calibri"/>
          <w:szCs w:val="22"/>
          <w:lang w:eastAsia="en-US"/>
        </w:rPr>
        <w:t>s</w:t>
      </w:r>
      <w:r w:rsidR="00A37B18">
        <w:rPr>
          <w:rFonts w:ascii="Calibri" w:eastAsia="Calibri" w:hAnsi="Calibri"/>
          <w:szCs w:val="22"/>
          <w:lang w:eastAsia="en-US"/>
        </w:rPr>
        <w:t>ko</w:t>
      </w:r>
      <w:r w:rsidRPr="00BB33FC">
        <w:rPr>
          <w:rFonts w:ascii="Calibri" w:eastAsia="Calibri" w:hAnsi="Calibri"/>
          <w:szCs w:val="22"/>
          <w:lang w:eastAsia="en-US"/>
        </w:rPr>
        <w:t xml:space="preserve">. Regionálne pracoviská začali svoju činnosť 1. 4. 2009. </w:t>
      </w:r>
    </w:p>
    <w:p w:rsidR="00BB33FC" w:rsidRPr="00BB33FC" w:rsidRDefault="00BB33FC" w:rsidP="00BB33FC">
      <w:pPr>
        <w:autoSpaceDE w:val="0"/>
        <w:autoSpaceDN w:val="0"/>
        <w:adjustRightInd w:val="0"/>
        <w:spacing w:after="120"/>
        <w:rPr>
          <w:rFonts w:ascii="Calibri" w:eastAsia="Calibri" w:hAnsi="Calibri"/>
          <w:szCs w:val="22"/>
          <w:lang w:eastAsia="en-US"/>
        </w:rPr>
      </w:pPr>
      <w:r w:rsidRPr="00BB33FC">
        <w:rPr>
          <w:rFonts w:ascii="Calibri" w:eastAsia="Calibri" w:hAnsi="Calibri"/>
          <w:szCs w:val="22"/>
          <w:lang w:eastAsia="en-US"/>
        </w:rPr>
        <w:t>Každý členský štát vytvorí národnú vidiecku sieť v rámci technickej pomoci PRV do 12 mesiacov od schválenia programu rozvoja vidieka.</w:t>
      </w:r>
      <w:r w:rsidRPr="00BB33FC">
        <w:rPr>
          <w:rFonts w:ascii="Calibri" w:eastAsia="Calibri" w:hAnsi="Calibri"/>
          <w:bCs/>
          <w:szCs w:val="22"/>
          <w:lang w:eastAsia="en-US"/>
        </w:rPr>
        <w:t xml:space="preserve"> Riadiaci orgán pre PRV SR 2014-2020 určil ako centrálnu jednotku NSRV Agentúru pre rozvoj vidieka sídliacu v Nitre, ktorá je príspevkovou organizáciou MPRV SR. Okrem centrálnej jednotky bude úlohy NSRV vykonávať 8 decentralizovaných jednotiek siete NSRV/regionálne antény. Tieto budú vybrané riadiacim orgánom na základe predložených projektových zámerov v súlade s definovanými kritériami a princípmi uvedený</w:t>
      </w:r>
      <w:r w:rsidR="00A37B18">
        <w:rPr>
          <w:rFonts w:ascii="Calibri" w:eastAsia="Calibri" w:hAnsi="Calibri"/>
          <w:bCs/>
          <w:szCs w:val="22"/>
          <w:lang w:eastAsia="en-US"/>
        </w:rPr>
        <w:t>mi</w:t>
      </w:r>
      <w:r w:rsidRPr="00BB33FC">
        <w:rPr>
          <w:rFonts w:ascii="Calibri" w:eastAsia="Calibri" w:hAnsi="Calibri"/>
          <w:bCs/>
          <w:szCs w:val="22"/>
          <w:lang w:eastAsia="en-US"/>
        </w:rPr>
        <w:t xml:space="preserve"> vo výzve. </w:t>
      </w:r>
      <w:r w:rsidRPr="00BB33FC">
        <w:rPr>
          <w:rFonts w:ascii="Calibri" w:eastAsia="Calibri" w:hAnsi="Calibri"/>
          <w:szCs w:val="22"/>
          <w:lang w:eastAsia="en-US"/>
        </w:rPr>
        <w:t xml:space="preserve">Vybraté subjekty budú musieť okrem iného zabezpečiť kontinuitu činností NSRV z obdobia 2007 – 2013. Časový harmonogram bude podrobnejšie rozpísaný v príručke RO pre NSRV. V podmienkach SR bude centrálna jednotka NSRV podliehať koordinácii riadiaceho orgánu, čím sa zabezpečí účinnejšia spolupráca riadiaceho orgánu s centrálnou jednotkou a následne jednotlivými regionálnymi anténami.  </w:t>
      </w:r>
    </w:p>
    <w:p w:rsidR="00BB33FC" w:rsidRPr="00BB33FC" w:rsidRDefault="00BB33FC" w:rsidP="00BB33FC">
      <w:pPr>
        <w:rPr>
          <w:rFonts w:ascii="Calibri" w:eastAsia="Calibri" w:hAnsi="Calibri"/>
          <w:szCs w:val="22"/>
          <w:lang w:eastAsia="en-US"/>
        </w:rPr>
      </w:pPr>
      <w:r w:rsidRPr="00BB33FC">
        <w:rPr>
          <w:rFonts w:ascii="Calibri" w:eastAsia="Calibri" w:hAnsi="Calibri"/>
          <w:bCs/>
          <w:szCs w:val="22"/>
          <w:lang w:eastAsia="en-US"/>
        </w:rPr>
        <w:t xml:space="preserve">NSRV v období 2014 – 2020 bude spájať organizácie a správne orgány, ktoré sa podieľajú na rozvoji vidieka  za účelom správnej a plynulej implementácie Programu rozvoja vidieka SR 2014-2020 v zmysle čl. 55 nariadenia </w:t>
      </w:r>
      <w:r w:rsidR="00BC4D3C">
        <w:rPr>
          <w:rFonts w:ascii="Calibri" w:eastAsia="Calibri" w:hAnsi="Calibri"/>
          <w:bCs/>
          <w:szCs w:val="22"/>
          <w:lang w:eastAsia="en-US"/>
        </w:rPr>
        <w:t xml:space="preserve">(EÚ) č. 1305/2013 </w:t>
      </w:r>
      <w:r w:rsidRPr="00BB33FC">
        <w:rPr>
          <w:rFonts w:ascii="Calibri" w:eastAsia="Calibri" w:hAnsi="Calibri"/>
          <w:bCs/>
          <w:szCs w:val="22"/>
          <w:lang w:eastAsia="en-US"/>
        </w:rPr>
        <w:t>o</w:t>
      </w:r>
      <w:r w:rsidR="00BC4D3C">
        <w:rPr>
          <w:rFonts w:ascii="Calibri" w:eastAsia="Calibri" w:hAnsi="Calibri"/>
          <w:bCs/>
          <w:szCs w:val="22"/>
          <w:lang w:eastAsia="en-US"/>
        </w:rPr>
        <w:t xml:space="preserve"> podpore rozvoja vidieka z </w:t>
      </w:r>
      <w:r w:rsidRPr="00BB33FC">
        <w:rPr>
          <w:rFonts w:ascii="Calibri" w:eastAsia="Calibri" w:hAnsi="Calibri"/>
          <w:bCs/>
          <w:szCs w:val="22"/>
          <w:lang w:eastAsia="en-US"/>
        </w:rPr>
        <w:t>EPFRV a čl. 5 Princíp partnerstva a viacúrovňová správa nariadenia (EÚ) č. 1303/2013.</w:t>
      </w:r>
    </w:p>
    <w:p w:rsidR="00BB33FC" w:rsidRPr="00BB33FC" w:rsidRDefault="00BB33FC" w:rsidP="00AA30CA">
      <w:pPr>
        <w:pStyle w:val="Pod"/>
        <w:rPr>
          <w:rFonts w:eastAsia="Calibri"/>
          <w:lang w:eastAsia="en-US"/>
        </w:rPr>
      </w:pPr>
    </w:p>
    <w:p w:rsidR="00BB33FC" w:rsidRDefault="00BB33FC" w:rsidP="00D95CA5">
      <w:pPr>
        <w:pStyle w:val="Pod"/>
        <w:ind w:left="567" w:hanging="567"/>
        <w:rPr>
          <w:rFonts w:eastAsia="Calibri"/>
          <w:bCs/>
          <w:lang w:eastAsia="en-US"/>
        </w:rPr>
      </w:pPr>
      <w:bookmarkStart w:id="190" w:name="_Toc384111104"/>
      <w:bookmarkStart w:id="191" w:name="_Toc387041372"/>
      <w:r w:rsidRPr="00BB33FC">
        <w:rPr>
          <w:rFonts w:eastAsia="Calibri"/>
          <w:bCs/>
          <w:lang w:eastAsia="en-US"/>
        </w:rPr>
        <w:t>17.2</w:t>
      </w:r>
      <w:r w:rsidR="00AA30CA">
        <w:rPr>
          <w:rFonts w:eastAsia="Calibri"/>
          <w:bCs/>
          <w:lang w:eastAsia="en-US"/>
        </w:rPr>
        <w:t>.</w:t>
      </w:r>
      <w:r w:rsidRPr="00BB33FC">
        <w:rPr>
          <w:rFonts w:eastAsia="Calibri"/>
          <w:bCs/>
          <w:lang w:eastAsia="en-US"/>
        </w:rPr>
        <w:t xml:space="preserve"> Plánovaná organizačná štruktúra siete, typy organizácií a administrácií vrátane partnerov, ktorí budú zahrnutí a spôsob realizácie aktivít</w:t>
      </w:r>
      <w:bookmarkEnd w:id="190"/>
      <w:bookmarkEnd w:id="191"/>
    </w:p>
    <w:p w:rsidR="00D95CA5" w:rsidRPr="00BB33FC" w:rsidRDefault="00D95CA5" w:rsidP="00D95CA5">
      <w:pPr>
        <w:pStyle w:val="Pod"/>
        <w:ind w:left="567" w:hanging="567"/>
        <w:rPr>
          <w:rFonts w:eastAsia="Calibri"/>
          <w:bCs/>
          <w:lang w:eastAsia="en-US"/>
        </w:rPr>
      </w:pPr>
    </w:p>
    <w:p w:rsidR="00BB33FC" w:rsidRPr="00BB33FC" w:rsidRDefault="00BB33FC" w:rsidP="00BB33FC">
      <w:pPr>
        <w:autoSpaceDE w:val="0"/>
        <w:autoSpaceDN w:val="0"/>
        <w:adjustRightInd w:val="0"/>
        <w:ind w:left="426" w:hanging="426"/>
        <w:rPr>
          <w:rFonts w:ascii="Calibri" w:eastAsia="Calibri" w:hAnsi="Calibri"/>
          <w:bCs/>
          <w:szCs w:val="22"/>
          <w:u w:val="single"/>
          <w:lang w:eastAsia="en-US"/>
        </w:rPr>
      </w:pPr>
      <w:r w:rsidRPr="00BB33FC">
        <w:rPr>
          <w:rFonts w:ascii="Calibri" w:eastAsia="Calibri" w:hAnsi="Calibri"/>
          <w:bCs/>
          <w:szCs w:val="22"/>
          <w:u w:val="single"/>
          <w:lang w:eastAsia="en-US"/>
        </w:rPr>
        <w:t>Organizácie, ktoré budú tvoriť súčasť Národnej siete rozvoja vidieka (NSRV)</w:t>
      </w:r>
    </w:p>
    <w:p w:rsidR="00BB33FC" w:rsidRPr="00BB33FC" w:rsidRDefault="00BB33FC" w:rsidP="00BB33FC">
      <w:pPr>
        <w:autoSpaceDE w:val="0"/>
        <w:autoSpaceDN w:val="0"/>
        <w:adjustRightInd w:val="0"/>
        <w:spacing w:after="120"/>
        <w:rPr>
          <w:rFonts w:ascii="Calibri" w:eastAsia="Calibri" w:hAnsi="Calibri"/>
          <w:bCs/>
          <w:szCs w:val="22"/>
          <w:lang w:eastAsia="en-US"/>
        </w:rPr>
      </w:pPr>
      <w:r w:rsidRPr="00BB33FC">
        <w:rPr>
          <w:rFonts w:ascii="Calibri" w:eastAsia="Calibri" w:hAnsi="Calibri"/>
          <w:szCs w:val="22"/>
          <w:lang w:eastAsia="en-US"/>
        </w:rPr>
        <w:t xml:space="preserve">NSRV ako sieť  zabezpečí </w:t>
      </w:r>
      <w:r w:rsidRPr="00BB33FC">
        <w:rPr>
          <w:rFonts w:ascii="Calibri" w:eastAsia="Calibri" w:hAnsi="Calibri"/>
          <w:bCs/>
          <w:szCs w:val="22"/>
          <w:lang w:eastAsia="en-US"/>
        </w:rPr>
        <w:t xml:space="preserve">prepojenie interakcií a väzieb medzi rozličnými aktérmi, ktorá bude využívať proces sieťovania na zdieľanie a výmenu informácií, praxe, skúseností, nápadov a zdrojov. </w:t>
      </w:r>
      <w:r w:rsidRPr="00BB33FC">
        <w:rPr>
          <w:rFonts w:ascii="Calibri" w:eastAsia="Calibri" w:hAnsi="Calibri"/>
          <w:szCs w:val="22"/>
          <w:lang w:eastAsia="en-US"/>
        </w:rPr>
        <w:t xml:space="preserve"> </w:t>
      </w:r>
      <w:r w:rsidRPr="00BB33FC">
        <w:rPr>
          <w:rFonts w:ascii="Calibri" w:eastAsia="Calibri" w:hAnsi="Calibri"/>
          <w:b/>
          <w:bCs/>
          <w:szCs w:val="22"/>
          <w:lang w:eastAsia="en-US"/>
        </w:rPr>
        <w:t xml:space="preserve">Podporné jednotky siete </w:t>
      </w:r>
      <w:r w:rsidRPr="00BB33FC">
        <w:rPr>
          <w:rFonts w:ascii="Calibri" w:eastAsia="Calibri" w:hAnsi="Calibri"/>
          <w:bCs/>
          <w:szCs w:val="22"/>
          <w:lang w:eastAsia="en-US"/>
        </w:rPr>
        <w:t>uľahčia proces sieťovania a zapájania cieľových skupín.</w:t>
      </w:r>
    </w:p>
    <w:p w:rsidR="00BB33FC" w:rsidRPr="00BB33FC" w:rsidRDefault="00BB33FC" w:rsidP="00BB33FC">
      <w:pPr>
        <w:autoSpaceDE w:val="0"/>
        <w:autoSpaceDN w:val="0"/>
        <w:adjustRightInd w:val="0"/>
        <w:rPr>
          <w:rFonts w:ascii="Calibri" w:eastAsia="Calibri" w:hAnsi="Calibri"/>
          <w:szCs w:val="22"/>
          <w:lang w:eastAsia="en-US"/>
        </w:rPr>
      </w:pPr>
      <w:r w:rsidRPr="00BB33FC">
        <w:rPr>
          <w:rFonts w:ascii="Calibri" w:eastAsia="Calibri" w:hAnsi="Calibri"/>
          <w:szCs w:val="22"/>
          <w:lang w:eastAsia="en-US"/>
        </w:rPr>
        <w:t xml:space="preserve">Členstvo v NSRV je otvorené pre všetky cieľové skupiny žiadateľov a zainteresované tretie strany vo vzťahu ku všetkým opatreniam v rámci PRV SR 2014 – 2020 a v nadväznosti na čl. 54 nariadenia (EÚ) č. 1305/2013 je súčasťou siete aj partnerstvo v zmysle čl. 5 nariadenia (EÚ) č. 1303/2013. NSRV spolupracuje s inými formálnymi a neformálnymi sieťami, ktoré prispievajú ku kvalitnej  implementácii ostatných Európskych štrukturálnych a investičných fondov (EŠIF). Rovnako sa podieľa na činnostiach a výzvach Európskej siete pre rozvoj vidieka. </w:t>
      </w:r>
    </w:p>
    <w:p w:rsidR="00BB33FC" w:rsidRPr="00BB33FC" w:rsidRDefault="00BB33FC" w:rsidP="00BB33FC">
      <w:pPr>
        <w:autoSpaceDE w:val="0"/>
        <w:autoSpaceDN w:val="0"/>
        <w:adjustRightInd w:val="0"/>
        <w:rPr>
          <w:rFonts w:ascii="Calibri" w:eastAsia="Calibri" w:hAnsi="Calibri"/>
          <w:szCs w:val="22"/>
          <w:lang w:eastAsia="en-US"/>
        </w:rPr>
      </w:pPr>
    </w:p>
    <w:p w:rsidR="00BB33FC" w:rsidRPr="00BB33FC" w:rsidRDefault="00BB33FC" w:rsidP="00BB33FC">
      <w:pPr>
        <w:autoSpaceDE w:val="0"/>
        <w:autoSpaceDN w:val="0"/>
        <w:adjustRightInd w:val="0"/>
        <w:spacing w:after="120"/>
        <w:rPr>
          <w:rFonts w:ascii="Calibri" w:eastAsia="Calibri" w:hAnsi="Calibri"/>
          <w:szCs w:val="22"/>
          <w:lang w:eastAsia="en-US"/>
        </w:rPr>
      </w:pPr>
      <w:r w:rsidRPr="00BB33FC">
        <w:rPr>
          <w:rFonts w:ascii="Calibri" w:eastAsia="Calibri" w:hAnsi="Calibri"/>
          <w:szCs w:val="22"/>
          <w:lang w:eastAsia="en-US"/>
        </w:rPr>
        <w:t xml:space="preserve">• </w:t>
      </w:r>
      <w:r w:rsidRPr="00BB33FC">
        <w:rPr>
          <w:rFonts w:ascii="Calibri" w:eastAsia="Calibri" w:hAnsi="Calibri"/>
          <w:b/>
          <w:bCs/>
          <w:szCs w:val="22"/>
          <w:lang w:eastAsia="en-US"/>
        </w:rPr>
        <w:t xml:space="preserve">Národná sieť rozvoja vidieka SR </w:t>
      </w:r>
      <w:r w:rsidRPr="00BB33FC">
        <w:rPr>
          <w:rFonts w:ascii="Calibri" w:eastAsia="Calibri" w:hAnsi="Calibri"/>
          <w:szCs w:val="22"/>
          <w:lang w:eastAsia="en-US"/>
        </w:rPr>
        <w:t>bude zahŕňať prostredníctvom členstva v</w:t>
      </w:r>
      <w:r w:rsidR="00A37B18">
        <w:rPr>
          <w:rFonts w:ascii="Calibri" w:eastAsia="Calibri" w:hAnsi="Calibri"/>
          <w:szCs w:val="22"/>
          <w:lang w:eastAsia="en-US"/>
        </w:rPr>
        <w:t> </w:t>
      </w:r>
      <w:r w:rsidRPr="00BB33FC">
        <w:rPr>
          <w:rFonts w:ascii="Calibri" w:eastAsia="Calibri" w:hAnsi="Calibri"/>
          <w:szCs w:val="22"/>
          <w:lang w:eastAsia="en-US"/>
        </w:rPr>
        <w:t>sieti</w:t>
      </w:r>
      <w:r w:rsidR="00A37B18">
        <w:rPr>
          <w:rFonts w:ascii="Calibri" w:eastAsia="Calibri" w:hAnsi="Calibri"/>
          <w:szCs w:val="22"/>
          <w:lang w:eastAsia="en-US"/>
        </w:rPr>
        <w:t xml:space="preserve"> potenciálnych</w:t>
      </w:r>
      <w:r w:rsidRPr="00BB33FC">
        <w:rPr>
          <w:rFonts w:ascii="Calibri" w:eastAsia="Calibri" w:hAnsi="Calibri"/>
          <w:szCs w:val="22"/>
          <w:lang w:eastAsia="en-US"/>
        </w:rPr>
        <w:t xml:space="preserve"> beneficientov Programu rozvoja vidieka SR (vrátane schválených miestnych akčných skupín a verejno-súkromných partnerstiev pracujúcich na princípoch iniciatívy LEADER</w:t>
      </w:r>
      <w:r w:rsidR="00A37B18">
        <w:rPr>
          <w:rFonts w:ascii="Calibri" w:eastAsia="Calibri" w:hAnsi="Calibri"/>
          <w:szCs w:val="22"/>
          <w:lang w:eastAsia="en-US"/>
        </w:rPr>
        <w:t>/CLLD</w:t>
      </w:r>
      <w:r w:rsidRPr="00BB33FC">
        <w:rPr>
          <w:rFonts w:ascii="Calibri" w:eastAsia="Calibri" w:hAnsi="Calibri"/>
          <w:szCs w:val="22"/>
          <w:lang w:eastAsia="en-US"/>
        </w:rPr>
        <w:t xml:space="preserve"> a operačných skupín, ktoré môžu vznikať aj v rámci čl. 35 Spolupráca).Tí budú ťažiť z programu a mali by zohrávať úlohu pri určovaní aktivít v rámci riadiacej skupiny (viď riadiacu komisia nižšie). Avšak beneficienti siete nie sú v konečnom dôsledku iba jediným klientom pre prevádzku jednotky NSRV. Ďalšími členmi/klientmi sú aj tí, ktorí vyplývajú z Partnerskej dohody SR na roky 2014 – 2020. Národná sieť rozvoja vidieka SR je členom monitorovacieho výboru pre program rozvoja vidieka a jej zástupca aktívne informuje ostatných členov o pripravovaných činnostiach siete ako aj priebežnom</w:t>
      </w:r>
      <w:r w:rsidRPr="00BB33FC">
        <w:rPr>
          <w:rFonts w:ascii="Calibri" w:eastAsia="Calibri" w:hAnsi="Calibri"/>
          <w:szCs w:val="22"/>
          <w:lang w:eastAsia="en-US"/>
        </w:rPr>
        <w:lastRenderedPageBreak/>
        <w:t xml:space="preserve"> monitoringu programu. NSRV a jej jednotky zriadia tematické skupiny na špecifické témy, ktoré vyplynú z implementácie programu, minimálne však 2 takéto skupiny s otvorenou účasťou členov siete za celú dobu pôsobenia siete a jej pracovísk. Výsledkom týchto tematických skupín bude prehľadná analýza s jasnými závermi a odporúčaniami pre riadiaci orgán podieľajúci sa priamo na programovaní. </w:t>
      </w:r>
    </w:p>
    <w:p w:rsidR="00BB33FC" w:rsidRPr="00BB33FC" w:rsidRDefault="00BB33FC" w:rsidP="00BB33FC">
      <w:pPr>
        <w:autoSpaceDE w:val="0"/>
        <w:autoSpaceDN w:val="0"/>
        <w:adjustRightInd w:val="0"/>
        <w:spacing w:after="120"/>
        <w:rPr>
          <w:rFonts w:ascii="Calibri" w:eastAsia="Calibri" w:hAnsi="Calibri"/>
          <w:szCs w:val="22"/>
          <w:lang w:eastAsia="en-US"/>
        </w:rPr>
      </w:pPr>
      <w:r w:rsidRPr="00BB33FC">
        <w:rPr>
          <w:rFonts w:ascii="Calibri" w:eastAsia="Calibri" w:hAnsi="Calibri"/>
          <w:szCs w:val="22"/>
          <w:lang w:eastAsia="en-US"/>
        </w:rPr>
        <w:t xml:space="preserve">• </w:t>
      </w:r>
      <w:r w:rsidRPr="00BB33FC">
        <w:rPr>
          <w:rFonts w:ascii="Calibri" w:eastAsia="Calibri" w:hAnsi="Calibri"/>
          <w:b/>
          <w:bCs/>
          <w:szCs w:val="22"/>
          <w:lang w:eastAsia="en-US"/>
        </w:rPr>
        <w:t>Riadiaca komisia (steering committee) pre PRV</w:t>
      </w:r>
      <w:r w:rsidRPr="00BB33FC">
        <w:rPr>
          <w:rFonts w:ascii="Calibri" w:eastAsia="Calibri" w:hAnsi="Calibri"/>
          <w:szCs w:val="22"/>
          <w:lang w:eastAsia="en-US"/>
        </w:rPr>
        <w:t>: bude vytvorená zo zástupcov, ktorí podporujú princípy partnerstva, siete beneficientov, s ktorými sa konzultujú aktivity so zreteľom na regionálny element. Táto komisia bude prispievať k správnej implementácii PRV nie len po odbornej stránke, ale aj vychádzať z praxe jednotlivých členov siete. Ich úlohou bude spolupráca na  plánovaní aktivít (viacročný plán a jednoročný plán), hodnotení činností siete, ktoré uskutoční jednotka NSRV. Rovnako bude prispievať k práci hodnotenia programu a k diskusiám v rámci Monitorovacieho výboru pre program na národnej úrovni. V rámci riadiacej komisie bude zriadená pracovná skupina pre zriaďovanie a prevádzku operačných skupín EIP (činnosti v rámci opatrenia Spolupráca), ktorá bude zložená zo zástupcov jednotlivých sektorov pôdohospodárstva (výskum, vzdelávanie, poradenstvo, prax). Pôsobnosť riadiacej komisie sa určí štatútom a rokovacím poriadkom. V rámci riadiacej komisie môžu tiež vzniknúť aj ďalšie pracovné skupiny s osobitným tematickým zameraním.</w:t>
      </w:r>
    </w:p>
    <w:p w:rsidR="00BB33FC" w:rsidRPr="00BB33FC" w:rsidRDefault="00BB33FC" w:rsidP="00BB33FC">
      <w:pPr>
        <w:rPr>
          <w:rFonts w:ascii="Calibri" w:eastAsia="Calibri" w:hAnsi="Calibri"/>
          <w:szCs w:val="22"/>
          <w:lang w:eastAsia="en-US"/>
        </w:rPr>
      </w:pPr>
      <w:r w:rsidRPr="00BB33FC">
        <w:rPr>
          <w:rFonts w:ascii="Calibri" w:eastAsia="Calibri" w:hAnsi="Calibri"/>
          <w:b/>
          <w:szCs w:val="22"/>
          <w:lang w:eastAsia="en-US"/>
        </w:rPr>
        <w:t>Sieť  PRV SR 2014 – 2020 spája nasledovné subjekty:</w:t>
      </w:r>
      <w:r w:rsidRPr="00BB33FC">
        <w:rPr>
          <w:rFonts w:ascii="Calibri" w:eastAsia="Calibri" w:hAnsi="Calibri"/>
          <w:szCs w:val="22"/>
          <w:lang w:eastAsia="en-US"/>
        </w:rPr>
        <w:t xml:space="preserve"> obce a ich združenia, samosprávne orgány, existujúce mikroregióny, vzniknuté verejno-súkromné partnerstvá a schválené miestne akčné skupiny, členov existujúcich partnerstiev sociálnej inklúzie vytvorených v rámci Európskeho sociálneho fondu, združenia farmárov, zástupcov komôr a únií pôdohospodárskeho, potravinárskeho a lesníckeho sektora, mimovládne organizácie, špecializované vládne organizácie, vedecko-výskumnú základňu rezortu ako aj ostatných nezastúpených potenciálnych beneficientov v rámci PRV SR 2014 – 2020. Rovnako bude prispievať k jednotlivým operačným programom podporovaným z EŠIF na roky 2014 – 2020 v zmysle Partnerskej dohody SR na roky 2014 – 2020 a v konečnom dôsledku prispievať k napĺňaniu 3 rastov stratégie Európa 2020.</w:t>
      </w:r>
    </w:p>
    <w:p w:rsidR="00BB33FC" w:rsidRPr="00BB33FC" w:rsidRDefault="00BB33FC" w:rsidP="00BB33FC">
      <w:pPr>
        <w:autoSpaceDE w:val="0"/>
        <w:autoSpaceDN w:val="0"/>
        <w:adjustRightInd w:val="0"/>
        <w:rPr>
          <w:rFonts w:ascii="Calibri" w:eastAsia="Calibri" w:hAnsi="Calibri"/>
          <w:b/>
          <w:bCs/>
          <w:szCs w:val="22"/>
          <w:u w:val="single"/>
          <w:lang w:eastAsia="en-US"/>
        </w:rPr>
      </w:pPr>
    </w:p>
    <w:p w:rsidR="00BB33FC" w:rsidRPr="00BB33FC" w:rsidRDefault="00BB33FC" w:rsidP="00BB33FC">
      <w:pPr>
        <w:autoSpaceDE w:val="0"/>
        <w:autoSpaceDN w:val="0"/>
        <w:adjustRightInd w:val="0"/>
        <w:rPr>
          <w:rFonts w:ascii="Calibri" w:eastAsia="Calibri" w:hAnsi="Calibri"/>
          <w:szCs w:val="22"/>
          <w:u w:val="single"/>
          <w:lang w:eastAsia="en-US"/>
        </w:rPr>
      </w:pPr>
      <w:r w:rsidRPr="00BB33FC">
        <w:rPr>
          <w:rFonts w:ascii="Calibri" w:eastAsia="Calibri" w:hAnsi="Calibri"/>
          <w:bCs/>
          <w:szCs w:val="22"/>
          <w:u w:val="single"/>
          <w:lang w:eastAsia="en-US"/>
        </w:rPr>
        <w:t xml:space="preserve">Plánovaná štruktúra </w:t>
      </w:r>
    </w:p>
    <w:p w:rsidR="00BB33FC" w:rsidRPr="00BB33FC" w:rsidRDefault="00BB33FC" w:rsidP="00BB33FC">
      <w:pPr>
        <w:autoSpaceDE w:val="0"/>
        <w:autoSpaceDN w:val="0"/>
        <w:adjustRightInd w:val="0"/>
        <w:spacing w:after="120"/>
        <w:rPr>
          <w:rFonts w:ascii="Calibri" w:eastAsia="Calibri" w:hAnsi="Calibri"/>
          <w:szCs w:val="22"/>
          <w:lang w:eastAsia="en-US"/>
        </w:rPr>
      </w:pPr>
      <w:r w:rsidRPr="00BB33FC">
        <w:rPr>
          <w:rFonts w:ascii="Calibri" w:eastAsia="Calibri" w:hAnsi="Calibri"/>
          <w:szCs w:val="22"/>
          <w:lang w:eastAsia="en-US"/>
        </w:rPr>
        <w:t>V podmienkach SR bude uplatňovaná nasledovná štruktúra NSRV a jednotky NSRV ako výkonného prvku siete:</w:t>
      </w:r>
    </w:p>
    <w:p w:rsidR="00BB33FC" w:rsidRPr="00BB33FC" w:rsidRDefault="00BB33FC" w:rsidP="00BB33FC">
      <w:pPr>
        <w:autoSpaceDE w:val="0"/>
        <w:autoSpaceDN w:val="0"/>
        <w:adjustRightInd w:val="0"/>
        <w:spacing w:after="120"/>
        <w:ind w:left="142" w:hanging="142"/>
        <w:rPr>
          <w:rFonts w:ascii="Calibri" w:eastAsia="Calibri" w:hAnsi="Calibri"/>
          <w:szCs w:val="22"/>
          <w:lang w:eastAsia="en-US"/>
        </w:rPr>
      </w:pPr>
      <w:r w:rsidRPr="00BB33FC">
        <w:rPr>
          <w:rFonts w:ascii="Calibri" w:eastAsia="Calibri" w:hAnsi="Calibri"/>
          <w:szCs w:val="22"/>
          <w:lang w:eastAsia="en-US"/>
        </w:rPr>
        <w:t xml:space="preserve">• </w:t>
      </w:r>
      <w:r w:rsidRPr="00BB33FC">
        <w:rPr>
          <w:rFonts w:ascii="Calibri" w:eastAsia="Calibri" w:hAnsi="Calibri"/>
          <w:b/>
          <w:bCs/>
          <w:szCs w:val="22"/>
          <w:lang w:eastAsia="en-US"/>
        </w:rPr>
        <w:t>Klient/konečný rozhodujúci činiteľ</w:t>
      </w:r>
      <w:r w:rsidRPr="00BB33FC">
        <w:rPr>
          <w:rFonts w:ascii="Calibri" w:eastAsia="Calibri" w:hAnsi="Calibri"/>
          <w:szCs w:val="22"/>
          <w:lang w:eastAsia="en-US"/>
        </w:rPr>
        <w:t xml:space="preserve"> -</w:t>
      </w:r>
      <w:r w:rsidRPr="00BB33FC">
        <w:rPr>
          <w:rFonts w:ascii="Calibri" w:eastAsia="Calibri" w:hAnsi="Calibri"/>
          <w:b/>
          <w:szCs w:val="22"/>
          <w:lang w:eastAsia="en-US"/>
        </w:rPr>
        <w:t xml:space="preserve"> centrálna jednotka NSRV</w:t>
      </w:r>
      <w:r w:rsidRPr="00BB33FC">
        <w:rPr>
          <w:rFonts w:ascii="Calibri" w:eastAsia="Calibri" w:hAnsi="Calibri"/>
          <w:szCs w:val="22"/>
          <w:lang w:eastAsia="en-US"/>
        </w:rPr>
        <w:t>, t. j. orgán, ktorý bude riadiť a implementovať aktivity siete s primeraným odborným a technickým vybavením a bude pracovať prostredníctvom poverovacej zmluvy/dohody pre Ministerstvo pôdohospodárstva a rozvoja vidieka SR. Hostiteľským orgánom bude Agentúra pre rozvoj vidieka, príspevková organizácia MPRV SR, ktorá bude zabezpečovať služby centrálnej jednotky NSRV a aj koordináciu decentralizovaných útvarov jednotky NSRV.</w:t>
      </w:r>
    </w:p>
    <w:p w:rsidR="00BB33FC" w:rsidRPr="00BB33FC" w:rsidRDefault="00BB33FC" w:rsidP="00BB33FC">
      <w:pPr>
        <w:autoSpaceDE w:val="0"/>
        <w:autoSpaceDN w:val="0"/>
        <w:adjustRightInd w:val="0"/>
        <w:ind w:left="142" w:hanging="142"/>
        <w:rPr>
          <w:rFonts w:ascii="Calibri" w:eastAsia="Calibri" w:hAnsi="Calibri"/>
          <w:szCs w:val="22"/>
          <w:lang w:eastAsia="en-US"/>
        </w:rPr>
      </w:pPr>
      <w:r w:rsidRPr="00BB33FC">
        <w:rPr>
          <w:rFonts w:ascii="Calibri" w:eastAsia="Calibri" w:hAnsi="Calibri"/>
          <w:szCs w:val="22"/>
          <w:lang w:eastAsia="en-US"/>
        </w:rPr>
        <w:t xml:space="preserve">• </w:t>
      </w:r>
      <w:r w:rsidRPr="00BB33FC">
        <w:rPr>
          <w:rFonts w:ascii="Calibri" w:eastAsia="Calibri" w:hAnsi="Calibri"/>
          <w:b/>
          <w:bCs/>
          <w:szCs w:val="22"/>
          <w:lang w:eastAsia="en-US"/>
        </w:rPr>
        <w:t>Jednotka siete NSRV</w:t>
      </w:r>
      <w:r w:rsidRPr="00BB33FC">
        <w:rPr>
          <w:rFonts w:ascii="Calibri" w:eastAsia="Calibri" w:hAnsi="Calibri"/>
          <w:szCs w:val="22"/>
          <w:lang w:eastAsia="en-US"/>
        </w:rPr>
        <w:t>: určený tím expertov s odbornými poznatkami v oblasti poľnohospodárstva, lesného hospodárstva, potravinárstva a rozvoja vidieka (profesionálov, ktorí poskytujú technickú a profesionálnu podporu sieti v rámci kontaktovanej hostiteľskej organizácie</w:t>
      </w:r>
      <w:r w:rsidR="00FB3F1A">
        <w:rPr>
          <w:rFonts w:ascii="Calibri" w:eastAsia="Calibri" w:hAnsi="Calibri"/>
          <w:szCs w:val="22"/>
          <w:lang w:eastAsia="en-US"/>
        </w:rPr>
        <w:t>)</w:t>
      </w:r>
      <w:r w:rsidRPr="00BB33FC">
        <w:rPr>
          <w:rFonts w:ascii="Calibri" w:eastAsia="Calibri" w:hAnsi="Calibri"/>
          <w:szCs w:val="22"/>
          <w:lang w:eastAsia="en-US"/>
        </w:rPr>
        <w:t xml:space="preserve">. </w:t>
      </w:r>
    </w:p>
    <w:p w:rsidR="00BB33FC" w:rsidRPr="00BB33FC" w:rsidRDefault="00BB33FC" w:rsidP="00BB33FC">
      <w:pPr>
        <w:autoSpaceDE w:val="0"/>
        <w:autoSpaceDN w:val="0"/>
        <w:adjustRightInd w:val="0"/>
        <w:rPr>
          <w:rFonts w:ascii="Calibri" w:eastAsia="Calibri" w:hAnsi="Calibri"/>
          <w:szCs w:val="22"/>
          <w:lang w:eastAsia="en-US"/>
        </w:rPr>
      </w:pPr>
    </w:p>
    <w:p w:rsidR="00BB33FC" w:rsidRPr="00BB33FC" w:rsidRDefault="00BB33FC" w:rsidP="00BB33FC">
      <w:pPr>
        <w:autoSpaceDE w:val="0"/>
        <w:autoSpaceDN w:val="0"/>
        <w:adjustRightInd w:val="0"/>
        <w:rPr>
          <w:rFonts w:ascii="Calibri" w:eastAsia="Calibri" w:hAnsi="Calibri"/>
          <w:szCs w:val="22"/>
          <w:u w:val="single"/>
          <w:lang w:eastAsia="en-US"/>
        </w:rPr>
      </w:pPr>
      <w:r w:rsidRPr="00BB33FC">
        <w:rPr>
          <w:rFonts w:ascii="Calibri" w:eastAsia="Calibri" w:hAnsi="Calibri"/>
          <w:szCs w:val="22"/>
          <w:u w:val="single"/>
          <w:lang w:eastAsia="en-US"/>
        </w:rPr>
        <w:t>Postup založenia NSRV</w:t>
      </w:r>
    </w:p>
    <w:p w:rsidR="00BB33FC" w:rsidRPr="00BB33FC" w:rsidRDefault="00BB33FC" w:rsidP="00BB33FC">
      <w:pPr>
        <w:autoSpaceDE w:val="0"/>
        <w:autoSpaceDN w:val="0"/>
        <w:adjustRightInd w:val="0"/>
        <w:rPr>
          <w:rFonts w:ascii="Calibri" w:eastAsia="Calibri" w:hAnsi="Calibri"/>
          <w:szCs w:val="22"/>
          <w:lang w:eastAsia="en-US"/>
        </w:rPr>
      </w:pPr>
      <w:r w:rsidRPr="00BB33FC">
        <w:rPr>
          <w:rFonts w:ascii="Calibri" w:eastAsia="Calibri" w:hAnsi="Calibri"/>
          <w:szCs w:val="22"/>
          <w:lang w:eastAsia="en-US"/>
        </w:rPr>
        <w:t xml:space="preserve">Väčšina tímu </w:t>
      </w:r>
      <w:r w:rsidRPr="00BB33FC">
        <w:rPr>
          <w:rFonts w:ascii="Calibri" w:eastAsia="Calibri" w:hAnsi="Calibri"/>
          <w:b/>
          <w:bCs/>
          <w:szCs w:val="22"/>
          <w:lang w:eastAsia="en-US"/>
        </w:rPr>
        <w:t xml:space="preserve">jednotky NSRV </w:t>
      </w:r>
      <w:r w:rsidRPr="00BB33FC">
        <w:rPr>
          <w:rFonts w:ascii="Calibri" w:eastAsia="Calibri" w:hAnsi="Calibri"/>
          <w:szCs w:val="22"/>
          <w:lang w:eastAsia="en-US"/>
        </w:rPr>
        <w:t>bude decentralizovaná a bude pôsobiť ako regionálna anténa v jednotlivých 8 regiónoch Slovenska. Tieto antény budú lokalizované v rámci regiónov, pričom bude reflektovaná požiadavka, aby sa využívali štruktúry a kapacity počas celého programového obdobia 2014 – 2020. Požaduje sa vytvoriť kľúčový tím pre všetky priority politiky rozvoja vidieka (v zmysle nariadenia o rozvoji vidieka a schváleného programu pre rozvoj vidieka SR vrátane monitoringu a hodnotenia a publicity programu) na národnej úrovni a silne decentralizovaný regionálny tím, ktorý spĺňa požiadavky v oblasti poľnohospodárstva a rozvoja vidieka a</w:t>
      </w:r>
      <w:r w:rsidR="00FB3F1A">
        <w:rPr>
          <w:rFonts w:ascii="Calibri" w:eastAsia="Calibri" w:hAnsi="Calibri"/>
          <w:szCs w:val="22"/>
          <w:lang w:eastAsia="en-US"/>
        </w:rPr>
        <w:t xml:space="preserve"> disponuje</w:t>
      </w:r>
      <w:r w:rsidRPr="00BB33FC">
        <w:rPr>
          <w:rFonts w:ascii="Calibri" w:eastAsia="Calibri" w:hAnsi="Calibri"/>
          <w:szCs w:val="22"/>
          <w:lang w:eastAsia="en-US"/>
        </w:rPr>
        <w:t xml:space="preserve"> rozvinutými animačnými technikami a poradenstvom v oblasti politiky rozvoja vidieka. Zároveň musia zabezpečiť dobrú koordináciu v prípade ďalších zazmluvnených strán pre dosiahnutie stanovených výsledkov. </w:t>
      </w:r>
    </w:p>
    <w:p w:rsidR="00BB33FC" w:rsidRDefault="00BB33FC" w:rsidP="00BB33FC">
      <w:pPr>
        <w:autoSpaceDE w:val="0"/>
        <w:autoSpaceDN w:val="0"/>
        <w:adjustRightInd w:val="0"/>
        <w:rPr>
          <w:rFonts w:ascii="Calibri" w:eastAsia="Calibri" w:hAnsi="Calibri"/>
          <w:b/>
          <w:szCs w:val="22"/>
          <w:lang w:eastAsia="en-US"/>
        </w:rPr>
      </w:pPr>
    </w:p>
    <w:p w:rsidR="00BC4D3C" w:rsidRDefault="00BC4D3C" w:rsidP="00BB33FC">
      <w:pPr>
        <w:autoSpaceDE w:val="0"/>
        <w:autoSpaceDN w:val="0"/>
        <w:adjustRightInd w:val="0"/>
        <w:rPr>
          <w:rFonts w:ascii="Calibri" w:eastAsia="Calibri" w:hAnsi="Calibri"/>
          <w:b/>
          <w:szCs w:val="22"/>
          <w:lang w:eastAsia="en-US"/>
        </w:rPr>
      </w:pPr>
    </w:p>
    <w:p w:rsidR="00BB33FC" w:rsidRPr="00BB33FC" w:rsidRDefault="00BB33FC" w:rsidP="00BB33FC">
      <w:pPr>
        <w:autoSpaceDE w:val="0"/>
        <w:autoSpaceDN w:val="0"/>
        <w:adjustRightInd w:val="0"/>
        <w:rPr>
          <w:rFonts w:ascii="Calibri" w:eastAsia="Calibri" w:hAnsi="Calibri"/>
          <w:szCs w:val="22"/>
          <w:u w:val="single"/>
          <w:lang w:eastAsia="en-US"/>
        </w:rPr>
      </w:pPr>
      <w:r w:rsidRPr="00BB33FC">
        <w:rPr>
          <w:rFonts w:ascii="Calibri" w:eastAsia="Calibri" w:hAnsi="Calibri"/>
          <w:szCs w:val="22"/>
          <w:u w:val="single"/>
          <w:lang w:eastAsia="en-US"/>
        </w:rPr>
        <w:t>Spôsob realizácie aktivít</w:t>
      </w:r>
    </w:p>
    <w:p w:rsidR="00BB33FC" w:rsidRPr="00BB33FC" w:rsidRDefault="00BB33FC" w:rsidP="00BB33FC">
      <w:pPr>
        <w:autoSpaceDE w:val="0"/>
        <w:autoSpaceDN w:val="0"/>
        <w:adjustRightInd w:val="0"/>
        <w:rPr>
          <w:rFonts w:ascii="Calibri" w:eastAsia="Calibri" w:hAnsi="Calibri"/>
          <w:szCs w:val="22"/>
          <w:lang w:eastAsia="en-US"/>
        </w:rPr>
      </w:pPr>
      <w:r w:rsidRPr="00BB33FC">
        <w:rPr>
          <w:rFonts w:ascii="Calibri" w:eastAsia="Calibri" w:hAnsi="Calibri"/>
          <w:szCs w:val="22"/>
          <w:lang w:eastAsia="en-US"/>
        </w:rPr>
        <w:t xml:space="preserve">Aktivity NSRV sa budú vykonávať prostredníctvom akčných plánov centrálnej jednotky a jednotiek siete. Akčný plán musí nadväzovať na činnosti počas celého programového obdobia špecificky na </w:t>
      </w:r>
      <w:r w:rsidR="00FB3F1A">
        <w:rPr>
          <w:rFonts w:ascii="Calibri" w:eastAsia="Calibri" w:hAnsi="Calibri"/>
          <w:szCs w:val="22"/>
          <w:lang w:eastAsia="en-US"/>
        </w:rPr>
        <w:t>PRV</w:t>
      </w:r>
      <w:r w:rsidRPr="00BB33FC">
        <w:rPr>
          <w:rFonts w:ascii="Calibri" w:eastAsia="Calibri" w:hAnsi="Calibri"/>
          <w:szCs w:val="22"/>
          <w:lang w:eastAsia="en-US"/>
        </w:rPr>
        <w:t xml:space="preserve">. Do príprav a implementácie ročného plánu musia byť aktívne zapojené cieľové skupiny siete a jej členovia. Povinnosťou NSRV je aj zriadenie komunikačného plánu ako súčasť akčného plánu siete v úzkej spolupráci s RO. Súčasťou ročného programu bude aj rozpočet, ktorý bude vychádzať z ročných finančných plánov pre opatrenie NSRV. Akčný plán bude tvorený paušálnou zložkou (zber a poskytovanie informácií) a pohyblivou zložkou (zber a informačné aktivity, propagácia NSRV, národná a nadnárodná spolupráca). </w:t>
      </w:r>
    </w:p>
    <w:p w:rsidR="00BB33FC" w:rsidRPr="00BB33FC" w:rsidRDefault="00BB33FC" w:rsidP="00BB33FC">
      <w:pPr>
        <w:autoSpaceDE w:val="0"/>
        <w:autoSpaceDN w:val="0"/>
        <w:adjustRightInd w:val="0"/>
        <w:rPr>
          <w:rFonts w:ascii="Calibri" w:eastAsia="Calibri" w:hAnsi="Calibri"/>
          <w:szCs w:val="22"/>
          <w:lang w:eastAsia="en-US"/>
        </w:rPr>
      </w:pPr>
    </w:p>
    <w:p w:rsidR="00BB33FC" w:rsidRPr="00BB33FC" w:rsidRDefault="00BB33FC" w:rsidP="00431520">
      <w:pPr>
        <w:pStyle w:val="Pod"/>
        <w:ind w:left="709" w:hanging="709"/>
        <w:rPr>
          <w:rFonts w:eastAsia="Calibri"/>
          <w:lang w:eastAsia="en-US"/>
        </w:rPr>
      </w:pPr>
      <w:bookmarkStart w:id="192" w:name="_Toc384111105"/>
      <w:bookmarkStart w:id="193" w:name="_Toc387041373"/>
      <w:r w:rsidRPr="00BB33FC">
        <w:rPr>
          <w:rFonts w:eastAsia="Calibri"/>
          <w:lang w:eastAsia="en-US"/>
        </w:rPr>
        <w:t>17.3</w:t>
      </w:r>
      <w:r w:rsidR="00AA30CA">
        <w:rPr>
          <w:rFonts w:eastAsia="Calibri"/>
          <w:lang w:eastAsia="en-US"/>
        </w:rPr>
        <w:t>.</w:t>
      </w:r>
      <w:r w:rsidRPr="00BB33FC">
        <w:rPr>
          <w:rFonts w:eastAsia="Calibri"/>
          <w:lang w:eastAsia="en-US"/>
        </w:rPr>
        <w:t xml:space="preserve"> Súhrnný opis hlavných kategórií činností, ktoré bude NSRV vykonávať v nadväznosti na ciele programu</w:t>
      </w:r>
      <w:bookmarkEnd w:id="192"/>
      <w:bookmarkEnd w:id="193"/>
    </w:p>
    <w:p w:rsidR="00BB33FC" w:rsidRPr="00BB33FC" w:rsidRDefault="00BB33FC" w:rsidP="006C7E72">
      <w:pPr>
        <w:autoSpaceDE w:val="0"/>
        <w:autoSpaceDN w:val="0"/>
        <w:adjustRightInd w:val="0"/>
        <w:spacing w:after="120"/>
        <w:rPr>
          <w:rFonts w:ascii="Calibri" w:eastAsia="Calibri" w:hAnsi="Calibri"/>
          <w:szCs w:val="22"/>
          <w:lang w:eastAsia="en-US"/>
        </w:rPr>
      </w:pPr>
      <w:r w:rsidRPr="00BB33FC">
        <w:rPr>
          <w:rFonts w:ascii="Calibri" w:eastAsia="Calibri" w:hAnsi="Calibri"/>
          <w:szCs w:val="22"/>
          <w:lang w:eastAsia="en-US"/>
        </w:rPr>
        <w:t>V nadväznosti na čl. 54 nariadenia č. 1305/2013 budú aktivity NSRV vychádzať z nasledovných kategórií:</w:t>
      </w:r>
    </w:p>
    <w:p w:rsidR="00BB33FC" w:rsidRPr="00BB33FC" w:rsidRDefault="00BB33FC" w:rsidP="00CE203B">
      <w:pPr>
        <w:numPr>
          <w:ilvl w:val="0"/>
          <w:numId w:val="301"/>
        </w:numPr>
        <w:autoSpaceDE w:val="0"/>
        <w:autoSpaceDN w:val="0"/>
        <w:adjustRightInd w:val="0"/>
        <w:spacing w:after="120"/>
        <w:rPr>
          <w:rFonts w:ascii="Calibri" w:eastAsia="Calibri" w:hAnsi="Calibri"/>
          <w:szCs w:val="22"/>
          <w:lang w:eastAsia="en-US"/>
        </w:rPr>
      </w:pPr>
      <w:r w:rsidRPr="00BB33FC">
        <w:rPr>
          <w:rFonts w:ascii="Calibri" w:eastAsia="Calibri" w:hAnsi="Calibri"/>
          <w:szCs w:val="22"/>
          <w:lang w:eastAsia="en-US"/>
        </w:rPr>
        <w:t>poskytovanie poradenstva, informácií v oblasti rozvoja vidieka, poľnohospodárstva a lesného hospodárstva pre širokú verejnosť;</w:t>
      </w:r>
    </w:p>
    <w:p w:rsidR="00BB33FC" w:rsidRPr="00BB33FC" w:rsidRDefault="00BB33FC" w:rsidP="00CE203B">
      <w:pPr>
        <w:numPr>
          <w:ilvl w:val="0"/>
          <w:numId w:val="301"/>
        </w:numPr>
        <w:autoSpaceDE w:val="0"/>
        <w:autoSpaceDN w:val="0"/>
        <w:adjustRightInd w:val="0"/>
        <w:spacing w:after="120"/>
        <w:rPr>
          <w:rFonts w:ascii="Calibri" w:eastAsia="Calibri" w:hAnsi="Calibri"/>
          <w:szCs w:val="22"/>
          <w:lang w:eastAsia="en-US"/>
        </w:rPr>
      </w:pPr>
      <w:r w:rsidRPr="00BB33FC">
        <w:rPr>
          <w:rFonts w:ascii="Calibri" w:eastAsia="Calibri" w:hAnsi="Calibri"/>
          <w:szCs w:val="22"/>
          <w:lang w:eastAsia="en-US"/>
        </w:rPr>
        <w:t>podpora inovácií v poľnohospodárstve, výrobe potravín, lesnom hospodárstve a vo vidieckych oblastiach, zahŕňajúca tiež prenos informácií z aktivít siete EIP;</w:t>
      </w:r>
    </w:p>
    <w:p w:rsidR="00BB33FC" w:rsidRPr="00BB33FC" w:rsidRDefault="00BB33FC" w:rsidP="00CE203B">
      <w:pPr>
        <w:numPr>
          <w:ilvl w:val="0"/>
          <w:numId w:val="301"/>
        </w:numPr>
        <w:autoSpaceDE w:val="0"/>
        <w:autoSpaceDN w:val="0"/>
        <w:adjustRightInd w:val="0"/>
        <w:spacing w:after="120"/>
        <w:rPr>
          <w:rFonts w:ascii="Calibri" w:eastAsia="Calibri" w:hAnsi="Calibri"/>
          <w:szCs w:val="22"/>
          <w:lang w:eastAsia="en-US"/>
        </w:rPr>
      </w:pPr>
      <w:r w:rsidRPr="00BB33FC">
        <w:rPr>
          <w:rFonts w:ascii="Calibri" w:eastAsia="Calibri" w:hAnsi="Calibri"/>
          <w:szCs w:val="22"/>
          <w:lang w:eastAsia="en-US"/>
        </w:rPr>
        <w:t>zoskupovať organizácie, ktoré sú zapojené do podpory rozvoja vidieka a poľnohospodárstva;</w:t>
      </w:r>
    </w:p>
    <w:p w:rsidR="00BB33FC" w:rsidRPr="00BB33FC" w:rsidRDefault="00BB33FC" w:rsidP="00CE203B">
      <w:pPr>
        <w:numPr>
          <w:ilvl w:val="0"/>
          <w:numId w:val="301"/>
        </w:numPr>
        <w:autoSpaceDE w:val="0"/>
        <w:autoSpaceDN w:val="0"/>
        <w:adjustRightInd w:val="0"/>
        <w:spacing w:after="120"/>
        <w:rPr>
          <w:rFonts w:ascii="Calibri" w:eastAsia="Calibri" w:hAnsi="Calibri"/>
          <w:szCs w:val="22"/>
          <w:lang w:eastAsia="en-US"/>
        </w:rPr>
      </w:pPr>
      <w:r w:rsidRPr="00BB33FC">
        <w:rPr>
          <w:rFonts w:ascii="Calibri" w:eastAsia="Calibri" w:hAnsi="Calibri"/>
          <w:szCs w:val="22"/>
          <w:lang w:eastAsia="en-US"/>
        </w:rPr>
        <w:t>spolupráca s RO a s inými sieťami/centrami na nadnárodnej/národnej/regionálnej úrovni prispievajúcich k implementácii  EŠIF fondov v oblasti politiky rozvoja vidieka;</w:t>
      </w:r>
    </w:p>
    <w:p w:rsidR="00BB33FC" w:rsidRPr="00BB33FC" w:rsidRDefault="00BB33FC" w:rsidP="00CE203B">
      <w:pPr>
        <w:numPr>
          <w:ilvl w:val="0"/>
          <w:numId w:val="301"/>
        </w:numPr>
        <w:autoSpaceDE w:val="0"/>
        <w:autoSpaceDN w:val="0"/>
        <w:adjustRightInd w:val="0"/>
        <w:spacing w:after="120"/>
        <w:rPr>
          <w:rFonts w:ascii="Calibri" w:eastAsia="Calibri" w:hAnsi="Calibri"/>
          <w:szCs w:val="22"/>
          <w:lang w:eastAsia="en-US"/>
        </w:rPr>
      </w:pPr>
      <w:r w:rsidRPr="00BB33FC">
        <w:rPr>
          <w:rFonts w:ascii="Calibri" w:eastAsia="Calibri" w:hAnsi="Calibri"/>
          <w:szCs w:val="22"/>
          <w:lang w:eastAsia="en-US"/>
        </w:rPr>
        <w:t>zabezpečovať výmenu skúseností s implementáciou PRV a iných operačných programov prispievajúcich k rozvoju vidieka;</w:t>
      </w:r>
    </w:p>
    <w:p w:rsidR="00BB33FC" w:rsidRPr="00BB33FC" w:rsidRDefault="00BB33FC" w:rsidP="00CE203B">
      <w:pPr>
        <w:numPr>
          <w:ilvl w:val="0"/>
          <w:numId w:val="301"/>
        </w:numPr>
        <w:autoSpaceDE w:val="0"/>
        <w:autoSpaceDN w:val="0"/>
        <w:adjustRightInd w:val="0"/>
        <w:spacing w:after="120"/>
        <w:rPr>
          <w:rFonts w:ascii="Calibri" w:eastAsia="Calibri" w:hAnsi="Calibri"/>
          <w:szCs w:val="22"/>
          <w:lang w:eastAsia="en-US"/>
        </w:rPr>
      </w:pPr>
      <w:r w:rsidRPr="00BB33FC">
        <w:rPr>
          <w:rFonts w:ascii="Calibri" w:eastAsia="Calibri" w:hAnsi="Calibri"/>
          <w:szCs w:val="22"/>
          <w:lang w:eastAsia="en-US"/>
        </w:rPr>
        <w:t>založenie a koordinácia minimálne 2 tematických pracovných skupín otvorených pre členov siete zameraných na problematiku poľnohospodárstva a rozvoja vidieka;</w:t>
      </w:r>
    </w:p>
    <w:p w:rsidR="00BB33FC" w:rsidRPr="00BB33FC" w:rsidRDefault="00BB33FC" w:rsidP="00CE203B">
      <w:pPr>
        <w:numPr>
          <w:ilvl w:val="0"/>
          <w:numId w:val="301"/>
        </w:numPr>
        <w:autoSpaceDE w:val="0"/>
        <w:autoSpaceDN w:val="0"/>
        <w:adjustRightInd w:val="0"/>
        <w:spacing w:after="120"/>
        <w:rPr>
          <w:rFonts w:ascii="Calibri" w:eastAsia="Calibri" w:hAnsi="Calibri"/>
          <w:szCs w:val="22"/>
          <w:lang w:eastAsia="en-US"/>
        </w:rPr>
      </w:pPr>
      <w:r w:rsidRPr="00BB33FC">
        <w:rPr>
          <w:rFonts w:ascii="Calibri" w:eastAsia="Calibri" w:hAnsi="Calibri"/>
          <w:szCs w:val="22"/>
          <w:lang w:eastAsia="en-US"/>
        </w:rPr>
        <w:t xml:space="preserve">zber, monitoring, hodnotenie a spolupráca s platobnou agentúrou na údajoch v oblasti rozvoja vidieka a LEADER/CLLD; </w:t>
      </w:r>
    </w:p>
    <w:p w:rsidR="00BB33FC" w:rsidRPr="00BB33FC" w:rsidRDefault="00BB33FC" w:rsidP="00CE203B">
      <w:pPr>
        <w:numPr>
          <w:ilvl w:val="0"/>
          <w:numId w:val="301"/>
        </w:numPr>
        <w:autoSpaceDE w:val="0"/>
        <w:autoSpaceDN w:val="0"/>
        <w:adjustRightInd w:val="0"/>
        <w:spacing w:after="120"/>
        <w:rPr>
          <w:rFonts w:ascii="Calibri" w:eastAsia="Calibri" w:hAnsi="Calibri"/>
          <w:szCs w:val="22"/>
          <w:lang w:eastAsia="en-US"/>
        </w:rPr>
      </w:pPr>
      <w:r w:rsidRPr="00BB33FC">
        <w:rPr>
          <w:rFonts w:ascii="Calibri" w:eastAsia="Calibri" w:hAnsi="Calibri"/>
          <w:szCs w:val="22"/>
          <w:lang w:eastAsia="en-US"/>
        </w:rPr>
        <w:t>spolupráca v oblasti vytvárania sietí MAS a technická pomoc pre spoluprácu medzi územnými celkami a pre nadnárodnú spoluprácu, uľahčenie spolupráce medzi MAS a vyhľadávanie partnerov pre opatrenie Spolupráca;</w:t>
      </w:r>
    </w:p>
    <w:p w:rsidR="00BB33FC" w:rsidRPr="00BB33FC" w:rsidRDefault="00BB33FC" w:rsidP="00CE203B">
      <w:pPr>
        <w:numPr>
          <w:ilvl w:val="0"/>
          <w:numId w:val="301"/>
        </w:numPr>
        <w:autoSpaceDE w:val="0"/>
        <w:autoSpaceDN w:val="0"/>
        <w:adjustRightInd w:val="0"/>
        <w:spacing w:after="120"/>
        <w:rPr>
          <w:rFonts w:ascii="Calibri" w:eastAsia="Calibri" w:hAnsi="Calibri"/>
          <w:szCs w:val="22"/>
          <w:lang w:eastAsia="en-US"/>
        </w:rPr>
      </w:pPr>
      <w:r w:rsidRPr="00BB33FC">
        <w:rPr>
          <w:rFonts w:ascii="Calibri" w:eastAsia="Calibri" w:hAnsi="Calibri"/>
          <w:szCs w:val="22"/>
          <w:lang w:eastAsia="en-US"/>
        </w:rPr>
        <w:t>slúžiť ako kontaktný bod v rámci aktivít LEADER/CLLD pre MAS a pre všetkých vidieckych partnerov a  potenciálnych žiadateľov;</w:t>
      </w:r>
    </w:p>
    <w:p w:rsidR="00BB33FC" w:rsidRPr="00BB33FC" w:rsidRDefault="00BB33FC" w:rsidP="00CE203B">
      <w:pPr>
        <w:numPr>
          <w:ilvl w:val="0"/>
          <w:numId w:val="301"/>
        </w:numPr>
        <w:autoSpaceDE w:val="0"/>
        <w:autoSpaceDN w:val="0"/>
        <w:adjustRightInd w:val="0"/>
        <w:spacing w:after="120"/>
        <w:rPr>
          <w:rFonts w:ascii="Calibri" w:eastAsia="Calibri" w:hAnsi="Calibri"/>
          <w:szCs w:val="22"/>
          <w:lang w:eastAsia="en-US"/>
        </w:rPr>
      </w:pPr>
      <w:r w:rsidRPr="00BB33FC">
        <w:rPr>
          <w:rFonts w:ascii="Calibri" w:eastAsia="Calibri" w:hAnsi="Calibri"/>
          <w:szCs w:val="22"/>
          <w:lang w:eastAsia="en-US"/>
        </w:rPr>
        <w:t>zber  príkladov dobrej praxe;</w:t>
      </w:r>
    </w:p>
    <w:p w:rsidR="00BB33FC" w:rsidRPr="00BB33FC" w:rsidRDefault="00BB33FC" w:rsidP="00CE203B">
      <w:pPr>
        <w:numPr>
          <w:ilvl w:val="0"/>
          <w:numId w:val="301"/>
        </w:numPr>
        <w:autoSpaceDE w:val="0"/>
        <w:autoSpaceDN w:val="0"/>
        <w:adjustRightInd w:val="0"/>
        <w:spacing w:after="120"/>
        <w:rPr>
          <w:rFonts w:ascii="Calibri" w:eastAsia="Calibri" w:hAnsi="Calibri"/>
          <w:szCs w:val="22"/>
          <w:lang w:eastAsia="en-US"/>
        </w:rPr>
      </w:pPr>
      <w:r w:rsidRPr="00BB33FC">
        <w:rPr>
          <w:rFonts w:ascii="Calibri" w:eastAsia="Calibri" w:hAnsi="Calibri"/>
          <w:szCs w:val="22"/>
          <w:lang w:eastAsia="en-US"/>
        </w:rPr>
        <w:t>podporovať národnú/nadnárodnú spoluprácu formou konferencií, diskusií, študijných a výmenných návštev/pobytov, účasti na zasadnutiach príslušných orgánov EK a pod.;</w:t>
      </w:r>
    </w:p>
    <w:p w:rsidR="00BB33FC" w:rsidRPr="00BB33FC" w:rsidRDefault="00BB33FC" w:rsidP="00CE203B">
      <w:pPr>
        <w:numPr>
          <w:ilvl w:val="0"/>
          <w:numId w:val="301"/>
        </w:numPr>
        <w:autoSpaceDE w:val="0"/>
        <w:autoSpaceDN w:val="0"/>
        <w:adjustRightInd w:val="0"/>
        <w:spacing w:after="120"/>
        <w:rPr>
          <w:rFonts w:ascii="Calibri" w:eastAsia="Calibri" w:hAnsi="Calibri"/>
          <w:szCs w:val="22"/>
          <w:lang w:eastAsia="en-US"/>
        </w:rPr>
      </w:pPr>
      <w:r w:rsidRPr="00BB33FC">
        <w:rPr>
          <w:rFonts w:ascii="Calibri" w:eastAsia="Calibri" w:hAnsi="Calibri"/>
          <w:szCs w:val="22"/>
          <w:lang w:eastAsia="en-US"/>
        </w:rPr>
        <w:t>zabezpečovať stretnutia tímu NSRV a riadiacej komisie pre PRV;</w:t>
      </w:r>
    </w:p>
    <w:p w:rsidR="00BB33FC" w:rsidRPr="00BB33FC" w:rsidRDefault="00BB33FC" w:rsidP="00CE203B">
      <w:pPr>
        <w:numPr>
          <w:ilvl w:val="0"/>
          <w:numId w:val="301"/>
        </w:numPr>
        <w:autoSpaceDE w:val="0"/>
        <w:autoSpaceDN w:val="0"/>
        <w:adjustRightInd w:val="0"/>
        <w:spacing w:after="120"/>
        <w:rPr>
          <w:rFonts w:ascii="Calibri" w:eastAsia="Calibri" w:hAnsi="Calibri"/>
          <w:szCs w:val="22"/>
          <w:lang w:eastAsia="en-US"/>
        </w:rPr>
      </w:pPr>
      <w:r w:rsidRPr="00BB33FC">
        <w:rPr>
          <w:rFonts w:ascii="Calibri" w:eastAsia="Calibri" w:hAnsi="Calibri"/>
          <w:szCs w:val="22"/>
          <w:lang w:eastAsia="en-US"/>
        </w:rPr>
        <w:t xml:space="preserve">poskytovať spätnú väzbu RO a iným štátnym inštitúciám a zodpovedným orgánom vo vzťahu k politike rozvoja vidieka. </w:t>
      </w:r>
    </w:p>
    <w:p w:rsidR="00BB33FC" w:rsidRPr="00BB33FC" w:rsidRDefault="00BB33FC" w:rsidP="00BB33FC">
      <w:pPr>
        <w:autoSpaceDE w:val="0"/>
        <w:autoSpaceDN w:val="0"/>
        <w:adjustRightInd w:val="0"/>
        <w:ind w:left="720"/>
        <w:rPr>
          <w:rFonts w:ascii="Calibri" w:hAnsi="Calibri"/>
          <w:szCs w:val="22"/>
          <w:lang w:eastAsia="en-US"/>
        </w:rPr>
      </w:pPr>
    </w:p>
    <w:p w:rsidR="00BB33FC" w:rsidRDefault="00BB33FC" w:rsidP="00AA30CA">
      <w:pPr>
        <w:pStyle w:val="Pod"/>
        <w:rPr>
          <w:rFonts w:eastAsia="Calibri"/>
          <w:lang w:eastAsia="en-US"/>
        </w:rPr>
      </w:pPr>
      <w:bookmarkStart w:id="194" w:name="_Toc384111106"/>
      <w:bookmarkStart w:id="195" w:name="_Toc387041374"/>
      <w:r w:rsidRPr="00BB33FC">
        <w:rPr>
          <w:rFonts w:eastAsia="Calibri"/>
          <w:lang w:eastAsia="en-US"/>
        </w:rPr>
        <w:t>17.4</w:t>
      </w:r>
      <w:r w:rsidR="00AA30CA">
        <w:rPr>
          <w:rFonts w:eastAsia="Calibri"/>
          <w:lang w:eastAsia="en-US"/>
        </w:rPr>
        <w:t>.</w:t>
      </w:r>
      <w:r w:rsidRPr="00BB33FC">
        <w:rPr>
          <w:rFonts w:eastAsia="Calibri"/>
          <w:lang w:eastAsia="en-US"/>
        </w:rPr>
        <w:t xml:space="preserve"> Zdroje dostupné pre zriadenie a operácie NSRV</w:t>
      </w:r>
      <w:bookmarkEnd w:id="194"/>
      <w:bookmarkEnd w:id="195"/>
    </w:p>
    <w:p w:rsidR="00D95CA5" w:rsidRPr="00BB33FC" w:rsidRDefault="00D95CA5" w:rsidP="00AA30CA">
      <w:pPr>
        <w:pStyle w:val="Pod"/>
        <w:rPr>
          <w:rFonts w:eastAsia="Calibri"/>
          <w:lang w:eastAsia="en-US"/>
        </w:rPr>
      </w:pPr>
    </w:p>
    <w:p w:rsidR="00BB33FC" w:rsidRPr="00BB33FC" w:rsidRDefault="00BB33FC" w:rsidP="00BB33FC">
      <w:pPr>
        <w:rPr>
          <w:rFonts w:ascii="Calibri" w:eastAsia="Calibri" w:hAnsi="Calibri" w:cs="Calibri"/>
          <w:bCs/>
          <w:szCs w:val="22"/>
          <w:u w:val="single"/>
          <w:lang w:eastAsia="en-US"/>
        </w:rPr>
      </w:pPr>
      <w:r w:rsidRPr="00BB33FC">
        <w:rPr>
          <w:rFonts w:ascii="Calibri" w:eastAsia="Calibri" w:hAnsi="Calibri" w:cs="Calibri"/>
          <w:bCs/>
          <w:szCs w:val="22"/>
          <w:u w:val="single"/>
          <w:lang w:eastAsia="en-US"/>
        </w:rPr>
        <w:t>Finančné zdroje</w:t>
      </w:r>
    </w:p>
    <w:p w:rsidR="00BB33FC" w:rsidRPr="00BB33FC" w:rsidRDefault="00BB33FC" w:rsidP="00BB33FC">
      <w:pPr>
        <w:spacing w:after="120"/>
        <w:rPr>
          <w:rFonts w:ascii="Calibri" w:eastAsia="Calibri" w:hAnsi="Calibri" w:cs="Calibri"/>
          <w:bCs/>
          <w:szCs w:val="22"/>
          <w:lang w:eastAsia="en-US"/>
        </w:rPr>
      </w:pPr>
      <w:r w:rsidRPr="00BB33FC">
        <w:rPr>
          <w:rFonts w:ascii="Calibri" w:eastAsia="Calibri" w:hAnsi="Calibri" w:cs="Calibri"/>
          <w:bCs/>
          <w:szCs w:val="22"/>
          <w:lang w:eastAsia="en-US"/>
        </w:rPr>
        <w:t>Financovanie NSRV bude zabezpečené prostredníctvom technickej pomoci PRV SR 2014-2020.</w:t>
      </w:r>
    </w:p>
    <w:p w:rsidR="00D95CA5" w:rsidRDefault="00D95CA5" w:rsidP="00BC4D3C">
      <w:pPr>
        <w:spacing w:after="120"/>
        <w:rPr>
          <w:rFonts w:ascii="Calibri" w:eastAsia="Calibri" w:hAnsi="Calibri" w:cs="Calibri"/>
          <w:bCs/>
          <w:szCs w:val="22"/>
          <w:lang w:eastAsia="en-US"/>
        </w:rPr>
      </w:pPr>
    </w:p>
    <w:p w:rsidR="00BB33FC" w:rsidRPr="00BB33FC" w:rsidRDefault="00BB33FC" w:rsidP="00BC4D3C">
      <w:pPr>
        <w:spacing w:after="120"/>
        <w:rPr>
          <w:rFonts w:ascii="Calibri" w:eastAsia="Calibri" w:hAnsi="Calibri" w:cs="Calibri"/>
          <w:bCs/>
          <w:szCs w:val="22"/>
          <w:lang w:eastAsia="en-US"/>
        </w:rPr>
      </w:pPr>
      <w:r w:rsidRPr="00BB33FC">
        <w:rPr>
          <w:rFonts w:ascii="Calibri" w:eastAsia="Calibri" w:hAnsi="Calibri" w:cs="Calibri"/>
          <w:bCs/>
          <w:szCs w:val="22"/>
          <w:lang w:eastAsia="en-US"/>
        </w:rPr>
        <w:t xml:space="preserve">Akčný plán regionálnej antény – 70 000 </w:t>
      </w:r>
      <w:r w:rsidR="00646537">
        <w:rPr>
          <w:rFonts w:ascii="Calibri" w:eastAsia="Calibri" w:hAnsi="Calibri" w:cs="Calibri"/>
          <w:bCs/>
          <w:szCs w:val="22"/>
          <w:lang w:eastAsia="en-US"/>
        </w:rPr>
        <w:t>€</w:t>
      </w:r>
      <w:r w:rsidRPr="00BB33FC">
        <w:rPr>
          <w:rFonts w:ascii="Calibri" w:eastAsia="Calibri" w:hAnsi="Calibri" w:cs="Calibri"/>
          <w:bCs/>
          <w:szCs w:val="22"/>
          <w:lang w:eastAsia="en-US"/>
        </w:rPr>
        <w:t xml:space="preserve"> ročne bude tvorený paušálnou a pohyblivou zložkou. Paušálna zložka 50 000 </w:t>
      </w:r>
      <w:r w:rsidR="00646537">
        <w:rPr>
          <w:rFonts w:ascii="Calibri" w:eastAsia="Calibri" w:hAnsi="Calibri" w:cs="Calibri"/>
          <w:bCs/>
          <w:szCs w:val="22"/>
          <w:lang w:eastAsia="en-US"/>
        </w:rPr>
        <w:t>€</w:t>
      </w:r>
      <w:r w:rsidRPr="00BB33FC">
        <w:rPr>
          <w:rFonts w:ascii="Calibri" w:eastAsia="Calibri" w:hAnsi="Calibri" w:cs="Calibri"/>
          <w:bCs/>
          <w:szCs w:val="22"/>
          <w:lang w:eastAsia="en-US"/>
        </w:rPr>
        <w:t xml:space="preserve"> bude rozdelená na sumu 10 000 </w:t>
      </w:r>
      <w:r w:rsidR="00646537">
        <w:rPr>
          <w:rFonts w:ascii="Calibri" w:eastAsia="Calibri" w:hAnsi="Calibri" w:cs="Calibri"/>
          <w:bCs/>
          <w:szCs w:val="22"/>
          <w:lang w:eastAsia="en-US"/>
        </w:rPr>
        <w:t>€</w:t>
      </w:r>
      <w:r w:rsidRPr="00BB33FC">
        <w:rPr>
          <w:rFonts w:ascii="Calibri" w:eastAsia="Calibri" w:hAnsi="Calibri" w:cs="Calibri"/>
          <w:bCs/>
          <w:szCs w:val="22"/>
          <w:lang w:eastAsia="en-US"/>
        </w:rPr>
        <w:t xml:space="preserve"> pokrývajúcich zabezpečenie manažérskych činností, organizačno-administratívnych činností a prevádzkové náklady. Suma 40 000 </w:t>
      </w:r>
      <w:r w:rsidR="00646537">
        <w:rPr>
          <w:rFonts w:ascii="Calibri" w:eastAsia="Calibri" w:hAnsi="Calibri" w:cs="Calibri"/>
          <w:bCs/>
          <w:szCs w:val="22"/>
          <w:lang w:eastAsia="en-US"/>
        </w:rPr>
        <w:t>€</w:t>
      </w:r>
      <w:r w:rsidRPr="00BB33FC">
        <w:rPr>
          <w:rFonts w:ascii="Calibri" w:eastAsia="Calibri" w:hAnsi="Calibri" w:cs="Calibri"/>
          <w:bCs/>
          <w:szCs w:val="22"/>
          <w:lang w:eastAsia="en-US"/>
        </w:rPr>
        <w:t xml:space="preserve"> bude pokrývať náklady na poradenské služby a monitoring. Pohyblivá zložka bude tvoriť sumu 20 000 </w:t>
      </w:r>
      <w:r w:rsidR="00646537">
        <w:rPr>
          <w:rFonts w:ascii="Calibri" w:eastAsia="Calibri" w:hAnsi="Calibri" w:cs="Calibri"/>
          <w:bCs/>
          <w:szCs w:val="22"/>
          <w:lang w:eastAsia="en-US"/>
        </w:rPr>
        <w:t>€</w:t>
      </w:r>
      <w:r w:rsidRPr="00BB33FC">
        <w:rPr>
          <w:rFonts w:ascii="Calibri" w:eastAsia="Calibri" w:hAnsi="Calibri" w:cs="Calibri"/>
          <w:bCs/>
          <w:szCs w:val="22"/>
          <w:lang w:eastAsia="en-US"/>
        </w:rPr>
        <w:t xml:space="preserve"> a pokrývať vzdelávacie a informačné aktivity, propagáciu NSRV, národnú/nadnárodnú spoluprácu.</w:t>
      </w:r>
    </w:p>
    <w:p w:rsidR="00BB33FC" w:rsidRPr="00BB33FC" w:rsidRDefault="00BB33FC" w:rsidP="00BB33FC">
      <w:pPr>
        <w:spacing w:after="200"/>
        <w:rPr>
          <w:rFonts w:ascii="Calibri" w:eastAsia="Calibri" w:hAnsi="Calibri" w:cs="Calibri"/>
          <w:bCs/>
          <w:szCs w:val="22"/>
          <w:lang w:eastAsia="en-US"/>
        </w:rPr>
      </w:pPr>
      <w:r w:rsidRPr="00BB33FC">
        <w:rPr>
          <w:rFonts w:ascii="Calibri" w:eastAsia="Calibri" w:hAnsi="Calibri" w:cs="Calibri"/>
          <w:bCs/>
          <w:szCs w:val="22"/>
          <w:lang w:eastAsia="en-US"/>
        </w:rPr>
        <w:t>Náklady centrálnej jednotky budú tvorené nákladmi na prevádzku a nákladmi na realizáciu akčného plánu. Časť nákladov na realizáciu akčného plánu centrálnej jednotky bude môcť byť využitá prostredníctvom regionálnych antén.</w:t>
      </w:r>
    </w:p>
    <w:p w:rsidR="00BB33FC" w:rsidRPr="00BB33FC" w:rsidRDefault="00BB33FC" w:rsidP="00BB33FC">
      <w:pPr>
        <w:rPr>
          <w:rFonts w:ascii="Calibri" w:eastAsia="Calibri" w:hAnsi="Calibri" w:cs="Calibri"/>
          <w:b/>
          <w:bCs/>
          <w:szCs w:val="22"/>
          <w:lang w:eastAsia="en-US"/>
        </w:rPr>
      </w:pPr>
    </w:p>
    <w:p w:rsidR="00BB33FC" w:rsidRPr="00BB33FC" w:rsidRDefault="00BB33FC" w:rsidP="00BB33FC">
      <w:pPr>
        <w:rPr>
          <w:rFonts w:ascii="Calibri" w:eastAsia="Calibri" w:hAnsi="Calibri" w:cs="Calibri"/>
          <w:bCs/>
          <w:szCs w:val="22"/>
          <w:u w:val="single"/>
          <w:lang w:eastAsia="en-US"/>
        </w:rPr>
      </w:pPr>
      <w:r w:rsidRPr="00BB33FC">
        <w:rPr>
          <w:rFonts w:ascii="Calibri" w:eastAsia="Calibri" w:hAnsi="Calibri" w:cs="Calibri"/>
          <w:bCs/>
          <w:szCs w:val="22"/>
          <w:u w:val="single"/>
          <w:lang w:eastAsia="en-US"/>
        </w:rPr>
        <w:t>Ľudské zdroje</w:t>
      </w:r>
    </w:p>
    <w:p w:rsidR="00BB33FC" w:rsidRPr="00BB33FC" w:rsidRDefault="00BB33FC" w:rsidP="00962FCB">
      <w:pPr>
        <w:spacing w:after="120"/>
        <w:rPr>
          <w:rFonts w:ascii="Calibri" w:eastAsia="Calibri" w:hAnsi="Calibri" w:cs="Calibri"/>
          <w:bCs/>
          <w:szCs w:val="22"/>
          <w:lang w:eastAsia="en-US"/>
        </w:rPr>
      </w:pPr>
      <w:r w:rsidRPr="00BB33FC">
        <w:rPr>
          <w:rFonts w:ascii="Calibri" w:eastAsia="Calibri" w:hAnsi="Calibri" w:cs="Calibri"/>
          <w:bCs/>
          <w:szCs w:val="22"/>
          <w:lang w:eastAsia="en-US"/>
        </w:rPr>
        <w:t>Zamestnanci siete budú mať hlavnú odbornosť a zručnosti potrebné pre vidiecku sieť:</w:t>
      </w:r>
    </w:p>
    <w:p w:rsidR="00BB33FC" w:rsidRPr="00BB33FC" w:rsidRDefault="00BB33FC" w:rsidP="00CE203B">
      <w:pPr>
        <w:numPr>
          <w:ilvl w:val="0"/>
          <w:numId w:val="300"/>
        </w:numPr>
        <w:spacing w:after="120"/>
        <w:rPr>
          <w:rFonts w:ascii="Calibri" w:hAnsi="Calibri" w:cs="Calibri"/>
          <w:bCs/>
          <w:szCs w:val="22"/>
          <w:lang w:eastAsia="en-US"/>
        </w:rPr>
      </w:pPr>
      <w:r w:rsidRPr="00BB33FC">
        <w:rPr>
          <w:rFonts w:ascii="Calibri" w:hAnsi="Calibri" w:cs="Calibri"/>
          <w:bCs/>
          <w:szCs w:val="22"/>
          <w:lang w:eastAsia="en-US"/>
        </w:rPr>
        <w:t>animačné zručnosti,</w:t>
      </w:r>
    </w:p>
    <w:p w:rsidR="00BB33FC" w:rsidRPr="00BB33FC" w:rsidRDefault="00BB33FC" w:rsidP="00CE203B">
      <w:pPr>
        <w:numPr>
          <w:ilvl w:val="0"/>
          <w:numId w:val="300"/>
        </w:numPr>
        <w:spacing w:after="120"/>
        <w:rPr>
          <w:rFonts w:ascii="Calibri" w:hAnsi="Calibri" w:cs="Calibri"/>
          <w:bCs/>
          <w:szCs w:val="22"/>
          <w:lang w:eastAsia="en-US"/>
        </w:rPr>
      </w:pPr>
      <w:r w:rsidRPr="00BB33FC">
        <w:rPr>
          <w:rFonts w:ascii="Calibri" w:hAnsi="Calibri" w:cs="Calibri"/>
          <w:bCs/>
          <w:szCs w:val="22"/>
          <w:lang w:eastAsia="en-US"/>
        </w:rPr>
        <w:t>znalosť o zábere a problémoch politiky rozvoja vidieka,</w:t>
      </w:r>
    </w:p>
    <w:p w:rsidR="00BB33FC" w:rsidRPr="00BB33FC" w:rsidRDefault="00BB33FC" w:rsidP="00CE203B">
      <w:pPr>
        <w:numPr>
          <w:ilvl w:val="0"/>
          <w:numId w:val="300"/>
        </w:numPr>
        <w:spacing w:after="120"/>
        <w:rPr>
          <w:rFonts w:ascii="Calibri" w:hAnsi="Calibri" w:cs="Calibri"/>
          <w:bCs/>
          <w:szCs w:val="22"/>
          <w:lang w:eastAsia="en-US"/>
        </w:rPr>
      </w:pPr>
      <w:r w:rsidRPr="00BB33FC">
        <w:rPr>
          <w:rFonts w:ascii="Calibri" w:hAnsi="Calibri" w:cs="Calibri"/>
          <w:bCs/>
          <w:szCs w:val="22"/>
          <w:lang w:eastAsia="en-US"/>
        </w:rPr>
        <w:t>znalosť o komunikačných nástrojoch a rozširovacích činnostiach ako redakčné skúsenosti, rozličné komunikačné nástroje, internet a manažment médií, prezentačné zručnosti,</w:t>
      </w:r>
    </w:p>
    <w:p w:rsidR="00BB33FC" w:rsidRPr="00BB33FC" w:rsidRDefault="00BB33FC" w:rsidP="00CE203B">
      <w:pPr>
        <w:numPr>
          <w:ilvl w:val="0"/>
          <w:numId w:val="300"/>
        </w:numPr>
        <w:spacing w:after="120"/>
        <w:rPr>
          <w:rFonts w:ascii="Calibri" w:hAnsi="Calibri" w:cs="Calibri"/>
          <w:bCs/>
          <w:szCs w:val="22"/>
          <w:lang w:eastAsia="en-US"/>
        </w:rPr>
      </w:pPr>
      <w:r w:rsidRPr="00BB33FC">
        <w:rPr>
          <w:rFonts w:ascii="Calibri" w:hAnsi="Calibri" w:cs="Calibri"/>
          <w:bCs/>
          <w:szCs w:val="22"/>
          <w:lang w:eastAsia="en-US"/>
        </w:rPr>
        <w:t>skúsenosti a zručnosti s organizovaním stretnutí a workshopov (vedenie),</w:t>
      </w:r>
    </w:p>
    <w:p w:rsidR="00BB33FC" w:rsidRDefault="00BB33FC" w:rsidP="00CE203B">
      <w:pPr>
        <w:numPr>
          <w:ilvl w:val="0"/>
          <w:numId w:val="300"/>
        </w:numPr>
        <w:spacing w:after="200"/>
        <w:rPr>
          <w:rFonts w:ascii="Calibri" w:hAnsi="Calibri" w:cs="Calibri"/>
          <w:bCs/>
          <w:szCs w:val="22"/>
          <w:lang w:eastAsia="en-US"/>
        </w:rPr>
      </w:pPr>
      <w:r w:rsidRPr="00BB33FC">
        <w:rPr>
          <w:rFonts w:ascii="Calibri" w:hAnsi="Calibri" w:cs="Calibri"/>
          <w:bCs/>
          <w:szCs w:val="22"/>
          <w:lang w:eastAsia="en-US"/>
        </w:rPr>
        <w:t>jazykové schopnosti pre prácu na medzinárodnej úrovni s Európskou sieťou pre rozvoj vidieka a s inými vidieckymi sieťami a</w:t>
      </w:r>
      <w:r w:rsidR="00FB3F1A">
        <w:rPr>
          <w:rFonts w:ascii="Calibri" w:hAnsi="Calibri" w:cs="Calibri"/>
          <w:bCs/>
          <w:szCs w:val="22"/>
          <w:lang w:eastAsia="en-US"/>
        </w:rPr>
        <w:t xml:space="preserve"> schopnosť </w:t>
      </w:r>
      <w:r w:rsidRPr="00BB33FC">
        <w:rPr>
          <w:rFonts w:ascii="Calibri" w:hAnsi="Calibri" w:cs="Calibri"/>
          <w:bCs/>
          <w:szCs w:val="22"/>
          <w:lang w:eastAsia="en-US"/>
        </w:rPr>
        <w:t>pomôcť aktérom v rozvoji vidieka v rámci nadnárodnej spolupráce.</w:t>
      </w:r>
    </w:p>
    <w:p w:rsidR="00BB33FC" w:rsidRPr="00BB33FC" w:rsidRDefault="00BB33FC" w:rsidP="00BB33FC">
      <w:pPr>
        <w:spacing w:after="200" w:line="276" w:lineRule="auto"/>
        <w:rPr>
          <w:rFonts w:ascii="Calibri" w:hAnsi="Calibri" w:cs="Calibri"/>
          <w:b/>
          <w:bCs/>
          <w:szCs w:val="22"/>
          <w:u w:val="single"/>
          <w:lang w:eastAsia="en-US"/>
        </w:rPr>
      </w:pPr>
      <w:r>
        <w:rPr>
          <w:rFonts w:ascii="Calibri" w:hAnsi="Calibri" w:cs="Calibri"/>
          <w:bCs/>
          <w:szCs w:val="22"/>
          <w:lang w:eastAsia="en-US"/>
        </w:rPr>
        <w:br w:type="page"/>
      </w:r>
    </w:p>
    <w:p w:rsidR="00BC4D3C" w:rsidRDefault="00BC4D3C" w:rsidP="00BB33FC">
      <w:pPr>
        <w:keepNext/>
        <w:keepLines/>
        <w:spacing w:before="200" w:line="276" w:lineRule="auto"/>
        <w:outlineLvl w:val="2"/>
        <w:rPr>
          <w:b/>
          <w:bCs/>
          <w:lang w:eastAsia="en-US"/>
        </w:rPr>
      </w:pPr>
    </w:p>
    <w:p w:rsidR="00BB33FC" w:rsidRPr="006C7E72" w:rsidRDefault="00BB33FC" w:rsidP="00366F96">
      <w:pPr>
        <w:pStyle w:val="Hlavn"/>
      </w:pPr>
      <w:bookmarkStart w:id="196" w:name="_Toc387041375"/>
      <w:r w:rsidRPr="006C7E72">
        <w:t>18. EX-ANTE POSÚDENIE OVERITEĽNOSTI, K</w:t>
      </w:r>
      <w:r w:rsidR="00AA30CA">
        <w:t>ONTROLOVATEĽNOSTI A RIZIKA CHÝB</w:t>
      </w:r>
      <w:bookmarkEnd w:id="196"/>
    </w:p>
    <w:p w:rsidR="00BC4D3C" w:rsidRDefault="00BC4D3C" w:rsidP="00BB33FC">
      <w:pPr>
        <w:rPr>
          <w:rFonts w:ascii="Calibri" w:eastAsia="Calibri" w:hAnsi="Calibri"/>
          <w:b/>
          <w:bCs/>
          <w:szCs w:val="22"/>
          <w:lang w:eastAsia="en-US"/>
        </w:rPr>
      </w:pPr>
    </w:p>
    <w:p w:rsidR="00BB33FC" w:rsidRPr="00BB33FC" w:rsidRDefault="00BB33FC" w:rsidP="00BB33FC">
      <w:pPr>
        <w:rPr>
          <w:rFonts w:ascii="Calibri" w:eastAsia="Calibri" w:hAnsi="Calibri"/>
          <w:b/>
          <w:bCs/>
          <w:szCs w:val="22"/>
          <w:lang w:eastAsia="en-US"/>
        </w:rPr>
      </w:pPr>
      <w:r w:rsidRPr="00BB33FC">
        <w:rPr>
          <w:rFonts w:ascii="Calibri" w:eastAsia="Calibri" w:hAnsi="Calibri"/>
          <w:b/>
          <w:bCs/>
          <w:szCs w:val="22"/>
          <w:lang w:eastAsia="en-US"/>
        </w:rPr>
        <w:t>Overiteľnosť a kontrolovateľnosť</w:t>
      </w:r>
    </w:p>
    <w:p w:rsidR="00BB33FC" w:rsidRPr="00BB33FC" w:rsidRDefault="00BB33FC" w:rsidP="00BB33FC">
      <w:pPr>
        <w:spacing w:after="120"/>
        <w:rPr>
          <w:rFonts w:ascii="Calibri" w:eastAsia="Calibri" w:hAnsi="Calibri"/>
          <w:szCs w:val="22"/>
          <w:lang w:eastAsia="en-US"/>
        </w:rPr>
      </w:pPr>
      <w:r w:rsidRPr="00BB33FC">
        <w:rPr>
          <w:rFonts w:ascii="Calibri" w:eastAsia="Calibri" w:hAnsi="Calibri"/>
          <w:szCs w:val="22"/>
          <w:lang w:eastAsia="en-US"/>
        </w:rPr>
        <w:t>V súlade s článkom 62 nariadenia (EÚ) 1305/2013 o podpore rozvoja vidieka prostredníctvom Európskeho poľnohospodárskeho fondu rozvoja vidieka Pôdohospodárska platobná agentúra (PPA) bude vychádzať z metodických postupov stanovených riadiacim orgánom (RO), stanovujúcich ex-ante posúdenie overiteľnosti a kontrolovateľnosti všetkých opatrení, ktoré sa budú implementovať. Tým sa zvýši povedomie o uskutočniteľnosti implementácie všetkých opatrení a ich vplyvu na chyby.</w:t>
      </w:r>
    </w:p>
    <w:p w:rsidR="00BB33FC" w:rsidRPr="00BB33FC" w:rsidRDefault="00BB33FC" w:rsidP="00BB33FC">
      <w:pPr>
        <w:spacing w:after="120"/>
        <w:rPr>
          <w:rFonts w:ascii="Calibri" w:eastAsia="Calibri" w:hAnsi="Calibri"/>
          <w:szCs w:val="22"/>
          <w:lang w:eastAsia="en-US"/>
        </w:rPr>
      </w:pPr>
      <w:r w:rsidRPr="00BB33FC">
        <w:rPr>
          <w:rFonts w:ascii="Calibri" w:eastAsia="Calibri" w:hAnsi="Calibri"/>
          <w:szCs w:val="22"/>
          <w:lang w:eastAsia="en-US"/>
        </w:rPr>
        <w:t xml:space="preserve">V rámci implementovaných opatrení RO zadefinuje </w:t>
      </w:r>
      <w:r w:rsidRPr="00BB33FC">
        <w:rPr>
          <w:rFonts w:ascii="Calibri" w:eastAsia="Calibri" w:hAnsi="Calibri"/>
          <w:bCs/>
          <w:szCs w:val="22"/>
          <w:lang w:eastAsia="en-US"/>
        </w:rPr>
        <w:t>kritériá spôsobilosti,</w:t>
      </w:r>
      <w:r w:rsidRPr="00BB33FC">
        <w:rPr>
          <w:rFonts w:ascii="Calibri" w:eastAsia="Calibri" w:hAnsi="Calibri"/>
          <w:szCs w:val="22"/>
          <w:lang w:eastAsia="en-US"/>
        </w:rPr>
        <w:t xml:space="preserve"> oprávnenosti  žiadateľa a oprávnenosti projektu tak, aby boli merateľné a overiteľné. Na zabezpečenie transparentnosti a jednotného výkladu RO stanoví presné definície jednotlivých pojmov tak, aby nebol spochybniteľný ich výklad. Ich dodržanie musí žiadateľ preukázať, resp. deklarovať pri predložení žiadosti o nenávratný finančný príspevok (ŽoNFP). Kritériá spôsobilosti, ktoré nemôže z časového hľadiska  preukázať pri podaní ŽoNFP, bude preukazovať pri podaní žiadosti o platbu (ŽoP). PPA bude ich plnenie požadovať najneskôr pri podaní poslednej ŽoP.  K plneniu kritérií spôsobilosti, ktoré sa preukazujú pri podaní ŽoP, sa konečný prijímateľ pomoci zaviaže pri podpise zmluvy o poskytnutí nenávratného finančného príspevku (zmluva o NFP).  Kontrola kritérií spôsobilosti zo strany PPA bude predmetom administratívnej kontroly a v stanovených prípadoch aj kontroly na mieste. V prípade ich neplnenia nebude žiadateľovi schválená ŽoNFP resp. vyplatená finančná čiastka v rámci ŽoP, prípadne PPA odstúpi od zmluvy o NFP.</w:t>
      </w:r>
    </w:p>
    <w:p w:rsidR="00BB33FC" w:rsidRPr="00BB33FC" w:rsidRDefault="00BB33FC" w:rsidP="00BB33FC">
      <w:pPr>
        <w:spacing w:after="120"/>
        <w:rPr>
          <w:rFonts w:ascii="Calibri" w:eastAsia="Calibri" w:hAnsi="Calibri"/>
          <w:szCs w:val="22"/>
          <w:lang w:eastAsia="en-US"/>
        </w:rPr>
      </w:pPr>
      <w:r w:rsidRPr="00BB33FC">
        <w:rPr>
          <w:rFonts w:ascii="Calibri" w:eastAsia="Calibri" w:hAnsi="Calibri"/>
          <w:szCs w:val="22"/>
          <w:lang w:eastAsia="en-US"/>
        </w:rPr>
        <w:t>Uzákonené pravidlá a postupy verejného obstarávania zaväzujú  konečných prijímateľov postupovať pri výbere dodávateľov tovarov, stavebných prác a služieb v zmysle týchto pravidiel.</w:t>
      </w:r>
      <w:r w:rsidRPr="00BB33FC">
        <w:rPr>
          <w:rFonts w:ascii="Calibri" w:eastAsia="Calibri" w:hAnsi="Calibri"/>
          <w:b/>
          <w:szCs w:val="22"/>
          <w:lang w:eastAsia="en-US"/>
        </w:rPr>
        <w:t xml:space="preserve"> </w:t>
      </w:r>
      <w:r w:rsidRPr="00BB33FC">
        <w:rPr>
          <w:rFonts w:ascii="Calibri" w:eastAsia="Calibri" w:hAnsi="Calibri"/>
          <w:szCs w:val="22"/>
          <w:lang w:eastAsia="en-US"/>
        </w:rPr>
        <w:t xml:space="preserve"> Pravidlá a postupy verejného obstarávania budú  premietnuté do metodických príručiek pre žiadateľov a tiež do  kontrolných postupov v rámci vyhodnocovania ŽoNFP.  Ich dodržiavanie zo strany žiadateľov a následne ich kontrola zo strany PPA zabezpečí uplatňovanie princípu rovnakého zaobchádzania, princípu nediskriminácie uchádzačov alebo záujemcov, princípu transparentnosti,  princípu hospodárnosti a efektívnosti.</w:t>
      </w:r>
    </w:p>
    <w:p w:rsidR="00BB33FC" w:rsidRPr="00BB33FC" w:rsidRDefault="00BB33FC" w:rsidP="00BB33FC">
      <w:pPr>
        <w:spacing w:after="120"/>
        <w:rPr>
          <w:rFonts w:ascii="Calibri" w:eastAsia="Calibri" w:hAnsi="Calibri"/>
          <w:szCs w:val="22"/>
          <w:lang w:eastAsia="en-US"/>
        </w:rPr>
      </w:pPr>
      <w:r w:rsidRPr="00BB33FC">
        <w:rPr>
          <w:rFonts w:ascii="Calibri" w:eastAsia="Calibri" w:hAnsi="Calibri"/>
          <w:szCs w:val="22"/>
          <w:lang w:eastAsia="en-US"/>
        </w:rPr>
        <w:t xml:space="preserve">V pripravovanom IT systéme budú riešené všetky opatrenia tak, aby zohľadňovali špecifiká jednotlivých opatrení vzhľadom na ich rôznorodosť. </w:t>
      </w:r>
      <w:r w:rsidRPr="00BB33FC">
        <w:rPr>
          <w:rFonts w:ascii="Calibri" w:eastAsia="Calibri" w:hAnsi="Calibri"/>
          <w:bCs/>
          <w:szCs w:val="22"/>
          <w:lang w:eastAsia="en-US"/>
        </w:rPr>
        <w:t xml:space="preserve">Pri tvorbe nového informačného systému bude PPA vychádzať z praktických poznatkov získaných v  predchádzajúcich programovacích obdobiach. PPA z minulých programovacích období disponuje aj negatívnymi poznatkami, ktoré v značnej miere zvyšovali administratívnu záťaž pri čerpaní prostriedkov a v konečnom dôsledku výstupy z informačného systému mali malú vypovedaciu hodnotu a bolo ich možné využiť len pri vyhodnocovaní niektorých požadovaných ukazovateľov. Nedostatočne a neskoro nastavený informačný systém v predchádzajúcich programoch mal za následok vysokú </w:t>
      </w:r>
      <w:r w:rsidRPr="00BB33FC">
        <w:rPr>
          <w:rFonts w:ascii="Calibri" w:eastAsia="Calibri" w:hAnsi="Calibri"/>
          <w:szCs w:val="22"/>
          <w:lang w:eastAsia="en-US"/>
        </w:rPr>
        <w:t xml:space="preserve">administratívnu  záťaž pre zamestnancov PPA, a tým aj predlžovanie termínov vyhodnotenia žiadostí o nenávratný finančný príspevok, ako aj žiadostí o platbu. Implementácia opatrení PRV za podpory zodpovedajúceho a s dostatočným predstihom nastaveného  IT systému  je základom pre minimalizáciu rizika a zlepšenie overiteľnosti a kontrolovateľnosti opatrení. </w:t>
      </w:r>
    </w:p>
    <w:p w:rsidR="00BB33FC" w:rsidRPr="00BB33FC" w:rsidRDefault="00BB33FC" w:rsidP="00BB33FC">
      <w:pPr>
        <w:spacing w:after="200"/>
        <w:rPr>
          <w:rFonts w:ascii="Calibri" w:eastAsia="Calibri" w:hAnsi="Calibri"/>
          <w:szCs w:val="22"/>
          <w:lang w:eastAsia="en-US"/>
        </w:rPr>
      </w:pPr>
      <w:r w:rsidRPr="00BB33FC">
        <w:rPr>
          <w:rFonts w:ascii="Calibri" w:eastAsia="Calibri" w:hAnsi="Calibri"/>
          <w:szCs w:val="22"/>
          <w:lang w:eastAsia="en-US"/>
        </w:rPr>
        <w:t>Riadiaci orgán spoločne s Pôdohospodárskou platobnou agentúrou zabezpečí overiteľnosť a kontrolovateľnosť opatrení PRV. Zároveň v prípade opatrení, pri ktorých bude finančná pomoc poskytnutá na základe štandardných výdavkov alebo dodatočných výdavkov a ušlého zisku, platby vypočíta a posúdi nezávislá inštitúcia v zmysle nižšie uvedenej tabuľky:</w:t>
      </w:r>
    </w:p>
    <w:p w:rsidR="00BB33FC" w:rsidRDefault="00BB33FC" w:rsidP="00BB33FC">
      <w:pPr>
        <w:spacing w:after="200"/>
        <w:rPr>
          <w:rFonts w:ascii="Calibri" w:eastAsia="Calibri" w:hAnsi="Calibri"/>
          <w:i/>
          <w:iCs/>
          <w:szCs w:val="22"/>
          <w:lang w:eastAsia="en-US"/>
        </w:rPr>
      </w:pPr>
    </w:p>
    <w:p w:rsidR="006C75BE" w:rsidRDefault="006C75BE" w:rsidP="00BB33FC">
      <w:pPr>
        <w:spacing w:after="200"/>
        <w:rPr>
          <w:rFonts w:ascii="Calibri" w:eastAsia="Calibri" w:hAnsi="Calibri"/>
          <w:i/>
          <w:iCs/>
          <w:szCs w:val="22"/>
          <w:lang w:eastAsia="en-US"/>
        </w:rPr>
      </w:pPr>
    </w:p>
    <w:p w:rsidR="00BC4D3C" w:rsidRPr="00BB33FC" w:rsidRDefault="00BC4D3C" w:rsidP="00BB33FC">
      <w:pPr>
        <w:spacing w:after="200"/>
        <w:rPr>
          <w:rFonts w:ascii="Calibri" w:eastAsia="Calibri" w:hAnsi="Calibri"/>
          <w:i/>
          <w:iCs/>
          <w:szCs w:val="22"/>
          <w:lang w:eastAsia="en-US"/>
        </w:rPr>
      </w:pPr>
    </w:p>
    <w:p w:rsidR="00BB33FC" w:rsidRPr="00BB33FC" w:rsidRDefault="00BB33FC" w:rsidP="00BB33FC">
      <w:pPr>
        <w:rPr>
          <w:rFonts w:ascii="Calibri" w:eastAsia="Calibri" w:hAnsi="Calibri"/>
          <w:szCs w:val="22"/>
          <w:lang w:eastAsia="en-US"/>
        </w:rPr>
      </w:pPr>
    </w:p>
    <w:tbl>
      <w:tblPr>
        <w:tblW w:w="5000" w:type="pct"/>
        <w:tblCellMar>
          <w:left w:w="70" w:type="dxa"/>
          <w:right w:w="70" w:type="dxa"/>
        </w:tblCellMar>
        <w:tblLook w:val="04A0" w:firstRow="1" w:lastRow="0" w:firstColumn="1" w:lastColumn="0" w:noHBand="0" w:noVBand="1"/>
      </w:tblPr>
      <w:tblGrid>
        <w:gridCol w:w="2624"/>
        <w:gridCol w:w="3119"/>
        <w:gridCol w:w="3467"/>
      </w:tblGrid>
      <w:tr w:rsidR="00BB33FC" w:rsidRPr="00BB33FC" w:rsidTr="00BB33FC">
        <w:trPr>
          <w:trHeight w:val="300"/>
        </w:trPr>
        <w:tc>
          <w:tcPr>
            <w:tcW w:w="1425" w:type="pct"/>
            <w:tcBorders>
              <w:top w:val="single" w:sz="4" w:space="0" w:color="auto"/>
              <w:left w:val="single" w:sz="4" w:space="0" w:color="auto"/>
              <w:bottom w:val="single" w:sz="4" w:space="0" w:color="auto"/>
              <w:right w:val="single" w:sz="4" w:space="0" w:color="auto"/>
            </w:tcBorders>
            <w:shd w:val="clear" w:color="auto" w:fill="DBE5F1"/>
            <w:hideMark/>
          </w:tcPr>
          <w:p w:rsidR="00BB33FC" w:rsidRPr="00BB33FC" w:rsidRDefault="00BB33FC" w:rsidP="00D95CA5">
            <w:pPr>
              <w:jc w:val="left"/>
              <w:rPr>
                <w:rFonts w:ascii="Calibri" w:hAnsi="Calibri" w:cs="Calibri"/>
                <w:b/>
                <w:bCs/>
                <w:color w:val="000000"/>
                <w:sz w:val="20"/>
                <w:szCs w:val="20"/>
              </w:rPr>
            </w:pPr>
            <w:r w:rsidRPr="00BB33FC">
              <w:rPr>
                <w:rFonts w:ascii="Calibri" w:hAnsi="Calibri" w:cs="Calibri"/>
                <w:b/>
                <w:bCs/>
                <w:color w:val="000000"/>
                <w:sz w:val="20"/>
                <w:szCs w:val="20"/>
              </w:rPr>
              <w:t>Opatrenie</w:t>
            </w:r>
          </w:p>
        </w:tc>
        <w:tc>
          <w:tcPr>
            <w:tcW w:w="1693" w:type="pct"/>
            <w:tcBorders>
              <w:top w:val="single" w:sz="4" w:space="0" w:color="auto"/>
              <w:left w:val="single" w:sz="4" w:space="0" w:color="auto"/>
              <w:bottom w:val="single" w:sz="4" w:space="0" w:color="auto"/>
              <w:right w:val="single" w:sz="4" w:space="0" w:color="auto"/>
            </w:tcBorders>
            <w:shd w:val="clear" w:color="auto" w:fill="DBE5F1"/>
          </w:tcPr>
          <w:p w:rsidR="00BB33FC" w:rsidRPr="00BB33FC" w:rsidRDefault="00BB33FC" w:rsidP="00D95CA5">
            <w:pPr>
              <w:jc w:val="left"/>
              <w:rPr>
                <w:rFonts w:ascii="Calibri" w:hAnsi="Calibri" w:cs="Calibri"/>
                <w:b/>
                <w:bCs/>
                <w:color w:val="000000"/>
                <w:sz w:val="20"/>
                <w:szCs w:val="20"/>
              </w:rPr>
            </w:pPr>
            <w:r w:rsidRPr="00BB33FC">
              <w:rPr>
                <w:rFonts w:ascii="Calibri" w:hAnsi="Calibri" w:cs="Calibri"/>
                <w:b/>
                <w:bCs/>
                <w:color w:val="000000"/>
                <w:sz w:val="20"/>
                <w:szCs w:val="20"/>
              </w:rPr>
              <w:t>Podopatrenie</w:t>
            </w:r>
          </w:p>
        </w:tc>
        <w:tc>
          <w:tcPr>
            <w:tcW w:w="1882" w:type="pct"/>
            <w:tcBorders>
              <w:top w:val="single" w:sz="4" w:space="0" w:color="auto"/>
              <w:left w:val="nil"/>
              <w:bottom w:val="single" w:sz="4" w:space="0" w:color="auto"/>
              <w:right w:val="single" w:sz="4" w:space="0" w:color="auto"/>
            </w:tcBorders>
            <w:shd w:val="clear" w:color="auto" w:fill="DBE5F1"/>
            <w:hideMark/>
          </w:tcPr>
          <w:p w:rsidR="00BB33FC" w:rsidRPr="00BB33FC" w:rsidRDefault="00BB33FC" w:rsidP="00D95CA5">
            <w:pPr>
              <w:jc w:val="left"/>
              <w:rPr>
                <w:rFonts w:ascii="Calibri" w:hAnsi="Calibri" w:cs="Calibri"/>
                <w:b/>
                <w:bCs/>
                <w:color w:val="000000"/>
                <w:sz w:val="20"/>
                <w:szCs w:val="20"/>
              </w:rPr>
            </w:pPr>
            <w:r w:rsidRPr="00BB33FC">
              <w:rPr>
                <w:rFonts w:ascii="Calibri" w:hAnsi="Calibri" w:cs="Calibri"/>
                <w:b/>
                <w:bCs/>
                <w:color w:val="000000"/>
                <w:sz w:val="20"/>
                <w:szCs w:val="20"/>
              </w:rPr>
              <w:t>Nezávislá inštitúcia</w:t>
            </w:r>
          </w:p>
        </w:tc>
      </w:tr>
      <w:tr w:rsidR="00BB33FC" w:rsidRPr="00BB33FC" w:rsidTr="00BB33FC">
        <w:trPr>
          <w:trHeight w:val="600"/>
        </w:trPr>
        <w:tc>
          <w:tcPr>
            <w:tcW w:w="1425" w:type="pct"/>
            <w:vMerge w:val="restart"/>
            <w:tcBorders>
              <w:top w:val="nil"/>
              <w:left w:val="single" w:sz="4" w:space="0" w:color="auto"/>
              <w:bottom w:val="single" w:sz="4" w:space="0" w:color="auto"/>
              <w:right w:val="single" w:sz="4" w:space="0" w:color="auto"/>
            </w:tcBorders>
            <w:hideMark/>
          </w:tcPr>
          <w:p w:rsidR="00BB33FC" w:rsidRPr="00BB33FC" w:rsidRDefault="00BB33FC" w:rsidP="00D95CA5">
            <w:pPr>
              <w:ind w:left="284" w:hanging="284"/>
              <w:jc w:val="left"/>
              <w:rPr>
                <w:rFonts w:ascii="Calibri" w:hAnsi="Calibri" w:cs="Calibri"/>
                <w:color w:val="000000"/>
                <w:sz w:val="20"/>
                <w:szCs w:val="20"/>
              </w:rPr>
            </w:pPr>
            <w:r w:rsidRPr="00BB33FC">
              <w:rPr>
                <w:rFonts w:ascii="Calibri" w:hAnsi="Calibri" w:cs="Calibri"/>
                <w:color w:val="000000"/>
                <w:sz w:val="20"/>
                <w:szCs w:val="20"/>
              </w:rPr>
              <w:t>10  Agroenvironmentálno-klimatické opatrenie</w:t>
            </w:r>
          </w:p>
        </w:tc>
        <w:tc>
          <w:tcPr>
            <w:tcW w:w="1693" w:type="pct"/>
            <w:tcBorders>
              <w:top w:val="nil"/>
              <w:left w:val="nil"/>
              <w:bottom w:val="single" w:sz="4" w:space="0" w:color="auto"/>
              <w:right w:val="single" w:sz="4" w:space="0" w:color="auto"/>
            </w:tcBorders>
            <w:hideMark/>
          </w:tcPr>
          <w:p w:rsidR="00BB33FC" w:rsidRPr="00BB33FC" w:rsidRDefault="00BB33FC" w:rsidP="0005560D">
            <w:pPr>
              <w:ind w:left="493" w:hanging="493"/>
              <w:jc w:val="left"/>
              <w:rPr>
                <w:rFonts w:ascii="Calibri" w:hAnsi="Calibri" w:cs="Calibri"/>
                <w:color w:val="000000"/>
                <w:sz w:val="20"/>
                <w:szCs w:val="20"/>
              </w:rPr>
            </w:pPr>
            <w:r w:rsidRPr="00BB33FC">
              <w:rPr>
                <w:rFonts w:ascii="Calibri" w:hAnsi="Calibri" w:cs="Calibri"/>
                <w:color w:val="000000"/>
                <w:sz w:val="20"/>
                <w:szCs w:val="20"/>
              </w:rPr>
              <w:t>10.1 Platby za agroenvironmentálno-klimatické záväzky</w:t>
            </w:r>
          </w:p>
        </w:tc>
        <w:tc>
          <w:tcPr>
            <w:tcW w:w="1882" w:type="pct"/>
            <w:tcBorders>
              <w:top w:val="nil"/>
              <w:left w:val="nil"/>
              <w:bottom w:val="single" w:sz="4" w:space="0" w:color="auto"/>
              <w:right w:val="single" w:sz="4" w:space="0" w:color="auto"/>
            </w:tcBorders>
            <w:vAlign w:val="center"/>
            <w:hideMark/>
          </w:tcPr>
          <w:p w:rsidR="00BB33FC" w:rsidRPr="00BB33FC" w:rsidRDefault="00BB33FC" w:rsidP="00D95CA5">
            <w:pPr>
              <w:jc w:val="left"/>
              <w:rPr>
                <w:rFonts w:ascii="Calibri" w:hAnsi="Calibri" w:cs="Calibri"/>
                <w:color w:val="000000"/>
                <w:sz w:val="20"/>
                <w:szCs w:val="20"/>
              </w:rPr>
            </w:pPr>
            <w:r w:rsidRPr="00BB33FC">
              <w:rPr>
                <w:rFonts w:ascii="Calibri" w:hAnsi="Calibri" w:cs="Calibri"/>
                <w:b/>
                <w:color w:val="000000"/>
                <w:sz w:val="20"/>
                <w:szCs w:val="20"/>
              </w:rPr>
              <w:t>Národné poľnohospodárske a potravinárske centrum</w:t>
            </w:r>
            <w:r w:rsidRPr="00BB33FC">
              <w:rPr>
                <w:rFonts w:ascii="Calibri" w:hAnsi="Calibri" w:cs="Calibri"/>
                <w:color w:val="000000"/>
                <w:sz w:val="20"/>
                <w:szCs w:val="20"/>
              </w:rPr>
              <w:t xml:space="preserve"> – Výskumný ústav pôdoznalectva a ochrany pôdy  Bratislava</w:t>
            </w:r>
          </w:p>
        </w:tc>
      </w:tr>
      <w:tr w:rsidR="00BB33FC" w:rsidRPr="00BB33FC" w:rsidTr="00BB33FC">
        <w:trPr>
          <w:trHeight w:val="600"/>
        </w:trPr>
        <w:tc>
          <w:tcPr>
            <w:tcW w:w="1425" w:type="pct"/>
            <w:vMerge/>
            <w:tcBorders>
              <w:top w:val="nil"/>
              <w:left w:val="single" w:sz="4" w:space="0" w:color="auto"/>
              <w:bottom w:val="single" w:sz="4" w:space="0" w:color="auto"/>
              <w:right w:val="single" w:sz="4" w:space="0" w:color="auto"/>
            </w:tcBorders>
            <w:vAlign w:val="center"/>
            <w:hideMark/>
          </w:tcPr>
          <w:p w:rsidR="00BB33FC" w:rsidRPr="00BB33FC" w:rsidRDefault="00BB33FC" w:rsidP="00D95CA5">
            <w:pPr>
              <w:ind w:left="284" w:hanging="284"/>
              <w:jc w:val="left"/>
              <w:rPr>
                <w:rFonts w:ascii="Calibri" w:hAnsi="Calibri" w:cs="Calibri"/>
                <w:color w:val="000000"/>
                <w:sz w:val="20"/>
                <w:szCs w:val="20"/>
              </w:rPr>
            </w:pPr>
          </w:p>
        </w:tc>
        <w:tc>
          <w:tcPr>
            <w:tcW w:w="1693" w:type="pct"/>
            <w:tcBorders>
              <w:top w:val="nil"/>
              <w:left w:val="nil"/>
              <w:bottom w:val="single" w:sz="4" w:space="0" w:color="auto"/>
              <w:right w:val="single" w:sz="4" w:space="0" w:color="auto"/>
            </w:tcBorders>
            <w:hideMark/>
          </w:tcPr>
          <w:p w:rsidR="00BB33FC" w:rsidRPr="00BB33FC" w:rsidRDefault="00BB33FC" w:rsidP="0005560D">
            <w:pPr>
              <w:ind w:left="493" w:hanging="493"/>
              <w:jc w:val="left"/>
              <w:rPr>
                <w:rFonts w:ascii="Calibri" w:hAnsi="Calibri" w:cs="Calibri"/>
                <w:color w:val="000000"/>
                <w:sz w:val="20"/>
                <w:szCs w:val="20"/>
              </w:rPr>
            </w:pPr>
            <w:r w:rsidRPr="00BB33FC">
              <w:rPr>
                <w:rFonts w:ascii="Calibri" w:hAnsi="Calibri" w:cs="Calibri"/>
                <w:color w:val="000000"/>
                <w:sz w:val="20"/>
                <w:szCs w:val="20"/>
              </w:rPr>
              <w:t>10.2 Podpora na zachovanie a udržateľné využívanie a rozvoj genetických zdrojov v poľnohospodárstve</w:t>
            </w:r>
          </w:p>
        </w:tc>
        <w:tc>
          <w:tcPr>
            <w:tcW w:w="1882" w:type="pct"/>
            <w:tcBorders>
              <w:top w:val="nil"/>
              <w:left w:val="nil"/>
              <w:bottom w:val="single" w:sz="4" w:space="0" w:color="auto"/>
              <w:right w:val="single" w:sz="4" w:space="0" w:color="auto"/>
            </w:tcBorders>
            <w:vAlign w:val="center"/>
            <w:hideMark/>
          </w:tcPr>
          <w:p w:rsidR="00BB33FC" w:rsidRPr="00BB33FC" w:rsidRDefault="00BB33FC" w:rsidP="00D95CA5">
            <w:pPr>
              <w:jc w:val="left"/>
              <w:rPr>
                <w:rFonts w:ascii="Calibri" w:hAnsi="Calibri" w:cs="Calibri"/>
                <w:color w:val="000000"/>
                <w:sz w:val="20"/>
                <w:szCs w:val="20"/>
              </w:rPr>
            </w:pPr>
            <w:r w:rsidRPr="00BB33FC">
              <w:rPr>
                <w:rFonts w:ascii="Calibri" w:hAnsi="Calibri" w:cs="Calibri"/>
                <w:b/>
                <w:color w:val="000000"/>
                <w:sz w:val="20"/>
                <w:szCs w:val="20"/>
              </w:rPr>
              <w:t>Národné poľnohospodárske a potravinárske centrum</w:t>
            </w:r>
            <w:r w:rsidRPr="00BB33FC">
              <w:rPr>
                <w:rFonts w:ascii="Calibri" w:hAnsi="Calibri" w:cs="Calibri"/>
                <w:color w:val="000000"/>
                <w:sz w:val="20"/>
                <w:szCs w:val="20"/>
              </w:rPr>
              <w:t xml:space="preserve"> - Výskumný ústav živočíšnej výroby Nitra</w:t>
            </w:r>
          </w:p>
        </w:tc>
      </w:tr>
      <w:tr w:rsidR="00BB33FC" w:rsidRPr="00BB33FC" w:rsidTr="00BB33FC">
        <w:trPr>
          <w:trHeight w:val="600"/>
        </w:trPr>
        <w:tc>
          <w:tcPr>
            <w:tcW w:w="1425" w:type="pct"/>
            <w:tcBorders>
              <w:top w:val="nil"/>
              <w:left w:val="single" w:sz="4" w:space="0" w:color="auto"/>
              <w:bottom w:val="single" w:sz="4" w:space="0" w:color="auto"/>
              <w:right w:val="single" w:sz="4" w:space="0" w:color="auto"/>
            </w:tcBorders>
            <w:hideMark/>
          </w:tcPr>
          <w:p w:rsidR="00BB33FC" w:rsidRPr="00BB33FC" w:rsidRDefault="00BB33FC" w:rsidP="00D95CA5">
            <w:pPr>
              <w:ind w:left="284" w:hanging="284"/>
              <w:jc w:val="left"/>
              <w:rPr>
                <w:rFonts w:ascii="Calibri" w:hAnsi="Calibri" w:cs="Calibri"/>
                <w:color w:val="000000"/>
                <w:sz w:val="20"/>
                <w:szCs w:val="20"/>
              </w:rPr>
            </w:pPr>
            <w:r w:rsidRPr="00BB33FC">
              <w:rPr>
                <w:rFonts w:ascii="Calibri" w:hAnsi="Calibri" w:cs="Calibri"/>
                <w:color w:val="000000"/>
                <w:sz w:val="20"/>
                <w:szCs w:val="20"/>
              </w:rPr>
              <w:t>11 Ekologické poľnohospodárstvo</w:t>
            </w:r>
          </w:p>
        </w:tc>
        <w:tc>
          <w:tcPr>
            <w:tcW w:w="1693" w:type="pct"/>
            <w:tcBorders>
              <w:top w:val="nil"/>
              <w:left w:val="nil"/>
              <w:bottom w:val="single" w:sz="4" w:space="0" w:color="auto"/>
              <w:right w:val="single" w:sz="4" w:space="0" w:color="auto"/>
            </w:tcBorders>
            <w:hideMark/>
          </w:tcPr>
          <w:p w:rsidR="00BB33FC" w:rsidRPr="00BB33FC" w:rsidRDefault="00BB33FC" w:rsidP="0005560D">
            <w:pPr>
              <w:jc w:val="left"/>
              <w:rPr>
                <w:rFonts w:ascii="Calibri" w:hAnsi="Calibri" w:cs="Calibri"/>
                <w:color w:val="000000"/>
                <w:sz w:val="20"/>
                <w:szCs w:val="20"/>
              </w:rPr>
            </w:pPr>
            <w:r w:rsidRPr="00BB33FC">
              <w:rPr>
                <w:rFonts w:ascii="Calibri" w:hAnsi="Calibri" w:cs="Calibri"/>
                <w:color w:val="000000"/>
                <w:sz w:val="20"/>
                <w:szCs w:val="20"/>
              </w:rPr>
              <w:t> </w:t>
            </w:r>
          </w:p>
        </w:tc>
        <w:tc>
          <w:tcPr>
            <w:tcW w:w="1882" w:type="pct"/>
            <w:tcBorders>
              <w:top w:val="nil"/>
              <w:left w:val="nil"/>
              <w:bottom w:val="single" w:sz="4" w:space="0" w:color="auto"/>
              <w:right w:val="single" w:sz="4" w:space="0" w:color="auto"/>
            </w:tcBorders>
            <w:vAlign w:val="center"/>
            <w:hideMark/>
          </w:tcPr>
          <w:p w:rsidR="00BB33FC" w:rsidRPr="00BB33FC" w:rsidRDefault="00BB33FC" w:rsidP="00D95CA5">
            <w:pPr>
              <w:jc w:val="left"/>
              <w:rPr>
                <w:rFonts w:ascii="Calibri" w:hAnsi="Calibri" w:cs="Calibri"/>
                <w:color w:val="000000"/>
                <w:sz w:val="20"/>
                <w:szCs w:val="20"/>
              </w:rPr>
            </w:pPr>
            <w:r w:rsidRPr="00BB33FC">
              <w:rPr>
                <w:rFonts w:ascii="Calibri" w:hAnsi="Calibri" w:cs="Calibri"/>
                <w:b/>
                <w:color w:val="000000"/>
                <w:sz w:val="20"/>
                <w:szCs w:val="20"/>
              </w:rPr>
              <w:t>Národné poľnohospodárske a potravinárske centrum</w:t>
            </w:r>
            <w:r w:rsidRPr="00BB33FC">
              <w:rPr>
                <w:rFonts w:ascii="Calibri" w:hAnsi="Calibri" w:cs="Calibri"/>
                <w:color w:val="000000"/>
                <w:sz w:val="20"/>
                <w:szCs w:val="20"/>
              </w:rPr>
              <w:t xml:space="preserve"> – Výskumný ústav pôdoznalectva a ochrany pôdy   Bratislava</w:t>
            </w:r>
          </w:p>
        </w:tc>
      </w:tr>
      <w:tr w:rsidR="00BB33FC" w:rsidRPr="00BB33FC" w:rsidTr="00BB33FC">
        <w:trPr>
          <w:trHeight w:val="600"/>
        </w:trPr>
        <w:tc>
          <w:tcPr>
            <w:tcW w:w="1425" w:type="pct"/>
            <w:vMerge w:val="restart"/>
            <w:tcBorders>
              <w:top w:val="nil"/>
              <w:left w:val="single" w:sz="4" w:space="0" w:color="auto"/>
              <w:bottom w:val="single" w:sz="4" w:space="0" w:color="auto"/>
              <w:right w:val="single" w:sz="4" w:space="0" w:color="auto"/>
            </w:tcBorders>
            <w:hideMark/>
          </w:tcPr>
          <w:p w:rsidR="00BB33FC" w:rsidRPr="00BB33FC" w:rsidRDefault="00BB33FC" w:rsidP="00D95CA5">
            <w:pPr>
              <w:ind w:left="284" w:hanging="284"/>
              <w:jc w:val="left"/>
              <w:rPr>
                <w:rFonts w:ascii="Calibri" w:hAnsi="Calibri" w:cs="Calibri"/>
                <w:color w:val="000000"/>
                <w:sz w:val="20"/>
                <w:szCs w:val="20"/>
              </w:rPr>
            </w:pPr>
            <w:r w:rsidRPr="00BB33FC">
              <w:rPr>
                <w:rFonts w:ascii="Calibri" w:hAnsi="Calibri" w:cs="Calibri"/>
                <w:color w:val="000000"/>
                <w:sz w:val="20"/>
                <w:szCs w:val="20"/>
              </w:rPr>
              <w:t>12 Platby v rámci sústavy NATURA 2000</w:t>
            </w:r>
          </w:p>
        </w:tc>
        <w:tc>
          <w:tcPr>
            <w:tcW w:w="1693" w:type="pct"/>
            <w:tcBorders>
              <w:top w:val="nil"/>
              <w:left w:val="nil"/>
              <w:bottom w:val="single" w:sz="4" w:space="0" w:color="auto"/>
              <w:right w:val="single" w:sz="4" w:space="0" w:color="auto"/>
            </w:tcBorders>
            <w:hideMark/>
          </w:tcPr>
          <w:p w:rsidR="00BB33FC" w:rsidRPr="00BB33FC" w:rsidRDefault="00BB33FC" w:rsidP="0005560D">
            <w:pPr>
              <w:ind w:left="493" w:hanging="493"/>
              <w:jc w:val="left"/>
              <w:rPr>
                <w:rFonts w:ascii="Calibri" w:hAnsi="Calibri" w:cs="Calibri"/>
                <w:color w:val="000000"/>
                <w:sz w:val="20"/>
                <w:szCs w:val="20"/>
              </w:rPr>
            </w:pPr>
            <w:r w:rsidRPr="00BB33FC">
              <w:rPr>
                <w:rFonts w:ascii="Calibri" w:hAnsi="Calibri" w:cs="Calibri"/>
                <w:color w:val="000000"/>
                <w:sz w:val="20"/>
                <w:szCs w:val="20"/>
              </w:rPr>
              <w:t>12.1   </w:t>
            </w:r>
            <w:r w:rsidRPr="00BB33FC">
              <w:rPr>
                <w:rFonts w:ascii="Calibri" w:hAnsi="Calibri" w:cs="Arial"/>
                <w:color w:val="000000"/>
                <w:sz w:val="20"/>
                <w:szCs w:val="20"/>
              </w:rPr>
              <w:t xml:space="preserve">Kompenzačné platby v rámci sústavy Natura 2000 – poľnohospodárska pôda </w:t>
            </w:r>
          </w:p>
        </w:tc>
        <w:tc>
          <w:tcPr>
            <w:tcW w:w="1882" w:type="pct"/>
            <w:tcBorders>
              <w:top w:val="nil"/>
              <w:left w:val="nil"/>
              <w:bottom w:val="single" w:sz="4" w:space="0" w:color="auto"/>
              <w:right w:val="single" w:sz="4" w:space="0" w:color="auto"/>
            </w:tcBorders>
            <w:vAlign w:val="center"/>
            <w:hideMark/>
          </w:tcPr>
          <w:p w:rsidR="00BB33FC" w:rsidRPr="00BB33FC" w:rsidRDefault="00BB33FC" w:rsidP="00D95CA5">
            <w:pPr>
              <w:jc w:val="left"/>
              <w:rPr>
                <w:rFonts w:ascii="Calibri" w:hAnsi="Calibri" w:cs="Calibri"/>
                <w:color w:val="000000"/>
                <w:sz w:val="20"/>
                <w:szCs w:val="20"/>
              </w:rPr>
            </w:pPr>
            <w:r w:rsidRPr="00BB33FC">
              <w:rPr>
                <w:rFonts w:ascii="Calibri" w:hAnsi="Calibri" w:cs="Calibri"/>
                <w:b/>
                <w:color w:val="000000"/>
                <w:sz w:val="20"/>
                <w:szCs w:val="20"/>
              </w:rPr>
              <w:t>Národné poľnohospodárske a potravinárske centrum</w:t>
            </w:r>
            <w:r w:rsidRPr="00BB33FC">
              <w:rPr>
                <w:rFonts w:ascii="Calibri" w:hAnsi="Calibri" w:cs="Calibri"/>
                <w:b/>
                <w:bCs/>
                <w:color w:val="000000"/>
                <w:sz w:val="20"/>
                <w:szCs w:val="20"/>
              </w:rPr>
              <w:t xml:space="preserve"> – </w:t>
            </w:r>
            <w:r w:rsidRPr="00BB33FC">
              <w:rPr>
                <w:rFonts w:ascii="Calibri" w:hAnsi="Calibri" w:cs="Calibri"/>
                <w:color w:val="000000"/>
                <w:sz w:val="20"/>
                <w:szCs w:val="20"/>
              </w:rPr>
              <w:t>Výskumný ústav pôdoznalectva a ochrany pôdy  Bratislava</w:t>
            </w:r>
          </w:p>
        </w:tc>
      </w:tr>
      <w:tr w:rsidR="00BB33FC" w:rsidRPr="00BB33FC" w:rsidTr="00BB33FC">
        <w:trPr>
          <w:trHeight w:val="600"/>
        </w:trPr>
        <w:tc>
          <w:tcPr>
            <w:tcW w:w="1425" w:type="pct"/>
            <w:vMerge/>
            <w:tcBorders>
              <w:top w:val="nil"/>
              <w:left w:val="single" w:sz="4" w:space="0" w:color="auto"/>
              <w:bottom w:val="single" w:sz="4" w:space="0" w:color="auto"/>
              <w:right w:val="single" w:sz="4" w:space="0" w:color="auto"/>
            </w:tcBorders>
            <w:vAlign w:val="center"/>
            <w:hideMark/>
          </w:tcPr>
          <w:p w:rsidR="00BB33FC" w:rsidRPr="00BB33FC" w:rsidRDefault="00BB33FC" w:rsidP="00D95CA5">
            <w:pPr>
              <w:ind w:left="284" w:hanging="284"/>
              <w:jc w:val="left"/>
              <w:rPr>
                <w:rFonts w:ascii="Calibri" w:hAnsi="Calibri" w:cs="Calibri"/>
                <w:color w:val="000000"/>
                <w:sz w:val="20"/>
                <w:szCs w:val="20"/>
              </w:rPr>
            </w:pPr>
          </w:p>
        </w:tc>
        <w:tc>
          <w:tcPr>
            <w:tcW w:w="1693" w:type="pct"/>
            <w:tcBorders>
              <w:top w:val="nil"/>
              <w:left w:val="nil"/>
              <w:bottom w:val="single" w:sz="4" w:space="0" w:color="auto"/>
              <w:right w:val="single" w:sz="4" w:space="0" w:color="auto"/>
            </w:tcBorders>
            <w:hideMark/>
          </w:tcPr>
          <w:p w:rsidR="00BB33FC" w:rsidRPr="00BB33FC" w:rsidRDefault="00BB33FC" w:rsidP="0005560D">
            <w:pPr>
              <w:ind w:left="493" w:hanging="493"/>
              <w:jc w:val="left"/>
              <w:rPr>
                <w:rFonts w:ascii="Calibri" w:hAnsi="Calibri" w:cs="Calibri"/>
                <w:color w:val="000000"/>
                <w:sz w:val="20"/>
                <w:szCs w:val="20"/>
              </w:rPr>
            </w:pPr>
            <w:r w:rsidRPr="00BB33FC">
              <w:rPr>
                <w:rFonts w:ascii="Calibri" w:hAnsi="Calibri" w:cs="Calibri"/>
                <w:color w:val="000000"/>
                <w:sz w:val="20"/>
                <w:szCs w:val="20"/>
              </w:rPr>
              <w:t>12.2  Kompenzačné platby v rámci sústavy Natura 2000 – lesný pozemok</w:t>
            </w:r>
          </w:p>
        </w:tc>
        <w:tc>
          <w:tcPr>
            <w:tcW w:w="1882" w:type="pct"/>
            <w:tcBorders>
              <w:top w:val="nil"/>
              <w:left w:val="nil"/>
              <w:bottom w:val="single" w:sz="4" w:space="0" w:color="auto"/>
              <w:right w:val="single" w:sz="4" w:space="0" w:color="auto"/>
            </w:tcBorders>
            <w:vAlign w:val="center"/>
            <w:hideMark/>
          </w:tcPr>
          <w:p w:rsidR="00BB33FC" w:rsidRPr="00BB33FC" w:rsidRDefault="00BB33FC" w:rsidP="00D95CA5">
            <w:pPr>
              <w:jc w:val="left"/>
              <w:rPr>
                <w:rFonts w:ascii="Calibri" w:hAnsi="Calibri" w:cs="Calibri"/>
                <w:color w:val="000000"/>
                <w:sz w:val="20"/>
                <w:szCs w:val="20"/>
              </w:rPr>
            </w:pPr>
            <w:r w:rsidRPr="00BB33FC">
              <w:rPr>
                <w:rFonts w:ascii="Calibri" w:hAnsi="Calibri" w:cs="Calibri"/>
                <w:b/>
                <w:color w:val="000000"/>
                <w:sz w:val="20"/>
                <w:szCs w:val="20"/>
              </w:rPr>
              <w:t>Národné lesnícke centrum</w:t>
            </w:r>
            <w:r w:rsidRPr="00BB33FC">
              <w:rPr>
                <w:rFonts w:ascii="Calibri" w:hAnsi="Calibri" w:cs="Calibri"/>
                <w:color w:val="000000"/>
                <w:sz w:val="20"/>
                <w:szCs w:val="20"/>
              </w:rPr>
              <w:t xml:space="preserve"> Zvolen</w:t>
            </w:r>
          </w:p>
        </w:tc>
      </w:tr>
      <w:tr w:rsidR="00BB33FC" w:rsidRPr="00BB33FC" w:rsidTr="00BB33FC">
        <w:trPr>
          <w:trHeight w:val="600"/>
        </w:trPr>
        <w:tc>
          <w:tcPr>
            <w:tcW w:w="1425" w:type="pct"/>
            <w:tcBorders>
              <w:top w:val="nil"/>
              <w:left w:val="single" w:sz="4" w:space="0" w:color="auto"/>
              <w:bottom w:val="single" w:sz="4" w:space="0" w:color="auto"/>
              <w:right w:val="single" w:sz="4" w:space="0" w:color="auto"/>
            </w:tcBorders>
            <w:hideMark/>
          </w:tcPr>
          <w:p w:rsidR="00BB33FC" w:rsidRPr="00BB33FC" w:rsidRDefault="00BB33FC" w:rsidP="00D95CA5">
            <w:pPr>
              <w:ind w:left="284" w:hanging="284"/>
              <w:jc w:val="left"/>
              <w:rPr>
                <w:rFonts w:ascii="Calibri" w:hAnsi="Calibri" w:cs="Calibri"/>
                <w:color w:val="000000"/>
                <w:sz w:val="20"/>
                <w:szCs w:val="20"/>
              </w:rPr>
            </w:pPr>
            <w:r w:rsidRPr="00BB33FC">
              <w:rPr>
                <w:rFonts w:ascii="Calibri" w:hAnsi="Calibri" w:cs="Calibri"/>
                <w:color w:val="000000"/>
                <w:sz w:val="20"/>
                <w:szCs w:val="20"/>
              </w:rPr>
              <w:t xml:space="preserve">13 Platby pre oblasti s prírodnými alebo inými osobitnými obmedzeniami </w:t>
            </w:r>
          </w:p>
        </w:tc>
        <w:tc>
          <w:tcPr>
            <w:tcW w:w="1693" w:type="pct"/>
            <w:tcBorders>
              <w:top w:val="nil"/>
              <w:left w:val="nil"/>
              <w:bottom w:val="single" w:sz="4" w:space="0" w:color="auto"/>
              <w:right w:val="single" w:sz="4" w:space="0" w:color="auto"/>
            </w:tcBorders>
            <w:hideMark/>
          </w:tcPr>
          <w:p w:rsidR="00BB33FC" w:rsidRPr="00BB33FC" w:rsidRDefault="00BB33FC" w:rsidP="0005560D">
            <w:pPr>
              <w:jc w:val="left"/>
              <w:rPr>
                <w:rFonts w:ascii="Calibri" w:hAnsi="Calibri" w:cs="Calibri"/>
                <w:color w:val="000000"/>
                <w:sz w:val="20"/>
                <w:szCs w:val="20"/>
              </w:rPr>
            </w:pPr>
            <w:r w:rsidRPr="00BB33FC">
              <w:rPr>
                <w:rFonts w:ascii="Calibri" w:hAnsi="Calibri" w:cs="Calibri"/>
                <w:color w:val="000000"/>
                <w:sz w:val="20"/>
                <w:szCs w:val="20"/>
              </w:rPr>
              <w:t> </w:t>
            </w:r>
          </w:p>
        </w:tc>
        <w:tc>
          <w:tcPr>
            <w:tcW w:w="1882" w:type="pct"/>
            <w:tcBorders>
              <w:top w:val="nil"/>
              <w:left w:val="nil"/>
              <w:bottom w:val="single" w:sz="4" w:space="0" w:color="auto"/>
              <w:right w:val="single" w:sz="4" w:space="0" w:color="auto"/>
            </w:tcBorders>
            <w:vAlign w:val="center"/>
            <w:hideMark/>
          </w:tcPr>
          <w:p w:rsidR="00BB33FC" w:rsidRPr="00BB33FC" w:rsidRDefault="00BB33FC" w:rsidP="00D95CA5">
            <w:pPr>
              <w:jc w:val="left"/>
              <w:rPr>
                <w:rFonts w:ascii="Calibri" w:hAnsi="Calibri" w:cs="Calibri"/>
                <w:color w:val="000000"/>
                <w:sz w:val="20"/>
                <w:szCs w:val="20"/>
              </w:rPr>
            </w:pPr>
            <w:r w:rsidRPr="00BB33FC">
              <w:rPr>
                <w:rFonts w:ascii="Calibri" w:hAnsi="Calibri" w:cs="Calibri"/>
                <w:b/>
                <w:color w:val="000000"/>
                <w:sz w:val="20"/>
                <w:szCs w:val="20"/>
              </w:rPr>
              <w:t>Výskumný ústav ekonomiky poľnohospodárstva a potravinárstva</w:t>
            </w:r>
            <w:r w:rsidRPr="00BB33FC">
              <w:rPr>
                <w:rFonts w:ascii="Calibri" w:hAnsi="Calibri" w:cs="Calibri"/>
                <w:color w:val="000000"/>
                <w:sz w:val="20"/>
                <w:szCs w:val="20"/>
              </w:rPr>
              <w:t xml:space="preserve"> Bratislava</w:t>
            </w:r>
          </w:p>
        </w:tc>
      </w:tr>
      <w:tr w:rsidR="00BB33FC" w:rsidRPr="00BB33FC" w:rsidTr="00BB33FC">
        <w:trPr>
          <w:trHeight w:val="300"/>
        </w:trPr>
        <w:tc>
          <w:tcPr>
            <w:tcW w:w="1425" w:type="pct"/>
            <w:tcBorders>
              <w:top w:val="nil"/>
              <w:left w:val="single" w:sz="4" w:space="0" w:color="auto"/>
              <w:bottom w:val="single" w:sz="4" w:space="0" w:color="auto"/>
              <w:right w:val="single" w:sz="4" w:space="0" w:color="auto"/>
            </w:tcBorders>
            <w:hideMark/>
          </w:tcPr>
          <w:p w:rsidR="00BB33FC" w:rsidRPr="00BB33FC" w:rsidRDefault="00BB33FC" w:rsidP="00D95CA5">
            <w:pPr>
              <w:spacing w:before="120"/>
              <w:ind w:left="284" w:hanging="284"/>
              <w:jc w:val="left"/>
              <w:rPr>
                <w:rFonts w:ascii="Calibri" w:hAnsi="Calibri" w:cs="Calibri"/>
                <w:color w:val="000000"/>
                <w:sz w:val="20"/>
                <w:szCs w:val="20"/>
              </w:rPr>
            </w:pPr>
            <w:r w:rsidRPr="00BB33FC">
              <w:rPr>
                <w:rFonts w:ascii="Calibri" w:hAnsi="Calibri" w:cs="Calibri"/>
                <w:color w:val="000000"/>
                <w:sz w:val="20"/>
                <w:szCs w:val="20"/>
              </w:rPr>
              <w:t>14 Dobré životné podmienky zvierat</w:t>
            </w:r>
          </w:p>
        </w:tc>
        <w:tc>
          <w:tcPr>
            <w:tcW w:w="1693" w:type="pct"/>
            <w:tcBorders>
              <w:top w:val="nil"/>
              <w:left w:val="nil"/>
              <w:bottom w:val="single" w:sz="4" w:space="0" w:color="auto"/>
              <w:right w:val="single" w:sz="4" w:space="0" w:color="auto"/>
            </w:tcBorders>
            <w:hideMark/>
          </w:tcPr>
          <w:p w:rsidR="00BB33FC" w:rsidRPr="00BB33FC" w:rsidRDefault="00BB33FC" w:rsidP="0005560D">
            <w:pPr>
              <w:jc w:val="left"/>
              <w:rPr>
                <w:rFonts w:ascii="Calibri" w:hAnsi="Calibri" w:cs="Calibri"/>
                <w:color w:val="000000"/>
                <w:sz w:val="20"/>
                <w:szCs w:val="20"/>
              </w:rPr>
            </w:pPr>
            <w:r w:rsidRPr="00BB33FC">
              <w:rPr>
                <w:rFonts w:ascii="Calibri" w:hAnsi="Calibri" w:cs="Calibri"/>
                <w:color w:val="000000"/>
                <w:sz w:val="20"/>
                <w:szCs w:val="20"/>
              </w:rPr>
              <w:t> </w:t>
            </w:r>
          </w:p>
        </w:tc>
        <w:tc>
          <w:tcPr>
            <w:tcW w:w="1882" w:type="pct"/>
            <w:tcBorders>
              <w:top w:val="nil"/>
              <w:left w:val="nil"/>
              <w:bottom w:val="single" w:sz="4" w:space="0" w:color="auto"/>
              <w:right w:val="single" w:sz="4" w:space="0" w:color="auto"/>
            </w:tcBorders>
            <w:vAlign w:val="center"/>
            <w:hideMark/>
          </w:tcPr>
          <w:p w:rsidR="00BB33FC" w:rsidRPr="00BB33FC" w:rsidRDefault="00BB33FC" w:rsidP="00D95CA5">
            <w:pPr>
              <w:jc w:val="left"/>
              <w:rPr>
                <w:rFonts w:ascii="Calibri" w:hAnsi="Calibri" w:cs="Calibri"/>
                <w:color w:val="000000"/>
                <w:sz w:val="20"/>
                <w:szCs w:val="20"/>
              </w:rPr>
            </w:pPr>
            <w:r w:rsidRPr="00BB33FC">
              <w:rPr>
                <w:rFonts w:ascii="Calibri" w:hAnsi="Calibri" w:cs="Calibri"/>
                <w:b/>
                <w:color w:val="000000"/>
                <w:sz w:val="20"/>
                <w:szCs w:val="20"/>
              </w:rPr>
              <w:t>Slovenská poľnohospodárska univerzita</w:t>
            </w:r>
            <w:r w:rsidRPr="00BB33FC">
              <w:rPr>
                <w:rFonts w:ascii="Calibri" w:hAnsi="Calibri" w:cs="Calibri"/>
                <w:color w:val="000000"/>
                <w:sz w:val="20"/>
                <w:szCs w:val="20"/>
              </w:rPr>
              <w:t xml:space="preserve"> v Nitre</w:t>
            </w:r>
          </w:p>
        </w:tc>
      </w:tr>
      <w:tr w:rsidR="00694AE5" w:rsidRPr="00BB33FC" w:rsidTr="00A850A4">
        <w:trPr>
          <w:trHeight w:val="285"/>
        </w:trPr>
        <w:tc>
          <w:tcPr>
            <w:tcW w:w="1425" w:type="pct"/>
            <w:vMerge w:val="restart"/>
            <w:tcBorders>
              <w:top w:val="nil"/>
              <w:left w:val="single" w:sz="4" w:space="0" w:color="auto"/>
              <w:right w:val="single" w:sz="4" w:space="0" w:color="auto"/>
            </w:tcBorders>
            <w:hideMark/>
          </w:tcPr>
          <w:p w:rsidR="00694AE5" w:rsidRPr="00BB33FC" w:rsidRDefault="00694AE5" w:rsidP="00694AE5">
            <w:pPr>
              <w:spacing w:before="120"/>
              <w:ind w:left="284" w:hanging="284"/>
              <w:jc w:val="left"/>
              <w:rPr>
                <w:rFonts w:ascii="Calibri" w:hAnsi="Calibri" w:cs="Calibri"/>
                <w:color w:val="000000"/>
                <w:sz w:val="20"/>
                <w:szCs w:val="20"/>
              </w:rPr>
            </w:pPr>
            <w:r>
              <w:rPr>
                <w:rFonts w:ascii="Calibri" w:hAnsi="Calibri" w:cs="Calibri"/>
                <w:color w:val="000000"/>
                <w:sz w:val="20"/>
                <w:szCs w:val="20"/>
              </w:rPr>
              <w:t>15 Lesnícko-environmentálne  a klimatické služby a ochrana lesov</w:t>
            </w:r>
          </w:p>
        </w:tc>
        <w:tc>
          <w:tcPr>
            <w:tcW w:w="1693" w:type="pct"/>
            <w:tcBorders>
              <w:top w:val="nil"/>
              <w:left w:val="nil"/>
              <w:bottom w:val="single" w:sz="4" w:space="0" w:color="auto"/>
              <w:right w:val="single" w:sz="4" w:space="0" w:color="auto"/>
            </w:tcBorders>
            <w:hideMark/>
          </w:tcPr>
          <w:p w:rsidR="00694AE5" w:rsidRPr="00694AE5" w:rsidRDefault="00694AE5" w:rsidP="00694AE5">
            <w:pPr>
              <w:jc w:val="left"/>
              <w:rPr>
                <w:rFonts w:ascii="Calibri" w:hAnsi="Calibri" w:cs="Calibri"/>
                <w:color w:val="000000"/>
                <w:sz w:val="18"/>
                <w:szCs w:val="18"/>
              </w:rPr>
            </w:pPr>
            <w:r w:rsidRPr="00694AE5">
              <w:rPr>
                <w:rFonts w:ascii="Calibri" w:hAnsi="Calibri" w:cs="Calibri"/>
                <w:color w:val="000000"/>
                <w:sz w:val="18"/>
                <w:szCs w:val="18"/>
              </w:rPr>
              <w:t>15.1  Lesnícko-enviro</w:t>
            </w:r>
            <w:r w:rsidR="00A850A4">
              <w:rPr>
                <w:rFonts w:ascii="Calibri" w:hAnsi="Calibri" w:cs="Calibri"/>
                <w:color w:val="000000"/>
                <w:sz w:val="18"/>
                <w:szCs w:val="18"/>
              </w:rPr>
              <w:t>n</w:t>
            </w:r>
            <w:r>
              <w:rPr>
                <w:rFonts w:ascii="Calibri" w:hAnsi="Calibri" w:cs="Calibri"/>
                <w:color w:val="000000"/>
                <w:sz w:val="18"/>
                <w:szCs w:val="18"/>
              </w:rPr>
              <w:t>mentálne platby</w:t>
            </w:r>
          </w:p>
        </w:tc>
        <w:tc>
          <w:tcPr>
            <w:tcW w:w="1882" w:type="pct"/>
            <w:vMerge w:val="restart"/>
            <w:tcBorders>
              <w:top w:val="nil"/>
              <w:left w:val="nil"/>
              <w:right w:val="single" w:sz="4" w:space="0" w:color="auto"/>
            </w:tcBorders>
            <w:vAlign w:val="center"/>
            <w:hideMark/>
          </w:tcPr>
          <w:p w:rsidR="00694AE5" w:rsidRDefault="00694AE5" w:rsidP="00A850A4">
            <w:pPr>
              <w:jc w:val="center"/>
              <w:rPr>
                <w:rFonts w:ascii="Calibri" w:hAnsi="Calibri" w:cs="Calibri"/>
                <w:color w:val="000000"/>
                <w:sz w:val="20"/>
                <w:szCs w:val="20"/>
              </w:rPr>
            </w:pPr>
            <w:r w:rsidRPr="00BB33FC">
              <w:rPr>
                <w:rFonts w:ascii="Calibri" w:hAnsi="Calibri" w:cs="Calibri"/>
                <w:b/>
                <w:color w:val="000000"/>
                <w:sz w:val="20"/>
                <w:szCs w:val="20"/>
              </w:rPr>
              <w:t>Národné lesnícke centrum</w:t>
            </w:r>
            <w:r w:rsidRPr="00BB33FC">
              <w:rPr>
                <w:rFonts w:ascii="Calibri" w:hAnsi="Calibri" w:cs="Calibri"/>
                <w:color w:val="000000"/>
                <w:sz w:val="20"/>
                <w:szCs w:val="20"/>
              </w:rPr>
              <w:t xml:space="preserve"> Zvolen</w:t>
            </w:r>
          </w:p>
          <w:p w:rsidR="00694AE5" w:rsidRPr="00BB33FC" w:rsidRDefault="00694AE5" w:rsidP="00A850A4">
            <w:pPr>
              <w:jc w:val="center"/>
              <w:rPr>
                <w:rFonts w:ascii="Calibri" w:hAnsi="Calibri" w:cs="Calibri"/>
                <w:b/>
                <w:color w:val="000000"/>
                <w:sz w:val="20"/>
                <w:szCs w:val="20"/>
              </w:rPr>
            </w:pPr>
          </w:p>
        </w:tc>
      </w:tr>
      <w:tr w:rsidR="00694AE5" w:rsidRPr="00BB33FC" w:rsidTr="008612D8">
        <w:trPr>
          <w:trHeight w:val="315"/>
        </w:trPr>
        <w:tc>
          <w:tcPr>
            <w:tcW w:w="1425" w:type="pct"/>
            <w:vMerge/>
            <w:tcBorders>
              <w:left w:val="single" w:sz="4" w:space="0" w:color="auto"/>
              <w:bottom w:val="single" w:sz="4" w:space="0" w:color="auto"/>
              <w:right w:val="single" w:sz="4" w:space="0" w:color="auto"/>
            </w:tcBorders>
          </w:tcPr>
          <w:p w:rsidR="00694AE5" w:rsidRDefault="00694AE5" w:rsidP="00D95CA5">
            <w:pPr>
              <w:spacing w:before="120"/>
              <w:ind w:left="284" w:hanging="284"/>
              <w:jc w:val="left"/>
              <w:rPr>
                <w:rFonts w:ascii="Calibri" w:hAnsi="Calibri" w:cs="Calibri"/>
                <w:color w:val="000000"/>
                <w:sz w:val="20"/>
                <w:szCs w:val="20"/>
              </w:rPr>
            </w:pPr>
          </w:p>
        </w:tc>
        <w:tc>
          <w:tcPr>
            <w:tcW w:w="1693" w:type="pct"/>
            <w:tcBorders>
              <w:top w:val="single" w:sz="4" w:space="0" w:color="auto"/>
              <w:left w:val="nil"/>
              <w:bottom w:val="single" w:sz="4" w:space="0" w:color="auto"/>
              <w:right w:val="single" w:sz="4" w:space="0" w:color="auto"/>
            </w:tcBorders>
          </w:tcPr>
          <w:p w:rsidR="00694AE5" w:rsidRPr="00694AE5" w:rsidRDefault="00694AE5" w:rsidP="00694AE5">
            <w:pPr>
              <w:ind w:left="495" w:hanging="495"/>
              <w:jc w:val="left"/>
              <w:rPr>
                <w:rFonts w:ascii="Calibri" w:hAnsi="Calibri" w:cs="Calibri"/>
                <w:color w:val="000000"/>
                <w:sz w:val="18"/>
                <w:szCs w:val="18"/>
              </w:rPr>
            </w:pPr>
            <w:r w:rsidRPr="00694AE5">
              <w:rPr>
                <w:rFonts w:ascii="Calibri" w:hAnsi="Calibri" w:cs="Calibri"/>
                <w:color w:val="000000"/>
                <w:sz w:val="18"/>
                <w:szCs w:val="18"/>
              </w:rPr>
              <w:t>15.2</w:t>
            </w:r>
            <w:r>
              <w:rPr>
                <w:rFonts w:ascii="Calibri" w:hAnsi="Calibri" w:cs="Calibri"/>
                <w:color w:val="000000"/>
                <w:sz w:val="18"/>
                <w:szCs w:val="18"/>
              </w:rPr>
              <w:t xml:space="preserve">  </w:t>
            </w:r>
            <w:r w:rsidRPr="00694AE5">
              <w:rPr>
                <w:rFonts w:ascii="Calibri" w:hAnsi="Calibri" w:cs="Calibri"/>
                <w:bCs/>
                <w:iCs/>
                <w:sz w:val="18"/>
                <w:szCs w:val="18"/>
                <w:lang w:eastAsia="en-US"/>
              </w:rPr>
              <w:t xml:space="preserve">Podpora na účely ochrany </w:t>
            </w:r>
            <w:r>
              <w:rPr>
                <w:rFonts w:ascii="Calibri" w:hAnsi="Calibri" w:cs="Calibri"/>
                <w:bCs/>
                <w:iCs/>
                <w:sz w:val="18"/>
                <w:szCs w:val="18"/>
                <w:lang w:eastAsia="en-US"/>
              </w:rPr>
              <w:t xml:space="preserve"> </w:t>
            </w:r>
            <w:r w:rsidRPr="00694AE5">
              <w:rPr>
                <w:rFonts w:ascii="Calibri" w:hAnsi="Calibri" w:cs="Calibri"/>
                <w:bCs/>
                <w:iCs/>
                <w:sz w:val="18"/>
                <w:szCs w:val="18"/>
                <w:lang w:eastAsia="en-US"/>
              </w:rPr>
              <w:t>a podpory  lesných genetických zdrojov</w:t>
            </w:r>
          </w:p>
        </w:tc>
        <w:tc>
          <w:tcPr>
            <w:tcW w:w="1882" w:type="pct"/>
            <w:vMerge/>
            <w:tcBorders>
              <w:left w:val="nil"/>
              <w:bottom w:val="single" w:sz="4" w:space="0" w:color="auto"/>
              <w:right w:val="single" w:sz="4" w:space="0" w:color="auto"/>
            </w:tcBorders>
            <w:vAlign w:val="center"/>
          </w:tcPr>
          <w:p w:rsidR="00694AE5" w:rsidRPr="00BB33FC" w:rsidRDefault="00694AE5" w:rsidP="00D95CA5">
            <w:pPr>
              <w:jc w:val="left"/>
              <w:rPr>
                <w:rFonts w:ascii="Calibri" w:hAnsi="Calibri" w:cs="Calibri"/>
                <w:b/>
                <w:color w:val="000000"/>
                <w:sz w:val="20"/>
                <w:szCs w:val="20"/>
              </w:rPr>
            </w:pPr>
          </w:p>
        </w:tc>
      </w:tr>
      <w:tr w:rsidR="00BB33FC" w:rsidRPr="00BB33FC" w:rsidTr="00BB33FC">
        <w:trPr>
          <w:trHeight w:val="300"/>
        </w:trPr>
        <w:tc>
          <w:tcPr>
            <w:tcW w:w="1425" w:type="pct"/>
            <w:tcBorders>
              <w:top w:val="nil"/>
              <w:left w:val="single" w:sz="4" w:space="0" w:color="auto"/>
              <w:bottom w:val="single" w:sz="4" w:space="0" w:color="auto"/>
              <w:right w:val="single" w:sz="4" w:space="0" w:color="auto"/>
            </w:tcBorders>
            <w:hideMark/>
          </w:tcPr>
          <w:p w:rsidR="00BB33FC" w:rsidRPr="00BB33FC" w:rsidRDefault="00BB33FC" w:rsidP="00D95CA5">
            <w:pPr>
              <w:spacing w:before="120"/>
              <w:ind w:left="284" w:hanging="284"/>
              <w:jc w:val="left"/>
              <w:rPr>
                <w:rFonts w:ascii="Calibri" w:hAnsi="Calibri" w:cs="Calibri"/>
                <w:color w:val="000000"/>
                <w:sz w:val="20"/>
                <w:szCs w:val="20"/>
              </w:rPr>
            </w:pPr>
            <w:r w:rsidRPr="00BB33FC">
              <w:rPr>
                <w:rFonts w:ascii="Calibri" w:hAnsi="Calibri" w:cs="Calibri"/>
                <w:color w:val="000000"/>
                <w:sz w:val="20"/>
                <w:szCs w:val="20"/>
              </w:rPr>
              <w:t>19 LEADER</w:t>
            </w:r>
          </w:p>
        </w:tc>
        <w:tc>
          <w:tcPr>
            <w:tcW w:w="1693" w:type="pct"/>
            <w:tcBorders>
              <w:top w:val="nil"/>
              <w:left w:val="nil"/>
              <w:bottom w:val="single" w:sz="4" w:space="0" w:color="auto"/>
              <w:right w:val="single" w:sz="4" w:space="0" w:color="auto"/>
            </w:tcBorders>
            <w:hideMark/>
          </w:tcPr>
          <w:p w:rsidR="00BB33FC" w:rsidRPr="00BB33FC" w:rsidRDefault="00BB33FC" w:rsidP="0005560D">
            <w:pPr>
              <w:ind w:left="493" w:hanging="493"/>
              <w:jc w:val="left"/>
              <w:rPr>
                <w:rFonts w:ascii="Calibri" w:hAnsi="Calibri" w:cs="Calibri"/>
                <w:color w:val="000000"/>
                <w:sz w:val="20"/>
                <w:szCs w:val="20"/>
              </w:rPr>
            </w:pPr>
            <w:r w:rsidRPr="00BB33FC">
              <w:rPr>
                <w:rFonts w:ascii="Calibri" w:hAnsi="Calibri" w:cs="Calibri"/>
                <w:color w:val="000000"/>
                <w:sz w:val="20"/>
                <w:szCs w:val="20"/>
              </w:rPr>
              <w:t>19.4 Chod miestnej akčnej skupiny a animácia</w:t>
            </w:r>
          </w:p>
        </w:tc>
        <w:tc>
          <w:tcPr>
            <w:tcW w:w="1882" w:type="pct"/>
            <w:tcBorders>
              <w:top w:val="nil"/>
              <w:left w:val="nil"/>
              <w:bottom w:val="single" w:sz="4" w:space="0" w:color="auto"/>
              <w:right w:val="single" w:sz="4" w:space="0" w:color="auto"/>
            </w:tcBorders>
            <w:vAlign w:val="center"/>
            <w:hideMark/>
          </w:tcPr>
          <w:p w:rsidR="00BB33FC" w:rsidRPr="00BB33FC" w:rsidRDefault="00BB33FC" w:rsidP="00D95CA5">
            <w:pPr>
              <w:jc w:val="left"/>
              <w:rPr>
                <w:rFonts w:ascii="Calibri" w:hAnsi="Calibri" w:cs="Calibri"/>
                <w:b/>
                <w:color w:val="000000"/>
                <w:sz w:val="20"/>
                <w:szCs w:val="20"/>
              </w:rPr>
            </w:pPr>
            <w:r w:rsidRPr="00BB33FC">
              <w:rPr>
                <w:rFonts w:ascii="Calibri" w:hAnsi="Calibri" w:cs="Calibri"/>
                <w:b/>
                <w:color w:val="000000"/>
                <w:sz w:val="20"/>
                <w:szCs w:val="20"/>
              </w:rPr>
              <w:t>Pôdohospodárska platobná agentúra</w:t>
            </w:r>
          </w:p>
        </w:tc>
      </w:tr>
      <w:tr w:rsidR="00BB33FC" w:rsidRPr="00BB33FC" w:rsidTr="00BB33FC">
        <w:trPr>
          <w:trHeight w:val="300"/>
        </w:trPr>
        <w:tc>
          <w:tcPr>
            <w:tcW w:w="1425" w:type="pct"/>
            <w:tcBorders>
              <w:top w:val="nil"/>
              <w:left w:val="single" w:sz="4" w:space="0" w:color="auto"/>
              <w:bottom w:val="single" w:sz="4" w:space="0" w:color="auto"/>
              <w:right w:val="single" w:sz="4" w:space="0" w:color="auto"/>
            </w:tcBorders>
            <w:hideMark/>
          </w:tcPr>
          <w:p w:rsidR="00BB33FC" w:rsidRPr="00BB33FC" w:rsidRDefault="00BB33FC" w:rsidP="00D95CA5">
            <w:pPr>
              <w:spacing w:before="120" w:after="120"/>
              <w:ind w:left="284" w:hanging="284"/>
              <w:jc w:val="left"/>
              <w:rPr>
                <w:rFonts w:ascii="Calibri" w:hAnsi="Calibri" w:cs="Calibri"/>
                <w:color w:val="000000"/>
                <w:sz w:val="20"/>
                <w:szCs w:val="20"/>
              </w:rPr>
            </w:pPr>
            <w:r w:rsidRPr="00BB33FC">
              <w:rPr>
                <w:rFonts w:ascii="Calibri" w:hAnsi="Calibri" w:cs="Calibri"/>
                <w:color w:val="000000"/>
                <w:sz w:val="20"/>
                <w:szCs w:val="20"/>
              </w:rPr>
              <w:t>20 Technická pomoc</w:t>
            </w:r>
          </w:p>
        </w:tc>
        <w:tc>
          <w:tcPr>
            <w:tcW w:w="1693" w:type="pct"/>
            <w:tcBorders>
              <w:top w:val="nil"/>
              <w:left w:val="nil"/>
              <w:bottom w:val="single" w:sz="4" w:space="0" w:color="auto"/>
              <w:right w:val="single" w:sz="4" w:space="0" w:color="auto"/>
            </w:tcBorders>
            <w:hideMark/>
          </w:tcPr>
          <w:p w:rsidR="00BB33FC" w:rsidRPr="00BB33FC" w:rsidRDefault="00BB33FC" w:rsidP="0005560D">
            <w:pPr>
              <w:jc w:val="left"/>
              <w:rPr>
                <w:rFonts w:ascii="Calibri" w:hAnsi="Calibri" w:cs="Calibri"/>
                <w:color w:val="000000"/>
                <w:sz w:val="20"/>
                <w:szCs w:val="20"/>
              </w:rPr>
            </w:pPr>
            <w:r w:rsidRPr="00BB33FC">
              <w:rPr>
                <w:rFonts w:ascii="Calibri" w:hAnsi="Calibri" w:cs="Calibri"/>
                <w:color w:val="000000"/>
                <w:sz w:val="20"/>
                <w:szCs w:val="20"/>
              </w:rPr>
              <w:t>20.2 Národná sieť rozvoja vidieka</w:t>
            </w:r>
          </w:p>
        </w:tc>
        <w:tc>
          <w:tcPr>
            <w:tcW w:w="1882" w:type="pct"/>
            <w:tcBorders>
              <w:top w:val="nil"/>
              <w:left w:val="nil"/>
              <w:bottom w:val="single" w:sz="4" w:space="0" w:color="auto"/>
              <w:right w:val="single" w:sz="4" w:space="0" w:color="auto"/>
            </w:tcBorders>
            <w:vAlign w:val="center"/>
            <w:hideMark/>
          </w:tcPr>
          <w:p w:rsidR="00BB33FC" w:rsidRPr="00BB33FC" w:rsidRDefault="00BB33FC" w:rsidP="00D95CA5">
            <w:pPr>
              <w:jc w:val="left"/>
              <w:rPr>
                <w:rFonts w:ascii="Calibri" w:hAnsi="Calibri" w:cs="Calibri"/>
                <w:b/>
                <w:color w:val="000000"/>
                <w:sz w:val="20"/>
                <w:szCs w:val="20"/>
              </w:rPr>
            </w:pPr>
            <w:r w:rsidRPr="00BB33FC">
              <w:rPr>
                <w:rFonts w:ascii="Calibri" w:hAnsi="Calibri" w:cs="Calibri"/>
                <w:b/>
                <w:color w:val="000000"/>
                <w:sz w:val="20"/>
                <w:szCs w:val="20"/>
              </w:rPr>
              <w:t>Pôdohospodárska platobná agentúra</w:t>
            </w:r>
          </w:p>
        </w:tc>
      </w:tr>
    </w:tbl>
    <w:p w:rsidR="00BB33FC" w:rsidRPr="00BB33FC" w:rsidRDefault="00BB33FC" w:rsidP="00BB33FC">
      <w:pPr>
        <w:rPr>
          <w:rFonts w:ascii="Calibri" w:eastAsia="Calibri" w:hAnsi="Calibri"/>
          <w:szCs w:val="22"/>
          <w:lang w:eastAsia="en-US"/>
        </w:rPr>
      </w:pPr>
    </w:p>
    <w:p w:rsidR="00BB33FC" w:rsidRPr="00BB33FC" w:rsidRDefault="00BB33FC" w:rsidP="00BB33FC">
      <w:pPr>
        <w:rPr>
          <w:rFonts w:ascii="Calibri" w:eastAsia="Calibri" w:hAnsi="Calibri"/>
          <w:szCs w:val="22"/>
          <w:lang w:eastAsia="en-US"/>
        </w:rPr>
      </w:pPr>
    </w:p>
    <w:p w:rsidR="00BB33FC" w:rsidRPr="006C7E72" w:rsidRDefault="00BB33FC" w:rsidP="00366F96">
      <w:pPr>
        <w:pStyle w:val="Hlavn"/>
      </w:pPr>
      <w:r>
        <w:rPr>
          <w:rFonts w:cs="Calibri"/>
          <w:sz w:val="22"/>
          <w:szCs w:val="22"/>
        </w:rPr>
        <w:lastRenderedPageBreak/>
        <w:br w:type="page"/>
      </w:r>
      <w:bookmarkStart w:id="197" w:name="_Toc387041376"/>
      <w:r w:rsidR="00AA30CA">
        <w:t>19. PRECHODNÉ USTANOVENIA</w:t>
      </w:r>
      <w:bookmarkEnd w:id="197"/>
    </w:p>
    <w:p w:rsidR="00BB33FC" w:rsidRPr="00BB33FC" w:rsidRDefault="00BB33FC" w:rsidP="00BB33FC">
      <w:pPr>
        <w:spacing w:after="200" w:line="276" w:lineRule="auto"/>
        <w:rPr>
          <w:rFonts w:ascii="Calibri" w:eastAsia="Calibri" w:hAnsi="Calibri"/>
          <w:szCs w:val="22"/>
          <w:lang w:eastAsia="en-US"/>
        </w:rPr>
      </w:pPr>
    </w:p>
    <w:p w:rsidR="00BB33FC" w:rsidRPr="00BB33FC" w:rsidRDefault="00BB33FC" w:rsidP="00AA30CA">
      <w:pPr>
        <w:pStyle w:val="Pod"/>
        <w:rPr>
          <w:rFonts w:eastAsia="Calibri"/>
          <w:lang w:eastAsia="en-US"/>
        </w:rPr>
      </w:pPr>
      <w:bookmarkStart w:id="198" w:name="_Toc384111109"/>
      <w:bookmarkStart w:id="199" w:name="_Toc387041377"/>
      <w:r w:rsidRPr="00BB33FC">
        <w:rPr>
          <w:rFonts w:eastAsia="Calibri"/>
          <w:lang w:eastAsia="en-US"/>
        </w:rPr>
        <w:t>19.1. Opis prechodných podmienok príslušného opatrenia:</w:t>
      </w:r>
      <w:bookmarkEnd w:id="198"/>
      <w:bookmarkEnd w:id="199"/>
    </w:p>
    <w:p w:rsidR="00BB33FC" w:rsidRPr="00BB33FC" w:rsidRDefault="00BB33FC" w:rsidP="00AA30CA">
      <w:pPr>
        <w:pStyle w:val="Pod"/>
        <w:rPr>
          <w:rFonts w:eastAsia="Calibri"/>
          <w:lang w:eastAsia="en-US"/>
        </w:rPr>
      </w:pPr>
      <w:bookmarkStart w:id="200" w:name="_Toc384111110"/>
      <w:bookmarkStart w:id="201" w:name="_Toc387041378"/>
      <w:r w:rsidRPr="00BB33FC">
        <w:rPr>
          <w:rFonts w:eastAsia="Calibri"/>
          <w:lang w:eastAsia="en-US"/>
        </w:rPr>
        <w:t>19.2. Indikatívna tabuľka prenosu záväzkov</w:t>
      </w:r>
      <w:bookmarkEnd w:id="200"/>
      <w:bookmarkEnd w:id="201"/>
    </w:p>
    <w:tbl>
      <w:tblPr>
        <w:tblW w:w="9165" w:type="dxa"/>
        <w:tblInd w:w="-23" w:type="dxa"/>
        <w:tblBorders>
          <w:top w:val="single" w:sz="4" w:space="0" w:color="auto"/>
          <w:left w:val="single" w:sz="4" w:space="0" w:color="auto"/>
          <w:bottom w:val="single" w:sz="4" w:space="0" w:color="auto"/>
          <w:right w:val="single" w:sz="4" w:space="0" w:color="auto"/>
          <w:insideH w:val="single" w:sz="8" w:space="0" w:color="000000"/>
          <w:insideV w:val="single" w:sz="8" w:space="0" w:color="000000"/>
        </w:tblBorders>
        <w:tblCellMar>
          <w:left w:w="0" w:type="dxa"/>
          <w:right w:w="0" w:type="dxa"/>
        </w:tblCellMar>
        <w:tblLook w:val="04A0" w:firstRow="1" w:lastRow="0" w:firstColumn="1" w:lastColumn="0" w:noHBand="0" w:noVBand="1"/>
      </w:tblPr>
      <w:tblGrid>
        <w:gridCol w:w="6139"/>
        <w:gridCol w:w="3026"/>
      </w:tblGrid>
      <w:tr w:rsidR="00BB33FC" w:rsidRPr="00BB33FC" w:rsidTr="00BB33FC">
        <w:trPr>
          <w:trHeight w:val="390"/>
        </w:trPr>
        <w:tc>
          <w:tcPr>
            <w:tcW w:w="6139" w:type="dxa"/>
            <w:shd w:val="clear" w:color="auto" w:fill="DAEEF3"/>
            <w:tcMar>
              <w:top w:w="0" w:type="dxa"/>
              <w:left w:w="70" w:type="dxa"/>
              <w:bottom w:w="0" w:type="dxa"/>
              <w:right w:w="70" w:type="dxa"/>
            </w:tcMar>
            <w:vAlign w:val="center"/>
          </w:tcPr>
          <w:p w:rsidR="00BB33FC" w:rsidRPr="00BB33FC" w:rsidRDefault="00BB33FC" w:rsidP="00BB33FC">
            <w:pPr>
              <w:ind w:firstLine="281"/>
              <w:rPr>
                <w:rFonts w:ascii="Calibri" w:eastAsia="Calibri" w:hAnsi="Calibri"/>
                <w:b/>
                <w:bCs/>
                <w:color w:val="000000"/>
                <w:sz w:val="20"/>
                <w:szCs w:val="20"/>
              </w:rPr>
            </w:pPr>
            <w:r w:rsidRPr="00BB33FC">
              <w:rPr>
                <w:rFonts w:ascii="Calibri" w:eastAsia="Calibri" w:hAnsi="Calibri"/>
                <w:b/>
                <w:bCs/>
                <w:color w:val="000000"/>
                <w:sz w:val="20"/>
                <w:szCs w:val="20"/>
              </w:rPr>
              <w:t>Opatrenie</w:t>
            </w:r>
          </w:p>
        </w:tc>
        <w:tc>
          <w:tcPr>
            <w:tcW w:w="3026" w:type="dxa"/>
            <w:shd w:val="clear" w:color="auto" w:fill="DAEEF3"/>
            <w:tcMar>
              <w:top w:w="0" w:type="dxa"/>
              <w:left w:w="70" w:type="dxa"/>
              <w:bottom w:w="0" w:type="dxa"/>
              <w:right w:w="70" w:type="dxa"/>
            </w:tcMar>
            <w:vAlign w:val="center"/>
          </w:tcPr>
          <w:p w:rsidR="00BB33FC" w:rsidRPr="00BB33FC" w:rsidRDefault="00BB33FC" w:rsidP="00BB33FC">
            <w:pPr>
              <w:jc w:val="center"/>
              <w:rPr>
                <w:rFonts w:ascii="Calibri" w:eastAsia="Calibri" w:hAnsi="Calibri"/>
                <w:b/>
                <w:bCs/>
                <w:color w:val="000000"/>
                <w:sz w:val="20"/>
                <w:szCs w:val="20"/>
              </w:rPr>
            </w:pPr>
            <w:r w:rsidRPr="00BB33FC">
              <w:rPr>
                <w:rFonts w:ascii="Calibri" w:eastAsia="Calibri" w:hAnsi="Calibri"/>
                <w:b/>
                <w:bCs/>
                <w:color w:val="000000"/>
                <w:sz w:val="20"/>
                <w:szCs w:val="20"/>
              </w:rPr>
              <w:t>Celkový plánovaný príspevok EÚ 2014-2020</w:t>
            </w:r>
          </w:p>
        </w:tc>
      </w:tr>
      <w:tr w:rsidR="00BB33FC" w:rsidRPr="00BB33FC" w:rsidTr="00BB33FC">
        <w:trPr>
          <w:trHeight w:val="390"/>
        </w:trPr>
        <w:tc>
          <w:tcPr>
            <w:tcW w:w="6139" w:type="dxa"/>
            <w:tcMar>
              <w:top w:w="0" w:type="dxa"/>
              <w:left w:w="70" w:type="dxa"/>
              <w:bottom w:w="0" w:type="dxa"/>
              <w:right w:w="70" w:type="dxa"/>
            </w:tcMar>
          </w:tcPr>
          <w:p w:rsidR="00BB33FC" w:rsidRPr="00BB33FC" w:rsidRDefault="00BB33FC" w:rsidP="0005560D">
            <w:pPr>
              <w:spacing w:before="120"/>
              <w:jc w:val="left"/>
              <w:rPr>
                <w:rFonts w:ascii="Calibri" w:hAnsi="Calibri"/>
                <w:i/>
                <w:szCs w:val="20"/>
                <w:lang w:eastAsia="en-US"/>
              </w:rPr>
            </w:pPr>
            <w:r w:rsidRPr="00BB33FC">
              <w:rPr>
                <w:rFonts w:ascii="Calibri" w:hAnsi="Calibri"/>
                <w:i/>
                <w:szCs w:val="20"/>
                <w:lang w:eastAsia="en-US"/>
              </w:rPr>
              <w:t xml:space="preserve">Prvé zalesnenie poľnohospodárskej pôdy </w:t>
            </w:r>
          </w:p>
          <w:p w:rsidR="00BB33FC" w:rsidRPr="00BB33FC" w:rsidRDefault="00BB33FC" w:rsidP="0005560D">
            <w:pPr>
              <w:jc w:val="left"/>
              <w:rPr>
                <w:rFonts w:ascii="Calibri" w:hAnsi="Calibri"/>
                <w:sz w:val="20"/>
                <w:szCs w:val="20"/>
                <w:lang w:eastAsia="en-US"/>
              </w:rPr>
            </w:pPr>
            <w:r w:rsidRPr="00BB33FC">
              <w:rPr>
                <w:rFonts w:ascii="Calibri" w:hAnsi="Calibri"/>
                <w:sz w:val="20"/>
                <w:szCs w:val="20"/>
                <w:lang w:eastAsia="en-US"/>
              </w:rPr>
              <w:t xml:space="preserve">(pokračujúce záväzky z PRV SR 2007-2013) </w:t>
            </w:r>
          </w:p>
        </w:tc>
        <w:tc>
          <w:tcPr>
            <w:tcW w:w="3026" w:type="dxa"/>
            <w:tcMar>
              <w:top w:w="0" w:type="dxa"/>
              <w:left w:w="70" w:type="dxa"/>
              <w:bottom w:w="0" w:type="dxa"/>
              <w:right w:w="70" w:type="dxa"/>
            </w:tcMar>
            <w:vAlign w:val="center"/>
          </w:tcPr>
          <w:p w:rsidR="00BB33FC" w:rsidRPr="00BB33FC" w:rsidRDefault="00BB33FC" w:rsidP="00BC4D3C">
            <w:pPr>
              <w:spacing w:before="120" w:after="120"/>
              <w:ind w:right="780"/>
              <w:jc w:val="right"/>
              <w:rPr>
                <w:rFonts w:ascii="Calibri" w:eastAsia="Calibri" w:hAnsi="Calibri"/>
                <w:color w:val="000000"/>
                <w:szCs w:val="22"/>
                <w:lang w:eastAsia="en-US"/>
              </w:rPr>
            </w:pPr>
            <w:r w:rsidRPr="00BB33FC">
              <w:rPr>
                <w:rFonts w:ascii="Calibri" w:eastAsia="Calibri" w:hAnsi="Calibri"/>
                <w:color w:val="000000"/>
                <w:szCs w:val="22"/>
                <w:lang w:eastAsia="en-US"/>
              </w:rPr>
              <w:t>287</w:t>
            </w:r>
            <w:r w:rsidR="00BC4D3C">
              <w:rPr>
                <w:rFonts w:ascii="Calibri" w:eastAsia="Calibri" w:hAnsi="Calibri"/>
                <w:color w:val="000000"/>
                <w:szCs w:val="22"/>
                <w:lang w:eastAsia="en-US"/>
              </w:rPr>
              <w:t> </w:t>
            </w:r>
            <w:r w:rsidRPr="00BB33FC">
              <w:rPr>
                <w:rFonts w:ascii="Calibri" w:eastAsia="Calibri" w:hAnsi="Calibri"/>
                <w:color w:val="000000"/>
                <w:szCs w:val="22"/>
                <w:lang w:eastAsia="en-US"/>
              </w:rPr>
              <w:t>591</w:t>
            </w:r>
            <w:r w:rsidR="00BC4D3C">
              <w:rPr>
                <w:rFonts w:ascii="Calibri" w:eastAsia="Calibri" w:hAnsi="Calibri"/>
                <w:color w:val="000000"/>
                <w:szCs w:val="22"/>
                <w:lang w:eastAsia="en-US"/>
              </w:rPr>
              <w:t xml:space="preserve"> </w:t>
            </w:r>
            <w:r w:rsidRPr="00BB33FC">
              <w:rPr>
                <w:rFonts w:ascii="Calibri" w:eastAsia="Calibri" w:hAnsi="Calibri"/>
                <w:color w:val="000000"/>
                <w:szCs w:val="22"/>
                <w:lang w:eastAsia="en-US"/>
              </w:rPr>
              <w:t>€</w:t>
            </w:r>
          </w:p>
        </w:tc>
      </w:tr>
      <w:tr w:rsidR="00BB33FC" w:rsidRPr="00BB33FC" w:rsidTr="00BB33FC">
        <w:trPr>
          <w:trHeight w:val="390"/>
        </w:trPr>
        <w:tc>
          <w:tcPr>
            <w:tcW w:w="6139" w:type="dxa"/>
            <w:tcBorders>
              <w:top w:val="single" w:sz="8" w:space="0" w:color="000000"/>
              <w:left w:val="single" w:sz="4" w:space="0" w:color="auto"/>
              <w:bottom w:val="single" w:sz="8" w:space="0" w:color="000000"/>
              <w:right w:val="single" w:sz="8" w:space="0" w:color="000000"/>
            </w:tcBorders>
            <w:tcMar>
              <w:top w:w="0" w:type="dxa"/>
              <w:left w:w="70" w:type="dxa"/>
              <w:bottom w:w="0" w:type="dxa"/>
              <w:right w:w="70" w:type="dxa"/>
            </w:tcMar>
          </w:tcPr>
          <w:p w:rsidR="00BB33FC" w:rsidRPr="00BB33FC" w:rsidRDefault="00BB33FC" w:rsidP="0005560D">
            <w:pPr>
              <w:spacing w:before="120"/>
              <w:jc w:val="left"/>
              <w:rPr>
                <w:rFonts w:ascii="Calibri" w:hAnsi="Calibri"/>
                <w:i/>
                <w:szCs w:val="20"/>
                <w:lang w:eastAsia="en-US"/>
              </w:rPr>
            </w:pPr>
            <w:r w:rsidRPr="00BB33FC">
              <w:rPr>
                <w:rFonts w:ascii="Calibri" w:hAnsi="Calibri"/>
                <w:i/>
                <w:szCs w:val="20"/>
                <w:lang w:eastAsia="en-US"/>
              </w:rPr>
              <w:t>Modernizácia fariem</w:t>
            </w:r>
          </w:p>
          <w:p w:rsidR="00BB33FC" w:rsidRPr="00BB33FC" w:rsidRDefault="00BB33FC" w:rsidP="0005560D">
            <w:pPr>
              <w:jc w:val="left"/>
              <w:rPr>
                <w:rFonts w:ascii="Calibri" w:hAnsi="Calibri"/>
                <w:sz w:val="20"/>
                <w:szCs w:val="20"/>
                <w:lang w:eastAsia="en-US"/>
              </w:rPr>
            </w:pPr>
            <w:r w:rsidRPr="00BB33FC">
              <w:rPr>
                <w:rFonts w:ascii="Calibri" w:hAnsi="Calibri"/>
                <w:sz w:val="20"/>
                <w:szCs w:val="20"/>
                <w:lang w:eastAsia="en-US"/>
              </w:rPr>
              <w:t>(pokračujúce záväzky z PRV SR 2007-2013)</w:t>
            </w:r>
          </w:p>
        </w:tc>
        <w:tc>
          <w:tcPr>
            <w:tcW w:w="3026" w:type="dxa"/>
            <w:tcBorders>
              <w:top w:val="single" w:sz="8" w:space="0" w:color="000000"/>
              <w:left w:val="single" w:sz="8" w:space="0" w:color="000000"/>
              <w:bottom w:val="single" w:sz="8" w:space="0" w:color="000000"/>
              <w:right w:val="single" w:sz="4" w:space="0" w:color="auto"/>
            </w:tcBorders>
            <w:tcMar>
              <w:top w:w="0" w:type="dxa"/>
              <w:left w:w="70" w:type="dxa"/>
              <w:bottom w:w="0" w:type="dxa"/>
              <w:right w:w="70" w:type="dxa"/>
            </w:tcMar>
            <w:vAlign w:val="center"/>
          </w:tcPr>
          <w:p w:rsidR="00BB33FC" w:rsidRPr="00BB33FC" w:rsidRDefault="00BB33FC" w:rsidP="00BC4D3C">
            <w:pPr>
              <w:spacing w:before="120" w:after="120"/>
              <w:ind w:right="780"/>
              <w:jc w:val="right"/>
              <w:rPr>
                <w:rFonts w:ascii="Calibri" w:eastAsia="Calibri" w:hAnsi="Calibri"/>
                <w:color w:val="000000"/>
                <w:szCs w:val="22"/>
                <w:lang w:eastAsia="en-US"/>
              </w:rPr>
            </w:pPr>
            <w:r w:rsidRPr="00BB33FC">
              <w:rPr>
                <w:rFonts w:ascii="Calibri" w:eastAsia="Calibri" w:hAnsi="Calibri"/>
                <w:color w:val="000000"/>
                <w:szCs w:val="22"/>
                <w:lang w:eastAsia="en-US"/>
              </w:rPr>
              <w:t>20 000 000 €</w:t>
            </w:r>
          </w:p>
        </w:tc>
      </w:tr>
      <w:tr w:rsidR="00BB33FC" w:rsidRPr="00BB33FC" w:rsidTr="00BB33FC">
        <w:trPr>
          <w:trHeight w:val="390"/>
        </w:trPr>
        <w:tc>
          <w:tcPr>
            <w:tcW w:w="6139" w:type="dxa"/>
            <w:tcBorders>
              <w:top w:val="single" w:sz="8" w:space="0" w:color="000000"/>
              <w:left w:val="single" w:sz="4" w:space="0" w:color="auto"/>
              <w:bottom w:val="single" w:sz="8" w:space="0" w:color="000000"/>
              <w:right w:val="single" w:sz="8" w:space="0" w:color="000000"/>
            </w:tcBorders>
            <w:tcMar>
              <w:top w:w="0" w:type="dxa"/>
              <w:left w:w="70" w:type="dxa"/>
              <w:bottom w:w="0" w:type="dxa"/>
              <w:right w:w="70" w:type="dxa"/>
            </w:tcMar>
          </w:tcPr>
          <w:p w:rsidR="00BB33FC" w:rsidRPr="00BB33FC" w:rsidRDefault="00BB33FC" w:rsidP="0005560D">
            <w:pPr>
              <w:spacing w:before="120"/>
              <w:jc w:val="left"/>
              <w:rPr>
                <w:rFonts w:ascii="Calibri" w:hAnsi="Calibri"/>
                <w:i/>
                <w:szCs w:val="20"/>
                <w:lang w:eastAsia="en-US"/>
              </w:rPr>
            </w:pPr>
            <w:r w:rsidRPr="00BB33FC">
              <w:rPr>
                <w:rFonts w:ascii="Calibri" w:hAnsi="Calibri"/>
                <w:i/>
                <w:szCs w:val="20"/>
                <w:lang w:eastAsia="en-US"/>
              </w:rPr>
              <w:t>Pridávanie hodnoty do poľnohospodárskych produktov a produktov lesného hospodárstva</w:t>
            </w:r>
          </w:p>
          <w:p w:rsidR="00BB33FC" w:rsidRPr="00BB33FC" w:rsidRDefault="00BB33FC" w:rsidP="0005560D">
            <w:pPr>
              <w:jc w:val="left"/>
              <w:rPr>
                <w:rFonts w:ascii="Calibri" w:hAnsi="Calibri"/>
                <w:sz w:val="20"/>
                <w:szCs w:val="20"/>
                <w:lang w:eastAsia="en-US"/>
              </w:rPr>
            </w:pPr>
            <w:r w:rsidRPr="00BB33FC">
              <w:rPr>
                <w:rFonts w:ascii="Calibri" w:hAnsi="Calibri"/>
                <w:sz w:val="20"/>
                <w:szCs w:val="20"/>
                <w:lang w:eastAsia="en-US"/>
              </w:rPr>
              <w:t>(pokračujúce záväzky z PRV SR 2007-2013)</w:t>
            </w:r>
          </w:p>
        </w:tc>
        <w:tc>
          <w:tcPr>
            <w:tcW w:w="3026" w:type="dxa"/>
            <w:tcBorders>
              <w:top w:val="single" w:sz="8" w:space="0" w:color="000000"/>
              <w:left w:val="single" w:sz="8" w:space="0" w:color="000000"/>
              <w:bottom w:val="single" w:sz="8" w:space="0" w:color="000000"/>
              <w:right w:val="single" w:sz="4" w:space="0" w:color="auto"/>
            </w:tcBorders>
            <w:tcMar>
              <w:top w:w="0" w:type="dxa"/>
              <w:left w:w="70" w:type="dxa"/>
              <w:bottom w:w="0" w:type="dxa"/>
              <w:right w:w="70" w:type="dxa"/>
            </w:tcMar>
            <w:vAlign w:val="center"/>
          </w:tcPr>
          <w:p w:rsidR="00BB33FC" w:rsidRPr="00BB33FC" w:rsidRDefault="00BB33FC" w:rsidP="00BC4D3C">
            <w:pPr>
              <w:spacing w:before="120" w:after="120"/>
              <w:ind w:right="780"/>
              <w:jc w:val="right"/>
              <w:rPr>
                <w:rFonts w:ascii="Calibri" w:eastAsia="Calibri" w:hAnsi="Calibri"/>
                <w:color w:val="000000"/>
                <w:szCs w:val="22"/>
                <w:lang w:eastAsia="en-US"/>
              </w:rPr>
            </w:pPr>
            <w:r w:rsidRPr="00BB33FC">
              <w:rPr>
                <w:rFonts w:ascii="Calibri" w:eastAsia="Calibri" w:hAnsi="Calibri"/>
                <w:color w:val="000000"/>
                <w:szCs w:val="22"/>
                <w:lang w:eastAsia="en-US"/>
              </w:rPr>
              <w:t>20 000 000 €</w:t>
            </w:r>
          </w:p>
        </w:tc>
      </w:tr>
      <w:tr w:rsidR="00BB33FC" w:rsidRPr="00BB33FC" w:rsidTr="00E867CB">
        <w:trPr>
          <w:trHeight w:val="390"/>
        </w:trPr>
        <w:tc>
          <w:tcPr>
            <w:tcW w:w="6139" w:type="dxa"/>
            <w:tcBorders>
              <w:top w:val="single" w:sz="8" w:space="0" w:color="000000"/>
              <w:left w:val="single" w:sz="4" w:space="0" w:color="auto"/>
              <w:bottom w:val="single" w:sz="8" w:space="0" w:color="000000"/>
              <w:right w:val="single" w:sz="8" w:space="0" w:color="000000"/>
            </w:tcBorders>
            <w:tcMar>
              <w:top w:w="0" w:type="dxa"/>
              <w:left w:w="70" w:type="dxa"/>
              <w:bottom w:w="0" w:type="dxa"/>
              <w:right w:w="70" w:type="dxa"/>
            </w:tcMar>
          </w:tcPr>
          <w:p w:rsidR="00BB33FC" w:rsidRPr="00BB33FC" w:rsidRDefault="00BB33FC" w:rsidP="0005560D">
            <w:pPr>
              <w:spacing w:before="120"/>
              <w:jc w:val="left"/>
              <w:rPr>
                <w:rFonts w:ascii="Calibri" w:hAnsi="Calibri"/>
                <w:i/>
                <w:szCs w:val="20"/>
                <w:lang w:eastAsia="en-US"/>
              </w:rPr>
            </w:pPr>
            <w:r w:rsidRPr="00BB33FC">
              <w:rPr>
                <w:rFonts w:ascii="Calibri" w:hAnsi="Calibri"/>
                <w:i/>
                <w:szCs w:val="20"/>
                <w:lang w:eastAsia="en-US"/>
              </w:rPr>
              <w:t>Obnova potenciálu lesného hospodárstva a zavádzanie preventívnych opatrení</w:t>
            </w:r>
          </w:p>
          <w:p w:rsidR="00BB33FC" w:rsidRPr="00BB33FC" w:rsidRDefault="00BB33FC" w:rsidP="0005560D">
            <w:pPr>
              <w:jc w:val="left"/>
              <w:rPr>
                <w:rFonts w:ascii="Calibri" w:hAnsi="Calibri"/>
                <w:sz w:val="20"/>
                <w:szCs w:val="20"/>
                <w:lang w:eastAsia="en-US"/>
              </w:rPr>
            </w:pPr>
            <w:r w:rsidRPr="00BB33FC">
              <w:rPr>
                <w:rFonts w:ascii="Calibri" w:hAnsi="Calibri"/>
                <w:sz w:val="20"/>
                <w:szCs w:val="20"/>
                <w:lang w:eastAsia="en-US"/>
              </w:rPr>
              <w:t>(pokračujúce záväzky z PRV SR 2007-2013)</w:t>
            </w:r>
          </w:p>
        </w:tc>
        <w:tc>
          <w:tcPr>
            <w:tcW w:w="3026" w:type="dxa"/>
            <w:tcBorders>
              <w:top w:val="single" w:sz="8" w:space="0" w:color="000000"/>
              <w:left w:val="single" w:sz="8" w:space="0" w:color="000000"/>
              <w:bottom w:val="single" w:sz="8" w:space="0" w:color="000000"/>
              <w:right w:val="single" w:sz="4" w:space="0" w:color="auto"/>
            </w:tcBorders>
            <w:tcMar>
              <w:top w:w="0" w:type="dxa"/>
              <w:left w:w="70" w:type="dxa"/>
              <w:bottom w:w="0" w:type="dxa"/>
              <w:right w:w="70" w:type="dxa"/>
            </w:tcMar>
            <w:vAlign w:val="center"/>
          </w:tcPr>
          <w:p w:rsidR="00BB33FC" w:rsidRPr="00BB33FC" w:rsidRDefault="00BB33FC" w:rsidP="00BC4D3C">
            <w:pPr>
              <w:spacing w:before="120" w:after="120"/>
              <w:ind w:right="780"/>
              <w:jc w:val="right"/>
              <w:rPr>
                <w:rFonts w:ascii="Calibri" w:eastAsia="Calibri" w:hAnsi="Calibri"/>
                <w:color w:val="000000"/>
                <w:szCs w:val="22"/>
                <w:lang w:eastAsia="en-US"/>
              </w:rPr>
            </w:pPr>
            <w:r w:rsidRPr="00BB33FC">
              <w:rPr>
                <w:rFonts w:ascii="Calibri" w:eastAsia="Calibri" w:hAnsi="Calibri"/>
                <w:color w:val="000000"/>
                <w:szCs w:val="22"/>
                <w:lang w:eastAsia="en-US"/>
              </w:rPr>
              <w:t>15 000 000 €</w:t>
            </w:r>
          </w:p>
        </w:tc>
      </w:tr>
      <w:tr w:rsidR="00E867CB" w:rsidRPr="00BB33FC" w:rsidTr="00BB33FC">
        <w:trPr>
          <w:trHeight w:val="390"/>
        </w:trPr>
        <w:tc>
          <w:tcPr>
            <w:tcW w:w="6139" w:type="dxa"/>
            <w:tcBorders>
              <w:top w:val="single" w:sz="8" w:space="0" w:color="000000"/>
              <w:left w:val="single" w:sz="4" w:space="0" w:color="auto"/>
              <w:bottom w:val="single" w:sz="4" w:space="0" w:color="auto"/>
              <w:right w:val="single" w:sz="8" w:space="0" w:color="000000"/>
            </w:tcBorders>
            <w:tcMar>
              <w:top w:w="0" w:type="dxa"/>
              <w:left w:w="70" w:type="dxa"/>
              <w:bottom w:w="0" w:type="dxa"/>
              <w:right w:w="70" w:type="dxa"/>
            </w:tcMar>
          </w:tcPr>
          <w:p w:rsidR="00E867CB" w:rsidRDefault="00E867CB" w:rsidP="0005560D">
            <w:pPr>
              <w:spacing w:before="120"/>
              <w:jc w:val="left"/>
              <w:rPr>
                <w:rFonts w:ascii="Calibri" w:hAnsi="Calibri"/>
                <w:i/>
                <w:szCs w:val="20"/>
                <w:lang w:eastAsia="en-US"/>
              </w:rPr>
            </w:pPr>
            <w:r w:rsidRPr="00445E9B">
              <w:rPr>
                <w:rFonts w:ascii="Calibri" w:hAnsi="Calibri"/>
                <w:i/>
                <w:szCs w:val="20"/>
                <w:lang w:eastAsia="en-US"/>
              </w:rPr>
              <w:t>Podpora investícií do infraštruktúry týkajúcej sa rozvoja, modernizácie alebo adaptácie poľnohospodárstva a</w:t>
            </w:r>
            <w:r>
              <w:rPr>
                <w:rFonts w:ascii="Calibri" w:hAnsi="Calibri"/>
                <w:i/>
                <w:szCs w:val="20"/>
                <w:lang w:eastAsia="en-US"/>
              </w:rPr>
              <w:t> </w:t>
            </w:r>
            <w:r w:rsidRPr="00445E9B">
              <w:rPr>
                <w:rFonts w:ascii="Calibri" w:hAnsi="Calibri"/>
                <w:i/>
                <w:szCs w:val="20"/>
                <w:lang w:eastAsia="en-US"/>
              </w:rPr>
              <w:t>lesníctva</w:t>
            </w:r>
          </w:p>
          <w:p w:rsidR="00E867CB" w:rsidRPr="00BB33FC" w:rsidRDefault="00E867CB" w:rsidP="0005560D">
            <w:pPr>
              <w:jc w:val="left"/>
              <w:rPr>
                <w:rFonts w:ascii="Calibri" w:hAnsi="Calibri"/>
                <w:i/>
                <w:szCs w:val="20"/>
                <w:lang w:eastAsia="en-US"/>
              </w:rPr>
            </w:pPr>
            <w:r w:rsidRPr="00BB33FC">
              <w:rPr>
                <w:rFonts w:ascii="Calibri" w:hAnsi="Calibri"/>
                <w:sz w:val="20"/>
                <w:szCs w:val="20"/>
                <w:lang w:eastAsia="en-US"/>
              </w:rPr>
              <w:t>(pokračujúce záväzky z PRV SR 2007-2013)</w:t>
            </w:r>
          </w:p>
        </w:tc>
        <w:tc>
          <w:tcPr>
            <w:tcW w:w="3026" w:type="dxa"/>
            <w:tcBorders>
              <w:top w:val="single" w:sz="8" w:space="0" w:color="000000"/>
              <w:left w:val="single" w:sz="8" w:space="0" w:color="000000"/>
              <w:bottom w:val="single" w:sz="4" w:space="0" w:color="auto"/>
              <w:right w:val="single" w:sz="4" w:space="0" w:color="auto"/>
            </w:tcBorders>
            <w:tcMar>
              <w:top w:w="0" w:type="dxa"/>
              <w:left w:w="70" w:type="dxa"/>
              <w:bottom w:w="0" w:type="dxa"/>
              <w:right w:w="70" w:type="dxa"/>
            </w:tcMar>
            <w:vAlign w:val="center"/>
          </w:tcPr>
          <w:p w:rsidR="00E867CB" w:rsidRPr="00BB33FC" w:rsidRDefault="00E867CB" w:rsidP="00BC4D3C">
            <w:pPr>
              <w:spacing w:before="120" w:after="120"/>
              <w:ind w:right="780"/>
              <w:jc w:val="right"/>
              <w:rPr>
                <w:rFonts w:ascii="Calibri" w:eastAsia="Calibri" w:hAnsi="Calibri"/>
                <w:color w:val="000000"/>
                <w:szCs w:val="22"/>
                <w:lang w:eastAsia="en-US"/>
              </w:rPr>
            </w:pPr>
            <w:r>
              <w:rPr>
                <w:rFonts w:ascii="Calibri" w:eastAsia="Calibri" w:hAnsi="Calibri"/>
                <w:color w:val="000000"/>
                <w:szCs w:val="22"/>
                <w:lang w:eastAsia="en-US"/>
              </w:rPr>
              <w:t xml:space="preserve">2 000 000 </w:t>
            </w:r>
            <w:r w:rsidRPr="00BB33FC">
              <w:rPr>
                <w:rFonts w:ascii="Calibri" w:eastAsia="Calibri" w:hAnsi="Calibri"/>
                <w:color w:val="000000"/>
                <w:szCs w:val="22"/>
                <w:lang w:eastAsia="en-US"/>
              </w:rPr>
              <w:t>€</w:t>
            </w:r>
          </w:p>
        </w:tc>
      </w:tr>
    </w:tbl>
    <w:p w:rsidR="00BB33FC" w:rsidRPr="00BB33FC" w:rsidRDefault="00BB33FC" w:rsidP="00BB33FC">
      <w:pPr>
        <w:spacing w:after="200" w:line="276" w:lineRule="auto"/>
        <w:rPr>
          <w:rFonts w:ascii="Calibri" w:eastAsia="Calibri" w:hAnsi="Calibri"/>
          <w:szCs w:val="22"/>
          <w:lang w:eastAsia="en-US"/>
        </w:rPr>
      </w:pPr>
    </w:p>
    <w:p w:rsidR="00BB33FC" w:rsidRPr="00BB33FC" w:rsidRDefault="00BB33FC" w:rsidP="00BB33FC">
      <w:pPr>
        <w:spacing w:after="200" w:line="276" w:lineRule="auto"/>
        <w:rPr>
          <w:rFonts w:ascii="Calibri" w:eastAsia="Calibri" w:hAnsi="Calibri"/>
          <w:szCs w:val="22"/>
          <w:lang w:eastAsia="en-US"/>
        </w:rPr>
      </w:pPr>
    </w:p>
    <w:p w:rsidR="00BB33FC" w:rsidRDefault="005F1407" w:rsidP="005F1407">
      <w:pPr>
        <w:jc w:val="center"/>
        <w:rPr>
          <w:rFonts w:ascii="Calibri" w:hAnsi="Calibri" w:cs="Calibri"/>
          <w:szCs w:val="22"/>
          <w:lang w:eastAsia="en-US"/>
        </w:rPr>
      </w:pPr>
      <w:r>
        <w:rPr>
          <w:rFonts w:ascii="Calibri" w:hAnsi="Calibri" w:cs="Calibri"/>
          <w:szCs w:val="22"/>
          <w:lang w:eastAsia="en-US"/>
        </w:rPr>
        <w:br w:type="page"/>
      </w:r>
    </w:p>
    <w:p w:rsidR="00BB33FC" w:rsidRPr="006C75BE" w:rsidRDefault="00BB33FC" w:rsidP="00BB33FC">
      <w:pPr>
        <w:jc w:val="right"/>
        <w:rPr>
          <w:rFonts w:cs="Calibri"/>
          <w:b/>
          <w:sz w:val="20"/>
          <w:szCs w:val="20"/>
          <w:lang w:eastAsia="en-US"/>
        </w:rPr>
      </w:pPr>
      <w:r w:rsidRPr="006C75BE">
        <w:rPr>
          <w:rFonts w:cs="Calibri"/>
          <w:b/>
          <w:sz w:val="20"/>
          <w:szCs w:val="20"/>
          <w:lang w:eastAsia="en-US"/>
        </w:rPr>
        <w:lastRenderedPageBreak/>
        <w:t>PRÍLOHA I</w:t>
      </w:r>
    </w:p>
    <w:tbl>
      <w:tblPr>
        <w:tblW w:w="10627" w:type="dxa"/>
        <w:tblInd w:w="-775" w:type="dxa"/>
        <w:tblCellMar>
          <w:left w:w="70" w:type="dxa"/>
          <w:right w:w="70" w:type="dxa"/>
        </w:tblCellMar>
        <w:tblLook w:val="04A0" w:firstRow="1" w:lastRow="0" w:firstColumn="1" w:lastColumn="0" w:noHBand="0" w:noVBand="1"/>
      </w:tblPr>
      <w:tblGrid>
        <w:gridCol w:w="387"/>
        <w:gridCol w:w="363"/>
        <w:gridCol w:w="95"/>
        <w:gridCol w:w="3266"/>
        <w:gridCol w:w="670"/>
        <w:gridCol w:w="631"/>
        <w:gridCol w:w="445"/>
        <w:gridCol w:w="641"/>
        <w:gridCol w:w="675"/>
        <w:gridCol w:w="188"/>
        <w:gridCol w:w="888"/>
        <w:gridCol w:w="786"/>
        <w:gridCol w:w="350"/>
        <w:gridCol w:w="291"/>
        <w:gridCol w:w="1181"/>
      </w:tblGrid>
      <w:tr w:rsidR="00A71A12" w:rsidRPr="00BB33FC" w:rsidTr="00A71A12">
        <w:trPr>
          <w:trHeight w:val="345"/>
        </w:trPr>
        <w:tc>
          <w:tcPr>
            <w:tcW w:w="387"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363"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8926" w:type="dxa"/>
            <w:gridSpan w:val="12"/>
            <w:tcBorders>
              <w:top w:val="nil"/>
              <w:left w:val="nil"/>
              <w:bottom w:val="nil"/>
              <w:right w:val="nil"/>
            </w:tcBorders>
            <w:shd w:val="clear" w:color="auto" w:fill="auto"/>
            <w:noWrap/>
            <w:vAlign w:val="bottom"/>
            <w:hideMark/>
          </w:tcPr>
          <w:p w:rsidR="00A71A12" w:rsidRPr="00BB33FC" w:rsidRDefault="00A71A12" w:rsidP="00A71A12">
            <w:pPr>
              <w:jc w:val="center"/>
              <w:rPr>
                <w:color w:val="000000"/>
                <w:sz w:val="32"/>
                <w:szCs w:val="32"/>
              </w:rPr>
            </w:pPr>
            <w:r w:rsidRPr="00BB33FC">
              <w:rPr>
                <w:color w:val="000000"/>
                <w:sz w:val="32"/>
                <w:szCs w:val="32"/>
              </w:rPr>
              <w:t>Common Context Indicators 2014-2020: analytical table</w:t>
            </w:r>
          </w:p>
        </w:tc>
        <w:tc>
          <w:tcPr>
            <w:tcW w:w="951"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r>
      <w:tr w:rsidR="00A71A12" w:rsidRPr="00BB33FC" w:rsidTr="00A71A12">
        <w:trPr>
          <w:trHeight w:val="360"/>
        </w:trPr>
        <w:tc>
          <w:tcPr>
            <w:tcW w:w="9676" w:type="dxa"/>
            <w:gridSpan w:val="14"/>
            <w:tcBorders>
              <w:top w:val="nil"/>
              <w:left w:val="nil"/>
              <w:bottom w:val="nil"/>
              <w:right w:val="nil"/>
            </w:tcBorders>
            <w:shd w:val="clear" w:color="auto" w:fill="auto"/>
            <w:noWrap/>
            <w:vAlign w:val="bottom"/>
            <w:hideMark/>
          </w:tcPr>
          <w:p w:rsidR="00A71A12" w:rsidRPr="00BB33FC" w:rsidRDefault="00A71A12" w:rsidP="00A71A12">
            <w:pPr>
              <w:ind w:left="775"/>
              <w:jc w:val="center"/>
              <w:rPr>
                <w:color w:val="000000"/>
                <w:sz w:val="32"/>
                <w:szCs w:val="32"/>
              </w:rPr>
            </w:pPr>
            <w:r w:rsidRPr="00BB33FC">
              <w:rPr>
                <w:color w:val="000000"/>
                <w:sz w:val="32"/>
                <w:szCs w:val="32"/>
              </w:rPr>
              <w:t>Spoločné kontextuálne ukazovatele 2014-2020: analytická tabuľka</w:t>
            </w:r>
          </w:p>
        </w:tc>
        <w:tc>
          <w:tcPr>
            <w:tcW w:w="951"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r>
      <w:tr w:rsidR="00A71A12" w:rsidRPr="00BB33FC" w:rsidTr="00A71A12">
        <w:trPr>
          <w:trHeight w:val="240"/>
        </w:trPr>
        <w:tc>
          <w:tcPr>
            <w:tcW w:w="9035" w:type="dxa"/>
            <w:gridSpan w:val="12"/>
            <w:tcBorders>
              <w:top w:val="nil"/>
              <w:left w:val="nil"/>
              <w:bottom w:val="nil"/>
              <w:right w:val="nil"/>
            </w:tcBorders>
            <w:shd w:val="clear" w:color="auto" w:fill="auto"/>
            <w:noWrap/>
            <w:vAlign w:val="bottom"/>
            <w:hideMark/>
          </w:tcPr>
          <w:p w:rsidR="00A71A12" w:rsidRPr="00BB33FC" w:rsidRDefault="00A71A12" w:rsidP="00A71A12">
            <w:pPr>
              <w:ind w:left="775"/>
              <w:jc w:val="center"/>
              <w:rPr>
                <w:rFonts w:ascii="Calibri" w:hAnsi="Calibri"/>
                <w:color w:val="000000"/>
                <w:szCs w:val="22"/>
              </w:rPr>
            </w:pPr>
            <w:r w:rsidRPr="00BB33FC">
              <w:rPr>
                <w:rFonts w:ascii="Calibri" w:hAnsi="Calibri"/>
                <w:color w:val="000000"/>
                <w:szCs w:val="22"/>
              </w:rPr>
              <w:t>According to working document for the Evaluation Expert committee July 2013</w:t>
            </w:r>
          </w:p>
        </w:tc>
        <w:tc>
          <w:tcPr>
            <w:tcW w:w="641" w:type="dxa"/>
            <w:gridSpan w:val="2"/>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951"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r>
      <w:tr w:rsidR="00A71A12" w:rsidRPr="00BB33FC" w:rsidTr="00A71A12">
        <w:trPr>
          <w:trHeight w:val="255"/>
        </w:trPr>
        <w:tc>
          <w:tcPr>
            <w:tcW w:w="9035" w:type="dxa"/>
            <w:gridSpan w:val="12"/>
            <w:tcBorders>
              <w:top w:val="nil"/>
              <w:left w:val="nil"/>
              <w:bottom w:val="nil"/>
              <w:right w:val="nil"/>
            </w:tcBorders>
            <w:shd w:val="clear" w:color="auto" w:fill="auto"/>
            <w:noWrap/>
            <w:vAlign w:val="bottom"/>
            <w:hideMark/>
          </w:tcPr>
          <w:p w:rsidR="00A71A12" w:rsidRPr="00BB33FC" w:rsidRDefault="00A71A12" w:rsidP="00A71A12">
            <w:pPr>
              <w:ind w:left="775"/>
              <w:jc w:val="center"/>
              <w:rPr>
                <w:rFonts w:ascii="Calibri" w:hAnsi="Calibri"/>
                <w:color w:val="000000"/>
                <w:szCs w:val="22"/>
              </w:rPr>
            </w:pPr>
            <w:r w:rsidRPr="00BB33FC">
              <w:rPr>
                <w:rFonts w:ascii="Calibri" w:hAnsi="Calibri"/>
                <w:color w:val="000000"/>
                <w:szCs w:val="22"/>
              </w:rPr>
              <w:t>(Podľa pracovného dokumentu Hodnotiaceho výboru expertov, júl 2013)</w:t>
            </w:r>
          </w:p>
        </w:tc>
        <w:tc>
          <w:tcPr>
            <w:tcW w:w="641" w:type="dxa"/>
            <w:gridSpan w:val="2"/>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951"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r>
      <w:tr w:rsidR="00A71A12" w:rsidRPr="00BB33FC" w:rsidTr="00A71A12">
        <w:trPr>
          <w:trHeight w:val="270"/>
        </w:trPr>
        <w:tc>
          <w:tcPr>
            <w:tcW w:w="387"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3724" w:type="dxa"/>
            <w:gridSpan w:val="3"/>
            <w:tcBorders>
              <w:top w:val="nil"/>
              <w:left w:val="nil"/>
              <w:bottom w:val="nil"/>
              <w:right w:val="nil"/>
            </w:tcBorders>
            <w:shd w:val="clear" w:color="000000" w:fill="FFFFFF"/>
            <w:noWrap/>
            <w:hideMark/>
          </w:tcPr>
          <w:p w:rsidR="00A71A12" w:rsidRPr="00BB33FC" w:rsidRDefault="00A71A12" w:rsidP="00A71A12">
            <w:pPr>
              <w:rPr>
                <w:rFonts w:ascii="Arial" w:hAnsi="Arial" w:cs="Arial"/>
                <w:color w:val="000000"/>
                <w:sz w:val="20"/>
                <w:szCs w:val="20"/>
              </w:rPr>
            </w:pPr>
            <w:r w:rsidRPr="00BB33FC">
              <w:rPr>
                <w:rFonts w:ascii="Arial" w:hAnsi="Arial" w:cs="Arial"/>
                <w:color w:val="000000"/>
                <w:sz w:val="20"/>
                <w:szCs w:val="20"/>
              </w:rPr>
              <w:t xml:space="preserve">Programme ID:   </w:t>
            </w:r>
          </w:p>
        </w:tc>
        <w:tc>
          <w:tcPr>
            <w:tcW w:w="2387" w:type="dxa"/>
            <w:gridSpan w:val="4"/>
            <w:tcBorders>
              <w:top w:val="nil"/>
              <w:left w:val="nil"/>
              <w:bottom w:val="nil"/>
              <w:right w:val="nil"/>
            </w:tcBorders>
            <w:shd w:val="clear" w:color="000000" w:fill="FFCC99"/>
            <w:noWrap/>
            <w:vAlign w:val="bottom"/>
            <w:hideMark/>
          </w:tcPr>
          <w:p w:rsidR="00A71A12" w:rsidRPr="00BB33FC" w:rsidRDefault="00A71A12" w:rsidP="00A71A12">
            <w:pPr>
              <w:jc w:val="right"/>
              <w:rPr>
                <w:rFonts w:ascii="Arial" w:hAnsi="Arial" w:cs="Arial"/>
                <w:b/>
                <w:bCs/>
                <w:sz w:val="18"/>
                <w:szCs w:val="18"/>
              </w:rPr>
            </w:pPr>
            <w:r w:rsidRPr="00BB33FC">
              <w:rPr>
                <w:rFonts w:ascii="Arial" w:hAnsi="Arial" w:cs="Arial"/>
                <w:b/>
                <w:bCs/>
                <w:sz w:val="18"/>
                <w:szCs w:val="18"/>
              </w:rPr>
              <w:t>SK - National</w:t>
            </w:r>
          </w:p>
        </w:tc>
        <w:tc>
          <w:tcPr>
            <w:tcW w:w="3178" w:type="dxa"/>
            <w:gridSpan w:val="6"/>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r w:rsidRPr="00BB33FC">
              <w:rPr>
                <w:rFonts w:ascii="Calibri" w:hAnsi="Calibri"/>
                <w:color w:val="000000"/>
                <w:szCs w:val="22"/>
              </w:rPr>
              <w:t>SR - národná úroveň programu</w:t>
            </w:r>
          </w:p>
        </w:tc>
        <w:tc>
          <w:tcPr>
            <w:tcW w:w="951"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r>
      <w:tr w:rsidR="00A71A12" w:rsidRPr="00BB33FC" w:rsidTr="00A71A12">
        <w:trPr>
          <w:trHeight w:val="285"/>
        </w:trPr>
        <w:tc>
          <w:tcPr>
            <w:tcW w:w="387"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3724" w:type="dxa"/>
            <w:gridSpan w:val="3"/>
            <w:tcBorders>
              <w:top w:val="nil"/>
              <w:left w:val="nil"/>
              <w:bottom w:val="nil"/>
              <w:right w:val="nil"/>
            </w:tcBorders>
            <w:shd w:val="clear" w:color="auto" w:fill="auto"/>
            <w:noWrap/>
            <w:hideMark/>
          </w:tcPr>
          <w:p w:rsidR="00A71A12" w:rsidRPr="00BB33FC" w:rsidRDefault="00A71A12" w:rsidP="00A71A12">
            <w:pPr>
              <w:rPr>
                <w:rFonts w:ascii="Arial" w:hAnsi="Arial" w:cs="Arial"/>
                <w:color w:val="000000"/>
                <w:sz w:val="20"/>
                <w:szCs w:val="20"/>
              </w:rPr>
            </w:pPr>
            <w:r w:rsidRPr="00BB33FC">
              <w:rPr>
                <w:rFonts w:ascii="Arial" w:hAnsi="Arial" w:cs="Arial"/>
                <w:color w:val="000000"/>
                <w:sz w:val="20"/>
                <w:szCs w:val="20"/>
              </w:rPr>
              <w:t>NUTS level</w:t>
            </w:r>
          </w:p>
        </w:tc>
        <w:tc>
          <w:tcPr>
            <w:tcW w:w="2387" w:type="dxa"/>
            <w:gridSpan w:val="4"/>
            <w:tcBorders>
              <w:top w:val="nil"/>
              <w:left w:val="nil"/>
              <w:bottom w:val="nil"/>
              <w:right w:val="nil"/>
            </w:tcBorders>
            <w:shd w:val="clear" w:color="000000" w:fill="FFCC99"/>
            <w:noWrap/>
            <w:vAlign w:val="bottom"/>
            <w:hideMark/>
          </w:tcPr>
          <w:p w:rsidR="00A71A12" w:rsidRPr="00BB33FC" w:rsidRDefault="00A71A12" w:rsidP="00A71A12">
            <w:pPr>
              <w:jc w:val="right"/>
              <w:rPr>
                <w:rFonts w:ascii="Arial" w:hAnsi="Arial" w:cs="Arial"/>
                <w:b/>
                <w:bCs/>
                <w:sz w:val="18"/>
                <w:szCs w:val="18"/>
              </w:rPr>
            </w:pPr>
            <w:r w:rsidRPr="00BB33FC">
              <w:rPr>
                <w:rFonts w:ascii="Arial" w:hAnsi="Arial" w:cs="Arial"/>
                <w:b/>
                <w:bCs/>
                <w:sz w:val="18"/>
                <w:szCs w:val="18"/>
              </w:rPr>
              <w:t>Country (NUTS0)</w:t>
            </w:r>
          </w:p>
        </w:tc>
        <w:tc>
          <w:tcPr>
            <w:tcW w:w="863" w:type="dxa"/>
            <w:gridSpan w:val="2"/>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1674" w:type="dxa"/>
            <w:gridSpan w:val="2"/>
            <w:tcBorders>
              <w:top w:val="nil"/>
              <w:left w:val="nil"/>
              <w:bottom w:val="nil"/>
              <w:right w:val="nil"/>
            </w:tcBorders>
            <w:shd w:val="clear" w:color="auto" w:fill="auto"/>
            <w:vAlign w:val="bottom"/>
            <w:hideMark/>
          </w:tcPr>
          <w:p w:rsidR="00A71A12" w:rsidRPr="00BB33FC" w:rsidRDefault="00A71A12" w:rsidP="00A71A12">
            <w:pPr>
              <w:rPr>
                <w:rFonts w:ascii="Calibri" w:hAnsi="Calibri"/>
                <w:color w:val="000000"/>
                <w:szCs w:val="22"/>
              </w:rPr>
            </w:pPr>
          </w:p>
        </w:tc>
        <w:tc>
          <w:tcPr>
            <w:tcW w:w="641" w:type="dxa"/>
            <w:gridSpan w:val="2"/>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951"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r>
      <w:tr w:rsidR="00A71A12" w:rsidRPr="00BB33FC" w:rsidTr="00A71A12">
        <w:trPr>
          <w:trHeight w:val="600"/>
        </w:trPr>
        <w:tc>
          <w:tcPr>
            <w:tcW w:w="387"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363" w:type="dxa"/>
            <w:tcBorders>
              <w:top w:val="single" w:sz="8" w:space="0" w:color="E26B0A"/>
              <w:left w:val="single" w:sz="8" w:space="0" w:color="E26B0A"/>
              <w:bottom w:val="nil"/>
              <w:right w:val="nil"/>
            </w:tcBorders>
            <w:shd w:val="clear" w:color="auto" w:fill="auto"/>
            <w:vAlign w:val="bottom"/>
            <w:hideMark/>
          </w:tcPr>
          <w:p w:rsidR="00A71A12" w:rsidRPr="00BB33FC" w:rsidRDefault="00A71A12" w:rsidP="00A71A12">
            <w:pPr>
              <w:jc w:val="center"/>
              <w:rPr>
                <w:rFonts w:ascii="Arial" w:hAnsi="Arial" w:cs="Arial"/>
                <w:b/>
                <w:bCs/>
                <w:i/>
                <w:iCs/>
                <w:color w:val="000000"/>
                <w:sz w:val="28"/>
                <w:szCs w:val="28"/>
              </w:rPr>
            </w:pPr>
            <w:r w:rsidRPr="00BB33FC">
              <w:rPr>
                <w:rFonts w:ascii="Arial" w:hAnsi="Arial" w:cs="Arial"/>
                <w:b/>
                <w:bCs/>
                <w:i/>
                <w:iCs/>
                <w:color w:val="000000"/>
                <w:sz w:val="28"/>
                <w:szCs w:val="28"/>
              </w:rPr>
              <w:t> </w:t>
            </w:r>
          </w:p>
        </w:tc>
        <w:tc>
          <w:tcPr>
            <w:tcW w:w="3361" w:type="dxa"/>
            <w:gridSpan w:val="2"/>
            <w:tcBorders>
              <w:top w:val="single" w:sz="8" w:space="0" w:color="E26B0A"/>
              <w:left w:val="nil"/>
              <w:bottom w:val="nil"/>
              <w:right w:val="nil"/>
            </w:tcBorders>
            <w:shd w:val="clear" w:color="auto" w:fill="auto"/>
            <w:noWrap/>
            <w:vAlign w:val="bottom"/>
            <w:hideMark/>
          </w:tcPr>
          <w:p w:rsidR="00A71A12" w:rsidRPr="00BB33FC" w:rsidRDefault="00A71A12" w:rsidP="00A71A12">
            <w:pPr>
              <w:jc w:val="center"/>
              <w:rPr>
                <w:rFonts w:ascii="Arial" w:hAnsi="Arial" w:cs="Arial"/>
                <w:b/>
                <w:bCs/>
                <w:color w:val="000000"/>
                <w:sz w:val="18"/>
                <w:szCs w:val="18"/>
              </w:rPr>
            </w:pPr>
            <w:r w:rsidRPr="00BB33FC">
              <w:rPr>
                <w:rFonts w:ascii="Arial" w:hAnsi="Arial" w:cs="Arial"/>
                <w:b/>
                <w:bCs/>
                <w:color w:val="000000"/>
                <w:sz w:val="18"/>
                <w:szCs w:val="18"/>
              </w:rPr>
              <w:t>Ukazovatele</w:t>
            </w:r>
          </w:p>
        </w:tc>
        <w:tc>
          <w:tcPr>
            <w:tcW w:w="2387" w:type="dxa"/>
            <w:gridSpan w:val="4"/>
            <w:tcBorders>
              <w:top w:val="single" w:sz="8" w:space="0" w:color="E26B0A"/>
              <w:left w:val="nil"/>
              <w:bottom w:val="nil"/>
              <w:right w:val="nil"/>
            </w:tcBorders>
            <w:shd w:val="clear" w:color="auto" w:fill="auto"/>
            <w:vAlign w:val="bottom"/>
            <w:hideMark/>
          </w:tcPr>
          <w:p w:rsidR="00A71A12" w:rsidRPr="00BB33FC" w:rsidRDefault="00A71A12" w:rsidP="00A71A12">
            <w:pPr>
              <w:jc w:val="center"/>
              <w:rPr>
                <w:rFonts w:ascii="Arial" w:hAnsi="Arial" w:cs="Arial"/>
                <w:b/>
                <w:bCs/>
                <w:i/>
                <w:iCs/>
                <w:color w:val="000000"/>
                <w:sz w:val="28"/>
                <w:szCs w:val="28"/>
              </w:rPr>
            </w:pPr>
            <w:r w:rsidRPr="00BB33FC">
              <w:rPr>
                <w:rFonts w:ascii="Arial" w:hAnsi="Arial" w:cs="Arial"/>
                <w:b/>
                <w:bCs/>
                <w:i/>
                <w:iCs/>
                <w:color w:val="000000"/>
                <w:sz w:val="28"/>
                <w:szCs w:val="28"/>
              </w:rPr>
              <w:t> </w:t>
            </w:r>
          </w:p>
        </w:tc>
        <w:tc>
          <w:tcPr>
            <w:tcW w:w="863" w:type="dxa"/>
            <w:gridSpan w:val="2"/>
            <w:tcBorders>
              <w:top w:val="single" w:sz="8" w:space="0" w:color="E26B0A"/>
              <w:left w:val="nil"/>
              <w:bottom w:val="single" w:sz="8" w:space="0" w:color="E26B0A"/>
              <w:right w:val="single" w:sz="4" w:space="0" w:color="A6A6A6"/>
            </w:tcBorders>
            <w:shd w:val="clear" w:color="auto" w:fill="auto"/>
            <w:vAlign w:val="bottom"/>
            <w:hideMark/>
          </w:tcPr>
          <w:p w:rsidR="00A71A12" w:rsidRPr="00BB33FC" w:rsidRDefault="00A71A12" w:rsidP="00A71A12">
            <w:pPr>
              <w:jc w:val="center"/>
              <w:rPr>
                <w:rFonts w:ascii="Arial" w:hAnsi="Arial" w:cs="Arial"/>
                <w:b/>
                <w:bCs/>
                <w:sz w:val="18"/>
                <w:szCs w:val="18"/>
              </w:rPr>
            </w:pPr>
            <w:r w:rsidRPr="00BB33FC">
              <w:rPr>
                <w:rFonts w:ascii="Arial" w:hAnsi="Arial" w:cs="Arial"/>
                <w:b/>
                <w:bCs/>
                <w:sz w:val="18"/>
                <w:szCs w:val="18"/>
              </w:rPr>
              <w:t>hodnota</w:t>
            </w:r>
          </w:p>
        </w:tc>
        <w:tc>
          <w:tcPr>
            <w:tcW w:w="1674" w:type="dxa"/>
            <w:gridSpan w:val="2"/>
            <w:tcBorders>
              <w:top w:val="single" w:sz="8" w:space="0" w:color="E26B0A"/>
              <w:left w:val="nil"/>
              <w:bottom w:val="single" w:sz="8" w:space="0" w:color="E26B0A"/>
              <w:right w:val="single" w:sz="4" w:space="0" w:color="A6A6A6"/>
            </w:tcBorders>
            <w:shd w:val="clear" w:color="auto" w:fill="auto"/>
            <w:vAlign w:val="bottom"/>
            <w:hideMark/>
          </w:tcPr>
          <w:p w:rsidR="00A71A12" w:rsidRPr="00BB33FC" w:rsidRDefault="00A71A12" w:rsidP="00A71A12">
            <w:pPr>
              <w:jc w:val="center"/>
              <w:rPr>
                <w:rFonts w:ascii="Arial" w:hAnsi="Arial" w:cs="Arial"/>
                <w:b/>
                <w:bCs/>
                <w:sz w:val="18"/>
                <w:szCs w:val="18"/>
              </w:rPr>
            </w:pPr>
            <w:r w:rsidRPr="00BB33FC">
              <w:rPr>
                <w:rFonts w:ascii="Arial" w:hAnsi="Arial" w:cs="Arial"/>
                <w:b/>
                <w:bCs/>
                <w:sz w:val="18"/>
                <w:szCs w:val="18"/>
              </w:rPr>
              <w:t xml:space="preserve"> merná jednotka</w:t>
            </w:r>
          </w:p>
        </w:tc>
        <w:tc>
          <w:tcPr>
            <w:tcW w:w="641" w:type="dxa"/>
            <w:gridSpan w:val="2"/>
            <w:tcBorders>
              <w:top w:val="single" w:sz="8" w:space="0" w:color="E26B0A"/>
              <w:left w:val="nil"/>
              <w:bottom w:val="single" w:sz="8" w:space="0" w:color="E26B0A"/>
              <w:right w:val="single" w:sz="4" w:space="0" w:color="A6A6A6"/>
            </w:tcBorders>
            <w:shd w:val="clear" w:color="auto" w:fill="auto"/>
            <w:noWrap/>
            <w:vAlign w:val="bottom"/>
            <w:hideMark/>
          </w:tcPr>
          <w:p w:rsidR="00A71A12" w:rsidRPr="00BB33FC" w:rsidRDefault="00A71A12" w:rsidP="00A71A12">
            <w:pPr>
              <w:jc w:val="center"/>
              <w:rPr>
                <w:rFonts w:ascii="Arial" w:hAnsi="Arial" w:cs="Arial"/>
                <w:b/>
                <w:bCs/>
                <w:sz w:val="18"/>
                <w:szCs w:val="18"/>
              </w:rPr>
            </w:pPr>
            <w:r w:rsidRPr="00BB33FC">
              <w:rPr>
                <w:rFonts w:ascii="Arial" w:hAnsi="Arial" w:cs="Arial"/>
                <w:b/>
                <w:bCs/>
                <w:sz w:val="18"/>
                <w:szCs w:val="18"/>
              </w:rPr>
              <w:t>rok</w:t>
            </w:r>
          </w:p>
        </w:tc>
        <w:tc>
          <w:tcPr>
            <w:tcW w:w="951" w:type="dxa"/>
            <w:tcBorders>
              <w:top w:val="single" w:sz="8" w:space="0" w:color="E26B0A"/>
              <w:left w:val="nil"/>
              <w:bottom w:val="single" w:sz="8" w:space="0" w:color="E26B0A"/>
              <w:right w:val="single" w:sz="8" w:space="0" w:color="E26B0A"/>
            </w:tcBorders>
            <w:shd w:val="clear" w:color="auto" w:fill="auto"/>
            <w:vAlign w:val="bottom"/>
            <w:hideMark/>
          </w:tcPr>
          <w:p w:rsidR="00A71A12" w:rsidRPr="00BB33FC" w:rsidRDefault="00A71A12" w:rsidP="00A71A12">
            <w:pPr>
              <w:rPr>
                <w:rFonts w:ascii="Arial" w:hAnsi="Arial" w:cs="Arial"/>
                <w:b/>
                <w:bCs/>
                <w:sz w:val="18"/>
                <w:szCs w:val="18"/>
              </w:rPr>
            </w:pPr>
            <w:r w:rsidRPr="00BB33FC">
              <w:rPr>
                <w:rFonts w:ascii="Arial" w:hAnsi="Arial" w:cs="Arial"/>
                <w:b/>
                <w:bCs/>
                <w:sz w:val="18"/>
                <w:szCs w:val="18"/>
              </w:rPr>
              <w:t xml:space="preserve"> komentár (zdroj...)</w:t>
            </w:r>
          </w:p>
        </w:tc>
      </w:tr>
      <w:tr w:rsidR="00A71A12" w:rsidRPr="00BB33FC" w:rsidTr="00A71A12">
        <w:trPr>
          <w:trHeight w:val="765"/>
        </w:trPr>
        <w:tc>
          <w:tcPr>
            <w:tcW w:w="387"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6111" w:type="dxa"/>
            <w:gridSpan w:val="7"/>
            <w:tcBorders>
              <w:top w:val="single" w:sz="8" w:space="0" w:color="E26B0A"/>
              <w:left w:val="single" w:sz="8" w:space="0" w:color="E26B0A"/>
              <w:bottom w:val="single" w:sz="8" w:space="0" w:color="E26B0A"/>
              <w:right w:val="single" w:sz="4" w:space="0" w:color="A6A6A6"/>
            </w:tcBorders>
            <w:shd w:val="clear" w:color="auto" w:fill="auto"/>
            <w:vAlign w:val="bottom"/>
            <w:hideMark/>
          </w:tcPr>
          <w:p w:rsidR="00A71A12" w:rsidRPr="00BB33FC" w:rsidRDefault="00A71A12" w:rsidP="00A71A12">
            <w:pPr>
              <w:jc w:val="center"/>
              <w:rPr>
                <w:rFonts w:ascii="Arial" w:hAnsi="Arial" w:cs="Arial"/>
                <w:b/>
                <w:bCs/>
                <w:i/>
                <w:iCs/>
                <w:color w:val="000000"/>
                <w:sz w:val="28"/>
                <w:szCs w:val="28"/>
              </w:rPr>
            </w:pPr>
            <w:r w:rsidRPr="00BB33FC">
              <w:rPr>
                <w:rFonts w:ascii="Arial" w:hAnsi="Arial" w:cs="Arial"/>
                <w:b/>
                <w:bCs/>
                <w:i/>
                <w:iCs/>
                <w:color w:val="000000"/>
                <w:sz w:val="28"/>
                <w:szCs w:val="28"/>
              </w:rPr>
              <w:t xml:space="preserve"> Socio-ekonomická situácia a vidieckosť</w:t>
            </w:r>
          </w:p>
        </w:tc>
        <w:tc>
          <w:tcPr>
            <w:tcW w:w="863" w:type="dxa"/>
            <w:gridSpan w:val="2"/>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1674" w:type="dxa"/>
            <w:gridSpan w:val="2"/>
            <w:tcBorders>
              <w:top w:val="nil"/>
              <w:left w:val="nil"/>
              <w:bottom w:val="nil"/>
              <w:right w:val="nil"/>
            </w:tcBorders>
            <w:shd w:val="clear" w:color="auto" w:fill="auto"/>
            <w:vAlign w:val="bottom"/>
            <w:hideMark/>
          </w:tcPr>
          <w:p w:rsidR="00A71A12" w:rsidRPr="00BB33FC" w:rsidRDefault="00A71A12" w:rsidP="00A71A12">
            <w:pPr>
              <w:rPr>
                <w:rFonts w:ascii="Calibri" w:hAnsi="Calibri"/>
                <w:color w:val="000000"/>
                <w:szCs w:val="22"/>
              </w:rPr>
            </w:pPr>
          </w:p>
        </w:tc>
        <w:tc>
          <w:tcPr>
            <w:tcW w:w="641" w:type="dxa"/>
            <w:gridSpan w:val="2"/>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951"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r>
      <w:tr w:rsidR="00A71A12" w:rsidRPr="00BB33FC" w:rsidTr="00A71A12">
        <w:trPr>
          <w:trHeight w:val="285"/>
        </w:trPr>
        <w:tc>
          <w:tcPr>
            <w:tcW w:w="387"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363" w:type="dxa"/>
            <w:vMerge w:val="restart"/>
            <w:tcBorders>
              <w:top w:val="nil"/>
              <w:left w:val="single" w:sz="8" w:space="0" w:color="E26B0A"/>
              <w:bottom w:val="single" w:sz="8" w:space="0" w:color="E26B0A"/>
              <w:right w:val="single" w:sz="8" w:space="0" w:color="E26B0A"/>
            </w:tcBorders>
            <w:shd w:val="clear" w:color="auto" w:fill="auto"/>
            <w:noWrap/>
            <w:hideMark/>
          </w:tcPr>
          <w:p w:rsidR="00A71A12" w:rsidRPr="00BB33FC" w:rsidRDefault="00A71A12" w:rsidP="00A71A12">
            <w:pPr>
              <w:rPr>
                <w:rFonts w:ascii="Arial" w:hAnsi="Arial" w:cs="Arial"/>
                <w:b/>
                <w:bCs/>
                <w:color w:val="000000"/>
                <w:sz w:val="20"/>
                <w:szCs w:val="20"/>
              </w:rPr>
            </w:pPr>
            <w:r w:rsidRPr="00BB33FC">
              <w:rPr>
                <w:rFonts w:ascii="Arial" w:hAnsi="Arial" w:cs="Arial"/>
                <w:b/>
                <w:bCs/>
                <w:color w:val="000000"/>
                <w:sz w:val="20"/>
                <w:szCs w:val="20"/>
              </w:rPr>
              <w:t>1</w:t>
            </w:r>
          </w:p>
        </w:tc>
        <w:tc>
          <w:tcPr>
            <w:tcW w:w="9877" w:type="dxa"/>
            <w:gridSpan w:val="13"/>
            <w:tcBorders>
              <w:top w:val="single" w:sz="8" w:space="0" w:color="E26B0A"/>
              <w:left w:val="nil"/>
              <w:bottom w:val="single" w:sz="4" w:space="0" w:color="A6A6A6"/>
              <w:right w:val="single" w:sz="8" w:space="0" w:color="E26B0A"/>
            </w:tcBorders>
            <w:shd w:val="clear" w:color="auto" w:fill="auto"/>
            <w:noWrap/>
            <w:hideMark/>
          </w:tcPr>
          <w:p w:rsidR="00A71A12" w:rsidRPr="00BB33FC" w:rsidRDefault="00A71A12" w:rsidP="00A71A12">
            <w:pPr>
              <w:rPr>
                <w:rFonts w:ascii="Arial" w:hAnsi="Arial" w:cs="Arial"/>
                <w:b/>
                <w:bCs/>
                <w:i/>
                <w:iCs/>
                <w:color w:val="000000"/>
                <w:sz w:val="20"/>
                <w:szCs w:val="20"/>
              </w:rPr>
            </w:pPr>
            <w:r w:rsidRPr="00BB33FC">
              <w:rPr>
                <w:rFonts w:ascii="Arial" w:hAnsi="Arial" w:cs="Arial"/>
                <w:b/>
                <w:bCs/>
                <w:i/>
                <w:iCs/>
                <w:color w:val="000000"/>
                <w:sz w:val="20"/>
                <w:szCs w:val="20"/>
              </w:rPr>
              <w:t>Obyvateľstvo</w:t>
            </w:r>
          </w:p>
        </w:tc>
      </w:tr>
      <w:tr w:rsidR="00A71A12" w:rsidRPr="00BB33FC" w:rsidTr="00A71A12">
        <w:trPr>
          <w:trHeight w:val="300"/>
        </w:trPr>
        <w:tc>
          <w:tcPr>
            <w:tcW w:w="387"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363" w:type="dxa"/>
            <w:vMerge/>
            <w:tcBorders>
              <w:top w:val="nil"/>
              <w:left w:val="single" w:sz="8" w:space="0" w:color="E26B0A"/>
              <w:bottom w:val="single" w:sz="8" w:space="0" w:color="E26B0A"/>
              <w:right w:val="single" w:sz="8" w:space="0" w:color="E26B0A"/>
            </w:tcBorders>
            <w:vAlign w:val="center"/>
            <w:hideMark/>
          </w:tcPr>
          <w:p w:rsidR="00A71A12" w:rsidRPr="00BB33FC" w:rsidRDefault="00A71A12" w:rsidP="00A71A12">
            <w:pPr>
              <w:rPr>
                <w:rFonts w:ascii="Arial" w:hAnsi="Arial" w:cs="Arial"/>
                <w:b/>
                <w:bCs/>
                <w:color w:val="000000"/>
                <w:sz w:val="20"/>
                <w:szCs w:val="20"/>
              </w:rPr>
            </w:pPr>
          </w:p>
        </w:tc>
        <w:tc>
          <w:tcPr>
            <w:tcW w:w="4662" w:type="dxa"/>
            <w:gridSpan w:val="4"/>
            <w:tcBorders>
              <w:top w:val="nil"/>
              <w:left w:val="nil"/>
              <w:bottom w:val="single" w:sz="4" w:space="0" w:color="A6A6A6"/>
              <w:right w:val="nil"/>
            </w:tcBorders>
            <w:shd w:val="clear" w:color="000000" w:fill="FCD5B4"/>
            <w:noWrap/>
            <w:hideMark/>
          </w:tcPr>
          <w:p w:rsidR="00A71A12" w:rsidRPr="00BB33FC" w:rsidRDefault="00A71A12" w:rsidP="00A71A12">
            <w:pPr>
              <w:rPr>
                <w:rFonts w:ascii="Arial" w:hAnsi="Arial" w:cs="Arial"/>
                <w:color w:val="000000"/>
                <w:sz w:val="18"/>
                <w:szCs w:val="18"/>
              </w:rPr>
            </w:pPr>
            <w:r w:rsidRPr="00BB33FC">
              <w:rPr>
                <w:rFonts w:ascii="Arial" w:hAnsi="Arial" w:cs="Arial"/>
                <w:color w:val="000000"/>
                <w:sz w:val="18"/>
                <w:szCs w:val="18"/>
              </w:rPr>
              <w:t> </w:t>
            </w:r>
          </w:p>
        </w:tc>
        <w:tc>
          <w:tcPr>
            <w:tcW w:w="1086" w:type="dxa"/>
            <w:gridSpan w:val="2"/>
            <w:tcBorders>
              <w:top w:val="nil"/>
              <w:left w:val="nil"/>
              <w:bottom w:val="single" w:sz="4" w:space="0" w:color="A6A6A6"/>
              <w:right w:val="single" w:sz="4" w:space="0" w:color="A6A6A6"/>
            </w:tcBorders>
            <w:shd w:val="clear" w:color="000000" w:fill="FCD5B4"/>
            <w:noWrap/>
            <w:vAlign w:val="bottom"/>
            <w:hideMark/>
          </w:tcPr>
          <w:p w:rsidR="00A71A12" w:rsidRPr="00BB33FC" w:rsidRDefault="00A71A12" w:rsidP="00A71A12">
            <w:pPr>
              <w:rPr>
                <w:rFonts w:ascii="Arial" w:hAnsi="Arial" w:cs="Arial"/>
                <w:color w:val="000000"/>
                <w:sz w:val="20"/>
                <w:szCs w:val="20"/>
              </w:rPr>
            </w:pPr>
            <w:r w:rsidRPr="00BB33FC">
              <w:rPr>
                <w:rFonts w:ascii="Arial" w:hAnsi="Arial" w:cs="Arial"/>
                <w:color w:val="000000"/>
                <w:sz w:val="20"/>
                <w:szCs w:val="20"/>
              </w:rPr>
              <w:t>celkom</w:t>
            </w:r>
          </w:p>
        </w:tc>
        <w:tc>
          <w:tcPr>
            <w:tcW w:w="863" w:type="dxa"/>
            <w:gridSpan w:val="2"/>
            <w:tcBorders>
              <w:top w:val="nil"/>
              <w:left w:val="nil"/>
              <w:bottom w:val="nil"/>
              <w:right w:val="single" w:sz="4" w:space="0" w:color="A6A6A6"/>
            </w:tcBorders>
            <w:shd w:val="clear" w:color="000000" w:fill="FCD5B4"/>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5 404 322,0</w:t>
            </w:r>
          </w:p>
        </w:tc>
        <w:tc>
          <w:tcPr>
            <w:tcW w:w="1674" w:type="dxa"/>
            <w:gridSpan w:val="2"/>
            <w:tcBorders>
              <w:top w:val="nil"/>
              <w:left w:val="nil"/>
              <w:bottom w:val="single" w:sz="4" w:space="0" w:color="A6A6A6"/>
              <w:right w:val="single" w:sz="4" w:space="0" w:color="A6A6A6"/>
            </w:tcBorders>
            <w:shd w:val="clear" w:color="000000" w:fill="FCD5B4"/>
            <w:vAlign w:val="bottom"/>
            <w:hideMark/>
          </w:tcPr>
          <w:p w:rsidR="00A71A12" w:rsidRPr="00BB33FC" w:rsidRDefault="00A71A12" w:rsidP="00A71A12">
            <w:pPr>
              <w:jc w:val="left"/>
              <w:rPr>
                <w:rFonts w:ascii="Arial" w:hAnsi="Arial" w:cs="Arial"/>
                <w:sz w:val="18"/>
                <w:szCs w:val="18"/>
              </w:rPr>
            </w:pPr>
            <w:r w:rsidRPr="00BB33FC">
              <w:rPr>
                <w:rFonts w:ascii="Arial" w:hAnsi="Arial" w:cs="Arial"/>
                <w:sz w:val="18"/>
                <w:szCs w:val="18"/>
              </w:rPr>
              <w:t>obyvatelia</w:t>
            </w:r>
          </w:p>
        </w:tc>
        <w:tc>
          <w:tcPr>
            <w:tcW w:w="641" w:type="dxa"/>
            <w:gridSpan w:val="2"/>
            <w:tcBorders>
              <w:top w:val="nil"/>
              <w:left w:val="nil"/>
              <w:bottom w:val="single" w:sz="4" w:space="0" w:color="A6A6A6"/>
              <w:right w:val="single" w:sz="4" w:space="0" w:color="A6A6A6"/>
            </w:tcBorders>
            <w:shd w:val="clear" w:color="000000" w:fill="FCD5B4"/>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2012</w:t>
            </w:r>
          </w:p>
        </w:tc>
        <w:tc>
          <w:tcPr>
            <w:tcW w:w="951" w:type="dxa"/>
            <w:tcBorders>
              <w:top w:val="nil"/>
              <w:left w:val="nil"/>
              <w:bottom w:val="single" w:sz="4" w:space="0" w:color="A6A6A6"/>
              <w:right w:val="single" w:sz="8" w:space="0" w:color="E26B0A"/>
            </w:tcBorders>
            <w:shd w:val="clear" w:color="000000" w:fill="FCD5B4"/>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w:t>
            </w:r>
          </w:p>
        </w:tc>
      </w:tr>
      <w:tr w:rsidR="00A71A12" w:rsidRPr="00BB33FC" w:rsidTr="00A71A12">
        <w:trPr>
          <w:trHeight w:val="495"/>
        </w:trPr>
        <w:tc>
          <w:tcPr>
            <w:tcW w:w="387"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363" w:type="dxa"/>
            <w:vMerge/>
            <w:tcBorders>
              <w:top w:val="nil"/>
              <w:left w:val="single" w:sz="8" w:space="0" w:color="E26B0A"/>
              <w:bottom w:val="single" w:sz="8" w:space="0" w:color="E26B0A"/>
              <w:right w:val="single" w:sz="8" w:space="0" w:color="E26B0A"/>
            </w:tcBorders>
            <w:vAlign w:val="center"/>
            <w:hideMark/>
          </w:tcPr>
          <w:p w:rsidR="00A71A12" w:rsidRPr="00BB33FC" w:rsidRDefault="00A71A12" w:rsidP="00A71A12">
            <w:pPr>
              <w:rPr>
                <w:rFonts w:ascii="Arial" w:hAnsi="Arial" w:cs="Arial"/>
                <w:b/>
                <w:bCs/>
                <w:color w:val="000000"/>
                <w:sz w:val="20"/>
                <w:szCs w:val="20"/>
              </w:rPr>
            </w:pPr>
          </w:p>
        </w:tc>
        <w:tc>
          <w:tcPr>
            <w:tcW w:w="4662" w:type="dxa"/>
            <w:gridSpan w:val="4"/>
            <w:tcBorders>
              <w:top w:val="nil"/>
              <w:left w:val="nil"/>
              <w:bottom w:val="nil"/>
              <w:right w:val="nil"/>
            </w:tcBorders>
            <w:shd w:val="clear" w:color="000000" w:fill="FDE9D9"/>
            <w:noWrap/>
            <w:hideMark/>
          </w:tcPr>
          <w:p w:rsidR="00A71A12" w:rsidRPr="00BB33FC" w:rsidRDefault="00A71A12" w:rsidP="00A71A12">
            <w:pPr>
              <w:rPr>
                <w:rFonts w:ascii="Arial" w:hAnsi="Arial" w:cs="Arial"/>
                <w:color w:val="000000"/>
                <w:sz w:val="18"/>
                <w:szCs w:val="18"/>
              </w:rPr>
            </w:pPr>
            <w:r w:rsidRPr="00BB33FC">
              <w:rPr>
                <w:rFonts w:ascii="Arial" w:hAnsi="Arial" w:cs="Arial"/>
                <w:color w:val="000000"/>
                <w:sz w:val="18"/>
                <w:szCs w:val="18"/>
              </w:rPr>
              <w:t> </w:t>
            </w:r>
          </w:p>
        </w:tc>
        <w:tc>
          <w:tcPr>
            <w:tcW w:w="1086" w:type="dxa"/>
            <w:gridSpan w:val="2"/>
            <w:tcBorders>
              <w:top w:val="nil"/>
              <w:left w:val="nil"/>
              <w:bottom w:val="nil"/>
              <w:right w:val="single" w:sz="4" w:space="0" w:color="A6A6A6"/>
            </w:tcBorders>
            <w:shd w:val="clear" w:color="000000" w:fill="FDE9D9"/>
            <w:noWrap/>
            <w:vAlign w:val="bottom"/>
            <w:hideMark/>
          </w:tcPr>
          <w:p w:rsidR="00A71A12" w:rsidRPr="00BB33FC" w:rsidRDefault="00A71A12" w:rsidP="00A71A12">
            <w:pPr>
              <w:rPr>
                <w:rFonts w:ascii="Arial" w:hAnsi="Arial" w:cs="Arial"/>
                <w:color w:val="000000"/>
                <w:sz w:val="20"/>
                <w:szCs w:val="20"/>
              </w:rPr>
            </w:pPr>
            <w:r w:rsidRPr="00BB33FC">
              <w:rPr>
                <w:rFonts w:ascii="Arial" w:hAnsi="Arial" w:cs="Arial"/>
                <w:color w:val="000000"/>
                <w:sz w:val="20"/>
                <w:szCs w:val="20"/>
              </w:rPr>
              <w:t>vidiecke</w:t>
            </w:r>
          </w:p>
        </w:tc>
        <w:tc>
          <w:tcPr>
            <w:tcW w:w="863" w:type="dxa"/>
            <w:gridSpan w:val="2"/>
            <w:tcBorders>
              <w:top w:val="single" w:sz="4" w:space="0" w:color="A6A6A6"/>
              <w:left w:val="nil"/>
              <w:bottom w:val="nil"/>
              <w:right w:val="single" w:sz="4" w:space="0" w:color="A6A6A6"/>
            </w:tcBorders>
            <w:shd w:val="clear" w:color="000000" w:fill="FDE9D9"/>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50,</w:t>
            </w:r>
            <w:r>
              <w:rPr>
                <w:rFonts w:ascii="Arial" w:hAnsi="Arial" w:cs="Arial"/>
                <w:sz w:val="18"/>
                <w:szCs w:val="18"/>
              </w:rPr>
              <w:t>4</w:t>
            </w:r>
          </w:p>
        </w:tc>
        <w:tc>
          <w:tcPr>
            <w:tcW w:w="1674" w:type="dxa"/>
            <w:gridSpan w:val="2"/>
            <w:tcBorders>
              <w:top w:val="nil"/>
              <w:left w:val="nil"/>
              <w:bottom w:val="nil"/>
              <w:right w:val="single" w:sz="4" w:space="0" w:color="A6A6A6"/>
            </w:tcBorders>
            <w:shd w:val="clear" w:color="000000" w:fill="FDE9D9"/>
            <w:vAlign w:val="bottom"/>
            <w:hideMark/>
          </w:tcPr>
          <w:p w:rsidR="00A71A12" w:rsidRPr="00BB33FC" w:rsidRDefault="00A71A12" w:rsidP="00A71A12">
            <w:pPr>
              <w:jc w:val="left"/>
              <w:rPr>
                <w:rFonts w:ascii="Arial" w:hAnsi="Arial" w:cs="Arial"/>
                <w:sz w:val="18"/>
                <w:szCs w:val="18"/>
              </w:rPr>
            </w:pPr>
            <w:r w:rsidRPr="00BB33FC">
              <w:rPr>
                <w:rFonts w:ascii="Arial" w:hAnsi="Arial" w:cs="Arial"/>
                <w:sz w:val="18"/>
                <w:szCs w:val="18"/>
              </w:rPr>
              <w:t xml:space="preserve"> % z celkového počtu</w:t>
            </w:r>
          </w:p>
        </w:tc>
        <w:tc>
          <w:tcPr>
            <w:tcW w:w="641" w:type="dxa"/>
            <w:gridSpan w:val="2"/>
            <w:tcBorders>
              <w:top w:val="nil"/>
              <w:left w:val="nil"/>
              <w:bottom w:val="nil"/>
              <w:right w:val="single" w:sz="4" w:space="0" w:color="A6A6A6"/>
            </w:tcBorders>
            <w:shd w:val="clear" w:color="000000" w:fill="FDE9D9"/>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2012</w:t>
            </w:r>
          </w:p>
        </w:tc>
        <w:tc>
          <w:tcPr>
            <w:tcW w:w="951" w:type="dxa"/>
            <w:tcBorders>
              <w:top w:val="nil"/>
              <w:left w:val="nil"/>
              <w:bottom w:val="nil"/>
              <w:right w:val="single" w:sz="8" w:space="0" w:color="E26B0A"/>
            </w:tcBorders>
            <w:shd w:val="clear" w:color="000000" w:fill="FDE9D9"/>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w:t>
            </w:r>
          </w:p>
        </w:tc>
      </w:tr>
      <w:tr w:rsidR="00A71A12" w:rsidRPr="00BB33FC" w:rsidTr="00A71A12">
        <w:trPr>
          <w:trHeight w:val="495"/>
        </w:trPr>
        <w:tc>
          <w:tcPr>
            <w:tcW w:w="387"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363" w:type="dxa"/>
            <w:vMerge/>
            <w:tcBorders>
              <w:top w:val="nil"/>
              <w:left w:val="single" w:sz="8" w:space="0" w:color="E26B0A"/>
              <w:bottom w:val="single" w:sz="8" w:space="0" w:color="E26B0A"/>
              <w:right w:val="single" w:sz="8" w:space="0" w:color="E26B0A"/>
            </w:tcBorders>
            <w:vAlign w:val="center"/>
            <w:hideMark/>
          </w:tcPr>
          <w:p w:rsidR="00A71A12" w:rsidRPr="00BB33FC" w:rsidRDefault="00A71A12" w:rsidP="00A71A12">
            <w:pPr>
              <w:rPr>
                <w:rFonts w:ascii="Arial" w:hAnsi="Arial" w:cs="Arial"/>
                <w:b/>
                <w:bCs/>
                <w:color w:val="000000"/>
                <w:sz w:val="20"/>
                <w:szCs w:val="20"/>
              </w:rPr>
            </w:pPr>
          </w:p>
        </w:tc>
        <w:tc>
          <w:tcPr>
            <w:tcW w:w="4662" w:type="dxa"/>
            <w:gridSpan w:val="4"/>
            <w:vMerge w:val="restart"/>
            <w:tcBorders>
              <w:top w:val="nil"/>
              <w:left w:val="single" w:sz="8" w:space="0" w:color="E26B0A"/>
              <w:bottom w:val="nil"/>
              <w:right w:val="nil"/>
            </w:tcBorders>
            <w:shd w:val="clear" w:color="000000" w:fill="FDE9D9"/>
            <w:hideMark/>
          </w:tcPr>
          <w:p w:rsidR="00A71A12" w:rsidRPr="00BB33FC" w:rsidRDefault="00A71A12" w:rsidP="00A71A12">
            <w:pPr>
              <w:rPr>
                <w:rFonts w:ascii="Arial" w:hAnsi="Arial" w:cs="Arial"/>
                <w:color w:val="000000"/>
                <w:sz w:val="18"/>
                <w:szCs w:val="18"/>
              </w:rPr>
            </w:pPr>
            <w:r w:rsidRPr="00BB33FC">
              <w:rPr>
                <w:rFonts w:ascii="Arial" w:hAnsi="Arial" w:cs="Arial"/>
                <w:color w:val="000000"/>
                <w:sz w:val="18"/>
                <w:szCs w:val="18"/>
              </w:rPr>
              <w:t> </w:t>
            </w:r>
          </w:p>
        </w:tc>
        <w:tc>
          <w:tcPr>
            <w:tcW w:w="1086" w:type="dxa"/>
            <w:gridSpan w:val="2"/>
            <w:tcBorders>
              <w:top w:val="nil"/>
              <w:left w:val="nil"/>
              <w:bottom w:val="nil"/>
              <w:right w:val="single" w:sz="4" w:space="0" w:color="A6A6A6"/>
            </w:tcBorders>
            <w:shd w:val="clear" w:color="000000" w:fill="FDE9D9"/>
            <w:noWrap/>
            <w:vAlign w:val="bottom"/>
            <w:hideMark/>
          </w:tcPr>
          <w:p w:rsidR="00A71A12" w:rsidRPr="00BB33FC" w:rsidRDefault="00A71A12" w:rsidP="00A71A12">
            <w:pPr>
              <w:rPr>
                <w:rFonts w:ascii="Arial" w:hAnsi="Arial" w:cs="Arial"/>
                <w:color w:val="000000"/>
                <w:sz w:val="20"/>
                <w:szCs w:val="20"/>
              </w:rPr>
            </w:pPr>
            <w:r w:rsidRPr="00BB33FC">
              <w:rPr>
                <w:rFonts w:ascii="Arial" w:hAnsi="Arial" w:cs="Arial"/>
                <w:color w:val="000000"/>
                <w:sz w:val="20"/>
                <w:szCs w:val="20"/>
              </w:rPr>
              <w:t>prechodné</w:t>
            </w:r>
          </w:p>
        </w:tc>
        <w:tc>
          <w:tcPr>
            <w:tcW w:w="863" w:type="dxa"/>
            <w:gridSpan w:val="2"/>
            <w:tcBorders>
              <w:top w:val="nil"/>
              <w:left w:val="nil"/>
              <w:bottom w:val="nil"/>
              <w:right w:val="single" w:sz="4" w:space="0" w:color="A6A6A6"/>
            </w:tcBorders>
            <w:shd w:val="clear" w:color="000000" w:fill="FDE9D9"/>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38,4</w:t>
            </w:r>
          </w:p>
        </w:tc>
        <w:tc>
          <w:tcPr>
            <w:tcW w:w="1674" w:type="dxa"/>
            <w:gridSpan w:val="2"/>
            <w:tcBorders>
              <w:top w:val="nil"/>
              <w:left w:val="nil"/>
              <w:bottom w:val="nil"/>
              <w:right w:val="single" w:sz="4" w:space="0" w:color="A6A6A6"/>
            </w:tcBorders>
            <w:shd w:val="clear" w:color="000000" w:fill="FDE9D9"/>
            <w:vAlign w:val="bottom"/>
            <w:hideMark/>
          </w:tcPr>
          <w:p w:rsidR="00A71A12" w:rsidRPr="00BB33FC" w:rsidRDefault="00A71A12" w:rsidP="00A71A12">
            <w:pPr>
              <w:jc w:val="left"/>
              <w:rPr>
                <w:rFonts w:ascii="Arial" w:hAnsi="Arial" w:cs="Arial"/>
                <w:sz w:val="18"/>
                <w:szCs w:val="18"/>
              </w:rPr>
            </w:pPr>
            <w:r w:rsidRPr="00BB33FC">
              <w:rPr>
                <w:rFonts w:ascii="Arial" w:hAnsi="Arial" w:cs="Arial"/>
                <w:sz w:val="18"/>
                <w:szCs w:val="18"/>
              </w:rPr>
              <w:t xml:space="preserve"> % z celkového počtu</w:t>
            </w:r>
          </w:p>
        </w:tc>
        <w:tc>
          <w:tcPr>
            <w:tcW w:w="641" w:type="dxa"/>
            <w:gridSpan w:val="2"/>
            <w:tcBorders>
              <w:top w:val="nil"/>
              <w:left w:val="nil"/>
              <w:bottom w:val="nil"/>
              <w:right w:val="single" w:sz="4" w:space="0" w:color="A6A6A6"/>
            </w:tcBorders>
            <w:shd w:val="clear" w:color="000000" w:fill="FDE9D9"/>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 </w:t>
            </w:r>
          </w:p>
        </w:tc>
        <w:tc>
          <w:tcPr>
            <w:tcW w:w="951" w:type="dxa"/>
            <w:tcBorders>
              <w:top w:val="nil"/>
              <w:left w:val="nil"/>
              <w:bottom w:val="nil"/>
              <w:right w:val="single" w:sz="8" w:space="0" w:color="E26B0A"/>
            </w:tcBorders>
            <w:shd w:val="clear" w:color="000000" w:fill="FDE9D9"/>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 </w:t>
            </w:r>
          </w:p>
        </w:tc>
      </w:tr>
      <w:tr w:rsidR="00A71A12" w:rsidRPr="00BB33FC" w:rsidTr="00A71A12">
        <w:trPr>
          <w:trHeight w:val="300"/>
        </w:trPr>
        <w:tc>
          <w:tcPr>
            <w:tcW w:w="387"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363" w:type="dxa"/>
            <w:vMerge/>
            <w:tcBorders>
              <w:top w:val="nil"/>
              <w:left w:val="single" w:sz="8" w:space="0" w:color="E26B0A"/>
              <w:bottom w:val="single" w:sz="8" w:space="0" w:color="E26B0A"/>
              <w:right w:val="single" w:sz="8" w:space="0" w:color="E26B0A"/>
            </w:tcBorders>
            <w:vAlign w:val="center"/>
            <w:hideMark/>
          </w:tcPr>
          <w:p w:rsidR="00A71A12" w:rsidRPr="00BB33FC" w:rsidRDefault="00A71A12" w:rsidP="00A71A12">
            <w:pPr>
              <w:rPr>
                <w:rFonts w:ascii="Arial" w:hAnsi="Arial" w:cs="Arial"/>
                <w:b/>
                <w:bCs/>
                <w:color w:val="000000"/>
                <w:sz w:val="20"/>
                <w:szCs w:val="20"/>
              </w:rPr>
            </w:pPr>
          </w:p>
        </w:tc>
        <w:tc>
          <w:tcPr>
            <w:tcW w:w="4662" w:type="dxa"/>
            <w:gridSpan w:val="4"/>
            <w:vMerge/>
            <w:tcBorders>
              <w:top w:val="nil"/>
              <w:left w:val="single" w:sz="8" w:space="0" w:color="E26B0A"/>
              <w:bottom w:val="nil"/>
              <w:right w:val="nil"/>
            </w:tcBorders>
            <w:vAlign w:val="center"/>
            <w:hideMark/>
          </w:tcPr>
          <w:p w:rsidR="00A71A12" w:rsidRPr="00BB33FC" w:rsidRDefault="00A71A12" w:rsidP="00A71A12">
            <w:pPr>
              <w:rPr>
                <w:rFonts w:ascii="Arial" w:hAnsi="Arial" w:cs="Arial"/>
                <w:color w:val="000000"/>
                <w:sz w:val="18"/>
                <w:szCs w:val="18"/>
              </w:rPr>
            </w:pPr>
          </w:p>
        </w:tc>
        <w:tc>
          <w:tcPr>
            <w:tcW w:w="1086" w:type="dxa"/>
            <w:gridSpan w:val="2"/>
            <w:tcBorders>
              <w:top w:val="nil"/>
              <w:left w:val="nil"/>
              <w:bottom w:val="nil"/>
              <w:right w:val="single" w:sz="4" w:space="0" w:color="A6A6A6"/>
            </w:tcBorders>
            <w:shd w:val="clear" w:color="000000" w:fill="FDE9D9"/>
            <w:noWrap/>
            <w:vAlign w:val="bottom"/>
            <w:hideMark/>
          </w:tcPr>
          <w:p w:rsidR="00A71A12" w:rsidRPr="00BB33FC" w:rsidRDefault="00A71A12" w:rsidP="00A71A12">
            <w:pPr>
              <w:jc w:val="center"/>
              <w:rPr>
                <w:rFonts w:ascii="Arial" w:hAnsi="Arial" w:cs="Arial"/>
                <w:i/>
                <w:iCs/>
                <w:color w:val="FF0000"/>
                <w:sz w:val="16"/>
                <w:szCs w:val="16"/>
              </w:rPr>
            </w:pPr>
            <w:r w:rsidRPr="00BB33FC">
              <w:rPr>
                <w:rFonts w:ascii="Arial" w:hAnsi="Arial" w:cs="Arial"/>
                <w:i/>
                <w:iCs/>
                <w:color w:val="FF0000"/>
                <w:sz w:val="16"/>
                <w:szCs w:val="16"/>
              </w:rPr>
              <w:t>check total %</w:t>
            </w:r>
          </w:p>
        </w:tc>
        <w:tc>
          <w:tcPr>
            <w:tcW w:w="863" w:type="dxa"/>
            <w:gridSpan w:val="2"/>
            <w:tcBorders>
              <w:top w:val="nil"/>
              <w:left w:val="nil"/>
              <w:bottom w:val="nil"/>
              <w:right w:val="single" w:sz="4" w:space="0" w:color="A6A6A6"/>
            </w:tcBorders>
            <w:shd w:val="clear" w:color="000000" w:fill="FDE9D9"/>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 </w:t>
            </w:r>
          </w:p>
        </w:tc>
        <w:tc>
          <w:tcPr>
            <w:tcW w:w="1674" w:type="dxa"/>
            <w:gridSpan w:val="2"/>
            <w:tcBorders>
              <w:top w:val="nil"/>
              <w:left w:val="nil"/>
              <w:bottom w:val="nil"/>
              <w:right w:val="single" w:sz="4" w:space="0" w:color="A6A6A6"/>
            </w:tcBorders>
            <w:shd w:val="clear" w:color="000000" w:fill="FDE9D9"/>
            <w:vAlign w:val="bottom"/>
            <w:hideMark/>
          </w:tcPr>
          <w:p w:rsidR="00A71A12" w:rsidRPr="00BB33FC" w:rsidRDefault="00A71A12" w:rsidP="00A71A12">
            <w:pPr>
              <w:jc w:val="left"/>
              <w:rPr>
                <w:rFonts w:ascii="Arial" w:hAnsi="Arial" w:cs="Arial"/>
                <w:sz w:val="18"/>
                <w:szCs w:val="18"/>
              </w:rPr>
            </w:pPr>
            <w:r w:rsidRPr="00BB33FC">
              <w:rPr>
                <w:rFonts w:ascii="Arial" w:hAnsi="Arial" w:cs="Arial"/>
                <w:sz w:val="18"/>
                <w:szCs w:val="18"/>
              </w:rPr>
              <w:t> </w:t>
            </w:r>
          </w:p>
        </w:tc>
        <w:tc>
          <w:tcPr>
            <w:tcW w:w="641" w:type="dxa"/>
            <w:gridSpan w:val="2"/>
            <w:tcBorders>
              <w:top w:val="nil"/>
              <w:left w:val="nil"/>
              <w:bottom w:val="nil"/>
              <w:right w:val="single" w:sz="4" w:space="0" w:color="A6A6A6"/>
            </w:tcBorders>
            <w:shd w:val="clear" w:color="000000" w:fill="FDE9D9"/>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2012</w:t>
            </w:r>
          </w:p>
        </w:tc>
        <w:tc>
          <w:tcPr>
            <w:tcW w:w="951" w:type="dxa"/>
            <w:tcBorders>
              <w:top w:val="nil"/>
              <w:left w:val="nil"/>
              <w:bottom w:val="nil"/>
              <w:right w:val="single" w:sz="8" w:space="0" w:color="E26B0A"/>
            </w:tcBorders>
            <w:shd w:val="clear" w:color="000000" w:fill="FDE9D9"/>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w:t>
            </w:r>
          </w:p>
        </w:tc>
      </w:tr>
      <w:tr w:rsidR="00A71A12" w:rsidRPr="00BB33FC" w:rsidTr="00A71A12">
        <w:trPr>
          <w:trHeight w:val="510"/>
        </w:trPr>
        <w:tc>
          <w:tcPr>
            <w:tcW w:w="387"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363" w:type="dxa"/>
            <w:vMerge/>
            <w:tcBorders>
              <w:top w:val="nil"/>
              <w:left w:val="single" w:sz="8" w:space="0" w:color="E26B0A"/>
              <w:bottom w:val="single" w:sz="8" w:space="0" w:color="E26B0A"/>
              <w:right w:val="single" w:sz="8" w:space="0" w:color="E26B0A"/>
            </w:tcBorders>
            <w:vAlign w:val="center"/>
            <w:hideMark/>
          </w:tcPr>
          <w:p w:rsidR="00A71A12" w:rsidRPr="00BB33FC" w:rsidRDefault="00A71A12" w:rsidP="00A71A12">
            <w:pPr>
              <w:rPr>
                <w:rFonts w:ascii="Arial" w:hAnsi="Arial" w:cs="Arial"/>
                <w:b/>
                <w:bCs/>
                <w:color w:val="000000"/>
                <w:sz w:val="20"/>
                <w:szCs w:val="20"/>
              </w:rPr>
            </w:pPr>
          </w:p>
        </w:tc>
        <w:tc>
          <w:tcPr>
            <w:tcW w:w="4662" w:type="dxa"/>
            <w:gridSpan w:val="4"/>
            <w:tcBorders>
              <w:top w:val="nil"/>
              <w:left w:val="nil"/>
              <w:bottom w:val="single" w:sz="8" w:space="0" w:color="E26B0A"/>
              <w:right w:val="nil"/>
            </w:tcBorders>
            <w:shd w:val="clear" w:color="000000" w:fill="FDE9D9"/>
            <w:noWrap/>
            <w:hideMark/>
          </w:tcPr>
          <w:p w:rsidR="00A71A12" w:rsidRPr="00BB33FC" w:rsidRDefault="00A71A12" w:rsidP="00A71A12">
            <w:pPr>
              <w:rPr>
                <w:rFonts w:ascii="Arial" w:hAnsi="Arial" w:cs="Arial"/>
                <w:color w:val="000000"/>
                <w:sz w:val="18"/>
                <w:szCs w:val="18"/>
              </w:rPr>
            </w:pPr>
            <w:r w:rsidRPr="00BB33FC">
              <w:rPr>
                <w:rFonts w:ascii="Arial" w:hAnsi="Arial" w:cs="Arial"/>
                <w:color w:val="000000"/>
                <w:sz w:val="18"/>
                <w:szCs w:val="18"/>
              </w:rPr>
              <w:t> </w:t>
            </w:r>
          </w:p>
        </w:tc>
        <w:tc>
          <w:tcPr>
            <w:tcW w:w="1086" w:type="dxa"/>
            <w:gridSpan w:val="2"/>
            <w:tcBorders>
              <w:top w:val="nil"/>
              <w:left w:val="nil"/>
              <w:bottom w:val="nil"/>
              <w:right w:val="single" w:sz="4" w:space="0" w:color="A6A6A6"/>
            </w:tcBorders>
            <w:shd w:val="clear" w:color="000000" w:fill="FDE9D9"/>
            <w:noWrap/>
            <w:vAlign w:val="bottom"/>
            <w:hideMark/>
          </w:tcPr>
          <w:p w:rsidR="00A71A12" w:rsidRPr="00BB33FC" w:rsidRDefault="00A71A12" w:rsidP="00A71A12">
            <w:pPr>
              <w:rPr>
                <w:rFonts w:ascii="Arial" w:hAnsi="Arial" w:cs="Arial"/>
                <w:sz w:val="20"/>
                <w:szCs w:val="20"/>
              </w:rPr>
            </w:pPr>
            <w:r w:rsidRPr="00BB33FC">
              <w:rPr>
                <w:rFonts w:ascii="Arial" w:hAnsi="Arial" w:cs="Arial"/>
                <w:sz w:val="20"/>
                <w:szCs w:val="20"/>
              </w:rPr>
              <w:t>mestské</w:t>
            </w:r>
          </w:p>
        </w:tc>
        <w:tc>
          <w:tcPr>
            <w:tcW w:w="863" w:type="dxa"/>
            <w:gridSpan w:val="2"/>
            <w:tcBorders>
              <w:top w:val="nil"/>
              <w:left w:val="nil"/>
              <w:bottom w:val="single" w:sz="8" w:space="0" w:color="E26B0A"/>
              <w:right w:val="single" w:sz="4" w:space="0" w:color="A6A6A6"/>
            </w:tcBorders>
            <w:shd w:val="clear" w:color="000000" w:fill="FDE9D9"/>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11,2</w:t>
            </w:r>
          </w:p>
        </w:tc>
        <w:tc>
          <w:tcPr>
            <w:tcW w:w="1674" w:type="dxa"/>
            <w:gridSpan w:val="2"/>
            <w:tcBorders>
              <w:top w:val="nil"/>
              <w:left w:val="nil"/>
              <w:bottom w:val="single" w:sz="8" w:space="0" w:color="E26B0A"/>
              <w:right w:val="single" w:sz="4" w:space="0" w:color="A6A6A6"/>
            </w:tcBorders>
            <w:shd w:val="clear" w:color="000000" w:fill="FDE9D9"/>
            <w:vAlign w:val="bottom"/>
            <w:hideMark/>
          </w:tcPr>
          <w:p w:rsidR="00A71A12" w:rsidRPr="00BB33FC" w:rsidRDefault="00A71A12" w:rsidP="00A71A12">
            <w:pPr>
              <w:jc w:val="left"/>
              <w:rPr>
                <w:rFonts w:ascii="Arial" w:hAnsi="Arial" w:cs="Arial"/>
                <w:sz w:val="18"/>
                <w:szCs w:val="18"/>
              </w:rPr>
            </w:pPr>
            <w:r w:rsidRPr="00BB33FC">
              <w:rPr>
                <w:rFonts w:ascii="Arial" w:hAnsi="Arial" w:cs="Arial"/>
                <w:sz w:val="18"/>
                <w:szCs w:val="18"/>
              </w:rPr>
              <w:t xml:space="preserve"> % z celkového počtu</w:t>
            </w:r>
          </w:p>
        </w:tc>
        <w:tc>
          <w:tcPr>
            <w:tcW w:w="641" w:type="dxa"/>
            <w:gridSpan w:val="2"/>
            <w:tcBorders>
              <w:top w:val="nil"/>
              <w:left w:val="nil"/>
              <w:bottom w:val="nil"/>
              <w:right w:val="single" w:sz="4" w:space="0" w:color="A6A6A6"/>
            </w:tcBorders>
            <w:shd w:val="clear" w:color="000000" w:fill="FDE9D9"/>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 </w:t>
            </w:r>
          </w:p>
        </w:tc>
        <w:tc>
          <w:tcPr>
            <w:tcW w:w="951" w:type="dxa"/>
            <w:tcBorders>
              <w:top w:val="nil"/>
              <w:left w:val="nil"/>
              <w:bottom w:val="nil"/>
              <w:right w:val="single" w:sz="8" w:space="0" w:color="E26B0A"/>
            </w:tcBorders>
            <w:shd w:val="clear" w:color="000000" w:fill="FDE9D9"/>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 </w:t>
            </w:r>
          </w:p>
        </w:tc>
      </w:tr>
      <w:tr w:rsidR="00A71A12" w:rsidRPr="00BB33FC" w:rsidTr="00A71A12">
        <w:trPr>
          <w:trHeight w:val="315"/>
        </w:trPr>
        <w:tc>
          <w:tcPr>
            <w:tcW w:w="387"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363" w:type="dxa"/>
            <w:vMerge/>
            <w:tcBorders>
              <w:top w:val="nil"/>
              <w:left w:val="single" w:sz="8" w:space="0" w:color="E26B0A"/>
              <w:bottom w:val="single" w:sz="8" w:space="0" w:color="E26B0A"/>
              <w:right w:val="single" w:sz="8" w:space="0" w:color="E26B0A"/>
            </w:tcBorders>
            <w:vAlign w:val="center"/>
            <w:hideMark/>
          </w:tcPr>
          <w:p w:rsidR="00A71A12" w:rsidRPr="00BB33FC" w:rsidRDefault="00A71A12" w:rsidP="00A71A12">
            <w:pPr>
              <w:rPr>
                <w:rFonts w:ascii="Arial" w:hAnsi="Arial" w:cs="Arial"/>
                <w:b/>
                <w:bCs/>
                <w:color w:val="000000"/>
                <w:sz w:val="20"/>
                <w:szCs w:val="20"/>
              </w:rPr>
            </w:pPr>
          </w:p>
        </w:tc>
        <w:tc>
          <w:tcPr>
            <w:tcW w:w="4662" w:type="dxa"/>
            <w:gridSpan w:val="4"/>
            <w:tcBorders>
              <w:top w:val="nil"/>
              <w:left w:val="nil"/>
              <w:bottom w:val="single" w:sz="8" w:space="0" w:color="E26B0A"/>
              <w:right w:val="nil"/>
            </w:tcBorders>
            <w:shd w:val="clear" w:color="000000" w:fill="FDE9D9"/>
            <w:noWrap/>
            <w:hideMark/>
          </w:tcPr>
          <w:p w:rsidR="00A71A12" w:rsidRPr="00BB33FC" w:rsidRDefault="00A71A12" w:rsidP="00A71A12">
            <w:pPr>
              <w:rPr>
                <w:rFonts w:ascii="Arial" w:hAnsi="Arial" w:cs="Arial"/>
                <w:color w:val="000000"/>
                <w:sz w:val="18"/>
                <w:szCs w:val="18"/>
              </w:rPr>
            </w:pPr>
            <w:r w:rsidRPr="00BB33FC">
              <w:rPr>
                <w:rFonts w:ascii="Arial" w:hAnsi="Arial" w:cs="Arial"/>
                <w:color w:val="000000"/>
                <w:sz w:val="18"/>
                <w:szCs w:val="18"/>
              </w:rPr>
              <w:t> </w:t>
            </w:r>
          </w:p>
        </w:tc>
        <w:tc>
          <w:tcPr>
            <w:tcW w:w="1086" w:type="dxa"/>
            <w:gridSpan w:val="2"/>
            <w:tcBorders>
              <w:top w:val="nil"/>
              <w:left w:val="nil"/>
              <w:bottom w:val="single" w:sz="8" w:space="0" w:color="E26B0A"/>
              <w:right w:val="single" w:sz="4" w:space="0" w:color="A6A6A6"/>
            </w:tcBorders>
            <w:shd w:val="clear" w:color="000000" w:fill="FDE9D9"/>
            <w:noWrap/>
            <w:vAlign w:val="bottom"/>
            <w:hideMark/>
          </w:tcPr>
          <w:p w:rsidR="00A71A12" w:rsidRPr="00BB33FC" w:rsidRDefault="00A71A12" w:rsidP="00A71A12">
            <w:pPr>
              <w:jc w:val="right"/>
              <w:rPr>
                <w:rFonts w:ascii="Arial" w:hAnsi="Arial" w:cs="Arial"/>
                <w:i/>
                <w:iCs/>
                <w:color w:val="E26B0A"/>
                <w:sz w:val="16"/>
                <w:szCs w:val="16"/>
              </w:rPr>
            </w:pPr>
            <w:r w:rsidRPr="00BB33FC">
              <w:rPr>
                <w:rFonts w:ascii="Arial" w:hAnsi="Arial" w:cs="Arial"/>
                <w:i/>
                <w:iCs/>
                <w:color w:val="E26B0A"/>
                <w:sz w:val="16"/>
                <w:szCs w:val="16"/>
              </w:rPr>
              <w:t>100,0</w:t>
            </w:r>
          </w:p>
        </w:tc>
        <w:tc>
          <w:tcPr>
            <w:tcW w:w="863" w:type="dxa"/>
            <w:gridSpan w:val="2"/>
            <w:tcBorders>
              <w:top w:val="nil"/>
              <w:left w:val="nil"/>
              <w:bottom w:val="single" w:sz="8" w:space="0" w:color="E26B0A"/>
              <w:right w:val="single" w:sz="4" w:space="0" w:color="A6A6A6"/>
            </w:tcBorders>
            <w:shd w:val="clear" w:color="000000" w:fill="FDE9D9"/>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 </w:t>
            </w:r>
          </w:p>
        </w:tc>
        <w:tc>
          <w:tcPr>
            <w:tcW w:w="1674" w:type="dxa"/>
            <w:gridSpan w:val="2"/>
            <w:tcBorders>
              <w:top w:val="nil"/>
              <w:left w:val="nil"/>
              <w:bottom w:val="single" w:sz="8" w:space="0" w:color="E26B0A"/>
              <w:right w:val="single" w:sz="4" w:space="0" w:color="A6A6A6"/>
            </w:tcBorders>
            <w:shd w:val="clear" w:color="000000" w:fill="FDE9D9"/>
            <w:vAlign w:val="bottom"/>
            <w:hideMark/>
          </w:tcPr>
          <w:p w:rsidR="00A71A12" w:rsidRPr="00BB33FC" w:rsidRDefault="00A71A12" w:rsidP="00A71A12">
            <w:pPr>
              <w:jc w:val="left"/>
              <w:rPr>
                <w:rFonts w:ascii="Arial" w:hAnsi="Arial" w:cs="Arial"/>
                <w:sz w:val="18"/>
                <w:szCs w:val="18"/>
              </w:rPr>
            </w:pPr>
            <w:r w:rsidRPr="00BB33FC">
              <w:rPr>
                <w:rFonts w:ascii="Arial" w:hAnsi="Arial" w:cs="Arial"/>
                <w:sz w:val="18"/>
                <w:szCs w:val="18"/>
              </w:rPr>
              <w:t> </w:t>
            </w:r>
          </w:p>
        </w:tc>
        <w:tc>
          <w:tcPr>
            <w:tcW w:w="641" w:type="dxa"/>
            <w:gridSpan w:val="2"/>
            <w:tcBorders>
              <w:top w:val="nil"/>
              <w:left w:val="nil"/>
              <w:bottom w:val="single" w:sz="8" w:space="0" w:color="E26B0A"/>
              <w:right w:val="single" w:sz="4" w:space="0" w:color="A6A6A6"/>
            </w:tcBorders>
            <w:shd w:val="clear" w:color="000000" w:fill="FDE9D9"/>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2012</w:t>
            </w:r>
          </w:p>
        </w:tc>
        <w:tc>
          <w:tcPr>
            <w:tcW w:w="951" w:type="dxa"/>
            <w:tcBorders>
              <w:top w:val="nil"/>
              <w:left w:val="nil"/>
              <w:bottom w:val="single" w:sz="8" w:space="0" w:color="E26B0A"/>
              <w:right w:val="single" w:sz="8" w:space="0" w:color="E26B0A"/>
            </w:tcBorders>
            <w:shd w:val="clear" w:color="000000" w:fill="FDE9D9"/>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w:t>
            </w:r>
          </w:p>
        </w:tc>
      </w:tr>
      <w:tr w:rsidR="00A71A12" w:rsidRPr="00BB33FC" w:rsidTr="00A71A12">
        <w:trPr>
          <w:trHeight w:val="300"/>
        </w:trPr>
        <w:tc>
          <w:tcPr>
            <w:tcW w:w="387"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363" w:type="dxa"/>
            <w:vMerge w:val="restart"/>
            <w:tcBorders>
              <w:top w:val="nil"/>
              <w:left w:val="single" w:sz="8" w:space="0" w:color="E26B0A"/>
              <w:bottom w:val="single" w:sz="8" w:space="0" w:color="E26B0A"/>
              <w:right w:val="single" w:sz="8" w:space="0" w:color="E26B0A"/>
            </w:tcBorders>
            <w:shd w:val="clear" w:color="auto" w:fill="auto"/>
            <w:noWrap/>
            <w:hideMark/>
          </w:tcPr>
          <w:p w:rsidR="00A71A12" w:rsidRPr="00BB33FC" w:rsidRDefault="00A71A12" w:rsidP="00A71A12">
            <w:pPr>
              <w:rPr>
                <w:rFonts w:ascii="Arial" w:hAnsi="Arial" w:cs="Arial"/>
                <w:b/>
                <w:bCs/>
                <w:sz w:val="20"/>
                <w:szCs w:val="20"/>
              </w:rPr>
            </w:pPr>
            <w:r w:rsidRPr="00BB33FC">
              <w:rPr>
                <w:rFonts w:ascii="Arial" w:hAnsi="Arial" w:cs="Arial"/>
                <w:b/>
                <w:bCs/>
                <w:sz w:val="20"/>
                <w:szCs w:val="20"/>
              </w:rPr>
              <w:t>2</w:t>
            </w:r>
          </w:p>
        </w:tc>
        <w:tc>
          <w:tcPr>
            <w:tcW w:w="9877" w:type="dxa"/>
            <w:gridSpan w:val="13"/>
            <w:tcBorders>
              <w:top w:val="single" w:sz="8" w:space="0" w:color="E26B0A"/>
              <w:left w:val="nil"/>
              <w:bottom w:val="nil"/>
              <w:right w:val="single" w:sz="8" w:space="0" w:color="E26B0A"/>
            </w:tcBorders>
            <w:shd w:val="clear" w:color="000000" w:fill="FFFFFF"/>
            <w:noWrap/>
            <w:vAlign w:val="bottom"/>
            <w:hideMark/>
          </w:tcPr>
          <w:p w:rsidR="00A71A12" w:rsidRPr="00BB33FC" w:rsidRDefault="00A71A12" w:rsidP="00A71A12">
            <w:pPr>
              <w:jc w:val="left"/>
              <w:rPr>
                <w:rFonts w:ascii="Arial" w:hAnsi="Arial" w:cs="Arial"/>
                <w:b/>
                <w:bCs/>
                <w:i/>
                <w:iCs/>
                <w:sz w:val="20"/>
                <w:szCs w:val="20"/>
              </w:rPr>
            </w:pPr>
            <w:r w:rsidRPr="00BB33FC">
              <w:rPr>
                <w:rFonts w:ascii="Arial" w:hAnsi="Arial" w:cs="Arial"/>
                <w:b/>
                <w:bCs/>
                <w:i/>
                <w:iCs/>
                <w:sz w:val="20"/>
                <w:szCs w:val="20"/>
              </w:rPr>
              <w:t xml:space="preserve"> Veková štruktúra</w:t>
            </w:r>
          </w:p>
        </w:tc>
      </w:tr>
      <w:tr w:rsidR="00A71A12" w:rsidRPr="00BB33FC" w:rsidTr="00A71A12">
        <w:trPr>
          <w:trHeight w:val="495"/>
        </w:trPr>
        <w:tc>
          <w:tcPr>
            <w:tcW w:w="387"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363" w:type="dxa"/>
            <w:vMerge/>
            <w:tcBorders>
              <w:top w:val="nil"/>
              <w:left w:val="single" w:sz="8" w:space="0" w:color="E26B0A"/>
              <w:bottom w:val="single" w:sz="8" w:space="0" w:color="E26B0A"/>
              <w:right w:val="single" w:sz="8" w:space="0" w:color="E26B0A"/>
            </w:tcBorders>
            <w:vAlign w:val="center"/>
            <w:hideMark/>
          </w:tcPr>
          <w:p w:rsidR="00A71A12" w:rsidRPr="00BB33FC" w:rsidRDefault="00A71A12" w:rsidP="00A71A12">
            <w:pPr>
              <w:rPr>
                <w:rFonts w:ascii="Arial" w:hAnsi="Arial" w:cs="Arial"/>
                <w:b/>
                <w:bCs/>
                <w:sz w:val="20"/>
                <w:szCs w:val="20"/>
              </w:rPr>
            </w:pPr>
          </w:p>
        </w:tc>
        <w:tc>
          <w:tcPr>
            <w:tcW w:w="4662" w:type="dxa"/>
            <w:gridSpan w:val="4"/>
            <w:tcBorders>
              <w:top w:val="single" w:sz="4" w:space="0" w:color="A6A6A6"/>
              <w:left w:val="nil"/>
              <w:bottom w:val="nil"/>
              <w:right w:val="nil"/>
            </w:tcBorders>
            <w:shd w:val="clear" w:color="000000" w:fill="FCD5B4"/>
            <w:noWrap/>
            <w:hideMark/>
          </w:tcPr>
          <w:p w:rsidR="00A71A12" w:rsidRPr="00BB33FC" w:rsidRDefault="00A71A12" w:rsidP="00A71A12">
            <w:pPr>
              <w:rPr>
                <w:rFonts w:ascii="Arial" w:hAnsi="Arial" w:cs="Arial"/>
                <w:sz w:val="18"/>
                <w:szCs w:val="18"/>
              </w:rPr>
            </w:pPr>
            <w:r w:rsidRPr="00BB33FC">
              <w:rPr>
                <w:rFonts w:ascii="Arial" w:hAnsi="Arial" w:cs="Arial"/>
                <w:sz w:val="18"/>
                <w:szCs w:val="18"/>
              </w:rPr>
              <w:t> </w:t>
            </w:r>
          </w:p>
        </w:tc>
        <w:tc>
          <w:tcPr>
            <w:tcW w:w="1086" w:type="dxa"/>
            <w:gridSpan w:val="2"/>
            <w:tcBorders>
              <w:top w:val="single" w:sz="4" w:space="0" w:color="A6A6A6"/>
              <w:left w:val="nil"/>
              <w:bottom w:val="nil"/>
              <w:right w:val="single" w:sz="4" w:space="0" w:color="A6A6A6"/>
            </w:tcBorders>
            <w:shd w:val="clear" w:color="000000" w:fill="FCD5B4"/>
            <w:noWrap/>
            <w:vAlign w:val="bottom"/>
            <w:hideMark/>
          </w:tcPr>
          <w:p w:rsidR="00A71A12" w:rsidRPr="00BB33FC" w:rsidRDefault="00A71A12" w:rsidP="00A71A12">
            <w:pPr>
              <w:rPr>
                <w:rFonts w:ascii="Arial" w:hAnsi="Arial" w:cs="Arial"/>
                <w:sz w:val="20"/>
                <w:szCs w:val="20"/>
              </w:rPr>
            </w:pPr>
            <w:r w:rsidRPr="00BB33FC">
              <w:rPr>
                <w:rFonts w:ascii="Arial" w:hAnsi="Arial" w:cs="Arial"/>
                <w:sz w:val="20"/>
                <w:szCs w:val="20"/>
              </w:rPr>
              <w:t> </w:t>
            </w:r>
          </w:p>
        </w:tc>
        <w:tc>
          <w:tcPr>
            <w:tcW w:w="863" w:type="dxa"/>
            <w:gridSpan w:val="2"/>
            <w:tcBorders>
              <w:top w:val="single" w:sz="4" w:space="0" w:color="A6A6A6"/>
              <w:left w:val="nil"/>
              <w:bottom w:val="nil"/>
              <w:right w:val="single" w:sz="4" w:space="0" w:color="A6A6A6"/>
            </w:tcBorders>
            <w:shd w:val="clear" w:color="000000" w:fill="FCD5B4"/>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15,4</w:t>
            </w:r>
          </w:p>
        </w:tc>
        <w:tc>
          <w:tcPr>
            <w:tcW w:w="1674" w:type="dxa"/>
            <w:gridSpan w:val="2"/>
            <w:tcBorders>
              <w:top w:val="nil"/>
              <w:left w:val="nil"/>
              <w:bottom w:val="nil"/>
              <w:right w:val="single" w:sz="4" w:space="0" w:color="A6A6A6"/>
            </w:tcBorders>
            <w:shd w:val="clear" w:color="000000" w:fill="FCD5B4"/>
            <w:vAlign w:val="bottom"/>
            <w:hideMark/>
          </w:tcPr>
          <w:p w:rsidR="00A71A12" w:rsidRPr="00BB33FC" w:rsidRDefault="00A71A12" w:rsidP="00A71A12">
            <w:pPr>
              <w:jc w:val="left"/>
              <w:rPr>
                <w:rFonts w:ascii="Arial" w:hAnsi="Arial" w:cs="Arial"/>
                <w:sz w:val="18"/>
                <w:szCs w:val="18"/>
              </w:rPr>
            </w:pPr>
            <w:r w:rsidRPr="00BB33FC">
              <w:rPr>
                <w:rFonts w:ascii="Arial" w:hAnsi="Arial" w:cs="Arial"/>
                <w:sz w:val="18"/>
                <w:szCs w:val="18"/>
              </w:rPr>
              <w:t>% z celkového počtu obyv.</w:t>
            </w:r>
          </w:p>
        </w:tc>
        <w:tc>
          <w:tcPr>
            <w:tcW w:w="641" w:type="dxa"/>
            <w:gridSpan w:val="2"/>
            <w:tcBorders>
              <w:top w:val="single" w:sz="4" w:space="0" w:color="A6A6A6"/>
              <w:left w:val="nil"/>
              <w:bottom w:val="nil"/>
              <w:right w:val="single" w:sz="4" w:space="0" w:color="A6A6A6"/>
            </w:tcBorders>
            <w:shd w:val="clear" w:color="000000" w:fill="FCD5B4"/>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2012</w:t>
            </w:r>
          </w:p>
        </w:tc>
        <w:tc>
          <w:tcPr>
            <w:tcW w:w="951" w:type="dxa"/>
            <w:tcBorders>
              <w:top w:val="single" w:sz="4" w:space="0" w:color="A6A6A6"/>
              <w:left w:val="nil"/>
              <w:bottom w:val="nil"/>
              <w:right w:val="single" w:sz="4" w:space="0" w:color="A6A6A6"/>
            </w:tcBorders>
            <w:shd w:val="clear" w:color="000000" w:fill="FCD5B4"/>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w:t>
            </w:r>
          </w:p>
        </w:tc>
      </w:tr>
      <w:tr w:rsidR="00A71A12" w:rsidRPr="00BB33FC" w:rsidTr="00A71A12">
        <w:trPr>
          <w:trHeight w:val="300"/>
        </w:trPr>
        <w:tc>
          <w:tcPr>
            <w:tcW w:w="387"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363" w:type="dxa"/>
            <w:vMerge/>
            <w:tcBorders>
              <w:top w:val="nil"/>
              <w:left w:val="single" w:sz="8" w:space="0" w:color="E26B0A"/>
              <w:bottom w:val="single" w:sz="8" w:space="0" w:color="E26B0A"/>
              <w:right w:val="single" w:sz="8" w:space="0" w:color="E26B0A"/>
            </w:tcBorders>
            <w:vAlign w:val="center"/>
            <w:hideMark/>
          </w:tcPr>
          <w:p w:rsidR="00A71A12" w:rsidRPr="00BB33FC" w:rsidRDefault="00A71A12" w:rsidP="00A71A12">
            <w:pPr>
              <w:rPr>
                <w:rFonts w:ascii="Arial" w:hAnsi="Arial" w:cs="Arial"/>
                <w:b/>
                <w:bCs/>
                <w:sz w:val="20"/>
                <w:szCs w:val="20"/>
              </w:rPr>
            </w:pPr>
          </w:p>
        </w:tc>
        <w:tc>
          <w:tcPr>
            <w:tcW w:w="4662" w:type="dxa"/>
            <w:gridSpan w:val="4"/>
            <w:tcBorders>
              <w:top w:val="nil"/>
              <w:left w:val="nil"/>
              <w:bottom w:val="nil"/>
              <w:right w:val="nil"/>
            </w:tcBorders>
            <w:shd w:val="clear" w:color="000000" w:fill="FCD5B4"/>
            <w:noWrap/>
            <w:hideMark/>
          </w:tcPr>
          <w:p w:rsidR="00A71A12" w:rsidRPr="00BB33FC" w:rsidRDefault="00A71A12" w:rsidP="00A71A12">
            <w:pPr>
              <w:rPr>
                <w:rFonts w:ascii="Arial" w:hAnsi="Arial" w:cs="Arial"/>
                <w:sz w:val="18"/>
                <w:szCs w:val="18"/>
              </w:rPr>
            </w:pPr>
            <w:r w:rsidRPr="00BB33FC">
              <w:rPr>
                <w:rFonts w:ascii="Arial" w:hAnsi="Arial" w:cs="Arial"/>
                <w:sz w:val="18"/>
                <w:szCs w:val="18"/>
              </w:rPr>
              <w:t xml:space="preserve">celkom </w:t>
            </w:r>
            <w:r w:rsidRPr="00BB33FC">
              <w:rPr>
                <w:rFonts w:ascii="Calibri" w:hAnsi="Calibri" w:cs="Arial"/>
                <w:sz w:val="18"/>
                <w:szCs w:val="18"/>
              </w:rPr>
              <w:t>&lt; 15 rokov</w:t>
            </w:r>
          </w:p>
        </w:tc>
        <w:tc>
          <w:tcPr>
            <w:tcW w:w="1086" w:type="dxa"/>
            <w:gridSpan w:val="2"/>
            <w:tcBorders>
              <w:top w:val="nil"/>
              <w:left w:val="nil"/>
              <w:bottom w:val="nil"/>
              <w:right w:val="single" w:sz="4" w:space="0" w:color="A6A6A6"/>
            </w:tcBorders>
            <w:shd w:val="clear" w:color="000000" w:fill="FCD5B4"/>
            <w:noWrap/>
            <w:vAlign w:val="bottom"/>
            <w:hideMark/>
          </w:tcPr>
          <w:p w:rsidR="00A71A12" w:rsidRPr="00BB33FC" w:rsidRDefault="00A71A12" w:rsidP="00A71A12">
            <w:pPr>
              <w:rPr>
                <w:rFonts w:ascii="Arial" w:hAnsi="Arial" w:cs="Arial"/>
                <w:sz w:val="20"/>
                <w:szCs w:val="20"/>
              </w:rPr>
            </w:pPr>
            <w:r w:rsidRPr="00BB33FC">
              <w:rPr>
                <w:rFonts w:ascii="Arial" w:hAnsi="Arial" w:cs="Arial"/>
                <w:sz w:val="20"/>
                <w:szCs w:val="20"/>
              </w:rPr>
              <w:t> </w:t>
            </w:r>
          </w:p>
        </w:tc>
        <w:tc>
          <w:tcPr>
            <w:tcW w:w="863" w:type="dxa"/>
            <w:gridSpan w:val="2"/>
            <w:tcBorders>
              <w:top w:val="nil"/>
              <w:left w:val="nil"/>
              <w:bottom w:val="nil"/>
              <w:right w:val="single" w:sz="4" w:space="0" w:color="A6A6A6"/>
            </w:tcBorders>
            <w:shd w:val="clear" w:color="000000" w:fill="FCD5B4"/>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 </w:t>
            </w:r>
          </w:p>
        </w:tc>
        <w:tc>
          <w:tcPr>
            <w:tcW w:w="1674" w:type="dxa"/>
            <w:gridSpan w:val="2"/>
            <w:tcBorders>
              <w:top w:val="nil"/>
              <w:left w:val="nil"/>
              <w:bottom w:val="nil"/>
              <w:right w:val="single" w:sz="4" w:space="0" w:color="A6A6A6"/>
            </w:tcBorders>
            <w:shd w:val="clear" w:color="000000" w:fill="FCD5B4"/>
            <w:vAlign w:val="bottom"/>
            <w:hideMark/>
          </w:tcPr>
          <w:p w:rsidR="00A71A12" w:rsidRPr="00BB33FC" w:rsidRDefault="00A71A12" w:rsidP="00A71A12">
            <w:pPr>
              <w:jc w:val="left"/>
              <w:rPr>
                <w:rFonts w:ascii="Arial" w:hAnsi="Arial" w:cs="Arial"/>
                <w:sz w:val="18"/>
                <w:szCs w:val="18"/>
              </w:rPr>
            </w:pPr>
            <w:r w:rsidRPr="00BB33FC">
              <w:rPr>
                <w:rFonts w:ascii="Arial" w:hAnsi="Arial" w:cs="Arial"/>
                <w:sz w:val="18"/>
                <w:szCs w:val="18"/>
              </w:rPr>
              <w:t> </w:t>
            </w:r>
          </w:p>
        </w:tc>
        <w:tc>
          <w:tcPr>
            <w:tcW w:w="641" w:type="dxa"/>
            <w:gridSpan w:val="2"/>
            <w:tcBorders>
              <w:top w:val="nil"/>
              <w:left w:val="nil"/>
              <w:bottom w:val="nil"/>
              <w:right w:val="single" w:sz="4" w:space="0" w:color="A6A6A6"/>
            </w:tcBorders>
            <w:shd w:val="clear" w:color="000000" w:fill="FCD5B4"/>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 </w:t>
            </w:r>
          </w:p>
        </w:tc>
        <w:tc>
          <w:tcPr>
            <w:tcW w:w="951" w:type="dxa"/>
            <w:tcBorders>
              <w:top w:val="nil"/>
              <w:left w:val="nil"/>
              <w:bottom w:val="nil"/>
              <w:right w:val="single" w:sz="4" w:space="0" w:color="A6A6A6"/>
            </w:tcBorders>
            <w:shd w:val="clear" w:color="000000" w:fill="FCD5B4"/>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 </w:t>
            </w:r>
          </w:p>
        </w:tc>
      </w:tr>
      <w:tr w:rsidR="00A71A12" w:rsidRPr="00BB33FC" w:rsidTr="00A71A12">
        <w:trPr>
          <w:trHeight w:val="300"/>
        </w:trPr>
        <w:tc>
          <w:tcPr>
            <w:tcW w:w="387"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363" w:type="dxa"/>
            <w:vMerge/>
            <w:tcBorders>
              <w:top w:val="nil"/>
              <w:left w:val="single" w:sz="8" w:space="0" w:color="E26B0A"/>
              <w:bottom w:val="single" w:sz="8" w:space="0" w:color="E26B0A"/>
              <w:right w:val="single" w:sz="8" w:space="0" w:color="E26B0A"/>
            </w:tcBorders>
            <w:vAlign w:val="center"/>
            <w:hideMark/>
          </w:tcPr>
          <w:p w:rsidR="00A71A12" w:rsidRPr="00BB33FC" w:rsidRDefault="00A71A12" w:rsidP="00A71A12">
            <w:pPr>
              <w:rPr>
                <w:rFonts w:ascii="Arial" w:hAnsi="Arial" w:cs="Arial"/>
                <w:b/>
                <w:bCs/>
                <w:sz w:val="20"/>
                <w:szCs w:val="20"/>
              </w:rPr>
            </w:pPr>
          </w:p>
        </w:tc>
        <w:tc>
          <w:tcPr>
            <w:tcW w:w="4662" w:type="dxa"/>
            <w:gridSpan w:val="4"/>
            <w:tcBorders>
              <w:top w:val="nil"/>
              <w:left w:val="nil"/>
              <w:bottom w:val="nil"/>
              <w:right w:val="nil"/>
            </w:tcBorders>
            <w:shd w:val="clear" w:color="000000" w:fill="FCD5B4"/>
            <w:hideMark/>
          </w:tcPr>
          <w:p w:rsidR="00A71A12" w:rsidRPr="00BB33FC" w:rsidRDefault="00A71A12" w:rsidP="00A71A12">
            <w:pPr>
              <w:rPr>
                <w:rFonts w:ascii="Arial" w:hAnsi="Arial" w:cs="Arial"/>
                <w:sz w:val="18"/>
                <w:szCs w:val="18"/>
              </w:rPr>
            </w:pPr>
            <w:r w:rsidRPr="00BB33FC">
              <w:rPr>
                <w:rFonts w:ascii="Arial" w:hAnsi="Arial" w:cs="Arial"/>
                <w:sz w:val="18"/>
                <w:szCs w:val="18"/>
              </w:rPr>
              <w:t> </w:t>
            </w:r>
          </w:p>
        </w:tc>
        <w:tc>
          <w:tcPr>
            <w:tcW w:w="1086" w:type="dxa"/>
            <w:gridSpan w:val="2"/>
            <w:tcBorders>
              <w:top w:val="nil"/>
              <w:left w:val="nil"/>
              <w:bottom w:val="nil"/>
              <w:right w:val="single" w:sz="4" w:space="0" w:color="A6A6A6"/>
            </w:tcBorders>
            <w:shd w:val="clear" w:color="000000" w:fill="FCD5B4"/>
            <w:noWrap/>
            <w:vAlign w:val="bottom"/>
            <w:hideMark/>
          </w:tcPr>
          <w:p w:rsidR="00A71A12" w:rsidRPr="00BB33FC" w:rsidRDefault="00A71A12" w:rsidP="00A71A12">
            <w:pPr>
              <w:rPr>
                <w:rFonts w:ascii="Arial" w:hAnsi="Arial" w:cs="Arial"/>
                <w:i/>
                <w:iCs/>
                <w:color w:val="FF0000"/>
                <w:sz w:val="16"/>
                <w:szCs w:val="16"/>
              </w:rPr>
            </w:pPr>
            <w:r w:rsidRPr="00BB33FC">
              <w:rPr>
                <w:rFonts w:ascii="Arial" w:hAnsi="Arial" w:cs="Arial"/>
                <w:i/>
                <w:iCs/>
                <w:color w:val="FF0000"/>
                <w:sz w:val="16"/>
                <w:szCs w:val="16"/>
              </w:rPr>
              <w:t>check total %</w:t>
            </w:r>
          </w:p>
        </w:tc>
        <w:tc>
          <w:tcPr>
            <w:tcW w:w="863" w:type="dxa"/>
            <w:gridSpan w:val="2"/>
            <w:tcBorders>
              <w:top w:val="nil"/>
              <w:left w:val="nil"/>
              <w:bottom w:val="nil"/>
              <w:right w:val="single" w:sz="4" w:space="0" w:color="A6A6A6"/>
            </w:tcBorders>
            <w:shd w:val="clear" w:color="000000" w:fill="FCD5B4"/>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 </w:t>
            </w:r>
          </w:p>
        </w:tc>
        <w:tc>
          <w:tcPr>
            <w:tcW w:w="1674" w:type="dxa"/>
            <w:gridSpan w:val="2"/>
            <w:tcBorders>
              <w:top w:val="nil"/>
              <w:left w:val="nil"/>
              <w:bottom w:val="nil"/>
              <w:right w:val="single" w:sz="4" w:space="0" w:color="A6A6A6"/>
            </w:tcBorders>
            <w:shd w:val="clear" w:color="000000" w:fill="FCD5B4"/>
            <w:vAlign w:val="bottom"/>
            <w:hideMark/>
          </w:tcPr>
          <w:p w:rsidR="00A71A12" w:rsidRPr="00BB33FC" w:rsidRDefault="00A71A12" w:rsidP="00A71A12">
            <w:pPr>
              <w:jc w:val="left"/>
              <w:rPr>
                <w:rFonts w:ascii="Arial" w:hAnsi="Arial" w:cs="Arial"/>
                <w:sz w:val="18"/>
                <w:szCs w:val="18"/>
              </w:rPr>
            </w:pPr>
            <w:r w:rsidRPr="00BB33FC">
              <w:rPr>
                <w:rFonts w:ascii="Arial" w:hAnsi="Arial" w:cs="Arial"/>
                <w:sz w:val="18"/>
                <w:szCs w:val="18"/>
              </w:rPr>
              <w:t> </w:t>
            </w:r>
          </w:p>
        </w:tc>
        <w:tc>
          <w:tcPr>
            <w:tcW w:w="641" w:type="dxa"/>
            <w:gridSpan w:val="2"/>
            <w:tcBorders>
              <w:top w:val="nil"/>
              <w:left w:val="nil"/>
              <w:bottom w:val="nil"/>
              <w:right w:val="single" w:sz="4" w:space="0" w:color="A6A6A6"/>
            </w:tcBorders>
            <w:shd w:val="clear" w:color="000000" w:fill="FCD5B4"/>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2012</w:t>
            </w:r>
          </w:p>
        </w:tc>
        <w:tc>
          <w:tcPr>
            <w:tcW w:w="951" w:type="dxa"/>
            <w:tcBorders>
              <w:top w:val="nil"/>
              <w:left w:val="nil"/>
              <w:bottom w:val="nil"/>
              <w:right w:val="single" w:sz="4" w:space="0" w:color="A6A6A6"/>
            </w:tcBorders>
            <w:shd w:val="clear" w:color="000000" w:fill="FCD5B4"/>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w:t>
            </w:r>
          </w:p>
        </w:tc>
      </w:tr>
      <w:tr w:rsidR="00A71A12" w:rsidRPr="00BB33FC" w:rsidTr="00A71A12">
        <w:trPr>
          <w:trHeight w:val="495"/>
        </w:trPr>
        <w:tc>
          <w:tcPr>
            <w:tcW w:w="387"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363" w:type="dxa"/>
            <w:vMerge/>
            <w:tcBorders>
              <w:top w:val="nil"/>
              <w:left w:val="single" w:sz="8" w:space="0" w:color="E26B0A"/>
              <w:bottom w:val="single" w:sz="8" w:space="0" w:color="E26B0A"/>
              <w:right w:val="single" w:sz="8" w:space="0" w:color="E26B0A"/>
            </w:tcBorders>
            <w:vAlign w:val="center"/>
            <w:hideMark/>
          </w:tcPr>
          <w:p w:rsidR="00A71A12" w:rsidRPr="00BB33FC" w:rsidRDefault="00A71A12" w:rsidP="00A71A12">
            <w:pPr>
              <w:rPr>
                <w:rFonts w:ascii="Arial" w:hAnsi="Arial" w:cs="Arial"/>
                <w:b/>
                <w:bCs/>
                <w:sz w:val="20"/>
                <w:szCs w:val="20"/>
              </w:rPr>
            </w:pPr>
          </w:p>
        </w:tc>
        <w:tc>
          <w:tcPr>
            <w:tcW w:w="5748" w:type="dxa"/>
            <w:gridSpan w:val="6"/>
            <w:tcBorders>
              <w:top w:val="nil"/>
              <w:left w:val="single" w:sz="8" w:space="0" w:color="E26B0A"/>
              <w:bottom w:val="nil"/>
              <w:right w:val="single" w:sz="4" w:space="0" w:color="A6A6A6"/>
            </w:tcBorders>
            <w:shd w:val="clear" w:color="000000" w:fill="FCD5B4"/>
            <w:noWrap/>
            <w:hideMark/>
          </w:tcPr>
          <w:p w:rsidR="00A71A12" w:rsidRPr="00BB33FC" w:rsidRDefault="00A71A12" w:rsidP="00A71A12">
            <w:pPr>
              <w:rPr>
                <w:rFonts w:ascii="Arial" w:hAnsi="Arial" w:cs="Arial"/>
                <w:sz w:val="18"/>
                <w:szCs w:val="18"/>
              </w:rPr>
            </w:pPr>
            <w:r w:rsidRPr="00BB33FC">
              <w:rPr>
                <w:rFonts w:ascii="Arial" w:hAnsi="Arial" w:cs="Arial"/>
                <w:sz w:val="18"/>
                <w:szCs w:val="18"/>
              </w:rPr>
              <w:t>celkom  15-64 rokov</w:t>
            </w:r>
          </w:p>
        </w:tc>
        <w:tc>
          <w:tcPr>
            <w:tcW w:w="863" w:type="dxa"/>
            <w:gridSpan w:val="2"/>
            <w:tcBorders>
              <w:top w:val="nil"/>
              <w:left w:val="nil"/>
              <w:bottom w:val="nil"/>
              <w:right w:val="single" w:sz="4" w:space="0" w:color="A6A6A6"/>
            </w:tcBorders>
            <w:shd w:val="clear" w:color="000000" w:fill="FCD5B4"/>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71,8</w:t>
            </w:r>
          </w:p>
        </w:tc>
        <w:tc>
          <w:tcPr>
            <w:tcW w:w="1674" w:type="dxa"/>
            <w:gridSpan w:val="2"/>
            <w:tcBorders>
              <w:top w:val="nil"/>
              <w:left w:val="nil"/>
              <w:bottom w:val="nil"/>
              <w:right w:val="single" w:sz="4" w:space="0" w:color="A6A6A6"/>
            </w:tcBorders>
            <w:shd w:val="clear" w:color="000000" w:fill="FCD5B4"/>
            <w:vAlign w:val="bottom"/>
            <w:hideMark/>
          </w:tcPr>
          <w:p w:rsidR="00A71A12" w:rsidRPr="00BB33FC" w:rsidRDefault="00A71A12" w:rsidP="00A71A12">
            <w:pPr>
              <w:jc w:val="left"/>
              <w:rPr>
                <w:rFonts w:ascii="Arial" w:hAnsi="Arial" w:cs="Arial"/>
                <w:sz w:val="18"/>
                <w:szCs w:val="18"/>
              </w:rPr>
            </w:pPr>
            <w:r w:rsidRPr="00BB33FC">
              <w:rPr>
                <w:rFonts w:ascii="Arial" w:hAnsi="Arial" w:cs="Arial"/>
                <w:sz w:val="18"/>
                <w:szCs w:val="18"/>
              </w:rPr>
              <w:t>% z celkového počtu obyv.</w:t>
            </w:r>
          </w:p>
        </w:tc>
        <w:tc>
          <w:tcPr>
            <w:tcW w:w="641" w:type="dxa"/>
            <w:gridSpan w:val="2"/>
            <w:tcBorders>
              <w:top w:val="nil"/>
              <w:left w:val="nil"/>
              <w:bottom w:val="nil"/>
              <w:right w:val="single" w:sz="4" w:space="0" w:color="A6A6A6"/>
            </w:tcBorders>
            <w:shd w:val="clear" w:color="000000" w:fill="FCD5B4"/>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 </w:t>
            </w:r>
          </w:p>
        </w:tc>
        <w:tc>
          <w:tcPr>
            <w:tcW w:w="951" w:type="dxa"/>
            <w:tcBorders>
              <w:top w:val="nil"/>
              <w:left w:val="nil"/>
              <w:bottom w:val="nil"/>
              <w:right w:val="single" w:sz="4" w:space="0" w:color="A6A6A6"/>
            </w:tcBorders>
            <w:shd w:val="clear" w:color="000000" w:fill="FCD5B4"/>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 </w:t>
            </w:r>
          </w:p>
        </w:tc>
      </w:tr>
      <w:tr w:rsidR="00A71A12" w:rsidRPr="00BB33FC" w:rsidTr="00A71A12">
        <w:trPr>
          <w:trHeight w:val="510"/>
        </w:trPr>
        <w:tc>
          <w:tcPr>
            <w:tcW w:w="387"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363" w:type="dxa"/>
            <w:vMerge/>
            <w:tcBorders>
              <w:top w:val="nil"/>
              <w:left w:val="single" w:sz="8" w:space="0" w:color="E26B0A"/>
              <w:bottom w:val="single" w:sz="8" w:space="0" w:color="E26B0A"/>
              <w:right w:val="single" w:sz="8" w:space="0" w:color="E26B0A"/>
            </w:tcBorders>
            <w:vAlign w:val="center"/>
            <w:hideMark/>
          </w:tcPr>
          <w:p w:rsidR="00A71A12" w:rsidRPr="00BB33FC" w:rsidRDefault="00A71A12" w:rsidP="00A71A12">
            <w:pPr>
              <w:rPr>
                <w:rFonts w:ascii="Arial" w:hAnsi="Arial" w:cs="Arial"/>
                <w:b/>
                <w:bCs/>
                <w:sz w:val="20"/>
                <w:szCs w:val="20"/>
              </w:rPr>
            </w:pPr>
          </w:p>
        </w:tc>
        <w:tc>
          <w:tcPr>
            <w:tcW w:w="4662" w:type="dxa"/>
            <w:gridSpan w:val="4"/>
            <w:tcBorders>
              <w:top w:val="nil"/>
              <w:left w:val="nil"/>
              <w:bottom w:val="nil"/>
              <w:right w:val="nil"/>
            </w:tcBorders>
            <w:shd w:val="clear" w:color="000000" w:fill="FCD5B4"/>
            <w:noWrap/>
            <w:hideMark/>
          </w:tcPr>
          <w:p w:rsidR="00A71A12" w:rsidRPr="00BB33FC" w:rsidRDefault="00A71A12" w:rsidP="00A71A12">
            <w:pPr>
              <w:rPr>
                <w:rFonts w:ascii="Arial" w:hAnsi="Arial" w:cs="Arial"/>
                <w:sz w:val="18"/>
                <w:szCs w:val="18"/>
              </w:rPr>
            </w:pPr>
            <w:r w:rsidRPr="00BB33FC">
              <w:rPr>
                <w:rFonts w:ascii="Arial" w:hAnsi="Arial" w:cs="Arial"/>
                <w:sz w:val="18"/>
                <w:szCs w:val="18"/>
              </w:rPr>
              <w:t xml:space="preserve">celkom </w:t>
            </w:r>
            <w:r w:rsidRPr="00BB33FC">
              <w:rPr>
                <w:rFonts w:ascii="Calibri" w:hAnsi="Calibri" w:cs="Arial"/>
                <w:sz w:val="18"/>
                <w:szCs w:val="18"/>
              </w:rPr>
              <w:t>&gt;</w:t>
            </w:r>
            <w:r w:rsidRPr="00BB33FC">
              <w:rPr>
                <w:rFonts w:ascii="Arial" w:hAnsi="Arial" w:cs="Arial"/>
                <w:sz w:val="18"/>
                <w:szCs w:val="18"/>
              </w:rPr>
              <w:t>64 rokov</w:t>
            </w:r>
          </w:p>
        </w:tc>
        <w:tc>
          <w:tcPr>
            <w:tcW w:w="1086" w:type="dxa"/>
            <w:gridSpan w:val="2"/>
            <w:tcBorders>
              <w:top w:val="nil"/>
              <w:left w:val="nil"/>
              <w:bottom w:val="single" w:sz="4" w:space="0" w:color="A6A6A6"/>
              <w:right w:val="single" w:sz="4" w:space="0" w:color="A6A6A6"/>
            </w:tcBorders>
            <w:shd w:val="clear" w:color="000000" w:fill="FCD5B4"/>
            <w:noWrap/>
            <w:vAlign w:val="bottom"/>
            <w:hideMark/>
          </w:tcPr>
          <w:p w:rsidR="00A71A12" w:rsidRPr="00BB33FC" w:rsidRDefault="00A71A12" w:rsidP="00A71A12">
            <w:pPr>
              <w:jc w:val="right"/>
              <w:rPr>
                <w:rFonts w:ascii="Arial" w:hAnsi="Arial" w:cs="Arial"/>
                <w:i/>
                <w:iCs/>
                <w:color w:val="E26B0A"/>
                <w:sz w:val="16"/>
                <w:szCs w:val="16"/>
              </w:rPr>
            </w:pPr>
            <w:r w:rsidRPr="00BB33FC">
              <w:rPr>
                <w:rFonts w:ascii="Arial" w:hAnsi="Arial" w:cs="Arial"/>
                <w:i/>
                <w:iCs/>
                <w:color w:val="E26B0A"/>
                <w:sz w:val="16"/>
                <w:szCs w:val="16"/>
              </w:rPr>
              <w:t>100,0</w:t>
            </w:r>
          </w:p>
        </w:tc>
        <w:tc>
          <w:tcPr>
            <w:tcW w:w="863" w:type="dxa"/>
            <w:gridSpan w:val="2"/>
            <w:tcBorders>
              <w:top w:val="nil"/>
              <w:left w:val="nil"/>
              <w:bottom w:val="nil"/>
              <w:right w:val="single" w:sz="4" w:space="0" w:color="A6A6A6"/>
            </w:tcBorders>
            <w:shd w:val="clear" w:color="000000" w:fill="FDE9D9"/>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12,8</w:t>
            </w:r>
          </w:p>
        </w:tc>
        <w:tc>
          <w:tcPr>
            <w:tcW w:w="1674" w:type="dxa"/>
            <w:gridSpan w:val="2"/>
            <w:tcBorders>
              <w:top w:val="nil"/>
              <w:left w:val="nil"/>
              <w:bottom w:val="nil"/>
              <w:right w:val="single" w:sz="4" w:space="0" w:color="A6A6A6"/>
            </w:tcBorders>
            <w:shd w:val="clear" w:color="000000" w:fill="FCD5B4"/>
            <w:vAlign w:val="bottom"/>
            <w:hideMark/>
          </w:tcPr>
          <w:p w:rsidR="00A71A12" w:rsidRPr="00BB33FC" w:rsidRDefault="00A71A12" w:rsidP="00A71A12">
            <w:pPr>
              <w:jc w:val="left"/>
              <w:rPr>
                <w:rFonts w:ascii="Arial" w:hAnsi="Arial" w:cs="Arial"/>
                <w:sz w:val="18"/>
                <w:szCs w:val="18"/>
              </w:rPr>
            </w:pPr>
            <w:r w:rsidRPr="00BB33FC">
              <w:rPr>
                <w:rFonts w:ascii="Arial" w:hAnsi="Arial" w:cs="Arial"/>
                <w:sz w:val="18"/>
                <w:szCs w:val="18"/>
              </w:rPr>
              <w:t>% z celkového počtu obyv.</w:t>
            </w:r>
          </w:p>
        </w:tc>
        <w:tc>
          <w:tcPr>
            <w:tcW w:w="641" w:type="dxa"/>
            <w:gridSpan w:val="2"/>
            <w:tcBorders>
              <w:top w:val="nil"/>
              <w:left w:val="nil"/>
              <w:bottom w:val="single" w:sz="4" w:space="0" w:color="A6A6A6"/>
              <w:right w:val="single" w:sz="4" w:space="0" w:color="A6A6A6"/>
            </w:tcBorders>
            <w:shd w:val="clear" w:color="000000" w:fill="FCD5B4"/>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2012</w:t>
            </w:r>
          </w:p>
        </w:tc>
        <w:tc>
          <w:tcPr>
            <w:tcW w:w="951" w:type="dxa"/>
            <w:tcBorders>
              <w:top w:val="nil"/>
              <w:left w:val="nil"/>
              <w:bottom w:val="single" w:sz="4" w:space="0" w:color="A6A6A6"/>
              <w:right w:val="single" w:sz="4" w:space="0" w:color="A6A6A6"/>
            </w:tcBorders>
            <w:shd w:val="clear" w:color="000000" w:fill="FCD5B4"/>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w:t>
            </w:r>
          </w:p>
        </w:tc>
      </w:tr>
      <w:tr w:rsidR="00A71A12" w:rsidRPr="00BB33FC" w:rsidTr="00A71A12">
        <w:trPr>
          <w:trHeight w:val="510"/>
        </w:trPr>
        <w:tc>
          <w:tcPr>
            <w:tcW w:w="387"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363" w:type="dxa"/>
            <w:vMerge/>
            <w:tcBorders>
              <w:top w:val="nil"/>
              <w:left w:val="single" w:sz="8" w:space="0" w:color="E26B0A"/>
              <w:bottom w:val="single" w:sz="8" w:space="0" w:color="E26B0A"/>
              <w:right w:val="single" w:sz="8" w:space="0" w:color="E26B0A"/>
            </w:tcBorders>
            <w:vAlign w:val="center"/>
            <w:hideMark/>
          </w:tcPr>
          <w:p w:rsidR="00A71A12" w:rsidRPr="00BB33FC" w:rsidRDefault="00A71A12" w:rsidP="00A71A12">
            <w:pPr>
              <w:rPr>
                <w:rFonts w:ascii="Arial" w:hAnsi="Arial" w:cs="Arial"/>
                <w:b/>
                <w:bCs/>
                <w:sz w:val="20"/>
                <w:szCs w:val="20"/>
              </w:rPr>
            </w:pPr>
          </w:p>
        </w:tc>
        <w:tc>
          <w:tcPr>
            <w:tcW w:w="4662" w:type="dxa"/>
            <w:gridSpan w:val="4"/>
            <w:tcBorders>
              <w:top w:val="nil"/>
              <w:left w:val="nil"/>
              <w:bottom w:val="nil"/>
              <w:right w:val="nil"/>
            </w:tcBorders>
            <w:shd w:val="clear" w:color="000000" w:fill="FDE9D9"/>
            <w:noWrap/>
            <w:hideMark/>
          </w:tcPr>
          <w:p w:rsidR="00A71A12" w:rsidRPr="00BB33FC" w:rsidRDefault="00A71A12" w:rsidP="00A71A12">
            <w:pPr>
              <w:rPr>
                <w:rFonts w:ascii="Arial" w:hAnsi="Arial" w:cs="Arial"/>
                <w:sz w:val="18"/>
                <w:szCs w:val="18"/>
              </w:rPr>
            </w:pPr>
            <w:r w:rsidRPr="00BB33FC">
              <w:rPr>
                <w:rFonts w:ascii="Arial" w:hAnsi="Arial" w:cs="Arial"/>
                <w:sz w:val="18"/>
                <w:szCs w:val="18"/>
              </w:rPr>
              <w:t> </w:t>
            </w:r>
          </w:p>
        </w:tc>
        <w:tc>
          <w:tcPr>
            <w:tcW w:w="1086" w:type="dxa"/>
            <w:gridSpan w:val="2"/>
            <w:tcBorders>
              <w:top w:val="nil"/>
              <w:left w:val="nil"/>
              <w:bottom w:val="nil"/>
              <w:right w:val="single" w:sz="4" w:space="0" w:color="A6A6A6"/>
            </w:tcBorders>
            <w:shd w:val="clear" w:color="000000" w:fill="FCD5B4"/>
            <w:noWrap/>
            <w:vAlign w:val="bottom"/>
            <w:hideMark/>
          </w:tcPr>
          <w:p w:rsidR="00A71A12" w:rsidRPr="00BB33FC" w:rsidRDefault="00A71A12" w:rsidP="00A71A12">
            <w:pPr>
              <w:rPr>
                <w:rFonts w:ascii="Arial" w:hAnsi="Arial" w:cs="Arial"/>
                <w:i/>
                <w:iCs/>
                <w:color w:val="E26B0A"/>
                <w:sz w:val="16"/>
                <w:szCs w:val="16"/>
              </w:rPr>
            </w:pPr>
            <w:r w:rsidRPr="00BB33FC">
              <w:rPr>
                <w:rFonts w:ascii="Arial" w:hAnsi="Arial" w:cs="Arial"/>
                <w:i/>
                <w:iCs/>
                <w:color w:val="E26B0A"/>
                <w:sz w:val="16"/>
                <w:szCs w:val="16"/>
              </w:rPr>
              <w:t> </w:t>
            </w:r>
          </w:p>
        </w:tc>
        <w:tc>
          <w:tcPr>
            <w:tcW w:w="863" w:type="dxa"/>
            <w:gridSpan w:val="2"/>
            <w:tcBorders>
              <w:top w:val="nil"/>
              <w:left w:val="nil"/>
              <w:bottom w:val="nil"/>
              <w:right w:val="single" w:sz="4" w:space="0" w:color="A6A6A6"/>
            </w:tcBorders>
            <w:shd w:val="clear" w:color="000000" w:fill="FDE9D9"/>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 </w:t>
            </w:r>
          </w:p>
        </w:tc>
        <w:tc>
          <w:tcPr>
            <w:tcW w:w="1674" w:type="dxa"/>
            <w:gridSpan w:val="2"/>
            <w:tcBorders>
              <w:top w:val="nil"/>
              <w:left w:val="nil"/>
              <w:bottom w:val="nil"/>
              <w:right w:val="single" w:sz="4" w:space="0" w:color="A6A6A6"/>
            </w:tcBorders>
            <w:shd w:val="clear" w:color="000000" w:fill="FCD5B4"/>
            <w:vAlign w:val="bottom"/>
            <w:hideMark/>
          </w:tcPr>
          <w:p w:rsidR="00A71A12" w:rsidRPr="00BB33FC" w:rsidRDefault="00A71A12" w:rsidP="00A71A12">
            <w:pPr>
              <w:jc w:val="left"/>
              <w:rPr>
                <w:rFonts w:ascii="Arial" w:hAnsi="Arial" w:cs="Arial"/>
                <w:sz w:val="18"/>
                <w:szCs w:val="18"/>
              </w:rPr>
            </w:pPr>
            <w:r w:rsidRPr="00BB33FC">
              <w:rPr>
                <w:rFonts w:ascii="Arial" w:hAnsi="Arial" w:cs="Arial"/>
                <w:sz w:val="18"/>
                <w:szCs w:val="18"/>
              </w:rPr>
              <w:t>% z celkového počtu obyv.</w:t>
            </w:r>
          </w:p>
        </w:tc>
        <w:tc>
          <w:tcPr>
            <w:tcW w:w="641" w:type="dxa"/>
            <w:gridSpan w:val="2"/>
            <w:tcBorders>
              <w:top w:val="nil"/>
              <w:left w:val="nil"/>
              <w:bottom w:val="nil"/>
              <w:right w:val="single" w:sz="4" w:space="0" w:color="A6A6A6"/>
            </w:tcBorders>
            <w:shd w:val="clear" w:color="000000" w:fill="FDE9D9"/>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2012</w:t>
            </w:r>
          </w:p>
        </w:tc>
        <w:tc>
          <w:tcPr>
            <w:tcW w:w="951" w:type="dxa"/>
            <w:tcBorders>
              <w:top w:val="nil"/>
              <w:left w:val="nil"/>
              <w:bottom w:val="nil"/>
              <w:right w:val="nil"/>
            </w:tcBorders>
            <w:shd w:val="clear" w:color="000000" w:fill="FCD5B4"/>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 </w:t>
            </w:r>
          </w:p>
        </w:tc>
      </w:tr>
      <w:tr w:rsidR="00A71A12" w:rsidRPr="00BB33FC" w:rsidTr="00A71A12">
        <w:trPr>
          <w:trHeight w:val="300"/>
        </w:trPr>
        <w:tc>
          <w:tcPr>
            <w:tcW w:w="387"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363" w:type="dxa"/>
            <w:vMerge/>
            <w:tcBorders>
              <w:top w:val="nil"/>
              <w:left w:val="single" w:sz="8" w:space="0" w:color="E26B0A"/>
              <w:bottom w:val="single" w:sz="8" w:space="0" w:color="E26B0A"/>
              <w:right w:val="single" w:sz="8" w:space="0" w:color="E26B0A"/>
            </w:tcBorders>
            <w:vAlign w:val="center"/>
            <w:hideMark/>
          </w:tcPr>
          <w:p w:rsidR="00A71A12" w:rsidRPr="00BB33FC" w:rsidRDefault="00A71A12" w:rsidP="00A71A12">
            <w:pPr>
              <w:rPr>
                <w:rFonts w:ascii="Arial" w:hAnsi="Arial" w:cs="Arial"/>
                <w:b/>
                <w:bCs/>
                <w:sz w:val="20"/>
                <w:szCs w:val="20"/>
              </w:rPr>
            </w:pPr>
          </w:p>
        </w:tc>
        <w:tc>
          <w:tcPr>
            <w:tcW w:w="4662" w:type="dxa"/>
            <w:gridSpan w:val="4"/>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1086" w:type="dxa"/>
            <w:gridSpan w:val="2"/>
            <w:tcBorders>
              <w:top w:val="nil"/>
              <w:left w:val="nil"/>
              <w:bottom w:val="nil"/>
              <w:right w:val="single" w:sz="4" w:space="0" w:color="A6A6A6"/>
            </w:tcBorders>
            <w:shd w:val="clear" w:color="000000" w:fill="FDE9D9"/>
            <w:noWrap/>
            <w:vAlign w:val="bottom"/>
            <w:hideMark/>
          </w:tcPr>
          <w:p w:rsidR="00A71A12" w:rsidRPr="00BB33FC" w:rsidRDefault="00A71A12" w:rsidP="00A71A12">
            <w:pPr>
              <w:rPr>
                <w:rFonts w:ascii="Arial" w:hAnsi="Arial" w:cs="Arial"/>
                <w:sz w:val="20"/>
                <w:szCs w:val="20"/>
              </w:rPr>
            </w:pPr>
            <w:r w:rsidRPr="00BB33FC">
              <w:rPr>
                <w:rFonts w:ascii="Arial" w:hAnsi="Arial" w:cs="Arial"/>
                <w:sz w:val="20"/>
                <w:szCs w:val="20"/>
              </w:rPr>
              <w:t> </w:t>
            </w:r>
          </w:p>
        </w:tc>
        <w:tc>
          <w:tcPr>
            <w:tcW w:w="863" w:type="dxa"/>
            <w:gridSpan w:val="2"/>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1674" w:type="dxa"/>
            <w:gridSpan w:val="2"/>
            <w:tcBorders>
              <w:top w:val="nil"/>
              <w:left w:val="nil"/>
              <w:bottom w:val="nil"/>
              <w:right w:val="single" w:sz="4" w:space="0" w:color="A6A6A6"/>
            </w:tcBorders>
            <w:shd w:val="clear" w:color="000000" w:fill="FCD5B4"/>
            <w:vAlign w:val="bottom"/>
            <w:hideMark/>
          </w:tcPr>
          <w:p w:rsidR="00A71A12" w:rsidRPr="00BB33FC" w:rsidRDefault="00A71A12" w:rsidP="00A71A12">
            <w:pPr>
              <w:jc w:val="left"/>
              <w:rPr>
                <w:rFonts w:ascii="Arial" w:hAnsi="Arial" w:cs="Arial"/>
                <w:sz w:val="18"/>
                <w:szCs w:val="18"/>
              </w:rPr>
            </w:pPr>
            <w:r w:rsidRPr="00BB33FC">
              <w:rPr>
                <w:rFonts w:ascii="Arial" w:hAnsi="Arial" w:cs="Arial"/>
                <w:sz w:val="18"/>
                <w:szCs w:val="18"/>
              </w:rPr>
              <w:t> </w:t>
            </w:r>
          </w:p>
        </w:tc>
        <w:tc>
          <w:tcPr>
            <w:tcW w:w="641" w:type="dxa"/>
            <w:gridSpan w:val="2"/>
            <w:tcBorders>
              <w:top w:val="nil"/>
              <w:left w:val="nil"/>
              <w:bottom w:val="nil"/>
              <w:right w:val="single" w:sz="4" w:space="0" w:color="A6A6A6"/>
            </w:tcBorders>
            <w:shd w:val="clear" w:color="000000" w:fill="FDE9D9"/>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 </w:t>
            </w:r>
          </w:p>
        </w:tc>
        <w:tc>
          <w:tcPr>
            <w:tcW w:w="951" w:type="dxa"/>
            <w:tcBorders>
              <w:top w:val="nil"/>
              <w:left w:val="nil"/>
              <w:bottom w:val="nil"/>
              <w:right w:val="single" w:sz="8" w:space="0" w:color="E26B0A"/>
            </w:tcBorders>
            <w:shd w:val="clear" w:color="000000" w:fill="FDE9D9"/>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w:t>
            </w:r>
          </w:p>
        </w:tc>
      </w:tr>
      <w:tr w:rsidR="00A71A12" w:rsidRPr="00BB33FC" w:rsidTr="00A71A12">
        <w:trPr>
          <w:trHeight w:val="300"/>
        </w:trPr>
        <w:tc>
          <w:tcPr>
            <w:tcW w:w="387"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363" w:type="dxa"/>
            <w:vMerge/>
            <w:tcBorders>
              <w:top w:val="nil"/>
              <w:left w:val="single" w:sz="8" w:space="0" w:color="E26B0A"/>
              <w:bottom w:val="single" w:sz="8" w:space="0" w:color="E26B0A"/>
              <w:right w:val="single" w:sz="8" w:space="0" w:color="E26B0A"/>
            </w:tcBorders>
            <w:vAlign w:val="center"/>
            <w:hideMark/>
          </w:tcPr>
          <w:p w:rsidR="00A71A12" w:rsidRPr="00BB33FC" w:rsidRDefault="00A71A12" w:rsidP="00A71A12">
            <w:pPr>
              <w:rPr>
                <w:rFonts w:ascii="Arial" w:hAnsi="Arial" w:cs="Arial"/>
                <w:b/>
                <w:bCs/>
                <w:sz w:val="20"/>
                <w:szCs w:val="20"/>
              </w:rPr>
            </w:pPr>
          </w:p>
        </w:tc>
        <w:tc>
          <w:tcPr>
            <w:tcW w:w="5748" w:type="dxa"/>
            <w:gridSpan w:val="6"/>
            <w:tcBorders>
              <w:top w:val="nil"/>
              <w:left w:val="nil"/>
              <w:bottom w:val="nil"/>
              <w:right w:val="single" w:sz="4" w:space="0" w:color="A6A6A6"/>
            </w:tcBorders>
            <w:shd w:val="clear" w:color="000000" w:fill="FDE9D9"/>
            <w:noWrap/>
            <w:hideMark/>
          </w:tcPr>
          <w:p w:rsidR="00A71A12" w:rsidRPr="00BB33FC" w:rsidRDefault="00A71A12" w:rsidP="00A71A12">
            <w:pPr>
              <w:rPr>
                <w:rFonts w:ascii="Arial" w:hAnsi="Arial" w:cs="Arial"/>
                <w:sz w:val="18"/>
                <w:szCs w:val="18"/>
              </w:rPr>
            </w:pPr>
            <w:r w:rsidRPr="00BB33FC">
              <w:rPr>
                <w:rFonts w:ascii="Arial" w:hAnsi="Arial" w:cs="Arial"/>
                <w:sz w:val="18"/>
                <w:szCs w:val="18"/>
              </w:rPr>
              <w:t xml:space="preserve">vidiecka </w:t>
            </w:r>
            <w:r w:rsidRPr="00BB33FC">
              <w:rPr>
                <w:rFonts w:ascii="Calibri" w:hAnsi="Calibri" w:cs="Arial"/>
                <w:sz w:val="18"/>
                <w:szCs w:val="18"/>
              </w:rPr>
              <w:t xml:space="preserve">&lt; </w:t>
            </w:r>
            <w:r w:rsidRPr="00BB33FC">
              <w:rPr>
                <w:rFonts w:ascii="Arial" w:hAnsi="Arial" w:cs="Arial"/>
                <w:sz w:val="18"/>
                <w:szCs w:val="18"/>
              </w:rPr>
              <w:t>15 rokov</w:t>
            </w:r>
          </w:p>
        </w:tc>
        <w:tc>
          <w:tcPr>
            <w:tcW w:w="863" w:type="dxa"/>
            <w:gridSpan w:val="2"/>
            <w:tcBorders>
              <w:top w:val="nil"/>
              <w:left w:val="nil"/>
              <w:bottom w:val="nil"/>
              <w:right w:val="single" w:sz="4" w:space="0" w:color="A6A6A6"/>
            </w:tcBorders>
            <w:shd w:val="clear" w:color="000000" w:fill="FDE9D9"/>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15,4</w:t>
            </w:r>
          </w:p>
        </w:tc>
        <w:tc>
          <w:tcPr>
            <w:tcW w:w="1674" w:type="dxa"/>
            <w:gridSpan w:val="2"/>
            <w:tcBorders>
              <w:top w:val="nil"/>
              <w:left w:val="nil"/>
              <w:bottom w:val="nil"/>
              <w:right w:val="single" w:sz="4" w:space="0" w:color="A6A6A6"/>
            </w:tcBorders>
            <w:shd w:val="clear" w:color="000000" w:fill="FCD5B4"/>
            <w:vAlign w:val="bottom"/>
            <w:hideMark/>
          </w:tcPr>
          <w:p w:rsidR="00A71A12" w:rsidRPr="00BB33FC" w:rsidRDefault="00A71A12" w:rsidP="00A71A12">
            <w:pPr>
              <w:jc w:val="left"/>
              <w:rPr>
                <w:rFonts w:ascii="Arial" w:hAnsi="Arial" w:cs="Arial"/>
                <w:sz w:val="18"/>
                <w:szCs w:val="18"/>
              </w:rPr>
            </w:pPr>
            <w:r w:rsidRPr="00BB33FC">
              <w:rPr>
                <w:rFonts w:ascii="Arial" w:hAnsi="Arial" w:cs="Arial"/>
                <w:sz w:val="18"/>
                <w:szCs w:val="18"/>
              </w:rPr>
              <w:t> </w:t>
            </w:r>
          </w:p>
        </w:tc>
        <w:tc>
          <w:tcPr>
            <w:tcW w:w="641" w:type="dxa"/>
            <w:gridSpan w:val="2"/>
            <w:tcBorders>
              <w:top w:val="nil"/>
              <w:left w:val="nil"/>
              <w:bottom w:val="nil"/>
              <w:right w:val="single" w:sz="4" w:space="0" w:color="A6A6A6"/>
            </w:tcBorders>
            <w:shd w:val="clear" w:color="000000" w:fill="FDE9D9"/>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 </w:t>
            </w:r>
          </w:p>
        </w:tc>
        <w:tc>
          <w:tcPr>
            <w:tcW w:w="951" w:type="dxa"/>
            <w:tcBorders>
              <w:top w:val="nil"/>
              <w:left w:val="nil"/>
              <w:bottom w:val="nil"/>
              <w:right w:val="single" w:sz="8" w:space="0" w:color="E26B0A"/>
            </w:tcBorders>
            <w:shd w:val="clear" w:color="000000" w:fill="FDE9D9"/>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 </w:t>
            </w:r>
          </w:p>
        </w:tc>
      </w:tr>
      <w:tr w:rsidR="00A71A12" w:rsidRPr="00BB33FC" w:rsidTr="00A71A12">
        <w:trPr>
          <w:trHeight w:val="300"/>
        </w:trPr>
        <w:tc>
          <w:tcPr>
            <w:tcW w:w="387"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363" w:type="dxa"/>
            <w:vMerge/>
            <w:tcBorders>
              <w:top w:val="nil"/>
              <w:left w:val="single" w:sz="8" w:space="0" w:color="E26B0A"/>
              <w:bottom w:val="single" w:sz="8" w:space="0" w:color="E26B0A"/>
              <w:right w:val="single" w:sz="8" w:space="0" w:color="E26B0A"/>
            </w:tcBorders>
            <w:vAlign w:val="center"/>
            <w:hideMark/>
          </w:tcPr>
          <w:p w:rsidR="00A71A12" w:rsidRPr="00BB33FC" w:rsidRDefault="00A71A12" w:rsidP="00A71A12">
            <w:pPr>
              <w:rPr>
                <w:rFonts w:ascii="Arial" w:hAnsi="Arial" w:cs="Arial"/>
                <w:b/>
                <w:bCs/>
                <w:sz w:val="20"/>
                <w:szCs w:val="20"/>
              </w:rPr>
            </w:pPr>
          </w:p>
        </w:tc>
        <w:tc>
          <w:tcPr>
            <w:tcW w:w="4662" w:type="dxa"/>
            <w:gridSpan w:val="4"/>
            <w:tcBorders>
              <w:top w:val="nil"/>
              <w:left w:val="nil"/>
              <w:bottom w:val="nil"/>
              <w:right w:val="nil"/>
            </w:tcBorders>
            <w:shd w:val="clear" w:color="000000" w:fill="FDE9D9"/>
            <w:hideMark/>
          </w:tcPr>
          <w:p w:rsidR="00A71A12" w:rsidRPr="00BB33FC" w:rsidRDefault="00A71A12" w:rsidP="00A71A12">
            <w:pPr>
              <w:rPr>
                <w:rFonts w:ascii="Arial" w:hAnsi="Arial" w:cs="Arial"/>
                <w:sz w:val="18"/>
                <w:szCs w:val="18"/>
              </w:rPr>
            </w:pPr>
            <w:r w:rsidRPr="00BB33FC">
              <w:rPr>
                <w:rFonts w:ascii="Arial" w:hAnsi="Arial" w:cs="Arial"/>
                <w:sz w:val="18"/>
                <w:szCs w:val="18"/>
              </w:rPr>
              <w:t> </w:t>
            </w:r>
          </w:p>
        </w:tc>
        <w:tc>
          <w:tcPr>
            <w:tcW w:w="1086" w:type="dxa"/>
            <w:gridSpan w:val="2"/>
            <w:tcBorders>
              <w:top w:val="nil"/>
              <w:left w:val="nil"/>
              <w:bottom w:val="nil"/>
              <w:right w:val="single" w:sz="4" w:space="0" w:color="A6A6A6"/>
            </w:tcBorders>
            <w:shd w:val="clear" w:color="000000" w:fill="FDE9D9"/>
            <w:noWrap/>
            <w:vAlign w:val="bottom"/>
            <w:hideMark/>
          </w:tcPr>
          <w:p w:rsidR="00A71A12" w:rsidRPr="00BB33FC" w:rsidRDefault="00A71A12" w:rsidP="00A71A12">
            <w:pPr>
              <w:rPr>
                <w:rFonts w:ascii="Arial" w:hAnsi="Arial" w:cs="Arial"/>
                <w:i/>
                <w:iCs/>
                <w:color w:val="FF0000"/>
                <w:sz w:val="16"/>
                <w:szCs w:val="16"/>
              </w:rPr>
            </w:pPr>
            <w:r w:rsidRPr="00BB33FC">
              <w:rPr>
                <w:rFonts w:ascii="Arial" w:hAnsi="Arial" w:cs="Arial"/>
                <w:i/>
                <w:iCs/>
                <w:color w:val="FF0000"/>
                <w:sz w:val="16"/>
                <w:szCs w:val="16"/>
              </w:rPr>
              <w:t>check total %</w:t>
            </w:r>
          </w:p>
        </w:tc>
        <w:tc>
          <w:tcPr>
            <w:tcW w:w="863" w:type="dxa"/>
            <w:gridSpan w:val="2"/>
            <w:tcBorders>
              <w:top w:val="nil"/>
              <w:left w:val="nil"/>
              <w:bottom w:val="nil"/>
              <w:right w:val="single" w:sz="4" w:space="0" w:color="A6A6A6"/>
            </w:tcBorders>
            <w:shd w:val="clear" w:color="000000" w:fill="FDE9D9"/>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 </w:t>
            </w:r>
          </w:p>
        </w:tc>
        <w:tc>
          <w:tcPr>
            <w:tcW w:w="1674" w:type="dxa"/>
            <w:gridSpan w:val="2"/>
            <w:tcBorders>
              <w:top w:val="nil"/>
              <w:left w:val="nil"/>
              <w:bottom w:val="nil"/>
              <w:right w:val="single" w:sz="4" w:space="0" w:color="A6A6A6"/>
            </w:tcBorders>
            <w:shd w:val="clear" w:color="000000" w:fill="FDE9D9"/>
            <w:vAlign w:val="bottom"/>
            <w:hideMark/>
          </w:tcPr>
          <w:p w:rsidR="00A71A12" w:rsidRPr="00BB33FC" w:rsidRDefault="00A71A12" w:rsidP="00A71A12">
            <w:pPr>
              <w:jc w:val="left"/>
              <w:rPr>
                <w:rFonts w:ascii="Arial" w:hAnsi="Arial" w:cs="Arial"/>
                <w:sz w:val="18"/>
                <w:szCs w:val="18"/>
              </w:rPr>
            </w:pPr>
            <w:r w:rsidRPr="00BB33FC">
              <w:rPr>
                <w:rFonts w:ascii="Arial" w:hAnsi="Arial" w:cs="Arial"/>
                <w:sz w:val="18"/>
                <w:szCs w:val="18"/>
              </w:rPr>
              <w:t> </w:t>
            </w:r>
          </w:p>
        </w:tc>
        <w:tc>
          <w:tcPr>
            <w:tcW w:w="641" w:type="dxa"/>
            <w:gridSpan w:val="2"/>
            <w:tcBorders>
              <w:top w:val="nil"/>
              <w:left w:val="nil"/>
              <w:bottom w:val="nil"/>
              <w:right w:val="single" w:sz="4" w:space="0" w:color="A6A6A6"/>
            </w:tcBorders>
            <w:shd w:val="clear" w:color="000000" w:fill="FDE9D9"/>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2012</w:t>
            </w:r>
          </w:p>
        </w:tc>
        <w:tc>
          <w:tcPr>
            <w:tcW w:w="951" w:type="dxa"/>
            <w:tcBorders>
              <w:top w:val="nil"/>
              <w:left w:val="nil"/>
              <w:bottom w:val="nil"/>
              <w:right w:val="single" w:sz="8" w:space="0" w:color="E26B0A"/>
            </w:tcBorders>
            <w:shd w:val="clear" w:color="000000" w:fill="FDE9D9"/>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w:t>
            </w:r>
          </w:p>
        </w:tc>
      </w:tr>
      <w:tr w:rsidR="00A71A12" w:rsidRPr="00BB33FC" w:rsidTr="00A71A12">
        <w:trPr>
          <w:trHeight w:val="495"/>
        </w:trPr>
        <w:tc>
          <w:tcPr>
            <w:tcW w:w="387"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363" w:type="dxa"/>
            <w:vMerge/>
            <w:tcBorders>
              <w:top w:val="nil"/>
              <w:left w:val="single" w:sz="8" w:space="0" w:color="E26B0A"/>
              <w:bottom w:val="single" w:sz="8" w:space="0" w:color="E26B0A"/>
              <w:right w:val="single" w:sz="8" w:space="0" w:color="E26B0A"/>
            </w:tcBorders>
            <w:vAlign w:val="center"/>
            <w:hideMark/>
          </w:tcPr>
          <w:p w:rsidR="00A71A12" w:rsidRPr="00BB33FC" w:rsidRDefault="00A71A12" w:rsidP="00A71A12">
            <w:pPr>
              <w:rPr>
                <w:rFonts w:ascii="Arial" w:hAnsi="Arial" w:cs="Arial"/>
                <w:b/>
                <w:bCs/>
                <w:sz w:val="20"/>
                <w:szCs w:val="20"/>
              </w:rPr>
            </w:pPr>
          </w:p>
        </w:tc>
        <w:tc>
          <w:tcPr>
            <w:tcW w:w="5748" w:type="dxa"/>
            <w:gridSpan w:val="6"/>
            <w:tcBorders>
              <w:top w:val="nil"/>
              <w:left w:val="nil"/>
              <w:bottom w:val="nil"/>
              <w:right w:val="single" w:sz="4" w:space="0" w:color="A6A6A6"/>
            </w:tcBorders>
            <w:shd w:val="clear" w:color="000000" w:fill="FDE9D9"/>
            <w:noWrap/>
            <w:hideMark/>
          </w:tcPr>
          <w:p w:rsidR="00A71A12" w:rsidRPr="00BB33FC" w:rsidRDefault="00A71A12" w:rsidP="00A71A12">
            <w:pPr>
              <w:rPr>
                <w:rFonts w:ascii="Arial" w:hAnsi="Arial" w:cs="Arial"/>
                <w:sz w:val="18"/>
                <w:szCs w:val="18"/>
              </w:rPr>
            </w:pPr>
            <w:r w:rsidRPr="00BB33FC">
              <w:rPr>
                <w:rFonts w:ascii="Arial" w:hAnsi="Arial" w:cs="Arial"/>
                <w:sz w:val="18"/>
                <w:szCs w:val="18"/>
              </w:rPr>
              <w:t>vidiecka 15-64 rokov</w:t>
            </w:r>
          </w:p>
        </w:tc>
        <w:tc>
          <w:tcPr>
            <w:tcW w:w="863" w:type="dxa"/>
            <w:gridSpan w:val="2"/>
            <w:tcBorders>
              <w:top w:val="nil"/>
              <w:left w:val="nil"/>
              <w:bottom w:val="nil"/>
              <w:right w:val="single" w:sz="4" w:space="0" w:color="A6A6A6"/>
            </w:tcBorders>
            <w:shd w:val="clear" w:color="000000" w:fill="FDE9D9"/>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71,8</w:t>
            </w:r>
          </w:p>
        </w:tc>
        <w:tc>
          <w:tcPr>
            <w:tcW w:w="1674" w:type="dxa"/>
            <w:gridSpan w:val="2"/>
            <w:tcBorders>
              <w:top w:val="nil"/>
              <w:left w:val="nil"/>
              <w:bottom w:val="nil"/>
              <w:right w:val="single" w:sz="4" w:space="0" w:color="A6A6A6"/>
            </w:tcBorders>
            <w:shd w:val="clear" w:color="000000" w:fill="FCD5B4"/>
            <w:vAlign w:val="bottom"/>
            <w:hideMark/>
          </w:tcPr>
          <w:p w:rsidR="00A71A12" w:rsidRPr="00BB33FC" w:rsidRDefault="00A71A12" w:rsidP="00A71A12">
            <w:pPr>
              <w:jc w:val="left"/>
              <w:rPr>
                <w:rFonts w:ascii="Arial" w:hAnsi="Arial" w:cs="Arial"/>
                <w:sz w:val="18"/>
                <w:szCs w:val="18"/>
              </w:rPr>
            </w:pPr>
            <w:r w:rsidRPr="00BB33FC">
              <w:rPr>
                <w:rFonts w:ascii="Arial" w:hAnsi="Arial" w:cs="Arial"/>
                <w:sz w:val="18"/>
                <w:szCs w:val="18"/>
              </w:rPr>
              <w:t>% z celkového počtu obyv.</w:t>
            </w:r>
          </w:p>
        </w:tc>
        <w:tc>
          <w:tcPr>
            <w:tcW w:w="641" w:type="dxa"/>
            <w:gridSpan w:val="2"/>
            <w:tcBorders>
              <w:top w:val="nil"/>
              <w:left w:val="nil"/>
              <w:bottom w:val="nil"/>
              <w:right w:val="single" w:sz="4" w:space="0" w:color="A6A6A6"/>
            </w:tcBorders>
            <w:shd w:val="clear" w:color="000000" w:fill="FDE9D9"/>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 </w:t>
            </w:r>
          </w:p>
        </w:tc>
        <w:tc>
          <w:tcPr>
            <w:tcW w:w="951" w:type="dxa"/>
            <w:tcBorders>
              <w:top w:val="nil"/>
              <w:left w:val="nil"/>
              <w:bottom w:val="nil"/>
              <w:right w:val="single" w:sz="8" w:space="0" w:color="E26B0A"/>
            </w:tcBorders>
            <w:shd w:val="clear" w:color="000000" w:fill="FDE9D9"/>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 </w:t>
            </w:r>
          </w:p>
        </w:tc>
      </w:tr>
      <w:tr w:rsidR="00A71A12" w:rsidRPr="00BB33FC" w:rsidTr="00A71A12">
        <w:trPr>
          <w:trHeight w:val="315"/>
        </w:trPr>
        <w:tc>
          <w:tcPr>
            <w:tcW w:w="387"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363" w:type="dxa"/>
            <w:vMerge/>
            <w:tcBorders>
              <w:top w:val="nil"/>
              <w:left w:val="single" w:sz="8" w:space="0" w:color="E26B0A"/>
              <w:bottom w:val="single" w:sz="8" w:space="0" w:color="E26B0A"/>
              <w:right w:val="single" w:sz="8" w:space="0" w:color="E26B0A"/>
            </w:tcBorders>
            <w:vAlign w:val="center"/>
            <w:hideMark/>
          </w:tcPr>
          <w:p w:rsidR="00A71A12" w:rsidRPr="00BB33FC" w:rsidRDefault="00A71A12" w:rsidP="00A71A12">
            <w:pPr>
              <w:rPr>
                <w:rFonts w:ascii="Arial" w:hAnsi="Arial" w:cs="Arial"/>
                <w:b/>
                <w:bCs/>
                <w:sz w:val="20"/>
                <w:szCs w:val="20"/>
              </w:rPr>
            </w:pPr>
          </w:p>
        </w:tc>
        <w:tc>
          <w:tcPr>
            <w:tcW w:w="4662" w:type="dxa"/>
            <w:gridSpan w:val="4"/>
            <w:tcBorders>
              <w:top w:val="nil"/>
              <w:left w:val="nil"/>
              <w:bottom w:val="single" w:sz="8" w:space="0" w:color="E26B0A"/>
              <w:right w:val="nil"/>
            </w:tcBorders>
            <w:shd w:val="clear" w:color="000000" w:fill="FDE9D9"/>
            <w:hideMark/>
          </w:tcPr>
          <w:p w:rsidR="00A71A12" w:rsidRPr="00BB33FC" w:rsidRDefault="00A71A12" w:rsidP="00A71A12">
            <w:pPr>
              <w:rPr>
                <w:rFonts w:ascii="Arial" w:hAnsi="Arial" w:cs="Arial"/>
                <w:sz w:val="18"/>
                <w:szCs w:val="18"/>
              </w:rPr>
            </w:pPr>
            <w:r w:rsidRPr="00BB33FC">
              <w:rPr>
                <w:rFonts w:ascii="Arial" w:hAnsi="Arial" w:cs="Arial"/>
                <w:sz w:val="18"/>
                <w:szCs w:val="18"/>
              </w:rPr>
              <w:t> </w:t>
            </w:r>
          </w:p>
        </w:tc>
        <w:tc>
          <w:tcPr>
            <w:tcW w:w="1086" w:type="dxa"/>
            <w:gridSpan w:val="2"/>
            <w:tcBorders>
              <w:top w:val="nil"/>
              <w:left w:val="nil"/>
              <w:bottom w:val="single" w:sz="8" w:space="0" w:color="E26B0A"/>
              <w:right w:val="single" w:sz="4" w:space="0" w:color="A6A6A6"/>
            </w:tcBorders>
            <w:shd w:val="clear" w:color="000000" w:fill="FDE9D9"/>
            <w:noWrap/>
            <w:vAlign w:val="bottom"/>
            <w:hideMark/>
          </w:tcPr>
          <w:p w:rsidR="00A71A12" w:rsidRPr="00BB33FC" w:rsidRDefault="00A71A12" w:rsidP="00A71A12">
            <w:pPr>
              <w:jc w:val="right"/>
              <w:rPr>
                <w:rFonts w:ascii="Arial" w:hAnsi="Arial" w:cs="Arial"/>
                <w:i/>
                <w:iCs/>
                <w:color w:val="E26B0A"/>
                <w:sz w:val="16"/>
                <w:szCs w:val="16"/>
              </w:rPr>
            </w:pPr>
            <w:r w:rsidRPr="00BB33FC">
              <w:rPr>
                <w:rFonts w:ascii="Arial" w:hAnsi="Arial" w:cs="Arial"/>
                <w:i/>
                <w:iCs/>
                <w:color w:val="E26B0A"/>
                <w:sz w:val="16"/>
                <w:szCs w:val="16"/>
              </w:rPr>
              <w:t>100,0</w:t>
            </w:r>
          </w:p>
        </w:tc>
        <w:tc>
          <w:tcPr>
            <w:tcW w:w="863" w:type="dxa"/>
            <w:gridSpan w:val="2"/>
            <w:tcBorders>
              <w:top w:val="nil"/>
              <w:left w:val="nil"/>
              <w:bottom w:val="single" w:sz="8" w:space="0" w:color="E26B0A"/>
              <w:right w:val="single" w:sz="4" w:space="0" w:color="A6A6A6"/>
            </w:tcBorders>
            <w:shd w:val="clear" w:color="000000" w:fill="FDE9D9"/>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 </w:t>
            </w:r>
          </w:p>
        </w:tc>
        <w:tc>
          <w:tcPr>
            <w:tcW w:w="1674" w:type="dxa"/>
            <w:gridSpan w:val="2"/>
            <w:tcBorders>
              <w:top w:val="nil"/>
              <w:left w:val="nil"/>
              <w:bottom w:val="single" w:sz="8" w:space="0" w:color="E26B0A"/>
              <w:right w:val="single" w:sz="4" w:space="0" w:color="A6A6A6"/>
            </w:tcBorders>
            <w:shd w:val="clear" w:color="000000" w:fill="FDE9D9"/>
            <w:vAlign w:val="bottom"/>
            <w:hideMark/>
          </w:tcPr>
          <w:p w:rsidR="00A71A12" w:rsidRPr="00BB33FC" w:rsidRDefault="00A71A12" w:rsidP="00A71A12">
            <w:pPr>
              <w:jc w:val="left"/>
              <w:rPr>
                <w:rFonts w:ascii="Arial" w:hAnsi="Arial" w:cs="Arial"/>
                <w:sz w:val="18"/>
                <w:szCs w:val="18"/>
              </w:rPr>
            </w:pPr>
            <w:r w:rsidRPr="00BB33FC">
              <w:rPr>
                <w:rFonts w:ascii="Arial" w:hAnsi="Arial" w:cs="Arial"/>
                <w:sz w:val="18"/>
                <w:szCs w:val="18"/>
              </w:rPr>
              <w:t> </w:t>
            </w:r>
          </w:p>
        </w:tc>
        <w:tc>
          <w:tcPr>
            <w:tcW w:w="641" w:type="dxa"/>
            <w:gridSpan w:val="2"/>
            <w:tcBorders>
              <w:top w:val="nil"/>
              <w:left w:val="nil"/>
              <w:bottom w:val="single" w:sz="8" w:space="0" w:color="E26B0A"/>
              <w:right w:val="single" w:sz="4" w:space="0" w:color="A6A6A6"/>
            </w:tcBorders>
            <w:shd w:val="clear" w:color="000000" w:fill="FDE9D9"/>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2012</w:t>
            </w:r>
          </w:p>
        </w:tc>
        <w:tc>
          <w:tcPr>
            <w:tcW w:w="951" w:type="dxa"/>
            <w:tcBorders>
              <w:top w:val="nil"/>
              <w:left w:val="nil"/>
              <w:bottom w:val="single" w:sz="8" w:space="0" w:color="E26B0A"/>
              <w:right w:val="single" w:sz="8" w:space="0" w:color="E26B0A"/>
            </w:tcBorders>
            <w:shd w:val="clear" w:color="000000" w:fill="FDE9D9"/>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w:t>
            </w:r>
          </w:p>
        </w:tc>
      </w:tr>
      <w:tr w:rsidR="00A71A12" w:rsidRPr="00BB33FC" w:rsidTr="00A71A12">
        <w:trPr>
          <w:trHeight w:val="510"/>
        </w:trPr>
        <w:tc>
          <w:tcPr>
            <w:tcW w:w="387"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363" w:type="dxa"/>
            <w:tcBorders>
              <w:top w:val="nil"/>
              <w:left w:val="single" w:sz="8" w:space="0" w:color="E26B0A"/>
              <w:bottom w:val="nil"/>
              <w:right w:val="single" w:sz="8" w:space="0" w:color="E26B0A"/>
            </w:tcBorders>
            <w:shd w:val="clear" w:color="auto" w:fill="auto"/>
            <w:noWrap/>
            <w:hideMark/>
          </w:tcPr>
          <w:p w:rsidR="00A71A12" w:rsidRPr="00BB33FC" w:rsidRDefault="00A71A12" w:rsidP="00A71A12">
            <w:pPr>
              <w:rPr>
                <w:rFonts w:ascii="Arial" w:hAnsi="Arial" w:cs="Arial"/>
                <w:b/>
                <w:bCs/>
                <w:sz w:val="20"/>
                <w:szCs w:val="20"/>
              </w:rPr>
            </w:pPr>
            <w:r w:rsidRPr="00BB33FC">
              <w:rPr>
                <w:rFonts w:ascii="Arial" w:hAnsi="Arial" w:cs="Arial"/>
                <w:b/>
                <w:bCs/>
                <w:sz w:val="20"/>
                <w:szCs w:val="20"/>
              </w:rPr>
              <w:t> </w:t>
            </w:r>
          </w:p>
        </w:tc>
        <w:tc>
          <w:tcPr>
            <w:tcW w:w="4662" w:type="dxa"/>
            <w:gridSpan w:val="4"/>
            <w:tcBorders>
              <w:top w:val="nil"/>
              <w:left w:val="nil"/>
              <w:bottom w:val="single" w:sz="8" w:space="0" w:color="E26B0A"/>
              <w:right w:val="nil"/>
            </w:tcBorders>
            <w:shd w:val="clear" w:color="000000" w:fill="FDE9D9"/>
            <w:hideMark/>
          </w:tcPr>
          <w:p w:rsidR="00A71A12" w:rsidRPr="00BB33FC" w:rsidRDefault="00A71A12" w:rsidP="00A71A12">
            <w:pPr>
              <w:rPr>
                <w:rFonts w:ascii="Arial" w:hAnsi="Arial" w:cs="Arial"/>
                <w:sz w:val="18"/>
                <w:szCs w:val="18"/>
              </w:rPr>
            </w:pPr>
            <w:r w:rsidRPr="00BB33FC">
              <w:rPr>
                <w:rFonts w:ascii="Arial" w:hAnsi="Arial" w:cs="Arial"/>
                <w:sz w:val="18"/>
                <w:szCs w:val="18"/>
              </w:rPr>
              <w:t>vidiecka &gt; 64 r.</w:t>
            </w:r>
          </w:p>
        </w:tc>
        <w:tc>
          <w:tcPr>
            <w:tcW w:w="1086" w:type="dxa"/>
            <w:gridSpan w:val="2"/>
            <w:tcBorders>
              <w:top w:val="nil"/>
              <w:left w:val="nil"/>
              <w:bottom w:val="nil"/>
              <w:right w:val="nil"/>
            </w:tcBorders>
            <w:shd w:val="clear" w:color="000000" w:fill="FDE9D9"/>
            <w:noWrap/>
            <w:vAlign w:val="bottom"/>
            <w:hideMark/>
          </w:tcPr>
          <w:p w:rsidR="00A71A12" w:rsidRPr="00BB33FC" w:rsidRDefault="00A71A12" w:rsidP="00A71A12">
            <w:pPr>
              <w:rPr>
                <w:rFonts w:ascii="Arial" w:hAnsi="Arial" w:cs="Arial"/>
                <w:i/>
                <w:iCs/>
                <w:color w:val="E26B0A"/>
                <w:sz w:val="16"/>
                <w:szCs w:val="16"/>
              </w:rPr>
            </w:pPr>
            <w:r w:rsidRPr="00BB33FC">
              <w:rPr>
                <w:rFonts w:ascii="Arial" w:hAnsi="Arial" w:cs="Arial"/>
                <w:i/>
                <w:iCs/>
                <w:color w:val="E26B0A"/>
                <w:sz w:val="16"/>
                <w:szCs w:val="16"/>
              </w:rPr>
              <w:t> </w:t>
            </w:r>
          </w:p>
        </w:tc>
        <w:tc>
          <w:tcPr>
            <w:tcW w:w="863" w:type="dxa"/>
            <w:gridSpan w:val="2"/>
            <w:tcBorders>
              <w:top w:val="nil"/>
              <w:left w:val="nil"/>
              <w:bottom w:val="single" w:sz="8" w:space="0" w:color="E26B0A"/>
              <w:right w:val="single" w:sz="4" w:space="0" w:color="A6A6A6"/>
            </w:tcBorders>
            <w:shd w:val="clear" w:color="000000" w:fill="FDE9D9"/>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12,8</w:t>
            </w:r>
          </w:p>
        </w:tc>
        <w:tc>
          <w:tcPr>
            <w:tcW w:w="1674" w:type="dxa"/>
            <w:gridSpan w:val="2"/>
            <w:tcBorders>
              <w:top w:val="nil"/>
              <w:left w:val="nil"/>
              <w:bottom w:val="nil"/>
              <w:right w:val="single" w:sz="4" w:space="0" w:color="A6A6A6"/>
            </w:tcBorders>
            <w:shd w:val="clear" w:color="000000" w:fill="FCD5B4"/>
            <w:vAlign w:val="bottom"/>
            <w:hideMark/>
          </w:tcPr>
          <w:p w:rsidR="00A71A12" w:rsidRPr="00BB33FC" w:rsidRDefault="00A71A12" w:rsidP="00A71A12">
            <w:pPr>
              <w:jc w:val="left"/>
              <w:rPr>
                <w:rFonts w:ascii="Arial" w:hAnsi="Arial" w:cs="Arial"/>
                <w:sz w:val="18"/>
                <w:szCs w:val="18"/>
              </w:rPr>
            </w:pPr>
            <w:r w:rsidRPr="00BB33FC">
              <w:rPr>
                <w:rFonts w:ascii="Arial" w:hAnsi="Arial" w:cs="Arial"/>
                <w:sz w:val="18"/>
                <w:szCs w:val="18"/>
              </w:rPr>
              <w:t>% z celkového počtu obyv.</w:t>
            </w:r>
          </w:p>
        </w:tc>
        <w:tc>
          <w:tcPr>
            <w:tcW w:w="641" w:type="dxa"/>
            <w:gridSpan w:val="2"/>
            <w:tcBorders>
              <w:top w:val="nil"/>
              <w:left w:val="nil"/>
              <w:bottom w:val="nil"/>
              <w:right w:val="nil"/>
            </w:tcBorders>
            <w:shd w:val="clear" w:color="000000" w:fill="FDE9D9"/>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 </w:t>
            </w:r>
          </w:p>
        </w:tc>
        <w:tc>
          <w:tcPr>
            <w:tcW w:w="951" w:type="dxa"/>
            <w:tcBorders>
              <w:top w:val="nil"/>
              <w:left w:val="nil"/>
              <w:bottom w:val="nil"/>
              <w:right w:val="single" w:sz="8" w:space="0" w:color="E26B0A"/>
            </w:tcBorders>
            <w:shd w:val="clear" w:color="000000" w:fill="FDE9D9"/>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 </w:t>
            </w:r>
          </w:p>
        </w:tc>
      </w:tr>
      <w:tr w:rsidR="00A71A12" w:rsidRPr="00BB33FC" w:rsidTr="00A71A12">
        <w:trPr>
          <w:trHeight w:val="300"/>
        </w:trPr>
        <w:tc>
          <w:tcPr>
            <w:tcW w:w="387"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363" w:type="dxa"/>
            <w:vMerge w:val="restart"/>
            <w:tcBorders>
              <w:top w:val="single" w:sz="8" w:space="0" w:color="E26B0A"/>
              <w:left w:val="single" w:sz="8" w:space="0" w:color="E26B0A"/>
              <w:bottom w:val="single" w:sz="8" w:space="0" w:color="E26B0A"/>
              <w:right w:val="single" w:sz="8" w:space="0" w:color="E26B0A"/>
            </w:tcBorders>
            <w:shd w:val="clear" w:color="auto" w:fill="auto"/>
            <w:noWrap/>
            <w:hideMark/>
          </w:tcPr>
          <w:p w:rsidR="00A71A12" w:rsidRPr="00BB33FC" w:rsidRDefault="00A71A12" w:rsidP="00A71A12">
            <w:pPr>
              <w:rPr>
                <w:rFonts w:ascii="Arial" w:hAnsi="Arial" w:cs="Arial"/>
                <w:b/>
                <w:bCs/>
                <w:sz w:val="20"/>
                <w:szCs w:val="20"/>
              </w:rPr>
            </w:pPr>
            <w:r w:rsidRPr="00BB33FC">
              <w:rPr>
                <w:rFonts w:ascii="Arial" w:hAnsi="Arial" w:cs="Arial"/>
                <w:b/>
                <w:bCs/>
                <w:sz w:val="20"/>
                <w:szCs w:val="20"/>
              </w:rPr>
              <w:t>3</w:t>
            </w:r>
          </w:p>
        </w:tc>
        <w:tc>
          <w:tcPr>
            <w:tcW w:w="9877" w:type="dxa"/>
            <w:gridSpan w:val="13"/>
            <w:tcBorders>
              <w:top w:val="single" w:sz="8" w:space="0" w:color="E26B0A"/>
              <w:left w:val="nil"/>
              <w:bottom w:val="single" w:sz="4" w:space="0" w:color="A6A6A6"/>
              <w:right w:val="single" w:sz="8" w:space="0" w:color="E26B0A"/>
            </w:tcBorders>
            <w:shd w:val="clear" w:color="000000" w:fill="FFFFFF"/>
            <w:noWrap/>
            <w:vAlign w:val="bottom"/>
            <w:hideMark/>
          </w:tcPr>
          <w:p w:rsidR="00A71A12" w:rsidRPr="00BB33FC" w:rsidRDefault="00A71A12" w:rsidP="00A71A12">
            <w:pPr>
              <w:rPr>
                <w:rFonts w:ascii="Arial" w:hAnsi="Arial" w:cs="Arial"/>
                <w:b/>
                <w:bCs/>
                <w:i/>
                <w:iCs/>
                <w:sz w:val="20"/>
                <w:szCs w:val="20"/>
              </w:rPr>
            </w:pPr>
            <w:r w:rsidRPr="00BB33FC">
              <w:rPr>
                <w:rFonts w:ascii="Arial" w:hAnsi="Arial" w:cs="Arial"/>
                <w:b/>
                <w:bCs/>
                <w:i/>
                <w:iCs/>
                <w:sz w:val="20"/>
                <w:szCs w:val="20"/>
              </w:rPr>
              <w:t>Územie</w:t>
            </w:r>
          </w:p>
        </w:tc>
      </w:tr>
      <w:tr w:rsidR="00A71A12" w:rsidRPr="00BB33FC" w:rsidTr="00A71A12">
        <w:trPr>
          <w:trHeight w:val="300"/>
        </w:trPr>
        <w:tc>
          <w:tcPr>
            <w:tcW w:w="387"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363" w:type="dxa"/>
            <w:vMerge/>
            <w:tcBorders>
              <w:top w:val="single" w:sz="8" w:space="0" w:color="E26B0A"/>
              <w:left w:val="single" w:sz="8" w:space="0" w:color="E26B0A"/>
              <w:bottom w:val="single" w:sz="8" w:space="0" w:color="E26B0A"/>
              <w:right w:val="single" w:sz="8" w:space="0" w:color="E26B0A"/>
            </w:tcBorders>
            <w:vAlign w:val="center"/>
            <w:hideMark/>
          </w:tcPr>
          <w:p w:rsidR="00A71A12" w:rsidRPr="00BB33FC" w:rsidRDefault="00A71A12" w:rsidP="00A71A12">
            <w:pPr>
              <w:rPr>
                <w:rFonts w:ascii="Arial" w:hAnsi="Arial" w:cs="Arial"/>
                <w:b/>
                <w:bCs/>
                <w:sz w:val="20"/>
                <w:szCs w:val="20"/>
              </w:rPr>
            </w:pPr>
          </w:p>
        </w:tc>
        <w:tc>
          <w:tcPr>
            <w:tcW w:w="5748" w:type="dxa"/>
            <w:gridSpan w:val="6"/>
            <w:tcBorders>
              <w:top w:val="single" w:sz="4" w:space="0" w:color="A6A6A6"/>
              <w:left w:val="nil"/>
              <w:bottom w:val="single" w:sz="4" w:space="0" w:color="A6A6A6"/>
              <w:right w:val="single" w:sz="4" w:space="0" w:color="A6A6A6"/>
            </w:tcBorders>
            <w:shd w:val="clear" w:color="000000" w:fill="FCD5B4"/>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celkom</w:t>
            </w:r>
          </w:p>
        </w:tc>
        <w:tc>
          <w:tcPr>
            <w:tcW w:w="863" w:type="dxa"/>
            <w:gridSpan w:val="2"/>
            <w:tcBorders>
              <w:top w:val="nil"/>
              <w:left w:val="nil"/>
              <w:bottom w:val="single" w:sz="4" w:space="0" w:color="A6A6A6"/>
              <w:right w:val="single" w:sz="4" w:space="0" w:color="A6A6A6"/>
            </w:tcBorders>
            <w:shd w:val="clear" w:color="000000" w:fill="FCD5B4"/>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49 036,0</w:t>
            </w:r>
          </w:p>
        </w:tc>
        <w:tc>
          <w:tcPr>
            <w:tcW w:w="1674" w:type="dxa"/>
            <w:gridSpan w:val="2"/>
            <w:tcBorders>
              <w:top w:val="nil"/>
              <w:left w:val="nil"/>
              <w:bottom w:val="single" w:sz="4" w:space="0" w:color="A6A6A6"/>
              <w:right w:val="single" w:sz="4" w:space="0" w:color="A6A6A6"/>
            </w:tcBorders>
            <w:shd w:val="clear" w:color="000000" w:fill="FCD5B4"/>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Km2</w:t>
            </w:r>
          </w:p>
        </w:tc>
        <w:tc>
          <w:tcPr>
            <w:tcW w:w="641" w:type="dxa"/>
            <w:gridSpan w:val="2"/>
            <w:tcBorders>
              <w:top w:val="nil"/>
              <w:left w:val="nil"/>
              <w:bottom w:val="single" w:sz="4" w:space="0" w:color="A6A6A6"/>
              <w:right w:val="single" w:sz="4" w:space="0" w:color="A6A6A6"/>
            </w:tcBorders>
            <w:shd w:val="clear" w:color="000000" w:fill="FCD5B4"/>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2012</w:t>
            </w:r>
          </w:p>
        </w:tc>
        <w:tc>
          <w:tcPr>
            <w:tcW w:w="951" w:type="dxa"/>
            <w:tcBorders>
              <w:top w:val="nil"/>
              <w:left w:val="nil"/>
              <w:bottom w:val="single" w:sz="4" w:space="0" w:color="A6A6A6"/>
              <w:right w:val="single" w:sz="8" w:space="0" w:color="E26B0A"/>
            </w:tcBorders>
            <w:shd w:val="clear" w:color="000000" w:fill="FCD5B4"/>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w:t>
            </w:r>
          </w:p>
        </w:tc>
      </w:tr>
      <w:tr w:rsidR="00A71A12" w:rsidRPr="00BB33FC" w:rsidTr="00A71A12">
        <w:trPr>
          <w:trHeight w:val="495"/>
        </w:trPr>
        <w:tc>
          <w:tcPr>
            <w:tcW w:w="387"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363" w:type="dxa"/>
            <w:vMerge/>
            <w:tcBorders>
              <w:top w:val="single" w:sz="8" w:space="0" w:color="E26B0A"/>
              <w:left w:val="single" w:sz="8" w:space="0" w:color="E26B0A"/>
              <w:bottom w:val="single" w:sz="8" w:space="0" w:color="E26B0A"/>
              <w:right w:val="single" w:sz="8" w:space="0" w:color="E26B0A"/>
            </w:tcBorders>
            <w:vAlign w:val="center"/>
            <w:hideMark/>
          </w:tcPr>
          <w:p w:rsidR="00A71A12" w:rsidRPr="00BB33FC" w:rsidRDefault="00A71A12" w:rsidP="00A71A12">
            <w:pPr>
              <w:rPr>
                <w:rFonts w:ascii="Arial" w:hAnsi="Arial" w:cs="Arial"/>
                <w:b/>
                <w:bCs/>
                <w:sz w:val="20"/>
                <w:szCs w:val="20"/>
              </w:rPr>
            </w:pPr>
          </w:p>
        </w:tc>
        <w:tc>
          <w:tcPr>
            <w:tcW w:w="4662" w:type="dxa"/>
            <w:gridSpan w:val="4"/>
            <w:tcBorders>
              <w:top w:val="nil"/>
              <w:left w:val="nil"/>
              <w:bottom w:val="nil"/>
              <w:right w:val="nil"/>
            </w:tcBorders>
            <w:shd w:val="clear" w:color="000000" w:fill="FDE9D9"/>
            <w:noWrap/>
            <w:hideMark/>
          </w:tcPr>
          <w:p w:rsidR="00A71A12" w:rsidRPr="00BB33FC" w:rsidRDefault="00A71A12" w:rsidP="00A71A12">
            <w:pPr>
              <w:rPr>
                <w:rFonts w:ascii="Arial" w:hAnsi="Arial" w:cs="Arial"/>
                <w:sz w:val="18"/>
                <w:szCs w:val="18"/>
              </w:rPr>
            </w:pPr>
            <w:r w:rsidRPr="00BB33FC">
              <w:rPr>
                <w:rFonts w:ascii="Arial" w:hAnsi="Arial" w:cs="Arial"/>
                <w:sz w:val="18"/>
                <w:szCs w:val="18"/>
              </w:rPr>
              <w:t>vidiecke</w:t>
            </w:r>
          </w:p>
        </w:tc>
        <w:tc>
          <w:tcPr>
            <w:tcW w:w="1086" w:type="dxa"/>
            <w:gridSpan w:val="2"/>
            <w:tcBorders>
              <w:top w:val="nil"/>
              <w:left w:val="nil"/>
              <w:bottom w:val="nil"/>
              <w:right w:val="single" w:sz="4" w:space="0" w:color="A6A6A6"/>
            </w:tcBorders>
            <w:shd w:val="clear" w:color="000000" w:fill="FDE9D9"/>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 </w:t>
            </w:r>
          </w:p>
        </w:tc>
        <w:tc>
          <w:tcPr>
            <w:tcW w:w="863" w:type="dxa"/>
            <w:gridSpan w:val="2"/>
            <w:tcBorders>
              <w:top w:val="nil"/>
              <w:left w:val="nil"/>
              <w:bottom w:val="nil"/>
              <w:right w:val="single" w:sz="4" w:space="0" w:color="A6A6A6"/>
            </w:tcBorders>
            <w:shd w:val="clear" w:color="000000" w:fill="FDE9D9"/>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59,0</w:t>
            </w:r>
          </w:p>
        </w:tc>
        <w:tc>
          <w:tcPr>
            <w:tcW w:w="1674" w:type="dxa"/>
            <w:gridSpan w:val="2"/>
            <w:tcBorders>
              <w:top w:val="nil"/>
              <w:left w:val="nil"/>
              <w:bottom w:val="nil"/>
              <w:right w:val="single" w:sz="4" w:space="0" w:color="A6A6A6"/>
            </w:tcBorders>
            <w:shd w:val="clear" w:color="000000" w:fill="FDE9D9"/>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 z celkovej výmery</w:t>
            </w:r>
          </w:p>
        </w:tc>
        <w:tc>
          <w:tcPr>
            <w:tcW w:w="641" w:type="dxa"/>
            <w:gridSpan w:val="2"/>
            <w:tcBorders>
              <w:top w:val="nil"/>
              <w:left w:val="nil"/>
              <w:bottom w:val="nil"/>
              <w:right w:val="single" w:sz="4" w:space="0" w:color="A6A6A6"/>
            </w:tcBorders>
            <w:shd w:val="clear" w:color="000000" w:fill="FDE9D9"/>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2012</w:t>
            </w:r>
          </w:p>
        </w:tc>
        <w:tc>
          <w:tcPr>
            <w:tcW w:w="951" w:type="dxa"/>
            <w:tcBorders>
              <w:top w:val="nil"/>
              <w:left w:val="nil"/>
              <w:bottom w:val="nil"/>
              <w:right w:val="single" w:sz="8" w:space="0" w:color="E26B0A"/>
            </w:tcBorders>
            <w:shd w:val="clear" w:color="000000" w:fill="FDE9D9"/>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w:t>
            </w:r>
          </w:p>
        </w:tc>
      </w:tr>
      <w:tr w:rsidR="00A71A12" w:rsidRPr="00BB33FC" w:rsidTr="00A71A12">
        <w:trPr>
          <w:trHeight w:val="300"/>
        </w:trPr>
        <w:tc>
          <w:tcPr>
            <w:tcW w:w="387"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363" w:type="dxa"/>
            <w:vMerge/>
            <w:tcBorders>
              <w:top w:val="single" w:sz="8" w:space="0" w:color="E26B0A"/>
              <w:left w:val="single" w:sz="8" w:space="0" w:color="E26B0A"/>
              <w:bottom w:val="single" w:sz="8" w:space="0" w:color="E26B0A"/>
              <w:right w:val="single" w:sz="8" w:space="0" w:color="E26B0A"/>
            </w:tcBorders>
            <w:vAlign w:val="center"/>
            <w:hideMark/>
          </w:tcPr>
          <w:p w:rsidR="00A71A12" w:rsidRPr="00BB33FC" w:rsidRDefault="00A71A12" w:rsidP="00A71A12">
            <w:pPr>
              <w:rPr>
                <w:rFonts w:ascii="Arial" w:hAnsi="Arial" w:cs="Arial"/>
                <w:b/>
                <w:bCs/>
                <w:sz w:val="20"/>
                <w:szCs w:val="20"/>
              </w:rPr>
            </w:pPr>
          </w:p>
        </w:tc>
        <w:tc>
          <w:tcPr>
            <w:tcW w:w="4662" w:type="dxa"/>
            <w:gridSpan w:val="4"/>
            <w:tcBorders>
              <w:top w:val="nil"/>
              <w:left w:val="nil"/>
              <w:bottom w:val="nil"/>
              <w:right w:val="nil"/>
            </w:tcBorders>
            <w:shd w:val="clear" w:color="000000" w:fill="FDE9D9"/>
            <w:noWrap/>
            <w:hideMark/>
          </w:tcPr>
          <w:p w:rsidR="00A71A12" w:rsidRPr="00BB33FC" w:rsidRDefault="00A71A12" w:rsidP="00A71A12">
            <w:pPr>
              <w:rPr>
                <w:rFonts w:ascii="Arial" w:hAnsi="Arial" w:cs="Arial"/>
                <w:sz w:val="18"/>
                <w:szCs w:val="18"/>
              </w:rPr>
            </w:pPr>
            <w:r w:rsidRPr="00BB33FC">
              <w:rPr>
                <w:rFonts w:ascii="Arial" w:hAnsi="Arial" w:cs="Arial"/>
                <w:sz w:val="18"/>
                <w:szCs w:val="18"/>
              </w:rPr>
              <w:t> </w:t>
            </w:r>
          </w:p>
        </w:tc>
        <w:tc>
          <w:tcPr>
            <w:tcW w:w="1086" w:type="dxa"/>
            <w:gridSpan w:val="2"/>
            <w:tcBorders>
              <w:top w:val="nil"/>
              <w:left w:val="nil"/>
              <w:bottom w:val="nil"/>
              <w:right w:val="single" w:sz="4" w:space="0" w:color="A6A6A6"/>
            </w:tcBorders>
            <w:shd w:val="clear" w:color="000000" w:fill="FDE9D9"/>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 </w:t>
            </w:r>
          </w:p>
        </w:tc>
        <w:tc>
          <w:tcPr>
            <w:tcW w:w="863" w:type="dxa"/>
            <w:gridSpan w:val="2"/>
            <w:tcBorders>
              <w:top w:val="nil"/>
              <w:left w:val="nil"/>
              <w:bottom w:val="nil"/>
              <w:right w:val="single" w:sz="4" w:space="0" w:color="A6A6A6"/>
            </w:tcBorders>
            <w:shd w:val="clear" w:color="000000" w:fill="FDE9D9"/>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 </w:t>
            </w:r>
          </w:p>
        </w:tc>
        <w:tc>
          <w:tcPr>
            <w:tcW w:w="1674" w:type="dxa"/>
            <w:gridSpan w:val="2"/>
            <w:tcBorders>
              <w:top w:val="nil"/>
              <w:left w:val="nil"/>
              <w:bottom w:val="nil"/>
              <w:right w:val="single" w:sz="4" w:space="0" w:color="A6A6A6"/>
            </w:tcBorders>
            <w:shd w:val="clear" w:color="000000" w:fill="FDE9D9"/>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 </w:t>
            </w:r>
          </w:p>
        </w:tc>
        <w:tc>
          <w:tcPr>
            <w:tcW w:w="641" w:type="dxa"/>
            <w:gridSpan w:val="2"/>
            <w:tcBorders>
              <w:top w:val="nil"/>
              <w:left w:val="nil"/>
              <w:bottom w:val="nil"/>
              <w:right w:val="single" w:sz="4" w:space="0" w:color="A6A6A6"/>
            </w:tcBorders>
            <w:shd w:val="clear" w:color="000000" w:fill="FDE9D9"/>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 </w:t>
            </w:r>
          </w:p>
        </w:tc>
        <w:tc>
          <w:tcPr>
            <w:tcW w:w="951" w:type="dxa"/>
            <w:tcBorders>
              <w:top w:val="nil"/>
              <w:left w:val="nil"/>
              <w:bottom w:val="nil"/>
              <w:right w:val="single" w:sz="8" w:space="0" w:color="E26B0A"/>
            </w:tcBorders>
            <w:shd w:val="clear" w:color="000000" w:fill="FDE9D9"/>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 </w:t>
            </w:r>
          </w:p>
        </w:tc>
      </w:tr>
      <w:tr w:rsidR="00A71A12" w:rsidRPr="00BB33FC" w:rsidTr="00A71A12">
        <w:trPr>
          <w:trHeight w:val="495"/>
        </w:trPr>
        <w:tc>
          <w:tcPr>
            <w:tcW w:w="387"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363" w:type="dxa"/>
            <w:vMerge/>
            <w:tcBorders>
              <w:top w:val="single" w:sz="8" w:space="0" w:color="E26B0A"/>
              <w:left w:val="single" w:sz="8" w:space="0" w:color="E26B0A"/>
              <w:bottom w:val="single" w:sz="8" w:space="0" w:color="E26B0A"/>
              <w:right w:val="single" w:sz="8" w:space="0" w:color="E26B0A"/>
            </w:tcBorders>
            <w:vAlign w:val="center"/>
            <w:hideMark/>
          </w:tcPr>
          <w:p w:rsidR="00A71A12" w:rsidRPr="00BB33FC" w:rsidRDefault="00A71A12" w:rsidP="00A71A12">
            <w:pPr>
              <w:rPr>
                <w:rFonts w:ascii="Arial" w:hAnsi="Arial" w:cs="Arial"/>
                <w:b/>
                <w:bCs/>
                <w:sz w:val="20"/>
                <w:szCs w:val="20"/>
              </w:rPr>
            </w:pPr>
          </w:p>
        </w:tc>
        <w:tc>
          <w:tcPr>
            <w:tcW w:w="4662" w:type="dxa"/>
            <w:gridSpan w:val="4"/>
            <w:tcBorders>
              <w:top w:val="nil"/>
              <w:left w:val="nil"/>
              <w:bottom w:val="nil"/>
              <w:right w:val="nil"/>
            </w:tcBorders>
            <w:shd w:val="clear" w:color="000000" w:fill="FDE9D9"/>
            <w:noWrap/>
            <w:hideMark/>
          </w:tcPr>
          <w:p w:rsidR="00A71A12" w:rsidRPr="00BB33FC" w:rsidRDefault="00A71A12" w:rsidP="00A71A12">
            <w:pPr>
              <w:rPr>
                <w:rFonts w:ascii="Arial" w:hAnsi="Arial" w:cs="Arial"/>
                <w:sz w:val="18"/>
                <w:szCs w:val="18"/>
              </w:rPr>
            </w:pPr>
            <w:r w:rsidRPr="00BB33FC">
              <w:rPr>
                <w:rFonts w:ascii="Arial" w:hAnsi="Arial" w:cs="Arial"/>
                <w:sz w:val="18"/>
                <w:szCs w:val="18"/>
              </w:rPr>
              <w:t>prechodné</w:t>
            </w:r>
          </w:p>
        </w:tc>
        <w:tc>
          <w:tcPr>
            <w:tcW w:w="1086" w:type="dxa"/>
            <w:gridSpan w:val="2"/>
            <w:tcBorders>
              <w:top w:val="nil"/>
              <w:left w:val="nil"/>
              <w:bottom w:val="nil"/>
              <w:right w:val="single" w:sz="4" w:space="0" w:color="A6A6A6"/>
            </w:tcBorders>
            <w:shd w:val="clear" w:color="000000" w:fill="FDE9D9"/>
            <w:noWrap/>
            <w:vAlign w:val="bottom"/>
            <w:hideMark/>
          </w:tcPr>
          <w:p w:rsidR="00A71A12" w:rsidRPr="00BB33FC" w:rsidRDefault="00A71A12" w:rsidP="00A71A12">
            <w:pPr>
              <w:jc w:val="right"/>
              <w:rPr>
                <w:rFonts w:ascii="Arial" w:hAnsi="Arial" w:cs="Arial"/>
                <w:i/>
                <w:iCs/>
                <w:color w:val="FF0000"/>
                <w:sz w:val="16"/>
                <w:szCs w:val="16"/>
              </w:rPr>
            </w:pPr>
            <w:r w:rsidRPr="00BB33FC">
              <w:rPr>
                <w:rFonts w:ascii="Arial" w:hAnsi="Arial" w:cs="Arial"/>
                <w:i/>
                <w:iCs/>
                <w:color w:val="FF0000"/>
                <w:sz w:val="16"/>
                <w:szCs w:val="16"/>
              </w:rPr>
              <w:t>check total %</w:t>
            </w:r>
          </w:p>
        </w:tc>
        <w:tc>
          <w:tcPr>
            <w:tcW w:w="863" w:type="dxa"/>
            <w:gridSpan w:val="2"/>
            <w:tcBorders>
              <w:top w:val="nil"/>
              <w:left w:val="nil"/>
              <w:bottom w:val="nil"/>
              <w:right w:val="single" w:sz="4" w:space="0" w:color="A6A6A6"/>
            </w:tcBorders>
            <w:shd w:val="clear" w:color="000000" w:fill="FDE9D9"/>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36,8</w:t>
            </w:r>
          </w:p>
        </w:tc>
        <w:tc>
          <w:tcPr>
            <w:tcW w:w="1674" w:type="dxa"/>
            <w:gridSpan w:val="2"/>
            <w:tcBorders>
              <w:top w:val="nil"/>
              <w:left w:val="nil"/>
              <w:bottom w:val="nil"/>
              <w:right w:val="single" w:sz="4" w:space="0" w:color="A6A6A6"/>
            </w:tcBorders>
            <w:shd w:val="clear" w:color="000000" w:fill="FDE9D9"/>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 z celkovej výmery</w:t>
            </w:r>
          </w:p>
        </w:tc>
        <w:tc>
          <w:tcPr>
            <w:tcW w:w="641" w:type="dxa"/>
            <w:gridSpan w:val="2"/>
            <w:tcBorders>
              <w:top w:val="nil"/>
              <w:left w:val="nil"/>
              <w:bottom w:val="nil"/>
              <w:right w:val="single" w:sz="4" w:space="0" w:color="A6A6A6"/>
            </w:tcBorders>
            <w:shd w:val="clear" w:color="000000" w:fill="FDE9D9"/>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2012</w:t>
            </w:r>
          </w:p>
        </w:tc>
        <w:tc>
          <w:tcPr>
            <w:tcW w:w="951" w:type="dxa"/>
            <w:tcBorders>
              <w:top w:val="nil"/>
              <w:left w:val="nil"/>
              <w:bottom w:val="nil"/>
              <w:right w:val="single" w:sz="8" w:space="0" w:color="E26B0A"/>
            </w:tcBorders>
            <w:shd w:val="clear" w:color="000000" w:fill="FDE9D9"/>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w:t>
            </w:r>
          </w:p>
        </w:tc>
      </w:tr>
      <w:tr w:rsidR="00A71A12" w:rsidRPr="00BB33FC" w:rsidTr="00A71A12">
        <w:trPr>
          <w:trHeight w:val="300"/>
        </w:trPr>
        <w:tc>
          <w:tcPr>
            <w:tcW w:w="387"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363" w:type="dxa"/>
            <w:vMerge/>
            <w:tcBorders>
              <w:top w:val="single" w:sz="8" w:space="0" w:color="E26B0A"/>
              <w:left w:val="single" w:sz="8" w:space="0" w:color="E26B0A"/>
              <w:bottom w:val="single" w:sz="8" w:space="0" w:color="E26B0A"/>
              <w:right w:val="single" w:sz="8" w:space="0" w:color="E26B0A"/>
            </w:tcBorders>
            <w:vAlign w:val="center"/>
            <w:hideMark/>
          </w:tcPr>
          <w:p w:rsidR="00A71A12" w:rsidRPr="00BB33FC" w:rsidRDefault="00A71A12" w:rsidP="00A71A12">
            <w:pPr>
              <w:rPr>
                <w:rFonts w:ascii="Arial" w:hAnsi="Arial" w:cs="Arial"/>
                <w:b/>
                <w:bCs/>
                <w:sz w:val="20"/>
                <w:szCs w:val="20"/>
              </w:rPr>
            </w:pPr>
          </w:p>
        </w:tc>
        <w:tc>
          <w:tcPr>
            <w:tcW w:w="4662" w:type="dxa"/>
            <w:gridSpan w:val="4"/>
            <w:tcBorders>
              <w:top w:val="nil"/>
              <w:left w:val="nil"/>
              <w:bottom w:val="nil"/>
              <w:right w:val="nil"/>
            </w:tcBorders>
            <w:shd w:val="clear" w:color="000000" w:fill="FDE9D9"/>
            <w:hideMark/>
          </w:tcPr>
          <w:p w:rsidR="00A71A12" w:rsidRPr="00BB33FC" w:rsidRDefault="00A71A12" w:rsidP="00A71A12">
            <w:pPr>
              <w:rPr>
                <w:rFonts w:ascii="Arial" w:hAnsi="Arial" w:cs="Arial"/>
                <w:sz w:val="18"/>
                <w:szCs w:val="18"/>
              </w:rPr>
            </w:pPr>
            <w:r w:rsidRPr="00BB33FC">
              <w:rPr>
                <w:rFonts w:ascii="Arial" w:hAnsi="Arial" w:cs="Arial"/>
                <w:sz w:val="18"/>
                <w:szCs w:val="18"/>
              </w:rPr>
              <w:t> </w:t>
            </w:r>
          </w:p>
        </w:tc>
        <w:tc>
          <w:tcPr>
            <w:tcW w:w="1086" w:type="dxa"/>
            <w:gridSpan w:val="2"/>
            <w:tcBorders>
              <w:top w:val="nil"/>
              <w:left w:val="nil"/>
              <w:bottom w:val="nil"/>
              <w:right w:val="single" w:sz="4" w:space="0" w:color="A6A6A6"/>
            </w:tcBorders>
            <w:shd w:val="clear" w:color="000000" w:fill="FDE9D9"/>
            <w:noWrap/>
            <w:vAlign w:val="bottom"/>
            <w:hideMark/>
          </w:tcPr>
          <w:p w:rsidR="00A71A12" w:rsidRPr="00BB33FC" w:rsidRDefault="00A71A12" w:rsidP="00A71A12">
            <w:pPr>
              <w:jc w:val="right"/>
              <w:rPr>
                <w:rFonts w:ascii="Arial" w:hAnsi="Arial" w:cs="Arial"/>
                <w:i/>
                <w:iCs/>
                <w:color w:val="E26B0A"/>
                <w:sz w:val="16"/>
                <w:szCs w:val="16"/>
              </w:rPr>
            </w:pPr>
            <w:r w:rsidRPr="00BB33FC">
              <w:rPr>
                <w:rFonts w:ascii="Arial" w:hAnsi="Arial" w:cs="Arial"/>
                <w:i/>
                <w:iCs/>
                <w:color w:val="E26B0A"/>
                <w:sz w:val="16"/>
                <w:szCs w:val="16"/>
              </w:rPr>
              <w:t> </w:t>
            </w:r>
          </w:p>
        </w:tc>
        <w:tc>
          <w:tcPr>
            <w:tcW w:w="863" w:type="dxa"/>
            <w:gridSpan w:val="2"/>
            <w:tcBorders>
              <w:top w:val="nil"/>
              <w:left w:val="nil"/>
              <w:bottom w:val="nil"/>
              <w:right w:val="single" w:sz="4" w:space="0" w:color="A6A6A6"/>
            </w:tcBorders>
            <w:shd w:val="clear" w:color="000000" w:fill="FDE9D9"/>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 </w:t>
            </w:r>
          </w:p>
        </w:tc>
        <w:tc>
          <w:tcPr>
            <w:tcW w:w="1674" w:type="dxa"/>
            <w:gridSpan w:val="2"/>
            <w:tcBorders>
              <w:top w:val="nil"/>
              <w:left w:val="nil"/>
              <w:bottom w:val="nil"/>
              <w:right w:val="single" w:sz="4" w:space="0" w:color="A6A6A6"/>
            </w:tcBorders>
            <w:shd w:val="clear" w:color="000000" w:fill="FDE9D9"/>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 </w:t>
            </w:r>
          </w:p>
        </w:tc>
        <w:tc>
          <w:tcPr>
            <w:tcW w:w="641" w:type="dxa"/>
            <w:gridSpan w:val="2"/>
            <w:tcBorders>
              <w:top w:val="nil"/>
              <w:left w:val="nil"/>
              <w:bottom w:val="nil"/>
              <w:right w:val="single" w:sz="4" w:space="0" w:color="A6A6A6"/>
            </w:tcBorders>
            <w:shd w:val="clear" w:color="000000" w:fill="FDE9D9"/>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 </w:t>
            </w:r>
          </w:p>
        </w:tc>
        <w:tc>
          <w:tcPr>
            <w:tcW w:w="951" w:type="dxa"/>
            <w:tcBorders>
              <w:top w:val="nil"/>
              <w:left w:val="nil"/>
              <w:bottom w:val="nil"/>
              <w:right w:val="single" w:sz="8" w:space="0" w:color="E26B0A"/>
            </w:tcBorders>
            <w:shd w:val="clear" w:color="000000" w:fill="FDE9D9"/>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 </w:t>
            </w:r>
          </w:p>
        </w:tc>
      </w:tr>
      <w:tr w:rsidR="00A71A12" w:rsidRPr="00BB33FC" w:rsidTr="00A71A12">
        <w:trPr>
          <w:trHeight w:val="510"/>
        </w:trPr>
        <w:tc>
          <w:tcPr>
            <w:tcW w:w="387"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363" w:type="dxa"/>
            <w:vMerge/>
            <w:tcBorders>
              <w:top w:val="single" w:sz="8" w:space="0" w:color="E26B0A"/>
              <w:left w:val="single" w:sz="8" w:space="0" w:color="E26B0A"/>
              <w:bottom w:val="single" w:sz="8" w:space="0" w:color="E26B0A"/>
              <w:right w:val="single" w:sz="8" w:space="0" w:color="E26B0A"/>
            </w:tcBorders>
            <w:vAlign w:val="center"/>
            <w:hideMark/>
          </w:tcPr>
          <w:p w:rsidR="00A71A12" w:rsidRPr="00BB33FC" w:rsidRDefault="00A71A12" w:rsidP="00A71A12">
            <w:pPr>
              <w:rPr>
                <w:rFonts w:ascii="Arial" w:hAnsi="Arial" w:cs="Arial"/>
                <w:b/>
                <w:bCs/>
                <w:sz w:val="20"/>
                <w:szCs w:val="20"/>
              </w:rPr>
            </w:pPr>
          </w:p>
        </w:tc>
        <w:tc>
          <w:tcPr>
            <w:tcW w:w="4662" w:type="dxa"/>
            <w:gridSpan w:val="4"/>
            <w:tcBorders>
              <w:top w:val="nil"/>
              <w:left w:val="nil"/>
              <w:bottom w:val="nil"/>
              <w:right w:val="nil"/>
            </w:tcBorders>
            <w:shd w:val="clear" w:color="000000" w:fill="FDE9D9"/>
            <w:hideMark/>
          </w:tcPr>
          <w:p w:rsidR="00A71A12" w:rsidRPr="00BB33FC" w:rsidRDefault="00A71A12" w:rsidP="00A71A12">
            <w:pPr>
              <w:rPr>
                <w:rFonts w:ascii="Arial" w:hAnsi="Arial" w:cs="Arial"/>
                <w:sz w:val="18"/>
                <w:szCs w:val="18"/>
              </w:rPr>
            </w:pPr>
            <w:r w:rsidRPr="00BB33FC">
              <w:rPr>
                <w:rFonts w:ascii="Arial" w:hAnsi="Arial" w:cs="Arial"/>
                <w:sz w:val="18"/>
                <w:szCs w:val="18"/>
              </w:rPr>
              <w:t>mestské</w:t>
            </w:r>
          </w:p>
        </w:tc>
        <w:tc>
          <w:tcPr>
            <w:tcW w:w="1086" w:type="dxa"/>
            <w:gridSpan w:val="2"/>
            <w:tcBorders>
              <w:top w:val="nil"/>
              <w:left w:val="nil"/>
              <w:bottom w:val="single" w:sz="8" w:space="0" w:color="E26B0A"/>
              <w:right w:val="single" w:sz="4" w:space="0" w:color="A6A6A6"/>
            </w:tcBorders>
            <w:shd w:val="clear" w:color="000000" w:fill="FDE9D9"/>
            <w:noWrap/>
            <w:vAlign w:val="bottom"/>
            <w:hideMark/>
          </w:tcPr>
          <w:p w:rsidR="00A71A12" w:rsidRPr="00BB33FC" w:rsidRDefault="00A71A12" w:rsidP="00A71A12">
            <w:pPr>
              <w:jc w:val="right"/>
              <w:rPr>
                <w:rFonts w:ascii="Arial" w:hAnsi="Arial" w:cs="Arial"/>
                <w:i/>
                <w:iCs/>
                <w:color w:val="FF0000"/>
                <w:sz w:val="16"/>
                <w:szCs w:val="16"/>
              </w:rPr>
            </w:pPr>
            <w:r w:rsidRPr="00BB33FC">
              <w:rPr>
                <w:rFonts w:ascii="Arial" w:hAnsi="Arial" w:cs="Arial"/>
                <w:i/>
                <w:iCs/>
                <w:color w:val="FF0000"/>
                <w:sz w:val="16"/>
                <w:szCs w:val="16"/>
              </w:rPr>
              <w:t>100,0</w:t>
            </w:r>
          </w:p>
        </w:tc>
        <w:tc>
          <w:tcPr>
            <w:tcW w:w="863" w:type="dxa"/>
            <w:gridSpan w:val="2"/>
            <w:tcBorders>
              <w:top w:val="nil"/>
              <w:left w:val="nil"/>
              <w:bottom w:val="single" w:sz="8" w:space="0" w:color="E26B0A"/>
              <w:right w:val="single" w:sz="4" w:space="0" w:color="A6A6A6"/>
            </w:tcBorders>
            <w:shd w:val="clear" w:color="000000" w:fill="FDE9D9"/>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4,2</w:t>
            </w:r>
          </w:p>
        </w:tc>
        <w:tc>
          <w:tcPr>
            <w:tcW w:w="1674" w:type="dxa"/>
            <w:gridSpan w:val="2"/>
            <w:tcBorders>
              <w:top w:val="nil"/>
              <w:left w:val="nil"/>
              <w:bottom w:val="single" w:sz="8" w:space="0" w:color="E26B0A"/>
              <w:right w:val="single" w:sz="4" w:space="0" w:color="A6A6A6"/>
            </w:tcBorders>
            <w:shd w:val="clear" w:color="000000" w:fill="FDE9D9"/>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 z celkovej výmery</w:t>
            </w:r>
          </w:p>
        </w:tc>
        <w:tc>
          <w:tcPr>
            <w:tcW w:w="641" w:type="dxa"/>
            <w:gridSpan w:val="2"/>
            <w:tcBorders>
              <w:top w:val="nil"/>
              <w:left w:val="nil"/>
              <w:bottom w:val="single" w:sz="8" w:space="0" w:color="E26B0A"/>
              <w:right w:val="single" w:sz="4" w:space="0" w:color="A6A6A6"/>
            </w:tcBorders>
            <w:shd w:val="clear" w:color="000000" w:fill="FDE9D9"/>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2012</w:t>
            </w:r>
          </w:p>
        </w:tc>
        <w:tc>
          <w:tcPr>
            <w:tcW w:w="951" w:type="dxa"/>
            <w:tcBorders>
              <w:top w:val="nil"/>
              <w:left w:val="nil"/>
              <w:bottom w:val="single" w:sz="8" w:space="0" w:color="E26B0A"/>
              <w:right w:val="single" w:sz="8" w:space="0" w:color="E26B0A"/>
            </w:tcBorders>
            <w:shd w:val="clear" w:color="000000" w:fill="FDE9D9"/>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w:t>
            </w:r>
          </w:p>
        </w:tc>
      </w:tr>
      <w:tr w:rsidR="00A71A12" w:rsidRPr="00BB33FC" w:rsidTr="00A71A12">
        <w:trPr>
          <w:trHeight w:val="300"/>
        </w:trPr>
        <w:tc>
          <w:tcPr>
            <w:tcW w:w="387"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363" w:type="dxa"/>
            <w:vMerge w:val="restart"/>
            <w:tcBorders>
              <w:top w:val="nil"/>
              <w:left w:val="single" w:sz="8" w:space="0" w:color="E26B0A"/>
              <w:bottom w:val="single" w:sz="8" w:space="0" w:color="E26B0A"/>
              <w:right w:val="single" w:sz="8" w:space="0" w:color="E26B0A"/>
            </w:tcBorders>
            <w:shd w:val="clear" w:color="auto" w:fill="auto"/>
            <w:noWrap/>
            <w:hideMark/>
          </w:tcPr>
          <w:p w:rsidR="00A71A12" w:rsidRPr="00BB33FC" w:rsidRDefault="00A71A12" w:rsidP="00A71A12">
            <w:pPr>
              <w:rPr>
                <w:rFonts w:ascii="Arial" w:hAnsi="Arial" w:cs="Arial"/>
                <w:b/>
                <w:bCs/>
                <w:sz w:val="20"/>
                <w:szCs w:val="20"/>
              </w:rPr>
            </w:pPr>
            <w:r w:rsidRPr="00BB33FC">
              <w:rPr>
                <w:rFonts w:ascii="Arial" w:hAnsi="Arial" w:cs="Arial"/>
                <w:b/>
                <w:bCs/>
                <w:sz w:val="20"/>
                <w:szCs w:val="20"/>
              </w:rPr>
              <w:t>4</w:t>
            </w:r>
          </w:p>
        </w:tc>
        <w:tc>
          <w:tcPr>
            <w:tcW w:w="9877" w:type="dxa"/>
            <w:gridSpan w:val="13"/>
            <w:tcBorders>
              <w:top w:val="single" w:sz="8" w:space="0" w:color="E26B0A"/>
              <w:left w:val="nil"/>
              <w:bottom w:val="nil"/>
              <w:right w:val="single" w:sz="8" w:space="0" w:color="E26B0A"/>
            </w:tcBorders>
            <w:shd w:val="clear" w:color="000000" w:fill="FFFFFF"/>
            <w:noWrap/>
            <w:vAlign w:val="bottom"/>
            <w:hideMark/>
          </w:tcPr>
          <w:p w:rsidR="00A71A12" w:rsidRPr="00BB33FC" w:rsidRDefault="00A71A12" w:rsidP="00A71A12">
            <w:pPr>
              <w:rPr>
                <w:rFonts w:ascii="Arial" w:hAnsi="Arial" w:cs="Arial"/>
                <w:b/>
                <w:bCs/>
                <w:i/>
                <w:iCs/>
                <w:sz w:val="20"/>
                <w:szCs w:val="20"/>
              </w:rPr>
            </w:pPr>
            <w:r w:rsidRPr="00BB33FC">
              <w:rPr>
                <w:rFonts w:ascii="Arial" w:hAnsi="Arial" w:cs="Arial"/>
                <w:b/>
                <w:bCs/>
                <w:i/>
                <w:iCs/>
                <w:sz w:val="20"/>
                <w:szCs w:val="20"/>
              </w:rPr>
              <w:t>Hustota obyvateľov</w:t>
            </w:r>
          </w:p>
        </w:tc>
      </w:tr>
      <w:tr w:rsidR="00A71A12" w:rsidRPr="00BB33FC" w:rsidTr="00A71A12">
        <w:trPr>
          <w:trHeight w:val="495"/>
        </w:trPr>
        <w:tc>
          <w:tcPr>
            <w:tcW w:w="387"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363" w:type="dxa"/>
            <w:vMerge/>
            <w:tcBorders>
              <w:top w:val="nil"/>
              <w:left w:val="single" w:sz="8" w:space="0" w:color="E26B0A"/>
              <w:bottom w:val="single" w:sz="8" w:space="0" w:color="E26B0A"/>
              <w:right w:val="single" w:sz="8" w:space="0" w:color="E26B0A"/>
            </w:tcBorders>
            <w:vAlign w:val="center"/>
            <w:hideMark/>
          </w:tcPr>
          <w:p w:rsidR="00A71A12" w:rsidRPr="00BB33FC" w:rsidRDefault="00A71A12" w:rsidP="00A71A12">
            <w:pPr>
              <w:rPr>
                <w:rFonts w:ascii="Arial" w:hAnsi="Arial" w:cs="Arial"/>
                <w:b/>
                <w:bCs/>
                <w:sz w:val="20"/>
                <w:szCs w:val="20"/>
              </w:rPr>
            </w:pPr>
          </w:p>
        </w:tc>
        <w:tc>
          <w:tcPr>
            <w:tcW w:w="5748" w:type="dxa"/>
            <w:gridSpan w:val="6"/>
            <w:tcBorders>
              <w:top w:val="single" w:sz="4" w:space="0" w:color="A6A6A6"/>
              <w:left w:val="nil"/>
              <w:bottom w:val="single" w:sz="4" w:space="0" w:color="A6A6A6"/>
              <w:right w:val="single" w:sz="4" w:space="0" w:color="A6A6A6"/>
            </w:tcBorders>
            <w:shd w:val="clear" w:color="000000" w:fill="FCD5B4"/>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celková</w:t>
            </w:r>
          </w:p>
        </w:tc>
        <w:tc>
          <w:tcPr>
            <w:tcW w:w="863" w:type="dxa"/>
            <w:gridSpan w:val="2"/>
            <w:tcBorders>
              <w:top w:val="single" w:sz="4" w:space="0" w:color="A6A6A6"/>
              <w:left w:val="nil"/>
              <w:bottom w:val="single" w:sz="4" w:space="0" w:color="A6A6A6"/>
              <w:right w:val="single" w:sz="4" w:space="0" w:color="A6A6A6"/>
            </w:tcBorders>
            <w:shd w:val="clear" w:color="000000" w:fill="FCD5B4"/>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110,1</w:t>
            </w:r>
          </w:p>
        </w:tc>
        <w:tc>
          <w:tcPr>
            <w:tcW w:w="1674" w:type="dxa"/>
            <w:gridSpan w:val="2"/>
            <w:tcBorders>
              <w:top w:val="single" w:sz="4" w:space="0" w:color="A6A6A6"/>
              <w:left w:val="nil"/>
              <w:bottom w:val="single" w:sz="4" w:space="0" w:color="A6A6A6"/>
              <w:right w:val="single" w:sz="4" w:space="0" w:color="A6A6A6"/>
            </w:tcBorders>
            <w:shd w:val="clear" w:color="000000" w:fill="FCD5B4"/>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počet obyv. na km2</w:t>
            </w:r>
          </w:p>
        </w:tc>
        <w:tc>
          <w:tcPr>
            <w:tcW w:w="641" w:type="dxa"/>
            <w:gridSpan w:val="2"/>
            <w:tcBorders>
              <w:top w:val="single" w:sz="4" w:space="0" w:color="A6A6A6"/>
              <w:left w:val="nil"/>
              <w:bottom w:val="single" w:sz="4" w:space="0" w:color="A6A6A6"/>
              <w:right w:val="single" w:sz="4" w:space="0" w:color="A6A6A6"/>
            </w:tcBorders>
            <w:shd w:val="clear" w:color="000000" w:fill="FCD5B4"/>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2011</w:t>
            </w:r>
          </w:p>
        </w:tc>
        <w:tc>
          <w:tcPr>
            <w:tcW w:w="951" w:type="dxa"/>
            <w:tcBorders>
              <w:top w:val="single" w:sz="4" w:space="0" w:color="A6A6A6"/>
              <w:left w:val="nil"/>
              <w:bottom w:val="single" w:sz="4" w:space="0" w:color="A6A6A6"/>
              <w:right w:val="single" w:sz="8" w:space="0" w:color="E26B0A"/>
            </w:tcBorders>
            <w:shd w:val="clear" w:color="000000" w:fill="FCD5B4"/>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w:t>
            </w:r>
          </w:p>
        </w:tc>
      </w:tr>
      <w:tr w:rsidR="00A71A12" w:rsidRPr="00BB33FC" w:rsidTr="00A71A12">
        <w:trPr>
          <w:trHeight w:val="510"/>
        </w:trPr>
        <w:tc>
          <w:tcPr>
            <w:tcW w:w="387"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363" w:type="dxa"/>
            <w:vMerge/>
            <w:tcBorders>
              <w:top w:val="nil"/>
              <w:left w:val="single" w:sz="8" w:space="0" w:color="E26B0A"/>
              <w:bottom w:val="single" w:sz="8" w:space="0" w:color="E26B0A"/>
              <w:right w:val="single" w:sz="8" w:space="0" w:color="E26B0A"/>
            </w:tcBorders>
            <w:vAlign w:val="center"/>
            <w:hideMark/>
          </w:tcPr>
          <w:p w:rsidR="00A71A12" w:rsidRPr="00BB33FC" w:rsidRDefault="00A71A12" w:rsidP="00A71A12">
            <w:pPr>
              <w:rPr>
                <w:rFonts w:ascii="Arial" w:hAnsi="Arial" w:cs="Arial"/>
                <w:b/>
                <w:bCs/>
                <w:sz w:val="20"/>
                <w:szCs w:val="20"/>
              </w:rPr>
            </w:pPr>
          </w:p>
        </w:tc>
        <w:tc>
          <w:tcPr>
            <w:tcW w:w="5748" w:type="dxa"/>
            <w:gridSpan w:val="6"/>
            <w:tcBorders>
              <w:top w:val="nil"/>
              <w:left w:val="nil"/>
              <w:bottom w:val="single" w:sz="8" w:space="0" w:color="E26B0A"/>
              <w:right w:val="single" w:sz="4" w:space="0" w:color="A6A6A6"/>
            </w:tcBorders>
            <w:shd w:val="clear" w:color="000000" w:fill="FDE9D9"/>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na vidieku</w:t>
            </w:r>
          </w:p>
        </w:tc>
        <w:tc>
          <w:tcPr>
            <w:tcW w:w="863" w:type="dxa"/>
            <w:gridSpan w:val="2"/>
            <w:tcBorders>
              <w:top w:val="nil"/>
              <w:left w:val="nil"/>
              <w:bottom w:val="single" w:sz="8" w:space="0" w:color="E26B0A"/>
              <w:right w:val="single" w:sz="4" w:space="0" w:color="A6A6A6"/>
            </w:tcBorders>
            <w:shd w:val="clear" w:color="000000" w:fill="FDE9D9"/>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94,1</w:t>
            </w:r>
          </w:p>
        </w:tc>
        <w:tc>
          <w:tcPr>
            <w:tcW w:w="1674" w:type="dxa"/>
            <w:gridSpan w:val="2"/>
            <w:tcBorders>
              <w:top w:val="nil"/>
              <w:left w:val="nil"/>
              <w:bottom w:val="single" w:sz="8" w:space="0" w:color="E26B0A"/>
              <w:right w:val="single" w:sz="4" w:space="0" w:color="A6A6A6"/>
            </w:tcBorders>
            <w:shd w:val="clear" w:color="000000" w:fill="FDE9D9"/>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počet obyv. na km2</w:t>
            </w:r>
          </w:p>
        </w:tc>
        <w:tc>
          <w:tcPr>
            <w:tcW w:w="641" w:type="dxa"/>
            <w:gridSpan w:val="2"/>
            <w:tcBorders>
              <w:top w:val="nil"/>
              <w:left w:val="nil"/>
              <w:bottom w:val="single" w:sz="8" w:space="0" w:color="E26B0A"/>
              <w:right w:val="single" w:sz="4" w:space="0" w:color="A6A6A6"/>
            </w:tcBorders>
            <w:shd w:val="clear" w:color="000000" w:fill="FDE9D9"/>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2011</w:t>
            </w:r>
          </w:p>
        </w:tc>
        <w:tc>
          <w:tcPr>
            <w:tcW w:w="951" w:type="dxa"/>
            <w:tcBorders>
              <w:top w:val="nil"/>
              <w:left w:val="nil"/>
              <w:bottom w:val="single" w:sz="8" w:space="0" w:color="E26B0A"/>
              <w:right w:val="single" w:sz="8" w:space="0" w:color="E26B0A"/>
            </w:tcBorders>
            <w:shd w:val="clear" w:color="000000" w:fill="FDE9D9"/>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w:t>
            </w:r>
          </w:p>
        </w:tc>
      </w:tr>
      <w:tr w:rsidR="00A71A12" w:rsidRPr="00BB33FC" w:rsidTr="00A71A12">
        <w:trPr>
          <w:trHeight w:val="300"/>
        </w:trPr>
        <w:tc>
          <w:tcPr>
            <w:tcW w:w="387"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363" w:type="dxa"/>
            <w:vMerge w:val="restart"/>
            <w:tcBorders>
              <w:top w:val="nil"/>
              <w:left w:val="single" w:sz="8" w:space="0" w:color="E26B0A"/>
              <w:bottom w:val="single" w:sz="8" w:space="0" w:color="E26B0A"/>
              <w:right w:val="single" w:sz="8" w:space="0" w:color="E26B0A"/>
            </w:tcBorders>
            <w:shd w:val="clear" w:color="auto" w:fill="auto"/>
            <w:noWrap/>
            <w:hideMark/>
          </w:tcPr>
          <w:p w:rsidR="00A71A12" w:rsidRPr="00BB33FC" w:rsidRDefault="00A71A12" w:rsidP="00A71A12">
            <w:pPr>
              <w:rPr>
                <w:rFonts w:ascii="Arial" w:hAnsi="Arial" w:cs="Arial"/>
                <w:b/>
                <w:bCs/>
                <w:sz w:val="20"/>
                <w:szCs w:val="20"/>
              </w:rPr>
            </w:pPr>
            <w:r w:rsidRPr="00BB33FC">
              <w:rPr>
                <w:rFonts w:ascii="Arial" w:hAnsi="Arial" w:cs="Arial"/>
                <w:b/>
                <w:bCs/>
                <w:sz w:val="20"/>
                <w:szCs w:val="20"/>
              </w:rPr>
              <w:t>5</w:t>
            </w:r>
          </w:p>
        </w:tc>
        <w:tc>
          <w:tcPr>
            <w:tcW w:w="9877" w:type="dxa"/>
            <w:gridSpan w:val="13"/>
            <w:tcBorders>
              <w:top w:val="single" w:sz="8" w:space="0" w:color="E26B0A"/>
              <w:left w:val="nil"/>
              <w:bottom w:val="single" w:sz="4" w:space="0" w:color="A6A6A6"/>
              <w:right w:val="single" w:sz="8" w:space="0" w:color="E26B0A"/>
            </w:tcBorders>
            <w:shd w:val="clear" w:color="000000" w:fill="FFFFFF"/>
            <w:noWrap/>
            <w:vAlign w:val="bottom"/>
            <w:hideMark/>
          </w:tcPr>
          <w:p w:rsidR="00A71A12" w:rsidRPr="00BB33FC" w:rsidRDefault="00A71A12" w:rsidP="00A71A12">
            <w:pPr>
              <w:rPr>
                <w:rFonts w:ascii="Arial" w:hAnsi="Arial" w:cs="Arial"/>
                <w:b/>
                <w:bCs/>
                <w:i/>
                <w:iCs/>
                <w:sz w:val="20"/>
                <w:szCs w:val="20"/>
              </w:rPr>
            </w:pPr>
            <w:r w:rsidRPr="00BB33FC">
              <w:rPr>
                <w:rFonts w:ascii="Arial" w:hAnsi="Arial" w:cs="Arial"/>
                <w:b/>
                <w:bCs/>
                <w:i/>
                <w:iCs/>
                <w:sz w:val="20"/>
                <w:szCs w:val="20"/>
              </w:rPr>
              <w:t>Miera zamestnanosti</w:t>
            </w:r>
          </w:p>
        </w:tc>
      </w:tr>
      <w:tr w:rsidR="00A71A12" w:rsidRPr="00BB33FC" w:rsidTr="00A71A12">
        <w:trPr>
          <w:trHeight w:val="300"/>
        </w:trPr>
        <w:tc>
          <w:tcPr>
            <w:tcW w:w="387"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363" w:type="dxa"/>
            <w:vMerge/>
            <w:tcBorders>
              <w:top w:val="nil"/>
              <w:left w:val="single" w:sz="8" w:space="0" w:color="E26B0A"/>
              <w:bottom w:val="single" w:sz="8" w:space="0" w:color="E26B0A"/>
              <w:right w:val="single" w:sz="8" w:space="0" w:color="E26B0A"/>
            </w:tcBorders>
            <w:vAlign w:val="center"/>
            <w:hideMark/>
          </w:tcPr>
          <w:p w:rsidR="00A71A12" w:rsidRPr="00BB33FC" w:rsidRDefault="00A71A12" w:rsidP="00A71A12">
            <w:pPr>
              <w:rPr>
                <w:rFonts w:ascii="Arial" w:hAnsi="Arial" w:cs="Arial"/>
                <w:b/>
                <w:bCs/>
                <w:sz w:val="20"/>
                <w:szCs w:val="20"/>
              </w:rPr>
            </w:pPr>
          </w:p>
        </w:tc>
        <w:tc>
          <w:tcPr>
            <w:tcW w:w="5748" w:type="dxa"/>
            <w:gridSpan w:val="6"/>
            <w:tcBorders>
              <w:top w:val="single" w:sz="4" w:space="0" w:color="A6A6A6"/>
              <w:left w:val="nil"/>
              <w:bottom w:val="single" w:sz="4" w:space="0" w:color="A6A6A6"/>
              <w:right w:val="single" w:sz="4" w:space="0" w:color="A6A6A6"/>
            </w:tcBorders>
            <w:shd w:val="clear" w:color="000000" w:fill="FCD5B4"/>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celkom (15-64r.)</w:t>
            </w:r>
          </w:p>
        </w:tc>
        <w:tc>
          <w:tcPr>
            <w:tcW w:w="863" w:type="dxa"/>
            <w:gridSpan w:val="2"/>
            <w:tcBorders>
              <w:top w:val="nil"/>
              <w:left w:val="nil"/>
              <w:bottom w:val="single" w:sz="4" w:space="0" w:color="A6A6A6"/>
              <w:right w:val="single" w:sz="4" w:space="0" w:color="A6A6A6"/>
            </w:tcBorders>
            <w:shd w:val="clear" w:color="000000" w:fill="FCD5B4"/>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59,</w:t>
            </w:r>
            <w:r>
              <w:rPr>
                <w:rFonts w:ascii="Arial" w:hAnsi="Arial" w:cs="Arial"/>
                <w:sz w:val="18"/>
                <w:szCs w:val="18"/>
              </w:rPr>
              <w:t>7</w:t>
            </w:r>
          </w:p>
        </w:tc>
        <w:tc>
          <w:tcPr>
            <w:tcW w:w="1674" w:type="dxa"/>
            <w:gridSpan w:val="2"/>
            <w:tcBorders>
              <w:top w:val="nil"/>
              <w:left w:val="nil"/>
              <w:bottom w:val="single" w:sz="4" w:space="0" w:color="A6A6A6"/>
              <w:right w:val="single" w:sz="4" w:space="0" w:color="A6A6A6"/>
            </w:tcBorders>
            <w:shd w:val="clear" w:color="000000" w:fill="FCD5B4"/>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w:t>
            </w:r>
          </w:p>
        </w:tc>
        <w:tc>
          <w:tcPr>
            <w:tcW w:w="641" w:type="dxa"/>
            <w:gridSpan w:val="2"/>
            <w:tcBorders>
              <w:top w:val="nil"/>
              <w:left w:val="nil"/>
              <w:bottom w:val="single" w:sz="4" w:space="0" w:color="A6A6A6"/>
              <w:right w:val="single" w:sz="4" w:space="0" w:color="A6A6A6"/>
            </w:tcBorders>
            <w:shd w:val="clear" w:color="000000" w:fill="FCD5B4"/>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2012</w:t>
            </w:r>
          </w:p>
        </w:tc>
        <w:tc>
          <w:tcPr>
            <w:tcW w:w="951" w:type="dxa"/>
            <w:tcBorders>
              <w:top w:val="nil"/>
              <w:left w:val="nil"/>
              <w:bottom w:val="single" w:sz="4" w:space="0" w:color="A6A6A6"/>
              <w:right w:val="single" w:sz="8" w:space="0" w:color="E26B0A"/>
            </w:tcBorders>
            <w:shd w:val="clear" w:color="000000" w:fill="FCD5B4"/>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w:t>
            </w:r>
          </w:p>
        </w:tc>
      </w:tr>
      <w:tr w:rsidR="00A71A12" w:rsidRPr="00BB33FC" w:rsidTr="00A71A12">
        <w:trPr>
          <w:trHeight w:val="300"/>
        </w:trPr>
        <w:tc>
          <w:tcPr>
            <w:tcW w:w="387"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363" w:type="dxa"/>
            <w:vMerge/>
            <w:tcBorders>
              <w:top w:val="nil"/>
              <w:left w:val="single" w:sz="8" w:space="0" w:color="E26B0A"/>
              <w:bottom w:val="single" w:sz="8" w:space="0" w:color="E26B0A"/>
              <w:right w:val="single" w:sz="8" w:space="0" w:color="E26B0A"/>
            </w:tcBorders>
            <w:vAlign w:val="center"/>
            <w:hideMark/>
          </w:tcPr>
          <w:p w:rsidR="00A71A12" w:rsidRPr="00BB33FC" w:rsidRDefault="00A71A12" w:rsidP="00A71A12">
            <w:pPr>
              <w:rPr>
                <w:rFonts w:ascii="Arial" w:hAnsi="Arial" w:cs="Arial"/>
                <w:b/>
                <w:bCs/>
                <w:sz w:val="20"/>
                <w:szCs w:val="20"/>
              </w:rPr>
            </w:pPr>
          </w:p>
        </w:tc>
        <w:tc>
          <w:tcPr>
            <w:tcW w:w="5748" w:type="dxa"/>
            <w:gridSpan w:val="6"/>
            <w:tcBorders>
              <w:top w:val="nil"/>
              <w:left w:val="nil"/>
              <w:bottom w:val="nil"/>
              <w:right w:val="single" w:sz="4" w:space="0" w:color="A6A6A6"/>
            </w:tcBorders>
            <w:shd w:val="clear" w:color="000000" w:fill="FDE9D9"/>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muži (15-64 r.)</w:t>
            </w:r>
          </w:p>
        </w:tc>
        <w:tc>
          <w:tcPr>
            <w:tcW w:w="863" w:type="dxa"/>
            <w:gridSpan w:val="2"/>
            <w:tcBorders>
              <w:top w:val="nil"/>
              <w:left w:val="nil"/>
              <w:bottom w:val="nil"/>
              <w:right w:val="single" w:sz="4" w:space="0" w:color="A6A6A6"/>
            </w:tcBorders>
            <w:shd w:val="clear" w:color="000000" w:fill="FDE9D9"/>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66,</w:t>
            </w:r>
            <w:r>
              <w:rPr>
                <w:rFonts w:ascii="Arial" w:hAnsi="Arial" w:cs="Arial"/>
                <w:sz w:val="18"/>
                <w:szCs w:val="18"/>
              </w:rPr>
              <w:t>7</w:t>
            </w:r>
          </w:p>
        </w:tc>
        <w:tc>
          <w:tcPr>
            <w:tcW w:w="1674" w:type="dxa"/>
            <w:gridSpan w:val="2"/>
            <w:tcBorders>
              <w:top w:val="nil"/>
              <w:left w:val="nil"/>
              <w:bottom w:val="nil"/>
              <w:right w:val="single" w:sz="4" w:space="0" w:color="A6A6A6"/>
            </w:tcBorders>
            <w:shd w:val="clear" w:color="000000" w:fill="FDE9D9"/>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w:t>
            </w:r>
          </w:p>
        </w:tc>
        <w:tc>
          <w:tcPr>
            <w:tcW w:w="641" w:type="dxa"/>
            <w:gridSpan w:val="2"/>
            <w:tcBorders>
              <w:top w:val="nil"/>
              <w:left w:val="nil"/>
              <w:bottom w:val="nil"/>
              <w:right w:val="single" w:sz="4" w:space="0" w:color="A6A6A6"/>
            </w:tcBorders>
            <w:shd w:val="clear" w:color="000000" w:fill="FDE9D9"/>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2012</w:t>
            </w:r>
          </w:p>
        </w:tc>
        <w:tc>
          <w:tcPr>
            <w:tcW w:w="951" w:type="dxa"/>
            <w:tcBorders>
              <w:top w:val="nil"/>
              <w:left w:val="nil"/>
              <w:bottom w:val="nil"/>
              <w:right w:val="single" w:sz="8" w:space="0" w:color="E26B0A"/>
            </w:tcBorders>
            <w:shd w:val="clear" w:color="000000" w:fill="FDE9D9"/>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w:t>
            </w:r>
          </w:p>
        </w:tc>
      </w:tr>
      <w:tr w:rsidR="00A71A12" w:rsidRPr="00BB33FC" w:rsidTr="00A71A12">
        <w:trPr>
          <w:trHeight w:val="300"/>
        </w:trPr>
        <w:tc>
          <w:tcPr>
            <w:tcW w:w="387"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363" w:type="dxa"/>
            <w:vMerge/>
            <w:tcBorders>
              <w:top w:val="nil"/>
              <w:left w:val="single" w:sz="8" w:space="0" w:color="E26B0A"/>
              <w:bottom w:val="single" w:sz="8" w:space="0" w:color="E26B0A"/>
              <w:right w:val="single" w:sz="8" w:space="0" w:color="E26B0A"/>
            </w:tcBorders>
            <w:vAlign w:val="center"/>
            <w:hideMark/>
          </w:tcPr>
          <w:p w:rsidR="00A71A12" w:rsidRPr="00BB33FC" w:rsidRDefault="00A71A12" w:rsidP="00A71A12">
            <w:pPr>
              <w:rPr>
                <w:rFonts w:ascii="Arial" w:hAnsi="Arial" w:cs="Arial"/>
                <w:b/>
                <w:bCs/>
                <w:sz w:val="20"/>
                <w:szCs w:val="20"/>
              </w:rPr>
            </w:pPr>
          </w:p>
        </w:tc>
        <w:tc>
          <w:tcPr>
            <w:tcW w:w="5748" w:type="dxa"/>
            <w:gridSpan w:val="6"/>
            <w:tcBorders>
              <w:top w:val="nil"/>
              <w:left w:val="nil"/>
              <w:bottom w:val="nil"/>
              <w:right w:val="single" w:sz="4" w:space="0" w:color="A6A6A6"/>
            </w:tcBorders>
            <w:shd w:val="clear" w:color="000000" w:fill="FCD5B4"/>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ženy (15-64r.)</w:t>
            </w:r>
          </w:p>
        </w:tc>
        <w:tc>
          <w:tcPr>
            <w:tcW w:w="863" w:type="dxa"/>
            <w:gridSpan w:val="2"/>
            <w:tcBorders>
              <w:top w:val="nil"/>
              <w:left w:val="nil"/>
              <w:bottom w:val="nil"/>
              <w:right w:val="single" w:sz="4" w:space="0" w:color="A6A6A6"/>
            </w:tcBorders>
            <w:shd w:val="clear" w:color="000000" w:fill="FCD5B4"/>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52,7</w:t>
            </w:r>
          </w:p>
        </w:tc>
        <w:tc>
          <w:tcPr>
            <w:tcW w:w="1674" w:type="dxa"/>
            <w:gridSpan w:val="2"/>
            <w:tcBorders>
              <w:top w:val="nil"/>
              <w:left w:val="nil"/>
              <w:bottom w:val="nil"/>
              <w:right w:val="single" w:sz="4" w:space="0" w:color="A6A6A6"/>
            </w:tcBorders>
            <w:shd w:val="clear" w:color="000000" w:fill="FCD5B4"/>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w:t>
            </w:r>
          </w:p>
        </w:tc>
        <w:tc>
          <w:tcPr>
            <w:tcW w:w="641" w:type="dxa"/>
            <w:gridSpan w:val="2"/>
            <w:tcBorders>
              <w:top w:val="nil"/>
              <w:left w:val="nil"/>
              <w:bottom w:val="nil"/>
              <w:right w:val="single" w:sz="4" w:space="0" w:color="A6A6A6"/>
            </w:tcBorders>
            <w:shd w:val="clear" w:color="000000" w:fill="FCD5B4"/>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2012</w:t>
            </w:r>
          </w:p>
        </w:tc>
        <w:tc>
          <w:tcPr>
            <w:tcW w:w="951" w:type="dxa"/>
            <w:tcBorders>
              <w:top w:val="nil"/>
              <w:left w:val="nil"/>
              <w:bottom w:val="nil"/>
              <w:right w:val="single" w:sz="8" w:space="0" w:color="E26B0A"/>
            </w:tcBorders>
            <w:shd w:val="clear" w:color="000000" w:fill="FCD5B4"/>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w:t>
            </w:r>
          </w:p>
        </w:tc>
      </w:tr>
      <w:tr w:rsidR="00A71A12" w:rsidRPr="00BB33FC" w:rsidTr="00A71A12">
        <w:trPr>
          <w:trHeight w:val="330"/>
        </w:trPr>
        <w:tc>
          <w:tcPr>
            <w:tcW w:w="387"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363" w:type="dxa"/>
            <w:vMerge/>
            <w:tcBorders>
              <w:top w:val="nil"/>
              <w:left w:val="single" w:sz="8" w:space="0" w:color="E26B0A"/>
              <w:bottom w:val="single" w:sz="8" w:space="0" w:color="E26B0A"/>
              <w:right w:val="single" w:sz="8" w:space="0" w:color="E26B0A"/>
            </w:tcBorders>
            <w:vAlign w:val="center"/>
            <w:hideMark/>
          </w:tcPr>
          <w:p w:rsidR="00A71A12" w:rsidRPr="00BB33FC" w:rsidRDefault="00A71A12" w:rsidP="00A71A12">
            <w:pPr>
              <w:rPr>
                <w:rFonts w:ascii="Arial" w:hAnsi="Arial" w:cs="Arial"/>
                <w:b/>
                <w:bCs/>
                <w:sz w:val="20"/>
                <w:szCs w:val="20"/>
              </w:rPr>
            </w:pPr>
          </w:p>
        </w:tc>
        <w:tc>
          <w:tcPr>
            <w:tcW w:w="5748" w:type="dxa"/>
            <w:gridSpan w:val="6"/>
            <w:tcBorders>
              <w:top w:val="nil"/>
              <w:left w:val="nil"/>
              <w:bottom w:val="nil"/>
              <w:right w:val="single" w:sz="4" w:space="0" w:color="A6A6A6"/>
            </w:tcBorders>
            <w:shd w:val="clear" w:color="000000" w:fill="FDE9D9"/>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vidiecke (riedko osídlené) (15-64 r.)</w:t>
            </w:r>
          </w:p>
        </w:tc>
        <w:tc>
          <w:tcPr>
            <w:tcW w:w="863" w:type="dxa"/>
            <w:gridSpan w:val="2"/>
            <w:tcBorders>
              <w:top w:val="nil"/>
              <w:left w:val="nil"/>
              <w:bottom w:val="nil"/>
              <w:right w:val="single" w:sz="4" w:space="0" w:color="A6A6A6"/>
            </w:tcBorders>
            <w:shd w:val="clear" w:color="000000" w:fill="FDE9D9"/>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55,0</w:t>
            </w:r>
          </w:p>
        </w:tc>
        <w:tc>
          <w:tcPr>
            <w:tcW w:w="1674" w:type="dxa"/>
            <w:gridSpan w:val="2"/>
            <w:tcBorders>
              <w:top w:val="nil"/>
              <w:left w:val="nil"/>
              <w:bottom w:val="nil"/>
              <w:right w:val="single" w:sz="4" w:space="0" w:color="A6A6A6"/>
            </w:tcBorders>
            <w:shd w:val="clear" w:color="000000" w:fill="FDE9D9"/>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w:t>
            </w:r>
          </w:p>
        </w:tc>
        <w:tc>
          <w:tcPr>
            <w:tcW w:w="641" w:type="dxa"/>
            <w:gridSpan w:val="2"/>
            <w:tcBorders>
              <w:top w:val="nil"/>
              <w:left w:val="nil"/>
              <w:bottom w:val="nil"/>
              <w:right w:val="single" w:sz="4" w:space="0" w:color="A6A6A6"/>
            </w:tcBorders>
            <w:shd w:val="clear" w:color="000000" w:fill="FDE9D9"/>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2012</w:t>
            </w:r>
          </w:p>
        </w:tc>
        <w:tc>
          <w:tcPr>
            <w:tcW w:w="951" w:type="dxa"/>
            <w:tcBorders>
              <w:top w:val="nil"/>
              <w:left w:val="nil"/>
              <w:bottom w:val="nil"/>
              <w:right w:val="single" w:sz="8" w:space="0" w:color="E26B0A"/>
            </w:tcBorders>
            <w:shd w:val="clear" w:color="000000" w:fill="FDE9D9"/>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w:t>
            </w:r>
          </w:p>
        </w:tc>
      </w:tr>
      <w:tr w:rsidR="00A71A12" w:rsidRPr="00BB33FC" w:rsidTr="00A71A12">
        <w:trPr>
          <w:trHeight w:val="300"/>
        </w:trPr>
        <w:tc>
          <w:tcPr>
            <w:tcW w:w="387"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363" w:type="dxa"/>
            <w:vMerge/>
            <w:tcBorders>
              <w:top w:val="nil"/>
              <w:left w:val="single" w:sz="8" w:space="0" w:color="E26B0A"/>
              <w:bottom w:val="single" w:sz="8" w:space="0" w:color="E26B0A"/>
              <w:right w:val="single" w:sz="8" w:space="0" w:color="E26B0A"/>
            </w:tcBorders>
            <w:vAlign w:val="center"/>
            <w:hideMark/>
          </w:tcPr>
          <w:p w:rsidR="00A71A12" w:rsidRPr="00BB33FC" w:rsidRDefault="00A71A12" w:rsidP="00A71A12">
            <w:pPr>
              <w:rPr>
                <w:rFonts w:ascii="Arial" w:hAnsi="Arial" w:cs="Arial"/>
                <w:b/>
                <w:bCs/>
                <w:sz w:val="20"/>
                <w:szCs w:val="20"/>
              </w:rPr>
            </w:pPr>
          </w:p>
        </w:tc>
        <w:tc>
          <w:tcPr>
            <w:tcW w:w="5748" w:type="dxa"/>
            <w:gridSpan w:val="6"/>
            <w:tcBorders>
              <w:top w:val="nil"/>
              <w:left w:val="nil"/>
              <w:bottom w:val="nil"/>
              <w:right w:val="single" w:sz="4" w:space="0" w:color="A6A6A6"/>
            </w:tcBorders>
            <w:shd w:val="clear" w:color="000000" w:fill="FCD5B4"/>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celkom (20-64r.)</w:t>
            </w:r>
          </w:p>
        </w:tc>
        <w:tc>
          <w:tcPr>
            <w:tcW w:w="863" w:type="dxa"/>
            <w:gridSpan w:val="2"/>
            <w:tcBorders>
              <w:top w:val="nil"/>
              <w:left w:val="nil"/>
              <w:bottom w:val="nil"/>
              <w:right w:val="single" w:sz="4" w:space="0" w:color="A6A6A6"/>
            </w:tcBorders>
            <w:shd w:val="clear" w:color="000000" w:fill="FCD5B4"/>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65,1</w:t>
            </w:r>
          </w:p>
        </w:tc>
        <w:tc>
          <w:tcPr>
            <w:tcW w:w="1674" w:type="dxa"/>
            <w:gridSpan w:val="2"/>
            <w:tcBorders>
              <w:top w:val="nil"/>
              <w:left w:val="nil"/>
              <w:bottom w:val="nil"/>
              <w:right w:val="single" w:sz="4" w:space="0" w:color="A6A6A6"/>
            </w:tcBorders>
            <w:shd w:val="clear" w:color="000000" w:fill="FCD5B4"/>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w:t>
            </w:r>
          </w:p>
        </w:tc>
        <w:tc>
          <w:tcPr>
            <w:tcW w:w="641" w:type="dxa"/>
            <w:gridSpan w:val="2"/>
            <w:tcBorders>
              <w:top w:val="nil"/>
              <w:left w:val="nil"/>
              <w:bottom w:val="nil"/>
              <w:right w:val="single" w:sz="4" w:space="0" w:color="A6A6A6"/>
            </w:tcBorders>
            <w:shd w:val="clear" w:color="000000" w:fill="FCD5B4"/>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2012</w:t>
            </w:r>
          </w:p>
        </w:tc>
        <w:tc>
          <w:tcPr>
            <w:tcW w:w="951" w:type="dxa"/>
            <w:tcBorders>
              <w:top w:val="nil"/>
              <w:left w:val="nil"/>
              <w:bottom w:val="nil"/>
              <w:right w:val="single" w:sz="8" w:space="0" w:color="E26B0A"/>
            </w:tcBorders>
            <w:shd w:val="clear" w:color="000000" w:fill="FCD5B4"/>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w:t>
            </w:r>
          </w:p>
        </w:tc>
      </w:tr>
      <w:tr w:rsidR="00A71A12" w:rsidRPr="00BB33FC" w:rsidTr="00A71A12">
        <w:trPr>
          <w:trHeight w:val="300"/>
        </w:trPr>
        <w:tc>
          <w:tcPr>
            <w:tcW w:w="387"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363" w:type="dxa"/>
            <w:vMerge/>
            <w:tcBorders>
              <w:top w:val="nil"/>
              <w:left w:val="single" w:sz="8" w:space="0" w:color="E26B0A"/>
              <w:bottom w:val="single" w:sz="8" w:space="0" w:color="E26B0A"/>
              <w:right w:val="single" w:sz="8" w:space="0" w:color="E26B0A"/>
            </w:tcBorders>
            <w:vAlign w:val="center"/>
            <w:hideMark/>
          </w:tcPr>
          <w:p w:rsidR="00A71A12" w:rsidRPr="00BB33FC" w:rsidRDefault="00A71A12" w:rsidP="00A71A12">
            <w:pPr>
              <w:rPr>
                <w:rFonts w:ascii="Arial" w:hAnsi="Arial" w:cs="Arial"/>
                <w:b/>
                <w:bCs/>
                <w:sz w:val="20"/>
                <w:szCs w:val="20"/>
              </w:rPr>
            </w:pPr>
          </w:p>
        </w:tc>
        <w:tc>
          <w:tcPr>
            <w:tcW w:w="5748" w:type="dxa"/>
            <w:gridSpan w:val="6"/>
            <w:tcBorders>
              <w:top w:val="nil"/>
              <w:left w:val="nil"/>
              <w:bottom w:val="nil"/>
              <w:right w:val="single" w:sz="4" w:space="0" w:color="A6A6A6"/>
            </w:tcBorders>
            <w:shd w:val="clear" w:color="000000" w:fill="FDE9D9"/>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muži (20-64 r.)</w:t>
            </w:r>
          </w:p>
        </w:tc>
        <w:tc>
          <w:tcPr>
            <w:tcW w:w="863" w:type="dxa"/>
            <w:gridSpan w:val="2"/>
            <w:tcBorders>
              <w:top w:val="nil"/>
              <w:left w:val="nil"/>
              <w:bottom w:val="nil"/>
              <w:right w:val="single" w:sz="4" w:space="0" w:color="A6A6A6"/>
            </w:tcBorders>
            <w:shd w:val="clear" w:color="000000" w:fill="FDE9D9"/>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72,7</w:t>
            </w:r>
          </w:p>
        </w:tc>
        <w:tc>
          <w:tcPr>
            <w:tcW w:w="1674" w:type="dxa"/>
            <w:gridSpan w:val="2"/>
            <w:tcBorders>
              <w:top w:val="nil"/>
              <w:left w:val="nil"/>
              <w:bottom w:val="nil"/>
              <w:right w:val="single" w:sz="4" w:space="0" w:color="A6A6A6"/>
            </w:tcBorders>
            <w:shd w:val="clear" w:color="000000" w:fill="FDE9D9"/>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w:t>
            </w:r>
          </w:p>
        </w:tc>
        <w:tc>
          <w:tcPr>
            <w:tcW w:w="641" w:type="dxa"/>
            <w:gridSpan w:val="2"/>
            <w:tcBorders>
              <w:top w:val="nil"/>
              <w:left w:val="nil"/>
              <w:bottom w:val="nil"/>
              <w:right w:val="single" w:sz="4" w:space="0" w:color="A6A6A6"/>
            </w:tcBorders>
            <w:shd w:val="clear" w:color="000000" w:fill="FDE9D9"/>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2012</w:t>
            </w:r>
          </w:p>
        </w:tc>
        <w:tc>
          <w:tcPr>
            <w:tcW w:w="951" w:type="dxa"/>
            <w:tcBorders>
              <w:top w:val="nil"/>
              <w:left w:val="nil"/>
              <w:bottom w:val="nil"/>
              <w:right w:val="single" w:sz="8" w:space="0" w:color="E26B0A"/>
            </w:tcBorders>
            <w:shd w:val="clear" w:color="000000" w:fill="FDE9D9"/>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w:t>
            </w:r>
          </w:p>
        </w:tc>
      </w:tr>
      <w:tr w:rsidR="00A71A12" w:rsidRPr="00BB33FC" w:rsidTr="00A71A12">
        <w:trPr>
          <w:trHeight w:val="315"/>
        </w:trPr>
        <w:tc>
          <w:tcPr>
            <w:tcW w:w="387"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363" w:type="dxa"/>
            <w:vMerge/>
            <w:tcBorders>
              <w:top w:val="nil"/>
              <w:left w:val="single" w:sz="8" w:space="0" w:color="E26B0A"/>
              <w:bottom w:val="single" w:sz="8" w:space="0" w:color="E26B0A"/>
              <w:right w:val="single" w:sz="8" w:space="0" w:color="E26B0A"/>
            </w:tcBorders>
            <w:vAlign w:val="center"/>
            <w:hideMark/>
          </w:tcPr>
          <w:p w:rsidR="00A71A12" w:rsidRPr="00BB33FC" w:rsidRDefault="00A71A12" w:rsidP="00A71A12">
            <w:pPr>
              <w:rPr>
                <w:rFonts w:ascii="Arial" w:hAnsi="Arial" w:cs="Arial"/>
                <w:b/>
                <w:bCs/>
                <w:sz w:val="20"/>
                <w:szCs w:val="20"/>
              </w:rPr>
            </w:pPr>
          </w:p>
        </w:tc>
        <w:tc>
          <w:tcPr>
            <w:tcW w:w="5748" w:type="dxa"/>
            <w:gridSpan w:val="6"/>
            <w:tcBorders>
              <w:top w:val="nil"/>
              <w:left w:val="nil"/>
              <w:bottom w:val="single" w:sz="8" w:space="0" w:color="E26B0A"/>
              <w:right w:val="single" w:sz="4" w:space="0" w:color="A6A6A6"/>
            </w:tcBorders>
            <w:shd w:val="clear" w:color="000000" w:fill="FCD5B4"/>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ženy (20-64r.)</w:t>
            </w:r>
          </w:p>
        </w:tc>
        <w:tc>
          <w:tcPr>
            <w:tcW w:w="863" w:type="dxa"/>
            <w:gridSpan w:val="2"/>
            <w:tcBorders>
              <w:top w:val="nil"/>
              <w:left w:val="nil"/>
              <w:bottom w:val="single" w:sz="8" w:space="0" w:color="E26B0A"/>
              <w:right w:val="single" w:sz="4" w:space="0" w:color="A6A6A6"/>
            </w:tcBorders>
            <w:shd w:val="clear" w:color="000000" w:fill="FCD5B4"/>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57,6</w:t>
            </w:r>
          </w:p>
        </w:tc>
        <w:tc>
          <w:tcPr>
            <w:tcW w:w="1674" w:type="dxa"/>
            <w:gridSpan w:val="2"/>
            <w:tcBorders>
              <w:top w:val="nil"/>
              <w:left w:val="nil"/>
              <w:bottom w:val="single" w:sz="8" w:space="0" w:color="E26B0A"/>
              <w:right w:val="single" w:sz="4" w:space="0" w:color="A6A6A6"/>
            </w:tcBorders>
            <w:shd w:val="clear" w:color="000000" w:fill="FCD5B4"/>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w:t>
            </w:r>
          </w:p>
        </w:tc>
        <w:tc>
          <w:tcPr>
            <w:tcW w:w="641" w:type="dxa"/>
            <w:gridSpan w:val="2"/>
            <w:tcBorders>
              <w:top w:val="nil"/>
              <w:left w:val="nil"/>
              <w:bottom w:val="single" w:sz="8" w:space="0" w:color="E26B0A"/>
              <w:right w:val="single" w:sz="4" w:space="0" w:color="A6A6A6"/>
            </w:tcBorders>
            <w:shd w:val="clear" w:color="000000" w:fill="FCD5B4"/>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2012</w:t>
            </w:r>
          </w:p>
        </w:tc>
        <w:tc>
          <w:tcPr>
            <w:tcW w:w="951" w:type="dxa"/>
            <w:tcBorders>
              <w:top w:val="nil"/>
              <w:left w:val="nil"/>
              <w:bottom w:val="single" w:sz="8" w:space="0" w:color="E26B0A"/>
              <w:right w:val="single" w:sz="8" w:space="0" w:color="E26B0A"/>
            </w:tcBorders>
            <w:shd w:val="clear" w:color="000000" w:fill="FCD5B4"/>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w:t>
            </w:r>
          </w:p>
        </w:tc>
      </w:tr>
      <w:tr w:rsidR="00A71A12" w:rsidRPr="00BB33FC" w:rsidTr="00A71A12">
        <w:trPr>
          <w:trHeight w:val="300"/>
        </w:trPr>
        <w:tc>
          <w:tcPr>
            <w:tcW w:w="387"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363" w:type="dxa"/>
            <w:vMerge w:val="restart"/>
            <w:tcBorders>
              <w:top w:val="nil"/>
              <w:left w:val="single" w:sz="8" w:space="0" w:color="E26B0A"/>
              <w:bottom w:val="single" w:sz="8" w:space="0" w:color="E26B0A"/>
              <w:right w:val="single" w:sz="8" w:space="0" w:color="E26B0A"/>
            </w:tcBorders>
            <w:shd w:val="clear" w:color="auto" w:fill="auto"/>
            <w:noWrap/>
            <w:hideMark/>
          </w:tcPr>
          <w:p w:rsidR="00A71A12" w:rsidRPr="00BB33FC" w:rsidRDefault="00A71A12" w:rsidP="00A71A12">
            <w:pPr>
              <w:rPr>
                <w:rFonts w:ascii="Arial" w:hAnsi="Arial" w:cs="Arial"/>
                <w:b/>
                <w:bCs/>
                <w:sz w:val="20"/>
                <w:szCs w:val="20"/>
              </w:rPr>
            </w:pPr>
            <w:r w:rsidRPr="00BB33FC">
              <w:rPr>
                <w:rFonts w:ascii="Arial" w:hAnsi="Arial" w:cs="Arial"/>
                <w:b/>
                <w:bCs/>
                <w:sz w:val="20"/>
                <w:szCs w:val="20"/>
              </w:rPr>
              <w:t>6</w:t>
            </w:r>
          </w:p>
        </w:tc>
        <w:tc>
          <w:tcPr>
            <w:tcW w:w="9877" w:type="dxa"/>
            <w:gridSpan w:val="13"/>
            <w:tcBorders>
              <w:top w:val="single" w:sz="8" w:space="0" w:color="E26B0A"/>
              <w:left w:val="nil"/>
              <w:bottom w:val="nil"/>
              <w:right w:val="single" w:sz="8" w:space="0" w:color="E26B0A"/>
            </w:tcBorders>
            <w:shd w:val="clear" w:color="000000" w:fill="FFFFFF"/>
            <w:noWrap/>
            <w:vAlign w:val="bottom"/>
            <w:hideMark/>
          </w:tcPr>
          <w:p w:rsidR="00A71A12" w:rsidRPr="00BB33FC" w:rsidRDefault="00A71A12" w:rsidP="00A71A12">
            <w:pPr>
              <w:rPr>
                <w:rFonts w:ascii="Arial" w:hAnsi="Arial" w:cs="Arial"/>
                <w:b/>
                <w:bCs/>
                <w:i/>
                <w:iCs/>
                <w:sz w:val="20"/>
                <w:szCs w:val="20"/>
              </w:rPr>
            </w:pPr>
            <w:r w:rsidRPr="00BB33FC">
              <w:rPr>
                <w:rFonts w:ascii="Arial" w:hAnsi="Arial" w:cs="Arial"/>
                <w:b/>
                <w:bCs/>
                <w:i/>
                <w:iCs/>
                <w:sz w:val="20"/>
                <w:szCs w:val="20"/>
              </w:rPr>
              <w:t>Miera samostatne zárobkovo činných osôb</w:t>
            </w:r>
          </w:p>
        </w:tc>
      </w:tr>
      <w:tr w:rsidR="00A71A12" w:rsidRPr="00BB33FC" w:rsidTr="00A71A12">
        <w:trPr>
          <w:trHeight w:val="315"/>
        </w:trPr>
        <w:tc>
          <w:tcPr>
            <w:tcW w:w="387"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363" w:type="dxa"/>
            <w:vMerge/>
            <w:tcBorders>
              <w:top w:val="nil"/>
              <w:left w:val="single" w:sz="8" w:space="0" w:color="E26B0A"/>
              <w:bottom w:val="single" w:sz="8" w:space="0" w:color="E26B0A"/>
              <w:right w:val="single" w:sz="8" w:space="0" w:color="E26B0A"/>
            </w:tcBorders>
            <w:vAlign w:val="center"/>
            <w:hideMark/>
          </w:tcPr>
          <w:p w:rsidR="00A71A12" w:rsidRPr="00BB33FC" w:rsidRDefault="00A71A12" w:rsidP="00A71A12">
            <w:pPr>
              <w:rPr>
                <w:rFonts w:ascii="Arial" w:hAnsi="Arial" w:cs="Arial"/>
                <w:b/>
                <w:bCs/>
                <w:sz w:val="20"/>
                <w:szCs w:val="20"/>
              </w:rPr>
            </w:pPr>
          </w:p>
        </w:tc>
        <w:tc>
          <w:tcPr>
            <w:tcW w:w="5748" w:type="dxa"/>
            <w:gridSpan w:val="6"/>
            <w:tcBorders>
              <w:top w:val="nil"/>
              <w:left w:val="nil"/>
              <w:bottom w:val="single" w:sz="8" w:space="0" w:color="E26B0A"/>
              <w:right w:val="single" w:sz="4" w:space="0" w:color="A6A6A6"/>
            </w:tcBorders>
            <w:shd w:val="clear" w:color="000000" w:fill="FCD5B4"/>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celkom (15-64 r.)</w:t>
            </w:r>
          </w:p>
        </w:tc>
        <w:tc>
          <w:tcPr>
            <w:tcW w:w="863" w:type="dxa"/>
            <w:gridSpan w:val="2"/>
            <w:tcBorders>
              <w:top w:val="nil"/>
              <w:left w:val="nil"/>
              <w:bottom w:val="single" w:sz="8" w:space="0" w:color="E26B0A"/>
              <w:right w:val="single" w:sz="4" w:space="0" w:color="A6A6A6"/>
            </w:tcBorders>
            <w:shd w:val="clear" w:color="000000" w:fill="FCD5B4"/>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15,3</w:t>
            </w:r>
          </w:p>
        </w:tc>
        <w:tc>
          <w:tcPr>
            <w:tcW w:w="1674" w:type="dxa"/>
            <w:gridSpan w:val="2"/>
            <w:tcBorders>
              <w:top w:val="nil"/>
              <w:left w:val="nil"/>
              <w:bottom w:val="single" w:sz="8" w:space="0" w:color="E26B0A"/>
              <w:right w:val="single" w:sz="4" w:space="0" w:color="A6A6A6"/>
            </w:tcBorders>
            <w:shd w:val="clear" w:color="000000" w:fill="FCD5B4"/>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w:t>
            </w:r>
          </w:p>
        </w:tc>
        <w:tc>
          <w:tcPr>
            <w:tcW w:w="641" w:type="dxa"/>
            <w:gridSpan w:val="2"/>
            <w:tcBorders>
              <w:top w:val="nil"/>
              <w:left w:val="nil"/>
              <w:bottom w:val="single" w:sz="8" w:space="0" w:color="E26B0A"/>
              <w:right w:val="single" w:sz="4" w:space="0" w:color="A6A6A6"/>
            </w:tcBorders>
            <w:shd w:val="clear" w:color="000000" w:fill="FCD5B4"/>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2012</w:t>
            </w:r>
          </w:p>
        </w:tc>
        <w:tc>
          <w:tcPr>
            <w:tcW w:w="951" w:type="dxa"/>
            <w:tcBorders>
              <w:top w:val="nil"/>
              <w:left w:val="nil"/>
              <w:bottom w:val="single" w:sz="8" w:space="0" w:color="E26B0A"/>
              <w:right w:val="single" w:sz="8" w:space="0" w:color="E26B0A"/>
            </w:tcBorders>
            <w:shd w:val="clear" w:color="000000" w:fill="FCD5B4"/>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w:t>
            </w:r>
          </w:p>
        </w:tc>
      </w:tr>
      <w:tr w:rsidR="00A71A12" w:rsidRPr="00BB33FC" w:rsidTr="00A71A12">
        <w:trPr>
          <w:trHeight w:val="300"/>
        </w:trPr>
        <w:tc>
          <w:tcPr>
            <w:tcW w:w="387"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363" w:type="dxa"/>
            <w:vMerge w:val="restart"/>
            <w:tcBorders>
              <w:top w:val="nil"/>
              <w:left w:val="single" w:sz="8" w:space="0" w:color="E26B0A"/>
              <w:bottom w:val="nil"/>
              <w:right w:val="single" w:sz="8" w:space="0" w:color="E26B0A"/>
            </w:tcBorders>
            <w:shd w:val="clear" w:color="auto" w:fill="auto"/>
            <w:noWrap/>
            <w:hideMark/>
          </w:tcPr>
          <w:p w:rsidR="00A71A12" w:rsidRPr="00BB33FC" w:rsidRDefault="00A71A12" w:rsidP="00A71A12">
            <w:pPr>
              <w:rPr>
                <w:rFonts w:ascii="Arial" w:hAnsi="Arial" w:cs="Arial"/>
                <w:b/>
                <w:bCs/>
                <w:sz w:val="20"/>
                <w:szCs w:val="20"/>
              </w:rPr>
            </w:pPr>
            <w:r w:rsidRPr="00BB33FC">
              <w:rPr>
                <w:rFonts w:ascii="Arial" w:hAnsi="Arial" w:cs="Arial"/>
                <w:b/>
                <w:bCs/>
                <w:sz w:val="20"/>
                <w:szCs w:val="20"/>
              </w:rPr>
              <w:t>7</w:t>
            </w:r>
          </w:p>
        </w:tc>
        <w:tc>
          <w:tcPr>
            <w:tcW w:w="9877" w:type="dxa"/>
            <w:gridSpan w:val="13"/>
            <w:tcBorders>
              <w:top w:val="single" w:sz="8" w:space="0" w:color="E26B0A"/>
              <w:left w:val="nil"/>
              <w:bottom w:val="single" w:sz="4" w:space="0" w:color="A6A6A6"/>
              <w:right w:val="single" w:sz="8" w:space="0" w:color="E26B0A"/>
            </w:tcBorders>
            <w:shd w:val="clear" w:color="000000" w:fill="FFFFFF"/>
            <w:noWrap/>
            <w:vAlign w:val="bottom"/>
            <w:hideMark/>
          </w:tcPr>
          <w:p w:rsidR="00A71A12" w:rsidRPr="00BB33FC" w:rsidRDefault="00A71A12" w:rsidP="00A71A12">
            <w:pPr>
              <w:rPr>
                <w:rFonts w:ascii="Arial" w:hAnsi="Arial" w:cs="Arial"/>
                <w:b/>
                <w:bCs/>
                <w:i/>
                <w:iCs/>
                <w:sz w:val="20"/>
                <w:szCs w:val="20"/>
              </w:rPr>
            </w:pPr>
            <w:r w:rsidRPr="00BB33FC">
              <w:rPr>
                <w:rFonts w:ascii="Arial" w:hAnsi="Arial" w:cs="Arial"/>
                <w:b/>
                <w:bCs/>
                <w:i/>
                <w:iCs/>
                <w:sz w:val="20"/>
                <w:szCs w:val="20"/>
              </w:rPr>
              <w:t>Miera nezamestnanosti</w:t>
            </w:r>
          </w:p>
        </w:tc>
      </w:tr>
      <w:tr w:rsidR="00A71A12" w:rsidRPr="00BB33FC" w:rsidTr="00A71A12">
        <w:trPr>
          <w:trHeight w:val="300"/>
        </w:trPr>
        <w:tc>
          <w:tcPr>
            <w:tcW w:w="387"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363" w:type="dxa"/>
            <w:vMerge/>
            <w:tcBorders>
              <w:top w:val="nil"/>
              <w:left w:val="single" w:sz="8" w:space="0" w:color="E26B0A"/>
              <w:bottom w:val="nil"/>
              <w:right w:val="single" w:sz="8" w:space="0" w:color="E26B0A"/>
            </w:tcBorders>
            <w:vAlign w:val="center"/>
            <w:hideMark/>
          </w:tcPr>
          <w:p w:rsidR="00A71A12" w:rsidRPr="00BB33FC" w:rsidRDefault="00A71A12" w:rsidP="00A71A12">
            <w:pPr>
              <w:rPr>
                <w:rFonts w:ascii="Arial" w:hAnsi="Arial" w:cs="Arial"/>
                <w:b/>
                <w:bCs/>
                <w:sz w:val="20"/>
                <w:szCs w:val="20"/>
              </w:rPr>
            </w:pPr>
          </w:p>
        </w:tc>
        <w:tc>
          <w:tcPr>
            <w:tcW w:w="5748" w:type="dxa"/>
            <w:gridSpan w:val="6"/>
            <w:tcBorders>
              <w:top w:val="single" w:sz="4" w:space="0" w:color="A6A6A6"/>
              <w:left w:val="nil"/>
              <w:bottom w:val="single" w:sz="4" w:space="0" w:color="A6A6A6"/>
              <w:right w:val="single" w:sz="4" w:space="0" w:color="A6A6A6"/>
            </w:tcBorders>
            <w:shd w:val="clear" w:color="000000" w:fill="FCD5B4"/>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celkom (15-74 r.)</w:t>
            </w:r>
          </w:p>
        </w:tc>
        <w:tc>
          <w:tcPr>
            <w:tcW w:w="863" w:type="dxa"/>
            <w:gridSpan w:val="2"/>
            <w:tcBorders>
              <w:top w:val="nil"/>
              <w:left w:val="nil"/>
              <w:bottom w:val="single" w:sz="4" w:space="0" w:color="A6A6A6"/>
              <w:right w:val="single" w:sz="4" w:space="0" w:color="A6A6A6"/>
            </w:tcBorders>
            <w:shd w:val="clear" w:color="000000" w:fill="FCD5B4"/>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14,0</w:t>
            </w:r>
          </w:p>
        </w:tc>
        <w:tc>
          <w:tcPr>
            <w:tcW w:w="1674" w:type="dxa"/>
            <w:gridSpan w:val="2"/>
            <w:tcBorders>
              <w:top w:val="nil"/>
              <w:left w:val="nil"/>
              <w:bottom w:val="single" w:sz="4" w:space="0" w:color="A6A6A6"/>
              <w:right w:val="single" w:sz="4" w:space="0" w:color="A6A6A6"/>
            </w:tcBorders>
            <w:shd w:val="clear" w:color="000000" w:fill="FCD5B4"/>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w:t>
            </w:r>
          </w:p>
        </w:tc>
        <w:tc>
          <w:tcPr>
            <w:tcW w:w="641" w:type="dxa"/>
            <w:gridSpan w:val="2"/>
            <w:tcBorders>
              <w:top w:val="nil"/>
              <w:left w:val="nil"/>
              <w:bottom w:val="single" w:sz="4" w:space="0" w:color="A6A6A6"/>
              <w:right w:val="single" w:sz="4" w:space="0" w:color="A6A6A6"/>
            </w:tcBorders>
            <w:shd w:val="clear" w:color="000000" w:fill="FCD5B4"/>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2012</w:t>
            </w:r>
          </w:p>
        </w:tc>
        <w:tc>
          <w:tcPr>
            <w:tcW w:w="951" w:type="dxa"/>
            <w:tcBorders>
              <w:top w:val="nil"/>
              <w:left w:val="nil"/>
              <w:bottom w:val="single" w:sz="4" w:space="0" w:color="A6A6A6"/>
              <w:right w:val="single" w:sz="8" w:space="0" w:color="E26B0A"/>
            </w:tcBorders>
            <w:shd w:val="clear" w:color="000000" w:fill="FCD5B4"/>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w:t>
            </w:r>
          </w:p>
        </w:tc>
      </w:tr>
      <w:tr w:rsidR="00A71A12" w:rsidRPr="00BB33FC" w:rsidTr="00A71A12">
        <w:trPr>
          <w:trHeight w:val="300"/>
        </w:trPr>
        <w:tc>
          <w:tcPr>
            <w:tcW w:w="387"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363" w:type="dxa"/>
            <w:vMerge/>
            <w:tcBorders>
              <w:top w:val="nil"/>
              <w:left w:val="single" w:sz="8" w:space="0" w:color="E26B0A"/>
              <w:bottom w:val="nil"/>
              <w:right w:val="single" w:sz="8" w:space="0" w:color="E26B0A"/>
            </w:tcBorders>
            <w:vAlign w:val="center"/>
            <w:hideMark/>
          </w:tcPr>
          <w:p w:rsidR="00A71A12" w:rsidRPr="00BB33FC" w:rsidRDefault="00A71A12" w:rsidP="00A71A12">
            <w:pPr>
              <w:rPr>
                <w:rFonts w:ascii="Arial" w:hAnsi="Arial" w:cs="Arial"/>
                <w:b/>
                <w:bCs/>
                <w:sz w:val="20"/>
                <w:szCs w:val="20"/>
              </w:rPr>
            </w:pPr>
          </w:p>
        </w:tc>
        <w:tc>
          <w:tcPr>
            <w:tcW w:w="5748" w:type="dxa"/>
            <w:gridSpan w:val="6"/>
            <w:tcBorders>
              <w:top w:val="nil"/>
              <w:left w:val="nil"/>
              <w:bottom w:val="nil"/>
              <w:right w:val="single" w:sz="4" w:space="0" w:color="A6A6A6"/>
            </w:tcBorders>
            <w:shd w:val="clear" w:color="000000" w:fill="FDE9D9"/>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mládež (15-24 r.)</w:t>
            </w:r>
          </w:p>
        </w:tc>
        <w:tc>
          <w:tcPr>
            <w:tcW w:w="863" w:type="dxa"/>
            <w:gridSpan w:val="2"/>
            <w:tcBorders>
              <w:top w:val="nil"/>
              <w:left w:val="nil"/>
              <w:bottom w:val="nil"/>
              <w:right w:val="single" w:sz="4" w:space="0" w:color="A6A6A6"/>
            </w:tcBorders>
            <w:shd w:val="clear" w:color="000000" w:fill="FDE9D9"/>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34,0</w:t>
            </w:r>
          </w:p>
        </w:tc>
        <w:tc>
          <w:tcPr>
            <w:tcW w:w="1674" w:type="dxa"/>
            <w:gridSpan w:val="2"/>
            <w:tcBorders>
              <w:top w:val="nil"/>
              <w:left w:val="nil"/>
              <w:bottom w:val="nil"/>
              <w:right w:val="single" w:sz="4" w:space="0" w:color="A6A6A6"/>
            </w:tcBorders>
            <w:shd w:val="clear" w:color="000000" w:fill="FDE9D9"/>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w:t>
            </w:r>
          </w:p>
        </w:tc>
        <w:tc>
          <w:tcPr>
            <w:tcW w:w="641" w:type="dxa"/>
            <w:gridSpan w:val="2"/>
            <w:tcBorders>
              <w:top w:val="nil"/>
              <w:left w:val="nil"/>
              <w:bottom w:val="nil"/>
              <w:right w:val="single" w:sz="4" w:space="0" w:color="A6A6A6"/>
            </w:tcBorders>
            <w:shd w:val="clear" w:color="000000" w:fill="FDE9D9"/>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2012</w:t>
            </w:r>
          </w:p>
        </w:tc>
        <w:tc>
          <w:tcPr>
            <w:tcW w:w="951" w:type="dxa"/>
            <w:tcBorders>
              <w:top w:val="nil"/>
              <w:left w:val="nil"/>
              <w:bottom w:val="nil"/>
              <w:right w:val="single" w:sz="8" w:space="0" w:color="E26B0A"/>
            </w:tcBorders>
            <w:shd w:val="clear" w:color="000000" w:fill="FDE9D9"/>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w:t>
            </w:r>
          </w:p>
        </w:tc>
      </w:tr>
      <w:tr w:rsidR="00A71A12" w:rsidRPr="00BB33FC" w:rsidTr="00A71A12">
        <w:trPr>
          <w:trHeight w:val="315"/>
        </w:trPr>
        <w:tc>
          <w:tcPr>
            <w:tcW w:w="387"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363" w:type="dxa"/>
            <w:vMerge/>
            <w:tcBorders>
              <w:top w:val="nil"/>
              <w:left w:val="single" w:sz="8" w:space="0" w:color="E26B0A"/>
              <w:bottom w:val="nil"/>
              <w:right w:val="single" w:sz="8" w:space="0" w:color="E26B0A"/>
            </w:tcBorders>
            <w:vAlign w:val="center"/>
            <w:hideMark/>
          </w:tcPr>
          <w:p w:rsidR="00A71A12" w:rsidRPr="00BB33FC" w:rsidRDefault="00A71A12" w:rsidP="00A71A12">
            <w:pPr>
              <w:rPr>
                <w:rFonts w:ascii="Arial" w:hAnsi="Arial" w:cs="Arial"/>
                <w:b/>
                <w:bCs/>
                <w:sz w:val="20"/>
                <w:szCs w:val="20"/>
              </w:rPr>
            </w:pPr>
          </w:p>
        </w:tc>
        <w:tc>
          <w:tcPr>
            <w:tcW w:w="5748" w:type="dxa"/>
            <w:gridSpan w:val="6"/>
            <w:tcBorders>
              <w:top w:val="nil"/>
              <w:left w:val="nil"/>
              <w:bottom w:val="nil"/>
              <w:right w:val="single" w:sz="4" w:space="0" w:color="A6A6A6"/>
            </w:tcBorders>
            <w:shd w:val="clear" w:color="000000" w:fill="FCD5B4"/>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vidiecke (riedko osídlené) (15-74 r.)</w:t>
            </w:r>
          </w:p>
        </w:tc>
        <w:tc>
          <w:tcPr>
            <w:tcW w:w="863" w:type="dxa"/>
            <w:gridSpan w:val="2"/>
            <w:tcBorders>
              <w:top w:val="nil"/>
              <w:left w:val="nil"/>
              <w:bottom w:val="nil"/>
              <w:right w:val="single" w:sz="4" w:space="0" w:color="A6A6A6"/>
            </w:tcBorders>
            <w:shd w:val="clear" w:color="000000" w:fill="CCC0DA"/>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17,8</w:t>
            </w:r>
          </w:p>
        </w:tc>
        <w:tc>
          <w:tcPr>
            <w:tcW w:w="1674" w:type="dxa"/>
            <w:gridSpan w:val="2"/>
            <w:tcBorders>
              <w:top w:val="nil"/>
              <w:left w:val="nil"/>
              <w:bottom w:val="nil"/>
              <w:right w:val="single" w:sz="4" w:space="0" w:color="A6A6A6"/>
            </w:tcBorders>
            <w:shd w:val="clear" w:color="000000" w:fill="FCD5B4"/>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w:t>
            </w:r>
          </w:p>
        </w:tc>
        <w:tc>
          <w:tcPr>
            <w:tcW w:w="641" w:type="dxa"/>
            <w:gridSpan w:val="2"/>
            <w:tcBorders>
              <w:top w:val="nil"/>
              <w:left w:val="nil"/>
              <w:bottom w:val="nil"/>
              <w:right w:val="single" w:sz="4" w:space="0" w:color="A6A6A6"/>
            </w:tcBorders>
            <w:shd w:val="clear" w:color="000000" w:fill="FCD5B4"/>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2012</w:t>
            </w:r>
          </w:p>
        </w:tc>
        <w:tc>
          <w:tcPr>
            <w:tcW w:w="951" w:type="dxa"/>
            <w:tcBorders>
              <w:top w:val="nil"/>
              <w:left w:val="nil"/>
              <w:bottom w:val="nil"/>
              <w:right w:val="single" w:sz="8" w:space="0" w:color="E26B0A"/>
            </w:tcBorders>
            <w:shd w:val="clear" w:color="000000" w:fill="FCD5B4"/>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w:t>
            </w:r>
          </w:p>
        </w:tc>
      </w:tr>
      <w:tr w:rsidR="00A71A12" w:rsidRPr="00BB33FC" w:rsidTr="00A71A12">
        <w:trPr>
          <w:trHeight w:val="255"/>
        </w:trPr>
        <w:tc>
          <w:tcPr>
            <w:tcW w:w="387"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363" w:type="dxa"/>
            <w:vMerge/>
            <w:tcBorders>
              <w:top w:val="nil"/>
              <w:left w:val="single" w:sz="8" w:space="0" w:color="E26B0A"/>
              <w:bottom w:val="nil"/>
              <w:right w:val="single" w:sz="8" w:space="0" w:color="E26B0A"/>
            </w:tcBorders>
            <w:vAlign w:val="center"/>
            <w:hideMark/>
          </w:tcPr>
          <w:p w:rsidR="00A71A12" w:rsidRPr="00BB33FC" w:rsidRDefault="00A71A12" w:rsidP="00A71A12">
            <w:pPr>
              <w:rPr>
                <w:rFonts w:ascii="Arial" w:hAnsi="Arial" w:cs="Arial"/>
                <w:b/>
                <w:bCs/>
                <w:sz w:val="20"/>
                <w:szCs w:val="20"/>
              </w:rPr>
            </w:pPr>
          </w:p>
        </w:tc>
        <w:tc>
          <w:tcPr>
            <w:tcW w:w="5748" w:type="dxa"/>
            <w:gridSpan w:val="6"/>
            <w:tcBorders>
              <w:top w:val="nil"/>
              <w:left w:val="nil"/>
              <w:bottom w:val="single" w:sz="8" w:space="0" w:color="E26B0A"/>
              <w:right w:val="single" w:sz="4" w:space="0" w:color="A6A6A6"/>
            </w:tcBorders>
            <w:shd w:val="clear" w:color="000000" w:fill="FDE9D9"/>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mládež (15-24 r.)</w:t>
            </w:r>
          </w:p>
        </w:tc>
        <w:tc>
          <w:tcPr>
            <w:tcW w:w="863" w:type="dxa"/>
            <w:gridSpan w:val="2"/>
            <w:tcBorders>
              <w:top w:val="nil"/>
              <w:left w:val="nil"/>
              <w:bottom w:val="single" w:sz="8" w:space="0" w:color="E26B0A"/>
              <w:right w:val="single" w:sz="4" w:space="0" w:color="A6A6A6"/>
            </w:tcBorders>
            <w:shd w:val="clear" w:color="000000" w:fill="FDE9D9"/>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39,1</w:t>
            </w:r>
          </w:p>
        </w:tc>
        <w:tc>
          <w:tcPr>
            <w:tcW w:w="1674" w:type="dxa"/>
            <w:gridSpan w:val="2"/>
            <w:tcBorders>
              <w:top w:val="nil"/>
              <w:left w:val="nil"/>
              <w:bottom w:val="single" w:sz="8" w:space="0" w:color="E26B0A"/>
              <w:right w:val="single" w:sz="4" w:space="0" w:color="A6A6A6"/>
            </w:tcBorders>
            <w:shd w:val="clear" w:color="000000" w:fill="FDE9D9"/>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w:t>
            </w:r>
          </w:p>
        </w:tc>
        <w:tc>
          <w:tcPr>
            <w:tcW w:w="641" w:type="dxa"/>
            <w:gridSpan w:val="2"/>
            <w:tcBorders>
              <w:top w:val="nil"/>
              <w:left w:val="nil"/>
              <w:bottom w:val="single" w:sz="8" w:space="0" w:color="E26B0A"/>
              <w:right w:val="single" w:sz="4" w:space="0" w:color="A6A6A6"/>
            </w:tcBorders>
            <w:shd w:val="clear" w:color="000000" w:fill="FDE9D9"/>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2012</w:t>
            </w:r>
          </w:p>
        </w:tc>
        <w:tc>
          <w:tcPr>
            <w:tcW w:w="951" w:type="dxa"/>
            <w:tcBorders>
              <w:top w:val="nil"/>
              <w:left w:val="nil"/>
              <w:bottom w:val="nil"/>
              <w:right w:val="single" w:sz="8" w:space="0" w:color="E26B0A"/>
            </w:tcBorders>
            <w:shd w:val="clear" w:color="000000" w:fill="FDE9D9"/>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w:t>
            </w:r>
          </w:p>
        </w:tc>
      </w:tr>
      <w:tr w:rsidR="00A71A12" w:rsidRPr="00BB33FC" w:rsidTr="00A71A12">
        <w:trPr>
          <w:trHeight w:val="300"/>
        </w:trPr>
        <w:tc>
          <w:tcPr>
            <w:tcW w:w="387"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363" w:type="dxa"/>
            <w:vMerge w:val="restart"/>
            <w:tcBorders>
              <w:top w:val="single" w:sz="8" w:space="0" w:color="E26B0A"/>
              <w:left w:val="single" w:sz="8" w:space="0" w:color="E26B0A"/>
              <w:bottom w:val="single" w:sz="8" w:space="0" w:color="E26B0A"/>
              <w:right w:val="single" w:sz="8" w:space="0" w:color="E26B0A"/>
            </w:tcBorders>
            <w:shd w:val="clear" w:color="auto" w:fill="auto"/>
            <w:noWrap/>
            <w:hideMark/>
          </w:tcPr>
          <w:p w:rsidR="00A71A12" w:rsidRPr="00BB33FC" w:rsidRDefault="00A71A12" w:rsidP="00A71A12">
            <w:pPr>
              <w:rPr>
                <w:rFonts w:ascii="Arial" w:hAnsi="Arial" w:cs="Arial"/>
                <w:b/>
                <w:bCs/>
                <w:sz w:val="20"/>
                <w:szCs w:val="20"/>
              </w:rPr>
            </w:pPr>
            <w:r w:rsidRPr="00BB33FC">
              <w:rPr>
                <w:rFonts w:ascii="Arial" w:hAnsi="Arial" w:cs="Arial"/>
                <w:b/>
                <w:bCs/>
                <w:sz w:val="20"/>
                <w:szCs w:val="20"/>
              </w:rPr>
              <w:t>8</w:t>
            </w:r>
          </w:p>
        </w:tc>
        <w:tc>
          <w:tcPr>
            <w:tcW w:w="9877" w:type="dxa"/>
            <w:gridSpan w:val="13"/>
            <w:tcBorders>
              <w:top w:val="single" w:sz="8" w:space="0" w:color="E26B0A"/>
              <w:left w:val="nil"/>
              <w:bottom w:val="single" w:sz="4" w:space="0" w:color="A6A6A6"/>
              <w:right w:val="single" w:sz="8" w:space="0" w:color="E26B0A"/>
            </w:tcBorders>
            <w:shd w:val="clear" w:color="000000" w:fill="FFFFFF"/>
            <w:noWrap/>
            <w:vAlign w:val="bottom"/>
            <w:hideMark/>
          </w:tcPr>
          <w:p w:rsidR="00A71A12" w:rsidRPr="00BB33FC" w:rsidRDefault="00A71A12" w:rsidP="00A71A12">
            <w:pPr>
              <w:rPr>
                <w:rFonts w:ascii="Arial" w:hAnsi="Arial" w:cs="Arial"/>
                <w:b/>
                <w:bCs/>
                <w:i/>
                <w:iCs/>
                <w:sz w:val="20"/>
                <w:szCs w:val="20"/>
              </w:rPr>
            </w:pPr>
            <w:r w:rsidRPr="00BB33FC">
              <w:rPr>
                <w:rFonts w:ascii="Arial" w:hAnsi="Arial" w:cs="Arial"/>
                <w:b/>
                <w:bCs/>
                <w:i/>
                <w:iCs/>
                <w:sz w:val="20"/>
                <w:szCs w:val="20"/>
              </w:rPr>
              <w:t>HDP na počet obyvateľov (GDP per capita)</w:t>
            </w:r>
          </w:p>
        </w:tc>
      </w:tr>
      <w:tr w:rsidR="00A71A12" w:rsidRPr="00BB33FC" w:rsidTr="00A71A12">
        <w:trPr>
          <w:trHeight w:val="495"/>
        </w:trPr>
        <w:tc>
          <w:tcPr>
            <w:tcW w:w="387"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363" w:type="dxa"/>
            <w:vMerge/>
            <w:tcBorders>
              <w:top w:val="single" w:sz="8" w:space="0" w:color="E26B0A"/>
              <w:left w:val="single" w:sz="8" w:space="0" w:color="E26B0A"/>
              <w:bottom w:val="single" w:sz="8" w:space="0" w:color="E26B0A"/>
              <w:right w:val="single" w:sz="8" w:space="0" w:color="E26B0A"/>
            </w:tcBorders>
            <w:vAlign w:val="center"/>
            <w:hideMark/>
          </w:tcPr>
          <w:p w:rsidR="00A71A12" w:rsidRPr="00BB33FC" w:rsidRDefault="00A71A12" w:rsidP="00A71A12">
            <w:pPr>
              <w:rPr>
                <w:rFonts w:ascii="Arial" w:hAnsi="Arial" w:cs="Arial"/>
                <w:b/>
                <w:bCs/>
                <w:sz w:val="20"/>
                <w:szCs w:val="20"/>
              </w:rPr>
            </w:pPr>
          </w:p>
        </w:tc>
        <w:tc>
          <w:tcPr>
            <w:tcW w:w="5748" w:type="dxa"/>
            <w:gridSpan w:val="6"/>
            <w:tcBorders>
              <w:top w:val="single" w:sz="4" w:space="0" w:color="A6A6A6"/>
              <w:left w:val="nil"/>
              <w:bottom w:val="single" w:sz="4" w:space="0" w:color="A6A6A6"/>
              <w:right w:val="single" w:sz="4" w:space="0" w:color="A6A6A6"/>
            </w:tcBorders>
            <w:shd w:val="clear" w:color="000000" w:fill="FCD5B4"/>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celkom</w:t>
            </w:r>
          </w:p>
        </w:tc>
        <w:tc>
          <w:tcPr>
            <w:tcW w:w="863" w:type="dxa"/>
            <w:gridSpan w:val="2"/>
            <w:tcBorders>
              <w:top w:val="nil"/>
              <w:left w:val="nil"/>
              <w:bottom w:val="single" w:sz="4" w:space="0" w:color="A6A6A6"/>
              <w:right w:val="single" w:sz="4" w:space="0" w:color="A6A6A6"/>
            </w:tcBorders>
            <w:shd w:val="clear" w:color="000000" w:fill="FCD5B4"/>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75,0</w:t>
            </w:r>
          </w:p>
        </w:tc>
        <w:tc>
          <w:tcPr>
            <w:tcW w:w="1674" w:type="dxa"/>
            <w:gridSpan w:val="2"/>
            <w:tcBorders>
              <w:top w:val="nil"/>
              <w:left w:val="nil"/>
              <w:bottom w:val="single" w:sz="4" w:space="0" w:color="A6A6A6"/>
              <w:right w:val="single" w:sz="4" w:space="0" w:color="A6A6A6"/>
            </w:tcBorders>
            <w:shd w:val="clear" w:color="000000" w:fill="FCD5B4"/>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Index PPS (EU-27 = 100)</w:t>
            </w:r>
          </w:p>
        </w:tc>
        <w:tc>
          <w:tcPr>
            <w:tcW w:w="641" w:type="dxa"/>
            <w:gridSpan w:val="2"/>
            <w:tcBorders>
              <w:top w:val="nil"/>
              <w:left w:val="nil"/>
              <w:bottom w:val="single" w:sz="4" w:space="0" w:color="A6A6A6"/>
              <w:right w:val="single" w:sz="4" w:space="0" w:color="A6A6A6"/>
            </w:tcBorders>
            <w:shd w:val="clear" w:color="000000" w:fill="FCD5B4"/>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2012</w:t>
            </w:r>
          </w:p>
        </w:tc>
        <w:tc>
          <w:tcPr>
            <w:tcW w:w="951" w:type="dxa"/>
            <w:tcBorders>
              <w:top w:val="nil"/>
              <w:left w:val="nil"/>
              <w:bottom w:val="single" w:sz="4" w:space="0" w:color="A6A6A6"/>
              <w:right w:val="single" w:sz="8" w:space="0" w:color="E26B0A"/>
            </w:tcBorders>
            <w:shd w:val="clear" w:color="000000" w:fill="FCD5B4"/>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w:t>
            </w:r>
          </w:p>
        </w:tc>
      </w:tr>
      <w:tr w:rsidR="00A71A12" w:rsidRPr="00BB33FC" w:rsidTr="00A71A12">
        <w:trPr>
          <w:trHeight w:val="510"/>
        </w:trPr>
        <w:tc>
          <w:tcPr>
            <w:tcW w:w="387"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363" w:type="dxa"/>
            <w:vMerge/>
            <w:tcBorders>
              <w:top w:val="single" w:sz="8" w:space="0" w:color="E26B0A"/>
              <w:left w:val="single" w:sz="8" w:space="0" w:color="E26B0A"/>
              <w:bottom w:val="single" w:sz="8" w:space="0" w:color="E26B0A"/>
              <w:right w:val="single" w:sz="8" w:space="0" w:color="E26B0A"/>
            </w:tcBorders>
            <w:vAlign w:val="center"/>
            <w:hideMark/>
          </w:tcPr>
          <w:p w:rsidR="00A71A12" w:rsidRPr="00BB33FC" w:rsidRDefault="00A71A12" w:rsidP="00A71A12">
            <w:pPr>
              <w:rPr>
                <w:rFonts w:ascii="Arial" w:hAnsi="Arial" w:cs="Arial"/>
                <w:b/>
                <w:bCs/>
                <w:sz w:val="20"/>
                <w:szCs w:val="20"/>
              </w:rPr>
            </w:pPr>
          </w:p>
        </w:tc>
        <w:tc>
          <w:tcPr>
            <w:tcW w:w="5748" w:type="dxa"/>
            <w:gridSpan w:val="6"/>
            <w:tcBorders>
              <w:top w:val="nil"/>
              <w:left w:val="nil"/>
              <w:bottom w:val="single" w:sz="8" w:space="0" w:color="E26B0A"/>
              <w:right w:val="single" w:sz="4" w:space="0" w:color="A6A6A6"/>
            </w:tcBorders>
            <w:shd w:val="clear" w:color="000000" w:fill="FDE9D9"/>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na vidieku</w:t>
            </w:r>
          </w:p>
        </w:tc>
        <w:tc>
          <w:tcPr>
            <w:tcW w:w="863" w:type="dxa"/>
            <w:gridSpan w:val="2"/>
            <w:tcBorders>
              <w:top w:val="nil"/>
              <w:left w:val="nil"/>
              <w:bottom w:val="single" w:sz="8" w:space="0" w:color="E26B0A"/>
              <w:right w:val="single" w:sz="4" w:space="0" w:color="A6A6A6"/>
            </w:tcBorders>
            <w:shd w:val="clear" w:color="000000" w:fill="FDE9D9"/>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57,7</w:t>
            </w:r>
          </w:p>
        </w:tc>
        <w:tc>
          <w:tcPr>
            <w:tcW w:w="1674" w:type="dxa"/>
            <w:gridSpan w:val="2"/>
            <w:tcBorders>
              <w:top w:val="nil"/>
              <w:left w:val="nil"/>
              <w:bottom w:val="single" w:sz="8" w:space="0" w:color="E26B0A"/>
              <w:right w:val="single" w:sz="4" w:space="0" w:color="A6A6A6"/>
            </w:tcBorders>
            <w:shd w:val="clear" w:color="000000" w:fill="FDE9D9"/>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Index PPS (EU-27 = 100)</w:t>
            </w:r>
          </w:p>
        </w:tc>
        <w:tc>
          <w:tcPr>
            <w:tcW w:w="641" w:type="dxa"/>
            <w:gridSpan w:val="2"/>
            <w:tcBorders>
              <w:top w:val="nil"/>
              <w:left w:val="nil"/>
              <w:bottom w:val="single" w:sz="8" w:space="0" w:color="E26B0A"/>
              <w:right w:val="single" w:sz="4" w:space="0" w:color="A6A6A6"/>
            </w:tcBorders>
            <w:shd w:val="clear" w:color="000000" w:fill="FDE9D9"/>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2010</w:t>
            </w:r>
          </w:p>
        </w:tc>
        <w:tc>
          <w:tcPr>
            <w:tcW w:w="951" w:type="dxa"/>
            <w:tcBorders>
              <w:top w:val="nil"/>
              <w:left w:val="nil"/>
              <w:bottom w:val="single" w:sz="8" w:space="0" w:color="E26B0A"/>
              <w:right w:val="single" w:sz="8" w:space="0" w:color="E26B0A"/>
            </w:tcBorders>
            <w:shd w:val="clear" w:color="000000" w:fill="FDE9D9"/>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w:t>
            </w:r>
          </w:p>
        </w:tc>
      </w:tr>
      <w:tr w:rsidR="00A71A12" w:rsidRPr="00BB33FC" w:rsidTr="00A71A12">
        <w:trPr>
          <w:trHeight w:val="300"/>
        </w:trPr>
        <w:tc>
          <w:tcPr>
            <w:tcW w:w="387"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363" w:type="dxa"/>
            <w:vMerge w:val="restart"/>
            <w:tcBorders>
              <w:top w:val="nil"/>
              <w:left w:val="single" w:sz="8" w:space="0" w:color="E26B0A"/>
              <w:bottom w:val="single" w:sz="8" w:space="0" w:color="E26B0A"/>
              <w:right w:val="single" w:sz="8" w:space="0" w:color="E26B0A"/>
            </w:tcBorders>
            <w:shd w:val="clear" w:color="auto" w:fill="auto"/>
            <w:noWrap/>
            <w:hideMark/>
          </w:tcPr>
          <w:p w:rsidR="00A71A12" w:rsidRPr="00BB33FC" w:rsidRDefault="00A71A12" w:rsidP="00A71A12">
            <w:pPr>
              <w:rPr>
                <w:rFonts w:ascii="Arial" w:hAnsi="Arial" w:cs="Arial"/>
                <w:b/>
                <w:bCs/>
                <w:sz w:val="20"/>
                <w:szCs w:val="20"/>
              </w:rPr>
            </w:pPr>
            <w:r w:rsidRPr="00BB33FC">
              <w:rPr>
                <w:rFonts w:ascii="Arial" w:hAnsi="Arial" w:cs="Arial"/>
                <w:b/>
                <w:bCs/>
                <w:sz w:val="20"/>
                <w:szCs w:val="20"/>
              </w:rPr>
              <w:t>9</w:t>
            </w:r>
          </w:p>
        </w:tc>
        <w:tc>
          <w:tcPr>
            <w:tcW w:w="9877" w:type="dxa"/>
            <w:gridSpan w:val="13"/>
            <w:tcBorders>
              <w:top w:val="single" w:sz="8" w:space="0" w:color="E26B0A"/>
              <w:left w:val="nil"/>
              <w:bottom w:val="single" w:sz="4" w:space="0" w:color="A6A6A6"/>
              <w:right w:val="single" w:sz="8" w:space="0" w:color="E26B0A"/>
            </w:tcBorders>
            <w:shd w:val="clear" w:color="000000" w:fill="FFFFFF"/>
            <w:noWrap/>
            <w:vAlign w:val="bottom"/>
            <w:hideMark/>
          </w:tcPr>
          <w:p w:rsidR="00A71A12" w:rsidRPr="00BB33FC" w:rsidRDefault="00A71A12" w:rsidP="00A71A12">
            <w:pPr>
              <w:rPr>
                <w:rFonts w:ascii="Arial" w:hAnsi="Arial" w:cs="Arial"/>
                <w:b/>
                <w:bCs/>
                <w:i/>
                <w:iCs/>
                <w:sz w:val="20"/>
                <w:szCs w:val="20"/>
              </w:rPr>
            </w:pPr>
            <w:r w:rsidRPr="00BB33FC">
              <w:rPr>
                <w:rFonts w:ascii="Arial" w:hAnsi="Arial" w:cs="Arial"/>
                <w:b/>
                <w:bCs/>
                <w:i/>
                <w:iCs/>
                <w:sz w:val="20"/>
                <w:szCs w:val="20"/>
              </w:rPr>
              <w:t>Miera chudoby</w:t>
            </w:r>
          </w:p>
        </w:tc>
      </w:tr>
      <w:tr w:rsidR="00A71A12" w:rsidRPr="00BB33FC" w:rsidTr="00A71A12">
        <w:trPr>
          <w:trHeight w:val="495"/>
        </w:trPr>
        <w:tc>
          <w:tcPr>
            <w:tcW w:w="387"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363" w:type="dxa"/>
            <w:vMerge/>
            <w:tcBorders>
              <w:top w:val="nil"/>
              <w:left w:val="single" w:sz="8" w:space="0" w:color="E26B0A"/>
              <w:bottom w:val="single" w:sz="8" w:space="0" w:color="E26B0A"/>
              <w:right w:val="single" w:sz="8" w:space="0" w:color="E26B0A"/>
            </w:tcBorders>
            <w:vAlign w:val="center"/>
            <w:hideMark/>
          </w:tcPr>
          <w:p w:rsidR="00A71A12" w:rsidRPr="00BB33FC" w:rsidRDefault="00A71A12" w:rsidP="00A71A12">
            <w:pPr>
              <w:rPr>
                <w:rFonts w:ascii="Arial" w:hAnsi="Arial" w:cs="Arial"/>
                <w:b/>
                <w:bCs/>
                <w:sz w:val="20"/>
                <w:szCs w:val="20"/>
              </w:rPr>
            </w:pPr>
          </w:p>
        </w:tc>
        <w:tc>
          <w:tcPr>
            <w:tcW w:w="5748" w:type="dxa"/>
            <w:gridSpan w:val="6"/>
            <w:tcBorders>
              <w:top w:val="single" w:sz="4" w:space="0" w:color="A6A6A6"/>
              <w:left w:val="nil"/>
              <w:bottom w:val="single" w:sz="4" w:space="0" w:color="A6A6A6"/>
              <w:right w:val="single" w:sz="4" w:space="0" w:color="A6A6A6"/>
            </w:tcBorders>
            <w:shd w:val="clear" w:color="000000" w:fill="FCD5B4"/>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celkom</w:t>
            </w:r>
          </w:p>
        </w:tc>
        <w:tc>
          <w:tcPr>
            <w:tcW w:w="863" w:type="dxa"/>
            <w:gridSpan w:val="2"/>
            <w:tcBorders>
              <w:top w:val="nil"/>
              <w:left w:val="nil"/>
              <w:bottom w:val="single" w:sz="4" w:space="0" w:color="A6A6A6"/>
              <w:right w:val="single" w:sz="4" w:space="0" w:color="A6A6A6"/>
            </w:tcBorders>
            <w:shd w:val="clear" w:color="000000" w:fill="FCD5B4"/>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20,6</w:t>
            </w:r>
          </w:p>
        </w:tc>
        <w:tc>
          <w:tcPr>
            <w:tcW w:w="1674" w:type="dxa"/>
            <w:gridSpan w:val="2"/>
            <w:tcBorders>
              <w:top w:val="nil"/>
              <w:left w:val="nil"/>
              <w:bottom w:val="single" w:sz="4" w:space="0" w:color="A6A6A6"/>
              <w:right w:val="single" w:sz="4" w:space="0" w:color="A6A6A6"/>
            </w:tcBorders>
            <w:shd w:val="clear" w:color="000000" w:fill="FCD5B4"/>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 z celk. počtu obyv.</w:t>
            </w:r>
          </w:p>
        </w:tc>
        <w:tc>
          <w:tcPr>
            <w:tcW w:w="641" w:type="dxa"/>
            <w:gridSpan w:val="2"/>
            <w:tcBorders>
              <w:top w:val="nil"/>
              <w:left w:val="nil"/>
              <w:bottom w:val="single" w:sz="4" w:space="0" w:color="A6A6A6"/>
              <w:right w:val="single" w:sz="4" w:space="0" w:color="A6A6A6"/>
            </w:tcBorders>
            <w:shd w:val="clear" w:color="000000" w:fill="FCD5B4"/>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2011</w:t>
            </w:r>
          </w:p>
        </w:tc>
        <w:tc>
          <w:tcPr>
            <w:tcW w:w="951" w:type="dxa"/>
            <w:tcBorders>
              <w:top w:val="nil"/>
              <w:left w:val="nil"/>
              <w:bottom w:val="single" w:sz="4" w:space="0" w:color="A6A6A6"/>
              <w:right w:val="single" w:sz="8" w:space="0" w:color="E26B0A"/>
            </w:tcBorders>
            <w:shd w:val="clear" w:color="000000" w:fill="FCD5B4"/>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w:t>
            </w:r>
          </w:p>
        </w:tc>
      </w:tr>
      <w:tr w:rsidR="00A71A12" w:rsidRPr="00BB33FC" w:rsidTr="00A71A12">
        <w:trPr>
          <w:trHeight w:val="510"/>
        </w:trPr>
        <w:tc>
          <w:tcPr>
            <w:tcW w:w="387"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363" w:type="dxa"/>
            <w:vMerge/>
            <w:tcBorders>
              <w:top w:val="nil"/>
              <w:left w:val="single" w:sz="8" w:space="0" w:color="E26B0A"/>
              <w:bottom w:val="single" w:sz="8" w:space="0" w:color="E26B0A"/>
              <w:right w:val="single" w:sz="8" w:space="0" w:color="E26B0A"/>
            </w:tcBorders>
            <w:vAlign w:val="center"/>
            <w:hideMark/>
          </w:tcPr>
          <w:p w:rsidR="00A71A12" w:rsidRPr="00BB33FC" w:rsidRDefault="00A71A12" w:rsidP="00A71A12">
            <w:pPr>
              <w:rPr>
                <w:rFonts w:ascii="Arial" w:hAnsi="Arial" w:cs="Arial"/>
                <w:b/>
                <w:bCs/>
                <w:sz w:val="20"/>
                <w:szCs w:val="20"/>
              </w:rPr>
            </w:pPr>
          </w:p>
        </w:tc>
        <w:tc>
          <w:tcPr>
            <w:tcW w:w="5748" w:type="dxa"/>
            <w:gridSpan w:val="6"/>
            <w:tcBorders>
              <w:top w:val="nil"/>
              <w:left w:val="nil"/>
              <w:bottom w:val="single" w:sz="8" w:space="0" w:color="E26B0A"/>
              <w:right w:val="single" w:sz="4" w:space="0" w:color="A6A6A6"/>
            </w:tcBorders>
            <w:shd w:val="clear" w:color="000000" w:fill="FDE9D9"/>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vidiecke (riedko osídlené)</w:t>
            </w:r>
          </w:p>
        </w:tc>
        <w:tc>
          <w:tcPr>
            <w:tcW w:w="863" w:type="dxa"/>
            <w:gridSpan w:val="2"/>
            <w:tcBorders>
              <w:top w:val="nil"/>
              <w:left w:val="nil"/>
              <w:bottom w:val="single" w:sz="8" w:space="0" w:color="E26B0A"/>
              <w:right w:val="single" w:sz="4" w:space="0" w:color="A6A6A6"/>
            </w:tcBorders>
            <w:shd w:val="clear" w:color="000000" w:fill="FDE9D9"/>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23,8</w:t>
            </w:r>
          </w:p>
        </w:tc>
        <w:tc>
          <w:tcPr>
            <w:tcW w:w="1674" w:type="dxa"/>
            <w:gridSpan w:val="2"/>
            <w:tcBorders>
              <w:top w:val="nil"/>
              <w:left w:val="nil"/>
              <w:bottom w:val="single" w:sz="8" w:space="0" w:color="E26B0A"/>
              <w:right w:val="single" w:sz="4" w:space="0" w:color="A6A6A6"/>
            </w:tcBorders>
            <w:shd w:val="clear" w:color="000000" w:fill="FDE9D9"/>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 z celk. počtu obyv.</w:t>
            </w:r>
          </w:p>
        </w:tc>
        <w:tc>
          <w:tcPr>
            <w:tcW w:w="641" w:type="dxa"/>
            <w:gridSpan w:val="2"/>
            <w:tcBorders>
              <w:top w:val="nil"/>
              <w:left w:val="nil"/>
              <w:bottom w:val="single" w:sz="8" w:space="0" w:color="E26B0A"/>
              <w:right w:val="single" w:sz="4" w:space="0" w:color="A6A6A6"/>
            </w:tcBorders>
            <w:shd w:val="clear" w:color="000000" w:fill="FDE9D9"/>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2011</w:t>
            </w:r>
          </w:p>
        </w:tc>
        <w:tc>
          <w:tcPr>
            <w:tcW w:w="951" w:type="dxa"/>
            <w:tcBorders>
              <w:top w:val="nil"/>
              <w:left w:val="nil"/>
              <w:bottom w:val="single" w:sz="8" w:space="0" w:color="E26B0A"/>
              <w:right w:val="single" w:sz="8" w:space="0" w:color="E26B0A"/>
            </w:tcBorders>
            <w:shd w:val="clear" w:color="000000" w:fill="FDE9D9"/>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w:t>
            </w:r>
          </w:p>
        </w:tc>
      </w:tr>
      <w:tr w:rsidR="00A71A12" w:rsidRPr="00BB33FC" w:rsidTr="00A71A12">
        <w:trPr>
          <w:trHeight w:val="300"/>
        </w:trPr>
        <w:tc>
          <w:tcPr>
            <w:tcW w:w="387"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363" w:type="dxa"/>
            <w:vMerge w:val="restart"/>
            <w:tcBorders>
              <w:top w:val="nil"/>
              <w:left w:val="single" w:sz="8" w:space="0" w:color="E26B0A"/>
              <w:bottom w:val="single" w:sz="8" w:space="0" w:color="E26B0A"/>
              <w:right w:val="single" w:sz="8" w:space="0" w:color="E26B0A"/>
            </w:tcBorders>
            <w:shd w:val="clear" w:color="auto" w:fill="auto"/>
            <w:noWrap/>
            <w:hideMark/>
          </w:tcPr>
          <w:p w:rsidR="00A71A12" w:rsidRPr="00BB33FC" w:rsidRDefault="00A71A12" w:rsidP="00A71A12">
            <w:pPr>
              <w:rPr>
                <w:rFonts w:ascii="Arial" w:hAnsi="Arial" w:cs="Arial"/>
                <w:b/>
                <w:bCs/>
                <w:sz w:val="20"/>
                <w:szCs w:val="20"/>
              </w:rPr>
            </w:pPr>
            <w:r w:rsidRPr="00BB33FC">
              <w:rPr>
                <w:rFonts w:ascii="Arial" w:hAnsi="Arial" w:cs="Arial"/>
                <w:b/>
                <w:bCs/>
                <w:sz w:val="20"/>
                <w:szCs w:val="20"/>
              </w:rPr>
              <w:t>10</w:t>
            </w:r>
          </w:p>
        </w:tc>
        <w:tc>
          <w:tcPr>
            <w:tcW w:w="9877" w:type="dxa"/>
            <w:gridSpan w:val="13"/>
            <w:tcBorders>
              <w:top w:val="single" w:sz="8" w:space="0" w:color="E26B0A"/>
              <w:left w:val="nil"/>
              <w:bottom w:val="single" w:sz="4" w:space="0" w:color="A6A6A6"/>
              <w:right w:val="single" w:sz="8" w:space="0" w:color="E26B0A"/>
            </w:tcBorders>
            <w:shd w:val="clear" w:color="000000" w:fill="FFFFFF"/>
            <w:noWrap/>
            <w:vAlign w:val="bottom"/>
            <w:hideMark/>
          </w:tcPr>
          <w:p w:rsidR="00A71A12" w:rsidRPr="00BB33FC" w:rsidRDefault="00A71A12" w:rsidP="00A71A12">
            <w:pPr>
              <w:rPr>
                <w:rFonts w:ascii="Arial" w:hAnsi="Arial" w:cs="Arial"/>
                <w:b/>
                <w:bCs/>
                <w:i/>
                <w:iCs/>
                <w:sz w:val="20"/>
                <w:szCs w:val="20"/>
              </w:rPr>
            </w:pPr>
            <w:r w:rsidRPr="00BB33FC">
              <w:rPr>
                <w:rFonts w:ascii="Arial" w:hAnsi="Arial" w:cs="Arial"/>
                <w:b/>
                <w:bCs/>
                <w:i/>
                <w:iCs/>
                <w:sz w:val="20"/>
                <w:szCs w:val="20"/>
              </w:rPr>
              <w:t>Štruktúra ekonomiky (Hrubá pridaná hodnota - GVA)</w:t>
            </w:r>
          </w:p>
        </w:tc>
      </w:tr>
      <w:tr w:rsidR="00A71A12" w:rsidRPr="00BB33FC" w:rsidTr="00A71A12">
        <w:trPr>
          <w:trHeight w:val="300"/>
        </w:trPr>
        <w:tc>
          <w:tcPr>
            <w:tcW w:w="387"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363" w:type="dxa"/>
            <w:vMerge/>
            <w:tcBorders>
              <w:top w:val="nil"/>
              <w:left w:val="single" w:sz="8" w:space="0" w:color="E26B0A"/>
              <w:bottom w:val="single" w:sz="8" w:space="0" w:color="E26B0A"/>
              <w:right w:val="single" w:sz="8" w:space="0" w:color="E26B0A"/>
            </w:tcBorders>
            <w:vAlign w:val="center"/>
            <w:hideMark/>
          </w:tcPr>
          <w:p w:rsidR="00A71A12" w:rsidRPr="00BB33FC" w:rsidRDefault="00A71A12" w:rsidP="00A71A12">
            <w:pPr>
              <w:rPr>
                <w:rFonts w:ascii="Arial" w:hAnsi="Arial" w:cs="Arial"/>
                <w:b/>
                <w:bCs/>
                <w:sz w:val="20"/>
                <w:szCs w:val="20"/>
              </w:rPr>
            </w:pPr>
          </w:p>
        </w:tc>
        <w:tc>
          <w:tcPr>
            <w:tcW w:w="5748" w:type="dxa"/>
            <w:gridSpan w:val="6"/>
            <w:tcBorders>
              <w:top w:val="single" w:sz="4" w:space="0" w:color="A6A6A6"/>
              <w:left w:val="nil"/>
              <w:bottom w:val="single" w:sz="4" w:space="0" w:color="A6A6A6"/>
              <w:right w:val="single" w:sz="4" w:space="0" w:color="A6A6A6"/>
            </w:tcBorders>
            <w:shd w:val="clear" w:color="000000" w:fill="FCD5B4"/>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celkom</w:t>
            </w:r>
          </w:p>
        </w:tc>
        <w:tc>
          <w:tcPr>
            <w:tcW w:w="863" w:type="dxa"/>
            <w:gridSpan w:val="2"/>
            <w:tcBorders>
              <w:top w:val="nil"/>
              <w:left w:val="nil"/>
              <w:bottom w:val="single" w:sz="4" w:space="0" w:color="A6A6A6"/>
              <w:right w:val="single" w:sz="4" w:space="0" w:color="A6A6A6"/>
            </w:tcBorders>
            <w:shd w:val="clear" w:color="000000" w:fill="FCD5B4"/>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65 409,0</w:t>
            </w:r>
          </w:p>
        </w:tc>
        <w:tc>
          <w:tcPr>
            <w:tcW w:w="1674" w:type="dxa"/>
            <w:gridSpan w:val="2"/>
            <w:tcBorders>
              <w:top w:val="nil"/>
              <w:left w:val="nil"/>
              <w:bottom w:val="single" w:sz="4" w:space="0" w:color="A6A6A6"/>
              <w:right w:val="single" w:sz="4" w:space="0" w:color="A6A6A6"/>
            </w:tcBorders>
            <w:shd w:val="clear" w:color="000000" w:fill="FCD5B4"/>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(mil. EUR)</w:t>
            </w:r>
          </w:p>
        </w:tc>
        <w:tc>
          <w:tcPr>
            <w:tcW w:w="641" w:type="dxa"/>
            <w:gridSpan w:val="2"/>
            <w:tcBorders>
              <w:top w:val="nil"/>
              <w:left w:val="nil"/>
              <w:bottom w:val="single" w:sz="4" w:space="0" w:color="A6A6A6"/>
              <w:right w:val="single" w:sz="4" w:space="0" w:color="A6A6A6"/>
            </w:tcBorders>
            <w:shd w:val="clear" w:color="000000" w:fill="FCD5B4"/>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2012</w:t>
            </w:r>
          </w:p>
        </w:tc>
        <w:tc>
          <w:tcPr>
            <w:tcW w:w="951" w:type="dxa"/>
            <w:tcBorders>
              <w:top w:val="nil"/>
              <w:left w:val="nil"/>
              <w:bottom w:val="single" w:sz="4" w:space="0" w:color="A6A6A6"/>
              <w:right w:val="single" w:sz="8" w:space="0" w:color="E26B0A"/>
            </w:tcBorders>
            <w:shd w:val="clear" w:color="000000" w:fill="FCD5B4"/>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w:t>
            </w:r>
          </w:p>
        </w:tc>
      </w:tr>
      <w:tr w:rsidR="00A71A12" w:rsidRPr="00BB33FC" w:rsidTr="00A71A12">
        <w:trPr>
          <w:trHeight w:val="300"/>
        </w:trPr>
        <w:tc>
          <w:tcPr>
            <w:tcW w:w="387"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363" w:type="dxa"/>
            <w:vMerge/>
            <w:tcBorders>
              <w:top w:val="nil"/>
              <w:left w:val="single" w:sz="8" w:space="0" w:color="E26B0A"/>
              <w:bottom w:val="single" w:sz="8" w:space="0" w:color="E26B0A"/>
              <w:right w:val="single" w:sz="8" w:space="0" w:color="E26B0A"/>
            </w:tcBorders>
            <w:vAlign w:val="center"/>
            <w:hideMark/>
          </w:tcPr>
          <w:p w:rsidR="00A71A12" w:rsidRPr="00BB33FC" w:rsidRDefault="00A71A12" w:rsidP="00A71A12">
            <w:pPr>
              <w:rPr>
                <w:rFonts w:ascii="Arial" w:hAnsi="Arial" w:cs="Arial"/>
                <w:b/>
                <w:bCs/>
                <w:sz w:val="20"/>
                <w:szCs w:val="20"/>
              </w:rPr>
            </w:pPr>
          </w:p>
        </w:tc>
        <w:tc>
          <w:tcPr>
            <w:tcW w:w="4662" w:type="dxa"/>
            <w:gridSpan w:val="4"/>
            <w:tcBorders>
              <w:top w:val="nil"/>
              <w:left w:val="nil"/>
              <w:bottom w:val="nil"/>
              <w:right w:val="nil"/>
            </w:tcBorders>
            <w:shd w:val="clear" w:color="000000" w:fill="FDE9D9"/>
            <w:noWrap/>
            <w:hideMark/>
          </w:tcPr>
          <w:p w:rsidR="00A71A12" w:rsidRPr="00BB33FC" w:rsidRDefault="00A71A12" w:rsidP="00A71A12">
            <w:pPr>
              <w:rPr>
                <w:rFonts w:ascii="Arial" w:hAnsi="Arial" w:cs="Arial"/>
                <w:sz w:val="18"/>
                <w:szCs w:val="18"/>
              </w:rPr>
            </w:pPr>
            <w:r w:rsidRPr="00BB33FC">
              <w:rPr>
                <w:rFonts w:ascii="Arial" w:hAnsi="Arial" w:cs="Arial"/>
                <w:sz w:val="18"/>
                <w:szCs w:val="18"/>
              </w:rPr>
              <w:t>primárny</w:t>
            </w:r>
          </w:p>
        </w:tc>
        <w:tc>
          <w:tcPr>
            <w:tcW w:w="1086" w:type="dxa"/>
            <w:gridSpan w:val="2"/>
            <w:tcBorders>
              <w:top w:val="nil"/>
              <w:left w:val="nil"/>
              <w:bottom w:val="nil"/>
              <w:right w:val="single" w:sz="4" w:space="0" w:color="A6A6A6"/>
            </w:tcBorders>
            <w:shd w:val="clear" w:color="000000" w:fill="FDE9D9"/>
            <w:noWrap/>
            <w:hideMark/>
          </w:tcPr>
          <w:p w:rsidR="00A71A12" w:rsidRPr="00BB33FC" w:rsidRDefault="00A71A12" w:rsidP="00A71A12">
            <w:pPr>
              <w:rPr>
                <w:rFonts w:ascii="Arial" w:hAnsi="Arial" w:cs="Arial"/>
                <w:sz w:val="18"/>
                <w:szCs w:val="18"/>
              </w:rPr>
            </w:pPr>
            <w:r w:rsidRPr="00BB33FC">
              <w:rPr>
                <w:rFonts w:ascii="Arial" w:hAnsi="Arial" w:cs="Arial"/>
                <w:sz w:val="18"/>
                <w:szCs w:val="18"/>
              </w:rPr>
              <w:t> </w:t>
            </w:r>
          </w:p>
        </w:tc>
        <w:tc>
          <w:tcPr>
            <w:tcW w:w="863" w:type="dxa"/>
            <w:gridSpan w:val="2"/>
            <w:tcBorders>
              <w:top w:val="nil"/>
              <w:left w:val="nil"/>
              <w:bottom w:val="nil"/>
              <w:right w:val="single" w:sz="4" w:space="0" w:color="A6A6A6"/>
            </w:tcBorders>
            <w:shd w:val="clear" w:color="000000" w:fill="FDE9D9"/>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3,6</w:t>
            </w:r>
          </w:p>
        </w:tc>
        <w:tc>
          <w:tcPr>
            <w:tcW w:w="1674" w:type="dxa"/>
            <w:gridSpan w:val="2"/>
            <w:tcBorders>
              <w:top w:val="nil"/>
              <w:left w:val="nil"/>
              <w:bottom w:val="nil"/>
              <w:right w:val="single" w:sz="4" w:space="0" w:color="A6A6A6"/>
            </w:tcBorders>
            <w:shd w:val="clear" w:color="000000" w:fill="FDE9D9"/>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 z celku</w:t>
            </w:r>
          </w:p>
        </w:tc>
        <w:tc>
          <w:tcPr>
            <w:tcW w:w="641" w:type="dxa"/>
            <w:gridSpan w:val="2"/>
            <w:tcBorders>
              <w:top w:val="nil"/>
              <w:left w:val="nil"/>
              <w:bottom w:val="nil"/>
              <w:right w:val="single" w:sz="4" w:space="0" w:color="A6A6A6"/>
            </w:tcBorders>
            <w:shd w:val="clear" w:color="000000" w:fill="FDE9D9"/>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2012</w:t>
            </w:r>
          </w:p>
        </w:tc>
        <w:tc>
          <w:tcPr>
            <w:tcW w:w="951" w:type="dxa"/>
            <w:tcBorders>
              <w:top w:val="nil"/>
              <w:left w:val="nil"/>
              <w:bottom w:val="nil"/>
              <w:right w:val="single" w:sz="8" w:space="0" w:color="E26B0A"/>
            </w:tcBorders>
            <w:shd w:val="clear" w:color="000000" w:fill="FDE9D9"/>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w:t>
            </w:r>
          </w:p>
        </w:tc>
      </w:tr>
      <w:tr w:rsidR="00A71A12" w:rsidRPr="00BB33FC" w:rsidTr="00A71A12">
        <w:trPr>
          <w:trHeight w:val="510"/>
        </w:trPr>
        <w:tc>
          <w:tcPr>
            <w:tcW w:w="387"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363" w:type="dxa"/>
            <w:vMerge/>
            <w:tcBorders>
              <w:top w:val="nil"/>
              <w:left w:val="single" w:sz="8" w:space="0" w:color="E26B0A"/>
              <w:bottom w:val="single" w:sz="8" w:space="0" w:color="E26B0A"/>
              <w:right w:val="single" w:sz="8" w:space="0" w:color="E26B0A"/>
            </w:tcBorders>
            <w:vAlign w:val="center"/>
            <w:hideMark/>
          </w:tcPr>
          <w:p w:rsidR="00A71A12" w:rsidRPr="00BB33FC" w:rsidRDefault="00A71A12" w:rsidP="00A71A12">
            <w:pPr>
              <w:rPr>
                <w:rFonts w:ascii="Arial" w:hAnsi="Arial" w:cs="Arial"/>
                <w:b/>
                <w:bCs/>
                <w:sz w:val="20"/>
                <w:szCs w:val="20"/>
              </w:rPr>
            </w:pPr>
          </w:p>
        </w:tc>
        <w:tc>
          <w:tcPr>
            <w:tcW w:w="4662" w:type="dxa"/>
            <w:gridSpan w:val="4"/>
            <w:tcBorders>
              <w:top w:val="nil"/>
              <w:left w:val="nil"/>
              <w:bottom w:val="nil"/>
              <w:right w:val="nil"/>
            </w:tcBorders>
            <w:shd w:val="clear" w:color="000000" w:fill="FDE9D9"/>
            <w:hideMark/>
          </w:tcPr>
          <w:p w:rsidR="00A71A12" w:rsidRPr="00BB33FC" w:rsidRDefault="00A71A12" w:rsidP="00A71A12">
            <w:pPr>
              <w:rPr>
                <w:rFonts w:ascii="Arial" w:hAnsi="Arial" w:cs="Arial"/>
                <w:sz w:val="18"/>
                <w:szCs w:val="18"/>
              </w:rPr>
            </w:pPr>
            <w:r w:rsidRPr="00BB33FC">
              <w:rPr>
                <w:rFonts w:ascii="Arial" w:hAnsi="Arial" w:cs="Arial"/>
                <w:sz w:val="18"/>
                <w:szCs w:val="18"/>
              </w:rPr>
              <w:t>sekundárny</w:t>
            </w:r>
          </w:p>
        </w:tc>
        <w:tc>
          <w:tcPr>
            <w:tcW w:w="1086" w:type="dxa"/>
            <w:gridSpan w:val="2"/>
            <w:tcBorders>
              <w:top w:val="nil"/>
              <w:left w:val="nil"/>
              <w:bottom w:val="nil"/>
              <w:right w:val="single" w:sz="4" w:space="0" w:color="A6A6A6"/>
            </w:tcBorders>
            <w:shd w:val="clear" w:color="000000" w:fill="FDE9D9"/>
            <w:noWrap/>
            <w:vAlign w:val="bottom"/>
            <w:hideMark/>
          </w:tcPr>
          <w:p w:rsidR="00A71A12" w:rsidRPr="00BB33FC" w:rsidRDefault="00A71A12" w:rsidP="00A71A12">
            <w:pPr>
              <w:jc w:val="right"/>
              <w:rPr>
                <w:rFonts w:ascii="Arial" w:hAnsi="Arial" w:cs="Arial"/>
                <w:i/>
                <w:iCs/>
                <w:color w:val="FF0000"/>
                <w:sz w:val="16"/>
                <w:szCs w:val="16"/>
              </w:rPr>
            </w:pPr>
            <w:r w:rsidRPr="00BB33FC">
              <w:rPr>
                <w:rFonts w:ascii="Arial" w:hAnsi="Arial" w:cs="Arial"/>
                <w:i/>
                <w:iCs/>
                <w:color w:val="FF0000"/>
                <w:sz w:val="16"/>
                <w:szCs w:val="16"/>
              </w:rPr>
              <w:t>check total %</w:t>
            </w:r>
          </w:p>
        </w:tc>
        <w:tc>
          <w:tcPr>
            <w:tcW w:w="863" w:type="dxa"/>
            <w:gridSpan w:val="2"/>
            <w:tcBorders>
              <w:top w:val="nil"/>
              <w:left w:val="nil"/>
              <w:bottom w:val="nil"/>
              <w:right w:val="single" w:sz="4" w:space="0" w:color="A6A6A6"/>
            </w:tcBorders>
            <w:shd w:val="clear" w:color="000000" w:fill="FDE9D9"/>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35,9</w:t>
            </w:r>
          </w:p>
        </w:tc>
        <w:tc>
          <w:tcPr>
            <w:tcW w:w="1674" w:type="dxa"/>
            <w:gridSpan w:val="2"/>
            <w:tcBorders>
              <w:top w:val="nil"/>
              <w:left w:val="nil"/>
              <w:bottom w:val="nil"/>
              <w:right w:val="single" w:sz="4" w:space="0" w:color="A6A6A6"/>
            </w:tcBorders>
            <w:shd w:val="clear" w:color="000000" w:fill="FDE9D9"/>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 z celku</w:t>
            </w:r>
          </w:p>
        </w:tc>
        <w:tc>
          <w:tcPr>
            <w:tcW w:w="641" w:type="dxa"/>
            <w:gridSpan w:val="2"/>
            <w:tcBorders>
              <w:top w:val="nil"/>
              <w:left w:val="nil"/>
              <w:bottom w:val="nil"/>
              <w:right w:val="single" w:sz="4" w:space="0" w:color="A6A6A6"/>
            </w:tcBorders>
            <w:shd w:val="clear" w:color="000000" w:fill="FDE9D9"/>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2012</w:t>
            </w:r>
          </w:p>
        </w:tc>
        <w:tc>
          <w:tcPr>
            <w:tcW w:w="951" w:type="dxa"/>
            <w:tcBorders>
              <w:top w:val="nil"/>
              <w:left w:val="nil"/>
              <w:bottom w:val="nil"/>
              <w:right w:val="single" w:sz="8" w:space="0" w:color="E26B0A"/>
            </w:tcBorders>
            <w:shd w:val="clear" w:color="000000" w:fill="FDE9D9"/>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w:t>
            </w:r>
          </w:p>
        </w:tc>
      </w:tr>
      <w:tr w:rsidR="00A71A12" w:rsidRPr="00BB33FC" w:rsidTr="00A71A12">
        <w:trPr>
          <w:trHeight w:val="480"/>
        </w:trPr>
        <w:tc>
          <w:tcPr>
            <w:tcW w:w="387"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363" w:type="dxa"/>
            <w:vMerge/>
            <w:tcBorders>
              <w:top w:val="nil"/>
              <w:left w:val="single" w:sz="8" w:space="0" w:color="E26B0A"/>
              <w:bottom w:val="single" w:sz="8" w:space="0" w:color="E26B0A"/>
              <w:right w:val="single" w:sz="8" w:space="0" w:color="E26B0A"/>
            </w:tcBorders>
            <w:vAlign w:val="center"/>
            <w:hideMark/>
          </w:tcPr>
          <w:p w:rsidR="00A71A12" w:rsidRPr="00BB33FC" w:rsidRDefault="00A71A12" w:rsidP="00A71A12">
            <w:pPr>
              <w:rPr>
                <w:rFonts w:ascii="Arial" w:hAnsi="Arial" w:cs="Arial"/>
                <w:b/>
                <w:bCs/>
                <w:sz w:val="20"/>
                <w:szCs w:val="20"/>
              </w:rPr>
            </w:pPr>
          </w:p>
        </w:tc>
        <w:tc>
          <w:tcPr>
            <w:tcW w:w="4662" w:type="dxa"/>
            <w:gridSpan w:val="4"/>
            <w:tcBorders>
              <w:top w:val="nil"/>
              <w:left w:val="nil"/>
              <w:bottom w:val="single" w:sz="4" w:space="0" w:color="A6A6A6"/>
              <w:right w:val="nil"/>
            </w:tcBorders>
            <w:shd w:val="clear" w:color="000000" w:fill="FDE9D9"/>
            <w:hideMark/>
          </w:tcPr>
          <w:p w:rsidR="00A71A12" w:rsidRPr="00BB33FC" w:rsidRDefault="00A71A12" w:rsidP="00A71A12">
            <w:pPr>
              <w:rPr>
                <w:rFonts w:ascii="Arial" w:hAnsi="Arial" w:cs="Arial"/>
                <w:sz w:val="18"/>
                <w:szCs w:val="18"/>
              </w:rPr>
            </w:pPr>
            <w:r w:rsidRPr="00BB33FC">
              <w:rPr>
                <w:rFonts w:ascii="Arial" w:hAnsi="Arial" w:cs="Arial"/>
                <w:sz w:val="18"/>
                <w:szCs w:val="18"/>
              </w:rPr>
              <w:t xml:space="preserve">terciárny </w:t>
            </w:r>
          </w:p>
        </w:tc>
        <w:tc>
          <w:tcPr>
            <w:tcW w:w="1086" w:type="dxa"/>
            <w:gridSpan w:val="2"/>
            <w:tcBorders>
              <w:top w:val="nil"/>
              <w:left w:val="nil"/>
              <w:bottom w:val="single" w:sz="4" w:space="0" w:color="A6A6A6"/>
              <w:right w:val="single" w:sz="4" w:space="0" w:color="A6A6A6"/>
            </w:tcBorders>
            <w:shd w:val="clear" w:color="000000" w:fill="FDE9D9"/>
            <w:noWrap/>
            <w:vAlign w:val="bottom"/>
            <w:hideMark/>
          </w:tcPr>
          <w:p w:rsidR="00A71A12" w:rsidRPr="00BB33FC" w:rsidRDefault="00A71A12" w:rsidP="00A71A12">
            <w:pPr>
              <w:jc w:val="right"/>
              <w:rPr>
                <w:rFonts w:ascii="Arial" w:hAnsi="Arial" w:cs="Arial"/>
                <w:i/>
                <w:iCs/>
                <w:color w:val="E26B0A"/>
                <w:sz w:val="16"/>
                <w:szCs w:val="16"/>
              </w:rPr>
            </w:pPr>
            <w:r w:rsidRPr="00BB33FC">
              <w:rPr>
                <w:rFonts w:ascii="Arial" w:hAnsi="Arial" w:cs="Arial"/>
                <w:i/>
                <w:iCs/>
                <w:color w:val="E26B0A"/>
                <w:sz w:val="16"/>
                <w:szCs w:val="16"/>
              </w:rPr>
              <w:t>100,0</w:t>
            </w:r>
          </w:p>
        </w:tc>
        <w:tc>
          <w:tcPr>
            <w:tcW w:w="863" w:type="dxa"/>
            <w:gridSpan w:val="2"/>
            <w:tcBorders>
              <w:top w:val="nil"/>
              <w:left w:val="nil"/>
              <w:bottom w:val="single" w:sz="4" w:space="0" w:color="A6A6A6"/>
              <w:right w:val="single" w:sz="4" w:space="0" w:color="A6A6A6"/>
            </w:tcBorders>
            <w:shd w:val="clear" w:color="000000" w:fill="FDE9D9"/>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60,4</w:t>
            </w:r>
          </w:p>
        </w:tc>
        <w:tc>
          <w:tcPr>
            <w:tcW w:w="1674" w:type="dxa"/>
            <w:gridSpan w:val="2"/>
            <w:tcBorders>
              <w:top w:val="nil"/>
              <w:left w:val="nil"/>
              <w:bottom w:val="single" w:sz="4" w:space="0" w:color="A6A6A6"/>
              <w:right w:val="single" w:sz="4" w:space="0" w:color="A6A6A6"/>
            </w:tcBorders>
            <w:shd w:val="clear" w:color="000000" w:fill="FDE9D9"/>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 z celku</w:t>
            </w:r>
          </w:p>
        </w:tc>
        <w:tc>
          <w:tcPr>
            <w:tcW w:w="641" w:type="dxa"/>
            <w:gridSpan w:val="2"/>
            <w:tcBorders>
              <w:top w:val="nil"/>
              <w:left w:val="nil"/>
              <w:bottom w:val="single" w:sz="4" w:space="0" w:color="A6A6A6"/>
              <w:right w:val="single" w:sz="4" w:space="0" w:color="A6A6A6"/>
            </w:tcBorders>
            <w:shd w:val="clear" w:color="000000" w:fill="FDE9D9"/>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2012</w:t>
            </w:r>
          </w:p>
        </w:tc>
        <w:tc>
          <w:tcPr>
            <w:tcW w:w="951" w:type="dxa"/>
            <w:tcBorders>
              <w:top w:val="nil"/>
              <w:left w:val="nil"/>
              <w:bottom w:val="single" w:sz="4" w:space="0" w:color="A6A6A6"/>
              <w:right w:val="single" w:sz="8" w:space="0" w:color="E26B0A"/>
            </w:tcBorders>
            <w:shd w:val="clear" w:color="000000" w:fill="FDE9D9"/>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w:t>
            </w:r>
          </w:p>
        </w:tc>
      </w:tr>
      <w:tr w:rsidR="00A71A12" w:rsidRPr="00BB33FC" w:rsidTr="00A71A12">
        <w:trPr>
          <w:trHeight w:val="300"/>
        </w:trPr>
        <w:tc>
          <w:tcPr>
            <w:tcW w:w="387"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363" w:type="dxa"/>
            <w:vMerge/>
            <w:tcBorders>
              <w:top w:val="nil"/>
              <w:left w:val="single" w:sz="8" w:space="0" w:color="E26B0A"/>
              <w:bottom w:val="single" w:sz="8" w:space="0" w:color="E26B0A"/>
              <w:right w:val="single" w:sz="8" w:space="0" w:color="E26B0A"/>
            </w:tcBorders>
            <w:vAlign w:val="center"/>
            <w:hideMark/>
          </w:tcPr>
          <w:p w:rsidR="00A71A12" w:rsidRPr="00BB33FC" w:rsidRDefault="00A71A12" w:rsidP="00A71A12">
            <w:pPr>
              <w:rPr>
                <w:rFonts w:ascii="Arial" w:hAnsi="Arial" w:cs="Arial"/>
                <w:b/>
                <w:bCs/>
                <w:sz w:val="20"/>
                <w:szCs w:val="20"/>
              </w:rPr>
            </w:pPr>
          </w:p>
        </w:tc>
        <w:tc>
          <w:tcPr>
            <w:tcW w:w="4662" w:type="dxa"/>
            <w:gridSpan w:val="4"/>
            <w:tcBorders>
              <w:top w:val="nil"/>
              <w:left w:val="nil"/>
              <w:bottom w:val="nil"/>
              <w:right w:val="nil"/>
            </w:tcBorders>
            <w:shd w:val="clear" w:color="000000" w:fill="FCD5B4"/>
            <w:noWrap/>
            <w:hideMark/>
          </w:tcPr>
          <w:p w:rsidR="00A71A12" w:rsidRPr="00BB33FC" w:rsidRDefault="00A71A12" w:rsidP="00A71A12">
            <w:pPr>
              <w:rPr>
                <w:rFonts w:ascii="Arial" w:hAnsi="Arial" w:cs="Arial"/>
                <w:sz w:val="18"/>
                <w:szCs w:val="18"/>
              </w:rPr>
            </w:pPr>
            <w:r w:rsidRPr="00BB33FC">
              <w:rPr>
                <w:rFonts w:ascii="Arial" w:hAnsi="Arial" w:cs="Arial"/>
                <w:sz w:val="18"/>
                <w:szCs w:val="18"/>
              </w:rPr>
              <w:t>vidiecke</w:t>
            </w:r>
          </w:p>
        </w:tc>
        <w:tc>
          <w:tcPr>
            <w:tcW w:w="1086" w:type="dxa"/>
            <w:gridSpan w:val="2"/>
            <w:tcBorders>
              <w:top w:val="nil"/>
              <w:left w:val="nil"/>
              <w:bottom w:val="nil"/>
              <w:right w:val="single" w:sz="4" w:space="0" w:color="A6A6A6"/>
            </w:tcBorders>
            <w:shd w:val="clear" w:color="000000" w:fill="FCD5B4"/>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 </w:t>
            </w:r>
          </w:p>
        </w:tc>
        <w:tc>
          <w:tcPr>
            <w:tcW w:w="863" w:type="dxa"/>
            <w:gridSpan w:val="2"/>
            <w:tcBorders>
              <w:top w:val="nil"/>
              <w:left w:val="nil"/>
              <w:bottom w:val="nil"/>
              <w:right w:val="single" w:sz="4" w:space="0" w:color="A6A6A6"/>
            </w:tcBorders>
            <w:shd w:val="clear" w:color="000000" w:fill="FCD5B4"/>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39,7</w:t>
            </w:r>
          </w:p>
        </w:tc>
        <w:tc>
          <w:tcPr>
            <w:tcW w:w="1674" w:type="dxa"/>
            <w:gridSpan w:val="2"/>
            <w:tcBorders>
              <w:top w:val="nil"/>
              <w:left w:val="nil"/>
              <w:bottom w:val="nil"/>
              <w:right w:val="single" w:sz="4" w:space="0" w:color="A6A6A6"/>
            </w:tcBorders>
            <w:shd w:val="clear" w:color="000000" w:fill="FCD5B4"/>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 z celku</w:t>
            </w:r>
          </w:p>
        </w:tc>
        <w:tc>
          <w:tcPr>
            <w:tcW w:w="641" w:type="dxa"/>
            <w:gridSpan w:val="2"/>
            <w:tcBorders>
              <w:top w:val="nil"/>
              <w:left w:val="nil"/>
              <w:bottom w:val="nil"/>
              <w:right w:val="single" w:sz="4" w:space="0" w:color="A6A6A6"/>
            </w:tcBorders>
            <w:shd w:val="clear" w:color="000000" w:fill="FCD5B4"/>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2010</w:t>
            </w:r>
          </w:p>
        </w:tc>
        <w:tc>
          <w:tcPr>
            <w:tcW w:w="951" w:type="dxa"/>
            <w:tcBorders>
              <w:top w:val="nil"/>
              <w:left w:val="nil"/>
              <w:bottom w:val="nil"/>
              <w:right w:val="single" w:sz="8" w:space="0" w:color="E26B0A"/>
            </w:tcBorders>
            <w:shd w:val="clear" w:color="000000" w:fill="FCD5B4"/>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w:t>
            </w:r>
          </w:p>
        </w:tc>
      </w:tr>
      <w:tr w:rsidR="00A71A12" w:rsidRPr="00BB33FC" w:rsidTr="00A71A12">
        <w:trPr>
          <w:trHeight w:val="480"/>
        </w:trPr>
        <w:tc>
          <w:tcPr>
            <w:tcW w:w="387"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363" w:type="dxa"/>
            <w:vMerge/>
            <w:tcBorders>
              <w:top w:val="nil"/>
              <w:left w:val="single" w:sz="8" w:space="0" w:color="E26B0A"/>
              <w:bottom w:val="single" w:sz="8" w:space="0" w:color="E26B0A"/>
              <w:right w:val="single" w:sz="8" w:space="0" w:color="E26B0A"/>
            </w:tcBorders>
            <w:vAlign w:val="center"/>
            <w:hideMark/>
          </w:tcPr>
          <w:p w:rsidR="00A71A12" w:rsidRPr="00BB33FC" w:rsidRDefault="00A71A12" w:rsidP="00A71A12">
            <w:pPr>
              <w:rPr>
                <w:rFonts w:ascii="Arial" w:hAnsi="Arial" w:cs="Arial"/>
                <w:b/>
                <w:bCs/>
                <w:sz w:val="20"/>
                <w:szCs w:val="20"/>
              </w:rPr>
            </w:pPr>
          </w:p>
        </w:tc>
        <w:tc>
          <w:tcPr>
            <w:tcW w:w="4662" w:type="dxa"/>
            <w:gridSpan w:val="4"/>
            <w:tcBorders>
              <w:top w:val="nil"/>
              <w:left w:val="nil"/>
              <w:bottom w:val="nil"/>
              <w:right w:val="nil"/>
            </w:tcBorders>
            <w:shd w:val="clear" w:color="000000" w:fill="FCD5B4"/>
            <w:hideMark/>
          </w:tcPr>
          <w:p w:rsidR="00A71A12" w:rsidRPr="00BB33FC" w:rsidRDefault="00A71A12" w:rsidP="00A71A12">
            <w:pPr>
              <w:rPr>
                <w:rFonts w:ascii="Arial" w:hAnsi="Arial" w:cs="Arial"/>
                <w:sz w:val="18"/>
                <w:szCs w:val="18"/>
              </w:rPr>
            </w:pPr>
            <w:r w:rsidRPr="00BB33FC">
              <w:rPr>
                <w:rFonts w:ascii="Arial" w:hAnsi="Arial" w:cs="Arial"/>
                <w:sz w:val="18"/>
                <w:szCs w:val="18"/>
              </w:rPr>
              <w:t>prechodné</w:t>
            </w:r>
          </w:p>
        </w:tc>
        <w:tc>
          <w:tcPr>
            <w:tcW w:w="1086" w:type="dxa"/>
            <w:gridSpan w:val="2"/>
            <w:tcBorders>
              <w:top w:val="nil"/>
              <w:left w:val="nil"/>
              <w:bottom w:val="nil"/>
              <w:right w:val="single" w:sz="4" w:space="0" w:color="A6A6A6"/>
            </w:tcBorders>
            <w:shd w:val="clear" w:color="000000" w:fill="FCD5B4"/>
            <w:noWrap/>
            <w:vAlign w:val="bottom"/>
            <w:hideMark/>
          </w:tcPr>
          <w:p w:rsidR="00A71A12" w:rsidRPr="00BB33FC" w:rsidRDefault="00A71A12" w:rsidP="00A71A12">
            <w:pPr>
              <w:jc w:val="right"/>
              <w:rPr>
                <w:rFonts w:ascii="Arial" w:hAnsi="Arial" w:cs="Arial"/>
                <w:i/>
                <w:iCs/>
                <w:color w:val="FF0000"/>
                <w:sz w:val="16"/>
                <w:szCs w:val="16"/>
              </w:rPr>
            </w:pPr>
            <w:r w:rsidRPr="00BB33FC">
              <w:rPr>
                <w:rFonts w:ascii="Arial" w:hAnsi="Arial" w:cs="Arial"/>
                <w:i/>
                <w:iCs/>
                <w:color w:val="FF0000"/>
                <w:sz w:val="16"/>
                <w:szCs w:val="16"/>
              </w:rPr>
              <w:t>check total %</w:t>
            </w:r>
          </w:p>
        </w:tc>
        <w:tc>
          <w:tcPr>
            <w:tcW w:w="863" w:type="dxa"/>
            <w:gridSpan w:val="2"/>
            <w:tcBorders>
              <w:top w:val="nil"/>
              <w:left w:val="nil"/>
              <w:bottom w:val="nil"/>
              <w:right w:val="single" w:sz="4" w:space="0" w:color="A6A6A6"/>
            </w:tcBorders>
            <w:shd w:val="clear" w:color="000000" w:fill="FCD5B4"/>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32,5</w:t>
            </w:r>
          </w:p>
        </w:tc>
        <w:tc>
          <w:tcPr>
            <w:tcW w:w="1674" w:type="dxa"/>
            <w:gridSpan w:val="2"/>
            <w:tcBorders>
              <w:top w:val="nil"/>
              <w:left w:val="nil"/>
              <w:bottom w:val="nil"/>
              <w:right w:val="single" w:sz="4" w:space="0" w:color="A6A6A6"/>
            </w:tcBorders>
            <w:shd w:val="clear" w:color="000000" w:fill="FCD5B4"/>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 z celku</w:t>
            </w:r>
          </w:p>
        </w:tc>
        <w:tc>
          <w:tcPr>
            <w:tcW w:w="641" w:type="dxa"/>
            <w:gridSpan w:val="2"/>
            <w:tcBorders>
              <w:top w:val="nil"/>
              <w:left w:val="nil"/>
              <w:bottom w:val="nil"/>
              <w:right w:val="single" w:sz="4" w:space="0" w:color="A6A6A6"/>
            </w:tcBorders>
            <w:shd w:val="clear" w:color="000000" w:fill="FCD5B4"/>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2010</w:t>
            </w:r>
          </w:p>
        </w:tc>
        <w:tc>
          <w:tcPr>
            <w:tcW w:w="951" w:type="dxa"/>
            <w:tcBorders>
              <w:top w:val="nil"/>
              <w:left w:val="nil"/>
              <w:bottom w:val="nil"/>
              <w:right w:val="single" w:sz="8" w:space="0" w:color="E26B0A"/>
            </w:tcBorders>
            <w:shd w:val="clear" w:color="000000" w:fill="FCD5B4"/>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w:t>
            </w:r>
          </w:p>
        </w:tc>
      </w:tr>
      <w:tr w:rsidR="00A71A12" w:rsidRPr="00BB33FC" w:rsidTr="00A71A12">
        <w:trPr>
          <w:trHeight w:val="315"/>
        </w:trPr>
        <w:tc>
          <w:tcPr>
            <w:tcW w:w="387"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363" w:type="dxa"/>
            <w:vMerge/>
            <w:tcBorders>
              <w:top w:val="nil"/>
              <w:left w:val="single" w:sz="8" w:space="0" w:color="E26B0A"/>
              <w:bottom w:val="single" w:sz="8" w:space="0" w:color="E26B0A"/>
              <w:right w:val="single" w:sz="8" w:space="0" w:color="E26B0A"/>
            </w:tcBorders>
            <w:vAlign w:val="center"/>
            <w:hideMark/>
          </w:tcPr>
          <w:p w:rsidR="00A71A12" w:rsidRPr="00BB33FC" w:rsidRDefault="00A71A12" w:rsidP="00A71A12">
            <w:pPr>
              <w:rPr>
                <w:rFonts w:ascii="Arial" w:hAnsi="Arial" w:cs="Arial"/>
                <w:b/>
                <w:bCs/>
                <w:sz w:val="20"/>
                <w:szCs w:val="20"/>
              </w:rPr>
            </w:pPr>
          </w:p>
        </w:tc>
        <w:tc>
          <w:tcPr>
            <w:tcW w:w="4662" w:type="dxa"/>
            <w:gridSpan w:val="4"/>
            <w:tcBorders>
              <w:top w:val="nil"/>
              <w:left w:val="nil"/>
              <w:bottom w:val="single" w:sz="8" w:space="0" w:color="E26B0A"/>
              <w:right w:val="nil"/>
            </w:tcBorders>
            <w:shd w:val="clear" w:color="000000" w:fill="FCD5B4"/>
            <w:noWrap/>
            <w:hideMark/>
          </w:tcPr>
          <w:p w:rsidR="00A71A12" w:rsidRPr="00BB33FC" w:rsidRDefault="00A71A12" w:rsidP="00A71A12">
            <w:pPr>
              <w:rPr>
                <w:rFonts w:ascii="Arial" w:hAnsi="Arial" w:cs="Arial"/>
                <w:sz w:val="18"/>
                <w:szCs w:val="18"/>
              </w:rPr>
            </w:pPr>
            <w:r w:rsidRPr="00BB33FC">
              <w:rPr>
                <w:rFonts w:ascii="Arial" w:hAnsi="Arial" w:cs="Arial"/>
                <w:sz w:val="18"/>
                <w:szCs w:val="18"/>
              </w:rPr>
              <w:t>mestské</w:t>
            </w:r>
          </w:p>
        </w:tc>
        <w:tc>
          <w:tcPr>
            <w:tcW w:w="1086" w:type="dxa"/>
            <w:gridSpan w:val="2"/>
            <w:tcBorders>
              <w:top w:val="nil"/>
              <w:left w:val="nil"/>
              <w:bottom w:val="single" w:sz="8" w:space="0" w:color="E26B0A"/>
              <w:right w:val="single" w:sz="4" w:space="0" w:color="A6A6A6"/>
            </w:tcBorders>
            <w:shd w:val="clear" w:color="000000" w:fill="FCD5B4"/>
            <w:noWrap/>
            <w:vAlign w:val="bottom"/>
            <w:hideMark/>
          </w:tcPr>
          <w:p w:rsidR="00A71A12" w:rsidRPr="00BB33FC" w:rsidRDefault="00A71A12" w:rsidP="00A71A12">
            <w:pPr>
              <w:jc w:val="right"/>
              <w:rPr>
                <w:rFonts w:ascii="Arial" w:hAnsi="Arial" w:cs="Arial"/>
                <w:i/>
                <w:iCs/>
                <w:color w:val="E26B0A"/>
                <w:sz w:val="16"/>
                <w:szCs w:val="16"/>
              </w:rPr>
            </w:pPr>
            <w:r w:rsidRPr="00BB33FC">
              <w:rPr>
                <w:rFonts w:ascii="Arial" w:hAnsi="Arial" w:cs="Arial"/>
                <w:i/>
                <w:iCs/>
                <w:color w:val="E26B0A"/>
                <w:sz w:val="16"/>
                <w:szCs w:val="16"/>
              </w:rPr>
              <w:t>100,0</w:t>
            </w:r>
          </w:p>
        </w:tc>
        <w:tc>
          <w:tcPr>
            <w:tcW w:w="863" w:type="dxa"/>
            <w:gridSpan w:val="2"/>
            <w:tcBorders>
              <w:top w:val="nil"/>
              <w:left w:val="nil"/>
              <w:bottom w:val="single" w:sz="8" w:space="0" w:color="E26B0A"/>
              <w:right w:val="single" w:sz="4" w:space="0" w:color="A6A6A6"/>
            </w:tcBorders>
            <w:shd w:val="clear" w:color="000000" w:fill="FCD5B4"/>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27,8</w:t>
            </w:r>
          </w:p>
        </w:tc>
        <w:tc>
          <w:tcPr>
            <w:tcW w:w="1674" w:type="dxa"/>
            <w:gridSpan w:val="2"/>
            <w:tcBorders>
              <w:top w:val="nil"/>
              <w:left w:val="nil"/>
              <w:bottom w:val="single" w:sz="8" w:space="0" w:color="E26B0A"/>
              <w:right w:val="single" w:sz="4" w:space="0" w:color="A6A6A6"/>
            </w:tcBorders>
            <w:shd w:val="clear" w:color="000000" w:fill="FCD5B4"/>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 z celku</w:t>
            </w:r>
          </w:p>
        </w:tc>
        <w:tc>
          <w:tcPr>
            <w:tcW w:w="641" w:type="dxa"/>
            <w:gridSpan w:val="2"/>
            <w:tcBorders>
              <w:top w:val="nil"/>
              <w:left w:val="nil"/>
              <w:bottom w:val="single" w:sz="8" w:space="0" w:color="E26B0A"/>
              <w:right w:val="single" w:sz="4" w:space="0" w:color="A6A6A6"/>
            </w:tcBorders>
            <w:shd w:val="clear" w:color="000000" w:fill="FCD5B4"/>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2010</w:t>
            </w:r>
          </w:p>
        </w:tc>
        <w:tc>
          <w:tcPr>
            <w:tcW w:w="951" w:type="dxa"/>
            <w:tcBorders>
              <w:top w:val="nil"/>
              <w:left w:val="nil"/>
              <w:bottom w:val="single" w:sz="8" w:space="0" w:color="E26B0A"/>
              <w:right w:val="single" w:sz="8" w:space="0" w:color="E26B0A"/>
            </w:tcBorders>
            <w:shd w:val="clear" w:color="000000" w:fill="FCD5B4"/>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w:t>
            </w:r>
          </w:p>
        </w:tc>
      </w:tr>
      <w:tr w:rsidR="00A71A12" w:rsidRPr="00BB33FC" w:rsidTr="00A71A12">
        <w:trPr>
          <w:trHeight w:val="300"/>
        </w:trPr>
        <w:tc>
          <w:tcPr>
            <w:tcW w:w="387"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363" w:type="dxa"/>
            <w:vMerge w:val="restart"/>
            <w:tcBorders>
              <w:top w:val="nil"/>
              <w:left w:val="single" w:sz="8" w:space="0" w:color="E26B0A"/>
              <w:bottom w:val="single" w:sz="8" w:space="0" w:color="E26B0A"/>
              <w:right w:val="single" w:sz="8" w:space="0" w:color="E26B0A"/>
            </w:tcBorders>
            <w:shd w:val="clear" w:color="auto" w:fill="auto"/>
            <w:noWrap/>
            <w:hideMark/>
          </w:tcPr>
          <w:p w:rsidR="00A71A12" w:rsidRPr="00BB33FC" w:rsidRDefault="00A71A12" w:rsidP="00A71A12">
            <w:pPr>
              <w:rPr>
                <w:rFonts w:ascii="Arial" w:hAnsi="Arial" w:cs="Arial"/>
                <w:b/>
                <w:bCs/>
                <w:sz w:val="20"/>
                <w:szCs w:val="20"/>
              </w:rPr>
            </w:pPr>
            <w:r w:rsidRPr="00BB33FC">
              <w:rPr>
                <w:rFonts w:ascii="Arial" w:hAnsi="Arial" w:cs="Arial"/>
                <w:b/>
                <w:bCs/>
                <w:sz w:val="20"/>
                <w:szCs w:val="20"/>
              </w:rPr>
              <w:t>11</w:t>
            </w:r>
          </w:p>
        </w:tc>
        <w:tc>
          <w:tcPr>
            <w:tcW w:w="9877" w:type="dxa"/>
            <w:gridSpan w:val="13"/>
            <w:tcBorders>
              <w:top w:val="single" w:sz="8" w:space="0" w:color="E26B0A"/>
              <w:left w:val="nil"/>
              <w:bottom w:val="single" w:sz="4" w:space="0" w:color="A6A6A6"/>
              <w:right w:val="single" w:sz="8" w:space="0" w:color="E26B0A"/>
            </w:tcBorders>
            <w:shd w:val="clear" w:color="auto" w:fill="auto"/>
            <w:noWrap/>
            <w:vAlign w:val="bottom"/>
            <w:hideMark/>
          </w:tcPr>
          <w:p w:rsidR="00A71A12" w:rsidRPr="00BB33FC" w:rsidRDefault="00A71A12" w:rsidP="00A71A12">
            <w:pPr>
              <w:rPr>
                <w:rFonts w:ascii="Arial" w:hAnsi="Arial" w:cs="Arial"/>
                <w:b/>
                <w:bCs/>
                <w:i/>
                <w:iCs/>
                <w:sz w:val="20"/>
                <w:szCs w:val="20"/>
              </w:rPr>
            </w:pPr>
            <w:r w:rsidRPr="00BB33FC">
              <w:rPr>
                <w:rFonts w:ascii="Arial" w:hAnsi="Arial" w:cs="Arial"/>
                <w:b/>
                <w:bCs/>
                <w:i/>
                <w:iCs/>
                <w:sz w:val="20"/>
                <w:szCs w:val="20"/>
              </w:rPr>
              <w:t>Štruktúra zamestnanosti</w:t>
            </w:r>
          </w:p>
        </w:tc>
      </w:tr>
      <w:tr w:rsidR="00A71A12" w:rsidRPr="00BB33FC" w:rsidTr="00A71A12">
        <w:trPr>
          <w:trHeight w:val="390"/>
        </w:trPr>
        <w:tc>
          <w:tcPr>
            <w:tcW w:w="387"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363" w:type="dxa"/>
            <w:vMerge/>
            <w:tcBorders>
              <w:top w:val="nil"/>
              <w:left w:val="single" w:sz="8" w:space="0" w:color="E26B0A"/>
              <w:bottom w:val="single" w:sz="8" w:space="0" w:color="E26B0A"/>
              <w:right w:val="single" w:sz="8" w:space="0" w:color="E26B0A"/>
            </w:tcBorders>
            <w:vAlign w:val="center"/>
            <w:hideMark/>
          </w:tcPr>
          <w:p w:rsidR="00A71A12" w:rsidRPr="00BB33FC" w:rsidRDefault="00A71A12" w:rsidP="00A71A12">
            <w:pPr>
              <w:rPr>
                <w:rFonts w:ascii="Arial" w:hAnsi="Arial" w:cs="Arial"/>
                <w:b/>
                <w:bCs/>
                <w:sz w:val="20"/>
                <w:szCs w:val="20"/>
              </w:rPr>
            </w:pPr>
          </w:p>
        </w:tc>
        <w:tc>
          <w:tcPr>
            <w:tcW w:w="5748" w:type="dxa"/>
            <w:gridSpan w:val="6"/>
            <w:tcBorders>
              <w:top w:val="single" w:sz="4" w:space="0" w:color="A6A6A6"/>
              <w:left w:val="nil"/>
              <w:bottom w:val="single" w:sz="4" w:space="0" w:color="A6A6A6"/>
              <w:right w:val="single" w:sz="4" w:space="0" w:color="A6A6A6"/>
            </w:tcBorders>
            <w:shd w:val="clear" w:color="000000" w:fill="FCD5B4"/>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celkom</w:t>
            </w:r>
          </w:p>
        </w:tc>
        <w:tc>
          <w:tcPr>
            <w:tcW w:w="863" w:type="dxa"/>
            <w:gridSpan w:val="2"/>
            <w:tcBorders>
              <w:top w:val="nil"/>
              <w:left w:val="nil"/>
              <w:bottom w:val="single" w:sz="4" w:space="0" w:color="A6A6A6"/>
              <w:right w:val="single" w:sz="4" w:space="0" w:color="A6A6A6"/>
            </w:tcBorders>
            <w:shd w:val="clear" w:color="000000" w:fill="FCD5B4"/>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2 209,4</w:t>
            </w:r>
          </w:p>
        </w:tc>
        <w:tc>
          <w:tcPr>
            <w:tcW w:w="1674" w:type="dxa"/>
            <w:gridSpan w:val="2"/>
            <w:tcBorders>
              <w:top w:val="nil"/>
              <w:left w:val="nil"/>
              <w:bottom w:val="single" w:sz="4" w:space="0" w:color="A6A6A6"/>
              <w:right w:val="single" w:sz="4" w:space="0" w:color="A6A6A6"/>
            </w:tcBorders>
            <w:shd w:val="clear" w:color="000000" w:fill="FCD5B4"/>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1000 osôb</w:t>
            </w:r>
          </w:p>
        </w:tc>
        <w:tc>
          <w:tcPr>
            <w:tcW w:w="641" w:type="dxa"/>
            <w:gridSpan w:val="2"/>
            <w:tcBorders>
              <w:top w:val="nil"/>
              <w:left w:val="nil"/>
              <w:bottom w:val="single" w:sz="4" w:space="0" w:color="A6A6A6"/>
              <w:right w:val="single" w:sz="4" w:space="0" w:color="A6A6A6"/>
            </w:tcBorders>
            <w:shd w:val="clear" w:color="000000" w:fill="FCD5B4"/>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2012</w:t>
            </w:r>
          </w:p>
        </w:tc>
        <w:tc>
          <w:tcPr>
            <w:tcW w:w="951" w:type="dxa"/>
            <w:tcBorders>
              <w:top w:val="nil"/>
              <w:left w:val="nil"/>
              <w:bottom w:val="single" w:sz="4" w:space="0" w:color="A6A6A6"/>
              <w:right w:val="single" w:sz="8" w:space="0" w:color="E26B0A"/>
            </w:tcBorders>
            <w:shd w:val="clear" w:color="000000" w:fill="FCD5B4"/>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w:t>
            </w:r>
          </w:p>
        </w:tc>
      </w:tr>
      <w:tr w:rsidR="00A71A12" w:rsidRPr="00BB33FC" w:rsidTr="00A71A12">
        <w:trPr>
          <w:trHeight w:val="495"/>
        </w:trPr>
        <w:tc>
          <w:tcPr>
            <w:tcW w:w="387"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363" w:type="dxa"/>
            <w:vMerge/>
            <w:tcBorders>
              <w:top w:val="nil"/>
              <w:left w:val="single" w:sz="8" w:space="0" w:color="E26B0A"/>
              <w:bottom w:val="single" w:sz="8" w:space="0" w:color="E26B0A"/>
              <w:right w:val="single" w:sz="8" w:space="0" w:color="E26B0A"/>
            </w:tcBorders>
            <w:vAlign w:val="center"/>
            <w:hideMark/>
          </w:tcPr>
          <w:p w:rsidR="00A71A12" w:rsidRPr="00BB33FC" w:rsidRDefault="00A71A12" w:rsidP="00A71A12">
            <w:pPr>
              <w:rPr>
                <w:rFonts w:ascii="Arial" w:hAnsi="Arial" w:cs="Arial"/>
                <w:b/>
                <w:bCs/>
                <w:sz w:val="20"/>
                <w:szCs w:val="20"/>
              </w:rPr>
            </w:pPr>
          </w:p>
        </w:tc>
        <w:tc>
          <w:tcPr>
            <w:tcW w:w="4662" w:type="dxa"/>
            <w:gridSpan w:val="4"/>
            <w:tcBorders>
              <w:top w:val="nil"/>
              <w:left w:val="nil"/>
              <w:bottom w:val="nil"/>
              <w:right w:val="nil"/>
            </w:tcBorders>
            <w:shd w:val="clear" w:color="000000" w:fill="FDE9D9"/>
            <w:hideMark/>
          </w:tcPr>
          <w:p w:rsidR="00A71A12" w:rsidRPr="00BB33FC" w:rsidRDefault="00A71A12" w:rsidP="00A71A12">
            <w:pPr>
              <w:rPr>
                <w:rFonts w:ascii="Arial" w:hAnsi="Arial" w:cs="Arial"/>
                <w:sz w:val="18"/>
                <w:szCs w:val="18"/>
              </w:rPr>
            </w:pPr>
            <w:r w:rsidRPr="00BB33FC">
              <w:rPr>
                <w:rFonts w:ascii="Arial" w:hAnsi="Arial" w:cs="Arial"/>
                <w:sz w:val="18"/>
                <w:szCs w:val="18"/>
              </w:rPr>
              <w:t>primárny</w:t>
            </w:r>
          </w:p>
        </w:tc>
        <w:tc>
          <w:tcPr>
            <w:tcW w:w="1086" w:type="dxa"/>
            <w:gridSpan w:val="2"/>
            <w:tcBorders>
              <w:top w:val="nil"/>
              <w:left w:val="nil"/>
              <w:bottom w:val="nil"/>
              <w:right w:val="single" w:sz="4" w:space="0" w:color="A6A6A6"/>
            </w:tcBorders>
            <w:shd w:val="clear" w:color="000000" w:fill="FDE9D9"/>
            <w:noWrap/>
            <w:hideMark/>
          </w:tcPr>
          <w:p w:rsidR="00A71A12" w:rsidRPr="00BB33FC" w:rsidRDefault="00A71A12" w:rsidP="00A71A12">
            <w:pPr>
              <w:rPr>
                <w:rFonts w:ascii="Arial" w:hAnsi="Arial" w:cs="Arial"/>
                <w:sz w:val="18"/>
                <w:szCs w:val="18"/>
              </w:rPr>
            </w:pPr>
            <w:r w:rsidRPr="00BB33FC">
              <w:rPr>
                <w:rFonts w:ascii="Arial" w:hAnsi="Arial" w:cs="Arial"/>
                <w:sz w:val="18"/>
                <w:szCs w:val="18"/>
              </w:rPr>
              <w:t> </w:t>
            </w:r>
          </w:p>
        </w:tc>
        <w:tc>
          <w:tcPr>
            <w:tcW w:w="863" w:type="dxa"/>
            <w:gridSpan w:val="2"/>
            <w:tcBorders>
              <w:top w:val="nil"/>
              <w:left w:val="nil"/>
              <w:bottom w:val="nil"/>
              <w:right w:val="single" w:sz="4" w:space="0" w:color="A6A6A6"/>
            </w:tcBorders>
            <w:shd w:val="clear" w:color="000000" w:fill="FDE9D9"/>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3,1</w:t>
            </w:r>
          </w:p>
        </w:tc>
        <w:tc>
          <w:tcPr>
            <w:tcW w:w="1674" w:type="dxa"/>
            <w:gridSpan w:val="2"/>
            <w:tcBorders>
              <w:top w:val="nil"/>
              <w:left w:val="nil"/>
              <w:bottom w:val="nil"/>
              <w:right w:val="single" w:sz="4" w:space="0" w:color="A6A6A6"/>
            </w:tcBorders>
            <w:shd w:val="clear" w:color="000000" w:fill="FDE9D9"/>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 z celkového počtu</w:t>
            </w:r>
          </w:p>
        </w:tc>
        <w:tc>
          <w:tcPr>
            <w:tcW w:w="641" w:type="dxa"/>
            <w:gridSpan w:val="2"/>
            <w:tcBorders>
              <w:top w:val="nil"/>
              <w:left w:val="nil"/>
              <w:bottom w:val="nil"/>
              <w:right w:val="single" w:sz="4" w:space="0" w:color="A6A6A6"/>
            </w:tcBorders>
            <w:shd w:val="clear" w:color="000000" w:fill="FDE9D9"/>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2012</w:t>
            </w:r>
          </w:p>
        </w:tc>
        <w:tc>
          <w:tcPr>
            <w:tcW w:w="951" w:type="dxa"/>
            <w:tcBorders>
              <w:top w:val="nil"/>
              <w:left w:val="nil"/>
              <w:bottom w:val="nil"/>
              <w:right w:val="single" w:sz="8" w:space="0" w:color="E26B0A"/>
            </w:tcBorders>
            <w:shd w:val="clear" w:color="000000" w:fill="FDE9D9"/>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w:t>
            </w:r>
          </w:p>
        </w:tc>
      </w:tr>
      <w:tr w:rsidR="00A71A12" w:rsidRPr="00BB33FC" w:rsidTr="00A71A12">
        <w:trPr>
          <w:trHeight w:val="495"/>
        </w:trPr>
        <w:tc>
          <w:tcPr>
            <w:tcW w:w="387"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363" w:type="dxa"/>
            <w:vMerge/>
            <w:tcBorders>
              <w:top w:val="nil"/>
              <w:left w:val="single" w:sz="8" w:space="0" w:color="E26B0A"/>
              <w:bottom w:val="single" w:sz="8" w:space="0" w:color="E26B0A"/>
              <w:right w:val="single" w:sz="8" w:space="0" w:color="E26B0A"/>
            </w:tcBorders>
            <w:vAlign w:val="center"/>
            <w:hideMark/>
          </w:tcPr>
          <w:p w:rsidR="00A71A12" w:rsidRPr="00BB33FC" w:rsidRDefault="00A71A12" w:rsidP="00A71A12">
            <w:pPr>
              <w:rPr>
                <w:rFonts w:ascii="Arial" w:hAnsi="Arial" w:cs="Arial"/>
                <w:b/>
                <w:bCs/>
                <w:sz w:val="20"/>
                <w:szCs w:val="20"/>
              </w:rPr>
            </w:pPr>
          </w:p>
        </w:tc>
        <w:tc>
          <w:tcPr>
            <w:tcW w:w="4662" w:type="dxa"/>
            <w:gridSpan w:val="4"/>
            <w:tcBorders>
              <w:top w:val="nil"/>
              <w:left w:val="nil"/>
              <w:bottom w:val="nil"/>
              <w:right w:val="nil"/>
            </w:tcBorders>
            <w:shd w:val="clear" w:color="000000" w:fill="FDE9D9"/>
            <w:hideMark/>
          </w:tcPr>
          <w:p w:rsidR="00A71A12" w:rsidRPr="00BB33FC" w:rsidRDefault="00A71A12" w:rsidP="00A71A12">
            <w:pPr>
              <w:rPr>
                <w:rFonts w:ascii="Arial" w:hAnsi="Arial" w:cs="Arial"/>
                <w:sz w:val="18"/>
                <w:szCs w:val="18"/>
              </w:rPr>
            </w:pPr>
            <w:r w:rsidRPr="00BB33FC">
              <w:rPr>
                <w:rFonts w:ascii="Arial" w:hAnsi="Arial" w:cs="Arial"/>
                <w:sz w:val="18"/>
                <w:szCs w:val="18"/>
              </w:rPr>
              <w:t>sekundárny</w:t>
            </w:r>
          </w:p>
        </w:tc>
        <w:tc>
          <w:tcPr>
            <w:tcW w:w="1086" w:type="dxa"/>
            <w:gridSpan w:val="2"/>
            <w:tcBorders>
              <w:top w:val="nil"/>
              <w:left w:val="nil"/>
              <w:bottom w:val="nil"/>
              <w:right w:val="single" w:sz="4" w:space="0" w:color="A6A6A6"/>
            </w:tcBorders>
            <w:shd w:val="clear" w:color="000000" w:fill="FDE9D9"/>
            <w:noWrap/>
            <w:vAlign w:val="bottom"/>
            <w:hideMark/>
          </w:tcPr>
          <w:p w:rsidR="00A71A12" w:rsidRPr="00BB33FC" w:rsidRDefault="00A71A12" w:rsidP="00A71A12">
            <w:pPr>
              <w:jc w:val="right"/>
              <w:rPr>
                <w:rFonts w:ascii="Arial" w:hAnsi="Arial" w:cs="Arial"/>
                <w:i/>
                <w:iCs/>
                <w:color w:val="FF0000"/>
                <w:sz w:val="16"/>
                <w:szCs w:val="16"/>
              </w:rPr>
            </w:pPr>
            <w:r w:rsidRPr="00BB33FC">
              <w:rPr>
                <w:rFonts w:ascii="Arial" w:hAnsi="Arial" w:cs="Arial"/>
                <w:i/>
                <w:iCs/>
                <w:color w:val="FF0000"/>
                <w:sz w:val="16"/>
                <w:szCs w:val="16"/>
              </w:rPr>
              <w:t>check total %</w:t>
            </w:r>
          </w:p>
        </w:tc>
        <w:tc>
          <w:tcPr>
            <w:tcW w:w="863" w:type="dxa"/>
            <w:gridSpan w:val="2"/>
            <w:tcBorders>
              <w:top w:val="nil"/>
              <w:left w:val="nil"/>
              <w:bottom w:val="nil"/>
              <w:right w:val="single" w:sz="4" w:space="0" w:color="A6A6A6"/>
            </w:tcBorders>
            <w:shd w:val="clear" w:color="000000" w:fill="FDE9D9"/>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31,6</w:t>
            </w:r>
          </w:p>
        </w:tc>
        <w:tc>
          <w:tcPr>
            <w:tcW w:w="1674" w:type="dxa"/>
            <w:gridSpan w:val="2"/>
            <w:tcBorders>
              <w:top w:val="nil"/>
              <w:left w:val="nil"/>
              <w:bottom w:val="nil"/>
              <w:right w:val="single" w:sz="4" w:space="0" w:color="A6A6A6"/>
            </w:tcBorders>
            <w:shd w:val="clear" w:color="000000" w:fill="FDE9D9"/>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 z celkového počtu</w:t>
            </w:r>
          </w:p>
        </w:tc>
        <w:tc>
          <w:tcPr>
            <w:tcW w:w="641" w:type="dxa"/>
            <w:gridSpan w:val="2"/>
            <w:tcBorders>
              <w:top w:val="nil"/>
              <w:left w:val="nil"/>
              <w:bottom w:val="nil"/>
              <w:right w:val="single" w:sz="4" w:space="0" w:color="A6A6A6"/>
            </w:tcBorders>
            <w:shd w:val="clear" w:color="000000" w:fill="FDE9D9"/>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2012</w:t>
            </w:r>
          </w:p>
        </w:tc>
        <w:tc>
          <w:tcPr>
            <w:tcW w:w="951" w:type="dxa"/>
            <w:tcBorders>
              <w:top w:val="nil"/>
              <w:left w:val="nil"/>
              <w:bottom w:val="nil"/>
              <w:right w:val="single" w:sz="8" w:space="0" w:color="E26B0A"/>
            </w:tcBorders>
            <w:shd w:val="clear" w:color="000000" w:fill="FDE9D9"/>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w:t>
            </w:r>
          </w:p>
        </w:tc>
      </w:tr>
      <w:tr w:rsidR="00A71A12" w:rsidRPr="00BB33FC" w:rsidTr="00A71A12">
        <w:trPr>
          <w:trHeight w:val="495"/>
        </w:trPr>
        <w:tc>
          <w:tcPr>
            <w:tcW w:w="387"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363" w:type="dxa"/>
            <w:vMerge/>
            <w:tcBorders>
              <w:top w:val="nil"/>
              <w:left w:val="single" w:sz="8" w:space="0" w:color="E26B0A"/>
              <w:bottom w:val="single" w:sz="8" w:space="0" w:color="E26B0A"/>
              <w:right w:val="single" w:sz="8" w:space="0" w:color="E26B0A"/>
            </w:tcBorders>
            <w:vAlign w:val="center"/>
            <w:hideMark/>
          </w:tcPr>
          <w:p w:rsidR="00A71A12" w:rsidRPr="00BB33FC" w:rsidRDefault="00A71A12" w:rsidP="00A71A12">
            <w:pPr>
              <w:rPr>
                <w:rFonts w:ascii="Arial" w:hAnsi="Arial" w:cs="Arial"/>
                <w:b/>
                <w:bCs/>
                <w:sz w:val="20"/>
                <w:szCs w:val="20"/>
              </w:rPr>
            </w:pPr>
          </w:p>
        </w:tc>
        <w:tc>
          <w:tcPr>
            <w:tcW w:w="4662" w:type="dxa"/>
            <w:gridSpan w:val="4"/>
            <w:tcBorders>
              <w:top w:val="nil"/>
              <w:left w:val="nil"/>
              <w:bottom w:val="single" w:sz="4" w:space="0" w:color="A6A6A6"/>
              <w:right w:val="nil"/>
            </w:tcBorders>
            <w:shd w:val="clear" w:color="000000" w:fill="FDE9D9"/>
            <w:hideMark/>
          </w:tcPr>
          <w:p w:rsidR="00A71A12" w:rsidRPr="00BB33FC" w:rsidRDefault="00A71A12" w:rsidP="00A71A12">
            <w:pPr>
              <w:rPr>
                <w:rFonts w:ascii="Arial" w:hAnsi="Arial" w:cs="Arial"/>
                <w:sz w:val="18"/>
                <w:szCs w:val="18"/>
              </w:rPr>
            </w:pPr>
            <w:r w:rsidRPr="00BB33FC">
              <w:rPr>
                <w:rFonts w:ascii="Arial" w:hAnsi="Arial" w:cs="Arial"/>
                <w:sz w:val="18"/>
                <w:szCs w:val="18"/>
              </w:rPr>
              <w:t xml:space="preserve">terciárny </w:t>
            </w:r>
          </w:p>
        </w:tc>
        <w:tc>
          <w:tcPr>
            <w:tcW w:w="1086" w:type="dxa"/>
            <w:gridSpan w:val="2"/>
            <w:tcBorders>
              <w:top w:val="nil"/>
              <w:left w:val="nil"/>
              <w:bottom w:val="single" w:sz="4" w:space="0" w:color="A6A6A6"/>
              <w:right w:val="single" w:sz="4" w:space="0" w:color="A6A6A6"/>
            </w:tcBorders>
            <w:shd w:val="clear" w:color="000000" w:fill="FDE9D9"/>
            <w:noWrap/>
            <w:vAlign w:val="bottom"/>
            <w:hideMark/>
          </w:tcPr>
          <w:p w:rsidR="00A71A12" w:rsidRPr="00BB33FC" w:rsidRDefault="00A71A12" w:rsidP="00A71A12">
            <w:pPr>
              <w:jc w:val="right"/>
              <w:rPr>
                <w:rFonts w:ascii="Arial" w:hAnsi="Arial" w:cs="Arial"/>
                <w:i/>
                <w:iCs/>
                <w:color w:val="E26B0A"/>
                <w:sz w:val="16"/>
                <w:szCs w:val="16"/>
              </w:rPr>
            </w:pPr>
            <w:r w:rsidRPr="00BB33FC">
              <w:rPr>
                <w:rFonts w:ascii="Arial" w:hAnsi="Arial" w:cs="Arial"/>
                <w:i/>
                <w:iCs/>
                <w:color w:val="E26B0A"/>
                <w:sz w:val="16"/>
                <w:szCs w:val="16"/>
              </w:rPr>
              <w:t>100,0</w:t>
            </w:r>
          </w:p>
        </w:tc>
        <w:tc>
          <w:tcPr>
            <w:tcW w:w="863" w:type="dxa"/>
            <w:gridSpan w:val="2"/>
            <w:tcBorders>
              <w:top w:val="nil"/>
              <w:left w:val="nil"/>
              <w:bottom w:val="single" w:sz="4" w:space="0" w:color="A6A6A6"/>
              <w:right w:val="single" w:sz="4" w:space="0" w:color="A6A6A6"/>
            </w:tcBorders>
            <w:shd w:val="clear" w:color="000000" w:fill="FDE9D9"/>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65,2</w:t>
            </w:r>
          </w:p>
        </w:tc>
        <w:tc>
          <w:tcPr>
            <w:tcW w:w="1674" w:type="dxa"/>
            <w:gridSpan w:val="2"/>
            <w:tcBorders>
              <w:top w:val="nil"/>
              <w:left w:val="nil"/>
              <w:bottom w:val="single" w:sz="4" w:space="0" w:color="A6A6A6"/>
              <w:right w:val="single" w:sz="4" w:space="0" w:color="A6A6A6"/>
            </w:tcBorders>
            <w:shd w:val="clear" w:color="000000" w:fill="FDE9D9"/>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 z celkového počtu</w:t>
            </w:r>
          </w:p>
        </w:tc>
        <w:tc>
          <w:tcPr>
            <w:tcW w:w="641" w:type="dxa"/>
            <w:gridSpan w:val="2"/>
            <w:tcBorders>
              <w:top w:val="nil"/>
              <w:left w:val="nil"/>
              <w:bottom w:val="single" w:sz="4" w:space="0" w:color="A6A6A6"/>
              <w:right w:val="single" w:sz="4" w:space="0" w:color="A6A6A6"/>
            </w:tcBorders>
            <w:shd w:val="clear" w:color="000000" w:fill="FDE9D9"/>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2012</w:t>
            </w:r>
          </w:p>
        </w:tc>
        <w:tc>
          <w:tcPr>
            <w:tcW w:w="951" w:type="dxa"/>
            <w:tcBorders>
              <w:top w:val="nil"/>
              <w:left w:val="nil"/>
              <w:bottom w:val="single" w:sz="4" w:space="0" w:color="A6A6A6"/>
              <w:right w:val="single" w:sz="8" w:space="0" w:color="E26B0A"/>
            </w:tcBorders>
            <w:shd w:val="clear" w:color="000000" w:fill="FDE9D9"/>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w:t>
            </w:r>
          </w:p>
        </w:tc>
      </w:tr>
      <w:tr w:rsidR="00A71A12" w:rsidRPr="00BB33FC" w:rsidTr="00A71A12">
        <w:trPr>
          <w:trHeight w:val="495"/>
        </w:trPr>
        <w:tc>
          <w:tcPr>
            <w:tcW w:w="387"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363" w:type="dxa"/>
            <w:vMerge/>
            <w:tcBorders>
              <w:top w:val="nil"/>
              <w:left w:val="single" w:sz="8" w:space="0" w:color="E26B0A"/>
              <w:bottom w:val="single" w:sz="8" w:space="0" w:color="E26B0A"/>
              <w:right w:val="single" w:sz="8" w:space="0" w:color="E26B0A"/>
            </w:tcBorders>
            <w:vAlign w:val="center"/>
            <w:hideMark/>
          </w:tcPr>
          <w:p w:rsidR="00A71A12" w:rsidRPr="00BB33FC" w:rsidRDefault="00A71A12" w:rsidP="00A71A12">
            <w:pPr>
              <w:rPr>
                <w:rFonts w:ascii="Arial" w:hAnsi="Arial" w:cs="Arial"/>
                <w:b/>
                <w:bCs/>
                <w:sz w:val="20"/>
                <w:szCs w:val="20"/>
              </w:rPr>
            </w:pPr>
          </w:p>
        </w:tc>
        <w:tc>
          <w:tcPr>
            <w:tcW w:w="4662" w:type="dxa"/>
            <w:gridSpan w:val="4"/>
            <w:tcBorders>
              <w:top w:val="nil"/>
              <w:left w:val="nil"/>
              <w:bottom w:val="nil"/>
              <w:right w:val="nil"/>
            </w:tcBorders>
            <w:shd w:val="clear" w:color="000000" w:fill="FCD5B4"/>
            <w:hideMark/>
          </w:tcPr>
          <w:p w:rsidR="00A71A12" w:rsidRPr="00BB33FC" w:rsidRDefault="00A71A12" w:rsidP="00A71A12">
            <w:pPr>
              <w:rPr>
                <w:rFonts w:ascii="Arial" w:hAnsi="Arial" w:cs="Arial"/>
                <w:sz w:val="18"/>
                <w:szCs w:val="18"/>
              </w:rPr>
            </w:pPr>
            <w:r w:rsidRPr="00BB33FC">
              <w:rPr>
                <w:rFonts w:ascii="Arial" w:hAnsi="Arial" w:cs="Arial"/>
                <w:sz w:val="18"/>
                <w:szCs w:val="18"/>
              </w:rPr>
              <w:t>vidiecke</w:t>
            </w:r>
          </w:p>
        </w:tc>
        <w:tc>
          <w:tcPr>
            <w:tcW w:w="1086" w:type="dxa"/>
            <w:gridSpan w:val="2"/>
            <w:tcBorders>
              <w:top w:val="nil"/>
              <w:left w:val="nil"/>
              <w:bottom w:val="nil"/>
              <w:right w:val="single" w:sz="4" w:space="0" w:color="A6A6A6"/>
            </w:tcBorders>
            <w:shd w:val="clear" w:color="000000" w:fill="FCD5B4"/>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 </w:t>
            </w:r>
          </w:p>
        </w:tc>
        <w:tc>
          <w:tcPr>
            <w:tcW w:w="863" w:type="dxa"/>
            <w:gridSpan w:val="2"/>
            <w:tcBorders>
              <w:top w:val="nil"/>
              <w:left w:val="nil"/>
              <w:bottom w:val="nil"/>
              <w:right w:val="single" w:sz="4" w:space="0" w:color="A6A6A6"/>
            </w:tcBorders>
            <w:shd w:val="clear" w:color="000000" w:fill="FCD5B4"/>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43,9</w:t>
            </w:r>
          </w:p>
        </w:tc>
        <w:tc>
          <w:tcPr>
            <w:tcW w:w="1674" w:type="dxa"/>
            <w:gridSpan w:val="2"/>
            <w:tcBorders>
              <w:top w:val="nil"/>
              <w:left w:val="nil"/>
              <w:bottom w:val="nil"/>
              <w:right w:val="single" w:sz="4" w:space="0" w:color="A6A6A6"/>
            </w:tcBorders>
            <w:shd w:val="clear" w:color="000000" w:fill="FCD5B4"/>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 z celkového počtu</w:t>
            </w:r>
          </w:p>
        </w:tc>
        <w:tc>
          <w:tcPr>
            <w:tcW w:w="641" w:type="dxa"/>
            <w:gridSpan w:val="2"/>
            <w:tcBorders>
              <w:top w:val="nil"/>
              <w:left w:val="nil"/>
              <w:bottom w:val="nil"/>
              <w:right w:val="single" w:sz="4" w:space="0" w:color="A6A6A6"/>
            </w:tcBorders>
            <w:shd w:val="clear" w:color="000000" w:fill="FCD5B4"/>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2010</w:t>
            </w:r>
          </w:p>
        </w:tc>
        <w:tc>
          <w:tcPr>
            <w:tcW w:w="951" w:type="dxa"/>
            <w:tcBorders>
              <w:top w:val="nil"/>
              <w:left w:val="nil"/>
              <w:bottom w:val="nil"/>
              <w:right w:val="single" w:sz="8" w:space="0" w:color="E26B0A"/>
            </w:tcBorders>
            <w:shd w:val="clear" w:color="000000" w:fill="FCD5B4"/>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w:t>
            </w:r>
          </w:p>
        </w:tc>
      </w:tr>
      <w:tr w:rsidR="00A71A12" w:rsidRPr="00BB33FC" w:rsidTr="00A71A12">
        <w:trPr>
          <w:trHeight w:val="480"/>
        </w:trPr>
        <w:tc>
          <w:tcPr>
            <w:tcW w:w="387"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363" w:type="dxa"/>
            <w:vMerge/>
            <w:tcBorders>
              <w:top w:val="nil"/>
              <w:left w:val="single" w:sz="8" w:space="0" w:color="E26B0A"/>
              <w:bottom w:val="single" w:sz="8" w:space="0" w:color="E26B0A"/>
              <w:right w:val="single" w:sz="8" w:space="0" w:color="E26B0A"/>
            </w:tcBorders>
            <w:vAlign w:val="center"/>
            <w:hideMark/>
          </w:tcPr>
          <w:p w:rsidR="00A71A12" w:rsidRPr="00BB33FC" w:rsidRDefault="00A71A12" w:rsidP="00A71A12">
            <w:pPr>
              <w:rPr>
                <w:rFonts w:ascii="Arial" w:hAnsi="Arial" w:cs="Arial"/>
                <w:b/>
                <w:bCs/>
                <w:sz w:val="20"/>
                <w:szCs w:val="20"/>
              </w:rPr>
            </w:pPr>
          </w:p>
        </w:tc>
        <w:tc>
          <w:tcPr>
            <w:tcW w:w="4662" w:type="dxa"/>
            <w:gridSpan w:val="4"/>
            <w:tcBorders>
              <w:top w:val="nil"/>
              <w:left w:val="nil"/>
              <w:bottom w:val="nil"/>
              <w:right w:val="nil"/>
            </w:tcBorders>
            <w:shd w:val="clear" w:color="000000" w:fill="FCD5B4"/>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prechodné</w:t>
            </w:r>
          </w:p>
        </w:tc>
        <w:tc>
          <w:tcPr>
            <w:tcW w:w="1086" w:type="dxa"/>
            <w:gridSpan w:val="2"/>
            <w:tcBorders>
              <w:top w:val="nil"/>
              <w:left w:val="nil"/>
              <w:bottom w:val="nil"/>
              <w:right w:val="single" w:sz="4" w:space="0" w:color="A6A6A6"/>
            </w:tcBorders>
            <w:shd w:val="clear" w:color="000000" w:fill="FCD5B4"/>
            <w:noWrap/>
            <w:vAlign w:val="bottom"/>
            <w:hideMark/>
          </w:tcPr>
          <w:p w:rsidR="00A71A12" w:rsidRPr="00BB33FC" w:rsidRDefault="00A71A12" w:rsidP="00A71A12">
            <w:pPr>
              <w:jc w:val="right"/>
              <w:rPr>
                <w:rFonts w:ascii="Arial" w:hAnsi="Arial" w:cs="Arial"/>
                <w:i/>
                <w:iCs/>
                <w:color w:val="FF0000"/>
                <w:sz w:val="16"/>
                <w:szCs w:val="16"/>
              </w:rPr>
            </w:pPr>
            <w:r w:rsidRPr="00BB33FC">
              <w:rPr>
                <w:rFonts w:ascii="Arial" w:hAnsi="Arial" w:cs="Arial"/>
                <w:i/>
                <w:iCs/>
                <w:color w:val="FF0000"/>
                <w:sz w:val="16"/>
                <w:szCs w:val="16"/>
              </w:rPr>
              <w:t>check total %</w:t>
            </w:r>
          </w:p>
        </w:tc>
        <w:tc>
          <w:tcPr>
            <w:tcW w:w="863" w:type="dxa"/>
            <w:gridSpan w:val="2"/>
            <w:tcBorders>
              <w:top w:val="nil"/>
              <w:left w:val="nil"/>
              <w:bottom w:val="nil"/>
              <w:right w:val="single" w:sz="4" w:space="0" w:color="A6A6A6"/>
            </w:tcBorders>
            <w:shd w:val="clear" w:color="000000" w:fill="FCD5B4"/>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36,7</w:t>
            </w:r>
          </w:p>
        </w:tc>
        <w:tc>
          <w:tcPr>
            <w:tcW w:w="1674" w:type="dxa"/>
            <w:gridSpan w:val="2"/>
            <w:tcBorders>
              <w:top w:val="nil"/>
              <w:left w:val="nil"/>
              <w:bottom w:val="nil"/>
              <w:right w:val="single" w:sz="4" w:space="0" w:color="A6A6A6"/>
            </w:tcBorders>
            <w:shd w:val="clear" w:color="000000" w:fill="FCD5B4"/>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 z celkového počtu</w:t>
            </w:r>
          </w:p>
        </w:tc>
        <w:tc>
          <w:tcPr>
            <w:tcW w:w="641" w:type="dxa"/>
            <w:gridSpan w:val="2"/>
            <w:tcBorders>
              <w:top w:val="nil"/>
              <w:left w:val="nil"/>
              <w:bottom w:val="nil"/>
              <w:right w:val="single" w:sz="4" w:space="0" w:color="A6A6A6"/>
            </w:tcBorders>
            <w:shd w:val="clear" w:color="000000" w:fill="FCD5B4"/>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2010</w:t>
            </w:r>
          </w:p>
        </w:tc>
        <w:tc>
          <w:tcPr>
            <w:tcW w:w="951" w:type="dxa"/>
            <w:tcBorders>
              <w:top w:val="nil"/>
              <w:left w:val="nil"/>
              <w:bottom w:val="nil"/>
              <w:right w:val="single" w:sz="8" w:space="0" w:color="E26B0A"/>
            </w:tcBorders>
            <w:shd w:val="clear" w:color="000000" w:fill="FCD5B4"/>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w:t>
            </w:r>
          </w:p>
        </w:tc>
      </w:tr>
      <w:tr w:rsidR="00A71A12" w:rsidRPr="00BB33FC" w:rsidTr="00A71A12">
        <w:trPr>
          <w:trHeight w:val="555"/>
        </w:trPr>
        <w:tc>
          <w:tcPr>
            <w:tcW w:w="387"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363" w:type="dxa"/>
            <w:vMerge/>
            <w:tcBorders>
              <w:top w:val="nil"/>
              <w:left w:val="single" w:sz="8" w:space="0" w:color="E26B0A"/>
              <w:bottom w:val="single" w:sz="8" w:space="0" w:color="E26B0A"/>
              <w:right w:val="single" w:sz="8" w:space="0" w:color="E26B0A"/>
            </w:tcBorders>
            <w:vAlign w:val="center"/>
            <w:hideMark/>
          </w:tcPr>
          <w:p w:rsidR="00A71A12" w:rsidRPr="00BB33FC" w:rsidRDefault="00A71A12" w:rsidP="00A71A12">
            <w:pPr>
              <w:rPr>
                <w:rFonts w:ascii="Arial" w:hAnsi="Arial" w:cs="Arial"/>
                <w:b/>
                <w:bCs/>
                <w:sz w:val="20"/>
                <w:szCs w:val="20"/>
              </w:rPr>
            </w:pPr>
          </w:p>
        </w:tc>
        <w:tc>
          <w:tcPr>
            <w:tcW w:w="4662" w:type="dxa"/>
            <w:gridSpan w:val="4"/>
            <w:tcBorders>
              <w:top w:val="nil"/>
              <w:left w:val="nil"/>
              <w:bottom w:val="single" w:sz="8" w:space="0" w:color="E26B0A"/>
              <w:right w:val="nil"/>
            </w:tcBorders>
            <w:shd w:val="clear" w:color="000000" w:fill="FCD5B4"/>
            <w:hideMark/>
          </w:tcPr>
          <w:p w:rsidR="00A71A12" w:rsidRPr="00BB33FC" w:rsidRDefault="00A71A12" w:rsidP="00A71A12">
            <w:pPr>
              <w:rPr>
                <w:rFonts w:ascii="Arial" w:hAnsi="Arial" w:cs="Arial"/>
                <w:sz w:val="18"/>
                <w:szCs w:val="18"/>
              </w:rPr>
            </w:pPr>
            <w:r w:rsidRPr="00BB33FC">
              <w:rPr>
                <w:rFonts w:ascii="Arial" w:hAnsi="Arial" w:cs="Arial"/>
                <w:sz w:val="18"/>
                <w:szCs w:val="18"/>
              </w:rPr>
              <w:t>mestské</w:t>
            </w:r>
          </w:p>
        </w:tc>
        <w:tc>
          <w:tcPr>
            <w:tcW w:w="1086" w:type="dxa"/>
            <w:gridSpan w:val="2"/>
            <w:tcBorders>
              <w:top w:val="nil"/>
              <w:left w:val="nil"/>
              <w:bottom w:val="single" w:sz="8" w:space="0" w:color="E26B0A"/>
              <w:right w:val="single" w:sz="4" w:space="0" w:color="A6A6A6"/>
            </w:tcBorders>
            <w:shd w:val="clear" w:color="000000" w:fill="FCD5B4"/>
            <w:noWrap/>
            <w:vAlign w:val="bottom"/>
            <w:hideMark/>
          </w:tcPr>
          <w:p w:rsidR="00A71A12" w:rsidRPr="00BB33FC" w:rsidRDefault="00A71A12" w:rsidP="00A71A12">
            <w:pPr>
              <w:jc w:val="right"/>
              <w:rPr>
                <w:rFonts w:ascii="Arial" w:hAnsi="Arial" w:cs="Arial"/>
                <w:i/>
                <w:iCs/>
                <w:color w:val="E26B0A"/>
                <w:sz w:val="16"/>
                <w:szCs w:val="16"/>
              </w:rPr>
            </w:pPr>
            <w:r w:rsidRPr="00BB33FC">
              <w:rPr>
                <w:rFonts w:ascii="Arial" w:hAnsi="Arial" w:cs="Arial"/>
                <w:i/>
                <w:iCs/>
                <w:color w:val="E26B0A"/>
                <w:sz w:val="16"/>
                <w:szCs w:val="16"/>
              </w:rPr>
              <w:t>100,0</w:t>
            </w:r>
          </w:p>
        </w:tc>
        <w:tc>
          <w:tcPr>
            <w:tcW w:w="863" w:type="dxa"/>
            <w:gridSpan w:val="2"/>
            <w:tcBorders>
              <w:top w:val="nil"/>
              <w:left w:val="nil"/>
              <w:bottom w:val="single" w:sz="8" w:space="0" w:color="E26B0A"/>
              <w:right w:val="single" w:sz="4" w:space="0" w:color="A6A6A6"/>
            </w:tcBorders>
            <w:shd w:val="clear" w:color="000000" w:fill="FCD5B4"/>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19,4</w:t>
            </w:r>
          </w:p>
        </w:tc>
        <w:tc>
          <w:tcPr>
            <w:tcW w:w="1674" w:type="dxa"/>
            <w:gridSpan w:val="2"/>
            <w:tcBorders>
              <w:top w:val="nil"/>
              <w:left w:val="nil"/>
              <w:bottom w:val="single" w:sz="8" w:space="0" w:color="E26B0A"/>
              <w:right w:val="single" w:sz="4" w:space="0" w:color="A6A6A6"/>
            </w:tcBorders>
            <w:shd w:val="clear" w:color="000000" w:fill="FCD5B4"/>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 z celkového počtu</w:t>
            </w:r>
          </w:p>
        </w:tc>
        <w:tc>
          <w:tcPr>
            <w:tcW w:w="641" w:type="dxa"/>
            <w:gridSpan w:val="2"/>
            <w:tcBorders>
              <w:top w:val="nil"/>
              <w:left w:val="nil"/>
              <w:bottom w:val="single" w:sz="8" w:space="0" w:color="E26B0A"/>
              <w:right w:val="single" w:sz="4" w:space="0" w:color="A6A6A6"/>
            </w:tcBorders>
            <w:shd w:val="clear" w:color="000000" w:fill="FCD5B4"/>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2010</w:t>
            </w:r>
          </w:p>
        </w:tc>
        <w:tc>
          <w:tcPr>
            <w:tcW w:w="951" w:type="dxa"/>
            <w:tcBorders>
              <w:top w:val="nil"/>
              <w:left w:val="nil"/>
              <w:bottom w:val="single" w:sz="8" w:space="0" w:color="E26B0A"/>
              <w:right w:val="single" w:sz="8" w:space="0" w:color="E26B0A"/>
            </w:tcBorders>
            <w:shd w:val="clear" w:color="000000" w:fill="FCD5B4"/>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w:t>
            </w:r>
          </w:p>
        </w:tc>
      </w:tr>
      <w:tr w:rsidR="00A71A12" w:rsidRPr="00BB33FC" w:rsidTr="00A71A12">
        <w:trPr>
          <w:trHeight w:val="390"/>
        </w:trPr>
        <w:tc>
          <w:tcPr>
            <w:tcW w:w="387"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363" w:type="dxa"/>
            <w:vMerge w:val="restart"/>
            <w:tcBorders>
              <w:top w:val="nil"/>
              <w:left w:val="single" w:sz="8" w:space="0" w:color="E26B0A"/>
              <w:bottom w:val="single" w:sz="8" w:space="0" w:color="E26B0A"/>
              <w:right w:val="single" w:sz="8" w:space="0" w:color="E26B0A"/>
            </w:tcBorders>
            <w:shd w:val="clear" w:color="auto" w:fill="auto"/>
            <w:noWrap/>
            <w:hideMark/>
          </w:tcPr>
          <w:p w:rsidR="00A71A12" w:rsidRPr="00BB33FC" w:rsidRDefault="00A71A12" w:rsidP="00A71A12">
            <w:pPr>
              <w:rPr>
                <w:rFonts w:ascii="Arial" w:hAnsi="Arial" w:cs="Arial"/>
                <w:b/>
                <w:bCs/>
                <w:sz w:val="20"/>
                <w:szCs w:val="20"/>
              </w:rPr>
            </w:pPr>
            <w:r w:rsidRPr="00BB33FC">
              <w:rPr>
                <w:rFonts w:ascii="Arial" w:hAnsi="Arial" w:cs="Arial"/>
                <w:b/>
                <w:bCs/>
                <w:sz w:val="20"/>
                <w:szCs w:val="20"/>
              </w:rPr>
              <w:t>12</w:t>
            </w:r>
          </w:p>
        </w:tc>
        <w:tc>
          <w:tcPr>
            <w:tcW w:w="9877" w:type="dxa"/>
            <w:gridSpan w:val="13"/>
            <w:tcBorders>
              <w:top w:val="single" w:sz="8" w:space="0" w:color="E26B0A"/>
              <w:left w:val="nil"/>
              <w:bottom w:val="single" w:sz="4" w:space="0" w:color="A6A6A6"/>
              <w:right w:val="single" w:sz="8" w:space="0" w:color="E26B0A"/>
            </w:tcBorders>
            <w:shd w:val="clear" w:color="auto" w:fill="auto"/>
            <w:vAlign w:val="bottom"/>
            <w:hideMark/>
          </w:tcPr>
          <w:p w:rsidR="00A71A12" w:rsidRPr="00BB33FC" w:rsidRDefault="00A71A12" w:rsidP="00A71A12">
            <w:pPr>
              <w:rPr>
                <w:rFonts w:ascii="Arial" w:hAnsi="Arial" w:cs="Arial"/>
                <w:b/>
                <w:bCs/>
                <w:i/>
                <w:iCs/>
                <w:sz w:val="20"/>
                <w:szCs w:val="20"/>
              </w:rPr>
            </w:pPr>
            <w:r w:rsidRPr="00BB33FC">
              <w:rPr>
                <w:rFonts w:ascii="Arial" w:hAnsi="Arial" w:cs="Arial"/>
                <w:b/>
                <w:bCs/>
                <w:i/>
                <w:iCs/>
                <w:sz w:val="20"/>
                <w:szCs w:val="20"/>
              </w:rPr>
              <w:t>Produktivita práce podľa sektorov hospodárstva</w:t>
            </w:r>
          </w:p>
        </w:tc>
      </w:tr>
      <w:tr w:rsidR="00A71A12" w:rsidRPr="00BB33FC" w:rsidTr="00A71A12">
        <w:trPr>
          <w:trHeight w:val="300"/>
        </w:trPr>
        <w:tc>
          <w:tcPr>
            <w:tcW w:w="387"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363" w:type="dxa"/>
            <w:vMerge/>
            <w:tcBorders>
              <w:top w:val="nil"/>
              <w:left w:val="single" w:sz="8" w:space="0" w:color="E26B0A"/>
              <w:bottom w:val="single" w:sz="8" w:space="0" w:color="E26B0A"/>
              <w:right w:val="single" w:sz="8" w:space="0" w:color="E26B0A"/>
            </w:tcBorders>
            <w:vAlign w:val="center"/>
            <w:hideMark/>
          </w:tcPr>
          <w:p w:rsidR="00A71A12" w:rsidRPr="00BB33FC" w:rsidRDefault="00A71A12" w:rsidP="00A71A12">
            <w:pPr>
              <w:rPr>
                <w:rFonts w:ascii="Arial" w:hAnsi="Arial" w:cs="Arial"/>
                <w:b/>
                <w:bCs/>
                <w:sz w:val="20"/>
                <w:szCs w:val="20"/>
              </w:rPr>
            </w:pPr>
          </w:p>
        </w:tc>
        <w:tc>
          <w:tcPr>
            <w:tcW w:w="5748" w:type="dxa"/>
            <w:gridSpan w:val="6"/>
            <w:tcBorders>
              <w:top w:val="single" w:sz="4" w:space="0" w:color="A6A6A6"/>
              <w:left w:val="nil"/>
              <w:bottom w:val="single" w:sz="4" w:space="0" w:color="A6A6A6"/>
              <w:right w:val="single" w:sz="4" w:space="0" w:color="A6A6A6"/>
            </w:tcBorders>
            <w:shd w:val="clear" w:color="000000" w:fill="FCD5B4"/>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celkom</w:t>
            </w:r>
          </w:p>
        </w:tc>
        <w:tc>
          <w:tcPr>
            <w:tcW w:w="863" w:type="dxa"/>
            <w:gridSpan w:val="2"/>
            <w:tcBorders>
              <w:top w:val="nil"/>
              <w:left w:val="nil"/>
              <w:bottom w:val="single" w:sz="4" w:space="0" w:color="A6A6A6"/>
              <w:right w:val="single" w:sz="4" w:space="0" w:color="A6A6A6"/>
            </w:tcBorders>
            <w:shd w:val="clear" w:color="000000" w:fill="FCD5B4"/>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29 604,9</w:t>
            </w:r>
          </w:p>
        </w:tc>
        <w:tc>
          <w:tcPr>
            <w:tcW w:w="1674" w:type="dxa"/>
            <w:gridSpan w:val="2"/>
            <w:tcBorders>
              <w:top w:val="nil"/>
              <w:left w:val="nil"/>
              <w:bottom w:val="single" w:sz="4" w:space="0" w:color="A6A6A6"/>
              <w:right w:val="single" w:sz="4" w:space="0" w:color="A6A6A6"/>
            </w:tcBorders>
            <w:shd w:val="clear" w:color="000000" w:fill="FCD5B4"/>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EUR/osoba</w:t>
            </w:r>
          </w:p>
        </w:tc>
        <w:tc>
          <w:tcPr>
            <w:tcW w:w="641" w:type="dxa"/>
            <w:gridSpan w:val="2"/>
            <w:tcBorders>
              <w:top w:val="nil"/>
              <w:left w:val="nil"/>
              <w:bottom w:val="single" w:sz="4" w:space="0" w:color="A6A6A6"/>
              <w:right w:val="single" w:sz="4" w:space="0" w:color="A6A6A6"/>
            </w:tcBorders>
            <w:shd w:val="clear" w:color="000000" w:fill="FCD5B4"/>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2012</w:t>
            </w:r>
          </w:p>
        </w:tc>
        <w:tc>
          <w:tcPr>
            <w:tcW w:w="951" w:type="dxa"/>
            <w:tcBorders>
              <w:top w:val="nil"/>
              <w:left w:val="nil"/>
              <w:bottom w:val="single" w:sz="4" w:space="0" w:color="A6A6A6"/>
              <w:right w:val="single" w:sz="8" w:space="0" w:color="E26B0A"/>
            </w:tcBorders>
            <w:shd w:val="clear" w:color="000000" w:fill="FCD5B4"/>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w:t>
            </w:r>
          </w:p>
        </w:tc>
      </w:tr>
      <w:tr w:rsidR="00A71A12" w:rsidRPr="00BB33FC" w:rsidTr="00A71A12">
        <w:trPr>
          <w:trHeight w:val="300"/>
        </w:trPr>
        <w:tc>
          <w:tcPr>
            <w:tcW w:w="387"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363" w:type="dxa"/>
            <w:vMerge/>
            <w:tcBorders>
              <w:top w:val="nil"/>
              <w:left w:val="single" w:sz="8" w:space="0" w:color="E26B0A"/>
              <w:bottom w:val="single" w:sz="8" w:space="0" w:color="E26B0A"/>
              <w:right w:val="single" w:sz="8" w:space="0" w:color="E26B0A"/>
            </w:tcBorders>
            <w:vAlign w:val="center"/>
            <w:hideMark/>
          </w:tcPr>
          <w:p w:rsidR="00A71A12" w:rsidRPr="00BB33FC" w:rsidRDefault="00A71A12" w:rsidP="00A71A12">
            <w:pPr>
              <w:rPr>
                <w:rFonts w:ascii="Arial" w:hAnsi="Arial" w:cs="Arial"/>
                <w:b/>
                <w:bCs/>
                <w:sz w:val="20"/>
                <w:szCs w:val="20"/>
              </w:rPr>
            </w:pPr>
          </w:p>
        </w:tc>
        <w:tc>
          <w:tcPr>
            <w:tcW w:w="4662" w:type="dxa"/>
            <w:gridSpan w:val="4"/>
            <w:tcBorders>
              <w:top w:val="nil"/>
              <w:left w:val="nil"/>
              <w:bottom w:val="nil"/>
              <w:right w:val="nil"/>
            </w:tcBorders>
            <w:shd w:val="clear" w:color="000000" w:fill="FDE9D9"/>
            <w:noWrap/>
            <w:hideMark/>
          </w:tcPr>
          <w:p w:rsidR="00A71A12" w:rsidRPr="00BB33FC" w:rsidRDefault="00A71A12" w:rsidP="00A71A12">
            <w:pPr>
              <w:rPr>
                <w:rFonts w:ascii="Arial" w:hAnsi="Arial" w:cs="Arial"/>
                <w:sz w:val="18"/>
                <w:szCs w:val="18"/>
              </w:rPr>
            </w:pPr>
            <w:r w:rsidRPr="00BB33FC">
              <w:rPr>
                <w:rFonts w:ascii="Arial" w:hAnsi="Arial" w:cs="Arial"/>
                <w:sz w:val="18"/>
                <w:szCs w:val="18"/>
              </w:rPr>
              <w:t>primárny</w:t>
            </w:r>
          </w:p>
        </w:tc>
        <w:tc>
          <w:tcPr>
            <w:tcW w:w="1086" w:type="dxa"/>
            <w:gridSpan w:val="2"/>
            <w:tcBorders>
              <w:top w:val="nil"/>
              <w:left w:val="nil"/>
              <w:bottom w:val="nil"/>
              <w:right w:val="single" w:sz="4" w:space="0" w:color="A6A6A6"/>
            </w:tcBorders>
            <w:shd w:val="clear" w:color="000000" w:fill="FDE9D9"/>
            <w:noWrap/>
            <w:hideMark/>
          </w:tcPr>
          <w:p w:rsidR="00A71A12" w:rsidRPr="00BB33FC" w:rsidRDefault="00A71A12" w:rsidP="00A71A12">
            <w:pPr>
              <w:rPr>
                <w:rFonts w:ascii="Arial" w:hAnsi="Arial" w:cs="Arial"/>
                <w:sz w:val="18"/>
                <w:szCs w:val="18"/>
              </w:rPr>
            </w:pPr>
            <w:r w:rsidRPr="00BB33FC">
              <w:rPr>
                <w:rFonts w:ascii="Arial" w:hAnsi="Arial" w:cs="Arial"/>
                <w:sz w:val="18"/>
                <w:szCs w:val="18"/>
              </w:rPr>
              <w:t> </w:t>
            </w:r>
          </w:p>
        </w:tc>
        <w:tc>
          <w:tcPr>
            <w:tcW w:w="863" w:type="dxa"/>
            <w:gridSpan w:val="2"/>
            <w:tcBorders>
              <w:top w:val="nil"/>
              <w:left w:val="nil"/>
              <w:bottom w:val="nil"/>
              <w:right w:val="single" w:sz="4" w:space="0" w:color="A6A6A6"/>
            </w:tcBorders>
            <w:shd w:val="clear" w:color="000000" w:fill="FDE9D9"/>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34 481,9</w:t>
            </w:r>
          </w:p>
        </w:tc>
        <w:tc>
          <w:tcPr>
            <w:tcW w:w="1674" w:type="dxa"/>
            <w:gridSpan w:val="2"/>
            <w:tcBorders>
              <w:top w:val="nil"/>
              <w:left w:val="nil"/>
              <w:bottom w:val="nil"/>
              <w:right w:val="single" w:sz="4" w:space="0" w:color="A6A6A6"/>
            </w:tcBorders>
            <w:shd w:val="clear" w:color="000000" w:fill="FDE9D9"/>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EUR/osoba</w:t>
            </w:r>
          </w:p>
        </w:tc>
        <w:tc>
          <w:tcPr>
            <w:tcW w:w="641" w:type="dxa"/>
            <w:gridSpan w:val="2"/>
            <w:tcBorders>
              <w:top w:val="nil"/>
              <w:left w:val="nil"/>
              <w:bottom w:val="nil"/>
              <w:right w:val="single" w:sz="4" w:space="0" w:color="A6A6A6"/>
            </w:tcBorders>
            <w:shd w:val="clear" w:color="000000" w:fill="FDE9D9"/>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2012</w:t>
            </w:r>
          </w:p>
        </w:tc>
        <w:tc>
          <w:tcPr>
            <w:tcW w:w="951" w:type="dxa"/>
            <w:tcBorders>
              <w:top w:val="nil"/>
              <w:left w:val="nil"/>
              <w:bottom w:val="nil"/>
              <w:right w:val="single" w:sz="8" w:space="0" w:color="E26B0A"/>
            </w:tcBorders>
            <w:shd w:val="clear" w:color="000000" w:fill="FDE9D9"/>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w:t>
            </w:r>
          </w:p>
        </w:tc>
      </w:tr>
      <w:tr w:rsidR="00A71A12" w:rsidRPr="00BB33FC" w:rsidTr="00A71A12">
        <w:trPr>
          <w:trHeight w:val="300"/>
        </w:trPr>
        <w:tc>
          <w:tcPr>
            <w:tcW w:w="387"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363" w:type="dxa"/>
            <w:vMerge/>
            <w:tcBorders>
              <w:top w:val="nil"/>
              <w:left w:val="single" w:sz="8" w:space="0" w:color="E26B0A"/>
              <w:bottom w:val="single" w:sz="8" w:space="0" w:color="E26B0A"/>
              <w:right w:val="single" w:sz="8" w:space="0" w:color="E26B0A"/>
            </w:tcBorders>
            <w:vAlign w:val="center"/>
            <w:hideMark/>
          </w:tcPr>
          <w:p w:rsidR="00A71A12" w:rsidRPr="00BB33FC" w:rsidRDefault="00A71A12" w:rsidP="00A71A12">
            <w:pPr>
              <w:rPr>
                <w:rFonts w:ascii="Arial" w:hAnsi="Arial" w:cs="Arial"/>
                <w:b/>
                <w:bCs/>
                <w:sz w:val="20"/>
                <w:szCs w:val="20"/>
              </w:rPr>
            </w:pPr>
          </w:p>
        </w:tc>
        <w:tc>
          <w:tcPr>
            <w:tcW w:w="4662" w:type="dxa"/>
            <w:gridSpan w:val="4"/>
            <w:tcBorders>
              <w:top w:val="nil"/>
              <w:left w:val="nil"/>
              <w:bottom w:val="nil"/>
              <w:right w:val="nil"/>
            </w:tcBorders>
            <w:shd w:val="clear" w:color="000000" w:fill="FDE9D9"/>
            <w:noWrap/>
            <w:hideMark/>
          </w:tcPr>
          <w:p w:rsidR="00A71A12" w:rsidRPr="00BB33FC" w:rsidRDefault="00A71A12" w:rsidP="00A71A12">
            <w:pPr>
              <w:rPr>
                <w:rFonts w:ascii="Arial" w:hAnsi="Arial" w:cs="Arial"/>
                <w:sz w:val="18"/>
                <w:szCs w:val="18"/>
              </w:rPr>
            </w:pPr>
            <w:r w:rsidRPr="00BB33FC">
              <w:rPr>
                <w:rFonts w:ascii="Arial" w:hAnsi="Arial" w:cs="Arial"/>
                <w:sz w:val="18"/>
                <w:szCs w:val="18"/>
              </w:rPr>
              <w:t>sekundárny</w:t>
            </w:r>
          </w:p>
        </w:tc>
        <w:tc>
          <w:tcPr>
            <w:tcW w:w="1086" w:type="dxa"/>
            <w:gridSpan w:val="2"/>
            <w:tcBorders>
              <w:top w:val="nil"/>
              <w:left w:val="nil"/>
              <w:bottom w:val="nil"/>
              <w:right w:val="single" w:sz="4" w:space="0" w:color="A6A6A6"/>
            </w:tcBorders>
            <w:shd w:val="clear" w:color="000000" w:fill="FDE9D9"/>
            <w:noWrap/>
            <w:vAlign w:val="bottom"/>
            <w:hideMark/>
          </w:tcPr>
          <w:p w:rsidR="00A71A12" w:rsidRPr="00BB33FC" w:rsidRDefault="00A71A12" w:rsidP="00A71A12">
            <w:pPr>
              <w:jc w:val="right"/>
              <w:rPr>
                <w:rFonts w:ascii="Arial" w:hAnsi="Arial" w:cs="Arial"/>
                <w:i/>
                <w:iCs/>
                <w:color w:val="E26B0A"/>
                <w:sz w:val="16"/>
                <w:szCs w:val="16"/>
              </w:rPr>
            </w:pPr>
            <w:r w:rsidRPr="00BB33FC">
              <w:rPr>
                <w:rFonts w:ascii="Arial" w:hAnsi="Arial" w:cs="Arial"/>
                <w:i/>
                <w:iCs/>
                <w:color w:val="E26B0A"/>
                <w:sz w:val="16"/>
                <w:szCs w:val="16"/>
              </w:rPr>
              <w:t> </w:t>
            </w:r>
          </w:p>
        </w:tc>
        <w:tc>
          <w:tcPr>
            <w:tcW w:w="863" w:type="dxa"/>
            <w:gridSpan w:val="2"/>
            <w:tcBorders>
              <w:top w:val="nil"/>
              <w:left w:val="nil"/>
              <w:bottom w:val="nil"/>
              <w:right w:val="single" w:sz="4" w:space="0" w:color="A6A6A6"/>
            </w:tcBorders>
            <w:shd w:val="clear" w:color="000000" w:fill="FDE9D9"/>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33 629,4</w:t>
            </w:r>
          </w:p>
        </w:tc>
        <w:tc>
          <w:tcPr>
            <w:tcW w:w="1674" w:type="dxa"/>
            <w:gridSpan w:val="2"/>
            <w:tcBorders>
              <w:top w:val="nil"/>
              <w:left w:val="nil"/>
              <w:bottom w:val="nil"/>
              <w:right w:val="single" w:sz="4" w:space="0" w:color="A6A6A6"/>
            </w:tcBorders>
            <w:shd w:val="clear" w:color="000000" w:fill="FDE9D9"/>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EUR/osoba</w:t>
            </w:r>
          </w:p>
        </w:tc>
        <w:tc>
          <w:tcPr>
            <w:tcW w:w="641" w:type="dxa"/>
            <w:gridSpan w:val="2"/>
            <w:tcBorders>
              <w:top w:val="nil"/>
              <w:left w:val="nil"/>
              <w:bottom w:val="nil"/>
              <w:right w:val="single" w:sz="4" w:space="0" w:color="A6A6A6"/>
            </w:tcBorders>
            <w:shd w:val="clear" w:color="000000" w:fill="FDE9D9"/>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2012</w:t>
            </w:r>
          </w:p>
        </w:tc>
        <w:tc>
          <w:tcPr>
            <w:tcW w:w="951" w:type="dxa"/>
            <w:tcBorders>
              <w:top w:val="nil"/>
              <w:left w:val="nil"/>
              <w:bottom w:val="nil"/>
              <w:right w:val="single" w:sz="8" w:space="0" w:color="E26B0A"/>
            </w:tcBorders>
            <w:shd w:val="clear" w:color="000000" w:fill="FDE9D9"/>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w:t>
            </w:r>
          </w:p>
        </w:tc>
      </w:tr>
      <w:tr w:rsidR="00A71A12" w:rsidRPr="00BB33FC" w:rsidTr="00A71A12">
        <w:trPr>
          <w:trHeight w:val="300"/>
        </w:trPr>
        <w:tc>
          <w:tcPr>
            <w:tcW w:w="387"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363" w:type="dxa"/>
            <w:vMerge/>
            <w:tcBorders>
              <w:top w:val="nil"/>
              <w:left w:val="single" w:sz="8" w:space="0" w:color="E26B0A"/>
              <w:bottom w:val="single" w:sz="8" w:space="0" w:color="E26B0A"/>
              <w:right w:val="single" w:sz="8" w:space="0" w:color="E26B0A"/>
            </w:tcBorders>
            <w:vAlign w:val="center"/>
            <w:hideMark/>
          </w:tcPr>
          <w:p w:rsidR="00A71A12" w:rsidRPr="00BB33FC" w:rsidRDefault="00A71A12" w:rsidP="00A71A12">
            <w:pPr>
              <w:rPr>
                <w:rFonts w:ascii="Arial" w:hAnsi="Arial" w:cs="Arial"/>
                <w:b/>
                <w:bCs/>
                <w:sz w:val="20"/>
                <w:szCs w:val="20"/>
              </w:rPr>
            </w:pPr>
          </w:p>
        </w:tc>
        <w:tc>
          <w:tcPr>
            <w:tcW w:w="4662" w:type="dxa"/>
            <w:gridSpan w:val="4"/>
            <w:tcBorders>
              <w:top w:val="nil"/>
              <w:left w:val="nil"/>
              <w:bottom w:val="single" w:sz="4" w:space="0" w:color="A6A6A6"/>
              <w:right w:val="nil"/>
            </w:tcBorders>
            <w:shd w:val="clear" w:color="000000" w:fill="FDE9D9"/>
            <w:noWrap/>
            <w:hideMark/>
          </w:tcPr>
          <w:p w:rsidR="00A71A12" w:rsidRPr="00BB33FC" w:rsidRDefault="00A71A12" w:rsidP="00A71A12">
            <w:pPr>
              <w:rPr>
                <w:rFonts w:ascii="Arial" w:hAnsi="Arial" w:cs="Arial"/>
                <w:sz w:val="18"/>
                <w:szCs w:val="18"/>
              </w:rPr>
            </w:pPr>
            <w:r w:rsidRPr="00BB33FC">
              <w:rPr>
                <w:rFonts w:ascii="Arial" w:hAnsi="Arial" w:cs="Arial"/>
                <w:sz w:val="18"/>
                <w:szCs w:val="18"/>
              </w:rPr>
              <w:t xml:space="preserve">terciárny </w:t>
            </w:r>
          </w:p>
        </w:tc>
        <w:tc>
          <w:tcPr>
            <w:tcW w:w="1086" w:type="dxa"/>
            <w:gridSpan w:val="2"/>
            <w:tcBorders>
              <w:top w:val="nil"/>
              <w:left w:val="nil"/>
              <w:bottom w:val="single" w:sz="4" w:space="0" w:color="A6A6A6"/>
              <w:right w:val="single" w:sz="4" w:space="0" w:color="A6A6A6"/>
            </w:tcBorders>
            <w:shd w:val="clear" w:color="000000" w:fill="FDE9D9"/>
            <w:noWrap/>
            <w:vAlign w:val="bottom"/>
            <w:hideMark/>
          </w:tcPr>
          <w:p w:rsidR="00A71A12" w:rsidRPr="00BB33FC" w:rsidRDefault="00A71A12" w:rsidP="00A71A12">
            <w:pPr>
              <w:jc w:val="right"/>
              <w:rPr>
                <w:rFonts w:ascii="Arial" w:hAnsi="Arial" w:cs="Arial"/>
                <w:i/>
                <w:iCs/>
                <w:color w:val="E26B0A"/>
                <w:sz w:val="16"/>
                <w:szCs w:val="16"/>
              </w:rPr>
            </w:pPr>
            <w:r w:rsidRPr="00BB33FC">
              <w:rPr>
                <w:rFonts w:ascii="Arial" w:hAnsi="Arial" w:cs="Arial"/>
                <w:i/>
                <w:iCs/>
                <w:color w:val="E26B0A"/>
                <w:sz w:val="16"/>
                <w:szCs w:val="16"/>
              </w:rPr>
              <w:t> </w:t>
            </w:r>
          </w:p>
        </w:tc>
        <w:tc>
          <w:tcPr>
            <w:tcW w:w="863" w:type="dxa"/>
            <w:gridSpan w:val="2"/>
            <w:tcBorders>
              <w:top w:val="nil"/>
              <w:left w:val="nil"/>
              <w:bottom w:val="single" w:sz="4" w:space="0" w:color="A6A6A6"/>
              <w:right w:val="single" w:sz="4" w:space="0" w:color="A6A6A6"/>
            </w:tcBorders>
            <w:shd w:val="clear" w:color="000000" w:fill="FDE9D9"/>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27 419,3</w:t>
            </w:r>
          </w:p>
        </w:tc>
        <w:tc>
          <w:tcPr>
            <w:tcW w:w="1674" w:type="dxa"/>
            <w:gridSpan w:val="2"/>
            <w:tcBorders>
              <w:top w:val="nil"/>
              <w:left w:val="nil"/>
              <w:bottom w:val="single" w:sz="4" w:space="0" w:color="A6A6A6"/>
              <w:right w:val="single" w:sz="4" w:space="0" w:color="A6A6A6"/>
            </w:tcBorders>
            <w:shd w:val="clear" w:color="000000" w:fill="FDE9D9"/>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EUR/osoba</w:t>
            </w:r>
          </w:p>
        </w:tc>
        <w:tc>
          <w:tcPr>
            <w:tcW w:w="641" w:type="dxa"/>
            <w:gridSpan w:val="2"/>
            <w:tcBorders>
              <w:top w:val="nil"/>
              <w:left w:val="nil"/>
              <w:bottom w:val="single" w:sz="4" w:space="0" w:color="A6A6A6"/>
              <w:right w:val="single" w:sz="4" w:space="0" w:color="A6A6A6"/>
            </w:tcBorders>
            <w:shd w:val="clear" w:color="000000" w:fill="FDE9D9"/>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2012</w:t>
            </w:r>
          </w:p>
        </w:tc>
        <w:tc>
          <w:tcPr>
            <w:tcW w:w="951" w:type="dxa"/>
            <w:tcBorders>
              <w:top w:val="nil"/>
              <w:left w:val="nil"/>
              <w:bottom w:val="single" w:sz="4" w:space="0" w:color="A6A6A6"/>
              <w:right w:val="single" w:sz="8" w:space="0" w:color="E26B0A"/>
            </w:tcBorders>
            <w:shd w:val="clear" w:color="000000" w:fill="FDE9D9"/>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w:t>
            </w:r>
          </w:p>
        </w:tc>
      </w:tr>
      <w:tr w:rsidR="00A71A12" w:rsidRPr="00BB33FC" w:rsidTr="00A71A12">
        <w:trPr>
          <w:trHeight w:val="300"/>
        </w:trPr>
        <w:tc>
          <w:tcPr>
            <w:tcW w:w="387"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363" w:type="dxa"/>
            <w:vMerge/>
            <w:tcBorders>
              <w:top w:val="nil"/>
              <w:left w:val="single" w:sz="8" w:space="0" w:color="E26B0A"/>
              <w:bottom w:val="single" w:sz="8" w:space="0" w:color="E26B0A"/>
              <w:right w:val="single" w:sz="8" w:space="0" w:color="E26B0A"/>
            </w:tcBorders>
            <w:vAlign w:val="center"/>
            <w:hideMark/>
          </w:tcPr>
          <w:p w:rsidR="00A71A12" w:rsidRPr="00BB33FC" w:rsidRDefault="00A71A12" w:rsidP="00A71A12">
            <w:pPr>
              <w:rPr>
                <w:rFonts w:ascii="Arial" w:hAnsi="Arial" w:cs="Arial"/>
                <w:b/>
                <w:bCs/>
                <w:sz w:val="20"/>
                <w:szCs w:val="20"/>
              </w:rPr>
            </w:pPr>
          </w:p>
        </w:tc>
        <w:tc>
          <w:tcPr>
            <w:tcW w:w="4662" w:type="dxa"/>
            <w:gridSpan w:val="4"/>
            <w:tcBorders>
              <w:top w:val="nil"/>
              <w:left w:val="nil"/>
              <w:bottom w:val="nil"/>
              <w:right w:val="nil"/>
            </w:tcBorders>
            <w:shd w:val="clear" w:color="000000" w:fill="FCD5B4"/>
            <w:noWrap/>
            <w:hideMark/>
          </w:tcPr>
          <w:p w:rsidR="00A71A12" w:rsidRPr="00BB33FC" w:rsidRDefault="00A71A12" w:rsidP="00A71A12">
            <w:pPr>
              <w:rPr>
                <w:rFonts w:ascii="Arial" w:hAnsi="Arial" w:cs="Arial"/>
                <w:sz w:val="18"/>
                <w:szCs w:val="18"/>
              </w:rPr>
            </w:pPr>
            <w:r w:rsidRPr="00BB33FC">
              <w:rPr>
                <w:rFonts w:ascii="Arial" w:hAnsi="Arial" w:cs="Arial"/>
                <w:sz w:val="18"/>
                <w:szCs w:val="18"/>
              </w:rPr>
              <w:t>vidiecke</w:t>
            </w:r>
          </w:p>
        </w:tc>
        <w:tc>
          <w:tcPr>
            <w:tcW w:w="1086" w:type="dxa"/>
            <w:gridSpan w:val="2"/>
            <w:tcBorders>
              <w:top w:val="nil"/>
              <w:left w:val="nil"/>
              <w:bottom w:val="nil"/>
              <w:right w:val="single" w:sz="4" w:space="0" w:color="A6A6A6"/>
            </w:tcBorders>
            <w:shd w:val="clear" w:color="000000" w:fill="FCD5B4"/>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 </w:t>
            </w:r>
          </w:p>
        </w:tc>
        <w:tc>
          <w:tcPr>
            <w:tcW w:w="863" w:type="dxa"/>
            <w:gridSpan w:val="2"/>
            <w:tcBorders>
              <w:top w:val="nil"/>
              <w:left w:val="nil"/>
              <w:bottom w:val="nil"/>
              <w:right w:val="single" w:sz="4" w:space="0" w:color="A6A6A6"/>
            </w:tcBorders>
            <w:shd w:val="clear" w:color="000000" w:fill="FCD5B4"/>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24 971,2</w:t>
            </w:r>
          </w:p>
        </w:tc>
        <w:tc>
          <w:tcPr>
            <w:tcW w:w="1674" w:type="dxa"/>
            <w:gridSpan w:val="2"/>
            <w:tcBorders>
              <w:top w:val="nil"/>
              <w:left w:val="nil"/>
              <w:bottom w:val="nil"/>
              <w:right w:val="single" w:sz="4" w:space="0" w:color="A6A6A6"/>
            </w:tcBorders>
            <w:shd w:val="clear" w:color="000000" w:fill="FCD5B4"/>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EUR/osoba</w:t>
            </w:r>
          </w:p>
        </w:tc>
        <w:tc>
          <w:tcPr>
            <w:tcW w:w="641" w:type="dxa"/>
            <w:gridSpan w:val="2"/>
            <w:tcBorders>
              <w:top w:val="nil"/>
              <w:left w:val="nil"/>
              <w:bottom w:val="nil"/>
              <w:right w:val="single" w:sz="4" w:space="0" w:color="A6A6A6"/>
            </w:tcBorders>
            <w:shd w:val="clear" w:color="000000" w:fill="FCD5B4"/>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2010</w:t>
            </w:r>
          </w:p>
        </w:tc>
        <w:tc>
          <w:tcPr>
            <w:tcW w:w="951" w:type="dxa"/>
            <w:tcBorders>
              <w:top w:val="nil"/>
              <w:left w:val="nil"/>
              <w:bottom w:val="nil"/>
              <w:right w:val="single" w:sz="8" w:space="0" w:color="E26B0A"/>
            </w:tcBorders>
            <w:shd w:val="clear" w:color="000000" w:fill="FCD5B4"/>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w:t>
            </w:r>
          </w:p>
        </w:tc>
      </w:tr>
      <w:tr w:rsidR="00A71A12" w:rsidRPr="00BB33FC" w:rsidTr="00A71A12">
        <w:trPr>
          <w:trHeight w:val="300"/>
        </w:trPr>
        <w:tc>
          <w:tcPr>
            <w:tcW w:w="387"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363" w:type="dxa"/>
            <w:vMerge/>
            <w:tcBorders>
              <w:top w:val="nil"/>
              <w:left w:val="single" w:sz="8" w:space="0" w:color="E26B0A"/>
              <w:bottom w:val="single" w:sz="8" w:space="0" w:color="E26B0A"/>
              <w:right w:val="single" w:sz="8" w:space="0" w:color="E26B0A"/>
            </w:tcBorders>
            <w:vAlign w:val="center"/>
            <w:hideMark/>
          </w:tcPr>
          <w:p w:rsidR="00A71A12" w:rsidRPr="00BB33FC" w:rsidRDefault="00A71A12" w:rsidP="00A71A12">
            <w:pPr>
              <w:rPr>
                <w:rFonts w:ascii="Arial" w:hAnsi="Arial" w:cs="Arial"/>
                <w:b/>
                <w:bCs/>
                <w:sz w:val="20"/>
                <w:szCs w:val="20"/>
              </w:rPr>
            </w:pPr>
          </w:p>
        </w:tc>
        <w:tc>
          <w:tcPr>
            <w:tcW w:w="4662" w:type="dxa"/>
            <w:gridSpan w:val="4"/>
            <w:tcBorders>
              <w:top w:val="nil"/>
              <w:left w:val="nil"/>
              <w:bottom w:val="nil"/>
              <w:right w:val="nil"/>
            </w:tcBorders>
            <w:shd w:val="clear" w:color="000000" w:fill="FCD5B4"/>
            <w:noWrap/>
            <w:hideMark/>
          </w:tcPr>
          <w:p w:rsidR="00A71A12" w:rsidRPr="00BB33FC" w:rsidRDefault="00A71A12" w:rsidP="00A71A12">
            <w:pPr>
              <w:rPr>
                <w:rFonts w:ascii="Arial" w:hAnsi="Arial" w:cs="Arial"/>
                <w:sz w:val="18"/>
                <w:szCs w:val="18"/>
              </w:rPr>
            </w:pPr>
            <w:r w:rsidRPr="00BB33FC">
              <w:rPr>
                <w:rFonts w:ascii="Arial" w:hAnsi="Arial" w:cs="Arial"/>
                <w:sz w:val="18"/>
                <w:szCs w:val="18"/>
              </w:rPr>
              <w:t>prechodné</w:t>
            </w:r>
          </w:p>
        </w:tc>
        <w:tc>
          <w:tcPr>
            <w:tcW w:w="1086" w:type="dxa"/>
            <w:gridSpan w:val="2"/>
            <w:tcBorders>
              <w:top w:val="nil"/>
              <w:left w:val="nil"/>
              <w:bottom w:val="nil"/>
              <w:right w:val="single" w:sz="4" w:space="0" w:color="A6A6A6"/>
            </w:tcBorders>
            <w:shd w:val="clear" w:color="000000" w:fill="FCD5B4"/>
            <w:noWrap/>
            <w:vAlign w:val="bottom"/>
            <w:hideMark/>
          </w:tcPr>
          <w:p w:rsidR="00A71A12" w:rsidRPr="00BB33FC" w:rsidRDefault="00A71A12" w:rsidP="00A71A12">
            <w:pPr>
              <w:jc w:val="right"/>
              <w:rPr>
                <w:rFonts w:ascii="Arial" w:hAnsi="Arial" w:cs="Arial"/>
                <w:i/>
                <w:iCs/>
                <w:color w:val="E26B0A"/>
                <w:sz w:val="16"/>
                <w:szCs w:val="16"/>
              </w:rPr>
            </w:pPr>
            <w:r w:rsidRPr="00BB33FC">
              <w:rPr>
                <w:rFonts w:ascii="Arial" w:hAnsi="Arial" w:cs="Arial"/>
                <w:i/>
                <w:iCs/>
                <w:color w:val="E26B0A"/>
                <w:sz w:val="16"/>
                <w:szCs w:val="16"/>
              </w:rPr>
              <w:t> </w:t>
            </w:r>
          </w:p>
        </w:tc>
        <w:tc>
          <w:tcPr>
            <w:tcW w:w="863" w:type="dxa"/>
            <w:gridSpan w:val="2"/>
            <w:tcBorders>
              <w:top w:val="nil"/>
              <w:left w:val="nil"/>
              <w:bottom w:val="nil"/>
              <w:right w:val="single" w:sz="4" w:space="0" w:color="A6A6A6"/>
            </w:tcBorders>
            <w:shd w:val="clear" w:color="000000" w:fill="FCD5B4"/>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24 460,4</w:t>
            </w:r>
          </w:p>
        </w:tc>
        <w:tc>
          <w:tcPr>
            <w:tcW w:w="1674" w:type="dxa"/>
            <w:gridSpan w:val="2"/>
            <w:tcBorders>
              <w:top w:val="nil"/>
              <w:left w:val="nil"/>
              <w:bottom w:val="nil"/>
              <w:right w:val="single" w:sz="4" w:space="0" w:color="A6A6A6"/>
            </w:tcBorders>
            <w:shd w:val="clear" w:color="000000" w:fill="FCD5B4"/>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EUR/osoba</w:t>
            </w:r>
          </w:p>
        </w:tc>
        <w:tc>
          <w:tcPr>
            <w:tcW w:w="641" w:type="dxa"/>
            <w:gridSpan w:val="2"/>
            <w:tcBorders>
              <w:top w:val="nil"/>
              <w:left w:val="nil"/>
              <w:bottom w:val="nil"/>
              <w:right w:val="single" w:sz="4" w:space="0" w:color="A6A6A6"/>
            </w:tcBorders>
            <w:shd w:val="clear" w:color="000000" w:fill="FCD5B4"/>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2010</w:t>
            </w:r>
          </w:p>
        </w:tc>
        <w:tc>
          <w:tcPr>
            <w:tcW w:w="951" w:type="dxa"/>
            <w:tcBorders>
              <w:top w:val="nil"/>
              <w:left w:val="nil"/>
              <w:bottom w:val="nil"/>
              <w:right w:val="single" w:sz="8" w:space="0" w:color="E26B0A"/>
            </w:tcBorders>
            <w:shd w:val="clear" w:color="000000" w:fill="FCD5B4"/>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w:t>
            </w:r>
          </w:p>
        </w:tc>
      </w:tr>
      <w:tr w:rsidR="00A71A12" w:rsidRPr="00BB33FC" w:rsidTr="00A71A12">
        <w:trPr>
          <w:trHeight w:val="315"/>
        </w:trPr>
        <w:tc>
          <w:tcPr>
            <w:tcW w:w="387"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363" w:type="dxa"/>
            <w:vMerge/>
            <w:tcBorders>
              <w:top w:val="nil"/>
              <w:left w:val="single" w:sz="8" w:space="0" w:color="E26B0A"/>
              <w:bottom w:val="single" w:sz="8" w:space="0" w:color="E26B0A"/>
              <w:right w:val="single" w:sz="8" w:space="0" w:color="E26B0A"/>
            </w:tcBorders>
            <w:vAlign w:val="center"/>
            <w:hideMark/>
          </w:tcPr>
          <w:p w:rsidR="00A71A12" w:rsidRPr="00BB33FC" w:rsidRDefault="00A71A12" w:rsidP="00A71A12">
            <w:pPr>
              <w:rPr>
                <w:rFonts w:ascii="Arial" w:hAnsi="Arial" w:cs="Arial"/>
                <w:b/>
                <w:bCs/>
                <w:sz w:val="20"/>
                <w:szCs w:val="20"/>
              </w:rPr>
            </w:pPr>
          </w:p>
        </w:tc>
        <w:tc>
          <w:tcPr>
            <w:tcW w:w="4662" w:type="dxa"/>
            <w:gridSpan w:val="4"/>
            <w:tcBorders>
              <w:top w:val="nil"/>
              <w:left w:val="nil"/>
              <w:bottom w:val="single" w:sz="8" w:space="0" w:color="E26B0A"/>
              <w:right w:val="nil"/>
            </w:tcBorders>
            <w:shd w:val="clear" w:color="000000" w:fill="FCD5B4"/>
            <w:noWrap/>
            <w:hideMark/>
          </w:tcPr>
          <w:p w:rsidR="00A71A12" w:rsidRPr="00BB33FC" w:rsidRDefault="00A71A12" w:rsidP="00A71A12">
            <w:pPr>
              <w:rPr>
                <w:rFonts w:ascii="Arial" w:hAnsi="Arial" w:cs="Arial"/>
                <w:sz w:val="18"/>
                <w:szCs w:val="18"/>
              </w:rPr>
            </w:pPr>
            <w:r w:rsidRPr="00BB33FC">
              <w:rPr>
                <w:rFonts w:ascii="Arial" w:hAnsi="Arial" w:cs="Arial"/>
                <w:sz w:val="18"/>
                <w:szCs w:val="18"/>
              </w:rPr>
              <w:t>mestské</w:t>
            </w:r>
          </w:p>
        </w:tc>
        <w:tc>
          <w:tcPr>
            <w:tcW w:w="1086" w:type="dxa"/>
            <w:gridSpan w:val="2"/>
            <w:tcBorders>
              <w:top w:val="nil"/>
              <w:left w:val="nil"/>
              <w:bottom w:val="single" w:sz="8" w:space="0" w:color="E26B0A"/>
              <w:right w:val="single" w:sz="4" w:space="0" w:color="A6A6A6"/>
            </w:tcBorders>
            <w:shd w:val="clear" w:color="000000" w:fill="FCD5B4"/>
            <w:noWrap/>
            <w:vAlign w:val="bottom"/>
            <w:hideMark/>
          </w:tcPr>
          <w:p w:rsidR="00A71A12" w:rsidRPr="00BB33FC" w:rsidRDefault="00A71A12" w:rsidP="00A71A12">
            <w:pPr>
              <w:jc w:val="right"/>
              <w:rPr>
                <w:rFonts w:ascii="Arial" w:hAnsi="Arial" w:cs="Arial"/>
                <w:i/>
                <w:iCs/>
                <w:color w:val="E26B0A"/>
                <w:sz w:val="16"/>
                <w:szCs w:val="16"/>
              </w:rPr>
            </w:pPr>
            <w:r w:rsidRPr="00BB33FC">
              <w:rPr>
                <w:rFonts w:ascii="Arial" w:hAnsi="Arial" w:cs="Arial"/>
                <w:i/>
                <w:iCs/>
                <w:color w:val="E26B0A"/>
                <w:sz w:val="16"/>
                <w:szCs w:val="16"/>
              </w:rPr>
              <w:t> </w:t>
            </w:r>
          </w:p>
        </w:tc>
        <w:tc>
          <w:tcPr>
            <w:tcW w:w="863" w:type="dxa"/>
            <w:gridSpan w:val="2"/>
            <w:tcBorders>
              <w:top w:val="nil"/>
              <w:left w:val="nil"/>
              <w:bottom w:val="single" w:sz="8" w:space="0" w:color="E26B0A"/>
              <w:right w:val="single" w:sz="4" w:space="0" w:color="A6A6A6"/>
            </w:tcBorders>
            <w:shd w:val="clear" w:color="000000" w:fill="FCD5B4"/>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39 466,9</w:t>
            </w:r>
          </w:p>
        </w:tc>
        <w:tc>
          <w:tcPr>
            <w:tcW w:w="1674" w:type="dxa"/>
            <w:gridSpan w:val="2"/>
            <w:tcBorders>
              <w:top w:val="nil"/>
              <w:left w:val="nil"/>
              <w:bottom w:val="single" w:sz="8" w:space="0" w:color="E26B0A"/>
              <w:right w:val="single" w:sz="4" w:space="0" w:color="A6A6A6"/>
            </w:tcBorders>
            <w:shd w:val="clear" w:color="000000" w:fill="FCD5B4"/>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EUR/osoba</w:t>
            </w:r>
          </w:p>
        </w:tc>
        <w:tc>
          <w:tcPr>
            <w:tcW w:w="641" w:type="dxa"/>
            <w:gridSpan w:val="2"/>
            <w:tcBorders>
              <w:top w:val="nil"/>
              <w:left w:val="nil"/>
              <w:bottom w:val="single" w:sz="8" w:space="0" w:color="E26B0A"/>
              <w:right w:val="single" w:sz="4" w:space="0" w:color="A6A6A6"/>
            </w:tcBorders>
            <w:shd w:val="clear" w:color="000000" w:fill="FCD5B4"/>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2010</w:t>
            </w:r>
          </w:p>
        </w:tc>
        <w:tc>
          <w:tcPr>
            <w:tcW w:w="951" w:type="dxa"/>
            <w:tcBorders>
              <w:top w:val="nil"/>
              <w:left w:val="nil"/>
              <w:bottom w:val="single" w:sz="8" w:space="0" w:color="E26B0A"/>
              <w:right w:val="single" w:sz="8" w:space="0" w:color="E26B0A"/>
            </w:tcBorders>
            <w:shd w:val="clear" w:color="000000" w:fill="FCD5B4"/>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w:t>
            </w:r>
          </w:p>
        </w:tc>
      </w:tr>
      <w:tr w:rsidR="00A71A12" w:rsidRPr="00BB33FC" w:rsidTr="00A71A12">
        <w:trPr>
          <w:trHeight w:val="780"/>
        </w:trPr>
        <w:tc>
          <w:tcPr>
            <w:tcW w:w="387"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6111" w:type="dxa"/>
            <w:gridSpan w:val="7"/>
            <w:tcBorders>
              <w:top w:val="single" w:sz="8" w:space="0" w:color="E26B0A"/>
              <w:left w:val="single" w:sz="8" w:space="0" w:color="E26B0A"/>
              <w:bottom w:val="single" w:sz="8" w:space="0" w:color="E26B0A"/>
              <w:right w:val="nil"/>
            </w:tcBorders>
            <w:shd w:val="clear" w:color="auto" w:fill="auto"/>
            <w:vAlign w:val="bottom"/>
            <w:hideMark/>
          </w:tcPr>
          <w:p w:rsidR="00A71A12" w:rsidRPr="00BB33FC" w:rsidRDefault="00A71A12" w:rsidP="00A71A12">
            <w:pPr>
              <w:jc w:val="center"/>
              <w:rPr>
                <w:rFonts w:ascii="Arial" w:hAnsi="Arial" w:cs="Arial"/>
                <w:b/>
                <w:bCs/>
                <w:i/>
                <w:iCs/>
                <w:color w:val="000000"/>
                <w:sz w:val="28"/>
                <w:szCs w:val="28"/>
              </w:rPr>
            </w:pPr>
            <w:r w:rsidRPr="00BB33FC">
              <w:rPr>
                <w:rFonts w:ascii="Arial" w:hAnsi="Arial" w:cs="Arial"/>
                <w:b/>
                <w:bCs/>
                <w:i/>
                <w:iCs/>
                <w:color w:val="000000"/>
                <w:sz w:val="28"/>
                <w:szCs w:val="28"/>
              </w:rPr>
              <w:t xml:space="preserve"> II Poľnohospodárstvo / Sektorová analýza</w:t>
            </w:r>
          </w:p>
        </w:tc>
        <w:tc>
          <w:tcPr>
            <w:tcW w:w="863" w:type="dxa"/>
            <w:gridSpan w:val="2"/>
            <w:tcBorders>
              <w:top w:val="nil"/>
              <w:left w:val="nil"/>
              <w:bottom w:val="nil"/>
              <w:right w:val="nil"/>
            </w:tcBorders>
            <w:shd w:val="clear" w:color="auto" w:fill="auto"/>
            <w:noWrap/>
            <w:vAlign w:val="bottom"/>
            <w:hideMark/>
          </w:tcPr>
          <w:p w:rsidR="00A71A12" w:rsidRPr="00BB33FC" w:rsidRDefault="00A71A12" w:rsidP="00A71A12">
            <w:pPr>
              <w:jc w:val="center"/>
              <w:rPr>
                <w:rFonts w:ascii="Arial" w:hAnsi="Arial" w:cs="Arial"/>
                <w:b/>
                <w:bCs/>
                <w:sz w:val="18"/>
                <w:szCs w:val="18"/>
              </w:rPr>
            </w:pPr>
            <w:r w:rsidRPr="00BB33FC">
              <w:rPr>
                <w:rFonts w:ascii="Arial" w:hAnsi="Arial" w:cs="Arial"/>
                <w:b/>
                <w:bCs/>
                <w:sz w:val="18"/>
                <w:szCs w:val="18"/>
              </w:rPr>
              <w:t> </w:t>
            </w:r>
          </w:p>
        </w:tc>
        <w:tc>
          <w:tcPr>
            <w:tcW w:w="1674" w:type="dxa"/>
            <w:gridSpan w:val="2"/>
            <w:tcBorders>
              <w:top w:val="nil"/>
              <w:left w:val="nil"/>
              <w:bottom w:val="nil"/>
              <w:right w:val="nil"/>
            </w:tcBorders>
            <w:shd w:val="clear" w:color="auto" w:fill="auto"/>
            <w:vAlign w:val="bottom"/>
            <w:hideMark/>
          </w:tcPr>
          <w:p w:rsidR="00A71A12" w:rsidRPr="00BB33FC" w:rsidRDefault="00A71A12" w:rsidP="00A71A12">
            <w:pPr>
              <w:rPr>
                <w:rFonts w:ascii="Arial" w:hAnsi="Arial" w:cs="Arial"/>
                <w:b/>
                <w:bCs/>
                <w:sz w:val="18"/>
                <w:szCs w:val="18"/>
              </w:rPr>
            </w:pPr>
            <w:r w:rsidRPr="00BB33FC">
              <w:rPr>
                <w:rFonts w:ascii="Arial" w:hAnsi="Arial" w:cs="Arial"/>
                <w:b/>
                <w:bCs/>
                <w:sz w:val="18"/>
                <w:szCs w:val="18"/>
              </w:rPr>
              <w:t> </w:t>
            </w:r>
          </w:p>
        </w:tc>
        <w:tc>
          <w:tcPr>
            <w:tcW w:w="641" w:type="dxa"/>
            <w:gridSpan w:val="2"/>
            <w:tcBorders>
              <w:top w:val="nil"/>
              <w:left w:val="nil"/>
              <w:bottom w:val="nil"/>
              <w:right w:val="nil"/>
            </w:tcBorders>
            <w:shd w:val="clear" w:color="auto" w:fill="auto"/>
            <w:noWrap/>
            <w:vAlign w:val="bottom"/>
            <w:hideMark/>
          </w:tcPr>
          <w:p w:rsidR="00A71A12" w:rsidRPr="00BB33FC" w:rsidRDefault="00A71A12" w:rsidP="00A71A12">
            <w:pPr>
              <w:jc w:val="center"/>
              <w:rPr>
                <w:rFonts w:ascii="Arial" w:hAnsi="Arial" w:cs="Arial"/>
                <w:b/>
                <w:bCs/>
                <w:sz w:val="18"/>
                <w:szCs w:val="18"/>
              </w:rPr>
            </w:pPr>
            <w:r w:rsidRPr="00BB33FC">
              <w:rPr>
                <w:rFonts w:ascii="Arial" w:hAnsi="Arial" w:cs="Arial"/>
                <w:b/>
                <w:bCs/>
                <w:sz w:val="18"/>
                <w:szCs w:val="18"/>
              </w:rPr>
              <w:t> </w:t>
            </w:r>
          </w:p>
        </w:tc>
        <w:tc>
          <w:tcPr>
            <w:tcW w:w="951" w:type="dxa"/>
            <w:tcBorders>
              <w:top w:val="nil"/>
              <w:left w:val="nil"/>
              <w:bottom w:val="nil"/>
              <w:right w:val="single" w:sz="8" w:space="0" w:color="E26B0A"/>
            </w:tcBorders>
            <w:shd w:val="clear" w:color="auto" w:fill="auto"/>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 </w:t>
            </w:r>
          </w:p>
        </w:tc>
      </w:tr>
      <w:tr w:rsidR="00A71A12" w:rsidRPr="00BB33FC" w:rsidTr="00A71A12">
        <w:trPr>
          <w:trHeight w:val="600"/>
        </w:trPr>
        <w:tc>
          <w:tcPr>
            <w:tcW w:w="387"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363" w:type="dxa"/>
            <w:vMerge w:val="restart"/>
            <w:tcBorders>
              <w:top w:val="nil"/>
              <w:left w:val="single" w:sz="8" w:space="0" w:color="E26B0A"/>
              <w:bottom w:val="single" w:sz="8" w:space="0" w:color="E26B0A"/>
              <w:right w:val="nil"/>
            </w:tcBorders>
            <w:shd w:val="clear" w:color="auto" w:fill="auto"/>
            <w:noWrap/>
            <w:hideMark/>
          </w:tcPr>
          <w:p w:rsidR="00A71A12" w:rsidRPr="00BB33FC" w:rsidRDefault="00A71A12" w:rsidP="00A71A12">
            <w:pPr>
              <w:rPr>
                <w:rFonts w:ascii="Arial" w:hAnsi="Arial" w:cs="Arial"/>
                <w:b/>
                <w:bCs/>
                <w:color w:val="000000"/>
                <w:sz w:val="20"/>
                <w:szCs w:val="20"/>
              </w:rPr>
            </w:pPr>
            <w:r w:rsidRPr="00BB33FC">
              <w:rPr>
                <w:rFonts w:ascii="Arial" w:hAnsi="Arial" w:cs="Arial"/>
                <w:b/>
                <w:bCs/>
                <w:color w:val="000000"/>
                <w:sz w:val="20"/>
                <w:szCs w:val="20"/>
              </w:rPr>
              <w:t>13</w:t>
            </w:r>
          </w:p>
        </w:tc>
        <w:tc>
          <w:tcPr>
            <w:tcW w:w="5748" w:type="dxa"/>
            <w:gridSpan w:val="6"/>
            <w:tcBorders>
              <w:top w:val="single" w:sz="8" w:space="0" w:color="E26B0A"/>
              <w:left w:val="nil"/>
              <w:bottom w:val="single" w:sz="4" w:space="0" w:color="A6A6A6"/>
              <w:right w:val="nil"/>
            </w:tcBorders>
            <w:shd w:val="clear" w:color="auto" w:fill="auto"/>
            <w:vAlign w:val="bottom"/>
            <w:hideMark/>
          </w:tcPr>
          <w:p w:rsidR="00A71A12" w:rsidRPr="00BB33FC" w:rsidRDefault="00A71A12" w:rsidP="00A71A12">
            <w:pPr>
              <w:rPr>
                <w:rFonts w:ascii="Arial" w:hAnsi="Arial" w:cs="Arial"/>
                <w:b/>
                <w:bCs/>
                <w:i/>
                <w:iCs/>
                <w:color w:val="000000"/>
                <w:sz w:val="20"/>
                <w:szCs w:val="20"/>
              </w:rPr>
            </w:pPr>
            <w:r w:rsidRPr="00BB33FC">
              <w:rPr>
                <w:rFonts w:ascii="Arial" w:hAnsi="Arial" w:cs="Arial"/>
                <w:b/>
                <w:bCs/>
                <w:i/>
                <w:iCs/>
                <w:color w:val="000000"/>
                <w:sz w:val="20"/>
                <w:szCs w:val="20"/>
              </w:rPr>
              <w:t>Zamestnanosť podľa hospodárskej činnosti</w:t>
            </w:r>
          </w:p>
        </w:tc>
        <w:tc>
          <w:tcPr>
            <w:tcW w:w="863" w:type="dxa"/>
            <w:gridSpan w:val="2"/>
            <w:tcBorders>
              <w:top w:val="single" w:sz="8" w:space="0" w:color="E26B0A"/>
              <w:left w:val="nil"/>
              <w:bottom w:val="nil"/>
              <w:right w:val="nil"/>
            </w:tcBorders>
            <w:shd w:val="clear" w:color="auto" w:fill="auto"/>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 </w:t>
            </w:r>
          </w:p>
        </w:tc>
        <w:tc>
          <w:tcPr>
            <w:tcW w:w="1674" w:type="dxa"/>
            <w:gridSpan w:val="2"/>
            <w:tcBorders>
              <w:top w:val="single" w:sz="8" w:space="0" w:color="E26B0A"/>
              <w:left w:val="nil"/>
              <w:bottom w:val="nil"/>
              <w:right w:val="nil"/>
            </w:tcBorders>
            <w:shd w:val="clear" w:color="auto" w:fill="auto"/>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 </w:t>
            </w:r>
          </w:p>
        </w:tc>
        <w:tc>
          <w:tcPr>
            <w:tcW w:w="641" w:type="dxa"/>
            <w:gridSpan w:val="2"/>
            <w:tcBorders>
              <w:top w:val="single" w:sz="8" w:space="0" w:color="E26B0A"/>
              <w:left w:val="nil"/>
              <w:bottom w:val="nil"/>
              <w:right w:val="nil"/>
            </w:tcBorders>
            <w:shd w:val="clear" w:color="auto" w:fill="auto"/>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 </w:t>
            </w:r>
          </w:p>
        </w:tc>
        <w:tc>
          <w:tcPr>
            <w:tcW w:w="951" w:type="dxa"/>
            <w:tcBorders>
              <w:top w:val="single" w:sz="8" w:space="0" w:color="E26B0A"/>
              <w:left w:val="nil"/>
              <w:bottom w:val="nil"/>
              <w:right w:val="single" w:sz="8" w:space="0" w:color="E26B0A"/>
            </w:tcBorders>
            <w:shd w:val="clear" w:color="auto" w:fill="auto"/>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 </w:t>
            </w:r>
          </w:p>
        </w:tc>
      </w:tr>
      <w:tr w:rsidR="00A71A12" w:rsidRPr="00BB33FC" w:rsidTr="00A71A12">
        <w:trPr>
          <w:trHeight w:val="300"/>
        </w:trPr>
        <w:tc>
          <w:tcPr>
            <w:tcW w:w="387"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363" w:type="dxa"/>
            <w:vMerge/>
            <w:tcBorders>
              <w:top w:val="nil"/>
              <w:left w:val="single" w:sz="8" w:space="0" w:color="E26B0A"/>
              <w:bottom w:val="single" w:sz="8" w:space="0" w:color="E26B0A"/>
              <w:right w:val="nil"/>
            </w:tcBorders>
            <w:vAlign w:val="center"/>
            <w:hideMark/>
          </w:tcPr>
          <w:p w:rsidR="00A71A12" w:rsidRPr="00BB33FC" w:rsidRDefault="00A71A12" w:rsidP="00A71A12">
            <w:pPr>
              <w:rPr>
                <w:rFonts w:ascii="Arial" w:hAnsi="Arial" w:cs="Arial"/>
                <w:b/>
                <w:bCs/>
                <w:color w:val="000000"/>
                <w:sz w:val="20"/>
                <w:szCs w:val="20"/>
              </w:rPr>
            </w:pPr>
          </w:p>
        </w:tc>
        <w:tc>
          <w:tcPr>
            <w:tcW w:w="5748" w:type="dxa"/>
            <w:gridSpan w:val="6"/>
            <w:tcBorders>
              <w:top w:val="single" w:sz="4" w:space="0" w:color="A6A6A6"/>
              <w:left w:val="nil"/>
              <w:bottom w:val="nil"/>
              <w:right w:val="single" w:sz="4" w:space="0" w:color="A6A6A6"/>
            </w:tcBorders>
            <w:shd w:val="clear" w:color="000000" w:fill="FCD5B4"/>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celkom</w:t>
            </w:r>
          </w:p>
        </w:tc>
        <w:tc>
          <w:tcPr>
            <w:tcW w:w="863" w:type="dxa"/>
            <w:gridSpan w:val="2"/>
            <w:tcBorders>
              <w:top w:val="single" w:sz="4" w:space="0" w:color="A6A6A6"/>
              <w:left w:val="nil"/>
              <w:bottom w:val="nil"/>
              <w:right w:val="single" w:sz="4" w:space="0" w:color="A6A6A6"/>
            </w:tcBorders>
            <w:shd w:val="clear" w:color="000000" w:fill="FCD5B4"/>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2 329,0</w:t>
            </w:r>
          </w:p>
        </w:tc>
        <w:tc>
          <w:tcPr>
            <w:tcW w:w="1674" w:type="dxa"/>
            <w:gridSpan w:val="2"/>
            <w:tcBorders>
              <w:top w:val="single" w:sz="4" w:space="0" w:color="A6A6A6"/>
              <w:left w:val="nil"/>
              <w:bottom w:val="nil"/>
              <w:right w:val="single" w:sz="4" w:space="0" w:color="A6A6A6"/>
            </w:tcBorders>
            <w:shd w:val="clear" w:color="000000" w:fill="FCD5B4"/>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1000 osôb</w:t>
            </w:r>
          </w:p>
        </w:tc>
        <w:tc>
          <w:tcPr>
            <w:tcW w:w="641" w:type="dxa"/>
            <w:gridSpan w:val="2"/>
            <w:tcBorders>
              <w:top w:val="single" w:sz="4" w:space="0" w:color="A6A6A6"/>
              <w:left w:val="nil"/>
              <w:bottom w:val="nil"/>
              <w:right w:val="single" w:sz="4" w:space="0" w:color="A6A6A6"/>
            </w:tcBorders>
            <w:shd w:val="clear" w:color="000000" w:fill="FCD5B4"/>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2012</w:t>
            </w:r>
          </w:p>
        </w:tc>
        <w:tc>
          <w:tcPr>
            <w:tcW w:w="951" w:type="dxa"/>
            <w:tcBorders>
              <w:top w:val="single" w:sz="4" w:space="0" w:color="A6A6A6"/>
              <w:left w:val="nil"/>
              <w:bottom w:val="nil"/>
              <w:right w:val="single" w:sz="8" w:space="0" w:color="E26B0A"/>
            </w:tcBorders>
            <w:shd w:val="clear" w:color="000000" w:fill="FCD5B4"/>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w:t>
            </w:r>
          </w:p>
        </w:tc>
      </w:tr>
      <w:tr w:rsidR="00A71A12" w:rsidRPr="00BB33FC" w:rsidTr="00A71A12">
        <w:trPr>
          <w:trHeight w:val="300"/>
        </w:trPr>
        <w:tc>
          <w:tcPr>
            <w:tcW w:w="387"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363" w:type="dxa"/>
            <w:vMerge/>
            <w:tcBorders>
              <w:top w:val="nil"/>
              <w:left w:val="single" w:sz="8" w:space="0" w:color="E26B0A"/>
              <w:bottom w:val="single" w:sz="8" w:space="0" w:color="E26B0A"/>
              <w:right w:val="nil"/>
            </w:tcBorders>
            <w:vAlign w:val="center"/>
            <w:hideMark/>
          </w:tcPr>
          <w:p w:rsidR="00A71A12" w:rsidRPr="00BB33FC" w:rsidRDefault="00A71A12" w:rsidP="00A71A12">
            <w:pPr>
              <w:rPr>
                <w:rFonts w:ascii="Arial" w:hAnsi="Arial" w:cs="Arial"/>
                <w:b/>
                <w:bCs/>
                <w:color w:val="000000"/>
                <w:sz w:val="20"/>
                <w:szCs w:val="20"/>
              </w:rPr>
            </w:pPr>
          </w:p>
        </w:tc>
        <w:tc>
          <w:tcPr>
            <w:tcW w:w="5748" w:type="dxa"/>
            <w:gridSpan w:val="6"/>
            <w:tcBorders>
              <w:top w:val="nil"/>
              <w:left w:val="nil"/>
              <w:bottom w:val="nil"/>
              <w:right w:val="single" w:sz="4" w:space="0" w:color="A6A6A6"/>
            </w:tcBorders>
            <w:shd w:val="clear" w:color="000000" w:fill="FDE9D9"/>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poľnohospodárstvo</w:t>
            </w:r>
          </w:p>
        </w:tc>
        <w:tc>
          <w:tcPr>
            <w:tcW w:w="863" w:type="dxa"/>
            <w:gridSpan w:val="2"/>
            <w:tcBorders>
              <w:top w:val="nil"/>
              <w:left w:val="nil"/>
              <w:bottom w:val="nil"/>
              <w:right w:val="single" w:sz="4" w:space="0" w:color="A6A6A6"/>
            </w:tcBorders>
            <w:shd w:val="clear" w:color="000000" w:fill="FDE9D9"/>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55,1</w:t>
            </w:r>
          </w:p>
        </w:tc>
        <w:tc>
          <w:tcPr>
            <w:tcW w:w="1674" w:type="dxa"/>
            <w:gridSpan w:val="2"/>
            <w:tcBorders>
              <w:top w:val="nil"/>
              <w:left w:val="nil"/>
              <w:bottom w:val="nil"/>
              <w:right w:val="single" w:sz="4" w:space="0" w:color="A6A6A6"/>
            </w:tcBorders>
            <w:shd w:val="clear" w:color="000000" w:fill="FDE9D9"/>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1000 osôb</w:t>
            </w:r>
          </w:p>
        </w:tc>
        <w:tc>
          <w:tcPr>
            <w:tcW w:w="641" w:type="dxa"/>
            <w:gridSpan w:val="2"/>
            <w:tcBorders>
              <w:top w:val="single" w:sz="4" w:space="0" w:color="A6A6A6"/>
              <w:left w:val="nil"/>
              <w:bottom w:val="nil"/>
              <w:right w:val="single" w:sz="4" w:space="0" w:color="A6A6A6"/>
            </w:tcBorders>
            <w:shd w:val="clear" w:color="000000" w:fill="FCD5B4"/>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2012</w:t>
            </w:r>
          </w:p>
        </w:tc>
        <w:tc>
          <w:tcPr>
            <w:tcW w:w="951" w:type="dxa"/>
            <w:tcBorders>
              <w:top w:val="nil"/>
              <w:left w:val="nil"/>
              <w:bottom w:val="nil"/>
              <w:right w:val="single" w:sz="8" w:space="0" w:color="E26B0A"/>
            </w:tcBorders>
            <w:shd w:val="clear" w:color="000000" w:fill="FDE9D9"/>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w:t>
            </w:r>
          </w:p>
        </w:tc>
      </w:tr>
      <w:tr w:rsidR="00A71A12" w:rsidRPr="00BB33FC" w:rsidTr="00A71A12">
        <w:trPr>
          <w:trHeight w:val="495"/>
        </w:trPr>
        <w:tc>
          <w:tcPr>
            <w:tcW w:w="387"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363" w:type="dxa"/>
            <w:vMerge/>
            <w:tcBorders>
              <w:top w:val="nil"/>
              <w:left w:val="single" w:sz="8" w:space="0" w:color="E26B0A"/>
              <w:bottom w:val="single" w:sz="8" w:space="0" w:color="E26B0A"/>
              <w:right w:val="nil"/>
            </w:tcBorders>
            <w:vAlign w:val="center"/>
            <w:hideMark/>
          </w:tcPr>
          <w:p w:rsidR="00A71A12" w:rsidRPr="00BB33FC" w:rsidRDefault="00A71A12" w:rsidP="00A71A12">
            <w:pPr>
              <w:rPr>
                <w:rFonts w:ascii="Arial" w:hAnsi="Arial" w:cs="Arial"/>
                <w:b/>
                <w:bCs/>
                <w:color w:val="000000"/>
                <w:sz w:val="20"/>
                <w:szCs w:val="20"/>
              </w:rPr>
            </w:pPr>
          </w:p>
        </w:tc>
        <w:tc>
          <w:tcPr>
            <w:tcW w:w="5748" w:type="dxa"/>
            <w:gridSpan w:val="6"/>
            <w:tcBorders>
              <w:top w:val="nil"/>
              <w:left w:val="nil"/>
              <w:bottom w:val="nil"/>
              <w:right w:val="single" w:sz="4" w:space="0" w:color="A6A6A6"/>
            </w:tcBorders>
            <w:shd w:val="clear" w:color="000000" w:fill="FCD5B4"/>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poľnohospodárstvo</w:t>
            </w:r>
          </w:p>
        </w:tc>
        <w:tc>
          <w:tcPr>
            <w:tcW w:w="863" w:type="dxa"/>
            <w:gridSpan w:val="2"/>
            <w:tcBorders>
              <w:top w:val="nil"/>
              <w:left w:val="nil"/>
              <w:bottom w:val="nil"/>
              <w:right w:val="single" w:sz="4" w:space="0" w:color="A6A6A6"/>
            </w:tcBorders>
            <w:shd w:val="clear" w:color="000000" w:fill="FCD5B4"/>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2,4</w:t>
            </w:r>
          </w:p>
        </w:tc>
        <w:tc>
          <w:tcPr>
            <w:tcW w:w="1674" w:type="dxa"/>
            <w:gridSpan w:val="2"/>
            <w:tcBorders>
              <w:top w:val="nil"/>
              <w:left w:val="nil"/>
              <w:bottom w:val="nil"/>
              <w:right w:val="single" w:sz="4" w:space="0" w:color="A6A6A6"/>
            </w:tcBorders>
            <w:shd w:val="clear" w:color="000000" w:fill="FCD5B4"/>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 z celkového počtu</w:t>
            </w:r>
          </w:p>
        </w:tc>
        <w:tc>
          <w:tcPr>
            <w:tcW w:w="641" w:type="dxa"/>
            <w:gridSpan w:val="2"/>
            <w:tcBorders>
              <w:top w:val="single" w:sz="4" w:space="0" w:color="A6A6A6"/>
              <w:left w:val="nil"/>
              <w:bottom w:val="nil"/>
              <w:right w:val="single" w:sz="4" w:space="0" w:color="A6A6A6"/>
            </w:tcBorders>
            <w:shd w:val="clear" w:color="000000" w:fill="FCD5B4"/>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2012</w:t>
            </w:r>
          </w:p>
        </w:tc>
        <w:tc>
          <w:tcPr>
            <w:tcW w:w="951" w:type="dxa"/>
            <w:tcBorders>
              <w:top w:val="nil"/>
              <w:left w:val="nil"/>
              <w:bottom w:val="nil"/>
              <w:right w:val="single" w:sz="8" w:space="0" w:color="E26B0A"/>
            </w:tcBorders>
            <w:shd w:val="clear" w:color="000000" w:fill="FCD5B4"/>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w:t>
            </w:r>
          </w:p>
        </w:tc>
      </w:tr>
      <w:tr w:rsidR="00A71A12" w:rsidRPr="00BB33FC" w:rsidTr="00A71A12">
        <w:trPr>
          <w:trHeight w:val="300"/>
        </w:trPr>
        <w:tc>
          <w:tcPr>
            <w:tcW w:w="387"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363" w:type="dxa"/>
            <w:vMerge/>
            <w:tcBorders>
              <w:top w:val="nil"/>
              <w:left w:val="single" w:sz="8" w:space="0" w:color="E26B0A"/>
              <w:bottom w:val="single" w:sz="8" w:space="0" w:color="E26B0A"/>
              <w:right w:val="nil"/>
            </w:tcBorders>
            <w:vAlign w:val="center"/>
            <w:hideMark/>
          </w:tcPr>
          <w:p w:rsidR="00A71A12" w:rsidRPr="00BB33FC" w:rsidRDefault="00A71A12" w:rsidP="00A71A12">
            <w:pPr>
              <w:rPr>
                <w:rFonts w:ascii="Arial" w:hAnsi="Arial" w:cs="Arial"/>
                <w:b/>
                <w:bCs/>
                <w:color w:val="000000"/>
                <w:sz w:val="20"/>
                <w:szCs w:val="20"/>
              </w:rPr>
            </w:pPr>
          </w:p>
        </w:tc>
        <w:tc>
          <w:tcPr>
            <w:tcW w:w="5748" w:type="dxa"/>
            <w:gridSpan w:val="6"/>
            <w:tcBorders>
              <w:top w:val="nil"/>
              <w:left w:val="nil"/>
              <w:bottom w:val="nil"/>
              <w:right w:val="single" w:sz="4" w:space="0" w:color="A6A6A6"/>
            </w:tcBorders>
            <w:shd w:val="clear" w:color="000000" w:fill="FDE9D9"/>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lesné hospodárstvo</w:t>
            </w:r>
          </w:p>
        </w:tc>
        <w:tc>
          <w:tcPr>
            <w:tcW w:w="863" w:type="dxa"/>
            <w:gridSpan w:val="2"/>
            <w:tcBorders>
              <w:top w:val="nil"/>
              <w:left w:val="nil"/>
              <w:bottom w:val="nil"/>
              <w:right w:val="single" w:sz="4" w:space="0" w:color="A6A6A6"/>
            </w:tcBorders>
            <w:shd w:val="clear" w:color="000000" w:fill="FDE9D9"/>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20,3</w:t>
            </w:r>
          </w:p>
        </w:tc>
        <w:tc>
          <w:tcPr>
            <w:tcW w:w="1674" w:type="dxa"/>
            <w:gridSpan w:val="2"/>
            <w:tcBorders>
              <w:top w:val="nil"/>
              <w:left w:val="nil"/>
              <w:bottom w:val="nil"/>
              <w:right w:val="single" w:sz="4" w:space="0" w:color="A6A6A6"/>
            </w:tcBorders>
            <w:shd w:val="clear" w:color="000000" w:fill="FDE9D9"/>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1000 osôb</w:t>
            </w:r>
          </w:p>
        </w:tc>
        <w:tc>
          <w:tcPr>
            <w:tcW w:w="641" w:type="dxa"/>
            <w:gridSpan w:val="2"/>
            <w:tcBorders>
              <w:top w:val="single" w:sz="4" w:space="0" w:color="A6A6A6"/>
              <w:left w:val="nil"/>
              <w:bottom w:val="nil"/>
              <w:right w:val="single" w:sz="4" w:space="0" w:color="A6A6A6"/>
            </w:tcBorders>
            <w:shd w:val="clear" w:color="000000" w:fill="FCD5B4"/>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2012</w:t>
            </w:r>
          </w:p>
        </w:tc>
        <w:tc>
          <w:tcPr>
            <w:tcW w:w="951" w:type="dxa"/>
            <w:tcBorders>
              <w:top w:val="nil"/>
              <w:left w:val="nil"/>
              <w:bottom w:val="nil"/>
              <w:right w:val="single" w:sz="8" w:space="0" w:color="E26B0A"/>
            </w:tcBorders>
            <w:shd w:val="clear" w:color="000000" w:fill="FDE9D9"/>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w:t>
            </w:r>
          </w:p>
        </w:tc>
      </w:tr>
      <w:tr w:rsidR="00A71A12" w:rsidRPr="00BB33FC" w:rsidTr="00A71A12">
        <w:trPr>
          <w:trHeight w:val="495"/>
        </w:trPr>
        <w:tc>
          <w:tcPr>
            <w:tcW w:w="387"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363" w:type="dxa"/>
            <w:vMerge/>
            <w:tcBorders>
              <w:top w:val="nil"/>
              <w:left w:val="single" w:sz="8" w:space="0" w:color="E26B0A"/>
              <w:bottom w:val="single" w:sz="8" w:space="0" w:color="E26B0A"/>
              <w:right w:val="nil"/>
            </w:tcBorders>
            <w:vAlign w:val="center"/>
            <w:hideMark/>
          </w:tcPr>
          <w:p w:rsidR="00A71A12" w:rsidRPr="00BB33FC" w:rsidRDefault="00A71A12" w:rsidP="00A71A12">
            <w:pPr>
              <w:rPr>
                <w:rFonts w:ascii="Arial" w:hAnsi="Arial" w:cs="Arial"/>
                <w:b/>
                <w:bCs/>
                <w:color w:val="000000"/>
                <w:sz w:val="20"/>
                <w:szCs w:val="20"/>
              </w:rPr>
            </w:pPr>
          </w:p>
        </w:tc>
        <w:tc>
          <w:tcPr>
            <w:tcW w:w="5748" w:type="dxa"/>
            <w:gridSpan w:val="6"/>
            <w:tcBorders>
              <w:top w:val="nil"/>
              <w:left w:val="nil"/>
              <w:bottom w:val="nil"/>
              <w:right w:val="single" w:sz="4" w:space="0" w:color="A6A6A6"/>
            </w:tcBorders>
            <w:shd w:val="clear" w:color="000000" w:fill="FCD5B4"/>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lesné hospodárstvo</w:t>
            </w:r>
          </w:p>
        </w:tc>
        <w:tc>
          <w:tcPr>
            <w:tcW w:w="863" w:type="dxa"/>
            <w:gridSpan w:val="2"/>
            <w:tcBorders>
              <w:top w:val="nil"/>
              <w:left w:val="nil"/>
              <w:bottom w:val="nil"/>
              <w:right w:val="single" w:sz="4" w:space="0" w:color="A6A6A6"/>
            </w:tcBorders>
            <w:shd w:val="clear" w:color="000000" w:fill="FCD5B4"/>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0,9</w:t>
            </w:r>
          </w:p>
        </w:tc>
        <w:tc>
          <w:tcPr>
            <w:tcW w:w="1674" w:type="dxa"/>
            <w:gridSpan w:val="2"/>
            <w:tcBorders>
              <w:top w:val="nil"/>
              <w:left w:val="nil"/>
              <w:bottom w:val="nil"/>
              <w:right w:val="single" w:sz="4" w:space="0" w:color="A6A6A6"/>
            </w:tcBorders>
            <w:shd w:val="clear" w:color="000000" w:fill="FCD5B4"/>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 z celkového počtu</w:t>
            </w:r>
          </w:p>
        </w:tc>
        <w:tc>
          <w:tcPr>
            <w:tcW w:w="641" w:type="dxa"/>
            <w:gridSpan w:val="2"/>
            <w:tcBorders>
              <w:top w:val="single" w:sz="4" w:space="0" w:color="A6A6A6"/>
              <w:left w:val="nil"/>
              <w:bottom w:val="nil"/>
              <w:right w:val="single" w:sz="4" w:space="0" w:color="A6A6A6"/>
            </w:tcBorders>
            <w:shd w:val="clear" w:color="000000" w:fill="FCD5B4"/>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2012</w:t>
            </w:r>
          </w:p>
        </w:tc>
        <w:tc>
          <w:tcPr>
            <w:tcW w:w="951" w:type="dxa"/>
            <w:tcBorders>
              <w:top w:val="nil"/>
              <w:left w:val="nil"/>
              <w:bottom w:val="nil"/>
              <w:right w:val="single" w:sz="8" w:space="0" w:color="E26B0A"/>
            </w:tcBorders>
            <w:shd w:val="clear" w:color="000000" w:fill="FCD5B4"/>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w:t>
            </w:r>
          </w:p>
        </w:tc>
      </w:tr>
      <w:tr w:rsidR="00A71A12" w:rsidRPr="00BB33FC" w:rsidTr="00A71A12">
        <w:trPr>
          <w:trHeight w:val="300"/>
        </w:trPr>
        <w:tc>
          <w:tcPr>
            <w:tcW w:w="387"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363" w:type="dxa"/>
            <w:vMerge/>
            <w:tcBorders>
              <w:top w:val="nil"/>
              <w:left w:val="single" w:sz="8" w:space="0" w:color="E26B0A"/>
              <w:bottom w:val="single" w:sz="8" w:space="0" w:color="E26B0A"/>
              <w:right w:val="nil"/>
            </w:tcBorders>
            <w:vAlign w:val="center"/>
            <w:hideMark/>
          </w:tcPr>
          <w:p w:rsidR="00A71A12" w:rsidRPr="00BB33FC" w:rsidRDefault="00A71A12" w:rsidP="00A71A12">
            <w:pPr>
              <w:rPr>
                <w:rFonts w:ascii="Arial" w:hAnsi="Arial" w:cs="Arial"/>
                <w:b/>
                <w:bCs/>
                <w:color w:val="000000"/>
                <w:sz w:val="20"/>
                <w:szCs w:val="20"/>
              </w:rPr>
            </w:pPr>
          </w:p>
        </w:tc>
        <w:tc>
          <w:tcPr>
            <w:tcW w:w="5748" w:type="dxa"/>
            <w:gridSpan w:val="6"/>
            <w:tcBorders>
              <w:top w:val="nil"/>
              <w:left w:val="nil"/>
              <w:bottom w:val="nil"/>
              <w:right w:val="single" w:sz="4" w:space="0" w:color="A6A6A6"/>
            </w:tcBorders>
            <w:shd w:val="clear" w:color="000000" w:fill="FDE9D9"/>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potravinárstvo</w:t>
            </w:r>
          </w:p>
        </w:tc>
        <w:tc>
          <w:tcPr>
            <w:tcW w:w="863" w:type="dxa"/>
            <w:gridSpan w:val="2"/>
            <w:tcBorders>
              <w:top w:val="nil"/>
              <w:left w:val="nil"/>
              <w:bottom w:val="nil"/>
              <w:right w:val="single" w:sz="4" w:space="0" w:color="A6A6A6"/>
            </w:tcBorders>
            <w:shd w:val="clear" w:color="000000" w:fill="FDE9D9"/>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42,4</w:t>
            </w:r>
          </w:p>
        </w:tc>
        <w:tc>
          <w:tcPr>
            <w:tcW w:w="1674" w:type="dxa"/>
            <w:gridSpan w:val="2"/>
            <w:tcBorders>
              <w:top w:val="nil"/>
              <w:left w:val="nil"/>
              <w:bottom w:val="nil"/>
              <w:right w:val="single" w:sz="4" w:space="0" w:color="A6A6A6"/>
            </w:tcBorders>
            <w:shd w:val="clear" w:color="000000" w:fill="FDE9D9"/>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1000 osôb</w:t>
            </w:r>
          </w:p>
        </w:tc>
        <w:tc>
          <w:tcPr>
            <w:tcW w:w="641" w:type="dxa"/>
            <w:gridSpan w:val="2"/>
            <w:tcBorders>
              <w:top w:val="single" w:sz="4" w:space="0" w:color="A6A6A6"/>
              <w:left w:val="nil"/>
              <w:bottom w:val="nil"/>
              <w:right w:val="single" w:sz="4" w:space="0" w:color="A6A6A6"/>
            </w:tcBorders>
            <w:shd w:val="clear" w:color="000000" w:fill="FCD5B4"/>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2012</w:t>
            </w:r>
          </w:p>
        </w:tc>
        <w:tc>
          <w:tcPr>
            <w:tcW w:w="951" w:type="dxa"/>
            <w:tcBorders>
              <w:top w:val="nil"/>
              <w:left w:val="nil"/>
              <w:bottom w:val="nil"/>
              <w:right w:val="single" w:sz="8" w:space="0" w:color="E26B0A"/>
            </w:tcBorders>
            <w:shd w:val="clear" w:color="000000" w:fill="FDE9D9"/>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w:t>
            </w:r>
          </w:p>
        </w:tc>
      </w:tr>
      <w:tr w:rsidR="00A71A12" w:rsidRPr="00BB33FC" w:rsidTr="00A71A12">
        <w:trPr>
          <w:trHeight w:val="495"/>
        </w:trPr>
        <w:tc>
          <w:tcPr>
            <w:tcW w:w="387"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363" w:type="dxa"/>
            <w:vMerge/>
            <w:tcBorders>
              <w:top w:val="nil"/>
              <w:left w:val="single" w:sz="8" w:space="0" w:color="E26B0A"/>
              <w:bottom w:val="single" w:sz="8" w:space="0" w:color="E26B0A"/>
              <w:right w:val="nil"/>
            </w:tcBorders>
            <w:vAlign w:val="center"/>
            <w:hideMark/>
          </w:tcPr>
          <w:p w:rsidR="00A71A12" w:rsidRPr="00BB33FC" w:rsidRDefault="00A71A12" w:rsidP="00A71A12">
            <w:pPr>
              <w:rPr>
                <w:rFonts w:ascii="Arial" w:hAnsi="Arial" w:cs="Arial"/>
                <w:b/>
                <w:bCs/>
                <w:color w:val="000000"/>
                <w:sz w:val="20"/>
                <w:szCs w:val="20"/>
              </w:rPr>
            </w:pPr>
          </w:p>
        </w:tc>
        <w:tc>
          <w:tcPr>
            <w:tcW w:w="5748" w:type="dxa"/>
            <w:gridSpan w:val="6"/>
            <w:tcBorders>
              <w:top w:val="nil"/>
              <w:left w:val="nil"/>
              <w:bottom w:val="nil"/>
              <w:right w:val="single" w:sz="4" w:space="0" w:color="A6A6A6"/>
            </w:tcBorders>
            <w:shd w:val="clear" w:color="000000" w:fill="FCD5B4"/>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potravinárstvo</w:t>
            </w:r>
          </w:p>
        </w:tc>
        <w:tc>
          <w:tcPr>
            <w:tcW w:w="863" w:type="dxa"/>
            <w:gridSpan w:val="2"/>
            <w:tcBorders>
              <w:top w:val="nil"/>
              <w:left w:val="nil"/>
              <w:bottom w:val="nil"/>
              <w:right w:val="single" w:sz="4" w:space="0" w:color="A6A6A6"/>
            </w:tcBorders>
            <w:shd w:val="clear" w:color="000000" w:fill="FCD5B4"/>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1,8</w:t>
            </w:r>
          </w:p>
        </w:tc>
        <w:tc>
          <w:tcPr>
            <w:tcW w:w="1674" w:type="dxa"/>
            <w:gridSpan w:val="2"/>
            <w:tcBorders>
              <w:top w:val="nil"/>
              <w:left w:val="nil"/>
              <w:bottom w:val="nil"/>
              <w:right w:val="single" w:sz="4" w:space="0" w:color="A6A6A6"/>
            </w:tcBorders>
            <w:shd w:val="clear" w:color="000000" w:fill="FCD5B4"/>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 z celkového počtu</w:t>
            </w:r>
          </w:p>
        </w:tc>
        <w:tc>
          <w:tcPr>
            <w:tcW w:w="641" w:type="dxa"/>
            <w:gridSpan w:val="2"/>
            <w:tcBorders>
              <w:top w:val="single" w:sz="4" w:space="0" w:color="A6A6A6"/>
              <w:left w:val="nil"/>
              <w:bottom w:val="nil"/>
              <w:right w:val="single" w:sz="4" w:space="0" w:color="A6A6A6"/>
            </w:tcBorders>
            <w:shd w:val="clear" w:color="000000" w:fill="FCD5B4"/>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2012</w:t>
            </w:r>
          </w:p>
        </w:tc>
        <w:tc>
          <w:tcPr>
            <w:tcW w:w="951" w:type="dxa"/>
            <w:tcBorders>
              <w:top w:val="nil"/>
              <w:left w:val="nil"/>
              <w:bottom w:val="nil"/>
              <w:right w:val="single" w:sz="8" w:space="0" w:color="E26B0A"/>
            </w:tcBorders>
            <w:shd w:val="clear" w:color="000000" w:fill="FCD5B4"/>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w:t>
            </w:r>
          </w:p>
        </w:tc>
      </w:tr>
      <w:tr w:rsidR="00A71A12" w:rsidRPr="00BB33FC" w:rsidTr="00A71A12">
        <w:trPr>
          <w:trHeight w:val="300"/>
        </w:trPr>
        <w:tc>
          <w:tcPr>
            <w:tcW w:w="387"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363" w:type="dxa"/>
            <w:vMerge/>
            <w:tcBorders>
              <w:top w:val="nil"/>
              <w:left w:val="single" w:sz="8" w:space="0" w:color="E26B0A"/>
              <w:bottom w:val="single" w:sz="8" w:space="0" w:color="E26B0A"/>
              <w:right w:val="nil"/>
            </w:tcBorders>
            <w:vAlign w:val="center"/>
            <w:hideMark/>
          </w:tcPr>
          <w:p w:rsidR="00A71A12" w:rsidRPr="00BB33FC" w:rsidRDefault="00A71A12" w:rsidP="00A71A12">
            <w:pPr>
              <w:rPr>
                <w:rFonts w:ascii="Arial" w:hAnsi="Arial" w:cs="Arial"/>
                <w:b/>
                <w:bCs/>
                <w:color w:val="000000"/>
                <w:sz w:val="20"/>
                <w:szCs w:val="20"/>
              </w:rPr>
            </w:pPr>
          </w:p>
        </w:tc>
        <w:tc>
          <w:tcPr>
            <w:tcW w:w="5748" w:type="dxa"/>
            <w:gridSpan w:val="6"/>
            <w:tcBorders>
              <w:top w:val="nil"/>
              <w:left w:val="nil"/>
              <w:bottom w:val="nil"/>
              <w:right w:val="single" w:sz="4" w:space="0" w:color="A6A6A6"/>
            </w:tcBorders>
            <w:shd w:val="clear" w:color="000000" w:fill="FDE9D9"/>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turizmus</w:t>
            </w:r>
          </w:p>
        </w:tc>
        <w:tc>
          <w:tcPr>
            <w:tcW w:w="863" w:type="dxa"/>
            <w:gridSpan w:val="2"/>
            <w:tcBorders>
              <w:top w:val="nil"/>
              <w:left w:val="nil"/>
              <w:bottom w:val="nil"/>
              <w:right w:val="single" w:sz="4" w:space="0" w:color="A6A6A6"/>
            </w:tcBorders>
            <w:shd w:val="clear" w:color="000000" w:fill="FDE9D9"/>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97,1</w:t>
            </w:r>
          </w:p>
        </w:tc>
        <w:tc>
          <w:tcPr>
            <w:tcW w:w="1674" w:type="dxa"/>
            <w:gridSpan w:val="2"/>
            <w:tcBorders>
              <w:top w:val="nil"/>
              <w:left w:val="nil"/>
              <w:bottom w:val="nil"/>
              <w:right w:val="single" w:sz="4" w:space="0" w:color="A6A6A6"/>
            </w:tcBorders>
            <w:shd w:val="clear" w:color="000000" w:fill="FDE9D9"/>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1000 osôb</w:t>
            </w:r>
          </w:p>
        </w:tc>
        <w:tc>
          <w:tcPr>
            <w:tcW w:w="641" w:type="dxa"/>
            <w:gridSpan w:val="2"/>
            <w:tcBorders>
              <w:top w:val="single" w:sz="4" w:space="0" w:color="A6A6A6"/>
              <w:left w:val="nil"/>
              <w:bottom w:val="nil"/>
              <w:right w:val="single" w:sz="4" w:space="0" w:color="A6A6A6"/>
            </w:tcBorders>
            <w:shd w:val="clear" w:color="000000" w:fill="FCD5B4"/>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2012</w:t>
            </w:r>
          </w:p>
        </w:tc>
        <w:tc>
          <w:tcPr>
            <w:tcW w:w="951" w:type="dxa"/>
            <w:tcBorders>
              <w:top w:val="nil"/>
              <w:left w:val="nil"/>
              <w:bottom w:val="nil"/>
              <w:right w:val="single" w:sz="8" w:space="0" w:color="E26B0A"/>
            </w:tcBorders>
            <w:shd w:val="clear" w:color="000000" w:fill="FDE9D9"/>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w:t>
            </w:r>
          </w:p>
        </w:tc>
      </w:tr>
      <w:tr w:rsidR="00A71A12" w:rsidRPr="00BB33FC" w:rsidTr="00A71A12">
        <w:trPr>
          <w:trHeight w:val="510"/>
        </w:trPr>
        <w:tc>
          <w:tcPr>
            <w:tcW w:w="387"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363" w:type="dxa"/>
            <w:vMerge/>
            <w:tcBorders>
              <w:top w:val="nil"/>
              <w:left w:val="single" w:sz="8" w:space="0" w:color="E26B0A"/>
              <w:bottom w:val="single" w:sz="8" w:space="0" w:color="E26B0A"/>
              <w:right w:val="nil"/>
            </w:tcBorders>
            <w:vAlign w:val="center"/>
            <w:hideMark/>
          </w:tcPr>
          <w:p w:rsidR="00A71A12" w:rsidRPr="00BB33FC" w:rsidRDefault="00A71A12" w:rsidP="00A71A12">
            <w:pPr>
              <w:rPr>
                <w:rFonts w:ascii="Arial" w:hAnsi="Arial" w:cs="Arial"/>
                <w:b/>
                <w:bCs/>
                <w:color w:val="000000"/>
                <w:sz w:val="20"/>
                <w:szCs w:val="20"/>
              </w:rPr>
            </w:pPr>
          </w:p>
        </w:tc>
        <w:tc>
          <w:tcPr>
            <w:tcW w:w="5748" w:type="dxa"/>
            <w:gridSpan w:val="6"/>
            <w:tcBorders>
              <w:top w:val="nil"/>
              <w:left w:val="nil"/>
              <w:bottom w:val="single" w:sz="8" w:space="0" w:color="E26B0A"/>
              <w:right w:val="single" w:sz="4" w:space="0" w:color="A6A6A6"/>
            </w:tcBorders>
            <w:shd w:val="clear" w:color="000000" w:fill="FCD5B4"/>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turizmus</w:t>
            </w:r>
          </w:p>
        </w:tc>
        <w:tc>
          <w:tcPr>
            <w:tcW w:w="863" w:type="dxa"/>
            <w:gridSpan w:val="2"/>
            <w:tcBorders>
              <w:top w:val="nil"/>
              <w:left w:val="nil"/>
              <w:bottom w:val="single" w:sz="8" w:space="0" w:color="E26B0A"/>
              <w:right w:val="single" w:sz="4" w:space="0" w:color="A6A6A6"/>
            </w:tcBorders>
            <w:shd w:val="clear" w:color="000000" w:fill="FCD5B4"/>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4,2</w:t>
            </w:r>
          </w:p>
        </w:tc>
        <w:tc>
          <w:tcPr>
            <w:tcW w:w="1674" w:type="dxa"/>
            <w:gridSpan w:val="2"/>
            <w:tcBorders>
              <w:top w:val="nil"/>
              <w:left w:val="nil"/>
              <w:bottom w:val="single" w:sz="8" w:space="0" w:color="E26B0A"/>
              <w:right w:val="single" w:sz="4" w:space="0" w:color="A6A6A6"/>
            </w:tcBorders>
            <w:shd w:val="clear" w:color="000000" w:fill="FCD5B4"/>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 z celkového počtu</w:t>
            </w:r>
          </w:p>
        </w:tc>
        <w:tc>
          <w:tcPr>
            <w:tcW w:w="641" w:type="dxa"/>
            <w:gridSpan w:val="2"/>
            <w:tcBorders>
              <w:top w:val="single" w:sz="4" w:space="0" w:color="A6A6A6"/>
              <w:left w:val="nil"/>
              <w:bottom w:val="nil"/>
              <w:right w:val="single" w:sz="4" w:space="0" w:color="A6A6A6"/>
            </w:tcBorders>
            <w:shd w:val="clear" w:color="000000" w:fill="FCD5B4"/>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2012</w:t>
            </w:r>
          </w:p>
        </w:tc>
        <w:tc>
          <w:tcPr>
            <w:tcW w:w="951" w:type="dxa"/>
            <w:tcBorders>
              <w:top w:val="nil"/>
              <w:left w:val="nil"/>
              <w:bottom w:val="single" w:sz="8" w:space="0" w:color="E26B0A"/>
              <w:right w:val="single" w:sz="8" w:space="0" w:color="E26B0A"/>
            </w:tcBorders>
            <w:shd w:val="clear" w:color="000000" w:fill="FCD5B4"/>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w:t>
            </w:r>
          </w:p>
        </w:tc>
      </w:tr>
      <w:tr w:rsidR="00A71A12" w:rsidRPr="00BB33FC" w:rsidTr="00A71A12">
        <w:trPr>
          <w:trHeight w:val="525"/>
        </w:trPr>
        <w:tc>
          <w:tcPr>
            <w:tcW w:w="387"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363" w:type="dxa"/>
            <w:vMerge w:val="restart"/>
            <w:tcBorders>
              <w:top w:val="nil"/>
              <w:left w:val="single" w:sz="8" w:space="0" w:color="E26B0A"/>
              <w:bottom w:val="single" w:sz="8" w:space="0" w:color="E26B0A"/>
              <w:right w:val="nil"/>
            </w:tcBorders>
            <w:shd w:val="clear" w:color="auto" w:fill="auto"/>
            <w:noWrap/>
            <w:hideMark/>
          </w:tcPr>
          <w:p w:rsidR="00A71A12" w:rsidRPr="00BB33FC" w:rsidRDefault="00A71A12" w:rsidP="00A71A12">
            <w:pPr>
              <w:rPr>
                <w:rFonts w:ascii="Arial" w:hAnsi="Arial" w:cs="Arial"/>
                <w:b/>
                <w:bCs/>
                <w:color w:val="000000"/>
                <w:sz w:val="20"/>
                <w:szCs w:val="20"/>
              </w:rPr>
            </w:pPr>
            <w:r w:rsidRPr="00BB33FC">
              <w:rPr>
                <w:rFonts w:ascii="Arial" w:hAnsi="Arial" w:cs="Arial"/>
                <w:b/>
                <w:bCs/>
                <w:color w:val="000000"/>
                <w:sz w:val="20"/>
                <w:szCs w:val="20"/>
              </w:rPr>
              <w:t>14</w:t>
            </w:r>
          </w:p>
        </w:tc>
        <w:tc>
          <w:tcPr>
            <w:tcW w:w="5748" w:type="dxa"/>
            <w:gridSpan w:val="6"/>
            <w:tcBorders>
              <w:top w:val="single" w:sz="8" w:space="0" w:color="E26B0A"/>
              <w:left w:val="nil"/>
              <w:bottom w:val="single" w:sz="4" w:space="0" w:color="A6A6A6"/>
              <w:right w:val="nil"/>
            </w:tcBorders>
            <w:shd w:val="clear" w:color="auto" w:fill="auto"/>
            <w:vAlign w:val="bottom"/>
            <w:hideMark/>
          </w:tcPr>
          <w:p w:rsidR="00A71A12" w:rsidRPr="00BB33FC" w:rsidRDefault="00A71A12" w:rsidP="00A71A12">
            <w:pPr>
              <w:rPr>
                <w:rFonts w:ascii="Arial" w:hAnsi="Arial" w:cs="Arial"/>
                <w:b/>
                <w:bCs/>
                <w:i/>
                <w:iCs/>
                <w:sz w:val="20"/>
                <w:szCs w:val="20"/>
              </w:rPr>
            </w:pPr>
            <w:r w:rsidRPr="00BB33FC">
              <w:rPr>
                <w:rFonts w:ascii="Arial" w:hAnsi="Arial" w:cs="Arial"/>
                <w:b/>
                <w:bCs/>
                <w:i/>
                <w:iCs/>
                <w:sz w:val="20"/>
                <w:szCs w:val="20"/>
              </w:rPr>
              <w:t>Produktivita práce v poľnohospodárstve</w:t>
            </w:r>
          </w:p>
        </w:tc>
        <w:tc>
          <w:tcPr>
            <w:tcW w:w="863" w:type="dxa"/>
            <w:gridSpan w:val="2"/>
            <w:tcBorders>
              <w:top w:val="nil"/>
              <w:left w:val="nil"/>
              <w:bottom w:val="nil"/>
              <w:right w:val="nil"/>
            </w:tcBorders>
            <w:shd w:val="clear" w:color="auto" w:fill="auto"/>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 </w:t>
            </w:r>
          </w:p>
        </w:tc>
        <w:tc>
          <w:tcPr>
            <w:tcW w:w="1674" w:type="dxa"/>
            <w:gridSpan w:val="2"/>
            <w:tcBorders>
              <w:top w:val="nil"/>
              <w:left w:val="nil"/>
              <w:bottom w:val="nil"/>
              <w:right w:val="nil"/>
            </w:tcBorders>
            <w:shd w:val="clear" w:color="auto" w:fill="auto"/>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 </w:t>
            </w:r>
          </w:p>
        </w:tc>
        <w:tc>
          <w:tcPr>
            <w:tcW w:w="641" w:type="dxa"/>
            <w:gridSpan w:val="2"/>
            <w:tcBorders>
              <w:top w:val="single" w:sz="8" w:space="0" w:color="E26B0A"/>
              <w:left w:val="nil"/>
              <w:bottom w:val="nil"/>
              <w:right w:val="nil"/>
            </w:tcBorders>
            <w:shd w:val="clear" w:color="auto" w:fill="auto"/>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 </w:t>
            </w:r>
          </w:p>
        </w:tc>
        <w:tc>
          <w:tcPr>
            <w:tcW w:w="951" w:type="dxa"/>
            <w:tcBorders>
              <w:top w:val="nil"/>
              <w:left w:val="nil"/>
              <w:bottom w:val="nil"/>
              <w:right w:val="single" w:sz="8" w:space="0" w:color="E26B0A"/>
            </w:tcBorders>
            <w:shd w:val="clear" w:color="auto" w:fill="auto"/>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 </w:t>
            </w:r>
          </w:p>
        </w:tc>
      </w:tr>
      <w:tr w:rsidR="00A71A12" w:rsidRPr="00BB33FC" w:rsidTr="00A71A12">
        <w:trPr>
          <w:trHeight w:val="510"/>
        </w:trPr>
        <w:tc>
          <w:tcPr>
            <w:tcW w:w="387"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363" w:type="dxa"/>
            <w:vMerge/>
            <w:tcBorders>
              <w:top w:val="nil"/>
              <w:left w:val="single" w:sz="8" w:space="0" w:color="E26B0A"/>
              <w:bottom w:val="single" w:sz="8" w:space="0" w:color="E26B0A"/>
              <w:right w:val="nil"/>
            </w:tcBorders>
            <w:vAlign w:val="center"/>
            <w:hideMark/>
          </w:tcPr>
          <w:p w:rsidR="00A71A12" w:rsidRPr="00BB33FC" w:rsidRDefault="00A71A12" w:rsidP="00A71A12">
            <w:pPr>
              <w:rPr>
                <w:rFonts w:ascii="Arial" w:hAnsi="Arial" w:cs="Arial"/>
                <w:b/>
                <w:bCs/>
                <w:color w:val="000000"/>
                <w:sz w:val="20"/>
                <w:szCs w:val="20"/>
              </w:rPr>
            </w:pPr>
          </w:p>
        </w:tc>
        <w:tc>
          <w:tcPr>
            <w:tcW w:w="5748" w:type="dxa"/>
            <w:gridSpan w:val="6"/>
            <w:tcBorders>
              <w:top w:val="single" w:sz="4" w:space="0" w:color="A6A6A6"/>
              <w:left w:val="nil"/>
              <w:bottom w:val="single" w:sz="8" w:space="0" w:color="E26B0A"/>
              <w:right w:val="single" w:sz="4" w:space="0" w:color="A6A6A6"/>
            </w:tcBorders>
            <w:shd w:val="clear" w:color="000000" w:fill="FCD5B4"/>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celkom</w:t>
            </w:r>
          </w:p>
        </w:tc>
        <w:tc>
          <w:tcPr>
            <w:tcW w:w="863" w:type="dxa"/>
            <w:gridSpan w:val="2"/>
            <w:tcBorders>
              <w:top w:val="single" w:sz="4" w:space="0" w:color="A6A6A6"/>
              <w:left w:val="nil"/>
              <w:bottom w:val="single" w:sz="8" w:space="0" w:color="E26B0A"/>
              <w:right w:val="single" w:sz="4" w:space="0" w:color="A6A6A6"/>
            </w:tcBorders>
            <w:shd w:val="clear" w:color="000000" w:fill="FCD5B4"/>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6 988,6</w:t>
            </w:r>
          </w:p>
        </w:tc>
        <w:tc>
          <w:tcPr>
            <w:tcW w:w="1674" w:type="dxa"/>
            <w:gridSpan w:val="2"/>
            <w:tcBorders>
              <w:top w:val="single" w:sz="4" w:space="0" w:color="A6A6A6"/>
              <w:left w:val="nil"/>
              <w:bottom w:val="single" w:sz="8" w:space="0" w:color="E26B0A"/>
              <w:right w:val="single" w:sz="4" w:space="0" w:color="A6A6A6"/>
            </w:tcBorders>
            <w:shd w:val="clear" w:color="000000" w:fill="FCD5B4"/>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EUR/AWU</w:t>
            </w:r>
          </w:p>
        </w:tc>
        <w:tc>
          <w:tcPr>
            <w:tcW w:w="641" w:type="dxa"/>
            <w:gridSpan w:val="2"/>
            <w:tcBorders>
              <w:top w:val="single" w:sz="4" w:space="0" w:color="A6A6A6"/>
              <w:left w:val="nil"/>
              <w:bottom w:val="single" w:sz="8" w:space="0" w:color="E26B0A"/>
              <w:right w:val="single" w:sz="4" w:space="0" w:color="A6A6A6"/>
            </w:tcBorders>
            <w:shd w:val="clear" w:color="000000" w:fill="FCD5B4"/>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priem. 2010-2012</w:t>
            </w:r>
          </w:p>
        </w:tc>
        <w:tc>
          <w:tcPr>
            <w:tcW w:w="951" w:type="dxa"/>
            <w:tcBorders>
              <w:top w:val="single" w:sz="4" w:space="0" w:color="A6A6A6"/>
              <w:left w:val="nil"/>
              <w:bottom w:val="single" w:sz="8" w:space="0" w:color="E26B0A"/>
              <w:right w:val="single" w:sz="8" w:space="0" w:color="E26B0A"/>
            </w:tcBorders>
            <w:shd w:val="clear" w:color="000000" w:fill="FCD5B4"/>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0</w:t>
            </w:r>
          </w:p>
        </w:tc>
      </w:tr>
      <w:tr w:rsidR="00A71A12" w:rsidRPr="00BB33FC" w:rsidTr="00A71A12">
        <w:trPr>
          <w:trHeight w:val="540"/>
        </w:trPr>
        <w:tc>
          <w:tcPr>
            <w:tcW w:w="387"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363" w:type="dxa"/>
            <w:vMerge w:val="restart"/>
            <w:tcBorders>
              <w:top w:val="nil"/>
              <w:left w:val="single" w:sz="8" w:space="0" w:color="E26B0A"/>
              <w:bottom w:val="single" w:sz="8" w:space="0" w:color="E26B0A"/>
              <w:right w:val="nil"/>
            </w:tcBorders>
            <w:shd w:val="clear" w:color="auto" w:fill="auto"/>
            <w:noWrap/>
            <w:hideMark/>
          </w:tcPr>
          <w:p w:rsidR="00A71A12" w:rsidRPr="00BB33FC" w:rsidRDefault="00A71A12" w:rsidP="00A71A12">
            <w:pPr>
              <w:rPr>
                <w:rFonts w:ascii="Arial" w:hAnsi="Arial" w:cs="Arial"/>
                <w:b/>
                <w:bCs/>
                <w:color w:val="000000"/>
                <w:sz w:val="20"/>
                <w:szCs w:val="20"/>
              </w:rPr>
            </w:pPr>
            <w:r w:rsidRPr="00BB33FC">
              <w:rPr>
                <w:rFonts w:ascii="Arial" w:hAnsi="Arial" w:cs="Arial"/>
                <w:b/>
                <w:bCs/>
                <w:color w:val="000000"/>
                <w:sz w:val="20"/>
                <w:szCs w:val="20"/>
              </w:rPr>
              <w:t>15</w:t>
            </w:r>
          </w:p>
        </w:tc>
        <w:tc>
          <w:tcPr>
            <w:tcW w:w="5748" w:type="dxa"/>
            <w:gridSpan w:val="6"/>
            <w:tcBorders>
              <w:top w:val="single" w:sz="8" w:space="0" w:color="E26B0A"/>
              <w:left w:val="nil"/>
              <w:bottom w:val="single" w:sz="4" w:space="0" w:color="A6A6A6"/>
              <w:right w:val="nil"/>
            </w:tcBorders>
            <w:shd w:val="clear" w:color="auto" w:fill="auto"/>
            <w:vAlign w:val="bottom"/>
            <w:hideMark/>
          </w:tcPr>
          <w:p w:rsidR="00A71A12" w:rsidRPr="00BB33FC" w:rsidRDefault="00A71A12" w:rsidP="00A71A12">
            <w:pPr>
              <w:rPr>
                <w:rFonts w:ascii="Arial" w:hAnsi="Arial" w:cs="Arial"/>
                <w:b/>
                <w:bCs/>
                <w:sz w:val="20"/>
                <w:szCs w:val="20"/>
              </w:rPr>
            </w:pPr>
            <w:r w:rsidRPr="00BB33FC">
              <w:rPr>
                <w:rFonts w:ascii="Arial" w:hAnsi="Arial" w:cs="Arial"/>
                <w:b/>
                <w:bCs/>
                <w:sz w:val="20"/>
                <w:szCs w:val="20"/>
              </w:rPr>
              <w:t>Produktivita práce v lesnom hospodárstve</w:t>
            </w:r>
          </w:p>
        </w:tc>
        <w:tc>
          <w:tcPr>
            <w:tcW w:w="863" w:type="dxa"/>
            <w:gridSpan w:val="2"/>
            <w:tcBorders>
              <w:top w:val="nil"/>
              <w:left w:val="nil"/>
              <w:bottom w:val="nil"/>
              <w:right w:val="nil"/>
            </w:tcBorders>
            <w:shd w:val="clear" w:color="auto" w:fill="auto"/>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 </w:t>
            </w:r>
          </w:p>
        </w:tc>
        <w:tc>
          <w:tcPr>
            <w:tcW w:w="1674" w:type="dxa"/>
            <w:gridSpan w:val="2"/>
            <w:tcBorders>
              <w:top w:val="nil"/>
              <w:left w:val="nil"/>
              <w:bottom w:val="nil"/>
              <w:right w:val="nil"/>
            </w:tcBorders>
            <w:shd w:val="clear" w:color="auto" w:fill="auto"/>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 </w:t>
            </w:r>
          </w:p>
        </w:tc>
        <w:tc>
          <w:tcPr>
            <w:tcW w:w="641" w:type="dxa"/>
            <w:gridSpan w:val="2"/>
            <w:tcBorders>
              <w:top w:val="nil"/>
              <w:left w:val="nil"/>
              <w:bottom w:val="nil"/>
              <w:right w:val="nil"/>
            </w:tcBorders>
            <w:shd w:val="clear" w:color="auto" w:fill="auto"/>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 </w:t>
            </w:r>
          </w:p>
        </w:tc>
        <w:tc>
          <w:tcPr>
            <w:tcW w:w="951" w:type="dxa"/>
            <w:tcBorders>
              <w:top w:val="nil"/>
              <w:left w:val="nil"/>
              <w:bottom w:val="nil"/>
              <w:right w:val="single" w:sz="8" w:space="0" w:color="E26B0A"/>
            </w:tcBorders>
            <w:shd w:val="clear" w:color="auto" w:fill="auto"/>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 </w:t>
            </w:r>
          </w:p>
        </w:tc>
      </w:tr>
      <w:tr w:rsidR="00A71A12" w:rsidRPr="00BB33FC" w:rsidTr="00A71A12">
        <w:trPr>
          <w:trHeight w:val="510"/>
        </w:trPr>
        <w:tc>
          <w:tcPr>
            <w:tcW w:w="387"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363" w:type="dxa"/>
            <w:vMerge/>
            <w:tcBorders>
              <w:top w:val="nil"/>
              <w:left w:val="single" w:sz="8" w:space="0" w:color="E26B0A"/>
              <w:bottom w:val="single" w:sz="8" w:space="0" w:color="E26B0A"/>
              <w:right w:val="nil"/>
            </w:tcBorders>
            <w:vAlign w:val="center"/>
            <w:hideMark/>
          </w:tcPr>
          <w:p w:rsidR="00A71A12" w:rsidRPr="00BB33FC" w:rsidRDefault="00A71A12" w:rsidP="00A71A12">
            <w:pPr>
              <w:rPr>
                <w:rFonts w:ascii="Arial" w:hAnsi="Arial" w:cs="Arial"/>
                <w:b/>
                <w:bCs/>
                <w:color w:val="000000"/>
                <w:sz w:val="20"/>
                <w:szCs w:val="20"/>
              </w:rPr>
            </w:pPr>
          </w:p>
        </w:tc>
        <w:tc>
          <w:tcPr>
            <w:tcW w:w="5748" w:type="dxa"/>
            <w:gridSpan w:val="6"/>
            <w:tcBorders>
              <w:top w:val="single" w:sz="4" w:space="0" w:color="A6A6A6"/>
              <w:left w:val="nil"/>
              <w:bottom w:val="single" w:sz="8" w:space="0" w:color="E26B0A"/>
              <w:right w:val="single" w:sz="4" w:space="0" w:color="A6A6A6"/>
            </w:tcBorders>
            <w:shd w:val="clear" w:color="000000" w:fill="FCD5B4"/>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celkom</w:t>
            </w:r>
          </w:p>
        </w:tc>
        <w:tc>
          <w:tcPr>
            <w:tcW w:w="863" w:type="dxa"/>
            <w:gridSpan w:val="2"/>
            <w:tcBorders>
              <w:top w:val="single" w:sz="4" w:space="0" w:color="A6A6A6"/>
              <w:left w:val="nil"/>
              <w:bottom w:val="single" w:sz="8" w:space="0" w:color="E26B0A"/>
              <w:right w:val="single" w:sz="4" w:space="0" w:color="A6A6A6"/>
            </w:tcBorders>
            <w:shd w:val="clear" w:color="000000" w:fill="FCD5B4"/>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23 264,5</w:t>
            </w:r>
          </w:p>
        </w:tc>
        <w:tc>
          <w:tcPr>
            <w:tcW w:w="1674" w:type="dxa"/>
            <w:gridSpan w:val="2"/>
            <w:tcBorders>
              <w:top w:val="single" w:sz="4" w:space="0" w:color="A6A6A6"/>
              <w:left w:val="nil"/>
              <w:bottom w:val="single" w:sz="8" w:space="0" w:color="E26B0A"/>
              <w:right w:val="single" w:sz="4" w:space="0" w:color="A6A6A6"/>
            </w:tcBorders>
            <w:shd w:val="clear" w:color="000000" w:fill="FCD5B4"/>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EUR/AWU</w:t>
            </w:r>
          </w:p>
        </w:tc>
        <w:tc>
          <w:tcPr>
            <w:tcW w:w="641" w:type="dxa"/>
            <w:gridSpan w:val="2"/>
            <w:tcBorders>
              <w:top w:val="single" w:sz="4" w:space="0" w:color="A6A6A6"/>
              <w:left w:val="nil"/>
              <w:bottom w:val="single" w:sz="8" w:space="0" w:color="E26B0A"/>
              <w:right w:val="single" w:sz="4" w:space="0" w:color="A6A6A6"/>
            </w:tcBorders>
            <w:shd w:val="clear" w:color="000000" w:fill="FCD5B4"/>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priem. 2008-2010</w:t>
            </w:r>
          </w:p>
        </w:tc>
        <w:tc>
          <w:tcPr>
            <w:tcW w:w="951" w:type="dxa"/>
            <w:tcBorders>
              <w:top w:val="single" w:sz="4" w:space="0" w:color="A6A6A6"/>
              <w:left w:val="nil"/>
              <w:bottom w:val="single" w:sz="8" w:space="0" w:color="E26B0A"/>
              <w:right w:val="single" w:sz="8" w:space="0" w:color="E26B0A"/>
            </w:tcBorders>
            <w:shd w:val="clear" w:color="000000" w:fill="FCD5B4"/>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w:t>
            </w:r>
          </w:p>
        </w:tc>
      </w:tr>
      <w:tr w:rsidR="00A71A12" w:rsidRPr="00BB33FC" w:rsidTr="00A71A12">
        <w:trPr>
          <w:trHeight w:val="405"/>
        </w:trPr>
        <w:tc>
          <w:tcPr>
            <w:tcW w:w="387"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363" w:type="dxa"/>
            <w:vMerge w:val="restart"/>
            <w:tcBorders>
              <w:top w:val="nil"/>
              <w:left w:val="single" w:sz="8" w:space="0" w:color="E26B0A"/>
              <w:bottom w:val="single" w:sz="8" w:space="0" w:color="E26B0A"/>
              <w:right w:val="nil"/>
            </w:tcBorders>
            <w:shd w:val="clear" w:color="auto" w:fill="auto"/>
            <w:noWrap/>
            <w:hideMark/>
          </w:tcPr>
          <w:p w:rsidR="00A71A12" w:rsidRPr="00BB33FC" w:rsidRDefault="00A71A12" w:rsidP="00A71A12">
            <w:pPr>
              <w:rPr>
                <w:rFonts w:ascii="Arial" w:hAnsi="Arial" w:cs="Arial"/>
                <w:b/>
                <w:bCs/>
                <w:color w:val="000000"/>
                <w:sz w:val="20"/>
                <w:szCs w:val="20"/>
              </w:rPr>
            </w:pPr>
            <w:r w:rsidRPr="00BB33FC">
              <w:rPr>
                <w:rFonts w:ascii="Arial" w:hAnsi="Arial" w:cs="Arial"/>
                <w:b/>
                <w:bCs/>
                <w:color w:val="000000"/>
                <w:sz w:val="20"/>
                <w:szCs w:val="20"/>
              </w:rPr>
              <w:t>16</w:t>
            </w:r>
          </w:p>
        </w:tc>
        <w:tc>
          <w:tcPr>
            <w:tcW w:w="5748" w:type="dxa"/>
            <w:gridSpan w:val="6"/>
            <w:tcBorders>
              <w:top w:val="single" w:sz="8" w:space="0" w:color="E26B0A"/>
              <w:left w:val="nil"/>
              <w:bottom w:val="single" w:sz="4" w:space="0" w:color="A6A6A6"/>
              <w:right w:val="nil"/>
            </w:tcBorders>
            <w:shd w:val="clear" w:color="auto" w:fill="auto"/>
            <w:vAlign w:val="bottom"/>
            <w:hideMark/>
          </w:tcPr>
          <w:p w:rsidR="00A71A12" w:rsidRPr="00BB33FC" w:rsidRDefault="00A71A12" w:rsidP="00A71A12">
            <w:pPr>
              <w:rPr>
                <w:rFonts w:ascii="Arial" w:hAnsi="Arial" w:cs="Arial"/>
                <w:b/>
                <w:bCs/>
                <w:i/>
                <w:iCs/>
                <w:sz w:val="20"/>
                <w:szCs w:val="20"/>
              </w:rPr>
            </w:pPr>
            <w:r w:rsidRPr="00BB33FC">
              <w:rPr>
                <w:rFonts w:ascii="Arial" w:hAnsi="Arial" w:cs="Arial"/>
                <w:b/>
                <w:bCs/>
                <w:i/>
                <w:iCs/>
                <w:sz w:val="20"/>
                <w:szCs w:val="20"/>
              </w:rPr>
              <w:t>Produktivita práce v potravinárstve</w:t>
            </w:r>
          </w:p>
        </w:tc>
        <w:tc>
          <w:tcPr>
            <w:tcW w:w="863" w:type="dxa"/>
            <w:gridSpan w:val="2"/>
            <w:tcBorders>
              <w:top w:val="nil"/>
              <w:left w:val="nil"/>
              <w:bottom w:val="nil"/>
              <w:right w:val="nil"/>
            </w:tcBorders>
            <w:shd w:val="clear" w:color="auto" w:fill="auto"/>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 </w:t>
            </w:r>
          </w:p>
        </w:tc>
        <w:tc>
          <w:tcPr>
            <w:tcW w:w="1674" w:type="dxa"/>
            <w:gridSpan w:val="2"/>
            <w:tcBorders>
              <w:top w:val="nil"/>
              <w:left w:val="nil"/>
              <w:bottom w:val="nil"/>
              <w:right w:val="nil"/>
            </w:tcBorders>
            <w:shd w:val="clear" w:color="auto" w:fill="auto"/>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 </w:t>
            </w:r>
          </w:p>
        </w:tc>
        <w:tc>
          <w:tcPr>
            <w:tcW w:w="641" w:type="dxa"/>
            <w:gridSpan w:val="2"/>
            <w:tcBorders>
              <w:top w:val="nil"/>
              <w:left w:val="nil"/>
              <w:bottom w:val="nil"/>
              <w:right w:val="nil"/>
            </w:tcBorders>
            <w:shd w:val="clear" w:color="auto" w:fill="auto"/>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 </w:t>
            </w:r>
          </w:p>
        </w:tc>
        <w:tc>
          <w:tcPr>
            <w:tcW w:w="951" w:type="dxa"/>
            <w:tcBorders>
              <w:top w:val="nil"/>
              <w:left w:val="nil"/>
              <w:bottom w:val="nil"/>
              <w:right w:val="single" w:sz="8" w:space="0" w:color="E26B0A"/>
            </w:tcBorders>
            <w:shd w:val="clear" w:color="auto" w:fill="auto"/>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 </w:t>
            </w:r>
          </w:p>
        </w:tc>
      </w:tr>
      <w:tr w:rsidR="00A71A12" w:rsidRPr="00BB33FC" w:rsidTr="00A71A12">
        <w:trPr>
          <w:trHeight w:val="420"/>
        </w:trPr>
        <w:tc>
          <w:tcPr>
            <w:tcW w:w="387"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363" w:type="dxa"/>
            <w:vMerge/>
            <w:tcBorders>
              <w:top w:val="nil"/>
              <w:left w:val="single" w:sz="8" w:space="0" w:color="E26B0A"/>
              <w:bottom w:val="single" w:sz="8" w:space="0" w:color="E26B0A"/>
              <w:right w:val="nil"/>
            </w:tcBorders>
            <w:vAlign w:val="center"/>
            <w:hideMark/>
          </w:tcPr>
          <w:p w:rsidR="00A71A12" w:rsidRPr="00BB33FC" w:rsidRDefault="00A71A12" w:rsidP="00A71A12">
            <w:pPr>
              <w:rPr>
                <w:rFonts w:ascii="Arial" w:hAnsi="Arial" w:cs="Arial"/>
                <w:b/>
                <w:bCs/>
                <w:color w:val="000000"/>
                <w:sz w:val="20"/>
                <w:szCs w:val="20"/>
              </w:rPr>
            </w:pPr>
          </w:p>
        </w:tc>
        <w:tc>
          <w:tcPr>
            <w:tcW w:w="5748" w:type="dxa"/>
            <w:gridSpan w:val="6"/>
            <w:tcBorders>
              <w:top w:val="single" w:sz="4" w:space="0" w:color="A6A6A6"/>
              <w:left w:val="nil"/>
              <w:bottom w:val="single" w:sz="8" w:space="0" w:color="E26B0A"/>
              <w:right w:val="single" w:sz="4" w:space="0" w:color="A6A6A6"/>
            </w:tcBorders>
            <w:shd w:val="clear" w:color="000000" w:fill="FCD5B4"/>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celkom</w:t>
            </w:r>
          </w:p>
        </w:tc>
        <w:tc>
          <w:tcPr>
            <w:tcW w:w="863" w:type="dxa"/>
            <w:gridSpan w:val="2"/>
            <w:tcBorders>
              <w:top w:val="single" w:sz="4" w:space="0" w:color="A6A6A6"/>
              <w:left w:val="nil"/>
              <w:bottom w:val="single" w:sz="8" w:space="0" w:color="E26B0A"/>
              <w:right w:val="single" w:sz="4" w:space="0" w:color="A6A6A6"/>
            </w:tcBorders>
            <w:shd w:val="clear" w:color="000000" w:fill="FCD5B4"/>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15 906,6</w:t>
            </w:r>
          </w:p>
        </w:tc>
        <w:tc>
          <w:tcPr>
            <w:tcW w:w="1674" w:type="dxa"/>
            <w:gridSpan w:val="2"/>
            <w:tcBorders>
              <w:top w:val="single" w:sz="4" w:space="0" w:color="A6A6A6"/>
              <w:left w:val="nil"/>
              <w:bottom w:val="single" w:sz="8" w:space="0" w:color="E26B0A"/>
              <w:right w:val="single" w:sz="4" w:space="0" w:color="A6A6A6"/>
            </w:tcBorders>
            <w:shd w:val="clear" w:color="000000" w:fill="FCD5B4"/>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EUR/osoba</w:t>
            </w:r>
          </w:p>
        </w:tc>
        <w:tc>
          <w:tcPr>
            <w:tcW w:w="641" w:type="dxa"/>
            <w:gridSpan w:val="2"/>
            <w:tcBorders>
              <w:top w:val="single" w:sz="4" w:space="0" w:color="A6A6A6"/>
              <w:left w:val="nil"/>
              <w:bottom w:val="single" w:sz="8" w:space="0" w:color="E26B0A"/>
              <w:right w:val="single" w:sz="4" w:space="0" w:color="A6A6A6"/>
            </w:tcBorders>
            <w:shd w:val="clear" w:color="000000" w:fill="FCD5B4"/>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2010</w:t>
            </w:r>
          </w:p>
        </w:tc>
        <w:tc>
          <w:tcPr>
            <w:tcW w:w="951" w:type="dxa"/>
            <w:tcBorders>
              <w:top w:val="single" w:sz="4" w:space="0" w:color="A6A6A6"/>
              <w:left w:val="nil"/>
              <w:bottom w:val="single" w:sz="8" w:space="0" w:color="E26B0A"/>
              <w:right w:val="single" w:sz="8" w:space="0" w:color="E26B0A"/>
            </w:tcBorders>
            <w:shd w:val="clear" w:color="000000" w:fill="FCD5B4"/>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w:t>
            </w:r>
          </w:p>
        </w:tc>
      </w:tr>
      <w:tr w:rsidR="00A71A12" w:rsidRPr="00BB33FC" w:rsidTr="00A71A12">
        <w:trPr>
          <w:trHeight w:val="420"/>
        </w:trPr>
        <w:tc>
          <w:tcPr>
            <w:tcW w:w="387"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363" w:type="dxa"/>
            <w:vMerge w:val="restart"/>
            <w:tcBorders>
              <w:top w:val="nil"/>
              <w:left w:val="single" w:sz="8" w:space="0" w:color="E26B0A"/>
              <w:bottom w:val="nil"/>
              <w:right w:val="nil"/>
            </w:tcBorders>
            <w:shd w:val="clear" w:color="auto" w:fill="auto"/>
            <w:noWrap/>
            <w:hideMark/>
          </w:tcPr>
          <w:p w:rsidR="00A71A12" w:rsidRPr="00BB33FC" w:rsidRDefault="00A71A12" w:rsidP="00A71A12">
            <w:pPr>
              <w:rPr>
                <w:rFonts w:ascii="Arial" w:hAnsi="Arial" w:cs="Arial"/>
                <w:b/>
                <w:bCs/>
                <w:color w:val="000000"/>
                <w:sz w:val="20"/>
                <w:szCs w:val="20"/>
              </w:rPr>
            </w:pPr>
            <w:r w:rsidRPr="00BB33FC">
              <w:rPr>
                <w:rFonts w:ascii="Arial" w:hAnsi="Arial" w:cs="Arial"/>
                <w:b/>
                <w:bCs/>
                <w:color w:val="000000"/>
                <w:sz w:val="20"/>
                <w:szCs w:val="20"/>
              </w:rPr>
              <w:t>17</w:t>
            </w:r>
          </w:p>
        </w:tc>
        <w:tc>
          <w:tcPr>
            <w:tcW w:w="5748" w:type="dxa"/>
            <w:gridSpan w:val="6"/>
            <w:tcBorders>
              <w:top w:val="single" w:sz="8" w:space="0" w:color="E26B0A"/>
              <w:left w:val="nil"/>
              <w:bottom w:val="single" w:sz="4" w:space="0" w:color="A6A6A6"/>
              <w:right w:val="nil"/>
            </w:tcBorders>
            <w:shd w:val="clear" w:color="auto" w:fill="auto"/>
            <w:vAlign w:val="bottom"/>
            <w:hideMark/>
          </w:tcPr>
          <w:p w:rsidR="00A71A12" w:rsidRPr="00BB33FC" w:rsidRDefault="00A71A12" w:rsidP="00A71A12">
            <w:pPr>
              <w:rPr>
                <w:rFonts w:ascii="Arial" w:hAnsi="Arial" w:cs="Arial"/>
                <w:b/>
                <w:bCs/>
                <w:i/>
                <w:iCs/>
                <w:sz w:val="20"/>
                <w:szCs w:val="20"/>
              </w:rPr>
            </w:pPr>
            <w:r w:rsidRPr="00BB33FC">
              <w:rPr>
                <w:rFonts w:ascii="Arial" w:hAnsi="Arial" w:cs="Arial"/>
                <w:b/>
                <w:bCs/>
                <w:i/>
                <w:iCs/>
                <w:sz w:val="20"/>
                <w:szCs w:val="20"/>
              </w:rPr>
              <w:t>Poľnohospodárske podniky (farmy)</w:t>
            </w:r>
          </w:p>
        </w:tc>
        <w:tc>
          <w:tcPr>
            <w:tcW w:w="863" w:type="dxa"/>
            <w:gridSpan w:val="2"/>
            <w:tcBorders>
              <w:top w:val="nil"/>
              <w:left w:val="nil"/>
              <w:bottom w:val="nil"/>
              <w:right w:val="single" w:sz="4" w:space="0" w:color="A6A6A6"/>
            </w:tcBorders>
            <w:shd w:val="clear" w:color="auto" w:fill="auto"/>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 </w:t>
            </w:r>
          </w:p>
        </w:tc>
        <w:tc>
          <w:tcPr>
            <w:tcW w:w="1674" w:type="dxa"/>
            <w:gridSpan w:val="2"/>
            <w:tcBorders>
              <w:top w:val="nil"/>
              <w:left w:val="nil"/>
              <w:bottom w:val="nil"/>
              <w:right w:val="nil"/>
            </w:tcBorders>
            <w:shd w:val="clear" w:color="auto" w:fill="auto"/>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 </w:t>
            </w:r>
          </w:p>
        </w:tc>
        <w:tc>
          <w:tcPr>
            <w:tcW w:w="641" w:type="dxa"/>
            <w:gridSpan w:val="2"/>
            <w:tcBorders>
              <w:top w:val="nil"/>
              <w:left w:val="nil"/>
              <w:bottom w:val="nil"/>
              <w:right w:val="nil"/>
            </w:tcBorders>
            <w:shd w:val="clear" w:color="auto" w:fill="auto"/>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 </w:t>
            </w:r>
          </w:p>
        </w:tc>
        <w:tc>
          <w:tcPr>
            <w:tcW w:w="951" w:type="dxa"/>
            <w:tcBorders>
              <w:top w:val="nil"/>
              <w:left w:val="nil"/>
              <w:bottom w:val="nil"/>
              <w:right w:val="single" w:sz="8" w:space="0" w:color="E26B0A"/>
            </w:tcBorders>
            <w:shd w:val="clear" w:color="auto" w:fill="auto"/>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 </w:t>
            </w:r>
          </w:p>
        </w:tc>
      </w:tr>
      <w:tr w:rsidR="00A71A12" w:rsidRPr="00BB33FC" w:rsidTr="00A71A12">
        <w:trPr>
          <w:trHeight w:val="300"/>
        </w:trPr>
        <w:tc>
          <w:tcPr>
            <w:tcW w:w="387"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363" w:type="dxa"/>
            <w:vMerge/>
            <w:tcBorders>
              <w:top w:val="nil"/>
              <w:left w:val="single" w:sz="8" w:space="0" w:color="E26B0A"/>
              <w:bottom w:val="nil"/>
              <w:right w:val="nil"/>
            </w:tcBorders>
            <w:vAlign w:val="center"/>
            <w:hideMark/>
          </w:tcPr>
          <w:p w:rsidR="00A71A12" w:rsidRPr="00BB33FC" w:rsidRDefault="00A71A12" w:rsidP="00A71A12">
            <w:pPr>
              <w:rPr>
                <w:rFonts w:ascii="Arial" w:hAnsi="Arial" w:cs="Arial"/>
                <w:b/>
                <w:bCs/>
                <w:color w:val="000000"/>
                <w:sz w:val="20"/>
                <w:szCs w:val="20"/>
              </w:rPr>
            </w:pPr>
          </w:p>
        </w:tc>
        <w:tc>
          <w:tcPr>
            <w:tcW w:w="5748" w:type="dxa"/>
            <w:gridSpan w:val="6"/>
            <w:tcBorders>
              <w:top w:val="single" w:sz="4" w:space="0" w:color="A6A6A6"/>
              <w:left w:val="nil"/>
              <w:bottom w:val="nil"/>
              <w:right w:val="single" w:sz="4" w:space="0" w:color="A6A6A6"/>
            </w:tcBorders>
            <w:shd w:val="clear" w:color="000000" w:fill="FCD5B4"/>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celkom</w:t>
            </w:r>
          </w:p>
        </w:tc>
        <w:tc>
          <w:tcPr>
            <w:tcW w:w="863" w:type="dxa"/>
            <w:gridSpan w:val="2"/>
            <w:tcBorders>
              <w:top w:val="single" w:sz="4" w:space="0" w:color="A6A6A6"/>
              <w:left w:val="nil"/>
              <w:bottom w:val="nil"/>
              <w:right w:val="single" w:sz="4" w:space="0" w:color="A6A6A6"/>
            </w:tcBorders>
            <w:shd w:val="clear" w:color="000000" w:fill="FCD5B4"/>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24 460,0</w:t>
            </w:r>
          </w:p>
        </w:tc>
        <w:tc>
          <w:tcPr>
            <w:tcW w:w="1674" w:type="dxa"/>
            <w:gridSpan w:val="2"/>
            <w:tcBorders>
              <w:top w:val="single" w:sz="4" w:space="0" w:color="A6A6A6"/>
              <w:left w:val="nil"/>
              <w:bottom w:val="nil"/>
              <w:right w:val="single" w:sz="4" w:space="0" w:color="A6A6A6"/>
            </w:tcBorders>
            <w:shd w:val="clear" w:color="000000" w:fill="FCD5B4"/>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Počet</w:t>
            </w:r>
          </w:p>
        </w:tc>
        <w:tc>
          <w:tcPr>
            <w:tcW w:w="641" w:type="dxa"/>
            <w:gridSpan w:val="2"/>
            <w:tcBorders>
              <w:top w:val="single" w:sz="4" w:space="0" w:color="A6A6A6"/>
              <w:left w:val="nil"/>
              <w:bottom w:val="nil"/>
              <w:right w:val="single" w:sz="4" w:space="0" w:color="A6A6A6"/>
            </w:tcBorders>
            <w:shd w:val="clear" w:color="000000" w:fill="FCD5B4"/>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2010</w:t>
            </w:r>
          </w:p>
        </w:tc>
        <w:tc>
          <w:tcPr>
            <w:tcW w:w="951" w:type="dxa"/>
            <w:tcBorders>
              <w:top w:val="single" w:sz="4" w:space="0" w:color="A6A6A6"/>
              <w:left w:val="nil"/>
              <w:bottom w:val="nil"/>
              <w:right w:val="single" w:sz="8" w:space="0" w:color="E26B0A"/>
            </w:tcBorders>
            <w:shd w:val="clear" w:color="000000" w:fill="FCD5B4"/>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w:t>
            </w:r>
          </w:p>
        </w:tc>
      </w:tr>
      <w:tr w:rsidR="00A71A12" w:rsidRPr="00BB33FC" w:rsidTr="00A71A12">
        <w:trPr>
          <w:trHeight w:val="300"/>
        </w:trPr>
        <w:tc>
          <w:tcPr>
            <w:tcW w:w="387"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363" w:type="dxa"/>
            <w:vMerge/>
            <w:tcBorders>
              <w:top w:val="nil"/>
              <w:left w:val="single" w:sz="8" w:space="0" w:color="E26B0A"/>
              <w:bottom w:val="nil"/>
              <w:right w:val="nil"/>
            </w:tcBorders>
            <w:vAlign w:val="center"/>
            <w:hideMark/>
          </w:tcPr>
          <w:p w:rsidR="00A71A12" w:rsidRPr="00BB33FC" w:rsidRDefault="00A71A12" w:rsidP="00A71A12">
            <w:pPr>
              <w:rPr>
                <w:rFonts w:ascii="Arial" w:hAnsi="Arial" w:cs="Arial"/>
                <w:b/>
                <w:bCs/>
                <w:color w:val="000000"/>
                <w:sz w:val="20"/>
                <w:szCs w:val="20"/>
              </w:rPr>
            </w:pPr>
          </w:p>
        </w:tc>
        <w:tc>
          <w:tcPr>
            <w:tcW w:w="5748" w:type="dxa"/>
            <w:gridSpan w:val="6"/>
            <w:tcBorders>
              <w:top w:val="nil"/>
              <w:left w:val="nil"/>
              <w:bottom w:val="nil"/>
              <w:right w:val="single" w:sz="4" w:space="0" w:color="A6A6A6"/>
            </w:tcBorders>
            <w:shd w:val="clear" w:color="000000" w:fill="FDE9D9"/>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 xml:space="preserve">veľkosť farmy &lt;2 Ha </w:t>
            </w:r>
          </w:p>
        </w:tc>
        <w:tc>
          <w:tcPr>
            <w:tcW w:w="863" w:type="dxa"/>
            <w:gridSpan w:val="2"/>
            <w:tcBorders>
              <w:top w:val="nil"/>
              <w:left w:val="nil"/>
              <w:bottom w:val="nil"/>
              <w:right w:val="single" w:sz="4" w:space="0" w:color="A6A6A6"/>
            </w:tcBorders>
            <w:shd w:val="clear" w:color="000000" w:fill="FDE9D9"/>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9 460,0</w:t>
            </w:r>
          </w:p>
        </w:tc>
        <w:tc>
          <w:tcPr>
            <w:tcW w:w="1674" w:type="dxa"/>
            <w:gridSpan w:val="2"/>
            <w:tcBorders>
              <w:top w:val="nil"/>
              <w:left w:val="nil"/>
              <w:bottom w:val="nil"/>
              <w:right w:val="single" w:sz="4" w:space="0" w:color="A6A6A6"/>
            </w:tcBorders>
            <w:shd w:val="clear" w:color="000000" w:fill="FDE9D9"/>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Počet</w:t>
            </w:r>
          </w:p>
        </w:tc>
        <w:tc>
          <w:tcPr>
            <w:tcW w:w="641" w:type="dxa"/>
            <w:gridSpan w:val="2"/>
            <w:tcBorders>
              <w:top w:val="nil"/>
              <w:left w:val="nil"/>
              <w:bottom w:val="nil"/>
              <w:right w:val="single" w:sz="4" w:space="0" w:color="A6A6A6"/>
            </w:tcBorders>
            <w:shd w:val="clear" w:color="000000" w:fill="FDE9D9"/>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2010</w:t>
            </w:r>
          </w:p>
        </w:tc>
        <w:tc>
          <w:tcPr>
            <w:tcW w:w="951" w:type="dxa"/>
            <w:tcBorders>
              <w:top w:val="nil"/>
              <w:left w:val="nil"/>
              <w:bottom w:val="nil"/>
              <w:right w:val="single" w:sz="8" w:space="0" w:color="E26B0A"/>
            </w:tcBorders>
            <w:shd w:val="clear" w:color="000000" w:fill="FDE9D9"/>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w:t>
            </w:r>
          </w:p>
        </w:tc>
      </w:tr>
      <w:tr w:rsidR="00A71A12" w:rsidRPr="00BB33FC" w:rsidTr="00A71A12">
        <w:trPr>
          <w:trHeight w:val="300"/>
        </w:trPr>
        <w:tc>
          <w:tcPr>
            <w:tcW w:w="387"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363" w:type="dxa"/>
            <w:vMerge/>
            <w:tcBorders>
              <w:top w:val="nil"/>
              <w:left w:val="single" w:sz="8" w:space="0" w:color="E26B0A"/>
              <w:bottom w:val="nil"/>
              <w:right w:val="nil"/>
            </w:tcBorders>
            <w:vAlign w:val="center"/>
            <w:hideMark/>
          </w:tcPr>
          <w:p w:rsidR="00A71A12" w:rsidRPr="00BB33FC" w:rsidRDefault="00A71A12" w:rsidP="00A71A12">
            <w:pPr>
              <w:rPr>
                <w:rFonts w:ascii="Arial" w:hAnsi="Arial" w:cs="Arial"/>
                <w:b/>
                <w:bCs/>
                <w:color w:val="000000"/>
                <w:sz w:val="20"/>
                <w:szCs w:val="20"/>
              </w:rPr>
            </w:pPr>
          </w:p>
        </w:tc>
        <w:tc>
          <w:tcPr>
            <w:tcW w:w="5748" w:type="dxa"/>
            <w:gridSpan w:val="6"/>
            <w:tcBorders>
              <w:top w:val="nil"/>
              <w:left w:val="nil"/>
              <w:bottom w:val="nil"/>
              <w:right w:val="single" w:sz="4" w:space="0" w:color="A6A6A6"/>
            </w:tcBorders>
            <w:shd w:val="clear" w:color="000000" w:fill="FDE9D9"/>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 xml:space="preserve">veľkosť farmy 2-4.9 Ha </w:t>
            </w:r>
          </w:p>
        </w:tc>
        <w:tc>
          <w:tcPr>
            <w:tcW w:w="863" w:type="dxa"/>
            <w:gridSpan w:val="2"/>
            <w:tcBorders>
              <w:top w:val="nil"/>
              <w:left w:val="nil"/>
              <w:bottom w:val="nil"/>
              <w:right w:val="single" w:sz="4" w:space="0" w:color="A6A6A6"/>
            </w:tcBorders>
            <w:shd w:val="clear" w:color="000000" w:fill="FDE9D9"/>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6 290,0</w:t>
            </w:r>
          </w:p>
        </w:tc>
        <w:tc>
          <w:tcPr>
            <w:tcW w:w="1674" w:type="dxa"/>
            <w:gridSpan w:val="2"/>
            <w:tcBorders>
              <w:top w:val="nil"/>
              <w:left w:val="nil"/>
              <w:bottom w:val="nil"/>
              <w:right w:val="single" w:sz="4" w:space="0" w:color="A6A6A6"/>
            </w:tcBorders>
            <w:shd w:val="clear" w:color="000000" w:fill="FDE9D9"/>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Počet</w:t>
            </w:r>
          </w:p>
        </w:tc>
        <w:tc>
          <w:tcPr>
            <w:tcW w:w="641" w:type="dxa"/>
            <w:gridSpan w:val="2"/>
            <w:tcBorders>
              <w:top w:val="nil"/>
              <w:left w:val="nil"/>
              <w:bottom w:val="nil"/>
              <w:right w:val="single" w:sz="4" w:space="0" w:color="A6A6A6"/>
            </w:tcBorders>
            <w:shd w:val="clear" w:color="000000" w:fill="FDE9D9"/>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2010</w:t>
            </w:r>
          </w:p>
        </w:tc>
        <w:tc>
          <w:tcPr>
            <w:tcW w:w="951" w:type="dxa"/>
            <w:tcBorders>
              <w:top w:val="nil"/>
              <w:left w:val="nil"/>
              <w:bottom w:val="nil"/>
              <w:right w:val="single" w:sz="8" w:space="0" w:color="E26B0A"/>
            </w:tcBorders>
            <w:shd w:val="clear" w:color="000000" w:fill="FDE9D9"/>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w:t>
            </w:r>
          </w:p>
        </w:tc>
      </w:tr>
      <w:tr w:rsidR="00A71A12" w:rsidRPr="00BB33FC" w:rsidTr="00A71A12">
        <w:trPr>
          <w:trHeight w:val="300"/>
        </w:trPr>
        <w:tc>
          <w:tcPr>
            <w:tcW w:w="387"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363" w:type="dxa"/>
            <w:vMerge/>
            <w:tcBorders>
              <w:top w:val="nil"/>
              <w:left w:val="single" w:sz="8" w:space="0" w:color="E26B0A"/>
              <w:bottom w:val="nil"/>
              <w:right w:val="nil"/>
            </w:tcBorders>
            <w:vAlign w:val="center"/>
            <w:hideMark/>
          </w:tcPr>
          <w:p w:rsidR="00A71A12" w:rsidRPr="00BB33FC" w:rsidRDefault="00A71A12" w:rsidP="00A71A12">
            <w:pPr>
              <w:rPr>
                <w:rFonts w:ascii="Arial" w:hAnsi="Arial" w:cs="Arial"/>
                <w:b/>
                <w:bCs/>
                <w:color w:val="000000"/>
                <w:sz w:val="20"/>
                <w:szCs w:val="20"/>
              </w:rPr>
            </w:pPr>
          </w:p>
        </w:tc>
        <w:tc>
          <w:tcPr>
            <w:tcW w:w="5748" w:type="dxa"/>
            <w:gridSpan w:val="6"/>
            <w:tcBorders>
              <w:top w:val="nil"/>
              <w:left w:val="nil"/>
              <w:bottom w:val="nil"/>
              <w:right w:val="single" w:sz="4" w:space="0" w:color="A6A6A6"/>
            </w:tcBorders>
            <w:shd w:val="clear" w:color="000000" w:fill="FDE9D9"/>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 xml:space="preserve">veľkosť farmy 5-9.9 Ha </w:t>
            </w:r>
          </w:p>
        </w:tc>
        <w:tc>
          <w:tcPr>
            <w:tcW w:w="863" w:type="dxa"/>
            <w:gridSpan w:val="2"/>
            <w:tcBorders>
              <w:top w:val="nil"/>
              <w:left w:val="nil"/>
              <w:bottom w:val="nil"/>
              <w:right w:val="single" w:sz="4" w:space="0" w:color="A6A6A6"/>
            </w:tcBorders>
            <w:shd w:val="clear" w:color="000000" w:fill="FDE9D9"/>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2 660,0</w:t>
            </w:r>
          </w:p>
        </w:tc>
        <w:tc>
          <w:tcPr>
            <w:tcW w:w="1674" w:type="dxa"/>
            <w:gridSpan w:val="2"/>
            <w:tcBorders>
              <w:top w:val="nil"/>
              <w:left w:val="nil"/>
              <w:bottom w:val="nil"/>
              <w:right w:val="single" w:sz="4" w:space="0" w:color="A6A6A6"/>
            </w:tcBorders>
            <w:shd w:val="clear" w:color="000000" w:fill="FDE9D9"/>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Počet</w:t>
            </w:r>
          </w:p>
        </w:tc>
        <w:tc>
          <w:tcPr>
            <w:tcW w:w="641" w:type="dxa"/>
            <w:gridSpan w:val="2"/>
            <w:tcBorders>
              <w:top w:val="nil"/>
              <w:left w:val="nil"/>
              <w:bottom w:val="nil"/>
              <w:right w:val="single" w:sz="4" w:space="0" w:color="A6A6A6"/>
            </w:tcBorders>
            <w:shd w:val="clear" w:color="000000" w:fill="FDE9D9"/>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2010</w:t>
            </w:r>
          </w:p>
        </w:tc>
        <w:tc>
          <w:tcPr>
            <w:tcW w:w="951" w:type="dxa"/>
            <w:tcBorders>
              <w:top w:val="nil"/>
              <w:left w:val="nil"/>
              <w:bottom w:val="nil"/>
              <w:right w:val="single" w:sz="8" w:space="0" w:color="E26B0A"/>
            </w:tcBorders>
            <w:shd w:val="clear" w:color="000000" w:fill="FDE9D9"/>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w:t>
            </w:r>
          </w:p>
        </w:tc>
      </w:tr>
      <w:tr w:rsidR="00A71A12" w:rsidRPr="00BB33FC" w:rsidTr="00A71A12">
        <w:trPr>
          <w:trHeight w:val="300"/>
        </w:trPr>
        <w:tc>
          <w:tcPr>
            <w:tcW w:w="387"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363" w:type="dxa"/>
            <w:vMerge/>
            <w:tcBorders>
              <w:top w:val="nil"/>
              <w:left w:val="single" w:sz="8" w:space="0" w:color="E26B0A"/>
              <w:bottom w:val="nil"/>
              <w:right w:val="nil"/>
            </w:tcBorders>
            <w:vAlign w:val="center"/>
            <w:hideMark/>
          </w:tcPr>
          <w:p w:rsidR="00A71A12" w:rsidRPr="00BB33FC" w:rsidRDefault="00A71A12" w:rsidP="00A71A12">
            <w:pPr>
              <w:rPr>
                <w:rFonts w:ascii="Arial" w:hAnsi="Arial" w:cs="Arial"/>
                <w:b/>
                <w:bCs/>
                <w:color w:val="000000"/>
                <w:sz w:val="20"/>
                <w:szCs w:val="20"/>
              </w:rPr>
            </w:pPr>
          </w:p>
        </w:tc>
        <w:tc>
          <w:tcPr>
            <w:tcW w:w="5748" w:type="dxa"/>
            <w:gridSpan w:val="6"/>
            <w:tcBorders>
              <w:top w:val="nil"/>
              <w:left w:val="nil"/>
              <w:bottom w:val="nil"/>
              <w:right w:val="single" w:sz="4" w:space="0" w:color="A6A6A6"/>
            </w:tcBorders>
            <w:shd w:val="clear" w:color="000000" w:fill="FDE9D9"/>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 xml:space="preserve">veľkosť farmy 10-19.9 Ha </w:t>
            </w:r>
          </w:p>
        </w:tc>
        <w:tc>
          <w:tcPr>
            <w:tcW w:w="863" w:type="dxa"/>
            <w:gridSpan w:val="2"/>
            <w:tcBorders>
              <w:top w:val="nil"/>
              <w:left w:val="nil"/>
              <w:bottom w:val="nil"/>
              <w:right w:val="single" w:sz="4" w:space="0" w:color="A6A6A6"/>
            </w:tcBorders>
            <w:shd w:val="clear" w:color="000000" w:fill="FDE9D9"/>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1 630,0</w:t>
            </w:r>
          </w:p>
        </w:tc>
        <w:tc>
          <w:tcPr>
            <w:tcW w:w="1674" w:type="dxa"/>
            <w:gridSpan w:val="2"/>
            <w:tcBorders>
              <w:top w:val="nil"/>
              <w:left w:val="nil"/>
              <w:bottom w:val="nil"/>
              <w:right w:val="single" w:sz="4" w:space="0" w:color="A6A6A6"/>
            </w:tcBorders>
            <w:shd w:val="clear" w:color="000000" w:fill="FDE9D9"/>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Počet</w:t>
            </w:r>
          </w:p>
        </w:tc>
        <w:tc>
          <w:tcPr>
            <w:tcW w:w="641" w:type="dxa"/>
            <w:gridSpan w:val="2"/>
            <w:tcBorders>
              <w:top w:val="nil"/>
              <w:left w:val="nil"/>
              <w:bottom w:val="nil"/>
              <w:right w:val="single" w:sz="4" w:space="0" w:color="A6A6A6"/>
            </w:tcBorders>
            <w:shd w:val="clear" w:color="000000" w:fill="FDE9D9"/>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2010</w:t>
            </w:r>
          </w:p>
        </w:tc>
        <w:tc>
          <w:tcPr>
            <w:tcW w:w="951" w:type="dxa"/>
            <w:tcBorders>
              <w:top w:val="nil"/>
              <w:left w:val="nil"/>
              <w:bottom w:val="nil"/>
              <w:right w:val="single" w:sz="8" w:space="0" w:color="E26B0A"/>
            </w:tcBorders>
            <w:shd w:val="clear" w:color="000000" w:fill="FDE9D9"/>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w:t>
            </w:r>
          </w:p>
        </w:tc>
      </w:tr>
      <w:tr w:rsidR="00A71A12" w:rsidRPr="00BB33FC" w:rsidTr="00A71A12">
        <w:trPr>
          <w:trHeight w:val="300"/>
        </w:trPr>
        <w:tc>
          <w:tcPr>
            <w:tcW w:w="387"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363" w:type="dxa"/>
            <w:vMerge/>
            <w:tcBorders>
              <w:top w:val="nil"/>
              <w:left w:val="single" w:sz="8" w:space="0" w:color="E26B0A"/>
              <w:bottom w:val="nil"/>
              <w:right w:val="nil"/>
            </w:tcBorders>
            <w:vAlign w:val="center"/>
            <w:hideMark/>
          </w:tcPr>
          <w:p w:rsidR="00A71A12" w:rsidRPr="00BB33FC" w:rsidRDefault="00A71A12" w:rsidP="00A71A12">
            <w:pPr>
              <w:rPr>
                <w:rFonts w:ascii="Arial" w:hAnsi="Arial" w:cs="Arial"/>
                <w:b/>
                <w:bCs/>
                <w:color w:val="000000"/>
                <w:sz w:val="20"/>
                <w:szCs w:val="20"/>
              </w:rPr>
            </w:pPr>
          </w:p>
        </w:tc>
        <w:tc>
          <w:tcPr>
            <w:tcW w:w="5748" w:type="dxa"/>
            <w:gridSpan w:val="6"/>
            <w:tcBorders>
              <w:top w:val="nil"/>
              <w:left w:val="nil"/>
              <w:bottom w:val="nil"/>
              <w:right w:val="single" w:sz="4" w:space="0" w:color="A6A6A6"/>
            </w:tcBorders>
            <w:shd w:val="clear" w:color="000000" w:fill="FDE9D9"/>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 xml:space="preserve">veľkosť farmy 20-29.9 Ha </w:t>
            </w:r>
          </w:p>
        </w:tc>
        <w:tc>
          <w:tcPr>
            <w:tcW w:w="863" w:type="dxa"/>
            <w:gridSpan w:val="2"/>
            <w:tcBorders>
              <w:top w:val="nil"/>
              <w:left w:val="nil"/>
              <w:bottom w:val="nil"/>
              <w:right w:val="single" w:sz="4" w:space="0" w:color="A6A6A6"/>
            </w:tcBorders>
            <w:shd w:val="clear" w:color="000000" w:fill="FDE9D9"/>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730,0</w:t>
            </w:r>
          </w:p>
        </w:tc>
        <w:tc>
          <w:tcPr>
            <w:tcW w:w="1674" w:type="dxa"/>
            <w:gridSpan w:val="2"/>
            <w:tcBorders>
              <w:top w:val="nil"/>
              <w:left w:val="nil"/>
              <w:bottom w:val="nil"/>
              <w:right w:val="single" w:sz="4" w:space="0" w:color="A6A6A6"/>
            </w:tcBorders>
            <w:shd w:val="clear" w:color="000000" w:fill="FDE9D9"/>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Počet</w:t>
            </w:r>
          </w:p>
        </w:tc>
        <w:tc>
          <w:tcPr>
            <w:tcW w:w="641" w:type="dxa"/>
            <w:gridSpan w:val="2"/>
            <w:tcBorders>
              <w:top w:val="nil"/>
              <w:left w:val="nil"/>
              <w:bottom w:val="nil"/>
              <w:right w:val="single" w:sz="4" w:space="0" w:color="A6A6A6"/>
            </w:tcBorders>
            <w:shd w:val="clear" w:color="000000" w:fill="FDE9D9"/>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2010</w:t>
            </w:r>
          </w:p>
        </w:tc>
        <w:tc>
          <w:tcPr>
            <w:tcW w:w="951" w:type="dxa"/>
            <w:tcBorders>
              <w:top w:val="nil"/>
              <w:left w:val="nil"/>
              <w:bottom w:val="nil"/>
              <w:right w:val="single" w:sz="8" w:space="0" w:color="E26B0A"/>
            </w:tcBorders>
            <w:shd w:val="clear" w:color="000000" w:fill="FDE9D9"/>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w:t>
            </w:r>
          </w:p>
        </w:tc>
      </w:tr>
      <w:tr w:rsidR="00A71A12" w:rsidRPr="00BB33FC" w:rsidTr="00A71A12">
        <w:trPr>
          <w:trHeight w:val="300"/>
        </w:trPr>
        <w:tc>
          <w:tcPr>
            <w:tcW w:w="387"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363" w:type="dxa"/>
            <w:vMerge/>
            <w:tcBorders>
              <w:top w:val="nil"/>
              <w:left w:val="single" w:sz="8" w:space="0" w:color="E26B0A"/>
              <w:bottom w:val="nil"/>
              <w:right w:val="nil"/>
            </w:tcBorders>
            <w:vAlign w:val="center"/>
            <w:hideMark/>
          </w:tcPr>
          <w:p w:rsidR="00A71A12" w:rsidRPr="00BB33FC" w:rsidRDefault="00A71A12" w:rsidP="00A71A12">
            <w:pPr>
              <w:rPr>
                <w:rFonts w:ascii="Arial" w:hAnsi="Arial" w:cs="Arial"/>
                <w:b/>
                <w:bCs/>
                <w:color w:val="000000"/>
                <w:sz w:val="20"/>
                <w:szCs w:val="20"/>
              </w:rPr>
            </w:pPr>
          </w:p>
        </w:tc>
        <w:tc>
          <w:tcPr>
            <w:tcW w:w="5748" w:type="dxa"/>
            <w:gridSpan w:val="6"/>
            <w:tcBorders>
              <w:top w:val="nil"/>
              <w:left w:val="nil"/>
              <w:bottom w:val="nil"/>
              <w:right w:val="single" w:sz="4" w:space="0" w:color="A6A6A6"/>
            </w:tcBorders>
            <w:shd w:val="clear" w:color="000000" w:fill="FDE9D9"/>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 xml:space="preserve">veľkosť farmy 30-49.9 Ha </w:t>
            </w:r>
          </w:p>
        </w:tc>
        <w:tc>
          <w:tcPr>
            <w:tcW w:w="863" w:type="dxa"/>
            <w:gridSpan w:val="2"/>
            <w:tcBorders>
              <w:top w:val="nil"/>
              <w:left w:val="nil"/>
              <w:bottom w:val="nil"/>
              <w:right w:val="single" w:sz="4" w:space="0" w:color="A6A6A6"/>
            </w:tcBorders>
            <w:shd w:val="clear" w:color="000000" w:fill="FDE9D9"/>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700,0</w:t>
            </w:r>
          </w:p>
        </w:tc>
        <w:tc>
          <w:tcPr>
            <w:tcW w:w="1674" w:type="dxa"/>
            <w:gridSpan w:val="2"/>
            <w:tcBorders>
              <w:top w:val="nil"/>
              <w:left w:val="nil"/>
              <w:bottom w:val="nil"/>
              <w:right w:val="single" w:sz="4" w:space="0" w:color="A6A6A6"/>
            </w:tcBorders>
            <w:shd w:val="clear" w:color="000000" w:fill="FDE9D9"/>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Počet</w:t>
            </w:r>
          </w:p>
        </w:tc>
        <w:tc>
          <w:tcPr>
            <w:tcW w:w="641" w:type="dxa"/>
            <w:gridSpan w:val="2"/>
            <w:tcBorders>
              <w:top w:val="nil"/>
              <w:left w:val="nil"/>
              <w:bottom w:val="nil"/>
              <w:right w:val="single" w:sz="4" w:space="0" w:color="A6A6A6"/>
            </w:tcBorders>
            <w:shd w:val="clear" w:color="000000" w:fill="FDE9D9"/>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2010</w:t>
            </w:r>
          </w:p>
        </w:tc>
        <w:tc>
          <w:tcPr>
            <w:tcW w:w="951" w:type="dxa"/>
            <w:tcBorders>
              <w:top w:val="nil"/>
              <w:left w:val="nil"/>
              <w:bottom w:val="nil"/>
              <w:right w:val="single" w:sz="8" w:space="0" w:color="E26B0A"/>
            </w:tcBorders>
            <w:shd w:val="clear" w:color="000000" w:fill="FDE9D9"/>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w:t>
            </w:r>
          </w:p>
        </w:tc>
      </w:tr>
      <w:tr w:rsidR="00A71A12" w:rsidRPr="00BB33FC" w:rsidTr="00A71A12">
        <w:trPr>
          <w:trHeight w:val="300"/>
        </w:trPr>
        <w:tc>
          <w:tcPr>
            <w:tcW w:w="387"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363" w:type="dxa"/>
            <w:vMerge/>
            <w:tcBorders>
              <w:top w:val="nil"/>
              <w:left w:val="single" w:sz="8" w:space="0" w:color="E26B0A"/>
              <w:bottom w:val="nil"/>
              <w:right w:val="nil"/>
            </w:tcBorders>
            <w:vAlign w:val="center"/>
            <w:hideMark/>
          </w:tcPr>
          <w:p w:rsidR="00A71A12" w:rsidRPr="00BB33FC" w:rsidRDefault="00A71A12" w:rsidP="00A71A12">
            <w:pPr>
              <w:rPr>
                <w:rFonts w:ascii="Arial" w:hAnsi="Arial" w:cs="Arial"/>
                <w:b/>
                <w:bCs/>
                <w:color w:val="000000"/>
                <w:sz w:val="20"/>
                <w:szCs w:val="20"/>
              </w:rPr>
            </w:pPr>
          </w:p>
        </w:tc>
        <w:tc>
          <w:tcPr>
            <w:tcW w:w="5748" w:type="dxa"/>
            <w:gridSpan w:val="6"/>
            <w:tcBorders>
              <w:top w:val="nil"/>
              <w:left w:val="nil"/>
              <w:bottom w:val="nil"/>
              <w:right w:val="single" w:sz="4" w:space="0" w:color="A6A6A6"/>
            </w:tcBorders>
            <w:shd w:val="clear" w:color="000000" w:fill="FDE9D9"/>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 xml:space="preserve">veľkosť farmy 50-99.9 Ha </w:t>
            </w:r>
          </w:p>
        </w:tc>
        <w:tc>
          <w:tcPr>
            <w:tcW w:w="863" w:type="dxa"/>
            <w:gridSpan w:val="2"/>
            <w:tcBorders>
              <w:top w:val="nil"/>
              <w:left w:val="nil"/>
              <w:bottom w:val="nil"/>
              <w:right w:val="single" w:sz="4" w:space="0" w:color="A6A6A6"/>
            </w:tcBorders>
            <w:shd w:val="clear" w:color="000000" w:fill="FDE9D9"/>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780,0</w:t>
            </w:r>
          </w:p>
        </w:tc>
        <w:tc>
          <w:tcPr>
            <w:tcW w:w="1674" w:type="dxa"/>
            <w:gridSpan w:val="2"/>
            <w:tcBorders>
              <w:top w:val="nil"/>
              <w:left w:val="nil"/>
              <w:bottom w:val="nil"/>
              <w:right w:val="single" w:sz="4" w:space="0" w:color="A6A6A6"/>
            </w:tcBorders>
            <w:shd w:val="clear" w:color="000000" w:fill="FDE9D9"/>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Počet</w:t>
            </w:r>
          </w:p>
        </w:tc>
        <w:tc>
          <w:tcPr>
            <w:tcW w:w="641" w:type="dxa"/>
            <w:gridSpan w:val="2"/>
            <w:tcBorders>
              <w:top w:val="nil"/>
              <w:left w:val="nil"/>
              <w:bottom w:val="nil"/>
              <w:right w:val="single" w:sz="4" w:space="0" w:color="A6A6A6"/>
            </w:tcBorders>
            <w:shd w:val="clear" w:color="000000" w:fill="FDE9D9"/>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2010</w:t>
            </w:r>
          </w:p>
        </w:tc>
        <w:tc>
          <w:tcPr>
            <w:tcW w:w="951" w:type="dxa"/>
            <w:tcBorders>
              <w:top w:val="nil"/>
              <w:left w:val="nil"/>
              <w:bottom w:val="nil"/>
              <w:right w:val="single" w:sz="8" w:space="0" w:color="E26B0A"/>
            </w:tcBorders>
            <w:shd w:val="clear" w:color="000000" w:fill="FDE9D9"/>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w:t>
            </w:r>
          </w:p>
        </w:tc>
      </w:tr>
      <w:tr w:rsidR="00A71A12" w:rsidRPr="00BB33FC" w:rsidTr="00A71A12">
        <w:trPr>
          <w:trHeight w:val="300"/>
        </w:trPr>
        <w:tc>
          <w:tcPr>
            <w:tcW w:w="387"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363" w:type="dxa"/>
            <w:vMerge/>
            <w:tcBorders>
              <w:top w:val="nil"/>
              <w:left w:val="single" w:sz="8" w:space="0" w:color="E26B0A"/>
              <w:bottom w:val="nil"/>
              <w:right w:val="nil"/>
            </w:tcBorders>
            <w:vAlign w:val="center"/>
            <w:hideMark/>
          </w:tcPr>
          <w:p w:rsidR="00A71A12" w:rsidRPr="00BB33FC" w:rsidRDefault="00A71A12" w:rsidP="00A71A12">
            <w:pPr>
              <w:rPr>
                <w:rFonts w:ascii="Arial" w:hAnsi="Arial" w:cs="Arial"/>
                <w:b/>
                <w:bCs/>
                <w:color w:val="000000"/>
                <w:sz w:val="20"/>
                <w:szCs w:val="20"/>
              </w:rPr>
            </w:pPr>
          </w:p>
        </w:tc>
        <w:tc>
          <w:tcPr>
            <w:tcW w:w="5748" w:type="dxa"/>
            <w:gridSpan w:val="6"/>
            <w:tcBorders>
              <w:top w:val="nil"/>
              <w:left w:val="nil"/>
              <w:bottom w:val="nil"/>
              <w:right w:val="single" w:sz="4" w:space="0" w:color="A6A6A6"/>
            </w:tcBorders>
            <w:shd w:val="clear" w:color="000000" w:fill="FDE9D9"/>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 xml:space="preserve">veľkosť farmy &gt;100 Ha </w:t>
            </w:r>
          </w:p>
        </w:tc>
        <w:tc>
          <w:tcPr>
            <w:tcW w:w="863" w:type="dxa"/>
            <w:gridSpan w:val="2"/>
            <w:tcBorders>
              <w:top w:val="nil"/>
              <w:left w:val="nil"/>
              <w:bottom w:val="nil"/>
              <w:right w:val="single" w:sz="4" w:space="0" w:color="A6A6A6"/>
            </w:tcBorders>
            <w:shd w:val="clear" w:color="000000" w:fill="FDE9D9"/>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2 210,0</w:t>
            </w:r>
          </w:p>
        </w:tc>
        <w:tc>
          <w:tcPr>
            <w:tcW w:w="1674" w:type="dxa"/>
            <w:gridSpan w:val="2"/>
            <w:tcBorders>
              <w:top w:val="nil"/>
              <w:left w:val="nil"/>
              <w:bottom w:val="nil"/>
              <w:right w:val="single" w:sz="4" w:space="0" w:color="A6A6A6"/>
            </w:tcBorders>
            <w:shd w:val="clear" w:color="000000" w:fill="FDE9D9"/>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Počet</w:t>
            </w:r>
          </w:p>
        </w:tc>
        <w:tc>
          <w:tcPr>
            <w:tcW w:w="641" w:type="dxa"/>
            <w:gridSpan w:val="2"/>
            <w:tcBorders>
              <w:top w:val="nil"/>
              <w:left w:val="nil"/>
              <w:bottom w:val="nil"/>
              <w:right w:val="single" w:sz="4" w:space="0" w:color="A6A6A6"/>
            </w:tcBorders>
            <w:shd w:val="clear" w:color="000000" w:fill="FDE9D9"/>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2010</w:t>
            </w:r>
          </w:p>
        </w:tc>
        <w:tc>
          <w:tcPr>
            <w:tcW w:w="951" w:type="dxa"/>
            <w:tcBorders>
              <w:top w:val="nil"/>
              <w:left w:val="nil"/>
              <w:bottom w:val="nil"/>
              <w:right w:val="single" w:sz="8" w:space="0" w:color="E26B0A"/>
            </w:tcBorders>
            <w:shd w:val="clear" w:color="000000" w:fill="FDE9D9"/>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w:t>
            </w:r>
          </w:p>
        </w:tc>
      </w:tr>
      <w:tr w:rsidR="00A71A12" w:rsidRPr="00BB33FC" w:rsidTr="00A71A12">
        <w:trPr>
          <w:trHeight w:val="555"/>
        </w:trPr>
        <w:tc>
          <w:tcPr>
            <w:tcW w:w="387"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363" w:type="dxa"/>
            <w:vMerge/>
            <w:tcBorders>
              <w:top w:val="nil"/>
              <w:left w:val="single" w:sz="8" w:space="0" w:color="E26B0A"/>
              <w:bottom w:val="nil"/>
              <w:right w:val="nil"/>
            </w:tcBorders>
            <w:vAlign w:val="center"/>
            <w:hideMark/>
          </w:tcPr>
          <w:p w:rsidR="00A71A12" w:rsidRPr="00BB33FC" w:rsidRDefault="00A71A12" w:rsidP="00A71A12">
            <w:pPr>
              <w:rPr>
                <w:rFonts w:ascii="Arial" w:hAnsi="Arial" w:cs="Arial"/>
                <w:b/>
                <w:bCs/>
                <w:color w:val="000000"/>
                <w:sz w:val="20"/>
                <w:szCs w:val="20"/>
              </w:rPr>
            </w:pPr>
          </w:p>
        </w:tc>
        <w:tc>
          <w:tcPr>
            <w:tcW w:w="5748" w:type="dxa"/>
            <w:gridSpan w:val="6"/>
            <w:tcBorders>
              <w:top w:val="nil"/>
              <w:left w:val="nil"/>
              <w:bottom w:val="nil"/>
              <w:right w:val="single" w:sz="4" w:space="0" w:color="A6A6A6"/>
            </w:tcBorders>
            <w:shd w:val="clear" w:color="000000" w:fill="FCD5B4"/>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 xml:space="preserve">ekonomická veľkosť farmy &lt;2000 štandardný výstup (SO) </w:t>
            </w:r>
          </w:p>
        </w:tc>
        <w:tc>
          <w:tcPr>
            <w:tcW w:w="863" w:type="dxa"/>
            <w:gridSpan w:val="2"/>
            <w:tcBorders>
              <w:top w:val="nil"/>
              <w:left w:val="nil"/>
              <w:bottom w:val="nil"/>
              <w:right w:val="single" w:sz="4" w:space="0" w:color="A6A6A6"/>
            </w:tcBorders>
            <w:shd w:val="clear" w:color="000000" w:fill="FCD5B4"/>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7 840,0</w:t>
            </w:r>
          </w:p>
        </w:tc>
        <w:tc>
          <w:tcPr>
            <w:tcW w:w="1674" w:type="dxa"/>
            <w:gridSpan w:val="2"/>
            <w:tcBorders>
              <w:top w:val="nil"/>
              <w:left w:val="nil"/>
              <w:bottom w:val="nil"/>
              <w:right w:val="single" w:sz="4" w:space="0" w:color="A6A6A6"/>
            </w:tcBorders>
            <w:shd w:val="clear" w:color="000000" w:fill="FCD5B4"/>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Počet</w:t>
            </w:r>
          </w:p>
        </w:tc>
        <w:tc>
          <w:tcPr>
            <w:tcW w:w="641" w:type="dxa"/>
            <w:gridSpan w:val="2"/>
            <w:tcBorders>
              <w:top w:val="nil"/>
              <w:left w:val="nil"/>
              <w:bottom w:val="nil"/>
              <w:right w:val="single" w:sz="4" w:space="0" w:color="A6A6A6"/>
            </w:tcBorders>
            <w:shd w:val="clear" w:color="000000" w:fill="FCD5B4"/>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2010</w:t>
            </w:r>
          </w:p>
        </w:tc>
        <w:tc>
          <w:tcPr>
            <w:tcW w:w="951" w:type="dxa"/>
            <w:tcBorders>
              <w:top w:val="nil"/>
              <w:left w:val="nil"/>
              <w:bottom w:val="nil"/>
              <w:right w:val="single" w:sz="8" w:space="0" w:color="E26B0A"/>
            </w:tcBorders>
            <w:shd w:val="clear" w:color="000000" w:fill="FCD5B4"/>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w:t>
            </w:r>
          </w:p>
        </w:tc>
      </w:tr>
      <w:tr w:rsidR="00A71A12" w:rsidRPr="00BB33FC" w:rsidTr="00A71A12">
        <w:trPr>
          <w:trHeight w:val="480"/>
        </w:trPr>
        <w:tc>
          <w:tcPr>
            <w:tcW w:w="387"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363" w:type="dxa"/>
            <w:vMerge/>
            <w:tcBorders>
              <w:top w:val="nil"/>
              <w:left w:val="single" w:sz="8" w:space="0" w:color="E26B0A"/>
              <w:bottom w:val="nil"/>
              <w:right w:val="nil"/>
            </w:tcBorders>
            <w:vAlign w:val="center"/>
            <w:hideMark/>
          </w:tcPr>
          <w:p w:rsidR="00A71A12" w:rsidRPr="00BB33FC" w:rsidRDefault="00A71A12" w:rsidP="00A71A12">
            <w:pPr>
              <w:rPr>
                <w:rFonts w:ascii="Arial" w:hAnsi="Arial" w:cs="Arial"/>
                <w:b/>
                <w:bCs/>
                <w:color w:val="000000"/>
                <w:sz w:val="20"/>
                <w:szCs w:val="20"/>
              </w:rPr>
            </w:pPr>
          </w:p>
        </w:tc>
        <w:tc>
          <w:tcPr>
            <w:tcW w:w="5748" w:type="dxa"/>
            <w:gridSpan w:val="6"/>
            <w:tcBorders>
              <w:top w:val="nil"/>
              <w:left w:val="nil"/>
              <w:bottom w:val="nil"/>
              <w:right w:val="single" w:sz="4" w:space="0" w:color="A6A6A6"/>
            </w:tcBorders>
            <w:shd w:val="clear" w:color="000000" w:fill="FCD5B4"/>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ekonomická veľkosť farmy 2.000 - 3.999 SO</w:t>
            </w:r>
          </w:p>
        </w:tc>
        <w:tc>
          <w:tcPr>
            <w:tcW w:w="863" w:type="dxa"/>
            <w:gridSpan w:val="2"/>
            <w:tcBorders>
              <w:top w:val="nil"/>
              <w:left w:val="nil"/>
              <w:bottom w:val="nil"/>
              <w:right w:val="single" w:sz="4" w:space="0" w:color="A6A6A6"/>
            </w:tcBorders>
            <w:shd w:val="clear" w:color="000000" w:fill="FCD5B4"/>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6 710,0</w:t>
            </w:r>
          </w:p>
        </w:tc>
        <w:tc>
          <w:tcPr>
            <w:tcW w:w="1674" w:type="dxa"/>
            <w:gridSpan w:val="2"/>
            <w:tcBorders>
              <w:top w:val="nil"/>
              <w:left w:val="nil"/>
              <w:bottom w:val="nil"/>
              <w:right w:val="single" w:sz="4" w:space="0" w:color="A6A6A6"/>
            </w:tcBorders>
            <w:shd w:val="clear" w:color="000000" w:fill="FCD5B4"/>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Počet</w:t>
            </w:r>
          </w:p>
        </w:tc>
        <w:tc>
          <w:tcPr>
            <w:tcW w:w="641" w:type="dxa"/>
            <w:gridSpan w:val="2"/>
            <w:tcBorders>
              <w:top w:val="nil"/>
              <w:left w:val="nil"/>
              <w:bottom w:val="nil"/>
              <w:right w:val="single" w:sz="4" w:space="0" w:color="A6A6A6"/>
            </w:tcBorders>
            <w:shd w:val="clear" w:color="000000" w:fill="FCD5B4"/>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2010</w:t>
            </w:r>
          </w:p>
        </w:tc>
        <w:tc>
          <w:tcPr>
            <w:tcW w:w="951" w:type="dxa"/>
            <w:tcBorders>
              <w:top w:val="nil"/>
              <w:left w:val="nil"/>
              <w:bottom w:val="nil"/>
              <w:right w:val="single" w:sz="8" w:space="0" w:color="E26B0A"/>
            </w:tcBorders>
            <w:shd w:val="clear" w:color="000000" w:fill="FCD5B4"/>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w:t>
            </w:r>
          </w:p>
        </w:tc>
      </w:tr>
      <w:tr w:rsidR="00A71A12" w:rsidRPr="00BB33FC" w:rsidTr="00A71A12">
        <w:trPr>
          <w:trHeight w:val="480"/>
        </w:trPr>
        <w:tc>
          <w:tcPr>
            <w:tcW w:w="387"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363" w:type="dxa"/>
            <w:vMerge/>
            <w:tcBorders>
              <w:top w:val="nil"/>
              <w:left w:val="single" w:sz="8" w:space="0" w:color="E26B0A"/>
              <w:bottom w:val="nil"/>
              <w:right w:val="nil"/>
            </w:tcBorders>
            <w:vAlign w:val="center"/>
            <w:hideMark/>
          </w:tcPr>
          <w:p w:rsidR="00A71A12" w:rsidRPr="00BB33FC" w:rsidRDefault="00A71A12" w:rsidP="00A71A12">
            <w:pPr>
              <w:rPr>
                <w:rFonts w:ascii="Arial" w:hAnsi="Arial" w:cs="Arial"/>
                <w:b/>
                <w:bCs/>
                <w:color w:val="000000"/>
                <w:sz w:val="20"/>
                <w:szCs w:val="20"/>
              </w:rPr>
            </w:pPr>
          </w:p>
        </w:tc>
        <w:tc>
          <w:tcPr>
            <w:tcW w:w="5748" w:type="dxa"/>
            <w:gridSpan w:val="6"/>
            <w:tcBorders>
              <w:top w:val="nil"/>
              <w:left w:val="nil"/>
              <w:bottom w:val="nil"/>
              <w:right w:val="single" w:sz="4" w:space="0" w:color="A6A6A6"/>
            </w:tcBorders>
            <w:shd w:val="clear" w:color="000000" w:fill="FCD5B4"/>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ekonomická veľkosť farmy 4.000 - 7.999 SO</w:t>
            </w:r>
          </w:p>
        </w:tc>
        <w:tc>
          <w:tcPr>
            <w:tcW w:w="863" w:type="dxa"/>
            <w:gridSpan w:val="2"/>
            <w:tcBorders>
              <w:top w:val="nil"/>
              <w:left w:val="nil"/>
              <w:bottom w:val="nil"/>
              <w:right w:val="single" w:sz="4" w:space="0" w:color="A6A6A6"/>
            </w:tcBorders>
            <w:shd w:val="clear" w:color="000000" w:fill="FCD5B4"/>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3 940,0</w:t>
            </w:r>
          </w:p>
        </w:tc>
        <w:tc>
          <w:tcPr>
            <w:tcW w:w="1674" w:type="dxa"/>
            <w:gridSpan w:val="2"/>
            <w:tcBorders>
              <w:top w:val="nil"/>
              <w:left w:val="nil"/>
              <w:bottom w:val="nil"/>
              <w:right w:val="single" w:sz="4" w:space="0" w:color="A6A6A6"/>
            </w:tcBorders>
            <w:shd w:val="clear" w:color="000000" w:fill="FCD5B4"/>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Počet</w:t>
            </w:r>
          </w:p>
        </w:tc>
        <w:tc>
          <w:tcPr>
            <w:tcW w:w="641" w:type="dxa"/>
            <w:gridSpan w:val="2"/>
            <w:tcBorders>
              <w:top w:val="nil"/>
              <w:left w:val="nil"/>
              <w:bottom w:val="nil"/>
              <w:right w:val="single" w:sz="4" w:space="0" w:color="A6A6A6"/>
            </w:tcBorders>
            <w:shd w:val="clear" w:color="000000" w:fill="FCD5B4"/>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2010</w:t>
            </w:r>
          </w:p>
        </w:tc>
        <w:tc>
          <w:tcPr>
            <w:tcW w:w="951" w:type="dxa"/>
            <w:tcBorders>
              <w:top w:val="nil"/>
              <w:left w:val="nil"/>
              <w:bottom w:val="nil"/>
              <w:right w:val="single" w:sz="8" w:space="0" w:color="E26B0A"/>
            </w:tcBorders>
            <w:shd w:val="clear" w:color="000000" w:fill="FCD5B4"/>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w:t>
            </w:r>
          </w:p>
        </w:tc>
      </w:tr>
      <w:tr w:rsidR="00A71A12" w:rsidRPr="00BB33FC" w:rsidTr="00A71A12">
        <w:trPr>
          <w:trHeight w:val="495"/>
        </w:trPr>
        <w:tc>
          <w:tcPr>
            <w:tcW w:w="387"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363" w:type="dxa"/>
            <w:vMerge/>
            <w:tcBorders>
              <w:top w:val="nil"/>
              <w:left w:val="single" w:sz="8" w:space="0" w:color="E26B0A"/>
              <w:bottom w:val="nil"/>
              <w:right w:val="nil"/>
            </w:tcBorders>
            <w:vAlign w:val="center"/>
            <w:hideMark/>
          </w:tcPr>
          <w:p w:rsidR="00A71A12" w:rsidRPr="00BB33FC" w:rsidRDefault="00A71A12" w:rsidP="00A71A12">
            <w:pPr>
              <w:rPr>
                <w:rFonts w:ascii="Arial" w:hAnsi="Arial" w:cs="Arial"/>
                <w:b/>
                <w:bCs/>
                <w:color w:val="000000"/>
                <w:sz w:val="20"/>
                <w:szCs w:val="20"/>
              </w:rPr>
            </w:pPr>
          </w:p>
        </w:tc>
        <w:tc>
          <w:tcPr>
            <w:tcW w:w="5748" w:type="dxa"/>
            <w:gridSpan w:val="6"/>
            <w:tcBorders>
              <w:top w:val="nil"/>
              <w:left w:val="nil"/>
              <w:bottom w:val="nil"/>
              <w:right w:val="single" w:sz="4" w:space="0" w:color="A6A6A6"/>
            </w:tcBorders>
            <w:shd w:val="clear" w:color="000000" w:fill="FCD5B4"/>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ekonomická veľkosť farmy 8.000 - 14.999 SO</w:t>
            </w:r>
          </w:p>
        </w:tc>
        <w:tc>
          <w:tcPr>
            <w:tcW w:w="863" w:type="dxa"/>
            <w:gridSpan w:val="2"/>
            <w:tcBorders>
              <w:top w:val="nil"/>
              <w:left w:val="nil"/>
              <w:bottom w:val="nil"/>
              <w:right w:val="single" w:sz="4" w:space="0" w:color="A6A6A6"/>
            </w:tcBorders>
            <w:shd w:val="clear" w:color="000000" w:fill="FCD5B4"/>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1 710,0</w:t>
            </w:r>
          </w:p>
        </w:tc>
        <w:tc>
          <w:tcPr>
            <w:tcW w:w="1674" w:type="dxa"/>
            <w:gridSpan w:val="2"/>
            <w:tcBorders>
              <w:top w:val="nil"/>
              <w:left w:val="nil"/>
              <w:bottom w:val="nil"/>
              <w:right w:val="single" w:sz="4" w:space="0" w:color="A6A6A6"/>
            </w:tcBorders>
            <w:shd w:val="clear" w:color="000000" w:fill="FCD5B4"/>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Počet</w:t>
            </w:r>
          </w:p>
        </w:tc>
        <w:tc>
          <w:tcPr>
            <w:tcW w:w="641" w:type="dxa"/>
            <w:gridSpan w:val="2"/>
            <w:tcBorders>
              <w:top w:val="nil"/>
              <w:left w:val="nil"/>
              <w:bottom w:val="nil"/>
              <w:right w:val="single" w:sz="4" w:space="0" w:color="A6A6A6"/>
            </w:tcBorders>
            <w:shd w:val="clear" w:color="000000" w:fill="FCD5B4"/>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2010</w:t>
            </w:r>
          </w:p>
        </w:tc>
        <w:tc>
          <w:tcPr>
            <w:tcW w:w="951" w:type="dxa"/>
            <w:tcBorders>
              <w:top w:val="nil"/>
              <w:left w:val="nil"/>
              <w:bottom w:val="nil"/>
              <w:right w:val="single" w:sz="8" w:space="0" w:color="E26B0A"/>
            </w:tcBorders>
            <w:shd w:val="clear" w:color="000000" w:fill="FCD5B4"/>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w:t>
            </w:r>
          </w:p>
        </w:tc>
      </w:tr>
      <w:tr w:rsidR="00A71A12" w:rsidRPr="00BB33FC" w:rsidTr="00A71A12">
        <w:trPr>
          <w:trHeight w:val="465"/>
        </w:trPr>
        <w:tc>
          <w:tcPr>
            <w:tcW w:w="387"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363" w:type="dxa"/>
            <w:vMerge/>
            <w:tcBorders>
              <w:top w:val="nil"/>
              <w:left w:val="single" w:sz="8" w:space="0" w:color="E26B0A"/>
              <w:bottom w:val="nil"/>
              <w:right w:val="nil"/>
            </w:tcBorders>
            <w:vAlign w:val="center"/>
            <w:hideMark/>
          </w:tcPr>
          <w:p w:rsidR="00A71A12" w:rsidRPr="00BB33FC" w:rsidRDefault="00A71A12" w:rsidP="00A71A12">
            <w:pPr>
              <w:rPr>
                <w:rFonts w:ascii="Arial" w:hAnsi="Arial" w:cs="Arial"/>
                <w:b/>
                <w:bCs/>
                <w:color w:val="000000"/>
                <w:sz w:val="20"/>
                <w:szCs w:val="20"/>
              </w:rPr>
            </w:pPr>
          </w:p>
        </w:tc>
        <w:tc>
          <w:tcPr>
            <w:tcW w:w="5748" w:type="dxa"/>
            <w:gridSpan w:val="6"/>
            <w:tcBorders>
              <w:top w:val="nil"/>
              <w:left w:val="nil"/>
              <w:bottom w:val="nil"/>
              <w:right w:val="single" w:sz="4" w:space="0" w:color="A6A6A6"/>
            </w:tcBorders>
            <w:shd w:val="clear" w:color="000000" w:fill="FCD5B4"/>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ekonomická veľkosť farmy 15.000 - 24.999 SO</w:t>
            </w:r>
          </w:p>
        </w:tc>
        <w:tc>
          <w:tcPr>
            <w:tcW w:w="863" w:type="dxa"/>
            <w:gridSpan w:val="2"/>
            <w:tcBorders>
              <w:top w:val="nil"/>
              <w:left w:val="nil"/>
              <w:bottom w:val="nil"/>
              <w:right w:val="single" w:sz="4" w:space="0" w:color="A6A6A6"/>
            </w:tcBorders>
            <w:shd w:val="clear" w:color="000000" w:fill="FCD5B4"/>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890,0</w:t>
            </w:r>
          </w:p>
        </w:tc>
        <w:tc>
          <w:tcPr>
            <w:tcW w:w="1674" w:type="dxa"/>
            <w:gridSpan w:val="2"/>
            <w:tcBorders>
              <w:top w:val="nil"/>
              <w:left w:val="nil"/>
              <w:bottom w:val="nil"/>
              <w:right w:val="single" w:sz="4" w:space="0" w:color="A6A6A6"/>
            </w:tcBorders>
            <w:shd w:val="clear" w:color="000000" w:fill="FCD5B4"/>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Počet</w:t>
            </w:r>
          </w:p>
        </w:tc>
        <w:tc>
          <w:tcPr>
            <w:tcW w:w="641" w:type="dxa"/>
            <w:gridSpan w:val="2"/>
            <w:tcBorders>
              <w:top w:val="nil"/>
              <w:left w:val="nil"/>
              <w:bottom w:val="nil"/>
              <w:right w:val="single" w:sz="4" w:space="0" w:color="A6A6A6"/>
            </w:tcBorders>
            <w:shd w:val="clear" w:color="000000" w:fill="FCD5B4"/>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2010</w:t>
            </w:r>
          </w:p>
        </w:tc>
        <w:tc>
          <w:tcPr>
            <w:tcW w:w="951" w:type="dxa"/>
            <w:tcBorders>
              <w:top w:val="nil"/>
              <w:left w:val="nil"/>
              <w:bottom w:val="nil"/>
              <w:right w:val="single" w:sz="8" w:space="0" w:color="E26B0A"/>
            </w:tcBorders>
            <w:shd w:val="clear" w:color="000000" w:fill="FCD5B4"/>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w:t>
            </w:r>
          </w:p>
        </w:tc>
      </w:tr>
      <w:tr w:rsidR="00A71A12" w:rsidRPr="00BB33FC" w:rsidTr="00A71A12">
        <w:trPr>
          <w:trHeight w:val="525"/>
        </w:trPr>
        <w:tc>
          <w:tcPr>
            <w:tcW w:w="387"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363" w:type="dxa"/>
            <w:vMerge/>
            <w:tcBorders>
              <w:top w:val="nil"/>
              <w:left w:val="single" w:sz="8" w:space="0" w:color="E26B0A"/>
              <w:bottom w:val="nil"/>
              <w:right w:val="nil"/>
            </w:tcBorders>
            <w:vAlign w:val="center"/>
            <w:hideMark/>
          </w:tcPr>
          <w:p w:rsidR="00A71A12" w:rsidRPr="00BB33FC" w:rsidRDefault="00A71A12" w:rsidP="00A71A12">
            <w:pPr>
              <w:rPr>
                <w:rFonts w:ascii="Arial" w:hAnsi="Arial" w:cs="Arial"/>
                <w:b/>
                <w:bCs/>
                <w:color w:val="000000"/>
                <w:sz w:val="20"/>
                <w:szCs w:val="20"/>
              </w:rPr>
            </w:pPr>
          </w:p>
        </w:tc>
        <w:tc>
          <w:tcPr>
            <w:tcW w:w="5748" w:type="dxa"/>
            <w:gridSpan w:val="6"/>
            <w:tcBorders>
              <w:top w:val="nil"/>
              <w:left w:val="nil"/>
              <w:bottom w:val="nil"/>
              <w:right w:val="single" w:sz="4" w:space="0" w:color="A6A6A6"/>
            </w:tcBorders>
            <w:shd w:val="clear" w:color="000000" w:fill="FCD5B4"/>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ekonomická veľkosť farmy 25.000 - 49.999 SO</w:t>
            </w:r>
          </w:p>
        </w:tc>
        <w:tc>
          <w:tcPr>
            <w:tcW w:w="863" w:type="dxa"/>
            <w:gridSpan w:val="2"/>
            <w:tcBorders>
              <w:top w:val="nil"/>
              <w:left w:val="nil"/>
              <w:bottom w:val="nil"/>
              <w:right w:val="single" w:sz="4" w:space="0" w:color="A6A6A6"/>
            </w:tcBorders>
            <w:shd w:val="clear" w:color="000000" w:fill="FCD5B4"/>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860,0</w:t>
            </w:r>
          </w:p>
        </w:tc>
        <w:tc>
          <w:tcPr>
            <w:tcW w:w="1674" w:type="dxa"/>
            <w:gridSpan w:val="2"/>
            <w:tcBorders>
              <w:top w:val="nil"/>
              <w:left w:val="nil"/>
              <w:bottom w:val="nil"/>
              <w:right w:val="single" w:sz="4" w:space="0" w:color="A6A6A6"/>
            </w:tcBorders>
            <w:shd w:val="clear" w:color="000000" w:fill="FCD5B4"/>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Počet</w:t>
            </w:r>
          </w:p>
        </w:tc>
        <w:tc>
          <w:tcPr>
            <w:tcW w:w="641" w:type="dxa"/>
            <w:gridSpan w:val="2"/>
            <w:tcBorders>
              <w:top w:val="nil"/>
              <w:left w:val="nil"/>
              <w:bottom w:val="nil"/>
              <w:right w:val="single" w:sz="4" w:space="0" w:color="A6A6A6"/>
            </w:tcBorders>
            <w:shd w:val="clear" w:color="000000" w:fill="FCD5B4"/>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2010</w:t>
            </w:r>
          </w:p>
        </w:tc>
        <w:tc>
          <w:tcPr>
            <w:tcW w:w="951" w:type="dxa"/>
            <w:tcBorders>
              <w:top w:val="nil"/>
              <w:left w:val="nil"/>
              <w:bottom w:val="nil"/>
              <w:right w:val="single" w:sz="8" w:space="0" w:color="E26B0A"/>
            </w:tcBorders>
            <w:shd w:val="clear" w:color="000000" w:fill="FCD5B4"/>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w:t>
            </w:r>
          </w:p>
        </w:tc>
      </w:tr>
      <w:tr w:rsidR="00A71A12" w:rsidRPr="00BB33FC" w:rsidTr="00A71A12">
        <w:trPr>
          <w:trHeight w:val="525"/>
        </w:trPr>
        <w:tc>
          <w:tcPr>
            <w:tcW w:w="387"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363" w:type="dxa"/>
            <w:vMerge/>
            <w:tcBorders>
              <w:top w:val="nil"/>
              <w:left w:val="single" w:sz="8" w:space="0" w:color="E26B0A"/>
              <w:bottom w:val="nil"/>
              <w:right w:val="nil"/>
            </w:tcBorders>
            <w:vAlign w:val="center"/>
            <w:hideMark/>
          </w:tcPr>
          <w:p w:rsidR="00A71A12" w:rsidRPr="00BB33FC" w:rsidRDefault="00A71A12" w:rsidP="00A71A12">
            <w:pPr>
              <w:rPr>
                <w:rFonts w:ascii="Arial" w:hAnsi="Arial" w:cs="Arial"/>
                <w:b/>
                <w:bCs/>
                <w:color w:val="000000"/>
                <w:sz w:val="20"/>
                <w:szCs w:val="20"/>
              </w:rPr>
            </w:pPr>
          </w:p>
        </w:tc>
        <w:tc>
          <w:tcPr>
            <w:tcW w:w="5748" w:type="dxa"/>
            <w:gridSpan w:val="6"/>
            <w:tcBorders>
              <w:top w:val="nil"/>
              <w:left w:val="nil"/>
              <w:bottom w:val="nil"/>
              <w:right w:val="single" w:sz="4" w:space="0" w:color="A6A6A6"/>
            </w:tcBorders>
            <w:shd w:val="clear" w:color="000000" w:fill="FCD5B4"/>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ekonomická veľkosť farmy 50.000 - 99.999 SO</w:t>
            </w:r>
          </w:p>
        </w:tc>
        <w:tc>
          <w:tcPr>
            <w:tcW w:w="863" w:type="dxa"/>
            <w:gridSpan w:val="2"/>
            <w:tcBorders>
              <w:top w:val="nil"/>
              <w:left w:val="nil"/>
              <w:bottom w:val="nil"/>
              <w:right w:val="single" w:sz="4" w:space="0" w:color="A6A6A6"/>
            </w:tcBorders>
            <w:shd w:val="clear" w:color="000000" w:fill="FCD5B4"/>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670,0</w:t>
            </w:r>
          </w:p>
        </w:tc>
        <w:tc>
          <w:tcPr>
            <w:tcW w:w="1674" w:type="dxa"/>
            <w:gridSpan w:val="2"/>
            <w:tcBorders>
              <w:top w:val="nil"/>
              <w:left w:val="nil"/>
              <w:bottom w:val="nil"/>
              <w:right w:val="single" w:sz="4" w:space="0" w:color="A6A6A6"/>
            </w:tcBorders>
            <w:shd w:val="clear" w:color="000000" w:fill="FCD5B4"/>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Počet</w:t>
            </w:r>
          </w:p>
        </w:tc>
        <w:tc>
          <w:tcPr>
            <w:tcW w:w="641" w:type="dxa"/>
            <w:gridSpan w:val="2"/>
            <w:tcBorders>
              <w:top w:val="nil"/>
              <w:left w:val="nil"/>
              <w:bottom w:val="nil"/>
              <w:right w:val="single" w:sz="4" w:space="0" w:color="A6A6A6"/>
            </w:tcBorders>
            <w:shd w:val="clear" w:color="000000" w:fill="FCD5B4"/>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2010</w:t>
            </w:r>
          </w:p>
        </w:tc>
        <w:tc>
          <w:tcPr>
            <w:tcW w:w="951" w:type="dxa"/>
            <w:tcBorders>
              <w:top w:val="nil"/>
              <w:left w:val="nil"/>
              <w:bottom w:val="nil"/>
              <w:right w:val="single" w:sz="8" w:space="0" w:color="E26B0A"/>
            </w:tcBorders>
            <w:shd w:val="clear" w:color="000000" w:fill="FCD5B4"/>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w:t>
            </w:r>
          </w:p>
        </w:tc>
      </w:tr>
      <w:tr w:rsidR="00A71A12" w:rsidRPr="00BB33FC" w:rsidTr="00A71A12">
        <w:trPr>
          <w:trHeight w:val="525"/>
        </w:trPr>
        <w:tc>
          <w:tcPr>
            <w:tcW w:w="387"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363" w:type="dxa"/>
            <w:vMerge/>
            <w:tcBorders>
              <w:top w:val="nil"/>
              <w:left w:val="single" w:sz="8" w:space="0" w:color="E26B0A"/>
              <w:bottom w:val="nil"/>
              <w:right w:val="nil"/>
            </w:tcBorders>
            <w:vAlign w:val="center"/>
            <w:hideMark/>
          </w:tcPr>
          <w:p w:rsidR="00A71A12" w:rsidRPr="00BB33FC" w:rsidRDefault="00A71A12" w:rsidP="00A71A12">
            <w:pPr>
              <w:rPr>
                <w:rFonts w:ascii="Arial" w:hAnsi="Arial" w:cs="Arial"/>
                <w:b/>
                <w:bCs/>
                <w:color w:val="000000"/>
                <w:sz w:val="20"/>
                <w:szCs w:val="20"/>
              </w:rPr>
            </w:pPr>
          </w:p>
        </w:tc>
        <w:tc>
          <w:tcPr>
            <w:tcW w:w="5748" w:type="dxa"/>
            <w:gridSpan w:val="6"/>
            <w:tcBorders>
              <w:top w:val="nil"/>
              <w:left w:val="nil"/>
              <w:bottom w:val="nil"/>
              <w:right w:val="single" w:sz="4" w:space="0" w:color="A6A6A6"/>
            </w:tcBorders>
            <w:shd w:val="clear" w:color="000000" w:fill="FCD5B4"/>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ekonomická veľkosť farmy 100.000 - 249.999 SO</w:t>
            </w:r>
          </w:p>
        </w:tc>
        <w:tc>
          <w:tcPr>
            <w:tcW w:w="863" w:type="dxa"/>
            <w:gridSpan w:val="2"/>
            <w:tcBorders>
              <w:top w:val="nil"/>
              <w:left w:val="nil"/>
              <w:bottom w:val="nil"/>
              <w:right w:val="single" w:sz="4" w:space="0" w:color="A6A6A6"/>
            </w:tcBorders>
            <w:shd w:val="clear" w:color="000000" w:fill="FCD5B4"/>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660,0</w:t>
            </w:r>
          </w:p>
        </w:tc>
        <w:tc>
          <w:tcPr>
            <w:tcW w:w="1674" w:type="dxa"/>
            <w:gridSpan w:val="2"/>
            <w:tcBorders>
              <w:top w:val="nil"/>
              <w:left w:val="nil"/>
              <w:bottom w:val="nil"/>
              <w:right w:val="single" w:sz="4" w:space="0" w:color="A6A6A6"/>
            </w:tcBorders>
            <w:shd w:val="clear" w:color="000000" w:fill="FCD5B4"/>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Počet</w:t>
            </w:r>
          </w:p>
        </w:tc>
        <w:tc>
          <w:tcPr>
            <w:tcW w:w="641" w:type="dxa"/>
            <w:gridSpan w:val="2"/>
            <w:tcBorders>
              <w:top w:val="nil"/>
              <w:left w:val="nil"/>
              <w:bottom w:val="nil"/>
              <w:right w:val="single" w:sz="4" w:space="0" w:color="A6A6A6"/>
            </w:tcBorders>
            <w:shd w:val="clear" w:color="000000" w:fill="FCD5B4"/>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2010</w:t>
            </w:r>
          </w:p>
        </w:tc>
        <w:tc>
          <w:tcPr>
            <w:tcW w:w="951" w:type="dxa"/>
            <w:tcBorders>
              <w:top w:val="nil"/>
              <w:left w:val="nil"/>
              <w:bottom w:val="nil"/>
              <w:right w:val="single" w:sz="8" w:space="0" w:color="E26B0A"/>
            </w:tcBorders>
            <w:shd w:val="clear" w:color="000000" w:fill="FCD5B4"/>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w:t>
            </w:r>
          </w:p>
        </w:tc>
      </w:tr>
      <w:tr w:rsidR="00A71A12" w:rsidRPr="00BB33FC" w:rsidTr="00A71A12">
        <w:trPr>
          <w:trHeight w:val="630"/>
        </w:trPr>
        <w:tc>
          <w:tcPr>
            <w:tcW w:w="387"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363" w:type="dxa"/>
            <w:vMerge/>
            <w:tcBorders>
              <w:top w:val="nil"/>
              <w:left w:val="single" w:sz="8" w:space="0" w:color="E26B0A"/>
              <w:bottom w:val="nil"/>
              <w:right w:val="nil"/>
            </w:tcBorders>
            <w:vAlign w:val="center"/>
            <w:hideMark/>
          </w:tcPr>
          <w:p w:rsidR="00A71A12" w:rsidRPr="00BB33FC" w:rsidRDefault="00A71A12" w:rsidP="00A71A12">
            <w:pPr>
              <w:rPr>
                <w:rFonts w:ascii="Arial" w:hAnsi="Arial" w:cs="Arial"/>
                <w:b/>
                <w:bCs/>
                <w:color w:val="000000"/>
                <w:sz w:val="20"/>
                <w:szCs w:val="20"/>
              </w:rPr>
            </w:pPr>
          </w:p>
        </w:tc>
        <w:tc>
          <w:tcPr>
            <w:tcW w:w="5748" w:type="dxa"/>
            <w:gridSpan w:val="6"/>
            <w:tcBorders>
              <w:top w:val="nil"/>
              <w:left w:val="nil"/>
              <w:bottom w:val="nil"/>
              <w:right w:val="single" w:sz="4" w:space="0" w:color="A6A6A6"/>
            </w:tcBorders>
            <w:shd w:val="clear" w:color="000000" w:fill="FCD5B4"/>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ekonomická veľkosť farmy  250.000 - 499.999 SO</w:t>
            </w:r>
          </w:p>
        </w:tc>
        <w:tc>
          <w:tcPr>
            <w:tcW w:w="863" w:type="dxa"/>
            <w:gridSpan w:val="2"/>
            <w:tcBorders>
              <w:top w:val="nil"/>
              <w:left w:val="nil"/>
              <w:bottom w:val="nil"/>
              <w:right w:val="single" w:sz="4" w:space="0" w:color="A6A6A6"/>
            </w:tcBorders>
            <w:shd w:val="clear" w:color="000000" w:fill="FCD5B4"/>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370,0</w:t>
            </w:r>
          </w:p>
        </w:tc>
        <w:tc>
          <w:tcPr>
            <w:tcW w:w="1674" w:type="dxa"/>
            <w:gridSpan w:val="2"/>
            <w:tcBorders>
              <w:top w:val="nil"/>
              <w:left w:val="nil"/>
              <w:bottom w:val="nil"/>
              <w:right w:val="single" w:sz="4" w:space="0" w:color="A6A6A6"/>
            </w:tcBorders>
            <w:shd w:val="clear" w:color="000000" w:fill="FCD5B4"/>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Počet</w:t>
            </w:r>
          </w:p>
        </w:tc>
        <w:tc>
          <w:tcPr>
            <w:tcW w:w="641" w:type="dxa"/>
            <w:gridSpan w:val="2"/>
            <w:tcBorders>
              <w:top w:val="nil"/>
              <w:left w:val="nil"/>
              <w:bottom w:val="nil"/>
              <w:right w:val="single" w:sz="4" w:space="0" w:color="A6A6A6"/>
            </w:tcBorders>
            <w:shd w:val="clear" w:color="000000" w:fill="FCD5B4"/>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2010</w:t>
            </w:r>
          </w:p>
        </w:tc>
        <w:tc>
          <w:tcPr>
            <w:tcW w:w="951" w:type="dxa"/>
            <w:tcBorders>
              <w:top w:val="nil"/>
              <w:left w:val="nil"/>
              <w:bottom w:val="nil"/>
              <w:right w:val="single" w:sz="8" w:space="0" w:color="E26B0A"/>
            </w:tcBorders>
            <w:shd w:val="clear" w:color="000000" w:fill="FCD5B4"/>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w:t>
            </w:r>
          </w:p>
        </w:tc>
      </w:tr>
      <w:tr w:rsidR="00A71A12" w:rsidRPr="00BB33FC" w:rsidTr="00A71A12">
        <w:trPr>
          <w:trHeight w:val="390"/>
        </w:trPr>
        <w:tc>
          <w:tcPr>
            <w:tcW w:w="387"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363" w:type="dxa"/>
            <w:vMerge/>
            <w:tcBorders>
              <w:top w:val="nil"/>
              <w:left w:val="single" w:sz="8" w:space="0" w:color="E26B0A"/>
              <w:bottom w:val="nil"/>
              <w:right w:val="nil"/>
            </w:tcBorders>
            <w:vAlign w:val="center"/>
            <w:hideMark/>
          </w:tcPr>
          <w:p w:rsidR="00A71A12" w:rsidRPr="00BB33FC" w:rsidRDefault="00A71A12" w:rsidP="00A71A12">
            <w:pPr>
              <w:rPr>
                <w:rFonts w:ascii="Arial" w:hAnsi="Arial" w:cs="Arial"/>
                <w:b/>
                <w:bCs/>
                <w:color w:val="000000"/>
                <w:sz w:val="20"/>
                <w:szCs w:val="20"/>
              </w:rPr>
            </w:pPr>
          </w:p>
        </w:tc>
        <w:tc>
          <w:tcPr>
            <w:tcW w:w="5748" w:type="dxa"/>
            <w:gridSpan w:val="6"/>
            <w:tcBorders>
              <w:top w:val="nil"/>
              <w:left w:val="nil"/>
              <w:bottom w:val="nil"/>
              <w:right w:val="single" w:sz="4" w:space="0" w:color="A6A6A6"/>
            </w:tcBorders>
            <w:shd w:val="clear" w:color="000000" w:fill="FCD5B4"/>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ekonomická veľkosť farmy &gt; 500.000 SO</w:t>
            </w:r>
          </w:p>
        </w:tc>
        <w:tc>
          <w:tcPr>
            <w:tcW w:w="863" w:type="dxa"/>
            <w:gridSpan w:val="2"/>
            <w:tcBorders>
              <w:top w:val="nil"/>
              <w:left w:val="nil"/>
              <w:bottom w:val="nil"/>
              <w:right w:val="single" w:sz="4" w:space="0" w:color="A6A6A6"/>
            </w:tcBorders>
            <w:shd w:val="clear" w:color="000000" w:fill="FCD5B4"/>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810,0</w:t>
            </w:r>
          </w:p>
        </w:tc>
        <w:tc>
          <w:tcPr>
            <w:tcW w:w="1674" w:type="dxa"/>
            <w:gridSpan w:val="2"/>
            <w:tcBorders>
              <w:top w:val="nil"/>
              <w:left w:val="nil"/>
              <w:bottom w:val="nil"/>
              <w:right w:val="single" w:sz="4" w:space="0" w:color="A6A6A6"/>
            </w:tcBorders>
            <w:shd w:val="clear" w:color="000000" w:fill="FCD5B4"/>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Počet</w:t>
            </w:r>
          </w:p>
        </w:tc>
        <w:tc>
          <w:tcPr>
            <w:tcW w:w="641" w:type="dxa"/>
            <w:gridSpan w:val="2"/>
            <w:tcBorders>
              <w:top w:val="nil"/>
              <w:left w:val="nil"/>
              <w:bottom w:val="nil"/>
              <w:right w:val="single" w:sz="4" w:space="0" w:color="A6A6A6"/>
            </w:tcBorders>
            <w:shd w:val="clear" w:color="000000" w:fill="FCD5B4"/>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2010</w:t>
            </w:r>
          </w:p>
        </w:tc>
        <w:tc>
          <w:tcPr>
            <w:tcW w:w="951" w:type="dxa"/>
            <w:tcBorders>
              <w:top w:val="nil"/>
              <w:left w:val="nil"/>
              <w:bottom w:val="nil"/>
              <w:right w:val="single" w:sz="8" w:space="0" w:color="E26B0A"/>
            </w:tcBorders>
            <w:shd w:val="clear" w:color="000000" w:fill="FCD5B4"/>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w:t>
            </w:r>
          </w:p>
        </w:tc>
      </w:tr>
      <w:tr w:rsidR="00A71A12" w:rsidRPr="00BB33FC" w:rsidTr="00A71A12">
        <w:trPr>
          <w:trHeight w:val="315"/>
        </w:trPr>
        <w:tc>
          <w:tcPr>
            <w:tcW w:w="387"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363" w:type="dxa"/>
            <w:vMerge/>
            <w:tcBorders>
              <w:top w:val="nil"/>
              <w:left w:val="single" w:sz="8" w:space="0" w:color="E26B0A"/>
              <w:bottom w:val="nil"/>
              <w:right w:val="nil"/>
            </w:tcBorders>
            <w:vAlign w:val="center"/>
            <w:hideMark/>
          </w:tcPr>
          <w:p w:rsidR="00A71A12" w:rsidRPr="00BB33FC" w:rsidRDefault="00A71A12" w:rsidP="00A71A12">
            <w:pPr>
              <w:rPr>
                <w:rFonts w:ascii="Arial" w:hAnsi="Arial" w:cs="Arial"/>
                <w:b/>
                <w:bCs/>
                <w:color w:val="000000"/>
                <w:sz w:val="20"/>
                <w:szCs w:val="20"/>
              </w:rPr>
            </w:pPr>
          </w:p>
        </w:tc>
        <w:tc>
          <w:tcPr>
            <w:tcW w:w="5748" w:type="dxa"/>
            <w:gridSpan w:val="6"/>
            <w:tcBorders>
              <w:top w:val="nil"/>
              <w:left w:val="nil"/>
              <w:bottom w:val="nil"/>
              <w:right w:val="single" w:sz="4" w:space="0" w:color="A6A6A6"/>
            </w:tcBorders>
            <w:shd w:val="clear" w:color="000000" w:fill="FDE9D9"/>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priemerná fyzická veľkosť</w:t>
            </w:r>
          </w:p>
        </w:tc>
        <w:tc>
          <w:tcPr>
            <w:tcW w:w="863" w:type="dxa"/>
            <w:gridSpan w:val="2"/>
            <w:tcBorders>
              <w:top w:val="nil"/>
              <w:left w:val="nil"/>
              <w:bottom w:val="nil"/>
              <w:right w:val="single" w:sz="4" w:space="0" w:color="A6A6A6"/>
            </w:tcBorders>
            <w:shd w:val="clear" w:color="000000" w:fill="FDE9D9"/>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77,5</w:t>
            </w:r>
          </w:p>
        </w:tc>
        <w:tc>
          <w:tcPr>
            <w:tcW w:w="1674" w:type="dxa"/>
            <w:gridSpan w:val="2"/>
            <w:tcBorders>
              <w:top w:val="nil"/>
              <w:left w:val="nil"/>
              <w:bottom w:val="nil"/>
              <w:right w:val="single" w:sz="4" w:space="0" w:color="A6A6A6"/>
            </w:tcBorders>
            <w:shd w:val="clear" w:color="000000" w:fill="FDE9D9"/>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ha UAA/ podnik</w:t>
            </w:r>
          </w:p>
        </w:tc>
        <w:tc>
          <w:tcPr>
            <w:tcW w:w="641" w:type="dxa"/>
            <w:gridSpan w:val="2"/>
            <w:tcBorders>
              <w:top w:val="nil"/>
              <w:left w:val="nil"/>
              <w:bottom w:val="nil"/>
              <w:right w:val="single" w:sz="4" w:space="0" w:color="A6A6A6"/>
            </w:tcBorders>
            <w:shd w:val="clear" w:color="000000" w:fill="FDE9D9"/>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2010</w:t>
            </w:r>
          </w:p>
        </w:tc>
        <w:tc>
          <w:tcPr>
            <w:tcW w:w="951" w:type="dxa"/>
            <w:tcBorders>
              <w:top w:val="nil"/>
              <w:left w:val="nil"/>
              <w:bottom w:val="nil"/>
              <w:right w:val="single" w:sz="8" w:space="0" w:color="E26B0A"/>
            </w:tcBorders>
            <w:shd w:val="clear" w:color="000000" w:fill="FDE9D9"/>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w:t>
            </w:r>
          </w:p>
        </w:tc>
      </w:tr>
      <w:tr w:rsidR="00A71A12" w:rsidRPr="00BB33FC" w:rsidTr="00A71A12">
        <w:trPr>
          <w:trHeight w:val="495"/>
        </w:trPr>
        <w:tc>
          <w:tcPr>
            <w:tcW w:w="387"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363" w:type="dxa"/>
            <w:vMerge/>
            <w:tcBorders>
              <w:top w:val="nil"/>
              <w:left w:val="single" w:sz="8" w:space="0" w:color="E26B0A"/>
              <w:bottom w:val="nil"/>
              <w:right w:val="nil"/>
            </w:tcBorders>
            <w:vAlign w:val="center"/>
            <w:hideMark/>
          </w:tcPr>
          <w:p w:rsidR="00A71A12" w:rsidRPr="00BB33FC" w:rsidRDefault="00A71A12" w:rsidP="00A71A12">
            <w:pPr>
              <w:rPr>
                <w:rFonts w:ascii="Arial" w:hAnsi="Arial" w:cs="Arial"/>
                <w:b/>
                <w:bCs/>
                <w:color w:val="000000"/>
                <w:sz w:val="20"/>
                <w:szCs w:val="20"/>
              </w:rPr>
            </w:pPr>
          </w:p>
        </w:tc>
        <w:tc>
          <w:tcPr>
            <w:tcW w:w="5748" w:type="dxa"/>
            <w:gridSpan w:val="6"/>
            <w:tcBorders>
              <w:top w:val="nil"/>
              <w:left w:val="nil"/>
              <w:bottom w:val="nil"/>
              <w:right w:val="single" w:sz="4" w:space="0" w:color="A6A6A6"/>
            </w:tcBorders>
            <w:shd w:val="clear" w:color="000000" w:fill="FCD5B4"/>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priemerná ekonomická veľkosť</w:t>
            </w:r>
          </w:p>
        </w:tc>
        <w:tc>
          <w:tcPr>
            <w:tcW w:w="863" w:type="dxa"/>
            <w:gridSpan w:val="2"/>
            <w:tcBorders>
              <w:top w:val="nil"/>
              <w:left w:val="nil"/>
              <w:bottom w:val="nil"/>
              <w:right w:val="single" w:sz="4" w:space="0" w:color="A6A6A6"/>
            </w:tcBorders>
            <w:shd w:val="clear" w:color="000000" w:fill="FCD5B4"/>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70 769,2</w:t>
            </w:r>
          </w:p>
        </w:tc>
        <w:tc>
          <w:tcPr>
            <w:tcW w:w="1674" w:type="dxa"/>
            <w:gridSpan w:val="2"/>
            <w:tcBorders>
              <w:top w:val="nil"/>
              <w:left w:val="nil"/>
              <w:bottom w:val="nil"/>
              <w:right w:val="single" w:sz="4" w:space="0" w:color="A6A6A6"/>
            </w:tcBorders>
            <w:shd w:val="clear" w:color="000000" w:fill="FCD5B4"/>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EUR z SO/ podnik</w:t>
            </w:r>
          </w:p>
        </w:tc>
        <w:tc>
          <w:tcPr>
            <w:tcW w:w="641" w:type="dxa"/>
            <w:gridSpan w:val="2"/>
            <w:tcBorders>
              <w:top w:val="nil"/>
              <w:left w:val="nil"/>
              <w:bottom w:val="nil"/>
              <w:right w:val="single" w:sz="4" w:space="0" w:color="A6A6A6"/>
            </w:tcBorders>
            <w:shd w:val="clear" w:color="000000" w:fill="FCD5B4"/>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2010</w:t>
            </w:r>
          </w:p>
        </w:tc>
        <w:tc>
          <w:tcPr>
            <w:tcW w:w="951" w:type="dxa"/>
            <w:tcBorders>
              <w:top w:val="nil"/>
              <w:left w:val="nil"/>
              <w:bottom w:val="nil"/>
              <w:right w:val="single" w:sz="8" w:space="0" w:color="E26B0A"/>
            </w:tcBorders>
            <w:shd w:val="clear" w:color="000000" w:fill="FCD5B4"/>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w:t>
            </w:r>
          </w:p>
        </w:tc>
      </w:tr>
      <w:tr w:rsidR="00A71A12" w:rsidRPr="00BB33FC" w:rsidTr="00A71A12">
        <w:trPr>
          <w:trHeight w:val="495"/>
        </w:trPr>
        <w:tc>
          <w:tcPr>
            <w:tcW w:w="387"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363" w:type="dxa"/>
            <w:vMerge/>
            <w:tcBorders>
              <w:top w:val="nil"/>
              <w:left w:val="single" w:sz="8" w:space="0" w:color="E26B0A"/>
              <w:bottom w:val="nil"/>
              <w:right w:val="nil"/>
            </w:tcBorders>
            <w:vAlign w:val="center"/>
            <w:hideMark/>
          </w:tcPr>
          <w:p w:rsidR="00A71A12" w:rsidRPr="00BB33FC" w:rsidRDefault="00A71A12" w:rsidP="00A71A12">
            <w:pPr>
              <w:rPr>
                <w:rFonts w:ascii="Arial" w:hAnsi="Arial" w:cs="Arial"/>
                <w:b/>
                <w:bCs/>
                <w:color w:val="000000"/>
                <w:sz w:val="20"/>
                <w:szCs w:val="20"/>
              </w:rPr>
            </w:pPr>
          </w:p>
        </w:tc>
        <w:tc>
          <w:tcPr>
            <w:tcW w:w="5748" w:type="dxa"/>
            <w:gridSpan w:val="6"/>
            <w:tcBorders>
              <w:top w:val="nil"/>
              <w:left w:val="nil"/>
              <w:bottom w:val="nil"/>
              <w:right w:val="single" w:sz="4" w:space="0" w:color="A6A6A6"/>
            </w:tcBorders>
            <w:shd w:val="clear" w:color="000000" w:fill="FDE9D9"/>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priemerná veľkosť prac. jednotiek (osôb)</w:t>
            </w:r>
          </w:p>
        </w:tc>
        <w:tc>
          <w:tcPr>
            <w:tcW w:w="863" w:type="dxa"/>
            <w:gridSpan w:val="2"/>
            <w:tcBorders>
              <w:top w:val="nil"/>
              <w:left w:val="nil"/>
              <w:bottom w:val="nil"/>
              <w:right w:val="single" w:sz="4" w:space="0" w:color="A6A6A6"/>
            </w:tcBorders>
            <w:shd w:val="clear" w:color="000000" w:fill="FDE9D9"/>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3,7</w:t>
            </w:r>
          </w:p>
        </w:tc>
        <w:tc>
          <w:tcPr>
            <w:tcW w:w="1674" w:type="dxa"/>
            <w:gridSpan w:val="2"/>
            <w:tcBorders>
              <w:top w:val="nil"/>
              <w:left w:val="nil"/>
              <w:bottom w:val="nil"/>
              <w:right w:val="single" w:sz="4" w:space="0" w:color="A6A6A6"/>
            </w:tcBorders>
            <w:shd w:val="clear" w:color="000000" w:fill="FDE9D9"/>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počet osôb/podnik</w:t>
            </w:r>
          </w:p>
        </w:tc>
        <w:tc>
          <w:tcPr>
            <w:tcW w:w="641" w:type="dxa"/>
            <w:gridSpan w:val="2"/>
            <w:tcBorders>
              <w:top w:val="nil"/>
              <w:left w:val="nil"/>
              <w:bottom w:val="nil"/>
              <w:right w:val="single" w:sz="4" w:space="0" w:color="A6A6A6"/>
            </w:tcBorders>
            <w:shd w:val="clear" w:color="000000" w:fill="FDE9D9"/>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2010</w:t>
            </w:r>
          </w:p>
        </w:tc>
        <w:tc>
          <w:tcPr>
            <w:tcW w:w="951" w:type="dxa"/>
            <w:tcBorders>
              <w:top w:val="nil"/>
              <w:left w:val="nil"/>
              <w:bottom w:val="nil"/>
              <w:right w:val="single" w:sz="8" w:space="0" w:color="E26B0A"/>
            </w:tcBorders>
            <w:shd w:val="clear" w:color="000000" w:fill="FDE9D9"/>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w:t>
            </w:r>
          </w:p>
        </w:tc>
      </w:tr>
      <w:tr w:rsidR="00A71A12" w:rsidRPr="00BB33FC" w:rsidTr="00A71A12">
        <w:trPr>
          <w:trHeight w:val="345"/>
        </w:trPr>
        <w:tc>
          <w:tcPr>
            <w:tcW w:w="387"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363" w:type="dxa"/>
            <w:vMerge/>
            <w:tcBorders>
              <w:top w:val="nil"/>
              <w:left w:val="single" w:sz="8" w:space="0" w:color="E26B0A"/>
              <w:bottom w:val="nil"/>
              <w:right w:val="nil"/>
            </w:tcBorders>
            <w:vAlign w:val="center"/>
            <w:hideMark/>
          </w:tcPr>
          <w:p w:rsidR="00A71A12" w:rsidRPr="00BB33FC" w:rsidRDefault="00A71A12" w:rsidP="00A71A12">
            <w:pPr>
              <w:rPr>
                <w:rFonts w:ascii="Arial" w:hAnsi="Arial" w:cs="Arial"/>
                <w:b/>
                <w:bCs/>
                <w:color w:val="000000"/>
                <w:sz w:val="20"/>
                <w:szCs w:val="20"/>
              </w:rPr>
            </w:pPr>
          </w:p>
        </w:tc>
        <w:tc>
          <w:tcPr>
            <w:tcW w:w="5748" w:type="dxa"/>
            <w:gridSpan w:val="6"/>
            <w:tcBorders>
              <w:top w:val="nil"/>
              <w:left w:val="nil"/>
              <w:bottom w:val="single" w:sz="8" w:space="0" w:color="E26B0A"/>
              <w:right w:val="single" w:sz="4" w:space="0" w:color="A6A6A6"/>
            </w:tcBorders>
            <w:shd w:val="clear" w:color="000000" w:fill="FCD5B4"/>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priemerná veľkosť prac. jednotiek (AWU)</w:t>
            </w:r>
          </w:p>
        </w:tc>
        <w:tc>
          <w:tcPr>
            <w:tcW w:w="863" w:type="dxa"/>
            <w:gridSpan w:val="2"/>
            <w:tcBorders>
              <w:top w:val="nil"/>
              <w:left w:val="nil"/>
              <w:bottom w:val="nil"/>
              <w:right w:val="single" w:sz="4" w:space="0" w:color="A6A6A6"/>
            </w:tcBorders>
            <w:shd w:val="clear" w:color="000000" w:fill="FCD5B4"/>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2,3</w:t>
            </w:r>
          </w:p>
        </w:tc>
        <w:tc>
          <w:tcPr>
            <w:tcW w:w="1674" w:type="dxa"/>
            <w:gridSpan w:val="2"/>
            <w:tcBorders>
              <w:top w:val="nil"/>
              <w:left w:val="nil"/>
              <w:bottom w:val="nil"/>
              <w:right w:val="single" w:sz="4" w:space="0" w:color="A6A6A6"/>
            </w:tcBorders>
            <w:shd w:val="clear" w:color="000000" w:fill="FCD5B4"/>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AWU/podnik</w:t>
            </w:r>
          </w:p>
        </w:tc>
        <w:tc>
          <w:tcPr>
            <w:tcW w:w="641" w:type="dxa"/>
            <w:gridSpan w:val="2"/>
            <w:tcBorders>
              <w:top w:val="nil"/>
              <w:left w:val="nil"/>
              <w:bottom w:val="nil"/>
              <w:right w:val="single" w:sz="4" w:space="0" w:color="A6A6A6"/>
            </w:tcBorders>
            <w:shd w:val="clear" w:color="000000" w:fill="FCD5B4"/>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2010</w:t>
            </w:r>
          </w:p>
        </w:tc>
        <w:tc>
          <w:tcPr>
            <w:tcW w:w="951" w:type="dxa"/>
            <w:tcBorders>
              <w:top w:val="nil"/>
              <w:left w:val="nil"/>
              <w:bottom w:val="nil"/>
              <w:right w:val="single" w:sz="8" w:space="0" w:color="E26B0A"/>
            </w:tcBorders>
            <w:shd w:val="clear" w:color="000000" w:fill="FCD5B4"/>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w:t>
            </w:r>
          </w:p>
        </w:tc>
      </w:tr>
      <w:tr w:rsidR="00A71A12" w:rsidRPr="00BB33FC" w:rsidTr="00A71A12">
        <w:trPr>
          <w:trHeight w:val="300"/>
        </w:trPr>
        <w:tc>
          <w:tcPr>
            <w:tcW w:w="387"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363" w:type="dxa"/>
            <w:vMerge w:val="restart"/>
            <w:tcBorders>
              <w:top w:val="single" w:sz="8" w:space="0" w:color="E26B0A"/>
              <w:left w:val="single" w:sz="8" w:space="0" w:color="E26B0A"/>
              <w:bottom w:val="single" w:sz="8" w:space="0" w:color="E26B0A"/>
              <w:right w:val="nil"/>
            </w:tcBorders>
            <w:shd w:val="clear" w:color="auto" w:fill="auto"/>
            <w:noWrap/>
            <w:hideMark/>
          </w:tcPr>
          <w:p w:rsidR="00A71A12" w:rsidRPr="00BB33FC" w:rsidRDefault="00A71A12" w:rsidP="00A71A12">
            <w:pPr>
              <w:rPr>
                <w:rFonts w:ascii="Arial" w:hAnsi="Arial" w:cs="Arial"/>
                <w:b/>
                <w:bCs/>
                <w:color w:val="000000"/>
                <w:sz w:val="20"/>
                <w:szCs w:val="20"/>
              </w:rPr>
            </w:pPr>
            <w:r w:rsidRPr="00BB33FC">
              <w:rPr>
                <w:rFonts w:ascii="Arial" w:hAnsi="Arial" w:cs="Arial"/>
                <w:b/>
                <w:bCs/>
                <w:color w:val="000000"/>
                <w:sz w:val="20"/>
                <w:szCs w:val="20"/>
              </w:rPr>
              <w:t>18</w:t>
            </w:r>
          </w:p>
        </w:tc>
        <w:tc>
          <w:tcPr>
            <w:tcW w:w="5748" w:type="dxa"/>
            <w:gridSpan w:val="6"/>
            <w:tcBorders>
              <w:top w:val="single" w:sz="8" w:space="0" w:color="E26B0A"/>
              <w:left w:val="nil"/>
              <w:bottom w:val="nil"/>
              <w:right w:val="nil"/>
            </w:tcBorders>
            <w:shd w:val="clear" w:color="auto" w:fill="auto"/>
            <w:noWrap/>
            <w:vAlign w:val="bottom"/>
            <w:hideMark/>
          </w:tcPr>
          <w:p w:rsidR="00A71A12" w:rsidRPr="00BB33FC" w:rsidRDefault="00A71A12" w:rsidP="00A71A12">
            <w:pPr>
              <w:rPr>
                <w:rFonts w:ascii="Arial" w:hAnsi="Arial" w:cs="Arial"/>
                <w:b/>
                <w:bCs/>
                <w:i/>
                <w:iCs/>
                <w:sz w:val="20"/>
                <w:szCs w:val="20"/>
              </w:rPr>
            </w:pPr>
            <w:r w:rsidRPr="00BB33FC">
              <w:rPr>
                <w:rFonts w:ascii="Arial" w:hAnsi="Arial" w:cs="Arial"/>
                <w:b/>
                <w:bCs/>
                <w:i/>
                <w:iCs/>
                <w:sz w:val="20"/>
                <w:szCs w:val="20"/>
              </w:rPr>
              <w:t>Poľnohospodárske oblasti</w:t>
            </w:r>
          </w:p>
        </w:tc>
        <w:tc>
          <w:tcPr>
            <w:tcW w:w="863" w:type="dxa"/>
            <w:gridSpan w:val="2"/>
            <w:tcBorders>
              <w:top w:val="single" w:sz="8" w:space="0" w:color="E26B0A"/>
              <w:left w:val="nil"/>
              <w:bottom w:val="nil"/>
              <w:right w:val="nil"/>
            </w:tcBorders>
            <w:shd w:val="clear" w:color="auto" w:fill="auto"/>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 </w:t>
            </w:r>
          </w:p>
        </w:tc>
        <w:tc>
          <w:tcPr>
            <w:tcW w:w="1674" w:type="dxa"/>
            <w:gridSpan w:val="2"/>
            <w:tcBorders>
              <w:top w:val="single" w:sz="8" w:space="0" w:color="E26B0A"/>
              <w:left w:val="nil"/>
              <w:bottom w:val="nil"/>
              <w:right w:val="nil"/>
            </w:tcBorders>
            <w:shd w:val="clear" w:color="auto" w:fill="auto"/>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 </w:t>
            </w:r>
          </w:p>
        </w:tc>
        <w:tc>
          <w:tcPr>
            <w:tcW w:w="641" w:type="dxa"/>
            <w:gridSpan w:val="2"/>
            <w:tcBorders>
              <w:top w:val="single" w:sz="8" w:space="0" w:color="E26B0A"/>
              <w:left w:val="nil"/>
              <w:bottom w:val="nil"/>
              <w:right w:val="nil"/>
            </w:tcBorders>
            <w:shd w:val="clear" w:color="auto" w:fill="auto"/>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 </w:t>
            </w:r>
          </w:p>
        </w:tc>
        <w:tc>
          <w:tcPr>
            <w:tcW w:w="951" w:type="dxa"/>
            <w:tcBorders>
              <w:top w:val="single" w:sz="8" w:space="0" w:color="E26B0A"/>
              <w:left w:val="nil"/>
              <w:bottom w:val="nil"/>
              <w:right w:val="single" w:sz="8" w:space="0" w:color="E26B0A"/>
            </w:tcBorders>
            <w:shd w:val="clear" w:color="auto" w:fill="auto"/>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 </w:t>
            </w:r>
          </w:p>
        </w:tc>
      </w:tr>
      <w:tr w:rsidR="00A71A12" w:rsidRPr="00BB33FC" w:rsidTr="00A71A12">
        <w:trPr>
          <w:trHeight w:val="300"/>
        </w:trPr>
        <w:tc>
          <w:tcPr>
            <w:tcW w:w="387"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363" w:type="dxa"/>
            <w:vMerge/>
            <w:tcBorders>
              <w:top w:val="single" w:sz="8" w:space="0" w:color="E26B0A"/>
              <w:left w:val="single" w:sz="8" w:space="0" w:color="E26B0A"/>
              <w:bottom w:val="single" w:sz="8" w:space="0" w:color="E26B0A"/>
              <w:right w:val="nil"/>
            </w:tcBorders>
            <w:vAlign w:val="center"/>
            <w:hideMark/>
          </w:tcPr>
          <w:p w:rsidR="00A71A12" w:rsidRPr="00BB33FC" w:rsidRDefault="00A71A12" w:rsidP="00A71A12">
            <w:pPr>
              <w:rPr>
                <w:rFonts w:ascii="Arial" w:hAnsi="Arial" w:cs="Arial"/>
                <w:b/>
                <w:bCs/>
                <w:color w:val="000000"/>
                <w:sz w:val="20"/>
                <w:szCs w:val="20"/>
              </w:rPr>
            </w:pPr>
          </w:p>
        </w:tc>
        <w:tc>
          <w:tcPr>
            <w:tcW w:w="5748" w:type="dxa"/>
            <w:gridSpan w:val="6"/>
            <w:tcBorders>
              <w:top w:val="single" w:sz="4" w:space="0" w:color="A6A6A6"/>
              <w:left w:val="nil"/>
              <w:bottom w:val="nil"/>
              <w:right w:val="single" w:sz="4" w:space="0" w:color="A6A6A6"/>
            </w:tcBorders>
            <w:shd w:val="clear" w:color="000000" w:fill="FCD5B4"/>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využitá poľn. pôda celkom (UAA)</w:t>
            </w:r>
          </w:p>
        </w:tc>
        <w:tc>
          <w:tcPr>
            <w:tcW w:w="863" w:type="dxa"/>
            <w:gridSpan w:val="2"/>
            <w:tcBorders>
              <w:top w:val="single" w:sz="4" w:space="0" w:color="A6A6A6"/>
              <w:left w:val="nil"/>
              <w:bottom w:val="nil"/>
              <w:right w:val="single" w:sz="4" w:space="0" w:color="A6A6A6"/>
            </w:tcBorders>
            <w:shd w:val="clear" w:color="000000" w:fill="FCD5B4"/>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1 895 500,0</w:t>
            </w:r>
          </w:p>
        </w:tc>
        <w:tc>
          <w:tcPr>
            <w:tcW w:w="1674" w:type="dxa"/>
            <w:gridSpan w:val="2"/>
            <w:tcBorders>
              <w:top w:val="single" w:sz="4" w:space="0" w:color="A6A6A6"/>
              <w:left w:val="nil"/>
              <w:bottom w:val="nil"/>
              <w:right w:val="single" w:sz="4" w:space="0" w:color="A6A6A6"/>
            </w:tcBorders>
            <w:shd w:val="clear" w:color="000000" w:fill="FCD5B4"/>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ha</w:t>
            </w:r>
          </w:p>
        </w:tc>
        <w:tc>
          <w:tcPr>
            <w:tcW w:w="641" w:type="dxa"/>
            <w:gridSpan w:val="2"/>
            <w:tcBorders>
              <w:top w:val="single" w:sz="4" w:space="0" w:color="A6A6A6"/>
              <w:left w:val="nil"/>
              <w:bottom w:val="nil"/>
              <w:right w:val="single" w:sz="4" w:space="0" w:color="A6A6A6"/>
            </w:tcBorders>
            <w:shd w:val="clear" w:color="000000" w:fill="FCD5B4"/>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2010</w:t>
            </w:r>
          </w:p>
        </w:tc>
        <w:tc>
          <w:tcPr>
            <w:tcW w:w="951" w:type="dxa"/>
            <w:tcBorders>
              <w:top w:val="single" w:sz="4" w:space="0" w:color="A6A6A6"/>
              <w:left w:val="nil"/>
              <w:bottom w:val="nil"/>
              <w:right w:val="single" w:sz="8" w:space="0" w:color="E26B0A"/>
            </w:tcBorders>
            <w:shd w:val="clear" w:color="000000" w:fill="FCD5B4"/>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w:t>
            </w:r>
          </w:p>
        </w:tc>
      </w:tr>
      <w:tr w:rsidR="00A71A12" w:rsidRPr="00BB33FC" w:rsidTr="00A71A12">
        <w:trPr>
          <w:trHeight w:val="495"/>
        </w:trPr>
        <w:tc>
          <w:tcPr>
            <w:tcW w:w="387"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363" w:type="dxa"/>
            <w:vMerge/>
            <w:tcBorders>
              <w:top w:val="single" w:sz="8" w:space="0" w:color="E26B0A"/>
              <w:left w:val="single" w:sz="8" w:space="0" w:color="E26B0A"/>
              <w:bottom w:val="single" w:sz="8" w:space="0" w:color="E26B0A"/>
              <w:right w:val="nil"/>
            </w:tcBorders>
            <w:vAlign w:val="center"/>
            <w:hideMark/>
          </w:tcPr>
          <w:p w:rsidR="00A71A12" w:rsidRPr="00BB33FC" w:rsidRDefault="00A71A12" w:rsidP="00A71A12">
            <w:pPr>
              <w:rPr>
                <w:rFonts w:ascii="Arial" w:hAnsi="Arial" w:cs="Arial"/>
                <w:b/>
                <w:bCs/>
                <w:color w:val="000000"/>
                <w:sz w:val="20"/>
                <w:szCs w:val="20"/>
              </w:rPr>
            </w:pPr>
          </w:p>
        </w:tc>
        <w:tc>
          <w:tcPr>
            <w:tcW w:w="4662" w:type="dxa"/>
            <w:gridSpan w:val="4"/>
            <w:tcBorders>
              <w:top w:val="nil"/>
              <w:left w:val="nil"/>
              <w:bottom w:val="nil"/>
              <w:right w:val="nil"/>
            </w:tcBorders>
            <w:shd w:val="clear" w:color="000000" w:fill="FDE9D9"/>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orná pôda</w:t>
            </w:r>
          </w:p>
        </w:tc>
        <w:tc>
          <w:tcPr>
            <w:tcW w:w="1086" w:type="dxa"/>
            <w:gridSpan w:val="2"/>
            <w:tcBorders>
              <w:top w:val="nil"/>
              <w:left w:val="nil"/>
              <w:bottom w:val="nil"/>
              <w:right w:val="single" w:sz="4" w:space="0" w:color="A6A6A6"/>
            </w:tcBorders>
            <w:shd w:val="clear" w:color="000000" w:fill="FDE9D9"/>
            <w:noWrap/>
            <w:vAlign w:val="bottom"/>
            <w:hideMark/>
          </w:tcPr>
          <w:p w:rsidR="00A71A12" w:rsidRPr="00BB33FC" w:rsidRDefault="00A71A12" w:rsidP="00A71A12">
            <w:pPr>
              <w:rPr>
                <w:rFonts w:ascii="Arial" w:hAnsi="Arial" w:cs="Arial"/>
                <w:sz w:val="20"/>
                <w:szCs w:val="20"/>
              </w:rPr>
            </w:pPr>
            <w:r w:rsidRPr="00BB33FC">
              <w:rPr>
                <w:rFonts w:ascii="Arial" w:hAnsi="Arial" w:cs="Arial"/>
                <w:sz w:val="20"/>
                <w:szCs w:val="20"/>
              </w:rPr>
              <w:t> </w:t>
            </w:r>
          </w:p>
        </w:tc>
        <w:tc>
          <w:tcPr>
            <w:tcW w:w="863" w:type="dxa"/>
            <w:gridSpan w:val="2"/>
            <w:tcBorders>
              <w:top w:val="nil"/>
              <w:left w:val="nil"/>
              <w:bottom w:val="nil"/>
              <w:right w:val="single" w:sz="4" w:space="0" w:color="A6A6A6"/>
            </w:tcBorders>
            <w:shd w:val="clear" w:color="000000" w:fill="FDE9D9"/>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70,9</w:t>
            </w:r>
          </w:p>
        </w:tc>
        <w:tc>
          <w:tcPr>
            <w:tcW w:w="1674" w:type="dxa"/>
            <w:gridSpan w:val="2"/>
            <w:tcBorders>
              <w:top w:val="nil"/>
              <w:left w:val="nil"/>
              <w:bottom w:val="nil"/>
              <w:right w:val="single" w:sz="4" w:space="0" w:color="A6A6A6"/>
            </w:tcBorders>
            <w:shd w:val="clear" w:color="000000" w:fill="FDE9D9"/>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 z celkovej UAA</w:t>
            </w:r>
          </w:p>
        </w:tc>
        <w:tc>
          <w:tcPr>
            <w:tcW w:w="641" w:type="dxa"/>
            <w:gridSpan w:val="2"/>
            <w:tcBorders>
              <w:top w:val="nil"/>
              <w:left w:val="nil"/>
              <w:bottom w:val="nil"/>
              <w:right w:val="single" w:sz="4" w:space="0" w:color="A6A6A6"/>
            </w:tcBorders>
            <w:shd w:val="clear" w:color="000000" w:fill="FDE9D9"/>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2010</w:t>
            </w:r>
          </w:p>
        </w:tc>
        <w:tc>
          <w:tcPr>
            <w:tcW w:w="951" w:type="dxa"/>
            <w:tcBorders>
              <w:top w:val="nil"/>
              <w:left w:val="nil"/>
              <w:bottom w:val="nil"/>
              <w:right w:val="single" w:sz="8" w:space="0" w:color="E26B0A"/>
            </w:tcBorders>
            <w:shd w:val="clear" w:color="000000" w:fill="FDE9D9"/>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w:t>
            </w:r>
          </w:p>
        </w:tc>
      </w:tr>
      <w:tr w:rsidR="00A71A12" w:rsidRPr="00BB33FC" w:rsidTr="00A71A12">
        <w:trPr>
          <w:trHeight w:val="495"/>
        </w:trPr>
        <w:tc>
          <w:tcPr>
            <w:tcW w:w="387"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363" w:type="dxa"/>
            <w:vMerge/>
            <w:tcBorders>
              <w:top w:val="single" w:sz="8" w:space="0" w:color="E26B0A"/>
              <w:left w:val="single" w:sz="8" w:space="0" w:color="E26B0A"/>
              <w:bottom w:val="single" w:sz="8" w:space="0" w:color="E26B0A"/>
              <w:right w:val="nil"/>
            </w:tcBorders>
            <w:vAlign w:val="center"/>
            <w:hideMark/>
          </w:tcPr>
          <w:p w:rsidR="00A71A12" w:rsidRPr="00BB33FC" w:rsidRDefault="00A71A12" w:rsidP="00A71A12">
            <w:pPr>
              <w:rPr>
                <w:rFonts w:ascii="Arial" w:hAnsi="Arial" w:cs="Arial"/>
                <w:b/>
                <w:bCs/>
                <w:color w:val="000000"/>
                <w:sz w:val="20"/>
                <w:szCs w:val="20"/>
              </w:rPr>
            </w:pPr>
          </w:p>
        </w:tc>
        <w:tc>
          <w:tcPr>
            <w:tcW w:w="4662" w:type="dxa"/>
            <w:gridSpan w:val="4"/>
            <w:tcBorders>
              <w:top w:val="nil"/>
              <w:left w:val="nil"/>
              <w:bottom w:val="nil"/>
              <w:right w:val="nil"/>
            </w:tcBorders>
            <w:shd w:val="clear" w:color="000000" w:fill="FDE9D9"/>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TTP a lúky</w:t>
            </w:r>
          </w:p>
        </w:tc>
        <w:tc>
          <w:tcPr>
            <w:tcW w:w="1086" w:type="dxa"/>
            <w:gridSpan w:val="2"/>
            <w:tcBorders>
              <w:top w:val="nil"/>
              <w:left w:val="nil"/>
              <w:bottom w:val="nil"/>
              <w:right w:val="single" w:sz="4" w:space="0" w:color="A6A6A6"/>
            </w:tcBorders>
            <w:shd w:val="clear" w:color="000000" w:fill="FDE9D9"/>
            <w:noWrap/>
            <w:vAlign w:val="bottom"/>
            <w:hideMark/>
          </w:tcPr>
          <w:p w:rsidR="00A71A12" w:rsidRPr="00BB33FC" w:rsidRDefault="00A71A12" w:rsidP="00A71A12">
            <w:pPr>
              <w:jc w:val="right"/>
              <w:rPr>
                <w:rFonts w:ascii="Arial" w:hAnsi="Arial" w:cs="Arial"/>
                <w:i/>
                <w:iCs/>
                <w:color w:val="E26B0A"/>
                <w:sz w:val="16"/>
                <w:szCs w:val="16"/>
              </w:rPr>
            </w:pPr>
            <w:r w:rsidRPr="00BB33FC">
              <w:rPr>
                <w:rFonts w:ascii="Arial" w:hAnsi="Arial" w:cs="Arial"/>
                <w:i/>
                <w:iCs/>
                <w:color w:val="E26B0A"/>
                <w:sz w:val="16"/>
                <w:szCs w:val="16"/>
              </w:rPr>
              <w:t> </w:t>
            </w:r>
          </w:p>
        </w:tc>
        <w:tc>
          <w:tcPr>
            <w:tcW w:w="863" w:type="dxa"/>
            <w:gridSpan w:val="2"/>
            <w:tcBorders>
              <w:top w:val="nil"/>
              <w:left w:val="nil"/>
              <w:bottom w:val="nil"/>
              <w:right w:val="single" w:sz="4" w:space="0" w:color="A6A6A6"/>
            </w:tcBorders>
            <w:shd w:val="clear" w:color="000000" w:fill="FDE9D9"/>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28,0</w:t>
            </w:r>
          </w:p>
        </w:tc>
        <w:tc>
          <w:tcPr>
            <w:tcW w:w="1674" w:type="dxa"/>
            <w:gridSpan w:val="2"/>
            <w:tcBorders>
              <w:top w:val="nil"/>
              <w:left w:val="nil"/>
              <w:bottom w:val="nil"/>
              <w:right w:val="single" w:sz="4" w:space="0" w:color="A6A6A6"/>
            </w:tcBorders>
            <w:shd w:val="clear" w:color="000000" w:fill="FDE9D9"/>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 z celkovej UAA</w:t>
            </w:r>
          </w:p>
        </w:tc>
        <w:tc>
          <w:tcPr>
            <w:tcW w:w="641" w:type="dxa"/>
            <w:gridSpan w:val="2"/>
            <w:tcBorders>
              <w:top w:val="nil"/>
              <w:left w:val="nil"/>
              <w:bottom w:val="nil"/>
              <w:right w:val="single" w:sz="4" w:space="0" w:color="A6A6A6"/>
            </w:tcBorders>
            <w:shd w:val="clear" w:color="000000" w:fill="FDE9D9"/>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2010</w:t>
            </w:r>
          </w:p>
        </w:tc>
        <w:tc>
          <w:tcPr>
            <w:tcW w:w="951" w:type="dxa"/>
            <w:tcBorders>
              <w:top w:val="nil"/>
              <w:left w:val="nil"/>
              <w:bottom w:val="nil"/>
              <w:right w:val="single" w:sz="8" w:space="0" w:color="E26B0A"/>
            </w:tcBorders>
            <w:shd w:val="clear" w:color="000000" w:fill="FDE9D9"/>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w:t>
            </w:r>
          </w:p>
        </w:tc>
      </w:tr>
      <w:tr w:rsidR="00A71A12" w:rsidRPr="00BB33FC" w:rsidTr="00A71A12">
        <w:trPr>
          <w:trHeight w:val="300"/>
        </w:trPr>
        <w:tc>
          <w:tcPr>
            <w:tcW w:w="387"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363" w:type="dxa"/>
            <w:vMerge/>
            <w:tcBorders>
              <w:top w:val="single" w:sz="8" w:space="0" w:color="E26B0A"/>
              <w:left w:val="single" w:sz="8" w:space="0" w:color="E26B0A"/>
              <w:bottom w:val="single" w:sz="8" w:space="0" w:color="E26B0A"/>
              <w:right w:val="nil"/>
            </w:tcBorders>
            <w:vAlign w:val="center"/>
            <w:hideMark/>
          </w:tcPr>
          <w:p w:rsidR="00A71A12" w:rsidRPr="00BB33FC" w:rsidRDefault="00A71A12" w:rsidP="00A71A12">
            <w:pPr>
              <w:rPr>
                <w:rFonts w:ascii="Arial" w:hAnsi="Arial" w:cs="Arial"/>
                <w:b/>
                <w:bCs/>
                <w:color w:val="000000"/>
                <w:sz w:val="20"/>
                <w:szCs w:val="20"/>
              </w:rPr>
            </w:pPr>
          </w:p>
        </w:tc>
        <w:tc>
          <w:tcPr>
            <w:tcW w:w="4662" w:type="dxa"/>
            <w:gridSpan w:val="4"/>
            <w:tcBorders>
              <w:top w:val="nil"/>
              <w:left w:val="nil"/>
              <w:bottom w:val="nil"/>
              <w:right w:val="nil"/>
            </w:tcBorders>
            <w:shd w:val="clear" w:color="000000" w:fill="FDE9D9"/>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 </w:t>
            </w:r>
          </w:p>
        </w:tc>
        <w:tc>
          <w:tcPr>
            <w:tcW w:w="1086" w:type="dxa"/>
            <w:gridSpan w:val="2"/>
            <w:tcBorders>
              <w:top w:val="nil"/>
              <w:left w:val="nil"/>
              <w:bottom w:val="nil"/>
              <w:right w:val="single" w:sz="4" w:space="0" w:color="A6A6A6"/>
            </w:tcBorders>
            <w:shd w:val="clear" w:color="000000" w:fill="FDE9D9"/>
            <w:noWrap/>
            <w:vAlign w:val="bottom"/>
            <w:hideMark/>
          </w:tcPr>
          <w:p w:rsidR="00A71A12" w:rsidRPr="00BB33FC" w:rsidRDefault="00A71A12" w:rsidP="00A71A12">
            <w:pPr>
              <w:jc w:val="right"/>
              <w:rPr>
                <w:rFonts w:ascii="Arial" w:hAnsi="Arial" w:cs="Arial"/>
                <w:i/>
                <w:iCs/>
                <w:color w:val="FF0000"/>
                <w:sz w:val="16"/>
                <w:szCs w:val="16"/>
              </w:rPr>
            </w:pPr>
            <w:r w:rsidRPr="00BB33FC">
              <w:rPr>
                <w:rFonts w:ascii="Arial" w:hAnsi="Arial" w:cs="Arial"/>
                <w:i/>
                <w:iCs/>
                <w:color w:val="FF0000"/>
                <w:sz w:val="16"/>
                <w:szCs w:val="16"/>
              </w:rPr>
              <w:t>check total %</w:t>
            </w:r>
          </w:p>
        </w:tc>
        <w:tc>
          <w:tcPr>
            <w:tcW w:w="863" w:type="dxa"/>
            <w:gridSpan w:val="2"/>
            <w:tcBorders>
              <w:top w:val="nil"/>
              <w:left w:val="nil"/>
              <w:bottom w:val="nil"/>
              <w:right w:val="single" w:sz="4" w:space="0" w:color="A6A6A6"/>
            </w:tcBorders>
            <w:shd w:val="clear" w:color="000000" w:fill="FDE9D9"/>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 </w:t>
            </w:r>
          </w:p>
        </w:tc>
        <w:tc>
          <w:tcPr>
            <w:tcW w:w="1674" w:type="dxa"/>
            <w:gridSpan w:val="2"/>
            <w:tcBorders>
              <w:top w:val="nil"/>
              <w:left w:val="nil"/>
              <w:bottom w:val="nil"/>
              <w:right w:val="single" w:sz="4" w:space="0" w:color="A6A6A6"/>
            </w:tcBorders>
            <w:shd w:val="clear" w:color="000000" w:fill="FDE9D9"/>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 </w:t>
            </w:r>
          </w:p>
        </w:tc>
        <w:tc>
          <w:tcPr>
            <w:tcW w:w="641" w:type="dxa"/>
            <w:gridSpan w:val="2"/>
            <w:tcBorders>
              <w:top w:val="nil"/>
              <w:left w:val="nil"/>
              <w:bottom w:val="nil"/>
              <w:right w:val="single" w:sz="4" w:space="0" w:color="A6A6A6"/>
            </w:tcBorders>
            <w:shd w:val="clear" w:color="000000" w:fill="FDE9D9"/>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 </w:t>
            </w:r>
          </w:p>
        </w:tc>
        <w:tc>
          <w:tcPr>
            <w:tcW w:w="951" w:type="dxa"/>
            <w:tcBorders>
              <w:top w:val="nil"/>
              <w:left w:val="nil"/>
              <w:bottom w:val="nil"/>
              <w:right w:val="single" w:sz="8" w:space="0" w:color="E26B0A"/>
            </w:tcBorders>
            <w:shd w:val="clear" w:color="000000" w:fill="FDE9D9"/>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 </w:t>
            </w:r>
          </w:p>
        </w:tc>
      </w:tr>
      <w:tr w:rsidR="00A71A12" w:rsidRPr="00BB33FC" w:rsidTr="00A71A12">
        <w:trPr>
          <w:trHeight w:val="540"/>
        </w:trPr>
        <w:tc>
          <w:tcPr>
            <w:tcW w:w="387"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363" w:type="dxa"/>
            <w:vMerge/>
            <w:tcBorders>
              <w:top w:val="single" w:sz="8" w:space="0" w:color="E26B0A"/>
              <w:left w:val="single" w:sz="8" w:space="0" w:color="E26B0A"/>
              <w:bottom w:val="single" w:sz="8" w:space="0" w:color="E26B0A"/>
              <w:right w:val="nil"/>
            </w:tcBorders>
            <w:vAlign w:val="center"/>
            <w:hideMark/>
          </w:tcPr>
          <w:p w:rsidR="00A71A12" w:rsidRPr="00BB33FC" w:rsidRDefault="00A71A12" w:rsidP="00A71A12">
            <w:pPr>
              <w:rPr>
                <w:rFonts w:ascii="Arial" w:hAnsi="Arial" w:cs="Arial"/>
                <w:b/>
                <w:bCs/>
                <w:color w:val="000000"/>
                <w:sz w:val="20"/>
                <w:szCs w:val="20"/>
              </w:rPr>
            </w:pPr>
          </w:p>
        </w:tc>
        <w:tc>
          <w:tcPr>
            <w:tcW w:w="4662" w:type="dxa"/>
            <w:gridSpan w:val="4"/>
            <w:tcBorders>
              <w:top w:val="nil"/>
              <w:left w:val="nil"/>
              <w:bottom w:val="single" w:sz="8" w:space="0" w:color="E26B0A"/>
              <w:right w:val="nil"/>
            </w:tcBorders>
            <w:shd w:val="clear" w:color="000000" w:fill="FDE9D9"/>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 xml:space="preserve"> trvalé kultúry</w:t>
            </w:r>
          </w:p>
        </w:tc>
        <w:tc>
          <w:tcPr>
            <w:tcW w:w="1086" w:type="dxa"/>
            <w:gridSpan w:val="2"/>
            <w:tcBorders>
              <w:top w:val="nil"/>
              <w:left w:val="nil"/>
              <w:bottom w:val="single" w:sz="8" w:space="0" w:color="E26B0A"/>
              <w:right w:val="single" w:sz="4" w:space="0" w:color="A6A6A6"/>
            </w:tcBorders>
            <w:shd w:val="clear" w:color="000000" w:fill="FDE9D9"/>
            <w:noWrap/>
            <w:vAlign w:val="bottom"/>
            <w:hideMark/>
          </w:tcPr>
          <w:p w:rsidR="00A71A12" w:rsidRPr="00BB33FC" w:rsidRDefault="00A71A12" w:rsidP="00A71A12">
            <w:pPr>
              <w:jc w:val="right"/>
              <w:rPr>
                <w:rFonts w:ascii="Arial" w:hAnsi="Arial" w:cs="Arial"/>
                <w:i/>
                <w:iCs/>
                <w:color w:val="E26B0A"/>
                <w:sz w:val="16"/>
                <w:szCs w:val="16"/>
              </w:rPr>
            </w:pPr>
            <w:r w:rsidRPr="00BB33FC">
              <w:rPr>
                <w:rFonts w:ascii="Arial" w:hAnsi="Arial" w:cs="Arial"/>
                <w:i/>
                <w:iCs/>
                <w:color w:val="E26B0A"/>
                <w:sz w:val="16"/>
                <w:szCs w:val="16"/>
              </w:rPr>
              <w:t>99,9</w:t>
            </w:r>
          </w:p>
        </w:tc>
        <w:tc>
          <w:tcPr>
            <w:tcW w:w="863" w:type="dxa"/>
            <w:gridSpan w:val="2"/>
            <w:tcBorders>
              <w:top w:val="nil"/>
              <w:left w:val="nil"/>
              <w:bottom w:val="single" w:sz="8" w:space="0" w:color="E26B0A"/>
              <w:right w:val="single" w:sz="4" w:space="0" w:color="A6A6A6"/>
            </w:tcBorders>
            <w:shd w:val="clear" w:color="000000" w:fill="FDE9D9"/>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1,0</w:t>
            </w:r>
          </w:p>
        </w:tc>
        <w:tc>
          <w:tcPr>
            <w:tcW w:w="1674" w:type="dxa"/>
            <w:gridSpan w:val="2"/>
            <w:tcBorders>
              <w:top w:val="nil"/>
              <w:left w:val="nil"/>
              <w:bottom w:val="single" w:sz="8" w:space="0" w:color="E26B0A"/>
              <w:right w:val="single" w:sz="4" w:space="0" w:color="A6A6A6"/>
            </w:tcBorders>
            <w:shd w:val="clear" w:color="000000" w:fill="FDE9D9"/>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 z celkovej UAA</w:t>
            </w:r>
          </w:p>
        </w:tc>
        <w:tc>
          <w:tcPr>
            <w:tcW w:w="641" w:type="dxa"/>
            <w:gridSpan w:val="2"/>
            <w:tcBorders>
              <w:top w:val="nil"/>
              <w:left w:val="nil"/>
              <w:bottom w:val="single" w:sz="8" w:space="0" w:color="E26B0A"/>
              <w:right w:val="single" w:sz="4" w:space="0" w:color="A6A6A6"/>
            </w:tcBorders>
            <w:shd w:val="clear" w:color="000000" w:fill="FDE9D9"/>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2010</w:t>
            </w:r>
          </w:p>
        </w:tc>
        <w:tc>
          <w:tcPr>
            <w:tcW w:w="951" w:type="dxa"/>
            <w:tcBorders>
              <w:top w:val="nil"/>
              <w:left w:val="nil"/>
              <w:bottom w:val="single" w:sz="8" w:space="0" w:color="E26B0A"/>
              <w:right w:val="single" w:sz="8" w:space="0" w:color="E26B0A"/>
            </w:tcBorders>
            <w:shd w:val="clear" w:color="000000" w:fill="FDE9D9"/>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w:t>
            </w:r>
          </w:p>
        </w:tc>
      </w:tr>
      <w:tr w:rsidR="00A71A12" w:rsidRPr="00BB33FC" w:rsidTr="00A71A12">
        <w:trPr>
          <w:trHeight w:val="300"/>
        </w:trPr>
        <w:tc>
          <w:tcPr>
            <w:tcW w:w="387"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363" w:type="dxa"/>
            <w:vMerge w:val="restart"/>
            <w:tcBorders>
              <w:top w:val="nil"/>
              <w:left w:val="single" w:sz="8" w:space="0" w:color="E26B0A"/>
              <w:bottom w:val="single" w:sz="8" w:space="0" w:color="E26B0A"/>
              <w:right w:val="nil"/>
            </w:tcBorders>
            <w:shd w:val="clear" w:color="auto" w:fill="auto"/>
            <w:noWrap/>
            <w:hideMark/>
          </w:tcPr>
          <w:p w:rsidR="00A71A12" w:rsidRPr="00BB33FC" w:rsidRDefault="00A71A12" w:rsidP="00A71A12">
            <w:pPr>
              <w:rPr>
                <w:rFonts w:ascii="Arial" w:hAnsi="Arial" w:cs="Arial"/>
                <w:b/>
                <w:bCs/>
                <w:color w:val="000000"/>
                <w:sz w:val="20"/>
                <w:szCs w:val="20"/>
              </w:rPr>
            </w:pPr>
            <w:r w:rsidRPr="00BB33FC">
              <w:rPr>
                <w:rFonts w:ascii="Arial" w:hAnsi="Arial" w:cs="Arial"/>
                <w:b/>
                <w:bCs/>
                <w:color w:val="000000"/>
                <w:sz w:val="20"/>
                <w:szCs w:val="20"/>
              </w:rPr>
              <w:t>19</w:t>
            </w:r>
          </w:p>
        </w:tc>
        <w:tc>
          <w:tcPr>
            <w:tcW w:w="6611" w:type="dxa"/>
            <w:gridSpan w:val="8"/>
            <w:tcBorders>
              <w:top w:val="single" w:sz="8" w:space="0" w:color="E26B0A"/>
              <w:left w:val="nil"/>
              <w:bottom w:val="nil"/>
              <w:right w:val="single" w:sz="4" w:space="0" w:color="A6A6A6"/>
            </w:tcBorders>
            <w:shd w:val="clear" w:color="auto" w:fill="auto"/>
            <w:noWrap/>
            <w:hideMark/>
          </w:tcPr>
          <w:p w:rsidR="00A71A12" w:rsidRPr="00BB33FC" w:rsidRDefault="00A71A12" w:rsidP="00A71A12">
            <w:pPr>
              <w:rPr>
                <w:rFonts w:ascii="Arial" w:hAnsi="Arial" w:cs="Arial"/>
                <w:b/>
                <w:bCs/>
                <w:i/>
                <w:iCs/>
                <w:sz w:val="20"/>
                <w:szCs w:val="20"/>
              </w:rPr>
            </w:pPr>
            <w:r w:rsidRPr="00BB33FC">
              <w:rPr>
                <w:rFonts w:ascii="Arial" w:hAnsi="Arial" w:cs="Arial"/>
                <w:b/>
                <w:bCs/>
                <w:i/>
                <w:iCs/>
                <w:sz w:val="20"/>
                <w:szCs w:val="20"/>
              </w:rPr>
              <w:t>Poľnoh. oblasti v rámci ekolog. poľn. výroby</w:t>
            </w:r>
          </w:p>
        </w:tc>
        <w:tc>
          <w:tcPr>
            <w:tcW w:w="1674" w:type="dxa"/>
            <w:gridSpan w:val="2"/>
            <w:tcBorders>
              <w:top w:val="nil"/>
              <w:left w:val="nil"/>
              <w:bottom w:val="nil"/>
              <w:right w:val="single" w:sz="4" w:space="0" w:color="A6A6A6"/>
            </w:tcBorders>
            <w:shd w:val="clear" w:color="auto" w:fill="auto"/>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 </w:t>
            </w:r>
          </w:p>
        </w:tc>
        <w:tc>
          <w:tcPr>
            <w:tcW w:w="641" w:type="dxa"/>
            <w:gridSpan w:val="2"/>
            <w:tcBorders>
              <w:top w:val="nil"/>
              <w:left w:val="nil"/>
              <w:bottom w:val="nil"/>
              <w:right w:val="single" w:sz="4" w:space="0" w:color="A6A6A6"/>
            </w:tcBorders>
            <w:shd w:val="clear" w:color="auto" w:fill="auto"/>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 </w:t>
            </w:r>
          </w:p>
        </w:tc>
        <w:tc>
          <w:tcPr>
            <w:tcW w:w="951" w:type="dxa"/>
            <w:tcBorders>
              <w:top w:val="nil"/>
              <w:left w:val="nil"/>
              <w:bottom w:val="nil"/>
              <w:right w:val="single" w:sz="8" w:space="0" w:color="E26B0A"/>
            </w:tcBorders>
            <w:shd w:val="clear" w:color="auto" w:fill="auto"/>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 </w:t>
            </w:r>
          </w:p>
        </w:tc>
      </w:tr>
      <w:tr w:rsidR="00A71A12" w:rsidRPr="00BB33FC" w:rsidTr="00A71A12">
        <w:trPr>
          <w:trHeight w:val="300"/>
        </w:trPr>
        <w:tc>
          <w:tcPr>
            <w:tcW w:w="387"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363" w:type="dxa"/>
            <w:vMerge/>
            <w:tcBorders>
              <w:top w:val="nil"/>
              <w:left w:val="single" w:sz="8" w:space="0" w:color="E26B0A"/>
              <w:bottom w:val="single" w:sz="8" w:space="0" w:color="E26B0A"/>
              <w:right w:val="nil"/>
            </w:tcBorders>
            <w:vAlign w:val="center"/>
            <w:hideMark/>
          </w:tcPr>
          <w:p w:rsidR="00A71A12" w:rsidRPr="00BB33FC" w:rsidRDefault="00A71A12" w:rsidP="00A71A12">
            <w:pPr>
              <w:rPr>
                <w:rFonts w:ascii="Arial" w:hAnsi="Arial" w:cs="Arial"/>
                <w:b/>
                <w:bCs/>
                <w:color w:val="000000"/>
                <w:sz w:val="20"/>
                <w:szCs w:val="20"/>
              </w:rPr>
            </w:pPr>
          </w:p>
        </w:tc>
        <w:tc>
          <w:tcPr>
            <w:tcW w:w="4662" w:type="dxa"/>
            <w:gridSpan w:val="4"/>
            <w:tcBorders>
              <w:top w:val="single" w:sz="4" w:space="0" w:color="A6A6A6"/>
              <w:left w:val="nil"/>
              <w:bottom w:val="nil"/>
              <w:right w:val="nil"/>
            </w:tcBorders>
            <w:shd w:val="clear" w:color="000000" w:fill="FDE9D9"/>
            <w:noWrap/>
            <w:hideMark/>
          </w:tcPr>
          <w:p w:rsidR="00A71A12" w:rsidRPr="00BB33FC" w:rsidRDefault="00A71A12" w:rsidP="00A71A12">
            <w:pPr>
              <w:rPr>
                <w:rFonts w:ascii="Arial" w:hAnsi="Arial" w:cs="Arial"/>
                <w:sz w:val="18"/>
                <w:szCs w:val="18"/>
              </w:rPr>
            </w:pPr>
            <w:r w:rsidRPr="00BB33FC">
              <w:rPr>
                <w:rFonts w:ascii="Arial" w:hAnsi="Arial" w:cs="Arial"/>
                <w:sz w:val="18"/>
                <w:szCs w:val="18"/>
              </w:rPr>
              <w:t>certifikované</w:t>
            </w:r>
          </w:p>
        </w:tc>
        <w:tc>
          <w:tcPr>
            <w:tcW w:w="1086" w:type="dxa"/>
            <w:gridSpan w:val="2"/>
            <w:tcBorders>
              <w:top w:val="single" w:sz="4" w:space="0" w:color="A6A6A6"/>
              <w:left w:val="nil"/>
              <w:bottom w:val="nil"/>
              <w:right w:val="single" w:sz="4" w:space="0" w:color="A6A6A6"/>
            </w:tcBorders>
            <w:shd w:val="clear" w:color="000000" w:fill="FDE9D9"/>
            <w:noWrap/>
            <w:hideMark/>
          </w:tcPr>
          <w:p w:rsidR="00A71A12" w:rsidRPr="00BB33FC" w:rsidRDefault="00A71A12" w:rsidP="00A71A12">
            <w:pPr>
              <w:rPr>
                <w:rFonts w:ascii="Arial" w:hAnsi="Arial" w:cs="Arial"/>
                <w:sz w:val="20"/>
                <w:szCs w:val="20"/>
              </w:rPr>
            </w:pPr>
            <w:r w:rsidRPr="00BB33FC">
              <w:rPr>
                <w:rFonts w:ascii="Arial" w:hAnsi="Arial" w:cs="Arial"/>
                <w:sz w:val="20"/>
                <w:szCs w:val="20"/>
              </w:rPr>
              <w:t> </w:t>
            </w:r>
          </w:p>
        </w:tc>
        <w:tc>
          <w:tcPr>
            <w:tcW w:w="863" w:type="dxa"/>
            <w:gridSpan w:val="2"/>
            <w:tcBorders>
              <w:top w:val="single" w:sz="4" w:space="0" w:color="A6A6A6"/>
              <w:left w:val="nil"/>
              <w:bottom w:val="nil"/>
              <w:right w:val="single" w:sz="4" w:space="0" w:color="A6A6A6"/>
            </w:tcBorders>
            <w:shd w:val="clear" w:color="000000" w:fill="FDE9D9"/>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119 600,0</w:t>
            </w:r>
          </w:p>
        </w:tc>
        <w:tc>
          <w:tcPr>
            <w:tcW w:w="1674" w:type="dxa"/>
            <w:gridSpan w:val="2"/>
            <w:tcBorders>
              <w:top w:val="single" w:sz="4" w:space="0" w:color="A6A6A6"/>
              <w:left w:val="nil"/>
              <w:bottom w:val="nil"/>
              <w:right w:val="single" w:sz="4" w:space="0" w:color="A6A6A6"/>
            </w:tcBorders>
            <w:shd w:val="clear" w:color="000000" w:fill="FDE9D9"/>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ha UAA</w:t>
            </w:r>
          </w:p>
        </w:tc>
        <w:tc>
          <w:tcPr>
            <w:tcW w:w="641" w:type="dxa"/>
            <w:gridSpan w:val="2"/>
            <w:tcBorders>
              <w:top w:val="single" w:sz="4" w:space="0" w:color="A6A6A6"/>
              <w:left w:val="nil"/>
              <w:bottom w:val="nil"/>
              <w:right w:val="single" w:sz="4" w:space="0" w:color="A6A6A6"/>
            </w:tcBorders>
            <w:shd w:val="clear" w:color="000000" w:fill="FDE9D9"/>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2010</w:t>
            </w:r>
          </w:p>
        </w:tc>
        <w:tc>
          <w:tcPr>
            <w:tcW w:w="951" w:type="dxa"/>
            <w:tcBorders>
              <w:top w:val="single" w:sz="4" w:space="0" w:color="A6A6A6"/>
              <w:left w:val="nil"/>
              <w:bottom w:val="nil"/>
              <w:right w:val="single" w:sz="8" w:space="0" w:color="E26B0A"/>
            </w:tcBorders>
            <w:shd w:val="clear" w:color="000000" w:fill="FDE9D9"/>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w:t>
            </w:r>
          </w:p>
        </w:tc>
      </w:tr>
      <w:tr w:rsidR="00A71A12" w:rsidRPr="00BB33FC" w:rsidTr="00A71A12">
        <w:trPr>
          <w:trHeight w:val="300"/>
        </w:trPr>
        <w:tc>
          <w:tcPr>
            <w:tcW w:w="387"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363" w:type="dxa"/>
            <w:vMerge/>
            <w:tcBorders>
              <w:top w:val="nil"/>
              <w:left w:val="single" w:sz="8" w:space="0" w:color="E26B0A"/>
              <w:bottom w:val="single" w:sz="8" w:space="0" w:color="E26B0A"/>
              <w:right w:val="nil"/>
            </w:tcBorders>
            <w:vAlign w:val="center"/>
            <w:hideMark/>
          </w:tcPr>
          <w:p w:rsidR="00A71A12" w:rsidRPr="00BB33FC" w:rsidRDefault="00A71A12" w:rsidP="00A71A12">
            <w:pPr>
              <w:rPr>
                <w:rFonts w:ascii="Arial" w:hAnsi="Arial" w:cs="Arial"/>
                <w:b/>
                <w:bCs/>
                <w:color w:val="000000"/>
                <w:sz w:val="20"/>
                <w:szCs w:val="20"/>
              </w:rPr>
            </w:pPr>
          </w:p>
        </w:tc>
        <w:tc>
          <w:tcPr>
            <w:tcW w:w="4662" w:type="dxa"/>
            <w:gridSpan w:val="4"/>
            <w:tcBorders>
              <w:top w:val="nil"/>
              <w:left w:val="nil"/>
              <w:bottom w:val="nil"/>
              <w:right w:val="nil"/>
            </w:tcBorders>
            <w:shd w:val="clear" w:color="000000" w:fill="FCD5B4"/>
            <w:noWrap/>
            <w:hideMark/>
          </w:tcPr>
          <w:p w:rsidR="00A71A12" w:rsidRPr="00BB33FC" w:rsidRDefault="00A71A12" w:rsidP="00A71A12">
            <w:pPr>
              <w:rPr>
                <w:rFonts w:ascii="Arial" w:hAnsi="Arial" w:cs="Arial"/>
                <w:sz w:val="18"/>
                <w:szCs w:val="18"/>
              </w:rPr>
            </w:pPr>
            <w:r w:rsidRPr="00BB33FC">
              <w:rPr>
                <w:rFonts w:ascii="Arial" w:hAnsi="Arial" w:cs="Arial"/>
                <w:sz w:val="18"/>
                <w:szCs w:val="18"/>
              </w:rPr>
              <w:t>v konverzii</w:t>
            </w:r>
          </w:p>
        </w:tc>
        <w:tc>
          <w:tcPr>
            <w:tcW w:w="1086" w:type="dxa"/>
            <w:gridSpan w:val="2"/>
            <w:tcBorders>
              <w:top w:val="nil"/>
              <w:left w:val="nil"/>
              <w:bottom w:val="nil"/>
              <w:right w:val="single" w:sz="4" w:space="0" w:color="A6A6A6"/>
            </w:tcBorders>
            <w:shd w:val="clear" w:color="000000" w:fill="FCD5B4"/>
            <w:noWrap/>
            <w:hideMark/>
          </w:tcPr>
          <w:p w:rsidR="00A71A12" w:rsidRPr="00BB33FC" w:rsidRDefault="00A71A12" w:rsidP="00A71A12">
            <w:pPr>
              <w:rPr>
                <w:rFonts w:ascii="Arial" w:hAnsi="Arial" w:cs="Arial"/>
                <w:sz w:val="20"/>
                <w:szCs w:val="20"/>
              </w:rPr>
            </w:pPr>
            <w:r w:rsidRPr="00BB33FC">
              <w:rPr>
                <w:rFonts w:ascii="Arial" w:hAnsi="Arial" w:cs="Arial"/>
                <w:sz w:val="20"/>
                <w:szCs w:val="20"/>
              </w:rPr>
              <w:t> </w:t>
            </w:r>
          </w:p>
        </w:tc>
        <w:tc>
          <w:tcPr>
            <w:tcW w:w="863" w:type="dxa"/>
            <w:gridSpan w:val="2"/>
            <w:tcBorders>
              <w:top w:val="nil"/>
              <w:left w:val="nil"/>
              <w:bottom w:val="nil"/>
              <w:right w:val="single" w:sz="4" w:space="0" w:color="A6A6A6"/>
            </w:tcBorders>
            <w:shd w:val="clear" w:color="000000" w:fill="FCD5B4"/>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61 660,0</w:t>
            </w:r>
          </w:p>
        </w:tc>
        <w:tc>
          <w:tcPr>
            <w:tcW w:w="1674" w:type="dxa"/>
            <w:gridSpan w:val="2"/>
            <w:tcBorders>
              <w:top w:val="nil"/>
              <w:left w:val="nil"/>
              <w:bottom w:val="nil"/>
              <w:right w:val="single" w:sz="4" w:space="0" w:color="A6A6A6"/>
            </w:tcBorders>
            <w:shd w:val="clear" w:color="000000" w:fill="FCD5B4"/>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ha UAA</w:t>
            </w:r>
          </w:p>
        </w:tc>
        <w:tc>
          <w:tcPr>
            <w:tcW w:w="641" w:type="dxa"/>
            <w:gridSpan w:val="2"/>
            <w:tcBorders>
              <w:top w:val="nil"/>
              <w:left w:val="nil"/>
              <w:bottom w:val="nil"/>
              <w:right w:val="single" w:sz="4" w:space="0" w:color="A6A6A6"/>
            </w:tcBorders>
            <w:shd w:val="clear" w:color="000000" w:fill="FCD5B4"/>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2010</w:t>
            </w:r>
          </w:p>
        </w:tc>
        <w:tc>
          <w:tcPr>
            <w:tcW w:w="951" w:type="dxa"/>
            <w:tcBorders>
              <w:top w:val="nil"/>
              <w:left w:val="nil"/>
              <w:bottom w:val="nil"/>
              <w:right w:val="single" w:sz="8" w:space="0" w:color="E26B0A"/>
            </w:tcBorders>
            <w:shd w:val="clear" w:color="000000" w:fill="FCD5B4"/>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w:t>
            </w:r>
          </w:p>
        </w:tc>
      </w:tr>
      <w:tr w:rsidR="00A71A12" w:rsidRPr="00BB33FC" w:rsidTr="00A71A12">
        <w:trPr>
          <w:trHeight w:val="630"/>
        </w:trPr>
        <w:tc>
          <w:tcPr>
            <w:tcW w:w="387"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363" w:type="dxa"/>
            <w:vMerge/>
            <w:tcBorders>
              <w:top w:val="nil"/>
              <w:left w:val="single" w:sz="8" w:space="0" w:color="E26B0A"/>
              <w:bottom w:val="single" w:sz="8" w:space="0" w:color="E26B0A"/>
              <w:right w:val="nil"/>
            </w:tcBorders>
            <w:vAlign w:val="center"/>
            <w:hideMark/>
          </w:tcPr>
          <w:p w:rsidR="00A71A12" w:rsidRPr="00BB33FC" w:rsidRDefault="00A71A12" w:rsidP="00A71A12">
            <w:pPr>
              <w:rPr>
                <w:rFonts w:ascii="Arial" w:hAnsi="Arial" w:cs="Arial"/>
                <w:b/>
                <w:bCs/>
                <w:color w:val="000000"/>
                <w:sz w:val="20"/>
                <w:szCs w:val="20"/>
              </w:rPr>
            </w:pPr>
          </w:p>
        </w:tc>
        <w:tc>
          <w:tcPr>
            <w:tcW w:w="5748" w:type="dxa"/>
            <w:gridSpan w:val="6"/>
            <w:tcBorders>
              <w:top w:val="nil"/>
              <w:left w:val="nil"/>
              <w:bottom w:val="single" w:sz="8" w:space="0" w:color="E26B0A"/>
              <w:right w:val="single" w:sz="4" w:space="0" w:color="A6A6A6"/>
            </w:tcBorders>
            <w:shd w:val="clear" w:color="000000" w:fill="FDE9D9"/>
            <w:hideMark/>
          </w:tcPr>
          <w:p w:rsidR="00A71A12" w:rsidRPr="00BB33FC" w:rsidRDefault="00A71A12" w:rsidP="00A71A12">
            <w:pPr>
              <w:rPr>
                <w:rFonts w:ascii="Arial" w:hAnsi="Arial" w:cs="Arial"/>
                <w:sz w:val="18"/>
                <w:szCs w:val="18"/>
              </w:rPr>
            </w:pPr>
            <w:r w:rsidRPr="00BB33FC">
              <w:rPr>
                <w:rFonts w:ascii="Arial" w:hAnsi="Arial" w:cs="Arial"/>
                <w:sz w:val="18"/>
                <w:szCs w:val="18"/>
              </w:rPr>
              <w:t>(podiel UAA (obidve certifikované a v konverzii)</w:t>
            </w:r>
          </w:p>
        </w:tc>
        <w:tc>
          <w:tcPr>
            <w:tcW w:w="863" w:type="dxa"/>
            <w:gridSpan w:val="2"/>
            <w:tcBorders>
              <w:top w:val="nil"/>
              <w:left w:val="nil"/>
              <w:bottom w:val="single" w:sz="8" w:space="0" w:color="E26B0A"/>
              <w:right w:val="single" w:sz="4" w:space="0" w:color="A6A6A6"/>
            </w:tcBorders>
            <w:shd w:val="clear" w:color="000000" w:fill="FDE9D9"/>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9,6</w:t>
            </w:r>
          </w:p>
        </w:tc>
        <w:tc>
          <w:tcPr>
            <w:tcW w:w="1674" w:type="dxa"/>
            <w:gridSpan w:val="2"/>
            <w:tcBorders>
              <w:top w:val="nil"/>
              <w:left w:val="nil"/>
              <w:bottom w:val="single" w:sz="8" w:space="0" w:color="E26B0A"/>
              <w:right w:val="single" w:sz="4" w:space="0" w:color="A6A6A6"/>
            </w:tcBorders>
            <w:shd w:val="clear" w:color="000000" w:fill="FDE9D9"/>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 z celkovej UAA</w:t>
            </w:r>
          </w:p>
        </w:tc>
        <w:tc>
          <w:tcPr>
            <w:tcW w:w="641" w:type="dxa"/>
            <w:gridSpan w:val="2"/>
            <w:tcBorders>
              <w:top w:val="nil"/>
              <w:left w:val="nil"/>
              <w:bottom w:val="single" w:sz="8" w:space="0" w:color="E26B0A"/>
              <w:right w:val="single" w:sz="4" w:space="0" w:color="A6A6A6"/>
            </w:tcBorders>
            <w:shd w:val="clear" w:color="000000" w:fill="FDE9D9"/>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2010</w:t>
            </w:r>
          </w:p>
        </w:tc>
        <w:tc>
          <w:tcPr>
            <w:tcW w:w="951" w:type="dxa"/>
            <w:tcBorders>
              <w:top w:val="nil"/>
              <w:left w:val="nil"/>
              <w:bottom w:val="single" w:sz="8" w:space="0" w:color="E26B0A"/>
              <w:right w:val="single" w:sz="8" w:space="0" w:color="E26B0A"/>
            </w:tcBorders>
            <w:shd w:val="clear" w:color="000000" w:fill="FDE9D9"/>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w:t>
            </w:r>
          </w:p>
        </w:tc>
      </w:tr>
      <w:tr w:rsidR="00A71A12" w:rsidRPr="00BB33FC" w:rsidTr="00A71A12">
        <w:trPr>
          <w:trHeight w:val="300"/>
        </w:trPr>
        <w:tc>
          <w:tcPr>
            <w:tcW w:w="387"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363" w:type="dxa"/>
            <w:vMerge w:val="restart"/>
            <w:tcBorders>
              <w:top w:val="nil"/>
              <w:left w:val="single" w:sz="8" w:space="0" w:color="E26B0A"/>
              <w:bottom w:val="single" w:sz="8" w:space="0" w:color="E26B0A"/>
              <w:right w:val="nil"/>
            </w:tcBorders>
            <w:shd w:val="clear" w:color="auto" w:fill="auto"/>
            <w:noWrap/>
            <w:hideMark/>
          </w:tcPr>
          <w:p w:rsidR="00A71A12" w:rsidRPr="00BB33FC" w:rsidRDefault="00A71A12" w:rsidP="00A71A12">
            <w:pPr>
              <w:rPr>
                <w:rFonts w:ascii="Arial" w:hAnsi="Arial" w:cs="Arial"/>
                <w:b/>
                <w:bCs/>
                <w:color w:val="000000"/>
                <w:sz w:val="20"/>
                <w:szCs w:val="20"/>
              </w:rPr>
            </w:pPr>
            <w:r w:rsidRPr="00BB33FC">
              <w:rPr>
                <w:rFonts w:ascii="Arial" w:hAnsi="Arial" w:cs="Arial"/>
                <w:b/>
                <w:bCs/>
                <w:color w:val="000000"/>
                <w:sz w:val="20"/>
                <w:szCs w:val="20"/>
              </w:rPr>
              <w:t>20</w:t>
            </w:r>
          </w:p>
        </w:tc>
        <w:tc>
          <w:tcPr>
            <w:tcW w:w="5748" w:type="dxa"/>
            <w:gridSpan w:val="6"/>
            <w:tcBorders>
              <w:top w:val="single" w:sz="8" w:space="0" w:color="E26B0A"/>
              <w:left w:val="nil"/>
              <w:bottom w:val="nil"/>
              <w:right w:val="single" w:sz="4" w:space="0" w:color="A6A6A6"/>
            </w:tcBorders>
            <w:shd w:val="clear" w:color="auto" w:fill="auto"/>
            <w:noWrap/>
            <w:vAlign w:val="bottom"/>
            <w:hideMark/>
          </w:tcPr>
          <w:p w:rsidR="00A71A12" w:rsidRPr="00BB33FC" w:rsidRDefault="00A71A12" w:rsidP="00A71A12">
            <w:pPr>
              <w:rPr>
                <w:rFonts w:ascii="Arial" w:hAnsi="Arial" w:cs="Arial"/>
                <w:b/>
                <w:bCs/>
                <w:i/>
                <w:iCs/>
                <w:sz w:val="20"/>
                <w:szCs w:val="20"/>
              </w:rPr>
            </w:pPr>
            <w:r w:rsidRPr="00BB33FC">
              <w:rPr>
                <w:rFonts w:ascii="Arial" w:hAnsi="Arial" w:cs="Arial"/>
                <w:b/>
                <w:bCs/>
                <w:i/>
                <w:iCs/>
                <w:sz w:val="20"/>
                <w:szCs w:val="20"/>
              </w:rPr>
              <w:t>Zavlažovaná pôda</w:t>
            </w:r>
          </w:p>
        </w:tc>
        <w:tc>
          <w:tcPr>
            <w:tcW w:w="863" w:type="dxa"/>
            <w:gridSpan w:val="2"/>
            <w:tcBorders>
              <w:top w:val="nil"/>
              <w:left w:val="nil"/>
              <w:bottom w:val="nil"/>
              <w:right w:val="nil"/>
            </w:tcBorders>
            <w:shd w:val="clear" w:color="auto" w:fill="auto"/>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 </w:t>
            </w:r>
          </w:p>
        </w:tc>
        <w:tc>
          <w:tcPr>
            <w:tcW w:w="1674" w:type="dxa"/>
            <w:gridSpan w:val="2"/>
            <w:tcBorders>
              <w:top w:val="nil"/>
              <w:left w:val="nil"/>
              <w:bottom w:val="nil"/>
              <w:right w:val="single" w:sz="4" w:space="0" w:color="A6A6A6"/>
            </w:tcBorders>
            <w:shd w:val="clear" w:color="auto" w:fill="auto"/>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 </w:t>
            </w:r>
          </w:p>
        </w:tc>
        <w:tc>
          <w:tcPr>
            <w:tcW w:w="641" w:type="dxa"/>
            <w:gridSpan w:val="2"/>
            <w:tcBorders>
              <w:top w:val="nil"/>
              <w:left w:val="nil"/>
              <w:bottom w:val="nil"/>
              <w:right w:val="nil"/>
            </w:tcBorders>
            <w:shd w:val="clear" w:color="auto" w:fill="auto"/>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 </w:t>
            </w:r>
          </w:p>
        </w:tc>
        <w:tc>
          <w:tcPr>
            <w:tcW w:w="951" w:type="dxa"/>
            <w:tcBorders>
              <w:top w:val="nil"/>
              <w:left w:val="nil"/>
              <w:bottom w:val="nil"/>
              <w:right w:val="single" w:sz="8" w:space="0" w:color="E26B0A"/>
            </w:tcBorders>
            <w:shd w:val="clear" w:color="auto" w:fill="auto"/>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 </w:t>
            </w:r>
          </w:p>
        </w:tc>
      </w:tr>
      <w:tr w:rsidR="00A71A12" w:rsidRPr="00BB33FC" w:rsidTr="00A71A12">
        <w:trPr>
          <w:trHeight w:val="300"/>
        </w:trPr>
        <w:tc>
          <w:tcPr>
            <w:tcW w:w="387"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363" w:type="dxa"/>
            <w:vMerge/>
            <w:tcBorders>
              <w:top w:val="nil"/>
              <w:left w:val="single" w:sz="8" w:space="0" w:color="E26B0A"/>
              <w:bottom w:val="single" w:sz="8" w:space="0" w:color="E26B0A"/>
              <w:right w:val="nil"/>
            </w:tcBorders>
            <w:vAlign w:val="center"/>
            <w:hideMark/>
          </w:tcPr>
          <w:p w:rsidR="00A71A12" w:rsidRPr="00BB33FC" w:rsidRDefault="00A71A12" w:rsidP="00A71A12">
            <w:pPr>
              <w:rPr>
                <w:rFonts w:ascii="Arial" w:hAnsi="Arial" w:cs="Arial"/>
                <w:b/>
                <w:bCs/>
                <w:color w:val="000000"/>
                <w:sz w:val="20"/>
                <w:szCs w:val="20"/>
              </w:rPr>
            </w:pPr>
          </w:p>
        </w:tc>
        <w:tc>
          <w:tcPr>
            <w:tcW w:w="4662" w:type="dxa"/>
            <w:gridSpan w:val="4"/>
            <w:tcBorders>
              <w:top w:val="single" w:sz="4" w:space="0" w:color="A6A6A6"/>
              <w:left w:val="nil"/>
              <w:bottom w:val="nil"/>
              <w:right w:val="nil"/>
            </w:tcBorders>
            <w:shd w:val="clear" w:color="000000" w:fill="FCD5B4"/>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celkom</w:t>
            </w:r>
          </w:p>
        </w:tc>
        <w:tc>
          <w:tcPr>
            <w:tcW w:w="1086" w:type="dxa"/>
            <w:gridSpan w:val="2"/>
            <w:tcBorders>
              <w:top w:val="single" w:sz="4" w:space="0" w:color="A6A6A6"/>
              <w:left w:val="nil"/>
              <w:bottom w:val="nil"/>
              <w:right w:val="single" w:sz="4" w:space="0" w:color="A6A6A6"/>
            </w:tcBorders>
            <w:shd w:val="clear" w:color="000000" w:fill="FCD5B4"/>
            <w:noWrap/>
            <w:vAlign w:val="bottom"/>
            <w:hideMark/>
          </w:tcPr>
          <w:p w:rsidR="00A71A12" w:rsidRPr="00BB33FC" w:rsidRDefault="00A71A12" w:rsidP="00A71A12">
            <w:pPr>
              <w:rPr>
                <w:rFonts w:ascii="Arial" w:hAnsi="Arial" w:cs="Arial"/>
                <w:sz w:val="20"/>
                <w:szCs w:val="20"/>
              </w:rPr>
            </w:pPr>
            <w:r w:rsidRPr="00BB33FC">
              <w:rPr>
                <w:rFonts w:ascii="Arial" w:hAnsi="Arial" w:cs="Arial"/>
                <w:sz w:val="20"/>
                <w:szCs w:val="20"/>
              </w:rPr>
              <w:t> </w:t>
            </w:r>
          </w:p>
        </w:tc>
        <w:tc>
          <w:tcPr>
            <w:tcW w:w="863" w:type="dxa"/>
            <w:gridSpan w:val="2"/>
            <w:tcBorders>
              <w:top w:val="single" w:sz="4" w:space="0" w:color="A6A6A6"/>
              <w:left w:val="nil"/>
              <w:bottom w:val="nil"/>
              <w:right w:val="single" w:sz="4" w:space="0" w:color="A6A6A6"/>
            </w:tcBorders>
            <w:shd w:val="clear" w:color="000000" w:fill="FCD5B4"/>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14 840,0</w:t>
            </w:r>
          </w:p>
        </w:tc>
        <w:tc>
          <w:tcPr>
            <w:tcW w:w="1674" w:type="dxa"/>
            <w:gridSpan w:val="2"/>
            <w:tcBorders>
              <w:top w:val="single" w:sz="4" w:space="0" w:color="A6A6A6"/>
              <w:left w:val="nil"/>
              <w:bottom w:val="nil"/>
              <w:right w:val="single" w:sz="4" w:space="0" w:color="A6A6A6"/>
            </w:tcBorders>
            <w:shd w:val="clear" w:color="000000" w:fill="FCD5B4"/>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ha</w:t>
            </w:r>
          </w:p>
        </w:tc>
        <w:tc>
          <w:tcPr>
            <w:tcW w:w="641" w:type="dxa"/>
            <w:gridSpan w:val="2"/>
            <w:tcBorders>
              <w:top w:val="single" w:sz="4" w:space="0" w:color="A6A6A6"/>
              <w:left w:val="nil"/>
              <w:bottom w:val="nil"/>
              <w:right w:val="single" w:sz="4" w:space="0" w:color="A6A6A6"/>
            </w:tcBorders>
            <w:shd w:val="clear" w:color="000000" w:fill="FCD5B4"/>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2010</w:t>
            </w:r>
          </w:p>
        </w:tc>
        <w:tc>
          <w:tcPr>
            <w:tcW w:w="951" w:type="dxa"/>
            <w:tcBorders>
              <w:top w:val="single" w:sz="4" w:space="0" w:color="A6A6A6"/>
              <w:left w:val="nil"/>
              <w:bottom w:val="nil"/>
              <w:right w:val="single" w:sz="8" w:space="0" w:color="E26B0A"/>
            </w:tcBorders>
            <w:shd w:val="clear" w:color="000000" w:fill="FCD5B4"/>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w:t>
            </w:r>
          </w:p>
        </w:tc>
      </w:tr>
      <w:tr w:rsidR="00A71A12" w:rsidRPr="00BB33FC" w:rsidTr="00A71A12">
        <w:trPr>
          <w:trHeight w:val="510"/>
        </w:trPr>
        <w:tc>
          <w:tcPr>
            <w:tcW w:w="387"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363" w:type="dxa"/>
            <w:vMerge/>
            <w:tcBorders>
              <w:top w:val="nil"/>
              <w:left w:val="single" w:sz="8" w:space="0" w:color="E26B0A"/>
              <w:bottom w:val="single" w:sz="8" w:space="0" w:color="E26B0A"/>
              <w:right w:val="nil"/>
            </w:tcBorders>
            <w:vAlign w:val="center"/>
            <w:hideMark/>
          </w:tcPr>
          <w:p w:rsidR="00A71A12" w:rsidRPr="00BB33FC" w:rsidRDefault="00A71A12" w:rsidP="00A71A12">
            <w:pPr>
              <w:rPr>
                <w:rFonts w:ascii="Arial" w:hAnsi="Arial" w:cs="Arial"/>
                <w:b/>
                <w:bCs/>
                <w:color w:val="000000"/>
                <w:sz w:val="20"/>
                <w:szCs w:val="20"/>
              </w:rPr>
            </w:pPr>
          </w:p>
        </w:tc>
        <w:tc>
          <w:tcPr>
            <w:tcW w:w="4662" w:type="dxa"/>
            <w:gridSpan w:val="4"/>
            <w:tcBorders>
              <w:top w:val="nil"/>
              <w:left w:val="nil"/>
              <w:bottom w:val="single" w:sz="8" w:space="0" w:color="E26B0A"/>
              <w:right w:val="single" w:sz="4" w:space="0" w:color="A6A6A6"/>
            </w:tcBorders>
            <w:shd w:val="clear" w:color="000000" w:fill="FDE9D9"/>
            <w:noWrap/>
            <w:vAlign w:val="bottom"/>
            <w:hideMark/>
          </w:tcPr>
          <w:p w:rsidR="00A71A12" w:rsidRPr="00BB33FC" w:rsidRDefault="00A71A12" w:rsidP="00A71A12">
            <w:pPr>
              <w:rPr>
                <w:rFonts w:ascii="Arial" w:hAnsi="Arial" w:cs="Arial"/>
                <w:sz w:val="20"/>
                <w:szCs w:val="20"/>
              </w:rPr>
            </w:pPr>
            <w:r w:rsidRPr="00BB33FC">
              <w:rPr>
                <w:rFonts w:ascii="Arial" w:hAnsi="Arial" w:cs="Arial"/>
                <w:sz w:val="20"/>
                <w:szCs w:val="20"/>
              </w:rPr>
              <w:t>podiel UAA</w:t>
            </w:r>
          </w:p>
        </w:tc>
        <w:tc>
          <w:tcPr>
            <w:tcW w:w="1086" w:type="dxa"/>
            <w:gridSpan w:val="2"/>
            <w:tcBorders>
              <w:top w:val="nil"/>
              <w:left w:val="nil"/>
              <w:bottom w:val="single" w:sz="8" w:space="0" w:color="E26B0A"/>
              <w:right w:val="single" w:sz="4" w:space="0" w:color="A6A6A6"/>
            </w:tcBorders>
            <w:shd w:val="clear" w:color="000000" w:fill="FDE9D9"/>
            <w:noWrap/>
            <w:vAlign w:val="bottom"/>
            <w:hideMark/>
          </w:tcPr>
          <w:p w:rsidR="00A71A12" w:rsidRPr="00BB33FC" w:rsidRDefault="00A71A12" w:rsidP="00A71A12">
            <w:pPr>
              <w:rPr>
                <w:rFonts w:ascii="Arial" w:hAnsi="Arial" w:cs="Arial"/>
                <w:sz w:val="20"/>
                <w:szCs w:val="20"/>
              </w:rPr>
            </w:pPr>
            <w:r w:rsidRPr="00BB33FC">
              <w:rPr>
                <w:rFonts w:ascii="Arial" w:hAnsi="Arial" w:cs="Arial"/>
                <w:sz w:val="20"/>
                <w:szCs w:val="20"/>
              </w:rPr>
              <w:t> </w:t>
            </w:r>
          </w:p>
        </w:tc>
        <w:tc>
          <w:tcPr>
            <w:tcW w:w="863" w:type="dxa"/>
            <w:gridSpan w:val="2"/>
            <w:tcBorders>
              <w:top w:val="nil"/>
              <w:left w:val="nil"/>
              <w:bottom w:val="single" w:sz="8" w:space="0" w:color="E26B0A"/>
              <w:right w:val="single" w:sz="4" w:space="0" w:color="A6A6A6"/>
            </w:tcBorders>
            <w:shd w:val="clear" w:color="000000" w:fill="FDE9D9"/>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0,8</w:t>
            </w:r>
          </w:p>
        </w:tc>
        <w:tc>
          <w:tcPr>
            <w:tcW w:w="1674" w:type="dxa"/>
            <w:gridSpan w:val="2"/>
            <w:tcBorders>
              <w:top w:val="nil"/>
              <w:left w:val="nil"/>
              <w:bottom w:val="single" w:sz="8" w:space="0" w:color="E26B0A"/>
              <w:right w:val="single" w:sz="4" w:space="0" w:color="A6A6A6"/>
            </w:tcBorders>
            <w:shd w:val="clear" w:color="000000" w:fill="FDE9D9"/>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 z celkovej UAA</w:t>
            </w:r>
          </w:p>
        </w:tc>
        <w:tc>
          <w:tcPr>
            <w:tcW w:w="641" w:type="dxa"/>
            <w:gridSpan w:val="2"/>
            <w:tcBorders>
              <w:top w:val="nil"/>
              <w:left w:val="nil"/>
              <w:bottom w:val="single" w:sz="8" w:space="0" w:color="E26B0A"/>
              <w:right w:val="single" w:sz="4" w:space="0" w:color="A6A6A6"/>
            </w:tcBorders>
            <w:shd w:val="clear" w:color="000000" w:fill="FDE9D9"/>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2010</w:t>
            </w:r>
          </w:p>
        </w:tc>
        <w:tc>
          <w:tcPr>
            <w:tcW w:w="951" w:type="dxa"/>
            <w:tcBorders>
              <w:top w:val="nil"/>
              <w:left w:val="nil"/>
              <w:bottom w:val="single" w:sz="8" w:space="0" w:color="E26B0A"/>
              <w:right w:val="single" w:sz="8" w:space="0" w:color="E26B0A"/>
            </w:tcBorders>
            <w:shd w:val="clear" w:color="000000" w:fill="FDE9D9"/>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w:t>
            </w:r>
          </w:p>
        </w:tc>
      </w:tr>
      <w:tr w:rsidR="00A71A12" w:rsidRPr="00BB33FC" w:rsidTr="00A71A12">
        <w:trPr>
          <w:trHeight w:val="300"/>
        </w:trPr>
        <w:tc>
          <w:tcPr>
            <w:tcW w:w="387"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363" w:type="dxa"/>
            <w:vMerge w:val="restart"/>
            <w:tcBorders>
              <w:top w:val="nil"/>
              <w:left w:val="single" w:sz="8" w:space="0" w:color="E26B0A"/>
              <w:bottom w:val="single" w:sz="8" w:space="0" w:color="E26B0A"/>
              <w:right w:val="nil"/>
            </w:tcBorders>
            <w:shd w:val="clear" w:color="auto" w:fill="auto"/>
            <w:noWrap/>
            <w:hideMark/>
          </w:tcPr>
          <w:p w:rsidR="00A71A12" w:rsidRPr="00BB33FC" w:rsidRDefault="00A71A12" w:rsidP="00A71A12">
            <w:pPr>
              <w:rPr>
                <w:rFonts w:ascii="Arial" w:hAnsi="Arial" w:cs="Arial"/>
                <w:b/>
                <w:bCs/>
                <w:color w:val="000000"/>
                <w:sz w:val="20"/>
                <w:szCs w:val="20"/>
              </w:rPr>
            </w:pPr>
            <w:r w:rsidRPr="00BB33FC">
              <w:rPr>
                <w:rFonts w:ascii="Arial" w:hAnsi="Arial" w:cs="Arial"/>
                <w:b/>
                <w:bCs/>
                <w:color w:val="000000"/>
                <w:sz w:val="20"/>
                <w:szCs w:val="20"/>
              </w:rPr>
              <w:t>21</w:t>
            </w:r>
          </w:p>
        </w:tc>
        <w:tc>
          <w:tcPr>
            <w:tcW w:w="5748" w:type="dxa"/>
            <w:gridSpan w:val="6"/>
            <w:tcBorders>
              <w:top w:val="single" w:sz="8" w:space="0" w:color="E26B0A"/>
              <w:left w:val="nil"/>
              <w:bottom w:val="nil"/>
              <w:right w:val="nil"/>
            </w:tcBorders>
            <w:shd w:val="clear" w:color="auto" w:fill="auto"/>
            <w:noWrap/>
            <w:vAlign w:val="bottom"/>
            <w:hideMark/>
          </w:tcPr>
          <w:p w:rsidR="00A71A12" w:rsidRPr="00BB33FC" w:rsidRDefault="00A71A12" w:rsidP="00A71A12">
            <w:pPr>
              <w:rPr>
                <w:rFonts w:ascii="Arial" w:hAnsi="Arial" w:cs="Arial"/>
                <w:b/>
                <w:bCs/>
                <w:i/>
                <w:iCs/>
                <w:sz w:val="20"/>
                <w:szCs w:val="20"/>
              </w:rPr>
            </w:pPr>
            <w:r w:rsidRPr="00BB33FC">
              <w:rPr>
                <w:rFonts w:ascii="Arial" w:hAnsi="Arial" w:cs="Arial"/>
                <w:b/>
                <w:bCs/>
                <w:i/>
                <w:iCs/>
                <w:sz w:val="20"/>
                <w:szCs w:val="20"/>
              </w:rPr>
              <w:t>Dobytčie jednotky</w:t>
            </w:r>
          </w:p>
        </w:tc>
        <w:tc>
          <w:tcPr>
            <w:tcW w:w="863" w:type="dxa"/>
            <w:gridSpan w:val="2"/>
            <w:tcBorders>
              <w:top w:val="nil"/>
              <w:left w:val="nil"/>
              <w:bottom w:val="nil"/>
              <w:right w:val="nil"/>
            </w:tcBorders>
            <w:shd w:val="clear" w:color="auto" w:fill="auto"/>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 </w:t>
            </w:r>
          </w:p>
        </w:tc>
        <w:tc>
          <w:tcPr>
            <w:tcW w:w="1674" w:type="dxa"/>
            <w:gridSpan w:val="2"/>
            <w:tcBorders>
              <w:top w:val="nil"/>
              <w:left w:val="nil"/>
              <w:bottom w:val="nil"/>
              <w:right w:val="nil"/>
            </w:tcBorders>
            <w:shd w:val="clear" w:color="auto" w:fill="auto"/>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 </w:t>
            </w:r>
          </w:p>
        </w:tc>
        <w:tc>
          <w:tcPr>
            <w:tcW w:w="641" w:type="dxa"/>
            <w:gridSpan w:val="2"/>
            <w:tcBorders>
              <w:top w:val="nil"/>
              <w:left w:val="nil"/>
              <w:bottom w:val="nil"/>
              <w:right w:val="nil"/>
            </w:tcBorders>
            <w:shd w:val="clear" w:color="auto" w:fill="auto"/>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 </w:t>
            </w:r>
          </w:p>
        </w:tc>
        <w:tc>
          <w:tcPr>
            <w:tcW w:w="951" w:type="dxa"/>
            <w:tcBorders>
              <w:top w:val="nil"/>
              <w:left w:val="nil"/>
              <w:bottom w:val="nil"/>
              <w:right w:val="single" w:sz="8" w:space="0" w:color="E26B0A"/>
            </w:tcBorders>
            <w:shd w:val="clear" w:color="auto" w:fill="auto"/>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 </w:t>
            </w:r>
          </w:p>
        </w:tc>
      </w:tr>
      <w:tr w:rsidR="00A71A12" w:rsidRPr="00BB33FC" w:rsidTr="00A71A12">
        <w:trPr>
          <w:trHeight w:val="315"/>
        </w:trPr>
        <w:tc>
          <w:tcPr>
            <w:tcW w:w="387"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363" w:type="dxa"/>
            <w:vMerge/>
            <w:tcBorders>
              <w:top w:val="nil"/>
              <w:left w:val="single" w:sz="8" w:space="0" w:color="E26B0A"/>
              <w:bottom w:val="single" w:sz="8" w:space="0" w:color="E26B0A"/>
              <w:right w:val="nil"/>
            </w:tcBorders>
            <w:vAlign w:val="center"/>
            <w:hideMark/>
          </w:tcPr>
          <w:p w:rsidR="00A71A12" w:rsidRPr="00BB33FC" w:rsidRDefault="00A71A12" w:rsidP="00A71A12">
            <w:pPr>
              <w:rPr>
                <w:rFonts w:ascii="Arial" w:hAnsi="Arial" w:cs="Arial"/>
                <w:b/>
                <w:bCs/>
                <w:color w:val="000000"/>
                <w:sz w:val="20"/>
                <w:szCs w:val="20"/>
              </w:rPr>
            </w:pPr>
          </w:p>
        </w:tc>
        <w:tc>
          <w:tcPr>
            <w:tcW w:w="4662" w:type="dxa"/>
            <w:gridSpan w:val="4"/>
            <w:tcBorders>
              <w:top w:val="single" w:sz="4" w:space="0" w:color="A6A6A6"/>
              <w:left w:val="nil"/>
              <w:bottom w:val="single" w:sz="8" w:space="0" w:color="E26B0A"/>
              <w:right w:val="nil"/>
            </w:tcBorders>
            <w:shd w:val="clear" w:color="000000" w:fill="FDE9D9"/>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celkom</w:t>
            </w:r>
          </w:p>
        </w:tc>
        <w:tc>
          <w:tcPr>
            <w:tcW w:w="1086" w:type="dxa"/>
            <w:gridSpan w:val="2"/>
            <w:tcBorders>
              <w:top w:val="single" w:sz="4" w:space="0" w:color="A6A6A6"/>
              <w:left w:val="nil"/>
              <w:bottom w:val="single" w:sz="8" w:space="0" w:color="E26B0A"/>
              <w:right w:val="single" w:sz="4" w:space="0" w:color="A6A6A6"/>
            </w:tcBorders>
            <w:shd w:val="clear" w:color="000000" w:fill="FDE9D9"/>
            <w:noWrap/>
            <w:vAlign w:val="bottom"/>
            <w:hideMark/>
          </w:tcPr>
          <w:p w:rsidR="00A71A12" w:rsidRPr="00BB33FC" w:rsidRDefault="00A71A12" w:rsidP="00A71A12">
            <w:pPr>
              <w:rPr>
                <w:rFonts w:ascii="Arial" w:hAnsi="Arial" w:cs="Arial"/>
                <w:sz w:val="20"/>
                <w:szCs w:val="20"/>
              </w:rPr>
            </w:pPr>
            <w:r w:rsidRPr="00BB33FC">
              <w:rPr>
                <w:rFonts w:ascii="Arial" w:hAnsi="Arial" w:cs="Arial"/>
                <w:sz w:val="20"/>
                <w:szCs w:val="20"/>
              </w:rPr>
              <w:t> </w:t>
            </w:r>
          </w:p>
        </w:tc>
        <w:tc>
          <w:tcPr>
            <w:tcW w:w="863" w:type="dxa"/>
            <w:gridSpan w:val="2"/>
            <w:tcBorders>
              <w:top w:val="single" w:sz="4" w:space="0" w:color="A6A6A6"/>
              <w:left w:val="nil"/>
              <w:bottom w:val="single" w:sz="8" w:space="0" w:color="E26B0A"/>
              <w:right w:val="single" w:sz="4" w:space="0" w:color="A6A6A6"/>
            </w:tcBorders>
            <w:shd w:val="clear" w:color="000000" w:fill="FDE9D9"/>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668 340,0</w:t>
            </w:r>
          </w:p>
        </w:tc>
        <w:tc>
          <w:tcPr>
            <w:tcW w:w="1674" w:type="dxa"/>
            <w:gridSpan w:val="2"/>
            <w:tcBorders>
              <w:top w:val="single" w:sz="4" w:space="0" w:color="A6A6A6"/>
              <w:left w:val="nil"/>
              <w:bottom w:val="single" w:sz="8" w:space="0" w:color="E26B0A"/>
              <w:right w:val="single" w:sz="4" w:space="0" w:color="A6A6A6"/>
            </w:tcBorders>
            <w:shd w:val="clear" w:color="000000" w:fill="FDE9D9"/>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VDJ</w:t>
            </w:r>
          </w:p>
        </w:tc>
        <w:tc>
          <w:tcPr>
            <w:tcW w:w="641" w:type="dxa"/>
            <w:gridSpan w:val="2"/>
            <w:tcBorders>
              <w:top w:val="single" w:sz="4" w:space="0" w:color="A6A6A6"/>
              <w:left w:val="nil"/>
              <w:bottom w:val="single" w:sz="8" w:space="0" w:color="E26B0A"/>
              <w:right w:val="single" w:sz="4" w:space="0" w:color="A6A6A6"/>
            </w:tcBorders>
            <w:shd w:val="clear" w:color="000000" w:fill="FDE9D9"/>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2010</w:t>
            </w:r>
          </w:p>
        </w:tc>
        <w:tc>
          <w:tcPr>
            <w:tcW w:w="951" w:type="dxa"/>
            <w:tcBorders>
              <w:top w:val="single" w:sz="4" w:space="0" w:color="A6A6A6"/>
              <w:left w:val="nil"/>
              <w:bottom w:val="single" w:sz="8" w:space="0" w:color="E26B0A"/>
              <w:right w:val="single" w:sz="8" w:space="0" w:color="E26B0A"/>
            </w:tcBorders>
            <w:shd w:val="clear" w:color="000000" w:fill="FDE9D9"/>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w:t>
            </w:r>
          </w:p>
        </w:tc>
      </w:tr>
      <w:tr w:rsidR="00A71A12" w:rsidRPr="00BB33FC" w:rsidTr="00A71A12">
        <w:trPr>
          <w:trHeight w:val="300"/>
        </w:trPr>
        <w:tc>
          <w:tcPr>
            <w:tcW w:w="387"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363" w:type="dxa"/>
            <w:vMerge w:val="restart"/>
            <w:tcBorders>
              <w:top w:val="nil"/>
              <w:left w:val="single" w:sz="8" w:space="0" w:color="E26B0A"/>
              <w:bottom w:val="single" w:sz="8" w:space="0" w:color="E26B0A"/>
              <w:right w:val="nil"/>
            </w:tcBorders>
            <w:shd w:val="clear" w:color="auto" w:fill="auto"/>
            <w:noWrap/>
            <w:hideMark/>
          </w:tcPr>
          <w:p w:rsidR="00A71A12" w:rsidRPr="00BB33FC" w:rsidRDefault="00A71A12" w:rsidP="00A71A12">
            <w:pPr>
              <w:rPr>
                <w:rFonts w:ascii="Arial" w:hAnsi="Arial" w:cs="Arial"/>
                <w:b/>
                <w:bCs/>
                <w:color w:val="000000"/>
                <w:sz w:val="20"/>
                <w:szCs w:val="20"/>
              </w:rPr>
            </w:pPr>
            <w:r w:rsidRPr="00BB33FC">
              <w:rPr>
                <w:rFonts w:ascii="Arial" w:hAnsi="Arial" w:cs="Arial"/>
                <w:b/>
                <w:bCs/>
                <w:color w:val="000000"/>
                <w:sz w:val="20"/>
                <w:szCs w:val="20"/>
              </w:rPr>
              <w:t>22</w:t>
            </w:r>
          </w:p>
        </w:tc>
        <w:tc>
          <w:tcPr>
            <w:tcW w:w="5748" w:type="dxa"/>
            <w:gridSpan w:val="6"/>
            <w:tcBorders>
              <w:top w:val="single" w:sz="8" w:space="0" w:color="E26B0A"/>
              <w:left w:val="nil"/>
              <w:bottom w:val="nil"/>
              <w:right w:val="nil"/>
            </w:tcBorders>
            <w:shd w:val="clear" w:color="auto" w:fill="auto"/>
            <w:noWrap/>
            <w:vAlign w:val="bottom"/>
            <w:hideMark/>
          </w:tcPr>
          <w:p w:rsidR="00A71A12" w:rsidRPr="00BB33FC" w:rsidRDefault="00A71A12" w:rsidP="00A71A12">
            <w:pPr>
              <w:rPr>
                <w:rFonts w:ascii="Arial" w:hAnsi="Arial" w:cs="Arial"/>
                <w:b/>
                <w:bCs/>
                <w:i/>
                <w:iCs/>
                <w:sz w:val="20"/>
                <w:szCs w:val="20"/>
              </w:rPr>
            </w:pPr>
            <w:r w:rsidRPr="00BB33FC">
              <w:rPr>
                <w:rFonts w:ascii="Arial" w:hAnsi="Arial" w:cs="Arial"/>
                <w:b/>
                <w:bCs/>
                <w:i/>
                <w:iCs/>
                <w:sz w:val="20"/>
                <w:szCs w:val="20"/>
              </w:rPr>
              <w:t>Pracovné sily v poľnohospodárstve</w:t>
            </w:r>
          </w:p>
        </w:tc>
        <w:tc>
          <w:tcPr>
            <w:tcW w:w="863" w:type="dxa"/>
            <w:gridSpan w:val="2"/>
            <w:tcBorders>
              <w:top w:val="nil"/>
              <w:left w:val="nil"/>
              <w:bottom w:val="nil"/>
              <w:right w:val="nil"/>
            </w:tcBorders>
            <w:shd w:val="clear" w:color="auto" w:fill="auto"/>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 </w:t>
            </w:r>
          </w:p>
        </w:tc>
        <w:tc>
          <w:tcPr>
            <w:tcW w:w="1674" w:type="dxa"/>
            <w:gridSpan w:val="2"/>
            <w:tcBorders>
              <w:top w:val="nil"/>
              <w:left w:val="nil"/>
              <w:bottom w:val="nil"/>
              <w:right w:val="nil"/>
            </w:tcBorders>
            <w:shd w:val="clear" w:color="auto" w:fill="auto"/>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 </w:t>
            </w:r>
          </w:p>
        </w:tc>
        <w:tc>
          <w:tcPr>
            <w:tcW w:w="641" w:type="dxa"/>
            <w:gridSpan w:val="2"/>
            <w:tcBorders>
              <w:top w:val="nil"/>
              <w:left w:val="nil"/>
              <w:bottom w:val="nil"/>
              <w:right w:val="nil"/>
            </w:tcBorders>
            <w:shd w:val="clear" w:color="auto" w:fill="auto"/>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 </w:t>
            </w:r>
          </w:p>
        </w:tc>
        <w:tc>
          <w:tcPr>
            <w:tcW w:w="951" w:type="dxa"/>
            <w:tcBorders>
              <w:top w:val="nil"/>
              <w:left w:val="nil"/>
              <w:bottom w:val="nil"/>
              <w:right w:val="single" w:sz="8" w:space="0" w:color="E26B0A"/>
            </w:tcBorders>
            <w:shd w:val="clear" w:color="auto" w:fill="auto"/>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 </w:t>
            </w:r>
          </w:p>
        </w:tc>
      </w:tr>
      <w:tr w:rsidR="00A71A12" w:rsidRPr="00BB33FC" w:rsidTr="00A71A12">
        <w:trPr>
          <w:trHeight w:val="300"/>
        </w:trPr>
        <w:tc>
          <w:tcPr>
            <w:tcW w:w="387"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363" w:type="dxa"/>
            <w:vMerge/>
            <w:tcBorders>
              <w:top w:val="nil"/>
              <w:left w:val="single" w:sz="8" w:space="0" w:color="E26B0A"/>
              <w:bottom w:val="single" w:sz="8" w:space="0" w:color="E26B0A"/>
              <w:right w:val="nil"/>
            </w:tcBorders>
            <w:vAlign w:val="center"/>
            <w:hideMark/>
          </w:tcPr>
          <w:p w:rsidR="00A71A12" w:rsidRPr="00BB33FC" w:rsidRDefault="00A71A12" w:rsidP="00A71A12">
            <w:pPr>
              <w:rPr>
                <w:rFonts w:ascii="Arial" w:hAnsi="Arial" w:cs="Arial"/>
                <w:b/>
                <w:bCs/>
                <w:color w:val="000000"/>
                <w:sz w:val="20"/>
                <w:szCs w:val="20"/>
              </w:rPr>
            </w:pPr>
          </w:p>
        </w:tc>
        <w:tc>
          <w:tcPr>
            <w:tcW w:w="4662" w:type="dxa"/>
            <w:gridSpan w:val="4"/>
            <w:tcBorders>
              <w:top w:val="single" w:sz="4" w:space="0" w:color="A6A6A6"/>
              <w:left w:val="nil"/>
              <w:bottom w:val="nil"/>
              <w:right w:val="nil"/>
            </w:tcBorders>
            <w:shd w:val="clear" w:color="000000" w:fill="FCD5B4"/>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 </w:t>
            </w:r>
          </w:p>
        </w:tc>
        <w:tc>
          <w:tcPr>
            <w:tcW w:w="1086" w:type="dxa"/>
            <w:gridSpan w:val="2"/>
            <w:tcBorders>
              <w:top w:val="single" w:sz="4" w:space="0" w:color="A6A6A6"/>
              <w:left w:val="nil"/>
              <w:bottom w:val="nil"/>
              <w:right w:val="single" w:sz="4" w:space="0" w:color="A6A6A6"/>
            </w:tcBorders>
            <w:shd w:val="clear" w:color="000000" w:fill="FCD5B4"/>
            <w:noWrap/>
            <w:vAlign w:val="bottom"/>
            <w:hideMark/>
          </w:tcPr>
          <w:p w:rsidR="00A71A12" w:rsidRPr="00BB33FC" w:rsidRDefault="00A71A12" w:rsidP="00A71A12">
            <w:pPr>
              <w:rPr>
                <w:rFonts w:ascii="Arial" w:hAnsi="Arial" w:cs="Arial"/>
                <w:sz w:val="20"/>
                <w:szCs w:val="20"/>
              </w:rPr>
            </w:pPr>
            <w:r w:rsidRPr="00BB33FC">
              <w:rPr>
                <w:rFonts w:ascii="Arial" w:hAnsi="Arial" w:cs="Arial"/>
                <w:sz w:val="20"/>
                <w:szCs w:val="20"/>
              </w:rPr>
              <w:t> </w:t>
            </w:r>
          </w:p>
        </w:tc>
        <w:tc>
          <w:tcPr>
            <w:tcW w:w="863" w:type="dxa"/>
            <w:gridSpan w:val="2"/>
            <w:tcBorders>
              <w:top w:val="single" w:sz="4" w:space="0" w:color="A6A6A6"/>
              <w:left w:val="nil"/>
              <w:bottom w:val="nil"/>
              <w:right w:val="single" w:sz="4" w:space="0" w:color="A6A6A6"/>
            </w:tcBorders>
            <w:shd w:val="clear" w:color="000000" w:fill="FCD5B4"/>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90 960,0</w:t>
            </w:r>
          </w:p>
        </w:tc>
        <w:tc>
          <w:tcPr>
            <w:tcW w:w="1674" w:type="dxa"/>
            <w:gridSpan w:val="2"/>
            <w:tcBorders>
              <w:top w:val="single" w:sz="4" w:space="0" w:color="A6A6A6"/>
              <w:left w:val="nil"/>
              <w:bottom w:val="nil"/>
              <w:right w:val="single" w:sz="4" w:space="0" w:color="A6A6A6"/>
            </w:tcBorders>
            <w:shd w:val="clear" w:color="000000" w:fill="FCD5B4"/>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osoby</w:t>
            </w:r>
          </w:p>
        </w:tc>
        <w:tc>
          <w:tcPr>
            <w:tcW w:w="641" w:type="dxa"/>
            <w:gridSpan w:val="2"/>
            <w:tcBorders>
              <w:top w:val="single" w:sz="4" w:space="0" w:color="A6A6A6"/>
              <w:left w:val="nil"/>
              <w:bottom w:val="nil"/>
              <w:right w:val="single" w:sz="4" w:space="0" w:color="A6A6A6"/>
            </w:tcBorders>
            <w:shd w:val="clear" w:color="000000" w:fill="FCD5B4"/>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2010</w:t>
            </w:r>
          </w:p>
        </w:tc>
        <w:tc>
          <w:tcPr>
            <w:tcW w:w="951" w:type="dxa"/>
            <w:tcBorders>
              <w:top w:val="single" w:sz="4" w:space="0" w:color="A6A6A6"/>
              <w:left w:val="nil"/>
              <w:bottom w:val="nil"/>
              <w:right w:val="single" w:sz="8" w:space="0" w:color="E26B0A"/>
            </w:tcBorders>
            <w:shd w:val="clear" w:color="000000" w:fill="FCD5B4"/>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w:t>
            </w:r>
          </w:p>
        </w:tc>
      </w:tr>
      <w:tr w:rsidR="00A71A12" w:rsidRPr="00BB33FC" w:rsidTr="00A71A12">
        <w:trPr>
          <w:trHeight w:val="300"/>
        </w:trPr>
        <w:tc>
          <w:tcPr>
            <w:tcW w:w="387"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363" w:type="dxa"/>
            <w:vMerge/>
            <w:tcBorders>
              <w:top w:val="nil"/>
              <w:left w:val="single" w:sz="8" w:space="0" w:color="E26B0A"/>
              <w:bottom w:val="single" w:sz="8" w:space="0" w:color="E26B0A"/>
              <w:right w:val="nil"/>
            </w:tcBorders>
            <w:vAlign w:val="center"/>
            <w:hideMark/>
          </w:tcPr>
          <w:p w:rsidR="00A71A12" w:rsidRPr="00BB33FC" w:rsidRDefault="00A71A12" w:rsidP="00A71A12">
            <w:pPr>
              <w:rPr>
                <w:rFonts w:ascii="Arial" w:hAnsi="Arial" w:cs="Arial"/>
                <w:b/>
                <w:bCs/>
                <w:color w:val="000000"/>
                <w:sz w:val="20"/>
                <w:szCs w:val="20"/>
              </w:rPr>
            </w:pPr>
          </w:p>
        </w:tc>
        <w:tc>
          <w:tcPr>
            <w:tcW w:w="5748" w:type="dxa"/>
            <w:gridSpan w:val="6"/>
            <w:tcBorders>
              <w:top w:val="nil"/>
              <w:left w:val="nil"/>
              <w:bottom w:val="nil"/>
              <w:right w:val="single" w:sz="4" w:space="0" w:color="A6A6A6"/>
            </w:tcBorders>
            <w:shd w:val="clear" w:color="000000" w:fill="FCD5B4"/>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stále prac. sily v poľnohospodárstve celkom</w:t>
            </w:r>
          </w:p>
        </w:tc>
        <w:tc>
          <w:tcPr>
            <w:tcW w:w="863" w:type="dxa"/>
            <w:gridSpan w:val="2"/>
            <w:tcBorders>
              <w:top w:val="nil"/>
              <w:left w:val="nil"/>
              <w:bottom w:val="nil"/>
              <w:right w:val="single" w:sz="4" w:space="0" w:color="A6A6A6"/>
            </w:tcBorders>
            <w:shd w:val="clear" w:color="000000" w:fill="FCD5B4"/>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 </w:t>
            </w:r>
          </w:p>
        </w:tc>
        <w:tc>
          <w:tcPr>
            <w:tcW w:w="1674" w:type="dxa"/>
            <w:gridSpan w:val="2"/>
            <w:tcBorders>
              <w:top w:val="nil"/>
              <w:left w:val="nil"/>
              <w:bottom w:val="nil"/>
              <w:right w:val="single" w:sz="4" w:space="0" w:color="A6A6A6"/>
            </w:tcBorders>
            <w:shd w:val="clear" w:color="000000" w:fill="FCD5B4"/>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 </w:t>
            </w:r>
          </w:p>
        </w:tc>
        <w:tc>
          <w:tcPr>
            <w:tcW w:w="641" w:type="dxa"/>
            <w:gridSpan w:val="2"/>
            <w:tcBorders>
              <w:top w:val="nil"/>
              <w:left w:val="nil"/>
              <w:bottom w:val="nil"/>
              <w:right w:val="single" w:sz="4" w:space="0" w:color="A6A6A6"/>
            </w:tcBorders>
            <w:shd w:val="clear" w:color="000000" w:fill="FCD5B4"/>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 </w:t>
            </w:r>
          </w:p>
        </w:tc>
        <w:tc>
          <w:tcPr>
            <w:tcW w:w="951" w:type="dxa"/>
            <w:tcBorders>
              <w:top w:val="nil"/>
              <w:left w:val="nil"/>
              <w:bottom w:val="nil"/>
              <w:right w:val="single" w:sz="8" w:space="0" w:color="E26B0A"/>
            </w:tcBorders>
            <w:shd w:val="clear" w:color="000000" w:fill="FCD5B4"/>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 </w:t>
            </w:r>
          </w:p>
        </w:tc>
      </w:tr>
      <w:tr w:rsidR="00A71A12" w:rsidRPr="00BB33FC" w:rsidTr="00A71A12">
        <w:trPr>
          <w:trHeight w:val="495"/>
        </w:trPr>
        <w:tc>
          <w:tcPr>
            <w:tcW w:w="387"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363" w:type="dxa"/>
            <w:vMerge/>
            <w:tcBorders>
              <w:top w:val="nil"/>
              <w:left w:val="single" w:sz="8" w:space="0" w:color="E26B0A"/>
              <w:bottom w:val="single" w:sz="8" w:space="0" w:color="E26B0A"/>
              <w:right w:val="nil"/>
            </w:tcBorders>
            <w:vAlign w:val="center"/>
            <w:hideMark/>
          </w:tcPr>
          <w:p w:rsidR="00A71A12" w:rsidRPr="00BB33FC" w:rsidRDefault="00A71A12" w:rsidP="00A71A12">
            <w:pPr>
              <w:rPr>
                <w:rFonts w:ascii="Arial" w:hAnsi="Arial" w:cs="Arial"/>
                <w:b/>
                <w:bCs/>
                <w:color w:val="000000"/>
                <w:sz w:val="20"/>
                <w:szCs w:val="20"/>
              </w:rPr>
            </w:pPr>
          </w:p>
        </w:tc>
        <w:tc>
          <w:tcPr>
            <w:tcW w:w="5748" w:type="dxa"/>
            <w:gridSpan w:val="6"/>
            <w:tcBorders>
              <w:top w:val="nil"/>
              <w:left w:val="nil"/>
              <w:bottom w:val="single" w:sz="8" w:space="0" w:color="E26B0A"/>
              <w:right w:val="single" w:sz="4" w:space="0" w:color="A6A6A6"/>
            </w:tcBorders>
            <w:shd w:val="clear" w:color="000000" w:fill="FDE9D9"/>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stále prac. sily celkom</w:t>
            </w:r>
          </w:p>
        </w:tc>
        <w:tc>
          <w:tcPr>
            <w:tcW w:w="863" w:type="dxa"/>
            <w:gridSpan w:val="2"/>
            <w:tcBorders>
              <w:top w:val="nil"/>
              <w:left w:val="nil"/>
              <w:bottom w:val="single" w:sz="8" w:space="0" w:color="E26B0A"/>
              <w:right w:val="single" w:sz="4" w:space="0" w:color="A6A6A6"/>
            </w:tcBorders>
            <w:shd w:val="clear" w:color="000000" w:fill="FDE9D9"/>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54 210,0</w:t>
            </w:r>
          </w:p>
        </w:tc>
        <w:tc>
          <w:tcPr>
            <w:tcW w:w="1674" w:type="dxa"/>
            <w:gridSpan w:val="2"/>
            <w:tcBorders>
              <w:top w:val="nil"/>
              <w:left w:val="nil"/>
              <w:bottom w:val="single" w:sz="8" w:space="0" w:color="E26B0A"/>
              <w:right w:val="single" w:sz="4" w:space="0" w:color="A6A6A6"/>
            </w:tcBorders>
            <w:shd w:val="clear" w:color="000000" w:fill="FDE9D9"/>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AWU</w:t>
            </w:r>
          </w:p>
        </w:tc>
        <w:tc>
          <w:tcPr>
            <w:tcW w:w="641" w:type="dxa"/>
            <w:gridSpan w:val="2"/>
            <w:tcBorders>
              <w:top w:val="nil"/>
              <w:left w:val="nil"/>
              <w:bottom w:val="single" w:sz="8" w:space="0" w:color="E26B0A"/>
              <w:right w:val="single" w:sz="4" w:space="0" w:color="A6A6A6"/>
            </w:tcBorders>
            <w:shd w:val="clear" w:color="000000" w:fill="FDE9D9"/>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2010</w:t>
            </w:r>
          </w:p>
        </w:tc>
        <w:tc>
          <w:tcPr>
            <w:tcW w:w="951" w:type="dxa"/>
            <w:tcBorders>
              <w:top w:val="nil"/>
              <w:left w:val="nil"/>
              <w:bottom w:val="single" w:sz="8" w:space="0" w:color="E26B0A"/>
              <w:right w:val="single" w:sz="8" w:space="0" w:color="E26B0A"/>
            </w:tcBorders>
            <w:shd w:val="clear" w:color="000000" w:fill="FDE9D9"/>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w:t>
            </w:r>
          </w:p>
        </w:tc>
      </w:tr>
      <w:tr w:rsidR="00A71A12" w:rsidRPr="00BB33FC" w:rsidTr="00A71A12">
        <w:trPr>
          <w:trHeight w:val="300"/>
        </w:trPr>
        <w:tc>
          <w:tcPr>
            <w:tcW w:w="387"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363" w:type="dxa"/>
            <w:vMerge w:val="restart"/>
            <w:tcBorders>
              <w:top w:val="nil"/>
              <w:left w:val="single" w:sz="8" w:space="0" w:color="E26B0A"/>
              <w:bottom w:val="single" w:sz="8" w:space="0" w:color="E26B0A"/>
              <w:right w:val="nil"/>
            </w:tcBorders>
            <w:shd w:val="clear" w:color="auto" w:fill="auto"/>
            <w:noWrap/>
            <w:hideMark/>
          </w:tcPr>
          <w:p w:rsidR="00A71A12" w:rsidRPr="00BB33FC" w:rsidRDefault="00A71A12" w:rsidP="00A71A12">
            <w:pPr>
              <w:rPr>
                <w:rFonts w:ascii="Arial" w:hAnsi="Arial" w:cs="Arial"/>
                <w:b/>
                <w:bCs/>
                <w:color w:val="000000"/>
                <w:sz w:val="20"/>
                <w:szCs w:val="20"/>
              </w:rPr>
            </w:pPr>
            <w:r w:rsidRPr="00BB33FC">
              <w:rPr>
                <w:rFonts w:ascii="Arial" w:hAnsi="Arial" w:cs="Arial"/>
                <w:b/>
                <w:bCs/>
                <w:color w:val="000000"/>
                <w:sz w:val="20"/>
                <w:szCs w:val="20"/>
              </w:rPr>
              <w:t>23</w:t>
            </w:r>
          </w:p>
        </w:tc>
        <w:tc>
          <w:tcPr>
            <w:tcW w:w="6611" w:type="dxa"/>
            <w:gridSpan w:val="8"/>
            <w:tcBorders>
              <w:top w:val="single" w:sz="8" w:space="0" w:color="E26B0A"/>
              <w:left w:val="nil"/>
              <w:bottom w:val="nil"/>
              <w:right w:val="nil"/>
            </w:tcBorders>
            <w:shd w:val="clear" w:color="auto" w:fill="auto"/>
            <w:noWrap/>
            <w:vAlign w:val="bottom"/>
            <w:hideMark/>
          </w:tcPr>
          <w:p w:rsidR="00A71A12" w:rsidRPr="00BB33FC" w:rsidRDefault="00A71A12" w:rsidP="00A71A12">
            <w:pPr>
              <w:rPr>
                <w:rFonts w:ascii="Arial" w:hAnsi="Arial" w:cs="Arial"/>
                <w:b/>
                <w:bCs/>
                <w:i/>
                <w:iCs/>
                <w:sz w:val="20"/>
                <w:szCs w:val="20"/>
              </w:rPr>
            </w:pPr>
            <w:r w:rsidRPr="00BB33FC">
              <w:rPr>
                <w:rFonts w:ascii="Arial" w:hAnsi="Arial" w:cs="Arial"/>
                <w:b/>
                <w:bCs/>
                <w:i/>
                <w:iCs/>
                <w:sz w:val="20"/>
                <w:szCs w:val="20"/>
              </w:rPr>
              <w:t>Veková štruktúra riadiacich pracovníkov v poľnosp.</w:t>
            </w:r>
          </w:p>
        </w:tc>
        <w:tc>
          <w:tcPr>
            <w:tcW w:w="1674" w:type="dxa"/>
            <w:gridSpan w:val="2"/>
            <w:tcBorders>
              <w:top w:val="nil"/>
              <w:left w:val="nil"/>
              <w:bottom w:val="nil"/>
              <w:right w:val="nil"/>
            </w:tcBorders>
            <w:shd w:val="clear" w:color="auto" w:fill="auto"/>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 </w:t>
            </w:r>
          </w:p>
        </w:tc>
        <w:tc>
          <w:tcPr>
            <w:tcW w:w="641" w:type="dxa"/>
            <w:gridSpan w:val="2"/>
            <w:tcBorders>
              <w:top w:val="nil"/>
              <w:left w:val="nil"/>
              <w:bottom w:val="nil"/>
              <w:right w:val="nil"/>
            </w:tcBorders>
            <w:shd w:val="clear" w:color="auto" w:fill="auto"/>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 </w:t>
            </w:r>
          </w:p>
        </w:tc>
        <w:tc>
          <w:tcPr>
            <w:tcW w:w="951" w:type="dxa"/>
            <w:tcBorders>
              <w:top w:val="nil"/>
              <w:left w:val="nil"/>
              <w:bottom w:val="nil"/>
              <w:right w:val="single" w:sz="8" w:space="0" w:color="E26B0A"/>
            </w:tcBorders>
            <w:shd w:val="clear" w:color="auto" w:fill="auto"/>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 </w:t>
            </w:r>
          </w:p>
        </w:tc>
      </w:tr>
      <w:tr w:rsidR="00A71A12" w:rsidRPr="00BB33FC" w:rsidTr="00A71A12">
        <w:trPr>
          <w:trHeight w:val="540"/>
        </w:trPr>
        <w:tc>
          <w:tcPr>
            <w:tcW w:w="387"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363" w:type="dxa"/>
            <w:vMerge/>
            <w:tcBorders>
              <w:top w:val="nil"/>
              <w:left w:val="single" w:sz="8" w:space="0" w:color="E26B0A"/>
              <w:bottom w:val="single" w:sz="8" w:space="0" w:color="E26B0A"/>
              <w:right w:val="nil"/>
            </w:tcBorders>
            <w:vAlign w:val="center"/>
            <w:hideMark/>
          </w:tcPr>
          <w:p w:rsidR="00A71A12" w:rsidRPr="00BB33FC" w:rsidRDefault="00A71A12" w:rsidP="00A71A12">
            <w:pPr>
              <w:rPr>
                <w:rFonts w:ascii="Arial" w:hAnsi="Arial" w:cs="Arial"/>
                <w:b/>
                <w:bCs/>
                <w:color w:val="000000"/>
                <w:sz w:val="20"/>
                <w:szCs w:val="20"/>
              </w:rPr>
            </w:pPr>
          </w:p>
        </w:tc>
        <w:tc>
          <w:tcPr>
            <w:tcW w:w="5748" w:type="dxa"/>
            <w:gridSpan w:val="6"/>
            <w:tcBorders>
              <w:top w:val="single" w:sz="4" w:space="0" w:color="A6A6A6"/>
              <w:left w:val="nil"/>
              <w:bottom w:val="nil"/>
              <w:right w:val="single" w:sz="4" w:space="0" w:color="A6A6A6"/>
            </w:tcBorders>
            <w:shd w:val="clear" w:color="000000" w:fill="FDE9D9"/>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celkový počet riadiacich pracovníkov v poľnohospodárstve</w:t>
            </w:r>
          </w:p>
        </w:tc>
        <w:tc>
          <w:tcPr>
            <w:tcW w:w="863" w:type="dxa"/>
            <w:gridSpan w:val="2"/>
            <w:tcBorders>
              <w:top w:val="single" w:sz="4" w:space="0" w:color="A6A6A6"/>
              <w:left w:val="nil"/>
              <w:bottom w:val="nil"/>
              <w:right w:val="single" w:sz="4" w:space="0" w:color="A6A6A6"/>
            </w:tcBorders>
            <w:shd w:val="clear" w:color="000000" w:fill="FDE9D9"/>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24 460,0</w:t>
            </w:r>
          </w:p>
        </w:tc>
        <w:tc>
          <w:tcPr>
            <w:tcW w:w="1674" w:type="dxa"/>
            <w:gridSpan w:val="2"/>
            <w:tcBorders>
              <w:top w:val="single" w:sz="4" w:space="0" w:color="A6A6A6"/>
              <w:left w:val="nil"/>
              <w:bottom w:val="nil"/>
              <w:right w:val="single" w:sz="4" w:space="0" w:color="A6A6A6"/>
            </w:tcBorders>
            <w:shd w:val="clear" w:color="000000" w:fill="FDE9D9"/>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Počet</w:t>
            </w:r>
          </w:p>
        </w:tc>
        <w:tc>
          <w:tcPr>
            <w:tcW w:w="641" w:type="dxa"/>
            <w:gridSpan w:val="2"/>
            <w:tcBorders>
              <w:top w:val="single" w:sz="4" w:space="0" w:color="A6A6A6"/>
              <w:left w:val="nil"/>
              <w:bottom w:val="nil"/>
              <w:right w:val="single" w:sz="4" w:space="0" w:color="A6A6A6"/>
            </w:tcBorders>
            <w:shd w:val="clear" w:color="000000" w:fill="FDE9D9"/>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2010</w:t>
            </w:r>
          </w:p>
        </w:tc>
        <w:tc>
          <w:tcPr>
            <w:tcW w:w="951" w:type="dxa"/>
            <w:tcBorders>
              <w:top w:val="single" w:sz="4" w:space="0" w:color="A6A6A6"/>
              <w:left w:val="nil"/>
              <w:bottom w:val="nil"/>
              <w:right w:val="single" w:sz="8" w:space="0" w:color="E26B0A"/>
            </w:tcBorders>
            <w:shd w:val="clear" w:color="000000" w:fill="FDE9D9"/>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w:t>
            </w:r>
          </w:p>
        </w:tc>
      </w:tr>
      <w:tr w:rsidR="00A71A12" w:rsidRPr="00BB33FC" w:rsidTr="00A71A12">
        <w:trPr>
          <w:trHeight w:val="795"/>
        </w:trPr>
        <w:tc>
          <w:tcPr>
            <w:tcW w:w="387"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363" w:type="dxa"/>
            <w:vMerge/>
            <w:tcBorders>
              <w:top w:val="nil"/>
              <w:left w:val="single" w:sz="8" w:space="0" w:color="E26B0A"/>
              <w:bottom w:val="single" w:sz="8" w:space="0" w:color="E26B0A"/>
              <w:right w:val="nil"/>
            </w:tcBorders>
            <w:vAlign w:val="center"/>
            <w:hideMark/>
          </w:tcPr>
          <w:p w:rsidR="00A71A12" w:rsidRPr="00BB33FC" w:rsidRDefault="00A71A12" w:rsidP="00A71A12">
            <w:pPr>
              <w:rPr>
                <w:rFonts w:ascii="Arial" w:hAnsi="Arial" w:cs="Arial"/>
                <w:b/>
                <w:bCs/>
                <w:color w:val="000000"/>
                <w:sz w:val="20"/>
                <w:szCs w:val="20"/>
              </w:rPr>
            </w:pPr>
          </w:p>
        </w:tc>
        <w:tc>
          <w:tcPr>
            <w:tcW w:w="5748" w:type="dxa"/>
            <w:gridSpan w:val="6"/>
            <w:tcBorders>
              <w:top w:val="nil"/>
              <w:left w:val="nil"/>
              <w:bottom w:val="nil"/>
              <w:right w:val="single" w:sz="4" w:space="0" w:color="A6A6A6"/>
            </w:tcBorders>
            <w:shd w:val="clear" w:color="000000" w:fill="FCD5B4"/>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 xml:space="preserve"> podiel &lt; 35 r.</w:t>
            </w:r>
          </w:p>
        </w:tc>
        <w:tc>
          <w:tcPr>
            <w:tcW w:w="863" w:type="dxa"/>
            <w:gridSpan w:val="2"/>
            <w:tcBorders>
              <w:top w:val="nil"/>
              <w:left w:val="nil"/>
              <w:bottom w:val="nil"/>
              <w:right w:val="single" w:sz="4" w:space="0" w:color="A6A6A6"/>
            </w:tcBorders>
            <w:shd w:val="clear" w:color="000000" w:fill="FCD5B4"/>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7,1</w:t>
            </w:r>
          </w:p>
        </w:tc>
        <w:tc>
          <w:tcPr>
            <w:tcW w:w="1674" w:type="dxa"/>
            <w:gridSpan w:val="2"/>
            <w:tcBorders>
              <w:top w:val="nil"/>
              <w:left w:val="nil"/>
              <w:bottom w:val="nil"/>
              <w:right w:val="single" w:sz="4" w:space="0" w:color="A6A6A6"/>
            </w:tcBorders>
            <w:shd w:val="clear" w:color="000000" w:fill="FCD5B4"/>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 z celkového počtu manažeróv</w:t>
            </w:r>
          </w:p>
        </w:tc>
        <w:tc>
          <w:tcPr>
            <w:tcW w:w="641" w:type="dxa"/>
            <w:gridSpan w:val="2"/>
            <w:tcBorders>
              <w:top w:val="nil"/>
              <w:left w:val="nil"/>
              <w:bottom w:val="nil"/>
              <w:right w:val="single" w:sz="4" w:space="0" w:color="A6A6A6"/>
            </w:tcBorders>
            <w:shd w:val="clear" w:color="000000" w:fill="FCD5B4"/>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2010</w:t>
            </w:r>
          </w:p>
        </w:tc>
        <w:tc>
          <w:tcPr>
            <w:tcW w:w="951" w:type="dxa"/>
            <w:tcBorders>
              <w:top w:val="nil"/>
              <w:left w:val="nil"/>
              <w:bottom w:val="nil"/>
              <w:right w:val="single" w:sz="8" w:space="0" w:color="E26B0A"/>
            </w:tcBorders>
            <w:shd w:val="clear" w:color="000000" w:fill="FCD5B4"/>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w:t>
            </w:r>
          </w:p>
        </w:tc>
      </w:tr>
      <w:tr w:rsidR="00A71A12" w:rsidRPr="00BB33FC" w:rsidTr="00A71A12">
        <w:trPr>
          <w:trHeight w:val="1050"/>
        </w:trPr>
        <w:tc>
          <w:tcPr>
            <w:tcW w:w="387"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363" w:type="dxa"/>
            <w:vMerge/>
            <w:tcBorders>
              <w:top w:val="nil"/>
              <w:left w:val="single" w:sz="8" w:space="0" w:color="E26B0A"/>
              <w:bottom w:val="single" w:sz="8" w:space="0" w:color="E26B0A"/>
              <w:right w:val="nil"/>
            </w:tcBorders>
            <w:vAlign w:val="center"/>
            <w:hideMark/>
          </w:tcPr>
          <w:p w:rsidR="00A71A12" w:rsidRPr="00BB33FC" w:rsidRDefault="00A71A12" w:rsidP="00A71A12">
            <w:pPr>
              <w:rPr>
                <w:rFonts w:ascii="Arial" w:hAnsi="Arial" w:cs="Arial"/>
                <w:b/>
                <w:bCs/>
                <w:color w:val="000000"/>
                <w:sz w:val="20"/>
                <w:szCs w:val="20"/>
              </w:rPr>
            </w:pPr>
          </w:p>
        </w:tc>
        <w:tc>
          <w:tcPr>
            <w:tcW w:w="5748" w:type="dxa"/>
            <w:gridSpan w:val="6"/>
            <w:tcBorders>
              <w:top w:val="nil"/>
              <w:left w:val="nil"/>
              <w:bottom w:val="single" w:sz="8" w:space="0" w:color="E26B0A"/>
              <w:right w:val="single" w:sz="4" w:space="0" w:color="A6A6A6"/>
            </w:tcBorders>
            <w:shd w:val="clear" w:color="000000" w:fill="FDE9D9"/>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od &lt;35 / &gt;= 55 r.</w:t>
            </w:r>
          </w:p>
        </w:tc>
        <w:tc>
          <w:tcPr>
            <w:tcW w:w="863" w:type="dxa"/>
            <w:gridSpan w:val="2"/>
            <w:tcBorders>
              <w:top w:val="nil"/>
              <w:left w:val="nil"/>
              <w:bottom w:val="single" w:sz="8" w:space="0" w:color="E26B0A"/>
              <w:right w:val="single" w:sz="4" w:space="0" w:color="A6A6A6"/>
            </w:tcBorders>
            <w:shd w:val="clear" w:color="000000" w:fill="FDE9D9"/>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13,9</w:t>
            </w:r>
          </w:p>
        </w:tc>
        <w:tc>
          <w:tcPr>
            <w:tcW w:w="1674" w:type="dxa"/>
            <w:gridSpan w:val="2"/>
            <w:tcBorders>
              <w:top w:val="nil"/>
              <w:left w:val="nil"/>
              <w:bottom w:val="single" w:sz="8" w:space="0" w:color="E26B0A"/>
              <w:right w:val="single" w:sz="4" w:space="0" w:color="A6A6A6"/>
            </w:tcBorders>
            <w:shd w:val="clear" w:color="000000" w:fill="FDE9D9"/>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Počet mladých manažérov na 100 starších manažérov</w:t>
            </w:r>
          </w:p>
        </w:tc>
        <w:tc>
          <w:tcPr>
            <w:tcW w:w="641" w:type="dxa"/>
            <w:gridSpan w:val="2"/>
            <w:tcBorders>
              <w:top w:val="nil"/>
              <w:left w:val="nil"/>
              <w:bottom w:val="single" w:sz="8" w:space="0" w:color="E26B0A"/>
              <w:right w:val="single" w:sz="4" w:space="0" w:color="A6A6A6"/>
            </w:tcBorders>
            <w:shd w:val="clear" w:color="000000" w:fill="FDE9D9"/>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2010</w:t>
            </w:r>
          </w:p>
        </w:tc>
        <w:tc>
          <w:tcPr>
            <w:tcW w:w="951" w:type="dxa"/>
            <w:tcBorders>
              <w:top w:val="nil"/>
              <w:left w:val="nil"/>
              <w:bottom w:val="single" w:sz="8" w:space="0" w:color="E26B0A"/>
              <w:right w:val="single" w:sz="8" w:space="0" w:color="E26B0A"/>
            </w:tcBorders>
            <w:shd w:val="clear" w:color="000000" w:fill="FDE9D9"/>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w:t>
            </w:r>
          </w:p>
        </w:tc>
      </w:tr>
      <w:tr w:rsidR="00A71A12" w:rsidRPr="00BB33FC" w:rsidTr="00A71A12">
        <w:trPr>
          <w:trHeight w:val="300"/>
        </w:trPr>
        <w:tc>
          <w:tcPr>
            <w:tcW w:w="387"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363" w:type="dxa"/>
            <w:vMerge w:val="restart"/>
            <w:tcBorders>
              <w:top w:val="nil"/>
              <w:left w:val="single" w:sz="8" w:space="0" w:color="E26B0A"/>
              <w:bottom w:val="single" w:sz="8" w:space="0" w:color="E26B0A"/>
              <w:right w:val="nil"/>
            </w:tcBorders>
            <w:shd w:val="clear" w:color="auto" w:fill="auto"/>
            <w:noWrap/>
            <w:hideMark/>
          </w:tcPr>
          <w:p w:rsidR="00A71A12" w:rsidRPr="00BB33FC" w:rsidRDefault="00A71A12" w:rsidP="00A71A12">
            <w:pPr>
              <w:rPr>
                <w:rFonts w:ascii="Arial" w:hAnsi="Arial" w:cs="Arial"/>
                <w:b/>
                <w:bCs/>
                <w:color w:val="000000"/>
                <w:sz w:val="20"/>
                <w:szCs w:val="20"/>
              </w:rPr>
            </w:pPr>
            <w:r w:rsidRPr="00BB33FC">
              <w:rPr>
                <w:rFonts w:ascii="Arial" w:hAnsi="Arial" w:cs="Arial"/>
                <w:b/>
                <w:bCs/>
                <w:color w:val="000000"/>
                <w:sz w:val="20"/>
                <w:szCs w:val="20"/>
              </w:rPr>
              <w:t>24</w:t>
            </w:r>
          </w:p>
        </w:tc>
        <w:tc>
          <w:tcPr>
            <w:tcW w:w="9877" w:type="dxa"/>
            <w:gridSpan w:val="13"/>
            <w:tcBorders>
              <w:top w:val="single" w:sz="8" w:space="0" w:color="E26B0A"/>
              <w:left w:val="nil"/>
              <w:bottom w:val="single" w:sz="4" w:space="0" w:color="A6A6A6"/>
              <w:right w:val="single" w:sz="8" w:space="0" w:color="E26B0A"/>
            </w:tcBorders>
            <w:shd w:val="clear" w:color="auto" w:fill="auto"/>
            <w:vAlign w:val="bottom"/>
            <w:hideMark/>
          </w:tcPr>
          <w:p w:rsidR="00A71A12" w:rsidRPr="00BB33FC" w:rsidRDefault="00A71A12" w:rsidP="00A71A12">
            <w:pPr>
              <w:rPr>
                <w:rFonts w:ascii="Arial" w:hAnsi="Arial" w:cs="Arial"/>
                <w:b/>
                <w:bCs/>
                <w:i/>
                <w:iCs/>
                <w:sz w:val="20"/>
                <w:szCs w:val="20"/>
              </w:rPr>
            </w:pPr>
            <w:r w:rsidRPr="00BB33FC">
              <w:rPr>
                <w:rFonts w:ascii="Arial" w:hAnsi="Arial" w:cs="Arial"/>
                <w:b/>
                <w:bCs/>
                <w:i/>
                <w:iCs/>
                <w:sz w:val="20"/>
                <w:szCs w:val="20"/>
              </w:rPr>
              <w:t>Poľnohosp. vzdelanie manažérov poľn.podnikov</w:t>
            </w:r>
          </w:p>
        </w:tc>
      </w:tr>
      <w:tr w:rsidR="00A71A12" w:rsidRPr="00BB33FC" w:rsidTr="00A71A12">
        <w:trPr>
          <w:trHeight w:val="540"/>
        </w:trPr>
        <w:tc>
          <w:tcPr>
            <w:tcW w:w="387"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363" w:type="dxa"/>
            <w:vMerge/>
            <w:tcBorders>
              <w:top w:val="nil"/>
              <w:left w:val="single" w:sz="8" w:space="0" w:color="E26B0A"/>
              <w:bottom w:val="single" w:sz="8" w:space="0" w:color="E26B0A"/>
              <w:right w:val="nil"/>
            </w:tcBorders>
            <w:vAlign w:val="center"/>
            <w:hideMark/>
          </w:tcPr>
          <w:p w:rsidR="00A71A12" w:rsidRPr="00BB33FC" w:rsidRDefault="00A71A12" w:rsidP="00A71A12">
            <w:pPr>
              <w:rPr>
                <w:rFonts w:ascii="Arial" w:hAnsi="Arial" w:cs="Arial"/>
                <w:b/>
                <w:bCs/>
                <w:color w:val="000000"/>
                <w:sz w:val="20"/>
                <w:szCs w:val="20"/>
              </w:rPr>
            </w:pPr>
          </w:p>
        </w:tc>
        <w:tc>
          <w:tcPr>
            <w:tcW w:w="5748" w:type="dxa"/>
            <w:gridSpan w:val="6"/>
            <w:tcBorders>
              <w:top w:val="single" w:sz="4" w:space="0" w:color="A6A6A6"/>
              <w:left w:val="nil"/>
              <w:bottom w:val="nil"/>
              <w:right w:val="single" w:sz="4" w:space="0" w:color="A6A6A6"/>
            </w:tcBorders>
            <w:shd w:val="clear" w:color="000000" w:fill="FCD5B4"/>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podiel z celkového počtu manažérov so základným a úplným poľn. vzdelaním</w:t>
            </w:r>
          </w:p>
        </w:tc>
        <w:tc>
          <w:tcPr>
            <w:tcW w:w="863" w:type="dxa"/>
            <w:gridSpan w:val="2"/>
            <w:tcBorders>
              <w:top w:val="nil"/>
              <w:left w:val="nil"/>
              <w:bottom w:val="nil"/>
              <w:right w:val="single" w:sz="4" w:space="0" w:color="A6A6A6"/>
            </w:tcBorders>
            <w:shd w:val="clear" w:color="000000" w:fill="FCD5B4"/>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23,8</w:t>
            </w:r>
          </w:p>
        </w:tc>
        <w:tc>
          <w:tcPr>
            <w:tcW w:w="1674" w:type="dxa"/>
            <w:gridSpan w:val="2"/>
            <w:tcBorders>
              <w:top w:val="nil"/>
              <w:left w:val="nil"/>
              <w:bottom w:val="nil"/>
              <w:right w:val="single" w:sz="4" w:space="0" w:color="A6A6A6"/>
            </w:tcBorders>
            <w:shd w:val="clear" w:color="000000" w:fill="FCD5B4"/>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 z celku</w:t>
            </w:r>
          </w:p>
        </w:tc>
        <w:tc>
          <w:tcPr>
            <w:tcW w:w="641" w:type="dxa"/>
            <w:gridSpan w:val="2"/>
            <w:tcBorders>
              <w:top w:val="nil"/>
              <w:left w:val="nil"/>
              <w:bottom w:val="nil"/>
              <w:right w:val="single" w:sz="4" w:space="0" w:color="A6A6A6"/>
            </w:tcBorders>
            <w:shd w:val="clear" w:color="000000" w:fill="FCD5B4"/>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2010</w:t>
            </w:r>
          </w:p>
        </w:tc>
        <w:tc>
          <w:tcPr>
            <w:tcW w:w="951" w:type="dxa"/>
            <w:tcBorders>
              <w:top w:val="nil"/>
              <w:left w:val="nil"/>
              <w:bottom w:val="nil"/>
              <w:right w:val="single" w:sz="8" w:space="0" w:color="E26B0A"/>
            </w:tcBorders>
            <w:shd w:val="clear" w:color="000000" w:fill="FCD5B4"/>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w:t>
            </w:r>
          </w:p>
        </w:tc>
      </w:tr>
      <w:tr w:rsidR="00A71A12" w:rsidRPr="00BB33FC" w:rsidTr="00A71A12">
        <w:trPr>
          <w:trHeight w:val="510"/>
        </w:trPr>
        <w:tc>
          <w:tcPr>
            <w:tcW w:w="387"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363" w:type="dxa"/>
            <w:vMerge/>
            <w:tcBorders>
              <w:top w:val="nil"/>
              <w:left w:val="single" w:sz="8" w:space="0" w:color="E26B0A"/>
              <w:bottom w:val="single" w:sz="8" w:space="0" w:color="E26B0A"/>
              <w:right w:val="nil"/>
            </w:tcBorders>
            <w:vAlign w:val="center"/>
            <w:hideMark/>
          </w:tcPr>
          <w:p w:rsidR="00A71A12" w:rsidRPr="00BB33FC" w:rsidRDefault="00A71A12" w:rsidP="00A71A12">
            <w:pPr>
              <w:rPr>
                <w:rFonts w:ascii="Arial" w:hAnsi="Arial" w:cs="Arial"/>
                <w:b/>
                <w:bCs/>
                <w:color w:val="000000"/>
                <w:sz w:val="20"/>
                <w:szCs w:val="20"/>
              </w:rPr>
            </w:pPr>
          </w:p>
        </w:tc>
        <w:tc>
          <w:tcPr>
            <w:tcW w:w="5748" w:type="dxa"/>
            <w:gridSpan w:val="6"/>
            <w:tcBorders>
              <w:top w:val="nil"/>
              <w:left w:val="nil"/>
              <w:bottom w:val="single" w:sz="8" w:space="0" w:color="E26B0A"/>
              <w:right w:val="single" w:sz="4" w:space="0" w:color="A6A6A6"/>
            </w:tcBorders>
            <w:shd w:val="clear" w:color="000000" w:fill="FDE9D9"/>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podiel manažérov do 35 r. so základným a ukončným poľn. vzdelaním</w:t>
            </w:r>
          </w:p>
        </w:tc>
        <w:tc>
          <w:tcPr>
            <w:tcW w:w="863" w:type="dxa"/>
            <w:gridSpan w:val="2"/>
            <w:tcBorders>
              <w:top w:val="nil"/>
              <w:left w:val="nil"/>
              <w:bottom w:val="single" w:sz="8" w:space="0" w:color="E26B0A"/>
              <w:right w:val="single" w:sz="4" w:space="0" w:color="A6A6A6"/>
            </w:tcBorders>
            <w:shd w:val="clear" w:color="000000" w:fill="FDE9D9"/>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35,3</w:t>
            </w:r>
          </w:p>
        </w:tc>
        <w:tc>
          <w:tcPr>
            <w:tcW w:w="1674" w:type="dxa"/>
            <w:gridSpan w:val="2"/>
            <w:tcBorders>
              <w:top w:val="nil"/>
              <w:left w:val="nil"/>
              <w:bottom w:val="single" w:sz="8" w:space="0" w:color="E26B0A"/>
              <w:right w:val="single" w:sz="4" w:space="0" w:color="A6A6A6"/>
            </w:tcBorders>
            <w:shd w:val="clear" w:color="000000" w:fill="FDE9D9"/>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 z celku</w:t>
            </w:r>
          </w:p>
        </w:tc>
        <w:tc>
          <w:tcPr>
            <w:tcW w:w="641" w:type="dxa"/>
            <w:gridSpan w:val="2"/>
            <w:tcBorders>
              <w:top w:val="nil"/>
              <w:left w:val="nil"/>
              <w:bottom w:val="single" w:sz="8" w:space="0" w:color="E26B0A"/>
              <w:right w:val="single" w:sz="4" w:space="0" w:color="A6A6A6"/>
            </w:tcBorders>
            <w:shd w:val="clear" w:color="000000" w:fill="FDE9D9"/>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2010</w:t>
            </w:r>
          </w:p>
        </w:tc>
        <w:tc>
          <w:tcPr>
            <w:tcW w:w="951" w:type="dxa"/>
            <w:tcBorders>
              <w:top w:val="nil"/>
              <w:left w:val="nil"/>
              <w:bottom w:val="single" w:sz="8" w:space="0" w:color="E26B0A"/>
              <w:right w:val="single" w:sz="8" w:space="0" w:color="E26B0A"/>
            </w:tcBorders>
            <w:shd w:val="clear" w:color="000000" w:fill="FDE9D9"/>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w:t>
            </w:r>
          </w:p>
        </w:tc>
      </w:tr>
      <w:tr w:rsidR="00A71A12" w:rsidRPr="00BB33FC" w:rsidTr="00A71A12">
        <w:trPr>
          <w:trHeight w:val="300"/>
        </w:trPr>
        <w:tc>
          <w:tcPr>
            <w:tcW w:w="387"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363" w:type="dxa"/>
            <w:vMerge w:val="restart"/>
            <w:tcBorders>
              <w:top w:val="nil"/>
              <w:left w:val="single" w:sz="8" w:space="0" w:color="E26B0A"/>
              <w:bottom w:val="single" w:sz="8" w:space="0" w:color="E26B0A"/>
              <w:right w:val="nil"/>
            </w:tcBorders>
            <w:shd w:val="clear" w:color="auto" w:fill="auto"/>
            <w:noWrap/>
            <w:hideMark/>
          </w:tcPr>
          <w:p w:rsidR="00A71A12" w:rsidRPr="00BB33FC" w:rsidRDefault="00A71A12" w:rsidP="00A71A12">
            <w:pPr>
              <w:rPr>
                <w:rFonts w:ascii="Arial" w:hAnsi="Arial" w:cs="Arial"/>
                <w:b/>
                <w:bCs/>
                <w:color w:val="000000"/>
                <w:sz w:val="20"/>
                <w:szCs w:val="20"/>
              </w:rPr>
            </w:pPr>
            <w:r w:rsidRPr="00BB33FC">
              <w:rPr>
                <w:rFonts w:ascii="Arial" w:hAnsi="Arial" w:cs="Arial"/>
                <w:b/>
                <w:bCs/>
                <w:color w:val="000000"/>
                <w:sz w:val="20"/>
                <w:szCs w:val="20"/>
              </w:rPr>
              <w:t>25</w:t>
            </w:r>
          </w:p>
        </w:tc>
        <w:tc>
          <w:tcPr>
            <w:tcW w:w="4662" w:type="dxa"/>
            <w:gridSpan w:val="4"/>
            <w:tcBorders>
              <w:top w:val="nil"/>
              <w:left w:val="nil"/>
              <w:bottom w:val="nil"/>
              <w:right w:val="nil"/>
            </w:tcBorders>
            <w:shd w:val="clear" w:color="000000" w:fill="FFFFFF"/>
            <w:noWrap/>
            <w:vAlign w:val="bottom"/>
            <w:hideMark/>
          </w:tcPr>
          <w:p w:rsidR="00A71A12" w:rsidRPr="00BB33FC" w:rsidRDefault="00A71A12" w:rsidP="00A71A12">
            <w:pPr>
              <w:rPr>
                <w:rFonts w:ascii="Arial" w:hAnsi="Arial" w:cs="Arial"/>
                <w:b/>
                <w:bCs/>
                <w:i/>
                <w:iCs/>
                <w:sz w:val="20"/>
                <w:szCs w:val="20"/>
              </w:rPr>
            </w:pPr>
            <w:r w:rsidRPr="00BB33FC">
              <w:rPr>
                <w:rFonts w:ascii="Arial" w:hAnsi="Arial" w:cs="Arial"/>
                <w:b/>
                <w:bCs/>
                <w:i/>
                <w:iCs/>
                <w:sz w:val="20"/>
                <w:szCs w:val="20"/>
              </w:rPr>
              <w:t>Čistá pridaná hodnota v nákladoch faktorov (agricultural factor income)</w:t>
            </w:r>
          </w:p>
        </w:tc>
        <w:tc>
          <w:tcPr>
            <w:tcW w:w="1086" w:type="dxa"/>
            <w:gridSpan w:val="2"/>
            <w:tcBorders>
              <w:top w:val="nil"/>
              <w:left w:val="nil"/>
              <w:bottom w:val="nil"/>
              <w:right w:val="nil"/>
            </w:tcBorders>
            <w:shd w:val="clear" w:color="auto" w:fill="auto"/>
            <w:noWrap/>
            <w:vAlign w:val="bottom"/>
            <w:hideMark/>
          </w:tcPr>
          <w:p w:rsidR="00A71A12" w:rsidRPr="00BB33FC" w:rsidRDefault="00A71A12" w:rsidP="00A71A12">
            <w:pPr>
              <w:rPr>
                <w:rFonts w:ascii="Arial" w:hAnsi="Arial" w:cs="Arial"/>
                <w:b/>
                <w:bCs/>
                <w:sz w:val="20"/>
                <w:szCs w:val="20"/>
              </w:rPr>
            </w:pPr>
            <w:r w:rsidRPr="00BB33FC">
              <w:rPr>
                <w:rFonts w:ascii="Arial" w:hAnsi="Arial" w:cs="Arial"/>
                <w:b/>
                <w:bCs/>
                <w:sz w:val="20"/>
                <w:szCs w:val="20"/>
              </w:rPr>
              <w:t> </w:t>
            </w:r>
          </w:p>
        </w:tc>
        <w:tc>
          <w:tcPr>
            <w:tcW w:w="863" w:type="dxa"/>
            <w:gridSpan w:val="2"/>
            <w:tcBorders>
              <w:top w:val="nil"/>
              <w:left w:val="nil"/>
              <w:bottom w:val="nil"/>
              <w:right w:val="nil"/>
            </w:tcBorders>
            <w:shd w:val="clear" w:color="auto" w:fill="auto"/>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 </w:t>
            </w:r>
          </w:p>
        </w:tc>
        <w:tc>
          <w:tcPr>
            <w:tcW w:w="1674" w:type="dxa"/>
            <w:gridSpan w:val="2"/>
            <w:tcBorders>
              <w:top w:val="nil"/>
              <w:left w:val="nil"/>
              <w:bottom w:val="nil"/>
              <w:right w:val="nil"/>
            </w:tcBorders>
            <w:shd w:val="clear" w:color="auto" w:fill="auto"/>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 </w:t>
            </w:r>
          </w:p>
        </w:tc>
        <w:tc>
          <w:tcPr>
            <w:tcW w:w="641" w:type="dxa"/>
            <w:gridSpan w:val="2"/>
            <w:tcBorders>
              <w:top w:val="nil"/>
              <w:left w:val="nil"/>
              <w:bottom w:val="nil"/>
              <w:right w:val="nil"/>
            </w:tcBorders>
            <w:shd w:val="clear" w:color="auto" w:fill="auto"/>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 </w:t>
            </w:r>
          </w:p>
        </w:tc>
        <w:tc>
          <w:tcPr>
            <w:tcW w:w="951" w:type="dxa"/>
            <w:tcBorders>
              <w:top w:val="nil"/>
              <w:left w:val="nil"/>
              <w:bottom w:val="nil"/>
              <w:right w:val="single" w:sz="8" w:space="0" w:color="E26B0A"/>
            </w:tcBorders>
            <w:shd w:val="clear" w:color="auto" w:fill="auto"/>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 </w:t>
            </w:r>
          </w:p>
        </w:tc>
      </w:tr>
      <w:tr w:rsidR="00A71A12" w:rsidRPr="00BB33FC" w:rsidTr="00A71A12">
        <w:trPr>
          <w:trHeight w:val="300"/>
        </w:trPr>
        <w:tc>
          <w:tcPr>
            <w:tcW w:w="387"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363" w:type="dxa"/>
            <w:vMerge/>
            <w:tcBorders>
              <w:top w:val="nil"/>
              <w:left w:val="single" w:sz="8" w:space="0" w:color="E26B0A"/>
              <w:bottom w:val="single" w:sz="8" w:space="0" w:color="E26B0A"/>
              <w:right w:val="nil"/>
            </w:tcBorders>
            <w:vAlign w:val="center"/>
            <w:hideMark/>
          </w:tcPr>
          <w:p w:rsidR="00A71A12" w:rsidRPr="00BB33FC" w:rsidRDefault="00A71A12" w:rsidP="00A71A12">
            <w:pPr>
              <w:rPr>
                <w:rFonts w:ascii="Arial" w:hAnsi="Arial" w:cs="Arial"/>
                <w:b/>
                <w:bCs/>
                <w:color w:val="000000"/>
                <w:sz w:val="20"/>
                <w:szCs w:val="20"/>
              </w:rPr>
            </w:pPr>
          </w:p>
        </w:tc>
        <w:tc>
          <w:tcPr>
            <w:tcW w:w="4662" w:type="dxa"/>
            <w:gridSpan w:val="4"/>
            <w:tcBorders>
              <w:top w:val="single" w:sz="4" w:space="0" w:color="A6A6A6"/>
              <w:left w:val="nil"/>
              <w:bottom w:val="nil"/>
              <w:right w:val="nil"/>
            </w:tcBorders>
            <w:shd w:val="clear" w:color="000000" w:fill="FCD5B4"/>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celkom</w:t>
            </w:r>
          </w:p>
        </w:tc>
        <w:tc>
          <w:tcPr>
            <w:tcW w:w="1086" w:type="dxa"/>
            <w:gridSpan w:val="2"/>
            <w:tcBorders>
              <w:top w:val="single" w:sz="4" w:space="0" w:color="A6A6A6"/>
              <w:left w:val="nil"/>
              <w:bottom w:val="nil"/>
              <w:right w:val="single" w:sz="4" w:space="0" w:color="A6A6A6"/>
            </w:tcBorders>
            <w:shd w:val="clear" w:color="000000" w:fill="FCD5B4"/>
            <w:noWrap/>
            <w:vAlign w:val="bottom"/>
            <w:hideMark/>
          </w:tcPr>
          <w:p w:rsidR="00A71A12" w:rsidRPr="00BB33FC" w:rsidRDefault="00A71A12" w:rsidP="00A71A12">
            <w:pPr>
              <w:rPr>
                <w:rFonts w:ascii="Arial" w:hAnsi="Arial" w:cs="Arial"/>
                <w:sz w:val="20"/>
                <w:szCs w:val="20"/>
              </w:rPr>
            </w:pPr>
            <w:r w:rsidRPr="00BB33FC">
              <w:rPr>
                <w:rFonts w:ascii="Arial" w:hAnsi="Arial" w:cs="Arial"/>
                <w:sz w:val="20"/>
                <w:szCs w:val="20"/>
              </w:rPr>
              <w:t> </w:t>
            </w:r>
          </w:p>
        </w:tc>
        <w:tc>
          <w:tcPr>
            <w:tcW w:w="863" w:type="dxa"/>
            <w:gridSpan w:val="2"/>
            <w:tcBorders>
              <w:top w:val="single" w:sz="4" w:space="0" w:color="A6A6A6"/>
              <w:left w:val="nil"/>
              <w:bottom w:val="nil"/>
              <w:right w:val="single" w:sz="4" w:space="0" w:color="A6A6A6"/>
            </w:tcBorders>
            <w:shd w:val="clear" w:color="000000" w:fill="FCD5B4"/>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7 982,4</w:t>
            </w:r>
          </w:p>
        </w:tc>
        <w:tc>
          <w:tcPr>
            <w:tcW w:w="1674" w:type="dxa"/>
            <w:gridSpan w:val="2"/>
            <w:tcBorders>
              <w:top w:val="single" w:sz="4" w:space="0" w:color="A6A6A6"/>
              <w:left w:val="nil"/>
              <w:bottom w:val="nil"/>
              <w:right w:val="single" w:sz="4" w:space="0" w:color="A6A6A6"/>
            </w:tcBorders>
            <w:shd w:val="clear" w:color="000000" w:fill="FCD5B4"/>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EUR/AWU</w:t>
            </w:r>
          </w:p>
        </w:tc>
        <w:tc>
          <w:tcPr>
            <w:tcW w:w="641" w:type="dxa"/>
            <w:gridSpan w:val="2"/>
            <w:tcBorders>
              <w:top w:val="single" w:sz="4" w:space="0" w:color="A6A6A6"/>
              <w:left w:val="nil"/>
              <w:bottom w:val="nil"/>
              <w:right w:val="single" w:sz="4" w:space="0" w:color="A6A6A6"/>
            </w:tcBorders>
            <w:shd w:val="clear" w:color="000000" w:fill="FCD5B4"/>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2012e</w:t>
            </w:r>
          </w:p>
        </w:tc>
        <w:tc>
          <w:tcPr>
            <w:tcW w:w="951" w:type="dxa"/>
            <w:tcBorders>
              <w:top w:val="single" w:sz="4" w:space="0" w:color="A6A6A6"/>
              <w:left w:val="nil"/>
              <w:bottom w:val="nil"/>
              <w:right w:val="single" w:sz="8" w:space="0" w:color="E26B0A"/>
            </w:tcBorders>
            <w:shd w:val="clear" w:color="000000" w:fill="FCD5B4"/>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w:t>
            </w:r>
          </w:p>
        </w:tc>
      </w:tr>
      <w:tr w:rsidR="00A71A12" w:rsidRPr="00BB33FC" w:rsidTr="00A71A12">
        <w:trPr>
          <w:trHeight w:val="510"/>
        </w:trPr>
        <w:tc>
          <w:tcPr>
            <w:tcW w:w="387"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363" w:type="dxa"/>
            <w:vMerge/>
            <w:tcBorders>
              <w:top w:val="nil"/>
              <w:left w:val="single" w:sz="8" w:space="0" w:color="E26B0A"/>
              <w:bottom w:val="single" w:sz="8" w:space="0" w:color="E26B0A"/>
              <w:right w:val="nil"/>
            </w:tcBorders>
            <w:vAlign w:val="center"/>
            <w:hideMark/>
          </w:tcPr>
          <w:p w:rsidR="00A71A12" w:rsidRPr="00BB33FC" w:rsidRDefault="00A71A12" w:rsidP="00A71A12">
            <w:pPr>
              <w:rPr>
                <w:rFonts w:ascii="Arial" w:hAnsi="Arial" w:cs="Arial"/>
                <w:b/>
                <w:bCs/>
                <w:color w:val="000000"/>
                <w:sz w:val="20"/>
                <w:szCs w:val="20"/>
              </w:rPr>
            </w:pPr>
          </w:p>
        </w:tc>
        <w:tc>
          <w:tcPr>
            <w:tcW w:w="4662" w:type="dxa"/>
            <w:gridSpan w:val="4"/>
            <w:tcBorders>
              <w:top w:val="nil"/>
              <w:left w:val="nil"/>
              <w:bottom w:val="single" w:sz="8" w:space="0" w:color="E26B0A"/>
              <w:right w:val="single" w:sz="4" w:space="0" w:color="A6A6A6"/>
            </w:tcBorders>
            <w:shd w:val="clear" w:color="000000" w:fill="FDE9D9"/>
            <w:noWrap/>
            <w:vAlign w:val="bottom"/>
            <w:hideMark/>
          </w:tcPr>
          <w:p w:rsidR="00A71A12" w:rsidRPr="00BB33FC" w:rsidRDefault="00A71A12" w:rsidP="00A71A12">
            <w:pPr>
              <w:rPr>
                <w:rFonts w:ascii="Arial" w:hAnsi="Arial" w:cs="Arial"/>
                <w:sz w:val="20"/>
                <w:szCs w:val="20"/>
              </w:rPr>
            </w:pPr>
            <w:r w:rsidRPr="00BB33FC">
              <w:rPr>
                <w:rFonts w:ascii="Arial" w:hAnsi="Arial" w:cs="Arial"/>
                <w:sz w:val="20"/>
                <w:szCs w:val="20"/>
              </w:rPr>
              <w:t>celkom (index)</w:t>
            </w:r>
          </w:p>
        </w:tc>
        <w:tc>
          <w:tcPr>
            <w:tcW w:w="1086" w:type="dxa"/>
            <w:gridSpan w:val="2"/>
            <w:tcBorders>
              <w:top w:val="nil"/>
              <w:left w:val="nil"/>
              <w:bottom w:val="single" w:sz="8" w:space="0" w:color="E26B0A"/>
              <w:right w:val="single" w:sz="4" w:space="0" w:color="A6A6A6"/>
            </w:tcBorders>
            <w:shd w:val="clear" w:color="000000" w:fill="FDE9D9"/>
            <w:noWrap/>
            <w:vAlign w:val="bottom"/>
            <w:hideMark/>
          </w:tcPr>
          <w:p w:rsidR="00A71A12" w:rsidRPr="00BB33FC" w:rsidRDefault="00A71A12" w:rsidP="00A71A12">
            <w:pPr>
              <w:rPr>
                <w:rFonts w:ascii="Arial" w:hAnsi="Arial" w:cs="Arial"/>
                <w:sz w:val="20"/>
                <w:szCs w:val="20"/>
              </w:rPr>
            </w:pPr>
            <w:r w:rsidRPr="00BB33FC">
              <w:rPr>
                <w:rFonts w:ascii="Arial" w:hAnsi="Arial" w:cs="Arial"/>
                <w:sz w:val="20"/>
                <w:szCs w:val="20"/>
              </w:rPr>
              <w:t> </w:t>
            </w:r>
          </w:p>
        </w:tc>
        <w:tc>
          <w:tcPr>
            <w:tcW w:w="863" w:type="dxa"/>
            <w:gridSpan w:val="2"/>
            <w:tcBorders>
              <w:top w:val="nil"/>
              <w:left w:val="nil"/>
              <w:bottom w:val="single" w:sz="8" w:space="0" w:color="E26B0A"/>
              <w:right w:val="single" w:sz="4" w:space="0" w:color="A6A6A6"/>
            </w:tcBorders>
            <w:shd w:val="clear" w:color="000000" w:fill="FDE9D9"/>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195,9</w:t>
            </w:r>
          </w:p>
        </w:tc>
        <w:tc>
          <w:tcPr>
            <w:tcW w:w="1674" w:type="dxa"/>
            <w:gridSpan w:val="2"/>
            <w:tcBorders>
              <w:top w:val="nil"/>
              <w:left w:val="nil"/>
              <w:bottom w:val="single" w:sz="8" w:space="0" w:color="E26B0A"/>
              <w:right w:val="single" w:sz="4" w:space="0" w:color="A6A6A6"/>
            </w:tcBorders>
            <w:shd w:val="clear" w:color="000000" w:fill="FDE9D9"/>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Index 2005 = 100</w:t>
            </w:r>
          </w:p>
        </w:tc>
        <w:tc>
          <w:tcPr>
            <w:tcW w:w="641" w:type="dxa"/>
            <w:gridSpan w:val="2"/>
            <w:tcBorders>
              <w:top w:val="nil"/>
              <w:left w:val="nil"/>
              <w:bottom w:val="single" w:sz="8" w:space="0" w:color="E26B0A"/>
              <w:right w:val="single" w:sz="4" w:space="0" w:color="A6A6A6"/>
            </w:tcBorders>
            <w:shd w:val="clear" w:color="000000" w:fill="FDE9D9"/>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2012e</w:t>
            </w:r>
          </w:p>
        </w:tc>
        <w:tc>
          <w:tcPr>
            <w:tcW w:w="951" w:type="dxa"/>
            <w:tcBorders>
              <w:top w:val="nil"/>
              <w:left w:val="nil"/>
              <w:bottom w:val="single" w:sz="8" w:space="0" w:color="E26B0A"/>
              <w:right w:val="single" w:sz="8" w:space="0" w:color="E26B0A"/>
            </w:tcBorders>
            <w:shd w:val="clear" w:color="000000" w:fill="FDE9D9"/>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2012e</w:t>
            </w:r>
          </w:p>
        </w:tc>
      </w:tr>
      <w:tr w:rsidR="00A71A12" w:rsidRPr="00BB33FC" w:rsidTr="00A71A12">
        <w:trPr>
          <w:trHeight w:val="300"/>
        </w:trPr>
        <w:tc>
          <w:tcPr>
            <w:tcW w:w="387"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363" w:type="dxa"/>
            <w:vMerge w:val="restart"/>
            <w:tcBorders>
              <w:top w:val="nil"/>
              <w:left w:val="single" w:sz="8" w:space="0" w:color="E26B0A"/>
              <w:bottom w:val="single" w:sz="8" w:space="0" w:color="E26B0A"/>
              <w:right w:val="nil"/>
            </w:tcBorders>
            <w:shd w:val="clear" w:color="auto" w:fill="auto"/>
            <w:noWrap/>
            <w:hideMark/>
          </w:tcPr>
          <w:p w:rsidR="00A71A12" w:rsidRPr="00BB33FC" w:rsidRDefault="00A71A12" w:rsidP="00A71A12">
            <w:pPr>
              <w:rPr>
                <w:rFonts w:ascii="Arial" w:hAnsi="Arial" w:cs="Arial"/>
                <w:b/>
                <w:bCs/>
                <w:color w:val="000000"/>
                <w:sz w:val="20"/>
                <w:szCs w:val="20"/>
              </w:rPr>
            </w:pPr>
            <w:r w:rsidRPr="00BB33FC">
              <w:rPr>
                <w:rFonts w:ascii="Arial" w:hAnsi="Arial" w:cs="Arial"/>
                <w:b/>
                <w:bCs/>
                <w:color w:val="000000"/>
                <w:sz w:val="20"/>
                <w:szCs w:val="20"/>
              </w:rPr>
              <w:t>26</w:t>
            </w:r>
          </w:p>
        </w:tc>
        <w:tc>
          <w:tcPr>
            <w:tcW w:w="5748" w:type="dxa"/>
            <w:gridSpan w:val="6"/>
            <w:tcBorders>
              <w:top w:val="single" w:sz="8" w:space="0" w:color="E26B0A"/>
              <w:left w:val="nil"/>
              <w:bottom w:val="nil"/>
              <w:right w:val="nil"/>
            </w:tcBorders>
            <w:shd w:val="clear" w:color="auto" w:fill="auto"/>
            <w:noWrap/>
            <w:vAlign w:val="bottom"/>
            <w:hideMark/>
          </w:tcPr>
          <w:p w:rsidR="00A71A12" w:rsidRPr="00BB33FC" w:rsidRDefault="00A71A12" w:rsidP="00A71A12">
            <w:pPr>
              <w:rPr>
                <w:rFonts w:ascii="Arial" w:hAnsi="Arial" w:cs="Arial"/>
                <w:b/>
                <w:bCs/>
                <w:i/>
                <w:iCs/>
                <w:sz w:val="20"/>
                <w:szCs w:val="20"/>
              </w:rPr>
            </w:pPr>
            <w:r w:rsidRPr="00BB33FC">
              <w:rPr>
                <w:rFonts w:ascii="Arial" w:hAnsi="Arial" w:cs="Arial"/>
                <w:b/>
                <w:bCs/>
                <w:i/>
                <w:iCs/>
                <w:sz w:val="20"/>
                <w:szCs w:val="20"/>
              </w:rPr>
              <w:t>Príjem poľnohosp. podnikov</w:t>
            </w:r>
          </w:p>
        </w:tc>
        <w:tc>
          <w:tcPr>
            <w:tcW w:w="863" w:type="dxa"/>
            <w:gridSpan w:val="2"/>
            <w:tcBorders>
              <w:top w:val="nil"/>
              <w:left w:val="nil"/>
              <w:bottom w:val="nil"/>
              <w:right w:val="single" w:sz="4" w:space="0" w:color="A6A6A6"/>
            </w:tcBorders>
            <w:shd w:val="clear" w:color="auto" w:fill="auto"/>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 </w:t>
            </w:r>
          </w:p>
        </w:tc>
        <w:tc>
          <w:tcPr>
            <w:tcW w:w="1674" w:type="dxa"/>
            <w:gridSpan w:val="2"/>
            <w:tcBorders>
              <w:top w:val="nil"/>
              <w:left w:val="nil"/>
              <w:bottom w:val="nil"/>
              <w:right w:val="nil"/>
            </w:tcBorders>
            <w:shd w:val="clear" w:color="auto" w:fill="auto"/>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 </w:t>
            </w:r>
          </w:p>
        </w:tc>
        <w:tc>
          <w:tcPr>
            <w:tcW w:w="641" w:type="dxa"/>
            <w:gridSpan w:val="2"/>
            <w:tcBorders>
              <w:top w:val="nil"/>
              <w:left w:val="nil"/>
              <w:bottom w:val="nil"/>
              <w:right w:val="nil"/>
            </w:tcBorders>
            <w:shd w:val="clear" w:color="auto" w:fill="auto"/>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 </w:t>
            </w:r>
          </w:p>
        </w:tc>
        <w:tc>
          <w:tcPr>
            <w:tcW w:w="951" w:type="dxa"/>
            <w:tcBorders>
              <w:top w:val="nil"/>
              <w:left w:val="nil"/>
              <w:bottom w:val="nil"/>
              <w:right w:val="single" w:sz="8" w:space="0" w:color="E26B0A"/>
            </w:tcBorders>
            <w:shd w:val="clear" w:color="auto" w:fill="auto"/>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 </w:t>
            </w:r>
          </w:p>
        </w:tc>
      </w:tr>
      <w:tr w:rsidR="00A71A12" w:rsidRPr="00BB33FC" w:rsidTr="00A71A12">
        <w:trPr>
          <w:trHeight w:val="435"/>
        </w:trPr>
        <w:tc>
          <w:tcPr>
            <w:tcW w:w="387"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363" w:type="dxa"/>
            <w:vMerge/>
            <w:tcBorders>
              <w:top w:val="nil"/>
              <w:left w:val="single" w:sz="8" w:space="0" w:color="E26B0A"/>
              <w:bottom w:val="single" w:sz="8" w:space="0" w:color="E26B0A"/>
              <w:right w:val="nil"/>
            </w:tcBorders>
            <w:vAlign w:val="center"/>
            <w:hideMark/>
          </w:tcPr>
          <w:p w:rsidR="00A71A12" w:rsidRPr="00BB33FC" w:rsidRDefault="00A71A12" w:rsidP="00A71A12">
            <w:pPr>
              <w:rPr>
                <w:rFonts w:ascii="Arial" w:hAnsi="Arial" w:cs="Arial"/>
                <w:b/>
                <w:bCs/>
                <w:color w:val="000000"/>
                <w:sz w:val="20"/>
                <w:szCs w:val="20"/>
              </w:rPr>
            </w:pPr>
          </w:p>
        </w:tc>
        <w:tc>
          <w:tcPr>
            <w:tcW w:w="5748" w:type="dxa"/>
            <w:gridSpan w:val="6"/>
            <w:tcBorders>
              <w:top w:val="single" w:sz="4" w:space="0" w:color="A6A6A6"/>
              <w:left w:val="nil"/>
              <w:bottom w:val="nil"/>
              <w:right w:val="single" w:sz="4" w:space="0" w:color="A6A6A6"/>
            </w:tcBorders>
            <w:shd w:val="clear" w:color="000000" w:fill="FCD5B4"/>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Životná úroveň poľnohospodárov</w:t>
            </w:r>
          </w:p>
        </w:tc>
        <w:tc>
          <w:tcPr>
            <w:tcW w:w="863" w:type="dxa"/>
            <w:gridSpan w:val="2"/>
            <w:tcBorders>
              <w:top w:val="single" w:sz="4" w:space="0" w:color="A6A6A6"/>
              <w:left w:val="nil"/>
              <w:bottom w:val="nil"/>
              <w:right w:val="single" w:sz="4" w:space="0" w:color="A6A6A6"/>
            </w:tcBorders>
            <w:shd w:val="clear" w:color="000000" w:fill="FCD5B4"/>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1 966,3</w:t>
            </w:r>
          </w:p>
        </w:tc>
        <w:tc>
          <w:tcPr>
            <w:tcW w:w="1674" w:type="dxa"/>
            <w:gridSpan w:val="2"/>
            <w:tcBorders>
              <w:top w:val="single" w:sz="4" w:space="0" w:color="A6A6A6"/>
              <w:left w:val="nil"/>
              <w:bottom w:val="nil"/>
              <w:right w:val="single" w:sz="4" w:space="0" w:color="A6A6A6"/>
            </w:tcBorders>
            <w:shd w:val="clear" w:color="000000" w:fill="FCD5B4"/>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EUR/AWU</w:t>
            </w:r>
          </w:p>
        </w:tc>
        <w:tc>
          <w:tcPr>
            <w:tcW w:w="641" w:type="dxa"/>
            <w:gridSpan w:val="2"/>
            <w:tcBorders>
              <w:top w:val="single" w:sz="4" w:space="0" w:color="A6A6A6"/>
              <w:left w:val="nil"/>
              <w:bottom w:val="nil"/>
              <w:right w:val="single" w:sz="4" w:space="0" w:color="A6A6A6"/>
            </w:tcBorders>
            <w:shd w:val="clear" w:color="000000" w:fill="FCD5B4"/>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2012e</w:t>
            </w:r>
          </w:p>
        </w:tc>
        <w:tc>
          <w:tcPr>
            <w:tcW w:w="951" w:type="dxa"/>
            <w:tcBorders>
              <w:top w:val="single" w:sz="4" w:space="0" w:color="A6A6A6"/>
              <w:left w:val="nil"/>
              <w:bottom w:val="nil"/>
              <w:right w:val="single" w:sz="8" w:space="0" w:color="E26B0A"/>
            </w:tcBorders>
            <w:shd w:val="clear" w:color="000000" w:fill="FCD5B4"/>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w:t>
            </w:r>
          </w:p>
        </w:tc>
      </w:tr>
      <w:tr w:rsidR="00A71A12" w:rsidRPr="00BB33FC" w:rsidTr="00A71A12">
        <w:trPr>
          <w:trHeight w:val="840"/>
        </w:trPr>
        <w:tc>
          <w:tcPr>
            <w:tcW w:w="387"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363" w:type="dxa"/>
            <w:vMerge/>
            <w:tcBorders>
              <w:top w:val="nil"/>
              <w:left w:val="single" w:sz="8" w:space="0" w:color="E26B0A"/>
              <w:bottom w:val="single" w:sz="8" w:space="0" w:color="E26B0A"/>
              <w:right w:val="nil"/>
            </w:tcBorders>
            <w:vAlign w:val="center"/>
            <w:hideMark/>
          </w:tcPr>
          <w:p w:rsidR="00A71A12" w:rsidRPr="00BB33FC" w:rsidRDefault="00A71A12" w:rsidP="00A71A12">
            <w:pPr>
              <w:rPr>
                <w:rFonts w:ascii="Arial" w:hAnsi="Arial" w:cs="Arial"/>
                <w:b/>
                <w:bCs/>
                <w:color w:val="000000"/>
                <w:sz w:val="20"/>
                <w:szCs w:val="20"/>
              </w:rPr>
            </w:pPr>
          </w:p>
        </w:tc>
        <w:tc>
          <w:tcPr>
            <w:tcW w:w="5748" w:type="dxa"/>
            <w:gridSpan w:val="6"/>
            <w:tcBorders>
              <w:top w:val="nil"/>
              <w:left w:val="nil"/>
              <w:bottom w:val="single" w:sz="8" w:space="0" w:color="E26B0A"/>
              <w:right w:val="single" w:sz="4" w:space="0" w:color="A6A6A6"/>
            </w:tcBorders>
            <w:shd w:val="clear" w:color="000000" w:fill="FDE9D9"/>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Životnú úroveň poľnohospodárov ako podiel životnej úrovne osôb zamestnaných v ostatných odvetviach</w:t>
            </w:r>
          </w:p>
        </w:tc>
        <w:tc>
          <w:tcPr>
            <w:tcW w:w="863" w:type="dxa"/>
            <w:gridSpan w:val="2"/>
            <w:tcBorders>
              <w:top w:val="nil"/>
              <w:left w:val="nil"/>
              <w:bottom w:val="single" w:sz="8" w:space="0" w:color="E26B0A"/>
              <w:right w:val="single" w:sz="4" w:space="0" w:color="A6A6A6"/>
            </w:tcBorders>
            <w:shd w:val="clear" w:color="000000" w:fill="FDE9D9"/>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23,9</w:t>
            </w:r>
          </w:p>
        </w:tc>
        <w:tc>
          <w:tcPr>
            <w:tcW w:w="1674" w:type="dxa"/>
            <w:gridSpan w:val="2"/>
            <w:tcBorders>
              <w:top w:val="nil"/>
              <w:left w:val="nil"/>
              <w:bottom w:val="single" w:sz="8" w:space="0" w:color="E26B0A"/>
              <w:right w:val="single" w:sz="4" w:space="0" w:color="A6A6A6"/>
            </w:tcBorders>
            <w:shd w:val="clear" w:color="000000" w:fill="FDE9D9"/>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w:t>
            </w:r>
          </w:p>
        </w:tc>
        <w:tc>
          <w:tcPr>
            <w:tcW w:w="641" w:type="dxa"/>
            <w:gridSpan w:val="2"/>
            <w:tcBorders>
              <w:top w:val="nil"/>
              <w:left w:val="nil"/>
              <w:bottom w:val="single" w:sz="8" w:space="0" w:color="E26B0A"/>
              <w:right w:val="single" w:sz="4" w:space="0" w:color="A6A6A6"/>
            </w:tcBorders>
            <w:shd w:val="clear" w:color="000000" w:fill="FDE9D9"/>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2012</w:t>
            </w:r>
          </w:p>
        </w:tc>
        <w:tc>
          <w:tcPr>
            <w:tcW w:w="951" w:type="dxa"/>
            <w:tcBorders>
              <w:top w:val="nil"/>
              <w:left w:val="nil"/>
              <w:bottom w:val="single" w:sz="8" w:space="0" w:color="E26B0A"/>
              <w:right w:val="single" w:sz="8" w:space="0" w:color="E26B0A"/>
            </w:tcBorders>
            <w:shd w:val="clear" w:color="000000" w:fill="FDE9D9"/>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odhadom</w:t>
            </w:r>
          </w:p>
        </w:tc>
      </w:tr>
      <w:tr w:rsidR="00A71A12" w:rsidRPr="00BB33FC" w:rsidTr="00A71A12">
        <w:trPr>
          <w:trHeight w:val="300"/>
        </w:trPr>
        <w:tc>
          <w:tcPr>
            <w:tcW w:w="387"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363" w:type="dxa"/>
            <w:vMerge w:val="restart"/>
            <w:tcBorders>
              <w:top w:val="nil"/>
              <w:left w:val="single" w:sz="8" w:space="0" w:color="E26B0A"/>
              <w:bottom w:val="single" w:sz="8" w:space="0" w:color="E26B0A"/>
              <w:right w:val="nil"/>
            </w:tcBorders>
            <w:shd w:val="clear" w:color="auto" w:fill="auto"/>
            <w:noWrap/>
            <w:hideMark/>
          </w:tcPr>
          <w:p w:rsidR="00A71A12" w:rsidRPr="00BB33FC" w:rsidRDefault="00A71A12" w:rsidP="00A71A12">
            <w:pPr>
              <w:rPr>
                <w:rFonts w:ascii="Arial" w:hAnsi="Arial" w:cs="Arial"/>
                <w:b/>
                <w:bCs/>
                <w:color w:val="000000"/>
                <w:sz w:val="20"/>
                <w:szCs w:val="20"/>
              </w:rPr>
            </w:pPr>
            <w:r w:rsidRPr="00BB33FC">
              <w:rPr>
                <w:rFonts w:ascii="Arial" w:hAnsi="Arial" w:cs="Arial"/>
                <w:b/>
                <w:bCs/>
                <w:color w:val="000000"/>
                <w:sz w:val="20"/>
                <w:szCs w:val="20"/>
              </w:rPr>
              <w:t>27</w:t>
            </w:r>
          </w:p>
        </w:tc>
        <w:tc>
          <w:tcPr>
            <w:tcW w:w="9877" w:type="dxa"/>
            <w:gridSpan w:val="13"/>
            <w:tcBorders>
              <w:top w:val="single" w:sz="8" w:space="0" w:color="E26B0A"/>
              <w:left w:val="nil"/>
              <w:bottom w:val="nil"/>
              <w:right w:val="single" w:sz="8" w:space="0" w:color="E26B0A"/>
            </w:tcBorders>
            <w:shd w:val="clear" w:color="auto" w:fill="auto"/>
            <w:noWrap/>
            <w:vAlign w:val="bottom"/>
            <w:hideMark/>
          </w:tcPr>
          <w:p w:rsidR="00A71A12" w:rsidRPr="00BB33FC" w:rsidRDefault="00A71A12" w:rsidP="00A71A12">
            <w:pPr>
              <w:rPr>
                <w:rFonts w:ascii="Arial" w:hAnsi="Arial" w:cs="Arial"/>
                <w:b/>
                <w:bCs/>
                <w:i/>
                <w:iCs/>
                <w:sz w:val="20"/>
                <w:szCs w:val="20"/>
              </w:rPr>
            </w:pPr>
            <w:r w:rsidRPr="00BB33FC">
              <w:rPr>
                <w:rFonts w:ascii="Arial" w:hAnsi="Arial" w:cs="Arial"/>
                <w:b/>
                <w:bCs/>
                <w:i/>
                <w:iCs/>
                <w:sz w:val="20"/>
                <w:szCs w:val="20"/>
              </w:rPr>
              <w:t>Celková faktorová produktivita poľnohospodárstva (total factor productivity in agriculture)</w:t>
            </w:r>
          </w:p>
        </w:tc>
      </w:tr>
      <w:tr w:rsidR="00A71A12" w:rsidRPr="00BB33FC" w:rsidTr="00A71A12">
        <w:trPr>
          <w:trHeight w:val="510"/>
        </w:trPr>
        <w:tc>
          <w:tcPr>
            <w:tcW w:w="387"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363" w:type="dxa"/>
            <w:vMerge/>
            <w:tcBorders>
              <w:top w:val="nil"/>
              <w:left w:val="single" w:sz="8" w:space="0" w:color="E26B0A"/>
              <w:bottom w:val="single" w:sz="8" w:space="0" w:color="E26B0A"/>
              <w:right w:val="nil"/>
            </w:tcBorders>
            <w:vAlign w:val="center"/>
            <w:hideMark/>
          </w:tcPr>
          <w:p w:rsidR="00A71A12" w:rsidRPr="00BB33FC" w:rsidRDefault="00A71A12" w:rsidP="00A71A12">
            <w:pPr>
              <w:rPr>
                <w:rFonts w:ascii="Arial" w:hAnsi="Arial" w:cs="Arial"/>
                <w:b/>
                <w:bCs/>
                <w:color w:val="000000"/>
                <w:sz w:val="20"/>
                <w:szCs w:val="20"/>
              </w:rPr>
            </w:pPr>
          </w:p>
        </w:tc>
        <w:tc>
          <w:tcPr>
            <w:tcW w:w="4662" w:type="dxa"/>
            <w:gridSpan w:val="4"/>
            <w:tcBorders>
              <w:top w:val="nil"/>
              <w:left w:val="nil"/>
              <w:bottom w:val="single" w:sz="8" w:space="0" w:color="E26B0A"/>
              <w:right w:val="nil"/>
            </w:tcBorders>
            <w:shd w:val="clear" w:color="000000" w:fill="FDE9D9"/>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total (index) /celkom (index)</w:t>
            </w:r>
          </w:p>
        </w:tc>
        <w:tc>
          <w:tcPr>
            <w:tcW w:w="1086" w:type="dxa"/>
            <w:gridSpan w:val="2"/>
            <w:tcBorders>
              <w:top w:val="single" w:sz="4" w:space="0" w:color="A6A6A6"/>
              <w:left w:val="nil"/>
              <w:bottom w:val="single" w:sz="8" w:space="0" w:color="E26B0A"/>
              <w:right w:val="single" w:sz="4" w:space="0" w:color="A6A6A6"/>
            </w:tcBorders>
            <w:shd w:val="clear" w:color="000000" w:fill="FDE9D9"/>
            <w:noWrap/>
            <w:vAlign w:val="bottom"/>
            <w:hideMark/>
          </w:tcPr>
          <w:p w:rsidR="00A71A12" w:rsidRPr="00BB33FC" w:rsidRDefault="00A71A12" w:rsidP="00A71A12">
            <w:pPr>
              <w:rPr>
                <w:rFonts w:ascii="Arial" w:hAnsi="Arial" w:cs="Arial"/>
                <w:b/>
                <w:bCs/>
                <w:sz w:val="20"/>
                <w:szCs w:val="20"/>
              </w:rPr>
            </w:pPr>
            <w:r w:rsidRPr="00BB33FC">
              <w:rPr>
                <w:rFonts w:ascii="Arial" w:hAnsi="Arial" w:cs="Arial"/>
                <w:b/>
                <w:bCs/>
                <w:sz w:val="20"/>
                <w:szCs w:val="20"/>
              </w:rPr>
              <w:t> </w:t>
            </w:r>
          </w:p>
        </w:tc>
        <w:tc>
          <w:tcPr>
            <w:tcW w:w="863" w:type="dxa"/>
            <w:gridSpan w:val="2"/>
            <w:tcBorders>
              <w:top w:val="single" w:sz="4" w:space="0" w:color="A6A6A6"/>
              <w:left w:val="nil"/>
              <w:bottom w:val="single" w:sz="8" w:space="0" w:color="E26B0A"/>
              <w:right w:val="single" w:sz="4" w:space="0" w:color="A6A6A6"/>
            </w:tcBorders>
            <w:shd w:val="clear" w:color="000000" w:fill="FDE9D9"/>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102,9</w:t>
            </w:r>
          </w:p>
        </w:tc>
        <w:tc>
          <w:tcPr>
            <w:tcW w:w="1674" w:type="dxa"/>
            <w:gridSpan w:val="2"/>
            <w:tcBorders>
              <w:top w:val="single" w:sz="4" w:space="0" w:color="A6A6A6"/>
              <w:left w:val="nil"/>
              <w:bottom w:val="single" w:sz="8" w:space="0" w:color="E26B0A"/>
              <w:right w:val="single" w:sz="4" w:space="0" w:color="A6A6A6"/>
            </w:tcBorders>
            <w:shd w:val="clear" w:color="000000" w:fill="FDE9D9"/>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Index 2005 = 100</w:t>
            </w:r>
          </w:p>
        </w:tc>
        <w:tc>
          <w:tcPr>
            <w:tcW w:w="641" w:type="dxa"/>
            <w:gridSpan w:val="2"/>
            <w:tcBorders>
              <w:top w:val="single" w:sz="4" w:space="0" w:color="A6A6A6"/>
              <w:left w:val="nil"/>
              <w:bottom w:val="single" w:sz="8" w:space="0" w:color="E26B0A"/>
              <w:right w:val="single" w:sz="4" w:space="0" w:color="A6A6A6"/>
            </w:tcBorders>
            <w:shd w:val="clear" w:color="000000" w:fill="FDE9D9"/>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avg. 2009-2011</w:t>
            </w:r>
          </w:p>
        </w:tc>
        <w:tc>
          <w:tcPr>
            <w:tcW w:w="951" w:type="dxa"/>
            <w:tcBorders>
              <w:top w:val="single" w:sz="4" w:space="0" w:color="A6A6A6"/>
              <w:left w:val="nil"/>
              <w:bottom w:val="single" w:sz="8" w:space="0" w:color="E26B0A"/>
              <w:right w:val="single" w:sz="8" w:space="0" w:color="E26B0A"/>
            </w:tcBorders>
            <w:shd w:val="clear" w:color="000000" w:fill="FDE9D9"/>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w:t>
            </w:r>
          </w:p>
        </w:tc>
      </w:tr>
      <w:tr w:rsidR="00A71A12" w:rsidRPr="00BB33FC" w:rsidTr="00A71A12">
        <w:trPr>
          <w:trHeight w:val="300"/>
        </w:trPr>
        <w:tc>
          <w:tcPr>
            <w:tcW w:w="387"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363" w:type="dxa"/>
            <w:vMerge w:val="restart"/>
            <w:tcBorders>
              <w:top w:val="nil"/>
              <w:left w:val="single" w:sz="8" w:space="0" w:color="E26B0A"/>
              <w:bottom w:val="nil"/>
              <w:right w:val="nil"/>
            </w:tcBorders>
            <w:shd w:val="clear" w:color="auto" w:fill="auto"/>
            <w:noWrap/>
            <w:hideMark/>
          </w:tcPr>
          <w:p w:rsidR="00A71A12" w:rsidRPr="00BB33FC" w:rsidRDefault="00A71A12" w:rsidP="00A71A12">
            <w:pPr>
              <w:rPr>
                <w:rFonts w:ascii="Arial" w:hAnsi="Arial" w:cs="Arial"/>
                <w:b/>
                <w:bCs/>
                <w:color w:val="000000"/>
                <w:sz w:val="20"/>
                <w:szCs w:val="20"/>
              </w:rPr>
            </w:pPr>
            <w:r w:rsidRPr="00BB33FC">
              <w:rPr>
                <w:rFonts w:ascii="Arial" w:hAnsi="Arial" w:cs="Arial"/>
                <w:b/>
                <w:bCs/>
                <w:color w:val="000000"/>
                <w:sz w:val="20"/>
                <w:szCs w:val="20"/>
              </w:rPr>
              <w:t>28</w:t>
            </w:r>
          </w:p>
        </w:tc>
        <w:tc>
          <w:tcPr>
            <w:tcW w:w="6611" w:type="dxa"/>
            <w:gridSpan w:val="8"/>
            <w:tcBorders>
              <w:top w:val="single" w:sz="8" w:space="0" w:color="E26B0A"/>
              <w:left w:val="nil"/>
              <w:bottom w:val="nil"/>
              <w:right w:val="single" w:sz="4" w:space="0" w:color="A6A6A6"/>
            </w:tcBorders>
            <w:shd w:val="clear" w:color="auto" w:fill="auto"/>
            <w:noWrap/>
            <w:vAlign w:val="bottom"/>
            <w:hideMark/>
          </w:tcPr>
          <w:p w:rsidR="00A71A12" w:rsidRPr="00BB33FC" w:rsidRDefault="00A71A12" w:rsidP="00A71A12">
            <w:pPr>
              <w:rPr>
                <w:rFonts w:ascii="Arial" w:hAnsi="Arial" w:cs="Arial"/>
                <w:b/>
                <w:bCs/>
                <w:i/>
                <w:iCs/>
                <w:sz w:val="20"/>
                <w:szCs w:val="20"/>
              </w:rPr>
            </w:pPr>
            <w:r w:rsidRPr="00BB33FC">
              <w:rPr>
                <w:rFonts w:ascii="Arial" w:hAnsi="Arial" w:cs="Arial"/>
                <w:b/>
                <w:bCs/>
                <w:i/>
                <w:iCs/>
                <w:sz w:val="20"/>
                <w:szCs w:val="20"/>
              </w:rPr>
              <w:t>Tvorba hrubého fixného kapitálu v poľnohosp.</w:t>
            </w:r>
          </w:p>
        </w:tc>
        <w:tc>
          <w:tcPr>
            <w:tcW w:w="1674" w:type="dxa"/>
            <w:gridSpan w:val="2"/>
            <w:tcBorders>
              <w:top w:val="nil"/>
              <w:left w:val="nil"/>
              <w:bottom w:val="nil"/>
              <w:right w:val="nil"/>
            </w:tcBorders>
            <w:shd w:val="clear" w:color="auto" w:fill="auto"/>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 </w:t>
            </w:r>
          </w:p>
        </w:tc>
        <w:tc>
          <w:tcPr>
            <w:tcW w:w="641" w:type="dxa"/>
            <w:gridSpan w:val="2"/>
            <w:tcBorders>
              <w:top w:val="nil"/>
              <w:left w:val="nil"/>
              <w:bottom w:val="nil"/>
              <w:right w:val="nil"/>
            </w:tcBorders>
            <w:shd w:val="clear" w:color="auto" w:fill="auto"/>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 </w:t>
            </w:r>
          </w:p>
        </w:tc>
        <w:tc>
          <w:tcPr>
            <w:tcW w:w="951" w:type="dxa"/>
            <w:tcBorders>
              <w:top w:val="nil"/>
              <w:left w:val="nil"/>
              <w:bottom w:val="nil"/>
              <w:right w:val="single" w:sz="8" w:space="0" w:color="E26B0A"/>
            </w:tcBorders>
            <w:shd w:val="clear" w:color="auto" w:fill="auto"/>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 </w:t>
            </w:r>
          </w:p>
        </w:tc>
      </w:tr>
      <w:tr w:rsidR="00A71A12" w:rsidRPr="00BB33FC" w:rsidTr="00A71A12">
        <w:trPr>
          <w:trHeight w:val="300"/>
        </w:trPr>
        <w:tc>
          <w:tcPr>
            <w:tcW w:w="387"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363" w:type="dxa"/>
            <w:vMerge/>
            <w:tcBorders>
              <w:top w:val="nil"/>
              <w:left w:val="single" w:sz="8" w:space="0" w:color="E26B0A"/>
              <w:bottom w:val="nil"/>
              <w:right w:val="nil"/>
            </w:tcBorders>
            <w:vAlign w:val="center"/>
            <w:hideMark/>
          </w:tcPr>
          <w:p w:rsidR="00A71A12" w:rsidRPr="00BB33FC" w:rsidRDefault="00A71A12" w:rsidP="00A71A12">
            <w:pPr>
              <w:rPr>
                <w:rFonts w:ascii="Arial" w:hAnsi="Arial" w:cs="Arial"/>
                <w:b/>
                <w:bCs/>
                <w:color w:val="000000"/>
                <w:sz w:val="20"/>
                <w:szCs w:val="20"/>
              </w:rPr>
            </w:pPr>
          </w:p>
        </w:tc>
        <w:tc>
          <w:tcPr>
            <w:tcW w:w="4662" w:type="dxa"/>
            <w:gridSpan w:val="4"/>
            <w:tcBorders>
              <w:top w:val="single" w:sz="4" w:space="0" w:color="A6A6A6"/>
              <w:left w:val="nil"/>
              <w:bottom w:val="nil"/>
              <w:right w:val="nil"/>
            </w:tcBorders>
            <w:shd w:val="clear" w:color="000000" w:fill="FCD5B4"/>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GFCF / THFK</w:t>
            </w:r>
          </w:p>
        </w:tc>
        <w:tc>
          <w:tcPr>
            <w:tcW w:w="1086" w:type="dxa"/>
            <w:gridSpan w:val="2"/>
            <w:tcBorders>
              <w:top w:val="single" w:sz="4" w:space="0" w:color="A6A6A6"/>
              <w:left w:val="nil"/>
              <w:bottom w:val="nil"/>
              <w:right w:val="single" w:sz="4" w:space="0" w:color="A6A6A6"/>
            </w:tcBorders>
            <w:shd w:val="clear" w:color="000000" w:fill="FCD5B4"/>
            <w:noWrap/>
            <w:vAlign w:val="bottom"/>
            <w:hideMark/>
          </w:tcPr>
          <w:p w:rsidR="00A71A12" w:rsidRPr="00BB33FC" w:rsidRDefault="00A71A12" w:rsidP="00A71A12">
            <w:pPr>
              <w:rPr>
                <w:rFonts w:ascii="Arial" w:hAnsi="Arial" w:cs="Arial"/>
                <w:sz w:val="20"/>
                <w:szCs w:val="20"/>
              </w:rPr>
            </w:pPr>
            <w:r w:rsidRPr="00BB33FC">
              <w:rPr>
                <w:rFonts w:ascii="Arial" w:hAnsi="Arial" w:cs="Arial"/>
                <w:sz w:val="20"/>
                <w:szCs w:val="20"/>
              </w:rPr>
              <w:t> </w:t>
            </w:r>
          </w:p>
        </w:tc>
        <w:tc>
          <w:tcPr>
            <w:tcW w:w="863" w:type="dxa"/>
            <w:gridSpan w:val="2"/>
            <w:tcBorders>
              <w:top w:val="single" w:sz="4" w:space="0" w:color="A6A6A6"/>
              <w:left w:val="nil"/>
              <w:bottom w:val="nil"/>
              <w:right w:val="single" w:sz="4" w:space="0" w:color="A6A6A6"/>
            </w:tcBorders>
            <w:shd w:val="clear" w:color="000000" w:fill="FCD5B4"/>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213,7</w:t>
            </w:r>
          </w:p>
        </w:tc>
        <w:tc>
          <w:tcPr>
            <w:tcW w:w="1674" w:type="dxa"/>
            <w:gridSpan w:val="2"/>
            <w:tcBorders>
              <w:top w:val="single" w:sz="4" w:space="0" w:color="A6A6A6"/>
              <w:left w:val="nil"/>
              <w:bottom w:val="nil"/>
              <w:right w:val="single" w:sz="4" w:space="0" w:color="A6A6A6"/>
            </w:tcBorders>
            <w:shd w:val="clear" w:color="000000" w:fill="FCD5B4"/>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mil. EUR</w:t>
            </w:r>
          </w:p>
        </w:tc>
        <w:tc>
          <w:tcPr>
            <w:tcW w:w="641" w:type="dxa"/>
            <w:gridSpan w:val="2"/>
            <w:tcBorders>
              <w:top w:val="single" w:sz="4" w:space="0" w:color="A6A6A6"/>
              <w:left w:val="nil"/>
              <w:bottom w:val="nil"/>
              <w:right w:val="single" w:sz="4" w:space="0" w:color="A6A6A6"/>
            </w:tcBorders>
            <w:shd w:val="clear" w:color="000000" w:fill="FCD5B4"/>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2011</w:t>
            </w:r>
          </w:p>
        </w:tc>
        <w:tc>
          <w:tcPr>
            <w:tcW w:w="951" w:type="dxa"/>
            <w:tcBorders>
              <w:top w:val="single" w:sz="4" w:space="0" w:color="A6A6A6"/>
              <w:left w:val="nil"/>
              <w:bottom w:val="nil"/>
              <w:right w:val="single" w:sz="8" w:space="0" w:color="E26B0A"/>
            </w:tcBorders>
            <w:shd w:val="clear" w:color="000000" w:fill="FCD5B4"/>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w:t>
            </w:r>
          </w:p>
        </w:tc>
      </w:tr>
      <w:tr w:rsidR="00A71A12" w:rsidRPr="00BB33FC" w:rsidTr="00A71A12">
        <w:trPr>
          <w:trHeight w:val="750"/>
        </w:trPr>
        <w:tc>
          <w:tcPr>
            <w:tcW w:w="387"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363" w:type="dxa"/>
            <w:vMerge/>
            <w:tcBorders>
              <w:top w:val="nil"/>
              <w:left w:val="single" w:sz="8" w:space="0" w:color="E26B0A"/>
              <w:bottom w:val="nil"/>
              <w:right w:val="nil"/>
            </w:tcBorders>
            <w:vAlign w:val="center"/>
            <w:hideMark/>
          </w:tcPr>
          <w:p w:rsidR="00A71A12" w:rsidRPr="00BB33FC" w:rsidRDefault="00A71A12" w:rsidP="00A71A12">
            <w:pPr>
              <w:rPr>
                <w:rFonts w:ascii="Arial" w:hAnsi="Arial" w:cs="Arial"/>
                <w:b/>
                <w:bCs/>
                <w:color w:val="000000"/>
                <w:sz w:val="20"/>
                <w:szCs w:val="20"/>
              </w:rPr>
            </w:pPr>
          </w:p>
        </w:tc>
        <w:tc>
          <w:tcPr>
            <w:tcW w:w="5748" w:type="dxa"/>
            <w:gridSpan w:val="6"/>
            <w:tcBorders>
              <w:top w:val="nil"/>
              <w:left w:val="nil"/>
              <w:bottom w:val="single" w:sz="8" w:space="0" w:color="E26B0A"/>
              <w:right w:val="single" w:sz="4" w:space="0" w:color="A6A6A6"/>
            </w:tcBorders>
            <w:shd w:val="clear" w:color="000000" w:fill="FDE9D9"/>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podiel HPH v poľnohospodárstve</w:t>
            </w:r>
          </w:p>
        </w:tc>
        <w:tc>
          <w:tcPr>
            <w:tcW w:w="863" w:type="dxa"/>
            <w:gridSpan w:val="2"/>
            <w:tcBorders>
              <w:top w:val="nil"/>
              <w:left w:val="nil"/>
              <w:bottom w:val="nil"/>
              <w:right w:val="single" w:sz="4" w:space="0" w:color="A6A6A6"/>
            </w:tcBorders>
            <w:shd w:val="clear" w:color="000000" w:fill="FDE9D9"/>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13,5</w:t>
            </w:r>
          </w:p>
        </w:tc>
        <w:tc>
          <w:tcPr>
            <w:tcW w:w="1674" w:type="dxa"/>
            <w:gridSpan w:val="2"/>
            <w:tcBorders>
              <w:top w:val="nil"/>
              <w:left w:val="nil"/>
              <w:bottom w:val="nil"/>
              <w:right w:val="single" w:sz="4" w:space="0" w:color="A6A6A6"/>
            </w:tcBorders>
            <w:shd w:val="clear" w:color="000000" w:fill="FDE9D9"/>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 HPH v poľnohospodárstve</w:t>
            </w:r>
          </w:p>
        </w:tc>
        <w:tc>
          <w:tcPr>
            <w:tcW w:w="641" w:type="dxa"/>
            <w:gridSpan w:val="2"/>
            <w:tcBorders>
              <w:top w:val="nil"/>
              <w:left w:val="nil"/>
              <w:bottom w:val="nil"/>
              <w:right w:val="single" w:sz="4" w:space="0" w:color="A6A6A6"/>
            </w:tcBorders>
            <w:shd w:val="clear" w:color="000000" w:fill="FDE9D9"/>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2011</w:t>
            </w:r>
          </w:p>
        </w:tc>
        <w:tc>
          <w:tcPr>
            <w:tcW w:w="951" w:type="dxa"/>
            <w:tcBorders>
              <w:top w:val="nil"/>
              <w:left w:val="nil"/>
              <w:bottom w:val="nil"/>
              <w:right w:val="single" w:sz="8" w:space="0" w:color="E26B0A"/>
            </w:tcBorders>
            <w:shd w:val="clear" w:color="000000" w:fill="FDE9D9"/>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w:t>
            </w:r>
          </w:p>
        </w:tc>
      </w:tr>
      <w:tr w:rsidR="00A71A12" w:rsidRPr="00BB33FC" w:rsidTr="00A71A12">
        <w:trPr>
          <w:trHeight w:val="300"/>
        </w:trPr>
        <w:tc>
          <w:tcPr>
            <w:tcW w:w="387"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363" w:type="dxa"/>
            <w:vMerge w:val="restart"/>
            <w:tcBorders>
              <w:top w:val="single" w:sz="8" w:space="0" w:color="E26B0A"/>
              <w:left w:val="single" w:sz="8" w:space="0" w:color="E26B0A"/>
              <w:bottom w:val="single" w:sz="8" w:space="0" w:color="E26B0A"/>
              <w:right w:val="nil"/>
            </w:tcBorders>
            <w:shd w:val="clear" w:color="auto" w:fill="auto"/>
            <w:noWrap/>
            <w:hideMark/>
          </w:tcPr>
          <w:p w:rsidR="00A71A12" w:rsidRPr="00BB33FC" w:rsidRDefault="00A71A12" w:rsidP="00A71A12">
            <w:pPr>
              <w:rPr>
                <w:rFonts w:ascii="Arial" w:hAnsi="Arial" w:cs="Arial"/>
                <w:b/>
                <w:bCs/>
                <w:color w:val="000000"/>
                <w:sz w:val="20"/>
                <w:szCs w:val="20"/>
              </w:rPr>
            </w:pPr>
            <w:r w:rsidRPr="00BB33FC">
              <w:rPr>
                <w:rFonts w:ascii="Arial" w:hAnsi="Arial" w:cs="Arial"/>
                <w:b/>
                <w:bCs/>
                <w:color w:val="000000"/>
                <w:sz w:val="20"/>
                <w:szCs w:val="20"/>
              </w:rPr>
              <w:t>29</w:t>
            </w:r>
          </w:p>
        </w:tc>
        <w:tc>
          <w:tcPr>
            <w:tcW w:w="5748" w:type="dxa"/>
            <w:gridSpan w:val="6"/>
            <w:tcBorders>
              <w:top w:val="single" w:sz="8" w:space="0" w:color="E26B0A"/>
              <w:left w:val="nil"/>
              <w:bottom w:val="nil"/>
              <w:right w:val="nil"/>
            </w:tcBorders>
            <w:shd w:val="clear" w:color="auto" w:fill="auto"/>
            <w:noWrap/>
            <w:vAlign w:val="bottom"/>
            <w:hideMark/>
          </w:tcPr>
          <w:p w:rsidR="00A71A12" w:rsidRPr="00BB33FC" w:rsidRDefault="00A71A12" w:rsidP="00A71A12">
            <w:pPr>
              <w:rPr>
                <w:rFonts w:ascii="Arial" w:hAnsi="Arial" w:cs="Arial"/>
                <w:b/>
                <w:bCs/>
                <w:i/>
                <w:iCs/>
                <w:sz w:val="20"/>
                <w:szCs w:val="20"/>
              </w:rPr>
            </w:pPr>
            <w:r w:rsidRPr="00BB33FC">
              <w:rPr>
                <w:rFonts w:ascii="Arial" w:hAnsi="Arial" w:cs="Arial"/>
                <w:b/>
                <w:bCs/>
                <w:i/>
                <w:iCs/>
                <w:sz w:val="20"/>
                <w:szCs w:val="20"/>
              </w:rPr>
              <w:t>Lesná a ostatná zalesnená pôda</w:t>
            </w:r>
          </w:p>
        </w:tc>
        <w:tc>
          <w:tcPr>
            <w:tcW w:w="863" w:type="dxa"/>
            <w:gridSpan w:val="2"/>
            <w:tcBorders>
              <w:top w:val="single" w:sz="8" w:space="0" w:color="E26B0A"/>
              <w:left w:val="nil"/>
              <w:bottom w:val="nil"/>
              <w:right w:val="single" w:sz="4" w:space="0" w:color="A6A6A6"/>
            </w:tcBorders>
            <w:shd w:val="clear" w:color="auto" w:fill="auto"/>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 </w:t>
            </w:r>
          </w:p>
        </w:tc>
        <w:tc>
          <w:tcPr>
            <w:tcW w:w="1674" w:type="dxa"/>
            <w:gridSpan w:val="2"/>
            <w:tcBorders>
              <w:top w:val="single" w:sz="8" w:space="0" w:color="E26B0A"/>
              <w:left w:val="nil"/>
              <w:bottom w:val="nil"/>
              <w:right w:val="nil"/>
            </w:tcBorders>
            <w:shd w:val="clear" w:color="auto" w:fill="auto"/>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 </w:t>
            </w:r>
          </w:p>
        </w:tc>
        <w:tc>
          <w:tcPr>
            <w:tcW w:w="641" w:type="dxa"/>
            <w:gridSpan w:val="2"/>
            <w:tcBorders>
              <w:top w:val="single" w:sz="8" w:space="0" w:color="E26B0A"/>
              <w:left w:val="nil"/>
              <w:bottom w:val="nil"/>
              <w:right w:val="nil"/>
            </w:tcBorders>
            <w:shd w:val="clear" w:color="auto" w:fill="auto"/>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 </w:t>
            </w:r>
          </w:p>
        </w:tc>
        <w:tc>
          <w:tcPr>
            <w:tcW w:w="951" w:type="dxa"/>
            <w:tcBorders>
              <w:top w:val="single" w:sz="8" w:space="0" w:color="E26B0A"/>
              <w:left w:val="nil"/>
              <w:bottom w:val="nil"/>
              <w:right w:val="single" w:sz="8" w:space="0" w:color="E26B0A"/>
            </w:tcBorders>
            <w:shd w:val="clear" w:color="auto" w:fill="auto"/>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 </w:t>
            </w:r>
          </w:p>
        </w:tc>
      </w:tr>
      <w:tr w:rsidR="00A71A12" w:rsidRPr="00BB33FC" w:rsidTr="00A71A12">
        <w:trPr>
          <w:trHeight w:val="300"/>
        </w:trPr>
        <w:tc>
          <w:tcPr>
            <w:tcW w:w="387"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363" w:type="dxa"/>
            <w:vMerge/>
            <w:tcBorders>
              <w:top w:val="single" w:sz="8" w:space="0" w:color="E26B0A"/>
              <w:left w:val="single" w:sz="8" w:space="0" w:color="E26B0A"/>
              <w:bottom w:val="single" w:sz="8" w:space="0" w:color="E26B0A"/>
              <w:right w:val="nil"/>
            </w:tcBorders>
            <w:vAlign w:val="center"/>
            <w:hideMark/>
          </w:tcPr>
          <w:p w:rsidR="00A71A12" w:rsidRPr="00BB33FC" w:rsidRDefault="00A71A12" w:rsidP="00A71A12">
            <w:pPr>
              <w:rPr>
                <w:rFonts w:ascii="Arial" w:hAnsi="Arial" w:cs="Arial"/>
                <w:b/>
                <w:bCs/>
                <w:color w:val="000000"/>
                <w:sz w:val="20"/>
                <w:szCs w:val="20"/>
              </w:rPr>
            </w:pPr>
          </w:p>
        </w:tc>
        <w:tc>
          <w:tcPr>
            <w:tcW w:w="4662" w:type="dxa"/>
            <w:gridSpan w:val="4"/>
            <w:tcBorders>
              <w:top w:val="single" w:sz="4" w:space="0" w:color="A6A6A6"/>
              <w:left w:val="nil"/>
              <w:bottom w:val="nil"/>
              <w:right w:val="nil"/>
            </w:tcBorders>
            <w:shd w:val="clear" w:color="000000" w:fill="FCD5B4"/>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celkom</w:t>
            </w:r>
          </w:p>
        </w:tc>
        <w:tc>
          <w:tcPr>
            <w:tcW w:w="1086" w:type="dxa"/>
            <w:gridSpan w:val="2"/>
            <w:tcBorders>
              <w:top w:val="single" w:sz="4" w:space="0" w:color="A6A6A6"/>
              <w:left w:val="nil"/>
              <w:bottom w:val="nil"/>
              <w:right w:val="single" w:sz="4" w:space="0" w:color="A6A6A6"/>
            </w:tcBorders>
            <w:shd w:val="clear" w:color="000000" w:fill="FCD5B4"/>
            <w:noWrap/>
            <w:vAlign w:val="bottom"/>
            <w:hideMark/>
          </w:tcPr>
          <w:p w:rsidR="00A71A12" w:rsidRPr="00BB33FC" w:rsidRDefault="00A71A12" w:rsidP="00A71A12">
            <w:pPr>
              <w:rPr>
                <w:rFonts w:ascii="Arial" w:hAnsi="Arial" w:cs="Arial"/>
                <w:sz w:val="20"/>
                <w:szCs w:val="20"/>
              </w:rPr>
            </w:pPr>
            <w:r w:rsidRPr="00BB33FC">
              <w:rPr>
                <w:rFonts w:ascii="Arial" w:hAnsi="Arial" w:cs="Arial"/>
                <w:sz w:val="20"/>
                <w:szCs w:val="20"/>
              </w:rPr>
              <w:t> </w:t>
            </w:r>
          </w:p>
        </w:tc>
        <w:tc>
          <w:tcPr>
            <w:tcW w:w="863" w:type="dxa"/>
            <w:gridSpan w:val="2"/>
            <w:tcBorders>
              <w:top w:val="single" w:sz="4" w:space="0" w:color="A6A6A6"/>
              <w:left w:val="nil"/>
              <w:bottom w:val="nil"/>
              <w:right w:val="single" w:sz="4" w:space="0" w:color="A6A6A6"/>
            </w:tcBorders>
            <w:shd w:val="clear" w:color="000000" w:fill="FCD5B4"/>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1 938,0</w:t>
            </w:r>
          </w:p>
        </w:tc>
        <w:tc>
          <w:tcPr>
            <w:tcW w:w="1674" w:type="dxa"/>
            <w:gridSpan w:val="2"/>
            <w:tcBorders>
              <w:top w:val="single" w:sz="4" w:space="0" w:color="A6A6A6"/>
              <w:left w:val="nil"/>
              <w:bottom w:val="nil"/>
              <w:right w:val="single" w:sz="4" w:space="0" w:color="A6A6A6"/>
            </w:tcBorders>
            <w:shd w:val="clear" w:color="000000" w:fill="FCD5B4"/>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1000 ha</w:t>
            </w:r>
          </w:p>
        </w:tc>
        <w:tc>
          <w:tcPr>
            <w:tcW w:w="641" w:type="dxa"/>
            <w:gridSpan w:val="2"/>
            <w:tcBorders>
              <w:top w:val="single" w:sz="4" w:space="0" w:color="A6A6A6"/>
              <w:left w:val="nil"/>
              <w:bottom w:val="nil"/>
              <w:right w:val="single" w:sz="4" w:space="0" w:color="A6A6A6"/>
            </w:tcBorders>
            <w:shd w:val="clear" w:color="000000" w:fill="FCD5B4"/>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2010</w:t>
            </w:r>
          </w:p>
        </w:tc>
        <w:tc>
          <w:tcPr>
            <w:tcW w:w="951" w:type="dxa"/>
            <w:tcBorders>
              <w:top w:val="single" w:sz="4" w:space="0" w:color="A6A6A6"/>
              <w:left w:val="nil"/>
              <w:bottom w:val="nil"/>
              <w:right w:val="single" w:sz="8" w:space="0" w:color="E26B0A"/>
            </w:tcBorders>
            <w:shd w:val="clear" w:color="000000" w:fill="FCD5B4"/>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w:t>
            </w:r>
          </w:p>
        </w:tc>
      </w:tr>
      <w:tr w:rsidR="00A71A12" w:rsidRPr="00BB33FC" w:rsidTr="00A71A12">
        <w:trPr>
          <w:trHeight w:val="510"/>
        </w:trPr>
        <w:tc>
          <w:tcPr>
            <w:tcW w:w="387"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363" w:type="dxa"/>
            <w:vMerge/>
            <w:tcBorders>
              <w:top w:val="single" w:sz="8" w:space="0" w:color="E26B0A"/>
              <w:left w:val="single" w:sz="8" w:space="0" w:color="E26B0A"/>
              <w:bottom w:val="single" w:sz="8" w:space="0" w:color="E26B0A"/>
              <w:right w:val="nil"/>
            </w:tcBorders>
            <w:vAlign w:val="center"/>
            <w:hideMark/>
          </w:tcPr>
          <w:p w:rsidR="00A71A12" w:rsidRPr="00BB33FC" w:rsidRDefault="00A71A12" w:rsidP="00A71A12">
            <w:pPr>
              <w:rPr>
                <w:rFonts w:ascii="Arial" w:hAnsi="Arial" w:cs="Arial"/>
                <w:b/>
                <w:bCs/>
                <w:color w:val="000000"/>
                <w:sz w:val="20"/>
                <w:szCs w:val="20"/>
              </w:rPr>
            </w:pPr>
          </w:p>
        </w:tc>
        <w:tc>
          <w:tcPr>
            <w:tcW w:w="5748" w:type="dxa"/>
            <w:gridSpan w:val="6"/>
            <w:tcBorders>
              <w:top w:val="nil"/>
              <w:left w:val="nil"/>
              <w:bottom w:val="single" w:sz="8" w:space="0" w:color="E26B0A"/>
              <w:right w:val="single" w:sz="4" w:space="0" w:color="A6A6A6"/>
            </w:tcBorders>
            <w:shd w:val="clear" w:color="000000" w:fill="FDE9D9"/>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podiel z celkovej rozlohy</w:t>
            </w:r>
          </w:p>
        </w:tc>
        <w:tc>
          <w:tcPr>
            <w:tcW w:w="863" w:type="dxa"/>
            <w:gridSpan w:val="2"/>
            <w:tcBorders>
              <w:top w:val="nil"/>
              <w:left w:val="nil"/>
              <w:bottom w:val="single" w:sz="8" w:space="0" w:color="E26B0A"/>
              <w:right w:val="single" w:sz="4" w:space="0" w:color="A6A6A6"/>
            </w:tcBorders>
            <w:shd w:val="clear" w:color="000000" w:fill="FDE9D9"/>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39,5</w:t>
            </w:r>
          </w:p>
        </w:tc>
        <w:tc>
          <w:tcPr>
            <w:tcW w:w="1674" w:type="dxa"/>
            <w:gridSpan w:val="2"/>
            <w:tcBorders>
              <w:top w:val="nil"/>
              <w:left w:val="nil"/>
              <w:bottom w:val="single" w:sz="8" w:space="0" w:color="E26B0A"/>
              <w:right w:val="single" w:sz="4" w:space="0" w:color="A6A6A6"/>
            </w:tcBorders>
            <w:shd w:val="clear" w:color="000000" w:fill="FDE9D9"/>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 z celkovej rozlohy</w:t>
            </w:r>
          </w:p>
        </w:tc>
        <w:tc>
          <w:tcPr>
            <w:tcW w:w="641" w:type="dxa"/>
            <w:gridSpan w:val="2"/>
            <w:tcBorders>
              <w:top w:val="nil"/>
              <w:left w:val="nil"/>
              <w:bottom w:val="single" w:sz="8" w:space="0" w:color="E26B0A"/>
              <w:right w:val="single" w:sz="4" w:space="0" w:color="A6A6A6"/>
            </w:tcBorders>
            <w:shd w:val="clear" w:color="000000" w:fill="FDE9D9"/>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2010</w:t>
            </w:r>
          </w:p>
        </w:tc>
        <w:tc>
          <w:tcPr>
            <w:tcW w:w="951" w:type="dxa"/>
            <w:tcBorders>
              <w:top w:val="nil"/>
              <w:left w:val="nil"/>
              <w:bottom w:val="single" w:sz="8" w:space="0" w:color="E26B0A"/>
              <w:right w:val="single" w:sz="8" w:space="0" w:color="E26B0A"/>
            </w:tcBorders>
            <w:shd w:val="clear" w:color="000000" w:fill="FDE9D9"/>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w:t>
            </w:r>
          </w:p>
        </w:tc>
      </w:tr>
      <w:tr w:rsidR="00A71A12" w:rsidRPr="00BB33FC" w:rsidTr="00A71A12">
        <w:trPr>
          <w:trHeight w:val="300"/>
        </w:trPr>
        <w:tc>
          <w:tcPr>
            <w:tcW w:w="387"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363" w:type="dxa"/>
            <w:vMerge w:val="restart"/>
            <w:tcBorders>
              <w:top w:val="nil"/>
              <w:left w:val="single" w:sz="8" w:space="0" w:color="E26B0A"/>
              <w:bottom w:val="single" w:sz="8" w:space="0" w:color="E26B0A"/>
              <w:right w:val="nil"/>
            </w:tcBorders>
            <w:shd w:val="clear" w:color="auto" w:fill="auto"/>
            <w:noWrap/>
            <w:hideMark/>
          </w:tcPr>
          <w:p w:rsidR="00A71A12" w:rsidRPr="00BB33FC" w:rsidRDefault="00A71A12" w:rsidP="00A71A12">
            <w:pPr>
              <w:rPr>
                <w:rFonts w:ascii="Arial" w:hAnsi="Arial" w:cs="Arial"/>
                <w:b/>
                <w:bCs/>
                <w:color w:val="000000"/>
                <w:sz w:val="20"/>
                <w:szCs w:val="20"/>
              </w:rPr>
            </w:pPr>
            <w:r w:rsidRPr="00BB33FC">
              <w:rPr>
                <w:rFonts w:ascii="Arial" w:hAnsi="Arial" w:cs="Arial"/>
                <w:b/>
                <w:bCs/>
                <w:color w:val="000000"/>
                <w:sz w:val="20"/>
                <w:szCs w:val="20"/>
              </w:rPr>
              <w:t>30</w:t>
            </w:r>
          </w:p>
        </w:tc>
        <w:tc>
          <w:tcPr>
            <w:tcW w:w="5748" w:type="dxa"/>
            <w:gridSpan w:val="6"/>
            <w:tcBorders>
              <w:top w:val="single" w:sz="8" w:space="0" w:color="E26B0A"/>
              <w:left w:val="nil"/>
              <w:bottom w:val="nil"/>
              <w:right w:val="nil"/>
            </w:tcBorders>
            <w:shd w:val="clear" w:color="auto" w:fill="auto"/>
            <w:noWrap/>
            <w:vAlign w:val="bottom"/>
            <w:hideMark/>
          </w:tcPr>
          <w:p w:rsidR="00A71A12" w:rsidRPr="00BB33FC" w:rsidRDefault="00A71A12" w:rsidP="00A71A12">
            <w:pPr>
              <w:rPr>
                <w:rFonts w:ascii="Arial" w:hAnsi="Arial" w:cs="Arial"/>
                <w:b/>
                <w:bCs/>
                <w:i/>
                <w:iCs/>
                <w:sz w:val="20"/>
                <w:szCs w:val="20"/>
              </w:rPr>
            </w:pPr>
            <w:r w:rsidRPr="00BB33FC">
              <w:rPr>
                <w:rFonts w:ascii="Arial" w:hAnsi="Arial" w:cs="Arial"/>
                <w:b/>
                <w:bCs/>
                <w:i/>
                <w:iCs/>
                <w:sz w:val="20"/>
                <w:szCs w:val="20"/>
              </w:rPr>
              <w:t>Turistická infraštruktúra</w:t>
            </w:r>
          </w:p>
        </w:tc>
        <w:tc>
          <w:tcPr>
            <w:tcW w:w="863" w:type="dxa"/>
            <w:gridSpan w:val="2"/>
            <w:tcBorders>
              <w:top w:val="nil"/>
              <w:left w:val="nil"/>
              <w:bottom w:val="nil"/>
              <w:right w:val="single" w:sz="4" w:space="0" w:color="A6A6A6"/>
            </w:tcBorders>
            <w:shd w:val="clear" w:color="auto" w:fill="auto"/>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 </w:t>
            </w:r>
          </w:p>
        </w:tc>
        <w:tc>
          <w:tcPr>
            <w:tcW w:w="1674" w:type="dxa"/>
            <w:gridSpan w:val="2"/>
            <w:tcBorders>
              <w:top w:val="nil"/>
              <w:left w:val="nil"/>
              <w:bottom w:val="nil"/>
              <w:right w:val="nil"/>
            </w:tcBorders>
            <w:shd w:val="clear" w:color="auto" w:fill="auto"/>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 </w:t>
            </w:r>
          </w:p>
        </w:tc>
        <w:tc>
          <w:tcPr>
            <w:tcW w:w="641" w:type="dxa"/>
            <w:gridSpan w:val="2"/>
            <w:tcBorders>
              <w:top w:val="nil"/>
              <w:left w:val="nil"/>
              <w:bottom w:val="nil"/>
              <w:right w:val="nil"/>
            </w:tcBorders>
            <w:shd w:val="clear" w:color="auto" w:fill="auto"/>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 </w:t>
            </w:r>
          </w:p>
        </w:tc>
        <w:tc>
          <w:tcPr>
            <w:tcW w:w="951" w:type="dxa"/>
            <w:tcBorders>
              <w:top w:val="nil"/>
              <w:left w:val="nil"/>
              <w:bottom w:val="nil"/>
              <w:right w:val="single" w:sz="8" w:space="0" w:color="E26B0A"/>
            </w:tcBorders>
            <w:shd w:val="clear" w:color="auto" w:fill="auto"/>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 </w:t>
            </w:r>
          </w:p>
        </w:tc>
      </w:tr>
      <w:tr w:rsidR="00A71A12" w:rsidRPr="00BB33FC" w:rsidTr="00A71A12">
        <w:trPr>
          <w:trHeight w:val="360"/>
        </w:trPr>
        <w:tc>
          <w:tcPr>
            <w:tcW w:w="387"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363" w:type="dxa"/>
            <w:vMerge/>
            <w:tcBorders>
              <w:top w:val="nil"/>
              <w:left w:val="single" w:sz="8" w:space="0" w:color="E26B0A"/>
              <w:bottom w:val="single" w:sz="8" w:space="0" w:color="E26B0A"/>
              <w:right w:val="nil"/>
            </w:tcBorders>
            <w:vAlign w:val="center"/>
            <w:hideMark/>
          </w:tcPr>
          <w:p w:rsidR="00A71A12" w:rsidRPr="00BB33FC" w:rsidRDefault="00A71A12" w:rsidP="00A71A12">
            <w:pPr>
              <w:rPr>
                <w:rFonts w:ascii="Arial" w:hAnsi="Arial" w:cs="Arial"/>
                <w:b/>
                <w:bCs/>
                <w:color w:val="000000"/>
                <w:sz w:val="20"/>
                <w:szCs w:val="20"/>
              </w:rPr>
            </w:pPr>
          </w:p>
        </w:tc>
        <w:tc>
          <w:tcPr>
            <w:tcW w:w="5748" w:type="dxa"/>
            <w:gridSpan w:val="6"/>
            <w:tcBorders>
              <w:top w:val="single" w:sz="4" w:space="0" w:color="A6A6A6"/>
              <w:left w:val="nil"/>
              <w:bottom w:val="nil"/>
              <w:right w:val="single" w:sz="4" w:space="0" w:color="A6A6A6"/>
            </w:tcBorders>
            <w:shd w:val="clear" w:color="000000" w:fill="FCD5B4"/>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 xml:space="preserve"> postele v hromadných zariadeniach</w:t>
            </w:r>
          </w:p>
        </w:tc>
        <w:tc>
          <w:tcPr>
            <w:tcW w:w="863" w:type="dxa"/>
            <w:gridSpan w:val="2"/>
            <w:tcBorders>
              <w:top w:val="single" w:sz="4" w:space="0" w:color="A6A6A6"/>
              <w:left w:val="nil"/>
              <w:bottom w:val="nil"/>
              <w:right w:val="single" w:sz="4" w:space="0" w:color="A6A6A6"/>
            </w:tcBorders>
            <w:shd w:val="clear" w:color="000000" w:fill="FCD5B4"/>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167 269,0</w:t>
            </w:r>
          </w:p>
        </w:tc>
        <w:tc>
          <w:tcPr>
            <w:tcW w:w="1674" w:type="dxa"/>
            <w:gridSpan w:val="2"/>
            <w:tcBorders>
              <w:top w:val="single" w:sz="4" w:space="0" w:color="A6A6A6"/>
              <w:left w:val="nil"/>
              <w:bottom w:val="nil"/>
              <w:right w:val="single" w:sz="4" w:space="0" w:color="A6A6A6"/>
            </w:tcBorders>
            <w:shd w:val="clear" w:color="000000" w:fill="FCD5B4"/>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počet postelí</w:t>
            </w:r>
          </w:p>
        </w:tc>
        <w:tc>
          <w:tcPr>
            <w:tcW w:w="641" w:type="dxa"/>
            <w:gridSpan w:val="2"/>
            <w:tcBorders>
              <w:top w:val="single" w:sz="4" w:space="0" w:color="A6A6A6"/>
              <w:left w:val="nil"/>
              <w:bottom w:val="nil"/>
              <w:right w:val="single" w:sz="4" w:space="0" w:color="A6A6A6"/>
            </w:tcBorders>
            <w:shd w:val="clear" w:color="000000" w:fill="FCD5B4"/>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2011</w:t>
            </w:r>
          </w:p>
        </w:tc>
        <w:tc>
          <w:tcPr>
            <w:tcW w:w="951" w:type="dxa"/>
            <w:tcBorders>
              <w:top w:val="single" w:sz="4" w:space="0" w:color="A6A6A6"/>
              <w:left w:val="nil"/>
              <w:bottom w:val="nil"/>
              <w:right w:val="single" w:sz="8" w:space="0" w:color="E26B0A"/>
            </w:tcBorders>
            <w:shd w:val="clear" w:color="000000" w:fill="FCD5B4"/>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w:t>
            </w:r>
          </w:p>
        </w:tc>
      </w:tr>
      <w:tr w:rsidR="00A71A12" w:rsidRPr="00BB33FC" w:rsidTr="00A71A12">
        <w:trPr>
          <w:trHeight w:val="495"/>
        </w:trPr>
        <w:tc>
          <w:tcPr>
            <w:tcW w:w="387"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363" w:type="dxa"/>
            <w:vMerge/>
            <w:tcBorders>
              <w:top w:val="nil"/>
              <w:left w:val="single" w:sz="8" w:space="0" w:color="E26B0A"/>
              <w:bottom w:val="single" w:sz="8" w:space="0" w:color="E26B0A"/>
              <w:right w:val="nil"/>
            </w:tcBorders>
            <w:vAlign w:val="center"/>
            <w:hideMark/>
          </w:tcPr>
          <w:p w:rsidR="00A71A12" w:rsidRPr="00BB33FC" w:rsidRDefault="00A71A12" w:rsidP="00A71A12">
            <w:pPr>
              <w:rPr>
                <w:rFonts w:ascii="Arial" w:hAnsi="Arial" w:cs="Arial"/>
                <w:b/>
                <w:bCs/>
                <w:color w:val="000000"/>
                <w:sz w:val="20"/>
                <w:szCs w:val="20"/>
              </w:rPr>
            </w:pPr>
          </w:p>
        </w:tc>
        <w:tc>
          <w:tcPr>
            <w:tcW w:w="4662" w:type="dxa"/>
            <w:gridSpan w:val="4"/>
            <w:tcBorders>
              <w:top w:val="nil"/>
              <w:left w:val="nil"/>
              <w:bottom w:val="nil"/>
              <w:right w:val="nil"/>
            </w:tcBorders>
            <w:shd w:val="clear" w:color="000000" w:fill="FDE9D9"/>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 xml:space="preserve"> vidiecke</w:t>
            </w:r>
          </w:p>
        </w:tc>
        <w:tc>
          <w:tcPr>
            <w:tcW w:w="1086" w:type="dxa"/>
            <w:gridSpan w:val="2"/>
            <w:tcBorders>
              <w:top w:val="nil"/>
              <w:left w:val="nil"/>
              <w:bottom w:val="nil"/>
              <w:right w:val="single" w:sz="4" w:space="0" w:color="A6A6A6"/>
            </w:tcBorders>
            <w:shd w:val="clear" w:color="000000" w:fill="FDE9D9"/>
            <w:noWrap/>
            <w:vAlign w:val="bottom"/>
            <w:hideMark/>
          </w:tcPr>
          <w:p w:rsidR="00A71A12" w:rsidRPr="00BB33FC" w:rsidRDefault="00A71A12" w:rsidP="00A71A12">
            <w:pPr>
              <w:rPr>
                <w:rFonts w:ascii="Arial" w:hAnsi="Arial" w:cs="Arial"/>
                <w:sz w:val="20"/>
                <w:szCs w:val="20"/>
              </w:rPr>
            </w:pPr>
            <w:r w:rsidRPr="00BB33FC">
              <w:rPr>
                <w:rFonts w:ascii="Arial" w:hAnsi="Arial" w:cs="Arial"/>
                <w:sz w:val="20"/>
                <w:szCs w:val="20"/>
              </w:rPr>
              <w:t> </w:t>
            </w:r>
          </w:p>
        </w:tc>
        <w:tc>
          <w:tcPr>
            <w:tcW w:w="863" w:type="dxa"/>
            <w:gridSpan w:val="2"/>
            <w:tcBorders>
              <w:top w:val="nil"/>
              <w:left w:val="nil"/>
              <w:bottom w:val="nil"/>
              <w:right w:val="single" w:sz="4" w:space="0" w:color="A6A6A6"/>
            </w:tcBorders>
            <w:shd w:val="clear" w:color="000000" w:fill="FDE9D9"/>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43,4</w:t>
            </w:r>
          </w:p>
        </w:tc>
        <w:tc>
          <w:tcPr>
            <w:tcW w:w="1674" w:type="dxa"/>
            <w:gridSpan w:val="2"/>
            <w:tcBorders>
              <w:top w:val="nil"/>
              <w:left w:val="nil"/>
              <w:bottom w:val="nil"/>
              <w:right w:val="single" w:sz="4" w:space="0" w:color="A6A6A6"/>
            </w:tcBorders>
            <w:shd w:val="clear" w:color="000000" w:fill="FDE9D9"/>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 xml:space="preserve"> % z celkového počtu</w:t>
            </w:r>
          </w:p>
        </w:tc>
        <w:tc>
          <w:tcPr>
            <w:tcW w:w="641" w:type="dxa"/>
            <w:gridSpan w:val="2"/>
            <w:tcBorders>
              <w:top w:val="nil"/>
              <w:left w:val="nil"/>
              <w:bottom w:val="nil"/>
              <w:right w:val="single" w:sz="4" w:space="0" w:color="A6A6A6"/>
            </w:tcBorders>
            <w:shd w:val="clear" w:color="000000" w:fill="FDE9D9"/>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2011</w:t>
            </w:r>
          </w:p>
        </w:tc>
        <w:tc>
          <w:tcPr>
            <w:tcW w:w="951" w:type="dxa"/>
            <w:tcBorders>
              <w:top w:val="nil"/>
              <w:left w:val="nil"/>
              <w:bottom w:val="nil"/>
              <w:right w:val="single" w:sz="8" w:space="0" w:color="E26B0A"/>
            </w:tcBorders>
            <w:shd w:val="clear" w:color="000000" w:fill="FDE9D9"/>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w:t>
            </w:r>
          </w:p>
        </w:tc>
      </w:tr>
      <w:tr w:rsidR="00A71A12" w:rsidRPr="00BB33FC" w:rsidTr="00A71A12">
        <w:trPr>
          <w:trHeight w:val="495"/>
        </w:trPr>
        <w:tc>
          <w:tcPr>
            <w:tcW w:w="387"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363" w:type="dxa"/>
            <w:vMerge/>
            <w:tcBorders>
              <w:top w:val="nil"/>
              <w:left w:val="single" w:sz="8" w:space="0" w:color="E26B0A"/>
              <w:bottom w:val="single" w:sz="8" w:space="0" w:color="E26B0A"/>
              <w:right w:val="nil"/>
            </w:tcBorders>
            <w:vAlign w:val="center"/>
            <w:hideMark/>
          </w:tcPr>
          <w:p w:rsidR="00A71A12" w:rsidRPr="00BB33FC" w:rsidRDefault="00A71A12" w:rsidP="00A71A12">
            <w:pPr>
              <w:rPr>
                <w:rFonts w:ascii="Arial" w:hAnsi="Arial" w:cs="Arial"/>
                <w:b/>
                <w:bCs/>
                <w:color w:val="000000"/>
                <w:sz w:val="20"/>
                <w:szCs w:val="20"/>
              </w:rPr>
            </w:pPr>
          </w:p>
        </w:tc>
        <w:tc>
          <w:tcPr>
            <w:tcW w:w="5748" w:type="dxa"/>
            <w:gridSpan w:val="6"/>
            <w:tcBorders>
              <w:top w:val="nil"/>
              <w:left w:val="nil"/>
              <w:bottom w:val="nil"/>
              <w:right w:val="single" w:sz="4" w:space="0" w:color="A6A6A6"/>
            </w:tcBorders>
            <w:shd w:val="clear" w:color="000000" w:fill="FDE9D9"/>
            <w:noWrap/>
            <w:vAlign w:val="bottom"/>
            <w:hideMark/>
          </w:tcPr>
          <w:p w:rsidR="00A71A12" w:rsidRPr="00BB33FC" w:rsidRDefault="00A71A12" w:rsidP="00A71A12">
            <w:pPr>
              <w:rPr>
                <w:rFonts w:ascii="Arial" w:hAnsi="Arial" w:cs="Arial"/>
                <w:color w:val="000000"/>
                <w:sz w:val="18"/>
                <w:szCs w:val="18"/>
              </w:rPr>
            </w:pPr>
            <w:r w:rsidRPr="00BB33FC">
              <w:rPr>
                <w:rFonts w:ascii="Arial" w:hAnsi="Arial" w:cs="Arial"/>
                <w:color w:val="000000"/>
                <w:sz w:val="18"/>
                <w:szCs w:val="18"/>
              </w:rPr>
              <w:t>prechodné</w:t>
            </w:r>
          </w:p>
        </w:tc>
        <w:tc>
          <w:tcPr>
            <w:tcW w:w="863" w:type="dxa"/>
            <w:gridSpan w:val="2"/>
            <w:tcBorders>
              <w:top w:val="nil"/>
              <w:left w:val="nil"/>
              <w:bottom w:val="nil"/>
              <w:right w:val="single" w:sz="4" w:space="0" w:color="A6A6A6"/>
            </w:tcBorders>
            <w:shd w:val="clear" w:color="000000" w:fill="FDE9D9"/>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41,7</w:t>
            </w:r>
          </w:p>
        </w:tc>
        <w:tc>
          <w:tcPr>
            <w:tcW w:w="1674" w:type="dxa"/>
            <w:gridSpan w:val="2"/>
            <w:tcBorders>
              <w:top w:val="nil"/>
              <w:left w:val="nil"/>
              <w:bottom w:val="nil"/>
              <w:right w:val="single" w:sz="4" w:space="0" w:color="A6A6A6"/>
            </w:tcBorders>
            <w:shd w:val="clear" w:color="000000" w:fill="FDE9D9"/>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 xml:space="preserve"> % z celkového počtu</w:t>
            </w:r>
          </w:p>
        </w:tc>
        <w:tc>
          <w:tcPr>
            <w:tcW w:w="641" w:type="dxa"/>
            <w:gridSpan w:val="2"/>
            <w:tcBorders>
              <w:top w:val="nil"/>
              <w:left w:val="nil"/>
              <w:bottom w:val="nil"/>
              <w:right w:val="single" w:sz="4" w:space="0" w:color="A6A6A6"/>
            </w:tcBorders>
            <w:shd w:val="clear" w:color="000000" w:fill="FDE9D9"/>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 </w:t>
            </w:r>
          </w:p>
        </w:tc>
        <w:tc>
          <w:tcPr>
            <w:tcW w:w="951" w:type="dxa"/>
            <w:tcBorders>
              <w:top w:val="nil"/>
              <w:left w:val="nil"/>
              <w:bottom w:val="nil"/>
              <w:right w:val="single" w:sz="8" w:space="0" w:color="E26B0A"/>
            </w:tcBorders>
            <w:shd w:val="clear" w:color="000000" w:fill="FDE9D9"/>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 </w:t>
            </w:r>
          </w:p>
        </w:tc>
      </w:tr>
      <w:tr w:rsidR="00A71A12" w:rsidRPr="00BB33FC" w:rsidTr="00A71A12">
        <w:trPr>
          <w:trHeight w:val="300"/>
        </w:trPr>
        <w:tc>
          <w:tcPr>
            <w:tcW w:w="387"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363" w:type="dxa"/>
            <w:vMerge/>
            <w:tcBorders>
              <w:top w:val="nil"/>
              <w:left w:val="single" w:sz="8" w:space="0" w:color="E26B0A"/>
              <w:bottom w:val="single" w:sz="8" w:space="0" w:color="E26B0A"/>
              <w:right w:val="nil"/>
            </w:tcBorders>
            <w:vAlign w:val="center"/>
            <w:hideMark/>
          </w:tcPr>
          <w:p w:rsidR="00A71A12" w:rsidRPr="00BB33FC" w:rsidRDefault="00A71A12" w:rsidP="00A71A12">
            <w:pPr>
              <w:rPr>
                <w:rFonts w:ascii="Arial" w:hAnsi="Arial" w:cs="Arial"/>
                <w:b/>
                <w:bCs/>
                <w:color w:val="000000"/>
                <w:sz w:val="20"/>
                <w:szCs w:val="20"/>
              </w:rPr>
            </w:pPr>
          </w:p>
        </w:tc>
        <w:tc>
          <w:tcPr>
            <w:tcW w:w="4662" w:type="dxa"/>
            <w:gridSpan w:val="4"/>
            <w:tcBorders>
              <w:top w:val="nil"/>
              <w:left w:val="nil"/>
              <w:bottom w:val="nil"/>
              <w:right w:val="nil"/>
            </w:tcBorders>
            <w:shd w:val="clear" w:color="000000" w:fill="FDE9D9"/>
            <w:noWrap/>
            <w:vAlign w:val="bottom"/>
            <w:hideMark/>
          </w:tcPr>
          <w:p w:rsidR="00A71A12" w:rsidRPr="00BB33FC" w:rsidRDefault="00A71A12" w:rsidP="00A71A12">
            <w:pPr>
              <w:rPr>
                <w:rFonts w:ascii="Arial" w:hAnsi="Arial" w:cs="Arial"/>
                <w:color w:val="000000"/>
                <w:sz w:val="18"/>
                <w:szCs w:val="18"/>
              </w:rPr>
            </w:pPr>
            <w:r w:rsidRPr="00BB33FC">
              <w:rPr>
                <w:rFonts w:ascii="Arial" w:hAnsi="Arial" w:cs="Arial"/>
                <w:color w:val="000000"/>
                <w:sz w:val="18"/>
                <w:szCs w:val="18"/>
              </w:rPr>
              <w:t> </w:t>
            </w:r>
          </w:p>
        </w:tc>
        <w:tc>
          <w:tcPr>
            <w:tcW w:w="1086" w:type="dxa"/>
            <w:gridSpan w:val="2"/>
            <w:tcBorders>
              <w:top w:val="nil"/>
              <w:left w:val="nil"/>
              <w:bottom w:val="nil"/>
              <w:right w:val="single" w:sz="4" w:space="0" w:color="A6A6A6"/>
            </w:tcBorders>
            <w:shd w:val="clear" w:color="000000" w:fill="FDE9D9"/>
            <w:noWrap/>
            <w:vAlign w:val="bottom"/>
            <w:hideMark/>
          </w:tcPr>
          <w:p w:rsidR="00A71A12" w:rsidRPr="00BB33FC" w:rsidRDefault="00A71A12" w:rsidP="00A71A12">
            <w:pPr>
              <w:jc w:val="right"/>
              <w:rPr>
                <w:rFonts w:ascii="Arial" w:hAnsi="Arial" w:cs="Arial"/>
                <w:i/>
                <w:iCs/>
                <w:color w:val="FF0000"/>
                <w:sz w:val="16"/>
                <w:szCs w:val="16"/>
              </w:rPr>
            </w:pPr>
            <w:r w:rsidRPr="00BB33FC">
              <w:rPr>
                <w:rFonts w:ascii="Arial" w:hAnsi="Arial" w:cs="Arial"/>
                <w:i/>
                <w:iCs/>
                <w:color w:val="FF0000"/>
                <w:sz w:val="16"/>
                <w:szCs w:val="16"/>
              </w:rPr>
              <w:t>check total %</w:t>
            </w:r>
          </w:p>
        </w:tc>
        <w:tc>
          <w:tcPr>
            <w:tcW w:w="863" w:type="dxa"/>
            <w:gridSpan w:val="2"/>
            <w:tcBorders>
              <w:top w:val="nil"/>
              <w:left w:val="nil"/>
              <w:bottom w:val="nil"/>
              <w:right w:val="single" w:sz="4" w:space="0" w:color="A6A6A6"/>
            </w:tcBorders>
            <w:shd w:val="clear" w:color="000000" w:fill="FDE9D9"/>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 </w:t>
            </w:r>
          </w:p>
        </w:tc>
        <w:tc>
          <w:tcPr>
            <w:tcW w:w="1674" w:type="dxa"/>
            <w:gridSpan w:val="2"/>
            <w:tcBorders>
              <w:top w:val="nil"/>
              <w:left w:val="nil"/>
              <w:bottom w:val="nil"/>
              <w:right w:val="single" w:sz="4" w:space="0" w:color="A6A6A6"/>
            </w:tcBorders>
            <w:shd w:val="clear" w:color="000000" w:fill="FDE9D9"/>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 </w:t>
            </w:r>
          </w:p>
        </w:tc>
        <w:tc>
          <w:tcPr>
            <w:tcW w:w="641" w:type="dxa"/>
            <w:gridSpan w:val="2"/>
            <w:tcBorders>
              <w:top w:val="nil"/>
              <w:left w:val="nil"/>
              <w:bottom w:val="nil"/>
              <w:right w:val="single" w:sz="4" w:space="0" w:color="A6A6A6"/>
            </w:tcBorders>
            <w:shd w:val="clear" w:color="000000" w:fill="FDE9D9"/>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2011</w:t>
            </w:r>
          </w:p>
        </w:tc>
        <w:tc>
          <w:tcPr>
            <w:tcW w:w="951" w:type="dxa"/>
            <w:tcBorders>
              <w:top w:val="nil"/>
              <w:left w:val="nil"/>
              <w:bottom w:val="nil"/>
              <w:right w:val="single" w:sz="8" w:space="0" w:color="E26B0A"/>
            </w:tcBorders>
            <w:shd w:val="clear" w:color="000000" w:fill="FDE9D9"/>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w:t>
            </w:r>
          </w:p>
        </w:tc>
      </w:tr>
      <w:tr w:rsidR="00A71A12" w:rsidRPr="00BB33FC" w:rsidTr="00A71A12">
        <w:trPr>
          <w:trHeight w:val="510"/>
        </w:trPr>
        <w:tc>
          <w:tcPr>
            <w:tcW w:w="387"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363" w:type="dxa"/>
            <w:vMerge/>
            <w:tcBorders>
              <w:top w:val="nil"/>
              <w:left w:val="single" w:sz="8" w:space="0" w:color="E26B0A"/>
              <w:bottom w:val="single" w:sz="8" w:space="0" w:color="E26B0A"/>
              <w:right w:val="nil"/>
            </w:tcBorders>
            <w:vAlign w:val="center"/>
            <w:hideMark/>
          </w:tcPr>
          <w:p w:rsidR="00A71A12" w:rsidRPr="00BB33FC" w:rsidRDefault="00A71A12" w:rsidP="00A71A12">
            <w:pPr>
              <w:rPr>
                <w:rFonts w:ascii="Arial" w:hAnsi="Arial" w:cs="Arial"/>
                <w:b/>
                <w:bCs/>
                <w:color w:val="000000"/>
                <w:sz w:val="20"/>
                <w:szCs w:val="20"/>
              </w:rPr>
            </w:pPr>
          </w:p>
        </w:tc>
        <w:tc>
          <w:tcPr>
            <w:tcW w:w="4662" w:type="dxa"/>
            <w:gridSpan w:val="4"/>
            <w:tcBorders>
              <w:top w:val="nil"/>
              <w:left w:val="nil"/>
              <w:bottom w:val="single" w:sz="8" w:space="0" w:color="E26B0A"/>
              <w:right w:val="nil"/>
            </w:tcBorders>
            <w:shd w:val="clear" w:color="000000" w:fill="FDE9D9"/>
            <w:noWrap/>
            <w:vAlign w:val="bottom"/>
            <w:hideMark/>
          </w:tcPr>
          <w:p w:rsidR="00A71A12" w:rsidRPr="00BB33FC" w:rsidRDefault="00A71A12" w:rsidP="00A71A12">
            <w:pPr>
              <w:rPr>
                <w:rFonts w:ascii="Arial" w:hAnsi="Arial" w:cs="Arial"/>
                <w:color w:val="000000"/>
                <w:sz w:val="18"/>
                <w:szCs w:val="18"/>
              </w:rPr>
            </w:pPr>
            <w:r w:rsidRPr="00BB33FC">
              <w:rPr>
                <w:rFonts w:ascii="Arial" w:hAnsi="Arial" w:cs="Arial"/>
                <w:color w:val="000000"/>
                <w:sz w:val="18"/>
                <w:szCs w:val="18"/>
              </w:rPr>
              <w:t xml:space="preserve"> mestské</w:t>
            </w:r>
          </w:p>
        </w:tc>
        <w:tc>
          <w:tcPr>
            <w:tcW w:w="1086" w:type="dxa"/>
            <w:gridSpan w:val="2"/>
            <w:tcBorders>
              <w:top w:val="nil"/>
              <w:left w:val="nil"/>
              <w:bottom w:val="single" w:sz="8" w:space="0" w:color="E26B0A"/>
              <w:right w:val="single" w:sz="4" w:space="0" w:color="A6A6A6"/>
            </w:tcBorders>
            <w:shd w:val="clear" w:color="000000" w:fill="FDE9D9"/>
            <w:noWrap/>
            <w:vAlign w:val="bottom"/>
            <w:hideMark/>
          </w:tcPr>
          <w:p w:rsidR="00A71A12" w:rsidRPr="00BB33FC" w:rsidRDefault="00A71A12" w:rsidP="00A71A12">
            <w:pPr>
              <w:jc w:val="right"/>
              <w:rPr>
                <w:rFonts w:ascii="Arial" w:hAnsi="Arial" w:cs="Arial"/>
                <w:i/>
                <w:iCs/>
                <w:color w:val="E26B0A"/>
                <w:sz w:val="16"/>
                <w:szCs w:val="16"/>
              </w:rPr>
            </w:pPr>
            <w:r w:rsidRPr="00BB33FC">
              <w:rPr>
                <w:rFonts w:ascii="Arial" w:hAnsi="Arial" w:cs="Arial"/>
                <w:i/>
                <w:iCs/>
                <w:color w:val="E26B0A"/>
                <w:sz w:val="16"/>
                <w:szCs w:val="16"/>
              </w:rPr>
              <w:t>100,0</w:t>
            </w:r>
          </w:p>
        </w:tc>
        <w:tc>
          <w:tcPr>
            <w:tcW w:w="863" w:type="dxa"/>
            <w:gridSpan w:val="2"/>
            <w:tcBorders>
              <w:top w:val="nil"/>
              <w:left w:val="nil"/>
              <w:bottom w:val="single" w:sz="8" w:space="0" w:color="E26B0A"/>
              <w:right w:val="single" w:sz="4" w:space="0" w:color="A6A6A6"/>
            </w:tcBorders>
            <w:shd w:val="clear" w:color="000000" w:fill="FDE9D9"/>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14,9</w:t>
            </w:r>
          </w:p>
        </w:tc>
        <w:tc>
          <w:tcPr>
            <w:tcW w:w="1674" w:type="dxa"/>
            <w:gridSpan w:val="2"/>
            <w:tcBorders>
              <w:top w:val="nil"/>
              <w:left w:val="nil"/>
              <w:bottom w:val="single" w:sz="8" w:space="0" w:color="E26B0A"/>
              <w:right w:val="single" w:sz="4" w:space="0" w:color="A6A6A6"/>
            </w:tcBorders>
            <w:shd w:val="clear" w:color="000000" w:fill="FDE9D9"/>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 xml:space="preserve"> % z celkového počtu</w:t>
            </w:r>
          </w:p>
        </w:tc>
        <w:tc>
          <w:tcPr>
            <w:tcW w:w="641" w:type="dxa"/>
            <w:gridSpan w:val="2"/>
            <w:tcBorders>
              <w:top w:val="nil"/>
              <w:left w:val="nil"/>
              <w:bottom w:val="single" w:sz="8" w:space="0" w:color="E26B0A"/>
              <w:right w:val="single" w:sz="4" w:space="0" w:color="A6A6A6"/>
            </w:tcBorders>
            <w:shd w:val="clear" w:color="000000" w:fill="FDE9D9"/>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2011</w:t>
            </w:r>
          </w:p>
        </w:tc>
        <w:tc>
          <w:tcPr>
            <w:tcW w:w="951" w:type="dxa"/>
            <w:tcBorders>
              <w:top w:val="nil"/>
              <w:left w:val="nil"/>
              <w:bottom w:val="single" w:sz="8" w:space="0" w:color="E26B0A"/>
              <w:right w:val="single" w:sz="8" w:space="0" w:color="E26B0A"/>
            </w:tcBorders>
            <w:shd w:val="clear" w:color="000000" w:fill="FDE9D9"/>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w:t>
            </w:r>
          </w:p>
        </w:tc>
      </w:tr>
      <w:tr w:rsidR="00A71A12" w:rsidRPr="00BB33FC" w:rsidTr="00A71A12">
        <w:trPr>
          <w:trHeight w:val="630"/>
        </w:trPr>
        <w:tc>
          <w:tcPr>
            <w:tcW w:w="387"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6111" w:type="dxa"/>
            <w:gridSpan w:val="7"/>
            <w:tcBorders>
              <w:top w:val="single" w:sz="8" w:space="0" w:color="E26B0A"/>
              <w:left w:val="single" w:sz="8" w:space="0" w:color="E26B0A"/>
              <w:bottom w:val="single" w:sz="8" w:space="0" w:color="E26B0A"/>
              <w:right w:val="single" w:sz="4" w:space="0" w:color="A6A6A6"/>
            </w:tcBorders>
            <w:shd w:val="clear" w:color="auto" w:fill="auto"/>
            <w:vAlign w:val="bottom"/>
            <w:hideMark/>
          </w:tcPr>
          <w:p w:rsidR="00A71A12" w:rsidRPr="00BB33FC" w:rsidRDefault="00A71A12" w:rsidP="00A71A12">
            <w:pPr>
              <w:jc w:val="center"/>
              <w:rPr>
                <w:rFonts w:ascii="Arial" w:hAnsi="Arial" w:cs="Arial"/>
                <w:b/>
                <w:bCs/>
                <w:i/>
                <w:iCs/>
                <w:color w:val="000000"/>
                <w:sz w:val="28"/>
                <w:szCs w:val="28"/>
              </w:rPr>
            </w:pPr>
            <w:r w:rsidRPr="00BB33FC">
              <w:rPr>
                <w:rFonts w:ascii="Arial" w:hAnsi="Arial" w:cs="Arial"/>
                <w:b/>
                <w:bCs/>
                <w:i/>
                <w:iCs/>
                <w:color w:val="000000"/>
                <w:sz w:val="28"/>
                <w:szCs w:val="28"/>
              </w:rPr>
              <w:t>Životné prostredie / klíma</w:t>
            </w:r>
          </w:p>
        </w:tc>
        <w:tc>
          <w:tcPr>
            <w:tcW w:w="863" w:type="dxa"/>
            <w:gridSpan w:val="2"/>
            <w:tcBorders>
              <w:top w:val="nil"/>
              <w:left w:val="nil"/>
              <w:bottom w:val="single" w:sz="8" w:space="0" w:color="E26B0A"/>
              <w:right w:val="single" w:sz="4" w:space="0" w:color="A6A6A6"/>
            </w:tcBorders>
            <w:shd w:val="clear" w:color="auto" w:fill="auto"/>
            <w:vAlign w:val="bottom"/>
            <w:hideMark/>
          </w:tcPr>
          <w:p w:rsidR="00A71A12" w:rsidRPr="00BB33FC" w:rsidRDefault="00A71A12" w:rsidP="00A71A12">
            <w:pPr>
              <w:jc w:val="center"/>
              <w:rPr>
                <w:rFonts w:ascii="Arial" w:hAnsi="Arial" w:cs="Arial"/>
                <w:b/>
                <w:bCs/>
                <w:sz w:val="18"/>
                <w:szCs w:val="18"/>
              </w:rPr>
            </w:pPr>
            <w:r w:rsidRPr="00BB33FC">
              <w:rPr>
                <w:rFonts w:ascii="Arial" w:hAnsi="Arial" w:cs="Arial"/>
                <w:b/>
                <w:bCs/>
                <w:sz w:val="18"/>
                <w:szCs w:val="18"/>
              </w:rPr>
              <w:t> </w:t>
            </w:r>
          </w:p>
        </w:tc>
        <w:tc>
          <w:tcPr>
            <w:tcW w:w="1674" w:type="dxa"/>
            <w:gridSpan w:val="2"/>
            <w:tcBorders>
              <w:top w:val="nil"/>
              <w:left w:val="nil"/>
              <w:bottom w:val="single" w:sz="8" w:space="0" w:color="E26B0A"/>
              <w:right w:val="single" w:sz="4" w:space="0" w:color="A6A6A6"/>
            </w:tcBorders>
            <w:shd w:val="clear" w:color="auto" w:fill="auto"/>
            <w:vAlign w:val="bottom"/>
            <w:hideMark/>
          </w:tcPr>
          <w:p w:rsidR="00A71A12" w:rsidRPr="00BB33FC" w:rsidRDefault="00A71A12" w:rsidP="00A71A12">
            <w:pPr>
              <w:rPr>
                <w:rFonts w:ascii="Arial" w:hAnsi="Arial" w:cs="Arial"/>
                <w:b/>
                <w:bCs/>
                <w:sz w:val="18"/>
                <w:szCs w:val="18"/>
              </w:rPr>
            </w:pPr>
            <w:r w:rsidRPr="00BB33FC">
              <w:rPr>
                <w:rFonts w:ascii="Arial" w:hAnsi="Arial" w:cs="Arial"/>
                <w:b/>
                <w:bCs/>
                <w:sz w:val="18"/>
                <w:szCs w:val="18"/>
              </w:rPr>
              <w:t> </w:t>
            </w:r>
          </w:p>
        </w:tc>
        <w:tc>
          <w:tcPr>
            <w:tcW w:w="641" w:type="dxa"/>
            <w:gridSpan w:val="2"/>
            <w:tcBorders>
              <w:top w:val="nil"/>
              <w:left w:val="nil"/>
              <w:bottom w:val="single" w:sz="8" w:space="0" w:color="E26B0A"/>
              <w:right w:val="single" w:sz="4" w:space="0" w:color="A6A6A6"/>
            </w:tcBorders>
            <w:shd w:val="clear" w:color="auto" w:fill="auto"/>
            <w:noWrap/>
            <w:vAlign w:val="bottom"/>
            <w:hideMark/>
          </w:tcPr>
          <w:p w:rsidR="00A71A12" w:rsidRPr="00BB33FC" w:rsidRDefault="00A71A12" w:rsidP="00A71A12">
            <w:pPr>
              <w:jc w:val="center"/>
              <w:rPr>
                <w:rFonts w:ascii="Arial" w:hAnsi="Arial" w:cs="Arial"/>
                <w:b/>
                <w:bCs/>
                <w:sz w:val="18"/>
                <w:szCs w:val="18"/>
              </w:rPr>
            </w:pPr>
            <w:r w:rsidRPr="00BB33FC">
              <w:rPr>
                <w:rFonts w:ascii="Arial" w:hAnsi="Arial" w:cs="Arial"/>
                <w:b/>
                <w:bCs/>
                <w:sz w:val="18"/>
                <w:szCs w:val="18"/>
              </w:rPr>
              <w:t> </w:t>
            </w:r>
          </w:p>
        </w:tc>
        <w:tc>
          <w:tcPr>
            <w:tcW w:w="951" w:type="dxa"/>
            <w:tcBorders>
              <w:top w:val="nil"/>
              <w:left w:val="nil"/>
              <w:bottom w:val="nil"/>
              <w:right w:val="single" w:sz="8" w:space="0" w:color="E26B0A"/>
            </w:tcBorders>
            <w:shd w:val="clear" w:color="auto" w:fill="auto"/>
            <w:vAlign w:val="bottom"/>
            <w:hideMark/>
          </w:tcPr>
          <w:p w:rsidR="00A71A12" w:rsidRPr="00BB33FC" w:rsidRDefault="00A71A12" w:rsidP="00A71A12">
            <w:pPr>
              <w:rPr>
                <w:rFonts w:ascii="Arial" w:hAnsi="Arial" w:cs="Arial"/>
                <w:b/>
                <w:bCs/>
                <w:sz w:val="18"/>
                <w:szCs w:val="18"/>
              </w:rPr>
            </w:pPr>
            <w:r w:rsidRPr="00BB33FC">
              <w:rPr>
                <w:rFonts w:ascii="Arial" w:hAnsi="Arial" w:cs="Arial"/>
                <w:b/>
                <w:bCs/>
                <w:sz w:val="18"/>
                <w:szCs w:val="18"/>
              </w:rPr>
              <w:t> </w:t>
            </w:r>
          </w:p>
        </w:tc>
      </w:tr>
      <w:tr w:rsidR="00A71A12" w:rsidRPr="00BB33FC" w:rsidTr="00A71A12">
        <w:trPr>
          <w:trHeight w:val="300"/>
        </w:trPr>
        <w:tc>
          <w:tcPr>
            <w:tcW w:w="387"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363" w:type="dxa"/>
            <w:vMerge w:val="restart"/>
            <w:tcBorders>
              <w:top w:val="nil"/>
              <w:left w:val="single" w:sz="8" w:space="0" w:color="E26B0A"/>
              <w:bottom w:val="single" w:sz="8" w:space="0" w:color="E26B0A"/>
              <w:right w:val="nil"/>
            </w:tcBorders>
            <w:shd w:val="clear" w:color="auto" w:fill="auto"/>
            <w:noWrap/>
            <w:hideMark/>
          </w:tcPr>
          <w:p w:rsidR="00A71A12" w:rsidRPr="00BB33FC" w:rsidRDefault="00A71A12" w:rsidP="00A71A12">
            <w:pPr>
              <w:rPr>
                <w:rFonts w:ascii="Arial" w:hAnsi="Arial" w:cs="Arial"/>
                <w:b/>
                <w:bCs/>
                <w:color w:val="000000"/>
                <w:sz w:val="20"/>
                <w:szCs w:val="20"/>
              </w:rPr>
            </w:pPr>
            <w:r w:rsidRPr="00BB33FC">
              <w:rPr>
                <w:rFonts w:ascii="Arial" w:hAnsi="Arial" w:cs="Arial"/>
                <w:b/>
                <w:bCs/>
                <w:color w:val="000000"/>
                <w:sz w:val="20"/>
                <w:szCs w:val="20"/>
              </w:rPr>
              <w:t>31</w:t>
            </w:r>
          </w:p>
        </w:tc>
        <w:tc>
          <w:tcPr>
            <w:tcW w:w="9877" w:type="dxa"/>
            <w:gridSpan w:val="13"/>
            <w:tcBorders>
              <w:top w:val="single" w:sz="8" w:space="0" w:color="E26B0A"/>
              <w:left w:val="nil"/>
              <w:bottom w:val="nil"/>
              <w:right w:val="single" w:sz="8" w:space="0" w:color="E26B0A"/>
            </w:tcBorders>
            <w:shd w:val="clear" w:color="auto" w:fill="auto"/>
            <w:noWrap/>
            <w:vAlign w:val="bottom"/>
            <w:hideMark/>
          </w:tcPr>
          <w:p w:rsidR="00A71A12" w:rsidRPr="00BB33FC" w:rsidRDefault="00A71A12" w:rsidP="00A71A12">
            <w:pPr>
              <w:rPr>
                <w:rFonts w:ascii="Arial" w:hAnsi="Arial" w:cs="Arial"/>
                <w:b/>
                <w:bCs/>
                <w:i/>
                <w:iCs/>
                <w:sz w:val="20"/>
                <w:szCs w:val="20"/>
              </w:rPr>
            </w:pPr>
            <w:r w:rsidRPr="00BB33FC">
              <w:rPr>
                <w:rFonts w:ascii="Arial" w:hAnsi="Arial" w:cs="Arial"/>
                <w:b/>
                <w:bCs/>
                <w:i/>
                <w:iCs/>
                <w:sz w:val="20"/>
                <w:szCs w:val="20"/>
              </w:rPr>
              <w:t>Land Cover / Pôdny kryt</w:t>
            </w:r>
          </w:p>
        </w:tc>
      </w:tr>
      <w:tr w:rsidR="00A71A12" w:rsidRPr="00BB33FC" w:rsidTr="00A71A12">
        <w:trPr>
          <w:trHeight w:val="495"/>
        </w:trPr>
        <w:tc>
          <w:tcPr>
            <w:tcW w:w="387"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363" w:type="dxa"/>
            <w:vMerge/>
            <w:tcBorders>
              <w:top w:val="nil"/>
              <w:left w:val="single" w:sz="8" w:space="0" w:color="E26B0A"/>
              <w:bottom w:val="single" w:sz="8" w:space="0" w:color="E26B0A"/>
              <w:right w:val="nil"/>
            </w:tcBorders>
            <w:vAlign w:val="center"/>
            <w:hideMark/>
          </w:tcPr>
          <w:p w:rsidR="00A71A12" w:rsidRPr="00BB33FC" w:rsidRDefault="00A71A12" w:rsidP="00A71A12">
            <w:pPr>
              <w:rPr>
                <w:rFonts w:ascii="Arial" w:hAnsi="Arial" w:cs="Arial"/>
                <w:b/>
                <w:bCs/>
                <w:color w:val="000000"/>
                <w:sz w:val="20"/>
                <w:szCs w:val="20"/>
              </w:rPr>
            </w:pPr>
          </w:p>
        </w:tc>
        <w:tc>
          <w:tcPr>
            <w:tcW w:w="4662" w:type="dxa"/>
            <w:gridSpan w:val="4"/>
            <w:tcBorders>
              <w:top w:val="single" w:sz="4" w:space="0" w:color="A6A6A6"/>
              <w:left w:val="nil"/>
              <w:bottom w:val="nil"/>
              <w:right w:val="nil"/>
            </w:tcBorders>
            <w:shd w:val="clear" w:color="000000" w:fill="FDE9D9"/>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podiel poľn. pôdy</w:t>
            </w:r>
          </w:p>
        </w:tc>
        <w:tc>
          <w:tcPr>
            <w:tcW w:w="1086" w:type="dxa"/>
            <w:gridSpan w:val="2"/>
            <w:tcBorders>
              <w:top w:val="single" w:sz="4" w:space="0" w:color="A6A6A6"/>
              <w:left w:val="nil"/>
              <w:bottom w:val="nil"/>
              <w:right w:val="single" w:sz="4" w:space="0" w:color="A6A6A6"/>
            </w:tcBorders>
            <w:shd w:val="clear" w:color="000000" w:fill="FDE9D9"/>
            <w:noWrap/>
            <w:vAlign w:val="bottom"/>
            <w:hideMark/>
          </w:tcPr>
          <w:p w:rsidR="00A71A12" w:rsidRPr="00BB33FC" w:rsidRDefault="00A71A12" w:rsidP="00A71A12">
            <w:pPr>
              <w:rPr>
                <w:rFonts w:ascii="Arial" w:hAnsi="Arial" w:cs="Arial"/>
                <w:sz w:val="20"/>
                <w:szCs w:val="20"/>
              </w:rPr>
            </w:pPr>
            <w:r w:rsidRPr="00BB33FC">
              <w:rPr>
                <w:rFonts w:ascii="Arial" w:hAnsi="Arial" w:cs="Arial"/>
                <w:sz w:val="20"/>
                <w:szCs w:val="20"/>
              </w:rPr>
              <w:t> </w:t>
            </w:r>
          </w:p>
        </w:tc>
        <w:tc>
          <w:tcPr>
            <w:tcW w:w="863" w:type="dxa"/>
            <w:gridSpan w:val="2"/>
            <w:tcBorders>
              <w:top w:val="single" w:sz="4" w:space="0" w:color="A6A6A6"/>
              <w:left w:val="nil"/>
              <w:bottom w:val="nil"/>
              <w:right w:val="single" w:sz="4" w:space="0" w:color="A6A6A6"/>
            </w:tcBorders>
            <w:shd w:val="clear" w:color="000000" w:fill="FDE9D9"/>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48,3</w:t>
            </w:r>
          </w:p>
        </w:tc>
        <w:tc>
          <w:tcPr>
            <w:tcW w:w="1674" w:type="dxa"/>
            <w:gridSpan w:val="2"/>
            <w:tcBorders>
              <w:top w:val="single" w:sz="4" w:space="0" w:color="A6A6A6"/>
              <w:left w:val="nil"/>
              <w:bottom w:val="nil"/>
              <w:right w:val="single" w:sz="4" w:space="0" w:color="A6A6A6"/>
            </w:tcBorders>
            <w:shd w:val="clear" w:color="000000" w:fill="FDE9D9"/>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 z celkovej plochy</w:t>
            </w:r>
          </w:p>
        </w:tc>
        <w:tc>
          <w:tcPr>
            <w:tcW w:w="641" w:type="dxa"/>
            <w:gridSpan w:val="2"/>
            <w:tcBorders>
              <w:top w:val="single" w:sz="4" w:space="0" w:color="A6A6A6"/>
              <w:left w:val="nil"/>
              <w:bottom w:val="nil"/>
              <w:right w:val="single" w:sz="4" w:space="0" w:color="A6A6A6"/>
            </w:tcBorders>
            <w:shd w:val="clear" w:color="000000" w:fill="FDE9D9"/>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2006</w:t>
            </w:r>
          </w:p>
        </w:tc>
        <w:tc>
          <w:tcPr>
            <w:tcW w:w="951" w:type="dxa"/>
            <w:tcBorders>
              <w:top w:val="single" w:sz="4" w:space="0" w:color="A6A6A6"/>
              <w:left w:val="nil"/>
              <w:bottom w:val="nil"/>
              <w:right w:val="single" w:sz="8" w:space="0" w:color="E26B0A"/>
            </w:tcBorders>
            <w:shd w:val="clear" w:color="000000" w:fill="FDE9D9"/>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w:t>
            </w:r>
          </w:p>
        </w:tc>
      </w:tr>
      <w:tr w:rsidR="00A71A12" w:rsidRPr="00BB33FC" w:rsidTr="00A71A12">
        <w:trPr>
          <w:trHeight w:val="495"/>
        </w:trPr>
        <w:tc>
          <w:tcPr>
            <w:tcW w:w="387"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363" w:type="dxa"/>
            <w:vMerge/>
            <w:tcBorders>
              <w:top w:val="nil"/>
              <w:left w:val="single" w:sz="8" w:space="0" w:color="E26B0A"/>
              <w:bottom w:val="single" w:sz="8" w:space="0" w:color="E26B0A"/>
              <w:right w:val="nil"/>
            </w:tcBorders>
            <w:vAlign w:val="center"/>
            <w:hideMark/>
          </w:tcPr>
          <w:p w:rsidR="00A71A12" w:rsidRPr="00BB33FC" w:rsidRDefault="00A71A12" w:rsidP="00A71A12">
            <w:pPr>
              <w:rPr>
                <w:rFonts w:ascii="Arial" w:hAnsi="Arial" w:cs="Arial"/>
                <w:b/>
                <w:bCs/>
                <w:color w:val="000000"/>
                <w:sz w:val="20"/>
                <w:szCs w:val="20"/>
              </w:rPr>
            </w:pPr>
          </w:p>
        </w:tc>
        <w:tc>
          <w:tcPr>
            <w:tcW w:w="5748" w:type="dxa"/>
            <w:gridSpan w:val="6"/>
            <w:tcBorders>
              <w:top w:val="nil"/>
              <w:left w:val="nil"/>
              <w:bottom w:val="nil"/>
              <w:right w:val="single" w:sz="4" w:space="0" w:color="A6A6A6"/>
            </w:tcBorders>
            <w:shd w:val="clear" w:color="000000" w:fill="FDE9D9"/>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podiel prírodných TTP</w:t>
            </w:r>
          </w:p>
        </w:tc>
        <w:tc>
          <w:tcPr>
            <w:tcW w:w="863" w:type="dxa"/>
            <w:gridSpan w:val="2"/>
            <w:tcBorders>
              <w:top w:val="nil"/>
              <w:left w:val="nil"/>
              <w:bottom w:val="nil"/>
              <w:right w:val="single" w:sz="4" w:space="0" w:color="A6A6A6"/>
            </w:tcBorders>
            <w:shd w:val="clear" w:color="000000" w:fill="FDE9D9"/>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0,6</w:t>
            </w:r>
          </w:p>
        </w:tc>
        <w:tc>
          <w:tcPr>
            <w:tcW w:w="1674" w:type="dxa"/>
            <w:gridSpan w:val="2"/>
            <w:tcBorders>
              <w:top w:val="nil"/>
              <w:left w:val="nil"/>
              <w:bottom w:val="nil"/>
              <w:right w:val="single" w:sz="4" w:space="0" w:color="A6A6A6"/>
            </w:tcBorders>
            <w:shd w:val="clear" w:color="000000" w:fill="FDE9D9"/>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 z celkovej plochy</w:t>
            </w:r>
          </w:p>
        </w:tc>
        <w:tc>
          <w:tcPr>
            <w:tcW w:w="641" w:type="dxa"/>
            <w:gridSpan w:val="2"/>
            <w:tcBorders>
              <w:top w:val="nil"/>
              <w:left w:val="nil"/>
              <w:bottom w:val="nil"/>
              <w:right w:val="single" w:sz="4" w:space="0" w:color="A6A6A6"/>
            </w:tcBorders>
            <w:shd w:val="clear" w:color="000000" w:fill="FDE9D9"/>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2006</w:t>
            </w:r>
          </w:p>
        </w:tc>
        <w:tc>
          <w:tcPr>
            <w:tcW w:w="951" w:type="dxa"/>
            <w:tcBorders>
              <w:top w:val="nil"/>
              <w:left w:val="nil"/>
              <w:bottom w:val="nil"/>
              <w:right w:val="single" w:sz="8" w:space="0" w:color="E26B0A"/>
            </w:tcBorders>
            <w:shd w:val="clear" w:color="000000" w:fill="FDE9D9"/>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w:t>
            </w:r>
          </w:p>
        </w:tc>
      </w:tr>
      <w:tr w:rsidR="00A71A12" w:rsidRPr="00BB33FC" w:rsidTr="00A71A12">
        <w:trPr>
          <w:trHeight w:val="495"/>
        </w:trPr>
        <w:tc>
          <w:tcPr>
            <w:tcW w:w="387"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363" w:type="dxa"/>
            <w:vMerge/>
            <w:tcBorders>
              <w:top w:val="nil"/>
              <w:left w:val="single" w:sz="8" w:space="0" w:color="E26B0A"/>
              <w:bottom w:val="single" w:sz="8" w:space="0" w:color="E26B0A"/>
              <w:right w:val="nil"/>
            </w:tcBorders>
            <w:vAlign w:val="center"/>
            <w:hideMark/>
          </w:tcPr>
          <w:p w:rsidR="00A71A12" w:rsidRPr="00BB33FC" w:rsidRDefault="00A71A12" w:rsidP="00A71A12">
            <w:pPr>
              <w:rPr>
                <w:rFonts w:ascii="Arial" w:hAnsi="Arial" w:cs="Arial"/>
                <w:b/>
                <w:bCs/>
                <w:color w:val="000000"/>
                <w:sz w:val="20"/>
                <w:szCs w:val="20"/>
              </w:rPr>
            </w:pPr>
          </w:p>
        </w:tc>
        <w:tc>
          <w:tcPr>
            <w:tcW w:w="5748" w:type="dxa"/>
            <w:gridSpan w:val="6"/>
            <w:tcBorders>
              <w:top w:val="nil"/>
              <w:left w:val="nil"/>
              <w:bottom w:val="nil"/>
              <w:right w:val="single" w:sz="4" w:space="0" w:color="A6A6A6"/>
            </w:tcBorders>
            <w:shd w:val="clear" w:color="000000" w:fill="FDE9D9"/>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podiel lesnej pôdy</w:t>
            </w:r>
          </w:p>
        </w:tc>
        <w:tc>
          <w:tcPr>
            <w:tcW w:w="863" w:type="dxa"/>
            <w:gridSpan w:val="2"/>
            <w:tcBorders>
              <w:top w:val="nil"/>
              <w:left w:val="nil"/>
              <w:bottom w:val="nil"/>
              <w:right w:val="single" w:sz="4" w:space="0" w:color="A6A6A6"/>
            </w:tcBorders>
            <w:shd w:val="clear" w:color="000000" w:fill="FDE9D9"/>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40,2</w:t>
            </w:r>
          </w:p>
        </w:tc>
        <w:tc>
          <w:tcPr>
            <w:tcW w:w="1674" w:type="dxa"/>
            <w:gridSpan w:val="2"/>
            <w:tcBorders>
              <w:top w:val="nil"/>
              <w:left w:val="nil"/>
              <w:bottom w:val="nil"/>
              <w:right w:val="single" w:sz="4" w:space="0" w:color="A6A6A6"/>
            </w:tcBorders>
            <w:shd w:val="clear" w:color="000000" w:fill="FDE9D9"/>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 z celkovej plochy</w:t>
            </w:r>
          </w:p>
        </w:tc>
        <w:tc>
          <w:tcPr>
            <w:tcW w:w="641" w:type="dxa"/>
            <w:gridSpan w:val="2"/>
            <w:tcBorders>
              <w:top w:val="nil"/>
              <w:left w:val="nil"/>
              <w:bottom w:val="nil"/>
              <w:right w:val="single" w:sz="4" w:space="0" w:color="A6A6A6"/>
            </w:tcBorders>
            <w:shd w:val="clear" w:color="000000" w:fill="FDE9D9"/>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2006</w:t>
            </w:r>
          </w:p>
        </w:tc>
        <w:tc>
          <w:tcPr>
            <w:tcW w:w="951" w:type="dxa"/>
            <w:tcBorders>
              <w:top w:val="nil"/>
              <w:left w:val="nil"/>
              <w:bottom w:val="nil"/>
              <w:right w:val="single" w:sz="8" w:space="0" w:color="E26B0A"/>
            </w:tcBorders>
            <w:shd w:val="clear" w:color="000000" w:fill="FDE9D9"/>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w:t>
            </w:r>
          </w:p>
        </w:tc>
      </w:tr>
      <w:tr w:rsidR="00A71A12" w:rsidRPr="00BB33FC" w:rsidTr="00A71A12">
        <w:trPr>
          <w:trHeight w:val="510"/>
        </w:trPr>
        <w:tc>
          <w:tcPr>
            <w:tcW w:w="387"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363" w:type="dxa"/>
            <w:vMerge/>
            <w:tcBorders>
              <w:top w:val="nil"/>
              <w:left w:val="single" w:sz="8" w:space="0" w:color="E26B0A"/>
              <w:bottom w:val="single" w:sz="8" w:space="0" w:color="E26B0A"/>
              <w:right w:val="nil"/>
            </w:tcBorders>
            <w:vAlign w:val="center"/>
            <w:hideMark/>
          </w:tcPr>
          <w:p w:rsidR="00A71A12" w:rsidRPr="00BB33FC" w:rsidRDefault="00A71A12" w:rsidP="00A71A12">
            <w:pPr>
              <w:rPr>
                <w:rFonts w:ascii="Arial" w:hAnsi="Arial" w:cs="Arial"/>
                <w:b/>
                <w:bCs/>
                <w:color w:val="000000"/>
                <w:sz w:val="20"/>
                <w:szCs w:val="20"/>
              </w:rPr>
            </w:pPr>
          </w:p>
        </w:tc>
        <w:tc>
          <w:tcPr>
            <w:tcW w:w="5748" w:type="dxa"/>
            <w:gridSpan w:val="6"/>
            <w:tcBorders>
              <w:top w:val="nil"/>
              <w:left w:val="nil"/>
              <w:bottom w:val="nil"/>
              <w:right w:val="single" w:sz="4" w:space="0" w:color="A6A6A6"/>
            </w:tcBorders>
            <w:shd w:val="clear" w:color="000000" w:fill="FDE9D9"/>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podiel prechodných lesných krovín</w:t>
            </w:r>
          </w:p>
        </w:tc>
        <w:tc>
          <w:tcPr>
            <w:tcW w:w="863" w:type="dxa"/>
            <w:gridSpan w:val="2"/>
            <w:tcBorders>
              <w:top w:val="nil"/>
              <w:left w:val="nil"/>
              <w:bottom w:val="nil"/>
              <w:right w:val="single" w:sz="4" w:space="0" w:color="A6A6A6"/>
            </w:tcBorders>
            <w:shd w:val="clear" w:color="000000" w:fill="FDE9D9"/>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4,2</w:t>
            </w:r>
          </w:p>
        </w:tc>
        <w:tc>
          <w:tcPr>
            <w:tcW w:w="1674" w:type="dxa"/>
            <w:gridSpan w:val="2"/>
            <w:tcBorders>
              <w:top w:val="nil"/>
              <w:left w:val="nil"/>
              <w:bottom w:val="nil"/>
              <w:right w:val="single" w:sz="4" w:space="0" w:color="A6A6A6"/>
            </w:tcBorders>
            <w:shd w:val="clear" w:color="000000" w:fill="FDE9D9"/>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 of total area/ % z celkovej plochy</w:t>
            </w:r>
          </w:p>
        </w:tc>
        <w:tc>
          <w:tcPr>
            <w:tcW w:w="641" w:type="dxa"/>
            <w:gridSpan w:val="2"/>
            <w:tcBorders>
              <w:top w:val="nil"/>
              <w:left w:val="nil"/>
              <w:bottom w:val="nil"/>
              <w:right w:val="single" w:sz="4" w:space="0" w:color="A6A6A6"/>
            </w:tcBorders>
            <w:shd w:val="clear" w:color="000000" w:fill="FDE9D9"/>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2006</w:t>
            </w:r>
          </w:p>
        </w:tc>
        <w:tc>
          <w:tcPr>
            <w:tcW w:w="951" w:type="dxa"/>
            <w:tcBorders>
              <w:top w:val="nil"/>
              <w:left w:val="nil"/>
              <w:bottom w:val="nil"/>
              <w:right w:val="single" w:sz="8" w:space="0" w:color="E26B0A"/>
            </w:tcBorders>
            <w:shd w:val="clear" w:color="000000" w:fill="FDE9D9"/>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w:t>
            </w:r>
          </w:p>
        </w:tc>
      </w:tr>
      <w:tr w:rsidR="00A71A12" w:rsidRPr="00BB33FC" w:rsidTr="00A71A12">
        <w:trPr>
          <w:trHeight w:val="495"/>
        </w:trPr>
        <w:tc>
          <w:tcPr>
            <w:tcW w:w="387"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363" w:type="dxa"/>
            <w:vMerge/>
            <w:tcBorders>
              <w:top w:val="nil"/>
              <w:left w:val="single" w:sz="8" w:space="0" w:color="E26B0A"/>
              <w:bottom w:val="single" w:sz="8" w:space="0" w:color="E26B0A"/>
              <w:right w:val="nil"/>
            </w:tcBorders>
            <w:vAlign w:val="center"/>
            <w:hideMark/>
          </w:tcPr>
          <w:p w:rsidR="00A71A12" w:rsidRPr="00BB33FC" w:rsidRDefault="00A71A12" w:rsidP="00A71A12">
            <w:pPr>
              <w:rPr>
                <w:rFonts w:ascii="Arial" w:hAnsi="Arial" w:cs="Arial"/>
                <w:b/>
                <w:bCs/>
                <w:color w:val="000000"/>
                <w:sz w:val="20"/>
                <w:szCs w:val="20"/>
              </w:rPr>
            </w:pPr>
          </w:p>
        </w:tc>
        <w:tc>
          <w:tcPr>
            <w:tcW w:w="5748" w:type="dxa"/>
            <w:gridSpan w:val="6"/>
            <w:tcBorders>
              <w:top w:val="nil"/>
              <w:left w:val="nil"/>
              <w:bottom w:val="nil"/>
              <w:right w:val="single" w:sz="4" w:space="0" w:color="A6A6A6"/>
            </w:tcBorders>
            <w:shd w:val="clear" w:color="000000" w:fill="FDE9D9"/>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podiel prírodnej krajiny</w:t>
            </w:r>
          </w:p>
        </w:tc>
        <w:tc>
          <w:tcPr>
            <w:tcW w:w="863" w:type="dxa"/>
            <w:gridSpan w:val="2"/>
            <w:tcBorders>
              <w:top w:val="nil"/>
              <w:left w:val="nil"/>
              <w:bottom w:val="nil"/>
              <w:right w:val="single" w:sz="4" w:space="0" w:color="A6A6A6"/>
            </w:tcBorders>
            <w:shd w:val="clear" w:color="000000" w:fill="FDE9D9"/>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0,6</w:t>
            </w:r>
          </w:p>
        </w:tc>
        <w:tc>
          <w:tcPr>
            <w:tcW w:w="1674" w:type="dxa"/>
            <w:gridSpan w:val="2"/>
            <w:tcBorders>
              <w:top w:val="nil"/>
              <w:left w:val="nil"/>
              <w:bottom w:val="nil"/>
              <w:right w:val="single" w:sz="4" w:space="0" w:color="A6A6A6"/>
            </w:tcBorders>
            <w:shd w:val="clear" w:color="000000" w:fill="FDE9D9"/>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 z celkovej plochy</w:t>
            </w:r>
          </w:p>
        </w:tc>
        <w:tc>
          <w:tcPr>
            <w:tcW w:w="641" w:type="dxa"/>
            <w:gridSpan w:val="2"/>
            <w:tcBorders>
              <w:top w:val="nil"/>
              <w:left w:val="nil"/>
              <w:bottom w:val="nil"/>
              <w:right w:val="single" w:sz="4" w:space="0" w:color="A6A6A6"/>
            </w:tcBorders>
            <w:shd w:val="clear" w:color="000000" w:fill="FDE9D9"/>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2006</w:t>
            </w:r>
          </w:p>
        </w:tc>
        <w:tc>
          <w:tcPr>
            <w:tcW w:w="951" w:type="dxa"/>
            <w:tcBorders>
              <w:top w:val="nil"/>
              <w:left w:val="nil"/>
              <w:bottom w:val="nil"/>
              <w:right w:val="single" w:sz="8" w:space="0" w:color="E26B0A"/>
            </w:tcBorders>
            <w:shd w:val="clear" w:color="000000" w:fill="FDE9D9"/>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w:t>
            </w:r>
          </w:p>
        </w:tc>
      </w:tr>
      <w:tr w:rsidR="00A71A12" w:rsidRPr="00BB33FC" w:rsidTr="00A71A12">
        <w:trPr>
          <w:trHeight w:val="300"/>
        </w:trPr>
        <w:tc>
          <w:tcPr>
            <w:tcW w:w="387"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363" w:type="dxa"/>
            <w:vMerge/>
            <w:tcBorders>
              <w:top w:val="nil"/>
              <w:left w:val="single" w:sz="8" w:space="0" w:color="E26B0A"/>
              <w:bottom w:val="single" w:sz="8" w:space="0" w:color="E26B0A"/>
              <w:right w:val="nil"/>
            </w:tcBorders>
            <w:vAlign w:val="center"/>
            <w:hideMark/>
          </w:tcPr>
          <w:p w:rsidR="00A71A12" w:rsidRPr="00BB33FC" w:rsidRDefault="00A71A12" w:rsidP="00A71A12">
            <w:pPr>
              <w:rPr>
                <w:rFonts w:ascii="Arial" w:hAnsi="Arial" w:cs="Arial"/>
                <w:b/>
                <w:bCs/>
                <w:color w:val="000000"/>
                <w:sz w:val="20"/>
                <w:szCs w:val="20"/>
              </w:rPr>
            </w:pPr>
          </w:p>
        </w:tc>
        <w:tc>
          <w:tcPr>
            <w:tcW w:w="4662" w:type="dxa"/>
            <w:gridSpan w:val="4"/>
            <w:tcBorders>
              <w:top w:val="nil"/>
              <w:left w:val="nil"/>
              <w:bottom w:val="nil"/>
              <w:right w:val="nil"/>
            </w:tcBorders>
            <w:shd w:val="clear" w:color="000000" w:fill="FDE9D9"/>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 </w:t>
            </w:r>
          </w:p>
        </w:tc>
        <w:tc>
          <w:tcPr>
            <w:tcW w:w="1086" w:type="dxa"/>
            <w:gridSpan w:val="2"/>
            <w:tcBorders>
              <w:top w:val="nil"/>
              <w:left w:val="nil"/>
              <w:bottom w:val="nil"/>
              <w:right w:val="single" w:sz="4" w:space="0" w:color="A6A6A6"/>
            </w:tcBorders>
            <w:shd w:val="clear" w:color="000000" w:fill="FDE9D9"/>
            <w:noWrap/>
            <w:vAlign w:val="bottom"/>
            <w:hideMark/>
          </w:tcPr>
          <w:p w:rsidR="00A71A12" w:rsidRPr="00BB33FC" w:rsidRDefault="00A71A12" w:rsidP="00A71A12">
            <w:pPr>
              <w:rPr>
                <w:rFonts w:ascii="Arial" w:hAnsi="Arial" w:cs="Arial"/>
                <w:sz w:val="20"/>
                <w:szCs w:val="20"/>
              </w:rPr>
            </w:pPr>
            <w:r w:rsidRPr="00BB33FC">
              <w:rPr>
                <w:rFonts w:ascii="Arial" w:hAnsi="Arial" w:cs="Arial"/>
                <w:sz w:val="20"/>
                <w:szCs w:val="20"/>
              </w:rPr>
              <w:t> </w:t>
            </w:r>
          </w:p>
        </w:tc>
        <w:tc>
          <w:tcPr>
            <w:tcW w:w="863" w:type="dxa"/>
            <w:gridSpan w:val="2"/>
            <w:tcBorders>
              <w:top w:val="nil"/>
              <w:left w:val="nil"/>
              <w:bottom w:val="nil"/>
              <w:right w:val="single" w:sz="4" w:space="0" w:color="A6A6A6"/>
            </w:tcBorders>
            <w:shd w:val="clear" w:color="000000" w:fill="FDE9D9"/>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 </w:t>
            </w:r>
          </w:p>
        </w:tc>
        <w:tc>
          <w:tcPr>
            <w:tcW w:w="1674" w:type="dxa"/>
            <w:gridSpan w:val="2"/>
            <w:tcBorders>
              <w:top w:val="nil"/>
              <w:left w:val="nil"/>
              <w:bottom w:val="nil"/>
              <w:right w:val="single" w:sz="4" w:space="0" w:color="A6A6A6"/>
            </w:tcBorders>
            <w:shd w:val="clear" w:color="000000" w:fill="FDE9D9"/>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 </w:t>
            </w:r>
          </w:p>
        </w:tc>
        <w:tc>
          <w:tcPr>
            <w:tcW w:w="641" w:type="dxa"/>
            <w:gridSpan w:val="2"/>
            <w:tcBorders>
              <w:top w:val="nil"/>
              <w:left w:val="nil"/>
              <w:bottom w:val="nil"/>
              <w:right w:val="single" w:sz="4" w:space="0" w:color="A6A6A6"/>
            </w:tcBorders>
            <w:shd w:val="clear" w:color="000000" w:fill="FDE9D9"/>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 </w:t>
            </w:r>
          </w:p>
        </w:tc>
        <w:tc>
          <w:tcPr>
            <w:tcW w:w="951" w:type="dxa"/>
            <w:tcBorders>
              <w:top w:val="nil"/>
              <w:left w:val="nil"/>
              <w:bottom w:val="nil"/>
              <w:right w:val="single" w:sz="8" w:space="0" w:color="E26B0A"/>
            </w:tcBorders>
            <w:shd w:val="clear" w:color="000000" w:fill="FDE9D9"/>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 </w:t>
            </w:r>
          </w:p>
        </w:tc>
      </w:tr>
      <w:tr w:rsidR="00A71A12" w:rsidRPr="00BB33FC" w:rsidTr="00A71A12">
        <w:trPr>
          <w:trHeight w:val="495"/>
        </w:trPr>
        <w:tc>
          <w:tcPr>
            <w:tcW w:w="387"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363" w:type="dxa"/>
            <w:vMerge/>
            <w:tcBorders>
              <w:top w:val="nil"/>
              <w:left w:val="single" w:sz="8" w:space="0" w:color="E26B0A"/>
              <w:bottom w:val="single" w:sz="8" w:space="0" w:color="E26B0A"/>
              <w:right w:val="nil"/>
            </w:tcBorders>
            <w:vAlign w:val="center"/>
            <w:hideMark/>
          </w:tcPr>
          <w:p w:rsidR="00A71A12" w:rsidRPr="00BB33FC" w:rsidRDefault="00A71A12" w:rsidP="00A71A12">
            <w:pPr>
              <w:rPr>
                <w:rFonts w:ascii="Arial" w:hAnsi="Arial" w:cs="Arial"/>
                <w:b/>
                <w:bCs/>
                <w:color w:val="000000"/>
                <w:sz w:val="20"/>
                <w:szCs w:val="20"/>
              </w:rPr>
            </w:pPr>
          </w:p>
        </w:tc>
        <w:tc>
          <w:tcPr>
            <w:tcW w:w="5748" w:type="dxa"/>
            <w:gridSpan w:val="6"/>
            <w:tcBorders>
              <w:top w:val="nil"/>
              <w:left w:val="nil"/>
              <w:bottom w:val="nil"/>
              <w:right w:val="single" w:sz="4" w:space="0" w:color="A6A6A6"/>
            </w:tcBorders>
            <w:shd w:val="clear" w:color="000000" w:fill="FDE9D9"/>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 xml:space="preserve">podiel umelej krajiny              </w:t>
            </w:r>
            <w:r w:rsidRPr="00BB33FC">
              <w:rPr>
                <w:rFonts w:ascii="Arial" w:hAnsi="Arial" w:cs="Arial"/>
                <w:i/>
                <w:iCs/>
                <w:color w:val="FF0000"/>
                <w:sz w:val="16"/>
                <w:szCs w:val="16"/>
              </w:rPr>
              <w:t>check total %</w:t>
            </w:r>
          </w:p>
        </w:tc>
        <w:tc>
          <w:tcPr>
            <w:tcW w:w="863" w:type="dxa"/>
            <w:gridSpan w:val="2"/>
            <w:tcBorders>
              <w:top w:val="nil"/>
              <w:left w:val="nil"/>
              <w:bottom w:val="nil"/>
              <w:right w:val="single" w:sz="4" w:space="0" w:color="A6A6A6"/>
            </w:tcBorders>
            <w:shd w:val="clear" w:color="000000" w:fill="FDE9D9"/>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5,5</w:t>
            </w:r>
          </w:p>
        </w:tc>
        <w:tc>
          <w:tcPr>
            <w:tcW w:w="1674" w:type="dxa"/>
            <w:gridSpan w:val="2"/>
            <w:tcBorders>
              <w:top w:val="nil"/>
              <w:left w:val="nil"/>
              <w:bottom w:val="nil"/>
              <w:right w:val="single" w:sz="4" w:space="0" w:color="A6A6A6"/>
            </w:tcBorders>
            <w:shd w:val="clear" w:color="000000" w:fill="FDE9D9"/>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 z celkovej plochy</w:t>
            </w:r>
          </w:p>
        </w:tc>
        <w:tc>
          <w:tcPr>
            <w:tcW w:w="641" w:type="dxa"/>
            <w:gridSpan w:val="2"/>
            <w:tcBorders>
              <w:top w:val="nil"/>
              <w:left w:val="nil"/>
              <w:bottom w:val="nil"/>
              <w:right w:val="single" w:sz="4" w:space="0" w:color="A6A6A6"/>
            </w:tcBorders>
            <w:shd w:val="clear" w:color="000000" w:fill="FDE9D9"/>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2006</w:t>
            </w:r>
          </w:p>
        </w:tc>
        <w:tc>
          <w:tcPr>
            <w:tcW w:w="951" w:type="dxa"/>
            <w:tcBorders>
              <w:top w:val="nil"/>
              <w:left w:val="nil"/>
              <w:bottom w:val="nil"/>
              <w:right w:val="single" w:sz="8" w:space="0" w:color="E26B0A"/>
            </w:tcBorders>
            <w:shd w:val="clear" w:color="000000" w:fill="FDE9D9"/>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w:t>
            </w:r>
          </w:p>
        </w:tc>
      </w:tr>
      <w:tr w:rsidR="00A71A12" w:rsidRPr="00BB33FC" w:rsidTr="00A71A12">
        <w:trPr>
          <w:trHeight w:val="315"/>
        </w:trPr>
        <w:tc>
          <w:tcPr>
            <w:tcW w:w="387"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363" w:type="dxa"/>
            <w:vMerge/>
            <w:tcBorders>
              <w:top w:val="nil"/>
              <w:left w:val="single" w:sz="8" w:space="0" w:color="E26B0A"/>
              <w:bottom w:val="single" w:sz="8" w:space="0" w:color="E26B0A"/>
              <w:right w:val="nil"/>
            </w:tcBorders>
            <w:vAlign w:val="center"/>
            <w:hideMark/>
          </w:tcPr>
          <w:p w:rsidR="00A71A12" w:rsidRPr="00BB33FC" w:rsidRDefault="00A71A12" w:rsidP="00A71A12">
            <w:pPr>
              <w:rPr>
                <w:rFonts w:ascii="Arial" w:hAnsi="Arial" w:cs="Arial"/>
                <w:b/>
                <w:bCs/>
                <w:color w:val="000000"/>
                <w:sz w:val="20"/>
                <w:szCs w:val="20"/>
              </w:rPr>
            </w:pPr>
          </w:p>
        </w:tc>
        <w:tc>
          <w:tcPr>
            <w:tcW w:w="4662" w:type="dxa"/>
            <w:gridSpan w:val="4"/>
            <w:tcBorders>
              <w:top w:val="nil"/>
              <w:left w:val="nil"/>
              <w:bottom w:val="single" w:sz="8" w:space="0" w:color="E26B0A"/>
              <w:right w:val="nil"/>
            </w:tcBorders>
            <w:shd w:val="clear" w:color="000000" w:fill="FDE9D9"/>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 </w:t>
            </w:r>
          </w:p>
        </w:tc>
        <w:tc>
          <w:tcPr>
            <w:tcW w:w="1086" w:type="dxa"/>
            <w:gridSpan w:val="2"/>
            <w:tcBorders>
              <w:top w:val="nil"/>
              <w:left w:val="nil"/>
              <w:bottom w:val="nil"/>
              <w:right w:val="single" w:sz="4" w:space="0" w:color="A6A6A6"/>
            </w:tcBorders>
            <w:shd w:val="clear" w:color="000000" w:fill="FDE9D9"/>
            <w:noWrap/>
            <w:vAlign w:val="bottom"/>
            <w:hideMark/>
          </w:tcPr>
          <w:p w:rsidR="00A71A12" w:rsidRPr="00BB33FC" w:rsidRDefault="00A71A12" w:rsidP="00A71A12">
            <w:pPr>
              <w:jc w:val="right"/>
              <w:rPr>
                <w:rFonts w:ascii="Arial" w:hAnsi="Arial" w:cs="Arial"/>
                <w:i/>
                <w:iCs/>
                <w:color w:val="E26B0A"/>
                <w:sz w:val="16"/>
                <w:szCs w:val="16"/>
              </w:rPr>
            </w:pPr>
            <w:r w:rsidRPr="00BB33FC">
              <w:rPr>
                <w:rFonts w:ascii="Arial" w:hAnsi="Arial" w:cs="Arial"/>
                <w:i/>
                <w:iCs/>
                <w:color w:val="E26B0A"/>
                <w:sz w:val="16"/>
                <w:szCs w:val="16"/>
              </w:rPr>
              <w:t> </w:t>
            </w:r>
          </w:p>
        </w:tc>
        <w:tc>
          <w:tcPr>
            <w:tcW w:w="863" w:type="dxa"/>
            <w:gridSpan w:val="2"/>
            <w:tcBorders>
              <w:top w:val="nil"/>
              <w:left w:val="nil"/>
              <w:bottom w:val="nil"/>
              <w:right w:val="single" w:sz="4" w:space="0" w:color="A6A6A6"/>
            </w:tcBorders>
            <w:shd w:val="clear" w:color="000000" w:fill="FDE9D9"/>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 </w:t>
            </w:r>
          </w:p>
        </w:tc>
        <w:tc>
          <w:tcPr>
            <w:tcW w:w="1674" w:type="dxa"/>
            <w:gridSpan w:val="2"/>
            <w:tcBorders>
              <w:top w:val="nil"/>
              <w:left w:val="nil"/>
              <w:bottom w:val="nil"/>
              <w:right w:val="single" w:sz="4" w:space="0" w:color="A6A6A6"/>
            </w:tcBorders>
            <w:shd w:val="clear" w:color="000000" w:fill="FDE9D9"/>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 </w:t>
            </w:r>
          </w:p>
        </w:tc>
        <w:tc>
          <w:tcPr>
            <w:tcW w:w="641" w:type="dxa"/>
            <w:gridSpan w:val="2"/>
            <w:tcBorders>
              <w:top w:val="nil"/>
              <w:left w:val="nil"/>
              <w:bottom w:val="nil"/>
              <w:right w:val="single" w:sz="4" w:space="0" w:color="A6A6A6"/>
            </w:tcBorders>
            <w:shd w:val="clear" w:color="000000" w:fill="FDE9D9"/>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 </w:t>
            </w:r>
          </w:p>
        </w:tc>
        <w:tc>
          <w:tcPr>
            <w:tcW w:w="951" w:type="dxa"/>
            <w:tcBorders>
              <w:top w:val="nil"/>
              <w:left w:val="nil"/>
              <w:bottom w:val="nil"/>
              <w:right w:val="single" w:sz="8" w:space="0" w:color="E26B0A"/>
            </w:tcBorders>
            <w:shd w:val="clear" w:color="000000" w:fill="FDE9D9"/>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 </w:t>
            </w:r>
          </w:p>
        </w:tc>
      </w:tr>
      <w:tr w:rsidR="00A71A12" w:rsidRPr="00BB33FC" w:rsidTr="00A71A12">
        <w:trPr>
          <w:trHeight w:val="510"/>
        </w:trPr>
        <w:tc>
          <w:tcPr>
            <w:tcW w:w="387"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363" w:type="dxa"/>
            <w:vMerge/>
            <w:tcBorders>
              <w:top w:val="nil"/>
              <w:left w:val="single" w:sz="8" w:space="0" w:color="E26B0A"/>
              <w:bottom w:val="single" w:sz="8" w:space="0" w:color="E26B0A"/>
              <w:right w:val="nil"/>
            </w:tcBorders>
            <w:vAlign w:val="center"/>
            <w:hideMark/>
          </w:tcPr>
          <w:p w:rsidR="00A71A12" w:rsidRPr="00BB33FC" w:rsidRDefault="00A71A12" w:rsidP="00A71A12">
            <w:pPr>
              <w:rPr>
                <w:rFonts w:ascii="Arial" w:hAnsi="Arial" w:cs="Arial"/>
                <w:b/>
                <w:bCs/>
                <w:color w:val="000000"/>
                <w:sz w:val="20"/>
                <w:szCs w:val="20"/>
              </w:rPr>
            </w:pPr>
          </w:p>
        </w:tc>
        <w:tc>
          <w:tcPr>
            <w:tcW w:w="4662" w:type="dxa"/>
            <w:gridSpan w:val="4"/>
            <w:tcBorders>
              <w:top w:val="nil"/>
              <w:left w:val="nil"/>
              <w:bottom w:val="single" w:sz="8" w:space="0" w:color="E26B0A"/>
              <w:right w:val="nil"/>
            </w:tcBorders>
            <w:shd w:val="clear" w:color="000000" w:fill="FDE9D9"/>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podiel ostatných oblastí</w:t>
            </w:r>
          </w:p>
        </w:tc>
        <w:tc>
          <w:tcPr>
            <w:tcW w:w="1086" w:type="dxa"/>
            <w:gridSpan w:val="2"/>
            <w:tcBorders>
              <w:top w:val="nil"/>
              <w:left w:val="nil"/>
              <w:bottom w:val="single" w:sz="8" w:space="0" w:color="E26B0A"/>
              <w:right w:val="single" w:sz="4" w:space="0" w:color="A6A6A6"/>
            </w:tcBorders>
            <w:shd w:val="clear" w:color="000000" w:fill="FDE9D9"/>
            <w:noWrap/>
            <w:vAlign w:val="bottom"/>
            <w:hideMark/>
          </w:tcPr>
          <w:p w:rsidR="00A71A12" w:rsidRPr="00BB33FC" w:rsidRDefault="00A71A12" w:rsidP="00A71A12">
            <w:pPr>
              <w:jc w:val="right"/>
              <w:rPr>
                <w:rFonts w:ascii="Arial" w:hAnsi="Arial" w:cs="Arial"/>
                <w:i/>
                <w:iCs/>
                <w:color w:val="E26B0A"/>
                <w:sz w:val="16"/>
                <w:szCs w:val="16"/>
              </w:rPr>
            </w:pPr>
            <w:r w:rsidRPr="00BB33FC">
              <w:rPr>
                <w:rFonts w:ascii="Arial" w:hAnsi="Arial" w:cs="Arial"/>
                <w:i/>
                <w:iCs/>
                <w:color w:val="E26B0A"/>
                <w:sz w:val="16"/>
                <w:szCs w:val="16"/>
              </w:rPr>
              <w:t>100,0</w:t>
            </w:r>
          </w:p>
        </w:tc>
        <w:tc>
          <w:tcPr>
            <w:tcW w:w="863" w:type="dxa"/>
            <w:gridSpan w:val="2"/>
            <w:tcBorders>
              <w:top w:val="nil"/>
              <w:left w:val="nil"/>
              <w:bottom w:val="single" w:sz="8" w:space="0" w:color="E26B0A"/>
              <w:right w:val="single" w:sz="4" w:space="0" w:color="A6A6A6"/>
            </w:tcBorders>
            <w:shd w:val="clear" w:color="000000" w:fill="FDE9D9"/>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0,6</w:t>
            </w:r>
          </w:p>
        </w:tc>
        <w:tc>
          <w:tcPr>
            <w:tcW w:w="1674" w:type="dxa"/>
            <w:gridSpan w:val="2"/>
            <w:tcBorders>
              <w:top w:val="nil"/>
              <w:left w:val="nil"/>
              <w:bottom w:val="single" w:sz="8" w:space="0" w:color="E26B0A"/>
              <w:right w:val="single" w:sz="4" w:space="0" w:color="A6A6A6"/>
            </w:tcBorders>
            <w:shd w:val="clear" w:color="000000" w:fill="FDE9D9"/>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 z celkovej plochy</w:t>
            </w:r>
          </w:p>
        </w:tc>
        <w:tc>
          <w:tcPr>
            <w:tcW w:w="641" w:type="dxa"/>
            <w:gridSpan w:val="2"/>
            <w:tcBorders>
              <w:top w:val="nil"/>
              <w:left w:val="nil"/>
              <w:bottom w:val="single" w:sz="8" w:space="0" w:color="E26B0A"/>
              <w:right w:val="single" w:sz="4" w:space="0" w:color="A6A6A6"/>
            </w:tcBorders>
            <w:shd w:val="clear" w:color="000000" w:fill="FDE9D9"/>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2006</w:t>
            </w:r>
          </w:p>
        </w:tc>
        <w:tc>
          <w:tcPr>
            <w:tcW w:w="951" w:type="dxa"/>
            <w:tcBorders>
              <w:top w:val="nil"/>
              <w:left w:val="nil"/>
              <w:bottom w:val="single" w:sz="8" w:space="0" w:color="E26B0A"/>
              <w:right w:val="single" w:sz="8" w:space="0" w:color="E26B0A"/>
            </w:tcBorders>
            <w:shd w:val="clear" w:color="000000" w:fill="FDE9D9"/>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w:t>
            </w:r>
          </w:p>
        </w:tc>
      </w:tr>
      <w:tr w:rsidR="00A71A12" w:rsidRPr="00BB33FC" w:rsidTr="00A71A12">
        <w:trPr>
          <w:trHeight w:val="300"/>
        </w:trPr>
        <w:tc>
          <w:tcPr>
            <w:tcW w:w="387"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363" w:type="dxa"/>
            <w:vMerge w:val="restart"/>
            <w:tcBorders>
              <w:top w:val="nil"/>
              <w:left w:val="single" w:sz="8" w:space="0" w:color="E26B0A"/>
              <w:bottom w:val="single" w:sz="8" w:space="0" w:color="E26B0A"/>
              <w:right w:val="nil"/>
            </w:tcBorders>
            <w:shd w:val="clear" w:color="auto" w:fill="auto"/>
            <w:noWrap/>
            <w:hideMark/>
          </w:tcPr>
          <w:p w:rsidR="00A71A12" w:rsidRPr="00BB33FC" w:rsidRDefault="00A71A12" w:rsidP="00A71A12">
            <w:pPr>
              <w:rPr>
                <w:rFonts w:ascii="Arial" w:hAnsi="Arial" w:cs="Arial"/>
                <w:b/>
                <w:bCs/>
                <w:color w:val="000000"/>
                <w:sz w:val="20"/>
                <w:szCs w:val="20"/>
              </w:rPr>
            </w:pPr>
            <w:r w:rsidRPr="00BB33FC">
              <w:rPr>
                <w:rFonts w:ascii="Arial" w:hAnsi="Arial" w:cs="Arial"/>
                <w:b/>
                <w:bCs/>
                <w:color w:val="000000"/>
                <w:sz w:val="20"/>
                <w:szCs w:val="20"/>
              </w:rPr>
              <w:t>32</w:t>
            </w:r>
          </w:p>
        </w:tc>
        <w:tc>
          <w:tcPr>
            <w:tcW w:w="9877" w:type="dxa"/>
            <w:gridSpan w:val="13"/>
            <w:tcBorders>
              <w:top w:val="single" w:sz="8" w:space="0" w:color="E26B0A"/>
              <w:left w:val="nil"/>
              <w:bottom w:val="nil"/>
              <w:right w:val="single" w:sz="8" w:space="0" w:color="E26B0A"/>
            </w:tcBorders>
            <w:shd w:val="clear" w:color="auto" w:fill="auto"/>
            <w:noWrap/>
            <w:vAlign w:val="bottom"/>
            <w:hideMark/>
          </w:tcPr>
          <w:p w:rsidR="00A71A12" w:rsidRPr="00BB33FC" w:rsidRDefault="00A71A12" w:rsidP="00A71A12">
            <w:pPr>
              <w:rPr>
                <w:rFonts w:ascii="Arial" w:hAnsi="Arial" w:cs="Arial"/>
                <w:b/>
                <w:bCs/>
                <w:i/>
                <w:iCs/>
                <w:sz w:val="20"/>
                <w:szCs w:val="20"/>
              </w:rPr>
            </w:pPr>
            <w:r w:rsidRPr="00BB33FC">
              <w:rPr>
                <w:rFonts w:ascii="Arial" w:hAnsi="Arial" w:cs="Arial"/>
                <w:b/>
                <w:bCs/>
                <w:i/>
                <w:iCs/>
                <w:sz w:val="20"/>
                <w:szCs w:val="20"/>
              </w:rPr>
              <w:t>Oblasti s prírodnými obmedzeniami</w:t>
            </w:r>
          </w:p>
        </w:tc>
      </w:tr>
      <w:tr w:rsidR="00A71A12" w:rsidRPr="00BB33FC" w:rsidTr="00A71A12">
        <w:trPr>
          <w:trHeight w:val="495"/>
        </w:trPr>
        <w:tc>
          <w:tcPr>
            <w:tcW w:w="387"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363" w:type="dxa"/>
            <w:vMerge/>
            <w:tcBorders>
              <w:top w:val="nil"/>
              <w:left w:val="single" w:sz="8" w:space="0" w:color="E26B0A"/>
              <w:bottom w:val="single" w:sz="8" w:space="0" w:color="E26B0A"/>
              <w:right w:val="nil"/>
            </w:tcBorders>
            <w:vAlign w:val="center"/>
            <w:hideMark/>
          </w:tcPr>
          <w:p w:rsidR="00A71A12" w:rsidRPr="00BB33FC" w:rsidRDefault="00A71A12" w:rsidP="00A71A12">
            <w:pPr>
              <w:rPr>
                <w:rFonts w:ascii="Arial" w:hAnsi="Arial" w:cs="Arial"/>
                <w:b/>
                <w:bCs/>
                <w:color w:val="000000"/>
                <w:sz w:val="20"/>
                <w:szCs w:val="20"/>
              </w:rPr>
            </w:pPr>
          </w:p>
        </w:tc>
        <w:tc>
          <w:tcPr>
            <w:tcW w:w="4662" w:type="dxa"/>
            <w:gridSpan w:val="4"/>
            <w:tcBorders>
              <w:top w:val="single" w:sz="4" w:space="0" w:color="A6A6A6"/>
              <w:left w:val="nil"/>
              <w:bottom w:val="single" w:sz="4" w:space="0" w:color="A6A6A6"/>
              <w:right w:val="nil"/>
            </w:tcBorders>
            <w:shd w:val="clear" w:color="000000" w:fill="FCD5B4"/>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celkom</w:t>
            </w:r>
          </w:p>
        </w:tc>
        <w:tc>
          <w:tcPr>
            <w:tcW w:w="1086" w:type="dxa"/>
            <w:gridSpan w:val="2"/>
            <w:tcBorders>
              <w:top w:val="single" w:sz="4" w:space="0" w:color="A6A6A6"/>
              <w:left w:val="nil"/>
              <w:bottom w:val="single" w:sz="4" w:space="0" w:color="A6A6A6"/>
              <w:right w:val="single" w:sz="4" w:space="0" w:color="A6A6A6"/>
            </w:tcBorders>
            <w:shd w:val="clear" w:color="000000" w:fill="FCD5B4"/>
            <w:noWrap/>
            <w:vAlign w:val="bottom"/>
            <w:hideMark/>
          </w:tcPr>
          <w:p w:rsidR="00A71A12" w:rsidRPr="00BB33FC" w:rsidRDefault="00A71A12" w:rsidP="00A71A12">
            <w:pPr>
              <w:rPr>
                <w:rFonts w:ascii="Arial" w:hAnsi="Arial" w:cs="Arial"/>
                <w:sz w:val="20"/>
                <w:szCs w:val="20"/>
              </w:rPr>
            </w:pPr>
            <w:r w:rsidRPr="00BB33FC">
              <w:rPr>
                <w:rFonts w:ascii="Arial" w:hAnsi="Arial" w:cs="Arial"/>
                <w:sz w:val="20"/>
                <w:szCs w:val="20"/>
              </w:rPr>
              <w:t> </w:t>
            </w:r>
          </w:p>
        </w:tc>
        <w:tc>
          <w:tcPr>
            <w:tcW w:w="863" w:type="dxa"/>
            <w:gridSpan w:val="2"/>
            <w:tcBorders>
              <w:top w:val="single" w:sz="4" w:space="0" w:color="A6A6A6"/>
              <w:left w:val="nil"/>
              <w:bottom w:val="single" w:sz="4" w:space="0" w:color="A6A6A6"/>
              <w:right w:val="single" w:sz="4" w:space="0" w:color="A6A6A6"/>
            </w:tcBorders>
            <w:shd w:val="clear" w:color="000000" w:fill="FCD5B4"/>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61,3</w:t>
            </w:r>
          </w:p>
        </w:tc>
        <w:tc>
          <w:tcPr>
            <w:tcW w:w="1674" w:type="dxa"/>
            <w:gridSpan w:val="2"/>
            <w:tcBorders>
              <w:top w:val="single" w:sz="4" w:space="0" w:color="A6A6A6"/>
              <w:left w:val="nil"/>
              <w:bottom w:val="single" w:sz="4" w:space="0" w:color="A6A6A6"/>
              <w:right w:val="single" w:sz="4" w:space="0" w:color="A6A6A6"/>
            </w:tcBorders>
            <w:shd w:val="clear" w:color="000000" w:fill="FCD5B4"/>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 z celkovej UAA</w:t>
            </w:r>
          </w:p>
        </w:tc>
        <w:tc>
          <w:tcPr>
            <w:tcW w:w="641" w:type="dxa"/>
            <w:gridSpan w:val="2"/>
            <w:tcBorders>
              <w:top w:val="single" w:sz="4" w:space="0" w:color="A6A6A6"/>
              <w:left w:val="nil"/>
              <w:bottom w:val="single" w:sz="4" w:space="0" w:color="A6A6A6"/>
              <w:right w:val="single" w:sz="4" w:space="0" w:color="A6A6A6"/>
            </w:tcBorders>
            <w:shd w:val="clear" w:color="000000" w:fill="FCD5B4"/>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2005</w:t>
            </w:r>
          </w:p>
        </w:tc>
        <w:tc>
          <w:tcPr>
            <w:tcW w:w="951" w:type="dxa"/>
            <w:tcBorders>
              <w:top w:val="single" w:sz="4" w:space="0" w:color="A6A6A6"/>
              <w:left w:val="nil"/>
              <w:bottom w:val="single" w:sz="4" w:space="0" w:color="A6A6A6"/>
              <w:right w:val="single" w:sz="8" w:space="0" w:color="E26B0A"/>
            </w:tcBorders>
            <w:shd w:val="clear" w:color="000000" w:fill="FCD5B4"/>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w:t>
            </w:r>
          </w:p>
        </w:tc>
      </w:tr>
      <w:tr w:rsidR="00A71A12" w:rsidRPr="00BB33FC" w:rsidTr="00A71A12">
        <w:trPr>
          <w:trHeight w:val="495"/>
        </w:trPr>
        <w:tc>
          <w:tcPr>
            <w:tcW w:w="387"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363" w:type="dxa"/>
            <w:vMerge/>
            <w:tcBorders>
              <w:top w:val="nil"/>
              <w:left w:val="single" w:sz="8" w:space="0" w:color="E26B0A"/>
              <w:bottom w:val="single" w:sz="8" w:space="0" w:color="E26B0A"/>
              <w:right w:val="nil"/>
            </w:tcBorders>
            <w:vAlign w:val="center"/>
            <w:hideMark/>
          </w:tcPr>
          <w:p w:rsidR="00A71A12" w:rsidRPr="00BB33FC" w:rsidRDefault="00A71A12" w:rsidP="00A71A12">
            <w:pPr>
              <w:rPr>
                <w:rFonts w:ascii="Arial" w:hAnsi="Arial" w:cs="Arial"/>
                <w:b/>
                <w:bCs/>
                <w:color w:val="000000"/>
                <w:sz w:val="20"/>
                <w:szCs w:val="20"/>
              </w:rPr>
            </w:pPr>
          </w:p>
        </w:tc>
        <w:tc>
          <w:tcPr>
            <w:tcW w:w="4662" w:type="dxa"/>
            <w:gridSpan w:val="4"/>
            <w:tcBorders>
              <w:top w:val="nil"/>
              <w:left w:val="nil"/>
              <w:bottom w:val="nil"/>
              <w:right w:val="nil"/>
            </w:tcBorders>
            <w:shd w:val="clear" w:color="000000" w:fill="FDE9D9"/>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horské</w:t>
            </w:r>
          </w:p>
        </w:tc>
        <w:tc>
          <w:tcPr>
            <w:tcW w:w="1086" w:type="dxa"/>
            <w:gridSpan w:val="2"/>
            <w:tcBorders>
              <w:top w:val="nil"/>
              <w:left w:val="nil"/>
              <w:bottom w:val="nil"/>
              <w:right w:val="single" w:sz="4" w:space="0" w:color="A6A6A6"/>
            </w:tcBorders>
            <w:shd w:val="clear" w:color="000000" w:fill="FDE9D9"/>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 </w:t>
            </w:r>
          </w:p>
        </w:tc>
        <w:tc>
          <w:tcPr>
            <w:tcW w:w="863" w:type="dxa"/>
            <w:gridSpan w:val="2"/>
            <w:tcBorders>
              <w:top w:val="nil"/>
              <w:left w:val="nil"/>
              <w:bottom w:val="nil"/>
              <w:right w:val="single" w:sz="4" w:space="0" w:color="A6A6A6"/>
            </w:tcBorders>
            <w:shd w:val="clear" w:color="000000" w:fill="FDE9D9"/>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24,0</w:t>
            </w:r>
          </w:p>
        </w:tc>
        <w:tc>
          <w:tcPr>
            <w:tcW w:w="1674" w:type="dxa"/>
            <w:gridSpan w:val="2"/>
            <w:tcBorders>
              <w:top w:val="nil"/>
              <w:left w:val="nil"/>
              <w:bottom w:val="nil"/>
              <w:right w:val="single" w:sz="4" w:space="0" w:color="A6A6A6"/>
            </w:tcBorders>
            <w:shd w:val="clear" w:color="000000" w:fill="FDE9D9"/>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 z celkovej UAA</w:t>
            </w:r>
          </w:p>
        </w:tc>
        <w:tc>
          <w:tcPr>
            <w:tcW w:w="641" w:type="dxa"/>
            <w:gridSpan w:val="2"/>
            <w:tcBorders>
              <w:top w:val="nil"/>
              <w:left w:val="nil"/>
              <w:bottom w:val="nil"/>
              <w:right w:val="single" w:sz="4" w:space="0" w:color="A6A6A6"/>
            </w:tcBorders>
            <w:shd w:val="clear" w:color="000000" w:fill="FDE9D9"/>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2005</w:t>
            </w:r>
          </w:p>
        </w:tc>
        <w:tc>
          <w:tcPr>
            <w:tcW w:w="951" w:type="dxa"/>
            <w:tcBorders>
              <w:top w:val="nil"/>
              <w:left w:val="nil"/>
              <w:bottom w:val="nil"/>
              <w:right w:val="single" w:sz="8" w:space="0" w:color="E26B0A"/>
            </w:tcBorders>
            <w:shd w:val="clear" w:color="000000" w:fill="FDE9D9"/>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w:t>
            </w:r>
          </w:p>
        </w:tc>
      </w:tr>
      <w:tr w:rsidR="00A71A12" w:rsidRPr="00BB33FC" w:rsidTr="00A71A12">
        <w:trPr>
          <w:trHeight w:val="495"/>
        </w:trPr>
        <w:tc>
          <w:tcPr>
            <w:tcW w:w="387"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363" w:type="dxa"/>
            <w:vMerge/>
            <w:tcBorders>
              <w:top w:val="nil"/>
              <w:left w:val="single" w:sz="8" w:space="0" w:color="E26B0A"/>
              <w:bottom w:val="single" w:sz="8" w:space="0" w:color="E26B0A"/>
              <w:right w:val="nil"/>
            </w:tcBorders>
            <w:vAlign w:val="center"/>
            <w:hideMark/>
          </w:tcPr>
          <w:p w:rsidR="00A71A12" w:rsidRPr="00BB33FC" w:rsidRDefault="00A71A12" w:rsidP="00A71A12">
            <w:pPr>
              <w:rPr>
                <w:rFonts w:ascii="Arial" w:hAnsi="Arial" w:cs="Arial"/>
                <w:b/>
                <w:bCs/>
                <w:color w:val="000000"/>
                <w:sz w:val="20"/>
                <w:szCs w:val="20"/>
              </w:rPr>
            </w:pPr>
          </w:p>
        </w:tc>
        <w:tc>
          <w:tcPr>
            <w:tcW w:w="4662" w:type="dxa"/>
            <w:gridSpan w:val="4"/>
            <w:tcBorders>
              <w:top w:val="nil"/>
              <w:left w:val="nil"/>
              <w:bottom w:val="nil"/>
              <w:right w:val="nil"/>
            </w:tcBorders>
            <w:shd w:val="clear" w:color="000000" w:fill="FDE9D9"/>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 xml:space="preserve">ostatné </w:t>
            </w:r>
          </w:p>
        </w:tc>
        <w:tc>
          <w:tcPr>
            <w:tcW w:w="1086" w:type="dxa"/>
            <w:gridSpan w:val="2"/>
            <w:tcBorders>
              <w:top w:val="nil"/>
              <w:left w:val="nil"/>
              <w:bottom w:val="nil"/>
              <w:right w:val="single" w:sz="4" w:space="0" w:color="A6A6A6"/>
            </w:tcBorders>
            <w:shd w:val="clear" w:color="000000" w:fill="FDE9D9"/>
            <w:noWrap/>
            <w:vAlign w:val="bottom"/>
            <w:hideMark/>
          </w:tcPr>
          <w:p w:rsidR="00A71A12" w:rsidRPr="00BB33FC" w:rsidRDefault="00A71A12" w:rsidP="00A71A12">
            <w:pPr>
              <w:jc w:val="right"/>
              <w:rPr>
                <w:rFonts w:ascii="Arial" w:hAnsi="Arial" w:cs="Arial"/>
                <w:color w:val="A6A6A6"/>
                <w:sz w:val="16"/>
                <w:szCs w:val="16"/>
              </w:rPr>
            </w:pPr>
            <w:r w:rsidRPr="00BB33FC">
              <w:rPr>
                <w:rFonts w:ascii="Arial" w:hAnsi="Arial" w:cs="Arial"/>
                <w:color w:val="A6A6A6"/>
                <w:sz w:val="16"/>
                <w:szCs w:val="16"/>
              </w:rPr>
              <w:t> </w:t>
            </w:r>
          </w:p>
        </w:tc>
        <w:tc>
          <w:tcPr>
            <w:tcW w:w="863" w:type="dxa"/>
            <w:gridSpan w:val="2"/>
            <w:tcBorders>
              <w:top w:val="nil"/>
              <w:left w:val="nil"/>
              <w:bottom w:val="nil"/>
              <w:right w:val="single" w:sz="4" w:space="0" w:color="A6A6A6"/>
            </w:tcBorders>
            <w:shd w:val="clear" w:color="000000" w:fill="FDE9D9"/>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19,8</w:t>
            </w:r>
          </w:p>
        </w:tc>
        <w:tc>
          <w:tcPr>
            <w:tcW w:w="1674" w:type="dxa"/>
            <w:gridSpan w:val="2"/>
            <w:tcBorders>
              <w:top w:val="nil"/>
              <w:left w:val="nil"/>
              <w:bottom w:val="nil"/>
              <w:right w:val="single" w:sz="4" w:space="0" w:color="A6A6A6"/>
            </w:tcBorders>
            <w:shd w:val="clear" w:color="000000" w:fill="FDE9D9"/>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 z celkovej UAA</w:t>
            </w:r>
          </w:p>
        </w:tc>
        <w:tc>
          <w:tcPr>
            <w:tcW w:w="641" w:type="dxa"/>
            <w:gridSpan w:val="2"/>
            <w:tcBorders>
              <w:top w:val="nil"/>
              <w:left w:val="nil"/>
              <w:bottom w:val="nil"/>
              <w:right w:val="single" w:sz="4" w:space="0" w:color="A6A6A6"/>
            </w:tcBorders>
            <w:shd w:val="clear" w:color="000000" w:fill="FDE9D9"/>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2005</w:t>
            </w:r>
          </w:p>
        </w:tc>
        <w:tc>
          <w:tcPr>
            <w:tcW w:w="951" w:type="dxa"/>
            <w:tcBorders>
              <w:top w:val="nil"/>
              <w:left w:val="nil"/>
              <w:bottom w:val="nil"/>
              <w:right w:val="single" w:sz="8" w:space="0" w:color="E26B0A"/>
            </w:tcBorders>
            <w:shd w:val="clear" w:color="000000" w:fill="FDE9D9"/>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w:t>
            </w:r>
          </w:p>
        </w:tc>
      </w:tr>
      <w:tr w:rsidR="00A71A12" w:rsidRPr="00BB33FC" w:rsidTr="00A71A12">
        <w:trPr>
          <w:trHeight w:val="510"/>
        </w:trPr>
        <w:tc>
          <w:tcPr>
            <w:tcW w:w="387"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363" w:type="dxa"/>
            <w:vMerge/>
            <w:tcBorders>
              <w:top w:val="nil"/>
              <w:left w:val="single" w:sz="8" w:space="0" w:color="E26B0A"/>
              <w:bottom w:val="single" w:sz="8" w:space="0" w:color="E26B0A"/>
              <w:right w:val="nil"/>
            </w:tcBorders>
            <w:vAlign w:val="center"/>
            <w:hideMark/>
          </w:tcPr>
          <w:p w:rsidR="00A71A12" w:rsidRPr="00BB33FC" w:rsidRDefault="00A71A12" w:rsidP="00A71A12">
            <w:pPr>
              <w:rPr>
                <w:rFonts w:ascii="Arial" w:hAnsi="Arial" w:cs="Arial"/>
                <w:b/>
                <w:bCs/>
                <w:color w:val="000000"/>
                <w:sz w:val="20"/>
                <w:szCs w:val="20"/>
              </w:rPr>
            </w:pPr>
          </w:p>
        </w:tc>
        <w:tc>
          <w:tcPr>
            <w:tcW w:w="4662" w:type="dxa"/>
            <w:gridSpan w:val="4"/>
            <w:tcBorders>
              <w:top w:val="nil"/>
              <w:left w:val="nil"/>
              <w:bottom w:val="single" w:sz="8" w:space="0" w:color="E26B0A"/>
              <w:right w:val="nil"/>
            </w:tcBorders>
            <w:shd w:val="clear" w:color="000000" w:fill="FDE9D9"/>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špecifické</w:t>
            </w:r>
          </w:p>
        </w:tc>
        <w:tc>
          <w:tcPr>
            <w:tcW w:w="1086" w:type="dxa"/>
            <w:gridSpan w:val="2"/>
            <w:tcBorders>
              <w:top w:val="nil"/>
              <w:left w:val="nil"/>
              <w:bottom w:val="single" w:sz="8" w:space="0" w:color="E26B0A"/>
              <w:right w:val="single" w:sz="4" w:space="0" w:color="A6A6A6"/>
            </w:tcBorders>
            <w:shd w:val="clear" w:color="000000" w:fill="FDE9D9"/>
            <w:noWrap/>
            <w:vAlign w:val="bottom"/>
            <w:hideMark/>
          </w:tcPr>
          <w:p w:rsidR="00A71A12" w:rsidRPr="00BB33FC" w:rsidRDefault="00A71A12" w:rsidP="00A71A12">
            <w:pPr>
              <w:rPr>
                <w:rFonts w:ascii="Arial" w:hAnsi="Arial" w:cs="Arial"/>
                <w:color w:val="A6A6A6"/>
                <w:sz w:val="16"/>
                <w:szCs w:val="16"/>
              </w:rPr>
            </w:pPr>
            <w:r w:rsidRPr="00BB33FC">
              <w:rPr>
                <w:rFonts w:ascii="Arial" w:hAnsi="Arial" w:cs="Arial"/>
                <w:color w:val="A6A6A6"/>
                <w:sz w:val="16"/>
                <w:szCs w:val="16"/>
              </w:rPr>
              <w:t> </w:t>
            </w:r>
          </w:p>
        </w:tc>
        <w:tc>
          <w:tcPr>
            <w:tcW w:w="863" w:type="dxa"/>
            <w:gridSpan w:val="2"/>
            <w:tcBorders>
              <w:top w:val="nil"/>
              <w:left w:val="nil"/>
              <w:bottom w:val="single" w:sz="8" w:space="0" w:color="E26B0A"/>
              <w:right w:val="single" w:sz="4" w:space="0" w:color="A6A6A6"/>
            </w:tcBorders>
            <w:shd w:val="clear" w:color="000000" w:fill="FDE9D9"/>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17,5</w:t>
            </w:r>
          </w:p>
        </w:tc>
        <w:tc>
          <w:tcPr>
            <w:tcW w:w="1674" w:type="dxa"/>
            <w:gridSpan w:val="2"/>
            <w:tcBorders>
              <w:top w:val="nil"/>
              <w:left w:val="nil"/>
              <w:bottom w:val="single" w:sz="8" w:space="0" w:color="E26B0A"/>
              <w:right w:val="single" w:sz="4" w:space="0" w:color="A6A6A6"/>
            </w:tcBorders>
            <w:shd w:val="clear" w:color="000000" w:fill="FDE9D9"/>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 z celkovej UAA</w:t>
            </w:r>
          </w:p>
        </w:tc>
        <w:tc>
          <w:tcPr>
            <w:tcW w:w="641" w:type="dxa"/>
            <w:gridSpan w:val="2"/>
            <w:tcBorders>
              <w:top w:val="nil"/>
              <w:left w:val="nil"/>
              <w:bottom w:val="single" w:sz="8" w:space="0" w:color="E26B0A"/>
              <w:right w:val="single" w:sz="4" w:space="0" w:color="A6A6A6"/>
            </w:tcBorders>
            <w:shd w:val="clear" w:color="000000" w:fill="FDE9D9"/>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2005</w:t>
            </w:r>
          </w:p>
        </w:tc>
        <w:tc>
          <w:tcPr>
            <w:tcW w:w="951" w:type="dxa"/>
            <w:tcBorders>
              <w:top w:val="nil"/>
              <w:left w:val="nil"/>
              <w:bottom w:val="single" w:sz="8" w:space="0" w:color="E26B0A"/>
              <w:right w:val="single" w:sz="8" w:space="0" w:color="E26B0A"/>
            </w:tcBorders>
            <w:shd w:val="clear" w:color="000000" w:fill="FDE9D9"/>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w:t>
            </w:r>
          </w:p>
        </w:tc>
      </w:tr>
      <w:tr w:rsidR="00A71A12" w:rsidRPr="00BB33FC" w:rsidTr="00A71A12">
        <w:trPr>
          <w:trHeight w:val="300"/>
        </w:trPr>
        <w:tc>
          <w:tcPr>
            <w:tcW w:w="387"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363" w:type="dxa"/>
            <w:vMerge w:val="restart"/>
            <w:tcBorders>
              <w:top w:val="nil"/>
              <w:left w:val="single" w:sz="8" w:space="0" w:color="E26B0A"/>
              <w:bottom w:val="single" w:sz="8" w:space="0" w:color="E26B0A"/>
              <w:right w:val="nil"/>
            </w:tcBorders>
            <w:shd w:val="clear" w:color="auto" w:fill="auto"/>
            <w:noWrap/>
            <w:hideMark/>
          </w:tcPr>
          <w:p w:rsidR="00A71A12" w:rsidRPr="00BB33FC" w:rsidRDefault="00A71A12" w:rsidP="00A71A12">
            <w:pPr>
              <w:rPr>
                <w:rFonts w:ascii="Arial" w:hAnsi="Arial" w:cs="Arial"/>
                <w:b/>
                <w:bCs/>
                <w:color w:val="000000"/>
                <w:sz w:val="20"/>
                <w:szCs w:val="20"/>
              </w:rPr>
            </w:pPr>
            <w:r w:rsidRPr="00BB33FC">
              <w:rPr>
                <w:rFonts w:ascii="Arial" w:hAnsi="Arial" w:cs="Arial"/>
                <w:b/>
                <w:bCs/>
                <w:color w:val="000000"/>
                <w:sz w:val="20"/>
                <w:szCs w:val="20"/>
              </w:rPr>
              <w:t>33</w:t>
            </w:r>
          </w:p>
        </w:tc>
        <w:tc>
          <w:tcPr>
            <w:tcW w:w="9877" w:type="dxa"/>
            <w:gridSpan w:val="13"/>
            <w:tcBorders>
              <w:top w:val="single" w:sz="8" w:space="0" w:color="E26B0A"/>
              <w:left w:val="nil"/>
              <w:bottom w:val="nil"/>
              <w:right w:val="single" w:sz="8" w:space="0" w:color="E26B0A"/>
            </w:tcBorders>
            <w:shd w:val="clear" w:color="auto" w:fill="auto"/>
            <w:noWrap/>
            <w:vAlign w:val="bottom"/>
            <w:hideMark/>
          </w:tcPr>
          <w:p w:rsidR="00A71A12" w:rsidRPr="00BB33FC" w:rsidRDefault="00A71A12" w:rsidP="00A71A12">
            <w:pPr>
              <w:rPr>
                <w:rFonts w:ascii="Arial" w:hAnsi="Arial" w:cs="Arial"/>
                <w:b/>
                <w:bCs/>
                <w:i/>
                <w:iCs/>
                <w:sz w:val="20"/>
                <w:szCs w:val="20"/>
              </w:rPr>
            </w:pPr>
            <w:r w:rsidRPr="00BB33FC">
              <w:rPr>
                <w:rFonts w:ascii="Arial" w:hAnsi="Arial" w:cs="Arial"/>
                <w:b/>
                <w:bCs/>
                <w:i/>
                <w:iCs/>
                <w:sz w:val="20"/>
                <w:szCs w:val="20"/>
              </w:rPr>
              <w:t>Intenzita hospodárenia (farming intensity)</w:t>
            </w:r>
          </w:p>
        </w:tc>
      </w:tr>
      <w:tr w:rsidR="00A71A12" w:rsidRPr="00BB33FC" w:rsidTr="00A71A12">
        <w:trPr>
          <w:trHeight w:val="495"/>
        </w:trPr>
        <w:tc>
          <w:tcPr>
            <w:tcW w:w="387"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363" w:type="dxa"/>
            <w:vMerge/>
            <w:tcBorders>
              <w:top w:val="nil"/>
              <w:left w:val="single" w:sz="8" w:space="0" w:color="E26B0A"/>
              <w:bottom w:val="single" w:sz="8" w:space="0" w:color="E26B0A"/>
              <w:right w:val="nil"/>
            </w:tcBorders>
            <w:vAlign w:val="center"/>
            <w:hideMark/>
          </w:tcPr>
          <w:p w:rsidR="00A71A12" w:rsidRPr="00BB33FC" w:rsidRDefault="00A71A12" w:rsidP="00A71A12">
            <w:pPr>
              <w:rPr>
                <w:rFonts w:ascii="Arial" w:hAnsi="Arial" w:cs="Arial"/>
                <w:b/>
                <w:bCs/>
                <w:color w:val="000000"/>
                <w:sz w:val="20"/>
                <w:szCs w:val="20"/>
              </w:rPr>
            </w:pPr>
          </w:p>
        </w:tc>
        <w:tc>
          <w:tcPr>
            <w:tcW w:w="4662" w:type="dxa"/>
            <w:gridSpan w:val="4"/>
            <w:tcBorders>
              <w:top w:val="single" w:sz="4" w:space="0" w:color="A6A6A6"/>
              <w:left w:val="nil"/>
              <w:bottom w:val="nil"/>
              <w:right w:val="nil"/>
            </w:tcBorders>
            <w:shd w:val="clear" w:color="000000" w:fill="FDE9D9"/>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low intensity</w:t>
            </w:r>
          </w:p>
        </w:tc>
        <w:tc>
          <w:tcPr>
            <w:tcW w:w="1086" w:type="dxa"/>
            <w:gridSpan w:val="2"/>
            <w:tcBorders>
              <w:top w:val="single" w:sz="4" w:space="0" w:color="A6A6A6"/>
              <w:left w:val="nil"/>
              <w:bottom w:val="nil"/>
              <w:right w:val="single" w:sz="4" w:space="0" w:color="A6A6A6"/>
            </w:tcBorders>
            <w:shd w:val="clear" w:color="000000" w:fill="FDE9D9"/>
            <w:noWrap/>
            <w:vAlign w:val="bottom"/>
            <w:hideMark/>
          </w:tcPr>
          <w:p w:rsidR="00A71A12" w:rsidRPr="00BB33FC" w:rsidRDefault="00A71A12" w:rsidP="00A71A12">
            <w:pPr>
              <w:rPr>
                <w:rFonts w:ascii="Arial" w:hAnsi="Arial" w:cs="Arial"/>
                <w:sz w:val="20"/>
                <w:szCs w:val="20"/>
              </w:rPr>
            </w:pPr>
            <w:r w:rsidRPr="00BB33FC">
              <w:rPr>
                <w:rFonts w:ascii="Arial" w:hAnsi="Arial" w:cs="Arial"/>
                <w:sz w:val="20"/>
                <w:szCs w:val="20"/>
              </w:rPr>
              <w:t> </w:t>
            </w:r>
          </w:p>
        </w:tc>
        <w:tc>
          <w:tcPr>
            <w:tcW w:w="863" w:type="dxa"/>
            <w:gridSpan w:val="2"/>
            <w:tcBorders>
              <w:top w:val="single" w:sz="4" w:space="0" w:color="A6A6A6"/>
              <w:left w:val="nil"/>
              <w:bottom w:val="nil"/>
              <w:right w:val="single" w:sz="4" w:space="0" w:color="A6A6A6"/>
            </w:tcBorders>
            <w:shd w:val="clear" w:color="000000" w:fill="FDE9D9"/>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49,3</w:t>
            </w:r>
          </w:p>
        </w:tc>
        <w:tc>
          <w:tcPr>
            <w:tcW w:w="1674" w:type="dxa"/>
            <w:gridSpan w:val="2"/>
            <w:tcBorders>
              <w:top w:val="single" w:sz="4" w:space="0" w:color="A6A6A6"/>
              <w:left w:val="nil"/>
              <w:bottom w:val="nil"/>
              <w:right w:val="single" w:sz="4" w:space="0" w:color="A6A6A6"/>
            </w:tcBorders>
            <w:shd w:val="clear" w:color="000000" w:fill="FDE9D9"/>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 z celkovej  UAA</w:t>
            </w:r>
          </w:p>
        </w:tc>
        <w:tc>
          <w:tcPr>
            <w:tcW w:w="641" w:type="dxa"/>
            <w:gridSpan w:val="2"/>
            <w:tcBorders>
              <w:top w:val="single" w:sz="4" w:space="0" w:color="A6A6A6"/>
              <w:left w:val="nil"/>
              <w:bottom w:val="nil"/>
              <w:right w:val="single" w:sz="4" w:space="0" w:color="A6A6A6"/>
            </w:tcBorders>
            <w:shd w:val="clear" w:color="000000" w:fill="FDE9D9"/>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2007</w:t>
            </w:r>
          </w:p>
        </w:tc>
        <w:tc>
          <w:tcPr>
            <w:tcW w:w="951" w:type="dxa"/>
            <w:tcBorders>
              <w:top w:val="single" w:sz="4" w:space="0" w:color="A6A6A6"/>
              <w:left w:val="nil"/>
              <w:bottom w:val="nil"/>
              <w:right w:val="single" w:sz="8" w:space="0" w:color="E26B0A"/>
            </w:tcBorders>
            <w:shd w:val="clear" w:color="000000" w:fill="FDE9D9"/>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w:t>
            </w:r>
          </w:p>
        </w:tc>
      </w:tr>
      <w:tr w:rsidR="00A71A12" w:rsidRPr="00BB33FC" w:rsidTr="00A71A12">
        <w:trPr>
          <w:trHeight w:val="495"/>
        </w:trPr>
        <w:tc>
          <w:tcPr>
            <w:tcW w:w="387"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363" w:type="dxa"/>
            <w:vMerge/>
            <w:tcBorders>
              <w:top w:val="nil"/>
              <w:left w:val="single" w:sz="8" w:space="0" w:color="E26B0A"/>
              <w:bottom w:val="single" w:sz="8" w:space="0" w:color="E26B0A"/>
              <w:right w:val="nil"/>
            </w:tcBorders>
            <w:vAlign w:val="center"/>
            <w:hideMark/>
          </w:tcPr>
          <w:p w:rsidR="00A71A12" w:rsidRPr="00BB33FC" w:rsidRDefault="00A71A12" w:rsidP="00A71A12">
            <w:pPr>
              <w:rPr>
                <w:rFonts w:ascii="Arial" w:hAnsi="Arial" w:cs="Arial"/>
                <w:b/>
                <w:bCs/>
                <w:color w:val="000000"/>
                <w:sz w:val="20"/>
                <w:szCs w:val="20"/>
              </w:rPr>
            </w:pPr>
          </w:p>
        </w:tc>
        <w:tc>
          <w:tcPr>
            <w:tcW w:w="4662" w:type="dxa"/>
            <w:gridSpan w:val="4"/>
            <w:tcBorders>
              <w:top w:val="nil"/>
              <w:left w:val="nil"/>
              <w:bottom w:val="nil"/>
              <w:right w:val="nil"/>
            </w:tcBorders>
            <w:shd w:val="clear" w:color="000000" w:fill="FCD5B4"/>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medium intensity</w:t>
            </w:r>
          </w:p>
        </w:tc>
        <w:tc>
          <w:tcPr>
            <w:tcW w:w="1086" w:type="dxa"/>
            <w:gridSpan w:val="2"/>
            <w:tcBorders>
              <w:top w:val="nil"/>
              <w:left w:val="nil"/>
              <w:bottom w:val="nil"/>
              <w:right w:val="single" w:sz="4" w:space="0" w:color="A6A6A6"/>
            </w:tcBorders>
            <w:shd w:val="clear" w:color="000000" w:fill="FCD5B4"/>
            <w:noWrap/>
            <w:vAlign w:val="bottom"/>
            <w:hideMark/>
          </w:tcPr>
          <w:p w:rsidR="00A71A12" w:rsidRPr="00BB33FC" w:rsidRDefault="00A71A12" w:rsidP="00A71A12">
            <w:pPr>
              <w:rPr>
                <w:rFonts w:ascii="Arial" w:hAnsi="Arial" w:cs="Arial"/>
                <w:sz w:val="20"/>
                <w:szCs w:val="20"/>
              </w:rPr>
            </w:pPr>
            <w:r w:rsidRPr="00BB33FC">
              <w:rPr>
                <w:rFonts w:ascii="Arial" w:hAnsi="Arial" w:cs="Arial"/>
                <w:sz w:val="20"/>
                <w:szCs w:val="20"/>
              </w:rPr>
              <w:t> </w:t>
            </w:r>
          </w:p>
        </w:tc>
        <w:tc>
          <w:tcPr>
            <w:tcW w:w="863" w:type="dxa"/>
            <w:gridSpan w:val="2"/>
            <w:tcBorders>
              <w:top w:val="nil"/>
              <w:left w:val="nil"/>
              <w:bottom w:val="nil"/>
              <w:right w:val="single" w:sz="4" w:space="0" w:color="A6A6A6"/>
            </w:tcBorders>
            <w:shd w:val="clear" w:color="000000" w:fill="FCD5B4"/>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45,5</w:t>
            </w:r>
          </w:p>
        </w:tc>
        <w:tc>
          <w:tcPr>
            <w:tcW w:w="1674" w:type="dxa"/>
            <w:gridSpan w:val="2"/>
            <w:tcBorders>
              <w:top w:val="nil"/>
              <w:left w:val="nil"/>
              <w:bottom w:val="nil"/>
              <w:right w:val="single" w:sz="4" w:space="0" w:color="A6A6A6"/>
            </w:tcBorders>
            <w:shd w:val="clear" w:color="000000" w:fill="FCD5B4"/>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 z celkovej UAA</w:t>
            </w:r>
          </w:p>
        </w:tc>
        <w:tc>
          <w:tcPr>
            <w:tcW w:w="641" w:type="dxa"/>
            <w:gridSpan w:val="2"/>
            <w:tcBorders>
              <w:top w:val="nil"/>
              <w:left w:val="nil"/>
              <w:bottom w:val="nil"/>
              <w:right w:val="single" w:sz="4" w:space="0" w:color="A6A6A6"/>
            </w:tcBorders>
            <w:shd w:val="clear" w:color="000000" w:fill="FCD5B4"/>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2007</w:t>
            </w:r>
          </w:p>
        </w:tc>
        <w:tc>
          <w:tcPr>
            <w:tcW w:w="951" w:type="dxa"/>
            <w:tcBorders>
              <w:top w:val="nil"/>
              <w:left w:val="nil"/>
              <w:bottom w:val="nil"/>
              <w:right w:val="single" w:sz="8" w:space="0" w:color="E26B0A"/>
            </w:tcBorders>
            <w:shd w:val="clear" w:color="000000" w:fill="FCD5B4"/>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w:t>
            </w:r>
          </w:p>
        </w:tc>
      </w:tr>
      <w:tr w:rsidR="00A71A12" w:rsidRPr="00BB33FC" w:rsidTr="00A71A12">
        <w:trPr>
          <w:trHeight w:val="510"/>
        </w:trPr>
        <w:tc>
          <w:tcPr>
            <w:tcW w:w="387"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363" w:type="dxa"/>
            <w:vMerge/>
            <w:tcBorders>
              <w:top w:val="nil"/>
              <w:left w:val="single" w:sz="8" w:space="0" w:color="E26B0A"/>
              <w:bottom w:val="single" w:sz="8" w:space="0" w:color="E26B0A"/>
              <w:right w:val="nil"/>
            </w:tcBorders>
            <w:vAlign w:val="center"/>
            <w:hideMark/>
          </w:tcPr>
          <w:p w:rsidR="00A71A12" w:rsidRPr="00BB33FC" w:rsidRDefault="00A71A12" w:rsidP="00A71A12">
            <w:pPr>
              <w:rPr>
                <w:rFonts w:ascii="Arial" w:hAnsi="Arial" w:cs="Arial"/>
                <w:b/>
                <w:bCs/>
                <w:color w:val="000000"/>
                <w:sz w:val="20"/>
                <w:szCs w:val="20"/>
              </w:rPr>
            </w:pPr>
          </w:p>
        </w:tc>
        <w:tc>
          <w:tcPr>
            <w:tcW w:w="4662" w:type="dxa"/>
            <w:gridSpan w:val="4"/>
            <w:tcBorders>
              <w:top w:val="nil"/>
              <w:left w:val="nil"/>
              <w:bottom w:val="nil"/>
              <w:right w:val="nil"/>
            </w:tcBorders>
            <w:shd w:val="clear" w:color="000000" w:fill="FDE9D9"/>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high intensity</w:t>
            </w:r>
          </w:p>
        </w:tc>
        <w:tc>
          <w:tcPr>
            <w:tcW w:w="1086" w:type="dxa"/>
            <w:gridSpan w:val="2"/>
            <w:tcBorders>
              <w:top w:val="nil"/>
              <w:left w:val="nil"/>
              <w:bottom w:val="nil"/>
              <w:right w:val="single" w:sz="4" w:space="0" w:color="A6A6A6"/>
            </w:tcBorders>
            <w:shd w:val="clear" w:color="000000" w:fill="FDE9D9"/>
            <w:noWrap/>
            <w:vAlign w:val="bottom"/>
            <w:hideMark/>
          </w:tcPr>
          <w:p w:rsidR="00A71A12" w:rsidRPr="00BB33FC" w:rsidRDefault="00A71A12" w:rsidP="00A71A12">
            <w:pPr>
              <w:rPr>
                <w:rFonts w:ascii="Arial" w:hAnsi="Arial" w:cs="Arial"/>
                <w:sz w:val="20"/>
                <w:szCs w:val="20"/>
              </w:rPr>
            </w:pPr>
            <w:r w:rsidRPr="00BB33FC">
              <w:rPr>
                <w:rFonts w:ascii="Arial" w:hAnsi="Arial" w:cs="Arial"/>
                <w:sz w:val="20"/>
                <w:szCs w:val="20"/>
              </w:rPr>
              <w:t> </w:t>
            </w:r>
          </w:p>
        </w:tc>
        <w:tc>
          <w:tcPr>
            <w:tcW w:w="863" w:type="dxa"/>
            <w:gridSpan w:val="2"/>
            <w:tcBorders>
              <w:top w:val="nil"/>
              <w:left w:val="nil"/>
              <w:bottom w:val="nil"/>
              <w:right w:val="single" w:sz="4" w:space="0" w:color="A6A6A6"/>
            </w:tcBorders>
            <w:shd w:val="clear" w:color="000000" w:fill="FDE9D9"/>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5,2</w:t>
            </w:r>
          </w:p>
        </w:tc>
        <w:tc>
          <w:tcPr>
            <w:tcW w:w="1674" w:type="dxa"/>
            <w:gridSpan w:val="2"/>
            <w:tcBorders>
              <w:top w:val="nil"/>
              <w:left w:val="nil"/>
              <w:bottom w:val="nil"/>
              <w:right w:val="single" w:sz="4" w:space="0" w:color="A6A6A6"/>
            </w:tcBorders>
            <w:shd w:val="clear" w:color="000000" w:fill="FDE9D9"/>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 z celkovej UAA</w:t>
            </w:r>
          </w:p>
        </w:tc>
        <w:tc>
          <w:tcPr>
            <w:tcW w:w="641" w:type="dxa"/>
            <w:gridSpan w:val="2"/>
            <w:tcBorders>
              <w:top w:val="nil"/>
              <w:left w:val="nil"/>
              <w:bottom w:val="nil"/>
              <w:right w:val="single" w:sz="4" w:space="0" w:color="A6A6A6"/>
            </w:tcBorders>
            <w:shd w:val="clear" w:color="000000" w:fill="FDE9D9"/>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2007</w:t>
            </w:r>
          </w:p>
        </w:tc>
        <w:tc>
          <w:tcPr>
            <w:tcW w:w="951" w:type="dxa"/>
            <w:tcBorders>
              <w:top w:val="nil"/>
              <w:left w:val="nil"/>
              <w:bottom w:val="nil"/>
              <w:right w:val="single" w:sz="8" w:space="0" w:color="E26B0A"/>
            </w:tcBorders>
            <w:shd w:val="clear" w:color="000000" w:fill="FDE9D9"/>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w:t>
            </w:r>
          </w:p>
        </w:tc>
      </w:tr>
      <w:tr w:rsidR="00A71A12" w:rsidRPr="00BB33FC" w:rsidTr="00A71A12">
        <w:trPr>
          <w:trHeight w:val="510"/>
        </w:trPr>
        <w:tc>
          <w:tcPr>
            <w:tcW w:w="387"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363" w:type="dxa"/>
            <w:vMerge/>
            <w:tcBorders>
              <w:top w:val="nil"/>
              <w:left w:val="single" w:sz="8" w:space="0" w:color="E26B0A"/>
              <w:bottom w:val="single" w:sz="8" w:space="0" w:color="E26B0A"/>
              <w:right w:val="nil"/>
            </w:tcBorders>
            <w:vAlign w:val="center"/>
            <w:hideMark/>
          </w:tcPr>
          <w:p w:rsidR="00A71A12" w:rsidRPr="00BB33FC" w:rsidRDefault="00A71A12" w:rsidP="00A71A12">
            <w:pPr>
              <w:rPr>
                <w:rFonts w:ascii="Arial" w:hAnsi="Arial" w:cs="Arial"/>
                <w:b/>
                <w:bCs/>
                <w:color w:val="000000"/>
                <w:sz w:val="20"/>
                <w:szCs w:val="20"/>
              </w:rPr>
            </w:pPr>
          </w:p>
        </w:tc>
        <w:tc>
          <w:tcPr>
            <w:tcW w:w="4662" w:type="dxa"/>
            <w:gridSpan w:val="4"/>
            <w:tcBorders>
              <w:top w:val="nil"/>
              <w:left w:val="nil"/>
              <w:bottom w:val="single" w:sz="8" w:space="0" w:color="E26B0A"/>
              <w:right w:val="nil"/>
            </w:tcBorders>
            <w:shd w:val="clear" w:color="000000" w:fill="FCD5B4"/>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grazing</w:t>
            </w:r>
          </w:p>
        </w:tc>
        <w:tc>
          <w:tcPr>
            <w:tcW w:w="1086" w:type="dxa"/>
            <w:gridSpan w:val="2"/>
            <w:tcBorders>
              <w:top w:val="nil"/>
              <w:left w:val="nil"/>
              <w:bottom w:val="single" w:sz="8" w:space="0" w:color="E26B0A"/>
              <w:right w:val="single" w:sz="4" w:space="0" w:color="A6A6A6"/>
            </w:tcBorders>
            <w:shd w:val="clear" w:color="000000" w:fill="FCD5B4"/>
            <w:noWrap/>
            <w:vAlign w:val="bottom"/>
            <w:hideMark/>
          </w:tcPr>
          <w:p w:rsidR="00A71A12" w:rsidRPr="00BB33FC" w:rsidRDefault="00A71A12" w:rsidP="00A71A12">
            <w:pPr>
              <w:rPr>
                <w:rFonts w:ascii="Arial" w:hAnsi="Arial" w:cs="Arial"/>
                <w:sz w:val="20"/>
                <w:szCs w:val="20"/>
              </w:rPr>
            </w:pPr>
            <w:r w:rsidRPr="00BB33FC">
              <w:rPr>
                <w:rFonts w:ascii="Arial" w:hAnsi="Arial" w:cs="Arial"/>
                <w:sz w:val="20"/>
                <w:szCs w:val="20"/>
              </w:rPr>
              <w:t> </w:t>
            </w:r>
          </w:p>
        </w:tc>
        <w:tc>
          <w:tcPr>
            <w:tcW w:w="863" w:type="dxa"/>
            <w:gridSpan w:val="2"/>
            <w:tcBorders>
              <w:top w:val="nil"/>
              <w:left w:val="nil"/>
              <w:bottom w:val="single" w:sz="8" w:space="0" w:color="E26B0A"/>
              <w:right w:val="single" w:sz="4" w:space="0" w:color="A6A6A6"/>
            </w:tcBorders>
            <w:shd w:val="clear" w:color="000000" w:fill="FCD5B4"/>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42,1</w:t>
            </w:r>
          </w:p>
        </w:tc>
        <w:tc>
          <w:tcPr>
            <w:tcW w:w="1674" w:type="dxa"/>
            <w:gridSpan w:val="2"/>
            <w:tcBorders>
              <w:top w:val="nil"/>
              <w:left w:val="nil"/>
              <w:bottom w:val="single" w:sz="8" w:space="0" w:color="E26B0A"/>
              <w:right w:val="single" w:sz="4" w:space="0" w:color="A6A6A6"/>
            </w:tcBorders>
            <w:shd w:val="clear" w:color="000000" w:fill="FCD5B4"/>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 z celkovej UAA</w:t>
            </w:r>
          </w:p>
        </w:tc>
        <w:tc>
          <w:tcPr>
            <w:tcW w:w="641" w:type="dxa"/>
            <w:gridSpan w:val="2"/>
            <w:tcBorders>
              <w:top w:val="nil"/>
              <w:left w:val="nil"/>
              <w:bottom w:val="single" w:sz="8" w:space="0" w:color="E26B0A"/>
              <w:right w:val="single" w:sz="4" w:space="0" w:color="A6A6A6"/>
            </w:tcBorders>
            <w:shd w:val="clear" w:color="000000" w:fill="FCD5B4"/>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2010</w:t>
            </w:r>
          </w:p>
        </w:tc>
        <w:tc>
          <w:tcPr>
            <w:tcW w:w="951" w:type="dxa"/>
            <w:tcBorders>
              <w:top w:val="nil"/>
              <w:left w:val="nil"/>
              <w:bottom w:val="single" w:sz="8" w:space="0" w:color="E26B0A"/>
              <w:right w:val="single" w:sz="8" w:space="0" w:color="E26B0A"/>
            </w:tcBorders>
            <w:shd w:val="clear" w:color="000000" w:fill="FCD5B4"/>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w:t>
            </w:r>
          </w:p>
        </w:tc>
      </w:tr>
      <w:tr w:rsidR="00A71A12" w:rsidRPr="00BB33FC" w:rsidTr="00A71A12">
        <w:trPr>
          <w:trHeight w:val="300"/>
        </w:trPr>
        <w:tc>
          <w:tcPr>
            <w:tcW w:w="387"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363" w:type="dxa"/>
            <w:vMerge w:val="restart"/>
            <w:tcBorders>
              <w:top w:val="nil"/>
              <w:left w:val="single" w:sz="8" w:space="0" w:color="E26B0A"/>
              <w:bottom w:val="single" w:sz="8" w:space="0" w:color="E26B0A"/>
              <w:right w:val="nil"/>
            </w:tcBorders>
            <w:shd w:val="clear" w:color="auto" w:fill="auto"/>
            <w:noWrap/>
            <w:hideMark/>
          </w:tcPr>
          <w:p w:rsidR="00A71A12" w:rsidRPr="00BB33FC" w:rsidRDefault="00A71A12" w:rsidP="00A71A12">
            <w:pPr>
              <w:rPr>
                <w:rFonts w:ascii="Arial" w:hAnsi="Arial" w:cs="Arial"/>
                <w:b/>
                <w:bCs/>
                <w:color w:val="000000"/>
                <w:sz w:val="20"/>
                <w:szCs w:val="20"/>
              </w:rPr>
            </w:pPr>
            <w:r w:rsidRPr="00BB33FC">
              <w:rPr>
                <w:rFonts w:ascii="Arial" w:hAnsi="Arial" w:cs="Arial"/>
                <w:b/>
                <w:bCs/>
                <w:color w:val="000000"/>
                <w:sz w:val="20"/>
                <w:szCs w:val="20"/>
              </w:rPr>
              <w:t>34</w:t>
            </w:r>
          </w:p>
        </w:tc>
        <w:tc>
          <w:tcPr>
            <w:tcW w:w="9877" w:type="dxa"/>
            <w:gridSpan w:val="13"/>
            <w:tcBorders>
              <w:top w:val="single" w:sz="8" w:space="0" w:color="E26B0A"/>
              <w:left w:val="nil"/>
              <w:bottom w:val="nil"/>
              <w:right w:val="single" w:sz="8" w:space="0" w:color="E26B0A"/>
            </w:tcBorders>
            <w:shd w:val="clear" w:color="auto" w:fill="auto"/>
            <w:noWrap/>
            <w:vAlign w:val="bottom"/>
            <w:hideMark/>
          </w:tcPr>
          <w:p w:rsidR="00A71A12" w:rsidRPr="00BB33FC" w:rsidRDefault="00A71A12" w:rsidP="00A71A12">
            <w:pPr>
              <w:rPr>
                <w:rFonts w:ascii="Arial" w:hAnsi="Arial" w:cs="Arial"/>
                <w:b/>
                <w:bCs/>
                <w:i/>
                <w:iCs/>
                <w:sz w:val="20"/>
                <w:szCs w:val="20"/>
              </w:rPr>
            </w:pPr>
            <w:r w:rsidRPr="00BB33FC">
              <w:rPr>
                <w:rFonts w:ascii="Arial" w:hAnsi="Arial" w:cs="Arial"/>
                <w:b/>
                <w:bCs/>
                <w:i/>
                <w:iCs/>
                <w:sz w:val="20"/>
                <w:szCs w:val="20"/>
              </w:rPr>
              <w:t>Natura 2000</w:t>
            </w:r>
          </w:p>
        </w:tc>
      </w:tr>
      <w:tr w:rsidR="00A71A12" w:rsidRPr="00BB33FC" w:rsidTr="00A71A12">
        <w:trPr>
          <w:trHeight w:val="300"/>
        </w:trPr>
        <w:tc>
          <w:tcPr>
            <w:tcW w:w="387"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363" w:type="dxa"/>
            <w:vMerge/>
            <w:tcBorders>
              <w:top w:val="nil"/>
              <w:left w:val="single" w:sz="8" w:space="0" w:color="E26B0A"/>
              <w:bottom w:val="single" w:sz="8" w:space="0" w:color="E26B0A"/>
              <w:right w:val="nil"/>
            </w:tcBorders>
            <w:vAlign w:val="center"/>
            <w:hideMark/>
          </w:tcPr>
          <w:p w:rsidR="00A71A12" w:rsidRPr="00BB33FC" w:rsidRDefault="00A71A12" w:rsidP="00A71A12">
            <w:pPr>
              <w:rPr>
                <w:rFonts w:ascii="Arial" w:hAnsi="Arial" w:cs="Arial"/>
                <w:b/>
                <w:bCs/>
                <w:color w:val="000000"/>
                <w:sz w:val="20"/>
                <w:szCs w:val="20"/>
              </w:rPr>
            </w:pPr>
          </w:p>
        </w:tc>
        <w:tc>
          <w:tcPr>
            <w:tcW w:w="4662" w:type="dxa"/>
            <w:gridSpan w:val="4"/>
            <w:tcBorders>
              <w:top w:val="single" w:sz="4" w:space="0" w:color="A6A6A6"/>
              <w:left w:val="nil"/>
              <w:bottom w:val="nil"/>
              <w:right w:val="nil"/>
            </w:tcBorders>
            <w:shd w:val="clear" w:color="000000" w:fill="FDE9D9"/>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podiel z územia</w:t>
            </w:r>
          </w:p>
        </w:tc>
        <w:tc>
          <w:tcPr>
            <w:tcW w:w="1086" w:type="dxa"/>
            <w:gridSpan w:val="2"/>
            <w:tcBorders>
              <w:top w:val="single" w:sz="4" w:space="0" w:color="A6A6A6"/>
              <w:left w:val="nil"/>
              <w:bottom w:val="nil"/>
              <w:right w:val="single" w:sz="4" w:space="0" w:color="A6A6A6"/>
            </w:tcBorders>
            <w:shd w:val="clear" w:color="000000" w:fill="FDE9D9"/>
            <w:noWrap/>
            <w:vAlign w:val="bottom"/>
            <w:hideMark/>
          </w:tcPr>
          <w:p w:rsidR="00A71A12" w:rsidRPr="00BB33FC" w:rsidRDefault="00A71A12" w:rsidP="00A71A12">
            <w:pPr>
              <w:rPr>
                <w:rFonts w:ascii="Arial" w:hAnsi="Arial" w:cs="Arial"/>
                <w:sz w:val="20"/>
                <w:szCs w:val="20"/>
              </w:rPr>
            </w:pPr>
            <w:r w:rsidRPr="00BB33FC">
              <w:rPr>
                <w:rFonts w:ascii="Arial" w:hAnsi="Arial" w:cs="Arial"/>
                <w:sz w:val="20"/>
                <w:szCs w:val="20"/>
              </w:rPr>
              <w:t> </w:t>
            </w:r>
          </w:p>
        </w:tc>
        <w:tc>
          <w:tcPr>
            <w:tcW w:w="863" w:type="dxa"/>
            <w:gridSpan w:val="2"/>
            <w:tcBorders>
              <w:top w:val="single" w:sz="4" w:space="0" w:color="A6A6A6"/>
              <w:left w:val="nil"/>
              <w:bottom w:val="nil"/>
              <w:right w:val="single" w:sz="4" w:space="0" w:color="A6A6A6"/>
            </w:tcBorders>
            <w:shd w:val="clear" w:color="000000" w:fill="FDE9D9"/>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29,6</w:t>
            </w:r>
          </w:p>
        </w:tc>
        <w:tc>
          <w:tcPr>
            <w:tcW w:w="1674" w:type="dxa"/>
            <w:gridSpan w:val="2"/>
            <w:tcBorders>
              <w:top w:val="single" w:sz="4" w:space="0" w:color="A6A6A6"/>
              <w:left w:val="nil"/>
              <w:bottom w:val="nil"/>
              <w:right w:val="single" w:sz="4" w:space="0" w:color="A6A6A6"/>
            </w:tcBorders>
            <w:shd w:val="clear" w:color="000000" w:fill="FDE9D9"/>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 z územia</w:t>
            </w:r>
          </w:p>
        </w:tc>
        <w:tc>
          <w:tcPr>
            <w:tcW w:w="641" w:type="dxa"/>
            <w:gridSpan w:val="2"/>
            <w:tcBorders>
              <w:top w:val="single" w:sz="4" w:space="0" w:color="A6A6A6"/>
              <w:left w:val="nil"/>
              <w:bottom w:val="nil"/>
              <w:right w:val="single" w:sz="4" w:space="0" w:color="A6A6A6"/>
            </w:tcBorders>
            <w:shd w:val="clear" w:color="000000" w:fill="FDE9D9"/>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2011</w:t>
            </w:r>
          </w:p>
        </w:tc>
        <w:tc>
          <w:tcPr>
            <w:tcW w:w="951" w:type="dxa"/>
            <w:tcBorders>
              <w:top w:val="single" w:sz="4" w:space="0" w:color="A6A6A6"/>
              <w:left w:val="nil"/>
              <w:bottom w:val="nil"/>
              <w:right w:val="single" w:sz="8" w:space="0" w:color="E26B0A"/>
            </w:tcBorders>
            <w:shd w:val="clear" w:color="000000" w:fill="FDE9D9"/>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w:t>
            </w:r>
          </w:p>
        </w:tc>
      </w:tr>
      <w:tr w:rsidR="00A71A12" w:rsidRPr="00BB33FC" w:rsidTr="00A71A12">
        <w:trPr>
          <w:trHeight w:val="540"/>
        </w:trPr>
        <w:tc>
          <w:tcPr>
            <w:tcW w:w="387"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363" w:type="dxa"/>
            <w:vMerge/>
            <w:tcBorders>
              <w:top w:val="nil"/>
              <w:left w:val="single" w:sz="8" w:space="0" w:color="E26B0A"/>
              <w:bottom w:val="single" w:sz="8" w:space="0" w:color="E26B0A"/>
              <w:right w:val="nil"/>
            </w:tcBorders>
            <w:vAlign w:val="center"/>
            <w:hideMark/>
          </w:tcPr>
          <w:p w:rsidR="00A71A12" w:rsidRPr="00BB33FC" w:rsidRDefault="00A71A12" w:rsidP="00A71A12">
            <w:pPr>
              <w:rPr>
                <w:rFonts w:ascii="Arial" w:hAnsi="Arial" w:cs="Arial"/>
                <w:b/>
                <w:bCs/>
                <w:color w:val="000000"/>
                <w:sz w:val="20"/>
                <w:szCs w:val="20"/>
              </w:rPr>
            </w:pPr>
          </w:p>
        </w:tc>
        <w:tc>
          <w:tcPr>
            <w:tcW w:w="5748" w:type="dxa"/>
            <w:gridSpan w:val="6"/>
            <w:tcBorders>
              <w:top w:val="nil"/>
              <w:left w:val="nil"/>
              <w:bottom w:val="nil"/>
              <w:right w:val="single" w:sz="4" w:space="0" w:color="A6A6A6"/>
            </w:tcBorders>
            <w:shd w:val="clear" w:color="000000" w:fill="FCD5B4"/>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podiel UAA (využitej poľn. pôdy) (vrátane prírodných TTP)</w:t>
            </w:r>
          </w:p>
        </w:tc>
        <w:tc>
          <w:tcPr>
            <w:tcW w:w="863" w:type="dxa"/>
            <w:gridSpan w:val="2"/>
            <w:tcBorders>
              <w:top w:val="nil"/>
              <w:left w:val="nil"/>
              <w:bottom w:val="nil"/>
              <w:right w:val="single" w:sz="4" w:space="0" w:color="A6A6A6"/>
            </w:tcBorders>
            <w:shd w:val="clear" w:color="000000" w:fill="FCD5B4"/>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16,0</w:t>
            </w:r>
          </w:p>
        </w:tc>
        <w:tc>
          <w:tcPr>
            <w:tcW w:w="1674" w:type="dxa"/>
            <w:gridSpan w:val="2"/>
            <w:tcBorders>
              <w:top w:val="nil"/>
              <w:left w:val="nil"/>
              <w:bottom w:val="nil"/>
              <w:right w:val="single" w:sz="4" w:space="0" w:color="A6A6A6"/>
            </w:tcBorders>
            <w:shd w:val="clear" w:color="000000" w:fill="FCD5B4"/>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 z UAA</w:t>
            </w:r>
          </w:p>
        </w:tc>
        <w:tc>
          <w:tcPr>
            <w:tcW w:w="641" w:type="dxa"/>
            <w:gridSpan w:val="2"/>
            <w:tcBorders>
              <w:top w:val="nil"/>
              <w:left w:val="nil"/>
              <w:bottom w:val="nil"/>
              <w:right w:val="single" w:sz="4" w:space="0" w:color="A6A6A6"/>
            </w:tcBorders>
            <w:shd w:val="clear" w:color="000000" w:fill="FCD5B4"/>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2011</w:t>
            </w:r>
          </w:p>
        </w:tc>
        <w:tc>
          <w:tcPr>
            <w:tcW w:w="951" w:type="dxa"/>
            <w:tcBorders>
              <w:top w:val="nil"/>
              <w:left w:val="nil"/>
              <w:bottom w:val="nil"/>
              <w:right w:val="single" w:sz="8" w:space="0" w:color="E26B0A"/>
            </w:tcBorders>
            <w:shd w:val="clear" w:color="000000" w:fill="FCD5B4"/>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w:t>
            </w:r>
          </w:p>
        </w:tc>
      </w:tr>
      <w:tr w:rsidR="00A71A12" w:rsidRPr="00BB33FC" w:rsidTr="00A71A12">
        <w:trPr>
          <w:trHeight w:val="540"/>
        </w:trPr>
        <w:tc>
          <w:tcPr>
            <w:tcW w:w="387"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363" w:type="dxa"/>
            <w:vMerge/>
            <w:tcBorders>
              <w:top w:val="nil"/>
              <w:left w:val="single" w:sz="8" w:space="0" w:color="E26B0A"/>
              <w:bottom w:val="single" w:sz="8" w:space="0" w:color="E26B0A"/>
              <w:right w:val="nil"/>
            </w:tcBorders>
            <w:vAlign w:val="center"/>
            <w:hideMark/>
          </w:tcPr>
          <w:p w:rsidR="00A71A12" w:rsidRPr="00BB33FC" w:rsidRDefault="00A71A12" w:rsidP="00A71A12">
            <w:pPr>
              <w:rPr>
                <w:rFonts w:ascii="Arial" w:hAnsi="Arial" w:cs="Arial"/>
                <w:b/>
                <w:bCs/>
                <w:color w:val="000000"/>
                <w:sz w:val="20"/>
                <w:szCs w:val="20"/>
              </w:rPr>
            </w:pPr>
          </w:p>
        </w:tc>
        <w:tc>
          <w:tcPr>
            <w:tcW w:w="5748" w:type="dxa"/>
            <w:gridSpan w:val="6"/>
            <w:tcBorders>
              <w:top w:val="nil"/>
              <w:left w:val="nil"/>
              <w:bottom w:val="single" w:sz="8" w:space="0" w:color="E26B0A"/>
              <w:right w:val="single" w:sz="4" w:space="0" w:color="A6A6A6"/>
            </w:tcBorders>
            <w:shd w:val="clear" w:color="000000" w:fill="FDE9D9"/>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podiel z celkových lesných oblastí</w:t>
            </w:r>
          </w:p>
        </w:tc>
        <w:tc>
          <w:tcPr>
            <w:tcW w:w="863" w:type="dxa"/>
            <w:gridSpan w:val="2"/>
            <w:tcBorders>
              <w:top w:val="nil"/>
              <w:left w:val="nil"/>
              <w:bottom w:val="single" w:sz="8" w:space="0" w:color="E26B0A"/>
              <w:right w:val="single" w:sz="4" w:space="0" w:color="A6A6A6"/>
            </w:tcBorders>
            <w:shd w:val="clear" w:color="000000" w:fill="FDE9D9"/>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46,5</w:t>
            </w:r>
          </w:p>
        </w:tc>
        <w:tc>
          <w:tcPr>
            <w:tcW w:w="1674" w:type="dxa"/>
            <w:gridSpan w:val="2"/>
            <w:tcBorders>
              <w:top w:val="nil"/>
              <w:left w:val="nil"/>
              <w:bottom w:val="single" w:sz="8" w:space="0" w:color="E26B0A"/>
              <w:right w:val="single" w:sz="4" w:space="0" w:color="A6A6A6"/>
            </w:tcBorders>
            <w:shd w:val="clear" w:color="000000" w:fill="FDE9D9"/>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 z lesnej výmery</w:t>
            </w:r>
          </w:p>
        </w:tc>
        <w:tc>
          <w:tcPr>
            <w:tcW w:w="641" w:type="dxa"/>
            <w:gridSpan w:val="2"/>
            <w:tcBorders>
              <w:top w:val="nil"/>
              <w:left w:val="nil"/>
              <w:bottom w:val="single" w:sz="8" w:space="0" w:color="E26B0A"/>
              <w:right w:val="single" w:sz="4" w:space="0" w:color="A6A6A6"/>
            </w:tcBorders>
            <w:shd w:val="clear" w:color="000000" w:fill="FDE9D9"/>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2011</w:t>
            </w:r>
          </w:p>
        </w:tc>
        <w:tc>
          <w:tcPr>
            <w:tcW w:w="951" w:type="dxa"/>
            <w:tcBorders>
              <w:top w:val="nil"/>
              <w:left w:val="nil"/>
              <w:bottom w:val="single" w:sz="8" w:space="0" w:color="E26B0A"/>
              <w:right w:val="single" w:sz="8" w:space="0" w:color="E26B0A"/>
            </w:tcBorders>
            <w:shd w:val="clear" w:color="000000" w:fill="FDE9D9"/>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w:t>
            </w:r>
          </w:p>
        </w:tc>
      </w:tr>
      <w:tr w:rsidR="00A71A12" w:rsidRPr="00BB33FC" w:rsidTr="00A71A12">
        <w:trPr>
          <w:trHeight w:val="300"/>
        </w:trPr>
        <w:tc>
          <w:tcPr>
            <w:tcW w:w="387"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363" w:type="dxa"/>
            <w:vMerge w:val="restart"/>
            <w:tcBorders>
              <w:top w:val="nil"/>
              <w:left w:val="single" w:sz="8" w:space="0" w:color="E26B0A"/>
              <w:bottom w:val="single" w:sz="8" w:space="0" w:color="E26B0A"/>
              <w:right w:val="nil"/>
            </w:tcBorders>
            <w:shd w:val="clear" w:color="auto" w:fill="auto"/>
            <w:noWrap/>
            <w:hideMark/>
          </w:tcPr>
          <w:p w:rsidR="00A71A12" w:rsidRPr="00BB33FC" w:rsidRDefault="00A71A12" w:rsidP="00A71A12">
            <w:pPr>
              <w:rPr>
                <w:rFonts w:ascii="Arial" w:hAnsi="Arial" w:cs="Arial"/>
                <w:b/>
                <w:bCs/>
                <w:color w:val="000000"/>
                <w:sz w:val="20"/>
                <w:szCs w:val="20"/>
              </w:rPr>
            </w:pPr>
            <w:r w:rsidRPr="00BB33FC">
              <w:rPr>
                <w:rFonts w:ascii="Arial" w:hAnsi="Arial" w:cs="Arial"/>
                <w:b/>
                <w:bCs/>
                <w:color w:val="000000"/>
                <w:sz w:val="20"/>
                <w:szCs w:val="20"/>
              </w:rPr>
              <w:t>35</w:t>
            </w:r>
          </w:p>
        </w:tc>
        <w:tc>
          <w:tcPr>
            <w:tcW w:w="9877" w:type="dxa"/>
            <w:gridSpan w:val="13"/>
            <w:tcBorders>
              <w:top w:val="single" w:sz="8" w:space="0" w:color="E26B0A"/>
              <w:left w:val="nil"/>
              <w:bottom w:val="nil"/>
              <w:right w:val="single" w:sz="8" w:space="0" w:color="E26B0A"/>
            </w:tcBorders>
            <w:shd w:val="clear" w:color="auto" w:fill="auto"/>
            <w:noWrap/>
            <w:hideMark/>
          </w:tcPr>
          <w:p w:rsidR="00A71A12" w:rsidRPr="00BB33FC" w:rsidRDefault="00A71A12" w:rsidP="00A71A12">
            <w:pPr>
              <w:rPr>
                <w:rFonts w:ascii="Arial" w:hAnsi="Arial" w:cs="Arial"/>
                <w:b/>
                <w:bCs/>
                <w:i/>
                <w:iCs/>
                <w:sz w:val="20"/>
                <w:szCs w:val="20"/>
              </w:rPr>
            </w:pPr>
            <w:r w:rsidRPr="00BB33FC">
              <w:rPr>
                <w:rFonts w:ascii="Arial" w:hAnsi="Arial" w:cs="Arial"/>
                <w:b/>
                <w:bCs/>
                <w:i/>
                <w:iCs/>
                <w:sz w:val="20"/>
                <w:szCs w:val="20"/>
              </w:rPr>
              <w:t>Populácia vtákov v poľnoh. krajine</w:t>
            </w:r>
          </w:p>
        </w:tc>
      </w:tr>
      <w:tr w:rsidR="00A71A12" w:rsidRPr="00BB33FC" w:rsidTr="00A71A12">
        <w:trPr>
          <w:trHeight w:val="510"/>
        </w:trPr>
        <w:tc>
          <w:tcPr>
            <w:tcW w:w="387"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363" w:type="dxa"/>
            <w:vMerge/>
            <w:tcBorders>
              <w:top w:val="nil"/>
              <w:left w:val="single" w:sz="8" w:space="0" w:color="E26B0A"/>
              <w:bottom w:val="single" w:sz="8" w:space="0" w:color="E26B0A"/>
              <w:right w:val="nil"/>
            </w:tcBorders>
            <w:vAlign w:val="center"/>
            <w:hideMark/>
          </w:tcPr>
          <w:p w:rsidR="00A71A12" w:rsidRPr="00BB33FC" w:rsidRDefault="00A71A12" w:rsidP="00A71A12">
            <w:pPr>
              <w:rPr>
                <w:rFonts w:ascii="Arial" w:hAnsi="Arial" w:cs="Arial"/>
                <w:b/>
                <w:bCs/>
                <w:color w:val="000000"/>
                <w:sz w:val="20"/>
                <w:szCs w:val="20"/>
              </w:rPr>
            </w:pPr>
          </w:p>
        </w:tc>
        <w:tc>
          <w:tcPr>
            <w:tcW w:w="4662" w:type="dxa"/>
            <w:gridSpan w:val="4"/>
            <w:tcBorders>
              <w:top w:val="single" w:sz="4" w:space="0" w:color="A6A6A6"/>
              <w:left w:val="nil"/>
              <w:bottom w:val="single" w:sz="8" w:space="0" w:color="E26B0A"/>
              <w:right w:val="nil"/>
            </w:tcBorders>
            <w:shd w:val="clear" w:color="000000" w:fill="FDE9D9"/>
            <w:noWrap/>
            <w:hideMark/>
          </w:tcPr>
          <w:p w:rsidR="00A71A12" w:rsidRPr="00BB33FC" w:rsidRDefault="00A71A12" w:rsidP="00A71A12">
            <w:pPr>
              <w:rPr>
                <w:rFonts w:ascii="Arial" w:hAnsi="Arial" w:cs="Arial"/>
                <w:sz w:val="18"/>
                <w:szCs w:val="18"/>
              </w:rPr>
            </w:pPr>
            <w:r w:rsidRPr="00BB33FC">
              <w:rPr>
                <w:rFonts w:ascii="Arial" w:hAnsi="Arial" w:cs="Arial"/>
                <w:sz w:val="18"/>
                <w:szCs w:val="18"/>
              </w:rPr>
              <w:t> </w:t>
            </w:r>
          </w:p>
        </w:tc>
        <w:tc>
          <w:tcPr>
            <w:tcW w:w="1086" w:type="dxa"/>
            <w:gridSpan w:val="2"/>
            <w:tcBorders>
              <w:top w:val="single" w:sz="4" w:space="0" w:color="A6A6A6"/>
              <w:left w:val="nil"/>
              <w:bottom w:val="single" w:sz="8" w:space="0" w:color="E26B0A"/>
              <w:right w:val="nil"/>
            </w:tcBorders>
            <w:shd w:val="clear" w:color="000000" w:fill="FDE9D9"/>
            <w:noWrap/>
            <w:hideMark/>
          </w:tcPr>
          <w:p w:rsidR="00A71A12" w:rsidRPr="00BB33FC" w:rsidRDefault="00A71A12" w:rsidP="00A71A12">
            <w:pPr>
              <w:rPr>
                <w:rFonts w:ascii="Arial" w:hAnsi="Arial" w:cs="Arial"/>
                <w:sz w:val="20"/>
                <w:szCs w:val="20"/>
              </w:rPr>
            </w:pPr>
            <w:r w:rsidRPr="00BB33FC">
              <w:rPr>
                <w:rFonts w:ascii="Arial" w:hAnsi="Arial" w:cs="Arial"/>
                <w:sz w:val="20"/>
                <w:szCs w:val="20"/>
              </w:rPr>
              <w:t>celkom (index)</w:t>
            </w:r>
          </w:p>
        </w:tc>
        <w:tc>
          <w:tcPr>
            <w:tcW w:w="863" w:type="dxa"/>
            <w:gridSpan w:val="2"/>
            <w:tcBorders>
              <w:top w:val="single" w:sz="4" w:space="0" w:color="A6A6A6"/>
              <w:left w:val="nil"/>
              <w:bottom w:val="single" w:sz="8" w:space="0" w:color="E26B0A"/>
              <w:right w:val="nil"/>
            </w:tcBorders>
            <w:shd w:val="clear" w:color="000000" w:fill="FDE9D9"/>
            <w:noWrap/>
            <w:vAlign w:val="bottom"/>
            <w:hideMark/>
          </w:tcPr>
          <w:p w:rsidR="00A71A12" w:rsidRPr="00BB33FC" w:rsidRDefault="00A71A12" w:rsidP="00A71A12">
            <w:pPr>
              <w:jc w:val="right"/>
              <w:rPr>
                <w:rFonts w:ascii="Arial" w:hAnsi="Arial" w:cs="Arial"/>
                <w:sz w:val="18"/>
                <w:szCs w:val="18"/>
              </w:rPr>
            </w:pPr>
            <w:r>
              <w:rPr>
                <w:rFonts w:ascii="Arial" w:hAnsi="Arial" w:cs="Arial"/>
                <w:sz w:val="18"/>
                <w:szCs w:val="18"/>
              </w:rPr>
              <w:t>89,95</w:t>
            </w:r>
          </w:p>
        </w:tc>
        <w:tc>
          <w:tcPr>
            <w:tcW w:w="1674" w:type="dxa"/>
            <w:gridSpan w:val="2"/>
            <w:tcBorders>
              <w:top w:val="single" w:sz="4" w:space="0" w:color="A6A6A6"/>
              <w:left w:val="nil"/>
              <w:bottom w:val="single" w:sz="8" w:space="0" w:color="E26B0A"/>
              <w:right w:val="nil"/>
            </w:tcBorders>
            <w:shd w:val="clear" w:color="000000" w:fill="FDE9D9"/>
            <w:vAlign w:val="bottom"/>
            <w:hideMark/>
          </w:tcPr>
          <w:p w:rsidR="00A71A12" w:rsidRDefault="00A71A12" w:rsidP="00A71A12">
            <w:pPr>
              <w:rPr>
                <w:rFonts w:ascii="Arial" w:hAnsi="Arial" w:cs="Arial"/>
                <w:sz w:val="18"/>
                <w:szCs w:val="18"/>
              </w:rPr>
            </w:pPr>
            <w:r>
              <w:rPr>
                <w:rFonts w:ascii="Arial" w:hAnsi="Arial" w:cs="Arial"/>
                <w:sz w:val="18"/>
                <w:szCs w:val="18"/>
              </w:rPr>
              <w:t>%</w:t>
            </w:r>
          </w:p>
          <w:p w:rsidR="00A71A12" w:rsidRPr="00BB33FC" w:rsidRDefault="00A71A12" w:rsidP="00A71A12">
            <w:pPr>
              <w:rPr>
                <w:rFonts w:ascii="Arial" w:hAnsi="Arial" w:cs="Arial"/>
                <w:sz w:val="18"/>
                <w:szCs w:val="18"/>
              </w:rPr>
            </w:pPr>
            <w:r>
              <w:rPr>
                <w:rFonts w:ascii="Arial" w:hAnsi="Arial" w:cs="Arial"/>
                <w:sz w:val="18"/>
                <w:szCs w:val="18"/>
              </w:rPr>
              <w:t>(</w:t>
            </w:r>
            <w:r w:rsidRPr="00BB33FC">
              <w:rPr>
                <w:rFonts w:ascii="Arial" w:hAnsi="Arial" w:cs="Arial"/>
                <w:sz w:val="18"/>
                <w:szCs w:val="18"/>
              </w:rPr>
              <w:t>Index 2000 = 100</w:t>
            </w:r>
            <w:r>
              <w:rPr>
                <w:rFonts w:ascii="Arial" w:hAnsi="Arial" w:cs="Arial"/>
                <w:sz w:val="18"/>
                <w:szCs w:val="18"/>
              </w:rPr>
              <w:t>)</w:t>
            </w:r>
          </w:p>
        </w:tc>
        <w:tc>
          <w:tcPr>
            <w:tcW w:w="641" w:type="dxa"/>
            <w:gridSpan w:val="2"/>
            <w:tcBorders>
              <w:top w:val="single" w:sz="4" w:space="0" w:color="A6A6A6"/>
              <w:left w:val="nil"/>
              <w:bottom w:val="single" w:sz="8" w:space="0" w:color="E26B0A"/>
              <w:right w:val="nil"/>
            </w:tcBorders>
            <w:shd w:val="clear" w:color="000000" w:fill="FDE9D9"/>
            <w:noWrap/>
            <w:vAlign w:val="bottom"/>
            <w:hideMark/>
          </w:tcPr>
          <w:p w:rsidR="00A71A12" w:rsidRPr="00BB33FC" w:rsidRDefault="00A71A12" w:rsidP="00A71A12">
            <w:pPr>
              <w:jc w:val="right"/>
              <w:rPr>
                <w:rFonts w:ascii="Arial" w:hAnsi="Arial" w:cs="Arial"/>
                <w:sz w:val="18"/>
                <w:szCs w:val="18"/>
              </w:rPr>
            </w:pPr>
            <w:r>
              <w:rPr>
                <w:rFonts w:ascii="Arial" w:hAnsi="Arial" w:cs="Arial"/>
                <w:sz w:val="18"/>
                <w:szCs w:val="18"/>
              </w:rPr>
              <w:t>2012</w:t>
            </w:r>
          </w:p>
        </w:tc>
        <w:tc>
          <w:tcPr>
            <w:tcW w:w="951" w:type="dxa"/>
            <w:tcBorders>
              <w:top w:val="single" w:sz="4" w:space="0" w:color="A6A6A6"/>
              <w:left w:val="nil"/>
              <w:bottom w:val="single" w:sz="8" w:space="0" w:color="E26B0A"/>
              <w:right w:val="single" w:sz="8" w:space="0" w:color="E26B0A"/>
            </w:tcBorders>
            <w:shd w:val="clear" w:color="000000" w:fill="FDE9D9"/>
            <w:noWrap/>
            <w:vAlign w:val="bottom"/>
            <w:hideMark/>
          </w:tcPr>
          <w:p w:rsidR="00A71A12" w:rsidRPr="00BB33FC" w:rsidRDefault="00A71A12" w:rsidP="00A71A12">
            <w:pPr>
              <w:rPr>
                <w:rFonts w:ascii="Arial" w:hAnsi="Arial" w:cs="Arial"/>
                <w:sz w:val="18"/>
                <w:szCs w:val="18"/>
              </w:rPr>
            </w:pPr>
            <w:r>
              <w:rPr>
                <w:rFonts w:ascii="Arial" w:hAnsi="Arial" w:cs="Arial"/>
                <w:sz w:val="18"/>
                <w:szCs w:val="18"/>
              </w:rPr>
              <w:t>SOS/BirdLife Slovensko</w:t>
            </w:r>
          </w:p>
        </w:tc>
      </w:tr>
      <w:tr w:rsidR="00A71A12" w:rsidRPr="00BB33FC" w:rsidTr="00A71A12">
        <w:trPr>
          <w:trHeight w:val="405"/>
        </w:trPr>
        <w:tc>
          <w:tcPr>
            <w:tcW w:w="387"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363" w:type="dxa"/>
            <w:vMerge w:val="restart"/>
            <w:tcBorders>
              <w:top w:val="nil"/>
              <w:left w:val="single" w:sz="8" w:space="0" w:color="E26B0A"/>
              <w:bottom w:val="single" w:sz="8" w:space="0" w:color="E26B0A"/>
              <w:right w:val="nil"/>
            </w:tcBorders>
            <w:shd w:val="clear" w:color="auto" w:fill="auto"/>
            <w:noWrap/>
            <w:hideMark/>
          </w:tcPr>
          <w:p w:rsidR="00A71A12" w:rsidRPr="00BB33FC" w:rsidRDefault="00A71A12" w:rsidP="00A71A12">
            <w:pPr>
              <w:rPr>
                <w:rFonts w:ascii="Arial" w:hAnsi="Arial" w:cs="Arial"/>
                <w:b/>
                <w:bCs/>
                <w:color w:val="000000"/>
                <w:sz w:val="20"/>
                <w:szCs w:val="20"/>
              </w:rPr>
            </w:pPr>
            <w:r w:rsidRPr="00BB33FC">
              <w:rPr>
                <w:rFonts w:ascii="Arial" w:hAnsi="Arial" w:cs="Arial"/>
                <w:b/>
                <w:bCs/>
                <w:color w:val="000000"/>
                <w:sz w:val="20"/>
                <w:szCs w:val="20"/>
              </w:rPr>
              <w:t>36</w:t>
            </w:r>
          </w:p>
        </w:tc>
        <w:tc>
          <w:tcPr>
            <w:tcW w:w="9877" w:type="dxa"/>
            <w:gridSpan w:val="13"/>
            <w:tcBorders>
              <w:top w:val="single" w:sz="8" w:space="0" w:color="E26B0A"/>
              <w:left w:val="nil"/>
              <w:bottom w:val="single" w:sz="4" w:space="0" w:color="A6A6A6"/>
              <w:right w:val="single" w:sz="8" w:space="0" w:color="E26B0A"/>
            </w:tcBorders>
            <w:shd w:val="clear" w:color="auto" w:fill="auto"/>
            <w:vAlign w:val="bottom"/>
            <w:hideMark/>
          </w:tcPr>
          <w:p w:rsidR="00A71A12" w:rsidRPr="00BB33FC" w:rsidRDefault="00A71A12" w:rsidP="00A71A12">
            <w:pPr>
              <w:rPr>
                <w:rFonts w:ascii="Arial" w:hAnsi="Arial" w:cs="Arial"/>
                <w:b/>
                <w:bCs/>
                <w:i/>
                <w:iCs/>
                <w:sz w:val="20"/>
                <w:szCs w:val="20"/>
              </w:rPr>
            </w:pPr>
            <w:r w:rsidRPr="00BB33FC">
              <w:rPr>
                <w:rFonts w:ascii="Arial" w:hAnsi="Arial" w:cs="Arial"/>
                <w:b/>
                <w:bCs/>
                <w:i/>
                <w:iCs/>
                <w:sz w:val="20"/>
                <w:szCs w:val="20"/>
              </w:rPr>
              <w:t>Ochrana biodiverzity - biotopy TTP</w:t>
            </w:r>
          </w:p>
        </w:tc>
      </w:tr>
      <w:tr w:rsidR="00A71A12" w:rsidRPr="00BB33FC" w:rsidTr="00A71A12">
        <w:trPr>
          <w:trHeight w:val="735"/>
        </w:trPr>
        <w:tc>
          <w:tcPr>
            <w:tcW w:w="387"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363" w:type="dxa"/>
            <w:vMerge/>
            <w:tcBorders>
              <w:top w:val="nil"/>
              <w:left w:val="single" w:sz="8" w:space="0" w:color="E26B0A"/>
              <w:bottom w:val="single" w:sz="8" w:space="0" w:color="E26B0A"/>
              <w:right w:val="nil"/>
            </w:tcBorders>
            <w:vAlign w:val="center"/>
            <w:hideMark/>
          </w:tcPr>
          <w:p w:rsidR="00A71A12" w:rsidRPr="00BB33FC" w:rsidRDefault="00A71A12" w:rsidP="00A71A12">
            <w:pPr>
              <w:rPr>
                <w:rFonts w:ascii="Arial" w:hAnsi="Arial" w:cs="Arial"/>
                <w:b/>
                <w:bCs/>
                <w:color w:val="000000"/>
                <w:sz w:val="20"/>
                <w:szCs w:val="20"/>
              </w:rPr>
            </w:pPr>
          </w:p>
        </w:tc>
        <w:tc>
          <w:tcPr>
            <w:tcW w:w="5748" w:type="dxa"/>
            <w:gridSpan w:val="6"/>
            <w:tcBorders>
              <w:top w:val="single" w:sz="4" w:space="0" w:color="A6A6A6"/>
              <w:left w:val="nil"/>
              <w:bottom w:val="nil"/>
              <w:right w:val="single" w:sz="4" w:space="0" w:color="A6A6A6"/>
            </w:tcBorders>
            <w:shd w:val="clear" w:color="000000" w:fill="FDE9D9"/>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priaznivé</w:t>
            </w:r>
          </w:p>
        </w:tc>
        <w:tc>
          <w:tcPr>
            <w:tcW w:w="863" w:type="dxa"/>
            <w:gridSpan w:val="2"/>
            <w:tcBorders>
              <w:top w:val="nil"/>
              <w:left w:val="nil"/>
              <w:bottom w:val="nil"/>
              <w:right w:val="single" w:sz="4" w:space="0" w:color="A6A6A6"/>
            </w:tcBorders>
            <w:shd w:val="clear" w:color="000000" w:fill="FDE9D9"/>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13,0</w:t>
            </w:r>
          </w:p>
        </w:tc>
        <w:tc>
          <w:tcPr>
            <w:tcW w:w="1674" w:type="dxa"/>
            <w:gridSpan w:val="2"/>
            <w:tcBorders>
              <w:top w:val="nil"/>
              <w:left w:val="nil"/>
              <w:bottom w:val="nil"/>
              <w:right w:val="single" w:sz="4" w:space="0" w:color="A6A6A6"/>
            </w:tcBorders>
            <w:shd w:val="clear" w:color="000000" w:fill="FDE9D9"/>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 z hodnotených biotopov</w:t>
            </w:r>
          </w:p>
        </w:tc>
        <w:tc>
          <w:tcPr>
            <w:tcW w:w="641" w:type="dxa"/>
            <w:gridSpan w:val="2"/>
            <w:tcBorders>
              <w:top w:val="nil"/>
              <w:left w:val="nil"/>
              <w:bottom w:val="nil"/>
              <w:right w:val="single" w:sz="4" w:space="0" w:color="A6A6A6"/>
            </w:tcBorders>
            <w:shd w:val="clear" w:color="000000" w:fill="FDE9D9"/>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2001-2006</w:t>
            </w:r>
          </w:p>
        </w:tc>
        <w:tc>
          <w:tcPr>
            <w:tcW w:w="951" w:type="dxa"/>
            <w:tcBorders>
              <w:top w:val="nil"/>
              <w:left w:val="nil"/>
              <w:bottom w:val="nil"/>
              <w:right w:val="single" w:sz="8" w:space="0" w:color="E26B0A"/>
            </w:tcBorders>
            <w:shd w:val="clear" w:color="000000" w:fill="FDE9D9"/>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w:t>
            </w:r>
          </w:p>
        </w:tc>
      </w:tr>
      <w:tr w:rsidR="00A71A12" w:rsidRPr="00BB33FC" w:rsidTr="00A71A12">
        <w:trPr>
          <w:trHeight w:val="735"/>
        </w:trPr>
        <w:tc>
          <w:tcPr>
            <w:tcW w:w="387"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363" w:type="dxa"/>
            <w:vMerge/>
            <w:tcBorders>
              <w:top w:val="nil"/>
              <w:left w:val="single" w:sz="8" w:space="0" w:color="E26B0A"/>
              <w:bottom w:val="single" w:sz="8" w:space="0" w:color="E26B0A"/>
              <w:right w:val="nil"/>
            </w:tcBorders>
            <w:vAlign w:val="center"/>
            <w:hideMark/>
          </w:tcPr>
          <w:p w:rsidR="00A71A12" w:rsidRPr="00BB33FC" w:rsidRDefault="00A71A12" w:rsidP="00A71A12">
            <w:pPr>
              <w:rPr>
                <w:rFonts w:ascii="Arial" w:hAnsi="Arial" w:cs="Arial"/>
                <w:b/>
                <w:bCs/>
                <w:color w:val="000000"/>
                <w:sz w:val="20"/>
                <w:szCs w:val="20"/>
              </w:rPr>
            </w:pPr>
          </w:p>
        </w:tc>
        <w:tc>
          <w:tcPr>
            <w:tcW w:w="5748" w:type="dxa"/>
            <w:gridSpan w:val="6"/>
            <w:tcBorders>
              <w:top w:val="nil"/>
              <w:left w:val="nil"/>
              <w:bottom w:val="nil"/>
              <w:right w:val="single" w:sz="4" w:space="0" w:color="A6A6A6"/>
            </w:tcBorders>
            <w:shd w:val="clear" w:color="000000" w:fill="FCD5B4"/>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nepriaznivé - nedostatočné</w:t>
            </w:r>
          </w:p>
        </w:tc>
        <w:tc>
          <w:tcPr>
            <w:tcW w:w="863" w:type="dxa"/>
            <w:gridSpan w:val="2"/>
            <w:tcBorders>
              <w:top w:val="nil"/>
              <w:left w:val="nil"/>
              <w:bottom w:val="nil"/>
              <w:right w:val="single" w:sz="4" w:space="0" w:color="A6A6A6"/>
            </w:tcBorders>
            <w:shd w:val="clear" w:color="000000" w:fill="FCD5B4"/>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69,5</w:t>
            </w:r>
          </w:p>
        </w:tc>
        <w:tc>
          <w:tcPr>
            <w:tcW w:w="1674" w:type="dxa"/>
            <w:gridSpan w:val="2"/>
            <w:tcBorders>
              <w:top w:val="nil"/>
              <w:left w:val="nil"/>
              <w:bottom w:val="nil"/>
              <w:right w:val="single" w:sz="4" w:space="0" w:color="A6A6A6"/>
            </w:tcBorders>
            <w:shd w:val="clear" w:color="000000" w:fill="FCD5B4"/>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 z hodnotených biotopov</w:t>
            </w:r>
          </w:p>
        </w:tc>
        <w:tc>
          <w:tcPr>
            <w:tcW w:w="641" w:type="dxa"/>
            <w:gridSpan w:val="2"/>
            <w:tcBorders>
              <w:top w:val="nil"/>
              <w:left w:val="nil"/>
              <w:bottom w:val="nil"/>
              <w:right w:val="single" w:sz="4" w:space="0" w:color="A6A6A6"/>
            </w:tcBorders>
            <w:shd w:val="clear" w:color="000000" w:fill="FCD5B4"/>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2001-2006</w:t>
            </w:r>
          </w:p>
        </w:tc>
        <w:tc>
          <w:tcPr>
            <w:tcW w:w="951" w:type="dxa"/>
            <w:tcBorders>
              <w:top w:val="nil"/>
              <w:left w:val="nil"/>
              <w:bottom w:val="nil"/>
              <w:right w:val="single" w:sz="8" w:space="0" w:color="E26B0A"/>
            </w:tcBorders>
            <w:shd w:val="clear" w:color="000000" w:fill="FCD5B4"/>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w:t>
            </w:r>
          </w:p>
        </w:tc>
      </w:tr>
      <w:tr w:rsidR="00A71A12" w:rsidRPr="00BB33FC" w:rsidTr="00A71A12">
        <w:trPr>
          <w:trHeight w:val="735"/>
        </w:trPr>
        <w:tc>
          <w:tcPr>
            <w:tcW w:w="387"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363" w:type="dxa"/>
            <w:vMerge/>
            <w:tcBorders>
              <w:top w:val="nil"/>
              <w:left w:val="single" w:sz="8" w:space="0" w:color="E26B0A"/>
              <w:bottom w:val="single" w:sz="8" w:space="0" w:color="E26B0A"/>
              <w:right w:val="nil"/>
            </w:tcBorders>
            <w:vAlign w:val="center"/>
            <w:hideMark/>
          </w:tcPr>
          <w:p w:rsidR="00A71A12" w:rsidRPr="00BB33FC" w:rsidRDefault="00A71A12" w:rsidP="00A71A12">
            <w:pPr>
              <w:rPr>
                <w:rFonts w:ascii="Arial" w:hAnsi="Arial" w:cs="Arial"/>
                <w:b/>
                <w:bCs/>
                <w:color w:val="000000"/>
                <w:sz w:val="20"/>
                <w:szCs w:val="20"/>
              </w:rPr>
            </w:pPr>
          </w:p>
        </w:tc>
        <w:tc>
          <w:tcPr>
            <w:tcW w:w="4662" w:type="dxa"/>
            <w:gridSpan w:val="4"/>
            <w:tcBorders>
              <w:top w:val="nil"/>
              <w:left w:val="nil"/>
              <w:bottom w:val="nil"/>
              <w:right w:val="nil"/>
            </w:tcBorders>
            <w:shd w:val="clear" w:color="000000" w:fill="FDE9D9"/>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nepriaznivé - zlé</w:t>
            </w:r>
          </w:p>
        </w:tc>
        <w:tc>
          <w:tcPr>
            <w:tcW w:w="1086" w:type="dxa"/>
            <w:gridSpan w:val="2"/>
            <w:tcBorders>
              <w:top w:val="nil"/>
              <w:left w:val="nil"/>
              <w:bottom w:val="nil"/>
              <w:right w:val="single" w:sz="4" w:space="0" w:color="A6A6A6"/>
            </w:tcBorders>
            <w:shd w:val="clear" w:color="000000" w:fill="FDE9D9"/>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 </w:t>
            </w:r>
          </w:p>
        </w:tc>
        <w:tc>
          <w:tcPr>
            <w:tcW w:w="863" w:type="dxa"/>
            <w:gridSpan w:val="2"/>
            <w:tcBorders>
              <w:top w:val="nil"/>
              <w:left w:val="nil"/>
              <w:bottom w:val="nil"/>
              <w:right w:val="single" w:sz="4" w:space="0" w:color="A6A6A6"/>
            </w:tcBorders>
            <w:shd w:val="clear" w:color="000000" w:fill="FDE9D9"/>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8,7</w:t>
            </w:r>
          </w:p>
        </w:tc>
        <w:tc>
          <w:tcPr>
            <w:tcW w:w="1674" w:type="dxa"/>
            <w:gridSpan w:val="2"/>
            <w:tcBorders>
              <w:top w:val="nil"/>
              <w:left w:val="nil"/>
              <w:bottom w:val="nil"/>
              <w:right w:val="single" w:sz="4" w:space="0" w:color="A6A6A6"/>
            </w:tcBorders>
            <w:shd w:val="clear" w:color="000000" w:fill="FDE9D9"/>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 z hodnotených biotopov</w:t>
            </w:r>
          </w:p>
        </w:tc>
        <w:tc>
          <w:tcPr>
            <w:tcW w:w="641" w:type="dxa"/>
            <w:gridSpan w:val="2"/>
            <w:tcBorders>
              <w:top w:val="nil"/>
              <w:left w:val="nil"/>
              <w:bottom w:val="nil"/>
              <w:right w:val="single" w:sz="4" w:space="0" w:color="A6A6A6"/>
            </w:tcBorders>
            <w:shd w:val="clear" w:color="000000" w:fill="FDE9D9"/>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2001-2006</w:t>
            </w:r>
          </w:p>
        </w:tc>
        <w:tc>
          <w:tcPr>
            <w:tcW w:w="951" w:type="dxa"/>
            <w:tcBorders>
              <w:top w:val="nil"/>
              <w:left w:val="nil"/>
              <w:bottom w:val="nil"/>
              <w:right w:val="single" w:sz="8" w:space="0" w:color="E26B0A"/>
            </w:tcBorders>
            <w:shd w:val="clear" w:color="000000" w:fill="FDE9D9"/>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w:t>
            </w:r>
          </w:p>
        </w:tc>
      </w:tr>
      <w:tr w:rsidR="00A71A12" w:rsidRPr="00BB33FC" w:rsidTr="00A71A12">
        <w:trPr>
          <w:trHeight w:val="750"/>
        </w:trPr>
        <w:tc>
          <w:tcPr>
            <w:tcW w:w="387"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363" w:type="dxa"/>
            <w:vMerge/>
            <w:tcBorders>
              <w:top w:val="nil"/>
              <w:left w:val="single" w:sz="8" w:space="0" w:color="E26B0A"/>
              <w:bottom w:val="single" w:sz="8" w:space="0" w:color="E26B0A"/>
              <w:right w:val="nil"/>
            </w:tcBorders>
            <w:vAlign w:val="center"/>
            <w:hideMark/>
          </w:tcPr>
          <w:p w:rsidR="00A71A12" w:rsidRPr="00BB33FC" w:rsidRDefault="00A71A12" w:rsidP="00A71A12">
            <w:pPr>
              <w:rPr>
                <w:rFonts w:ascii="Arial" w:hAnsi="Arial" w:cs="Arial"/>
                <w:b/>
                <w:bCs/>
                <w:color w:val="000000"/>
                <w:sz w:val="20"/>
                <w:szCs w:val="20"/>
              </w:rPr>
            </w:pPr>
          </w:p>
        </w:tc>
        <w:tc>
          <w:tcPr>
            <w:tcW w:w="4662" w:type="dxa"/>
            <w:gridSpan w:val="4"/>
            <w:tcBorders>
              <w:top w:val="nil"/>
              <w:left w:val="nil"/>
              <w:bottom w:val="single" w:sz="8" w:space="0" w:color="E26B0A"/>
              <w:right w:val="nil"/>
            </w:tcBorders>
            <w:shd w:val="clear" w:color="000000" w:fill="FCD5B4"/>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neznáme</w:t>
            </w:r>
          </w:p>
        </w:tc>
        <w:tc>
          <w:tcPr>
            <w:tcW w:w="1086" w:type="dxa"/>
            <w:gridSpan w:val="2"/>
            <w:tcBorders>
              <w:top w:val="nil"/>
              <w:left w:val="nil"/>
              <w:bottom w:val="single" w:sz="8" w:space="0" w:color="E26B0A"/>
              <w:right w:val="single" w:sz="4" w:space="0" w:color="A6A6A6"/>
            </w:tcBorders>
            <w:shd w:val="clear" w:color="000000" w:fill="FCD5B4"/>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 </w:t>
            </w:r>
          </w:p>
        </w:tc>
        <w:tc>
          <w:tcPr>
            <w:tcW w:w="863" w:type="dxa"/>
            <w:gridSpan w:val="2"/>
            <w:tcBorders>
              <w:top w:val="nil"/>
              <w:left w:val="nil"/>
              <w:bottom w:val="single" w:sz="8" w:space="0" w:color="E26B0A"/>
              <w:right w:val="single" w:sz="4" w:space="0" w:color="A6A6A6"/>
            </w:tcBorders>
            <w:shd w:val="clear" w:color="000000" w:fill="FCD5B4"/>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8,7</w:t>
            </w:r>
          </w:p>
        </w:tc>
        <w:tc>
          <w:tcPr>
            <w:tcW w:w="1674" w:type="dxa"/>
            <w:gridSpan w:val="2"/>
            <w:tcBorders>
              <w:top w:val="nil"/>
              <w:left w:val="nil"/>
              <w:bottom w:val="single" w:sz="8" w:space="0" w:color="E26B0A"/>
              <w:right w:val="single" w:sz="4" w:space="0" w:color="A6A6A6"/>
            </w:tcBorders>
            <w:shd w:val="clear" w:color="000000" w:fill="FCD5B4"/>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 z hodnotených biotopov</w:t>
            </w:r>
          </w:p>
        </w:tc>
        <w:tc>
          <w:tcPr>
            <w:tcW w:w="641" w:type="dxa"/>
            <w:gridSpan w:val="2"/>
            <w:tcBorders>
              <w:top w:val="nil"/>
              <w:left w:val="nil"/>
              <w:bottom w:val="single" w:sz="8" w:space="0" w:color="E26B0A"/>
              <w:right w:val="single" w:sz="4" w:space="0" w:color="A6A6A6"/>
            </w:tcBorders>
            <w:shd w:val="clear" w:color="000000" w:fill="FCD5B4"/>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2001-2006</w:t>
            </w:r>
          </w:p>
        </w:tc>
        <w:tc>
          <w:tcPr>
            <w:tcW w:w="951" w:type="dxa"/>
            <w:tcBorders>
              <w:top w:val="nil"/>
              <w:left w:val="nil"/>
              <w:bottom w:val="single" w:sz="8" w:space="0" w:color="E26B0A"/>
              <w:right w:val="single" w:sz="8" w:space="0" w:color="E26B0A"/>
            </w:tcBorders>
            <w:shd w:val="clear" w:color="000000" w:fill="FCD5B4"/>
            <w:noWrap/>
            <w:vAlign w:val="bottom"/>
            <w:hideMark/>
          </w:tcPr>
          <w:p w:rsidR="00A71A12" w:rsidRPr="00BB33FC" w:rsidRDefault="00A71A12" w:rsidP="00A71A12">
            <w:pPr>
              <w:jc w:val="right"/>
              <w:rPr>
                <w:rFonts w:ascii="Arial" w:hAnsi="Arial" w:cs="Arial"/>
                <w:sz w:val="18"/>
                <w:szCs w:val="18"/>
              </w:rPr>
            </w:pPr>
          </w:p>
        </w:tc>
      </w:tr>
      <w:tr w:rsidR="00A71A12" w:rsidRPr="00BB33FC" w:rsidTr="00A71A12">
        <w:trPr>
          <w:trHeight w:val="300"/>
        </w:trPr>
        <w:tc>
          <w:tcPr>
            <w:tcW w:w="387"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363" w:type="dxa"/>
            <w:vMerge w:val="restart"/>
            <w:tcBorders>
              <w:top w:val="nil"/>
              <w:left w:val="single" w:sz="8" w:space="0" w:color="E26B0A"/>
              <w:bottom w:val="single" w:sz="8" w:space="0" w:color="E26B0A"/>
              <w:right w:val="nil"/>
            </w:tcBorders>
            <w:shd w:val="clear" w:color="auto" w:fill="auto"/>
            <w:noWrap/>
            <w:hideMark/>
          </w:tcPr>
          <w:p w:rsidR="00A71A12" w:rsidRPr="00BB33FC" w:rsidRDefault="00A71A12" w:rsidP="00A71A12">
            <w:pPr>
              <w:rPr>
                <w:rFonts w:ascii="Arial" w:hAnsi="Arial" w:cs="Arial"/>
                <w:b/>
                <w:bCs/>
                <w:color w:val="000000"/>
                <w:sz w:val="20"/>
                <w:szCs w:val="20"/>
              </w:rPr>
            </w:pPr>
            <w:r w:rsidRPr="00BB33FC">
              <w:rPr>
                <w:rFonts w:ascii="Arial" w:hAnsi="Arial" w:cs="Arial"/>
                <w:b/>
                <w:bCs/>
                <w:color w:val="000000"/>
                <w:sz w:val="20"/>
                <w:szCs w:val="20"/>
              </w:rPr>
              <w:t>37</w:t>
            </w:r>
          </w:p>
        </w:tc>
        <w:tc>
          <w:tcPr>
            <w:tcW w:w="9877" w:type="dxa"/>
            <w:gridSpan w:val="13"/>
            <w:tcBorders>
              <w:top w:val="single" w:sz="8" w:space="0" w:color="E26B0A"/>
              <w:left w:val="nil"/>
              <w:bottom w:val="nil"/>
              <w:right w:val="single" w:sz="8" w:space="0" w:color="E26B0A"/>
            </w:tcBorders>
            <w:shd w:val="clear" w:color="auto" w:fill="auto"/>
            <w:noWrap/>
            <w:hideMark/>
          </w:tcPr>
          <w:p w:rsidR="00A71A12" w:rsidRPr="00BB33FC" w:rsidRDefault="00A71A12" w:rsidP="00A71A12">
            <w:pPr>
              <w:rPr>
                <w:rFonts w:ascii="Arial" w:hAnsi="Arial" w:cs="Arial"/>
                <w:b/>
                <w:bCs/>
                <w:i/>
                <w:iCs/>
                <w:sz w:val="20"/>
                <w:szCs w:val="20"/>
              </w:rPr>
            </w:pPr>
            <w:r w:rsidRPr="00BB33FC">
              <w:rPr>
                <w:rFonts w:ascii="Arial" w:hAnsi="Arial" w:cs="Arial"/>
                <w:b/>
                <w:bCs/>
                <w:i/>
                <w:iCs/>
                <w:sz w:val="20"/>
                <w:szCs w:val="20"/>
              </w:rPr>
              <w:t>HNV Farming/ Poľnohospodárske oblasti s vysokou prírodnou hodnotou</w:t>
            </w:r>
          </w:p>
        </w:tc>
      </w:tr>
      <w:tr w:rsidR="00A71A12" w:rsidRPr="00BB33FC" w:rsidTr="00A71A12">
        <w:trPr>
          <w:trHeight w:val="510"/>
        </w:trPr>
        <w:tc>
          <w:tcPr>
            <w:tcW w:w="387"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363" w:type="dxa"/>
            <w:vMerge/>
            <w:tcBorders>
              <w:top w:val="nil"/>
              <w:left w:val="single" w:sz="8" w:space="0" w:color="E26B0A"/>
              <w:bottom w:val="single" w:sz="8" w:space="0" w:color="E26B0A"/>
              <w:right w:val="nil"/>
            </w:tcBorders>
            <w:vAlign w:val="center"/>
            <w:hideMark/>
          </w:tcPr>
          <w:p w:rsidR="00A71A12" w:rsidRPr="00BB33FC" w:rsidRDefault="00A71A12" w:rsidP="00A71A12">
            <w:pPr>
              <w:rPr>
                <w:rFonts w:ascii="Arial" w:hAnsi="Arial" w:cs="Arial"/>
                <w:b/>
                <w:bCs/>
                <w:color w:val="000000"/>
                <w:sz w:val="20"/>
                <w:szCs w:val="20"/>
              </w:rPr>
            </w:pPr>
          </w:p>
        </w:tc>
        <w:tc>
          <w:tcPr>
            <w:tcW w:w="4662" w:type="dxa"/>
            <w:gridSpan w:val="4"/>
            <w:tcBorders>
              <w:top w:val="single" w:sz="4" w:space="0" w:color="A6A6A6"/>
              <w:left w:val="nil"/>
              <w:bottom w:val="single" w:sz="8" w:space="0" w:color="E26B0A"/>
              <w:right w:val="nil"/>
            </w:tcBorders>
            <w:shd w:val="clear" w:color="000000" w:fill="FDE9D9"/>
            <w:noWrap/>
            <w:hideMark/>
          </w:tcPr>
          <w:p w:rsidR="00A71A12" w:rsidRPr="00BB33FC" w:rsidRDefault="00A71A12" w:rsidP="00A71A12">
            <w:pPr>
              <w:rPr>
                <w:rFonts w:ascii="Arial" w:hAnsi="Arial" w:cs="Arial"/>
                <w:sz w:val="18"/>
                <w:szCs w:val="18"/>
              </w:rPr>
            </w:pPr>
            <w:r w:rsidRPr="00BB33FC">
              <w:rPr>
                <w:rFonts w:ascii="Arial" w:hAnsi="Arial" w:cs="Arial"/>
                <w:sz w:val="18"/>
                <w:szCs w:val="18"/>
              </w:rPr>
              <w:t>total/ celkom</w:t>
            </w:r>
          </w:p>
        </w:tc>
        <w:tc>
          <w:tcPr>
            <w:tcW w:w="1086" w:type="dxa"/>
            <w:gridSpan w:val="2"/>
            <w:tcBorders>
              <w:top w:val="single" w:sz="4" w:space="0" w:color="A6A6A6"/>
              <w:left w:val="nil"/>
              <w:bottom w:val="single" w:sz="8" w:space="0" w:color="E26B0A"/>
              <w:right w:val="single" w:sz="4" w:space="0" w:color="A6A6A6"/>
            </w:tcBorders>
            <w:shd w:val="clear" w:color="000000" w:fill="FDE9D9"/>
            <w:noWrap/>
            <w:hideMark/>
          </w:tcPr>
          <w:p w:rsidR="00A71A12" w:rsidRPr="00BB33FC" w:rsidRDefault="00A71A12" w:rsidP="00A71A12">
            <w:pPr>
              <w:rPr>
                <w:rFonts w:ascii="Arial" w:hAnsi="Arial" w:cs="Arial"/>
                <w:b/>
                <w:bCs/>
                <w:sz w:val="20"/>
                <w:szCs w:val="20"/>
              </w:rPr>
            </w:pPr>
            <w:r w:rsidRPr="00BB33FC">
              <w:rPr>
                <w:rFonts w:ascii="Arial" w:hAnsi="Arial" w:cs="Arial"/>
                <w:b/>
                <w:bCs/>
                <w:sz w:val="20"/>
                <w:szCs w:val="20"/>
              </w:rPr>
              <w:t> </w:t>
            </w:r>
          </w:p>
        </w:tc>
        <w:tc>
          <w:tcPr>
            <w:tcW w:w="863" w:type="dxa"/>
            <w:gridSpan w:val="2"/>
            <w:tcBorders>
              <w:top w:val="single" w:sz="4" w:space="0" w:color="A6A6A6"/>
              <w:left w:val="nil"/>
              <w:bottom w:val="single" w:sz="8" w:space="0" w:color="E26B0A"/>
              <w:right w:val="single" w:sz="4" w:space="0" w:color="A6A6A6"/>
            </w:tcBorders>
            <w:shd w:val="clear" w:color="000000" w:fill="FDE9D9"/>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n.a.</w:t>
            </w:r>
          </w:p>
        </w:tc>
        <w:tc>
          <w:tcPr>
            <w:tcW w:w="1674" w:type="dxa"/>
            <w:gridSpan w:val="2"/>
            <w:tcBorders>
              <w:top w:val="single" w:sz="4" w:space="0" w:color="A6A6A6"/>
              <w:left w:val="nil"/>
              <w:bottom w:val="single" w:sz="8" w:space="0" w:color="E26B0A"/>
              <w:right w:val="single" w:sz="4" w:space="0" w:color="A6A6A6"/>
            </w:tcBorders>
            <w:shd w:val="clear" w:color="000000" w:fill="FDE9D9"/>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 z celkovej UAA</w:t>
            </w:r>
          </w:p>
        </w:tc>
        <w:tc>
          <w:tcPr>
            <w:tcW w:w="641" w:type="dxa"/>
            <w:gridSpan w:val="2"/>
            <w:tcBorders>
              <w:top w:val="single" w:sz="4" w:space="0" w:color="A6A6A6"/>
              <w:left w:val="nil"/>
              <w:bottom w:val="single" w:sz="8" w:space="0" w:color="E26B0A"/>
              <w:right w:val="single" w:sz="4" w:space="0" w:color="A6A6A6"/>
            </w:tcBorders>
            <w:shd w:val="clear" w:color="000000" w:fill="FDE9D9"/>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0</w:t>
            </w:r>
          </w:p>
        </w:tc>
        <w:tc>
          <w:tcPr>
            <w:tcW w:w="951" w:type="dxa"/>
            <w:tcBorders>
              <w:top w:val="single" w:sz="4" w:space="0" w:color="A6A6A6"/>
              <w:left w:val="nil"/>
              <w:bottom w:val="single" w:sz="8" w:space="0" w:color="E26B0A"/>
              <w:right w:val="single" w:sz="8" w:space="0" w:color="E26B0A"/>
            </w:tcBorders>
            <w:shd w:val="clear" w:color="000000" w:fill="FDE9D9"/>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w:t>
            </w:r>
          </w:p>
        </w:tc>
      </w:tr>
      <w:tr w:rsidR="00A71A12" w:rsidRPr="00BB33FC" w:rsidTr="00A71A12">
        <w:trPr>
          <w:trHeight w:val="300"/>
        </w:trPr>
        <w:tc>
          <w:tcPr>
            <w:tcW w:w="387"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363" w:type="dxa"/>
            <w:vMerge w:val="restart"/>
            <w:tcBorders>
              <w:top w:val="nil"/>
              <w:left w:val="single" w:sz="8" w:space="0" w:color="E26B0A"/>
              <w:bottom w:val="nil"/>
              <w:right w:val="nil"/>
            </w:tcBorders>
            <w:shd w:val="clear" w:color="auto" w:fill="auto"/>
            <w:noWrap/>
            <w:hideMark/>
          </w:tcPr>
          <w:p w:rsidR="00A71A12" w:rsidRPr="00BB33FC" w:rsidRDefault="00A71A12" w:rsidP="00A71A12">
            <w:pPr>
              <w:rPr>
                <w:rFonts w:ascii="Arial" w:hAnsi="Arial" w:cs="Arial"/>
                <w:b/>
                <w:bCs/>
                <w:color w:val="000000"/>
                <w:sz w:val="20"/>
                <w:szCs w:val="20"/>
              </w:rPr>
            </w:pPr>
            <w:r w:rsidRPr="00BB33FC">
              <w:rPr>
                <w:rFonts w:ascii="Arial" w:hAnsi="Arial" w:cs="Arial"/>
                <w:b/>
                <w:bCs/>
                <w:color w:val="000000"/>
                <w:sz w:val="20"/>
                <w:szCs w:val="20"/>
              </w:rPr>
              <w:t>38</w:t>
            </w:r>
          </w:p>
        </w:tc>
        <w:tc>
          <w:tcPr>
            <w:tcW w:w="9877" w:type="dxa"/>
            <w:gridSpan w:val="13"/>
            <w:tcBorders>
              <w:top w:val="single" w:sz="8" w:space="0" w:color="E26B0A"/>
              <w:left w:val="nil"/>
              <w:bottom w:val="nil"/>
              <w:right w:val="single" w:sz="8" w:space="0" w:color="E26B0A"/>
            </w:tcBorders>
            <w:shd w:val="clear" w:color="auto" w:fill="auto"/>
            <w:noWrap/>
            <w:vAlign w:val="bottom"/>
            <w:hideMark/>
          </w:tcPr>
          <w:p w:rsidR="00A71A12" w:rsidRPr="00BB33FC" w:rsidRDefault="00A71A12" w:rsidP="00A71A12">
            <w:pPr>
              <w:rPr>
                <w:rFonts w:ascii="Arial" w:hAnsi="Arial" w:cs="Arial"/>
                <w:b/>
                <w:bCs/>
                <w:i/>
                <w:iCs/>
                <w:sz w:val="20"/>
                <w:szCs w:val="20"/>
              </w:rPr>
            </w:pPr>
            <w:r w:rsidRPr="00BB33FC">
              <w:rPr>
                <w:rFonts w:ascii="Arial" w:hAnsi="Arial" w:cs="Arial"/>
                <w:b/>
                <w:bCs/>
                <w:i/>
                <w:iCs/>
                <w:sz w:val="20"/>
                <w:szCs w:val="20"/>
              </w:rPr>
              <w:t>Chránené lesy</w:t>
            </w:r>
          </w:p>
        </w:tc>
      </w:tr>
      <w:tr w:rsidR="00A71A12" w:rsidRPr="00BB33FC" w:rsidTr="00A71A12">
        <w:trPr>
          <w:trHeight w:val="495"/>
        </w:trPr>
        <w:tc>
          <w:tcPr>
            <w:tcW w:w="387"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363" w:type="dxa"/>
            <w:vMerge/>
            <w:tcBorders>
              <w:top w:val="nil"/>
              <w:left w:val="single" w:sz="8" w:space="0" w:color="E26B0A"/>
              <w:bottom w:val="nil"/>
              <w:right w:val="nil"/>
            </w:tcBorders>
            <w:vAlign w:val="center"/>
            <w:hideMark/>
          </w:tcPr>
          <w:p w:rsidR="00A71A12" w:rsidRPr="00BB33FC" w:rsidRDefault="00A71A12" w:rsidP="00A71A12">
            <w:pPr>
              <w:rPr>
                <w:rFonts w:ascii="Arial" w:hAnsi="Arial" w:cs="Arial"/>
                <w:b/>
                <w:bCs/>
                <w:color w:val="000000"/>
                <w:sz w:val="20"/>
                <w:szCs w:val="20"/>
              </w:rPr>
            </w:pPr>
          </w:p>
        </w:tc>
        <w:tc>
          <w:tcPr>
            <w:tcW w:w="4662" w:type="dxa"/>
            <w:gridSpan w:val="4"/>
            <w:tcBorders>
              <w:top w:val="single" w:sz="4" w:space="0" w:color="A6A6A6"/>
              <w:left w:val="nil"/>
              <w:bottom w:val="nil"/>
              <w:right w:val="nil"/>
            </w:tcBorders>
            <w:shd w:val="clear" w:color="000000" w:fill="FDE9D9"/>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 </w:t>
            </w:r>
          </w:p>
        </w:tc>
        <w:tc>
          <w:tcPr>
            <w:tcW w:w="1086" w:type="dxa"/>
            <w:gridSpan w:val="2"/>
            <w:tcBorders>
              <w:top w:val="single" w:sz="4" w:space="0" w:color="A6A6A6"/>
              <w:left w:val="nil"/>
              <w:bottom w:val="nil"/>
              <w:right w:val="single" w:sz="4" w:space="0" w:color="A6A6A6"/>
            </w:tcBorders>
            <w:shd w:val="clear" w:color="000000" w:fill="FDE9D9"/>
            <w:noWrap/>
            <w:vAlign w:val="bottom"/>
            <w:hideMark/>
          </w:tcPr>
          <w:p w:rsidR="00A71A12" w:rsidRPr="00BB33FC" w:rsidRDefault="00A71A12" w:rsidP="00A71A12">
            <w:pPr>
              <w:rPr>
                <w:rFonts w:ascii="Arial" w:hAnsi="Arial" w:cs="Arial"/>
                <w:sz w:val="20"/>
                <w:szCs w:val="20"/>
              </w:rPr>
            </w:pPr>
            <w:r w:rsidRPr="00BB33FC">
              <w:rPr>
                <w:rFonts w:ascii="Arial" w:hAnsi="Arial" w:cs="Arial"/>
                <w:sz w:val="20"/>
                <w:szCs w:val="20"/>
              </w:rPr>
              <w:t>trieda 1.1</w:t>
            </w:r>
          </w:p>
        </w:tc>
        <w:tc>
          <w:tcPr>
            <w:tcW w:w="863" w:type="dxa"/>
            <w:gridSpan w:val="2"/>
            <w:tcBorders>
              <w:top w:val="single" w:sz="4" w:space="0" w:color="A6A6A6"/>
              <w:left w:val="nil"/>
              <w:bottom w:val="nil"/>
              <w:right w:val="single" w:sz="4" w:space="0" w:color="A6A6A6"/>
            </w:tcBorders>
            <w:shd w:val="clear" w:color="000000" w:fill="FDE9D9"/>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3,5</w:t>
            </w:r>
          </w:p>
        </w:tc>
        <w:tc>
          <w:tcPr>
            <w:tcW w:w="1674" w:type="dxa"/>
            <w:gridSpan w:val="2"/>
            <w:tcBorders>
              <w:top w:val="single" w:sz="4" w:space="0" w:color="A6A6A6"/>
              <w:left w:val="nil"/>
              <w:bottom w:val="nil"/>
              <w:right w:val="single" w:sz="4" w:space="0" w:color="A6A6A6"/>
            </w:tcBorders>
            <w:shd w:val="clear" w:color="000000" w:fill="FDE9D9"/>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 z plochy FOWL</w:t>
            </w:r>
          </w:p>
        </w:tc>
        <w:tc>
          <w:tcPr>
            <w:tcW w:w="641" w:type="dxa"/>
            <w:gridSpan w:val="2"/>
            <w:tcBorders>
              <w:top w:val="single" w:sz="4" w:space="0" w:color="A6A6A6"/>
              <w:left w:val="nil"/>
              <w:bottom w:val="nil"/>
              <w:right w:val="single" w:sz="4" w:space="0" w:color="A6A6A6"/>
            </w:tcBorders>
            <w:shd w:val="clear" w:color="000000" w:fill="FDE9D9"/>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2011</w:t>
            </w:r>
          </w:p>
        </w:tc>
        <w:tc>
          <w:tcPr>
            <w:tcW w:w="951" w:type="dxa"/>
            <w:tcBorders>
              <w:top w:val="single" w:sz="4" w:space="0" w:color="A6A6A6"/>
              <w:left w:val="nil"/>
              <w:bottom w:val="nil"/>
              <w:right w:val="single" w:sz="8" w:space="0" w:color="E26B0A"/>
            </w:tcBorders>
            <w:shd w:val="clear" w:color="000000" w:fill="FDE9D9"/>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w:t>
            </w:r>
          </w:p>
        </w:tc>
      </w:tr>
      <w:tr w:rsidR="00A71A12" w:rsidRPr="00BB33FC" w:rsidTr="00A71A12">
        <w:trPr>
          <w:trHeight w:val="495"/>
        </w:trPr>
        <w:tc>
          <w:tcPr>
            <w:tcW w:w="387"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363" w:type="dxa"/>
            <w:vMerge/>
            <w:tcBorders>
              <w:top w:val="nil"/>
              <w:left w:val="single" w:sz="8" w:space="0" w:color="E26B0A"/>
              <w:bottom w:val="nil"/>
              <w:right w:val="nil"/>
            </w:tcBorders>
            <w:vAlign w:val="center"/>
            <w:hideMark/>
          </w:tcPr>
          <w:p w:rsidR="00A71A12" w:rsidRPr="00BB33FC" w:rsidRDefault="00A71A12" w:rsidP="00A71A12">
            <w:pPr>
              <w:rPr>
                <w:rFonts w:ascii="Arial" w:hAnsi="Arial" w:cs="Arial"/>
                <w:b/>
                <w:bCs/>
                <w:color w:val="000000"/>
                <w:sz w:val="20"/>
                <w:szCs w:val="20"/>
              </w:rPr>
            </w:pPr>
          </w:p>
        </w:tc>
        <w:tc>
          <w:tcPr>
            <w:tcW w:w="4662" w:type="dxa"/>
            <w:gridSpan w:val="4"/>
            <w:tcBorders>
              <w:top w:val="nil"/>
              <w:left w:val="nil"/>
              <w:bottom w:val="nil"/>
              <w:right w:val="nil"/>
            </w:tcBorders>
            <w:shd w:val="clear" w:color="000000" w:fill="FCD5B4"/>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 </w:t>
            </w:r>
          </w:p>
        </w:tc>
        <w:tc>
          <w:tcPr>
            <w:tcW w:w="1086" w:type="dxa"/>
            <w:gridSpan w:val="2"/>
            <w:tcBorders>
              <w:top w:val="nil"/>
              <w:left w:val="nil"/>
              <w:bottom w:val="nil"/>
              <w:right w:val="single" w:sz="4" w:space="0" w:color="A6A6A6"/>
            </w:tcBorders>
            <w:shd w:val="clear" w:color="000000" w:fill="FCD5B4"/>
            <w:noWrap/>
            <w:vAlign w:val="bottom"/>
            <w:hideMark/>
          </w:tcPr>
          <w:p w:rsidR="00A71A12" w:rsidRPr="00BB33FC" w:rsidRDefault="00A71A12" w:rsidP="00A71A12">
            <w:pPr>
              <w:rPr>
                <w:rFonts w:ascii="Arial" w:hAnsi="Arial" w:cs="Arial"/>
                <w:sz w:val="20"/>
                <w:szCs w:val="20"/>
              </w:rPr>
            </w:pPr>
            <w:r w:rsidRPr="00BB33FC">
              <w:rPr>
                <w:rFonts w:ascii="Arial" w:hAnsi="Arial" w:cs="Arial"/>
                <w:sz w:val="20"/>
                <w:szCs w:val="20"/>
              </w:rPr>
              <w:t>trieda 1.2</w:t>
            </w:r>
          </w:p>
        </w:tc>
        <w:tc>
          <w:tcPr>
            <w:tcW w:w="863" w:type="dxa"/>
            <w:gridSpan w:val="2"/>
            <w:tcBorders>
              <w:top w:val="nil"/>
              <w:left w:val="nil"/>
              <w:bottom w:val="nil"/>
              <w:right w:val="single" w:sz="4" w:space="0" w:color="A6A6A6"/>
            </w:tcBorders>
            <w:shd w:val="clear" w:color="000000" w:fill="FCD5B4"/>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0,7</w:t>
            </w:r>
          </w:p>
        </w:tc>
        <w:tc>
          <w:tcPr>
            <w:tcW w:w="1674" w:type="dxa"/>
            <w:gridSpan w:val="2"/>
            <w:tcBorders>
              <w:top w:val="nil"/>
              <w:left w:val="nil"/>
              <w:bottom w:val="nil"/>
              <w:right w:val="single" w:sz="4" w:space="0" w:color="A6A6A6"/>
            </w:tcBorders>
            <w:shd w:val="clear" w:color="000000" w:fill="FCD5B4"/>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 z plochy FOWL</w:t>
            </w:r>
          </w:p>
        </w:tc>
        <w:tc>
          <w:tcPr>
            <w:tcW w:w="641" w:type="dxa"/>
            <w:gridSpan w:val="2"/>
            <w:tcBorders>
              <w:top w:val="nil"/>
              <w:left w:val="nil"/>
              <w:bottom w:val="nil"/>
              <w:right w:val="single" w:sz="4" w:space="0" w:color="A6A6A6"/>
            </w:tcBorders>
            <w:shd w:val="clear" w:color="000000" w:fill="FCD5B4"/>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2011</w:t>
            </w:r>
          </w:p>
        </w:tc>
        <w:tc>
          <w:tcPr>
            <w:tcW w:w="951" w:type="dxa"/>
            <w:tcBorders>
              <w:top w:val="nil"/>
              <w:left w:val="nil"/>
              <w:bottom w:val="nil"/>
              <w:right w:val="single" w:sz="8" w:space="0" w:color="E26B0A"/>
            </w:tcBorders>
            <w:shd w:val="clear" w:color="000000" w:fill="FCD5B4"/>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w:t>
            </w:r>
          </w:p>
        </w:tc>
      </w:tr>
      <w:tr w:rsidR="00A71A12" w:rsidRPr="00BB33FC" w:rsidTr="00A71A12">
        <w:trPr>
          <w:trHeight w:val="495"/>
        </w:trPr>
        <w:tc>
          <w:tcPr>
            <w:tcW w:w="387"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363" w:type="dxa"/>
            <w:vMerge/>
            <w:tcBorders>
              <w:top w:val="nil"/>
              <w:left w:val="single" w:sz="8" w:space="0" w:color="E26B0A"/>
              <w:bottom w:val="nil"/>
              <w:right w:val="nil"/>
            </w:tcBorders>
            <w:vAlign w:val="center"/>
            <w:hideMark/>
          </w:tcPr>
          <w:p w:rsidR="00A71A12" w:rsidRPr="00BB33FC" w:rsidRDefault="00A71A12" w:rsidP="00A71A12">
            <w:pPr>
              <w:rPr>
                <w:rFonts w:ascii="Arial" w:hAnsi="Arial" w:cs="Arial"/>
                <w:b/>
                <w:bCs/>
                <w:color w:val="000000"/>
                <w:sz w:val="20"/>
                <w:szCs w:val="20"/>
              </w:rPr>
            </w:pPr>
          </w:p>
        </w:tc>
        <w:tc>
          <w:tcPr>
            <w:tcW w:w="4662" w:type="dxa"/>
            <w:gridSpan w:val="4"/>
            <w:tcBorders>
              <w:top w:val="nil"/>
              <w:left w:val="nil"/>
              <w:bottom w:val="nil"/>
              <w:right w:val="nil"/>
            </w:tcBorders>
            <w:shd w:val="clear" w:color="000000" w:fill="FDE9D9"/>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 </w:t>
            </w:r>
          </w:p>
        </w:tc>
        <w:tc>
          <w:tcPr>
            <w:tcW w:w="1086" w:type="dxa"/>
            <w:gridSpan w:val="2"/>
            <w:tcBorders>
              <w:top w:val="nil"/>
              <w:left w:val="nil"/>
              <w:bottom w:val="nil"/>
              <w:right w:val="single" w:sz="4" w:space="0" w:color="A6A6A6"/>
            </w:tcBorders>
            <w:shd w:val="clear" w:color="000000" w:fill="FDE9D9"/>
            <w:noWrap/>
            <w:vAlign w:val="bottom"/>
            <w:hideMark/>
          </w:tcPr>
          <w:p w:rsidR="00A71A12" w:rsidRPr="00BB33FC" w:rsidRDefault="00A71A12" w:rsidP="00A71A12">
            <w:pPr>
              <w:rPr>
                <w:rFonts w:ascii="Arial" w:hAnsi="Arial" w:cs="Arial"/>
                <w:sz w:val="20"/>
                <w:szCs w:val="20"/>
              </w:rPr>
            </w:pPr>
            <w:r w:rsidRPr="00BB33FC">
              <w:rPr>
                <w:rFonts w:ascii="Arial" w:hAnsi="Arial" w:cs="Arial"/>
                <w:sz w:val="20"/>
                <w:szCs w:val="20"/>
              </w:rPr>
              <w:t>trieda 1.3</w:t>
            </w:r>
          </w:p>
        </w:tc>
        <w:tc>
          <w:tcPr>
            <w:tcW w:w="863" w:type="dxa"/>
            <w:gridSpan w:val="2"/>
            <w:tcBorders>
              <w:top w:val="nil"/>
              <w:left w:val="nil"/>
              <w:bottom w:val="nil"/>
              <w:right w:val="single" w:sz="4" w:space="0" w:color="A6A6A6"/>
            </w:tcBorders>
            <w:shd w:val="clear" w:color="000000" w:fill="FDE9D9"/>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12,5</w:t>
            </w:r>
          </w:p>
        </w:tc>
        <w:tc>
          <w:tcPr>
            <w:tcW w:w="1674" w:type="dxa"/>
            <w:gridSpan w:val="2"/>
            <w:tcBorders>
              <w:top w:val="nil"/>
              <w:left w:val="nil"/>
              <w:bottom w:val="nil"/>
              <w:right w:val="single" w:sz="4" w:space="0" w:color="A6A6A6"/>
            </w:tcBorders>
            <w:shd w:val="clear" w:color="000000" w:fill="FDE9D9"/>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 z plochy FOWL</w:t>
            </w:r>
          </w:p>
        </w:tc>
        <w:tc>
          <w:tcPr>
            <w:tcW w:w="641" w:type="dxa"/>
            <w:gridSpan w:val="2"/>
            <w:tcBorders>
              <w:top w:val="nil"/>
              <w:left w:val="nil"/>
              <w:bottom w:val="nil"/>
              <w:right w:val="single" w:sz="4" w:space="0" w:color="A6A6A6"/>
            </w:tcBorders>
            <w:shd w:val="clear" w:color="000000" w:fill="FDE9D9"/>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2011</w:t>
            </w:r>
          </w:p>
        </w:tc>
        <w:tc>
          <w:tcPr>
            <w:tcW w:w="951" w:type="dxa"/>
            <w:tcBorders>
              <w:top w:val="nil"/>
              <w:left w:val="nil"/>
              <w:bottom w:val="nil"/>
              <w:right w:val="single" w:sz="8" w:space="0" w:color="E26B0A"/>
            </w:tcBorders>
            <w:shd w:val="clear" w:color="000000" w:fill="FDE9D9"/>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w:t>
            </w:r>
          </w:p>
        </w:tc>
      </w:tr>
      <w:tr w:rsidR="00A71A12" w:rsidRPr="00BB33FC" w:rsidTr="00A71A12">
        <w:trPr>
          <w:trHeight w:val="510"/>
        </w:trPr>
        <w:tc>
          <w:tcPr>
            <w:tcW w:w="387"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363" w:type="dxa"/>
            <w:vMerge/>
            <w:tcBorders>
              <w:top w:val="nil"/>
              <w:left w:val="single" w:sz="8" w:space="0" w:color="E26B0A"/>
              <w:bottom w:val="nil"/>
              <w:right w:val="nil"/>
            </w:tcBorders>
            <w:vAlign w:val="center"/>
            <w:hideMark/>
          </w:tcPr>
          <w:p w:rsidR="00A71A12" w:rsidRPr="00BB33FC" w:rsidRDefault="00A71A12" w:rsidP="00A71A12">
            <w:pPr>
              <w:rPr>
                <w:rFonts w:ascii="Arial" w:hAnsi="Arial" w:cs="Arial"/>
                <w:b/>
                <w:bCs/>
                <w:color w:val="000000"/>
                <w:sz w:val="20"/>
                <w:szCs w:val="20"/>
              </w:rPr>
            </w:pPr>
          </w:p>
        </w:tc>
        <w:tc>
          <w:tcPr>
            <w:tcW w:w="4662" w:type="dxa"/>
            <w:gridSpan w:val="4"/>
            <w:tcBorders>
              <w:top w:val="nil"/>
              <w:left w:val="nil"/>
              <w:bottom w:val="nil"/>
              <w:right w:val="nil"/>
            </w:tcBorders>
            <w:shd w:val="clear" w:color="000000" w:fill="FCD5B4"/>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 </w:t>
            </w:r>
          </w:p>
        </w:tc>
        <w:tc>
          <w:tcPr>
            <w:tcW w:w="1086" w:type="dxa"/>
            <w:gridSpan w:val="2"/>
            <w:tcBorders>
              <w:top w:val="nil"/>
              <w:left w:val="nil"/>
              <w:bottom w:val="single" w:sz="8" w:space="0" w:color="E26B0A"/>
              <w:right w:val="single" w:sz="4" w:space="0" w:color="A6A6A6"/>
            </w:tcBorders>
            <w:shd w:val="clear" w:color="000000" w:fill="FCD5B4"/>
            <w:noWrap/>
            <w:vAlign w:val="bottom"/>
            <w:hideMark/>
          </w:tcPr>
          <w:p w:rsidR="00A71A12" w:rsidRPr="00BB33FC" w:rsidRDefault="00A71A12" w:rsidP="00A71A12">
            <w:pPr>
              <w:rPr>
                <w:rFonts w:ascii="Arial" w:hAnsi="Arial" w:cs="Arial"/>
                <w:sz w:val="20"/>
                <w:szCs w:val="20"/>
              </w:rPr>
            </w:pPr>
            <w:r w:rsidRPr="00BB33FC">
              <w:rPr>
                <w:rFonts w:ascii="Arial" w:hAnsi="Arial" w:cs="Arial"/>
                <w:sz w:val="20"/>
                <w:szCs w:val="20"/>
              </w:rPr>
              <w:t>trieda 2</w:t>
            </w:r>
          </w:p>
        </w:tc>
        <w:tc>
          <w:tcPr>
            <w:tcW w:w="863" w:type="dxa"/>
            <w:gridSpan w:val="2"/>
            <w:tcBorders>
              <w:top w:val="nil"/>
              <w:left w:val="nil"/>
              <w:bottom w:val="single" w:sz="8" w:space="0" w:color="E26B0A"/>
              <w:right w:val="single" w:sz="4" w:space="0" w:color="A6A6A6"/>
            </w:tcBorders>
            <w:shd w:val="clear" w:color="000000" w:fill="FCD5B4"/>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18,2</w:t>
            </w:r>
          </w:p>
        </w:tc>
        <w:tc>
          <w:tcPr>
            <w:tcW w:w="1674" w:type="dxa"/>
            <w:gridSpan w:val="2"/>
            <w:tcBorders>
              <w:top w:val="nil"/>
              <w:left w:val="nil"/>
              <w:bottom w:val="single" w:sz="8" w:space="0" w:color="E26B0A"/>
              <w:right w:val="single" w:sz="4" w:space="0" w:color="A6A6A6"/>
            </w:tcBorders>
            <w:shd w:val="clear" w:color="000000" w:fill="FCD5B4"/>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 z plochy FOWL</w:t>
            </w:r>
          </w:p>
        </w:tc>
        <w:tc>
          <w:tcPr>
            <w:tcW w:w="641" w:type="dxa"/>
            <w:gridSpan w:val="2"/>
            <w:tcBorders>
              <w:top w:val="nil"/>
              <w:left w:val="nil"/>
              <w:bottom w:val="single" w:sz="8" w:space="0" w:color="E26B0A"/>
              <w:right w:val="single" w:sz="4" w:space="0" w:color="A6A6A6"/>
            </w:tcBorders>
            <w:shd w:val="clear" w:color="000000" w:fill="FCD5B4"/>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2011</w:t>
            </w:r>
          </w:p>
        </w:tc>
        <w:tc>
          <w:tcPr>
            <w:tcW w:w="951" w:type="dxa"/>
            <w:tcBorders>
              <w:top w:val="nil"/>
              <w:left w:val="nil"/>
              <w:bottom w:val="nil"/>
              <w:right w:val="single" w:sz="8" w:space="0" w:color="E26B0A"/>
            </w:tcBorders>
            <w:shd w:val="clear" w:color="000000" w:fill="FCD5B4"/>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w:t>
            </w:r>
          </w:p>
        </w:tc>
      </w:tr>
      <w:tr w:rsidR="00A71A12" w:rsidRPr="00BB33FC" w:rsidTr="00A71A12">
        <w:trPr>
          <w:trHeight w:val="300"/>
        </w:trPr>
        <w:tc>
          <w:tcPr>
            <w:tcW w:w="387"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363" w:type="dxa"/>
            <w:vMerge w:val="restart"/>
            <w:tcBorders>
              <w:top w:val="single" w:sz="8" w:space="0" w:color="E26B0A"/>
              <w:left w:val="single" w:sz="8" w:space="0" w:color="E26B0A"/>
              <w:bottom w:val="single" w:sz="8" w:space="0" w:color="E26B0A"/>
              <w:right w:val="nil"/>
            </w:tcBorders>
            <w:shd w:val="clear" w:color="auto" w:fill="auto"/>
            <w:noWrap/>
            <w:hideMark/>
          </w:tcPr>
          <w:p w:rsidR="00A71A12" w:rsidRPr="00BB33FC" w:rsidRDefault="00A71A12" w:rsidP="00A71A12">
            <w:pPr>
              <w:rPr>
                <w:rFonts w:ascii="Arial" w:hAnsi="Arial" w:cs="Arial"/>
                <w:b/>
                <w:bCs/>
                <w:color w:val="000000"/>
                <w:sz w:val="20"/>
                <w:szCs w:val="20"/>
              </w:rPr>
            </w:pPr>
            <w:r w:rsidRPr="00BB33FC">
              <w:rPr>
                <w:rFonts w:ascii="Arial" w:hAnsi="Arial" w:cs="Arial"/>
                <w:b/>
                <w:bCs/>
                <w:color w:val="000000"/>
                <w:sz w:val="20"/>
                <w:szCs w:val="20"/>
              </w:rPr>
              <w:t>39</w:t>
            </w:r>
          </w:p>
        </w:tc>
        <w:tc>
          <w:tcPr>
            <w:tcW w:w="9877" w:type="dxa"/>
            <w:gridSpan w:val="13"/>
            <w:tcBorders>
              <w:top w:val="single" w:sz="8" w:space="0" w:color="E26B0A"/>
              <w:left w:val="nil"/>
              <w:bottom w:val="nil"/>
              <w:right w:val="single" w:sz="8" w:space="0" w:color="E26B0A"/>
            </w:tcBorders>
            <w:shd w:val="clear" w:color="auto" w:fill="auto"/>
            <w:noWrap/>
            <w:vAlign w:val="bottom"/>
            <w:hideMark/>
          </w:tcPr>
          <w:p w:rsidR="00A71A12" w:rsidRPr="00BB33FC" w:rsidRDefault="00A71A12" w:rsidP="00A71A12">
            <w:pPr>
              <w:rPr>
                <w:rFonts w:ascii="Arial" w:hAnsi="Arial" w:cs="Arial"/>
                <w:b/>
                <w:bCs/>
                <w:i/>
                <w:iCs/>
                <w:sz w:val="20"/>
                <w:szCs w:val="20"/>
              </w:rPr>
            </w:pPr>
            <w:r w:rsidRPr="00BB33FC">
              <w:rPr>
                <w:rFonts w:ascii="Arial" w:hAnsi="Arial" w:cs="Arial"/>
                <w:b/>
                <w:bCs/>
                <w:i/>
                <w:iCs/>
                <w:sz w:val="20"/>
                <w:szCs w:val="20"/>
              </w:rPr>
              <w:t>Odber vody v poľnohospodárstve</w:t>
            </w:r>
          </w:p>
        </w:tc>
      </w:tr>
      <w:tr w:rsidR="00A71A12" w:rsidRPr="00BB33FC" w:rsidTr="00A71A12">
        <w:trPr>
          <w:trHeight w:val="315"/>
        </w:trPr>
        <w:tc>
          <w:tcPr>
            <w:tcW w:w="387"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363" w:type="dxa"/>
            <w:vMerge/>
            <w:tcBorders>
              <w:top w:val="single" w:sz="8" w:space="0" w:color="E26B0A"/>
              <w:left w:val="single" w:sz="8" w:space="0" w:color="E26B0A"/>
              <w:bottom w:val="single" w:sz="8" w:space="0" w:color="E26B0A"/>
              <w:right w:val="nil"/>
            </w:tcBorders>
            <w:vAlign w:val="center"/>
            <w:hideMark/>
          </w:tcPr>
          <w:p w:rsidR="00A71A12" w:rsidRPr="00BB33FC" w:rsidRDefault="00A71A12" w:rsidP="00A71A12">
            <w:pPr>
              <w:rPr>
                <w:rFonts w:ascii="Arial" w:hAnsi="Arial" w:cs="Arial"/>
                <w:b/>
                <w:bCs/>
                <w:color w:val="000000"/>
                <w:sz w:val="20"/>
                <w:szCs w:val="20"/>
              </w:rPr>
            </w:pPr>
          </w:p>
        </w:tc>
        <w:tc>
          <w:tcPr>
            <w:tcW w:w="4662" w:type="dxa"/>
            <w:gridSpan w:val="4"/>
            <w:tcBorders>
              <w:top w:val="single" w:sz="4" w:space="0" w:color="A6A6A6"/>
              <w:left w:val="nil"/>
              <w:bottom w:val="single" w:sz="8" w:space="0" w:color="E26B0A"/>
              <w:right w:val="nil"/>
            </w:tcBorders>
            <w:shd w:val="clear" w:color="000000" w:fill="FDE9D9"/>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 xml:space="preserve"> celkom</w:t>
            </w:r>
          </w:p>
        </w:tc>
        <w:tc>
          <w:tcPr>
            <w:tcW w:w="1086" w:type="dxa"/>
            <w:gridSpan w:val="2"/>
            <w:tcBorders>
              <w:top w:val="single" w:sz="4" w:space="0" w:color="A6A6A6"/>
              <w:left w:val="nil"/>
              <w:bottom w:val="single" w:sz="8" w:space="0" w:color="E26B0A"/>
              <w:right w:val="single" w:sz="4" w:space="0" w:color="A6A6A6"/>
            </w:tcBorders>
            <w:shd w:val="clear" w:color="000000" w:fill="FDE9D9"/>
            <w:noWrap/>
            <w:vAlign w:val="bottom"/>
            <w:hideMark/>
          </w:tcPr>
          <w:p w:rsidR="00A71A12" w:rsidRPr="00BB33FC" w:rsidRDefault="00A71A12" w:rsidP="00A71A12">
            <w:pPr>
              <w:rPr>
                <w:rFonts w:ascii="Arial" w:hAnsi="Arial" w:cs="Arial"/>
                <w:sz w:val="20"/>
                <w:szCs w:val="20"/>
              </w:rPr>
            </w:pPr>
            <w:r w:rsidRPr="00BB33FC">
              <w:rPr>
                <w:rFonts w:ascii="Arial" w:hAnsi="Arial" w:cs="Arial"/>
                <w:sz w:val="20"/>
                <w:szCs w:val="20"/>
              </w:rPr>
              <w:t> </w:t>
            </w:r>
          </w:p>
        </w:tc>
        <w:tc>
          <w:tcPr>
            <w:tcW w:w="863" w:type="dxa"/>
            <w:gridSpan w:val="2"/>
            <w:tcBorders>
              <w:top w:val="single" w:sz="4" w:space="0" w:color="A6A6A6"/>
              <w:left w:val="nil"/>
              <w:bottom w:val="single" w:sz="8" w:space="0" w:color="E26B0A"/>
              <w:right w:val="single" w:sz="4" w:space="0" w:color="A6A6A6"/>
            </w:tcBorders>
            <w:shd w:val="clear" w:color="000000" w:fill="FDE9D9"/>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5 579,1</w:t>
            </w:r>
          </w:p>
        </w:tc>
        <w:tc>
          <w:tcPr>
            <w:tcW w:w="1674" w:type="dxa"/>
            <w:gridSpan w:val="2"/>
            <w:tcBorders>
              <w:top w:val="single" w:sz="4" w:space="0" w:color="A6A6A6"/>
              <w:left w:val="nil"/>
              <w:bottom w:val="single" w:sz="8" w:space="0" w:color="E26B0A"/>
              <w:right w:val="single" w:sz="4" w:space="0" w:color="A6A6A6"/>
            </w:tcBorders>
            <w:shd w:val="clear" w:color="000000" w:fill="FDE9D9"/>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1000 m3</w:t>
            </w:r>
          </w:p>
        </w:tc>
        <w:tc>
          <w:tcPr>
            <w:tcW w:w="641" w:type="dxa"/>
            <w:gridSpan w:val="2"/>
            <w:tcBorders>
              <w:top w:val="single" w:sz="4" w:space="0" w:color="A6A6A6"/>
              <w:left w:val="nil"/>
              <w:bottom w:val="single" w:sz="8" w:space="0" w:color="E26B0A"/>
              <w:right w:val="single" w:sz="4" w:space="0" w:color="A6A6A6"/>
            </w:tcBorders>
            <w:shd w:val="clear" w:color="000000" w:fill="FDE9D9"/>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2010</w:t>
            </w:r>
          </w:p>
        </w:tc>
        <w:tc>
          <w:tcPr>
            <w:tcW w:w="951" w:type="dxa"/>
            <w:tcBorders>
              <w:top w:val="single" w:sz="4" w:space="0" w:color="A6A6A6"/>
              <w:left w:val="nil"/>
              <w:bottom w:val="single" w:sz="8" w:space="0" w:color="E26B0A"/>
              <w:right w:val="single" w:sz="8" w:space="0" w:color="E26B0A"/>
            </w:tcBorders>
            <w:shd w:val="clear" w:color="000000" w:fill="FDE9D9"/>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w:t>
            </w:r>
          </w:p>
        </w:tc>
      </w:tr>
      <w:tr w:rsidR="00A71A12" w:rsidRPr="00BB33FC" w:rsidTr="00A71A12">
        <w:trPr>
          <w:trHeight w:val="300"/>
        </w:trPr>
        <w:tc>
          <w:tcPr>
            <w:tcW w:w="387"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363" w:type="dxa"/>
            <w:vMerge w:val="restart"/>
            <w:tcBorders>
              <w:top w:val="nil"/>
              <w:left w:val="single" w:sz="8" w:space="0" w:color="E26B0A"/>
              <w:bottom w:val="nil"/>
              <w:right w:val="nil"/>
            </w:tcBorders>
            <w:shd w:val="clear" w:color="auto" w:fill="auto"/>
            <w:noWrap/>
            <w:hideMark/>
          </w:tcPr>
          <w:p w:rsidR="00A71A12" w:rsidRPr="00BB33FC" w:rsidRDefault="00A71A12" w:rsidP="00A71A12">
            <w:pPr>
              <w:rPr>
                <w:rFonts w:ascii="Arial" w:hAnsi="Arial" w:cs="Arial"/>
                <w:b/>
                <w:bCs/>
                <w:color w:val="000000"/>
                <w:sz w:val="20"/>
                <w:szCs w:val="20"/>
              </w:rPr>
            </w:pPr>
            <w:r w:rsidRPr="00BB33FC">
              <w:rPr>
                <w:rFonts w:ascii="Arial" w:hAnsi="Arial" w:cs="Arial"/>
                <w:b/>
                <w:bCs/>
                <w:color w:val="000000"/>
                <w:sz w:val="20"/>
                <w:szCs w:val="20"/>
              </w:rPr>
              <w:t>40</w:t>
            </w:r>
          </w:p>
        </w:tc>
        <w:tc>
          <w:tcPr>
            <w:tcW w:w="4662" w:type="dxa"/>
            <w:gridSpan w:val="4"/>
            <w:tcBorders>
              <w:top w:val="nil"/>
              <w:left w:val="nil"/>
              <w:bottom w:val="nil"/>
              <w:right w:val="nil"/>
            </w:tcBorders>
            <w:shd w:val="clear" w:color="auto" w:fill="auto"/>
            <w:noWrap/>
            <w:vAlign w:val="bottom"/>
            <w:hideMark/>
          </w:tcPr>
          <w:p w:rsidR="00A71A12" w:rsidRPr="00BB33FC" w:rsidRDefault="00A71A12" w:rsidP="00A71A12">
            <w:pPr>
              <w:rPr>
                <w:rFonts w:ascii="Arial" w:hAnsi="Arial" w:cs="Arial"/>
                <w:b/>
                <w:bCs/>
                <w:i/>
                <w:iCs/>
                <w:sz w:val="20"/>
                <w:szCs w:val="20"/>
              </w:rPr>
            </w:pPr>
            <w:r w:rsidRPr="00BB33FC">
              <w:rPr>
                <w:rFonts w:ascii="Arial" w:hAnsi="Arial" w:cs="Arial"/>
                <w:b/>
                <w:bCs/>
                <w:i/>
                <w:iCs/>
                <w:sz w:val="20"/>
                <w:szCs w:val="20"/>
              </w:rPr>
              <w:t>Kvalita vody</w:t>
            </w:r>
          </w:p>
        </w:tc>
        <w:tc>
          <w:tcPr>
            <w:tcW w:w="1086" w:type="dxa"/>
            <w:gridSpan w:val="2"/>
            <w:tcBorders>
              <w:top w:val="nil"/>
              <w:left w:val="nil"/>
              <w:bottom w:val="nil"/>
              <w:right w:val="nil"/>
            </w:tcBorders>
            <w:shd w:val="clear" w:color="auto" w:fill="auto"/>
            <w:noWrap/>
            <w:vAlign w:val="bottom"/>
            <w:hideMark/>
          </w:tcPr>
          <w:p w:rsidR="00A71A12" w:rsidRPr="00BB33FC" w:rsidRDefault="00A71A12" w:rsidP="00A71A12">
            <w:pPr>
              <w:rPr>
                <w:rFonts w:ascii="Arial" w:hAnsi="Arial" w:cs="Arial"/>
                <w:b/>
                <w:bCs/>
                <w:sz w:val="20"/>
                <w:szCs w:val="20"/>
              </w:rPr>
            </w:pPr>
            <w:r w:rsidRPr="00BB33FC">
              <w:rPr>
                <w:rFonts w:ascii="Arial" w:hAnsi="Arial" w:cs="Arial"/>
                <w:b/>
                <w:bCs/>
                <w:sz w:val="20"/>
                <w:szCs w:val="20"/>
              </w:rPr>
              <w:t> </w:t>
            </w:r>
          </w:p>
        </w:tc>
        <w:tc>
          <w:tcPr>
            <w:tcW w:w="863" w:type="dxa"/>
            <w:gridSpan w:val="2"/>
            <w:tcBorders>
              <w:top w:val="nil"/>
              <w:left w:val="nil"/>
              <w:bottom w:val="nil"/>
              <w:right w:val="nil"/>
            </w:tcBorders>
            <w:shd w:val="clear" w:color="auto" w:fill="auto"/>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 </w:t>
            </w:r>
          </w:p>
        </w:tc>
        <w:tc>
          <w:tcPr>
            <w:tcW w:w="1674" w:type="dxa"/>
            <w:gridSpan w:val="2"/>
            <w:tcBorders>
              <w:top w:val="nil"/>
              <w:left w:val="nil"/>
              <w:bottom w:val="nil"/>
              <w:right w:val="nil"/>
            </w:tcBorders>
            <w:shd w:val="clear" w:color="auto" w:fill="auto"/>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 </w:t>
            </w:r>
          </w:p>
        </w:tc>
        <w:tc>
          <w:tcPr>
            <w:tcW w:w="641" w:type="dxa"/>
            <w:gridSpan w:val="2"/>
            <w:tcBorders>
              <w:top w:val="nil"/>
              <w:left w:val="nil"/>
              <w:bottom w:val="nil"/>
              <w:right w:val="nil"/>
            </w:tcBorders>
            <w:shd w:val="clear" w:color="auto" w:fill="auto"/>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 </w:t>
            </w:r>
          </w:p>
        </w:tc>
        <w:tc>
          <w:tcPr>
            <w:tcW w:w="951" w:type="dxa"/>
            <w:tcBorders>
              <w:top w:val="nil"/>
              <w:left w:val="nil"/>
              <w:bottom w:val="nil"/>
              <w:right w:val="single" w:sz="8" w:space="0" w:color="E26B0A"/>
            </w:tcBorders>
            <w:shd w:val="clear" w:color="auto" w:fill="auto"/>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 </w:t>
            </w:r>
          </w:p>
        </w:tc>
      </w:tr>
      <w:tr w:rsidR="00A71A12" w:rsidRPr="00BB33FC" w:rsidTr="00A71A12">
        <w:trPr>
          <w:trHeight w:val="495"/>
        </w:trPr>
        <w:tc>
          <w:tcPr>
            <w:tcW w:w="387"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363" w:type="dxa"/>
            <w:vMerge/>
            <w:tcBorders>
              <w:top w:val="nil"/>
              <w:left w:val="single" w:sz="8" w:space="0" w:color="E26B0A"/>
              <w:bottom w:val="nil"/>
              <w:right w:val="nil"/>
            </w:tcBorders>
            <w:vAlign w:val="center"/>
            <w:hideMark/>
          </w:tcPr>
          <w:p w:rsidR="00A71A12" w:rsidRPr="00BB33FC" w:rsidRDefault="00A71A12" w:rsidP="00A71A12">
            <w:pPr>
              <w:rPr>
                <w:rFonts w:ascii="Arial" w:hAnsi="Arial" w:cs="Arial"/>
                <w:b/>
                <w:bCs/>
                <w:color w:val="000000"/>
                <w:sz w:val="20"/>
                <w:szCs w:val="20"/>
              </w:rPr>
            </w:pPr>
          </w:p>
        </w:tc>
        <w:tc>
          <w:tcPr>
            <w:tcW w:w="5748" w:type="dxa"/>
            <w:gridSpan w:val="6"/>
            <w:tcBorders>
              <w:top w:val="nil"/>
              <w:left w:val="nil"/>
              <w:bottom w:val="nil"/>
              <w:right w:val="nil"/>
            </w:tcBorders>
            <w:shd w:val="clear" w:color="000000" w:fill="FCD5B4"/>
            <w:noWrap/>
            <w:vAlign w:val="bottom"/>
            <w:hideMark/>
          </w:tcPr>
          <w:p w:rsidR="00A71A12" w:rsidRPr="00BB33FC" w:rsidRDefault="00A71A12" w:rsidP="00A71A12">
            <w:pPr>
              <w:rPr>
                <w:rFonts w:ascii="Arial" w:hAnsi="Arial" w:cs="Arial"/>
                <w:b/>
                <w:bCs/>
                <w:sz w:val="20"/>
                <w:szCs w:val="20"/>
              </w:rPr>
            </w:pPr>
            <w:r w:rsidRPr="00BB33FC">
              <w:rPr>
                <w:rFonts w:ascii="Arial" w:hAnsi="Arial" w:cs="Arial"/>
                <w:b/>
                <w:bCs/>
                <w:sz w:val="20"/>
                <w:szCs w:val="20"/>
              </w:rPr>
              <w:t>Potenciálny nadbytok dusíka na p.p.</w:t>
            </w:r>
          </w:p>
        </w:tc>
        <w:tc>
          <w:tcPr>
            <w:tcW w:w="863" w:type="dxa"/>
            <w:gridSpan w:val="2"/>
            <w:tcBorders>
              <w:top w:val="nil"/>
              <w:left w:val="nil"/>
              <w:bottom w:val="nil"/>
              <w:right w:val="nil"/>
            </w:tcBorders>
            <w:shd w:val="clear" w:color="000000" w:fill="FCD5B4"/>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38,5</w:t>
            </w:r>
          </w:p>
        </w:tc>
        <w:tc>
          <w:tcPr>
            <w:tcW w:w="1674" w:type="dxa"/>
            <w:gridSpan w:val="2"/>
            <w:tcBorders>
              <w:top w:val="nil"/>
              <w:left w:val="nil"/>
              <w:bottom w:val="nil"/>
              <w:right w:val="nil"/>
            </w:tcBorders>
            <w:shd w:val="clear" w:color="000000" w:fill="FCD5B4"/>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kg N/ha/rok</w:t>
            </w:r>
          </w:p>
        </w:tc>
        <w:tc>
          <w:tcPr>
            <w:tcW w:w="641" w:type="dxa"/>
            <w:gridSpan w:val="2"/>
            <w:tcBorders>
              <w:top w:val="nil"/>
              <w:left w:val="nil"/>
              <w:bottom w:val="nil"/>
              <w:right w:val="nil"/>
            </w:tcBorders>
            <w:shd w:val="clear" w:color="000000" w:fill="FCD5B4"/>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priem. 2006-2009</w:t>
            </w:r>
          </w:p>
        </w:tc>
        <w:tc>
          <w:tcPr>
            <w:tcW w:w="951" w:type="dxa"/>
            <w:tcBorders>
              <w:top w:val="nil"/>
              <w:left w:val="nil"/>
              <w:bottom w:val="nil"/>
              <w:right w:val="single" w:sz="8" w:space="0" w:color="E26B0A"/>
            </w:tcBorders>
            <w:shd w:val="clear" w:color="000000" w:fill="FCD5B4"/>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w:t>
            </w:r>
          </w:p>
        </w:tc>
      </w:tr>
      <w:tr w:rsidR="00A71A12" w:rsidRPr="00BB33FC" w:rsidTr="00A71A12">
        <w:trPr>
          <w:trHeight w:val="495"/>
        </w:trPr>
        <w:tc>
          <w:tcPr>
            <w:tcW w:w="387"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363" w:type="dxa"/>
            <w:vMerge/>
            <w:tcBorders>
              <w:top w:val="nil"/>
              <w:left w:val="single" w:sz="8" w:space="0" w:color="E26B0A"/>
              <w:bottom w:val="nil"/>
              <w:right w:val="nil"/>
            </w:tcBorders>
            <w:vAlign w:val="center"/>
            <w:hideMark/>
          </w:tcPr>
          <w:p w:rsidR="00A71A12" w:rsidRPr="00BB33FC" w:rsidRDefault="00A71A12" w:rsidP="00A71A12">
            <w:pPr>
              <w:rPr>
                <w:rFonts w:ascii="Arial" w:hAnsi="Arial" w:cs="Arial"/>
                <w:b/>
                <w:bCs/>
                <w:color w:val="000000"/>
                <w:sz w:val="20"/>
                <w:szCs w:val="20"/>
              </w:rPr>
            </w:pPr>
          </w:p>
        </w:tc>
        <w:tc>
          <w:tcPr>
            <w:tcW w:w="5748" w:type="dxa"/>
            <w:gridSpan w:val="6"/>
            <w:tcBorders>
              <w:top w:val="nil"/>
              <w:left w:val="nil"/>
              <w:bottom w:val="nil"/>
              <w:right w:val="nil"/>
            </w:tcBorders>
            <w:shd w:val="clear" w:color="000000" w:fill="FDE9D9"/>
            <w:noWrap/>
            <w:vAlign w:val="bottom"/>
            <w:hideMark/>
          </w:tcPr>
          <w:p w:rsidR="00A71A12" w:rsidRPr="00BB33FC" w:rsidRDefault="00A71A12" w:rsidP="00A71A12">
            <w:pPr>
              <w:rPr>
                <w:rFonts w:ascii="Arial" w:hAnsi="Arial" w:cs="Arial"/>
                <w:b/>
                <w:bCs/>
                <w:sz w:val="20"/>
                <w:szCs w:val="20"/>
              </w:rPr>
            </w:pPr>
            <w:r w:rsidRPr="00BB33FC">
              <w:rPr>
                <w:rFonts w:ascii="Arial" w:hAnsi="Arial" w:cs="Arial"/>
                <w:b/>
                <w:bCs/>
                <w:sz w:val="20"/>
                <w:szCs w:val="20"/>
              </w:rPr>
              <w:t>Potenciálny nadbytok fosforu na p.p.</w:t>
            </w:r>
          </w:p>
        </w:tc>
        <w:tc>
          <w:tcPr>
            <w:tcW w:w="863" w:type="dxa"/>
            <w:gridSpan w:val="2"/>
            <w:tcBorders>
              <w:top w:val="nil"/>
              <w:left w:val="nil"/>
              <w:bottom w:val="nil"/>
              <w:right w:val="nil"/>
            </w:tcBorders>
            <w:shd w:val="clear" w:color="000000" w:fill="FDE9D9"/>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-1,3</w:t>
            </w:r>
          </w:p>
        </w:tc>
        <w:tc>
          <w:tcPr>
            <w:tcW w:w="1674" w:type="dxa"/>
            <w:gridSpan w:val="2"/>
            <w:tcBorders>
              <w:top w:val="nil"/>
              <w:left w:val="nil"/>
              <w:bottom w:val="nil"/>
              <w:right w:val="nil"/>
            </w:tcBorders>
            <w:shd w:val="clear" w:color="000000" w:fill="FDE9D9"/>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kg P/ha/rok</w:t>
            </w:r>
          </w:p>
        </w:tc>
        <w:tc>
          <w:tcPr>
            <w:tcW w:w="641" w:type="dxa"/>
            <w:gridSpan w:val="2"/>
            <w:tcBorders>
              <w:top w:val="nil"/>
              <w:left w:val="nil"/>
              <w:bottom w:val="nil"/>
              <w:right w:val="nil"/>
            </w:tcBorders>
            <w:shd w:val="clear" w:color="000000" w:fill="FDE9D9"/>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priem. 2006-2009</w:t>
            </w:r>
          </w:p>
        </w:tc>
        <w:tc>
          <w:tcPr>
            <w:tcW w:w="951" w:type="dxa"/>
            <w:tcBorders>
              <w:top w:val="nil"/>
              <w:left w:val="nil"/>
              <w:bottom w:val="nil"/>
              <w:right w:val="single" w:sz="8" w:space="0" w:color="E26B0A"/>
            </w:tcBorders>
            <w:shd w:val="clear" w:color="000000" w:fill="FDE9D9"/>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w:t>
            </w:r>
          </w:p>
        </w:tc>
      </w:tr>
      <w:tr w:rsidR="00A71A12" w:rsidRPr="00BB33FC" w:rsidTr="00A71A12">
        <w:trPr>
          <w:trHeight w:val="300"/>
        </w:trPr>
        <w:tc>
          <w:tcPr>
            <w:tcW w:w="387"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363" w:type="dxa"/>
            <w:vMerge/>
            <w:tcBorders>
              <w:top w:val="nil"/>
              <w:left w:val="single" w:sz="8" w:space="0" w:color="E26B0A"/>
              <w:bottom w:val="nil"/>
              <w:right w:val="nil"/>
            </w:tcBorders>
            <w:vAlign w:val="center"/>
            <w:hideMark/>
          </w:tcPr>
          <w:p w:rsidR="00A71A12" w:rsidRPr="00BB33FC" w:rsidRDefault="00A71A12" w:rsidP="00A71A12">
            <w:pPr>
              <w:rPr>
                <w:rFonts w:ascii="Arial" w:hAnsi="Arial" w:cs="Arial"/>
                <w:b/>
                <w:bCs/>
                <w:color w:val="000000"/>
                <w:sz w:val="20"/>
                <w:szCs w:val="20"/>
              </w:rPr>
            </w:pPr>
          </w:p>
        </w:tc>
        <w:tc>
          <w:tcPr>
            <w:tcW w:w="6611" w:type="dxa"/>
            <w:gridSpan w:val="8"/>
            <w:tcBorders>
              <w:top w:val="nil"/>
              <w:left w:val="nil"/>
              <w:bottom w:val="nil"/>
              <w:right w:val="nil"/>
            </w:tcBorders>
            <w:shd w:val="clear" w:color="auto" w:fill="auto"/>
            <w:noWrap/>
            <w:vAlign w:val="bottom"/>
            <w:hideMark/>
          </w:tcPr>
          <w:p w:rsidR="00A71A12" w:rsidRPr="00BB33FC" w:rsidRDefault="00A71A12" w:rsidP="00A71A12">
            <w:pPr>
              <w:rPr>
                <w:rFonts w:ascii="Arial" w:hAnsi="Arial" w:cs="Arial"/>
                <w:b/>
                <w:bCs/>
                <w:sz w:val="20"/>
                <w:szCs w:val="20"/>
              </w:rPr>
            </w:pPr>
            <w:r w:rsidRPr="00BB33FC">
              <w:rPr>
                <w:rFonts w:ascii="Arial" w:hAnsi="Arial" w:cs="Arial"/>
                <w:b/>
                <w:bCs/>
                <w:sz w:val="20"/>
                <w:szCs w:val="20"/>
              </w:rPr>
              <w:t>Dusičnany v sladkej vode - povrchová voda:</w:t>
            </w:r>
          </w:p>
        </w:tc>
        <w:tc>
          <w:tcPr>
            <w:tcW w:w="1674" w:type="dxa"/>
            <w:gridSpan w:val="2"/>
            <w:tcBorders>
              <w:top w:val="nil"/>
              <w:left w:val="nil"/>
              <w:bottom w:val="nil"/>
              <w:right w:val="nil"/>
            </w:tcBorders>
            <w:shd w:val="clear" w:color="auto" w:fill="auto"/>
            <w:vAlign w:val="bottom"/>
            <w:hideMark/>
          </w:tcPr>
          <w:p w:rsidR="00A71A12" w:rsidRPr="00BB33FC" w:rsidRDefault="00A71A12" w:rsidP="00A71A12">
            <w:pPr>
              <w:rPr>
                <w:rFonts w:ascii="Arial" w:hAnsi="Arial" w:cs="Arial"/>
                <w:sz w:val="18"/>
                <w:szCs w:val="18"/>
              </w:rPr>
            </w:pPr>
          </w:p>
        </w:tc>
        <w:tc>
          <w:tcPr>
            <w:tcW w:w="641" w:type="dxa"/>
            <w:gridSpan w:val="2"/>
            <w:tcBorders>
              <w:top w:val="nil"/>
              <w:left w:val="nil"/>
              <w:bottom w:val="nil"/>
              <w:right w:val="nil"/>
            </w:tcBorders>
            <w:shd w:val="clear" w:color="auto" w:fill="auto"/>
            <w:noWrap/>
            <w:vAlign w:val="bottom"/>
            <w:hideMark/>
          </w:tcPr>
          <w:p w:rsidR="00A71A12" w:rsidRPr="00BB33FC" w:rsidRDefault="00A71A12" w:rsidP="00A71A12">
            <w:pPr>
              <w:jc w:val="right"/>
              <w:rPr>
                <w:rFonts w:ascii="Arial" w:hAnsi="Arial" w:cs="Arial"/>
                <w:sz w:val="18"/>
                <w:szCs w:val="18"/>
              </w:rPr>
            </w:pPr>
          </w:p>
        </w:tc>
        <w:tc>
          <w:tcPr>
            <w:tcW w:w="951" w:type="dxa"/>
            <w:tcBorders>
              <w:top w:val="nil"/>
              <w:left w:val="nil"/>
              <w:bottom w:val="nil"/>
              <w:right w:val="single" w:sz="8" w:space="0" w:color="E26B0A"/>
            </w:tcBorders>
            <w:shd w:val="clear" w:color="auto" w:fill="auto"/>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 </w:t>
            </w:r>
          </w:p>
        </w:tc>
      </w:tr>
      <w:tr w:rsidR="00A71A12" w:rsidRPr="00BB33FC" w:rsidTr="00A71A12">
        <w:trPr>
          <w:trHeight w:val="465"/>
        </w:trPr>
        <w:tc>
          <w:tcPr>
            <w:tcW w:w="387"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363" w:type="dxa"/>
            <w:vMerge/>
            <w:tcBorders>
              <w:top w:val="nil"/>
              <w:left w:val="single" w:sz="8" w:space="0" w:color="E26B0A"/>
              <w:bottom w:val="nil"/>
              <w:right w:val="nil"/>
            </w:tcBorders>
            <w:vAlign w:val="center"/>
            <w:hideMark/>
          </w:tcPr>
          <w:p w:rsidR="00A71A12" w:rsidRPr="00BB33FC" w:rsidRDefault="00A71A12" w:rsidP="00A71A12">
            <w:pPr>
              <w:rPr>
                <w:rFonts w:ascii="Arial" w:hAnsi="Arial" w:cs="Arial"/>
                <w:b/>
                <w:bCs/>
                <w:color w:val="000000"/>
                <w:sz w:val="20"/>
                <w:szCs w:val="20"/>
              </w:rPr>
            </w:pPr>
          </w:p>
        </w:tc>
        <w:tc>
          <w:tcPr>
            <w:tcW w:w="4662" w:type="dxa"/>
            <w:gridSpan w:val="4"/>
            <w:tcBorders>
              <w:top w:val="nil"/>
              <w:left w:val="nil"/>
              <w:bottom w:val="nil"/>
              <w:right w:val="nil"/>
            </w:tcBorders>
            <w:shd w:val="clear" w:color="000000" w:fill="FDE9D9"/>
            <w:noWrap/>
            <w:vAlign w:val="bottom"/>
            <w:hideMark/>
          </w:tcPr>
          <w:p w:rsidR="00A71A12" w:rsidRPr="00BB33FC" w:rsidRDefault="00A71A12" w:rsidP="00A71A12">
            <w:pPr>
              <w:rPr>
                <w:rFonts w:ascii="Arial" w:hAnsi="Arial" w:cs="Arial"/>
                <w:b/>
                <w:bCs/>
                <w:sz w:val="20"/>
                <w:szCs w:val="20"/>
              </w:rPr>
            </w:pPr>
            <w:r w:rsidRPr="00BB33FC">
              <w:rPr>
                <w:rFonts w:ascii="Arial" w:hAnsi="Arial" w:cs="Arial"/>
                <w:b/>
                <w:bCs/>
                <w:sz w:val="20"/>
                <w:szCs w:val="20"/>
              </w:rPr>
              <w:t>Vysoká kvalita</w:t>
            </w:r>
          </w:p>
        </w:tc>
        <w:tc>
          <w:tcPr>
            <w:tcW w:w="1086" w:type="dxa"/>
            <w:gridSpan w:val="2"/>
            <w:tcBorders>
              <w:top w:val="nil"/>
              <w:left w:val="nil"/>
              <w:bottom w:val="nil"/>
              <w:right w:val="nil"/>
            </w:tcBorders>
            <w:shd w:val="clear" w:color="000000" w:fill="FDE9D9"/>
            <w:noWrap/>
            <w:vAlign w:val="bottom"/>
            <w:hideMark/>
          </w:tcPr>
          <w:p w:rsidR="00A71A12" w:rsidRPr="00BB33FC" w:rsidRDefault="00A71A12" w:rsidP="00A71A12">
            <w:pPr>
              <w:rPr>
                <w:rFonts w:ascii="Arial" w:hAnsi="Arial" w:cs="Arial"/>
                <w:b/>
                <w:bCs/>
                <w:sz w:val="20"/>
                <w:szCs w:val="20"/>
              </w:rPr>
            </w:pPr>
            <w:r w:rsidRPr="00BB33FC">
              <w:rPr>
                <w:rFonts w:ascii="Arial" w:hAnsi="Arial" w:cs="Arial"/>
                <w:b/>
                <w:bCs/>
                <w:sz w:val="20"/>
                <w:szCs w:val="20"/>
              </w:rPr>
              <w:t> </w:t>
            </w:r>
          </w:p>
        </w:tc>
        <w:tc>
          <w:tcPr>
            <w:tcW w:w="863" w:type="dxa"/>
            <w:gridSpan w:val="2"/>
            <w:tcBorders>
              <w:top w:val="nil"/>
              <w:left w:val="nil"/>
              <w:bottom w:val="nil"/>
              <w:right w:val="nil"/>
            </w:tcBorders>
            <w:shd w:val="clear" w:color="000000" w:fill="FDE9D9"/>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43,3</w:t>
            </w:r>
          </w:p>
        </w:tc>
        <w:tc>
          <w:tcPr>
            <w:tcW w:w="1674" w:type="dxa"/>
            <w:gridSpan w:val="2"/>
            <w:tcBorders>
              <w:top w:val="nil"/>
              <w:left w:val="nil"/>
              <w:bottom w:val="nil"/>
              <w:right w:val="nil"/>
            </w:tcBorders>
            <w:shd w:val="clear" w:color="000000" w:fill="FDE9D9"/>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 monitorovacích miest</w:t>
            </w:r>
          </w:p>
        </w:tc>
        <w:tc>
          <w:tcPr>
            <w:tcW w:w="641" w:type="dxa"/>
            <w:gridSpan w:val="2"/>
            <w:tcBorders>
              <w:top w:val="nil"/>
              <w:left w:val="nil"/>
              <w:bottom w:val="nil"/>
              <w:right w:val="nil"/>
            </w:tcBorders>
            <w:shd w:val="clear" w:color="000000" w:fill="FDE9D9"/>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2010</w:t>
            </w:r>
          </w:p>
        </w:tc>
        <w:tc>
          <w:tcPr>
            <w:tcW w:w="951" w:type="dxa"/>
            <w:tcBorders>
              <w:top w:val="nil"/>
              <w:left w:val="nil"/>
              <w:bottom w:val="nil"/>
              <w:right w:val="single" w:sz="8" w:space="0" w:color="E26B0A"/>
            </w:tcBorders>
            <w:shd w:val="clear" w:color="000000" w:fill="FDE9D9"/>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w:t>
            </w:r>
          </w:p>
        </w:tc>
      </w:tr>
      <w:tr w:rsidR="00A71A12" w:rsidRPr="00BB33FC" w:rsidTr="00A71A12">
        <w:trPr>
          <w:trHeight w:val="765"/>
        </w:trPr>
        <w:tc>
          <w:tcPr>
            <w:tcW w:w="387"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363" w:type="dxa"/>
            <w:vMerge/>
            <w:tcBorders>
              <w:top w:val="nil"/>
              <w:left w:val="single" w:sz="8" w:space="0" w:color="E26B0A"/>
              <w:bottom w:val="nil"/>
              <w:right w:val="nil"/>
            </w:tcBorders>
            <w:vAlign w:val="center"/>
            <w:hideMark/>
          </w:tcPr>
          <w:p w:rsidR="00A71A12" w:rsidRPr="00BB33FC" w:rsidRDefault="00A71A12" w:rsidP="00A71A12">
            <w:pPr>
              <w:rPr>
                <w:rFonts w:ascii="Arial" w:hAnsi="Arial" w:cs="Arial"/>
                <w:b/>
                <w:bCs/>
                <w:color w:val="000000"/>
                <w:sz w:val="20"/>
                <w:szCs w:val="20"/>
              </w:rPr>
            </w:pPr>
          </w:p>
        </w:tc>
        <w:tc>
          <w:tcPr>
            <w:tcW w:w="4662" w:type="dxa"/>
            <w:gridSpan w:val="4"/>
            <w:tcBorders>
              <w:top w:val="nil"/>
              <w:left w:val="nil"/>
              <w:bottom w:val="nil"/>
              <w:right w:val="nil"/>
            </w:tcBorders>
            <w:shd w:val="clear" w:color="000000" w:fill="FDE9D9"/>
            <w:noWrap/>
            <w:vAlign w:val="bottom"/>
            <w:hideMark/>
          </w:tcPr>
          <w:p w:rsidR="00A71A12" w:rsidRPr="00BB33FC" w:rsidRDefault="00A71A12" w:rsidP="00A71A12">
            <w:pPr>
              <w:rPr>
                <w:rFonts w:ascii="Arial" w:hAnsi="Arial" w:cs="Arial"/>
                <w:b/>
                <w:bCs/>
                <w:sz w:val="20"/>
                <w:szCs w:val="20"/>
              </w:rPr>
            </w:pPr>
            <w:r w:rsidRPr="00BB33FC">
              <w:rPr>
                <w:rFonts w:ascii="Arial" w:hAnsi="Arial" w:cs="Arial"/>
                <w:b/>
                <w:bCs/>
                <w:sz w:val="20"/>
                <w:szCs w:val="20"/>
              </w:rPr>
              <w:t>Stredná kvalita</w:t>
            </w:r>
          </w:p>
        </w:tc>
        <w:tc>
          <w:tcPr>
            <w:tcW w:w="1086" w:type="dxa"/>
            <w:gridSpan w:val="2"/>
            <w:tcBorders>
              <w:top w:val="nil"/>
              <w:left w:val="nil"/>
              <w:bottom w:val="nil"/>
              <w:right w:val="nil"/>
            </w:tcBorders>
            <w:shd w:val="clear" w:color="000000" w:fill="FDE9D9"/>
            <w:noWrap/>
            <w:vAlign w:val="bottom"/>
            <w:hideMark/>
          </w:tcPr>
          <w:p w:rsidR="00A71A12" w:rsidRPr="00BB33FC" w:rsidRDefault="00A71A12" w:rsidP="00A71A12">
            <w:pPr>
              <w:rPr>
                <w:rFonts w:ascii="Arial" w:hAnsi="Arial" w:cs="Arial"/>
                <w:b/>
                <w:bCs/>
                <w:sz w:val="20"/>
                <w:szCs w:val="20"/>
              </w:rPr>
            </w:pPr>
            <w:r w:rsidRPr="00BB33FC">
              <w:rPr>
                <w:rFonts w:ascii="Arial" w:hAnsi="Arial" w:cs="Arial"/>
                <w:b/>
                <w:bCs/>
                <w:sz w:val="20"/>
                <w:szCs w:val="20"/>
              </w:rPr>
              <w:t> </w:t>
            </w:r>
          </w:p>
        </w:tc>
        <w:tc>
          <w:tcPr>
            <w:tcW w:w="863" w:type="dxa"/>
            <w:gridSpan w:val="2"/>
            <w:tcBorders>
              <w:top w:val="nil"/>
              <w:left w:val="nil"/>
              <w:bottom w:val="nil"/>
              <w:right w:val="nil"/>
            </w:tcBorders>
            <w:shd w:val="clear" w:color="000000" w:fill="FDE9D9"/>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56,7</w:t>
            </w:r>
          </w:p>
        </w:tc>
        <w:tc>
          <w:tcPr>
            <w:tcW w:w="1674" w:type="dxa"/>
            <w:gridSpan w:val="2"/>
            <w:tcBorders>
              <w:top w:val="nil"/>
              <w:left w:val="nil"/>
              <w:bottom w:val="nil"/>
              <w:right w:val="nil"/>
            </w:tcBorders>
            <w:shd w:val="clear" w:color="000000" w:fill="FDE9D9"/>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 monitorovacích miest</w:t>
            </w:r>
          </w:p>
        </w:tc>
        <w:tc>
          <w:tcPr>
            <w:tcW w:w="641" w:type="dxa"/>
            <w:gridSpan w:val="2"/>
            <w:tcBorders>
              <w:top w:val="nil"/>
              <w:left w:val="nil"/>
              <w:bottom w:val="nil"/>
              <w:right w:val="nil"/>
            </w:tcBorders>
            <w:shd w:val="clear" w:color="000000" w:fill="FDE9D9"/>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2010</w:t>
            </w:r>
          </w:p>
        </w:tc>
        <w:tc>
          <w:tcPr>
            <w:tcW w:w="951" w:type="dxa"/>
            <w:tcBorders>
              <w:top w:val="nil"/>
              <w:left w:val="nil"/>
              <w:bottom w:val="nil"/>
              <w:right w:val="single" w:sz="8" w:space="0" w:color="E26B0A"/>
            </w:tcBorders>
            <w:shd w:val="clear" w:color="000000" w:fill="FDE9D9"/>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w:t>
            </w:r>
          </w:p>
        </w:tc>
      </w:tr>
      <w:tr w:rsidR="00A71A12" w:rsidRPr="00BB33FC" w:rsidTr="00A71A12">
        <w:trPr>
          <w:trHeight w:val="765"/>
        </w:trPr>
        <w:tc>
          <w:tcPr>
            <w:tcW w:w="387"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363" w:type="dxa"/>
            <w:vMerge/>
            <w:tcBorders>
              <w:top w:val="nil"/>
              <w:left w:val="single" w:sz="8" w:space="0" w:color="E26B0A"/>
              <w:bottom w:val="nil"/>
              <w:right w:val="nil"/>
            </w:tcBorders>
            <w:vAlign w:val="center"/>
            <w:hideMark/>
          </w:tcPr>
          <w:p w:rsidR="00A71A12" w:rsidRPr="00BB33FC" w:rsidRDefault="00A71A12" w:rsidP="00A71A12">
            <w:pPr>
              <w:rPr>
                <w:rFonts w:ascii="Arial" w:hAnsi="Arial" w:cs="Arial"/>
                <w:b/>
                <w:bCs/>
                <w:color w:val="000000"/>
                <w:sz w:val="20"/>
                <w:szCs w:val="20"/>
              </w:rPr>
            </w:pPr>
          </w:p>
        </w:tc>
        <w:tc>
          <w:tcPr>
            <w:tcW w:w="4662" w:type="dxa"/>
            <w:gridSpan w:val="4"/>
            <w:tcBorders>
              <w:top w:val="nil"/>
              <w:left w:val="nil"/>
              <w:bottom w:val="nil"/>
              <w:right w:val="nil"/>
            </w:tcBorders>
            <w:shd w:val="clear" w:color="000000" w:fill="FDE9D9"/>
            <w:noWrap/>
            <w:vAlign w:val="bottom"/>
            <w:hideMark/>
          </w:tcPr>
          <w:p w:rsidR="00A71A12" w:rsidRPr="00BB33FC" w:rsidRDefault="00A71A12" w:rsidP="00A71A12">
            <w:pPr>
              <w:rPr>
                <w:rFonts w:ascii="Arial" w:hAnsi="Arial" w:cs="Arial"/>
                <w:b/>
                <w:bCs/>
                <w:sz w:val="20"/>
                <w:szCs w:val="20"/>
              </w:rPr>
            </w:pPr>
            <w:r w:rsidRPr="00BB33FC">
              <w:rPr>
                <w:rFonts w:ascii="Arial" w:hAnsi="Arial" w:cs="Arial"/>
                <w:b/>
                <w:bCs/>
                <w:sz w:val="20"/>
                <w:szCs w:val="20"/>
              </w:rPr>
              <w:t>Nízka kvalita</w:t>
            </w:r>
          </w:p>
        </w:tc>
        <w:tc>
          <w:tcPr>
            <w:tcW w:w="1086" w:type="dxa"/>
            <w:gridSpan w:val="2"/>
            <w:tcBorders>
              <w:top w:val="nil"/>
              <w:left w:val="nil"/>
              <w:bottom w:val="nil"/>
              <w:right w:val="nil"/>
            </w:tcBorders>
            <w:shd w:val="clear" w:color="000000" w:fill="FDE9D9"/>
            <w:noWrap/>
            <w:vAlign w:val="bottom"/>
            <w:hideMark/>
          </w:tcPr>
          <w:p w:rsidR="00A71A12" w:rsidRPr="00BB33FC" w:rsidRDefault="00A71A12" w:rsidP="00A71A12">
            <w:pPr>
              <w:rPr>
                <w:rFonts w:ascii="Arial" w:hAnsi="Arial" w:cs="Arial"/>
                <w:b/>
                <w:bCs/>
                <w:sz w:val="20"/>
                <w:szCs w:val="20"/>
              </w:rPr>
            </w:pPr>
            <w:r w:rsidRPr="00BB33FC">
              <w:rPr>
                <w:rFonts w:ascii="Arial" w:hAnsi="Arial" w:cs="Arial"/>
                <w:b/>
                <w:bCs/>
                <w:sz w:val="20"/>
                <w:szCs w:val="20"/>
              </w:rPr>
              <w:t> </w:t>
            </w:r>
          </w:p>
        </w:tc>
        <w:tc>
          <w:tcPr>
            <w:tcW w:w="863" w:type="dxa"/>
            <w:gridSpan w:val="2"/>
            <w:tcBorders>
              <w:top w:val="nil"/>
              <w:left w:val="nil"/>
              <w:bottom w:val="nil"/>
              <w:right w:val="nil"/>
            </w:tcBorders>
            <w:shd w:val="clear" w:color="000000" w:fill="FDE9D9"/>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0,0</w:t>
            </w:r>
          </w:p>
        </w:tc>
        <w:tc>
          <w:tcPr>
            <w:tcW w:w="1674" w:type="dxa"/>
            <w:gridSpan w:val="2"/>
            <w:tcBorders>
              <w:top w:val="nil"/>
              <w:left w:val="nil"/>
              <w:bottom w:val="nil"/>
              <w:right w:val="nil"/>
            </w:tcBorders>
            <w:shd w:val="clear" w:color="000000" w:fill="FDE9D9"/>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 monitorovacích miest</w:t>
            </w:r>
          </w:p>
        </w:tc>
        <w:tc>
          <w:tcPr>
            <w:tcW w:w="641" w:type="dxa"/>
            <w:gridSpan w:val="2"/>
            <w:tcBorders>
              <w:top w:val="nil"/>
              <w:left w:val="nil"/>
              <w:bottom w:val="nil"/>
              <w:right w:val="nil"/>
            </w:tcBorders>
            <w:shd w:val="clear" w:color="000000" w:fill="FDE9D9"/>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2010</w:t>
            </w:r>
          </w:p>
        </w:tc>
        <w:tc>
          <w:tcPr>
            <w:tcW w:w="951" w:type="dxa"/>
            <w:tcBorders>
              <w:top w:val="nil"/>
              <w:left w:val="nil"/>
              <w:bottom w:val="nil"/>
              <w:right w:val="single" w:sz="8" w:space="0" w:color="E26B0A"/>
            </w:tcBorders>
            <w:shd w:val="clear" w:color="000000" w:fill="FDE9D9"/>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w:t>
            </w:r>
          </w:p>
        </w:tc>
      </w:tr>
      <w:tr w:rsidR="00A71A12" w:rsidRPr="00BB33FC" w:rsidTr="00A71A12">
        <w:trPr>
          <w:trHeight w:val="300"/>
        </w:trPr>
        <w:tc>
          <w:tcPr>
            <w:tcW w:w="387"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363" w:type="dxa"/>
            <w:vMerge/>
            <w:tcBorders>
              <w:top w:val="nil"/>
              <w:left w:val="single" w:sz="8" w:space="0" w:color="E26B0A"/>
              <w:bottom w:val="nil"/>
              <w:right w:val="nil"/>
            </w:tcBorders>
            <w:vAlign w:val="center"/>
            <w:hideMark/>
          </w:tcPr>
          <w:p w:rsidR="00A71A12" w:rsidRPr="00BB33FC" w:rsidRDefault="00A71A12" w:rsidP="00A71A12">
            <w:pPr>
              <w:rPr>
                <w:rFonts w:ascii="Arial" w:hAnsi="Arial" w:cs="Arial"/>
                <w:b/>
                <w:bCs/>
                <w:color w:val="000000"/>
                <w:sz w:val="20"/>
                <w:szCs w:val="20"/>
              </w:rPr>
            </w:pPr>
          </w:p>
        </w:tc>
        <w:tc>
          <w:tcPr>
            <w:tcW w:w="6611" w:type="dxa"/>
            <w:gridSpan w:val="8"/>
            <w:tcBorders>
              <w:top w:val="nil"/>
              <w:left w:val="nil"/>
              <w:bottom w:val="nil"/>
              <w:right w:val="nil"/>
            </w:tcBorders>
            <w:shd w:val="clear" w:color="auto" w:fill="auto"/>
            <w:noWrap/>
            <w:vAlign w:val="bottom"/>
            <w:hideMark/>
          </w:tcPr>
          <w:p w:rsidR="00A71A12" w:rsidRPr="00BB33FC" w:rsidRDefault="00A71A12" w:rsidP="00A71A12">
            <w:pPr>
              <w:rPr>
                <w:rFonts w:ascii="Arial" w:hAnsi="Arial" w:cs="Arial"/>
                <w:b/>
                <w:bCs/>
                <w:sz w:val="20"/>
                <w:szCs w:val="20"/>
              </w:rPr>
            </w:pPr>
            <w:r w:rsidRPr="00BB33FC">
              <w:rPr>
                <w:rFonts w:ascii="Arial" w:hAnsi="Arial" w:cs="Arial"/>
                <w:b/>
                <w:bCs/>
                <w:sz w:val="20"/>
                <w:szCs w:val="20"/>
              </w:rPr>
              <w:t>Dusičnany v sladkej vode - podzemná voda:</w:t>
            </w:r>
          </w:p>
        </w:tc>
        <w:tc>
          <w:tcPr>
            <w:tcW w:w="1674" w:type="dxa"/>
            <w:gridSpan w:val="2"/>
            <w:tcBorders>
              <w:top w:val="nil"/>
              <w:left w:val="nil"/>
              <w:bottom w:val="nil"/>
              <w:right w:val="nil"/>
            </w:tcBorders>
            <w:shd w:val="clear" w:color="auto" w:fill="auto"/>
            <w:vAlign w:val="bottom"/>
            <w:hideMark/>
          </w:tcPr>
          <w:p w:rsidR="00A71A12" w:rsidRPr="00BB33FC" w:rsidRDefault="00A71A12" w:rsidP="00A71A12">
            <w:pPr>
              <w:rPr>
                <w:rFonts w:ascii="Arial" w:hAnsi="Arial" w:cs="Arial"/>
                <w:sz w:val="18"/>
                <w:szCs w:val="18"/>
              </w:rPr>
            </w:pPr>
          </w:p>
        </w:tc>
        <w:tc>
          <w:tcPr>
            <w:tcW w:w="641" w:type="dxa"/>
            <w:gridSpan w:val="2"/>
            <w:tcBorders>
              <w:top w:val="nil"/>
              <w:left w:val="nil"/>
              <w:bottom w:val="nil"/>
              <w:right w:val="nil"/>
            </w:tcBorders>
            <w:shd w:val="clear" w:color="auto" w:fill="auto"/>
            <w:noWrap/>
            <w:vAlign w:val="bottom"/>
            <w:hideMark/>
          </w:tcPr>
          <w:p w:rsidR="00A71A12" w:rsidRPr="00BB33FC" w:rsidRDefault="00A71A12" w:rsidP="00A71A12">
            <w:pPr>
              <w:jc w:val="right"/>
              <w:rPr>
                <w:rFonts w:ascii="Arial" w:hAnsi="Arial" w:cs="Arial"/>
                <w:sz w:val="18"/>
                <w:szCs w:val="18"/>
              </w:rPr>
            </w:pPr>
          </w:p>
        </w:tc>
        <w:tc>
          <w:tcPr>
            <w:tcW w:w="951" w:type="dxa"/>
            <w:tcBorders>
              <w:top w:val="nil"/>
              <w:left w:val="nil"/>
              <w:bottom w:val="nil"/>
              <w:right w:val="single" w:sz="8" w:space="0" w:color="E26B0A"/>
            </w:tcBorders>
            <w:shd w:val="clear" w:color="auto" w:fill="auto"/>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 </w:t>
            </w:r>
          </w:p>
        </w:tc>
      </w:tr>
      <w:tr w:rsidR="00A71A12" w:rsidRPr="00BB33FC" w:rsidTr="00A71A12">
        <w:trPr>
          <w:trHeight w:val="795"/>
        </w:trPr>
        <w:tc>
          <w:tcPr>
            <w:tcW w:w="387"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363" w:type="dxa"/>
            <w:vMerge/>
            <w:tcBorders>
              <w:top w:val="nil"/>
              <w:left w:val="single" w:sz="8" w:space="0" w:color="E26B0A"/>
              <w:bottom w:val="nil"/>
              <w:right w:val="nil"/>
            </w:tcBorders>
            <w:vAlign w:val="center"/>
            <w:hideMark/>
          </w:tcPr>
          <w:p w:rsidR="00A71A12" w:rsidRPr="00BB33FC" w:rsidRDefault="00A71A12" w:rsidP="00A71A12">
            <w:pPr>
              <w:rPr>
                <w:rFonts w:ascii="Arial" w:hAnsi="Arial" w:cs="Arial"/>
                <w:b/>
                <w:bCs/>
                <w:color w:val="000000"/>
                <w:sz w:val="20"/>
                <w:szCs w:val="20"/>
              </w:rPr>
            </w:pPr>
          </w:p>
        </w:tc>
        <w:tc>
          <w:tcPr>
            <w:tcW w:w="4662" w:type="dxa"/>
            <w:gridSpan w:val="4"/>
            <w:tcBorders>
              <w:top w:val="nil"/>
              <w:left w:val="nil"/>
              <w:bottom w:val="nil"/>
              <w:right w:val="nil"/>
            </w:tcBorders>
            <w:shd w:val="clear" w:color="000000" w:fill="FCD5B4"/>
            <w:noWrap/>
            <w:vAlign w:val="bottom"/>
            <w:hideMark/>
          </w:tcPr>
          <w:p w:rsidR="00A71A12" w:rsidRPr="00BB33FC" w:rsidRDefault="00A71A12" w:rsidP="00A71A12">
            <w:pPr>
              <w:rPr>
                <w:rFonts w:ascii="Arial" w:hAnsi="Arial" w:cs="Arial"/>
                <w:b/>
                <w:bCs/>
                <w:sz w:val="20"/>
                <w:szCs w:val="20"/>
              </w:rPr>
            </w:pPr>
            <w:r w:rsidRPr="00BB33FC">
              <w:rPr>
                <w:rFonts w:ascii="Arial" w:hAnsi="Arial" w:cs="Arial"/>
                <w:b/>
                <w:bCs/>
                <w:sz w:val="20"/>
                <w:szCs w:val="20"/>
              </w:rPr>
              <w:t>Vysoká kvalita</w:t>
            </w:r>
          </w:p>
        </w:tc>
        <w:tc>
          <w:tcPr>
            <w:tcW w:w="1086" w:type="dxa"/>
            <w:gridSpan w:val="2"/>
            <w:tcBorders>
              <w:top w:val="nil"/>
              <w:left w:val="nil"/>
              <w:bottom w:val="nil"/>
              <w:right w:val="nil"/>
            </w:tcBorders>
            <w:shd w:val="clear" w:color="000000" w:fill="FCD5B4"/>
            <w:noWrap/>
            <w:vAlign w:val="bottom"/>
            <w:hideMark/>
          </w:tcPr>
          <w:p w:rsidR="00A71A12" w:rsidRPr="00BB33FC" w:rsidRDefault="00A71A12" w:rsidP="00A71A12">
            <w:pPr>
              <w:rPr>
                <w:rFonts w:ascii="Arial" w:hAnsi="Arial" w:cs="Arial"/>
                <w:b/>
                <w:bCs/>
                <w:sz w:val="20"/>
                <w:szCs w:val="20"/>
              </w:rPr>
            </w:pPr>
            <w:r w:rsidRPr="00BB33FC">
              <w:rPr>
                <w:rFonts w:ascii="Arial" w:hAnsi="Arial" w:cs="Arial"/>
                <w:b/>
                <w:bCs/>
                <w:sz w:val="20"/>
                <w:szCs w:val="20"/>
              </w:rPr>
              <w:t> </w:t>
            </w:r>
          </w:p>
        </w:tc>
        <w:tc>
          <w:tcPr>
            <w:tcW w:w="863" w:type="dxa"/>
            <w:gridSpan w:val="2"/>
            <w:tcBorders>
              <w:top w:val="nil"/>
              <w:left w:val="nil"/>
              <w:bottom w:val="nil"/>
              <w:right w:val="nil"/>
            </w:tcBorders>
            <w:shd w:val="clear" w:color="000000" w:fill="FCD5B4"/>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77,2</w:t>
            </w:r>
          </w:p>
        </w:tc>
        <w:tc>
          <w:tcPr>
            <w:tcW w:w="1674" w:type="dxa"/>
            <w:gridSpan w:val="2"/>
            <w:tcBorders>
              <w:top w:val="nil"/>
              <w:left w:val="nil"/>
              <w:bottom w:val="nil"/>
              <w:right w:val="nil"/>
            </w:tcBorders>
            <w:shd w:val="clear" w:color="000000" w:fill="FCD5B4"/>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 monitorovacích miest</w:t>
            </w:r>
          </w:p>
        </w:tc>
        <w:tc>
          <w:tcPr>
            <w:tcW w:w="641" w:type="dxa"/>
            <w:gridSpan w:val="2"/>
            <w:tcBorders>
              <w:top w:val="nil"/>
              <w:left w:val="nil"/>
              <w:bottom w:val="nil"/>
              <w:right w:val="nil"/>
            </w:tcBorders>
            <w:shd w:val="clear" w:color="000000" w:fill="FCD5B4"/>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2010</w:t>
            </w:r>
          </w:p>
        </w:tc>
        <w:tc>
          <w:tcPr>
            <w:tcW w:w="951" w:type="dxa"/>
            <w:tcBorders>
              <w:top w:val="nil"/>
              <w:left w:val="nil"/>
              <w:bottom w:val="nil"/>
              <w:right w:val="single" w:sz="8" w:space="0" w:color="E26B0A"/>
            </w:tcBorders>
            <w:shd w:val="clear" w:color="000000" w:fill="FCD5B4"/>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w:t>
            </w:r>
          </w:p>
        </w:tc>
      </w:tr>
      <w:tr w:rsidR="00A71A12" w:rsidRPr="00BB33FC" w:rsidTr="00A71A12">
        <w:trPr>
          <w:trHeight w:val="705"/>
        </w:trPr>
        <w:tc>
          <w:tcPr>
            <w:tcW w:w="387"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363" w:type="dxa"/>
            <w:vMerge/>
            <w:tcBorders>
              <w:top w:val="nil"/>
              <w:left w:val="single" w:sz="8" w:space="0" w:color="E26B0A"/>
              <w:bottom w:val="nil"/>
              <w:right w:val="nil"/>
            </w:tcBorders>
            <w:vAlign w:val="center"/>
            <w:hideMark/>
          </w:tcPr>
          <w:p w:rsidR="00A71A12" w:rsidRPr="00BB33FC" w:rsidRDefault="00A71A12" w:rsidP="00A71A12">
            <w:pPr>
              <w:rPr>
                <w:rFonts w:ascii="Arial" w:hAnsi="Arial" w:cs="Arial"/>
                <w:b/>
                <w:bCs/>
                <w:color w:val="000000"/>
                <w:sz w:val="20"/>
                <w:szCs w:val="20"/>
              </w:rPr>
            </w:pPr>
          </w:p>
        </w:tc>
        <w:tc>
          <w:tcPr>
            <w:tcW w:w="4662" w:type="dxa"/>
            <w:gridSpan w:val="4"/>
            <w:tcBorders>
              <w:top w:val="nil"/>
              <w:left w:val="nil"/>
              <w:bottom w:val="nil"/>
              <w:right w:val="nil"/>
            </w:tcBorders>
            <w:shd w:val="clear" w:color="000000" w:fill="FCD5B4"/>
            <w:noWrap/>
            <w:vAlign w:val="bottom"/>
            <w:hideMark/>
          </w:tcPr>
          <w:p w:rsidR="00A71A12" w:rsidRPr="00BB33FC" w:rsidRDefault="00A71A12" w:rsidP="00A71A12">
            <w:pPr>
              <w:rPr>
                <w:rFonts w:ascii="Arial" w:hAnsi="Arial" w:cs="Arial"/>
                <w:b/>
                <w:bCs/>
                <w:sz w:val="20"/>
                <w:szCs w:val="20"/>
              </w:rPr>
            </w:pPr>
            <w:r w:rsidRPr="00BB33FC">
              <w:rPr>
                <w:rFonts w:ascii="Arial" w:hAnsi="Arial" w:cs="Arial"/>
                <w:b/>
                <w:bCs/>
                <w:sz w:val="20"/>
                <w:szCs w:val="20"/>
              </w:rPr>
              <w:t>Stredná kvalita</w:t>
            </w:r>
          </w:p>
        </w:tc>
        <w:tc>
          <w:tcPr>
            <w:tcW w:w="1086" w:type="dxa"/>
            <w:gridSpan w:val="2"/>
            <w:tcBorders>
              <w:top w:val="nil"/>
              <w:left w:val="nil"/>
              <w:bottom w:val="nil"/>
              <w:right w:val="nil"/>
            </w:tcBorders>
            <w:shd w:val="clear" w:color="000000" w:fill="FCD5B4"/>
            <w:noWrap/>
            <w:vAlign w:val="bottom"/>
            <w:hideMark/>
          </w:tcPr>
          <w:p w:rsidR="00A71A12" w:rsidRPr="00BB33FC" w:rsidRDefault="00A71A12" w:rsidP="00A71A12">
            <w:pPr>
              <w:rPr>
                <w:rFonts w:ascii="Arial" w:hAnsi="Arial" w:cs="Arial"/>
                <w:b/>
                <w:bCs/>
                <w:sz w:val="20"/>
                <w:szCs w:val="20"/>
              </w:rPr>
            </w:pPr>
            <w:r w:rsidRPr="00BB33FC">
              <w:rPr>
                <w:rFonts w:ascii="Arial" w:hAnsi="Arial" w:cs="Arial"/>
                <w:b/>
                <w:bCs/>
                <w:sz w:val="20"/>
                <w:szCs w:val="20"/>
              </w:rPr>
              <w:t> </w:t>
            </w:r>
          </w:p>
        </w:tc>
        <w:tc>
          <w:tcPr>
            <w:tcW w:w="863" w:type="dxa"/>
            <w:gridSpan w:val="2"/>
            <w:tcBorders>
              <w:top w:val="nil"/>
              <w:left w:val="nil"/>
              <w:bottom w:val="nil"/>
              <w:right w:val="nil"/>
            </w:tcBorders>
            <w:shd w:val="clear" w:color="000000" w:fill="FCD5B4"/>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13,0</w:t>
            </w:r>
          </w:p>
        </w:tc>
        <w:tc>
          <w:tcPr>
            <w:tcW w:w="1674" w:type="dxa"/>
            <w:gridSpan w:val="2"/>
            <w:tcBorders>
              <w:top w:val="nil"/>
              <w:left w:val="nil"/>
              <w:bottom w:val="nil"/>
              <w:right w:val="nil"/>
            </w:tcBorders>
            <w:shd w:val="clear" w:color="000000" w:fill="FCD5B4"/>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 monitorovacích miest</w:t>
            </w:r>
          </w:p>
        </w:tc>
        <w:tc>
          <w:tcPr>
            <w:tcW w:w="641" w:type="dxa"/>
            <w:gridSpan w:val="2"/>
            <w:tcBorders>
              <w:top w:val="nil"/>
              <w:left w:val="nil"/>
              <w:bottom w:val="nil"/>
              <w:right w:val="nil"/>
            </w:tcBorders>
            <w:shd w:val="clear" w:color="000000" w:fill="FCD5B4"/>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2010</w:t>
            </w:r>
          </w:p>
        </w:tc>
        <w:tc>
          <w:tcPr>
            <w:tcW w:w="951" w:type="dxa"/>
            <w:tcBorders>
              <w:top w:val="nil"/>
              <w:left w:val="nil"/>
              <w:bottom w:val="nil"/>
              <w:right w:val="single" w:sz="8" w:space="0" w:color="E26B0A"/>
            </w:tcBorders>
            <w:shd w:val="clear" w:color="000000" w:fill="FCD5B4"/>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w:t>
            </w:r>
          </w:p>
        </w:tc>
      </w:tr>
      <w:tr w:rsidR="00A71A12" w:rsidRPr="00BB33FC" w:rsidTr="00A71A12">
        <w:trPr>
          <w:trHeight w:val="780"/>
        </w:trPr>
        <w:tc>
          <w:tcPr>
            <w:tcW w:w="387"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363" w:type="dxa"/>
            <w:vMerge/>
            <w:tcBorders>
              <w:top w:val="nil"/>
              <w:left w:val="single" w:sz="8" w:space="0" w:color="E26B0A"/>
              <w:bottom w:val="nil"/>
              <w:right w:val="nil"/>
            </w:tcBorders>
            <w:vAlign w:val="center"/>
            <w:hideMark/>
          </w:tcPr>
          <w:p w:rsidR="00A71A12" w:rsidRPr="00BB33FC" w:rsidRDefault="00A71A12" w:rsidP="00A71A12">
            <w:pPr>
              <w:rPr>
                <w:rFonts w:ascii="Arial" w:hAnsi="Arial" w:cs="Arial"/>
                <w:b/>
                <w:bCs/>
                <w:color w:val="000000"/>
                <w:sz w:val="20"/>
                <w:szCs w:val="20"/>
              </w:rPr>
            </w:pPr>
          </w:p>
        </w:tc>
        <w:tc>
          <w:tcPr>
            <w:tcW w:w="4662" w:type="dxa"/>
            <w:gridSpan w:val="4"/>
            <w:tcBorders>
              <w:top w:val="nil"/>
              <w:left w:val="nil"/>
              <w:bottom w:val="nil"/>
              <w:right w:val="nil"/>
            </w:tcBorders>
            <w:shd w:val="clear" w:color="000000" w:fill="FCD5B4"/>
            <w:noWrap/>
            <w:vAlign w:val="bottom"/>
            <w:hideMark/>
          </w:tcPr>
          <w:p w:rsidR="00A71A12" w:rsidRPr="00BB33FC" w:rsidRDefault="00A71A12" w:rsidP="00A71A12">
            <w:pPr>
              <w:rPr>
                <w:rFonts w:ascii="Arial" w:hAnsi="Arial" w:cs="Arial"/>
                <w:b/>
                <w:bCs/>
                <w:sz w:val="20"/>
                <w:szCs w:val="20"/>
              </w:rPr>
            </w:pPr>
            <w:r w:rsidRPr="00BB33FC">
              <w:rPr>
                <w:rFonts w:ascii="Arial" w:hAnsi="Arial" w:cs="Arial"/>
                <w:b/>
                <w:bCs/>
                <w:sz w:val="20"/>
                <w:szCs w:val="20"/>
              </w:rPr>
              <w:t>Nízka kvalita</w:t>
            </w:r>
          </w:p>
        </w:tc>
        <w:tc>
          <w:tcPr>
            <w:tcW w:w="1086" w:type="dxa"/>
            <w:gridSpan w:val="2"/>
            <w:tcBorders>
              <w:top w:val="nil"/>
              <w:left w:val="nil"/>
              <w:bottom w:val="nil"/>
              <w:right w:val="nil"/>
            </w:tcBorders>
            <w:shd w:val="clear" w:color="000000" w:fill="FCD5B4"/>
            <w:noWrap/>
            <w:vAlign w:val="bottom"/>
            <w:hideMark/>
          </w:tcPr>
          <w:p w:rsidR="00A71A12" w:rsidRPr="00BB33FC" w:rsidRDefault="00A71A12" w:rsidP="00A71A12">
            <w:pPr>
              <w:rPr>
                <w:rFonts w:ascii="Arial" w:hAnsi="Arial" w:cs="Arial"/>
                <w:b/>
                <w:bCs/>
                <w:sz w:val="20"/>
                <w:szCs w:val="20"/>
              </w:rPr>
            </w:pPr>
            <w:r w:rsidRPr="00BB33FC">
              <w:rPr>
                <w:rFonts w:ascii="Arial" w:hAnsi="Arial" w:cs="Arial"/>
                <w:b/>
                <w:bCs/>
                <w:sz w:val="20"/>
                <w:szCs w:val="20"/>
              </w:rPr>
              <w:t> </w:t>
            </w:r>
          </w:p>
        </w:tc>
        <w:tc>
          <w:tcPr>
            <w:tcW w:w="863" w:type="dxa"/>
            <w:gridSpan w:val="2"/>
            <w:tcBorders>
              <w:top w:val="nil"/>
              <w:left w:val="nil"/>
              <w:bottom w:val="nil"/>
              <w:right w:val="nil"/>
            </w:tcBorders>
            <w:shd w:val="clear" w:color="000000" w:fill="FCD5B4"/>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9,8</w:t>
            </w:r>
          </w:p>
        </w:tc>
        <w:tc>
          <w:tcPr>
            <w:tcW w:w="1674" w:type="dxa"/>
            <w:gridSpan w:val="2"/>
            <w:tcBorders>
              <w:top w:val="nil"/>
              <w:left w:val="nil"/>
              <w:bottom w:val="nil"/>
              <w:right w:val="nil"/>
            </w:tcBorders>
            <w:shd w:val="clear" w:color="000000" w:fill="FCD5B4"/>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 monitorovacích miest</w:t>
            </w:r>
          </w:p>
        </w:tc>
        <w:tc>
          <w:tcPr>
            <w:tcW w:w="641" w:type="dxa"/>
            <w:gridSpan w:val="2"/>
            <w:tcBorders>
              <w:top w:val="nil"/>
              <w:left w:val="nil"/>
              <w:bottom w:val="nil"/>
              <w:right w:val="nil"/>
            </w:tcBorders>
            <w:shd w:val="clear" w:color="000000" w:fill="FCD5B4"/>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2010</w:t>
            </w:r>
          </w:p>
        </w:tc>
        <w:tc>
          <w:tcPr>
            <w:tcW w:w="951" w:type="dxa"/>
            <w:tcBorders>
              <w:top w:val="nil"/>
              <w:left w:val="nil"/>
              <w:bottom w:val="nil"/>
              <w:right w:val="single" w:sz="8" w:space="0" w:color="E26B0A"/>
            </w:tcBorders>
            <w:shd w:val="clear" w:color="000000" w:fill="FCD5B4"/>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w:t>
            </w:r>
          </w:p>
        </w:tc>
      </w:tr>
      <w:tr w:rsidR="00A71A12" w:rsidRPr="00BB33FC" w:rsidTr="00A71A12">
        <w:trPr>
          <w:trHeight w:val="300"/>
        </w:trPr>
        <w:tc>
          <w:tcPr>
            <w:tcW w:w="387"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363" w:type="dxa"/>
            <w:vMerge w:val="restart"/>
            <w:tcBorders>
              <w:top w:val="single" w:sz="8" w:space="0" w:color="E26B0A"/>
              <w:left w:val="single" w:sz="8" w:space="0" w:color="E26B0A"/>
              <w:bottom w:val="single" w:sz="8" w:space="0" w:color="E26B0A"/>
              <w:right w:val="nil"/>
            </w:tcBorders>
            <w:shd w:val="clear" w:color="auto" w:fill="auto"/>
            <w:noWrap/>
            <w:hideMark/>
          </w:tcPr>
          <w:p w:rsidR="00A71A12" w:rsidRPr="00BB33FC" w:rsidRDefault="00A71A12" w:rsidP="00A71A12">
            <w:pPr>
              <w:rPr>
                <w:rFonts w:ascii="Arial" w:hAnsi="Arial" w:cs="Arial"/>
                <w:b/>
                <w:bCs/>
                <w:color w:val="000000"/>
                <w:sz w:val="20"/>
                <w:szCs w:val="20"/>
              </w:rPr>
            </w:pPr>
            <w:r w:rsidRPr="00BB33FC">
              <w:rPr>
                <w:rFonts w:ascii="Arial" w:hAnsi="Arial" w:cs="Arial"/>
                <w:b/>
                <w:bCs/>
                <w:color w:val="000000"/>
                <w:sz w:val="20"/>
                <w:szCs w:val="20"/>
              </w:rPr>
              <w:t>41</w:t>
            </w:r>
          </w:p>
        </w:tc>
        <w:tc>
          <w:tcPr>
            <w:tcW w:w="9877" w:type="dxa"/>
            <w:gridSpan w:val="13"/>
            <w:tcBorders>
              <w:top w:val="single" w:sz="8" w:space="0" w:color="E26B0A"/>
              <w:left w:val="nil"/>
              <w:bottom w:val="nil"/>
              <w:right w:val="single" w:sz="8" w:space="0" w:color="E26B0A"/>
            </w:tcBorders>
            <w:shd w:val="clear" w:color="auto" w:fill="auto"/>
            <w:noWrap/>
            <w:vAlign w:val="center"/>
            <w:hideMark/>
          </w:tcPr>
          <w:p w:rsidR="00A71A12" w:rsidRPr="00BB33FC" w:rsidRDefault="00A71A12" w:rsidP="00A71A12">
            <w:pPr>
              <w:rPr>
                <w:rFonts w:ascii="Arial" w:hAnsi="Arial" w:cs="Arial"/>
                <w:b/>
                <w:bCs/>
                <w:i/>
                <w:iCs/>
                <w:sz w:val="20"/>
                <w:szCs w:val="20"/>
              </w:rPr>
            </w:pPr>
            <w:r w:rsidRPr="00BB33FC">
              <w:rPr>
                <w:rFonts w:ascii="Arial" w:hAnsi="Arial" w:cs="Arial"/>
                <w:b/>
                <w:bCs/>
                <w:i/>
                <w:iCs/>
                <w:sz w:val="20"/>
                <w:szCs w:val="20"/>
              </w:rPr>
              <w:t>Pôdna organická hmota na ornej pôde</w:t>
            </w:r>
          </w:p>
        </w:tc>
      </w:tr>
      <w:tr w:rsidR="00A71A12" w:rsidRPr="00BB33FC" w:rsidTr="00A71A12">
        <w:trPr>
          <w:trHeight w:val="300"/>
        </w:trPr>
        <w:tc>
          <w:tcPr>
            <w:tcW w:w="387"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363" w:type="dxa"/>
            <w:vMerge/>
            <w:tcBorders>
              <w:top w:val="single" w:sz="8" w:space="0" w:color="E26B0A"/>
              <w:left w:val="single" w:sz="8" w:space="0" w:color="E26B0A"/>
              <w:bottom w:val="single" w:sz="8" w:space="0" w:color="E26B0A"/>
              <w:right w:val="nil"/>
            </w:tcBorders>
            <w:vAlign w:val="center"/>
            <w:hideMark/>
          </w:tcPr>
          <w:p w:rsidR="00A71A12" w:rsidRPr="00BB33FC" w:rsidRDefault="00A71A12" w:rsidP="00A71A12">
            <w:pPr>
              <w:rPr>
                <w:rFonts w:ascii="Arial" w:hAnsi="Arial" w:cs="Arial"/>
                <w:b/>
                <w:bCs/>
                <w:color w:val="000000"/>
                <w:sz w:val="20"/>
                <w:szCs w:val="20"/>
              </w:rPr>
            </w:pPr>
          </w:p>
        </w:tc>
        <w:tc>
          <w:tcPr>
            <w:tcW w:w="5748" w:type="dxa"/>
            <w:gridSpan w:val="6"/>
            <w:tcBorders>
              <w:top w:val="nil"/>
              <w:left w:val="nil"/>
              <w:bottom w:val="nil"/>
              <w:right w:val="nil"/>
            </w:tcBorders>
            <w:shd w:val="clear" w:color="000000" w:fill="FCD5B4"/>
            <w:noWrap/>
            <w:vAlign w:val="center"/>
            <w:hideMark/>
          </w:tcPr>
          <w:p w:rsidR="00A71A12" w:rsidRPr="00BB33FC" w:rsidRDefault="00A71A12" w:rsidP="00A71A12">
            <w:pPr>
              <w:rPr>
                <w:rFonts w:ascii="Arial" w:hAnsi="Arial" w:cs="Arial"/>
                <w:b/>
                <w:bCs/>
                <w:sz w:val="16"/>
                <w:szCs w:val="16"/>
              </w:rPr>
            </w:pPr>
            <w:r w:rsidRPr="00BB33FC">
              <w:rPr>
                <w:rFonts w:ascii="Arial" w:hAnsi="Arial" w:cs="Arial"/>
                <w:b/>
                <w:bCs/>
                <w:sz w:val="16"/>
                <w:szCs w:val="16"/>
              </w:rPr>
              <w:t xml:space="preserve">Celkový odhad obsahu organického uhlíka </w:t>
            </w:r>
          </w:p>
        </w:tc>
        <w:tc>
          <w:tcPr>
            <w:tcW w:w="863" w:type="dxa"/>
            <w:gridSpan w:val="2"/>
            <w:tcBorders>
              <w:top w:val="nil"/>
              <w:left w:val="nil"/>
              <w:bottom w:val="nil"/>
              <w:right w:val="nil"/>
            </w:tcBorders>
            <w:shd w:val="clear" w:color="000000" w:fill="FCD5B4"/>
            <w:noWrap/>
            <w:vAlign w:val="center"/>
            <w:hideMark/>
          </w:tcPr>
          <w:p w:rsidR="00A71A12" w:rsidRPr="00BB33FC" w:rsidRDefault="00A71A12" w:rsidP="00A71A12">
            <w:pPr>
              <w:rPr>
                <w:rFonts w:ascii="Arial" w:hAnsi="Arial" w:cs="Arial"/>
                <w:b/>
                <w:bCs/>
                <w:sz w:val="20"/>
                <w:szCs w:val="20"/>
              </w:rPr>
            </w:pPr>
            <w:r w:rsidRPr="00BB33FC">
              <w:rPr>
                <w:rFonts w:ascii="Arial" w:hAnsi="Arial" w:cs="Arial"/>
                <w:b/>
                <w:bCs/>
                <w:sz w:val="20"/>
                <w:szCs w:val="20"/>
              </w:rPr>
              <w:t>24,1745</w:t>
            </w:r>
          </w:p>
        </w:tc>
        <w:tc>
          <w:tcPr>
            <w:tcW w:w="1674" w:type="dxa"/>
            <w:gridSpan w:val="2"/>
            <w:tcBorders>
              <w:top w:val="nil"/>
              <w:left w:val="nil"/>
              <w:bottom w:val="nil"/>
              <w:right w:val="nil"/>
            </w:tcBorders>
            <w:shd w:val="clear" w:color="000000" w:fill="FCD5B4"/>
            <w:noWrap/>
            <w:vAlign w:val="center"/>
            <w:hideMark/>
          </w:tcPr>
          <w:p w:rsidR="00A71A12" w:rsidRPr="00BB33FC" w:rsidRDefault="00A71A12" w:rsidP="00A71A12">
            <w:pPr>
              <w:rPr>
                <w:rFonts w:ascii="Arial" w:hAnsi="Arial" w:cs="Arial"/>
                <w:b/>
                <w:bCs/>
                <w:sz w:val="20"/>
                <w:szCs w:val="20"/>
              </w:rPr>
            </w:pPr>
            <w:r w:rsidRPr="00BB33FC">
              <w:rPr>
                <w:rFonts w:ascii="Arial" w:hAnsi="Arial" w:cs="Arial"/>
                <w:b/>
                <w:bCs/>
                <w:sz w:val="20"/>
                <w:szCs w:val="20"/>
              </w:rPr>
              <w:t>mega ton</w:t>
            </w:r>
          </w:p>
        </w:tc>
        <w:tc>
          <w:tcPr>
            <w:tcW w:w="641" w:type="dxa"/>
            <w:gridSpan w:val="2"/>
            <w:tcBorders>
              <w:top w:val="nil"/>
              <w:left w:val="nil"/>
              <w:bottom w:val="nil"/>
              <w:right w:val="nil"/>
            </w:tcBorders>
            <w:shd w:val="clear" w:color="000000" w:fill="FCD5B4"/>
            <w:noWrap/>
            <w:vAlign w:val="center"/>
            <w:hideMark/>
          </w:tcPr>
          <w:p w:rsidR="00A71A12" w:rsidRPr="00BB33FC" w:rsidRDefault="00A71A12" w:rsidP="00A71A12">
            <w:pPr>
              <w:rPr>
                <w:rFonts w:ascii="Arial" w:hAnsi="Arial" w:cs="Arial"/>
                <w:b/>
                <w:bCs/>
                <w:sz w:val="20"/>
                <w:szCs w:val="20"/>
              </w:rPr>
            </w:pPr>
            <w:r w:rsidRPr="00BB33FC">
              <w:rPr>
                <w:rFonts w:ascii="Arial" w:hAnsi="Arial" w:cs="Arial"/>
                <w:b/>
                <w:bCs/>
                <w:sz w:val="20"/>
                <w:szCs w:val="20"/>
              </w:rPr>
              <w:t>2009</w:t>
            </w:r>
          </w:p>
        </w:tc>
        <w:tc>
          <w:tcPr>
            <w:tcW w:w="951" w:type="dxa"/>
            <w:tcBorders>
              <w:top w:val="nil"/>
              <w:left w:val="nil"/>
              <w:bottom w:val="nil"/>
              <w:right w:val="single" w:sz="8" w:space="0" w:color="E26B0A"/>
            </w:tcBorders>
            <w:shd w:val="clear" w:color="000000" w:fill="FCD5B4"/>
            <w:noWrap/>
            <w:vAlign w:val="center"/>
            <w:hideMark/>
          </w:tcPr>
          <w:p w:rsidR="00A71A12" w:rsidRPr="00BB33FC" w:rsidRDefault="00A71A12" w:rsidP="00A71A12">
            <w:pPr>
              <w:rPr>
                <w:rFonts w:ascii="Arial" w:hAnsi="Arial" w:cs="Arial"/>
                <w:b/>
                <w:bCs/>
                <w:sz w:val="20"/>
                <w:szCs w:val="20"/>
              </w:rPr>
            </w:pPr>
            <w:r w:rsidRPr="00BB33FC">
              <w:rPr>
                <w:rFonts w:ascii="Arial" w:hAnsi="Arial" w:cs="Arial"/>
                <w:b/>
                <w:bCs/>
                <w:sz w:val="20"/>
                <w:szCs w:val="20"/>
              </w:rPr>
              <w:t>-</w:t>
            </w:r>
          </w:p>
        </w:tc>
      </w:tr>
      <w:tr w:rsidR="00A71A12" w:rsidRPr="00BB33FC" w:rsidTr="00A71A12">
        <w:trPr>
          <w:trHeight w:val="435"/>
        </w:trPr>
        <w:tc>
          <w:tcPr>
            <w:tcW w:w="387"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363" w:type="dxa"/>
            <w:vMerge/>
            <w:tcBorders>
              <w:top w:val="single" w:sz="8" w:space="0" w:color="E26B0A"/>
              <w:left w:val="single" w:sz="8" w:space="0" w:color="E26B0A"/>
              <w:bottom w:val="single" w:sz="8" w:space="0" w:color="E26B0A"/>
              <w:right w:val="nil"/>
            </w:tcBorders>
            <w:vAlign w:val="center"/>
            <w:hideMark/>
          </w:tcPr>
          <w:p w:rsidR="00A71A12" w:rsidRPr="00BB33FC" w:rsidRDefault="00A71A12" w:rsidP="00A71A12">
            <w:pPr>
              <w:rPr>
                <w:rFonts w:ascii="Arial" w:hAnsi="Arial" w:cs="Arial"/>
                <w:b/>
                <w:bCs/>
                <w:color w:val="000000"/>
                <w:sz w:val="20"/>
                <w:szCs w:val="20"/>
              </w:rPr>
            </w:pPr>
          </w:p>
        </w:tc>
        <w:tc>
          <w:tcPr>
            <w:tcW w:w="5748" w:type="dxa"/>
            <w:gridSpan w:val="6"/>
            <w:tcBorders>
              <w:top w:val="nil"/>
              <w:left w:val="nil"/>
              <w:bottom w:val="single" w:sz="8" w:space="0" w:color="E26B0A"/>
              <w:right w:val="nil"/>
            </w:tcBorders>
            <w:shd w:val="clear" w:color="000000" w:fill="FDE9D9"/>
            <w:noWrap/>
            <w:vAlign w:val="bottom"/>
            <w:hideMark/>
          </w:tcPr>
          <w:p w:rsidR="00A71A12" w:rsidRPr="00BB33FC" w:rsidRDefault="00A71A12" w:rsidP="00A71A12">
            <w:pPr>
              <w:rPr>
                <w:rFonts w:ascii="Arial" w:hAnsi="Arial" w:cs="Arial"/>
                <w:sz w:val="16"/>
                <w:szCs w:val="16"/>
              </w:rPr>
            </w:pPr>
            <w:r w:rsidRPr="00BB33FC">
              <w:rPr>
                <w:rFonts w:ascii="Arial" w:hAnsi="Arial" w:cs="Arial"/>
                <w:sz w:val="16"/>
                <w:szCs w:val="16"/>
              </w:rPr>
              <w:t>Stredný obsah organického uhlíka (Mean organic carbon content)</w:t>
            </w:r>
          </w:p>
        </w:tc>
        <w:tc>
          <w:tcPr>
            <w:tcW w:w="863" w:type="dxa"/>
            <w:gridSpan w:val="2"/>
            <w:tcBorders>
              <w:top w:val="nil"/>
              <w:left w:val="nil"/>
              <w:bottom w:val="single" w:sz="8" w:space="0" w:color="E26B0A"/>
              <w:right w:val="nil"/>
            </w:tcBorders>
            <w:shd w:val="clear" w:color="000000" w:fill="FDE9D9"/>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11,3</w:t>
            </w:r>
          </w:p>
        </w:tc>
        <w:tc>
          <w:tcPr>
            <w:tcW w:w="1674" w:type="dxa"/>
            <w:gridSpan w:val="2"/>
            <w:tcBorders>
              <w:top w:val="nil"/>
              <w:left w:val="nil"/>
              <w:bottom w:val="single" w:sz="8" w:space="0" w:color="E26B0A"/>
              <w:right w:val="nil"/>
            </w:tcBorders>
            <w:shd w:val="clear" w:color="000000" w:fill="FDE9D9"/>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g kg-1</w:t>
            </w:r>
          </w:p>
        </w:tc>
        <w:tc>
          <w:tcPr>
            <w:tcW w:w="641" w:type="dxa"/>
            <w:gridSpan w:val="2"/>
            <w:tcBorders>
              <w:top w:val="nil"/>
              <w:left w:val="nil"/>
              <w:bottom w:val="single" w:sz="8" w:space="0" w:color="E26B0A"/>
              <w:right w:val="nil"/>
            </w:tcBorders>
            <w:shd w:val="clear" w:color="000000" w:fill="FDE9D9"/>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2009</w:t>
            </w:r>
          </w:p>
        </w:tc>
        <w:tc>
          <w:tcPr>
            <w:tcW w:w="951" w:type="dxa"/>
            <w:tcBorders>
              <w:top w:val="nil"/>
              <w:left w:val="nil"/>
              <w:bottom w:val="single" w:sz="8" w:space="0" w:color="E26B0A"/>
              <w:right w:val="single" w:sz="8" w:space="0" w:color="E26B0A"/>
            </w:tcBorders>
            <w:shd w:val="clear" w:color="000000" w:fill="FDE9D9"/>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w:t>
            </w:r>
          </w:p>
        </w:tc>
      </w:tr>
      <w:tr w:rsidR="00A71A12" w:rsidRPr="00BB33FC" w:rsidTr="00A71A12">
        <w:trPr>
          <w:trHeight w:val="300"/>
        </w:trPr>
        <w:tc>
          <w:tcPr>
            <w:tcW w:w="387"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363" w:type="dxa"/>
            <w:vMerge w:val="restart"/>
            <w:tcBorders>
              <w:top w:val="nil"/>
              <w:left w:val="single" w:sz="8" w:space="0" w:color="E26B0A"/>
              <w:bottom w:val="single" w:sz="8" w:space="0" w:color="E26B0A"/>
              <w:right w:val="nil"/>
            </w:tcBorders>
            <w:shd w:val="clear" w:color="auto" w:fill="auto"/>
            <w:noWrap/>
            <w:hideMark/>
          </w:tcPr>
          <w:p w:rsidR="00A71A12" w:rsidRPr="00BB33FC" w:rsidRDefault="00A71A12" w:rsidP="00A71A12">
            <w:pPr>
              <w:rPr>
                <w:rFonts w:ascii="Arial" w:hAnsi="Arial" w:cs="Arial"/>
                <w:b/>
                <w:bCs/>
                <w:color w:val="000000"/>
                <w:sz w:val="20"/>
                <w:szCs w:val="20"/>
              </w:rPr>
            </w:pPr>
            <w:r w:rsidRPr="00BB33FC">
              <w:rPr>
                <w:rFonts w:ascii="Arial" w:hAnsi="Arial" w:cs="Arial"/>
                <w:b/>
                <w:bCs/>
                <w:color w:val="000000"/>
                <w:sz w:val="20"/>
                <w:szCs w:val="20"/>
              </w:rPr>
              <w:t>42</w:t>
            </w:r>
          </w:p>
        </w:tc>
        <w:tc>
          <w:tcPr>
            <w:tcW w:w="9877" w:type="dxa"/>
            <w:gridSpan w:val="13"/>
            <w:tcBorders>
              <w:top w:val="single" w:sz="8" w:space="0" w:color="E26B0A"/>
              <w:left w:val="nil"/>
              <w:bottom w:val="nil"/>
              <w:right w:val="single" w:sz="8" w:space="0" w:color="E26B0A"/>
            </w:tcBorders>
            <w:shd w:val="clear" w:color="auto" w:fill="auto"/>
            <w:noWrap/>
            <w:vAlign w:val="center"/>
            <w:hideMark/>
          </w:tcPr>
          <w:p w:rsidR="00A71A12" w:rsidRPr="00BB33FC" w:rsidRDefault="00A71A12" w:rsidP="00A71A12">
            <w:pPr>
              <w:rPr>
                <w:rFonts w:ascii="Arial" w:hAnsi="Arial" w:cs="Arial"/>
                <w:b/>
                <w:bCs/>
                <w:i/>
                <w:iCs/>
                <w:sz w:val="20"/>
                <w:szCs w:val="20"/>
              </w:rPr>
            </w:pPr>
            <w:r w:rsidRPr="00BB33FC">
              <w:rPr>
                <w:rFonts w:ascii="Arial" w:hAnsi="Arial" w:cs="Arial"/>
                <w:b/>
                <w:bCs/>
                <w:i/>
                <w:iCs/>
                <w:sz w:val="20"/>
                <w:szCs w:val="20"/>
              </w:rPr>
              <w:t>Erózia pôdy</w:t>
            </w:r>
          </w:p>
        </w:tc>
      </w:tr>
      <w:tr w:rsidR="00A71A12" w:rsidRPr="00BB33FC" w:rsidTr="00A71A12">
        <w:trPr>
          <w:trHeight w:val="285"/>
        </w:trPr>
        <w:tc>
          <w:tcPr>
            <w:tcW w:w="387"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363" w:type="dxa"/>
            <w:vMerge/>
            <w:tcBorders>
              <w:top w:val="nil"/>
              <w:left w:val="single" w:sz="8" w:space="0" w:color="E26B0A"/>
              <w:bottom w:val="single" w:sz="8" w:space="0" w:color="E26B0A"/>
              <w:right w:val="nil"/>
            </w:tcBorders>
            <w:vAlign w:val="center"/>
            <w:hideMark/>
          </w:tcPr>
          <w:p w:rsidR="00A71A12" w:rsidRPr="00BB33FC" w:rsidRDefault="00A71A12" w:rsidP="00A71A12">
            <w:pPr>
              <w:rPr>
                <w:rFonts w:ascii="Arial" w:hAnsi="Arial" w:cs="Arial"/>
                <w:b/>
                <w:bCs/>
                <w:color w:val="000000"/>
                <w:sz w:val="20"/>
                <w:szCs w:val="20"/>
              </w:rPr>
            </w:pPr>
          </w:p>
        </w:tc>
        <w:tc>
          <w:tcPr>
            <w:tcW w:w="5748" w:type="dxa"/>
            <w:gridSpan w:val="6"/>
            <w:tcBorders>
              <w:top w:val="single" w:sz="4" w:space="0" w:color="A6A6A6"/>
              <w:left w:val="nil"/>
              <w:bottom w:val="nil"/>
              <w:right w:val="single" w:sz="4" w:space="0" w:color="A6A6A6"/>
            </w:tcBorders>
            <w:shd w:val="clear" w:color="000000" w:fill="FDE9D9"/>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Miera úbytku pôdy v dôsledku vodnej erózie</w:t>
            </w:r>
          </w:p>
        </w:tc>
        <w:tc>
          <w:tcPr>
            <w:tcW w:w="863" w:type="dxa"/>
            <w:gridSpan w:val="2"/>
            <w:tcBorders>
              <w:top w:val="single" w:sz="4" w:space="0" w:color="A6A6A6"/>
              <w:left w:val="nil"/>
              <w:bottom w:val="nil"/>
              <w:right w:val="single" w:sz="4" w:space="0" w:color="A6A6A6"/>
            </w:tcBorders>
            <w:shd w:val="clear" w:color="000000" w:fill="FDE9D9"/>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2,3</w:t>
            </w:r>
          </w:p>
        </w:tc>
        <w:tc>
          <w:tcPr>
            <w:tcW w:w="1674" w:type="dxa"/>
            <w:gridSpan w:val="2"/>
            <w:tcBorders>
              <w:top w:val="single" w:sz="4" w:space="0" w:color="A6A6A6"/>
              <w:left w:val="nil"/>
              <w:bottom w:val="nil"/>
              <w:right w:val="single" w:sz="4" w:space="0" w:color="A6A6A6"/>
            </w:tcBorders>
            <w:shd w:val="clear" w:color="000000" w:fill="FDE9D9"/>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 xml:space="preserve"> t/ha/rok</w:t>
            </w:r>
          </w:p>
        </w:tc>
        <w:tc>
          <w:tcPr>
            <w:tcW w:w="641" w:type="dxa"/>
            <w:gridSpan w:val="2"/>
            <w:tcBorders>
              <w:top w:val="single" w:sz="4" w:space="0" w:color="A6A6A6"/>
              <w:left w:val="nil"/>
              <w:bottom w:val="nil"/>
              <w:right w:val="single" w:sz="4" w:space="0" w:color="A6A6A6"/>
            </w:tcBorders>
            <w:shd w:val="clear" w:color="000000" w:fill="FDE9D9"/>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2006</w:t>
            </w:r>
          </w:p>
        </w:tc>
        <w:tc>
          <w:tcPr>
            <w:tcW w:w="951" w:type="dxa"/>
            <w:tcBorders>
              <w:top w:val="single" w:sz="4" w:space="0" w:color="A6A6A6"/>
              <w:left w:val="nil"/>
              <w:bottom w:val="nil"/>
              <w:right w:val="single" w:sz="8" w:space="0" w:color="E26B0A"/>
            </w:tcBorders>
            <w:shd w:val="clear" w:color="000000" w:fill="FDE9D9"/>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w:t>
            </w:r>
          </w:p>
        </w:tc>
      </w:tr>
      <w:tr w:rsidR="00A71A12" w:rsidRPr="00BB33FC" w:rsidTr="00A71A12">
        <w:trPr>
          <w:trHeight w:val="495"/>
        </w:trPr>
        <w:tc>
          <w:tcPr>
            <w:tcW w:w="387"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363" w:type="dxa"/>
            <w:vMerge/>
            <w:tcBorders>
              <w:top w:val="nil"/>
              <w:left w:val="single" w:sz="8" w:space="0" w:color="E26B0A"/>
              <w:bottom w:val="single" w:sz="8" w:space="0" w:color="E26B0A"/>
              <w:right w:val="nil"/>
            </w:tcBorders>
            <w:vAlign w:val="center"/>
            <w:hideMark/>
          </w:tcPr>
          <w:p w:rsidR="00A71A12" w:rsidRPr="00BB33FC" w:rsidRDefault="00A71A12" w:rsidP="00A71A12">
            <w:pPr>
              <w:rPr>
                <w:rFonts w:ascii="Arial" w:hAnsi="Arial" w:cs="Arial"/>
                <w:b/>
                <w:bCs/>
                <w:color w:val="000000"/>
                <w:sz w:val="20"/>
                <w:szCs w:val="20"/>
              </w:rPr>
            </w:pPr>
          </w:p>
        </w:tc>
        <w:tc>
          <w:tcPr>
            <w:tcW w:w="5748" w:type="dxa"/>
            <w:gridSpan w:val="6"/>
            <w:tcBorders>
              <w:top w:val="nil"/>
              <w:left w:val="nil"/>
              <w:bottom w:val="nil"/>
              <w:right w:val="single" w:sz="4" w:space="0" w:color="A6A6A6"/>
            </w:tcBorders>
            <w:shd w:val="clear" w:color="000000" w:fill="FCD5B4"/>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poľn. pôda ovplyvnená eróziou</w:t>
            </w:r>
          </w:p>
        </w:tc>
        <w:tc>
          <w:tcPr>
            <w:tcW w:w="863" w:type="dxa"/>
            <w:gridSpan w:val="2"/>
            <w:tcBorders>
              <w:top w:val="nil"/>
              <w:left w:val="nil"/>
              <w:bottom w:val="nil"/>
              <w:right w:val="single" w:sz="4" w:space="0" w:color="A6A6A6"/>
            </w:tcBorders>
            <w:shd w:val="clear" w:color="000000" w:fill="FCD5B4"/>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67,0</w:t>
            </w:r>
          </w:p>
        </w:tc>
        <w:tc>
          <w:tcPr>
            <w:tcW w:w="1674" w:type="dxa"/>
            <w:gridSpan w:val="2"/>
            <w:tcBorders>
              <w:top w:val="nil"/>
              <w:left w:val="nil"/>
              <w:bottom w:val="nil"/>
              <w:right w:val="single" w:sz="4" w:space="0" w:color="A6A6A6"/>
            </w:tcBorders>
            <w:shd w:val="clear" w:color="000000" w:fill="FCD5B4"/>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1000 ha</w:t>
            </w:r>
          </w:p>
        </w:tc>
        <w:tc>
          <w:tcPr>
            <w:tcW w:w="641" w:type="dxa"/>
            <w:gridSpan w:val="2"/>
            <w:tcBorders>
              <w:top w:val="nil"/>
              <w:left w:val="nil"/>
              <w:bottom w:val="nil"/>
              <w:right w:val="single" w:sz="4" w:space="0" w:color="A6A6A6"/>
            </w:tcBorders>
            <w:shd w:val="clear" w:color="000000" w:fill="FCD5B4"/>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priem. 2006-2007</w:t>
            </w:r>
          </w:p>
        </w:tc>
        <w:tc>
          <w:tcPr>
            <w:tcW w:w="951" w:type="dxa"/>
            <w:tcBorders>
              <w:top w:val="nil"/>
              <w:left w:val="nil"/>
              <w:bottom w:val="nil"/>
              <w:right w:val="single" w:sz="8" w:space="0" w:color="E26B0A"/>
            </w:tcBorders>
            <w:shd w:val="clear" w:color="000000" w:fill="FCD5B4"/>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w:t>
            </w:r>
          </w:p>
        </w:tc>
      </w:tr>
      <w:tr w:rsidR="00A71A12" w:rsidRPr="00BB33FC" w:rsidTr="00A71A12">
        <w:trPr>
          <w:trHeight w:val="510"/>
        </w:trPr>
        <w:tc>
          <w:tcPr>
            <w:tcW w:w="387"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363" w:type="dxa"/>
            <w:vMerge/>
            <w:tcBorders>
              <w:top w:val="nil"/>
              <w:left w:val="single" w:sz="8" w:space="0" w:color="E26B0A"/>
              <w:bottom w:val="single" w:sz="8" w:space="0" w:color="E26B0A"/>
              <w:right w:val="nil"/>
            </w:tcBorders>
            <w:vAlign w:val="center"/>
            <w:hideMark/>
          </w:tcPr>
          <w:p w:rsidR="00A71A12" w:rsidRPr="00BB33FC" w:rsidRDefault="00A71A12" w:rsidP="00A71A12">
            <w:pPr>
              <w:rPr>
                <w:rFonts w:ascii="Arial" w:hAnsi="Arial" w:cs="Arial"/>
                <w:b/>
                <w:bCs/>
                <w:color w:val="000000"/>
                <w:sz w:val="20"/>
                <w:szCs w:val="20"/>
              </w:rPr>
            </w:pPr>
          </w:p>
        </w:tc>
        <w:tc>
          <w:tcPr>
            <w:tcW w:w="5748" w:type="dxa"/>
            <w:gridSpan w:val="6"/>
            <w:tcBorders>
              <w:top w:val="nil"/>
              <w:left w:val="nil"/>
              <w:bottom w:val="single" w:sz="8" w:space="0" w:color="E26B0A"/>
              <w:right w:val="single" w:sz="4" w:space="0" w:color="A6A6A6"/>
            </w:tcBorders>
            <w:shd w:val="clear" w:color="000000" w:fill="FDE9D9"/>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poľn. pôda ovplyvnená eróziou</w:t>
            </w:r>
          </w:p>
        </w:tc>
        <w:tc>
          <w:tcPr>
            <w:tcW w:w="863" w:type="dxa"/>
            <w:gridSpan w:val="2"/>
            <w:tcBorders>
              <w:top w:val="nil"/>
              <w:left w:val="nil"/>
              <w:bottom w:val="single" w:sz="8" w:space="0" w:color="E26B0A"/>
              <w:right w:val="single" w:sz="4" w:space="0" w:color="A6A6A6"/>
            </w:tcBorders>
            <w:shd w:val="clear" w:color="000000" w:fill="FDE9D9"/>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2,8</w:t>
            </w:r>
          </w:p>
        </w:tc>
        <w:tc>
          <w:tcPr>
            <w:tcW w:w="1674" w:type="dxa"/>
            <w:gridSpan w:val="2"/>
            <w:tcBorders>
              <w:top w:val="nil"/>
              <w:left w:val="nil"/>
              <w:bottom w:val="single" w:sz="8" w:space="0" w:color="E26B0A"/>
              <w:right w:val="single" w:sz="4" w:space="0" w:color="A6A6A6"/>
            </w:tcBorders>
            <w:shd w:val="clear" w:color="000000" w:fill="FDE9D9"/>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 z poľn. pôdy</w:t>
            </w:r>
          </w:p>
        </w:tc>
        <w:tc>
          <w:tcPr>
            <w:tcW w:w="641" w:type="dxa"/>
            <w:gridSpan w:val="2"/>
            <w:tcBorders>
              <w:top w:val="nil"/>
              <w:left w:val="nil"/>
              <w:bottom w:val="single" w:sz="8" w:space="0" w:color="E26B0A"/>
              <w:right w:val="single" w:sz="4" w:space="0" w:color="A6A6A6"/>
            </w:tcBorders>
            <w:shd w:val="clear" w:color="000000" w:fill="FDE9D9"/>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priem. 2006-2007</w:t>
            </w:r>
          </w:p>
        </w:tc>
        <w:tc>
          <w:tcPr>
            <w:tcW w:w="951" w:type="dxa"/>
            <w:tcBorders>
              <w:top w:val="nil"/>
              <w:left w:val="nil"/>
              <w:bottom w:val="single" w:sz="8" w:space="0" w:color="E26B0A"/>
              <w:right w:val="single" w:sz="8" w:space="0" w:color="E26B0A"/>
            </w:tcBorders>
            <w:shd w:val="clear" w:color="000000" w:fill="FDE9D9"/>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w:t>
            </w:r>
          </w:p>
        </w:tc>
      </w:tr>
      <w:tr w:rsidR="00A71A12" w:rsidRPr="00BB33FC" w:rsidTr="00A71A12">
        <w:trPr>
          <w:trHeight w:val="495"/>
        </w:trPr>
        <w:tc>
          <w:tcPr>
            <w:tcW w:w="387"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363" w:type="dxa"/>
            <w:vMerge w:val="restart"/>
            <w:tcBorders>
              <w:top w:val="nil"/>
              <w:left w:val="single" w:sz="8" w:space="0" w:color="E26B0A"/>
              <w:bottom w:val="single" w:sz="8" w:space="0" w:color="E26B0A"/>
              <w:right w:val="nil"/>
            </w:tcBorders>
            <w:shd w:val="clear" w:color="auto" w:fill="auto"/>
            <w:noWrap/>
            <w:hideMark/>
          </w:tcPr>
          <w:p w:rsidR="00A71A12" w:rsidRPr="00BB33FC" w:rsidRDefault="00A71A12" w:rsidP="00A71A12">
            <w:pPr>
              <w:rPr>
                <w:rFonts w:ascii="Arial" w:hAnsi="Arial" w:cs="Arial"/>
                <w:b/>
                <w:bCs/>
                <w:color w:val="000000"/>
                <w:sz w:val="20"/>
                <w:szCs w:val="20"/>
              </w:rPr>
            </w:pPr>
            <w:r w:rsidRPr="00BB33FC">
              <w:rPr>
                <w:rFonts w:ascii="Arial" w:hAnsi="Arial" w:cs="Arial"/>
                <w:b/>
                <w:bCs/>
                <w:color w:val="000000"/>
                <w:sz w:val="20"/>
                <w:szCs w:val="20"/>
              </w:rPr>
              <w:t>43</w:t>
            </w:r>
          </w:p>
        </w:tc>
        <w:tc>
          <w:tcPr>
            <w:tcW w:w="9877" w:type="dxa"/>
            <w:gridSpan w:val="13"/>
            <w:tcBorders>
              <w:top w:val="single" w:sz="8" w:space="0" w:color="E26B0A"/>
              <w:left w:val="nil"/>
              <w:bottom w:val="single" w:sz="4" w:space="0" w:color="A6A6A6"/>
              <w:right w:val="single" w:sz="8" w:space="0" w:color="E26B0A"/>
            </w:tcBorders>
            <w:shd w:val="clear" w:color="auto" w:fill="auto"/>
            <w:vAlign w:val="center"/>
            <w:hideMark/>
          </w:tcPr>
          <w:p w:rsidR="00A71A12" w:rsidRPr="00BB33FC" w:rsidRDefault="00A71A12" w:rsidP="00A71A12">
            <w:pPr>
              <w:rPr>
                <w:rFonts w:ascii="Arial" w:hAnsi="Arial" w:cs="Arial"/>
                <w:b/>
                <w:bCs/>
                <w:i/>
                <w:iCs/>
                <w:sz w:val="20"/>
                <w:szCs w:val="20"/>
              </w:rPr>
            </w:pPr>
            <w:r w:rsidRPr="00BB33FC">
              <w:rPr>
                <w:rFonts w:ascii="Arial" w:hAnsi="Arial" w:cs="Arial"/>
                <w:b/>
                <w:bCs/>
                <w:i/>
                <w:iCs/>
                <w:sz w:val="20"/>
                <w:szCs w:val="20"/>
              </w:rPr>
              <w:t>Produkcia obnoviteľných zdrojov energie z poľnohospodárstva a lesného hospodárstva</w:t>
            </w:r>
          </w:p>
        </w:tc>
      </w:tr>
      <w:tr w:rsidR="00A71A12" w:rsidRPr="00BB33FC" w:rsidTr="00A71A12">
        <w:trPr>
          <w:trHeight w:val="435"/>
        </w:trPr>
        <w:tc>
          <w:tcPr>
            <w:tcW w:w="387"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363" w:type="dxa"/>
            <w:vMerge/>
            <w:tcBorders>
              <w:top w:val="nil"/>
              <w:left w:val="single" w:sz="8" w:space="0" w:color="E26B0A"/>
              <w:bottom w:val="single" w:sz="8" w:space="0" w:color="E26B0A"/>
              <w:right w:val="nil"/>
            </w:tcBorders>
            <w:vAlign w:val="center"/>
            <w:hideMark/>
          </w:tcPr>
          <w:p w:rsidR="00A71A12" w:rsidRPr="00BB33FC" w:rsidRDefault="00A71A12" w:rsidP="00A71A12">
            <w:pPr>
              <w:rPr>
                <w:rFonts w:ascii="Arial" w:hAnsi="Arial" w:cs="Arial"/>
                <w:b/>
                <w:bCs/>
                <w:color w:val="000000"/>
                <w:sz w:val="20"/>
                <w:szCs w:val="20"/>
              </w:rPr>
            </w:pPr>
          </w:p>
        </w:tc>
        <w:tc>
          <w:tcPr>
            <w:tcW w:w="5748" w:type="dxa"/>
            <w:gridSpan w:val="6"/>
            <w:tcBorders>
              <w:top w:val="single" w:sz="4" w:space="0" w:color="A6A6A6"/>
              <w:left w:val="nil"/>
              <w:bottom w:val="nil"/>
              <w:right w:val="single" w:sz="4" w:space="0" w:color="A6A6A6"/>
            </w:tcBorders>
            <w:shd w:val="clear" w:color="000000" w:fill="FDE9D9"/>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 xml:space="preserve"> z poľnohospodárstva </w:t>
            </w:r>
          </w:p>
        </w:tc>
        <w:tc>
          <w:tcPr>
            <w:tcW w:w="863" w:type="dxa"/>
            <w:gridSpan w:val="2"/>
            <w:tcBorders>
              <w:top w:val="nil"/>
              <w:left w:val="nil"/>
              <w:bottom w:val="nil"/>
              <w:right w:val="single" w:sz="4" w:space="0" w:color="A6A6A6"/>
            </w:tcBorders>
            <w:shd w:val="clear" w:color="000000" w:fill="FDE9D9"/>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143,3</w:t>
            </w:r>
          </w:p>
        </w:tc>
        <w:tc>
          <w:tcPr>
            <w:tcW w:w="1674" w:type="dxa"/>
            <w:gridSpan w:val="2"/>
            <w:tcBorders>
              <w:top w:val="nil"/>
              <w:left w:val="nil"/>
              <w:bottom w:val="nil"/>
              <w:right w:val="single" w:sz="4" w:space="0" w:color="A6A6A6"/>
            </w:tcBorders>
            <w:shd w:val="clear" w:color="000000" w:fill="FDE9D9"/>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kToe</w:t>
            </w:r>
          </w:p>
        </w:tc>
        <w:tc>
          <w:tcPr>
            <w:tcW w:w="641" w:type="dxa"/>
            <w:gridSpan w:val="2"/>
            <w:tcBorders>
              <w:top w:val="nil"/>
              <w:left w:val="nil"/>
              <w:bottom w:val="nil"/>
              <w:right w:val="single" w:sz="4" w:space="0" w:color="A6A6A6"/>
            </w:tcBorders>
            <w:shd w:val="clear" w:color="000000" w:fill="FDE9D9"/>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2010</w:t>
            </w:r>
          </w:p>
        </w:tc>
        <w:tc>
          <w:tcPr>
            <w:tcW w:w="951" w:type="dxa"/>
            <w:tcBorders>
              <w:top w:val="nil"/>
              <w:left w:val="nil"/>
              <w:bottom w:val="nil"/>
              <w:right w:val="single" w:sz="8" w:space="0" w:color="E26B0A"/>
            </w:tcBorders>
            <w:shd w:val="clear" w:color="000000" w:fill="FDE9D9"/>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w:t>
            </w:r>
          </w:p>
        </w:tc>
      </w:tr>
      <w:tr w:rsidR="00A71A12" w:rsidRPr="00BB33FC" w:rsidTr="00A71A12">
        <w:trPr>
          <w:trHeight w:val="465"/>
        </w:trPr>
        <w:tc>
          <w:tcPr>
            <w:tcW w:w="387"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363" w:type="dxa"/>
            <w:vMerge/>
            <w:tcBorders>
              <w:top w:val="nil"/>
              <w:left w:val="single" w:sz="8" w:space="0" w:color="E26B0A"/>
              <w:bottom w:val="single" w:sz="8" w:space="0" w:color="E26B0A"/>
              <w:right w:val="nil"/>
            </w:tcBorders>
            <w:vAlign w:val="center"/>
            <w:hideMark/>
          </w:tcPr>
          <w:p w:rsidR="00A71A12" w:rsidRPr="00BB33FC" w:rsidRDefault="00A71A12" w:rsidP="00A71A12">
            <w:pPr>
              <w:rPr>
                <w:rFonts w:ascii="Arial" w:hAnsi="Arial" w:cs="Arial"/>
                <w:b/>
                <w:bCs/>
                <w:color w:val="000000"/>
                <w:sz w:val="20"/>
                <w:szCs w:val="20"/>
              </w:rPr>
            </w:pPr>
          </w:p>
        </w:tc>
        <w:tc>
          <w:tcPr>
            <w:tcW w:w="5748" w:type="dxa"/>
            <w:gridSpan w:val="6"/>
            <w:tcBorders>
              <w:top w:val="nil"/>
              <w:left w:val="nil"/>
              <w:bottom w:val="single" w:sz="8" w:space="0" w:color="E26B0A"/>
              <w:right w:val="single" w:sz="4" w:space="0" w:color="A6A6A6"/>
            </w:tcBorders>
            <w:shd w:val="clear" w:color="000000" w:fill="FCD5B4"/>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 xml:space="preserve"> z lesného hospodárstva</w:t>
            </w:r>
          </w:p>
        </w:tc>
        <w:tc>
          <w:tcPr>
            <w:tcW w:w="863" w:type="dxa"/>
            <w:gridSpan w:val="2"/>
            <w:tcBorders>
              <w:top w:val="nil"/>
              <w:left w:val="nil"/>
              <w:bottom w:val="single" w:sz="8" w:space="0" w:color="E26B0A"/>
              <w:right w:val="single" w:sz="4" w:space="0" w:color="A6A6A6"/>
            </w:tcBorders>
            <w:shd w:val="clear" w:color="000000" w:fill="FCD5B4"/>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740,0</w:t>
            </w:r>
          </w:p>
        </w:tc>
        <w:tc>
          <w:tcPr>
            <w:tcW w:w="1674" w:type="dxa"/>
            <w:gridSpan w:val="2"/>
            <w:tcBorders>
              <w:top w:val="nil"/>
              <w:left w:val="nil"/>
              <w:bottom w:val="single" w:sz="8" w:space="0" w:color="E26B0A"/>
              <w:right w:val="single" w:sz="4" w:space="0" w:color="A6A6A6"/>
            </w:tcBorders>
            <w:shd w:val="clear" w:color="000000" w:fill="FCD5B4"/>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kToe</w:t>
            </w:r>
          </w:p>
        </w:tc>
        <w:tc>
          <w:tcPr>
            <w:tcW w:w="641" w:type="dxa"/>
            <w:gridSpan w:val="2"/>
            <w:tcBorders>
              <w:top w:val="nil"/>
              <w:left w:val="nil"/>
              <w:bottom w:val="single" w:sz="8" w:space="0" w:color="E26B0A"/>
              <w:right w:val="single" w:sz="4" w:space="0" w:color="A6A6A6"/>
            </w:tcBorders>
            <w:shd w:val="clear" w:color="000000" w:fill="FCD5B4"/>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2010</w:t>
            </w:r>
          </w:p>
        </w:tc>
        <w:tc>
          <w:tcPr>
            <w:tcW w:w="951" w:type="dxa"/>
            <w:tcBorders>
              <w:top w:val="nil"/>
              <w:left w:val="nil"/>
              <w:bottom w:val="single" w:sz="8" w:space="0" w:color="E26B0A"/>
              <w:right w:val="single" w:sz="8" w:space="0" w:color="E26B0A"/>
            </w:tcBorders>
            <w:shd w:val="clear" w:color="000000" w:fill="FCD5B4"/>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w:t>
            </w:r>
          </w:p>
        </w:tc>
      </w:tr>
      <w:tr w:rsidR="00A71A12" w:rsidRPr="00BB33FC" w:rsidTr="00A71A12">
        <w:trPr>
          <w:trHeight w:val="435"/>
        </w:trPr>
        <w:tc>
          <w:tcPr>
            <w:tcW w:w="387"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363" w:type="dxa"/>
            <w:vMerge w:val="restart"/>
            <w:tcBorders>
              <w:top w:val="nil"/>
              <w:left w:val="single" w:sz="8" w:space="0" w:color="E26B0A"/>
              <w:bottom w:val="single" w:sz="8" w:space="0" w:color="E26B0A"/>
              <w:right w:val="nil"/>
            </w:tcBorders>
            <w:shd w:val="clear" w:color="auto" w:fill="auto"/>
            <w:noWrap/>
            <w:hideMark/>
          </w:tcPr>
          <w:p w:rsidR="00A71A12" w:rsidRPr="00BB33FC" w:rsidRDefault="00A71A12" w:rsidP="00A71A12">
            <w:pPr>
              <w:rPr>
                <w:rFonts w:ascii="Arial" w:hAnsi="Arial" w:cs="Arial"/>
                <w:b/>
                <w:bCs/>
                <w:color w:val="000000"/>
                <w:sz w:val="20"/>
                <w:szCs w:val="20"/>
              </w:rPr>
            </w:pPr>
            <w:r w:rsidRPr="00BB33FC">
              <w:rPr>
                <w:rFonts w:ascii="Arial" w:hAnsi="Arial" w:cs="Arial"/>
                <w:b/>
                <w:bCs/>
                <w:color w:val="000000"/>
                <w:sz w:val="20"/>
                <w:szCs w:val="20"/>
              </w:rPr>
              <w:t>44</w:t>
            </w:r>
          </w:p>
        </w:tc>
        <w:tc>
          <w:tcPr>
            <w:tcW w:w="9877" w:type="dxa"/>
            <w:gridSpan w:val="13"/>
            <w:tcBorders>
              <w:top w:val="single" w:sz="8" w:space="0" w:color="E26B0A"/>
              <w:left w:val="nil"/>
              <w:bottom w:val="single" w:sz="4" w:space="0" w:color="A6A6A6"/>
              <w:right w:val="single" w:sz="8" w:space="0" w:color="E26B0A"/>
            </w:tcBorders>
            <w:shd w:val="clear" w:color="auto" w:fill="auto"/>
            <w:vAlign w:val="center"/>
            <w:hideMark/>
          </w:tcPr>
          <w:p w:rsidR="00A71A12" w:rsidRPr="00BB33FC" w:rsidRDefault="00A71A12" w:rsidP="00A71A12">
            <w:pPr>
              <w:rPr>
                <w:rFonts w:ascii="Arial" w:hAnsi="Arial" w:cs="Arial"/>
                <w:b/>
                <w:bCs/>
                <w:i/>
                <w:iCs/>
                <w:sz w:val="20"/>
                <w:szCs w:val="20"/>
              </w:rPr>
            </w:pPr>
            <w:r w:rsidRPr="00BB33FC">
              <w:rPr>
                <w:rFonts w:ascii="Arial" w:hAnsi="Arial" w:cs="Arial"/>
                <w:b/>
                <w:bCs/>
                <w:i/>
                <w:iCs/>
                <w:sz w:val="20"/>
                <w:szCs w:val="20"/>
              </w:rPr>
              <w:t>Využívanie energie v poľnohospodárstve, lesnom hospodárstve a potravinárstve</w:t>
            </w:r>
          </w:p>
        </w:tc>
      </w:tr>
      <w:tr w:rsidR="00A71A12" w:rsidRPr="00BB33FC" w:rsidTr="00A71A12">
        <w:trPr>
          <w:trHeight w:val="300"/>
        </w:trPr>
        <w:tc>
          <w:tcPr>
            <w:tcW w:w="387"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363" w:type="dxa"/>
            <w:vMerge/>
            <w:tcBorders>
              <w:top w:val="nil"/>
              <w:left w:val="single" w:sz="8" w:space="0" w:color="E26B0A"/>
              <w:bottom w:val="single" w:sz="8" w:space="0" w:color="E26B0A"/>
              <w:right w:val="nil"/>
            </w:tcBorders>
            <w:vAlign w:val="center"/>
            <w:hideMark/>
          </w:tcPr>
          <w:p w:rsidR="00A71A12" w:rsidRPr="00BB33FC" w:rsidRDefault="00A71A12" w:rsidP="00A71A12">
            <w:pPr>
              <w:rPr>
                <w:rFonts w:ascii="Arial" w:hAnsi="Arial" w:cs="Arial"/>
                <w:b/>
                <w:bCs/>
                <w:color w:val="000000"/>
                <w:sz w:val="20"/>
                <w:szCs w:val="20"/>
              </w:rPr>
            </w:pPr>
          </w:p>
        </w:tc>
        <w:tc>
          <w:tcPr>
            <w:tcW w:w="5748" w:type="dxa"/>
            <w:gridSpan w:val="6"/>
            <w:tcBorders>
              <w:top w:val="single" w:sz="4" w:space="0" w:color="A6A6A6"/>
              <w:left w:val="nil"/>
              <w:bottom w:val="nil"/>
              <w:right w:val="single" w:sz="4" w:space="0" w:color="A6A6A6"/>
            </w:tcBorders>
            <w:shd w:val="clear" w:color="000000" w:fill="FDE9D9"/>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poľnohospodárstvo a lesné hospodárstvo</w:t>
            </w:r>
          </w:p>
        </w:tc>
        <w:tc>
          <w:tcPr>
            <w:tcW w:w="863" w:type="dxa"/>
            <w:gridSpan w:val="2"/>
            <w:tcBorders>
              <w:top w:val="nil"/>
              <w:left w:val="nil"/>
              <w:bottom w:val="nil"/>
              <w:right w:val="single" w:sz="4" w:space="0" w:color="A6A6A6"/>
            </w:tcBorders>
            <w:shd w:val="clear" w:color="000000" w:fill="FDE9D9"/>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157,0</w:t>
            </w:r>
          </w:p>
        </w:tc>
        <w:tc>
          <w:tcPr>
            <w:tcW w:w="1674" w:type="dxa"/>
            <w:gridSpan w:val="2"/>
            <w:tcBorders>
              <w:top w:val="nil"/>
              <w:left w:val="nil"/>
              <w:bottom w:val="nil"/>
              <w:right w:val="single" w:sz="4" w:space="0" w:color="A6A6A6"/>
            </w:tcBorders>
            <w:shd w:val="clear" w:color="000000" w:fill="FDE9D9"/>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kToe</w:t>
            </w:r>
          </w:p>
        </w:tc>
        <w:tc>
          <w:tcPr>
            <w:tcW w:w="641" w:type="dxa"/>
            <w:gridSpan w:val="2"/>
            <w:tcBorders>
              <w:top w:val="nil"/>
              <w:left w:val="nil"/>
              <w:bottom w:val="nil"/>
              <w:right w:val="single" w:sz="4" w:space="0" w:color="A6A6A6"/>
            </w:tcBorders>
            <w:shd w:val="clear" w:color="000000" w:fill="FDE9D9"/>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2011</w:t>
            </w:r>
          </w:p>
        </w:tc>
        <w:tc>
          <w:tcPr>
            <w:tcW w:w="951" w:type="dxa"/>
            <w:tcBorders>
              <w:top w:val="nil"/>
              <w:left w:val="nil"/>
              <w:bottom w:val="nil"/>
              <w:right w:val="single" w:sz="8" w:space="0" w:color="E26B0A"/>
            </w:tcBorders>
            <w:shd w:val="clear" w:color="000000" w:fill="FDE9D9"/>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w:t>
            </w:r>
          </w:p>
        </w:tc>
      </w:tr>
      <w:tr w:rsidR="00A71A12" w:rsidRPr="00BB33FC" w:rsidTr="00A71A12">
        <w:trPr>
          <w:trHeight w:val="795"/>
        </w:trPr>
        <w:tc>
          <w:tcPr>
            <w:tcW w:w="387"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363" w:type="dxa"/>
            <w:vMerge/>
            <w:tcBorders>
              <w:top w:val="nil"/>
              <w:left w:val="single" w:sz="8" w:space="0" w:color="E26B0A"/>
              <w:bottom w:val="single" w:sz="8" w:space="0" w:color="E26B0A"/>
              <w:right w:val="nil"/>
            </w:tcBorders>
            <w:vAlign w:val="center"/>
            <w:hideMark/>
          </w:tcPr>
          <w:p w:rsidR="00A71A12" w:rsidRPr="00BB33FC" w:rsidRDefault="00A71A12" w:rsidP="00A71A12">
            <w:pPr>
              <w:rPr>
                <w:rFonts w:ascii="Arial" w:hAnsi="Arial" w:cs="Arial"/>
                <w:b/>
                <w:bCs/>
                <w:color w:val="000000"/>
                <w:sz w:val="20"/>
                <w:szCs w:val="20"/>
              </w:rPr>
            </w:pPr>
          </w:p>
        </w:tc>
        <w:tc>
          <w:tcPr>
            <w:tcW w:w="5748" w:type="dxa"/>
            <w:gridSpan w:val="6"/>
            <w:tcBorders>
              <w:top w:val="nil"/>
              <w:left w:val="nil"/>
              <w:bottom w:val="nil"/>
              <w:right w:val="single" w:sz="4" w:space="0" w:color="A6A6A6"/>
            </w:tcBorders>
            <w:shd w:val="clear" w:color="000000" w:fill="FCD5B4"/>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využívanie na hektár ( poľnohospodárstvo a lesné hospodárstvo)</w:t>
            </w:r>
          </w:p>
        </w:tc>
        <w:tc>
          <w:tcPr>
            <w:tcW w:w="863" w:type="dxa"/>
            <w:gridSpan w:val="2"/>
            <w:tcBorders>
              <w:top w:val="nil"/>
              <w:left w:val="nil"/>
              <w:bottom w:val="nil"/>
              <w:right w:val="single" w:sz="4" w:space="0" w:color="A6A6A6"/>
            </w:tcBorders>
            <w:shd w:val="clear" w:color="000000" w:fill="FCD5B4"/>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40,6</w:t>
            </w:r>
          </w:p>
        </w:tc>
        <w:tc>
          <w:tcPr>
            <w:tcW w:w="1674" w:type="dxa"/>
            <w:gridSpan w:val="2"/>
            <w:tcBorders>
              <w:top w:val="nil"/>
              <w:left w:val="nil"/>
              <w:bottom w:val="nil"/>
              <w:right w:val="single" w:sz="4" w:space="0" w:color="A6A6A6"/>
            </w:tcBorders>
            <w:shd w:val="clear" w:color="000000" w:fill="FCD5B4"/>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kg ropného ekvivalentu na ha UAA</w:t>
            </w:r>
          </w:p>
        </w:tc>
        <w:tc>
          <w:tcPr>
            <w:tcW w:w="641" w:type="dxa"/>
            <w:gridSpan w:val="2"/>
            <w:tcBorders>
              <w:top w:val="nil"/>
              <w:left w:val="nil"/>
              <w:bottom w:val="nil"/>
              <w:right w:val="single" w:sz="4" w:space="0" w:color="A6A6A6"/>
            </w:tcBorders>
            <w:shd w:val="clear" w:color="000000" w:fill="FCD5B4"/>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2011</w:t>
            </w:r>
          </w:p>
        </w:tc>
        <w:tc>
          <w:tcPr>
            <w:tcW w:w="951" w:type="dxa"/>
            <w:tcBorders>
              <w:top w:val="nil"/>
              <w:left w:val="nil"/>
              <w:bottom w:val="nil"/>
              <w:right w:val="single" w:sz="8" w:space="0" w:color="E26B0A"/>
            </w:tcBorders>
            <w:shd w:val="clear" w:color="000000" w:fill="FCD5B4"/>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w:t>
            </w:r>
          </w:p>
        </w:tc>
      </w:tr>
      <w:tr w:rsidR="00A71A12" w:rsidRPr="00BB33FC" w:rsidTr="00A71A12">
        <w:trPr>
          <w:trHeight w:val="480"/>
        </w:trPr>
        <w:tc>
          <w:tcPr>
            <w:tcW w:w="387"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363" w:type="dxa"/>
            <w:vMerge/>
            <w:tcBorders>
              <w:top w:val="nil"/>
              <w:left w:val="single" w:sz="8" w:space="0" w:color="E26B0A"/>
              <w:bottom w:val="single" w:sz="8" w:space="0" w:color="E26B0A"/>
              <w:right w:val="nil"/>
            </w:tcBorders>
            <w:vAlign w:val="center"/>
            <w:hideMark/>
          </w:tcPr>
          <w:p w:rsidR="00A71A12" w:rsidRPr="00BB33FC" w:rsidRDefault="00A71A12" w:rsidP="00A71A12">
            <w:pPr>
              <w:rPr>
                <w:rFonts w:ascii="Arial" w:hAnsi="Arial" w:cs="Arial"/>
                <w:b/>
                <w:bCs/>
                <w:color w:val="000000"/>
                <w:sz w:val="20"/>
                <w:szCs w:val="20"/>
              </w:rPr>
            </w:pPr>
          </w:p>
        </w:tc>
        <w:tc>
          <w:tcPr>
            <w:tcW w:w="5748" w:type="dxa"/>
            <w:gridSpan w:val="6"/>
            <w:tcBorders>
              <w:top w:val="nil"/>
              <w:left w:val="nil"/>
              <w:bottom w:val="single" w:sz="8" w:space="0" w:color="E26B0A"/>
              <w:right w:val="single" w:sz="4" w:space="0" w:color="A6A6A6"/>
            </w:tcBorders>
            <w:shd w:val="clear" w:color="000000" w:fill="FDE9D9"/>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food industry/ potravinárstvo</w:t>
            </w:r>
          </w:p>
        </w:tc>
        <w:tc>
          <w:tcPr>
            <w:tcW w:w="863" w:type="dxa"/>
            <w:gridSpan w:val="2"/>
            <w:tcBorders>
              <w:top w:val="nil"/>
              <w:left w:val="nil"/>
              <w:bottom w:val="single" w:sz="8" w:space="0" w:color="E26B0A"/>
              <w:right w:val="single" w:sz="4" w:space="0" w:color="A6A6A6"/>
            </w:tcBorders>
            <w:shd w:val="clear" w:color="000000" w:fill="FDE9D9"/>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121,0</w:t>
            </w:r>
          </w:p>
        </w:tc>
        <w:tc>
          <w:tcPr>
            <w:tcW w:w="1674" w:type="dxa"/>
            <w:gridSpan w:val="2"/>
            <w:tcBorders>
              <w:top w:val="nil"/>
              <w:left w:val="nil"/>
              <w:bottom w:val="single" w:sz="8" w:space="0" w:color="E26B0A"/>
              <w:right w:val="single" w:sz="4" w:space="0" w:color="A6A6A6"/>
            </w:tcBorders>
            <w:shd w:val="clear" w:color="000000" w:fill="FDE9D9"/>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kToe</w:t>
            </w:r>
          </w:p>
        </w:tc>
        <w:tc>
          <w:tcPr>
            <w:tcW w:w="641" w:type="dxa"/>
            <w:gridSpan w:val="2"/>
            <w:tcBorders>
              <w:top w:val="nil"/>
              <w:left w:val="nil"/>
              <w:bottom w:val="single" w:sz="8" w:space="0" w:color="E26B0A"/>
              <w:right w:val="single" w:sz="4" w:space="0" w:color="A6A6A6"/>
            </w:tcBorders>
            <w:shd w:val="clear" w:color="000000" w:fill="FDE9D9"/>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2011</w:t>
            </w:r>
          </w:p>
        </w:tc>
        <w:tc>
          <w:tcPr>
            <w:tcW w:w="951" w:type="dxa"/>
            <w:tcBorders>
              <w:top w:val="nil"/>
              <w:left w:val="nil"/>
              <w:bottom w:val="single" w:sz="8" w:space="0" w:color="E26B0A"/>
              <w:right w:val="single" w:sz="8" w:space="0" w:color="E26B0A"/>
            </w:tcBorders>
            <w:shd w:val="clear" w:color="000000" w:fill="FDE9D9"/>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w:t>
            </w:r>
          </w:p>
        </w:tc>
      </w:tr>
      <w:tr w:rsidR="00A71A12" w:rsidRPr="00BB33FC" w:rsidTr="00A71A12">
        <w:trPr>
          <w:trHeight w:val="300"/>
        </w:trPr>
        <w:tc>
          <w:tcPr>
            <w:tcW w:w="387"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363" w:type="dxa"/>
            <w:vMerge w:val="restart"/>
            <w:tcBorders>
              <w:top w:val="nil"/>
              <w:left w:val="single" w:sz="8" w:space="0" w:color="E26B0A"/>
              <w:bottom w:val="single" w:sz="8" w:space="0" w:color="E26B0A"/>
              <w:right w:val="nil"/>
            </w:tcBorders>
            <w:shd w:val="clear" w:color="auto" w:fill="auto"/>
            <w:noWrap/>
            <w:hideMark/>
          </w:tcPr>
          <w:p w:rsidR="00A71A12" w:rsidRPr="00BB33FC" w:rsidRDefault="00A71A12" w:rsidP="00A71A12">
            <w:pPr>
              <w:rPr>
                <w:rFonts w:ascii="Arial" w:hAnsi="Arial" w:cs="Arial"/>
                <w:b/>
                <w:bCs/>
                <w:color w:val="000000"/>
                <w:sz w:val="20"/>
                <w:szCs w:val="20"/>
              </w:rPr>
            </w:pPr>
            <w:r w:rsidRPr="00BB33FC">
              <w:rPr>
                <w:rFonts w:ascii="Arial" w:hAnsi="Arial" w:cs="Arial"/>
                <w:b/>
                <w:bCs/>
                <w:color w:val="000000"/>
                <w:sz w:val="20"/>
                <w:szCs w:val="20"/>
              </w:rPr>
              <w:t>45</w:t>
            </w:r>
          </w:p>
        </w:tc>
        <w:tc>
          <w:tcPr>
            <w:tcW w:w="9877" w:type="dxa"/>
            <w:gridSpan w:val="13"/>
            <w:tcBorders>
              <w:top w:val="single" w:sz="8" w:space="0" w:color="E26B0A"/>
              <w:left w:val="nil"/>
              <w:bottom w:val="nil"/>
              <w:right w:val="single" w:sz="8" w:space="0" w:color="E26B0A"/>
            </w:tcBorders>
            <w:shd w:val="clear" w:color="auto" w:fill="auto"/>
            <w:noWrap/>
            <w:vAlign w:val="center"/>
            <w:hideMark/>
          </w:tcPr>
          <w:p w:rsidR="00A71A12" w:rsidRPr="00BB33FC" w:rsidRDefault="00A71A12" w:rsidP="00A71A12">
            <w:pPr>
              <w:rPr>
                <w:rFonts w:ascii="Arial" w:hAnsi="Arial" w:cs="Arial"/>
                <w:b/>
                <w:bCs/>
                <w:i/>
                <w:iCs/>
                <w:sz w:val="20"/>
                <w:szCs w:val="20"/>
              </w:rPr>
            </w:pPr>
            <w:r w:rsidRPr="00BB33FC">
              <w:rPr>
                <w:rFonts w:ascii="Arial" w:hAnsi="Arial" w:cs="Arial"/>
                <w:b/>
                <w:bCs/>
                <w:i/>
                <w:iCs/>
                <w:sz w:val="20"/>
                <w:szCs w:val="20"/>
              </w:rPr>
              <w:t>Emisie skleníkových plynov v poľnohospodárstve</w:t>
            </w:r>
          </w:p>
        </w:tc>
      </w:tr>
      <w:tr w:rsidR="00A71A12" w:rsidRPr="00BB33FC" w:rsidTr="00A71A12">
        <w:trPr>
          <w:trHeight w:val="482"/>
        </w:trPr>
        <w:tc>
          <w:tcPr>
            <w:tcW w:w="387"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363" w:type="dxa"/>
            <w:vMerge/>
            <w:tcBorders>
              <w:top w:val="nil"/>
              <w:left w:val="single" w:sz="8" w:space="0" w:color="E26B0A"/>
              <w:bottom w:val="single" w:sz="8" w:space="0" w:color="E26B0A"/>
              <w:right w:val="nil"/>
            </w:tcBorders>
            <w:vAlign w:val="center"/>
            <w:hideMark/>
          </w:tcPr>
          <w:p w:rsidR="00A71A12" w:rsidRPr="00BB33FC" w:rsidRDefault="00A71A12" w:rsidP="00A71A12">
            <w:pPr>
              <w:rPr>
                <w:rFonts w:ascii="Arial" w:hAnsi="Arial" w:cs="Arial"/>
                <w:b/>
                <w:bCs/>
                <w:color w:val="000000"/>
                <w:sz w:val="20"/>
                <w:szCs w:val="20"/>
              </w:rPr>
            </w:pPr>
          </w:p>
        </w:tc>
        <w:tc>
          <w:tcPr>
            <w:tcW w:w="5748" w:type="dxa"/>
            <w:gridSpan w:val="6"/>
            <w:tcBorders>
              <w:top w:val="single" w:sz="4" w:space="0" w:color="A6A6A6"/>
              <w:left w:val="nil"/>
              <w:bottom w:val="nil"/>
              <w:right w:val="single" w:sz="4" w:space="0" w:color="A6A6A6"/>
            </w:tcBorders>
            <w:shd w:val="clear" w:color="000000" w:fill="FDE9D9"/>
            <w:hideMark/>
          </w:tcPr>
          <w:p w:rsidR="00A71A12" w:rsidRPr="00BB33FC" w:rsidRDefault="00A71A12" w:rsidP="00A71A12">
            <w:pPr>
              <w:rPr>
                <w:rFonts w:ascii="Arial" w:hAnsi="Arial" w:cs="Arial"/>
                <w:sz w:val="18"/>
                <w:szCs w:val="18"/>
              </w:rPr>
            </w:pPr>
            <w:r w:rsidRPr="00BB33FC">
              <w:rPr>
                <w:rFonts w:ascii="Arial" w:hAnsi="Arial" w:cs="Arial"/>
                <w:sz w:val="18"/>
                <w:szCs w:val="18"/>
              </w:rPr>
              <w:t xml:space="preserve">celkom v poľnohospodárstve (CH4 a N2O a pôdne emisie/ odstraňovanie)/ </w:t>
            </w:r>
          </w:p>
        </w:tc>
        <w:tc>
          <w:tcPr>
            <w:tcW w:w="863" w:type="dxa"/>
            <w:gridSpan w:val="2"/>
            <w:tcBorders>
              <w:top w:val="single" w:sz="4" w:space="0" w:color="A6A6A6"/>
              <w:left w:val="nil"/>
              <w:bottom w:val="nil"/>
              <w:right w:val="single" w:sz="4" w:space="0" w:color="A6A6A6"/>
            </w:tcBorders>
            <w:shd w:val="clear" w:color="000000" w:fill="FDE9D9"/>
            <w:noWrap/>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2 024,6</w:t>
            </w:r>
          </w:p>
        </w:tc>
        <w:tc>
          <w:tcPr>
            <w:tcW w:w="1674" w:type="dxa"/>
            <w:gridSpan w:val="2"/>
            <w:tcBorders>
              <w:top w:val="single" w:sz="4" w:space="0" w:color="A6A6A6"/>
              <w:left w:val="nil"/>
              <w:bottom w:val="nil"/>
              <w:right w:val="single" w:sz="4" w:space="0" w:color="A6A6A6"/>
            </w:tcBorders>
            <w:shd w:val="clear" w:color="000000" w:fill="FDE9D9"/>
            <w:hideMark/>
          </w:tcPr>
          <w:p w:rsidR="00A71A12" w:rsidRPr="00BB33FC" w:rsidRDefault="00A71A12" w:rsidP="00A71A12">
            <w:pPr>
              <w:rPr>
                <w:rFonts w:ascii="Arial" w:hAnsi="Arial" w:cs="Arial"/>
                <w:sz w:val="18"/>
                <w:szCs w:val="18"/>
              </w:rPr>
            </w:pPr>
            <w:r w:rsidRPr="00BB33FC">
              <w:rPr>
                <w:rFonts w:ascii="Arial" w:hAnsi="Arial" w:cs="Arial"/>
                <w:sz w:val="18"/>
                <w:szCs w:val="18"/>
              </w:rPr>
              <w:t>1000 t ekvivalentu CO2</w:t>
            </w:r>
          </w:p>
        </w:tc>
        <w:tc>
          <w:tcPr>
            <w:tcW w:w="641" w:type="dxa"/>
            <w:gridSpan w:val="2"/>
            <w:tcBorders>
              <w:top w:val="single" w:sz="4" w:space="0" w:color="A6A6A6"/>
              <w:left w:val="nil"/>
              <w:bottom w:val="nil"/>
              <w:right w:val="single" w:sz="4" w:space="0" w:color="A6A6A6"/>
            </w:tcBorders>
            <w:shd w:val="clear" w:color="000000" w:fill="FDE9D9"/>
            <w:noWrap/>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2010</w:t>
            </w:r>
          </w:p>
        </w:tc>
        <w:tc>
          <w:tcPr>
            <w:tcW w:w="951" w:type="dxa"/>
            <w:tcBorders>
              <w:top w:val="single" w:sz="4" w:space="0" w:color="A6A6A6"/>
              <w:left w:val="nil"/>
              <w:bottom w:val="nil"/>
              <w:right w:val="single" w:sz="8" w:space="0" w:color="E26B0A"/>
            </w:tcBorders>
            <w:shd w:val="clear" w:color="000000" w:fill="FDE9D9"/>
            <w:noWrap/>
            <w:hideMark/>
          </w:tcPr>
          <w:p w:rsidR="00A71A12" w:rsidRPr="00BB33FC" w:rsidRDefault="00A71A12" w:rsidP="00A71A12">
            <w:pPr>
              <w:rPr>
                <w:rFonts w:ascii="Arial" w:hAnsi="Arial" w:cs="Arial"/>
                <w:sz w:val="18"/>
                <w:szCs w:val="18"/>
              </w:rPr>
            </w:pPr>
            <w:r w:rsidRPr="00BB33FC">
              <w:rPr>
                <w:rFonts w:ascii="Arial" w:hAnsi="Arial" w:cs="Arial"/>
                <w:sz w:val="18"/>
                <w:szCs w:val="18"/>
              </w:rPr>
              <w:t>-</w:t>
            </w:r>
          </w:p>
        </w:tc>
      </w:tr>
      <w:tr w:rsidR="00A71A12" w:rsidRPr="00BB33FC" w:rsidTr="00A71A12">
        <w:trPr>
          <w:trHeight w:val="510"/>
        </w:trPr>
        <w:tc>
          <w:tcPr>
            <w:tcW w:w="387" w:type="dxa"/>
            <w:tcBorders>
              <w:top w:val="nil"/>
              <w:left w:val="nil"/>
              <w:bottom w:val="nil"/>
              <w:right w:val="nil"/>
            </w:tcBorders>
            <w:shd w:val="clear" w:color="auto" w:fill="auto"/>
            <w:noWrap/>
            <w:vAlign w:val="bottom"/>
            <w:hideMark/>
          </w:tcPr>
          <w:p w:rsidR="00A71A12" w:rsidRPr="00BB33FC" w:rsidRDefault="00A71A12" w:rsidP="00A71A12">
            <w:pPr>
              <w:rPr>
                <w:rFonts w:ascii="Calibri" w:hAnsi="Calibri"/>
                <w:color w:val="000000"/>
                <w:szCs w:val="22"/>
              </w:rPr>
            </w:pPr>
          </w:p>
        </w:tc>
        <w:tc>
          <w:tcPr>
            <w:tcW w:w="363" w:type="dxa"/>
            <w:vMerge/>
            <w:tcBorders>
              <w:top w:val="nil"/>
              <w:left w:val="single" w:sz="8" w:space="0" w:color="E26B0A"/>
              <w:bottom w:val="single" w:sz="8" w:space="0" w:color="E26B0A"/>
              <w:right w:val="nil"/>
            </w:tcBorders>
            <w:vAlign w:val="center"/>
            <w:hideMark/>
          </w:tcPr>
          <w:p w:rsidR="00A71A12" w:rsidRPr="00BB33FC" w:rsidRDefault="00A71A12" w:rsidP="00A71A12">
            <w:pPr>
              <w:rPr>
                <w:rFonts w:ascii="Arial" w:hAnsi="Arial" w:cs="Arial"/>
                <w:b/>
                <w:bCs/>
                <w:color w:val="000000"/>
                <w:sz w:val="20"/>
                <w:szCs w:val="20"/>
              </w:rPr>
            </w:pPr>
          </w:p>
        </w:tc>
        <w:tc>
          <w:tcPr>
            <w:tcW w:w="5748" w:type="dxa"/>
            <w:gridSpan w:val="6"/>
            <w:tcBorders>
              <w:top w:val="nil"/>
              <w:left w:val="nil"/>
              <w:bottom w:val="single" w:sz="8" w:space="0" w:color="E26B0A"/>
              <w:right w:val="single" w:sz="4" w:space="0" w:color="A6A6A6"/>
            </w:tcBorders>
            <w:shd w:val="clear" w:color="000000" w:fill="FCD5B4"/>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podiel z celkových emisií skleníkových plynov</w:t>
            </w:r>
          </w:p>
        </w:tc>
        <w:tc>
          <w:tcPr>
            <w:tcW w:w="863" w:type="dxa"/>
            <w:gridSpan w:val="2"/>
            <w:tcBorders>
              <w:top w:val="nil"/>
              <w:left w:val="nil"/>
              <w:bottom w:val="single" w:sz="8" w:space="0" w:color="E26B0A"/>
              <w:right w:val="single" w:sz="4" w:space="0" w:color="A6A6A6"/>
            </w:tcBorders>
            <w:shd w:val="clear" w:color="000000" w:fill="FCD5B4"/>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5,1</w:t>
            </w:r>
          </w:p>
        </w:tc>
        <w:tc>
          <w:tcPr>
            <w:tcW w:w="1674" w:type="dxa"/>
            <w:gridSpan w:val="2"/>
            <w:tcBorders>
              <w:top w:val="nil"/>
              <w:left w:val="nil"/>
              <w:bottom w:val="single" w:sz="8" w:space="0" w:color="E26B0A"/>
              <w:right w:val="single" w:sz="4" w:space="0" w:color="A6A6A6"/>
            </w:tcBorders>
            <w:shd w:val="clear" w:color="000000" w:fill="FCD5B4"/>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 xml:space="preserve"> % z celkových čistých emisií</w:t>
            </w:r>
          </w:p>
        </w:tc>
        <w:tc>
          <w:tcPr>
            <w:tcW w:w="641" w:type="dxa"/>
            <w:gridSpan w:val="2"/>
            <w:tcBorders>
              <w:top w:val="nil"/>
              <w:left w:val="nil"/>
              <w:bottom w:val="single" w:sz="8" w:space="0" w:color="E26B0A"/>
              <w:right w:val="single" w:sz="4" w:space="0" w:color="A6A6A6"/>
            </w:tcBorders>
            <w:shd w:val="clear" w:color="000000" w:fill="FCD5B4"/>
            <w:noWrap/>
            <w:vAlign w:val="bottom"/>
            <w:hideMark/>
          </w:tcPr>
          <w:p w:rsidR="00A71A12" w:rsidRPr="00BB33FC" w:rsidRDefault="00A71A12" w:rsidP="00A71A12">
            <w:pPr>
              <w:jc w:val="right"/>
              <w:rPr>
                <w:rFonts w:ascii="Arial" w:hAnsi="Arial" w:cs="Arial"/>
                <w:sz w:val="18"/>
                <w:szCs w:val="18"/>
              </w:rPr>
            </w:pPr>
            <w:r w:rsidRPr="00BB33FC">
              <w:rPr>
                <w:rFonts w:ascii="Arial" w:hAnsi="Arial" w:cs="Arial"/>
                <w:sz w:val="18"/>
                <w:szCs w:val="18"/>
              </w:rPr>
              <w:t>2010</w:t>
            </w:r>
          </w:p>
        </w:tc>
        <w:tc>
          <w:tcPr>
            <w:tcW w:w="951" w:type="dxa"/>
            <w:tcBorders>
              <w:top w:val="nil"/>
              <w:left w:val="nil"/>
              <w:bottom w:val="single" w:sz="8" w:space="0" w:color="E26B0A"/>
              <w:right w:val="single" w:sz="8" w:space="0" w:color="E26B0A"/>
            </w:tcBorders>
            <w:shd w:val="clear" w:color="000000" w:fill="FCD5B4"/>
            <w:noWrap/>
            <w:vAlign w:val="bottom"/>
            <w:hideMark/>
          </w:tcPr>
          <w:p w:rsidR="00A71A12" w:rsidRPr="00BB33FC" w:rsidRDefault="00A71A12" w:rsidP="00A71A12">
            <w:pPr>
              <w:rPr>
                <w:rFonts w:ascii="Arial" w:hAnsi="Arial" w:cs="Arial"/>
                <w:sz w:val="18"/>
                <w:szCs w:val="18"/>
              </w:rPr>
            </w:pPr>
            <w:r w:rsidRPr="00BB33FC">
              <w:rPr>
                <w:rFonts w:ascii="Arial" w:hAnsi="Arial" w:cs="Arial"/>
                <w:sz w:val="18"/>
                <w:szCs w:val="18"/>
              </w:rPr>
              <w:t>-</w:t>
            </w:r>
          </w:p>
        </w:tc>
      </w:tr>
      <w:tr w:rsidR="00A71A12" w:rsidTr="00A71A12">
        <w:trPr>
          <w:gridBefore w:val="3"/>
          <w:gridAfter w:val="2"/>
          <w:wBefore w:w="845" w:type="dxa"/>
          <w:wAfter w:w="1242" w:type="dxa"/>
          <w:trHeight w:val="300"/>
        </w:trPr>
        <w:tc>
          <w:tcPr>
            <w:tcW w:w="3936" w:type="dxa"/>
            <w:gridSpan w:val="2"/>
            <w:tcBorders>
              <w:top w:val="nil"/>
              <w:left w:val="nil"/>
              <w:bottom w:val="nil"/>
              <w:right w:val="nil"/>
            </w:tcBorders>
            <w:shd w:val="clear" w:color="auto" w:fill="auto"/>
            <w:noWrap/>
            <w:vAlign w:val="bottom"/>
            <w:hideMark/>
          </w:tcPr>
          <w:p w:rsidR="00A71A12" w:rsidRPr="006C7E72" w:rsidRDefault="00A71A12" w:rsidP="00A71A12">
            <w:pPr>
              <w:rPr>
                <w:rFonts w:ascii="Calibri" w:hAnsi="Calibri"/>
                <w:color w:val="000000"/>
                <w:sz w:val="18"/>
                <w:szCs w:val="18"/>
              </w:rPr>
            </w:pPr>
            <w:r w:rsidRPr="006C7E72">
              <w:rPr>
                <w:rFonts w:ascii="Calibri" w:hAnsi="Calibri"/>
                <w:color w:val="000000"/>
                <w:sz w:val="18"/>
                <w:szCs w:val="18"/>
              </w:rPr>
              <w:t>Pozn. UAA - využitá poľnohospodárska pôda</w:t>
            </w:r>
          </w:p>
        </w:tc>
        <w:tc>
          <w:tcPr>
            <w:tcW w:w="1076" w:type="dxa"/>
            <w:gridSpan w:val="2"/>
            <w:tcBorders>
              <w:top w:val="nil"/>
              <w:left w:val="nil"/>
              <w:bottom w:val="nil"/>
              <w:right w:val="nil"/>
            </w:tcBorders>
            <w:shd w:val="clear" w:color="auto" w:fill="auto"/>
            <w:noWrap/>
            <w:vAlign w:val="bottom"/>
            <w:hideMark/>
          </w:tcPr>
          <w:p w:rsidR="00A71A12" w:rsidRPr="006C7E72" w:rsidRDefault="00A71A12" w:rsidP="00A71A12">
            <w:pPr>
              <w:rPr>
                <w:rFonts w:ascii="Calibri" w:hAnsi="Calibri"/>
                <w:color w:val="000000"/>
                <w:sz w:val="18"/>
                <w:szCs w:val="18"/>
              </w:rPr>
            </w:pPr>
          </w:p>
        </w:tc>
        <w:tc>
          <w:tcPr>
            <w:tcW w:w="1316" w:type="dxa"/>
            <w:gridSpan w:val="2"/>
            <w:tcBorders>
              <w:top w:val="nil"/>
              <w:left w:val="nil"/>
              <w:bottom w:val="nil"/>
              <w:right w:val="nil"/>
            </w:tcBorders>
            <w:shd w:val="clear" w:color="auto" w:fill="auto"/>
            <w:vAlign w:val="bottom"/>
            <w:hideMark/>
          </w:tcPr>
          <w:p w:rsidR="00A71A12" w:rsidRPr="006C7E72" w:rsidRDefault="00A71A12" w:rsidP="00A71A12">
            <w:pPr>
              <w:rPr>
                <w:rFonts w:ascii="Calibri" w:hAnsi="Calibri"/>
                <w:color w:val="000000"/>
                <w:sz w:val="18"/>
                <w:szCs w:val="18"/>
              </w:rPr>
            </w:pPr>
          </w:p>
        </w:tc>
        <w:tc>
          <w:tcPr>
            <w:tcW w:w="1076" w:type="dxa"/>
            <w:gridSpan w:val="2"/>
            <w:tcBorders>
              <w:top w:val="nil"/>
              <w:left w:val="nil"/>
              <w:bottom w:val="nil"/>
              <w:right w:val="nil"/>
            </w:tcBorders>
            <w:shd w:val="clear" w:color="auto" w:fill="auto"/>
            <w:noWrap/>
            <w:vAlign w:val="bottom"/>
            <w:hideMark/>
          </w:tcPr>
          <w:p w:rsidR="00A71A12" w:rsidRDefault="00A71A12" w:rsidP="00A71A12">
            <w:pPr>
              <w:rPr>
                <w:rFonts w:ascii="Calibri" w:hAnsi="Calibri"/>
                <w:color w:val="000000"/>
                <w:szCs w:val="22"/>
              </w:rPr>
            </w:pPr>
          </w:p>
        </w:tc>
        <w:tc>
          <w:tcPr>
            <w:tcW w:w="1136" w:type="dxa"/>
            <w:gridSpan w:val="2"/>
            <w:tcBorders>
              <w:top w:val="nil"/>
              <w:left w:val="nil"/>
              <w:bottom w:val="nil"/>
              <w:right w:val="nil"/>
            </w:tcBorders>
            <w:shd w:val="clear" w:color="auto" w:fill="auto"/>
            <w:noWrap/>
            <w:vAlign w:val="bottom"/>
            <w:hideMark/>
          </w:tcPr>
          <w:p w:rsidR="00A71A12" w:rsidRDefault="00A71A12" w:rsidP="00A71A12">
            <w:pPr>
              <w:rPr>
                <w:rFonts w:ascii="Calibri" w:hAnsi="Calibri"/>
                <w:color w:val="000000"/>
                <w:szCs w:val="22"/>
              </w:rPr>
            </w:pPr>
          </w:p>
        </w:tc>
      </w:tr>
      <w:tr w:rsidR="00A71A12" w:rsidTr="00A71A12">
        <w:trPr>
          <w:gridBefore w:val="3"/>
          <w:gridAfter w:val="2"/>
          <w:wBefore w:w="845" w:type="dxa"/>
          <w:wAfter w:w="1242" w:type="dxa"/>
          <w:trHeight w:val="300"/>
        </w:trPr>
        <w:tc>
          <w:tcPr>
            <w:tcW w:w="8540" w:type="dxa"/>
            <w:gridSpan w:val="10"/>
            <w:tcBorders>
              <w:top w:val="nil"/>
              <w:left w:val="nil"/>
              <w:bottom w:val="nil"/>
              <w:right w:val="nil"/>
            </w:tcBorders>
            <w:shd w:val="clear" w:color="auto" w:fill="auto"/>
            <w:noWrap/>
            <w:vAlign w:val="bottom"/>
            <w:hideMark/>
          </w:tcPr>
          <w:p w:rsidR="00A71A12" w:rsidRPr="006C7E72" w:rsidRDefault="00A71A12" w:rsidP="00A71A12">
            <w:pPr>
              <w:rPr>
                <w:rFonts w:ascii="Calibri" w:hAnsi="Calibri"/>
                <w:color w:val="000000"/>
                <w:sz w:val="18"/>
                <w:szCs w:val="18"/>
              </w:rPr>
            </w:pPr>
            <w:r w:rsidRPr="006C7E72">
              <w:rPr>
                <w:rFonts w:ascii="Calibri" w:hAnsi="Calibri"/>
                <w:color w:val="000000"/>
                <w:sz w:val="18"/>
                <w:szCs w:val="18"/>
              </w:rPr>
              <w:t>FOWL - % lesných pozemkov a nelesnej drevinovej vegetácie chránenej pre zachovanie</w:t>
            </w:r>
          </w:p>
        </w:tc>
      </w:tr>
      <w:tr w:rsidR="00A71A12" w:rsidTr="00A71A12">
        <w:trPr>
          <w:gridBefore w:val="3"/>
          <w:gridAfter w:val="2"/>
          <w:wBefore w:w="845" w:type="dxa"/>
          <w:wAfter w:w="1242" w:type="dxa"/>
          <w:trHeight w:val="300"/>
        </w:trPr>
        <w:tc>
          <w:tcPr>
            <w:tcW w:w="8540" w:type="dxa"/>
            <w:gridSpan w:val="10"/>
            <w:tcBorders>
              <w:top w:val="nil"/>
              <w:left w:val="nil"/>
              <w:bottom w:val="nil"/>
              <w:right w:val="nil"/>
            </w:tcBorders>
            <w:shd w:val="clear" w:color="auto" w:fill="auto"/>
            <w:noWrap/>
            <w:vAlign w:val="bottom"/>
            <w:hideMark/>
          </w:tcPr>
          <w:p w:rsidR="00A71A12" w:rsidRPr="006C7E72" w:rsidRDefault="00A71A12" w:rsidP="00A71A12">
            <w:pPr>
              <w:rPr>
                <w:rFonts w:ascii="Calibri" w:hAnsi="Calibri"/>
                <w:color w:val="000000"/>
                <w:sz w:val="18"/>
                <w:szCs w:val="18"/>
              </w:rPr>
            </w:pPr>
            <w:r w:rsidRPr="006C7E72">
              <w:rPr>
                <w:rFonts w:ascii="Calibri" w:hAnsi="Calibri"/>
                <w:color w:val="000000"/>
                <w:sz w:val="18"/>
                <w:szCs w:val="18"/>
              </w:rPr>
              <w:t xml:space="preserve"> biodiverzity, krajiny a špecifických prírodných zložiek (MCPFE 4.9, triedy 1.1, 1.2, 1.3 &amp; 2)</w:t>
            </w:r>
          </w:p>
        </w:tc>
      </w:tr>
      <w:tr w:rsidR="00A71A12" w:rsidTr="00A71A12">
        <w:trPr>
          <w:gridBefore w:val="3"/>
          <w:gridAfter w:val="2"/>
          <w:wBefore w:w="845" w:type="dxa"/>
          <w:wAfter w:w="1242" w:type="dxa"/>
          <w:trHeight w:val="300"/>
        </w:trPr>
        <w:tc>
          <w:tcPr>
            <w:tcW w:w="3936" w:type="dxa"/>
            <w:gridSpan w:val="2"/>
            <w:tcBorders>
              <w:top w:val="nil"/>
              <w:left w:val="nil"/>
              <w:bottom w:val="nil"/>
              <w:right w:val="nil"/>
            </w:tcBorders>
            <w:shd w:val="clear" w:color="auto" w:fill="auto"/>
            <w:noWrap/>
            <w:vAlign w:val="bottom"/>
            <w:hideMark/>
          </w:tcPr>
          <w:p w:rsidR="00A71A12" w:rsidRPr="006C7E72" w:rsidRDefault="00A71A12" w:rsidP="00A71A12">
            <w:pPr>
              <w:rPr>
                <w:rFonts w:ascii="Calibri" w:hAnsi="Calibri"/>
                <w:color w:val="000000"/>
                <w:sz w:val="18"/>
                <w:szCs w:val="18"/>
              </w:rPr>
            </w:pPr>
            <w:r w:rsidRPr="006C7E72">
              <w:rPr>
                <w:rFonts w:ascii="Calibri" w:hAnsi="Calibri"/>
                <w:color w:val="000000"/>
                <w:sz w:val="18"/>
                <w:szCs w:val="18"/>
              </w:rPr>
              <w:t>n.a. - údaj nie je k dispozícii</w:t>
            </w:r>
          </w:p>
        </w:tc>
        <w:tc>
          <w:tcPr>
            <w:tcW w:w="1076" w:type="dxa"/>
            <w:gridSpan w:val="2"/>
            <w:tcBorders>
              <w:top w:val="nil"/>
              <w:left w:val="nil"/>
              <w:bottom w:val="nil"/>
              <w:right w:val="nil"/>
            </w:tcBorders>
            <w:shd w:val="clear" w:color="auto" w:fill="auto"/>
            <w:noWrap/>
            <w:vAlign w:val="bottom"/>
            <w:hideMark/>
          </w:tcPr>
          <w:p w:rsidR="00A71A12" w:rsidRPr="006C7E72" w:rsidRDefault="00A71A12" w:rsidP="00A71A12">
            <w:pPr>
              <w:rPr>
                <w:rFonts w:ascii="Calibri" w:hAnsi="Calibri"/>
                <w:color w:val="000000"/>
                <w:sz w:val="18"/>
                <w:szCs w:val="18"/>
              </w:rPr>
            </w:pPr>
          </w:p>
        </w:tc>
        <w:tc>
          <w:tcPr>
            <w:tcW w:w="1316" w:type="dxa"/>
            <w:gridSpan w:val="2"/>
            <w:tcBorders>
              <w:top w:val="nil"/>
              <w:left w:val="nil"/>
              <w:bottom w:val="nil"/>
              <w:right w:val="nil"/>
            </w:tcBorders>
            <w:shd w:val="clear" w:color="auto" w:fill="auto"/>
            <w:vAlign w:val="bottom"/>
            <w:hideMark/>
          </w:tcPr>
          <w:p w:rsidR="00A71A12" w:rsidRPr="006C7E72" w:rsidRDefault="00A71A12" w:rsidP="00A71A12">
            <w:pPr>
              <w:rPr>
                <w:rFonts w:ascii="Calibri" w:hAnsi="Calibri"/>
                <w:color w:val="000000"/>
                <w:sz w:val="18"/>
                <w:szCs w:val="18"/>
              </w:rPr>
            </w:pPr>
          </w:p>
        </w:tc>
        <w:tc>
          <w:tcPr>
            <w:tcW w:w="1076" w:type="dxa"/>
            <w:gridSpan w:val="2"/>
            <w:tcBorders>
              <w:top w:val="nil"/>
              <w:left w:val="nil"/>
              <w:bottom w:val="nil"/>
              <w:right w:val="nil"/>
            </w:tcBorders>
            <w:shd w:val="clear" w:color="auto" w:fill="auto"/>
            <w:noWrap/>
            <w:vAlign w:val="bottom"/>
            <w:hideMark/>
          </w:tcPr>
          <w:p w:rsidR="00A71A12" w:rsidRDefault="00A71A12" w:rsidP="00A71A12">
            <w:pPr>
              <w:rPr>
                <w:rFonts w:ascii="Calibri" w:hAnsi="Calibri"/>
                <w:color w:val="000000"/>
                <w:szCs w:val="22"/>
              </w:rPr>
            </w:pPr>
          </w:p>
        </w:tc>
        <w:tc>
          <w:tcPr>
            <w:tcW w:w="1136" w:type="dxa"/>
            <w:gridSpan w:val="2"/>
            <w:tcBorders>
              <w:top w:val="nil"/>
              <w:left w:val="nil"/>
              <w:bottom w:val="nil"/>
              <w:right w:val="nil"/>
            </w:tcBorders>
            <w:shd w:val="clear" w:color="auto" w:fill="auto"/>
            <w:noWrap/>
            <w:vAlign w:val="bottom"/>
            <w:hideMark/>
          </w:tcPr>
          <w:p w:rsidR="00A71A12" w:rsidRDefault="00A71A12" w:rsidP="00A71A12">
            <w:pPr>
              <w:rPr>
                <w:rFonts w:ascii="Calibri" w:hAnsi="Calibri"/>
                <w:color w:val="000000"/>
                <w:szCs w:val="22"/>
              </w:rPr>
            </w:pPr>
          </w:p>
        </w:tc>
      </w:tr>
      <w:tr w:rsidR="00A71A12" w:rsidTr="00A71A12">
        <w:trPr>
          <w:gridBefore w:val="3"/>
          <w:gridAfter w:val="2"/>
          <w:wBefore w:w="845" w:type="dxa"/>
          <w:wAfter w:w="1242" w:type="dxa"/>
          <w:trHeight w:val="300"/>
        </w:trPr>
        <w:tc>
          <w:tcPr>
            <w:tcW w:w="3936" w:type="dxa"/>
            <w:gridSpan w:val="2"/>
            <w:tcBorders>
              <w:top w:val="nil"/>
              <w:left w:val="nil"/>
              <w:bottom w:val="nil"/>
              <w:right w:val="nil"/>
            </w:tcBorders>
            <w:shd w:val="clear" w:color="auto" w:fill="auto"/>
            <w:noWrap/>
            <w:vAlign w:val="bottom"/>
            <w:hideMark/>
          </w:tcPr>
          <w:p w:rsidR="00A71A12" w:rsidRPr="006C7E72" w:rsidRDefault="00A71A12" w:rsidP="00A71A12">
            <w:pPr>
              <w:rPr>
                <w:rFonts w:ascii="Calibri" w:hAnsi="Calibri"/>
                <w:color w:val="000000"/>
                <w:sz w:val="18"/>
                <w:szCs w:val="18"/>
              </w:rPr>
            </w:pPr>
            <w:r w:rsidRPr="006C7E72">
              <w:rPr>
                <w:rFonts w:ascii="Calibri" w:hAnsi="Calibri"/>
                <w:color w:val="000000"/>
                <w:sz w:val="18"/>
                <w:szCs w:val="18"/>
              </w:rPr>
              <w:t>SO - štandardný výstup</w:t>
            </w:r>
          </w:p>
        </w:tc>
        <w:tc>
          <w:tcPr>
            <w:tcW w:w="1076" w:type="dxa"/>
            <w:gridSpan w:val="2"/>
            <w:tcBorders>
              <w:top w:val="nil"/>
              <w:left w:val="nil"/>
              <w:bottom w:val="nil"/>
              <w:right w:val="nil"/>
            </w:tcBorders>
            <w:shd w:val="clear" w:color="auto" w:fill="auto"/>
            <w:noWrap/>
            <w:vAlign w:val="bottom"/>
            <w:hideMark/>
          </w:tcPr>
          <w:p w:rsidR="00A71A12" w:rsidRPr="006C7E72" w:rsidRDefault="00A71A12" w:rsidP="00A71A12">
            <w:pPr>
              <w:rPr>
                <w:rFonts w:ascii="Calibri" w:hAnsi="Calibri"/>
                <w:color w:val="000000"/>
                <w:sz w:val="18"/>
                <w:szCs w:val="18"/>
              </w:rPr>
            </w:pPr>
          </w:p>
        </w:tc>
        <w:tc>
          <w:tcPr>
            <w:tcW w:w="1316" w:type="dxa"/>
            <w:gridSpan w:val="2"/>
            <w:tcBorders>
              <w:top w:val="nil"/>
              <w:left w:val="nil"/>
              <w:bottom w:val="nil"/>
              <w:right w:val="nil"/>
            </w:tcBorders>
            <w:shd w:val="clear" w:color="auto" w:fill="auto"/>
            <w:vAlign w:val="bottom"/>
            <w:hideMark/>
          </w:tcPr>
          <w:p w:rsidR="00A71A12" w:rsidRPr="006C7E72" w:rsidRDefault="00A71A12" w:rsidP="00A71A12">
            <w:pPr>
              <w:rPr>
                <w:rFonts w:ascii="Calibri" w:hAnsi="Calibri"/>
                <w:color w:val="000000"/>
                <w:sz w:val="18"/>
                <w:szCs w:val="18"/>
              </w:rPr>
            </w:pPr>
          </w:p>
        </w:tc>
        <w:tc>
          <w:tcPr>
            <w:tcW w:w="1076" w:type="dxa"/>
            <w:gridSpan w:val="2"/>
            <w:tcBorders>
              <w:top w:val="nil"/>
              <w:left w:val="nil"/>
              <w:bottom w:val="nil"/>
              <w:right w:val="nil"/>
            </w:tcBorders>
            <w:shd w:val="clear" w:color="auto" w:fill="auto"/>
            <w:noWrap/>
            <w:vAlign w:val="bottom"/>
            <w:hideMark/>
          </w:tcPr>
          <w:p w:rsidR="00A71A12" w:rsidRDefault="00A71A12" w:rsidP="00A71A12">
            <w:pPr>
              <w:rPr>
                <w:rFonts w:ascii="Calibri" w:hAnsi="Calibri"/>
                <w:color w:val="000000"/>
                <w:szCs w:val="22"/>
              </w:rPr>
            </w:pPr>
          </w:p>
        </w:tc>
        <w:tc>
          <w:tcPr>
            <w:tcW w:w="1136" w:type="dxa"/>
            <w:gridSpan w:val="2"/>
            <w:tcBorders>
              <w:top w:val="nil"/>
              <w:left w:val="nil"/>
              <w:bottom w:val="nil"/>
              <w:right w:val="nil"/>
            </w:tcBorders>
            <w:shd w:val="clear" w:color="auto" w:fill="auto"/>
            <w:noWrap/>
            <w:vAlign w:val="bottom"/>
            <w:hideMark/>
          </w:tcPr>
          <w:p w:rsidR="00A71A12" w:rsidRDefault="00A71A12" w:rsidP="00A71A12">
            <w:pPr>
              <w:rPr>
                <w:rFonts w:ascii="Calibri" w:hAnsi="Calibri"/>
                <w:color w:val="000000"/>
                <w:szCs w:val="22"/>
              </w:rPr>
            </w:pPr>
          </w:p>
        </w:tc>
      </w:tr>
      <w:tr w:rsidR="00A71A12" w:rsidTr="00A71A12">
        <w:trPr>
          <w:gridBefore w:val="3"/>
          <w:gridAfter w:val="2"/>
          <w:wBefore w:w="845" w:type="dxa"/>
          <w:wAfter w:w="1242" w:type="dxa"/>
          <w:trHeight w:val="300"/>
        </w:trPr>
        <w:tc>
          <w:tcPr>
            <w:tcW w:w="3936" w:type="dxa"/>
            <w:gridSpan w:val="2"/>
            <w:tcBorders>
              <w:top w:val="nil"/>
              <w:left w:val="nil"/>
              <w:bottom w:val="nil"/>
              <w:right w:val="nil"/>
            </w:tcBorders>
            <w:shd w:val="clear" w:color="auto" w:fill="auto"/>
            <w:noWrap/>
            <w:vAlign w:val="bottom"/>
            <w:hideMark/>
          </w:tcPr>
          <w:p w:rsidR="00A71A12" w:rsidRPr="006C7E72" w:rsidRDefault="00A71A12" w:rsidP="00A71A12">
            <w:pPr>
              <w:rPr>
                <w:rFonts w:ascii="Calibri" w:hAnsi="Calibri"/>
                <w:color w:val="000000"/>
                <w:sz w:val="18"/>
                <w:szCs w:val="18"/>
              </w:rPr>
            </w:pPr>
            <w:r w:rsidRPr="006C7E72">
              <w:rPr>
                <w:rFonts w:ascii="Calibri" w:hAnsi="Calibri"/>
                <w:color w:val="000000"/>
                <w:sz w:val="18"/>
                <w:szCs w:val="18"/>
              </w:rPr>
              <w:t>p.p. - poľnohospodárska pôda</w:t>
            </w:r>
          </w:p>
        </w:tc>
        <w:tc>
          <w:tcPr>
            <w:tcW w:w="1076" w:type="dxa"/>
            <w:gridSpan w:val="2"/>
            <w:tcBorders>
              <w:top w:val="nil"/>
              <w:left w:val="nil"/>
              <w:bottom w:val="nil"/>
              <w:right w:val="nil"/>
            </w:tcBorders>
            <w:shd w:val="clear" w:color="auto" w:fill="auto"/>
            <w:noWrap/>
            <w:vAlign w:val="bottom"/>
            <w:hideMark/>
          </w:tcPr>
          <w:p w:rsidR="00A71A12" w:rsidRPr="006C7E72" w:rsidRDefault="00A71A12" w:rsidP="00A71A12">
            <w:pPr>
              <w:rPr>
                <w:rFonts w:ascii="Calibri" w:hAnsi="Calibri"/>
                <w:color w:val="000000"/>
                <w:sz w:val="18"/>
                <w:szCs w:val="18"/>
              </w:rPr>
            </w:pPr>
          </w:p>
        </w:tc>
        <w:tc>
          <w:tcPr>
            <w:tcW w:w="1316" w:type="dxa"/>
            <w:gridSpan w:val="2"/>
            <w:tcBorders>
              <w:top w:val="nil"/>
              <w:left w:val="nil"/>
              <w:bottom w:val="nil"/>
              <w:right w:val="nil"/>
            </w:tcBorders>
            <w:shd w:val="clear" w:color="auto" w:fill="auto"/>
            <w:vAlign w:val="bottom"/>
            <w:hideMark/>
          </w:tcPr>
          <w:p w:rsidR="00A71A12" w:rsidRPr="006C7E72" w:rsidRDefault="00A71A12" w:rsidP="00A71A12">
            <w:pPr>
              <w:rPr>
                <w:rFonts w:ascii="Calibri" w:hAnsi="Calibri"/>
                <w:color w:val="000000"/>
                <w:sz w:val="18"/>
                <w:szCs w:val="18"/>
              </w:rPr>
            </w:pPr>
          </w:p>
        </w:tc>
        <w:tc>
          <w:tcPr>
            <w:tcW w:w="1076" w:type="dxa"/>
            <w:gridSpan w:val="2"/>
            <w:tcBorders>
              <w:top w:val="nil"/>
              <w:left w:val="nil"/>
              <w:bottom w:val="nil"/>
              <w:right w:val="nil"/>
            </w:tcBorders>
            <w:shd w:val="clear" w:color="auto" w:fill="auto"/>
            <w:noWrap/>
            <w:vAlign w:val="bottom"/>
            <w:hideMark/>
          </w:tcPr>
          <w:p w:rsidR="00A71A12" w:rsidRDefault="00A71A12" w:rsidP="00A71A12">
            <w:pPr>
              <w:rPr>
                <w:rFonts w:ascii="Calibri" w:hAnsi="Calibri"/>
                <w:color w:val="000000"/>
                <w:szCs w:val="22"/>
              </w:rPr>
            </w:pPr>
          </w:p>
        </w:tc>
        <w:tc>
          <w:tcPr>
            <w:tcW w:w="1136" w:type="dxa"/>
            <w:gridSpan w:val="2"/>
            <w:tcBorders>
              <w:top w:val="nil"/>
              <w:left w:val="nil"/>
              <w:bottom w:val="nil"/>
              <w:right w:val="nil"/>
            </w:tcBorders>
            <w:shd w:val="clear" w:color="auto" w:fill="auto"/>
            <w:noWrap/>
            <w:vAlign w:val="bottom"/>
            <w:hideMark/>
          </w:tcPr>
          <w:p w:rsidR="00A71A12" w:rsidRDefault="00A71A12" w:rsidP="00A71A12">
            <w:pPr>
              <w:rPr>
                <w:rFonts w:ascii="Calibri" w:hAnsi="Calibri"/>
                <w:color w:val="000000"/>
                <w:szCs w:val="22"/>
              </w:rPr>
            </w:pPr>
          </w:p>
        </w:tc>
      </w:tr>
    </w:tbl>
    <w:p w:rsidR="00BB33FC" w:rsidRDefault="00ED1FEE" w:rsidP="00BB33FC">
      <w:pPr>
        <w:jc w:val="right"/>
        <w:rPr>
          <w:rFonts w:ascii="Calibri" w:hAnsi="Calibri" w:cs="Calibri"/>
          <w:b/>
          <w:szCs w:val="22"/>
          <w:lang w:eastAsia="en-US"/>
        </w:rPr>
      </w:pPr>
      <w:r>
        <w:rPr>
          <w:rFonts w:ascii="Calibri" w:hAnsi="Calibri" w:cs="Calibri"/>
          <w:b/>
          <w:szCs w:val="22"/>
          <w:lang w:eastAsia="en-US"/>
        </w:rPr>
        <w:lastRenderedPageBreak/>
        <w:t>PRÍLOHA II</w:t>
      </w:r>
    </w:p>
    <w:p w:rsidR="00ED1FEE" w:rsidRPr="00E07205" w:rsidRDefault="00ED1FEE" w:rsidP="00ED1FEE">
      <w:pPr>
        <w:keepNext/>
        <w:keepLines/>
        <w:pBdr>
          <w:bar w:val="single" w:sz="6" w:color="808080"/>
        </w:pBdr>
        <w:spacing w:after="120"/>
        <w:outlineLvl w:val="1"/>
        <w:rPr>
          <w:rFonts w:ascii="Calibri" w:hAnsi="Calibri"/>
          <w:b/>
          <w:bCs/>
          <w:szCs w:val="22"/>
        </w:rPr>
      </w:pPr>
      <w:r w:rsidRPr="00E07205">
        <w:rPr>
          <w:rFonts w:ascii="Calibri" w:hAnsi="Calibri"/>
          <w:b/>
          <w:bCs/>
          <w:szCs w:val="22"/>
        </w:rPr>
        <w:t>Programovo špecifické kontextové ukazovatele (PSCI)</w:t>
      </w:r>
      <w:r w:rsidRPr="00981DA5">
        <w:rPr>
          <w:rFonts w:ascii="Calibri" w:hAnsi="Calibri"/>
          <w:b/>
          <w:bCs/>
          <w:szCs w:val="22"/>
        </w:rPr>
        <w:t xml:space="preserve"> </w:t>
      </w:r>
    </w:p>
    <w:tbl>
      <w:tblPr>
        <w:tblW w:w="9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836"/>
        <w:gridCol w:w="1412"/>
        <w:gridCol w:w="1800"/>
        <w:gridCol w:w="3240"/>
      </w:tblGrid>
      <w:tr w:rsidR="00ED1FEE" w:rsidTr="00ED1FEE">
        <w:trPr>
          <w:trHeight w:val="516"/>
        </w:trPr>
        <w:tc>
          <w:tcPr>
            <w:tcW w:w="2836" w:type="dxa"/>
            <w:shd w:val="clear" w:color="auto" w:fill="F2F2F2"/>
          </w:tcPr>
          <w:p w:rsidR="00ED1FEE" w:rsidRPr="000A3CD6" w:rsidRDefault="00ED1FEE" w:rsidP="00ED1FEE">
            <w:pPr>
              <w:pStyle w:val="Obsahtabulky"/>
            </w:pPr>
            <w:r>
              <w:t>Programovo špecifické kontextové ukazovatele (PSCI)</w:t>
            </w:r>
          </w:p>
        </w:tc>
        <w:tc>
          <w:tcPr>
            <w:tcW w:w="1412" w:type="dxa"/>
            <w:shd w:val="clear" w:color="auto" w:fill="F2F2F2"/>
          </w:tcPr>
          <w:p w:rsidR="00ED1FEE" w:rsidRPr="000A3CD6" w:rsidRDefault="00ED1FEE" w:rsidP="00ED1FEE">
            <w:pPr>
              <w:pStyle w:val="Obsahtabulky"/>
            </w:pPr>
            <w:r>
              <w:t>Merná jednotka</w:t>
            </w:r>
          </w:p>
        </w:tc>
        <w:tc>
          <w:tcPr>
            <w:tcW w:w="1800" w:type="dxa"/>
            <w:shd w:val="clear" w:color="auto" w:fill="F2F2F2"/>
          </w:tcPr>
          <w:p w:rsidR="00ED1FEE" w:rsidRDefault="00ED1FEE" w:rsidP="00ED1FEE">
            <w:pPr>
              <w:pStyle w:val="Obsahtabulky"/>
            </w:pPr>
            <w:r>
              <w:t>Hodnota (rok 2012)</w:t>
            </w:r>
          </w:p>
        </w:tc>
        <w:tc>
          <w:tcPr>
            <w:tcW w:w="3240" w:type="dxa"/>
            <w:shd w:val="clear" w:color="auto" w:fill="F2F2F2"/>
          </w:tcPr>
          <w:p w:rsidR="00ED1FEE" w:rsidRDefault="00ED1FEE" w:rsidP="00ED1FEE">
            <w:pPr>
              <w:pStyle w:val="Obsahtabulky"/>
            </w:pPr>
            <w:r>
              <w:t>Poznámka</w:t>
            </w:r>
          </w:p>
        </w:tc>
      </w:tr>
      <w:tr w:rsidR="00ED1FEE" w:rsidTr="00ED1FEE">
        <w:tc>
          <w:tcPr>
            <w:tcW w:w="2836" w:type="dxa"/>
            <w:vAlign w:val="center"/>
          </w:tcPr>
          <w:p w:rsidR="00ED1FEE" w:rsidRPr="005D3513" w:rsidRDefault="00ED1FEE" w:rsidP="00ED1FEE">
            <w:pPr>
              <w:pStyle w:val="Obsahtabulky"/>
              <w:rPr>
                <w:color w:val="000000"/>
                <w:sz w:val="24"/>
                <w:szCs w:val="24"/>
              </w:rPr>
            </w:pPr>
            <w:r>
              <w:rPr>
                <w:color w:val="000000"/>
              </w:rPr>
              <w:t xml:space="preserve">PSCI1: </w:t>
            </w:r>
            <w:r w:rsidRPr="005D3513">
              <w:rPr>
                <w:color w:val="000000"/>
              </w:rPr>
              <w:t>Podiel katastrálnych území s realizovanými PPÚ k celkovej potrebe za SR</w:t>
            </w:r>
          </w:p>
        </w:tc>
        <w:tc>
          <w:tcPr>
            <w:tcW w:w="1412" w:type="dxa"/>
          </w:tcPr>
          <w:p w:rsidR="00ED1FEE" w:rsidRPr="00C11B5B" w:rsidRDefault="00ED1FEE" w:rsidP="00ED1FEE">
            <w:pPr>
              <w:pStyle w:val="Obsahtabulky"/>
            </w:pPr>
            <w:r>
              <w:t>%</w:t>
            </w:r>
          </w:p>
        </w:tc>
        <w:tc>
          <w:tcPr>
            <w:tcW w:w="1800" w:type="dxa"/>
          </w:tcPr>
          <w:p w:rsidR="00ED1FEE" w:rsidRPr="00C11B5B" w:rsidRDefault="00ED1FEE" w:rsidP="00ED1FEE">
            <w:pPr>
              <w:pStyle w:val="Obsahtabulky"/>
            </w:pPr>
            <w:r>
              <w:t>17</w:t>
            </w:r>
          </w:p>
        </w:tc>
        <w:tc>
          <w:tcPr>
            <w:tcW w:w="3240" w:type="dxa"/>
          </w:tcPr>
          <w:p w:rsidR="00ED1FEE" w:rsidRPr="009435D8" w:rsidRDefault="00ED1FEE" w:rsidP="00ED1FEE">
            <w:pPr>
              <w:pStyle w:val="Obsahtabulky"/>
            </w:pPr>
            <w:r w:rsidRPr="009435D8">
              <w:t>Z celkového počtu 3 559 katastrálnych území (k.ú.) je potrebné realizovať PPÚ v 2 433 k.ú. Pokiaľ je lesnatosť v k.ú. väčšia ako 50 % výmery e</w:t>
            </w:r>
            <w:r>
              <w:t>x</w:t>
            </w:r>
            <w:r w:rsidRPr="009435D8">
              <w:t>travilánu, nie je naliehavá potreba na vykonanie PPÚ v tomto k.ú.</w:t>
            </w:r>
            <w:r>
              <w:t xml:space="preserve"> Prameň: MPRV SR, odbor pozemkový</w:t>
            </w:r>
          </w:p>
        </w:tc>
      </w:tr>
      <w:tr w:rsidR="00ED1FEE" w:rsidTr="00ED1FEE">
        <w:tc>
          <w:tcPr>
            <w:tcW w:w="2836" w:type="dxa"/>
            <w:vAlign w:val="center"/>
          </w:tcPr>
          <w:p w:rsidR="00ED1FEE" w:rsidRPr="005D3513" w:rsidRDefault="00ED1FEE" w:rsidP="00ED1FEE">
            <w:pPr>
              <w:pStyle w:val="Obsahtabulky"/>
              <w:rPr>
                <w:color w:val="000000"/>
              </w:rPr>
            </w:pPr>
            <w:r>
              <w:rPr>
                <w:color w:val="000000"/>
              </w:rPr>
              <w:t xml:space="preserve">PSCI2: </w:t>
            </w:r>
            <w:r w:rsidRPr="005D3513">
              <w:rPr>
                <w:color w:val="000000"/>
              </w:rPr>
              <w:t xml:space="preserve">Priemerný počet vlastníkov na 1 parcelu </w:t>
            </w:r>
            <w:r>
              <w:rPr>
                <w:color w:val="000000"/>
              </w:rPr>
              <w:t>pred realizáciou PPÚ</w:t>
            </w:r>
          </w:p>
        </w:tc>
        <w:tc>
          <w:tcPr>
            <w:tcW w:w="1412" w:type="dxa"/>
          </w:tcPr>
          <w:p w:rsidR="00ED1FEE" w:rsidRPr="00C11B5B" w:rsidRDefault="00ED1FEE" w:rsidP="00ED1FEE">
            <w:pPr>
              <w:pStyle w:val="Obsahtabulky"/>
            </w:pPr>
          </w:p>
        </w:tc>
        <w:tc>
          <w:tcPr>
            <w:tcW w:w="1800" w:type="dxa"/>
          </w:tcPr>
          <w:p w:rsidR="00ED1FEE" w:rsidRPr="00C11B5B" w:rsidRDefault="00ED1FEE" w:rsidP="00ED1FEE">
            <w:pPr>
              <w:pStyle w:val="Obsahtabulky"/>
            </w:pPr>
            <w:r>
              <w:t>10,45</w:t>
            </w:r>
          </w:p>
        </w:tc>
        <w:tc>
          <w:tcPr>
            <w:tcW w:w="3240" w:type="dxa"/>
          </w:tcPr>
          <w:p w:rsidR="00ED1FEE" w:rsidRPr="009435D8" w:rsidRDefault="00ED1FEE" w:rsidP="00ED1FEE">
            <w:pPr>
              <w:pStyle w:val="Obsahtabulky"/>
            </w:pPr>
            <w:r>
              <w:t>Prameň: MPRV SR, odbor pozemkový</w:t>
            </w:r>
          </w:p>
        </w:tc>
      </w:tr>
      <w:tr w:rsidR="00ED1FEE" w:rsidTr="00ED1FEE">
        <w:tc>
          <w:tcPr>
            <w:tcW w:w="2836" w:type="dxa"/>
            <w:vAlign w:val="center"/>
          </w:tcPr>
          <w:p w:rsidR="00ED1FEE" w:rsidRPr="005D3513" w:rsidRDefault="00ED1FEE" w:rsidP="00ED1FEE">
            <w:pPr>
              <w:pStyle w:val="Obsahtabulky"/>
              <w:rPr>
                <w:color w:val="000000"/>
              </w:rPr>
            </w:pPr>
            <w:r>
              <w:rPr>
                <w:color w:val="000000"/>
              </w:rPr>
              <w:t xml:space="preserve">PSCI 3: </w:t>
            </w:r>
            <w:r w:rsidRPr="005D3513">
              <w:rPr>
                <w:color w:val="000000"/>
              </w:rPr>
              <w:t>Podiel scelenej poľnohospodárskej a lesnej pôdy na celkovej výmere SR</w:t>
            </w:r>
          </w:p>
        </w:tc>
        <w:tc>
          <w:tcPr>
            <w:tcW w:w="1412" w:type="dxa"/>
          </w:tcPr>
          <w:p w:rsidR="00ED1FEE" w:rsidRPr="00C11B5B" w:rsidRDefault="00ED1FEE" w:rsidP="00ED1FEE">
            <w:pPr>
              <w:pStyle w:val="Obsahtabulky"/>
            </w:pPr>
            <w:r>
              <w:t>%</w:t>
            </w:r>
          </w:p>
        </w:tc>
        <w:tc>
          <w:tcPr>
            <w:tcW w:w="1800" w:type="dxa"/>
          </w:tcPr>
          <w:p w:rsidR="00ED1FEE" w:rsidRPr="00C11B5B" w:rsidRDefault="00ED1FEE" w:rsidP="00ED1FEE">
            <w:pPr>
              <w:pStyle w:val="Obsahtabulky"/>
            </w:pPr>
            <w:r>
              <w:t>10</w:t>
            </w:r>
          </w:p>
        </w:tc>
        <w:tc>
          <w:tcPr>
            <w:tcW w:w="3240" w:type="dxa"/>
          </w:tcPr>
          <w:p w:rsidR="00ED1FEE" w:rsidRPr="009435D8" w:rsidRDefault="00ED1FEE" w:rsidP="00ED1FEE">
            <w:pPr>
              <w:pStyle w:val="Obsahtabulky"/>
            </w:pPr>
            <w:r>
              <w:t>Prameň: MPRV SR, odbor pozemkový</w:t>
            </w:r>
          </w:p>
        </w:tc>
      </w:tr>
      <w:tr w:rsidR="00ED1FEE" w:rsidTr="00ED1FEE">
        <w:tc>
          <w:tcPr>
            <w:tcW w:w="2836" w:type="dxa"/>
            <w:vAlign w:val="center"/>
          </w:tcPr>
          <w:p w:rsidR="00ED1FEE" w:rsidRPr="005D3513" w:rsidRDefault="00ED1FEE" w:rsidP="00ED1FEE">
            <w:pPr>
              <w:pStyle w:val="Obsahtabulky"/>
              <w:rPr>
                <w:color w:val="000000"/>
                <w:sz w:val="24"/>
                <w:szCs w:val="24"/>
              </w:rPr>
            </w:pPr>
            <w:r>
              <w:rPr>
                <w:color w:val="000000"/>
              </w:rPr>
              <w:t xml:space="preserve">PSCI 4: </w:t>
            </w:r>
            <w:r w:rsidRPr="005D3513">
              <w:rPr>
                <w:color w:val="000000"/>
              </w:rPr>
              <w:t>Vybudované spoločné zariadenia a opatrenia PPÚ na ochranu biodiverzity, kvality pôdy a kvality vody</w:t>
            </w:r>
          </w:p>
        </w:tc>
        <w:tc>
          <w:tcPr>
            <w:tcW w:w="1412" w:type="dxa"/>
          </w:tcPr>
          <w:p w:rsidR="00ED1FEE" w:rsidRPr="00C11B5B" w:rsidRDefault="00ED1FEE" w:rsidP="00ED1FEE">
            <w:pPr>
              <w:pStyle w:val="Obsahtabulky"/>
            </w:pPr>
          </w:p>
        </w:tc>
        <w:tc>
          <w:tcPr>
            <w:tcW w:w="1800" w:type="dxa"/>
          </w:tcPr>
          <w:p w:rsidR="00ED1FEE" w:rsidRPr="00C11B5B" w:rsidRDefault="00ED1FEE" w:rsidP="00ED1FEE">
            <w:pPr>
              <w:pStyle w:val="Obsahtabulky"/>
            </w:pPr>
            <w:r>
              <w:t>6</w:t>
            </w:r>
          </w:p>
        </w:tc>
        <w:tc>
          <w:tcPr>
            <w:tcW w:w="3240" w:type="dxa"/>
          </w:tcPr>
          <w:p w:rsidR="00ED1FEE" w:rsidRPr="009435D8" w:rsidRDefault="00ED1FEE" w:rsidP="00ED1FEE">
            <w:pPr>
              <w:pStyle w:val="Obsahtabulky"/>
            </w:pPr>
            <w:r>
              <w:t>Prameň: MPRV SR, odbor pozemkový</w:t>
            </w:r>
          </w:p>
        </w:tc>
      </w:tr>
      <w:tr w:rsidR="00ED1FEE" w:rsidTr="00ED1FEE">
        <w:tc>
          <w:tcPr>
            <w:tcW w:w="2836" w:type="dxa"/>
            <w:vAlign w:val="center"/>
          </w:tcPr>
          <w:p w:rsidR="00ED1FEE" w:rsidRPr="00044D54" w:rsidRDefault="00ED1FEE" w:rsidP="00ED1FEE">
            <w:pPr>
              <w:pStyle w:val="Obsahtabulky"/>
            </w:pPr>
            <w:r>
              <w:t xml:space="preserve">PSCI 5: </w:t>
            </w:r>
            <w:r w:rsidRPr="00044D54">
              <w:t xml:space="preserve">Počet registrovaných značiek – </w:t>
            </w:r>
            <w:r w:rsidRPr="00044D54">
              <w:rPr>
                <w:i/>
              </w:rPr>
              <w:t>chránené zemepisné označenie</w:t>
            </w:r>
          </w:p>
        </w:tc>
        <w:tc>
          <w:tcPr>
            <w:tcW w:w="1412" w:type="dxa"/>
          </w:tcPr>
          <w:p w:rsidR="00ED1FEE" w:rsidRDefault="00ED1FEE" w:rsidP="00ED1FEE">
            <w:pPr>
              <w:pStyle w:val="Obsahtabulky"/>
            </w:pPr>
          </w:p>
        </w:tc>
        <w:tc>
          <w:tcPr>
            <w:tcW w:w="1800" w:type="dxa"/>
          </w:tcPr>
          <w:p w:rsidR="00ED1FEE" w:rsidRDefault="00ED1FEE" w:rsidP="00ED1FEE">
            <w:pPr>
              <w:pStyle w:val="Obsahtabulky"/>
            </w:pPr>
            <w:r>
              <w:t>18</w:t>
            </w:r>
          </w:p>
        </w:tc>
        <w:tc>
          <w:tcPr>
            <w:tcW w:w="3240" w:type="dxa"/>
          </w:tcPr>
          <w:p w:rsidR="00ED1FEE" w:rsidRPr="009435D8" w:rsidRDefault="00ED1FEE" w:rsidP="00ED1FEE">
            <w:pPr>
              <w:pStyle w:val="Obsahtabulky"/>
            </w:pPr>
            <w:r>
              <w:t>Prameň: MPRV SR, odbor potravinárstva</w:t>
            </w:r>
          </w:p>
        </w:tc>
      </w:tr>
      <w:tr w:rsidR="00ED1FEE" w:rsidTr="00ED1FEE">
        <w:tc>
          <w:tcPr>
            <w:tcW w:w="2836" w:type="dxa"/>
            <w:vAlign w:val="center"/>
          </w:tcPr>
          <w:p w:rsidR="00ED1FEE" w:rsidRPr="00044D54" w:rsidRDefault="00ED1FEE" w:rsidP="00ED1FEE">
            <w:pPr>
              <w:pStyle w:val="Obsahtabulky"/>
            </w:pPr>
            <w:r>
              <w:t xml:space="preserve">PSCI 6: </w:t>
            </w:r>
            <w:r w:rsidRPr="00044D54">
              <w:t xml:space="preserve">Počet registrovaných značiek – </w:t>
            </w:r>
            <w:r w:rsidRPr="00044D54">
              <w:rPr>
                <w:i/>
              </w:rPr>
              <w:t>zaručená tradičná špecialita</w:t>
            </w:r>
          </w:p>
        </w:tc>
        <w:tc>
          <w:tcPr>
            <w:tcW w:w="1412" w:type="dxa"/>
          </w:tcPr>
          <w:p w:rsidR="00ED1FEE" w:rsidRDefault="00ED1FEE" w:rsidP="00ED1FEE">
            <w:pPr>
              <w:pStyle w:val="Obsahtabulky"/>
            </w:pPr>
          </w:p>
        </w:tc>
        <w:tc>
          <w:tcPr>
            <w:tcW w:w="1800" w:type="dxa"/>
          </w:tcPr>
          <w:p w:rsidR="00ED1FEE" w:rsidRDefault="00ED1FEE" w:rsidP="00ED1FEE">
            <w:pPr>
              <w:pStyle w:val="Obsahtabulky"/>
            </w:pPr>
            <w:r>
              <w:t>7</w:t>
            </w:r>
          </w:p>
        </w:tc>
        <w:tc>
          <w:tcPr>
            <w:tcW w:w="3240" w:type="dxa"/>
          </w:tcPr>
          <w:p w:rsidR="00ED1FEE" w:rsidRPr="009435D8" w:rsidRDefault="00ED1FEE" w:rsidP="00ED1FEE">
            <w:pPr>
              <w:pStyle w:val="Obsahtabulky"/>
            </w:pPr>
            <w:r>
              <w:t>Prameň: MPRV SR, odbor potravinárstva</w:t>
            </w:r>
          </w:p>
        </w:tc>
      </w:tr>
      <w:tr w:rsidR="00ED1FEE" w:rsidTr="00ED1FEE">
        <w:tc>
          <w:tcPr>
            <w:tcW w:w="2836" w:type="dxa"/>
            <w:vAlign w:val="center"/>
          </w:tcPr>
          <w:p w:rsidR="00ED1FEE" w:rsidRPr="00044D54" w:rsidRDefault="00ED1FEE" w:rsidP="00ED1FEE">
            <w:pPr>
              <w:pStyle w:val="Obsahtabulky"/>
            </w:pPr>
            <w:r>
              <w:t xml:space="preserve">PSCI 7: </w:t>
            </w:r>
            <w:r w:rsidRPr="00044D54">
              <w:t xml:space="preserve">Počet registrovaných značiek – </w:t>
            </w:r>
            <w:r w:rsidRPr="00044D54">
              <w:rPr>
                <w:i/>
              </w:rPr>
              <w:t>chránené označenie pôvodu</w:t>
            </w:r>
          </w:p>
        </w:tc>
        <w:tc>
          <w:tcPr>
            <w:tcW w:w="1412" w:type="dxa"/>
          </w:tcPr>
          <w:p w:rsidR="00ED1FEE" w:rsidRDefault="00ED1FEE" w:rsidP="00ED1FEE">
            <w:pPr>
              <w:pStyle w:val="Obsahtabulky"/>
            </w:pPr>
          </w:p>
        </w:tc>
        <w:tc>
          <w:tcPr>
            <w:tcW w:w="1800" w:type="dxa"/>
          </w:tcPr>
          <w:p w:rsidR="00ED1FEE" w:rsidRDefault="00ED1FEE" w:rsidP="00ED1FEE">
            <w:pPr>
              <w:pStyle w:val="Obsahtabulky"/>
            </w:pPr>
            <w:r>
              <w:t>7</w:t>
            </w:r>
          </w:p>
        </w:tc>
        <w:tc>
          <w:tcPr>
            <w:tcW w:w="3240" w:type="dxa"/>
          </w:tcPr>
          <w:p w:rsidR="00ED1FEE" w:rsidRPr="009435D8" w:rsidRDefault="00ED1FEE" w:rsidP="00ED1FEE">
            <w:pPr>
              <w:pStyle w:val="Obsahtabulky"/>
            </w:pPr>
            <w:r>
              <w:t>Prameň: MPRV SR, odbor potravinárstva</w:t>
            </w:r>
          </w:p>
        </w:tc>
      </w:tr>
      <w:tr w:rsidR="00ED1FEE" w:rsidTr="00ED1FEE">
        <w:tc>
          <w:tcPr>
            <w:tcW w:w="2836" w:type="dxa"/>
            <w:vAlign w:val="center"/>
          </w:tcPr>
          <w:p w:rsidR="00ED1FEE" w:rsidRPr="00044D54" w:rsidRDefault="00ED1FEE" w:rsidP="00ED1FEE">
            <w:pPr>
              <w:pStyle w:val="Obsahtabulky"/>
            </w:pPr>
            <w:r>
              <w:t xml:space="preserve">PSCI 8: </w:t>
            </w:r>
            <w:r w:rsidRPr="00044D54">
              <w:t>Počet fungujúcich OOV</w:t>
            </w:r>
          </w:p>
        </w:tc>
        <w:tc>
          <w:tcPr>
            <w:tcW w:w="1412" w:type="dxa"/>
          </w:tcPr>
          <w:p w:rsidR="00ED1FEE" w:rsidRDefault="00ED1FEE" w:rsidP="00ED1FEE">
            <w:pPr>
              <w:pStyle w:val="Obsahtabulky"/>
            </w:pPr>
          </w:p>
        </w:tc>
        <w:tc>
          <w:tcPr>
            <w:tcW w:w="1800" w:type="dxa"/>
          </w:tcPr>
          <w:p w:rsidR="00ED1FEE" w:rsidRDefault="00ED1FEE" w:rsidP="00ED1FEE">
            <w:pPr>
              <w:pStyle w:val="Obsahtabulky"/>
            </w:pPr>
            <w:r>
              <w:t>25</w:t>
            </w:r>
          </w:p>
        </w:tc>
        <w:tc>
          <w:tcPr>
            <w:tcW w:w="3240" w:type="dxa"/>
          </w:tcPr>
          <w:p w:rsidR="00ED1FEE" w:rsidRPr="009435D8" w:rsidRDefault="00ED1FEE" w:rsidP="00ED1FEE">
            <w:pPr>
              <w:pStyle w:val="Obsahtabulky"/>
            </w:pPr>
            <w:r>
              <w:t>Prameň: MPRV SR, odbor potravinárstva</w:t>
            </w:r>
          </w:p>
        </w:tc>
      </w:tr>
      <w:tr w:rsidR="00ED1FEE" w:rsidTr="00ED1FEE">
        <w:tc>
          <w:tcPr>
            <w:tcW w:w="2836" w:type="dxa"/>
            <w:vAlign w:val="center"/>
          </w:tcPr>
          <w:p w:rsidR="00ED1FEE" w:rsidRPr="00044D54" w:rsidRDefault="00ED1FEE" w:rsidP="00ED1FEE">
            <w:pPr>
              <w:pStyle w:val="Obsahtabulky"/>
            </w:pPr>
            <w:r>
              <w:t xml:space="preserve">PSCI 9: </w:t>
            </w:r>
            <w:r w:rsidRPr="00044D54">
              <w:t>Počet regionálnych farmárskych trhov</w:t>
            </w:r>
          </w:p>
        </w:tc>
        <w:tc>
          <w:tcPr>
            <w:tcW w:w="1412" w:type="dxa"/>
          </w:tcPr>
          <w:p w:rsidR="00ED1FEE" w:rsidRDefault="00ED1FEE" w:rsidP="00ED1FEE">
            <w:pPr>
              <w:pStyle w:val="Obsahtabulky"/>
            </w:pPr>
          </w:p>
        </w:tc>
        <w:tc>
          <w:tcPr>
            <w:tcW w:w="1800" w:type="dxa"/>
          </w:tcPr>
          <w:p w:rsidR="00ED1FEE" w:rsidRDefault="00ED1FEE" w:rsidP="00ED1FEE">
            <w:pPr>
              <w:pStyle w:val="Obsahtabulky"/>
            </w:pPr>
            <w:r>
              <w:t>5</w:t>
            </w:r>
          </w:p>
        </w:tc>
        <w:tc>
          <w:tcPr>
            <w:tcW w:w="3240" w:type="dxa"/>
          </w:tcPr>
          <w:p w:rsidR="00ED1FEE" w:rsidRPr="009435D8" w:rsidRDefault="00ED1FEE" w:rsidP="00ED1FEE">
            <w:pPr>
              <w:pStyle w:val="Obsahtabulky"/>
            </w:pPr>
            <w:r>
              <w:t>Prameň: MPRV SR, odbor potravinárstva</w:t>
            </w:r>
          </w:p>
        </w:tc>
      </w:tr>
      <w:tr w:rsidR="00ED1FEE" w:rsidTr="00ED1FEE">
        <w:tc>
          <w:tcPr>
            <w:tcW w:w="2836" w:type="dxa"/>
            <w:vAlign w:val="center"/>
          </w:tcPr>
          <w:p w:rsidR="00ED1FEE" w:rsidRPr="00044D54" w:rsidRDefault="00ED1FEE" w:rsidP="00ED1FEE">
            <w:pPr>
              <w:pStyle w:val="Obsahtabulky"/>
            </w:pPr>
            <w:r>
              <w:t xml:space="preserve">PSCI 10: </w:t>
            </w:r>
            <w:r w:rsidRPr="00044D54">
              <w:t>Objem produkcie realizovaný prostredníctvom priameho predaja</w:t>
            </w:r>
          </w:p>
        </w:tc>
        <w:tc>
          <w:tcPr>
            <w:tcW w:w="1412" w:type="dxa"/>
          </w:tcPr>
          <w:p w:rsidR="00ED1FEE" w:rsidRDefault="00ED1FEE" w:rsidP="00ED1FEE">
            <w:pPr>
              <w:pStyle w:val="Obsahtabulky"/>
            </w:pPr>
            <w:r>
              <w:t>%</w:t>
            </w:r>
          </w:p>
        </w:tc>
        <w:tc>
          <w:tcPr>
            <w:tcW w:w="1800" w:type="dxa"/>
          </w:tcPr>
          <w:p w:rsidR="00ED1FEE" w:rsidRDefault="00ED1FEE" w:rsidP="00ED1FEE">
            <w:pPr>
              <w:pStyle w:val="Obsahtabulky"/>
            </w:pPr>
            <w:r>
              <w:t>3</w:t>
            </w:r>
          </w:p>
        </w:tc>
        <w:tc>
          <w:tcPr>
            <w:tcW w:w="3240" w:type="dxa"/>
          </w:tcPr>
          <w:p w:rsidR="00ED1FEE" w:rsidRPr="009435D8" w:rsidRDefault="00ED1FEE" w:rsidP="00ED1FEE">
            <w:pPr>
              <w:pStyle w:val="Obsahtabulky"/>
            </w:pPr>
            <w:r>
              <w:t>Prameň: MPRV SR, odbor potravinárstva</w:t>
            </w:r>
          </w:p>
        </w:tc>
      </w:tr>
      <w:tr w:rsidR="00ED1FEE" w:rsidTr="00ED1FEE">
        <w:tc>
          <w:tcPr>
            <w:tcW w:w="2836" w:type="dxa"/>
            <w:vAlign w:val="center"/>
          </w:tcPr>
          <w:p w:rsidR="00ED1FEE" w:rsidRPr="00044D54" w:rsidRDefault="00ED1FEE" w:rsidP="00ED1FEE">
            <w:pPr>
              <w:pStyle w:val="Obsahtabulky"/>
            </w:pPr>
            <w:r>
              <w:t xml:space="preserve">PSCI 11: </w:t>
            </w:r>
            <w:r w:rsidRPr="00044D54">
              <w:t>Podiel domácich poľnohospodárskych surovín vstupujúcich do spracovateľského priemyslu</w:t>
            </w:r>
          </w:p>
        </w:tc>
        <w:tc>
          <w:tcPr>
            <w:tcW w:w="1412" w:type="dxa"/>
          </w:tcPr>
          <w:p w:rsidR="00ED1FEE" w:rsidRDefault="00ED1FEE" w:rsidP="00ED1FEE">
            <w:pPr>
              <w:pStyle w:val="Obsahtabulky"/>
            </w:pPr>
            <w:r>
              <w:t>%</w:t>
            </w:r>
          </w:p>
        </w:tc>
        <w:tc>
          <w:tcPr>
            <w:tcW w:w="1800" w:type="dxa"/>
          </w:tcPr>
          <w:p w:rsidR="00ED1FEE" w:rsidRDefault="00ED1FEE" w:rsidP="00ED1FEE">
            <w:pPr>
              <w:pStyle w:val="Obsahtabulky"/>
            </w:pPr>
            <w:r>
              <w:t>65</w:t>
            </w:r>
          </w:p>
        </w:tc>
        <w:tc>
          <w:tcPr>
            <w:tcW w:w="3240" w:type="dxa"/>
          </w:tcPr>
          <w:p w:rsidR="00ED1FEE" w:rsidRPr="009435D8" w:rsidRDefault="00ED1FEE" w:rsidP="00ED1FEE">
            <w:pPr>
              <w:pStyle w:val="Obsahtabulky"/>
            </w:pPr>
            <w:r>
              <w:t>Prameň: MPRV SR, odbor potravinárstva</w:t>
            </w:r>
          </w:p>
        </w:tc>
      </w:tr>
      <w:tr w:rsidR="00ED1FEE" w:rsidTr="00ED1FEE">
        <w:tc>
          <w:tcPr>
            <w:tcW w:w="2836" w:type="dxa"/>
            <w:vAlign w:val="center"/>
          </w:tcPr>
          <w:p w:rsidR="00ED1FEE" w:rsidRPr="00044D54" w:rsidRDefault="00ED1FEE" w:rsidP="00ED1FEE">
            <w:pPr>
              <w:pStyle w:val="Obsahtabulky"/>
            </w:pPr>
            <w:r>
              <w:t xml:space="preserve">PSCI 12: </w:t>
            </w:r>
            <w:r w:rsidRPr="00044D54">
              <w:t xml:space="preserve">Podiel domácich poľnoh a potrav. produktov v obchodnej sieti SR </w:t>
            </w:r>
          </w:p>
        </w:tc>
        <w:tc>
          <w:tcPr>
            <w:tcW w:w="1412" w:type="dxa"/>
          </w:tcPr>
          <w:p w:rsidR="00ED1FEE" w:rsidRDefault="00ED1FEE" w:rsidP="00ED1FEE">
            <w:pPr>
              <w:pStyle w:val="Obsahtabulky"/>
            </w:pPr>
            <w:r>
              <w:t>%</w:t>
            </w:r>
          </w:p>
        </w:tc>
        <w:tc>
          <w:tcPr>
            <w:tcW w:w="1800" w:type="dxa"/>
          </w:tcPr>
          <w:p w:rsidR="00ED1FEE" w:rsidRDefault="00ED1FEE" w:rsidP="00ED1FEE">
            <w:pPr>
              <w:pStyle w:val="Obsahtabulky"/>
            </w:pPr>
            <w:r>
              <w:t>49,1</w:t>
            </w:r>
          </w:p>
        </w:tc>
        <w:tc>
          <w:tcPr>
            <w:tcW w:w="3240" w:type="dxa"/>
          </w:tcPr>
          <w:p w:rsidR="00ED1FEE" w:rsidRPr="009435D8" w:rsidRDefault="00ED1FEE" w:rsidP="00ED1FEE">
            <w:pPr>
              <w:pStyle w:val="Obsahtabulky"/>
            </w:pPr>
            <w:r>
              <w:t>Prameň: MPRV SR, odbor potravinárstva</w:t>
            </w:r>
          </w:p>
        </w:tc>
      </w:tr>
      <w:tr w:rsidR="00ED1FEE" w:rsidTr="00ED1FEE">
        <w:tc>
          <w:tcPr>
            <w:tcW w:w="2836" w:type="dxa"/>
            <w:vAlign w:val="center"/>
          </w:tcPr>
          <w:p w:rsidR="00ED1FEE" w:rsidRPr="00044D54" w:rsidRDefault="00ED1FEE" w:rsidP="00ED1FEE">
            <w:pPr>
              <w:pStyle w:val="Obsahtabulky"/>
            </w:pPr>
            <w:r>
              <w:t xml:space="preserve">PSCI 13: </w:t>
            </w:r>
            <w:r w:rsidRPr="00044D54">
              <w:t>Podiel poľnoh. a potrav. produktov exportovaných do 3. Krajín</w:t>
            </w:r>
          </w:p>
        </w:tc>
        <w:tc>
          <w:tcPr>
            <w:tcW w:w="1412" w:type="dxa"/>
          </w:tcPr>
          <w:p w:rsidR="00ED1FEE" w:rsidRDefault="00ED1FEE" w:rsidP="00ED1FEE">
            <w:pPr>
              <w:pStyle w:val="Obsahtabulky"/>
            </w:pPr>
            <w:r>
              <w:t>%</w:t>
            </w:r>
          </w:p>
        </w:tc>
        <w:tc>
          <w:tcPr>
            <w:tcW w:w="1800" w:type="dxa"/>
          </w:tcPr>
          <w:p w:rsidR="00ED1FEE" w:rsidRDefault="00ED1FEE" w:rsidP="00ED1FEE">
            <w:pPr>
              <w:pStyle w:val="Obsahtabulky"/>
            </w:pPr>
            <w:r>
              <w:t>3,8</w:t>
            </w:r>
          </w:p>
        </w:tc>
        <w:tc>
          <w:tcPr>
            <w:tcW w:w="3240" w:type="dxa"/>
          </w:tcPr>
          <w:p w:rsidR="00ED1FEE" w:rsidRPr="009435D8" w:rsidRDefault="00ED1FEE" w:rsidP="00ED1FEE">
            <w:pPr>
              <w:pStyle w:val="Obsahtabulky"/>
            </w:pPr>
            <w:r>
              <w:t>Prameň: MPRV SR, odbor potravinárstva</w:t>
            </w:r>
          </w:p>
        </w:tc>
      </w:tr>
      <w:tr w:rsidR="00ED1FEE" w:rsidTr="00ED1FEE">
        <w:tc>
          <w:tcPr>
            <w:tcW w:w="2836" w:type="dxa"/>
            <w:vAlign w:val="center"/>
          </w:tcPr>
          <w:p w:rsidR="00ED1FEE" w:rsidRPr="00044D54" w:rsidRDefault="00ED1FEE" w:rsidP="00ED1FEE">
            <w:pPr>
              <w:pStyle w:val="Obsahtabulky"/>
            </w:pPr>
            <w:r>
              <w:t>PSCI 14: Celoživotné vzdelávanie</w:t>
            </w:r>
          </w:p>
        </w:tc>
        <w:tc>
          <w:tcPr>
            <w:tcW w:w="1412" w:type="dxa"/>
          </w:tcPr>
          <w:p w:rsidR="00ED1FEE" w:rsidRDefault="00ED1FEE" w:rsidP="00ED1FEE">
            <w:pPr>
              <w:pStyle w:val="Obsahtabulky"/>
            </w:pPr>
            <w:r>
              <w:t>%</w:t>
            </w:r>
          </w:p>
        </w:tc>
        <w:tc>
          <w:tcPr>
            <w:tcW w:w="1800" w:type="dxa"/>
          </w:tcPr>
          <w:p w:rsidR="00ED1FEE" w:rsidRDefault="00ED1FEE" w:rsidP="00ED1FEE">
            <w:pPr>
              <w:pStyle w:val="Obsahtabulky"/>
            </w:pPr>
            <w:r>
              <w:t>3,1</w:t>
            </w:r>
          </w:p>
        </w:tc>
        <w:tc>
          <w:tcPr>
            <w:tcW w:w="3240" w:type="dxa"/>
          </w:tcPr>
          <w:p w:rsidR="00ED1FEE" w:rsidRPr="006B2736" w:rsidRDefault="00ED1FEE" w:rsidP="00ED1FEE">
            <w:pPr>
              <w:pStyle w:val="Obsahtabulky"/>
            </w:pPr>
            <w:r w:rsidRPr="00DA0C84">
              <w:t>Podiel pracovníkov vo vekovej skupine 25-64r. zapojených do systému celoživotného vzdelávania.</w:t>
            </w:r>
            <w:r>
              <w:t xml:space="preserve"> Prameň: Eurostat, Labour Force Survey</w:t>
            </w:r>
          </w:p>
        </w:tc>
      </w:tr>
      <w:tr w:rsidR="00ED1FEE" w:rsidTr="00ED1FEE">
        <w:tc>
          <w:tcPr>
            <w:tcW w:w="2836" w:type="dxa"/>
            <w:vAlign w:val="center"/>
          </w:tcPr>
          <w:p w:rsidR="00ED1FEE" w:rsidRDefault="00ED1FEE" w:rsidP="00ED1FEE">
            <w:pPr>
              <w:pStyle w:val="Obsahtabulky"/>
            </w:pPr>
            <w:r>
              <w:t>PSCI 15: Počet fungujúcich MAS</w:t>
            </w:r>
          </w:p>
        </w:tc>
        <w:tc>
          <w:tcPr>
            <w:tcW w:w="1412" w:type="dxa"/>
          </w:tcPr>
          <w:p w:rsidR="00ED1FEE" w:rsidRDefault="00ED1FEE" w:rsidP="00ED1FEE">
            <w:pPr>
              <w:pStyle w:val="Obsahtabulky"/>
            </w:pPr>
          </w:p>
        </w:tc>
        <w:tc>
          <w:tcPr>
            <w:tcW w:w="1800" w:type="dxa"/>
          </w:tcPr>
          <w:p w:rsidR="00ED1FEE" w:rsidRDefault="00ED1FEE" w:rsidP="00ED1FEE">
            <w:pPr>
              <w:pStyle w:val="Obsahtabulky"/>
            </w:pPr>
            <w:r>
              <w:t>29</w:t>
            </w:r>
          </w:p>
        </w:tc>
        <w:tc>
          <w:tcPr>
            <w:tcW w:w="3240" w:type="dxa"/>
          </w:tcPr>
          <w:p w:rsidR="00ED1FEE" w:rsidRDefault="00ED1FEE" w:rsidP="00ED1FEE">
            <w:pPr>
              <w:pStyle w:val="Obsahtabulky"/>
            </w:pPr>
          </w:p>
        </w:tc>
      </w:tr>
    </w:tbl>
    <w:p w:rsidR="00ED1FEE" w:rsidRPr="00BB33FC" w:rsidRDefault="00ED1FEE" w:rsidP="00ED1FEE">
      <w:pPr>
        <w:jc w:val="left"/>
        <w:rPr>
          <w:rFonts w:ascii="Calibri" w:hAnsi="Calibri" w:cs="Calibri"/>
          <w:b/>
          <w:szCs w:val="22"/>
          <w:lang w:eastAsia="en-US"/>
        </w:rPr>
      </w:pPr>
    </w:p>
    <w:p w:rsidR="00BB33FC" w:rsidRDefault="00BB33FC" w:rsidP="00BB33FC">
      <w:pPr>
        <w:rPr>
          <w:rFonts w:ascii="Calibri" w:hAnsi="Calibri"/>
          <w:b/>
          <w:szCs w:val="22"/>
        </w:rPr>
        <w:sectPr w:rsidR="00BB33FC" w:rsidSect="006B60DF">
          <w:pgSz w:w="11906" w:h="16838"/>
          <w:pgMar w:top="992" w:right="1418" w:bottom="709" w:left="1418" w:header="1021" w:footer="1021" w:gutter="0"/>
          <w:cols w:space="708"/>
          <w:docGrid w:linePitch="360"/>
        </w:sectPr>
      </w:pPr>
    </w:p>
    <w:p w:rsidR="00D578E2" w:rsidRDefault="00D578E2" w:rsidP="00D578E2">
      <w:pPr>
        <w:jc w:val="right"/>
        <w:rPr>
          <w:rFonts w:cs="Calibri"/>
          <w:b/>
          <w:sz w:val="20"/>
          <w:szCs w:val="20"/>
          <w:lang w:eastAsia="en-US"/>
        </w:rPr>
      </w:pPr>
      <w:r w:rsidRPr="00D42D00">
        <w:rPr>
          <w:rFonts w:cs="Calibri"/>
          <w:b/>
          <w:sz w:val="20"/>
          <w:szCs w:val="20"/>
          <w:lang w:eastAsia="en-US"/>
        </w:rPr>
        <w:lastRenderedPageBreak/>
        <w:t>PRÍLOHA  II</w:t>
      </w:r>
      <w:r w:rsidR="00ED1FEE">
        <w:rPr>
          <w:rFonts w:cs="Calibri"/>
          <w:b/>
          <w:sz w:val="20"/>
          <w:szCs w:val="20"/>
          <w:lang w:eastAsia="en-US"/>
        </w:rPr>
        <w:t>I</w:t>
      </w:r>
    </w:p>
    <w:p w:rsidR="00ED1FEE" w:rsidRDefault="00ED1FEE" w:rsidP="00ED1FEE">
      <w:pPr>
        <w:rPr>
          <w:rFonts w:ascii="Calibri" w:hAnsi="Calibri"/>
          <w:b/>
          <w:szCs w:val="22"/>
        </w:rPr>
      </w:pPr>
      <w:r w:rsidRPr="00AD5421">
        <w:rPr>
          <w:rFonts w:ascii="Calibri" w:hAnsi="Calibri"/>
          <w:b/>
          <w:szCs w:val="22"/>
        </w:rPr>
        <w:t>Veľkostná štruktúra poľnohospodárskych podnikov fyzických a právnických osôb na Slovensku</w:t>
      </w:r>
    </w:p>
    <w:p w:rsidR="00ED1FEE" w:rsidRPr="00D42D00" w:rsidRDefault="00ED1FEE" w:rsidP="00ED1FEE">
      <w:pPr>
        <w:jc w:val="left"/>
        <w:rPr>
          <w:rFonts w:cs="Calibri"/>
          <w:b/>
          <w:sz w:val="20"/>
          <w:szCs w:val="20"/>
          <w:lang w:eastAsia="en-US"/>
        </w:rPr>
      </w:pPr>
      <w:r w:rsidRPr="00ED1FEE">
        <w:rPr>
          <w:rFonts w:cs="Calibri"/>
          <w:b/>
          <w:noProof/>
          <w:sz w:val="20"/>
          <w:szCs w:val="20"/>
        </w:rPr>
        <w:drawing>
          <wp:inline distT="0" distB="0" distL="0" distR="0">
            <wp:extent cx="9611995" cy="3521750"/>
            <wp:effectExtent l="19050" t="0" r="8255" b="0"/>
            <wp:docPr id="12" name="Obrázo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4" cstate="print"/>
                    <a:srcRect/>
                    <a:stretch>
                      <a:fillRect/>
                    </a:stretch>
                  </pic:blipFill>
                  <pic:spPr bwMode="auto">
                    <a:xfrm>
                      <a:off x="0" y="0"/>
                      <a:ext cx="9611995" cy="3521750"/>
                    </a:xfrm>
                    <a:prstGeom prst="rect">
                      <a:avLst/>
                    </a:prstGeom>
                    <a:noFill/>
                    <a:ln w="9525">
                      <a:noFill/>
                      <a:miter lim="800000"/>
                      <a:headEnd/>
                      <a:tailEnd/>
                    </a:ln>
                  </pic:spPr>
                </pic:pic>
              </a:graphicData>
            </a:graphic>
          </wp:inline>
        </w:drawing>
      </w:r>
    </w:p>
    <w:p w:rsidR="00ED1FEE" w:rsidRDefault="00ED1FEE" w:rsidP="00D578E2">
      <w:pPr>
        <w:tabs>
          <w:tab w:val="left" w:pos="8640"/>
        </w:tabs>
        <w:jc w:val="right"/>
        <w:rPr>
          <w:b/>
          <w:sz w:val="20"/>
          <w:szCs w:val="20"/>
        </w:rPr>
      </w:pPr>
    </w:p>
    <w:p w:rsidR="00ED1FEE" w:rsidRPr="00ED1FEE" w:rsidRDefault="00ED1FEE" w:rsidP="00ED1FEE">
      <w:pPr>
        <w:rPr>
          <w:sz w:val="20"/>
          <w:szCs w:val="20"/>
        </w:rPr>
      </w:pPr>
      <w:r w:rsidRPr="00AD5421">
        <w:rPr>
          <w:rFonts w:ascii="Calibri" w:hAnsi="Calibri"/>
          <w:b/>
          <w:sz w:val="20"/>
          <w:szCs w:val="20"/>
        </w:rPr>
        <w:t xml:space="preserve">Prameň: CD MPRV SR, </w:t>
      </w:r>
      <w:r w:rsidRPr="00A8065E">
        <w:rPr>
          <w:rFonts w:ascii="Calibri" w:eastAsia="Calibri" w:hAnsi="Calibri"/>
          <w:b/>
          <w:sz w:val="20"/>
          <w:szCs w:val="22"/>
          <w:lang w:eastAsia="en-US"/>
        </w:rPr>
        <w:t>NPPC-</w:t>
      </w:r>
      <w:r w:rsidRPr="00AD5421">
        <w:rPr>
          <w:rFonts w:ascii="Calibri" w:hAnsi="Calibri"/>
          <w:b/>
          <w:sz w:val="20"/>
          <w:szCs w:val="20"/>
        </w:rPr>
        <w:t>VUEPP, Poľnohospodársky Cenzus Fariem 2010</w:t>
      </w:r>
    </w:p>
    <w:p w:rsidR="00ED1FEE" w:rsidRPr="00ED1FEE" w:rsidRDefault="00ED1FEE" w:rsidP="00ED1FEE">
      <w:pPr>
        <w:rPr>
          <w:sz w:val="20"/>
          <w:szCs w:val="20"/>
        </w:rPr>
      </w:pPr>
    </w:p>
    <w:p w:rsidR="00ED1FEE" w:rsidRDefault="00ED1FEE">
      <w:pPr>
        <w:jc w:val="left"/>
        <w:rPr>
          <w:sz w:val="20"/>
          <w:szCs w:val="20"/>
        </w:rPr>
      </w:pPr>
      <w:r>
        <w:rPr>
          <w:sz w:val="20"/>
          <w:szCs w:val="20"/>
        </w:rPr>
        <w:br w:type="page"/>
      </w:r>
    </w:p>
    <w:p w:rsidR="00ED1FEE" w:rsidRPr="000B45CA" w:rsidRDefault="00ED1FEE" w:rsidP="00ED1FEE">
      <w:pPr>
        <w:jc w:val="right"/>
        <w:rPr>
          <w:rFonts w:cs="Calibri"/>
          <w:b/>
          <w:szCs w:val="22"/>
          <w:lang w:eastAsia="en-US"/>
        </w:rPr>
      </w:pPr>
      <w:r w:rsidRPr="000B45CA">
        <w:rPr>
          <w:rFonts w:cs="Calibri"/>
          <w:b/>
          <w:szCs w:val="22"/>
          <w:lang w:eastAsia="en-US"/>
        </w:rPr>
        <w:lastRenderedPageBreak/>
        <w:t xml:space="preserve">PRÍLOHA  </w:t>
      </w:r>
      <w:r>
        <w:rPr>
          <w:rFonts w:cs="Calibri"/>
          <w:b/>
          <w:szCs w:val="22"/>
          <w:lang w:eastAsia="en-US"/>
        </w:rPr>
        <w:t>IV</w:t>
      </w:r>
      <w:r w:rsidRPr="000B45CA">
        <w:rPr>
          <w:rFonts w:cs="Calibri"/>
          <w:b/>
          <w:szCs w:val="22"/>
          <w:lang w:eastAsia="en-US"/>
        </w:rPr>
        <w:t>a)</w:t>
      </w:r>
    </w:p>
    <w:p w:rsidR="00ED1FEE" w:rsidRPr="00FB0774" w:rsidRDefault="00ED1FEE" w:rsidP="00ED1FEE">
      <w:pPr>
        <w:rPr>
          <w:b/>
          <w:bCs/>
          <w:color w:val="000000"/>
          <w:szCs w:val="22"/>
        </w:rPr>
      </w:pPr>
      <w:r w:rsidRPr="00FB0774">
        <w:rPr>
          <w:b/>
          <w:bCs/>
          <w:color w:val="000000"/>
          <w:szCs w:val="22"/>
        </w:rPr>
        <w:t>Zoznam výrobkov v Slovenskej republike ako zaručené tradičné špeciality (ZTŠ) podľa hlavy III nariadenia EP a Rady (EÚ) č. 1151/2012 z 21. novembra 2012 o systémoch kvality pre poľnohospodárske výrobky a potraviny</w:t>
      </w:r>
    </w:p>
    <w:tbl>
      <w:tblPr>
        <w:tblStyle w:val="Mriekatabuky"/>
        <w:tblW w:w="0" w:type="auto"/>
        <w:tblLook w:val="04A0" w:firstRow="1" w:lastRow="0" w:firstColumn="1" w:lastColumn="0" w:noHBand="0" w:noVBand="1"/>
      </w:tblPr>
      <w:tblGrid>
        <w:gridCol w:w="2120"/>
        <w:gridCol w:w="1565"/>
        <w:gridCol w:w="1565"/>
        <w:gridCol w:w="1662"/>
        <w:gridCol w:w="5450"/>
        <w:gridCol w:w="2991"/>
      </w:tblGrid>
      <w:tr w:rsidR="00ED1FEE" w:rsidRPr="00FB0774" w:rsidTr="00ED1FEE">
        <w:tc>
          <w:tcPr>
            <w:tcW w:w="0" w:type="auto"/>
          </w:tcPr>
          <w:p w:rsidR="00ED1FEE" w:rsidRPr="00FB0774" w:rsidRDefault="00ED1FEE" w:rsidP="00ED1FEE">
            <w:pPr>
              <w:rPr>
                <w:b/>
                <w:szCs w:val="22"/>
              </w:rPr>
            </w:pPr>
            <w:r w:rsidRPr="00FB0774">
              <w:rPr>
                <w:b/>
                <w:szCs w:val="22"/>
              </w:rPr>
              <w:t>Názov výrobku</w:t>
            </w:r>
          </w:p>
        </w:tc>
        <w:tc>
          <w:tcPr>
            <w:tcW w:w="0" w:type="auto"/>
          </w:tcPr>
          <w:p w:rsidR="00ED1FEE" w:rsidRPr="00FB0774" w:rsidRDefault="00ED1FEE" w:rsidP="00ED1FEE">
            <w:pPr>
              <w:rPr>
                <w:b/>
                <w:szCs w:val="22"/>
              </w:rPr>
            </w:pPr>
            <w:r w:rsidRPr="00FB0774">
              <w:rPr>
                <w:b/>
                <w:szCs w:val="22"/>
              </w:rPr>
              <w:t>Dátum zaevidovania v SR</w:t>
            </w:r>
          </w:p>
        </w:tc>
        <w:tc>
          <w:tcPr>
            <w:tcW w:w="0" w:type="auto"/>
          </w:tcPr>
          <w:p w:rsidR="00ED1FEE" w:rsidRPr="00FB0774" w:rsidRDefault="00ED1FEE" w:rsidP="00ED1FEE">
            <w:pPr>
              <w:rPr>
                <w:b/>
                <w:szCs w:val="22"/>
              </w:rPr>
            </w:pPr>
            <w:r w:rsidRPr="00FB0774">
              <w:rPr>
                <w:b/>
                <w:szCs w:val="22"/>
              </w:rPr>
              <w:t>Dátum zaevidovania v EK</w:t>
            </w:r>
          </w:p>
        </w:tc>
        <w:tc>
          <w:tcPr>
            <w:tcW w:w="0" w:type="auto"/>
          </w:tcPr>
          <w:p w:rsidR="00ED1FEE" w:rsidRPr="00FB0774" w:rsidRDefault="00ED1FEE" w:rsidP="00ED1FEE">
            <w:pPr>
              <w:rPr>
                <w:b/>
                <w:szCs w:val="22"/>
              </w:rPr>
            </w:pPr>
            <w:r w:rsidRPr="00FB0774">
              <w:rPr>
                <w:b/>
                <w:szCs w:val="22"/>
              </w:rPr>
              <w:t xml:space="preserve">Dátum uverejnenia v Úradnom vestníku </w:t>
            </w:r>
          </w:p>
        </w:tc>
        <w:tc>
          <w:tcPr>
            <w:tcW w:w="0" w:type="auto"/>
          </w:tcPr>
          <w:p w:rsidR="00ED1FEE" w:rsidRPr="00FB0774" w:rsidRDefault="00ED1FEE" w:rsidP="00ED1FEE">
            <w:pPr>
              <w:rPr>
                <w:b/>
                <w:szCs w:val="22"/>
              </w:rPr>
            </w:pPr>
            <w:r w:rsidRPr="00FB0774">
              <w:rPr>
                <w:b/>
                <w:szCs w:val="22"/>
              </w:rPr>
              <w:t>Súčasný stav –dátum zápisu do registra TSG vedeného EK</w:t>
            </w:r>
          </w:p>
        </w:tc>
        <w:tc>
          <w:tcPr>
            <w:tcW w:w="0" w:type="auto"/>
          </w:tcPr>
          <w:p w:rsidR="00ED1FEE" w:rsidRPr="00FB0774" w:rsidRDefault="00ED1FEE" w:rsidP="00ED1FEE">
            <w:pPr>
              <w:rPr>
                <w:b/>
                <w:szCs w:val="22"/>
              </w:rPr>
            </w:pPr>
            <w:r w:rsidRPr="00FB0774">
              <w:rPr>
                <w:b/>
                <w:szCs w:val="22"/>
              </w:rPr>
              <w:t>Názov a adresa združenia</w:t>
            </w:r>
          </w:p>
        </w:tc>
      </w:tr>
      <w:tr w:rsidR="00ED1FEE" w:rsidRPr="00FB0774" w:rsidTr="00ED1FEE">
        <w:tc>
          <w:tcPr>
            <w:tcW w:w="0" w:type="auto"/>
          </w:tcPr>
          <w:p w:rsidR="00ED1FEE" w:rsidRPr="00FB0774" w:rsidRDefault="00ED1FEE" w:rsidP="00ED1FEE">
            <w:pPr>
              <w:rPr>
                <w:b/>
                <w:szCs w:val="22"/>
              </w:rPr>
            </w:pPr>
            <w:r w:rsidRPr="00FB0774">
              <w:rPr>
                <w:b/>
                <w:szCs w:val="22"/>
              </w:rPr>
              <w:t>Ovčí hrudkový syr – salašnícky</w:t>
            </w:r>
          </w:p>
        </w:tc>
        <w:tc>
          <w:tcPr>
            <w:tcW w:w="0" w:type="auto"/>
          </w:tcPr>
          <w:p w:rsidR="00ED1FEE" w:rsidRPr="00FB0774" w:rsidRDefault="00ED1FEE" w:rsidP="00ED1FEE">
            <w:pPr>
              <w:rPr>
                <w:szCs w:val="22"/>
              </w:rPr>
            </w:pPr>
            <w:r w:rsidRPr="00FB0774">
              <w:rPr>
                <w:szCs w:val="22"/>
              </w:rPr>
              <w:t>26.7.2006</w:t>
            </w:r>
          </w:p>
        </w:tc>
        <w:tc>
          <w:tcPr>
            <w:tcW w:w="0" w:type="auto"/>
          </w:tcPr>
          <w:p w:rsidR="00ED1FEE" w:rsidRPr="00FB0774" w:rsidRDefault="00ED1FEE" w:rsidP="00ED1FEE">
            <w:pPr>
              <w:rPr>
                <w:szCs w:val="22"/>
              </w:rPr>
            </w:pPr>
            <w:r w:rsidRPr="00FB0774">
              <w:rPr>
                <w:szCs w:val="22"/>
              </w:rPr>
              <w:t>20.10.2006</w:t>
            </w:r>
          </w:p>
        </w:tc>
        <w:tc>
          <w:tcPr>
            <w:tcW w:w="0" w:type="auto"/>
          </w:tcPr>
          <w:p w:rsidR="00ED1FEE" w:rsidRPr="00FB0774" w:rsidRDefault="00ED1FEE" w:rsidP="00ED1FEE">
            <w:pPr>
              <w:rPr>
                <w:szCs w:val="22"/>
              </w:rPr>
            </w:pPr>
            <w:r w:rsidRPr="00FB0774">
              <w:rPr>
                <w:szCs w:val="22"/>
              </w:rPr>
              <w:t>27.1.2010</w:t>
            </w:r>
          </w:p>
        </w:tc>
        <w:tc>
          <w:tcPr>
            <w:tcW w:w="0" w:type="auto"/>
          </w:tcPr>
          <w:p w:rsidR="00ED1FEE" w:rsidRPr="00FB0774" w:rsidRDefault="00ED1FEE" w:rsidP="00ED1FEE">
            <w:pPr>
              <w:rPr>
                <w:szCs w:val="22"/>
              </w:rPr>
            </w:pPr>
            <w:r w:rsidRPr="00FB0774">
              <w:rPr>
                <w:szCs w:val="22"/>
              </w:rPr>
              <w:t>Zápis názvu „Ovčí hrudkový syr – salašnícky“ podľa nariadenia Komisie (EÚ) č. 984/2010 z 3. novembra 2010, ktorým sa do Registra zaručených tradičných špecialít zapisuje názov Ovčí hrudkový syr – salašnícky(ZTŠ) -2010/L286/3</w:t>
            </w:r>
          </w:p>
        </w:tc>
        <w:tc>
          <w:tcPr>
            <w:tcW w:w="0" w:type="auto"/>
          </w:tcPr>
          <w:p w:rsidR="00ED1FEE" w:rsidRPr="00FB0774" w:rsidRDefault="00ED1FEE" w:rsidP="00ED1FEE">
            <w:pPr>
              <w:rPr>
                <w:szCs w:val="22"/>
              </w:rPr>
            </w:pPr>
            <w:r w:rsidRPr="00FB0774">
              <w:rPr>
                <w:szCs w:val="22"/>
              </w:rPr>
              <w:t>Cech výrobcov ovčieho syra v Turci Poľnohospodárske družstvo</w:t>
            </w:r>
          </w:p>
          <w:p w:rsidR="00ED1FEE" w:rsidRPr="00FB0774" w:rsidRDefault="00ED1FEE" w:rsidP="00ED1FEE">
            <w:pPr>
              <w:rPr>
                <w:szCs w:val="22"/>
              </w:rPr>
            </w:pPr>
            <w:r w:rsidRPr="00FB0774">
              <w:rPr>
                <w:szCs w:val="22"/>
              </w:rPr>
              <w:t xml:space="preserve"> Turčianske Kľačany 271</w:t>
            </w:r>
          </w:p>
          <w:p w:rsidR="00ED1FEE" w:rsidRPr="00FB0774" w:rsidRDefault="00ED1FEE" w:rsidP="00ED1FEE">
            <w:pPr>
              <w:rPr>
                <w:szCs w:val="22"/>
              </w:rPr>
            </w:pPr>
            <w:r w:rsidRPr="00FB0774">
              <w:rPr>
                <w:szCs w:val="22"/>
              </w:rPr>
              <w:t xml:space="preserve"> 038 61 Vrútky </w:t>
            </w:r>
          </w:p>
          <w:p w:rsidR="00ED1FEE" w:rsidRPr="00FB0774" w:rsidRDefault="00ED1FEE" w:rsidP="00ED1FEE">
            <w:pPr>
              <w:rPr>
                <w:szCs w:val="22"/>
              </w:rPr>
            </w:pPr>
            <w:r w:rsidRPr="00FB0774">
              <w:rPr>
                <w:szCs w:val="22"/>
              </w:rPr>
              <w:t>tel. +421 4343085213</w:t>
            </w:r>
          </w:p>
          <w:p w:rsidR="00ED1FEE" w:rsidRPr="00FB0774" w:rsidRDefault="00ED1FEE" w:rsidP="00ED1FEE">
            <w:pPr>
              <w:rPr>
                <w:szCs w:val="22"/>
              </w:rPr>
            </w:pPr>
            <w:r w:rsidRPr="00FB0774">
              <w:rPr>
                <w:szCs w:val="22"/>
              </w:rPr>
              <w:t xml:space="preserve"> fax +421 434308523 </w:t>
            </w:r>
          </w:p>
          <w:p w:rsidR="00ED1FEE" w:rsidRPr="00FB0774" w:rsidRDefault="00ED1FEE" w:rsidP="00ED1FEE">
            <w:pPr>
              <w:rPr>
                <w:szCs w:val="22"/>
              </w:rPr>
            </w:pPr>
            <w:r w:rsidRPr="00FB0774">
              <w:rPr>
                <w:szCs w:val="22"/>
              </w:rPr>
              <w:t>e-mail: tas_sro@stonline.sk</w:t>
            </w:r>
          </w:p>
        </w:tc>
      </w:tr>
      <w:tr w:rsidR="00ED1FEE" w:rsidRPr="00FB0774" w:rsidTr="00ED1FEE">
        <w:tc>
          <w:tcPr>
            <w:tcW w:w="0" w:type="auto"/>
          </w:tcPr>
          <w:p w:rsidR="00ED1FEE" w:rsidRPr="00FB0774" w:rsidRDefault="00ED1FEE" w:rsidP="00ED1FEE">
            <w:pPr>
              <w:rPr>
                <w:b/>
                <w:szCs w:val="22"/>
              </w:rPr>
            </w:pPr>
            <w:r w:rsidRPr="00FB0774">
              <w:rPr>
                <w:b/>
                <w:szCs w:val="22"/>
              </w:rPr>
              <w:t>Ovčí salašnícky údený syr</w:t>
            </w:r>
          </w:p>
        </w:tc>
        <w:tc>
          <w:tcPr>
            <w:tcW w:w="0" w:type="auto"/>
          </w:tcPr>
          <w:p w:rsidR="00ED1FEE" w:rsidRPr="00FB0774" w:rsidRDefault="00ED1FEE" w:rsidP="00ED1FEE">
            <w:pPr>
              <w:rPr>
                <w:szCs w:val="22"/>
              </w:rPr>
            </w:pPr>
            <w:r w:rsidRPr="00FB0774">
              <w:rPr>
                <w:szCs w:val="22"/>
              </w:rPr>
              <w:t>26.7.2006</w:t>
            </w:r>
          </w:p>
        </w:tc>
        <w:tc>
          <w:tcPr>
            <w:tcW w:w="0" w:type="auto"/>
          </w:tcPr>
          <w:p w:rsidR="00ED1FEE" w:rsidRPr="00FB0774" w:rsidRDefault="00ED1FEE" w:rsidP="00ED1FEE">
            <w:pPr>
              <w:rPr>
                <w:szCs w:val="22"/>
              </w:rPr>
            </w:pPr>
            <w:r w:rsidRPr="00FB0774">
              <w:rPr>
                <w:szCs w:val="22"/>
              </w:rPr>
              <w:t>20.10.2006</w:t>
            </w:r>
          </w:p>
        </w:tc>
        <w:tc>
          <w:tcPr>
            <w:tcW w:w="0" w:type="auto"/>
          </w:tcPr>
          <w:p w:rsidR="00ED1FEE" w:rsidRPr="00FB0774" w:rsidRDefault="00ED1FEE" w:rsidP="00ED1FEE">
            <w:pPr>
              <w:rPr>
                <w:szCs w:val="22"/>
              </w:rPr>
            </w:pPr>
            <w:r w:rsidRPr="00FB0774">
              <w:rPr>
                <w:szCs w:val="22"/>
              </w:rPr>
              <w:t>16.12.2009</w:t>
            </w:r>
          </w:p>
        </w:tc>
        <w:tc>
          <w:tcPr>
            <w:tcW w:w="0" w:type="auto"/>
          </w:tcPr>
          <w:p w:rsidR="00ED1FEE" w:rsidRPr="00FB0774" w:rsidRDefault="00ED1FEE" w:rsidP="00ED1FEE">
            <w:pPr>
              <w:rPr>
                <w:szCs w:val="22"/>
              </w:rPr>
            </w:pPr>
            <w:r w:rsidRPr="00FB0774">
              <w:rPr>
                <w:szCs w:val="22"/>
              </w:rPr>
              <w:t>Zápis názvu „Ovčí salašnícky údený syr“ podľa nariadenia Komisie (EÚ) č. 930/2010 zo 18. októbra 2010, ktorým sa do Registra zaručených tradičných špecialít zapisuje názov Ovčí salašnícky údený syr (ZTŠ) -2010/L273/5</w:t>
            </w:r>
          </w:p>
        </w:tc>
        <w:tc>
          <w:tcPr>
            <w:tcW w:w="0" w:type="auto"/>
          </w:tcPr>
          <w:p w:rsidR="00ED1FEE" w:rsidRPr="00FB0774" w:rsidRDefault="00ED1FEE" w:rsidP="00ED1FEE">
            <w:pPr>
              <w:rPr>
                <w:szCs w:val="22"/>
              </w:rPr>
            </w:pPr>
            <w:r w:rsidRPr="00FB0774">
              <w:rPr>
                <w:szCs w:val="22"/>
              </w:rPr>
              <w:t>Cech výrobcov ovčieho syra v Turci Poľnohospodárske družstvo</w:t>
            </w:r>
          </w:p>
          <w:p w:rsidR="00ED1FEE" w:rsidRPr="00FB0774" w:rsidRDefault="00ED1FEE" w:rsidP="00ED1FEE">
            <w:pPr>
              <w:rPr>
                <w:szCs w:val="22"/>
              </w:rPr>
            </w:pPr>
            <w:r w:rsidRPr="00FB0774">
              <w:rPr>
                <w:szCs w:val="22"/>
              </w:rPr>
              <w:t xml:space="preserve"> Turčianske Kľačany 271</w:t>
            </w:r>
          </w:p>
          <w:p w:rsidR="00ED1FEE" w:rsidRPr="00FB0774" w:rsidRDefault="00ED1FEE" w:rsidP="00ED1FEE">
            <w:pPr>
              <w:rPr>
                <w:szCs w:val="22"/>
              </w:rPr>
            </w:pPr>
            <w:r w:rsidRPr="00FB0774">
              <w:rPr>
                <w:szCs w:val="22"/>
              </w:rPr>
              <w:t xml:space="preserve"> 038 61 Vrútky </w:t>
            </w:r>
          </w:p>
          <w:p w:rsidR="00ED1FEE" w:rsidRPr="00FB0774" w:rsidRDefault="00ED1FEE" w:rsidP="00ED1FEE">
            <w:pPr>
              <w:rPr>
                <w:szCs w:val="22"/>
              </w:rPr>
            </w:pPr>
            <w:r w:rsidRPr="00FB0774">
              <w:rPr>
                <w:szCs w:val="22"/>
              </w:rPr>
              <w:t>tel. +421 4343085213</w:t>
            </w:r>
          </w:p>
          <w:p w:rsidR="00ED1FEE" w:rsidRPr="00FB0774" w:rsidRDefault="00ED1FEE" w:rsidP="00ED1FEE">
            <w:pPr>
              <w:rPr>
                <w:szCs w:val="22"/>
              </w:rPr>
            </w:pPr>
            <w:r w:rsidRPr="00FB0774">
              <w:rPr>
                <w:szCs w:val="22"/>
              </w:rPr>
              <w:t xml:space="preserve"> fax +421 434308523 </w:t>
            </w:r>
          </w:p>
          <w:p w:rsidR="00ED1FEE" w:rsidRPr="00FB0774" w:rsidRDefault="00ED1FEE" w:rsidP="00ED1FEE">
            <w:pPr>
              <w:rPr>
                <w:szCs w:val="22"/>
              </w:rPr>
            </w:pPr>
            <w:r w:rsidRPr="00FB0774">
              <w:rPr>
                <w:szCs w:val="22"/>
              </w:rPr>
              <w:t>e-mail: tas_sro@stonline.sk</w:t>
            </w:r>
          </w:p>
        </w:tc>
      </w:tr>
      <w:tr w:rsidR="00ED1FEE" w:rsidRPr="00FB0774" w:rsidTr="00ED1FEE">
        <w:tc>
          <w:tcPr>
            <w:tcW w:w="0" w:type="auto"/>
          </w:tcPr>
          <w:p w:rsidR="00ED1FEE" w:rsidRPr="00FB0774" w:rsidRDefault="00ED1FEE" w:rsidP="00ED1FEE">
            <w:pPr>
              <w:rPr>
                <w:b/>
                <w:szCs w:val="22"/>
              </w:rPr>
            </w:pPr>
            <w:r w:rsidRPr="00FB0774">
              <w:rPr>
                <w:b/>
                <w:szCs w:val="22"/>
              </w:rPr>
              <w:t>Lovecká saláma</w:t>
            </w:r>
          </w:p>
        </w:tc>
        <w:tc>
          <w:tcPr>
            <w:tcW w:w="0" w:type="auto"/>
          </w:tcPr>
          <w:p w:rsidR="00ED1FEE" w:rsidRPr="00FB0774" w:rsidRDefault="00ED1FEE" w:rsidP="00ED1FEE">
            <w:pPr>
              <w:rPr>
                <w:szCs w:val="22"/>
              </w:rPr>
            </w:pPr>
            <w:r w:rsidRPr="00FB0774">
              <w:rPr>
                <w:szCs w:val="22"/>
              </w:rPr>
              <w:t>23.8.2006</w:t>
            </w:r>
          </w:p>
        </w:tc>
        <w:tc>
          <w:tcPr>
            <w:tcW w:w="0" w:type="auto"/>
          </w:tcPr>
          <w:p w:rsidR="00ED1FEE" w:rsidRPr="00FB0774" w:rsidRDefault="00ED1FEE" w:rsidP="00ED1FEE">
            <w:pPr>
              <w:rPr>
                <w:szCs w:val="22"/>
              </w:rPr>
            </w:pPr>
            <w:r w:rsidRPr="00FB0774">
              <w:rPr>
                <w:szCs w:val="22"/>
              </w:rPr>
              <w:t>4.8.2006</w:t>
            </w:r>
          </w:p>
        </w:tc>
        <w:tc>
          <w:tcPr>
            <w:tcW w:w="0" w:type="auto"/>
          </w:tcPr>
          <w:p w:rsidR="00ED1FEE" w:rsidRPr="00FB0774" w:rsidRDefault="00ED1FEE" w:rsidP="00ED1FEE">
            <w:pPr>
              <w:rPr>
                <w:szCs w:val="22"/>
              </w:rPr>
            </w:pPr>
            <w:r w:rsidRPr="00FB0774">
              <w:rPr>
                <w:szCs w:val="22"/>
              </w:rPr>
              <w:t>16.4.2010</w:t>
            </w:r>
          </w:p>
        </w:tc>
        <w:tc>
          <w:tcPr>
            <w:tcW w:w="0" w:type="auto"/>
          </w:tcPr>
          <w:p w:rsidR="00ED1FEE" w:rsidRPr="00FB0774" w:rsidRDefault="00ED1FEE" w:rsidP="00ED1FEE">
            <w:pPr>
              <w:rPr>
                <w:szCs w:val="22"/>
              </w:rPr>
            </w:pPr>
            <w:r w:rsidRPr="00FB0774">
              <w:rPr>
                <w:szCs w:val="22"/>
              </w:rPr>
              <w:t>Zápis názvu „Lovecký salám“/„Lovecká saláma“ podľa nariadenia Komisie (EÚ) č. 160/2011 z 21. februára 2011, ktorým sa do Registra zaručených tradičných špecialít zapisuje názov „Lovecký salám“/„Lovecká saláma“ Spoločná žiadosť s Českou republikou</w:t>
            </w:r>
          </w:p>
        </w:tc>
        <w:tc>
          <w:tcPr>
            <w:tcW w:w="0" w:type="auto"/>
          </w:tcPr>
          <w:p w:rsidR="00ED1FEE" w:rsidRPr="00FB0774" w:rsidRDefault="00ED1FEE" w:rsidP="00ED1FEE">
            <w:pPr>
              <w:rPr>
                <w:szCs w:val="22"/>
              </w:rPr>
            </w:pPr>
            <w:r w:rsidRPr="00FB0774">
              <w:rPr>
                <w:szCs w:val="22"/>
              </w:rPr>
              <w:t xml:space="preserve">Slovenský zväz spracovateľov mäsa* </w:t>
            </w:r>
          </w:p>
          <w:p w:rsidR="00ED1FEE" w:rsidRPr="00FB0774" w:rsidRDefault="00ED1FEE" w:rsidP="00ED1FEE">
            <w:pPr>
              <w:rPr>
                <w:szCs w:val="22"/>
              </w:rPr>
            </w:pPr>
            <w:r w:rsidRPr="00FB0774">
              <w:rPr>
                <w:szCs w:val="22"/>
              </w:rPr>
              <w:t xml:space="preserve">Digital park II, Einsteinova 23, </w:t>
            </w:r>
          </w:p>
          <w:p w:rsidR="00ED1FEE" w:rsidRPr="00FB0774" w:rsidRDefault="00ED1FEE" w:rsidP="00ED1FEE">
            <w:pPr>
              <w:rPr>
                <w:szCs w:val="22"/>
              </w:rPr>
            </w:pPr>
            <w:r w:rsidRPr="00FB0774">
              <w:rPr>
                <w:szCs w:val="22"/>
              </w:rPr>
              <w:t xml:space="preserve">851 01 Bratislava </w:t>
            </w:r>
          </w:p>
          <w:p w:rsidR="00ED1FEE" w:rsidRPr="00FB0774" w:rsidRDefault="00ED1FEE" w:rsidP="00ED1FEE">
            <w:pPr>
              <w:rPr>
                <w:szCs w:val="22"/>
              </w:rPr>
            </w:pPr>
            <w:r w:rsidRPr="00FB0774">
              <w:rPr>
                <w:szCs w:val="22"/>
              </w:rPr>
              <w:t>tel: 02 / 444 500 45</w:t>
            </w:r>
          </w:p>
          <w:p w:rsidR="00ED1FEE" w:rsidRPr="00FB0774" w:rsidRDefault="00ED1FEE" w:rsidP="00ED1FEE">
            <w:pPr>
              <w:rPr>
                <w:szCs w:val="22"/>
              </w:rPr>
            </w:pPr>
            <w:r w:rsidRPr="00FB0774">
              <w:rPr>
                <w:szCs w:val="22"/>
              </w:rPr>
              <w:t xml:space="preserve"> fax: 02 / 444 543 36 </w:t>
            </w:r>
          </w:p>
          <w:p w:rsidR="00ED1FEE" w:rsidRPr="00FB0774" w:rsidRDefault="00ED1FEE" w:rsidP="00ED1FEE">
            <w:pPr>
              <w:rPr>
                <w:szCs w:val="22"/>
              </w:rPr>
            </w:pPr>
            <w:r w:rsidRPr="00FB0774">
              <w:rPr>
                <w:szCs w:val="22"/>
              </w:rPr>
              <w:t>e-mail: slovmaso@slovmaso.sk *nahradený Zväzom spracovateľov mäsa</w:t>
            </w:r>
          </w:p>
        </w:tc>
      </w:tr>
      <w:tr w:rsidR="00ED1FEE" w:rsidRPr="00FB0774" w:rsidTr="00ED1FEE">
        <w:tc>
          <w:tcPr>
            <w:tcW w:w="0" w:type="auto"/>
          </w:tcPr>
          <w:p w:rsidR="00ED1FEE" w:rsidRPr="00FB0774" w:rsidRDefault="00ED1FEE" w:rsidP="00ED1FEE">
            <w:pPr>
              <w:rPr>
                <w:b/>
                <w:szCs w:val="22"/>
              </w:rPr>
            </w:pPr>
            <w:r w:rsidRPr="00FB0774">
              <w:rPr>
                <w:b/>
                <w:szCs w:val="22"/>
              </w:rPr>
              <w:lastRenderedPageBreak/>
              <w:t>Liptovská saláma</w:t>
            </w:r>
          </w:p>
        </w:tc>
        <w:tc>
          <w:tcPr>
            <w:tcW w:w="0" w:type="auto"/>
          </w:tcPr>
          <w:p w:rsidR="00ED1FEE" w:rsidRPr="00FB0774" w:rsidRDefault="00ED1FEE" w:rsidP="00ED1FEE">
            <w:pPr>
              <w:rPr>
                <w:szCs w:val="22"/>
              </w:rPr>
            </w:pPr>
            <w:r w:rsidRPr="00FB0774">
              <w:rPr>
                <w:szCs w:val="22"/>
              </w:rPr>
              <w:t>23.8.2006</w:t>
            </w:r>
          </w:p>
        </w:tc>
        <w:tc>
          <w:tcPr>
            <w:tcW w:w="0" w:type="auto"/>
          </w:tcPr>
          <w:p w:rsidR="00ED1FEE" w:rsidRPr="00FB0774" w:rsidRDefault="00ED1FEE" w:rsidP="00ED1FEE">
            <w:pPr>
              <w:rPr>
                <w:szCs w:val="22"/>
              </w:rPr>
            </w:pPr>
            <w:r w:rsidRPr="00FB0774">
              <w:rPr>
                <w:szCs w:val="22"/>
              </w:rPr>
              <w:t>4.8.2006</w:t>
            </w:r>
          </w:p>
        </w:tc>
        <w:tc>
          <w:tcPr>
            <w:tcW w:w="0" w:type="auto"/>
          </w:tcPr>
          <w:p w:rsidR="00ED1FEE" w:rsidRPr="00FB0774" w:rsidRDefault="00ED1FEE" w:rsidP="00ED1FEE">
            <w:pPr>
              <w:rPr>
                <w:szCs w:val="22"/>
              </w:rPr>
            </w:pPr>
            <w:r w:rsidRPr="00FB0774">
              <w:rPr>
                <w:szCs w:val="22"/>
              </w:rPr>
              <w:t>22.4.2010</w:t>
            </w:r>
          </w:p>
        </w:tc>
        <w:tc>
          <w:tcPr>
            <w:tcW w:w="0" w:type="auto"/>
          </w:tcPr>
          <w:p w:rsidR="00ED1FEE" w:rsidRPr="00FB0774" w:rsidRDefault="00ED1FEE" w:rsidP="00ED1FEE">
            <w:pPr>
              <w:rPr>
                <w:szCs w:val="22"/>
              </w:rPr>
            </w:pPr>
            <w:r w:rsidRPr="00FB0774">
              <w:rPr>
                <w:szCs w:val="22"/>
              </w:rPr>
              <w:t>Zápis názvu „Liptovská saláma“/„Liptovský salám“ podľa nariadenia Komisie (EÚ) č. 161/2011 z 21. februára 2011, ktorým sa do Registra zaručených tradičných špecialít zapisuje názov „Liptovská saláma“/„Liptovský salám“</w:t>
            </w:r>
          </w:p>
          <w:p w:rsidR="00ED1FEE" w:rsidRPr="00FB0774" w:rsidRDefault="00ED1FEE" w:rsidP="00ED1FEE">
            <w:pPr>
              <w:rPr>
                <w:szCs w:val="22"/>
              </w:rPr>
            </w:pPr>
            <w:r w:rsidRPr="00FB0774">
              <w:rPr>
                <w:szCs w:val="22"/>
              </w:rPr>
              <w:t>Spoločná žiadosť s Českou republikou</w:t>
            </w:r>
          </w:p>
        </w:tc>
        <w:tc>
          <w:tcPr>
            <w:tcW w:w="0" w:type="auto"/>
          </w:tcPr>
          <w:p w:rsidR="00ED1FEE" w:rsidRPr="00FB0774" w:rsidRDefault="00ED1FEE" w:rsidP="00ED1FEE">
            <w:pPr>
              <w:rPr>
                <w:szCs w:val="22"/>
              </w:rPr>
            </w:pPr>
            <w:r w:rsidRPr="00FB0774">
              <w:rPr>
                <w:szCs w:val="22"/>
              </w:rPr>
              <w:t xml:space="preserve">Slovenský zväz spracovateľov mäsa*, Slovenský mäsiarsky zväz Digital park II, </w:t>
            </w:r>
          </w:p>
          <w:p w:rsidR="00ED1FEE" w:rsidRPr="00FB0774" w:rsidRDefault="00ED1FEE" w:rsidP="00ED1FEE">
            <w:pPr>
              <w:rPr>
                <w:szCs w:val="22"/>
              </w:rPr>
            </w:pPr>
            <w:r w:rsidRPr="00FB0774">
              <w:rPr>
                <w:szCs w:val="22"/>
              </w:rPr>
              <w:t>Einsteinova 23,</w:t>
            </w:r>
          </w:p>
          <w:p w:rsidR="00ED1FEE" w:rsidRPr="00FB0774" w:rsidRDefault="00ED1FEE" w:rsidP="00ED1FEE">
            <w:pPr>
              <w:rPr>
                <w:szCs w:val="22"/>
              </w:rPr>
            </w:pPr>
            <w:r w:rsidRPr="00FB0774">
              <w:rPr>
                <w:szCs w:val="22"/>
              </w:rPr>
              <w:t xml:space="preserve"> 851 01 Bratislava</w:t>
            </w:r>
          </w:p>
          <w:p w:rsidR="00ED1FEE" w:rsidRPr="00FB0774" w:rsidRDefault="00ED1FEE" w:rsidP="00ED1FEE">
            <w:pPr>
              <w:rPr>
                <w:szCs w:val="22"/>
              </w:rPr>
            </w:pPr>
            <w:r w:rsidRPr="00FB0774">
              <w:rPr>
                <w:szCs w:val="22"/>
              </w:rPr>
              <w:t>tel: 02 / 444 500 45</w:t>
            </w:r>
          </w:p>
          <w:p w:rsidR="00ED1FEE" w:rsidRPr="00FB0774" w:rsidRDefault="00ED1FEE" w:rsidP="00ED1FEE">
            <w:pPr>
              <w:rPr>
                <w:szCs w:val="22"/>
              </w:rPr>
            </w:pPr>
            <w:r w:rsidRPr="00FB0774">
              <w:rPr>
                <w:szCs w:val="22"/>
              </w:rPr>
              <w:t xml:space="preserve"> fax: 02 / 444 543 36 </w:t>
            </w:r>
          </w:p>
          <w:p w:rsidR="00ED1FEE" w:rsidRPr="00FB0774" w:rsidRDefault="00ED1FEE" w:rsidP="00ED1FEE">
            <w:pPr>
              <w:rPr>
                <w:szCs w:val="22"/>
              </w:rPr>
            </w:pPr>
            <w:r w:rsidRPr="00FB0774">
              <w:rPr>
                <w:szCs w:val="22"/>
              </w:rPr>
              <w:t>e-mail: slovmaso@slovmaso.sk *nahradený Zväzom spracovateľov mäsa</w:t>
            </w:r>
          </w:p>
        </w:tc>
      </w:tr>
      <w:tr w:rsidR="00ED1FEE" w:rsidRPr="00FB0774" w:rsidTr="00ED1FEE">
        <w:tc>
          <w:tcPr>
            <w:tcW w:w="0" w:type="auto"/>
          </w:tcPr>
          <w:p w:rsidR="00ED1FEE" w:rsidRPr="00FB0774" w:rsidRDefault="00ED1FEE" w:rsidP="00ED1FEE">
            <w:pPr>
              <w:rPr>
                <w:b/>
                <w:szCs w:val="22"/>
              </w:rPr>
            </w:pPr>
            <w:r w:rsidRPr="00FB0774">
              <w:rPr>
                <w:b/>
                <w:szCs w:val="22"/>
              </w:rPr>
              <w:t>Špekačky</w:t>
            </w:r>
          </w:p>
        </w:tc>
        <w:tc>
          <w:tcPr>
            <w:tcW w:w="0" w:type="auto"/>
          </w:tcPr>
          <w:p w:rsidR="00ED1FEE" w:rsidRPr="00FB0774" w:rsidRDefault="00ED1FEE" w:rsidP="00ED1FEE">
            <w:pPr>
              <w:rPr>
                <w:szCs w:val="22"/>
              </w:rPr>
            </w:pPr>
            <w:r w:rsidRPr="00FB0774">
              <w:rPr>
                <w:szCs w:val="22"/>
              </w:rPr>
              <w:t>2.10.2006</w:t>
            </w:r>
          </w:p>
        </w:tc>
        <w:tc>
          <w:tcPr>
            <w:tcW w:w="0" w:type="auto"/>
          </w:tcPr>
          <w:p w:rsidR="00ED1FEE" w:rsidRPr="00FB0774" w:rsidRDefault="00ED1FEE" w:rsidP="00ED1FEE">
            <w:pPr>
              <w:rPr>
                <w:szCs w:val="22"/>
              </w:rPr>
            </w:pPr>
            <w:r w:rsidRPr="00FB0774">
              <w:rPr>
                <w:szCs w:val="22"/>
              </w:rPr>
              <w:t>21.05.2007</w:t>
            </w:r>
          </w:p>
        </w:tc>
        <w:tc>
          <w:tcPr>
            <w:tcW w:w="0" w:type="auto"/>
          </w:tcPr>
          <w:p w:rsidR="00ED1FEE" w:rsidRPr="00FB0774" w:rsidRDefault="00ED1FEE" w:rsidP="00ED1FEE">
            <w:pPr>
              <w:rPr>
                <w:szCs w:val="22"/>
              </w:rPr>
            </w:pPr>
            <w:r w:rsidRPr="00FB0774">
              <w:rPr>
                <w:szCs w:val="22"/>
              </w:rPr>
              <w:t>14.4.2010</w:t>
            </w:r>
          </w:p>
        </w:tc>
        <w:tc>
          <w:tcPr>
            <w:tcW w:w="0" w:type="auto"/>
          </w:tcPr>
          <w:p w:rsidR="00ED1FEE" w:rsidRPr="00FB0774" w:rsidRDefault="00ED1FEE" w:rsidP="00ED1FEE">
            <w:pPr>
              <w:rPr>
                <w:szCs w:val="22"/>
              </w:rPr>
            </w:pPr>
            <w:r w:rsidRPr="00FB0774">
              <w:rPr>
                <w:szCs w:val="22"/>
              </w:rPr>
              <w:t>Zápis názvu „Špekáčky“/„Špekačky“ podľa nariadenia Komisie (EÚ) č. 158/2011 z 21. februára 2011, ktorým sa do Registra zaručených tradičných špecialít zapisuje názov „Špekáčky“/„Špekačky“</w:t>
            </w:r>
          </w:p>
          <w:p w:rsidR="00ED1FEE" w:rsidRPr="00FB0774" w:rsidRDefault="00ED1FEE" w:rsidP="00ED1FEE">
            <w:pPr>
              <w:rPr>
                <w:szCs w:val="22"/>
              </w:rPr>
            </w:pPr>
            <w:r w:rsidRPr="00FB0774">
              <w:rPr>
                <w:szCs w:val="22"/>
              </w:rPr>
              <w:t xml:space="preserve"> Spoločná žiadosť s Českou republikou</w:t>
            </w:r>
          </w:p>
        </w:tc>
        <w:tc>
          <w:tcPr>
            <w:tcW w:w="0" w:type="auto"/>
          </w:tcPr>
          <w:p w:rsidR="00ED1FEE" w:rsidRPr="00FB0774" w:rsidRDefault="00ED1FEE" w:rsidP="00ED1FEE">
            <w:pPr>
              <w:rPr>
                <w:szCs w:val="22"/>
              </w:rPr>
            </w:pPr>
            <w:r w:rsidRPr="00FB0774">
              <w:rPr>
                <w:szCs w:val="22"/>
              </w:rPr>
              <w:t xml:space="preserve">Slovenský zväz spracovateľov mäsa*, Slovenský mäsiarsky zväz Digital park II, </w:t>
            </w:r>
          </w:p>
          <w:p w:rsidR="00ED1FEE" w:rsidRPr="00FB0774" w:rsidRDefault="00ED1FEE" w:rsidP="00ED1FEE">
            <w:pPr>
              <w:rPr>
                <w:szCs w:val="22"/>
              </w:rPr>
            </w:pPr>
            <w:r w:rsidRPr="00FB0774">
              <w:rPr>
                <w:szCs w:val="22"/>
              </w:rPr>
              <w:t>Einsteinova 23,</w:t>
            </w:r>
          </w:p>
          <w:p w:rsidR="00ED1FEE" w:rsidRPr="00FB0774" w:rsidRDefault="00ED1FEE" w:rsidP="00ED1FEE">
            <w:pPr>
              <w:rPr>
                <w:szCs w:val="22"/>
              </w:rPr>
            </w:pPr>
            <w:r w:rsidRPr="00FB0774">
              <w:rPr>
                <w:szCs w:val="22"/>
              </w:rPr>
              <w:t xml:space="preserve"> 851 01 Bratislava</w:t>
            </w:r>
          </w:p>
          <w:p w:rsidR="00ED1FEE" w:rsidRPr="00FB0774" w:rsidRDefault="00ED1FEE" w:rsidP="00ED1FEE">
            <w:pPr>
              <w:rPr>
                <w:szCs w:val="22"/>
              </w:rPr>
            </w:pPr>
            <w:r w:rsidRPr="00FB0774">
              <w:rPr>
                <w:szCs w:val="22"/>
              </w:rPr>
              <w:t>tel: 02 / 444 500 45</w:t>
            </w:r>
          </w:p>
          <w:p w:rsidR="00ED1FEE" w:rsidRPr="00FB0774" w:rsidRDefault="00ED1FEE" w:rsidP="00ED1FEE">
            <w:pPr>
              <w:rPr>
                <w:szCs w:val="22"/>
              </w:rPr>
            </w:pPr>
            <w:r w:rsidRPr="00FB0774">
              <w:rPr>
                <w:szCs w:val="22"/>
              </w:rPr>
              <w:t xml:space="preserve"> fax: 02 / 444 543 36 </w:t>
            </w:r>
          </w:p>
          <w:p w:rsidR="00ED1FEE" w:rsidRPr="00FB0774" w:rsidRDefault="00ED1FEE" w:rsidP="00ED1FEE">
            <w:pPr>
              <w:rPr>
                <w:szCs w:val="22"/>
              </w:rPr>
            </w:pPr>
            <w:r w:rsidRPr="00FB0774">
              <w:rPr>
                <w:szCs w:val="22"/>
              </w:rPr>
              <w:t>e-mail: slovmaso@slovmaso.sk *nahradený Zväzom spracovateľov mäsa</w:t>
            </w:r>
          </w:p>
        </w:tc>
      </w:tr>
      <w:tr w:rsidR="00ED1FEE" w:rsidRPr="00FB0774" w:rsidTr="00ED1FEE">
        <w:tc>
          <w:tcPr>
            <w:tcW w:w="0" w:type="auto"/>
          </w:tcPr>
          <w:p w:rsidR="00ED1FEE" w:rsidRPr="00FB0774" w:rsidRDefault="00ED1FEE" w:rsidP="00ED1FEE">
            <w:pPr>
              <w:rPr>
                <w:b/>
                <w:szCs w:val="22"/>
              </w:rPr>
            </w:pPr>
            <w:r w:rsidRPr="00FB0774">
              <w:rPr>
                <w:b/>
                <w:szCs w:val="22"/>
              </w:rPr>
              <w:t>Spišské párky</w:t>
            </w:r>
          </w:p>
        </w:tc>
        <w:tc>
          <w:tcPr>
            <w:tcW w:w="0" w:type="auto"/>
          </w:tcPr>
          <w:p w:rsidR="00ED1FEE" w:rsidRPr="00FB0774" w:rsidRDefault="00ED1FEE" w:rsidP="00ED1FEE">
            <w:pPr>
              <w:rPr>
                <w:szCs w:val="22"/>
              </w:rPr>
            </w:pPr>
            <w:r w:rsidRPr="00FB0774">
              <w:rPr>
                <w:szCs w:val="22"/>
              </w:rPr>
              <w:t>2.10.2006</w:t>
            </w:r>
          </w:p>
        </w:tc>
        <w:tc>
          <w:tcPr>
            <w:tcW w:w="0" w:type="auto"/>
          </w:tcPr>
          <w:p w:rsidR="00ED1FEE" w:rsidRPr="00FB0774" w:rsidRDefault="00ED1FEE" w:rsidP="00ED1FEE">
            <w:pPr>
              <w:rPr>
                <w:szCs w:val="22"/>
              </w:rPr>
            </w:pPr>
            <w:r w:rsidRPr="00FB0774">
              <w:rPr>
                <w:szCs w:val="22"/>
              </w:rPr>
              <w:t>18.1.2007</w:t>
            </w:r>
          </w:p>
        </w:tc>
        <w:tc>
          <w:tcPr>
            <w:tcW w:w="0" w:type="auto"/>
          </w:tcPr>
          <w:p w:rsidR="00ED1FEE" w:rsidRPr="00FB0774" w:rsidRDefault="00ED1FEE" w:rsidP="00ED1FEE">
            <w:pPr>
              <w:rPr>
                <w:szCs w:val="22"/>
              </w:rPr>
            </w:pPr>
            <w:r w:rsidRPr="00FB0774">
              <w:rPr>
                <w:szCs w:val="22"/>
              </w:rPr>
              <w:t>15.4.2010</w:t>
            </w:r>
          </w:p>
        </w:tc>
        <w:tc>
          <w:tcPr>
            <w:tcW w:w="0" w:type="auto"/>
          </w:tcPr>
          <w:p w:rsidR="00ED1FEE" w:rsidRPr="00FB0774" w:rsidRDefault="00ED1FEE" w:rsidP="00ED1FEE">
            <w:pPr>
              <w:rPr>
                <w:szCs w:val="22"/>
              </w:rPr>
            </w:pPr>
            <w:r w:rsidRPr="00FB0774">
              <w:rPr>
                <w:szCs w:val="22"/>
              </w:rPr>
              <w:t xml:space="preserve">Zápis názvu „Spišské párky“ podľa nariadenia Komisie (EÚ) č. 159/2011 z 21. februára 2011, ktorým sa do Registra zaručených tradičných špecialít zapisuje názov „Spišské párky“ </w:t>
            </w:r>
          </w:p>
          <w:p w:rsidR="00ED1FEE" w:rsidRPr="00FB0774" w:rsidRDefault="00ED1FEE" w:rsidP="00ED1FEE">
            <w:pPr>
              <w:rPr>
                <w:szCs w:val="22"/>
              </w:rPr>
            </w:pPr>
            <w:r w:rsidRPr="00FB0774">
              <w:rPr>
                <w:szCs w:val="22"/>
              </w:rPr>
              <w:t>Spoločná žiadosť s Českou republikou</w:t>
            </w:r>
          </w:p>
        </w:tc>
        <w:tc>
          <w:tcPr>
            <w:tcW w:w="0" w:type="auto"/>
          </w:tcPr>
          <w:p w:rsidR="00ED1FEE" w:rsidRPr="00FB0774" w:rsidRDefault="00ED1FEE" w:rsidP="00ED1FEE">
            <w:pPr>
              <w:rPr>
                <w:szCs w:val="22"/>
              </w:rPr>
            </w:pPr>
            <w:r w:rsidRPr="00FB0774">
              <w:rPr>
                <w:szCs w:val="22"/>
              </w:rPr>
              <w:t xml:space="preserve">Slovenský zväz spracovateľov mäsa*, Slovenský mäsiarsky zväz Digital park II, </w:t>
            </w:r>
          </w:p>
          <w:p w:rsidR="00ED1FEE" w:rsidRPr="00FB0774" w:rsidRDefault="00ED1FEE" w:rsidP="00ED1FEE">
            <w:pPr>
              <w:rPr>
                <w:szCs w:val="22"/>
              </w:rPr>
            </w:pPr>
            <w:r w:rsidRPr="00FB0774">
              <w:rPr>
                <w:szCs w:val="22"/>
              </w:rPr>
              <w:t>Einsteinova 23,</w:t>
            </w:r>
          </w:p>
          <w:p w:rsidR="00ED1FEE" w:rsidRPr="00FB0774" w:rsidRDefault="00ED1FEE" w:rsidP="00ED1FEE">
            <w:pPr>
              <w:rPr>
                <w:szCs w:val="22"/>
              </w:rPr>
            </w:pPr>
            <w:r w:rsidRPr="00FB0774">
              <w:rPr>
                <w:szCs w:val="22"/>
              </w:rPr>
              <w:t xml:space="preserve"> 851 01 Bratislava</w:t>
            </w:r>
          </w:p>
          <w:p w:rsidR="00ED1FEE" w:rsidRPr="00FB0774" w:rsidRDefault="00ED1FEE" w:rsidP="00ED1FEE">
            <w:pPr>
              <w:rPr>
                <w:szCs w:val="22"/>
              </w:rPr>
            </w:pPr>
            <w:r w:rsidRPr="00FB0774">
              <w:rPr>
                <w:szCs w:val="22"/>
              </w:rPr>
              <w:t>tel: 02 / 444 500 45</w:t>
            </w:r>
          </w:p>
          <w:p w:rsidR="00ED1FEE" w:rsidRPr="00FB0774" w:rsidRDefault="00ED1FEE" w:rsidP="00ED1FEE">
            <w:pPr>
              <w:rPr>
                <w:szCs w:val="22"/>
              </w:rPr>
            </w:pPr>
            <w:r w:rsidRPr="00FB0774">
              <w:rPr>
                <w:szCs w:val="22"/>
              </w:rPr>
              <w:t xml:space="preserve"> fax: 02 / 444 543 36 </w:t>
            </w:r>
          </w:p>
          <w:p w:rsidR="00ED1FEE" w:rsidRPr="00FB0774" w:rsidRDefault="00ED1FEE" w:rsidP="00ED1FEE">
            <w:pPr>
              <w:rPr>
                <w:szCs w:val="22"/>
              </w:rPr>
            </w:pPr>
            <w:r w:rsidRPr="00FB0774">
              <w:rPr>
                <w:szCs w:val="22"/>
              </w:rPr>
              <w:t>e-mail: slovmaso@slovmaso.sk *nahradený Zväzom spracovateľov mäsa</w:t>
            </w:r>
          </w:p>
        </w:tc>
      </w:tr>
      <w:tr w:rsidR="00ED1FEE" w:rsidRPr="00FB0774" w:rsidTr="00ED1FEE">
        <w:tc>
          <w:tcPr>
            <w:tcW w:w="0" w:type="auto"/>
          </w:tcPr>
          <w:p w:rsidR="00ED1FEE" w:rsidRPr="00FB0774" w:rsidRDefault="00ED1FEE" w:rsidP="00ED1FEE">
            <w:pPr>
              <w:rPr>
                <w:b/>
                <w:szCs w:val="22"/>
              </w:rPr>
            </w:pPr>
            <w:r w:rsidRPr="00FB0774">
              <w:rPr>
                <w:b/>
                <w:szCs w:val="22"/>
              </w:rPr>
              <w:lastRenderedPageBreak/>
              <w:t>„Bratislavský rožok“ alebo „Pressburger Kipfel“ alebo „Pozsonyi kifli“</w:t>
            </w:r>
          </w:p>
        </w:tc>
        <w:tc>
          <w:tcPr>
            <w:tcW w:w="0" w:type="auto"/>
          </w:tcPr>
          <w:p w:rsidR="00ED1FEE" w:rsidRPr="00FB0774" w:rsidRDefault="00ED1FEE" w:rsidP="00ED1FEE">
            <w:pPr>
              <w:rPr>
                <w:szCs w:val="22"/>
              </w:rPr>
            </w:pPr>
            <w:r w:rsidRPr="00FB0774">
              <w:rPr>
                <w:szCs w:val="22"/>
              </w:rPr>
              <w:t>15.10.2007</w:t>
            </w:r>
          </w:p>
        </w:tc>
        <w:tc>
          <w:tcPr>
            <w:tcW w:w="0" w:type="auto"/>
          </w:tcPr>
          <w:p w:rsidR="00ED1FEE" w:rsidRPr="00FB0774" w:rsidRDefault="00ED1FEE" w:rsidP="00ED1FEE">
            <w:pPr>
              <w:rPr>
                <w:szCs w:val="22"/>
              </w:rPr>
            </w:pPr>
            <w:r w:rsidRPr="00FB0774">
              <w:rPr>
                <w:szCs w:val="22"/>
              </w:rPr>
              <w:t>4.2.2008</w:t>
            </w:r>
          </w:p>
        </w:tc>
        <w:tc>
          <w:tcPr>
            <w:tcW w:w="0" w:type="auto"/>
          </w:tcPr>
          <w:p w:rsidR="00ED1FEE" w:rsidRPr="00FB0774" w:rsidRDefault="00ED1FEE" w:rsidP="00ED1FEE">
            <w:pPr>
              <w:rPr>
                <w:szCs w:val="22"/>
              </w:rPr>
            </w:pPr>
            <w:r w:rsidRPr="00FB0774">
              <w:rPr>
                <w:szCs w:val="22"/>
              </w:rPr>
              <w:t>30.9.2011</w:t>
            </w:r>
          </w:p>
        </w:tc>
        <w:tc>
          <w:tcPr>
            <w:tcW w:w="0" w:type="auto"/>
          </w:tcPr>
          <w:p w:rsidR="00ED1FEE" w:rsidRPr="00FB0774" w:rsidRDefault="00ED1FEE" w:rsidP="00ED1FEE">
            <w:pPr>
              <w:rPr>
                <w:szCs w:val="22"/>
              </w:rPr>
            </w:pPr>
            <w:r w:rsidRPr="00FB0774">
              <w:rPr>
                <w:szCs w:val="22"/>
              </w:rPr>
              <w:t>Zápis názvu „Bratislavský rožok/ Pressburger Kipfel/Pozsonyi kifli (ZTŠ)“ podľa vykonávacieho nariadenia Komisie (EÚ) č. 729/2012 z 8. augusta 2012, ktorým sa do Registra zaručených tradičných špecialít zapisuje názov Bratislavský rožok/Pressburger Kipfel/Pozsonyi kifli (ZTŠ)</w:t>
            </w:r>
          </w:p>
        </w:tc>
        <w:tc>
          <w:tcPr>
            <w:tcW w:w="0" w:type="auto"/>
          </w:tcPr>
          <w:p w:rsidR="00ED1FEE" w:rsidRPr="00FB0774" w:rsidRDefault="00ED1FEE" w:rsidP="00ED1FEE">
            <w:pPr>
              <w:rPr>
                <w:szCs w:val="22"/>
              </w:rPr>
            </w:pPr>
            <w:r w:rsidRPr="00FB0774">
              <w:rPr>
                <w:szCs w:val="22"/>
              </w:rPr>
              <w:t>Cech pekárov a cukrárov regiónu západného Slovenska</w:t>
            </w:r>
          </w:p>
          <w:p w:rsidR="00ED1FEE" w:rsidRPr="00FB0774" w:rsidRDefault="00ED1FEE" w:rsidP="00ED1FEE">
            <w:pPr>
              <w:rPr>
                <w:szCs w:val="22"/>
              </w:rPr>
            </w:pPr>
            <w:r w:rsidRPr="00FB0774">
              <w:rPr>
                <w:szCs w:val="22"/>
              </w:rPr>
              <w:t xml:space="preserve"> M.R. Štefánika 10</w:t>
            </w:r>
          </w:p>
          <w:p w:rsidR="00ED1FEE" w:rsidRPr="00FB0774" w:rsidRDefault="00ED1FEE" w:rsidP="00ED1FEE">
            <w:pPr>
              <w:rPr>
                <w:szCs w:val="22"/>
              </w:rPr>
            </w:pPr>
            <w:r w:rsidRPr="00FB0774">
              <w:rPr>
                <w:szCs w:val="22"/>
              </w:rPr>
              <w:t xml:space="preserve"> 902 01 Pezinok</w:t>
            </w:r>
          </w:p>
          <w:p w:rsidR="00ED1FEE" w:rsidRPr="00FB0774" w:rsidRDefault="00ED1FEE" w:rsidP="00ED1FEE">
            <w:pPr>
              <w:rPr>
                <w:szCs w:val="22"/>
              </w:rPr>
            </w:pPr>
            <w:r w:rsidRPr="00FB0774">
              <w:rPr>
                <w:szCs w:val="22"/>
              </w:rPr>
              <w:t xml:space="preserve"> tel. +421 336413314 </w:t>
            </w:r>
          </w:p>
          <w:p w:rsidR="00ED1FEE" w:rsidRPr="00FB0774" w:rsidRDefault="00ED1FEE" w:rsidP="00ED1FEE">
            <w:pPr>
              <w:rPr>
                <w:szCs w:val="22"/>
              </w:rPr>
            </w:pPr>
            <w:r w:rsidRPr="00FB0774">
              <w:rPr>
                <w:szCs w:val="22"/>
              </w:rPr>
              <w:t>e-mail: repecu@stonline.sk</w:t>
            </w:r>
          </w:p>
        </w:tc>
      </w:tr>
    </w:tbl>
    <w:p w:rsidR="00ED1FEE" w:rsidRPr="00ED1FEE" w:rsidRDefault="00ED1FEE" w:rsidP="00ED1FEE">
      <w:pPr>
        <w:rPr>
          <w:sz w:val="20"/>
          <w:szCs w:val="20"/>
        </w:rPr>
      </w:pPr>
    </w:p>
    <w:p w:rsidR="00ED1FEE" w:rsidRPr="00ED1FEE" w:rsidRDefault="00ED1FEE" w:rsidP="00ED1FEE">
      <w:pPr>
        <w:rPr>
          <w:sz w:val="20"/>
          <w:szCs w:val="20"/>
        </w:rPr>
      </w:pPr>
    </w:p>
    <w:p w:rsidR="00ED1FEE" w:rsidRDefault="00ED1FEE" w:rsidP="00ED1FEE">
      <w:pPr>
        <w:jc w:val="left"/>
        <w:rPr>
          <w:sz w:val="20"/>
          <w:szCs w:val="20"/>
        </w:rPr>
      </w:pPr>
    </w:p>
    <w:p w:rsidR="00ED1FEE" w:rsidRDefault="00ED1FEE" w:rsidP="00ED1FEE">
      <w:pPr>
        <w:rPr>
          <w:sz w:val="20"/>
          <w:szCs w:val="20"/>
        </w:rPr>
      </w:pPr>
    </w:p>
    <w:p w:rsidR="00ED1FEE" w:rsidRDefault="00ED1FEE">
      <w:pPr>
        <w:jc w:val="left"/>
        <w:rPr>
          <w:sz w:val="20"/>
          <w:szCs w:val="20"/>
        </w:rPr>
      </w:pPr>
      <w:r>
        <w:rPr>
          <w:sz w:val="20"/>
          <w:szCs w:val="20"/>
        </w:rPr>
        <w:br w:type="page"/>
      </w:r>
    </w:p>
    <w:p w:rsidR="00ED1FEE" w:rsidRPr="000B45CA" w:rsidRDefault="00ED1FEE" w:rsidP="00ED1FEE">
      <w:pPr>
        <w:jc w:val="right"/>
        <w:rPr>
          <w:rFonts w:cs="Calibri"/>
          <w:b/>
          <w:szCs w:val="22"/>
          <w:lang w:eastAsia="en-US"/>
        </w:rPr>
      </w:pPr>
      <w:r w:rsidRPr="000B45CA">
        <w:rPr>
          <w:rFonts w:cs="Calibri"/>
          <w:b/>
          <w:szCs w:val="22"/>
          <w:lang w:eastAsia="en-US"/>
        </w:rPr>
        <w:lastRenderedPageBreak/>
        <w:t xml:space="preserve">PRÍLOHA  </w:t>
      </w:r>
      <w:r>
        <w:rPr>
          <w:rFonts w:cs="Calibri"/>
          <w:b/>
          <w:szCs w:val="22"/>
          <w:lang w:eastAsia="en-US"/>
        </w:rPr>
        <w:t>IV</w:t>
      </w:r>
      <w:r w:rsidRPr="000B45CA">
        <w:rPr>
          <w:rFonts w:cs="Calibri"/>
          <w:b/>
          <w:szCs w:val="22"/>
          <w:lang w:eastAsia="en-US"/>
        </w:rPr>
        <w:t>b)</w:t>
      </w:r>
    </w:p>
    <w:p w:rsidR="00ED1FEE" w:rsidRPr="00FB0774" w:rsidRDefault="00ED1FEE" w:rsidP="00ED1FEE">
      <w:pPr>
        <w:tabs>
          <w:tab w:val="left" w:pos="8640"/>
        </w:tabs>
        <w:rPr>
          <w:b/>
          <w:szCs w:val="22"/>
        </w:rPr>
      </w:pPr>
    </w:p>
    <w:p w:rsidR="00ED1FEE" w:rsidRPr="00FB0774" w:rsidRDefault="00ED1FEE" w:rsidP="00ED1FEE">
      <w:pPr>
        <w:rPr>
          <w:b/>
          <w:bCs/>
          <w:color w:val="000000"/>
          <w:szCs w:val="22"/>
        </w:rPr>
      </w:pPr>
      <w:r w:rsidRPr="00FB0774">
        <w:rPr>
          <w:b/>
          <w:bCs/>
          <w:color w:val="000000"/>
          <w:szCs w:val="22"/>
        </w:rPr>
        <w:t>Zoznam výrobkov v Slovenskej republike ako chránené označenie pôvodu a chránené zemepisné označenie (CHOP, CHZO) podľa hlavy II nariadenia EP a Rady (EÚ) č. 1151/2012 z 21. novembra 2012 o systémoch kvality pre poľnohospodárske výrobky a potraviny</w:t>
      </w:r>
    </w:p>
    <w:tbl>
      <w:tblPr>
        <w:tblStyle w:val="Mriekatabuky"/>
        <w:tblW w:w="14850" w:type="dxa"/>
        <w:tblLayout w:type="fixed"/>
        <w:tblLook w:val="04A0" w:firstRow="1" w:lastRow="0" w:firstColumn="1" w:lastColumn="0" w:noHBand="0" w:noVBand="1"/>
      </w:tblPr>
      <w:tblGrid>
        <w:gridCol w:w="1384"/>
        <w:gridCol w:w="1418"/>
        <w:gridCol w:w="1417"/>
        <w:gridCol w:w="1559"/>
        <w:gridCol w:w="4111"/>
        <w:gridCol w:w="4961"/>
      </w:tblGrid>
      <w:tr w:rsidR="00ED1FEE" w:rsidRPr="00FB0774" w:rsidTr="00ED1FEE">
        <w:tc>
          <w:tcPr>
            <w:tcW w:w="1384" w:type="dxa"/>
            <w:vAlign w:val="center"/>
          </w:tcPr>
          <w:p w:rsidR="00ED1FEE" w:rsidRPr="00FB0774" w:rsidRDefault="00ED1FEE" w:rsidP="00ED1FEE">
            <w:pPr>
              <w:jc w:val="center"/>
              <w:rPr>
                <w:b/>
                <w:szCs w:val="22"/>
              </w:rPr>
            </w:pPr>
            <w:r w:rsidRPr="00FB0774">
              <w:rPr>
                <w:b/>
                <w:szCs w:val="22"/>
              </w:rPr>
              <w:t>Názov výrobku</w:t>
            </w:r>
          </w:p>
        </w:tc>
        <w:tc>
          <w:tcPr>
            <w:tcW w:w="1418" w:type="dxa"/>
            <w:vAlign w:val="center"/>
          </w:tcPr>
          <w:p w:rsidR="00ED1FEE" w:rsidRPr="00FB0774" w:rsidRDefault="00ED1FEE" w:rsidP="00ED1FEE">
            <w:pPr>
              <w:jc w:val="center"/>
              <w:rPr>
                <w:b/>
                <w:szCs w:val="22"/>
              </w:rPr>
            </w:pPr>
            <w:r w:rsidRPr="00FB0774">
              <w:rPr>
                <w:b/>
                <w:szCs w:val="22"/>
              </w:rPr>
              <w:t>Dátum zaevidovania v SR</w:t>
            </w:r>
          </w:p>
        </w:tc>
        <w:tc>
          <w:tcPr>
            <w:tcW w:w="1417" w:type="dxa"/>
            <w:vAlign w:val="center"/>
          </w:tcPr>
          <w:p w:rsidR="00ED1FEE" w:rsidRPr="00FB0774" w:rsidRDefault="00ED1FEE" w:rsidP="00ED1FEE">
            <w:pPr>
              <w:rPr>
                <w:szCs w:val="22"/>
              </w:rPr>
            </w:pPr>
            <w:r w:rsidRPr="00FB0774">
              <w:rPr>
                <w:szCs w:val="22"/>
              </w:rPr>
              <w:t>Dátum zaevidovania v EK</w:t>
            </w:r>
          </w:p>
        </w:tc>
        <w:tc>
          <w:tcPr>
            <w:tcW w:w="1559" w:type="dxa"/>
            <w:vAlign w:val="center"/>
          </w:tcPr>
          <w:p w:rsidR="00ED1FEE" w:rsidRPr="00FB0774" w:rsidRDefault="00ED1FEE" w:rsidP="00ED1FEE">
            <w:pPr>
              <w:jc w:val="center"/>
              <w:rPr>
                <w:b/>
                <w:szCs w:val="22"/>
              </w:rPr>
            </w:pPr>
            <w:r w:rsidRPr="00FB0774">
              <w:rPr>
                <w:b/>
                <w:szCs w:val="22"/>
              </w:rPr>
              <w:t>Dátum uverejnenia v Úradnom vestníku</w:t>
            </w:r>
          </w:p>
        </w:tc>
        <w:tc>
          <w:tcPr>
            <w:tcW w:w="4111" w:type="dxa"/>
            <w:vAlign w:val="center"/>
          </w:tcPr>
          <w:p w:rsidR="00ED1FEE" w:rsidRPr="00FB0774" w:rsidRDefault="00ED1FEE" w:rsidP="00ED1FEE">
            <w:pPr>
              <w:jc w:val="center"/>
              <w:rPr>
                <w:b/>
                <w:szCs w:val="22"/>
              </w:rPr>
            </w:pPr>
            <w:r w:rsidRPr="00FB0774">
              <w:rPr>
                <w:b/>
                <w:szCs w:val="22"/>
              </w:rPr>
              <w:t>Súčasný stav –Dátum zápisu do registra CHOP, CHZO vedeného EK</w:t>
            </w:r>
          </w:p>
        </w:tc>
        <w:tc>
          <w:tcPr>
            <w:tcW w:w="4961" w:type="dxa"/>
            <w:vAlign w:val="center"/>
          </w:tcPr>
          <w:p w:rsidR="00ED1FEE" w:rsidRPr="00FB0774" w:rsidRDefault="00ED1FEE" w:rsidP="00ED1FEE">
            <w:pPr>
              <w:jc w:val="center"/>
              <w:rPr>
                <w:b/>
                <w:szCs w:val="22"/>
              </w:rPr>
            </w:pPr>
            <w:r w:rsidRPr="00FB0774">
              <w:rPr>
                <w:b/>
                <w:szCs w:val="22"/>
              </w:rPr>
              <w:t>Názov a adresa združenia</w:t>
            </w:r>
          </w:p>
        </w:tc>
      </w:tr>
      <w:tr w:rsidR="00ED1FEE" w:rsidRPr="00FB0774" w:rsidTr="00ED1FEE">
        <w:trPr>
          <w:trHeight w:val="1170"/>
        </w:trPr>
        <w:tc>
          <w:tcPr>
            <w:tcW w:w="1384" w:type="dxa"/>
          </w:tcPr>
          <w:p w:rsidR="00ED1FEE" w:rsidRPr="00FB0774" w:rsidRDefault="00ED1FEE" w:rsidP="00ED1FEE">
            <w:pPr>
              <w:rPr>
                <w:b/>
                <w:szCs w:val="22"/>
              </w:rPr>
            </w:pPr>
            <w:r w:rsidRPr="00FB0774">
              <w:rPr>
                <w:b/>
                <w:szCs w:val="22"/>
              </w:rPr>
              <w:t>Skalický</w:t>
            </w:r>
          </w:p>
          <w:p w:rsidR="00ED1FEE" w:rsidRPr="00FB0774" w:rsidRDefault="00ED1FEE" w:rsidP="00ED1FEE">
            <w:pPr>
              <w:rPr>
                <w:b/>
                <w:szCs w:val="22"/>
              </w:rPr>
            </w:pPr>
            <w:r w:rsidRPr="00FB0774">
              <w:rPr>
                <w:b/>
                <w:szCs w:val="22"/>
              </w:rPr>
              <w:t>trdelník</w:t>
            </w:r>
          </w:p>
        </w:tc>
        <w:tc>
          <w:tcPr>
            <w:tcW w:w="1418" w:type="dxa"/>
          </w:tcPr>
          <w:p w:rsidR="00ED1FEE" w:rsidRPr="00FB0774" w:rsidRDefault="00ED1FEE" w:rsidP="00ED1FEE">
            <w:pPr>
              <w:rPr>
                <w:szCs w:val="22"/>
              </w:rPr>
            </w:pPr>
            <w:r w:rsidRPr="00FB0774">
              <w:rPr>
                <w:szCs w:val="22"/>
              </w:rPr>
              <w:t>2.8.2005</w:t>
            </w:r>
          </w:p>
        </w:tc>
        <w:tc>
          <w:tcPr>
            <w:tcW w:w="1417" w:type="dxa"/>
          </w:tcPr>
          <w:p w:rsidR="00ED1FEE" w:rsidRPr="00FB0774" w:rsidRDefault="00ED1FEE" w:rsidP="00ED1FEE">
            <w:pPr>
              <w:rPr>
                <w:szCs w:val="22"/>
              </w:rPr>
            </w:pPr>
            <w:r w:rsidRPr="00FB0774">
              <w:rPr>
                <w:szCs w:val="22"/>
              </w:rPr>
              <w:t>18.8. 2005</w:t>
            </w:r>
          </w:p>
        </w:tc>
        <w:tc>
          <w:tcPr>
            <w:tcW w:w="1559" w:type="dxa"/>
          </w:tcPr>
          <w:p w:rsidR="00ED1FEE" w:rsidRPr="00FB0774" w:rsidRDefault="00ED1FEE" w:rsidP="00ED1FEE">
            <w:pPr>
              <w:rPr>
                <w:szCs w:val="22"/>
              </w:rPr>
            </w:pPr>
            <w:r w:rsidRPr="00FB0774">
              <w:rPr>
                <w:szCs w:val="22"/>
              </w:rPr>
              <w:t>21.4.2007</w:t>
            </w:r>
          </w:p>
          <w:p w:rsidR="00ED1FEE" w:rsidRPr="00FB0774" w:rsidRDefault="00ED1FEE" w:rsidP="00ED1FEE">
            <w:pPr>
              <w:rPr>
                <w:szCs w:val="22"/>
              </w:rPr>
            </w:pPr>
            <w:r w:rsidRPr="00FB0774">
              <w:rPr>
                <w:szCs w:val="22"/>
              </w:rPr>
              <w:t>2007/C88/02</w:t>
            </w:r>
          </w:p>
        </w:tc>
        <w:tc>
          <w:tcPr>
            <w:tcW w:w="4111" w:type="dxa"/>
          </w:tcPr>
          <w:p w:rsidR="00ED1FEE" w:rsidRPr="00FB0774" w:rsidRDefault="00ED1FEE" w:rsidP="00ED1FEE">
            <w:pPr>
              <w:rPr>
                <w:szCs w:val="22"/>
              </w:rPr>
            </w:pPr>
            <w:r w:rsidRPr="00FB0774">
              <w:rPr>
                <w:szCs w:val="22"/>
              </w:rPr>
              <w:t xml:space="preserve">Zápis názvu „Skalický trdelník“ podľa nariadenia Komisie (ES) č. 1485/2007 zo 14. decembra 2007, ktorým sa zapisujú niektoré názvy do registra – Skalický trdelník (CHZO) </w:t>
            </w:r>
          </w:p>
          <w:p w:rsidR="00ED1FEE" w:rsidRPr="00FB0774" w:rsidRDefault="00ED1FEE" w:rsidP="00ED1FEE">
            <w:pPr>
              <w:rPr>
                <w:szCs w:val="22"/>
              </w:rPr>
            </w:pPr>
            <w:r w:rsidRPr="00FB0774">
              <w:rPr>
                <w:szCs w:val="22"/>
              </w:rPr>
              <w:t>(CHZO) -2007/L330/130</w:t>
            </w:r>
          </w:p>
        </w:tc>
        <w:tc>
          <w:tcPr>
            <w:tcW w:w="4961" w:type="dxa"/>
          </w:tcPr>
          <w:p w:rsidR="00ED1FEE" w:rsidRPr="00FB0774" w:rsidRDefault="00ED1FEE" w:rsidP="00ED1FEE">
            <w:pPr>
              <w:rPr>
                <w:szCs w:val="22"/>
              </w:rPr>
            </w:pPr>
            <w:r w:rsidRPr="00FB0774">
              <w:rPr>
                <w:szCs w:val="22"/>
              </w:rPr>
              <w:t>Združenie „Skalický trdelník“ Nám. slobody č. 10 909 01 Skalica Telefón: (421-34) 664 83 36 Fax: (421-34) 664 42 10 e-mail: kusnierova@mesto.skalica.sk</w:t>
            </w:r>
          </w:p>
        </w:tc>
      </w:tr>
      <w:tr w:rsidR="00ED1FEE" w:rsidRPr="00FB0774" w:rsidTr="00ED1FEE">
        <w:tc>
          <w:tcPr>
            <w:tcW w:w="1384" w:type="dxa"/>
          </w:tcPr>
          <w:p w:rsidR="00ED1FEE" w:rsidRPr="00FB0774" w:rsidRDefault="00ED1FEE" w:rsidP="00ED1FEE">
            <w:pPr>
              <w:rPr>
                <w:b/>
                <w:szCs w:val="22"/>
              </w:rPr>
            </w:pPr>
            <w:r w:rsidRPr="00FB0774">
              <w:rPr>
                <w:b/>
                <w:szCs w:val="22"/>
              </w:rPr>
              <w:t>Slovenská</w:t>
            </w:r>
          </w:p>
          <w:p w:rsidR="00ED1FEE" w:rsidRPr="00FB0774" w:rsidRDefault="00ED1FEE" w:rsidP="00ED1FEE">
            <w:pPr>
              <w:rPr>
                <w:b/>
                <w:szCs w:val="22"/>
              </w:rPr>
            </w:pPr>
            <w:r w:rsidRPr="00FB0774">
              <w:rPr>
                <w:b/>
                <w:szCs w:val="22"/>
              </w:rPr>
              <w:t>bryndza</w:t>
            </w:r>
          </w:p>
        </w:tc>
        <w:tc>
          <w:tcPr>
            <w:tcW w:w="1418" w:type="dxa"/>
          </w:tcPr>
          <w:p w:rsidR="00ED1FEE" w:rsidRPr="00FB0774" w:rsidRDefault="00ED1FEE" w:rsidP="00ED1FEE">
            <w:pPr>
              <w:rPr>
                <w:szCs w:val="22"/>
              </w:rPr>
            </w:pPr>
            <w:r w:rsidRPr="00FB0774">
              <w:rPr>
                <w:szCs w:val="22"/>
              </w:rPr>
              <w:t>27.4.2004</w:t>
            </w:r>
          </w:p>
        </w:tc>
        <w:tc>
          <w:tcPr>
            <w:tcW w:w="1417" w:type="dxa"/>
          </w:tcPr>
          <w:p w:rsidR="00ED1FEE" w:rsidRPr="00FB0774" w:rsidRDefault="00ED1FEE" w:rsidP="00ED1FEE">
            <w:pPr>
              <w:rPr>
                <w:szCs w:val="22"/>
              </w:rPr>
            </w:pPr>
            <w:r w:rsidRPr="00FB0774">
              <w:rPr>
                <w:szCs w:val="22"/>
              </w:rPr>
              <w:t>22.9.2004</w:t>
            </w:r>
          </w:p>
        </w:tc>
        <w:tc>
          <w:tcPr>
            <w:tcW w:w="1559" w:type="dxa"/>
          </w:tcPr>
          <w:p w:rsidR="00ED1FEE" w:rsidRPr="00FB0774" w:rsidRDefault="00ED1FEE" w:rsidP="00ED1FEE">
            <w:pPr>
              <w:rPr>
                <w:szCs w:val="22"/>
              </w:rPr>
            </w:pPr>
            <w:r w:rsidRPr="00FB0774">
              <w:rPr>
                <w:szCs w:val="22"/>
              </w:rPr>
              <w:t>4.10.2007</w:t>
            </w:r>
          </w:p>
          <w:p w:rsidR="00ED1FEE" w:rsidRPr="00FB0774" w:rsidRDefault="00ED1FEE" w:rsidP="00ED1FEE">
            <w:pPr>
              <w:rPr>
                <w:szCs w:val="22"/>
              </w:rPr>
            </w:pPr>
            <w:r w:rsidRPr="00FB0774">
              <w:rPr>
                <w:szCs w:val="22"/>
              </w:rPr>
              <w:t>2007/C323/10</w:t>
            </w:r>
          </w:p>
        </w:tc>
        <w:tc>
          <w:tcPr>
            <w:tcW w:w="4111" w:type="dxa"/>
          </w:tcPr>
          <w:p w:rsidR="00ED1FEE" w:rsidRPr="00FB0774" w:rsidRDefault="00ED1FEE" w:rsidP="00ED1FEE">
            <w:pPr>
              <w:rPr>
                <w:szCs w:val="22"/>
              </w:rPr>
            </w:pPr>
            <w:r w:rsidRPr="00FB0774">
              <w:rPr>
                <w:szCs w:val="22"/>
              </w:rPr>
              <w:t xml:space="preserve">Zápis názvu „Slovenská bryndza“ podľa nariadenia Komisie (ES) č. 676/2008 zo 16. júla 2008, ktorým sa zapisujú niektoré názvy do Registra chránených označení pôvodu a chránených zemepisných - Slovenská bryndza (CHZO) </w:t>
            </w:r>
          </w:p>
          <w:p w:rsidR="00ED1FEE" w:rsidRPr="00FB0774" w:rsidRDefault="00ED1FEE" w:rsidP="00ED1FEE">
            <w:pPr>
              <w:rPr>
                <w:szCs w:val="22"/>
              </w:rPr>
            </w:pPr>
            <w:r w:rsidRPr="00FB0774">
              <w:rPr>
                <w:szCs w:val="22"/>
              </w:rPr>
              <w:t>(CHZO) – 2008/L189/19</w:t>
            </w:r>
          </w:p>
        </w:tc>
        <w:tc>
          <w:tcPr>
            <w:tcW w:w="4961" w:type="dxa"/>
          </w:tcPr>
          <w:p w:rsidR="00ED1FEE" w:rsidRPr="00FB0774" w:rsidRDefault="00ED1FEE" w:rsidP="00ED1FEE">
            <w:pPr>
              <w:rPr>
                <w:szCs w:val="22"/>
              </w:rPr>
            </w:pPr>
            <w:r w:rsidRPr="00FB0774">
              <w:rPr>
                <w:szCs w:val="22"/>
              </w:rPr>
              <w:t>Združenie „Cech bryndziarov“</w:t>
            </w:r>
          </w:p>
          <w:p w:rsidR="00ED1FEE" w:rsidRPr="00FB0774" w:rsidRDefault="00ED1FEE" w:rsidP="00ED1FEE">
            <w:pPr>
              <w:rPr>
                <w:szCs w:val="22"/>
              </w:rPr>
            </w:pPr>
            <w:r w:rsidRPr="00FB0774">
              <w:rPr>
                <w:szCs w:val="22"/>
              </w:rPr>
              <w:t>Nová 135 017 01 Považská Bystrica Telefón: (421-42) 4325321 Fax: (421-42) 4326295 e-mail: dir@nika.sk</w:t>
            </w:r>
          </w:p>
        </w:tc>
      </w:tr>
      <w:tr w:rsidR="00ED1FEE" w:rsidRPr="00FB0774" w:rsidTr="00ED1FEE">
        <w:tc>
          <w:tcPr>
            <w:tcW w:w="1384" w:type="dxa"/>
          </w:tcPr>
          <w:p w:rsidR="00ED1FEE" w:rsidRPr="00FB0774" w:rsidRDefault="00ED1FEE" w:rsidP="00ED1FEE">
            <w:pPr>
              <w:rPr>
                <w:b/>
                <w:szCs w:val="22"/>
              </w:rPr>
            </w:pPr>
            <w:r w:rsidRPr="00FB0774">
              <w:rPr>
                <w:b/>
                <w:szCs w:val="22"/>
              </w:rPr>
              <w:t>Slovenský</w:t>
            </w:r>
          </w:p>
          <w:p w:rsidR="00ED1FEE" w:rsidRPr="00FB0774" w:rsidRDefault="00ED1FEE" w:rsidP="00ED1FEE">
            <w:pPr>
              <w:rPr>
                <w:b/>
                <w:szCs w:val="22"/>
              </w:rPr>
            </w:pPr>
            <w:r w:rsidRPr="00FB0774">
              <w:rPr>
                <w:b/>
                <w:szCs w:val="22"/>
              </w:rPr>
              <w:t>oštiepok</w:t>
            </w:r>
          </w:p>
          <w:p w:rsidR="00ED1FEE" w:rsidRPr="00FB0774" w:rsidRDefault="00ED1FEE" w:rsidP="00ED1FEE">
            <w:pPr>
              <w:rPr>
                <w:b/>
                <w:szCs w:val="22"/>
              </w:rPr>
            </w:pPr>
            <w:r w:rsidRPr="00FB0774">
              <w:rPr>
                <w:b/>
                <w:szCs w:val="22"/>
              </w:rPr>
              <w:t>(zápis podľa Lisabonskej dohody)</w:t>
            </w:r>
          </w:p>
        </w:tc>
        <w:tc>
          <w:tcPr>
            <w:tcW w:w="1418" w:type="dxa"/>
          </w:tcPr>
          <w:p w:rsidR="00ED1FEE" w:rsidRPr="00FB0774" w:rsidRDefault="00ED1FEE" w:rsidP="00ED1FEE">
            <w:pPr>
              <w:rPr>
                <w:szCs w:val="22"/>
              </w:rPr>
            </w:pPr>
            <w:r w:rsidRPr="00FB0774">
              <w:rPr>
                <w:szCs w:val="22"/>
              </w:rPr>
              <w:t>22.11.1967</w:t>
            </w:r>
          </w:p>
        </w:tc>
        <w:tc>
          <w:tcPr>
            <w:tcW w:w="1417" w:type="dxa"/>
          </w:tcPr>
          <w:p w:rsidR="00ED1FEE" w:rsidRPr="00FB0774" w:rsidRDefault="00ED1FEE" w:rsidP="00ED1FEE">
            <w:pPr>
              <w:rPr>
                <w:szCs w:val="22"/>
              </w:rPr>
            </w:pPr>
            <w:r w:rsidRPr="00FB0774">
              <w:rPr>
                <w:szCs w:val="22"/>
              </w:rPr>
              <w:t>30.3. 2007</w:t>
            </w:r>
          </w:p>
        </w:tc>
        <w:tc>
          <w:tcPr>
            <w:tcW w:w="1559" w:type="dxa"/>
          </w:tcPr>
          <w:p w:rsidR="00ED1FEE" w:rsidRPr="00FB0774" w:rsidRDefault="00ED1FEE" w:rsidP="00ED1FEE">
            <w:pPr>
              <w:rPr>
                <w:szCs w:val="22"/>
              </w:rPr>
            </w:pPr>
            <w:r w:rsidRPr="00FB0774">
              <w:rPr>
                <w:szCs w:val="22"/>
              </w:rPr>
              <w:t>19.12.2007</w:t>
            </w:r>
          </w:p>
          <w:p w:rsidR="00ED1FEE" w:rsidRPr="00FB0774" w:rsidRDefault="00ED1FEE" w:rsidP="00ED1FEE">
            <w:pPr>
              <w:rPr>
                <w:szCs w:val="22"/>
              </w:rPr>
            </w:pPr>
            <w:r w:rsidRPr="00FB0774">
              <w:rPr>
                <w:szCs w:val="22"/>
              </w:rPr>
              <w:t>2007/C308/10</w:t>
            </w:r>
          </w:p>
        </w:tc>
        <w:tc>
          <w:tcPr>
            <w:tcW w:w="4111" w:type="dxa"/>
          </w:tcPr>
          <w:p w:rsidR="00ED1FEE" w:rsidRPr="00FB0774" w:rsidRDefault="00ED1FEE" w:rsidP="00ED1FEE">
            <w:pPr>
              <w:rPr>
                <w:szCs w:val="22"/>
              </w:rPr>
            </w:pPr>
            <w:r w:rsidRPr="00FB0774">
              <w:rPr>
                <w:szCs w:val="22"/>
              </w:rPr>
              <w:t xml:space="preserve">Zápis názvu „Slovenský oštiepok“ podľa nariadenia Komisie (ES) č. 943/2008 z 25. septembra 2008, ktorým sa zapisujú niektoré názvy do Registra chránených označení pôvodu a chránených zemepisných označení  - Slovenský oštiepok CHZO </w:t>
            </w:r>
          </w:p>
          <w:p w:rsidR="00ED1FEE" w:rsidRPr="00FB0774" w:rsidRDefault="00ED1FEE" w:rsidP="00ED1FEE">
            <w:pPr>
              <w:rPr>
                <w:szCs w:val="22"/>
              </w:rPr>
            </w:pPr>
            <w:r w:rsidRPr="00FB0774">
              <w:rPr>
                <w:szCs w:val="22"/>
              </w:rPr>
              <w:t>Dohoda s poľskou stranou o nenamietaní Slovenského oštiepka</w:t>
            </w:r>
          </w:p>
        </w:tc>
        <w:tc>
          <w:tcPr>
            <w:tcW w:w="4961" w:type="dxa"/>
          </w:tcPr>
          <w:p w:rsidR="00ED1FEE" w:rsidRPr="00FB0774" w:rsidRDefault="00ED1FEE" w:rsidP="00ED1FEE">
            <w:pPr>
              <w:rPr>
                <w:szCs w:val="22"/>
              </w:rPr>
            </w:pPr>
            <w:r w:rsidRPr="00FB0774">
              <w:rPr>
                <w:szCs w:val="22"/>
              </w:rPr>
              <w:t>Slovenský mliekarenský zväz</w:t>
            </w:r>
          </w:p>
          <w:p w:rsidR="00ED1FEE" w:rsidRPr="00FB0774" w:rsidRDefault="00ED1FEE" w:rsidP="00ED1FEE">
            <w:pPr>
              <w:rPr>
                <w:szCs w:val="22"/>
              </w:rPr>
            </w:pPr>
            <w:r w:rsidRPr="00FB0774">
              <w:rPr>
                <w:szCs w:val="22"/>
              </w:rPr>
              <w:t>Záhradnícka 21, SK-811 07 Bratislava</w:t>
            </w:r>
          </w:p>
          <w:p w:rsidR="00ED1FEE" w:rsidRPr="00FB0774" w:rsidRDefault="00ED1FEE" w:rsidP="00ED1FEE">
            <w:pPr>
              <w:rPr>
                <w:szCs w:val="22"/>
              </w:rPr>
            </w:pPr>
            <w:r w:rsidRPr="00FB0774">
              <w:rPr>
                <w:szCs w:val="22"/>
              </w:rPr>
              <w:t>Telefón: (421-2) 554 109 45</w:t>
            </w:r>
          </w:p>
          <w:p w:rsidR="00ED1FEE" w:rsidRPr="00FB0774" w:rsidRDefault="00ED1FEE" w:rsidP="00ED1FEE">
            <w:pPr>
              <w:rPr>
                <w:szCs w:val="22"/>
              </w:rPr>
            </w:pPr>
            <w:r w:rsidRPr="00FB0774">
              <w:rPr>
                <w:szCs w:val="22"/>
              </w:rPr>
              <w:t>Fax: (421-2) 554 109 45</w:t>
            </w:r>
          </w:p>
          <w:p w:rsidR="00ED1FEE" w:rsidRPr="00FB0774" w:rsidRDefault="00ED1FEE" w:rsidP="00ED1FEE">
            <w:pPr>
              <w:rPr>
                <w:szCs w:val="22"/>
              </w:rPr>
            </w:pPr>
            <w:r w:rsidRPr="00FB0774">
              <w:rPr>
                <w:szCs w:val="22"/>
              </w:rPr>
              <w:t>e-mail: plankova@smz.sk</w:t>
            </w:r>
          </w:p>
        </w:tc>
      </w:tr>
      <w:tr w:rsidR="00ED1FEE" w:rsidRPr="00FB0774" w:rsidTr="00ED1FEE">
        <w:trPr>
          <w:trHeight w:val="1746"/>
        </w:trPr>
        <w:tc>
          <w:tcPr>
            <w:tcW w:w="1384" w:type="dxa"/>
          </w:tcPr>
          <w:p w:rsidR="00ED1FEE" w:rsidRPr="00FB0774" w:rsidRDefault="00ED1FEE" w:rsidP="00ED1FEE">
            <w:pPr>
              <w:rPr>
                <w:b/>
                <w:szCs w:val="22"/>
              </w:rPr>
            </w:pPr>
            <w:r w:rsidRPr="00FB0774">
              <w:rPr>
                <w:b/>
                <w:szCs w:val="22"/>
              </w:rPr>
              <w:lastRenderedPageBreak/>
              <w:t>Slovenská</w:t>
            </w:r>
          </w:p>
          <w:p w:rsidR="00ED1FEE" w:rsidRPr="00FB0774" w:rsidRDefault="00ED1FEE" w:rsidP="00ED1FEE">
            <w:pPr>
              <w:rPr>
                <w:b/>
                <w:szCs w:val="22"/>
              </w:rPr>
            </w:pPr>
            <w:r w:rsidRPr="00FB0774">
              <w:rPr>
                <w:b/>
                <w:szCs w:val="22"/>
              </w:rPr>
              <w:t>parenica</w:t>
            </w:r>
          </w:p>
        </w:tc>
        <w:tc>
          <w:tcPr>
            <w:tcW w:w="1418" w:type="dxa"/>
          </w:tcPr>
          <w:p w:rsidR="00ED1FEE" w:rsidRPr="00FB0774" w:rsidRDefault="00ED1FEE" w:rsidP="00ED1FEE">
            <w:pPr>
              <w:rPr>
                <w:szCs w:val="22"/>
              </w:rPr>
            </w:pPr>
            <w:r w:rsidRPr="00FB0774">
              <w:rPr>
                <w:szCs w:val="22"/>
              </w:rPr>
              <w:t>23.6.2005</w:t>
            </w:r>
          </w:p>
        </w:tc>
        <w:tc>
          <w:tcPr>
            <w:tcW w:w="1417" w:type="dxa"/>
          </w:tcPr>
          <w:p w:rsidR="00ED1FEE" w:rsidRPr="00FB0774" w:rsidRDefault="00ED1FEE" w:rsidP="00ED1FEE">
            <w:pPr>
              <w:rPr>
                <w:szCs w:val="22"/>
              </w:rPr>
            </w:pPr>
            <w:r w:rsidRPr="00FB0774">
              <w:rPr>
                <w:szCs w:val="22"/>
              </w:rPr>
              <w:t>19.7. 2005</w:t>
            </w:r>
          </w:p>
        </w:tc>
        <w:tc>
          <w:tcPr>
            <w:tcW w:w="1559" w:type="dxa"/>
          </w:tcPr>
          <w:p w:rsidR="00ED1FEE" w:rsidRPr="00FB0774" w:rsidRDefault="00ED1FEE" w:rsidP="00ED1FEE">
            <w:pPr>
              <w:rPr>
                <w:szCs w:val="22"/>
              </w:rPr>
            </w:pPr>
            <w:r w:rsidRPr="00FB0774">
              <w:rPr>
                <w:szCs w:val="22"/>
              </w:rPr>
              <w:t>24.10.2007</w:t>
            </w:r>
          </w:p>
          <w:p w:rsidR="00ED1FEE" w:rsidRPr="00FB0774" w:rsidRDefault="00ED1FEE" w:rsidP="00ED1FEE">
            <w:pPr>
              <w:rPr>
                <w:szCs w:val="22"/>
              </w:rPr>
            </w:pPr>
            <w:r w:rsidRPr="00FB0774">
              <w:rPr>
                <w:szCs w:val="22"/>
              </w:rPr>
              <w:t>2007/C249/13</w:t>
            </w:r>
          </w:p>
        </w:tc>
        <w:tc>
          <w:tcPr>
            <w:tcW w:w="4111" w:type="dxa"/>
          </w:tcPr>
          <w:p w:rsidR="00ED1FEE" w:rsidRPr="00FB0774" w:rsidRDefault="00ED1FEE" w:rsidP="00ED1FEE">
            <w:pPr>
              <w:rPr>
                <w:szCs w:val="22"/>
              </w:rPr>
            </w:pPr>
            <w:r w:rsidRPr="00FB0774">
              <w:rPr>
                <w:szCs w:val="22"/>
              </w:rPr>
              <w:t>Zápis názvu „Slovenská parenica“ podľa nariadenia Komisie (ES) č. 656/2008 z 10. júla 2008, ktorým sa do Registra chránených označení pôvodu a chránených zemepisných označení zapisujú určité názvy -Slovenská parenica (CHZO)</w:t>
            </w:r>
          </w:p>
          <w:p w:rsidR="00ED1FEE" w:rsidRPr="00FB0774" w:rsidRDefault="00ED1FEE" w:rsidP="00ED1FEE">
            <w:pPr>
              <w:rPr>
                <w:szCs w:val="22"/>
              </w:rPr>
            </w:pPr>
            <w:r w:rsidRPr="00FB0774">
              <w:rPr>
                <w:szCs w:val="22"/>
              </w:rPr>
              <w:t xml:space="preserve"> (CHZO) - 2008/L183/15</w:t>
            </w:r>
          </w:p>
        </w:tc>
        <w:tc>
          <w:tcPr>
            <w:tcW w:w="4961" w:type="dxa"/>
          </w:tcPr>
          <w:p w:rsidR="00ED1FEE" w:rsidRPr="00FB0774" w:rsidRDefault="00ED1FEE" w:rsidP="00ED1FEE">
            <w:pPr>
              <w:rPr>
                <w:szCs w:val="22"/>
              </w:rPr>
            </w:pPr>
            <w:r w:rsidRPr="00FB0774">
              <w:rPr>
                <w:szCs w:val="22"/>
              </w:rPr>
              <w:t>Združenie „Cech bryndziarov“</w:t>
            </w:r>
          </w:p>
          <w:p w:rsidR="00ED1FEE" w:rsidRPr="00FB0774" w:rsidRDefault="00ED1FEE" w:rsidP="00ED1FEE">
            <w:pPr>
              <w:rPr>
                <w:szCs w:val="22"/>
              </w:rPr>
            </w:pPr>
            <w:r w:rsidRPr="00FB0774">
              <w:rPr>
                <w:szCs w:val="22"/>
              </w:rPr>
              <w:t>Nová 135</w:t>
            </w:r>
          </w:p>
          <w:p w:rsidR="00ED1FEE" w:rsidRPr="00FB0774" w:rsidRDefault="00ED1FEE" w:rsidP="00ED1FEE">
            <w:pPr>
              <w:rPr>
                <w:szCs w:val="22"/>
              </w:rPr>
            </w:pPr>
            <w:r w:rsidRPr="00FB0774">
              <w:rPr>
                <w:szCs w:val="22"/>
              </w:rPr>
              <w:t xml:space="preserve"> 017 01 Považská Bystrica</w:t>
            </w:r>
          </w:p>
          <w:p w:rsidR="00ED1FEE" w:rsidRPr="00FB0774" w:rsidRDefault="00ED1FEE" w:rsidP="00ED1FEE">
            <w:pPr>
              <w:rPr>
                <w:szCs w:val="22"/>
              </w:rPr>
            </w:pPr>
            <w:r w:rsidRPr="00FB0774">
              <w:rPr>
                <w:szCs w:val="22"/>
              </w:rPr>
              <w:t xml:space="preserve"> Telefón: (421-42) 4325321 </w:t>
            </w:r>
          </w:p>
          <w:p w:rsidR="00ED1FEE" w:rsidRPr="00FB0774" w:rsidRDefault="00ED1FEE" w:rsidP="00ED1FEE">
            <w:pPr>
              <w:rPr>
                <w:szCs w:val="22"/>
              </w:rPr>
            </w:pPr>
            <w:r w:rsidRPr="00FB0774">
              <w:rPr>
                <w:szCs w:val="22"/>
              </w:rPr>
              <w:t xml:space="preserve">Fax: (421-42) 4326295 </w:t>
            </w:r>
          </w:p>
          <w:p w:rsidR="00ED1FEE" w:rsidRPr="00FB0774" w:rsidRDefault="00ED1FEE" w:rsidP="00ED1FEE">
            <w:pPr>
              <w:rPr>
                <w:szCs w:val="22"/>
              </w:rPr>
            </w:pPr>
            <w:r w:rsidRPr="00FB0774">
              <w:rPr>
                <w:szCs w:val="22"/>
              </w:rPr>
              <w:t>e-mail: dir@nika.sk</w:t>
            </w:r>
          </w:p>
        </w:tc>
      </w:tr>
      <w:tr w:rsidR="00ED1FEE" w:rsidRPr="00FB0774" w:rsidTr="00ED1FEE">
        <w:trPr>
          <w:trHeight w:val="123"/>
        </w:trPr>
        <w:tc>
          <w:tcPr>
            <w:tcW w:w="1384" w:type="dxa"/>
          </w:tcPr>
          <w:p w:rsidR="00ED1FEE" w:rsidRPr="00FB0774" w:rsidRDefault="00ED1FEE" w:rsidP="00ED1FEE">
            <w:pPr>
              <w:rPr>
                <w:b/>
                <w:szCs w:val="22"/>
              </w:rPr>
            </w:pPr>
            <w:r w:rsidRPr="00FB0774">
              <w:rPr>
                <w:b/>
                <w:szCs w:val="22"/>
              </w:rPr>
              <w:t>Oravský</w:t>
            </w:r>
          </w:p>
          <w:p w:rsidR="00ED1FEE" w:rsidRPr="00FB0774" w:rsidRDefault="00ED1FEE" w:rsidP="00ED1FEE">
            <w:pPr>
              <w:rPr>
                <w:szCs w:val="22"/>
              </w:rPr>
            </w:pPr>
            <w:r w:rsidRPr="00FB0774">
              <w:rPr>
                <w:b/>
                <w:szCs w:val="22"/>
              </w:rPr>
              <w:t>korbáčik</w:t>
            </w:r>
          </w:p>
        </w:tc>
        <w:tc>
          <w:tcPr>
            <w:tcW w:w="1418" w:type="dxa"/>
          </w:tcPr>
          <w:p w:rsidR="00ED1FEE" w:rsidRPr="00FB0774" w:rsidRDefault="00ED1FEE" w:rsidP="00ED1FEE">
            <w:pPr>
              <w:rPr>
                <w:szCs w:val="22"/>
              </w:rPr>
            </w:pPr>
          </w:p>
        </w:tc>
        <w:tc>
          <w:tcPr>
            <w:tcW w:w="1417" w:type="dxa"/>
          </w:tcPr>
          <w:p w:rsidR="00ED1FEE" w:rsidRPr="00FB0774" w:rsidRDefault="00ED1FEE" w:rsidP="00ED1FEE">
            <w:pPr>
              <w:rPr>
                <w:szCs w:val="22"/>
              </w:rPr>
            </w:pPr>
            <w:r w:rsidRPr="00FB0774">
              <w:rPr>
                <w:szCs w:val="22"/>
              </w:rPr>
              <w:t>30.10.2007</w:t>
            </w:r>
          </w:p>
        </w:tc>
        <w:tc>
          <w:tcPr>
            <w:tcW w:w="1559" w:type="dxa"/>
          </w:tcPr>
          <w:p w:rsidR="00ED1FEE" w:rsidRPr="00FB0774" w:rsidRDefault="00ED1FEE" w:rsidP="00ED1FEE">
            <w:pPr>
              <w:rPr>
                <w:szCs w:val="22"/>
              </w:rPr>
            </w:pPr>
            <w:r w:rsidRPr="00FB0774">
              <w:rPr>
                <w:szCs w:val="22"/>
              </w:rPr>
              <w:t>13.7.2010</w:t>
            </w:r>
          </w:p>
          <w:p w:rsidR="00ED1FEE" w:rsidRPr="00FB0774" w:rsidRDefault="00ED1FEE" w:rsidP="00ED1FEE">
            <w:pPr>
              <w:rPr>
                <w:szCs w:val="22"/>
              </w:rPr>
            </w:pPr>
            <w:r w:rsidRPr="00FB0774">
              <w:rPr>
                <w:szCs w:val="22"/>
              </w:rPr>
              <w:t>2010/C 188/10</w:t>
            </w:r>
          </w:p>
        </w:tc>
        <w:tc>
          <w:tcPr>
            <w:tcW w:w="4111" w:type="dxa"/>
          </w:tcPr>
          <w:p w:rsidR="00ED1FEE" w:rsidRPr="00FB0774" w:rsidRDefault="00ED1FEE" w:rsidP="00ED1FEE">
            <w:pPr>
              <w:rPr>
                <w:szCs w:val="22"/>
              </w:rPr>
            </w:pPr>
            <w:r w:rsidRPr="00FB0774">
              <w:rPr>
                <w:szCs w:val="22"/>
              </w:rPr>
              <w:t xml:space="preserve">Zápis názvu „Oravský korbáčik“ podľa nariadenia Komisie (ES) č. 243/2011 z 11. marca 2011, ktorým sa do Registra chránených označení pôvodu a chránených zemepisných označení zapisuje názov Oravský korbáčik (CHZO) </w:t>
            </w:r>
          </w:p>
          <w:p w:rsidR="00ED1FEE" w:rsidRPr="00FB0774" w:rsidRDefault="00ED1FEE" w:rsidP="00ED1FEE">
            <w:pPr>
              <w:rPr>
                <w:szCs w:val="22"/>
              </w:rPr>
            </w:pPr>
            <w:r w:rsidRPr="00FB0774">
              <w:rPr>
                <w:szCs w:val="22"/>
              </w:rPr>
              <w:t>(CHZO) - 2011/ L 66/19</w:t>
            </w:r>
          </w:p>
        </w:tc>
        <w:tc>
          <w:tcPr>
            <w:tcW w:w="4961" w:type="dxa"/>
          </w:tcPr>
          <w:p w:rsidR="00ED1FEE" w:rsidRPr="00FB0774" w:rsidRDefault="00ED1FEE" w:rsidP="00ED1FEE">
            <w:pPr>
              <w:rPr>
                <w:szCs w:val="22"/>
              </w:rPr>
            </w:pPr>
            <w:r w:rsidRPr="00FB0774">
              <w:rPr>
                <w:szCs w:val="22"/>
              </w:rPr>
              <w:t>Združenie „Zázrivských korbáčikárov“</w:t>
            </w:r>
          </w:p>
          <w:p w:rsidR="00ED1FEE" w:rsidRPr="00FB0774" w:rsidRDefault="00ED1FEE" w:rsidP="00ED1FEE">
            <w:pPr>
              <w:rPr>
                <w:szCs w:val="22"/>
              </w:rPr>
            </w:pPr>
            <w:r w:rsidRPr="00FB0774">
              <w:rPr>
                <w:szCs w:val="22"/>
              </w:rPr>
              <w:t xml:space="preserve"> Dolina 126</w:t>
            </w:r>
          </w:p>
          <w:p w:rsidR="00ED1FEE" w:rsidRPr="00FB0774" w:rsidRDefault="00ED1FEE" w:rsidP="00ED1FEE">
            <w:pPr>
              <w:rPr>
                <w:szCs w:val="22"/>
              </w:rPr>
            </w:pPr>
            <w:r w:rsidRPr="00FB0774">
              <w:rPr>
                <w:szCs w:val="22"/>
              </w:rPr>
              <w:t xml:space="preserve"> 027 05 Zázrivá</w:t>
            </w:r>
          </w:p>
          <w:p w:rsidR="00ED1FEE" w:rsidRPr="00FB0774" w:rsidRDefault="00ED1FEE" w:rsidP="00ED1FEE">
            <w:pPr>
              <w:rPr>
                <w:szCs w:val="22"/>
              </w:rPr>
            </w:pPr>
            <w:r w:rsidRPr="00FB0774">
              <w:rPr>
                <w:szCs w:val="22"/>
              </w:rPr>
              <w:t xml:space="preserve">Telefón: (421-33) 6400089 </w:t>
            </w:r>
          </w:p>
          <w:p w:rsidR="00ED1FEE" w:rsidRPr="00FB0774" w:rsidRDefault="00ED1FEE" w:rsidP="00ED1FEE">
            <w:pPr>
              <w:rPr>
                <w:szCs w:val="22"/>
              </w:rPr>
            </w:pPr>
            <w:r w:rsidRPr="00FB0774">
              <w:rPr>
                <w:szCs w:val="22"/>
              </w:rPr>
              <w:t xml:space="preserve">Fax: (421-33) 6400089 </w:t>
            </w:r>
          </w:p>
          <w:p w:rsidR="00ED1FEE" w:rsidRPr="00FB0774" w:rsidRDefault="00ED1FEE" w:rsidP="00ED1FEE">
            <w:pPr>
              <w:rPr>
                <w:szCs w:val="22"/>
              </w:rPr>
            </w:pPr>
            <w:r w:rsidRPr="00FB0774">
              <w:rPr>
                <w:szCs w:val="22"/>
              </w:rPr>
              <w:t>e-mail: zdruzenie.zk@gmail.sk</w:t>
            </w:r>
          </w:p>
        </w:tc>
      </w:tr>
      <w:tr w:rsidR="00ED1FEE" w:rsidRPr="00FB0774" w:rsidTr="00ED1FEE">
        <w:tc>
          <w:tcPr>
            <w:tcW w:w="1384" w:type="dxa"/>
          </w:tcPr>
          <w:p w:rsidR="00ED1FEE" w:rsidRPr="00FB0774" w:rsidRDefault="00ED1FEE" w:rsidP="00ED1FEE">
            <w:pPr>
              <w:rPr>
                <w:b/>
                <w:szCs w:val="22"/>
              </w:rPr>
            </w:pPr>
            <w:r w:rsidRPr="00FB0774">
              <w:rPr>
                <w:b/>
                <w:szCs w:val="22"/>
              </w:rPr>
              <w:t>Zázrivský korbáčik</w:t>
            </w:r>
          </w:p>
        </w:tc>
        <w:tc>
          <w:tcPr>
            <w:tcW w:w="1418" w:type="dxa"/>
          </w:tcPr>
          <w:p w:rsidR="00ED1FEE" w:rsidRPr="00FB0774" w:rsidRDefault="00ED1FEE" w:rsidP="00ED1FEE">
            <w:pPr>
              <w:rPr>
                <w:szCs w:val="22"/>
              </w:rPr>
            </w:pPr>
          </w:p>
        </w:tc>
        <w:tc>
          <w:tcPr>
            <w:tcW w:w="1417" w:type="dxa"/>
          </w:tcPr>
          <w:p w:rsidR="00ED1FEE" w:rsidRPr="00FB0774" w:rsidRDefault="00ED1FEE" w:rsidP="00ED1FEE">
            <w:pPr>
              <w:rPr>
                <w:szCs w:val="22"/>
              </w:rPr>
            </w:pPr>
            <w:r w:rsidRPr="00FB0774">
              <w:rPr>
                <w:szCs w:val="22"/>
              </w:rPr>
              <w:t>30.10.2007</w:t>
            </w:r>
          </w:p>
        </w:tc>
        <w:tc>
          <w:tcPr>
            <w:tcW w:w="1559" w:type="dxa"/>
          </w:tcPr>
          <w:p w:rsidR="00ED1FEE" w:rsidRPr="00FB0774" w:rsidRDefault="00ED1FEE" w:rsidP="00ED1FEE">
            <w:pPr>
              <w:rPr>
                <w:szCs w:val="22"/>
              </w:rPr>
            </w:pPr>
            <w:r w:rsidRPr="00FB0774">
              <w:rPr>
                <w:szCs w:val="22"/>
              </w:rPr>
              <w:t>13.7.2010</w:t>
            </w:r>
          </w:p>
          <w:p w:rsidR="00ED1FEE" w:rsidRPr="00FB0774" w:rsidRDefault="00ED1FEE" w:rsidP="00ED1FEE">
            <w:pPr>
              <w:rPr>
                <w:szCs w:val="22"/>
              </w:rPr>
            </w:pPr>
            <w:r w:rsidRPr="00FB0774">
              <w:rPr>
                <w:szCs w:val="22"/>
              </w:rPr>
              <w:t>2010/C 188/11</w:t>
            </w:r>
          </w:p>
        </w:tc>
        <w:tc>
          <w:tcPr>
            <w:tcW w:w="4111" w:type="dxa"/>
          </w:tcPr>
          <w:p w:rsidR="00ED1FEE" w:rsidRPr="00FB0774" w:rsidRDefault="00ED1FEE" w:rsidP="00ED1FEE">
            <w:pPr>
              <w:rPr>
                <w:szCs w:val="22"/>
              </w:rPr>
            </w:pPr>
            <w:r w:rsidRPr="00FB0774">
              <w:rPr>
                <w:szCs w:val="22"/>
              </w:rPr>
              <w:t>Zápis názvu „Zázrivský korbáčik“ podľa nariadenia Komisie (ES) č. 238/2011 z 11. marca 2011, ktorým sa do Registra chránených označení pôvodu a chránených</w:t>
            </w:r>
          </w:p>
          <w:p w:rsidR="00ED1FEE" w:rsidRPr="00FB0774" w:rsidRDefault="00ED1FEE" w:rsidP="00ED1FEE">
            <w:pPr>
              <w:rPr>
                <w:szCs w:val="22"/>
              </w:rPr>
            </w:pPr>
            <w:r w:rsidRPr="00FB0774">
              <w:rPr>
                <w:szCs w:val="22"/>
              </w:rPr>
              <w:t>zemepisných označení zapisuje názov Zázrivský korbáčik  (CHZO)</w:t>
            </w:r>
          </w:p>
          <w:p w:rsidR="00ED1FEE" w:rsidRPr="00FB0774" w:rsidRDefault="00ED1FEE" w:rsidP="00ED1FEE">
            <w:pPr>
              <w:rPr>
                <w:szCs w:val="22"/>
              </w:rPr>
            </w:pPr>
            <w:r w:rsidRPr="00FB0774">
              <w:rPr>
                <w:szCs w:val="22"/>
              </w:rPr>
              <w:t xml:space="preserve"> (CHZO) - 2011/ L 66/9</w:t>
            </w:r>
          </w:p>
        </w:tc>
        <w:tc>
          <w:tcPr>
            <w:tcW w:w="4961" w:type="dxa"/>
          </w:tcPr>
          <w:p w:rsidR="00ED1FEE" w:rsidRPr="00FB0774" w:rsidRDefault="00ED1FEE" w:rsidP="00ED1FEE">
            <w:pPr>
              <w:rPr>
                <w:szCs w:val="22"/>
              </w:rPr>
            </w:pPr>
            <w:r w:rsidRPr="00FB0774">
              <w:rPr>
                <w:szCs w:val="22"/>
              </w:rPr>
              <w:t>Združenie „Zázrivských korbáčikárov“</w:t>
            </w:r>
          </w:p>
          <w:p w:rsidR="00ED1FEE" w:rsidRPr="00FB0774" w:rsidRDefault="00ED1FEE" w:rsidP="00ED1FEE">
            <w:pPr>
              <w:rPr>
                <w:szCs w:val="22"/>
              </w:rPr>
            </w:pPr>
            <w:r w:rsidRPr="00FB0774">
              <w:rPr>
                <w:szCs w:val="22"/>
              </w:rPr>
              <w:t xml:space="preserve"> Dolina 126</w:t>
            </w:r>
          </w:p>
          <w:p w:rsidR="00ED1FEE" w:rsidRPr="00FB0774" w:rsidRDefault="00ED1FEE" w:rsidP="00ED1FEE">
            <w:pPr>
              <w:rPr>
                <w:szCs w:val="22"/>
              </w:rPr>
            </w:pPr>
            <w:r w:rsidRPr="00FB0774">
              <w:rPr>
                <w:szCs w:val="22"/>
              </w:rPr>
              <w:t xml:space="preserve"> 027 05 Zázrivá</w:t>
            </w:r>
          </w:p>
          <w:p w:rsidR="00ED1FEE" w:rsidRPr="00FB0774" w:rsidRDefault="00ED1FEE" w:rsidP="00ED1FEE">
            <w:pPr>
              <w:rPr>
                <w:szCs w:val="22"/>
              </w:rPr>
            </w:pPr>
            <w:r w:rsidRPr="00FB0774">
              <w:rPr>
                <w:szCs w:val="22"/>
              </w:rPr>
              <w:t xml:space="preserve">Telefón: (421-33) 6400089 </w:t>
            </w:r>
          </w:p>
          <w:p w:rsidR="00ED1FEE" w:rsidRPr="00FB0774" w:rsidRDefault="00ED1FEE" w:rsidP="00ED1FEE">
            <w:pPr>
              <w:rPr>
                <w:szCs w:val="22"/>
              </w:rPr>
            </w:pPr>
            <w:r w:rsidRPr="00FB0774">
              <w:rPr>
                <w:szCs w:val="22"/>
              </w:rPr>
              <w:t xml:space="preserve">Fax: (421-33) 6400089 </w:t>
            </w:r>
          </w:p>
          <w:p w:rsidR="00ED1FEE" w:rsidRPr="00FB0774" w:rsidRDefault="00ED1FEE" w:rsidP="00ED1FEE">
            <w:pPr>
              <w:rPr>
                <w:szCs w:val="22"/>
              </w:rPr>
            </w:pPr>
            <w:r w:rsidRPr="00FB0774">
              <w:rPr>
                <w:szCs w:val="22"/>
              </w:rPr>
              <w:t>e-mail: zdruzenie.zk@gmail.sk</w:t>
            </w:r>
          </w:p>
        </w:tc>
      </w:tr>
      <w:tr w:rsidR="00ED1FEE" w:rsidRPr="00FB0774" w:rsidTr="00ED1FEE">
        <w:tc>
          <w:tcPr>
            <w:tcW w:w="1384" w:type="dxa"/>
          </w:tcPr>
          <w:p w:rsidR="00ED1FEE" w:rsidRPr="00FB0774" w:rsidRDefault="00ED1FEE" w:rsidP="00ED1FEE">
            <w:pPr>
              <w:rPr>
                <w:b/>
                <w:szCs w:val="22"/>
              </w:rPr>
            </w:pPr>
            <w:r w:rsidRPr="00FB0774">
              <w:rPr>
                <w:b/>
                <w:szCs w:val="22"/>
              </w:rPr>
              <w:t>Tekovský salámový syr</w:t>
            </w:r>
          </w:p>
        </w:tc>
        <w:tc>
          <w:tcPr>
            <w:tcW w:w="1418" w:type="dxa"/>
          </w:tcPr>
          <w:p w:rsidR="00ED1FEE" w:rsidRPr="00FB0774" w:rsidRDefault="00ED1FEE" w:rsidP="00ED1FEE">
            <w:pPr>
              <w:rPr>
                <w:szCs w:val="22"/>
              </w:rPr>
            </w:pPr>
          </w:p>
        </w:tc>
        <w:tc>
          <w:tcPr>
            <w:tcW w:w="1417" w:type="dxa"/>
          </w:tcPr>
          <w:p w:rsidR="00ED1FEE" w:rsidRPr="00FB0774" w:rsidRDefault="00ED1FEE" w:rsidP="00ED1FEE">
            <w:pPr>
              <w:rPr>
                <w:szCs w:val="22"/>
              </w:rPr>
            </w:pPr>
            <w:r w:rsidRPr="00FB0774">
              <w:rPr>
                <w:szCs w:val="22"/>
              </w:rPr>
              <w:t>14.4.2008</w:t>
            </w:r>
          </w:p>
        </w:tc>
        <w:tc>
          <w:tcPr>
            <w:tcW w:w="1559" w:type="dxa"/>
          </w:tcPr>
          <w:p w:rsidR="00ED1FEE" w:rsidRPr="00FB0774" w:rsidRDefault="00ED1FEE" w:rsidP="00ED1FEE">
            <w:pPr>
              <w:rPr>
                <w:szCs w:val="22"/>
              </w:rPr>
            </w:pPr>
            <w:r w:rsidRPr="00FB0774">
              <w:rPr>
                <w:szCs w:val="22"/>
              </w:rPr>
              <w:t>27.7.2010</w:t>
            </w:r>
          </w:p>
          <w:p w:rsidR="00ED1FEE" w:rsidRPr="00FB0774" w:rsidRDefault="00ED1FEE" w:rsidP="00ED1FEE">
            <w:pPr>
              <w:rPr>
                <w:szCs w:val="22"/>
              </w:rPr>
            </w:pPr>
            <w:r w:rsidRPr="00FB0774">
              <w:rPr>
                <w:szCs w:val="22"/>
              </w:rPr>
              <w:t>2010/C 202/05</w:t>
            </w:r>
          </w:p>
        </w:tc>
        <w:tc>
          <w:tcPr>
            <w:tcW w:w="4111" w:type="dxa"/>
          </w:tcPr>
          <w:p w:rsidR="00ED1FEE" w:rsidRPr="00FB0774" w:rsidRDefault="00ED1FEE" w:rsidP="00ED1FEE">
            <w:pPr>
              <w:rPr>
                <w:szCs w:val="22"/>
              </w:rPr>
            </w:pPr>
            <w:r w:rsidRPr="00FB0774">
              <w:rPr>
                <w:szCs w:val="22"/>
              </w:rPr>
              <w:t>Zápis názvu „Tekovský salámový syr“ podľa nariadeniaKomisie (ES) č. 239/2011 z 11. marca 2011, ktorým sa do Registra chránených označení pôvodu a chránených zemepisných označení zapisuje názov Tekovský salámový syr (CHZO)</w:t>
            </w:r>
          </w:p>
          <w:p w:rsidR="00ED1FEE" w:rsidRPr="00FB0774" w:rsidRDefault="00ED1FEE" w:rsidP="00ED1FEE">
            <w:pPr>
              <w:rPr>
                <w:szCs w:val="22"/>
              </w:rPr>
            </w:pPr>
            <w:r w:rsidRPr="00FB0774">
              <w:rPr>
                <w:szCs w:val="22"/>
              </w:rPr>
              <w:t>(CHZO) - 2011/ L 66/11</w:t>
            </w:r>
          </w:p>
        </w:tc>
        <w:tc>
          <w:tcPr>
            <w:tcW w:w="4961" w:type="dxa"/>
          </w:tcPr>
          <w:p w:rsidR="00ED1FEE" w:rsidRPr="00FB0774" w:rsidRDefault="00ED1FEE" w:rsidP="00ED1FEE">
            <w:pPr>
              <w:rPr>
                <w:szCs w:val="22"/>
              </w:rPr>
            </w:pPr>
            <w:r w:rsidRPr="00FB0774">
              <w:rPr>
                <w:szCs w:val="22"/>
              </w:rPr>
              <w:t>Levické mliekarne a.s.</w:t>
            </w:r>
          </w:p>
          <w:p w:rsidR="00ED1FEE" w:rsidRPr="00FB0774" w:rsidRDefault="00ED1FEE" w:rsidP="00ED1FEE">
            <w:pPr>
              <w:rPr>
                <w:szCs w:val="22"/>
              </w:rPr>
            </w:pPr>
            <w:r w:rsidRPr="00FB0774">
              <w:rPr>
                <w:szCs w:val="22"/>
              </w:rPr>
              <w:t>Júrska cesta č. 2</w:t>
            </w:r>
          </w:p>
          <w:p w:rsidR="00ED1FEE" w:rsidRPr="00FB0774" w:rsidRDefault="00ED1FEE" w:rsidP="00ED1FEE">
            <w:pPr>
              <w:rPr>
                <w:szCs w:val="22"/>
              </w:rPr>
            </w:pPr>
            <w:r w:rsidRPr="00FB0774">
              <w:rPr>
                <w:szCs w:val="22"/>
              </w:rPr>
              <w:t>934 01 Levice</w:t>
            </w:r>
          </w:p>
          <w:p w:rsidR="00ED1FEE" w:rsidRPr="00FB0774" w:rsidRDefault="00ED1FEE" w:rsidP="00ED1FEE">
            <w:pPr>
              <w:rPr>
                <w:szCs w:val="22"/>
              </w:rPr>
            </w:pPr>
            <w:r w:rsidRPr="00FB0774">
              <w:rPr>
                <w:szCs w:val="22"/>
              </w:rPr>
              <w:t>Telefón: (421-36) 6377111</w:t>
            </w:r>
          </w:p>
          <w:p w:rsidR="00ED1FEE" w:rsidRPr="00FB0774" w:rsidRDefault="00ED1FEE" w:rsidP="00ED1FEE">
            <w:pPr>
              <w:rPr>
                <w:szCs w:val="22"/>
              </w:rPr>
            </w:pPr>
            <w:r w:rsidRPr="00FB0774">
              <w:rPr>
                <w:szCs w:val="22"/>
              </w:rPr>
              <w:t>Fax: (421-36) 6225801</w:t>
            </w:r>
          </w:p>
          <w:p w:rsidR="00ED1FEE" w:rsidRPr="00FB0774" w:rsidRDefault="00ED1FEE" w:rsidP="00ED1FEE">
            <w:pPr>
              <w:rPr>
                <w:szCs w:val="22"/>
              </w:rPr>
            </w:pPr>
            <w:r w:rsidRPr="00FB0774">
              <w:rPr>
                <w:szCs w:val="22"/>
              </w:rPr>
              <w:t xml:space="preserve"> e-mail: or@levmilk.sk</w:t>
            </w:r>
          </w:p>
          <w:p w:rsidR="00ED1FEE" w:rsidRPr="00FB0774" w:rsidRDefault="00ED1FEE" w:rsidP="00ED1FEE">
            <w:pPr>
              <w:rPr>
                <w:szCs w:val="22"/>
              </w:rPr>
            </w:pPr>
          </w:p>
        </w:tc>
      </w:tr>
      <w:tr w:rsidR="00ED1FEE" w:rsidRPr="00FB0774" w:rsidTr="00ED1FEE">
        <w:trPr>
          <w:trHeight w:val="136"/>
        </w:trPr>
        <w:tc>
          <w:tcPr>
            <w:tcW w:w="1384" w:type="dxa"/>
          </w:tcPr>
          <w:p w:rsidR="00ED1FEE" w:rsidRPr="00FB0774" w:rsidRDefault="00ED1FEE" w:rsidP="00ED1FEE">
            <w:pPr>
              <w:rPr>
                <w:b/>
                <w:szCs w:val="22"/>
              </w:rPr>
            </w:pPr>
            <w:r w:rsidRPr="00FB0774">
              <w:rPr>
                <w:b/>
                <w:szCs w:val="22"/>
              </w:rPr>
              <w:t>Klenovecký</w:t>
            </w:r>
          </w:p>
          <w:p w:rsidR="00ED1FEE" w:rsidRPr="00FB0774" w:rsidRDefault="00ED1FEE" w:rsidP="00ED1FEE">
            <w:pPr>
              <w:rPr>
                <w:szCs w:val="22"/>
              </w:rPr>
            </w:pPr>
            <w:r w:rsidRPr="00FB0774">
              <w:rPr>
                <w:b/>
                <w:szCs w:val="22"/>
              </w:rPr>
              <w:t>syrec</w:t>
            </w:r>
          </w:p>
        </w:tc>
        <w:tc>
          <w:tcPr>
            <w:tcW w:w="1418" w:type="dxa"/>
          </w:tcPr>
          <w:p w:rsidR="00ED1FEE" w:rsidRPr="00FB0774" w:rsidRDefault="00ED1FEE" w:rsidP="00ED1FEE">
            <w:pPr>
              <w:rPr>
                <w:szCs w:val="22"/>
              </w:rPr>
            </w:pPr>
            <w:r w:rsidRPr="00FB0774">
              <w:rPr>
                <w:szCs w:val="22"/>
              </w:rPr>
              <w:t>11.11.2010</w:t>
            </w:r>
          </w:p>
        </w:tc>
        <w:tc>
          <w:tcPr>
            <w:tcW w:w="1417" w:type="dxa"/>
          </w:tcPr>
          <w:p w:rsidR="00ED1FEE" w:rsidRPr="00FB0774" w:rsidRDefault="00ED1FEE" w:rsidP="00ED1FEE">
            <w:pPr>
              <w:rPr>
                <w:szCs w:val="22"/>
              </w:rPr>
            </w:pPr>
          </w:p>
        </w:tc>
        <w:tc>
          <w:tcPr>
            <w:tcW w:w="1559" w:type="dxa"/>
          </w:tcPr>
          <w:p w:rsidR="00ED1FEE" w:rsidRPr="00FB0774" w:rsidRDefault="00ED1FEE" w:rsidP="00ED1FEE">
            <w:pPr>
              <w:rPr>
                <w:szCs w:val="22"/>
              </w:rPr>
            </w:pPr>
          </w:p>
        </w:tc>
        <w:tc>
          <w:tcPr>
            <w:tcW w:w="4111" w:type="dxa"/>
          </w:tcPr>
          <w:p w:rsidR="00ED1FEE" w:rsidRPr="00FB0774" w:rsidRDefault="00ED1FEE" w:rsidP="00ED1FEE">
            <w:pPr>
              <w:rPr>
                <w:szCs w:val="22"/>
              </w:rPr>
            </w:pPr>
            <w:r w:rsidRPr="00FB0774">
              <w:rPr>
                <w:szCs w:val="22"/>
              </w:rPr>
              <w:t>Dňa 22.6.2012 bola žiadosť o registráciu ako CHZO podaná na Európsku komisiu</w:t>
            </w:r>
          </w:p>
        </w:tc>
        <w:tc>
          <w:tcPr>
            <w:tcW w:w="4961" w:type="dxa"/>
          </w:tcPr>
          <w:p w:rsidR="00ED1FEE" w:rsidRPr="00FB0774" w:rsidRDefault="00ED1FEE" w:rsidP="00ED1FEE">
            <w:pPr>
              <w:rPr>
                <w:szCs w:val="22"/>
              </w:rPr>
            </w:pPr>
            <w:r w:rsidRPr="00FB0774">
              <w:rPr>
                <w:szCs w:val="22"/>
              </w:rPr>
              <w:t>Združenie „Cech bryndziarov“</w:t>
            </w:r>
          </w:p>
          <w:p w:rsidR="00ED1FEE" w:rsidRPr="00FB0774" w:rsidRDefault="00ED1FEE" w:rsidP="00ED1FEE">
            <w:pPr>
              <w:rPr>
                <w:szCs w:val="22"/>
              </w:rPr>
            </w:pPr>
            <w:r w:rsidRPr="00FB0774">
              <w:rPr>
                <w:szCs w:val="22"/>
              </w:rPr>
              <w:t xml:space="preserve">Nová 135 </w:t>
            </w:r>
          </w:p>
          <w:p w:rsidR="00ED1FEE" w:rsidRPr="00FB0774" w:rsidRDefault="00ED1FEE" w:rsidP="00ED1FEE">
            <w:pPr>
              <w:rPr>
                <w:szCs w:val="22"/>
              </w:rPr>
            </w:pPr>
            <w:r w:rsidRPr="00FB0774">
              <w:rPr>
                <w:szCs w:val="22"/>
              </w:rPr>
              <w:t>017 01 Považská Bystrica</w:t>
            </w:r>
          </w:p>
          <w:p w:rsidR="00ED1FEE" w:rsidRPr="00FB0774" w:rsidRDefault="00ED1FEE" w:rsidP="00ED1FEE">
            <w:pPr>
              <w:rPr>
                <w:szCs w:val="22"/>
              </w:rPr>
            </w:pPr>
            <w:r w:rsidRPr="00FB0774">
              <w:rPr>
                <w:szCs w:val="22"/>
              </w:rPr>
              <w:t xml:space="preserve"> Telefón: (421-42) 4325321</w:t>
            </w:r>
          </w:p>
          <w:p w:rsidR="00ED1FEE" w:rsidRPr="00FB0774" w:rsidRDefault="00ED1FEE" w:rsidP="00ED1FEE">
            <w:pPr>
              <w:rPr>
                <w:szCs w:val="22"/>
              </w:rPr>
            </w:pPr>
            <w:r w:rsidRPr="00FB0774">
              <w:rPr>
                <w:szCs w:val="22"/>
              </w:rPr>
              <w:t xml:space="preserve"> Fax: (421-42) 4326295</w:t>
            </w:r>
          </w:p>
          <w:p w:rsidR="00ED1FEE" w:rsidRPr="00FB0774" w:rsidRDefault="00ED1FEE" w:rsidP="00ED1FEE">
            <w:pPr>
              <w:rPr>
                <w:szCs w:val="22"/>
              </w:rPr>
            </w:pPr>
            <w:r w:rsidRPr="00FB0774">
              <w:rPr>
                <w:szCs w:val="22"/>
              </w:rPr>
              <w:lastRenderedPageBreak/>
              <w:t xml:space="preserve"> e-mail: dir@nika.sk</w:t>
            </w:r>
          </w:p>
        </w:tc>
      </w:tr>
      <w:tr w:rsidR="00ED1FEE" w:rsidRPr="00FB0774" w:rsidTr="00ED1FEE">
        <w:tc>
          <w:tcPr>
            <w:tcW w:w="1384" w:type="dxa"/>
          </w:tcPr>
          <w:p w:rsidR="00ED1FEE" w:rsidRPr="00FB0774" w:rsidRDefault="00ED1FEE" w:rsidP="00ED1FEE">
            <w:pPr>
              <w:rPr>
                <w:b/>
                <w:szCs w:val="22"/>
              </w:rPr>
            </w:pPr>
            <w:r w:rsidRPr="00FB0774">
              <w:rPr>
                <w:b/>
                <w:szCs w:val="22"/>
              </w:rPr>
              <w:lastRenderedPageBreak/>
              <w:t>Zázrivské</w:t>
            </w:r>
          </w:p>
          <w:p w:rsidR="00ED1FEE" w:rsidRPr="00FB0774" w:rsidRDefault="00ED1FEE" w:rsidP="00ED1FEE">
            <w:pPr>
              <w:rPr>
                <w:szCs w:val="22"/>
              </w:rPr>
            </w:pPr>
            <w:r w:rsidRPr="00FB0774">
              <w:rPr>
                <w:b/>
                <w:szCs w:val="22"/>
              </w:rPr>
              <w:t>vojky</w:t>
            </w:r>
          </w:p>
        </w:tc>
        <w:tc>
          <w:tcPr>
            <w:tcW w:w="1418" w:type="dxa"/>
          </w:tcPr>
          <w:p w:rsidR="00ED1FEE" w:rsidRPr="00FB0774" w:rsidRDefault="00ED1FEE" w:rsidP="00ED1FEE">
            <w:pPr>
              <w:rPr>
                <w:szCs w:val="22"/>
              </w:rPr>
            </w:pPr>
            <w:r w:rsidRPr="00FB0774">
              <w:rPr>
                <w:szCs w:val="22"/>
              </w:rPr>
              <w:t>28.10.2011</w:t>
            </w:r>
          </w:p>
        </w:tc>
        <w:tc>
          <w:tcPr>
            <w:tcW w:w="1417" w:type="dxa"/>
          </w:tcPr>
          <w:p w:rsidR="00ED1FEE" w:rsidRPr="00FB0774" w:rsidRDefault="00ED1FEE" w:rsidP="00ED1FEE">
            <w:pPr>
              <w:rPr>
                <w:szCs w:val="22"/>
              </w:rPr>
            </w:pPr>
          </w:p>
        </w:tc>
        <w:tc>
          <w:tcPr>
            <w:tcW w:w="1559" w:type="dxa"/>
          </w:tcPr>
          <w:p w:rsidR="00ED1FEE" w:rsidRPr="00FB0774" w:rsidRDefault="00ED1FEE" w:rsidP="00ED1FEE">
            <w:pPr>
              <w:rPr>
                <w:szCs w:val="22"/>
              </w:rPr>
            </w:pPr>
          </w:p>
        </w:tc>
        <w:tc>
          <w:tcPr>
            <w:tcW w:w="4111" w:type="dxa"/>
          </w:tcPr>
          <w:p w:rsidR="00ED1FEE" w:rsidRPr="00FB0774" w:rsidRDefault="00ED1FEE" w:rsidP="00ED1FEE">
            <w:pPr>
              <w:rPr>
                <w:szCs w:val="22"/>
              </w:rPr>
            </w:pPr>
            <w:r w:rsidRPr="00FB0774">
              <w:rPr>
                <w:szCs w:val="22"/>
              </w:rPr>
              <w:t>Dňa 13.8.2012 bola žiadosť o registráciu ako CHZO  podaná na Európsku komisiu</w:t>
            </w:r>
          </w:p>
        </w:tc>
        <w:tc>
          <w:tcPr>
            <w:tcW w:w="4961" w:type="dxa"/>
          </w:tcPr>
          <w:p w:rsidR="00ED1FEE" w:rsidRPr="00FB0774" w:rsidRDefault="00ED1FEE" w:rsidP="00ED1FEE">
            <w:pPr>
              <w:rPr>
                <w:szCs w:val="22"/>
              </w:rPr>
            </w:pPr>
            <w:r w:rsidRPr="00FB0774">
              <w:rPr>
                <w:szCs w:val="22"/>
              </w:rPr>
              <w:t>Združenie „Zázrivských korbáčikárov“</w:t>
            </w:r>
          </w:p>
          <w:p w:rsidR="00ED1FEE" w:rsidRPr="00FB0774" w:rsidRDefault="00ED1FEE" w:rsidP="00ED1FEE">
            <w:pPr>
              <w:rPr>
                <w:szCs w:val="22"/>
              </w:rPr>
            </w:pPr>
            <w:r w:rsidRPr="00FB0774">
              <w:rPr>
                <w:szCs w:val="22"/>
              </w:rPr>
              <w:t xml:space="preserve"> Dolina 126</w:t>
            </w:r>
          </w:p>
          <w:p w:rsidR="00ED1FEE" w:rsidRPr="00FB0774" w:rsidRDefault="00ED1FEE" w:rsidP="00ED1FEE">
            <w:pPr>
              <w:rPr>
                <w:szCs w:val="22"/>
              </w:rPr>
            </w:pPr>
            <w:r w:rsidRPr="00FB0774">
              <w:rPr>
                <w:szCs w:val="22"/>
              </w:rPr>
              <w:t xml:space="preserve"> 027 05 Zázrivá</w:t>
            </w:r>
          </w:p>
          <w:p w:rsidR="00ED1FEE" w:rsidRPr="00FB0774" w:rsidRDefault="00ED1FEE" w:rsidP="00ED1FEE">
            <w:pPr>
              <w:rPr>
                <w:szCs w:val="22"/>
              </w:rPr>
            </w:pPr>
            <w:r w:rsidRPr="00FB0774">
              <w:rPr>
                <w:szCs w:val="22"/>
              </w:rPr>
              <w:t xml:space="preserve">Telefón: (421-33) 6400089 </w:t>
            </w:r>
          </w:p>
          <w:p w:rsidR="00ED1FEE" w:rsidRPr="00FB0774" w:rsidRDefault="00ED1FEE" w:rsidP="00ED1FEE">
            <w:pPr>
              <w:rPr>
                <w:szCs w:val="22"/>
              </w:rPr>
            </w:pPr>
            <w:r w:rsidRPr="00FB0774">
              <w:rPr>
                <w:szCs w:val="22"/>
              </w:rPr>
              <w:t xml:space="preserve">Fax: (421-33) 6400089 </w:t>
            </w:r>
          </w:p>
          <w:p w:rsidR="00ED1FEE" w:rsidRPr="00FB0774" w:rsidRDefault="00ED1FEE" w:rsidP="00ED1FEE">
            <w:pPr>
              <w:rPr>
                <w:szCs w:val="22"/>
              </w:rPr>
            </w:pPr>
            <w:r w:rsidRPr="00FB0774">
              <w:rPr>
                <w:szCs w:val="22"/>
              </w:rPr>
              <w:t>e-mail: zdruzenie.zk@gmail.sk</w:t>
            </w:r>
          </w:p>
        </w:tc>
      </w:tr>
      <w:tr w:rsidR="00ED1FEE" w:rsidRPr="00FB0774" w:rsidTr="00ED1FEE">
        <w:tc>
          <w:tcPr>
            <w:tcW w:w="1384" w:type="dxa"/>
          </w:tcPr>
          <w:p w:rsidR="00ED1FEE" w:rsidRPr="00FB0774" w:rsidRDefault="00ED1FEE" w:rsidP="00ED1FEE">
            <w:pPr>
              <w:rPr>
                <w:b/>
                <w:szCs w:val="22"/>
              </w:rPr>
            </w:pPr>
            <w:r w:rsidRPr="00FB0774">
              <w:rPr>
                <w:b/>
                <w:szCs w:val="22"/>
              </w:rPr>
              <w:t>„Paprika žitava “/ „Žitavská paprika”</w:t>
            </w:r>
          </w:p>
        </w:tc>
        <w:tc>
          <w:tcPr>
            <w:tcW w:w="1418" w:type="dxa"/>
          </w:tcPr>
          <w:p w:rsidR="00ED1FEE" w:rsidRPr="00FB0774" w:rsidRDefault="00ED1FEE" w:rsidP="00ED1FEE">
            <w:pPr>
              <w:rPr>
                <w:szCs w:val="22"/>
              </w:rPr>
            </w:pPr>
            <w:r w:rsidRPr="00FB0774">
              <w:rPr>
                <w:szCs w:val="22"/>
              </w:rPr>
              <w:t>5.1.2012</w:t>
            </w:r>
          </w:p>
        </w:tc>
        <w:tc>
          <w:tcPr>
            <w:tcW w:w="1417" w:type="dxa"/>
          </w:tcPr>
          <w:p w:rsidR="00ED1FEE" w:rsidRPr="00FB0774" w:rsidRDefault="00ED1FEE" w:rsidP="00ED1FEE">
            <w:pPr>
              <w:rPr>
                <w:szCs w:val="22"/>
              </w:rPr>
            </w:pPr>
            <w:r w:rsidRPr="00FB0774">
              <w:rPr>
                <w:szCs w:val="22"/>
              </w:rPr>
              <w:t>10.8.2012</w:t>
            </w:r>
          </w:p>
        </w:tc>
        <w:tc>
          <w:tcPr>
            <w:tcW w:w="1559" w:type="dxa"/>
          </w:tcPr>
          <w:p w:rsidR="00ED1FEE" w:rsidRPr="00FB0774" w:rsidRDefault="00ED1FEE" w:rsidP="00ED1FEE">
            <w:pPr>
              <w:rPr>
                <w:szCs w:val="22"/>
              </w:rPr>
            </w:pPr>
            <w:r w:rsidRPr="00FB0774">
              <w:rPr>
                <w:szCs w:val="22"/>
              </w:rPr>
              <w:t>11.2.2014</w:t>
            </w:r>
          </w:p>
        </w:tc>
        <w:tc>
          <w:tcPr>
            <w:tcW w:w="4111" w:type="dxa"/>
          </w:tcPr>
          <w:p w:rsidR="00ED1FEE" w:rsidRPr="00FB0774" w:rsidRDefault="00ED1FEE" w:rsidP="00ED1FEE">
            <w:pPr>
              <w:rPr>
                <w:szCs w:val="22"/>
              </w:rPr>
            </w:pPr>
            <w:r w:rsidRPr="00FB0774">
              <w:rPr>
                <w:szCs w:val="22"/>
              </w:rPr>
              <w:t>Zápis názvu „Paprika žitava “/ „Žitavská paprika“ podľa vykonávacieho nariadenia Komisie (EÚ) č. 126/2014 z 5. februára 2014, ktorým sa do Registra chránených označení pôvodu a chránených zemepisných označení zapisuje názov Paprika Žitava/Žitavská paprika (CHOP) (CHOP) - 2014/ L 40/12</w:t>
            </w:r>
          </w:p>
        </w:tc>
        <w:tc>
          <w:tcPr>
            <w:tcW w:w="4961" w:type="dxa"/>
          </w:tcPr>
          <w:p w:rsidR="00ED1FEE" w:rsidRPr="00FB0774" w:rsidRDefault="00ED1FEE" w:rsidP="00ED1FEE">
            <w:pPr>
              <w:rPr>
                <w:szCs w:val="22"/>
              </w:rPr>
            </w:pPr>
            <w:r w:rsidRPr="00FB0774">
              <w:rPr>
                <w:szCs w:val="22"/>
              </w:rPr>
              <w:t xml:space="preserve">„Capsicum“- Združenie šľachtiteľov, pestovateľov a spracovateľov koreninovej papriky </w:t>
            </w:r>
          </w:p>
          <w:p w:rsidR="00ED1FEE" w:rsidRPr="00FB0774" w:rsidRDefault="00ED1FEE" w:rsidP="00ED1FEE">
            <w:pPr>
              <w:rPr>
                <w:szCs w:val="22"/>
              </w:rPr>
            </w:pPr>
            <w:r w:rsidRPr="00FB0774">
              <w:rPr>
                <w:szCs w:val="22"/>
              </w:rPr>
              <w:t xml:space="preserve">Močenok č. 655 </w:t>
            </w:r>
          </w:p>
          <w:p w:rsidR="00ED1FEE" w:rsidRPr="00FB0774" w:rsidRDefault="00ED1FEE" w:rsidP="00ED1FEE">
            <w:pPr>
              <w:rPr>
                <w:szCs w:val="22"/>
              </w:rPr>
            </w:pPr>
            <w:r w:rsidRPr="00FB0774">
              <w:rPr>
                <w:szCs w:val="22"/>
              </w:rPr>
              <w:t xml:space="preserve">951 31 Močenok </w:t>
            </w:r>
          </w:p>
          <w:p w:rsidR="00ED1FEE" w:rsidRPr="00FB0774" w:rsidRDefault="00ED1FEE" w:rsidP="00ED1FEE">
            <w:pPr>
              <w:rPr>
                <w:szCs w:val="22"/>
              </w:rPr>
            </w:pPr>
            <w:r w:rsidRPr="00FB0774">
              <w:rPr>
                <w:szCs w:val="22"/>
              </w:rPr>
              <w:t>Telefón: +421 917 666 306</w:t>
            </w:r>
          </w:p>
          <w:p w:rsidR="00ED1FEE" w:rsidRPr="00FB0774" w:rsidRDefault="00ED1FEE" w:rsidP="00ED1FEE">
            <w:pPr>
              <w:rPr>
                <w:szCs w:val="22"/>
              </w:rPr>
            </w:pPr>
            <w:r w:rsidRPr="00FB0774">
              <w:rPr>
                <w:szCs w:val="22"/>
              </w:rPr>
              <w:t xml:space="preserve">Fax: +421 455 320 349 </w:t>
            </w:r>
          </w:p>
          <w:p w:rsidR="00ED1FEE" w:rsidRPr="00FB0774" w:rsidRDefault="00ED1FEE" w:rsidP="00ED1FEE">
            <w:pPr>
              <w:rPr>
                <w:szCs w:val="22"/>
              </w:rPr>
            </w:pPr>
            <w:r w:rsidRPr="00FB0774">
              <w:rPr>
                <w:szCs w:val="22"/>
              </w:rPr>
              <w:t>e-mail: kolesar@maspoma.sk</w:t>
            </w:r>
          </w:p>
        </w:tc>
      </w:tr>
      <w:tr w:rsidR="00ED1FEE" w:rsidRPr="00FB0774" w:rsidTr="00ED1FEE">
        <w:tc>
          <w:tcPr>
            <w:tcW w:w="1384" w:type="dxa"/>
          </w:tcPr>
          <w:p w:rsidR="00ED1FEE" w:rsidRPr="00FB0774" w:rsidRDefault="00ED1FEE" w:rsidP="00ED1FEE">
            <w:pPr>
              <w:rPr>
                <w:b/>
                <w:szCs w:val="22"/>
              </w:rPr>
            </w:pPr>
            <w:r w:rsidRPr="00FB0774">
              <w:rPr>
                <w:b/>
                <w:szCs w:val="22"/>
              </w:rPr>
              <w:t>Levický slad</w:t>
            </w:r>
          </w:p>
        </w:tc>
        <w:tc>
          <w:tcPr>
            <w:tcW w:w="1418" w:type="dxa"/>
          </w:tcPr>
          <w:p w:rsidR="00ED1FEE" w:rsidRPr="00FB0774" w:rsidRDefault="00ED1FEE" w:rsidP="00ED1FEE">
            <w:pPr>
              <w:rPr>
                <w:szCs w:val="22"/>
              </w:rPr>
            </w:pPr>
            <w:r w:rsidRPr="00FB0774">
              <w:rPr>
                <w:szCs w:val="22"/>
              </w:rPr>
              <w:t>18.02.2013</w:t>
            </w:r>
          </w:p>
        </w:tc>
        <w:tc>
          <w:tcPr>
            <w:tcW w:w="1417" w:type="dxa"/>
          </w:tcPr>
          <w:p w:rsidR="00ED1FEE" w:rsidRPr="00FB0774" w:rsidRDefault="00ED1FEE" w:rsidP="00ED1FEE">
            <w:pPr>
              <w:rPr>
                <w:szCs w:val="22"/>
              </w:rPr>
            </w:pPr>
          </w:p>
        </w:tc>
        <w:tc>
          <w:tcPr>
            <w:tcW w:w="1559" w:type="dxa"/>
          </w:tcPr>
          <w:p w:rsidR="00ED1FEE" w:rsidRPr="00FB0774" w:rsidRDefault="00ED1FEE" w:rsidP="00ED1FEE">
            <w:pPr>
              <w:rPr>
                <w:szCs w:val="22"/>
              </w:rPr>
            </w:pPr>
          </w:p>
        </w:tc>
        <w:tc>
          <w:tcPr>
            <w:tcW w:w="4111" w:type="dxa"/>
          </w:tcPr>
          <w:p w:rsidR="00ED1FEE" w:rsidRPr="00FB0774" w:rsidRDefault="00ED1FEE" w:rsidP="00ED1FEE">
            <w:pPr>
              <w:rPr>
                <w:szCs w:val="22"/>
              </w:rPr>
            </w:pPr>
            <w:r w:rsidRPr="00FB0774">
              <w:rPr>
                <w:szCs w:val="22"/>
              </w:rPr>
              <w:t>Dňa 20.11.2013 bola žiadosť o registráciu ako CHZO podaná na Európsku komisiu</w:t>
            </w:r>
          </w:p>
        </w:tc>
        <w:tc>
          <w:tcPr>
            <w:tcW w:w="4961" w:type="dxa"/>
          </w:tcPr>
          <w:p w:rsidR="00ED1FEE" w:rsidRPr="00FB0774" w:rsidRDefault="00ED1FEE" w:rsidP="00ED1FEE">
            <w:pPr>
              <w:rPr>
                <w:szCs w:val="22"/>
              </w:rPr>
            </w:pPr>
            <w:r w:rsidRPr="00FB0774">
              <w:rPr>
                <w:szCs w:val="22"/>
              </w:rPr>
              <w:t>OSIVO a.s.</w:t>
            </w:r>
          </w:p>
          <w:p w:rsidR="00ED1FEE" w:rsidRPr="00FB0774" w:rsidRDefault="00ED1FEE" w:rsidP="00ED1FEE">
            <w:pPr>
              <w:rPr>
                <w:szCs w:val="22"/>
              </w:rPr>
            </w:pPr>
            <w:r w:rsidRPr="00FB0774">
              <w:rPr>
                <w:szCs w:val="22"/>
              </w:rPr>
              <w:t xml:space="preserve"> Kalinčiaková 2391 </w:t>
            </w:r>
          </w:p>
          <w:p w:rsidR="00ED1FEE" w:rsidRPr="00FB0774" w:rsidRDefault="00ED1FEE" w:rsidP="00ED1FEE">
            <w:pPr>
              <w:rPr>
                <w:szCs w:val="22"/>
              </w:rPr>
            </w:pPr>
            <w:r w:rsidRPr="00FB0774">
              <w:rPr>
                <w:szCs w:val="22"/>
              </w:rPr>
              <w:t>960 03 Zvolen</w:t>
            </w:r>
          </w:p>
          <w:p w:rsidR="00ED1FEE" w:rsidRPr="00FB0774" w:rsidRDefault="00ED1FEE" w:rsidP="00ED1FEE">
            <w:pPr>
              <w:rPr>
                <w:szCs w:val="22"/>
              </w:rPr>
            </w:pPr>
            <w:r w:rsidRPr="00FB0774">
              <w:rPr>
                <w:szCs w:val="22"/>
              </w:rPr>
              <w:t xml:space="preserve"> tel. . +421 45 5304 119 </w:t>
            </w:r>
          </w:p>
          <w:p w:rsidR="00ED1FEE" w:rsidRPr="00FB0774" w:rsidRDefault="00ED1FEE" w:rsidP="00ED1FEE">
            <w:pPr>
              <w:rPr>
                <w:szCs w:val="22"/>
              </w:rPr>
            </w:pPr>
            <w:r w:rsidRPr="00FB0774">
              <w:rPr>
                <w:szCs w:val="22"/>
              </w:rPr>
              <w:t xml:space="preserve">fax: +421 45 5304 129 </w:t>
            </w:r>
          </w:p>
          <w:p w:rsidR="00ED1FEE" w:rsidRPr="00FB0774" w:rsidRDefault="00ED1FEE" w:rsidP="00ED1FEE">
            <w:pPr>
              <w:rPr>
                <w:szCs w:val="22"/>
              </w:rPr>
            </w:pPr>
            <w:r w:rsidRPr="00FB0774">
              <w:rPr>
                <w:szCs w:val="22"/>
              </w:rPr>
              <w:t>e-mail: paska@osivo.sk</w:t>
            </w:r>
          </w:p>
        </w:tc>
      </w:tr>
    </w:tbl>
    <w:p w:rsidR="00ED1FEE" w:rsidRDefault="00ED1FEE">
      <w:pPr>
        <w:jc w:val="left"/>
        <w:rPr>
          <w:sz w:val="20"/>
          <w:szCs w:val="20"/>
        </w:rPr>
      </w:pPr>
      <w:r>
        <w:rPr>
          <w:sz w:val="20"/>
          <w:szCs w:val="20"/>
        </w:rPr>
        <w:br w:type="page"/>
      </w:r>
    </w:p>
    <w:p w:rsidR="00D578E2" w:rsidRPr="00ED1FEE" w:rsidRDefault="00D578E2" w:rsidP="00ED1FEE">
      <w:pPr>
        <w:rPr>
          <w:sz w:val="20"/>
          <w:szCs w:val="20"/>
        </w:rPr>
        <w:sectPr w:rsidR="00D578E2" w:rsidRPr="00ED1FEE" w:rsidSect="006B60DF">
          <w:pgSz w:w="16838" w:h="11906" w:orient="landscape"/>
          <w:pgMar w:top="1418" w:right="992" w:bottom="1418" w:left="709" w:header="1021" w:footer="1021" w:gutter="0"/>
          <w:cols w:space="708"/>
          <w:docGrid w:linePitch="360"/>
        </w:sectPr>
      </w:pPr>
    </w:p>
    <w:p w:rsidR="00D578E2" w:rsidRPr="00D42D00" w:rsidRDefault="00A71A12" w:rsidP="00D578E2">
      <w:pPr>
        <w:jc w:val="right"/>
        <w:rPr>
          <w:rFonts w:cs="Calibri"/>
          <w:b/>
          <w:sz w:val="20"/>
          <w:szCs w:val="20"/>
          <w:lang w:eastAsia="en-US"/>
        </w:rPr>
      </w:pPr>
      <w:r>
        <w:rPr>
          <w:rFonts w:cs="Calibri"/>
          <w:b/>
          <w:sz w:val="20"/>
          <w:szCs w:val="20"/>
          <w:lang w:eastAsia="en-US"/>
        </w:rPr>
        <w:lastRenderedPageBreak/>
        <w:t>PRÍLOHA  V</w:t>
      </w:r>
    </w:p>
    <w:p w:rsidR="0075211A" w:rsidRPr="0075211A" w:rsidRDefault="0075211A" w:rsidP="0075211A">
      <w:pPr>
        <w:spacing w:after="200"/>
        <w:jc w:val="center"/>
        <w:rPr>
          <w:rFonts w:ascii="Calibri" w:eastAsia="Calibri" w:hAnsi="Calibri"/>
          <w:b/>
          <w:sz w:val="28"/>
          <w:szCs w:val="28"/>
          <w:lang w:eastAsia="en-US"/>
        </w:rPr>
      </w:pPr>
      <w:r w:rsidRPr="0075211A">
        <w:rPr>
          <w:rFonts w:ascii="Calibri" w:eastAsia="Calibri" w:hAnsi="Calibri"/>
          <w:b/>
          <w:sz w:val="28"/>
          <w:szCs w:val="28"/>
          <w:lang w:eastAsia="en-US"/>
        </w:rPr>
        <w:t xml:space="preserve">Uplatňovanie horizontálnych princípov </w:t>
      </w:r>
    </w:p>
    <w:p w:rsidR="0075211A" w:rsidRPr="007D76A5" w:rsidRDefault="0075211A" w:rsidP="0075211A">
      <w:pPr>
        <w:spacing w:after="200"/>
        <w:rPr>
          <w:rFonts w:ascii="Calibri" w:eastAsia="Calibri" w:hAnsi="Calibri"/>
          <w:b/>
          <w:szCs w:val="22"/>
          <w:lang w:val="en-US" w:eastAsia="en-US"/>
        </w:rPr>
      </w:pPr>
      <w:r w:rsidRPr="007D76A5">
        <w:rPr>
          <w:rFonts w:ascii="Calibri" w:eastAsia="Calibri" w:hAnsi="Calibri"/>
          <w:b/>
          <w:szCs w:val="22"/>
          <w:lang w:eastAsia="en-US"/>
        </w:rPr>
        <w:t>Horizon</w:t>
      </w:r>
      <w:r>
        <w:rPr>
          <w:rFonts w:ascii="Calibri" w:eastAsia="Calibri" w:hAnsi="Calibri"/>
          <w:b/>
          <w:szCs w:val="22"/>
          <w:lang w:eastAsia="en-US"/>
        </w:rPr>
        <w:t>t</w:t>
      </w:r>
      <w:r w:rsidRPr="007D76A5">
        <w:rPr>
          <w:rFonts w:ascii="Calibri" w:eastAsia="Calibri" w:hAnsi="Calibri"/>
          <w:b/>
          <w:szCs w:val="22"/>
          <w:lang w:eastAsia="en-US"/>
        </w:rPr>
        <w:t>álny princíp PODPORA ROVNOSTI</w:t>
      </w:r>
      <w:r>
        <w:rPr>
          <w:rFonts w:ascii="Calibri" w:eastAsia="Calibri" w:hAnsi="Calibri"/>
          <w:b/>
          <w:szCs w:val="22"/>
          <w:lang w:eastAsia="en-US"/>
        </w:rPr>
        <w:t xml:space="preserve"> MUŽOV A ŽIEN, NEDISKRIMIN</w:t>
      </w:r>
      <w:r>
        <w:rPr>
          <w:rFonts w:ascii="Calibri" w:eastAsia="Calibri" w:hAnsi="Calibri"/>
          <w:b/>
          <w:szCs w:val="22"/>
          <w:lang w:val="en-US" w:eastAsia="en-US"/>
        </w:rPr>
        <w:t xml:space="preserve">ÁCIE </w:t>
      </w:r>
      <w:r>
        <w:rPr>
          <w:rFonts w:ascii="Calibri" w:eastAsia="Calibri" w:hAnsi="Calibri"/>
          <w:b/>
          <w:szCs w:val="22"/>
          <w:lang w:eastAsia="en-US"/>
        </w:rPr>
        <w:t>A PRÍSTUPNOSTI</w:t>
      </w:r>
    </w:p>
    <w:p w:rsidR="0075211A" w:rsidRDefault="0075211A" w:rsidP="0075211A">
      <w:pPr>
        <w:spacing w:before="240" w:after="120"/>
        <w:rPr>
          <w:rFonts w:ascii="Calibri" w:hAnsi="Calibri"/>
        </w:rPr>
      </w:pPr>
      <w:r w:rsidRPr="00AB3A74">
        <w:rPr>
          <w:rFonts w:ascii="Calibri" w:hAnsi="Calibri"/>
        </w:rPr>
        <w:t xml:space="preserve">Hlavným cieľom </w:t>
      </w:r>
      <w:r>
        <w:rPr>
          <w:rFonts w:ascii="Calibri" w:hAnsi="Calibri"/>
        </w:rPr>
        <w:t xml:space="preserve">horizontálneho princípu </w:t>
      </w:r>
      <w:r w:rsidRPr="0012795A">
        <w:rPr>
          <w:rFonts w:ascii="Calibri" w:hAnsi="Calibri"/>
        </w:rPr>
        <w:t>rodová rovnosť, nediskriminácia a prístupnosť</w:t>
      </w:r>
      <w:r w:rsidRPr="002371A2">
        <w:rPr>
          <w:rFonts w:ascii="Calibri" w:hAnsi="Calibri"/>
          <w:b/>
        </w:rPr>
        <w:t xml:space="preserve"> </w:t>
      </w:r>
      <w:r>
        <w:rPr>
          <w:rFonts w:ascii="Calibri" w:hAnsi="Calibri"/>
        </w:rPr>
        <w:t xml:space="preserve">vzhľadom k Programu rozvoja vidieka </w:t>
      </w:r>
      <w:r w:rsidRPr="00AB3A74">
        <w:rPr>
          <w:rFonts w:ascii="Calibri" w:hAnsi="Calibri"/>
        </w:rPr>
        <w:t xml:space="preserve">je zníženie horizontálnej a vertikálnej rodovej segregácie v odvetviach hospodárstva </w:t>
      </w:r>
      <w:r>
        <w:rPr>
          <w:rFonts w:ascii="Calibri" w:hAnsi="Calibri"/>
        </w:rPr>
        <w:t>ako aj zabezpečenie rovnosti</w:t>
      </w:r>
      <w:r w:rsidRPr="00AB3A74">
        <w:rPr>
          <w:rFonts w:ascii="Calibri" w:hAnsi="Calibri"/>
        </w:rPr>
        <w:t xml:space="preserve"> príležitostí v prístupe a využívaní infraštruktúry a služieb.</w:t>
      </w:r>
      <w:r>
        <w:rPr>
          <w:rFonts w:ascii="Calibri" w:hAnsi="Calibri"/>
        </w:rPr>
        <w:t xml:space="preserve"> Tieto ciele sa týkajú najmä špecifických cieľových skupín – žien, absolventov, ľudí starších ako 50 rokov, ľudí s vysokou možnosťou diskriminácie ako aj osôb </w:t>
      </w:r>
      <w:r w:rsidRPr="00AB3A74">
        <w:rPr>
          <w:rFonts w:ascii="Calibri" w:hAnsi="Calibri"/>
        </w:rPr>
        <w:t xml:space="preserve">so zdravotným postihnutím, pre ktoré je potrebné vytvorenie mimoriadnych podmienok prístupnosti (napr. bezbariérové architektonické prostredie, prístupné informácie a pod.). </w:t>
      </w:r>
    </w:p>
    <w:p w:rsidR="0075211A" w:rsidRPr="00766451" w:rsidRDefault="0075211A" w:rsidP="0075211A">
      <w:pPr>
        <w:autoSpaceDE w:val="0"/>
        <w:autoSpaceDN w:val="0"/>
        <w:adjustRightInd w:val="0"/>
        <w:spacing w:after="120"/>
        <w:rPr>
          <w:rFonts w:ascii="Calibri" w:hAnsi="Calibri"/>
        </w:rPr>
      </w:pPr>
      <w:r w:rsidRPr="00766451">
        <w:rPr>
          <w:rFonts w:ascii="Calibri" w:hAnsi="Calibri"/>
        </w:rPr>
        <w:t>Vychádzajúc z Ústavy Slovenskej republiky, sú na našom území všetci ľudia slobodní a</w:t>
      </w:r>
      <w:r>
        <w:rPr>
          <w:rFonts w:ascii="Calibri" w:hAnsi="Calibri"/>
        </w:rPr>
        <w:t> </w:t>
      </w:r>
      <w:r w:rsidRPr="00766451">
        <w:rPr>
          <w:rFonts w:ascii="Calibri" w:hAnsi="Calibri"/>
        </w:rPr>
        <w:t>rovní</w:t>
      </w:r>
      <w:r>
        <w:rPr>
          <w:rFonts w:ascii="Calibri" w:hAnsi="Calibri"/>
        </w:rPr>
        <w:t xml:space="preserve"> </w:t>
      </w:r>
      <w:r w:rsidRPr="00766451">
        <w:rPr>
          <w:rFonts w:ascii="Calibri" w:hAnsi="Calibri"/>
        </w:rPr>
        <w:t>v dôstojnosti a právach. Základné práva a slobody sa zaručujú na území Slovenskej republiky</w:t>
      </w:r>
      <w:r>
        <w:rPr>
          <w:rFonts w:ascii="Calibri" w:hAnsi="Calibri"/>
        </w:rPr>
        <w:t xml:space="preserve"> </w:t>
      </w:r>
      <w:r w:rsidRPr="00766451">
        <w:rPr>
          <w:rFonts w:ascii="Calibri" w:hAnsi="Calibri"/>
        </w:rPr>
        <w:t>všetkým bez ohľadu na odlišné postavenie vymedzené v Ústave SR. Nikoho nemožno</w:t>
      </w:r>
      <w:r>
        <w:rPr>
          <w:rFonts w:ascii="Calibri" w:hAnsi="Calibri"/>
        </w:rPr>
        <w:t xml:space="preserve"> </w:t>
      </w:r>
      <w:r w:rsidRPr="00766451">
        <w:rPr>
          <w:rFonts w:ascii="Calibri" w:hAnsi="Calibri"/>
        </w:rPr>
        <w:t>z týchto dôvodov poškodzovať, zvýhodňovať alebo znevýhodňovať.</w:t>
      </w:r>
    </w:p>
    <w:p w:rsidR="0075211A" w:rsidRPr="00766451" w:rsidRDefault="0075211A" w:rsidP="0075211A">
      <w:pPr>
        <w:autoSpaceDE w:val="0"/>
        <w:autoSpaceDN w:val="0"/>
        <w:adjustRightInd w:val="0"/>
        <w:rPr>
          <w:rFonts w:ascii="Calibri" w:hAnsi="Calibri"/>
        </w:rPr>
      </w:pPr>
      <w:r w:rsidRPr="00766451">
        <w:rPr>
          <w:rFonts w:ascii="Calibri" w:hAnsi="Calibri"/>
        </w:rPr>
        <w:t>Podpora základných práv, nediskriminácie a rovnosti príležitostí je tiež jedným zo základných</w:t>
      </w:r>
      <w:r>
        <w:rPr>
          <w:rFonts w:ascii="Calibri" w:hAnsi="Calibri"/>
        </w:rPr>
        <w:t xml:space="preserve"> </w:t>
      </w:r>
      <w:r w:rsidRPr="00766451">
        <w:rPr>
          <w:rFonts w:ascii="Calibri" w:hAnsi="Calibri"/>
        </w:rPr>
        <w:t>princípov uplatňovaných v EÚ. Rovnosť príležitostí je súčasťou pilierov Európskej stratégie</w:t>
      </w:r>
      <w:r>
        <w:rPr>
          <w:rFonts w:ascii="Calibri" w:hAnsi="Calibri"/>
        </w:rPr>
        <w:t xml:space="preserve"> </w:t>
      </w:r>
      <w:r w:rsidRPr="00766451">
        <w:rPr>
          <w:rFonts w:ascii="Calibri" w:hAnsi="Calibri"/>
        </w:rPr>
        <w:t>zamestnanosti a Európskej rámcovej stratégie nediskriminácie a rovnakých príležitosti pre</w:t>
      </w:r>
      <w:r>
        <w:rPr>
          <w:rFonts w:ascii="Calibri" w:hAnsi="Calibri"/>
        </w:rPr>
        <w:t xml:space="preserve"> </w:t>
      </w:r>
      <w:r w:rsidRPr="00766451">
        <w:rPr>
          <w:rFonts w:ascii="Calibri" w:hAnsi="Calibri"/>
        </w:rPr>
        <w:t>všetkých. Princíp rovnosti príležitostí znamená potieranie diskriminácie na základe pohlavia,</w:t>
      </w:r>
      <w:r>
        <w:rPr>
          <w:rFonts w:ascii="Calibri" w:hAnsi="Calibri"/>
        </w:rPr>
        <w:t xml:space="preserve"> </w:t>
      </w:r>
      <w:r w:rsidRPr="00766451">
        <w:rPr>
          <w:rFonts w:ascii="Calibri" w:hAnsi="Calibri"/>
        </w:rPr>
        <w:t>rasy, etnického pôvodu, náboženského vyznania, viery, zdravotného postihnutia, veku, či</w:t>
      </w:r>
      <w:r>
        <w:rPr>
          <w:rFonts w:ascii="Calibri" w:hAnsi="Calibri"/>
        </w:rPr>
        <w:t xml:space="preserve"> </w:t>
      </w:r>
      <w:r w:rsidRPr="00766451">
        <w:rPr>
          <w:rFonts w:ascii="Calibri" w:hAnsi="Calibri"/>
        </w:rPr>
        <w:t>sexuálnej orientácie.</w:t>
      </w:r>
    </w:p>
    <w:p w:rsidR="0075211A" w:rsidRDefault="0075211A" w:rsidP="0075211A">
      <w:pPr>
        <w:spacing w:before="240"/>
        <w:rPr>
          <w:rFonts w:ascii="Calibri" w:hAnsi="Calibri"/>
          <w:b/>
        </w:rPr>
      </w:pPr>
      <w:r w:rsidRPr="00766451">
        <w:rPr>
          <w:rFonts w:ascii="Calibri" w:hAnsi="Calibri"/>
          <w:b/>
        </w:rPr>
        <w:t>Podpora rovnosti mužov a</w:t>
      </w:r>
      <w:r>
        <w:rPr>
          <w:rFonts w:ascii="Calibri" w:hAnsi="Calibri"/>
          <w:b/>
        </w:rPr>
        <w:t> </w:t>
      </w:r>
      <w:r w:rsidRPr="00766451">
        <w:rPr>
          <w:rFonts w:ascii="Calibri" w:hAnsi="Calibri"/>
          <w:b/>
        </w:rPr>
        <w:t>žien</w:t>
      </w:r>
    </w:p>
    <w:p w:rsidR="0075211A" w:rsidRPr="00431D95" w:rsidRDefault="0075211A" w:rsidP="0075211A">
      <w:pPr>
        <w:autoSpaceDE w:val="0"/>
        <w:autoSpaceDN w:val="0"/>
        <w:adjustRightInd w:val="0"/>
        <w:spacing w:after="120"/>
        <w:rPr>
          <w:rFonts w:ascii="Calibri" w:hAnsi="Calibri"/>
        </w:rPr>
      </w:pPr>
      <w:r w:rsidRPr="00766451">
        <w:rPr>
          <w:rFonts w:ascii="Calibri" w:hAnsi="Calibri"/>
        </w:rPr>
        <w:t xml:space="preserve">Všeobecný základ princípu rovnosti príležitostí žien a mužov </w:t>
      </w:r>
      <w:r>
        <w:rPr>
          <w:rFonts w:ascii="Calibri" w:hAnsi="Calibri"/>
        </w:rPr>
        <w:t>je uvedený</w:t>
      </w:r>
      <w:r w:rsidRPr="00766451">
        <w:rPr>
          <w:rFonts w:ascii="Calibri" w:hAnsi="Calibri"/>
        </w:rPr>
        <w:t xml:space="preserve"> v čl. 12 Ústavy SR,</w:t>
      </w:r>
      <w:r>
        <w:rPr>
          <w:rFonts w:ascii="Calibri" w:hAnsi="Calibri"/>
        </w:rPr>
        <w:t xml:space="preserve"> </w:t>
      </w:r>
      <w:r w:rsidRPr="00766451">
        <w:rPr>
          <w:rFonts w:ascii="Calibri" w:hAnsi="Calibri"/>
        </w:rPr>
        <w:t>ktorý je ďalej rozpracovaný v pracovno-právnej legislatíve Zákonníka práce 433/2003.</w:t>
      </w:r>
      <w:r>
        <w:rPr>
          <w:rFonts w:ascii="Calibri" w:hAnsi="Calibri"/>
        </w:rPr>
        <w:t xml:space="preserve"> </w:t>
      </w:r>
      <w:r w:rsidRPr="0095603C">
        <w:rPr>
          <w:rFonts w:ascii="Calibri" w:hAnsi="Calibri"/>
        </w:rPr>
        <w:t>Naplnenie princípu rodovej rovnosti patrí k základnému cieľu Európsk</w:t>
      </w:r>
      <w:r w:rsidR="00687B8E">
        <w:rPr>
          <w:rFonts w:ascii="Calibri" w:hAnsi="Calibri"/>
        </w:rPr>
        <w:t>ej únie</w:t>
      </w:r>
      <w:r w:rsidRPr="0095603C">
        <w:rPr>
          <w:rFonts w:ascii="Calibri" w:hAnsi="Calibri"/>
        </w:rPr>
        <w:t xml:space="preserve"> a ako taký patrí medzi hlavné ciele</w:t>
      </w:r>
      <w:r>
        <w:rPr>
          <w:rFonts w:ascii="Calibri" w:hAnsi="Calibri"/>
        </w:rPr>
        <w:t xml:space="preserve"> </w:t>
      </w:r>
      <w:r w:rsidRPr="0095603C">
        <w:rPr>
          <w:rFonts w:ascii="Calibri" w:hAnsi="Calibri"/>
        </w:rPr>
        <w:t>štrukturálnych, kohéznych a neštrukturálnych fondov. Podľa čl. 2 Amsterdamskej zmluvy je</w:t>
      </w:r>
      <w:r>
        <w:rPr>
          <w:rFonts w:ascii="Calibri" w:hAnsi="Calibri"/>
        </w:rPr>
        <w:t xml:space="preserve"> </w:t>
      </w:r>
      <w:r w:rsidRPr="0095603C">
        <w:rPr>
          <w:rFonts w:ascii="Calibri" w:hAnsi="Calibri"/>
        </w:rPr>
        <w:t>úlohou Európskeho spoločenstva dosiahnuť rovnaké postavenie žien a mužov v</w:t>
      </w:r>
      <w:r>
        <w:rPr>
          <w:rFonts w:ascii="Calibri" w:hAnsi="Calibri"/>
        </w:rPr>
        <w:t> </w:t>
      </w:r>
      <w:r w:rsidRPr="0095603C">
        <w:rPr>
          <w:rFonts w:ascii="Calibri" w:hAnsi="Calibri"/>
        </w:rPr>
        <w:t>spoločnosti</w:t>
      </w:r>
      <w:r>
        <w:rPr>
          <w:rFonts w:ascii="Calibri" w:hAnsi="Calibri"/>
        </w:rPr>
        <w:t xml:space="preserve"> </w:t>
      </w:r>
      <w:r w:rsidRPr="0095603C">
        <w:rPr>
          <w:rFonts w:ascii="Calibri" w:hAnsi="Calibri"/>
        </w:rPr>
        <w:t>a podľa čl. 3 je stanovená povinnosť odstraňovať nerovnosti a presadzovať rodovú rovnosť vo</w:t>
      </w:r>
      <w:r>
        <w:rPr>
          <w:rFonts w:ascii="Calibri" w:hAnsi="Calibri"/>
        </w:rPr>
        <w:t xml:space="preserve"> </w:t>
      </w:r>
      <w:r w:rsidRPr="0095603C">
        <w:rPr>
          <w:rFonts w:ascii="Calibri" w:hAnsi="Calibri"/>
        </w:rPr>
        <w:t xml:space="preserve">všetkých aktivitách metódou gender mainstreamingu. </w:t>
      </w:r>
      <w:r w:rsidRPr="00431D95">
        <w:rPr>
          <w:rFonts w:ascii="Calibri" w:hAnsi="Calibri"/>
        </w:rPr>
        <w:t>Stratégia „gender mainstreaming“ znamená začlenenie rodového pohľadu</w:t>
      </w:r>
      <w:r>
        <w:rPr>
          <w:rFonts w:ascii="Calibri" w:hAnsi="Calibri"/>
        </w:rPr>
        <w:t xml:space="preserve"> </w:t>
      </w:r>
      <w:r w:rsidRPr="00431D95">
        <w:rPr>
          <w:rFonts w:ascii="Calibri" w:hAnsi="Calibri"/>
        </w:rPr>
        <w:t xml:space="preserve">do všetkých verejných politík na všetkých úrovniach správy spoločnosti. </w:t>
      </w:r>
      <w:r w:rsidRPr="0095603C">
        <w:rPr>
          <w:rFonts w:ascii="Calibri" w:hAnsi="Calibri"/>
        </w:rPr>
        <w:t>Je to postup, pri ktorom všetky</w:t>
      </w:r>
      <w:r>
        <w:rPr>
          <w:rFonts w:ascii="Calibri" w:hAnsi="Calibri"/>
        </w:rPr>
        <w:t xml:space="preserve"> </w:t>
      </w:r>
      <w:r w:rsidRPr="0095603C">
        <w:rPr>
          <w:rFonts w:ascii="Calibri" w:hAnsi="Calibri"/>
        </w:rPr>
        <w:t>koncepčné, strategické, rozhodovacie a vyhodnocovacie procesy vo všetkých fázach prípravy</w:t>
      </w:r>
      <w:r>
        <w:rPr>
          <w:rFonts w:ascii="Calibri" w:hAnsi="Calibri"/>
        </w:rPr>
        <w:t xml:space="preserve"> </w:t>
      </w:r>
      <w:r w:rsidRPr="0095603C">
        <w:rPr>
          <w:rFonts w:ascii="Calibri" w:hAnsi="Calibri"/>
        </w:rPr>
        <w:t>a realizácie sú podriadené hľadisku rodovej rovnosti</w:t>
      </w:r>
      <w:r>
        <w:rPr>
          <w:rFonts w:ascii="Calibri" w:hAnsi="Calibri"/>
        </w:rPr>
        <w:t xml:space="preserve">. </w:t>
      </w:r>
      <w:r w:rsidRPr="00431D95">
        <w:rPr>
          <w:rFonts w:ascii="Calibri" w:hAnsi="Calibri"/>
        </w:rPr>
        <w:t>Politika rodovej rovnosti je pokladaná za dôležitú súčasť demokracie,</w:t>
      </w:r>
      <w:r>
        <w:rPr>
          <w:rFonts w:ascii="Calibri" w:hAnsi="Calibri"/>
        </w:rPr>
        <w:t xml:space="preserve"> </w:t>
      </w:r>
      <w:r w:rsidRPr="00431D95">
        <w:rPr>
          <w:rFonts w:ascii="Calibri" w:hAnsi="Calibri"/>
        </w:rPr>
        <w:t>vyrovnaného a trvalo udržateľného rozvoja a Európska únia ju považuje za jednu zo svojich</w:t>
      </w:r>
      <w:r>
        <w:rPr>
          <w:rFonts w:ascii="Calibri" w:hAnsi="Calibri"/>
        </w:rPr>
        <w:t xml:space="preserve"> </w:t>
      </w:r>
      <w:r w:rsidRPr="00431D95">
        <w:rPr>
          <w:rFonts w:ascii="Calibri" w:hAnsi="Calibri"/>
        </w:rPr>
        <w:t xml:space="preserve">politických priorít. </w:t>
      </w:r>
    </w:p>
    <w:p w:rsidR="0075211A" w:rsidRPr="00431D95" w:rsidRDefault="0075211A" w:rsidP="0075211A">
      <w:pPr>
        <w:autoSpaceDE w:val="0"/>
        <w:autoSpaceDN w:val="0"/>
        <w:adjustRightInd w:val="0"/>
        <w:rPr>
          <w:rFonts w:ascii="Calibri" w:hAnsi="Calibri"/>
        </w:rPr>
      </w:pPr>
      <w:r w:rsidRPr="00431D95">
        <w:rPr>
          <w:rFonts w:ascii="Calibri" w:hAnsi="Calibri"/>
        </w:rPr>
        <w:t xml:space="preserve">Európsky poľnohospodársky </w:t>
      </w:r>
      <w:r>
        <w:rPr>
          <w:rFonts w:ascii="Calibri" w:hAnsi="Calibri"/>
        </w:rPr>
        <w:t>fond pre rozvoj vidieka (E</w:t>
      </w:r>
      <w:r w:rsidR="00687B8E">
        <w:rPr>
          <w:rFonts w:ascii="Calibri" w:hAnsi="Calibri"/>
        </w:rPr>
        <w:t>PFRV</w:t>
      </w:r>
      <w:r>
        <w:rPr>
          <w:rFonts w:ascii="Calibri" w:hAnsi="Calibri"/>
        </w:rPr>
        <w:t xml:space="preserve">) </w:t>
      </w:r>
      <w:r w:rsidRPr="00431D95">
        <w:rPr>
          <w:rFonts w:ascii="Calibri" w:hAnsi="Calibri"/>
        </w:rPr>
        <w:t xml:space="preserve">môže zlepšiť situáciu žien v poľnohospodárskom odvetví. U žien je väčšia pravdepodobnosť toho, že ich pracovná kariéra, vzhľadom na ich rodové roly, bude kratšia alebo sa preruší, čím budú mať menej možností realizovať svoje práva. Zvyšuje sa tým riziko chudoby najmä v prípade osamelých rodičov, starších žien alebo žien, ktoré sú zamestnané v rodinných firmách ako napr. v poľnohospodárstve. </w:t>
      </w:r>
    </w:p>
    <w:p w:rsidR="0075211A" w:rsidRPr="0095603C" w:rsidRDefault="0075211A" w:rsidP="0075211A">
      <w:pPr>
        <w:spacing w:before="240"/>
        <w:rPr>
          <w:rFonts w:ascii="Calibri" w:hAnsi="Calibri"/>
          <w:b/>
        </w:rPr>
      </w:pPr>
      <w:r w:rsidRPr="0095603C">
        <w:rPr>
          <w:rFonts w:ascii="Calibri" w:hAnsi="Calibri"/>
          <w:b/>
        </w:rPr>
        <w:t>Nediskriminácia a prístupnosť</w:t>
      </w:r>
    </w:p>
    <w:p w:rsidR="0075211A" w:rsidRPr="0095603C" w:rsidRDefault="0075211A" w:rsidP="0075211A">
      <w:pPr>
        <w:autoSpaceDE w:val="0"/>
        <w:autoSpaceDN w:val="0"/>
        <w:adjustRightInd w:val="0"/>
        <w:rPr>
          <w:rFonts w:ascii="Calibri" w:hAnsi="Calibri"/>
        </w:rPr>
      </w:pPr>
      <w:r w:rsidRPr="0095603C">
        <w:rPr>
          <w:rFonts w:ascii="Calibri" w:hAnsi="Calibri"/>
        </w:rPr>
        <w:t>Rovnosť príležitostí je „strategický cieľ, pri dosahovaní ktorého sa zameriavame na</w:t>
      </w:r>
      <w:r>
        <w:rPr>
          <w:rFonts w:ascii="Calibri" w:hAnsi="Calibri"/>
        </w:rPr>
        <w:t xml:space="preserve"> </w:t>
      </w:r>
      <w:r w:rsidRPr="0095603C">
        <w:rPr>
          <w:rFonts w:ascii="Calibri" w:hAnsi="Calibri"/>
        </w:rPr>
        <w:t>vytváranie takých podmienok, ktoré by viedli k posilňovaniu rovnakého</w:t>
      </w:r>
      <w:r>
        <w:rPr>
          <w:rFonts w:ascii="Calibri" w:hAnsi="Calibri"/>
        </w:rPr>
        <w:t xml:space="preserve"> </w:t>
      </w:r>
      <w:r w:rsidRPr="0095603C">
        <w:rPr>
          <w:rFonts w:ascii="Calibri" w:hAnsi="Calibri"/>
        </w:rPr>
        <w:t>prístupu všetkých do určitého sociálneho prostredia (napr. prístupu k zamestnaniu,</w:t>
      </w:r>
      <w:r>
        <w:rPr>
          <w:rFonts w:ascii="Calibri" w:hAnsi="Calibri"/>
        </w:rPr>
        <w:t xml:space="preserve"> </w:t>
      </w:r>
      <w:r w:rsidRPr="0095603C">
        <w:rPr>
          <w:rFonts w:ascii="Calibri" w:hAnsi="Calibri"/>
        </w:rPr>
        <w:t>vzdelaniu, zdravotnej starostlivosti atď.), resp. k</w:t>
      </w:r>
      <w:r>
        <w:rPr>
          <w:rFonts w:ascii="Calibri" w:hAnsi="Calibri"/>
        </w:rPr>
        <w:t> </w:t>
      </w:r>
      <w:r w:rsidRPr="0095603C">
        <w:rPr>
          <w:rFonts w:ascii="Calibri" w:hAnsi="Calibri"/>
        </w:rPr>
        <w:t>zabezpečeniu</w:t>
      </w:r>
      <w:r>
        <w:rPr>
          <w:rFonts w:ascii="Calibri" w:hAnsi="Calibri"/>
        </w:rPr>
        <w:t xml:space="preserve"> </w:t>
      </w:r>
      <w:r w:rsidRPr="0095603C">
        <w:rPr>
          <w:rFonts w:ascii="Calibri" w:hAnsi="Calibri"/>
        </w:rPr>
        <w:t>rovnakej dostupnosti verejných služieb a zdrojov pre všetkých. Cieľom je</w:t>
      </w:r>
      <w:r>
        <w:rPr>
          <w:rFonts w:ascii="Calibri" w:hAnsi="Calibri"/>
        </w:rPr>
        <w:t xml:space="preserve"> </w:t>
      </w:r>
      <w:r w:rsidRPr="0095603C">
        <w:rPr>
          <w:rFonts w:ascii="Calibri" w:hAnsi="Calibri"/>
        </w:rPr>
        <w:t>teda odstraňovať bariéry, ktoré vedú k izolácii a vylučovaniu ľudí z verejného,</w:t>
      </w:r>
      <w:r>
        <w:rPr>
          <w:rFonts w:ascii="Calibri" w:hAnsi="Calibri"/>
        </w:rPr>
        <w:t xml:space="preserve"> </w:t>
      </w:r>
      <w:r w:rsidRPr="0095603C">
        <w:rPr>
          <w:rFonts w:ascii="Calibri" w:hAnsi="Calibri"/>
        </w:rPr>
        <w:t>politického, spoločenského, pracovného života, a to na základe takých</w:t>
      </w:r>
      <w:r>
        <w:rPr>
          <w:rFonts w:ascii="Calibri" w:hAnsi="Calibri"/>
        </w:rPr>
        <w:t xml:space="preserve"> </w:t>
      </w:r>
      <w:r w:rsidRPr="0095603C">
        <w:rPr>
          <w:rFonts w:ascii="Calibri" w:hAnsi="Calibri"/>
        </w:rPr>
        <w:t>sociálnych kategórií, ako je pohlavie, rod, vek, rasa, etnikum, vierovyznanie</w:t>
      </w:r>
      <w:r>
        <w:rPr>
          <w:rFonts w:ascii="Calibri" w:hAnsi="Calibri"/>
        </w:rPr>
        <w:t xml:space="preserve"> </w:t>
      </w:r>
      <w:r w:rsidRPr="0095603C">
        <w:rPr>
          <w:rFonts w:ascii="Calibri" w:hAnsi="Calibri"/>
        </w:rPr>
        <w:t>alebo náboženstvo, sexuálna orientácia, zdravotné postihnutie atď.“ Zároveň</w:t>
      </w:r>
    </w:p>
    <w:p w:rsidR="0075211A" w:rsidRDefault="0075211A" w:rsidP="0075211A">
      <w:pPr>
        <w:autoSpaceDE w:val="0"/>
        <w:autoSpaceDN w:val="0"/>
        <w:adjustRightInd w:val="0"/>
        <w:spacing w:after="120"/>
        <w:rPr>
          <w:rFonts w:ascii="Calibri" w:hAnsi="Calibri"/>
        </w:rPr>
      </w:pPr>
      <w:r w:rsidRPr="0095603C">
        <w:rPr>
          <w:rFonts w:ascii="Calibri" w:hAnsi="Calibri"/>
        </w:rPr>
        <w:lastRenderedPageBreak/>
        <w:t>sa kladie dôraz na predchádzanie diskriminácii na základe týchto znakov</w:t>
      </w:r>
      <w:r>
        <w:rPr>
          <w:rFonts w:ascii="Calibri" w:hAnsi="Calibri"/>
        </w:rPr>
        <w:t xml:space="preserve"> </w:t>
      </w:r>
      <w:r w:rsidRPr="0095603C">
        <w:rPr>
          <w:rFonts w:ascii="Calibri" w:hAnsi="Calibri"/>
        </w:rPr>
        <w:t>a jej elimináciu, pričom rovnosť príležitostí neznamená len zabezpečenie</w:t>
      </w:r>
      <w:r>
        <w:rPr>
          <w:rFonts w:ascii="Calibri" w:hAnsi="Calibri"/>
        </w:rPr>
        <w:t xml:space="preserve"> </w:t>
      </w:r>
      <w:r w:rsidRPr="0095603C">
        <w:rPr>
          <w:rFonts w:ascii="Calibri" w:hAnsi="Calibri"/>
        </w:rPr>
        <w:t>rovnakých podmienok, ale najmä vytvorenie podmienok, ktoré zohľadňujú</w:t>
      </w:r>
      <w:r>
        <w:rPr>
          <w:rFonts w:ascii="Calibri" w:hAnsi="Calibri"/>
        </w:rPr>
        <w:t xml:space="preserve"> </w:t>
      </w:r>
      <w:r w:rsidRPr="0095603C">
        <w:rPr>
          <w:rFonts w:ascii="Calibri" w:hAnsi="Calibri"/>
        </w:rPr>
        <w:t>špecifické potreby a skúsenosti znevýhodnených skupín.</w:t>
      </w:r>
      <w:r>
        <w:rPr>
          <w:rStyle w:val="Odkaznapoznmkupodiarou"/>
          <w:rFonts w:ascii="Calibri" w:hAnsi="Calibri"/>
        </w:rPr>
        <w:footnoteReference w:id="30"/>
      </w:r>
    </w:p>
    <w:p w:rsidR="0075211A" w:rsidRPr="00207ECE" w:rsidRDefault="0075211A" w:rsidP="0075211A">
      <w:pPr>
        <w:spacing w:after="120"/>
        <w:rPr>
          <w:rFonts w:ascii="Calibri" w:hAnsi="Calibri"/>
        </w:rPr>
      </w:pPr>
      <w:r w:rsidRPr="00207ECE">
        <w:rPr>
          <w:rFonts w:ascii="Calibri" w:hAnsi="Calibri"/>
        </w:rPr>
        <w:t>Pre účinné uplatňovanie horizontálneho princípu rodová rovnosť, nediskriminácia a prístupnosť bude možn</w:t>
      </w:r>
      <w:r>
        <w:rPr>
          <w:rFonts w:ascii="Calibri" w:hAnsi="Calibri"/>
        </w:rPr>
        <w:t>é</w:t>
      </w:r>
      <w:r w:rsidRPr="00207ECE">
        <w:rPr>
          <w:rFonts w:ascii="Calibri" w:hAnsi="Calibri"/>
        </w:rPr>
        <w:t xml:space="preserve"> v hodnotiacom a výberovom procese žiadostí o finančný príspevok stanoviť diskvalifikačné kritérium a to špecifikovaním konkrétnych podmienok pri príprave podporných dokumentov relevantných opatrení PRV. Uplatňovanie horizontálnej priority sa bude najviac zameriavať na oblasť zamestnateľnosti vzhľadom na určené cieľové skupiny. </w:t>
      </w:r>
    </w:p>
    <w:p w:rsidR="0075211A" w:rsidRPr="00207ECE" w:rsidRDefault="0075211A" w:rsidP="0075211A">
      <w:pPr>
        <w:rPr>
          <w:rFonts w:ascii="Calibri" w:hAnsi="Calibri"/>
        </w:rPr>
      </w:pPr>
      <w:r w:rsidRPr="00207ECE">
        <w:rPr>
          <w:rFonts w:ascii="Calibri" w:hAnsi="Calibri"/>
        </w:rPr>
        <w:t xml:space="preserve">Riadiaci orgán PRV zabezpečí monitorovanie uplatňovania horizontálnych princípov prostredníctvom výročných správ. Analytickú, hodnotiacu, strategickú a legislatívnu činnosť pre uplatňovanie horizontálnych princípov podpory rovnosti mužov a žien, nediskriminácia a prístupnosť bude na národnej úrovni zabezpečovať Ministerstvo práce, sociálnych vecí a rodiny SR (ďalej len „MPSVR SR“), ktoré je zodpovedné za štátnu politiku v týchto oblastiach a ktoré bude zodpovedné za definovanie podmienok poskytnutia pomoci súvisiacej so zabezpečením aplikovania týchto horizontálnych princípov a spôsobu ich overovania. </w:t>
      </w:r>
    </w:p>
    <w:p w:rsidR="0075211A" w:rsidRDefault="0075211A" w:rsidP="0075211A">
      <w:pPr>
        <w:spacing w:after="200"/>
        <w:rPr>
          <w:rFonts w:ascii="Calibri" w:eastAsia="Calibri" w:hAnsi="Calibri"/>
          <w:b/>
          <w:szCs w:val="22"/>
          <w:lang w:eastAsia="en-US"/>
        </w:rPr>
      </w:pPr>
    </w:p>
    <w:p w:rsidR="0075211A" w:rsidRPr="007D76A5" w:rsidRDefault="0075211A" w:rsidP="0075211A">
      <w:pPr>
        <w:spacing w:after="200"/>
        <w:rPr>
          <w:rFonts w:ascii="Calibri" w:eastAsia="Calibri" w:hAnsi="Calibri"/>
          <w:b/>
          <w:szCs w:val="22"/>
          <w:lang w:eastAsia="en-US"/>
        </w:rPr>
      </w:pPr>
      <w:r w:rsidRPr="007D76A5">
        <w:rPr>
          <w:rFonts w:ascii="Calibri" w:eastAsia="Calibri" w:hAnsi="Calibri"/>
          <w:b/>
          <w:szCs w:val="22"/>
          <w:lang w:eastAsia="en-US"/>
        </w:rPr>
        <w:t xml:space="preserve">Horizontálny princíp </w:t>
      </w:r>
      <w:r>
        <w:rPr>
          <w:rFonts w:ascii="Calibri" w:eastAsia="Calibri" w:hAnsi="Calibri"/>
          <w:b/>
          <w:szCs w:val="22"/>
          <w:lang w:eastAsia="en-US"/>
        </w:rPr>
        <w:t xml:space="preserve">TRVALO </w:t>
      </w:r>
      <w:r w:rsidRPr="007D76A5">
        <w:rPr>
          <w:rFonts w:ascii="Calibri" w:eastAsia="Calibri" w:hAnsi="Calibri"/>
          <w:b/>
          <w:szCs w:val="22"/>
          <w:lang w:eastAsia="en-US"/>
        </w:rPr>
        <w:t>UDRŽA</w:t>
      </w:r>
      <w:r>
        <w:rPr>
          <w:rFonts w:ascii="Calibri" w:eastAsia="Calibri" w:hAnsi="Calibri"/>
          <w:b/>
          <w:szCs w:val="22"/>
          <w:lang w:eastAsia="en-US"/>
        </w:rPr>
        <w:t>TEĽNÝ ROZVOJ</w:t>
      </w:r>
    </w:p>
    <w:p w:rsidR="00D578E2" w:rsidRDefault="00D578E2" w:rsidP="00D578E2">
      <w:pPr>
        <w:spacing w:after="200"/>
        <w:rPr>
          <w:rFonts w:ascii="Calibri" w:eastAsia="Calibri" w:hAnsi="Calibri"/>
          <w:szCs w:val="22"/>
          <w:lang w:eastAsia="en-US"/>
        </w:rPr>
      </w:pPr>
      <w:r w:rsidRPr="00D578E2">
        <w:rPr>
          <w:rFonts w:ascii="Calibri" w:eastAsia="Calibri" w:hAnsi="Calibri"/>
          <w:szCs w:val="22"/>
          <w:lang w:eastAsia="en-US"/>
        </w:rPr>
        <w:t xml:space="preserve">Programy spolufinancované z EŠIF musia dodržiavať aj horizontálny princíp </w:t>
      </w:r>
      <w:r w:rsidRPr="0075211A">
        <w:rPr>
          <w:rFonts w:ascii="Calibri" w:eastAsia="Calibri" w:hAnsi="Calibri"/>
          <w:i/>
          <w:szCs w:val="22"/>
          <w:lang w:eastAsia="en-US"/>
        </w:rPr>
        <w:t>trvalo udržateľn</w:t>
      </w:r>
      <w:r w:rsidR="0075211A" w:rsidRPr="0075211A">
        <w:rPr>
          <w:rFonts w:ascii="Calibri" w:eastAsia="Calibri" w:hAnsi="Calibri"/>
          <w:i/>
          <w:szCs w:val="22"/>
          <w:lang w:eastAsia="en-US"/>
        </w:rPr>
        <w:t>ý rozvoj</w:t>
      </w:r>
      <w:r w:rsidR="0075211A">
        <w:rPr>
          <w:rFonts w:ascii="Calibri" w:eastAsia="Calibri" w:hAnsi="Calibri"/>
          <w:szCs w:val="22"/>
          <w:lang w:eastAsia="en-US"/>
        </w:rPr>
        <w:t xml:space="preserve"> </w:t>
      </w:r>
      <w:r w:rsidRPr="00D578E2">
        <w:rPr>
          <w:rFonts w:ascii="Calibri" w:eastAsia="Calibri" w:hAnsi="Calibri"/>
          <w:szCs w:val="22"/>
          <w:lang w:eastAsia="en-US"/>
        </w:rPr>
        <w:t>(ďalej aj HP TUR). Jeho hlavným cieľom je zabezpečenie environmentálnej, ekonomickej a sociálnej udržateľnosti rastu s osobitným dôrazom na ochranu a zlepšenie životného prostredia pri zohľadnení zásady „znečisťovateľ platí“. Ciele  HP TUR tak plne korešpondujú s prioritami stratégie Európa 2020 – udržateľným, inteligentným a inkluzívnym rastom.</w:t>
      </w:r>
    </w:p>
    <w:p w:rsidR="0075211A" w:rsidRDefault="0075211A" w:rsidP="0075211A">
      <w:pPr>
        <w:pStyle w:val="Vchodzie"/>
        <w:spacing w:line="240" w:lineRule="auto"/>
        <w:rPr>
          <w:bCs/>
          <w:iCs/>
          <w:szCs w:val="22"/>
        </w:rPr>
      </w:pPr>
      <w:r w:rsidRPr="00CB7030">
        <w:rPr>
          <w:rFonts w:cs="Times New Roman"/>
          <w:bCs/>
          <w:iCs/>
          <w:color w:val="auto"/>
          <w:szCs w:val="22"/>
        </w:rPr>
        <w:t>Zásada</w:t>
      </w:r>
      <w:r w:rsidRPr="00CB7030">
        <w:rPr>
          <w:rFonts w:cs="Times New Roman"/>
          <w:bCs/>
          <w:iCs/>
          <w:color w:val="auto"/>
        </w:rPr>
        <w:t xml:space="preserve"> „znečisťovateľ platí“ je obsiahnutá v legislatíve SR,</w:t>
      </w:r>
      <w:r w:rsidRPr="00CB7030">
        <w:rPr>
          <w:color w:val="auto"/>
        </w:rPr>
        <w:t xml:space="preserve"> </w:t>
      </w:r>
      <w:r w:rsidRPr="00CB7030">
        <w:rPr>
          <w:rFonts w:cs="Times New Roman"/>
          <w:bCs/>
          <w:iCs/>
          <w:color w:val="auto"/>
        </w:rPr>
        <w:t>pričom l</w:t>
      </w:r>
      <w:r w:rsidRPr="00CB7030">
        <w:rPr>
          <w:color w:val="auto"/>
        </w:rPr>
        <w:t xml:space="preserve">egislatívnym základom uplatňovania jej </w:t>
      </w:r>
      <w:r w:rsidRPr="00CB7030">
        <w:rPr>
          <w:rFonts w:cs="Times New Roman"/>
          <w:bCs/>
          <w:iCs/>
          <w:color w:val="auto"/>
        </w:rPr>
        <w:t>prevenčnej a</w:t>
      </w:r>
      <w:r>
        <w:rPr>
          <w:rFonts w:cs="Times New Roman"/>
          <w:bCs/>
          <w:iCs/>
          <w:color w:val="auto"/>
        </w:rPr>
        <w:t> </w:t>
      </w:r>
      <w:r w:rsidRPr="00CB7030">
        <w:rPr>
          <w:rFonts w:cs="Times New Roman"/>
          <w:bCs/>
          <w:iCs/>
          <w:color w:val="auto"/>
        </w:rPr>
        <w:t xml:space="preserve">nápravnej zložky </w:t>
      </w:r>
      <w:r w:rsidRPr="00CB7030">
        <w:rPr>
          <w:color w:val="auto"/>
        </w:rPr>
        <w:t>v slovenskom právnom poriadku je zákon č. 17/1992 Zb. o životnom prostredí v znení neskorších predpisov. V nadväznosti naň sa obidve z</w:t>
      </w:r>
      <w:r>
        <w:rPr>
          <w:color w:val="auto"/>
        </w:rPr>
        <w:t> </w:t>
      </w:r>
      <w:r w:rsidRPr="00CB7030">
        <w:rPr>
          <w:color w:val="auto"/>
        </w:rPr>
        <w:t xml:space="preserve">uvedených zložiek zásady „znečisťovateľ platí“ následne </w:t>
      </w:r>
      <w:r w:rsidRPr="00CB7030">
        <w:rPr>
          <w:rFonts w:cs="Times New Roman"/>
          <w:bCs/>
          <w:iCs/>
          <w:color w:val="auto"/>
        </w:rPr>
        <w:t>premietajú v</w:t>
      </w:r>
      <w:r>
        <w:rPr>
          <w:rFonts w:cs="Times New Roman"/>
          <w:bCs/>
          <w:iCs/>
          <w:color w:val="auto"/>
        </w:rPr>
        <w:t> </w:t>
      </w:r>
      <w:r w:rsidRPr="00CB7030">
        <w:rPr>
          <w:rFonts w:cs="Times New Roman"/>
          <w:bCs/>
          <w:iCs/>
          <w:color w:val="auto"/>
        </w:rPr>
        <w:t>tzv. zložkových zákonoch chrániacich určitú zložku životného prostredia (zákon č. 364/2004 Z. z. o</w:t>
      </w:r>
      <w:r>
        <w:rPr>
          <w:rFonts w:cs="Times New Roman"/>
          <w:bCs/>
          <w:iCs/>
          <w:color w:val="auto"/>
        </w:rPr>
        <w:t> </w:t>
      </w:r>
      <w:r w:rsidRPr="00CB7030">
        <w:rPr>
          <w:rFonts w:cs="Times New Roman"/>
          <w:bCs/>
          <w:iCs/>
          <w:color w:val="auto"/>
        </w:rPr>
        <w:t>vodách a</w:t>
      </w:r>
      <w:r>
        <w:rPr>
          <w:rFonts w:cs="Times New Roman"/>
          <w:bCs/>
          <w:iCs/>
          <w:color w:val="auto"/>
        </w:rPr>
        <w:t> </w:t>
      </w:r>
      <w:r w:rsidRPr="00CB7030">
        <w:rPr>
          <w:rFonts w:cs="Times New Roman"/>
          <w:bCs/>
          <w:iCs/>
          <w:color w:val="auto"/>
        </w:rPr>
        <w:t>o</w:t>
      </w:r>
      <w:r>
        <w:rPr>
          <w:rFonts w:cs="Times New Roman"/>
          <w:bCs/>
          <w:iCs/>
          <w:color w:val="auto"/>
        </w:rPr>
        <w:t> </w:t>
      </w:r>
      <w:r w:rsidRPr="00CB7030">
        <w:rPr>
          <w:rFonts w:cs="Times New Roman"/>
          <w:bCs/>
          <w:iCs/>
          <w:color w:val="auto"/>
        </w:rPr>
        <w:t>zmene zákona SNR č. 372/1990 Zb. o</w:t>
      </w:r>
      <w:r>
        <w:rPr>
          <w:rFonts w:cs="Times New Roman"/>
          <w:bCs/>
          <w:iCs/>
          <w:color w:val="auto"/>
        </w:rPr>
        <w:t> </w:t>
      </w:r>
      <w:r w:rsidRPr="00CB7030">
        <w:rPr>
          <w:rFonts w:cs="Times New Roman"/>
          <w:bCs/>
          <w:iCs/>
          <w:color w:val="auto"/>
        </w:rPr>
        <w:t>priestupkoch v</w:t>
      </w:r>
      <w:r>
        <w:rPr>
          <w:rFonts w:cs="Times New Roman"/>
          <w:bCs/>
          <w:iCs/>
          <w:color w:val="auto"/>
        </w:rPr>
        <w:t> </w:t>
      </w:r>
      <w:r w:rsidRPr="00CB7030">
        <w:rPr>
          <w:rFonts w:cs="Times New Roman"/>
          <w:bCs/>
          <w:iCs/>
          <w:color w:val="auto"/>
        </w:rPr>
        <w:t>znení neskorších predpisov (vodný zákon), zákon č. 223/2001 Z. z. o</w:t>
      </w:r>
      <w:r>
        <w:rPr>
          <w:rFonts w:cs="Times New Roman"/>
          <w:bCs/>
          <w:iCs/>
          <w:color w:val="auto"/>
        </w:rPr>
        <w:t> </w:t>
      </w:r>
      <w:r w:rsidRPr="00CB7030">
        <w:rPr>
          <w:rFonts w:cs="Times New Roman"/>
          <w:bCs/>
          <w:iCs/>
          <w:color w:val="auto"/>
        </w:rPr>
        <w:t>odpadoch a</w:t>
      </w:r>
      <w:r>
        <w:rPr>
          <w:rFonts w:cs="Times New Roman"/>
          <w:bCs/>
          <w:iCs/>
          <w:color w:val="auto"/>
        </w:rPr>
        <w:t> </w:t>
      </w:r>
      <w:r w:rsidRPr="00CB7030">
        <w:rPr>
          <w:rFonts w:cs="Times New Roman"/>
          <w:bCs/>
          <w:iCs/>
          <w:color w:val="auto"/>
        </w:rPr>
        <w:t>zmene a</w:t>
      </w:r>
      <w:r>
        <w:rPr>
          <w:rFonts w:cs="Times New Roman"/>
          <w:bCs/>
          <w:iCs/>
          <w:color w:val="auto"/>
        </w:rPr>
        <w:t> </w:t>
      </w:r>
      <w:r w:rsidRPr="00CB7030">
        <w:rPr>
          <w:rFonts w:cs="Times New Roman"/>
          <w:bCs/>
          <w:iCs/>
          <w:color w:val="auto"/>
        </w:rPr>
        <w:t>doplnení niektorých zákonov v</w:t>
      </w:r>
      <w:r>
        <w:rPr>
          <w:rFonts w:cs="Times New Roman"/>
          <w:bCs/>
          <w:iCs/>
          <w:color w:val="auto"/>
        </w:rPr>
        <w:t> </w:t>
      </w:r>
      <w:r w:rsidRPr="00CB7030">
        <w:rPr>
          <w:rFonts w:cs="Times New Roman"/>
          <w:bCs/>
          <w:iCs/>
          <w:color w:val="auto"/>
        </w:rPr>
        <w:t>znení neskorších predpisov, zákon č. 401/ 1998 Z. z. o poplatkoch za znečisťovanie ovzdušia v</w:t>
      </w:r>
      <w:r>
        <w:rPr>
          <w:rFonts w:cs="Times New Roman"/>
          <w:bCs/>
          <w:iCs/>
          <w:color w:val="auto"/>
        </w:rPr>
        <w:t> </w:t>
      </w:r>
      <w:r w:rsidRPr="00CB7030">
        <w:rPr>
          <w:rFonts w:cs="Times New Roman"/>
          <w:bCs/>
          <w:iCs/>
          <w:color w:val="auto"/>
        </w:rPr>
        <w:t>znení neskorších prepisov, zákon č. 409/2011 Z. z. o niektorých opatreniach na úseku environmentálnej záťaže a</w:t>
      </w:r>
      <w:r>
        <w:rPr>
          <w:rFonts w:cs="Times New Roman"/>
          <w:bCs/>
          <w:iCs/>
          <w:color w:val="auto"/>
        </w:rPr>
        <w:t> </w:t>
      </w:r>
      <w:r w:rsidRPr="00CB7030">
        <w:rPr>
          <w:rFonts w:cs="Times New Roman"/>
          <w:bCs/>
          <w:iCs/>
          <w:color w:val="auto"/>
        </w:rPr>
        <w:t>o</w:t>
      </w:r>
      <w:r>
        <w:rPr>
          <w:rFonts w:cs="Times New Roman"/>
          <w:bCs/>
          <w:iCs/>
          <w:color w:val="auto"/>
        </w:rPr>
        <w:t> </w:t>
      </w:r>
      <w:r w:rsidRPr="00CB7030">
        <w:rPr>
          <w:rFonts w:cs="Times New Roman"/>
          <w:bCs/>
          <w:iCs/>
          <w:color w:val="auto"/>
        </w:rPr>
        <w:t>zmene a</w:t>
      </w:r>
      <w:r>
        <w:rPr>
          <w:rFonts w:cs="Times New Roman"/>
          <w:bCs/>
          <w:iCs/>
          <w:color w:val="auto"/>
        </w:rPr>
        <w:t> </w:t>
      </w:r>
      <w:r w:rsidRPr="00CB7030">
        <w:rPr>
          <w:rFonts w:cs="Times New Roman"/>
          <w:bCs/>
          <w:iCs/>
          <w:color w:val="auto"/>
        </w:rPr>
        <w:t>doplnení niektorých zákonov a</w:t>
      </w:r>
      <w:r>
        <w:rPr>
          <w:rFonts w:cs="Times New Roman"/>
          <w:bCs/>
          <w:iCs/>
          <w:color w:val="auto"/>
        </w:rPr>
        <w:t> </w:t>
      </w:r>
      <w:r w:rsidRPr="00CB7030">
        <w:rPr>
          <w:rFonts w:cs="Times New Roman"/>
          <w:bCs/>
          <w:iCs/>
          <w:color w:val="auto"/>
        </w:rPr>
        <w:t>pod.) a v tzv. prierezových zákonoch, ktoré zasahujú do viacerých oblastí životného prostredia (zákon č. 359/2007 Z. z. o</w:t>
      </w:r>
      <w:r>
        <w:rPr>
          <w:rFonts w:cs="Times New Roman"/>
          <w:bCs/>
          <w:iCs/>
          <w:color w:val="auto"/>
        </w:rPr>
        <w:t> </w:t>
      </w:r>
      <w:r w:rsidRPr="00CB7030">
        <w:rPr>
          <w:rFonts w:cs="Times New Roman"/>
          <w:bCs/>
          <w:iCs/>
          <w:color w:val="auto"/>
        </w:rPr>
        <w:t>prevencii a</w:t>
      </w:r>
      <w:r>
        <w:rPr>
          <w:rFonts w:cs="Times New Roman"/>
          <w:bCs/>
          <w:iCs/>
          <w:color w:val="auto"/>
        </w:rPr>
        <w:t> </w:t>
      </w:r>
      <w:r w:rsidRPr="00CB7030">
        <w:rPr>
          <w:rFonts w:cs="Times New Roman"/>
          <w:bCs/>
          <w:iCs/>
          <w:color w:val="auto"/>
        </w:rPr>
        <w:t>náprave environmentálnych škôd a</w:t>
      </w:r>
      <w:r>
        <w:rPr>
          <w:rFonts w:cs="Times New Roman"/>
          <w:bCs/>
          <w:iCs/>
          <w:color w:val="auto"/>
        </w:rPr>
        <w:t> </w:t>
      </w:r>
      <w:r w:rsidRPr="00CB7030">
        <w:rPr>
          <w:rFonts w:cs="Times New Roman"/>
          <w:bCs/>
          <w:iCs/>
          <w:color w:val="auto"/>
        </w:rPr>
        <w:t>o</w:t>
      </w:r>
      <w:r>
        <w:rPr>
          <w:rFonts w:cs="Times New Roman"/>
          <w:bCs/>
          <w:iCs/>
          <w:color w:val="auto"/>
        </w:rPr>
        <w:t> </w:t>
      </w:r>
      <w:r w:rsidRPr="00CB7030">
        <w:rPr>
          <w:rFonts w:cs="Times New Roman"/>
          <w:bCs/>
          <w:iCs/>
          <w:color w:val="auto"/>
        </w:rPr>
        <w:t>zmene</w:t>
      </w:r>
      <w:r>
        <w:rPr>
          <w:rFonts w:cs="Times New Roman"/>
          <w:bCs/>
          <w:iCs/>
          <w:color w:val="auto"/>
        </w:rPr>
        <w:t xml:space="preserve"> </w:t>
      </w:r>
      <w:r w:rsidRPr="00CB7030">
        <w:rPr>
          <w:rFonts w:cs="Times New Roman"/>
          <w:bCs/>
          <w:iCs/>
          <w:color w:val="auto"/>
        </w:rPr>
        <w:t>a</w:t>
      </w:r>
      <w:r>
        <w:rPr>
          <w:rFonts w:cs="Times New Roman"/>
          <w:bCs/>
          <w:iCs/>
          <w:color w:val="auto"/>
        </w:rPr>
        <w:t> </w:t>
      </w:r>
      <w:r w:rsidRPr="00CB7030">
        <w:rPr>
          <w:rFonts w:cs="Times New Roman"/>
          <w:bCs/>
          <w:iCs/>
          <w:color w:val="auto"/>
        </w:rPr>
        <w:t>doplnení niektorých zákonov, zákon č. 24/2006 Z. z. o</w:t>
      </w:r>
      <w:r>
        <w:rPr>
          <w:rFonts w:cs="Times New Roman"/>
          <w:bCs/>
          <w:iCs/>
          <w:color w:val="auto"/>
        </w:rPr>
        <w:t> </w:t>
      </w:r>
      <w:r w:rsidRPr="00CB7030">
        <w:rPr>
          <w:rFonts w:cs="Times New Roman"/>
          <w:bCs/>
          <w:iCs/>
          <w:color w:val="auto"/>
        </w:rPr>
        <w:t>posudzovaní vplyvov na životné prostredie a</w:t>
      </w:r>
      <w:r>
        <w:rPr>
          <w:rFonts w:cs="Times New Roman"/>
          <w:bCs/>
          <w:iCs/>
          <w:color w:val="auto"/>
        </w:rPr>
        <w:t> </w:t>
      </w:r>
      <w:r w:rsidRPr="00CB7030">
        <w:rPr>
          <w:rFonts w:cs="Times New Roman"/>
          <w:bCs/>
          <w:iCs/>
          <w:color w:val="auto"/>
        </w:rPr>
        <w:t>o zmene a</w:t>
      </w:r>
      <w:r>
        <w:rPr>
          <w:rFonts w:cs="Times New Roman"/>
          <w:bCs/>
          <w:iCs/>
          <w:color w:val="auto"/>
        </w:rPr>
        <w:t> </w:t>
      </w:r>
      <w:r w:rsidRPr="00CB7030">
        <w:rPr>
          <w:rFonts w:cs="Times New Roman"/>
          <w:bCs/>
          <w:iCs/>
          <w:color w:val="auto"/>
        </w:rPr>
        <w:t>doplnení niektorých zákonov v</w:t>
      </w:r>
      <w:r>
        <w:rPr>
          <w:rFonts w:cs="Times New Roman"/>
          <w:bCs/>
          <w:iCs/>
          <w:color w:val="auto"/>
        </w:rPr>
        <w:t> </w:t>
      </w:r>
      <w:r w:rsidRPr="00CB7030">
        <w:rPr>
          <w:rFonts w:cs="Times New Roman"/>
          <w:bCs/>
          <w:iCs/>
          <w:color w:val="auto"/>
        </w:rPr>
        <w:t>znení neskorších predpisov, zákon č. 39/2013 Z. z. o integrovanej prevencii a</w:t>
      </w:r>
      <w:r>
        <w:rPr>
          <w:rFonts w:cs="Times New Roman"/>
          <w:bCs/>
          <w:iCs/>
          <w:color w:val="auto"/>
        </w:rPr>
        <w:t> </w:t>
      </w:r>
      <w:r w:rsidRPr="00CB7030">
        <w:rPr>
          <w:rFonts w:cs="Times New Roman"/>
          <w:bCs/>
          <w:iCs/>
          <w:color w:val="auto"/>
        </w:rPr>
        <w:t>kontrole znečisťovania životného prostredia a</w:t>
      </w:r>
      <w:r>
        <w:rPr>
          <w:rFonts w:cs="Times New Roman"/>
          <w:bCs/>
          <w:iCs/>
          <w:color w:val="auto"/>
        </w:rPr>
        <w:t> </w:t>
      </w:r>
      <w:r w:rsidRPr="00CB7030">
        <w:rPr>
          <w:rFonts w:cs="Times New Roman"/>
          <w:bCs/>
          <w:iCs/>
          <w:color w:val="auto"/>
        </w:rPr>
        <w:t>o</w:t>
      </w:r>
      <w:r>
        <w:rPr>
          <w:rFonts w:cs="Times New Roman"/>
          <w:bCs/>
          <w:iCs/>
          <w:color w:val="auto"/>
        </w:rPr>
        <w:t> </w:t>
      </w:r>
      <w:r w:rsidRPr="00CB7030">
        <w:rPr>
          <w:rFonts w:cs="Times New Roman"/>
          <w:bCs/>
          <w:iCs/>
          <w:color w:val="auto"/>
        </w:rPr>
        <w:t>zmene a</w:t>
      </w:r>
      <w:r>
        <w:rPr>
          <w:rFonts w:cs="Times New Roman"/>
          <w:bCs/>
          <w:iCs/>
          <w:color w:val="auto"/>
        </w:rPr>
        <w:t> </w:t>
      </w:r>
      <w:r w:rsidRPr="00CB7030">
        <w:rPr>
          <w:rFonts w:cs="Times New Roman"/>
          <w:bCs/>
          <w:iCs/>
          <w:color w:val="auto"/>
        </w:rPr>
        <w:t>doplnení niektorých zákonov a</w:t>
      </w:r>
      <w:r>
        <w:rPr>
          <w:rFonts w:cs="Times New Roman"/>
          <w:bCs/>
          <w:iCs/>
          <w:color w:val="auto"/>
        </w:rPr>
        <w:t> </w:t>
      </w:r>
      <w:r w:rsidRPr="00CB7030">
        <w:rPr>
          <w:rFonts w:cs="Times New Roman"/>
          <w:bCs/>
          <w:iCs/>
          <w:color w:val="auto"/>
        </w:rPr>
        <w:t>pod.).</w:t>
      </w:r>
      <w:r w:rsidRPr="00CB7030">
        <w:rPr>
          <w:rFonts w:cs="Times New Roman"/>
          <w:bCs/>
          <w:iCs/>
          <w:color w:val="auto"/>
          <w:szCs w:val="22"/>
        </w:rPr>
        <w:t xml:space="preserve"> V prostredí SR je zásada „znečisťovateľ platí“ implementovaná prostredníctvom právnych a ekonomických nástrojov tak, aby boli povinné osoby motivované k znižovaniu znečistenia a dotýkala sa všetkých znečisťovateľov. Ekonomické nástroje tvoria dôležitú súčasť environmentálnej politiky SR, pričom k nim patria dane, poplatky, odvody, pokuty a úhrady. </w:t>
      </w:r>
      <w:r w:rsidRPr="00CB7461">
        <w:rPr>
          <w:bCs/>
          <w:iCs/>
          <w:szCs w:val="22"/>
        </w:rPr>
        <w:t>Takto získané finančné prostriedky, spolu s</w:t>
      </w:r>
      <w:r>
        <w:rPr>
          <w:bCs/>
          <w:iCs/>
          <w:szCs w:val="22"/>
        </w:rPr>
        <w:t> </w:t>
      </w:r>
      <w:r w:rsidRPr="00CB7461">
        <w:rPr>
          <w:bCs/>
          <w:iCs/>
          <w:szCs w:val="22"/>
        </w:rPr>
        <w:t>výnosmi z</w:t>
      </w:r>
      <w:r>
        <w:rPr>
          <w:bCs/>
          <w:iCs/>
          <w:szCs w:val="22"/>
        </w:rPr>
        <w:t> </w:t>
      </w:r>
      <w:r w:rsidRPr="00CB7461">
        <w:rPr>
          <w:bCs/>
          <w:iCs/>
          <w:szCs w:val="22"/>
        </w:rPr>
        <w:t>pokút za porušenie povinností vo vzťahu k</w:t>
      </w:r>
      <w:r>
        <w:rPr>
          <w:bCs/>
          <w:iCs/>
          <w:szCs w:val="22"/>
        </w:rPr>
        <w:t> </w:t>
      </w:r>
      <w:r w:rsidRPr="00CB7461">
        <w:rPr>
          <w:bCs/>
          <w:iCs/>
          <w:szCs w:val="22"/>
        </w:rPr>
        <w:t>životnému prostrediu, tvoria príjem Environmentálneho fondu, a</w:t>
      </w:r>
      <w:r>
        <w:rPr>
          <w:bCs/>
          <w:iCs/>
          <w:szCs w:val="22"/>
        </w:rPr>
        <w:t> </w:t>
      </w:r>
      <w:r w:rsidRPr="00CB7461">
        <w:rPr>
          <w:bCs/>
          <w:iCs/>
          <w:szCs w:val="22"/>
        </w:rPr>
        <w:t>tie sa opätovne využívajú na nápravné opatrenia v</w:t>
      </w:r>
      <w:r>
        <w:rPr>
          <w:bCs/>
          <w:iCs/>
          <w:szCs w:val="22"/>
        </w:rPr>
        <w:t> </w:t>
      </w:r>
      <w:r w:rsidRPr="00CB7461">
        <w:rPr>
          <w:bCs/>
          <w:iCs/>
          <w:szCs w:val="22"/>
        </w:rPr>
        <w:t>danom</w:t>
      </w:r>
      <w:r>
        <w:rPr>
          <w:bCs/>
          <w:iCs/>
          <w:szCs w:val="22"/>
        </w:rPr>
        <w:t xml:space="preserve"> </w:t>
      </w:r>
      <w:r w:rsidRPr="00CB7461">
        <w:rPr>
          <w:bCs/>
          <w:iCs/>
          <w:szCs w:val="22"/>
        </w:rPr>
        <w:t>sektore hospodárstva.</w:t>
      </w:r>
    </w:p>
    <w:p w:rsidR="0075211A" w:rsidRPr="00CB7030" w:rsidRDefault="0075211A" w:rsidP="0075211A">
      <w:pPr>
        <w:pStyle w:val="Vchodzie"/>
        <w:spacing w:line="240" w:lineRule="auto"/>
        <w:rPr>
          <w:rFonts w:cs="Times New Roman"/>
          <w:color w:val="auto"/>
          <w:szCs w:val="22"/>
        </w:rPr>
      </w:pPr>
      <w:r w:rsidRPr="00CB7030">
        <w:rPr>
          <w:rFonts w:cs="Times New Roman"/>
          <w:bCs/>
          <w:iCs/>
          <w:color w:val="auto"/>
          <w:szCs w:val="22"/>
        </w:rPr>
        <w:t xml:space="preserve">V rámci uplatňovania zásady „znečisťovateľ platí“ </w:t>
      </w:r>
      <w:r w:rsidRPr="00CB7030">
        <w:rPr>
          <w:rFonts w:cs="Times New Roman"/>
          <w:color w:val="auto"/>
          <w:szCs w:val="22"/>
        </w:rPr>
        <w:t>sa</w:t>
      </w:r>
      <w:r w:rsidRPr="00CB7030">
        <w:rPr>
          <w:rFonts w:cs="Times New Roman"/>
          <w:b/>
          <w:bCs/>
          <w:i/>
          <w:iCs/>
          <w:color w:val="auto"/>
          <w:szCs w:val="22"/>
        </w:rPr>
        <w:t xml:space="preserve"> </w:t>
      </w:r>
      <w:r w:rsidRPr="00CB7030">
        <w:rPr>
          <w:rFonts w:cs="Times New Roman"/>
          <w:bCs/>
          <w:iCs/>
          <w:color w:val="auto"/>
          <w:szCs w:val="22"/>
        </w:rPr>
        <w:t>v SR</w:t>
      </w:r>
      <w:r w:rsidRPr="00CB7030">
        <w:rPr>
          <w:rFonts w:cs="Times New Roman"/>
          <w:color w:val="auto"/>
          <w:szCs w:val="22"/>
        </w:rPr>
        <w:t xml:space="preserve"> využívajú predovšetkým dva horizontálne nástroje – integrovaná prevencia a kontrola znečisťovania (IPKZ) a posudzovanie vplyvov na životné </w:t>
      </w:r>
      <w:r w:rsidRPr="00CB7030">
        <w:rPr>
          <w:rFonts w:cs="Times New Roman"/>
          <w:color w:val="auto"/>
          <w:szCs w:val="22"/>
        </w:rPr>
        <w:lastRenderedPageBreak/>
        <w:t>prostredie (EIA). Uvedené horizontálne nástroje budú uplatňované aj v rámci poskytovania podpory z EŠIF.</w:t>
      </w:r>
    </w:p>
    <w:p w:rsidR="0075211A" w:rsidRPr="0012795A" w:rsidRDefault="0075211A" w:rsidP="0075211A">
      <w:pPr>
        <w:pStyle w:val="Vchodzie"/>
        <w:spacing w:after="0" w:line="240" w:lineRule="auto"/>
        <w:rPr>
          <w:rFonts w:cs="Times New Roman"/>
          <w:color w:val="auto"/>
          <w:szCs w:val="22"/>
        </w:rPr>
      </w:pPr>
    </w:p>
    <w:p w:rsidR="00D578E2" w:rsidRPr="00D578E2" w:rsidRDefault="00D578E2" w:rsidP="00D578E2">
      <w:pPr>
        <w:spacing w:after="200"/>
        <w:rPr>
          <w:rFonts w:ascii="Calibri" w:eastAsia="Calibri" w:hAnsi="Calibri"/>
          <w:b/>
          <w:szCs w:val="22"/>
          <w:lang w:eastAsia="en-US"/>
        </w:rPr>
      </w:pPr>
      <w:r w:rsidRPr="00D578E2">
        <w:rPr>
          <w:rFonts w:ascii="Calibri" w:eastAsia="Calibri" w:hAnsi="Calibri"/>
          <w:b/>
          <w:szCs w:val="22"/>
          <w:lang w:eastAsia="en-US"/>
        </w:rPr>
        <w:t>Environmentálne aspekty TUR:</w:t>
      </w:r>
    </w:p>
    <w:p w:rsidR="00D578E2" w:rsidRPr="00D578E2" w:rsidRDefault="00D578E2" w:rsidP="00D578E2">
      <w:pPr>
        <w:spacing w:after="200"/>
        <w:rPr>
          <w:rFonts w:ascii="Calibri" w:eastAsia="Calibri" w:hAnsi="Calibri"/>
          <w:szCs w:val="22"/>
          <w:lang w:eastAsia="en-US"/>
        </w:rPr>
      </w:pPr>
      <w:r w:rsidRPr="00D578E2">
        <w:rPr>
          <w:rFonts w:ascii="Calibri" w:eastAsia="Calibri" w:hAnsi="Calibri"/>
          <w:szCs w:val="22"/>
          <w:lang w:eastAsia="en-US"/>
        </w:rPr>
        <w:t xml:space="preserve">V súvislosti s </w:t>
      </w:r>
      <w:r w:rsidRPr="00D578E2">
        <w:rPr>
          <w:rFonts w:ascii="Calibri" w:eastAsia="Calibri" w:hAnsi="Calibri"/>
          <w:szCs w:val="22"/>
          <w:u w:val="single"/>
          <w:lang w:eastAsia="en-US"/>
        </w:rPr>
        <w:t>environmentálnym</w:t>
      </w:r>
      <w:r w:rsidRPr="00D578E2">
        <w:rPr>
          <w:rFonts w:ascii="Calibri" w:eastAsia="Calibri" w:hAnsi="Calibri"/>
          <w:szCs w:val="22"/>
          <w:lang w:eastAsia="en-US"/>
        </w:rPr>
        <w:t xml:space="preserve"> aspektom HP TUR budú medzi čiastkové ciele patriť podpora prechodu na nízkouhlíkové hospodárstvo vo všetkých sektoroch, podpora prispôsobovania sa zmenám klímy, predchádzanie a riadenie rizika, ochrana životného prostredia a podpora efektívneho využívania zdrojov,</w:t>
      </w:r>
    </w:p>
    <w:p w:rsidR="00D578E2" w:rsidRPr="00D578E2" w:rsidRDefault="00D578E2" w:rsidP="00D578E2">
      <w:pPr>
        <w:spacing w:after="200"/>
        <w:rPr>
          <w:rFonts w:ascii="Calibri" w:eastAsia="Calibri" w:hAnsi="Calibri"/>
          <w:szCs w:val="22"/>
          <w:lang w:eastAsia="en-US"/>
        </w:rPr>
      </w:pPr>
      <w:r w:rsidRPr="00D578E2">
        <w:rPr>
          <w:rFonts w:ascii="Calibri" w:eastAsia="Calibri" w:hAnsi="Calibri"/>
          <w:szCs w:val="22"/>
          <w:lang w:eastAsia="en-US"/>
        </w:rPr>
        <w:t xml:space="preserve">Environmentálny aspekt HP TUR v rámci opatrenia 1 PRV spočíva v prenose informácii v oblasti biologickej diverzity, negatívnych účinkov hnojív a pesticídov na kvalitu vody, možnostiach využívania obnoviteľných zdrojov energií a odpadov, znižovania emisií skleníkových plynov a získania energie z biomasy, ktorá je produktom podnikov. Prenos znalostí a informačných akcií o tejto problematike tak môže prispieť k obnove a zachovaniu biologickej diverzity. PRV ďalej priamo reaguje na problematiku zmenu klímy </w:t>
      </w:r>
      <w:r w:rsidRPr="00D578E2">
        <w:rPr>
          <w:rFonts w:ascii="Calibri" w:eastAsia="Calibri" w:hAnsi="Calibri" w:cs="Calibri"/>
          <w:bCs/>
          <w:szCs w:val="22"/>
          <w:lang w:eastAsia="en-US"/>
        </w:rPr>
        <w:t>a adaptuje poľnohospodársku výrobu na jej dôsledky</w:t>
      </w:r>
      <w:r w:rsidRPr="00D578E2">
        <w:rPr>
          <w:rFonts w:ascii="Calibri" w:eastAsia="Calibri" w:hAnsi="Calibri"/>
          <w:szCs w:val="22"/>
          <w:lang w:eastAsia="en-US"/>
        </w:rPr>
        <w:t xml:space="preserve"> prostredníctvom opatrenia 5. Podpora investícií do obnoviteľných zdrojov energií je zahrnutá do podopatrenia  6.4, čím PRV výrazne podporuje trvalú udržateľnosť činností na vidieku. Uľahčenie dodávok a využitia obnoviteľných zdrojov energie je aj cieľom opatrenia 7. V rámci</w:t>
      </w:r>
      <w:r w:rsidRPr="00D578E2">
        <w:rPr>
          <w:rFonts w:ascii="Calibri" w:eastAsia="Calibri" w:hAnsi="Calibri"/>
          <w:b/>
          <w:szCs w:val="22"/>
          <w:lang w:eastAsia="en-US"/>
        </w:rPr>
        <w:t xml:space="preserve"> </w:t>
      </w:r>
      <w:r w:rsidRPr="00D578E2">
        <w:rPr>
          <w:rFonts w:ascii="Calibri" w:eastAsia="Calibri" w:hAnsi="Calibri"/>
          <w:szCs w:val="22"/>
          <w:lang w:eastAsia="en-US"/>
        </w:rPr>
        <w:t>opatrenia 8 PRV reaguje na problém so zdravotným stavom lesov, pričom lesníctvo je na Slovensku chápané ako jedno z pilierových odvetví rozvoja vidieka. Opatrenie prispieva k obnove, zachovaniu a zvýšeniu biologickej diverzity na územiach sústavy NATURA 2000, v oblastiach s prírodnými alebo inými špecifickými obmedzeniami, v oblastiach s vysokou prírodnou hodnotou a taktiež k obnove, zachovaniu ako i k zlepšeniu stavu krajinných oblastí Európy. Rovnako prispieva i k zlepšeniu vodného hospodárstva, ako prevencia pôdnej erózie, zlepšeniu obhospodarovania pôdy, ako i k zvýšeniu podielu spracovania a využívania OZE (záväzok SR dosiahnuť do roku 2020 14% podiel energie z obnoviteľných zdrojov na hrubej konečnej spotrebe energie). Opatrenie 10 zohráva dôležitú úlohu pri podpore udržateľného rozvoja  vidieckych oblastí najmä v súvislosti s agroenviro</w:t>
      </w:r>
      <w:r w:rsidR="00D42D00">
        <w:rPr>
          <w:rFonts w:ascii="Calibri" w:eastAsia="Calibri" w:hAnsi="Calibri"/>
          <w:szCs w:val="22"/>
          <w:lang w:eastAsia="en-US"/>
        </w:rPr>
        <w:t>n</w:t>
      </w:r>
      <w:r w:rsidRPr="00D578E2">
        <w:rPr>
          <w:rFonts w:ascii="Calibri" w:eastAsia="Calibri" w:hAnsi="Calibri"/>
          <w:szCs w:val="22"/>
          <w:lang w:eastAsia="en-US"/>
        </w:rPr>
        <w:t xml:space="preserve">mentálno-klimatickými platbami. Ekologické poľnohospodárstvo rozvíja environmentálny aspekt TUR v súvislosti s podporou biodiverzity, zachovávaním prírodného stavu, kvality pôdy i vody, nespôsobujúc/minimalizujúc kontamináciu zložiek životného prostredia. Opatrenia týkajúce sa platieb či už v rámci sústavy NATURA 2000 (opatrenie 12) alebo pre oblasti s prírodnými alebo inými osobitými obmedzeniami (opatrenie 13) rovnako prispievajú k TUR a to obnovou, ochranou a posilňovaním ekosystémov závislých na poľnohospodárstve a lesnom hospodárstve. Opatrenie 14 zas vedie k trvalo udržateľnému zlepšeniu pohody zvierat na Slovensku, a to prostredníctvom zavádzania chovných postupov nad rámec príslušných povinných noriem. Environmentálny aspekt napĺňa aj opatrenie 16, ktoré by malo vďaka inováciám prispieť k obnove a zachovaniu biodiverzity a ekosystémov. </w:t>
      </w:r>
    </w:p>
    <w:p w:rsidR="00D578E2" w:rsidRPr="00D578E2" w:rsidRDefault="00D578E2" w:rsidP="00D578E2">
      <w:pPr>
        <w:spacing w:after="200"/>
        <w:rPr>
          <w:rFonts w:ascii="Calibri" w:eastAsia="Calibri" w:hAnsi="Calibri"/>
          <w:b/>
          <w:szCs w:val="22"/>
          <w:lang w:eastAsia="en-US"/>
        </w:rPr>
      </w:pPr>
      <w:r w:rsidRPr="00D578E2">
        <w:rPr>
          <w:rFonts w:ascii="Calibri" w:eastAsia="Calibri" w:hAnsi="Calibri"/>
          <w:b/>
          <w:szCs w:val="22"/>
          <w:lang w:eastAsia="en-US"/>
        </w:rPr>
        <w:t>Ekonomické aspekty TUR:</w:t>
      </w:r>
    </w:p>
    <w:p w:rsidR="00D578E2" w:rsidRPr="00D578E2" w:rsidRDefault="00D578E2" w:rsidP="00D578E2">
      <w:pPr>
        <w:spacing w:after="200"/>
        <w:rPr>
          <w:rFonts w:ascii="Calibri" w:eastAsia="Calibri" w:hAnsi="Calibri"/>
          <w:szCs w:val="22"/>
          <w:lang w:eastAsia="en-US"/>
        </w:rPr>
      </w:pPr>
      <w:r w:rsidRPr="00D578E2">
        <w:rPr>
          <w:rFonts w:ascii="Calibri" w:eastAsia="Calibri" w:hAnsi="Calibri"/>
          <w:szCs w:val="22"/>
          <w:lang w:eastAsia="en-US"/>
        </w:rPr>
        <w:t xml:space="preserve">Čiastkovými cieľmi </w:t>
      </w:r>
      <w:r w:rsidRPr="00D578E2">
        <w:rPr>
          <w:rFonts w:ascii="Calibri" w:eastAsia="Calibri" w:hAnsi="Calibri"/>
          <w:szCs w:val="22"/>
          <w:u w:val="single"/>
          <w:lang w:eastAsia="en-US"/>
        </w:rPr>
        <w:t>ekonomického</w:t>
      </w:r>
      <w:r w:rsidRPr="00D578E2">
        <w:rPr>
          <w:rFonts w:ascii="Calibri" w:eastAsia="Calibri" w:hAnsi="Calibri"/>
          <w:szCs w:val="22"/>
          <w:lang w:eastAsia="en-US"/>
        </w:rPr>
        <w:t xml:space="preserve"> aspektu HP TUR budú posilnenie výskumu, technologického rozvoja a inovácií s osobitným a mimoriadnym zreteľom na monitorovanie napĺňania Stratégie výskumu a vývoja pre inteligentnú špecializáciu SR na roky 2014 - 2020, zlepšenie prístupu k informáciám a ku komunikačným technológiám a zlepšenie ich využívania a kvality, zvýšenie konkurencieschopnosti malých a stredných podnikov, sektora  poľnohospodárstva (v prípade EPFRV) a sektora rybného hospodárstva a akvakultúry (v prípade EFNRH), investovanie do vzdelávania, zručností a celoživotného vzdelávania a posilnenie inštitucionálnych kapacít a efektivity verejnej správy. </w:t>
      </w:r>
    </w:p>
    <w:p w:rsidR="00D578E2" w:rsidRPr="00D578E2" w:rsidRDefault="00D578E2" w:rsidP="00D578E2">
      <w:pPr>
        <w:spacing w:after="200"/>
        <w:rPr>
          <w:rFonts w:ascii="Calibri" w:eastAsia="Calibri" w:hAnsi="Calibri"/>
          <w:szCs w:val="22"/>
          <w:lang w:eastAsia="en-US"/>
        </w:rPr>
      </w:pPr>
      <w:r w:rsidRPr="00D578E2">
        <w:rPr>
          <w:rFonts w:ascii="Calibri" w:eastAsia="Calibri" w:hAnsi="Calibri"/>
          <w:szCs w:val="22"/>
          <w:lang w:eastAsia="en-US"/>
        </w:rPr>
        <w:t xml:space="preserve">PRV v rámci opatrenia 1 výrazne podporí celoživotné vzdelávanie pracovníkov v poľnohospodárskych podnikoch, ktoré v porovnaní s priemerom EÚ 27 značne zaostáva. Zvyšovanie vzdelanostnej úrovne cieľovej skupiny v rámci tohto opatrenia o nových technológiách, možnostiach reštrukturalizácie </w:t>
      </w:r>
      <w:r w:rsidRPr="00D578E2">
        <w:rPr>
          <w:rFonts w:ascii="Calibri" w:eastAsia="Calibri" w:hAnsi="Calibri"/>
          <w:szCs w:val="22"/>
          <w:lang w:eastAsia="en-US"/>
        </w:rPr>
        <w:lastRenderedPageBreak/>
        <w:t>a modernizácie, o súvisiacej legislatíve a transfere know-how bude viesť k zvýšeniu príjmov a konkurencieschopnosti podnikov na jednotnom trhu EÚ a zníži nezamestnanosť, čo korešponduje nielen s ekonomickou, ale aj sociálnou udržateľnosťou rastu. Integrálnu súčasť poskytovania informácií vedúcich k efektívnosti fungovania podnikov predstavujú poradenské služby v rámci opatrenia č. 2, ktoré spoločne prispejú k lepšej ekonomickej výkonnosti. Investície do hmotného majetku v rámci opatrenia  4 zvýšia konkurencieschopnosť poľnohospodárskych podnikov s dôrazom na kritické odvetvia a s ohľadom na udržateľné využívanie zdrojov. Opatrenie 5 posilňuje preventívne opatrenia pred negatívnymi dôsledkami prírodných katastrof a nepriaznivými vplyvmi na poľnohospodársku výrobu, a tým zabraňuje potenciálnej ekonomickej ujme a škodám. Opatrenie  6 prispeje k tvorbe nových pracovných miest, čím zvýši zamestnanosť vo vidieckych oblastiach. Toto opatrenie zároveň napomôže zlepšeniu konkurencieschopnosti mladých a malých farmárov a zvýšeniu poľnohospodárskej diverzifikácie. Podpora ekonomického rozvoja je aj jedným z cieľov opatrenia 7. K tomu prispeje najmä rozšírenie prístupnosti, využívania a kvality informačných a komunikačných technológií (IKT),  ako aj rozvoj a marketing vidieckeho cestovného ruchu. Čo sa týka ekonomického aspektu HP TUR v rámci opatrenia 8 pre rast a udržateľnosť ekonomickej hodnoty lesného hospodárstva a jeho hospodárskeho výkonu sa poukazuje predovšetkým na nevyhnutnosť zvýšenia investícií do tejto oblasti. Zakladanie skupín výrobcov za pomoci opatrenia 9 zlepší  pozíciu poľnohospodárskych podnikov voči veľkým obchodným reťazcom. Opatrenie 16 prispeje k ekonomickému aspektu trvalo udržateľného rozvoja podporou inovácií a vedomostnej základne vo vidieckych oblastiach, čo napomôže aj zvýšeniu poľnohospodárskej produktivity. Opatrenie  17 má združovať poľnohospodárov do vzájomných fondov, prostredníctvom ktorých im bude možné vyplatiť kompenzáciu za hospodárske straty spôsobené rizikovými faktormi. To je v prostredí poľnohospodárstva, najrizikovejšieho výrobného odvetvia, výrazná pomoc pri riešení ekonomických strát cieľovej skupiny opatrenia.</w:t>
      </w:r>
    </w:p>
    <w:p w:rsidR="00D578E2" w:rsidRPr="00D578E2" w:rsidRDefault="00D578E2" w:rsidP="00D578E2">
      <w:pPr>
        <w:spacing w:after="200"/>
        <w:rPr>
          <w:rFonts w:ascii="Calibri" w:eastAsia="Calibri" w:hAnsi="Calibri"/>
          <w:b/>
          <w:szCs w:val="22"/>
          <w:lang w:eastAsia="en-US"/>
        </w:rPr>
      </w:pPr>
      <w:r w:rsidRPr="00D578E2">
        <w:rPr>
          <w:rFonts w:ascii="Calibri" w:eastAsia="Calibri" w:hAnsi="Calibri"/>
          <w:b/>
          <w:szCs w:val="22"/>
          <w:lang w:eastAsia="en-US"/>
        </w:rPr>
        <w:t>Sociálne aspekty TUR:</w:t>
      </w:r>
    </w:p>
    <w:p w:rsidR="00D578E2" w:rsidRPr="00D578E2" w:rsidRDefault="00D578E2" w:rsidP="00D578E2">
      <w:pPr>
        <w:spacing w:after="200"/>
        <w:rPr>
          <w:rFonts w:ascii="Calibri" w:eastAsia="Calibri" w:hAnsi="Calibri"/>
          <w:szCs w:val="22"/>
          <w:lang w:eastAsia="en-US"/>
        </w:rPr>
      </w:pPr>
      <w:r w:rsidRPr="00D578E2">
        <w:rPr>
          <w:rFonts w:ascii="Calibri" w:eastAsia="Calibri" w:hAnsi="Calibri"/>
          <w:szCs w:val="22"/>
          <w:lang w:eastAsia="en-US"/>
        </w:rPr>
        <w:t xml:space="preserve">Čiastkovými cieľmi </w:t>
      </w:r>
      <w:r w:rsidRPr="00D578E2">
        <w:rPr>
          <w:rFonts w:ascii="Calibri" w:eastAsia="Calibri" w:hAnsi="Calibri"/>
          <w:szCs w:val="22"/>
          <w:u w:val="single"/>
          <w:lang w:eastAsia="en-US"/>
        </w:rPr>
        <w:t>sociálneho</w:t>
      </w:r>
      <w:r w:rsidRPr="00D578E2">
        <w:rPr>
          <w:rFonts w:ascii="Calibri" w:eastAsia="Calibri" w:hAnsi="Calibri"/>
          <w:szCs w:val="22"/>
          <w:lang w:eastAsia="en-US"/>
        </w:rPr>
        <w:t xml:space="preserve"> piliera HP TUR budú podpora zamestnanosti a mobility pracovnej sily a podpora sociálneho začlenenia a boj proti chudobe.</w:t>
      </w:r>
    </w:p>
    <w:p w:rsidR="00D578E2" w:rsidRPr="00D578E2" w:rsidRDefault="00D578E2" w:rsidP="00D578E2">
      <w:pPr>
        <w:spacing w:after="200"/>
        <w:rPr>
          <w:rFonts w:ascii="Calibri" w:eastAsia="Calibri" w:hAnsi="Calibri"/>
          <w:szCs w:val="22"/>
          <w:lang w:eastAsia="en-US"/>
        </w:rPr>
      </w:pPr>
      <w:r w:rsidRPr="00D578E2">
        <w:rPr>
          <w:rFonts w:ascii="Calibri" w:eastAsia="Calibri" w:hAnsi="Calibri"/>
          <w:szCs w:val="22"/>
          <w:lang w:eastAsia="en-US"/>
        </w:rPr>
        <w:t>Sociálny aspekt TUR je prítomný v rámci opatrenia 1 PRV a jeho význam spočíva najmä v zvyšovaní úrovne vzdelanosti a k približovaniu sa k priemeru EÚ 27. Poradenské služby v rámci opatrenia 2 sprostredkujú informácie aj mladým začínajúcim farmárom, čím napomôžu ku generačnej výmene v sektore poľnohospodárstva. Sociálny aspekt opatrenia č  6 zahŕňa príspevok ku generačnej výmene pracovníkov v poľnohospodárstve a zároveň k zamedzeniu vyľudňovania vidieka. Okrem toho, činnosti spojené s poskytovaním služieb pre deti, seniorov a občanov so zníženou schopnosťou pohybu v rámci podopatrenia 6.4 prispejú k lepšiemu začleneniu týchto skupín obyvateľov do spoločenského života na vidieku. Zlepšenie kvality života na vidieku rozšírením dostupnosti IKT či investovanie do miestnych základných služieb vrátane voľného času a súvisiacej infraštruktúry sú cieľom opatrenia 7. Environmentálne orientované opatrenie 11 vplýva priaznivo i na sociálny aspekt, a to v súvislosti s udržateľnosťou resp. rastom pracovných miest v poľnohospodárstve. Metóda LEADER, implementovaná v rámci opatrenia 19, výrazne prispeje k sociálnemu aspektu trvalo udržateľného rozvoja zapojením miestnych aktérov do rozvoja vidieka pomocou miestnych akčných skupín. Pomocou rozhodovania prístupom zdola nahor bude možné lepšie identifikovať potreby v danom území a docieliť väčšie zapojenie miestnych komunít do spoločenského diania na vidieku.</w:t>
      </w:r>
    </w:p>
    <w:p w:rsidR="00060B3A" w:rsidRDefault="00060B3A" w:rsidP="00D578E2">
      <w:pPr>
        <w:tabs>
          <w:tab w:val="left" w:pos="8640"/>
        </w:tabs>
        <w:rPr>
          <w:rFonts w:ascii="Calibri" w:hAnsi="Calibri"/>
          <w:b/>
          <w:szCs w:val="22"/>
        </w:rPr>
      </w:pPr>
    </w:p>
    <w:p w:rsidR="00687B8E" w:rsidRDefault="00687B8E" w:rsidP="00687B8E">
      <w:pPr>
        <w:rPr>
          <w:rFonts w:ascii="Calibri" w:hAnsi="Calibri"/>
        </w:rPr>
      </w:pPr>
      <w:r w:rsidRPr="00207ECE">
        <w:rPr>
          <w:rFonts w:ascii="Calibri" w:hAnsi="Calibri"/>
        </w:rPr>
        <w:t xml:space="preserve">Pre účinné uplatňovanie horizontálneho princípu </w:t>
      </w:r>
      <w:r>
        <w:rPr>
          <w:rFonts w:ascii="Calibri" w:hAnsi="Calibri"/>
        </w:rPr>
        <w:t xml:space="preserve">trvalo udržateľný rozvoj </w:t>
      </w:r>
      <w:r w:rsidRPr="00207ECE">
        <w:rPr>
          <w:rFonts w:ascii="Calibri" w:hAnsi="Calibri"/>
        </w:rPr>
        <w:t>bude možn</w:t>
      </w:r>
      <w:r>
        <w:rPr>
          <w:rFonts w:ascii="Calibri" w:hAnsi="Calibri"/>
        </w:rPr>
        <w:t>é</w:t>
      </w:r>
      <w:r w:rsidRPr="00207ECE">
        <w:rPr>
          <w:rFonts w:ascii="Calibri" w:hAnsi="Calibri"/>
        </w:rPr>
        <w:t xml:space="preserve"> v hodnotiacom a výberovom procese žiadostí o finančný príspevok stanoviť diskvalifikačné kritérium a to špecifikovaním konkrétnych podmienok pri príprave podporných dokumentov relevantných opatrení PRV. </w:t>
      </w:r>
    </w:p>
    <w:p w:rsidR="00687B8E" w:rsidRDefault="00687B8E" w:rsidP="00687B8E">
      <w:r w:rsidRPr="00207ECE">
        <w:rPr>
          <w:rFonts w:ascii="Calibri" w:hAnsi="Calibri"/>
        </w:rPr>
        <w:t>Riadiaci orgán PRV zabezpečí monitorovanie uplatňovania horizontálnych princípov p</w:t>
      </w:r>
      <w:r>
        <w:t xml:space="preserve">rostredníctvom výročných správ. </w:t>
      </w:r>
      <w:r w:rsidRPr="001676E9">
        <w:t xml:space="preserve">Analytickú, hodnotiacu, strategickú a metodickú činnosť pre uplatňovanie </w:t>
      </w:r>
      <w:r w:rsidRPr="001676E9">
        <w:lastRenderedPageBreak/>
        <w:t xml:space="preserve">horizontálneho princípu </w:t>
      </w:r>
      <w:r>
        <w:t xml:space="preserve">trvalo </w:t>
      </w:r>
      <w:r w:rsidRPr="001676E9">
        <w:t>udržateľný rozvoj bude na národnej úrovni zabezpečovať Úrad vlády SR</w:t>
      </w:r>
      <w:r>
        <w:t>.</w:t>
      </w:r>
    </w:p>
    <w:p w:rsidR="00687B8E" w:rsidRDefault="00687B8E" w:rsidP="00687B8E">
      <w:pPr>
        <w:pStyle w:val="Vchodzie"/>
        <w:spacing w:after="0" w:line="240" w:lineRule="auto"/>
        <w:rPr>
          <w:rFonts w:cs="Times New Roman"/>
          <w:color w:val="auto"/>
          <w:szCs w:val="22"/>
        </w:rPr>
      </w:pPr>
      <w:r w:rsidRPr="0012795A">
        <w:rPr>
          <w:rFonts w:cs="Times New Roman"/>
          <w:color w:val="auto"/>
          <w:szCs w:val="22"/>
        </w:rPr>
        <w:t xml:space="preserve">Pre zabezpečenie monitorovania plnenia princípu </w:t>
      </w:r>
      <w:r>
        <w:rPr>
          <w:rFonts w:cs="Times New Roman"/>
          <w:color w:val="auto"/>
          <w:szCs w:val="22"/>
        </w:rPr>
        <w:t xml:space="preserve">trvalo </w:t>
      </w:r>
      <w:r w:rsidRPr="0012795A">
        <w:rPr>
          <w:rFonts w:cs="Times New Roman"/>
          <w:color w:val="auto"/>
          <w:szCs w:val="22"/>
        </w:rPr>
        <w:t>udržateľn</w:t>
      </w:r>
      <w:r>
        <w:rPr>
          <w:rFonts w:cs="Times New Roman"/>
          <w:color w:val="auto"/>
          <w:szCs w:val="22"/>
        </w:rPr>
        <w:t>ý rozvoj</w:t>
      </w:r>
      <w:r w:rsidRPr="0012795A">
        <w:rPr>
          <w:rFonts w:cs="Times New Roman"/>
          <w:color w:val="auto"/>
          <w:szCs w:val="22"/>
        </w:rPr>
        <w:t xml:space="preserve"> </w:t>
      </w:r>
      <w:r>
        <w:rPr>
          <w:rFonts w:cs="Times New Roman"/>
          <w:color w:val="auto"/>
          <w:szCs w:val="22"/>
        </w:rPr>
        <w:t>bude možné pri relevantných opatreniach PRV sledovať nasledovné ukazovatele</w:t>
      </w:r>
      <w:r w:rsidRPr="0012795A">
        <w:rPr>
          <w:rFonts w:cs="Times New Roman"/>
          <w:color w:val="auto"/>
          <w:szCs w:val="22"/>
        </w:rPr>
        <w:t>:</w:t>
      </w:r>
    </w:p>
    <w:p w:rsidR="00687B8E" w:rsidRDefault="00687B8E" w:rsidP="00687B8E">
      <w:pPr>
        <w:pStyle w:val="Vchodzie"/>
        <w:spacing w:after="0" w:line="240" w:lineRule="auto"/>
        <w:rPr>
          <w:rFonts w:cs="Times New Roman"/>
          <w:color w:val="auto"/>
          <w:szCs w:val="22"/>
        </w:rPr>
      </w:pPr>
      <w:r w:rsidRPr="0012795A">
        <w:rPr>
          <w:rFonts w:cs="Times New Roman"/>
          <w:color w:val="auto"/>
          <w:szCs w:val="22"/>
        </w:rPr>
        <w:t>-Dodatočná kapacita pre výrobu obnoviteľnej energie (MW alebo kW) - definícia: nárast kapacít pre výrobu energie v zariadeniach, ktoré používajú OZE, vybudovaných /vybavených projektom. Zahŕňa elektrickú a tepelnú energiu.</w:t>
      </w:r>
      <w:r>
        <w:rPr>
          <w:rFonts w:cs="Times New Roman"/>
          <w:color w:val="auto"/>
          <w:szCs w:val="22"/>
        </w:rPr>
        <w:t xml:space="preserve"> </w:t>
      </w:r>
      <w:r w:rsidRPr="0012795A">
        <w:rPr>
          <w:rFonts w:cs="Times New Roman"/>
          <w:color w:val="auto"/>
          <w:szCs w:val="22"/>
        </w:rPr>
        <w:t>Vhodný napr. pre investície výstavba nových, rekonštrukcia, modernizácia a oprava zariadení na využívanie OZE</w:t>
      </w:r>
    </w:p>
    <w:p w:rsidR="00687B8E" w:rsidRPr="001676E9" w:rsidRDefault="00687B8E" w:rsidP="00687B8E">
      <w:pPr>
        <w:pStyle w:val="Vchodzie"/>
        <w:spacing w:after="0" w:line="240" w:lineRule="auto"/>
        <w:rPr>
          <w:rFonts w:eastAsia="Times New Roman" w:cs="Segoe UI"/>
          <w:color w:val="auto"/>
          <w:szCs w:val="22"/>
        </w:rPr>
        <w:sectPr w:rsidR="00687B8E" w:rsidRPr="001676E9">
          <w:headerReference w:type="default" r:id="rId95"/>
          <w:footerReference w:type="default" r:id="rId96"/>
          <w:pgSz w:w="11906" w:h="16838"/>
          <w:pgMar w:top="1417" w:right="1417" w:bottom="1417" w:left="1417" w:header="708" w:footer="708" w:gutter="0"/>
          <w:cols w:space="708"/>
          <w:docGrid w:linePitch="360"/>
        </w:sectPr>
      </w:pPr>
      <w:r w:rsidRPr="0012795A">
        <w:rPr>
          <w:rFonts w:cs="Times New Roman"/>
          <w:color w:val="auto"/>
          <w:szCs w:val="22"/>
        </w:rPr>
        <w:t>-Celkové investície do IKT (nákup hardware, software, vrátane pripojenia na internet</w:t>
      </w:r>
      <w:r>
        <w:rPr>
          <w:rFonts w:cs="Times New Roman"/>
          <w:color w:val="auto"/>
          <w:szCs w:val="22"/>
        </w:rPr>
        <w:t>)</w:t>
      </w:r>
      <w:r w:rsidRPr="0012795A">
        <w:rPr>
          <w:rFonts w:cs="Times New Roman"/>
          <w:color w:val="auto"/>
          <w:szCs w:val="22"/>
        </w:rPr>
        <w:t xml:space="preserve"> (€) </w:t>
      </w:r>
      <w:r w:rsidRPr="0012795A">
        <w:rPr>
          <w:rFonts w:cs="Times New Roman"/>
          <w:color w:val="auto"/>
          <w:szCs w:val="22"/>
        </w:rPr>
        <w:br/>
      </w:r>
    </w:p>
    <w:p w:rsidR="005F1A9E" w:rsidRPr="00D42D00" w:rsidRDefault="005F1A9E" w:rsidP="005F1A9E">
      <w:pPr>
        <w:jc w:val="right"/>
        <w:rPr>
          <w:rFonts w:cs="Calibri"/>
          <w:b/>
          <w:sz w:val="20"/>
          <w:szCs w:val="20"/>
          <w:lang w:eastAsia="en-US"/>
        </w:rPr>
      </w:pPr>
      <w:r w:rsidRPr="00D42D00">
        <w:rPr>
          <w:rFonts w:cs="Calibri"/>
          <w:b/>
          <w:sz w:val="20"/>
          <w:szCs w:val="20"/>
          <w:lang w:eastAsia="en-US"/>
        </w:rPr>
        <w:lastRenderedPageBreak/>
        <w:t>PRÍLOHA  V</w:t>
      </w:r>
      <w:r w:rsidR="00A71A12">
        <w:rPr>
          <w:rFonts w:cs="Calibri"/>
          <w:b/>
          <w:sz w:val="20"/>
          <w:szCs w:val="20"/>
          <w:lang w:eastAsia="en-US"/>
        </w:rPr>
        <w:t>I</w:t>
      </w:r>
    </w:p>
    <w:p w:rsidR="00EC1746" w:rsidRDefault="00060B3A" w:rsidP="00060B3A">
      <w:pPr>
        <w:tabs>
          <w:tab w:val="left" w:pos="8640"/>
        </w:tabs>
        <w:jc w:val="center"/>
        <w:rPr>
          <w:rFonts w:ascii="Calibri" w:hAnsi="Calibri"/>
          <w:b/>
          <w:szCs w:val="22"/>
        </w:rPr>
      </w:pPr>
      <w:r>
        <w:rPr>
          <w:rFonts w:ascii="Calibri" w:hAnsi="Calibri"/>
          <w:b/>
          <w:szCs w:val="22"/>
        </w:rPr>
        <w:t>ALOKÁCIA VEREJNÝCH ZDROJOV PODĽA OPATRENÍ/PODOPATRENÍ</w:t>
      </w:r>
    </w:p>
    <w:tbl>
      <w:tblPr>
        <w:tblW w:w="14167" w:type="dxa"/>
        <w:tblInd w:w="-83" w:type="dxa"/>
        <w:tblCellMar>
          <w:left w:w="0" w:type="dxa"/>
          <w:right w:w="0" w:type="dxa"/>
        </w:tblCellMar>
        <w:tblLook w:val="04A0" w:firstRow="1" w:lastRow="0" w:firstColumn="1" w:lastColumn="0" w:noHBand="0" w:noVBand="1"/>
      </w:tblPr>
      <w:tblGrid>
        <w:gridCol w:w="20"/>
        <w:gridCol w:w="777"/>
        <w:gridCol w:w="709"/>
        <w:gridCol w:w="10631"/>
        <w:gridCol w:w="2030"/>
      </w:tblGrid>
      <w:tr w:rsidR="002C53BC" w:rsidRPr="007B4199" w:rsidTr="00A55745">
        <w:trPr>
          <w:trHeight w:val="451"/>
        </w:trPr>
        <w:tc>
          <w:tcPr>
            <w:tcW w:w="20" w:type="dxa"/>
            <w:tcBorders>
              <w:top w:val="single" w:sz="4" w:space="0" w:color="auto"/>
              <w:left w:val="single" w:sz="4" w:space="0" w:color="auto"/>
              <w:bottom w:val="single" w:sz="8" w:space="0" w:color="000000"/>
              <w:right w:val="single" w:sz="4" w:space="0" w:color="auto"/>
            </w:tcBorders>
            <w:shd w:val="clear" w:color="auto" w:fill="FFFF00"/>
          </w:tcPr>
          <w:p w:rsidR="002C53BC" w:rsidRPr="007B4199" w:rsidRDefault="002C53BC" w:rsidP="00EE750E">
            <w:pPr>
              <w:jc w:val="center"/>
              <w:rPr>
                <w:b/>
                <w:bCs/>
                <w:color w:val="000000"/>
              </w:rPr>
            </w:pPr>
          </w:p>
        </w:tc>
        <w:tc>
          <w:tcPr>
            <w:tcW w:w="12117" w:type="dxa"/>
            <w:gridSpan w:val="3"/>
            <w:tcBorders>
              <w:top w:val="single" w:sz="8" w:space="0" w:color="000000"/>
              <w:left w:val="single" w:sz="4" w:space="0" w:color="auto"/>
              <w:bottom w:val="single" w:sz="8" w:space="0" w:color="000000"/>
              <w:right w:val="single" w:sz="8" w:space="0" w:color="000000"/>
            </w:tcBorders>
            <w:shd w:val="clear" w:color="auto" w:fill="FFFF00"/>
            <w:tcMar>
              <w:top w:w="0" w:type="dxa"/>
              <w:left w:w="70" w:type="dxa"/>
              <w:bottom w:w="0" w:type="dxa"/>
              <w:right w:w="70" w:type="dxa"/>
            </w:tcMar>
            <w:vAlign w:val="center"/>
            <w:hideMark/>
          </w:tcPr>
          <w:p w:rsidR="002C53BC" w:rsidRPr="007B4199" w:rsidRDefault="002C53BC" w:rsidP="00EE750E">
            <w:pPr>
              <w:jc w:val="center"/>
              <w:rPr>
                <w:b/>
                <w:bCs/>
                <w:color w:val="000000"/>
              </w:rPr>
            </w:pPr>
            <w:r w:rsidRPr="007B4199">
              <w:rPr>
                <w:b/>
                <w:bCs/>
                <w:color w:val="000000"/>
              </w:rPr>
              <w:t>Program rozvoja vidieka 2014-2020</w:t>
            </w:r>
          </w:p>
        </w:tc>
        <w:tc>
          <w:tcPr>
            <w:tcW w:w="2030" w:type="dxa"/>
            <w:vMerge w:val="restart"/>
            <w:tcBorders>
              <w:top w:val="single" w:sz="8" w:space="0" w:color="000000"/>
              <w:left w:val="nil"/>
              <w:right w:val="single" w:sz="8" w:space="0" w:color="000000"/>
            </w:tcBorders>
            <w:shd w:val="clear" w:color="auto" w:fill="FFFF00"/>
            <w:tcMar>
              <w:top w:w="0" w:type="dxa"/>
              <w:left w:w="70" w:type="dxa"/>
              <w:bottom w:w="0" w:type="dxa"/>
              <w:right w:w="70" w:type="dxa"/>
            </w:tcMar>
            <w:vAlign w:val="center"/>
            <w:hideMark/>
          </w:tcPr>
          <w:p w:rsidR="002C53BC" w:rsidRPr="007B4199" w:rsidRDefault="002C53BC" w:rsidP="00EE750E">
            <w:pPr>
              <w:jc w:val="center"/>
              <w:rPr>
                <w:b/>
                <w:bCs/>
                <w:color w:val="000000"/>
              </w:rPr>
            </w:pPr>
            <w:r w:rsidRPr="007B4199">
              <w:rPr>
                <w:b/>
                <w:bCs/>
                <w:color w:val="000000"/>
              </w:rPr>
              <w:t>Verejné výdavky</w:t>
            </w:r>
          </w:p>
          <w:p w:rsidR="002C53BC" w:rsidRPr="007B4199" w:rsidRDefault="002C53BC" w:rsidP="00EE750E">
            <w:pPr>
              <w:jc w:val="center"/>
              <w:rPr>
                <w:b/>
                <w:bCs/>
                <w:color w:val="000000"/>
              </w:rPr>
            </w:pPr>
            <w:r w:rsidRPr="007B4199">
              <w:rPr>
                <w:b/>
                <w:bCs/>
                <w:color w:val="000000"/>
              </w:rPr>
              <w:t>spolu (€)</w:t>
            </w:r>
          </w:p>
        </w:tc>
      </w:tr>
      <w:tr w:rsidR="002C53BC" w:rsidRPr="007B4199" w:rsidTr="00E84986">
        <w:trPr>
          <w:trHeight w:val="390"/>
        </w:trPr>
        <w:tc>
          <w:tcPr>
            <w:tcW w:w="797" w:type="dxa"/>
            <w:gridSpan w:val="2"/>
            <w:tcBorders>
              <w:top w:val="nil"/>
              <w:left w:val="single" w:sz="4" w:space="0" w:color="auto"/>
              <w:bottom w:val="single" w:sz="8" w:space="0" w:color="000000"/>
              <w:right w:val="single" w:sz="8" w:space="0" w:color="000000"/>
            </w:tcBorders>
            <w:shd w:val="clear" w:color="auto" w:fill="FFFF00"/>
            <w:tcMar>
              <w:top w:w="0" w:type="dxa"/>
              <w:left w:w="70" w:type="dxa"/>
              <w:bottom w:w="0" w:type="dxa"/>
              <w:right w:w="70" w:type="dxa"/>
            </w:tcMar>
            <w:vAlign w:val="center"/>
            <w:hideMark/>
          </w:tcPr>
          <w:p w:rsidR="002C53BC" w:rsidRPr="007B4199" w:rsidRDefault="002C53BC" w:rsidP="00EE750E">
            <w:pPr>
              <w:rPr>
                <w:b/>
                <w:bCs/>
                <w:color w:val="000000"/>
              </w:rPr>
            </w:pPr>
            <w:r w:rsidRPr="007B4199">
              <w:rPr>
                <w:b/>
                <w:bCs/>
                <w:color w:val="000000"/>
              </w:rPr>
              <w:t>Čl.</w:t>
            </w:r>
          </w:p>
        </w:tc>
        <w:tc>
          <w:tcPr>
            <w:tcW w:w="709" w:type="dxa"/>
            <w:tcBorders>
              <w:top w:val="nil"/>
              <w:left w:val="nil"/>
              <w:bottom w:val="single" w:sz="8" w:space="0" w:color="000000"/>
              <w:right w:val="single" w:sz="4" w:space="0" w:color="auto"/>
            </w:tcBorders>
            <w:shd w:val="clear" w:color="auto" w:fill="FFFF00"/>
            <w:vAlign w:val="center"/>
          </w:tcPr>
          <w:p w:rsidR="002C53BC" w:rsidRPr="007B4199" w:rsidRDefault="002C53BC" w:rsidP="00EE750E">
            <w:pPr>
              <w:ind w:firstLine="281"/>
              <w:rPr>
                <w:b/>
                <w:bCs/>
                <w:color w:val="000000"/>
              </w:rPr>
            </w:pPr>
            <w:r>
              <w:rPr>
                <w:b/>
                <w:bCs/>
                <w:color w:val="000000"/>
              </w:rPr>
              <w:t>kód</w:t>
            </w:r>
          </w:p>
        </w:tc>
        <w:tc>
          <w:tcPr>
            <w:tcW w:w="10631" w:type="dxa"/>
            <w:tcBorders>
              <w:top w:val="nil"/>
              <w:left w:val="single" w:sz="4" w:space="0" w:color="auto"/>
              <w:bottom w:val="single" w:sz="8" w:space="0" w:color="000000"/>
              <w:right w:val="single" w:sz="8" w:space="0" w:color="000000"/>
            </w:tcBorders>
            <w:shd w:val="clear" w:color="auto" w:fill="FFFF00"/>
            <w:tcMar>
              <w:top w:w="0" w:type="dxa"/>
              <w:left w:w="70" w:type="dxa"/>
              <w:bottom w:w="0" w:type="dxa"/>
              <w:right w:w="70" w:type="dxa"/>
            </w:tcMar>
            <w:vAlign w:val="center"/>
            <w:hideMark/>
          </w:tcPr>
          <w:p w:rsidR="002C53BC" w:rsidRPr="007B4199" w:rsidRDefault="002C53BC" w:rsidP="00EE750E">
            <w:pPr>
              <w:ind w:firstLine="281"/>
              <w:rPr>
                <w:b/>
                <w:bCs/>
                <w:color w:val="000000"/>
              </w:rPr>
            </w:pPr>
            <w:r w:rsidRPr="007B4199">
              <w:rPr>
                <w:b/>
                <w:bCs/>
                <w:color w:val="000000"/>
              </w:rPr>
              <w:t>Opatrenie</w:t>
            </w:r>
          </w:p>
        </w:tc>
        <w:tc>
          <w:tcPr>
            <w:tcW w:w="2030" w:type="dxa"/>
            <w:vMerge/>
            <w:tcBorders>
              <w:left w:val="nil"/>
              <w:bottom w:val="single" w:sz="8" w:space="0" w:color="000000"/>
              <w:right w:val="single" w:sz="8" w:space="0" w:color="000000"/>
            </w:tcBorders>
            <w:shd w:val="clear" w:color="auto" w:fill="FFFF00"/>
            <w:tcMar>
              <w:top w:w="0" w:type="dxa"/>
              <w:left w:w="70" w:type="dxa"/>
              <w:bottom w:w="0" w:type="dxa"/>
              <w:right w:w="70" w:type="dxa"/>
            </w:tcMar>
            <w:vAlign w:val="center"/>
            <w:hideMark/>
          </w:tcPr>
          <w:p w:rsidR="002C53BC" w:rsidRPr="007B4199" w:rsidRDefault="002C53BC" w:rsidP="00EE750E">
            <w:pPr>
              <w:jc w:val="center"/>
              <w:rPr>
                <w:b/>
                <w:bCs/>
                <w:color w:val="000000"/>
              </w:rPr>
            </w:pPr>
          </w:p>
        </w:tc>
      </w:tr>
      <w:tr w:rsidR="002C53BC" w:rsidRPr="007B4199" w:rsidTr="00E84986">
        <w:trPr>
          <w:trHeight w:val="390"/>
        </w:trPr>
        <w:tc>
          <w:tcPr>
            <w:tcW w:w="797" w:type="dxa"/>
            <w:gridSpan w:val="2"/>
            <w:tcBorders>
              <w:top w:val="single" w:sz="8" w:space="0" w:color="000000"/>
              <w:left w:val="single" w:sz="4" w:space="0" w:color="auto"/>
              <w:bottom w:val="single" w:sz="8" w:space="0" w:color="000000"/>
              <w:right w:val="single" w:sz="8" w:space="0" w:color="000000"/>
            </w:tcBorders>
            <w:shd w:val="clear" w:color="auto" w:fill="FFFFCC"/>
            <w:tcMar>
              <w:top w:w="0" w:type="dxa"/>
              <w:left w:w="70" w:type="dxa"/>
              <w:bottom w:w="0" w:type="dxa"/>
              <w:right w:w="70" w:type="dxa"/>
            </w:tcMar>
            <w:vAlign w:val="center"/>
            <w:hideMark/>
          </w:tcPr>
          <w:p w:rsidR="002C53BC" w:rsidRPr="009431B0" w:rsidRDefault="002C53BC" w:rsidP="00EE750E">
            <w:pPr>
              <w:jc w:val="center"/>
              <w:rPr>
                <w:color w:val="000000"/>
              </w:rPr>
            </w:pPr>
            <w:r w:rsidRPr="009431B0">
              <w:rPr>
                <w:color w:val="000000"/>
              </w:rPr>
              <w:t>1</w:t>
            </w:r>
            <w:r>
              <w:rPr>
                <w:color w:val="000000"/>
              </w:rPr>
              <w:t>4</w:t>
            </w:r>
          </w:p>
        </w:tc>
        <w:tc>
          <w:tcPr>
            <w:tcW w:w="709" w:type="dxa"/>
            <w:tcBorders>
              <w:top w:val="single" w:sz="8" w:space="0" w:color="000000"/>
              <w:left w:val="nil"/>
              <w:bottom w:val="single" w:sz="8" w:space="0" w:color="000000"/>
              <w:right w:val="single" w:sz="4" w:space="0" w:color="auto"/>
            </w:tcBorders>
            <w:shd w:val="clear" w:color="auto" w:fill="FFFFCC"/>
            <w:vAlign w:val="center"/>
          </w:tcPr>
          <w:p w:rsidR="002C53BC" w:rsidRDefault="002C53BC" w:rsidP="00F51A18">
            <w:pPr>
              <w:ind w:firstLine="142"/>
              <w:rPr>
                <w:color w:val="000000"/>
              </w:rPr>
            </w:pPr>
            <w:r>
              <w:rPr>
                <w:color w:val="000000"/>
              </w:rPr>
              <w:t>1.1</w:t>
            </w:r>
          </w:p>
          <w:p w:rsidR="002C53BC" w:rsidRPr="009431B0" w:rsidRDefault="002C53BC" w:rsidP="00F51A18">
            <w:pPr>
              <w:ind w:firstLine="142"/>
              <w:rPr>
                <w:color w:val="000000"/>
              </w:rPr>
            </w:pPr>
            <w:r>
              <w:rPr>
                <w:color w:val="000000"/>
              </w:rPr>
              <w:t>1.2</w:t>
            </w:r>
          </w:p>
        </w:tc>
        <w:tc>
          <w:tcPr>
            <w:tcW w:w="10631" w:type="dxa"/>
            <w:tcBorders>
              <w:top w:val="single" w:sz="8" w:space="0" w:color="000000"/>
              <w:left w:val="single" w:sz="4" w:space="0" w:color="auto"/>
              <w:bottom w:val="single" w:sz="8" w:space="0" w:color="000000"/>
              <w:right w:val="single" w:sz="8" w:space="0" w:color="000000"/>
            </w:tcBorders>
            <w:shd w:val="clear" w:color="auto" w:fill="FFFFCC"/>
            <w:tcMar>
              <w:top w:w="0" w:type="dxa"/>
              <w:left w:w="70" w:type="dxa"/>
              <w:bottom w:w="0" w:type="dxa"/>
              <w:right w:w="70" w:type="dxa"/>
            </w:tcMar>
            <w:vAlign w:val="center"/>
            <w:hideMark/>
          </w:tcPr>
          <w:p w:rsidR="002C53BC" w:rsidRDefault="002C53BC" w:rsidP="00EE750E">
            <w:pPr>
              <w:ind w:firstLine="280"/>
              <w:rPr>
                <w:b/>
                <w:color w:val="000000"/>
              </w:rPr>
            </w:pPr>
            <w:r w:rsidRPr="00FF0C54">
              <w:rPr>
                <w:b/>
                <w:color w:val="000000"/>
              </w:rPr>
              <w:t>Prenos znalostí a informačné aktivity</w:t>
            </w:r>
            <w:r>
              <w:rPr>
                <w:b/>
                <w:color w:val="000000"/>
              </w:rPr>
              <w:t xml:space="preserve">: </w:t>
            </w:r>
          </w:p>
          <w:p w:rsidR="002C53BC" w:rsidRDefault="002C53BC" w:rsidP="00EE750E">
            <w:pPr>
              <w:rPr>
                <w:color w:val="000000"/>
              </w:rPr>
            </w:pPr>
            <w:r w:rsidRPr="0007784F">
              <w:rPr>
                <w:color w:val="000000"/>
              </w:rPr>
              <w:t xml:space="preserve">Podpora odborného vzdelávania a získavania </w:t>
            </w:r>
            <w:r>
              <w:rPr>
                <w:color w:val="000000"/>
              </w:rPr>
              <w:t xml:space="preserve">zručností; </w:t>
            </w:r>
          </w:p>
          <w:p w:rsidR="002C53BC" w:rsidRPr="0007784F" w:rsidRDefault="002C53BC" w:rsidP="00EE750E">
            <w:pPr>
              <w:rPr>
                <w:color w:val="000000"/>
              </w:rPr>
            </w:pPr>
            <w:r>
              <w:rPr>
                <w:color w:val="000000"/>
              </w:rPr>
              <w:t>Podpora demonštračných aktivít a informačné akcie.</w:t>
            </w:r>
          </w:p>
          <w:p w:rsidR="002C53BC" w:rsidRPr="009431B0" w:rsidRDefault="002C53BC" w:rsidP="00EE750E">
            <w:pPr>
              <w:rPr>
                <w:color w:val="1F497D"/>
              </w:rPr>
            </w:pPr>
            <w:r>
              <w:rPr>
                <w:b/>
                <w:bCs/>
                <w:color w:val="000080"/>
              </w:rPr>
              <w:t>Z toho BA: 1 133</w:t>
            </w:r>
            <w:r w:rsidRPr="009431B0">
              <w:rPr>
                <w:b/>
                <w:bCs/>
                <w:color w:val="000080"/>
              </w:rPr>
              <w:t xml:space="preserve"> </w:t>
            </w:r>
            <w:r>
              <w:rPr>
                <w:b/>
                <w:bCs/>
                <w:color w:val="000080"/>
              </w:rPr>
              <w:t>76</w:t>
            </w:r>
            <w:r w:rsidRPr="009431B0">
              <w:rPr>
                <w:b/>
                <w:bCs/>
                <w:color w:val="000080"/>
              </w:rPr>
              <w:t>0€</w:t>
            </w:r>
            <w:r>
              <w:rPr>
                <w:b/>
                <w:bCs/>
                <w:color w:val="000080"/>
              </w:rPr>
              <w:t xml:space="preserve"> </w:t>
            </w:r>
          </w:p>
        </w:tc>
        <w:tc>
          <w:tcPr>
            <w:tcW w:w="2030" w:type="dxa"/>
            <w:tcBorders>
              <w:top w:val="single" w:sz="8" w:space="0" w:color="000000"/>
              <w:left w:val="nil"/>
              <w:bottom w:val="single" w:sz="8" w:space="0" w:color="000000"/>
              <w:right w:val="single" w:sz="8" w:space="0" w:color="000000"/>
            </w:tcBorders>
            <w:shd w:val="clear" w:color="auto" w:fill="FFFFCC"/>
            <w:tcMar>
              <w:top w:w="0" w:type="dxa"/>
              <w:left w:w="70" w:type="dxa"/>
              <w:bottom w:w="0" w:type="dxa"/>
              <w:right w:w="70" w:type="dxa"/>
            </w:tcMar>
            <w:vAlign w:val="center"/>
            <w:hideMark/>
          </w:tcPr>
          <w:p w:rsidR="002C53BC" w:rsidRPr="009431B0" w:rsidRDefault="002C53BC" w:rsidP="00EE750E">
            <w:pPr>
              <w:ind w:firstLine="280"/>
              <w:jc w:val="right"/>
              <w:rPr>
                <w:color w:val="000000"/>
              </w:rPr>
            </w:pPr>
            <w:r>
              <w:rPr>
                <w:color w:val="000000"/>
              </w:rPr>
              <w:t xml:space="preserve">20 330 000,00 </w:t>
            </w:r>
          </w:p>
        </w:tc>
      </w:tr>
      <w:tr w:rsidR="002C53BC" w:rsidRPr="007B4199" w:rsidTr="00E84986">
        <w:trPr>
          <w:trHeight w:val="390"/>
        </w:trPr>
        <w:tc>
          <w:tcPr>
            <w:tcW w:w="797" w:type="dxa"/>
            <w:gridSpan w:val="2"/>
            <w:tcBorders>
              <w:top w:val="single" w:sz="8" w:space="0" w:color="000000"/>
              <w:left w:val="single" w:sz="4" w:space="0" w:color="auto"/>
              <w:bottom w:val="single" w:sz="8" w:space="0" w:color="000000"/>
              <w:right w:val="single" w:sz="8" w:space="0" w:color="000000"/>
            </w:tcBorders>
            <w:shd w:val="clear" w:color="auto" w:fill="FFFFCC"/>
            <w:tcMar>
              <w:top w:w="0" w:type="dxa"/>
              <w:left w:w="70" w:type="dxa"/>
              <w:bottom w:w="0" w:type="dxa"/>
              <w:right w:w="70" w:type="dxa"/>
            </w:tcMar>
            <w:vAlign w:val="center"/>
            <w:hideMark/>
          </w:tcPr>
          <w:p w:rsidR="002C53BC" w:rsidRPr="007B4199" w:rsidRDefault="002C53BC" w:rsidP="00EE750E">
            <w:pPr>
              <w:jc w:val="center"/>
              <w:rPr>
                <w:color w:val="000000"/>
              </w:rPr>
            </w:pPr>
            <w:r w:rsidRPr="007B4199">
              <w:rPr>
                <w:color w:val="000000"/>
              </w:rPr>
              <w:t>1</w:t>
            </w:r>
            <w:r>
              <w:rPr>
                <w:color w:val="000000"/>
              </w:rPr>
              <w:t>5</w:t>
            </w:r>
          </w:p>
        </w:tc>
        <w:tc>
          <w:tcPr>
            <w:tcW w:w="709" w:type="dxa"/>
            <w:tcBorders>
              <w:top w:val="single" w:sz="8" w:space="0" w:color="000000"/>
              <w:left w:val="nil"/>
              <w:bottom w:val="single" w:sz="8" w:space="0" w:color="000000"/>
              <w:right w:val="single" w:sz="4" w:space="0" w:color="auto"/>
            </w:tcBorders>
            <w:shd w:val="clear" w:color="auto" w:fill="FFFFCC"/>
            <w:vAlign w:val="center"/>
          </w:tcPr>
          <w:p w:rsidR="002C53BC" w:rsidRDefault="002C53BC" w:rsidP="00F51A18">
            <w:pPr>
              <w:ind w:firstLine="142"/>
              <w:rPr>
                <w:color w:val="000000"/>
              </w:rPr>
            </w:pPr>
            <w:r>
              <w:rPr>
                <w:color w:val="000000"/>
              </w:rPr>
              <w:t>2.1</w:t>
            </w:r>
          </w:p>
          <w:p w:rsidR="002C53BC" w:rsidRPr="007B4199" w:rsidRDefault="002C53BC" w:rsidP="00F51A18">
            <w:pPr>
              <w:ind w:firstLine="142"/>
              <w:rPr>
                <w:color w:val="000000"/>
              </w:rPr>
            </w:pPr>
            <w:r>
              <w:rPr>
                <w:color w:val="000000"/>
              </w:rPr>
              <w:t>2.2</w:t>
            </w:r>
          </w:p>
        </w:tc>
        <w:tc>
          <w:tcPr>
            <w:tcW w:w="10631" w:type="dxa"/>
            <w:tcBorders>
              <w:top w:val="single" w:sz="8" w:space="0" w:color="000000"/>
              <w:left w:val="single" w:sz="4" w:space="0" w:color="auto"/>
              <w:bottom w:val="single" w:sz="8" w:space="0" w:color="000000"/>
              <w:right w:val="single" w:sz="8" w:space="0" w:color="000000"/>
            </w:tcBorders>
            <w:shd w:val="clear" w:color="auto" w:fill="FFFFCC"/>
            <w:tcMar>
              <w:top w:w="0" w:type="dxa"/>
              <w:left w:w="70" w:type="dxa"/>
              <w:bottom w:w="0" w:type="dxa"/>
              <w:right w:w="70" w:type="dxa"/>
            </w:tcMar>
            <w:vAlign w:val="center"/>
            <w:hideMark/>
          </w:tcPr>
          <w:p w:rsidR="002C53BC" w:rsidRDefault="002C53BC" w:rsidP="00EE750E">
            <w:pPr>
              <w:ind w:firstLine="280"/>
              <w:rPr>
                <w:b/>
                <w:color w:val="000000"/>
              </w:rPr>
            </w:pPr>
            <w:r w:rsidRPr="00FF0C54">
              <w:rPr>
                <w:b/>
                <w:color w:val="000000"/>
              </w:rPr>
              <w:t>Poradenské služby</w:t>
            </w:r>
            <w:r>
              <w:rPr>
                <w:b/>
                <w:color w:val="000000"/>
              </w:rPr>
              <w:t xml:space="preserve">: </w:t>
            </w:r>
          </w:p>
          <w:p w:rsidR="002C53BC" w:rsidRDefault="002C53BC" w:rsidP="00EE750E">
            <w:pPr>
              <w:rPr>
                <w:color w:val="000000"/>
              </w:rPr>
            </w:pPr>
            <w:r w:rsidRPr="0007784F">
              <w:rPr>
                <w:color w:val="000000"/>
              </w:rPr>
              <w:t>Podpora využívania poradenských služieb</w:t>
            </w:r>
            <w:r>
              <w:rPr>
                <w:color w:val="000000"/>
              </w:rPr>
              <w:t xml:space="preserve">; </w:t>
            </w:r>
          </w:p>
          <w:p w:rsidR="002C53BC" w:rsidRPr="0007784F" w:rsidRDefault="002C53BC" w:rsidP="00EE750E">
            <w:pPr>
              <w:rPr>
                <w:b/>
                <w:color w:val="000000"/>
              </w:rPr>
            </w:pPr>
            <w:r>
              <w:rPr>
                <w:color w:val="000000"/>
              </w:rPr>
              <w:t>Podpora vzdelávania poradcov.</w:t>
            </w:r>
          </w:p>
          <w:p w:rsidR="002C53BC" w:rsidRPr="007B4199" w:rsidRDefault="002C53BC" w:rsidP="00EE750E">
            <w:pPr>
              <w:rPr>
                <w:color w:val="1F497D"/>
              </w:rPr>
            </w:pPr>
            <w:r w:rsidRPr="00644661">
              <w:rPr>
                <w:b/>
                <w:bCs/>
                <w:color w:val="000080"/>
              </w:rPr>
              <w:t>Z toho BA:</w:t>
            </w:r>
            <w:r>
              <w:rPr>
                <w:b/>
                <w:bCs/>
                <w:color w:val="000080"/>
              </w:rPr>
              <w:t xml:space="preserve"> 62 565€ </w:t>
            </w:r>
          </w:p>
        </w:tc>
        <w:tc>
          <w:tcPr>
            <w:tcW w:w="2030" w:type="dxa"/>
            <w:tcBorders>
              <w:top w:val="single" w:sz="8" w:space="0" w:color="000000"/>
              <w:left w:val="nil"/>
              <w:bottom w:val="single" w:sz="8" w:space="0" w:color="000000"/>
              <w:right w:val="single" w:sz="8" w:space="0" w:color="000000"/>
            </w:tcBorders>
            <w:shd w:val="clear" w:color="auto" w:fill="FFFFCC"/>
            <w:tcMar>
              <w:top w:w="0" w:type="dxa"/>
              <w:left w:w="70" w:type="dxa"/>
              <w:bottom w:w="0" w:type="dxa"/>
              <w:right w:w="70" w:type="dxa"/>
            </w:tcMar>
            <w:vAlign w:val="center"/>
            <w:hideMark/>
          </w:tcPr>
          <w:p w:rsidR="002C53BC" w:rsidRPr="007B4199" w:rsidRDefault="002C53BC" w:rsidP="00EE750E">
            <w:pPr>
              <w:ind w:firstLine="280"/>
              <w:jc w:val="right"/>
              <w:rPr>
                <w:color w:val="000000"/>
              </w:rPr>
            </w:pPr>
            <w:r>
              <w:rPr>
                <w:color w:val="000000"/>
              </w:rPr>
              <w:t xml:space="preserve">2 910 000,00 </w:t>
            </w:r>
          </w:p>
        </w:tc>
      </w:tr>
      <w:tr w:rsidR="002C53BC" w:rsidRPr="007B4199" w:rsidTr="00E84986">
        <w:trPr>
          <w:trHeight w:val="390"/>
        </w:trPr>
        <w:tc>
          <w:tcPr>
            <w:tcW w:w="797" w:type="dxa"/>
            <w:gridSpan w:val="2"/>
            <w:tcBorders>
              <w:top w:val="single" w:sz="8" w:space="0" w:color="000000"/>
              <w:left w:val="single" w:sz="4" w:space="0" w:color="auto"/>
              <w:bottom w:val="single" w:sz="8" w:space="0" w:color="000000"/>
              <w:right w:val="single" w:sz="8" w:space="0" w:color="000000"/>
            </w:tcBorders>
            <w:shd w:val="clear" w:color="auto" w:fill="FFFFCC"/>
            <w:tcMar>
              <w:top w:w="0" w:type="dxa"/>
              <w:left w:w="70" w:type="dxa"/>
              <w:bottom w:w="0" w:type="dxa"/>
              <w:right w:w="70" w:type="dxa"/>
            </w:tcMar>
            <w:vAlign w:val="center"/>
            <w:hideMark/>
          </w:tcPr>
          <w:p w:rsidR="002C53BC" w:rsidRPr="009431B0" w:rsidRDefault="002C53BC" w:rsidP="00EE750E">
            <w:pPr>
              <w:jc w:val="center"/>
              <w:rPr>
                <w:color w:val="000000"/>
              </w:rPr>
            </w:pPr>
            <w:r>
              <w:rPr>
                <w:color w:val="000000"/>
              </w:rPr>
              <w:t>17</w:t>
            </w:r>
            <w:r w:rsidRPr="009431B0">
              <w:rPr>
                <w:color w:val="000000"/>
              </w:rPr>
              <w:t>a</w:t>
            </w:r>
          </w:p>
        </w:tc>
        <w:tc>
          <w:tcPr>
            <w:tcW w:w="709" w:type="dxa"/>
            <w:tcBorders>
              <w:top w:val="single" w:sz="8" w:space="0" w:color="000000"/>
              <w:left w:val="nil"/>
              <w:bottom w:val="single" w:sz="8" w:space="0" w:color="000000"/>
              <w:right w:val="single" w:sz="4" w:space="0" w:color="auto"/>
            </w:tcBorders>
            <w:shd w:val="clear" w:color="auto" w:fill="FFFFCC"/>
          </w:tcPr>
          <w:p w:rsidR="002C53BC" w:rsidRDefault="002C53BC" w:rsidP="00F51A18">
            <w:pPr>
              <w:ind w:firstLine="142"/>
              <w:rPr>
                <w:color w:val="000000"/>
              </w:rPr>
            </w:pPr>
          </w:p>
          <w:p w:rsidR="002C53BC" w:rsidRDefault="002C53BC" w:rsidP="00F51A18">
            <w:pPr>
              <w:ind w:firstLine="142"/>
              <w:rPr>
                <w:color w:val="000000"/>
              </w:rPr>
            </w:pPr>
            <w:r>
              <w:rPr>
                <w:color w:val="000000"/>
              </w:rPr>
              <w:t>4.1</w:t>
            </w:r>
          </w:p>
          <w:p w:rsidR="002C53BC" w:rsidRPr="009431B0" w:rsidRDefault="002C53BC" w:rsidP="00F51A18">
            <w:pPr>
              <w:ind w:firstLine="142"/>
              <w:rPr>
                <w:color w:val="000000"/>
              </w:rPr>
            </w:pPr>
            <w:r>
              <w:rPr>
                <w:color w:val="000000"/>
              </w:rPr>
              <w:t>4.2</w:t>
            </w:r>
          </w:p>
        </w:tc>
        <w:tc>
          <w:tcPr>
            <w:tcW w:w="10631" w:type="dxa"/>
            <w:tcBorders>
              <w:top w:val="single" w:sz="8" w:space="0" w:color="000000"/>
              <w:left w:val="single" w:sz="4" w:space="0" w:color="auto"/>
              <w:bottom w:val="single" w:sz="8" w:space="0" w:color="000000"/>
              <w:right w:val="single" w:sz="8" w:space="0" w:color="000000"/>
            </w:tcBorders>
            <w:shd w:val="clear" w:color="auto" w:fill="FFFFCC"/>
            <w:tcMar>
              <w:top w:w="0" w:type="dxa"/>
              <w:left w:w="70" w:type="dxa"/>
              <w:bottom w:w="0" w:type="dxa"/>
              <w:right w:w="70" w:type="dxa"/>
            </w:tcMar>
            <w:vAlign w:val="center"/>
            <w:hideMark/>
          </w:tcPr>
          <w:p w:rsidR="002C53BC" w:rsidRDefault="002C53BC" w:rsidP="00A55745">
            <w:pPr>
              <w:ind w:firstLine="280"/>
              <w:jc w:val="left"/>
              <w:rPr>
                <w:color w:val="000000"/>
              </w:rPr>
            </w:pPr>
            <w:r w:rsidRPr="00FF0C54">
              <w:rPr>
                <w:b/>
                <w:color w:val="000000"/>
              </w:rPr>
              <w:t>Investície do hmotného majetku</w:t>
            </w:r>
            <w:r>
              <w:rPr>
                <w:b/>
                <w:color w:val="000000"/>
              </w:rPr>
              <w:t>:</w:t>
            </w:r>
            <w:r w:rsidRPr="00FF0C54">
              <w:rPr>
                <w:color w:val="000000"/>
              </w:rPr>
              <w:t xml:space="preserve"> </w:t>
            </w:r>
          </w:p>
          <w:p w:rsidR="002C53BC" w:rsidRDefault="002C53BC" w:rsidP="00A55745">
            <w:pPr>
              <w:jc w:val="left"/>
              <w:rPr>
                <w:color w:val="000000"/>
              </w:rPr>
            </w:pPr>
            <w:r w:rsidRPr="00FF0C54">
              <w:rPr>
                <w:color w:val="000000"/>
              </w:rPr>
              <w:t>Podpora investícií do poľn</w:t>
            </w:r>
            <w:r w:rsidR="00E84986">
              <w:rPr>
                <w:color w:val="000000"/>
              </w:rPr>
              <w:t>.</w:t>
            </w:r>
            <w:r w:rsidRPr="00FF0C54">
              <w:rPr>
                <w:color w:val="000000"/>
              </w:rPr>
              <w:t xml:space="preserve"> podnikov</w:t>
            </w:r>
            <w:r>
              <w:rPr>
                <w:color w:val="000000"/>
              </w:rPr>
              <w:t xml:space="preserve"> (Zvýšenie konkurencie schopnosti poľnohospodárskych podnikov); </w:t>
            </w:r>
          </w:p>
          <w:p w:rsidR="002C53BC" w:rsidRPr="009431B0" w:rsidRDefault="002C53BC" w:rsidP="00A55745">
            <w:pPr>
              <w:jc w:val="left"/>
              <w:rPr>
                <w:color w:val="000000"/>
              </w:rPr>
            </w:pPr>
            <w:r w:rsidRPr="00FF0C54">
              <w:rPr>
                <w:color w:val="000000"/>
              </w:rPr>
              <w:t>Podpora investícií do poľn</w:t>
            </w:r>
            <w:r w:rsidR="00E84986">
              <w:rPr>
                <w:color w:val="000000"/>
              </w:rPr>
              <w:t>.</w:t>
            </w:r>
            <w:r w:rsidRPr="00FF0C54">
              <w:rPr>
                <w:color w:val="000000"/>
              </w:rPr>
              <w:t xml:space="preserve"> podnikov</w:t>
            </w:r>
            <w:r>
              <w:rPr>
                <w:color w:val="000000"/>
              </w:rPr>
              <w:t xml:space="preserve"> (Zefektívnenie využívania vody; Spracovania a využívani</w:t>
            </w:r>
            <w:r w:rsidR="0005560D">
              <w:rPr>
                <w:color w:val="000000"/>
              </w:rPr>
              <w:t xml:space="preserve">e </w:t>
            </w:r>
            <w:r w:rsidR="00E84986">
              <w:rPr>
                <w:color w:val="000000"/>
              </w:rPr>
              <w:t>OZE</w:t>
            </w:r>
            <w:r>
              <w:rPr>
                <w:color w:val="000000"/>
              </w:rPr>
              <w:t>).</w:t>
            </w:r>
          </w:p>
          <w:p w:rsidR="002C53BC" w:rsidRPr="009431B0" w:rsidRDefault="002C53BC" w:rsidP="00A55745">
            <w:pPr>
              <w:jc w:val="left"/>
              <w:rPr>
                <w:color w:val="1F497D"/>
              </w:rPr>
            </w:pPr>
            <w:r w:rsidRPr="009431B0">
              <w:rPr>
                <w:b/>
                <w:bCs/>
                <w:color w:val="000080"/>
              </w:rPr>
              <w:t xml:space="preserve">Z toho BA: </w:t>
            </w:r>
            <w:r>
              <w:rPr>
                <w:b/>
                <w:bCs/>
                <w:color w:val="000080"/>
              </w:rPr>
              <w:t>7 602 000</w:t>
            </w:r>
            <w:r w:rsidRPr="009431B0">
              <w:rPr>
                <w:b/>
                <w:bCs/>
                <w:color w:val="000080"/>
              </w:rPr>
              <w:t>€</w:t>
            </w:r>
            <w:r>
              <w:rPr>
                <w:b/>
                <w:bCs/>
                <w:color w:val="000080"/>
              </w:rPr>
              <w:t xml:space="preserve"> </w:t>
            </w:r>
          </w:p>
        </w:tc>
        <w:tc>
          <w:tcPr>
            <w:tcW w:w="2030" w:type="dxa"/>
            <w:tcBorders>
              <w:top w:val="single" w:sz="8" w:space="0" w:color="000000"/>
              <w:left w:val="nil"/>
              <w:bottom w:val="single" w:sz="8" w:space="0" w:color="000000"/>
              <w:right w:val="single" w:sz="8" w:space="0" w:color="000000"/>
            </w:tcBorders>
            <w:shd w:val="clear" w:color="auto" w:fill="FFFFCC"/>
            <w:tcMar>
              <w:top w:w="0" w:type="dxa"/>
              <w:left w:w="70" w:type="dxa"/>
              <w:bottom w:w="0" w:type="dxa"/>
              <w:right w:w="70" w:type="dxa"/>
            </w:tcMar>
            <w:vAlign w:val="center"/>
            <w:hideMark/>
          </w:tcPr>
          <w:p w:rsidR="002C53BC" w:rsidRPr="009431B0" w:rsidRDefault="002C53BC" w:rsidP="00EE750E">
            <w:pPr>
              <w:ind w:firstLine="280"/>
              <w:jc w:val="right"/>
              <w:rPr>
                <w:color w:val="000000"/>
              </w:rPr>
            </w:pPr>
            <w:r>
              <w:rPr>
                <w:color w:val="000000"/>
              </w:rPr>
              <w:t xml:space="preserve">210 000 000,00 </w:t>
            </w:r>
          </w:p>
        </w:tc>
      </w:tr>
      <w:tr w:rsidR="002C53BC" w:rsidRPr="007B4199" w:rsidTr="00E84986">
        <w:trPr>
          <w:trHeight w:val="390"/>
        </w:trPr>
        <w:tc>
          <w:tcPr>
            <w:tcW w:w="797" w:type="dxa"/>
            <w:gridSpan w:val="2"/>
            <w:tcBorders>
              <w:top w:val="single" w:sz="8" w:space="0" w:color="000000"/>
              <w:left w:val="single" w:sz="4" w:space="0" w:color="auto"/>
              <w:bottom w:val="single" w:sz="8" w:space="0" w:color="000000"/>
              <w:right w:val="single" w:sz="8" w:space="0" w:color="000000"/>
            </w:tcBorders>
            <w:shd w:val="clear" w:color="auto" w:fill="FFFFCC"/>
            <w:tcMar>
              <w:top w:w="0" w:type="dxa"/>
              <w:left w:w="70" w:type="dxa"/>
              <w:bottom w:w="0" w:type="dxa"/>
              <w:right w:w="70" w:type="dxa"/>
            </w:tcMar>
            <w:vAlign w:val="center"/>
            <w:hideMark/>
          </w:tcPr>
          <w:p w:rsidR="002C53BC" w:rsidRPr="009431B0" w:rsidRDefault="002C53BC" w:rsidP="00EE750E">
            <w:pPr>
              <w:jc w:val="center"/>
              <w:rPr>
                <w:color w:val="000000"/>
              </w:rPr>
            </w:pPr>
            <w:r w:rsidRPr="009431B0">
              <w:rPr>
                <w:color w:val="000000"/>
              </w:rPr>
              <w:t>1</w:t>
            </w:r>
            <w:r>
              <w:rPr>
                <w:color w:val="000000"/>
              </w:rPr>
              <w:t>7</w:t>
            </w:r>
            <w:r w:rsidRPr="009431B0">
              <w:rPr>
                <w:color w:val="000000"/>
              </w:rPr>
              <w:t>b</w:t>
            </w:r>
          </w:p>
        </w:tc>
        <w:tc>
          <w:tcPr>
            <w:tcW w:w="709" w:type="dxa"/>
            <w:tcBorders>
              <w:top w:val="single" w:sz="8" w:space="0" w:color="000000"/>
              <w:left w:val="nil"/>
              <w:bottom w:val="single" w:sz="8" w:space="0" w:color="000000"/>
              <w:right w:val="single" w:sz="4" w:space="0" w:color="auto"/>
            </w:tcBorders>
            <w:shd w:val="clear" w:color="auto" w:fill="FFFFCC"/>
          </w:tcPr>
          <w:p w:rsidR="002C53BC" w:rsidRDefault="002C53BC" w:rsidP="00F51A18">
            <w:pPr>
              <w:ind w:firstLine="142"/>
              <w:rPr>
                <w:color w:val="000000"/>
              </w:rPr>
            </w:pPr>
          </w:p>
          <w:p w:rsidR="002C53BC" w:rsidRPr="009431B0" w:rsidRDefault="002C53BC" w:rsidP="00F51A18">
            <w:pPr>
              <w:ind w:firstLine="142"/>
              <w:rPr>
                <w:color w:val="000000"/>
              </w:rPr>
            </w:pPr>
            <w:r>
              <w:rPr>
                <w:color w:val="000000"/>
              </w:rPr>
              <w:t>4.2.</w:t>
            </w:r>
          </w:p>
        </w:tc>
        <w:tc>
          <w:tcPr>
            <w:tcW w:w="10631" w:type="dxa"/>
            <w:tcBorders>
              <w:top w:val="single" w:sz="8" w:space="0" w:color="000000"/>
              <w:left w:val="single" w:sz="4" w:space="0" w:color="auto"/>
              <w:bottom w:val="single" w:sz="8" w:space="0" w:color="000000"/>
              <w:right w:val="single" w:sz="8" w:space="0" w:color="000000"/>
            </w:tcBorders>
            <w:shd w:val="clear" w:color="auto" w:fill="FFFFCC"/>
            <w:tcMar>
              <w:top w:w="0" w:type="dxa"/>
              <w:left w:w="70" w:type="dxa"/>
              <w:bottom w:w="0" w:type="dxa"/>
              <w:right w:w="70" w:type="dxa"/>
            </w:tcMar>
            <w:vAlign w:val="center"/>
            <w:hideMark/>
          </w:tcPr>
          <w:p w:rsidR="002C53BC" w:rsidRDefault="002C53BC" w:rsidP="00A55745">
            <w:pPr>
              <w:ind w:firstLine="280"/>
              <w:jc w:val="left"/>
              <w:rPr>
                <w:color w:val="000000"/>
              </w:rPr>
            </w:pPr>
            <w:r w:rsidRPr="00FF0C54">
              <w:rPr>
                <w:b/>
                <w:color w:val="000000"/>
              </w:rPr>
              <w:t>Investície do hmotného majetku</w:t>
            </w:r>
            <w:r>
              <w:rPr>
                <w:b/>
                <w:color w:val="000000"/>
              </w:rPr>
              <w:t>:</w:t>
            </w:r>
            <w:r w:rsidRPr="009431B0">
              <w:rPr>
                <w:color w:val="000000"/>
              </w:rPr>
              <w:t xml:space="preserve"> </w:t>
            </w:r>
          </w:p>
          <w:p w:rsidR="002C53BC" w:rsidRPr="009431B0" w:rsidRDefault="002C53BC" w:rsidP="00A55745">
            <w:pPr>
              <w:jc w:val="left"/>
              <w:rPr>
                <w:color w:val="000000"/>
              </w:rPr>
            </w:pPr>
            <w:r>
              <w:rPr>
                <w:color w:val="000000"/>
              </w:rPr>
              <w:t>Podpora investícií do spracovania/uvádzania na trh a/alebo vývoja poľnohospodárskych produktov (Technológie prispievajúce k úsporám konečnej energetickej spotreby; Podpora potravinového reťazca).</w:t>
            </w:r>
          </w:p>
          <w:p w:rsidR="002C53BC" w:rsidRPr="009431B0" w:rsidRDefault="002C53BC" w:rsidP="00A55745">
            <w:pPr>
              <w:jc w:val="left"/>
              <w:rPr>
                <w:color w:val="1F497D"/>
              </w:rPr>
            </w:pPr>
            <w:r w:rsidRPr="009431B0">
              <w:rPr>
                <w:b/>
                <w:bCs/>
                <w:color w:val="000080"/>
              </w:rPr>
              <w:t xml:space="preserve">Z toho BA: </w:t>
            </w:r>
            <w:r>
              <w:rPr>
                <w:b/>
                <w:bCs/>
                <w:color w:val="000080"/>
              </w:rPr>
              <w:t>7 840 000</w:t>
            </w:r>
            <w:r w:rsidRPr="009431B0">
              <w:rPr>
                <w:b/>
                <w:bCs/>
                <w:color w:val="000080"/>
              </w:rPr>
              <w:t>€</w:t>
            </w:r>
            <w:r>
              <w:rPr>
                <w:b/>
                <w:bCs/>
                <w:color w:val="000080"/>
              </w:rPr>
              <w:t xml:space="preserve"> </w:t>
            </w:r>
          </w:p>
        </w:tc>
        <w:tc>
          <w:tcPr>
            <w:tcW w:w="2030" w:type="dxa"/>
            <w:tcBorders>
              <w:top w:val="single" w:sz="8" w:space="0" w:color="000000"/>
              <w:left w:val="nil"/>
              <w:bottom w:val="single" w:sz="8" w:space="0" w:color="000000"/>
              <w:right w:val="single" w:sz="8" w:space="0" w:color="000000"/>
            </w:tcBorders>
            <w:shd w:val="clear" w:color="auto" w:fill="FFFFCC"/>
            <w:tcMar>
              <w:top w:w="0" w:type="dxa"/>
              <w:left w:w="70" w:type="dxa"/>
              <w:bottom w:w="0" w:type="dxa"/>
              <w:right w:w="70" w:type="dxa"/>
            </w:tcMar>
            <w:vAlign w:val="center"/>
            <w:hideMark/>
          </w:tcPr>
          <w:p w:rsidR="002C53BC" w:rsidRPr="009431B0" w:rsidRDefault="002C53BC" w:rsidP="00EE750E">
            <w:pPr>
              <w:ind w:firstLine="280"/>
              <w:jc w:val="right"/>
              <w:rPr>
                <w:color w:val="000000"/>
              </w:rPr>
            </w:pPr>
            <w:r>
              <w:rPr>
                <w:color w:val="000000"/>
              </w:rPr>
              <w:t>200 000 000,00</w:t>
            </w:r>
          </w:p>
        </w:tc>
      </w:tr>
      <w:tr w:rsidR="002C53BC" w:rsidRPr="007B4199" w:rsidTr="00E84986">
        <w:trPr>
          <w:trHeight w:val="390"/>
        </w:trPr>
        <w:tc>
          <w:tcPr>
            <w:tcW w:w="797" w:type="dxa"/>
            <w:gridSpan w:val="2"/>
            <w:tcBorders>
              <w:top w:val="single" w:sz="8" w:space="0" w:color="000000"/>
              <w:left w:val="single" w:sz="4" w:space="0" w:color="auto"/>
              <w:bottom w:val="single" w:sz="8" w:space="0" w:color="000000"/>
              <w:right w:val="single" w:sz="8" w:space="0" w:color="000000"/>
            </w:tcBorders>
            <w:shd w:val="clear" w:color="auto" w:fill="FFFFCC"/>
            <w:tcMar>
              <w:top w:w="0" w:type="dxa"/>
              <w:left w:w="70" w:type="dxa"/>
              <w:bottom w:w="0" w:type="dxa"/>
              <w:right w:w="70" w:type="dxa"/>
            </w:tcMar>
            <w:vAlign w:val="center"/>
            <w:hideMark/>
          </w:tcPr>
          <w:p w:rsidR="002C53BC" w:rsidRPr="009431B0" w:rsidRDefault="002C53BC" w:rsidP="00EE750E">
            <w:pPr>
              <w:jc w:val="center"/>
              <w:rPr>
                <w:color w:val="000000"/>
              </w:rPr>
            </w:pPr>
            <w:r>
              <w:rPr>
                <w:color w:val="000000"/>
              </w:rPr>
              <w:t>17</w:t>
            </w:r>
            <w:r w:rsidRPr="009431B0">
              <w:rPr>
                <w:color w:val="000000"/>
              </w:rPr>
              <w:t>c</w:t>
            </w:r>
            <w:r>
              <w:rPr>
                <w:color w:val="000000"/>
              </w:rPr>
              <w:t xml:space="preserve">1  </w:t>
            </w:r>
          </w:p>
        </w:tc>
        <w:tc>
          <w:tcPr>
            <w:tcW w:w="709" w:type="dxa"/>
            <w:tcBorders>
              <w:top w:val="single" w:sz="8" w:space="0" w:color="000000"/>
              <w:left w:val="nil"/>
              <w:bottom w:val="single" w:sz="8" w:space="0" w:color="000000"/>
              <w:right w:val="single" w:sz="4" w:space="0" w:color="auto"/>
            </w:tcBorders>
            <w:shd w:val="clear" w:color="auto" w:fill="FFFFCC"/>
          </w:tcPr>
          <w:p w:rsidR="002C53BC" w:rsidRDefault="002C53BC" w:rsidP="00F51A18">
            <w:pPr>
              <w:ind w:firstLine="142"/>
              <w:rPr>
                <w:color w:val="000000"/>
              </w:rPr>
            </w:pPr>
          </w:p>
          <w:p w:rsidR="002C53BC" w:rsidRPr="009431B0" w:rsidRDefault="002C53BC" w:rsidP="00F51A18">
            <w:pPr>
              <w:ind w:firstLine="142"/>
              <w:rPr>
                <w:color w:val="000000"/>
              </w:rPr>
            </w:pPr>
            <w:r>
              <w:rPr>
                <w:color w:val="000000"/>
              </w:rPr>
              <w:t>4.3</w:t>
            </w:r>
          </w:p>
        </w:tc>
        <w:tc>
          <w:tcPr>
            <w:tcW w:w="10631" w:type="dxa"/>
            <w:tcBorders>
              <w:top w:val="single" w:sz="8" w:space="0" w:color="000000"/>
              <w:left w:val="single" w:sz="4" w:space="0" w:color="auto"/>
              <w:bottom w:val="single" w:sz="8" w:space="0" w:color="000000"/>
              <w:right w:val="single" w:sz="8" w:space="0" w:color="000000"/>
            </w:tcBorders>
            <w:shd w:val="clear" w:color="auto" w:fill="FFFFCC"/>
            <w:tcMar>
              <w:top w:w="0" w:type="dxa"/>
              <w:left w:w="70" w:type="dxa"/>
              <w:bottom w:w="0" w:type="dxa"/>
              <w:right w:w="70" w:type="dxa"/>
            </w:tcMar>
            <w:vAlign w:val="center"/>
            <w:hideMark/>
          </w:tcPr>
          <w:p w:rsidR="002C53BC" w:rsidRDefault="002C53BC" w:rsidP="00A55745">
            <w:pPr>
              <w:ind w:firstLine="280"/>
              <w:jc w:val="left"/>
              <w:rPr>
                <w:color w:val="000000"/>
              </w:rPr>
            </w:pPr>
            <w:r w:rsidRPr="00FF0C54">
              <w:rPr>
                <w:b/>
                <w:color w:val="000000"/>
              </w:rPr>
              <w:t>Investície do hmotného majetku</w:t>
            </w:r>
            <w:r>
              <w:rPr>
                <w:b/>
                <w:color w:val="000000"/>
              </w:rPr>
              <w:t>:</w:t>
            </w:r>
            <w:r w:rsidRPr="009431B0">
              <w:rPr>
                <w:color w:val="000000"/>
              </w:rPr>
              <w:t xml:space="preserve"> </w:t>
            </w:r>
          </w:p>
          <w:p w:rsidR="002C53BC" w:rsidRPr="009431B0" w:rsidRDefault="002C53BC" w:rsidP="00A55745">
            <w:pPr>
              <w:jc w:val="left"/>
              <w:rPr>
                <w:color w:val="000000"/>
              </w:rPr>
            </w:pPr>
            <w:r>
              <w:rPr>
                <w:color w:val="000000"/>
              </w:rPr>
              <w:t>Podpora investícií do infraštruktúry týkajúcej sa rozvoja, modernizácie alebo adaptácie poľnohospodárstva a lesníctva (Vypracovanie a vykonanie projektov pozemkových úprav a vybudovanie spoločných zariadení a opatrení).</w:t>
            </w:r>
          </w:p>
          <w:p w:rsidR="002C53BC" w:rsidRPr="009431B0" w:rsidRDefault="002C53BC" w:rsidP="00A55745">
            <w:pPr>
              <w:jc w:val="left"/>
              <w:rPr>
                <w:color w:val="1F497D"/>
              </w:rPr>
            </w:pPr>
            <w:r w:rsidRPr="009431B0">
              <w:rPr>
                <w:b/>
                <w:bCs/>
                <w:color w:val="000080"/>
              </w:rPr>
              <w:t>Z toho BA: 0€</w:t>
            </w:r>
          </w:p>
        </w:tc>
        <w:tc>
          <w:tcPr>
            <w:tcW w:w="2030" w:type="dxa"/>
            <w:tcBorders>
              <w:top w:val="single" w:sz="8" w:space="0" w:color="000000"/>
              <w:left w:val="nil"/>
              <w:bottom w:val="single" w:sz="8" w:space="0" w:color="000000"/>
              <w:right w:val="single" w:sz="8" w:space="0" w:color="000000"/>
            </w:tcBorders>
            <w:shd w:val="clear" w:color="auto" w:fill="FFFFCC"/>
            <w:tcMar>
              <w:top w:w="0" w:type="dxa"/>
              <w:left w:w="70" w:type="dxa"/>
              <w:bottom w:w="0" w:type="dxa"/>
              <w:right w:w="70" w:type="dxa"/>
            </w:tcMar>
            <w:vAlign w:val="center"/>
            <w:hideMark/>
          </w:tcPr>
          <w:p w:rsidR="002C53BC" w:rsidRPr="009431B0" w:rsidRDefault="002C53BC" w:rsidP="00EE750E">
            <w:pPr>
              <w:ind w:firstLine="280"/>
              <w:jc w:val="right"/>
              <w:rPr>
                <w:color w:val="000000"/>
              </w:rPr>
            </w:pPr>
            <w:r>
              <w:rPr>
                <w:color w:val="000000"/>
              </w:rPr>
              <w:t xml:space="preserve">85 000 000,00 </w:t>
            </w:r>
          </w:p>
        </w:tc>
      </w:tr>
      <w:tr w:rsidR="002C53BC" w:rsidRPr="007B4199" w:rsidTr="00E84986">
        <w:trPr>
          <w:trHeight w:val="390"/>
        </w:trPr>
        <w:tc>
          <w:tcPr>
            <w:tcW w:w="797" w:type="dxa"/>
            <w:gridSpan w:val="2"/>
            <w:tcBorders>
              <w:top w:val="single" w:sz="8" w:space="0" w:color="000000"/>
              <w:left w:val="single" w:sz="4" w:space="0" w:color="auto"/>
              <w:bottom w:val="single" w:sz="8" w:space="0" w:color="000000"/>
              <w:right w:val="single" w:sz="8" w:space="0" w:color="000000"/>
            </w:tcBorders>
            <w:shd w:val="clear" w:color="auto" w:fill="FFFFCC"/>
            <w:tcMar>
              <w:top w:w="0" w:type="dxa"/>
              <w:left w:w="70" w:type="dxa"/>
              <w:bottom w:w="0" w:type="dxa"/>
              <w:right w:w="70" w:type="dxa"/>
            </w:tcMar>
            <w:vAlign w:val="center"/>
            <w:hideMark/>
          </w:tcPr>
          <w:p w:rsidR="002C53BC" w:rsidRPr="009431B0" w:rsidRDefault="002C53BC" w:rsidP="00EE750E">
            <w:pPr>
              <w:jc w:val="center"/>
              <w:rPr>
                <w:color w:val="000000"/>
              </w:rPr>
            </w:pPr>
            <w:r>
              <w:rPr>
                <w:color w:val="000000"/>
              </w:rPr>
              <w:t>17</w:t>
            </w:r>
            <w:r w:rsidRPr="009431B0">
              <w:rPr>
                <w:color w:val="000000"/>
              </w:rPr>
              <w:t>c</w:t>
            </w:r>
            <w:r>
              <w:rPr>
                <w:color w:val="000000"/>
              </w:rPr>
              <w:t xml:space="preserve">2  </w:t>
            </w:r>
          </w:p>
        </w:tc>
        <w:tc>
          <w:tcPr>
            <w:tcW w:w="709" w:type="dxa"/>
            <w:tcBorders>
              <w:top w:val="single" w:sz="8" w:space="0" w:color="000000"/>
              <w:left w:val="nil"/>
              <w:bottom w:val="single" w:sz="8" w:space="0" w:color="000000"/>
              <w:right w:val="single" w:sz="4" w:space="0" w:color="auto"/>
            </w:tcBorders>
            <w:shd w:val="clear" w:color="auto" w:fill="FFFFCC"/>
          </w:tcPr>
          <w:p w:rsidR="002C53BC" w:rsidRDefault="002C53BC" w:rsidP="00F51A18">
            <w:pPr>
              <w:ind w:firstLine="142"/>
              <w:rPr>
                <w:color w:val="000000"/>
              </w:rPr>
            </w:pPr>
          </w:p>
          <w:p w:rsidR="002C53BC" w:rsidRPr="009431B0" w:rsidRDefault="002C53BC" w:rsidP="00F51A18">
            <w:pPr>
              <w:ind w:firstLine="142"/>
              <w:rPr>
                <w:color w:val="000000"/>
              </w:rPr>
            </w:pPr>
            <w:r>
              <w:rPr>
                <w:color w:val="000000"/>
              </w:rPr>
              <w:t>4.3</w:t>
            </w:r>
          </w:p>
        </w:tc>
        <w:tc>
          <w:tcPr>
            <w:tcW w:w="10631" w:type="dxa"/>
            <w:tcBorders>
              <w:top w:val="single" w:sz="8" w:space="0" w:color="000000"/>
              <w:left w:val="single" w:sz="4" w:space="0" w:color="auto"/>
              <w:bottom w:val="single" w:sz="8" w:space="0" w:color="000000"/>
              <w:right w:val="single" w:sz="8" w:space="0" w:color="000000"/>
            </w:tcBorders>
            <w:shd w:val="clear" w:color="auto" w:fill="FFFFCC"/>
            <w:tcMar>
              <w:top w:w="0" w:type="dxa"/>
              <w:left w:w="70" w:type="dxa"/>
              <w:bottom w:w="0" w:type="dxa"/>
              <w:right w:w="70" w:type="dxa"/>
            </w:tcMar>
            <w:vAlign w:val="center"/>
            <w:hideMark/>
          </w:tcPr>
          <w:p w:rsidR="002C53BC" w:rsidRDefault="002C53BC" w:rsidP="00A55745">
            <w:pPr>
              <w:ind w:firstLine="280"/>
              <w:jc w:val="left"/>
              <w:rPr>
                <w:color w:val="000000"/>
              </w:rPr>
            </w:pPr>
            <w:r w:rsidRPr="00FF0C54">
              <w:rPr>
                <w:b/>
                <w:color w:val="000000"/>
              </w:rPr>
              <w:t>Investície do hmotného majetku</w:t>
            </w:r>
            <w:r>
              <w:rPr>
                <w:b/>
                <w:color w:val="000000"/>
              </w:rPr>
              <w:t>:</w:t>
            </w:r>
            <w:r w:rsidRPr="009431B0">
              <w:rPr>
                <w:color w:val="000000"/>
              </w:rPr>
              <w:t xml:space="preserve"> </w:t>
            </w:r>
          </w:p>
          <w:p w:rsidR="002C53BC" w:rsidRPr="009431B0" w:rsidRDefault="002C53BC" w:rsidP="00A55745">
            <w:pPr>
              <w:jc w:val="left"/>
              <w:rPr>
                <w:color w:val="000000"/>
              </w:rPr>
            </w:pPr>
            <w:r>
              <w:rPr>
                <w:color w:val="000000"/>
              </w:rPr>
              <w:t>Podpora investícií do infraštruktúry týkajúcej sa rozvoja, modernizácie alebo adaptácie poľnohospodárstva a lesníctva  (Investície týkajúce sa infraštruktúry a prístupu k lesnej pôde).</w:t>
            </w:r>
          </w:p>
          <w:p w:rsidR="002C53BC" w:rsidRPr="009431B0" w:rsidRDefault="002C53BC" w:rsidP="00A55745">
            <w:pPr>
              <w:jc w:val="left"/>
              <w:rPr>
                <w:color w:val="1F497D"/>
              </w:rPr>
            </w:pPr>
            <w:r w:rsidRPr="009431B0">
              <w:rPr>
                <w:b/>
                <w:bCs/>
                <w:color w:val="000080"/>
              </w:rPr>
              <w:t xml:space="preserve">Z toho BA: </w:t>
            </w:r>
            <w:r>
              <w:rPr>
                <w:b/>
                <w:bCs/>
                <w:color w:val="000080"/>
              </w:rPr>
              <w:t>501 000</w:t>
            </w:r>
            <w:r w:rsidRPr="009431B0">
              <w:rPr>
                <w:b/>
                <w:bCs/>
                <w:color w:val="000080"/>
              </w:rPr>
              <w:t>€</w:t>
            </w:r>
            <w:r>
              <w:rPr>
                <w:b/>
                <w:bCs/>
                <w:color w:val="000080"/>
              </w:rPr>
              <w:t xml:space="preserve"> </w:t>
            </w:r>
          </w:p>
        </w:tc>
        <w:tc>
          <w:tcPr>
            <w:tcW w:w="2030" w:type="dxa"/>
            <w:tcBorders>
              <w:top w:val="single" w:sz="8" w:space="0" w:color="000000"/>
              <w:left w:val="nil"/>
              <w:bottom w:val="single" w:sz="8" w:space="0" w:color="000000"/>
              <w:right w:val="single" w:sz="8" w:space="0" w:color="000000"/>
            </w:tcBorders>
            <w:shd w:val="clear" w:color="auto" w:fill="FFFFCC"/>
            <w:tcMar>
              <w:top w:w="0" w:type="dxa"/>
              <w:left w:w="70" w:type="dxa"/>
              <w:bottom w:w="0" w:type="dxa"/>
              <w:right w:w="70" w:type="dxa"/>
            </w:tcMar>
            <w:vAlign w:val="center"/>
            <w:hideMark/>
          </w:tcPr>
          <w:p w:rsidR="002C53BC" w:rsidRPr="009431B0" w:rsidRDefault="002C53BC" w:rsidP="00EE750E">
            <w:pPr>
              <w:ind w:firstLine="280"/>
              <w:jc w:val="right"/>
              <w:rPr>
                <w:color w:val="000000"/>
              </w:rPr>
            </w:pPr>
            <w:r>
              <w:rPr>
                <w:color w:val="000000"/>
              </w:rPr>
              <w:t xml:space="preserve">30 000 000,00 </w:t>
            </w:r>
          </w:p>
        </w:tc>
      </w:tr>
      <w:tr w:rsidR="002C53BC" w:rsidRPr="007B4199" w:rsidTr="00E84986">
        <w:trPr>
          <w:trHeight w:val="390"/>
        </w:trPr>
        <w:tc>
          <w:tcPr>
            <w:tcW w:w="797" w:type="dxa"/>
            <w:gridSpan w:val="2"/>
            <w:tcBorders>
              <w:top w:val="single" w:sz="8" w:space="0" w:color="000000"/>
              <w:left w:val="single" w:sz="4" w:space="0" w:color="auto"/>
              <w:bottom w:val="single" w:sz="8" w:space="0" w:color="000000"/>
              <w:right w:val="single" w:sz="8" w:space="0" w:color="000000"/>
            </w:tcBorders>
            <w:shd w:val="clear" w:color="auto" w:fill="FFFFCC"/>
            <w:tcMar>
              <w:top w:w="0" w:type="dxa"/>
              <w:left w:w="70" w:type="dxa"/>
              <w:bottom w:w="0" w:type="dxa"/>
              <w:right w:w="70" w:type="dxa"/>
            </w:tcMar>
            <w:vAlign w:val="center"/>
          </w:tcPr>
          <w:p w:rsidR="002C53BC" w:rsidRPr="009431B0" w:rsidRDefault="002C53BC" w:rsidP="00EE750E">
            <w:pPr>
              <w:jc w:val="center"/>
              <w:rPr>
                <w:color w:val="000000"/>
              </w:rPr>
            </w:pPr>
            <w:r>
              <w:rPr>
                <w:color w:val="000000"/>
              </w:rPr>
              <w:t>17</w:t>
            </w:r>
            <w:r w:rsidRPr="009431B0">
              <w:rPr>
                <w:color w:val="000000"/>
              </w:rPr>
              <w:t>d</w:t>
            </w:r>
          </w:p>
        </w:tc>
        <w:tc>
          <w:tcPr>
            <w:tcW w:w="709" w:type="dxa"/>
            <w:tcBorders>
              <w:top w:val="single" w:sz="8" w:space="0" w:color="000000"/>
              <w:left w:val="nil"/>
              <w:bottom w:val="single" w:sz="8" w:space="0" w:color="000000"/>
              <w:right w:val="single" w:sz="4" w:space="0" w:color="auto"/>
            </w:tcBorders>
            <w:shd w:val="clear" w:color="auto" w:fill="FFFFCC"/>
            <w:vAlign w:val="center"/>
          </w:tcPr>
          <w:p w:rsidR="002C53BC" w:rsidRDefault="002C53BC" w:rsidP="00F51A18">
            <w:pPr>
              <w:ind w:firstLine="142"/>
              <w:rPr>
                <w:color w:val="000000"/>
              </w:rPr>
            </w:pPr>
          </w:p>
          <w:p w:rsidR="002C53BC" w:rsidRPr="009431B0" w:rsidRDefault="002C53BC" w:rsidP="00F51A18">
            <w:pPr>
              <w:ind w:firstLine="142"/>
              <w:rPr>
                <w:color w:val="000000"/>
              </w:rPr>
            </w:pPr>
            <w:r>
              <w:rPr>
                <w:color w:val="000000"/>
              </w:rPr>
              <w:t>4.4</w:t>
            </w:r>
          </w:p>
        </w:tc>
        <w:tc>
          <w:tcPr>
            <w:tcW w:w="10631" w:type="dxa"/>
            <w:tcBorders>
              <w:top w:val="single" w:sz="8" w:space="0" w:color="000000"/>
              <w:left w:val="single" w:sz="4" w:space="0" w:color="auto"/>
              <w:bottom w:val="single" w:sz="8" w:space="0" w:color="000000"/>
              <w:right w:val="single" w:sz="8" w:space="0" w:color="000000"/>
            </w:tcBorders>
            <w:shd w:val="clear" w:color="auto" w:fill="FFFFCC"/>
            <w:tcMar>
              <w:top w:w="0" w:type="dxa"/>
              <w:left w:w="70" w:type="dxa"/>
              <w:bottom w:w="0" w:type="dxa"/>
              <w:right w:w="70" w:type="dxa"/>
            </w:tcMar>
            <w:vAlign w:val="center"/>
          </w:tcPr>
          <w:p w:rsidR="002C53BC" w:rsidRDefault="002C53BC" w:rsidP="00A55745">
            <w:pPr>
              <w:jc w:val="left"/>
              <w:rPr>
                <w:color w:val="000000"/>
              </w:rPr>
            </w:pPr>
            <w:r w:rsidRPr="00FF0C54">
              <w:rPr>
                <w:b/>
                <w:color w:val="000000"/>
              </w:rPr>
              <w:t>Investície do hmotného majetku</w:t>
            </w:r>
            <w:r>
              <w:rPr>
                <w:b/>
                <w:color w:val="000000"/>
              </w:rPr>
              <w:t>:</w:t>
            </w:r>
            <w:r w:rsidRPr="009431B0">
              <w:rPr>
                <w:color w:val="000000"/>
              </w:rPr>
              <w:t xml:space="preserve"> </w:t>
            </w:r>
          </w:p>
          <w:p w:rsidR="002C53BC" w:rsidRDefault="002C53BC" w:rsidP="00A55745">
            <w:pPr>
              <w:jc w:val="left"/>
              <w:rPr>
                <w:color w:val="000000"/>
              </w:rPr>
            </w:pPr>
            <w:r>
              <w:rPr>
                <w:color w:val="000000"/>
              </w:rPr>
              <w:t xml:space="preserve">Podpora </w:t>
            </w:r>
            <w:r w:rsidRPr="009431B0">
              <w:rPr>
                <w:color w:val="000000"/>
              </w:rPr>
              <w:t>neproduktív</w:t>
            </w:r>
            <w:r>
              <w:rPr>
                <w:color w:val="000000"/>
              </w:rPr>
              <w:t>nych investícií</w:t>
            </w:r>
            <w:r w:rsidRPr="009431B0">
              <w:rPr>
                <w:color w:val="000000"/>
              </w:rPr>
              <w:t xml:space="preserve"> </w:t>
            </w:r>
            <w:r>
              <w:rPr>
                <w:color w:val="000000"/>
              </w:rPr>
              <w:t xml:space="preserve"> spojených s plnením agro-environmentálnych cieľov súvisiacich s klímou.</w:t>
            </w:r>
          </w:p>
          <w:p w:rsidR="002C53BC" w:rsidRPr="009431B0" w:rsidRDefault="002C53BC" w:rsidP="00A55745">
            <w:pPr>
              <w:jc w:val="left"/>
              <w:rPr>
                <w:color w:val="000000"/>
              </w:rPr>
            </w:pPr>
            <w:r w:rsidRPr="009431B0">
              <w:rPr>
                <w:b/>
                <w:bCs/>
                <w:color w:val="000080"/>
              </w:rPr>
              <w:t xml:space="preserve">Z toho BA: </w:t>
            </w:r>
            <w:r>
              <w:rPr>
                <w:b/>
                <w:bCs/>
                <w:color w:val="000080"/>
              </w:rPr>
              <w:t>732 000</w:t>
            </w:r>
            <w:r w:rsidRPr="009431B0">
              <w:rPr>
                <w:b/>
                <w:bCs/>
                <w:color w:val="000080"/>
              </w:rPr>
              <w:t>€</w:t>
            </w:r>
            <w:r>
              <w:rPr>
                <w:b/>
                <w:bCs/>
                <w:color w:val="000080"/>
              </w:rPr>
              <w:t xml:space="preserve"> </w:t>
            </w:r>
          </w:p>
        </w:tc>
        <w:tc>
          <w:tcPr>
            <w:tcW w:w="2030" w:type="dxa"/>
            <w:tcBorders>
              <w:top w:val="single" w:sz="8" w:space="0" w:color="000000"/>
              <w:left w:val="nil"/>
              <w:bottom w:val="single" w:sz="8" w:space="0" w:color="000000"/>
              <w:right w:val="single" w:sz="8" w:space="0" w:color="000000"/>
            </w:tcBorders>
            <w:shd w:val="clear" w:color="auto" w:fill="FFFFCC"/>
            <w:tcMar>
              <w:top w:w="0" w:type="dxa"/>
              <w:left w:w="70" w:type="dxa"/>
              <w:bottom w:w="0" w:type="dxa"/>
              <w:right w:w="70" w:type="dxa"/>
            </w:tcMar>
            <w:vAlign w:val="center"/>
          </w:tcPr>
          <w:p w:rsidR="002C53BC" w:rsidRPr="009431B0" w:rsidRDefault="002C53BC" w:rsidP="00EE750E">
            <w:pPr>
              <w:ind w:firstLine="280"/>
              <w:jc w:val="right"/>
              <w:rPr>
                <w:color w:val="000000"/>
              </w:rPr>
            </w:pPr>
            <w:r>
              <w:rPr>
                <w:color w:val="000000"/>
              </w:rPr>
              <w:t xml:space="preserve">20 410 000,00  </w:t>
            </w:r>
          </w:p>
        </w:tc>
      </w:tr>
      <w:tr w:rsidR="002C53BC" w:rsidRPr="007B4199" w:rsidTr="00E84986">
        <w:trPr>
          <w:trHeight w:val="390"/>
        </w:trPr>
        <w:tc>
          <w:tcPr>
            <w:tcW w:w="797" w:type="dxa"/>
            <w:gridSpan w:val="2"/>
            <w:tcBorders>
              <w:top w:val="single" w:sz="8" w:space="0" w:color="000000"/>
              <w:left w:val="single" w:sz="4" w:space="0" w:color="auto"/>
              <w:bottom w:val="single" w:sz="8" w:space="0" w:color="000000"/>
              <w:right w:val="single" w:sz="8" w:space="0" w:color="000000"/>
            </w:tcBorders>
            <w:shd w:val="clear" w:color="auto" w:fill="FFFFCC"/>
            <w:tcMar>
              <w:top w:w="0" w:type="dxa"/>
              <w:left w:w="70" w:type="dxa"/>
              <w:bottom w:w="0" w:type="dxa"/>
              <w:right w:w="70" w:type="dxa"/>
            </w:tcMar>
            <w:vAlign w:val="center"/>
            <w:hideMark/>
          </w:tcPr>
          <w:p w:rsidR="002C53BC" w:rsidRPr="009431B0" w:rsidRDefault="002C53BC" w:rsidP="00F51A18">
            <w:pPr>
              <w:jc w:val="center"/>
              <w:rPr>
                <w:color w:val="000000"/>
              </w:rPr>
            </w:pPr>
            <w:r>
              <w:rPr>
                <w:color w:val="000000"/>
              </w:rPr>
              <w:lastRenderedPageBreak/>
              <w:t>18</w:t>
            </w:r>
            <w:r w:rsidR="00F51A18">
              <w:rPr>
                <w:color w:val="000000"/>
              </w:rPr>
              <w:t>a</w:t>
            </w:r>
          </w:p>
        </w:tc>
        <w:tc>
          <w:tcPr>
            <w:tcW w:w="709" w:type="dxa"/>
            <w:tcBorders>
              <w:top w:val="single" w:sz="8" w:space="0" w:color="000000"/>
              <w:left w:val="nil"/>
              <w:bottom w:val="single" w:sz="8" w:space="0" w:color="000000"/>
              <w:right w:val="single" w:sz="4" w:space="0" w:color="auto"/>
            </w:tcBorders>
            <w:shd w:val="clear" w:color="auto" w:fill="FFFFCC"/>
            <w:vAlign w:val="center"/>
          </w:tcPr>
          <w:p w:rsidR="002C53BC" w:rsidRPr="009431B0" w:rsidRDefault="002C53BC" w:rsidP="00F51A18">
            <w:pPr>
              <w:ind w:firstLine="142"/>
              <w:rPr>
                <w:color w:val="000000"/>
              </w:rPr>
            </w:pPr>
            <w:r>
              <w:rPr>
                <w:color w:val="000000"/>
              </w:rPr>
              <w:t>5.1</w:t>
            </w:r>
          </w:p>
        </w:tc>
        <w:tc>
          <w:tcPr>
            <w:tcW w:w="10631" w:type="dxa"/>
            <w:tcBorders>
              <w:top w:val="single" w:sz="8" w:space="0" w:color="000000"/>
              <w:left w:val="single" w:sz="4" w:space="0" w:color="auto"/>
              <w:bottom w:val="single" w:sz="8" w:space="0" w:color="000000"/>
              <w:right w:val="single" w:sz="8" w:space="0" w:color="000000"/>
            </w:tcBorders>
            <w:shd w:val="clear" w:color="auto" w:fill="FFFFCC"/>
            <w:tcMar>
              <w:top w:w="0" w:type="dxa"/>
              <w:left w:w="70" w:type="dxa"/>
              <w:bottom w:w="0" w:type="dxa"/>
              <w:right w:w="70" w:type="dxa"/>
            </w:tcMar>
            <w:vAlign w:val="center"/>
            <w:hideMark/>
          </w:tcPr>
          <w:p w:rsidR="002C53BC" w:rsidRPr="009431B0" w:rsidRDefault="002C53BC" w:rsidP="0005560D">
            <w:pPr>
              <w:rPr>
                <w:color w:val="000000"/>
              </w:rPr>
            </w:pPr>
            <w:r w:rsidRPr="0007784F">
              <w:rPr>
                <w:b/>
                <w:color w:val="000000"/>
              </w:rPr>
              <w:t>Obnova potenciálu poľnohospodárskej výroby zničeného prírodnými pohromami a katastrofickými udalosťami a zavedenie vhodných preventívnych opatrení</w:t>
            </w:r>
            <w:r>
              <w:rPr>
                <w:b/>
                <w:color w:val="000000"/>
              </w:rPr>
              <w:t>:</w:t>
            </w:r>
            <w:r>
              <w:rPr>
                <w:color w:val="000000"/>
              </w:rPr>
              <w:t xml:space="preserve"> Preventívne opatrenia.</w:t>
            </w:r>
          </w:p>
          <w:p w:rsidR="002C53BC" w:rsidRPr="009431B0" w:rsidRDefault="002C53BC" w:rsidP="00EE750E">
            <w:pPr>
              <w:rPr>
                <w:color w:val="1F497D"/>
              </w:rPr>
            </w:pPr>
            <w:r w:rsidRPr="009431B0">
              <w:rPr>
                <w:b/>
                <w:bCs/>
                <w:color w:val="000080"/>
              </w:rPr>
              <w:t>Z toho BA: 0€</w:t>
            </w:r>
          </w:p>
        </w:tc>
        <w:tc>
          <w:tcPr>
            <w:tcW w:w="2030" w:type="dxa"/>
            <w:tcBorders>
              <w:top w:val="single" w:sz="8" w:space="0" w:color="000000"/>
              <w:left w:val="nil"/>
              <w:bottom w:val="single" w:sz="8" w:space="0" w:color="000000"/>
              <w:right w:val="single" w:sz="8" w:space="0" w:color="000000"/>
            </w:tcBorders>
            <w:shd w:val="clear" w:color="auto" w:fill="FFFFCC"/>
            <w:tcMar>
              <w:top w:w="0" w:type="dxa"/>
              <w:left w:w="70" w:type="dxa"/>
              <w:bottom w:w="0" w:type="dxa"/>
              <w:right w:w="70" w:type="dxa"/>
            </w:tcMar>
            <w:vAlign w:val="center"/>
            <w:hideMark/>
          </w:tcPr>
          <w:p w:rsidR="002C53BC" w:rsidRPr="009431B0" w:rsidRDefault="002C53BC" w:rsidP="00EE750E">
            <w:pPr>
              <w:ind w:firstLine="280"/>
              <w:jc w:val="right"/>
              <w:rPr>
                <w:color w:val="000000"/>
              </w:rPr>
            </w:pPr>
            <w:r>
              <w:rPr>
                <w:color w:val="000000"/>
              </w:rPr>
              <w:t>70</w:t>
            </w:r>
            <w:r w:rsidRPr="009431B0">
              <w:rPr>
                <w:color w:val="000000"/>
              </w:rPr>
              <w:t xml:space="preserve"> 000</w:t>
            </w:r>
            <w:r>
              <w:rPr>
                <w:color w:val="000000"/>
              </w:rPr>
              <w:t> </w:t>
            </w:r>
            <w:r w:rsidRPr="009431B0">
              <w:rPr>
                <w:color w:val="000000"/>
              </w:rPr>
              <w:t>000</w:t>
            </w:r>
            <w:r>
              <w:rPr>
                <w:color w:val="000000"/>
              </w:rPr>
              <w:t>,00</w:t>
            </w:r>
          </w:p>
        </w:tc>
      </w:tr>
      <w:tr w:rsidR="002C53BC" w:rsidRPr="007B4199" w:rsidTr="00E84986">
        <w:trPr>
          <w:trHeight w:val="390"/>
        </w:trPr>
        <w:tc>
          <w:tcPr>
            <w:tcW w:w="797" w:type="dxa"/>
            <w:gridSpan w:val="2"/>
            <w:tcBorders>
              <w:top w:val="single" w:sz="8" w:space="0" w:color="000000"/>
              <w:left w:val="single" w:sz="4" w:space="0" w:color="auto"/>
              <w:bottom w:val="single" w:sz="8" w:space="0" w:color="000000"/>
              <w:right w:val="single" w:sz="8" w:space="0" w:color="000000"/>
            </w:tcBorders>
            <w:shd w:val="clear" w:color="auto" w:fill="FFFFCC"/>
            <w:tcMar>
              <w:top w:w="0" w:type="dxa"/>
              <w:left w:w="70" w:type="dxa"/>
              <w:bottom w:w="0" w:type="dxa"/>
              <w:right w:w="70" w:type="dxa"/>
            </w:tcMar>
            <w:vAlign w:val="center"/>
            <w:hideMark/>
          </w:tcPr>
          <w:p w:rsidR="002C53BC" w:rsidRPr="007B4199" w:rsidRDefault="00F51A18" w:rsidP="00F51A18">
            <w:pPr>
              <w:jc w:val="center"/>
              <w:rPr>
                <w:color w:val="000000"/>
              </w:rPr>
            </w:pPr>
            <w:r>
              <w:rPr>
                <w:color w:val="000000"/>
              </w:rPr>
              <w:t>19</w:t>
            </w:r>
            <w:r w:rsidR="002C53BC" w:rsidRPr="007B4199">
              <w:rPr>
                <w:color w:val="000000"/>
              </w:rPr>
              <w:t>a</w:t>
            </w:r>
            <w:r w:rsidR="002C53BC">
              <w:rPr>
                <w:color w:val="000000"/>
              </w:rPr>
              <w:t>)i</w:t>
            </w:r>
          </w:p>
        </w:tc>
        <w:tc>
          <w:tcPr>
            <w:tcW w:w="709" w:type="dxa"/>
            <w:tcBorders>
              <w:top w:val="single" w:sz="8" w:space="0" w:color="000000"/>
              <w:left w:val="nil"/>
              <w:bottom w:val="single" w:sz="8" w:space="0" w:color="000000"/>
              <w:right w:val="single" w:sz="4" w:space="0" w:color="auto"/>
            </w:tcBorders>
            <w:shd w:val="clear" w:color="auto" w:fill="FFFFCC"/>
            <w:vAlign w:val="center"/>
          </w:tcPr>
          <w:p w:rsidR="002C53BC" w:rsidRPr="007B4199" w:rsidRDefault="002C53BC" w:rsidP="00F51A18">
            <w:pPr>
              <w:ind w:firstLine="142"/>
              <w:rPr>
                <w:color w:val="000000"/>
              </w:rPr>
            </w:pPr>
            <w:r>
              <w:rPr>
                <w:color w:val="000000"/>
              </w:rPr>
              <w:t>6.1</w:t>
            </w:r>
          </w:p>
        </w:tc>
        <w:tc>
          <w:tcPr>
            <w:tcW w:w="10631" w:type="dxa"/>
            <w:tcBorders>
              <w:top w:val="single" w:sz="8" w:space="0" w:color="000000"/>
              <w:left w:val="single" w:sz="4" w:space="0" w:color="auto"/>
              <w:bottom w:val="single" w:sz="8" w:space="0" w:color="000000"/>
              <w:right w:val="single" w:sz="8" w:space="0" w:color="000000"/>
            </w:tcBorders>
            <w:shd w:val="clear" w:color="auto" w:fill="FFFFCC"/>
            <w:tcMar>
              <w:top w:w="0" w:type="dxa"/>
              <w:left w:w="70" w:type="dxa"/>
              <w:bottom w:w="0" w:type="dxa"/>
              <w:right w:w="70" w:type="dxa"/>
            </w:tcMar>
            <w:vAlign w:val="center"/>
            <w:hideMark/>
          </w:tcPr>
          <w:p w:rsidR="002C53BC" w:rsidRDefault="002C53BC" w:rsidP="0005560D">
            <w:pPr>
              <w:rPr>
                <w:color w:val="000000"/>
              </w:rPr>
            </w:pPr>
            <w:r w:rsidRPr="0007784F">
              <w:rPr>
                <w:b/>
                <w:color w:val="000000"/>
              </w:rPr>
              <w:t>Rozvoj poľnohospodárskych podnikov a podnikateľskej činnosti</w:t>
            </w:r>
            <w:r>
              <w:rPr>
                <w:color w:val="000000"/>
              </w:rPr>
              <w:t xml:space="preserve"> : </w:t>
            </w:r>
          </w:p>
          <w:p w:rsidR="002C53BC" w:rsidRDefault="002C53BC" w:rsidP="00EE750E">
            <w:pPr>
              <w:rPr>
                <w:color w:val="000000"/>
              </w:rPr>
            </w:pPr>
            <w:r>
              <w:rPr>
                <w:color w:val="000000"/>
              </w:rPr>
              <w:t>Pomoc</w:t>
            </w:r>
            <w:r w:rsidRPr="007B4199">
              <w:rPr>
                <w:color w:val="000000"/>
              </w:rPr>
              <w:t xml:space="preserve"> </w:t>
            </w:r>
            <w:r>
              <w:rPr>
                <w:color w:val="000000"/>
              </w:rPr>
              <w:t xml:space="preserve">na začatie podnikateľskej činnosti pre </w:t>
            </w:r>
            <w:r w:rsidRPr="007B4199">
              <w:rPr>
                <w:color w:val="000000"/>
              </w:rPr>
              <w:t xml:space="preserve">mladých </w:t>
            </w:r>
            <w:r>
              <w:rPr>
                <w:color w:val="000000"/>
              </w:rPr>
              <w:t xml:space="preserve">poľnohospodárov.  </w:t>
            </w:r>
          </w:p>
          <w:p w:rsidR="002C53BC" w:rsidRPr="007B4199" w:rsidRDefault="002C53BC" w:rsidP="00A55745">
            <w:pPr>
              <w:rPr>
                <w:color w:val="1F497D"/>
              </w:rPr>
            </w:pPr>
            <w:r w:rsidRPr="00644661">
              <w:rPr>
                <w:b/>
                <w:bCs/>
                <w:color w:val="000080"/>
              </w:rPr>
              <w:t xml:space="preserve">Z toho BA: </w:t>
            </w:r>
            <w:r w:rsidR="00A55745">
              <w:rPr>
                <w:b/>
                <w:bCs/>
                <w:color w:val="000080"/>
              </w:rPr>
              <w:t>866</w:t>
            </w:r>
            <w:r>
              <w:rPr>
                <w:b/>
                <w:bCs/>
                <w:color w:val="000080"/>
              </w:rPr>
              <w:t xml:space="preserve"> </w:t>
            </w:r>
            <w:r w:rsidR="00A55745">
              <w:rPr>
                <w:b/>
                <w:bCs/>
                <w:color w:val="000080"/>
              </w:rPr>
              <w:t>470</w:t>
            </w:r>
            <w:r w:rsidRPr="00644661">
              <w:rPr>
                <w:b/>
                <w:bCs/>
                <w:color w:val="000080"/>
              </w:rPr>
              <w:t>€</w:t>
            </w:r>
            <w:r>
              <w:rPr>
                <w:b/>
                <w:bCs/>
                <w:color w:val="000080"/>
              </w:rPr>
              <w:t xml:space="preserve"> </w:t>
            </w:r>
          </w:p>
        </w:tc>
        <w:tc>
          <w:tcPr>
            <w:tcW w:w="2030" w:type="dxa"/>
            <w:tcBorders>
              <w:top w:val="single" w:sz="8" w:space="0" w:color="000000"/>
              <w:left w:val="nil"/>
              <w:bottom w:val="single" w:sz="8" w:space="0" w:color="000000"/>
              <w:right w:val="single" w:sz="8" w:space="0" w:color="000000"/>
            </w:tcBorders>
            <w:shd w:val="clear" w:color="auto" w:fill="FFFFCC"/>
            <w:tcMar>
              <w:top w:w="0" w:type="dxa"/>
              <w:left w:w="70" w:type="dxa"/>
              <w:bottom w:w="0" w:type="dxa"/>
              <w:right w:w="70" w:type="dxa"/>
            </w:tcMar>
            <w:vAlign w:val="center"/>
            <w:hideMark/>
          </w:tcPr>
          <w:p w:rsidR="002C53BC" w:rsidRPr="007B4199" w:rsidRDefault="002C53BC" w:rsidP="00EE750E">
            <w:pPr>
              <w:ind w:firstLine="280"/>
              <w:jc w:val="right"/>
              <w:rPr>
                <w:color w:val="000000"/>
              </w:rPr>
            </w:pPr>
            <w:r>
              <w:rPr>
                <w:color w:val="000000"/>
              </w:rPr>
              <w:t xml:space="preserve">30 000 000,00 </w:t>
            </w:r>
          </w:p>
        </w:tc>
      </w:tr>
      <w:tr w:rsidR="002C53BC" w:rsidRPr="007B4199" w:rsidTr="00E84986">
        <w:trPr>
          <w:trHeight w:val="390"/>
        </w:trPr>
        <w:tc>
          <w:tcPr>
            <w:tcW w:w="797" w:type="dxa"/>
            <w:gridSpan w:val="2"/>
            <w:tcBorders>
              <w:top w:val="single" w:sz="8" w:space="0" w:color="000000"/>
              <w:left w:val="single" w:sz="4" w:space="0" w:color="auto"/>
              <w:bottom w:val="single" w:sz="8" w:space="0" w:color="000000"/>
              <w:right w:val="single" w:sz="8" w:space="0" w:color="000000"/>
            </w:tcBorders>
            <w:shd w:val="clear" w:color="auto" w:fill="FFFFCC"/>
            <w:tcMar>
              <w:top w:w="0" w:type="dxa"/>
              <w:left w:w="70" w:type="dxa"/>
              <w:bottom w:w="0" w:type="dxa"/>
              <w:right w:w="70" w:type="dxa"/>
            </w:tcMar>
            <w:vAlign w:val="center"/>
          </w:tcPr>
          <w:p w:rsidR="002C53BC" w:rsidRDefault="002C53BC" w:rsidP="00F51A18">
            <w:pPr>
              <w:jc w:val="center"/>
              <w:rPr>
                <w:color w:val="000000"/>
              </w:rPr>
            </w:pPr>
            <w:r>
              <w:rPr>
                <w:color w:val="000000"/>
              </w:rPr>
              <w:t>19</w:t>
            </w:r>
            <w:r w:rsidRPr="007B4199">
              <w:rPr>
                <w:color w:val="000000"/>
              </w:rPr>
              <w:t>a</w:t>
            </w:r>
            <w:r>
              <w:rPr>
                <w:color w:val="000000"/>
              </w:rPr>
              <w:t>)iii</w:t>
            </w:r>
          </w:p>
        </w:tc>
        <w:tc>
          <w:tcPr>
            <w:tcW w:w="709" w:type="dxa"/>
            <w:tcBorders>
              <w:top w:val="single" w:sz="8" w:space="0" w:color="000000"/>
              <w:left w:val="nil"/>
              <w:bottom w:val="single" w:sz="8" w:space="0" w:color="000000"/>
              <w:right w:val="single" w:sz="4" w:space="0" w:color="auto"/>
            </w:tcBorders>
            <w:shd w:val="clear" w:color="auto" w:fill="FFFFCC"/>
            <w:vAlign w:val="center"/>
          </w:tcPr>
          <w:p w:rsidR="002C53BC" w:rsidRPr="007B4199" w:rsidRDefault="002C53BC" w:rsidP="00F51A18">
            <w:pPr>
              <w:ind w:firstLine="142"/>
              <w:rPr>
                <w:color w:val="000000"/>
              </w:rPr>
            </w:pPr>
            <w:r>
              <w:rPr>
                <w:color w:val="000000"/>
              </w:rPr>
              <w:t>6.3</w:t>
            </w:r>
          </w:p>
        </w:tc>
        <w:tc>
          <w:tcPr>
            <w:tcW w:w="10631" w:type="dxa"/>
            <w:tcBorders>
              <w:top w:val="single" w:sz="8" w:space="0" w:color="000000"/>
              <w:left w:val="single" w:sz="4" w:space="0" w:color="auto"/>
              <w:bottom w:val="single" w:sz="8" w:space="0" w:color="000000"/>
              <w:right w:val="single" w:sz="8" w:space="0" w:color="000000"/>
            </w:tcBorders>
            <w:shd w:val="clear" w:color="auto" w:fill="FFFFCC"/>
            <w:tcMar>
              <w:top w:w="0" w:type="dxa"/>
              <w:left w:w="70" w:type="dxa"/>
              <w:bottom w:w="0" w:type="dxa"/>
              <w:right w:w="70" w:type="dxa"/>
            </w:tcMar>
            <w:vAlign w:val="center"/>
          </w:tcPr>
          <w:p w:rsidR="002C53BC" w:rsidRDefault="002C53BC" w:rsidP="0005560D">
            <w:pPr>
              <w:rPr>
                <w:color w:val="000000"/>
              </w:rPr>
            </w:pPr>
            <w:r w:rsidRPr="0007784F">
              <w:rPr>
                <w:b/>
                <w:color w:val="000000"/>
              </w:rPr>
              <w:t>Rozvoj poľnohospodárskych podnikov a podnikateľskej činnosti</w:t>
            </w:r>
            <w:r>
              <w:rPr>
                <w:color w:val="000000"/>
              </w:rPr>
              <w:t xml:space="preserve"> :  </w:t>
            </w:r>
          </w:p>
          <w:p w:rsidR="002C53BC" w:rsidRDefault="002C53BC" w:rsidP="00EE750E">
            <w:pPr>
              <w:rPr>
                <w:color w:val="000000"/>
              </w:rPr>
            </w:pPr>
            <w:r w:rsidRPr="007B4199">
              <w:rPr>
                <w:color w:val="000000"/>
              </w:rPr>
              <w:t>Po</w:t>
            </w:r>
            <w:r>
              <w:rPr>
                <w:color w:val="000000"/>
              </w:rPr>
              <w:t>moc</w:t>
            </w:r>
            <w:r w:rsidRPr="007B4199">
              <w:rPr>
                <w:color w:val="000000"/>
              </w:rPr>
              <w:t xml:space="preserve"> </w:t>
            </w:r>
            <w:r>
              <w:rPr>
                <w:color w:val="000000"/>
              </w:rPr>
              <w:t xml:space="preserve">na začatie podnikateľskej činnosti pre rozvoj malých poľnohospodárskych podnikov.  </w:t>
            </w:r>
          </w:p>
          <w:p w:rsidR="002C53BC" w:rsidRPr="007B4199" w:rsidRDefault="002C53BC" w:rsidP="00A55745">
            <w:pPr>
              <w:rPr>
                <w:color w:val="000000"/>
              </w:rPr>
            </w:pPr>
            <w:r w:rsidRPr="00644661">
              <w:rPr>
                <w:b/>
                <w:bCs/>
                <w:color w:val="000080"/>
              </w:rPr>
              <w:t xml:space="preserve">Z toho BA: </w:t>
            </w:r>
            <w:r>
              <w:rPr>
                <w:b/>
                <w:bCs/>
                <w:color w:val="000080"/>
              </w:rPr>
              <w:t>3</w:t>
            </w:r>
            <w:r w:rsidR="00A55745">
              <w:rPr>
                <w:b/>
                <w:bCs/>
                <w:color w:val="000080"/>
              </w:rPr>
              <w:t>5 03</w:t>
            </w:r>
            <w:r>
              <w:rPr>
                <w:b/>
                <w:bCs/>
                <w:color w:val="000080"/>
              </w:rPr>
              <w:t>0</w:t>
            </w:r>
            <w:r w:rsidRPr="00644661">
              <w:rPr>
                <w:b/>
                <w:bCs/>
                <w:color w:val="000080"/>
              </w:rPr>
              <w:t>€</w:t>
            </w:r>
          </w:p>
        </w:tc>
        <w:tc>
          <w:tcPr>
            <w:tcW w:w="2030" w:type="dxa"/>
            <w:tcBorders>
              <w:top w:val="single" w:sz="8" w:space="0" w:color="000000"/>
              <w:left w:val="nil"/>
              <w:bottom w:val="single" w:sz="8" w:space="0" w:color="000000"/>
              <w:right w:val="single" w:sz="8" w:space="0" w:color="000000"/>
            </w:tcBorders>
            <w:shd w:val="clear" w:color="auto" w:fill="FFFFCC"/>
            <w:tcMar>
              <w:top w:w="0" w:type="dxa"/>
              <w:left w:w="70" w:type="dxa"/>
              <w:bottom w:w="0" w:type="dxa"/>
              <w:right w:w="70" w:type="dxa"/>
            </w:tcMar>
            <w:vAlign w:val="center"/>
          </w:tcPr>
          <w:p w:rsidR="002C53BC" w:rsidRDefault="002C53BC" w:rsidP="00EE750E">
            <w:pPr>
              <w:ind w:firstLine="280"/>
              <w:jc w:val="right"/>
              <w:rPr>
                <w:color w:val="000000"/>
              </w:rPr>
            </w:pPr>
            <w:r>
              <w:rPr>
                <w:color w:val="000000"/>
              </w:rPr>
              <w:t>1 550 000,00</w:t>
            </w:r>
          </w:p>
        </w:tc>
      </w:tr>
      <w:tr w:rsidR="002C53BC" w:rsidRPr="007B4199" w:rsidTr="00E84986">
        <w:trPr>
          <w:trHeight w:val="390"/>
        </w:trPr>
        <w:tc>
          <w:tcPr>
            <w:tcW w:w="797" w:type="dxa"/>
            <w:gridSpan w:val="2"/>
            <w:tcBorders>
              <w:top w:val="single" w:sz="8" w:space="0" w:color="000000"/>
              <w:left w:val="single" w:sz="4" w:space="0" w:color="auto"/>
              <w:bottom w:val="single" w:sz="8" w:space="0" w:color="000000"/>
              <w:right w:val="single" w:sz="8" w:space="0" w:color="000000"/>
            </w:tcBorders>
            <w:shd w:val="clear" w:color="auto" w:fill="FFFFCC"/>
            <w:tcMar>
              <w:top w:w="0" w:type="dxa"/>
              <w:left w:w="70" w:type="dxa"/>
              <w:bottom w:w="0" w:type="dxa"/>
              <w:right w:w="70" w:type="dxa"/>
            </w:tcMar>
            <w:vAlign w:val="center"/>
            <w:hideMark/>
          </w:tcPr>
          <w:p w:rsidR="002C53BC" w:rsidRPr="007B4199" w:rsidRDefault="002C53BC" w:rsidP="00EE750E">
            <w:pPr>
              <w:jc w:val="center"/>
              <w:rPr>
                <w:color w:val="000000"/>
              </w:rPr>
            </w:pPr>
            <w:r>
              <w:rPr>
                <w:color w:val="000000"/>
              </w:rPr>
              <w:t>19</w:t>
            </w:r>
            <w:r w:rsidRPr="007B4199">
              <w:rPr>
                <w:color w:val="000000"/>
              </w:rPr>
              <w:t>b</w:t>
            </w:r>
          </w:p>
        </w:tc>
        <w:tc>
          <w:tcPr>
            <w:tcW w:w="709" w:type="dxa"/>
            <w:tcBorders>
              <w:top w:val="single" w:sz="8" w:space="0" w:color="000000"/>
              <w:left w:val="nil"/>
              <w:bottom w:val="single" w:sz="8" w:space="0" w:color="000000"/>
              <w:right w:val="single" w:sz="4" w:space="0" w:color="auto"/>
            </w:tcBorders>
            <w:shd w:val="clear" w:color="auto" w:fill="FFFFCC"/>
            <w:vAlign w:val="center"/>
          </w:tcPr>
          <w:p w:rsidR="002C53BC" w:rsidRPr="007B4199" w:rsidRDefault="002C53BC" w:rsidP="00F51A18">
            <w:pPr>
              <w:ind w:firstLine="142"/>
              <w:rPr>
                <w:color w:val="000000"/>
              </w:rPr>
            </w:pPr>
            <w:r>
              <w:rPr>
                <w:color w:val="000000"/>
              </w:rPr>
              <w:t>6.4</w:t>
            </w:r>
          </w:p>
        </w:tc>
        <w:tc>
          <w:tcPr>
            <w:tcW w:w="10631" w:type="dxa"/>
            <w:tcBorders>
              <w:top w:val="single" w:sz="8" w:space="0" w:color="000000"/>
              <w:left w:val="single" w:sz="4" w:space="0" w:color="auto"/>
              <w:bottom w:val="single" w:sz="8" w:space="0" w:color="000000"/>
              <w:right w:val="single" w:sz="8" w:space="0" w:color="000000"/>
            </w:tcBorders>
            <w:shd w:val="clear" w:color="auto" w:fill="FFFFCC"/>
            <w:tcMar>
              <w:top w:w="0" w:type="dxa"/>
              <w:left w:w="70" w:type="dxa"/>
              <w:bottom w:w="0" w:type="dxa"/>
              <w:right w:w="70" w:type="dxa"/>
            </w:tcMar>
            <w:vAlign w:val="center"/>
            <w:hideMark/>
          </w:tcPr>
          <w:p w:rsidR="002C53BC" w:rsidRDefault="002C53BC" w:rsidP="0005560D">
            <w:pPr>
              <w:rPr>
                <w:b/>
                <w:color w:val="000000"/>
              </w:rPr>
            </w:pPr>
            <w:r w:rsidRPr="0007784F">
              <w:rPr>
                <w:b/>
                <w:color w:val="000000"/>
              </w:rPr>
              <w:t>Rozvoj poľnohospodárskych podnikov a podnikateľskej činnosti</w:t>
            </w:r>
            <w:r>
              <w:rPr>
                <w:b/>
                <w:color w:val="000000"/>
              </w:rPr>
              <w:t xml:space="preserve">:  </w:t>
            </w:r>
          </w:p>
          <w:p w:rsidR="002C53BC" w:rsidRPr="007B4199" w:rsidRDefault="002C53BC" w:rsidP="00EE750E">
            <w:pPr>
              <w:rPr>
                <w:color w:val="000000"/>
              </w:rPr>
            </w:pPr>
            <w:r>
              <w:rPr>
                <w:color w:val="000000"/>
              </w:rPr>
              <w:t xml:space="preserve">Investície </w:t>
            </w:r>
            <w:r w:rsidRPr="007B4199">
              <w:rPr>
                <w:color w:val="000000"/>
              </w:rPr>
              <w:t xml:space="preserve"> do </w:t>
            </w:r>
            <w:r>
              <w:rPr>
                <w:color w:val="000000"/>
              </w:rPr>
              <w:t xml:space="preserve">vytvárania a rozvoja </w:t>
            </w:r>
            <w:r w:rsidRPr="007B4199">
              <w:rPr>
                <w:color w:val="000000"/>
              </w:rPr>
              <w:t>nepoľnohospodárskych činností</w:t>
            </w:r>
            <w:r>
              <w:rPr>
                <w:color w:val="000000"/>
              </w:rPr>
              <w:t>.</w:t>
            </w:r>
          </w:p>
          <w:p w:rsidR="002C53BC" w:rsidRPr="007B4199" w:rsidRDefault="002C53BC" w:rsidP="00EE750E">
            <w:pPr>
              <w:rPr>
                <w:color w:val="1F497D"/>
              </w:rPr>
            </w:pPr>
            <w:r w:rsidRPr="00644661">
              <w:rPr>
                <w:b/>
                <w:bCs/>
                <w:color w:val="000080"/>
              </w:rPr>
              <w:t xml:space="preserve">Z toho BA: </w:t>
            </w:r>
            <w:r>
              <w:rPr>
                <w:b/>
                <w:bCs/>
                <w:color w:val="000080"/>
              </w:rPr>
              <w:t>3 160 000</w:t>
            </w:r>
            <w:r w:rsidRPr="00644661">
              <w:rPr>
                <w:b/>
                <w:bCs/>
                <w:color w:val="000080"/>
              </w:rPr>
              <w:t>€</w:t>
            </w:r>
            <w:r>
              <w:rPr>
                <w:b/>
                <w:bCs/>
                <w:color w:val="000080"/>
              </w:rPr>
              <w:t xml:space="preserve"> </w:t>
            </w:r>
          </w:p>
        </w:tc>
        <w:tc>
          <w:tcPr>
            <w:tcW w:w="2030" w:type="dxa"/>
            <w:tcBorders>
              <w:top w:val="single" w:sz="8" w:space="0" w:color="000000"/>
              <w:left w:val="nil"/>
              <w:bottom w:val="single" w:sz="8" w:space="0" w:color="000000"/>
              <w:right w:val="single" w:sz="8" w:space="0" w:color="000000"/>
            </w:tcBorders>
            <w:shd w:val="clear" w:color="auto" w:fill="FFFFCC"/>
            <w:tcMar>
              <w:top w:w="0" w:type="dxa"/>
              <w:left w:w="70" w:type="dxa"/>
              <w:bottom w:w="0" w:type="dxa"/>
              <w:right w:w="70" w:type="dxa"/>
            </w:tcMar>
            <w:vAlign w:val="center"/>
            <w:hideMark/>
          </w:tcPr>
          <w:p w:rsidR="002C53BC" w:rsidRPr="007B4199" w:rsidRDefault="002C53BC" w:rsidP="00EE750E">
            <w:pPr>
              <w:ind w:firstLine="280"/>
              <w:jc w:val="right"/>
              <w:rPr>
                <w:color w:val="000000"/>
              </w:rPr>
            </w:pPr>
            <w:r>
              <w:rPr>
                <w:color w:val="000000"/>
              </w:rPr>
              <w:t xml:space="preserve">80 000 000,00 </w:t>
            </w:r>
          </w:p>
        </w:tc>
      </w:tr>
      <w:tr w:rsidR="002C53BC" w:rsidRPr="007B4199" w:rsidTr="00E84986">
        <w:trPr>
          <w:trHeight w:val="390"/>
        </w:trPr>
        <w:tc>
          <w:tcPr>
            <w:tcW w:w="797" w:type="dxa"/>
            <w:gridSpan w:val="2"/>
            <w:tcBorders>
              <w:top w:val="single" w:sz="8" w:space="0" w:color="000000"/>
              <w:left w:val="single" w:sz="4" w:space="0" w:color="auto"/>
              <w:bottom w:val="single" w:sz="8" w:space="0" w:color="000000"/>
              <w:right w:val="single" w:sz="8" w:space="0" w:color="000000"/>
            </w:tcBorders>
            <w:shd w:val="clear" w:color="auto" w:fill="FFFFCC"/>
            <w:tcMar>
              <w:top w:w="0" w:type="dxa"/>
              <w:left w:w="70" w:type="dxa"/>
              <w:bottom w:w="0" w:type="dxa"/>
              <w:right w:w="70" w:type="dxa"/>
            </w:tcMar>
            <w:vAlign w:val="center"/>
            <w:hideMark/>
          </w:tcPr>
          <w:p w:rsidR="002C53BC" w:rsidRPr="007B4199" w:rsidRDefault="002C53BC" w:rsidP="00EE750E">
            <w:pPr>
              <w:jc w:val="center"/>
              <w:rPr>
                <w:color w:val="000000"/>
              </w:rPr>
            </w:pPr>
            <w:r>
              <w:rPr>
                <w:color w:val="000000"/>
              </w:rPr>
              <w:t>20</w:t>
            </w:r>
          </w:p>
        </w:tc>
        <w:tc>
          <w:tcPr>
            <w:tcW w:w="709" w:type="dxa"/>
            <w:tcBorders>
              <w:top w:val="single" w:sz="8" w:space="0" w:color="000000"/>
              <w:left w:val="nil"/>
              <w:bottom w:val="single" w:sz="8" w:space="0" w:color="000000"/>
              <w:right w:val="single" w:sz="4" w:space="0" w:color="auto"/>
            </w:tcBorders>
            <w:shd w:val="clear" w:color="auto" w:fill="FFFFCC"/>
            <w:vAlign w:val="center"/>
          </w:tcPr>
          <w:p w:rsidR="002C53BC" w:rsidRDefault="002C53BC" w:rsidP="00F51A18">
            <w:pPr>
              <w:ind w:firstLine="142"/>
              <w:rPr>
                <w:color w:val="000000"/>
              </w:rPr>
            </w:pPr>
            <w:r>
              <w:rPr>
                <w:color w:val="000000"/>
              </w:rPr>
              <w:t>7.2</w:t>
            </w:r>
          </w:p>
          <w:p w:rsidR="002C53BC" w:rsidRDefault="002C53BC" w:rsidP="00F51A18">
            <w:pPr>
              <w:ind w:firstLine="142"/>
              <w:rPr>
                <w:color w:val="000000"/>
              </w:rPr>
            </w:pPr>
            <w:r>
              <w:rPr>
                <w:color w:val="000000"/>
              </w:rPr>
              <w:t>7.3</w:t>
            </w:r>
          </w:p>
          <w:p w:rsidR="002C53BC" w:rsidRDefault="002C53BC" w:rsidP="00F51A18">
            <w:pPr>
              <w:ind w:firstLine="142"/>
              <w:rPr>
                <w:color w:val="000000"/>
              </w:rPr>
            </w:pPr>
            <w:r>
              <w:rPr>
                <w:color w:val="000000"/>
              </w:rPr>
              <w:t>7.4</w:t>
            </w:r>
          </w:p>
          <w:p w:rsidR="002C53BC" w:rsidRPr="007B4199" w:rsidRDefault="002C53BC" w:rsidP="00F51A18">
            <w:pPr>
              <w:ind w:firstLine="142"/>
              <w:rPr>
                <w:color w:val="000000"/>
              </w:rPr>
            </w:pPr>
            <w:r>
              <w:rPr>
                <w:color w:val="000000"/>
              </w:rPr>
              <w:t>7.5</w:t>
            </w:r>
          </w:p>
        </w:tc>
        <w:tc>
          <w:tcPr>
            <w:tcW w:w="10631" w:type="dxa"/>
            <w:tcBorders>
              <w:top w:val="single" w:sz="8" w:space="0" w:color="000000"/>
              <w:left w:val="single" w:sz="4" w:space="0" w:color="auto"/>
              <w:bottom w:val="single" w:sz="8" w:space="0" w:color="000000"/>
              <w:right w:val="single" w:sz="8" w:space="0" w:color="000000"/>
            </w:tcBorders>
            <w:shd w:val="clear" w:color="auto" w:fill="FFFFCC"/>
            <w:tcMar>
              <w:top w:w="0" w:type="dxa"/>
              <w:left w:w="70" w:type="dxa"/>
              <w:bottom w:w="0" w:type="dxa"/>
              <w:right w:w="70" w:type="dxa"/>
            </w:tcMar>
            <w:vAlign w:val="center"/>
            <w:hideMark/>
          </w:tcPr>
          <w:p w:rsidR="002C53BC" w:rsidRDefault="002C53BC" w:rsidP="0005560D">
            <w:pPr>
              <w:rPr>
                <w:color w:val="000000"/>
              </w:rPr>
            </w:pPr>
            <w:r w:rsidRPr="00285B58">
              <w:rPr>
                <w:b/>
                <w:color w:val="000000"/>
              </w:rPr>
              <w:t>Základné služby a obnova dedín vo vidieckych oblastiach</w:t>
            </w:r>
            <w:r>
              <w:rPr>
                <w:b/>
                <w:color w:val="000000"/>
              </w:rPr>
              <w:t>:</w:t>
            </w:r>
            <w:r>
              <w:rPr>
                <w:color w:val="000000"/>
              </w:rPr>
              <w:t xml:space="preserve"> </w:t>
            </w:r>
          </w:p>
          <w:p w:rsidR="002C53BC" w:rsidRDefault="002C53BC" w:rsidP="00EE750E">
            <w:pPr>
              <w:rPr>
                <w:color w:val="000000"/>
              </w:rPr>
            </w:pPr>
            <w:r>
              <w:rPr>
                <w:color w:val="000000"/>
              </w:rPr>
              <w:t>Podpora investícií do malej infraštruktúry vrátane investícií do OZE a úspor energie;</w:t>
            </w:r>
          </w:p>
          <w:p w:rsidR="002C53BC" w:rsidRDefault="002C53BC" w:rsidP="00EE750E">
            <w:pPr>
              <w:rPr>
                <w:color w:val="000000"/>
              </w:rPr>
            </w:pPr>
            <w:r>
              <w:rPr>
                <w:color w:val="000000"/>
              </w:rPr>
              <w:t xml:space="preserve">Podpora infraštruktúry širokopásmového internetu a verejného e-governmentu; </w:t>
            </w:r>
          </w:p>
          <w:p w:rsidR="002C53BC" w:rsidRDefault="002C53BC" w:rsidP="00EE750E">
            <w:pPr>
              <w:rPr>
                <w:color w:val="000000"/>
              </w:rPr>
            </w:pPr>
            <w:r>
              <w:rPr>
                <w:color w:val="000000"/>
              </w:rPr>
              <w:t xml:space="preserve">Podpora investícií do miestnych základných služieb pre vidiecke obyvateľstvo; </w:t>
            </w:r>
          </w:p>
          <w:p w:rsidR="002C53BC" w:rsidRDefault="002C53BC" w:rsidP="00EE750E">
            <w:pPr>
              <w:rPr>
                <w:b/>
                <w:bCs/>
                <w:color w:val="000080"/>
              </w:rPr>
            </w:pPr>
            <w:r>
              <w:rPr>
                <w:color w:val="000000"/>
              </w:rPr>
              <w:t>Podpora investícií do rekreačnej infraštruktúry a infraštruktúry cestovného ruchu.</w:t>
            </w:r>
          </w:p>
          <w:p w:rsidR="002C53BC" w:rsidRPr="007B4199" w:rsidRDefault="002C53BC" w:rsidP="00EE750E">
            <w:pPr>
              <w:rPr>
                <w:color w:val="1F497D"/>
              </w:rPr>
            </w:pPr>
            <w:r w:rsidRPr="00644661">
              <w:rPr>
                <w:b/>
                <w:bCs/>
                <w:color w:val="000080"/>
              </w:rPr>
              <w:t xml:space="preserve">Z toho BA: </w:t>
            </w:r>
            <w:r>
              <w:rPr>
                <w:b/>
                <w:bCs/>
                <w:color w:val="000080"/>
              </w:rPr>
              <w:t>1 673 150</w:t>
            </w:r>
            <w:r w:rsidRPr="00644661">
              <w:rPr>
                <w:b/>
                <w:bCs/>
                <w:color w:val="000080"/>
              </w:rPr>
              <w:t>€</w:t>
            </w:r>
            <w:r>
              <w:rPr>
                <w:b/>
                <w:bCs/>
                <w:color w:val="000080"/>
              </w:rPr>
              <w:t xml:space="preserve"> </w:t>
            </w:r>
          </w:p>
        </w:tc>
        <w:tc>
          <w:tcPr>
            <w:tcW w:w="2030" w:type="dxa"/>
            <w:tcBorders>
              <w:top w:val="single" w:sz="8" w:space="0" w:color="000000"/>
              <w:left w:val="nil"/>
              <w:bottom w:val="single" w:sz="8" w:space="0" w:color="000000"/>
              <w:right w:val="single" w:sz="8" w:space="0" w:color="000000"/>
            </w:tcBorders>
            <w:shd w:val="clear" w:color="auto" w:fill="FFFFCC"/>
            <w:tcMar>
              <w:top w:w="0" w:type="dxa"/>
              <w:left w:w="70" w:type="dxa"/>
              <w:bottom w:w="0" w:type="dxa"/>
              <w:right w:w="70" w:type="dxa"/>
            </w:tcMar>
            <w:vAlign w:val="center"/>
            <w:hideMark/>
          </w:tcPr>
          <w:p w:rsidR="002C53BC" w:rsidRPr="007B4199" w:rsidRDefault="002C53BC" w:rsidP="00EE750E">
            <w:pPr>
              <w:ind w:firstLine="280"/>
              <w:jc w:val="right"/>
              <w:rPr>
                <w:color w:val="000000"/>
              </w:rPr>
            </w:pPr>
            <w:r>
              <w:rPr>
                <w:color w:val="000000"/>
              </w:rPr>
              <w:t xml:space="preserve">119 500 000,00  </w:t>
            </w:r>
          </w:p>
        </w:tc>
      </w:tr>
      <w:tr w:rsidR="002C53BC" w:rsidRPr="007B4199" w:rsidTr="00F51A18">
        <w:trPr>
          <w:trHeight w:val="390"/>
        </w:trPr>
        <w:tc>
          <w:tcPr>
            <w:tcW w:w="797" w:type="dxa"/>
            <w:gridSpan w:val="2"/>
            <w:tcBorders>
              <w:top w:val="single" w:sz="8" w:space="0" w:color="000000"/>
              <w:left w:val="single" w:sz="4" w:space="0" w:color="auto"/>
              <w:bottom w:val="single" w:sz="8" w:space="0" w:color="000000"/>
              <w:right w:val="single" w:sz="8" w:space="0" w:color="000000"/>
            </w:tcBorders>
            <w:shd w:val="clear" w:color="auto" w:fill="FFFFCC"/>
            <w:tcMar>
              <w:top w:w="0" w:type="dxa"/>
              <w:left w:w="70" w:type="dxa"/>
              <w:bottom w:w="0" w:type="dxa"/>
              <w:right w:w="70" w:type="dxa"/>
            </w:tcMar>
            <w:vAlign w:val="center"/>
            <w:hideMark/>
          </w:tcPr>
          <w:p w:rsidR="002C53BC" w:rsidRPr="007B4199" w:rsidRDefault="002C53BC" w:rsidP="00EE750E">
            <w:pPr>
              <w:jc w:val="center"/>
              <w:rPr>
                <w:color w:val="000000"/>
              </w:rPr>
            </w:pPr>
            <w:r>
              <w:rPr>
                <w:color w:val="000000"/>
              </w:rPr>
              <w:t>24</w:t>
            </w:r>
          </w:p>
        </w:tc>
        <w:tc>
          <w:tcPr>
            <w:tcW w:w="709" w:type="dxa"/>
            <w:tcBorders>
              <w:top w:val="single" w:sz="8" w:space="0" w:color="000000"/>
              <w:left w:val="nil"/>
              <w:bottom w:val="single" w:sz="8" w:space="0" w:color="000000"/>
              <w:right w:val="single" w:sz="4" w:space="0" w:color="auto"/>
            </w:tcBorders>
            <w:shd w:val="clear" w:color="auto" w:fill="FFFFCC"/>
            <w:vAlign w:val="center"/>
          </w:tcPr>
          <w:p w:rsidR="00E84986" w:rsidRDefault="002C53BC" w:rsidP="00F51A18">
            <w:pPr>
              <w:ind w:firstLine="142"/>
              <w:jc w:val="left"/>
              <w:rPr>
                <w:color w:val="000000"/>
              </w:rPr>
            </w:pPr>
            <w:r>
              <w:rPr>
                <w:color w:val="000000"/>
              </w:rPr>
              <w:t>8.3</w:t>
            </w:r>
          </w:p>
          <w:p w:rsidR="002C53BC" w:rsidRPr="007B4199" w:rsidRDefault="002C53BC" w:rsidP="00F51A18">
            <w:pPr>
              <w:ind w:firstLine="142"/>
              <w:jc w:val="left"/>
              <w:rPr>
                <w:color w:val="000000"/>
              </w:rPr>
            </w:pPr>
            <w:r>
              <w:rPr>
                <w:color w:val="000000"/>
              </w:rPr>
              <w:t>8.4</w:t>
            </w:r>
          </w:p>
        </w:tc>
        <w:tc>
          <w:tcPr>
            <w:tcW w:w="10631" w:type="dxa"/>
            <w:tcBorders>
              <w:top w:val="single" w:sz="8" w:space="0" w:color="000000"/>
              <w:left w:val="single" w:sz="4" w:space="0" w:color="auto"/>
              <w:bottom w:val="single" w:sz="8" w:space="0" w:color="000000"/>
              <w:right w:val="single" w:sz="8" w:space="0" w:color="000000"/>
            </w:tcBorders>
            <w:shd w:val="clear" w:color="auto" w:fill="FFFFCC"/>
            <w:tcMar>
              <w:top w:w="0" w:type="dxa"/>
              <w:left w:w="70" w:type="dxa"/>
              <w:bottom w:w="0" w:type="dxa"/>
              <w:right w:w="70" w:type="dxa"/>
            </w:tcMar>
            <w:vAlign w:val="center"/>
            <w:hideMark/>
          </w:tcPr>
          <w:p w:rsidR="002C53BC" w:rsidRDefault="002C53BC" w:rsidP="00EE750E">
            <w:pPr>
              <w:rPr>
                <w:b/>
                <w:color w:val="000000"/>
              </w:rPr>
            </w:pPr>
            <w:r>
              <w:rPr>
                <w:b/>
                <w:color w:val="000000"/>
              </w:rPr>
              <w:t xml:space="preserve"> </w:t>
            </w:r>
            <w:r w:rsidRPr="00285B58">
              <w:rPr>
                <w:b/>
                <w:color w:val="000000"/>
              </w:rPr>
              <w:t>Investície do rozvoja lesných oblastí a zlepšenie životaschopnosti lesov</w:t>
            </w:r>
            <w:r>
              <w:rPr>
                <w:b/>
                <w:color w:val="000000"/>
              </w:rPr>
              <w:t>:</w:t>
            </w:r>
          </w:p>
          <w:p w:rsidR="002C53BC" w:rsidRDefault="002C53BC" w:rsidP="00EE750E">
            <w:pPr>
              <w:rPr>
                <w:color w:val="000000"/>
              </w:rPr>
            </w:pPr>
            <w:r w:rsidRPr="007B4199">
              <w:rPr>
                <w:color w:val="000000"/>
              </w:rPr>
              <w:t>P</w:t>
            </w:r>
            <w:r>
              <w:rPr>
                <w:color w:val="000000"/>
              </w:rPr>
              <w:t>odpora prevencie poškodzovania lesov lesnými požiarmi, prírodnými pohromami a katastrofickými udalosťami;</w:t>
            </w:r>
          </w:p>
          <w:p w:rsidR="002C53BC" w:rsidRDefault="002C53BC" w:rsidP="00EE750E">
            <w:pPr>
              <w:rPr>
                <w:color w:val="000000"/>
              </w:rPr>
            </w:pPr>
            <w:r w:rsidRPr="007B4199">
              <w:rPr>
                <w:color w:val="000000"/>
              </w:rPr>
              <w:t>P</w:t>
            </w:r>
            <w:r>
              <w:rPr>
                <w:color w:val="000000"/>
              </w:rPr>
              <w:t>odpora prevencie poškodzovania lesov lesnými požiarmi, prírodnými pohromami a katastrofickými udalosťami a obnova poškodených lesov .</w:t>
            </w:r>
          </w:p>
          <w:p w:rsidR="002C53BC" w:rsidRPr="007B4199" w:rsidRDefault="002C53BC" w:rsidP="00EE750E">
            <w:pPr>
              <w:rPr>
                <w:color w:val="1F497D"/>
              </w:rPr>
            </w:pPr>
            <w:r w:rsidRPr="00644661">
              <w:rPr>
                <w:b/>
                <w:bCs/>
                <w:color w:val="000080"/>
              </w:rPr>
              <w:t xml:space="preserve">Z toho BA: </w:t>
            </w:r>
            <w:r>
              <w:rPr>
                <w:b/>
                <w:bCs/>
                <w:color w:val="000080"/>
              </w:rPr>
              <w:t>9 405 400</w:t>
            </w:r>
            <w:r w:rsidRPr="00644661">
              <w:rPr>
                <w:b/>
                <w:bCs/>
                <w:color w:val="000080"/>
              </w:rPr>
              <w:t>€</w:t>
            </w:r>
            <w:r>
              <w:rPr>
                <w:b/>
                <w:bCs/>
                <w:color w:val="000080"/>
              </w:rPr>
              <w:t xml:space="preserve"> </w:t>
            </w:r>
          </w:p>
        </w:tc>
        <w:tc>
          <w:tcPr>
            <w:tcW w:w="2030" w:type="dxa"/>
            <w:tcBorders>
              <w:top w:val="single" w:sz="8" w:space="0" w:color="000000"/>
              <w:left w:val="nil"/>
              <w:bottom w:val="single" w:sz="8" w:space="0" w:color="000000"/>
              <w:right w:val="single" w:sz="8" w:space="0" w:color="000000"/>
            </w:tcBorders>
            <w:shd w:val="clear" w:color="auto" w:fill="FFFFCC"/>
            <w:tcMar>
              <w:top w:w="0" w:type="dxa"/>
              <w:left w:w="70" w:type="dxa"/>
              <w:bottom w:w="0" w:type="dxa"/>
              <w:right w:w="70" w:type="dxa"/>
            </w:tcMar>
            <w:vAlign w:val="center"/>
            <w:hideMark/>
          </w:tcPr>
          <w:p w:rsidR="002C53BC" w:rsidRPr="007B4199" w:rsidRDefault="002C53BC" w:rsidP="00EE750E">
            <w:pPr>
              <w:ind w:firstLine="280"/>
              <w:jc w:val="right"/>
              <w:rPr>
                <w:color w:val="000000"/>
              </w:rPr>
            </w:pPr>
            <w:r>
              <w:rPr>
                <w:color w:val="000000"/>
              </w:rPr>
              <w:t xml:space="preserve">82 000 000,00 </w:t>
            </w:r>
          </w:p>
        </w:tc>
      </w:tr>
      <w:tr w:rsidR="002C53BC" w:rsidRPr="007B4199" w:rsidTr="00F51A18">
        <w:trPr>
          <w:trHeight w:val="581"/>
        </w:trPr>
        <w:tc>
          <w:tcPr>
            <w:tcW w:w="797" w:type="dxa"/>
            <w:gridSpan w:val="2"/>
            <w:tcBorders>
              <w:top w:val="single" w:sz="8" w:space="0" w:color="000000"/>
              <w:left w:val="single" w:sz="4" w:space="0" w:color="auto"/>
              <w:bottom w:val="single" w:sz="8" w:space="0" w:color="000000"/>
              <w:right w:val="single" w:sz="8" w:space="0" w:color="000000"/>
            </w:tcBorders>
            <w:shd w:val="clear" w:color="auto" w:fill="FFFFCC"/>
            <w:tcMar>
              <w:top w:w="0" w:type="dxa"/>
              <w:left w:w="70" w:type="dxa"/>
              <w:bottom w:w="0" w:type="dxa"/>
              <w:right w:w="70" w:type="dxa"/>
            </w:tcMar>
            <w:vAlign w:val="center"/>
          </w:tcPr>
          <w:p w:rsidR="002C53BC" w:rsidRPr="007B4199" w:rsidRDefault="002C53BC" w:rsidP="00EE750E">
            <w:pPr>
              <w:jc w:val="center"/>
              <w:rPr>
                <w:color w:val="000000"/>
              </w:rPr>
            </w:pPr>
            <w:r>
              <w:rPr>
                <w:color w:val="000000"/>
              </w:rPr>
              <w:t>25</w:t>
            </w:r>
          </w:p>
        </w:tc>
        <w:tc>
          <w:tcPr>
            <w:tcW w:w="709" w:type="dxa"/>
            <w:tcBorders>
              <w:top w:val="single" w:sz="8" w:space="0" w:color="000000"/>
              <w:left w:val="nil"/>
              <w:bottom w:val="single" w:sz="8" w:space="0" w:color="000000"/>
              <w:right w:val="single" w:sz="4" w:space="0" w:color="auto"/>
            </w:tcBorders>
            <w:shd w:val="clear" w:color="auto" w:fill="FFFFCC"/>
            <w:vAlign w:val="center"/>
          </w:tcPr>
          <w:p w:rsidR="002C53BC" w:rsidRDefault="002C53BC" w:rsidP="00F51A18">
            <w:pPr>
              <w:ind w:firstLine="142"/>
              <w:jc w:val="left"/>
              <w:rPr>
                <w:color w:val="000000"/>
              </w:rPr>
            </w:pPr>
            <w:r>
              <w:rPr>
                <w:color w:val="000000"/>
              </w:rPr>
              <w:t>8.5</w:t>
            </w:r>
          </w:p>
        </w:tc>
        <w:tc>
          <w:tcPr>
            <w:tcW w:w="10631" w:type="dxa"/>
            <w:tcBorders>
              <w:top w:val="single" w:sz="8" w:space="0" w:color="000000"/>
              <w:left w:val="single" w:sz="4" w:space="0" w:color="auto"/>
              <w:bottom w:val="single" w:sz="8" w:space="0" w:color="000000"/>
              <w:right w:val="single" w:sz="8" w:space="0" w:color="000000"/>
            </w:tcBorders>
            <w:shd w:val="clear" w:color="auto" w:fill="FFFFCC"/>
            <w:tcMar>
              <w:top w:w="0" w:type="dxa"/>
              <w:left w:w="70" w:type="dxa"/>
              <w:bottom w:w="0" w:type="dxa"/>
              <w:right w:w="70" w:type="dxa"/>
            </w:tcMar>
            <w:vAlign w:val="center"/>
          </w:tcPr>
          <w:p w:rsidR="002C53BC" w:rsidRDefault="002C53BC" w:rsidP="0005560D">
            <w:pPr>
              <w:rPr>
                <w:b/>
                <w:color w:val="000000"/>
              </w:rPr>
            </w:pPr>
            <w:r w:rsidRPr="00285B58">
              <w:rPr>
                <w:b/>
                <w:color w:val="000000"/>
              </w:rPr>
              <w:t>Investície do rozvoja lesných oblastí a zlepšenie životaschopnosti lesov</w:t>
            </w:r>
            <w:r>
              <w:rPr>
                <w:b/>
                <w:color w:val="000000"/>
              </w:rPr>
              <w:t xml:space="preserve">: </w:t>
            </w:r>
          </w:p>
          <w:p w:rsidR="002C53BC" w:rsidRDefault="002C53BC" w:rsidP="00EE750E">
            <w:pPr>
              <w:rPr>
                <w:color w:val="000000"/>
              </w:rPr>
            </w:pPr>
            <w:r>
              <w:rPr>
                <w:color w:val="000000"/>
              </w:rPr>
              <w:t>Podpora investícií zlepšujúcich odolnosť a environmentálnu hodnotu lesných ekosystémov.</w:t>
            </w:r>
          </w:p>
          <w:p w:rsidR="002C53BC" w:rsidRPr="007B4199" w:rsidRDefault="002C53BC" w:rsidP="00EE750E">
            <w:pPr>
              <w:rPr>
                <w:color w:val="000000"/>
              </w:rPr>
            </w:pPr>
            <w:r w:rsidRPr="00644661">
              <w:rPr>
                <w:b/>
                <w:bCs/>
                <w:color w:val="000080"/>
              </w:rPr>
              <w:t>Z toho BA:</w:t>
            </w:r>
            <w:r>
              <w:rPr>
                <w:b/>
                <w:bCs/>
                <w:color w:val="000080"/>
              </w:rPr>
              <w:t xml:space="preserve"> 150 000</w:t>
            </w:r>
            <w:r w:rsidRPr="00644661">
              <w:rPr>
                <w:b/>
                <w:bCs/>
                <w:color w:val="000080"/>
              </w:rPr>
              <w:t>€</w:t>
            </w:r>
            <w:r>
              <w:rPr>
                <w:b/>
                <w:bCs/>
                <w:color w:val="000080"/>
              </w:rPr>
              <w:t xml:space="preserve"> </w:t>
            </w:r>
          </w:p>
        </w:tc>
        <w:tc>
          <w:tcPr>
            <w:tcW w:w="2030" w:type="dxa"/>
            <w:tcBorders>
              <w:top w:val="single" w:sz="8" w:space="0" w:color="000000"/>
              <w:left w:val="nil"/>
              <w:bottom w:val="single" w:sz="8" w:space="0" w:color="000000"/>
              <w:right w:val="single" w:sz="8" w:space="0" w:color="000000"/>
            </w:tcBorders>
            <w:shd w:val="clear" w:color="auto" w:fill="FFFFCC"/>
            <w:tcMar>
              <w:top w:w="0" w:type="dxa"/>
              <w:left w:w="70" w:type="dxa"/>
              <w:bottom w:w="0" w:type="dxa"/>
              <w:right w:w="70" w:type="dxa"/>
            </w:tcMar>
            <w:vAlign w:val="center"/>
          </w:tcPr>
          <w:p w:rsidR="002C53BC" w:rsidRPr="007B4199" w:rsidRDefault="002C53BC" w:rsidP="00EE750E">
            <w:pPr>
              <w:ind w:firstLine="280"/>
              <w:jc w:val="right"/>
              <w:rPr>
                <w:color w:val="000000"/>
              </w:rPr>
            </w:pPr>
            <w:r>
              <w:rPr>
                <w:color w:val="000000"/>
              </w:rPr>
              <w:t>5 000 000,00</w:t>
            </w:r>
          </w:p>
        </w:tc>
      </w:tr>
      <w:tr w:rsidR="002C53BC" w:rsidRPr="007B4199" w:rsidTr="00E84986">
        <w:trPr>
          <w:trHeight w:val="390"/>
        </w:trPr>
        <w:tc>
          <w:tcPr>
            <w:tcW w:w="797" w:type="dxa"/>
            <w:gridSpan w:val="2"/>
            <w:tcBorders>
              <w:top w:val="single" w:sz="8" w:space="0" w:color="000000"/>
              <w:left w:val="single" w:sz="4" w:space="0" w:color="auto"/>
              <w:bottom w:val="single" w:sz="8" w:space="0" w:color="000000"/>
              <w:right w:val="single" w:sz="8" w:space="0" w:color="000000"/>
            </w:tcBorders>
            <w:shd w:val="clear" w:color="auto" w:fill="FFFFCC"/>
            <w:tcMar>
              <w:top w:w="0" w:type="dxa"/>
              <w:left w:w="70" w:type="dxa"/>
              <w:bottom w:w="0" w:type="dxa"/>
              <w:right w:w="70" w:type="dxa"/>
            </w:tcMar>
            <w:vAlign w:val="center"/>
            <w:hideMark/>
          </w:tcPr>
          <w:p w:rsidR="002C53BC" w:rsidRPr="007B4199" w:rsidRDefault="002C53BC" w:rsidP="00EE750E">
            <w:pPr>
              <w:jc w:val="center"/>
              <w:rPr>
                <w:color w:val="000000"/>
              </w:rPr>
            </w:pPr>
            <w:r>
              <w:rPr>
                <w:color w:val="000000"/>
              </w:rPr>
              <w:t>26</w:t>
            </w:r>
          </w:p>
        </w:tc>
        <w:tc>
          <w:tcPr>
            <w:tcW w:w="709" w:type="dxa"/>
            <w:tcBorders>
              <w:top w:val="single" w:sz="8" w:space="0" w:color="000000"/>
              <w:left w:val="nil"/>
              <w:bottom w:val="single" w:sz="8" w:space="0" w:color="000000"/>
              <w:right w:val="single" w:sz="4" w:space="0" w:color="auto"/>
            </w:tcBorders>
            <w:shd w:val="clear" w:color="auto" w:fill="FFFFCC"/>
            <w:vAlign w:val="center"/>
          </w:tcPr>
          <w:p w:rsidR="002C53BC" w:rsidRPr="007B4199" w:rsidRDefault="002C53BC" w:rsidP="00F51A18">
            <w:pPr>
              <w:ind w:firstLine="142"/>
              <w:rPr>
                <w:color w:val="000000"/>
              </w:rPr>
            </w:pPr>
            <w:r>
              <w:rPr>
                <w:color w:val="000000"/>
              </w:rPr>
              <w:t>8.6</w:t>
            </w:r>
          </w:p>
        </w:tc>
        <w:tc>
          <w:tcPr>
            <w:tcW w:w="10631" w:type="dxa"/>
            <w:tcBorders>
              <w:top w:val="single" w:sz="8" w:space="0" w:color="000000"/>
              <w:left w:val="single" w:sz="4" w:space="0" w:color="auto"/>
              <w:bottom w:val="single" w:sz="8" w:space="0" w:color="000000"/>
              <w:right w:val="single" w:sz="8" w:space="0" w:color="000000"/>
            </w:tcBorders>
            <w:shd w:val="clear" w:color="auto" w:fill="FFFFCC"/>
            <w:tcMar>
              <w:top w:w="0" w:type="dxa"/>
              <w:left w:w="70" w:type="dxa"/>
              <w:bottom w:w="0" w:type="dxa"/>
              <w:right w:w="70" w:type="dxa"/>
            </w:tcMar>
            <w:vAlign w:val="center"/>
            <w:hideMark/>
          </w:tcPr>
          <w:p w:rsidR="002C53BC" w:rsidRDefault="002C53BC" w:rsidP="0005560D">
            <w:pPr>
              <w:rPr>
                <w:b/>
                <w:color w:val="000000"/>
              </w:rPr>
            </w:pPr>
            <w:r w:rsidRPr="00285B58">
              <w:rPr>
                <w:b/>
                <w:color w:val="000000"/>
              </w:rPr>
              <w:t>Investície do rozvoja lesných oblastí a zlepšenie životaschopnosti lesov</w:t>
            </w:r>
            <w:r>
              <w:rPr>
                <w:b/>
                <w:color w:val="000000"/>
              </w:rPr>
              <w:t xml:space="preserve">: </w:t>
            </w:r>
          </w:p>
          <w:p w:rsidR="002C53BC" w:rsidRDefault="002C53BC" w:rsidP="00EE750E">
            <w:pPr>
              <w:rPr>
                <w:color w:val="000000"/>
              </w:rPr>
            </w:pPr>
            <w:r>
              <w:rPr>
                <w:color w:val="000000"/>
              </w:rPr>
              <w:t xml:space="preserve">Podpora investícií do lesných technológií a spracovania, do mobilizácie lesníckych výrobkov a ich uvádzania na trh. </w:t>
            </w:r>
          </w:p>
          <w:p w:rsidR="002C53BC" w:rsidRPr="007B4199" w:rsidRDefault="002C53BC" w:rsidP="00EE750E">
            <w:pPr>
              <w:rPr>
                <w:color w:val="1F497D"/>
              </w:rPr>
            </w:pPr>
            <w:r w:rsidRPr="00644661">
              <w:rPr>
                <w:b/>
                <w:bCs/>
                <w:color w:val="000080"/>
              </w:rPr>
              <w:t xml:space="preserve">Z toho BA:  </w:t>
            </w:r>
            <w:r>
              <w:rPr>
                <w:b/>
                <w:bCs/>
                <w:color w:val="000080"/>
              </w:rPr>
              <w:t>669 000</w:t>
            </w:r>
            <w:r w:rsidRPr="00644661">
              <w:rPr>
                <w:b/>
                <w:bCs/>
                <w:color w:val="000080"/>
              </w:rPr>
              <w:t>€</w:t>
            </w:r>
            <w:r>
              <w:rPr>
                <w:b/>
                <w:bCs/>
                <w:color w:val="000080"/>
              </w:rPr>
              <w:t xml:space="preserve"> </w:t>
            </w:r>
          </w:p>
        </w:tc>
        <w:tc>
          <w:tcPr>
            <w:tcW w:w="2030" w:type="dxa"/>
            <w:tcBorders>
              <w:top w:val="single" w:sz="8" w:space="0" w:color="000000"/>
              <w:left w:val="nil"/>
              <w:bottom w:val="single" w:sz="8" w:space="0" w:color="000000"/>
              <w:right w:val="single" w:sz="8" w:space="0" w:color="000000"/>
            </w:tcBorders>
            <w:shd w:val="clear" w:color="auto" w:fill="FFFFCC"/>
            <w:tcMar>
              <w:top w:w="0" w:type="dxa"/>
              <w:left w:w="70" w:type="dxa"/>
              <w:bottom w:w="0" w:type="dxa"/>
              <w:right w:w="70" w:type="dxa"/>
            </w:tcMar>
            <w:vAlign w:val="center"/>
            <w:hideMark/>
          </w:tcPr>
          <w:p w:rsidR="002C53BC" w:rsidRPr="007B4199" w:rsidRDefault="002C53BC" w:rsidP="00EE750E">
            <w:pPr>
              <w:ind w:firstLine="280"/>
              <w:jc w:val="right"/>
              <w:rPr>
                <w:color w:val="000000"/>
              </w:rPr>
            </w:pPr>
            <w:r>
              <w:rPr>
                <w:color w:val="000000"/>
              </w:rPr>
              <w:t xml:space="preserve">22 300 000,00 </w:t>
            </w:r>
          </w:p>
        </w:tc>
      </w:tr>
      <w:tr w:rsidR="002C53BC" w:rsidRPr="007B4199" w:rsidTr="00E84986">
        <w:trPr>
          <w:trHeight w:val="390"/>
        </w:trPr>
        <w:tc>
          <w:tcPr>
            <w:tcW w:w="797" w:type="dxa"/>
            <w:gridSpan w:val="2"/>
            <w:tcBorders>
              <w:top w:val="single" w:sz="8" w:space="0" w:color="000000"/>
              <w:left w:val="single" w:sz="4" w:space="0" w:color="auto"/>
              <w:bottom w:val="single" w:sz="4" w:space="0" w:color="auto"/>
              <w:right w:val="single" w:sz="8" w:space="0" w:color="000000"/>
            </w:tcBorders>
            <w:shd w:val="clear" w:color="auto" w:fill="FFFFCC"/>
            <w:tcMar>
              <w:top w:w="0" w:type="dxa"/>
              <w:left w:w="70" w:type="dxa"/>
              <w:bottom w:w="0" w:type="dxa"/>
              <w:right w:w="70" w:type="dxa"/>
            </w:tcMar>
            <w:vAlign w:val="center"/>
          </w:tcPr>
          <w:p w:rsidR="002C53BC" w:rsidRPr="007B4199" w:rsidRDefault="002C53BC" w:rsidP="00EE750E">
            <w:pPr>
              <w:jc w:val="center"/>
              <w:rPr>
                <w:color w:val="000000"/>
              </w:rPr>
            </w:pPr>
            <w:r>
              <w:rPr>
                <w:color w:val="000000"/>
              </w:rPr>
              <w:t>27</w:t>
            </w:r>
          </w:p>
        </w:tc>
        <w:tc>
          <w:tcPr>
            <w:tcW w:w="709" w:type="dxa"/>
            <w:tcBorders>
              <w:top w:val="single" w:sz="8" w:space="0" w:color="000000"/>
              <w:left w:val="nil"/>
              <w:bottom w:val="single" w:sz="4" w:space="0" w:color="auto"/>
              <w:right w:val="single" w:sz="4" w:space="0" w:color="auto"/>
            </w:tcBorders>
            <w:shd w:val="clear" w:color="auto" w:fill="FFFFCC"/>
            <w:vAlign w:val="center"/>
          </w:tcPr>
          <w:p w:rsidR="002C53BC" w:rsidRDefault="002C53BC" w:rsidP="00F51A18">
            <w:pPr>
              <w:ind w:firstLine="142"/>
              <w:rPr>
                <w:color w:val="000000"/>
              </w:rPr>
            </w:pPr>
            <w:r>
              <w:rPr>
                <w:color w:val="000000"/>
              </w:rPr>
              <w:t>9</w:t>
            </w:r>
          </w:p>
        </w:tc>
        <w:tc>
          <w:tcPr>
            <w:tcW w:w="10631" w:type="dxa"/>
            <w:tcBorders>
              <w:top w:val="single" w:sz="8" w:space="0" w:color="000000"/>
              <w:left w:val="single" w:sz="4" w:space="0" w:color="auto"/>
              <w:bottom w:val="single" w:sz="4" w:space="0" w:color="auto"/>
              <w:right w:val="single" w:sz="8" w:space="0" w:color="000000"/>
            </w:tcBorders>
            <w:shd w:val="clear" w:color="auto" w:fill="FFFFCC"/>
            <w:tcMar>
              <w:top w:w="0" w:type="dxa"/>
              <w:left w:w="70" w:type="dxa"/>
              <w:bottom w:w="0" w:type="dxa"/>
              <w:right w:w="70" w:type="dxa"/>
            </w:tcMar>
            <w:vAlign w:val="center"/>
          </w:tcPr>
          <w:p w:rsidR="002C53BC" w:rsidRPr="00183494" w:rsidRDefault="002C53BC" w:rsidP="00A55745">
            <w:pPr>
              <w:rPr>
                <w:b/>
                <w:color w:val="000000"/>
              </w:rPr>
            </w:pPr>
            <w:r w:rsidRPr="00183494">
              <w:rPr>
                <w:b/>
                <w:color w:val="000000"/>
              </w:rPr>
              <w:t>Zakladanie  skupín a organizácií výrobcov</w:t>
            </w:r>
          </w:p>
          <w:p w:rsidR="002C53BC" w:rsidRPr="007B4199" w:rsidRDefault="002C53BC" w:rsidP="00EE750E">
            <w:pPr>
              <w:rPr>
                <w:color w:val="000000"/>
              </w:rPr>
            </w:pPr>
            <w:r w:rsidRPr="00644661">
              <w:rPr>
                <w:b/>
                <w:bCs/>
                <w:color w:val="000080"/>
              </w:rPr>
              <w:t xml:space="preserve">Z toho BA:  </w:t>
            </w:r>
            <w:r>
              <w:rPr>
                <w:b/>
                <w:bCs/>
                <w:color w:val="000080"/>
              </w:rPr>
              <w:t>400 000</w:t>
            </w:r>
            <w:r w:rsidRPr="00644661">
              <w:rPr>
                <w:b/>
                <w:bCs/>
                <w:color w:val="000080"/>
              </w:rPr>
              <w:t>€</w:t>
            </w:r>
            <w:r>
              <w:rPr>
                <w:b/>
                <w:bCs/>
                <w:color w:val="000080"/>
              </w:rPr>
              <w:t xml:space="preserve">  </w:t>
            </w:r>
          </w:p>
        </w:tc>
        <w:tc>
          <w:tcPr>
            <w:tcW w:w="2030" w:type="dxa"/>
            <w:tcBorders>
              <w:top w:val="single" w:sz="8" w:space="0" w:color="000000"/>
              <w:left w:val="nil"/>
              <w:bottom w:val="single" w:sz="4" w:space="0" w:color="auto"/>
              <w:right w:val="single" w:sz="8" w:space="0" w:color="000000"/>
            </w:tcBorders>
            <w:shd w:val="clear" w:color="auto" w:fill="FFFFCC"/>
            <w:tcMar>
              <w:top w:w="0" w:type="dxa"/>
              <w:left w:w="70" w:type="dxa"/>
              <w:bottom w:w="0" w:type="dxa"/>
              <w:right w:w="70" w:type="dxa"/>
            </w:tcMar>
            <w:vAlign w:val="center"/>
          </w:tcPr>
          <w:p w:rsidR="002C53BC" w:rsidRPr="007B4199" w:rsidRDefault="002C53BC" w:rsidP="00EE750E">
            <w:pPr>
              <w:ind w:firstLine="280"/>
              <w:jc w:val="right"/>
              <w:rPr>
                <w:color w:val="000000"/>
              </w:rPr>
            </w:pPr>
            <w:r>
              <w:rPr>
                <w:color w:val="000000"/>
              </w:rPr>
              <w:t xml:space="preserve">10 000 000,00  </w:t>
            </w:r>
          </w:p>
        </w:tc>
      </w:tr>
      <w:tr w:rsidR="002C53BC" w:rsidRPr="007B4199" w:rsidTr="00E84986">
        <w:trPr>
          <w:trHeight w:val="390"/>
        </w:trPr>
        <w:tc>
          <w:tcPr>
            <w:tcW w:w="797" w:type="dxa"/>
            <w:gridSpan w:val="2"/>
            <w:tcBorders>
              <w:top w:val="single" w:sz="4" w:space="0" w:color="auto"/>
              <w:left w:val="single" w:sz="4" w:space="0" w:color="auto"/>
              <w:bottom w:val="single" w:sz="4" w:space="0" w:color="auto"/>
              <w:right w:val="single" w:sz="8" w:space="0" w:color="000000"/>
            </w:tcBorders>
            <w:shd w:val="clear" w:color="auto" w:fill="C3E290"/>
            <w:tcMar>
              <w:top w:w="0" w:type="dxa"/>
              <w:left w:w="70" w:type="dxa"/>
              <w:bottom w:w="0" w:type="dxa"/>
              <w:right w:w="70" w:type="dxa"/>
            </w:tcMar>
            <w:vAlign w:val="center"/>
            <w:hideMark/>
          </w:tcPr>
          <w:p w:rsidR="002C53BC" w:rsidRPr="007B4199" w:rsidRDefault="002C53BC" w:rsidP="00EE750E">
            <w:pPr>
              <w:jc w:val="center"/>
              <w:rPr>
                <w:color w:val="000000"/>
              </w:rPr>
            </w:pPr>
            <w:r>
              <w:rPr>
                <w:color w:val="000000"/>
              </w:rPr>
              <w:t>28</w:t>
            </w:r>
          </w:p>
        </w:tc>
        <w:tc>
          <w:tcPr>
            <w:tcW w:w="709" w:type="dxa"/>
            <w:tcBorders>
              <w:top w:val="single" w:sz="4" w:space="0" w:color="auto"/>
              <w:left w:val="nil"/>
              <w:bottom w:val="single" w:sz="4" w:space="0" w:color="auto"/>
              <w:right w:val="single" w:sz="4" w:space="0" w:color="auto"/>
            </w:tcBorders>
            <w:shd w:val="clear" w:color="auto" w:fill="C3E290"/>
            <w:vAlign w:val="center"/>
          </w:tcPr>
          <w:p w:rsidR="002C53BC" w:rsidRDefault="002C53BC" w:rsidP="00F51A18">
            <w:pPr>
              <w:ind w:firstLine="142"/>
              <w:rPr>
                <w:color w:val="000000"/>
              </w:rPr>
            </w:pPr>
            <w:r>
              <w:rPr>
                <w:color w:val="000000"/>
              </w:rPr>
              <w:t>10.1</w:t>
            </w:r>
          </w:p>
          <w:p w:rsidR="002C53BC" w:rsidRPr="007B4199" w:rsidRDefault="002C53BC" w:rsidP="00F51A18">
            <w:pPr>
              <w:ind w:firstLine="142"/>
              <w:rPr>
                <w:color w:val="000000"/>
              </w:rPr>
            </w:pPr>
            <w:r>
              <w:rPr>
                <w:color w:val="000000"/>
              </w:rPr>
              <w:t>10.2</w:t>
            </w:r>
          </w:p>
        </w:tc>
        <w:tc>
          <w:tcPr>
            <w:tcW w:w="10631" w:type="dxa"/>
            <w:tcBorders>
              <w:top w:val="single" w:sz="4" w:space="0" w:color="auto"/>
              <w:left w:val="single" w:sz="4" w:space="0" w:color="auto"/>
              <w:bottom w:val="single" w:sz="4" w:space="0" w:color="auto"/>
              <w:right w:val="single" w:sz="8" w:space="0" w:color="000000"/>
            </w:tcBorders>
            <w:shd w:val="clear" w:color="auto" w:fill="C3E290"/>
            <w:tcMar>
              <w:top w:w="0" w:type="dxa"/>
              <w:left w:w="70" w:type="dxa"/>
              <w:bottom w:w="0" w:type="dxa"/>
              <w:right w:w="70" w:type="dxa"/>
            </w:tcMar>
            <w:vAlign w:val="center"/>
            <w:hideMark/>
          </w:tcPr>
          <w:p w:rsidR="002C53BC" w:rsidRDefault="002C53BC" w:rsidP="00A55745">
            <w:pPr>
              <w:rPr>
                <w:color w:val="000000"/>
              </w:rPr>
            </w:pPr>
            <w:r w:rsidRPr="0043413B">
              <w:rPr>
                <w:b/>
                <w:color w:val="000000"/>
              </w:rPr>
              <w:t>Agroenvironmentálno-klimatické opatrenie:</w:t>
            </w:r>
            <w:r>
              <w:rPr>
                <w:color w:val="000000"/>
              </w:rPr>
              <w:t xml:space="preserve"> </w:t>
            </w:r>
          </w:p>
          <w:p w:rsidR="002C53BC" w:rsidRDefault="002C53BC" w:rsidP="00EE750E">
            <w:pPr>
              <w:rPr>
                <w:color w:val="000000"/>
              </w:rPr>
            </w:pPr>
            <w:r>
              <w:rPr>
                <w:color w:val="000000"/>
              </w:rPr>
              <w:t xml:space="preserve">Platby za </w:t>
            </w:r>
            <w:r w:rsidR="00A55745">
              <w:rPr>
                <w:color w:val="000000"/>
              </w:rPr>
              <w:t>a</w:t>
            </w:r>
            <w:r>
              <w:rPr>
                <w:color w:val="000000"/>
              </w:rPr>
              <w:t xml:space="preserve">groenvironmentálno-klimatické záväzky; </w:t>
            </w:r>
          </w:p>
          <w:p w:rsidR="002C53BC" w:rsidRPr="007B4199" w:rsidRDefault="002C53BC" w:rsidP="00EE750E">
            <w:pPr>
              <w:rPr>
                <w:color w:val="000000"/>
              </w:rPr>
            </w:pPr>
            <w:r>
              <w:rPr>
                <w:color w:val="000000"/>
              </w:rPr>
              <w:lastRenderedPageBreak/>
              <w:t>Podpora na zachovanie a udržateľné využívanie a rozvoj genetických zdrojov v poľnohospodárstve.</w:t>
            </w:r>
          </w:p>
          <w:p w:rsidR="002C53BC" w:rsidRPr="007B4199" w:rsidRDefault="002C53BC" w:rsidP="00EE750E">
            <w:pPr>
              <w:rPr>
                <w:color w:val="1F497D"/>
              </w:rPr>
            </w:pPr>
            <w:r w:rsidRPr="00644661">
              <w:rPr>
                <w:b/>
                <w:bCs/>
                <w:color w:val="000080"/>
              </w:rPr>
              <w:t xml:space="preserve">Z toho BA: </w:t>
            </w:r>
            <w:r>
              <w:rPr>
                <w:b/>
                <w:bCs/>
                <w:color w:val="000080"/>
              </w:rPr>
              <w:t>4 907 100</w:t>
            </w:r>
            <w:r w:rsidRPr="00644661">
              <w:rPr>
                <w:b/>
                <w:bCs/>
                <w:color w:val="000080"/>
              </w:rPr>
              <w:t>€</w:t>
            </w:r>
            <w:r>
              <w:rPr>
                <w:b/>
                <w:bCs/>
                <w:color w:val="000080"/>
              </w:rPr>
              <w:t xml:space="preserve"> </w:t>
            </w:r>
          </w:p>
        </w:tc>
        <w:tc>
          <w:tcPr>
            <w:tcW w:w="2030" w:type="dxa"/>
            <w:tcBorders>
              <w:top w:val="single" w:sz="4" w:space="0" w:color="auto"/>
              <w:left w:val="nil"/>
              <w:bottom w:val="single" w:sz="4" w:space="0" w:color="auto"/>
              <w:right w:val="single" w:sz="8" w:space="0" w:color="000000"/>
            </w:tcBorders>
            <w:shd w:val="clear" w:color="auto" w:fill="C3E290"/>
            <w:tcMar>
              <w:top w:w="0" w:type="dxa"/>
              <w:left w:w="70" w:type="dxa"/>
              <w:bottom w:w="0" w:type="dxa"/>
              <w:right w:w="70" w:type="dxa"/>
            </w:tcMar>
            <w:vAlign w:val="center"/>
            <w:hideMark/>
          </w:tcPr>
          <w:p w:rsidR="002C53BC" w:rsidRPr="007B4199" w:rsidRDefault="002C53BC" w:rsidP="00EE750E">
            <w:pPr>
              <w:ind w:firstLine="280"/>
              <w:jc w:val="right"/>
              <w:rPr>
                <w:color w:val="000000"/>
              </w:rPr>
            </w:pPr>
            <w:r>
              <w:rPr>
                <w:color w:val="000000"/>
              </w:rPr>
              <w:lastRenderedPageBreak/>
              <w:t>143 750 000,00</w:t>
            </w:r>
          </w:p>
        </w:tc>
      </w:tr>
      <w:tr w:rsidR="002C53BC" w:rsidRPr="007B4199" w:rsidTr="00E84986">
        <w:trPr>
          <w:trHeight w:val="390"/>
        </w:trPr>
        <w:tc>
          <w:tcPr>
            <w:tcW w:w="797" w:type="dxa"/>
            <w:gridSpan w:val="2"/>
            <w:tcBorders>
              <w:top w:val="single" w:sz="4" w:space="0" w:color="auto"/>
              <w:left w:val="single" w:sz="4" w:space="0" w:color="auto"/>
              <w:bottom w:val="single" w:sz="4" w:space="0" w:color="auto"/>
              <w:right w:val="single" w:sz="8" w:space="0" w:color="000000"/>
            </w:tcBorders>
            <w:shd w:val="clear" w:color="auto" w:fill="C3E290"/>
            <w:tcMar>
              <w:top w:w="0" w:type="dxa"/>
              <w:left w:w="70" w:type="dxa"/>
              <w:bottom w:w="0" w:type="dxa"/>
              <w:right w:w="70" w:type="dxa"/>
            </w:tcMar>
            <w:vAlign w:val="center"/>
            <w:hideMark/>
          </w:tcPr>
          <w:p w:rsidR="002C53BC" w:rsidRPr="007B4199" w:rsidRDefault="002C53BC" w:rsidP="00EE750E">
            <w:pPr>
              <w:jc w:val="center"/>
              <w:rPr>
                <w:color w:val="000000"/>
              </w:rPr>
            </w:pPr>
            <w:r>
              <w:rPr>
                <w:color w:val="000000"/>
              </w:rPr>
              <w:lastRenderedPageBreak/>
              <w:t>29</w:t>
            </w:r>
          </w:p>
        </w:tc>
        <w:tc>
          <w:tcPr>
            <w:tcW w:w="709" w:type="dxa"/>
            <w:tcBorders>
              <w:top w:val="single" w:sz="4" w:space="0" w:color="auto"/>
              <w:left w:val="nil"/>
              <w:bottom w:val="single" w:sz="4" w:space="0" w:color="auto"/>
              <w:right w:val="single" w:sz="4" w:space="0" w:color="auto"/>
            </w:tcBorders>
            <w:shd w:val="clear" w:color="auto" w:fill="C3E290"/>
            <w:vAlign w:val="center"/>
          </w:tcPr>
          <w:p w:rsidR="002C53BC" w:rsidRDefault="002C53BC" w:rsidP="00F51A18">
            <w:pPr>
              <w:ind w:firstLine="142"/>
              <w:rPr>
                <w:color w:val="000000"/>
              </w:rPr>
            </w:pPr>
            <w:r>
              <w:rPr>
                <w:color w:val="000000"/>
              </w:rPr>
              <w:t>11.1</w:t>
            </w:r>
          </w:p>
          <w:p w:rsidR="002C53BC" w:rsidRPr="007B4199" w:rsidRDefault="002C53BC" w:rsidP="00F51A18">
            <w:pPr>
              <w:ind w:firstLine="142"/>
              <w:rPr>
                <w:color w:val="000000"/>
              </w:rPr>
            </w:pPr>
            <w:r>
              <w:rPr>
                <w:color w:val="000000"/>
              </w:rPr>
              <w:t>11.2</w:t>
            </w:r>
          </w:p>
        </w:tc>
        <w:tc>
          <w:tcPr>
            <w:tcW w:w="10631" w:type="dxa"/>
            <w:tcBorders>
              <w:top w:val="single" w:sz="4" w:space="0" w:color="auto"/>
              <w:left w:val="single" w:sz="4" w:space="0" w:color="auto"/>
              <w:bottom w:val="single" w:sz="4" w:space="0" w:color="auto"/>
              <w:right w:val="single" w:sz="8" w:space="0" w:color="000000"/>
            </w:tcBorders>
            <w:shd w:val="clear" w:color="auto" w:fill="C3E290"/>
            <w:tcMar>
              <w:top w:w="0" w:type="dxa"/>
              <w:left w:w="70" w:type="dxa"/>
              <w:bottom w:w="0" w:type="dxa"/>
              <w:right w:w="70" w:type="dxa"/>
            </w:tcMar>
            <w:vAlign w:val="center"/>
            <w:hideMark/>
          </w:tcPr>
          <w:p w:rsidR="002C53BC" w:rsidRDefault="002C53BC" w:rsidP="00A55745">
            <w:pPr>
              <w:rPr>
                <w:color w:val="000000"/>
              </w:rPr>
            </w:pPr>
            <w:r w:rsidRPr="0043413B">
              <w:rPr>
                <w:b/>
                <w:color w:val="000000"/>
              </w:rPr>
              <w:t>Ekologické poľnohospodárstvo:</w:t>
            </w:r>
            <w:r>
              <w:rPr>
                <w:color w:val="000000"/>
              </w:rPr>
              <w:t xml:space="preserve"> </w:t>
            </w:r>
          </w:p>
          <w:p w:rsidR="002C53BC" w:rsidRDefault="002C53BC" w:rsidP="00EE750E">
            <w:pPr>
              <w:rPr>
                <w:color w:val="000000"/>
              </w:rPr>
            </w:pPr>
            <w:r>
              <w:rPr>
                <w:color w:val="000000"/>
              </w:rPr>
              <w:t xml:space="preserve">Platby na konverziu na ekologické poľnohospodárstvo; </w:t>
            </w:r>
          </w:p>
          <w:p w:rsidR="002C53BC" w:rsidRPr="007B4199" w:rsidRDefault="002C53BC" w:rsidP="00EE750E">
            <w:pPr>
              <w:rPr>
                <w:color w:val="000000"/>
              </w:rPr>
            </w:pPr>
            <w:r>
              <w:rPr>
                <w:color w:val="000000"/>
              </w:rPr>
              <w:t>Platby na udržanie ekologického poľnohospodárstva.</w:t>
            </w:r>
          </w:p>
          <w:p w:rsidR="002C53BC" w:rsidRPr="007B4199" w:rsidRDefault="002C53BC" w:rsidP="00EE750E">
            <w:pPr>
              <w:rPr>
                <w:color w:val="1F497D"/>
              </w:rPr>
            </w:pPr>
            <w:r w:rsidRPr="00644661">
              <w:rPr>
                <w:b/>
                <w:bCs/>
                <w:color w:val="000080"/>
              </w:rPr>
              <w:t>Z toho BA: 1 170</w:t>
            </w:r>
            <w:r>
              <w:rPr>
                <w:b/>
                <w:bCs/>
                <w:color w:val="000080"/>
              </w:rPr>
              <w:t> </w:t>
            </w:r>
            <w:r w:rsidRPr="00644661">
              <w:rPr>
                <w:b/>
                <w:bCs/>
                <w:color w:val="000080"/>
              </w:rPr>
              <w:t>000</w:t>
            </w:r>
            <w:r>
              <w:rPr>
                <w:b/>
                <w:bCs/>
                <w:color w:val="000080"/>
              </w:rPr>
              <w:t xml:space="preserve">€ </w:t>
            </w:r>
          </w:p>
        </w:tc>
        <w:tc>
          <w:tcPr>
            <w:tcW w:w="2030" w:type="dxa"/>
            <w:tcBorders>
              <w:top w:val="single" w:sz="4" w:space="0" w:color="auto"/>
              <w:left w:val="nil"/>
              <w:bottom w:val="single" w:sz="4" w:space="0" w:color="auto"/>
              <w:right w:val="single" w:sz="8" w:space="0" w:color="000000"/>
            </w:tcBorders>
            <w:shd w:val="clear" w:color="auto" w:fill="C3E290"/>
            <w:tcMar>
              <w:top w:w="0" w:type="dxa"/>
              <w:left w:w="70" w:type="dxa"/>
              <w:bottom w:w="0" w:type="dxa"/>
              <w:right w:w="70" w:type="dxa"/>
            </w:tcMar>
            <w:vAlign w:val="center"/>
            <w:hideMark/>
          </w:tcPr>
          <w:p w:rsidR="002C53BC" w:rsidRPr="007B4199" w:rsidRDefault="002C53BC" w:rsidP="00EE750E">
            <w:pPr>
              <w:ind w:firstLine="280"/>
              <w:jc w:val="right"/>
              <w:rPr>
                <w:color w:val="000000"/>
              </w:rPr>
            </w:pPr>
            <w:r w:rsidRPr="007B4199">
              <w:rPr>
                <w:color w:val="000000"/>
              </w:rPr>
              <w:t>90 000</w:t>
            </w:r>
            <w:r>
              <w:rPr>
                <w:color w:val="000000"/>
              </w:rPr>
              <w:t> </w:t>
            </w:r>
            <w:r w:rsidRPr="007B4199">
              <w:rPr>
                <w:color w:val="000000"/>
              </w:rPr>
              <w:t>000</w:t>
            </w:r>
            <w:r>
              <w:rPr>
                <w:color w:val="000000"/>
              </w:rPr>
              <w:t>,00</w:t>
            </w:r>
          </w:p>
        </w:tc>
      </w:tr>
      <w:tr w:rsidR="002C53BC" w:rsidRPr="007B4199" w:rsidTr="00E84986">
        <w:trPr>
          <w:trHeight w:val="390"/>
        </w:trPr>
        <w:tc>
          <w:tcPr>
            <w:tcW w:w="797" w:type="dxa"/>
            <w:gridSpan w:val="2"/>
            <w:tcBorders>
              <w:top w:val="single" w:sz="4" w:space="0" w:color="auto"/>
              <w:left w:val="single" w:sz="4" w:space="0" w:color="auto"/>
              <w:bottom w:val="single" w:sz="4" w:space="0" w:color="auto"/>
              <w:right w:val="single" w:sz="8" w:space="0" w:color="000000"/>
            </w:tcBorders>
            <w:shd w:val="clear" w:color="auto" w:fill="C3E290"/>
            <w:tcMar>
              <w:top w:w="0" w:type="dxa"/>
              <w:left w:w="70" w:type="dxa"/>
              <w:bottom w:w="0" w:type="dxa"/>
              <w:right w:w="70" w:type="dxa"/>
            </w:tcMar>
            <w:vAlign w:val="center"/>
            <w:hideMark/>
          </w:tcPr>
          <w:p w:rsidR="002C53BC" w:rsidRPr="007B4199" w:rsidRDefault="002C53BC" w:rsidP="00EE750E">
            <w:pPr>
              <w:jc w:val="center"/>
              <w:rPr>
                <w:color w:val="000000"/>
              </w:rPr>
            </w:pPr>
            <w:r>
              <w:rPr>
                <w:color w:val="000000"/>
              </w:rPr>
              <w:t>30</w:t>
            </w:r>
          </w:p>
        </w:tc>
        <w:tc>
          <w:tcPr>
            <w:tcW w:w="709" w:type="dxa"/>
            <w:tcBorders>
              <w:top w:val="single" w:sz="4" w:space="0" w:color="auto"/>
              <w:left w:val="nil"/>
              <w:bottom w:val="single" w:sz="4" w:space="0" w:color="auto"/>
              <w:right w:val="single" w:sz="4" w:space="0" w:color="auto"/>
            </w:tcBorders>
            <w:shd w:val="clear" w:color="auto" w:fill="C3E290"/>
            <w:vAlign w:val="center"/>
          </w:tcPr>
          <w:p w:rsidR="002C53BC" w:rsidRDefault="002C53BC" w:rsidP="00F51A18">
            <w:pPr>
              <w:ind w:firstLine="142"/>
              <w:rPr>
                <w:color w:val="000000"/>
              </w:rPr>
            </w:pPr>
            <w:r>
              <w:rPr>
                <w:color w:val="000000"/>
              </w:rPr>
              <w:t>12.1</w:t>
            </w:r>
          </w:p>
          <w:p w:rsidR="002C53BC" w:rsidRPr="007B4199" w:rsidRDefault="002C53BC" w:rsidP="00F51A18">
            <w:pPr>
              <w:ind w:firstLine="142"/>
              <w:rPr>
                <w:color w:val="000000"/>
              </w:rPr>
            </w:pPr>
            <w:r>
              <w:rPr>
                <w:color w:val="000000"/>
              </w:rPr>
              <w:t>12.2</w:t>
            </w:r>
          </w:p>
        </w:tc>
        <w:tc>
          <w:tcPr>
            <w:tcW w:w="10631" w:type="dxa"/>
            <w:tcBorders>
              <w:top w:val="single" w:sz="4" w:space="0" w:color="auto"/>
              <w:left w:val="single" w:sz="4" w:space="0" w:color="auto"/>
              <w:bottom w:val="single" w:sz="4" w:space="0" w:color="auto"/>
              <w:right w:val="single" w:sz="8" w:space="0" w:color="000000"/>
            </w:tcBorders>
            <w:shd w:val="clear" w:color="auto" w:fill="C3E290"/>
            <w:tcMar>
              <w:top w:w="0" w:type="dxa"/>
              <w:left w:w="70" w:type="dxa"/>
              <w:bottom w:w="0" w:type="dxa"/>
              <w:right w:w="70" w:type="dxa"/>
            </w:tcMar>
            <w:vAlign w:val="center"/>
            <w:hideMark/>
          </w:tcPr>
          <w:p w:rsidR="002C53BC" w:rsidRDefault="002C53BC" w:rsidP="00A55745">
            <w:pPr>
              <w:rPr>
                <w:color w:val="000000"/>
              </w:rPr>
            </w:pPr>
            <w:r w:rsidRPr="0043413B">
              <w:rPr>
                <w:b/>
                <w:color w:val="000000"/>
              </w:rPr>
              <w:t>Platby v rámci sústavy  NATURA 2000:</w:t>
            </w:r>
            <w:r>
              <w:rPr>
                <w:color w:val="000000"/>
              </w:rPr>
              <w:t xml:space="preserve"> </w:t>
            </w:r>
          </w:p>
          <w:p w:rsidR="002C53BC" w:rsidRDefault="002C53BC" w:rsidP="00EE750E">
            <w:pPr>
              <w:rPr>
                <w:color w:val="000000"/>
              </w:rPr>
            </w:pPr>
            <w:r>
              <w:rPr>
                <w:color w:val="000000"/>
              </w:rPr>
              <w:t xml:space="preserve">Kompenzačné platby v rámci sústavy Natura 2000 – poľnohospodárska pôda; </w:t>
            </w:r>
          </w:p>
          <w:p w:rsidR="002C53BC" w:rsidRPr="007B4199" w:rsidRDefault="002C53BC" w:rsidP="00EE750E">
            <w:pPr>
              <w:rPr>
                <w:color w:val="000000"/>
              </w:rPr>
            </w:pPr>
            <w:r>
              <w:rPr>
                <w:color w:val="000000"/>
              </w:rPr>
              <w:t>Kompenzačné platby v rámci sústavy Natura 2000 – lesný pozemok.</w:t>
            </w:r>
          </w:p>
          <w:p w:rsidR="002C53BC" w:rsidRPr="007B4199" w:rsidRDefault="002C53BC" w:rsidP="00EE750E">
            <w:pPr>
              <w:rPr>
                <w:color w:val="1F497D"/>
              </w:rPr>
            </w:pPr>
            <w:r w:rsidRPr="00644661">
              <w:rPr>
                <w:b/>
                <w:bCs/>
                <w:color w:val="000080"/>
              </w:rPr>
              <w:t xml:space="preserve">Z toho BA: </w:t>
            </w:r>
            <w:r>
              <w:rPr>
                <w:b/>
                <w:bCs/>
                <w:color w:val="000080"/>
              </w:rPr>
              <w:t>155 572</w:t>
            </w:r>
            <w:r w:rsidRPr="00644661">
              <w:rPr>
                <w:b/>
                <w:bCs/>
                <w:color w:val="000080"/>
              </w:rPr>
              <w:t>€</w:t>
            </w:r>
            <w:r>
              <w:rPr>
                <w:b/>
                <w:bCs/>
                <w:color w:val="000080"/>
              </w:rPr>
              <w:t xml:space="preserve"> </w:t>
            </w:r>
          </w:p>
        </w:tc>
        <w:tc>
          <w:tcPr>
            <w:tcW w:w="2030" w:type="dxa"/>
            <w:tcBorders>
              <w:top w:val="single" w:sz="4" w:space="0" w:color="auto"/>
              <w:left w:val="nil"/>
              <w:bottom w:val="single" w:sz="4" w:space="0" w:color="auto"/>
              <w:right w:val="single" w:sz="8" w:space="0" w:color="000000"/>
            </w:tcBorders>
            <w:shd w:val="clear" w:color="auto" w:fill="C3E290"/>
            <w:tcMar>
              <w:top w:w="0" w:type="dxa"/>
              <w:left w:w="70" w:type="dxa"/>
              <w:bottom w:w="0" w:type="dxa"/>
              <w:right w:w="70" w:type="dxa"/>
            </w:tcMar>
            <w:vAlign w:val="center"/>
            <w:hideMark/>
          </w:tcPr>
          <w:p w:rsidR="002C53BC" w:rsidRPr="007B4199" w:rsidRDefault="002C53BC" w:rsidP="00EE750E">
            <w:pPr>
              <w:ind w:firstLine="280"/>
              <w:jc w:val="right"/>
              <w:rPr>
                <w:color w:val="000000"/>
              </w:rPr>
            </w:pPr>
            <w:r>
              <w:rPr>
                <w:color w:val="000000"/>
              </w:rPr>
              <w:t xml:space="preserve">8 740 000,00 </w:t>
            </w:r>
          </w:p>
        </w:tc>
      </w:tr>
      <w:tr w:rsidR="002C53BC" w:rsidRPr="007B4199" w:rsidTr="00E84986">
        <w:trPr>
          <w:trHeight w:val="390"/>
        </w:trPr>
        <w:tc>
          <w:tcPr>
            <w:tcW w:w="797" w:type="dxa"/>
            <w:gridSpan w:val="2"/>
            <w:tcBorders>
              <w:top w:val="single" w:sz="4" w:space="0" w:color="auto"/>
              <w:left w:val="single" w:sz="4" w:space="0" w:color="auto"/>
              <w:bottom w:val="single" w:sz="8" w:space="0" w:color="000000"/>
              <w:right w:val="single" w:sz="8" w:space="0" w:color="000000"/>
            </w:tcBorders>
            <w:shd w:val="clear" w:color="auto" w:fill="C3E290"/>
            <w:tcMar>
              <w:top w:w="0" w:type="dxa"/>
              <w:left w:w="70" w:type="dxa"/>
              <w:bottom w:w="0" w:type="dxa"/>
              <w:right w:w="70" w:type="dxa"/>
            </w:tcMar>
            <w:vAlign w:val="center"/>
            <w:hideMark/>
          </w:tcPr>
          <w:p w:rsidR="002C53BC" w:rsidRPr="007B4199" w:rsidRDefault="002C53BC" w:rsidP="00EE750E">
            <w:pPr>
              <w:jc w:val="center"/>
              <w:rPr>
                <w:color w:val="000000"/>
              </w:rPr>
            </w:pPr>
            <w:r>
              <w:rPr>
                <w:color w:val="000000"/>
              </w:rPr>
              <w:t>31</w:t>
            </w:r>
          </w:p>
        </w:tc>
        <w:tc>
          <w:tcPr>
            <w:tcW w:w="709" w:type="dxa"/>
            <w:tcBorders>
              <w:top w:val="single" w:sz="4" w:space="0" w:color="auto"/>
              <w:left w:val="nil"/>
              <w:bottom w:val="single" w:sz="8" w:space="0" w:color="000000"/>
              <w:right w:val="single" w:sz="4" w:space="0" w:color="auto"/>
            </w:tcBorders>
            <w:shd w:val="clear" w:color="auto" w:fill="C3E290"/>
            <w:vAlign w:val="center"/>
          </w:tcPr>
          <w:p w:rsidR="002C53BC" w:rsidRDefault="002C53BC" w:rsidP="00F51A18">
            <w:pPr>
              <w:ind w:firstLine="142"/>
              <w:rPr>
                <w:color w:val="000000"/>
              </w:rPr>
            </w:pPr>
            <w:r>
              <w:rPr>
                <w:color w:val="000000"/>
              </w:rPr>
              <w:t>13.1</w:t>
            </w:r>
          </w:p>
          <w:p w:rsidR="002C53BC" w:rsidRDefault="002C53BC" w:rsidP="00F51A18">
            <w:pPr>
              <w:ind w:firstLine="142"/>
              <w:rPr>
                <w:color w:val="000000"/>
              </w:rPr>
            </w:pPr>
            <w:r>
              <w:rPr>
                <w:color w:val="000000"/>
              </w:rPr>
              <w:t>13.2</w:t>
            </w:r>
          </w:p>
          <w:p w:rsidR="002C53BC" w:rsidRPr="007B4199" w:rsidRDefault="002C53BC" w:rsidP="00F51A18">
            <w:pPr>
              <w:ind w:firstLine="142"/>
              <w:rPr>
                <w:color w:val="000000"/>
              </w:rPr>
            </w:pPr>
            <w:r>
              <w:rPr>
                <w:color w:val="000000"/>
              </w:rPr>
              <w:t>13.3</w:t>
            </w:r>
          </w:p>
        </w:tc>
        <w:tc>
          <w:tcPr>
            <w:tcW w:w="10631" w:type="dxa"/>
            <w:tcBorders>
              <w:top w:val="single" w:sz="4" w:space="0" w:color="auto"/>
              <w:left w:val="single" w:sz="4" w:space="0" w:color="auto"/>
              <w:bottom w:val="single" w:sz="8" w:space="0" w:color="000000"/>
              <w:right w:val="single" w:sz="8" w:space="0" w:color="000000"/>
            </w:tcBorders>
            <w:shd w:val="clear" w:color="auto" w:fill="C3E290"/>
            <w:tcMar>
              <w:top w:w="0" w:type="dxa"/>
              <w:left w:w="70" w:type="dxa"/>
              <w:bottom w:w="0" w:type="dxa"/>
              <w:right w:w="70" w:type="dxa"/>
            </w:tcMar>
            <w:vAlign w:val="center"/>
            <w:hideMark/>
          </w:tcPr>
          <w:p w:rsidR="002C53BC" w:rsidRPr="00863FE9" w:rsidRDefault="002C53BC" w:rsidP="00A55745">
            <w:pPr>
              <w:rPr>
                <w:b/>
                <w:color w:val="000000"/>
              </w:rPr>
            </w:pPr>
            <w:r w:rsidRPr="00863FE9">
              <w:rPr>
                <w:b/>
                <w:color w:val="000000"/>
              </w:rPr>
              <w:t xml:space="preserve">Platby pre oblasti s prírodnými alebo inými osobitnými obmedzeniami: </w:t>
            </w:r>
          </w:p>
          <w:p w:rsidR="002C53BC" w:rsidRDefault="002C53BC" w:rsidP="00EE750E">
            <w:pPr>
              <w:rPr>
                <w:color w:val="000000"/>
              </w:rPr>
            </w:pPr>
            <w:r>
              <w:rPr>
                <w:color w:val="000000"/>
              </w:rPr>
              <w:t xml:space="preserve">Kompenzačné platby v horských oblastiach; </w:t>
            </w:r>
          </w:p>
          <w:p w:rsidR="002C53BC" w:rsidRDefault="002C53BC" w:rsidP="00EE750E">
            <w:pPr>
              <w:rPr>
                <w:color w:val="000000"/>
              </w:rPr>
            </w:pPr>
            <w:r>
              <w:rPr>
                <w:color w:val="000000"/>
              </w:rPr>
              <w:t xml:space="preserve">Kompenzačné platby pre ostatné oblasti čeliace významným prírodným obmedzeniam; </w:t>
            </w:r>
          </w:p>
          <w:p w:rsidR="002C53BC" w:rsidRDefault="002C53BC" w:rsidP="00EE750E">
            <w:pPr>
              <w:rPr>
                <w:color w:val="000000"/>
              </w:rPr>
            </w:pPr>
            <w:r>
              <w:rPr>
                <w:color w:val="000000"/>
              </w:rPr>
              <w:t>Kompenzačné platby v ostatných oblastiach postihnutých špecifickými obmedzeniami.</w:t>
            </w:r>
          </w:p>
          <w:p w:rsidR="002C53BC" w:rsidRPr="007B4199" w:rsidRDefault="002C53BC" w:rsidP="00EE750E">
            <w:pPr>
              <w:rPr>
                <w:color w:val="1F497D"/>
              </w:rPr>
            </w:pPr>
            <w:r w:rsidRPr="00644661">
              <w:rPr>
                <w:b/>
                <w:bCs/>
                <w:color w:val="000080"/>
              </w:rPr>
              <w:t xml:space="preserve">Z toho BA: </w:t>
            </w:r>
            <w:r>
              <w:rPr>
                <w:b/>
                <w:bCs/>
                <w:color w:val="000080"/>
              </w:rPr>
              <w:t>7 915 460</w:t>
            </w:r>
            <w:r w:rsidRPr="00644661">
              <w:rPr>
                <w:b/>
                <w:bCs/>
                <w:color w:val="000080"/>
              </w:rPr>
              <w:t>€</w:t>
            </w:r>
            <w:r>
              <w:rPr>
                <w:b/>
                <w:bCs/>
                <w:color w:val="000080"/>
              </w:rPr>
              <w:t xml:space="preserve"> </w:t>
            </w:r>
          </w:p>
        </w:tc>
        <w:tc>
          <w:tcPr>
            <w:tcW w:w="2030" w:type="dxa"/>
            <w:tcBorders>
              <w:top w:val="single" w:sz="4" w:space="0" w:color="auto"/>
              <w:left w:val="nil"/>
              <w:bottom w:val="single" w:sz="8" w:space="0" w:color="000000"/>
              <w:right w:val="single" w:sz="8" w:space="0" w:color="000000"/>
            </w:tcBorders>
            <w:shd w:val="clear" w:color="auto" w:fill="C3E290"/>
            <w:tcMar>
              <w:top w:w="0" w:type="dxa"/>
              <w:left w:w="70" w:type="dxa"/>
              <w:bottom w:w="0" w:type="dxa"/>
              <w:right w:w="70" w:type="dxa"/>
            </w:tcMar>
            <w:vAlign w:val="center"/>
            <w:hideMark/>
          </w:tcPr>
          <w:p w:rsidR="002C53BC" w:rsidRPr="007B4199" w:rsidRDefault="002C53BC" w:rsidP="00EE750E">
            <w:pPr>
              <w:ind w:firstLine="280"/>
              <w:jc w:val="right"/>
              <w:rPr>
                <w:color w:val="000000"/>
              </w:rPr>
            </w:pPr>
            <w:r>
              <w:rPr>
                <w:color w:val="000000"/>
              </w:rPr>
              <w:t>482 650 000,00</w:t>
            </w:r>
          </w:p>
        </w:tc>
      </w:tr>
      <w:tr w:rsidR="002C53BC" w:rsidRPr="007B4199" w:rsidTr="00E84986">
        <w:trPr>
          <w:trHeight w:val="390"/>
        </w:trPr>
        <w:tc>
          <w:tcPr>
            <w:tcW w:w="797" w:type="dxa"/>
            <w:gridSpan w:val="2"/>
            <w:tcBorders>
              <w:top w:val="single" w:sz="8" w:space="0" w:color="000000"/>
              <w:left w:val="single" w:sz="4" w:space="0" w:color="auto"/>
              <w:bottom w:val="single" w:sz="8" w:space="0" w:color="000000"/>
              <w:right w:val="single" w:sz="8" w:space="0" w:color="000000"/>
            </w:tcBorders>
            <w:shd w:val="clear" w:color="auto" w:fill="C3E290"/>
            <w:tcMar>
              <w:top w:w="0" w:type="dxa"/>
              <w:left w:w="70" w:type="dxa"/>
              <w:bottom w:w="0" w:type="dxa"/>
              <w:right w:w="70" w:type="dxa"/>
            </w:tcMar>
            <w:vAlign w:val="center"/>
            <w:hideMark/>
          </w:tcPr>
          <w:p w:rsidR="002C53BC" w:rsidRPr="007B4199" w:rsidRDefault="002C53BC" w:rsidP="00EE750E">
            <w:pPr>
              <w:jc w:val="center"/>
              <w:rPr>
                <w:color w:val="000000"/>
              </w:rPr>
            </w:pPr>
            <w:r>
              <w:rPr>
                <w:color w:val="000000"/>
              </w:rPr>
              <w:t>33</w:t>
            </w:r>
          </w:p>
        </w:tc>
        <w:tc>
          <w:tcPr>
            <w:tcW w:w="709" w:type="dxa"/>
            <w:tcBorders>
              <w:top w:val="single" w:sz="8" w:space="0" w:color="000000"/>
              <w:left w:val="nil"/>
              <w:bottom w:val="single" w:sz="8" w:space="0" w:color="000000"/>
              <w:right w:val="single" w:sz="4" w:space="0" w:color="auto"/>
            </w:tcBorders>
            <w:shd w:val="clear" w:color="auto" w:fill="C3E290"/>
            <w:vAlign w:val="center"/>
          </w:tcPr>
          <w:p w:rsidR="002C53BC" w:rsidRPr="007B4199" w:rsidRDefault="002C53BC" w:rsidP="00F51A18">
            <w:pPr>
              <w:ind w:firstLine="142"/>
              <w:rPr>
                <w:color w:val="000000"/>
              </w:rPr>
            </w:pPr>
            <w:r>
              <w:rPr>
                <w:color w:val="000000"/>
              </w:rPr>
              <w:t>14.</w:t>
            </w:r>
          </w:p>
        </w:tc>
        <w:tc>
          <w:tcPr>
            <w:tcW w:w="10631" w:type="dxa"/>
            <w:tcBorders>
              <w:top w:val="single" w:sz="8" w:space="0" w:color="000000"/>
              <w:left w:val="single" w:sz="4" w:space="0" w:color="auto"/>
              <w:bottom w:val="single" w:sz="8" w:space="0" w:color="000000"/>
              <w:right w:val="single" w:sz="8" w:space="0" w:color="000000"/>
            </w:tcBorders>
            <w:shd w:val="clear" w:color="auto" w:fill="C3E290"/>
            <w:tcMar>
              <w:top w:w="0" w:type="dxa"/>
              <w:left w:w="70" w:type="dxa"/>
              <w:bottom w:w="0" w:type="dxa"/>
              <w:right w:w="70" w:type="dxa"/>
            </w:tcMar>
            <w:vAlign w:val="center"/>
            <w:hideMark/>
          </w:tcPr>
          <w:p w:rsidR="002C53BC" w:rsidRPr="005579FB" w:rsidRDefault="002C53BC" w:rsidP="00A55745">
            <w:pPr>
              <w:rPr>
                <w:b/>
                <w:color w:val="000000"/>
              </w:rPr>
            </w:pPr>
            <w:r w:rsidRPr="005579FB">
              <w:rPr>
                <w:b/>
                <w:color w:val="000000"/>
              </w:rPr>
              <w:t>Dobré životné podmienky zvierat</w:t>
            </w:r>
          </w:p>
          <w:p w:rsidR="002C53BC" w:rsidRPr="007B4199" w:rsidRDefault="002C53BC" w:rsidP="00EE750E">
            <w:pPr>
              <w:rPr>
                <w:color w:val="1F497D"/>
              </w:rPr>
            </w:pPr>
            <w:r w:rsidRPr="00644661">
              <w:rPr>
                <w:b/>
                <w:bCs/>
                <w:color w:val="000080"/>
              </w:rPr>
              <w:t>Z</w:t>
            </w:r>
            <w:r>
              <w:rPr>
                <w:b/>
                <w:bCs/>
                <w:color w:val="000080"/>
              </w:rPr>
              <w:t> </w:t>
            </w:r>
            <w:r w:rsidRPr="00644661">
              <w:rPr>
                <w:b/>
                <w:bCs/>
                <w:color w:val="000080"/>
              </w:rPr>
              <w:t xml:space="preserve">toho BA: </w:t>
            </w:r>
            <w:r>
              <w:rPr>
                <w:b/>
                <w:bCs/>
                <w:color w:val="000080"/>
              </w:rPr>
              <w:t xml:space="preserve">5 400 000€ </w:t>
            </w:r>
          </w:p>
        </w:tc>
        <w:tc>
          <w:tcPr>
            <w:tcW w:w="2030" w:type="dxa"/>
            <w:tcBorders>
              <w:top w:val="single" w:sz="8" w:space="0" w:color="000000"/>
              <w:left w:val="nil"/>
              <w:bottom w:val="single" w:sz="8" w:space="0" w:color="000000"/>
              <w:right w:val="single" w:sz="8" w:space="0" w:color="000000"/>
            </w:tcBorders>
            <w:shd w:val="clear" w:color="auto" w:fill="C3E290"/>
            <w:tcMar>
              <w:top w:w="0" w:type="dxa"/>
              <w:left w:w="70" w:type="dxa"/>
              <w:bottom w:w="0" w:type="dxa"/>
              <w:right w:w="70" w:type="dxa"/>
            </w:tcMar>
            <w:vAlign w:val="center"/>
            <w:hideMark/>
          </w:tcPr>
          <w:p w:rsidR="002C53BC" w:rsidRPr="007B4199" w:rsidRDefault="002C53BC" w:rsidP="00EE750E">
            <w:pPr>
              <w:ind w:firstLine="280"/>
              <w:jc w:val="right"/>
              <w:rPr>
                <w:color w:val="000000"/>
              </w:rPr>
            </w:pPr>
            <w:r>
              <w:rPr>
                <w:color w:val="000000"/>
              </w:rPr>
              <w:t>108 000 000,00</w:t>
            </w:r>
          </w:p>
        </w:tc>
      </w:tr>
      <w:tr w:rsidR="002C53BC" w:rsidRPr="007B4199" w:rsidTr="00E84986">
        <w:trPr>
          <w:trHeight w:val="390"/>
        </w:trPr>
        <w:tc>
          <w:tcPr>
            <w:tcW w:w="797" w:type="dxa"/>
            <w:gridSpan w:val="2"/>
            <w:tcBorders>
              <w:top w:val="single" w:sz="8" w:space="0" w:color="000000"/>
              <w:left w:val="single" w:sz="4" w:space="0" w:color="auto"/>
              <w:bottom w:val="single" w:sz="8" w:space="0" w:color="000000"/>
              <w:right w:val="single" w:sz="8" w:space="0" w:color="000000"/>
            </w:tcBorders>
            <w:shd w:val="clear" w:color="auto" w:fill="C3E290"/>
            <w:tcMar>
              <w:top w:w="0" w:type="dxa"/>
              <w:left w:w="70" w:type="dxa"/>
              <w:bottom w:w="0" w:type="dxa"/>
              <w:right w:w="70" w:type="dxa"/>
            </w:tcMar>
            <w:vAlign w:val="center"/>
          </w:tcPr>
          <w:p w:rsidR="002C53BC" w:rsidRDefault="002C53BC" w:rsidP="00EE750E">
            <w:pPr>
              <w:jc w:val="center"/>
              <w:rPr>
                <w:color w:val="000000"/>
              </w:rPr>
            </w:pPr>
            <w:r>
              <w:rPr>
                <w:color w:val="000000"/>
              </w:rPr>
              <w:t>34</w:t>
            </w:r>
          </w:p>
        </w:tc>
        <w:tc>
          <w:tcPr>
            <w:tcW w:w="709" w:type="dxa"/>
            <w:tcBorders>
              <w:top w:val="single" w:sz="8" w:space="0" w:color="000000"/>
              <w:left w:val="nil"/>
              <w:bottom w:val="single" w:sz="8" w:space="0" w:color="000000"/>
              <w:right w:val="single" w:sz="4" w:space="0" w:color="auto"/>
            </w:tcBorders>
            <w:shd w:val="clear" w:color="auto" w:fill="C3E290"/>
            <w:vAlign w:val="center"/>
          </w:tcPr>
          <w:p w:rsidR="002C53BC" w:rsidRDefault="002C53BC" w:rsidP="00F51A18">
            <w:pPr>
              <w:ind w:firstLine="142"/>
              <w:rPr>
                <w:color w:val="000000"/>
              </w:rPr>
            </w:pPr>
            <w:r>
              <w:rPr>
                <w:color w:val="000000"/>
              </w:rPr>
              <w:t>15.1</w:t>
            </w:r>
          </w:p>
          <w:p w:rsidR="002C53BC" w:rsidRDefault="002C53BC" w:rsidP="00F51A18">
            <w:pPr>
              <w:ind w:firstLine="142"/>
              <w:rPr>
                <w:color w:val="000000"/>
              </w:rPr>
            </w:pPr>
            <w:r>
              <w:rPr>
                <w:color w:val="000000"/>
              </w:rPr>
              <w:t>15.2</w:t>
            </w:r>
          </w:p>
        </w:tc>
        <w:tc>
          <w:tcPr>
            <w:tcW w:w="10631" w:type="dxa"/>
            <w:tcBorders>
              <w:top w:val="single" w:sz="8" w:space="0" w:color="000000"/>
              <w:left w:val="single" w:sz="4" w:space="0" w:color="auto"/>
              <w:bottom w:val="single" w:sz="8" w:space="0" w:color="000000"/>
              <w:right w:val="single" w:sz="8" w:space="0" w:color="000000"/>
            </w:tcBorders>
            <w:shd w:val="clear" w:color="auto" w:fill="C3E290"/>
            <w:tcMar>
              <w:top w:w="0" w:type="dxa"/>
              <w:left w:w="70" w:type="dxa"/>
              <w:bottom w:w="0" w:type="dxa"/>
              <w:right w:w="70" w:type="dxa"/>
            </w:tcMar>
            <w:vAlign w:val="center"/>
          </w:tcPr>
          <w:p w:rsidR="002C53BC" w:rsidRPr="001A77E3" w:rsidRDefault="002C53BC" w:rsidP="00A55745">
            <w:pPr>
              <w:rPr>
                <w:b/>
                <w:color w:val="000000"/>
              </w:rPr>
            </w:pPr>
            <w:r w:rsidRPr="001A77E3">
              <w:rPr>
                <w:b/>
                <w:color w:val="000000"/>
              </w:rPr>
              <w:t>Lesnícko-environmentálne a klimatické služby a ochrana lesov</w:t>
            </w:r>
            <w:r>
              <w:rPr>
                <w:b/>
                <w:color w:val="000000"/>
              </w:rPr>
              <w:t>:</w:t>
            </w:r>
          </w:p>
          <w:p w:rsidR="002C53BC" w:rsidRPr="0005560D" w:rsidRDefault="0005560D" w:rsidP="00EE750E">
            <w:pPr>
              <w:rPr>
                <w:rFonts w:eastAsia="Calibri"/>
                <w:lang w:eastAsia="fr-FR"/>
              </w:rPr>
            </w:pPr>
            <w:r>
              <w:rPr>
                <w:rFonts w:eastAsia="Calibri"/>
                <w:lang w:eastAsia="fr-FR"/>
              </w:rPr>
              <w:t>Platby na lesnícko-environme</w:t>
            </w:r>
            <w:r w:rsidR="002C53BC" w:rsidRPr="0005560D">
              <w:rPr>
                <w:rFonts w:eastAsia="Calibri"/>
                <w:lang w:eastAsia="fr-FR"/>
              </w:rPr>
              <w:t>n</w:t>
            </w:r>
            <w:r>
              <w:rPr>
                <w:rFonts w:eastAsia="Calibri"/>
                <w:lang w:eastAsia="fr-FR"/>
              </w:rPr>
              <w:t>t</w:t>
            </w:r>
            <w:r w:rsidR="002C53BC" w:rsidRPr="0005560D">
              <w:rPr>
                <w:rFonts w:eastAsia="Calibri"/>
                <w:lang w:eastAsia="fr-FR"/>
              </w:rPr>
              <w:t>álne záväzky;</w:t>
            </w:r>
          </w:p>
          <w:p w:rsidR="002C53BC" w:rsidRPr="0005560D" w:rsidRDefault="002C53BC" w:rsidP="00EE750E">
            <w:pPr>
              <w:rPr>
                <w:rFonts w:eastAsia="Calibri"/>
                <w:lang w:eastAsia="fr-FR"/>
              </w:rPr>
            </w:pPr>
            <w:r w:rsidRPr="0005560D">
              <w:rPr>
                <w:rFonts w:eastAsia="Calibri"/>
                <w:lang w:eastAsia="fr-FR"/>
              </w:rPr>
              <w:t>Podpora na účely ochrany a podpory lesných genetických zdrojov.</w:t>
            </w:r>
          </w:p>
          <w:p w:rsidR="002C53BC" w:rsidRPr="005579FB" w:rsidRDefault="002C53BC" w:rsidP="00EE750E">
            <w:pPr>
              <w:rPr>
                <w:b/>
                <w:color w:val="000000"/>
              </w:rPr>
            </w:pPr>
            <w:r>
              <w:rPr>
                <w:b/>
                <w:bCs/>
                <w:color w:val="000080"/>
              </w:rPr>
              <w:t>Z toho BA: 0 €</w:t>
            </w:r>
          </w:p>
        </w:tc>
        <w:tc>
          <w:tcPr>
            <w:tcW w:w="2030" w:type="dxa"/>
            <w:tcBorders>
              <w:top w:val="single" w:sz="8" w:space="0" w:color="000000"/>
              <w:left w:val="nil"/>
              <w:bottom w:val="single" w:sz="8" w:space="0" w:color="000000"/>
              <w:right w:val="single" w:sz="8" w:space="0" w:color="000000"/>
            </w:tcBorders>
            <w:shd w:val="clear" w:color="auto" w:fill="C3E290"/>
            <w:tcMar>
              <w:top w:w="0" w:type="dxa"/>
              <w:left w:w="70" w:type="dxa"/>
              <w:bottom w:w="0" w:type="dxa"/>
              <w:right w:w="70" w:type="dxa"/>
            </w:tcMar>
            <w:vAlign w:val="center"/>
          </w:tcPr>
          <w:p w:rsidR="002C53BC" w:rsidRDefault="002C53BC" w:rsidP="00EE750E">
            <w:pPr>
              <w:ind w:firstLine="280"/>
              <w:jc w:val="right"/>
              <w:rPr>
                <w:color w:val="000000"/>
              </w:rPr>
            </w:pPr>
            <w:r>
              <w:rPr>
                <w:color w:val="000000"/>
              </w:rPr>
              <w:t>4 950 000,00</w:t>
            </w:r>
          </w:p>
        </w:tc>
      </w:tr>
      <w:tr w:rsidR="002C53BC" w:rsidRPr="007B4199" w:rsidTr="00E84986">
        <w:trPr>
          <w:trHeight w:val="390"/>
        </w:trPr>
        <w:tc>
          <w:tcPr>
            <w:tcW w:w="797" w:type="dxa"/>
            <w:gridSpan w:val="2"/>
            <w:tcBorders>
              <w:top w:val="single" w:sz="8" w:space="0" w:color="000000"/>
              <w:left w:val="single" w:sz="4" w:space="0" w:color="auto"/>
              <w:bottom w:val="single" w:sz="8" w:space="0" w:color="000000"/>
              <w:right w:val="single" w:sz="8" w:space="0" w:color="000000"/>
            </w:tcBorders>
            <w:shd w:val="clear" w:color="auto" w:fill="FFFFCC"/>
            <w:tcMar>
              <w:top w:w="0" w:type="dxa"/>
              <w:left w:w="70" w:type="dxa"/>
              <w:bottom w:w="0" w:type="dxa"/>
              <w:right w:w="70" w:type="dxa"/>
            </w:tcMar>
            <w:vAlign w:val="center"/>
            <w:hideMark/>
          </w:tcPr>
          <w:p w:rsidR="002C53BC" w:rsidRPr="007B4199" w:rsidRDefault="002C53BC" w:rsidP="00EE750E">
            <w:pPr>
              <w:jc w:val="center"/>
              <w:rPr>
                <w:color w:val="000000"/>
              </w:rPr>
            </w:pPr>
            <w:r>
              <w:rPr>
                <w:color w:val="000000"/>
              </w:rPr>
              <w:t>35</w:t>
            </w:r>
          </w:p>
        </w:tc>
        <w:tc>
          <w:tcPr>
            <w:tcW w:w="709" w:type="dxa"/>
            <w:tcBorders>
              <w:top w:val="single" w:sz="8" w:space="0" w:color="000000"/>
              <w:left w:val="nil"/>
              <w:bottom w:val="single" w:sz="8" w:space="0" w:color="000000"/>
              <w:right w:val="single" w:sz="4" w:space="0" w:color="auto"/>
            </w:tcBorders>
            <w:shd w:val="clear" w:color="auto" w:fill="FFFFCC"/>
            <w:vAlign w:val="center"/>
          </w:tcPr>
          <w:p w:rsidR="00F51A18" w:rsidRDefault="00F51A18" w:rsidP="00F51A18">
            <w:pPr>
              <w:ind w:firstLine="142"/>
              <w:rPr>
                <w:color w:val="000000"/>
              </w:rPr>
            </w:pPr>
            <w:r>
              <w:rPr>
                <w:color w:val="000000"/>
              </w:rPr>
              <w:t>16.1</w:t>
            </w:r>
          </w:p>
          <w:p w:rsidR="00F51A18" w:rsidRDefault="002C53BC" w:rsidP="00F51A18">
            <w:pPr>
              <w:ind w:firstLine="142"/>
              <w:rPr>
                <w:color w:val="000000"/>
              </w:rPr>
            </w:pPr>
            <w:r>
              <w:rPr>
                <w:color w:val="000000"/>
              </w:rPr>
              <w:t>až</w:t>
            </w:r>
          </w:p>
          <w:p w:rsidR="002C53BC" w:rsidRPr="007B4199" w:rsidRDefault="002C53BC" w:rsidP="00F51A18">
            <w:pPr>
              <w:ind w:firstLine="142"/>
              <w:rPr>
                <w:color w:val="000000"/>
              </w:rPr>
            </w:pPr>
            <w:r>
              <w:rPr>
                <w:color w:val="000000"/>
              </w:rPr>
              <w:t>16.8</w:t>
            </w:r>
          </w:p>
        </w:tc>
        <w:tc>
          <w:tcPr>
            <w:tcW w:w="10631" w:type="dxa"/>
            <w:tcBorders>
              <w:top w:val="single" w:sz="8" w:space="0" w:color="000000"/>
              <w:left w:val="single" w:sz="4" w:space="0" w:color="auto"/>
              <w:bottom w:val="single" w:sz="8" w:space="0" w:color="000000"/>
              <w:right w:val="single" w:sz="8" w:space="0" w:color="000000"/>
            </w:tcBorders>
            <w:shd w:val="clear" w:color="auto" w:fill="FFFFCC"/>
            <w:tcMar>
              <w:top w:w="0" w:type="dxa"/>
              <w:left w:w="70" w:type="dxa"/>
              <w:bottom w:w="0" w:type="dxa"/>
              <w:right w:w="70" w:type="dxa"/>
            </w:tcMar>
            <w:vAlign w:val="center"/>
            <w:hideMark/>
          </w:tcPr>
          <w:p w:rsidR="002C53BC" w:rsidRPr="005579FB" w:rsidRDefault="002C53BC" w:rsidP="00A55745">
            <w:pPr>
              <w:rPr>
                <w:b/>
                <w:color w:val="000000"/>
              </w:rPr>
            </w:pPr>
            <w:r w:rsidRPr="005579FB">
              <w:rPr>
                <w:b/>
                <w:color w:val="000000"/>
              </w:rPr>
              <w:t>Spolupráca</w:t>
            </w:r>
          </w:p>
          <w:p w:rsidR="002C53BC" w:rsidRPr="007B4199" w:rsidRDefault="002C53BC" w:rsidP="00EE750E">
            <w:pPr>
              <w:rPr>
                <w:color w:val="1F497D"/>
              </w:rPr>
            </w:pPr>
            <w:r w:rsidRPr="00644661">
              <w:rPr>
                <w:b/>
                <w:bCs/>
                <w:color w:val="000080"/>
              </w:rPr>
              <w:t>Z toho BA:</w:t>
            </w:r>
            <w:r>
              <w:rPr>
                <w:b/>
                <w:bCs/>
                <w:color w:val="000080"/>
              </w:rPr>
              <w:t xml:space="preserve"> 3 230 000€ </w:t>
            </w:r>
          </w:p>
        </w:tc>
        <w:tc>
          <w:tcPr>
            <w:tcW w:w="2030" w:type="dxa"/>
            <w:tcBorders>
              <w:top w:val="single" w:sz="8" w:space="0" w:color="000000"/>
              <w:left w:val="nil"/>
              <w:bottom w:val="single" w:sz="8" w:space="0" w:color="000000"/>
              <w:right w:val="single" w:sz="8" w:space="0" w:color="000000"/>
            </w:tcBorders>
            <w:shd w:val="clear" w:color="auto" w:fill="FFFFCC"/>
            <w:tcMar>
              <w:top w:w="0" w:type="dxa"/>
              <w:left w:w="70" w:type="dxa"/>
              <w:bottom w:w="0" w:type="dxa"/>
              <w:right w:w="70" w:type="dxa"/>
            </w:tcMar>
            <w:vAlign w:val="center"/>
            <w:hideMark/>
          </w:tcPr>
          <w:p w:rsidR="002C53BC" w:rsidRPr="007B4199" w:rsidRDefault="002C53BC" w:rsidP="00EE750E">
            <w:pPr>
              <w:ind w:firstLine="280"/>
              <w:jc w:val="right"/>
              <w:rPr>
                <w:color w:val="000000"/>
              </w:rPr>
            </w:pPr>
            <w:r>
              <w:rPr>
                <w:color w:val="000000"/>
              </w:rPr>
              <w:t xml:space="preserve">66 500 000,00 </w:t>
            </w:r>
          </w:p>
        </w:tc>
      </w:tr>
      <w:tr w:rsidR="002C53BC" w:rsidRPr="007B4199" w:rsidTr="00E84986">
        <w:trPr>
          <w:trHeight w:val="390"/>
        </w:trPr>
        <w:tc>
          <w:tcPr>
            <w:tcW w:w="797" w:type="dxa"/>
            <w:gridSpan w:val="2"/>
            <w:tcBorders>
              <w:top w:val="single" w:sz="8" w:space="0" w:color="000000"/>
              <w:left w:val="single" w:sz="4" w:space="0" w:color="auto"/>
              <w:bottom w:val="single" w:sz="8" w:space="0" w:color="000000"/>
              <w:right w:val="single" w:sz="8" w:space="0" w:color="000000"/>
            </w:tcBorders>
            <w:shd w:val="clear" w:color="auto" w:fill="FFFFCC"/>
            <w:tcMar>
              <w:top w:w="0" w:type="dxa"/>
              <w:left w:w="70" w:type="dxa"/>
              <w:bottom w:w="0" w:type="dxa"/>
              <w:right w:w="70" w:type="dxa"/>
            </w:tcMar>
            <w:vAlign w:val="center"/>
          </w:tcPr>
          <w:p w:rsidR="002C53BC" w:rsidRPr="007B4199" w:rsidRDefault="002C53BC" w:rsidP="00EE750E">
            <w:pPr>
              <w:jc w:val="center"/>
              <w:rPr>
                <w:color w:val="000000"/>
              </w:rPr>
            </w:pPr>
            <w:r>
              <w:rPr>
                <w:color w:val="000000"/>
              </w:rPr>
              <w:t>38</w:t>
            </w:r>
          </w:p>
        </w:tc>
        <w:tc>
          <w:tcPr>
            <w:tcW w:w="709" w:type="dxa"/>
            <w:tcBorders>
              <w:top w:val="single" w:sz="8" w:space="0" w:color="000000"/>
              <w:left w:val="nil"/>
              <w:bottom w:val="single" w:sz="8" w:space="0" w:color="000000"/>
              <w:right w:val="single" w:sz="4" w:space="0" w:color="auto"/>
            </w:tcBorders>
            <w:shd w:val="clear" w:color="auto" w:fill="FFFFCC"/>
            <w:vAlign w:val="center"/>
          </w:tcPr>
          <w:p w:rsidR="002C53BC" w:rsidRDefault="002C53BC" w:rsidP="00F51A18">
            <w:pPr>
              <w:ind w:firstLine="142"/>
              <w:rPr>
                <w:color w:val="000000"/>
              </w:rPr>
            </w:pPr>
            <w:r>
              <w:rPr>
                <w:color w:val="000000"/>
              </w:rPr>
              <w:t>17.2</w:t>
            </w:r>
          </w:p>
        </w:tc>
        <w:tc>
          <w:tcPr>
            <w:tcW w:w="10631" w:type="dxa"/>
            <w:tcBorders>
              <w:top w:val="single" w:sz="8" w:space="0" w:color="000000"/>
              <w:left w:val="single" w:sz="4" w:space="0" w:color="auto"/>
              <w:bottom w:val="single" w:sz="8" w:space="0" w:color="000000"/>
              <w:right w:val="single" w:sz="8" w:space="0" w:color="000000"/>
            </w:tcBorders>
            <w:shd w:val="clear" w:color="auto" w:fill="FFFFCC"/>
            <w:tcMar>
              <w:top w:w="0" w:type="dxa"/>
              <w:left w:w="70" w:type="dxa"/>
              <w:bottom w:w="0" w:type="dxa"/>
              <w:right w:w="70" w:type="dxa"/>
            </w:tcMar>
            <w:vAlign w:val="center"/>
          </w:tcPr>
          <w:p w:rsidR="002C53BC" w:rsidRDefault="002C53BC" w:rsidP="00A55745">
            <w:pPr>
              <w:rPr>
                <w:color w:val="000000"/>
              </w:rPr>
            </w:pPr>
            <w:r w:rsidRPr="0005560D">
              <w:rPr>
                <w:b/>
                <w:color w:val="000000"/>
              </w:rPr>
              <w:t>Riadenie rizík</w:t>
            </w:r>
            <w:r>
              <w:rPr>
                <w:color w:val="000000"/>
              </w:rPr>
              <w:t xml:space="preserve"> – Vzájomné fondy pre nepriaznivé poveternostné udalosti, choroby zvierat a rastlín, zamorenie škodcami a environmentálne nehody </w:t>
            </w:r>
          </w:p>
          <w:p w:rsidR="002C53BC" w:rsidRPr="007B4199" w:rsidRDefault="002C53BC" w:rsidP="00EE750E">
            <w:pPr>
              <w:rPr>
                <w:color w:val="000000"/>
              </w:rPr>
            </w:pPr>
            <w:r w:rsidRPr="00644661">
              <w:rPr>
                <w:b/>
                <w:bCs/>
                <w:color w:val="000080"/>
              </w:rPr>
              <w:t>Z toho BA:</w:t>
            </w:r>
            <w:r>
              <w:rPr>
                <w:b/>
                <w:bCs/>
                <w:color w:val="000080"/>
              </w:rPr>
              <w:t xml:space="preserve"> 474 000€ </w:t>
            </w:r>
          </w:p>
        </w:tc>
        <w:tc>
          <w:tcPr>
            <w:tcW w:w="2030" w:type="dxa"/>
            <w:tcBorders>
              <w:top w:val="single" w:sz="8" w:space="0" w:color="000000"/>
              <w:left w:val="nil"/>
              <w:bottom w:val="single" w:sz="8" w:space="0" w:color="000000"/>
              <w:right w:val="single" w:sz="8" w:space="0" w:color="000000"/>
            </w:tcBorders>
            <w:shd w:val="clear" w:color="auto" w:fill="FFFFCC"/>
            <w:tcMar>
              <w:top w:w="0" w:type="dxa"/>
              <w:left w:w="70" w:type="dxa"/>
              <w:bottom w:w="0" w:type="dxa"/>
              <w:right w:w="70" w:type="dxa"/>
            </w:tcMar>
            <w:vAlign w:val="center"/>
          </w:tcPr>
          <w:p w:rsidR="002C53BC" w:rsidRPr="007B4199" w:rsidRDefault="002C53BC" w:rsidP="00EE750E">
            <w:pPr>
              <w:ind w:firstLine="280"/>
              <w:jc w:val="right"/>
              <w:rPr>
                <w:color w:val="000000"/>
              </w:rPr>
            </w:pPr>
            <w:r>
              <w:rPr>
                <w:color w:val="000000"/>
              </w:rPr>
              <w:t xml:space="preserve">10  000 000,00 </w:t>
            </w:r>
          </w:p>
        </w:tc>
      </w:tr>
      <w:tr w:rsidR="002C53BC" w:rsidRPr="007B4199" w:rsidTr="00E84986">
        <w:trPr>
          <w:trHeight w:val="390"/>
        </w:trPr>
        <w:tc>
          <w:tcPr>
            <w:tcW w:w="797" w:type="dxa"/>
            <w:gridSpan w:val="2"/>
            <w:tcBorders>
              <w:top w:val="single" w:sz="8" w:space="0" w:color="000000"/>
              <w:left w:val="single" w:sz="4" w:space="0" w:color="auto"/>
              <w:bottom w:val="single" w:sz="8" w:space="0" w:color="000000"/>
              <w:right w:val="single" w:sz="8" w:space="0" w:color="000000"/>
            </w:tcBorders>
            <w:shd w:val="clear" w:color="auto" w:fill="CCFFFF"/>
            <w:tcMar>
              <w:top w:w="0" w:type="dxa"/>
              <w:left w:w="70" w:type="dxa"/>
              <w:bottom w:w="0" w:type="dxa"/>
              <w:right w:w="70" w:type="dxa"/>
            </w:tcMar>
            <w:vAlign w:val="center"/>
            <w:hideMark/>
          </w:tcPr>
          <w:p w:rsidR="002C53BC" w:rsidRPr="007B4199" w:rsidRDefault="002C53BC" w:rsidP="00EE750E">
            <w:pPr>
              <w:jc w:val="center"/>
              <w:rPr>
                <w:color w:val="000000"/>
              </w:rPr>
            </w:pPr>
            <w:r>
              <w:rPr>
                <w:color w:val="000000"/>
              </w:rPr>
              <w:t>42-44</w:t>
            </w:r>
          </w:p>
        </w:tc>
        <w:tc>
          <w:tcPr>
            <w:tcW w:w="709" w:type="dxa"/>
            <w:tcBorders>
              <w:top w:val="single" w:sz="8" w:space="0" w:color="000000"/>
              <w:left w:val="nil"/>
              <w:bottom w:val="single" w:sz="8" w:space="0" w:color="000000"/>
              <w:right w:val="single" w:sz="4" w:space="0" w:color="auto"/>
            </w:tcBorders>
            <w:shd w:val="clear" w:color="auto" w:fill="CCFFFF"/>
            <w:vAlign w:val="center"/>
          </w:tcPr>
          <w:p w:rsidR="002C53BC" w:rsidRPr="007B4199" w:rsidRDefault="002C53BC" w:rsidP="00F51A18">
            <w:pPr>
              <w:ind w:firstLine="142"/>
              <w:rPr>
                <w:color w:val="000000"/>
              </w:rPr>
            </w:pPr>
          </w:p>
        </w:tc>
        <w:tc>
          <w:tcPr>
            <w:tcW w:w="10631" w:type="dxa"/>
            <w:tcBorders>
              <w:top w:val="single" w:sz="8" w:space="0" w:color="000000"/>
              <w:left w:val="single" w:sz="4" w:space="0" w:color="auto"/>
              <w:bottom w:val="single" w:sz="8" w:space="0" w:color="000000"/>
              <w:right w:val="single" w:sz="8" w:space="0" w:color="000000"/>
            </w:tcBorders>
            <w:shd w:val="clear" w:color="auto" w:fill="CCFFFF"/>
            <w:tcMar>
              <w:top w:w="0" w:type="dxa"/>
              <w:left w:w="70" w:type="dxa"/>
              <w:bottom w:w="0" w:type="dxa"/>
              <w:right w:w="70" w:type="dxa"/>
            </w:tcMar>
            <w:vAlign w:val="center"/>
            <w:hideMark/>
          </w:tcPr>
          <w:p w:rsidR="002C53BC" w:rsidRPr="005579FB" w:rsidRDefault="002C53BC" w:rsidP="00A55745">
            <w:pPr>
              <w:rPr>
                <w:b/>
                <w:color w:val="000000"/>
              </w:rPr>
            </w:pPr>
            <w:r w:rsidRPr="005579FB">
              <w:rPr>
                <w:b/>
                <w:color w:val="000000"/>
              </w:rPr>
              <w:t xml:space="preserve">LEADER </w:t>
            </w:r>
          </w:p>
          <w:p w:rsidR="002C53BC" w:rsidRPr="007B4199" w:rsidRDefault="002C53BC" w:rsidP="00EE750E">
            <w:pPr>
              <w:rPr>
                <w:color w:val="1F497D"/>
              </w:rPr>
            </w:pPr>
            <w:r w:rsidRPr="00644661">
              <w:rPr>
                <w:b/>
                <w:bCs/>
                <w:color w:val="000080"/>
              </w:rPr>
              <w:t>Z toho BA:  5 </w:t>
            </w:r>
            <w:r>
              <w:rPr>
                <w:b/>
                <w:bCs/>
                <w:color w:val="000080"/>
              </w:rPr>
              <w:t>988 718,87</w:t>
            </w:r>
            <w:r w:rsidRPr="00644661">
              <w:rPr>
                <w:b/>
                <w:bCs/>
                <w:color w:val="000080"/>
              </w:rPr>
              <w:t>€</w:t>
            </w:r>
            <w:r>
              <w:rPr>
                <w:b/>
                <w:bCs/>
                <w:color w:val="000080"/>
              </w:rPr>
              <w:t xml:space="preserve"> </w:t>
            </w:r>
          </w:p>
        </w:tc>
        <w:tc>
          <w:tcPr>
            <w:tcW w:w="2030" w:type="dxa"/>
            <w:tcBorders>
              <w:top w:val="single" w:sz="8" w:space="0" w:color="000000"/>
              <w:left w:val="nil"/>
              <w:bottom w:val="single" w:sz="8" w:space="0" w:color="000000"/>
              <w:right w:val="single" w:sz="8" w:space="0" w:color="000000"/>
            </w:tcBorders>
            <w:shd w:val="clear" w:color="auto" w:fill="CCFFFF"/>
            <w:tcMar>
              <w:top w:w="0" w:type="dxa"/>
              <w:left w:w="70" w:type="dxa"/>
              <w:bottom w:w="0" w:type="dxa"/>
              <w:right w:w="70" w:type="dxa"/>
            </w:tcMar>
            <w:vAlign w:val="center"/>
            <w:hideMark/>
          </w:tcPr>
          <w:p w:rsidR="002C53BC" w:rsidRPr="007B4199" w:rsidRDefault="002C53BC" w:rsidP="00EE750E">
            <w:pPr>
              <w:ind w:firstLine="280"/>
              <w:jc w:val="right"/>
              <w:rPr>
                <w:color w:val="000000"/>
              </w:rPr>
            </w:pPr>
            <w:r>
              <w:rPr>
                <w:color w:val="000000"/>
              </w:rPr>
              <w:t xml:space="preserve">104 783 018,87 </w:t>
            </w:r>
          </w:p>
        </w:tc>
      </w:tr>
      <w:tr w:rsidR="002C53BC" w:rsidRPr="007B4199" w:rsidTr="00E84986">
        <w:trPr>
          <w:trHeight w:val="390"/>
        </w:trPr>
        <w:tc>
          <w:tcPr>
            <w:tcW w:w="797" w:type="dxa"/>
            <w:gridSpan w:val="2"/>
            <w:tcBorders>
              <w:top w:val="single" w:sz="8" w:space="0" w:color="000000"/>
              <w:left w:val="single" w:sz="4" w:space="0" w:color="auto"/>
              <w:bottom w:val="single" w:sz="8" w:space="0" w:color="000000"/>
              <w:right w:val="single" w:sz="8" w:space="0" w:color="000000"/>
            </w:tcBorders>
            <w:shd w:val="clear" w:color="auto" w:fill="FFCC99"/>
            <w:tcMar>
              <w:top w:w="0" w:type="dxa"/>
              <w:left w:w="70" w:type="dxa"/>
              <w:bottom w:w="0" w:type="dxa"/>
              <w:right w:w="70" w:type="dxa"/>
            </w:tcMar>
            <w:vAlign w:val="center"/>
            <w:hideMark/>
          </w:tcPr>
          <w:p w:rsidR="002C53BC" w:rsidRPr="007B4199" w:rsidRDefault="002C53BC" w:rsidP="0005560D">
            <w:pPr>
              <w:jc w:val="left"/>
            </w:pPr>
            <w:r>
              <w:t>51</w:t>
            </w:r>
          </w:p>
        </w:tc>
        <w:tc>
          <w:tcPr>
            <w:tcW w:w="709" w:type="dxa"/>
            <w:tcBorders>
              <w:top w:val="single" w:sz="8" w:space="0" w:color="000000"/>
              <w:left w:val="nil"/>
              <w:bottom w:val="single" w:sz="8" w:space="0" w:color="000000"/>
              <w:right w:val="single" w:sz="4" w:space="0" w:color="auto"/>
            </w:tcBorders>
            <w:shd w:val="clear" w:color="auto" w:fill="FFCC99"/>
            <w:vAlign w:val="center"/>
          </w:tcPr>
          <w:p w:rsidR="002C53BC" w:rsidRPr="007B4199" w:rsidRDefault="002C53BC" w:rsidP="0005560D">
            <w:pPr>
              <w:ind w:firstLine="280"/>
              <w:jc w:val="left"/>
              <w:rPr>
                <w:color w:val="000000"/>
              </w:rPr>
            </w:pPr>
          </w:p>
        </w:tc>
        <w:tc>
          <w:tcPr>
            <w:tcW w:w="10631" w:type="dxa"/>
            <w:tcBorders>
              <w:top w:val="single" w:sz="8" w:space="0" w:color="000000"/>
              <w:left w:val="single" w:sz="4" w:space="0" w:color="auto"/>
              <w:bottom w:val="single" w:sz="8" w:space="0" w:color="000000"/>
              <w:right w:val="single" w:sz="8" w:space="0" w:color="000000"/>
            </w:tcBorders>
            <w:shd w:val="clear" w:color="auto" w:fill="FFCC99"/>
            <w:tcMar>
              <w:top w:w="0" w:type="dxa"/>
              <w:left w:w="70" w:type="dxa"/>
              <w:bottom w:w="0" w:type="dxa"/>
              <w:right w:w="70" w:type="dxa"/>
            </w:tcMar>
            <w:vAlign w:val="center"/>
            <w:hideMark/>
          </w:tcPr>
          <w:p w:rsidR="002C53BC" w:rsidRPr="0005560D" w:rsidRDefault="002C53BC" w:rsidP="00A55745">
            <w:pPr>
              <w:jc w:val="left"/>
              <w:rPr>
                <w:b/>
                <w:color w:val="000000"/>
              </w:rPr>
            </w:pPr>
            <w:r w:rsidRPr="005579FB">
              <w:rPr>
                <w:b/>
                <w:color w:val="000000"/>
              </w:rPr>
              <w:t>Technická pomoc</w:t>
            </w:r>
          </w:p>
        </w:tc>
        <w:tc>
          <w:tcPr>
            <w:tcW w:w="2030" w:type="dxa"/>
            <w:tcBorders>
              <w:top w:val="single" w:sz="8" w:space="0" w:color="000000"/>
              <w:left w:val="nil"/>
              <w:bottom w:val="single" w:sz="8" w:space="0" w:color="000000"/>
              <w:right w:val="single" w:sz="8" w:space="0" w:color="000000"/>
            </w:tcBorders>
            <w:shd w:val="clear" w:color="auto" w:fill="FFCC99"/>
            <w:tcMar>
              <w:top w:w="0" w:type="dxa"/>
              <w:left w:w="70" w:type="dxa"/>
              <w:bottom w:w="0" w:type="dxa"/>
              <w:right w:w="70" w:type="dxa"/>
            </w:tcMar>
            <w:vAlign w:val="center"/>
            <w:hideMark/>
          </w:tcPr>
          <w:p w:rsidR="002C53BC" w:rsidRPr="007B4199" w:rsidRDefault="002C53BC" w:rsidP="0005560D">
            <w:pPr>
              <w:ind w:firstLine="280"/>
              <w:jc w:val="right"/>
              <w:rPr>
                <w:color w:val="000000"/>
              </w:rPr>
            </w:pPr>
            <w:r>
              <w:rPr>
                <w:color w:val="000000"/>
              </w:rPr>
              <w:t>70 225 349,39</w:t>
            </w:r>
          </w:p>
        </w:tc>
      </w:tr>
      <w:tr w:rsidR="002C53BC" w:rsidRPr="00636EA6" w:rsidTr="00E84986">
        <w:trPr>
          <w:trHeight w:val="390"/>
        </w:trPr>
        <w:tc>
          <w:tcPr>
            <w:tcW w:w="797" w:type="dxa"/>
            <w:gridSpan w:val="2"/>
            <w:tcBorders>
              <w:top w:val="single" w:sz="8" w:space="0" w:color="000000"/>
              <w:left w:val="single" w:sz="4" w:space="0" w:color="auto"/>
              <w:bottom w:val="single" w:sz="8" w:space="0" w:color="000000"/>
              <w:right w:val="single" w:sz="8" w:space="0" w:color="000000"/>
            </w:tcBorders>
            <w:shd w:val="clear" w:color="auto" w:fill="FFFFFF" w:themeFill="background1"/>
            <w:tcMar>
              <w:top w:w="0" w:type="dxa"/>
              <w:left w:w="70" w:type="dxa"/>
              <w:bottom w:w="0" w:type="dxa"/>
              <w:right w:w="70" w:type="dxa"/>
            </w:tcMar>
            <w:vAlign w:val="center"/>
          </w:tcPr>
          <w:p w:rsidR="002C53BC" w:rsidRPr="00636EA6" w:rsidRDefault="002C53BC" w:rsidP="0005560D">
            <w:pPr>
              <w:jc w:val="left"/>
              <w:rPr>
                <w:bCs/>
                <w:color w:val="000000"/>
              </w:rPr>
            </w:pPr>
            <w:r>
              <w:rPr>
                <w:bCs/>
                <w:color w:val="000000"/>
              </w:rPr>
              <w:t>54</w:t>
            </w:r>
          </w:p>
        </w:tc>
        <w:tc>
          <w:tcPr>
            <w:tcW w:w="709" w:type="dxa"/>
            <w:tcBorders>
              <w:top w:val="single" w:sz="8" w:space="0" w:color="000000"/>
              <w:left w:val="nil"/>
              <w:bottom w:val="single" w:sz="8" w:space="0" w:color="000000"/>
              <w:right w:val="single" w:sz="4" w:space="0" w:color="auto"/>
            </w:tcBorders>
            <w:shd w:val="clear" w:color="auto" w:fill="FFFFFF" w:themeFill="background1"/>
            <w:vAlign w:val="center"/>
          </w:tcPr>
          <w:p w:rsidR="002C53BC" w:rsidRDefault="002C53BC" w:rsidP="0005560D">
            <w:pPr>
              <w:ind w:firstLine="281"/>
              <w:jc w:val="left"/>
              <w:rPr>
                <w:bCs/>
                <w:color w:val="000000"/>
              </w:rPr>
            </w:pPr>
          </w:p>
        </w:tc>
        <w:tc>
          <w:tcPr>
            <w:tcW w:w="10631" w:type="dxa"/>
            <w:tcBorders>
              <w:top w:val="single" w:sz="8" w:space="0" w:color="000000"/>
              <w:left w:val="single" w:sz="4" w:space="0" w:color="auto"/>
              <w:bottom w:val="single" w:sz="8" w:space="0" w:color="000000"/>
              <w:right w:val="single" w:sz="8" w:space="0" w:color="000000"/>
            </w:tcBorders>
            <w:shd w:val="clear" w:color="auto" w:fill="FFFFFF" w:themeFill="background1"/>
            <w:tcMar>
              <w:top w:w="0" w:type="dxa"/>
              <w:left w:w="70" w:type="dxa"/>
              <w:bottom w:w="0" w:type="dxa"/>
              <w:right w:w="70" w:type="dxa"/>
            </w:tcMar>
            <w:vAlign w:val="center"/>
          </w:tcPr>
          <w:p w:rsidR="002C53BC" w:rsidRPr="0005560D" w:rsidRDefault="002C53BC" w:rsidP="00A55745">
            <w:pPr>
              <w:jc w:val="left"/>
              <w:rPr>
                <w:b/>
                <w:bCs/>
                <w:color w:val="000000"/>
              </w:rPr>
            </w:pPr>
            <w:r w:rsidRPr="005579FB">
              <w:rPr>
                <w:b/>
                <w:bCs/>
                <w:color w:val="000000"/>
              </w:rPr>
              <w:t>Národná sieť pre rozvoj vidieka</w:t>
            </w:r>
          </w:p>
        </w:tc>
        <w:tc>
          <w:tcPr>
            <w:tcW w:w="2030" w:type="dxa"/>
            <w:tcBorders>
              <w:top w:val="single" w:sz="8" w:space="0" w:color="000000"/>
              <w:left w:val="nil"/>
              <w:bottom w:val="single" w:sz="8" w:space="0" w:color="000000"/>
              <w:right w:val="single" w:sz="8" w:space="0" w:color="000000"/>
            </w:tcBorders>
            <w:shd w:val="clear" w:color="auto" w:fill="FFFFFF" w:themeFill="background1"/>
            <w:tcMar>
              <w:top w:w="0" w:type="dxa"/>
              <w:left w:w="70" w:type="dxa"/>
              <w:bottom w:w="0" w:type="dxa"/>
              <w:right w:w="70" w:type="dxa"/>
            </w:tcMar>
            <w:vAlign w:val="center"/>
          </w:tcPr>
          <w:p w:rsidR="002C53BC" w:rsidRPr="00636EA6" w:rsidRDefault="002C53BC" w:rsidP="0005560D">
            <w:pPr>
              <w:ind w:firstLine="281"/>
              <w:jc w:val="right"/>
              <w:rPr>
                <w:bCs/>
                <w:color w:val="000000"/>
              </w:rPr>
            </w:pPr>
          </w:p>
        </w:tc>
      </w:tr>
      <w:tr w:rsidR="002C53BC" w:rsidRPr="00636EA6" w:rsidTr="00E84986">
        <w:trPr>
          <w:trHeight w:val="390"/>
        </w:trPr>
        <w:tc>
          <w:tcPr>
            <w:tcW w:w="797" w:type="dxa"/>
            <w:gridSpan w:val="2"/>
            <w:tcBorders>
              <w:top w:val="nil"/>
              <w:left w:val="single" w:sz="4" w:space="0" w:color="auto"/>
              <w:bottom w:val="single" w:sz="8" w:space="0" w:color="000000"/>
              <w:right w:val="single" w:sz="8" w:space="0" w:color="000000"/>
            </w:tcBorders>
            <w:tcMar>
              <w:top w:w="0" w:type="dxa"/>
              <w:left w:w="70" w:type="dxa"/>
              <w:bottom w:w="0" w:type="dxa"/>
              <w:right w:w="70" w:type="dxa"/>
            </w:tcMar>
            <w:vAlign w:val="center"/>
          </w:tcPr>
          <w:p w:rsidR="002C53BC" w:rsidRPr="00636EA6" w:rsidRDefault="002C53BC" w:rsidP="0005560D">
            <w:pPr>
              <w:jc w:val="left"/>
              <w:rPr>
                <w:bCs/>
                <w:color w:val="000000"/>
              </w:rPr>
            </w:pPr>
          </w:p>
        </w:tc>
        <w:tc>
          <w:tcPr>
            <w:tcW w:w="709" w:type="dxa"/>
            <w:tcBorders>
              <w:top w:val="nil"/>
              <w:left w:val="nil"/>
              <w:bottom w:val="single" w:sz="8" w:space="0" w:color="000000"/>
              <w:right w:val="single" w:sz="4" w:space="0" w:color="auto"/>
            </w:tcBorders>
            <w:vAlign w:val="center"/>
          </w:tcPr>
          <w:p w:rsidR="002C53BC" w:rsidRPr="00636EA6" w:rsidRDefault="002C53BC" w:rsidP="0005560D">
            <w:pPr>
              <w:ind w:firstLine="281"/>
              <w:jc w:val="left"/>
              <w:rPr>
                <w:bCs/>
                <w:color w:val="000000"/>
              </w:rPr>
            </w:pPr>
          </w:p>
        </w:tc>
        <w:tc>
          <w:tcPr>
            <w:tcW w:w="10631" w:type="dxa"/>
            <w:tcBorders>
              <w:top w:val="nil"/>
              <w:left w:val="single" w:sz="4" w:space="0" w:color="auto"/>
              <w:bottom w:val="single" w:sz="8" w:space="0" w:color="000000"/>
              <w:right w:val="single" w:sz="8" w:space="0" w:color="000000"/>
            </w:tcBorders>
            <w:tcMar>
              <w:top w:w="0" w:type="dxa"/>
              <w:left w:w="70" w:type="dxa"/>
              <w:bottom w:w="0" w:type="dxa"/>
              <w:right w:w="70" w:type="dxa"/>
            </w:tcMar>
            <w:vAlign w:val="center"/>
          </w:tcPr>
          <w:p w:rsidR="002C53BC" w:rsidRPr="0005560D" w:rsidRDefault="002C53BC" w:rsidP="00A55745">
            <w:pPr>
              <w:jc w:val="left"/>
              <w:rPr>
                <w:bCs/>
                <w:color w:val="000000"/>
              </w:rPr>
            </w:pPr>
            <w:r w:rsidRPr="005579FB">
              <w:rPr>
                <w:b/>
                <w:bCs/>
                <w:color w:val="000000"/>
              </w:rPr>
              <w:t>Prvé zalesnenie poľnohospodárskej pôdy</w:t>
            </w:r>
            <w:r>
              <w:rPr>
                <w:bCs/>
                <w:color w:val="000000"/>
              </w:rPr>
              <w:t xml:space="preserve"> (pokračujúce záväzky)</w:t>
            </w:r>
          </w:p>
        </w:tc>
        <w:tc>
          <w:tcPr>
            <w:tcW w:w="2030" w:type="dxa"/>
            <w:tcBorders>
              <w:top w:val="nil"/>
              <w:left w:val="nil"/>
              <w:bottom w:val="single" w:sz="8" w:space="0" w:color="000000"/>
              <w:right w:val="single" w:sz="8" w:space="0" w:color="000000"/>
            </w:tcBorders>
            <w:tcMar>
              <w:top w:w="0" w:type="dxa"/>
              <w:left w:w="70" w:type="dxa"/>
              <w:bottom w:w="0" w:type="dxa"/>
              <w:right w:w="70" w:type="dxa"/>
            </w:tcMar>
            <w:vAlign w:val="center"/>
          </w:tcPr>
          <w:p w:rsidR="002C53BC" w:rsidRPr="00636EA6" w:rsidRDefault="002C53BC" w:rsidP="0005560D">
            <w:pPr>
              <w:ind w:firstLine="281"/>
              <w:jc w:val="right"/>
              <w:rPr>
                <w:bCs/>
                <w:color w:val="000000"/>
              </w:rPr>
            </w:pPr>
            <w:r w:rsidRPr="00636EA6">
              <w:rPr>
                <w:bCs/>
                <w:color w:val="000000"/>
              </w:rPr>
              <w:t>383</w:t>
            </w:r>
            <w:r>
              <w:rPr>
                <w:bCs/>
                <w:color w:val="000000"/>
              </w:rPr>
              <w:t> </w:t>
            </w:r>
            <w:r w:rsidRPr="00636EA6">
              <w:rPr>
                <w:bCs/>
                <w:color w:val="000000"/>
              </w:rPr>
              <w:t>650</w:t>
            </w:r>
            <w:r>
              <w:rPr>
                <w:bCs/>
                <w:color w:val="000000"/>
              </w:rPr>
              <w:t>,00</w:t>
            </w:r>
          </w:p>
        </w:tc>
      </w:tr>
      <w:tr w:rsidR="002C53BC" w:rsidRPr="005238D8" w:rsidTr="00E84986">
        <w:trPr>
          <w:trHeight w:val="390"/>
        </w:trPr>
        <w:tc>
          <w:tcPr>
            <w:tcW w:w="797" w:type="dxa"/>
            <w:gridSpan w:val="2"/>
            <w:tcBorders>
              <w:top w:val="single" w:sz="8" w:space="0" w:color="000000"/>
              <w:left w:val="single" w:sz="4" w:space="0" w:color="auto"/>
              <w:bottom w:val="single" w:sz="8" w:space="0" w:color="000000"/>
              <w:right w:val="single" w:sz="8" w:space="0" w:color="000000"/>
            </w:tcBorders>
            <w:shd w:val="clear" w:color="auto" w:fill="FFFFFF" w:themeFill="background1"/>
            <w:tcMar>
              <w:top w:w="0" w:type="dxa"/>
              <w:left w:w="70" w:type="dxa"/>
              <w:bottom w:w="0" w:type="dxa"/>
              <w:right w:w="70" w:type="dxa"/>
            </w:tcMar>
            <w:vAlign w:val="center"/>
          </w:tcPr>
          <w:p w:rsidR="002C53BC" w:rsidRPr="007B4199" w:rsidRDefault="002C53BC" w:rsidP="0005560D">
            <w:pPr>
              <w:jc w:val="left"/>
              <w:rPr>
                <w:b/>
                <w:bCs/>
                <w:color w:val="000000"/>
              </w:rPr>
            </w:pPr>
          </w:p>
        </w:tc>
        <w:tc>
          <w:tcPr>
            <w:tcW w:w="709" w:type="dxa"/>
            <w:tcBorders>
              <w:top w:val="single" w:sz="8" w:space="0" w:color="000000"/>
              <w:left w:val="nil"/>
              <w:bottom w:val="single" w:sz="8" w:space="0" w:color="000000"/>
              <w:right w:val="single" w:sz="4" w:space="0" w:color="auto"/>
            </w:tcBorders>
            <w:shd w:val="clear" w:color="auto" w:fill="FFFFFF" w:themeFill="background1"/>
            <w:vAlign w:val="center"/>
          </w:tcPr>
          <w:p w:rsidR="002C53BC" w:rsidRPr="005238D8" w:rsidRDefault="002C53BC" w:rsidP="0005560D">
            <w:pPr>
              <w:ind w:firstLine="281"/>
              <w:jc w:val="left"/>
              <w:rPr>
                <w:bCs/>
                <w:color w:val="000000"/>
              </w:rPr>
            </w:pPr>
          </w:p>
        </w:tc>
        <w:tc>
          <w:tcPr>
            <w:tcW w:w="10631" w:type="dxa"/>
            <w:tcBorders>
              <w:top w:val="single" w:sz="8" w:space="0" w:color="000000"/>
              <w:left w:val="single" w:sz="4" w:space="0" w:color="auto"/>
              <w:bottom w:val="single" w:sz="8" w:space="0" w:color="000000"/>
              <w:right w:val="single" w:sz="8" w:space="0" w:color="000000"/>
            </w:tcBorders>
            <w:shd w:val="clear" w:color="auto" w:fill="FFFFFF" w:themeFill="background1"/>
            <w:tcMar>
              <w:top w:w="0" w:type="dxa"/>
              <w:left w:w="70" w:type="dxa"/>
              <w:bottom w:w="0" w:type="dxa"/>
              <w:right w:w="70" w:type="dxa"/>
            </w:tcMar>
            <w:vAlign w:val="center"/>
          </w:tcPr>
          <w:p w:rsidR="002C53BC" w:rsidRPr="0005560D" w:rsidRDefault="002C53BC" w:rsidP="00A55745">
            <w:pPr>
              <w:jc w:val="left"/>
              <w:rPr>
                <w:bCs/>
                <w:color w:val="000000"/>
              </w:rPr>
            </w:pPr>
            <w:r w:rsidRPr="005238D8">
              <w:rPr>
                <w:bCs/>
                <w:color w:val="000000"/>
              </w:rPr>
              <w:t>Zaokrúhlenie</w:t>
            </w:r>
          </w:p>
        </w:tc>
        <w:tc>
          <w:tcPr>
            <w:tcW w:w="2030" w:type="dxa"/>
            <w:tcBorders>
              <w:top w:val="single" w:sz="8" w:space="0" w:color="000000"/>
              <w:left w:val="nil"/>
              <w:bottom w:val="single" w:sz="8" w:space="0" w:color="000000"/>
              <w:right w:val="single" w:sz="8" w:space="0" w:color="000000"/>
            </w:tcBorders>
            <w:shd w:val="clear" w:color="auto" w:fill="FFFFFF" w:themeFill="background1"/>
            <w:tcMar>
              <w:top w:w="0" w:type="dxa"/>
              <w:left w:w="70" w:type="dxa"/>
              <w:bottom w:w="0" w:type="dxa"/>
              <w:right w:w="70" w:type="dxa"/>
            </w:tcMar>
            <w:vAlign w:val="center"/>
          </w:tcPr>
          <w:p w:rsidR="002C53BC" w:rsidRPr="005238D8" w:rsidRDefault="002C53BC" w:rsidP="0005560D">
            <w:pPr>
              <w:pStyle w:val="Odsekzoznamu"/>
              <w:numPr>
                <w:ilvl w:val="0"/>
                <w:numId w:val="302"/>
              </w:numPr>
              <w:jc w:val="right"/>
              <w:rPr>
                <w:bCs/>
                <w:color w:val="000000"/>
              </w:rPr>
            </w:pPr>
            <w:r w:rsidRPr="005238D8">
              <w:rPr>
                <w:bCs/>
                <w:color w:val="000000"/>
              </w:rPr>
              <w:t>0,01</w:t>
            </w:r>
          </w:p>
        </w:tc>
      </w:tr>
      <w:tr w:rsidR="002C53BC" w:rsidRPr="007B4199" w:rsidTr="00E84986">
        <w:trPr>
          <w:trHeight w:val="390"/>
        </w:trPr>
        <w:tc>
          <w:tcPr>
            <w:tcW w:w="797" w:type="dxa"/>
            <w:gridSpan w:val="2"/>
            <w:tcBorders>
              <w:top w:val="single" w:sz="8" w:space="0" w:color="000000"/>
              <w:left w:val="single" w:sz="4" w:space="0" w:color="auto"/>
              <w:bottom w:val="single" w:sz="4" w:space="0" w:color="auto"/>
              <w:right w:val="single" w:sz="8" w:space="0" w:color="000000"/>
            </w:tcBorders>
            <w:shd w:val="clear" w:color="auto" w:fill="FFFF00"/>
            <w:tcMar>
              <w:top w:w="0" w:type="dxa"/>
              <w:left w:w="70" w:type="dxa"/>
              <w:bottom w:w="0" w:type="dxa"/>
              <w:right w:w="70" w:type="dxa"/>
            </w:tcMar>
            <w:vAlign w:val="center"/>
            <w:hideMark/>
          </w:tcPr>
          <w:p w:rsidR="002C53BC" w:rsidRPr="007B4199" w:rsidRDefault="002C53BC" w:rsidP="00EE750E">
            <w:pPr>
              <w:jc w:val="center"/>
              <w:rPr>
                <w:b/>
                <w:bCs/>
                <w:color w:val="000000"/>
              </w:rPr>
            </w:pPr>
          </w:p>
        </w:tc>
        <w:tc>
          <w:tcPr>
            <w:tcW w:w="709" w:type="dxa"/>
            <w:tcBorders>
              <w:top w:val="single" w:sz="8" w:space="0" w:color="000000"/>
              <w:left w:val="nil"/>
              <w:bottom w:val="single" w:sz="4" w:space="0" w:color="auto"/>
              <w:right w:val="single" w:sz="4" w:space="0" w:color="auto"/>
            </w:tcBorders>
            <w:shd w:val="clear" w:color="auto" w:fill="FFFF00"/>
            <w:vAlign w:val="center"/>
          </w:tcPr>
          <w:p w:rsidR="002C53BC" w:rsidRPr="007B4199" w:rsidRDefault="002C53BC" w:rsidP="00EE750E">
            <w:pPr>
              <w:ind w:firstLine="281"/>
              <w:jc w:val="center"/>
              <w:rPr>
                <w:b/>
                <w:bCs/>
                <w:color w:val="000000"/>
              </w:rPr>
            </w:pPr>
          </w:p>
        </w:tc>
        <w:tc>
          <w:tcPr>
            <w:tcW w:w="10631" w:type="dxa"/>
            <w:tcBorders>
              <w:top w:val="single" w:sz="8" w:space="0" w:color="000000"/>
              <w:left w:val="single" w:sz="4" w:space="0" w:color="auto"/>
              <w:bottom w:val="single" w:sz="8" w:space="0" w:color="000000"/>
              <w:right w:val="single" w:sz="8" w:space="0" w:color="000000"/>
            </w:tcBorders>
            <w:shd w:val="clear" w:color="auto" w:fill="FFFF00"/>
            <w:tcMar>
              <w:top w:w="0" w:type="dxa"/>
              <w:left w:w="70" w:type="dxa"/>
              <w:bottom w:w="0" w:type="dxa"/>
              <w:right w:w="70" w:type="dxa"/>
            </w:tcMar>
            <w:vAlign w:val="center"/>
            <w:hideMark/>
          </w:tcPr>
          <w:p w:rsidR="002C53BC" w:rsidRPr="007B4199" w:rsidRDefault="002C53BC" w:rsidP="00A55745">
            <w:pPr>
              <w:rPr>
                <w:b/>
                <w:bCs/>
                <w:color w:val="000000"/>
              </w:rPr>
            </w:pPr>
            <w:r w:rsidRPr="007B4199">
              <w:rPr>
                <w:b/>
                <w:bCs/>
                <w:color w:val="000000"/>
              </w:rPr>
              <w:t>Celkový súhrn</w:t>
            </w:r>
          </w:p>
          <w:p w:rsidR="002C53BC" w:rsidRPr="007B4199" w:rsidRDefault="002C53BC" w:rsidP="00EE750E">
            <w:pPr>
              <w:rPr>
                <w:b/>
                <w:bCs/>
                <w:color w:val="1F497D"/>
              </w:rPr>
            </w:pPr>
            <w:r w:rsidRPr="009B11FF">
              <w:rPr>
                <w:b/>
                <w:bCs/>
                <w:color w:val="1F497D" w:themeColor="text2"/>
              </w:rPr>
              <w:t xml:space="preserve">Z toho BA: </w:t>
            </w:r>
            <w:r>
              <w:rPr>
                <w:b/>
                <w:bCs/>
                <w:color w:val="1F497D" w:themeColor="text2"/>
              </w:rPr>
              <w:t xml:space="preserve">63 471 225,87  </w:t>
            </w:r>
            <w:r w:rsidRPr="009B11FF">
              <w:rPr>
                <w:b/>
                <w:bCs/>
                <w:color w:val="1F497D" w:themeColor="text2"/>
              </w:rPr>
              <w:t>€</w:t>
            </w:r>
            <w:r>
              <w:rPr>
                <w:b/>
                <w:bCs/>
                <w:color w:val="1F497D" w:themeColor="text2"/>
              </w:rPr>
              <w:t xml:space="preserve"> </w:t>
            </w:r>
          </w:p>
        </w:tc>
        <w:tc>
          <w:tcPr>
            <w:tcW w:w="2030" w:type="dxa"/>
            <w:tcBorders>
              <w:top w:val="single" w:sz="8" w:space="0" w:color="000000"/>
              <w:left w:val="nil"/>
              <w:bottom w:val="single" w:sz="8" w:space="0" w:color="000000"/>
              <w:right w:val="single" w:sz="8" w:space="0" w:color="000000"/>
            </w:tcBorders>
            <w:shd w:val="clear" w:color="auto" w:fill="FFFF00"/>
            <w:tcMar>
              <w:top w:w="0" w:type="dxa"/>
              <w:left w:w="70" w:type="dxa"/>
              <w:bottom w:w="0" w:type="dxa"/>
              <w:right w:w="70" w:type="dxa"/>
            </w:tcMar>
            <w:vAlign w:val="center"/>
            <w:hideMark/>
          </w:tcPr>
          <w:p w:rsidR="002C53BC" w:rsidRPr="007B4199" w:rsidRDefault="002C53BC" w:rsidP="00EE750E">
            <w:pPr>
              <w:ind w:firstLine="281"/>
              <w:jc w:val="right"/>
              <w:rPr>
                <w:b/>
                <w:bCs/>
                <w:color w:val="000000"/>
              </w:rPr>
            </w:pPr>
            <w:r w:rsidRPr="007B4199">
              <w:rPr>
                <w:b/>
                <w:bCs/>
                <w:color w:val="000000"/>
              </w:rPr>
              <w:t>2 07</w:t>
            </w:r>
            <w:r>
              <w:rPr>
                <w:b/>
                <w:bCs/>
                <w:color w:val="000000"/>
              </w:rPr>
              <w:t>8</w:t>
            </w:r>
            <w:r w:rsidRPr="007B4199">
              <w:rPr>
                <w:b/>
                <w:bCs/>
                <w:color w:val="000000"/>
              </w:rPr>
              <w:t xml:space="preserve"> </w:t>
            </w:r>
            <w:r>
              <w:rPr>
                <w:b/>
                <w:bCs/>
                <w:color w:val="000000"/>
              </w:rPr>
              <w:t>982 018,25</w:t>
            </w:r>
          </w:p>
        </w:tc>
      </w:tr>
    </w:tbl>
    <w:p w:rsidR="002C53BC" w:rsidRPr="00C83A5C" w:rsidRDefault="002C53BC" w:rsidP="002C53BC">
      <w:pPr>
        <w:rPr>
          <w:b/>
        </w:rPr>
      </w:pPr>
    </w:p>
    <w:p w:rsidR="00060B3A" w:rsidRPr="00060B3A" w:rsidRDefault="00060B3A" w:rsidP="00060B3A">
      <w:pPr>
        <w:rPr>
          <w:rFonts w:eastAsiaTheme="minorHAnsi" w:cstheme="minorBidi"/>
          <w:b/>
          <w:szCs w:val="22"/>
          <w:lang w:eastAsia="en-US"/>
        </w:rPr>
      </w:pPr>
    </w:p>
    <w:p w:rsidR="00425CA0" w:rsidRDefault="00425CA0" w:rsidP="00060B3A">
      <w:pPr>
        <w:tabs>
          <w:tab w:val="left" w:pos="8640"/>
        </w:tabs>
        <w:jc w:val="center"/>
        <w:rPr>
          <w:rFonts w:ascii="Calibri" w:hAnsi="Calibri"/>
          <w:b/>
          <w:szCs w:val="22"/>
        </w:rPr>
        <w:sectPr w:rsidR="00425CA0" w:rsidSect="00060B3A">
          <w:headerReference w:type="default" r:id="rId97"/>
          <w:pgSz w:w="16838" w:h="11906" w:orient="landscape"/>
          <w:pgMar w:top="1417" w:right="1417" w:bottom="1417" w:left="1417" w:header="708" w:footer="708" w:gutter="0"/>
          <w:cols w:space="708"/>
          <w:docGrid w:linePitch="360"/>
        </w:sectPr>
      </w:pPr>
    </w:p>
    <w:p w:rsidR="00425CA0" w:rsidRPr="00D42D00" w:rsidRDefault="00425CA0" w:rsidP="00425CA0">
      <w:pPr>
        <w:jc w:val="right"/>
        <w:rPr>
          <w:rFonts w:cs="Calibri"/>
          <w:b/>
          <w:sz w:val="20"/>
          <w:szCs w:val="20"/>
          <w:lang w:eastAsia="en-US"/>
        </w:rPr>
      </w:pPr>
      <w:r w:rsidRPr="00D42D00">
        <w:rPr>
          <w:rFonts w:cs="Calibri"/>
          <w:b/>
          <w:sz w:val="20"/>
          <w:szCs w:val="20"/>
          <w:lang w:eastAsia="en-US"/>
        </w:rPr>
        <w:lastRenderedPageBreak/>
        <w:t>PRÍLOHA  V</w:t>
      </w:r>
      <w:r w:rsidR="00A71A12">
        <w:rPr>
          <w:rFonts w:cs="Calibri"/>
          <w:b/>
          <w:sz w:val="20"/>
          <w:szCs w:val="20"/>
          <w:lang w:eastAsia="en-US"/>
        </w:rPr>
        <w:t>II</w:t>
      </w:r>
    </w:p>
    <w:p w:rsidR="00425CA0" w:rsidRDefault="00425CA0" w:rsidP="00060B3A">
      <w:pPr>
        <w:tabs>
          <w:tab w:val="left" w:pos="8640"/>
        </w:tabs>
        <w:jc w:val="center"/>
        <w:rPr>
          <w:rFonts w:ascii="Calibri" w:hAnsi="Calibri"/>
          <w:b/>
          <w:szCs w:val="22"/>
        </w:rPr>
      </w:pPr>
    </w:p>
    <w:p w:rsidR="00060B3A" w:rsidRPr="00D42D00" w:rsidRDefault="00425CA0" w:rsidP="00060B3A">
      <w:pPr>
        <w:tabs>
          <w:tab w:val="left" w:pos="8640"/>
        </w:tabs>
        <w:jc w:val="center"/>
        <w:rPr>
          <w:rFonts w:ascii="Calibri" w:hAnsi="Calibri"/>
          <w:b/>
        </w:rPr>
      </w:pPr>
      <w:r w:rsidRPr="00D42D00">
        <w:rPr>
          <w:rFonts w:ascii="Calibri" w:hAnsi="Calibri"/>
          <w:b/>
        </w:rPr>
        <w:t>ZOZNAM SKRATIEK</w:t>
      </w:r>
    </w:p>
    <w:p w:rsidR="003A251F" w:rsidRDefault="003A251F" w:rsidP="00060B3A">
      <w:pPr>
        <w:tabs>
          <w:tab w:val="left" w:pos="8640"/>
        </w:tabs>
        <w:jc w:val="center"/>
        <w:rPr>
          <w:rFonts w:ascii="Calibri" w:hAnsi="Calibri"/>
          <w:b/>
          <w:szCs w:val="22"/>
        </w:rPr>
      </w:pPr>
    </w:p>
    <w:p w:rsidR="00DA620D" w:rsidRDefault="00DA620D" w:rsidP="00060B3A">
      <w:pPr>
        <w:tabs>
          <w:tab w:val="left" w:pos="8640"/>
        </w:tabs>
        <w:jc w:val="center"/>
        <w:rPr>
          <w:rFonts w:ascii="Calibri" w:hAnsi="Calibri"/>
          <w:b/>
          <w:szCs w:val="22"/>
        </w:rPr>
      </w:pPr>
    </w:p>
    <w:p w:rsidR="00DA620D" w:rsidRPr="00DA620D" w:rsidRDefault="00DA620D" w:rsidP="00DA620D">
      <w:pPr>
        <w:spacing w:after="200" w:line="276" w:lineRule="auto"/>
        <w:rPr>
          <w:rFonts w:eastAsiaTheme="minorHAnsi"/>
          <w:szCs w:val="22"/>
          <w:lang w:eastAsia="en-US"/>
        </w:rPr>
      </w:pPr>
      <w:r w:rsidRPr="00DA620D">
        <w:rPr>
          <w:rFonts w:eastAsiaTheme="minorHAnsi"/>
          <w:szCs w:val="22"/>
          <w:lang w:eastAsia="en-US"/>
        </w:rPr>
        <w:t xml:space="preserve">AEO </w:t>
      </w:r>
      <w:r w:rsidRPr="00DA620D">
        <w:rPr>
          <w:rFonts w:eastAsiaTheme="minorHAnsi"/>
          <w:szCs w:val="22"/>
          <w:lang w:eastAsia="en-US"/>
        </w:rPr>
        <w:tab/>
      </w:r>
      <w:r w:rsidRPr="00DA620D">
        <w:rPr>
          <w:rFonts w:eastAsiaTheme="minorHAnsi"/>
          <w:szCs w:val="22"/>
          <w:lang w:eastAsia="en-US"/>
        </w:rPr>
        <w:tab/>
      </w:r>
      <w:r w:rsidRPr="00DA620D">
        <w:rPr>
          <w:rFonts w:eastAsiaTheme="minorHAnsi"/>
          <w:szCs w:val="22"/>
          <w:lang w:eastAsia="en-US"/>
        </w:rPr>
        <w:tab/>
        <w:t>agro-environmentálne opatrenie</w:t>
      </w:r>
    </w:p>
    <w:p w:rsidR="00DA620D" w:rsidRPr="00DA620D" w:rsidRDefault="00DA620D" w:rsidP="00DA620D">
      <w:pPr>
        <w:spacing w:after="200" w:line="276" w:lineRule="auto"/>
        <w:ind w:left="2124" w:hanging="2124"/>
        <w:rPr>
          <w:rFonts w:eastAsiaTheme="minorHAnsi"/>
          <w:szCs w:val="22"/>
          <w:lang w:eastAsia="en-US"/>
        </w:rPr>
      </w:pPr>
      <w:r w:rsidRPr="00DA620D">
        <w:rPr>
          <w:rFonts w:eastAsiaTheme="minorHAnsi"/>
          <w:szCs w:val="22"/>
          <w:lang w:eastAsia="en-US"/>
        </w:rPr>
        <w:t xml:space="preserve">AFCOS  </w:t>
      </w:r>
      <w:r w:rsidRPr="00DA620D">
        <w:rPr>
          <w:rFonts w:eastAsiaTheme="minorHAnsi"/>
          <w:szCs w:val="22"/>
          <w:lang w:eastAsia="en-US"/>
        </w:rPr>
        <w:tab/>
      </w:r>
      <w:r w:rsidR="003A251F">
        <w:rPr>
          <w:rFonts w:eastAsiaTheme="minorHAnsi"/>
          <w:szCs w:val="22"/>
          <w:lang w:eastAsia="en-US"/>
        </w:rPr>
        <w:t>Koordinačná služba pre boj proti podvodom</w:t>
      </w:r>
    </w:p>
    <w:p w:rsidR="00DA620D" w:rsidRPr="00DA620D" w:rsidRDefault="00DA620D" w:rsidP="00DA620D">
      <w:pPr>
        <w:spacing w:after="200" w:line="276" w:lineRule="auto"/>
        <w:ind w:left="2124" w:hanging="2124"/>
        <w:rPr>
          <w:rFonts w:eastAsiaTheme="minorHAnsi"/>
          <w:szCs w:val="22"/>
          <w:lang w:eastAsia="en-US"/>
        </w:rPr>
      </w:pPr>
      <w:r w:rsidRPr="00DA620D">
        <w:rPr>
          <w:rFonts w:eastAsiaTheme="minorHAnsi"/>
          <w:szCs w:val="22"/>
          <w:lang w:eastAsia="en-US"/>
        </w:rPr>
        <w:t>AFIS</w:t>
      </w:r>
      <w:r w:rsidRPr="00DA620D">
        <w:rPr>
          <w:rFonts w:eastAsiaTheme="minorHAnsi"/>
          <w:szCs w:val="22"/>
          <w:lang w:eastAsia="en-US"/>
        </w:rPr>
        <w:tab/>
      </w:r>
      <w:r w:rsidR="003A251F">
        <w:rPr>
          <w:rFonts w:eastAsiaTheme="minorHAnsi"/>
          <w:szCs w:val="22"/>
          <w:lang w:eastAsia="en-US"/>
        </w:rPr>
        <w:t>I</w:t>
      </w:r>
      <w:r w:rsidRPr="00DA620D">
        <w:rPr>
          <w:rFonts w:eastAsiaTheme="minorHAnsi"/>
          <w:szCs w:val="22"/>
          <w:lang w:eastAsia="en-US"/>
        </w:rPr>
        <w:t>nformačný systém pre boj proti podvodom</w:t>
      </w:r>
    </w:p>
    <w:p w:rsidR="00DA620D" w:rsidRPr="00DA620D" w:rsidRDefault="00DA620D" w:rsidP="00DA620D">
      <w:pPr>
        <w:spacing w:after="200" w:line="276" w:lineRule="auto"/>
        <w:rPr>
          <w:rFonts w:eastAsiaTheme="minorHAnsi"/>
          <w:szCs w:val="22"/>
          <w:lang w:eastAsia="en-US"/>
        </w:rPr>
      </w:pPr>
      <w:r w:rsidRPr="00DA620D">
        <w:rPr>
          <w:rFonts w:eastAsiaTheme="minorHAnsi"/>
          <w:szCs w:val="22"/>
          <w:lang w:eastAsia="en-US"/>
        </w:rPr>
        <w:t>AEP</w:t>
      </w:r>
      <w:r w:rsidRPr="00DA620D">
        <w:rPr>
          <w:rFonts w:eastAsiaTheme="minorHAnsi"/>
          <w:szCs w:val="22"/>
          <w:lang w:eastAsia="en-US"/>
        </w:rPr>
        <w:tab/>
      </w:r>
      <w:r w:rsidRPr="00DA620D">
        <w:rPr>
          <w:rFonts w:eastAsiaTheme="minorHAnsi"/>
          <w:szCs w:val="22"/>
          <w:lang w:eastAsia="en-US"/>
        </w:rPr>
        <w:tab/>
      </w:r>
      <w:r w:rsidRPr="00DA620D">
        <w:rPr>
          <w:rFonts w:eastAsiaTheme="minorHAnsi"/>
          <w:szCs w:val="22"/>
          <w:lang w:eastAsia="en-US"/>
        </w:rPr>
        <w:tab/>
        <w:t>agroenvironmentálne platby</w:t>
      </w:r>
    </w:p>
    <w:p w:rsidR="00DA620D" w:rsidRPr="00DA620D" w:rsidRDefault="00DA620D" w:rsidP="00DA620D">
      <w:pPr>
        <w:spacing w:after="200" w:line="276" w:lineRule="auto"/>
        <w:rPr>
          <w:rFonts w:eastAsiaTheme="minorHAnsi"/>
          <w:szCs w:val="22"/>
          <w:lang w:eastAsia="en-US"/>
        </w:rPr>
      </w:pPr>
      <w:r w:rsidRPr="00DA620D">
        <w:rPr>
          <w:rFonts w:eastAsiaTheme="minorHAnsi"/>
          <w:szCs w:val="22"/>
          <w:lang w:eastAsia="en-US"/>
        </w:rPr>
        <w:t>AWU</w:t>
      </w:r>
      <w:r w:rsidRPr="00DA620D">
        <w:rPr>
          <w:rFonts w:eastAsiaTheme="minorHAnsi"/>
          <w:szCs w:val="22"/>
          <w:lang w:eastAsia="en-US"/>
        </w:rPr>
        <w:tab/>
      </w:r>
      <w:r w:rsidRPr="00DA620D">
        <w:rPr>
          <w:rFonts w:eastAsiaTheme="minorHAnsi"/>
          <w:szCs w:val="22"/>
          <w:lang w:eastAsia="en-US"/>
        </w:rPr>
        <w:tab/>
      </w:r>
      <w:r w:rsidRPr="00DA620D">
        <w:rPr>
          <w:rFonts w:eastAsiaTheme="minorHAnsi"/>
          <w:szCs w:val="22"/>
          <w:lang w:eastAsia="en-US"/>
        </w:rPr>
        <w:tab/>
        <w:t>ročná pracovná jednotka</w:t>
      </w:r>
    </w:p>
    <w:p w:rsidR="00DA620D" w:rsidRPr="00DA620D" w:rsidRDefault="00DA620D" w:rsidP="00DA620D">
      <w:pPr>
        <w:spacing w:after="200" w:line="276" w:lineRule="auto"/>
        <w:rPr>
          <w:rFonts w:eastAsiaTheme="minorHAnsi"/>
          <w:szCs w:val="22"/>
          <w:lang w:eastAsia="en-US"/>
        </w:rPr>
      </w:pPr>
      <w:r w:rsidRPr="00DA620D">
        <w:rPr>
          <w:rFonts w:eastAsiaTheme="minorHAnsi"/>
          <w:szCs w:val="22"/>
          <w:lang w:eastAsia="en-US"/>
        </w:rPr>
        <w:t xml:space="preserve">BPS </w:t>
      </w:r>
      <w:r w:rsidRPr="00DA620D">
        <w:rPr>
          <w:rFonts w:eastAsiaTheme="minorHAnsi"/>
          <w:szCs w:val="22"/>
          <w:lang w:eastAsia="en-US"/>
        </w:rPr>
        <w:tab/>
      </w:r>
      <w:r w:rsidRPr="00DA620D">
        <w:rPr>
          <w:rFonts w:eastAsiaTheme="minorHAnsi"/>
          <w:szCs w:val="22"/>
          <w:lang w:eastAsia="en-US"/>
        </w:rPr>
        <w:tab/>
      </w:r>
      <w:r w:rsidRPr="00DA620D">
        <w:rPr>
          <w:rFonts w:eastAsiaTheme="minorHAnsi"/>
          <w:szCs w:val="22"/>
          <w:lang w:eastAsia="en-US"/>
        </w:rPr>
        <w:tab/>
        <w:t>bioplynová stanica</w:t>
      </w:r>
    </w:p>
    <w:p w:rsidR="00DA620D" w:rsidRPr="00DA620D" w:rsidRDefault="00DA620D" w:rsidP="00DA620D">
      <w:pPr>
        <w:spacing w:after="200" w:line="276" w:lineRule="auto"/>
        <w:rPr>
          <w:rFonts w:eastAsiaTheme="minorHAnsi"/>
          <w:szCs w:val="22"/>
          <w:lang w:eastAsia="en-US"/>
        </w:rPr>
      </w:pPr>
      <w:r w:rsidRPr="00DA620D">
        <w:rPr>
          <w:rFonts w:eastAsiaTheme="minorHAnsi"/>
          <w:szCs w:val="22"/>
          <w:lang w:eastAsia="en-US"/>
        </w:rPr>
        <w:t xml:space="preserve">CKO </w:t>
      </w:r>
      <w:r w:rsidRPr="00DA620D">
        <w:rPr>
          <w:rFonts w:eastAsiaTheme="minorHAnsi"/>
          <w:szCs w:val="22"/>
          <w:lang w:eastAsia="en-US"/>
        </w:rPr>
        <w:tab/>
      </w:r>
      <w:r w:rsidRPr="00DA620D">
        <w:rPr>
          <w:rFonts w:eastAsiaTheme="minorHAnsi"/>
          <w:szCs w:val="22"/>
          <w:lang w:eastAsia="en-US"/>
        </w:rPr>
        <w:tab/>
      </w:r>
      <w:r w:rsidRPr="00DA620D">
        <w:rPr>
          <w:rFonts w:eastAsiaTheme="minorHAnsi"/>
          <w:szCs w:val="22"/>
          <w:lang w:eastAsia="en-US"/>
        </w:rPr>
        <w:tab/>
        <w:t xml:space="preserve">centrálny koordinačný orgán </w:t>
      </w:r>
    </w:p>
    <w:p w:rsidR="00DA620D" w:rsidRPr="00DA620D" w:rsidRDefault="00DA620D" w:rsidP="00DA620D">
      <w:pPr>
        <w:spacing w:after="200" w:line="276" w:lineRule="auto"/>
        <w:rPr>
          <w:rFonts w:eastAsiaTheme="minorHAnsi"/>
          <w:szCs w:val="22"/>
          <w:lang w:eastAsia="en-US"/>
        </w:rPr>
      </w:pPr>
      <w:r w:rsidRPr="00DA620D">
        <w:rPr>
          <w:rFonts w:eastAsiaTheme="minorHAnsi"/>
          <w:szCs w:val="22"/>
          <w:lang w:eastAsia="en-US"/>
        </w:rPr>
        <w:t xml:space="preserve">CLLD </w:t>
      </w:r>
      <w:r w:rsidRPr="00DA620D">
        <w:rPr>
          <w:rFonts w:eastAsiaTheme="minorHAnsi"/>
          <w:szCs w:val="22"/>
          <w:lang w:eastAsia="en-US"/>
        </w:rPr>
        <w:tab/>
      </w:r>
      <w:r w:rsidRPr="00DA620D">
        <w:rPr>
          <w:rFonts w:eastAsiaTheme="minorHAnsi"/>
          <w:szCs w:val="22"/>
          <w:lang w:eastAsia="en-US"/>
        </w:rPr>
        <w:tab/>
      </w:r>
      <w:r w:rsidRPr="00DA620D">
        <w:rPr>
          <w:rFonts w:eastAsiaTheme="minorHAnsi"/>
          <w:szCs w:val="22"/>
          <w:lang w:eastAsia="en-US"/>
        </w:rPr>
        <w:tab/>
        <w:t>miestny rozvoj</w:t>
      </w:r>
      <w:r w:rsidR="003A251F">
        <w:rPr>
          <w:rFonts w:eastAsiaTheme="minorHAnsi"/>
          <w:szCs w:val="22"/>
          <w:lang w:eastAsia="en-US"/>
        </w:rPr>
        <w:t xml:space="preserve"> riadený komunitou</w:t>
      </w:r>
      <w:r w:rsidRPr="00DA620D">
        <w:rPr>
          <w:rFonts w:eastAsiaTheme="minorHAnsi"/>
          <w:szCs w:val="22"/>
          <w:lang w:eastAsia="en-US"/>
        </w:rPr>
        <w:t xml:space="preserve"> </w:t>
      </w:r>
    </w:p>
    <w:p w:rsidR="00DA620D" w:rsidRPr="00DA620D" w:rsidRDefault="00DA620D" w:rsidP="00DA620D">
      <w:pPr>
        <w:spacing w:after="200" w:line="276" w:lineRule="auto"/>
        <w:rPr>
          <w:rFonts w:eastAsiaTheme="minorHAnsi"/>
          <w:szCs w:val="22"/>
          <w:lang w:eastAsia="en-US"/>
        </w:rPr>
      </w:pPr>
      <w:r w:rsidRPr="00DA620D">
        <w:rPr>
          <w:rFonts w:eastAsiaTheme="minorHAnsi"/>
          <w:szCs w:val="22"/>
          <w:lang w:eastAsia="en-US"/>
        </w:rPr>
        <w:t xml:space="preserve">CSF </w:t>
      </w:r>
      <w:r w:rsidRPr="00DA620D">
        <w:rPr>
          <w:rFonts w:eastAsiaTheme="minorHAnsi"/>
          <w:szCs w:val="22"/>
          <w:lang w:eastAsia="en-US"/>
        </w:rPr>
        <w:tab/>
      </w:r>
      <w:r w:rsidRPr="00DA620D">
        <w:rPr>
          <w:rFonts w:eastAsiaTheme="minorHAnsi"/>
          <w:szCs w:val="22"/>
          <w:lang w:eastAsia="en-US"/>
        </w:rPr>
        <w:tab/>
      </w:r>
      <w:r w:rsidRPr="00DA620D">
        <w:rPr>
          <w:rFonts w:eastAsiaTheme="minorHAnsi"/>
          <w:szCs w:val="22"/>
          <w:lang w:eastAsia="en-US"/>
        </w:rPr>
        <w:tab/>
        <w:t>spoločný  strategický rámec</w:t>
      </w:r>
    </w:p>
    <w:p w:rsidR="00DA620D" w:rsidRPr="00DA620D" w:rsidRDefault="00DA620D" w:rsidP="00DA620D">
      <w:pPr>
        <w:spacing w:after="200" w:line="276" w:lineRule="auto"/>
        <w:rPr>
          <w:rFonts w:eastAsiaTheme="minorHAnsi"/>
          <w:szCs w:val="22"/>
          <w:lang w:eastAsia="en-US"/>
        </w:rPr>
      </w:pPr>
      <w:r w:rsidRPr="00DA620D">
        <w:rPr>
          <w:rFonts w:eastAsiaTheme="minorHAnsi"/>
          <w:szCs w:val="22"/>
          <w:lang w:eastAsia="en-US"/>
        </w:rPr>
        <w:t>ČMS</w:t>
      </w:r>
      <w:r w:rsidRPr="00DA620D">
        <w:rPr>
          <w:rFonts w:eastAsiaTheme="minorHAnsi"/>
          <w:szCs w:val="22"/>
          <w:lang w:eastAsia="en-US"/>
        </w:rPr>
        <w:tab/>
      </w:r>
      <w:r w:rsidRPr="00DA620D">
        <w:rPr>
          <w:rFonts w:eastAsiaTheme="minorHAnsi"/>
          <w:szCs w:val="22"/>
          <w:lang w:eastAsia="en-US"/>
        </w:rPr>
        <w:tab/>
      </w:r>
      <w:r w:rsidRPr="00DA620D">
        <w:rPr>
          <w:rFonts w:eastAsiaTheme="minorHAnsi"/>
          <w:szCs w:val="22"/>
          <w:lang w:eastAsia="en-US"/>
        </w:rPr>
        <w:tab/>
        <w:t>čiastkový monitorovací systém</w:t>
      </w:r>
    </w:p>
    <w:p w:rsidR="00DA620D" w:rsidRPr="00DA620D" w:rsidRDefault="00DA620D" w:rsidP="00DA620D">
      <w:pPr>
        <w:spacing w:after="200" w:line="276" w:lineRule="auto"/>
        <w:rPr>
          <w:rFonts w:eastAsiaTheme="minorHAnsi"/>
          <w:szCs w:val="22"/>
          <w:lang w:eastAsia="en-US"/>
        </w:rPr>
      </w:pPr>
      <w:r w:rsidRPr="00DA620D">
        <w:rPr>
          <w:rFonts w:eastAsiaTheme="minorHAnsi"/>
          <w:szCs w:val="22"/>
          <w:lang w:eastAsia="en-US"/>
        </w:rPr>
        <w:t>ČŠ</w:t>
      </w:r>
      <w:r w:rsidRPr="00DA620D">
        <w:rPr>
          <w:rFonts w:eastAsiaTheme="minorHAnsi"/>
          <w:szCs w:val="22"/>
          <w:lang w:eastAsia="en-US"/>
        </w:rPr>
        <w:tab/>
      </w:r>
      <w:r w:rsidRPr="00DA620D">
        <w:rPr>
          <w:rFonts w:eastAsiaTheme="minorHAnsi"/>
          <w:szCs w:val="22"/>
          <w:lang w:eastAsia="en-US"/>
        </w:rPr>
        <w:tab/>
      </w:r>
      <w:r w:rsidRPr="00DA620D">
        <w:rPr>
          <w:rFonts w:eastAsiaTheme="minorHAnsi"/>
          <w:szCs w:val="22"/>
          <w:lang w:eastAsia="en-US"/>
        </w:rPr>
        <w:tab/>
        <w:t>členský štát</w:t>
      </w:r>
    </w:p>
    <w:p w:rsidR="00DA620D" w:rsidRPr="00DA620D" w:rsidRDefault="00DA620D" w:rsidP="00DA620D">
      <w:pPr>
        <w:spacing w:after="200" w:line="276" w:lineRule="auto"/>
        <w:rPr>
          <w:rFonts w:eastAsiaTheme="minorHAnsi"/>
          <w:szCs w:val="22"/>
          <w:lang w:eastAsia="en-US"/>
        </w:rPr>
      </w:pPr>
      <w:r w:rsidRPr="00DA620D">
        <w:rPr>
          <w:rFonts w:eastAsiaTheme="minorHAnsi"/>
          <w:szCs w:val="22"/>
          <w:lang w:eastAsia="en-US"/>
        </w:rPr>
        <w:t xml:space="preserve">DG AGRI </w:t>
      </w:r>
      <w:r w:rsidRPr="00DA620D">
        <w:rPr>
          <w:rFonts w:eastAsiaTheme="minorHAnsi"/>
          <w:szCs w:val="22"/>
          <w:lang w:eastAsia="en-US"/>
        </w:rPr>
        <w:tab/>
      </w:r>
      <w:r w:rsidRPr="00DA620D">
        <w:rPr>
          <w:rFonts w:eastAsiaTheme="minorHAnsi"/>
          <w:szCs w:val="22"/>
          <w:lang w:eastAsia="en-US"/>
        </w:rPr>
        <w:tab/>
        <w:t>generálne riaditeľstvo pre poľnohospodárstvo a rozvoj vidieka</w:t>
      </w:r>
    </w:p>
    <w:p w:rsidR="00DA620D" w:rsidRPr="00DA620D" w:rsidRDefault="00DA620D" w:rsidP="00DA620D">
      <w:pPr>
        <w:spacing w:after="200" w:line="276" w:lineRule="auto"/>
        <w:rPr>
          <w:rFonts w:eastAsiaTheme="minorHAnsi"/>
          <w:szCs w:val="22"/>
          <w:lang w:eastAsia="en-US"/>
        </w:rPr>
      </w:pPr>
      <w:r w:rsidRPr="00DA620D">
        <w:rPr>
          <w:rFonts w:eastAsiaTheme="minorHAnsi"/>
          <w:szCs w:val="22"/>
          <w:lang w:eastAsia="en-US"/>
        </w:rPr>
        <w:t>DJ</w:t>
      </w:r>
      <w:r w:rsidRPr="00DA620D">
        <w:rPr>
          <w:rFonts w:eastAsiaTheme="minorHAnsi"/>
          <w:szCs w:val="22"/>
          <w:lang w:eastAsia="en-US"/>
        </w:rPr>
        <w:tab/>
      </w:r>
      <w:r w:rsidRPr="00DA620D">
        <w:rPr>
          <w:rFonts w:eastAsiaTheme="minorHAnsi"/>
          <w:szCs w:val="22"/>
          <w:lang w:eastAsia="en-US"/>
        </w:rPr>
        <w:tab/>
      </w:r>
      <w:r w:rsidRPr="00DA620D">
        <w:rPr>
          <w:rFonts w:eastAsiaTheme="minorHAnsi"/>
          <w:szCs w:val="22"/>
          <w:lang w:eastAsia="en-US"/>
        </w:rPr>
        <w:tab/>
        <w:t xml:space="preserve">dobytčia jednotka </w:t>
      </w:r>
    </w:p>
    <w:p w:rsidR="00DA620D" w:rsidRPr="00DA620D" w:rsidRDefault="00DA620D" w:rsidP="00DA620D">
      <w:pPr>
        <w:spacing w:after="200" w:line="276" w:lineRule="auto"/>
        <w:rPr>
          <w:rFonts w:eastAsiaTheme="minorHAnsi"/>
          <w:szCs w:val="22"/>
          <w:lang w:eastAsia="en-US"/>
        </w:rPr>
      </w:pPr>
      <w:r w:rsidRPr="00DA620D">
        <w:rPr>
          <w:rFonts w:eastAsiaTheme="minorHAnsi"/>
          <w:szCs w:val="22"/>
          <w:lang w:eastAsia="en-US"/>
        </w:rPr>
        <w:t>DTM</w:t>
      </w:r>
      <w:r w:rsidRPr="00DA620D">
        <w:rPr>
          <w:rFonts w:eastAsiaTheme="minorHAnsi"/>
          <w:szCs w:val="22"/>
          <w:lang w:eastAsia="en-US"/>
        </w:rPr>
        <w:tab/>
      </w:r>
      <w:r w:rsidRPr="00DA620D">
        <w:rPr>
          <w:rFonts w:eastAsiaTheme="minorHAnsi"/>
          <w:szCs w:val="22"/>
          <w:lang w:eastAsia="en-US"/>
        </w:rPr>
        <w:tab/>
      </w:r>
      <w:r w:rsidRPr="00DA620D">
        <w:rPr>
          <w:rFonts w:eastAsiaTheme="minorHAnsi"/>
          <w:szCs w:val="22"/>
          <w:lang w:eastAsia="en-US"/>
        </w:rPr>
        <w:tab/>
        <w:t>model holej zeme</w:t>
      </w:r>
    </w:p>
    <w:p w:rsidR="00DA620D" w:rsidRPr="00DA620D" w:rsidRDefault="00DA620D" w:rsidP="00DA620D">
      <w:pPr>
        <w:spacing w:after="200" w:line="276" w:lineRule="auto"/>
        <w:rPr>
          <w:rFonts w:eastAsiaTheme="minorHAnsi"/>
          <w:szCs w:val="22"/>
          <w:lang w:eastAsia="en-US"/>
        </w:rPr>
      </w:pPr>
      <w:r w:rsidRPr="00DA620D">
        <w:rPr>
          <w:rFonts w:eastAsiaTheme="minorHAnsi"/>
          <w:szCs w:val="22"/>
          <w:lang w:eastAsia="en-US"/>
        </w:rPr>
        <w:t>DVT</w:t>
      </w:r>
      <w:r w:rsidRPr="00DA620D">
        <w:rPr>
          <w:rFonts w:eastAsiaTheme="minorHAnsi"/>
          <w:szCs w:val="22"/>
          <w:lang w:eastAsia="en-US"/>
        </w:rPr>
        <w:tab/>
      </w:r>
      <w:r w:rsidRPr="00DA620D">
        <w:rPr>
          <w:rFonts w:eastAsiaTheme="minorHAnsi"/>
          <w:szCs w:val="22"/>
          <w:lang w:eastAsia="en-US"/>
        </w:rPr>
        <w:tab/>
      </w:r>
      <w:r w:rsidRPr="00DA620D">
        <w:rPr>
          <w:rFonts w:eastAsiaTheme="minorHAnsi"/>
          <w:szCs w:val="22"/>
          <w:lang w:eastAsia="en-US"/>
        </w:rPr>
        <w:tab/>
        <w:t>drobné vodné toky</w:t>
      </w:r>
    </w:p>
    <w:p w:rsidR="00DA620D" w:rsidRPr="00DA620D" w:rsidRDefault="00DA620D" w:rsidP="00DA620D">
      <w:pPr>
        <w:spacing w:after="200" w:line="276" w:lineRule="auto"/>
        <w:rPr>
          <w:rFonts w:eastAsiaTheme="minorHAnsi"/>
          <w:szCs w:val="22"/>
          <w:lang w:eastAsia="en-US"/>
        </w:rPr>
      </w:pPr>
      <w:r w:rsidRPr="00DA620D">
        <w:rPr>
          <w:rFonts w:eastAsiaTheme="minorHAnsi"/>
          <w:szCs w:val="22"/>
          <w:lang w:eastAsia="en-US"/>
        </w:rPr>
        <w:t>EFGS</w:t>
      </w:r>
      <w:r w:rsidRPr="00DA620D">
        <w:rPr>
          <w:rFonts w:eastAsiaTheme="minorHAnsi"/>
          <w:szCs w:val="22"/>
          <w:lang w:eastAsia="en-US"/>
        </w:rPr>
        <w:tab/>
      </w:r>
      <w:r w:rsidRPr="00DA620D">
        <w:rPr>
          <w:rFonts w:eastAsiaTheme="minorHAnsi"/>
          <w:szCs w:val="22"/>
          <w:lang w:eastAsia="en-US"/>
        </w:rPr>
        <w:tab/>
      </w:r>
      <w:r w:rsidRPr="00DA620D">
        <w:rPr>
          <w:rFonts w:eastAsiaTheme="minorHAnsi"/>
          <w:szCs w:val="22"/>
          <w:lang w:eastAsia="en-US"/>
        </w:rPr>
        <w:tab/>
        <w:t>Európske geoštatistické fórum</w:t>
      </w:r>
    </w:p>
    <w:p w:rsidR="00DA620D" w:rsidRPr="00DA620D" w:rsidRDefault="00DA620D" w:rsidP="00DA620D">
      <w:pPr>
        <w:spacing w:after="200" w:line="276" w:lineRule="auto"/>
        <w:rPr>
          <w:rFonts w:eastAsiaTheme="minorHAnsi"/>
          <w:szCs w:val="22"/>
          <w:lang w:eastAsia="en-US"/>
        </w:rPr>
      </w:pPr>
      <w:r w:rsidRPr="00DA620D">
        <w:rPr>
          <w:rFonts w:eastAsiaTheme="minorHAnsi"/>
          <w:szCs w:val="22"/>
          <w:lang w:eastAsia="en-US"/>
        </w:rPr>
        <w:t xml:space="preserve">EFRR </w:t>
      </w:r>
      <w:r w:rsidRPr="00DA620D">
        <w:rPr>
          <w:rFonts w:eastAsiaTheme="minorHAnsi"/>
          <w:szCs w:val="22"/>
          <w:lang w:eastAsia="en-US"/>
        </w:rPr>
        <w:tab/>
      </w:r>
      <w:r w:rsidRPr="00DA620D">
        <w:rPr>
          <w:rFonts w:eastAsiaTheme="minorHAnsi"/>
          <w:szCs w:val="22"/>
          <w:lang w:eastAsia="en-US"/>
        </w:rPr>
        <w:tab/>
      </w:r>
      <w:r w:rsidRPr="00DA620D">
        <w:rPr>
          <w:rFonts w:eastAsiaTheme="minorHAnsi"/>
          <w:szCs w:val="22"/>
          <w:lang w:eastAsia="en-US"/>
        </w:rPr>
        <w:tab/>
        <w:t>Európsky fond pre regionálny rozvoj</w:t>
      </w:r>
    </w:p>
    <w:p w:rsidR="00DA620D" w:rsidRPr="00DA620D" w:rsidRDefault="00DA620D" w:rsidP="00DA620D">
      <w:pPr>
        <w:spacing w:after="200" w:line="276" w:lineRule="auto"/>
        <w:rPr>
          <w:rFonts w:eastAsiaTheme="minorHAnsi"/>
          <w:szCs w:val="22"/>
          <w:lang w:eastAsia="en-US"/>
        </w:rPr>
      </w:pPr>
      <w:r w:rsidRPr="00DA620D">
        <w:rPr>
          <w:rFonts w:eastAsiaTheme="minorHAnsi"/>
          <w:szCs w:val="22"/>
          <w:lang w:eastAsia="en-US"/>
        </w:rPr>
        <w:t xml:space="preserve">EHS </w:t>
      </w:r>
      <w:r w:rsidRPr="00DA620D">
        <w:rPr>
          <w:rFonts w:eastAsiaTheme="minorHAnsi"/>
          <w:szCs w:val="22"/>
          <w:lang w:eastAsia="en-US"/>
        </w:rPr>
        <w:tab/>
      </w:r>
      <w:r w:rsidRPr="00DA620D">
        <w:rPr>
          <w:rFonts w:eastAsiaTheme="minorHAnsi"/>
          <w:szCs w:val="22"/>
          <w:lang w:eastAsia="en-US"/>
        </w:rPr>
        <w:tab/>
      </w:r>
      <w:r w:rsidRPr="00DA620D">
        <w:rPr>
          <w:rFonts w:eastAsiaTheme="minorHAnsi"/>
          <w:szCs w:val="22"/>
          <w:lang w:eastAsia="en-US"/>
        </w:rPr>
        <w:tab/>
        <w:t>Európske hospodárske spoločenstvo</w:t>
      </w:r>
    </w:p>
    <w:p w:rsidR="00DA620D" w:rsidRPr="00DA620D" w:rsidRDefault="00DA620D" w:rsidP="00DA620D">
      <w:pPr>
        <w:spacing w:after="200" w:line="276" w:lineRule="auto"/>
        <w:rPr>
          <w:rFonts w:eastAsiaTheme="minorHAnsi"/>
          <w:szCs w:val="22"/>
          <w:lang w:eastAsia="en-US"/>
        </w:rPr>
      </w:pPr>
      <w:r w:rsidRPr="00DA620D">
        <w:rPr>
          <w:rFonts w:eastAsiaTheme="minorHAnsi"/>
          <w:szCs w:val="22"/>
          <w:lang w:eastAsia="en-US"/>
        </w:rPr>
        <w:t>EIP</w:t>
      </w:r>
      <w:r w:rsidRPr="00DA620D">
        <w:rPr>
          <w:rFonts w:eastAsiaTheme="minorHAnsi"/>
          <w:szCs w:val="22"/>
          <w:lang w:eastAsia="en-US"/>
        </w:rPr>
        <w:tab/>
      </w:r>
      <w:r w:rsidRPr="00DA620D">
        <w:rPr>
          <w:rFonts w:eastAsiaTheme="minorHAnsi"/>
          <w:szCs w:val="22"/>
          <w:lang w:eastAsia="en-US"/>
        </w:rPr>
        <w:tab/>
      </w:r>
      <w:r w:rsidRPr="00DA620D">
        <w:rPr>
          <w:rFonts w:eastAsiaTheme="minorHAnsi"/>
          <w:szCs w:val="22"/>
          <w:lang w:eastAsia="en-US"/>
        </w:rPr>
        <w:tab/>
        <w:t xml:space="preserve"> Európske inovačné partnerstvo</w:t>
      </w:r>
    </w:p>
    <w:p w:rsidR="00DA620D" w:rsidRPr="00DA620D" w:rsidRDefault="00DA620D" w:rsidP="00DA620D">
      <w:pPr>
        <w:spacing w:after="200" w:line="276" w:lineRule="auto"/>
        <w:rPr>
          <w:rFonts w:eastAsiaTheme="minorHAnsi"/>
          <w:szCs w:val="22"/>
          <w:lang w:eastAsia="en-US"/>
        </w:rPr>
      </w:pPr>
      <w:r w:rsidRPr="00DA620D">
        <w:rPr>
          <w:rFonts w:eastAsiaTheme="minorHAnsi"/>
          <w:szCs w:val="22"/>
          <w:lang w:eastAsia="en-US"/>
        </w:rPr>
        <w:t xml:space="preserve">EK </w:t>
      </w:r>
      <w:r w:rsidRPr="00DA620D">
        <w:rPr>
          <w:rFonts w:eastAsiaTheme="minorHAnsi"/>
          <w:szCs w:val="22"/>
          <w:lang w:eastAsia="en-US"/>
        </w:rPr>
        <w:tab/>
      </w:r>
      <w:r w:rsidRPr="00DA620D">
        <w:rPr>
          <w:rFonts w:eastAsiaTheme="minorHAnsi"/>
          <w:szCs w:val="22"/>
          <w:lang w:eastAsia="en-US"/>
        </w:rPr>
        <w:tab/>
      </w:r>
      <w:r w:rsidRPr="00DA620D">
        <w:rPr>
          <w:rFonts w:eastAsiaTheme="minorHAnsi"/>
          <w:szCs w:val="22"/>
          <w:lang w:eastAsia="en-US"/>
        </w:rPr>
        <w:tab/>
        <w:t>Európska komisia</w:t>
      </w:r>
    </w:p>
    <w:p w:rsidR="00DA620D" w:rsidRPr="00DA620D" w:rsidRDefault="00DA620D" w:rsidP="00DA620D">
      <w:pPr>
        <w:spacing w:after="200" w:line="276" w:lineRule="auto"/>
        <w:rPr>
          <w:rFonts w:eastAsiaTheme="minorHAnsi"/>
          <w:szCs w:val="22"/>
          <w:lang w:eastAsia="en-US"/>
        </w:rPr>
      </w:pPr>
      <w:r w:rsidRPr="00DA620D">
        <w:rPr>
          <w:rFonts w:eastAsiaTheme="minorHAnsi"/>
          <w:szCs w:val="22"/>
          <w:lang w:eastAsia="en-US"/>
        </w:rPr>
        <w:t>ENRF</w:t>
      </w:r>
      <w:r w:rsidRPr="00DA620D">
        <w:rPr>
          <w:rFonts w:eastAsiaTheme="minorHAnsi"/>
          <w:szCs w:val="22"/>
          <w:lang w:eastAsia="en-US"/>
        </w:rPr>
        <w:tab/>
      </w:r>
      <w:r w:rsidRPr="00DA620D">
        <w:rPr>
          <w:rFonts w:eastAsiaTheme="minorHAnsi"/>
          <w:szCs w:val="22"/>
          <w:lang w:eastAsia="en-US"/>
        </w:rPr>
        <w:tab/>
      </w:r>
      <w:r w:rsidRPr="00DA620D">
        <w:rPr>
          <w:rFonts w:eastAsiaTheme="minorHAnsi"/>
          <w:szCs w:val="22"/>
          <w:lang w:eastAsia="en-US"/>
        </w:rPr>
        <w:tab/>
        <w:t>Európsky námorný a rybársky fond</w:t>
      </w:r>
    </w:p>
    <w:p w:rsidR="00DA620D" w:rsidRPr="00DA620D" w:rsidRDefault="00DA620D" w:rsidP="00DA620D">
      <w:pPr>
        <w:spacing w:after="200" w:line="276" w:lineRule="auto"/>
        <w:rPr>
          <w:rFonts w:eastAsiaTheme="minorHAnsi"/>
          <w:szCs w:val="22"/>
          <w:lang w:eastAsia="en-US"/>
        </w:rPr>
      </w:pPr>
      <w:r w:rsidRPr="00DA620D">
        <w:rPr>
          <w:rFonts w:eastAsiaTheme="minorHAnsi"/>
          <w:szCs w:val="22"/>
          <w:lang w:eastAsia="en-US"/>
        </w:rPr>
        <w:t xml:space="preserve">EO </w:t>
      </w:r>
      <w:r w:rsidRPr="00DA620D">
        <w:rPr>
          <w:rFonts w:eastAsiaTheme="minorHAnsi"/>
          <w:szCs w:val="22"/>
          <w:lang w:eastAsia="en-US"/>
        </w:rPr>
        <w:tab/>
      </w:r>
      <w:r w:rsidRPr="00DA620D">
        <w:rPr>
          <w:rFonts w:eastAsiaTheme="minorHAnsi"/>
          <w:szCs w:val="22"/>
          <w:lang w:eastAsia="en-US"/>
        </w:rPr>
        <w:tab/>
      </w:r>
      <w:r w:rsidRPr="00DA620D">
        <w:rPr>
          <w:rFonts w:eastAsiaTheme="minorHAnsi"/>
          <w:szCs w:val="22"/>
          <w:lang w:eastAsia="en-US"/>
        </w:rPr>
        <w:tab/>
        <w:t>ekvivalentný obyvateľ</w:t>
      </w:r>
    </w:p>
    <w:p w:rsidR="00DA620D" w:rsidRPr="00DA620D" w:rsidRDefault="00DA620D" w:rsidP="00DA620D">
      <w:pPr>
        <w:spacing w:after="200" w:line="276" w:lineRule="auto"/>
        <w:rPr>
          <w:rFonts w:eastAsiaTheme="minorHAnsi"/>
          <w:szCs w:val="22"/>
          <w:lang w:eastAsia="en-US"/>
        </w:rPr>
      </w:pPr>
      <w:r w:rsidRPr="00DA620D">
        <w:rPr>
          <w:rFonts w:eastAsiaTheme="minorHAnsi"/>
          <w:szCs w:val="22"/>
          <w:lang w:eastAsia="en-US"/>
        </w:rPr>
        <w:t>EPFRV</w:t>
      </w:r>
      <w:r w:rsidRPr="00DA620D">
        <w:rPr>
          <w:rFonts w:eastAsiaTheme="minorHAnsi"/>
          <w:szCs w:val="22"/>
          <w:lang w:eastAsia="en-US"/>
        </w:rPr>
        <w:tab/>
      </w:r>
      <w:r w:rsidRPr="00DA620D">
        <w:rPr>
          <w:rFonts w:eastAsiaTheme="minorHAnsi"/>
          <w:szCs w:val="22"/>
          <w:lang w:eastAsia="en-US"/>
        </w:rPr>
        <w:tab/>
      </w:r>
      <w:r w:rsidRPr="00DA620D">
        <w:rPr>
          <w:rFonts w:eastAsiaTheme="minorHAnsi"/>
          <w:szCs w:val="22"/>
          <w:lang w:eastAsia="en-US"/>
        </w:rPr>
        <w:tab/>
        <w:t>Európsky poľnohospodársky fond pre rozvoj vidieka</w:t>
      </w:r>
    </w:p>
    <w:p w:rsidR="00DA620D" w:rsidRPr="00DA620D" w:rsidRDefault="00DA620D" w:rsidP="00DA620D">
      <w:pPr>
        <w:spacing w:after="200" w:line="276" w:lineRule="auto"/>
        <w:rPr>
          <w:rFonts w:eastAsiaTheme="minorHAnsi"/>
          <w:szCs w:val="22"/>
          <w:lang w:eastAsia="en-US"/>
        </w:rPr>
      </w:pPr>
      <w:r w:rsidRPr="00DA620D">
        <w:rPr>
          <w:rFonts w:eastAsiaTheme="minorHAnsi"/>
          <w:szCs w:val="22"/>
          <w:lang w:eastAsia="en-US"/>
        </w:rPr>
        <w:t>EPV</w:t>
      </w:r>
      <w:r w:rsidRPr="00DA620D">
        <w:rPr>
          <w:rFonts w:eastAsiaTheme="minorHAnsi"/>
          <w:szCs w:val="22"/>
          <w:lang w:eastAsia="en-US"/>
        </w:rPr>
        <w:tab/>
      </w:r>
      <w:r w:rsidRPr="00DA620D">
        <w:rPr>
          <w:rFonts w:eastAsiaTheme="minorHAnsi"/>
          <w:szCs w:val="22"/>
          <w:lang w:eastAsia="en-US"/>
        </w:rPr>
        <w:tab/>
      </w:r>
      <w:r w:rsidRPr="00DA620D">
        <w:rPr>
          <w:rFonts w:eastAsiaTheme="minorHAnsi"/>
          <w:szCs w:val="22"/>
          <w:lang w:eastAsia="en-US"/>
        </w:rPr>
        <w:tab/>
        <w:t>ekologická poľnohospodárska výroba</w:t>
      </w:r>
    </w:p>
    <w:p w:rsidR="00DA620D" w:rsidRPr="00DA620D" w:rsidRDefault="00DA620D" w:rsidP="00DA620D">
      <w:pPr>
        <w:spacing w:after="200" w:line="276" w:lineRule="auto"/>
        <w:rPr>
          <w:rFonts w:eastAsiaTheme="minorHAnsi"/>
          <w:szCs w:val="22"/>
          <w:lang w:eastAsia="en-US"/>
        </w:rPr>
      </w:pPr>
      <w:r w:rsidRPr="00DA620D">
        <w:rPr>
          <w:rFonts w:eastAsiaTheme="minorHAnsi"/>
          <w:szCs w:val="22"/>
          <w:lang w:eastAsia="en-US"/>
        </w:rPr>
        <w:t>ES</w:t>
      </w:r>
      <w:r w:rsidRPr="00DA620D">
        <w:rPr>
          <w:rFonts w:eastAsiaTheme="minorHAnsi"/>
          <w:szCs w:val="22"/>
          <w:lang w:eastAsia="en-US"/>
        </w:rPr>
        <w:tab/>
      </w:r>
      <w:r w:rsidRPr="00DA620D">
        <w:rPr>
          <w:rFonts w:eastAsiaTheme="minorHAnsi"/>
          <w:szCs w:val="22"/>
          <w:lang w:eastAsia="en-US"/>
        </w:rPr>
        <w:tab/>
      </w:r>
      <w:r w:rsidRPr="00DA620D">
        <w:rPr>
          <w:rFonts w:eastAsiaTheme="minorHAnsi"/>
          <w:szCs w:val="22"/>
          <w:lang w:eastAsia="en-US"/>
        </w:rPr>
        <w:tab/>
        <w:t>Európske spoločenstvo</w:t>
      </w:r>
    </w:p>
    <w:p w:rsidR="00DA620D" w:rsidRPr="00DA620D" w:rsidRDefault="00DA620D" w:rsidP="00DA620D">
      <w:pPr>
        <w:spacing w:after="200" w:line="276" w:lineRule="auto"/>
        <w:rPr>
          <w:rFonts w:eastAsiaTheme="minorHAnsi"/>
          <w:szCs w:val="22"/>
          <w:lang w:eastAsia="en-US"/>
        </w:rPr>
      </w:pPr>
      <w:r w:rsidRPr="00DA620D">
        <w:rPr>
          <w:rFonts w:eastAsiaTheme="minorHAnsi"/>
          <w:szCs w:val="22"/>
          <w:lang w:eastAsia="en-US"/>
        </w:rPr>
        <w:lastRenderedPageBreak/>
        <w:t>ESNÚ 95</w:t>
      </w:r>
      <w:r w:rsidRPr="00DA620D">
        <w:rPr>
          <w:rFonts w:eastAsiaTheme="minorHAnsi"/>
          <w:szCs w:val="22"/>
          <w:lang w:eastAsia="en-US"/>
        </w:rPr>
        <w:tab/>
      </w:r>
      <w:r w:rsidRPr="00DA620D">
        <w:rPr>
          <w:rFonts w:eastAsiaTheme="minorHAnsi"/>
          <w:szCs w:val="22"/>
          <w:lang w:eastAsia="en-US"/>
        </w:rPr>
        <w:tab/>
        <w:t>Európsky systém národných a regionálnych účtov v Spoločenstve</w:t>
      </w:r>
    </w:p>
    <w:p w:rsidR="00DA620D" w:rsidRPr="00DA620D" w:rsidRDefault="00DA620D" w:rsidP="00DA620D">
      <w:pPr>
        <w:spacing w:after="200" w:line="276" w:lineRule="auto"/>
        <w:rPr>
          <w:rFonts w:eastAsiaTheme="minorHAnsi"/>
          <w:szCs w:val="22"/>
          <w:lang w:eastAsia="en-US"/>
        </w:rPr>
      </w:pPr>
      <w:r w:rsidRPr="00DA620D">
        <w:rPr>
          <w:rFonts w:eastAsiaTheme="minorHAnsi"/>
          <w:szCs w:val="22"/>
          <w:lang w:eastAsia="en-US"/>
        </w:rPr>
        <w:t>EŠIF</w:t>
      </w:r>
      <w:r w:rsidRPr="00DA620D">
        <w:rPr>
          <w:rFonts w:eastAsiaTheme="minorHAnsi"/>
          <w:szCs w:val="22"/>
          <w:lang w:eastAsia="en-US"/>
        </w:rPr>
        <w:tab/>
      </w:r>
      <w:r w:rsidRPr="00DA620D">
        <w:rPr>
          <w:rFonts w:eastAsiaTheme="minorHAnsi"/>
          <w:szCs w:val="22"/>
          <w:lang w:eastAsia="en-US"/>
        </w:rPr>
        <w:tab/>
      </w:r>
      <w:r w:rsidRPr="00DA620D">
        <w:rPr>
          <w:rFonts w:eastAsiaTheme="minorHAnsi"/>
          <w:szCs w:val="22"/>
          <w:lang w:eastAsia="en-US"/>
        </w:rPr>
        <w:tab/>
        <w:t>Európske štrukturálne a investičné fondy</w:t>
      </w:r>
    </w:p>
    <w:p w:rsidR="00DA620D" w:rsidRPr="00DA620D" w:rsidRDefault="00DA620D" w:rsidP="00DA620D">
      <w:pPr>
        <w:spacing w:after="200" w:line="276" w:lineRule="auto"/>
        <w:rPr>
          <w:rFonts w:eastAsiaTheme="minorHAnsi"/>
          <w:szCs w:val="22"/>
          <w:lang w:eastAsia="en-US"/>
        </w:rPr>
      </w:pPr>
      <w:r w:rsidRPr="00DA620D">
        <w:rPr>
          <w:rFonts w:eastAsiaTheme="minorHAnsi"/>
          <w:szCs w:val="22"/>
          <w:lang w:eastAsia="en-US"/>
        </w:rPr>
        <w:t xml:space="preserve">ETC </w:t>
      </w:r>
      <w:r w:rsidRPr="00DA620D">
        <w:rPr>
          <w:rFonts w:eastAsiaTheme="minorHAnsi"/>
          <w:szCs w:val="22"/>
          <w:lang w:eastAsia="en-US"/>
        </w:rPr>
        <w:tab/>
      </w:r>
      <w:r w:rsidRPr="00DA620D">
        <w:rPr>
          <w:rFonts w:eastAsiaTheme="minorHAnsi"/>
          <w:szCs w:val="22"/>
          <w:lang w:eastAsia="en-US"/>
        </w:rPr>
        <w:tab/>
      </w:r>
      <w:r w:rsidRPr="00DA620D">
        <w:rPr>
          <w:rFonts w:eastAsiaTheme="minorHAnsi"/>
          <w:szCs w:val="22"/>
          <w:lang w:eastAsia="en-US"/>
        </w:rPr>
        <w:tab/>
        <w:t>programy Európskej územnej spolupráce</w:t>
      </w:r>
    </w:p>
    <w:p w:rsidR="00DA620D" w:rsidRPr="00DA620D" w:rsidRDefault="00DA620D" w:rsidP="00DA620D">
      <w:pPr>
        <w:spacing w:after="200" w:line="276" w:lineRule="auto"/>
        <w:rPr>
          <w:rFonts w:eastAsiaTheme="minorHAnsi"/>
          <w:szCs w:val="22"/>
          <w:lang w:eastAsia="en-US"/>
        </w:rPr>
      </w:pPr>
      <w:r w:rsidRPr="00DA620D">
        <w:rPr>
          <w:rFonts w:eastAsiaTheme="minorHAnsi"/>
          <w:szCs w:val="22"/>
          <w:lang w:eastAsia="en-US"/>
        </w:rPr>
        <w:t>EÚ</w:t>
      </w:r>
      <w:r w:rsidRPr="00DA620D">
        <w:rPr>
          <w:rFonts w:eastAsiaTheme="minorHAnsi"/>
          <w:szCs w:val="22"/>
          <w:lang w:eastAsia="en-US"/>
        </w:rPr>
        <w:tab/>
      </w:r>
      <w:r w:rsidRPr="00DA620D">
        <w:rPr>
          <w:rFonts w:eastAsiaTheme="minorHAnsi"/>
          <w:szCs w:val="22"/>
          <w:lang w:eastAsia="en-US"/>
        </w:rPr>
        <w:tab/>
      </w:r>
      <w:r w:rsidRPr="00DA620D">
        <w:rPr>
          <w:rFonts w:eastAsiaTheme="minorHAnsi"/>
          <w:szCs w:val="22"/>
          <w:lang w:eastAsia="en-US"/>
        </w:rPr>
        <w:tab/>
        <w:t xml:space="preserve">Európska únia </w:t>
      </w:r>
    </w:p>
    <w:p w:rsidR="00DA620D" w:rsidRPr="00DA620D" w:rsidRDefault="00DA620D" w:rsidP="00DA620D">
      <w:pPr>
        <w:spacing w:after="200" w:line="276" w:lineRule="auto"/>
        <w:rPr>
          <w:rFonts w:eastAsiaTheme="minorHAnsi"/>
          <w:szCs w:val="22"/>
          <w:lang w:eastAsia="en-US"/>
        </w:rPr>
      </w:pPr>
      <w:r w:rsidRPr="00DA620D">
        <w:rPr>
          <w:rFonts w:eastAsiaTheme="minorHAnsi"/>
          <w:szCs w:val="22"/>
          <w:lang w:eastAsia="en-US"/>
        </w:rPr>
        <w:t xml:space="preserve">FADN  </w:t>
      </w:r>
      <w:r w:rsidRPr="00DA620D">
        <w:rPr>
          <w:rFonts w:eastAsiaTheme="minorHAnsi"/>
          <w:szCs w:val="22"/>
          <w:lang w:eastAsia="en-US"/>
        </w:rPr>
        <w:tab/>
      </w:r>
      <w:r w:rsidRPr="00DA620D">
        <w:rPr>
          <w:rFonts w:eastAsiaTheme="minorHAnsi"/>
          <w:szCs w:val="22"/>
          <w:lang w:eastAsia="en-US"/>
        </w:rPr>
        <w:tab/>
      </w:r>
      <w:r w:rsidRPr="00DA620D">
        <w:rPr>
          <w:rFonts w:eastAsiaTheme="minorHAnsi"/>
          <w:szCs w:val="22"/>
          <w:lang w:eastAsia="en-US"/>
        </w:rPr>
        <w:tab/>
      </w:r>
      <w:r w:rsidR="003A251F">
        <w:rPr>
          <w:rFonts w:eastAsiaTheme="minorHAnsi"/>
          <w:szCs w:val="22"/>
          <w:lang w:eastAsia="en-US"/>
        </w:rPr>
        <w:t>I</w:t>
      </w:r>
      <w:r w:rsidRPr="00DA620D">
        <w:rPr>
          <w:rFonts w:eastAsiaTheme="minorHAnsi"/>
          <w:szCs w:val="22"/>
          <w:lang w:eastAsia="en-US"/>
        </w:rPr>
        <w:t>nformačná sieť poľnohospodárskeho účtovníctva</w:t>
      </w:r>
    </w:p>
    <w:p w:rsidR="00DA620D" w:rsidRPr="00DA620D" w:rsidRDefault="00DA620D" w:rsidP="00DA620D">
      <w:pPr>
        <w:spacing w:after="200" w:line="276" w:lineRule="auto"/>
        <w:ind w:left="2124" w:hanging="2124"/>
        <w:rPr>
          <w:rFonts w:eastAsiaTheme="minorHAnsi"/>
          <w:szCs w:val="22"/>
          <w:lang w:eastAsia="en-US"/>
        </w:rPr>
      </w:pPr>
      <w:r w:rsidRPr="00DA620D">
        <w:rPr>
          <w:rFonts w:eastAsiaTheme="minorHAnsi"/>
          <w:szCs w:val="22"/>
          <w:lang w:eastAsia="en-US"/>
        </w:rPr>
        <w:t xml:space="preserve">FAO </w:t>
      </w:r>
      <w:r w:rsidRPr="00DA620D">
        <w:rPr>
          <w:rFonts w:eastAsiaTheme="minorHAnsi"/>
          <w:szCs w:val="22"/>
          <w:lang w:eastAsia="en-US"/>
        </w:rPr>
        <w:tab/>
        <w:t>Organizácia OSN pre výživu a poľnohospodárstvo</w:t>
      </w:r>
    </w:p>
    <w:p w:rsidR="00DA620D" w:rsidRPr="00DA620D" w:rsidRDefault="00DA620D" w:rsidP="00DA620D">
      <w:pPr>
        <w:spacing w:after="200" w:line="276" w:lineRule="auto"/>
        <w:rPr>
          <w:rFonts w:eastAsiaTheme="minorHAnsi"/>
          <w:szCs w:val="22"/>
          <w:lang w:eastAsia="en-US"/>
        </w:rPr>
      </w:pPr>
      <w:r w:rsidRPr="00DA620D">
        <w:rPr>
          <w:rFonts w:eastAsiaTheme="minorHAnsi"/>
          <w:szCs w:val="22"/>
          <w:lang w:eastAsia="en-US"/>
        </w:rPr>
        <w:t xml:space="preserve">FAS </w:t>
      </w:r>
      <w:r w:rsidRPr="00DA620D">
        <w:rPr>
          <w:rFonts w:eastAsiaTheme="minorHAnsi"/>
          <w:szCs w:val="22"/>
          <w:lang w:eastAsia="en-US"/>
        </w:rPr>
        <w:tab/>
      </w:r>
      <w:r w:rsidRPr="00DA620D">
        <w:rPr>
          <w:rFonts w:eastAsiaTheme="minorHAnsi"/>
          <w:szCs w:val="22"/>
          <w:lang w:eastAsia="en-US"/>
        </w:rPr>
        <w:tab/>
      </w:r>
      <w:r w:rsidRPr="00DA620D">
        <w:rPr>
          <w:rFonts w:eastAsiaTheme="minorHAnsi"/>
          <w:szCs w:val="22"/>
          <w:lang w:eastAsia="en-US"/>
        </w:rPr>
        <w:tab/>
        <w:t>poľnohospodársky poradenský systém</w:t>
      </w:r>
    </w:p>
    <w:p w:rsidR="00DA620D" w:rsidRPr="00DA620D" w:rsidRDefault="00DA620D" w:rsidP="00DA620D">
      <w:pPr>
        <w:spacing w:after="200" w:line="276" w:lineRule="auto"/>
        <w:rPr>
          <w:rFonts w:eastAsiaTheme="minorHAnsi"/>
          <w:szCs w:val="22"/>
          <w:lang w:eastAsia="en-US"/>
        </w:rPr>
      </w:pPr>
      <w:r w:rsidRPr="00DA620D">
        <w:rPr>
          <w:rFonts w:eastAsiaTheme="minorHAnsi"/>
          <w:szCs w:val="22"/>
          <w:lang w:eastAsia="en-US"/>
        </w:rPr>
        <w:t>FAWS</w:t>
      </w:r>
      <w:r w:rsidRPr="00DA620D">
        <w:rPr>
          <w:rFonts w:eastAsiaTheme="minorHAnsi"/>
          <w:szCs w:val="22"/>
          <w:lang w:eastAsia="en-US"/>
        </w:rPr>
        <w:tab/>
      </w:r>
      <w:r w:rsidRPr="00DA620D">
        <w:rPr>
          <w:rFonts w:eastAsiaTheme="minorHAnsi"/>
          <w:szCs w:val="22"/>
          <w:lang w:eastAsia="en-US"/>
        </w:rPr>
        <w:tab/>
      </w:r>
      <w:r w:rsidRPr="00DA620D">
        <w:rPr>
          <w:rFonts w:eastAsiaTheme="minorHAnsi"/>
          <w:szCs w:val="22"/>
          <w:lang w:eastAsia="en-US"/>
        </w:rPr>
        <w:tab/>
        <w:t>výmera lesov vhodných pre dodávky dreva</w:t>
      </w:r>
    </w:p>
    <w:p w:rsidR="00DA620D" w:rsidRPr="00DA620D" w:rsidRDefault="00DA620D" w:rsidP="00DA620D">
      <w:pPr>
        <w:spacing w:after="200" w:line="276" w:lineRule="auto"/>
        <w:rPr>
          <w:rFonts w:eastAsiaTheme="minorHAnsi"/>
          <w:szCs w:val="22"/>
          <w:lang w:eastAsia="en-US"/>
        </w:rPr>
      </w:pPr>
      <w:r w:rsidRPr="00DA620D">
        <w:rPr>
          <w:rFonts w:eastAsiaTheme="minorHAnsi"/>
          <w:szCs w:val="22"/>
          <w:lang w:eastAsia="en-US"/>
        </w:rPr>
        <w:t xml:space="preserve">FEAD </w:t>
      </w:r>
      <w:r w:rsidRPr="00DA620D">
        <w:rPr>
          <w:rFonts w:eastAsiaTheme="minorHAnsi"/>
          <w:szCs w:val="22"/>
          <w:lang w:eastAsia="en-US"/>
        </w:rPr>
        <w:tab/>
      </w:r>
      <w:r w:rsidRPr="00DA620D">
        <w:rPr>
          <w:rFonts w:eastAsiaTheme="minorHAnsi"/>
          <w:szCs w:val="22"/>
          <w:lang w:eastAsia="en-US"/>
        </w:rPr>
        <w:tab/>
      </w:r>
      <w:r w:rsidRPr="00DA620D">
        <w:rPr>
          <w:rFonts w:eastAsiaTheme="minorHAnsi"/>
          <w:szCs w:val="22"/>
          <w:lang w:eastAsia="en-US"/>
        </w:rPr>
        <w:tab/>
        <w:t>Fond Európskej pomoci pre najodkázanejšie osoby</w:t>
      </w:r>
    </w:p>
    <w:p w:rsidR="00DA620D" w:rsidRPr="00DA620D" w:rsidRDefault="00DA620D" w:rsidP="00DA620D">
      <w:pPr>
        <w:spacing w:after="200" w:line="276" w:lineRule="auto"/>
        <w:rPr>
          <w:rFonts w:eastAsiaTheme="minorHAnsi"/>
          <w:szCs w:val="22"/>
          <w:lang w:eastAsia="en-US"/>
        </w:rPr>
      </w:pPr>
      <w:r w:rsidRPr="00DA620D">
        <w:rPr>
          <w:rFonts w:eastAsiaTheme="minorHAnsi"/>
          <w:szCs w:val="22"/>
          <w:lang w:eastAsia="en-US"/>
        </w:rPr>
        <w:t>FO</w:t>
      </w:r>
      <w:r w:rsidRPr="00DA620D">
        <w:rPr>
          <w:rFonts w:eastAsiaTheme="minorHAnsi"/>
          <w:szCs w:val="22"/>
          <w:lang w:eastAsia="en-US"/>
        </w:rPr>
        <w:tab/>
      </w:r>
      <w:r w:rsidRPr="00DA620D">
        <w:rPr>
          <w:rFonts w:eastAsiaTheme="minorHAnsi"/>
          <w:szCs w:val="22"/>
          <w:lang w:eastAsia="en-US"/>
        </w:rPr>
        <w:tab/>
      </w:r>
      <w:r w:rsidRPr="00DA620D">
        <w:rPr>
          <w:rFonts w:eastAsiaTheme="minorHAnsi"/>
          <w:szCs w:val="22"/>
          <w:lang w:eastAsia="en-US"/>
        </w:rPr>
        <w:tab/>
        <w:t xml:space="preserve">fyzická osoba </w:t>
      </w:r>
    </w:p>
    <w:p w:rsidR="00DA620D" w:rsidRPr="00DA620D" w:rsidRDefault="00DA620D" w:rsidP="00DA620D">
      <w:pPr>
        <w:spacing w:after="200" w:line="276" w:lineRule="auto"/>
        <w:ind w:left="2124" w:hanging="2124"/>
        <w:rPr>
          <w:rFonts w:eastAsiaTheme="minorHAnsi"/>
          <w:szCs w:val="22"/>
          <w:lang w:eastAsia="en-US"/>
        </w:rPr>
      </w:pPr>
      <w:r w:rsidRPr="00DA620D">
        <w:rPr>
          <w:rFonts w:eastAsiaTheme="minorHAnsi"/>
          <w:szCs w:val="22"/>
          <w:lang w:eastAsia="en-US"/>
        </w:rPr>
        <w:t xml:space="preserve">FOWL </w:t>
      </w:r>
      <w:r w:rsidRPr="00DA620D">
        <w:rPr>
          <w:rFonts w:eastAsiaTheme="minorHAnsi"/>
          <w:szCs w:val="22"/>
          <w:lang w:eastAsia="en-US"/>
        </w:rPr>
        <w:tab/>
        <w:t>percento lesných pozemkov a nelesnej drevinovej vegetácie chránenej pre zachovanie</w:t>
      </w:r>
    </w:p>
    <w:p w:rsidR="00DA620D" w:rsidRPr="00DA620D" w:rsidRDefault="00DA620D" w:rsidP="00DA620D">
      <w:pPr>
        <w:spacing w:after="200" w:line="276" w:lineRule="auto"/>
        <w:ind w:left="2124" w:hanging="2124"/>
        <w:rPr>
          <w:rFonts w:eastAsiaTheme="minorHAnsi"/>
          <w:szCs w:val="22"/>
          <w:lang w:eastAsia="en-US"/>
        </w:rPr>
      </w:pPr>
      <w:r w:rsidRPr="00DA620D">
        <w:rPr>
          <w:rFonts w:eastAsiaTheme="minorHAnsi"/>
          <w:szCs w:val="22"/>
          <w:lang w:eastAsia="en-US"/>
        </w:rPr>
        <w:t xml:space="preserve">GAEC </w:t>
      </w:r>
      <w:r w:rsidRPr="00DA620D">
        <w:rPr>
          <w:rFonts w:eastAsiaTheme="minorHAnsi"/>
          <w:szCs w:val="22"/>
          <w:lang w:eastAsia="en-US"/>
        </w:rPr>
        <w:tab/>
        <w:t>dobré poľnohospodárske a environmentálne podmienky</w:t>
      </w:r>
    </w:p>
    <w:p w:rsidR="00DA620D" w:rsidRPr="00DA620D" w:rsidRDefault="00DA620D" w:rsidP="00DA620D">
      <w:pPr>
        <w:spacing w:after="200" w:line="276" w:lineRule="auto"/>
        <w:ind w:left="2124" w:hanging="2124"/>
        <w:rPr>
          <w:rFonts w:eastAsiaTheme="minorHAnsi"/>
          <w:szCs w:val="22"/>
          <w:lang w:eastAsia="en-US"/>
        </w:rPr>
      </w:pPr>
      <w:r w:rsidRPr="00DA620D">
        <w:rPr>
          <w:rFonts w:eastAsiaTheme="minorHAnsi"/>
          <w:szCs w:val="22"/>
          <w:lang w:eastAsia="en-US"/>
        </w:rPr>
        <w:t>GPS</w:t>
      </w:r>
      <w:r w:rsidRPr="00DA620D">
        <w:rPr>
          <w:rFonts w:eastAsiaTheme="minorHAnsi"/>
          <w:szCs w:val="22"/>
          <w:lang w:eastAsia="en-US"/>
        </w:rPr>
        <w:tab/>
        <w:t>globálny družicový systém na určovanie polohy</w:t>
      </w:r>
    </w:p>
    <w:p w:rsidR="00DA620D" w:rsidRPr="00DA620D" w:rsidRDefault="00DA620D" w:rsidP="00DA620D">
      <w:pPr>
        <w:spacing w:after="200" w:line="276" w:lineRule="auto"/>
        <w:rPr>
          <w:rFonts w:eastAsiaTheme="minorHAnsi"/>
          <w:szCs w:val="22"/>
          <w:lang w:eastAsia="en-US"/>
        </w:rPr>
      </w:pPr>
      <w:r w:rsidRPr="00DA620D">
        <w:rPr>
          <w:rFonts w:eastAsiaTheme="minorHAnsi"/>
          <w:szCs w:val="22"/>
          <w:lang w:eastAsia="en-US"/>
        </w:rPr>
        <w:t xml:space="preserve">HaZZ </w:t>
      </w:r>
      <w:r w:rsidRPr="00DA620D">
        <w:rPr>
          <w:rFonts w:eastAsiaTheme="minorHAnsi"/>
          <w:szCs w:val="22"/>
          <w:lang w:eastAsia="en-US"/>
        </w:rPr>
        <w:tab/>
      </w:r>
      <w:r w:rsidRPr="00DA620D">
        <w:rPr>
          <w:rFonts w:eastAsiaTheme="minorHAnsi"/>
          <w:szCs w:val="22"/>
          <w:lang w:eastAsia="en-US"/>
        </w:rPr>
        <w:tab/>
      </w:r>
      <w:r w:rsidRPr="00DA620D">
        <w:rPr>
          <w:rFonts w:eastAsiaTheme="minorHAnsi"/>
          <w:szCs w:val="22"/>
          <w:lang w:eastAsia="en-US"/>
        </w:rPr>
        <w:tab/>
        <w:t>hasičský a záchranný zbor</w:t>
      </w:r>
    </w:p>
    <w:p w:rsidR="00DA620D" w:rsidRPr="00DA620D" w:rsidRDefault="00DA620D" w:rsidP="00DA620D">
      <w:pPr>
        <w:spacing w:after="200" w:line="276" w:lineRule="auto"/>
        <w:rPr>
          <w:rFonts w:eastAsiaTheme="minorHAnsi"/>
          <w:szCs w:val="22"/>
          <w:lang w:eastAsia="en-US"/>
        </w:rPr>
      </w:pPr>
      <w:r w:rsidRPr="00DA620D">
        <w:rPr>
          <w:rFonts w:eastAsiaTheme="minorHAnsi"/>
          <w:szCs w:val="22"/>
          <w:lang w:eastAsia="en-US"/>
        </w:rPr>
        <w:t xml:space="preserve">HD </w:t>
      </w:r>
      <w:r w:rsidRPr="00DA620D">
        <w:rPr>
          <w:rFonts w:eastAsiaTheme="minorHAnsi"/>
          <w:szCs w:val="22"/>
          <w:lang w:eastAsia="en-US"/>
        </w:rPr>
        <w:tab/>
      </w:r>
      <w:r w:rsidRPr="00DA620D">
        <w:rPr>
          <w:rFonts w:eastAsiaTheme="minorHAnsi"/>
          <w:szCs w:val="22"/>
          <w:lang w:eastAsia="en-US"/>
        </w:rPr>
        <w:tab/>
      </w:r>
      <w:r w:rsidRPr="00DA620D">
        <w:rPr>
          <w:rFonts w:eastAsiaTheme="minorHAnsi"/>
          <w:szCs w:val="22"/>
          <w:lang w:eastAsia="en-US"/>
        </w:rPr>
        <w:tab/>
        <w:t>hovädzí dobytok</w:t>
      </w:r>
    </w:p>
    <w:p w:rsidR="00DA620D" w:rsidRPr="00DA620D" w:rsidRDefault="00DA620D" w:rsidP="00DA620D">
      <w:pPr>
        <w:spacing w:after="200" w:line="276" w:lineRule="auto"/>
        <w:rPr>
          <w:rFonts w:eastAsiaTheme="minorHAnsi"/>
          <w:szCs w:val="22"/>
          <w:lang w:eastAsia="en-US"/>
        </w:rPr>
      </w:pPr>
      <w:r w:rsidRPr="00DA620D">
        <w:rPr>
          <w:rFonts w:eastAsiaTheme="minorHAnsi"/>
          <w:szCs w:val="22"/>
          <w:lang w:eastAsia="en-US"/>
        </w:rPr>
        <w:t xml:space="preserve">HDP </w:t>
      </w:r>
      <w:r w:rsidRPr="00DA620D">
        <w:rPr>
          <w:rFonts w:eastAsiaTheme="minorHAnsi"/>
          <w:szCs w:val="22"/>
          <w:lang w:eastAsia="en-US"/>
        </w:rPr>
        <w:tab/>
      </w:r>
      <w:r w:rsidRPr="00DA620D">
        <w:rPr>
          <w:rFonts w:eastAsiaTheme="minorHAnsi"/>
          <w:szCs w:val="22"/>
          <w:lang w:eastAsia="en-US"/>
        </w:rPr>
        <w:tab/>
      </w:r>
      <w:r w:rsidRPr="00DA620D">
        <w:rPr>
          <w:rFonts w:eastAsiaTheme="minorHAnsi"/>
          <w:szCs w:val="22"/>
          <w:lang w:eastAsia="en-US"/>
        </w:rPr>
        <w:tab/>
        <w:t>hrubý domáci produkt</w:t>
      </w:r>
    </w:p>
    <w:p w:rsidR="00DA620D" w:rsidRPr="00DA620D" w:rsidRDefault="00DA620D" w:rsidP="00DA620D">
      <w:pPr>
        <w:spacing w:after="200" w:line="276" w:lineRule="auto"/>
        <w:rPr>
          <w:rFonts w:eastAsiaTheme="minorHAnsi"/>
          <w:szCs w:val="22"/>
          <w:lang w:eastAsia="en-US"/>
        </w:rPr>
      </w:pPr>
      <w:r w:rsidRPr="00DA620D">
        <w:rPr>
          <w:rFonts w:eastAsiaTheme="minorHAnsi"/>
          <w:szCs w:val="22"/>
          <w:lang w:eastAsia="en-US"/>
        </w:rPr>
        <w:t xml:space="preserve">HNV </w:t>
      </w:r>
      <w:r w:rsidRPr="00DA620D">
        <w:rPr>
          <w:rFonts w:eastAsiaTheme="minorHAnsi"/>
          <w:szCs w:val="22"/>
          <w:lang w:eastAsia="en-US"/>
        </w:rPr>
        <w:tab/>
      </w:r>
      <w:r w:rsidRPr="00DA620D">
        <w:rPr>
          <w:rFonts w:eastAsiaTheme="minorHAnsi"/>
          <w:szCs w:val="22"/>
          <w:lang w:eastAsia="en-US"/>
        </w:rPr>
        <w:tab/>
      </w:r>
      <w:r w:rsidRPr="00DA620D">
        <w:rPr>
          <w:rFonts w:eastAsiaTheme="minorHAnsi"/>
          <w:szCs w:val="22"/>
          <w:lang w:eastAsia="en-US"/>
        </w:rPr>
        <w:tab/>
        <w:t>územia s vysokou pridanou hodnotou</w:t>
      </w:r>
    </w:p>
    <w:p w:rsidR="00DA620D" w:rsidRPr="00DA620D" w:rsidRDefault="00DA620D" w:rsidP="00DA620D">
      <w:pPr>
        <w:spacing w:after="200" w:line="276" w:lineRule="auto"/>
        <w:rPr>
          <w:rFonts w:eastAsiaTheme="minorHAnsi"/>
          <w:szCs w:val="22"/>
          <w:lang w:eastAsia="en-US"/>
        </w:rPr>
      </w:pPr>
      <w:r w:rsidRPr="00DA620D">
        <w:rPr>
          <w:rFonts w:eastAsiaTheme="minorHAnsi"/>
          <w:szCs w:val="22"/>
          <w:lang w:eastAsia="en-US"/>
        </w:rPr>
        <w:t xml:space="preserve">HP TUR </w:t>
      </w:r>
      <w:r w:rsidRPr="00DA620D">
        <w:rPr>
          <w:rFonts w:eastAsiaTheme="minorHAnsi"/>
          <w:szCs w:val="22"/>
          <w:lang w:eastAsia="en-US"/>
        </w:rPr>
        <w:tab/>
      </w:r>
      <w:r w:rsidRPr="00DA620D">
        <w:rPr>
          <w:rFonts w:eastAsiaTheme="minorHAnsi"/>
          <w:szCs w:val="22"/>
          <w:lang w:eastAsia="en-US"/>
        </w:rPr>
        <w:tab/>
        <w:t>horizontálna priorita</w:t>
      </w:r>
      <w:r w:rsidR="003A251F">
        <w:rPr>
          <w:rFonts w:eastAsiaTheme="minorHAnsi"/>
          <w:szCs w:val="22"/>
          <w:lang w:eastAsia="en-US"/>
        </w:rPr>
        <w:t xml:space="preserve"> -</w:t>
      </w:r>
      <w:r w:rsidRPr="00DA620D">
        <w:rPr>
          <w:rFonts w:eastAsiaTheme="minorHAnsi"/>
          <w:szCs w:val="22"/>
          <w:lang w:eastAsia="en-US"/>
        </w:rPr>
        <w:t xml:space="preserve"> trvalo udržateľný rozvoj</w:t>
      </w:r>
    </w:p>
    <w:p w:rsidR="00DA620D" w:rsidRPr="00DA620D" w:rsidRDefault="00DA620D" w:rsidP="00DA620D">
      <w:pPr>
        <w:spacing w:after="200" w:line="276" w:lineRule="auto"/>
        <w:rPr>
          <w:rFonts w:eastAsiaTheme="minorHAnsi"/>
          <w:szCs w:val="22"/>
          <w:lang w:eastAsia="en-US"/>
        </w:rPr>
      </w:pPr>
      <w:r w:rsidRPr="00DA620D">
        <w:rPr>
          <w:rFonts w:eastAsiaTheme="minorHAnsi"/>
          <w:szCs w:val="22"/>
          <w:lang w:eastAsia="en-US"/>
        </w:rPr>
        <w:t xml:space="preserve">HPH </w:t>
      </w:r>
      <w:r w:rsidRPr="00DA620D">
        <w:rPr>
          <w:rFonts w:eastAsiaTheme="minorHAnsi"/>
          <w:szCs w:val="22"/>
          <w:lang w:eastAsia="en-US"/>
        </w:rPr>
        <w:tab/>
      </w:r>
      <w:r w:rsidRPr="00DA620D">
        <w:rPr>
          <w:rFonts w:eastAsiaTheme="minorHAnsi"/>
          <w:szCs w:val="22"/>
          <w:lang w:eastAsia="en-US"/>
        </w:rPr>
        <w:tab/>
      </w:r>
      <w:r w:rsidRPr="00DA620D">
        <w:rPr>
          <w:rFonts w:eastAsiaTheme="minorHAnsi"/>
          <w:szCs w:val="22"/>
          <w:lang w:eastAsia="en-US"/>
        </w:rPr>
        <w:tab/>
        <w:t>hrubá pridaná hodnota</w:t>
      </w:r>
    </w:p>
    <w:p w:rsidR="00DA620D" w:rsidRPr="00DA620D" w:rsidRDefault="00DA620D" w:rsidP="00DA620D">
      <w:pPr>
        <w:spacing w:after="200" w:line="276" w:lineRule="auto"/>
        <w:rPr>
          <w:rFonts w:eastAsiaTheme="minorHAnsi"/>
          <w:szCs w:val="22"/>
          <w:lang w:eastAsia="en-US"/>
        </w:rPr>
      </w:pPr>
      <w:r w:rsidRPr="00DA620D">
        <w:rPr>
          <w:rFonts w:eastAsiaTheme="minorHAnsi"/>
          <w:szCs w:val="22"/>
          <w:lang w:eastAsia="en-US"/>
        </w:rPr>
        <w:t xml:space="preserve">CHVÚ </w:t>
      </w:r>
      <w:r w:rsidRPr="00DA620D">
        <w:rPr>
          <w:rFonts w:eastAsiaTheme="minorHAnsi"/>
          <w:szCs w:val="22"/>
          <w:lang w:eastAsia="en-US"/>
        </w:rPr>
        <w:tab/>
      </w:r>
      <w:r w:rsidRPr="00DA620D">
        <w:rPr>
          <w:rFonts w:eastAsiaTheme="minorHAnsi"/>
          <w:szCs w:val="22"/>
          <w:lang w:eastAsia="en-US"/>
        </w:rPr>
        <w:tab/>
      </w:r>
      <w:r w:rsidRPr="00DA620D">
        <w:rPr>
          <w:rFonts w:eastAsiaTheme="minorHAnsi"/>
          <w:szCs w:val="22"/>
          <w:lang w:eastAsia="en-US"/>
        </w:rPr>
        <w:tab/>
        <w:t>chránené vtáčie územie</w:t>
      </w:r>
    </w:p>
    <w:p w:rsidR="00DA620D" w:rsidRPr="00DA620D" w:rsidRDefault="00DA620D" w:rsidP="00DA620D">
      <w:pPr>
        <w:spacing w:after="200" w:line="276" w:lineRule="auto"/>
        <w:ind w:left="2124" w:hanging="2124"/>
        <w:rPr>
          <w:rFonts w:eastAsiaTheme="minorHAnsi"/>
          <w:szCs w:val="22"/>
          <w:lang w:eastAsia="en-US"/>
        </w:rPr>
      </w:pPr>
      <w:r w:rsidRPr="00DA620D">
        <w:rPr>
          <w:rFonts w:eastAsiaTheme="minorHAnsi"/>
          <w:szCs w:val="22"/>
          <w:lang w:eastAsia="en-US"/>
        </w:rPr>
        <w:t>IACS</w:t>
      </w:r>
      <w:r w:rsidRPr="00DA620D">
        <w:rPr>
          <w:rFonts w:eastAsiaTheme="minorHAnsi"/>
          <w:szCs w:val="22"/>
          <w:lang w:eastAsia="en-US"/>
        </w:rPr>
        <w:tab/>
        <w:t>integrovaný administratívny a kontrolný systém</w:t>
      </w:r>
    </w:p>
    <w:p w:rsidR="00DA620D" w:rsidRPr="00DA620D" w:rsidRDefault="00DA620D" w:rsidP="00DA620D">
      <w:pPr>
        <w:spacing w:after="200" w:line="276" w:lineRule="auto"/>
        <w:rPr>
          <w:rFonts w:eastAsiaTheme="minorHAnsi"/>
          <w:szCs w:val="22"/>
          <w:lang w:eastAsia="en-US"/>
        </w:rPr>
      </w:pPr>
      <w:r w:rsidRPr="00DA620D">
        <w:rPr>
          <w:rFonts w:eastAsiaTheme="minorHAnsi"/>
          <w:szCs w:val="22"/>
          <w:lang w:eastAsia="en-US"/>
        </w:rPr>
        <w:t xml:space="preserve">IKT </w:t>
      </w:r>
      <w:r w:rsidRPr="00DA620D">
        <w:rPr>
          <w:rFonts w:eastAsiaTheme="minorHAnsi"/>
          <w:szCs w:val="22"/>
          <w:lang w:eastAsia="en-US"/>
        </w:rPr>
        <w:tab/>
      </w:r>
      <w:r w:rsidRPr="00DA620D">
        <w:rPr>
          <w:rFonts w:eastAsiaTheme="minorHAnsi"/>
          <w:szCs w:val="22"/>
          <w:lang w:eastAsia="en-US"/>
        </w:rPr>
        <w:tab/>
      </w:r>
      <w:r w:rsidRPr="00DA620D">
        <w:rPr>
          <w:rFonts w:eastAsiaTheme="minorHAnsi"/>
          <w:szCs w:val="22"/>
          <w:lang w:eastAsia="en-US"/>
        </w:rPr>
        <w:tab/>
        <w:t>informačno-komunikačné technológie</w:t>
      </w:r>
    </w:p>
    <w:p w:rsidR="00DA620D" w:rsidRPr="00DA620D" w:rsidRDefault="00DA620D" w:rsidP="00DA620D">
      <w:pPr>
        <w:spacing w:after="200" w:line="276" w:lineRule="auto"/>
        <w:rPr>
          <w:rFonts w:eastAsiaTheme="minorHAnsi"/>
          <w:szCs w:val="22"/>
          <w:lang w:eastAsia="en-US"/>
        </w:rPr>
      </w:pPr>
      <w:r w:rsidRPr="00DA620D">
        <w:rPr>
          <w:rFonts w:eastAsiaTheme="minorHAnsi"/>
          <w:szCs w:val="22"/>
          <w:lang w:eastAsia="en-US"/>
        </w:rPr>
        <w:t>ILO</w:t>
      </w:r>
      <w:r w:rsidRPr="00DA620D">
        <w:rPr>
          <w:rFonts w:eastAsiaTheme="minorHAnsi"/>
          <w:szCs w:val="22"/>
          <w:lang w:eastAsia="en-US"/>
        </w:rPr>
        <w:tab/>
      </w:r>
      <w:r w:rsidRPr="00DA620D">
        <w:rPr>
          <w:rFonts w:eastAsiaTheme="minorHAnsi"/>
          <w:szCs w:val="22"/>
          <w:lang w:eastAsia="en-US"/>
        </w:rPr>
        <w:tab/>
      </w:r>
      <w:r w:rsidRPr="00DA620D">
        <w:rPr>
          <w:rFonts w:eastAsiaTheme="minorHAnsi"/>
          <w:szCs w:val="22"/>
          <w:lang w:eastAsia="en-US"/>
        </w:rPr>
        <w:tab/>
      </w:r>
      <w:r w:rsidR="003A251F">
        <w:rPr>
          <w:rFonts w:eastAsiaTheme="minorHAnsi"/>
          <w:szCs w:val="22"/>
          <w:lang w:eastAsia="en-US"/>
        </w:rPr>
        <w:t>M</w:t>
      </w:r>
      <w:r w:rsidRPr="00DA620D">
        <w:rPr>
          <w:rFonts w:eastAsiaTheme="minorHAnsi"/>
          <w:szCs w:val="22"/>
          <w:lang w:eastAsia="en-US"/>
        </w:rPr>
        <w:t>edzinárodná organizácia práce</w:t>
      </w:r>
    </w:p>
    <w:p w:rsidR="00DA620D" w:rsidRPr="00DA620D" w:rsidRDefault="00DA620D" w:rsidP="00DA620D">
      <w:pPr>
        <w:spacing w:after="200" w:line="276" w:lineRule="auto"/>
        <w:rPr>
          <w:rFonts w:eastAsiaTheme="minorHAnsi"/>
          <w:szCs w:val="22"/>
          <w:lang w:eastAsia="en-US"/>
        </w:rPr>
      </w:pPr>
      <w:r w:rsidRPr="00DA620D">
        <w:rPr>
          <w:rFonts w:eastAsiaTheme="minorHAnsi"/>
          <w:szCs w:val="22"/>
          <w:lang w:eastAsia="en-US"/>
        </w:rPr>
        <w:t>IROP</w:t>
      </w:r>
      <w:r w:rsidRPr="00DA620D">
        <w:rPr>
          <w:rFonts w:eastAsiaTheme="minorHAnsi"/>
          <w:szCs w:val="22"/>
          <w:lang w:eastAsia="en-US"/>
        </w:rPr>
        <w:tab/>
      </w:r>
      <w:r w:rsidRPr="00DA620D">
        <w:rPr>
          <w:rFonts w:eastAsiaTheme="minorHAnsi"/>
          <w:szCs w:val="22"/>
          <w:lang w:eastAsia="en-US"/>
        </w:rPr>
        <w:tab/>
      </w:r>
      <w:r w:rsidRPr="00DA620D">
        <w:rPr>
          <w:rFonts w:eastAsiaTheme="minorHAnsi"/>
          <w:szCs w:val="22"/>
          <w:lang w:eastAsia="en-US"/>
        </w:rPr>
        <w:tab/>
        <w:t>Integrovaný regionálny operačný program</w:t>
      </w:r>
    </w:p>
    <w:p w:rsidR="00DA620D" w:rsidRPr="00DA620D" w:rsidRDefault="00DA620D" w:rsidP="00DA620D">
      <w:pPr>
        <w:spacing w:after="200" w:line="276" w:lineRule="auto"/>
        <w:rPr>
          <w:rFonts w:eastAsiaTheme="minorHAnsi"/>
          <w:szCs w:val="22"/>
          <w:lang w:eastAsia="en-US"/>
        </w:rPr>
      </w:pPr>
      <w:r w:rsidRPr="00DA620D">
        <w:rPr>
          <w:rFonts w:eastAsiaTheme="minorHAnsi"/>
          <w:szCs w:val="22"/>
          <w:lang w:eastAsia="en-US"/>
        </w:rPr>
        <w:t>IS</w:t>
      </w:r>
      <w:r w:rsidRPr="00DA620D">
        <w:rPr>
          <w:rFonts w:eastAsiaTheme="minorHAnsi"/>
          <w:szCs w:val="22"/>
          <w:lang w:eastAsia="en-US"/>
        </w:rPr>
        <w:tab/>
      </w:r>
      <w:r w:rsidRPr="00DA620D">
        <w:rPr>
          <w:rFonts w:eastAsiaTheme="minorHAnsi"/>
          <w:szCs w:val="22"/>
          <w:lang w:eastAsia="en-US"/>
        </w:rPr>
        <w:tab/>
      </w:r>
      <w:r w:rsidRPr="00DA620D">
        <w:rPr>
          <w:rFonts w:eastAsiaTheme="minorHAnsi"/>
          <w:szCs w:val="22"/>
          <w:lang w:eastAsia="en-US"/>
        </w:rPr>
        <w:tab/>
        <w:t>informačný systém</w:t>
      </w:r>
    </w:p>
    <w:p w:rsidR="00DA620D" w:rsidRPr="00DA620D" w:rsidRDefault="00DA620D" w:rsidP="00DA620D">
      <w:pPr>
        <w:spacing w:after="200" w:line="276" w:lineRule="auto"/>
        <w:rPr>
          <w:rFonts w:eastAsiaTheme="minorHAnsi"/>
          <w:szCs w:val="22"/>
          <w:lang w:eastAsia="en-US"/>
        </w:rPr>
      </w:pPr>
      <w:r w:rsidRPr="00DA620D">
        <w:rPr>
          <w:rFonts w:eastAsiaTheme="minorHAnsi"/>
          <w:szCs w:val="22"/>
          <w:lang w:eastAsia="en-US"/>
        </w:rPr>
        <w:t>ISRÚ</w:t>
      </w:r>
      <w:r w:rsidRPr="00DA620D">
        <w:rPr>
          <w:rFonts w:eastAsiaTheme="minorHAnsi"/>
          <w:szCs w:val="22"/>
          <w:lang w:eastAsia="en-US"/>
        </w:rPr>
        <w:tab/>
      </w:r>
      <w:r w:rsidRPr="00DA620D">
        <w:rPr>
          <w:rFonts w:eastAsiaTheme="minorHAnsi"/>
          <w:szCs w:val="22"/>
          <w:lang w:eastAsia="en-US"/>
        </w:rPr>
        <w:tab/>
      </w:r>
      <w:r w:rsidRPr="00DA620D">
        <w:rPr>
          <w:rFonts w:eastAsiaTheme="minorHAnsi"/>
          <w:szCs w:val="22"/>
          <w:lang w:eastAsia="en-US"/>
        </w:rPr>
        <w:tab/>
        <w:t>integrované stratégie rozvoja územia</w:t>
      </w:r>
    </w:p>
    <w:p w:rsidR="00DA620D" w:rsidRPr="00DA620D" w:rsidRDefault="00DA620D" w:rsidP="00DA620D">
      <w:pPr>
        <w:spacing w:after="200" w:line="276" w:lineRule="auto"/>
        <w:rPr>
          <w:rFonts w:eastAsiaTheme="minorHAnsi"/>
          <w:szCs w:val="22"/>
          <w:lang w:eastAsia="en-US"/>
        </w:rPr>
      </w:pPr>
      <w:r w:rsidRPr="00DA620D">
        <w:rPr>
          <w:rFonts w:eastAsiaTheme="minorHAnsi"/>
          <w:szCs w:val="22"/>
          <w:lang w:eastAsia="en-US"/>
        </w:rPr>
        <w:t xml:space="preserve">JRC </w:t>
      </w:r>
      <w:r w:rsidRPr="00DA620D">
        <w:rPr>
          <w:rFonts w:eastAsiaTheme="minorHAnsi"/>
          <w:szCs w:val="22"/>
          <w:lang w:eastAsia="en-US"/>
        </w:rPr>
        <w:tab/>
      </w:r>
      <w:r w:rsidRPr="00DA620D">
        <w:rPr>
          <w:rFonts w:eastAsiaTheme="minorHAnsi"/>
          <w:szCs w:val="22"/>
          <w:lang w:eastAsia="en-US"/>
        </w:rPr>
        <w:tab/>
      </w:r>
      <w:r w:rsidRPr="00DA620D">
        <w:rPr>
          <w:rFonts w:eastAsiaTheme="minorHAnsi"/>
          <w:szCs w:val="22"/>
          <w:lang w:eastAsia="en-US"/>
        </w:rPr>
        <w:tab/>
        <w:t>spoločné výskumné centrum</w:t>
      </w:r>
    </w:p>
    <w:p w:rsidR="00DA620D" w:rsidRPr="00DA620D" w:rsidRDefault="00DA620D" w:rsidP="00DA620D">
      <w:pPr>
        <w:spacing w:after="200" w:line="276" w:lineRule="auto"/>
        <w:rPr>
          <w:rFonts w:eastAsiaTheme="minorHAnsi"/>
          <w:szCs w:val="22"/>
          <w:highlight w:val="red"/>
          <w:lang w:eastAsia="en-US"/>
        </w:rPr>
      </w:pPr>
      <w:r w:rsidRPr="00DA620D">
        <w:rPr>
          <w:rFonts w:eastAsiaTheme="minorHAnsi"/>
          <w:szCs w:val="22"/>
          <w:lang w:eastAsia="en-US"/>
        </w:rPr>
        <w:lastRenderedPageBreak/>
        <w:t>jSOT</w:t>
      </w:r>
      <w:r w:rsidRPr="00DA620D">
        <w:rPr>
          <w:rFonts w:eastAsiaTheme="minorHAnsi"/>
          <w:szCs w:val="22"/>
          <w:lang w:eastAsia="en-US"/>
        </w:rPr>
        <w:tab/>
      </w:r>
      <w:r w:rsidRPr="00DA620D">
        <w:rPr>
          <w:rFonts w:eastAsiaTheme="minorHAnsi"/>
          <w:szCs w:val="22"/>
          <w:lang w:eastAsia="en-US"/>
        </w:rPr>
        <w:tab/>
      </w:r>
      <w:r w:rsidRPr="00DA620D">
        <w:rPr>
          <w:rFonts w:eastAsiaTheme="minorHAnsi"/>
          <w:szCs w:val="22"/>
          <w:lang w:eastAsia="en-US"/>
        </w:rPr>
        <w:tab/>
        <w:t>spoločná organizácia jednotného trhu</w:t>
      </w:r>
    </w:p>
    <w:p w:rsidR="00DA620D" w:rsidRPr="00DA620D" w:rsidRDefault="00DA620D" w:rsidP="00DA620D">
      <w:pPr>
        <w:spacing w:after="200" w:line="276" w:lineRule="auto"/>
        <w:rPr>
          <w:rFonts w:eastAsiaTheme="minorHAnsi"/>
          <w:szCs w:val="22"/>
          <w:lang w:eastAsia="en-US"/>
        </w:rPr>
      </w:pPr>
      <w:r w:rsidRPr="00DA620D">
        <w:rPr>
          <w:rFonts w:eastAsiaTheme="minorHAnsi"/>
          <w:szCs w:val="22"/>
          <w:lang w:eastAsia="en-US"/>
        </w:rPr>
        <w:t>KD</w:t>
      </w:r>
      <w:r w:rsidRPr="00DA620D">
        <w:rPr>
          <w:rFonts w:eastAsiaTheme="minorHAnsi"/>
          <w:szCs w:val="22"/>
          <w:lang w:eastAsia="en-US"/>
        </w:rPr>
        <w:tab/>
      </w:r>
      <w:r w:rsidRPr="00DA620D">
        <w:rPr>
          <w:rFonts w:eastAsiaTheme="minorHAnsi"/>
          <w:szCs w:val="22"/>
          <w:lang w:eastAsia="en-US"/>
        </w:rPr>
        <w:tab/>
      </w:r>
      <w:r w:rsidRPr="00DA620D">
        <w:rPr>
          <w:rFonts w:eastAsiaTheme="minorHAnsi"/>
          <w:szCs w:val="22"/>
          <w:lang w:eastAsia="en-US"/>
        </w:rPr>
        <w:tab/>
        <w:t>kŕmne dni</w:t>
      </w:r>
    </w:p>
    <w:p w:rsidR="00DA620D" w:rsidRPr="00DA620D" w:rsidRDefault="00DA620D" w:rsidP="00DA620D">
      <w:pPr>
        <w:spacing w:after="200" w:line="276" w:lineRule="auto"/>
        <w:rPr>
          <w:rFonts w:eastAsiaTheme="minorHAnsi"/>
          <w:szCs w:val="22"/>
          <w:lang w:eastAsia="en-US"/>
        </w:rPr>
      </w:pPr>
      <w:r w:rsidRPr="00DA620D">
        <w:rPr>
          <w:rFonts w:eastAsiaTheme="minorHAnsi"/>
          <w:szCs w:val="22"/>
          <w:lang w:eastAsia="en-US"/>
        </w:rPr>
        <w:t>KF</w:t>
      </w:r>
      <w:r w:rsidRPr="00DA620D">
        <w:rPr>
          <w:rFonts w:eastAsiaTheme="minorHAnsi"/>
          <w:szCs w:val="22"/>
          <w:lang w:eastAsia="en-US"/>
        </w:rPr>
        <w:tab/>
      </w:r>
      <w:r w:rsidRPr="00DA620D">
        <w:rPr>
          <w:rFonts w:eastAsiaTheme="minorHAnsi"/>
          <w:szCs w:val="22"/>
          <w:lang w:eastAsia="en-US"/>
        </w:rPr>
        <w:tab/>
      </w:r>
      <w:r w:rsidRPr="00DA620D">
        <w:rPr>
          <w:rFonts w:eastAsiaTheme="minorHAnsi"/>
          <w:szCs w:val="22"/>
          <w:lang w:eastAsia="en-US"/>
        </w:rPr>
        <w:tab/>
        <w:t>Kohézny fond</w:t>
      </w:r>
    </w:p>
    <w:p w:rsidR="00DA620D" w:rsidRPr="00DA620D" w:rsidRDefault="00DA620D" w:rsidP="00DA620D">
      <w:pPr>
        <w:spacing w:after="200" w:line="276" w:lineRule="auto"/>
        <w:rPr>
          <w:rFonts w:eastAsiaTheme="minorHAnsi"/>
          <w:szCs w:val="22"/>
          <w:lang w:eastAsia="en-US"/>
        </w:rPr>
      </w:pPr>
      <w:r w:rsidRPr="00DA620D">
        <w:rPr>
          <w:rFonts w:eastAsiaTheme="minorHAnsi"/>
          <w:szCs w:val="22"/>
          <w:lang w:eastAsia="en-US"/>
        </w:rPr>
        <w:t>kToe</w:t>
      </w:r>
      <w:r w:rsidRPr="00DA620D">
        <w:rPr>
          <w:rFonts w:eastAsiaTheme="minorHAnsi"/>
          <w:szCs w:val="22"/>
          <w:lang w:eastAsia="en-US"/>
        </w:rPr>
        <w:tab/>
      </w:r>
      <w:r w:rsidRPr="00DA620D">
        <w:rPr>
          <w:rFonts w:eastAsiaTheme="minorHAnsi"/>
          <w:szCs w:val="22"/>
          <w:lang w:eastAsia="en-US"/>
        </w:rPr>
        <w:tab/>
      </w:r>
      <w:r w:rsidRPr="00DA620D">
        <w:rPr>
          <w:rFonts w:eastAsiaTheme="minorHAnsi"/>
          <w:szCs w:val="22"/>
          <w:lang w:eastAsia="en-US"/>
        </w:rPr>
        <w:tab/>
        <w:t>jednotka merania energie</w:t>
      </w:r>
    </w:p>
    <w:p w:rsidR="00DA620D" w:rsidRPr="00DA620D" w:rsidRDefault="00DA620D" w:rsidP="00DA620D">
      <w:pPr>
        <w:spacing w:after="200" w:line="276" w:lineRule="auto"/>
        <w:rPr>
          <w:rFonts w:eastAsiaTheme="minorHAnsi"/>
          <w:szCs w:val="22"/>
          <w:lang w:eastAsia="en-US"/>
        </w:rPr>
      </w:pPr>
      <w:r w:rsidRPr="00DA620D">
        <w:rPr>
          <w:rFonts w:eastAsiaTheme="minorHAnsi"/>
          <w:szCs w:val="22"/>
          <w:lang w:eastAsia="en-US"/>
        </w:rPr>
        <w:t>LAU</w:t>
      </w:r>
      <w:r w:rsidRPr="00DA620D">
        <w:rPr>
          <w:rFonts w:eastAsiaTheme="minorHAnsi"/>
          <w:szCs w:val="22"/>
          <w:lang w:eastAsia="en-US"/>
        </w:rPr>
        <w:tab/>
      </w:r>
      <w:r w:rsidRPr="00DA620D">
        <w:rPr>
          <w:rFonts w:eastAsiaTheme="minorHAnsi"/>
          <w:szCs w:val="22"/>
          <w:lang w:eastAsia="en-US"/>
        </w:rPr>
        <w:tab/>
      </w:r>
      <w:r w:rsidRPr="00DA620D">
        <w:rPr>
          <w:rFonts w:eastAsiaTheme="minorHAnsi"/>
          <w:szCs w:val="22"/>
          <w:lang w:eastAsia="en-US"/>
        </w:rPr>
        <w:tab/>
        <w:t>štatistická územná jednotka</w:t>
      </w:r>
    </w:p>
    <w:p w:rsidR="00DA620D" w:rsidRPr="00DA620D" w:rsidRDefault="00DA620D" w:rsidP="00DA620D">
      <w:pPr>
        <w:spacing w:after="200" w:line="276" w:lineRule="auto"/>
        <w:rPr>
          <w:rFonts w:eastAsiaTheme="minorHAnsi"/>
          <w:szCs w:val="22"/>
          <w:lang w:eastAsia="en-US"/>
        </w:rPr>
      </w:pPr>
      <w:r w:rsidRPr="00DA620D">
        <w:rPr>
          <w:rFonts w:eastAsiaTheme="minorHAnsi"/>
          <w:szCs w:val="22"/>
          <w:lang w:eastAsia="en-US"/>
        </w:rPr>
        <w:t>Leader</w:t>
      </w:r>
      <w:r w:rsidRPr="00DA620D">
        <w:rPr>
          <w:rFonts w:eastAsiaTheme="minorHAnsi"/>
          <w:szCs w:val="22"/>
          <w:lang w:eastAsia="en-US"/>
        </w:rPr>
        <w:tab/>
      </w:r>
      <w:r w:rsidRPr="00DA620D">
        <w:rPr>
          <w:rFonts w:eastAsiaTheme="minorHAnsi"/>
          <w:szCs w:val="22"/>
          <w:lang w:eastAsia="en-US"/>
        </w:rPr>
        <w:tab/>
        <w:t xml:space="preserve"> </w:t>
      </w:r>
      <w:r w:rsidRPr="00DA620D">
        <w:rPr>
          <w:rFonts w:eastAsiaTheme="minorHAnsi"/>
          <w:szCs w:val="22"/>
          <w:lang w:eastAsia="en-US"/>
        </w:rPr>
        <w:tab/>
        <w:t>iniciatíva pre podporu rozvoja vidieka riadeného miestnou komunitou</w:t>
      </w:r>
    </w:p>
    <w:p w:rsidR="00DA620D" w:rsidRPr="00DA620D" w:rsidRDefault="00DA620D" w:rsidP="00DA620D">
      <w:pPr>
        <w:spacing w:after="200" w:line="276" w:lineRule="auto"/>
        <w:rPr>
          <w:rFonts w:eastAsiaTheme="minorHAnsi"/>
          <w:szCs w:val="22"/>
          <w:lang w:eastAsia="en-US"/>
        </w:rPr>
      </w:pPr>
      <w:r w:rsidRPr="00DA620D">
        <w:rPr>
          <w:rFonts w:eastAsiaTheme="minorHAnsi"/>
          <w:szCs w:val="22"/>
          <w:lang w:eastAsia="en-US"/>
        </w:rPr>
        <w:t>LFA</w:t>
      </w:r>
      <w:r w:rsidRPr="00DA620D">
        <w:rPr>
          <w:rFonts w:eastAsiaTheme="minorHAnsi"/>
          <w:szCs w:val="22"/>
          <w:lang w:eastAsia="en-US"/>
        </w:rPr>
        <w:tab/>
      </w:r>
      <w:r w:rsidRPr="00DA620D">
        <w:rPr>
          <w:rFonts w:eastAsiaTheme="minorHAnsi"/>
          <w:szCs w:val="22"/>
          <w:lang w:eastAsia="en-US"/>
        </w:rPr>
        <w:tab/>
      </w:r>
      <w:r w:rsidRPr="00DA620D">
        <w:rPr>
          <w:rFonts w:eastAsiaTheme="minorHAnsi"/>
          <w:szCs w:val="22"/>
          <w:lang w:eastAsia="en-US"/>
        </w:rPr>
        <w:tab/>
        <w:t>znevýhodnené oblasti</w:t>
      </w:r>
    </w:p>
    <w:p w:rsidR="00DA620D" w:rsidRPr="00DA620D" w:rsidRDefault="00DA620D" w:rsidP="00DA620D">
      <w:pPr>
        <w:spacing w:after="200" w:line="276" w:lineRule="auto"/>
        <w:rPr>
          <w:rFonts w:eastAsiaTheme="minorHAnsi"/>
          <w:szCs w:val="22"/>
          <w:lang w:eastAsia="en-US"/>
        </w:rPr>
      </w:pPr>
      <w:r w:rsidRPr="00DA620D">
        <w:rPr>
          <w:rFonts w:eastAsiaTheme="minorHAnsi"/>
          <w:szCs w:val="22"/>
          <w:lang w:eastAsia="en-US"/>
        </w:rPr>
        <w:t xml:space="preserve">LH </w:t>
      </w:r>
      <w:r w:rsidRPr="00DA620D">
        <w:rPr>
          <w:rFonts w:eastAsiaTheme="minorHAnsi"/>
          <w:szCs w:val="22"/>
          <w:lang w:eastAsia="en-US"/>
        </w:rPr>
        <w:tab/>
      </w:r>
      <w:r w:rsidRPr="00DA620D">
        <w:rPr>
          <w:rFonts w:eastAsiaTheme="minorHAnsi"/>
          <w:szCs w:val="22"/>
          <w:lang w:eastAsia="en-US"/>
        </w:rPr>
        <w:tab/>
      </w:r>
      <w:r w:rsidRPr="00DA620D">
        <w:rPr>
          <w:rFonts w:eastAsiaTheme="minorHAnsi"/>
          <w:szCs w:val="22"/>
          <w:lang w:eastAsia="en-US"/>
        </w:rPr>
        <w:tab/>
        <w:t>lesné hospodárstvo</w:t>
      </w:r>
    </w:p>
    <w:p w:rsidR="00DA620D" w:rsidRPr="00DA620D" w:rsidRDefault="00DA620D" w:rsidP="00DA620D">
      <w:pPr>
        <w:spacing w:after="200" w:line="276" w:lineRule="auto"/>
        <w:ind w:left="2124" w:hanging="2124"/>
        <w:rPr>
          <w:rFonts w:eastAsiaTheme="minorHAnsi"/>
          <w:szCs w:val="22"/>
          <w:lang w:eastAsia="en-US"/>
        </w:rPr>
      </w:pPr>
      <w:r w:rsidRPr="00DA620D">
        <w:rPr>
          <w:rFonts w:eastAsiaTheme="minorHAnsi"/>
          <w:szCs w:val="22"/>
          <w:lang w:eastAsia="en-US"/>
        </w:rPr>
        <w:t>LPIS</w:t>
      </w:r>
      <w:r w:rsidRPr="00DA620D">
        <w:rPr>
          <w:rFonts w:eastAsiaTheme="minorHAnsi"/>
          <w:szCs w:val="22"/>
          <w:lang w:eastAsia="en-US"/>
        </w:rPr>
        <w:tab/>
      </w:r>
      <w:r w:rsidR="003A251F">
        <w:rPr>
          <w:rFonts w:eastAsiaTheme="minorHAnsi"/>
          <w:szCs w:val="22"/>
          <w:lang w:eastAsia="en-US"/>
        </w:rPr>
        <w:t>I</w:t>
      </w:r>
      <w:r w:rsidRPr="00DA620D">
        <w:rPr>
          <w:rFonts w:eastAsiaTheme="minorHAnsi"/>
          <w:szCs w:val="22"/>
          <w:lang w:eastAsia="en-US"/>
        </w:rPr>
        <w:t xml:space="preserve">dentifikačný systém poľnohospodárskych parciel </w:t>
      </w:r>
    </w:p>
    <w:p w:rsidR="00DA620D" w:rsidRPr="00DA620D" w:rsidRDefault="00DA620D" w:rsidP="00DA620D">
      <w:pPr>
        <w:spacing w:after="200" w:line="276" w:lineRule="auto"/>
        <w:ind w:left="2124" w:hanging="2124"/>
        <w:rPr>
          <w:rFonts w:eastAsiaTheme="minorHAnsi"/>
          <w:szCs w:val="22"/>
          <w:lang w:eastAsia="en-US"/>
        </w:rPr>
      </w:pPr>
      <w:r w:rsidRPr="00DA620D">
        <w:rPr>
          <w:rFonts w:eastAsiaTheme="minorHAnsi"/>
          <w:szCs w:val="22"/>
          <w:lang w:eastAsia="en-US"/>
        </w:rPr>
        <w:t>MAS</w:t>
      </w:r>
      <w:r w:rsidRPr="00DA620D">
        <w:rPr>
          <w:rFonts w:eastAsiaTheme="minorHAnsi"/>
          <w:szCs w:val="22"/>
          <w:lang w:eastAsia="en-US"/>
        </w:rPr>
        <w:tab/>
        <w:t>miestn</w:t>
      </w:r>
      <w:r w:rsidR="003A251F">
        <w:rPr>
          <w:rFonts w:eastAsiaTheme="minorHAnsi"/>
          <w:szCs w:val="22"/>
          <w:lang w:eastAsia="en-US"/>
        </w:rPr>
        <w:t>a</w:t>
      </w:r>
      <w:r w:rsidRPr="00DA620D">
        <w:rPr>
          <w:rFonts w:eastAsiaTheme="minorHAnsi"/>
          <w:szCs w:val="22"/>
          <w:lang w:eastAsia="en-US"/>
        </w:rPr>
        <w:t xml:space="preserve"> akčn</w:t>
      </w:r>
      <w:r w:rsidR="003A251F">
        <w:rPr>
          <w:rFonts w:eastAsiaTheme="minorHAnsi"/>
          <w:szCs w:val="22"/>
          <w:lang w:eastAsia="en-US"/>
        </w:rPr>
        <w:t>á</w:t>
      </w:r>
      <w:r w:rsidRPr="00DA620D">
        <w:rPr>
          <w:rFonts w:eastAsiaTheme="minorHAnsi"/>
          <w:szCs w:val="22"/>
          <w:lang w:eastAsia="en-US"/>
        </w:rPr>
        <w:t xml:space="preserve"> skupin</w:t>
      </w:r>
      <w:r w:rsidR="003A251F">
        <w:rPr>
          <w:rFonts w:eastAsiaTheme="minorHAnsi"/>
          <w:szCs w:val="22"/>
          <w:lang w:eastAsia="en-US"/>
        </w:rPr>
        <w:t>a</w:t>
      </w:r>
    </w:p>
    <w:p w:rsidR="00DA620D" w:rsidRPr="00DA620D" w:rsidRDefault="00DA620D" w:rsidP="00DA620D">
      <w:pPr>
        <w:spacing w:after="200" w:line="276" w:lineRule="auto"/>
        <w:ind w:left="2124" w:hanging="2124"/>
        <w:rPr>
          <w:rFonts w:eastAsiaTheme="minorHAnsi"/>
          <w:szCs w:val="22"/>
          <w:lang w:eastAsia="en-US"/>
        </w:rPr>
      </w:pPr>
      <w:r w:rsidRPr="00DA620D">
        <w:rPr>
          <w:rFonts w:eastAsiaTheme="minorHAnsi"/>
          <w:szCs w:val="22"/>
          <w:lang w:eastAsia="en-US"/>
        </w:rPr>
        <w:t xml:space="preserve">MCPFE </w:t>
      </w:r>
      <w:r w:rsidRPr="00DA620D">
        <w:rPr>
          <w:rFonts w:eastAsiaTheme="minorHAnsi"/>
          <w:szCs w:val="22"/>
          <w:lang w:eastAsia="en-US"/>
        </w:rPr>
        <w:tab/>
        <w:t>Ministerská konferencia o ochrane lesov v Európe</w:t>
      </w:r>
    </w:p>
    <w:p w:rsidR="00DA620D" w:rsidRPr="00DA620D" w:rsidRDefault="00DA620D" w:rsidP="00DA620D">
      <w:pPr>
        <w:spacing w:after="200" w:line="276" w:lineRule="auto"/>
        <w:ind w:left="2124" w:hanging="2124"/>
        <w:rPr>
          <w:rFonts w:eastAsiaTheme="minorHAnsi"/>
          <w:szCs w:val="22"/>
          <w:lang w:eastAsia="en-US"/>
        </w:rPr>
      </w:pPr>
      <w:r w:rsidRPr="00DA620D">
        <w:rPr>
          <w:rFonts w:eastAsiaTheme="minorHAnsi"/>
          <w:szCs w:val="22"/>
          <w:lang w:eastAsia="en-US"/>
        </w:rPr>
        <w:t xml:space="preserve">MDVRR SR </w:t>
      </w:r>
      <w:r w:rsidRPr="00DA620D">
        <w:rPr>
          <w:rFonts w:eastAsiaTheme="minorHAnsi"/>
          <w:szCs w:val="22"/>
          <w:lang w:eastAsia="en-US"/>
        </w:rPr>
        <w:tab/>
        <w:t>Ministerstvo dopravy, výstavby a regionálneho rozvoja Slovenskej republiky</w:t>
      </w:r>
    </w:p>
    <w:p w:rsidR="00DA620D" w:rsidRPr="00DA620D" w:rsidRDefault="00DA620D" w:rsidP="00DA620D">
      <w:pPr>
        <w:spacing w:after="200" w:line="276" w:lineRule="auto"/>
        <w:rPr>
          <w:rFonts w:eastAsiaTheme="minorHAnsi"/>
          <w:szCs w:val="22"/>
          <w:lang w:eastAsia="en-US"/>
        </w:rPr>
      </w:pPr>
      <w:r w:rsidRPr="00DA620D">
        <w:rPr>
          <w:rFonts w:eastAsiaTheme="minorHAnsi"/>
          <w:szCs w:val="22"/>
          <w:lang w:eastAsia="en-US"/>
        </w:rPr>
        <w:t>MF SR</w:t>
      </w:r>
      <w:r w:rsidRPr="00DA620D">
        <w:rPr>
          <w:rFonts w:eastAsiaTheme="minorHAnsi"/>
          <w:szCs w:val="22"/>
          <w:lang w:eastAsia="en-US"/>
        </w:rPr>
        <w:tab/>
      </w:r>
      <w:r w:rsidRPr="00DA620D">
        <w:rPr>
          <w:rFonts w:eastAsiaTheme="minorHAnsi"/>
          <w:szCs w:val="22"/>
          <w:lang w:eastAsia="en-US"/>
        </w:rPr>
        <w:tab/>
      </w:r>
      <w:r w:rsidRPr="00DA620D">
        <w:rPr>
          <w:rFonts w:eastAsiaTheme="minorHAnsi"/>
          <w:szCs w:val="22"/>
          <w:lang w:eastAsia="en-US"/>
        </w:rPr>
        <w:tab/>
        <w:t>Ministerstvo financií Slovenskej republiky</w:t>
      </w:r>
    </w:p>
    <w:p w:rsidR="00DA620D" w:rsidRPr="00DA620D" w:rsidRDefault="00DA620D" w:rsidP="00DA620D">
      <w:pPr>
        <w:spacing w:after="200" w:line="276" w:lineRule="auto"/>
        <w:rPr>
          <w:rFonts w:eastAsiaTheme="minorHAnsi"/>
          <w:szCs w:val="22"/>
          <w:lang w:eastAsia="en-US"/>
        </w:rPr>
      </w:pPr>
      <w:r w:rsidRPr="00DA620D">
        <w:rPr>
          <w:rFonts w:eastAsiaTheme="minorHAnsi"/>
          <w:szCs w:val="22"/>
          <w:lang w:eastAsia="en-US"/>
        </w:rPr>
        <w:t>MH SR</w:t>
      </w:r>
      <w:r w:rsidRPr="00DA620D">
        <w:rPr>
          <w:rFonts w:eastAsiaTheme="minorHAnsi"/>
          <w:szCs w:val="22"/>
          <w:lang w:eastAsia="en-US"/>
        </w:rPr>
        <w:tab/>
      </w:r>
      <w:r w:rsidRPr="00DA620D">
        <w:rPr>
          <w:rFonts w:eastAsiaTheme="minorHAnsi"/>
          <w:szCs w:val="22"/>
          <w:lang w:eastAsia="en-US"/>
        </w:rPr>
        <w:tab/>
      </w:r>
      <w:r w:rsidRPr="00DA620D">
        <w:rPr>
          <w:rFonts w:eastAsiaTheme="minorHAnsi"/>
          <w:szCs w:val="22"/>
          <w:lang w:eastAsia="en-US"/>
        </w:rPr>
        <w:tab/>
        <w:t>Ministerstvo hospodárstva Slovenskej republiky</w:t>
      </w:r>
    </w:p>
    <w:p w:rsidR="00DA620D" w:rsidRPr="00DA620D" w:rsidRDefault="00DA620D" w:rsidP="00DA620D">
      <w:pPr>
        <w:spacing w:after="200" w:line="276" w:lineRule="auto"/>
        <w:rPr>
          <w:rFonts w:eastAsiaTheme="minorHAnsi"/>
          <w:szCs w:val="22"/>
          <w:lang w:eastAsia="en-US"/>
        </w:rPr>
      </w:pPr>
      <w:r w:rsidRPr="00DA620D">
        <w:rPr>
          <w:rFonts w:eastAsiaTheme="minorHAnsi"/>
          <w:szCs w:val="22"/>
          <w:lang w:eastAsia="en-US"/>
        </w:rPr>
        <w:t>MPRV SR</w:t>
      </w:r>
      <w:r w:rsidRPr="00DA620D">
        <w:rPr>
          <w:rFonts w:eastAsiaTheme="minorHAnsi"/>
          <w:szCs w:val="22"/>
          <w:lang w:eastAsia="en-US"/>
        </w:rPr>
        <w:tab/>
      </w:r>
      <w:r w:rsidRPr="00DA620D">
        <w:rPr>
          <w:rFonts w:eastAsiaTheme="minorHAnsi"/>
          <w:szCs w:val="22"/>
          <w:lang w:eastAsia="en-US"/>
        </w:rPr>
        <w:tab/>
        <w:t>Ministerstvo pôdohospodárstva a rozvoja vidieka Slovenskej republiky</w:t>
      </w:r>
    </w:p>
    <w:p w:rsidR="00DA620D" w:rsidRPr="00DA620D" w:rsidRDefault="00DA620D" w:rsidP="00DA620D">
      <w:pPr>
        <w:spacing w:after="200" w:line="276" w:lineRule="auto"/>
        <w:rPr>
          <w:rFonts w:eastAsiaTheme="minorHAnsi"/>
          <w:szCs w:val="22"/>
          <w:lang w:eastAsia="en-US"/>
        </w:rPr>
      </w:pPr>
      <w:r w:rsidRPr="00DA620D">
        <w:rPr>
          <w:rFonts w:eastAsiaTheme="minorHAnsi"/>
          <w:szCs w:val="22"/>
          <w:lang w:eastAsia="en-US"/>
        </w:rPr>
        <w:t>MSP</w:t>
      </w:r>
      <w:r w:rsidRPr="00DA620D">
        <w:rPr>
          <w:rFonts w:eastAsiaTheme="minorHAnsi"/>
          <w:szCs w:val="22"/>
          <w:lang w:eastAsia="en-US"/>
        </w:rPr>
        <w:tab/>
      </w:r>
      <w:r w:rsidRPr="00DA620D">
        <w:rPr>
          <w:rFonts w:eastAsiaTheme="minorHAnsi"/>
          <w:szCs w:val="22"/>
          <w:lang w:eastAsia="en-US"/>
        </w:rPr>
        <w:tab/>
      </w:r>
      <w:r w:rsidRPr="00DA620D">
        <w:rPr>
          <w:rFonts w:eastAsiaTheme="minorHAnsi"/>
          <w:szCs w:val="22"/>
          <w:lang w:eastAsia="en-US"/>
        </w:rPr>
        <w:tab/>
        <w:t>mikro, malé a stredné podniky</w:t>
      </w:r>
    </w:p>
    <w:p w:rsidR="00DA620D" w:rsidRPr="00DA620D" w:rsidRDefault="00DA620D" w:rsidP="00DA620D">
      <w:pPr>
        <w:spacing w:after="200" w:line="276" w:lineRule="auto"/>
        <w:rPr>
          <w:rFonts w:eastAsiaTheme="minorHAnsi"/>
          <w:szCs w:val="22"/>
          <w:lang w:eastAsia="en-US"/>
        </w:rPr>
      </w:pPr>
      <w:r w:rsidRPr="00DA620D">
        <w:rPr>
          <w:rFonts w:eastAsiaTheme="minorHAnsi"/>
          <w:szCs w:val="22"/>
          <w:lang w:eastAsia="en-US"/>
        </w:rPr>
        <w:t>MTE</w:t>
      </w:r>
      <w:r w:rsidRPr="00DA620D">
        <w:rPr>
          <w:rFonts w:eastAsiaTheme="minorHAnsi"/>
          <w:szCs w:val="22"/>
          <w:lang w:eastAsia="en-US"/>
        </w:rPr>
        <w:tab/>
      </w:r>
      <w:r w:rsidRPr="00DA620D">
        <w:rPr>
          <w:rFonts w:eastAsiaTheme="minorHAnsi"/>
          <w:szCs w:val="22"/>
          <w:lang w:eastAsia="en-US"/>
        </w:rPr>
        <w:tab/>
      </w:r>
      <w:r w:rsidRPr="00DA620D">
        <w:rPr>
          <w:rFonts w:eastAsiaTheme="minorHAnsi"/>
          <w:szCs w:val="22"/>
          <w:lang w:eastAsia="en-US"/>
        </w:rPr>
        <w:tab/>
        <w:t>strednodobé hodnotenie</w:t>
      </w:r>
    </w:p>
    <w:p w:rsidR="00DA620D" w:rsidRPr="00DA620D" w:rsidRDefault="00DA620D" w:rsidP="00DA620D">
      <w:pPr>
        <w:spacing w:after="200" w:line="276" w:lineRule="auto"/>
        <w:rPr>
          <w:rFonts w:eastAsiaTheme="minorHAnsi"/>
          <w:szCs w:val="22"/>
          <w:lang w:eastAsia="en-US"/>
        </w:rPr>
      </w:pPr>
      <w:r w:rsidRPr="00DA620D">
        <w:rPr>
          <w:rFonts w:eastAsiaTheme="minorHAnsi"/>
          <w:szCs w:val="22"/>
          <w:lang w:eastAsia="en-US"/>
        </w:rPr>
        <w:t xml:space="preserve">MU </w:t>
      </w:r>
      <w:r w:rsidRPr="00DA620D">
        <w:rPr>
          <w:rFonts w:eastAsiaTheme="minorHAnsi"/>
          <w:szCs w:val="22"/>
          <w:lang w:eastAsia="en-US"/>
        </w:rPr>
        <w:tab/>
      </w:r>
      <w:r w:rsidRPr="00DA620D">
        <w:rPr>
          <w:rFonts w:eastAsiaTheme="minorHAnsi"/>
          <w:szCs w:val="22"/>
          <w:lang w:eastAsia="en-US"/>
        </w:rPr>
        <w:tab/>
      </w:r>
      <w:r w:rsidRPr="00DA620D">
        <w:rPr>
          <w:rFonts w:eastAsiaTheme="minorHAnsi"/>
          <w:szCs w:val="22"/>
          <w:lang w:eastAsia="en-US"/>
        </w:rPr>
        <w:tab/>
        <w:t>mimoriadna udalosť</w:t>
      </w:r>
    </w:p>
    <w:p w:rsidR="00DA620D" w:rsidRPr="00DA620D" w:rsidRDefault="00DA620D" w:rsidP="00DA620D">
      <w:pPr>
        <w:spacing w:after="200" w:line="276" w:lineRule="auto"/>
        <w:rPr>
          <w:rFonts w:eastAsiaTheme="minorHAnsi"/>
          <w:szCs w:val="22"/>
          <w:lang w:eastAsia="en-US"/>
        </w:rPr>
      </w:pPr>
      <w:r w:rsidRPr="00DA620D">
        <w:rPr>
          <w:rFonts w:eastAsiaTheme="minorHAnsi"/>
          <w:szCs w:val="22"/>
          <w:lang w:eastAsia="en-US"/>
        </w:rPr>
        <w:t>MV</w:t>
      </w:r>
      <w:r w:rsidRPr="00DA620D">
        <w:rPr>
          <w:rFonts w:eastAsiaTheme="minorHAnsi"/>
          <w:szCs w:val="22"/>
          <w:lang w:eastAsia="en-US"/>
        </w:rPr>
        <w:tab/>
      </w:r>
      <w:r w:rsidRPr="00DA620D">
        <w:rPr>
          <w:rFonts w:eastAsiaTheme="minorHAnsi"/>
          <w:szCs w:val="22"/>
          <w:lang w:eastAsia="en-US"/>
        </w:rPr>
        <w:tab/>
      </w:r>
      <w:r w:rsidRPr="00DA620D">
        <w:rPr>
          <w:rFonts w:eastAsiaTheme="minorHAnsi"/>
          <w:szCs w:val="22"/>
          <w:lang w:eastAsia="en-US"/>
        </w:rPr>
        <w:tab/>
        <w:t xml:space="preserve">monitorovací výbor </w:t>
      </w:r>
    </w:p>
    <w:p w:rsidR="00DA620D" w:rsidRPr="00DA620D" w:rsidRDefault="00DA620D" w:rsidP="00DA620D">
      <w:pPr>
        <w:spacing w:after="200" w:line="276" w:lineRule="auto"/>
        <w:rPr>
          <w:rFonts w:eastAsiaTheme="minorHAnsi"/>
          <w:szCs w:val="22"/>
          <w:lang w:eastAsia="en-US"/>
        </w:rPr>
      </w:pPr>
      <w:r w:rsidRPr="00DA620D">
        <w:rPr>
          <w:rFonts w:eastAsiaTheme="minorHAnsi"/>
          <w:szCs w:val="22"/>
          <w:lang w:eastAsia="en-US"/>
        </w:rPr>
        <w:t xml:space="preserve">MŽP SR </w:t>
      </w:r>
      <w:r w:rsidRPr="00DA620D">
        <w:rPr>
          <w:rFonts w:eastAsiaTheme="minorHAnsi"/>
          <w:szCs w:val="22"/>
          <w:lang w:eastAsia="en-US"/>
        </w:rPr>
        <w:tab/>
      </w:r>
      <w:r w:rsidRPr="00DA620D">
        <w:rPr>
          <w:rFonts w:eastAsiaTheme="minorHAnsi"/>
          <w:szCs w:val="22"/>
          <w:lang w:eastAsia="en-US"/>
        </w:rPr>
        <w:tab/>
        <w:t>Ministerstvo životného prostredia Slovenskej republiky</w:t>
      </w:r>
    </w:p>
    <w:p w:rsidR="00DA620D" w:rsidRPr="00DA620D" w:rsidRDefault="00DA620D" w:rsidP="00DA620D">
      <w:pPr>
        <w:spacing w:after="200" w:line="276" w:lineRule="auto"/>
        <w:rPr>
          <w:rFonts w:eastAsiaTheme="minorHAnsi"/>
          <w:szCs w:val="22"/>
          <w:lang w:eastAsia="en-US"/>
        </w:rPr>
      </w:pPr>
      <w:r w:rsidRPr="00DA620D">
        <w:rPr>
          <w:rFonts w:eastAsiaTheme="minorHAnsi"/>
          <w:szCs w:val="22"/>
          <w:lang w:eastAsia="en-US"/>
        </w:rPr>
        <w:t>Natura 2000</w:t>
      </w:r>
      <w:r w:rsidRPr="00DA620D">
        <w:rPr>
          <w:rFonts w:eastAsiaTheme="minorHAnsi"/>
          <w:szCs w:val="22"/>
          <w:lang w:eastAsia="en-US"/>
        </w:rPr>
        <w:tab/>
      </w:r>
      <w:r w:rsidRPr="00DA620D">
        <w:rPr>
          <w:rFonts w:eastAsiaTheme="minorHAnsi"/>
          <w:szCs w:val="22"/>
          <w:lang w:eastAsia="en-US"/>
        </w:rPr>
        <w:tab/>
        <w:t>Sústava chránených území európskeho významu</w:t>
      </w:r>
    </w:p>
    <w:p w:rsidR="00DA620D" w:rsidRPr="00DA620D" w:rsidRDefault="00DA620D" w:rsidP="00DA620D">
      <w:pPr>
        <w:spacing w:after="200" w:line="276" w:lineRule="auto"/>
        <w:rPr>
          <w:rFonts w:eastAsiaTheme="minorHAnsi"/>
          <w:szCs w:val="22"/>
          <w:lang w:eastAsia="en-US"/>
        </w:rPr>
      </w:pPr>
      <w:r w:rsidRPr="00DA620D">
        <w:rPr>
          <w:rFonts w:eastAsiaTheme="minorHAnsi"/>
          <w:szCs w:val="22"/>
          <w:lang w:eastAsia="en-US"/>
        </w:rPr>
        <w:t>NFP</w:t>
      </w:r>
      <w:r w:rsidRPr="00DA620D">
        <w:rPr>
          <w:rFonts w:eastAsiaTheme="minorHAnsi"/>
          <w:szCs w:val="22"/>
          <w:lang w:eastAsia="en-US"/>
        </w:rPr>
        <w:tab/>
      </w:r>
      <w:r w:rsidRPr="00DA620D">
        <w:rPr>
          <w:rFonts w:eastAsiaTheme="minorHAnsi"/>
          <w:szCs w:val="22"/>
          <w:lang w:eastAsia="en-US"/>
        </w:rPr>
        <w:tab/>
      </w:r>
      <w:r w:rsidRPr="00DA620D">
        <w:rPr>
          <w:rFonts w:eastAsiaTheme="minorHAnsi"/>
          <w:szCs w:val="22"/>
          <w:lang w:eastAsia="en-US"/>
        </w:rPr>
        <w:tab/>
        <w:t>nenávratný finančný príspevok</w:t>
      </w:r>
    </w:p>
    <w:p w:rsidR="00DA620D" w:rsidRPr="00DA620D" w:rsidRDefault="00DA620D" w:rsidP="00DA620D">
      <w:pPr>
        <w:spacing w:after="200" w:line="276" w:lineRule="auto"/>
        <w:rPr>
          <w:rFonts w:eastAsiaTheme="minorHAnsi"/>
          <w:szCs w:val="22"/>
          <w:lang w:eastAsia="en-US"/>
        </w:rPr>
      </w:pPr>
      <w:r w:rsidRPr="00DA620D">
        <w:rPr>
          <w:rFonts w:eastAsiaTheme="minorHAnsi"/>
          <w:szCs w:val="22"/>
          <w:lang w:eastAsia="en-US"/>
        </w:rPr>
        <w:t xml:space="preserve">NGA </w:t>
      </w:r>
      <w:r w:rsidRPr="00DA620D">
        <w:rPr>
          <w:rFonts w:eastAsiaTheme="minorHAnsi"/>
          <w:szCs w:val="22"/>
          <w:lang w:eastAsia="en-US"/>
        </w:rPr>
        <w:tab/>
      </w:r>
      <w:r w:rsidRPr="00DA620D">
        <w:rPr>
          <w:rFonts w:eastAsiaTheme="minorHAnsi"/>
          <w:szCs w:val="22"/>
          <w:lang w:eastAsia="en-US"/>
        </w:rPr>
        <w:tab/>
      </w:r>
      <w:r w:rsidRPr="00DA620D">
        <w:rPr>
          <w:rFonts w:eastAsiaTheme="minorHAnsi"/>
          <w:szCs w:val="22"/>
          <w:lang w:eastAsia="en-US"/>
        </w:rPr>
        <w:tab/>
        <w:t>sieť novej generácie</w:t>
      </w:r>
    </w:p>
    <w:p w:rsidR="00DA620D" w:rsidRPr="00DA620D" w:rsidRDefault="00DA620D" w:rsidP="00DA620D">
      <w:pPr>
        <w:spacing w:after="200" w:line="276" w:lineRule="auto"/>
        <w:rPr>
          <w:rFonts w:eastAsiaTheme="minorHAnsi"/>
          <w:szCs w:val="22"/>
          <w:lang w:eastAsia="en-US"/>
        </w:rPr>
      </w:pPr>
      <w:r w:rsidRPr="00DA620D">
        <w:rPr>
          <w:rFonts w:eastAsiaTheme="minorHAnsi"/>
          <w:szCs w:val="22"/>
          <w:lang w:eastAsia="en-US"/>
        </w:rPr>
        <w:t xml:space="preserve">NGN </w:t>
      </w:r>
      <w:r w:rsidRPr="00DA620D">
        <w:rPr>
          <w:rFonts w:eastAsiaTheme="minorHAnsi"/>
          <w:szCs w:val="22"/>
          <w:lang w:eastAsia="en-US"/>
        </w:rPr>
        <w:tab/>
      </w:r>
      <w:r w:rsidRPr="00DA620D">
        <w:rPr>
          <w:rFonts w:eastAsiaTheme="minorHAnsi"/>
          <w:szCs w:val="22"/>
          <w:lang w:eastAsia="en-US"/>
        </w:rPr>
        <w:tab/>
      </w:r>
      <w:r w:rsidRPr="00DA620D">
        <w:rPr>
          <w:rFonts w:eastAsiaTheme="minorHAnsi"/>
          <w:szCs w:val="22"/>
          <w:lang w:eastAsia="en-US"/>
        </w:rPr>
        <w:tab/>
        <w:t>prístupové siete novej generácie</w:t>
      </w:r>
    </w:p>
    <w:p w:rsidR="00DA620D" w:rsidRPr="00DA620D" w:rsidRDefault="00DA620D" w:rsidP="00DA620D">
      <w:pPr>
        <w:spacing w:after="200" w:line="276" w:lineRule="auto"/>
        <w:rPr>
          <w:rFonts w:eastAsiaTheme="minorHAnsi"/>
          <w:szCs w:val="22"/>
          <w:lang w:eastAsia="en-US"/>
        </w:rPr>
      </w:pPr>
      <w:r w:rsidRPr="00DA620D">
        <w:rPr>
          <w:rFonts w:eastAsiaTheme="minorHAnsi"/>
          <w:szCs w:val="22"/>
          <w:lang w:eastAsia="en-US"/>
        </w:rPr>
        <w:t xml:space="preserve">NH </w:t>
      </w:r>
      <w:r w:rsidRPr="00DA620D">
        <w:rPr>
          <w:rFonts w:eastAsiaTheme="minorHAnsi"/>
          <w:szCs w:val="22"/>
          <w:lang w:eastAsia="en-US"/>
        </w:rPr>
        <w:tab/>
      </w:r>
      <w:r w:rsidRPr="00DA620D">
        <w:rPr>
          <w:rFonts w:eastAsiaTheme="minorHAnsi"/>
          <w:szCs w:val="22"/>
          <w:lang w:eastAsia="en-US"/>
        </w:rPr>
        <w:tab/>
      </w:r>
      <w:r w:rsidRPr="00DA620D">
        <w:rPr>
          <w:rFonts w:eastAsiaTheme="minorHAnsi"/>
          <w:szCs w:val="22"/>
          <w:lang w:eastAsia="en-US"/>
        </w:rPr>
        <w:tab/>
        <w:t>národné hospodárstvo</w:t>
      </w:r>
    </w:p>
    <w:p w:rsidR="00DA620D" w:rsidRPr="00DA620D" w:rsidRDefault="00DA620D" w:rsidP="00DA620D">
      <w:pPr>
        <w:spacing w:after="200" w:line="276" w:lineRule="auto"/>
        <w:rPr>
          <w:rFonts w:eastAsiaTheme="minorHAnsi"/>
          <w:szCs w:val="22"/>
          <w:lang w:eastAsia="en-US"/>
        </w:rPr>
      </w:pPr>
      <w:r w:rsidRPr="00DA620D">
        <w:rPr>
          <w:rFonts w:eastAsiaTheme="minorHAnsi"/>
          <w:szCs w:val="22"/>
          <w:lang w:eastAsia="en-US"/>
        </w:rPr>
        <w:t>NLC-LVÚ</w:t>
      </w:r>
      <w:r w:rsidRPr="00DA620D">
        <w:rPr>
          <w:rFonts w:eastAsiaTheme="minorHAnsi"/>
          <w:szCs w:val="22"/>
          <w:lang w:eastAsia="en-US"/>
        </w:rPr>
        <w:tab/>
      </w:r>
      <w:r w:rsidRPr="00DA620D">
        <w:rPr>
          <w:rFonts w:eastAsiaTheme="minorHAnsi"/>
          <w:szCs w:val="22"/>
          <w:lang w:eastAsia="en-US"/>
        </w:rPr>
        <w:tab/>
        <w:t>Národné lesnícke centrum - Lesnícky výskumný ústav</w:t>
      </w:r>
    </w:p>
    <w:p w:rsidR="00DA620D" w:rsidRPr="00DA620D" w:rsidRDefault="00DA620D" w:rsidP="00DA620D">
      <w:pPr>
        <w:spacing w:after="200" w:line="276" w:lineRule="auto"/>
        <w:rPr>
          <w:rFonts w:eastAsiaTheme="minorHAnsi"/>
          <w:szCs w:val="22"/>
          <w:lang w:eastAsia="en-US"/>
        </w:rPr>
      </w:pPr>
      <w:r w:rsidRPr="00DA620D">
        <w:rPr>
          <w:rFonts w:eastAsiaTheme="minorHAnsi"/>
          <w:szCs w:val="22"/>
          <w:lang w:eastAsia="en-US"/>
        </w:rPr>
        <w:t xml:space="preserve">Nmin  </w:t>
      </w:r>
      <w:r w:rsidRPr="00DA620D">
        <w:rPr>
          <w:rFonts w:eastAsiaTheme="minorHAnsi"/>
          <w:szCs w:val="22"/>
          <w:lang w:eastAsia="en-US"/>
        </w:rPr>
        <w:tab/>
      </w:r>
      <w:r w:rsidRPr="00DA620D">
        <w:rPr>
          <w:rFonts w:eastAsiaTheme="minorHAnsi"/>
          <w:szCs w:val="22"/>
          <w:lang w:eastAsia="en-US"/>
        </w:rPr>
        <w:tab/>
      </w:r>
      <w:r w:rsidRPr="00DA620D">
        <w:rPr>
          <w:rFonts w:eastAsiaTheme="minorHAnsi"/>
          <w:szCs w:val="22"/>
          <w:lang w:eastAsia="en-US"/>
        </w:rPr>
        <w:tab/>
        <w:t xml:space="preserve">množstvo minerálneho dusíka v pôde </w:t>
      </w:r>
    </w:p>
    <w:p w:rsidR="00DA620D" w:rsidRPr="00DA620D" w:rsidRDefault="00DA620D" w:rsidP="00DA620D">
      <w:pPr>
        <w:spacing w:after="200" w:line="276" w:lineRule="auto"/>
        <w:ind w:left="2124" w:hanging="2124"/>
        <w:rPr>
          <w:rFonts w:eastAsiaTheme="minorHAnsi"/>
          <w:szCs w:val="22"/>
          <w:lang w:eastAsia="en-US"/>
        </w:rPr>
      </w:pPr>
      <w:r w:rsidRPr="00DA620D">
        <w:rPr>
          <w:rFonts w:eastAsiaTheme="minorHAnsi"/>
          <w:szCs w:val="22"/>
          <w:lang w:eastAsia="en-US"/>
        </w:rPr>
        <w:lastRenderedPageBreak/>
        <w:t>NPPC/VÚPOP</w:t>
      </w:r>
      <w:r w:rsidRPr="00DA620D">
        <w:rPr>
          <w:rFonts w:eastAsiaTheme="minorHAnsi"/>
          <w:szCs w:val="22"/>
          <w:lang w:eastAsia="en-US"/>
        </w:rPr>
        <w:tab/>
        <w:t xml:space="preserve">Národné poľnohospodárske a potravinárske centrum/ </w:t>
      </w:r>
      <w:hyperlink r:id="rId98" w:history="1">
        <w:r w:rsidRPr="00DA620D">
          <w:rPr>
            <w:rFonts w:eastAsiaTheme="minorHAnsi"/>
            <w:szCs w:val="22"/>
            <w:lang w:eastAsia="en-US"/>
          </w:rPr>
          <w:t>Výskumný ústav pôdoznalectva a ochrany pôdy</w:t>
        </w:r>
      </w:hyperlink>
    </w:p>
    <w:p w:rsidR="00DA620D" w:rsidRPr="00DA620D" w:rsidRDefault="00DA620D" w:rsidP="00DA620D">
      <w:pPr>
        <w:spacing w:after="200" w:line="276" w:lineRule="auto"/>
        <w:rPr>
          <w:rFonts w:eastAsiaTheme="minorHAnsi"/>
          <w:szCs w:val="22"/>
          <w:lang w:eastAsia="en-US"/>
        </w:rPr>
      </w:pPr>
      <w:r w:rsidRPr="00DA620D">
        <w:rPr>
          <w:rFonts w:eastAsiaTheme="minorHAnsi"/>
          <w:szCs w:val="22"/>
          <w:lang w:eastAsia="en-US"/>
        </w:rPr>
        <w:t xml:space="preserve">NSRV </w:t>
      </w:r>
      <w:r w:rsidRPr="00DA620D">
        <w:rPr>
          <w:rFonts w:eastAsiaTheme="minorHAnsi"/>
          <w:szCs w:val="22"/>
          <w:lang w:eastAsia="en-US"/>
        </w:rPr>
        <w:tab/>
      </w:r>
      <w:r w:rsidRPr="00DA620D">
        <w:rPr>
          <w:rFonts w:eastAsiaTheme="minorHAnsi"/>
          <w:szCs w:val="22"/>
          <w:lang w:eastAsia="en-US"/>
        </w:rPr>
        <w:tab/>
      </w:r>
      <w:r w:rsidRPr="00DA620D">
        <w:rPr>
          <w:rFonts w:eastAsiaTheme="minorHAnsi"/>
          <w:szCs w:val="22"/>
          <w:lang w:eastAsia="en-US"/>
        </w:rPr>
        <w:tab/>
        <w:t>Národná sieť rozvoja vidieka</w:t>
      </w:r>
    </w:p>
    <w:p w:rsidR="00DA620D" w:rsidRPr="00DA620D" w:rsidRDefault="00DA620D" w:rsidP="00DA620D">
      <w:pPr>
        <w:spacing w:after="200" w:line="276" w:lineRule="auto"/>
        <w:rPr>
          <w:rFonts w:eastAsiaTheme="minorHAnsi"/>
          <w:szCs w:val="22"/>
          <w:lang w:eastAsia="en-US"/>
        </w:rPr>
      </w:pPr>
      <w:r w:rsidRPr="00DA620D">
        <w:rPr>
          <w:rFonts w:eastAsiaTheme="minorHAnsi"/>
          <w:szCs w:val="22"/>
          <w:lang w:eastAsia="en-US"/>
        </w:rPr>
        <w:t xml:space="preserve">NUTS </w:t>
      </w:r>
      <w:r w:rsidRPr="00DA620D">
        <w:rPr>
          <w:rFonts w:eastAsiaTheme="minorHAnsi"/>
          <w:szCs w:val="22"/>
          <w:lang w:eastAsia="en-US"/>
        </w:rPr>
        <w:tab/>
      </w:r>
      <w:r w:rsidRPr="00DA620D">
        <w:rPr>
          <w:rFonts w:eastAsiaTheme="minorHAnsi"/>
          <w:szCs w:val="22"/>
          <w:lang w:eastAsia="en-US"/>
        </w:rPr>
        <w:tab/>
      </w:r>
      <w:r w:rsidRPr="00DA620D">
        <w:rPr>
          <w:rFonts w:eastAsiaTheme="minorHAnsi"/>
          <w:szCs w:val="22"/>
          <w:lang w:eastAsia="en-US"/>
        </w:rPr>
        <w:tab/>
        <w:t xml:space="preserve">nomenklatúra územných štatistických jednotiek </w:t>
      </w:r>
    </w:p>
    <w:p w:rsidR="00DA620D" w:rsidRPr="00DA620D" w:rsidRDefault="00DA620D" w:rsidP="00DA620D">
      <w:pPr>
        <w:spacing w:after="200" w:line="276" w:lineRule="auto"/>
        <w:rPr>
          <w:rFonts w:eastAsiaTheme="minorHAnsi"/>
          <w:szCs w:val="22"/>
          <w:lang w:eastAsia="en-US"/>
        </w:rPr>
      </w:pPr>
      <w:r w:rsidRPr="00DA620D">
        <w:rPr>
          <w:rFonts w:eastAsiaTheme="minorHAnsi"/>
          <w:szCs w:val="22"/>
          <w:lang w:eastAsia="en-US"/>
        </w:rPr>
        <w:t xml:space="preserve">NVH </w:t>
      </w:r>
      <w:r w:rsidRPr="00DA620D">
        <w:rPr>
          <w:rFonts w:eastAsiaTheme="minorHAnsi"/>
          <w:szCs w:val="22"/>
          <w:lang w:eastAsia="en-US"/>
        </w:rPr>
        <w:tab/>
      </w:r>
      <w:r w:rsidRPr="00DA620D">
        <w:rPr>
          <w:rFonts w:eastAsiaTheme="minorHAnsi"/>
          <w:szCs w:val="22"/>
          <w:lang w:eastAsia="en-US"/>
        </w:rPr>
        <w:tab/>
      </w:r>
      <w:r w:rsidRPr="00DA620D">
        <w:rPr>
          <w:rFonts w:eastAsiaTheme="minorHAnsi"/>
          <w:szCs w:val="22"/>
          <w:lang w:eastAsia="en-US"/>
        </w:rPr>
        <w:tab/>
        <w:t xml:space="preserve">novo vytvorená hodnota </w:t>
      </w:r>
    </w:p>
    <w:p w:rsidR="00DA620D" w:rsidRPr="00DA620D" w:rsidRDefault="00DA620D" w:rsidP="00DA620D">
      <w:pPr>
        <w:spacing w:after="200" w:line="276" w:lineRule="auto"/>
        <w:ind w:left="2124" w:hanging="2124"/>
        <w:rPr>
          <w:rFonts w:eastAsiaTheme="minorHAnsi"/>
          <w:szCs w:val="22"/>
          <w:lang w:eastAsia="en-US"/>
        </w:rPr>
      </w:pPr>
      <w:r w:rsidRPr="00DA620D">
        <w:rPr>
          <w:rFonts w:eastAsiaTheme="minorHAnsi"/>
          <w:szCs w:val="22"/>
          <w:lang w:eastAsia="en-US"/>
        </w:rPr>
        <w:t>OECD</w:t>
      </w:r>
      <w:r w:rsidRPr="00DA620D">
        <w:rPr>
          <w:rFonts w:eastAsiaTheme="minorHAnsi"/>
          <w:szCs w:val="22"/>
          <w:lang w:eastAsia="en-US"/>
        </w:rPr>
        <w:tab/>
        <w:t>Organizácia pre hospodársku spoluprácu a rozvoj</w:t>
      </w:r>
    </w:p>
    <w:p w:rsidR="00DA620D" w:rsidRPr="00DA620D" w:rsidRDefault="00DA620D" w:rsidP="00DA620D">
      <w:pPr>
        <w:spacing w:after="200" w:line="276" w:lineRule="auto"/>
        <w:rPr>
          <w:rFonts w:eastAsiaTheme="minorHAnsi"/>
          <w:szCs w:val="22"/>
          <w:lang w:eastAsia="en-US"/>
        </w:rPr>
      </w:pPr>
      <w:r w:rsidRPr="00DA620D">
        <w:rPr>
          <w:rFonts w:eastAsiaTheme="minorHAnsi"/>
          <w:szCs w:val="22"/>
          <w:lang w:eastAsia="en-US"/>
        </w:rPr>
        <w:t xml:space="preserve">OLAF </w:t>
      </w:r>
      <w:r w:rsidRPr="00DA620D">
        <w:rPr>
          <w:rFonts w:eastAsiaTheme="minorHAnsi"/>
          <w:szCs w:val="22"/>
          <w:lang w:eastAsia="en-US"/>
        </w:rPr>
        <w:tab/>
      </w:r>
      <w:r w:rsidRPr="00DA620D">
        <w:rPr>
          <w:rFonts w:eastAsiaTheme="minorHAnsi"/>
          <w:szCs w:val="22"/>
          <w:lang w:eastAsia="en-US"/>
        </w:rPr>
        <w:tab/>
      </w:r>
      <w:r w:rsidRPr="00DA620D">
        <w:rPr>
          <w:rFonts w:eastAsiaTheme="minorHAnsi"/>
          <w:szCs w:val="22"/>
          <w:lang w:eastAsia="en-US"/>
        </w:rPr>
        <w:tab/>
      </w:r>
      <w:hyperlink r:id="rId99" w:tgtFrame="_blank" w:tooltip="Odkaz do nového okna" w:history="1">
        <w:r w:rsidRPr="00DA620D">
          <w:rPr>
            <w:rFonts w:eastAsiaTheme="minorHAnsi"/>
            <w:szCs w:val="22"/>
            <w:lang w:eastAsia="en-US"/>
          </w:rPr>
          <w:t>Európsky úrad pre boj proti podvodom</w:t>
        </w:r>
      </w:hyperlink>
    </w:p>
    <w:p w:rsidR="00DA620D" w:rsidRPr="00DA620D" w:rsidRDefault="00ED7832" w:rsidP="00DA620D">
      <w:pPr>
        <w:spacing w:after="200" w:line="276" w:lineRule="auto"/>
        <w:rPr>
          <w:rFonts w:eastAsiaTheme="minorHAnsi"/>
          <w:szCs w:val="22"/>
          <w:lang w:eastAsia="en-US"/>
        </w:rPr>
      </w:pPr>
      <w:r>
        <w:rPr>
          <w:rFonts w:eastAsiaTheme="minorHAnsi"/>
          <w:szCs w:val="22"/>
          <w:lang w:eastAsia="en-US"/>
        </w:rPr>
        <w:t>SaO</w:t>
      </w:r>
      <w:r w:rsidR="00DA620D" w:rsidRPr="00DA620D">
        <w:rPr>
          <w:rFonts w:eastAsiaTheme="minorHAnsi"/>
          <w:szCs w:val="22"/>
          <w:lang w:eastAsia="en-US"/>
        </w:rPr>
        <w:t xml:space="preserve">V </w:t>
      </w:r>
      <w:r w:rsidR="00DA620D" w:rsidRPr="00DA620D">
        <w:rPr>
          <w:rFonts w:eastAsiaTheme="minorHAnsi"/>
          <w:szCs w:val="22"/>
          <w:lang w:eastAsia="en-US"/>
        </w:rPr>
        <w:tab/>
      </w:r>
      <w:r w:rsidR="00DA620D" w:rsidRPr="00DA620D">
        <w:rPr>
          <w:rFonts w:eastAsiaTheme="minorHAnsi"/>
          <w:szCs w:val="22"/>
          <w:lang w:eastAsia="en-US"/>
        </w:rPr>
        <w:tab/>
      </w:r>
      <w:r w:rsidR="00DA620D" w:rsidRPr="00DA620D">
        <w:rPr>
          <w:rFonts w:eastAsiaTheme="minorHAnsi"/>
          <w:szCs w:val="22"/>
          <w:lang w:eastAsia="en-US"/>
        </w:rPr>
        <w:tab/>
      </w:r>
      <w:r>
        <w:rPr>
          <w:rFonts w:eastAsiaTheme="minorHAnsi"/>
          <w:szCs w:val="22"/>
          <w:lang w:eastAsia="en-US"/>
        </w:rPr>
        <w:t xml:space="preserve">skupina a </w:t>
      </w:r>
      <w:r w:rsidR="00DA620D" w:rsidRPr="00DA620D">
        <w:rPr>
          <w:rFonts w:eastAsiaTheme="minorHAnsi"/>
          <w:szCs w:val="22"/>
          <w:lang w:eastAsia="en-US"/>
        </w:rPr>
        <w:t>organizácia výrobcov</w:t>
      </w:r>
    </w:p>
    <w:p w:rsidR="00DA620D" w:rsidRPr="00DA620D" w:rsidRDefault="00DA620D" w:rsidP="00DA620D">
      <w:pPr>
        <w:spacing w:after="200" w:line="276" w:lineRule="auto"/>
        <w:rPr>
          <w:rFonts w:eastAsiaTheme="minorHAnsi"/>
          <w:szCs w:val="22"/>
          <w:lang w:eastAsia="en-US"/>
        </w:rPr>
      </w:pPr>
      <w:r w:rsidRPr="00DA620D">
        <w:rPr>
          <w:rFonts w:eastAsiaTheme="minorHAnsi"/>
          <w:szCs w:val="22"/>
          <w:lang w:eastAsia="en-US"/>
        </w:rPr>
        <w:t xml:space="preserve">OP </w:t>
      </w:r>
      <w:r w:rsidRPr="00DA620D">
        <w:rPr>
          <w:rFonts w:eastAsiaTheme="minorHAnsi"/>
          <w:szCs w:val="22"/>
          <w:lang w:eastAsia="en-US"/>
        </w:rPr>
        <w:tab/>
      </w:r>
      <w:r w:rsidRPr="00DA620D">
        <w:rPr>
          <w:rFonts w:eastAsiaTheme="minorHAnsi"/>
          <w:szCs w:val="22"/>
          <w:lang w:eastAsia="en-US"/>
        </w:rPr>
        <w:tab/>
      </w:r>
      <w:r w:rsidRPr="00DA620D">
        <w:rPr>
          <w:rFonts w:eastAsiaTheme="minorHAnsi"/>
          <w:szCs w:val="22"/>
          <w:lang w:eastAsia="en-US"/>
        </w:rPr>
        <w:tab/>
      </w:r>
      <w:r w:rsidR="003A251F">
        <w:rPr>
          <w:rFonts w:eastAsiaTheme="minorHAnsi"/>
          <w:szCs w:val="22"/>
          <w:lang w:eastAsia="en-US"/>
        </w:rPr>
        <w:t>o</w:t>
      </w:r>
      <w:r w:rsidRPr="00DA620D">
        <w:rPr>
          <w:rFonts w:eastAsiaTheme="minorHAnsi"/>
          <w:szCs w:val="22"/>
          <w:lang w:eastAsia="en-US"/>
        </w:rPr>
        <w:t>peračný program</w:t>
      </w:r>
    </w:p>
    <w:p w:rsidR="00DA620D" w:rsidRPr="00DA620D" w:rsidRDefault="00DA620D" w:rsidP="00DA620D">
      <w:pPr>
        <w:spacing w:after="200" w:line="276" w:lineRule="auto"/>
        <w:rPr>
          <w:rFonts w:eastAsiaTheme="minorHAnsi"/>
          <w:szCs w:val="22"/>
          <w:lang w:eastAsia="en-US"/>
        </w:rPr>
      </w:pPr>
      <w:r w:rsidRPr="00DA620D">
        <w:rPr>
          <w:rFonts w:eastAsiaTheme="minorHAnsi"/>
          <w:szCs w:val="22"/>
          <w:lang w:eastAsia="en-US"/>
        </w:rPr>
        <w:t>OP</w:t>
      </w:r>
      <w:r w:rsidRPr="00DA620D">
        <w:rPr>
          <w:rFonts w:eastAsiaTheme="minorHAnsi"/>
          <w:szCs w:val="22"/>
          <w:lang w:eastAsia="en-US"/>
        </w:rPr>
        <w:tab/>
      </w:r>
      <w:r w:rsidRPr="00DA620D">
        <w:rPr>
          <w:rFonts w:eastAsiaTheme="minorHAnsi"/>
          <w:szCs w:val="22"/>
          <w:lang w:eastAsia="en-US"/>
        </w:rPr>
        <w:tab/>
      </w:r>
      <w:r w:rsidRPr="00DA620D">
        <w:rPr>
          <w:rFonts w:eastAsiaTheme="minorHAnsi"/>
          <w:szCs w:val="22"/>
          <w:lang w:eastAsia="en-US"/>
        </w:rPr>
        <w:tab/>
        <w:t>orná pôda</w:t>
      </w:r>
    </w:p>
    <w:p w:rsidR="00DA620D" w:rsidRPr="00DA620D" w:rsidRDefault="00DA620D" w:rsidP="00DA620D">
      <w:pPr>
        <w:spacing w:after="200" w:line="276" w:lineRule="auto"/>
        <w:rPr>
          <w:rFonts w:eastAsiaTheme="minorHAnsi"/>
          <w:szCs w:val="22"/>
          <w:lang w:eastAsia="en-US"/>
        </w:rPr>
      </w:pPr>
      <w:r w:rsidRPr="00DA620D">
        <w:rPr>
          <w:rFonts w:eastAsiaTheme="minorHAnsi"/>
          <w:szCs w:val="22"/>
          <w:lang w:eastAsia="en-US"/>
        </w:rPr>
        <w:t>OP II</w:t>
      </w:r>
      <w:r w:rsidRPr="00DA620D">
        <w:rPr>
          <w:rFonts w:eastAsiaTheme="minorHAnsi"/>
          <w:szCs w:val="22"/>
          <w:lang w:eastAsia="en-US"/>
        </w:rPr>
        <w:tab/>
      </w:r>
      <w:r w:rsidRPr="00DA620D">
        <w:rPr>
          <w:rFonts w:eastAsiaTheme="minorHAnsi"/>
          <w:szCs w:val="22"/>
          <w:lang w:eastAsia="en-US"/>
        </w:rPr>
        <w:tab/>
      </w:r>
      <w:r w:rsidRPr="00DA620D">
        <w:rPr>
          <w:rFonts w:eastAsiaTheme="minorHAnsi"/>
          <w:szCs w:val="22"/>
          <w:lang w:eastAsia="en-US"/>
        </w:rPr>
        <w:tab/>
        <w:t>Operačný program Integrovaná infraštruktúra</w:t>
      </w:r>
    </w:p>
    <w:p w:rsidR="00DA620D" w:rsidRPr="00DA620D" w:rsidRDefault="00DA620D" w:rsidP="00DA620D">
      <w:pPr>
        <w:spacing w:after="200" w:line="276" w:lineRule="auto"/>
        <w:rPr>
          <w:rFonts w:eastAsiaTheme="minorHAnsi"/>
          <w:szCs w:val="22"/>
          <w:lang w:eastAsia="en-US"/>
        </w:rPr>
      </w:pPr>
      <w:r w:rsidRPr="00DA620D">
        <w:rPr>
          <w:rFonts w:eastAsiaTheme="minorHAnsi"/>
          <w:szCs w:val="22"/>
          <w:lang w:eastAsia="en-US"/>
        </w:rPr>
        <w:t xml:space="preserve">OP KŽP </w:t>
      </w:r>
      <w:r w:rsidRPr="00DA620D">
        <w:rPr>
          <w:rFonts w:eastAsiaTheme="minorHAnsi"/>
          <w:szCs w:val="22"/>
          <w:lang w:eastAsia="en-US"/>
        </w:rPr>
        <w:tab/>
      </w:r>
      <w:r w:rsidRPr="00DA620D">
        <w:rPr>
          <w:rFonts w:eastAsiaTheme="minorHAnsi"/>
          <w:szCs w:val="22"/>
          <w:lang w:eastAsia="en-US"/>
        </w:rPr>
        <w:tab/>
      </w:r>
      <w:r w:rsidRPr="00DA620D">
        <w:rPr>
          <w:rFonts w:eastAsiaTheme="minorHAnsi"/>
          <w:szCs w:val="22"/>
          <w:lang w:eastAsia="en-US"/>
        </w:rPr>
        <w:tab/>
        <w:t>Operačný program Kvalita životného prostredia</w:t>
      </w:r>
    </w:p>
    <w:p w:rsidR="00DA620D" w:rsidRPr="00DA620D" w:rsidRDefault="00DA620D" w:rsidP="00DA620D">
      <w:pPr>
        <w:spacing w:after="200" w:line="276" w:lineRule="auto"/>
        <w:rPr>
          <w:rFonts w:eastAsiaTheme="minorHAnsi"/>
          <w:szCs w:val="22"/>
          <w:lang w:eastAsia="en-US"/>
        </w:rPr>
      </w:pPr>
      <w:r w:rsidRPr="00DA620D">
        <w:rPr>
          <w:rFonts w:eastAsiaTheme="minorHAnsi"/>
          <w:szCs w:val="22"/>
          <w:lang w:eastAsia="en-US"/>
        </w:rPr>
        <w:t xml:space="preserve">OP RH </w:t>
      </w:r>
      <w:r w:rsidRPr="00DA620D">
        <w:rPr>
          <w:rFonts w:eastAsiaTheme="minorHAnsi"/>
          <w:szCs w:val="22"/>
          <w:lang w:eastAsia="en-US"/>
        </w:rPr>
        <w:tab/>
      </w:r>
      <w:r w:rsidRPr="00DA620D">
        <w:rPr>
          <w:rFonts w:eastAsiaTheme="minorHAnsi"/>
          <w:szCs w:val="22"/>
          <w:lang w:eastAsia="en-US"/>
        </w:rPr>
        <w:tab/>
      </w:r>
      <w:r w:rsidRPr="00DA620D">
        <w:rPr>
          <w:rFonts w:eastAsiaTheme="minorHAnsi"/>
          <w:szCs w:val="22"/>
          <w:lang w:eastAsia="en-US"/>
        </w:rPr>
        <w:tab/>
        <w:t>Operačný program Rybné hospodárstvo</w:t>
      </w:r>
    </w:p>
    <w:p w:rsidR="00DA620D" w:rsidRPr="00DA620D" w:rsidRDefault="00DA620D" w:rsidP="00DA620D">
      <w:pPr>
        <w:spacing w:after="200" w:line="276" w:lineRule="auto"/>
        <w:rPr>
          <w:rFonts w:eastAsiaTheme="minorHAnsi"/>
          <w:szCs w:val="22"/>
          <w:lang w:eastAsia="en-US"/>
        </w:rPr>
      </w:pPr>
      <w:r w:rsidRPr="00DA620D">
        <w:rPr>
          <w:rFonts w:eastAsiaTheme="minorHAnsi"/>
          <w:szCs w:val="22"/>
          <w:lang w:eastAsia="en-US"/>
        </w:rPr>
        <w:t xml:space="preserve">OP VaI </w:t>
      </w:r>
      <w:r w:rsidRPr="00DA620D">
        <w:rPr>
          <w:rFonts w:eastAsiaTheme="minorHAnsi"/>
          <w:szCs w:val="22"/>
          <w:lang w:eastAsia="en-US"/>
        </w:rPr>
        <w:tab/>
      </w:r>
      <w:r w:rsidRPr="00DA620D">
        <w:rPr>
          <w:rFonts w:eastAsiaTheme="minorHAnsi"/>
          <w:szCs w:val="22"/>
          <w:lang w:eastAsia="en-US"/>
        </w:rPr>
        <w:tab/>
      </w:r>
      <w:r w:rsidRPr="00DA620D">
        <w:rPr>
          <w:rFonts w:eastAsiaTheme="minorHAnsi"/>
          <w:szCs w:val="22"/>
          <w:lang w:eastAsia="en-US"/>
        </w:rPr>
        <w:tab/>
        <w:t>Operačný program Výskum a Inovácie</w:t>
      </w:r>
    </w:p>
    <w:p w:rsidR="00DA620D" w:rsidRPr="00DA620D" w:rsidRDefault="00DA620D" w:rsidP="00DA620D">
      <w:pPr>
        <w:spacing w:after="200" w:line="276" w:lineRule="auto"/>
        <w:rPr>
          <w:rFonts w:eastAsiaTheme="minorHAnsi"/>
          <w:szCs w:val="22"/>
          <w:lang w:eastAsia="en-US"/>
        </w:rPr>
      </w:pPr>
      <w:r w:rsidRPr="00DA620D">
        <w:rPr>
          <w:rFonts w:eastAsiaTheme="minorHAnsi"/>
          <w:szCs w:val="22"/>
          <w:lang w:eastAsia="en-US"/>
        </w:rPr>
        <w:t xml:space="preserve">OPII </w:t>
      </w:r>
      <w:r w:rsidRPr="00DA620D">
        <w:rPr>
          <w:rFonts w:eastAsiaTheme="minorHAnsi"/>
          <w:szCs w:val="22"/>
          <w:lang w:eastAsia="en-US"/>
        </w:rPr>
        <w:tab/>
      </w:r>
      <w:r w:rsidRPr="00DA620D">
        <w:rPr>
          <w:rFonts w:eastAsiaTheme="minorHAnsi"/>
          <w:szCs w:val="22"/>
          <w:lang w:eastAsia="en-US"/>
        </w:rPr>
        <w:tab/>
      </w:r>
      <w:r w:rsidRPr="00DA620D">
        <w:rPr>
          <w:rFonts w:eastAsiaTheme="minorHAnsi"/>
          <w:szCs w:val="22"/>
          <w:lang w:eastAsia="en-US"/>
        </w:rPr>
        <w:tab/>
        <w:t>Operačný program Integrovaná infraštruktúra</w:t>
      </w:r>
    </w:p>
    <w:p w:rsidR="00DA620D" w:rsidRPr="00DA620D" w:rsidRDefault="00DA620D" w:rsidP="00DA620D">
      <w:pPr>
        <w:spacing w:after="200" w:line="276" w:lineRule="auto"/>
        <w:rPr>
          <w:rFonts w:eastAsiaTheme="minorHAnsi"/>
          <w:szCs w:val="22"/>
          <w:lang w:eastAsia="en-US"/>
        </w:rPr>
      </w:pPr>
      <w:r w:rsidRPr="00DA620D">
        <w:rPr>
          <w:rFonts w:eastAsiaTheme="minorHAnsi"/>
          <w:szCs w:val="22"/>
          <w:lang w:eastAsia="en-US"/>
        </w:rPr>
        <w:t xml:space="preserve">OZ </w:t>
      </w:r>
      <w:r w:rsidRPr="00DA620D">
        <w:rPr>
          <w:rFonts w:eastAsiaTheme="minorHAnsi"/>
          <w:szCs w:val="22"/>
          <w:lang w:eastAsia="en-US"/>
        </w:rPr>
        <w:tab/>
      </w:r>
      <w:r w:rsidRPr="00DA620D">
        <w:rPr>
          <w:rFonts w:eastAsiaTheme="minorHAnsi"/>
          <w:szCs w:val="22"/>
          <w:lang w:eastAsia="en-US"/>
        </w:rPr>
        <w:tab/>
      </w:r>
      <w:r w:rsidRPr="00DA620D">
        <w:rPr>
          <w:rFonts w:eastAsiaTheme="minorHAnsi"/>
          <w:szCs w:val="22"/>
          <w:lang w:eastAsia="en-US"/>
        </w:rPr>
        <w:tab/>
        <w:t xml:space="preserve">občianske združenie </w:t>
      </w:r>
    </w:p>
    <w:p w:rsidR="00DA620D" w:rsidRPr="00DA620D" w:rsidRDefault="00DA620D" w:rsidP="00DA620D">
      <w:pPr>
        <w:spacing w:after="200" w:line="276" w:lineRule="auto"/>
        <w:rPr>
          <w:rFonts w:eastAsiaTheme="minorHAnsi"/>
          <w:szCs w:val="22"/>
          <w:lang w:eastAsia="en-US"/>
        </w:rPr>
      </w:pPr>
      <w:r w:rsidRPr="00DA620D">
        <w:rPr>
          <w:rFonts w:eastAsiaTheme="minorHAnsi"/>
          <w:szCs w:val="22"/>
          <w:lang w:eastAsia="en-US"/>
        </w:rPr>
        <w:t xml:space="preserve">OZ VIPA </w:t>
      </w:r>
      <w:r w:rsidRPr="00DA620D">
        <w:rPr>
          <w:rFonts w:eastAsiaTheme="minorHAnsi"/>
          <w:szCs w:val="22"/>
          <w:lang w:eastAsia="en-US"/>
        </w:rPr>
        <w:tab/>
      </w:r>
      <w:r w:rsidRPr="00DA620D">
        <w:rPr>
          <w:rFonts w:eastAsiaTheme="minorHAnsi"/>
          <w:szCs w:val="22"/>
          <w:lang w:eastAsia="en-US"/>
        </w:rPr>
        <w:tab/>
        <w:t>občianske združenie Vidiecky parlament</w:t>
      </w:r>
    </w:p>
    <w:p w:rsidR="00DA620D" w:rsidRPr="00DA620D" w:rsidRDefault="00DA620D" w:rsidP="00DA620D">
      <w:pPr>
        <w:spacing w:after="200" w:line="276" w:lineRule="auto"/>
        <w:rPr>
          <w:rFonts w:eastAsiaTheme="minorHAnsi"/>
          <w:szCs w:val="22"/>
          <w:lang w:eastAsia="en-US"/>
        </w:rPr>
      </w:pPr>
      <w:r w:rsidRPr="00DA620D">
        <w:rPr>
          <w:rFonts w:eastAsiaTheme="minorHAnsi"/>
          <w:szCs w:val="22"/>
          <w:lang w:eastAsia="en-US"/>
        </w:rPr>
        <w:t>OZE</w:t>
      </w:r>
      <w:r w:rsidRPr="00DA620D">
        <w:rPr>
          <w:rFonts w:eastAsiaTheme="minorHAnsi"/>
          <w:szCs w:val="22"/>
          <w:lang w:eastAsia="en-US"/>
        </w:rPr>
        <w:tab/>
      </w:r>
      <w:r w:rsidRPr="00DA620D">
        <w:rPr>
          <w:rFonts w:eastAsiaTheme="minorHAnsi"/>
          <w:szCs w:val="22"/>
          <w:lang w:eastAsia="en-US"/>
        </w:rPr>
        <w:tab/>
        <w:t xml:space="preserve"> </w:t>
      </w:r>
      <w:r w:rsidRPr="00DA620D">
        <w:rPr>
          <w:rFonts w:eastAsiaTheme="minorHAnsi"/>
          <w:szCs w:val="22"/>
          <w:lang w:eastAsia="en-US"/>
        </w:rPr>
        <w:tab/>
        <w:t>obnoviteľné zdroje energie</w:t>
      </w:r>
    </w:p>
    <w:p w:rsidR="00DA620D" w:rsidRPr="00DA620D" w:rsidRDefault="00DA620D" w:rsidP="00DA620D">
      <w:pPr>
        <w:spacing w:after="200" w:line="276" w:lineRule="auto"/>
        <w:rPr>
          <w:rFonts w:eastAsiaTheme="minorHAnsi"/>
          <w:szCs w:val="22"/>
          <w:lang w:eastAsia="en-US"/>
        </w:rPr>
      </w:pPr>
      <w:r w:rsidRPr="00DA620D">
        <w:rPr>
          <w:rFonts w:eastAsiaTheme="minorHAnsi"/>
          <w:szCs w:val="22"/>
          <w:lang w:eastAsia="en-US"/>
        </w:rPr>
        <w:t xml:space="preserve">PDO </w:t>
      </w:r>
      <w:r w:rsidRPr="00DA620D">
        <w:rPr>
          <w:rFonts w:eastAsiaTheme="minorHAnsi"/>
          <w:szCs w:val="22"/>
          <w:lang w:eastAsia="en-US"/>
        </w:rPr>
        <w:tab/>
      </w:r>
      <w:r w:rsidRPr="00DA620D">
        <w:rPr>
          <w:rFonts w:eastAsiaTheme="minorHAnsi"/>
          <w:szCs w:val="22"/>
          <w:lang w:eastAsia="en-US"/>
        </w:rPr>
        <w:tab/>
      </w:r>
      <w:r w:rsidRPr="00DA620D">
        <w:rPr>
          <w:rFonts w:eastAsiaTheme="minorHAnsi"/>
          <w:szCs w:val="22"/>
          <w:lang w:eastAsia="en-US"/>
        </w:rPr>
        <w:tab/>
        <w:t>produkt s chráneným označením pôvodu</w:t>
      </w:r>
    </w:p>
    <w:p w:rsidR="00DA620D" w:rsidRPr="00DA620D" w:rsidRDefault="00DA620D" w:rsidP="00DA620D">
      <w:pPr>
        <w:spacing w:after="200" w:line="276" w:lineRule="auto"/>
        <w:rPr>
          <w:rFonts w:eastAsiaTheme="minorHAnsi"/>
          <w:szCs w:val="22"/>
          <w:lang w:eastAsia="en-US"/>
        </w:rPr>
      </w:pPr>
      <w:r w:rsidRPr="00DA620D">
        <w:rPr>
          <w:rFonts w:eastAsiaTheme="minorHAnsi"/>
          <w:szCs w:val="22"/>
          <w:lang w:eastAsia="en-US"/>
        </w:rPr>
        <w:t xml:space="preserve">PGI </w:t>
      </w:r>
      <w:r w:rsidRPr="00DA620D">
        <w:rPr>
          <w:rFonts w:eastAsiaTheme="minorHAnsi"/>
          <w:szCs w:val="22"/>
          <w:lang w:eastAsia="en-US"/>
        </w:rPr>
        <w:tab/>
      </w:r>
      <w:r w:rsidRPr="00DA620D">
        <w:rPr>
          <w:rFonts w:eastAsiaTheme="minorHAnsi"/>
          <w:szCs w:val="22"/>
          <w:lang w:eastAsia="en-US"/>
        </w:rPr>
        <w:tab/>
      </w:r>
      <w:r w:rsidRPr="00DA620D">
        <w:rPr>
          <w:rFonts w:eastAsiaTheme="minorHAnsi"/>
          <w:szCs w:val="22"/>
          <w:lang w:eastAsia="en-US"/>
        </w:rPr>
        <w:tab/>
        <w:t xml:space="preserve">produkt s chráneným zemepisným označením </w:t>
      </w:r>
    </w:p>
    <w:p w:rsidR="00DA620D" w:rsidRPr="00DA620D" w:rsidRDefault="00DA620D" w:rsidP="00DA620D">
      <w:pPr>
        <w:spacing w:after="200" w:line="276" w:lineRule="auto"/>
        <w:rPr>
          <w:rFonts w:eastAsiaTheme="minorHAnsi"/>
          <w:szCs w:val="22"/>
          <w:lang w:eastAsia="en-US"/>
        </w:rPr>
      </w:pPr>
      <w:r w:rsidRPr="00DA620D">
        <w:rPr>
          <w:rFonts w:eastAsiaTheme="minorHAnsi"/>
          <w:szCs w:val="22"/>
          <w:lang w:eastAsia="en-US"/>
        </w:rPr>
        <w:t>PHSR</w:t>
      </w:r>
      <w:r w:rsidRPr="00DA620D">
        <w:rPr>
          <w:rFonts w:eastAsiaTheme="minorHAnsi"/>
          <w:szCs w:val="22"/>
          <w:lang w:eastAsia="en-US"/>
        </w:rPr>
        <w:tab/>
      </w:r>
      <w:r w:rsidRPr="00DA620D">
        <w:rPr>
          <w:rFonts w:eastAsiaTheme="minorHAnsi"/>
          <w:szCs w:val="22"/>
          <w:lang w:eastAsia="en-US"/>
        </w:rPr>
        <w:tab/>
      </w:r>
      <w:r w:rsidRPr="00DA620D">
        <w:rPr>
          <w:rFonts w:eastAsiaTheme="minorHAnsi"/>
          <w:szCs w:val="22"/>
          <w:lang w:eastAsia="en-US"/>
        </w:rPr>
        <w:tab/>
        <w:t xml:space="preserve"> Program hospodárskeho a sociálneho rozvoja</w:t>
      </w:r>
    </w:p>
    <w:p w:rsidR="00DA620D" w:rsidRPr="00DA620D" w:rsidRDefault="00DA620D" w:rsidP="00DA620D">
      <w:pPr>
        <w:spacing w:after="200" w:line="276" w:lineRule="auto"/>
        <w:rPr>
          <w:rFonts w:eastAsiaTheme="minorHAnsi"/>
          <w:szCs w:val="22"/>
          <w:lang w:eastAsia="en-US"/>
        </w:rPr>
      </w:pPr>
      <w:r w:rsidRPr="00DA620D">
        <w:rPr>
          <w:rFonts w:eastAsiaTheme="minorHAnsi"/>
          <w:szCs w:val="22"/>
          <w:lang w:eastAsia="en-US"/>
        </w:rPr>
        <w:t xml:space="preserve">PK </w:t>
      </w:r>
      <w:r w:rsidRPr="00DA620D">
        <w:rPr>
          <w:rFonts w:eastAsiaTheme="minorHAnsi"/>
          <w:szCs w:val="22"/>
          <w:lang w:eastAsia="en-US"/>
        </w:rPr>
        <w:tab/>
      </w:r>
      <w:r w:rsidRPr="00DA620D">
        <w:rPr>
          <w:rFonts w:eastAsiaTheme="minorHAnsi"/>
          <w:szCs w:val="22"/>
          <w:lang w:eastAsia="en-US"/>
        </w:rPr>
        <w:tab/>
      </w:r>
      <w:r w:rsidRPr="00DA620D">
        <w:rPr>
          <w:rFonts w:eastAsiaTheme="minorHAnsi"/>
          <w:szCs w:val="22"/>
          <w:lang w:eastAsia="en-US"/>
        </w:rPr>
        <w:tab/>
        <w:t>plemenná kniha</w:t>
      </w:r>
    </w:p>
    <w:p w:rsidR="00DA620D" w:rsidRPr="00DA620D" w:rsidRDefault="00DA620D" w:rsidP="00DA620D">
      <w:pPr>
        <w:spacing w:after="200" w:line="276" w:lineRule="auto"/>
        <w:rPr>
          <w:rFonts w:eastAsiaTheme="minorHAnsi"/>
          <w:szCs w:val="22"/>
          <w:lang w:eastAsia="en-US"/>
        </w:rPr>
      </w:pPr>
      <w:r w:rsidRPr="00DA620D">
        <w:rPr>
          <w:rFonts w:eastAsiaTheme="minorHAnsi"/>
          <w:szCs w:val="22"/>
          <w:lang w:eastAsia="en-US"/>
        </w:rPr>
        <w:t xml:space="preserve">PP&amp;I </w:t>
      </w:r>
      <w:r w:rsidRPr="00DA620D">
        <w:rPr>
          <w:rFonts w:eastAsiaTheme="minorHAnsi"/>
          <w:szCs w:val="22"/>
          <w:lang w:eastAsia="en-US"/>
        </w:rPr>
        <w:tab/>
      </w:r>
      <w:r w:rsidRPr="00DA620D">
        <w:rPr>
          <w:rFonts w:eastAsiaTheme="minorHAnsi"/>
          <w:szCs w:val="22"/>
          <w:lang w:eastAsia="en-US"/>
        </w:rPr>
        <w:tab/>
      </w:r>
      <w:r w:rsidRPr="00DA620D">
        <w:rPr>
          <w:rFonts w:eastAsiaTheme="minorHAnsi"/>
          <w:szCs w:val="22"/>
          <w:lang w:eastAsia="en-US"/>
        </w:rPr>
        <w:tab/>
        <w:t>prenos poznatkov a inovácie</w:t>
      </w:r>
    </w:p>
    <w:p w:rsidR="00DA620D" w:rsidRPr="00DA620D" w:rsidRDefault="00DA620D" w:rsidP="00DA620D">
      <w:pPr>
        <w:spacing w:after="200" w:line="276" w:lineRule="auto"/>
        <w:rPr>
          <w:rFonts w:eastAsiaTheme="minorHAnsi"/>
          <w:szCs w:val="22"/>
          <w:lang w:eastAsia="en-US"/>
        </w:rPr>
      </w:pPr>
      <w:r w:rsidRPr="00DA620D">
        <w:rPr>
          <w:rFonts w:eastAsiaTheme="minorHAnsi"/>
          <w:szCs w:val="22"/>
          <w:lang w:eastAsia="en-US"/>
        </w:rPr>
        <w:t>PPA</w:t>
      </w:r>
      <w:r w:rsidRPr="00DA620D">
        <w:rPr>
          <w:rFonts w:eastAsiaTheme="minorHAnsi"/>
          <w:szCs w:val="22"/>
          <w:lang w:eastAsia="en-US"/>
        </w:rPr>
        <w:tab/>
      </w:r>
      <w:r w:rsidRPr="00DA620D">
        <w:rPr>
          <w:rFonts w:eastAsiaTheme="minorHAnsi"/>
          <w:szCs w:val="22"/>
          <w:lang w:eastAsia="en-US"/>
        </w:rPr>
        <w:tab/>
      </w:r>
      <w:r w:rsidRPr="00DA620D">
        <w:rPr>
          <w:rFonts w:eastAsiaTheme="minorHAnsi"/>
          <w:szCs w:val="22"/>
          <w:lang w:eastAsia="en-US"/>
        </w:rPr>
        <w:tab/>
        <w:t>Pôdohospodárska platobná agentúra</w:t>
      </w:r>
    </w:p>
    <w:p w:rsidR="00DA620D" w:rsidRPr="00DA620D" w:rsidRDefault="00DA620D" w:rsidP="00DA620D">
      <w:pPr>
        <w:spacing w:after="200" w:line="276" w:lineRule="auto"/>
        <w:rPr>
          <w:rFonts w:eastAsiaTheme="minorHAnsi"/>
          <w:szCs w:val="22"/>
          <w:lang w:eastAsia="en-US"/>
        </w:rPr>
      </w:pPr>
      <w:r w:rsidRPr="00DA620D">
        <w:rPr>
          <w:rFonts w:eastAsiaTheme="minorHAnsi"/>
          <w:szCs w:val="22"/>
          <w:lang w:eastAsia="en-US"/>
        </w:rPr>
        <w:t xml:space="preserve">PPF </w:t>
      </w:r>
      <w:r w:rsidRPr="00DA620D">
        <w:rPr>
          <w:rFonts w:eastAsiaTheme="minorHAnsi"/>
          <w:szCs w:val="22"/>
          <w:lang w:eastAsia="en-US"/>
        </w:rPr>
        <w:tab/>
      </w:r>
      <w:r w:rsidRPr="00DA620D">
        <w:rPr>
          <w:rFonts w:eastAsiaTheme="minorHAnsi"/>
          <w:szCs w:val="22"/>
          <w:lang w:eastAsia="en-US"/>
        </w:rPr>
        <w:tab/>
      </w:r>
      <w:r w:rsidRPr="00DA620D">
        <w:rPr>
          <w:rFonts w:eastAsiaTheme="minorHAnsi"/>
          <w:szCs w:val="22"/>
          <w:lang w:eastAsia="en-US"/>
        </w:rPr>
        <w:tab/>
        <w:t>poľnohospodársky pôdny fond</w:t>
      </w:r>
    </w:p>
    <w:p w:rsidR="00DA620D" w:rsidRPr="00DA620D" w:rsidRDefault="00DA620D" w:rsidP="00DA620D">
      <w:pPr>
        <w:spacing w:after="200" w:line="276" w:lineRule="auto"/>
        <w:rPr>
          <w:rFonts w:eastAsiaTheme="minorHAnsi"/>
          <w:szCs w:val="22"/>
          <w:lang w:eastAsia="en-US"/>
        </w:rPr>
      </w:pPr>
      <w:r w:rsidRPr="00DA620D">
        <w:rPr>
          <w:rFonts w:eastAsiaTheme="minorHAnsi"/>
          <w:szCs w:val="22"/>
          <w:lang w:eastAsia="en-US"/>
        </w:rPr>
        <w:t xml:space="preserve">PPS </w:t>
      </w:r>
      <w:r w:rsidRPr="00DA620D">
        <w:rPr>
          <w:rFonts w:eastAsiaTheme="minorHAnsi"/>
          <w:szCs w:val="22"/>
          <w:lang w:eastAsia="en-US"/>
        </w:rPr>
        <w:tab/>
      </w:r>
      <w:r w:rsidRPr="00DA620D">
        <w:rPr>
          <w:rFonts w:eastAsiaTheme="minorHAnsi"/>
          <w:szCs w:val="22"/>
          <w:lang w:eastAsia="en-US"/>
        </w:rPr>
        <w:tab/>
      </w:r>
      <w:r w:rsidRPr="00DA620D">
        <w:rPr>
          <w:rFonts w:eastAsiaTheme="minorHAnsi"/>
          <w:szCs w:val="22"/>
          <w:lang w:eastAsia="en-US"/>
        </w:rPr>
        <w:tab/>
        <w:t>štandard kúpnej sily</w:t>
      </w:r>
    </w:p>
    <w:p w:rsidR="00DA620D" w:rsidRPr="00DA620D" w:rsidRDefault="00DA620D" w:rsidP="00DA620D">
      <w:pPr>
        <w:spacing w:after="200" w:line="276" w:lineRule="auto"/>
        <w:rPr>
          <w:rFonts w:eastAsiaTheme="minorHAnsi"/>
          <w:szCs w:val="22"/>
          <w:lang w:eastAsia="en-US"/>
        </w:rPr>
      </w:pPr>
      <w:r w:rsidRPr="00DA620D">
        <w:rPr>
          <w:rFonts w:eastAsiaTheme="minorHAnsi"/>
          <w:szCs w:val="22"/>
          <w:lang w:eastAsia="en-US"/>
        </w:rPr>
        <w:t>PPÚ</w:t>
      </w:r>
      <w:r w:rsidRPr="00DA620D">
        <w:rPr>
          <w:rFonts w:eastAsiaTheme="minorHAnsi"/>
          <w:szCs w:val="22"/>
          <w:lang w:eastAsia="en-US"/>
        </w:rPr>
        <w:tab/>
      </w:r>
      <w:r w:rsidRPr="00DA620D">
        <w:rPr>
          <w:rFonts w:eastAsiaTheme="minorHAnsi"/>
          <w:szCs w:val="22"/>
          <w:lang w:eastAsia="en-US"/>
        </w:rPr>
        <w:tab/>
      </w:r>
      <w:r w:rsidRPr="00DA620D">
        <w:rPr>
          <w:rFonts w:eastAsiaTheme="minorHAnsi"/>
          <w:szCs w:val="22"/>
          <w:lang w:eastAsia="en-US"/>
        </w:rPr>
        <w:tab/>
        <w:t>projekty pozemkových úprav</w:t>
      </w:r>
    </w:p>
    <w:p w:rsidR="00DA620D" w:rsidRPr="00DA620D" w:rsidRDefault="00DA620D" w:rsidP="00DA620D">
      <w:pPr>
        <w:spacing w:after="200" w:line="276" w:lineRule="auto"/>
        <w:rPr>
          <w:rFonts w:eastAsiaTheme="minorHAnsi"/>
          <w:szCs w:val="22"/>
          <w:lang w:eastAsia="en-US"/>
        </w:rPr>
      </w:pPr>
      <w:r w:rsidRPr="00DA620D">
        <w:rPr>
          <w:rFonts w:eastAsiaTheme="minorHAnsi"/>
          <w:szCs w:val="22"/>
          <w:lang w:eastAsia="en-US"/>
        </w:rPr>
        <w:t>PRV</w:t>
      </w:r>
      <w:r w:rsidRPr="00DA620D">
        <w:rPr>
          <w:rFonts w:eastAsiaTheme="minorHAnsi"/>
          <w:szCs w:val="22"/>
          <w:lang w:eastAsia="en-US"/>
        </w:rPr>
        <w:tab/>
      </w:r>
      <w:r w:rsidRPr="00DA620D">
        <w:rPr>
          <w:rFonts w:eastAsiaTheme="minorHAnsi"/>
          <w:szCs w:val="22"/>
          <w:lang w:eastAsia="en-US"/>
        </w:rPr>
        <w:tab/>
      </w:r>
      <w:r w:rsidRPr="00DA620D">
        <w:rPr>
          <w:rFonts w:eastAsiaTheme="minorHAnsi"/>
          <w:szCs w:val="22"/>
          <w:lang w:eastAsia="en-US"/>
        </w:rPr>
        <w:tab/>
        <w:t>Program rozvoja vidieka SR 2014 - 2020</w:t>
      </w:r>
    </w:p>
    <w:p w:rsidR="00DA620D" w:rsidRPr="00DA620D" w:rsidRDefault="00DA620D" w:rsidP="00DA620D">
      <w:pPr>
        <w:spacing w:after="200" w:line="276" w:lineRule="auto"/>
        <w:rPr>
          <w:rFonts w:eastAsiaTheme="minorHAnsi"/>
          <w:szCs w:val="22"/>
          <w:lang w:eastAsia="en-US"/>
        </w:rPr>
      </w:pPr>
      <w:r w:rsidRPr="00DA620D">
        <w:rPr>
          <w:rFonts w:eastAsiaTheme="minorHAnsi"/>
          <w:szCs w:val="22"/>
          <w:lang w:eastAsia="en-US"/>
        </w:rPr>
        <w:lastRenderedPageBreak/>
        <w:t xml:space="preserve">PS </w:t>
      </w:r>
      <w:r w:rsidRPr="00DA620D">
        <w:rPr>
          <w:rFonts w:eastAsiaTheme="minorHAnsi"/>
          <w:szCs w:val="22"/>
          <w:lang w:eastAsia="en-US"/>
        </w:rPr>
        <w:tab/>
      </w:r>
      <w:r w:rsidRPr="00DA620D">
        <w:rPr>
          <w:rFonts w:eastAsiaTheme="minorHAnsi"/>
          <w:szCs w:val="22"/>
          <w:lang w:eastAsia="en-US"/>
        </w:rPr>
        <w:tab/>
      </w:r>
      <w:r w:rsidRPr="00DA620D">
        <w:rPr>
          <w:rFonts w:eastAsiaTheme="minorHAnsi"/>
          <w:szCs w:val="22"/>
          <w:lang w:eastAsia="en-US"/>
        </w:rPr>
        <w:tab/>
        <w:t>pracovná skupina</w:t>
      </w:r>
    </w:p>
    <w:p w:rsidR="00DA620D" w:rsidRPr="00DA620D" w:rsidRDefault="00DA620D" w:rsidP="00DA620D">
      <w:pPr>
        <w:spacing w:after="200" w:line="276" w:lineRule="auto"/>
        <w:rPr>
          <w:rFonts w:eastAsiaTheme="minorHAnsi"/>
          <w:szCs w:val="22"/>
          <w:lang w:eastAsia="en-US"/>
        </w:rPr>
      </w:pPr>
      <w:r w:rsidRPr="00DA620D">
        <w:rPr>
          <w:rFonts w:eastAsiaTheme="minorHAnsi"/>
          <w:szCs w:val="22"/>
          <w:lang w:eastAsia="en-US"/>
        </w:rPr>
        <w:t>RO</w:t>
      </w:r>
      <w:r w:rsidRPr="00DA620D">
        <w:rPr>
          <w:rFonts w:eastAsiaTheme="minorHAnsi"/>
          <w:szCs w:val="22"/>
          <w:lang w:eastAsia="en-US"/>
        </w:rPr>
        <w:tab/>
      </w:r>
      <w:r w:rsidRPr="00DA620D">
        <w:rPr>
          <w:rFonts w:eastAsiaTheme="minorHAnsi"/>
          <w:szCs w:val="22"/>
          <w:lang w:eastAsia="en-US"/>
        </w:rPr>
        <w:tab/>
      </w:r>
      <w:r w:rsidRPr="00DA620D">
        <w:rPr>
          <w:rFonts w:eastAsiaTheme="minorHAnsi"/>
          <w:szCs w:val="22"/>
          <w:lang w:eastAsia="en-US"/>
        </w:rPr>
        <w:tab/>
        <w:t>riadiaci orgán</w:t>
      </w:r>
    </w:p>
    <w:p w:rsidR="00DA620D" w:rsidRPr="00DA620D" w:rsidRDefault="00DA620D" w:rsidP="00DA620D">
      <w:pPr>
        <w:spacing w:after="200" w:line="276" w:lineRule="auto"/>
        <w:rPr>
          <w:rFonts w:eastAsiaTheme="minorHAnsi"/>
          <w:szCs w:val="22"/>
          <w:lang w:eastAsia="en-US"/>
        </w:rPr>
      </w:pPr>
      <w:r w:rsidRPr="00DA620D">
        <w:rPr>
          <w:rFonts w:eastAsiaTheme="minorHAnsi"/>
          <w:szCs w:val="22"/>
          <w:lang w:eastAsia="en-US"/>
        </w:rPr>
        <w:t xml:space="preserve">RP PPA </w:t>
      </w:r>
      <w:r w:rsidRPr="00DA620D">
        <w:rPr>
          <w:rFonts w:eastAsiaTheme="minorHAnsi"/>
          <w:szCs w:val="22"/>
          <w:lang w:eastAsia="en-US"/>
        </w:rPr>
        <w:tab/>
      </w:r>
      <w:r w:rsidRPr="00DA620D">
        <w:rPr>
          <w:rFonts w:eastAsiaTheme="minorHAnsi"/>
          <w:szCs w:val="22"/>
          <w:lang w:eastAsia="en-US"/>
        </w:rPr>
        <w:tab/>
      </w:r>
      <w:r w:rsidRPr="00DA620D">
        <w:rPr>
          <w:rFonts w:eastAsiaTheme="minorHAnsi"/>
          <w:szCs w:val="22"/>
          <w:lang w:eastAsia="en-US"/>
        </w:rPr>
        <w:tab/>
        <w:t>regionálne pracovisko Pôdohospodárskej platobnej agentúry</w:t>
      </w:r>
    </w:p>
    <w:p w:rsidR="00DA620D" w:rsidRPr="00DA620D" w:rsidRDefault="00DA620D" w:rsidP="00DA620D">
      <w:pPr>
        <w:spacing w:after="200" w:line="276" w:lineRule="auto"/>
        <w:rPr>
          <w:rFonts w:eastAsiaTheme="minorHAnsi"/>
          <w:szCs w:val="22"/>
          <w:lang w:eastAsia="en-US"/>
        </w:rPr>
      </w:pPr>
      <w:r w:rsidRPr="00DA620D">
        <w:rPr>
          <w:rFonts w:eastAsiaTheme="minorHAnsi"/>
          <w:szCs w:val="22"/>
          <w:lang w:eastAsia="en-US"/>
        </w:rPr>
        <w:t xml:space="preserve">SAPARD </w:t>
      </w:r>
      <w:r w:rsidRPr="00DA620D">
        <w:rPr>
          <w:rFonts w:eastAsiaTheme="minorHAnsi"/>
          <w:szCs w:val="22"/>
          <w:lang w:eastAsia="en-US"/>
        </w:rPr>
        <w:tab/>
      </w:r>
      <w:r w:rsidRPr="00DA620D">
        <w:rPr>
          <w:rFonts w:eastAsiaTheme="minorHAnsi"/>
          <w:szCs w:val="22"/>
          <w:lang w:eastAsia="en-US"/>
        </w:rPr>
        <w:tab/>
        <w:t>Osobitný prístupový program pre poľnohospodárstvo a rozvoj vidieka</w:t>
      </w:r>
    </w:p>
    <w:p w:rsidR="00DA620D" w:rsidRPr="00DA620D" w:rsidRDefault="00DA620D" w:rsidP="00DA620D">
      <w:pPr>
        <w:spacing w:after="200" w:line="276" w:lineRule="auto"/>
        <w:rPr>
          <w:rFonts w:eastAsiaTheme="minorHAnsi"/>
          <w:szCs w:val="22"/>
          <w:lang w:eastAsia="en-US"/>
        </w:rPr>
      </w:pPr>
      <w:r w:rsidRPr="00DA620D">
        <w:rPr>
          <w:rFonts w:eastAsiaTheme="minorHAnsi"/>
          <w:szCs w:val="22"/>
          <w:lang w:eastAsia="en-US"/>
        </w:rPr>
        <w:t xml:space="preserve">SAPS </w:t>
      </w:r>
      <w:r w:rsidRPr="00DA620D">
        <w:rPr>
          <w:rFonts w:eastAsiaTheme="minorHAnsi"/>
          <w:szCs w:val="22"/>
          <w:lang w:eastAsia="en-US"/>
        </w:rPr>
        <w:tab/>
      </w:r>
      <w:r w:rsidRPr="00DA620D">
        <w:rPr>
          <w:rFonts w:eastAsiaTheme="minorHAnsi"/>
          <w:szCs w:val="22"/>
          <w:lang w:eastAsia="en-US"/>
        </w:rPr>
        <w:tab/>
      </w:r>
      <w:r w:rsidRPr="00DA620D">
        <w:rPr>
          <w:rFonts w:eastAsiaTheme="minorHAnsi"/>
          <w:szCs w:val="22"/>
          <w:lang w:eastAsia="en-US"/>
        </w:rPr>
        <w:tab/>
        <w:t>jednotná platba na plochu</w:t>
      </w:r>
    </w:p>
    <w:p w:rsidR="00DA620D" w:rsidRPr="00DA620D" w:rsidRDefault="00DA620D" w:rsidP="00DA620D">
      <w:pPr>
        <w:spacing w:after="200" w:line="276" w:lineRule="auto"/>
        <w:rPr>
          <w:rFonts w:eastAsiaTheme="minorHAnsi"/>
          <w:szCs w:val="22"/>
          <w:lang w:eastAsia="en-US"/>
        </w:rPr>
      </w:pPr>
      <w:r w:rsidRPr="00DA620D">
        <w:rPr>
          <w:rFonts w:eastAsiaTheme="minorHAnsi"/>
          <w:szCs w:val="22"/>
          <w:lang w:eastAsia="en-US"/>
        </w:rPr>
        <w:t>SAV</w:t>
      </w:r>
      <w:r w:rsidRPr="00DA620D">
        <w:rPr>
          <w:rFonts w:eastAsiaTheme="minorHAnsi"/>
          <w:szCs w:val="22"/>
          <w:lang w:eastAsia="en-US"/>
        </w:rPr>
        <w:tab/>
      </w:r>
      <w:r w:rsidRPr="00DA620D">
        <w:rPr>
          <w:rFonts w:eastAsiaTheme="minorHAnsi"/>
          <w:szCs w:val="22"/>
          <w:lang w:eastAsia="en-US"/>
        </w:rPr>
        <w:tab/>
      </w:r>
      <w:r w:rsidRPr="00DA620D">
        <w:rPr>
          <w:rFonts w:eastAsiaTheme="minorHAnsi"/>
          <w:szCs w:val="22"/>
          <w:lang w:eastAsia="en-US"/>
        </w:rPr>
        <w:tab/>
        <w:t>Slovenská akadémia vied</w:t>
      </w:r>
    </w:p>
    <w:p w:rsidR="00DA620D" w:rsidRPr="00DA620D" w:rsidRDefault="00DA620D" w:rsidP="00DA620D">
      <w:pPr>
        <w:spacing w:after="200" w:line="276" w:lineRule="auto"/>
        <w:rPr>
          <w:rFonts w:eastAsiaTheme="minorHAnsi"/>
          <w:szCs w:val="22"/>
          <w:lang w:eastAsia="en-US"/>
        </w:rPr>
      </w:pPr>
      <w:r w:rsidRPr="00DA620D">
        <w:rPr>
          <w:rFonts w:eastAsiaTheme="minorHAnsi"/>
          <w:szCs w:val="22"/>
          <w:lang w:eastAsia="en-US"/>
        </w:rPr>
        <w:t xml:space="preserve">SAŽP </w:t>
      </w:r>
      <w:r w:rsidRPr="00DA620D">
        <w:rPr>
          <w:rFonts w:eastAsiaTheme="minorHAnsi"/>
          <w:szCs w:val="22"/>
          <w:lang w:eastAsia="en-US"/>
        </w:rPr>
        <w:tab/>
      </w:r>
      <w:r w:rsidRPr="00DA620D">
        <w:rPr>
          <w:rFonts w:eastAsiaTheme="minorHAnsi"/>
          <w:szCs w:val="22"/>
          <w:lang w:eastAsia="en-US"/>
        </w:rPr>
        <w:tab/>
      </w:r>
      <w:r w:rsidRPr="00DA620D">
        <w:rPr>
          <w:rFonts w:eastAsiaTheme="minorHAnsi"/>
          <w:szCs w:val="22"/>
          <w:lang w:eastAsia="en-US"/>
        </w:rPr>
        <w:tab/>
        <w:t>Slovenská agentúra životného prostredia</w:t>
      </w:r>
    </w:p>
    <w:p w:rsidR="00DA620D" w:rsidRPr="00DA620D" w:rsidRDefault="00DA620D" w:rsidP="00DA620D">
      <w:pPr>
        <w:spacing w:after="200" w:line="276" w:lineRule="auto"/>
        <w:rPr>
          <w:rFonts w:eastAsiaTheme="minorHAnsi"/>
          <w:szCs w:val="22"/>
          <w:lang w:eastAsia="en-US"/>
        </w:rPr>
      </w:pPr>
      <w:r w:rsidRPr="00DA620D">
        <w:rPr>
          <w:rFonts w:eastAsiaTheme="minorHAnsi"/>
          <w:szCs w:val="22"/>
          <w:lang w:eastAsia="en-US"/>
        </w:rPr>
        <w:t>SEA</w:t>
      </w:r>
      <w:r w:rsidRPr="00DA620D">
        <w:rPr>
          <w:rFonts w:eastAsiaTheme="minorHAnsi"/>
          <w:szCs w:val="22"/>
          <w:lang w:eastAsia="en-US"/>
        </w:rPr>
        <w:tab/>
      </w:r>
      <w:r w:rsidRPr="00DA620D">
        <w:rPr>
          <w:rFonts w:eastAsiaTheme="minorHAnsi"/>
          <w:szCs w:val="22"/>
          <w:lang w:eastAsia="en-US"/>
        </w:rPr>
        <w:tab/>
      </w:r>
      <w:r w:rsidRPr="00DA620D">
        <w:rPr>
          <w:rFonts w:eastAsiaTheme="minorHAnsi"/>
          <w:szCs w:val="22"/>
          <w:lang w:eastAsia="en-US"/>
        </w:rPr>
        <w:tab/>
        <w:t>strategické environmentálne hodnotenie</w:t>
      </w:r>
    </w:p>
    <w:p w:rsidR="00DA620D" w:rsidRPr="00DA620D" w:rsidRDefault="00DA620D" w:rsidP="00DA620D">
      <w:pPr>
        <w:spacing w:after="200" w:line="276" w:lineRule="auto"/>
        <w:rPr>
          <w:rFonts w:eastAsiaTheme="minorHAnsi"/>
          <w:szCs w:val="22"/>
          <w:lang w:eastAsia="en-US"/>
        </w:rPr>
      </w:pPr>
      <w:r w:rsidRPr="00DA620D">
        <w:rPr>
          <w:rFonts w:eastAsiaTheme="minorHAnsi"/>
          <w:szCs w:val="22"/>
          <w:lang w:eastAsia="en-US"/>
        </w:rPr>
        <w:t xml:space="preserve">SHMÚ </w:t>
      </w:r>
      <w:r w:rsidRPr="00DA620D">
        <w:rPr>
          <w:rFonts w:eastAsiaTheme="minorHAnsi"/>
          <w:szCs w:val="22"/>
          <w:lang w:eastAsia="en-US"/>
        </w:rPr>
        <w:tab/>
      </w:r>
      <w:r w:rsidRPr="00DA620D">
        <w:rPr>
          <w:rFonts w:eastAsiaTheme="minorHAnsi"/>
          <w:szCs w:val="22"/>
          <w:lang w:eastAsia="en-US"/>
        </w:rPr>
        <w:tab/>
      </w:r>
      <w:r w:rsidRPr="00DA620D">
        <w:rPr>
          <w:rFonts w:eastAsiaTheme="minorHAnsi"/>
          <w:szCs w:val="22"/>
          <w:lang w:eastAsia="en-US"/>
        </w:rPr>
        <w:tab/>
        <w:t>Slovenský hydrometeorologický ústav</w:t>
      </w:r>
    </w:p>
    <w:p w:rsidR="00DA620D" w:rsidRPr="00DA620D" w:rsidRDefault="00DA620D" w:rsidP="00DA620D">
      <w:pPr>
        <w:spacing w:after="200" w:line="276" w:lineRule="auto"/>
        <w:rPr>
          <w:rFonts w:eastAsiaTheme="minorHAnsi"/>
          <w:szCs w:val="22"/>
          <w:lang w:eastAsia="en-US"/>
        </w:rPr>
      </w:pPr>
      <w:r w:rsidRPr="00DA620D">
        <w:rPr>
          <w:rFonts w:eastAsiaTheme="minorHAnsi"/>
          <w:szCs w:val="22"/>
          <w:lang w:eastAsia="en-US"/>
        </w:rPr>
        <w:t>SHR</w:t>
      </w:r>
      <w:r w:rsidRPr="00DA620D">
        <w:rPr>
          <w:rFonts w:eastAsiaTheme="minorHAnsi"/>
          <w:szCs w:val="22"/>
          <w:lang w:eastAsia="en-US"/>
        </w:rPr>
        <w:tab/>
      </w:r>
      <w:r w:rsidRPr="00DA620D">
        <w:rPr>
          <w:rFonts w:eastAsiaTheme="minorHAnsi"/>
          <w:szCs w:val="22"/>
          <w:lang w:eastAsia="en-US"/>
        </w:rPr>
        <w:tab/>
      </w:r>
      <w:r w:rsidRPr="00DA620D">
        <w:rPr>
          <w:rFonts w:eastAsiaTheme="minorHAnsi"/>
          <w:szCs w:val="22"/>
          <w:lang w:eastAsia="en-US"/>
        </w:rPr>
        <w:tab/>
        <w:t>samostatne hospodáriaci roľník</w:t>
      </w:r>
    </w:p>
    <w:p w:rsidR="00DA620D" w:rsidRPr="00DA620D" w:rsidRDefault="00DA620D" w:rsidP="00DA620D">
      <w:pPr>
        <w:spacing w:after="200" w:line="276" w:lineRule="auto"/>
        <w:rPr>
          <w:rFonts w:eastAsiaTheme="minorHAnsi"/>
          <w:szCs w:val="22"/>
          <w:lang w:eastAsia="en-US"/>
        </w:rPr>
      </w:pPr>
      <w:r w:rsidRPr="00DA620D">
        <w:rPr>
          <w:rFonts w:eastAsiaTheme="minorHAnsi"/>
          <w:szCs w:val="22"/>
          <w:lang w:eastAsia="en-US"/>
        </w:rPr>
        <w:t xml:space="preserve">SOP </w:t>
      </w:r>
      <w:r w:rsidRPr="00DA620D">
        <w:rPr>
          <w:rFonts w:eastAsiaTheme="minorHAnsi"/>
          <w:szCs w:val="22"/>
          <w:lang w:eastAsia="en-US"/>
        </w:rPr>
        <w:tab/>
      </w:r>
      <w:r w:rsidRPr="00DA620D">
        <w:rPr>
          <w:rFonts w:eastAsiaTheme="minorHAnsi"/>
          <w:szCs w:val="22"/>
          <w:lang w:eastAsia="en-US"/>
        </w:rPr>
        <w:tab/>
      </w:r>
      <w:r w:rsidRPr="00DA620D">
        <w:rPr>
          <w:rFonts w:eastAsiaTheme="minorHAnsi"/>
          <w:szCs w:val="22"/>
          <w:lang w:eastAsia="en-US"/>
        </w:rPr>
        <w:tab/>
        <w:t>sektorový operačný program</w:t>
      </w:r>
    </w:p>
    <w:p w:rsidR="00DA620D" w:rsidRPr="00DA620D" w:rsidRDefault="00DA620D" w:rsidP="00DA620D">
      <w:pPr>
        <w:spacing w:after="200" w:line="276" w:lineRule="auto"/>
        <w:rPr>
          <w:rFonts w:eastAsiaTheme="minorHAnsi"/>
          <w:szCs w:val="22"/>
          <w:lang w:eastAsia="en-US"/>
        </w:rPr>
      </w:pPr>
      <w:r w:rsidRPr="00DA620D">
        <w:rPr>
          <w:rFonts w:eastAsiaTheme="minorHAnsi"/>
          <w:szCs w:val="22"/>
          <w:lang w:eastAsia="en-US"/>
        </w:rPr>
        <w:t>SOVS</w:t>
      </w:r>
      <w:r w:rsidRPr="00DA620D">
        <w:rPr>
          <w:rFonts w:eastAsiaTheme="minorHAnsi"/>
          <w:szCs w:val="22"/>
          <w:lang w:eastAsia="en-US"/>
        </w:rPr>
        <w:tab/>
      </w:r>
      <w:r w:rsidRPr="00DA620D">
        <w:rPr>
          <w:rFonts w:eastAsiaTheme="minorHAnsi"/>
          <w:szCs w:val="22"/>
          <w:lang w:eastAsia="en-US"/>
        </w:rPr>
        <w:tab/>
      </w:r>
      <w:r w:rsidRPr="00DA620D">
        <w:rPr>
          <w:rFonts w:eastAsiaTheme="minorHAnsi"/>
          <w:szCs w:val="22"/>
          <w:lang w:eastAsia="en-US"/>
        </w:rPr>
        <w:tab/>
        <w:t>Spoločnosť pre ochranu vtáctva na Slovensku</w:t>
      </w:r>
    </w:p>
    <w:p w:rsidR="00DA620D" w:rsidRPr="00DA620D" w:rsidRDefault="00DA620D" w:rsidP="00DA620D">
      <w:pPr>
        <w:spacing w:after="200" w:line="276" w:lineRule="auto"/>
        <w:rPr>
          <w:rFonts w:eastAsiaTheme="minorHAnsi"/>
          <w:szCs w:val="22"/>
          <w:lang w:eastAsia="en-US"/>
        </w:rPr>
      </w:pPr>
      <w:r w:rsidRPr="00DA620D">
        <w:rPr>
          <w:rFonts w:eastAsiaTheme="minorHAnsi"/>
          <w:szCs w:val="22"/>
          <w:lang w:eastAsia="en-US"/>
        </w:rPr>
        <w:t xml:space="preserve">SPP </w:t>
      </w:r>
      <w:r w:rsidRPr="00DA620D">
        <w:rPr>
          <w:rFonts w:eastAsiaTheme="minorHAnsi"/>
          <w:szCs w:val="22"/>
          <w:lang w:eastAsia="en-US"/>
        </w:rPr>
        <w:tab/>
      </w:r>
      <w:r w:rsidRPr="00DA620D">
        <w:rPr>
          <w:rFonts w:eastAsiaTheme="minorHAnsi"/>
          <w:szCs w:val="22"/>
          <w:lang w:eastAsia="en-US"/>
        </w:rPr>
        <w:tab/>
      </w:r>
      <w:r w:rsidRPr="00DA620D">
        <w:rPr>
          <w:rFonts w:eastAsiaTheme="minorHAnsi"/>
          <w:szCs w:val="22"/>
          <w:lang w:eastAsia="en-US"/>
        </w:rPr>
        <w:tab/>
        <w:t>spoločná poľnohospodárska politika</w:t>
      </w:r>
    </w:p>
    <w:p w:rsidR="00DA620D" w:rsidRPr="00DA620D" w:rsidRDefault="00DA620D" w:rsidP="00DA620D">
      <w:pPr>
        <w:spacing w:after="200" w:line="276" w:lineRule="auto"/>
        <w:rPr>
          <w:rFonts w:eastAsiaTheme="minorHAnsi"/>
          <w:szCs w:val="22"/>
          <w:lang w:eastAsia="en-US"/>
        </w:rPr>
      </w:pPr>
      <w:r w:rsidRPr="00DA620D">
        <w:rPr>
          <w:rFonts w:eastAsiaTheme="minorHAnsi"/>
          <w:szCs w:val="22"/>
          <w:lang w:eastAsia="en-US"/>
        </w:rPr>
        <w:t xml:space="preserve">SPPK </w:t>
      </w:r>
      <w:r w:rsidRPr="00DA620D">
        <w:rPr>
          <w:rFonts w:eastAsiaTheme="minorHAnsi"/>
          <w:szCs w:val="22"/>
          <w:lang w:eastAsia="en-US"/>
        </w:rPr>
        <w:tab/>
      </w:r>
      <w:r w:rsidRPr="00DA620D">
        <w:rPr>
          <w:rFonts w:eastAsiaTheme="minorHAnsi"/>
          <w:szCs w:val="22"/>
          <w:lang w:eastAsia="en-US"/>
        </w:rPr>
        <w:tab/>
      </w:r>
      <w:r w:rsidRPr="00DA620D">
        <w:rPr>
          <w:rFonts w:eastAsiaTheme="minorHAnsi"/>
          <w:szCs w:val="22"/>
          <w:lang w:eastAsia="en-US"/>
        </w:rPr>
        <w:tab/>
        <w:t>Slovenská poľnohospodárska a potravinárska komora</w:t>
      </w:r>
    </w:p>
    <w:p w:rsidR="00DA620D" w:rsidRPr="00DA620D" w:rsidRDefault="00DA620D" w:rsidP="00DA620D">
      <w:pPr>
        <w:spacing w:after="200" w:line="276" w:lineRule="auto"/>
        <w:rPr>
          <w:rFonts w:eastAsiaTheme="minorHAnsi"/>
          <w:szCs w:val="22"/>
          <w:lang w:eastAsia="en-US"/>
        </w:rPr>
      </w:pPr>
      <w:r w:rsidRPr="00DA620D">
        <w:rPr>
          <w:rFonts w:eastAsiaTheme="minorHAnsi"/>
          <w:szCs w:val="22"/>
          <w:lang w:eastAsia="en-US"/>
        </w:rPr>
        <w:t xml:space="preserve">SRMH </w:t>
      </w:r>
      <w:r w:rsidRPr="00DA620D">
        <w:rPr>
          <w:rFonts w:eastAsiaTheme="minorHAnsi"/>
          <w:szCs w:val="22"/>
          <w:lang w:eastAsia="en-US"/>
        </w:rPr>
        <w:tab/>
      </w:r>
      <w:r w:rsidRPr="00DA620D">
        <w:rPr>
          <w:rFonts w:eastAsiaTheme="minorHAnsi"/>
          <w:szCs w:val="22"/>
          <w:lang w:eastAsia="en-US"/>
        </w:rPr>
        <w:tab/>
      </w:r>
      <w:r w:rsidRPr="00DA620D">
        <w:rPr>
          <w:rFonts w:eastAsiaTheme="minorHAnsi"/>
          <w:szCs w:val="22"/>
          <w:lang w:eastAsia="en-US"/>
        </w:rPr>
        <w:tab/>
        <w:t>spoločný rámec pre monitorovanie a hodnotenie</w:t>
      </w:r>
    </w:p>
    <w:p w:rsidR="00DA620D" w:rsidRPr="00DA620D" w:rsidRDefault="00DA620D" w:rsidP="00DA620D">
      <w:pPr>
        <w:spacing w:after="200" w:line="276" w:lineRule="auto"/>
        <w:rPr>
          <w:rFonts w:eastAsiaTheme="minorHAnsi"/>
          <w:szCs w:val="22"/>
          <w:lang w:eastAsia="en-US"/>
        </w:rPr>
      </w:pPr>
      <w:r w:rsidRPr="00DA620D">
        <w:rPr>
          <w:rFonts w:eastAsiaTheme="minorHAnsi"/>
          <w:szCs w:val="22"/>
          <w:lang w:eastAsia="en-US"/>
        </w:rPr>
        <w:t xml:space="preserve">SSR </w:t>
      </w:r>
      <w:r w:rsidRPr="00DA620D">
        <w:rPr>
          <w:rFonts w:eastAsiaTheme="minorHAnsi"/>
          <w:szCs w:val="22"/>
          <w:lang w:eastAsia="en-US"/>
        </w:rPr>
        <w:tab/>
      </w:r>
      <w:r w:rsidRPr="00DA620D">
        <w:rPr>
          <w:rFonts w:eastAsiaTheme="minorHAnsi"/>
          <w:szCs w:val="22"/>
          <w:lang w:eastAsia="en-US"/>
        </w:rPr>
        <w:tab/>
      </w:r>
      <w:r w:rsidRPr="00DA620D">
        <w:rPr>
          <w:rFonts w:eastAsiaTheme="minorHAnsi"/>
          <w:szCs w:val="22"/>
          <w:lang w:eastAsia="en-US"/>
        </w:rPr>
        <w:tab/>
        <w:t>spoločný strategický rámec</w:t>
      </w:r>
    </w:p>
    <w:p w:rsidR="00DA620D" w:rsidRPr="00DA620D" w:rsidRDefault="00DA620D" w:rsidP="00DA620D">
      <w:pPr>
        <w:spacing w:after="200" w:line="276" w:lineRule="auto"/>
        <w:rPr>
          <w:rFonts w:eastAsiaTheme="minorHAnsi"/>
          <w:szCs w:val="22"/>
          <w:lang w:eastAsia="en-US"/>
        </w:rPr>
      </w:pPr>
      <w:r w:rsidRPr="00DA620D">
        <w:rPr>
          <w:rFonts w:eastAsiaTheme="minorHAnsi"/>
          <w:szCs w:val="22"/>
          <w:lang w:eastAsia="en-US"/>
        </w:rPr>
        <w:t>SWOT</w:t>
      </w:r>
      <w:r w:rsidRPr="00DA620D">
        <w:rPr>
          <w:rFonts w:eastAsiaTheme="minorHAnsi"/>
          <w:szCs w:val="22"/>
          <w:lang w:eastAsia="en-US"/>
        </w:rPr>
        <w:tab/>
      </w:r>
      <w:r w:rsidRPr="00DA620D">
        <w:rPr>
          <w:rFonts w:eastAsiaTheme="minorHAnsi"/>
          <w:szCs w:val="22"/>
          <w:lang w:eastAsia="en-US"/>
        </w:rPr>
        <w:tab/>
        <w:t xml:space="preserve"> </w:t>
      </w:r>
      <w:r w:rsidRPr="00DA620D">
        <w:rPr>
          <w:rFonts w:eastAsiaTheme="minorHAnsi"/>
          <w:szCs w:val="22"/>
          <w:lang w:eastAsia="en-US"/>
        </w:rPr>
        <w:tab/>
        <w:t>analýza slabých, silných stránok, príležitostí a ohrození</w:t>
      </w:r>
    </w:p>
    <w:p w:rsidR="00DA620D" w:rsidRPr="00DA620D" w:rsidRDefault="00DA620D" w:rsidP="00DA620D">
      <w:pPr>
        <w:spacing w:after="200" w:line="276" w:lineRule="auto"/>
        <w:rPr>
          <w:rFonts w:eastAsiaTheme="minorHAnsi"/>
          <w:szCs w:val="22"/>
          <w:lang w:eastAsia="en-US"/>
        </w:rPr>
      </w:pPr>
      <w:r w:rsidRPr="00DA620D">
        <w:rPr>
          <w:rFonts w:eastAsiaTheme="minorHAnsi"/>
          <w:szCs w:val="22"/>
          <w:lang w:eastAsia="en-US"/>
        </w:rPr>
        <w:t>ŠÚ SR</w:t>
      </w:r>
      <w:r w:rsidRPr="00DA620D">
        <w:rPr>
          <w:rFonts w:eastAsiaTheme="minorHAnsi"/>
          <w:szCs w:val="22"/>
          <w:lang w:eastAsia="en-US"/>
        </w:rPr>
        <w:tab/>
      </w:r>
      <w:r w:rsidRPr="00DA620D">
        <w:rPr>
          <w:rFonts w:eastAsiaTheme="minorHAnsi"/>
          <w:szCs w:val="22"/>
          <w:lang w:eastAsia="en-US"/>
        </w:rPr>
        <w:tab/>
      </w:r>
      <w:r w:rsidRPr="00DA620D">
        <w:rPr>
          <w:rFonts w:eastAsiaTheme="minorHAnsi"/>
          <w:szCs w:val="22"/>
          <w:lang w:eastAsia="en-US"/>
        </w:rPr>
        <w:tab/>
        <w:t>Štatistický úrad</w:t>
      </w:r>
      <w:r w:rsidR="003A251F">
        <w:rPr>
          <w:rFonts w:eastAsiaTheme="minorHAnsi"/>
          <w:szCs w:val="22"/>
          <w:lang w:eastAsia="en-US"/>
        </w:rPr>
        <w:t xml:space="preserve"> Slovenskej republiky</w:t>
      </w:r>
    </w:p>
    <w:p w:rsidR="00DA620D" w:rsidRPr="00DA620D" w:rsidRDefault="00DA620D" w:rsidP="00DA620D">
      <w:pPr>
        <w:spacing w:after="200" w:line="276" w:lineRule="auto"/>
        <w:rPr>
          <w:rFonts w:eastAsiaTheme="minorHAnsi"/>
          <w:szCs w:val="22"/>
          <w:lang w:eastAsia="en-US"/>
        </w:rPr>
      </w:pPr>
      <w:r w:rsidRPr="00DA620D">
        <w:rPr>
          <w:rFonts w:eastAsiaTheme="minorHAnsi"/>
          <w:szCs w:val="22"/>
          <w:lang w:eastAsia="en-US"/>
        </w:rPr>
        <w:t>ŠVPS SR</w:t>
      </w:r>
      <w:r w:rsidRPr="00DA620D">
        <w:rPr>
          <w:rFonts w:eastAsiaTheme="minorHAnsi"/>
          <w:szCs w:val="22"/>
          <w:lang w:eastAsia="en-US"/>
        </w:rPr>
        <w:tab/>
      </w:r>
      <w:r w:rsidRPr="00DA620D">
        <w:rPr>
          <w:rFonts w:eastAsiaTheme="minorHAnsi"/>
          <w:szCs w:val="22"/>
          <w:lang w:eastAsia="en-US"/>
        </w:rPr>
        <w:tab/>
        <w:t>Štátna veterinárna a potravinová správa Slovenskej republiky</w:t>
      </w:r>
    </w:p>
    <w:p w:rsidR="00DA620D" w:rsidRPr="00DA620D" w:rsidRDefault="00DA620D" w:rsidP="00DA620D">
      <w:pPr>
        <w:spacing w:after="200" w:line="276" w:lineRule="auto"/>
        <w:rPr>
          <w:rFonts w:eastAsiaTheme="minorHAnsi"/>
          <w:szCs w:val="22"/>
          <w:lang w:eastAsia="en-US"/>
        </w:rPr>
      </w:pPr>
      <w:r w:rsidRPr="00DA620D">
        <w:rPr>
          <w:rFonts w:eastAsiaTheme="minorHAnsi"/>
          <w:szCs w:val="22"/>
          <w:lang w:eastAsia="en-US"/>
        </w:rPr>
        <w:t xml:space="preserve">TA </w:t>
      </w:r>
      <w:r w:rsidRPr="00DA620D">
        <w:rPr>
          <w:rFonts w:eastAsiaTheme="minorHAnsi"/>
          <w:szCs w:val="22"/>
          <w:lang w:eastAsia="en-US"/>
        </w:rPr>
        <w:tab/>
      </w:r>
      <w:r w:rsidRPr="00DA620D">
        <w:rPr>
          <w:rFonts w:eastAsiaTheme="minorHAnsi"/>
          <w:szCs w:val="22"/>
          <w:lang w:eastAsia="en-US"/>
        </w:rPr>
        <w:tab/>
      </w:r>
      <w:r w:rsidRPr="00DA620D">
        <w:rPr>
          <w:rFonts w:eastAsiaTheme="minorHAnsi"/>
          <w:szCs w:val="22"/>
          <w:lang w:eastAsia="en-US"/>
        </w:rPr>
        <w:tab/>
        <w:t>technická asistencia</w:t>
      </w:r>
    </w:p>
    <w:p w:rsidR="00DA620D" w:rsidRPr="00DA620D" w:rsidRDefault="00DA620D" w:rsidP="00DA620D">
      <w:pPr>
        <w:spacing w:after="200" w:line="276" w:lineRule="auto"/>
        <w:rPr>
          <w:rFonts w:eastAsiaTheme="minorHAnsi"/>
          <w:szCs w:val="22"/>
          <w:lang w:eastAsia="en-US"/>
        </w:rPr>
      </w:pPr>
      <w:r w:rsidRPr="00DA620D">
        <w:rPr>
          <w:rFonts w:eastAsiaTheme="minorHAnsi"/>
          <w:szCs w:val="22"/>
          <w:lang w:eastAsia="en-US"/>
        </w:rPr>
        <w:t>TC</w:t>
      </w:r>
      <w:r w:rsidRPr="00DA620D">
        <w:rPr>
          <w:rFonts w:eastAsiaTheme="minorHAnsi"/>
          <w:szCs w:val="22"/>
          <w:lang w:eastAsia="en-US"/>
        </w:rPr>
        <w:tab/>
      </w:r>
      <w:r w:rsidRPr="00DA620D">
        <w:rPr>
          <w:rFonts w:eastAsiaTheme="minorHAnsi"/>
          <w:szCs w:val="22"/>
          <w:lang w:eastAsia="en-US"/>
        </w:rPr>
        <w:tab/>
      </w:r>
      <w:r w:rsidRPr="00DA620D">
        <w:rPr>
          <w:rFonts w:eastAsiaTheme="minorHAnsi"/>
          <w:szCs w:val="22"/>
          <w:lang w:eastAsia="en-US"/>
        </w:rPr>
        <w:tab/>
        <w:t>tematický cieľ</w:t>
      </w:r>
    </w:p>
    <w:p w:rsidR="00DA620D" w:rsidRPr="00DA620D" w:rsidRDefault="00DA620D" w:rsidP="00DA620D">
      <w:pPr>
        <w:spacing w:after="200" w:line="276" w:lineRule="auto"/>
        <w:rPr>
          <w:rFonts w:eastAsiaTheme="minorHAnsi"/>
          <w:szCs w:val="22"/>
          <w:lang w:eastAsia="en-US"/>
        </w:rPr>
      </w:pPr>
      <w:r w:rsidRPr="00DA620D">
        <w:rPr>
          <w:rFonts w:eastAsiaTheme="minorHAnsi"/>
          <w:szCs w:val="22"/>
          <w:lang w:eastAsia="en-US"/>
        </w:rPr>
        <w:t>THFK</w:t>
      </w:r>
      <w:r w:rsidRPr="00DA620D">
        <w:rPr>
          <w:rFonts w:eastAsiaTheme="minorHAnsi"/>
          <w:szCs w:val="22"/>
          <w:lang w:eastAsia="en-US"/>
        </w:rPr>
        <w:tab/>
      </w:r>
      <w:r w:rsidRPr="00DA620D">
        <w:rPr>
          <w:rFonts w:eastAsiaTheme="minorHAnsi"/>
          <w:szCs w:val="22"/>
          <w:lang w:eastAsia="en-US"/>
        </w:rPr>
        <w:tab/>
      </w:r>
      <w:r w:rsidRPr="00DA620D">
        <w:rPr>
          <w:rFonts w:eastAsiaTheme="minorHAnsi"/>
          <w:szCs w:val="22"/>
          <w:lang w:eastAsia="en-US"/>
        </w:rPr>
        <w:tab/>
        <w:t>tvorba hrubého fixného kapitálu v poľnohospodárstve</w:t>
      </w:r>
    </w:p>
    <w:p w:rsidR="00DA620D" w:rsidRPr="00DA620D" w:rsidRDefault="00DA620D" w:rsidP="00DA620D">
      <w:pPr>
        <w:spacing w:after="200" w:line="276" w:lineRule="auto"/>
        <w:rPr>
          <w:rFonts w:eastAsiaTheme="minorHAnsi"/>
          <w:szCs w:val="22"/>
          <w:lang w:eastAsia="en-US"/>
        </w:rPr>
      </w:pPr>
      <w:r w:rsidRPr="00DA620D">
        <w:rPr>
          <w:rFonts w:eastAsiaTheme="minorHAnsi"/>
          <w:szCs w:val="22"/>
          <w:lang w:eastAsia="en-US"/>
        </w:rPr>
        <w:t xml:space="preserve">THP </w:t>
      </w:r>
      <w:r w:rsidRPr="00DA620D">
        <w:rPr>
          <w:rFonts w:eastAsiaTheme="minorHAnsi"/>
          <w:szCs w:val="22"/>
          <w:lang w:eastAsia="en-US"/>
        </w:rPr>
        <w:tab/>
      </w:r>
      <w:r w:rsidRPr="00DA620D">
        <w:rPr>
          <w:rFonts w:eastAsiaTheme="minorHAnsi"/>
          <w:szCs w:val="22"/>
          <w:lang w:eastAsia="en-US"/>
        </w:rPr>
        <w:tab/>
      </w:r>
      <w:r w:rsidRPr="00DA620D">
        <w:rPr>
          <w:rFonts w:eastAsiaTheme="minorHAnsi"/>
          <w:szCs w:val="22"/>
          <w:lang w:eastAsia="en-US"/>
        </w:rPr>
        <w:tab/>
        <w:t>technicko-hospodárski pracovníci</w:t>
      </w:r>
    </w:p>
    <w:p w:rsidR="00DA620D" w:rsidRPr="00DA620D" w:rsidRDefault="00DA620D" w:rsidP="00DA620D">
      <w:pPr>
        <w:spacing w:after="200" w:line="276" w:lineRule="auto"/>
        <w:rPr>
          <w:rFonts w:eastAsiaTheme="minorHAnsi"/>
          <w:szCs w:val="22"/>
          <w:lang w:eastAsia="en-US"/>
        </w:rPr>
      </w:pPr>
      <w:r w:rsidRPr="00DA620D">
        <w:rPr>
          <w:rFonts w:eastAsiaTheme="minorHAnsi"/>
          <w:szCs w:val="22"/>
          <w:lang w:eastAsia="en-US"/>
        </w:rPr>
        <w:t>TP</w:t>
      </w:r>
      <w:r w:rsidRPr="00DA620D">
        <w:rPr>
          <w:rFonts w:eastAsiaTheme="minorHAnsi"/>
          <w:szCs w:val="22"/>
          <w:lang w:eastAsia="en-US"/>
        </w:rPr>
        <w:tab/>
      </w:r>
      <w:r w:rsidRPr="00DA620D">
        <w:rPr>
          <w:rFonts w:eastAsiaTheme="minorHAnsi"/>
          <w:szCs w:val="22"/>
          <w:lang w:eastAsia="en-US"/>
        </w:rPr>
        <w:tab/>
      </w:r>
      <w:r w:rsidRPr="00DA620D">
        <w:rPr>
          <w:rFonts w:eastAsiaTheme="minorHAnsi"/>
          <w:szCs w:val="22"/>
          <w:lang w:eastAsia="en-US"/>
        </w:rPr>
        <w:tab/>
        <w:t>trávnatý porast</w:t>
      </w:r>
    </w:p>
    <w:p w:rsidR="00DA620D" w:rsidRPr="00DA620D" w:rsidRDefault="00DA620D" w:rsidP="00DA620D">
      <w:pPr>
        <w:spacing w:after="200" w:line="276" w:lineRule="auto"/>
        <w:rPr>
          <w:rFonts w:eastAsiaTheme="minorHAnsi"/>
          <w:szCs w:val="22"/>
          <w:lang w:eastAsia="en-US"/>
        </w:rPr>
      </w:pPr>
      <w:r w:rsidRPr="00DA620D">
        <w:rPr>
          <w:rFonts w:eastAsiaTheme="minorHAnsi"/>
          <w:szCs w:val="22"/>
          <w:lang w:eastAsia="en-US"/>
        </w:rPr>
        <w:t xml:space="preserve">TSG </w:t>
      </w:r>
      <w:r w:rsidRPr="00DA620D">
        <w:rPr>
          <w:rFonts w:eastAsiaTheme="minorHAnsi"/>
          <w:szCs w:val="22"/>
          <w:lang w:eastAsia="en-US"/>
        </w:rPr>
        <w:tab/>
      </w:r>
      <w:r w:rsidRPr="00DA620D">
        <w:rPr>
          <w:rFonts w:eastAsiaTheme="minorHAnsi"/>
          <w:szCs w:val="22"/>
          <w:lang w:eastAsia="en-US"/>
        </w:rPr>
        <w:tab/>
      </w:r>
      <w:r w:rsidRPr="00DA620D">
        <w:rPr>
          <w:rFonts w:eastAsiaTheme="minorHAnsi"/>
          <w:szCs w:val="22"/>
          <w:lang w:eastAsia="en-US"/>
        </w:rPr>
        <w:tab/>
        <w:t>tradičná zaručená špecialita</w:t>
      </w:r>
    </w:p>
    <w:p w:rsidR="00DA620D" w:rsidRPr="00DA620D" w:rsidRDefault="00DA620D" w:rsidP="00DA620D">
      <w:pPr>
        <w:spacing w:after="200" w:line="276" w:lineRule="auto"/>
        <w:rPr>
          <w:rFonts w:eastAsiaTheme="minorHAnsi"/>
          <w:szCs w:val="22"/>
          <w:lang w:eastAsia="en-US"/>
        </w:rPr>
      </w:pPr>
      <w:r w:rsidRPr="00DA620D">
        <w:rPr>
          <w:rFonts w:eastAsiaTheme="minorHAnsi"/>
          <w:szCs w:val="22"/>
          <w:lang w:eastAsia="en-US"/>
        </w:rPr>
        <w:t>TTP</w:t>
      </w:r>
      <w:r w:rsidRPr="00DA620D">
        <w:rPr>
          <w:rFonts w:eastAsiaTheme="minorHAnsi"/>
          <w:szCs w:val="22"/>
          <w:lang w:eastAsia="en-US"/>
        </w:rPr>
        <w:tab/>
      </w:r>
      <w:r w:rsidRPr="00DA620D">
        <w:rPr>
          <w:rFonts w:eastAsiaTheme="minorHAnsi"/>
          <w:szCs w:val="22"/>
          <w:lang w:eastAsia="en-US"/>
        </w:rPr>
        <w:tab/>
      </w:r>
      <w:r w:rsidRPr="00DA620D">
        <w:rPr>
          <w:rFonts w:eastAsiaTheme="minorHAnsi"/>
          <w:szCs w:val="22"/>
          <w:lang w:eastAsia="en-US"/>
        </w:rPr>
        <w:tab/>
        <w:t>trvalé trávnaté porasty</w:t>
      </w:r>
    </w:p>
    <w:p w:rsidR="00DA620D" w:rsidRPr="00DA620D" w:rsidRDefault="00DA620D" w:rsidP="00DA620D">
      <w:pPr>
        <w:spacing w:after="200" w:line="276" w:lineRule="auto"/>
        <w:rPr>
          <w:rFonts w:eastAsiaTheme="minorHAnsi"/>
          <w:szCs w:val="22"/>
          <w:lang w:eastAsia="en-US"/>
        </w:rPr>
      </w:pPr>
      <w:r w:rsidRPr="00DA620D">
        <w:rPr>
          <w:rFonts w:eastAsiaTheme="minorHAnsi"/>
          <w:szCs w:val="22"/>
          <w:lang w:eastAsia="en-US"/>
        </w:rPr>
        <w:t xml:space="preserve">TUR </w:t>
      </w:r>
      <w:r w:rsidRPr="00DA620D">
        <w:rPr>
          <w:rFonts w:eastAsiaTheme="minorHAnsi"/>
          <w:szCs w:val="22"/>
          <w:lang w:eastAsia="en-US"/>
        </w:rPr>
        <w:tab/>
      </w:r>
      <w:r w:rsidRPr="00DA620D">
        <w:rPr>
          <w:rFonts w:eastAsiaTheme="minorHAnsi"/>
          <w:szCs w:val="22"/>
          <w:lang w:eastAsia="en-US"/>
        </w:rPr>
        <w:tab/>
      </w:r>
      <w:r w:rsidRPr="00DA620D">
        <w:rPr>
          <w:rFonts w:eastAsiaTheme="minorHAnsi"/>
          <w:szCs w:val="22"/>
          <w:lang w:eastAsia="en-US"/>
        </w:rPr>
        <w:tab/>
        <w:t>trvalo udržateľný rozvoj</w:t>
      </w:r>
    </w:p>
    <w:p w:rsidR="00DA620D" w:rsidRPr="00DA620D" w:rsidRDefault="00DA620D" w:rsidP="00DA620D">
      <w:pPr>
        <w:spacing w:after="200" w:line="276" w:lineRule="auto"/>
        <w:rPr>
          <w:rFonts w:eastAsiaTheme="minorHAnsi"/>
          <w:szCs w:val="22"/>
          <w:lang w:eastAsia="en-US"/>
        </w:rPr>
      </w:pPr>
      <w:r w:rsidRPr="00DA620D">
        <w:rPr>
          <w:rFonts w:eastAsiaTheme="minorHAnsi"/>
          <w:szCs w:val="22"/>
          <w:lang w:eastAsia="en-US"/>
        </w:rPr>
        <w:lastRenderedPageBreak/>
        <w:t xml:space="preserve">UAA </w:t>
      </w:r>
      <w:r w:rsidRPr="00DA620D">
        <w:rPr>
          <w:rFonts w:eastAsiaTheme="minorHAnsi"/>
          <w:szCs w:val="22"/>
          <w:lang w:eastAsia="en-US"/>
        </w:rPr>
        <w:tab/>
      </w:r>
      <w:r w:rsidRPr="00DA620D">
        <w:rPr>
          <w:rFonts w:eastAsiaTheme="minorHAnsi"/>
          <w:szCs w:val="22"/>
          <w:lang w:eastAsia="en-US"/>
        </w:rPr>
        <w:tab/>
      </w:r>
      <w:r w:rsidRPr="00DA620D">
        <w:rPr>
          <w:rFonts w:eastAsiaTheme="minorHAnsi"/>
          <w:szCs w:val="22"/>
          <w:lang w:eastAsia="en-US"/>
        </w:rPr>
        <w:tab/>
        <w:t>využitá poľnohospodárska pôda</w:t>
      </w:r>
    </w:p>
    <w:p w:rsidR="00DA620D" w:rsidRPr="00DA620D" w:rsidRDefault="00DA620D" w:rsidP="00DA620D">
      <w:pPr>
        <w:spacing w:after="200" w:line="276" w:lineRule="auto"/>
        <w:rPr>
          <w:rFonts w:eastAsiaTheme="minorHAnsi"/>
          <w:szCs w:val="22"/>
          <w:lang w:eastAsia="en-US"/>
        </w:rPr>
      </w:pPr>
      <w:r w:rsidRPr="00DA620D">
        <w:rPr>
          <w:rFonts w:eastAsiaTheme="minorHAnsi"/>
          <w:szCs w:val="22"/>
          <w:lang w:eastAsia="en-US"/>
        </w:rPr>
        <w:t xml:space="preserve">ÚEV </w:t>
      </w:r>
      <w:r w:rsidRPr="00DA620D">
        <w:rPr>
          <w:rFonts w:eastAsiaTheme="minorHAnsi"/>
          <w:szCs w:val="22"/>
          <w:lang w:eastAsia="en-US"/>
        </w:rPr>
        <w:tab/>
      </w:r>
      <w:r w:rsidRPr="00DA620D">
        <w:rPr>
          <w:rFonts w:eastAsiaTheme="minorHAnsi"/>
          <w:szCs w:val="22"/>
          <w:lang w:eastAsia="en-US"/>
        </w:rPr>
        <w:tab/>
      </w:r>
      <w:r w:rsidRPr="00DA620D">
        <w:rPr>
          <w:rFonts w:eastAsiaTheme="minorHAnsi"/>
          <w:szCs w:val="22"/>
          <w:lang w:eastAsia="en-US"/>
        </w:rPr>
        <w:tab/>
        <w:t xml:space="preserve">územie európskeho významu </w:t>
      </w:r>
    </w:p>
    <w:p w:rsidR="00DA620D" w:rsidRPr="00DA620D" w:rsidRDefault="00DA620D" w:rsidP="00DA620D">
      <w:pPr>
        <w:spacing w:after="200" w:line="276" w:lineRule="auto"/>
        <w:rPr>
          <w:rFonts w:eastAsiaTheme="minorHAnsi"/>
          <w:szCs w:val="22"/>
          <w:lang w:eastAsia="en-US"/>
        </w:rPr>
      </w:pPr>
      <w:r w:rsidRPr="00DA620D">
        <w:rPr>
          <w:rFonts w:eastAsiaTheme="minorHAnsi"/>
          <w:szCs w:val="22"/>
          <w:lang w:eastAsia="en-US"/>
        </w:rPr>
        <w:t xml:space="preserve">ÚGKK SR </w:t>
      </w:r>
      <w:r w:rsidRPr="00DA620D">
        <w:rPr>
          <w:rFonts w:eastAsiaTheme="minorHAnsi"/>
          <w:szCs w:val="22"/>
          <w:lang w:eastAsia="en-US"/>
        </w:rPr>
        <w:tab/>
      </w:r>
      <w:r w:rsidRPr="00DA620D">
        <w:rPr>
          <w:rFonts w:eastAsiaTheme="minorHAnsi"/>
          <w:szCs w:val="22"/>
          <w:lang w:eastAsia="en-US"/>
        </w:rPr>
        <w:tab/>
      </w:r>
      <w:hyperlink r:id="rId100" w:history="1">
        <w:r w:rsidRPr="00DA620D">
          <w:rPr>
            <w:rFonts w:eastAsiaTheme="minorHAnsi"/>
            <w:szCs w:val="22"/>
            <w:lang w:eastAsia="en-US"/>
          </w:rPr>
          <w:t>Úrad geodézie, kartografie a katastra Slovenskej republiky</w:t>
        </w:r>
      </w:hyperlink>
    </w:p>
    <w:p w:rsidR="00DA620D" w:rsidRPr="00DA620D" w:rsidRDefault="00DA620D" w:rsidP="00DA620D">
      <w:pPr>
        <w:spacing w:after="200" w:line="276" w:lineRule="auto"/>
        <w:rPr>
          <w:rFonts w:eastAsiaTheme="minorHAnsi"/>
          <w:szCs w:val="22"/>
          <w:lang w:eastAsia="en-US"/>
        </w:rPr>
      </w:pPr>
      <w:r w:rsidRPr="00DA620D">
        <w:rPr>
          <w:rFonts w:eastAsiaTheme="minorHAnsi"/>
          <w:szCs w:val="22"/>
          <w:lang w:eastAsia="en-US"/>
        </w:rPr>
        <w:t>ÚKSÚP</w:t>
      </w:r>
      <w:r w:rsidRPr="00DA620D">
        <w:rPr>
          <w:rFonts w:eastAsiaTheme="minorHAnsi"/>
          <w:szCs w:val="22"/>
          <w:lang w:eastAsia="en-US"/>
        </w:rPr>
        <w:tab/>
      </w:r>
      <w:r w:rsidRPr="00DA620D">
        <w:rPr>
          <w:rFonts w:eastAsiaTheme="minorHAnsi"/>
          <w:szCs w:val="22"/>
          <w:lang w:eastAsia="en-US"/>
        </w:rPr>
        <w:tab/>
      </w:r>
      <w:r w:rsidRPr="00DA620D">
        <w:rPr>
          <w:rFonts w:eastAsiaTheme="minorHAnsi"/>
          <w:szCs w:val="22"/>
          <w:lang w:eastAsia="en-US"/>
        </w:rPr>
        <w:tab/>
        <w:t>Ústredný kontrolný a skúšobný ústav poľnohospodársky</w:t>
      </w:r>
    </w:p>
    <w:p w:rsidR="00DA620D" w:rsidRPr="00DA620D" w:rsidRDefault="00DA620D" w:rsidP="00DA620D">
      <w:pPr>
        <w:spacing w:after="200" w:line="276" w:lineRule="auto"/>
        <w:rPr>
          <w:rFonts w:eastAsiaTheme="minorHAnsi"/>
          <w:szCs w:val="22"/>
          <w:lang w:eastAsia="en-US"/>
        </w:rPr>
      </w:pPr>
      <w:r w:rsidRPr="00DA620D">
        <w:rPr>
          <w:rFonts w:eastAsiaTheme="minorHAnsi"/>
          <w:szCs w:val="22"/>
          <w:lang w:eastAsia="en-US"/>
        </w:rPr>
        <w:t>UoZ</w:t>
      </w:r>
      <w:r w:rsidRPr="00DA620D">
        <w:rPr>
          <w:rFonts w:eastAsiaTheme="minorHAnsi"/>
          <w:szCs w:val="22"/>
          <w:lang w:eastAsia="en-US"/>
        </w:rPr>
        <w:tab/>
      </w:r>
      <w:r w:rsidRPr="00DA620D">
        <w:rPr>
          <w:rFonts w:eastAsiaTheme="minorHAnsi"/>
          <w:szCs w:val="22"/>
          <w:lang w:eastAsia="en-US"/>
        </w:rPr>
        <w:tab/>
      </w:r>
      <w:r w:rsidRPr="00DA620D">
        <w:rPr>
          <w:rFonts w:eastAsiaTheme="minorHAnsi"/>
          <w:szCs w:val="22"/>
          <w:lang w:eastAsia="en-US"/>
        </w:rPr>
        <w:tab/>
        <w:t>uchádzač o zamestnanie</w:t>
      </w:r>
    </w:p>
    <w:p w:rsidR="00DA620D" w:rsidRPr="00DA620D" w:rsidRDefault="00DA620D" w:rsidP="00DA620D">
      <w:pPr>
        <w:spacing w:after="200" w:line="276" w:lineRule="auto"/>
        <w:rPr>
          <w:rFonts w:eastAsiaTheme="minorHAnsi"/>
          <w:szCs w:val="22"/>
          <w:lang w:eastAsia="en-US"/>
        </w:rPr>
      </w:pPr>
      <w:r w:rsidRPr="00DA620D">
        <w:rPr>
          <w:rFonts w:eastAsiaTheme="minorHAnsi"/>
          <w:szCs w:val="22"/>
          <w:lang w:eastAsia="en-US"/>
        </w:rPr>
        <w:t>VCR</w:t>
      </w:r>
      <w:r w:rsidRPr="00DA620D">
        <w:rPr>
          <w:rFonts w:eastAsiaTheme="minorHAnsi"/>
          <w:szCs w:val="22"/>
          <w:lang w:eastAsia="en-US"/>
        </w:rPr>
        <w:tab/>
      </w:r>
      <w:r w:rsidRPr="00DA620D">
        <w:rPr>
          <w:rFonts w:eastAsiaTheme="minorHAnsi"/>
          <w:szCs w:val="22"/>
          <w:lang w:eastAsia="en-US"/>
        </w:rPr>
        <w:tab/>
      </w:r>
      <w:r w:rsidRPr="00DA620D">
        <w:rPr>
          <w:rFonts w:eastAsiaTheme="minorHAnsi"/>
          <w:szCs w:val="22"/>
          <w:lang w:eastAsia="en-US"/>
        </w:rPr>
        <w:tab/>
        <w:t>vidiecky cestovný ruch</w:t>
      </w:r>
    </w:p>
    <w:p w:rsidR="00DA620D" w:rsidRPr="00DA620D" w:rsidRDefault="00DA620D" w:rsidP="00DA620D">
      <w:pPr>
        <w:spacing w:after="200" w:line="276" w:lineRule="auto"/>
        <w:rPr>
          <w:rFonts w:eastAsiaTheme="minorHAnsi"/>
          <w:szCs w:val="22"/>
          <w:lang w:eastAsia="en-US"/>
        </w:rPr>
      </w:pPr>
      <w:r w:rsidRPr="00DA620D">
        <w:rPr>
          <w:rFonts w:eastAsiaTheme="minorHAnsi"/>
          <w:szCs w:val="22"/>
          <w:lang w:eastAsia="en-US"/>
        </w:rPr>
        <w:t xml:space="preserve">VDJ </w:t>
      </w:r>
      <w:r w:rsidRPr="00DA620D">
        <w:rPr>
          <w:rFonts w:eastAsiaTheme="minorHAnsi"/>
          <w:szCs w:val="22"/>
          <w:lang w:eastAsia="en-US"/>
        </w:rPr>
        <w:tab/>
      </w:r>
      <w:r w:rsidRPr="00DA620D">
        <w:rPr>
          <w:rFonts w:eastAsiaTheme="minorHAnsi"/>
          <w:szCs w:val="22"/>
          <w:lang w:eastAsia="en-US"/>
        </w:rPr>
        <w:tab/>
      </w:r>
      <w:r w:rsidRPr="00DA620D">
        <w:rPr>
          <w:rFonts w:eastAsiaTheme="minorHAnsi"/>
          <w:szCs w:val="22"/>
          <w:lang w:eastAsia="en-US"/>
        </w:rPr>
        <w:tab/>
        <w:t>veľká dobytčia jednotka</w:t>
      </w:r>
    </w:p>
    <w:p w:rsidR="00DA620D" w:rsidRPr="00DA620D" w:rsidRDefault="00DA620D" w:rsidP="00DA620D">
      <w:pPr>
        <w:spacing w:after="200" w:line="276" w:lineRule="auto"/>
        <w:rPr>
          <w:rFonts w:eastAsiaTheme="minorHAnsi"/>
          <w:szCs w:val="22"/>
          <w:lang w:eastAsia="en-US"/>
        </w:rPr>
      </w:pPr>
      <w:r w:rsidRPr="00DA620D">
        <w:rPr>
          <w:rFonts w:eastAsiaTheme="minorHAnsi"/>
          <w:szCs w:val="22"/>
          <w:lang w:eastAsia="en-US"/>
        </w:rPr>
        <w:t>VÚC</w:t>
      </w:r>
      <w:r w:rsidRPr="00DA620D">
        <w:rPr>
          <w:rFonts w:eastAsiaTheme="minorHAnsi"/>
          <w:szCs w:val="22"/>
          <w:lang w:eastAsia="en-US"/>
        </w:rPr>
        <w:tab/>
      </w:r>
      <w:r w:rsidRPr="00DA620D">
        <w:rPr>
          <w:rFonts w:eastAsiaTheme="minorHAnsi"/>
          <w:szCs w:val="22"/>
          <w:lang w:eastAsia="en-US"/>
        </w:rPr>
        <w:tab/>
      </w:r>
      <w:r w:rsidRPr="00DA620D">
        <w:rPr>
          <w:rFonts w:eastAsiaTheme="minorHAnsi"/>
          <w:szCs w:val="22"/>
          <w:lang w:eastAsia="en-US"/>
        </w:rPr>
        <w:tab/>
        <w:t>vyšší územný celok</w:t>
      </w:r>
    </w:p>
    <w:p w:rsidR="00DA620D" w:rsidRPr="00DA620D" w:rsidRDefault="00DA620D" w:rsidP="00DA620D">
      <w:pPr>
        <w:spacing w:after="200" w:line="276" w:lineRule="auto"/>
        <w:rPr>
          <w:rFonts w:eastAsiaTheme="minorHAnsi"/>
          <w:szCs w:val="22"/>
          <w:lang w:eastAsia="en-US"/>
        </w:rPr>
      </w:pPr>
      <w:r w:rsidRPr="00DA620D">
        <w:rPr>
          <w:rFonts w:eastAsiaTheme="minorHAnsi"/>
          <w:szCs w:val="22"/>
          <w:lang w:eastAsia="en-US"/>
        </w:rPr>
        <w:t>VÚEPP</w:t>
      </w:r>
      <w:r w:rsidRPr="00DA620D">
        <w:rPr>
          <w:rFonts w:eastAsiaTheme="minorHAnsi"/>
          <w:szCs w:val="22"/>
          <w:lang w:eastAsia="en-US"/>
        </w:rPr>
        <w:tab/>
      </w:r>
      <w:r w:rsidRPr="00DA620D">
        <w:rPr>
          <w:rFonts w:eastAsiaTheme="minorHAnsi"/>
          <w:szCs w:val="22"/>
          <w:lang w:eastAsia="en-US"/>
        </w:rPr>
        <w:tab/>
      </w:r>
      <w:r w:rsidRPr="00DA620D">
        <w:rPr>
          <w:rFonts w:eastAsiaTheme="minorHAnsi"/>
          <w:szCs w:val="22"/>
          <w:lang w:eastAsia="en-US"/>
        </w:rPr>
        <w:tab/>
        <w:t>Výskumný ústav ekonomiky poľnohospodárstva a potravinárstva</w:t>
      </w:r>
    </w:p>
    <w:p w:rsidR="00DA620D" w:rsidRPr="00DA620D" w:rsidRDefault="00DA620D" w:rsidP="00DA620D">
      <w:pPr>
        <w:spacing w:after="200" w:line="276" w:lineRule="auto"/>
        <w:rPr>
          <w:rFonts w:eastAsiaTheme="minorHAnsi"/>
          <w:szCs w:val="22"/>
          <w:lang w:eastAsia="en-US"/>
        </w:rPr>
      </w:pPr>
      <w:r w:rsidRPr="00DA620D">
        <w:rPr>
          <w:rFonts w:eastAsiaTheme="minorHAnsi"/>
          <w:szCs w:val="22"/>
          <w:lang w:eastAsia="en-US"/>
        </w:rPr>
        <w:t>VÚPOP</w:t>
      </w:r>
      <w:r w:rsidRPr="00DA620D">
        <w:rPr>
          <w:rFonts w:eastAsiaTheme="minorHAnsi"/>
          <w:szCs w:val="22"/>
          <w:lang w:eastAsia="en-US"/>
        </w:rPr>
        <w:tab/>
      </w:r>
      <w:r w:rsidRPr="00DA620D">
        <w:rPr>
          <w:rFonts w:eastAsiaTheme="minorHAnsi"/>
          <w:szCs w:val="22"/>
          <w:lang w:eastAsia="en-US"/>
        </w:rPr>
        <w:tab/>
      </w:r>
      <w:r w:rsidRPr="00DA620D">
        <w:rPr>
          <w:rFonts w:eastAsiaTheme="minorHAnsi"/>
          <w:szCs w:val="22"/>
          <w:lang w:eastAsia="en-US"/>
        </w:rPr>
        <w:tab/>
        <w:t>Výskumný ústav pôdoznalectva a ochrany pôdy</w:t>
      </w:r>
    </w:p>
    <w:p w:rsidR="00DA620D" w:rsidRPr="00DA620D" w:rsidRDefault="00DA620D" w:rsidP="00DA620D">
      <w:pPr>
        <w:spacing w:after="200" w:line="276" w:lineRule="auto"/>
        <w:rPr>
          <w:rFonts w:eastAsiaTheme="minorHAnsi"/>
          <w:szCs w:val="22"/>
          <w:lang w:eastAsia="en-US"/>
        </w:rPr>
      </w:pPr>
      <w:r w:rsidRPr="00DA620D">
        <w:rPr>
          <w:rFonts w:eastAsiaTheme="minorHAnsi"/>
          <w:szCs w:val="22"/>
          <w:lang w:eastAsia="en-US"/>
        </w:rPr>
        <w:t>VÚVH</w:t>
      </w:r>
      <w:r w:rsidRPr="00DA620D">
        <w:rPr>
          <w:rFonts w:eastAsiaTheme="minorHAnsi"/>
          <w:szCs w:val="22"/>
          <w:lang w:eastAsia="en-US"/>
        </w:rPr>
        <w:tab/>
      </w:r>
      <w:r w:rsidRPr="00DA620D">
        <w:rPr>
          <w:rFonts w:eastAsiaTheme="minorHAnsi"/>
          <w:szCs w:val="22"/>
          <w:lang w:eastAsia="en-US"/>
        </w:rPr>
        <w:tab/>
      </w:r>
      <w:r w:rsidRPr="00DA620D">
        <w:rPr>
          <w:rFonts w:eastAsiaTheme="minorHAnsi"/>
          <w:szCs w:val="22"/>
          <w:lang w:eastAsia="en-US"/>
        </w:rPr>
        <w:tab/>
      </w:r>
      <w:hyperlink r:id="rId101" w:history="1">
        <w:r w:rsidRPr="00DA620D">
          <w:rPr>
            <w:rFonts w:eastAsiaTheme="minorHAnsi"/>
            <w:szCs w:val="22"/>
            <w:lang w:eastAsia="en-US"/>
          </w:rPr>
          <w:t xml:space="preserve">Výskumný ústav vodného hospodárstva </w:t>
        </w:r>
      </w:hyperlink>
    </w:p>
    <w:p w:rsidR="00DA620D" w:rsidRPr="00DA620D" w:rsidRDefault="00DA620D" w:rsidP="00DA620D">
      <w:pPr>
        <w:spacing w:after="200" w:line="276" w:lineRule="auto"/>
        <w:rPr>
          <w:rFonts w:eastAsiaTheme="minorHAnsi"/>
          <w:szCs w:val="22"/>
          <w:lang w:eastAsia="en-US"/>
        </w:rPr>
      </w:pPr>
      <w:r w:rsidRPr="00DA620D">
        <w:rPr>
          <w:rFonts w:eastAsiaTheme="minorHAnsi"/>
          <w:szCs w:val="22"/>
          <w:lang w:eastAsia="en-US"/>
        </w:rPr>
        <w:t>VZPS</w:t>
      </w:r>
      <w:r w:rsidRPr="00DA620D">
        <w:rPr>
          <w:rFonts w:eastAsiaTheme="minorHAnsi"/>
          <w:szCs w:val="22"/>
          <w:lang w:eastAsia="en-US"/>
        </w:rPr>
        <w:tab/>
      </w:r>
      <w:r w:rsidRPr="00DA620D">
        <w:rPr>
          <w:rFonts w:eastAsiaTheme="minorHAnsi"/>
          <w:szCs w:val="22"/>
          <w:lang w:eastAsia="en-US"/>
        </w:rPr>
        <w:tab/>
      </w:r>
      <w:r w:rsidRPr="00DA620D">
        <w:rPr>
          <w:rFonts w:eastAsiaTheme="minorHAnsi"/>
          <w:szCs w:val="22"/>
          <w:lang w:eastAsia="en-US"/>
        </w:rPr>
        <w:tab/>
        <w:t>výberové zisťovanie pracovných síl</w:t>
      </w:r>
    </w:p>
    <w:p w:rsidR="00DA620D" w:rsidRPr="00DA620D" w:rsidRDefault="00DA620D" w:rsidP="00DA620D">
      <w:pPr>
        <w:spacing w:after="200" w:line="276" w:lineRule="auto"/>
        <w:rPr>
          <w:rFonts w:eastAsiaTheme="minorHAnsi"/>
          <w:szCs w:val="22"/>
          <w:lang w:eastAsia="en-US"/>
        </w:rPr>
      </w:pPr>
      <w:r w:rsidRPr="00DA620D">
        <w:rPr>
          <w:rFonts w:eastAsiaTheme="minorHAnsi"/>
          <w:szCs w:val="22"/>
          <w:lang w:eastAsia="en-US"/>
        </w:rPr>
        <w:t>WFD</w:t>
      </w:r>
      <w:r w:rsidRPr="00DA620D">
        <w:rPr>
          <w:rFonts w:eastAsiaTheme="minorHAnsi"/>
          <w:szCs w:val="22"/>
          <w:lang w:eastAsia="en-US"/>
        </w:rPr>
        <w:tab/>
      </w:r>
      <w:r w:rsidRPr="00DA620D">
        <w:rPr>
          <w:rFonts w:eastAsiaTheme="minorHAnsi"/>
          <w:szCs w:val="22"/>
          <w:lang w:eastAsia="en-US"/>
        </w:rPr>
        <w:tab/>
      </w:r>
      <w:r w:rsidRPr="00DA620D">
        <w:rPr>
          <w:rFonts w:eastAsiaTheme="minorHAnsi"/>
          <w:szCs w:val="22"/>
          <w:lang w:eastAsia="en-US"/>
        </w:rPr>
        <w:tab/>
        <w:t>rámcová smernica o vodách</w:t>
      </w:r>
    </w:p>
    <w:p w:rsidR="00DA620D" w:rsidRPr="00DA620D" w:rsidRDefault="00DA620D" w:rsidP="00DA620D">
      <w:pPr>
        <w:spacing w:after="200" w:line="276" w:lineRule="auto"/>
        <w:rPr>
          <w:rFonts w:eastAsiaTheme="minorHAnsi"/>
          <w:szCs w:val="22"/>
          <w:lang w:eastAsia="en-US"/>
        </w:rPr>
      </w:pPr>
      <w:r w:rsidRPr="00DA620D">
        <w:rPr>
          <w:rFonts w:eastAsiaTheme="minorHAnsi"/>
          <w:szCs w:val="22"/>
          <w:lang w:eastAsia="en-US"/>
        </w:rPr>
        <w:t>WTO</w:t>
      </w:r>
      <w:r w:rsidRPr="00DA620D">
        <w:rPr>
          <w:rFonts w:eastAsiaTheme="minorHAnsi"/>
          <w:szCs w:val="22"/>
          <w:lang w:eastAsia="en-US"/>
        </w:rPr>
        <w:tab/>
      </w:r>
      <w:r w:rsidRPr="00DA620D">
        <w:rPr>
          <w:rFonts w:eastAsiaTheme="minorHAnsi"/>
          <w:szCs w:val="22"/>
          <w:lang w:eastAsia="en-US"/>
        </w:rPr>
        <w:tab/>
      </w:r>
      <w:r w:rsidRPr="00DA620D">
        <w:rPr>
          <w:rFonts w:eastAsiaTheme="minorHAnsi"/>
          <w:szCs w:val="22"/>
          <w:lang w:eastAsia="en-US"/>
        </w:rPr>
        <w:tab/>
        <w:t>Svetová obchodná organizácia</w:t>
      </w:r>
    </w:p>
    <w:p w:rsidR="00DA620D" w:rsidRPr="00DA620D" w:rsidRDefault="00DA620D" w:rsidP="00DA620D">
      <w:pPr>
        <w:spacing w:after="200" w:line="276" w:lineRule="auto"/>
        <w:rPr>
          <w:rFonts w:eastAsiaTheme="minorHAnsi"/>
          <w:szCs w:val="22"/>
          <w:lang w:eastAsia="en-US"/>
        </w:rPr>
      </w:pPr>
      <w:r w:rsidRPr="00DA620D">
        <w:rPr>
          <w:rFonts w:eastAsiaTheme="minorHAnsi"/>
          <w:szCs w:val="22"/>
          <w:lang w:eastAsia="en-US"/>
        </w:rPr>
        <w:t>ZFEÚ</w:t>
      </w:r>
      <w:r w:rsidRPr="00DA620D">
        <w:rPr>
          <w:rFonts w:eastAsiaTheme="minorHAnsi"/>
          <w:szCs w:val="22"/>
          <w:lang w:eastAsia="en-US"/>
        </w:rPr>
        <w:tab/>
      </w:r>
      <w:r w:rsidRPr="00DA620D">
        <w:rPr>
          <w:rFonts w:eastAsiaTheme="minorHAnsi"/>
          <w:szCs w:val="22"/>
          <w:lang w:eastAsia="en-US"/>
        </w:rPr>
        <w:tab/>
      </w:r>
      <w:r w:rsidRPr="00DA620D">
        <w:rPr>
          <w:rFonts w:eastAsiaTheme="minorHAnsi"/>
          <w:szCs w:val="22"/>
          <w:lang w:eastAsia="en-US"/>
        </w:rPr>
        <w:tab/>
        <w:t>zmluva o fungovaní EÚ</w:t>
      </w:r>
    </w:p>
    <w:p w:rsidR="00DA620D" w:rsidRPr="00DA620D" w:rsidRDefault="00DA620D" w:rsidP="00DA620D">
      <w:pPr>
        <w:spacing w:after="200" w:line="276" w:lineRule="auto"/>
        <w:rPr>
          <w:rFonts w:eastAsiaTheme="minorHAnsi"/>
          <w:szCs w:val="22"/>
          <w:lang w:eastAsia="en-US"/>
        </w:rPr>
      </w:pPr>
      <w:r w:rsidRPr="00DA620D">
        <w:rPr>
          <w:rFonts w:eastAsiaTheme="minorHAnsi"/>
          <w:szCs w:val="22"/>
          <w:lang w:eastAsia="en-US"/>
        </w:rPr>
        <w:t xml:space="preserve">ZPH </w:t>
      </w:r>
      <w:r w:rsidRPr="00DA620D">
        <w:rPr>
          <w:rFonts w:eastAsiaTheme="minorHAnsi"/>
          <w:szCs w:val="22"/>
          <w:lang w:eastAsia="en-US"/>
        </w:rPr>
        <w:tab/>
      </w:r>
      <w:r w:rsidRPr="00DA620D">
        <w:rPr>
          <w:rFonts w:eastAsiaTheme="minorHAnsi"/>
          <w:szCs w:val="22"/>
          <w:lang w:eastAsia="en-US"/>
        </w:rPr>
        <w:tab/>
      </w:r>
      <w:r w:rsidRPr="00DA620D">
        <w:rPr>
          <w:rFonts w:eastAsiaTheme="minorHAnsi"/>
          <w:szCs w:val="22"/>
          <w:lang w:eastAsia="en-US"/>
        </w:rPr>
        <w:tab/>
        <w:t xml:space="preserve">zákonné požiadavky hospodárenia </w:t>
      </w:r>
    </w:p>
    <w:p w:rsidR="00DA620D" w:rsidRPr="00DA620D" w:rsidRDefault="00DA620D" w:rsidP="00DA620D">
      <w:pPr>
        <w:spacing w:after="200" w:line="276" w:lineRule="auto"/>
        <w:rPr>
          <w:rFonts w:eastAsiaTheme="minorHAnsi"/>
          <w:szCs w:val="22"/>
          <w:lang w:eastAsia="en-US"/>
        </w:rPr>
      </w:pPr>
      <w:r w:rsidRPr="00DA620D">
        <w:rPr>
          <w:rFonts w:eastAsiaTheme="minorHAnsi"/>
          <w:szCs w:val="22"/>
          <w:lang w:eastAsia="en-US"/>
        </w:rPr>
        <w:t xml:space="preserve">ŽoNFP </w:t>
      </w:r>
      <w:r w:rsidRPr="00DA620D">
        <w:rPr>
          <w:rFonts w:eastAsiaTheme="minorHAnsi"/>
          <w:szCs w:val="22"/>
          <w:lang w:eastAsia="en-US"/>
        </w:rPr>
        <w:tab/>
      </w:r>
      <w:r w:rsidRPr="00DA620D">
        <w:rPr>
          <w:rFonts w:eastAsiaTheme="minorHAnsi"/>
          <w:szCs w:val="22"/>
          <w:lang w:eastAsia="en-US"/>
        </w:rPr>
        <w:tab/>
      </w:r>
      <w:r w:rsidRPr="00DA620D">
        <w:rPr>
          <w:rFonts w:eastAsiaTheme="minorHAnsi"/>
          <w:szCs w:val="22"/>
          <w:lang w:eastAsia="en-US"/>
        </w:rPr>
        <w:tab/>
        <w:t>žiadosť o nenávratný finančný prostriedok</w:t>
      </w:r>
    </w:p>
    <w:p w:rsidR="00DA620D" w:rsidRPr="00DA620D" w:rsidRDefault="00DA620D" w:rsidP="00DA620D">
      <w:pPr>
        <w:spacing w:after="200" w:line="276" w:lineRule="auto"/>
        <w:rPr>
          <w:rFonts w:eastAsiaTheme="minorHAnsi"/>
          <w:szCs w:val="22"/>
          <w:lang w:eastAsia="en-US"/>
        </w:rPr>
      </w:pPr>
      <w:r w:rsidRPr="00DA620D">
        <w:rPr>
          <w:rFonts w:eastAsiaTheme="minorHAnsi"/>
          <w:szCs w:val="22"/>
          <w:lang w:eastAsia="en-US"/>
        </w:rPr>
        <w:t>ŽoP</w:t>
      </w:r>
      <w:r w:rsidRPr="00DA620D">
        <w:rPr>
          <w:rFonts w:eastAsiaTheme="minorHAnsi"/>
          <w:szCs w:val="22"/>
          <w:lang w:eastAsia="en-US"/>
        </w:rPr>
        <w:tab/>
      </w:r>
      <w:r w:rsidRPr="00DA620D">
        <w:rPr>
          <w:rFonts w:eastAsiaTheme="minorHAnsi"/>
          <w:szCs w:val="22"/>
          <w:lang w:eastAsia="en-US"/>
        </w:rPr>
        <w:tab/>
      </w:r>
      <w:r w:rsidRPr="00DA620D">
        <w:rPr>
          <w:rFonts w:eastAsiaTheme="minorHAnsi"/>
          <w:szCs w:val="22"/>
          <w:lang w:eastAsia="en-US"/>
        </w:rPr>
        <w:tab/>
        <w:t>žiadosť o platbu</w:t>
      </w:r>
    </w:p>
    <w:p w:rsidR="00DA620D" w:rsidRPr="00DA620D" w:rsidRDefault="00DA620D" w:rsidP="00DA620D">
      <w:pPr>
        <w:spacing w:after="200" w:line="276" w:lineRule="auto"/>
        <w:rPr>
          <w:rFonts w:eastAsiaTheme="minorHAnsi"/>
          <w:szCs w:val="22"/>
          <w:lang w:eastAsia="en-US"/>
        </w:rPr>
      </w:pPr>
      <w:r w:rsidRPr="00DA620D">
        <w:rPr>
          <w:rFonts w:eastAsiaTheme="minorHAnsi"/>
          <w:szCs w:val="22"/>
          <w:lang w:eastAsia="en-US"/>
        </w:rPr>
        <w:t xml:space="preserve">ŽP </w:t>
      </w:r>
      <w:r w:rsidRPr="00DA620D">
        <w:rPr>
          <w:rFonts w:eastAsiaTheme="minorHAnsi"/>
          <w:szCs w:val="22"/>
          <w:lang w:eastAsia="en-US"/>
        </w:rPr>
        <w:tab/>
      </w:r>
      <w:r w:rsidRPr="00DA620D">
        <w:rPr>
          <w:rFonts w:eastAsiaTheme="minorHAnsi"/>
          <w:szCs w:val="22"/>
          <w:lang w:eastAsia="en-US"/>
        </w:rPr>
        <w:tab/>
      </w:r>
      <w:r w:rsidRPr="00DA620D">
        <w:rPr>
          <w:rFonts w:eastAsiaTheme="minorHAnsi"/>
          <w:szCs w:val="22"/>
          <w:lang w:eastAsia="en-US"/>
        </w:rPr>
        <w:tab/>
        <w:t>životné prostredie</w:t>
      </w:r>
    </w:p>
    <w:p w:rsidR="00DA620D" w:rsidRPr="00DA620D" w:rsidRDefault="00DA620D" w:rsidP="00DA620D">
      <w:pPr>
        <w:spacing w:after="200" w:line="276" w:lineRule="auto"/>
        <w:rPr>
          <w:rFonts w:eastAsiaTheme="minorHAnsi"/>
          <w:szCs w:val="22"/>
          <w:lang w:eastAsia="en-US"/>
        </w:rPr>
      </w:pPr>
      <w:r w:rsidRPr="00DA620D">
        <w:rPr>
          <w:rFonts w:eastAsiaTheme="minorHAnsi"/>
          <w:szCs w:val="22"/>
          <w:lang w:eastAsia="en-US"/>
        </w:rPr>
        <w:t xml:space="preserve">ŽV </w:t>
      </w:r>
      <w:r w:rsidRPr="00DA620D">
        <w:rPr>
          <w:rFonts w:eastAsiaTheme="minorHAnsi"/>
          <w:szCs w:val="22"/>
          <w:lang w:eastAsia="en-US"/>
        </w:rPr>
        <w:tab/>
      </w:r>
      <w:r w:rsidRPr="00DA620D">
        <w:rPr>
          <w:rFonts w:eastAsiaTheme="minorHAnsi"/>
          <w:szCs w:val="22"/>
          <w:lang w:eastAsia="en-US"/>
        </w:rPr>
        <w:tab/>
      </w:r>
      <w:r w:rsidRPr="00DA620D">
        <w:rPr>
          <w:rFonts w:eastAsiaTheme="minorHAnsi"/>
          <w:szCs w:val="22"/>
          <w:lang w:eastAsia="en-US"/>
        </w:rPr>
        <w:tab/>
        <w:t>živočíšna výroba</w:t>
      </w:r>
    </w:p>
    <w:p w:rsidR="00DA620D" w:rsidRPr="00DA620D" w:rsidRDefault="00DA620D" w:rsidP="00DA620D">
      <w:pPr>
        <w:spacing w:after="200" w:line="276" w:lineRule="auto"/>
        <w:rPr>
          <w:rFonts w:eastAsiaTheme="minorHAnsi"/>
          <w:szCs w:val="22"/>
          <w:lang w:eastAsia="en-US"/>
        </w:rPr>
      </w:pPr>
    </w:p>
    <w:p w:rsidR="00076A54" w:rsidRDefault="00076A54" w:rsidP="00060B3A">
      <w:pPr>
        <w:tabs>
          <w:tab w:val="left" w:pos="8640"/>
        </w:tabs>
        <w:jc w:val="center"/>
        <w:rPr>
          <w:rFonts w:ascii="Calibri" w:hAnsi="Calibri"/>
          <w:b/>
          <w:szCs w:val="22"/>
        </w:rPr>
        <w:sectPr w:rsidR="00076A54" w:rsidSect="00425CA0">
          <w:pgSz w:w="11906" w:h="16838"/>
          <w:pgMar w:top="1417" w:right="1417" w:bottom="1417" w:left="1417" w:header="708" w:footer="708" w:gutter="0"/>
          <w:cols w:space="708"/>
          <w:docGrid w:linePitch="360"/>
        </w:sectPr>
      </w:pPr>
    </w:p>
    <w:p w:rsidR="00DA620D" w:rsidRPr="00E30DE6" w:rsidRDefault="00DA620D" w:rsidP="00060B3A">
      <w:pPr>
        <w:tabs>
          <w:tab w:val="left" w:pos="8640"/>
        </w:tabs>
        <w:jc w:val="center"/>
        <w:rPr>
          <w:rFonts w:ascii="Calibri" w:hAnsi="Calibri"/>
          <w:b/>
          <w:szCs w:val="22"/>
        </w:rPr>
      </w:pPr>
    </w:p>
    <w:sectPr w:rsidR="00DA620D" w:rsidRPr="00E30DE6" w:rsidSect="00425CA0">
      <w:headerReference w:type="default" r:id="rId102"/>
      <w:footerReference w:type="default" r:id="rId103"/>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954688" w:rsidRDefault="00954688">
      <w:r>
        <w:separator/>
      </w:r>
    </w:p>
  </w:endnote>
  <w:endnote w:type="continuationSeparator" w:id="0">
    <w:p w:rsidR="00954688" w:rsidRDefault="0095468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EE"/>
    <w:family w:val="swiss"/>
    <w:pitch w:val="variable"/>
    <w:sig w:usb0="E00002FF" w:usb1="4000ACFF" w:usb2="00000001" w:usb3="00000000" w:csb0="0000019F" w:csb1="00000000"/>
  </w:font>
  <w:font w:name="Times New Roman">
    <w:panose1 w:val="02020603050405020304"/>
    <w:charset w:val="EE"/>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OpenSymbol">
    <w:altName w:val="Arial Unicode MS"/>
    <w:panose1 w:val="00000000000000000000"/>
    <w:charset w:val="80"/>
    <w:family w:val="auto"/>
    <w:notTrueType/>
    <w:pitch w:val="default"/>
    <w:sig w:usb0="00000001" w:usb1="08070000" w:usb2="00000010" w:usb3="00000000" w:csb0="00020000" w:csb1="00000000"/>
  </w:font>
  <w:font w:name="Arial">
    <w:panose1 w:val="020B0604020202020204"/>
    <w:charset w:val="EE"/>
    <w:family w:val="swiss"/>
    <w:pitch w:val="variable"/>
    <w:sig w:usb0="E0002AFF" w:usb1="C0007843" w:usb2="00000009" w:usb3="00000000" w:csb0="000001FF" w:csb1="00000000"/>
  </w:font>
  <w:font w:name="Arial Narrow">
    <w:panose1 w:val="020B0606020202030204"/>
    <w:charset w:val="EE"/>
    <w:family w:val="swiss"/>
    <w:pitch w:val="variable"/>
    <w:sig w:usb0="00000287" w:usb1="00000800" w:usb2="00000000" w:usb3="00000000" w:csb0="0000009F" w:csb1="00000000"/>
  </w:font>
  <w:font w:name="Cambria">
    <w:panose1 w:val="02040503050406030204"/>
    <w:charset w:val="EE"/>
    <w:family w:val="roman"/>
    <w:pitch w:val="variable"/>
    <w:sig w:usb0="E00002FF" w:usb1="400004FF" w:usb2="00000000" w:usb3="00000000" w:csb0="0000019F" w:csb1="00000000"/>
  </w:font>
  <w:font w:name="Tahoma">
    <w:panose1 w:val="020B0604030504040204"/>
    <w:charset w:val="EE"/>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Mangal">
    <w:panose1 w:val="02040503050203030202"/>
    <w:charset w:val="00"/>
    <w:family w:val="roman"/>
    <w:pitch w:val="variable"/>
    <w:sig w:usb0="00008003" w:usb1="00000000" w:usb2="00000000" w:usb3="00000000" w:csb0="00000001" w:csb1="00000000"/>
  </w:font>
  <w:font w:name="EUAlbertina">
    <w:altName w:val="Times New Roman"/>
    <w:panose1 w:val="00000000000000000000"/>
    <w:charset w:val="00"/>
    <w:family w:val="roman"/>
    <w:notTrueType/>
    <w:pitch w:val="default"/>
    <w:sig w:usb0="00000007" w:usb1="00000000" w:usb2="00000000" w:usb3="00000000" w:csb0="00000003" w:csb1="00000000"/>
  </w:font>
  <w:font w:name="Swis721 AT">
    <w:altName w:val="Times New Roman"/>
    <w:panose1 w:val="00000000000000000000"/>
    <w:charset w:val="00"/>
    <w:family w:val="auto"/>
    <w:notTrueType/>
    <w:pitch w:val="variable"/>
    <w:sig w:usb0="00000003" w:usb1="00000000" w:usb2="00000000" w:usb3="00000000" w:csb0="00000001" w:csb1="00000000"/>
  </w:font>
  <w:font w:name="Myriad Pro">
    <w:altName w:val="Arial"/>
    <w:panose1 w:val="00000000000000000000"/>
    <w:charset w:val="00"/>
    <w:family w:val="swiss"/>
    <w:notTrueType/>
    <w:pitch w:val="default"/>
    <w:sig w:usb0="00000003" w:usb1="00000000" w:usb2="00000000" w:usb3="00000000" w:csb0="00000001" w:csb1="00000000"/>
  </w:font>
  <w:font w:name="MyriadPro-Regular">
    <w:altName w:val="MS Gothic"/>
    <w:panose1 w:val="00000000000000000000"/>
    <w:charset w:val="80"/>
    <w:family w:val="swiss"/>
    <w:notTrueType/>
    <w:pitch w:val="default"/>
    <w:sig w:usb0="00000001" w:usb1="08070000" w:usb2="00000010" w:usb3="00000000" w:csb0="00020000" w:csb1="00000000"/>
  </w:font>
  <w:font w:name="TimesNewRomanPS-BoldItalicMT">
    <w:altName w:val="Times New Roman"/>
    <w:panose1 w:val="00000000000000000000"/>
    <w:charset w:val="00"/>
    <w:family w:val="roman"/>
    <w:notTrueType/>
    <w:pitch w:val="default"/>
    <w:sig w:usb0="00000003" w:usb1="00000000" w:usb2="00000000" w:usb3="00000000" w:csb0="00000001" w:csb1="00000000"/>
  </w:font>
  <w:font w:name="TimesNewRomanPSMT">
    <w:altName w:val="Times New Roman"/>
    <w:panose1 w:val="00000000000000000000"/>
    <w:charset w:val="00"/>
    <w:family w:val="roman"/>
    <w:notTrueType/>
    <w:pitch w:val="default"/>
    <w:sig w:usb0="00000003" w:usb1="00000000" w:usb2="00000000" w:usb3="00000000" w:csb0="00000001" w:csb1="00000000"/>
  </w:font>
  <w:font w:name="Arial CE">
    <w:panose1 w:val="020B0604020202020204"/>
    <w:charset w:val="EE"/>
    <w:family w:val="swiss"/>
    <w:pitch w:val="variable"/>
    <w:sig w:usb0="E0002AFF" w:usb1="C0007843" w:usb2="00000009" w:usb3="00000000" w:csb0="000001FF" w:csb1="00000000"/>
  </w:font>
  <w:font w:name="TimesNewRoman">
    <w:altName w:val="Times New Roman"/>
    <w:panose1 w:val="00000000000000000000"/>
    <w:charset w:val="00"/>
    <w:family w:val="roman"/>
    <w:notTrueType/>
    <w:pitch w:val="default"/>
    <w:sig w:usb0="00000003" w:usb1="00000000" w:usb2="00000000" w:usb3="00000000" w:csb0="00000001" w:csb1="00000000"/>
  </w:font>
  <w:font w:name="Segoe UI">
    <w:panose1 w:val="020B0502040204020203"/>
    <w:charset w:val="EE"/>
    <w:family w:val="swiss"/>
    <w:pitch w:val="variable"/>
    <w:sig w:usb0="E10022FF" w:usb1="C000E47F" w:usb2="00000029" w:usb3="00000000" w:csb0="000001DF" w:csb1="00000000"/>
  </w:font>
  <w:font w:name="Arial Unicode MS">
    <w:panose1 w:val="020B0604020202020204"/>
    <w:charset w:val="80"/>
    <w:family w:val="swiss"/>
    <w:pitch w:val="variable"/>
    <w:sig w:usb0="F7FFAFFF" w:usb1="E9DFFFFF" w:usb2="0000003F" w:usb3="00000000" w:csb0="003F01FF" w:csb1="00000000"/>
  </w:font>
  <w:font w:name="Times-Roman">
    <w:altName w:val="Times New Roman"/>
    <w:panose1 w:val="00000000000000000000"/>
    <w:charset w:val="00"/>
    <w:family w:val="auto"/>
    <w:notTrueType/>
    <w:pitch w:val="default"/>
    <w:sig w:usb0="00000003" w:usb1="00000000" w:usb2="00000000" w:usb3="00000000" w:csb0="00000001" w:csb1="00000000"/>
  </w:font>
  <w:font w:name="TTE5t00">
    <w:altName w:val="Times New Roman"/>
    <w:panose1 w:val="00000000000000000000"/>
    <w:charset w:val="00"/>
    <w:family w:val="auto"/>
    <w:notTrueType/>
    <w:pitch w:val="default"/>
    <w:sig w:usb0="00000003" w:usb1="00000000" w:usb2="00000000" w:usb3="00000000" w:csb0="00000001" w:csb1="00000000"/>
  </w:font>
  <w:font w:name="MS Mincho">
    <w:altName w:val="ＭＳ 明朝"/>
    <w:panose1 w:val="02020609040205080304"/>
    <w:charset w:val="80"/>
    <w:family w:val="modern"/>
    <w:pitch w:val="fixed"/>
    <w:sig w:usb0="E00002FF" w:usb1="6AC7FDFB" w:usb2="00000012" w:usb3="00000000" w:csb0="0002009F" w:csb1="00000000"/>
  </w:font>
  <w:font w:name="Arial Narrow,Bold">
    <w:altName w:val="Arial"/>
    <w:panose1 w:val="00000000000000000000"/>
    <w:charset w:val="00"/>
    <w:family w:val="swiss"/>
    <w:notTrueType/>
    <w:pitch w:val="default"/>
    <w:sig w:usb0="00000003" w:usb1="00000000" w:usb2="00000000" w:usb3="00000000" w:csb0="00000001" w:csb1="00000000"/>
  </w:font>
  <w:font w:name="WenQuanYi Micro Hei">
    <w:altName w:val="Times New Roman"/>
    <w:panose1 w:val="00000000000000000000"/>
    <w:charset w:val="00"/>
    <w:family w:val="roman"/>
    <w:notTrueType/>
    <w:pitch w:val="default"/>
    <w:sig w:usb0="00000003" w:usb1="00000000" w:usb2="00000000" w:usb3="00000000" w:csb0="00000001" w:csb1="00000000"/>
  </w:font>
  <w:font w:name="Lohit Hindi">
    <w:altName w:val="Times New Roman"/>
    <w:panose1 w:val="00000000000000000000"/>
    <w:charset w:val="00"/>
    <w:family w:val="roman"/>
    <w:notTrueType/>
    <w:pitch w:val="default"/>
    <w:sig w:usb0="00000003" w:usb1="00000000" w:usb2="00000000" w:usb3="00000000" w:csb0="00000001" w:csb1="00000000"/>
  </w:font>
  <w:font w:name="TimesNewRoman,Italic">
    <w:altName w:val="Times New Roman"/>
    <w:panose1 w:val="00000000000000000000"/>
    <w:charset w:val="00"/>
    <w:family w:val="roman"/>
    <w:notTrueType/>
    <w:pitch w:val="default"/>
    <w:sig w:usb0="00000003" w:usb1="00000000" w:usb2="00000000" w:usb3="00000000" w:csb0="00000001" w:csb1="00000000"/>
  </w:font>
  <w:font w:name="TimesNewRoman,Italic CE">
    <w:altName w:val="Times New Roman"/>
    <w:panose1 w:val="00000000000000000000"/>
    <w:charset w:val="EE"/>
    <w:family w:val="roman"/>
    <w:notTrueType/>
    <w:pitch w:val="default"/>
    <w:sig w:usb0="00000005" w:usb1="00000000" w:usb2="00000000" w:usb3="00000000" w:csb0="00000002" w:csb1="00000000"/>
  </w:font>
  <w:font w:name="TimesNewRoman,Bold">
    <w:altName w:val="Times New Roman"/>
    <w:panose1 w:val="00000000000000000000"/>
    <w:charset w:val="00"/>
    <w:family w:val="roman"/>
    <w:notTrueType/>
    <w:pitch w:val="default"/>
    <w:sig w:usb0="00000003" w:usb1="00000000" w:usb2="00000000" w:usb3="00000000" w:csb0="00000001" w:csb1="00000000"/>
  </w:font>
  <w:font w:name="MinionPro-Regular">
    <w:altName w:val="MS Mincho"/>
    <w:panose1 w:val="00000000000000000000"/>
    <w:charset w:val="80"/>
    <w:family w:val="auto"/>
    <w:notTrueType/>
    <w:pitch w:val="default"/>
    <w:sig w:usb0="00000001" w:usb1="08070000" w:usb2="00000010" w:usb3="00000000" w:csb0="00020000" w:csb1="00000000"/>
  </w:font>
  <w:font w:name="PacellaItcTOT-Book">
    <w:panose1 w:val="00000000000000000000"/>
    <w:charset w:val="EE"/>
    <w:family w:val="auto"/>
    <w:notTrueType/>
    <w:pitch w:val="default"/>
    <w:sig w:usb0="00000005" w:usb1="00000000" w:usb2="00000000" w:usb3="00000000" w:csb0="00000002" w:csb1="00000000"/>
  </w:font>
  <w:font w:name="ITCBookmanEE">
    <w:altName w:val="Times New Roman"/>
    <w:panose1 w:val="00000000000000000000"/>
    <w:charset w:val="00"/>
    <w:family w:val="roman"/>
    <w:notTrueType/>
    <w:pitch w:val="default"/>
    <w:sig w:usb0="00000007" w:usb1="00000000" w:usb2="00000000" w:usb3="00000000" w:csb0="00000003" w:csb1="00000000"/>
  </w:font>
  <w:font w:name="MSTT31c609">
    <w:altName w:val="Times New Roman"/>
    <w:panose1 w:val="00000000000000000000"/>
    <w:charset w:val="00"/>
    <w:family w:val="auto"/>
    <w:notTrueType/>
    <w:pitch w:val="default"/>
    <w:sig w:usb0="00000003" w:usb1="00000000" w:usb2="00000000" w:usb3="00000000" w:csb0="00000001" w:csb1="00000000"/>
  </w:font>
  <w:font w:name="ITCBookmanEE-Bold">
    <w:panose1 w:val="00000000000000000000"/>
    <w:charset w:val="EE"/>
    <w:family w:val="auto"/>
    <w:notTrueType/>
    <w:pitch w:val="default"/>
    <w:sig w:usb0="00000005" w:usb1="00000000" w:usb2="00000000" w:usb3="00000000" w:csb0="00000002" w:csb1="00000000"/>
  </w:font>
  <w:font w:name="ArialMT">
    <w:altName w:val="MS Gothic"/>
    <w:panose1 w:val="00000000000000000000"/>
    <w:charset w:val="00"/>
    <w:family w:val="swiss"/>
    <w:notTrueType/>
    <w:pitch w:val="default"/>
    <w:sig w:usb0="00000003" w:usb1="00000000" w:usb2="00000000" w:usb3="00000000" w:csb0="00000001" w:csb1="00000000"/>
  </w:font>
  <w:font w:name="Trebuchet MS">
    <w:panose1 w:val="020B0603020202020204"/>
    <w:charset w:val="EE"/>
    <w:family w:val="swiss"/>
    <w:pitch w:val="variable"/>
    <w:sig w:usb0="00000287" w:usb1="00000000" w:usb2="00000000" w:usb3="00000000" w:csb0="0000009F" w:csb1="00000000"/>
  </w:font>
  <w:font w:name="Verdana">
    <w:panose1 w:val="020B0604030504040204"/>
    <w:charset w:val="EE"/>
    <w:family w:val="swiss"/>
    <w:pitch w:val="variable"/>
    <w:sig w:usb0="A10006FF" w:usb1="4000205B" w:usb2="00000010" w:usb3="00000000" w:csb0="0000019F" w:csb1="00000000"/>
  </w:font>
  <w:font w:name="TimesNewRoman,BoldItalic">
    <w:altName w:val="Times New Roman"/>
    <w:panose1 w:val="00000000000000000000"/>
    <w:charset w:val="00"/>
    <w:family w:val="roman"/>
    <w:notTrueType/>
    <w:pitch w:val="default"/>
    <w:sig w:usb0="00000003" w:usb1="00000000" w:usb2="00000000" w:usb3="00000000" w:csb0="00000001" w:csb1="00000000"/>
  </w:font>
  <w:font w:name="LegacySerifItcTOT-BookItal">
    <w:panose1 w:val="00000000000000000000"/>
    <w:charset w:val="EE"/>
    <w:family w:val="roman"/>
    <w:notTrueType/>
    <w:pitch w:val="default"/>
    <w:sig w:usb0="00000005" w:usb1="00000000" w:usb2="00000000" w:usb3="00000000" w:csb0="00000002" w:csb1="00000000"/>
  </w:font>
  <w:font w:name="LegacySerifItcTOT-Book">
    <w:panose1 w:val="00000000000000000000"/>
    <w:charset w:val="EE"/>
    <w:family w:val="roman"/>
    <w:notTrueType/>
    <w:pitch w:val="default"/>
    <w:sig w:usb0="00000005" w:usb1="00000000" w:usb2="00000000" w:usb3="00000000" w:csb0="00000002"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A3653" w:rsidRPr="00660C87" w:rsidRDefault="000A3653" w:rsidP="00660C87">
    <w:pPr>
      <w:pStyle w:val="Pta"/>
      <w:pBdr>
        <w:top w:val="single" w:sz="4" w:space="1" w:color="auto"/>
      </w:pBdr>
      <w:jc w:val="right"/>
      <w:rPr>
        <w:sz w:val="20"/>
        <w:szCs w:val="20"/>
      </w:rPr>
    </w:pPr>
    <w:r w:rsidRPr="005F1A9E">
      <w:rPr>
        <w:sz w:val="20"/>
        <w:szCs w:val="20"/>
      </w:rPr>
      <w:fldChar w:fldCharType="begin"/>
    </w:r>
    <w:r w:rsidRPr="005F1A9E">
      <w:rPr>
        <w:sz w:val="20"/>
        <w:szCs w:val="20"/>
      </w:rPr>
      <w:instrText>PAGE   \* MERGEFORMAT</w:instrText>
    </w:r>
    <w:r w:rsidRPr="005F1A9E">
      <w:rPr>
        <w:sz w:val="20"/>
        <w:szCs w:val="20"/>
      </w:rPr>
      <w:fldChar w:fldCharType="separate"/>
    </w:r>
    <w:r w:rsidR="00412F39">
      <w:rPr>
        <w:noProof/>
        <w:sz w:val="20"/>
        <w:szCs w:val="20"/>
      </w:rPr>
      <w:t>1</w:t>
    </w:r>
    <w:r w:rsidRPr="005F1A9E">
      <w:rPr>
        <w:sz w:val="20"/>
        <w:szCs w:val="20"/>
      </w:rPr>
      <w:fldChar w:fldCharType="end"/>
    </w: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A3653" w:rsidRPr="00060B3A" w:rsidRDefault="000A3653">
    <w:pPr>
      <w:pStyle w:val="Pta"/>
      <w:jc w:val="right"/>
      <w:rPr>
        <w:rFonts w:ascii="Calibri" w:hAnsi="Calibri"/>
        <w:sz w:val="20"/>
        <w:szCs w:val="20"/>
      </w:rPr>
    </w:pPr>
    <w:r w:rsidRPr="00060B3A">
      <w:rPr>
        <w:rFonts w:ascii="Calibri" w:hAnsi="Calibri"/>
        <w:sz w:val="20"/>
        <w:szCs w:val="20"/>
      </w:rPr>
      <w:fldChar w:fldCharType="begin"/>
    </w:r>
    <w:r w:rsidRPr="00060B3A">
      <w:rPr>
        <w:rFonts w:ascii="Calibri" w:hAnsi="Calibri"/>
        <w:sz w:val="20"/>
        <w:szCs w:val="20"/>
      </w:rPr>
      <w:instrText>PAGE   \* MERGEFORMAT</w:instrText>
    </w:r>
    <w:r w:rsidRPr="00060B3A">
      <w:rPr>
        <w:rFonts w:ascii="Calibri" w:hAnsi="Calibri"/>
        <w:sz w:val="20"/>
        <w:szCs w:val="20"/>
      </w:rPr>
      <w:fldChar w:fldCharType="separate"/>
    </w:r>
    <w:r w:rsidR="00412F39">
      <w:rPr>
        <w:rFonts w:ascii="Calibri" w:hAnsi="Calibri"/>
        <w:noProof/>
        <w:sz w:val="20"/>
        <w:szCs w:val="20"/>
      </w:rPr>
      <w:t>479</w:t>
    </w:r>
    <w:r w:rsidRPr="00060B3A">
      <w:rPr>
        <w:rFonts w:ascii="Calibri" w:hAnsi="Calibri"/>
        <w:sz w:val="20"/>
        <w:szCs w:val="20"/>
      </w:rPr>
      <w:fldChar w:fldCharType="end"/>
    </w:r>
  </w:p>
  <w:p w:rsidR="000A3653" w:rsidRPr="00BB2161" w:rsidRDefault="000A3653" w:rsidP="00F57BCD">
    <w:pPr>
      <w:pBdr>
        <w:top w:val="single" w:sz="4" w:space="1" w:color="auto"/>
      </w:pBdr>
      <w:ind w:right="-567"/>
      <w:jc w:val="center"/>
      <w:rPr>
        <w:rFonts w:cs="Arial"/>
        <w:sz w:val="20"/>
        <w:szCs w:val="20"/>
      </w:rPr>
    </w:pPr>
  </w:p>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76A54" w:rsidRPr="00BB2161" w:rsidRDefault="00076A54" w:rsidP="00076A54">
    <w:pPr>
      <w:ind w:right="-567"/>
      <w:jc w:val="center"/>
      <w:rPr>
        <w:rFonts w:cs="Arial"/>
        <w:sz w:val="20"/>
        <w:szCs w:val="20"/>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A3653" w:rsidRDefault="000A3653">
    <w:pPr>
      <w:pStyle w:val="Pta"/>
      <w:jc w:val="right"/>
    </w:pPr>
  </w:p>
  <w:p w:rsidR="000A3653" w:rsidRDefault="000A3653">
    <w:pPr>
      <w:pStyle w:val="Pta"/>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A3653" w:rsidRPr="00A067C4" w:rsidRDefault="000A3653">
    <w:pPr>
      <w:pStyle w:val="Pta"/>
      <w:jc w:val="right"/>
      <w:rPr>
        <w:sz w:val="20"/>
        <w:szCs w:val="20"/>
      </w:rPr>
    </w:pPr>
    <w:r w:rsidRPr="00A067C4">
      <w:rPr>
        <w:sz w:val="20"/>
        <w:szCs w:val="20"/>
      </w:rPr>
      <w:fldChar w:fldCharType="begin"/>
    </w:r>
    <w:r w:rsidRPr="00A067C4">
      <w:rPr>
        <w:sz w:val="20"/>
        <w:szCs w:val="20"/>
      </w:rPr>
      <w:instrText>PAGE   \* MERGEFORMAT</w:instrText>
    </w:r>
    <w:r w:rsidRPr="00A067C4">
      <w:rPr>
        <w:sz w:val="20"/>
        <w:szCs w:val="20"/>
      </w:rPr>
      <w:fldChar w:fldCharType="separate"/>
    </w:r>
    <w:r w:rsidR="00412F39">
      <w:rPr>
        <w:noProof/>
        <w:sz w:val="20"/>
        <w:szCs w:val="20"/>
      </w:rPr>
      <w:t>137</w:t>
    </w:r>
    <w:r w:rsidRPr="00A067C4">
      <w:rPr>
        <w:sz w:val="20"/>
        <w:szCs w:val="20"/>
      </w:rPr>
      <w:fldChar w:fldCharType="end"/>
    </w:r>
  </w:p>
  <w:p w:rsidR="000A3653" w:rsidRPr="00377331" w:rsidRDefault="000A3653" w:rsidP="00B21844">
    <w:pPr>
      <w:pStyle w:val="Pta"/>
      <w:pBdr>
        <w:top w:val="single" w:sz="4" w:space="1" w:color="auto"/>
      </w:pBdr>
      <w:ind w:right="360"/>
      <w:jc w:val="center"/>
      <w:rPr>
        <w:rFonts w:ascii="Calibri" w:hAnsi="Calibri"/>
        <w:i/>
        <w:sz w:val="20"/>
        <w:szCs w:val="20"/>
      </w:rP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A3653" w:rsidRPr="005F1A9E" w:rsidRDefault="000A3653">
    <w:pPr>
      <w:pStyle w:val="Pta"/>
      <w:jc w:val="right"/>
      <w:rPr>
        <w:sz w:val="20"/>
        <w:szCs w:val="20"/>
      </w:rPr>
    </w:pPr>
    <w:r w:rsidRPr="005F1A9E">
      <w:rPr>
        <w:sz w:val="20"/>
        <w:szCs w:val="20"/>
      </w:rPr>
      <w:fldChar w:fldCharType="begin"/>
    </w:r>
    <w:r w:rsidRPr="005F1A9E">
      <w:rPr>
        <w:sz w:val="20"/>
        <w:szCs w:val="20"/>
      </w:rPr>
      <w:instrText>PAGE   \* MERGEFORMAT</w:instrText>
    </w:r>
    <w:r w:rsidRPr="005F1A9E">
      <w:rPr>
        <w:sz w:val="20"/>
        <w:szCs w:val="20"/>
      </w:rPr>
      <w:fldChar w:fldCharType="separate"/>
    </w:r>
    <w:r>
      <w:rPr>
        <w:noProof/>
        <w:sz w:val="20"/>
        <w:szCs w:val="20"/>
      </w:rPr>
      <w:t>391</w:t>
    </w:r>
    <w:r w:rsidRPr="005F1A9E">
      <w:rPr>
        <w:sz w:val="20"/>
        <w:szCs w:val="20"/>
      </w:rPr>
      <w:fldChar w:fldCharType="end"/>
    </w:r>
  </w:p>
  <w:p w:rsidR="000A3653" w:rsidRDefault="000A3653">
    <w:pPr>
      <w:pStyle w:val="Pta"/>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A3653" w:rsidRPr="003D0842" w:rsidRDefault="000A3653">
    <w:pPr>
      <w:pStyle w:val="Pta"/>
      <w:jc w:val="right"/>
      <w:rPr>
        <w:sz w:val="18"/>
        <w:szCs w:val="18"/>
      </w:rPr>
    </w:pPr>
    <w:r w:rsidRPr="003D0842">
      <w:rPr>
        <w:sz w:val="18"/>
        <w:szCs w:val="18"/>
      </w:rPr>
      <w:fldChar w:fldCharType="begin"/>
    </w:r>
    <w:r w:rsidRPr="003D0842">
      <w:rPr>
        <w:sz w:val="18"/>
        <w:szCs w:val="18"/>
      </w:rPr>
      <w:instrText>PAGE   \* MERGEFORMAT</w:instrText>
    </w:r>
    <w:r w:rsidRPr="003D0842">
      <w:rPr>
        <w:sz w:val="18"/>
        <w:szCs w:val="18"/>
      </w:rPr>
      <w:fldChar w:fldCharType="separate"/>
    </w:r>
    <w:r w:rsidR="00412F39">
      <w:rPr>
        <w:noProof/>
        <w:sz w:val="18"/>
        <w:szCs w:val="18"/>
      </w:rPr>
      <w:t>370</w:t>
    </w:r>
    <w:r w:rsidRPr="003D0842">
      <w:rPr>
        <w:sz w:val="18"/>
        <w:szCs w:val="18"/>
      </w:rPr>
      <w:fldChar w:fldCharType="end"/>
    </w:r>
  </w:p>
  <w:p w:rsidR="000A3653" w:rsidRPr="00DB32CF" w:rsidRDefault="000A3653" w:rsidP="00BB33FC">
    <w:pPr>
      <w:pStyle w:val="Pta"/>
      <w:pBdr>
        <w:top w:val="single" w:sz="4" w:space="1" w:color="auto"/>
      </w:pBdr>
      <w:jc w:val="center"/>
      <w:rPr>
        <w:sz w:val="20"/>
        <w:szCs w:val="20"/>
      </w:rPr>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A3653" w:rsidRPr="00081CCD" w:rsidRDefault="000A3653">
    <w:pPr>
      <w:pStyle w:val="Pta"/>
      <w:jc w:val="right"/>
      <w:rPr>
        <w:sz w:val="18"/>
        <w:szCs w:val="18"/>
      </w:rPr>
    </w:pPr>
    <w:r w:rsidRPr="00081CCD">
      <w:rPr>
        <w:sz w:val="18"/>
        <w:szCs w:val="18"/>
      </w:rPr>
      <w:fldChar w:fldCharType="begin"/>
    </w:r>
    <w:r w:rsidRPr="00081CCD">
      <w:rPr>
        <w:sz w:val="18"/>
        <w:szCs w:val="18"/>
      </w:rPr>
      <w:instrText>PAGE   \* MERGEFORMAT</w:instrText>
    </w:r>
    <w:r w:rsidRPr="00081CCD">
      <w:rPr>
        <w:sz w:val="18"/>
        <w:szCs w:val="18"/>
      </w:rPr>
      <w:fldChar w:fldCharType="separate"/>
    </w:r>
    <w:r w:rsidR="00412F39">
      <w:rPr>
        <w:noProof/>
        <w:sz w:val="18"/>
        <w:szCs w:val="18"/>
      </w:rPr>
      <w:t>386</w:t>
    </w:r>
    <w:r w:rsidRPr="00081CCD">
      <w:rPr>
        <w:sz w:val="18"/>
        <w:szCs w:val="18"/>
      </w:rPr>
      <w:fldChar w:fldCharType="end"/>
    </w:r>
  </w:p>
  <w:p w:rsidR="000A3653" w:rsidRPr="00DB32CF" w:rsidRDefault="000A3653" w:rsidP="00BB33FC">
    <w:pPr>
      <w:pStyle w:val="Pta"/>
      <w:pBdr>
        <w:top w:val="single" w:sz="4" w:space="1" w:color="auto"/>
      </w:pBdr>
      <w:jc w:val="center"/>
      <w:rPr>
        <w:sz w:val="20"/>
        <w:szCs w:val="20"/>
      </w:rPr>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A3653" w:rsidRPr="00C5734F" w:rsidRDefault="000A3653" w:rsidP="009B0266">
    <w:pPr>
      <w:pStyle w:val="Pta"/>
      <w:pBdr>
        <w:top w:val="single" w:sz="4" w:space="1" w:color="auto"/>
      </w:pBdr>
      <w:jc w:val="center"/>
      <w:rPr>
        <w:sz w:val="20"/>
        <w:szCs w:val="20"/>
      </w:rPr>
    </w:pPr>
    <w:r w:rsidRPr="00C5734F">
      <w:rPr>
        <w:i/>
        <w:sz w:val="20"/>
        <w:szCs w:val="20"/>
      </w:rPr>
      <w:t>Ministerstvo pôdohospodárstva a rozvoja vidieka SR</w:t>
    </w: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A3653" w:rsidRPr="00081CCD" w:rsidRDefault="000A3653">
    <w:pPr>
      <w:pStyle w:val="Pta"/>
      <w:jc w:val="right"/>
      <w:rPr>
        <w:sz w:val="18"/>
        <w:szCs w:val="18"/>
      </w:rPr>
    </w:pPr>
    <w:r w:rsidRPr="00081CCD">
      <w:rPr>
        <w:sz w:val="18"/>
        <w:szCs w:val="18"/>
      </w:rPr>
      <w:fldChar w:fldCharType="begin"/>
    </w:r>
    <w:r w:rsidRPr="00081CCD">
      <w:rPr>
        <w:sz w:val="18"/>
        <w:szCs w:val="18"/>
      </w:rPr>
      <w:instrText>PAGE   \* MERGEFORMAT</w:instrText>
    </w:r>
    <w:r w:rsidRPr="00081CCD">
      <w:rPr>
        <w:sz w:val="18"/>
        <w:szCs w:val="18"/>
      </w:rPr>
      <w:fldChar w:fldCharType="separate"/>
    </w:r>
    <w:r w:rsidR="00412F39">
      <w:rPr>
        <w:noProof/>
        <w:sz w:val="18"/>
        <w:szCs w:val="18"/>
      </w:rPr>
      <w:t>421</w:t>
    </w:r>
    <w:r w:rsidRPr="00081CCD">
      <w:rPr>
        <w:sz w:val="18"/>
        <w:szCs w:val="18"/>
      </w:rPr>
      <w:fldChar w:fldCharType="end"/>
    </w:r>
  </w:p>
  <w:p w:rsidR="000A3653" w:rsidRPr="00C5734F" w:rsidRDefault="000A3653" w:rsidP="00BB33FC">
    <w:pPr>
      <w:pStyle w:val="Pta"/>
      <w:pBdr>
        <w:top w:val="single" w:sz="4" w:space="1" w:color="auto"/>
      </w:pBdr>
      <w:jc w:val="center"/>
      <w:rPr>
        <w:sz w:val="20"/>
        <w:szCs w:val="20"/>
      </w:rPr>
    </w:pP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A3653" w:rsidRPr="005F1A9E" w:rsidRDefault="000A3653">
    <w:pPr>
      <w:pStyle w:val="Pta"/>
      <w:jc w:val="right"/>
      <w:rPr>
        <w:sz w:val="20"/>
        <w:szCs w:val="20"/>
      </w:rPr>
    </w:pPr>
    <w:r w:rsidRPr="005F1A9E">
      <w:rPr>
        <w:sz w:val="20"/>
        <w:szCs w:val="20"/>
      </w:rPr>
      <w:fldChar w:fldCharType="begin"/>
    </w:r>
    <w:r w:rsidRPr="005F1A9E">
      <w:rPr>
        <w:sz w:val="20"/>
        <w:szCs w:val="20"/>
      </w:rPr>
      <w:instrText>PAGE   \* MERGEFORMAT</w:instrText>
    </w:r>
    <w:r w:rsidRPr="005F1A9E">
      <w:rPr>
        <w:sz w:val="20"/>
        <w:szCs w:val="20"/>
      </w:rPr>
      <w:fldChar w:fldCharType="separate"/>
    </w:r>
    <w:r w:rsidR="00412F39">
      <w:rPr>
        <w:noProof/>
        <w:sz w:val="20"/>
        <w:szCs w:val="20"/>
      </w:rPr>
      <w:t>462</w:t>
    </w:r>
    <w:r w:rsidRPr="005F1A9E">
      <w:rPr>
        <w:sz w:val="20"/>
        <w:szCs w:val="20"/>
      </w:rPr>
      <w:fldChar w:fldCharType="end"/>
    </w:r>
  </w:p>
  <w:p w:rsidR="000A3653" w:rsidRPr="00CD0674" w:rsidRDefault="000A3653" w:rsidP="00BB33FC">
    <w:pPr>
      <w:pStyle w:val="Pta"/>
      <w:pBdr>
        <w:top w:val="single" w:sz="4" w:space="1" w:color="auto"/>
      </w:pBdr>
      <w:jc w:val="center"/>
      <w:rPr>
        <w:sz w:val="20"/>
        <w:szCs w:val="20"/>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954688" w:rsidRDefault="00954688">
      <w:r>
        <w:separator/>
      </w:r>
    </w:p>
  </w:footnote>
  <w:footnote w:type="continuationSeparator" w:id="0">
    <w:p w:rsidR="00954688" w:rsidRDefault="00954688">
      <w:r>
        <w:continuationSeparator/>
      </w:r>
    </w:p>
  </w:footnote>
  <w:footnote w:id="1">
    <w:p w:rsidR="000A3653" w:rsidRPr="00A95B65" w:rsidRDefault="000A3653" w:rsidP="00E43137">
      <w:pPr>
        <w:pStyle w:val="Textpoznmkypodiarou"/>
        <w:rPr>
          <w:rStyle w:val="Odkaznapoznmkupodiarou"/>
          <w:rFonts w:ascii="Calibri" w:hAnsi="Calibri"/>
          <w:i/>
          <w:sz w:val="18"/>
          <w:szCs w:val="18"/>
        </w:rPr>
      </w:pPr>
      <w:r w:rsidRPr="00A95B65">
        <w:rPr>
          <w:rStyle w:val="Odkaznapoznmkupodiarou"/>
          <w:rFonts w:ascii="Calibri" w:hAnsi="Calibri"/>
          <w:i/>
          <w:sz w:val="18"/>
          <w:szCs w:val="18"/>
        </w:rPr>
        <w:footnoteRef/>
      </w:r>
      <w:r w:rsidRPr="00A95B65">
        <w:rPr>
          <w:rStyle w:val="Odkaznapoznmkupodiarou"/>
          <w:rFonts w:ascii="Calibri" w:hAnsi="Calibri"/>
          <w:i/>
          <w:sz w:val="18"/>
          <w:szCs w:val="18"/>
        </w:rPr>
        <w:t xml:space="preserve"> </w:t>
      </w:r>
      <w:r w:rsidRPr="00A95B65">
        <w:rPr>
          <w:rFonts w:ascii="Calibri" w:hAnsi="Calibri"/>
          <w:i/>
          <w:sz w:val="18"/>
          <w:szCs w:val="18"/>
        </w:rPr>
        <w:t>Zdroj: ŠÚ SR.</w:t>
      </w:r>
    </w:p>
  </w:footnote>
  <w:footnote w:id="2">
    <w:p w:rsidR="000A3653" w:rsidRPr="00A95B65" w:rsidRDefault="000A3653" w:rsidP="00E43137">
      <w:pPr>
        <w:rPr>
          <w:rFonts w:ascii="Calibri" w:eastAsia="MyriadPro-Regular" w:hAnsi="Calibri" w:cs="Calibri"/>
          <w:i/>
          <w:sz w:val="18"/>
          <w:szCs w:val="18"/>
        </w:rPr>
      </w:pPr>
      <w:r w:rsidRPr="00A95B65">
        <w:rPr>
          <w:rStyle w:val="Odkaznapoznmkupodiarou"/>
          <w:rFonts w:ascii="Calibri" w:hAnsi="Calibri"/>
          <w:i/>
          <w:sz w:val="18"/>
          <w:szCs w:val="18"/>
        </w:rPr>
        <w:footnoteRef/>
      </w:r>
      <w:r w:rsidRPr="00A95B65">
        <w:rPr>
          <w:rFonts w:ascii="Calibri" w:hAnsi="Calibri"/>
          <w:i/>
          <w:sz w:val="18"/>
          <w:szCs w:val="18"/>
        </w:rPr>
        <w:t xml:space="preserve"> </w:t>
      </w:r>
      <w:r w:rsidRPr="00A95B65">
        <w:rPr>
          <w:rFonts w:ascii="Calibri" w:eastAsia="Calibri" w:hAnsi="Calibri" w:cs="Calibri"/>
          <w:i/>
          <w:iCs/>
          <w:sz w:val="18"/>
          <w:szCs w:val="18"/>
        </w:rPr>
        <w:t xml:space="preserve">Prameň: </w:t>
      </w:r>
      <w:r w:rsidRPr="00A95B65">
        <w:rPr>
          <w:rFonts w:ascii="Calibri" w:eastAsia="MyriadPro-Regular" w:hAnsi="Calibri" w:cs="Calibri"/>
          <w:i/>
          <w:sz w:val="18"/>
          <w:szCs w:val="18"/>
        </w:rPr>
        <w:t>Eurostat, JRC, EFGS, REGIO-GIS in EU, 2010. Prepočty VÚEPP.</w:t>
      </w:r>
    </w:p>
  </w:footnote>
  <w:footnote w:id="3">
    <w:p w:rsidR="000A3653" w:rsidRDefault="000A3653" w:rsidP="00E43137">
      <w:pPr>
        <w:pStyle w:val="Textpoznmkypodiarou"/>
      </w:pPr>
      <w:r>
        <w:rPr>
          <w:rStyle w:val="Odkaznapoznmkupodiarou"/>
        </w:rPr>
        <w:footnoteRef/>
      </w:r>
      <w:r>
        <w:t xml:space="preserve"> </w:t>
      </w:r>
      <w:r w:rsidRPr="00A95B65">
        <w:rPr>
          <w:rFonts w:ascii="Calibri" w:hAnsi="Calibri"/>
          <w:i/>
        </w:rPr>
        <w:t>článok 2(b) nariadenia (EÚ) č. 1305/2013.</w:t>
      </w:r>
    </w:p>
  </w:footnote>
  <w:footnote w:id="4">
    <w:p w:rsidR="000A3653" w:rsidRPr="00A95B65" w:rsidRDefault="000A3653" w:rsidP="00E43137">
      <w:pPr>
        <w:pStyle w:val="Textpoznmkypodiarou"/>
        <w:rPr>
          <w:rFonts w:ascii="Calibri" w:hAnsi="Calibri"/>
          <w:i/>
          <w:sz w:val="18"/>
          <w:szCs w:val="18"/>
        </w:rPr>
      </w:pPr>
      <w:r w:rsidRPr="00A95B65">
        <w:rPr>
          <w:rStyle w:val="Odkaznapoznmkupodiarou"/>
          <w:rFonts w:ascii="Calibri" w:hAnsi="Calibri"/>
          <w:i/>
          <w:sz w:val="18"/>
          <w:szCs w:val="18"/>
        </w:rPr>
        <w:footnoteRef/>
      </w:r>
      <w:r w:rsidRPr="00A95B65">
        <w:rPr>
          <w:rFonts w:ascii="Calibri" w:hAnsi="Calibri"/>
          <w:i/>
          <w:sz w:val="18"/>
          <w:szCs w:val="18"/>
        </w:rPr>
        <w:t xml:space="preserve"> </w:t>
      </w:r>
      <w:r w:rsidRPr="00A95B65">
        <w:rPr>
          <w:rFonts w:ascii="Calibri" w:hAnsi="Calibri"/>
          <w:i/>
          <w:sz w:val="18"/>
          <w:szCs w:val="18"/>
        </w:rPr>
        <w:t>článok 2(1) nariadenia (EÚ) č.1305/2013 a článok 90(2)(a) nariadenia (EÚ) č.1303/2013.</w:t>
      </w:r>
    </w:p>
  </w:footnote>
  <w:footnote w:id="5">
    <w:p w:rsidR="000A3653" w:rsidRPr="001B133C" w:rsidRDefault="000A3653" w:rsidP="007D119F">
      <w:pPr>
        <w:spacing w:before="60"/>
        <w:ind w:left="142" w:hanging="142"/>
      </w:pPr>
      <w:r w:rsidRPr="001B133C">
        <w:rPr>
          <w:rStyle w:val="Odkaznapoznmkupodiarou"/>
        </w:rPr>
        <w:footnoteRef/>
      </w:r>
      <w:r w:rsidRPr="001B133C">
        <w:t xml:space="preserve"> </w:t>
      </w:r>
      <w:r w:rsidRPr="001B133C">
        <w:rPr>
          <w:sz w:val="18"/>
        </w:rPr>
        <w:t>V rámci zjednotenia metodiky zisťovania a zvýšenia validity údajov sa na základe konzultácií so ŠÚ SR použili pre výpočet zamestnanosti údaje z VZPS a Európskeho  systému národných a regionálnych účtov, ďalej len ESNÚ95. Zamestnanosť  ESNÚ95 je vyjadrená počtom osôb zamestnancov a samozamestnávateľov, ktorí sú zapojení do výrobnej činnosti spadajúcej do rámca výroby v SNÚ. Pri konštrukcií ukazovateľov účtov práce sa používa metóda bilancovania, t. j. bilancuje sa ponuka pracovných síl s dopytom. Ide o porovnávania a harmonizovanie dát získaných z podnikových zisťovaní s dátami získanými z výberového zisťovania pracovných síl v domácnostiach tak, aby zodpovedali definíciám ILO a ESNÚ95. Podľa ESNÚ je zamestnanosť vyjadrená v domácom koncepte. V tomto koncepte sa získavajú dáta z podnikových zisťovaní.</w:t>
      </w:r>
    </w:p>
  </w:footnote>
  <w:footnote w:id="6">
    <w:p w:rsidR="000A3653" w:rsidRPr="001B133C" w:rsidRDefault="000A3653" w:rsidP="007D119F">
      <w:pPr>
        <w:spacing w:before="60"/>
        <w:ind w:left="142" w:hanging="142"/>
        <w:rPr>
          <w:sz w:val="18"/>
        </w:rPr>
      </w:pPr>
      <w:r w:rsidRPr="001B133C">
        <w:rPr>
          <w:rStyle w:val="Odkaznapoznmkupodiarou"/>
        </w:rPr>
        <w:footnoteRef/>
      </w:r>
      <w:r w:rsidRPr="001B133C">
        <w:t xml:space="preserve"> </w:t>
      </w:r>
      <w:r w:rsidRPr="001B133C">
        <w:rPr>
          <w:sz w:val="18"/>
        </w:rPr>
        <w:t xml:space="preserve">Štatistický úrad SR vykazuje zamestnanosť  podľa medzinárodne uznávanej metodiky štvrťročného výberového zisťovania pracovných síl v domácnostiach. Podľa tejto metodiky sú za pracujúcich považované všetky osoby vo veku nad 15 rokov, ktoré v sledovanom (referenčnom) týždni vykonávajú aspoň jednu hodinu prácu za mzdu, plat alebo prácu s cieľom dosiahnutia zisku, vrátane osôb pracujúcich v zahraničí. Môže ísť o prácu na plný alebo kratší pracovný čas, dočasnú, príležitostnú alebo sezónnu prácu. Medzi pracujúcich sú zahrnutí aj vypomáhajúci členovia domácností podnikateľov, ktorí za svoju činnosť nepoberajú žiadnu mzdu alebo odmenu a profesionálni príslušníci ozbrojených zložiek. Za pracujúcich sa považujú tiež osoby, ktoré majú prácu, ale v sledovanom týždni nepracujú pre chorobu, dovolenku, materskú dovolenku, školenie, zlé počasie, v dôsledku štrajku a výluky, s výnimkou osôb na dlhodobom neplatenom voľne a osôb na rodičovskej dovolenke. </w:t>
      </w:r>
    </w:p>
    <w:p w:rsidR="000A3653" w:rsidRPr="004C2CD9" w:rsidRDefault="000A3653" w:rsidP="00242C36">
      <w:pPr>
        <w:spacing w:before="60"/>
        <w:rPr>
          <w:sz w:val="18"/>
        </w:rPr>
      </w:pPr>
    </w:p>
    <w:p w:rsidR="000A3653" w:rsidRDefault="000A3653" w:rsidP="00242C36">
      <w:pPr>
        <w:spacing w:before="60"/>
      </w:pPr>
    </w:p>
  </w:footnote>
  <w:footnote w:id="7">
    <w:p w:rsidR="000A3653" w:rsidRDefault="000A3653" w:rsidP="00242C36">
      <w:pPr>
        <w:pStyle w:val="Textpoznmkypodiarou"/>
      </w:pPr>
      <w:r>
        <w:rPr>
          <w:rStyle w:val="Odkaznapoznmkupodiarou"/>
        </w:rPr>
        <w:footnoteRef/>
      </w:r>
      <w:r>
        <w:t xml:space="preserve"> </w:t>
      </w:r>
      <w:r>
        <w:t>individuálny údaj</w:t>
      </w:r>
    </w:p>
  </w:footnote>
  <w:footnote w:id="8">
    <w:p w:rsidR="000A3653" w:rsidRPr="00380F45" w:rsidRDefault="000A3653" w:rsidP="00242C36">
      <w:pPr>
        <w:rPr>
          <w:rFonts w:ascii="Calibri" w:hAnsi="Calibri"/>
          <w:i/>
          <w:sz w:val="18"/>
          <w:szCs w:val="18"/>
        </w:rPr>
      </w:pPr>
      <w:r w:rsidRPr="007B38AE">
        <w:rPr>
          <w:vertAlign w:val="superscript"/>
        </w:rPr>
        <w:t>12</w:t>
      </w:r>
      <w:r w:rsidRPr="007B38AE">
        <w:t xml:space="preserve"> </w:t>
      </w:r>
      <w:r w:rsidRPr="00380F45">
        <w:rPr>
          <w:rFonts w:ascii="Calibri" w:hAnsi="Calibri"/>
          <w:i/>
          <w:sz w:val="18"/>
          <w:szCs w:val="18"/>
        </w:rPr>
        <w:t>smernica Rady 91/676/EHS o ochrane vôd pred znečistením spôsobeným dusičnanmi z poľnohospodárskych zdrojov.</w:t>
      </w:r>
    </w:p>
  </w:footnote>
  <w:footnote w:id="9">
    <w:p w:rsidR="000A3653" w:rsidRPr="00B7604C" w:rsidRDefault="000A3653" w:rsidP="008F198F">
      <w:pPr>
        <w:pStyle w:val="Textpoznmkypodiarou"/>
        <w:ind w:left="142" w:hanging="142"/>
        <w:rPr>
          <w:sz w:val="18"/>
          <w:szCs w:val="18"/>
        </w:rPr>
      </w:pPr>
      <w:r w:rsidRPr="00B7604C">
        <w:rPr>
          <w:rStyle w:val="Odkaznapoznmkupodiarou"/>
          <w:sz w:val="18"/>
          <w:szCs w:val="18"/>
        </w:rPr>
        <w:footnoteRef/>
      </w:r>
      <w:r w:rsidRPr="00B7604C">
        <w:rPr>
          <w:sz w:val="18"/>
          <w:szCs w:val="18"/>
        </w:rPr>
        <w:t xml:space="preserve"> </w:t>
      </w:r>
      <w:r w:rsidRPr="00B7604C">
        <w:rPr>
          <w:rFonts w:cs="Calibri"/>
          <w:sz w:val="18"/>
          <w:szCs w:val="18"/>
        </w:rPr>
        <w:t>Smernica Európskeho parlamentu a Rady 2012/27/EÚ z 25. októbra 2012 o energetickej efektívnosti, ktorou sa menia a dopĺňajú smernice 2009/125/ES a 2010/30/EÚ a ktorou sa zrušujú smernice 2004/8/ES a 2006/32/ES (Ú. v. EÚ L 315, 14. 11. 2012)</w:t>
      </w:r>
    </w:p>
  </w:footnote>
  <w:footnote w:id="10">
    <w:p w:rsidR="000A3653" w:rsidRPr="00C83A6A" w:rsidRDefault="000A3653" w:rsidP="00C83A6A">
      <w:pPr>
        <w:pStyle w:val="Textpoznmkypodiarou"/>
        <w:ind w:left="284" w:hanging="284"/>
        <w:rPr>
          <w:sz w:val="18"/>
          <w:szCs w:val="18"/>
        </w:rPr>
      </w:pPr>
      <w:r w:rsidRPr="00C83A6A">
        <w:rPr>
          <w:rStyle w:val="Odkaznapoznmkupodiarou"/>
          <w:sz w:val="18"/>
          <w:szCs w:val="18"/>
        </w:rPr>
        <w:footnoteRef/>
      </w:r>
      <w:r w:rsidRPr="00C83A6A">
        <w:rPr>
          <w:sz w:val="18"/>
          <w:szCs w:val="18"/>
        </w:rPr>
        <w:t xml:space="preserve"> </w:t>
      </w:r>
      <w:r w:rsidRPr="00C83A6A">
        <w:rPr>
          <w:rFonts w:cs="TimesNewRoman,Italic"/>
          <w:i/>
          <w:iCs/>
          <w:sz w:val="18"/>
          <w:szCs w:val="18"/>
        </w:rPr>
        <w:t xml:space="preserve">V rámci </w:t>
      </w:r>
      <w:r w:rsidRPr="00C83A6A">
        <w:rPr>
          <w:rFonts w:cs="TimesNewRoman,Italic CE"/>
          <w:i/>
          <w:iCs/>
          <w:sz w:val="18"/>
          <w:szCs w:val="18"/>
        </w:rPr>
        <w:t>Národného podporného programu SR v rámci SOT s vínom sú oprávnené iba náklady na nákup hmotného majetku v súvislosti s vnútorným vybavením a zariadením, napr. nábytok, chladiarenské zariadenie, umývací drez, výčapné zariadenie, sanitárne zariadenie a pod. Vylúčené sú akékoľvek náklady na stavebné práce napr. výstavba hrubej stavby, zavedenie elektroinštalácie, vodoinštalácie, nanesenie omietky, vymaľovanie a pod.</w:t>
      </w:r>
    </w:p>
  </w:footnote>
  <w:footnote w:id="11">
    <w:p w:rsidR="000A3653" w:rsidRPr="008676F9" w:rsidRDefault="000A3653" w:rsidP="008676F9">
      <w:pPr>
        <w:pStyle w:val="Textpoznmkypodiarou"/>
        <w:rPr>
          <w:rFonts w:ascii="Calibri" w:hAnsi="Calibri"/>
          <w:sz w:val="18"/>
          <w:szCs w:val="18"/>
        </w:rPr>
      </w:pPr>
      <w:r w:rsidRPr="008676F9">
        <w:rPr>
          <w:rStyle w:val="Odkaznapoznmkupodiarou"/>
          <w:rFonts w:ascii="Calibri" w:hAnsi="Calibri"/>
          <w:sz w:val="18"/>
          <w:szCs w:val="18"/>
        </w:rPr>
        <w:footnoteRef/>
      </w:r>
      <w:r w:rsidRPr="008676F9">
        <w:rPr>
          <w:rFonts w:ascii="Calibri" w:hAnsi="Calibri"/>
          <w:sz w:val="18"/>
          <w:szCs w:val="18"/>
        </w:rPr>
        <w:t xml:space="preserve"> </w:t>
      </w:r>
      <w:r w:rsidRPr="008676F9">
        <w:rPr>
          <w:rFonts w:ascii="Calibri" w:hAnsi="Calibri"/>
          <w:sz w:val="18"/>
          <w:szCs w:val="18"/>
        </w:rPr>
        <w:t>Zmluva o fungovaní EÚ.</w:t>
      </w:r>
    </w:p>
  </w:footnote>
  <w:footnote w:id="12">
    <w:p w:rsidR="000A3653" w:rsidRPr="008676F9" w:rsidRDefault="000A3653" w:rsidP="008676F9">
      <w:pPr>
        <w:pStyle w:val="Textpoznmkypodiarou"/>
        <w:ind w:left="142" w:hanging="142"/>
        <w:rPr>
          <w:rFonts w:ascii="Calibri" w:hAnsi="Calibri"/>
          <w:sz w:val="18"/>
          <w:szCs w:val="18"/>
        </w:rPr>
      </w:pPr>
      <w:r w:rsidRPr="008676F9">
        <w:rPr>
          <w:rStyle w:val="Odkaznapoznmkupodiarou"/>
          <w:rFonts w:ascii="Calibri" w:hAnsi="Calibri"/>
          <w:sz w:val="18"/>
          <w:szCs w:val="18"/>
        </w:rPr>
        <w:footnoteRef/>
      </w:r>
      <w:r w:rsidRPr="008676F9">
        <w:rPr>
          <w:rFonts w:ascii="Calibri" w:hAnsi="Calibri"/>
          <w:sz w:val="18"/>
          <w:szCs w:val="18"/>
        </w:rPr>
        <w:t xml:space="preserve"> </w:t>
      </w:r>
      <w:r w:rsidRPr="008676F9">
        <w:rPr>
          <w:rFonts w:ascii="Calibri" w:hAnsi="Calibri"/>
          <w:i/>
          <w:iCs/>
          <w:sz w:val="18"/>
          <w:szCs w:val="18"/>
        </w:rPr>
        <w:t xml:space="preserve">spotreba domácnosti sa zarátava len </w:t>
      </w:r>
      <w:r w:rsidRPr="008676F9">
        <w:rPr>
          <w:rFonts w:ascii="Calibri" w:hAnsi="Calibri"/>
          <w:i/>
          <w:iCs/>
          <w:sz w:val="18"/>
          <w:szCs w:val="18"/>
          <w:u w:val="single"/>
        </w:rPr>
        <w:t>v prípade súkromne hospodáriaceho roľníka</w:t>
      </w:r>
      <w:r w:rsidRPr="008676F9">
        <w:rPr>
          <w:rFonts w:ascii="Calibri" w:hAnsi="Calibri"/>
          <w:i/>
          <w:iCs/>
          <w:sz w:val="18"/>
          <w:szCs w:val="18"/>
        </w:rPr>
        <w:t>, ak sa daná domácnosť nachádza v areáli daného poľnohospodárskeho  podniku</w:t>
      </w:r>
      <w:r w:rsidRPr="008676F9">
        <w:rPr>
          <w:rFonts w:ascii="Calibri" w:hAnsi="Calibri"/>
          <w:b/>
          <w:bCs/>
          <w:i/>
          <w:iCs/>
          <w:sz w:val="18"/>
          <w:szCs w:val="18"/>
        </w:rPr>
        <w:t>.</w:t>
      </w:r>
    </w:p>
  </w:footnote>
  <w:footnote w:id="13">
    <w:p w:rsidR="000A3653" w:rsidRPr="00EB6F57" w:rsidRDefault="000A3653" w:rsidP="008676F9">
      <w:pPr>
        <w:autoSpaceDE w:val="0"/>
        <w:autoSpaceDN w:val="0"/>
        <w:adjustRightInd w:val="0"/>
        <w:ind w:left="142" w:hanging="142"/>
        <w:rPr>
          <w:sz w:val="18"/>
          <w:szCs w:val="18"/>
        </w:rPr>
      </w:pPr>
      <w:r w:rsidRPr="00EB6F57">
        <w:rPr>
          <w:rStyle w:val="Odkaznapoznmkupodiarou"/>
          <w:sz w:val="18"/>
          <w:szCs w:val="18"/>
        </w:rPr>
        <w:footnoteRef/>
      </w:r>
      <w:r w:rsidRPr="00EB6F57">
        <w:rPr>
          <w:sz w:val="18"/>
          <w:szCs w:val="18"/>
        </w:rPr>
        <w:t xml:space="preserve"> </w:t>
      </w:r>
      <w:r w:rsidRPr="00EB6F57">
        <w:rPr>
          <w:rFonts w:cs="TimesNewRoman,Italic"/>
          <w:i/>
          <w:iCs/>
          <w:sz w:val="18"/>
          <w:szCs w:val="18"/>
        </w:rPr>
        <w:t xml:space="preserve">V rámci </w:t>
      </w:r>
      <w:r w:rsidRPr="00EB6F57">
        <w:rPr>
          <w:rFonts w:cs="TimesNewRoman,Italic CE"/>
          <w:i/>
          <w:iCs/>
          <w:sz w:val="18"/>
          <w:szCs w:val="18"/>
        </w:rPr>
        <w:t>Národného podporného programu SR v rámci SOT s vínom sú oprávnené iba náklady na nákup hmotného majetku v súvislosti s vnútorným vybavením a zariadením, napr. nábytok, chladiarenské zariadenie, umývací drez, výčapné zariadenie, sanitárne zariadenie a pod. Vylúčené sú akékoľvek náklady na stavebné práce napr. výstavba hrubej stavby, zavedenie elektroinštalácie, vodoinštalácie, nanesenie omietky, vymaľovanie a pod.</w:t>
      </w:r>
    </w:p>
  </w:footnote>
  <w:footnote w:id="14">
    <w:p w:rsidR="000A3653" w:rsidRPr="008676F9" w:rsidRDefault="000A3653" w:rsidP="008676F9">
      <w:pPr>
        <w:pStyle w:val="Textpoznmkypodiarou"/>
        <w:rPr>
          <w:rFonts w:ascii="Calibri" w:hAnsi="Calibri"/>
          <w:i/>
          <w:sz w:val="18"/>
          <w:szCs w:val="18"/>
        </w:rPr>
      </w:pPr>
      <w:r w:rsidRPr="008676F9">
        <w:rPr>
          <w:rStyle w:val="Odkaznapoznmkupodiarou"/>
          <w:rFonts w:ascii="Calibri" w:hAnsi="Calibri"/>
          <w:i/>
          <w:sz w:val="18"/>
          <w:szCs w:val="18"/>
        </w:rPr>
        <w:footnoteRef/>
      </w:r>
      <w:r w:rsidRPr="008676F9">
        <w:rPr>
          <w:rFonts w:ascii="Calibri" w:hAnsi="Calibri"/>
          <w:i/>
          <w:sz w:val="18"/>
          <w:szCs w:val="18"/>
        </w:rPr>
        <w:t xml:space="preserve"> </w:t>
      </w:r>
      <w:r w:rsidRPr="008676F9">
        <w:rPr>
          <w:rFonts w:ascii="Calibri" w:hAnsi="Calibri"/>
          <w:i/>
          <w:sz w:val="18"/>
          <w:szCs w:val="18"/>
        </w:rPr>
        <w:t>Podľa STN 736108 Lesná dopravná sieť</w:t>
      </w:r>
    </w:p>
  </w:footnote>
  <w:footnote w:id="15">
    <w:p w:rsidR="000A3653" w:rsidRPr="008676F9" w:rsidRDefault="000A3653" w:rsidP="00955DA4">
      <w:pPr>
        <w:pStyle w:val="Textpoznmkypodiarou"/>
        <w:rPr>
          <w:rFonts w:ascii="Calibri" w:hAnsi="Calibri"/>
          <w:i/>
        </w:rPr>
      </w:pPr>
      <w:r w:rsidRPr="008676F9">
        <w:rPr>
          <w:rStyle w:val="Odkaznapoznmkupodiarou"/>
          <w:rFonts w:ascii="Calibri" w:hAnsi="Calibri"/>
          <w:i/>
        </w:rPr>
        <w:footnoteRef/>
      </w:r>
      <w:r w:rsidRPr="008676F9">
        <w:rPr>
          <w:rFonts w:ascii="Calibri" w:hAnsi="Calibri"/>
          <w:i/>
        </w:rPr>
        <w:t xml:space="preserve"> </w:t>
      </w:r>
      <w:r w:rsidRPr="008676F9">
        <w:rPr>
          <w:rFonts w:ascii="Calibri" w:hAnsi="Calibri"/>
          <w:i/>
        </w:rPr>
        <w:t xml:space="preserve">Zodpovedajúce primerané zručnosti a schopnosti, získané v inej krajine EÚ ako v SR, sú rovnako relevantné. </w:t>
      </w:r>
    </w:p>
  </w:footnote>
  <w:footnote w:id="16">
    <w:p w:rsidR="000A3653" w:rsidRPr="00016B4F" w:rsidRDefault="000A3653" w:rsidP="008676F9">
      <w:pPr>
        <w:pStyle w:val="Textpoznmkypodiarou"/>
        <w:ind w:left="142" w:hanging="142"/>
        <w:rPr>
          <w:i/>
          <w:sz w:val="18"/>
          <w:szCs w:val="18"/>
        </w:rPr>
      </w:pPr>
      <w:r w:rsidRPr="00016B4F">
        <w:rPr>
          <w:rStyle w:val="Odkaznapoznmkupodiarou"/>
          <w:sz w:val="18"/>
          <w:szCs w:val="18"/>
        </w:rPr>
        <w:footnoteRef/>
      </w:r>
      <w:r w:rsidRPr="00016B4F">
        <w:rPr>
          <w:sz w:val="18"/>
          <w:szCs w:val="18"/>
        </w:rPr>
        <w:t xml:space="preserve"> </w:t>
      </w:r>
      <w:r w:rsidRPr="00016B4F">
        <w:rPr>
          <w:i/>
          <w:sz w:val="18"/>
          <w:szCs w:val="18"/>
        </w:rPr>
        <w:t xml:space="preserve">V rámci </w:t>
      </w:r>
      <w:r w:rsidRPr="00016B4F">
        <w:rPr>
          <w:b/>
          <w:i/>
          <w:sz w:val="18"/>
          <w:szCs w:val="18"/>
        </w:rPr>
        <w:t>činnosti 3</w:t>
      </w:r>
      <w:r w:rsidRPr="00016B4F">
        <w:rPr>
          <w:i/>
          <w:sz w:val="18"/>
          <w:szCs w:val="18"/>
        </w:rPr>
        <w:t xml:space="preserve"> nie sú oprávnené investície súvisiace s drevospracujúcim priemyslom (piliarska výroba, výroba nábytku a pod.), s výnimkou využívania dreva ako OZE.</w:t>
      </w:r>
    </w:p>
    <w:p w:rsidR="000A3653" w:rsidRPr="00016B4F" w:rsidRDefault="000A3653" w:rsidP="008676F9">
      <w:pPr>
        <w:ind w:left="142"/>
        <w:rPr>
          <w:rFonts w:eastAsia="Calibri"/>
          <w:i/>
          <w:sz w:val="18"/>
          <w:szCs w:val="18"/>
        </w:rPr>
      </w:pPr>
      <w:r w:rsidRPr="00016B4F">
        <w:rPr>
          <w:rFonts w:eastAsia="Calibri"/>
          <w:i/>
          <w:sz w:val="18"/>
          <w:szCs w:val="18"/>
        </w:rPr>
        <w:t xml:space="preserve">V prípade obhospodarovateľov lesa je </w:t>
      </w:r>
      <w:r w:rsidRPr="00016B4F">
        <w:rPr>
          <w:rFonts w:eastAsia="Calibri"/>
          <w:b/>
          <w:i/>
          <w:sz w:val="18"/>
          <w:szCs w:val="18"/>
        </w:rPr>
        <w:t>činnosť 1</w:t>
      </w:r>
      <w:r w:rsidRPr="00016B4F">
        <w:rPr>
          <w:rFonts w:eastAsia="Calibri"/>
          <w:i/>
          <w:sz w:val="18"/>
          <w:szCs w:val="18"/>
        </w:rPr>
        <w:t xml:space="preserve"> oprávnená s výnimkou budovania a obnovy občianskej a poznávacej infraštruktúry.</w:t>
      </w:r>
    </w:p>
    <w:p w:rsidR="000A3653" w:rsidRPr="00016B4F" w:rsidRDefault="000A3653" w:rsidP="008676F9">
      <w:pPr>
        <w:ind w:left="142"/>
        <w:rPr>
          <w:rFonts w:eastAsia="Calibri"/>
          <w:i/>
          <w:sz w:val="18"/>
          <w:szCs w:val="18"/>
        </w:rPr>
      </w:pPr>
      <w:r w:rsidRPr="00016B4F">
        <w:rPr>
          <w:rFonts w:eastAsia="Calibri"/>
          <w:i/>
          <w:sz w:val="18"/>
          <w:szCs w:val="18"/>
        </w:rPr>
        <w:t>V prípade podnikov akvakultúry nie sú oprávnené investície do alternatívnych zdrojov príjmov, ktoré súvisia s akvakultúrou, ako je rybárska turistika, environmentálne služby v oblasti  akvakultúry, vzdelávacie aktivity súvisiace s akvakultúrou a pod.</w:t>
      </w:r>
    </w:p>
  </w:footnote>
  <w:footnote w:id="17">
    <w:p w:rsidR="000A3653" w:rsidRPr="008676F9" w:rsidRDefault="000A3653" w:rsidP="008676F9">
      <w:pPr>
        <w:pStyle w:val="Textpoznmkypodiarou"/>
        <w:ind w:left="142" w:hanging="142"/>
        <w:rPr>
          <w:rFonts w:ascii="Calibri" w:hAnsi="Calibri"/>
          <w:i/>
          <w:sz w:val="18"/>
          <w:szCs w:val="18"/>
        </w:rPr>
      </w:pPr>
      <w:r w:rsidRPr="008676F9">
        <w:rPr>
          <w:rStyle w:val="Odkaznapoznmkupodiarou"/>
          <w:rFonts w:ascii="Calibri" w:hAnsi="Calibri"/>
          <w:i/>
          <w:sz w:val="18"/>
          <w:szCs w:val="18"/>
        </w:rPr>
        <w:footnoteRef/>
      </w:r>
      <w:r w:rsidRPr="008676F9">
        <w:rPr>
          <w:rFonts w:ascii="Calibri" w:hAnsi="Calibri"/>
          <w:i/>
          <w:sz w:val="18"/>
          <w:szCs w:val="18"/>
        </w:rPr>
        <w:t xml:space="preserve"> </w:t>
      </w:r>
      <w:r w:rsidRPr="008676F9">
        <w:rPr>
          <w:rFonts w:ascii="Calibri" w:hAnsi="Calibri"/>
          <w:i/>
          <w:sz w:val="18"/>
          <w:szCs w:val="18"/>
        </w:rPr>
        <w:t>Podpora v rámci BA kraja sa bude vykonávať v súlade s nariadením Komisie (EÚ) č. 1407/2013 o uplatňovaní článkov 107 a 108 ZFEÚ na  pomoc de minimis, v ostatných krajoch SR bude podpora vykonávaná v súlade s nariadením Komisie (EÚ) č... vyhlasujúcim určité kategórie pomoci za zlučiteľné s vnútorným trhom pri uplatňovaní článkov 107 a 108 ZFEÚ.</w:t>
      </w:r>
    </w:p>
  </w:footnote>
  <w:footnote w:id="18">
    <w:p w:rsidR="000A3653" w:rsidRPr="006C71EE" w:rsidRDefault="000A3653" w:rsidP="006C71EE">
      <w:pPr>
        <w:pStyle w:val="Textpoznmkypodiarou"/>
        <w:rPr>
          <w:sz w:val="18"/>
          <w:szCs w:val="18"/>
        </w:rPr>
      </w:pPr>
      <w:r w:rsidRPr="006C71EE">
        <w:rPr>
          <w:rStyle w:val="Odkaznapoznmkupodiarou"/>
          <w:sz w:val="18"/>
          <w:szCs w:val="18"/>
        </w:rPr>
        <w:footnoteRef/>
      </w:r>
      <w:r w:rsidRPr="006C71EE">
        <w:rPr>
          <w:sz w:val="18"/>
          <w:szCs w:val="18"/>
        </w:rPr>
        <w:t xml:space="preserve"> </w:t>
      </w:r>
      <w:r w:rsidRPr="006C71EE">
        <w:rPr>
          <w:rFonts w:ascii="Calibri" w:hAnsi="Calibri"/>
          <w:i/>
          <w:sz w:val="18"/>
          <w:szCs w:val="18"/>
        </w:rPr>
        <w:t>Právnickou osobou sa rozumie aj obec, ktorá obhospodaruje les a podniká na základe oprávnenia.</w:t>
      </w:r>
    </w:p>
  </w:footnote>
  <w:footnote w:id="19">
    <w:p w:rsidR="000A3653" w:rsidRPr="006C71EE" w:rsidRDefault="000A3653" w:rsidP="006C71EE">
      <w:pPr>
        <w:pStyle w:val="Textpoznmkypodiarou"/>
        <w:rPr>
          <w:rFonts w:ascii="Calibri" w:hAnsi="Calibri"/>
          <w:i/>
          <w:sz w:val="18"/>
          <w:szCs w:val="18"/>
        </w:rPr>
      </w:pPr>
      <w:r w:rsidRPr="006C71EE">
        <w:rPr>
          <w:rStyle w:val="Odkaznapoznmkupodiarou"/>
          <w:rFonts w:ascii="Calibri" w:hAnsi="Calibri"/>
          <w:i/>
          <w:sz w:val="18"/>
          <w:szCs w:val="18"/>
        </w:rPr>
        <w:footnoteRef/>
      </w:r>
      <w:r w:rsidRPr="006C71EE">
        <w:rPr>
          <w:rFonts w:ascii="Calibri" w:hAnsi="Calibri"/>
          <w:i/>
          <w:sz w:val="18"/>
          <w:szCs w:val="18"/>
        </w:rPr>
        <w:t xml:space="preserve"> </w:t>
      </w:r>
      <w:r w:rsidRPr="006C71EE">
        <w:rPr>
          <w:rFonts w:ascii="Calibri" w:hAnsi="Calibri"/>
          <w:i/>
          <w:sz w:val="18"/>
          <w:szCs w:val="18"/>
        </w:rPr>
        <w:t>Kompenzácia straty príjmu v dôsledku prírodnej katastrofy nie je oprávnená na podporu.</w:t>
      </w:r>
    </w:p>
  </w:footnote>
  <w:footnote w:id="20">
    <w:p w:rsidR="000A3653" w:rsidRPr="008676F9" w:rsidRDefault="000A3653" w:rsidP="008676F9">
      <w:pPr>
        <w:pStyle w:val="Textpoznmkypodiarou"/>
        <w:rPr>
          <w:rFonts w:ascii="Calibri" w:hAnsi="Calibri"/>
          <w:i/>
        </w:rPr>
      </w:pPr>
      <w:r w:rsidRPr="006C71EE">
        <w:rPr>
          <w:rStyle w:val="Odkaznapoznmkupodiarou"/>
          <w:rFonts w:ascii="Calibri" w:hAnsi="Calibri"/>
          <w:i/>
          <w:sz w:val="18"/>
          <w:szCs w:val="18"/>
        </w:rPr>
        <w:footnoteRef/>
      </w:r>
      <w:r w:rsidRPr="006C71EE">
        <w:rPr>
          <w:rFonts w:ascii="Calibri" w:hAnsi="Calibri"/>
          <w:i/>
          <w:sz w:val="18"/>
          <w:szCs w:val="18"/>
        </w:rPr>
        <w:t xml:space="preserve"> </w:t>
      </w:r>
      <w:r w:rsidRPr="006C71EE">
        <w:rPr>
          <w:rFonts w:ascii="Calibri" w:hAnsi="Calibri"/>
          <w:i/>
          <w:sz w:val="18"/>
          <w:szCs w:val="18"/>
        </w:rPr>
        <w:t>DVT – drobné vodné toky</w:t>
      </w:r>
    </w:p>
  </w:footnote>
  <w:footnote w:id="21">
    <w:p w:rsidR="000A3653" w:rsidRDefault="000A3653" w:rsidP="006C71EE">
      <w:pPr>
        <w:pStyle w:val="Textpoznmkypodiarou"/>
      </w:pPr>
      <w:r>
        <w:rPr>
          <w:rStyle w:val="Odkaznapoznmkupodiarou"/>
        </w:rPr>
        <w:footnoteRef/>
      </w:r>
      <w:r>
        <w:t xml:space="preserve"> </w:t>
      </w:r>
      <w:r w:rsidRPr="008676F9">
        <w:rPr>
          <w:rFonts w:ascii="Calibri" w:hAnsi="Calibri"/>
          <w:i/>
          <w:sz w:val="18"/>
          <w:szCs w:val="18"/>
        </w:rPr>
        <w:t>Právnickou osobou sa rozumie aj obec, ktorá obhospodaruje les a podniká na základe oprávnenia.</w:t>
      </w:r>
    </w:p>
  </w:footnote>
  <w:footnote w:id="22">
    <w:p w:rsidR="000A3653" w:rsidRPr="006C71EE" w:rsidRDefault="000A3653" w:rsidP="006C71EE">
      <w:pPr>
        <w:pStyle w:val="Textpoznmkypodiarou"/>
        <w:rPr>
          <w:rFonts w:ascii="Calibri" w:hAnsi="Calibri"/>
          <w:sz w:val="18"/>
          <w:szCs w:val="18"/>
        </w:rPr>
      </w:pPr>
      <w:r w:rsidRPr="006C71EE">
        <w:rPr>
          <w:rStyle w:val="Odkaznapoznmkupodiarou"/>
          <w:rFonts w:ascii="Calibri" w:hAnsi="Calibri"/>
          <w:sz w:val="18"/>
          <w:szCs w:val="18"/>
        </w:rPr>
        <w:footnoteRef/>
      </w:r>
      <w:r w:rsidRPr="006C71EE">
        <w:rPr>
          <w:rFonts w:ascii="Calibri" w:hAnsi="Calibri"/>
          <w:sz w:val="18"/>
          <w:szCs w:val="18"/>
        </w:rPr>
        <w:t xml:space="preserve"> </w:t>
      </w:r>
      <w:r w:rsidRPr="006C71EE">
        <w:rPr>
          <w:rFonts w:ascii="Calibri" w:hAnsi="Calibri"/>
          <w:i/>
          <w:sz w:val="18"/>
          <w:szCs w:val="18"/>
        </w:rPr>
        <w:t>Kompenzácia straty príjmu v dôsledku prírodnej katastrofy nie je oprávnená na podporu</w:t>
      </w:r>
    </w:p>
  </w:footnote>
  <w:footnote w:id="23">
    <w:p w:rsidR="000A3653" w:rsidRDefault="000A3653" w:rsidP="006C71EE">
      <w:pPr>
        <w:pStyle w:val="Textpoznmkypodiarou"/>
      </w:pPr>
      <w:r>
        <w:rPr>
          <w:rStyle w:val="Odkaznapoznmkupodiarou"/>
        </w:rPr>
        <w:footnoteRef/>
      </w:r>
      <w:r>
        <w:t xml:space="preserve"> </w:t>
      </w:r>
      <w:r w:rsidRPr="008676F9">
        <w:rPr>
          <w:rFonts w:ascii="Calibri" w:hAnsi="Calibri"/>
          <w:i/>
          <w:sz w:val="18"/>
          <w:szCs w:val="18"/>
        </w:rPr>
        <w:t>Právnickou osobou sa rozumie aj obec, ktorá obhospodaruje les a podniká na základe oprávnenia.</w:t>
      </w:r>
    </w:p>
  </w:footnote>
  <w:footnote w:id="24">
    <w:p w:rsidR="000A3653" w:rsidRPr="006C71EE" w:rsidRDefault="000A3653" w:rsidP="008676F9">
      <w:pPr>
        <w:pStyle w:val="Textpoznmkypodiarou"/>
        <w:rPr>
          <w:rFonts w:ascii="Calibri" w:hAnsi="Calibri"/>
          <w:sz w:val="18"/>
          <w:szCs w:val="18"/>
        </w:rPr>
      </w:pPr>
      <w:r w:rsidRPr="006C71EE">
        <w:rPr>
          <w:rStyle w:val="Odkaznapoznmkupodiarou"/>
          <w:rFonts w:ascii="Calibri" w:hAnsi="Calibri"/>
          <w:sz w:val="18"/>
          <w:szCs w:val="18"/>
        </w:rPr>
        <w:footnoteRef/>
      </w:r>
      <w:r w:rsidRPr="006C71EE">
        <w:rPr>
          <w:rFonts w:ascii="Calibri" w:hAnsi="Calibri"/>
          <w:sz w:val="18"/>
          <w:szCs w:val="18"/>
        </w:rPr>
        <w:t xml:space="preserve"> </w:t>
      </w:r>
      <w:r w:rsidRPr="006C71EE">
        <w:rPr>
          <w:rFonts w:ascii="Calibri" w:hAnsi="Calibri"/>
          <w:i/>
          <w:sz w:val="18"/>
          <w:szCs w:val="18"/>
        </w:rPr>
        <w:t>Kompenzácia straty príjmu v dôsledku prírodnej katastrofy nie je oprávnená na podporu.</w:t>
      </w:r>
    </w:p>
  </w:footnote>
  <w:footnote w:id="25">
    <w:p w:rsidR="000A3653" w:rsidRDefault="000A3653" w:rsidP="005C7530">
      <w:pPr>
        <w:pStyle w:val="Textpoznmkypodiarou"/>
      </w:pPr>
      <w:r>
        <w:rPr>
          <w:rStyle w:val="Odkaznapoznmkupodiarou"/>
        </w:rPr>
        <w:footnoteRef/>
      </w:r>
      <w:r>
        <w:t xml:space="preserve"> </w:t>
      </w:r>
      <w:r w:rsidRPr="008676F9">
        <w:rPr>
          <w:rFonts w:ascii="Calibri" w:hAnsi="Calibri"/>
          <w:i/>
          <w:sz w:val="18"/>
          <w:szCs w:val="18"/>
        </w:rPr>
        <w:t>Právnickou osobou sa rozumie aj obec, ktorá obhospodaruje les a podniká na základe oprávnenia.</w:t>
      </w:r>
    </w:p>
  </w:footnote>
  <w:footnote w:id="26">
    <w:p w:rsidR="000A3653" w:rsidRPr="008424BA" w:rsidRDefault="000A3653" w:rsidP="005C7530">
      <w:pPr>
        <w:spacing w:after="60"/>
        <w:contextualSpacing/>
        <w:rPr>
          <w:rFonts w:eastAsia="Calibri" w:cs="Calibri"/>
          <w:bCs/>
          <w:sz w:val="20"/>
          <w:szCs w:val="20"/>
        </w:rPr>
      </w:pPr>
      <w:r w:rsidRPr="008424BA">
        <w:rPr>
          <w:rStyle w:val="Odkaznapoznmkupodiarou"/>
          <w:sz w:val="20"/>
          <w:szCs w:val="20"/>
        </w:rPr>
        <w:footnoteRef/>
      </w:r>
      <w:r w:rsidRPr="008424BA">
        <w:rPr>
          <w:sz w:val="20"/>
          <w:szCs w:val="20"/>
        </w:rPr>
        <w:t xml:space="preserve"> </w:t>
      </w:r>
      <w:r w:rsidRPr="008424BA">
        <w:rPr>
          <w:i/>
          <w:sz w:val="20"/>
          <w:szCs w:val="20"/>
        </w:rPr>
        <w:t>Kompenzácia straty príjmu v dôsledku prírodnej katastrofy nie je oprávnená na podporu.</w:t>
      </w:r>
    </w:p>
    <w:p w:rsidR="000A3653" w:rsidRDefault="000A3653" w:rsidP="005C7530">
      <w:pPr>
        <w:pStyle w:val="Textpoznmkypodiarou"/>
      </w:pPr>
    </w:p>
  </w:footnote>
  <w:footnote w:id="27">
    <w:p w:rsidR="000A3653" w:rsidRPr="008676F9" w:rsidRDefault="000A3653" w:rsidP="008676F9">
      <w:pPr>
        <w:pStyle w:val="Textpoznmkypodiarou"/>
        <w:rPr>
          <w:rFonts w:ascii="Calibri" w:hAnsi="Calibri"/>
          <w:i/>
          <w:sz w:val="18"/>
          <w:szCs w:val="18"/>
        </w:rPr>
      </w:pPr>
      <w:r w:rsidRPr="008676F9">
        <w:rPr>
          <w:rStyle w:val="Odkaznapoznmkupodiarou"/>
          <w:rFonts w:ascii="Calibri" w:hAnsi="Calibri"/>
          <w:i/>
          <w:sz w:val="18"/>
          <w:szCs w:val="18"/>
        </w:rPr>
        <w:footnoteRef/>
      </w:r>
      <w:r w:rsidRPr="008676F9">
        <w:rPr>
          <w:rFonts w:ascii="Calibri" w:hAnsi="Calibri"/>
          <w:i/>
          <w:sz w:val="18"/>
          <w:szCs w:val="18"/>
        </w:rPr>
        <w:t xml:space="preserve"> </w:t>
      </w:r>
      <w:r w:rsidRPr="008676F9">
        <w:rPr>
          <w:rFonts w:ascii="Calibri" w:hAnsi="Calibri"/>
          <w:i/>
          <w:sz w:val="18"/>
          <w:szCs w:val="18"/>
        </w:rPr>
        <w:t xml:space="preserve">Právnickou osobou sa rozumie aj obec, ktorá obhospodaruje les a podniká na základe oprávnenia. </w:t>
      </w:r>
    </w:p>
  </w:footnote>
  <w:footnote w:id="28">
    <w:p w:rsidR="000A3653" w:rsidRPr="009951B6" w:rsidRDefault="000A3653" w:rsidP="009951B6">
      <w:pPr>
        <w:pStyle w:val="Textpoznmkypodiarou"/>
        <w:ind w:left="142" w:hanging="142"/>
        <w:rPr>
          <w:rFonts w:ascii="Calibri" w:hAnsi="Calibri" w:cs="Arial"/>
          <w:i/>
          <w:color w:val="000000"/>
          <w:sz w:val="18"/>
          <w:szCs w:val="18"/>
        </w:rPr>
      </w:pPr>
      <w:r w:rsidRPr="009951B6">
        <w:rPr>
          <w:rFonts w:ascii="Calibri" w:hAnsi="Calibri" w:cs="Arial"/>
          <w:i/>
          <w:color w:val="000000"/>
          <w:sz w:val="18"/>
          <w:szCs w:val="18"/>
          <w:vertAlign w:val="superscript"/>
        </w:rPr>
        <w:footnoteRef/>
      </w:r>
      <w:r>
        <w:rPr>
          <w:rFonts w:ascii="Calibri" w:hAnsi="Calibri" w:cs="Arial"/>
          <w:i/>
          <w:color w:val="000000"/>
          <w:sz w:val="18"/>
          <w:szCs w:val="18"/>
        </w:rPr>
        <w:t xml:space="preserve"> </w:t>
      </w:r>
      <w:r w:rsidRPr="009951B6">
        <w:rPr>
          <w:rFonts w:ascii="Calibri" w:hAnsi="Calibri" w:cs="Arial"/>
          <w:i/>
          <w:color w:val="000000"/>
          <w:sz w:val="18"/>
          <w:szCs w:val="18"/>
        </w:rPr>
        <w:t>Výstavba lesných ciest, činnosti súvisiace s regeneráciou lesa po ťažbe, zalesňovanie po ťažbe nie sú oprávnenými výdavkami.</w:t>
      </w:r>
    </w:p>
  </w:footnote>
  <w:footnote w:id="29">
    <w:p w:rsidR="000A3653" w:rsidRPr="008676F9" w:rsidRDefault="000A3653" w:rsidP="008676F9">
      <w:pPr>
        <w:pStyle w:val="Textpoznmkypodiarou"/>
        <w:rPr>
          <w:rFonts w:ascii="Calibri" w:hAnsi="Calibri"/>
          <w:i/>
          <w:sz w:val="18"/>
          <w:szCs w:val="18"/>
        </w:rPr>
      </w:pPr>
      <w:r>
        <w:rPr>
          <w:rStyle w:val="Odkaznapoznmkupodiarou"/>
        </w:rPr>
        <w:footnoteRef/>
      </w:r>
      <w:r>
        <w:t xml:space="preserve"> </w:t>
      </w:r>
      <w:r w:rsidRPr="008676F9">
        <w:rPr>
          <w:rFonts w:ascii="Calibri" w:hAnsi="Calibri"/>
          <w:i/>
          <w:sz w:val="18"/>
          <w:szCs w:val="18"/>
        </w:rPr>
        <w:t>suma príjmov, ktoré poľnohospodár získal predajom, podporou z verejných zdrojov znížená o vstupné náklady.</w:t>
      </w:r>
    </w:p>
  </w:footnote>
  <w:footnote w:id="30">
    <w:p w:rsidR="000A3653" w:rsidRPr="0075211A" w:rsidRDefault="000A3653" w:rsidP="00687B8E">
      <w:pPr>
        <w:autoSpaceDE w:val="0"/>
        <w:autoSpaceDN w:val="0"/>
        <w:adjustRightInd w:val="0"/>
        <w:ind w:left="284" w:hanging="284"/>
        <w:rPr>
          <w:sz w:val="18"/>
          <w:szCs w:val="18"/>
        </w:rPr>
      </w:pPr>
      <w:r w:rsidRPr="0075211A">
        <w:rPr>
          <w:rStyle w:val="Odkaznapoznmkupodiarou"/>
          <w:sz w:val="18"/>
          <w:szCs w:val="18"/>
        </w:rPr>
        <w:footnoteRef/>
      </w:r>
      <w:r w:rsidRPr="0075211A">
        <w:rPr>
          <w:sz w:val="18"/>
          <w:szCs w:val="18"/>
        </w:rPr>
        <w:t xml:space="preserve"> </w:t>
      </w:r>
      <w:r w:rsidRPr="0075211A">
        <w:rPr>
          <w:rFonts w:eastAsiaTheme="minorHAnsi" w:cs="LegacySerifItcTOT-BookItal"/>
          <w:i/>
          <w:iCs/>
          <w:sz w:val="18"/>
          <w:szCs w:val="18"/>
          <w:lang w:eastAsia="en-US"/>
        </w:rPr>
        <w:t xml:space="preserve">Systém koordinácie implementácie horizontálnej priority Rovnosť príležitostí pre programové obdobie 2007 – 2013. </w:t>
      </w:r>
      <w:r w:rsidRPr="0075211A">
        <w:rPr>
          <w:rFonts w:eastAsiaTheme="minorHAnsi" w:cs="LegacySerifItcTOT-Book"/>
          <w:sz w:val="18"/>
          <w:szCs w:val="18"/>
          <w:lang w:eastAsia="en-US"/>
        </w:rPr>
        <w:t>Ministerstvo práce, sociálnych vecí a rodiny, 2008.</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A3653" w:rsidRPr="00E43137" w:rsidRDefault="000A3653" w:rsidP="000429A6">
    <w:pPr>
      <w:pBdr>
        <w:bottom w:val="single" w:sz="4" w:space="1" w:color="auto"/>
        <w:between w:val="single" w:sz="4" w:space="1" w:color="4F81BD"/>
      </w:pBdr>
      <w:tabs>
        <w:tab w:val="center" w:pos="4536"/>
        <w:tab w:val="right" w:pos="9072"/>
      </w:tabs>
      <w:rPr>
        <w:rFonts w:ascii="Calibri" w:eastAsia="Calibri" w:hAnsi="Calibri"/>
        <w:i/>
        <w:sz w:val="20"/>
        <w:szCs w:val="20"/>
        <w:lang w:eastAsia="en-US"/>
      </w:rPr>
    </w:pPr>
    <w:r w:rsidRPr="00E43137">
      <w:rPr>
        <w:rFonts w:ascii="Calibri" w:eastAsia="Calibri" w:hAnsi="Calibri"/>
        <w:i/>
        <w:sz w:val="20"/>
        <w:szCs w:val="20"/>
        <w:lang w:eastAsia="en-US"/>
      </w:rPr>
      <w:t>Program ro</w:t>
    </w:r>
    <w:r>
      <w:rPr>
        <w:rFonts w:ascii="Calibri" w:eastAsia="Calibri" w:hAnsi="Calibri"/>
        <w:i/>
        <w:sz w:val="20"/>
        <w:szCs w:val="20"/>
        <w:lang w:eastAsia="en-US"/>
      </w:rPr>
      <w:t>zvoja vidieka SR 2014 – 2020</w:t>
    </w: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A3653" w:rsidRPr="006A6B3A" w:rsidRDefault="000A3653" w:rsidP="006A6B3A">
    <w:pPr>
      <w:pStyle w:val="Hlavika"/>
      <w:pBdr>
        <w:bottom w:val="single" w:sz="4" w:space="1" w:color="auto"/>
        <w:between w:val="single" w:sz="4" w:space="1" w:color="4F81BD"/>
      </w:pBdr>
      <w:rPr>
        <w:i/>
        <w:sz w:val="20"/>
        <w:szCs w:val="20"/>
      </w:rPr>
    </w:pPr>
    <w:r w:rsidRPr="006A6B3A">
      <w:rPr>
        <w:i/>
        <w:sz w:val="20"/>
        <w:szCs w:val="20"/>
      </w:rPr>
      <w:t xml:space="preserve">Program rozvoja vidieka SR 2014 – 2020                                                                                                                                                                                                                                </w:t>
    </w:r>
  </w:p>
</w:hdr>
</file>

<file path=word/header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A3653" w:rsidRPr="00D42D00" w:rsidRDefault="000A3653" w:rsidP="00D42D00">
    <w:pPr>
      <w:pStyle w:val="Hlavika"/>
      <w:pBdr>
        <w:bottom w:val="single" w:sz="4" w:space="1" w:color="auto"/>
        <w:between w:val="single" w:sz="4" w:space="1" w:color="4F81BD"/>
      </w:pBdr>
      <w:rPr>
        <w:i/>
        <w:sz w:val="20"/>
        <w:szCs w:val="20"/>
      </w:rPr>
    </w:pPr>
    <w:r w:rsidRPr="00D42D00">
      <w:rPr>
        <w:i/>
        <w:sz w:val="20"/>
        <w:szCs w:val="20"/>
      </w:rPr>
      <w:t xml:space="preserve">Program rozvoja vidieka SR 2014 – 2020                                 </w:t>
    </w:r>
  </w:p>
</w:hdr>
</file>

<file path=word/header1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A3653" w:rsidRPr="00425CA0" w:rsidRDefault="000A3653" w:rsidP="005F1A9E">
    <w:pPr>
      <w:pStyle w:val="Hlavika"/>
      <w:pBdr>
        <w:bottom w:val="single" w:sz="4" w:space="1" w:color="auto"/>
        <w:between w:val="single" w:sz="4" w:space="1" w:color="4F81BD"/>
      </w:pBdr>
      <w:rPr>
        <w:i/>
        <w:sz w:val="20"/>
        <w:szCs w:val="20"/>
      </w:rPr>
    </w:pPr>
    <w:r w:rsidRPr="00425CA0">
      <w:rPr>
        <w:i/>
        <w:sz w:val="20"/>
        <w:szCs w:val="20"/>
      </w:rPr>
      <w:t xml:space="preserve">Program rozvoja vidieka SR 2014 – 2020                                 </w:t>
    </w:r>
  </w:p>
</w:hdr>
</file>

<file path=word/header1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76A54" w:rsidRPr="00076A54" w:rsidRDefault="00076A54" w:rsidP="00076A54">
    <w:pPr>
      <w:pStyle w:val="Hlavika"/>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A3653" w:rsidRPr="00780C87" w:rsidRDefault="000A3653" w:rsidP="00634452">
    <w:pPr>
      <w:pStyle w:val="Hlavika"/>
      <w:pBdr>
        <w:bottom w:val="single" w:sz="4" w:space="1" w:color="auto"/>
      </w:pBdr>
      <w:rPr>
        <w:b/>
        <w:sz w:val="20"/>
        <w:szCs w:val="20"/>
      </w:rPr>
    </w:pPr>
    <w:r w:rsidRPr="008E2B14">
      <w:rPr>
        <w:rFonts w:ascii="Calibri" w:hAnsi="Calibri"/>
        <w:i/>
        <w:sz w:val="20"/>
        <w:szCs w:val="20"/>
      </w:rPr>
      <w:t xml:space="preserve">Program rozvoja vidieka SR 2014-2020                                             </w:t>
    </w:r>
    <w:r>
      <w:rPr>
        <w:rFonts w:ascii="Calibri" w:hAnsi="Calibri"/>
        <w:i/>
        <w:sz w:val="20"/>
        <w:szCs w:val="20"/>
      </w:rPr>
      <w:t xml:space="preserve">  </w:t>
    </w:r>
    <w:r w:rsidRPr="008E2B14">
      <w:rPr>
        <w:rFonts w:ascii="Calibri" w:hAnsi="Calibri"/>
        <w:i/>
        <w:sz w:val="20"/>
        <w:szCs w:val="20"/>
      </w:rPr>
      <w:t xml:space="preserve">                                 </w:t>
    </w:r>
    <w:r>
      <w:rPr>
        <w:rFonts w:ascii="Calibri" w:hAnsi="Calibri"/>
        <w:i/>
        <w:sz w:val="20"/>
        <w:szCs w:val="20"/>
      </w:rPr>
      <w:t xml:space="preserve">              </w:t>
    </w:r>
  </w:p>
  <w:p w:rsidR="000A3653" w:rsidRDefault="000A3653">
    <w:pPr>
      <w:pStyle w:val="Hlavika"/>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A3653" w:rsidRPr="003D0842" w:rsidRDefault="000A3653" w:rsidP="003D0842">
    <w:pPr>
      <w:pStyle w:val="Hlavika"/>
      <w:pBdr>
        <w:bottom w:val="single" w:sz="4" w:space="1" w:color="auto"/>
      </w:pBdr>
      <w:rPr>
        <w:i/>
        <w:sz w:val="20"/>
      </w:rPr>
    </w:pPr>
    <w:r w:rsidRPr="003D0842">
      <w:rPr>
        <w:i/>
        <w:sz w:val="20"/>
      </w:rPr>
      <w:t>Program rozvoja vidieka SR 2014 –</w:t>
    </w:r>
    <w:r w:rsidRPr="003D0842">
      <w:rPr>
        <w:i/>
        <w:sz w:val="20"/>
        <w:szCs w:val="20"/>
      </w:rPr>
      <w:t>20</w:t>
    </w:r>
    <w:r>
      <w:rPr>
        <w:i/>
        <w:sz w:val="20"/>
        <w:szCs w:val="20"/>
      </w:rPr>
      <w:t>20</w:t>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A3653" w:rsidRPr="000905ED" w:rsidRDefault="000A3653" w:rsidP="005F1407">
    <w:pPr>
      <w:pStyle w:val="Hlavika"/>
      <w:pBdr>
        <w:bottom w:val="single" w:sz="4" w:space="1" w:color="auto"/>
      </w:pBdr>
      <w:rPr>
        <w:i/>
        <w:sz w:val="20"/>
      </w:rPr>
    </w:pPr>
    <w:r w:rsidRPr="000905ED">
      <w:rPr>
        <w:i/>
        <w:sz w:val="20"/>
      </w:rPr>
      <w:t>Program rozvoja vidieka SR 2014 – 2020</w:t>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A3653" w:rsidRPr="000905ED" w:rsidRDefault="000A3653" w:rsidP="000905ED">
    <w:pPr>
      <w:pStyle w:val="Hlavika"/>
      <w:pBdr>
        <w:bottom w:val="single" w:sz="4" w:space="1" w:color="auto"/>
      </w:pBdr>
      <w:rPr>
        <w:i/>
        <w:sz w:val="20"/>
      </w:rPr>
    </w:pPr>
    <w:r w:rsidRPr="000905ED">
      <w:rPr>
        <w:i/>
        <w:sz w:val="20"/>
      </w:rPr>
      <w:t>Program rozvoja vidieka SR 2014 – 2020</w:t>
    </w: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A3653" w:rsidRPr="00425CA0" w:rsidRDefault="000A3653" w:rsidP="00BB33FC">
    <w:pPr>
      <w:pStyle w:val="Hlavika"/>
      <w:pBdr>
        <w:bottom w:val="single" w:sz="4" w:space="1" w:color="auto"/>
      </w:pBdr>
      <w:rPr>
        <w:i/>
        <w:sz w:val="20"/>
      </w:rPr>
    </w:pPr>
    <w:r w:rsidRPr="00425CA0">
      <w:rPr>
        <w:i/>
        <w:sz w:val="20"/>
      </w:rPr>
      <w:t xml:space="preserve">Program rozvoja vidieka SR 2014 – 2020                                                                                                                                                                                                      </w:t>
    </w: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A3653" w:rsidRPr="00CA6003" w:rsidRDefault="000A3653" w:rsidP="006C75BE">
    <w:pPr>
      <w:pBdr>
        <w:bottom w:val="single" w:sz="4" w:space="1" w:color="auto"/>
        <w:between w:val="single" w:sz="4" w:space="1" w:color="4F81BD"/>
      </w:pBdr>
      <w:tabs>
        <w:tab w:val="center" w:pos="4536"/>
        <w:tab w:val="right" w:pos="9072"/>
      </w:tabs>
      <w:rPr>
        <w:i/>
        <w:sz w:val="20"/>
        <w:szCs w:val="20"/>
      </w:rPr>
    </w:pPr>
    <w:r w:rsidRPr="00CA6003">
      <w:rPr>
        <w:i/>
        <w:sz w:val="20"/>
        <w:szCs w:val="20"/>
      </w:rPr>
      <w:t xml:space="preserve">Program rozvoja vidieka SR 2014 – 2020                                                                                                             </w:t>
    </w: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A3653" w:rsidRPr="006B60DF" w:rsidRDefault="000A3653" w:rsidP="000F31DC">
    <w:pPr>
      <w:pStyle w:val="Hlavika"/>
      <w:pBdr>
        <w:bottom w:val="single" w:sz="4" w:space="1" w:color="auto"/>
        <w:between w:val="single" w:sz="4" w:space="1" w:color="4F81BD"/>
      </w:pBdr>
      <w:rPr>
        <w:i/>
        <w:sz w:val="20"/>
        <w:szCs w:val="20"/>
      </w:rPr>
    </w:pPr>
    <w:r w:rsidRPr="006B60DF">
      <w:rPr>
        <w:i/>
        <w:sz w:val="20"/>
        <w:szCs w:val="20"/>
      </w:rPr>
      <w:t xml:space="preserve">Program rozvoja vidieka SR 2014 – 2020                                      </w:t>
    </w: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A3653" w:rsidRPr="000905ED" w:rsidRDefault="000A3653" w:rsidP="000905ED">
    <w:pPr>
      <w:pStyle w:val="Hlavika"/>
      <w:pBdr>
        <w:bottom w:val="single" w:sz="4" w:space="1" w:color="auto"/>
        <w:between w:val="single" w:sz="4" w:space="1" w:color="4F81BD"/>
      </w:pBdr>
      <w:rPr>
        <w:i/>
        <w:sz w:val="20"/>
        <w:szCs w:val="20"/>
      </w:rPr>
    </w:pPr>
    <w:r w:rsidRPr="000905ED">
      <w:rPr>
        <w:i/>
        <w:sz w:val="20"/>
        <w:szCs w:val="20"/>
      </w:rPr>
      <w:t xml:space="preserve">Program rozvoja vidieka SR 2014 – 2020                                                                                                                                                                                                      </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style="width:11.55pt;height:7.1pt;visibility:visible" o:bullet="t">
        <v:imagedata r:id="rId1" o:title=""/>
      </v:shape>
    </w:pict>
  </w:numPicBullet>
  <w:abstractNum w:abstractNumId="0">
    <w:nsid w:val="00000002"/>
    <w:multiLevelType w:val="multilevel"/>
    <w:tmpl w:val="00000002"/>
    <w:name w:val="WW8Num2"/>
    <w:lvl w:ilvl="0">
      <w:start w:val="1"/>
      <w:numFmt w:val="decimal"/>
      <w:lvlText w:val="%1."/>
      <w:lvlJc w:val="left"/>
      <w:pPr>
        <w:tabs>
          <w:tab w:val="num" w:pos="0"/>
        </w:tabs>
        <w:ind w:left="360" w:hanging="360"/>
      </w:pPr>
    </w:lvl>
    <w:lvl w:ilvl="1">
      <w:start w:val="1"/>
      <w:numFmt w:val="lowerLetter"/>
      <w:lvlText w:val="%2."/>
      <w:lvlJc w:val="left"/>
      <w:pPr>
        <w:tabs>
          <w:tab w:val="num" w:pos="0"/>
        </w:tabs>
        <w:ind w:left="1080" w:hanging="360"/>
      </w:pPr>
    </w:lvl>
    <w:lvl w:ilvl="2">
      <w:start w:val="1"/>
      <w:numFmt w:val="lowerRoman"/>
      <w:lvlText w:val="%2.%3."/>
      <w:lvlJc w:val="right"/>
      <w:pPr>
        <w:tabs>
          <w:tab w:val="num" w:pos="0"/>
        </w:tabs>
        <w:ind w:left="1800" w:hanging="180"/>
      </w:pPr>
    </w:lvl>
    <w:lvl w:ilvl="3">
      <w:start w:val="1"/>
      <w:numFmt w:val="decimal"/>
      <w:lvlText w:val="%2.%3.%4."/>
      <w:lvlJc w:val="left"/>
      <w:pPr>
        <w:tabs>
          <w:tab w:val="num" w:pos="0"/>
        </w:tabs>
        <w:ind w:left="2520" w:hanging="360"/>
      </w:pPr>
    </w:lvl>
    <w:lvl w:ilvl="4">
      <w:start w:val="1"/>
      <w:numFmt w:val="lowerLetter"/>
      <w:lvlText w:val="%2.%3.%4.%5."/>
      <w:lvlJc w:val="left"/>
      <w:pPr>
        <w:tabs>
          <w:tab w:val="num" w:pos="0"/>
        </w:tabs>
        <w:ind w:left="3240" w:hanging="360"/>
      </w:pPr>
    </w:lvl>
    <w:lvl w:ilvl="5">
      <w:start w:val="1"/>
      <w:numFmt w:val="lowerRoman"/>
      <w:lvlText w:val="%2.%3.%4.%5.%6."/>
      <w:lvlJc w:val="right"/>
      <w:pPr>
        <w:tabs>
          <w:tab w:val="num" w:pos="0"/>
        </w:tabs>
        <w:ind w:left="3960" w:hanging="180"/>
      </w:pPr>
    </w:lvl>
    <w:lvl w:ilvl="6">
      <w:start w:val="1"/>
      <w:numFmt w:val="decimal"/>
      <w:lvlText w:val="%2.%3.%4.%5.%6.%7."/>
      <w:lvlJc w:val="left"/>
      <w:pPr>
        <w:tabs>
          <w:tab w:val="num" w:pos="0"/>
        </w:tabs>
        <w:ind w:left="4680" w:hanging="360"/>
      </w:pPr>
    </w:lvl>
    <w:lvl w:ilvl="7">
      <w:start w:val="1"/>
      <w:numFmt w:val="lowerLetter"/>
      <w:lvlText w:val="%2.%3.%4.%5.%6.%7.%8."/>
      <w:lvlJc w:val="left"/>
      <w:pPr>
        <w:tabs>
          <w:tab w:val="num" w:pos="0"/>
        </w:tabs>
        <w:ind w:left="5400" w:hanging="360"/>
      </w:pPr>
    </w:lvl>
    <w:lvl w:ilvl="8">
      <w:start w:val="1"/>
      <w:numFmt w:val="lowerRoman"/>
      <w:lvlText w:val="%2.%3.%4.%5.%6.%7.%8.%9."/>
      <w:lvlJc w:val="right"/>
      <w:pPr>
        <w:tabs>
          <w:tab w:val="num" w:pos="0"/>
        </w:tabs>
        <w:ind w:left="6120" w:hanging="180"/>
      </w:pPr>
    </w:lvl>
  </w:abstractNum>
  <w:abstractNum w:abstractNumId="1">
    <w:nsid w:val="00000003"/>
    <w:multiLevelType w:val="multilevel"/>
    <w:tmpl w:val="00000003"/>
    <w:name w:val="WW8Num3"/>
    <w:lvl w:ilvl="0">
      <w:start w:val="1"/>
      <w:numFmt w:val="lowerLetter"/>
      <w:lvlText w:val="%1)"/>
      <w:lvlJc w:val="left"/>
      <w:pPr>
        <w:tabs>
          <w:tab w:val="num" w:pos="0"/>
        </w:tabs>
        <w:ind w:left="360" w:hanging="360"/>
      </w:pPr>
      <w:rPr>
        <w:rFonts w:ascii="Calibri" w:hAnsi="Calibri" w:cs="Calibri"/>
        <w:b/>
        <w:i/>
        <w:sz w:val="22"/>
        <w:szCs w:val="22"/>
        <w:lang w:val="sk-SK"/>
      </w:rPr>
    </w:lvl>
    <w:lvl w:ilvl="1">
      <w:start w:val="1"/>
      <w:numFmt w:val="lowerLetter"/>
      <w:lvlText w:val="%2."/>
      <w:lvlJc w:val="left"/>
      <w:pPr>
        <w:tabs>
          <w:tab w:val="num" w:pos="0"/>
        </w:tabs>
        <w:ind w:left="1080" w:hanging="360"/>
      </w:pPr>
    </w:lvl>
    <w:lvl w:ilvl="2">
      <w:start w:val="1"/>
      <w:numFmt w:val="lowerRoman"/>
      <w:lvlText w:val="%2.%3."/>
      <w:lvlJc w:val="right"/>
      <w:pPr>
        <w:tabs>
          <w:tab w:val="num" w:pos="0"/>
        </w:tabs>
        <w:ind w:left="1800" w:hanging="180"/>
      </w:pPr>
    </w:lvl>
    <w:lvl w:ilvl="3">
      <w:start w:val="1"/>
      <w:numFmt w:val="decimal"/>
      <w:lvlText w:val="%2.%3.%4."/>
      <w:lvlJc w:val="left"/>
      <w:pPr>
        <w:tabs>
          <w:tab w:val="num" w:pos="0"/>
        </w:tabs>
        <w:ind w:left="2520" w:hanging="360"/>
      </w:pPr>
    </w:lvl>
    <w:lvl w:ilvl="4">
      <w:start w:val="1"/>
      <w:numFmt w:val="lowerLetter"/>
      <w:lvlText w:val="%2.%3.%4.%5."/>
      <w:lvlJc w:val="left"/>
      <w:pPr>
        <w:tabs>
          <w:tab w:val="num" w:pos="0"/>
        </w:tabs>
        <w:ind w:left="3240" w:hanging="360"/>
      </w:pPr>
    </w:lvl>
    <w:lvl w:ilvl="5">
      <w:start w:val="1"/>
      <w:numFmt w:val="lowerRoman"/>
      <w:lvlText w:val="%2.%3.%4.%5.%6."/>
      <w:lvlJc w:val="right"/>
      <w:pPr>
        <w:tabs>
          <w:tab w:val="num" w:pos="0"/>
        </w:tabs>
        <w:ind w:left="3960" w:hanging="180"/>
      </w:pPr>
    </w:lvl>
    <w:lvl w:ilvl="6">
      <w:start w:val="1"/>
      <w:numFmt w:val="decimal"/>
      <w:lvlText w:val="%2.%3.%4.%5.%6.%7."/>
      <w:lvlJc w:val="left"/>
      <w:pPr>
        <w:tabs>
          <w:tab w:val="num" w:pos="0"/>
        </w:tabs>
        <w:ind w:left="4680" w:hanging="360"/>
      </w:pPr>
    </w:lvl>
    <w:lvl w:ilvl="7">
      <w:start w:val="1"/>
      <w:numFmt w:val="lowerLetter"/>
      <w:lvlText w:val="%2.%3.%4.%5.%6.%7.%8."/>
      <w:lvlJc w:val="left"/>
      <w:pPr>
        <w:tabs>
          <w:tab w:val="num" w:pos="0"/>
        </w:tabs>
        <w:ind w:left="5400" w:hanging="360"/>
      </w:pPr>
    </w:lvl>
    <w:lvl w:ilvl="8">
      <w:start w:val="1"/>
      <w:numFmt w:val="lowerRoman"/>
      <w:lvlText w:val="%2.%3.%4.%5.%6.%7.%8.%9."/>
      <w:lvlJc w:val="right"/>
      <w:pPr>
        <w:tabs>
          <w:tab w:val="num" w:pos="0"/>
        </w:tabs>
        <w:ind w:left="6120" w:hanging="180"/>
      </w:pPr>
    </w:lvl>
  </w:abstractNum>
  <w:abstractNum w:abstractNumId="2">
    <w:nsid w:val="00000004"/>
    <w:multiLevelType w:val="multilevel"/>
    <w:tmpl w:val="DCF67D46"/>
    <w:name w:val="WW8Num4"/>
    <w:lvl w:ilvl="0">
      <w:numFmt w:val="bullet"/>
      <w:lvlText w:val="–"/>
      <w:lvlJc w:val="left"/>
      <w:pPr>
        <w:tabs>
          <w:tab w:val="num" w:pos="0"/>
        </w:tabs>
        <w:ind w:left="360" w:hanging="360"/>
      </w:pPr>
      <w:rPr>
        <w:rFonts w:ascii="Times New Roman" w:eastAsia="Times New Roman" w:hAnsi="Times New Roman" w:hint="default"/>
        <w:bCs/>
      </w:rPr>
    </w:lvl>
    <w:lvl w:ilvl="1">
      <w:start w:val="1"/>
      <w:numFmt w:val="lowerLetter"/>
      <w:lvlText w:val="%2."/>
      <w:lvlJc w:val="left"/>
      <w:pPr>
        <w:tabs>
          <w:tab w:val="num" w:pos="0"/>
        </w:tabs>
        <w:ind w:left="1080" w:hanging="360"/>
      </w:pPr>
    </w:lvl>
    <w:lvl w:ilvl="2">
      <w:start w:val="1"/>
      <w:numFmt w:val="lowerRoman"/>
      <w:lvlText w:val="%2.%3."/>
      <w:lvlJc w:val="right"/>
      <w:pPr>
        <w:tabs>
          <w:tab w:val="num" w:pos="0"/>
        </w:tabs>
        <w:ind w:left="1800" w:hanging="180"/>
      </w:pPr>
    </w:lvl>
    <w:lvl w:ilvl="3">
      <w:start w:val="1"/>
      <w:numFmt w:val="decimal"/>
      <w:lvlText w:val="%2.%3.%4."/>
      <w:lvlJc w:val="left"/>
      <w:pPr>
        <w:tabs>
          <w:tab w:val="num" w:pos="0"/>
        </w:tabs>
        <w:ind w:left="2520" w:hanging="360"/>
      </w:pPr>
    </w:lvl>
    <w:lvl w:ilvl="4">
      <w:start w:val="1"/>
      <w:numFmt w:val="lowerLetter"/>
      <w:lvlText w:val="%2.%3.%4.%5."/>
      <w:lvlJc w:val="left"/>
      <w:pPr>
        <w:tabs>
          <w:tab w:val="num" w:pos="0"/>
        </w:tabs>
        <w:ind w:left="3240" w:hanging="360"/>
      </w:pPr>
    </w:lvl>
    <w:lvl w:ilvl="5">
      <w:start w:val="1"/>
      <w:numFmt w:val="lowerRoman"/>
      <w:lvlText w:val="%2.%3.%4.%5.%6."/>
      <w:lvlJc w:val="right"/>
      <w:pPr>
        <w:tabs>
          <w:tab w:val="num" w:pos="0"/>
        </w:tabs>
        <w:ind w:left="3960" w:hanging="180"/>
      </w:pPr>
    </w:lvl>
    <w:lvl w:ilvl="6">
      <w:start w:val="1"/>
      <w:numFmt w:val="decimal"/>
      <w:lvlText w:val="%2.%3.%4.%5.%6.%7."/>
      <w:lvlJc w:val="left"/>
      <w:pPr>
        <w:tabs>
          <w:tab w:val="num" w:pos="0"/>
        </w:tabs>
        <w:ind w:left="4680" w:hanging="360"/>
      </w:pPr>
    </w:lvl>
    <w:lvl w:ilvl="7">
      <w:start w:val="1"/>
      <w:numFmt w:val="lowerLetter"/>
      <w:lvlText w:val="%2.%3.%4.%5.%6.%7.%8."/>
      <w:lvlJc w:val="left"/>
      <w:pPr>
        <w:tabs>
          <w:tab w:val="num" w:pos="0"/>
        </w:tabs>
        <w:ind w:left="5400" w:hanging="360"/>
      </w:pPr>
    </w:lvl>
    <w:lvl w:ilvl="8">
      <w:start w:val="1"/>
      <w:numFmt w:val="lowerRoman"/>
      <w:lvlText w:val="%2.%3.%4.%5.%6.%7.%8.%9."/>
      <w:lvlJc w:val="right"/>
      <w:pPr>
        <w:tabs>
          <w:tab w:val="num" w:pos="0"/>
        </w:tabs>
        <w:ind w:left="6120" w:hanging="180"/>
      </w:pPr>
    </w:lvl>
  </w:abstractNum>
  <w:abstractNum w:abstractNumId="3">
    <w:nsid w:val="00000006"/>
    <w:multiLevelType w:val="multilevel"/>
    <w:tmpl w:val="251AD20C"/>
    <w:name w:val="WW8Num6"/>
    <w:lvl w:ilvl="0">
      <w:start w:val="1"/>
      <w:numFmt w:val="bullet"/>
      <w:lvlText w:val=""/>
      <w:lvlJc w:val="left"/>
      <w:pPr>
        <w:tabs>
          <w:tab w:val="num" w:pos="0"/>
        </w:tabs>
        <w:ind w:left="720" w:hanging="360"/>
      </w:pPr>
      <w:rPr>
        <w:rFonts w:ascii="Symbol" w:hAnsi="Symbol" w:hint="default"/>
      </w:rPr>
    </w:lvl>
    <w:lvl w:ilvl="1">
      <w:start w:val="1"/>
      <w:numFmt w:val="bullet"/>
      <w:lvlText w:val="o"/>
      <w:lvlJc w:val="left"/>
      <w:pPr>
        <w:tabs>
          <w:tab w:val="num" w:pos="0"/>
        </w:tabs>
        <w:ind w:left="1440" w:hanging="360"/>
      </w:pPr>
      <w:rPr>
        <w:rFonts w:ascii="Courier New" w:hAnsi="Courier New" w:cs="Times New Roman"/>
      </w:rPr>
    </w:lvl>
    <w:lvl w:ilvl="2">
      <w:start w:val="1"/>
      <w:numFmt w:val="bullet"/>
      <w:lvlText w:val=""/>
      <w:lvlJc w:val="left"/>
      <w:pPr>
        <w:tabs>
          <w:tab w:val="num" w:pos="0"/>
        </w:tabs>
        <w:ind w:left="2160" w:hanging="360"/>
      </w:pPr>
      <w:rPr>
        <w:rFonts w:ascii="Wingdings" w:hAnsi="Wingdings" w:cs="Wingdings"/>
      </w:rPr>
    </w:lvl>
    <w:lvl w:ilvl="3">
      <w:start w:val="1"/>
      <w:numFmt w:val="bullet"/>
      <w:lvlText w:val=""/>
      <w:lvlJc w:val="left"/>
      <w:pPr>
        <w:tabs>
          <w:tab w:val="num" w:pos="0"/>
        </w:tabs>
        <w:ind w:left="2880" w:hanging="360"/>
      </w:pPr>
      <w:rPr>
        <w:rFonts w:ascii="Symbol" w:hAnsi="Symbol" w:cs="Symbol"/>
      </w:rPr>
    </w:lvl>
    <w:lvl w:ilvl="4">
      <w:start w:val="1"/>
      <w:numFmt w:val="bullet"/>
      <w:lvlText w:val="o"/>
      <w:lvlJc w:val="left"/>
      <w:pPr>
        <w:tabs>
          <w:tab w:val="num" w:pos="0"/>
        </w:tabs>
        <w:ind w:left="3600" w:hanging="360"/>
      </w:pPr>
      <w:rPr>
        <w:rFonts w:ascii="Courier New" w:hAnsi="Courier New" w:cs="Times New Roman"/>
      </w:rPr>
    </w:lvl>
    <w:lvl w:ilvl="5">
      <w:start w:val="1"/>
      <w:numFmt w:val="bullet"/>
      <w:lvlText w:val=""/>
      <w:lvlJc w:val="left"/>
      <w:pPr>
        <w:tabs>
          <w:tab w:val="num" w:pos="0"/>
        </w:tabs>
        <w:ind w:left="4320" w:hanging="360"/>
      </w:pPr>
      <w:rPr>
        <w:rFonts w:ascii="Wingdings" w:hAnsi="Wingdings" w:cs="Wingdings"/>
      </w:rPr>
    </w:lvl>
    <w:lvl w:ilvl="6">
      <w:start w:val="1"/>
      <w:numFmt w:val="bullet"/>
      <w:lvlText w:val=""/>
      <w:lvlJc w:val="left"/>
      <w:pPr>
        <w:tabs>
          <w:tab w:val="num" w:pos="0"/>
        </w:tabs>
        <w:ind w:left="5040" w:hanging="360"/>
      </w:pPr>
      <w:rPr>
        <w:rFonts w:ascii="Symbol" w:hAnsi="Symbol" w:cs="Symbol"/>
      </w:rPr>
    </w:lvl>
    <w:lvl w:ilvl="7">
      <w:start w:val="1"/>
      <w:numFmt w:val="bullet"/>
      <w:lvlText w:val="o"/>
      <w:lvlJc w:val="left"/>
      <w:pPr>
        <w:tabs>
          <w:tab w:val="num" w:pos="0"/>
        </w:tabs>
        <w:ind w:left="5760" w:hanging="360"/>
      </w:pPr>
      <w:rPr>
        <w:rFonts w:ascii="Courier New" w:hAnsi="Courier New" w:cs="Times New Roman"/>
      </w:rPr>
    </w:lvl>
    <w:lvl w:ilvl="8">
      <w:start w:val="1"/>
      <w:numFmt w:val="bullet"/>
      <w:lvlText w:val=""/>
      <w:lvlJc w:val="left"/>
      <w:pPr>
        <w:tabs>
          <w:tab w:val="num" w:pos="0"/>
        </w:tabs>
        <w:ind w:left="6480" w:hanging="360"/>
      </w:pPr>
      <w:rPr>
        <w:rFonts w:ascii="Wingdings" w:hAnsi="Wingdings" w:cs="Wingdings"/>
      </w:rPr>
    </w:lvl>
  </w:abstractNum>
  <w:abstractNum w:abstractNumId="4">
    <w:nsid w:val="00000007"/>
    <w:multiLevelType w:val="multilevel"/>
    <w:tmpl w:val="00000007"/>
    <w:name w:val="WW8Num8"/>
    <w:lvl w:ilvl="0">
      <w:start w:val="1"/>
      <w:numFmt w:val="bullet"/>
      <w:lvlText w:val="-"/>
      <w:lvlJc w:val="left"/>
      <w:pPr>
        <w:tabs>
          <w:tab w:val="num" w:pos="0"/>
        </w:tabs>
        <w:ind w:left="720" w:hanging="360"/>
      </w:pPr>
      <w:rPr>
        <w:rFonts w:ascii="Times New Roman" w:hAnsi="Times New Roman" w:cs="Times New Roman"/>
      </w:rPr>
    </w:lvl>
    <w:lvl w:ilvl="1">
      <w:start w:val="1"/>
      <w:numFmt w:val="bullet"/>
      <w:lvlText w:val="o"/>
      <w:lvlJc w:val="left"/>
      <w:pPr>
        <w:tabs>
          <w:tab w:val="num" w:pos="0"/>
        </w:tabs>
        <w:ind w:left="1440" w:hanging="360"/>
      </w:pPr>
      <w:rPr>
        <w:rFonts w:ascii="Courier New" w:hAnsi="Courier New" w:cs="Courier New"/>
      </w:rPr>
    </w:lvl>
    <w:lvl w:ilvl="2">
      <w:start w:val="1"/>
      <w:numFmt w:val="bullet"/>
      <w:lvlText w:val=""/>
      <w:lvlJc w:val="left"/>
      <w:pPr>
        <w:tabs>
          <w:tab w:val="num" w:pos="0"/>
        </w:tabs>
        <w:ind w:left="2160" w:hanging="360"/>
      </w:pPr>
      <w:rPr>
        <w:rFonts w:ascii="Wingdings" w:hAnsi="Wingdings" w:cs="Wingdings"/>
      </w:rPr>
    </w:lvl>
    <w:lvl w:ilvl="3">
      <w:start w:val="1"/>
      <w:numFmt w:val="bullet"/>
      <w:lvlText w:val=""/>
      <w:lvlJc w:val="left"/>
      <w:pPr>
        <w:tabs>
          <w:tab w:val="num" w:pos="0"/>
        </w:tabs>
        <w:ind w:left="2880" w:hanging="360"/>
      </w:pPr>
      <w:rPr>
        <w:rFonts w:ascii="Symbol" w:hAnsi="Symbol" w:cs="Symbol"/>
      </w:rPr>
    </w:lvl>
    <w:lvl w:ilvl="4">
      <w:start w:val="1"/>
      <w:numFmt w:val="bullet"/>
      <w:lvlText w:val="o"/>
      <w:lvlJc w:val="left"/>
      <w:pPr>
        <w:tabs>
          <w:tab w:val="num" w:pos="0"/>
        </w:tabs>
        <w:ind w:left="3600" w:hanging="360"/>
      </w:pPr>
      <w:rPr>
        <w:rFonts w:ascii="Courier New" w:hAnsi="Courier New" w:cs="Courier New"/>
      </w:rPr>
    </w:lvl>
    <w:lvl w:ilvl="5">
      <w:start w:val="1"/>
      <w:numFmt w:val="bullet"/>
      <w:lvlText w:val=""/>
      <w:lvlJc w:val="left"/>
      <w:pPr>
        <w:tabs>
          <w:tab w:val="num" w:pos="0"/>
        </w:tabs>
        <w:ind w:left="4320" w:hanging="360"/>
      </w:pPr>
      <w:rPr>
        <w:rFonts w:ascii="Wingdings" w:hAnsi="Wingdings" w:cs="Wingdings"/>
      </w:rPr>
    </w:lvl>
    <w:lvl w:ilvl="6">
      <w:start w:val="1"/>
      <w:numFmt w:val="bullet"/>
      <w:lvlText w:val=""/>
      <w:lvlJc w:val="left"/>
      <w:pPr>
        <w:tabs>
          <w:tab w:val="num" w:pos="0"/>
        </w:tabs>
        <w:ind w:left="5040" w:hanging="360"/>
      </w:pPr>
      <w:rPr>
        <w:rFonts w:ascii="Symbol" w:hAnsi="Symbol" w:cs="Symbol"/>
      </w:rPr>
    </w:lvl>
    <w:lvl w:ilvl="7">
      <w:start w:val="1"/>
      <w:numFmt w:val="bullet"/>
      <w:lvlText w:val="o"/>
      <w:lvlJc w:val="left"/>
      <w:pPr>
        <w:tabs>
          <w:tab w:val="num" w:pos="0"/>
        </w:tabs>
        <w:ind w:left="5760" w:hanging="360"/>
      </w:pPr>
      <w:rPr>
        <w:rFonts w:ascii="Courier New" w:hAnsi="Courier New" w:cs="Courier New"/>
      </w:rPr>
    </w:lvl>
    <w:lvl w:ilvl="8">
      <w:start w:val="1"/>
      <w:numFmt w:val="bullet"/>
      <w:lvlText w:val=""/>
      <w:lvlJc w:val="left"/>
      <w:pPr>
        <w:tabs>
          <w:tab w:val="num" w:pos="0"/>
        </w:tabs>
        <w:ind w:left="6480" w:hanging="360"/>
      </w:pPr>
      <w:rPr>
        <w:rFonts w:ascii="Wingdings" w:hAnsi="Wingdings" w:cs="Wingdings"/>
      </w:rPr>
    </w:lvl>
  </w:abstractNum>
  <w:abstractNum w:abstractNumId="5">
    <w:nsid w:val="00000008"/>
    <w:multiLevelType w:val="multilevel"/>
    <w:tmpl w:val="00000008"/>
    <w:name w:val="WW8Num9"/>
    <w:lvl w:ilvl="0">
      <w:start w:val="1"/>
      <w:numFmt w:val="bullet"/>
      <w:lvlText w:val="-"/>
      <w:lvlJc w:val="left"/>
      <w:pPr>
        <w:tabs>
          <w:tab w:val="num" w:pos="0"/>
        </w:tabs>
        <w:ind w:left="720" w:hanging="360"/>
      </w:pPr>
      <w:rPr>
        <w:rFonts w:ascii="Times New Roman" w:hAnsi="Times New Roman" w:cs="Times New Roman"/>
      </w:rPr>
    </w:lvl>
    <w:lvl w:ilvl="1">
      <w:start w:val="1"/>
      <w:numFmt w:val="bullet"/>
      <w:lvlText w:val="o"/>
      <w:lvlJc w:val="left"/>
      <w:pPr>
        <w:tabs>
          <w:tab w:val="num" w:pos="0"/>
        </w:tabs>
        <w:ind w:left="1440" w:hanging="360"/>
      </w:pPr>
      <w:rPr>
        <w:rFonts w:ascii="Courier New" w:hAnsi="Courier New" w:cs="Courier New"/>
      </w:rPr>
    </w:lvl>
    <w:lvl w:ilvl="2">
      <w:start w:val="1"/>
      <w:numFmt w:val="bullet"/>
      <w:lvlText w:val=""/>
      <w:lvlJc w:val="left"/>
      <w:pPr>
        <w:tabs>
          <w:tab w:val="num" w:pos="0"/>
        </w:tabs>
        <w:ind w:left="2160" w:hanging="360"/>
      </w:pPr>
      <w:rPr>
        <w:rFonts w:ascii="Wingdings" w:hAnsi="Wingdings" w:cs="Wingdings"/>
      </w:rPr>
    </w:lvl>
    <w:lvl w:ilvl="3">
      <w:start w:val="1"/>
      <w:numFmt w:val="bullet"/>
      <w:lvlText w:val=""/>
      <w:lvlJc w:val="left"/>
      <w:pPr>
        <w:tabs>
          <w:tab w:val="num" w:pos="0"/>
        </w:tabs>
        <w:ind w:left="2880" w:hanging="360"/>
      </w:pPr>
      <w:rPr>
        <w:rFonts w:ascii="Symbol" w:hAnsi="Symbol" w:cs="Symbol"/>
      </w:rPr>
    </w:lvl>
    <w:lvl w:ilvl="4">
      <w:start w:val="1"/>
      <w:numFmt w:val="bullet"/>
      <w:lvlText w:val="o"/>
      <w:lvlJc w:val="left"/>
      <w:pPr>
        <w:tabs>
          <w:tab w:val="num" w:pos="0"/>
        </w:tabs>
        <w:ind w:left="3600" w:hanging="360"/>
      </w:pPr>
      <w:rPr>
        <w:rFonts w:ascii="Courier New" w:hAnsi="Courier New" w:cs="Courier New"/>
      </w:rPr>
    </w:lvl>
    <w:lvl w:ilvl="5">
      <w:start w:val="1"/>
      <w:numFmt w:val="bullet"/>
      <w:lvlText w:val=""/>
      <w:lvlJc w:val="left"/>
      <w:pPr>
        <w:tabs>
          <w:tab w:val="num" w:pos="0"/>
        </w:tabs>
        <w:ind w:left="4320" w:hanging="360"/>
      </w:pPr>
      <w:rPr>
        <w:rFonts w:ascii="Wingdings" w:hAnsi="Wingdings" w:cs="Wingdings"/>
      </w:rPr>
    </w:lvl>
    <w:lvl w:ilvl="6">
      <w:start w:val="1"/>
      <w:numFmt w:val="bullet"/>
      <w:lvlText w:val=""/>
      <w:lvlJc w:val="left"/>
      <w:pPr>
        <w:tabs>
          <w:tab w:val="num" w:pos="0"/>
        </w:tabs>
        <w:ind w:left="5040" w:hanging="360"/>
      </w:pPr>
      <w:rPr>
        <w:rFonts w:ascii="Symbol" w:hAnsi="Symbol" w:cs="Symbol"/>
      </w:rPr>
    </w:lvl>
    <w:lvl w:ilvl="7">
      <w:start w:val="1"/>
      <w:numFmt w:val="bullet"/>
      <w:lvlText w:val="o"/>
      <w:lvlJc w:val="left"/>
      <w:pPr>
        <w:tabs>
          <w:tab w:val="num" w:pos="0"/>
        </w:tabs>
        <w:ind w:left="5760" w:hanging="360"/>
      </w:pPr>
      <w:rPr>
        <w:rFonts w:ascii="Courier New" w:hAnsi="Courier New" w:cs="Courier New"/>
      </w:rPr>
    </w:lvl>
    <w:lvl w:ilvl="8">
      <w:start w:val="1"/>
      <w:numFmt w:val="bullet"/>
      <w:lvlText w:val=""/>
      <w:lvlJc w:val="left"/>
      <w:pPr>
        <w:tabs>
          <w:tab w:val="num" w:pos="0"/>
        </w:tabs>
        <w:ind w:left="6480" w:hanging="360"/>
      </w:pPr>
      <w:rPr>
        <w:rFonts w:ascii="Wingdings" w:hAnsi="Wingdings" w:cs="Wingdings"/>
      </w:rPr>
    </w:lvl>
  </w:abstractNum>
  <w:abstractNum w:abstractNumId="6">
    <w:nsid w:val="00000009"/>
    <w:multiLevelType w:val="multilevel"/>
    <w:tmpl w:val="00000009"/>
    <w:name w:val="WW8Num10"/>
    <w:lvl w:ilvl="0">
      <w:start w:val="1"/>
      <w:numFmt w:val="bullet"/>
      <w:lvlText w:val="-"/>
      <w:lvlJc w:val="left"/>
      <w:pPr>
        <w:tabs>
          <w:tab w:val="num" w:pos="720"/>
        </w:tabs>
        <w:ind w:left="720" w:hanging="360"/>
      </w:pPr>
      <w:rPr>
        <w:rFonts w:ascii="Times New Roman" w:hAnsi="Times New Roman" w:cs="Times New Roman"/>
      </w:rPr>
    </w:lvl>
    <w:lvl w:ilvl="1">
      <w:start w:val="1"/>
      <w:numFmt w:val="bullet"/>
      <w:lvlText w:val="-"/>
      <w:lvlJc w:val="left"/>
      <w:pPr>
        <w:tabs>
          <w:tab w:val="num" w:pos="1440"/>
        </w:tabs>
        <w:ind w:left="1440" w:hanging="360"/>
      </w:pPr>
      <w:rPr>
        <w:rFonts w:ascii="Times New Roman" w:hAnsi="Times New Roman" w:cs="Times New Roman"/>
      </w:rPr>
    </w:lvl>
    <w:lvl w:ilvl="2">
      <w:start w:val="1"/>
      <w:numFmt w:val="bullet"/>
      <w:lvlText w:val="-"/>
      <w:lvlJc w:val="left"/>
      <w:pPr>
        <w:tabs>
          <w:tab w:val="num" w:pos="2160"/>
        </w:tabs>
        <w:ind w:left="2160" w:hanging="360"/>
      </w:pPr>
      <w:rPr>
        <w:rFonts w:ascii="Times New Roman" w:hAnsi="Times New Roman" w:cs="Times New Roman"/>
      </w:rPr>
    </w:lvl>
    <w:lvl w:ilvl="3">
      <w:start w:val="1"/>
      <w:numFmt w:val="bullet"/>
      <w:lvlText w:val="-"/>
      <w:lvlJc w:val="left"/>
      <w:pPr>
        <w:tabs>
          <w:tab w:val="num" w:pos="2880"/>
        </w:tabs>
        <w:ind w:left="2880" w:hanging="360"/>
      </w:pPr>
      <w:rPr>
        <w:rFonts w:ascii="Times New Roman" w:hAnsi="Times New Roman" w:cs="Times New Roman"/>
      </w:rPr>
    </w:lvl>
    <w:lvl w:ilvl="4">
      <w:start w:val="1"/>
      <w:numFmt w:val="bullet"/>
      <w:lvlText w:val="-"/>
      <w:lvlJc w:val="left"/>
      <w:pPr>
        <w:tabs>
          <w:tab w:val="num" w:pos="3600"/>
        </w:tabs>
        <w:ind w:left="3600" w:hanging="360"/>
      </w:pPr>
      <w:rPr>
        <w:rFonts w:ascii="Times New Roman" w:hAnsi="Times New Roman" w:cs="Times New Roman"/>
      </w:rPr>
    </w:lvl>
    <w:lvl w:ilvl="5">
      <w:start w:val="1"/>
      <w:numFmt w:val="bullet"/>
      <w:lvlText w:val="-"/>
      <w:lvlJc w:val="left"/>
      <w:pPr>
        <w:tabs>
          <w:tab w:val="num" w:pos="4320"/>
        </w:tabs>
        <w:ind w:left="4320" w:hanging="360"/>
      </w:pPr>
      <w:rPr>
        <w:rFonts w:ascii="Times New Roman" w:hAnsi="Times New Roman" w:cs="Times New Roman"/>
      </w:rPr>
    </w:lvl>
    <w:lvl w:ilvl="6">
      <w:start w:val="1"/>
      <w:numFmt w:val="bullet"/>
      <w:lvlText w:val="-"/>
      <w:lvlJc w:val="left"/>
      <w:pPr>
        <w:tabs>
          <w:tab w:val="num" w:pos="5040"/>
        </w:tabs>
        <w:ind w:left="5040" w:hanging="360"/>
      </w:pPr>
      <w:rPr>
        <w:rFonts w:ascii="Times New Roman" w:hAnsi="Times New Roman" w:cs="Times New Roman"/>
      </w:rPr>
    </w:lvl>
    <w:lvl w:ilvl="7">
      <w:start w:val="1"/>
      <w:numFmt w:val="bullet"/>
      <w:lvlText w:val="-"/>
      <w:lvlJc w:val="left"/>
      <w:pPr>
        <w:tabs>
          <w:tab w:val="num" w:pos="5760"/>
        </w:tabs>
        <w:ind w:left="5760" w:hanging="360"/>
      </w:pPr>
      <w:rPr>
        <w:rFonts w:ascii="Times New Roman" w:hAnsi="Times New Roman" w:cs="Times New Roman"/>
      </w:rPr>
    </w:lvl>
    <w:lvl w:ilvl="8">
      <w:start w:val="1"/>
      <w:numFmt w:val="bullet"/>
      <w:lvlText w:val="-"/>
      <w:lvlJc w:val="left"/>
      <w:pPr>
        <w:tabs>
          <w:tab w:val="num" w:pos="6480"/>
        </w:tabs>
        <w:ind w:left="6480" w:hanging="360"/>
      </w:pPr>
      <w:rPr>
        <w:rFonts w:ascii="Times New Roman" w:hAnsi="Times New Roman" w:cs="Times New Roman"/>
      </w:rPr>
    </w:lvl>
  </w:abstractNum>
  <w:abstractNum w:abstractNumId="7">
    <w:nsid w:val="0000000B"/>
    <w:multiLevelType w:val="multilevel"/>
    <w:tmpl w:val="0000000B"/>
    <w:name w:val="WW8Num12"/>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Symbol" w:hAnsi="Symbol" w:cs="OpenSymbol"/>
      </w:rPr>
    </w:lvl>
    <w:lvl w:ilvl="2">
      <w:start w:val="1"/>
      <w:numFmt w:val="bullet"/>
      <w:lvlText w:val=""/>
      <w:lvlJc w:val="left"/>
      <w:pPr>
        <w:tabs>
          <w:tab w:val="num" w:pos="1440"/>
        </w:tabs>
        <w:ind w:left="1440" w:hanging="360"/>
      </w:pPr>
      <w:rPr>
        <w:rFonts w:ascii="Symbol" w:hAnsi="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Symbol" w:hAnsi="Symbol" w:cs="OpenSymbol"/>
      </w:rPr>
    </w:lvl>
    <w:lvl w:ilvl="5">
      <w:start w:val="1"/>
      <w:numFmt w:val="bullet"/>
      <w:lvlText w:val=""/>
      <w:lvlJc w:val="left"/>
      <w:pPr>
        <w:tabs>
          <w:tab w:val="num" w:pos="2520"/>
        </w:tabs>
        <w:ind w:left="2520" w:hanging="360"/>
      </w:pPr>
      <w:rPr>
        <w:rFonts w:ascii="Symbol" w:hAnsi="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Symbol" w:hAnsi="Symbol" w:cs="OpenSymbol"/>
      </w:rPr>
    </w:lvl>
    <w:lvl w:ilvl="8">
      <w:start w:val="1"/>
      <w:numFmt w:val="bullet"/>
      <w:lvlText w:val=""/>
      <w:lvlJc w:val="left"/>
      <w:pPr>
        <w:tabs>
          <w:tab w:val="num" w:pos="3600"/>
        </w:tabs>
        <w:ind w:left="3600" w:hanging="360"/>
      </w:pPr>
      <w:rPr>
        <w:rFonts w:ascii="Symbol" w:hAnsi="Symbol" w:cs="OpenSymbol"/>
      </w:rPr>
    </w:lvl>
  </w:abstractNum>
  <w:abstractNum w:abstractNumId="8">
    <w:nsid w:val="0000000E"/>
    <w:multiLevelType w:val="multilevel"/>
    <w:tmpl w:val="0000000E"/>
    <w:name w:val="WW8Num15"/>
    <w:lvl w:ilvl="0">
      <w:start w:val="1"/>
      <w:numFmt w:val="decimal"/>
      <w:lvlText w:val="%1."/>
      <w:lvlJc w:val="left"/>
      <w:pPr>
        <w:tabs>
          <w:tab w:val="num" w:pos="0"/>
        </w:tabs>
        <w:ind w:left="720" w:hanging="360"/>
      </w:pPr>
      <w:rPr>
        <w:rFonts w:ascii="Calibri" w:hAnsi="Calibri" w:cs="Calibri"/>
        <w:bCs/>
        <w:sz w:val="22"/>
        <w:szCs w:val="22"/>
        <w:u w:val="none"/>
        <w:lang w:val="sk-SK"/>
      </w:rPr>
    </w:lvl>
    <w:lvl w:ilvl="1">
      <w:start w:val="1"/>
      <w:numFmt w:val="lowerLetter"/>
      <w:lvlText w:val="%2."/>
      <w:lvlJc w:val="left"/>
      <w:pPr>
        <w:tabs>
          <w:tab w:val="num" w:pos="0"/>
        </w:tabs>
        <w:ind w:left="1440" w:hanging="360"/>
      </w:pPr>
    </w:lvl>
    <w:lvl w:ilvl="2">
      <w:start w:val="1"/>
      <w:numFmt w:val="lowerRoman"/>
      <w:lvlText w:val="%2.%3."/>
      <w:lvlJc w:val="right"/>
      <w:pPr>
        <w:tabs>
          <w:tab w:val="num" w:pos="0"/>
        </w:tabs>
        <w:ind w:left="2160" w:hanging="180"/>
      </w:pPr>
    </w:lvl>
    <w:lvl w:ilvl="3">
      <w:start w:val="1"/>
      <w:numFmt w:val="decimal"/>
      <w:lvlText w:val="%2.%3.%4."/>
      <w:lvlJc w:val="left"/>
      <w:pPr>
        <w:tabs>
          <w:tab w:val="num" w:pos="0"/>
        </w:tabs>
        <w:ind w:left="2880" w:hanging="360"/>
      </w:pPr>
    </w:lvl>
    <w:lvl w:ilvl="4">
      <w:start w:val="1"/>
      <w:numFmt w:val="lowerLetter"/>
      <w:lvlText w:val="%2.%3.%4.%5."/>
      <w:lvlJc w:val="left"/>
      <w:pPr>
        <w:tabs>
          <w:tab w:val="num" w:pos="0"/>
        </w:tabs>
        <w:ind w:left="3600" w:hanging="360"/>
      </w:pPr>
    </w:lvl>
    <w:lvl w:ilvl="5">
      <w:start w:val="1"/>
      <w:numFmt w:val="lowerRoman"/>
      <w:lvlText w:val="%2.%3.%4.%5.%6."/>
      <w:lvlJc w:val="right"/>
      <w:pPr>
        <w:tabs>
          <w:tab w:val="num" w:pos="0"/>
        </w:tabs>
        <w:ind w:left="4320" w:hanging="180"/>
      </w:pPr>
    </w:lvl>
    <w:lvl w:ilvl="6">
      <w:start w:val="1"/>
      <w:numFmt w:val="decimal"/>
      <w:lvlText w:val="%2.%3.%4.%5.%6.%7."/>
      <w:lvlJc w:val="left"/>
      <w:pPr>
        <w:tabs>
          <w:tab w:val="num" w:pos="0"/>
        </w:tabs>
        <w:ind w:left="5040" w:hanging="360"/>
      </w:pPr>
    </w:lvl>
    <w:lvl w:ilvl="7">
      <w:start w:val="1"/>
      <w:numFmt w:val="lowerLetter"/>
      <w:lvlText w:val="%2.%3.%4.%5.%6.%7.%8."/>
      <w:lvlJc w:val="left"/>
      <w:pPr>
        <w:tabs>
          <w:tab w:val="num" w:pos="0"/>
        </w:tabs>
        <w:ind w:left="5760" w:hanging="360"/>
      </w:pPr>
    </w:lvl>
    <w:lvl w:ilvl="8">
      <w:start w:val="1"/>
      <w:numFmt w:val="lowerRoman"/>
      <w:lvlText w:val="%2.%3.%4.%5.%6.%7.%8.%9."/>
      <w:lvlJc w:val="right"/>
      <w:pPr>
        <w:tabs>
          <w:tab w:val="num" w:pos="0"/>
        </w:tabs>
        <w:ind w:left="6480" w:hanging="180"/>
      </w:pPr>
    </w:lvl>
  </w:abstractNum>
  <w:abstractNum w:abstractNumId="9">
    <w:nsid w:val="00000014"/>
    <w:multiLevelType w:val="multilevel"/>
    <w:tmpl w:val="8DAA4E66"/>
    <w:name w:val="WWNum2"/>
    <w:lvl w:ilvl="0">
      <w:start w:val="1"/>
      <w:numFmt w:val="decimal"/>
      <w:lvlText w:val="%1."/>
      <w:lvlJc w:val="center"/>
      <w:pPr>
        <w:tabs>
          <w:tab w:val="num" w:pos="720"/>
        </w:tabs>
        <w:ind w:left="720" w:hanging="360"/>
      </w:pPr>
      <w:rPr>
        <w:rFonts w:hint="default"/>
        <w:u w:val="none"/>
      </w:rPr>
    </w:lvl>
    <w:lvl w:ilvl="1">
      <w:start w:val="1"/>
      <w:numFmt w:val="bullet"/>
      <w:lvlText w:val="o"/>
      <w:lvlJc w:val="left"/>
      <w:pPr>
        <w:tabs>
          <w:tab w:val="num" w:pos="1440"/>
        </w:tabs>
        <w:ind w:left="1440" w:hanging="360"/>
      </w:pPr>
      <w:rPr>
        <w:rFonts w:ascii="Courier New" w:hAnsi="Courier New" w:cs="Courier New"/>
      </w:rPr>
    </w:lvl>
    <w:lvl w:ilvl="2">
      <w:start w:val="1"/>
      <w:numFmt w:val="bullet"/>
      <w:lvlText w:val=""/>
      <w:lvlJc w:val="left"/>
      <w:pPr>
        <w:tabs>
          <w:tab w:val="num" w:pos="2160"/>
        </w:tabs>
        <w:ind w:left="2160" w:hanging="360"/>
      </w:pPr>
      <w:rPr>
        <w:rFonts w:ascii="Wingdings" w:hAnsi="Wingdings" w:cs="Wingdings"/>
      </w:rPr>
    </w:lvl>
    <w:lvl w:ilvl="3">
      <w:start w:val="1"/>
      <w:numFmt w:val="bullet"/>
      <w:lvlText w:val=""/>
      <w:lvlJc w:val="left"/>
      <w:pPr>
        <w:tabs>
          <w:tab w:val="num" w:pos="2880"/>
        </w:tabs>
        <w:ind w:left="2880" w:hanging="360"/>
      </w:pPr>
      <w:rPr>
        <w:rFonts w:ascii="Symbol" w:hAnsi="Symbol" w:cs="Symbol"/>
      </w:rPr>
    </w:lvl>
    <w:lvl w:ilvl="4">
      <w:start w:val="1"/>
      <w:numFmt w:val="bullet"/>
      <w:lvlText w:val="o"/>
      <w:lvlJc w:val="left"/>
      <w:pPr>
        <w:tabs>
          <w:tab w:val="num" w:pos="3600"/>
        </w:tabs>
        <w:ind w:left="3600" w:hanging="360"/>
      </w:pPr>
      <w:rPr>
        <w:rFonts w:ascii="Courier New" w:hAnsi="Courier New" w:cs="Courier New"/>
      </w:rPr>
    </w:lvl>
    <w:lvl w:ilvl="5">
      <w:start w:val="1"/>
      <w:numFmt w:val="bullet"/>
      <w:lvlText w:val=""/>
      <w:lvlJc w:val="left"/>
      <w:pPr>
        <w:tabs>
          <w:tab w:val="num" w:pos="4320"/>
        </w:tabs>
        <w:ind w:left="4320" w:hanging="360"/>
      </w:pPr>
      <w:rPr>
        <w:rFonts w:ascii="Wingdings" w:hAnsi="Wingdings" w:cs="Wingdings"/>
      </w:rPr>
    </w:lvl>
    <w:lvl w:ilvl="6">
      <w:start w:val="1"/>
      <w:numFmt w:val="bullet"/>
      <w:lvlText w:val=""/>
      <w:lvlJc w:val="left"/>
      <w:pPr>
        <w:tabs>
          <w:tab w:val="num" w:pos="5040"/>
        </w:tabs>
        <w:ind w:left="5040" w:hanging="360"/>
      </w:pPr>
      <w:rPr>
        <w:rFonts w:ascii="Symbol" w:hAnsi="Symbol" w:cs="Symbol"/>
      </w:rPr>
    </w:lvl>
    <w:lvl w:ilvl="7">
      <w:start w:val="1"/>
      <w:numFmt w:val="bullet"/>
      <w:lvlText w:val="o"/>
      <w:lvlJc w:val="left"/>
      <w:pPr>
        <w:tabs>
          <w:tab w:val="num" w:pos="5760"/>
        </w:tabs>
        <w:ind w:left="5760" w:hanging="360"/>
      </w:pPr>
      <w:rPr>
        <w:rFonts w:ascii="Courier New" w:hAnsi="Courier New" w:cs="Courier New"/>
      </w:rPr>
    </w:lvl>
    <w:lvl w:ilvl="8">
      <w:start w:val="1"/>
      <w:numFmt w:val="bullet"/>
      <w:lvlText w:val=""/>
      <w:lvlJc w:val="left"/>
      <w:pPr>
        <w:tabs>
          <w:tab w:val="num" w:pos="6480"/>
        </w:tabs>
        <w:ind w:left="6480" w:hanging="360"/>
      </w:pPr>
      <w:rPr>
        <w:rFonts w:ascii="Wingdings" w:hAnsi="Wingdings" w:cs="Wingdings"/>
      </w:rPr>
    </w:lvl>
  </w:abstractNum>
  <w:abstractNum w:abstractNumId="10">
    <w:nsid w:val="008E68B1"/>
    <w:multiLevelType w:val="hybridMultilevel"/>
    <w:tmpl w:val="C04250A6"/>
    <w:lvl w:ilvl="0" w:tplc="674E832A">
      <w:numFmt w:val="bullet"/>
      <w:lvlText w:val="-"/>
      <w:lvlJc w:val="left"/>
      <w:pPr>
        <w:ind w:left="720" w:hanging="360"/>
      </w:pPr>
      <w:rPr>
        <w:rFonts w:ascii="Calibri" w:eastAsia="Times New Roman" w:hAnsi="Calibri" w:cs="Times New Roman"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1">
    <w:nsid w:val="010124A9"/>
    <w:multiLevelType w:val="multilevel"/>
    <w:tmpl w:val="6DD2884A"/>
    <w:numStyleLink w:val="Aktulnyzoznam1"/>
  </w:abstractNum>
  <w:abstractNum w:abstractNumId="12">
    <w:nsid w:val="013320B8"/>
    <w:multiLevelType w:val="multilevel"/>
    <w:tmpl w:val="D30861B6"/>
    <w:lvl w:ilvl="0">
      <w:start w:val="1"/>
      <w:numFmt w:val="decimal"/>
      <w:lvlText w:val="%1."/>
      <w:lvlJc w:val="center"/>
      <w:pPr>
        <w:tabs>
          <w:tab w:val="num" w:pos="0"/>
        </w:tabs>
        <w:ind w:left="360" w:hanging="360"/>
      </w:pPr>
      <w:rPr>
        <w:rFonts w:hint="default"/>
      </w:rPr>
    </w:lvl>
    <w:lvl w:ilvl="1">
      <w:start w:val="1"/>
      <w:numFmt w:val="lowerLetter"/>
      <w:lvlText w:val="%2."/>
      <w:lvlJc w:val="left"/>
      <w:pPr>
        <w:tabs>
          <w:tab w:val="num" w:pos="0"/>
        </w:tabs>
        <w:ind w:left="1080" w:hanging="360"/>
      </w:pPr>
    </w:lvl>
    <w:lvl w:ilvl="2">
      <w:start w:val="1"/>
      <w:numFmt w:val="lowerRoman"/>
      <w:lvlText w:val="%2.%3."/>
      <w:lvlJc w:val="right"/>
      <w:pPr>
        <w:tabs>
          <w:tab w:val="num" w:pos="0"/>
        </w:tabs>
        <w:ind w:left="1800" w:hanging="180"/>
      </w:pPr>
    </w:lvl>
    <w:lvl w:ilvl="3">
      <w:start w:val="1"/>
      <w:numFmt w:val="decimal"/>
      <w:lvlText w:val="%2.%3.%4."/>
      <w:lvlJc w:val="left"/>
      <w:pPr>
        <w:tabs>
          <w:tab w:val="num" w:pos="0"/>
        </w:tabs>
        <w:ind w:left="2520" w:hanging="360"/>
      </w:pPr>
    </w:lvl>
    <w:lvl w:ilvl="4">
      <w:start w:val="1"/>
      <w:numFmt w:val="lowerLetter"/>
      <w:lvlText w:val="%2.%3.%4.%5."/>
      <w:lvlJc w:val="left"/>
      <w:pPr>
        <w:tabs>
          <w:tab w:val="num" w:pos="0"/>
        </w:tabs>
        <w:ind w:left="3240" w:hanging="360"/>
      </w:pPr>
    </w:lvl>
    <w:lvl w:ilvl="5">
      <w:start w:val="1"/>
      <w:numFmt w:val="lowerRoman"/>
      <w:lvlText w:val="%2.%3.%4.%5.%6."/>
      <w:lvlJc w:val="right"/>
      <w:pPr>
        <w:tabs>
          <w:tab w:val="num" w:pos="0"/>
        </w:tabs>
        <w:ind w:left="3960" w:hanging="180"/>
      </w:pPr>
    </w:lvl>
    <w:lvl w:ilvl="6">
      <w:start w:val="1"/>
      <w:numFmt w:val="decimal"/>
      <w:lvlText w:val="%2.%3.%4.%5.%6.%7."/>
      <w:lvlJc w:val="left"/>
      <w:pPr>
        <w:tabs>
          <w:tab w:val="num" w:pos="0"/>
        </w:tabs>
        <w:ind w:left="4680" w:hanging="360"/>
      </w:pPr>
    </w:lvl>
    <w:lvl w:ilvl="7">
      <w:start w:val="1"/>
      <w:numFmt w:val="lowerLetter"/>
      <w:lvlText w:val="%2.%3.%4.%5.%6.%7.%8."/>
      <w:lvlJc w:val="left"/>
      <w:pPr>
        <w:tabs>
          <w:tab w:val="num" w:pos="0"/>
        </w:tabs>
        <w:ind w:left="5400" w:hanging="360"/>
      </w:pPr>
    </w:lvl>
    <w:lvl w:ilvl="8">
      <w:start w:val="1"/>
      <w:numFmt w:val="lowerRoman"/>
      <w:lvlText w:val="%2.%3.%4.%5.%6.%7.%8.%9."/>
      <w:lvlJc w:val="right"/>
      <w:pPr>
        <w:tabs>
          <w:tab w:val="num" w:pos="0"/>
        </w:tabs>
        <w:ind w:left="6120" w:hanging="180"/>
      </w:pPr>
    </w:lvl>
  </w:abstractNum>
  <w:abstractNum w:abstractNumId="13">
    <w:nsid w:val="01C05744"/>
    <w:multiLevelType w:val="hybridMultilevel"/>
    <w:tmpl w:val="06FEA8A2"/>
    <w:lvl w:ilvl="0" w:tplc="041B0017">
      <w:start w:val="1"/>
      <w:numFmt w:val="lowerLetter"/>
      <w:lvlText w:val="%1)"/>
      <w:lvlJc w:val="left"/>
      <w:pPr>
        <w:ind w:left="1004" w:hanging="360"/>
      </w:pPr>
    </w:lvl>
    <w:lvl w:ilvl="1" w:tplc="041B0019">
      <w:start w:val="1"/>
      <w:numFmt w:val="lowerLetter"/>
      <w:lvlText w:val="%2."/>
      <w:lvlJc w:val="left"/>
      <w:pPr>
        <w:ind w:left="1724" w:hanging="360"/>
      </w:pPr>
    </w:lvl>
    <w:lvl w:ilvl="2" w:tplc="041B001B" w:tentative="1">
      <w:start w:val="1"/>
      <w:numFmt w:val="lowerRoman"/>
      <w:lvlText w:val="%3."/>
      <w:lvlJc w:val="right"/>
      <w:pPr>
        <w:ind w:left="2444" w:hanging="180"/>
      </w:pPr>
    </w:lvl>
    <w:lvl w:ilvl="3" w:tplc="041B000F" w:tentative="1">
      <w:start w:val="1"/>
      <w:numFmt w:val="decimal"/>
      <w:lvlText w:val="%4."/>
      <w:lvlJc w:val="left"/>
      <w:pPr>
        <w:ind w:left="3164" w:hanging="360"/>
      </w:pPr>
    </w:lvl>
    <w:lvl w:ilvl="4" w:tplc="041B0019" w:tentative="1">
      <w:start w:val="1"/>
      <w:numFmt w:val="lowerLetter"/>
      <w:lvlText w:val="%5."/>
      <w:lvlJc w:val="left"/>
      <w:pPr>
        <w:ind w:left="3884" w:hanging="360"/>
      </w:pPr>
    </w:lvl>
    <w:lvl w:ilvl="5" w:tplc="041B001B" w:tentative="1">
      <w:start w:val="1"/>
      <w:numFmt w:val="lowerRoman"/>
      <w:lvlText w:val="%6."/>
      <w:lvlJc w:val="right"/>
      <w:pPr>
        <w:ind w:left="4604" w:hanging="180"/>
      </w:pPr>
    </w:lvl>
    <w:lvl w:ilvl="6" w:tplc="041B000F" w:tentative="1">
      <w:start w:val="1"/>
      <w:numFmt w:val="decimal"/>
      <w:lvlText w:val="%7."/>
      <w:lvlJc w:val="left"/>
      <w:pPr>
        <w:ind w:left="5324" w:hanging="360"/>
      </w:pPr>
    </w:lvl>
    <w:lvl w:ilvl="7" w:tplc="041B0019" w:tentative="1">
      <w:start w:val="1"/>
      <w:numFmt w:val="lowerLetter"/>
      <w:lvlText w:val="%8."/>
      <w:lvlJc w:val="left"/>
      <w:pPr>
        <w:ind w:left="6044" w:hanging="360"/>
      </w:pPr>
    </w:lvl>
    <w:lvl w:ilvl="8" w:tplc="041B001B" w:tentative="1">
      <w:start w:val="1"/>
      <w:numFmt w:val="lowerRoman"/>
      <w:lvlText w:val="%9."/>
      <w:lvlJc w:val="right"/>
      <w:pPr>
        <w:ind w:left="6764" w:hanging="180"/>
      </w:pPr>
    </w:lvl>
  </w:abstractNum>
  <w:abstractNum w:abstractNumId="14">
    <w:nsid w:val="01C05E82"/>
    <w:multiLevelType w:val="hybridMultilevel"/>
    <w:tmpl w:val="E2CAE90A"/>
    <w:lvl w:ilvl="0" w:tplc="F7D069CE">
      <w:numFmt w:val="bullet"/>
      <w:lvlText w:val="–"/>
      <w:lvlJc w:val="left"/>
      <w:pPr>
        <w:ind w:left="720" w:hanging="360"/>
      </w:pPr>
      <w:rPr>
        <w:rFonts w:ascii="Times New Roman" w:eastAsia="Times New Roman" w:hAnsi="Times New Roman"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5">
    <w:nsid w:val="020062C5"/>
    <w:multiLevelType w:val="hybridMultilevel"/>
    <w:tmpl w:val="B5809D36"/>
    <w:lvl w:ilvl="0" w:tplc="2832704C">
      <w:numFmt w:val="bullet"/>
      <w:lvlText w:val="-"/>
      <w:lvlJc w:val="left"/>
      <w:pPr>
        <w:ind w:left="720" w:hanging="360"/>
      </w:pPr>
      <w:rPr>
        <w:rFonts w:ascii="Calibri" w:eastAsia="Calibri" w:hAnsi="Calibri" w:cs="Times New Roman" w:hint="default"/>
      </w:rPr>
    </w:lvl>
    <w:lvl w:ilvl="1" w:tplc="041B0003">
      <w:start w:val="1"/>
      <w:numFmt w:val="bullet"/>
      <w:lvlText w:val="o"/>
      <w:lvlJc w:val="left"/>
      <w:pPr>
        <w:ind w:left="1440" w:hanging="360"/>
      </w:pPr>
      <w:rPr>
        <w:rFonts w:ascii="Courier New" w:hAnsi="Courier New" w:cs="Courier New" w:hint="default"/>
      </w:rPr>
    </w:lvl>
    <w:lvl w:ilvl="2" w:tplc="041B0005">
      <w:start w:val="1"/>
      <w:numFmt w:val="decimal"/>
      <w:lvlText w:val="%3."/>
      <w:lvlJc w:val="left"/>
      <w:pPr>
        <w:tabs>
          <w:tab w:val="num" w:pos="2160"/>
        </w:tabs>
        <w:ind w:left="2160" w:hanging="360"/>
      </w:pPr>
    </w:lvl>
    <w:lvl w:ilvl="3" w:tplc="041B0001">
      <w:start w:val="1"/>
      <w:numFmt w:val="decimal"/>
      <w:lvlText w:val="%4."/>
      <w:lvlJc w:val="left"/>
      <w:pPr>
        <w:tabs>
          <w:tab w:val="num" w:pos="2880"/>
        </w:tabs>
        <w:ind w:left="2880" w:hanging="360"/>
      </w:pPr>
    </w:lvl>
    <w:lvl w:ilvl="4" w:tplc="041B0003">
      <w:start w:val="1"/>
      <w:numFmt w:val="decimal"/>
      <w:lvlText w:val="%5."/>
      <w:lvlJc w:val="left"/>
      <w:pPr>
        <w:tabs>
          <w:tab w:val="num" w:pos="3600"/>
        </w:tabs>
        <w:ind w:left="3600" w:hanging="360"/>
      </w:pPr>
    </w:lvl>
    <w:lvl w:ilvl="5" w:tplc="041B0005">
      <w:start w:val="1"/>
      <w:numFmt w:val="decimal"/>
      <w:lvlText w:val="%6."/>
      <w:lvlJc w:val="left"/>
      <w:pPr>
        <w:tabs>
          <w:tab w:val="num" w:pos="4320"/>
        </w:tabs>
        <w:ind w:left="4320" w:hanging="360"/>
      </w:pPr>
    </w:lvl>
    <w:lvl w:ilvl="6" w:tplc="041B0001">
      <w:start w:val="1"/>
      <w:numFmt w:val="decimal"/>
      <w:lvlText w:val="%7."/>
      <w:lvlJc w:val="left"/>
      <w:pPr>
        <w:tabs>
          <w:tab w:val="num" w:pos="5040"/>
        </w:tabs>
        <w:ind w:left="5040" w:hanging="360"/>
      </w:pPr>
    </w:lvl>
    <w:lvl w:ilvl="7" w:tplc="041B0003">
      <w:start w:val="1"/>
      <w:numFmt w:val="decimal"/>
      <w:lvlText w:val="%8."/>
      <w:lvlJc w:val="left"/>
      <w:pPr>
        <w:tabs>
          <w:tab w:val="num" w:pos="5760"/>
        </w:tabs>
        <w:ind w:left="5760" w:hanging="360"/>
      </w:pPr>
    </w:lvl>
    <w:lvl w:ilvl="8" w:tplc="041B0005">
      <w:start w:val="1"/>
      <w:numFmt w:val="decimal"/>
      <w:lvlText w:val="%9."/>
      <w:lvlJc w:val="left"/>
      <w:pPr>
        <w:tabs>
          <w:tab w:val="num" w:pos="6480"/>
        </w:tabs>
        <w:ind w:left="6480" w:hanging="360"/>
      </w:pPr>
    </w:lvl>
  </w:abstractNum>
  <w:abstractNum w:abstractNumId="16">
    <w:nsid w:val="02494D03"/>
    <w:multiLevelType w:val="multilevel"/>
    <w:tmpl w:val="6DD2884A"/>
    <w:numStyleLink w:val="Aktulnyzoznam1"/>
  </w:abstractNum>
  <w:abstractNum w:abstractNumId="17">
    <w:nsid w:val="028F4CC2"/>
    <w:multiLevelType w:val="hybridMultilevel"/>
    <w:tmpl w:val="862E2418"/>
    <w:lvl w:ilvl="0" w:tplc="9BE2A82E">
      <w:start w:val="383"/>
      <w:numFmt w:val="bullet"/>
      <w:lvlText w:val="-"/>
      <w:lvlJc w:val="left"/>
      <w:pPr>
        <w:ind w:left="641" w:hanging="360"/>
      </w:pPr>
      <w:rPr>
        <w:rFonts w:ascii="Calibri" w:eastAsiaTheme="minorHAnsi" w:hAnsi="Calibri" w:cstheme="minorBidi" w:hint="default"/>
      </w:rPr>
    </w:lvl>
    <w:lvl w:ilvl="1" w:tplc="041B0003" w:tentative="1">
      <w:start w:val="1"/>
      <w:numFmt w:val="bullet"/>
      <w:lvlText w:val="o"/>
      <w:lvlJc w:val="left"/>
      <w:pPr>
        <w:ind w:left="1361" w:hanging="360"/>
      </w:pPr>
      <w:rPr>
        <w:rFonts w:ascii="Courier New" w:hAnsi="Courier New" w:cs="Courier New" w:hint="default"/>
      </w:rPr>
    </w:lvl>
    <w:lvl w:ilvl="2" w:tplc="041B0005" w:tentative="1">
      <w:start w:val="1"/>
      <w:numFmt w:val="bullet"/>
      <w:lvlText w:val=""/>
      <w:lvlJc w:val="left"/>
      <w:pPr>
        <w:ind w:left="2081" w:hanging="360"/>
      </w:pPr>
      <w:rPr>
        <w:rFonts w:ascii="Wingdings" w:hAnsi="Wingdings" w:hint="default"/>
      </w:rPr>
    </w:lvl>
    <w:lvl w:ilvl="3" w:tplc="041B0001" w:tentative="1">
      <w:start w:val="1"/>
      <w:numFmt w:val="bullet"/>
      <w:lvlText w:val=""/>
      <w:lvlJc w:val="left"/>
      <w:pPr>
        <w:ind w:left="2801" w:hanging="360"/>
      </w:pPr>
      <w:rPr>
        <w:rFonts w:ascii="Symbol" w:hAnsi="Symbol" w:hint="default"/>
      </w:rPr>
    </w:lvl>
    <w:lvl w:ilvl="4" w:tplc="041B0003" w:tentative="1">
      <w:start w:val="1"/>
      <w:numFmt w:val="bullet"/>
      <w:lvlText w:val="o"/>
      <w:lvlJc w:val="left"/>
      <w:pPr>
        <w:ind w:left="3521" w:hanging="360"/>
      </w:pPr>
      <w:rPr>
        <w:rFonts w:ascii="Courier New" w:hAnsi="Courier New" w:cs="Courier New" w:hint="default"/>
      </w:rPr>
    </w:lvl>
    <w:lvl w:ilvl="5" w:tplc="041B0005" w:tentative="1">
      <w:start w:val="1"/>
      <w:numFmt w:val="bullet"/>
      <w:lvlText w:val=""/>
      <w:lvlJc w:val="left"/>
      <w:pPr>
        <w:ind w:left="4241" w:hanging="360"/>
      </w:pPr>
      <w:rPr>
        <w:rFonts w:ascii="Wingdings" w:hAnsi="Wingdings" w:hint="default"/>
      </w:rPr>
    </w:lvl>
    <w:lvl w:ilvl="6" w:tplc="041B0001" w:tentative="1">
      <w:start w:val="1"/>
      <w:numFmt w:val="bullet"/>
      <w:lvlText w:val=""/>
      <w:lvlJc w:val="left"/>
      <w:pPr>
        <w:ind w:left="4961" w:hanging="360"/>
      </w:pPr>
      <w:rPr>
        <w:rFonts w:ascii="Symbol" w:hAnsi="Symbol" w:hint="default"/>
      </w:rPr>
    </w:lvl>
    <w:lvl w:ilvl="7" w:tplc="041B0003" w:tentative="1">
      <w:start w:val="1"/>
      <w:numFmt w:val="bullet"/>
      <w:lvlText w:val="o"/>
      <w:lvlJc w:val="left"/>
      <w:pPr>
        <w:ind w:left="5681" w:hanging="360"/>
      </w:pPr>
      <w:rPr>
        <w:rFonts w:ascii="Courier New" w:hAnsi="Courier New" w:cs="Courier New" w:hint="default"/>
      </w:rPr>
    </w:lvl>
    <w:lvl w:ilvl="8" w:tplc="041B0005" w:tentative="1">
      <w:start w:val="1"/>
      <w:numFmt w:val="bullet"/>
      <w:lvlText w:val=""/>
      <w:lvlJc w:val="left"/>
      <w:pPr>
        <w:ind w:left="6401" w:hanging="360"/>
      </w:pPr>
      <w:rPr>
        <w:rFonts w:ascii="Wingdings" w:hAnsi="Wingdings" w:hint="default"/>
      </w:rPr>
    </w:lvl>
  </w:abstractNum>
  <w:abstractNum w:abstractNumId="18">
    <w:nsid w:val="041D6A86"/>
    <w:multiLevelType w:val="hybridMultilevel"/>
    <w:tmpl w:val="C40692CC"/>
    <w:lvl w:ilvl="0" w:tplc="D968098C">
      <w:start w:val="5"/>
      <w:numFmt w:val="bullet"/>
      <w:lvlText w:val="-"/>
      <w:lvlJc w:val="left"/>
      <w:pPr>
        <w:ind w:left="720" w:hanging="360"/>
      </w:pPr>
      <w:rPr>
        <w:rFonts w:ascii="Calibri" w:eastAsia="Calibri" w:hAnsi="Calibri" w:cs="Calibri" w:hint="default"/>
      </w:rPr>
    </w:lvl>
    <w:lvl w:ilvl="1" w:tplc="041B0001">
      <w:start w:val="1"/>
      <w:numFmt w:val="bullet"/>
      <w:lvlText w:val=""/>
      <w:lvlJc w:val="left"/>
      <w:pPr>
        <w:ind w:left="1440" w:hanging="360"/>
      </w:pPr>
      <w:rPr>
        <w:rFonts w:ascii="Symbol" w:hAnsi="Symbol"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9">
    <w:nsid w:val="048768D5"/>
    <w:multiLevelType w:val="multilevel"/>
    <w:tmpl w:val="F9362912"/>
    <w:lvl w:ilvl="0">
      <w:start w:val="1"/>
      <w:numFmt w:val="decimal"/>
      <w:lvlText w:val="%1."/>
      <w:lvlJc w:val="left"/>
      <w:pPr>
        <w:tabs>
          <w:tab w:val="num" w:pos="0"/>
        </w:tabs>
        <w:ind w:left="720" w:hanging="360"/>
      </w:pPr>
      <w:rPr>
        <w:rFonts w:hint="default"/>
      </w:rPr>
    </w:lvl>
    <w:lvl w:ilvl="1">
      <w:start w:val="1"/>
      <w:numFmt w:val="bullet"/>
      <w:lvlText w:val="o"/>
      <w:lvlJc w:val="left"/>
      <w:pPr>
        <w:tabs>
          <w:tab w:val="num" w:pos="0"/>
        </w:tabs>
        <w:ind w:left="1440" w:hanging="360"/>
      </w:pPr>
      <w:rPr>
        <w:rFonts w:ascii="Courier New" w:hAnsi="Courier New" w:cs="Courier New"/>
      </w:rPr>
    </w:lvl>
    <w:lvl w:ilvl="2">
      <w:start w:val="1"/>
      <w:numFmt w:val="bullet"/>
      <w:lvlText w:val=""/>
      <w:lvlJc w:val="left"/>
      <w:pPr>
        <w:tabs>
          <w:tab w:val="num" w:pos="0"/>
        </w:tabs>
        <w:ind w:left="2160" w:hanging="360"/>
      </w:pPr>
      <w:rPr>
        <w:rFonts w:ascii="Wingdings" w:hAnsi="Wingdings" w:cs="Wingdings"/>
      </w:rPr>
    </w:lvl>
    <w:lvl w:ilvl="3">
      <w:start w:val="1"/>
      <w:numFmt w:val="bullet"/>
      <w:lvlText w:val=""/>
      <w:lvlJc w:val="left"/>
      <w:pPr>
        <w:tabs>
          <w:tab w:val="num" w:pos="0"/>
        </w:tabs>
        <w:ind w:left="2880" w:hanging="360"/>
      </w:pPr>
      <w:rPr>
        <w:rFonts w:ascii="Symbol" w:hAnsi="Symbol" w:cs="Symbol"/>
      </w:rPr>
    </w:lvl>
    <w:lvl w:ilvl="4">
      <w:start w:val="1"/>
      <w:numFmt w:val="bullet"/>
      <w:lvlText w:val="o"/>
      <w:lvlJc w:val="left"/>
      <w:pPr>
        <w:tabs>
          <w:tab w:val="num" w:pos="0"/>
        </w:tabs>
        <w:ind w:left="3600" w:hanging="360"/>
      </w:pPr>
      <w:rPr>
        <w:rFonts w:ascii="Courier New" w:hAnsi="Courier New" w:cs="Courier New"/>
      </w:rPr>
    </w:lvl>
    <w:lvl w:ilvl="5">
      <w:start w:val="1"/>
      <w:numFmt w:val="bullet"/>
      <w:lvlText w:val=""/>
      <w:lvlJc w:val="left"/>
      <w:pPr>
        <w:tabs>
          <w:tab w:val="num" w:pos="0"/>
        </w:tabs>
        <w:ind w:left="4320" w:hanging="360"/>
      </w:pPr>
      <w:rPr>
        <w:rFonts w:ascii="Wingdings" w:hAnsi="Wingdings" w:cs="Wingdings"/>
      </w:rPr>
    </w:lvl>
    <w:lvl w:ilvl="6">
      <w:start w:val="1"/>
      <w:numFmt w:val="bullet"/>
      <w:lvlText w:val=""/>
      <w:lvlJc w:val="left"/>
      <w:pPr>
        <w:tabs>
          <w:tab w:val="num" w:pos="0"/>
        </w:tabs>
        <w:ind w:left="5040" w:hanging="360"/>
      </w:pPr>
      <w:rPr>
        <w:rFonts w:ascii="Symbol" w:hAnsi="Symbol" w:cs="Symbol"/>
      </w:rPr>
    </w:lvl>
    <w:lvl w:ilvl="7">
      <w:start w:val="1"/>
      <w:numFmt w:val="bullet"/>
      <w:lvlText w:val="o"/>
      <w:lvlJc w:val="left"/>
      <w:pPr>
        <w:tabs>
          <w:tab w:val="num" w:pos="0"/>
        </w:tabs>
        <w:ind w:left="5760" w:hanging="360"/>
      </w:pPr>
      <w:rPr>
        <w:rFonts w:ascii="Courier New" w:hAnsi="Courier New" w:cs="Courier New"/>
      </w:rPr>
    </w:lvl>
    <w:lvl w:ilvl="8">
      <w:start w:val="1"/>
      <w:numFmt w:val="bullet"/>
      <w:lvlText w:val=""/>
      <w:lvlJc w:val="left"/>
      <w:pPr>
        <w:tabs>
          <w:tab w:val="num" w:pos="0"/>
        </w:tabs>
        <w:ind w:left="6480" w:hanging="360"/>
      </w:pPr>
      <w:rPr>
        <w:rFonts w:ascii="Wingdings" w:hAnsi="Wingdings" w:cs="Wingdings"/>
      </w:rPr>
    </w:lvl>
  </w:abstractNum>
  <w:abstractNum w:abstractNumId="20">
    <w:nsid w:val="054B3A25"/>
    <w:multiLevelType w:val="hybridMultilevel"/>
    <w:tmpl w:val="B7688D9C"/>
    <w:lvl w:ilvl="0" w:tplc="0C07000F">
      <w:start w:val="1"/>
      <w:numFmt w:val="decimal"/>
      <w:lvlText w:val="%1."/>
      <w:lvlJc w:val="left"/>
      <w:pPr>
        <w:ind w:left="360" w:hanging="360"/>
      </w:pPr>
      <w:rPr>
        <w:rFonts w:hint="default"/>
      </w:rPr>
    </w:lvl>
    <w:lvl w:ilvl="1" w:tplc="0C070019" w:tentative="1">
      <w:start w:val="1"/>
      <w:numFmt w:val="lowerLetter"/>
      <w:lvlText w:val="%2."/>
      <w:lvlJc w:val="left"/>
      <w:pPr>
        <w:ind w:left="1080" w:hanging="360"/>
      </w:pPr>
    </w:lvl>
    <w:lvl w:ilvl="2" w:tplc="0C07001B" w:tentative="1">
      <w:start w:val="1"/>
      <w:numFmt w:val="lowerRoman"/>
      <w:lvlText w:val="%3."/>
      <w:lvlJc w:val="right"/>
      <w:pPr>
        <w:ind w:left="1800" w:hanging="180"/>
      </w:pPr>
    </w:lvl>
    <w:lvl w:ilvl="3" w:tplc="0C07000F" w:tentative="1">
      <w:start w:val="1"/>
      <w:numFmt w:val="decimal"/>
      <w:lvlText w:val="%4."/>
      <w:lvlJc w:val="left"/>
      <w:pPr>
        <w:ind w:left="2520" w:hanging="360"/>
      </w:pPr>
    </w:lvl>
    <w:lvl w:ilvl="4" w:tplc="0C070019" w:tentative="1">
      <w:start w:val="1"/>
      <w:numFmt w:val="lowerLetter"/>
      <w:lvlText w:val="%5."/>
      <w:lvlJc w:val="left"/>
      <w:pPr>
        <w:ind w:left="3240" w:hanging="360"/>
      </w:pPr>
    </w:lvl>
    <w:lvl w:ilvl="5" w:tplc="0C07001B" w:tentative="1">
      <w:start w:val="1"/>
      <w:numFmt w:val="lowerRoman"/>
      <w:lvlText w:val="%6."/>
      <w:lvlJc w:val="right"/>
      <w:pPr>
        <w:ind w:left="3960" w:hanging="180"/>
      </w:pPr>
    </w:lvl>
    <w:lvl w:ilvl="6" w:tplc="0C07000F" w:tentative="1">
      <w:start w:val="1"/>
      <w:numFmt w:val="decimal"/>
      <w:lvlText w:val="%7."/>
      <w:lvlJc w:val="left"/>
      <w:pPr>
        <w:ind w:left="4680" w:hanging="360"/>
      </w:pPr>
    </w:lvl>
    <w:lvl w:ilvl="7" w:tplc="0C070019" w:tentative="1">
      <w:start w:val="1"/>
      <w:numFmt w:val="lowerLetter"/>
      <w:lvlText w:val="%8."/>
      <w:lvlJc w:val="left"/>
      <w:pPr>
        <w:ind w:left="5400" w:hanging="360"/>
      </w:pPr>
    </w:lvl>
    <w:lvl w:ilvl="8" w:tplc="0C07001B" w:tentative="1">
      <w:start w:val="1"/>
      <w:numFmt w:val="lowerRoman"/>
      <w:lvlText w:val="%9."/>
      <w:lvlJc w:val="right"/>
      <w:pPr>
        <w:ind w:left="6120" w:hanging="180"/>
      </w:pPr>
    </w:lvl>
  </w:abstractNum>
  <w:abstractNum w:abstractNumId="21">
    <w:nsid w:val="05646C99"/>
    <w:multiLevelType w:val="hybridMultilevel"/>
    <w:tmpl w:val="13FC0A42"/>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22">
    <w:nsid w:val="05D0263C"/>
    <w:multiLevelType w:val="hybridMultilevel"/>
    <w:tmpl w:val="048CACE4"/>
    <w:lvl w:ilvl="0" w:tplc="3248831A">
      <w:start w:val="1"/>
      <w:numFmt w:val="decimal"/>
      <w:lvlText w:val="%1)"/>
      <w:lvlJc w:val="left"/>
      <w:pPr>
        <w:ind w:left="720" w:hanging="360"/>
      </w:pPr>
      <w:rPr>
        <w:rFonts w:ascii="Calibri" w:eastAsia="Times New Roman" w:hAnsi="Calibri" w:cs="Times New Roman"/>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23">
    <w:nsid w:val="05E0143B"/>
    <w:multiLevelType w:val="hybridMultilevel"/>
    <w:tmpl w:val="54328D4C"/>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24">
    <w:nsid w:val="060174B4"/>
    <w:multiLevelType w:val="hybridMultilevel"/>
    <w:tmpl w:val="EBB0400A"/>
    <w:lvl w:ilvl="0" w:tplc="041B000F">
      <w:start w:val="1"/>
      <w:numFmt w:val="decimal"/>
      <w:lvlText w:val="%1."/>
      <w:lvlJc w:val="left"/>
      <w:pPr>
        <w:ind w:left="720" w:hanging="360"/>
      </w:p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25">
    <w:nsid w:val="060A5C62"/>
    <w:multiLevelType w:val="hybridMultilevel"/>
    <w:tmpl w:val="C962397E"/>
    <w:lvl w:ilvl="0" w:tplc="1818B5BE">
      <w:start w:val="53"/>
      <w:numFmt w:val="decimal"/>
      <w:lvlText w:val="%1"/>
      <w:lvlJc w:val="left"/>
      <w:pPr>
        <w:ind w:left="720" w:hanging="360"/>
      </w:pPr>
      <w:rPr>
        <w:rFonts w:hint="default"/>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26">
    <w:nsid w:val="060C2B5D"/>
    <w:multiLevelType w:val="hybridMultilevel"/>
    <w:tmpl w:val="ABEAABD8"/>
    <w:lvl w:ilvl="0" w:tplc="041B0017">
      <w:start w:val="1"/>
      <w:numFmt w:val="lowerLetter"/>
      <w:lvlText w:val="%1)"/>
      <w:lvlJc w:val="left"/>
      <w:pPr>
        <w:ind w:left="720" w:hanging="360"/>
      </w:pPr>
      <w:rPr>
        <w:rFonts w:hint="default"/>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27">
    <w:nsid w:val="0614676F"/>
    <w:multiLevelType w:val="hybridMultilevel"/>
    <w:tmpl w:val="D13EEF8C"/>
    <w:lvl w:ilvl="0" w:tplc="041B0001">
      <w:start w:val="1"/>
      <w:numFmt w:val="bullet"/>
      <w:lvlText w:val=""/>
      <w:lvlJc w:val="left"/>
      <w:pPr>
        <w:tabs>
          <w:tab w:val="num" w:pos="720"/>
        </w:tabs>
        <w:ind w:left="720" w:hanging="360"/>
      </w:pPr>
      <w:rPr>
        <w:rFonts w:ascii="Symbol" w:hAnsi="Symbol" w:hint="default"/>
      </w:rPr>
    </w:lvl>
    <w:lvl w:ilvl="1" w:tplc="041B0003" w:tentative="1">
      <w:start w:val="1"/>
      <w:numFmt w:val="bullet"/>
      <w:lvlText w:val="o"/>
      <w:lvlJc w:val="left"/>
      <w:pPr>
        <w:tabs>
          <w:tab w:val="num" w:pos="1740"/>
        </w:tabs>
        <w:ind w:left="1740" w:hanging="360"/>
      </w:pPr>
      <w:rPr>
        <w:rFonts w:ascii="Courier New" w:hAnsi="Courier New" w:cs="Courier New" w:hint="default"/>
      </w:rPr>
    </w:lvl>
    <w:lvl w:ilvl="2" w:tplc="041B0005" w:tentative="1">
      <w:start w:val="1"/>
      <w:numFmt w:val="bullet"/>
      <w:lvlText w:val=""/>
      <w:lvlJc w:val="left"/>
      <w:pPr>
        <w:tabs>
          <w:tab w:val="num" w:pos="2460"/>
        </w:tabs>
        <w:ind w:left="2460" w:hanging="360"/>
      </w:pPr>
      <w:rPr>
        <w:rFonts w:ascii="Wingdings" w:hAnsi="Wingdings" w:hint="default"/>
      </w:rPr>
    </w:lvl>
    <w:lvl w:ilvl="3" w:tplc="041B0001" w:tentative="1">
      <w:start w:val="1"/>
      <w:numFmt w:val="bullet"/>
      <w:lvlText w:val=""/>
      <w:lvlJc w:val="left"/>
      <w:pPr>
        <w:tabs>
          <w:tab w:val="num" w:pos="3180"/>
        </w:tabs>
        <w:ind w:left="3180" w:hanging="360"/>
      </w:pPr>
      <w:rPr>
        <w:rFonts w:ascii="Symbol" w:hAnsi="Symbol" w:hint="default"/>
      </w:rPr>
    </w:lvl>
    <w:lvl w:ilvl="4" w:tplc="041B0003" w:tentative="1">
      <w:start w:val="1"/>
      <w:numFmt w:val="bullet"/>
      <w:lvlText w:val="o"/>
      <w:lvlJc w:val="left"/>
      <w:pPr>
        <w:tabs>
          <w:tab w:val="num" w:pos="3900"/>
        </w:tabs>
        <w:ind w:left="3900" w:hanging="360"/>
      </w:pPr>
      <w:rPr>
        <w:rFonts w:ascii="Courier New" w:hAnsi="Courier New" w:cs="Courier New" w:hint="default"/>
      </w:rPr>
    </w:lvl>
    <w:lvl w:ilvl="5" w:tplc="041B0005" w:tentative="1">
      <w:start w:val="1"/>
      <w:numFmt w:val="bullet"/>
      <w:lvlText w:val=""/>
      <w:lvlJc w:val="left"/>
      <w:pPr>
        <w:tabs>
          <w:tab w:val="num" w:pos="4620"/>
        </w:tabs>
        <w:ind w:left="4620" w:hanging="360"/>
      </w:pPr>
      <w:rPr>
        <w:rFonts w:ascii="Wingdings" w:hAnsi="Wingdings" w:hint="default"/>
      </w:rPr>
    </w:lvl>
    <w:lvl w:ilvl="6" w:tplc="041B0001" w:tentative="1">
      <w:start w:val="1"/>
      <w:numFmt w:val="bullet"/>
      <w:lvlText w:val=""/>
      <w:lvlJc w:val="left"/>
      <w:pPr>
        <w:tabs>
          <w:tab w:val="num" w:pos="5340"/>
        </w:tabs>
        <w:ind w:left="5340" w:hanging="360"/>
      </w:pPr>
      <w:rPr>
        <w:rFonts w:ascii="Symbol" w:hAnsi="Symbol" w:hint="default"/>
      </w:rPr>
    </w:lvl>
    <w:lvl w:ilvl="7" w:tplc="041B0003" w:tentative="1">
      <w:start w:val="1"/>
      <w:numFmt w:val="bullet"/>
      <w:lvlText w:val="o"/>
      <w:lvlJc w:val="left"/>
      <w:pPr>
        <w:tabs>
          <w:tab w:val="num" w:pos="6060"/>
        </w:tabs>
        <w:ind w:left="6060" w:hanging="360"/>
      </w:pPr>
      <w:rPr>
        <w:rFonts w:ascii="Courier New" w:hAnsi="Courier New" w:cs="Courier New" w:hint="default"/>
      </w:rPr>
    </w:lvl>
    <w:lvl w:ilvl="8" w:tplc="041B0005" w:tentative="1">
      <w:start w:val="1"/>
      <w:numFmt w:val="bullet"/>
      <w:lvlText w:val=""/>
      <w:lvlJc w:val="left"/>
      <w:pPr>
        <w:tabs>
          <w:tab w:val="num" w:pos="6780"/>
        </w:tabs>
        <w:ind w:left="6780" w:hanging="360"/>
      </w:pPr>
      <w:rPr>
        <w:rFonts w:ascii="Wingdings" w:hAnsi="Wingdings" w:hint="default"/>
      </w:rPr>
    </w:lvl>
  </w:abstractNum>
  <w:abstractNum w:abstractNumId="28">
    <w:nsid w:val="063C5F37"/>
    <w:multiLevelType w:val="hybridMultilevel"/>
    <w:tmpl w:val="0BE240BA"/>
    <w:lvl w:ilvl="0" w:tplc="2466B24E">
      <w:start w:val="1"/>
      <w:numFmt w:val="decimal"/>
      <w:lvlText w:val="%1."/>
      <w:lvlJc w:val="center"/>
      <w:pPr>
        <w:ind w:left="720" w:hanging="360"/>
      </w:pPr>
      <w:rPr>
        <w:rFonts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29">
    <w:nsid w:val="068A1DC9"/>
    <w:multiLevelType w:val="hybridMultilevel"/>
    <w:tmpl w:val="A33CD808"/>
    <w:lvl w:ilvl="0" w:tplc="E04A1532">
      <w:start w:val="1"/>
      <w:numFmt w:val="lowerRoman"/>
      <w:lvlText w:val="%1.)"/>
      <w:lvlJc w:val="left"/>
      <w:pPr>
        <w:ind w:left="1440" w:hanging="720"/>
      </w:pPr>
      <w:rPr>
        <w:rFonts w:cs="Times New Roman" w:hint="default"/>
      </w:rPr>
    </w:lvl>
    <w:lvl w:ilvl="1" w:tplc="041B0019">
      <w:start w:val="1"/>
      <w:numFmt w:val="lowerLetter"/>
      <w:lvlText w:val="%2."/>
      <w:lvlJc w:val="left"/>
      <w:pPr>
        <w:ind w:left="1800" w:hanging="360"/>
      </w:pPr>
      <w:rPr>
        <w:rFonts w:cs="Times New Roman"/>
      </w:rPr>
    </w:lvl>
    <w:lvl w:ilvl="2" w:tplc="041B0005">
      <w:start w:val="1"/>
      <w:numFmt w:val="bullet"/>
      <w:lvlText w:val=""/>
      <w:lvlJc w:val="left"/>
      <w:pPr>
        <w:ind w:left="2520" w:hanging="180"/>
      </w:pPr>
      <w:rPr>
        <w:rFonts w:ascii="Wingdings" w:hAnsi="Wingdings" w:hint="default"/>
      </w:rPr>
    </w:lvl>
    <w:lvl w:ilvl="3" w:tplc="041B000F" w:tentative="1">
      <w:start w:val="1"/>
      <w:numFmt w:val="decimal"/>
      <w:lvlText w:val="%4."/>
      <w:lvlJc w:val="left"/>
      <w:pPr>
        <w:ind w:left="3240" w:hanging="360"/>
      </w:pPr>
      <w:rPr>
        <w:rFonts w:cs="Times New Roman"/>
      </w:rPr>
    </w:lvl>
    <w:lvl w:ilvl="4" w:tplc="041B0019" w:tentative="1">
      <w:start w:val="1"/>
      <w:numFmt w:val="lowerLetter"/>
      <w:lvlText w:val="%5."/>
      <w:lvlJc w:val="left"/>
      <w:pPr>
        <w:ind w:left="3960" w:hanging="360"/>
      </w:pPr>
      <w:rPr>
        <w:rFonts w:cs="Times New Roman"/>
      </w:rPr>
    </w:lvl>
    <w:lvl w:ilvl="5" w:tplc="041B001B" w:tentative="1">
      <w:start w:val="1"/>
      <w:numFmt w:val="lowerRoman"/>
      <w:lvlText w:val="%6."/>
      <w:lvlJc w:val="right"/>
      <w:pPr>
        <w:ind w:left="4680" w:hanging="180"/>
      </w:pPr>
      <w:rPr>
        <w:rFonts w:cs="Times New Roman"/>
      </w:rPr>
    </w:lvl>
    <w:lvl w:ilvl="6" w:tplc="041B000F" w:tentative="1">
      <w:start w:val="1"/>
      <w:numFmt w:val="decimal"/>
      <w:lvlText w:val="%7."/>
      <w:lvlJc w:val="left"/>
      <w:pPr>
        <w:ind w:left="5400" w:hanging="360"/>
      </w:pPr>
      <w:rPr>
        <w:rFonts w:cs="Times New Roman"/>
      </w:rPr>
    </w:lvl>
    <w:lvl w:ilvl="7" w:tplc="041B0019" w:tentative="1">
      <w:start w:val="1"/>
      <w:numFmt w:val="lowerLetter"/>
      <w:lvlText w:val="%8."/>
      <w:lvlJc w:val="left"/>
      <w:pPr>
        <w:ind w:left="6120" w:hanging="360"/>
      </w:pPr>
      <w:rPr>
        <w:rFonts w:cs="Times New Roman"/>
      </w:rPr>
    </w:lvl>
    <w:lvl w:ilvl="8" w:tplc="041B001B" w:tentative="1">
      <w:start w:val="1"/>
      <w:numFmt w:val="lowerRoman"/>
      <w:lvlText w:val="%9."/>
      <w:lvlJc w:val="right"/>
      <w:pPr>
        <w:ind w:left="6840" w:hanging="180"/>
      </w:pPr>
      <w:rPr>
        <w:rFonts w:cs="Times New Roman"/>
      </w:rPr>
    </w:lvl>
  </w:abstractNum>
  <w:abstractNum w:abstractNumId="30">
    <w:nsid w:val="06BC10CD"/>
    <w:multiLevelType w:val="hybridMultilevel"/>
    <w:tmpl w:val="347E3E1E"/>
    <w:lvl w:ilvl="0" w:tplc="041B000F">
      <w:start w:val="1"/>
      <w:numFmt w:val="decimal"/>
      <w:lvlText w:val="%1."/>
      <w:lvlJc w:val="left"/>
      <w:pPr>
        <w:ind w:left="720" w:hanging="360"/>
      </w:pPr>
      <w:rPr>
        <w:rFonts w:hint="default"/>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31">
    <w:nsid w:val="07514CB2"/>
    <w:multiLevelType w:val="hybridMultilevel"/>
    <w:tmpl w:val="1CAC4D08"/>
    <w:lvl w:ilvl="0" w:tplc="8D4C07C2">
      <w:start w:val="1"/>
      <w:numFmt w:val="bullet"/>
      <w:lvlText w:val=""/>
      <w:lvlJc w:val="left"/>
      <w:pPr>
        <w:tabs>
          <w:tab w:val="num" w:pos="360"/>
        </w:tabs>
        <w:ind w:left="360" w:hanging="360"/>
      </w:pPr>
      <w:rPr>
        <w:rFonts w:ascii="Wingdings" w:hAnsi="Wingdings" w:hint="default"/>
        <w:color w:val="auto"/>
      </w:rPr>
    </w:lvl>
    <w:lvl w:ilvl="1" w:tplc="041B0003" w:tentative="1">
      <w:start w:val="1"/>
      <w:numFmt w:val="bullet"/>
      <w:lvlText w:val="o"/>
      <w:lvlJc w:val="left"/>
      <w:pPr>
        <w:tabs>
          <w:tab w:val="num" w:pos="1440"/>
        </w:tabs>
        <w:ind w:left="1440" w:hanging="360"/>
      </w:pPr>
      <w:rPr>
        <w:rFonts w:ascii="Courier New" w:hAnsi="Courier New" w:cs="Courier New" w:hint="default"/>
      </w:rPr>
    </w:lvl>
    <w:lvl w:ilvl="2" w:tplc="041B0005" w:tentative="1">
      <w:start w:val="1"/>
      <w:numFmt w:val="bullet"/>
      <w:lvlText w:val=""/>
      <w:lvlJc w:val="left"/>
      <w:pPr>
        <w:tabs>
          <w:tab w:val="num" w:pos="2160"/>
        </w:tabs>
        <w:ind w:left="2160" w:hanging="360"/>
      </w:pPr>
      <w:rPr>
        <w:rFonts w:ascii="Wingdings" w:hAnsi="Wingdings" w:hint="default"/>
      </w:rPr>
    </w:lvl>
    <w:lvl w:ilvl="3" w:tplc="041B0001" w:tentative="1">
      <w:start w:val="1"/>
      <w:numFmt w:val="bullet"/>
      <w:lvlText w:val=""/>
      <w:lvlJc w:val="left"/>
      <w:pPr>
        <w:tabs>
          <w:tab w:val="num" w:pos="2880"/>
        </w:tabs>
        <w:ind w:left="2880" w:hanging="360"/>
      </w:pPr>
      <w:rPr>
        <w:rFonts w:ascii="Symbol" w:hAnsi="Symbol" w:hint="default"/>
      </w:rPr>
    </w:lvl>
    <w:lvl w:ilvl="4" w:tplc="041B0003" w:tentative="1">
      <w:start w:val="1"/>
      <w:numFmt w:val="bullet"/>
      <w:lvlText w:val="o"/>
      <w:lvlJc w:val="left"/>
      <w:pPr>
        <w:tabs>
          <w:tab w:val="num" w:pos="3600"/>
        </w:tabs>
        <w:ind w:left="3600" w:hanging="360"/>
      </w:pPr>
      <w:rPr>
        <w:rFonts w:ascii="Courier New" w:hAnsi="Courier New" w:cs="Courier New" w:hint="default"/>
      </w:rPr>
    </w:lvl>
    <w:lvl w:ilvl="5" w:tplc="041B0005" w:tentative="1">
      <w:start w:val="1"/>
      <w:numFmt w:val="bullet"/>
      <w:lvlText w:val=""/>
      <w:lvlJc w:val="left"/>
      <w:pPr>
        <w:tabs>
          <w:tab w:val="num" w:pos="4320"/>
        </w:tabs>
        <w:ind w:left="4320" w:hanging="360"/>
      </w:pPr>
      <w:rPr>
        <w:rFonts w:ascii="Wingdings" w:hAnsi="Wingdings" w:hint="default"/>
      </w:rPr>
    </w:lvl>
    <w:lvl w:ilvl="6" w:tplc="041B0001" w:tentative="1">
      <w:start w:val="1"/>
      <w:numFmt w:val="bullet"/>
      <w:lvlText w:val=""/>
      <w:lvlJc w:val="left"/>
      <w:pPr>
        <w:tabs>
          <w:tab w:val="num" w:pos="5040"/>
        </w:tabs>
        <w:ind w:left="5040" w:hanging="360"/>
      </w:pPr>
      <w:rPr>
        <w:rFonts w:ascii="Symbol" w:hAnsi="Symbol" w:hint="default"/>
      </w:rPr>
    </w:lvl>
    <w:lvl w:ilvl="7" w:tplc="041B0003" w:tentative="1">
      <w:start w:val="1"/>
      <w:numFmt w:val="bullet"/>
      <w:lvlText w:val="o"/>
      <w:lvlJc w:val="left"/>
      <w:pPr>
        <w:tabs>
          <w:tab w:val="num" w:pos="5760"/>
        </w:tabs>
        <w:ind w:left="5760" w:hanging="360"/>
      </w:pPr>
      <w:rPr>
        <w:rFonts w:ascii="Courier New" w:hAnsi="Courier New" w:cs="Courier New" w:hint="default"/>
      </w:rPr>
    </w:lvl>
    <w:lvl w:ilvl="8" w:tplc="041B0005" w:tentative="1">
      <w:start w:val="1"/>
      <w:numFmt w:val="bullet"/>
      <w:lvlText w:val=""/>
      <w:lvlJc w:val="left"/>
      <w:pPr>
        <w:tabs>
          <w:tab w:val="num" w:pos="6480"/>
        </w:tabs>
        <w:ind w:left="6480" w:hanging="360"/>
      </w:pPr>
      <w:rPr>
        <w:rFonts w:ascii="Wingdings" w:hAnsi="Wingdings" w:hint="default"/>
      </w:rPr>
    </w:lvl>
  </w:abstractNum>
  <w:abstractNum w:abstractNumId="32">
    <w:nsid w:val="07863D3C"/>
    <w:multiLevelType w:val="hybridMultilevel"/>
    <w:tmpl w:val="271CD10C"/>
    <w:lvl w:ilvl="0" w:tplc="014AF2E0">
      <w:start w:val="3"/>
      <w:numFmt w:val="bullet"/>
      <w:lvlText w:val="-"/>
      <w:lvlJc w:val="left"/>
      <w:pPr>
        <w:tabs>
          <w:tab w:val="num" w:pos="720"/>
        </w:tabs>
        <w:ind w:left="720" w:hanging="360"/>
      </w:pPr>
      <w:rPr>
        <w:rFonts w:ascii="Times New Roman" w:eastAsia="Times New Roman" w:hAnsi="Times New Roman" w:cs="Times New Roman" w:hint="default"/>
      </w:rPr>
    </w:lvl>
    <w:lvl w:ilvl="1" w:tplc="041B0003" w:tentative="1">
      <w:start w:val="1"/>
      <w:numFmt w:val="bullet"/>
      <w:lvlText w:val="o"/>
      <w:lvlJc w:val="left"/>
      <w:pPr>
        <w:tabs>
          <w:tab w:val="num" w:pos="1440"/>
        </w:tabs>
        <w:ind w:left="1440" w:hanging="360"/>
      </w:pPr>
      <w:rPr>
        <w:rFonts w:ascii="Courier New" w:hAnsi="Courier New" w:cs="Courier New" w:hint="default"/>
      </w:rPr>
    </w:lvl>
    <w:lvl w:ilvl="2" w:tplc="041B0005" w:tentative="1">
      <w:start w:val="1"/>
      <w:numFmt w:val="bullet"/>
      <w:lvlText w:val=""/>
      <w:lvlJc w:val="left"/>
      <w:pPr>
        <w:tabs>
          <w:tab w:val="num" w:pos="2160"/>
        </w:tabs>
        <w:ind w:left="2160" w:hanging="360"/>
      </w:pPr>
      <w:rPr>
        <w:rFonts w:ascii="Wingdings" w:hAnsi="Wingdings" w:hint="default"/>
      </w:rPr>
    </w:lvl>
    <w:lvl w:ilvl="3" w:tplc="041B0001" w:tentative="1">
      <w:start w:val="1"/>
      <w:numFmt w:val="bullet"/>
      <w:lvlText w:val=""/>
      <w:lvlJc w:val="left"/>
      <w:pPr>
        <w:tabs>
          <w:tab w:val="num" w:pos="2880"/>
        </w:tabs>
        <w:ind w:left="2880" w:hanging="360"/>
      </w:pPr>
      <w:rPr>
        <w:rFonts w:ascii="Symbol" w:hAnsi="Symbol" w:hint="default"/>
      </w:rPr>
    </w:lvl>
    <w:lvl w:ilvl="4" w:tplc="041B0003" w:tentative="1">
      <w:start w:val="1"/>
      <w:numFmt w:val="bullet"/>
      <w:lvlText w:val="o"/>
      <w:lvlJc w:val="left"/>
      <w:pPr>
        <w:tabs>
          <w:tab w:val="num" w:pos="3600"/>
        </w:tabs>
        <w:ind w:left="3600" w:hanging="360"/>
      </w:pPr>
      <w:rPr>
        <w:rFonts w:ascii="Courier New" w:hAnsi="Courier New" w:cs="Courier New" w:hint="default"/>
      </w:rPr>
    </w:lvl>
    <w:lvl w:ilvl="5" w:tplc="041B0005" w:tentative="1">
      <w:start w:val="1"/>
      <w:numFmt w:val="bullet"/>
      <w:lvlText w:val=""/>
      <w:lvlJc w:val="left"/>
      <w:pPr>
        <w:tabs>
          <w:tab w:val="num" w:pos="4320"/>
        </w:tabs>
        <w:ind w:left="4320" w:hanging="360"/>
      </w:pPr>
      <w:rPr>
        <w:rFonts w:ascii="Wingdings" w:hAnsi="Wingdings" w:hint="default"/>
      </w:rPr>
    </w:lvl>
    <w:lvl w:ilvl="6" w:tplc="041B0001" w:tentative="1">
      <w:start w:val="1"/>
      <w:numFmt w:val="bullet"/>
      <w:lvlText w:val=""/>
      <w:lvlJc w:val="left"/>
      <w:pPr>
        <w:tabs>
          <w:tab w:val="num" w:pos="5040"/>
        </w:tabs>
        <w:ind w:left="5040" w:hanging="360"/>
      </w:pPr>
      <w:rPr>
        <w:rFonts w:ascii="Symbol" w:hAnsi="Symbol" w:hint="default"/>
      </w:rPr>
    </w:lvl>
    <w:lvl w:ilvl="7" w:tplc="041B0003" w:tentative="1">
      <w:start w:val="1"/>
      <w:numFmt w:val="bullet"/>
      <w:lvlText w:val="o"/>
      <w:lvlJc w:val="left"/>
      <w:pPr>
        <w:tabs>
          <w:tab w:val="num" w:pos="5760"/>
        </w:tabs>
        <w:ind w:left="5760" w:hanging="360"/>
      </w:pPr>
      <w:rPr>
        <w:rFonts w:ascii="Courier New" w:hAnsi="Courier New" w:cs="Courier New" w:hint="default"/>
      </w:rPr>
    </w:lvl>
    <w:lvl w:ilvl="8" w:tplc="041B0005" w:tentative="1">
      <w:start w:val="1"/>
      <w:numFmt w:val="bullet"/>
      <w:lvlText w:val=""/>
      <w:lvlJc w:val="left"/>
      <w:pPr>
        <w:tabs>
          <w:tab w:val="num" w:pos="6480"/>
        </w:tabs>
        <w:ind w:left="6480" w:hanging="360"/>
      </w:pPr>
      <w:rPr>
        <w:rFonts w:ascii="Wingdings" w:hAnsi="Wingdings" w:hint="default"/>
      </w:rPr>
    </w:lvl>
  </w:abstractNum>
  <w:abstractNum w:abstractNumId="33">
    <w:nsid w:val="07F156FA"/>
    <w:multiLevelType w:val="hybridMultilevel"/>
    <w:tmpl w:val="E2848EE0"/>
    <w:lvl w:ilvl="0" w:tplc="041B0017">
      <w:start w:val="1"/>
      <w:numFmt w:val="lowerLetter"/>
      <w:lvlText w:val="%1)"/>
      <w:lvlJc w:val="left"/>
      <w:pPr>
        <w:ind w:left="720" w:hanging="360"/>
      </w:p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34">
    <w:nsid w:val="07F617C7"/>
    <w:multiLevelType w:val="hybridMultilevel"/>
    <w:tmpl w:val="B2E68DCA"/>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35">
    <w:nsid w:val="087514AF"/>
    <w:multiLevelType w:val="hybridMultilevel"/>
    <w:tmpl w:val="8312AF4A"/>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36">
    <w:nsid w:val="087F22BA"/>
    <w:multiLevelType w:val="multilevel"/>
    <w:tmpl w:val="6DD2884A"/>
    <w:numStyleLink w:val="Aktulnyzoznam1"/>
  </w:abstractNum>
  <w:abstractNum w:abstractNumId="37">
    <w:nsid w:val="08AE22BB"/>
    <w:multiLevelType w:val="hybridMultilevel"/>
    <w:tmpl w:val="4208A806"/>
    <w:lvl w:ilvl="0" w:tplc="041B0017">
      <w:start w:val="1"/>
      <w:numFmt w:val="lowerLetter"/>
      <w:lvlText w:val="%1)"/>
      <w:lvlJc w:val="left"/>
      <w:pPr>
        <w:ind w:left="720" w:hanging="360"/>
      </w:p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38">
    <w:nsid w:val="08FF4514"/>
    <w:multiLevelType w:val="hybridMultilevel"/>
    <w:tmpl w:val="A8241850"/>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39">
    <w:nsid w:val="09215E3E"/>
    <w:multiLevelType w:val="multilevel"/>
    <w:tmpl w:val="390868C2"/>
    <w:name w:val="Heading IVX"/>
    <w:lvl w:ilvl="0">
      <w:start w:val="1"/>
      <w:numFmt w:val="upperRoman"/>
      <w:lvlRestart w:val="0"/>
      <w:pStyle w:val="HeadingIVX"/>
      <w:lvlText w:val="%1."/>
      <w:lvlJc w:val="left"/>
      <w:pPr>
        <w:tabs>
          <w:tab w:val="num" w:pos="567"/>
        </w:tabs>
        <w:ind w:left="567" w:hanging="567"/>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40">
    <w:nsid w:val="09746086"/>
    <w:multiLevelType w:val="hybridMultilevel"/>
    <w:tmpl w:val="9C5031AE"/>
    <w:lvl w:ilvl="0" w:tplc="9FB0C588">
      <w:start w:val="31"/>
      <w:numFmt w:val="bullet"/>
      <w:lvlText w:val="-"/>
      <w:lvlJc w:val="left"/>
      <w:pPr>
        <w:ind w:left="720" w:hanging="360"/>
      </w:pPr>
      <w:rPr>
        <w:rFonts w:ascii="Calibri" w:eastAsia="Times New Roman" w:hAnsi="Calibri"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41">
    <w:nsid w:val="09924785"/>
    <w:multiLevelType w:val="hybridMultilevel"/>
    <w:tmpl w:val="0D141DB8"/>
    <w:lvl w:ilvl="0" w:tplc="D968098C">
      <w:start w:val="5"/>
      <w:numFmt w:val="bullet"/>
      <w:lvlText w:val="-"/>
      <w:lvlJc w:val="left"/>
      <w:pPr>
        <w:ind w:left="720" w:hanging="360"/>
      </w:pPr>
      <w:rPr>
        <w:rFonts w:ascii="Calibri" w:eastAsia="Calibri" w:hAnsi="Calibri" w:cs="Calibri" w:hint="default"/>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42">
    <w:nsid w:val="09C75333"/>
    <w:multiLevelType w:val="hybridMultilevel"/>
    <w:tmpl w:val="883ABEBC"/>
    <w:lvl w:ilvl="0" w:tplc="5F7A4ACA">
      <w:start w:val="1"/>
      <w:numFmt w:val="bullet"/>
      <w:lvlText w:val="-"/>
      <w:lvlJc w:val="left"/>
      <w:pPr>
        <w:ind w:left="720" w:hanging="360"/>
      </w:pPr>
      <w:rPr>
        <w:rFonts w:ascii="Calibri" w:eastAsia="Calibri" w:hAnsi="Calibri" w:cs="Calibri" w:hint="default"/>
        <w:b w:val="0"/>
      </w:rPr>
    </w:lvl>
    <w:lvl w:ilvl="1" w:tplc="041B0003">
      <w:start w:val="1"/>
      <w:numFmt w:val="bullet"/>
      <w:lvlText w:val="o"/>
      <w:lvlJc w:val="left"/>
      <w:pPr>
        <w:ind w:left="1440" w:hanging="360"/>
      </w:pPr>
      <w:rPr>
        <w:rFonts w:ascii="Courier New" w:hAnsi="Courier New" w:cs="Courier New" w:hint="default"/>
      </w:rPr>
    </w:lvl>
    <w:lvl w:ilvl="2" w:tplc="041B0005">
      <w:start w:val="1"/>
      <w:numFmt w:val="bullet"/>
      <w:lvlText w:val=""/>
      <w:lvlJc w:val="left"/>
      <w:pPr>
        <w:ind w:left="2160" w:hanging="360"/>
      </w:pPr>
      <w:rPr>
        <w:rFonts w:ascii="Wingdings" w:hAnsi="Wingdings" w:hint="default"/>
      </w:rPr>
    </w:lvl>
    <w:lvl w:ilvl="3" w:tplc="041B0001">
      <w:start w:val="1"/>
      <w:numFmt w:val="bullet"/>
      <w:lvlText w:val=""/>
      <w:lvlJc w:val="left"/>
      <w:pPr>
        <w:ind w:left="2880" w:hanging="360"/>
      </w:pPr>
      <w:rPr>
        <w:rFonts w:ascii="Symbol" w:hAnsi="Symbol" w:hint="default"/>
      </w:rPr>
    </w:lvl>
    <w:lvl w:ilvl="4" w:tplc="041B0003">
      <w:start w:val="1"/>
      <w:numFmt w:val="bullet"/>
      <w:lvlText w:val="o"/>
      <w:lvlJc w:val="left"/>
      <w:pPr>
        <w:ind w:left="3600" w:hanging="360"/>
      </w:pPr>
      <w:rPr>
        <w:rFonts w:ascii="Courier New" w:hAnsi="Courier New" w:cs="Courier New" w:hint="default"/>
      </w:rPr>
    </w:lvl>
    <w:lvl w:ilvl="5" w:tplc="041B0005">
      <w:start w:val="1"/>
      <w:numFmt w:val="bullet"/>
      <w:lvlText w:val=""/>
      <w:lvlJc w:val="left"/>
      <w:pPr>
        <w:ind w:left="4320" w:hanging="360"/>
      </w:pPr>
      <w:rPr>
        <w:rFonts w:ascii="Wingdings" w:hAnsi="Wingdings" w:hint="default"/>
      </w:rPr>
    </w:lvl>
    <w:lvl w:ilvl="6" w:tplc="041B0001">
      <w:start w:val="1"/>
      <w:numFmt w:val="bullet"/>
      <w:lvlText w:val=""/>
      <w:lvlJc w:val="left"/>
      <w:pPr>
        <w:ind w:left="5040" w:hanging="360"/>
      </w:pPr>
      <w:rPr>
        <w:rFonts w:ascii="Symbol" w:hAnsi="Symbol" w:hint="default"/>
      </w:rPr>
    </w:lvl>
    <w:lvl w:ilvl="7" w:tplc="041B0003">
      <w:start w:val="1"/>
      <w:numFmt w:val="bullet"/>
      <w:lvlText w:val="o"/>
      <w:lvlJc w:val="left"/>
      <w:pPr>
        <w:ind w:left="5760" w:hanging="360"/>
      </w:pPr>
      <w:rPr>
        <w:rFonts w:ascii="Courier New" w:hAnsi="Courier New" w:cs="Courier New" w:hint="default"/>
      </w:rPr>
    </w:lvl>
    <w:lvl w:ilvl="8" w:tplc="041B0005">
      <w:start w:val="1"/>
      <w:numFmt w:val="bullet"/>
      <w:lvlText w:val=""/>
      <w:lvlJc w:val="left"/>
      <w:pPr>
        <w:ind w:left="6480" w:hanging="360"/>
      </w:pPr>
      <w:rPr>
        <w:rFonts w:ascii="Wingdings" w:hAnsi="Wingdings" w:hint="default"/>
      </w:rPr>
    </w:lvl>
  </w:abstractNum>
  <w:abstractNum w:abstractNumId="43">
    <w:nsid w:val="0A3A7C59"/>
    <w:multiLevelType w:val="hybridMultilevel"/>
    <w:tmpl w:val="AA00720C"/>
    <w:lvl w:ilvl="0" w:tplc="041B000F">
      <w:start w:val="1"/>
      <w:numFmt w:val="decimal"/>
      <w:lvlText w:val="%1."/>
      <w:lvlJc w:val="left"/>
      <w:pPr>
        <w:ind w:left="720" w:hanging="360"/>
      </w:pPr>
      <w:rPr>
        <w:rFonts w:hint="default"/>
      </w:rPr>
    </w:lvl>
    <w:lvl w:ilvl="1" w:tplc="041B0019">
      <w:start w:val="1"/>
      <w:numFmt w:val="lowerLetter"/>
      <w:lvlText w:val="%2."/>
      <w:lvlJc w:val="left"/>
      <w:pPr>
        <w:ind w:left="1440" w:hanging="360"/>
      </w:pPr>
    </w:lvl>
    <w:lvl w:ilvl="2" w:tplc="041B001B">
      <w:start w:val="1"/>
      <w:numFmt w:val="lowerRoman"/>
      <w:lvlText w:val="%3."/>
      <w:lvlJc w:val="right"/>
      <w:pPr>
        <w:ind w:left="2160" w:hanging="180"/>
      </w:pPr>
    </w:lvl>
    <w:lvl w:ilvl="3" w:tplc="041B000F">
      <w:start w:val="1"/>
      <w:numFmt w:val="decimal"/>
      <w:lvlText w:val="%4."/>
      <w:lvlJc w:val="left"/>
      <w:pPr>
        <w:ind w:left="2880" w:hanging="360"/>
      </w:pPr>
    </w:lvl>
    <w:lvl w:ilvl="4" w:tplc="041B0019">
      <w:start w:val="1"/>
      <w:numFmt w:val="lowerLetter"/>
      <w:lvlText w:val="%5."/>
      <w:lvlJc w:val="left"/>
      <w:pPr>
        <w:ind w:left="3600" w:hanging="360"/>
      </w:pPr>
    </w:lvl>
    <w:lvl w:ilvl="5" w:tplc="041B001B">
      <w:start w:val="1"/>
      <w:numFmt w:val="lowerRoman"/>
      <w:lvlText w:val="%6."/>
      <w:lvlJc w:val="right"/>
      <w:pPr>
        <w:ind w:left="4320" w:hanging="180"/>
      </w:pPr>
    </w:lvl>
    <w:lvl w:ilvl="6" w:tplc="041B000F">
      <w:start w:val="1"/>
      <w:numFmt w:val="decimal"/>
      <w:lvlText w:val="%7."/>
      <w:lvlJc w:val="left"/>
      <w:pPr>
        <w:ind w:left="5040" w:hanging="360"/>
      </w:pPr>
    </w:lvl>
    <w:lvl w:ilvl="7" w:tplc="041B0019">
      <w:start w:val="1"/>
      <w:numFmt w:val="lowerLetter"/>
      <w:lvlText w:val="%8."/>
      <w:lvlJc w:val="left"/>
      <w:pPr>
        <w:ind w:left="5760" w:hanging="360"/>
      </w:pPr>
    </w:lvl>
    <w:lvl w:ilvl="8" w:tplc="041B001B">
      <w:start w:val="1"/>
      <w:numFmt w:val="lowerRoman"/>
      <w:lvlText w:val="%9."/>
      <w:lvlJc w:val="right"/>
      <w:pPr>
        <w:ind w:left="6480" w:hanging="180"/>
      </w:pPr>
    </w:lvl>
  </w:abstractNum>
  <w:abstractNum w:abstractNumId="44">
    <w:nsid w:val="0AA913BD"/>
    <w:multiLevelType w:val="hybridMultilevel"/>
    <w:tmpl w:val="F4527396"/>
    <w:lvl w:ilvl="0" w:tplc="674E832A">
      <w:numFmt w:val="bullet"/>
      <w:lvlText w:val="-"/>
      <w:lvlJc w:val="left"/>
      <w:pPr>
        <w:ind w:left="720" w:hanging="360"/>
      </w:pPr>
      <w:rPr>
        <w:rFonts w:ascii="Calibri" w:eastAsia="Times New Roman" w:hAnsi="Calibri" w:cs="Times New Roman"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45">
    <w:nsid w:val="0AD003A8"/>
    <w:multiLevelType w:val="hybridMultilevel"/>
    <w:tmpl w:val="37CCDD22"/>
    <w:lvl w:ilvl="0" w:tplc="2466B24E">
      <w:start w:val="1"/>
      <w:numFmt w:val="decimal"/>
      <w:lvlText w:val="%1."/>
      <w:lvlJc w:val="center"/>
      <w:pPr>
        <w:ind w:left="720" w:hanging="360"/>
      </w:pPr>
      <w:rPr>
        <w:rFonts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nsid w:val="0B002715"/>
    <w:multiLevelType w:val="hybridMultilevel"/>
    <w:tmpl w:val="F5C083C6"/>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47">
    <w:nsid w:val="0B446D52"/>
    <w:multiLevelType w:val="hybridMultilevel"/>
    <w:tmpl w:val="EF52B17E"/>
    <w:lvl w:ilvl="0" w:tplc="F71A5002">
      <w:start w:val="17"/>
      <w:numFmt w:val="bullet"/>
      <w:lvlText w:val="-"/>
      <w:lvlJc w:val="left"/>
      <w:pPr>
        <w:ind w:left="720" w:hanging="360"/>
      </w:pPr>
      <w:rPr>
        <w:rFonts w:ascii="Calibri" w:eastAsia="Calibri" w:hAnsi="Calibri" w:cs="Calibri"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48">
    <w:nsid w:val="0BAE3BB9"/>
    <w:multiLevelType w:val="hybridMultilevel"/>
    <w:tmpl w:val="B4C68DF4"/>
    <w:lvl w:ilvl="0" w:tplc="12128602">
      <w:start w:val="8"/>
      <w:numFmt w:val="bullet"/>
      <w:lvlText w:val="-"/>
      <w:lvlJc w:val="left"/>
      <w:pPr>
        <w:ind w:left="1080" w:hanging="360"/>
      </w:pPr>
      <w:rPr>
        <w:rFonts w:ascii="Times New Roman" w:eastAsia="Times New Roman" w:hAnsi="Times New Roman" w:hint="default"/>
      </w:rPr>
    </w:lvl>
    <w:lvl w:ilvl="1" w:tplc="041B0003" w:tentative="1">
      <w:start w:val="1"/>
      <w:numFmt w:val="bullet"/>
      <w:lvlText w:val="o"/>
      <w:lvlJc w:val="left"/>
      <w:pPr>
        <w:ind w:left="1800" w:hanging="360"/>
      </w:pPr>
      <w:rPr>
        <w:rFonts w:ascii="Courier New" w:hAnsi="Courier New" w:cs="Courier New" w:hint="default"/>
      </w:rPr>
    </w:lvl>
    <w:lvl w:ilvl="2" w:tplc="041B0005" w:tentative="1">
      <w:start w:val="1"/>
      <w:numFmt w:val="bullet"/>
      <w:lvlText w:val=""/>
      <w:lvlJc w:val="left"/>
      <w:pPr>
        <w:ind w:left="2520" w:hanging="360"/>
      </w:pPr>
      <w:rPr>
        <w:rFonts w:ascii="Wingdings" w:hAnsi="Wingdings" w:hint="default"/>
      </w:rPr>
    </w:lvl>
    <w:lvl w:ilvl="3" w:tplc="041B0001" w:tentative="1">
      <w:start w:val="1"/>
      <w:numFmt w:val="bullet"/>
      <w:lvlText w:val=""/>
      <w:lvlJc w:val="left"/>
      <w:pPr>
        <w:ind w:left="3240" w:hanging="360"/>
      </w:pPr>
      <w:rPr>
        <w:rFonts w:ascii="Symbol" w:hAnsi="Symbol" w:hint="default"/>
      </w:rPr>
    </w:lvl>
    <w:lvl w:ilvl="4" w:tplc="041B0003" w:tentative="1">
      <w:start w:val="1"/>
      <w:numFmt w:val="bullet"/>
      <w:lvlText w:val="o"/>
      <w:lvlJc w:val="left"/>
      <w:pPr>
        <w:ind w:left="3960" w:hanging="360"/>
      </w:pPr>
      <w:rPr>
        <w:rFonts w:ascii="Courier New" w:hAnsi="Courier New" w:cs="Courier New" w:hint="default"/>
      </w:rPr>
    </w:lvl>
    <w:lvl w:ilvl="5" w:tplc="041B0005" w:tentative="1">
      <w:start w:val="1"/>
      <w:numFmt w:val="bullet"/>
      <w:lvlText w:val=""/>
      <w:lvlJc w:val="left"/>
      <w:pPr>
        <w:ind w:left="4680" w:hanging="360"/>
      </w:pPr>
      <w:rPr>
        <w:rFonts w:ascii="Wingdings" w:hAnsi="Wingdings" w:hint="default"/>
      </w:rPr>
    </w:lvl>
    <w:lvl w:ilvl="6" w:tplc="041B0001" w:tentative="1">
      <w:start w:val="1"/>
      <w:numFmt w:val="bullet"/>
      <w:lvlText w:val=""/>
      <w:lvlJc w:val="left"/>
      <w:pPr>
        <w:ind w:left="5400" w:hanging="360"/>
      </w:pPr>
      <w:rPr>
        <w:rFonts w:ascii="Symbol" w:hAnsi="Symbol" w:hint="default"/>
      </w:rPr>
    </w:lvl>
    <w:lvl w:ilvl="7" w:tplc="041B0003" w:tentative="1">
      <w:start w:val="1"/>
      <w:numFmt w:val="bullet"/>
      <w:lvlText w:val="o"/>
      <w:lvlJc w:val="left"/>
      <w:pPr>
        <w:ind w:left="6120" w:hanging="360"/>
      </w:pPr>
      <w:rPr>
        <w:rFonts w:ascii="Courier New" w:hAnsi="Courier New" w:cs="Courier New" w:hint="default"/>
      </w:rPr>
    </w:lvl>
    <w:lvl w:ilvl="8" w:tplc="041B0005" w:tentative="1">
      <w:start w:val="1"/>
      <w:numFmt w:val="bullet"/>
      <w:lvlText w:val=""/>
      <w:lvlJc w:val="left"/>
      <w:pPr>
        <w:ind w:left="6840" w:hanging="360"/>
      </w:pPr>
      <w:rPr>
        <w:rFonts w:ascii="Wingdings" w:hAnsi="Wingdings" w:hint="default"/>
      </w:rPr>
    </w:lvl>
  </w:abstractNum>
  <w:abstractNum w:abstractNumId="49">
    <w:nsid w:val="0BCD7113"/>
    <w:multiLevelType w:val="hybridMultilevel"/>
    <w:tmpl w:val="909E713A"/>
    <w:lvl w:ilvl="0" w:tplc="041B0001">
      <w:start w:val="1"/>
      <w:numFmt w:val="bullet"/>
      <w:lvlText w:val=""/>
      <w:lvlJc w:val="left"/>
      <w:pPr>
        <w:ind w:left="720" w:hanging="360"/>
      </w:pPr>
      <w:rPr>
        <w:rFonts w:ascii="Symbol" w:hAnsi="Symbol" w:hint="default"/>
      </w:rPr>
    </w:lvl>
    <w:lvl w:ilvl="1" w:tplc="041B0003">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50">
    <w:nsid w:val="0BEE62CA"/>
    <w:multiLevelType w:val="hybridMultilevel"/>
    <w:tmpl w:val="62F49FC6"/>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51">
    <w:nsid w:val="0C9F5E7D"/>
    <w:multiLevelType w:val="hybridMultilevel"/>
    <w:tmpl w:val="4EC405A4"/>
    <w:lvl w:ilvl="0" w:tplc="041B0001">
      <w:start w:val="1"/>
      <w:numFmt w:val="bullet"/>
      <w:lvlText w:val=""/>
      <w:lvlJc w:val="left"/>
      <w:pPr>
        <w:ind w:left="360" w:hanging="360"/>
      </w:pPr>
      <w:rPr>
        <w:rFonts w:ascii="Symbol" w:hAnsi="Symbol" w:hint="default"/>
      </w:rPr>
    </w:lvl>
    <w:lvl w:ilvl="1" w:tplc="041B0003" w:tentative="1">
      <w:start w:val="1"/>
      <w:numFmt w:val="bullet"/>
      <w:lvlText w:val="o"/>
      <w:lvlJc w:val="left"/>
      <w:pPr>
        <w:ind w:left="1080" w:hanging="360"/>
      </w:pPr>
      <w:rPr>
        <w:rFonts w:ascii="Courier New" w:hAnsi="Courier New" w:cs="Courier New" w:hint="default"/>
      </w:rPr>
    </w:lvl>
    <w:lvl w:ilvl="2" w:tplc="041B0005" w:tentative="1">
      <w:start w:val="1"/>
      <w:numFmt w:val="bullet"/>
      <w:lvlText w:val=""/>
      <w:lvlJc w:val="left"/>
      <w:pPr>
        <w:ind w:left="1800" w:hanging="360"/>
      </w:pPr>
      <w:rPr>
        <w:rFonts w:ascii="Wingdings" w:hAnsi="Wingdings" w:hint="default"/>
      </w:rPr>
    </w:lvl>
    <w:lvl w:ilvl="3" w:tplc="041B0001" w:tentative="1">
      <w:start w:val="1"/>
      <w:numFmt w:val="bullet"/>
      <w:lvlText w:val=""/>
      <w:lvlJc w:val="left"/>
      <w:pPr>
        <w:ind w:left="2520" w:hanging="360"/>
      </w:pPr>
      <w:rPr>
        <w:rFonts w:ascii="Symbol" w:hAnsi="Symbol" w:hint="default"/>
      </w:rPr>
    </w:lvl>
    <w:lvl w:ilvl="4" w:tplc="041B0003" w:tentative="1">
      <w:start w:val="1"/>
      <w:numFmt w:val="bullet"/>
      <w:lvlText w:val="o"/>
      <w:lvlJc w:val="left"/>
      <w:pPr>
        <w:ind w:left="3240" w:hanging="360"/>
      </w:pPr>
      <w:rPr>
        <w:rFonts w:ascii="Courier New" w:hAnsi="Courier New" w:cs="Courier New" w:hint="default"/>
      </w:rPr>
    </w:lvl>
    <w:lvl w:ilvl="5" w:tplc="041B0005" w:tentative="1">
      <w:start w:val="1"/>
      <w:numFmt w:val="bullet"/>
      <w:lvlText w:val=""/>
      <w:lvlJc w:val="left"/>
      <w:pPr>
        <w:ind w:left="3960" w:hanging="360"/>
      </w:pPr>
      <w:rPr>
        <w:rFonts w:ascii="Wingdings" w:hAnsi="Wingdings" w:hint="default"/>
      </w:rPr>
    </w:lvl>
    <w:lvl w:ilvl="6" w:tplc="041B0001" w:tentative="1">
      <w:start w:val="1"/>
      <w:numFmt w:val="bullet"/>
      <w:lvlText w:val=""/>
      <w:lvlJc w:val="left"/>
      <w:pPr>
        <w:ind w:left="4680" w:hanging="360"/>
      </w:pPr>
      <w:rPr>
        <w:rFonts w:ascii="Symbol" w:hAnsi="Symbol" w:hint="default"/>
      </w:rPr>
    </w:lvl>
    <w:lvl w:ilvl="7" w:tplc="041B0003" w:tentative="1">
      <w:start w:val="1"/>
      <w:numFmt w:val="bullet"/>
      <w:lvlText w:val="o"/>
      <w:lvlJc w:val="left"/>
      <w:pPr>
        <w:ind w:left="5400" w:hanging="360"/>
      </w:pPr>
      <w:rPr>
        <w:rFonts w:ascii="Courier New" w:hAnsi="Courier New" w:cs="Courier New" w:hint="default"/>
      </w:rPr>
    </w:lvl>
    <w:lvl w:ilvl="8" w:tplc="041B0005" w:tentative="1">
      <w:start w:val="1"/>
      <w:numFmt w:val="bullet"/>
      <w:lvlText w:val=""/>
      <w:lvlJc w:val="left"/>
      <w:pPr>
        <w:ind w:left="6120" w:hanging="360"/>
      </w:pPr>
      <w:rPr>
        <w:rFonts w:ascii="Wingdings" w:hAnsi="Wingdings" w:hint="default"/>
      </w:rPr>
    </w:lvl>
  </w:abstractNum>
  <w:abstractNum w:abstractNumId="52">
    <w:nsid w:val="0CB7682B"/>
    <w:multiLevelType w:val="hybridMultilevel"/>
    <w:tmpl w:val="060A3212"/>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53">
    <w:nsid w:val="0CB949B8"/>
    <w:multiLevelType w:val="hybridMultilevel"/>
    <w:tmpl w:val="B8A8B4D0"/>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54">
    <w:nsid w:val="0CF65F33"/>
    <w:multiLevelType w:val="hybridMultilevel"/>
    <w:tmpl w:val="563EDCFE"/>
    <w:lvl w:ilvl="0" w:tplc="09F8DE64">
      <w:start w:val="1"/>
      <w:numFmt w:val="lowerLetter"/>
      <w:lvlText w:val="(%1)"/>
      <w:lvlJc w:val="left"/>
      <w:pPr>
        <w:tabs>
          <w:tab w:val="num" w:pos="720"/>
        </w:tabs>
        <w:ind w:left="720" w:hanging="360"/>
      </w:pPr>
      <w:rPr>
        <w:rFonts w:hint="default"/>
      </w:rPr>
    </w:lvl>
    <w:lvl w:ilvl="1" w:tplc="041B0019">
      <w:start w:val="1"/>
      <w:numFmt w:val="lowerLetter"/>
      <w:lvlText w:val="%2."/>
      <w:lvlJc w:val="left"/>
      <w:pPr>
        <w:tabs>
          <w:tab w:val="num" w:pos="1440"/>
        </w:tabs>
        <w:ind w:left="1440" w:hanging="360"/>
      </w:pPr>
    </w:lvl>
    <w:lvl w:ilvl="2" w:tplc="041B001B">
      <w:start w:val="1"/>
      <w:numFmt w:val="lowerRoman"/>
      <w:pStyle w:val="Point1number"/>
      <w:lvlText w:val="%3."/>
      <w:lvlJc w:val="right"/>
      <w:pPr>
        <w:tabs>
          <w:tab w:val="num" w:pos="2160"/>
        </w:tabs>
        <w:ind w:left="2160" w:hanging="180"/>
      </w:pPr>
    </w:lvl>
    <w:lvl w:ilvl="3" w:tplc="041B000F">
      <w:start w:val="1"/>
      <w:numFmt w:val="decimal"/>
      <w:pStyle w:val="Point1letter"/>
      <w:lvlText w:val="%4."/>
      <w:lvlJc w:val="left"/>
      <w:pPr>
        <w:tabs>
          <w:tab w:val="num" w:pos="2880"/>
        </w:tabs>
        <w:ind w:left="2880" w:hanging="360"/>
      </w:pPr>
    </w:lvl>
    <w:lvl w:ilvl="4" w:tplc="041B0019">
      <w:start w:val="1"/>
      <w:numFmt w:val="lowerLetter"/>
      <w:lvlText w:val="%5."/>
      <w:lvlJc w:val="left"/>
      <w:pPr>
        <w:tabs>
          <w:tab w:val="num" w:pos="3600"/>
        </w:tabs>
        <w:ind w:left="3600" w:hanging="360"/>
      </w:pPr>
    </w:lvl>
    <w:lvl w:ilvl="5" w:tplc="041B001B">
      <w:start w:val="1"/>
      <w:numFmt w:val="lowerRoman"/>
      <w:lvlText w:val="%6."/>
      <w:lvlJc w:val="right"/>
      <w:pPr>
        <w:tabs>
          <w:tab w:val="num" w:pos="4320"/>
        </w:tabs>
        <w:ind w:left="4320" w:hanging="180"/>
      </w:pPr>
    </w:lvl>
    <w:lvl w:ilvl="6" w:tplc="041B000F">
      <w:start w:val="1"/>
      <w:numFmt w:val="decimal"/>
      <w:lvlText w:val="%7."/>
      <w:lvlJc w:val="left"/>
      <w:pPr>
        <w:tabs>
          <w:tab w:val="num" w:pos="5040"/>
        </w:tabs>
        <w:ind w:left="5040" w:hanging="360"/>
      </w:pPr>
    </w:lvl>
    <w:lvl w:ilvl="7" w:tplc="041B0019">
      <w:start w:val="1"/>
      <w:numFmt w:val="lowerLetter"/>
      <w:lvlText w:val="%8."/>
      <w:lvlJc w:val="left"/>
      <w:pPr>
        <w:tabs>
          <w:tab w:val="num" w:pos="5760"/>
        </w:tabs>
        <w:ind w:left="5760" w:hanging="360"/>
      </w:pPr>
    </w:lvl>
    <w:lvl w:ilvl="8" w:tplc="041B001B">
      <w:start w:val="1"/>
      <w:numFmt w:val="lowerRoman"/>
      <w:lvlText w:val="%9."/>
      <w:lvlJc w:val="right"/>
      <w:pPr>
        <w:tabs>
          <w:tab w:val="num" w:pos="6480"/>
        </w:tabs>
        <w:ind w:left="6480" w:hanging="180"/>
      </w:pPr>
    </w:lvl>
  </w:abstractNum>
  <w:abstractNum w:abstractNumId="55">
    <w:nsid w:val="0D064617"/>
    <w:multiLevelType w:val="hybridMultilevel"/>
    <w:tmpl w:val="4E3CA88A"/>
    <w:lvl w:ilvl="0" w:tplc="041B0017">
      <w:start w:val="1"/>
      <w:numFmt w:val="lowerLetter"/>
      <w:lvlText w:val="%1)"/>
      <w:lvlJc w:val="left"/>
      <w:pPr>
        <w:ind w:left="720" w:hanging="360"/>
      </w:p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56">
    <w:nsid w:val="0D065C89"/>
    <w:multiLevelType w:val="hybridMultilevel"/>
    <w:tmpl w:val="CC2899E8"/>
    <w:lvl w:ilvl="0" w:tplc="CDB2CAF0">
      <w:start w:val="4"/>
      <w:numFmt w:val="bullet"/>
      <w:lvlText w:val="-"/>
      <w:lvlJc w:val="left"/>
      <w:pPr>
        <w:ind w:left="720" w:hanging="360"/>
      </w:pPr>
      <w:rPr>
        <w:rFonts w:ascii="Calibri" w:eastAsia="Times New Roman" w:hAnsi="Calibri" w:cs="Times New Roman"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57">
    <w:nsid w:val="0D204201"/>
    <w:multiLevelType w:val="hybridMultilevel"/>
    <w:tmpl w:val="DC961B52"/>
    <w:lvl w:ilvl="0" w:tplc="041B0017">
      <w:start w:val="1"/>
      <w:numFmt w:val="lowerLetter"/>
      <w:lvlText w:val="%1)"/>
      <w:lvlJc w:val="left"/>
      <w:pPr>
        <w:ind w:left="720" w:hanging="360"/>
      </w:pPr>
    </w:lvl>
    <w:lvl w:ilvl="1" w:tplc="041B0019">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58">
    <w:nsid w:val="0DCC000A"/>
    <w:multiLevelType w:val="hybridMultilevel"/>
    <w:tmpl w:val="43C41808"/>
    <w:lvl w:ilvl="0" w:tplc="041B0001">
      <w:start w:val="1"/>
      <w:numFmt w:val="upperLetter"/>
      <w:lvlText w:val="%1."/>
      <w:lvlJc w:val="left"/>
      <w:pPr>
        <w:tabs>
          <w:tab w:val="num" w:pos="720"/>
        </w:tabs>
        <w:ind w:left="720" w:hanging="360"/>
      </w:pPr>
    </w:lvl>
    <w:lvl w:ilvl="1" w:tplc="9AF42F72">
      <w:start w:val="1"/>
      <w:numFmt w:val="lowerLetter"/>
      <w:lvlText w:val="%2."/>
      <w:lvlJc w:val="left"/>
      <w:pPr>
        <w:tabs>
          <w:tab w:val="num" w:pos="1440"/>
        </w:tabs>
        <w:ind w:left="1440" w:hanging="360"/>
      </w:pPr>
    </w:lvl>
    <w:lvl w:ilvl="2" w:tplc="041B0005">
      <w:start w:val="1"/>
      <w:numFmt w:val="lowerRoman"/>
      <w:lvlText w:val="%3."/>
      <w:lvlJc w:val="right"/>
      <w:pPr>
        <w:tabs>
          <w:tab w:val="num" w:pos="2160"/>
        </w:tabs>
        <w:ind w:left="2160" w:hanging="180"/>
      </w:pPr>
    </w:lvl>
    <w:lvl w:ilvl="3" w:tplc="041B0001">
      <w:start w:val="1"/>
      <w:numFmt w:val="decimal"/>
      <w:lvlText w:val="%4."/>
      <w:lvlJc w:val="left"/>
      <w:pPr>
        <w:tabs>
          <w:tab w:val="num" w:pos="2880"/>
        </w:tabs>
        <w:ind w:left="2880" w:hanging="360"/>
      </w:pPr>
    </w:lvl>
    <w:lvl w:ilvl="4" w:tplc="041B0003">
      <w:start w:val="1"/>
      <w:numFmt w:val="lowerLetter"/>
      <w:lvlText w:val="%5."/>
      <w:lvlJc w:val="left"/>
      <w:pPr>
        <w:tabs>
          <w:tab w:val="num" w:pos="3600"/>
        </w:tabs>
        <w:ind w:left="3600" w:hanging="360"/>
      </w:pPr>
    </w:lvl>
    <w:lvl w:ilvl="5" w:tplc="041B0005">
      <w:start w:val="1"/>
      <w:numFmt w:val="lowerRoman"/>
      <w:lvlText w:val="%6."/>
      <w:lvlJc w:val="right"/>
      <w:pPr>
        <w:tabs>
          <w:tab w:val="num" w:pos="4320"/>
        </w:tabs>
        <w:ind w:left="4320" w:hanging="180"/>
      </w:pPr>
    </w:lvl>
    <w:lvl w:ilvl="6" w:tplc="041B0001">
      <w:start w:val="1"/>
      <w:numFmt w:val="decimal"/>
      <w:lvlText w:val="%7."/>
      <w:lvlJc w:val="left"/>
      <w:pPr>
        <w:tabs>
          <w:tab w:val="num" w:pos="5040"/>
        </w:tabs>
        <w:ind w:left="5040" w:hanging="360"/>
      </w:pPr>
    </w:lvl>
    <w:lvl w:ilvl="7" w:tplc="041B0003">
      <w:start w:val="1"/>
      <w:numFmt w:val="lowerLetter"/>
      <w:lvlText w:val="%8."/>
      <w:lvlJc w:val="left"/>
      <w:pPr>
        <w:tabs>
          <w:tab w:val="num" w:pos="5760"/>
        </w:tabs>
        <w:ind w:left="5760" w:hanging="360"/>
      </w:pPr>
    </w:lvl>
    <w:lvl w:ilvl="8" w:tplc="041B0005">
      <w:start w:val="1"/>
      <w:numFmt w:val="lowerRoman"/>
      <w:lvlText w:val="%9."/>
      <w:lvlJc w:val="right"/>
      <w:pPr>
        <w:tabs>
          <w:tab w:val="num" w:pos="6480"/>
        </w:tabs>
        <w:ind w:left="6480" w:hanging="180"/>
      </w:pPr>
    </w:lvl>
  </w:abstractNum>
  <w:abstractNum w:abstractNumId="59">
    <w:nsid w:val="0E3F36C3"/>
    <w:multiLevelType w:val="hybridMultilevel"/>
    <w:tmpl w:val="121C2542"/>
    <w:lvl w:ilvl="0" w:tplc="041B0001">
      <w:start w:val="1"/>
      <w:numFmt w:val="bullet"/>
      <w:lvlText w:val=""/>
      <w:lvlJc w:val="left"/>
      <w:pPr>
        <w:ind w:left="1440" w:hanging="360"/>
      </w:pPr>
      <w:rPr>
        <w:rFonts w:ascii="Symbol" w:hAnsi="Symbol" w:hint="default"/>
      </w:rPr>
    </w:lvl>
    <w:lvl w:ilvl="1" w:tplc="041B0003" w:tentative="1">
      <w:start w:val="1"/>
      <w:numFmt w:val="bullet"/>
      <w:lvlText w:val="o"/>
      <w:lvlJc w:val="left"/>
      <w:pPr>
        <w:ind w:left="2160" w:hanging="360"/>
      </w:pPr>
      <w:rPr>
        <w:rFonts w:ascii="Courier New" w:hAnsi="Courier New" w:hint="default"/>
      </w:rPr>
    </w:lvl>
    <w:lvl w:ilvl="2" w:tplc="041B0005" w:tentative="1">
      <w:start w:val="1"/>
      <w:numFmt w:val="bullet"/>
      <w:lvlText w:val=""/>
      <w:lvlJc w:val="left"/>
      <w:pPr>
        <w:ind w:left="2880" w:hanging="360"/>
      </w:pPr>
      <w:rPr>
        <w:rFonts w:ascii="Wingdings" w:hAnsi="Wingdings" w:hint="default"/>
      </w:rPr>
    </w:lvl>
    <w:lvl w:ilvl="3" w:tplc="041B0001" w:tentative="1">
      <w:start w:val="1"/>
      <w:numFmt w:val="bullet"/>
      <w:lvlText w:val=""/>
      <w:lvlJc w:val="left"/>
      <w:pPr>
        <w:ind w:left="3600" w:hanging="360"/>
      </w:pPr>
      <w:rPr>
        <w:rFonts w:ascii="Symbol" w:hAnsi="Symbol" w:hint="default"/>
      </w:rPr>
    </w:lvl>
    <w:lvl w:ilvl="4" w:tplc="041B0003" w:tentative="1">
      <w:start w:val="1"/>
      <w:numFmt w:val="bullet"/>
      <w:lvlText w:val="o"/>
      <w:lvlJc w:val="left"/>
      <w:pPr>
        <w:ind w:left="4320" w:hanging="360"/>
      </w:pPr>
      <w:rPr>
        <w:rFonts w:ascii="Courier New" w:hAnsi="Courier New" w:hint="default"/>
      </w:rPr>
    </w:lvl>
    <w:lvl w:ilvl="5" w:tplc="041B0005" w:tentative="1">
      <w:start w:val="1"/>
      <w:numFmt w:val="bullet"/>
      <w:lvlText w:val=""/>
      <w:lvlJc w:val="left"/>
      <w:pPr>
        <w:ind w:left="5040" w:hanging="360"/>
      </w:pPr>
      <w:rPr>
        <w:rFonts w:ascii="Wingdings" w:hAnsi="Wingdings" w:hint="default"/>
      </w:rPr>
    </w:lvl>
    <w:lvl w:ilvl="6" w:tplc="041B0001" w:tentative="1">
      <w:start w:val="1"/>
      <w:numFmt w:val="bullet"/>
      <w:lvlText w:val=""/>
      <w:lvlJc w:val="left"/>
      <w:pPr>
        <w:ind w:left="5760" w:hanging="360"/>
      </w:pPr>
      <w:rPr>
        <w:rFonts w:ascii="Symbol" w:hAnsi="Symbol" w:hint="default"/>
      </w:rPr>
    </w:lvl>
    <w:lvl w:ilvl="7" w:tplc="041B0003" w:tentative="1">
      <w:start w:val="1"/>
      <w:numFmt w:val="bullet"/>
      <w:lvlText w:val="o"/>
      <w:lvlJc w:val="left"/>
      <w:pPr>
        <w:ind w:left="6480" w:hanging="360"/>
      </w:pPr>
      <w:rPr>
        <w:rFonts w:ascii="Courier New" w:hAnsi="Courier New" w:hint="default"/>
      </w:rPr>
    </w:lvl>
    <w:lvl w:ilvl="8" w:tplc="041B0005" w:tentative="1">
      <w:start w:val="1"/>
      <w:numFmt w:val="bullet"/>
      <w:lvlText w:val=""/>
      <w:lvlJc w:val="left"/>
      <w:pPr>
        <w:ind w:left="7200" w:hanging="360"/>
      </w:pPr>
      <w:rPr>
        <w:rFonts w:ascii="Wingdings" w:hAnsi="Wingdings" w:hint="default"/>
      </w:rPr>
    </w:lvl>
  </w:abstractNum>
  <w:abstractNum w:abstractNumId="60">
    <w:nsid w:val="0ED836BC"/>
    <w:multiLevelType w:val="hybridMultilevel"/>
    <w:tmpl w:val="15780DE2"/>
    <w:lvl w:ilvl="0" w:tplc="041B000F">
      <w:start w:val="1"/>
      <w:numFmt w:val="decimal"/>
      <w:lvlText w:val="%1."/>
      <w:lvlJc w:val="left"/>
      <w:pPr>
        <w:ind w:left="720" w:hanging="360"/>
      </w:pPr>
      <w:rPr>
        <w:rFonts w:cs="Times New Roman" w:hint="default"/>
      </w:rPr>
    </w:lvl>
    <w:lvl w:ilvl="1" w:tplc="041B0019" w:tentative="1">
      <w:start w:val="1"/>
      <w:numFmt w:val="lowerLetter"/>
      <w:lvlText w:val="%2."/>
      <w:lvlJc w:val="left"/>
      <w:pPr>
        <w:ind w:left="1440" w:hanging="360"/>
      </w:pPr>
      <w:rPr>
        <w:rFonts w:cs="Times New Roman"/>
      </w:rPr>
    </w:lvl>
    <w:lvl w:ilvl="2" w:tplc="041B001B" w:tentative="1">
      <w:start w:val="1"/>
      <w:numFmt w:val="lowerRoman"/>
      <w:lvlText w:val="%3."/>
      <w:lvlJc w:val="right"/>
      <w:pPr>
        <w:ind w:left="2160" w:hanging="180"/>
      </w:pPr>
      <w:rPr>
        <w:rFonts w:cs="Times New Roman"/>
      </w:rPr>
    </w:lvl>
    <w:lvl w:ilvl="3" w:tplc="041B000F" w:tentative="1">
      <w:start w:val="1"/>
      <w:numFmt w:val="decimal"/>
      <w:lvlText w:val="%4."/>
      <w:lvlJc w:val="left"/>
      <w:pPr>
        <w:ind w:left="2880" w:hanging="360"/>
      </w:pPr>
      <w:rPr>
        <w:rFonts w:cs="Times New Roman"/>
      </w:rPr>
    </w:lvl>
    <w:lvl w:ilvl="4" w:tplc="041B0019" w:tentative="1">
      <w:start w:val="1"/>
      <w:numFmt w:val="lowerLetter"/>
      <w:lvlText w:val="%5."/>
      <w:lvlJc w:val="left"/>
      <w:pPr>
        <w:ind w:left="3600" w:hanging="360"/>
      </w:pPr>
      <w:rPr>
        <w:rFonts w:cs="Times New Roman"/>
      </w:rPr>
    </w:lvl>
    <w:lvl w:ilvl="5" w:tplc="041B001B" w:tentative="1">
      <w:start w:val="1"/>
      <w:numFmt w:val="lowerRoman"/>
      <w:lvlText w:val="%6."/>
      <w:lvlJc w:val="right"/>
      <w:pPr>
        <w:ind w:left="4320" w:hanging="180"/>
      </w:pPr>
      <w:rPr>
        <w:rFonts w:cs="Times New Roman"/>
      </w:rPr>
    </w:lvl>
    <w:lvl w:ilvl="6" w:tplc="041B000F" w:tentative="1">
      <w:start w:val="1"/>
      <w:numFmt w:val="decimal"/>
      <w:lvlText w:val="%7."/>
      <w:lvlJc w:val="left"/>
      <w:pPr>
        <w:ind w:left="5040" w:hanging="360"/>
      </w:pPr>
      <w:rPr>
        <w:rFonts w:cs="Times New Roman"/>
      </w:rPr>
    </w:lvl>
    <w:lvl w:ilvl="7" w:tplc="041B0019" w:tentative="1">
      <w:start w:val="1"/>
      <w:numFmt w:val="lowerLetter"/>
      <w:lvlText w:val="%8."/>
      <w:lvlJc w:val="left"/>
      <w:pPr>
        <w:ind w:left="5760" w:hanging="360"/>
      </w:pPr>
      <w:rPr>
        <w:rFonts w:cs="Times New Roman"/>
      </w:rPr>
    </w:lvl>
    <w:lvl w:ilvl="8" w:tplc="041B001B" w:tentative="1">
      <w:start w:val="1"/>
      <w:numFmt w:val="lowerRoman"/>
      <w:lvlText w:val="%9."/>
      <w:lvlJc w:val="right"/>
      <w:pPr>
        <w:ind w:left="6480" w:hanging="180"/>
      </w:pPr>
      <w:rPr>
        <w:rFonts w:cs="Times New Roman"/>
      </w:rPr>
    </w:lvl>
  </w:abstractNum>
  <w:abstractNum w:abstractNumId="61">
    <w:nsid w:val="0F0D0FDE"/>
    <w:multiLevelType w:val="hybridMultilevel"/>
    <w:tmpl w:val="B2BA1B20"/>
    <w:lvl w:ilvl="0" w:tplc="041B0001">
      <w:start w:val="1"/>
      <w:numFmt w:val="bullet"/>
      <w:lvlText w:val=""/>
      <w:lvlJc w:val="left"/>
      <w:pPr>
        <w:ind w:left="765" w:hanging="360"/>
      </w:pPr>
      <w:rPr>
        <w:rFonts w:ascii="Symbol" w:hAnsi="Symbol" w:hint="default"/>
      </w:rPr>
    </w:lvl>
    <w:lvl w:ilvl="1" w:tplc="041B0003" w:tentative="1">
      <w:start w:val="1"/>
      <w:numFmt w:val="bullet"/>
      <w:lvlText w:val="o"/>
      <w:lvlJc w:val="left"/>
      <w:pPr>
        <w:ind w:left="1485" w:hanging="360"/>
      </w:pPr>
      <w:rPr>
        <w:rFonts w:ascii="Courier New" w:hAnsi="Courier New" w:cs="Courier New" w:hint="default"/>
      </w:rPr>
    </w:lvl>
    <w:lvl w:ilvl="2" w:tplc="041B0005" w:tentative="1">
      <w:start w:val="1"/>
      <w:numFmt w:val="bullet"/>
      <w:lvlText w:val=""/>
      <w:lvlJc w:val="left"/>
      <w:pPr>
        <w:ind w:left="2205" w:hanging="360"/>
      </w:pPr>
      <w:rPr>
        <w:rFonts w:ascii="Wingdings" w:hAnsi="Wingdings" w:hint="default"/>
      </w:rPr>
    </w:lvl>
    <w:lvl w:ilvl="3" w:tplc="041B0001" w:tentative="1">
      <w:start w:val="1"/>
      <w:numFmt w:val="bullet"/>
      <w:lvlText w:val=""/>
      <w:lvlJc w:val="left"/>
      <w:pPr>
        <w:ind w:left="2925" w:hanging="360"/>
      </w:pPr>
      <w:rPr>
        <w:rFonts w:ascii="Symbol" w:hAnsi="Symbol" w:hint="default"/>
      </w:rPr>
    </w:lvl>
    <w:lvl w:ilvl="4" w:tplc="041B0003" w:tentative="1">
      <w:start w:val="1"/>
      <w:numFmt w:val="bullet"/>
      <w:lvlText w:val="o"/>
      <w:lvlJc w:val="left"/>
      <w:pPr>
        <w:ind w:left="3645" w:hanging="360"/>
      </w:pPr>
      <w:rPr>
        <w:rFonts w:ascii="Courier New" w:hAnsi="Courier New" w:cs="Courier New" w:hint="default"/>
      </w:rPr>
    </w:lvl>
    <w:lvl w:ilvl="5" w:tplc="041B0005" w:tentative="1">
      <w:start w:val="1"/>
      <w:numFmt w:val="bullet"/>
      <w:lvlText w:val=""/>
      <w:lvlJc w:val="left"/>
      <w:pPr>
        <w:ind w:left="4365" w:hanging="360"/>
      </w:pPr>
      <w:rPr>
        <w:rFonts w:ascii="Wingdings" w:hAnsi="Wingdings" w:hint="default"/>
      </w:rPr>
    </w:lvl>
    <w:lvl w:ilvl="6" w:tplc="041B0001" w:tentative="1">
      <w:start w:val="1"/>
      <w:numFmt w:val="bullet"/>
      <w:lvlText w:val=""/>
      <w:lvlJc w:val="left"/>
      <w:pPr>
        <w:ind w:left="5085" w:hanging="360"/>
      </w:pPr>
      <w:rPr>
        <w:rFonts w:ascii="Symbol" w:hAnsi="Symbol" w:hint="default"/>
      </w:rPr>
    </w:lvl>
    <w:lvl w:ilvl="7" w:tplc="041B0003" w:tentative="1">
      <w:start w:val="1"/>
      <w:numFmt w:val="bullet"/>
      <w:lvlText w:val="o"/>
      <w:lvlJc w:val="left"/>
      <w:pPr>
        <w:ind w:left="5805" w:hanging="360"/>
      </w:pPr>
      <w:rPr>
        <w:rFonts w:ascii="Courier New" w:hAnsi="Courier New" w:cs="Courier New" w:hint="default"/>
      </w:rPr>
    </w:lvl>
    <w:lvl w:ilvl="8" w:tplc="041B0005" w:tentative="1">
      <w:start w:val="1"/>
      <w:numFmt w:val="bullet"/>
      <w:lvlText w:val=""/>
      <w:lvlJc w:val="left"/>
      <w:pPr>
        <w:ind w:left="6525" w:hanging="360"/>
      </w:pPr>
      <w:rPr>
        <w:rFonts w:ascii="Wingdings" w:hAnsi="Wingdings" w:hint="default"/>
      </w:rPr>
    </w:lvl>
  </w:abstractNum>
  <w:abstractNum w:abstractNumId="62">
    <w:nsid w:val="0F0F76B2"/>
    <w:multiLevelType w:val="hybridMultilevel"/>
    <w:tmpl w:val="948C67C2"/>
    <w:lvl w:ilvl="0" w:tplc="041B0001">
      <w:start w:val="1"/>
      <w:numFmt w:val="bullet"/>
      <w:lvlText w:val=""/>
      <w:lvlJc w:val="left"/>
      <w:pPr>
        <w:ind w:left="360" w:hanging="360"/>
      </w:pPr>
      <w:rPr>
        <w:rFonts w:ascii="Symbol" w:hAnsi="Symbol" w:hint="default"/>
      </w:rPr>
    </w:lvl>
    <w:lvl w:ilvl="1" w:tplc="041B0003" w:tentative="1">
      <w:start w:val="1"/>
      <w:numFmt w:val="bullet"/>
      <w:lvlText w:val="o"/>
      <w:lvlJc w:val="left"/>
      <w:pPr>
        <w:ind w:left="1080" w:hanging="360"/>
      </w:pPr>
      <w:rPr>
        <w:rFonts w:ascii="Courier New" w:hAnsi="Courier New" w:cs="Courier New" w:hint="default"/>
      </w:rPr>
    </w:lvl>
    <w:lvl w:ilvl="2" w:tplc="041B0005" w:tentative="1">
      <w:start w:val="1"/>
      <w:numFmt w:val="bullet"/>
      <w:lvlText w:val=""/>
      <w:lvlJc w:val="left"/>
      <w:pPr>
        <w:ind w:left="1800" w:hanging="360"/>
      </w:pPr>
      <w:rPr>
        <w:rFonts w:ascii="Wingdings" w:hAnsi="Wingdings" w:hint="default"/>
      </w:rPr>
    </w:lvl>
    <w:lvl w:ilvl="3" w:tplc="041B0001" w:tentative="1">
      <w:start w:val="1"/>
      <w:numFmt w:val="bullet"/>
      <w:lvlText w:val=""/>
      <w:lvlJc w:val="left"/>
      <w:pPr>
        <w:ind w:left="2520" w:hanging="360"/>
      </w:pPr>
      <w:rPr>
        <w:rFonts w:ascii="Symbol" w:hAnsi="Symbol" w:hint="default"/>
      </w:rPr>
    </w:lvl>
    <w:lvl w:ilvl="4" w:tplc="041B0003" w:tentative="1">
      <w:start w:val="1"/>
      <w:numFmt w:val="bullet"/>
      <w:lvlText w:val="o"/>
      <w:lvlJc w:val="left"/>
      <w:pPr>
        <w:ind w:left="3240" w:hanging="360"/>
      </w:pPr>
      <w:rPr>
        <w:rFonts w:ascii="Courier New" w:hAnsi="Courier New" w:cs="Courier New" w:hint="default"/>
      </w:rPr>
    </w:lvl>
    <w:lvl w:ilvl="5" w:tplc="041B0005" w:tentative="1">
      <w:start w:val="1"/>
      <w:numFmt w:val="bullet"/>
      <w:lvlText w:val=""/>
      <w:lvlJc w:val="left"/>
      <w:pPr>
        <w:ind w:left="3960" w:hanging="360"/>
      </w:pPr>
      <w:rPr>
        <w:rFonts w:ascii="Wingdings" w:hAnsi="Wingdings" w:hint="default"/>
      </w:rPr>
    </w:lvl>
    <w:lvl w:ilvl="6" w:tplc="041B0001" w:tentative="1">
      <w:start w:val="1"/>
      <w:numFmt w:val="bullet"/>
      <w:lvlText w:val=""/>
      <w:lvlJc w:val="left"/>
      <w:pPr>
        <w:ind w:left="4680" w:hanging="360"/>
      </w:pPr>
      <w:rPr>
        <w:rFonts w:ascii="Symbol" w:hAnsi="Symbol" w:hint="default"/>
      </w:rPr>
    </w:lvl>
    <w:lvl w:ilvl="7" w:tplc="041B0003" w:tentative="1">
      <w:start w:val="1"/>
      <w:numFmt w:val="bullet"/>
      <w:lvlText w:val="o"/>
      <w:lvlJc w:val="left"/>
      <w:pPr>
        <w:ind w:left="5400" w:hanging="360"/>
      </w:pPr>
      <w:rPr>
        <w:rFonts w:ascii="Courier New" w:hAnsi="Courier New" w:cs="Courier New" w:hint="default"/>
      </w:rPr>
    </w:lvl>
    <w:lvl w:ilvl="8" w:tplc="041B0005" w:tentative="1">
      <w:start w:val="1"/>
      <w:numFmt w:val="bullet"/>
      <w:lvlText w:val=""/>
      <w:lvlJc w:val="left"/>
      <w:pPr>
        <w:ind w:left="6120" w:hanging="360"/>
      </w:pPr>
      <w:rPr>
        <w:rFonts w:ascii="Wingdings" w:hAnsi="Wingdings" w:hint="default"/>
      </w:rPr>
    </w:lvl>
  </w:abstractNum>
  <w:abstractNum w:abstractNumId="63">
    <w:nsid w:val="0F6C4CC4"/>
    <w:multiLevelType w:val="hybridMultilevel"/>
    <w:tmpl w:val="21180610"/>
    <w:lvl w:ilvl="0" w:tplc="2466B24E">
      <w:start w:val="1"/>
      <w:numFmt w:val="decimal"/>
      <w:lvlText w:val="%1."/>
      <w:lvlJc w:val="center"/>
      <w:pPr>
        <w:ind w:left="720" w:hanging="360"/>
      </w:pPr>
      <w:rPr>
        <w:rFonts w:hint="default"/>
      </w:rPr>
    </w:lvl>
    <w:lvl w:ilvl="1" w:tplc="041B0003">
      <w:start w:val="1"/>
      <w:numFmt w:val="bullet"/>
      <w:lvlText w:val="o"/>
      <w:lvlJc w:val="left"/>
      <w:pPr>
        <w:ind w:left="1440" w:hanging="360"/>
      </w:pPr>
      <w:rPr>
        <w:rFonts w:ascii="Courier New" w:hAnsi="Courier New" w:cs="Courier New" w:hint="default"/>
      </w:rPr>
    </w:lvl>
    <w:lvl w:ilvl="2" w:tplc="041B0005">
      <w:start w:val="1"/>
      <w:numFmt w:val="bullet"/>
      <w:lvlText w:val=""/>
      <w:lvlJc w:val="left"/>
      <w:pPr>
        <w:ind w:left="2160" w:hanging="360"/>
      </w:pPr>
      <w:rPr>
        <w:rFonts w:ascii="Wingdings" w:hAnsi="Wingdings" w:cs="Wingdings" w:hint="default"/>
      </w:rPr>
    </w:lvl>
    <w:lvl w:ilvl="3" w:tplc="041B0001">
      <w:start w:val="1"/>
      <w:numFmt w:val="bullet"/>
      <w:lvlText w:val=""/>
      <w:lvlJc w:val="left"/>
      <w:pPr>
        <w:ind w:left="2880" w:hanging="360"/>
      </w:pPr>
      <w:rPr>
        <w:rFonts w:ascii="Symbol" w:hAnsi="Symbol" w:cs="Symbol" w:hint="default"/>
      </w:rPr>
    </w:lvl>
    <w:lvl w:ilvl="4" w:tplc="041B0003">
      <w:start w:val="1"/>
      <w:numFmt w:val="bullet"/>
      <w:lvlText w:val="o"/>
      <w:lvlJc w:val="left"/>
      <w:pPr>
        <w:ind w:left="3600" w:hanging="360"/>
      </w:pPr>
      <w:rPr>
        <w:rFonts w:ascii="Courier New" w:hAnsi="Courier New" w:cs="Courier New" w:hint="default"/>
      </w:rPr>
    </w:lvl>
    <w:lvl w:ilvl="5" w:tplc="041B0005">
      <w:start w:val="1"/>
      <w:numFmt w:val="bullet"/>
      <w:lvlText w:val=""/>
      <w:lvlJc w:val="left"/>
      <w:pPr>
        <w:ind w:left="4320" w:hanging="360"/>
      </w:pPr>
      <w:rPr>
        <w:rFonts w:ascii="Wingdings" w:hAnsi="Wingdings" w:cs="Wingdings" w:hint="default"/>
      </w:rPr>
    </w:lvl>
    <w:lvl w:ilvl="6" w:tplc="041B0001">
      <w:start w:val="1"/>
      <w:numFmt w:val="bullet"/>
      <w:lvlText w:val=""/>
      <w:lvlJc w:val="left"/>
      <w:pPr>
        <w:ind w:left="5040" w:hanging="360"/>
      </w:pPr>
      <w:rPr>
        <w:rFonts w:ascii="Symbol" w:hAnsi="Symbol" w:cs="Symbol" w:hint="default"/>
      </w:rPr>
    </w:lvl>
    <w:lvl w:ilvl="7" w:tplc="041B0003">
      <w:start w:val="1"/>
      <w:numFmt w:val="bullet"/>
      <w:lvlText w:val="o"/>
      <w:lvlJc w:val="left"/>
      <w:pPr>
        <w:ind w:left="5760" w:hanging="360"/>
      </w:pPr>
      <w:rPr>
        <w:rFonts w:ascii="Courier New" w:hAnsi="Courier New" w:cs="Courier New" w:hint="default"/>
      </w:rPr>
    </w:lvl>
    <w:lvl w:ilvl="8" w:tplc="041B0005">
      <w:start w:val="1"/>
      <w:numFmt w:val="bullet"/>
      <w:lvlText w:val=""/>
      <w:lvlJc w:val="left"/>
      <w:pPr>
        <w:ind w:left="6480" w:hanging="360"/>
      </w:pPr>
      <w:rPr>
        <w:rFonts w:ascii="Wingdings" w:hAnsi="Wingdings" w:cs="Wingdings" w:hint="default"/>
      </w:rPr>
    </w:lvl>
  </w:abstractNum>
  <w:abstractNum w:abstractNumId="64">
    <w:nsid w:val="0F89329D"/>
    <w:multiLevelType w:val="hybridMultilevel"/>
    <w:tmpl w:val="786AF6F4"/>
    <w:lvl w:ilvl="0" w:tplc="27D6AAD6">
      <w:start w:val="2"/>
      <w:numFmt w:val="bullet"/>
      <w:lvlText w:val="-"/>
      <w:lvlJc w:val="left"/>
      <w:pPr>
        <w:ind w:left="720" w:hanging="360"/>
      </w:pPr>
      <w:rPr>
        <w:rFonts w:ascii="Calibri" w:eastAsia="Calibri" w:hAnsi="Calibri" w:cs="Calibri"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nsid w:val="0FC93706"/>
    <w:multiLevelType w:val="hybridMultilevel"/>
    <w:tmpl w:val="19CE5256"/>
    <w:lvl w:ilvl="0" w:tplc="2466B24E">
      <w:start w:val="1"/>
      <w:numFmt w:val="decimal"/>
      <w:lvlText w:val="%1."/>
      <w:lvlJc w:val="center"/>
      <w:pPr>
        <w:ind w:left="720" w:hanging="360"/>
      </w:pPr>
      <w:rPr>
        <w:rFonts w:hint="default"/>
      </w:rPr>
    </w:lvl>
    <w:lvl w:ilvl="1" w:tplc="041B0017">
      <w:start w:val="1"/>
      <w:numFmt w:val="lowerLetter"/>
      <w:lvlText w:val="%2)"/>
      <w:lvlJc w:val="left"/>
      <w:pPr>
        <w:ind w:left="1440" w:hanging="360"/>
      </w:pPr>
      <w:rPr>
        <w:rFonts w:hint="default"/>
      </w:rPr>
    </w:lvl>
    <w:lvl w:ilvl="2" w:tplc="041B0005">
      <w:start w:val="1"/>
      <w:numFmt w:val="bullet"/>
      <w:lvlText w:val=""/>
      <w:lvlJc w:val="left"/>
      <w:pPr>
        <w:ind w:left="2160" w:hanging="360"/>
      </w:pPr>
      <w:rPr>
        <w:rFonts w:ascii="Wingdings" w:hAnsi="Wingdings" w:cs="Wingdings" w:hint="default"/>
      </w:rPr>
    </w:lvl>
    <w:lvl w:ilvl="3" w:tplc="041B0001">
      <w:start w:val="1"/>
      <w:numFmt w:val="bullet"/>
      <w:lvlText w:val=""/>
      <w:lvlJc w:val="left"/>
      <w:pPr>
        <w:ind w:left="2880" w:hanging="360"/>
      </w:pPr>
      <w:rPr>
        <w:rFonts w:ascii="Symbol" w:hAnsi="Symbol" w:cs="Symbol" w:hint="default"/>
      </w:rPr>
    </w:lvl>
    <w:lvl w:ilvl="4" w:tplc="041B0003">
      <w:start w:val="1"/>
      <w:numFmt w:val="bullet"/>
      <w:lvlText w:val="o"/>
      <w:lvlJc w:val="left"/>
      <w:pPr>
        <w:ind w:left="3600" w:hanging="360"/>
      </w:pPr>
      <w:rPr>
        <w:rFonts w:ascii="Courier New" w:hAnsi="Courier New" w:cs="Courier New" w:hint="default"/>
      </w:rPr>
    </w:lvl>
    <w:lvl w:ilvl="5" w:tplc="041B0005">
      <w:start w:val="1"/>
      <w:numFmt w:val="bullet"/>
      <w:lvlText w:val=""/>
      <w:lvlJc w:val="left"/>
      <w:pPr>
        <w:ind w:left="4320" w:hanging="360"/>
      </w:pPr>
      <w:rPr>
        <w:rFonts w:ascii="Wingdings" w:hAnsi="Wingdings" w:cs="Wingdings" w:hint="default"/>
      </w:rPr>
    </w:lvl>
    <w:lvl w:ilvl="6" w:tplc="041B0001">
      <w:start w:val="1"/>
      <w:numFmt w:val="bullet"/>
      <w:lvlText w:val=""/>
      <w:lvlJc w:val="left"/>
      <w:pPr>
        <w:ind w:left="5040" w:hanging="360"/>
      </w:pPr>
      <w:rPr>
        <w:rFonts w:ascii="Symbol" w:hAnsi="Symbol" w:cs="Symbol" w:hint="default"/>
      </w:rPr>
    </w:lvl>
    <w:lvl w:ilvl="7" w:tplc="041B0003">
      <w:start w:val="1"/>
      <w:numFmt w:val="bullet"/>
      <w:lvlText w:val="o"/>
      <w:lvlJc w:val="left"/>
      <w:pPr>
        <w:ind w:left="5760" w:hanging="360"/>
      </w:pPr>
      <w:rPr>
        <w:rFonts w:ascii="Courier New" w:hAnsi="Courier New" w:cs="Courier New" w:hint="default"/>
      </w:rPr>
    </w:lvl>
    <w:lvl w:ilvl="8" w:tplc="041B0005">
      <w:start w:val="1"/>
      <w:numFmt w:val="bullet"/>
      <w:lvlText w:val=""/>
      <w:lvlJc w:val="left"/>
      <w:pPr>
        <w:ind w:left="6480" w:hanging="360"/>
      </w:pPr>
      <w:rPr>
        <w:rFonts w:ascii="Wingdings" w:hAnsi="Wingdings" w:cs="Wingdings" w:hint="default"/>
      </w:rPr>
    </w:lvl>
  </w:abstractNum>
  <w:abstractNum w:abstractNumId="66">
    <w:nsid w:val="0FF017AF"/>
    <w:multiLevelType w:val="hybridMultilevel"/>
    <w:tmpl w:val="A4B8B52E"/>
    <w:lvl w:ilvl="0" w:tplc="041B0017">
      <w:start w:val="1"/>
      <w:numFmt w:val="lowerLetter"/>
      <w:lvlText w:val="%1)"/>
      <w:lvlJc w:val="left"/>
      <w:pPr>
        <w:ind w:left="720" w:hanging="360"/>
      </w:pPr>
      <w:rPr>
        <w:rFonts w:hint="default"/>
      </w:rPr>
    </w:lvl>
    <w:lvl w:ilvl="1" w:tplc="041B0019">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67">
    <w:nsid w:val="100D6A85"/>
    <w:multiLevelType w:val="hybridMultilevel"/>
    <w:tmpl w:val="D4EC08D6"/>
    <w:lvl w:ilvl="0" w:tplc="C0C0229A">
      <w:start w:val="15"/>
      <w:numFmt w:val="bullet"/>
      <w:lvlText w:val="-"/>
      <w:lvlJc w:val="left"/>
      <w:pPr>
        <w:ind w:left="720" w:hanging="360"/>
      </w:pPr>
      <w:rPr>
        <w:rFonts w:ascii="Calibri" w:eastAsia="Calibri" w:hAnsi="Calibri" w:cs="Times New Roman"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68">
    <w:nsid w:val="108872CA"/>
    <w:multiLevelType w:val="hybridMultilevel"/>
    <w:tmpl w:val="1EC60FAC"/>
    <w:lvl w:ilvl="0" w:tplc="041B000F">
      <w:start w:val="1"/>
      <w:numFmt w:val="decimal"/>
      <w:lvlText w:val="%1."/>
      <w:lvlJc w:val="left"/>
      <w:pPr>
        <w:ind w:left="720" w:hanging="360"/>
      </w:pPr>
      <w:rPr>
        <w:rFonts w:hint="default"/>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69">
    <w:nsid w:val="10DB5EE5"/>
    <w:multiLevelType w:val="hybridMultilevel"/>
    <w:tmpl w:val="AA00720C"/>
    <w:lvl w:ilvl="0" w:tplc="041B000F">
      <w:start w:val="1"/>
      <w:numFmt w:val="decimal"/>
      <w:lvlText w:val="%1."/>
      <w:lvlJc w:val="left"/>
      <w:pPr>
        <w:ind w:left="720" w:hanging="360"/>
      </w:pPr>
      <w:rPr>
        <w:rFonts w:hint="default"/>
      </w:rPr>
    </w:lvl>
    <w:lvl w:ilvl="1" w:tplc="041B0019">
      <w:start w:val="1"/>
      <w:numFmt w:val="lowerLetter"/>
      <w:lvlText w:val="%2."/>
      <w:lvlJc w:val="left"/>
      <w:pPr>
        <w:ind w:left="1440" w:hanging="360"/>
      </w:pPr>
    </w:lvl>
    <w:lvl w:ilvl="2" w:tplc="041B001B">
      <w:start w:val="1"/>
      <w:numFmt w:val="lowerRoman"/>
      <w:lvlText w:val="%3."/>
      <w:lvlJc w:val="right"/>
      <w:pPr>
        <w:ind w:left="2160" w:hanging="180"/>
      </w:pPr>
    </w:lvl>
    <w:lvl w:ilvl="3" w:tplc="041B000F">
      <w:start w:val="1"/>
      <w:numFmt w:val="decimal"/>
      <w:lvlText w:val="%4."/>
      <w:lvlJc w:val="left"/>
      <w:pPr>
        <w:ind w:left="2880" w:hanging="360"/>
      </w:pPr>
    </w:lvl>
    <w:lvl w:ilvl="4" w:tplc="041B0019">
      <w:start w:val="1"/>
      <w:numFmt w:val="lowerLetter"/>
      <w:lvlText w:val="%5."/>
      <w:lvlJc w:val="left"/>
      <w:pPr>
        <w:ind w:left="3600" w:hanging="360"/>
      </w:pPr>
    </w:lvl>
    <w:lvl w:ilvl="5" w:tplc="041B001B">
      <w:start w:val="1"/>
      <w:numFmt w:val="lowerRoman"/>
      <w:lvlText w:val="%6."/>
      <w:lvlJc w:val="right"/>
      <w:pPr>
        <w:ind w:left="4320" w:hanging="180"/>
      </w:pPr>
    </w:lvl>
    <w:lvl w:ilvl="6" w:tplc="041B000F">
      <w:start w:val="1"/>
      <w:numFmt w:val="decimal"/>
      <w:lvlText w:val="%7."/>
      <w:lvlJc w:val="left"/>
      <w:pPr>
        <w:ind w:left="5040" w:hanging="360"/>
      </w:pPr>
    </w:lvl>
    <w:lvl w:ilvl="7" w:tplc="041B0019">
      <w:start w:val="1"/>
      <w:numFmt w:val="lowerLetter"/>
      <w:lvlText w:val="%8."/>
      <w:lvlJc w:val="left"/>
      <w:pPr>
        <w:ind w:left="5760" w:hanging="360"/>
      </w:pPr>
    </w:lvl>
    <w:lvl w:ilvl="8" w:tplc="041B001B">
      <w:start w:val="1"/>
      <w:numFmt w:val="lowerRoman"/>
      <w:lvlText w:val="%9."/>
      <w:lvlJc w:val="right"/>
      <w:pPr>
        <w:ind w:left="6480" w:hanging="180"/>
      </w:pPr>
    </w:lvl>
  </w:abstractNum>
  <w:abstractNum w:abstractNumId="70">
    <w:nsid w:val="11216201"/>
    <w:multiLevelType w:val="hybridMultilevel"/>
    <w:tmpl w:val="783C0888"/>
    <w:lvl w:ilvl="0" w:tplc="FFFFFFFF">
      <w:numFmt w:val="bullet"/>
      <w:lvlText w:val="-"/>
      <w:lvlJc w:val="left"/>
      <w:pPr>
        <w:ind w:left="720" w:hanging="360"/>
      </w:pPr>
      <w:rPr>
        <w:rFonts w:ascii="Arial" w:eastAsia="Times New Roman" w:hAnsi="Arial" w:cs="Times New Roman"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71">
    <w:nsid w:val="115D5CE9"/>
    <w:multiLevelType w:val="hybridMultilevel"/>
    <w:tmpl w:val="1EF6146A"/>
    <w:lvl w:ilvl="0" w:tplc="8D4C07C2">
      <w:start w:val="1"/>
      <w:numFmt w:val="bullet"/>
      <w:lvlText w:val=""/>
      <w:lvlJc w:val="left"/>
      <w:pPr>
        <w:tabs>
          <w:tab w:val="num" w:pos="360"/>
        </w:tabs>
        <w:ind w:left="360" w:hanging="360"/>
      </w:pPr>
      <w:rPr>
        <w:rFonts w:ascii="Wingdings" w:hAnsi="Wingdings" w:hint="default"/>
        <w:color w:val="auto"/>
      </w:rPr>
    </w:lvl>
    <w:lvl w:ilvl="1" w:tplc="041B0003" w:tentative="1">
      <w:start w:val="1"/>
      <w:numFmt w:val="bullet"/>
      <w:lvlText w:val="o"/>
      <w:lvlJc w:val="left"/>
      <w:pPr>
        <w:tabs>
          <w:tab w:val="num" w:pos="1440"/>
        </w:tabs>
        <w:ind w:left="1440" w:hanging="360"/>
      </w:pPr>
      <w:rPr>
        <w:rFonts w:ascii="Courier New" w:hAnsi="Courier New" w:cs="Courier New" w:hint="default"/>
      </w:rPr>
    </w:lvl>
    <w:lvl w:ilvl="2" w:tplc="041B0005" w:tentative="1">
      <w:start w:val="1"/>
      <w:numFmt w:val="bullet"/>
      <w:lvlText w:val=""/>
      <w:lvlJc w:val="left"/>
      <w:pPr>
        <w:tabs>
          <w:tab w:val="num" w:pos="2160"/>
        </w:tabs>
        <w:ind w:left="2160" w:hanging="360"/>
      </w:pPr>
      <w:rPr>
        <w:rFonts w:ascii="Wingdings" w:hAnsi="Wingdings" w:hint="default"/>
      </w:rPr>
    </w:lvl>
    <w:lvl w:ilvl="3" w:tplc="041B0001" w:tentative="1">
      <w:start w:val="1"/>
      <w:numFmt w:val="bullet"/>
      <w:lvlText w:val=""/>
      <w:lvlJc w:val="left"/>
      <w:pPr>
        <w:tabs>
          <w:tab w:val="num" w:pos="2880"/>
        </w:tabs>
        <w:ind w:left="2880" w:hanging="360"/>
      </w:pPr>
      <w:rPr>
        <w:rFonts w:ascii="Symbol" w:hAnsi="Symbol" w:hint="default"/>
      </w:rPr>
    </w:lvl>
    <w:lvl w:ilvl="4" w:tplc="041B0003" w:tentative="1">
      <w:start w:val="1"/>
      <w:numFmt w:val="bullet"/>
      <w:lvlText w:val="o"/>
      <w:lvlJc w:val="left"/>
      <w:pPr>
        <w:tabs>
          <w:tab w:val="num" w:pos="3600"/>
        </w:tabs>
        <w:ind w:left="3600" w:hanging="360"/>
      </w:pPr>
      <w:rPr>
        <w:rFonts w:ascii="Courier New" w:hAnsi="Courier New" w:cs="Courier New" w:hint="default"/>
      </w:rPr>
    </w:lvl>
    <w:lvl w:ilvl="5" w:tplc="041B0005" w:tentative="1">
      <w:start w:val="1"/>
      <w:numFmt w:val="bullet"/>
      <w:lvlText w:val=""/>
      <w:lvlJc w:val="left"/>
      <w:pPr>
        <w:tabs>
          <w:tab w:val="num" w:pos="4320"/>
        </w:tabs>
        <w:ind w:left="4320" w:hanging="360"/>
      </w:pPr>
      <w:rPr>
        <w:rFonts w:ascii="Wingdings" w:hAnsi="Wingdings" w:hint="default"/>
      </w:rPr>
    </w:lvl>
    <w:lvl w:ilvl="6" w:tplc="041B0001" w:tentative="1">
      <w:start w:val="1"/>
      <w:numFmt w:val="bullet"/>
      <w:lvlText w:val=""/>
      <w:lvlJc w:val="left"/>
      <w:pPr>
        <w:tabs>
          <w:tab w:val="num" w:pos="5040"/>
        </w:tabs>
        <w:ind w:left="5040" w:hanging="360"/>
      </w:pPr>
      <w:rPr>
        <w:rFonts w:ascii="Symbol" w:hAnsi="Symbol" w:hint="default"/>
      </w:rPr>
    </w:lvl>
    <w:lvl w:ilvl="7" w:tplc="041B0003" w:tentative="1">
      <w:start w:val="1"/>
      <w:numFmt w:val="bullet"/>
      <w:lvlText w:val="o"/>
      <w:lvlJc w:val="left"/>
      <w:pPr>
        <w:tabs>
          <w:tab w:val="num" w:pos="5760"/>
        </w:tabs>
        <w:ind w:left="5760" w:hanging="360"/>
      </w:pPr>
      <w:rPr>
        <w:rFonts w:ascii="Courier New" w:hAnsi="Courier New" w:cs="Courier New" w:hint="default"/>
      </w:rPr>
    </w:lvl>
    <w:lvl w:ilvl="8" w:tplc="041B0005" w:tentative="1">
      <w:start w:val="1"/>
      <w:numFmt w:val="bullet"/>
      <w:lvlText w:val=""/>
      <w:lvlJc w:val="left"/>
      <w:pPr>
        <w:tabs>
          <w:tab w:val="num" w:pos="6480"/>
        </w:tabs>
        <w:ind w:left="6480" w:hanging="360"/>
      </w:pPr>
      <w:rPr>
        <w:rFonts w:ascii="Wingdings" w:hAnsi="Wingdings" w:hint="default"/>
      </w:rPr>
    </w:lvl>
  </w:abstractNum>
  <w:abstractNum w:abstractNumId="72">
    <w:nsid w:val="116E54A2"/>
    <w:multiLevelType w:val="hybridMultilevel"/>
    <w:tmpl w:val="314A3470"/>
    <w:lvl w:ilvl="0" w:tplc="041B0017">
      <w:start w:val="1"/>
      <w:numFmt w:val="lowerLetter"/>
      <w:lvlText w:val="%1)"/>
      <w:lvlJc w:val="left"/>
      <w:pPr>
        <w:tabs>
          <w:tab w:val="num" w:pos="720"/>
        </w:tabs>
        <w:ind w:left="720" w:hanging="360"/>
      </w:pPr>
      <w:rPr>
        <w:rFonts w:hint="default"/>
      </w:rPr>
    </w:lvl>
    <w:lvl w:ilvl="1" w:tplc="041B0003">
      <w:start w:val="1"/>
      <w:numFmt w:val="bullet"/>
      <w:lvlText w:val="o"/>
      <w:lvlJc w:val="left"/>
      <w:pPr>
        <w:tabs>
          <w:tab w:val="num" w:pos="1440"/>
        </w:tabs>
        <w:ind w:left="1440" w:hanging="360"/>
      </w:pPr>
      <w:rPr>
        <w:rFonts w:ascii="Courier New" w:hAnsi="Courier New" w:cs="Courier New" w:hint="default"/>
      </w:rPr>
    </w:lvl>
    <w:lvl w:ilvl="2" w:tplc="041B0005">
      <w:start w:val="1"/>
      <w:numFmt w:val="bullet"/>
      <w:lvlText w:val=""/>
      <w:lvlJc w:val="left"/>
      <w:pPr>
        <w:tabs>
          <w:tab w:val="num" w:pos="2160"/>
        </w:tabs>
        <w:ind w:left="2160" w:hanging="360"/>
      </w:pPr>
      <w:rPr>
        <w:rFonts w:ascii="Wingdings" w:hAnsi="Wingdings" w:cs="Wingdings" w:hint="default"/>
      </w:rPr>
    </w:lvl>
    <w:lvl w:ilvl="3" w:tplc="041B0001">
      <w:start w:val="1"/>
      <w:numFmt w:val="bullet"/>
      <w:lvlText w:val=""/>
      <w:lvlJc w:val="left"/>
      <w:pPr>
        <w:tabs>
          <w:tab w:val="num" w:pos="2880"/>
        </w:tabs>
        <w:ind w:left="2880" w:hanging="360"/>
      </w:pPr>
      <w:rPr>
        <w:rFonts w:ascii="Symbol" w:hAnsi="Symbol" w:cs="Symbol" w:hint="default"/>
      </w:rPr>
    </w:lvl>
    <w:lvl w:ilvl="4" w:tplc="041B0003">
      <w:start w:val="1"/>
      <w:numFmt w:val="bullet"/>
      <w:lvlText w:val="o"/>
      <w:lvlJc w:val="left"/>
      <w:pPr>
        <w:tabs>
          <w:tab w:val="num" w:pos="3600"/>
        </w:tabs>
        <w:ind w:left="3600" w:hanging="360"/>
      </w:pPr>
      <w:rPr>
        <w:rFonts w:ascii="Courier New" w:hAnsi="Courier New" w:cs="Courier New" w:hint="default"/>
      </w:rPr>
    </w:lvl>
    <w:lvl w:ilvl="5" w:tplc="041B0005">
      <w:start w:val="1"/>
      <w:numFmt w:val="bullet"/>
      <w:lvlText w:val=""/>
      <w:lvlJc w:val="left"/>
      <w:pPr>
        <w:tabs>
          <w:tab w:val="num" w:pos="4320"/>
        </w:tabs>
        <w:ind w:left="4320" w:hanging="360"/>
      </w:pPr>
      <w:rPr>
        <w:rFonts w:ascii="Wingdings" w:hAnsi="Wingdings" w:cs="Wingdings" w:hint="default"/>
      </w:rPr>
    </w:lvl>
    <w:lvl w:ilvl="6" w:tplc="041B0001">
      <w:start w:val="1"/>
      <w:numFmt w:val="bullet"/>
      <w:lvlText w:val=""/>
      <w:lvlJc w:val="left"/>
      <w:pPr>
        <w:tabs>
          <w:tab w:val="num" w:pos="5040"/>
        </w:tabs>
        <w:ind w:left="5040" w:hanging="360"/>
      </w:pPr>
      <w:rPr>
        <w:rFonts w:ascii="Symbol" w:hAnsi="Symbol" w:cs="Symbol" w:hint="default"/>
      </w:rPr>
    </w:lvl>
    <w:lvl w:ilvl="7" w:tplc="041B0003">
      <w:start w:val="1"/>
      <w:numFmt w:val="bullet"/>
      <w:lvlText w:val="o"/>
      <w:lvlJc w:val="left"/>
      <w:pPr>
        <w:tabs>
          <w:tab w:val="num" w:pos="5760"/>
        </w:tabs>
        <w:ind w:left="5760" w:hanging="360"/>
      </w:pPr>
      <w:rPr>
        <w:rFonts w:ascii="Courier New" w:hAnsi="Courier New" w:cs="Courier New" w:hint="default"/>
      </w:rPr>
    </w:lvl>
    <w:lvl w:ilvl="8" w:tplc="041B0005">
      <w:start w:val="1"/>
      <w:numFmt w:val="bullet"/>
      <w:lvlText w:val=""/>
      <w:lvlJc w:val="left"/>
      <w:pPr>
        <w:tabs>
          <w:tab w:val="num" w:pos="6480"/>
        </w:tabs>
        <w:ind w:left="6480" w:hanging="360"/>
      </w:pPr>
      <w:rPr>
        <w:rFonts w:ascii="Wingdings" w:hAnsi="Wingdings" w:cs="Wingdings" w:hint="default"/>
      </w:rPr>
    </w:lvl>
  </w:abstractNum>
  <w:abstractNum w:abstractNumId="73">
    <w:nsid w:val="11A34F7A"/>
    <w:multiLevelType w:val="multilevel"/>
    <w:tmpl w:val="6DD2884A"/>
    <w:numStyleLink w:val="Aktulnyzoznam1"/>
  </w:abstractNum>
  <w:abstractNum w:abstractNumId="74">
    <w:nsid w:val="11A50E57"/>
    <w:multiLevelType w:val="multilevel"/>
    <w:tmpl w:val="6DD2884A"/>
    <w:numStyleLink w:val="Aktulnyzoznam1"/>
  </w:abstractNum>
  <w:abstractNum w:abstractNumId="75">
    <w:nsid w:val="11BA3139"/>
    <w:multiLevelType w:val="hybridMultilevel"/>
    <w:tmpl w:val="E620D960"/>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76">
    <w:nsid w:val="11D019D1"/>
    <w:multiLevelType w:val="hybridMultilevel"/>
    <w:tmpl w:val="46BAA35E"/>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77">
    <w:nsid w:val="14344341"/>
    <w:multiLevelType w:val="hybridMultilevel"/>
    <w:tmpl w:val="D15C40E8"/>
    <w:lvl w:ilvl="0" w:tplc="D968098C">
      <w:start w:val="5"/>
      <w:numFmt w:val="bullet"/>
      <w:lvlText w:val="-"/>
      <w:lvlJc w:val="left"/>
      <w:pPr>
        <w:ind w:left="720" w:hanging="360"/>
      </w:pPr>
      <w:rPr>
        <w:rFonts w:ascii="Calibri" w:eastAsia="Calibri" w:hAnsi="Calibri" w:cs="Calibri"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78">
    <w:nsid w:val="14EA0288"/>
    <w:multiLevelType w:val="hybridMultilevel"/>
    <w:tmpl w:val="952AE39A"/>
    <w:lvl w:ilvl="0" w:tplc="FFFFFFFF">
      <w:numFmt w:val="bullet"/>
      <w:lvlText w:val="-"/>
      <w:lvlJc w:val="left"/>
      <w:pPr>
        <w:ind w:left="1429" w:hanging="360"/>
      </w:pPr>
      <w:rPr>
        <w:rFonts w:ascii="Arial" w:eastAsia="Times New Roman" w:hAnsi="Arial" w:cs="Times New Roman" w:hint="default"/>
      </w:rPr>
    </w:lvl>
    <w:lvl w:ilvl="1" w:tplc="041B0003" w:tentative="1">
      <w:start w:val="1"/>
      <w:numFmt w:val="bullet"/>
      <w:lvlText w:val="o"/>
      <w:lvlJc w:val="left"/>
      <w:pPr>
        <w:ind w:left="2149" w:hanging="360"/>
      </w:pPr>
      <w:rPr>
        <w:rFonts w:ascii="Courier New" w:hAnsi="Courier New" w:cs="Courier New" w:hint="default"/>
      </w:rPr>
    </w:lvl>
    <w:lvl w:ilvl="2" w:tplc="041B0005" w:tentative="1">
      <w:start w:val="1"/>
      <w:numFmt w:val="bullet"/>
      <w:lvlText w:val=""/>
      <w:lvlJc w:val="left"/>
      <w:pPr>
        <w:ind w:left="2869" w:hanging="360"/>
      </w:pPr>
      <w:rPr>
        <w:rFonts w:ascii="Wingdings" w:hAnsi="Wingdings" w:hint="default"/>
      </w:rPr>
    </w:lvl>
    <w:lvl w:ilvl="3" w:tplc="041B0001" w:tentative="1">
      <w:start w:val="1"/>
      <w:numFmt w:val="bullet"/>
      <w:lvlText w:val=""/>
      <w:lvlJc w:val="left"/>
      <w:pPr>
        <w:ind w:left="3589" w:hanging="360"/>
      </w:pPr>
      <w:rPr>
        <w:rFonts w:ascii="Symbol" w:hAnsi="Symbol" w:hint="default"/>
      </w:rPr>
    </w:lvl>
    <w:lvl w:ilvl="4" w:tplc="041B0003" w:tentative="1">
      <w:start w:val="1"/>
      <w:numFmt w:val="bullet"/>
      <w:lvlText w:val="o"/>
      <w:lvlJc w:val="left"/>
      <w:pPr>
        <w:ind w:left="4309" w:hanging="360"/>
      </w:pPr>
      <w:rPr>
        <w:rFonts w:ascii="Courier New" w:hAnsi="Courier New" w:cs="Courier New" w:hint="default"/>
      </w:rPr>
    </w:lvl>
    <w:lvl w:ilvl="5" w:tplc="041B0005" w:tentative="1">
      <w:start w:val="1"/>
      <w:numFmt w:val="bullet"/>
      <w:lvlText w:val=""/>
      <w:lvlJc w:val="left"/>
      <w:pPr>
        <w:ind w:left="5029" w:hanging="360"/>
      </w:pPr>
      <w:rPr>
        <w:rFonts w:ascii="Wingdings" w:hAnsi="Wingdings" w:hint="default"/>
      </w:rPr>
    </w:lvl>
    <w:lvl w:ilvl="6" w:tplc="041B0001" w:tentative="1">
      <w:start w:val="1"/>
      <w:numFmt w:val="bullet"/>
      <w:lvlText w:val=""/>
      <w:lvlJc w:val="left"/>
      <w:pPr>
        <w:ind w:left="5749" w:hanging="360"/>
      </w:pPr>
      <w:rPr>
        <w:rFonts w:ascii="Symbol" w:hAnsi="Symbol" w:hint="default"/>
      </w:rPr>
    </w:lvl>
    <w:lvl w:ilvl="7" w:tplc="041B0003" w:tentative="1">
      <w:start w:val="1"/>
      <w:numFmt w:val="bullet"/>
      <w:lvlText w:val="o"/>
      <w:lvlJc w:val="left"/>
      <w:pPr>
        <w:ind w:left="6469" w:hanging="360"/>
      </w:pPr>
      <w:rPr>
        <w:rFonts w:ascii="Courier New" w:hAnsi="Courier New" w:cs="Courier New" w:hint="default"/>
      </w:rPr>
    </w:lvl>
    <w:lvl w:ilvl="8" w:tplc="041B0005" w:tentative="1">
      <w:start w:val="1"/>
      <w:numFmt w:val="bullet"/>
      <w:lvlText w:val=""/>
      <w:lvlJc w:val="left"/>
      <w:pPr>
        <w:ind w:left="7189" w:hanging="360"/>
      </w:pPr>
      <w:rPr>
        <w:rFonts w:ascii="Wingdings" w:hAnsi="Wingdings" w:hint="default"/>
      </w:rPr>
    </w:lvl>
  </w:abstractNum>
  <w:abstractNum w:abstractNumId="79">
    <w:nsid w:val="15231077"/>
    <w:multiLevelType w:val="hybridMultilevel"/>
    <w:tmpl w:val="202ED604"/>
    <w:lvl w:ilvl="0" w:tplc="041B0017">
      <w:start w:val="1"/>
      <w:numFmt w:val="lowerLetter"/>
      <w:lvlText w:val="%1)"/>
      <w:lvlJc w:val="left"/>
      <w:pPr>
        <w:ind w:left="720" w:hanging="360"/>
      </w:p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80">
    <w:nsid w:val="15661595"/>
    <w:multiLevelType w:val="hybridMultilevel"/>
    <w:tmpl w:val="450EAFE6"/>
    <w:lvl w:ilvl="0" w:tplc="8D4C07C2">
      <w:start w:val="1"/>
      <w:numFmt w:val="bullet"/>
      <w:lvlText w:val=""/>
      <w:lvlJc w:val="left"/>
      <w:pPr>
        <w:tabs>
          <w:tab w:val="num" w:pos="360"/>
        </w:tabs>
        <w:ind w:left="360" w:hanging="360"/>
      </w:pPr>
      <w:rPr>
        <w:rFonts w:ascii="Wingdings" w:hAnsi="Wingdings" w:hint="default"/>
        <w:color w:val="auto"/>
      </w:rPr>
    </w:lvl>
    <w:lvl w:ilvl="1" w:tplc="041B0003" w:tentative="1">
      <w:start w:val="1"/>
      <w:numFmt w:val="bullet"/>
      <w:lvlText w:val="o"/>
      <w:lvlJc w:val="left"/>
      <w:pPr>
        <w:tabs>
          <w:tab w:val="num" w:pos="1440"/>
        </w:tabs>
        <w:ind w:left="1440" w:hanging="360"/>
      </w:pPr>
      <w:rPr>
        <w:rFonts w:ascii="Courier New" w:hAnsi="Courier New" w:cs="Courier New" w:hint="default"/>
      </w:rPr>
    </w:lvl>
    <w:lvl w:ilvl="2" w:tplc="041B0005" w:tentative="1">
      <w:start w:val="1"/>
      <w:numFmt w:val="bullet"/>
      <w:lvlText w:val=""/>
      <w:lvlJc w:val="left"/>
      <w:pPr>
        <w:tabs>
          <w:tab w:val="num" w:pos="2160"/>
        </w:tabs>
        <w:ind w:left="2160" w:hanging="360"/>
      </w:pPr>
      <w:rPr>
        <w:rFonts w:ascii="Wingdings" w:hAnsi="Wingdings" w:hint="default"/>
      </w:rPr>
    </w:lvl>
    <w:lvl w:ilvl="3" w:tplc="041B0001" w:tentative="1">
      <w:start w:val="1"/>
      <w:numFmt w:val="bullet"/>
      <w:lvlText w:val=""/>
      <w:lvlJc w:val="left"/>
      <w:pPr>
        <w:tabs>
          <w:tab w:val="num" w:pos="2880"/>
        </w:tabs>
        <w:ind w:left="2880" w:hanging="360"/>
      </w:pPr>
      <w:rPr>
        <w:rFonts w:ascii="Symbol" w:hAnsi="Symbol" w:hint="default"/>
      </w:rPr>
    </w:lvl>
    <w:lvl w:ilvl="4" w:tplc="041B0003" w:tentative="1">
      <w:start w:val="1"/>
      <w:numFmt w:val="bullet"/>
      <w:lvlText w:val="o"/>
      <w:lvlJc w:val="left"/>
      <w:pPr>
        <w:tabs>
          <w:tab w:val="num" w:pos="3600"/>
        </w:tabs>
        <w:ind w:left="3600" w:hanging="360"/>
      </w:pPr>
      <w:rPr>
        <w:rFonts w:ascii="Courier New" w:hAnsi="Courier New" w:cs="Courier New" w:hint="default"/>
      </w:rPr>
    </w:lvl>
    <w:lvl w:ilvl="5" w:tplc="041B0005" w:tentative="1">
      <w:start w:val="1"/>
      <w:numFmt w:val="bullet"/>
      <w:lvlText w:val=""/>
      <w:lvlJc w:val="left"/>
      <w:pPr>
        <w:tabs>
          <w:tab w:val="num" w:pos="4320"/>
        </w:tabs>
        <w:ind w:left="4320" w:hanging="360"/>
      </w:pPr>
      <w:rPr>
        <w:rFonts w:ascii="Wingdings" w:hAnsi="Wingdings" w:hint="default"/>
      </w:rPr>
    </w:lvl>
    <w:lvl w:ilvl="6" w:tplc="041B0001" w:tentative="1">
      <w:start w:val="1"/>
      <w:numFmt w:val="bullet"/>
      <w:lvlText w:val=""/>
      <w:lvlJc w:val="left"/>
      <w:pPr>
        <w:tabs>
          <w:tab w:val="num" w:pos="5040"/>
        </w:tabs>
        <w:ind w:left="5040" w:hanging="360"/>
      </w:pPr>
      <w:rPr>
        <w:rFonts w:ascii="Symbol" w:hAnsi="Symbol" w:hint="default"/>
      </w:rPr>
    </w:lvl>
    <w:lvl w:ilvl="7" w:tplc="041B0003" w:tentative="1">
      <w:start w:val="1"/>
      <w:numFmt w:val="bullet"/>
      <w:lvlText w:val="o"/>
      <w:lvlJc w:val="left"/>
      <w:pPr>
        <w:tabs>
          <w:tab w:val="num" w:pos="5760"/>
        </w:tabs>
        <w:ind w:left="5760" w:hanging="360"/>
      </w:pPr>
      <w:rPr>
        <w:rFonts w:ascii="Courier New" w:hAnsi="Courier New" w:cs="Courier New" w:hint="default"/>
      </w:rPr>
    </w:lvl>
    <w:lvl w:ilvl="8" w:tplc="041B0005" w:tentative="1">
      <w:start w:val="1"/>
      <w:numFmt w:val="bullet"/>
      <w:lvlText w:val=""/>
      <w:lvlJc w:val="left"/>
      <w:pPr>
        <w:tabs>
          <w:tab w:val="num" w:pos="6480"/>
        </w:tabs>
        <w:ind w:left="6480" w:hanging="360"/>
      </w:pPr>
      <w:rPr>
        <w:rFonts w:ascii="Wingdings" w:hAnsi="Wingdings" w:hint="default"/>
      </w:rPr>
    </w:lvl>
  </w:abstractNum>
  <w:abstractNum w:abstractNumId="81">
    <w:nsid w:val="15871708"/>
    <w:multiLevelType w:val="hybridMultilevel"/>
    <w:tmpl w:val="A9D00634"/>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82">
    <w:nsid w:val="15980CBE"/>
    <w:multiLevelType w:val="hybridMultilevel"/>
    <w:tmpl w:val="AAFAA9BE"/>
    <w:lvl w:ilvl="0" w:tplc="E6887FBE">
      <w:start w:val="1"/>
      <w:numFmt w:val="bullet"/>
      <w:lvlText w:val="-"/>
      <w:lvlJc w:val="left"/>
      <w:pPr>
        <w:ind w:left="720" w:hanging="360"/>
      </w:pPr>
      <w:rPr>
        <w:rFonts w:ascii="Calibri" w:eastAsia="Times New Roman" w:hAnsi="Calibri" w:hint="default"/>
      </w:rPr>
    </w:lvl>
    <w:lvl w:ilvl="1" w:tplc="041B0003">
      <w:start w:val="1"/>
      <w:numFmt w:val="bullet"/>
      <w:lvlText w:val="o"/>
      <w:lvlJc w:val="left"/>
      <w:pPr>
        <w:ind w:left="1440" w:hanging="360"/>
      </w:pPr>
      <w:rPr>
        <w:rFonts w:ascii="Courier New" w:hAnsi="Courier New" w:hint="default"/>
      </w:rPr>
    </w:lvl>
    <w:lvl w:ilvl="2" w:tplc="041B0005">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83">
    <w:nsid w:val="159B7F2B"/>
    <w:multiLevelType w:val="hybridMultilevel"/>
    <w:tmpl w:val="E4A2CD3A"/>
    <w:lvl w:ilvl="0" w:tplc="041B000F">
      <w:start w:val="1"/>
      <w:numFmt w:val="decimal"/>
      <w:lvlText w:val="%1."/>
      <w:lvlJc w:val="left"/>
      <w:pPr>
        <w:ind w:left="360" w:hanging="360"/>
      </w:pPr>
    </w:lvl>
    <w:lvl w:ilvl="1" w:tplc="041B0019" w:tentative="1">
      <w:start w:val="1"/>
      <w:numFmt w:val="lowerLetter"/>
      <w:lvlText w:val="%2."/>
      <w:lvlJc w:val="left"/>
      <w:pPr>
        <w:ind w:left="1080" w:hanging="360"/>
      </w:pPr>
    </w:lvl>
    <w:lvl w:ilvl="2" w:tplc="041B001B" w:tentative="1">
      <w:start w:val="1"/>
      <w:numFmt w:val="lowerRoman"/>
      <w:lvlText w:val="%3."/>
      <w:lvlJc w:val="right"/>
      <w:pPr>
        <w:ind w:left="1800" w:hanging="180"/>
      </w:pPr>
    </w:lvl>
    <w:lvl w:ilvl="3" w:tplc="041B000F" w:tentative="1">
      <w:start w:val="1"/>
      <w:numFmt w:val="decimal"/>
      <w:lvlText w:val="%4."/>
      <w:lvlJc w:val="left"/>
      <w:pPr>
        <w:ind w:left="2520" w:hanging="360"/>
      </w:pPr>
    </w:lvl>
    <w:lvl w:ilvl="4" w:tplc="041B0019" w:tentative="1">
      <w:start w:val="1"/>
      <w:numFmt w:val="lowerLetter"/>
      <w:lvlText w:val="%5."/>
      <w:lvlJc w:val="left"/>
      <w:pPr>
        <w:ind w:left="3240" w:hanging="360"/>
      </w:pPr>
    </w:lvl>
    <w:lvl w:ilvl="5" w:tplc="041B001B" w:tentative="1">
      <w:start w:val="1"/>
      <w:numFmt w:val="lowerRoman"/>
      <w:lvlText w:val="%6."/>
      <w:lvlJc w:val="right"/>
      <w:pPr>
        <w:ind w:left="3960" w:hanging="180"/>
      </w:pPr>
    </w:lvl>
    <w:lvl w:ilvl="6" w:tplc="041B000F" w:tentative="1">
      <w:start w:val="1"/>
      <w:numFmt w:val="decimal"/>
      <w:lvlText w:val="%7."/>
      <w:lvlJc w:val="left"/>
      <w:pPr>
        <w:ind w:left="4680" w:hanging="360"/>
      </w:pPr>
    </w:lvl>
    <w:lvl w:ilvl="7" w:tplc="041B0019" w:tentative="1">
      <w:start w:val="1"/>
      <w:numFmt w:val="lowerLetter"/>
      <w:lvlText w:val="%8."/>
      <w:lvlJc w:val="left"/>
      <w:pPr>
        <w:ind w:left="5400" w:hanging="360"/>
      </w:pPr>
    </w:lvl>
    <w:lvl w:ilvl="8" w:tplc="041B001B" w:tentative="1">
      <w:start w:val="1"/>
      <w:numFmt w:val="lowerRoman"/>
      <w:lvlText w:val="%9."/>
      <w:lvlJc w:val="right"/>
      <w:pPr>
        <w:ind w:left="6120" w:hanging="180"/>
      </w:pPr>
    </w:lvl>
  </w:abstractNum>
  <w:abstractNum w:abstractNumId="84">
    <w:nsid w:val="15E7618B"/>
    <w:multiLevelType w:val="hybridMultilevel"/>
    <w:tmpl w:val="D9DE9D50"/>
    <w:lvl w:ilvl="0" w:tplc="2466B24E">
      <w:start w:val="1"/>
      <w:numFmt w:val="decimal"/>
      <w:lvlText w:val="%1."/>
      <w:lvlJc w:val="center"/>
      <w:pPr>
        <w:ind w:left="720" w:hanging="360"/>
      </w:pPr>
      <w:rPr>
        <w:rFonts w:hint="default"/>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85">
    <w:nsid w:val="16476642"/>
    <w:multiLevelType w:val="hybridMultilevel"/>
    <w:tmpl w:val="9014BB7C"/>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86">
    <w:nsid w:val="164F17CE"/>
    <w:multiLevelType w:val="hybridMultilevel"/>
    <w:tmpl w:val="85F0D23E"/>
    <w:lvl w:ilvl="0" w:tplc="D968098C">
      <w:start w:val="5"/>
      <w:numFmt w:val="bullet"/>
      <w:lvlText w:val="-"/>
      <w:lvlJc w:val="left"/>
      <w:pPr>
        <w:ind w:left="720" w:hanging="360"/>
      </w:pPr>
      <w:rPr>
        <w:rFonts w:ascii="Calibri" w:eastAsia="Calibri" w:hAnsi="Calibri" w:cs="Calibri"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87">
    <w:nsid w:val="16FD1958"/>
    <w:multiLevelType w:val="hybridMultilevel"/>
    <w:tmpl w:val="F9F00A68"/>
    <w:lvl w:ilvl="0" w:tplc="041B0001">
      <w:start w:val="1"/>
      <w:numFmt w:val="bullet"/>
      <w:lvlText w:val=""/>
      <w:lvlJc w:val="left"/>
      <w:pPr>
        <w:ind w:left="360" w:hanging="360"/>
      </w:pPr>
      <w:rPr>
        <w:rFonts w:ascii="Symbol" w:hAnsi="Symbol" w:hint="default"/>
      </w:rPr>
    </w:lvl>
    <w:lvl w:ilvl="1" w:tplc="041B0019">
      <w:start w:val="1"/>
      <w:numFmt w:val="lowerLetter"/>
      <w:lvlText w:val="%2."/>
      <w:lvlJc w:val="left"/>
      <w:pPr>
        <w:ind w:left="1080" w:hanging="360"/>
      </w:pPr>
    </w:lvl>
    <w:lvl w:ilvl="2" w:tplc="041B001B">
      <w:start w:val="1"/>
      <w:numFmt w:val="lowerRoman"/>
      <w:lvlText w:val="%3."/>
      <w:lvlJc w:val="right"/>
      <w:pPr>
        <w:ind w:left="1800" w:hanging="180"/>
      </w:pPr>
    </w:lvl>
    <w:lvl w:ilvl="3" w:tplc="041B000F">
      <w:start w:val="1"/>
      <w:numFmt w:val="decimal"/>
      <w:lvlText w:val="%4."/>
      <w:lvlJc w:val="left"/>
      <w:pPr>
        <w:ind w:left="2520" w:hanging="360"/>
      </w:pPr>
    </w:lvl>
    <w:lvl w:ilvl="4" w:tplc="041B0019">
      <w:start w:val="1"/>
      <w:numFmt w:val="lowerLetter"/>
      <w:lvlText w:val="%5."/>
      <w:lvlJc w:val="left"/>
      <w:pPr>
        <w:ind w:left="3240" w:hanging="360"/>
      </w:pPr>
    </w:lvl>
    <w:lvl w:ilvl="5" w:tplc="041B001B">
      <w:start w:val="1"/>
      <w:numFmt w:val="lowerRoman"/>
      <w:lvlText w:val="%6."/>
      <w:lvlJc w:val="right"/>
      <w:pPr>
        <w:ind w:left="3960" w:hanging="180"/>
      </w:pPr>
    </w:lvl>
    <w:lvl w:ilvl="6" w:tplc="041B000F">
      <w:start w:val="1"/>
      <w:numFmt w:val="decimal"/>
      <w:lvlText w:val="%7."/>
      <w:lvlJc w:val="left"/>
      <w:pPr>
        <w:ind w:left="4680" w:hanging="360"/>
      </w:pPr>
    </w:lvl>
    <w:lvl w:ilvl="7" w:tplc="041B0019">
      <w:start w:val="1"/>
      <w:numFmt w:val="lowerLetter"/>
      <w:lvlText w:val="%8."/>
      <w:lvlJc w:val="left"/>
      <w:pPr>
        <w:ind w:left="5400" w:hanging="360"/>
      </w:pPr>
    </w:lvl>
    <w:lvl w:ilvl="8" w:tplc="041B001B">
      <w:start w:val="1"/>
      <w:numFmt w:val="lowerRoman"/>
      <w:lvlText w:val="%9."/>
      <w:lvlJc w:val="right"/>
      <w:pPr>
        <w:ind w:left="6120" w:hanging="180"/>
      </w:pPr>
    </w:lvl>
  </w:abstractNum>
  <w:abstractNum w:abstractNumId="88">
    <w:nsid w:val="17EA1F3D"/>
    <w:multiLevelType w:val="hybridMultilevel"/>
    <w:tmpl w:val="5ED6C76E"/>
    <w:lvl w:ilvl="0" w:tplc="12128602">
      <w:start w:val="8"/>
      <w:numFmt w:val="bullet"/>
      <w:lvlText w:val="-"/>
      <w:lvlJc w:val="left"/>
      <w:pPr>
        <w:ind w:left="720" w:hanging="360"/>
      </w:pPr>
      <w:rPr>
        <w:rFonts w:ascii="Times New Roman" w:eastAsia="Times New Roman" w:hAnsi="Times New Roman"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89">
    <w:nsid w:val="17EA255B"/>
    <w:multiLevelType w:val="hybridMultilevel"/>
    <w:tmpl w:val="B7048796"/>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90">
    <w:nsid w:val="180B07CE"/>
    <w:multiLevelType w:val="hybridMultilevel"/>
    <w:tmpl w:val="885476B8"/>
    <w:lvl w:ilvl="0" w:tplc="86362E52">
      <w:start w:val="3"/>
      <w:numFmt w:val="bullet"/>
      <w:lvlText w:val="-"/>
      <w:lvlJc w:val="left"/>
      <w:pPr>
        <w:ind w:left="720" w:hanging="360"/>
      </w:pPr>
      <w:rPr>
        <w:rFonts w:ascii="Times New Roman" w:eastAsia="Times New Roman" w:hAnsi="Times New Roman" w:cs="Times New Roman"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91">
    <w:nsid w:val="182D19FA"/>
    <w:multiLevelType w:val="hybridMultilevel"/>
    <w:tmpl w:val="A4280C62"/>
    <w:lvl w:ilvl="0" w:tplc="1DBAC574">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92">
    <w:nsid w:val="185B1C9A"/>
    <w:multiLevelType w:val="hybridMultilevel"/>
    <w:tmpl w:val="D154395A"/>
    <w:lvl w:ilvl="0" w:tplc="2466B24E">
      <w:start w:val="1"/>
      <w:numFmt w:val="decimal"/>
      <w:lvlText w:val="%1."/>
      <w:lvlJc w:val="center"/>
      <w:pPr>
        <w:ind w:left="720" w:hanging="360"/>
      </w:pPr>
      <w:rPr>
        <w:rFonts w:hint="default"/>
      </w:rPr>
    </w:lvl>
    <w:lvl w:ilvl="1" w:tplc="041B0017">
      <w:start w:val="1"/>
      <w:numFmt w:val="lowerLetter"/>
      <w:lvlText w:val="%2)"/>
      <w:lvlJc w:val="left"/>
      <w:pPr>
        <w:ind w:left="1440" w:hanging="360"/>
      </w:pPr>
      <w:rPr>
        <w:rFonts w:hint="default"/>
      </w:rPr>
    </w:lvl>
    <w:lvl w:ilvl="2" w:tplc="041B0005">
      <w:start w:val="1"/>
      <w:numFmt w:val="bullet"/>
      <w:lvlText w:val=""/>
      <w:lvlJc w:val="left"/>
      <w:pPr>
        <w:ind w:left="2160" w:hanging="360"/>
      </w:pPr>
      <w:rPr>
        <w:rFonts w:ascii="Wingdings" w:hAnsi="Wingdings" w:cs="Wingdings" w:hint="default"/>
      </w:rPr>
    </w:lvl>
    <w:lvl w:ilvl="3" w:tplc="041B0001">
      <w:start w:val="1"/>
      <w:numFmt w:val="bullet"/>
      <w:lvlText w:val=""/>
      <w:lvlJc w:val="left"/>
      <w:pPr>
        <w:ind w:left="2880" w:hanging="360"/>
      </w:pPr>
      <w:rPr>
        <w:rFonts w:ascii="Symbol" w:hAnsi="Symbol" w:cs="Symbol" w:hint="default"/>
      </w:rPr>
    </w:lvl>
    <w:lvl w:ilvl="4" w:tplc="041B0003">
      <w:start w:val="1"/>
      <w:numFmt w:val="bullet"/>
      <w:lvlText w:val="o"/>
      <w:lvlJc w:val="left"/>
      <w:pPr>
        <w:ind w:left="3600" w:hanging="360"/>
      </w:pPr>
      <w:rPr>
        <w:rFonts w:ascii="Courier New" w:hAnsi="Courier New" w:cs="Courier New" w:hint="default"/>
      </w:rPr>
    </w:lvl>
    <w:lvl w:ilvl="5" w:tplc="041B0005">
      <w:start w:val="1"/>
      <w:numFmt w:val="bullet"/>
      <w:lvlText w:val=""/>
      <w:lvlJc w:val="left"/>
      <w:pPr>
        <w:ind w:left="4320" w:hanging="360"/>
      </w:pPr>
      <w:rPr>
        <w:rFonts w:ascii="Wingdings" w:hAnsi="Wingdings" w:cs="Wingdings" w:hint="default"/>
      </w:rPr>
    </w:lvl>
    <w:lvl w:ilvl="6" w:tplc="041B0001">
      <w:start w:val="1"/>
      <w:numFmt w:val="bullet"/>
      <w:lvlText w:val=""/>
      <w:lvlJc w:val="left"/>
      <w:pPr>
        <w:ind w:left="5040" w:hanging="360"/>
      </w:pPr>
      <w:rPr>
        <w:rFonts w:ascii="Symbol" w:hAnsi="Symbol" w:cs="Symbol" w:hint="default"/>
      </w:rPr>
    </w:lvl>
    <w:lvl w:ilvl="7" w:tplc="041B0003">
      <w:start w:val="1"/>
      <w:numFmt w:val="bullet"/>
      <w:lvlText w:val="o"/>
      <w:lvlJc w:val="left"/>
      <w:pPr>
        <w:ind w:left="5760" w:hanging="360"/>
      </w:pPr>
      <w:rPr>
        <w:rFonts w:ascii="Courier New" w:hAnsi="Courier New" w:cs="Courier New" w:hint="default"/>
      </w:rPr>
    </w:lvl>
    <w:lvl w:ilvl="8" w:tplc="041B0005">
      <w:start w:val="1"/>
      <w:numFmt w:val="bullet"/>
      <w:lvlText w:val=""/>
      <w:lvlJc w:val="left"/>
      <w:pPr>
        <w:ind w:left="6480" w:hanging="360"/>
      </w:pPr>
      <w:rPr>
        <w:rFonts w:ascii="Wingdings" w:hAnsi="Wingdings" w:cs="Wingdings" w:hint="default"/>
      </w:rPr>
    </w:lvl>
  </w:abstractNum>
  <w:abstractNum w:abstractNumId="93">
    <w:nsid w:val="18F81EC9"/>
    <w:multiLevelType w:val="hybridMultilevel"/>
    <w:tmpl w:val="61F6B686"/>
    <w:lvl w:ilvl="0" w:tplc="041B0003">
      <w:start w:val="1"/>
      <w:numFmt w:val="bullet"/>
      <w:lvlText w:val="o"/>
      <w:lvlJc w:val="left"/>
      <w:pPr>
        <w:ind w:left="720" w:hanging="360"/>
      </w:pPr>
      <w:rPr>
        <w:rFonts w:ascii="Courier New" w:hAnsi="Courier New" w:cs="Courier New" w:hint="default"/>
      </w:rPr>
    </w:lvl>
    <w:lvl w:ilvl="1" w:tplc="041B0003">
      <w:start w:val="1"/>
      <w:numFmt w:val="bullet"/>
      <w:lvlText w:val="o"/>
      <w:lvlJc w:val="left"/>
      <w:pPr>
        <w:ind w:left="1440" w:hanging="360"/>
      </w:pPr>
      <w:rPr>
        <w:rFonts w:ascii="Courier New" w:hAnsi="Courier New" w:cs="Courier New" w:hint="default"/>
      </w:rPr>
    </w:lvl>
    <w:lvl w:ilvl="2" w:tplc="041B0005">
      <w:start w:val="1"/>
      <w:numFmt w:val="bullet"/>
      <w:lvlText w:val=""/>
      <w:lvlJc w:val="left"/>
      <w:pPr>
        <w:ind w:left="2160" w:hanging="360"/>
      </w:pPr>
      <w:rPr>
        <w:rFonts w:ascii="Wingdings" w:hAnsi="Wingdings" w:hint="default"/>
      </w:rPr>
    </w:lvl>
    <w:lvl w:ilvl="3" w:tplc="041B0001">
      <w:start w:val="1"/>
      <w:numFmt w:val="bullet"/>
      <w:lvlText w:val=""/>
      <w:lvlJc w:val="left"/>
      <w:pPr>
        <w:ind w:left="2880" w:hanging="360"/>
      </w:pPr>
      <w:rPr>
        <w:rFonts w:ascii="Symbol" w:hAnsi="Symbol" w:hint="default"/>
      </w:rPr>
    </w:lvl>
    <w:lvl w:ilvl="4" w:tplc="041B0003">
      <w:start w:val="1"/>
      <w:numFmt w:val="bullet"/>
      <w:lvlText w:val="o"/>
      <w:lvlJc w:val="left"/>
      <w:pPr>
        <w:ind w:left="3600" w:hanging="360"/>
      </w:pPr>
      <w:rPr>
        <w:rFonts w:ascii="Courier New" w:hAnsi="Courier New" w:cs="Courier New" w:hint="default"/>
      </w:rPr>
    </w:lvl>
    <w:lvl w:ilvl="5" w:tplc="041B0005">
      <w:start w:val="1"/>
      <w:numFmt w:val="bullet"/>
      <w:lvlText w:val=""/>
      <w:lvlJc w:val="left"/>
      <w:pPr>
        <w:ind w:left="4320" w:hanging="360"/>
      </w:pPr>
      <w:rPr>
        <w:rFonts w:ascii="Wingdings" w:hAnsi="Wingdings" w:hint="default"/>
      </w:rPr>
    </w:lvl>
    <w:lvl w:ilvl="6" w:tplc="041B0001">
      <w:start w:val="1"/>
      <w:numFmt w:val="bullet"/>
      <w:lvlText w:val=""/>
      <w:lvlJc w:val="left"/>
      <w:pPr>
        <w:ind w:left="5040" w:hanging="360"/>
      </w:pPr>
      <w:rPr>
        <w:rFonts w:ascii="Symbol" w:hAnsi="Symbol" w:hint="default"/>
      </w:rPr>
    </w:lvl>
    <w:lvl w:ilvl="7" w:tplc="041B0003">
      <w:start w:val="1"/>
      <w:numFmt w:val="bullet"/>
      <w:lvlText w:val="o"/>
      <w:lvlJc w:val="left"/>
      <w:pPr>
        <w:ind w:left="5760" w:hanging="360"/>
      </w:pPr>
      <w:rPr>
        <w:rFonts w:ascii="Courier New" w:hAnsi="Courier New" w:cs="Courier New" w:hint="default"/>
      </w:rPr>
    </w:lvl>
    <w:lvl w:ilvl="8" w:tplc="041B0005">
      <w:start w:val="1"/>
      <w:numFmt w:val="bullet"/>
      <w:lvlText w:val=""/>
      <w:lvlJc w:val="left"/>
      <w:pPr>
        <w:ind w:left="6480" w:hanging="360"/>
      </w:pPr>
      <w:rPr>
        <w:rFonts w:ascii="Wingdings" w:hAnsi="Wingdings" w:hint="default"/>
      </w:rPr>
    </w:lvl>
  </w:abstractNum>
  <w:abstractNum w:abstractNumId="94">
    <w:nsid w:val="1956218C"/>
    <w:multiLevelType w:val="hybridMultilevel"/>
    <w:tmpl w:val="633C608C"/>
    <w:lvl w:ilvl="0" w:tplc="041B0001">
      <w:start w:val="1"/>
      <w:numFmt w:val="bullet"/>
      <w:lvlText w:val=""/>
      <w:lvlJc w:val="left"/>
      <w:pPr>
        <w:tabs>
          <w:tab w:val="num" w:pos="720"/>
        </w:tabs>
        <w:ind w:left="720" w:hanging="360"/>
      </w:pPr>
      <w:rPr>
        <w:rFonts w:ascii="Symbol" w:hAnsi="Symbol" w:cs="Symbol" w:hint="default"/>
      </w:rPr>
    </w:lvl>
    <w:lvl w:ilvl="1" w:tplc="041B0003">
      <w:start w:val="1"/>
      <w:numFmt w:val="bullet"/>
      <w:lvlText w:val="o"/>
      <w:lvlJc w:val="left"/>
      <w:pPr>
        <w:tabs>
          <w:tab w:val="num" w:pos="1440"/>
        </w:tabs>
        <w:ind w:left="1440" w:hanging="360"/>
      </w:pPr>
      <w:rPr>
        <w:rFonts w:ascii="Courier New" w:hAnsi="Courier New" w:cs="Courier New" w:hint="default"/>
      </w:rPr>
    </w:lvl>
    <w:lvl w:ilvl="2" w:tplc="041B0005">
      <w:start w:val="1"/>
      <w:numFmt w:val="bullet"/>
      <w:lvlText w:val=""/>
      <w:lvlJc w:val="left"/>
      <w:pPr>
        <w:tabs>
          <w:tab w:val="num" w:pos="2160"/>
        </w:tabs>
        <w:ind w:left="2160" w:hanging="360"/>
      </w:pPr>
      <w:rPr>
        <w:rFonts w:ascii="Wingdings" w:hAnsi="Wingdings" w:cs="Wingdings" w:hint="default"/>
      </w:rPr>
    </w:lvl>
    <w:lvl w:ilvl="3" w:tplc="041B0001">
      <w:start w:val="1"/>
      <w:numFmt w:val="bullet"/>
      <w:lvlText w:val=""/>
      <w:lvlJc w:val="left"/>
      <w:pPr>
        <w:tabs>
          <w:tab w:val="num" w:pos="2880"/>
        </w:tabs>
        <w:ind w:left="2880" w:hanging="360"/>
      </w:pPr>
      <w:rPr>
        <w:rFonts w:ascii="Symbol" w:hAnsi="Symbol" w:cs="Symbol" w:hint="default"/>
      </w:rPr>
    </w:lvl>
    <w:lvl w:ilvl="4" w:tplc="041B0003">
      <w:start w:val="1"/>
      <w:numFmt w:val="bullet"/>
      <w:lvlText w:val="o"/>
      <w:lvlJc w:val="left"/>
      <w:pPr>
        <w:tabs>
          <w:tab w:val="num" w:pos="3600"/>
        </w:tabs>
        <w:ind w:left="3600" w:hanging="360"/>
      </w:pPr>
      <w:rPr>
        <w:rFonts w:ascii="Courier New" w:hAnsi="Courier New" w:cs="Courier New" w:hint="default"/>
      </w:rPr>
    </w:lvl>
    <w:lvl w:ilvl="5" w:tplc="041B0005">
      <w:start w:val="1"/>
      <w:numFmt w:val="bullet"/>
      <w:lvlText w:val=""/>
      <w:lvlJc w:val="left"/>
      <w:pPr>
        <w:tabs>
          <w:tab w:val="num" w:pos="4320"/>
        </w:tabs>
        <w:ind w:left="4320" w:hanging="360"/>
      </w:pPr>
      <w:rPr>
        <w:rFonts w:ascii="Wingdings" w:hAnsi="Wingdings" w:cs="Wingdings" w:hint="default"/>
      </w:rPr>
    </w:lvl>
    <w:lvl w:ilvl="6" w:tplc="041B0001">
      <w:start w:val="1"/>
      <w:numFmt w:val="bullet"/>
      <w:lvlText w:val=""/>
      <w:lvlJc w:val="left"/>
      <w:pPr>
        <w:tabs>
          <w:tab w:val="num" w:pos="5040"/>
        </w:tabs>
        <w:ind w:left="5040" w:hanging="360"/>
      </w:pPr>
      <w:rPr>
        <w:rFonts w:ascii="Symbol" w:hAnsi="Symbol" w:cs="Symbol" w:hint="default"/>
      </w:rPr>
    </w:lvl>
    <w:lvl w:ilvl="7" w:tplc="041B0003">
      <w:start w:val="1"/>
      <w:numFmt w:val="bullet"/>
      <w:lvlText w:val="o"/>
      <w:lvlJc w:val="left"/>
      <w:pPr>
        <w:tabs>
          <w:tab w:val="num" w:pos="5760"/>
        </w:tabs>
        <w:ind w:left="5760" w:hanging="360"/>
      </w:pPr>
      <w:rPr>
        <w:rFonts w:ascii="Courier New" w:hAnsi="Courier New" w:cs="Courier New" w:hint="default"/>
      </w:rPr>
    </w:lvl>
    <w:lvl w:ilvl="8" w:tplc="041B0005">
      <w:start w:val="1"/>
      <w:numFmt w:val="bullet"/>
      <w:lvlText w:val=""/>
      <w:lvlJc w:val="left"/>
      <w:pPr>
        <w:tabs>
          <w:tab w:val="num" w:pos="6480"/>
        </w:tabs>
        <w:ind w:left="6480" w:hanging="360"/>
      </w:pPr>
      <w:rPr>
        <w:rFonts w:ascii="Wingdings" w:hAnsi="Wingdings" w:cs="Wingdings" w:hint="default"/>
      </w:rPr>
    </w:lvl>
  </w:abstractNum>
  <w:abstractNum w:abstractNumId="95">
    <w:nsid w:val="19614315"/>
    <w:multiLevelType w:val="multilevel"/>
    <w:tmpl w:val="7A1AAC70"/>
    <w:lvl w:ilvl="0">
      <w:numFmt w:val="bullet"/>
      <w:lvlText w:val="•"/>
      <w:lvlJc w:val="left"/>
      <w:pPr>
        <w:ind w:left="1065" w:hanging="705"/>
      </w:pPr>
      <w:rPr>
        <w:rFonts w:ascii="Calibri" w:eastAsia="Calibri" w:hAnsi="Calibri" w:cs="Times New Roman" w:hint="default"/>
      </w:rPr>
    </w:lvl>
    <w:lvl w:ilvl="1" w:tentative="1">
      <w:start w:val="1"/>
      <w:numFmt w:val="bullet"/>
      <w:lvlText w:val="o"/>
      <w:lvlJc w:val="left"/>
      <w:pPr>
        <w:ind w:left="1440" w:hanging="360"/>
      </w:pPr>
      <w:rPr>
        <w:rFonts w:ascii="Courier New" w:hAnsi="Courier New" w:cs="Courier New" w:hint="default"/>
      </w:rPr>
    </w:lvl>
    <w:lvl w:ilvl="2" w:tentative="1">
      <w:start w:val="1"/>
      <w:numFmt w:val="bullet"/>
      <w:lvlText w:val=""/>
      <w:lvlJc w:val="left"/>
      <w:pPr>
        <w:ind w:left="2160" w:hanging="360"/>
      </w:pPr>
      <w:rPr>
        <w:rFonts w:ascii="Wingdings" w:hAnsi="Wingdings" w:hint="default"/>
      </w:rPr>
    </w:lvl>
    <w:lvl w:ilvl="3" w:tentative="1">
      <w:start w:val="1"/>
      <w:numFmt w:val="bullet"/>
      <w:lvlText w:val=""/>
      <w:lvlJc w:val="left"/>
      <w:pPr>
        <w:ind w:left="2880" w:hanging="360"/>
      </w:pPr>
      <w:rPr>
        <w:rFonts w:ascii="Symbol" w:hAnsi="Symbol" w:hint="default"/>
      </w:rPr>
    </w:lvl>
    <w:lvl w:ilvl="4" w:tentative="1">
      <w:start w:val="1"/>
      <w:numFmt w:val="bullet"/>
      <w:lvlText w:val="o"/>
      <w:lvlJc w:val="left"/>
      <w:pPr>
        <w:ind w:left="3600" w:hanging="360"/>
      </w:pPr>
      <w:rPr>
        <w:rFonts w:ascii="Courier New" w:hAnsi="Courier New" w:cs="Courier New" w:hint="default"/>
      </w:rPr>
    </w:lvl>
    <w:lvl w:ilvl="5" w:tentative="1">
      <w:start w:val="1"/>
      <w:numFmt w:val="bullet"/>
      <w:lvlText w:val=""/>
      <w:lvlJc w:val="left"/>
      <w:pPr>
        <w:ind w:left="4320" w:hanging="360"/>
      </w:pPr>
      <w:rPr>
        <w:rFonts w:ascii="Wingdings" w:hAnsi="Wingdings" w:hint="default"/>
      </w:rPr>
    </w:lvl>
    <w:lvl w:ilvl="6" w:tentative="1">
      <w:start w:val="1"/>
      <w:numFmt w:val="bullet"/>
      <w:lvlText w:val=""/>
      <w:lvlJc w:val="left"/>
      <w:pPr>
        <w:ind w:left="5040" w:hanging="360"/>
      </w:pPr>
      <w:rPr>
        <w:rFonts w:ascii="Symbol" w:hAnsi="Symbol" w:hint="default"/>
      </w:rPr>
    </w:lvl>
    <w:lvl w:ilvl="7" w:tentative="1">
      <w:start w:val="1"/>
      <w:numFmt w:val="bullet"/>
      <w:lvlText w:val="o"/>
      <w:lvlJc w:val="left"/>
      <w:pPr>
        <w:ind w:left="5760" w:hanging="360"/>
      </w:pPr>
      <w:rPr>
        <w:rFonts w:ascii="Courier New" w:hAnsi="Courier New" w:cs="Courier New" w:hint="default"/>
      </w:rPr>
    </w:lvl>
    <w:lvl w:ilvl="8" w:tentative="1">
      <w:start w:val="1"/>
      <w:numFmt w:val="bullet"/>
      <w:lvlText w:val=""/>
      <w:lvlJc w:val="left"/>
      <w:pPr>
        <w:ind w:left="6480" w:hanging="360"/>
      </w:pPr>
      <w:rPr>
        <w:rFonts w:ascii="Wingdings" w:hAnsi="Wingdings" w:hint="default"/>
      </w:rPr>
    </w:lvl>
  </w:abstractNum>
  <w:abstractNum w:abstractNumId="96">
    <w:nsid w:val="1A2E12D5"/>
    <w:multiLevelType w:val="hybridMultilevel"/>
    <w:tmpl w:val="759092D6"/>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97">
    <w:nsid w:val="1A8A4A07"/>
    <w:multiLevelType w:val="hybridMultilevel"/>
    <w:tmpl w:val="6CC43638"/>
    <w:lvl w:ilvl="0" w:tplc="041B0017">
      <w:start w:val="1"/>
      <w:numFmt w:val="lowerLetter"/>
      <w:lvlText w:val="%1)"/>
      <w:lvlJc w:val="left"/>
      <w:pPr>
        <w:ind w:left="720" w:hanging="360"/>
      </w:pPr>
    </w:lvl>
    <w:lvl w:ilvl="1" w:tplc="041B0019">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98">
    <w:nsid w:val="1ABB2ADE"/>
    <w:multiLevelType w:val="hybridMultilevel"/>
    <w:tmpl w:val="23B0700E"/>
    <w:lvl w:ilvl="0" w:tplc="041B000F">
      <w:start w:val="1"/>
      <w:numFmt w:val="decimal"/>
      <w:lvlText w:val="%1."/>
      <w:lvlJc w:val="left"/>
      <w:pPr>
        <w:ind w:left="720" w:hanging="360"/>
      </w:pPr>
      <w:rPr>
        <w:rFonts w:hint="default"/>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99">
    <w:nsid w:val="1AE2781A"/>
    <w:multiLevelType w:val="multilevel"/>
    <w:tmpl w:val="6DD2884A"/>
    <w:numStyleLink w:val="Aktulnyzoznam1"/>
  </w:abstractNum>
  <w:abstractNum w:abstractNumId="100">
    <w:nsid w:val="1B2057C3"/>
    <w:multiLevelType w:val="hybridMultilevel"/>
    <w:tmpl w:val="20BE9194"/>
    <w:lvl w:ilvl="0" w:tplc="041B0017">
      <w:start w:val="1"/>
      <w:numFmt w:val="lowerLetter"/>
      <w:lvlText w:val="%1)"/>
      <w:lvlJc w:val="left"/>
      <w:pPr>
        <w:ind w:left="720" w:hanging="360"/>
      </w:pPr>
    </w:lvl>
    <w:lvl w:ilvl="1" w:tplc="041B0001">
      <w:start w:val="1"/>
      <w:numFmt w:val="bullet"/>
      <w:lvlText w:val=""/>
      <w:lvlJc w:val="left"/>
      <w:pPr>
        <w:ind w:left="1440" w:hanging="360"/>
      </w:pPr>
      <w:rPr>
        <w:rFonts w:ascii="Symbol" w:hAnsi="Symbol" w:hint="default"/>
      </w:r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101">
    <w:nsid w:val="1B6F3061"/>
    <w:multiLevelType w:val="multilevel"/>
    <w:tmpl w:val="F110AAC2"/>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02">
    <w:nsid w:val="1B996C35"/>
    <w:multiLevelType w:val="hybridMultilevel"/>
    <w:tmpl w:val="668A23AC"/>
    <w:lvl w:ilvl="0" w:tplc="041B0001">
      <w:start w:val="1"/>
      <w:numFmt w:val="bullet"/>
      <w:lvlText w:val=""/>
      <w:lvlJc w:val="left"/>
      <w:pPr>
        <w:ind w:left="720" w:hanging="360"/>
      </w:pPr>
      <w:rPr>
        <w:rFonts w:ascii="Symbol" w:hAnsi="Symbol" w:hint="default"/>
      </w:rPr>
    </w:lvl>
    <w:lvl w:ilvl="1" w:tplc="041B0003">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03">
    <w:nsid w:val="1C435CFA"/>
    <w:multiLevelType w:val="multilevel"/>
    <w:tmpl w:val="6DD2884A"/>
    <w:numStyleLink w:val="Aktulnyzoznam1"/>
  </w:abstractNum>
  <w:abstractNum w:abstractNumId="104">
    <w:nsid w:val="1CF75716"/>
    <w:multiLevelType w:val="hybridMultilevel"/>
    <w:tmpl w:val="4252B960"/>
    <w:lvl w:ilvl="0" w:tplc="1D12A32A">
      <w:start w:val="1"/>
      <w:numFmt w:val="bullet"/>
      <w:lvlText w:val=""/>
      <w:lvlJc w:val="left"/>
      <w:pPr>
        <w:ind w:left="720" w:hanging="360"/>
      </w:pPr>
      <w:rPr>
        <w:rFonts w:ascii="Symbol" w:hAnsi="Symbol" w:hint="default"/>
      </w:rPr>
    </w:lvl>
    <w:lvl w:ilvl="1" w:tplc="238AF0F4">
      <w:start w:val="1"/>
      <w:numFmt w:val="bullet"/>
      <w:lvlText w:val="o"/>
      <w:lvlJc w:val="left"/>
      <w:pPr>
        <w:ind w:left="1440" w:hanging="360"/>
      </w:pPr>
      <w:rPr>
        <w:rFonts w:ascii="Courier New" w:hAnsi="Courier New" w:hint="default"/>
      </w:rPr>
    </w:lvl>
    <w:lvl w:ilvl="2" w:tplc="6096F902">
      <w:start w:val="1"/>
      <w:numFmt w:val="bullet"/>
      <w:lvlText w:val=""/>
      <w:lvlJc w:val="left"/>
      <w:pPr>
        <w:ind w:left="2160" w:hanging="360"/>
      </w:pPr>
      <w:rPr>
        <w:rFonts w:ascii="Wingdings" w:hAnsi="Wingdings" w:hint="default"/>
      </w:rPr>
    </w:lvl>
    <w:lvl w:ilvl="3" w:tplc="86167BAC">
      <w:start w:val="1"/>
      <w:numFmt w:val="bullet"/>
      <w:lvlText w:val=""/>
      <w:lvlJc w:val="left"/>
      <w:pPr>
        <w:ind w:left="2880" w:hanging="360"/>
      </w:pPr>
      <w:rPr>
        <w:rFonts w:ascii="Symbol" w:hAnsi="Symbol" w:hint="default"/>
      </w:rPr>
    </w:lvl>
    <w:lvl w:ilvl="4" w:tplc="162E60A2">
      <w:start w:val="1"/>
      <w:numFmt w:val="bullet"/>
      <w:lvlText w:val="o"/>
      <w:lvlJc w:val="left"/>
      <w:pPr>
        <w:ind w:left="3600" w:hanging="360"/>
      </w:pPr>
      <w:rPr>
        <w:rFonts w:ascii="Courier New" w:hAnsi="Courier New" w:hint="default"/>
      </w:rPr>
    </w:lvl>
    <w:lvl w:ilvl="5" w:tplc="B4909372">
      <w:start w:val="1"/>
      <w:numFmt w:val="bullet"/>
      <w:lvlText w:val=""/>
      <w:lvlJc w:val="left"/>
      <w:pPr>
        <w:ind w:left="4320" w:hanging="360"/>
      </w:pPr>
      <w:rPr>
        <w:rFonts w:ascii="Wingdings" w:hAnsi="Wingdings" w:hint="default"/>
      </w:rPr>
    </w:lvl>
    <w:lvl w:ilvl="6" w:tplc="1E32A366">
      <w:start w:val="1"/>
      <w:numFmt w:val="bullet"/>
      <w:lvlText w:val=""/>
      <w:lvlJc w:val="left"/>
      <w:pPr>
        <w:ind w:left="5040" w:hanging="360"/>
      </w:pPr>
      <w:rPr>
        <w:rFonts w:ascii="Symbol" w:hAnsi="Symbol" w:hint="default"/>
      </w:rPr>
    </w:lvl>
    <w:lvl w:ilvl="7" w:tplc="0D886086">
      <w:start w:val="1"/>
      <w:numFmt w:val="bullet"/>
      <w:lvlText w:val="o"/>
      <w:lvlJc w:val="left"/>
      <w:pPr>
        <w:ind w:left="5760" w:hanging="360"/>
      </w:pPr>
      <w:rPr>
        <w:rFonts w:ascii="Courier New" w:hAnsi="Courier New" w:hint="default"/>
      </w:rPr>
    </w:lvl>
    <w:lvl w:ilvl="8" w:tplc="587E7326">
      <w:start w:val="1"/>
      <w:numFmt w:val="bullet"/>
      <w:lvlText w:val=""/>
      <w:lvlJc w:val="left"/>
      <w:pPr>
        <w:ind w:left="6480" w:hanging="360"/>
      </w:pPr>
      <w:rPr>
        <w:rFonts w:ascii="Wingdings" w:hAnsi="Wingdings" w:hint="default"/>
      </w:rPr>
    </w:lvl>
  </w:abstractNum>
  <w:abstractNum w:abstractNumId="105">
    <w:nsid w:val="1CFD4C75"/>
    <w:multiLevelType w:val="hybridMultilevel"/>
    <w:tmpl w:val="A7A62530"/>
    <w:lvl w:ilvl="0" w:tplc="041B0001">
      <w:start w:val="1"/>
      <w:numFmt w:val="bullet"/>
      <w:lvlText w:val=""/>
      <w:lvlJc w:val="left"/>
      <w:pPr>
        <w:ind w:left="720" w:hanging="360"/>
      </w:pPr>
      <w:rPr>
        <w:rFonts w:ascii="Symbol" w:hAnsi="Symbol" w:hint="default"/>
      </w:rPr>
    </w:lvl>
    <w:lvl w:ilvl="1" w:tplc="924ACDC2">
      <w:start w:val="70"/>
      <w:numFmt w:val="bullet"/>
      <w:lvlText w:val="-"/>
      <w:lvlJc w:val="left"/>
      <w:pPr>
        <w:ind w:left="1440" w:hanging="360"/>
      </w:pPr>
      <w:rPr>
        <w:rFonts w:ascii="Calibri" w:eastAsia="Times New Roman" w:hAnsi="Calibri"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06">
    <w:nsid w:val="1D237BA1"/>
    <w:multiLevelType w:val="multilevel"/>
    <w:tmpl w:val="2DDA92F2"/>
    <w:lvl w:ilvl="0">
      <w:start w:val="5"/>
      <w:numFmt w:val="bullet"/>
      <w:lvlText w:val="-"/>
      <w:lvlJc w:val="left"/>
      <w:pPr>
        <w:tabs>
          <w:tab w:val="num" w:pos="0"/>
        </w:tabs>
        <w:ind w:left="360" w:hanging="360"/>
      </w:pPr>
      <w:rPr>
        <w:rFonts w:ascii="Calibri" w:eastAsia="Calibri" w:hAnsi="Calibri" w:cs="Calibri" w:hint="default"/>
      </w:rPr>
    </w:lvl>
    <w:lvl w:ilvl="1">
      <w:start w:val="1"/>
      <w:numFmt w:val="lowerLetter"/>
      <w:lvlText w:val="%2."/>
      <w:lvlJc w:val="left"/>
      <w:pPr>
        <w:tabs>
          <w:tab w:val="num" w:pos="0"/>
        </w:tabs>
        <w:ind w:left="1080" w:hanging="360"/>
      </w:pPr>
    </w:lvl>
    <w:lvl w:ilvl="2">
      <w:start w:val="1"/>
      <w:numFmt w:val="lowerRoman"/>
      <w:lvlText w:val="%2.%3."/>
      <w:lvlJc w:val="right"/>
      <w:pPr>
        <w:tabs>
          <w:tab w:val="num" w:pos="0"/>
        </w:tabs>
        <w:ind w:left="1800" w:hanging="180"/>
      </w:pPr>
    </w:lvl>
    <w:lvl w:ilvl="3">
      <w:start w:val="1"/>
      <w:numFmt w:val="decimal"/>
      <w:lvlText w:val="%2.%3.%4."/>
      <w:lvlJc w:val="left"/>
      <w:pPr>
        <w:tabs>
          <w:tab w:val="num" w:pos="0"/>
        </w:tabs>
        <w:ind w:left="2520" w:hanging="360"/>
      </w:pPr>
    </w:lvl>
    <w:lvl w:ilvl="4">
      <w:start w:val="1"/>
      <w:numFmt w:val="lowerLetter"/>
      <w:lvlText w:val="%2.%3.%4.%5."/>
      <w:lvlJc w:val="left"/>
      <w:pPr>
        <w:tabs>
          <w:tab w:val="num" w:pos="0"/>
        </w:tabs>
        <w:ind w:left="3240" w:hanging="360"/>
      </w:pPr>
    </w:lvl>
    <w:lvl w:ilvl="5">
      <w:start w:val="1"/>
      <w:numFmt w:val="lowerRoman"/>
      <w:lvlText w:val="%2.%3.%4.%5.%6."/>
      <w:lvlJc w:val="right"/>
      <w:pPr>
        <w:tabs>
          <w:tab w:val="num" w:pos="0"/>
        </w:tabs>
        <w:ind w:left="3960" w:hanging="180"/>
      </w:pPr>
    </w:lvl>
    <w:lvl w:ilvl="6">
      <w:start w:val="1"/>
      <w:numFmt w:val="decimal"/>
      <w:lvlText w:val="%2.%3.%4.%5.%6.%7."/>
      <w:lvlJc w:val="left"/>
      <w:pPr>
        <w:tabs>
          <w:tab w:val="num" w:pos="0"/>
        </w:tabs>
        <w:ind w:left="4680" w:hanging="360"/>
      </w:pPr>
    </w:lvl>
    <w:lvl w:ilvl="7">
      <w:start w:val="1"/>
      <w:numFmt w:val="lowerLetter"/>
      <w:lvlText w:val="%2.%3.%4.%5.%6.%7.%8."/>
      <w:lvlJc w:val="left"/>
      <w:pPr>
        <w:tabs>
          <w:tab w:val="num" w:pos="0"/>
        </w:tabs>
        <w:ind w:left="5400" w:hanging="360"/>
      </w:pPr>
    </w:lvl>
    <w:lvl w:ilvl="8">
      <w:start w:val="1"/>
      <w:numFmt w:val="lowerRoman"/>
      <w:lvlText w:val="%2.%3.%4.%5.%6.%7.%8.%9."/>
      <w:lvlJc w:val="right"/>
      <w:pPr>
        <w:tabs>
          <w:tab w:val="num" w:pos="0"/>
        </w:tabs>
        <w:ind w:left="6120" w:hanging="180"/>
      </w:pPr>
    </w:lvl>
  </w:abstractNum>
  <w:abstractNum w:abstractNumId="107">
    <w:nsid w:val="1DD11159"/>
    <w:multiLevelType w:val="hybridMultilevel"/>
    <w:tmpl w:val="7FD24314"/>
    <w:lvl w:ilvl="0" w:tplc="D9121A34">
      <w:start w:val="2"/>
      <w:numFmt w:val="bullet"/>
      <w:lvlText w:val="-"/>
      <w:lvlJc w:val="left"/>
      <w:pPr>
        <w:ind w:left="612" w:hanging="360"/>
      </w:pPr>
      <w:rPr>
        <w:rFonts w:ascii="Times New Roman" w:eastAsia="Times New Roman" w:hAnsi="Times New Roman" w:hint="default"/>
      </w:rPr>
    </w:lvl>
    <w:lvl w:ilvl="1" w:tplc="041B0003" w:tentative="1">
      <w:start w:val="1"/>
      <w:numFmt w:val="bullet"/>
      <w:lvlText w:val="o"/>
      <w:lvlJc w:val="left"/>
      <w:pPr>
        <w:ind w:left="1332" w:hanging="360"/>
      </w:pPr>
      <w:rPr>
        <w:rFonts w:ascii="Courier New" w:hAnsi="Courier New" w:hint="default"/>
      </w:rPr>
    </w:lvl>
    <w:lvl w:ilvl="2" w:tplc="041B0005" w:tentative="1">
      <w:start w:val="1"/>
      <w:numFmt w:val="bullet"/>
      <w:lvlText w:val=""/>
      <w:lvlJc w:val="left"/>
      <w:pPr>
        <w:ind w:left="2052" w:hanging="360"/>
      </w:pPr>
      <w:rPr>
        <w:rFonts w:ascii="Wingdings" w:hAnsi="Wingdings" w:hint="default"/>
      </w:rPr>
    </w:lvl>
    <w:lvl w:ilvl="3" w:tplc="041B0001">
      <w:start w:val="1"/>
      <w:numFmt w:val="bullet"/>
      <w:lvlText w:val=""/>
      <w:lvlJc w:val="left"/>
      <w:pPr>
        <w:ind w:left="2772" w:hanging="360"/>
      </w:pPr>
      <w:rPr>
        <w:rFonts w:ascii="Symbol" w:hAnsi="Symbol" w:hint="default"/>
      </w:rPr>
    </w:lvl>
    <w:lvl w:ilvl="4" w:tplc="041B0003">
      <w:start w:val="1"/>
      <w:numFmt w:val="bullet"/>
      <w:lvlText w:val="o"/>
      <w:lvlJc w:val="left"/>
      <w:pPr>
        <w:ind w:left="3492" w:hanging="360"/>
      </w:pPr>
      <w:rPr>
        <w:rFonts w:ascii="Courier New" w:hAnsi="Courier New" w:hint="default"/>
      </w:rPr>
    </w:lvl>
    <w:lvl w:ilvl="5" w:tplc="041B0005" w:tentative="1">
      <w:start w:val="1"/>
      <w:numFmt w:val="bullet"/>
      <w:lvlText w:val=""/>
      <w:lvlJc w:val="left"/>
      <w:pPr>
        <w:ind w:left="4212" w:hanging="360"/>
      </w:pPr>
      <w:rPr>
        <w:rFonts w:ascii="Wingdings" w:hAnsi="Wingdings" w:hint="default"/>
      </w:rPr>
    </w:lvl>
    <w:lvl w:ilvl="6" w:tplc="041B0001" w:tentative="1">
      <w:start w:val="1"/>
      <w:numFmt w:val="bullet"/>
      <w:lvlText w:val=""/>
      <w:lvlJc w:val="left"/>
      <w:pPr>
        <w:ind w:left="4932" w:hanging="360"/>
      </w:pPr>
      <w:rPr>
        <w:rFonts w:ascii="Symbol" w:hAnsi="Symbol" w:hint="default"/>
      </w:rPr>
    </w:lvl>
    <w:lvl w:ilvl="7" w:tplc="041B0003" w:tentative="1">
      <w:start w:val="1"/>
      <w:numFmt w:val="bullet"/>
      <w:lvlText w:val="o"/>
      <w:lvlJc w:val="left"/>
      <w:pPr>
        <w:ind w:left="5652" w:hanging="360"/>
      </w:pPr>
      <w:rPr>
        <w:rFonts w:ascii="Courier New" w:hAnsi="Courier New" w:hint="default"/>
      </w:rPr>
    </w:lvl>
    <w:lvl w:ilvl="8" w:tplc="041B0005" w:tentative="1">
      <w:start w:val="1"/>
      <w:numFmt w:val="bullet"/>
      <w:lvlText w:val=""/>
      <w:lvlJc w:val="left"/>
      <w:pPr>
        <w:ind w:left="6372" w:hanging="360"/>
      </w:pPr>
      <w:rPr>
        <w:rFonts w:ascii="Wingdings" w:hAnsi="Wingdings" w:hint="default"/>
      </w:rPr>
    </w:lvl>
  </w:abstractNum>
  <w:abstractNum w:abstractNumId="108">
    <w:nsid w:val="1DEC3046"/>
    <w:multiLevelType w:val="hybridMultilevel"/>
    <w:tmpl w:val="3BF6B4F2"/>
    <w:lvl w:ilvl="0" w:tplc="041B000F">
      <w:start w:val="1"/>
      <w:numFmt w:val="decimal"/>
      <w:lvlText w:val="%1."/>
      <w:lvlJc w:val="left"/>
      <w:pPr>
        <w:ind w:left="720" w:hanging="360"/>
      </w:p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109">
    <w:nsid w:val="1E444190"/>
    <w:multiLevelType w:val="hybridMultilevel"/>
    <w:tmpl w:val="F3FC8E4C"/>
    <w:lvl w:ilvl="0" w:tplc="041B000F">
      <w:start w:val="1"/>
      <w:numFmt w:val="decimal"/>
      <w:lvlText w:val="%1."/>
      <w:lvlJc w:val="left"/>
      <w:pPr>
        <w:ind w:left="720" w:hanging="360"/>
      </w:pPr>
      <w:rPr>
        <w:rFonts w:hint="default"/>
      </w:rPr>
    </w:lvl>
    <w:lvl w:ilvl="1" w:tplc="A4DCF692">
      <w:start w:val="1"/>
      <w:numFmt w:val="lowerLetter"/>
      <w:lvlText w:val="%2)"/>
      <w:lvlJc w:val="left"/>
      <w:pPr>
        <w:ind w:left="1440" w:hanging="360"/>
      </w:pPr>
      <w:rPr>
        <w:rFonts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10">
    <w:nsid w:val="1E5607D0"/>
    <w:multiLevelType w:val="hybridMultilevel"/>
    <w:tmpl w:val="CA941C56"/>
    <w:lvl w:ilvl="0" w:tplc="041B0001">
      <w:start w:val="1"/>
      <w:numFmt w:val="bullet"/>
      <w:lvlText w:val=""/>
      <w:lvlJc w:val="left"/>
      <w:pPr>
        <w:tabs>
          <w:tab w:val="num" w:pos="720"/>
        </w:tabs>
        <w:ind w:left="720" w:hanging="360"/>
      </w:pPr>
      <w:rPr>
        <w:rFonts w:ascii="Symbol" w:hAnsi="Symbol" w:hint="default"/>
      </w:rPr>
    </w:lvl>
    <w:lvl w:ilvl="1" w:tplc="041B0003" w:tentative="1">
      <w:start w:val="1"/>
      <w:numFmt w:val="bullet"/>
      <w:lvlText w:val="o"/>
      <w:lvlJc w:val="left"/>
      <w:pPr>
        <w:tabs>
          <w:tab w:val="num" w:pos="1740"/>
        </w:tabs>
        <w:ind w:left="1740" w:hanging="360"/>
      </w:pPr>
      <w:rPr>
        <w:rFonts w:ascii="Courier New" w:hAnsi="Courier New" w:cs="Courier New" w:hint="default"/>
      </w:rPr>
    </w:lvl>
    <w:lvl w:ilvl="2" w:tplc="041B0005" w:tentative="1">
      <w:start w:val="1"/>
      <w:numFmt w:val="bullet"/>
      <w:lvlText w:val=""/>
      <w:lvlJc w:val="left"/>
      <w:pPr>
        <w:tabs>
          <w:tab w:val="num" w:pos="2460"/>
        </w:tabs>
        <w:ind w:left="2460" w:hanging="360"/>
      </w:pPr>
      <w:rPr>
        <w:rFonts w:ascii="Wingdings" w:hAnsi="Wingdings" w:hint="default"/>
      </w:rPr>
    </w:lvl>
    <w:lvl w:ilvl="3" w:tplc="041B0001" w:tentative="1">
      <w:start w:val="1"/>
      <w:numFmt w:val="bullet"/>
      <w:lvlText w:val=""/>
      <w:lvlJc w:val="left"/>
      <w:pPr>
        <w:tabs>
          <w:tab w:val="num" w:pos="3180"/>
        </w:tabs>
        <w:ind w:left="3180" w:hanging="360"/>
      </w:pPr>
      <w:rPr>
        <w:rFonts w:ascii="Symbol" w:hAnsi="Symbol" w:hint="default"/>
      </w:rPr>
    </w:lvl>
    <w:lvl w:ilvl="4" w:tplc="041B0003" w:tentative="1">
      <w:start w:val="1"/>
      <w:numFmt w:val="bullet"/>
      <w:lvlText w:val="o"/>
      <w:lvlJc w:val="left"/>
      <w:pPr>
        <w:tabs>
          <w:tab w:val="num" w:pos="3900"/>
        </w:tabs>
        <w:ind w:left="3900" w:hanging="360"/>
      </w:pPr>
      <w:rPr>
        <w:rFonts w:ascii="Courier New" w:hAnsi="Courier New" w:cs="Courier New" w:hint="default"/>
      </w:rPr>
    </w:lvl>
    <w:lvl w:ilvl="5" w:tplc="041B0005" w:tentative="1">
      <w:start w:val="1"/>
      <w:numFmt w:val="bullet"/>
      <w:lvlText w:val=""/>
      <w:lvlJc w:val="left"/>
      <w:pPr>
        <w:tabs>
          <w:tab w:val="num" w:pos="4620"/>
        </w:tabs>
        <w:ind w:left="4620" w:hanging="360"/>
      </w:pPr>
      <w:rPr>
        <w:rFonts w:ascii="Wingdings" w:hAnsi="Wingdings" w:hint="default"/>
      </w:rPr>
    </w:lvl>
    <w:lvl w:ilvl="6" w:tplc="041B0001" w:tentative="1">
      <w:start w:val="1"/>
      <w:numFmt w:val="bullet"/>
      <w:lvlText w:val=""/>
      <w:lvlJc w:val="left"/>
      <w:pPr>
        <w:tabs>
          <w:tab w:val="num" w:pos="5340"/>
        </w:tabs>
        <w:ind w:left="5340" w:hanging="360"/>
      </w:pPr>
      <w:rPr>
        <w:rFonts w:ascii="Symbol" w:hAnsi="Symbol" w:hint="default"/>
      </w:rPr>
    </w:lvl>
    <w:lvl w:ilvl="7" w:tplc="041B0003" w:tentative="1">
      <w:start w:val="1"/>
      <w:numFmt w:val="bullet"/>
      <w:lvlText w:val="o"/>
      <w:lvlJc w:val="left"/>
      <w:pPr>
        <w:tabs>
          <w:tab w:val="num" w:pos="6060"/>
        </w:tabs>
        <w:ind w:left="6060" w:hanging="360"/>
      </w:pPr>
      <w:rPr>
        <w:rFonts w:ascii="Courier New" w:hAnsi="Courier New" w:cs="Courier New" w:hint="default"/>
      </w:rPr>
    </w:lvl>
    <w:lvl w:ilvl="8" w:tplc="041B0005" w:tentative="1">
      <w:start w:val="1"/>
      <w:numFmt w:val="bullet"/>
      <w:lvlText w:val=""/>
      <w:lvlJc w:val="left"/>
      <w:pPr>
        <w:tabs>
          <w:tab w:val="num" w:pos="6780"/>
        </w:tabs>
        <w:ind w:left="6780" w:hanging="360"/>
      </w:pPr>
      <w:rPr>
        <w:rFonts w:ascii="Wingdings" w:hAnsi="Wingdings" w:hint="default"/>
      </w:rPr>
    </w:lvl>
  </w:abstractNum>
  <w:abstractNum w:abstractNumId="111">
    <w:nsid w:val="1E886CA4"/>
    <w:multiLevelType w:val="hybridMultilevel"/>
    <w:tmpl w:val="5CB4CD0E"/>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12">
    <w:nsid w:val="1E892079"/>
    <w:multiLevelType w:val="multilevel"/>
    <w:tmpl w:val="14B4B090"/>
    <w:lvl w:ilvl="0">
      <w:start w:val="1"/>
      <w:numFmt w:val="lowerLetter"/>
      <w:lvlText w:val="%1)"/>
      <w:lvlJc w:val="left"/>
      <w:pPr>
        <w:tabs>
          <w:tab w:val="num" w:pos="0"/>
        </w:tabs>
        <w:ind w:left="360" w:hanging="360"/>
      </w:pPr>
      <w:rPr>
        <w:rFonts w:cs="Times New Roman" w:hint="default"/>
        <w:bCs/>
      </w:rPr>
    </w:lvl>
    <w:lvl w:ilvl="1">
      <w:start w:val="1"/>
      <w:numFmt w:val="lowerLetter"/>
      <w:lvlText w:val="%2."/>
      <w:lvlJc w:val="left"/>
      <w:pPr>
        <w:tabs>
          <w:tab w:val="num" w:pos="0"/>
        </w:tabs>
        <w:ind w:left="1080" w:hanging="360"/>
      </w:pPr>
    </w:lvl>
    <w:lvl w:ilvl="2">
      <w:start w:val="1"/>
      <w:numFmt w:val="lowerRoman"/>
      <w:lvlText w:val="%2.%3."/>
      <w:lvlJc w:val="right"/>
      <w:pPr>
        <w:tabs>
          <w:tab w:val="num" w:pos="0"/>
        </w:tabs>
        <w:ind w:left="1800" w:hanging="180"/>
      </w:pPr>
    </w:lvl>
    <w:lvl w:ilvl="3">
      <w:start w:val="1"/>
      <w:numFmt w:val="decimal"/>
      <w:lvlText w:val="%2.%3.%4."/>
      <w:lvlJc w:val="left"/>
      <w:pPr>
        <w:tabs>
          <w:tab w:val="num" w:pos="0"/>
        </w:tabs>
        <w:ind w:left="2520" w:hanging="360"/>
      </w:pPr>
    </w:lvl>
    <w:lvl w:ilvl="4">
      <w:start w:val="1"/>
      <w:numFmt w:val="lowerLetter"/>
      <w:lvlText w:val="%2.%3.%4.%5."/>
      <w:lvlJc w:val="left"/>
      <w:pPr>
        <w:tabs>
          <w:tab w:val="num" w:pos="0"/>
        </w:tabs>
        <w:ind w:left="3240" w:hanging="360"/>
      </w:pPr>
    </w:lvl>
    <w:lvl w:ilvl="5">
      <w:start w:val="1"/>
      <w:numFmt w:val="lowerRoman"/>
      <w:lvlText w:val="%2.%3.%4.%5.%6."/>
      <w:lvlJc w:val="right"/>
      <w:pPr>
        <w:tabs>
          <w:tab w:val="num" w:pos="0"/>
        </w:tabs>
        <w:ind w:left="3960" w:hanging="180"/>
      </w:pPr>
    </w:lvl>
    <w:lvl w:ilvl="6">
      <w:start w:val="1"/>
      <w:numFmt w:val="decimal"/>
      <w:lvlText w:val="%2.%3.%4.%5.%6.%7."/>
      <w:lvlJc w:val="left"/>
      <w:pPr>
        <w:tabs>
          <w:tab w:val="num" w:pos="0"/>
        </w:tabs>
        <w:ind w:left="4680" w:hanging="360"/>
      </w:pPr>
    </w:lvl>
    <w:lvl w:ilvl="7">
      <w:start w:val="1"/>
      <w:numFmt w:val="lowerLetter"/>
      <w:lvlText w:val="%2.%3.%4.%5.%6.%7.%8."/>
      <w:lvlJc w:val="left"/>
      <w:pPr>
        <w:tabs>
          <w:tab w:val="num" w:pos="0"/>
        </w:tabs>
        <w:ind w:left="5400" w:hanging="360"/>
      </w:pPr>
    </w:lvl>
    <w:lvl w:ilvl="8">
      <w:start w:val="1"/>
      <w:numFmt w:val="lowerRoman"/>
      <w:lvlText w:val="%2.%3.%4.%5.%6.%7.%8.%9."/>
      <w:lvlJc w:val="right"/>
      <w:pPr>
        <w:tabs>
          <w:tab w:val="num" w:pos="0"/>
        </w:tabs>
        <w:ind w:left="6120" w:hanging="180"/>
      </w:pPr>
    </w:lvl>
  </w:abstractNum>
  <w:abstractNum w:abstractNumId="113">
    <w:nsid w:val="1E9D2AF0"/>
    <w:multiLevelType w:val="hybridMultilevel"/>
    <w:tmpl w:val="4A260300"/>
    <w:lvl w:ilvl="0" w:tplc="38D21BC8">
      <w:numFmt w:val="bullet"/>
      <w:lvlText w:val="-"/>
      <w:lvlJc w:val="left"/>
      <w:pPr>
        <w:ind w:left="720" w:hanging="360"/>
      </w:pPr>
      <w:rPr>
        <w:rFonts w:ascii="Calibri" w:eastAsia="Calibri" w:hAnsi="Calibri" w:cs="Calibri" w:hint="default"/>
        <w:sz w:val="22"/>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14">
    <w:nsid w:val="1EFA152B"/>
    <w:multiLevelType w:val="hybridMultilevel"/>
    <w:tmpl w:val="A532F256"/>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15">
    <w:nsid w:val="1F0A6C60"/>
    <w:multiLevelType w:val="hybridMultilevel"/>
    <w:tmpl w:val="B5AE6D2A"/>
    <w:lvl w:ilvl="0" w:tplc="674E832A">
      <w:numFmt w:val="bullet"/>
      <w:lvlText w:val="-"/>
      <w:lvlJc w:val="left"/>
      <w:pPr>
        <w:ind w:left="720" w:hanging="360"/>
      </w:pPr>
      <w:rPr>
        <w:rFonts w:ascii="Calibri" w:eastAsia="Times New Roman" w:hAnsi="Calibri" w:cs="Times New Roman"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16">
    <w:nsid w:val="1F1820AF"/>
    <w:multiLevelType w:val="hybridMultilevel"/>
    <w:tmpl w:val="35708A24"/>
    <w:lvl w:ilvl="0" w:tplc="924ACDC2">
      <w:start w:val="70"/>
      <w:numFmt w:val="bullet"/>
      <w:lvlText w:val="-"/>
      <w:lvlJc w:val="left"/>
      <w:pPr>
        <w:ind w:left="720" w:hanging="360"/>
      </w:pPr>
      <w:rPr>
        <w:rFonts w:ascii="Calibri" w:eastAsia="Times New Roman" w:hAnsi="Calibri"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17">
    <w:nsid w:val="1F5C5276"/>
    <w:multiLevelType w:val="hybridMultilevel"/>
    <w:tmpl w:val="0F5A45E2"/>
    <w:lvl w:ilvl="0" w:tplc="2466B24E">
      <w:start w:val="1"/>
      <w:numFmt w:val="decimal"/>
      <w:lvlText w:val="%1."/>
      <w:lvlJc w:val="center"/>
      <w:pPr>
        <w:ind w:left="1146" w:hanging="360"/>
      </w:pPr>
      <w:rPr>
        <w:rFonts w:hint="default"/>
      </w:rPr>
    </w:lvl>
    <w:lvl w:ilvl="1" w:tplc="041B0019" w:tentative="1">
      <w:start w:val="1"/>
      <w:numFmt w:val="lowerLetter"/>
      <w:lvlText w:val="%2."/>
      <w:lvlJc w:val="left"/>
      <w:pPr>
        <w:ind w:left="1866" w:hanging="360"/>
      </w:pPr>
    </w:lvl>
    <w:lvl w:ilvl="2" w:tplc="041B001B" w:tentative="1">
      <w:start w:val="1"/>
      <w:numFmt w:val="lowerRoman"/>
      <w:lvlText w:val="%3."/>
      <w:lvlJc w:val="right"/>
      <w:pPr>
        <w:ind w:left="2586" w:hanging="180"/>
      </w:pPr>
    </w:lvl>
    <w:lvl w:ilvl="3" w:tplc="041B000F" w:tentative="1">
      <w:start w:val="1"/>
      <w:numFmt w:val="decimal"/>
      <w:lvlText w:val="%4."/>
      <w:lvlJc w:val="left"/>
      <w:pPr>
        <w:ind w:left="3306" w:hanging="360"/>
      </w:pPr>
    </w:lvl>
    <w:lvl w:ilvl="4" w:tplc="041B0019" w:tentative="1">
      <w:start w:val="1"/>
      <w:numFmt w:val="lowerLetter"/>
      <w:lvlText w:val="%5."/>
      <w:lvlJc w:val="left"/>
      <w:pPr>
        <w:ind w:left="4026" w:hanging="360"/>
      </w:pPr>
    </w:lvl>
    <w:lvl w:ilvl="5" w:tplc="041B001B" w:tentative="1">
      <w:start w:val="1"/>
      <w:numFmt w:val="lowerRoman"/>
      <w:lvlText w:val="%6."/>
      <w:lvlJc w:val="right"/>
      <w:pPr>
        <w:ind w:left="4746" w:hanging="180"/>
      </w:pPr>
    </w:lvl>
    <w:lvl w:ilvl="6" w:tplc="041B000F" w:tentative="1">
      <w:start w:val="1"/>
      <w:numFmt w:val="decimal"/>
      <w:lvlText w:val="%7."/>
      <w:lvlJc w:val="left"/>
      <w:pPr>
        <w:ind w:left="5466" w:hanging="360"/>
      </w:pPr>
    </w:lvl>
    <w:lvl w:ilvl="7" w:tplc="041B0019" w:tentative="1">
      <w:start w:val="1"/>
      <w:numFmt w:val="lowerLetter"/>
      <w:lvlText w:val="%8."/>
      <w:lvlJc w:val="left"/>
      <w:pPr>
        <w:ind w:left="6186" w:hanging="360"/>
      </w:pPr>
    </w:lvl>
    <w:lvl w:ilvl="8" w:tplc="041B001B" w:tentative="1">
      <w:start w:val="1"/>
      <w:numFmt w:val="lowerRoman"/>
      <w:lvlText w:val="%9."/>
      <w:lvlJc w:val="right"/>
      <w:pPr>
        <w:ind w:left="6906" w:hanging="180"/>
      </w:pPr>
    </w:lvl>
  </w:abstractNum>
  <w:abstractNum w:abstractNumId="118">
    <w:nsid w:val="1F734306"/>
    <w:multiLevelType w:val="multilevel"/>
    <w:tmpl w:val="9056D9F6"/>
    <w:lvl w:ilvl="0">
      <w:start w:val="1"/>
      <w:numFmt w:val="decimal"/>
      <w:pStyle w:val="Heading"/>
      <w:lvlText w:val="%1."/>
      <w:lvlJc w:val="left"/>
      <w:pPr>
        <w:ind w:left="0" w:firstLine="0"/>
      </w:pPr>
      <w:rPr>
        <w:rFonts w:ascii="Times New Roman" w:hAnsi="Times New Roman" w:cs="Times New Roman" w:hint="default"/>
        <w:b/>
        <w:bCs w:val="0"/>
        <w:i w:val="0"/>
        <w:iCs w:val="0"/>
        <w:caps w:val="0"/>
        <w:smallCaps w:val="0"/>
        <w:strike w:val="0"/>
        <w:dstrike w:val="0"/>
        <w:noProof w:val="0"/>
        <w:vanish w:val="0"/>
        <w:color w:val="000000"/>
        <w:spacing w:val="0"/>
        <w:kern w:val="0"/>
        <w:position w:val="0"/>
        <w:u w:val="none"/>
        <w:effect w:val="none"/>
        <w:vertAlign w:val="baseline"/>
        <w:em w:val="none"/>
        <w:specVanish w:val="0"/>
      </w:rPr>
    </w:lvl>
    <w:lvl w:ilvl="1">
      <w:start w:val="1"/>
      <w:numFmt w:val="decimal"/>
      <w:pStyle w:val="Heading"/>
      <w:suff w:val="space"/>
      <w:lvlText w:val="%1.%2."/>
      <w:lvlJc w:val="left"/>
      <w:pPr>
        <w:ind w:left="0" w:firstLine="0"/>
      </w:pPr>
      <w:rPr>
        <w:rFonts w:ascii="Times New Roman" w:hAnsi="Times New Roman" w:cs="Times New Roman"/>
        <w:b w:val="0"/>
        <w:bCs w:val="0"/>
        <w:i w:val="0"/>
        <w:iCs w:val="0"/>
        <w:caps w:val="0"/>
        <w:smallCaps w:val="0"/>
        <w:strike w:val="0"/>
        <w:dstrike w:val="0"/>
        <w:noProof w:val="0"/>
        <w:snapToGrid w:val="0"/>
        <w:vanish w:val="0"/>
        <w:color w:val="000000"/>
        <w:spacing w:val="0"/>
        <w:w w:val="0"/>
        <w:kern w:val="0"/>
        <w:position w:val="0"/>
        <w:szCs w:val="0"/>
        <w:u w:val="none"/>
        <w:vertAlign w:val="baseline"/>
        <w:em w:val="none"/>
      </w:rPr>
    </w:lvl>
    <w:lvl w:ilvl="2">
      <w:start w:val="1"/>
      <w:numFmt w:val="decimal"/>
      <w:pStyle w:val="Heading3"/>
      <w:suff w:val="space"/>
      <w:lvlText w:val="%1.%2.%3."/>
      <w:lvlJc w:val="left"/>
      <w:pPr>
        <w:ind w:left="0" w:firstLine="0"/>
      </w:pPr>
      <w:rPr>
        <w:rFonts w:hint="default"/>
        <w:b w:val="0"/>
        <w:bCs w:val="0"/>
        <w:i w:val="0"/>
        <w:iCs w:val="0"/>
        <w:caps w:val="0"/>
        <w:smallCaps w:val="0"/>
        <w:strike w:val="0"/>
        <w:dstrike w:val="0"/>
        <w:noProof w:val="0"/>
        <w:vanish w:val="0"/>
        <w:color w:val="000000"/>
        <w:spacing w:val="0"/>
        <w:kern w:val="0"/>
        <w:position w:val="0"/>
        <w:u w:val="none"/>
        <w:effect w:val="none"/>
        <w:vertAlign w:val="baseline"/>
        <w:em w:val="none"/>
        <w:specVanish w:val="0"/>
      </w:rPr>
    </w:lvl>
    <w:lvl w:ilvl="3">
      <w:start w:val="1"/>
      <w:numFmt w:val="decimal"/>
      <w:suff w:val="space"/>
      <w:lvlText w:val="%1.%2.%3.%4."/>
      <w:lvlJc w:val="left"/>
      <w:pPr>
        <w:ind w:left="0" w:firstLine="0"/>
      </w:pPr>
      <w:rPr>
        <w:rFonts w:hint="default"/>
        <w:i/>
        <w:color w:val="auto"/>
      </w:rPr>
    </w:lvl>
    <w:lvl w:ilvl="4">
      <w:start w:val="1"/>
      <w:numFmt w:val="decimal"/>
      <w:suff w:val="space"/>
      <w:lvlText w:val="%1.%2.%3.%4.%5."/>
      <w:lvlJc w:val="left"/>
      <w:pPr>
        <w:ind w:left="0" w:firstLine="0"/>
      </w:pPr>
      <w:rPr>
        <w:rFonts w:hint="default"/>
      </w:rPr>
    </w:lvl>
    <w:lvl w:ilvl="5">
      <w:start w:val="1"/>
      <w:numFmt w:val="decimal"/>
      <w:suff w:val="space"/>
      <w:lvlText w:val="%1.%2.%3.%4.%5.%6."/>
      <w:lvlJc w:val="left"/>
      <w:pPr>
        <w:ind w:left="0" w:firstLine="0"/>
      </w:pPr>
      <w:rPr>
        <w:rFonts w:hint="default"/>
      </w:rPr>
    </w:lvl>
    <w:lvl w:ilvl="6">
      <w:start w:val="1"/>
      <w:numFmt w:val="decimal"/>
      <w:suff w:val="space"/>
      <w:lvlText w:val="%1.%2.%3.%4.%5.%6.%7."/>
      <w:lvlJc w:val="left"/>
      <w:pPr>
        <w:ind w:left="0" w:firstLine="0"/>
      </w:pPr>
      <w:rPr>
        <w:rFonts w:hint="default"/>
      </w:rPr>
    </w:lvl>
    <w:lvl w:ilvl="7">
      <w:start w:val="1"/>
      <w:numFmt w:val="decimal"/>
      <w:suff w:val="space"/>
      <w:lvlText w:val="%1.%2.%3.%4.%5.%6.%7.%8."/>
      <w:lvlJc w:val="left"/>
      <w:pPr>
        <w:ind w:left="0" w:firstLine="0"/>
      </w:pPr>
      <w:rPr>
        <w:rFonts w:hint="default"/>
      </w:rPr>
    </w:lvl>
    <w:lvl w:ilvl="8">
      <w:start w:val="1"/>
      <w:numFmt w:val="lowerRoman"/>
      <w:lvlText w:val="%9."/>
      <w:lvlJc w:val="left"/>
      <w:pPr>
        <w:tabs>
          <w:tab w:val="num" w:pos="3240"/>
        </w:tabs>
        <w:ind w:left="3240" w:hanging="360"/>
      </w:pPr>
      <w:rPr>
        <w:rFonts w:hint="default"/>
      </w:rPr>
    </w:lvl>
  </w:abstractNum>
  <w:abstractNum w:abstractNumId="119">
    <w:nsid w:val="1F9D1205"/>
    <w:multiLevelType w:val="hybridMultilevel"/>
    <w:tmpl w:val="D4F8E95C"/>
    <w:lvl w:ilvl="0" w:tplc="2466B24E">
      <w:start w:val="1"/>
      <w:numFmt w:val="decimal"/>
      <w:lvlText w:val="%1."/>
      <w:lvlJc w:val="center"/>
      <w:pPr>
        <w:ind w:left="720" w:hanging="360"/>
      </w:pPr>
      <w:rPr>
        <w:rFonts w:hint="default"/>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120">
    <w:nsid w:val="1FC03F87"/>
    <w:multiLevelType w:val="hybridMultilevel"/>
    <w:tmpl w:val="BB1E00BE"/>
    <w:lvl w:ilvl="0" w:tplc="92D2EBDE">
      <w:numFmt w:val="bullet"/>
      <w:lvlText w:val="–"/>
      <w:lvlJc w:val="left"/>
      <w:pPr>
        <w:ind w:left="700" w:hanging="390"/>
      </w:pPr>
      <w:rPr>
        <w:rFonts w:ascii="Calibri" w:eastAsia="Times New Roman" w:hAnsi="Calibri" w:cs="Times New Roman" w:hint="default"/>
      </w:rPr>
    </w:lvl>
    <w:lvl w:ilvl="1" w:tplc="041B0003" w:tentative="1">
      <w:start w:val="1"/>
      <w:numFmt w:val="bullet"/>
      <w:lvlText w:val="o"/>
      <w:lvlJc w:val="left"/>
      <w:pPr>
        <w:ind w:left="1390" w:hanging="360"/>
      </w:pPr>
      <w:rPr>
        <w:rFonts w:ascii="Courier New" w:hAnsi="Courier New" w:cs="Courier New" w:hint="default"/>
      </w:rPr>
    </w:lvl>
    <w:lvl w:ilvl="2" w:tplc="041B0005" w:tentative="1">
      <w:start w:val="1"/>
      <w:numFmt w:val="bullet"/>
      <w:lvlText w:val=""/>
      <w:lvlJc w:val="left"/>
      <w:pPr>
        <w:ind w:left="2110" w:hanging="360"/>
      </w:pPr>
      <w:rPr>
        <w:rFonts w:ascii="Wingdings" w:hAnsi="Wingdings" w:hint="default"/>
      </w:rPr>
    </w:lvl>
    <w:lvl w:ilvl="3" w:tplc="041B0001" w:tentative="1">
      <w:start w:val="1"/>
      <w:numFmt w:val="bullet"/>
      <w:lvlText w:val=""/>
      <w:lvlJc w:val="left"/>
      <w:pPr>
        <w:ind w:left="2830" w:hanging="360"/>
      </w:pPr>
      <w:rPr>
        <w:rFonts w:ascii="Symbol" w:hAnsi="Symbol" w:hint="default"/>
      </w:rPr>
    </w:lvl>
    <w:lvl w:ilvl="4" w:tplc="041B0003" w:tentative="1">
      <w:start w:val="1"/>
      <w:numFmt w:val="bullet"/>
      <w:lvlText w:val="o"/>
      <w:lvlJc w:val="left"/>
      <w:pPr>
        <w:ind w:left="3550" w:hanging="360"/>
      </w:pPr>
      <w:rPr>
        <w:rFonts w:ascii="Courier New" w:hAnsi="Courier New" w:cs="Courier New" w:hint="default"/>
      </w:rPr>
    </w:lvl>
    <w:lvl w:ilvl="5" w:tplc="041B0005" w:tentative="1">
      <w:start w:val="1"/>
      <w:numFmt w:val="bullet"/>
      <w:lvlText w:val=""/>
      <w:lvlJc w:val="left"/>
      <w:pPr>
        <w:ind w:left="4270" w:hanging="360"/>
      </w:pPr>
      <w:rPr>
        <w:rFonts w:ascii="Wingdings" w:hAnsi="Wingdings" w:hint="default"/>
      </w:rPr>
    </w:lvl>
    <w:lvl w:ilvl="6" w:tplc="041B0001" w:tentative="1">
      <w:start w:val="1"/>
      <w:numFmt w:val="bullet"/>
      <w:lvlText w:val=""/>
      <w:lvlJc w:val="left"/>
      <w:pPr>
        <w:ind w:left="4990" w:hanging="360"/>
      </w:pPr>
      <w:rPr>
        <w:rFonts w:ascii="Symbol" w:hAnsi="Symbol" w:hint="default"/>
      </w:rPr>
    </w:lvl>
    <w:lvl w:ilvl="7" w:tplc="041B0003" w:tentative="1">
      <w:start w:val="1"/>
      <w:numFmt w:val="bullet"/>
      <w:lvlText w:val="o"/>
      <w:lvlJc w:val="left"/>
      <w:pPr>
        <w:ind w:left="5710" w:hanging="360"/>
      </w:pPr>
      <w:rPr>
        <w:rFonts w:ascii="Courier New" w:hAnsi="Courier New" w:cs="Courier New" w:hint="default"/>
      </w:rPr>
    </w:lvl>
    <w:lvl w:ilvl="8" w:tplc="041B0005" w:tentative="1">
      <w:start w:val="1"/>
      <w:numFmt w:val="bullet"/>
      <w:lvlText w:val=""/>
      <w:lvlJc w:val="left"/>
      <w:pPr>
        <w:ind w:left="6430" w:hanging="360"/>
      </w:pPr>
      <w:rPr>
        <w:rFonts w:ascii="Wingdings" w:hAnsi="Wingdings" w:hint="default"/>
      </w:rPr>
    </w:lvl>
  </w:abstractNum>
  <w:abstractNum w:abstractNumId="121">
    <w:nsid w:val="1FCD4104"/>
    <w:multiLevelType w:val="hybridMultilevel"/>
    <w:tmpl w:val="0E32D992"/>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22">
    <w:nsid w:val="20C31BEF"/>
    <w:multiLevelType w:val="hybridMultilevel"/>
    <w:tmpl w:val="87F2C082"/>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23">
    <w:nsid w:val="212E1BE0"/>
    <w:multiLevelType w:val="hybridMultilevel"/>
    <w:tmpl w:val="DE562D34"/>
    <w:lvl w:ilvl="0" w:tplc="4A6C94B2">
      <w:start w:val="1"/>
      <w:numFmt w:val="bullet"/>
      <w:lvlText w:val="-"/>
      <w:lvlJc w:val="left"/>
      <w:pPr>
        <w:ind w:left="1080" w:hanging="360"/>
      </w:pPr>
      <w:rPr>
        <w:rFonts w:ascii="Calibri" w:eastAsia="Times New Roman" w:hAnsi="Calibri" w:hint="default"/>
      </w:rPr>
    </w:lvl>
    <w:lvl w:ilvl="1" w:tplc="041B0003" w:tentative="1">
      <w:start w:val="1"/>
      <w:numFmt w:val="bullet"/>
      <w:lvlText w:val="o"/>
      <w:lvlJc w:val="left"/>
      <w:pPr>
        <w:ind w:left="1800" w:hanging="360"/>
      </w:pPr>
      <w:rPr>
        <w:rFonts w:ascii="Courier New" w:hAnsi="Courier New" w:cs="Courier New" w:hint="default"/>
      </w:rPr>
    </w:lvl>
    <w:lvl w:ilvl="2" w:tplc="041B0005" w:tentative="1">
      <w:start w:val="1"/>
      <w:numFmt w:val="bullet"/>
      <w:lvlText w:val=""/>
      <w:lvlJc w:val="left"/>
      <w:pPr>
        <w:ind w:left="2520" w:hanging="360"/>
      </w:pPr>
      <w:rPr>
        <w:rFonts w:ascii="Wingdings" w:hAnsi="Wingdings" w:cs="Wingdings" w:hint="default"/>
      </w:rPr>
    </w:lvl>
    <w:lvl w:ilvl="3" w:tplc="041B0001" w:tentative="1">
      <w:start w:val="1"/>
      <w:numFmt w:val="bullet"/>
      <w:lvlText w:val=""/>
      <w:lvlJc w:val="left"/>
      <w:pPr>
        <w:ind w:left="3240" w:hanging="360"/>
      </w:pPr>
      <w:rPr>
        <w:rFonts w:ascii="Symbol" w:hAnsi="Symbol" w:cs="Symbol" w:hint="default"/>
      </w:rPr>
    </w:lvl>
    <w:lvl w:ilvl="4" w:tplc="041B0003" w:tentative="1">
      <w:start w:val="1"/>
      <w:numFmt w:val="bullet"/>
      <w:lvlText w:val="o"/>
      <w:lvlJc w:val="left"/>
      <w:pPr>
        <w:ind w:left="3960" w:hanging="360"/>
      </w:pPr>
      <w:rPr>
        <w:rFonts w:ascii="Courier New" w:hAnsi="Courier New" w:cs="Courier New" w:hint="default"/>
      </w:rPr>
    </w:lvl>
    <w:lvl w:ilvl="5" w:tplc="041B0005" w:tentative="1">
      <w:start w:val="1"/>
      <w:numFmt w:val="bullet"/>
      <w:lvlText w:val=""/>
      <w:lvlJc w:val="left"/>
      <w:pPr>
        <w:ind w:left="4680" w:hanging="360"/>
      </w:pPr>
      <w:rPr>
        <w:rFonts w:ascii="Wingdings" w:hAnsi="Wingdings" w:cs="Wingdings" w:hint="default"/>
      </w:rPr>
    </w:lvl>
    <w:lvl w:ilvl="6" w:tplc="041B0001" w:tentative="1">
      <w:start w:val="1"/>
      <w:numFmt w:val="bullet"/>
      <w:lvlText w:val=""/>
      <w:lvlJc w:val="left"/>
      <w:pPr>
        <w:ind w:left="5400" w:hanging="360"/>
      </w:pPr>
      <w:rPr>
        <w:rFonts w:ascii="Symbol" w:hAnsi="Symbol" w:cs="Symbol" w:hint="default"/>
      </w:rPr>
    </w:lvl>
    <w:lvl w:ilvl="7" w:tplc="041B0003" w:tentative="1">
      <w:start w:val="1"/>
      <w:numFmt w:val="bullet"/>
      <w:lvlText w:val="o"/>
      <w:lvlJc w:val="left"/>
      <w:pPr>
        <w:ind w:left="6120" w:hanging="360"/>
      </w:pPr>
      <w:rPr>
        <w:rFonts w:ascii="Courier New" w:hAnsi="Courier New" w:cs="Courier New" w:hint="default"/>
      </w:rPr>
    </w:lvl>
    <w:lvl w:ilvl="8" w:tplc="041B0005" w:tentative="1">
      <w:start w:val="1"/>
      <w:numFmt w:val="bullet"/>
      <w:lvlText w:val=""/>
      <w:lvlJc w:val="left"/>
      <w:pPr>
        <w:ind w:left="6840" w:hanging="360"/>
      </w:pPr>
      <w:rPr>
        <w:rFonts w:ascii="Wingdings" w:hAnsi="Wingdings" w:cs="Wingdings" w:hint="default"/>
      </w:rPr>
    </w:lvl>
  </w:abstractNum>
  <w:abstractNum w:abstractNumId="124">
    <w:nsid w:val="213519E1"/>
    <w:multiLevelType w:val="hybridMultilevel"/>
    <w:tmpl w:val="23EC61D4"/>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25">
    <w:nsid w:val="21474DFF"/>
    <w:multiLevelType w:val="hybridMultilevel"/>
    <w:tmpl w:val="D0167908"/>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26">
    <w:nsid w:val="217B241E"/>
    <w:multiLevelType w:val="hybridMultilevel"/>
    <w:tmpl w:val="A428FC74"/>
    <w:lvl w:ilvl="0" w:tplc="D968098C">
      <w:start w:val="5"/>
      <w:numFmt w:val="bullet"/>
      <w:lvlText w:val="-"/>
      <w:lvlJc w:val="left"/>
      <w:pPr>
        <w:ind w:left="720" w:hanging="360"/>
      </w:pPr>
      <w:rPr>
        <w:rFonts w:ascii="Calibri" w:eastAsia="Calibri" w:hAnsi="Calibri" w:cs="Calibri"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27">
    <w:nsid w:val="218C1F79"/>
    <w:multiLevelType w:val="hybridMultilevel"/>
    <w:tmpl w:val="1DB88CEA"/>
    <w:lvl w:ilvl="0" w:tplc="041B000B">
      <w:start w:val="1"/>
      <w:numFmt w:val="bullet"/>
      <w:lvlText w:val=""/>
      <w:lvlJc w:val="left"/>
      <w:pPr>
        <w:ind w:left="720" w:hanging="360"/>
      </w:pPr>
      <w:rPr>
        <w:rFonts w:ascii="Wingdings" w:hAnsi="Wingdings"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28">
    <w:nsid w:val="21A91AD6"/>
    <w:multiLevelType w:val="hybridMultilevel"/>
    <w:tmpl w:val="D7C8C432"/>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29">
    <w:nsid w:val="21EC24CC"/>
    <w:multiLevelType w:val="multilevel"/>
    <w:tmpl w:val="E3BEA1DA"/>
    <w:lvl w:ilvl="0">
      <w:start w:val="1"/>
      <w:numFmt w:val="decimal"/>
      <w:lvlText w:val="%1."/>
      <w:lvlJc w:val="center"/>
      <w:pPr>
        <w:tabs>
          <w:tab w:val="num" w:pos="720"/>
        </w:tabs>
        <w:ind w:left="720" w:hanging="360"/>
      </w:pPr>
      <w:rPr>
        <w:rFonts w:hint="default"/>
        <w:u w:val="none"/>
      </w:rPr>
    </w:lvl>
    <w:lvl w:ilvl="1">
      <w:start w:val="1"/>
      <w:numFmt w:val="lowerLetter"/>
      <w:lvlText w:val="%2)"/>
      <w:lvlJc w:val="left"/>
      <w:pPr>
        <w:tabs>
          <w:tab w:val="num" w:pos="1440"/>
        </w:tabs>
        <w:ind w:left="1440" w:hanging="360"/>
      </w:pPr>
      <w:rPr>
        <w:rFonts w:cs="Times New Roman" w:hint="default"/>
      </w:rPr>
    </w:lvl>
    <w:lvl w:ilvl="2">
      <w:start w:val="1"/>
      <w:numFmt w:val="bullet"/>
      <w:lvlText w:val=""/>
      <w:lvlJc w:val="left"/>
      <w:pPr>
        <w:tabs>
          <w:tab w:val="num" w:pos="2160"/>
        </w:tabs>
        <w:ind w:left="2160" w:hanging="360"/>
      </w:pPr>
      <w:rPr>
        <w:rFonts w:ascii="Wingdings" w:hAnsi="Wingdings" w:cs="Wingdings"/>
      </w:rPr>
    </w:lvl>
    <w:lvl w:ilvl="3">
      <w:start w:val="1"/>
      <w:numFmt w:val="bullet"/>
      <w:lvlText w:val=""/>
      <w:lvlJc w:val="left"/>
      <w:pPr>
        <w:tabs>
          <w:tab w:val="num" w:pos="2880"/>
        </w:tabs>
        <w:ind w:left="2880" w:hanging="360"/>
      </w:pPr>
      <w:rPr>
        <w:rFonts w:ascii="Symbol" w:hAnsi="Symbol" w:cs="Symbol"/>
      </w:rPr>
    </w:lvl>
    <w:lvl w:ilvl="4">
      <w:start w:val="1"/>
      <w:numFmt w:val="bullet"/>
      <w:lvlText w:val="o"/>
      <w:lvlJc w:val="left"/>
      <w:pPr>
        <w:tabs>
          <w:tab w:val="num" w:pos="3600"/>
        </w:tabs>
        <w:ind w:left="3600" w:hanging="360"/>
      </w:pPr>
      <w:rPr>
        <w:rFonts w:ascii="Courier New" w:hAnsi="Courier New" w:cs="Courier New"/>
      </w:rPr>
    </w:lvl>
    <w:lvl w:ilvl="5">
      <w:start w:val="1"/>
      <w:numFmt w:val="bullet"/>
      <w:lvlText w:val=""/>
      <w:lvlJc w:val="left"/>
      <w:pPr>
        <w:tabs>
          <w:tab w:val="num" w:pos="4320"/>
        </w:tabs>
        <w:ind w:left="4320" w:hanging="360"/>
      </w:pPr>
      <w:rPr>
        <w:rFonts w:ascii="Wingdings" w:hAnsi="Wingdings" w:cs="Wingdings"/>
      </w:rPr>
    </w:lvl>
    <w:lvl w:ilvl="6">
      <w:start w:val="1"/>
      <w:numFmt w:val="bullet"/>
      <w:lvlText w:val=""/>
      <w:lvlJc w:val="left"/>
      <w:pPr>
        <w:tabs>
          <w:tab w:val="num" w:pos="5040"/>
        </w:tabs>
        <w:ind w:left="5040" w:hanging="360"/>
      </w:pPr>
      <w:rPr>
        <w:rFonts w:ascii="Symbol" w:hAnsi="Symbol" w:cs="Symbol"/>
      </w:rPr>
    </w:lvl>
    <w:lvl w:ilvl="7">
      <w:start w:val="1"/>
      <w:numFmt w:val="bullet"/>
      <w:lvlText w:val="o"/>
      <w:lvlJc w:val="left"/>
      <w:pPr>
        <w:tabs>
          <w:tab w:val="num" w:pos="5760"/>
        </w:tabs>
        <w:ind w:left="5760" w:hanging="360"/>
      </w:pPr>
      <w:rPr>
        <w:rFonts w:ascii="Courier New" w:hAnsi="Courier New" w:cs="Courier New"/>
      </w:rPr>
    </w:lvl>
    <w:lvl w:ilvl="8">
      <w:start w:val="1"/>
      <w:numFmt w:val="bullet"/>
      <w:lvlText w:val=""/>
      <w:lvlJc w:val="left"/>
      <w:pPr>
        <w:tabs>
          <w:tab w:val="num" w:pos="6480"/>
        </w:tabs>
        <w:ind w:left="6480" w:hanging="360"/>
      </w:pPr>
      <w:rPr>
        <w:rFonts w:ascii="Wingdings" w:hAnsi="Wingdings" w:cs="Wingdings"/>
      </w:rPr>
    </w:lvl>
  </w:abstractNum>
  <w:abstractNum w:abstractNumId="130">
    <w:nsid w:val="227B0DF4"/>
    <w:multiLevelType w:val="hybridMultilevel"/>
    <w:tmpl w:val="E3167402"/>
    <w:lvl w:ilvl="0" w:tplc="2466B24E">
      <w:start w:val="1"/>
      <w:numFmt w:val="decimal"/>
      <w:lvlText w:val="%1."/>
      <w:lvlJc w:val="center"/>
      <w:pPr>
        <w:ind w:left="720" w:hanging="360"/>
      </w:pPr>
      <w:rPr>
        <w:rFonts w:hint="default"/>
      </w:rPr>
    </w:lvl>
    <w:lvl w:ilvl="1" w:tplc="9FB0C588">
      <w:start w:val="31"/>
      <w:numFmt w:val="bullet"/>
      <w:lvlText w:val="-"/>
      <w:lvlJc w:val="left"/>
      <w:pPr>
        <w:ind w:left="1440" w:hanging="360"/>
      </w:pPr>
      <w:rPr>
        <w:rFonts w:ascii="Calibri" w:eastAsia="Times New Roman" w:hAnsi="Calibri"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31">
    <w:nsid w:val="2280430F"/>
    <w:multiLevelType w:val="hybridMultilevel"/>
    <w:tmpl w:val="AB380E9A"/>
    <w:lvl w:ilvl="0" w:tplc="041B0017">
      <w:start w:val="1"/>
      <w:numFmt w:val="lowerLetter"/>
      <w:lvlText w:val="%1)"/>
      <w:lvlJc w:val="left"/>
      <w:pPr>
        <w:ind w:left="720" w:hanging="360"/>
      </w:p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132">
    <w:nsid w:val="228E4F70"/>
    <w:multiLevelType w:val="hybridMultilevel"/>
    <w:tmpl w:val="8034DA14"/>
    <w:lvl w:ilvl="0" w:tplc="041B0017">
      <w:start w:val="1"/>
      <w:numFmt w:val="lowerLetter"/>
      <w:lvlText w:val="%1)"/>
      <w:lvlJc w:val="left"/>
      <w:pPr>
        <w:ind w:left="1004" w:hanging="360"/>
      </w:pPr>
    </w:lvl>
    <w:lvl w:ilvl="1" w:tplc="041B0019">
      <w:start w:val="1"/>
      <w:numFmt w:val="lowerLetter"/>
      <w:lvlText w:val="%2."/>
      <w:lvlJc w:val="left"/>
      <w:pPr>
        <w:ind w:left="1724" w:hanging="360"/>
      </w:pPr>
    </w:lvl>
    <w:lvl w:ilvl="2" w:tplc="041B001B" w:tentative="1">
      <w:start w:val="1"/>
      <w:numFmt w:val="lowerRoman"/>
      <w:lvlText w:val="%3."/>
      <w:lvlJc w:val="right"/>
      <w:pPr>
        <w:ind w:left="2444" w:hanging="180"/>
      </w:pPr>
    </w:lvl>
    <w:lvl w:ilvl="3" w:tplc="041B000F" w:tentative="1">
      <w:start w:val="1"/>
      <w:numFmt w:val="decimal"/>
      <w:lvlText w:val="%4."/>
      <w:lvlJc w:val="left"/>
      <w:pPr>
        <w:ind w:left="3164" w:hanging="360"/>
      </w:pPr>
    </w:lvl>
    <w:lvl w:ilvl="4" w:tplc="041B0019" w:tentative="1">
      <w:start w:val="1"/>
      <w:numFmt w:val="lowerLetter"/>
      <w:lvlText w:val="%5."/>
      <w:lvlJc w:val="left"/>
      <w:pPr>
        <w:ind w:left="3884" w:hanging="360"/>
      </w:pPr>
    </w:lvl>
    <w:lvl w:ilvl="5" w:tplc="041B001B" w:tentative="1">
      <w:start w:val="1"/>
      <w:numFmt w:val="lowerRoman"/>
      <w:lvlText w:val="%6."/>
      <w:lvlJc w:val="right"/>
      <w:pPr>
        <w:ind w:left="4604" w:hanging="180"/>
      </w:pPr>
    </w:lvl>
    <w:lvl w:ilvl="6" w:tplc="041B000F" w:tentative="1">
      <w:start w:val="1"/>
      <w:numFmt w:val="decimal"/>
      <w:lvlText w:val="%7."/>
      <w:lvlJc w:val="left"/>
      <w:pPr>
        <w:ind w:left="5324" w:hanging="360"/>
      </w:pPr>
    </w:lvl>
    <w:lvl w:ilvl="7" w:tplc="041B0019" w:tentative="1">
      <w:start w:val="1"/>
      <w:numFmt w:val="lowerLetter"/>
      <w:lvlText w:val="%8."/>
      <w:lvlJc w:val="left"/>
      <w:pPr>
        <w:ind w:left="6044" w:hanging="360"/>
      </w:pPr>
    </w:lvl>
    <w:lvl w:ilvl="8" w:tplc="041B001B" w:tentative="1">
      <w:start w:val="1"/>
      <w:numFmt w:val="lowerRoman"/>
      <w:lvlText w:val="%9."/>
      <w:lvlJc w:val="right"/>
      <w:pPr>
        <w:ind w:left="6764" w:hanging="180"/>
      </w:pPr>
    </w:lvl>
  </w:abstractNum>
  <w:abstractNum w:abstractNumId="133">
    <w:nsid w:val="234375B2"/>
    <w:multiLevelType w:val="hybridMultilevel"/>
    <w:tmpl w:val="DC485A10"/>
    <w:lvl w:ilvl="0" w:tplc="041B0017">
      <w:start w:val="1"/>
      <w:numFmt w:val="lowerLetter"/>
      <w:lvlText w:val="%1)"/>
      <w:lvlJc w:val="left"/>
      <w:pPr>
        <w:ind w:left="1065" w:hanging="705"/>
      </w:pPr>
      <w:rPr>
        <w:rFonts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34">
    <w:nsid w:val="246B5B40"/>
    <w:multiLevelType w:val="hybridMultilevel"/>
    <w:tmpl w:val="EBB4FBB0"/>
    <w:lvl w:ilvl="0" w:tplc="041B000F">
      <w:start w:val="1"/>
      <w:numFmt w:val="decimal"/>
      <w:lvlText w:val="%1."/>
      <w:lvlJc w:val="left"/>
      <w:pPr>
        <w:tabs>
          <w:tab w:val="num" w:pos="720"/>
        </w:tabs>
        <w:ind w:left="720" w:hanging="360"/>
      </w:pPr>
      <w:rPr>
        <w:rFonts w:hint="default"/>
      </w:rPr>
    </w:lvl>
    <w:lvl w:ilvl="1" w:tplc="041B0003" w:tentative="1">
      <w:start w:val="1"/>
      <w:numFmt w:val="bullet"/>
      <w:lvlText w:val="o"/>
      <w:lvlJc w:val="left"/>
      <w:pPr>
        <w:tabs>
          <w:tab w:val="num" w:pos="1440"/>
        </w:tabs>
        <w:ind w:left="1440" w:hanging="360"/>
      </w:pPr>
      <w:rPr>
        <w:rFonts w:ascii="Courier New" w:hAnsi="Courier New" w:cs="Courier New" w:hint="default"/>
      </w:rPr>
    </w:lvl>
    <w:lvl w:ilvl="2" w:tplc="041B0005" w:tentative="1">
      <w:start w:val="1"/>
      <w:numFmt w:val="bullet"/>
      <w:lvlText w:val=""/>
      <w:lvlJc w:val="left"/>
      <w:pPr>
        <w:tabs>
          <w:tab w:val="num" w:pos="2160"/>
        </w:tabs>
        <w:ind w:left="2160" w:hanging="360"/>
      </w:pPr>
      <w:rPr>
        <w:rFonts w:ascii="Wingdings" w:hAnsi="Wingdings" w:hint="default"/>
      </w:rPr>
    </w:lvl>
    <w:lvl w:ilvl="3" w:tplc="041B0001" w:tentative="1">
      <w:start w:val="1"/>
      <w:numFmt w:val="bullet"/>
      <w:lvlText w:val=""/>
      <w:lvlJc w:val="left"/>
      <w:pPr>
        <w:tabs>
          <w:tab w:val="num" w:pos="2880"/>
        </w:tabs>
        <w:ind w:left="2880" w:hanging="360"/>
      </w:pPr>
      <w:rPr>
        <w:rFonts w:ascii="Symbol" w:hAnsi="Symbol" w:hint="default"/>
      </w:rPr>
    </w:lvl>
    <w:lvl w:ilvl="4" w:tplc="041B0003" w:tentative="1">
      <w:start w:val="1"/>
      <w:numFmt w:val="bullet"/>
      <w:lvlText w:val="o"/>
      <w:lvlJc w:val="left"/>
      <w:pPr>
        <w:tabs>
          <w:tab w:val="num" w:pos="3600"/>
        </w:tabs>
        <w:ind w:left="3600" w:hanging="360"/>
      </w:pPr>
      <w:rPr>
        <w:rFonts w:ascii="Courier New" w:hAnsi="Courier New" w:cs="Courier New" w:hint="default"/>
      </w:rPr>
    </w:lvl>
    <w:lvl w:ilvl="5" w:tplc="041B0005" w:tentative="1">
      <w:start w:val="1"/>
      <w:numFmt w:val="bullet"/>
      <w:lvlText w:val=""/>
      <w:lvlJc w:val="left"/>
      <w:pPr>
        <w:tabs>
          <w:tab w:val="num" w:pos="4320"/>
        </w:tabs>
        <w:ind w:left="4320" w:hanging="360"/>
      </w:pPr>
      <w:rPr>
        <w:rFonts w:ascii="Wingdings" w:hAnsi="Wingdings" w:hint="default"/>
      </w:rPr>
    </w:lvl>
    <w:lvl w:ilvl="6" w:tplc="041B0001" w:tentative="1">
      <w:start w:val="1"/>
      <w:numFmt w:val="bullet"/>
      <w:lvlText w:val=""/>
      <w:lvlJc w:val="left"/>
      <w:pPr>
        <w:tabs>
          <w:tab w:val="num" w:pos="5040"/>
        </w:tabs>
        <w:ind w:left="5040" w:hanging="360"/>
      </w:pPr>
      <w:rPr>
        <w:rFonts w:ascii="Symbol" w:hAnsi="Symbol" w:hint="default"/>
      </w:rPr>
    </w:lvl>
    <w:lvl w:ilvl="7" w:tplc="041B0003" w:tentative="1">
      <w:start w:val="1"/>
      <w:numFmt w:val="bullet"/>
      <w:lvlText w:val="o"/>
      <w:lvlJc w:val="left"/>
      <w:pPr>
        <w:tabs>
          <w:tab w:val="num" w:pos="5760"/>
        </w:tabs>
        <w:ind w:left="5760" w:hanging="360"/>
      </w:pPr>
      <w:rPr>
        <w:rFonts w:ascii="Courier New" w:hAnsi="Courier New" w:cs="Courier New" w:hint="default"/>
      </w:rPr>
    </w:lvl>
    <w:lvl w:ilvl="8" w:tplc="041B0005" w:tentative="1">
      <w:start w:val="1"/>
      <w:numFmt w:val="bullet"/>
      <w:lvlText w:val=""/>
      <w:lvlJc w:val="left"/>
      <w:pPr>
        <w:tabs>
          <w:tab w:val="num" w:pos="6480"/>
        </w:tabs>
        <w:ind w:left="6480" w:hanging="360"/>
      </w:pPr>
      <w:rPr>
        <w:rFonts w:ascii="Wingdings" w:hAnsi="Wingdings" w:hint="default"/>
      </w:rPr>
    </w:lvl>
  </w:abstractNum>
  <w:abstractNum w:abstractNumId="135">
    <w:nsid w:val="24B909BD"/>
    <w:multiLevelType w:val="hybridMultilevel"/>
    <w:tmpl w:val="A45C0214"/>
    <w:lvl w:ilvl="0" w:tplc="041B000F">
      <w:start w:val="1"/>
      <w:numFmt w:val="decimal"/>
      <w:lvlText w:val="%1."/>
      <w:lvlJc w:val="left"/>
      <w:pPr>
        <w:ind w:left="720" w:hanging="360"/>
      </w:p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136">
    <w:nsid w:val="24D65415"/>
    <w:multiLevelType w:val="hybridMultilevel"/>
    <w:tmpl w:val="54024E9E"/>
    <w:lvl w:ilvl="0" w:tplc="674E832A">
      <w:numFmt w:val="bullet"/>
      <w:lvlText w:val="-"/>
      <w:lvlJc w:val="left"/>
      <w:pPr>
        <w:ind w:left="720" w:hanging="360"/>
      </w:pPr>
      <w:rPr>
        <w:rFonts w:ascii="Calibri" w:eastAsia="Times New Roman" w:hAnsi="Calibri" w:cs="Times New Roman" w:hint="default"/>
      </w:rPr>
    </w:lvl>
    <w:lvl w:ilvl="1" w:tplc="041B0003">
      <w:start w:val="1"/>
      <w:numFmt w:val="bullet"/>
      <w:lvlText w:val="o"/>
      <w:lvlJc w:val="left"/>
      <w:pPr>
        <w:ind w:left="1440" w:hanging="360"/>
      </w:pPr>
      <w:rPr>
        <w:rFonts w:ascii="Courier New" w:hAnsi="Courier New" w:cs="Courier New" w:hint="default"/>
      </w:rPr>
    </w:lvl>
    <w:lvl w:ilvl="2" w:tplc="041B0005">
      <w:start w:val="1"/>
      <w:numFmt w:val="bullet"/>
      <w:lvlText w:val=""/>
      <w:lvlJc w:val="left"/>
      <w:pPr>
        <w:ind w:left="2160" w:hanging="360"/>
      </w:pPr>
      <w:rPr>
        <w:rFonts w:ascii="Wingdings" w:hAnsi="Wingdings" w:hint="default"/>
      </w:rPr>
    </w:lvl>
    <w:lvl w:ilvl="3" w:tplc="041B0001">
      <w:start w:val="1"/>
      <w:numFmt w:val="bullet"/>
      <w:lvlText w:val=""/>
      <w:lvlJc w:val="left"/>
      <w:pPr>
        <w:ind w:left="2880" w:hanging="360"/>
      </w:pPr>
      <w:rPr>
        <w:rFonts w:ascii="Symbol" w:hAnsi="Symbol" w:hint="default"/>
      </w:rPr>
    </w:lvl>
    <w:lvl w:ilvl="4" w:tplc="041B0003">
      <w:start w:val="1"/>
      <w:numFmt w:val="bullet"/>
      <w:lvlText w:val="o"/>
      <w:lvlJc w:val="left"/>
      <w:pPr>
        <w:ind w:left="3600" w:hanging="360"/>
      </w:pPr>
      <w:rPr>
        <w:rFonts w:ascii="Courier New" w:hAnsi="Courier New" w:cs="Courier New" w:hint="default"/>
      </w:rPr>
    </w:lvl>
    <w:lvl w:ilvl="5" w:tplc="041B0005">
      <w:start w:val="1"/>
      <w:numFmt w:val="bullet"/>
      <w:lvlText w:val=""/>
      <w:lvlJc w:val="left"/>
      <w:pPr>
        <w:ind w:left="4320" w:hanging="360"/>
      </w:pPr>
      <w:rPr>
        <w:rFonts w:ascii="Wingdings" w:hAnsi="Wingdings" w:hint="default"/>
      </w:rPr>
    </w:lvl>
    <w:lvl w:ilvl="6" w:tplc="041B0001">
      <w:start w:val="1"/>
      <w:numFmt w:val="bullet"/>
      <w:lvlText w:val=""/>
      <w:lvlJc w:val="left"/>
      <w:pPr>
        <w:ind w:left="5040" w:hanging="360"/>
      </w:pPr>
      <w:rPr>
        <w:rFonts w:ascii="Symbol" w:hAnsi="Symbol" w:hint="default"/>
      </w:rPr>
    </w:lvl>
    <w:lvl w:ilvl="7" w:tplc="041B0003">
      <w:start w:val="1"/>
      <w:numFmt w:val="bullet"/>
      <w:lvlText w:val="o"/>
      <w:lvlJc w:val="left"/>
      <w:pPr>
        <w:ind w:left="5760" w:hanging="360"/>
      </w:pPr>
      <w:rPr>
        <w:rFonts w:ascii="Courier New" w:hAnsi="Courier New" w:cs="Courier New" w:hint="default"/>
      </w:rPr>
    </w:lvl>
    <w:lvl w:ilvl="8" w:tplc="041B0005">
      <w:start w:val="1"/>
      <w:numFmt w:val="bullet"/>
      <w:lvlText w:val=""/>
      <w:lvlJc w:val="left"/>
      <w:pPr>
        <w:ind w:left="6480" w:hanging="360"/>
      </w:pPr>
      <w:rPr>
        <w:rFonts w:ascii="Wingdings" w:hAnsi="Wingdings" w:hint="default"/>
      </w:rPr>
    </w:lvl>
  </w:abstractNum>
  <w:abstractNum w:abstractNumId="137">
    <w:nsid w:val="25B13A6E"/>
    <w:multiLevelType w:val="hybridMultilevel"/>
    <w:tmpl w:val="AD9E2354"/>
    <w:lvl w:ilvl="0" w:tplc="041B0001">
      <w:start w:val="1"/>
      <w:numFmt w:val="bullet"/>
      <w:lvlText w:val=""/>
      <w:lvlJc w:val="left"/>
      <w:pPr>
        <w:tabs>
          <w:tab w:val="num" w:pos="360"/>
        </w:tabs>
        <w:ind w:left="360" w:hanging="360"/>
      </w:pPr>
      <w:rPr>
        <w:rFonts w:ascii="Symbol" w:hAnsi="Symbol" w:hint="default"/>
        <w:color w:val="auto"/>
      </w:rPr>
    </w:lvl>
    <w:lvl w:ilvl="1" w:tplc="041B0003">
      <w:start w:val="1"/>
      <w:numFmt w:val="bullet"/>
      <w:lvlText w:val="o"/>
      <w:lvlJc w:val="left"/>
      <w:pPr>
        <w:tabs>
          <w:tab w:val="num" w:pos="1440"/>
        </w:tabs>
        <w:ind w:left="1440" w:hanging="360"/>
      </w:pPr>
      <w:rPr>
        <w:rFonts w:ascii="Courier New" w:hAnsi="Courier New" w:cs="Courier New" w:hint="default"/>
      </w:rPr>
    </w:lvl>
    <w:lvl w:ilvl="2" w:tplc="041B0005">
      <w:start w:val="1"/>
      <w:numFmt w:val="bullet"/>
      <w:lvlText w:val=""/>
      <w:lvlJc w:val="left"/>
      <w:pPr>
        <w:tabs>
          <w:tab w:val="num" w:pos="2160"/>
        </w:tabs>
        <w:ind w:left="2160" w:hanging="360"/>
      </w:pPr>
      <w:rPr>
        <w:rFonts w:ascii="Wingdings" w:hAnsi="Wingdings" w:hint="default"/>
      </w:rPr>
    </w:lvl>
    <w:lvl w:ilvl="3" w:tplc="041B0001">
      <w:start w:val="1"/>
      <w:numFmt w:val="bullet"/>
      <w:lvlText w:val=""/>
      <w:lvlJc w:val="left"/>
      <w:pPr>
        <w:tabs>
          <w:tab w:val="num" w:pos="2880"/>
        </w:tabs>
        <w:ind w:left="2880" w:hanging="360"/>
      </w:pPr>
      <w:rPr>
        <w:rFonts w:ascii="Symbol" w:hAnsi="Symbol" w:hint="default"/>
      </w:rPr>
    </w:lvl>
    <w:lvl w:ilvl="4" w:tplc="041B0003">
      <w:start w:val="1"/>
      <w:numFmt w:val="bullet"/>
      <w:lvlText w:val="o"/>
      <w:lvlJc w:val="left"/>
      <w:pPr>
        <w:tabs>
          <w:tab w:val="num" w:pos="3600"/>
        </w:tabs>
        <w:ind w:left="3600" w:hanging="360"/>
      </w:pPr>
      <w:rPr>
        <w:rFonts w:ascii="Courier New" w:hAnsi="Courier New" w:cs="Courier New" w:hint="default"/>
      </w:rPr>
    </w:lvl>
    <w:lvl w:ilvl="5" w:tplc="041B0005">
      <w:start w:val="1"/>
      <w:numFmt w:val="bullet"/>
      <w:lvlText w:val=""/>
      <w:lvlJc w:val="left"/>
      <w:pPr>
        <w:tabs>
          <w:tab w:val="num" w:pos="4320"/>
        </w:tabs>
        <w:ind w:left="4320" w:hanging="360"/>
      </w:pPr>
      <w:rPr>
        <w:rFonts w:ascii="Wingdings" w:hAnsi="Wingdings" w:hint="default"/>
      </w:rPr>
    </w:lvl>
    <w:lvl w:ilvl="6" w:tplc="041B0001">
      <w:start w:val="1"/>
      <w:numFmt w:val="bullet"/>
      <w:lvlText w:val=""/>
      <w:lvlJc w:val="left"/>
      <w:pPr>
        <w:tabs>
          <w:tab w:val="num" w:pos="5040"/>
        </w:tabs>
        <w:ind w:left="5040" w:hanging="360"/>
      </w:pPr>
      <w:rPr>
        <w:rFonts w:ascii="Symbol" w:hAnsi="Symbol" w:hint="default"/>
      </w:rPr>
    </w:lvl>
    <w:lvl w:ilvl="7" w:tplc="041B0003">
      <w:start w:val="1"/>
      <w:numFmt w:val="bullet"/>
      <w:lvlText w:val="o"/>
      <w:lvlJc w:val="left"/>
      <w:pPr>
        <w:tabs>
          <w:tab w:val="num" w:pos="5760"/>
        </w:tabs>
        <w:ind w:left="5760" w:hanging="360"/>
      </w:pPr>
      <w:rPr>
        <w:rFonts w:ascii="Courier New" w:hAnsi="Courier New" w:cs="Courier New" w:hint="default"/>
      </w:rPr>
    </w:lvl>
    <w:lvl w:ilvl="8" w:tplc="041B0005">
      <w:start w:val="1"/>
      <w:numFmt w:val="bullet"/>
      <w:lvlText w:val=""/>
      <w:lvlJc w:val="left"/>
      <w:pPr>
        <w:tabs>
          <w:tab w:val="num" w:pos="6480"/>
        </w:tabs>
        <w:ind w:left="6480" w:hanging="360"/>
      </w:pPr>
      <w:rPr>
        <w:rFonts w:ascii="Wingdings" w:hAnsi="Wingdings" w:hint="default"/>
      </w:rPr>
    </w:lvl>
  </w:abstractNum>
  <w:abstractNum w:abstractNumId="138">
    <w:nsid w:val="25FF572C"/>
    <w:multiLevelType w:val="hybridMultilevel"/>
    <w:tmpl w:val="E7AE8EBA"/>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39">
    <w:nsid w:val="26251032"/>
    <w:multiLevelType w:val="hybridMultilevel"/>
    <w:tmpl w:val="67CEADBA"/>
    <w:lvl w:ilvl="0" w:tplc="8D4C07C2">
      <w:start w:val="1"/>
      <w:numFmt w:val="bullet"/>
      <w:lvlText w:val=""/>
      <w:lvlJc w:val="left"/>
      <w:pPr>
        <w:tabs>
          <w:tab w:val="num" w:pos="360"/>
        </w:tabs>
        <w:ind w:left="360" w:hanging="360"/>
      </w:pPr>
      <w:rPr>
        <w:rFonts w:ascii="Wingdings" w:hAnsi="Wingdings" w:hint="default"/>
        <w:color w:val="auto"/>
      </w:rPr>
    </w:lvl>
    <w:lvl w:ilvl="1" w:tplc="041B0003" w:tentative="1">
      <w:start w:val="1"/>
      <w:numFmt w:val="bullet"/>
      <w:lvlText w:val="o"/>
      <w:lvlJc w:val="left"/>
      <w:pPr>
        <w:tabs>
          <w:tab w:val="num" w:pos="1440"/>
        </w:tabs>
        <w:ind w:left="1440" w:hanging="360"/>
      </w:pPr>
      <w:rPr>
        <w:rFonts w:ascii="Courier New" w:hAnsi="Courier New" w:cs="Courier New" w:hint="default"/>
      </w:rPr>
    </w:lvl>
    <w:lvl w:ilvl="2" w:tplc="041B0005" w:tentative="1">
      <w:start w:val="1"/>
      <w:numFmt w:val="bullet"/>
      <w:lvlText w:val=""/>
      <w:lvlJc w:val="left"/>
      <w:pPr>
        <w:tabs>
          <w:tab w:val="num" w:pos="2160"/>
        </w:tabs>
        <w:ind w:left="2160" w:hanging="360"/>
      </w:pPr>
      <w:rPr>
        <w:rFonts w:ascii="Wingdings" w:hAnsi="Wingdings" w:hint="default"/>
      </w:rPr>
    </w:lvl>
    <w:lvl w:ilvl="3" w:tplc="041B0001" w:tentative="1">
      <w:start w:val="1"/>
      <w:numFmt w:val="bullet"/>
      <w:lvlText w:val=""/>
      <w:lvlJc w:val="left"/>
      <w:pPr>
        <w:tabs>
          <w:tab w:val="num" w:pos="2880"/>
        </w:tabs>
        <w:ind w:left="2880" w:hanging="360"/>
      </w:pPr>
      <w:rPr>
        <w:rFonts w:ascii="Symbol" w:hAnsi="Symbol" w:hint="default"/>
      </w:rPr>
    </w:lvl>
    <w:lvl w:ilvl="4" w:tplc="041B0003" w:tentative="1">
      <w:start w:val="1"/>
      <w:numFmt w:val="bullet"/>
      <w:lvlText w:val="o"/>
      <w:lvlJc w:val="left"/>
      <w:pPr>
        <w:tabs>
          <w:tab w:val="num" w:pos="3600"/>
        </w:tabs>
        <w:ind w:left="3600" w:hanging="360"/>
      </w:pPr>
      <w:rPr>
        <w:rFonts w:ascii="Courier New" w:hAnsi="Courier New" w:cs="Courier New" w:hint="default"/>
      </w:rPr>
    </w:lvl>
    <w:lvl w:ilvl="5" w:tplc="041B0005" w:tentative="1">
      <w:start w:val="1"/>
      <w:numFmt w:val="bullet"/>
      <w:lvlText w:val=""/>
      <w:lvlJc w:val="left"/>
      <w:pPr>
        <w:tabs>
          <w:tab w:val="num" w:pos="4320"/>
        </w:tabs>
        <w:ind w:left="4320" w:hanging="360"/>
      </w:pPr>
      <w:rPr>
        <w:rFonts w:ascii="Wingdings" w:hAnsi="Wingdings" w:hint="default"/>
      </w:rPr>
    </w:lvl>
    <w:lvl w:ilvl="6" w:tplc="041B0001" w:tentative="1">
      <w:start w:val="1"/>
      <w:numFmt w:val="bullet"/>
      <w:lvlText w:val=""/>
      <w:lvlJc w:val="left"/>
      <w:pPr>
        <w:tabs>
          <w:tab w:val="num" w:pos="5040"/>
        </w:tabs>
        <w:ind w:left="5040" w:hanging="360"/>
      </w:pPr>
      <w:rPr>
        <w:rFonts w:ascii="Symbol" w:hAnsi="Symbol" w:hint="default"/>
      </w:rPr>
    </w:lvl>
    <w:lvl w:ilvl="7" w:tplc="041B0003" w:tentative="1">
      <w:start w:val="1"/>
      <w:numFmt w:val="bullet"/>
      <w:lvlText w:val="o"/>
      <w:lvlJc w:val="left"/>
      <w:pPr>
        <w:tabs>
          <w:tab w:val="num" w:pos="5760"/>
        </w:tabs>
        <w:ind w:left="5760" w:hanging="360"/>
      </w:pPr>
      <w:rPr>
        <w:rFonts w:ascii="Courier New" w:hAnsi="Courier New" w:cs="Courier New" w:hint="default"/>
      </w:rPr>
    </w:lvl>
    <w:lvl w:ilvl="8" w:tplc="041B0005" w:tentative="1">
      <w:start w:val="1"/>
      <w:numFmt w:val="bullet"/>
      <w:lvlText w:val=""/>
      <w:lvlJc w:val="left"/>
      <w:pPr>
        <w:tabs>
          <w:tab w:val="num" w:pos="6480"/>
        </w:tabs>
        <w:ind w:left="6480" w:hanging="360"/>
      </w:pPr>
      <w:rPr>
        <w:rFonts w:ascii="Wingdings" w:hAnsi="Wingdings" w:hint="default"/>
      </w:rPr>
    </w:lvl>
  </w:abstractNum>
  <w:abstractNum w:abstractNumId="140">
    <w:nsid w:val="263866F8"/>
    <w:multiLevelType w:val="hybridMultilevel"/>
    <w:tmpl w:val="1B7E0E00"/>
    <w:lvl w:ilvl="0" w:tplc="5FFEFBF0">
      <w:start w:val="1"/>
      <w:numFmt w:val="decimal"/>
      <w:lvlText w:val="%1."/>
      <w:lvlJc w:val="left"/>
      <w:pPr>
        <w:ind w:left="720" w:hanging="360"/>
      </w:pPr>
      <w:rPr>
        <w:rFonts w:ascii="Times New Roman" w:eastAsia="Calibri" w:hAnsi="Times New Roman" w:cs="Times New Roman" w:hint="default"/>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141">
    <w:nsid w:val="26D61CD7"/>
    <w:multiLevelType w:val="hybridMultilevel"/>
    <w:tmpl w:val="83F61E80"/>
    <w:lvl w:ilvl="0" w:tplc="9FB0C588">
      <w:start w:val="31"/>
      <w:numFmt w:val="bullet"/>
      <w:lvlText w:val="-"/>
      <w:lvlJc w:val="left"/>
      <w:pPr>
        <w:ind w:left="720" w:hanging="360"/>
      </w:pPr>
      <w:rPr>
        <w:rFonts w:ascii="Calibri" w:eastAsia="Times New Roman" w:hAnsi="Calibri"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42">
    <w:nsid w:val="270F1E19"/>
    <w:multiLevelType w:val="hybridMultilevel"/>
    <w:tmpl w:val="309092D8"/>
    <w:lvl w:ilvl="0" w:tplc="FC2A5A98">
      <w:start w:val="3"/>
      <w:numFmt w:val="bullet"/>
      <w:lvlText w:val="-"/>
      <w:lvlJc w:val="left"/>
      <w:pPr>
        <w:ind w:left="720" w:hanging="360"/>
      </w:pPr>
      <w:rPr>
        <w:rFonts w:ascii="Times New Roman" w:eastAsia="Times New Roman" w:hAnsi="Times New Roman" w:hint="default"/>
      </w:rPr>
    </w:lvl>
    <w:lvl w:ilvl="1" w:tplc="041B0003">
      <w:start w:val="1"/>
      <w:numFmt w:val="bullet"/>
      <w:lvlText w:val="o"/>
      <w:lvlJc w:val="left"/>
      <w:pPr>
        <w:ind w:left="1440" w:hanging="360"/>
      </w:pPr>
      <w:rPr>
        <w:rFonts w:ascii="Courier New" w:hAnsi="Courier New" w:cs="Courier New" w:hint="default"/>
      </w:rPr>
    </w:lvl>
    <w:lvl w:ilvl="2" w:tplc="041B0005">
      <w:start w:val="1"/>
      <w:numFmt w:val="bullet"/>
      <w:lvlText w:val=""/>
      <w:lvlJc w:val="left"/>
      <w:pPr>
        <w:ind w:left="2160" w:hanging="360"/>
      </w:pPr>
      <w:rPr>
        <w:rFonts w:ascii="Wingdings" w:hAnsi="Wingdings" w:cs="Wingdings" w:hint="default"/>
      </w:rPr>
    </w:lvl>
    <w:lvl w:ilvl="3" w:tplc="041B0001">
      <w:start w:val="1"/>
      <w:numFmt w:val="bullet"/>
      <w:lvlText w:val=""/>
      <w:lvlJc w:val="left"/>
      <w:pPr>
        <w:ind w:left="2880" w:hanging="360"/>
      </w:pPr>
      <w:rPr>
        <w:rFonts w:ascii="Symbol" w:hAnsi="Symbol" w:cs="Symbol" w:hint="default"/>
      </w:rPr>
    </w:lvl>
    <w:lvl w:ilvl="4" w:tplc="041B0003">
      <w:start w:val="1"/>
      <w:numFmt w:val="bullet"/>
      <w:lvlText w:val="o"/>
      <w:lvlJc w:val="left"/>
      <w:pPr>
        <w:ind w:left="3600" w:hanging="360"/>
      </w:pPr>
      <w:rPr>
        <w:rFonts w:ascii="Courier New" w:hAnsi="Courier New" w:cs="Courier New" w:hint="default"/>
      </w:rPr>
    </w:lvl>
    <w:lvl w:ilvl="5" w:tplc="041B0005">
      <w:start w:val="1"/>
      <w:numFmt w:val="bullet"/>
      <w:lvlText w:val=""/>
      <w:lvlJc w:val="left"/>
      <w:pPr>
        <w:ind w:left="4320" w:hanging="360"/>
      </w:pPr>
      <w:rPr>
        <w:rFonts w:ascii="Wingdings" w:hAnsi="Wingdings" w:cs="Wingdings" w:hint="default"/>
      </w:rPr>
    </w:lvl>
    <w:lvl w:ilvl="6" w:tplc="041B0001">
      <w:start w:val="1"/>
      <w:numFmt w:val="bullet"/>
      <w:lvlText w:val=""/>
      <w:lvlJc w:val="left"/>
      <w:pPr>
        <w:ind w:left="5040" w:hanging="360"/>
      </w:pPr>
      <w:rPr>
        <w:rFonts w:ascii="Symbol" w:hAnsi="Symbol" w:cs="Symbol" w:hint="default"/>
      </w:rPr>
    </w:lvl>
    <w:lvl w:ilvl="7" w:tplc="041B0003">
      <w:start w:val="1"/>
      <w:numFmt w:val="bullet"/>
      <w:lvlText w:val="o"/>
      <w:lvlJc w:val="left"/>
      <w:pPr>
        <w:ind w:left="5760" w:hanging="360"/>
      </w:pPr>
      <w:rPr>
        <w:rFonts w:ascii="Courier New" w:hAnsi="Courier New" w:cs="Courier New" w:hint="default"/>
      </w:rPr>
    </w:lvl>
    <w:lvl w:ilvl="8" w:tplc="041B0005">
      <w:start w:val="1"/>
      <w:numFmt w:val="bullet"/>
      <w:lvlText w:val=""/>
      <w:lvlJc w:val="left"/>
      <w:pPr>
        <w:ind w:left="6480" w:hanging="360"/>
      </w:pPr>
      <w:rPr>
        <w:rFonts w:ascii="Wingdings" w:hAnsi="Wingdings" w:cs="Wingdings" w:hint="default"/>
      </w:rPr>
    </w:lvl>
  </w:abstractNum>
  <w:abstractNum w:abstractNumId="143">
    <w:nsid w:val="27372D42"/>
    <w:multiLevelType w:val="hybridMultilevel"/>
    <w:tmpl w:val="F984CDA0"/>
    <w:lvl w:ilvl="0" w:tplc="F61E96F2">
      <w:numFmt w:val="bullet"/>
      <w:lvlText w:val="-"/>
      <w:lvlJc w:val="left"/>
      <w:pPr>
        <w:ind w:left="720" w:hanging="360"/>
      </w:pPr>
      <w:rPr>
        <w:rFonts w:ascii="Times New Roman" w:eastAsia="Times New Roman" w:hAnsi="Times New Roman"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44">
    <w:nsid w:val="27812F76"/>
    <w:multiLevelType w:val="multilevel"/>
    <w:tmpl w:val="6DD2884A"/>
    <w:numStyleLink w:val="Aktulnyzoznam1"/>
  </w:abstractNum>
  <w:abstractNum w:abstractNumId="145">
    <w:nsid w:val="27AA5587"/>
    <w:multiLevelType w:val="multilevel"/>
    <w:tmpl w:val="B6E89A42"/>
    <w:lvl w:ilvl="0">
      <w:start w:val="1"/>
      <w:numFmt w:val="bullet"/>
      <w:lvlText w:val=""/>
      <w:lvlJc w:val="left"/>
      <w:pPr>
        <w:tabs>
          <w:tab w:val="num" w:pos="360"/>
        </w:tabs>
        <w:ind w:left="360" w:hanging="360"/>
      </w:pPr>
      <w:rPr>
        <w:rFonts w:ascii="Symbol" w:hAnsi="Symbol" w:hint="default"/>
      </w:rPr>
    </w:lvl>
    <w:lvl w:ilvl="1">
      <w:start w:val="1"/>
      <w:numFmt w:val="bullet"/>
      <w:lvlText w:val=""/>
      <w:lvlJc w:val="left"/>
      <w:pPr>
        <w:tabs>
          <w:tab w:val="num" w:pos="720"/>
        </w:tabs>
        <w:ind w:left="720" w:hanging="360"/>
      </w:pPr>
      <w:rPr>
        <w:rFonts w:ascii="Wingdings" w:hAnsi="Wingdings" w:cs="OpenSymbol"/>
      </w:rPr>
    </w:lvl>
    <w:lvl w:ilvl="2">
      <w:start w:val="1"/>
      <w:numFmt w:val="bullet"/>
      <w:lvlText w:val=""/>
      <w:lvlJc w:val="left"/>
      <w:pPr>
        <w:tabs>
          <w:tab w:val="num" w:pos="1080"/>
        </w:tabs>
        <w:ind w:left="1080" w:hanging="360"/>
      </w:pPr>
      <w:rPr>
        <w:rFonts w:ascii="Wingdings" w:hAnsi="Wingdings" w:cs="OpenSymbol"/>
      </w:rPr>
    </w:lvl>
    <w:lvl w:ilvl="3">
      <w:start w:val="1"/>
      <w:numFmt w:val="bullet"/>
      <w:lvlText w:val=""/>
      <w:lvlJc w:val="left"/>
      <w:pPr>
        <w:tabs>
          <w:tab w:val="num" w:pos="1440"/>
        </w:tabs>
        <w:ind w:left="1440" w:hanging="360"/>
      </w:pPr>
      <w:rPr>
        <w:rFonts w:ascii="Wingdings" w:hAnsi="Wingdings" w:cs="OpenSymbol"/>
      </w:rPr>
    </w:lvl>
    <w:lvl w:ilvl="4">
      <w:start w:val="1"/>
      <w:numFmt w:val="bullet"/>
      <w:lvlText w:val=""/>
      <w:lvlJc w:val="left"/>
      <w:pPr>
        <w:tabs>
          <w:tab w:val="num" w:pos="1800"/>
        </w:tabs>
        <w:ind w:left="1800" w:hanging="360"/>
      </w:pPr>
      <w:rPr>
        <w:rFonts w:ascii="Wingdings" w:hAnsi="Wingdings" w:cs="OpenSymbol"/>
      </w:rPr>
    </w:lvl>
    <w:lvl w:ilvl="5">
      <w:start w:val="1"/>
      <w:numFmt w:val="bullet"/>
      <w:lvlText w:val=""/>
      <w:lvlJc w:val="left"/>
      <w:pPr>
        <w:tabs>
          <w:tab w:val="num" w:pos="2160"/>
        </w:tabs>
        <w:ind w:left="2160" w:hanging="360"/>
      </w:pPr>
      <w:rPr>
        <w:rFonts w:ascii="Wingdings" w:hAnsi="Wingdings" w:cs="OpenSymbol"/>
      </w:rPr>
    </w:lvl>
    <w:lvl w:ilvl="6">
      <w:start w:val="1"/>
      <w:numFmt w:val="bullet"/>
      <w:lvlText w:val=""/>
      <w:lvlJc w:val="left"/>
      <w:pPr>
        <w:tabs>
          <w:tab w:val="num" w:pos="2520"/>
        </w:tabs>
        <w:ind w:left="2520" w:hanging="360"/>
      </w:pPr>
      <w:rPr>
        <w:rFonts w:ascii="Wingdings" w:hAnsi="Wingdings" w:cs="OpenSymbol"/>
      </w:rPr>
    </w:lvl>
    <w:lvl w:ilvl="7">
      <w:start w:val="1"/>
      <w:numFmt w:val="bullet"/>
      <w:lvlText w:val=""/>
      <w:lvlJc w:val="left"/>
      <w:pPr>
        <w:tabs>
          <w:tab w:val="num" w:pos="2880"/>
        </w:tabs>
        <w:ind w:left="2880" w:hanging="360"/>
      </w:pPr>
      <w:rPr>
        <w:rFonts w:ascii="Wingdings" w:hAnsi="Wingdings" w:cs="OpenSymbol"/>
      </w:rPr>
    </w:lvl>
    <w:lvl w:ilvl="8">
      <w:start w:val="1"/>
      <w:numFmt w:val="bullet"/>
      <w:lvlText w:val=""/>
      <w:lvlJc w:val="left"/>
      <w:pPr>
        <w:tabs>
          <w:tab w:val="num" w:pos="3240"/>
        </w:tabs>
        <w:ind w:left="3240" w:hanging="360"/>
      </w:pPr>
      <w:rPr>
        <w:rFonts w:ascii="Wingdings" w:hAnsi="Wingdings" w:cs="OpenSymbol"/>
      </w:rPr>
    </w:lvl>
  </w:abstractNum>
  <w:abstractNum w:abstractNumId="146">
    <w:nsid w:val="27B90CBF"/>
    <w:multiLevelType w:val="hybridMultilevel"/>
    <w:tmpl w:val="7E6C84D4"/>
    <w:lvl w:ilvl="0" w:tplc="041B0017">
      <w:start w:val="1"/>
      <w:numFmt w:val="lowerLetter"/>
      <w:lvlText w:val="%1)"/>
      <w:lvlJc w:val="left"/>
      <w:pPr>
        <w:ind w:left="720" w:hanging="360"/>
      </w:pPr>
    </w:lvl>
    <w:lvl w:ilvl="1" w:tplc="041B0019">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147">
    <w:nsid w:val="2819765E"/>
    <w:multiLevelType w:val="hybridMultilevel"/>
    <w:tmpl w:val="1AEE854C"/>
    <w:lvl w:ilvl="0" w:tplc="6CA681C0">
      <w:numFmt w:val="bullet"/>
      <w:lvlText w:val="-"/>
      <w:lvlJc w:val="left"/>
      <w:pPr>
        <w:ind w:left="720" w:hanging="360"/>
      </w:pPr>
      <w:rPr>
        <w:rFonts w:ascii="Calibri" w:eastAsia="Times New Roman" w:hAnsi="Calibri" w:cs="Times New Roman"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48">
    <w:nsid w:val="282F3EBB"/>
    <w:multiLevelType w:val="hybridMultilevel"/>
    <w:tmpl w:val="8A402CC6"/>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49">
    <w:nsid w:val="28A17234"/>
    <w:multiLevelType w:val="hybridMultilevel"/>
    <w:tmpl w:val="07EC3480"/>
    <w:lvl w:ilvl="0" w:tplc="2466B24E">
      <w:start w:val="1"/>
      <w:numFmt w:val="decimal"/>
      <w:lvlText w:val="%1."/>
      <w:lvlJc w:val="center"/>
      <w:pPr>
        <w:ind w:left="720" w:hanging="360"/>
      </w:pPr>
      <w:rPr>
        <w:rFonts w:hint="default"/>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150">
    <w:nsid w:val="28DA7966"/>
    <w:multiLevelType w:val="multilevel"/>
    <w:tmpl w:val="0ACA5ADA"/>
    <w:lvl w:ilvl="0">
      <w:start w:val="1"/>
      <w:numFmt w:val="bullet"/>
      <w:lvlText w:val=""/>
      <w:lvlJc w:val="left"/>
      <w:pPr>
        <w:tabs>
          <w:tab w:val="num" w:pos="720"/>
        </w:tabs>
        <w:ind w:left="720" w:hanging="360"/>
      </w:pPr>
      <w:rPr>
        <w:rFonts w:ascii="Symbol" w:hAnsi="Symbol" w:hint="default"/>
      </w:rPr>
    </w:lvl>
    <w:lvl w:ilvl="1">
      <w:start w:val="1"/>
      <w:numFmt w:val="bullet"/>
      <w:lvlText w:val=""/>
      <w:lvlJc w:val="left"/>
      <w:pPr>
        <w:tabs>
          <w:tab w:val="num" w:pos="1080"/>
        </w:tabs>
        <w:ind w:left="1080" w:hanging="360"/>
      </w:pPr>
      <w:rPr>
        <w:rFonts w:ascii="Wingdings" w:hAnsi="Wingdings" w:cs="OpenSymbol"/>
      </w:rPr>
    </w:lvl>
    <w:lvl w:ilvl="2">
      <w:start w:val="1"/>
      <w:numFmt w:val="bullet"/>
      <w:lvlText w:val=""/>
      <w:lvlJc w:val="left"/>
      <w:pPr>
        <w:tabs>
          <w:tab w:val="num" w:pos="1440"/>
        </w:tabs>
        <w:ind w:left="1440" w:hanging="360"/>
      </w:pPr>
      <w:rPr>
        <w:rFonts w:ascii="Wingdings" w:hAnsi="Wingdings" w:cs="OpenSymbol"/>
      </w:rPr>
    </w:lvl>
    <w:lvl w:ilvl="3">
      <w:start w:val="1"/>
      <w:numFmt w:val="bullet"/>
      <w:lvlText w:val=""/>
      <w:lvlJc w:val="left"/>
      <w:pPr>
        <w:tabs>
          <w:tab w:val="num" w:pos="1800"/>
        </w:tabs>
        <w:ind w:left="1800" w:hanging="360"/>
      </w:pPr>
      <w:rPr>
        <w:rFonts w:ascii="Wingdings" w:hAnsi="Wingdings" w:cs="OpenSymbol"/>
      </w:rPr>
    </w:lvl>
    <w:lvl w:ilvl="4">
      <w:start w:val="1"/>
      <w:numFmt w:val="bullet"/>
      <w:lvlText w:val=""/>
      <w:lvlJc w:val="left"/>
      <w:pPr>
        <w:tabs>
          <w:tab w:val="num" w:pos="2160"/>
        </w:tabs>
        <w:ind w:left="2160" w:hanging="360"/>
      </w:pPr>
      <w:rPr>
        <w:rFonts w:ascii="Wingdings" w:hAnsi="Wingdings" w:cs="OpenSymbol"/>
      </w:rPr>
    </w:lvl>
    <w:lvl w:ilvl="5">
      <w:start w:val="1"/>
      <w:numFmt w:val="bullet"/>
      <w:lvlText w:val=""/>
      <w:lvlJc w:val="left"/>
      <w:pPr>
        <w:tabs>
          <w:tab w:val="num" w:pos="2520"/>
        </w:tabs>
        <w:ind w:left="2520" w:hanging="360"/>
      </w:pPr>
      <w:rPr>
        <w:rFonts w:ascii="Wingdings" w:hAnsi="Wingdings" w:cs="OpenSymbol"/>
      </w:rPr>
    </w:lvl>
    <w:lvl w:ilvl="6">
      <w:start w:val="1"/>
      <w:numFmt w:val="bullet"/>
      <w:lvlText w:val=""/>
      <w:lvlJc w:val="left"/>
      <w:pPr>
        <w:tabs>
          <w:tab w:val="num" w:pos="2880"/>
        </w:tabs>
        <w:ind w:left="2880" w:hanging="360"/>
      </w:pPr>
      <w:rPr>
        <w:rFonts w:ascii="Wingdings" w:hAnsi="Wingdings" w:cs="OpenSymbol"/>
      </w:rPr>
    </w:lvl>
    <w:lvl w:ilvl="7">
      <w:start w:val="1"/>
      <w:numFmt w:val="bullet"/>
      <w:lvlText w:val=""/>
      <w:lvlJc w:val="left"/>
      <w:pPr>
        <w:tabs>
          <w:tab w:val="num" w:pos="3240"/>
        </w:tabs>
        <w:ind w:left="3240" w:hanging="360"/>
      </w:pPr>
      <w:rPr>
        <w:rFonts w:ascii="Wingdings" w:hAnsi="Wingdings" w:cs="OpenSymbol"/>
      </w:rPr>
    </w:lvl>
    <w:lvl w:ilvl="8">
      <w:start w:val="1"/>
      <w:numFmt w:val="bullet"/>
      <w:lvlText w:val=""/>
      <w:lvlJc w:val="left"/>
      <w:pPr>
        <w:tabs>
          <w:tab w:val="num" w:pos="3600"/>
        </w:tabs>
        <w:ind w:left="3600" w:hanging="360"/>
      </w:pPr>
      <w:rPr>
        <w:rFonts w:ascii="Wingdings" w:hAnsi="Wingdings" w:cs="OpenSymbol"/>
      </w:rPr>
    </w:lvl>
  </w:abstractNum>
  <w:abstractNum w:abstractNumId="151">
    <w:nsid w:val="29F84434"/>
    <w:multiLevelType w:val="hybridMultilevel"/>
    <w:tmpl w:val="D3D071D0"/>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52">
    <w:nsid w:val="2A6F25F6"/>
    <w:multiLevelType w:val="hybridMultilevel"/>
    <w:tmpl w:val="221E1E2A"/>
    <w:lvl w:ilvl="0" w:tplc="041B0003">
      <w:start w:val="1"/>
      <w:numFmt w:val="bullet"/>
      <w:lvlText w:val="o"/>
      <w:lvlJc w:val="left"/>
      <w:pPr>
        <w:ind w:left="720" w:hanging="360"/>
      </w:pPr>
      <w:rPr>
        <w:rFonts w:ascii="Courier New" w:hAnsi="Courier New" w:cs="Courier New" w:hint="default"/>
        <w:sz w:val="22"/>
      </w:rPr>
    </w:lvl>
    <w:lvl w:ilvl="1" w:tplc="041B0003">
      <w:start w:val="1"/>
      <w:numFmt w:val="bullet"/>
      <w:lvlText w:val="o"/>
      <w:lvlJc w:val="left"/>
      <w:pPr>
        <w:ind w:left="1440" w:hanging="360"/>
      </w:pPr>
      <w:rPr>
        <w:rFonts w:ascii="Courier New" w:hAnsi="Courier New" w:cs="Courier New" w:hint="default"/>
      </w:rPr>
    </w:lvl>
    <w:lvl w:ilvl="2" w:tplc="041B0005">
      <w:start w:val="1"/>
      <w:numFmt w:val="bullet"/>
      <w:lvlText w:val=""/>
      <w:lvlJc w:val="left"/>
      <w:pPr>
        <w:ind w:left="2160" w:hanging="360"/>
      </w:pPr>
      <w:rPr>
        <w:rFonts w:ascii="Wingdings" w:hAnsi="Wingdings" w:hint="default"/>
      </w:rPr>
    </w:lvl>
    <w:lvl w:ilvl="3" w:tplc="041B0001">
      <w:start w:val="1"/>
      <w:numFmt w:val="bullet"/>
      <w:lvlText w:val=""/>
      <w:lvlJc w:val="left"/>
      <w:pPr>
        <w:ind w:left="2880" w:hanging="360"/>
      </w:pPr>
      <w:rPr>
        <w:rFonts w:ascii="Symbol" w:hAnsi="Symbol" w:hint="default"/>
      </w:rPr>
    </w:lvl>
    <w:lvl w:ilvl="4" w:tplc="041B0003">
      <w:start w:val="1"/>
      <w:numFmt w:val="bullet"/>
      <w:lvlText w:val="o"/>
      <w:lvlJc w:val="left"/>
      <w:pPr>
        <w:ind w:left="3600" w:hanging="360"/>
      </w:pPr>
      <w:rPr>
        <w:rFonts w:ascii="Courier New" w:hAnsi="Courier New" w:cs="Courier New" w:hint="default"/>
      </w:rPr>
    </w:lvl>
    <w:lvl w:ilvl="5" w:tplc="041B0005">
      <w:start w:val="1"/>
      <w:numFmt w:val="bullet"/>
      <w:lvlText w:val=""/>
      <w:lvlJc w:val="left"/>
      <w:pPr>
        <w:ind w:left="4320" w:hanging="360"/>
      </w:pPr>
      <w:rPr>
        <w:rFonts w:ascii="Wingdings" w:hAnsi="Wingdings" w:hint="default"/>
      </w:rPr>
    </w:lvl>
    <w:lvl w:ilvl="6" w:tplc="041B0001">
      <w:start w:val="1"/>
      <w:numFmt w:val="bullet"/>
      <w:lvlText w:val=""/>
      <w:lvlJc w:val="left"/>
      <w:pPr>
        <w:ind w:left="5040" w:hanging="360"/>
      </w:pPr>
      <w:rPr>
        <w:rFonts w:ascii="Symbol" w:hAnsi="Symbol" w:hint="default"/>
      </w:rPr>
    </w:lvl>
    <w:lvl w:ilvl="7" w:tplc="041B0003">
      <w:start w:val="1"/>
      <w:numFmt w:val="bullet"/>
      <w:lvlText w:val="o"/>
      <w:lvlJc w:val="left"/>
      <w:pPr>
        <w:ind w:left="5760" w:hanging="360"/>
      </w:pPr>
      <w:rPr>
        <w:rFonts w:ascii="Courier New" w:hAnsi="Courier New" w:cs="Courier New" w:hint="default"/>
      </w:rPr>
    </w:lvl>
    <w:lvl w:ilvl="8" w:tplc="041B0005">
      <w:start w:val="1"/>
      <w:numFmt w:val="bullet"/>
      <w:lvlText w:val=""/>
      <w:lvlJc w:val="left"/>
      <w:pPr>
        <w:ind w:left="6480" w:hanging="360"/>
      </w:pPr>
      <w:rPr>
        <w:rFonts w:ascii="Wingdings" w:hAnsi="Wingdings" w:hint="default"/>
      </w:rPr>
    </w:lvl>
  </w:abstractNum>
  <w:abstractNum w:abstractNumId="153">
    <w:nsid w:val="2A9D0AF1"/>
    <w:multiLevelType w:val="hybridMultilevel"/>
    <w:tmpl w:val="BD5E5B2E"/>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54">
    <w:nsid w:val="2B702346"/>
    <w:multiLevelType w:val="hybridMultilevel"/>
    <w:tmpl w:val="EEC0C860"/>
    <w:lvl w:ilvl="0" w:tplc="8D4C07C2">
      <w:start w:val="1"/>
      <w:numFmt w:val="bullet"/>
      <w:lvlText w:val=""/>
      <w:lvlJc w:val="left"/>
      <w:pPr>
        <w:tabs>
          <w:tab w:val="num" w:pos="360"/>
        </w:tabs>
        <w:ind w:left="360" w:hanging="360"/>
      </w:pPr>
      <w:rPr>
        <w:rFonts w:ascii="Wingdings" w:hAnsi="Wingdings" w:hint="default"/>
        <w:color w:val="auto"/>
      </w:rPr>
    </w:lvl>
    <w:lvl w:ilvl="1" w:tplc="041B0003" w:tentative="1">
      <w:start w:val="1"/>
      <w:numFmt w:val="bullet"/>
      <w:lvlText w:val="o"/>
      <w:lvlJc w:val="left"/>
      <w:pPr>
        <w:tabs>
          <w:tab w:val="num" w:pos="1440"/>
        </w:tabs>
        <w:ind w:left="1440" w:hanging="360"/>
      </w:pPr>
      <w:rPr>
        <w:rFonts w:ascii="Courier New" w:hAnsi="Courier New" w:cs="Courier New" w:hint="default"/>
      </w:rPr>
    </w:lvl>
    <w:lvl w:ilvl="2" w:tplc="041B0005" w:tentative="1">
      <w:start w:val="1"/>
      <w:numFmt w:val="bullet"/>
      <w:lvlText w:val=""/>
      <w:lvlJc w:val="left"/>
      <w:pPr>
        <w:tabs>
          <w:tab w:val="num" w:pos="2160"/>
        </w:tabs>
        <w:ind w:left="2160" w:hanging="360"/>
      </w:pPr>
      <w:rPr>
        <w:rFonts w:ascii="Wingdings" w:hAnsi="Wingdings" w:hint="default"/>
      </w:rPr>
    </w:lvl>
    <w:lvl w:ilvl="3" w:tplc="041B0001" w:tentative="1">
      <w:start w:val="1"/>
      <w:numFmt w:val="bullet"/>
      <w:lvlText w:val=""/>
      <w:lvlJc w:val="left"/>
      <w:pPr>
        <w:tabs>
          <w:tab w:val="num" w:pos="2880"/>
        </w:tabs>
        <w:ind w:left="2880" w:hanging="360"/>
      </w:pPr>
      <w:rPr>
        <w:rFonts w:ascii="Symbol" w:hAnsi="Symbol" w:hint="default"/>
      </w:rPr>
    </w:lvl>
    <w:lvl w:ilvl="4" w:tplc="041B0003" w:tentative="1">
      <w:start w:val="1"/>
      <w:numFmt w:val="bullet"/>
      <w:lvlText w:val="o"/>
      <w:lvlJc w:val="left"/>
      <w:pPr>
        <w:tabs>
          <w:tab w:val="num" w:pos="3600"/>
        </w:tabs>
        <w:ind w:left="3600" w:hanging="360"/>
      </w:pPr>
      <w:rPr>
        <w:rFonts w:ascii="Courier New" w:hAnsi="Courier New" w:cs="Courier New" w:hint="default"/>
      </w:rPr>
    </w:lvl>
    <w:lvl w:ilvl="5" w:tplc="041B0005" w:tentative="1">
      <w:start w:val="1"/>
      <w:numFmt w:val="bullet"/>
      <w:lvlText w:val=""/>
      <w:lvlJc w:val="left"/>
      <w:pPr>
        <w:tabs>
          <w:tab w:val="num" w:pos="4320"/>
        </w:tabs>
        <w:ind w:left="4320" w:hanging="360"/>
      </w:pPr>
      <w:rPr>
        <w:rFonts w:ascii="Wingdings" w:hAnsi="Wingdings" w:hint="default"/>
      </w:rPr>
    </w:lvl>
    <w:lvl w:ilvl="6" w:tplc="041B0001" w:tentative="1">
      <w:start w:val="1"/>
      <w:numFmt w:val="bullet"/>
      <w:lvlText w:val=""/>
      <w:lvlJc w:val="left"/>
      <w:pPr>
        <w:tabs>
          <w:tab w:val="num" w:pos="5040"/>
        </w:tabs>
        <w:ind w:left="5040" w:hanging="360"/>
      </w:pPr>
      <w:rPr>
        <w:rFonts w:ascii="Symbol" w:hAnsi="Symbol" w:hint="default"/>
      </w:rPr>
    </w:lvl>
    <w:lvl w:ilvl="7" w:tplc="041B0003" w:tentative="1">
      <w:start w:val="1"/>
      <w:numFmt w:val="bullet"/>
      <w:lvlText w:val="o"/>
      <w:lvlJc w:val="left"/>
      <w:pPr>
        <w:tabs>
          <w:tab w:val="num" w:pos="5760"/>
        </w:tabs>
        <w:ind w:left="5760" w:hanging="360"/>
      </w:pPr>
      <w:rPr>
        <w:rFonts w:ascii="Courier New" w:hAnsi="Courier New" w:cs="Courier New" w:hint="default"/>
      </w:rPr>
    </w:lvl>
    <w:lvl w:ilvl="8" w:tplc="041B0005" w:tentative="1">
      <w:start w:val="1"/>
      <w:numFmt w:val="bullet"/>
      <w:lvlText w:val=""/>
      <w:lvlJc w:val="left"/>
      <w:pPr>
        <w:tabs>
          <w:tab w:val="num" w:pos="6480"/>
        </w:tabs>
        <w:ind w:left="6480" w:hanging="360"/>
      </w:pPr>
      <w:rPr>
        <w:rFonts w:ascii="Wingdings" w:hAnsi="Wingdings" w:hint="default"/>
      </w:rPr>
    </w:lvl>
  </w:abstractNum>
  <w:abstractNum w:abstractNumId="155">
    <w:nsid w:val="2BC00EAF"/>
    <w:multiLevelType w:val="multilevel"/>
    <w:tmpl w:val="6DD2884A"/>
    <w:numStyleLink w:val="Aktulnyzoznam1"/>
  </w:abstractNum>
  <w:abstractNum w:abstractNumId="156">
    <w:nsid w:val="2BFF7EBB"/>
    <w:multiLevelType w:val="hybridMultilevel"/>
    <w:tmpl w:val="27AA1F48"/>
    <w:lvl w:ilvl="0" w:tplc="041B0001">
      <w:start w:val="1"/>
      <w:numFmt w:val="bullet"/>
      <w:lvlText w:val=""/>
      <w:lvlJc w:val="left"/>
      <w:pPr>
        <w:tabs>
          <w:tab w:val="num" w:pos="720"/>
        </w:tabs>
        <w:ind w:left="720" w:hanging="360"/>
      </w:pPr>
      <w:rPr>
        <w:rFonts w:ascii="Symbol" w:hAnsi="Symbol" w:hint="default"/>
      </w:rPr>
    </w:lvl>
    <w:lvl w:ilvl="1" w:tplc="041B0003" w:tentative="1">
      <w:start w:val="1"/>
      <w:numFmt w:val="bullet"/>
      <w:lvlText w:val="o"/>
      <w:lvlJc w:val="left"/>
      <w:pPr>
        <w:tabs>
          <w:tab w:val="num" w:pos="1740"/>
        </w:tabs>
        <w:ind w:left="1740" w:hanging="360"/>
      </w:pPr>
      <w:rPr>
        <w:rFonts w:ascii="Courier New" w:hAnsi="Courier New" w:cs="Courier New" w:hint="default"/>
      </w:rPr>
    </w:lvl>
    <w:lvl w:ilvl="2" w:tplc="041B0005" w:tentative="1">
      <w:start w:val="1"/>
      <w:numFmt w:val="bullet"/>
      <w:lvlText w:val=""/>
      <w:lvlJc w:val="left"/>
      <w:pPr>
        <w:tabs>
          <w:tab w:val="num" w:pos="2460"/>
        </w:tabs>
        <w:ind w:left="2460" w:hanging="360"/>
      </w:pPr>
      <w:rPr>
        <w:rFonts w:ascii="Wingdings" w:hAnsi="Wingdings" w:hint="default"/>
      </w:rPr>
    </w:lvl>
    <w:lvl w:ilvl="3" w:tplc="041B0001" w:tentative="1">
      <w:start w:val="1"/>
      <w:numFmt w:val="bullet"/>
      <w:lvlText w:val=""/>
      <w:lvlJc w:val="left"/>
      <w:pPr>
        <w:tabs>
          <w:tab w:val="num" w:pos="3180"/>
        </w:tabs>
        <w:ind w:left="3180" w:hanging="360"/>
      </w:pPr>
      <w:rPr>
        <w:rFonts w:ascii="Symbol" w:hAnsi="Symbol" w:hint="default"/>
      </w:rPr>
    </w:lvl>
    <w:lvl w:ilvl="4" w:tplc="041B0003" w:tentative="1">
      <w:start w:val="1"/>
      <w:numFmt w:val="bullet"/>
      <w:lvlText w:val="o"/>
      <w:lvlJc w:val="left"/>
      <w:pPr>
        <w:tabs>
          <w:tab w:val="num" w:pos="3900"/>
        </w:tabs>
        <w:ind w:left="3900" w:hanging="360"/>
      </w:pPr>
      <w:rPr>
        <w:rFonts w:ascii="Courier New" w:hAnsi="Courier New" w:cs="Courier New" w:hint="default"/>
      </w:rPr>
    </w:lvl>
    <w:lvl w:ilvl="5" w:tplc="041B0005" w:tentative="1">
      <w:start w:val="1"/>
      <w:numFmt w:val="bullet"/>
      <w:lvlText w:val=""/>
      <w:lvlJc w:val="left"/>
      <w:pPr>
        <w:tabs>
          <w:tab w:val="num" w:pos="4620"/>
        </w:tabs>
        <w:ind w:left="4620" w:hanging="360"/>
      </w:pPr>
      <w:rPr>
        <w:rFonts w:ascii="Wingdings" w:hAnsi="Wingdings" w:hint="default"/>
      </w:rPr>
    </w:lvl>
    <w:lvl w:ilvl="6" w:tplc="041B0001" w:tentative="1">
      <w:start w:val="1"/>
      <w:numFmt w:val="bullet"/>
      <w:lvlText w:val=""/>
      <w:lvlJc w:val="left"/>
      <w:pPr>
        <w:tabs>
          <w:tab w:val="num" w:pos="5340"/>
        </w:tabs>
        <w:ind w:left="5340" w:hanging="360"/>
      </w:pPr>
      <w:rPr>
        <w:rFonts w:ascii="Symbol" w:hAnsi="Symbol" w:hint="default"/>
      </w:rPr>
    </w:lvl>
    <w:lvl w:ilvl="7" w:tplc="041B0003" w:tentative="1">
      <w:start w:val="1"/>
      <w:numFmt w:val="bullet"/>
      <w:lvlText w:val="o"/>
      <w:lvlJc w:val="left"/>
      <w:pPr>
        <w:tabs>
          <w:tab w:val="num" w:pos="6060"/>
        </w:tabs>
        <w:ind w:left="6060" w:hanging="360"/>
      </w:pPr>
      <w:rPr>
        <w:rFonts w:ascii="Courier New" w:hAnsi="Courier New" w:cs="Courier New" w:hint="default"/>
      </w:rPr>
    </w:lvl>
    <w:lvl w:ilvl="8" w:tplc="041B0005" w:tentative="1">
      <w:start w:val="1"/>
      <w:numFmt w:val="bullet"/>
      <w:lvlText w:val=""/>
      <w:lvlJc w:val="left"/>
      <w:pPr>
        <w:tabs>
          <w:tab w:val="num" w:pos="6780"/>
        </w:tabs>
        <w:ind w:left="6780" w:hanging="360"/>
      </w:pPr>
      <w:rPr>
        <w:rFonts w:ascii="Wingdings" w:hAnsi="Wingdings" w:hint="default"/>
      </w:rPr>
    </w:lvl>
  </w:abstractNum>
  <w:abstractNum w:abstractNumId="157">
    <w:nsid w:val="2C4C1F9C"/>
    <w:multiLevelType w:val="hybridMultilevel"/>
    <w:tmpl w:val="D50A7C94"/>
    <w:lvl w:ilvl="0" w:tplc="041B000F">
      <w:start w:val="1"/>
      <w:numFmt w:val="decimal"/>
      <w:lvlText w:val="%1."/>
      <w:lvlJc w:val="left"/>
      <w:pPr>
        <w:ind w:left="720" w:hanging="360"/>
      </w:pPr>
      <w:rPr>
        <w:rFonts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58">
    <w:nsid w:val="2C917C70"/>
    <w:multiLevelType w:val="hybridMultilevel"/>
    <w:tmpl w:val="54D83A50"/>
    <w:lvl w:ilvl="0" w:tplc="674E832A">
      <w:numFmt w:val="bullet"/>
      <w:lvlText w:val="-"/>
      <w:lvlJc w:val="left"/>
      <w:pPr>
        <w:ind w:left="720" w:hanging="360"/>
      </w:pPr>
      <w:rPr>
        <w:rFonts w:ascii="Calibri" w:eastAsia="Times New Roman" w:hAnsi="Calibri" w:cs="Times New Roman"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59">
    <w:nsid w:val="2D183314"/>
    <w:multiLevelType w:val="hybridMultilevel"/>
    <w:tmpl w:val="293403D4"/>
    <w:lvl w:ilvl="0" w:tplc="80027470">
      <w:start w:val="1"/>
      <w:numFmt w:val="decimal"/>
      <w:lvlText w:val="%1."/>
      <w:lvlJc w:val="center"/>
      <w:pPr>
        <w:ind w:left="502" w:hanging="360"/>
      </w:pPr>
      <w:rPr>
        <w:rFonts w:ascii="Calibri" w:hAnsi="Calibri" w:hint="default"/>
        <w:sz w:val="22"/>
      </w:rPr>
    </w:lvl>
    <w:lvl w:ilvl="1" w:tplc="041B0019" w:tentative="1">
      <w:start w:val="1"/>
      <w:numFmt w:val="lowerLetter"/>
      <w:lvlText w:val="%2."/>
      <w:lvlJc w:val="left"/>
      <w:pPr>
        <w:ind w:left="1222" w:hanging="360"/>
      </w:pPr>
    </w:lvl>
    <w:lvl w:ilvl="2" w:tplc="041B001B" w:tentative="1">
      <w:start w:val="1"/>
      <w:numFmt w:val="lowerRoman"/>
      <w:lvlText w:val="%3."/>
      <w:lvlJc w:val="right"/>
      <w:pPr>
        <w:ind w:left="1942" w:hanging="180"/>
      </w:pPr>
    </w:lvl>
    <w:lvl w:ilvl="3" w:tplc="041B000F" w:tentative="1">
      <w:start w:val="1"/>
      <w:numFmt w:val="decimal"/>
      <w:lvlText w:val="%4."/>
      <w:lvlJc w:val="left"/>
      <w:pPr>
        <w:ind w:left="2662" w:hanging="360"/>
      </w:pPr>
    </w:lvl>
    <w:lvl w:ilvl="4" w:tplc="041B0019" w:tentative="1">
      <w:start w:val="1"/>
      <w:numFmt w:val="lowerLetter"/>
      <w:lvlText w:val="%5."/>
      <w:lvlJc w:val="left"/>
      <w:pPr>
        <w:ind w:left="3382" w:hanging="360"/>
      </w:pPr>
    </w:lvl>
    <w:lvl w:ilvl="5" w:tplc="041B001B" w:tentative="1">
      <w:start w:val="1"/>
      <w:numFmt w:val="lowerRoman"/>
      <w:lvlText w:val="%6."/>
      <w:lvlJc w:val="right"/>
      <w:pPr>
        <w:ind w:left="4102" w:hanging="180"/>
      </w:pPr>
    </w:lvl>
    <w:lvl w:ilvl="6" w:tplc="041B000F" w:tentative="1">
      <w:start w:val="1"/>
      <w:numFmt w:val="decimal"/>
      <w:lvlText w:val="%7."/>
      <w:lvlJc w:val="left"/>
      <w:pPr>
        <w:ind w:left="4822" w:hanging="360"/>
      </w:pPr>
    </w:lvl>
    <w:lvl w:ilvl="7" w:tplc="041B0019" w:tentative="1">
      <w:start w:val="1"/>
      <w:numFmt w:val="lowerLetter"/>
      <w:lvlText w:val="%8."/>
      <w:lvlJc w:val="left"/>
      <w:pPr>
        <w:ind w:left="5542" w:hanging="360"/>
      </w:pPr>
    </w:lvl>
    <w:lvl w:ilvl="8" w:tplc="041B001B" w:tentative="1">
      <w:start w:val="1"/>
      <w:numFmt w:val="lowerRoman"/>
      <w:lvlText w:val="%9."/>
      <w:lvlJc w:val="right"/>
      <w:pPr>
        <w:ind w:left="6262" w:hanging="180"/>
      </w:pPr>
    </w:lvl>
  </w:abstractNum>
  <w:abstractNum w:abstractNumId="160">
    <w:nsid w:val="2D2525B6"/>
    <w:multiLevelType w:val="hybridMultilevel"/>
    <w:tmpl w:val="BCD85758"/>
    <w:lvl w:ilvl="0" w:tplc="041B0001">
      <w:start w:val="1"/>
      <w:numFmt w:val="bullet"/>
      <w:lvlText w:val=""/>
      <w:lvlJc w:val="left"/>
      <w:pPr>
        <w:tabs>
          <w:tab w:val="num" w:pos="360"/>
        </w:tabs>
        <w:ind w:left="360" w:hanging="360"/>
      </w:pPr>
      <w:rPr>
        <w:rFonts w:ascii="Symbol" w:hAnsi="Symbol" w:hint="default"/>
      </w:rPr>
    </w:lvl>
    <w:lvl w:ilvl="1" w:tplc="041B0003">
      <w:start w:val="1"/>
      <w:numFmt w:val="bullet"/>
      <w:lvlText w:val="o"/>
      <w:lvlJc w:val="left"/>
      <w:pPr>
        <w:tabs>
          <w:tab w:val="num" w:pos="1080"/>
        </w:tabs>
        <w:ind w:left="1080" w:hanging="360"/>
      </w:pPr>
      <w:rPr>
        <w:rFonts w:ascii="Courier New" w:hAnsi="Courier New" w:cs="Times New Roman" w:hint="default"/>
      </w:rPr>
    </w:lvl>
    <w:lvl w:ilvl="2" w:tplc="041B0005">
      <w:start w:val="1"/>
      <w:numFmt w:val="bullet"/>
      <w:lvlText w:val=""/>
      <w:lvlJc w:val="left"/>
      <w:pPr>
        <w:tabs>
          <w:tab w:val="num" w:pos="1800"/>
        </w:tabs>
        <w:ind w:left="1800" w:hanging="360"/>
      </w:pPr>
      <w:rPr>
        <w:rFonts w:ascii="Wingdings" w:hAnsi="Wingdings" w:hint="default"/>
      </w:rPr>
    </w:lvl>
    <w:lvl w:ilvl="3" w:tplc="041B0001">
      <w:start w:val="1"/>
      <w:numFmt w:val="bullet"/>
      <w:lvlText w:val=""/>
      <w:lvlJc w:val="left"/>
      <w:pPr>
        <w:tabs>
          <w:tab w:val="num" w:pos="2520"/>
        </w:tabs>
        <w:ind w:left="2520" w:hanging="360"/>
      </w:pPr>
      <w:rPr>
        <w:rFonts w:ascii="Symbol" w:hAnsi="Symbol" w:hint="default"/>
      </w:rPr>
    </w:lvl>
    <w:lvl w:ilvl="4" w:tplc="041B0003">
      <w:start w:val="1"/>
      <w:numFmt w:val="bullet"/>
      <w:lvlText w:val="o"/>
      <w:lvlJc w:val="left"/>
      <w:pPr>
        <w:tabs>
          <w:tab w:val="num" w:pos="3240"/>
        </w:tabs>
        <w:ind w:left="3240" w:hanging="360"/>
      </w:pPr>
      <w:rPr>
        <w:rFonts w:ascii="Courier New" w:hAnsi="Courier New" w:cs="Times New Roman" w:hint="default"/>
      </w:rPr>
    </w:lvl>
    <w:lvl w:ilvl="5" w:tplc="041B0005">
      <w:start w:val="1"/>
      <w:numFmt w:val="bullet"/>
      <w:lvlText w:val=""/>
      <w:lvlJc w:val="left"/>
      <w:pPr>
        <w:tabs>
          <w:tab w:val="num" w:pos="3960"/>
        </w:tabs>
        <w:ind w:left="3960" w:hanging="360"/>
      </w:pPr>
      <w:rPr>
        <w:rFonts w:ascii="Wingdings" w:hAnsi="Wingdings" w:hint="default"/>
      </w:rPr>
    </w:lvl>
    <w:lvl w:ilvl="6" w:tplc="041B0001">
      <w:start w:val="1"/>
      <w:numFmt w:val="bullet"/>
      <w:lvlText w:val=""/>
      <w:lvlJc w:val="left"/>
      <w:pPr>
        <w:tabs>
          <w:tab w:val="num" w:pos="4680"/>
        </w:tabs>
        <w:ind w:left="4680" w:hanging="360"/>
      </w:pPr>
      <w:rPr>
        <w:rFonts w:ascii="Symbol" w:hAnsi="Symbol" w:hint="default"/>
      </w:rPr>
    </w:lvl>
    <w:lvl w:ilvl="7" w:tplc="041B0003">
      <w:start w:val="1"/>
      <w:numFmt w:val="bullet"/>
      <w:lvlText w:val="o"/>
      <w:lvlJc w:val="left"/>
      <w:pPr>
        <w:tabs>
          <w:tab w:val="num" w:pos="5400"/>
        </w:tabs>
        <w:ind w:left="5400" w:hanging="360"/>
      </w:pPr>
      <w:rPr>
        <w:rFonts w:ascii="Courier New" w:hAnsi="Courier New" w:cs="Times New Roman" w:hint="default"/>
      </w:rPr>
    </w:lvl>
    <w:lvl w:ilvl="8" w:tplc="041B0005">
      <w:start w:val="1"/>
      <w:numFmt w:val="bullet"/>
      <w:lvlText w:val=""/>
      <w:lvlJc w:val="left"/>
      <w:pPr>
        <w:tabs>
          <w:tab w:val="num" w:pos="6120"/>
        </w:tabs>
        <w:ind w:left="6120" w:hanging="360"/>
      </w:pPr>
      <w:rPr>
        <w:rFonts w:ascii="Wingdings" w:hAnsi="Wingdings" w:hint="default"/>
      </w:rPr>
    </w:lvl>
  </w:abstractNum>
  <w:abstractNum w:abstractNumId="161">
    <w:nsid w:val="2D7065EC"/>
    <w:multiLevelType w:val="hybridMultilevel"/>
    <w:tmpl w:val="C4521FE4"/>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62">
    <w:nsid w:val="2E814915"/>
    <w:multiLevelType w:val="hybridMultilevel"/>
    <w:tmpl w:val="F4C2416C"/>
    <w:lvl w:ilvl="0" w:tplc="2466B24E">
      <w:start w:val="1"/>
      <w:numFmt w:val="decimal"/>
      <w:lvlText w:val="%1."/>
      <w:lvlJc w:val="center"/>
      <w:pPr>
        <w:ind w:left="720" w:hanging="360"/>
      </w:pPr>
      <w:rPr>
        <w:rFonts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63">
    <w:nsid w:val="2EBC30AF"/>
    <w:multiLevelType w:val="multilevel"/>
    <w:tmpl w:val="6DD2884A"/>
    <w:numStyleLink w:val="Aktulnyzoznam1"/>
  </w:abstractNum>
  <w:abstractNum w:abstractNumId="164">
    <w:nsid w:val="2ECE4441"/>
    <w:multiLevelType w:val="multilevel"/>
    <w:tmpl w:val="9CE6CB54"/>
    <w:numStyleLink w:val="Aktulnyzoznam2"/>
  </w:abstractNum>
  <w:abstractNum w:abstractNumId="165">
    <w:nsid w:val="2EF93E49"/>
    <w:multiLevelType w:val="hybridMultilevel"/>
    <w:tmpl w:val="5860E7E0"/>
    <w:lvl w:ilvl="0" w:tplc="4A6C7A02">
      <w:start w:val="1"/>
      <w:numFmt w:val="bullet"/>
      <w:lvlText w:val="-"/>
      <w:lvlJc w:val="left"/>
      <w:pPr>
        <w:ind w:left="720" w:hanging="360"/>
      </w:pPr>
      <w:rPr>
        <w:rFonts w:ascii="Calibri" w:eastAsia="Times New Roman" w:hAnsi="Calibri" w:cs="Calibri" w:hint="default"/>
        <w:caps/>
        <w:sz w:val="24"/>
        <w:szCs w:val="24"/>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66">
    <w:nsid w:val="2F494CD0"/>
    <w:multiLevelType w:val="hybridMultilevel"/>
    <w:tmpl w:val="34948CF0"/>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67">
    <w:nsid w:val="2F865BA3"/>
    <w:multiLevelType w:val="hybridMultilevel"/>
    <w:tmpl w:val="AE86D9F4"/>
    <w:lvl w:ilvl="0" w:tplc="041B000F">
      <w:start w:val="1"/>
      <w:numFmt w:val="decimal"/>
      <w:lvlText w:val="%1."/>
      <w:lvlJc w:val="left"/>
      <w:pPr>
        <w:ind w:left="720" w:hanging="360"/>
      </w:pPr>
      <w:rPr>
        <w:rFonts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68">
    <w:nsid w:val="30B13BAE"/>
    <w:multiLevelType w:val="hybridMultilevel"/>
    <w:tmpl w:val="85EAC0E4"/>
    <w:lvl w:ilvl="0" w:tplc="041B0017">
      <w:start w:val="1"/>
      <w:numFmt w:val="lowerLetter"/>
      <w:lvlText w:val="%1)"/>
      <w:lvlJc w:val="left"/>
      <w:pPr>
        <w:ind w:left="720" w:hanging="360"/>
      </w:pPr>
    </w:lvl>
    <w:lvl w:ilvl="1" w:tplc="041B0019">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169">
    <w:nsid w:val="30DF2439"/>
    <w:multiLevelType w:val="hybridMultilevel"/>
    <w:tmpl w:val="51580B30"/>
    <w:lvl w:ilvl="0" w:tplc="FB20C3A4">
      <w:start w:val="13"/>
      <w:numFmt w:val="bullet"/>
      <w:lvlText w:val="-"/>
      <w:lvlJc w:val="left"/>
      <w:pPr>
        <w:tabs>
          <w:tab w:val="num" w:pos="720"/>
        </w:tabs>
        <w:ind w:left="720" w:hanging="360"/>
      </w:pPr>
      <w:rPr>
        <w:rFonts w:ascii="Calibri" w:eastAsia="Times New Roman" w:hAnsi="Calibri" w:cs="Calibri" w:hint="default"/>
        <w:b/>
      </w:rPr>
    </w:lvl>
    <w:lvl w:ilvl="1" w:tplc="041B0003" w:tentative="1">
      <w:start w:val="1"/>
      <w:numFmt w:val="bullet"/>
      <w:lvlText w:val="o"/>
      <w:lvlJc w:val="left"/>
      <w:pPr>
        <w:tabs>
          <w:tab w:val="num" w:pos="1440"/>
        </w:tabs>
        <w:ind w:left="1440" w:hanging="360"/>
      </w:pPr>
      <w:rPr>
        <w:rFonts w:ascii="Courier New" w:hAnsi="Courier New" w:cs="Courier New" w:hint="default"/>
      </w:rPr>
    </w:lvl>
    <w:lvl w:ilvl="2" w:tplc="041B0005" w:tentative="1">
      <w:start w:val="1"/>
      <w:numFmt w:val="bullet"/>
      <w:lvlText w:val=""/>
      <w:lvlJc w:val="left"/>
      <w:pPr>
        <w:tabs>
          <w:tab w:val="num" w:pos="2160"/>
        </w:tabs>
        <w:ind w:left="2160" w:hanging="360"/>
      </w:pPr>
      <w:rPr>
        <w:rFonts w:ascii="Wingdings" w:hAnsi="Wingdings" w:hint="default"/>
      </w:rPr>
    </w:lvl>
    <w:lvl w:ilvl="3" w:tplc="041B0001" w:tentative="1">
      <w:start w:val="1"/>
      <w:numFmt w:val="bullet"/>
      <w:lvlText w:val=""/>
      <w:lvlJc w:val="left"/>
      <w:pPr>
        <w:tabs>
          <w:tab w:val="num" w:pos="2880"/>
        </w:tabs>
        <w:ind w:left="2880" w:hanging="360"/>
      </w:pPr>
      <w:rPr>
        <w:rFonts w:ascii="Symbol" w:hAnsi="Symbol" w:hint="default"/>
      </w:rPr>
    </w:lvl>
    <w:lvl w:ilvl="4" w:tplc="041B0003" w:tentative="1">
      <w:start w:val="1"/>
      <w:numFmt w:val="bullet"/>
      <w:lvlText w:val="o"/>
      <w:lvlJc w:val="left"/>
      <w:pPr>
        <w:tabs>
          <w:tab w:val="num" w:pos="3600"/>
        </w:tabs>
        <w:ind w:left="3600" w:hanging="360"/>
      </w:pPr>
      <w:rPr>
        <w:rFonts w:ascii="Courier New" w:hAnsi="Courier New" w:cs="Courier New" w:hint="default"/>
      </w:rPr>
    </w:lvl>
    <w:lvl w:ilvl="5" w:tplc="041B0005" w:tentative="1">
      <w:start w:val="1"/>
      <w:numFmt w:val="bullet"/>
      <w:lvlText w:val=""/>
      <w:lvlJc w:val="left"/>
      <w:pPr>
        <w:tabs>
          <w:tab w:val="num" w:pos="4320"/>
        </w:tabs>
        <w:ind w:left="4320" w:hanging="360"/>
      </w:pPr>
      <w:rPr>
        <w:rFonts w:ascii="Wingdings" w:hAnsi="Wingdings" w:hint="default"/>
      </w:rPr>
    </w:lvl>
    <w:lvl w:ilvl="6" w:tplc="041B0001" w:tentative="1">
      <w:start w:val="1"/>
      <w:numFmt w:val="bullet"/>
      <w:lvlText w:val=""/>
      <w:lvlJc w:val="left"/>
      <w:pPr>
        <w:tabs>
          <w:tab w:val="num" w:pos="5040"/>
        </w:tabs>
        <w:ind w:left="5040" w:hanging="360"/>
      </w:pPr>
      <w:rPr>
        <w:rFonts w:ascii="Symbol" w:hAnsi="Symbol" w:hint="default"/>
      </w:rPr>
    </w:lvl>
    <w:lvl w:ilvl="7" w:tplc="041B0003" w:tentative="1">
      <w:start w:val="1"/>
      <w:numFmt w:val="bullet"/>
      <w:lvlText w:val="o"/>
      <w:lvlJc w:val="left"/>
      <w:pPr>
        <w:tabs>
          <w:tab w:val="num" w:pos="5760"/>
        </w:tabs>
        <w:ind w:left="5760" w:hanging="360"/>
      </w:pPr>
      <w:rPr>
        <w:rFonts w:ascii="Courier New" w:hAnsi="Courier New" w:cs="Courier New" w:hint="default"/>
      </w:rPr>
    </w:lvl>
    <w:lvl w:ilvl="8" w:tplc="041B0005" w:tentative="1">
      <w:start w:val="1"/>
      <w:numFmt w:val="bullet"/>
      <w:lvlText w:val=""/>
      <w:lvlJc w:val="left"/>
      <w:pPr>
        <w:tabs>
          <w:tab w:val="num" w:pos="6480"/>
        </w:tabs>
        <w:ind w:left="6480" w:hanging="360"/>
      </w:pPr>
      <w:rPr>
        <w:rFonts w:ascii="Wingdings" w:hAnsi="Wingdings" w:hint="default"/>
      </w:rPr>
    </w:lvl>
  </w:abstractNum>
  <w:abstractNum w:abstractNumId="170">
    <w:nsid w:val="310F495C"/>
    <w:multiLevelType w:val="multilevel"/>
    <w:tmpl w:val="6DD2884A"/>
    <w:numStyleLink w:val="Aktulnyzoznam1"/>
  </w:abstractNum>
  <w:abstractNum w:abstractNumId="171">
    <w:nsid w:val="316477D7"/>
    <w:multiLevelType w:val="hybridMultilevel"/>
    <w:tmpl w:val="A86E0AC8"/>
    <w:lvl w:ilvl="0" w:tplc="041B0001">
      <w:start w:val="1"/>
      <w:numFmt w:val="bullet"/>
      <w:lvlText w:val=""/>
      <w:lvlJc w:val="left"/>
      <w:pPr>
        <w:ind w:left="360" w:hanging="360"/>
      </w:pPr>
      <w:rPr>
        <w:rFonts w:ascii="Symbol" w:hAnsi="Symbol" w:hint="default"/>
      </w:rPr>
    </w:lvl>
    <w:lvl w:ilvl="1" w:tplc="041B0019">
      <w:start w:val="1"/>
      <w:numFmt w:val="lowerLetter"/>
      <w:lvlText w:val="%2."/>
      <w:lvlJc w:val="left"/>
      <w:pPr>
        <w:ind w:left="1080" w:hanging="360"/>
      </w:pPr>
    </w:lvl>
    <w:lvl w:ilvl="2" w:tplc="041B001B">
      <w:start w:val="1"/>
      <w:numFmt w:val="lowerRoman"/>
      <w:lvlText w:val="%3."/>
      <w:lvlJc w:val="right"/>
      <w:pPr>
        <w:ind w:left="1800" w:hanging="180"/>
      </w:pPr>
    </w:lvl>
    <w:lvl w:ilvl="3" w:tplc="041B000F">
      <w:start w:val="1"/>
      <w:numFmt w:val="decimal"/>
      <w:lvlText w:val="%4."/>
      <w:lvlJc w:val="left"/>
      <w:pPr>
        <w:ind w:left="2520" w:hanging="360"/>
      </w:pPr>
    </w:lvl>
    <w:lvl w:ilvl="4" w:tplc="041B0019">
      <w:start w:val="1"/>
      <w:numFmt w:val="lowerLetter"/>
      <w:lvlText w:val="%5."/>
      <w:lvlJc w:val="left"/>
      <w:pPr>
        <w:ind w:left="3240" w:hanging="360"/>
      </w:pPr>
    </w:lvl>
    <w:lvl w:ilvl="5" w:tplc="041B001B">
      <w:start w:val="1"/>
      <w:numFmt w:val="lowerRoman"/>
      <w:lvlText w:val="%6."/>
      <w:lvlJc w:val="right"/>
      <w:pPr>
        <w:ind w:left="3960" w:hanging="180"/>
      </w:pPr>
    </w:lvl>
    <w:lvl w:ilvl="6" w:tplc="041B000F">
      <w:start w:val="1"/>
      <w:numFmt w:val="decimal"/>
      <w:lvlText w:val="%7."/>
      <w:lvlJc w:val="left"/>
      <w:pPr>
        <w:ind w:left="4680" w:hanging="360"/>
      </w:pPr>
    </w:lvl>
    <w:lvl w:ilvl="7" w:tplc="041B0019">
      <w:start w:val="1"/>
      <w:numFmt w:val="lowerLetter"/>
      <w:lvlText w:val="%8."/>
      <w:lvlJc w:val="left"/>
      <w:pPr>
        <w:ind w:left="5400" w:hanging="360"/>
      </w:pPr>
    </w:lvl>
    <w:lvl w:ilvl="8" w:tplc="041B001B">
      <w:start w:val="1"/>
      <w:numFmt w:val="lowerRoman"/>
      <w:lvlText w:val="%9."/>
      <w:lvlJc w:val="right"/>
      <w:pPr>
        <w:ind w:left="6120" w:hanging="180"/>
      </w:pPr>
    </w:lvl>
  </w:abstractNum>
  <w:abstractNum w:abstractNumId="172">
    <w:nsid w:val="316E7582"/>
    <w:multiLevelType w:val="multilevel"/>
    <w:tmpl w:val="9CE6CB54"/>
    <w:styleLink w:val="Aktulnyzoznam2"/>
    <w:lvl w:ilvl="0">
      <w:numFmt w:val="bullet"/>
      <w:lvlText w:val="-"/>
      <w:lvlJc w:val="left"/>
      <w:pPr>
        <w:tabs>
          <w:tab w:val="num" w:pos="720"/>
        </w:tabs>
        <w:ind w:left="720" w:hanging="360"/>
      </w:pPr>
      <w:rPr>
        <w:rFonts w:ascii="Times New Roman" w:eastAsia="Times New Roman" w:hAnsi="Times New Roman" w:hint="default"/>
      </w:rPr>
    </w:lvl>
    <w:lvl w:ilvl="1">
      <w:numFmt w:val="bullet"/>
      <w:lvlText w:val="-"/>
      <w:lvlJc w:val="left"/>
      <w:pPr>
        <w:tabs>
          <w:tab w:val="num" w:pos="1437"/>
        </w:tabs>
        <w:ind w:left="1437" w:hanging="357"/>
      </w:pPr>
      <w:rPr>
        <w:rFonts w:ascii="Arial" w:eastAsia="Times New Roman" w:hAnsi="Arial" w:hint="default"/>
      </w:rPr>
    </w:lvl>
    <w:lvl w:ilvl="2">
      <w:numFmt w:val="bullet"/>
      <w:lvlText w:val=""/>
      <w:lvlJc w:val="left"/>
      <w:pPr>
        <w:tabs>
          <w:tab w:val="num" w:pos="2505"/>
        </w:tabs>
        <w:ind w:left="2505" w:hanging="705"/>
      </w:pPr>
      <w:rPr>
        <w:rFonts w:ascii="Symbol" w:eastAsia="Times New Roman" w:hAnsi="Symbol"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73">
    <w:nsid w:val="31A53E86"/>
    <w:multiLevelType w:val="hybridMultilevel"/>
    <w:tmpl w:val="9BC685E4"/>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74">
    <w:nsid w:val="31BB1DBC"/>
    <w:multiLevelType w:val="hybridMultilevel"/>
    <w:tmpl w:val="AE34B320"/>
    <w:lvl w:ilvl="0" w:tplc="A1B08656">
      <w:numFmt w:val="bullet"/>
      <w:lvlText w:val="•"/>
      <w:lvlJc w:val="left"/>
      <w:pPr>
        <w:ind w:left="360" w:hanging="360"/>
      </w:pPr>
      <w:rPr>
        <w:rFonts w:ascii="Calibri" w:eastAsia="Times New Roman" w:hAnsi="Calibri" w:hint="default"/>
      </w:rPr>
    </w:lvl>
    <w:lvl w:ilvl="1" w:tplc="041B0003">
      <w:start w:val="1"/>
      <w:numFmt w:val="bullet"/>
      <w:lvlText w:val="o"/>
      <w:lvlJc w:val="left"/>
      <w:pPr>
        <w:ind w:left="1080" w:hanging="360"/>
      </w:pPr>
      <w:rPr>
        <w:rFonts w:ascii="Courier New" w:hAnsi="Courier New" w:cs="Courier New" w:hint="default"/>
      </w:rPr>
    </w:lvl>
    <w:lvl w:ilvl="2" w:tplc="041B0005">
      <w:start w:val="1"/>
      <w:numFmt w:val="bullet"/>
      <w:lvlText w:val=""/>
      <w:lvlJc w:val="left"/>
      <w:pPr>
        <w:ind w:left="1800" w:hanging="360"/>
      </w:pPr>
      <w:rPr>
        <w:rFonts w:ascii="Wingdings" w:hAnsi="Wingdings" w:cs="Wingdings" w:hint="default"/>
      </w:rPr>
    </w:lvl>
    <w:lvl w:ilvl="3" w:tplc="041B0001">
      <w:start w:val="1"/>
      <w:numFmt w:val="bullet"/>
      <w:lvlText w:val=""/>
      <w:lvlJc w:val="left"/>
      <w:pPr>
        <w:ind w:left="2520" w:hanging="360"/>
      </w:pPr>
      <w:rPr>
        <w:rFonts w:ascii="Symbol" w:hAnsi="Symbol" w:cs="Symbol" w:hint="default"/>
      </w:rPr>
    </w:lvl>
    <w:lvl w:ilvl="4" w:tplc="041B0003">
      <w:start w:val="1"/>
      <w:numFmt w:val="bullet"/>
      <w:lvlText w:val="o"/>
      <w:lvlJc w:val="left"/>
      <w:pPr>
        <w:ind w:left="3240" w:hanging="360"/>
      </w:pPr>
      <w:rPr>
        <w:rFonts w:ascii="Courier New" w:hAnsi="Courier New" w:cs="Courier New" w:hint="default"/>
      </w:rPr>
    </w:lvl>
    <w:lvl w:ilvl="5" w:tplc="041B0005">
      <w:start w:val="1"/>
      <w:numFmt w:val="bullet"/>
      <w:lvlText w:val=""/>
      <w:lvlJc w:val="left"/>
      <w:pPr>
        <w:ind w:left="3960" w:hanging="360"/>
      </w:pPr>
      <w:rPr>
        <w:rFonts w:ascii="Wingdings" w:hAnsi="Wingdings" w:cs="Wingdings" w:hint="default"/>
      </w:rPr>
    </w:lvl>
    <w:lvl w:ilvl="6" w:tplc="041B0001">
      <w:start w:val="1"/>
      <w:numFmt w:val="bullet"/>
      <w:lvlText w:val=""/>
      <w:lvlJc w:val="left"/>
      <w:pPr>
        <w:ind w:left="4680" w:hanging="360"/>
      </w:pPr>
      <w:rPr>
        <w:rFonts w:ascii="Symbol" w:hAnsi="Symbol" w:cs="Symbol" w:hint="default"/>
      </w:rPr>
    </w:lvl>
    <w:lvl w:ilvl="7" w:tplc="041B0003">
      <w:start w:val="1"/>
      <w:numFmt w:val="bullet"/>
      <w:lvlText w:val="o"/>
      <w:lvlJc w:val="left"/>
      <w:pPr>
        <w:ind w:left="5400" w:hanging="360"/>
      </w:pPr>
      <w:rPr>
        <w:rFonts w:ascii="Courier New" w:hAnsi="Courier New" w:cs="Courier New" w:hint="default"/>
      </w:rPr>
    </w:lvl>
    <w:lvl w:ilvl="8" w:tplc="041B0005">
      <w:start w:val="1"/>
      <w:numFmt w:val="bullet"/>
      <w:lvlText w:val=""/>
      <w:lvlJc w:val="left"/>
      <w:pPr>
        <w:ind w:left="6120" w:hanging="360"/>
      </w:pPr>
      <w:rPr>
        <w:rFonts w:ascii="Wingdings" w:hAnsi="Wingdings" w:cs="Wingdings" w:hint="default"/>
      </w:rPr>
    </w:lvl>
  </w:abstractNum>
  <w:abstractNum w:abstractNumId="175">
    <w:nsid w:val="31BD6830"/>
    <w:multiLevelType w:val="hybridMultilevel"/>
    <w:tmpl w:val="B2AE6E42"/>
    <w:lvl w:ilvl="0" w:tplc="041B0001">
      <w:start w:val="1"/>
      <w:numFmt w:val="bullet"/>
      <w:lvlText w:val=""/>
      <w:lvlJc w:val="left"/>
      <w:pPr>
        <w:ind w:left="720" w:hanging="360"/>
      </w:pPr>
      <w:rPr>
        <w:rFonts w:ascii="Symbol" w:hAnsi="Symbol" w:cs="Symbol" w:hint="default"/>
      </w:rPr>
    </w:lvl>
    <w:lvl w:ilvl="1" w:tplc="041B0003">
      <w:start w:val="1"/>
      <w:numFmt w:val="bullet"/>
      <w:lvlText w:val="o"/>
      <w:lvlJc w:val="left"/>
      <w:pPr>
        <w:ind w:left="1440" w:hanging="360"/>
      </w:pPr>
      <w:rPr>
        <w:rFonts w:ascii="Courier New" w:hAnsi="Courier New" w:cs="Courier New" w:hint="default"/>
      </w:rPr>
    </w:lvl>
    <w:lvl w:ilvl="2" w:tplc="041B0005">
      <w:start w:val="1"/>
      <w:numFmt w:val="bullet"/>
      <w:lvlText w:val=""/>
      <w:lvlJc w:val="left"/>
      <w:pPr>
        <w:ind w:left="2160" w:hanging="360"/>
      </w:pPr>
      <w:rPr>
        <w:rFonts w:ascii="Wingdings" w:hAnsi="Wingdings" w:cs="Wingdings" w:hint="default"/>
      </w:rPr>
    </w:lvl>
    <w:lvl w:ilvl="3" w:tplc="041B0001">
      <w:start w:val="1"/>
      <w:numFmt w:val="bullet"/>
      <w:lvlText w:val=""/>
      <w:lvlJc w:val="left"/>
      <w:pPr>
        <w:ind w:left="2880" w:hanging="360"/>
      </w:pPr>
      <w:rPr>
        <w:rFonts w:ascii="Symbol" w:hAnsi="Symbol" w:cs="Symbol" w:hint="default"/>
      </w:rPr>
    </w:lvl>
    <w:lvl w:ilvl="4" w:tplc="041B0003">
      <w:start w:val="1"/>
      <w:numFmt w:val="bullet"/>
      <w:lvlText w:val="o"/>
      <w:lvlJc w:val="left"/>
      <w:pPr>
        <w:ind w:left="3600" w:hanging="360"/>
      </w:pPr>
      <w:rPr>
        <w:rFonts w:ascii="Courier New" w:hAnsi="Courier New" w:cs="Courier New" w:hint="default"/>
      </w:rPr>
    </w:lvl>
    <w:lvl w:ilvl="5" w:tplc="041B0005">
      <w:start w:val="1"/>
      <w:numFmt w:val="bullet"/>
      <w:lvlText w:val=""/>
      <w:lvlJc w:val="left"/>
      <w:pPr>
        <w:ind w:left="4320" w:hanging="360"/>
      </w:pPr>
      <w:rPr>
        <w:rFonts w:ascii="Wingdings" w:hAnsi="Wingdings" w:cs="Wingdings" w:hint="default"/>
      </w:rPr>
    </w:lvl>
    <w:lvl w:ilvl="6" w:tplc="041B0001">
      <w:start w:val="1"/>
      <w:numFmt w:val="bullet"/>
      <w:lvlText w:val=""/>
      <w:lvlJc w:val="left"/>
      <w:pPr>
        <w:ind w:left="5040" w:hanging="360"/>
      </w:pPr>
      <w:rPr>
        <w:rFonts w:ascii="Symbol" w:hAnsi="Symbol" w:cs="Symbol" w:hint="default"/>
      </w:rPr>
    </w:lvl>
    <w:lvl w:ilvl="7" w:tplc="041B0003">
      <w:start w:val="1"/>
      <w:numFmt w:val="bullet"/>
      <w:lvlText w:val="o"/>
      <w:lvlJc w:val="left"/>
      <w:pPr>
        <w:ind w:left="5760" w:hanging="360"/>
      </w:pPr>
      <w:rPr>
        <w:rFonts w:ascii="Courier New" w:hAnsi="Courier New" w:cs="Courier New" w:hint="default"/>
      </w:rPr>
    </w:lvl>
    <w:lvl w:ilvl="8" w:tplc="041B0005">
      <w:start w:val="1"/>
      <w:numFmt w:val="bullet"/>
      <w:lvlText w:val=""/>
      <w:lvlJc w:val="left"/>
      <w:pPr>
        <w:ind w:left="6480" w:hanging="360"/>
      </w:pPr>
      <w:rPr>
        <w:rFonts w:ascii="Wingdings" w:hAnsi="Wingdings" w:cs="Wingdings" w:hint="default"/>
      </w:rPr>
    </w:lvl>
  </w:abstractNum>
  <w:abstractNum w:abstractNumId="176">
    <w:nsid w:val="327F79B8"/>
    <w:multiLevelType w:val="hybridMultilevel"/>
    <w:tmpl w:val="0DEA14FE"/>
    <w:lvl w:ilvl="0" w:tplc="041B0001">
      <w:start w:val="1"/>
      <w:numFmt w:val="bullet"/>
      <w:lvlText w:val=""/>
      <w:lvlJc w:val="left"/>
      <w:pPr>
        <w:ind w:left="720" w:hanging="360"/>
      </w:pPr>
      <w:rPr>
        <w:rFonts w:ascii="Symbol" w:hAnsi="Symbol" w:hint="default"/>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177">
    <w:nsid w:val="32D12B5C"/>
    <w:multiLevelType w:val="hybridMultilevel"/>
    <w:tmpl w:val="619AB0D6"/>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78">
    <w:nsid w:val="335E4C17"/>
    <w:multiLevelType w:val="hybridMultilevel"/>
    <w:tmpl w:val="A9E2E386"/>
    <w:lvl w:ilvl="0" w:tplc="8D4C07C2">
      <w:start w:val="1"/>
      <w:numFmt w:val="bullet"/>
      <w:lvlText w:val=""/>
      <w:lvlJc w:val="left"/>
      <w:pPr>
        <w:tabs>
          <w:tab w:val="num" w:pos="360"/>
        </w:tabs>
        <w:ind w:left="360" w:hanging="360"/>
      </w:pPr>
      <w:rPr>
        <w:rFonts w:ascii="Wingdings" w:hAnsi="Wingdings" w:hint="default"/>
        <w:color w:val="auto"/>
      </w:rPr>
    </w:lvl>
    <w:lvl w:ilvl="1" w:tplc="041B0003" w:tentative="1">
      <w:start w:val="1"/>
      <w:numFmt w:val="bullet"/>
      <w:lvlText w:val="o"/>
      <w:lvlJc w:val="left"/>
      <w:pPr>
        <w:tabs>
          <w:tab w:val="num" w:pos="1440"/>
        </w:tabs>
        <w:ind w:left="1440" w:hanging="360"/>
      </w:pPr>
      <w:rPr>
        <w:rFonts w:ascii="Courier New" w:hAnsi="Courier New" w:cs="Courier New" w:hint="default"/>
      </w:rPr>
    </w:lvl>
    <w:lvl w:ilvl="2" w:tplc="041B0005" w:tentative="1">
      <w:start w:val="1"/>
      <w:numFmt w:val="bullet"/>
      <w:lvlText w:val=""/>
      <w:lvlJc w:val="left"/>
      <w:pPr>
        <w:tabs>
          <w:tab w:val="num" w:pos="2160"/>
        </w:tabs>
        <w:ind w:left="2160" w:hanging="360"/>
      </w:pPr>
      <w:rPr>
        <w:rFonts w:ascii="Wingdings" w:hAnsi="Wingdings" w:hint="default"/>
      </w:rPr>
    </w:lvl>
    <w:lvl w:ilvl="3" w:tplc="041B0001" w:tentative="1">
      <w:start w:val="1"/>
      <w:numFmt w:val="bullet"/>
      <w:lvlText w:val=""/>
      <w:lvlJc w:val="left"/>
      <w:pPr>
        <w:tabs>
          <w:tab w:val="num" w:pos="2880"/>
        </w:tabs>
        <w:ind w:left="2880" w:hanging="360"/>
      </w:pPr>
      <w:rPr>
        <w:rFonts w:ascii="Symbol" w:hAnsi="Symbol" w:hint="default"/>
      </w:rPr>
    </w:lvl>
    <w:lvl w:ilvl="4" w:tplc="041B0003" w:tentative="1">
      <w:start w:val="1"/>
      <w:numFmt w:val="bullet"/>
      <w:lvlText w:val="o"/>
      <w:lvlJc w:val="left"/>
      <w:pPr>
        <w:tabs>
          <w:tab w:val="num" w:pos="3600"/>
        </w:tabs>
        <w:ind w:left="3600" w:hanging="360"/>
      </w:pPr>
      <w:rPr>
        <w:rFonts w:ascii="Courier New" w:hAnsi="Courier New" w:cs="Courier New" w:hint="default"/>
      </w:rPr>
    </w:lvl>
    <w:lvl w:ilvl="5" w:tplc="041B0005" w:tentative="1">
      <w:start w:val="1"/>
      <w:numFmt w:val="bullet"/>
      <w:lvlText w:val=""/>
      <w:lvlJc w:val="left"/>
      <w:pPr>
        <w:tabs>
          <w:tab w:val="num" w:pos="4320"/>
        </w:tabs>
        <w:ind w:left="4320" w:hanging="360"/>
      </w:pPr>
      <w:rPr>
        <w:rFonts w:ascii="Wingdings" w:hAnsi="Wingdings" w:hint="default"/>
      </w:rPr>
    </w:lvl>
    <w:lvl w:ilvl="6" w:tplc="041B0001" w:tentative="1">
      <w:start w:val="1"/>
      <w:numFmt w:val="bullet"/>
      <w:lvlText w:val=""/>
      <w:lvlJc w:val="left"/>
      <w:pPr>
        <w:tabs>
          <w:tab w:val="num" w:pos="5040"/>
        </w:tabs>
        <w:ind w:left="5040" w:hanging="360"/>
      </w:pPr>
      <w:rPr>
        <w:rFonts w:ascii="Symbol" w:hAnsi="Symbol" w:hint="default"/>
      </w:rPr>
    </w:lvl>
    <w:lvl w:ilvl="7" w:tplc="041B0003" w:tentative="1">
      <w:start w:val="1"/>
      <w:numFmt w:val="bullet"/>
      <w:lvlText w:val="o"/>
      <w:lvlJc w:val="left"/>
      <w:pPr>
        <w:tabs>
          <w:tab w:val="num" w:pos="5760"/>
        </w:tabs>
        <w:ind w:left="5760" w:hanging="360"/>
      </w:pPr>
      <w:rPr>
        <w:rFonts w:ascii="Courier New" w:hAnsi="Courier New" w:cs="Courier New" w:hint="default"/>
      </w:rPr>
    </w:lvl>
    <w:lvl w:ilvl="8" w:tplc="041B0005" w:tentative="1">
      <w:start w:val="1"/>
      <w:numFmt w:val="bullet"/>
      <w:lvlText w:val=""/>
      <w:lvlJc w:val="left"/>
      <w:pPr>
        <w:tabs>
          <w:tab w:val="num" w:pos="6480"/>
        </w:tabs>
        <w:ind w:left="6480" w:hanging="360"/>
      </w:pPr>
      <w:rPr>
        <w:rFonts w:ascii="Wingdings" w:hAnsi="Wingdings" w:hint="default"/>
      </w:rPr>
    </w:lvl>
  </w:abstractNum>
  <w:abstractNum w:abstractNumId="179">
    <w:nsid w:val="33946AAB"/>
    <w:multiLevelType w:val="multilevel"/>
    <w:tmpl w:val="B6E89A42"/>
    <w:lvl w:ilvl="0">
      <w:start w:val="1"/>
      <w:numFmt w:val="bullet"/>
      <w:lvlText w:val=""/>
      <w:lvlJc w:val="left"/>
      <w:pPr>
        <w:tabs>
          <w:tab w:val="num" w:pos="360"/>
        </w:tabs>
        <w:ind w:left="360" w:hanging="360"/>
      </w:pPr>
      <w:rPr>
        <w:rFonts w:ascii="Symbol" w:hAnsi="Symbol" w:hint="default"/>
      </w:rPr>
    </w:lvl>
    <w:lvl w:ilvl="1">
      <w:start w:val="1"/>
      <w:numFmt w:val="bullet"/>
      <w:lvlText w:val=""/>
      <w:lvlJc w:val="left"/>
      <w:pPr>
        <w:tabs>
          <w:tab w:val="num" w:pos="720"/>
        </w:tabs>
        <w:ind w:left="720" w:hanging="360"/>
      </w:pPr>
      <w:rPr>
        <w:rFonts w:ascii="Wingdings" w:hAnsi="Wingdings" w:cs="OpenSymbol"/>
      </w:rPr>
    </w:lvl>
    <w:lvl w:ilvl="2">
      <w:start w:val="1"/>
      <w:numFmt w:val="bullet"/>
      <w:lvlText w:val=""/>
      <w:lvlJc w:val="left"/>
      <w:pPr>
        <w:tabs>
          <w:tab w:val="num" w:pos="1080"/>
        </w:tabs>
        <w:ind w:left="1080" w:hanging="360"/>
      </w:pPr>
      <w:rPr>
        <w:rFonts w:ascii="Wingdings" w:hAnsi="Wingdings" w:cs="OpenSymbol"/>
      </w:rPr>
    </w:lvl>
    <w:lvl w:ilvl="3">
      <w:start w:val="1"/>
      <w:numFmt w:val="bullet"/>
      <w:lvlText w:val=""/>
      <w:lvlJc w:val="left"/>
      <w:pPr>
        <w:tabs>
          <w:tab w:val="num" w:pos="1440"/>
        </w:tabs>
        <w:ind w:left="1440" w:hanging="360"/>
      </w:pPr>
      <w:rPr>
        <w:rFonts w:ascii="Wingdings" w:hAnsi="Wingdings" w:cs="OpenSymbol"/>
      </w:rPr>
    </w:lvl>
    <w:lvl w:ilvl="4">
      <w:start w:val="1"/>
      <w:numFmt w:val="bullet"/>
      <w:lvlText w:val=""/>
      <w:lvlJc w:val="left"/>
      <w:pPr>
        <w:tabs>
          <w:tab w:val="num" w:pos="1800"/>
        </w:tabs>
        <w:ind w:left="1800" w:hanging="360"/>
      </w:pPr>
      <w:rPr>
        <w:rFonts w:ascii="Wingdings" w:hAnsi="Wingdings" w:cs="OpenSymbol"/>
      </w:rPr>
    </w:lvl>
    <w:lvl w:ilvl="5">
      <w:start w:val="1"/>
      <w:numFmt w:val="bullet"/>
      <w:lvlText w:val=""/>
      <w:lvlJc w:val="left"/>
      <w:pPr>
        <w:tabs>
          <w:tab w:val="num" w:pos="2160"/>
        </w:tabs>
        <w:ind w:left="2160" w:hanging="360"/>
      </w:pPr>
      <w:rPr>
        <w:rFonts w:ascii="Wingdings" w:hAnsi="Wingdings" w:cs="OpenSymbol"/>
      </w:rPr>
    </w:lvl>
    <w:lvl w:ilvl="6">
      <w:start w:val="1"/>
      <w:numFmt w:val="bullet"/>
      <w:lvlText w:val=""/>
      <w:lvlJc w:val="left"/>
      <w:pPr>
        <w:tabs>
          <w:tab w:val="num" w:pos="2520"/>
        </w:tabs>
        <w:ind w:left="2520" w:hanging="360"/>
      </w:pPr>
      <w:rPr>
        <w:rFonts w:ascii="Wingdings" w:hAnsi="Wingdings" w:cs="OpenSymbol"/>
      </w:rPr>
    </w:lvl>
    <w:lvl w:ilvl="7">
      <w:start w:val="1"/>
      <w:numFmt w:val="bullet"/>
      <w:lvlText w:val=""/>
      <w:lvlJc w:val="left"/>
      <w:pPr>
        <w:tabs>
          <w:tab w:val="num" w:pos="2880"/>
        </w:tabs>
        <w:ind w:left="2880" w:hanging="360"/>
      </w:pPr>
      <w:rPr>
        <w:rFonts w:ascii="Wingdings" w:hAnsi="Wingdings" w:cs="OpenSymbol"/>
      </w:rPr>
    </w:lvl>
    <w:lvl w:ilvl="8">
      <w:start w:val="1"/>
      <w:numFmt w:val="bullet"/>
      <w:lvlText w:val=""/>
      <w:lvlJc w:val="left"/>
      <w:pPr>
        <w:tabs>
          <w:tab w:val="num" w:pos="3240"/>
        </w:tabs>
        <w:ind w:left="3240" w:hanging="360"/>
      </w:pPr>
      <w:rPr>
        <w:rFonts w:ascii="Wingdings" w:hAnsi="Wingdings" w:cs="OpenSymbol"/>
      </w:rPr>
    </w:lvl>
  </w:abstractNum>
  <w:abstractNum w:abstractNumId="180">
    <w:nsid w:val="339E60A1"/>
    <w:multiLevelType w:val="hybridMultilevel"/>
    <w:tmpl w:val="B9BACEA8"/>
    <w:lvl w:ilvl="0" w:tplc="041B0003">
      <w:start w:val="1"/>
      <w:numFmt w:val="bullet"/>
      <w:lvlText w:val="o"/>
      <w:lvlJc w:val="left"/>
      <w:pPr>
        <w:ind w:left="1485" w:hanging="360"/>
      </w:pPr>
      <w:rPr>
        <w:rFonts w:ascii="Courier New" w:hAnsi="Courier New" w:cs="Courier New" w:hint="default"/>
      </w:rPr>
    </w:lvl>
    <w:lvl w:ilvl="1" w:tplc="041B0003" w:tentative="1">
      <w:start w:val="1"/>
      <w:numFmt w:val="bullet"/>
      <w:lvlText w:val="o"/>
      <w:lvlJc w:val="left"/>
      <w:pPr>
        <w:ind w:left="2205" w:hanging="360"/>
      </w:pPr>
      <w:rPr>
        <w:rFonts w:ascii="Courier New" w:hAnsi="Courier New" w:cs="Courier New" w:hint="default"/>
      </w:rPr>
    </w:lvl>
    <w:lvl w:ilvl="2" w:tplc="041B0005" w:tentative="1">
      <w:start w:val="1"/>
      <w:numFmt w:val="bullet"/>
      <w:lvlText w:val=""/>
      <w:lvlJc w:val="left"/>
      <w:pPr>
        <w:ind w:left="2925" w:hanging="360"/>
      </w:pPr>
      <w:rPr>
        <w:rFonts w:ascii="Wingdings" w:hAnsi="Wingdings" w:hint="default"/>
      </w:rPr>
    </w:lvl>
    <w:lvl w:ilvl="3" w:tplc="041B0001" w:tentative="1">
      <w:start w:val="1"/>
      <w:numFmt w:val="bullet"/>
      <w:lvlText w:val=""/>
      <w:lvlJc w:val="left"/>
      <w:pPr>
        <w:ind w:left="3645" w:hanging="360"/>
      </w:pPr>
      <w:rPr>
        <w:rFonts w:ascii="Symbol" w:hAnsi="Symbol" w:hint="default"/>
      </w:rPr>
    </w:lvl>
    <w:lvl w:ilvl="4" w:tplc="041B0003" w:tentative="1">
      <w:start w:val="1"/>
      <w:numFmt w:val="bullet"/>
      <w:lvlText w:val="o"/>
      <w:lvlJc w:val="left"/>
      <w:pPr>
        <w:ind w:left="4365" w:hanging="360"/>
      </w:pPr>
      <w:rPr>
        <w:rFonts w:ascii="Courier New" w:hAnsi="Courier New" w:cs="Courier New" w:hint="default"/>
      </w:rPr>
    </w:lvl>
    <w:lvl w:ilvl="5" w:tplc="041B0005" w:tentative="1">
      <w:start w:val="1"/>
      <w:numFmt w:val="bullet"/>
      <w:lvlText w:val=""/>
      <w:lvlJc w:val="left"/>
      <w:pPr>
        <w:ind w:left="5085" w:hanging="360"/>
      </w:pPr>
      <w:rPr>
        <w:rFonts w:ascii="Wingdings" w:hAnsi="Wingdings" w:hint="default"/>
      </w:rPr>
    </w:lvl>
    <w:lvl w:ilvl="6" w:tplc="041B0001" w:tentative="1">
      <w:start w:val="1"/>
      <w:numFmt w:val="bullet"/>
      <w:lvlText w:val=""/>
      <w:lvlJc w:val="left"/>
      <w:pPr>
        <w:ind w:left="5805" w:hanging="360"/>
      </w:pPr>
      <w:rPr>
        <w:rFonts w:ascii="Symbol" w:hAnsi="Symbol" w:hint="default"/>
      </w:rPr>
    </w:lvl>
    <w:lvl w:ilvl="7" w:tplc="041B0003" w:tentative="1">
      <w:start w:val="1"/>
      <w:numFmt w:val="bullet"/>
      <w:lvlText w:val="o"/>
      <w:lvlJc w:val="left"/>
      <w:pPr>
        <w:ind w:left="6525" w:hanging="360"/>
      </w:pPr>
      <w:rPr>
        <w:rFonts w:ascii="Courier New" w:hAnsi="Courier New" w:cs="Courier New" w:hint="default"/>
      </w:rPr>
    </w:lvl>
    <w:lvl w:ilvl="8" w:tplc="041B0005" w:tentative="1">
      <w:start w:val="1"/>
      <w:numFmt w:val="bullet"/>
      <w:lvlText w:val=""/>
      <w:lvlJc w:val="left"/>
      <w:pPr>
        <w:ind w:left="7245" w:hanging="360"/>
      </w:pPr>
      <w:rPr>
        <w:rFonts w:ascii="Wingdings" w:hAnsi="Wingdings" w:hint="default"/>
      </w:rPr>
    </w:lvl>
  </w:abstractNum>
  <w:abstractNum w:abstractNumId="181">
    <w:nsid w:val="34A0273C"/>
    <w:multiLevelType w:val="hybridMultilevel"/>
    <w:tmpl w:val="EA2E8B04"/>
    <w:lvl w:ilvl="0" w:tplc="674E832A">
      <w:numFmt w:val="bullet"/>
      <w:lvlText w:val="-"/>
      <w:lvlJc w:val="left"/>
      <w:pPr>
        <w:ind w:left="720" w:hanging="360"/>
      </w:pPr>
      <w:rPr>
        <w:rFonts w:ascii="Calibri" w:eastAsia="Times New Roman" w:hAnsi="Calibri" w:cs="Times New Roman"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82">
    <w:nsid w:val="34E0376F"/>
    <w:multiLevelType w:val="hybridMultilevel"/>
    <w:tmpl w:val="B45485BC"/>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83">
    <w:nsid w:val="359841E6"/>
    <w:multiLevelType w:val="hybridMultilevel"/>
    <w:tmpl w:val="D966D6C0"/>
    <w:lvl w:ilvl="0" w:tplc="09F65E18">
      <w:start w:val="1"/>
      <w:numFmt w:val="lowerLetter"/>
      <w:lvlText w:val="%1)"/>
      <w:lvlJc w:val="left"/>
      <w:pPr>
        <w:ind w:left="720" w:hanging="360"/>
      </w:pPr>
      <w:rPr>
        <w:b/>
        <w:i w:val="0"/>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184">
    <w:nsid w:val="359F40AF"/>
    <w:multiLevelType w:val="hybridMultilevel"/>
    <w:tmpl w:val="8E0CE0AC"/>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85">
    <w:nsid w:val="35D72576"/>
    <w:multiLevelType w:val="hybridMultilevel"/>
    <w:tmpl w:val="ACC22B9C"/>
    <w:lvl w:ilvl="0" w:tplc="041B000F">
      <w:start w:val="1"/>
      <w:numFmt w:val="decimal"/>
      <w:lvlText w:val="%1."/>
      <w:lvlJc w:val="left"/>
      <w:pPr>
        <w:ind w:left="1202" w:hanging="360"/>
      </w:pPr>
      <w:rPr>
        <w:rFonts w:hint="default"/>
      </w:rPr>
    </w:lvl>
    <w:lvl w:ilvl="1" w:tplc="041B0003" w:tentative="1">
      <w:start w:val="1"/>
      <w:numFmt w:val="bullet"/>
      <w:lvlText w:val="o"/>
      <w:lvlJc w:val="left"/>
      <w:pPr>
        <w:ind w:left="1922" w:hanging="360"/>
      </w:pPr>
      <w:rPr>
        <w:rFonts w:ascii="Courier New" w:hAnsi="Courier New" w:cs="Courier New" w:hint="default"/>
      </w:rPr>
    </w:lvl>
    <w:lvl w:ilvl="2" w:tplc="041B0005" w:tentative="1">
      <w:start w:val="1"/>
      <w:numFmt w:val="bullet"/>
      <w:lvlText w:val=""/>
      <w:lvlJc w:val="left"/>
      <w:pPr>
        <w:ind w:left="2642" w:hanging="360"/>
      </w:pPr>
      <w:rPr>
        <w:rFonts w:ascii="Wingdings" w:hAnsi="Wingdings" w:hint="default"/>
      </w:rPr>
    </w:lvl>
    <w:lvl w:ilvl="3" w:tplc="041B0001" w:tentative="1">
      <w:start w:val="1"/>
      <w:numFmt w:val="bullet"/>
      <w:lvlText w:val=""/>
      <w:lvlJc w:val="left"/>
      <w:pPr>
        <w:ind w:left="3362" w:hanging="360"/>
      </w:pPr>
      <w:rPr>
        <w:rFonts w:ascii="Symbol" w:hAnsi="Symbol" w:hint="default"/>
      </w:rPr>
    </w:lvl>
    <w:lvl w:ilvl="4" w:tplc="041B0003" w:tentative="1">
      <w:start w:val="1"/>
      <w:numFmt w:val="bullet"/>
      <w:lvlText w:val="o"/>
      <w:lvlJc w:val="left"/>
      <w:pPr>
        <w:ind w:left="4082" w:hanging="360"/>
      </w:pPr>
      <w:rPr>
        <w:rFonts w:ascii="Courier New" w:hAnsi="Courier New" w:cs="Courier New" w:hint="default"/>
      </w:rPr>
    </w:lvl>
    <w:lvl w:ilvl="5" w:tplc="041B0005" w:tentative="1">
      <w:start w:val="1"/>
      <w:numFmt w:val="bullet"/>
      <w:lvlText w:val=""/>
      <w:lvlJc w:val="left"/>
      <w:pPr>
        <w:ind w:left="4802" w:hanging="360"/>
      </w:pPr>
      <w:rPr>
        <w:rFonts w:ascii="Wingdings" w:hAnsi="Wingdings" w:hint="default"/>
      </w:rPr>
    </w:lvl>
    <w:lvl w:ilvl="6" w:tplc="041B0001" w:tentative="1">
      <w:start w:val="1"/>
      <w:numFmt w:val="bullet"/>
      <w:lvlText w:val=""/>
      <w:lvlJc w:val="left"/>
      <w:pPr>
        <w:ind w:left="5522" w:hanging="360"/>
      </w:pPr>
      <w:rPr>
        <w:rFonts w:ascii="Symbol" w:hAnsi="Symbol" w:hint="default"/>
      </w:rPr>
    </w:lvl>
    <w:lvl w:ilvl="7" w:tplc="041B0003" w:tentative="1">
      <w:start w:val="1"/>
      <w:numFmt w:val="bullet"/>
      <w:lvlText w:val="o"/>
      <w:lvlJc w:val="left"/>
      <w:pPr>
        <w:ind w:left="6242" w:hanging="360"/>
      </w:pPr>
      <w:rPr>
        <w:rFonts w:ascii="Courier New" w:hAnsi="Courier New" w:cs="Courier New" w:hint="default"/>
      </w:rPr>
    </w:lvl>
    <w:lvl w:ilvl="8" w:tplc="041B0005" w:tentative="1">
      <w:start w:val="1"/>
      <w:numFmt w:val="bullet"/>
      <w:lvlText w:val=""/>
      <w:lvlJc w:val="left"/>
      <w:pPr>
        <w:ind w:left="6962" w:hanging="360"/>
      </w:pPr>
      <w:rPr>
        <w:rFonts w:ascii="Wingdings" w:hAnsi="Wingdings" w:hint="default"/>
      </w:rPr>
    </w:lvl>
  </w:abstractNum>
  <w:abstractNum w:abstractNumId="186">
    <w:nsid w:val="36035B31"/>
    <w:multiLevelType w:val="hybridMultilevel"/>
    <w:tmpl w:val="83A4C9DE"/>
    <w:lvl w:ilvl="0" w:tplc="041B0001">
      <w:start w:val="1"/>
      <w:numFmt w:val="bullet"/>
      <w:lvlText w:val=""/>
      <w:lvlJc w:val="left"/>
      <w:pPr>
        <w:ind w:left="360" w:hanging="360"/>
      </w:pPr>
      <w:rPr>
        <w:rFonts w:ascii="Symbol" w:hAnsi="Symbol" w:hint="default"/>
      </w:rPr>
    </w:lvl>
    <w:lvl w:ilvl="1" w:tplc="041B0003" w:tentative="1">
      <w:start w:val="1"/>
      <w:numFmt w:val="bullet"/>
      <w:lvlText w:val="o"/>
      <w:lvlJc w:val="left"/>
      <w:pPr>
        <w:ind w:left="1080" w:hanging="360"/>
      </w:pPr>
      <w:rPr>
        <w:rFonts w:ascii="Courier New" w:hAnsi="Courier New" w:cs="Courier New" w:hint="default"/>
      </w:rPr>
    </w:lvl>
    <w:lvl w:ilvl="2" w:tplc="041B0005" w:tentative="1">
      <w:start w:val="1"/>
      <w:numFmt w:val="bullet"/>
      <w:lvlText w:val=""/>
      <w:lvlJc w:val="left"/>
      <w:pPr>
        <w:ind w:left="1800" w:hanging="360"/>
      </w:pPr>
      <w:rPr>
        <w:rFonts w:ascii="Wingdings" w:hAnsi="Wingdings" w:hint="default"/>
      </w:rPr>
    </w:lvl>
    <w:lvl w:ilvl="3" w:tplc="041B0001" w:tentative="1">
      <w:start w:val="1"/>
      <w:numFmt w:val="bullet"/>
      <w:lvlText w:val=""/>
      <w:lvlJc w:val="left"/>
      <w:pPr>
        <w:ind w:left="2520" w:hanging="360"/>
      </w:pPr>
      <w:rPr>
        <w:rFonts w:ascii="Symbol" w:hAnsi="Symbol" w:hint="default"/>
      </w:rPr>
    </w:lvl>
    <w:lvl w:ilvl="4" w:tplc="041B0003" w:tentative="1">
      <w:start w:val="1"/>
      <w:numFmt w:val="bullet"/>
      <w:lvlText w:val="o"/>
      <w:lvlJc w:val="left"/>
      <w:pPr>
        <w:ind w:left="3240" w:hanging="360"/>
      </w:pPr>
      <w:rPr>
        <w:rFonts w:ascii="Courier New" w:hAnsi="Courier New" w:cs="Courier New" w:hint="default"/>
      </w:rPr>
    </w:lvl>
    <w:lvl w:ilvl="5" w:tplc="041B0005" w:tentative="1">
      <w:start w:val="1"/>
      <w:numFmt w:val="bullet"/>
      <w:lvlText w:val=""/>
      <w:lvlJc w:val="left"/>
      <w:pPr>
        <w:ind w:left="3960" w:hanging="360"/>
      </w:pPr>
      <w:rPr>
        <w:rFonts w:ascii="Wingdings" w:hAnsi="Wingdings" w:hint="default"/>
      </w:rPr>
    </w:lvl>
    <w:lvl w:ilvl="6" w:tplc="041B0001" w:tentative="1">
      <w:start w:val="1"/>
      <w:numFmt w:val="bullet"/>
      <w:lvlText w:val=""/>
      <w:lvlJc w:val="left"/>
      <w:pPr>
        <w:ind w:left="4680" w:hanging="360"/>
      </w:pPr>
      <w:rPr>
        <w:rFonts w:ascii="Symbol" w:hAnsi="Symbol" w:hint="default"/>
      </w:rPr>
    </w:lvl>
    <w:lvl w:ilvl="7" w:tplc="041B0003" w:tentative="1">
      <w:start w:val="1"/>
      <w:numFmt w:val="bullet"/>
      <w:lvlText w:val="o"/>
      <w:lvlJc w:val="left"/>
      <w:pPr>
        <w:ind w:left="5400" w:hanging="360"/>
      </w:pPr>
      <w:rPr>
        <w:rFonts w:ascii="Courier New" w:hAnsi="Courier New" w:cs="Courier New" w:hint="default"/>
      </w:rPr>
    </w:lvl>
    <w:lvl w:ilvl="8" w:tplc="041B0005" w:tentative="1">
      <w:start w:val="1"/>
      <w:numFmt w:val="bullet"/>
      <w:lvlText w:val=""/>
      <w:lvlJc w:val="left"/>
      <w:pPr>
        <w:ind w:left="6120" w:hanging="360"/>
      </w:pPr>
      <w:rPr>
        <w:rFonts w:ascii="Wingdings" w:hAnsi="Wingdings" w:hint="default"/>
      </w:rPr>
    </w:lvl>
  </w:abstractNum>
  <w:abstractNum w:abstractNumId="187">
    <w:nsid w:val="360801D7"/>
    <w:multiLevelType w:val="hybridMultilevel"/>
    <w:tmpl w:val="00A648D8"/>
    <w:lvl w:ilvl="0" w:tplc="25989C5C">
      <w:start w:val="1"/>
      <w:numFmt w:val="decimal"/>
      <w:lvlText w:val="%1."/>
      <w:lvlJc w:val="left"/>
      <w:pPr>
        <w:ind w:left="720" w:hanging="360"/>
      </w:pPr>
      <w:rPr>
        <w:rFonts w:hint="default"/>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188">
    <w:nsid w:val="36B279E8"/>
    <w:multiLevelType w:val="hybridMultilevel"/>
    <w:tmpl w:val="2C3EC80A"/>
    <w:lvl w:ilvl="0" w:tplc="38D21BC8">
      <w:numFmt w:val="bullet"/>
      <w:lvlText w:val="-"/>
      <w:lvlJc w:val="left"/>
      <w:pPr>
        <w:ind w:left="720" w:hanging="360"/>
      </w:pPr>
      <w:rPr>
        <w:rFonts w:ascii="Calibri" w:eastAsia="Calibri" w:hAnsi="Calibri" w:cs="Calibri" w:hint="default"/>
        <w:sz w:val="22"/>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89">
    <w:nsid w:val="371D14DE"/>
    <w:multiLevelType w:val="hybridMultilevel"/>
    <w:tmpl w:val="62DC273A"/>
    <w:lvl w:ilvl="0" w:tplc="041B0001">
      <w:start w:val="1"/>
      <w:numFmt w:val="bullet"/>
      <w:lvlText w:val=""/>
      <w:lvlJc w:val="left"/>
      <w:pPr>
        <w:tabs>
          <w:tab w:val="num" w:pos="720"/>
        </w:tabs>
        <w:ind w:left="720" w:hanging="360"/>
      </w:pPr>
      <w:rPr>
        <w:rFonts w:ascii="Symbol" w:hAnsi="Symbol" w:hint="default"/>
      </w:rPr>
    </w:lvl>
    <w:lvl w:ilvl="1" w:tplc="041B0003" w:tentative="1">
      <w:start w:val="1"/>
      <w:numFmt w:val="bullet"/>
      <w:lvlText w:val="o"/>
      <w:lvlJc w:val="left"/>
      <w:pPr>
        <w:tabs>
          <w:tab w:val="num" w:pos="1740"/>
        </w:tabs>
        <w:ind w:left="1740" w:hanging="360"/>
      </w:pPr>
      <w:rPr>
        <w:rFonts w:ascii="Courier New" w:hAnsi="Courier New" w:cs="Courier New" w:hint="default"/>
      </w:rPr>
    </w:lvl>
    <w:lvl w:ilvl="2" w:tplc="041B0005" w:tentative="1">
      <w:start w:val="1"/>
      <w:numFmt w:val="bullet"/>
      <w:lvlText w:val=""/>
      <w:lvlJc w:val="left"/>
      <w:pPr>
        <w:tabs>
          <w:tab w:val="num" w:pos="2460"/>
        </w:tabs>
        <w:ind w:left="2460" w:hanging="360"/>
      </w:pPr>
      <w:rPr>
        <w:rFonts w:ascii="Wingdings" w:hAnsi="Wingdings" w:hint="default"/>
      </w:rPr>
    </w:lvl>
    <w:lvl w:ilvl="3" w:tplc="041B0001" w:tentative="1">
      <w:start w:val="1"/>
      <w:numFmt w:val="bullet"/>
      <w:lvlText w:val=""/>
      <w:lvlJc w:val="left"/>
      <w:pPr>
        <w:tabs>
          <w:tab w:val="num" w:pos="3180"/>
        </w:tabs>
        <w:ind w:left="3180" w:hanging="360"/>
      </w:pPr>
      <w:rPr>
        <w:rFonts w:ascii="Symbol" w:hAnsi="Symbol" w:hint="default"/>
      </w:rPr>
    </w:lvl>
    <w:lvl w:ilvl="4" w:tplc="041B0003" w:tentative="1">
      <w:start w:val="1"/>
      <w:numFmt w:val="bullet"/>
      <w:lvlText w:val="o"/>
      <w:lvlJc w:val="left"/>
      <w:pPr>
        <w:tabs>
          <w:tab w:val="num" w:pos="3900"/>
        </w:tabs>
        <w:ind w:left="3900" w:hanging="360"/>
      </w:pPr>
      <w:rPr>
        <w:rFonts w:ascii="Courier New" w:hAnsi="Courier New" w:cs="Courier New" w:hint="default"/>
      </w:rPr>
    </w:lvl>
    <w:lvl w:ilvl="5" w:tplc="041B0005" w:tentative="1">
      <w:start w:val="1"/>
      <w:numFmt w:val="bullet"/>
      <w:lvlText w:val=""/>
      <w:lvlJc w:val="left"/>
      <w:pPr>
        <w:tabs>
          <w:tab w:val="num" w:pos="4620"/>
        </w:tabs>
        <w:ind w:left="4620" w:hanging="360"/>
      </w:pPr>
      <w:rPr>
        <w:rFonts w:ascii="Wingdings" w:hAnsi="Wingdings" w:hint="default"/>
      </w:rPr>
    </w:lvl>
    <w:lvl w:ilvl="6" w:tplc="041B0001" w:tentative="1">
      <w:start w:val="1"/>
      <w:numFmt w:val="bullet"/>
      <w:lvlText w:val=""/>
      <w:lvlJc w:val="left"/>
      <w:pPr>
        <w:tabs>
          <w:tab w:val="num" w:pos="5340"/>
        </w:tabs>
        <w:ind w:left="5340" w:hanging="360"/>
      </w:pPr>
      <w:rPr>
        <w:rFonts w:ascii="Symbol" w:hAnsi="Symbol" w:hint="default"/>
      </w:rPr>
    </w:lvl>
    <w:lvl w:ilvl="7" w:tplc="041B0003" w:tentative="1">
      <w:start w:val="1"/>
      <w:numFmt w:val="bullet"/>
      <w:lvlText w:val="o"/>
      <w:lvlJc w:val="left"/>
      <w:pPr>
        <w:tabs>
          <w:tab w:val="num" w:pos="6060"/>
        </w:tabs>
        <w:ind w:left="6060" w:hanging="360"/>
      </w:pPr>
      <w:rPr>
        <w:rFonts w:ascii="Courier New" w:hAnsi="Courier New" w:cs="Courier New" w:hint="default"/>
      </w:rPr>
    </w:lvl>
    <w:lvl w:ilvl="8" w:tplc="041B0005" w:tentative="1">
      <w:start w:val="1"/>
      <w:numFmt w:val="bullet"/>
      <w:lvlText w:val=""/>
      <w:lvlJc w:val="left"/>
      <w:pPr>
        <w:tabs>
          <w:tab w:val="num" w:pos="6780"/>
        </w:tabs>
        <w:ind w:left="6780" w:hanging="360"/>
      </w:pPr>
      <w:rPr>
        <w:rFonts w:ascii="Wingdings" w:hAnsi="Wingdings" w:hint="default"/>
      </w:rPr>
    </w:lvl>
  </w:abstractNum>
  <w:abstractNum w:abstractNumId="190">
    <w:nsid w:val="37CC5A3B"/>
    <w:multiLevelType w:val="multilevel"/>
    <w:tmpl w:val="6DD2884A"/>
    <w:numStyleLink w:val="Aktulnyzoznam1"/>
  </w:abstractNum>
  <w:abstractNum w:abstractNumId="191">
    <w:nsid w:val="37CF410B"/>
    <w:multiLevelType w:val="hybridMultilevel"/>
    <w:tmpl w:val="E40426BE"/>
    <w:lvl w:ilvl="0" w:tplc="2466B24E">
      <w:start w:val="1"/>
      <w:numFmt w:val="decimal"/>
      <w:lvlText w:val="%1."/>
      <w:lvlJc w:val="center"/>
      <w:pPr>
        <w:ind w:left="720" w:hanging="360"/>
      </w:pPr>
      <w:rPr>
        <w:rFonts w:hint="default"/>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192">
    <w:nsid w:val="37FA42AC"/>
    <w:multiLevelType w:val="hybridMultilevel"/>
    <w:tmpl w:val="154C7E66"/>
    <w:lvl w:ilvl="0" w:tplc="8D4C07C2">
      <w:start w:val="1"/>
      <w:numFmt w:val="bullet"/>
      <w:lvlText w:val=""/>
      <w:lvlJc w:val="left"/>
      <w:pPr>
        <w:tabs>
          <w:tab w:val="num" w:pos="360"/>
        </w:tabs>
        <w:ind w:left="360" w:hanging="360"/>
      </w:pPr>
      <w:rPr>
        <w:rFonts w:ascii="Wingdings" w:hAnsi="Wingdings" w:hint="default"/>
        <w:color w:val="auto"/>
      </w:rPr>
    </w:lvl>
    <w:lvl w:ilvl="1" w:tplc="041B0003">
      <w:start w:val="1"/>
      <w:numFmt w:val="bullet"/>
      <w:lvlText w:val="o"/>
      <w:lvlJc w:val="left"/>
      <w:pPr>
        <w:tabs>
          <w:tab w:val="num" w:pos="1440"/>
        </w:tabs>
        <w:ind w:left="1440" w:hanging="360"/>
      </w:pPr>
      <w:rPr>
        <w:rFonts w:ascii="Courier New" w:hAnsi="Courier New" w:hint="default"/>
      </w:rPr>
    </w:lvl>
    <w:lvl w:ilvl="2" w:tplc="041B0005">
      <w:start w:val="1"/>
      <w:numFmt w:val="bullet"/>
      <w:lvlText w:val=""/>
      <w:lvlJc w:val="left"/>
      <w:pPr>
        <w:tabs>
          <w:tab w:val="num" w:pos="2160"/>
        </w:tabs>
        <w:ind w:left="2160" w:hanging="360"/>
      </w:pPr>
      <w:rPr>
        <w:rFonts w:ascii="Wingdings" w:hAnsi="Wingdings" w:hint="default"/>
      </w:rPr>
    </w:lvl>
    <w:lvl w:ilvl="3" w:tplc="041B0001">
      <w:start w:val="1"/>
      <w:numFmt w:val="bullet"/>
      <w:lvlText w:val=""/>
      <w:lvlJc w:val="left"/>
      <w:pPr>
        <w:tabs>
          <w:tab w:val="num" w:pos="2880"/>
        </w:tabs>
        <w:ind w:left="2880" w:hanging="360"/>
      </w:pPr>
      <w:rPr>
        <w:rFonts w:ascii="Symbol" w:hAnsi="Symbol" w:hint="default"/>
      </w:rPr>
    </w:lvl>
    <w:lvl w:ilvl="4" w:tplc="041B0003">
      <w:start w:val="1"/>
      <w:numFmt w:val="bullet"/>
      <w:lvlText w:val="o"/>
      <w:lvlJc w:val="left"/>
      <w:pPr>
        <w:tabs>
          <w:tab w:val="num" w:pos="3600"/>
        </w:tabs>
        <w:ind w:left="3600" w:hanging="360"/>
      </w:pPr>
      <w:rPr>
        <w:rFonts w:ascii="Courier New" w:hAnsi="Courier New" w:hint="default"/>
      </w:rPr>
    </w:lvl>
    <w:lvl w:ilvl="5" w:tplc="041B0005">
      <w:start w:val="1"/>
      <w:numFmt w:val="bullet"/>
      <w:lvlText w:val=""/>
      <w:lvlJc w:val="left"/>
      <w:pPr>
        <w:tabs>
          <w:tab w:val="num" w:pos="4320"/>
        </w:tabs>
        <w:ind w:left="4320" w:hanging="360"/>
      </w:pPr>
      <w:rPr>
        <w:rFonts w:ascii="Wingdings" w:hAnsi="Wingdings" w:hint="default"/>
      </w:rPr>
    </w:lvl>
    <w:lvl w:ilvl="6" w:tplc="041B0001">
      <w:start w:val="1"/>
      <w:numFmt w:val="bullet"/>
      <w:lvlText w:val=""/>
      <w:lvlJc w:val="left"/>
      <w:pPr>
        <w:tabs>
          <w:tab w:val="num" w:pos="5040"/>
        </w:tabs>
        <w:ind w:left="5040" w:hanging="360"/>
      </w:pPr>
      <w:rPr>
        <w:rFonts w:ascii="Symbol" w:hAnsi="Symbol" w:hint="default"/>
      </w:rPr>
    </w:lvl>
    <w:lvl w:ilvl="7" w:tplc="041B0003">
      <w:start w:val="1"/>
      <w:numFmt w:val="bullet"/>
      <w:lvlText w:val="o"/>
      <w:lvlJc w:val="left"/>
      <w:pPr>
        <w:tabs>
          <w:tab w:val="num" w:pos="5760"/>
        </w:tabs>
        <w:ind w:left="5760" w:hanging="360"/>
      </w:pPr>
      <w:rPr>
        <w:rFonts w:ascii="Courier New" w:hAnsi="Courier New" w:hint="default"/>
      </w:rPr>
    </w:lvl>
    <w:lvl w:ilvl="8" w:tplc="041B0005">
      <w:start w:val="1"/>
      <w:numFmt w:val="bullet"/>
      <w:lvlText w:val=""/>
      <w:lvlJc w:val="left"/>
      <w:pPr>
        <w:tabs>
          <w:tab w:val="num" w:pos="6480"/>
        </w:tabs>
        <w:ind w:left="6480" w:hanging="360"/>
      </w:pPr>
      <w:rPr>
        <w:rFonts w:ascii="Wingdings" w:hAnsi="Wingdings" w:hint="default"/>
      </w:rPr>
    </w:lvl>
  </w:abstractNum>
  <w:abstractNum w:abstractNumId="193">
    <w:nsid w:val="3852554D"/>
    <w:multiLevelType w:val="hybridMultilevel"/>
    <w:tmpl w:val="47EA6ED0"/>
    <w:lvl w:ilvl="0" w:tplc="D968098C">
      <w:start w:val="5"/>
      <w:numFmt w:val="bullet"/>
      <w:lvlText w:val="-"/>
      <w:lvlJc w:val="left"/>
      <w:pPr>
        <w:ind w:left="720" w:hanging="360"/>
      </w:pPr>
      <w:rPr>
        <w:rFonts w:ascii="Calibri" w:eastAsia="Calibri" w:hAnsi="Calibri" w:cs="Calibri"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94">
    <w:nsid w:val="386666D9"/>
    <w:multiLevelType w:val="multilevel"/>
    <w:tmpl w:val="F110AAC2"/>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95">
    <w:nsid w:val="38D20B47"/>
    <w:multiLevelType w:val="hybridMultilevel"/>
    <w:tmpl w:val="AA00720C"/>
    <w:lvl w:ilvl="0" w:tplc="041B000F">
      <w:start w:val="1"/>
      <w:numFmt w:val="decimal"/>
      <w:lvlText w:val="%1."/>
      <w:lvlJc w:val="left"/>
      <w:pPr>
        <w:ind w:left="720" w:hanging="360"/>
      </w:pPr>
      <w:rPr>
        <w:rFonts w:hint="default"/>
      </w:rPr>
    </w:lvl>
    <w:lvl w:ilvl="1" w:tplc="041B0019">
      <w:start w:val="1"/>
      <w:numFmt w:val="lowerLetter"/>
      <w:lvlText w:val="%2."/>
      <w:lvlJc w:val="left"/>
      <w:pPr>
        <w:ind w:left="1440" w:hanging="360"/>
      </w:pPr>
    </w:lvl>
    <w:lvl w:ilvl="2" w:tplc="041B001B">
      <w:start w:val="1"/>
      <w:numFmt w:val="lowerRoman"/>
      <w:lvlText w:val="%3."/>
      <w:lvlJc w:val="right"/>
      <w:pPr>
        <w:ind w:left="2160" w:hanging="180"/>
      </w:pPr>
    </w:lvl>
    <w:lvl w:ilvl="3" w:tplc="041B000F">
      <w:start w:val="1"/>
      <w:numFmt w:val="decimal"/>
      <w:lvlText w:val="%4."/>
      <w:lvlJc w:val="left"/>
      <w:pPr>
        <w:ind w:left="2880" w:hanging="360"/>
      </w:pPr>
    </w:lvl>
    <w:lvl w:ilvl="4" w:tplc="041B0019">
      <w:start w:val="1"/>
      <w:numFmt w:val="lowerLetter"/>
      <w:lvlText w:val="%5."/>
      <w:lvlJc w:val="left"/>
      <w:pPr>
        <w:ind w:left="3600" w:hanging="360"/>
      </w:pPr>
    </w:lvl>
    <w:lvl w:ilvl="5" w:tplc="041B001B">
      <w:start w:val="1"/>
      <w:numFmt w:val="lowerRoman"/>
      <w:lvlText w:val="%6."/>
      <w:lvlJc w:val="right"/>
      <w:pPr>
        <w:ind w:left="4320" w:hanging="180"/>
      </w:pPr>
    </w:lvl>
    <w:lvl w:ilvl="6" w:tplc="041B000F">
      <w:start w:val="1"/>
      <w:numFmt w:val="decimal"/>
      <w:lvlText w:val="%7."/>
      <w:lvlJc w:val="left"/>
      <w:pPr>
        <w:ind w:left="5040" w:hanging="360"/>
      </w:pPr>
    </w:lvl>
    <w:lvl w:ilvl="7" w:tplc="041B0019">
      <w:start w:val="1"/>
      <w:numFmt w:val="lowerLetter"/>
      <w:lvlText w:val="%8."/>
      <w:lvlJc w:val="left"/>
      <w:pPr>
        <w:ind w:left="5760" w:hanging="360"/>
      </w:pPr>
    </w:lvl>
    <w:lvl w:ilvl="8" w:tplc="041B001B">
      <w:start w:val="1"/>
      <w:numFmt w:val="lowerRoman"/>
      <w:lvlText w:val="%9."/>
      <w:lvlJc w:val="right"/>
      <w:pPr>
        <w:ind w:left="6480" w:hanging="180"/>
      </w:pPr>
    </w:lvl>
  </w:abstractNum>
  <w:abstractNum w:abstractNumId="196">
    <w:nsid w:val="38EB408D"/>
    <w:multiLevelType w:val="hybridMultilevel"/>
    <w:tmpl w:val="5FC470B6"/>
    <w:lvl w:ilvl="0" w:tplc="8D4C07C2">
      <w:start w:val="1"/>
      <w:numFmt w:val="bullet"/>
      <w:lvlText w:val=""/>
      <w:lvlJc w:val="left"/>
      <w:pPr>
        <w:tabs>
          <w:tab w:val="num" w:pos="495"/>
        </w:tabs>
        <w:ind w:left="495" w:hanging="360"/>
      </w:pPr>
      <w:rPr>
        <w:rFonts w:ascii="Wingdings" w:hAnsi="Wingdings" w:hint="default"/>
        <w:color w:val="auto"/>
      </w:rPr>
    </w:lvl>
    <w:lvl w:ilvl="1" w:tplc="041B0003" w:tentative="1">
      <w:start w:val="1"/>
      <w:numFmt w:val="bullet"/>
      <w:lvlText w:val="o"/>
      <w:lvlJc w:val="left"/>
      <w:pPr>
        <w:tabs>
          <w:tab w:val="num" w:pos="1575"/>
        </w:tabs>
        <w:ind w:left="1575" w:hanging="360"/>
      </w:pPr>
      <w:rPr>
        <w:rFonts w:ascii="Courier New" w:hAnsi="Courier New" w:cs="Courier New" w:hint="default"/>
      </w:rPr>
    </w:lvl>
    <w:lvl w:ilvl="2" w:tplc="041B0005" w:tentative="1">
      <w:start w:val="1"/>
      <w:numFmt w:val="bullet"/>
      <w:lvlText w:val=""/>
      <w:lvlJc w:val="left"/>
      <w:pPr>
        <w:tabs>
          <w:tab w:val="num" w:pos="2295"/>
        </w:tabs>
        <w:ind w:left="2295" w:hanging="360"/>
      </w:pPr>
      <w:rPr>
        <w:rFonts w:ascii="Wingdings" w:hAnsi="Wingdings" w:hint="default"/>
      </w:rPr>
    </w:lvl>
    <w:lvl w:ilvl="3" w:tplc="041B0001" w:tentative="1">
      <w:start w:val="1"/>
      <w:numFmt w:val="bullet"/>
      <w:lvlText w:val=""/>
      <w:lvlJc w:val="left"/>
      <w:pPr>
        <w:tabs>
          <w:tab w:val="num" w:pos="3015"/>
        </w:tabs>
        <w:ind w:left="3015" w:hanging="360"/>
      </w:pPr>
      <w:rPr>
        <w:rFonts w:ascii="Symbol" w:hAnsi="Symbol" w:hint="default"/>
      </w:rPr>
    </w:lvl>
    <w:lvl w:ilvl="4" w:tplc="041B0003" w:tentative="1">
      <w:start w:val="1"/>
      <w:numFmt w:val="bullet"/>
      <w:lvlText w:val="o"/>
      <w:lvlJc w:val="left"/>
      <w:pPr>
        <w:tabs>
          <w:tab w:val="num" w:pos="3735"/>
        </w:tabs>
        <w:ind w:left="3735" w:hanging="360"/>
      </w:pPr>
      <w:rPr>
        <w:rFonts w:ascii="Courier New" w:hAnsi="Courier New" w:cs="Courier New" w:hint="default"/>
      </w:rPr>
    </w:lvl>
    <w:lvl w:ilvl="5" w:tplc="041B0005" w:tentative="1">
      <w:start w:val="1"/>
      <w:numFmt w:val="bullet"/>
      <w:lvlText w:val=""/>
      <w:lvlJc w:val="left"/>
      <w:pPr>
        <w:tabs>
          <w:tab w:val="num" w:pos="4455"/>
        </w:tabs>
        <w:ind w:left="4455" w:hanging="360"/>
      </w:pPr>
      <w:rPr>
        <w:rFonts w:ascii="Wingdings" w:hAnsi="Wingdings" w:hint="default"/>
      </w:rPr>
    </w:lvl>
    <w:lvl w:ilvl="6" w:tplc="041B0001" w:tentative="1">
      <w:start w:val="1"/>
      <w:numFmt w:val="bullet"/>
      <w:lvlText w:val=""/>
      <w:lvlJc w:val="left"/>
      <w:pPr>
        <w:tabs>
          <w:tab w:val="num" w:pos="5175"/>
        </w:tabs>
        <w:ind w:left="5175" w:hanging="360"/>
      </w:pPr>
      <w:rPr>
        <w:rFonts w:ascii="Symbol" w:hAnsi="Symbol" w:hint="default"/>
      </w:rPr>
    </w:lvl>
    <w:lvl w:ilvl="7" w:tplc="041B0003" w:tentative="1">
      <w:start w:val="1"/>
      <w:numFmt w:val="bullet"/>
      <w:lvlText w:val="o"/>
      <w:lvlJc w:val="left"/>
      <w:pPr>
        <w:tabs>
          <w:tab w:val="num" w:pos="5895"/>
        </w:tabs>
        <w:ind w:left="5895" w:hanging="360"/>
      </w:pPr>
      <w:rPr>
        <w:rFonts w:ascii="Courier New" w:hAnsi="Courier New" w:cs="Courier New" w:hint="default"/>
      </w:rPr>
    </w:lvl>
    <w:lvl w:ilvl="8" w:tplc="041B0005" w:tentative="1">
      <w:start w:val="1"/>
      <w:numFmt w:val="bullet"/>
      <w:lvlText w:val=""/>
      <w:lvlJc w:val="left"/>
      <w:pPr>
        <w:tabs>
          <w:tab w:val="num" w:pos="6615"/>
        </w:tabs>
        <w:ind w:left="6615" w:hanging="360"/>
      </w:pPr>
      <w:rPr>
        <w:rFonts w:ascii="Wingdings" w:hAnsi="Wingdings" w:hint="default"/>
      </w:rPr>
    </w:lvl>
  </w:abstractNum>
  <w:abstractNum w:abstractNumId="197">
    <w:nsid w:val="392511C4"/>
    <w:multiLevelType w:val="hybridMultilevel"/>
    <w:tmpl w:val="9900149C"/>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98">
    <w:nsid w:val="3943749E"/>
    <w:multiLevelType w:val="hybridMultilevel"/>
    <w:tmpl w:val="56902B32"/>
    <w:lvl w:ilvl="0" w:tplc="674E832A">
      <w:numFmt w:val="bullet"/>
      <w:lvlText w:val="-"/>
      <w:lvlJc w:val="left"/>
      <w:pPr>
        <w:ind w:left="720" w:hanging="360"/>
      </w:pPr>
      <w:rPr>
        <w:rFonts w:ascii="Calibri" w:eastAsia="Times New Roman" w:hAnsi="Calibri" w:cs="Times New Roman"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99">
    <w:nsid w:val="39750271"/>
    <w:multiLevelType w:val="hybridMultilevel"/>
    <w:tmpl w:val="C074A4EE"/>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200">
    <w:nsid w:val="3B1975D9"/>
    <w:multiLevelType w:val="hybridMultilevel"/>
    <w:tmpl w:val="895C23B2"/>
    <w:lvl w:ilvl="0" w:tplc="78B40956">
      <w:start w:val="5"/>
      <w:numFmt w:val="bullet"/>
      <w:lvlText w:val="-"/>
      <w:lvlJc w:val="left"/>
      <w:pPr>
        <w:ind w:left="720" w:hanging="360"/>
      </w:pPr>
      <w:rPr>
        <w:rFonts w:ascii="Calibri" w:eastAsia="Times New Roman" w:hAnsi="Calibri" w:cs="Times New Roman"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201">
    <w:nsid w:val="3BA01A89"/>
    <w:multiLevelType w:val="hybridMultilevel"/>
    <w:tmpl w:val="E4E6D06E"/>
    <w:lvl w:ilvl="0" w:tplc="041B0017">
      <w:start w:val="1"/>
      <w:numFmt w:val="lowerLetter"/>
      <w:lvlText w:val="%1)"/>
      <w:lvlJc w:val="left"/>
      <w:pPr>
        <w:tabs>
          <w:tab w:val="num" w:pos="720"/>
        </w:tabs>
        <w:ind w:left="720" w:hanging="360"/>
      </w:pPr>
      <w:rPr>
        <w:rFonts w:hint="default"/>
      </w:rPr>
    </w:lvl>
    <w:lvl w:ilvl="1" w:tplc="041B0003">
      <w:start w:val="1"/>
      <w:numFmt w:val="bullet"/>
      <w:lvlText w:val="o"/>
      <w:lvlJc w:val="left"/>
      <w:pPr>
        <w:tabs>
          <w:tab w:val="num" w:pos="1440"/>
        </w:tabs>
        <w:ind w:left="1440" w:hanging="360"/>
      </w:pPr>
      <w:rPr>
        <w:rFonts w:ascii="Courier New" w:hAnsi="Courier New" w:cs="Courier New" w:hint="default"/>
      </w:rPr>
    </w:lvl>
    <w:lvl w:ilvl="2" w:tplc="041B0005">
      <w:start w:val="1"/>
      <w:numFmt w:val="bullet"/>
      <w:lvlText w:val=""/>
      <w:lvlJc w:val="left"/>
      <w:pPr>
        <w:tabs>
          <w:tab w:val="num" w:pos="2160"/>
        </w:tabs>
        <w:ind w:left="2160" w:hanging="360"/>
      </w:pPr>
      <w:rPr>
        <w:rFonts w:ascii="Wingdings" w:hAnsi="Wingdings" w:cs="Wingdings" w:hint="default"/>
      </w:rPr>
    </w:lvl>
    <w:lvl w:ilvl="3" w:tplc="041B0001">
      <w:start w:val="1"/>
      <w:numFmt w:val="bullet"/>
      <w:lvlText w:val=""/>
      <w:lvlJc w:val="left"/>
      <w:pPr>
        <w:tabs>
          <w:tab w:val="num" w:pos="2880"/>
        </w:tabs>
        <w:ind w:left="2880" w:hanging="360"/>
      </w:pPr>
      <w:rPr>
        <w:rFonts w:ascii="Symbol" w:hAnsi="Symbol" w:cs="Symbol" w:hint="default"/>
      </w:rPr>
    </w:lvl>
    <w:lvl w:ilvl="4" w:tplc="041B0003">
      <w:start w:val="1"/>
      <w:numFmt w:val="bullet"/>
      <w:lvlText w:val="o"/>
      <w:lvlJc w:val="left"/>
      <w:pPr>
        <w:tabs>
          <w:tab w:val="num" w:pos="3600"/>
        </w:tabs>
        <w:ind w:left="3600" w:hanging="360"/>
      </w:pPr>
      <w:rPr>
        <w:rFonts w:ascii="Courier New" w:hAnsi="Courier New" w:cs="Courier New" w:hint="default"/>
      </w:rPr>
    </w:lvl>
    <w:lvl w:ilvl="5" w:tplc="041B0005">
      <w:start w:val="1"/>
      <w:numFmt w:val="bullet"/>
      <w:lvlText w:val=""/>
      <w:lvlJc w:val="left"/>
      <w:pPr>
        <w:tabs>
          <w:tab w:val="num" w:pos="4320"/>
        </w:tabs>
        <w:ind w:left="4320" w:hanging="360"/>
      </w:pPr>
      <w:rPr>
        <w:rFonts w:ascii="Wingdings" w:hAnsi="Wingdings" w:cs="Wingdings" w:hint="default"/>
      </w:rPr>
    </w:lvl>
    <w:lvl w:ilvl="6" w:tplc="041B0001">
      <w:start w:val="1"/>
      <w:numFmt w:val="bullet"/>
      <w:lvlText w:val=""/>
      <w:lvlJc w:val="left"/>
      <w:pPr>
        <w:tabs>
          <w:tab w:val="num" w:pos="5040"/>
        </w:tabs>
        <w:ind w:left="5040" w:hanging="360"/>
      </w:pPr>
      <w:rPr>
        <w:rFonts w:ascii="Symbol" w:hAnsi="Symbol" w:cs="Symbol" w:hint="default"/>
      </w:rPr>
    </w:lvl>
    <w:lvl w:ilvl="7" w:tplc="041B0003">
      <w:start w:val="1"/>
      <w:numFmt w:val="bullet"/>
      <w:lvlText w:val="o"/>
      <w:lvlJc w:val="left"/>
      <w:pPr>
        <w:tabs>
          <w:tab w:val="num" w:pos="5760"/>
        </w:tabs>
        <w:ind w:left="5760" w:hanging="360"/>
      </w:pPr>
      <w:rPr>
        <w:rFonts w:ascii="Courier New" w:hAnsi="Courier New" w:cs="Courier New" w:hint="default"/>
      </w:rPr>
    </w:lvl>
    <w:lvl w:ilvl="8" w:tplc="041B0005">
      <w:start w:val="1"/>
      <w:numFmt w:val="bullet"/>
      <w:lvlText w:val=""/>
      <w:lvlJc w:val="left"/>
      <w:pPr>
        <w:tabs>
          <w:tab w:val="num" w:pos="6480"/>
        </w:tabs>
        <w:ind w:left="6480" w:hanging="360"/>
      </w:pPr>
      <w:rPr>
        <w:rFonts w:ascii="Wingdings" w:hAnsi="Wingdings" w:cs="Wingdings" w:hint="default"/>
      </w:rPr>
    </w:lvl>
  </w:abstractNum>
  <w:abstractNum w:abstractNumId="202">
    <w:nsid w:val="3C0E2FA7"/>
    <w:multiLevelType w:val="hybridMultilevel"/>
    <w:tmpl w:val="6F7416B6"/>
    <w:lvl w:ilvl="0" w:tplc="041B000F">
      <w:start w:val="1"/>
      <w:numFmt w:val="decimal"/>
      <w:lvlText w:val="%1."/>
      <w:lvlJc w:val="left"/>
      <w:pPr>
        <w:ind w:left="720" w:hanging="360"/>
      </w:pPr>
      <w:rPr>
        <w:rFonts w:hint="default"/>
      </w:rPr>
    </w:lvl>
    <w:lvl w:ilvl="1" w:tplc="041B0019">
      <w:start w:val="1"/>
      <w:numFmt w:val="lowerLetter"/>
      <w:lvlText w:val="%2."/>
      <w:lvlJc w:val="left"/>
      <w:pPr>
        <w:ind w:left="1440" w:hanging="360"/>
      </w:pPr>
    </w:lvl>
    <w:lvl w:ilvl="2" w:tplc="041B001B">
      <w:start w:val="1"/>
      <w:numFmt w:val="lowerRoman"/>
      <w:lvlText w:val="%3."/>
      <w:lvlJc w:val="right"/>
      <w:pPr>
        <w:ind w:left="2160" w:hanging="180"/>
      </w:pPr>
    </w:lvl>
    <w:lvl w:ilvl="3" w:tplc="041B000F">
      <w:start w:val="1"/>
      <w:numFmt w:val="decimal"/>
      <w:lvlText w:val="%4."/>
      <w:lvlJc w:val="left"/>
      <w:pPr>
        <w:ind w:left="2880" w:hanging="360"/>
      </w:pPr>
    </w:lvl>
    <w:lvl w:ilvl="4" w:tplc="041B0019">
      <w:start w:val="1"/>
      <w:numFmt w:val="lowerLetter"/>
      <w:lvlText w:val="%5."/>
      <w:lvlJc w:val="left"/>
      <w:pPr>
        <w:ind w:left="3600" w:hanging="360"/>
      </w:pPr>
    </w:lvl>
    <w:lvl w:ilvl="5" w:tplc="041B001B">
      <w:start w:val="1"/>
      <w:numFmt w:val="lowerRoman"/>
      <w:lvlText w:val="%6."/>
      <w:lvlJc w:val="right"/>
      <w:pPr>
        <w:ind w:left="4320" w:hanging="180"/>
      </w:pPr>
    </w:lvl>
    <w:lvl w:ilvl="6" w:tplc="041B000F">
      <w:start w:val="1"/>
      <w:numFmt w:val="decimal"/>
      <w:lvlText w:val="%7."/>
      <w:lvlJc w:val="left"/>
      <w:pPr>
        <w:ind w:left="5040" w:hanging="360"/>
      </w:pPr>
    </w:lvl>
    <w:lvl w:ilvl="7" w:tplc="041B0019">
      <w:start w:val="1"/>
      <w:numFmt w:val="lowerLetter"/>
      <w:lvlText w:val="%8."/>
      <w:lvlJc w:val="left"/>
      <w:pPr>
        <w:ind w:left="5760" w:hanging="360"/>
      </w:pPr>
    </w:lvl>
    <w:lvl w:ilvl="8" w:tplc="041B001B">
      <w:start w:val="1"/>
      <w:numFmt w:val="lowerRoman"/>
      <w:lvlText w:val="%9."/>
      <w:lvlJc w:val="right"/>
      <w:pPr>
        <w:ind w:left="6480" w:hanging="180"/>
      </w:pPr>
    </w:lvl>
  </w:abstractNum>
  <w:abstractNum w:abstractNumId="203">
    <w:nsid w:val="3C321A72"/>
    <w:multiLevelType w:val="hybridMultilevel"/>
    <w:tmpl w:val="64E62870"/>
    <w:lvl w:ilvl="0" w:tplc="041B0001">
      <w:start w:val="1"/>
      <w:numFmt w:val="bullet"/>
      <w:lvlText w:val=""/>
      <w:lvlJc w:val="left"/>
      <w:pPr>
        <w:ind w:left="720" w:hanging="360"/>
      </w:pPr>
      <w:rPr>
        <w:rFonts w:ascii="Symbol" w:hAnsi="Symbol" w:hint="default"/>
      </w:rPr>
    </w:lvl>
    <w:lvl w:ilvl="1" w:tplc="041B0003">
      <w:start w:val="1"/>
      <w:numFmt w:val="bullet"/>
      <w:lvlText w:val="o"/>
      <w:lvlJc w:val="left"/>
      <w:pPr>
        <w:ind w:left="1440" w:hanging="360"/>
      </w:pPr>
      <w:rPr>
        <w:rFonts w:ascii="Courier New" w:hAnsi="Courier New" w:cs="Courier New" w:hint="default"/>
      </w:rPr>
    </w:lvl>
    <w:lvl w:ilvl="2" w:tplc="041B0005">
      <w:start w:val="1"/>
      <w:numFmt w:val="bullet"/>
      <w:lvlText w:val=""/>
      <w:lvlJc w:val="left"/>
      <w:pPr>
        <w:ind w:left="2160" w:hanging="360"/>
      </w:pPr>
      <w:rPr>
        <w:rFonts w:ascii="Wingdings" w:hAnsi="Wingdings" w:hint="default"/>
      </w:rPr>
    </w:lvl>
    <w:lvl w:ilvl="3" w:tplc="041B0001">
      <w:start w:val="1"/>
      <w:numFmt w:val="bullet"/>
      <w:lvlText w:val=""/>
      <w:lvlJc w:val="left"/>
      <w:pPr>
        <w:ind w:left="2880" w:hanging="360"/>
      </w:pPr>
      <w:rPr>
        <w:rFonts w:ascii="Symbol" w:hAnsi="Symbol" w:hint="default"/>
      </w:rPr>
    </w:lvl>
    <w:lvl w:ilvl="4" w:tplc="041B0003">
      <w:start w:val="1"/>
      <w:numFmt w:val="bullet"/>
      <w:lvlText w:val="o"/>
      <w:lvlJc w:val="left"/>
      <w:pPr>
        <w:ind w:left="3600" w:hanging="360"/>
      </w:pPr>
      <w:rPr>
        <w:rFonts w:ascii="Courier New" w:hAnsi="Courier New" w:cs="Courier New" w:hint="default"/>
      </w:rPr>
    </w:lvl>
    <w:lvl w:ilvl="5" w:tplc="041B0005">
      <w:start w:val="1"/>
      <w:numFmt w:val="bullet"/>
      <w:lvlText w:val=""/>
      <w:lvlJc w:val="left"/>
      <w:pPr>
        <w:ind w:left="4320" w:hanging="360"/>
      </w:pPr>
      <w:rPr>
        <w:rFonts w:ascii="Wingdings" w:hAnsi="Wingdings" w:hint="default"/>
      </w:rPr>
    </w:lvl>
    <w:lvl w:ilvl="6" w:tplc="041B0001">
      <w:start w:val="1"/>
      <w:numFmt w:val="bullet"/>
      <w:lvlText w:val=""/>
      <w:lvlJc w:val="left"/>
      <w:pPr>
        <w:ind w:left="5040" w:hanging="360"/>
      </w:pPr>
      <w:rPr>
        <w:rFonts w:ascii="Symbol" w:hAnsi="Symbol" w:hint="default"/>
      </w:rPr>
    </w:lvl>
    <w:lvl w:ilvl="7" w:tplc="041B0003">
      <w:start w:val="1"/>
      <w:numFmt w:val="bullet"/>
      <w:lvlText w:val="o"/>
      <w:lvlJc w:val="left"/>
      <w:pPr>
        <w:ind w:left="5760" w:hanging="360"/>
      </w:pPr>
      <w:rPr>
        <w:rFonts w:ascii="Courier New" w:hAnsi="Courier New" w:cs="Courier New" w:hint="default"/>
      </w:rPr>
    </w:lvl>
    <w:lvl w:ilvl="8" w:tplc="041B0005">
      <w:start w:val="1"/>
      <w:numFmt w:val="bullet"/>
      <w:lvlText w:val=""/>
      <w:lvlJc w:val="left"/>
      <w:pPr>
        <w:ind w:left="6480" w:hanging="360"/>
      </w:pPr>
      <w:rPr>
        <w:rFonts w:ascii="Wingdings" w:hAnsi="Wingdings" w:hint="default"/>
      </w:rPr>
    </w:lvl>
  </w:abstractNum>
  <w:abstractNum w:abstractNumId="204">
    <w:nsid w:val="3C3F009E"/>
    <w:multiLevelType w:val="hybridMultilevel"/>
    <w:tmpl w:val="A65E0BBA"/>
    <w:lvl w:ilvl="0" w:tplc="E5F0D2A0">
      <w:start w:val="1"/>
      <w:numFmt w:val="bullet"/>
      <w:lvlText w:val=""/>
      <w:lvlJc w:val="left"/>
      <w:pPr>
        <w:ind w:left="720" w:hanging="360"/>
      </w:pPr>
      <w:rPr>
        <w:rFonts w:ascii="Symbol" w:hAnsi="Symbol" w:hint="default"/>
        <w:color w:val="auto"/>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205">
    <w:nsid w:val="3C7F2473"/>
    <w:multiLevelType w:val="hybridMultilevel"/>
    <w:tmpl w:val="20B4EA9A"/>
    <w:lvl w:ilvl="0" w:tplc="041B0001">
      <w:start w:val="1"/>
      <w:numFmt w:val="bullet"/>
      <w:lvlText w:val=""/>
      <w:lvlJc w:val="left"/>
      <w:pPr>
        <w:ind w:left="360" w:hanging="360"/>
      </w:pPr>
      <w:rPr>
        <w:rFonts w:ascii="Symbol" w:hAnsi="Symbol" w:hint="default"/>
      </w:rPr>
    </w:lvl>
    <w:lvl w:ilvl="1" w:tplc="041B0003" w:tentative="1">
      <w:start w:val="1"/>
      <w:numFmt w:val="bullet"/>
      <w:lvlText w:val="o"/>
      <w:lvlJc w:val="left"/>
      <w:pPr>
        <w:ind w:left="1080" w:hanging="360"/>
      </w:pPr>
      <w:rPr>
        <w:rFonts w:ascii="Courier New" w:hAnsi="Courier New" w:cs="Courier New" w:hint="default"/>
      </w:rPr>
    </w:lvl>
    <w:lvl w:ilvl="2" w:tplc="041B0005" w:tentative="1">
      <w:start w:val="1"/>
      <w:numFmt w:val="bullet"/>
      <w:lvlText w:val=""/>
      <w:lvlJc w:val="left"/>
      <w:pPr>
        <w:ind w:left="1800" w:hanging="360"/>
      </w:pPr>
      <w:rPr>
        <w:rFonts w:ascii="Wingdings" w:hAnsi="Wingdings" w:hint="default"/>
      </w:rPr>
    </w:lvl>
    <w:lvl w:ilvl="3" w:tplc="041B0001" w:tentative="1">
      <w:start w:val="1"/>
      <w:numFmt w:val="bullet"/>
      <w:lvlText w:val=""/>
      <w:lvlJc w:val="left"/>
      <w:pPr>
        <w:ind w:left="2520" w:hanging="360"/>
      </w:pPr>
      <w:rPr>
        <w:rFonts w:ascii="Symbol" w:hAnsi="Symbol" w:hint="default"/>
      </w:rPr>
    </w:lvl>
    <w:lvl w:ilvl="4" w:tplc="041B0003" w:tentative="1">
      <w:start w:val="1"/>
      <w:numFmt w:val="bullet"/>
      <w:lvlText w:val="o"/>
      <w:lvlJc w:val="left"/>
      <w:pPr>
        <w:ind w:left="3240" w:hanging="360"/>
      </w:pPr>
      <w:rPr>
        <w:rFonts w:ascii="Courier New" w:hAnsi="Courier New" w:cs="Courier New" w:hint="default"/>
      </w:rPr>
    </w:lvl>
    <w:lvl w:ilvl="5" w:tplc="041B0005" w:tentative="1">
      <w:start w:val="1"/>
      <w:numFmt w:val="bullet"/>
      <w:lvlText w:val=""/>
      <w:lvlJc w:val="left"/>
      <w:pPr>
        <w:ind w:left="3960" w:hanging="360"/>
      </w:pPr>
      <w:rPr>
        <w:rFonts w:ascii="Wingdings" w:hAnsi="Wingdings" w:hint="default"/>
      </w:rPr>
    </w:lvl>
    <w:lvl w:ilvl="6" w:tplc="041B0001" w:tentative="1">
      <w:start w:val="1"/>
      <w:numFmt w:val="bullet"/>
      <w:lvlText w:val=""/>
      <w:lvlJc w:val="left"/>
      <w:pPr>
        <w:ind w:left="4680" w:hanging="360"/>
      </w:pPr>
      <w:rPr>
        <w:rFonts w:ascii="Symbol" w:hAnsi="Symbol" w:hint="default"/>
      </w:rPr>
    </w:lvl>
    <w:lvl w:ilvl="7" w:tplc="041B0003" w:tentative="1">
      <w:start w:val="1"/>
      <w:numFmt w:val="bullet"/>
      <w:lvlText w:val="o"/>
      <w:lvlJc w:val="left"/>
      <w:pPr>
        <w:ind w:left="5400" w:hanging="360"/>
      </w:pPr>
      <w:rPr>
        <w:rFonts w:ascii="Courier New" w:hAnsi="Courier New" w:cs="Courier New" w:hint="default"/>
      </w:rPr>
    </w:lvl>
    <w:lvl w:ilvl="8" w:tplc="041B0005" w:tentative="1">
      <w:start w:val="1"/>
      <w:numFmt w:val="bullet"/>
      <w:lvlText w:val=""/>
      <w:lvlJc w:val="left"/>
      <w:pPr>
        <w:ind w:left="6120" w:hanging="360"/>
      </w:pPr>
      <w:rPr>
        <w:rFonts w:ascii="Wingdings" w:hAnsi="Wingdings" w:hint="default"/>
      </w:rPr>
    </w:lvl>
  </w:abstractNum>
  <w:abstractNum w:abstractNumId="206">
    <w:nsid w:val="3CED01DB"/>
    <w:multiLevelType w:val="hybridMultilevel"/>
    <w:tmpl w:val="D266312A"/>
    <w:lvl w:ilvl="0" w:tplc="A4F4AFF2">
      <w:numFmt w:val="bullet"/>
      <w:lvlText w:val="–"/>
      <w:lvlJc w:val="left"/>
      <w:pPr>
        <w:tabs>
          <w:tab w:val="num" w:pos="792"/>
        </w:tabs>
        <w:ind w:left="792" w:hanging="360"/>
      </w:pPr>
      <w:rPr>
        <w:rFonts w:ascii="Times New Roman" w:eastAsia="Times New Roman" w:hAnsi="Times New Roman" w:cs="Times New Roman" w:hint="default"/>
      </w:rPr>
    </w:lvl>
    <w:lvl w:ilvl="1" w:tplc="041B0003" w:tentative="1">
      <w:start w:val="1"/>
      <w:numFmt w:val="bullet"/>
      <w:lvlText w:val="o"/>
      <w:lvlJc w:val="left"/>
      <w:pPr>
        <w:tabs>
          <w:tab w:val="num" w:pos="1440"/>
        </w:tabs>
        <w:ind w:left="1440" w:hanging="360"/>
      </w:pPr>
      <w:rPr>
        <w:rFonts w:ascii="Courier New" w:hAnsi="Courier New" w:cs="Courier New" w:hint="default"/>
      </w:rPr>
    </w:lvl>
    <w:lvl w:ilvl="2" w:tplc="041B0005" w:tentative="1">
      <w:start w:val="1"/>
      <w:numFmt w:val="bullet"/>
      <w:lvlText w:val=""/>
      <w:lvlJc w:val="left"/>
      <w:pPr>
        <w:tabs>
          <w:tab w:val="num" w:pos="2160"/>
        </w:tabs>
        <w:ind w:left="2160" w:hanging="360"/>
      </w:pPr>
      <w:rPr>
        <w:rFonts w:ascii="Wingdings" w:hAnsi="Wingdings" w:hint="default"/>
      </w:rPr>
    </w:lvl>
    <w:lvl w:ilvl="3" w:tplc="041B0001" w:tentative="1">
      <w:start w:val="1"/>
      <w:numFmt w:val="bullet"/>
      <w:lvlText w:val=""/>
      <w:lvlJc w:val="left"/>
      <w:pPr>
        <w:tabs>
          <w:tab w:val="num" w:pos="2880"/>
        </w:tabs>
        <w:ind w:left="2880" w:hanging="360"/>
      </w:pPr>
      <w:rPr>
        <w:rFonts w:ascii="Symbol" w:hAnsi="Symbol" w:hint="default"/>
      </w:rPr>
    </w:lvl>
    <w:lvl w:ilvl="4" w:tplc="041B0003" w:tentative="1">
      <w:start w:val="1"/>
      <w:numFmt w:val="bullet"/>
      <w:lvlText w:val="o"/>
      <w:lvlJc w:val="left"/>
      <w:pPr>
        <w:tabs>
          <w:tab w:val="num" w:pos="3600"/>
        </w:tabs>
        <w:ind w:left="3600" w:hanging="360"/>
      </w:pPr>
      <w:rPr>
        <w:rFonts w:ascii="Courier New" w:hAnsi="Courier New" w:cs="Courier New" w:hint="default"/>
      </w:rPr>
    </w:lvl>
    <w:lvl w:ilvl="5" w:tplc="041B0005" w:tentative="1">
      <w:start w:val="1"/>
      <w:numFmt w:val="bullet"/>
      <w:lvlText w:val=""/>
      <w:lvlJc w:val="left"/>
      <w:pPr>
        <w:tabs>
          <w:tab w:val="num" w:pos="4320"/>
        </w:tabs>
        <w:ind w:left="4320" w:hanging="360"/>
      </w:pPr>
      <w:rPr>
        <w:rFonts w:ascii="Wingdings" w:hAnsi="Wingdings" w:hint="default"/>
      </w:rPr>
    </w:lvl>
    <w:lvl w:ilvl="6" w:tplc="041B0001" w:tentative="1">
      <w:start w:val="1"/>
      <w:numFmt w:val="bullet"/>
      <w:lvlText w:val=""/>
      <w:lvlJc w:val="left"/>
      <w:pPr>
        <w:tabs>
          <w:tab w:val="num" w:pos="5040"/>
        </w:tabs>
        <w:ind w:left="5040" w:hanging="360"/>
      </w:pPr>
      <w:rPr>
        <w:rFonts w:ascii="Symbol" w:hAnsi="Symbol" w:hint="default"/>
      </w:rPr>
    </w:lvl>
    <w:lvl w:ilvl="7" w:tplc="041B0003" w:tentative="1">
      <w:start w:val="1"/>
      <w:numFmt w:val="bullet"/>
      <w:lvlText w:val="o"/>
      <w:lvlJc w:val="left"/>
      <w:pPr>
        <w:tabs>
          <w:tab w:val="num" w:pos="5760"/>
        </w:tabs>
        <w:ind w:left="5760" w:hanging="360"/>
      </w:pPr>
      <w:rPr>
        <w:rFonts w:ascii="Courier New" w:hAnsi="Courier New" w:cs="Courier New" w:hint="default"/>
      </w:rPr>
    </w:lvl>
    <w:lvl w:ilvl="8" w:tplc="041B0005" w:tentative="1">
      <w:start w:val="1"/>
      <w:numFmt w:val="bullet"/>
      <w:lvlText w:val=""/>
      <w:lvlJc w:val="left"/>
      <w:pPr>
        <w:tabs>
          <w:tab w:val="num" w:pos="6480"/>
        </w:tabs>
        <w:ind w:left="6480" w:hanging="360"/>
      </w:pPr>
      <w:rPr>
        <w:rFonts w:ascii="Wingdings" w:hAnsi="Wingdings" w:hint="default"/>
      </w:rPr>
    </w:lvl>
  </w:abstractNum>
  <w:abstractNum w:abstractNumId="207">
    <w:nsid w:val="3D3F5036"/>
    <w:multiLevelType w:val="hybridMultilevel"/>
    <w:tmpl w:val="4EA0D8A2"/>
    <w:lvl w:ilvl="0" w:tplc="63A8C490">
      <w:numFmt w:val="bullet"/>
      <w:lvlText w:val="-"/>
      <w:lvlJc w:val="left"/>
      <w:pPr>
        <w:ind w:left="720" w:hanging="360"/>
      </w:pPr>
      <w:rPr>
        <w:rFonts w:ascii="Calibri" w:eastAsiaTheme="minorHAnsi" w:hAnsi="Calibri" w:cs="Calibr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08">
    <w:nsid w:val="3DAF1800"/>
    <w:multiLevelType w:val="hybridMultilevel"/>
    <w:tmpl w:val="D28A768E"/>
    <w:lvl w:ilvl="0" w:tplc="041B0017">
      <w:start w:val="1"/>
      <w:numFmt w:val="lowerLetter"/>
      <w:lvlText w:val="%1)"/>
      <w:lvlJc w:val="left"/>
      <w:pPr>
        <w:ind w:left="720" w:hanging="360"/>
      </w:pPr>
    </w:lvl>
    <w:lvl w:ilvl="1" w:tplc="041B0019">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209">
    <w:nsid w:val="3DBC26FF"/>
    <w:multiLevelType w:val="hybridMultilevel"/>
    <w:tmpl w:val="6CD6E6DA"/>
    <w:lvl w:ilvl="0" w:tplc="041B000F">
      <w:start w:val="1"/>
      <w:numFmt w:val="decimal"/>
      <w:lvlText w:val="%1."/>
      <w:lvlJc w:val="left"/>
      <w:pPr>
        <w:ind w:left="360" w:hanging="360"/>
      </w:pPr>
    </w:lvl>
    <w:lvl w:ilvl="1" w:tplc="041B0019" w:tentative="1">
      <w:start w:val="1"/>
      <w:numFmt w:val="lowerLetter"/>
      <w:lvlText w:val="%2."/>
      <w:lvlJc w:val="left"/>
      <w:pPr>
        <w:ind w:left="1080" w:hanging="360"/>
      </w:pPr>
    </w:lvl>
    <w:lvl w:ilvl="2" w:tplc="041B001B" w:tentative="1">
      <w:start w:val="1"/>
      <w:numFmt w:val="lowerRoman"/>
      <w:lvlText w:val="%3."/>
      <w:lvlJc w:val="right"/>
      <w:pPr>
        <w:ind w:left="1800" w:hanging="180"/>
      </w:pPr>
    </w:lvl>
    <w:lvl w:ilvl="3" w:tplc="041B000F" w:tentative="1">
      <w:start w:val="1"/>
      <w:numFmt w:val="decimal"/>
      <w:lvlText w:val="%4."/>
      <w:lvlJc w:val="left"/>
      <w:pPr>
        <w:ind w:left="2520" w:hanging="360"/>
      </w:pPr>
    </w:lvl>
    <w:lvl w:ilvl="4" w:tplc="041B0019" w:tentative="1">
      <w:start w:val="1"/>
      <w:numFmt w:val="lowerLetter"/>
      <w:lvlText w:val="%5."/>
      <w:lvlJc w:val="left"/>
      <w:pPr>
        <w:ind w:left="3240" w:hanging="360"/>
      </w:pPr>
    </w:lvl>
    <w:lvl w:ilvl="5" w:tplc="041B001B" w:tentative="1">
      <w:start w:val="1"/>
      <w:numFmt w:val="lowerRoman"/>
      <w:lvlText w:val="%6."/>
      <w:lvlJc w:val="right"/>
      <w:pPr>
        <w:ind w:left="3960" w:hanging="180"/>
      </w:pPr>
    </w:lvl>
    <w:lvl w:ilvl="6" w:tplc="041B000F" w:tentative="1">
      <w:start w:val="1"/>
      <w:numFmt w:val="decimal"/>
      <w:lvlText w:val="%7."/>
      <w:lvlJc w:val="left"/>
      <w:pPr>
        <w:ind w:left="4680" w:hanging="360"/>
      </w:pPr>
    </w:lvl>
    <w:lvl w:ilvl="7" w:tplc="041B0019" w:tentative="1">
      <w:start w:val="1"/>
      <w:numFmt w:val="lowerLetter"/>
      <w:lvlText w:val="%8."/>
      <w:lvlJc w:val="left"/>
      <w:pPr>
        <w:ind w:left="5400" w:hanging="360"/>
      </w:pPr>
    </w:lvl>
    <w:lvl w:ilvl="8" w:tplc="041B001B" w:tentative="1">
      <w:start w:val="1"/>
      <w:numFmt w:val="lowerRoman"/>
      <w:lvlText w:val="%9."/>
      <w:lvlJc w:val="right"/>
      <w:pPr>
        <w:ind w:left="6120" w:hanging="180"/>
      </w:pPr>
    </w:lvl>
  </w:abstractNum>
  <w:abstractNum w:abstractNumId="210">
    <w:nsid w:val="3DFB0966"/>
    <w:multiLevelType w:val="hybridMultilevel"/>
    <w:tmpl w:val="7BC4AD56"/>
    <w:lvl w:ilvl="0" w:tplc="041B001B">
      <w:start w:val="1"/>
      <w:numFmt w:val="lowerRoman"/>
      <w:lvlText w:val="%1."/>
      <w:lvlJc w:val="right"/>
      <w:pPr>
        <w:ind w:left="720" w:hanging="360"/>
      </w:pPr>
      <w:rPr>
        <w:rFonts w:hint="default"/>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211">
    <w:nsid w:val="3E353202"/>
    <w:multiLevelType w:val="hybridMultilevel"/>
    <w:tmpl w:val="4CFCEC2A"/>
    <w:lvl w:ilvl="0" w:tplc="2466B24E">
      <w:start w:val="1"/>
      <w:numFmt w:val="decimal"/>
      <w:lvlText w:val="%1."/>
      <w:lvlJc w:val="center"/>
      <w:pPr>
        <w:ind w:left="720" w:hanging="360"/>
      </w:pPr>
      <w:rPr>
        <w:rFonts w:hint="default"/>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212">
    <w:nsid w:val="3E99259D"/>
    <w:multiLevelType w:val="multilevel"/>
    <w:tmpl w:val="6DD2884A"/>
    <w:numStyleLink w:val="Aktulnyzoznam1"/>
  </w:abstractNum>
  <w:abstractNum w:abstractNumId="213">
    <w:nsid w:val="3EA461A5"/>
    <w:multiLevelType w:val="hybridMultilevel"/>
    <w:tmpl w:val="C4662E86"/>
    <w:lvl w:ilvl="0" w:tplc="8D4C07C2">
      <w:start w:val="1"/>
      <w:numFmt w:val="bullet"/>
      <w:lvlText w:val=""/>
      <w:lvlJc w:val="left"/>
      <w:pPr>
        <w:tabs>
          <w:tab w:val="num" w:pos="360"/>
        </w:tabs>
        <w:ind w:left="360" w:hanging="360"/>
      </w:pPr>
      <w:rPr>
        <w:rFonts w:ascii="Wingdings" w:hAnsi="Wingdings" w:hint="default"/>
        <w:color w:val="auto"/>
      </w:rPr>
    </w:lvl>
    <w:lvl w:ilvl="1" w:tplc="041B0003" w:tentative="1">
      <w:start w:val="1"/>
      <w:numFmt w:val="bullet"/>
      <w:lvlText w:val="o"/>
      <w:lvlJc w:val="left"/>
      <w:pPr>
        <w:tabs>
          <w:tab w:val="num" w:pos="1440"/>
        </w:tabs>
        <w:ind w:left="1440" w:hanging="360"/>
      </w:pPr>
      <w:rPr>
        <w:rFonts w:ascii="Courier New" w:hAnsi="Courier New" w:cs="Courier New" w:hint="default"/>
      </w:rPr>
    </w:lvl>
    <w:lvl w:ilvl="2" w:tplc="041B0005" w:tentative="1">
      <w:start w:val="1"/>
      <w:numFmt w:val="bullet"/>
      <w:lvlText w:val=""/>
      <w:lvlJc w:val="left"/>
      <w:pPr>
        <w:tabs>
          <w:tab w:val="num" w:pos="2160"/>
        </w:tabs>
        <w:ind w:left="2160" w:hanging="360"/>
      </w:pPr>
      <w:rPr>
        <w:rFonts w:ascii="Wingdings" w:hAnsi="Wingdings" w:hint="default"/>
      </w:rPr>
    </w:lvl>
    <w:lvl w:ilvl="3" w:tplc="041B0001" w:tentative="1">
      <w:start w:val="1"/>
      <w:numFmt w:val="bullet"/>
      <w:lvlText w:val=""/>
      <w:lvlJc w:val="left"/>
      <w:pPr>
        <w:tabs>
          <w:tab w:val="num" w:pos="2880"/>
        </w:tabs>
        <w:ind w:left="2880" w:hanging="360"/>
      </w:pPr>
      <w:rPr>
        <w:rFonts w:ascii="Symbol" w:hAnsi="Symbol" w:hint="default"/>
      </w:rPr>
    </w:lvl>
    <w:lvl w:ilvl="4" w:tplc="041B0003" w:tentative="1">
      <w:start w:val="1"/>
      <w:numFmt w:val="bullet"/>
      <w:lvlText w:val="o"/>
      <w:lvlJc w:val="left"/>
      <w:pPr>
        <w:tabs>
          <w:tab w:val="num" w:pos="3600"/>
        </w:tabs>
        <w:ind w:left="3600" w:hanging="360"/>
      </w:pPr>
      <w:rPr>
        <w:rFonts w:ascii="Courier New" w:hAnsi="Courier New" w:cs="Courier New" w:hint="default"/>
      </w:rPr>
    </w:lvl>
    <w:lvl w:ilvl="5" w:tplc="041B0005" w:tentative="1">
      <w:start w:val="1"/>
      <w:numFmt w:val="bullet"/>
      <w:lvlText w:val=""/>
      <w:lvlJc w:val="left"/>
      <w:pPr>
        <w:tabs>
          <w:tab w:val="num" w:pos="4320"/>
        </w:tabs>
        <w:ind w:left="4320" w:hanging="360"/>
      </w:pPr>
      <w:rPr>
        <w:rFonts w:ascii="Wingdings" w:hAnsi="Wingdings" w:hint="default"/>
      </w:rPr>
    </w:lvl>
    <w:lvl w:ilvl="6" w:tplc="041B0001" w:tentative="1">
      <w:start w:val="1"/>
      <w:numFmt w:val="bullet"/>
      <w:lvlText w:val=""/>
      <w:lvlJc w:val="left"/>
      <w:pPr>
        <w:tabs>
          <w:tab w:val="num" w:pos="5040"/>
        </w:tabs>
        <w:ind w:left="5040" w:hanging="360"/>
      </w:pPr>
      <w:rPr>
        <w:rFonts w:ascii="Symbol" w:hAnsi="Symbol" w:hint="default"/>
      </w:rPr>
    </w:lvl>
    <w:lvl w:ilvl="7" w:tplc="041B0003" w:tentative="1">
      <w:start w:val="1"/>
      <w:numFmt w:val="bullet"/>
      <w:lvlText w:val="o"/>
      <w:lvlJc w:val="left"/>
      <w:pPr>
        <w:tabs>
          <w:tab w:val="num" w:pos="5760"/>
        </w:tabs>
        <w:ind w:left="5760" w:hanging="360"/>
      </w:pPr>
      <w:rPr>
        <w:rFonts w:ascii="Courier New" w:hAnsi="Courier New" w:cs="Courier New" w:hint="default"/>
      </w:rPr>
    </w:lvl>
    <w:lvl w:ilvl="8" w:tplc="041B0005" w:tentative="1">
      <w:start w:val="1"/>
      <w:numFmt w:val="bullet"/>
      <w:lvlText w:val=""/>
      <w:lvlJc w:val="left"/>
      <w:pPr>
        <w:tabs>
          <w:tab w:val="num" w:pos="6480"/>
        </w:tabs>
        <w:ind w:left="6480" w:hanging="360"/>
      </w:pPr>
      <w:rPr>
        <w:rFonts w:ascii="Wingdings" w:hAnsi="Wingdings" w:hint="default"/>
      </w:rPr>
    </w:lvl>
  </w:abstractNum>
  <w:abstractNum w:abstractNumId="214">
    <w:nsid w:val="401815E5"/>
    <w:multiLevelType w:val="hybridMultilevel"/>
    <w:tmpl w:val="6C7E923A"/>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215">
    <w:nsid w:val="4058253F"/>
    <w:multiLevelType w:val="hybridMultilevel"/>
    <w:tmpl w:val="806E8286"/>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216">
    <w:nsid w:val="40A53CB5"/>
    <w:multiLevelType w:val="hybridMultilevel"/>
    <w:tmpl w:val="65525CA4"/>
    <w:lvl w:ilvl="0" w:tplc="1DBAC574">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217">
    <w:nsid w:val="40C33F4C"/>
    <w:multiLevelType w:val="hybridMultilevel"/>
    <w:tmpl w:val="EBFE13B0"/>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218">
    <w:nsid w:val="41257C6C"/>
    <w:multiLevelType w:val="hybridMultilevel"/>
    <w:tmpl w:val="1F929CE2"/>
    <w:lvl w:ilvl="0" w:tplc="041B0017">
      <w:start w:val="1"/>
      <w:numFmt w:val="lowerLetter"/>
      <w:lvlText w:val="%1)"/>
      <w:lvlJc w:val="left"/>
      <w:pPr>
        <w:ind w:left="1434" w:hanging="360"/>
      </w:pPr>
    </w:lvl>
    <w:lvl w:ilvl="1" w:tplc="041B0019" w:tentative="1">
      <w:start w:val="1"/>
      <w:numFmt w:val="lowerLetter"/>
      <w:lvlText w:val="%2."/>
      <w:lvlJc w:val="left"/>
      <w:pPr>
        <w:ind w:left="2154" w:hanging="360"/>
      </w:pPr>
    </w:lvl>
    <w:lvl w:ilvl="2" w:tplc="041B001B" w:tentative="1">
      <w:start w:val="1"/>
      <w:numFmt w:val="lowerRoman"/>
      <w:lvlText w:val="%3."/>
      <w:lvlJc w:val="right"/>
      <w:pPr>
        <w:ind w:left="2874" w:hanging="180"/>
      </w:pPr>
    </w:lvl>
    <w:lvl w:ilvl="3" w:tplc="041B000F" w:tentative="1">
      <w:start w:val="1"/>
      <w:numFmt w:val="decimal"/>
      <w:lvlText w:val="%4."/>
      <w:lvlJc w:val="left"/>
      <w:pPr>
        <w:ind w:left="3594" w:hanging="360"/>
      </w:pPr>
    </w:lvl>
    <w:lvl w:ilvl="4" w:tplc="041B0019" w:tentative="1">
      <w:start w:val="1"/>
      <w:numFmt w:val="lowerLetter"/>
      <w:lvlText w:val="%5."/>
      <w:lvlJc w:val="left"/>
      <w:pPr>
        <w:ind w:left="4314" w:hanging="360"/>
      </w:pPr>
    </w:lvl>
    <w:lvl w:ilvl="5" w:tplc="041B001B" w:tentative="1">
      <w:start w:val="1"/>
      <w:numFmt w:val="lowerRoman"/>
      <w:lvlText w:val="%6."/>
      <w:lvlJc w:val="right"/>
      <w:pPr>
        <w:ind w:left="5034" w:hanging="180"/>
      </w:pPr>
    </w:lvl>
    <w:lvl w:ilvl="6" w:tplc="041B000F" w:tentative="1">
      <w:start w:val="1"/>
      <w:numFmt w:val="decimal"/>
      <w:lvlText w:val="%7."/>
      <w:lvlJc w:val="left"/>
      <w:pPr>
        <w:ind w:left="5754" w:hanging="360"/>
      </w:pPr>
    </w:lvl>
    <w:lvl w:ilvl="7" w:tplc="041B0019" w:tentative="1">
      <w:start w:val="1"/>
      <w:numFmt w:val="lowerLetter"/>
      <w:lvlText w:val="%8."/>
      <w:lvlJc w:val="left"/>
      <w:pPr>
        <w:ind w:left="6474" w:hanging="360"/>
      </w:pPr>
    </w:lvl>
    <w:lvl w:ilvl="8" w:tplc="041B001B" w:tentative="1">
      <w:start w:val="1"/>
      <w:numFmt w:val="lowerRoman"/>
      <w:lvlText w:val="%9."/>
      <w:lvlJc w:val="right"/>
      <w:pPr>
        <w:ind w:left="7194" w:hanging="180"/>
      </w:pPr>
    </w:lvl>
  </w:abstractNum>
  <w:abstractNum w:abstractNumId="219">
    <w:nsid w:val="41564990"/>
    <w:multiLevelType w:val="multilevel"/>
    <w:tmpl w:val="C47C8618"/>
    <w:lvl w:ilvl="0">
      <w:start w:val="1"/>
      <w:numFmt w:val="decimal"/>
      <w:lvlText w:val="%1."/>
      <w:lvlJc w:val="center"/>
      <w:pPr>
        <w:tabs>
          <w:tab w:val="num" w:pos="0"/>
        </w:tabs>
        <w:ind w:left="720" w:hanging="360"/>
      </w:pPr>
      <w:rPr>
        <w:rFonts w:hint="default"/>
      </w:rPr>
    </w:lvl>
    <w:lvl w:ilvl="1">
      <w:start w:val="1"/>
      <w:numFmt w:val="bullet"/>
      <w:lvlText w:val="o"/>
      <w:lvlJc w:val="left"/>
      <w:pPr>
        <w:tabs>
          <w:tab w:val="num" w:pos="0"/>
        </w:tabs>
        <w:ind w:left="1440" w:hanging="360"/>
      </w:pPr>
      <w:rPr>
        <w:rFonts w:ascii="Courier New" w:hAnsi="Courier New" w:cs="Courier New"/>
      </w:rPr>
    </w:lvl>
    <w:lvl w:ilvl="2">
      <w:start w:val="1"/>
      <w:numFmt w:val="bullet"/>
      <w:lvlText w:val=""/>
      <w:lvlJc w:val="left"/>
      <w:pPr>
        <w:tabs>
          <w:tab w:val="num" w:pos="0"/>
        </w:tabs>
        <w:ind w:left="2160" w:hanging="360"/>
      </w:pPr>
      <w:rPr>
        <w:rFonts w:ascii="Wingdings" w:hAnsi="Wingdings" w:cs="Wingdings"/>
      </w:rPr>
    </w:lvl>
    <w:lvl w:ilvl="3">
      <w:start w:val="1"/>
      <w:numFmt w:val="bullet"/>
      <w:lvlText w:val=""/>
      <w:lvlJc w:val="left"/>
      <w:pPr>
        <w:tabs>
          <w:tab w:val="num" w:pos="0"/>
        </w:tabs>
        <w:ind w:left="2880" w:hanging="360"/>
      </w:pPr>
      <w:rPr>
        <w:rFonts w:ascii="Symbol" w:hAnsi="Symbol" w:cs="Symbol"/>
      </w:rPr>
    </w:lvl>
    <w:lvl w:ilvl="4">
      <w:start w:val="1"/>
      <w:numFmt w:val="bullet"/>
      <w:lvlText w:val="o"/>
      <w:lvlJc w:val="left"/>
      <w:pPr>
        <w:tabs>
          <w:tab w:val="num" w:pos="0"/>
        </w:tabs>
        <w:ind w:left="3600" w:hanging="360"/>
      </w:pPr>
      <w:rPr>
        <w:rFonts w:ascii="Courier New" w:hAnsi="Courier New" w:cs="Courier New"/>
      </w:rPr>
    </w:lvl>
    <w:lvl w:ilvl="5">
      <w:start w:val="1"/>
      <w:numFmt w:val="bullet"/>
      <w:lvlText w:val=""/>
      <w:lvlJc w:val="left"/>
      <w:pPr>
        <w:tabs>
          <w:tab w:val="num" w:pos="0"/>
        </w:tabs>
        <w:ind w:left="4320" w:hanging="360"/>
      </w:pPr>
      <w:rPr>
        <w:rFonts w:ascii="Wingdings" w:hAnsi="Wingdings" w:cs="Wingdings"/>
      </w:rPr>
    </w:lvl>
    <w:lvl w:ilvl="6">
      <w:start w:val="1"/>
      <w:numFmt w:val="bullet"/>
      <w:lvlText w:val=""/>
      <w:lvlJc w:val="left"/>
      <w:pPr>
        <w:tabs>
          <w:tab w:val="num" w:pos="0"/>
        </w:tabs>
        <w:ind w:left="5040" w:hanging="360"/>
      </w:pPr>
      <w:rPr>
        <w:rFonts w:ascii="Symbol" w:hAnsi="Symbol" w:cs="Symbol"/>
      </w:rPr>
    </w:lvl>
    <w:lvl w:ilvl="7">
      <w:start w:val="1"/>
      <w:numFmt w:val="bullet"/>
      <w:lvlText w:val="o"/>
      <w:lvlJc w:val="left"/>
      <w:pPr>
        <w:tabs>
          <w:tab w:val="num" w:pos="0"/>
        </w:tabs>
        <w:ind w:left="5760" w:hanging="360"/>
      </w:pPr>
      <w:rPr>
        <w:rFonts w:ascii="Courier New" w:hAnsi="Courier New" w:cs="Courier New"/>
      </w:rPr>
    </w:lvl>
    <w:lvl w:ilvl="8">
      <w:start w:val="1"/>
      <w:numFmt w:val="bullet"/>
      <w:lvlText w:val=""/>
      <w:lvlJc w:val="left"/>
      <w:pPr>
        <w:tabs>
          <w:tab w:val="num" w:pos="0"/>
        </w:tabs>
        <w:ind w:left="6480" w:hanging="360"/>
      </w:pPr>
      <w:rPr>
        <w:rFonts w:ascii="Wingdings" w:hAnsi="Wingdings" w:cs="Wingdings"/>
      </w:rPr>
    </w:lvl>
  </w:abstractNum>
  <w:abstractNum w:abstractNumId="220">
    <w:nsid w:val="41C14C0B"/>
    <w:multiLevelType w:val="hybridMultilevel"/>
    <w:tmpl w:val="EA7E93B0"/>
    <w:lvl w:ilvl="0" w:tplc="D968098C">
      <w:start w:val="5"/>
      <w:numFmt w:val="bullet"/>
      <w:lvlText w:val="-"/>
      <w:lvlJc w:val="left"/>
      <w:pPr>
        <w:ind w:left="1440" w:hanging="360"/>
      </w:pPr>
      <w:rPr>
        <w:rFonts w:ascii="Calibri" w:eastAsia="Calibri" w:hAnsi="Calibri" w:cs="Calibri" w:hint="default"/>
      </w:rPr>
    </w:lvl>
    <w:lvl w:ilvl="1" w:tplc="041B0003" w:tentative="1">
      <w:start w:val="1"/>
      <w:numFmt w:val="bullet"/>
      <w:lvlText w:val="o"/>
      <w:lvlJc w:val="left"/>
      <w:pPr>
        <w:ind w:left="2160" w:hanging="360"/>
      </w:pPr>
      <w:rPr>
        <w:rFonts w:ascii="Courier New" w:hAnsi="Courier New" w:cs="Courier New" w:hint="default"/>
      </w:rPr>
    </w:lvl>
    <w:lvl w:ilvl="2" w:tplc="041B0005" w:tentative="1">
      <w:start w:val="1"/>
      <w:numFmt w:val="bullet"/>
      <w:lvlText w:val=""/>
      <w:lvlJc w:val="left"/>
      <w:pPr>
        <w:ind w:left="2880" w:hanging="360"/>
      </w:pPr>
      <w:rPr>
        <w:rFonts w:ascii="Wingdings" w:hAnsi="Wingdings" w:hint="default"/>
      </w:rPr>
    </w:lvl>
    <w:lvl w:ilvl="3" w:tplc="041B0001" w:tentative="1">
      <w:start w:val="1"/>
      <w:numFmt w:val="bullet"/>
      <w:lvlText w:val=""/>
      <w:lvlJc w:val="left"/>
      <w:pPr>
        <w:ind w:left="3600" w:hanging="360"/>
      </w:pPr>
      <w:rPr>
        <w:rFonts w:ascii="Symbol" w:hAnsi="Symbol" w:hint="default"/>
      </w:rPr>
    </w:lvl>
    <w:lvl w:ilvl="4" w:tplc="041B0003" w:tentative="1">
      <w:start w:val="1"/>
      <w:numFmt w:val="bullet"/>
      <w:lvlText w:val="o"/>
      <w:lvlJc w:val="left"/>
      <w:pPr>
        <w:ind w:left="4320" w:hanging="360"/>
      </w:pPr>
      <w:rPr>
        <w:rFonts w:ascii="Courier New" w:hAnsi="Courier New" w:cs="Courier New" w:hint="default"/>
      </w:rPr>
    </w:lvl>
    <w:lvl w:ilvl="5" w:tplc="041B0005" w:tentative="1">
      <w:start w:val="1"/>
      <w:numFmt w:val="bullet"/>
      <w:lvlText w:val=""/>
      <w:lvlJc w:val="left"/>
      <w:pPr>
        <w:ind w:left="5040" w:hanging="360"/>
      </w:pPr>
      <w:rPr>
        <w:rFonts w:ascii="Wingdings" w:hAnsi="Wingdings" w:hint="default"/>
      </w:rPr>
    </w:lvl>
    <w:lvl w:ilvl="6" w:tplc="041B0001" w:tentative="1">
      <w:start w:val="1"/>
      <w:numFmt w:val="bullet"/>
      <w:lvlText w:val=""/>
      <w:lvlJc w:val="left"/>
      <w:pPr>
        <w:ind w:left="5760" w:hanging="360"/>
      </w:pPr>
      <w:rPr>
        <w:rFonts w:ascii="Symbol" w:hAnsi="Symbol" w:hint="default"/>
      </w:rPr>
    </w:lvl>
    <w:lvl w:ilvl="7" w:tplc="041B0003" w:tentative="1">
      <w:start w:val="1"/>
      <w:numFmt w:val="bullet"/>
      <w:lvlText w:val="o"/>
      <w:lvlJc w:val="left"/>
      <w:pPr>
        <w:ind w:left="6480" w:hanging="360"/>
      </w:pPr>
      <w:rPr>
        <w:rFonts w:ascii="Courier New" w:hAnsi="Courier New" w:cs="Courier New" w:hint="default"/>
      </w:rPr>
    </w:lvl>
    <w:lvl w:ilvl="8" w:tplc="041B0005" w:tentative="1">
      <w:start w:val="1"/>
      <w:numFmt w:val="bullet"/>
      <w:lvlText w:val=""/>
      <w:lvlJc w:val="left"/>
      <w:pPr>
        <w:ind w:left="7200" w:hanging="360"/>
      </w:pPr>
      <w:rPr>
        <w:rFonts w:ascii="Wingdings" w:hAnsi="Wingdings" w:hint="default"/>
      </w:rPr>
    </w:lvl>
  </w:abstractNum>
  <w:abstractNum w:abstractNumId="221">
    <w:nsid w:val="41F34317"/>
    <w:multiLevelType w:val="multilevel"/>
    <w:tmpl w:val="6DD2884A"/>
    <w:numStyleLink w:val="Aktulnyzoznam1"/>
  </w:abstractNum>
  <w:abstractNum w:abstractNumId="222">
    <w:nsid w:val="427B3BE4"/>
    <w:multiLevelType w:val="hybridMultilevel"/>
    <w:tmpl w:val="EEB068A4"/>
    <w:lvl w:ilvl="0" w:tplc="E4F663CC">
      <w:numFmt w:val="bullet"/>
      <w:lvlText w:val="•"/>
      <w:lvlJc w:val="left"/>
      <w:pPr>
        <w:ind w:left="720" w:hanging="360"/>
      </w:pPr>
      <w:rPr>
        <w:rFonts w:ascii="Calibri" w:eastAsia="Calibri" w:hAnsi="Calibri" w:cs="Times New Roman"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223">
    <w:nsid w:val="43514F7B"/>
    <w:multiLevelType w:val="hybridMultilevel"/>
    <w:tmpl w:val="7CFC3FE4"/>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224">
    <w:nsid w:val="437A6928"/>
    <w:multiLevelType w:val="multilevel"/>
    <w:tmpl w:val="6DD2884A"/>
    <w:numStyleLink w:val="Aktulnyzoznam1"/>
  </w:abstractNum>
  <w:abstractNum w:abstractNumId="225">
    <w:nsid w:val="43BD7B69"/>
    <w:multiLevelType w:val="hybridMultilevel"/>
    <w:tmpl w:val="9EE4235C"/>
    <w:lvl w:ilvl="0" w:tplc="041B0017">
      <w:start w:val="1"/>
      <w:numFmt w:val="lowerLetter"/>
      <w:lvlText w:val="%1)"/>
      <w:lvlJc w:val="left"/>
      <w:pPr>
        <w:ind w:left="720" w:hanging="360"/>
      </w:p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226">
    <w:nsid w:val="43C223E9"/>
    <w:multiLevelType w:val="hybridMultilevel"/>
    <w:tmpl w:val="30C8E7DA"/>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227">
    <w:nsid w:val="440B2E6C"/>
    <w:multiLevelType w:val="hybridMultilevel"/>
    <w:tmpl w:val="303600EE"/>
    <w:lvl w:ilvl="0" w:tplc="041B000F">
      <w:start w:val="1"/>
      <w:numFmt w:val="decimal"/>
      <w:lvlText w:val="%1."/>
      <w:lvlJc w:val="left"/>
      <w:pPr>
        <w:ind w:left="720" w:hanging="360"/>
      </w:pPr>
    </w:lvl>
    <w:lvl w:ilvl="1" w:tplc="041B0019">
      <w:start w:val="1"/>
      <w:numFmt w:val="lowerLetter"/>
      <w:lvlText w:val="%2."/>
      <w:lvlJc w:val="left"/>
      <w:pPr>
        <w:ind w:left="1440" w:hanging="360"/>
      </w:pPr>
    </w:lvl>
    <w:lvl w:ilvl="2" w:tplc="041B001B">
      <w:start w:val="1"/>
      <w:numFmt w:val="decimal"/>
      <w:lvlText w:val="%3."/>
      <w:lvlJc w:val="left"/>
      <w:pPr>
        <w:tabs>
          <w:tab w:val="num" w:pos="2160"/>
        </w:tabs>
        <w:ind w:left="2160" w:hanging="360"/>
      </w:pPr>
    </w:lvl>
    <w:lvl w:ilvl="3" w:tplc="041B000F">
      <w:start w:val="1"/>
      <w:numFmt w:val="decimal"/>
      <w:lvlText w:val="%4."/>
      <w:lvlJc w:val="left"/>
      <w:pPr>
        <w:tabs>
          <w:tab w:val="num" w:pos="2880"/>
        </w:tabs>
        <w:ind w:left="2880" w:hanging="360"/>
      </w:pPr>
    </w:lvl>
    <w:lvl w:ilvl="4" w:tplc="041B0019">
      <w:start w:val="1"/>
      <w:numFmt w:val="decimal"/>
      <w:lvlText w:val="%5."/>
      <w:lvlJc w:val="left"/>
      <w:pPr>
        <w:tabs>
          <w:tab w:val="num" w:pos="3600"/>
        </w:tabs>
        <w:ind w:left="3600" w:hanging="360"/>
      </w:pPr>
    </w:lvl>
    <w:lvl w:ilvl="5" w:tplc="041B001B">
      <w:start w:val="1"/>
      <w:numFmt w:val="decimal"/>
      <w:lvlText w:val="%6."/>
      <w:lvlJc w:val="left"/>
      <w:pPr>
        <w:tabs>
          <w:tab w:val="num" w:pos="4320"/>
        </w:tabs>
        <w:ind w:left="4320" w:hanging="360"/>
      </w:pPr>
    </w:lvl>
    <w:lvl w:ilvl="6" w:tplc="041B000F">
      <w:start w:val="1"/>
      <w:numFmt w:val="decimal"/>
      <w:lvlText w:val="%7."/>
      <w:lvlJc w:val="left"/>
      <w:pPr>
        <w:tabs>
          <w:tab w:val="num" w:pos="5040"/>
        </w:tabs>
        <w:ind w:left="5040" w:hanging="360"/>
      </w:pPr>
    </w:lvl>
    <w:lvl w:ilvl="7" w:tplc="041B0019">
      <w:start w:val="1"/>
      <w:numFmt w:val="decimal"/>
      <w:lvlText w:val="%8."/>
      <w:lvlJc w:val="left"/>
      <w:pPr>
        <w:tabs>
          <w:tab w:val="num" w:pos="5760"/>
        </w:tabs>
        <w:ind w:left="5760" w:hanging="360"/>
      </w:pPr>
    </w:lvl>
    <w:lvl w:ilvl="8" w:tplc="041B001B">
      <w:start w:val="1"/>
      <w:numFmt w:val="decimal"/>
      <w:lvlText w:val="%9."/>
      <w:lvlJc w:val="left"/>
      <w:pPr>
        <w:tabs>
          <w:tab w:val="num" w:pos="6480"/>
        </w:tabs>
        <w:ind w:left="6480" w:hanging="360"/>
      </w:pPr>
    </w:lvl>
  </w:abstractNum>
  <w:abstractNum w:abstractNumId="228">
    <w:nsid w:val="44B93BA0"/>
    <w:multiLevelType w:val="hybridMultilevel"/>
    <w:tmpl w:val="D2AED896"/>
    <w:lvl w:ilvl="0" w:tplc="041B0001">
      <w:start w:val="1"/>
      <w:numFmt w:val="bullet"/>
      <w:lvlText w:val=""/>
      <w:lvlJc w:val="left"/>
      <w:pPr>
        <w:ind w:left="765" w:hanging="360"/>
      </w:pPr>
      <w:rPr>
        <w:rFonts w:ascii="Symbol" w:hAnsi="Symbol" w:hint="default"/>
      </w:rPr>
    </w:lvl>
    <w:lvl w:ilvl="1" w:tplc="041B0003" w:tentative="1">
      <w:start w:val="1"/>
      <w:numFmt w:val="bullet"/>
      <w:lvlText w:val="o"/>
      <w:lvlJc w:val="left"/>
      <w:pPr>
        <w:ind w:left="1485" w:hanging="360"/>
      </w:pPr>
      <w:rPr>
        <w:rFonts w:ascii="Courier New" w:hAnsi="Courier New" w:cs="Courier New" w:hint="default"/>
      </w:rPr>
    </w:lvl>
    <w:lvl w:ilvl="2" w:tplc="041B0005" w:tentative="1">
      <w:start w:val="1"/>
      <w:numFmt w:val="bullet"/>
      <w:lvlText w:val=""/>
      <w:lvlJc w:val="left"/>
      <w:pPr>
        <w:ind w:left="2205" w:hanging="360"/>
      </w:pPr>
      <w:rPr>
        <w:rFonts w:ascii="Wingdings" w:hAnsi="Wingdings" w:hint="default"/>
      </w:rPr>
    </w:lvl>
    <w:lvl w:ilvl="3" w:tplc="041B0001" w:tentative="1">
      <w:start w:val="1"/>
      <w:numFmt w:val="bullet"/>
      <w:lvlText w:val=""/>
      <w:lvlJc w:val="left"/>
      <w:pPr>
        <w:ind w:left="2925" w:hanging="360"/>
      </w:pPr>
      <w:rPr>
        <w:rFonts w:ascii="Symbol" w:hAnsi="Symbol" w:hint="default"/>
      </w:rPr>
    </w:lvl>
    <w:lvl w:ilvl="4" w:tplc="041B0003" w:tentative="1">
      <w:start w:val="1"/>
      <w:numFmt w:val="bullet"/>
      <w:lvlText w:val="o"/>
      <w:lvlJc w:val="left"/>
      <w:pPr>
        <w:ind w:left="3645" w:hanging="360"/>
      </w:pPr>
      <w:rPr>
        <w:rFonts w:ascii="Courier New" w:hAnsi="Courier New" w:cs="Courier New" w:hint="default"/>
      </w:rPr>
    </w:lvl>
    <w:lvl w:ilvl="5" w:tplc="041B0005" w:tentative="1">
      <w:start w:val="1"/>
      <w:numFmt w:val="bullet"/>
      <w:lvlText w:val=""/>
      <w:lvlJc w:val="left"/>
      <w:pPr>
        <w:ind w:left="4365" w:hanging="360"/>
      </w:pPr>
      <w:rPr>
        <w:rFonts w:ascii="Wingdings" w:hAnsi="Wingdings" w:hint="default"/>
      </w:rPr>
    </w:lvl>
    <w:lvl w:ilvl="6" w:tplc="041B0001" w:tentative="1">
      <w:start w:val="1"/>
      <w:numFmt w:val="bullet"/>
      <w:lvlText w:val=""/>
      <w:lvlJc w:val="left"/>
      <w:pPr>
        <w:ind w:left="5085" w:hanging="360"/>
      </w:pPr>
      <w:rPr>
        <w:rFonts w:ascii="Symbol" w:hAnsi="Symbol" w:hint="default"/>
      </w:rPr>
    </w:lvl>
    <w:lvl w:ilvl="7" w:tplc="041B0003" w:tentative="1">
      <w:start w:val="1"/>
      <w:numFmt w:val="bullet"/>
      <w:lvlText w:val="o"/>
      <w:lvlJc w:val="left"/>
      <w:pPr>
        <w:ind w:left="5805" w:hanging="360"/>
      </w:pPr>
      <w:rPr>
        <w:rFonts w:ascii="Courier New" w:hAnsi="Courier New" w:cs="Courier New" w:hint="default"/>
      </w:rPr>
    </w:lvl>
    <w:lvl w:ilvl="8" w:tplc="041B0005" w:tentative="1">
      <w:start w:val="1"/>
      <w:numFmt w:val="bullet"/>
      <w:lvlText w:val=""/>
      <w:lvlJc w:val="left"/>
      <w:pPr>
        <w:ind w:left="6525" w:hanging="360"/>
      </w:pPr>
      <w:rPr>
        <w:rFonts w:ascii="Wingdings" w:hAnsi="Wingdings" w:hint="default"/>
      </w:rPr>
    </w:lvl>
  </w:abstractNum>
  <w:abstractNum w:abstractNumId="229">
    <w:nsid w:val="45616FFE"/>
    <w:multiLevelType w:val="hybridMultilevel"/>
    <w:tmpl w:val="AA00720C"/>
    <w:lvl w:ilvl="0" w:tplc="041B000F">
      <w:start w:val="1"/>
      <w:numFmt w:val="decimal"/>
      <w:lvlText w:val="%1."/>
      <w:lvlJc w:val="left"/>
      <w:pPr>
        <w:ind w:left="720" w:hanging="360"/>
      </w:pPr>
      <w:rPr>
        <w:rFonts w:hint="default"/>
      </w:rPr>
    </w:lvl>
    <w:lvl w:ilvl="1" w:tplc="041B0019">
      <w:start w:val="1"/>
      <w:numFmt w:val="lowerLetter"/>
      <w:lvlText w:val="%2."/>
      <w:lvlJc w:val="left"/>
      <w:pPr>
        <w:ind w:left="1440" w:hanging="360"/>
      </w:pPr>
    </w:lvl>
    <w:lvl w:ilvl="2" w:tplc="041B001B">
      <w:start w:val="1"/>
      <w:numFmt w:val="lowerRoman"/>
      <w:lvlText w:val="%3."/>
      <w:lvlJc w:val="right"/>
      <w:pPr>
        <w:ind w:left="2160" w:hanging="180"/>
      </w:pPr>
    </w:lvl>
    <w:lvl w:ilvl="3" w:tplc="041B000F">
      <w:start w:val="1"/>
      <w:numFmt w:val="decimal"/>
      <w:lvlText w:val="%4."/>
      <w:lvlJc w:val="left"/>
      <w:pPr>
        <w:ind w:left="2880" w:hanging="360"/>
      </w:pPr>
    </w:lvl>
    <w:lvl w:ilvl="4" w:tplc="041B0019">
      <w:start w:val="1"/>
      <w:numFmt w:val="lowerLetter"/>
      <w:lvlText w:val="%5."/>
      <w:lvlJc w:val="left"/>
      <w:pPr>
        <w:ind w:left="3600" w:hanging="360"/>
      </w:pPr>
    </w:lvl>
    <w:lvl w:ilvl="5" w:tplc="041B001B">
      <w:start w:val="1"/>
      <w:numFmt w:val="lowerRoman"/>
      <w:lvlText w:val="%6."/>
      <w:lvlJc w:val="right"/>
      <w:pPr>
        <w:ind w:left="4320" w:hanging="180"/>
      </w:pPr>
    </w:lvl>
    <w:lvl w:ilvl="6" w:tplc="041B000F">
      <w:start w:val="1"/>
      <w:numFmt w:val="decimal"/>
      <w:lvlText w:val="%7."/>
      <w:lvlJc w:val="left"/>
      <w:pPr>
        <w:ind w:left="5040" w:hanging="360"/>
      </w:pPr>
    </w:lvl>
    <w:lvl w:ilvl="7" w:tplc="041B0019">
      <w:start w:val="1"/>
      <w:numFmt w:val="lowerLetter"/>
      <w:lvlText w:val="%8."/>
      <w:lvlJc w:val="left"/>
      <w:pPr>
        <w:ind w:left="5760" w:hanging="360"/>
      </w:pPr>
    </w:lvl>
    <w:lvl w:ilvl="8" w:tplc="041B001B">
      <w:start w:val="1"/>
      <w:numFmt w:val="lowerRoman"/>
      <w:lvlText w:val="%9."/>
      <w:lvlJc w:val="right"/>
      <w:pPr>
        <w:ind w:left="6480" w:hanging="180"/>
      </w:pPr>
    </w:lvl>
  </w:abstractNum>
  <w:abstractNum w:abstractNumId="230">
    <w:nsid w:val="45910E56"/>
    <w:multiLevelType w:val="multilevel"/>
    <w:tmpl w:val="7A1AAC70"/>
    <w:lvl w:ilvl="0">
      <w:numFmt w:val="bullet"/>
      <w:lvlText w:val="•"/>
      <w:lvlJc w:val="left"/>
      <w:pPr>
        <w:ind w:left="1065" w:hanging="705"/>
      </w:pPr>
      <w:rPr>
        <w:rFonts w:ascii="Calibri" w:eastAsia="Calibri" w:hAnsi="Calibri" w:cs="Times New Roman" w:hint="default"/>
      </w:rPr>
    </w:lvl>
    <w:lvl w:ilvl="1" w:tentative="1">
      <w:start w:val="1"/>
      <w:numFmt w:val="bullet"/>
      <w:lvlText w:val="o"/>
      <w:lvlJc w:val="left"/>
      <w:pPr>
        <w:ind w:left="1440" w:hanging="360"/>
      </w:pPr>
      <w:rPr>
        <w:rFonts w:ascii="Courier New" w:hAnsi="Courier New" w:cs="Courier New" w:hint="default"/>
      </w:rPr>
    </w:lvl>
    <w:lvl w:ilvl="2" w:tentative="1">
      <w:start w:val="1"/>
      <w:numFmt w:val="bullet"/>
      <w:lvlText w:val=""/>
      <w:lvlJc w:val="left"/>
      <w:pPr>
        <w:ind w:left="2160" w:hanging="360"/>
      </w:pPr>
      <w:rPr>
        <w:rFonts w:ascii="Wingdings" w:hAnsi="Wingdings" w:hint="default"/>
      </w:rPr>
    </w:lvl>
    <w:lvl w:ilvl="3" w:tentative="1">
      <w:start w:val="1"/>
      <w:numFmt w:val="bullet"/>
      <w:lvlText w:val=""/>
      <w:lvlJc w:val="left"/>
      <w:pPr>
        <w:ind w:left="2880" w:hanging="360"/>
      </w:pPr>
      <w:rPr>
        <w:rFonts w:ascii="Symbol" w:hAnsi="Symbol" w:hint="default"/>
      </w:rPr>
    </w:lvl>
    <w:lvl w:ilvl="4" w:tentative="1">
      <w:start w:val="1"/>
      <w:numFmt w:val="bullet"/>
      <w:lvlText w:val="o"/>
      <w:lvlJc w:val="left"/>
      <w:pPr>
        <w:ind w:left="3600" w:hanging="360"/>
      </w:pPr>
      <w:rPr>
        <w:rFonts w:ascii="Courier New" w:hAnsi="Courier New" w:cs="Courier New" w:hint="default"/>
      </w:rPr>
    </w:lvl>
    <w:lvl w:ilvl="5" w:tentative="1">
      <w:start w:val="1"/>
      <w:numFmt w:val="bullet"/>
      <w:lvlText w:val=""/>
      <w:lvlJc w:val="left"/>
      <w:pPr>
        <w:ind w:left="4320" w:hanging="360"/>
      </w:pPr>
      <w:rPr>
        <w:rFonts w:ascii="Wingdings" w:hAnsi="Wingdings" w:hint="default"/>
      </w:rPr>
    </w:lvl>
    <w:lvl w:ilvl="6" w:tentative="1">
      <w:start w:val="1"/>
      <w:numFmt w:val="bullet"/>
      <w:lvlText w:val=""/>
      <w:lvlJc w:val="left"/>
      <w:pPr>
        <w:ind w:left="5040" w:hanging="360"/>
      </w:pPr>
      <w:rPr>
        <w:rFonts w:ascii="Symbol" w:hAnsi="Symbol" w:hint="default"/>
      </w:rPr>
    </w:lvl>
    <w:lvl w:ilvl="7" w:tentative="1">
      <w:start w:val="1"/>
      <w:numFmt w:val="bullet"/>
      <w:lvlText w:val="o"/>
      <w:lvlJc w:val="left"/>
      <w:pPr>
        <w:ind w:left="5760" w:hanging="360"/>
      </w:pPr>
      <w:rPr>
        <w:rFonts w:ascii="Courier New" w:hAnsi="Courier New" w:cs="Courier New" w:hint="default"/>
      </w:rPr>
    </w:lvl>
    <w:lvl w:ilvl="8" w:tentative="1">
      <w:start w:val="1"/>
      <w:numFmt w:val="bullet"/>
      <w:lvlText w:val=""/>
      <w:lvlJc w:val="left"/>
      <w:pPr>
        <w:ind w:left="6480" w:hanging="360"/>
      </w:pPr>
      <w:rPr>
        <w:rFonts w:ascii="Wingdings" w:hAnsi="Wingdings" w:hint="default"/>
      </w:rPr>
    </w:lvl>
  </w:abstractNum>
  <w:abstractNum w:abstractNumId="231">
    <w:nsid w:val="45B2717F"/>
    <w:multiLevelType w:val="hybridMultilevel"/>
    <w:tmpl w:val="BF908446"/>
    <w:lvl w:ilvl="0" w:tplc="041B0017">
      <w:start w:val="1"/>
      <w:numFmt w:val="lowerLetter"/>
      <w:lvlText w:val="%1)"/>
      <w:lvlJc w:val="left"/>
      <w:pPr>
        <w:ind w:left="720" w:hanging="360"/>
      </w:pPr>
    </w:lvl>
    <w:lvl w:ilvl="1" w:tplc="041B0019">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232">
    <w:nsid w:val="4644654D"/>
    <w:multiLevelType w:val="multilevel"/>
    <w:tmpl w:val="6DD2884A"/>
    <w:styleLink w:val="Aktulnyzoznam1"/>
    <w:lvl w:ilvl="0">
      <w:numFmt w:val="bullet"/>
      <w:lvlText w:val="-"/>
      <w:lvlJc w:val="left"/>
      <w:pPr>
        <w:tabs>
          <w:tab w:val="num" w:pos="539"/>
        </w:tabs>
        <w:ind w:left="539" w:hanging="358"/>
      </w:pPr>
      <w:rPr>
        <w:rFonts w:ascii="Times New Roman" w:hAnsi="Times New Roman" w:hint="default"/>
      </w:rPr>
    </w:lvl>
    <w:lvl w:ilvl="1">
      <w:numFmt w:val="bullet"/>
      <w:lvlText w:val="-"/>
      <w:lvlJc w:val="left"/>
      <w:pPr>
        <w:tabs>
          <w:tab w:val="num" w:pos="1437"/>
        </w:tabs>
        <w:ind w:left="1437" w:hanging="357"/>
      </w:pPr>
      <w:rPr>
        <w:rFonts w:ascii="Arial" w:eastAsia="Times New Roman" w:hAnsi="Arial" w:hint="default"/>
      </w:rPr>
    </w:lvl>
    <w:lvl w:ilvl="2">
      <w:numFmt w:val="bullet"/>
      <w:lvlText w:val=""/>
      <w:lvlJc w:val="left"/>
      <w:pPr>
        <w:tabs>
          <w:tab w:val="num" w:pos="2505"/>
        </w:tabs>
        <w:ind w:left="2505" w:hanging="705"/>
      </w:pPr>
      <w:rPr>
        <w:rFonts w:ascii="Symbol" w:eastAsia="Times New Roman" w:hAnsi="Symbol"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33">
    <w:nsid w:val="466D0C2E"/>
    <w:multiLevelType w:val="hybridMultilevel"/>
    <w:tmpl w:val="60F4061E"/>
    <w:lvl w:ilvl="0" w:tplc="2466B24E">
      <w:start w:val="1"/>
      <w:numFmt w:val="decimal"/>
      <w:lvlText w:val="%1."/>
      <w:lvlJc w:val="center"/>
      <w:pPr>
        <w:ind w:left="720" w:hanging="360"/>
      </w:pPr>
      <w:rPr>
        <w:rFonts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234">
    <w:nsid w:val="478905D5"/>
    <w:multiLevelType w:val="hybridMultilevel"/>
    <w:tmpl w:val="1A106066"/>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235">
    <w:nsid w:val="47D035E4"/>
    <w:multiLevelType w:val="hybridMultilevel"/>
    <w:tmpl w:val="D604D522"/>
    <w:lvl w:ilvl="0" w:tplc="2466B24E">
      <w:start w:val="1"/>
      <w:numFmt w:val="decimal"/>
      <w:lvlText w:val="%1."/>
      <w:lvlJc w:val="center"/>
      <w:pPr>
        <w:ind w:left="720" w:hanging="360"/>
      </w:pPr>
      <w:rPr>
        <w:rFonts w:hint="default"/>
      </w:rPr>
    </w:lvl>
    <w:lvl w:ilvl="1" w:tplc="041B0019">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236">
    <w:nsid w:val="48146011"/>
    <w:multiLevelType w:val="hybridMultilevel"/>
    <w:tmpl w:val="5F583E70"/>
    <w:lvl w:ilvl="0" w:tplc="041B0017">
      <w:start w:val="1"/>
      <w:numFmt w:val="lowerLetter"/>
      <w:lvlText w:val="%1)"/>
      <w:lvlJc w:val="left"/>
      <w:pPr>
        <w:ind w:left="720" w:hanging="360"/>
      </w:pPr>
    </w:lvl>
    <w:lvl w:ilvl="1" w:tplc="041B0019">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237">
    <w:nsid w:val="48203F07"/>
    <w:multiLevelType w:val="hybridMultilevel"/>
    <w:tmpl w:val="5CA6E314"/>
    <w:lvl w:ilvl="0" w:tplc="924ACDC2">
      <w:start w:val="70"/>
      <w:numFmt w:val="bullet"/>
      <w:lvlText w:val="-"/>
      <w:lvlJc w:val="left"/>
      <w:pPr>
        <w:ind w:left="720" w:hanging="360"/>
      </w:pPr>
      <w:rPr>
        <w:rFonts w:ascii="Calibri" w:eastAsia="Times New Roman" w:hAnsi="Calibri"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238">
    <w:nsid w:val="48704078"/>
    <w:multiLevelType w:val="hybridMultilevel"/>
    <w:tmpl w:val="E192455E"/>
    <w:lvl w:ilvl="0" w:tplc="041B0019">
      <w:start w:val="1"/>
      <w:numFmt w:val="lowerLetter"/>
      <w:lvlText w:val="%1."/>
      <w:lvlJc w:val="left"/>
      <w:pPr>
        <w:ind w:left="720" w:hanging="360"/>
      </w:pPr>
      <w:rPr>
        <w:rFonts w:hint="default"/>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239">
    <w:nsid w:val="487748D0"/>
    <w:multiLevelType w:val="hybridMultilevel"/>
    <w:tmpl w:val="39283892"/>
    <w:lvl w:ilvl="0" w:tplc="041B0001">
      <w:start w:val="1"/>
      <w:numFmt w:val="bullet"/>
      <w:lvlText w:val=""/>
      <w:lvlJc w:val="left"/>
      <w:pPr>
        <w:tabs>
          <w:tab w:val="num" w:pos="720"/>
        </w:tabs>
        <w:ind w:left="720" w:hanging="360"/>
      </w:pPr>
      <w:rPr>
        <w:rFonts w:ascii="Symbol" w:hAnsi="Symbol" w:hint="default"/>
      </w:rPr>
    </w:lvl>
    <w:lvl w:ilvl="1" w:tplc="041B0003">
      <w:start w:val="1"/>
      <w:numFmt w:val="bullet"/>
      <w:lvlText w:val="o"/>
      <w:lvlJc w:val="left"/>
      <w:pPr>
        <w:tabs>
          <w:tab w:val="num" w:pos="1440"/>
        </w:tabs>
        <w:ind w:left="1440" w:hanging="360"/>
      </w:pPr>
      <w:rPr>
        <w:rFonts w:ascii="Courier New" w:hAnsi="Courier New" w:hint="default"/>
      </w:rPr>
    </w:lvl>
    <w:lvl w:ilvl="2" w:tplc="041B0005">
      <w:start w:val="1"/>
      <w:numFmt w:val="bullet"/>
      <w:lvlText w:val=""/>
      <w:lvlJc w:val="left"/>
      <w:pPr>
        <w:tabs>
          <w:tab w:val="num" w:pos="2160"/>
        </w:tabs>
        <w:ind w:left="2160" w:hanging="360"/>
      </w:pPr>
      <w:rPr>
        <w:rFonts w:ascii="Wingdings" w:hAnsi="Wingdings" w:hint="default"/>
      </w:rPr>
    </w:lvl>
    <w:lvl w:ilvl="3" w:tplc="041B0001">
      <w:start w:val="1"/>
      <w:numFmt w:val="bullet"/>
      <w:lvlText w:val=""/>
      <w:lvlJc w:val="left"/>
      <w:pPr>
        <w:tabs>
          <w:tab w:val="num" w:pos="2880"/>
        </w:tabs>
        <w:ind w:left="2880" w:hanging="360"/>
      </w:pPr>
      <w:rPr>
        <w:rFonts w:ascii="Symbol" w:hAnsi="Symbol" w:hint="default"/>
      </w:rPr>
    </w:lvl>
    <w:lvl w:ilvl="4" w:tplc="041B0003">
      <w:start w:val="1"/>
      <w:numFmt w:val="bullet"/>
      <w:lvlText w:val="o"/>
      <w:lvlJc w:val="left"/>
      <w:pPr>
        <w:tabs>
          <w:tab w:val="num" w:pos="3600"/>
        </w:tabs>
        <w:ind w:left="3600" w:hanging="360"/>
      </w:pPr>
      <w:rPr>
        <w:rFonts w:ascii="Courier New" w:hAnsi="Courier New" w:hint="default"/>
      </w:rPr>
    </w:lvl>
    <w:lvl w:ilvl="5" w:tplc="041B0005">
      <w:start w:val="1"/>
      <w:numFmt w:val="bullet"/>
      <w:lvlText w:val=""/>
      <w:lvlJc w:val="left"/>
      <w:pPr>
        <w:tabs>
          <w:tab w:val="num" w:pos="4320"/>
        </w:tabs>
        <w:ind w:left="4320" w:hanging="360"/>
      </w:pPr>
      <w:rPr>
        <w:rFonts w:ascii="Wingdings" w:hAnsi="Wingdings" w:hint="default"/>
      </w:rPr>
    </w:lvl>
    <w:lvl w:ilvl="6" w:tplc="041B0001">
      <w:start w:val="1"/>
      <w:numFmt w:val="bullet"/>
      <w:lvlText w:val=""/>
      <w:lvlJc w:val="left"/>
      <w:pPr>
        <w:tabs>
          <w:tab w:val="num" w:pos="5040"/>
        </w:tabs>
        <w:ind w:left="5040" w:hanging="360"/>
      </w:pPr>
      <w:rPr>
        <w:rFonts w:ascii="Symbol" w:hAnsi="Symbol" w:hint="default"/>
      </w:rPr>
    </w:lvl>
    <w:lvl w:ilvl="7" w:tplc="041B0003">
      <w:start w:val="1"/>
      <w:numFmt w:val="bullet"/>
      <w:lvlText w:val="o"/>
      <w:lvlJc w:val="left"/>
      <w:pPr>
        <w:tabs>
          <w:tab w:val="num" w:pos="5760"/>
        </w:tabs>
        <w:ind w:left="5760" w:hanging="360"/>
      </w:pPr>
      <w:rPr>
        <w:rFonts w:ascii="Courier New" w:hAnsi="Courier New" w:hint="default"/>
      </w:rPr>
    </w:lvl>
    <w:lvl w:ilvl="8" w:tplc="041B0005">
      <w:start w:val="1"/>
      <w:numFmt w:val="bullet"/>
      <w:lvlText w:val=""/>
      <w:lvlJc w:val="left"/>
      <w:pPr>
        <w:tabs>
          <w:tab w:val="num" w:pos="6480"/>
        </w:tabs>
        <w:ind w:left="6480" w:hanging="360"/>
      </w:pPr>
      <w:rPr>
        <w:rFonts w:ascii="Wingdings" w:hAnsi="Wingdings" w:hint="default"/>
      </w:rPr>
    </w:lvl>
  </w:abstractNum>
  <w:abstractNum w:abstractNumId="240">
    <w:nsid w:val="49F46CE8"/>
    <w:multiLevelType w:val="hybridMultilevel"/>
    <w:tmpl w:val="5E344F1E"/>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241">
    <w:nsid w:val="4A0D2AE3"/>
    <w:multiLevelType w:val="hybridMultilevel"/>
    <w:tmpl w:val="F1E6C660"/>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242">
    <w:nsid w:val="4A1A0133"/>
    <w:multiLevelType w:val="hybridMultilevel"/>
    <w:tmpl w:val="6AAA827A"/>
    <w:lvl w:ilvl="0" w:tplc="041B0001">
      <w:start w:val="1"/>
      <w:numFmt w:val="bullet"/>
      <w:lvlText w:val=""/>
      <w:lvlJc w:val="left"/>
      <w:pPr>
        <w:ind w:left="644" w:hanging="360"/>
      </w:pPr>
      <w:rPr>
        <w:rFonts w:ascii="Symbol" w:hAnsi="Symbol" w:hint="default"/>
      </w:rPr>
    </w:lvl>
    <w:lvl w:ilvl="1" w:tplc="041B0003" w:tentative="1">
      <w:start w:val="1"/>
      <w:numFmt w:val="bullet"/>
      <w:lvlText w:val="o"/>
      <w:lvlJc w:val="left"/>
      <w:pPr>
        <w:ind w:left="1364" w:hanging="360"/>
      </w:pPr>
      <w:rPr>
        <w:rFonts w:ascii="Courier New" w:hAnsi="Courier New" w:cs="Courier New" w:hint="default"/>
      </w:rPr>
    </w:lvl>
    <w:lvl w:ilvl="2" w:tplc="041B0005" w:tentative="1">
      <w:start w:val="1"/>
      <w:numFmt w:val="bullet"/>
      <w:lvlText w:val=""/>
      <w:lvlJc w:val="left"/>
      <w:pPr>
        <w:ind w:left="2084" w:hanging="360"/>
      </w:pPr>
      <w:rPr>
        <w:rFonts w:ascii="Wingdings" w:hAnsi="Wingdings" w:hint="default"/>
      </w:rPr>
    </w:lvl>
    <w:lvl w:ilvl="3" w:tplc="041B0001" w:tentative="1">
      <w:start w:val="1"/>
      <w:numFmt w:val="bullet"/>
      <w:lvlText w:val=""/>
      <w:lvlJc w:val="left"/>
      <w:pPr>
        <w:ind w:left="2804" w:hanging="360"/>
      </w:pPr>
      <w:rPr>
        <w:rFonts w:ascii="Symbol" w:hAnsi="Symbol" w:hint="default"/>
      </w:rPr>
    </w:lvl>
    <w:lvl w:ilvl="4" w:tplc="041B0003" w:tentative="1">
      <w:start w:val="1"/>
      <w:numFmt w:val="bullet"/>
      <w:lvlText w:val="o"/>
      <w:lvlJc w:val="left"/>
      <w:pPr>
        <w:ind w:left="3524" w:hanging="360"/>
      </w:pPr>
      <w:rPr>
        <w:rFonts w:ascii="Courier New" w:hAnsi="Courier New" w:cs="Courier New" w:hint="default"/>
      </w:rPr>
    </w:lvl>
    <w:lvl w:ilvl="5" w:tplc="041B0005" w:tentative="1">
      <w:start w:val="1"/>
      <w:numFmt w:val="bullet"/>
      <w:lvlText w:val=""/>
      <w:lvlJc w:val="left"/>
      <w:pPr>
        <w:ind w:left="4244" w:hanging="360"/>
      </w:pPr>
      <w:rPr>
        <w:rFonts w:ascii="Wingdings" w:hAnsi="Wingdings" w:hint="default"/>
      </w:rPr>
    </w:lvl>
    <w:lvl w:ilvl="6" w:tplc="041B0001" w:tentative="1">
      <w:start w:val="1"/>
      <w:numFmt w:val="bullet"/>
      <w:lvlText w:val=""/>
      <w:lvlJc w:val="left"/>
      <w:pPr>
        <w:ind w:left="4964" w:hanging="360"/>
      </w:pPr>
      <w:rPr>
        <w:rFonts w:ascii="Symbol" w:hAnsi="Symbol" w:hint="default"/>
      </w:rPr>
    </w:lvl>
    <w:lvl w:ilvl="7" w:tplc="041B0003" w:tentative="1">
      <w:start w:val="1"/>
      <w:numFmt w:val="bullet"/>
      <w:lvlText w:val="o"/>
      <w:lvlJc w:val="left"/>
      <w:pPr>
        <w:ind w:left="5684" w:hanging="360"/>
      </w:pPr>
      <w:rPr>
        <w:rFonts w:ascii="Courier New" w:hAnsi="Courier New" w:cs="Courier New" w:hint="default"/>
      </w:rPr>
    </w:lvl>
    <w:lvl w:ilvl="8" w:tplc="041B0005" w:tentative="1">
      <w:start w:val="1"/>
      <w:numFmt w:val="bullet"/>
      <w:lvlText w:val=""/>
      <w:lvlJc w:val="left"/>
      <w:pPr>
        <w:ind w:left="6404" w:hanging="360"/>
      </w:pPr>
      <w:rPr>
        <w:rFonts w:ascii="Wingdings" w:hAnsi="Wingdings" w:hint="default"/>
      </w:rPr>
    </w:lvl>
  </w:abstractNum>
  <w:abstractNum w:abstractNumId="243">
    <w:nsid w:val="4A236EAC"/>
    <w:multiLevelType w:val="hybridMultilevel"/>
    <w:tmpl w:val="29AE592C"/>
    <w:lvl w:ilvl="0" w:tplc="041B000F">
      <w:start w:val="1"/>
      <w:numFmt w:val="decimal"/>
      <w:lvlText w:val="%1."/>
      <w:lvlJc w:val="left"/>
      <w:pPr>
        <w:ind w:left="720" w:hanging="360"/>
      </w:p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244">
    <w:nsid w:val="4A2F2923"/>
    <w:multiLevelType w:val="hybridMultilevel"/>
    <w:tmpl w:val="B0FADBC2"/>
    <w:lvl w:ilvl="0" w:tplc="D968098C">
      <w:start w:val="5"/>
      <w:numFmt w:val="bullet"/>
      <w:lvlText w:val="-"/>
      <w:lvlJc w:val="left"/>
      <w:pPr>
        <w:ind w:left="720" w:hanging="360"/>
      </w:pPr>
      <w:rPr>
        <w:rFonts w:ascii="Calibri" w:eastAsia="Calibri" w:hAnsi="Calibri" w:cs="Calibri"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245">
    <w:nsid w:val="4ACC32CF"/>
    <w:multiLevelType w:val="hybridMultilevel"/>
    <w:tmpl w:val="14069416"/>
    <w:lvl w:ilvl="0" w:tplc="81484ED2">
      <w:start w:val="8"/>
      <w:numFmt w:val="bullet"/>
      <w:lvlText w:val="-"/>
      <w:lvlJc w:val="left"/>
      <w:pPr>
        <w:ind w:left="720" w:hanging="360"/>
      </w:pPr>
      <w:rPr>
        <w:rFonts w:ascii="Arial Narrow" w:eastAsia="Calibri" w:hAnsi="Arial Narrow" w:cs="Times New Roman"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246">
    <w:nsid w:val="4B0F3D1A"/>
    <w:multiLevelType w:val="hybridMultilevel"/>
    <w:tmpl w:val="9A320936"/>
    <w:lvl w:ilvl="0" w:tplc="041B0017">
      <w:start w:val="1"/>
      <w:numFmt w:val="lowerLetter"/>
      <w:lvlText w:val="%1)"/>
      <w:lvlJc w:val="left"/>
      <w:pPr>
        <w:ind w:left="720" w:hanging="360"/>
      </w:p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247">
    <w:nsid w:val="4B3B6A7B"/>
    <w:multiLevelType w:val="hybridMultilevel"/>
    <w:tmpl w:val="839EA540"/>
    <w:lvl w:ilvl="0" w:tplc="041B000F">
      <w:start w:val="1"/>
      <w:numFmt w:val="decimal"/>
      <w:lvlText w:val="%1."/>
      <w:lvlJc w:val="left"/>
      <w:pPr>
        <w:tabs>
          <w:tab w:val="num" w:pos="720"/>
        </w:tabs>
        <w:ind w:left="720" w:hanging="360"/>
      </w:pPr>
      <w:rPr>
        <w:rFonts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248">
    <w:nsid w:val="4BD90458"/>
    <w:multiLevelType w:val="hybridMultilevel"/>
    <w:tmpl w:val="EB0855EC"/>
    <w:lvl w:ilvl="0" w:tplc="041B001B">
      <w:start w:val="1"/>
      <w:numFmt w:val="lowerRoman"/>
      <w:lvlText w:val="%1."/>
      <w:lvlJc w:val="right"/>
      <w:pPr>
        <w:ind w:left="720" w:hanging="360"/>
      </w:pPr>
      <w:rPr>
        <w:rFonts w:hint="default"/>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249">
    <w:nsid w:val="4C9F3833"/>
    <w:multiLevelType w:val="multilevel"/>
    <w:tmpl w:val="6D502C0E"/>
    <w:lvl w:ilvl="0">
      <w:start w:val="5"/>
      <w:numFmt w:val="bullet"/>
      <w:lvlText w:val="-"/>
      <w:lvlJc w:val="left"/>
      <w:pPr>
        <w:tabs>
          <w:tab w:val="num" w:pos="0"/>
        </w:tabs>
        <w:ind w:left="360" w:hanging="360"/>
      </w:pPr>
      <w:rPr>
        <w:rFonts w:ascii="Calibri" w:eastAsia="Calibri" w:hAnsi="Calibri" w:cs="Calibri" w:hint="default"/>
        <w:b/>
        <w:i/>
        <w:sz w:val="22"/>
        <w:szCs w:val="22"/>
        <w:lang w:val="sk-SK"/>
      </w:rPr>
    </w:lvl>
    <w:lvl w:ilvl="1">
      <w:start w:val="1"/>
      <w:numFmt w:val="lowerLetter"/>
      <w:lvlText w:val="%2."/>
      <w:lvlJc w:val="left"/>
      <w:pPr>
        <w:tabs>
          <w:tab w:val="num" w:pos="0"/>
        </w:tabs>
        <w:ind w:left="1080" w:hanging="360"/>
      </w:pPr>
    </w:lvl>
    <w:lvl w:ilvl="2">
      <w:start w:val="1"/>
      <w:numFmt w:val="lowerRoman"/>
      <w:lvlText w:val="%2.%3."/>
      <w:lvlJc w:val="right"/>
      <w:pPr>
        <w:tabs>
          <w:tab w:val="num" w:pos="0"/>
        </w:tabs>
        <w:ind w:left="1800" w:hanging="180"/>
      </w:pPr>
    </w:lvl>
    <w:lvl w:ilvl="3">
      <w:start w:val="1"/>
      <w:numFmt w:val="decimal"/>
      <w:lvlText w:val="%2.%3.%4."/>
      <w:lvlJc w:val="left"/>
      <w:pPr>
        <w:tabs>
          <w:tab w:val="num" w:pos="0"/>
        </w:tabs>
        <w:ind w:left="2520" w:hanging="360"/>
      </w:pPr>
    </w:lvl>
    <w:lvl w:ilvl="4">
      <w:start w:val="1"/>
      <w:numFmt w:val="lowerLetter"/>
      <w:lvlText w:val="%2.%3.%4.%5."/>
      <w:lvlJc w:val="left"/>
      <w:pPr>
        <w:tabs>
          <w:tab w:val="num" w:pos="0"/>
        </w:tabs>
        <w:ind w:left="3240" w:hanging="360"/>
      </w:pPr>
    </w:lvl>
    <w:lvl w:ilvl="5">
      <w:start w:val="1"/>
      <w:numFmt w:val="lowerRoman"/>
      <w:lvlText w:val="%2.%3.%4.%5.%6."/>
      <w:lvlJc w:val="right"/>
      <w:pPr>
        <w:tabs>
          <w:tab w:val="num" w:pos="0"/>
        </w:tabs>
        <w:ind w:left="3960" w:hanging="180"/>
      </w:pPr>
    </w:lvl>
    <w:lvl w:ilvl="6">
      <w:start w:val="1"/>
      <w:numFmt w:val="decimal"/>
      <w:lvlText w:val="%2.%3.%4.%5.%6.%7."/>
      <w:lvlJc w:val="left"/>
      <w:pPr>
        <w:tabs>
          <w:tab w:val="num" w:pos="0"/>
        </w:tabs>
        <w:ind w:left="4680" w:hanging="360"/>
      </w:pPr>
    </w:lvl>
    <w:lvl w:ilvl="7">
      <w:start w:val="1"/>
      <w:numFmt w:val="lowerLetter"/>
      <w:lvlText w:val="%2.%3.%4.%5.%6.%7.%8."/>
      <w:lvlJc w:val="left"/>
      <w:pPr>
        <w:tabs>
          <w:tab w:val="num" w:pos="0"/>
        </w:tabs>
        <w:ind w:left="5400" w:hanging="360"/>
      </w:pPr>
    </w:lvl>
    <w:lvl w:ilvl="8">
      <w:start w:val="1"/>
      <w:numFmt w:val="lowerRoman"/>
      <w:lvlText w:val="%2.%3.%4.%5.%6.%7.%8.%9."/>
      <w:lvlJc w:val="right"/>
      <w:pPr>
        <w:tabs>
          <w:tab w:val="num" w:pos="0"/>
        </w:tabs>
        <w:ind w:left="6120" w:hanging="180"/>
      </w:pPr>
    </w:lvl>
  </w:abstractNum>
  <w:abstractNum w:abstractNumId="250">
    <w:nsid w:val="4CD43697"/>
    <w:multiLevelType w:val="hybridMultilevel"/>
    <w:tmpl w:val="717ADF28"/>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251">
    <w:nsid w:val="4CFD52B0"/>
    <w:multiLevelType w:val="multilevel"/>
    <w:tmpl w:val="C142B966"/>
    <w:lvl w:ilvl="0">
      <w:start w:val="1"/>
      <w:numFmt w:val="decimal"/>
      <w:lvlText w:val="%1."/>
      <w:lvlJc w:val="left"/>
      <w:pPr>
        <w:tabs>
          <w:tab w:val="num" w:pos="720"/>
        </w:tabs>
        <w:ind w:left="720" w:hanging="360"/>
      </w:pPr>
    </w:lvl>
    <w:lvl w:ilvl="1">
      <w:start w:val="1"/>
      <w:numFmt w:val="bullet"/>
      <w:lvlText w:val=""/>
      <w:lvlJc w:val="left"/>
      <w:pPr>
        <w:tabs>
          <w:tab w:val="num" w:pos="1080"/>
        </w:tabs>
        <w:ind w:left="1080" w:hanging="360"/>
      </w:pPr>
      <w:rPr>
        <w:rFonts w:ascii="Wingdings" w:hAnsi="Wingdings" w:cs="OpenSymbol"/>
      </w:rPr>
    </w:lvl>
    <w:lvl w:ilvl="2">
      <w:start w:val="1"/>
      <w:numFmt w:val="bullet"/>
      <w:lvlText w:val=""/>
      <w:lvlJc w:val="left"/>
      <w:pPr>
        <w:tabs>
          <w:tab w:val="num" w:pos="1440"/>
        </w:tabs>
        <w:ind w:left="1440" w:hanging="360"/>
      </w:pPr>
      <w:rPr>
        <w:rFonts w:ascii="Wingdings" w:hAnsi="Wingdings" w:cs="OpenSymbol"/>
      </w:rPr>
    </w:lvl>
    <w:lvl w:ilvl="3">
      <w:start w:val="1"/>
      <w:numFmt w:val="bullet"/>
      <w:lvlText w:val=""/>
      <w:lvlJc w:val="left"/>
      <w:pPr>
        <w:tabs>
          <w:tab w:val="num" w:pos="1800"/>
        </w:tabs>
        <w:ind w:left="1800" w:hanging="360"/>
      </w:pPr>
      <w:rPr>
        <w:rFonts w:ascii="Wingdings" w:hAnsi="Wingdings" w:cs="OpenSymbol"/>
      </w:rPr>
    </w:lvl>
    <w:lvl w:ilvl="4">
      <w:start w:val="1"/>
      <w:numFmt w:val="bullet"/>
      <w:lvlText w:val=""/>
      <w:lvlJc w:val="left"/>
      <w:pPr>
        <w:tabs>
          <w:tab w:val="num" w:pos="2160"/>
        </w:tabs>
        <w:ind w:left="2160" w:hanging="360"/>
      </w:pPr>
      <w:rPr>
        <w:rFonts w:ascii="Wingdings" w:hAnsi="Wingdings" w:cs="OpenSymbol"/>
      </w:rPr>
    </w:lvl>
    <w:lvl w:ilvl="5">
      <w:start w:val="1"/>
      <w:numFmt w:val="bullet"/>
      <w:lvlText w:val=""/>
      <w:lvlJc w:val="left"/>
      <w:pPr>
        <w:tabs>
          <w:tab w:val="num" w:pos="2520"/>
        </w:tabs>
        <w:ind w:left="2520" w:hanging="360"/>
      </w:pPr>
      <w:rPr>
        <w:rFonts w:ascii="Wingdings" w:hAnsi="Wingdings" w:cs="OpenSymbol"/>
      </w:rPr>
    </w:lvl>
    <w:lvl w:ilvl="6">
      <w:start w:val="1"/>
      <w:numFmt w:val="bullet"/>
      <w:lvlText w:val=""/>
      <w:lvlJc w:val="left"/>
      <w:pPr>
        <w:tabs>
          <w:tab w:val="num" w:pos="2880"/>
        </w:tabs>
        <w:ind w:left="2880" w:hanging="360"/>
      </w:pPr>
      <w:rPr>
        <w:rFonts w:ascii="Wingdings" w:hAnsi="Wingdings" w:cs="OpenSymbol"/>
      </w:rPr>
    </w:lvl>
    <w:lvl w:ilvl="7">
      <w:start w:val="1"/>
      <w:numFmt w:val="bullet"/>
      <w:lvlText w:val=""/>
      <w:lvlJc w:val="left"/>
      <w:pPr>
        <w:tabs>
          <w:tab w:val="num" w:pos="3240"/>
        </w:tabs>
        <w:ind w:left="3240" w:hanging="360"/>
      </w:pPr>
      <w:rPr>
        <w:rFonts w:ascii="Wingdings" w:hAnsi="Wingdings" w:cs="OpenSymbol"/>
      </w:rPr>
    </w:lvl>
    <w:lvl w:ilvl="8">
      <w:start w:val="1"/>
      <w:numFmt w:val="bullet"/>
      <w:lvlText w:val=""/>
      <w:lvlJc w:val="left"/>
      <w:pPr>
        <w:tabs>
          <w:tab w:val="num" w:pos="3600"/>
        </w:tabs>
        <w:ind w:left="3600" w:hanging="360"/>
      </w:pPr>
      <w:rPr>
        <w:rFonts w:ascii="Wingdings" w:hAnsi="Wingdings" w:cs="OpenSymbol"/>
      </w:rPr>
    </w:lvl>
  </w:abstractNum>
  <w:abstractNum w:abstractNumId="252">
    <w:nsid w:val="4DD23755"/>
    <w:multiLevelType w:val="hybridMultilevel"/>
    <w:tmpl w:val="2E641146"/>
    <w:lvl w:ilvl="0" w:tplc="38D21BC8">
      <w:numFmt w:val="bullet"/>
      <w:lvlText w:val="-"/>
      <w:lvlJc w:val="left"/>
      <w:pPr>
        <w:tabs>
          <w:tab w:val="num" w:pos="2130"/>
        </w:tabs>
        <w:ind w:left="2130" w:hanging="360"/>
      </w:pPr>
      <w:rPr>
        <w:rFonts w:ascii="Calibri" w:eastAsia="Calibri" w:hAnsi="Calibri" w:cs="Calibri" w:hint="default"/>
        <w:sz w:val="22"/>
      </w:rPr>
    </w:lvl>
    <w:lvl w:ilvl="1" w:tplc="041B0003" w:tentative="1">
      <w:start w:val="1"/>
      <w:numFmt w:val="bullet"/>
      <w:lvlText w:val="o"/>
      <w:lvlJc w:val="left"/>
      <w:pPr>
        <w:tabs>
          <w:tab w:val="num" w:pos="2850"/>
        </w:tabs>
        <w:ind w:left="2850" w:hanging="360"/>
      </w:pPr>
      <w:rPr>
        <w:rFonts w:ascii="Courier New" w:hAnsi="Courier New" w:cs="Courier New" w:hint="default"/>
      </w:rPr>
    </w:lvl>
    <w:lvl w:ilvl="2" w:tplc="041B0005" w:tentative="1">
      <w:start w:val="1"/>
      <w:numFmt w:val="bullet"/>
      <w:lvlText w:val=""/>
      <w:lvlJc w:val="left"/>
      <w:pPr>
        <w:tabs>
          <w:tab w:val="num" w:pos="3570"/>
        </w:tabs>
        <w:ind w:left="3570" w:hanging="360"/>
      </w:pPr>
      <w:rPr>
        <w:rFonts w:ascii="Wingdings" w:hAnsi="Wingdings" w:hint="default"/>
      </w:rPr>
    </w:lvl>
    <w:lvl w:ilvl="3" w:tplc="041B0001" w:tentative="1">
      <w:start w:val="1"/>
      <w:numFmt w:val="bullet"/>
      <w:lvlText w:val=""/>
      <w:lvlJc w:val="left"/>
      <w:pPr>
        <w:tabs>
          <w:tab w:val="num" w:pos="4290"/>
        </w:tabs>
        <w:ind w:left="4290" w:hanging="360"/>
      </w:pPr>
      <w:rPr>
        <w:rFonts w:ascii="Symbol" w:hAnsi="Symbol" w:hint="default"/>
      </w:rPr>
    </w:lvl>
    <w:lvl w:ilvl="4" w:tplc="041B0003" w:tentative="1">
      <w:start w:val="1"/>
      <w:numFmt w:val="bullet"/>
      <w:lvlText w:val="o"/>
      <w:lvlJc w:val="left"/>
      <w:pPr>
        <w:tabs>
          <w:tab w:val="num" w:pos="5010"/>
        </w:tabs>
        <w:ind w:left="5010" w:hanging="360"/>
      </w:pPr>
      <w:rPr>
        <w:rFonts w:ascii="Courier New" w:hAnsi="Courier New" w:cs="Courier New" w:hint="default"/>
      </w:rPr>
    </w:lvl>
    <w:lvl w:ilvl="5" w:tplc="041B0005" w:tentative="1">
      <w:start w:val="1"/>
      <w:numFmt w:val="bullet"/>
      <w:lvlText w:val=""/>
      <w:lvlJc w:val="left"/>
      <w:pPr>
        <w:tabs>
          <w:tab w:val="num" w:pos="5730"/>
        </w:tabs>
        <w:ind w:left="5730" w:hanging="360"/>
      </w:pPr>
      <w:rPr>
        <w:rFonts w:ascii="Wingdings" w:hAnsi="Wingdings" w:hint="default"/>
      </w:rPr>
    </w:lvl>
    <w:lvl w:ilvl="6" w:tplc="041B0001" w:tentative="1">
      <w:start w:val="1"/>
      <w:numFmt w:val="bullet"/>
      <w:lvlText w:val=""/>
      <w:lvlJc w:val="left"/>
      <w:pPr>
        <w:tabs>
          <w:tab w:val="num" w:pos="6450"/>
        </w:tabs>
        <w:ind w:left="6450" w:hanging="360"/>
      </w:pPr>
      <w:rPr>
        <w:rFonts w:ascii="Symbol" w:hAnsi="Symbol" w:hint="default"/>
      </w:rPr>
    </w:lvl>
    <w:lvl w:ilvl="7" w:tplc="041B0003" w:tentative="1">
      <w:start w:val="1"/>
      <w:numFmt w:val="bullet"/>
      <w:lvlText w:val="o"/>
      <w:lvlJc w:val="left"/>
      <w:pPr>
        <w:tabs>
          <w:tab w:val="num" w:pos="7170"/>
        </w:tabs>
        <w:ind w:left="7170" w:hanging="360"/>
      </w:pPr>
      <w:rPr>
        <w:rFonts w:ascii="Courier New" w:hAnsi="Courier New" w:cs="Courier New" w:hint="default"/>
      </w:rPr>
    </w:lvl>
    <w:lvl w:ilvl="8" w:tplc="041B0005" w:tentative="1">
      <w:start w:val="1"/>
      <w:numFmt w:val="bullet"/>
      <w:lvlText w:val=""/>
      <w:lvlJc w:val="left"/>
      <w:pPr>
        <w:tabs>
          <w:tab w:val="num" w:pos="7890"/>
        </w:tabs>
        <w:ind w:left="7890" w:hanging="360"/>
      </w:pPr>
      <w:rPr>
        <w:rFonts w:ascii="Wingdings" w:hAnsi="Wingdings" w:hint="default"/>
      </w:rPr>
    </w:lvl>
  </w:abstractNum>
  <w:abstractNum w:abstractNumId="253">
    <w:nsid w:val="4DF90A34"/>
    <w:multiLevelType w:val="hybridMultilevel"/>
    <w:tmpl w:val="A6104CA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4">
    <w:nsid w:val="4E1B1A52"/>
    <w:multiLevelType w:val="hybridMultilevel"/>
    <w:tmpl w:val="C8921960"/>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255">
    <w:nsid w:val="4E501A5C"/>
    <w:multiLevelType w:val="hybridMultilevel"/>
    <w:tmpl w:val="CC241240"/>
    <w:lvl w:ilvl="0" w:tplc="924ACDC2">
      <w:start w:val="70"/>
      <w:numFmt w:val="bullet"/>
      <w:lvlText w:val="-"/>
      <w:lvlJc w:val="left"/>
      <w:pPr>
        <w:ind w:left="720" w:hanging="360"/>
      </w:pPr>
      <w:rPr>
        <w:rFonts w:ascii="Calibri" w:eastAsia="Times New Roman" w:hAnsi="Calibri"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256">
    <w:nsid w:val="4E654E99"/>
    <w:multiLevelType w:val="hybridMultilevel"/>
    <w:tmpl w:val="131C5E08"/>
    <w:lvl w:ilvl="0" w:tplc="2466B24E">
      <w:start w:val="1"/>
      <w:numFmt w:val="decimal"/>
      <w:lvlText w:val="%1."/>
      <w:lvlJc w:val="center"/>
      <w:pPr>
        <w:ind w:left="720" w:hanging="360"/>
      </w:pPr>
      <w:rPr>
        <w:rFonts w:hint="default"/>
      </w:rPr>
    </w:lvl>
    <w:lvl w:ilvl="1" w:tplc="041B0003">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257">
    <w:nsid w:val="4EC05857"/>
    <w:multiLevelType w:val="hybridMultilevel"/>
    <w:tmpl w:val="F2EAA7CE"/>
    <w:lvl w:ilvl="0" w:tplc="2466B24E">
      <w:start w:val="1"/>
      <w:numFmt w:val="decimal"/>
      <w:lvlText w:val="%1."/>
      <w:lvlJc w:val="center"/>
      <w:pPr>
        <w:ind w:left="720" w:hanging="360"/>
      </w:pPr>
      <w:rPr>
        <w:rFonts w:hint="default"/>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258">
    <w:nsid w:val="4F1C19C6"/>
    <w:multiLevelType w:val="hybridMultilevel"/>
    <w:tmpl w:val="D4F67572"/>
    <w:lvl w:ilvl="0" w:tplc="FFFFFFFF">
      <w:numFmt w:val="bullet"/>
      <w:lvlText w:val="-"/>
      <w:lvlJc w:val="left"/>
      <w:pPr>
        <w:ind w:left="720" w:hanging="360"/>
      </w:pPr>
      <w:rPr>
        <w:rFonts w:ascii="Arial" w:eastAsia="Times New Roman" w:hAnsi="Arial" w:cs="Times New Roman"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259">
    <w:nsid w:val="4F6D4DF8"/>
    <w:multiLevelType w:val="hybridMultilevel"/>
    <w:tmpl w:val="BAF26D72"/>
    <w:lvl w:ilvl="0" w:tplc="E4F663CC">
      <w:numFmt w:val="bullet"/>
      <w:lvlText w:val="•"/>
      <w:lvlJc w:val="left"/>
      <w:pPr>
        <w:ind w:left="720" w:hanging="360"/>
      </w:pPr>
      <w:rPr>
        <w:rFonts w:ascii="Calibri" w:eastAsia="Calibri" w:hAnsi="Calibri" w:cs="Times New Roman" w:hint="default"/>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260">
    <w:nsid w:val="4F814737"/>
    <w:multiLevelType w:val="multilevel"/>
    <w:tmpl w:val="8046A626"/>
    <w:lvl w:ilvl="0">
      <w:numFmt w:val="bullet"/>
      <w:lvlText w:val=""/>
      <w:lvlJc w:val="left"/>
      <w:pPr>
        <w:tabs>
          <w:tab w:val="num" w:pos="397"/>
        </w:tabs>
        <w:ind w:left="397" w:hanging="397"/>
      </w:pPr>
      <w:rPr>
        <w:rFonts w:ascii="Symbol" w:eastAsia="Times New Roman" w:hAnsi="Symbol" w:cs="Times New Roman" w:hint="default"/>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61">
    <w:nsid w:val="4FB22BC9"/>
    <w:multiLevelType w:val="multilevel"/>
    <w:tmpl w:val="1EAAA2B2"/>
    <w:lvl w:ilvl="0">
      <w:start w:val="1"/>
      <w:numFmt w:val="decimal"/>
      <w:suff w:val="space"/>
      <w:lvlText w:val="%1."/>
      <w:lvlJc w:val="left"/>
      <w:rPr>
        <w:rFonts w:cs="Times New Roman" w:hint="default"/>
      </w:rPr>
    </w:lvl>
    <w:lvl w:ilvl="1">
      <w:start w:val="1"/>
      <w:numFmt w:val="decimal"/>
      <w:suff w:val="space"/>
      <w:lvlText w:val="%1.%2."/>
      <w:lvlJc w:val="left"/>
      <w:rPr>
        <w:rFonts w:ascii="Times New Roman" w:hAnsi="Times New Roman" w:cs="Times New Roman"/>
        <w:b w:val="0"/>
        <w:bCs w:val="0"/>
        <w:i w:val="0"/>
        <w:iCs w:val="0"/>
        <w:caps w:val="0"/>
        <w:smallCaps w:val="0"/>
        <w:strike w:val="0"/>
        <w:dstrike w:val="0"/>
        <w:snapToGrid w:val="0"/>
        <w:vanish w:val="0"/>
        <w:color w:val="000000"/>
        <w:spacing w:val="0"/>
        <w:w w:val="0"/>
        <w:kern w:val="0"/>
        <w:position w:val="0"/>
        <w:sz w:val="20"/>
        <w:szCs w:val="20"/>
        <w:u w:val="none"/>
        <w:vertAlign w:val="baseline"/>
      </w:rPr>
    </w:lvl>
    <w:lvl w:ilvl="2">
      <w:numFmt w:val="none"/>
      <w:lvlText w:val=""/>
      <w:lvlJc w:val="left"/>
      <w:pPr>
        <w:tabs>
          <w:tab w:val="num" w:pos="360"/>
        </w:tabs>
      </w:pPr>
      <w:rPr>
        <w:rFonts w:cs="Times New Roman"/>
      </w:rPr>
    </w:lvl>
    <w:lvl w:ilvl="3">
      <w:numFmt w:val="none"/>
      <w:pStyle w:val="Nadpis4"/>
      <w:lvlText w:val=""/>
      <w:lvlJc w:val="left"/>
      <w:pPr>
        <w:tabs>
          <w:tab w:val="num" w:pos="360"/>
        </w:tabs>
      </w:pPr>
      <w:rPr>
        <w:rFonts w:cs="Times New Roman"/>
      </w:rPr>
    </w:lvl>
    <w:lvl w:ilvl="4">
      <w:numFmt w:val="none"/>
      <w:pStyle w:val="Nadpis5"/>
      <w:lvlText w:val=""/>
      <w:lvlJc w:val="left"/>
      <w:pPr>
        <w:tabs>
          <w:tab w:val="num" w:pos="360"/>
        </w:tabs>
      </w:pPr>
      <w:rPr>
        <w:rFonts w:cs="Times New Roman"/>
      </w:rPr>
    </w:lvl>
    <w:lvl w:ilvl="5">
      <w:numFmt w:val="none"/>
      <w:pStyle w:val="Nadpis6"/>
      <w:lvlText w:val=""/>
      <w:lvlJc w:val="left"/>
      <w:pPr>
        <w:tabs>
          <w:tab w:val="num" w:pos="360"/>
        </w:tabs>
      </w:pPr>
      <w:rPr>
        <w:rFonts w:cs="Times New Roman"/>
      </w:rPr>
    </w:lvl>
    <w:lvl w:ilvl="6">
      <w:numFmt w:val="none"/>
      <w:pStyle w:val="Nadpis7"/>
      <w:lvlText w:val=""/>
      <w:lvlJc w:val="left"/>
      <w:pPr>
        <w:tabs>
          <w:tab w:val="num" w:pos="360"/>
        </w:tabs>
      </w:pPr>
      <w:rPr>
        <w:rFonts w:cs="Times New Roman"/>
      </w:rPr>
    </w:lvl>
    <w:lvl w:ilvl="7">
      <w:numFmt w:val="none"/>
      <w:pStyle w:val="Nadpis8"/>
      <w:lvlText w:val=""/>
      <w:lvlJc w:val="left"/>
      <w:pPr>
        <w:tabs>
          <w:tab w:val="num" w:pos="360"/>
        </w:tabs>
      </w:pPr>
      <w:rPr>
        <w:rFonts w:cs="Times New Roman"/>
      </w:rPr>
    </w:lvl>
    <w:lvl w:ilvl="8">
      <w:numFmt w:val="none"/>
      <w:lvlText w:val=""/>
      <w:lvlJc w:val="left"/>
      <w:pPr>
        <w:tabs>
          <w:tab w:val="num" w:pos="360"/>
        </w:tabs>
      </w:pPr>
      <w:rPr>
        <w:rFonts w:cs="Times New Roman"/>
      </w:rPr>
    </w:lvl>
  </w:abstractNum>
  <w:abstractNum w:abstractNumId="262">
    <w:nsid w:val="4FD261BC"/>
    <w:multiLevelType w:val="hybridMultilevel"/>
    <w:tmpl w:val="6CC41AB0"/>
    <w:lvl w:ilvl="0" w:tplc="2466B24E">
      <w:start w:val="1"/>
      <w:numFmt w:val="decimal"/>
      <w:lvlText w:val="%1."/>
      <w:lvlJc w:val="center"/>
      <w:pPr>
        <w:ind w:left="720" w:hanging="360"/>
      </w:pPr>
      <w:rPr>
        <w:rFonts w:hint="default"/>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263">
    <w:nsid w:val="500762F6"/>
    <w:multiLevelType w:val="hybridMultilevel"/>
    <w:tmpl w:val="86422B86"/>
    <w:lvl w:ilvl="0" w:tplc="08090019">
      <w:start w:val="1"/>
      <w:numFmt w:val="lowerLetter"/>
      <w:lvlText w:val="%1."/>
      <w:lvlJc w:val="left"/>
      <w:pPr>
        <w:ind w:left="720" w:hanging="360"/>
      </w:pPr>
    </w:lvl>
    <w:lvl w:ilvl="1" w:tplc="041B0019">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264">
    <w:nsid w:val="509944DC"/>
    <w:multiLevelType w:val="hybridMultilevel"/>
    <w:tmpl w:val="44D6487E"/>
    <w:lvl w:ilvl="0" w:tplc="A0C2D74C">
      <w:start w:val="1"/>
      <w:numFmt w:val="lowerLetter"/>
      <w:lvlText w:val="%1)"/>
      <w:lvlJc w:val="left"/>
      <w:pPr>
        <w:ind w:left="644" w:hanging="360"/>
      </w:pPr>
      <w:rPr>
        <w:b w:val="0"/>
      </w:rPr>
    </w:lvl>
    <w:lvl w:ilvl="1" w:tplc="041B0019" w:tentative="1">
      <w:start w:val="1"/>
      <w:numFmt w:val="lowerLetter"/>
      <w:lvlText w:val="%2."/>
      <w:lvlJc w:val="left"/>
      <w:pPr>
        <w:ind w:left="1485" w:hanging="360"/>
      </w:pPr>
    </w:lvl>
    <w:lvl w:ilvl="2" w:tplc="041B001B" w:tentative="1">
      <w:start w:val="1"/>
      <w:numFmt w:val="lowerRoman"/>
      <w:lvlText w:val="%3."/>
      <w:lvlJc w:val="right"/>
      <w:pPr>
        <w:ind w:left="2205" w:hanging="180"/>
      </w:pPr>
    </w:lvl>
    <w:lvl w:ilvl="3" w:tplc="041B000F" w:tentative="1">
      <w:start w:val="1"/>
      <w:numFmt w:val="decimal"/>
      <w:lvlText w:val="%4."/>
      <w:lvlJc w:val="left"/>
      <w:pPr>
        <w:ind w:left="2925" w:hanging="360"/>
      </w:pPr>
    </w:lvl>
    <w:lvl w:ilvl="4" w:tplc="041B0019" w:tentative="1">
      <w:start w:val="1"/>
      <w:numFmt w:val="lowerLetter"/>
      <w:lvlText w:val="%5."/>
      <w:lvlJc w:val="left"/>
      <w:pPr>
        <w:ind w:left="3645" w:hanging="360"/>
      </w:pPr>
    </w:lvl>
    <w:lvl w:ilvl="5" w:tplc="041B001B" w:tentative="1">
      <w:start w:val="1"/>
      <w:numFmt w:val="lowerRoman"/>
      <w:lvlText w:val="%6."/>
      <w:lvlJc w:val="right"/>
      <w:pPr>
        <w:ind w:left="4365" w:hanging="180"/>
      </w:pPr>
    </w:lvl>
    <w:lvl w:ilvl="6" w:tplc="041B000F" w:tentative="1">
      <w:start w:val="1"/>
      <w:numFmt w:val="decimal"/>
      <w:lvlText w:val="%7."/>
      <w:lvlJc w:val="left"/>
      <w:pPr>
        <w:ind w:left="5085" w:hanging="360"/>
      </w:pPr>
    </w:lvl>
    <w:lvl w:ilvl="7" w:tplc="041B0019" w:tentative="1">
      <w:start w:val="1"/>
      <w:numFmt w:val="lowerLetter"/>
      <w:lvlText w:val="%8."/>
      <w:lvlJc w:val="left"/>
      <w:pPr>
        <w:ind w:left="5805" w:hanging="360"/>
      </w:pPr>
    </w:lvl>
    <w:lvl w:ilvl="8" w:tplc="041B001B" w:tentative="1">
      <w:start w:val="1"/>
      <w:numFmt w:val="lowerRoman"/>
      <w:lvlText w:val="%9."/>
      <w:lvlJc w:val="right"/>
      <w:pPr>
        <w:ind w:left="6525" w:hanging="180"/>
      </w:pPr>
    </w:lvl>
  </w:abstractNum>
  <w:abstractNum w:abstractNumId="265">
    <w:nsid w:val="51976393"/>
    <w:multiLevelType w:val="hybridMultilevel"/>
    <w:tmpl w:val="B3207C2A"/>
    <w:lvl w:ilvl="0" w:tplc="38D21BC8">
      <w:numFmt w:val="bullet"/>
      <w:lvlText w:val="-"/>
      <w:lvlJc w:val="left"/>
      <w:pPr>
        <w:ind w:left="720" w:hanging="360"/>
      </w:pPr>
      <w:rPr>
        <w:rFonts w:ascii="Calibri" w:eastAsia="Calibri" w:hAnsi="Calibri" w:cs="Calibri" w:hint="default"/>
        <w:sz w:val="22"/>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266">
    <w:nsid w:val="528C0F29"/>
    <w:multiLevelType w:val="hybridMultilevel"/>
    <w:tmpl w:val="89564BBE"/>
    <w:lvl w:ilvl="0" w:tplc="041B0001">
      <w:start w:val="1"/>
      <w:numFmt w:val="bullet"/>
      <w:lvlText w:val=""/>
      <w:lvlJc w:val="left"/>
      <w:pPr>
        <w:tabs>
          <w:tab w:val="num" w:pos="720"/>
        </w:tabs>
        <w:ind w:left="720" w:hanging="360"/>
      </w:pPr>
      <w:rPr>
        <w:rFonts w:ascii="Symbol" w:hAnsi="Symbol" w:hint="default"/>
      </w:rPr>
    </w:lvl>
    <w:lvl w:ilvl="1" w:tplc="041B0003">
      <w:start w:val="1"/>
      <w:numFmt w:val="bullet"/>
      <w:lvlText w:val="o"/>
      <w:lvlJc w:val="left"/>
      <w:pPr>
        <w:ind w:left="1440" w:hanging="360"/>
      </w:pPr>
      <w:rPr>
        <w:rFonts w:ascii="Courier New" w:hAnsi="Courier New" w:hint="default"/>
      </w:rPr>
    </w:lvl>
    <w:lvl w:ilvl="2" w:tplc="041B0005">
      <w:start w:val="1"/>
      <w:numFmt w:val="bullet"/>
      <w:lvlText w:val=""/>
      <w:lvlJc w:val="left"/>
      <w:pPr>
        <w:ind w:left="2160" w:hanging="360"/>
      </w:pPr>
      <w:rPr>
        <w:rFonts w:ascii="Wingdings" w:hAnsi="Wingdings" w:hint="default"/>
      </w:rPr>
    </w:lvl>
    <w:lvl w:ilvl="3" w:tplc="041B0001">
      <w:start w:val="1"/>
      <w:numFmt w:val="bullet"/>
      <w:lvlText w:val=""/>
      <w:lvlJc w:val="left"/>
      <w:pPr>
        <w:ind w:left="2880" w:hanging="360"/>
      </w:pPr>
      <w:rPr>
        <w:rFonts w:ascii="Symbol" w:hAnsi="Symbol" w:hint="default"/>
      </w:rPr>
    </w:lvl>
    <w:lvl w:ilvl="4" w:tplc="041B0003">
      <w:start w:val="1"/>
      <w:numFmt w:val="bullet"/>
      <w:lvlText w:val="o"/>
      <w:lvlJc w:val="left"/>
      <w:pPr>
        <w:ind w:left="3600" w:hanging="360"/>
      </w:pPr>
      <w:rPr>
        <w:rFonts w:ascii="Courier New" w:hAnsi="Courier New" w:hint="default"/>
      </w:rPr>
    </w:lvl>
    <w:lvl w:ilvl="5" w:tplc="041B0005">
      <w:start w:val="1"/>
      <w:numFmt w:val="bullet"/>
      <w:lvlText w:val=""/>
      <w:lvlJc w:val="left"/>
      <w:pPr>
        <w:ind w:left="4320" w:hanging="360"/>
      </w:pPr>
      <w:rPr>
        <w:rFonts w:ascii="Wingdings" w:hAnsi="Wingdings" w:hint="default"/>
      </w:rPr>
    </w:lvl>
    <w:lvl w:ilvl="6" w:tplc="041B0001">
      <w:start w:val="1"/>
      <w:numFmt w:val="bullet"/>
      <w:lvlText w:val=""/>
      <w:lvlJc w:val="left"/>
      <w:pPr>
        <w:ind w:left="5040" w:hanging="360"/>
      </w:pPr>
      <w:rPr>
        <w:rFonts w:ascii="Symbol" w:hAnsi="Symbol" w:hint="default"/>
      </w:rPr>
    </w:lvl>
    <w:lvl w:ilvl="7" w:tplc="041B0003">
      <w:start w:val="1"/>
      <w:numFmt w:val="bullet"/>
      <w:lvlText w:val="o"/>
      <w:lvlJc w:val="left"/>
      <w:pPr>
        <w:ind w:left="5760" w:hanging="360"/>
      </w:pPr>
      <w:rPr>
        <w:rFonts w:ascii="Courier New" w:hAnsi="Courier New" w:hint="default"/>
      </w:rPr>
    </w:lvl>
    <w:lvl w:ilvl="8" w:tplc="041B0005">
      <w:start w:val="1"/>
      <w:numFmt w:val="bullet"/>
      <w:lvlText w:val=""/>
      <w:lvlJc w:val="left"/>
      <w:pPr>
        <w:ind w:left="6480" w:hanging="360"/>
      </w:pPr>
      <w:rPr>
        <w:rFonts w:ascii="Wingdings" w:hAnsi="Wingdings" w:hint="default"/>
      </w:rPr>
    </w:lvl>
  </w:abstractNum>
  <w:abstractNum w:abstractNumId="267">
    <w:nsid w:val="52DA4775"/>
    <w:multiLevelType w:val="hybridMultilevel"/>
    <w:tmpl w:val="4E628642"/>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268">
    <w:nsid w:val="52E26C11"/>
    <w:multiLevelType w:val="hybridMultilevel"/>
    <w:tmpl w:val="1F3A6DEA"/>
    <w:lvl w:ilvl="0" w:tplc="106AF5B4">
      <w:start w:val="1"/>
      <w:numFmt w:val="bullet"/>
      <w:pStyle w:val="Zoznamsodrkami"/>
      <w:lvlText w:val=""/>
      <w:lvlJc w:val="left"/>
      <w:pPr>
        <w:tabs>
          <w:tab w:val="num" w:pos="720"/>
        </w:tabs>
        <w:ind w:left="720" w:hanging="360"/>
      </w:pPr>
      <w:rPr>
        <w:rFonts w:ascii="Symbol" w:hAnsi="Symbol" w:hint="default"/>
      </w:rPr>
    </w:lvl>
    <w:lvl w:ilvl="1" w:tplc="F7D069CE">
      <w:numFmt w:val="bullet"/>
      <w:lvlText w:val="–"/>
      <w:lvlJc w:val="left"/>
      <w:pPr>
        <w:tabs>
          <w:tab w:val="num" w:pos="1440"/>
        </w:tabs>
        <w:ind w:left="1440" w:hanging="360"/>
      </w:pPr>
      <w:rPr>
        <w:rFonts w:ascii="Times New Roman" w:eastAsia="Times New Roman" w:hAnsi="Times New Roman" w:hint="default"/>
      </w:rPr>
    </w:lvl>
    <w:lvl w:ilvl="2" w:tplc="041B0005">
      <w:start w:val="1"/>
      <w:numFmt w:val="bullet"/>
      <w:lvlText w:val=""/>
      <w:lvlJc w:val="left"/>
      <w:pPr>
        <w:tabs>
          <w:tab w:val="num" w:pos="2160"/>
        </w:tabs>
        <w:ind w:left="2160" w:hanging="360"/>
      </w:pPr>
      <w:rPr>
        <w:rFonts w:ascii="Wingdings" w:hAnsi="Wingdings" w:cs="Wingdings" w:hint="default"/>
      </w:rPr>
    </w:lvl>
    <w:lvl w:ilvl="3" w:tplc="041B0001">
      <w:start w:val="1"/>
      <w:numFmt w:val="bullet"/>
      <w:lvlText w:val=""/>
      <w:lvlJc w:val="left"/>
      <w:pPr>
        <w:tabs>
          <w:tab w:val="num" w:pos="2880"/>
        </w:tabs>
        <w:ind w:left="2880" w:hanging="360"/>
      </w:pPr>
      <w:rPr>
        <w:rFonts w:ascii="Symbol" w:hAnsi="Symbol" w:cs="Symbol" w:hint="default"/>
      </w:rPr>
    </w:lvl>
    <w:lvl w:ilvl="4" w:tplc="041B0003">
      <w:start w:val="1"/>
      <w:numFmt w:val="bullet"/>
      <w:lvlText w:val="o"/>
      <w:lvlJc w:val="left"/>
      <w:pPr>
        <w:tabs>
          <w:tab w:val="num" w:pos="3600"/>
        </w:tabs>
        <w:ind w:left="3600" w:hanging="360"/>
      </w:pPr>
      <w:rPr>
        <w:rFonts w:ascii="Courier New" w:hAnsi="Courier New" w:cs="Courier New" w:hint="default"/>
      </w:rPr>
    </w:lvl>
    <w:lvl w:ilvl="5" w:tplc="041B0005">
      <w:start w:val="1"/>
      <w:numFmt w:val="bullet"/>
      <w:lvlText w:val=""/>
      <w:lvlJc w:val="left"/>
      <w:pPr>
        <w:tabs>
          <w:tab w:val="num" w:pos="4320"/>
        </w:tabs>
        <w:ind w:left="4320" w:hanging="360"/>
      </w:pPr>
      <w:rPr>
        <w:rFonts w:ascii="Wingdings" w:hAnsi="Wingdings" w:cs="Wingdings" w:hint="default"/>
      </w:rPr>
    </w:lvl>
    <w:lvl w:ilvl="6" w:tplc="041B0001">
      <w:start w:val="1"/>
      <w:numFmt w:val="bullet"/>
      <w:lvlText w:val=""/>
      <w:lvlJc w:val="left"/>
      <w:pPr>
        <w:tabs>
          <w:tab w:val="num" w:pos="5040"/>
        </w:tabs>
        <w:ind w:left="5040" w:hanging="360"/>
      </w:pPr>
      <w:rPr>
        <w:rFonts w:ascii="Symbol" w:hAnsi="Symbol" w:cs="Symbol" w:hint="default"/>
      </w:rPr>
    </w:lvl>
    <w:lvl w:ilvl="7" w:tplc="041B0003">
      <w:start w:val="1"/>
      <w:numFmt w:val="bullet"/>
      <w:lvlText w:val="o"/>
      <w:lvlJc w:val="left"/>
      <w:pPr>
        <w:tabs>
          <w:tab w:val="num" w:pos="5760"/>
        </w:tabs>
        <w:ind w:left="5760" w:hanging="360"/>
      </w:pPr>
      <w:rPr>
        <w:rFonts w:ascii="Courier New" w:hAnsi="Courier New" w:cs="Courier New" w:hint="default"/>
      </w:rPr>
    </w:lvl>
    <w:lvl w:ilvl="8" w:tplc="041B0005">
      <w:start w:val="1"/>
      <w:numFmt w:val="bullet"/>
      <w:lvlText w:val=""/>
      <w:lvlJc w:val="left"/>
      <w:pPr>
        <w:tabs>
          <w:tab w:val="num" w:pos="6480"/>
        </w:tabs>
        <w:ind w:left="6480" w:hanging="360"/>
      </w:pPr>
      <w:rPr>
        <w:rFonts w:ascii="Wingdings" w:hAnsi="Wingdings" w:cs="Wingdings" w:hint="default"/>
      </w:rPr>
    </w:lvl>
  </w:abstractNum>
  <w:abstractNum w:abstractNumId="269">
    <w:nsid w:val="534F3E21"/>
    <w:multiLevelType w:val="hybridMultilevel"/>
    <w:tmpl w:val="6F581C12"/>
    <w:lvl w:ilvl="0" w:tplc="B0B243A6">
      <w:numFmt w:val="bullet"/>
      <w:lvlText w:val="•"/>
      <w:lvlJc w:val="left"/>
      <w:pPr>
        <w:ind w:left="720" w:hanging="360"/>
      </w:pPr>
      <w:rPr>
        <w:rFonts w:ascii="Calibri" w:eastAsia="Times New Roman" w:hAnsi="Calibri" w:cs="Times New Roman"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270">
    <w:nsid w:val="53616AEE"/>
    <w:multiLevelType w:val="hybridMultilevel"/>
    <w:tmpl w:val="1B4800CA"/>
    <w:lvl w:ilvl="0" w:tplc="8D4C07C2">
      <w:start w:val="1"/>
      <w:numFmt w:val="bullet"/>
      <w:lvlText w:val=""/>
      <w:lvlJc w:val="left"/>
      <w:pPr>
        <w:tabs>
          <w:tab w:val="num" w:pos="360"/>
        </w:tabs>
        <w:ind w:left="360" w:hanging="360"/>
      </w:pPr>
      <w:rPr>
        <w:rFonts w:ascii="Wingdings" w:hAnsi="Wingdings" w:hint="default"/>
        <w:color w:val="auto"/>
      </w:rPr>
    </w:lvl>
    <w:lvl w:ilvl="1" w:tplc="041B0003" w:tentative="1">
      <w:start w:val="1"/>
      <w:numFmt w:val="bullet"/>
      <w:lvlText w:val="o"/>
      <w:lvlJc w:val="left"/>
      <w:pPr>
        <w:tabs>
          <w:tab w:val="num" w:pos="1440"/>
        </w:tabs>
        <w:ind w:left="1440" w:hanging="360"/>
      </w:pPr>
      <w:rPr>
        <w:rFonts w:ascii="Courier New" w:hAnsi="Courier New" w:cs="Courier New" w:hint="default"/>
      </w:rPr>
    </w:lvl>
    <w:lvl w:ilvl="2" w:tplc="041B0005" w:tentative="1">
      <w:start w:val="1"/>
      <w:numFmt w:val="bullet"/>
      <w:lvlText w:val=""/>
      <w:lvlJc w:val="left"/>
      <w:pPr>
        <w:tabs>
          <w:tab w:val="num" w:pos="2160"/>
        </w:tabs>
        <w:ind w:left="2160" w:hanging="360"/>
      </w:pPr>
      <w:rPr>
        <w:rFonts w:ascii="Wingdings" w:hAnsi="Wingdings" w:hint="default"/>
      </w:rPr>
    </w:lvl>
    <w:lvl w:ilvl="3" w:tplc="041B0001" w:tentative="1">
      <w:start w:val="1"/>
      <w:numFmt w:val="bullet"/>
      <w:lvlText w:val=""/>
      <w:lvlJc w:val="left"/>
      <w:pPr>
        <w:tabs>
          <w:tab w:val="num" w:pos="2880"/>
        </w:tabs>
        <w:ind w:left="2880" w:hanging="360"/>
      </w:pPr>
      <w:rPr>
        <w:rFonts w:ascii="Symbol" w:hAnsi="Symbol" w:hint="default"/>
      </w:rPr>
    </w:lvl>
    <w:lvl w:ilvl="4" w:tplc="041B0003" w:tentative="1">
      <w:start w:val="1"/>
      <w:numFmt w:val="bullet"/>
      <w:lvlText w:val="o"/>
      <w:lvlJc w:val="left"/>
      <w:pPr>
        <w:tabs>
          <w:tab w:val="num" w:pos="3600"/>
        </w:tabs>
        <w:ind w:left="3600" w:hanging="360"/>
      </w:pPr>
      <w:rPr>
        <w:rFonts w:ascii="Courier New" w:hAnsi="Courier New" w:cs="Courier New" w:hint="default"/>
      </w:rPr>
    </w:lvl>
    <w:lvl w:ilvl="5" w:tplc="041B0005" w:tentative="1">
      <w:start w:val="1"/>
      <w:numFmt w:val="bullet"/>
      <w:lvlText w:val=""/>
      <w:lvlJc w:val="left"/>
      <w:pPr>
        <w:tabs>
          <w:tab w:val="num" w:pos="4320"/>
        </w:tabs>
        <w:ind w:left="4320" w:hanging="360"/>
      </w:pPr>
      <w:rPr>
        <w:rFonts w:ascii="Wingdings" w:hAnsi="Wingdings" w:hint="default"/>
      </w:rPr>
    </w:lvl>
    <w:lvl w:ilvl="6" w:tplc="041B0001" w:tentative="1">
      <w:start w:val="1"/>
      <w:numFmt w:val="bullet"/>
      <w:lvlText w:val=""/>
      <w:lvlJc w:val="left"/>
      <w:pPr>
        <w:tabs>
          <w:tab w:val="num" w:pos="5040"/>
        </w:tabs>
        <w:ind w:left="5040" w:hanging="360"/>
      </w:pPr>
      <w:rPr>
        <w:rFonts w:ascii="Symbol" w:hAnsi="Symbol" w:hint="default"/>
      </w:rPr>
    </w:lvl>
    <w:lvl w:ilvl="7" w:tplc="041B0003" w:tentative="1">
      <w:start w:val="1"/>
      <w:numFmt w:val="bullet"/>
      <w:lvlText w:val="o"/>
      <w:lvlJc w:val="left"/>
      <w:pPr>
        <w:tabs>
          <w:tab w:val="num" w:pos="5760"/>
        </w:tabs>
        <w:ind w:left="5760" w:hanging="360"/>
      </w:pPr>
      <w:rPr>
        <w:rFonts w:ascii="Courier New" w:hAnsi="Courier New" w:cs="Courier New" w:hint="default"/>
      </w:rPr>
    </w:lvl>
    <w:lvl w:ilvl="8" w:tplc="041B0005" w:tentative="1">
      <w:start w:val="1"/>
      <w:numFmt w:val="bullet"/>
      <w:lvlText w:val=""/>
      <w:lvlJc w:val="left"/>
      <w:pPr>
        <w:tabs>
          <w:tab w:val="num" w:pos="6480"/>
        </w:tabs>
        <w:ind w:left="6480" w:hanging="360"/>
      </w:pPr>
      <w:rPr>
        <w:rFonts w:ascii="Wingdings" w:hAnsi="Wingdings" w:hint="default"/>
      </w:rPr>
    </w:lvl>
  </w:abstractNum>
  <w:abstractNum w:abstractNumId="271">
    <w:nsid w:val="5377358B"/>
    <w:multiLevelType w:val="hybridMultilevel"/>
    <w:tmpl w:val="5426CC86"/>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272">
    <w:nsid w:val="539F4DA6"/>
    <w:multiLevelType w:val="hybridMultilevel"/>
    <w:tmpl w:val="92C4F872"/>
    <w:lvl w:ilvl="0" w:tplc="041B000F">
      <w:start w:val="1"/>
      <w:numFmt w:val="decimal"/>
      <w:lvlText w:val="%1."/>
      <w:lvlJc w:val="left"/>
      <w:pPr>
        <w:ind w:left="720" w:hanging="360"/>
      </w:p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273">
    <w:nsid w:val="53D14C4F"/>
    <w:multiLevelType w:val="hybridMultilevel"/>
    <w:tmpl w:val="74C2CE7E"/>
    <w:lvl w:ilvl="0" w:tplc="041B0001">
      <w:start w:val="1"/>
      <w:numFmt w:val="bullet"/>
      <w:lvlText w:val=""/>
      <w:lvlJc w:val="left"/>
      <w:pPr>
        <w:ind w:left="1202" w:hanging="360"/>
      </w:pPr>
      <w:rPr>
        <w:rFonts w:ascii="Symbol" w:hAnsi="Symbol" w:hint="default"/>
      </w:rPr>
    </w:lvl>
    <w:lvl w:ilvl="1" w:tplc="041B0003" w:tentative="1">
      <w:start w:val="1"/>
      <w:numFmt w:val="bullet"/>
      <w:lvlText w:val="o"/>
      <w:lvlJc w:val="left"/>
      <w:pPr>
        <w:ind w:left="1922" w:hanging="360"/>
      </w:pPr>
      <w:rPr>
        <w:rFonts w:ascii="Courier New" w:hAnsi="Courier New" w:cs="Courier New" w:hint="default"/>
      </w:rPr>
    </w:lvl>
    <w:lvl w:ilvl="2" w:tplc="041B0005" w:tentative="1">
      <w:start w:val="1"/>
      <w:numFmt w:val="bullet"/>
      <w:lvlText w:val=""/>
      <w:lvlJc w:val="left"/>
      <w:pPr>
        <w:ind w:left="2642" w:hanging="360"/>
      </w:pPr>
      <w:rPr>
        <w:rFonts w:ascii="Wingdings" w:hAnsi="Wingdings" w:hint="default"/>
      </w:rPr>
    </w:lvl>
    <w:lvl w:ilvl="3" w:tplc="041B0001" w:tentative="1">
      <w:start w:val="1"/>
      <w:numFmt w:val="bullet"/>
      <w:lvlText w:val=""/>
      <w:lvlJc w:val="left"/>
      <w:pPr>
        <w:ind w:left="3362" w:hanging="360"/>
      </w:pPr>
      <w:rPr>
        <w:rFonts w:ascii="Symbol" w:hAnsi="Symbol" w:hint="default"/>
      </w:rPr>
    </w:lvl>
    <w:lvl w:ilvl="4" w:tplc="041B0003" w:tentative="1">
      <w:start w:val="1"/>
      <w:numFmt w:val="bullet"/>
      <w:lvlText w:val="o"/>
      <w:lvlJc w:val="left"/>
      <w:pPr>
        <w:ind w:left="4082" w:hanging="360"/>
      </w:pPr>
      <w:rPr>
        <w:rFonts w:ascii="Courier New" w:hAnsi="Courier New" w:cs="Courier New" w:hint="default"/>
      </w:rPr>
    </w:lvl>
    <w:lvl w:ilvl="5" w:tplc="041B0005" w:tentative="1">
      <w:start w:val="1"/>
      <w:numFmt w:val="bullet"/>
      <w:lvlText w:val=""/>
      <w:lvlJc w:val="left"/>
      <w:pPr>
        <w:ind w:left="4802" w:hanging="360"/>
      </w:pPr>
      <w:rPr>
        <w:rFonts w:ascii="Wingdings" w:hAnsi="Wingdings" w:hint="default"/>
      </w:rPr>
    </w:lvl>
    <w:lvl w:ilvl="6" w:tplc="041B0001" w:tentative="1">
      <w:start w:val="1"/>
      <w:numFmt w:val="bullet"/>
      <w:lvlText w:val=""/>
      <w:lvlJc w:val="left"/>
      <w:pPr>
        <w:ind w:left="5522" w:hanging="360"/>
      </w:pPr>
      <w:rPr>
        <w:rFonts w:ascii="Symbol" w:hAnsi="Symbol" w:hint="default"/>
      </w:rPr>
    </w:lvl>
    <w:lvl w:ilvl="7" w:tplc="041B0003" w:tentative="1">
      <w:start w:val="1"/>
      <w:numFmt w:val="bullet"/>
      <w:lvlText w:val="o"/>
      <w:lvlJc w:val="left"/>
      <w:pPr>
        <w:ind w:left="6242" w:hanging="360"/>
      </w:pPr>
      <w:rPr>
        <w:rFonts w:ascii="Courier New" w:hAnsi="Courier New" w:cs="Courier New" w:hint="default"/>
      </w:rPr>
    </w:lvl>
    <w:lvl w:ilvl="8" w:tplc="041B0005" w:tentative="1">
      <w:start w:val="1"/>
      <w:numFmt w:val="bullet"/>
      <w:lvlText w:val=""/>
      <w:lvlJc w:val="left"/>
      <w:pPr>
        <w:ind w:left="6962" w:hanging="360"/>
      </w:pPr>
      <w:rPr>
        <w:rFonts w:ascii="Wingdings" w:hAnsi="Wingdings" w:hint="default"/>
      </w:rPr>
    </w:lvl>
  </w:abstractNum>
  <w:abstractNum w:abstractNumId="274">
    <w:nsid w:val="53DD09E2"/>
    <w:multiLevelType w:val="hybridMultilevel"/>
    <w:tmpl w:val="DC484372"/>
    <w:lvl w:ilvl="0" w:tplc="2466B24E">
      <w:start w:val="1"/>
      <w:numFmt w:val="decimal"/>
      <w:lvlText w:val="%1."/>
      <w:lvlJc w:val="center"/>
      <w:pPr>
        <w:ind w:left="1065" w:hanging="705"/>
      </w:pPr>
      <w:rPr>
        <w:rFonts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275">
    <w:nsid w:val="53EB2E18"/>
    <w:multiLevelType w:val="hybridMultilevel"/>
    <w:tmpl w:val="92229F7A"/>
    <w:lvl w:ilvl="0" w:tplc="041B000B">
      <w:start w:val="1"/>
      <w:numFmt w:val="bullet"/>
      <w:lvlText w:val=""/>
      <w:lvlJc w:val="left"/>
      <w:pPr>
        <w:ind w:left="720" w:hanging="360"/>
      </w:pPr>
      <w:rPr>
        <w:rFonts w:ascii="Wingdings" w:hAnsi="Wingdings"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276">
    <w:nsid w:val="54300684"/>
    <w:multiLevelType w:val="hybridMultilevel"/>
    <w:tmpl w:val="699AA6BC"/>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277">
    <w:nsid w:val="54DF3390"/>
    <w:multiLevelType w:val="hybridMultilevel"/>
    <w:tmpl w:val="CC5C9CB4"/>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278">
    <w:nsid w:val="54E36263"/>
    <w:multiLevelType w:val="hybridMultilevel"/>
    <w:tmpl w:val="7C3466BC"/>
    <w:lvl w:ilvl="0" w:tplc="4A6C7A02">
      <w:start w:val="1"/>
      <w:numFmt w:val="bullet"/>
      <w:lvlText w:val="-"/>
      <w:lvlJc w:val="left"/>
      <w:pPr>
        <w:ind w:left="720" w:hanging="360"/>
      </w:pPr>
      <w:rPr>
        <w:rFonts w:ascii="Calibri" w:eastAsia="Times New Roman" w:hAnsi="Calibri" w:cs="Calibri" w:hint="default"/>
        <w:caps/>
        <w:sz w:val="24"/>
        <w:szCs w:val="24"/>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279">
    <w:nsid w:val="552F441D"/>
    <w:multiLevelType w:val="hybridMultilevel"/>
    <w:tmpl w:val="8918C176"/>
    <w:lvl w:ilvl="0" w:tplc="041B000F">
      <w:start w:val="1"/>
      <w:numFmt w:val="decimal"/>
      <w:lvlText w:val="%1."/>
      <w:lvlJc w:val="left"/>
      <w:pPr>
        <w:ind w:left="720" w:hanging="360"/>
      </w:p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280">
    <w:nsid w:val="55305C8E"/>
    <w:multiLevelType w:val="hybridMultilevel"/>
    <w:tmpl w:val="1256ED20"/>
    <w:lvl w:ilvl="0" w:tplc="041B0001">
      <w:start w:val="1"/>
      <w:numFmt w:val="bullet"/>
      <w:lvlText w:val=""/>
      <w:lvlJc w:val="left"/>
      <w:pPr>
        <w:tabs>
          <w:tab w:val="num" w:pos="360"/>
        </w:tabs>
        <w:ind w:left="360" w:hanging="360"/>
      </w:pPr>
      <w:rPr>
        <w:rFonts w:ascii="Symbol" w:hAnsi="Symbol" w:hint="default"/>
      </w:rPr>
    </w:lvl>
    <w:lvl w:ilvl="1" w:tplc="041B0003" w:tentative="1">
      <w:start w:val="1"/>
      <w:numFmt w:val="bullet"/>
      <w:lvlText w:val="o"/>
      <w:lvlJc w:val="left"/>
      <w:pPr>
        <w:tabs>
          <w:tab w:val="num" w:pos="1080"/>
        </w:tabs>
        <w:ind w:left="1080" w:hanging="360"/>
      </w:pPr>
      <w:rPr>
        <w:rFonts w:ascii="Courier New" w:hAnsi="Courier New" w:cs="Courier New" w:hint="default"/>
      </w:rPr>
    </w:lvl>
    <w:lvl w:ilvl="2" w:tplc="041B0005" w:tentative="1">
      <w:start w:val="1"/>
      <w:numFmt w:val="bullet"/>
      <w:lvlText w:val=""/>
      <w:lvlJc w:val="left"/>
      <w:pPr>
        <w:tabs>
          <w:tab w:val="num" w:pos="1800"/>
        </w:tabs>
        <w:ind w:left="1800" w:hanging="360"/>
      </w:pPr>
      <w:rPr>
        <w:rFonts w:ascii="Wingdings" w:hAnsi="Wingdings" w:hint="default"/>
      </w:rPr>
    </w:lvl>
    <w:lvl w:ilvl="3" w:tplc="041B0001" w:tentative="1">
      <w:start w:val="1"/>
      <w:numFmt w:val="bullet"/>
      <w:lvlText w:val=""/>
      <w:lvlJc w:val="left"/>
      <w:pPr>
        <w:tabs>
          <w:tab w:val="num" w:pos="2520"/>
        </w:tabs>
        <w:ind w:left="2520" w:hanging="360"/>
      </w:pPr>
      <w:rPr>
        <w:rFonts w:ascii="Symbol" w:hAnsi="Symbol" w:hint="default"/>
      </w:rPr>
    </w:lvl>
    <w:lvl w:ilvl="4" w:tplc="041B0003" w:tentative="1">
      <w:start w:val="1"/>
      <w:numFmt w:val="bullet"/>
      <w:lvlText w:val="o"/>
      <w:lvlJc w:val="left"/>
      <w:pPr>
        <w:tabs>
          <w:tab w:val="num" w:pos="3240"/>
        </w:tabs>
        <w:ind w:left="3240" w:hanging="360"/>
      </w:pPr>
      <w:rPr>
        <w:rFonts w:ascii="Courier New" w:hAnsi="Courier New" w:cs="Courier New" w:hint="default"/>
      </w:rPr>
    </w:lvl>
    <w:lvl w:ilvl="5" w:tplc="041B0005" w:tentative="1">
      <w:start w:val="1"/>
      <w:numFmt w:val="bullet"/>
      <w:lvlText w:val=""/>
      <w:lvlJc w:val="left"/>
      <w:pPr>
        <w:tabs>
          <w:tab w:val="num" w:pos="3960"/>
        </w:tabs>
        <w:ind w:left="3960" w:hanging="360"/>
      </w:pPr>
      <w:rPr>
        <w:rFonts w:ascii="Wingdings" w:hAnsi="Wingdings" w:hint="default"/>
      </w:rPr>
    </w:lvl>
    <w:lvl w:ilvl="6" w:tplc="041B0001" w:tentative="1">
      <w:start w:val="1"/>
      <w:numFmt w:val="bullet"/>
      <w:lvlText w:val=""/>
      <w:lvlJc w:val="left"/>
      <w:pPr>
        <w:tabs>
          <w:tab w:val="num" w:pos="4680"/>
        </w:tabs>
        <w:ind w:left="4680" w:hanging="360"/>
      </w:pPr>
      <w:rPr>
        <w:rFonts w:ascii="Symbol" w:hAnsi="Symbol" w:hint="default"/>
      </w:rPr>
    </w:lvl>
    <w:lvl w:ilvl="7" w:tplc="041B0003" w:tentative="1">
      <w:start w:val="1"/>
      <w:numFmt w:val="bullet"/>
      <w:lvlText w:val="o"/>
      <w:lvlJc w:val="left"/>
      <w:pPr>
        <w:tabs>
          <w:tab w:val="num" w:pos="5400"/>
        </w:tabs>
        <w:ind w:left="5400" w:hanging="360"/>
      </w:pPr>
      <w:rPr>
        <w:rFonts w:ascii="Courier New" w:hAnsi="Courier New" w:cs="Courier New" w:hint="default"/>
      </w:rPr>
    </w:lvl>
    <w:lvl w:ilvl="8" w:tplc="041B0005" w:tentative="1">
      <w:start w:val="1"/>
      <w:numFmt w:val="bullet"/>
      <w:lvlText w:val=""/>
      <w:lvlJc w:val="left"/>
      <w:pPr>
        <w:tabs>
          <w:tab w:val="num" w:pos="6120"/>
        </w:tabs>
        <w:ind w:left="6120" w:hanging="360"/>
      </w:pPr>
      <w:rPr>
        <w:rFonts w:ascii="Wingdings" w:hAnsi="Wingdings" w:hint="default"/>
      </w:rPr>
    </w:lvl>
  </w:abstractNum>
  <w:abstractNum w:abstractNumId="281">
    <w:nsid w:val="553B11E0"/>
    <w:multiLevelType w:val="multilevel"/>
    <w:tmpl w:val="EBD028F0"/>
    <w:lvl w:ilvl="0">
      <w:start w:val="5"/>
      <w:numFmt w:val="decimal"/>
      <w:lvlText w:val="%1."/>
      <w:lvlJc w:val="left"/>
      <w:pPr>
        <w:ind w:left="420" w:hanging="42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82">
    <w:nsid w:val="55821846"/>
    <w:multiLevelType w:val="hybridMultilevel"/>
    <w:tmpl w:val="64D6D766"/>
    <w:lvl w:ilvl="0" w:tplc="041B0017">
      <w:start w:val="1"/>
      <w:numFmt w:val="lowerLetter"/>
      <w:lvlText w:val="%1)"/>
      <w:lvlJc w:val="left"/>
      <w:pPr>
        <w:ind w:left="720" w:hanging="360"/>
      </w:pPr>
    </w:lvl>
    <w:lvl w:ilvl="1" w:tplc="041B0017">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283">
    <w:nsid w:val="55D22436"/>
    <w:multiLevelType w:val="hybridMultilevel"/>
    <w:tmpl w:val="CDF822F0"/>
    <w:lvl w:ilvl="0" w:tplc="D968098C">
      <w:start w:val="5"/>
      <w:numFmt w:val="bullet"/>
      <w:lvlText w:val="-"/>
      <w:lvlJc w:val="left"/>
      <w:pPr>
        <w:ind w:left="720" w:hanging="360"/>
      </w:pPr>
      <w:rPr>
        <w:rFonts w:ascii="Calibri" w:eastAsia="Calibri" w:hAnsi="Calibri" w:cs="Calibri"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284">
    <w:nsid w:val="55EA467D"/>
    <w:multiLevelType w:val="hybridMultilevel"/>
    <w:tmpl w:val="211C7576"/>
    <w:lvl w:ilvl="0" w:tplc="38D21BC8">
      <w:numFmt w:val="bullet"/>
      <w:lvlText w:val="-"/>
      <w:lvlJc w:val="left"/>
      <w:pPr>
        <w:ind w:left="720" w:hanging="360"/>
      </w:pPr>
      <w:rPr>
        <w:rFonts w:ascii="Calibri" w:eastAsia="Calibri" w:hAnsi="Calibri" w:cs="Calibri" w:hint="default"/>
        <w:sz w:val="22"/>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285">
    <w:nsid w:val="561A5FF8"/>
    <w:multiLevelType w:val="hybridMultilevel"/>
    <w:tmpl w:val="F2266068"/>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286">
    <w:nsid w:val="567C110F"/>
    <w:multiLevelType w:val="hybridMultilevel"/>
    <w:tmpl w:val="20E2E82A"/>
    <w:lvl w:ilvl="0" w:tplc="041B000F">
      <w:start w:val="1"/>
      <w:numFmt w:val="decimal"/>
      <w:lvlText w:val="%1."/>
      <w:lvlJc w:val="left"/>
      <w:pPr>
        <w:ind w:left="720" w:hanging="360"/>
      </w:p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287">
    <w:nsid w:val="569E3DFA"/>
    <w:multiLevelType w:val="hybridMultilevel"/>
    <w:tmpl w:val="C9B80D42"/>
    <w:lvl w:ilvl="0" w:tplc="38D21BC8">
      <w:numFmt w:val="bullet"/>
      <w:lvlText w:val="-"/>
      <w:lvlJc w:val="left"/>
      <w:pPr>
        <w:ind w:left="720" w:hanging="360"/>
      </w:pPr>
      <w:rPr>
        <w:rFonts w:ascii="Calibri" w:eastAsia="Calibri" w:hAnsi="Calibri" w:cs="Calibri" w:hint="default"/>
        <w:sz w:val="22"/>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288">
    <w:nsid w:val="572B476A"/>
    <w:multiLevelType w:val="hybridMultilevel"/>
    <w:tmpl w:val="D18A4C06"/>
    <w:lvl w:ilvl="0" w:tplc="AD4AA486">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289">
    <w:nsid w:val="57576236"/>
    <w:multiLevelType w:val="hybridMultilevel"/>
    <w:tmpl w:val="F6802188"/>
    <w:lvl w:ilvl="0" w:tplc="041B0001">
      <w:start w:val="1"/>
      <w:numFmt w:val="bullet"/>
      <w:lvlText w:val=""/>
      <w:lvlJc w:val="left"/>
      <w:pPr>
        <w:tabs>
          <w:tab w:val="num" w:pos="720"/>
        </w:tabs>
        <w:ind w:left="720" w:hanging="360"/>
      </w:pPr>
      <w:rPr>
        <w:rFonts w:ascii="Symbol" w:hAnsi="Symbol" w:hint="default"/>
      </w:rPr>
    </w:lvl>
    <w:lvl w:ilvl="1" w:tplc="041B0003" w:tentative="1">
      <w:start w:val="1"/>
      <w:numFmt w:val="bullet"/>
      <w:lvlText w:val="o"/>
      <w:lvlJc w:val="left"/>
      <w:pPr>
        <w:tabs>
          <w:tab w:val="num" w:pos="1440"/>
        </w:tabs>
        <w:ind w:left="1440" w:hanging="360"/>
      </w:pPr>
      <w:rPr>
        <w:rFonts w:ascii="Courier New" w:hAnsi="Courier New" w:cs="Courier New" w:hint="default"/>
      </w:rPr>
    </w:lvl>
    <w:lvl w:ilvl="2" w:tplc="041B0005" w:tentative="1">
      <w:start w:val="1"/>
      <w:numFmt w:val="bullet"/>
      <w:lvlText w:val=""/>
      <w:lvlJc w:val="left"/>
      <w:pPr>
        <w:tabs>
          <w:tab w:val="num" w:pos="2160"/>
        </w:tabs>
        <w:ind w:left="2160" w:hanging="360"/>
      </w:pPr>
      <w:rPr>
        <w:rFonts w:ascii="Wingdings" w:hAnsi="Wingdings" w:hint="default"/>
      </w:rPr>
    </w:lvl>
    <w:lvl w:ilvl="3" w:tplc="041B0001" w:tentative="1">
      <w:start w:val="1"/>
      <w:numFmt w:val="bullet"/>
      <w:lvlText w:val=""/>
      <w:lvlJc w:val="left"/>
      <w:pPr>
        <w:tabs>
          <w:tab w:val="num" w:pos="2880"/>
        </w:tabs>
        <w:ind w:left="2880" w:hanging="360"/>
      </w:pPr>
      <w:rPr>
        <w:rFonts w:ascii="Symbol" w:hAnsi="Symbol" w:hint="default"/>
      </w:rPr>
    </w:lvl>
    <w:lvl w:ilvl="4" w:tplc="041B0003" w:tentative="1">
      <w:start w:val="1"/>
      <w:numFmt w:val="bullet"/>
      <w:lvlText w:val="o"/>
      <w:lvlJc w:val="left"/>
      <w:pPr>
        <w:tabs>
          <w:tab w:val="num" w:pos="3600"/>
        </w:tabs>
        <w:ind w:left="3600" w:hanging="360"/>
      </w:pPr>
      <w:rPr>
        <w:rFonts w:ascii="Courier New" w:hAnsi="Courier New" w:cs="Courier New" w:hint="default"/>
      </w:rPr>
    </w:lvl>
    <w:lvl w:ilvl="5" w:tplc="041B0005" w:tentative="1">
      <w:start w:val="1"/>
      <w:numFmt w:val="bullet"/>
      <w:lvlText w:val=""/>
      <w:lvlJc w:val="left"/>
      <w:pPr>
        <w:tabs>
          <w:tab w:val="num" w:pos="4320"/>
        </w:tabs>
        <w:ind w:left="4320" w:hanging="360"/>
      </w:pPr>
      <w:rPr>
        <w:rFonts w:ascii="Wingdings" w:hAnsi="Wingdings" w:hint="default"/>
      </w:rPr>
    </w:lvl>
    <w:lvl w:ilvl="6" w:tplc="041B0001" w:tentative="1">
      <w:start w:val="1"/>
      <w:numFmt w:val="bullet"/>
      <w:lvlText w:val=""/>
      <w:lvlJc w:val="left"/>
      <w:pPr>
        <w:tabs>
          <w:tab w:val="num" w:pos="5040"/>
        </w:tabs>
        <w:ind w:left="5040" w:hanging="360"/>
      </w:pPr>
      <w:rPr>
        <w:rFonts w:ascii="Symbol" w:hAnsi="Symbol" w:hint="default"/>
      </w:rPr>
    </w:lvl>
    <w:lvl w:ilvl="7" w:tplc="041B0003" w:tentative="1">
      <w:start w:val="1"/>
      <w:numFmt w:val="bullet"/>
      <w:lvlText w:val="o"/>
      <w:lvlJc w:val="left"/>
      <w:pPr>
        <w:tabs>
          <w:tab w:val="num" w:pos="5760"/>
        </w:tabs>
        <w:ind w:left="5760" w:hanging="360"/>
      </w:pPr>
      <w:rPr>
        <w:rFonts w:ascii="Courier New" w:hAnsi="Courier New" w:cs="Courier New" w:hint="default"/>
      </w:rPr>
    </w:lvl>
    <w:lvl w:ilvl="8" w:tplc="041B0005" w:tentative="1">
      <w:start w:val="1"/>
      <w:numFmt w:val="bullet"/>
      <w:lvlText w:val=""/>
      <w:lvlJc w:val="left"/>
      <w:pPr>
        <w:tabs>
          <w:tab w:val="num" w:pos="6480"/>
        </w:tabs>
        <w:ind w:left="6480" w:hanging="360"/>
      </w:pPr>
      <w:rPr>
        <w:rFonts w:ascii="Wingdings" w:hAnsi="Wingdings" w:hint="default"/>
      </w:rPr>
    </w:lvl>
  </w:abstractNum>
  <w:abstractNum w:abstractNumId="290">
    <w:nsid w:val="57872CCE"/>
    <w:multiLevelType w:val="hybridMultilevel"/>
    <w:tmpl w:val="192C0B88"/>
    <w:lvl w:ilvl="0" w:tplc="041B0001">
      <w:start w:val="1"/>
      <w:numFmt w:val="bullet"/>
      <w:lvlText w:val=""/>
      <w:lvlJc w:val="left"/>
      <w:pPr>
        <w:ind w:left="1495"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291">
    <w:nsid w:val="582373B5"/>
    <w:multiLevelType w:val="hybridMultilevel"/>
    <w:tmpl w:val="10E0C6C2"/>
    <w:lvl w:ilvl="0" w:tplc="041B0001">
      <w:start w:val="1"/>
      <w:numFmt w:val="bullet"/>
      <w:lvlText w:val=""/>
      <w:lvlJc w:val="left"/>
      <w:pPr>
        <w:ind w:left="720" w:hanging="360"/>
      </w:pPr>
      <w:rPr>
        <w:rFonts w:ascii="Symbol" w:hAnsi="Symbol" w:hint="default"/>
      </w:rPr>
    </w:lvl>
    <w:lvl w:ilvl="1" w:tplc="041B0003">
      <w:start w:val="1"/>
      <w:numFmt w:val="bullet"/>
      <w:lvlText w:val="o"/>
      <w:lvlJc w:val="left"/>
      <w:pPr>
        <w:ind w:left="1440" w:hanging="360"/>
      </w:pPr>
      <w:rPr>
        <w:rFonts w:ascii="Courier New" w:hAnsi="Courier New" w:cs="Courier New" w:hint="default"/>
      </w:rPr>
    </w:lvl>
    <w:lvl w:ilvl="2" w:tplc="041B0005">
      <w:start w:val="1"/>
      <w:numFmt w:val="bullet"/>
      <w:lvlText w:val=""/>
      <w:lvlJc w:val="left"/>
      <w:pPr>
        <w:ind w:left="2160" w:hanging="360"/>
      </w:pPr>
      <w:rPr>
        <w:rFonts w:ascii="Wingdings" w:hAnsi="Wingdings" w:cs="Wingdings" w:hint="default"/>
      </w:rPr>
    </w:lvl>
    <w:lvl w:ilvl="3" w:tplc="041B0001">
      <w:start w:val="1"/>
      <w:numFmt w:val="bullet"/>
      <w:lvlText w:val=""/>
      <w:lvlJc w:val="left"/>
      <w:pPr>
        <w:ind w:left="2880" w:hanging="360"/>
      </w:pPr>
      <w:rPr>
        <w:rFonts w:ascii="Symbol" w:hAnsi="Symbol" w:cs="Symbol" w:hint="default"/>
      </w:rPr>
    </w:lvl>
    <w:lvl w:ilvl="4" w:tplc="041B0003">
      <w:start w:val="1"/>
      <w:numFmt w:val="bullet"/>
      <w:lvlText w:val="o"/>
      <w:lvlJc w:val="left"/>
      <w:pPr>
        <w:ind w:left="3600" w:hanging="360"/>
      </w:pPr>
      <w:rPr>
        <w:rFonts w:ascii="Courier New" w:hAnsi="Courier New" w:cs="Courier New" w:hint="default"/>
      </w:rPr>
    </w:lvl>
    <w:lvl w:ilvl="5" w:tplc="041B0005">
      <w:start w:val="1"/>
      <w:numFmt w:val="bullet"/>
      <w:lvlText w:val=""/>
      <w:lvlJc w:val="left"/>
      <w:pPr>
        <w:ind w:left="4320" w:hanging="360"/>
      </w:pPr>
      <w:rPr>
        <w:rFonts w:ascii="Wingdings" w:hAnsi="Wingdings" w:cs="Wingdings" w:hint="default"/>
      </w:rPr>
    </w:lvl>
    <w:lvl w:ilvl="6" w:tplc="041B0001">
      <w:start w:val="1"/>
      <w:numFmt w:val="bullet"/>
      <w:lvlText w:val=""/>
      <w:lvlJc w:val="left"/>
      <w:pPr>
        <w:ind w:left="5040" w:hanging="360"/>
      </w:pPr>
      <w:rPr>
        <w:rFonts w:ascii="Symbol" w:hAnsi="Symbol" w:cs="Symbol" w:hint="default"/>
      </w:rPr>
    </w:lvl>
    <w:lvl w:ilvl="7" w:tplc="041B0003">
      <w:start w:val="1"/>
      <w:numFmt w:val="bullet"/>
      <w:lvlText w:val="o"/>
      <w:lvlJc w:val="left"/>
      <w:pPr>
        <w:ind w:left="5760" w:hanging="360"/>
      </w:pPr>
      <w:rPr>
        <w:rFonts w:ascii="Courier New" w:hAnsi="Courier New" w:cs="Courier New" w:hint="default"/>
      </w:rPr>
    </w:lvl>
    <w:lvl w:ilvl="8" w:tplc="041B0005">
      <w:start w:val="1"/>
      <w:numFmt w:val="bullet"/>
      <w:lvlText w:val=""/>
      <w:lvlJc w:val="left"/>
      <w:pPr>
        <w:ind w:left="6480" w:hanging="360"/>
      </w:pPr>
      <w:rPr>
        <w:rFonts w:ascii="Wingdings" w:hAnsi="Wingdings" w:cs="Wingdings" w:hint="default"/>
      </w:rPr>
    </w:lvl>
  </w:abstractNum>
  <w:abstractNum w:abstractNumId="292">
    <w:nsid w:val="58556C65"/>
    <w:multiLevelType w:val="hybridMultilevel"/>
    <w:tmpl w:val="3AA42CF0"/>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293">
    <w:nsid w:val="586C600C"/>
    <w:multiLevelType w:val="multilevel"/>
    <w:tmpl w:val="0BF0319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294">
    <w:nsid w:val="59206529"/>
    <w:multiLevelType w:val="hybridMultilevel"/>
    <w:tmpl w:val="6786E9FE"/>
    <w:lvl w:ilvl="0" w:tplc="924ACDC2">
      <w:start w:val="70"/>
      <w:numFmt w:val="bullet"/>
      <w:lvlText w:val="-"/>
      <w:lvlJc w:val="left"/>
      <w:pPr>
        <w:ind w:left="720" w:hanging="360"/>
      </w:pPr>
      <w:rPr>
        <w:rFonts w:ascii="Calibri" w:eastAsia="Times New Roman" w:hAnsi="Calibri"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295">
    <w:nsid w:val="59497F67"/>
    <w:multiLevelType w:val="hybridMultilevel"/>
    <w:tmpl w:val="AE28C76E"/>
    <w:lvl w:ilvl="0" w:tplc="2466B24E">
      <w:start w:val="1"/>
      <w:numFmt w:val="decimal"/>
      <w:lvlText w:val="%1."/>
      <w:lvlJc w:val="center"/>
      <w:pPr>
        <w:ind w:left="720" w:hanging="360"/>
      </w:pPr>
      <w:rPr>
        <w:rFonts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296">
    <w:nsid w:val="59845B19"/>
    <w:multiLevelType w:val="hybridMultilevel"/>
    <w:tmpl w:val="16225598"/>
    <w:lvl w:ilvl="0" w:tplc="674E832A">
      <w:numFmt w:val="bullet"/>
      <w:lvlText w:val="-"/>
      <w:lvlJc w:val="left"/>
      <w:pPr>
        <w:ind w:left="720" w:hanging="360"/>
      </w:pPr>
      <w:rPr>
        <w:rFonts w:ascii="Calibri" w:eastAsia="Times New Roman" w:hAnsi="Calibri" w:cs="Times New Roman"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297">
    <w:nsid w:val="59E27387"/>
    <w:multiLevelType w:val="hybridMultilevel"/>
    <w:tmpl w:val="AC7A3E94"/>
    <w:lvl w:ilvl="0" w:tplc="D968098C">
      <w:start w:val="5"/>
      <w:numFmt w:val="bullet"/>
      <w:lvlText w:val="-"/>
      <w:lvlJc w:val="left"/>
      <w:pPr>
        <w:ind w:left="720" w:hanging="360"/>
      </w:pPr>
      <w:rPr>
        <w:rFonts w:ascii="Calibri" w:eastAsia="Calibri" w:hAnsi="Calibri" w:cs="Calibri"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298">
    <w:nsid w:val="5A7335B3"/>
    <w:multiLevelType w:val="hybridMultilevel"/>
    <w:tmpl w:val="A22297B8"/>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299">
    <w:nsid w:val="5A8C63BD"/>
    <w:multiLevelType w:val="hybridMultilevel"/>
    <w:tmpl w:val="51A23B1E"/>
    <w:lvl w:ilvl="0" w:tplc="8D4C07C2">
      <w:start w:val="1"/>
      <w:numFmt w:val="bullet"/>
      <w:lvlText w:val=""/>
      <w:lvlJc w:val="left"/>
      <w:pPr>
        <w:tabs>
          <w:tab w:val="num" w:pos="360"/>
        </w:tabs>
        <w:ind w:left="360" w:hanging="360"/>
      </w:pPr>
      <w:rPr>
        <w:rFonts w:ascii="Wingdings" w:hAnsi="Wingdings" w:hint="default"/>
        <w:color w:val="auto"/>
      </w:rPr>
    </w:lvl>
    <w:lvl w:ilvl="1" w:tplc="041B0003" w:tentative="1">
      <w:start w:val="1"/>
      <w:numFmt w:val="bullet"/>
      <w:lvlText w:val="o"/>
      <w:lvlJc w:val="left"/>
      <w:pPr>
        <w:tabs>
          <w:tab w:val="num" w:pos="1440"/>
        </w:tabs>
        <w:ind w:left="1440" w:hanging="360"/>
      </w:pPr>
      <w:rPr>
        <w:rFonts w:ascii="Courier New" w:hAnsi="Courier New" w:cs="Courier New" w:hint="default"/>
      </w:rPr>
    </w:lvl>
    <w:lvl w:ilvl="2" w:tplc="041B0005" w:tentative="1">
      <w:start w:val="1"/>
      <w:numFmt w:val="bullet"/>
      <w:lvlText w:val=""/>
      <w:lvlJc w:val="left"/>
      <w:pPr>
        <w:tabs>
          <w:tab w:val="num" w:pos="2160"/>
        </w:tabs>
        <w:ind w:left="2160" w:hanging="360"/>
      </w:pPr>
      <w:rPr>
        <w:rFonts w:ascii="Wingdings" w:hAnsi="Wingdings" w:hint="default"/>
      </w:rPr>
    </w:lvl>
    <w:lvl w:ilvl="3" w:tplc="041B0001" w:tentative="1">
      <w:start w:val="1"/>
      <w:numFmt w:val="bullet"/>
      <w:lvlText w:val=""/>
      <w:lvlJc w:val="left"/>
      <w:pPr>
        <w:tabs>
          <w:tab w:val="num" w:pos="2880"/>
        </w:tabs>
        <w:ind w:left="2880" w:hanging="360"/>
      </w:pPr>
      <w:rPr>
        <w:rFonts w:ascii="Symbol" w:hAnsi="Symbol" w:hint="default"/>
      </w:rPr>
    </w:lvl>
    <w:lvl w:ilvl="4" w:tplc="041B0003" w:tentative="1">
      <w:start w:val="1"/>
      <w:numFmt w:val="bullet"/>
      <w:lvlText w:val="o"/>
      <w:lvlJc w:val="left"/>
      <w:pPr>
        <w:tabs>
          <w:tab w:val="num" w:pos="3600"/>
        </w:tabs>
        <w:ind w:left="3600" w:hanging="360"/>
      </w:pPr>
      <w:rPr>
        <w:rFonts w:ascii="Courier New" w:hAnsi="Courier New" w:cs="Courier New" w:hint="default"/>
      </w:rPr>
    </w:lvl>
    <w:lvl w:ilvl="5" w:tplc="041B0005" w:tentative="1">
      <w:start w:val="1"/>
      <w:numFmt w:val="bullet"/>
      <w:lvlText w:val=""/>
      <w:lvlJc w:val="left"/>
      <w:pPr>
        <w:tabs>
          <w:tab w:val="num" w:pos="4320"/>
        </w:tabs>
        <w:ind w:left="4320" w:hanging="360"/>
      </w:pPr>
      <w:rPr>
        <w:rFonts w:ascii="Wingdings" w:hAnsi="Wingdings" w:hint="default"/>
      </w:rPr>
    </w:lvl>
    <w:lvl w:ilvl="6" w:tplc="041B0001" w:tentative="1">
      <w:start w:val="1"/>
      <w:numFmt w:val="bullet"/>
      <w:lvlText w:val=""/>
      <w:lvlJc w:val="left"/>
      <w:pPr>
        <w:tabs>
          <w:tab w:val="num" w:pos="5040"/>
        </w:tabs>
        <w:ind w:left="5040" w:hanging="360"/>
      </w:pPr>
      <w:rPr>
        <w:rFonts w:ascii="Symbol" w:hAnsi="Symbol" w:hint="default"/>
      </w:rPr>
    </w:lvl>
    <w:lvl w:ilvl="7" w:tplc="041B0003" w:tentative="1">
      <w:start w:val="1"/>
      <w:numFmt w:val="bullet"/>
      <w:lvlText w:val="o"/>
      <w:lvlJc w:val="left"/>
      <w:pPr>
        <w:tabs>
          <w:tab w:val="num" w:pos="5760"/>
        </w:tabs>
        <w:ind w:left="5760" w:hanging="360"/>
      </w:pPr>
      <w:rPr>
        <w:rFonts w:ascii="Courier New" w:hAnsi="Courier New" w:cs="Courier New" w:hint="default"/>
      </w:rPr>
    </w:lvl>
    <w:lvl w:ilvl="8" w:tplc="041B0005" w:tentative="1">
      <w:start w:val="1"/>
      <w:numFmt w:val="bullet"/>
      <w:lvlText w:val=""/>
      <w:lvlJc w:val="left"/>
      <w:pPr>
        <w:tabs>
          <w:tab w:val="num" w:pos="6480"/>
        </w:tabs>
        <w:ind w:left="6480" w:hanging="360"/>
      </w:pPr>
      <w:rPr>
        <w:rFonts w:ascii="Wingdings" w:hAnsi="Wingdings" w:hint="default"/>
      </w:rPr>
    </w:lvl>
  </w:abstractNum>
  <w:abstractNum w:abstractNumId="300">
    <w:nsid w:val="5A913F6B"/>
    <w:multiLevelType w:val="hybridMultilevel"/>
    <w:tmpl w:val="65E2EAF4"/>
    <w:lvl w:ilvl="0" w:tplc="041B0001">
      <w:start w:val="1"/>
      <w:numFmt w:val="bullet"/>
      <w:lvlText w:val=""/>
      <w:lvlJc w:val="left"/>
      <w:pPr>
        <w:tabs>
          <w:tab w:val="num" w:pos="720"/>
        </w:tabs>
        <w:ind w:left="720" w:hanging="360"/>
      </w:pPr>
      <w:rPr>
        <w:rFonts w:ascii="Symbol" w:hAnsi="Symbol" w:hint="default"/>
      </w:rPr>
    </w:lvl>
    <w:lvl w:ilvl="1" w:tplc="041B0003" w:tentative="1">
      <w:start w:val="1"/>
      <w:numFmt w:val="bullet"/>
      <w:lvlText w:val="o"/>
      <w:lvlJc w:val="left"/>
      <w:pPr>
        <w:tabs>
          <w:tab w:val="num" w:pos="1440"/>
        </w:tabs>
        <w:ind w:left="1440" w:hanging="360"/>
      </w:pPr>
      <w:rPr>
        <w:rFonts w:ascii="Courier New" w:hAnsi="Courier New" w:cs="Courier New" w:hint="default"/>
      </w:rPr>
    </w:lvl>
    <w:lvl w:ilvl="2" w:tplc="041B0005">
      <w:start w:val="1"/>
      <w:numFmt w:val="bullet"/>
      <w:lvlText w:val=""/>
      <w:lvlJc w:val="left"/>
      <w:pPr>
        <w:tabs>
          <w:tab w:val="num" w:pos="2160"/>
        </w:tabs>
        <w:ind w:left="2160" w:hanging="360"/>
      </w:pPr>
      <w:rPr>
        <w:rFonts w:ascii="Wingdings" w:hAnsi="Wingdings" w:hint="default"/>
      </w:rPr>
    </w:lvl>
    <w:lvl w:ilvl="3" w:tplc="041B0001" w:tentative="1">
      <w:start w:val="1"/>
      <w:numFmt w:val="bullet"/>
      <w:lvlText w:val=""/>
      <w:lvlJc w:val="left"/>
      <w:pPr>
        <w:tabs>
          <w:tab w:val="num" w:pos="2880"/>
        </w:tabs>
        <w:ind w:left="2880" w:hanging="360"/>
      </w:pPr>
      <w:rPr>
        <w:rFonts w:ascii="Symbol" w:hAnsi="Symbol" w:hint="default"/>
      </w:rPr>
    </w:lvl>
    <w:lvl w:ilvl="4" w:tplc="041B0003" w:tentative="1">
      <w:start w:val="1"/>
      <w:numFmt w:val="bullet"/>
      <w:lvlText w:val="o"/>
      <w:lvlJc w:val="left"/>
      <w:pPr>
        <w:tabs>
          <w:tab w:val="num" w:pos="3600"/>
        </w:tabs>
        <w:ind w:left="3600" w:hanging="360"/>
      </w:pPr>
      <w:rPr>
        <w:rFonts w:ascii="Courier New" w:hAnsi="Courier New" w:cs="Courier New" w:hint="default"/>
      </w:rPr>
    </w:lvl>
    <w:lvl w:ilvl="5" w:tplc="041B0005" w:tentative="1">
      <w:start w:val="1"/>
      <w:numFmt w:val="bullet"/>
      <w:lvlText w:val=""/>
      <w:lvlJc w:val="left"/>
      <w:pPr>
        <w:tabs>
          <w:tab w:val="num" w:pos="4320"/>
        </w:tabs>
        <w:ind w:left="4320" w:hanging="360"/>
      </w:pPr>
      <w:rPr>
        <w:rFonts w:ascii="Wingdings" w:hAnsi="Wingdings" w:hint="default"/>
      </w:rPr>
    </w:lvl>
    <w:lvl w:ilvl="6" w:tplc="041B0001" w:tentative="1">
      <w:start w:val="1"/>
      <w:numFmt w:val="bullet"/>
      <w:lvlText w:val=""/>
      <w:lvlJc w:val="left"/>
      <w:pPr>
        <w:tabs>
          <w:tab w:val="num" w:pos="5040"/>
        </w:tabs>
        <w:ind w:left="5040" w:hanging="360"/>
      </w:pPr>
      <w:rPr>
        <w:rFonts w:ascii="Symbol" w:hAnsi="Symbol" w:hint="default"/>
      </w:rPr>
    </w:lvl>
    <w:lvl w:ilvl="7" w:tplc="041B0003" w:tentative="1">
      <w:start w:val="1"/>
      <w:numFmt w:val="bullet"/>
      <w:lvlText w:val="o"/>
      <w:lvlJc w:val="left"/>
      <w:pPr>
        <w:tabs>
          <w:tab w:val="num" w:pos="5760"/>
        </w:tabs>
        <w:ind w:left="5760" w:hanging="360"/>
      </w:pPr>
      <w:rPr>
        <w:rFonts w:ascii="Courier New" w:hAnsi="Courier New" w:cs="Courier New" w:hint="default"/>
      </w:rPr>
    </w:lvl>
    <w:lvl w:ilvl="8" w:tplc="041B0005" w:tentative="1">
      <w:start w:val="1"/>
      <w:numFmt w:val="bullet"/>
      <w:lvlText w:val=""/>
      <w:lvlJc w:val="left"/>
      <w:pPr>
        <w:tabs>
          <w:tab w:val="num" w:pos="6480"/>
        </w:tabs>
        <w:ind w:left="6480" w:hanging="360"/>
      </w:pPr>
      <w:rPr>
        <w:rFonts w:ascii="Wingdings" w:hAnsi="Wingdings" w:hint="default"/>
      </w:rPr>
    </w:lvl>
  </w:abstractNum>
  <w:abstractNum w:abstractNumId="301">
    <w:nsid w:val="5AF95532"/>
    <w:multiLevelType w:val="multilevel"/>
    <w:tmpl w:val="EC5AD61C"/>
    <w:lvl w:ilvl="0">
      <w:start w:val="1"/>
      <w:numFmt w:val="decimal"/>
      <w:lvlText w:val="%1."/>
      <w:lvlJc w:val="left"/>
      <w:pPr>
        <w:ind w:left="720" w:hanging="360"/>
      </w:pPr>
      <w:rPr>
        <w:rFonts w:hint="default"/>
      </w:rPr>
    </w:lvl>
    <w:lvl w:ilvl="1">
      <w:start w:val="2"/>
      <w:numFmt w:val="decimal"/>
      <w:isLgl/>
      <w:lvlText w:val="%1.%2"/>
      <w:lvlJc w:val="left"/>
      <w:pPr>
        <w:ind w:left="1170" w:hanging="810"/>
      </w:pPr>
      <w:rPr>
        <w:rFonts w:hint="default"/>
      </w:rPr>
    </w:lvl>
    <w:lvl w:ilvl="2">
      <w:start w:val="12"/>
      <w:numFmt w:val="decimal"/>
      <w:isLgl/>
      <w:lvlText w:val="%1.%2.%3"/>
      <w:lvlJc w:val="left"/>
      <w:pPr>
        <w:ind w:left="1170" w:hanging="81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302">
    <w:nsid w:val="5B0E603E"/>
    <w:multiLevelType w:val="hybridMultilevel"/>
    <w:tmpl w:val="E04EB438"/>
    <w:lvl w:ilvl="0" w:tplc="C9AA074A">
      <w:numFmt w:val="bullet"/>
      <w:lvlText w:val="·"/>
      <w:lvlJc w:val="left"/>
      <w:pPr>
        <w:ind w:left="720" w:hanging="360"/>
      </w:pPr>
      <w:rPr>
        <w:rFonts w:ascii="Times New Roman" w:eastAsia="Times New Roman" w:hAnsi="Times New Roman" w:cs="Times New Roman" w:hint="default"/>
        <w:color w:val="auto"/>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303">
    <w:nsid w:val="5BA1688D"/>
    <w:multiLevelType w:val="hybridMultilevel"/>
    <w:tmpl w:val="7E7CFB9A"/>
    <w:lvl w:ilvl="0" w:tplc="924ACDC2">
      <w:start w:val="70"/>
      <w:numFmt w:val="bullet"/>
      <w:lvlText w:val="-"/>
      <w:lvlJc w:val="left"/>
      <w:pPr>
        <w:ind w:left="720" w:hanging="360"/>
      </w:pPr>
      <w:rPr>
        <w:rFonts w:ascii="Calibri" w:eastAsia="Times New Roman" w:hAnsi="Calibri"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304">
    <w:nsid w:val="5BBF695E"/>
    <w:multiLevelType w:val="hybridMultilevel"/>
    <w:tmpl w:val="6614693C"/>
    <w:lvl w:ilvl="0" w:tplc="041B0001">
      <w:start w:val="1"/>
      <w:numFmt w:val="bullet"/>
      <w:lvlText w:val=""/>
      <w:lvlJc w:val="left"/>
      <w:pPr>
        <w:ind w:left="765" w:hanging="360"/>
      </w:pPr>
      <w:rPr>
        <w:rFonts w:ascii="Symbol" w:hAnsi="Symbol" w:hint="default"/>
      </w:rPr>
    </w:lvl>
    <w:lvl w:ilvl="1" w:tplc="041B0003" w:tentative="1">
      <w:start w:val="1"/>
      <w:numFmt w:val="bullet"/>
      <w:lvlText w:val="o"/>
      <w:lvlJc w:val="left"/>
      <w:pPr>
        <w:ind w:left="1485" w:hanging="360"/>
      </w:pPr>
      <w:rPr>
        <w:rFonts w:ascii="Courier New" w:hAnsi="Courier New" w:cs="Courier New" w:hint="default"/>
      </w:rPr>
    </w:lvl>
    <w:lvl w:ilvl="2" w:tplc="041B0005" w:tentative="1">
      <w:start w:val="1"/>
      <w:numFmt w:val="bullet"/>
      <w:lvlText w:val=""/>
      <w:lvlJc w:val="left"/>
      <w:pPr>
        <w:ind w:left="2205" w:hanging="360"/>
      </w:pPr>
      <w:rPr>
        <w:rFonts w:ascii="Wingdings" w:hAnsi="Wingdings" w:hint="default"/>
      </w:rPr>
    </w:lvl>
    <w:lvl w:ilvl="3" w:tplc="041B0001" w:tentative="1">
      <w:start w:val="1"/>
      <w:numFmt w:val="bullet"/>
      <w:lvlText w:val=""/>
      <w:lvlJc w:val="left"/>
      <w:pPr>
        <w:ind w:left="2925" w:hanging="360"/>
      </w:pPr>
      <w:rPr>
        <w:rFonts w:ascii="Symbol" w:hAnsi="Symbol" w:hint="default"/>
      </w:rPr>
    </w:lvl>
    <w:lvl w:ilvl="4" w:tplc="041B0003" w:tentative="1">
      <w:start w:val="1"/>
      <w:numFmt w:val="bullet"/>
      <w:lvlText w:val="o"/>
      <w:lvlJc w:val="left"/>
      <w:pPr>
        <w:ind w:left="3645" w:hanging="360"/>
      </w:pPr>
      <w:rPr>
        <w:rFonts w:ascii="Courier New" w:hAnsi="Courier New" w:cs="Courier New" w:hint="default"/>
      </w:rPr>
    </w:lvl>
    <w:lvl w:ilvl="5" w:tplc="041B0005" w:tentative="1">
      <w:start w:val="1"/>
      <w:numFmt w:val="bullet"/>
      <w:lvlText w:val=""/>
      <w:lvlJc w:val="left"/>
      <w:pPr>
        <w:ind w:left="4365" w:hanging="360"/>
      </w:pPr>
      <w:rPr>
        <w:rFonts w:ascii="Wingdings" w:hAnsi="Wingdings" w:hint="default"/>
      </w:rPr>
    </w:lvl>
    <w:lvl w:ilvl="6" w:tplc="041B0001" w:tentative="1">
      <w:start w:val="1"/>
      <w:numFmt w:val="bullet"/>
      <w:lvlText w:val=""/>
      <w:lvlJc w:val="left"/>
      <w:pPr>
        <w:ind w:left="5085" w:hanging="360"/>
      </w:pPr>
      <w:rPr>
        <w:rFonts w:ascii="Symbol" w:hAnsi="Symbol" w:hint="default"/>
      </w:rPr>
    </w:lvl>
    <w:lvl w:ilvl="7" w:tplc="041B0003" w:tentative="1">
      <w:start w:val="1"/>
      <w:numFmt w:val="bullet"/>
      <w:lvlText w:val="o"/>
      <w:lvlJc w:val="left"/>
      <w:pPr>
        <w:ind w:left="5805" w:hanging="360"/>
      </w:pPr>
      <w:rPr>
        <w:rFonts w:ascii="Courier New" w:hAnsi="Courier New" w:cs="Courier New" w:hint="default"/>
      </w:rPr>
    </w:lvl>
    <w:lvl w:ilvl="8" w:tplc="041B0005" w:tentative="1">
      <w:start w:val="1"/>
      <w:numFmt w:val="bullet"/>
      <w:lvlText w:val=""/>
      <w:lvlJc w:val="left"/>
      <w:pPr>
        <w:ind w:left="6525" w:hanging="360"/>
      </w:pPr>
      <w:rPr>
        <w:rFonts w:ascii="Wingdings" w:hAnsi="Wingdings" w:hint="default"/>
      </w:rPr>
    </w:lvl>
  </w:abstractNum>
  <w:abstractNum w:abstractNumId="305">
    <w:nsid w:val="5C0D19FE"/>
    <w:multiLevelType w:val="hybridMultilevel"/>
    <w:tmpl w:val="AE240746"/>
    <w:lvl w:ilvl="0" w:tplc="041B0019">
      <w:start w:val="1"/>
      <w:numFmt w:val="lowerLetter"/>
      <w:lvlText w:val="%1."/>
      <w:lvlJc w:val="left"/>
      <w:pPr>
        <w:ind w:left="770" w:hanging="360"/>
      </w:pPr>
      <w:rPr>
        <w:rFonts w:hint="default"/>
      </w:rPr>
    </w:lvl>
    <w:lvl w:ilvl="1" w:tplc="041B0003">
      <w:start w:val="1"/>
      <w:numFmt w:val="bullet"/>
      <w:lvlText w:val="o"/>
      <w:lvlJc w:val="left"/>
      <w:pPr>
        <w:ind w:left="1490" w:hanging="360"/>
      </w:pPr>
      <w:rPr>
        <w:rFonts w:ascii="Courier New" w:hAnsi="Courier New" w:cs="Courier New" w:hint="default"/>
      </w:rPr>
    </w:lvl>
    <w:lvl w:ilvl="2" w:tplc="041B0005" w:tentative="1">
      <w:start w:val="1"/>
      <w:numFmt w:val="bullet"/>
      <w:lvlText w:val=""/>
      <w:lvlJc w:val="left"/>
      <w:pPr>
        <w:ind w:left="2210" w:hanging="360"/>
      </w:pPr>
      <w:rPr>
        <w:rFonts w:ascii="Wingdings" w:hAnsi="Wingdings" w:hint="default"/>
      </w:rPr>
    </w:lvl>
    <w:lvl w:ilvl="3" w:tplc="041B0001" w:tentative="1">
      <w:start w:val="1"/>
      <w:numFmt w:val="bullet"/>
      <w:lvlText w:val=""/>
      <w:lvlJc w:val="left"/>
      <w:pPr>
        <w:ind w:left="2930" w:hanging="360"/>
      </w:pPr>
      <w:rPr>
        <w:rFonts w:ascii="Symbol" w:hAnsi="Symbol" w:hint="default"/>
      </w:rPr>
    </w:lvl>
    <w:lvl w:ilvl="4" w:tplc="041B0003" w:tentative="1">
      <w:start w:val="1"/>
      <w:numFmt w:val="bullet"/>
      <w:lvlText w:val="o"/>
      <w:lvlJc w:val="left"/>
      <w:pPr>
        <w:ind w:left="3650" w:hanging="360"/>
      </w:pPr>
      <w:rPr>
        <w:rFonts w:ascii="Courier New" w:hAnsi="Courier New" w:cs="Courier New" w:hint="default"/>
      </w:rPr>
    </w:lvl>
    <w:lvl w:ilvl="5" w:tplc="041B0005" w:tentative="1">
      <w:start w:val="1"/>
      <w:numFmt w:val="bullet"/>
      <w:lvlText w:val=""/>
      <w:lvlJc w:val="left"/>
      <w:pPr>
        <w:ind w:left="4370" w:hanging="360"/>
      </w:pPr>
      <w:rPr>
        <w:rFonts w:ascii="Wingdings" w:hAnsi="Wingdings" w:hint="default"/>
      </w:rPr>
    </w:lvl>
    <w:lvl w:ilvl="6" w:tplc="041B0001" w:tentative="1">
      <w:start w:val="1"/>
      <w:numFmt w:val="bullet"/>
      <w:lvlText w:val=""/>
      <w:lvlJc w:val="left"/>
      <w:pPr>
        <w:ind w:left="5090" w:hanging="360"/>
      </w:pPr>
      <w:rPr>
        <w:rFonts w:ascii="Symbol" w:hAnsi="Symbol" w:hint="default"/>
      </w:rPr>
    </w:lvl>
    <w:lvl w:ilvl="7" w:tplc="041B0003" w:tentative="1">
      <w:start w:val="1"/>
      <w:numFmt w:val="bullet"/>
      <w:lvlText w:val="o"/>
      <w:lvlJc w:val="left"/>
      <w:pPr>
        <w:ind w:left="5810" w:hanging="360"/>
      </w:pPr>
      <w:rPr>
        <w:rFonts w:ascii="Courier New" w:hAnsi="Courier New" w:cs="Courier New" w:hint="default"/>
      </w:rPr>
    </w:lvl>
    <w:lvl w:ilvl="8" w:tplc="041B0005" w:tentative="1">
      <w:start w:val="1"/>
      <w:numFmt w:val="bullet"/>
      <w:lvlText w:val=""/>
      <w:lvlJc w:val="left"/>
      <w:pPr>
        <w:ind w:left="6530" w:hanging="360"/>
      </w:pPr>
      <w:rPr>
        <w:rFonts w:ascii="Wingdings" w:hAnsi="Wingdings" w:hint="default"/>
      </w:rPr>
    </w:lvl>
  </w:abstractNum>
  <w:abstractNum w:abstractNumId="306">
    <w:nsid w:val="5CAA1E9E"/>
    <w:multiLevelType w:val="hybridMultilevel"/>
    <w:tmpl w:val="B840210E"/>
    <w:lvl w:ilvl="0" w:tplc="041B0017">
      <w:start w:val="1"/>
      <w:numFmt w:val="lowerLetter"/>
      <w:lvlText w:val="%1)"/>
      <w:lvlJc w:val="left"/>
      <w:pPr>
        <w:ind w:left="720" w:hanging="360"/>
      </w:p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307">
    <w:nsid w:val="5CDC3E00"/>
    <w:multiLevelType w:val="hybridMultilevel"/>
    <w:tmpl w:val="721636D0"/>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308">
    <w:nsid w:val="5D085905"/>
    <w:multiLevelType w:val="hybridMultilevel"/>
    <w:tmpl w:val="AAD07B34"/>
    <w:lvl w:ilvl="0" w:tplc="041B0017">
      <w:start w:val="1"/>
      <w:numFmt w:val="lowerLetter"/>
      <w:lvlText w:val="%1)"/>
      <w:lvlJc w:val="left"/>
      <w:pPr>
        <w:ind w:left="720" w:hanging="360"/>
      </w:pPr>
      <w:rPr>
        <w:rFonts w:hint="default"/>
      </w:rPr>
    </w:lvl>
    <w:lvl w:ilvl="1" w:tplc="041B0019">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309">
    <w:nsid w:val="5D141F75"/>
    <w:multiLevelType w:val="hybridMultilevel"/>
    <w:tmpl w:val="86ECB202"/>
    <w:lvl w:ilvl="0" w:tplc="8D4C07C2">
      <w:start w:val="1"/>
      <w:numFmt w:val="bullet"/>
      <w:lvlText w:val=""/>
      <w:lvlJc w:val="left"/>
      <w:pPr>
        <w:tabs>
          <w:tab w:val="num" w:pos="360"/>
        </w:tabs>
        <w:ind w:left="360" w:hanging="360"/>
      </w:pPr>
      <w:rPr>
        <w:rFonts w:ascii="Wingdings" w:hAnsi="Wingdings" w:hint="default"/>
        <w:color w:val="auto"/>
      </w:rPr>
    </w:lvl>
    <w:lvl w:ilvl="1" w:tplc="041B0003">
      <w:start w:val="1"/>
      <w:numFmt w:val="bullet"/>
      <w:lvlText w:val="o"/>
      <w:lvlJc w:val="left"/>
      <w:pPr>
        <w:tabs>
          <w:tab w:val="num" w:pos="1440"/>
        </w:tabs>
        <w:ind w:left="1440" w:hanging="360"/>
      </w:pPr>
      <w:rPr>
        <w:rFonts w:ascii="Courier New" w:hAnsi="Courier New" w:cs="Courier New" w:hint="default"/>
      </w:rPr>
    </w:lvl>
    <w:lvl w:ilvl="2" w:tplc="041B0005" w:tentative="1">
      <w:start w:val="1"/>
      <w:numFmt w:val="bullet"/>
      <w:lvlText w:val=""/>
      <w:lvlJc w:val="left"/>
      <w:pPr>
        <w:tabs>
          <w:tab w:val="num" w:pos="2160"/>
        </w:tabs>
        <w:ind w:left="2160" w:hanging="360"/>
      </w:pPr>
      <w:rPr>
        <w:rFonts w:ascii="Wingdings" w:hAnsi="Wingdings" w:hint="default"/>
      </w:rPr>
    </w:lvl>
    <w:lvl w:ilvl="3" w:tplc="041B0001" w:tentative="1">
      <w:start w:val="1"/>
      <w:numFmt w:val="bullet"/>
      <w:lvlText w:val=""/>
      <w:lvlJc w:val="left"/>
      <w:pPr>
        <w:tabs>
          <w:tab w:val="num" w:pos="2880"/>
        </w:tabs>
        <w:ind w:left="2880" w:hanging="360"/>
      </w:pPr>
      <w:rPr>
        <w:rFonts w:ascii="Symbol" w:hAnsi="Symbol" w:hint="default"/>
      </w:rPr>
    </w:lvl>
    <w:lvl w:ilvl="4" w:tplc="041B0003" w:tentative="1">
      <w:start w:val="1"/>
      <w:numFmt w:val="bullet"/>
      <w:lvlText w:val="o"/>
      <w:lvlJc w:val="left"/>
      <w:pPr>
        <w:tabs>
          <w:tab w:val="num" w:pos="3600"/>
        </w:tabs>
        <w:ind w:left="3600" w:hanging="360"/>
      </w:pPr>
      <w:rPr>
        <w:rFonts w:ascii="Courier New" w:hAnsi="Courier New" w:cs="Courier New" w:hint="default"/>
      </w:rPr>
    </w:lvl>
    <w:lvl w:ilvl="5" w:tplc="041B0005" w:tentative="1">
      <w:start w:val="1"/>
      <w:numFmt w:val="bullet"/>
      <w:lvlText w:val=""/>
      <w:lvlJc w:val="left"/>
      <w:pPr>
        <w:tabs>
          <w:tab w:val="num" w:pos="4320"/>
        </w:tabs>
        <w:ind w:left="4320" w:hanging="360"/>
      </w:pPr>
      <w:rPr>
        <w:rFonts w:ascii="Wingdings" w:hAnsi="Wingdings" w:hint="default"/>
      </w:rPr>
    </w:lvl>
    <w:lvl w:ilvl="6" w:tplc="041B0001" w:tentative="1">
      <w:start w:val="1"/>
      <w:numFmt w:val="bullet"/>
      <w:lvlText w:val=""/>
      <w:lvlJc w:val="left"/>
      <w:pPr>
        <w:tabs>
          <w:tab w:val="num" w:pos="5040"/>
        </w:tabs>
        <w:ind w:left="5040" w:hanging="360"/>
      </w:pPr>
      <w:rPr>
        <w:rFonts w:ascii="Symbol" w:hAnsi="Symbol" w:hint="default"/>
      </w:rPr>
    </w:lvl>
    <w:lvl w:ilvl="7" w:tplc="041B0003" w:tentative="1">
      <w:start w:val="1"/>
      <w:numFmt w:val="bullet"/>
      <w:lvlText w:val="o"/>
      <w:lvlJc w:val="left"/>
      <w:pPr>
        <w:tabs>
          <w:tab w:val="num" w:pos="5760"/>
        </w:tabs>
        <w:ind w:left="5760" w:hanging="360"/>
      </w:pPr>
      <w:rPr>
        <w:rFonts w:ascii="Courier New" w:hAnsi="Courier New" w:cs="Courier New" w:hint="default"/>
      </w:rPr>
    </w:lvl>
    <w:lvl w:ilvl="8" w:tplc="041B0005" w:tentative="1">
      <w:start w:val="1"/>
      <w:numFmt w:val="bullet"/>
      <w:lvlText w:val=""/>
      <w:lvlJc w:val="left"/>
      <w:pPr>
        <w:tabs>
          <w:tab w:val="num" w:pos="6480"/>
        </w:tabs>
        <w:ind w:left="6480" w:hanging="360"/>
      </w:pPr>
      <w:rPr>
        <w:rFonts w:ascii="Wingdings" w:hAnsi="Wingdings" w:hint="default"/>
      </w:rPr>
    </w:lvl>
  </w:abstractNum>
  <w:abstractNum w:abstractNumId="310">
    <w:nsid w:val="5D7527EB"/>
    <w:multiLevelType w:val="hybridMultilevel"/>
    <w:tmpl w:val="B122F632"/>
    <w:lvl w:ilvl="0" w:tplc="B0B243A6">
      <w:numFmt w:val="bullet"/>
      <w:lvlText w:val="•"/>
      <w:lvlJc w:val="left"/>
      <w:pPr>
        <w:ind w:left="1065" w:hanging="705"/>
      </w:pPr>
      <w:rPr>
        <w:rFonts w:ascii="Calibri" w:eastAsia="Times New Roman" w:hAnsi="Calibri" w:cs="Times New Roman"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311">
    <w:nsid w:val="5D874226"/>
    <w:multiLevelType w:val="hybridMultilevel"/>
    <w:tmpl w:val="783ADFE8"/>
    <w:lvl w:ilvl="0" w:tplc="041B000F">
      <w:start w:val="1"/>
      <w:numFmt w:val="decimal"/>
      <w:lvlText w:val="%1."/>
      <w:lvlJc w:val="left"/>
      <w:pPr>
        <w:tabs>
          <w:tab w:val="num" w:pos="720"/>
        </w:tabs>
        <w:ind w:left="720" w:hanging="360"/>
      </w:pPr>
      <w:rPr>
        <w:rFonts w:hint="default"/>
      </w:rPr>
    </w:lvl>
    <w:lvl w:ilvl="1" w:tplc="041B0003" w:tentative="1">
      <w:start w:val="1"/>
      <w:numFmt w:val="bullet"/>
      <w:lvlText w:val="o"/>
      <w:lvlJc w:val="left"/>
      <w:pPr>
        <w:tabs>
          <w:tab w:val="num" w:pos="1440"/>
        </w:tabs>
        <w:ind w:left="1440" w:hanging="360"/>
      </w:pPr>
      <w:rPr>
        <w:rFonts w:ascii="Courier New" w:hAnsi="Courier New" w:cs="Courier New" w:hint="default"/>
      </w:rPr>
    </w:lvl>
    <w:lvl w:ilvl="2" w:tplc="041B0005" w:tentative="1">
      <w:start w:val="1"/>
      <w:numFmt w:val="bullet"/>
      <w:lvlText w:val=""/>
      <w:lvlJc w:val="left"/>
      <w:pPr>
        <w:tabs>
          <w:tab w:val="num" w:pos="2160"/>
        </w:tabs>
        <w:ind w:left="2160" w:hanging="360"/>
      </w:pPr>
      <w:rPr>
        <w:rFonts w:ascii="Wingdings" w:hAnsi="Wingdings" w:hint="default"/>
      </w:rPr>
    </w:lvl>
    <w:lvl w:ilvl="3" w:tplc="041B0001" w:tentative="1">
      <w:start w:val="1"/>
      <w:numFmt w:val="bullet"/>
      <w:lvlText w:val=""/>
      <w:lvlJc w:val="left"/>
      <w:pPr>
        <w:tabs>
          <w:tab w:val="num" w:pos="2880"/>
        </w:tabs>
        <w:ind w:left="2880" w:hanging="360"/>
      </w:pPr>
      <w:rPr>
        <w:rFonts w:ascii="Symbol" w:hAnsi="Symbol" w:hint="default"/>
      </w:rPr>
    </w:lvl>
    <w:lvl w:ilvl="4" w:tplc="041B0003" w:tentative="1">
      <w:start w:val="1"/>
      <w:numFmt w:val="bullet"/>
      <w:lvlText w:val="o"/>
      <w:lvlJc w:val="left"/>
      <w:pPr>
        <w:tabs>
          <w:tab w:val="num" w:pos="3600"/>
        </w:tabs>
        <w:ind w:left="3600" w:hanging="360"/>
      </w:pPr>
      <w:rPr>
        <w:rFonts w:ascii="Courier New" w:hAnsi="Courier New" w:cs="Courier New" w:hint="default"/>
      </w:rPr>
    </w:lvl>
    <w:lvl w:ilvl="5" w:tplc="041B0005" w:tentative="1">
      <w:start w:val="1"/>
      <w:numFmt w:val="bullet"/>
      <w:lvlText w:val=""/>
      <w:lvlJc w:val="left"/>
      <w:pPr>
        <w:tabs>
          <w:tab w:val="num" w:pos="4320"/>
        </w:tabs>
        <w:ind w:left="4320" w:hanging="360"/>
      </w:pPr>
      <w:rPr>
        <w:rFonts w:ascii="Wingdings" w:hAnsi="Wingdings" w:hint="default"/>
      </w:rPr>
    </w:lvl>
    <w:lvl w:ilvl="6" w:tplc="041B0001" w:tentative="1">
      <w:start w:val="1"/>
      <w:numFmt w:val="bullet"/>
      <w:lvlText w:val=""/>
      <w:lvlJc w:val="left"/>
      <w:pPr>
        <w:tabs>
          <w:tab w:val="num" w:pos="5040"/>
        </w:tabs>
        <w:ind w:left="5040" w:hanging="360"/>
      </w:pPr>
      <w:rPr>
        <w:rFonts w:ascii="Symbol" w:hAnsi="Symbol" w:hint="default"/>
      </w:rPr>
    </w:lvl>
    <w:lvl w:ilvl="7" w:tplc="041B0003" w:tentative="1">
      <w:start w:val="1"/>
      <w:numFmt w:val="bullet"/>
      <w:lvlText w:val="o"/>
      <w:lvlJc w:val="left"/>
      <w:pPr>
        <w:tabs>
          <w:tab w:val="num" w:pos="5760"/>
        </w:tabs>
        <w:ind w:left="5760" w:hanging="360"/>
      </w:pPr>
      <w:rPr>
        <w:rFonts w:ascii="Courier New" w:hAnsi="Courier New" w:cs="Courier New" w:hint="default"/>
      </w:rPr>
    </w:lvl>
    <w:lvl w:ilvl="8" w:tplc="041B0005" w:tentative="1">
      <w:start w:val="1"/>
      <w:numFmt w:val="bullet"/>
      <w:lvlText w:val=""/>
      <w:lvlJc w:val="left"/>
      <w:pPr>
        <w:tabs>
          <w:tab w:val="num" w:pos="6480"/>
        </w:tabs>
        <w:ind w:left="6480" w:hanging="360"/>
      </w:pPr>
      <w:rPr>
        <w:rFonts w:ascii="Wingdings" w:hAnsi="Wingdings" w:hint="default"/>
      </w:rPr>
    </w:lvl>
  </w:abstractNum>
  <w:abstractNum w:abstractNumId="312">
    <w:nsid w:val="5DD61B0F"/>
    <w:multiLevelType w:val="hybridMultilevel"/>
    <w:tmpl w:val="A170F6C2"/>
    <w:lvl w:ilvl="0" w:tplc="38D21BC8">
      <w:numFmt w:val="bullet"/>
      <w:lvlText w:val="-"/>
      <w:lvlJc w:val="left"/>
      <w:pPr>
        <w:ind w:left="720" w:hanging="360"/>
      </w:pPr>
      <w:rPr>
        <w:rFonts w:ascii="Calibri" w:eastAsia="Calibri" w:hAnsi="Calibri" w:cs="Calibri" w:hint="default"/>
        <w:sz w:val="22"/>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313">
    <w:nsid w:val="5DF71FCA"/>
    <w:multiLevelType w:val="hybridMultilevel"/>
    <w:tmpl w:val="922C1034"/>
    <w:lvl w:ilvl="0" w:tplc="041B0001">
      <w:start w:val="1"/>
      <w:numFmt w:val="bullet"/>
      <w:lvlText w:val=""/>
      <w:lvlJc w:val="left"/>
      <w:pPr>
        <w:ind w:left="360" w:hanging="360"/>
      </w:pPr>
      <w:rPr>
        <w:rFonts w:ascii="Symbol" w:hAnsi="Symbol" w:hint="default"/>
      </w:rPr>
    </w:lvl>
    <w:lvl w:ilvl="1" w:tplc="041B0003" w:tentative="1">
      <w:start w:val="1"/>
      <w:numFmt w:val="bullet"/>
      <w:lvlText w:val="o"/>
      <w:lvlJc w:val="left"/>
      <w:pPr>
        <w:ind w:left="1080" w:hanging="360"/>
      </w:pPr>
      <w:rPr>
        <w:rFonts w:ascii="Courier New" w:hAnsi="Courier New" w:cs="Courier New" w:hint="default"/>
      </w:rPr>
    </w:lvl>
    <w:lvl w:ilvl="2" w:tplc="041B0005" w:tentative="1">
      <w:start w:val="1"/>
      <w:numFmt w:val="bullet"/>
      <w:lvlText w:val=""/>
      <w:lvlJc w:val="left"/>
      <w:pPr>
        <w:ind w:left="1800" w:hanging="360"/>
      </w:pPr>
      <w:rPr>
        <w:rFonts w:ascii="Wingdings" w:hAnsi="Wingdings" w:hint="default"/>
      </w:rPr>
    </w:lvl>
    <w:lvl w:ilvl="3" w:tplc="041B0001" w:tentative="1">
      <w:start w:val="1"/>
      <w:numFmt w:val="bullet"/>
      <w:lvlText w:val=""/>
      <w:lvlJc w:val="left"/>
      <w:pPr>
        <w:ind w:left="2520" w:hanging="360"/>
      </w:pPr>
      <w:rPr>
        <w:rFonts w:ascii="Symbol" w:hAnsi="Symbol" w:hint="default"/>
      </w:rPr>
    </w:lvl>
    <w:lvl w:ilvl="4" w:tplc="041B0003" w:tentative="1">
      <w:start w:val="1"/>
      <w:numFmt w:val="bullet"/>
      <w:lvlText w:val="o"/>
      <w:lvlJc w:val="left"/>
      <w:pPr>
        <w:ind w:left="3240" w:hanging="360"/>
      </w:pPr>
      <w:rPr>
        <w:rFonts w:ascii="Courier New" w:hAnsi="Courier New" w:cs="Courier New" w:hint="default"/>
      </w:rPr>
    </w:lvl>
    <w:lvl w:ilvl="5" w:tplc="041B0005" w:tentative="1">
      <w:start w:val="1"/>
      <w:numFmt w:val="bullet"/>
      <w:lvlText w:val=""/>
      <w:lvlJc w:val="left"/>
      <w:pPr>
        <w:ind w:left="3960" w:hanging="360"/>
      </w:pPr>
      <w:rPr>
        <w:rFonts w:ascii="Wingdings" w:hAnsi="Wingdings" w:hint="default"/>
      </w:rPr>
    </w:lvl>
    <w:lvl w:ilvl="6" w:tplc="041B0001" w:tentative="1">
      <w:start w:val="1"/>
      <w:numFmt w:val="bullet"/>
      <w:lvlText w:val=""/>
      <w:lvlJc w:val="left"/>
      <w:pPr>
        <w:ind w:left="4680" w:hanging="360"/>
      </w:pPr>
      <w:rPr>
        <w:rFonts w:ascii="Symbol" w:hAnsi="Symbol" w:hint="default"/>
      </w:rPr>
    </w:lvl>
    <w:lvl w:ilvl="7" w:tplc="041B0003" w:tentative="1">
      <w:start w:val="1"/>
      <w:numFmt w:val="bullet"/>
      <w:lvlText w:val="o"/>
      <w:lvlJc w:val="left"/>
      <w:pPr>
        <w:ind w:left="5400" w:hanging="360"/>
      </w:pPr>
      <w:rPr>
        <w:rFonts w:ascii="Courier New" w:hAnsi="Courier New" w:cs="Courier New" w:hint="default"/>
      </w:rPr>
    </w:lvl>
    <w:lvl w:ilvl="8" w:tplc="041B0005" w:tentative="1">
      <w:start w:val="1"/>
      <w:numFmt w:val="bullet"/>
      <w:lvlText w:val=""/>
      <w:lvlJc w:val="left"/>
      <w:pPr>
        <w:ind w:left="6120" w:hanging="360"/>
      </w:pPr>
      <w:rPr>
        <w:rFonts w:ascii="Wingdings" w:hAnsi="Wingdings" w:hint="default"/>
      </w:rPr>
    </w:lvl>
  </w:abstractNum>
  <w:abstractNum w:abstractNumId="314">
    <w:nsid w:val="5E3F5BBB"/>
    <w:multiLevelType w:val="hybridMultilevel"/>
    <w:tmpl w:val="C6E4B84E"/>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315">
    <w:nsid w:val="5E79253E"/>
    <w:multiLevelType w:val="hybridMultilevel"/>
    <w:tmpl w:val="21180610"/>
    <w:lvl w:ilvl="0" w:tplc="2466B24E">
      <w:start w:val="1"/>
      <w:numFmt w:val="decimal"/>
      <w:lvlText w:val="%1."/>
      <w:lvlJc w:val="center"/>
      <w:pPr>
        <w:ind w:left="720" w:hanging="360"/>
      </w:pPr>
      <w:rPr>
        <w:rFonts w:hint="default"/>
      </w:rPr>
    </w:lvl>
    <w:lvl w:ilvl="1" w:tplc="041B0003">
      <w:start w:val="1"/>
      <w:numFmt w:val="bullet"/>
      <w:lvlText w:val="o"/>
      <w:lvlJc w:val="left"/>
      <w:pPr>
        <w:ind w:left="1440" w:hanging="360"/>
      </w:pPr>
      <w:rPr>
        <w:rFonts w:ascii="Courier New" w:hAnsi="Courier New" w:cs="Courier New" w:hint="default"/>
      </w:rPr>
    </w:lvl>
    <w:lvl w:ilvl="2" w:tplc="041B0005">
      <w:start w:val="1"/>
      <w:numFmt w:val="bullet"/>
      <w:lvlText w:val=""/>
      <w:lvlJc w:val="left"/>
      <w:pPr>
        <w:ind w:left="2160" w:hanging="360"/>
      </w:pPr>
      <w:rPr>
        <w:rFonts w:ascii="Wingdings" w:hAnsi="Wingdings" w:cs="Wingdings" w:hint="default"/>
      </w:rPr>
    </w:lvl>
    <w:lvl w:ilvl="3" w:tplc="041B0001">
      <w:start w:val="1"/>
      <w:numFmt w:val="bullet"/>
      <w:lvlText w:val=""/>
      <w:lvlJc w:val="left"/>
      <w:pPr>
        <w:ind w:left="2880" w:hanging="360"/>
      </w:pPr>
      <w:rPr>
        <w:rFonts w:ascii="Symbol" w:hAnsi="Symbol" w:cs="Symbol" w:hint="default"/>
      </w:rPr>
    </w:lvl>
    <w:lvl w:ilvl="4" w:tplc="041B0003">
      <w:start w:val="1"/>
      <w:numFmt w:val="bullet"/>
      <w:lvlText w:val="o"/>
      <w:lvlJc w:val="left"/>
      <w:pPr>
        <w:ind w:left="3600" w:hanging="360"/>
      </w:pPr>
      <w:rPr>
        <w:rFonts w:ascii="Courier New" w:hAnsi="Courier New" w:cs="Courier New" w:hint="default"/>
      </w:rPr>
    </w:lvl>
    <w:lvl w:ilvl="5" w:tplc="041B0005">
      <w:start w:val="1"/>
      <w:numFmt w:val="bullet"/>
      <w:lvlText w:val=""/>
      <w:lvlJc w:val="left"/>
      <w:pPr>
        <w:ind w:left="4320" w:hanging="360"/>
      </w:pPr>
      <w:rPr>
        <w:rFonts w:ascii="Wingdings" w:hAnsi="Wingdings" w:cs="Wingdings" w:hint="default"/>
      </w:rPr>
    </w:lvl>
    <w:lvl w:ilvl="6" w:tplc="041B0001">
      <w:start w:val="1"/>
      <w:numFmt w:val="bullet"/>
      <w:lvlText w:val=""/>
      <w:lvlJc w:val="left"/>
      <w:pPr>
        <w:ind w:left="5040" w:hanging="360"/>
      </w:pPr>
      <w:rPr>
        <w:rFonts w:ascii="Symbol" w:hAnsi="Symbol" w:cs="Symbol" w:hint="default"/>
      </w:rPr>
    </w:lvl>
    <w:lvl w:ilvl="7" w:tplc="041B0003">
      <w:start w:val="1"/>
      <w:numFmt w:val="bullet"/>
      <w:lvlText w:val="o"/>
      <w:lvlJc w:val="left"/>
      <w:pPr>
        <w:ind w:left="5760" w:hanging="360"/>
      </w:pPr>
      <w:rPr>
        <w:rFonts w:ascii="Courier New" w:hAnsi="Courier New" w:cs="Courier New" w:hint="default"/>
      </w:rPr>
    </w:lvl>
    <w:lvl w:ilvl="8" w:tplc="041B0005">
      <w:start w:val="1"/>
      <w:numFmt w:val="bullet"/>
      <w:lvlText w:val=""/>
      <w:lvlJc w:val="left"/>
      <w:pPr>
        <w:ind w:left="6480" w:hanging="360"/>
      </w:pPr>
      <w:rPr>
        <w:rFonts w:ascii="Wingdings" w:hAnsi="Wingdings" w:cs="Wingdings" w:hint="default"/>
      </w:rPr>
    </w:lvl>
  </w:abstractNum>
  <w:abstractNum w:abstractNumId="316">
    <w:nsid w:val="5F0E704C"/>
    <w:multiLevelType w:val="hybridMultilevel"/>
    <w:tmpl w:val="ACBC4E8C"/>
    <w:lvl w:ilvl="0" w:tplc="041B0001">
      <w:start w:val="1"/>
      <w:numFmt w:val="bullet"/>
      <w:lvlText w:val=""/>
      <w:lvlJc w:val="left"/>
      <w:pPr>
        <w:ind w:left="360" w:hanging="360"/>
      </w:pPr>
      <w:rPr>
        <w:rFonts w:ascii="Symbol" w:hAnsi="Symbol" w:hint="default"/>
      </w:rPr>
    </w:lvl>
    <w:lvl w:ilvl="1" w:tplc="041B0019">
      <w:start w:val="1"/>
      <w:numFmt w:val="lowerLetter"/>
      <w:lvlText w:val="%2."/>
      <w:lvlJc w:val="left"/>
      <w:pPr>
        <w:ind w:left="1080" w:hanging="360"/>
      </w:pPr>
    </w:lvl>
    <w:lvl w:ilvl="2" w:tplc="041B001B">
      <w:start w:val="1"/>
      <w:numFmt w:val="lowerRoman"/>
      <w:lvlText w:val="%3."/>
      <w:lvlJc w:val="right"/>
      <w:pPr>
        <w:ind w:left="1800" w:hanging="180"/>
      </w:pPr>
    </w:lvl>
    <w:lvl w:ilvl="3" w:tplc="041B000F">
      <w:start w:val="1"/>
      <w:numFmt w:val="decimal"/>
      <w:lvlText w:val="%4."/>
      <w:lvlJc w:val="left"/>
      <w:pPr>
        <w:ind w:left="2520" w:hanging="360"/>
      </w:pPr>
    </w:lvl>
    <w:lvl w:ilvl="4" w:tplc="041B0019">
      <w:start w:val="1"/>
      <w:numFmt w:val="lowerLetter"/>
      <w:lvlText w:val="%5."/>
      <w:lvlJc w:val="left"/>
      <w:pPr>
        <w:ind w:left="3240" w:hanging="360"/>
      </w:pPr>
    </w:lvl>
    <w:lvl w:ilvl="5" w:tplc="041B001B">
      <w:start w:val="1"/>
      <w:numFmt w:val="lowerRoman"/>
      <w:lvlText w:val="%6."/>
      <w:lvlJc w:val="right"/>
      <w:pPr>
        <w:ind w:left="3960" w:hanging="180"/>
      </w:pPr>
    </w:lvl>
    <w:lvl w:ilvl="6" w:tplc="041B000F">
      <w:start w:val="1"/>
      <w:numFmt w:val="decimal"/>
      <w:lvlText w:val="%7."/>
      <w:lvlJc w:val="left"/>
      <w:pPr>
        <w:ind w:left="4680" w:hanging="360"/>
      </w:pPr>
    </w:lvl>
    <w:lvl w:ilvl="7" w:tplc="041B0019">
      <w:start w:val="1"/>
      <w:numFmt w:val="lowerLetter"/>
      <w:lvlText w:val="%8."/>
      <w:lvlJc w:val="left"/>
      <w:pPr>
        <w:ind w:left="5400" w:hanging="360"/>
      </w:pPr>
    </w:lvl>
    <w:lvl w:ilvl="8" w:tplc="041B001B">
      <w:start w:val="1"/>
      <w:numFmt w:val="lowerRoman"/>
      <w:lvlText w:val="%9."/>
      <w:lvlJc w:val="right"/>
      <w:pPr>
        <w:ind w:left="6120" w:hanging="180"/>
      </w:pPr>
    </w:lvl>
  </w:abstractNum>
  <w:abstractNum w:abstractNumId="317">
    <w:nsid w:val="5F515F33"/>
    <w:multiLevelType w:val="hybridMultilevel"/>
    <w:tmpl w:val="E028F204"/>
    <w:lvl w:ilvl="0" w:tplc="041B0001">
      <w:start w:val="1"/>
      <w:numFmt w:val="bullet"/>
      <w:lvlText w:val=""/>
      <w:lvlJc w:val="left"/>
      <w:pPr>
        <w:ind w:left="360" w:hanging="360"/>
      </w:pPr>
      <w:rPr>
        <w:rFonts w:ascii="Symbol" w:hAnsi="Symbol" w:hint="default"/>
      </w:rPr>
    </w:lvl>
    <w:lvl w:ilvl="1" w:tplc="041B0019">
      <w:start w:val="1"/>
      <w:numFmt w:val="lowerLetter"/>
      <w:lvlText w:val="%2."/>
      <w:lvlJc w:val="left"/>
      <w:pPr>
        <w:ind w:left="1080" w:hanging="360"/>
      </w:pPr>
    </w:lvl>
    <w:lvl w:ilvl="2" w:tplc="041B001B">
      <w:start w:val="1"/>
      <w:numFmt w:val="lowerRoman"/>
      <w:lvlText w:val="%3."/>
      <w:lvlJc w:val="right"/>
      <w:pPr>
        <w:ind w:left="1800" w:hanging="180"/>
      </w:pPr>
    </w:lvl>
    <w:lvl w:ilvl="3" w:tplc="041B000F">
      <w:start w:val="1"/>
      <w:numFmt w:val="decimal"/>
      <w:lvlText w:val="%4."/>
      <w:lvlJc w:val="left"/>
      <w:pPr>
        <w:ind w:left="2520" w:hanging="360"/>
      </w:pPr>
    </w:lvl>
    <w:lvl w:ilvl="4" w:tplc="041B0019">
      <w:start w:val="1"/>
      <w:numFmt w:val="lowerLetter"/>
      <w:lvlText w:val="%5."/>
      <w:lvlJc w:val="left"/>
      <w:pPr>
        <w:ind w:left="3240" w:hanging="360"/>
      </w:pPr>
    </w:lvl>
    <w:lvl w:ilvl="5" w:tplc="041B001B">
      <w:start w:val="1"/>
      <w:numFmt w:val="lowerRoman"/>
      <w:lvlText w:val="%6."/>
      <w:lvlJc w:val="right"/>
      <w:pPr>
        <w:ind w:left="3960" w:hanging="180"/>
      </w:pPr>
    </w:lvl>
    <w:lvl w:ilvl="6" w:tplc="041B000F">
      <w:start w:val="1"/>
      <w:numFmt w:val="decimal"/>
      <w:lvlText w:val="%7."/>
      <w:lvlJc w:val="left"/>
      <w:pPr>
        <w:ind w:left="4680" w:hanging="360"/>
      </w:pPr>
    </w:lvl>
    <w:lvl w:ilvl="7" w:tplc="041B0019">
      <w:start w:val="1"/>
      <w:numFmt w:val="lowerLetter"/>
      <w:lvlText w:val="%8."/>
      <w:lvlJc w:val="left"/>
      <w:pPr>
        <w:ind w:left="5400" w:hanging="360"/>
      </w:pPr>
    </w:lvl>
    <w:lvl w:ilvl="8" w:tplc="041B001B">
      <w:start w:val="1"/>
      <w:numFmt w:val="lowerRoman"/>
      <w:lvlText w:val="%9."/>
      <w:lvlJc w:val="right"/>
      <w:pPr>
        <w:ind w:left="6120" w:hanging="180"/>
      </w:pPr>
    </w:lvl>
  </w:abstractNum>
  <w:abstractNum w:abstractNumId="318">
    <w:nsid w:val="5FBD1D81"/>
    <w:multiLevelType w:val="multilevel"/>
    <w:tmpl w:val="B9E41708"/>
    <w:lvl w:ilvl="0">
      <w:start w:val="1"/>
      <w:numFmt w:val="decimal"/>
      <w:lvlText w:val="%1."/>
      <w:lvlJc w:val="left"/>
      <w:pPr>
        <w:ind w:left="720" w:hanging="360"/>
      </w:p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319">
    <w:nsid w:val="5FD82480"/>
    <w:multiLevelType w:val="hybridMultilevel"/>
    <w:tmpl w:val="F2567AE2"/>
    <w:lvl w:ilvl="0" w:tplc="0D84CED8">
      <w:start w:val="6"/>
      <w:numFmt w:val="decimal"/>
      <w:lvlText w:val="%1."/>
      <w:lvlJc w:val="left"/>
      <w:pPr>
        <w:ind w:left="720" w:hanging="360"/>
      </w:pPr>
      <w:rPr>
        <w:rFonts w:hint="default"/>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320">
    <w:nsid w:val="5FF20930"/>
    <w:multiLevelType w:val="hybridMultilevel"/>
    <w:tmpl w:val="6FA6C316"/>
    <w:lvl w:ilvl="0" w:tplc="041B0017">
      <w:start w:val="1"/>
      <w:numFmt w:val="lowerLetter"/>
      <w:lvlText w:val="%1)"/>
      <w:lvlJc w:val="left"/>
      <w:pPr>
        <w:ind w:left="720" w:hanging="360"/>
      </w:p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321">
    <w:nsid w:val="608E61B0"/>
    <w:multiLevelType w:val="hybridMultilevel"/>
    <w:tmpl w:val="CC0EACC0"/>
    <w:lvl w:ilvl="0" w:tplc="E5B6271A">
      <w:start w:val="1"/>
      <w:numFmt w:val="bullet"/>
      <w:lvlText w:val=""/>
      <w:lvlPicBulletId w:val="0"/>
      <w:lvlJc w:val="left"/>
      <w:pPr>
        <w:tabs>
          <w:tab w:val="num" w:pos="720"/>
        </w:tabs>
        <w:ind w:left="720" w:hanging="360"/>
      </w:pPr>
      <w:rPr>
        <w:rFonts w:ascii="Symbol" w:hAnsi="Symbol" w:hint="default"/>
      </w:rPr>
    </w:lvl>
    <w:lvl w:ilvl="1" w:tplc="70BA1EC4" w:tentative="1">
      <w:start w:val="1"/>
      <w:numFmt w:val="bullet"/>
      <w:lvlText w:val=""/>
      <w:lvlJc w:val="left"/>
      <w:pPr>
        <w:tabs>
          <w:tab w:val="num" w:pos="1440"/>
        </w:tabs>
        <w:ind w:left="1440" w:hanging="360"/>
      </w:pPr>
      <w:rPr>
        <w:rFonts w:ascii="Symbol" w:hAnsi="Symbol" w:hint="default"/>
      </w:rPr>
    </w:lvl>
    <w:lvl w:ilvl="2" w:tplc="8B688E02" w:tentative="1">
      <w:start w:val="1"/>
      <w:numFmt w:val="bullet"/>
      <w:lvlText w:val=""/>
      <w:lvlJc w:val="left"/>
      <w:pPr>
        <w:tabs>
          <w:tab w:val="num" w:pos="2160"/>
        </w:tabs>
        <w:ind w:left="2160" w:hanging="360"/>
      </w:pPr>
      <w:rPr>
        <w:rFonts w:ascii="Symbol" w:hAnsi="Symbol" w:hint="default"/>
      </w:rPr>
    </w:lvl>
    <w:lvl w:ilvl="3" w:tplc="583A307A" w:tentative="1">
      <w:start w:val="1"/>
      <w:numFmt w:val="bullet"/>
      <w:lvlText w:val=""/>
      <w:lvlJc w:val="left"/>
      <w:pPr>
        <w:tabs>
          <w:tab w:val="num" w:pos="2880"/>
        </w:tabs>
        <w:ind w:left="2880" w:hanging="360"/>
      </w:pPr>
      <w:rPr>
        <w:rFonts w:ascii="Symbol" w:hAnsi="Symbol" w:hint="default"/>
      </w:rPr>
    </w:lvl>
    <w:lvl w:ilvl="4" w:tplc="416AEA5A" w:tentative="1">
      <w:start w:val="1"/>
      <w:numFmt w:val="bullet"/>
      <w:lvlText w:val=""/>
      <w:lvlJc w:val="left"/>
      <w:pPr>
        <w:tabs>
          <w:tab w:val="num" w:pos="3600"/>
        </w:tabs>
        <w:ind w:left="3600" w:hanging="360"/>
      </w:pPr>
      <w:rPr>
        <w:rFonts w:ascii="Symbol" w:hAnsi="Symbol" w:hint="default"/>
      </w:rPr>
    </w:lvl>
    <w:lvl w:ilvl="5" w:tplc="35880A2E" w:tentative="1">
      <w:start w:val="1"/>
      <w:numFmt w:val="bullet"/>
      <w:lvlText w:val=""/>
      <w:lvlJc w:val="left"/>
      <w:pPr>
        <w:tabs>
          <w:tab w:val="num" w:pos="4320"/>
        </w:tabs>
        <w:ind w:left="4320" w:hanging="360"/>
      </w:pPr>
      <w:rPr>
        <w:rFonts w:ascii="Symbol" w:hAnsi="Symbol" w:hint="default"/>
      </w:rPr>
    </w:lvl>
    <w:lvl w:ilvl="6" w:tplc="F9CA45DC" w:tentative="1">
      <w:start w:val="1"/>
      <w:numFmt w:val="bullet"/>
      <w:lvlText w:val=""/>
      <w:lvlJc w:val="left"/>
      <w:pPr>
        <w:tabs>
          <w:tab w:val="num" w:pos="5040"/>
        </w:tabs>
        <w:ind w:left="5040" w:hanging="360"/>
      </w:pPr>
      <w:rPr>
        <w:rFonts w:ascii="Symbol" w:hAnsi="Symbol" w:hint="default"/>
      </w:rPr>
    </w:lvl>
    <w:lvl w:ilvl="7" w:tplc="72B647EA" w:tentative="1">
      <w:start w:val="1"/>
      <w:numFmt w:val="bullet"/>
      <w:lvlText w:val=""/>
      <w:lvlJc w:val="left"/>
      <w:pPr>
        <w:tabs>
          <w:tab w:val="num" w:pos="5760"/>
        </w:tabs>
        <w:ind w:left="5760" w:hanging="360"/>
      </w:pPr>
      <w:rPr>
        <w:rFonts w:ascii="Symbol" w:hAnsi="Symbol" w:hint="default"/>
      </w:rPr>
    </w:lvl>
    <w:lvl w:ilvl="8" w:tplc="707A581E" w:tentative="1">
      <w:start w:val="1"/>
      <w:numFmt w:val="bullet"/>
      <w:lvlText w:val=""/>
      <w:lvlJc w:val="left"/>
      <w:pPr>
        <w:tabs>
          <w:tab w:val="num" w:pos="6480"/>
        </w:tabs>
        <w:ind w:left="6480" w:hanging="360"/>
      </w:pPr>
      <w:rPr>
        <w:rFonts w:ascii="Symbol" w:hAnsi="Symbol" w:hint="default"/>
      </w:rPr>
    </w:lvl>
  </w:abstractNum>
  <w:abstractNum w:abstractNumId="322">
    <w:nsid w:val="608F2071"/>
    <w:multiLevelType w:val="hybridMultilevel"/>
    <w:tmpl w:val="7A545498"/>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323">
    <w:nsid w:val="60AB5C51"/>
    <w:multiLevelType w:val="hybridMultilevel"/>
    <w:tmpl w:val="9940C45A"/>
    <w:lvl w:ilvl="0" w:tplc="041B0017">
      <w:start w:val="1"/>
      <w:numFmt w:val="lowerLetter"/>
      <w:lvlText w:val="%1)"/>
      <w:lvlJc w:val="left"/>
      <w:pPr>
        <w:ind w:left="720" w:hanging="360"/>
      </w:pPr>
    </w:lvl>
    <w:lvl w:ilvl="1" w:tplc="041B0017">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324">
    <w:nsid w:val="613F0AB7"/>
    <w:multiLevelType w:val="hybridMultilevel"/>
    <w:tmpl w:val="89F4ECE2"/>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325">
    <w:nsid w:val="61AA09CC"/>
    <w:multiLevelType w:val="hybridMultilevel"/>
    <w:tmpl w:val="0A7ED1E6"/>
    <w:lvl w:ilvl="0" w:tplc="041B0001">
      <w:start w:val="1"/>
      <w:numFmt w:val="bullet"/>
      <w:lvlText w:val=""/>
      <w:lvlJc w:val="left"/>
      <w:pPr>
        <w:ind w:left="1080" w:hanging="360"/>
      </w:pPr>
      <w:rPr>
        <w:rFonts w:ascii="Symbol" w:hAnsi="Symbol" w:hint="default"/>
      </w:rPr>
    </w:lvl>
    <w:lvl w:ilvl="1" w:tplc="041B0003" w:tentative="1">
      <w:start w:val="1"/>
      <w:numFmt w:val="bullet"/>
      <w:lvlText w:val="o"/>
      <w:lvlJc w:val="left"/>
      <w:pPr>
        <w:ind w:left="1800" w:hanging="360"/>
      </w:pPr>
      <w:rPr>
        <w:rFonts w:ascii="Courier New" w:hAnsi="Courier New" w:cs="Courier New" w:hint="default"/>
      </w:rPr>
    </w:lvl>
    <w:lvl w:ilvl="2" w:tplc="041B0005" w:tentative="1">
      <w:start w:val="1"/>
      <w:numFmt w:val="bullet"/>
      <w:lvlText w:val=""/>
      <w:lvlJc w:val="left"/>
      <w:pPr>
        <w:ind w:left="2520" w:hanging="360"/>
      </w:pPr>
      <w:rPr>
        <w:rFonts w:ascii="Wingdings" w:hAnsi="Wingdings" w:hint="default"/>
      </w:rPr>
    </w:lvl>
    <w:lvl w:ilvl="3" w:tplc="041B0001" w:tentative="1">
      <w:start w:val="1"/>
      <w:numFmt w:val="bullet"/>
      <w:lvlText w:val=""/>
      <w:lvlJc w:val="left"/>
      <w:pPr>
        <w:ind w:left="3240" w:hanging="360"/>
      </w:pPr>
      <w:rPr>
        <w:rFonts w:ascii="Symbol" w:hAnsi="Symbol" w:hint="default"/>
      </w:rPr>
    </w:lvl>
    <w:lvl w:ilvl="4" w:tplc="041B0003" w:tentative="1">
      <w:start w:val="1"/>
      <w:numFmt w:val="bullet"/>
      <w:lvlText w:val="o"/>
      <w:lvlJc w:val="left"/>
      <w:pPr>
        <w:ind w:left="3960" w:hanging="360"/>
      </w:pPr>
      <w:rPr>
        <w:rFonts w:ascii="Courier New" w:hAnsi="Courier New" w:cs="Courier New" w:hint="default"/>
      </w:rPr>
    </w:lvl>
    <w:lvl w:ilvl="5" w:tplc="041B0005" w:tentative="1">
      <w:start w:val="1"/>
      <w:numFmt w:val="bullet"/>
      <w:lvlText w:val=""/>
      <w:lvlJc w:val="left"/>
      <w:pPr>
        <w:ind w:left="4680" w:hanging="360"/>
      </w:pPr>
      <w:rPr>
        <w:rFonts w:ascii="Wingdings" w:hAnsi="Wingdings" w:hint="default"/>
      </w:rPr>
    </w:lvl>
    <w:lvl w:ilvl="6" w:tplc="041B0001" w:tentative="1">
      <w:start w:val="1"/>
      <w:numFmt w:val="bullet"/>
      <w:lvlText w:val=""/>
      <w:lvlJc w:val="left"/>
      <w:pPr>
        <w:ind w:left="5400" w:hanging="360"/>
      </w:pPr>
      <w:rPr>
        <w:rFonts w:ascii="Symbol" w:hAnsi="Symbol" w:hint="default"/>
      </w:rPr>
    </w:lvl>
    <w:lvl w:ilvl="7" w:tplc="041B0003" w:tentative="1">
      <w:start w:val="1"/>
      <w:numFmt w:val="bullet"/>
      <w:lvlText w:val="o"/>
      <w:lvlJc w:val="left"/>
      <w:pPr>
        <w:ind w:left="6120" w:hanging="360"/>
      </w:pPr>
      <w:rPr>
        <w:rFonts w:ascii="Courier New" w:hAnsi="Courier New" w:cs="Courier New" w:hint="default"/>
      </w:rPr>
    </w:lvl>
    <w:lvl w:ilvl="8" w:tplc="041B0005" w:tentative="1">
      <w:start w:val="1"/>
      <w:numFmt w:val="bullet"/>
      <w:lvlText w:val=""/>
      <w:lvlJc w:val="left"/>
      <w:pPr>
        <w:ind w:left="6840" w:hanging="360"/>
      </w:pPr>
      <w:rPr>
        <w:rFonts w:ascii="Wingdings" w:hAnsi="Wingdings" w:hint="default"/>
      </w:rPr>
    </w:lvl>
  </w:abstractNum>
  <w:abstractNum w:abstractNumId="326">
    <w:nsid w:val="62505918"/>
    <w:multiLevelType w:val="hybridMultilevel"/>
    <w:tmpl w:val="893EAC40"/>
    <w:lvl w:ilvl="0" w:tplc="674E832A">
      <w:numFmt w:val="bullet"/>
      <w:lvlText w:val="-"/>
      <w:lvlJc w:val="left"/>
      <w:pPr>
        <w:ind w:left="720" w:hanging="360"/>
      </w:pPr>
      <w:rPr>
        <w:rFonts w:ascii="Calibri" w:eastAsia="Times New Roman" w:hAnsi="Calibri" w:cs="Times New Roman"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327">
    <w:nsid w:val="62941FDD"/>
    <w:multiLevelType w:val="hybridMultilevel"/>
    <w:tmpl w:val="333A8740"/>
    <w:lvl w:ilvl="0" w:tplc="8D4C07C2">
      <w:start w:val="1"/>
      <w:numFmt w:val="bullet"/>
      <w:lvlText w:val=""/>
      <w:lvlJc w:val="left"/>
      <w:pPr>
        <w:tabs>
          <w:tab w:val="num" w:pos="360"/>
        </w:tabs>
        <w:ind w:left="360" w:hanging="360"/>
      </w:pPr>
      <w:rPr>
        <w:rFonts w:ascii="Wingdings" w:hAnsi="Wingdings" w:hint="default"/>
        <w:color w:val="auto"/>
      </w:rPr>
    </w:lvl>
    <w:lvl w:ilvl="1" w:tplc="041B0003" w:tentative="1">
      <w:start w:val="1"/>
      <w:numFmt w:val="bullet"/>
      <w:lvlText w:val="o"/>
      <w:lvlJc w:val="left"/>
      <w:pPr>
        <w:tabs>
          <w:tab w:val="num" w:pos="1440"/>
        </w:tabs>
        <w:ind w:left="1440" w:hanging="360"/>
      </w:pPr>
      <w:rPr>
        <w:rFonts w:ascii="Courier New" w:hAnsi="Courier New" w:cs="Courier New" w:hint="default"/>
      </w:rPr>
    </w:lvl>
    <w:lvl w:ilvl="2" w:tplc="041B0005" w:tentative="1">
      <w:start w:val="1"/>
      <w:numFmt w:val="bullet"/>
      <w:lvlText w:val=""/>
      <w:lvlJc w:val="left"/>
      <w:pPr>
        <w:tabs>
          <w:tab w:val="num" w:pos="2160"/>
        </w:tabs>
        <w:ind w:left="2160" w:hanging="360"/>
      </w:pPr>
      <w:rPr>
        <w:rFonts w:ascii="Wingdings" w:hAnsi="Wingdings" w:hint="default"/>
      </w:rPr>
    </w:lvl>
    <w:lvl w:ilvl="3" w:tplc="041B0001" w:tentative="1">
      <w:start w:val="1"/>
      <w:numFmt w:val="bullet"/>
      <w:lvlText w:val=""/>
      <w:lvlJc w:val="left"/>
      <w:pPr>
        <w:tabs>
          <w:tab w:val="num" w:pos="2880"/>
        </w:tabs>
        <w:ind w:left="2880" w:hanging="360"/>
      </w:pPr>
      <w:rPr>
        <w:rFonts w:ascii="Symbol" w:hAnsi="Symbol" w:hint="default"/>
      </w:rPr>
    </w:lvl>
    <w:lvl w:ilvl="4" w:tplc="041B0003" w:tentative="1">
      <w:start w:val="1"/>
      <w:numFmt w:val="bullet"/>
      <w:lvlText w:val="o"/>
      <w:lvlJc w:val="left"/>
      <w:pPr>
        <w:tabs>
          <w:tab w:val="num" w:pos="3600"/>
        </w:tabs>
        <w:ind w:left="3600" w:hanging="360"/>
      </w:pPr>
      <w:rPr>
        <w:rFonts w:ascii="Courier New" w:hAnsi="Courier New" w:cs="Courier New" w:hint="default"/>
      </w:rPr>
    </w:lvl>
    <w:lvl w:ilvl="5" w:tplc="041B0005" w:tentative="1">
      <w:start w:val="1"/>
      <w:numFmt w:val="bullet"/>
      <w:lvlText w:val=""/>
      <w:lvlJc w:val="left"/>
      <w:pPr>
        <w:tabs>
          <w:tab w:val="num" w:pos="4320"/>
        </w:tabs>
        <w:ind w:left="4320" w:hanging="360"/>
      </w:pPr>
      <w:rPr>
        <w:rFonts w:ascii="Wingdings" w:hAnsi="Wingdings" w:hint="default"/>
      </w:rPr>
    </w:lvl>
    <w:lvl w:ilvl="6" w:tplc="041B0001" w:tentative="1">
      <w:start w:val="1"/>
      <w:numFmt w:val="bullet"/>
      <w:lvlText w:val=""/>
      <w:lvlJc w:val="left"/>
      <w:pPr>
        <w:tabs>
          <w:tab w:val="num" w:pos="5040"/>
        </w:tabs>
        <w:ind w:left="5040" w:hanging="360"/>
      </w:pPr>
      <w:rPr>
        <w:rFonts w:ascii="Symbol" w:hAnsi="Symbol" w:hint="default"/>
      </w:rPr>
    </w:lvl>
    <w:lvl w:ilvl="7" w:tplc="041B0003" w:tentative="1">
      <w:start w:val="1"/>
      <w:numFmt w:val="bullet"/>
      <w:lvlText w:val="o"/>
      <w:lvlJc w:val="left"/>
      <w:pPr>
        <w:tabs>
          <w:tab w:val="num" w:pos="5760"/>
        </w:tabs>
        <w:ind w:left="5760" w:hanging="360"/>
      </w:pPr>
      <w:rPr>
        <w:rFonts w:ascii="Courier New" w:hAnsi="Courier New" w:cs="Courier New" w:hint="default"/>
      </w:rPr>
    </w:lvl>
    <w:lvl w:ilvl="8" w:tplc="041B0005" w:tentative="1">
      <w:start w:val="1"/>
      <w:numFmt w:val="bullet"/>
      <w:lvlText w:val=""/>
      <w:lvlJc w:val="left"/>
      <w:pPr>
        <w:tabs>
          <w:tab w:val="num" w:pos="6480"/>
        </w:tabs>
        <w:ind w:left="6480" w:hanging="360"/>
      </w:pPr>
      <w:rPr>
        <w:rFonts w:ascii="Wingdings" w:hAnsi="Wingdings" w:hint="default"/>
      </w:rPr>
    </w:lvl>
  </w:abstractNum>
  <w:abstractNum w:abstractNumId="328">
    <w:nsid w:val="62A05AF9"/>
    <w:multiLevelType w:val="hybridMultilevel"/>
    <w:tmpl w:val="D7F68E76"/>
    <w:lvl w:ilvl="0" w:tplc="041B0001">
      <w:start w:val="1"/>
      <w:numFmt w:val="bullet"/>
      <w:lvlText w:val=""/>
      <w:lvlJc w:val="left"/>
      <w:pPr>
        <w:ind w:left="720" w:hanging="360"/>
      </w:pPr>
      <w:rPr>
        <w:rFonts w:ascii="Symbol" w:hAnsi="Symbol" w:hint="default"/>
      </w:rPr>
    </w:lvl>
    <w:lvl w:ilvl="1" w:tplc="041B0001">
      <w:start w:val="1"/>
      <w:numFmt w:val="bullet"/>
      <w:lvlText w:val=""/>
      <w:lvlJc w:val="left"/>
      <w:pPr>
        <w:ind w:left="1440" w:hanging="360"/>
      </w:pPr>
      <w:rPr>
        <w:rFonts w:ascii="Symbol" w:hAnsi="Symbol"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329">
    <w:nsid w:val="62B807CB"/>
    <w:multiLevelType w:val="hybridMultilevel"/>
    <w:tmpl w:val="405C79C6"/>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330">
    <w:nsid w:val="62E833F3"/>
    <w:multiLevelType w:val="hybridMultilevel"/>
    <w:tmpl w:val="72D0FF5C"/>
    <w:lvl w:ilvl="0" w:tplc="99BC4518">
      <w:start w:val="1"/>
      <w:numFmt w:val="bullet"/>
      <w:lvlText w:val=""/>
      <w:lvlJc w:val="left"/>
      <w:pPr>
        <w:tabs>
          <w:tab w:val="num" w:pos="720"/>
        </w:tabs>
        <w:ind w:left="720" w:hanging="360"/>
      </w:pPr>
      <w:rPr>
        <w:rFonts w:ascii="Wingdings" w:hAnsi="Wingdings" w:hint="default"/>
      </w:rPr>
    </w:lvl>
    <w:lvl w:ilvl="1" w:tplc="04050003" w:tentative="1">
      <w:start w:val="1"/>
      <w:numFmt w:val="bullet"/>
      <w:lvlText w:val="o"/>
      <w:lvlJc w:val="left"/>
      <w:pPr>
        <w:tabs>
          <w:tab w:val="num" w:pos="1440"/>
        </w:tabs>
        <w:ind w:left="1440" w:hanging="360"/>
      </w:pPr>
      <w:rPr>
        <w:rFonts w:ascii="Courier New" w:hAnsi="Courier New" w:cs="Courier New" w:hint="default"/>
      </w:rPr>
    </w:lvl>
    <w:lvl w:ilvl="2" w:tplc="04050005" w:tentative="1">
      <w:start w:val="1"/>
      <w:numFmt w:val="bullet"/>
      <w:lvlText w:val=""/>
      <w:lvlJc w:val="left"/>
      <w:pPr>
        <w:tabs>
          <w:tab w:val="num" w:pos="2160"/>
        </w:tabs>
        <w:ind w:left="2160" w:hanging="360"/>
      </w:pPr>
      <w:rPr>
        <w:rFonts w:ascii="Wingdings" w:hAnsi="Wingdings" w:hint="default"/>
      </w:rPr>
    </w:lvl>
    <w:lvl w:ilvl="3" w:tplc="04050001" w:tentative="1">
      <w:start w:val="1"/>
      <w:numFmt w:val="bullet"/>
      <w:lvlText w:val=""/>
      <w:lvlJc w:val="left"/>
      <w:pPr>
        <w:tabs>
          <w:tab w:val="num" w:pos="2880"/>
        </w:tabs>
        <w:ind w:left="2880" w:hanging="360"/>
      </w:pPr>
      <w:rPr>
        <w:rFonts w:ascii="Symbol" w:hAnsi="Symbol" w:hint="default"/>
      </w:rPr>
    </w:lvl>
    <w:lvl w:ilvl="4" w:tplc="04050003" w:tentative="1">
      <w:start w:val="1"/>
      <w:numFmt w:val="bullet"/>
      <w:lvlText w:val="o"/>
      <w:lvlJc w:val="left"/>
      <w:pPr>
        <w:tabs>
          <w:tab w:val="num" w:pos="3600"/>
        </w:tabs>
        <w:ind w:left="3600" w:hanging="360"/>
      </w:pPr>
      <w:rPr>
        <w:rFonts w:ascii="Courier New" w:hAnsi="Courier New" w:cs="Courier New" w:hint="default"/>
      </w:rPr>
    </w:lvl>
    <w:lvl w:ilvl="5" w:tplc="04050005" w:tentative="1">
      <w:start w:val="1"/>
      <w:numFmt w:val="bullet"/>
      <w:lvlText w:val=""/>
      <w:lvlJc w:val="left"/>
      <w:pPr>
        <w:tabs>
          <w:tab w:val="num" w:pos="4320"/>
        </w:tabs>
        <w:ind w:left="4320" w:hanging="360"/>
      </w:pPr>
      <w:rPr>
        <w:rFonts w:ascii="Wingdings" w:hAnsi="Wingdings" w:hint="default"/>
      </w:rPr>
    </w:lvl>
    <w:lvl w:ilvl="6" w:tplc="04050001" w:tentative="1">
      <w:start w:val="1"/>
      <w:numFmt w:val="bullet"/>
      <w:lvlText w:val=""/>
      <w:lvlJc w:val="left"/>
      <w:pPr>
        <w:tabs>
          <w:tab w:val="num" w:pos="5040"/>
        </w:tabs>
        <w:ind w:left="5040" w:hanging="360"/>
      </w:pPr>
      <w:rPr>
        <w:rFonts w:ascii="Symbol" w:hAnsi="Symbol" w:hint="default"/>
      </w:rPr>
    </w:lvl>
    <w:lvl w:ilvl="7" w:tplc="04050003" w:tentative="1">
      <w:start w:val="1"/>
      <w:numFmt w:val="bullet"/>
      <w:lvlText w:val="o"/>
      <w:lvlJc w:val="left"/>
      <w:pPr>
        <w:tabs>
          <w:tab w:val="num" w:pos="5760"/>
        </w:tabs>
        <w:ind w:left="5760" w:hanging="360"/>
      </w:pPr>
      <w:rPr>
        <w:rFonts w:ascii="Courier New" w:hAnsi="Courier New" w:cs="Courier New" w:hint="default"/>
      </w:rPr>
    </w:lvl>
    <w:lvl w:ilvl="8" w:tplc="04050005" w:tentative="1">
      <w:start w:val="1"/>
      <w:numFmt w:val="bullet"/>
      <w:lvlText w:val=""/>
      <w:lvlJc w:val="left"/>
      <w:pPr>
        <w:tabs>
          <w:tab w:val="num" w:pos="6480"/>
        </w:tabs>
        <w:ind w:left="6480" w:hanging="360"/>
      </w:pPr>
      <w:rPr>
        <w:rFonts w:ascii="Wingdings" w:hAnsi="Wingdings" w:hint="default"/>
      </w:rPr>
    </w:lvl>
  </w:abstractNum>
  <w:abstractNum w:abstractNumId="331">
    <w:nsid w:val="639C1303"/>
    <w:multiLevelType w:val="hybridMultilevel"/>
    <w:tmpl w:val="1E7859CA"/>
    <w:lvl w:ilvl="0" w:tplc="D968098C">
      <w:start w:val="5"/>
      <w:numFmt w:val="bullet"/>
      <w:lvlText w:val="-"/>
      <w:lvlJc w:val="left"/>
      <w:pPr>
        <w:ind w:left="770" w:hanging="360"/>
      </w:pPr>
      <w:rPr>
        <w:rFonts w:ascii="Calibri" w:eastAsia="Calibri" w:hAnsi="Calibri" w:cs="Calibri" w:hint="default"/>
      </w:rPr>
    </w:lvl>
    <w:lvl w:ilvl="1" w:tplc="041B0003">
      <w:start w:val="1"/>
      <w:numFmt w:val="bullet"/>
      <w:lvlText w:val="o"/>
      <w:lvlJc w:val="left"/>
      <w:pPr>
        <w:ind w:left="1490" w:hanging="360"/>
      </w:pPr>
      <w:rPr>
        <w:rFonts w:ascii="Courier New" w:hAnsi="Courier New" w:cs="Courier New" w:hint="default"/>
      </w:rPr>
    </w:lvl>
    <w:lvl w:ilvl="2" w:tplc="041B0005" w:tentative="1">
      <w:start w:val="1"/>
      <w:numFmt w:val="bullet"/>
      <w:lvlText w:val=""/>
      <w:lvlJc w:val="left"/>
      <w:pPr>
        <w:ind w:left="2210" w:hanging="360"/>
      </w:pPr>
      <w:rPr>
        <w:rFonts w:ascii="Wingdings" w:hAnsi="Wingdings" w:hint="default"/>
      </w:rPr>
    </w:lvl>
    <w:lvl w:ilvl="3" w:tplc="041B0001" w:tentative="1">
      <w:start w:val="1"/>
      <w:numFmt w:val="bullet"/>
      <w:lvlText w:val=""/>
      <w:lvlJc w:val="left"/>
      <w:pPr>
        <w:ind w:left="2930" w:hanging="360"/>
      </w:pPr>
      <w:rPr>
        <w:rFonts w:ascii="Symbol" w:hAnsi="Symbol" w:hint="default"/>
      </w:rPr>
    </w:lvl>
    <w:lvl w:ilvl="4" w:tplc="041B0003" w:tentative="1">
      <w:start w:val="1"/>
      <w:numFmt w:val="bullet"/>
      <w:lvlText w:val="o"/>
      <w:lvlJc w:val="left"/>
      <w:pPr>
        <w:ind w:left="3650" w:hanging="360"/>
      </w:pPr>
      <w:rPr>
        <w:rFonts w:ascii="Courier New" w:hAnsi="Courier New" w:cs="Courier New" w:hint="default"/>
      </w:rPr>
    </w:lvl>
    <w:lvl w:ilvl="5" w:tplc="041B0005" w:tentative="1">
      <w:start w:val="1"/>
      <w:numFmt w:val="bullet"/>
      <w:lvlText w:val=""/>
      <w:lvlJc w:val="left"/>
      <w:pPr>
        <w:ind w:left="4370" w:hanging="360"/>
      </w:pPr>
      <w:rPr>
        <w:rFonts w:ascii="Wingdings" w:hAnsi="Wingdings" w:hint="default"/>
      </w:rPr>
    </w:lvl>
    <w:lvl w:ilvl="6" w:tplc="041B0001" w:tentative="1">
      <w:start w:val="1"/>
      <w:numFmt w:val="bullet"/>
      <w:lvlText w:val=""/>
      <w:lvlJc w:val="left"/>
      <w:pPr>
        <w:ind w:left="5090" w:hanging="360"/>
      </w:pPr>
      <w:rPr>
        <w:rFonts w:ascii="Symbol" w:hAnsi="Symbol" w:hint="default"/>
      </w:rPr>
    </w:lvl>
    <w:lvl w:ilvl="7" w:tplc="041B0003" w:tentative="1">
      <w:start w:val="1"/>
      <w:numFmt w:val="bullet"/>
      <w:lvlText w:val="o"/>
      <w:lvlJc w:val="left"/>
      <w:pPr>
        <w:ind w:left="5810" w:hanging="360"/>
      </w:pPr>
      <w:rPr>
        <w:rFonts w:ascii="Courier New" w:hAnsi="Courier New" w:cs="Courier New" w:hint="default"/>
      </w:rPr>
    </w:lvl>
    <w:lvl w:ilvl="8" w:tplc="041B0005" w:tentative="1">
      <w:start w:val="1"/>
      <w:numFmt w:val="bullet"/>
      <w:lvlText w:val=""/>
      <w:lvlJc w:val="left"/>
      <w:pPr>
        <w:ind w:left="6530" w:hanging="360"/>
      </w:pPr>
      <w:rPr>
        <w:rFonts w:ascii="Wingdings" w:hAnsi="Wingdings" w:hint="default"/>
      </w:rPr>
    </w:lvl>
  </w:abstractNum>
  <w:abstractNum w:abstractNumId="332">
    <w:nsid w:val="63DF3306"/>
    <w:multiLevelType w:val="hybridMultilevel"/>
    <w:tmpl w:val="5EAECBAA"/>
    <w:lvl w:ilvl="0" w:tplc="F4BC81F4">
      <w:start w:val="1"/>
      <w:numFmt w:val="bullet"/>
      <w:lvlText w:val=""/>
      <w:lvlJc w:val="left"/>
      <w:pPr>
        <w:ind w:left="720" w:hanging="360"/>
      </w:pPr>
      <w:rPr>
        <w:rFonts w:ascii="Symbol" w:hAnsi="Symbol" w:hint="default"/>
      </w:rPr>
    </w:lvl>
    <w:lvl w:ilvl="1" w:tplc="E15058A8">
      <w:start w:val="1"/>
      <w:numFmt w:val="bullet"/>
      <w:lvlText w:val="o"/>
      <w:lvlJc w:val="left"/>
      <w:pPr>
        <w:ind w:left="1440" w:hanging="360"/>
      </w:pPr>
      <w:rPr>
        <w:rFonts w:ascii="Courier New" w:hAnsi="Courier New" w:hint="default"/>
      </w:rPr>
    </w:lvl>
    <w:lvl w:ilvl="2" w:tplc="A37C35C4">
      <w:start w:val="1"/>
      <w:numFmt w:val="bullet"/>
      <w:lvlText w:val=""/>
      <w:lvlJc w:val="left"/>
      <w:pPr>
        <w:ind w:left="2160" w:hanging="360"/>
      </w:pPr>
      <w:rPr>
        <w:rFonts w:ascii="Wingdings" w:hAnsi="Wingdings" w:hint="default"/>
      </w:rPr>
    </w:lvl>
    <w:lvl w:ilvl="3" w:tplc="23B67414">
      <w:start w:val="1"/>
      <w:numFmt w:val="bullet"/>
      <w:lvlText w:val=""/>
      <w:lvlJc w:val="left"/>
      <w:pPr>
        <w:ind w:left="2880" w:hanging="360"/>
      </w:pPr>
      <w:rPr>
        <w:rFonts w:ascii="Symbol" w:hAnsi="Symbol" w:hint="default"/>
      </w:rPr>
    </w:lvl>
    <w:lvl w:ilvl="4" w:tplc="924C1654">
      <w:start w:val="1"/>
      <w:numFmt w:val="bullet"/>
      <w:lvlText w:val="o"/>
      <w:lvlJc w:val="left"/>
      <w:pPr>
        <w:ind w:left="3600" w:hanging="360"/>
      </w:pPr>
      <w:rPr>
        <w:rFonts w:ascii="Courier New" w:hAnsi="Courier New" w:hint="default"/>
      </w:rPr>
    </w:lvl>
    <w:lvl w:ilvl="5" w:tplc="DA767B02">
      <w:start w:val="1"/>
      <w:numFmt w:val="bullet"/>
      <w:lvlText w:val=""/>
      <w:lvlJc w:val="left"/>
      <w:pPr>
        <w:ind w:left="4320" w:hanging="360"/>
      </w:pPr>
      <w:rPr>
        <w:rFonts w:ascii="Wingdings" w:hAnsi="Wingdings" w:hint="default"/>
      </w:rPr>
    </w:lvl>
    <w:lvl w:ilvl="6" w:tplc="9516E6FA">
      <w:start w:val="1"/>
      <w:numFmt w:val="bullet"/>
      <w:lvlText w:val=""/>
      <w:lvlJc w:val="left"/>
      <w:pPr>
        <w:ind w:left="5040" w:hanging="360"/>
      </w:pPr>
      <w:rPr>
        <w:rFonts w:ascii="Symbol" w:hAnsi="Symbol" w:hint="default"/>
      </w:rPr>
    </w:lvl>
    <w:lvl w:ilvl="7" w:tplc="9FD2AE5C">
      <w:start w:val="1"/>
      <w:numFmt w:val="bullet"/>
      <w:lvlText w:val="o"/>
      <w:lvlJc w:val="left"/>
      <w:pPr>
        <w:ind w:left="5760" w:hanging="360"/>
      </w:pPr>
      <w:rPr>
        <w:rFonts w:ascii="Courier New" w:hAnsi="Courier New" w:hint="default"/>
      </w:rPr>
    </w:lvl>
    <w:lvl w:ilvl="8" w:tplc="6FFC902C">
      <w:start w:val="1"/>
      <w:numFmt w:val="bullet"/>
      <w:lvlText w:val=""/>
      <w:lvlJc w:val="left"/>
      <w:pPr>
        <w:ind w:left="6480" w:hanging="360"/>
      </w:pPr>
      <w:rPr>
        <w:rFonts w:ascii="Wingdings" w:hAnsi="Wingdings" w:hint="default"/>
      </w:rPr>
    </w:lvl>
  </w:abstractNum>
  <w:abstractNum w:abstractNumId="333">
    <w:nsid w:val="6417012E"/>
    <w:multiLevelType w:val="hybridMultilevel"/>
    <w:tmpl w:val="8B72F9CE"/>
    <w:lvl w:ilvl="0" w:tplc="23C817E2">
      <w:start w:val="1"/>
      <w:numFmt w:val="bullet"/>
      <w:lvlText w:val="-"/>
      <w:lvlJc w:val="left"/>
      <w:pPr>
        <w:ind w:left="720" w:hanging="360"/>
      </w:pPr>
      <w:rPr>
        <w:rFonts w:ascii="Calibri" w:eastAsia="Calibri" w:hAnsi="Calibri" w:cs="Times New Roman"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334">
    <w:nsid w:val="642478DE"/>
    <w:multiLevelType w:val="hybridMultilevel"/>
    <w:tmpl w:val="6BA29BCA"/>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335">
    <w:nsid w:val="644860C7"/>
    <w:multiLevelType w:val="hybridMultilevel"/>
    <w:tmpl w:val="37CCDD22"/>
    <w:lvl w:ilvl="0" w:tplc="2466B24E">
      <w:start w:val="1"/>
      <w:numFmt w:val="decimal"/>
      <w:lvlText w:val="%1."/>
      <w:lvlJc w:val="center"/>
      <w:pPr>
        <w:ind w:left="720" w:hanging="360"/>
      </w:pPr>
      <w:rPr>
        <w:rFonts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6">
    <w:nsid w:val="645717D9"/>
    <w:multiLevelType w:val="hybridMultilevel"/>
    <w:tmpl w:val="A1AA6E2E"/>
    <w:lvl w:ilvl="0" w:tplc="041B0017">
      <w:start w:val="1"/>
      <w:numFmt w:val="lowerLetter"/>
      <w:lvlText w:val="%1)"/>
      <w:lvlJc w:val="left"/>
      <w:pPr>
        <w:ind w:left="720" w:hanging="360"/>
      </w:pPr>
    </w:lvl>
    <w:lvl w:ilvl="1" w:tplc="041B0019">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337">
    <w:nsid w:val="65040D23"/>
    <w:multiLevelType w:val="hybridMultilevel"/>
    <w:tmpl w:val="47666F3A"/>
    <w:lvl w:ilvl="0" w:tplc="38D21BC8">
      <w:numFmt w:val="bullet"/>
      <w:lvlText w:val="-"/>
      <w:lvlJc w:val="left"/>
      <w:pPr>
        <w:ind w:left="720" w:hanging="360"/>
      </w:pPr>
      <w:rPr>
        <w:rFonts w:ascii="Calibri" w:eastAsia="Calibri" w:hAnsi="Calibri" w:cs="Calibri" w:hint="default"/>
        <w:sz w:val="22"/>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338">
    <w:nsid w:val="65665207"/>
    <w:multiLevelType w:val="hybridMultilevel"/>
    <w:tmpl w:val="51861846"/>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339">
    <w:nsid w:val="65955BB8"/>
    <w:multiLevelType w:val="hybridMultilevel"/>
    <w:tmpl w:val="B5BEDB06"/>
    <w:lvl w:ilvl="0" w:tplc="8D4C07C2">
      <w:start w:val="1"/>
      <w:numFmt w:val="bullet"/>
      <w:lvlText w:val=""/>
      <w:lvlJc w:val="left"/>
      <w:pPr>
        <w:tabs>
          <w:tab w:val="num" w:pos="360"/>
        </w:tabs>
        <w:ind w:left="360" w:hanging="360"/>
      </w:pPr>
      <w:rPr>
        <w:rFonts w:ascii="Wingdings" w:hAnsi="Wingdings" w:hint="default"/>
        <w:color w:val="auto"/>
      </w:rPr>
    </w:lvl>
    <w:lvl w:ilvl="1" w:tplc="041B0003" w:tentative="1">
      <w:start w:val="1"/>
      <w:numFmt w:val="bullet"/>
      <w:lvlText w:val="o"/>
      <w:lvlJc w:val="left"/>
      <w:pPr>
        <w:tabs>
          <w:tab w:val="num" w:pos="1440"/>
        </w:tabs>
        <w:ind w:left="1440" w:hanging="360"/>
      </w:pPr>
      <w:rPr>
        <w:rFonts w:ascii="Courier New" w:hAnsi="Courier New" w:cs="Courier New" w:hint="default"/>
      </w:rPr>
    </w:lvl>
    <w:lvl w:ilvl="2" w:tplc="041B0005" w:tentative="1">
      <w:start w:val="1"/>
      <w:numFmt w:val="bullet"/>
      <w:lvlText w:val=""/>
      <w:lvlJc w:val="left"/>
      <w:pPr>
        <w:tabs>
          <w:tab w:val="num" w:pos="2160"/>
        </w:tabs>
        <w:ind w:left="2160" w:hanging="360"/>
      </w:pPr>
      <w:rPr>
        <w:rFonts w:ascii="Wingdings" w:hAnsi="Wingdings" w:hint="default"/>
      </w:rPr>
    </w:lvl>
    <w:lvl w:ilvl="3" w:tplc="041B0001" w:tentative="1">
      <w:start w:val="1"/>
      <w:numFmt w:val="bullet"/>
      <w:lvlText w:val=""/>
      <w:lvlJc w:val="left"/>
      <w:pPr>
        <w:tabs>
          <w:tab w:val="num" w:pos="2880"/>
        </w:tabs>
        <w:ind w:left="2880" w:hanging="360"/>
      </w:pPr>
      <w:rPr>
        <w:rFonts w:ascii="Symbol" w:hAnsi="Symbol" w:hint="default"/>
      </w:rPr>
    </w:lvl>
    <w:lvl w:ilvl="4" w:tplc="041B0003" w:tentative="1">
      <w:start w:val="1"/>
      <w:numFmt w:val="bullet"/>
      <w:lvlText w:val="o"/>
      <w:lvlJc w:val="left"/>
      <w:pPr>
        <w:tabs>
          <w:tab w:val="num" w:pos="3600"/>
        </w:tabs>
        <w:ind w:left="3600" w:hanging="360"/>
      </w:pPr>
      <w:rPr>
        <w:rFonts w:ascii="Courier New" w:hAnsi="Courier New" w:cs="Courier New" w:hint="default"/>
      </w:rPr>
    </w:lvl>
    <w:lvl w:ilvl="5" w:tplc="041B0005" w:tentative="1">
      <w:start w:val="1"/>
      <w:numFmt w:val="bullet"/>
      <w:lvlText w:val=""/>
      <w:lvlJc w:val="left"/>
      <w:pPr>
        <w:tabs>
          <w:tab w:val="num" w:pos="4320"/>
        </w:tabs>
        <w:ind w:left="4320" w:hanging="360"/>
      </w:pPr>
      <w:rPr>
        <w:rFonts w:ascii="Wingdings" w:hAnsi="Wingdings" w:hint="default"/>
      </w:rPr>
    </w:lvl>
    <w:lvl w:ilvl="6" w:tplc="041B0001" w:tentative="1">
      <w:start w:val="1"/>
      <w:numFmt w:val="bullet"/>
      <w:lvlText w:val=""/>
      <w:lvlJc w:val="left"/>
      <w:pPr>
        <w:tabs>
          <w:tab w:val="num" w:pos="5040"/>
        </w:tabs>
        <w:ind w:left="5040" w:hanging="360"/>
      </w:pPr>
      <w:rPr>
        <w:rFonts w:ascii="Symbol" w:hAnsi="Symbol" w:hint="default"/>
      </w:rPr>
    </w:lvl>
    <w:lvl w:ilvl="7" w:tplc="041B0003" w:tentative="1">
      <w:start w:val="1"/>
      <w:numFmt w:val="bullet"/>
      <w:lvlText w:val="o"/>
      <w:lvlJc w:val="left"/>
      <w:pPr>
        <w:tabs>
          <w:tab w:val="num" w:pos="5760"/>
        </w:tabs>
        <w:ind w:left="5760" w:hanging="360"/>
      </w:pPr>
      <w:rPr>
        <w:rFonts w:ascii="Courier New" w:hAnsi="Courier New" w:cs="Courier New" w:hint="default"/>
      </w:rPr>
    </w:lvl>
    <w:lvl w:ilvl="8" w:tplc="041B0005" w:tentative="1">
      <w:start w:val="1"/>
      <w:numFmt w:val="bullet"/>
      <w:lvlText w:val=""/>
      <w:lvlJc w:val="left"/>
      <w:pPr>
        <w:tabs>
          <w:tab w:val="num" w:pos="6480"/>
        </w:tabs>
        <w:ind w:left="6480" w:hanging="360"/>
      </w:pPr>
      <w:rPr>
        <w:rFonts w:ascii="Wingdings" w:hAnsi="Wingdings" w:hint="default"/>
      </w:rPr>
    </w:lvl>
  </w:abstractNum>
  <w:abstractNum w:abstractNumId="340">
    <w:nsid w:val="65C618C6"/>
    <w:multiLevelType w:val="hybridMultilevel"/>
    <w:tmpl w:val="141E1670"/>
    <w:lvl w:ilvl="0" w:tplc="D968098C">
      <w:start w:val="5"/>
      <w:numFmt w:val="bullet"/>
      <w:lvlText w:val="-"/>
      <w:lvlJc w:val="left"/>
      <w:pPr>
        <w:ind w:left="720" w:hanging="360"/>
      </w:pPr>
      <w:rPr>
        <w:rFonts w:ascii="Calibri" w:eastAsia="Calibri" w:hAnsi="Calibri" w:cs="Calibri" w:hint="default"/>
      </w:rPr>
    </w:lvl>
    <w:lvl w:ilvl="1" w:tplc="041B0019">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341">
    <w:nsid w:val="65E727F1"/>
    <w:multiLevelType w:val="hybridMultilevel"/>
    <w:tmpl w:val="1A4A11B0"/>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342">
    <w:nsid w:val="66786915"/>
    <w:multiLevelType w:val="multilevel"/>
    <w:tmpl w:val="6DD2884A"/>
    <w:numStyleLink w:val="Aktulnyzoznam1"/>
  </w:abstractNum>
  <w:abstractNum w:abstractNumId="343">
    <w:nsid w:val="6693645C"/>
    <w:multiLevelType w:val="hybridMultilevel"/>
    <w:tmpl w:val="D62A8546"/>
    <w:lvl w:ilvl="0" w:tplc="041B0017">
      <w:start w:val="1"/>
      <w:numFmt w:val="lowerLetter"/>
      <w:lvlText w:val="%1)"/>
      <w:lvlJc w:val="left"/>
      <w:pPr>
        <w:ind w:left="720" w:hanging="360"/>
      </w:pPr>
      <w:rPr>
        <w:rFonts w:hint="default"/>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344">
    <w:nsid w:val="66A33F72"/>
    <w:multiLevelType w:val="multilevel"/>
    <w:tmpl w:val="F110AAC2"/>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345">
    <w:nsid w:val="674769A5"/>
    <w:multiLevelType w:val="hybridMultilevel"/>
    <w:tmpl w:val="338A8820"/>
    <w:lvl w:ilvl="0" w:tplc="041B0001">
      <w:start w:val="1"/>
      <w:numFmt w:val="bullet"/>
      <w:lvlText w:val=""/>
      <w:lvlJc w:val="left"/>
      <w:pPr>
        <w:tabs>
          <w:tab w:val="num" w:pos="1080"/>
        </w:tabs>
        <w:ind w:left="1080" w:hanging="360"/>
      </w:pPr>
      <w:rPr>
        <w:rFonts w:ascii="Symbol" w:hAnsi="Symbol" w:hint="default"/>
      </w:rPr>
    </w:lvl>
    <w:lvl w:ilvl="1" w:tplc="041B0003" w:tentative="1">
      <w:start w:val="1"/>
      <w:numFmt w:val="bullet"/>
      <w:lvlText w:val="o"/>
      <w:lvlJc w:val="left"/>
      <w:pPr>
        <w:tabs>
          <w:tab w:val="num" w:pos="1800"/>
        </w:tabs>
        <w:ind w:left="1800" w:hanging="360"/>
      </w:pPr>
      <w:rPr>
        <w:rFonts w:ascii="Courier New" w:hAnsi="Courier New" w:cs="Courier New" w:hint="default"/>
      </w:rPr>
    </w:lvl>
    <w:lvl w:ilvl="2" w:tplc="041B0005" w:tentative="1">
      <w:start w:val="1"/>
      <w:numFmt w:val="bullet"/>
      <w:lvlText w:val=""/>
      <w:lvlJc w:val="left"/>
      <w:pPr>
        <w:tabs>
          <w:tab w:val="num" w:pos="2520"/>
        </w:tabs>
        <w:ind w:left="2520" w:hanging="360"/>
      </w:pPr>
      <w:rPr>
        <w:rFonts w:ascii="Wingdings" w:hAnsi="Wingdings" w:hint="default"/>
      </w:rPr>
    </w:lvl>
    <w:lvl w:ilvl="3" w:tplc="041B0001" w:tentative="1">
      <w:start w:val="1"/>
      <w:numFmt w:val="bullet"/>
      <w:lvlText w:val=""/>
      <w:lvlJc w:val="left"/>
      <w:pPr>
        <w:tabs>
          <w:tab w:val="num" w:pos="3240"/>
        </w:tabs>
        <w:ind w:left="3240" w:hanging="360"/>
      </w:pPr>
      <w:rPr>
        <w:rFonts w:ascii="Symbol" w:hAnsi="Symbol" w:hint="default"/>
      </w:rPr>
    </w:lvl>
    <w:lvl w:ilvl="4" w:tplc="041B0003" w:tentative="1">
      <w:start w:val="1"/>
      <w:numFmt w:val="bullet"/>
      <w:lvlText w:val="o"/>
      <w:lvlJc w:val="left"/>
      <w:pPr>
        <w:tabs>
          <w:tab w:val="num" w:pos="3960"/>
        </w:tabs>
        <w:ind w:left="3960" w:hanging="360"/>
      </w:pPr>
      <w:rPr>
        <w:rFonts w:ascii="Courier New" w:hAnsi="Courier New" w:cs="Courier New" w:hint="default"/>
      </w:rPr>
    </w:lvl>
    <w:lvl w:ilvl="5" w:tplc="041B0005" w:tentative="1">
      <w:start w:val="1"/>
      <w:numFmt w:val="bullet"/>
      <w:lvlText w:val=""/>
      <w:lvlJc w:val="left"/>
      <w:pPr>
        <w:tabs>
          <w:tab w:val="num" w:pos="4680"/>
        </w:tabs>
        <w:ind w:left="4680" w:hanging="360"/>
      </w:pPr>
      <w:rPr>
        <w:rFonts w:ascii="Wingdings" w:hAnsi="Wingdings" w:hint="default"/>
      </w:rPr>
    </w:lvl>
    <w:lvl w:ilvl="6" w:tplc="041B0001" w:tentative="1">
      <w:start w:val="1"/>
      <w:numFmt w:val="bullet"/>
      <w:lvlText w:val=""/>
      <w:lvlJc w:val="left"/>
      <w:pPr>
        <w:tabs>
          <w:tab w:val="num" w:pos="5400"/>
        </w:tabs>
        <w:ind w:left="5400" w:hanging="360"/>
      </w:pPr>
      <w:rPr>
        <w:rFonts w:ascii="Symbol" w:hAnsi="Symbol" w:hint="default"/>
      </w:rPr>
    </w:lvl>
    <w:lvl w:ilvl="7" w:tplc="041B0003" w:tentative="1">
      <w:start w:val="1"/>
      <w:numFmt w:val="bullet"/>
      <w:lvlText w:val="o"/>
      <w:lvlJc w:val="left"/>
      <w:pPr>
        <w:tabs>
          <w:tab w:val="num" w:pos="6120"/>
        </w:tabs>
        <w:ind w:left="6120" w:hanging="360"/>
      </w:pPr>
      <w:rPr>
        <w:rFonts w:ascii="Courier New" w:hAnsi="Courier New" w:cs="Courier New" w:hint="default"/>
      </w:rPr>
    </w:lvl>
    <w:lvl w:ilvl="8" w:tplc="041B0005" w:tentative="1">
      <w:start w:val="1"/>
      <w:numFmt w:val="bullet"/>
      <w:lvlText w:val=""/>
      <w:lvlJc w:val="left"/>
      <w:pPr>
        <w:tabs>
          <w:tab w:val="num" w:pos="6840"/>
        </w:tabs>
        <w:ind w:left="6840" w:hanging="360"/>
      </w:pPr>
      <w:rPr>
        <w:rFonts w:ascii="Wingdings" w:hAnsi="Wingdings" w:hint="default"/>
      </w:rPr>
    </w:lvl>
  </w:abstractNum>
  <w:abstractNum w:abstractNumId="346">
    <w:nsid w:val="679350C0"/>
    <w:multiLevelType w:val="hybridMultilevel"/>
    <w:tmpl w:val="F17606A2"/>
    <w:lvl w:ilvl="0" w:tplc="DC2AB39E">
      <w:start w:val="1"/>
      <w:numFmt w:val="bullet"/>
      <w:pStyle w:val="tlZoznamsodrkamiTun"/>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347">
    <w:nsid w:val="67A3156F"/>
    <w:multiLevelType w:val="hybridMultilevel"/>
    <w:tmpl w:val="FBFCB186"/>
    <w:lvl w:ilvl="0" w:tplc="041B0001">
      <w:start w:val="1"/>
      <w:numFmt w:val="bullet"/>
      <w:lvlText w:val=""/>
      <w:lvlJc w:val="left"/>
      <w:pPr>
        <w:tabs>
          <w:tab w:val="num" w:pos="720"/>
        </w:tabs>
        <w:ind w:left="720" w:hanging="360"/>
      </w:pPr>
      <w:rPr>
        <w:rFonts w:ascii="Symbol" w:hAnsi="Symbol" w:hint="default"/>
      </w:rPr>
    </w:lvl>
    <w:lvl w:ilvl="1" w:tplc="041B0003" w:tentative="1">
      <w:start w:val="1"/>
      <w:numFmt w:val="bullet"/>
      <w:lvlText w:val="o"/>
      <w:lvlJc w:val="left"/>
      <w:pPr>
        <w:tabs>
          <w:tab w:val="num" w:pos="1440"/>
        </w:tabs>
        <w:ind w:left="1440" w:hanging="360"/>
      </w:pPr>
      <w:rPr>
        <w:rFonts w:ascii="Courier New" w:hAnsi="Courier New" w:cs="Courier New" w:hint="default"/>
      </w:rPr>
    </w:lvl>
    <w:lvl w:ilvl="2" w:tplc="041B0005" w:tentative="1">
      <w:start w:val="1"/>
      <w:numFmt w:val="bullet"/>
      <w:lvlText w:val=""/>
      <w:lvlJc w:val="left"/>
      <w:pPr>
        <w:tabs>
          <w:tab w:val="num" w:pos="2160"/>
        </w:tabs>
        <w:ind w:left="2160" w:hanging="360"/>
      </w:pPr>
      <w:rPr>
        <w:rFonts w:ascii="Wingdings" w:hAnsi="Wingdings" w:hint="default"/>
      </w:rPr>
    </w:lvl>
    <w:lvl w:ilvl="3" w:tplc="041B0001" w:tentative="1">
      <w:start w:val="1"/>
      <w:numFmt w:val="bullet"/>
      <w:lvlText w:val=""/>
      <w:lvlJc w:val="left"/>
      <w:pPr>
        <w:tabs>
          <w:tab w:val="num" w:pos="2880"/>
        </w:tabs>
        <w:ind w:left="2880" w:hanging="360"/>
      </w:pPr>
      <w:rPr>
        <w:rFonts w:ascii="Symbol" w:hAnsi="Symbol" w:hint="default"/>
      </w:rPr>
    </w:lvl>
    <w:lvl w:ilvl="4" w:tplc="041B0003" w:tentative="1">
      <w:start w:val="1"/>
      <w:numFmt w:val="bullet"/>
      <w:lvlText w:val="o"/>
      <w:lvlJc w:val="left"/>
      <w:pPr>
        <w:tabs>
          <w:tab w:val="num" w:pos="3600"/>
        </w:tabs>
        <w:ind w:left="3600" w:hanging="360"/>
      </w:pPr>
      <w:rPr>
        <w:rFonts w:ascii="Courier New" w:hAnsi="Courier New" w:cs="Courier New" w:hint="default"/>
      </w:rPr>
    </w:lvl>
    <w:lvl w:ilvl="5" w:tplc="041B0005" w:tentative="1">
      <w:start w:val="1"/>
      <w:numFmt w:val="bullet"/>
      <w:lvlText w:val=""/>
      <w:lvlJc w:val="left"/>
      <w:pPr>
        <w:tabs>
          <w:tab w:val="num" w:pos="4320"/>
        </w:tabs>
        <w:ind w:left="4320" w:hanging="360"/>
      </w:pPr>
      <w:rPr>
        <w:rFonts w:ascii="Wingdings" w:hAnsi="Wingdings" w:hint="default"/>
      </w:rPr>
    </w:lvl>
    <w:lvl w:ilvl="6" w:tplc="041B0001" w:tentative="1">
      <w:start w:val="1"/>
      <w:numFmt w:val="bullet"/>
      <w:lvlText w:val=""/>
      <w:lvlJc w:val="left"/>
      <w:pPr>
        <w:tabs>
          <w:tab w:val="num" w:pos="5040"/>
        </w:tabs>
        <w:ind w:left="5040" w:hanging="360"/>
      </w:pPr>
      <w:rPr>
        <w:rFonts w:ascii="Symbol" w:hAnsi="Symbol" w:hint="default"/>
      </w:rPr>
    </w:lvl>
    <w:lvl w:ilvl="7" w:tplc="041B0003" w:tentative="1">
      <w:start w:val="1"/>
      <w:numFmt w:val="bullet"/>
      <w:lvlText w:val="o"/>
      <w:lvlJc w:val="left"/>
      <w:pPr>
        <w:tabs>
          <w:tab w:val="num" w:pos="5760"/>
        </w:tabs>
        <w:ind w:left="5760" w:hanging="360"/>
      </w:pPr>
      <w:rPr>
        <w:rFonts w:ascii="Courier New" w:hAnsi="Courier New" w:cs="Courier New" w:hint="default"/>
      </w:rPr>
    </w:lvl>
    <w:lvl w:ilvl="8" w:tplc="041B0005" w:tentative="1">
      <w:start w:val="1"/>
      <w:numFmt w:val="bullet"/>
      <w:lvlText w:val=""/>
      <w:lvlJc w:val="left"/>
      <w:pPr>
        <w:tabs>
          <w:tab w:val="num" w:pos="6480"/>
        </w:tabs>
        <w:ind w:left="6480" w:hanging="360"/>
      </w:pPr>
      <w:rPr>
        <w:rFonts w:ascii="Wingdings" w:hAnsi="Wingdings" w:hint="default"/>
      </w:rPr>
    </w:lvl>
  </w:abstractNum>
  <w:abstractNum w:abstractNumId="348">
    <w:nsid w:val="67D11A1E"/>
    <w:multiLevelType w:val="hybridMultilevel"/>
    <w:tmpl w:val="2B82A62A"/>
    <w:lvl w:ilvl="0" w:tplc="81FE6234">
      <w:start w:val="3"/>
      <w:numFmt w:val="lowerLetter"/>
      <w:lvlText w:val="%1)"/>
      <w:lvlJc w:val="left"/>
      <w:pPr>
        <w:tabs>
          <w:tab w:val="num" w:pos="720"/>
        </w:tabs>
        <w:ind w:left="720" w:hanging="360"/>
      </w:pPr>
      <w:rPr>
        <w:rFonts w:hint="default"/>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349">
    <w:nsid w:val="68C76DAB"/>
    <w:multiLevelType w:val="hybridMultilevel"/>
    <w:tmpl w:val="DC4832D8"/>
    <w:lvl w:ilvl="0" w:tplc="041B0001">
      <w:start w:val="1"/>
      <w:numFmt w:val="bullet"/>
      <w:lvlText w:val=""/>
      <w:lvlJc w:val="left"/>
      <w:pPr>
        <w:ind w:left="360" w:hanging="360"/>
      </w:pPr>
      <w:rPr>
        <w:rFonts w:ascii="Symbol" w:hAnsi="Symbol" w:hint="default"/>
      </w:rPr>
    </w:lvl>
    <w:lvl w:ilvl="1" w:tplc="041B0003" w:tentative="1">
      <w:start w:val="1"/>
      <w:numFmt w:val="bullet"/>
      <w:lvlText w:val="o"/>
      <w:lvlJc w:val="left"/>
      <w:pPr>
        <w:ind w:left="1080" w:hanging="360"/>
      </w:pPr>
      <w:rPr>
        <w:rFonts w:ascii="Courier New" w:hAnsi="Courier New" w:cs="Courier New" w:hint="default"/>
      </w:rPr>
    </w:lvl>
    <w:lvl w:ilvl="2" w:tplc="041B0005" w:tentative="1">
      <w:start w:val="1"/>
      <w:numFmt w:val="bullet"/>
      <w:lvlText w:val=""/>
      <w:lvlJc w:val="left"/>
      <w:pPr>
        <w:ind w:left="1800" w:hanging="360"/>
      </w:pPr>
      <w:rPr>
        <w:rFonts w:ascii="Wingdings" w:hAnsi="Wingdings" w:hint="default"/>
      </w:rPr>
    </w:lvl>
    <w:lvl w:ilvl="3" w:tplc="041B0001" w:tentative="1">
      <w:start w:val="1"/>
      <w:numFmt w:val="bullet"/>
      <w:lvlText w:val=""/>
      <w:lvlJc w:val="left"/>
      <w:pPr>
        <w:ind w:left="2520" w:hanging="360"/>
      </w:pPr>
      <w:rPr>
        <w:rFonts w:ascii="Symbol" w:hAnsi="Symbol" w:hint="default"/>
      </w:rPr>
    </w:lvl>
    <w:lvl w:ilvl="4" w:tplc="041B0003" w:tentative="1">
      <w:start w:val="1"/>
      <w:numFmt w:val="bullet"/>
      <w:lvlText w:val="o"/>
      <w:lvlJc w:val="left"/>
      <w:pPr>
        <w:ind w:left="3240" w:hanging="360"/>
      </w:pPr>
      <w:rPr>
        <w:rFonts w:ascii="Courier New" w:hAnsi="Courier New" w:cs="Courier New" w:hint="default"/>
      </w:rPr>
    </w:lvl>
    <w:lvl w:ilvl="5" w:tplc="041B0005" w:tentative="1">
      <w:start w:val="1"/>
      <w:numFmt w:val="bullet"/>
      <w:lvlText w:val=""/>
      <w:lvlJc w:val="left"/>
      <w:pPr>
        <w:ind w:left="3960" w:hanging="360"/>
      </w:pPr>
      <w:rPr>
        <w:rFonts w:ascii="Wingdings" w:hAnsi="Wingdings" w:hint="default"/>
      </w:rPr>
    </w:lvl>
    <w:lvl w:ilvl="6" w:tplc="041B0001" w:tentative="1">
      <w:start w:val="1"/>
      <w:numFmt w:val="bullet"/>
      <w:lvlText w:val=""/>
      <w:lvlJc w:val="left"/>
      <w:pPr>
        <w:ind w:left="4680" w:hanging="360"/>
      </w:pPr>
      <w:rPr>
        <w:rFonts w:ascii="Symbol" w:hAnsi="Symbol" w:hint="default"/>
      </w:rPr>
    </w:lvl>
    <w:lvl w:ilvl="7" w:tplc="041B0003" w:tentative="1">
      <w:start w:val="1"/>
      <w:numFmt w:val="bullet"/>
      <w:lvlText w:val="o"/>
      <w:lvlJc w:val="left"/>
      <w:pPr>
        <w:ind w:left="5400" w:hanging="360"/>
      </w:pPr>
      <w:rPr>
        <w:rFonts w:ascii="Courier New" w:hAnsi="Courier New" w:cs="Courier New" w:hint="default"/>
      </w:rPr>
    </w:lvl>
    <w:lvl w:ilvl="8" w:tplc="041B0005" w:tentative="1">
      <w:start w:val="1"/>
      <w:numFmt w:val="bullet"/>
      <w:lvlText w:val=""/>
      <w:lvlJc w:val="left"/>
      <w:pPr>
        <w:ind w:left="6120" w:hanging="360"/>
      </w:pPr>
      <w:rPr>
        <w:rFonts w:ascii="Wingdings" w:hAnsi="Wingdings" w:hint="default"/>
      </w:rPr>
    </w:lvl>
  </w:abstractNum>
  <w:abstractNum w:abstractNumId="350">
    <w:nsid w:val="68EA3253"/>
    <w:multiLevelType w:val="hybridMultilevel"/>
    <w:tmpl w:val="D0780AB2"/>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351">
    <w:nsid w:val="6973241C"/>
    <w:multiLevelType w:val="hybridMultilevel"/>
    <w:tmpl w:val="8C704A8A"/>
    <w:lvl w:ilvl="0" w:tplc="21923D8A">
      <w:start w:val="1"/>
      <w:numFmt w:val="decimal"/>
      <w:lvlText w:val="%1."/>
      <w:lvlJc w:val="left"/>
      <w:pPr>
        <w:ind w:left="720" w:hanging="360"/>
      </w:pPr>
      <w:rPr>
        <w:rFonts w:cs="Times New Roman" w:hint="default"/>
      </w:rPr>
    </w:lvl>
    <w:lvl w:ilvl="1" w:tplc="29C26AB8" w:tentative="1">
      <w:start w:val="1"/>
      <w:numFmt w:val="lowerLetter"/>
      <w:lvlText w:val="%2."/>
      <w:lvlJc w:val="left"/>
      <w:pPr>
        <w:ind w:left="1440" w:hanging="360"/>
      </w:pPr>
      <w:rPr>
        <w:rFonts w:cs="Times New Roman"/>
      </w:rPr>
    </w:lvl>
    <w:lvl w:ilvl="2" w:tplc="7B2A57C6" w:tentative="1">
      <w:start w:val="1"/>
      <w:numFmt w:val="lowerRoman"/>
      <w:lvlText w:val="%3."/>
      <w:lvlJc w:val="right"/>
      <w:pPr>
        <w:ind w:left="2160" w:hanging="180"/>
      </w:pPr>
      <w:rPr>
        <w:rFonts w:cs="Times New Roman"/>
      </w:rPr>
    </w:lvl>
    <w:lvl w:ilvl="3" w:tplc="AD983622" w:tentative="1">
      <w:start w:val="1"/>
      <w:numFmt w:val="decimal"/>
      <w:lvlText w:val="%4."/>
      <w:lvlJc w:val="left"/>
      <w:pPr>
        <w:ind w:left="2880" w:hanging="360"/>
      </w:pPr>
      <w:rPr>
        <w:rFonts w:cs="Times New Roman"/>
      </w:rPr>
    </w:lvl>
    <w:lvl w:ilvl="4" w:tplc="46409098" w:tentative="1">
      <w:start w:val="1"/>
      <w:numFmt w:val="lowerLetter"/>
      <w:lvlText w:val="%5."/>
      <w:lvlJc w:val="left"/>
      <w:pPr>
        <w:ind w:left="3600" w:hanging="360"/>
      </w:pPr>
      <w:rPr>
        <w:rFonts w:cs="Times New Roman"/>
      </w:rPr>
    </w:lvl>
    <w:lvl w:ilvl="5" w:tplc="B546B302" w:tentative="1">
      <w:start w:val="1"/>
      <w:numFmt w:val="lowerRoman"/>
      <w:lvlText w:val="%6."/>
      <w:lvlJc w:val="right"/>
      <w:pPr>
        <w:ind w:left="4320" w:hanging="180"/>
      </w:pPr>
      <w:rPr>
        <w:rFonts w:cs="Times New Roman"/>
      </w:rPr>
    </w:lvl>
    <w:lvl w:ilvl="6" w:tplc="DF429290" w:tentative="1">
      <w:start w:val="1"/>
      <w:numFmt w:val="decimal"/>
      <w:lvlText w:val="%7."/>
      <w:lvlJc w:val="left"/>
      <w:pPr>
        <w:ind w:left="5040" w:hanging="360"/>
      </w:pPr>
      <w:rPr>
        <w:rFonts w:cs="Times New Roman"/>
      </w:rPr>
    </w:lvl>
    <w:lvl w:ilvl="7" w:tplc="1E260C2A" w:tentative="1">
      <w:start w:val="1"/>
      <w:numFmt w:val="lowerLetter"/>
      <w:lvlText w:val="%8."/>
      <w:lvlJc w:val="left"/>
      <w:pPr>
        <w:ind w:left="5760" w:hanging="360"/>
      </w:pPr>
      <w:rPr>
        <w:rFonts w:cs="Times New Roman"/>
      </w:rPr>
    </w:lvl>
    <w:lvl w:ilvl="8" w:tplc="1850346C" w:tentative="1">
      <w:start w:val="1"/>
      <w:numFmt w:val="lowerRoman"/>
      <w:lvlText w:val="%9."/>
      <w:lvlJc w:val="right"/>
      <w:pPr>
        <w:ind w:left="6480" w:hanging="180"/>
      </w:pPr>
      <w:rPr>
        <w:rFonts w:cs="Times New Roman"/>
      </w:rPr>
    </w:lvl>
  </w:abstractNum>
  <w:abstractNum w:abstractNumId="352">
    <w:nsid w:val="69C45DA4"/>
    <w:multiLevelType w:val="hybridMultilevel"/>
    <w:tmpl w:val="6E4E0376"/>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353">
    <w:nsid w:val="6A0334B2"/>
    <w:multiLevelType w:val="hybridMultilevel"/>
    <w:tmpl w:val="B46888A6"/>
    <w:lvl w:ilvl="0" w:tplc="041B000F">
      <w:start w:val="1"/>
      <w:numFmt w:val="decimal"/>
      <w:lvlText w:val="%1."/>
      <w:lvlJc w:val="left"/>
      <w:pPr>
        <w:ind w:left="720" w:hanging="360"/>
      </w:pPr>
      <w:rPr>
        <w:rFonts w:hint="default"/>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354">
    <w:nsid w:val="6A091C17"/>
    <w:multiLevelType w:val="hybridMultilevel"/>
    <w:tmpl w:val="B5A29AD8"/>
    <w:lvl w:ilvl="0" w:tplc="A4F4AFF2">
      <w:numFmt w:val="bullet"/>
      <w:lvlText w:val="–"/>
      <w:lvlJc w:val="left"/>
      <w:pPr>
        <w:tabs>
          <w:tab w:val="num" w:pos="792"/>
        </w:tabs>
        <w:ind w:left="792" w:hanging="360"/>
      </w:pPr>
      <w:rPr>
        <w:rFonts w:ascii="Times New Roman" w:eastAsia="Times New Roman" w:hAnsi="Times New Roman" w:cs="Times New Roman" w:hint="default"/>
      </w:rPr>
    </w:lvl>
    <w:lvl w:ilvl="1" w:tplc="041B0003" w:tentative="1">
      <w:start w:val="1"/>
      <w:numFmt w:val="bullet"/>
      <w:lvlText w:val="o"/>
      <w:lvlJc w:val="left"/>
      <w:pPr>
        <w:tabs>
          <w:tab w:val="num" w:pos="1440"/>
        </w:tabs>
        <w:ind w:left="1440" w:hanging="360"/>
      </w:pPr>
      <w:rPr>
        <w:rFonts w:ascii="Courier New" w:hAnsi="Courier New" w:cs="Courier New" w:hint="default"/>
      </w:rPr>
    </w:lvl>
    <w:lvl w:ilvl="2" w:tplc="041B0005" w:tentative="1">
      <w:start w:val="1"/>
      <w:numFmt w:val="bullet"/>
      <w:lvlText w:val=""/>
      <w:lvlJc w:val="left"/>
      <w:pPr>
        <w:tabs>
          <w:tab w:val="num" w:pos="2160"/>
        </w:tabs>
        <w:ind w:left="2160" w:hanging="360"/>
      </w:pPr>
      <w:rPr>
        <w:rFonts w:ascii="Wingdings" w:hAnsi="Wingdings" w:hint="default"/>
      </w:rPr>
    </w:lvl>
    <w:lvl w:ilvl="3" w:tplc="041B0001" w:tentative="1">
      <w:start w:val="1"/>
      <w:numFmt w:val="bullet"/>
      <w:lvlText w:val=""/>
      <w:lvlJc w:val="left"/>
      <w:pPr>
        <w:tabs>
          <w:tab w:val="num" w:pos="2880"/>
        </w:tabs>
        <w:ind w:left="2880" w:hanging="360"/>
      </w:pPr>
      <w:rPr>
        <w:rFonts w:ascii="Symbol" w:hAnsi="Symbol" w:hint="default"/>
      </w:rPr>
    </w:lvl>
    <w:lvl w:ilvl="4" w:tplc="041B0003" w:tentative="1">
      <w:start w:val="1"/>
      <w:numFmt w:val="bullet"/>
      <w:lvlText w:val="o"/>
      <w:lvlJc w:val="left"/>
      <w:pPr>
        <w:tabs>
          <w:tab w:val="num" w:pos="3600"/>
        </w:tabs>
        <w:ind w:left="3600" w:hanging="360"/>
      </w:pPr>
      <w:rPr>
        <w:rFonts w:ascii="Courier New" w:hAnsi="Courier New" w:cs="Courier New" w:hint="default"/>
      </w:rPr>
    </w:lvl>
    <w:lvl w:ilvl="5" w:tplc="041B0005" w:tentative="1">
      <w:start w:val="1"/>
      <w:numFmt w:val="bullet"/>
      <w:lvlText w:val=""/>
      <w:lvlJc w:val="left"/>
      <w:pPr>
        <w:tabs>
          <w:tab w:val="num" w:pos="4320"/>
        </w:tabs>
        <w:ind w:left="4320" w:hanging="360"/>
      </w:pPr>
      <w:rPr>
        <w:rFonts w:ascii="Wingdings" w:hAnsi="Wingdings" w:hint="default"/>
      </w:rPr>
    </w:lvl>
    <w:lvl w:ilvl="6" w:tplc="041B0001" w:tentative="1">
      <w:start w:val="1"/>
      <w:numFmt w:val="bullet"/>
      <w:lvlText w:val=""/>
      <w:lvlJc w:val="left"/>
      <w:pPr>
        <w:tabs>
          <w:tab w:val="num" w:pos="5040"/>
        </w:tabs>
        <w:ind w:left="5040" w:hanging="360"/>
      </w:pPr>
      <w:rPr>
        <w:rFonts w:ascii="Symbol" w:hAnsi="Symbol" w:hint="default"/>
      </w:rPr>
    </w:lvl>
    <w:lvl w:ilvl="7" w:tplc="041B0003" w:tentative="1">
      <w:start w:val="1"/>
      <w:numFmt w:val="bullet"/>
      <w:lvlText w:val="o"/>
      <w:lvlJc w:val="left"/>
      <w:pPr>
        <w:tabs>
          <w:tab w:val="num" w:pos="5760"/>
        </w:tabs>
        <w:ind w:left="5760" w:hanging="360"/>
      </w:pPr>
      <w:rPr>
        <w:rFonts w:ascii="Courier New" w:hAnsi="Courier New" w:cs="Courier New" w:hint="default"/>
      </w:rPr>
    </w:lvl>
    <w:lvl w:ilvl="8" w:tplc="041B0005" w:tentative="1">
      <w:start w:val="1"/>
      <w:numFmt w:val="bullet"/>
      <w:lvlText w:val=""/>
      <w:lvlJc w:val="left"/>
      <w:pPr>
        <w:tabs>
          <w:tab w:val="num" w:pos="6480"/>
        </w:tabs>
        <w:ind w:left="6480" w:hanging="360"/>
      </w:pPr>
      <w:rPr>
        <w:rFonts w:ascii="Wingdings" w:hAnsi="Wingdings" w:hint="default"/>
      </w:rPr>
    </w:lvl>
  </w:abstractNum>
  <w:abstractNum w:abstractNumId="355">
    <w:nsid w:val="6AEE025C"/>
    <w:multiLevelType w:val="hybridMultilevel"/>
    <w:tmpl w:val="4AB2ECF4"/>
    <w:lvl w:ilvl="0" w:tplc="041B0001">
      <w:start w:val="1"/>
      <w:numFmt w:val="bullet"/>
      <w:lvlText w:val=""/>
      <w:lvlJc w:val="left"/>
      <w:pPr>
        <w:tabs>
          <w:tab w:val="num" w:pos="720"/>
        </w:tabs>
        <w:ind w:left="720" w:hanging="360"/>
      </w:pPr>
      <w:rPr>
        <w:rFonts w:ascii="Symbol" w:hAnsi="Symbol" w:hint="default"/>
      </w:rPr>
    </w:lvl>
    <w:lvl w:ilvl="1" w:tplc="041B0003" w:tentative="1">
      <w:start w:val="1"/>
      <w:numFmt w:val="bullet"/>
      <w:lvlText w:val="o"/>
      <w:lvlJc w:val="left"/>
      <w:pPr>
        <w:tabs>
          <w:tab w:val="num" w:pos="1440"/>
        </w:tabs>
        <w:ind w:left="1440" w:hanging="360"/>
      </w:pPr>
      <w:rPr>
        <w:rFonts w:ascii="Courier New" w:hAnsi="Courier New" w:cs="Courier New" w:hint="default"/>
      </w:rPr>
    </w:lvl>
    <w:lvl w:ilvl="2" w:tplc="041B0005" w:tentative="1">
      <w:start w:val="1"/>
      <w:numFmt w:val="bullet"/>
      <w:lvlText w:val=""/>
      <w:lvlJc w:val="left"/>
      <w:pPr>
        <w:tabs>
          <w:tab w:val="num" w:pos="2160"/>
        </w:tabs>
        <w:ind w:left="2160" w:hanging="360"/>
      </w:pPr>
      <w:rPr>
        <w:rFonts w:ascii="Wingdings" w:hAnsi="Wingdings" w:hint="default"/>
      </w:rPr>
    </w:lvl>
    <w:lvl w:ilvl="3" w:tplc="041B0001" w:tentative="1">
      <w:start w:val="1"/>
      <w:numFmt w:val="bullet"/>
      <w:lvlText w:val=""/>
      <w:lvlJc w:val="left"/>
      <w:pPr>
        <w:tabs>
          <w:tab w:val="num" w:pos="2880"/>
        </w:tabs>
        <w:ind w:left="2880" w:hanging="360"/>
      </w:pPr>
      <w:rPr>
        <w:rFonts w:ascii="Symbol" w:hAnsi="Symbol" w:hint="default"/>
      </w:rPr>
    </w:lvl>
    <w:lvl w:ilvl="4" w:tplc="041B0003" w:tentative="1">
      <w:start w:val="1"/>
      <w:numFmt w:val="bullet"/>
      <w:lvlText w:val="o"/>
      <w:lvlJc w:val="left"/>
      <w:pPr>
        <w:tabs>
          <w:tab w:val="num" w:pos="3600"/>
        </w:tabs>
        <w:ind w:left="3600" w:hanging="360"/>
      </w:pPr>
      <w:rPr>
        <w:rFonts w:ascii="Courier New" w:hAnsi="Courier New" w:cs="Courier New" w:hint="default"/>
      </w:rPr>
    </w:lvl>
    <w:lvl w:ilvl="5" w:tplc="041B0005" w:tentative="1">
      <w:start w:val="1"/>
      <w:numFmt w:val="bullet"/>
      <w:lvlText w:val=""/>
      <w:lvlJc w:val="left"/>
      <w:pPr>
        <w:tabs>
          <w:tab w:val="num" w:pos="4320"/>
        </w:tabs>
        <w:ind w:left="4320" w:hanging="360"/>
      </w:pPr>
      <w:rPr>
        <w:rFonts w:ascii="Wingdings" w:hAnsi="Wingdings" w:hint="default"/>
      </w:rPr>
    </w:lvl>
    <w:lvl w:ilvl="6" w:tplc="041B0001" w:tentative="1">
      <w:start w:val="1"/>
      <w:numFmt w:val="bullet"/>
      <w:lvlText w:val=""/>
      <w:lvlJc w:val="left"/>
      <w:pPr>
        <w:tabs>
          <w:tab w:val="num" w:pos="5040"/>
        </w:tabs>
        <w:ind w:left="5040" w:hanging="360"/>
      </w:pPr>
      <w:rPr>
        <w:rFonts w:ascii="Symbol" w:hAnsi="Symbol" w:hint="default"/>
      </w:rPr>
    </w:lvl>
    <w:lvl w:ilvl="7" w:tplc="041B0003" w:tentative="1">
      <w:start w:val="1"/>
      <w:numFmt w:val="bullet"/>
      <w:lvlText w:val="o"/>
      <w:lvlJc w:val="left"/>
      <w:pPr>
        <w:tabs>
          <w:tab w:val="num" w:pos="5760"/>
        </w:tabs>
        <w:ind w:left="5760" w:hanging="360"/>
      </w:pPr>
      <w:rPr>
        <w:rFonts w:ascii="Courier New" w:hAnsi="Courier New" w:cs="Courier New" w:hint="default"/>
      </w:rPr>
    </w:lvl>
    <w:lvl w:ilvl="8" w:tplc="041B0005" w:tentative="1">
      <w:start w:val="1"/>
      <w:numFmt w:val="bullet"/>
      <w:lvlText w:val=""/>
      <w:lvlJc w:val="left"/>
      <w:pPr>
        <w:tabs>
          <w:tab w:val="num" w:pos="6480"/>
        </w:tabs>
        <w:ind w:left="6480" w:hanging="360"/>
      </w:pPr>
      <w:rPr>
        <w:rFonts w:ascii="Wingdings" w:hAnsi="Wingdings" w:hint="default"/>
      </w:rPr>
    </w:lvl>
  </w:abstractNum>
  <w:abstractNum w:abstractNumId="356">
    <w:nsid w:val="6B002847"/>
    <w:multiLevelType w:val="hybridMultilevel"/>
    <w:tmpl w:val="B4E42FBC"/>
    <w:lvl w:ilvl="0" w:tplc="924ACDC2">
      <w:start w:val="70"/>
      <w:numFmt w:val="bullet"/>
      <w:lvlText w:val="-"/>
      <w:lvlJc w:val="left"/>
      <w:pPr>
        <w:ind w:left="720" w:hanging="360"/>
      </w:pPr>
      <w:rPr>
        <w:rFonts w:ascii="Calibri" w:eastAsia="Times New Roman" w:hAnsi="Calibri"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357">
    <w:nsid w:val="6B31784A"/>
    <w:multiLevelType w:val="hybridMultilevel"/>
    <w:tmpl w:val="DCDEE766"/>
    <w:lvl w:ilvl="0" w:tplc="B0B243A6">
      <w:numFmt w:val="bullet"/>
      <w:lvlText w:val="•"/>
      <w:lvlJc w:val="left"/>
      <w:pPr>
        <w:ind w:left="720" w:hanging="360"/>
      </w:pPr>
      <w:rPr>
        <w:rFonts w:ascii="Calibri" w:eastAsia="Times New Roman" w:hAnsi="Calibri" w:cs="Times New Roman"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358">
    <w:nsid w:val="6B641D0F"/>
    <w:multiLevelType w:val="hybridMultilevel"/>
    <w:tmpl w:val="264A4C20"/>
    <w:lvl w:ilvl="0" w:tplc="0809000F">
      <w:start w:val="1"/>
      <w:numFmt w:val="decimal"/>
      <w:lvlText w:val="%1."/>
      <w:lvlJc w:val="left"/>
      <w:pPr>
        <w:ind w:left="720" w:hanging="360"/>
      </w:p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start w:val="1"/>
      <w:numFmt w:val="decimal"/>
      <w:lvlText w:val="%7."/>
      <w:lvlJc w:val="left"/>
      <w:pPr>
        <w:ind w:left="5040" w:hanging="360"/>
      </w:pPr>
      <w:rPr>
        <w:rFonts w:hint="default"/>
      </w:r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359">
    <w:nsid w:val="6C926990"/>
    <w:multiLevelType w:val="hybridMultilevel"/>
    <w:tmpl w:val="2D4AEB0C"/>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360">
    <w:nsid w:val="6D1644F0"/>
    <w:multiLevelType w:val="hybridMultilevel"/>
    <w:tmpl w:val="D9CCDFE0"/>
    <w:lvl w:ilvl="0" w:tplc="38D21BC8">
      <w:numFmt w:val="bullet"/>
      <w:lvlText w:val="-"/>
      <w:lvlJc w:val="left"/>
      <w:pPr>
        <w:ind w:left="720" w:hanging="360"/>
      </w:pPr>
      <w:rPr>
        <w:rFonts w:ascii="Calibri" w:eastAsia="Calibri" w:hAnsi="Calibri" w:cs="Calibri" w:hint="default"/>
        <w:sz w:val="22"/>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361">
    <w:nsid w:val="6DA236DD"/>
    <w:multiLevelType w:val="hybridMultilevel"/>
    <w:tmpl w:val="18501C38"/>
    <w:lvl w:ilvl="0" w:tplc="2466B24E">
      <w:start w:val="1"/>
      <w:numFmt w:val="decimal"/>
      <w:lvlText w:val="%1."/>
      <w:lvlJc w:val="center"/>
      <w:pPr>
        <w:tabs>
          <w:tab w:val="num" w:pos="720"/>
        </w:tabs>
        <w:ind w:left="720" w:hanging="360"/>
      </w:pPr>
      <w:rPr>
        <w:rFonts w:hint="default"/>
      </w:rPr>
    </w:lvl>
    <w:lvl w:ilvl="1" w:tplc="041B0003" w:tentative="1">
      <w:start w:val="1"/>
      <w:numFmt w:val="bullet"/>
      <w:lvlText w:val="o"/>
      <w:lvlJc w:val="left"/>
      <w:pPr>
        <w:tabs>
          <w:tab w:val="num" w:pos="1440"/>
        </w:tabs>
        <w:ind w:left="1440" w:hanging="360"/>
      </w:pPr>
      <w:rPr>
        <w:rFonts w:ascii="Courier New" w:hAnsi="Courier New" w:cs="Courier New" w:hint="default"/>
      </w:rPr>
    </w:lvl>
    <w:lvl w:ilvl="2" w:tplc="041B0005" w:tentative="1">
      <w:start w:val="1"/>
      <w:numFmt w:val="bullet"/>
      <w:lvlText w:val=""/>
      <w:lvlJc w:val="left"/>
      <w:pPr>
        <w:tabs>
          <w:tab w:val="num" w:pos="2160"/>
        </w:tabs>
        <w:ind w:left="2160" w:hanging="360"/>
      </w:pPr>
      <w:rPr>
        <w:rFonts w:ascii="Wingdings" w:hAnsi="Wingdings" w:hint="default"/>
      </w:rPr>
    </w:lvl>
    <w:lvl w:ilvl="3" w:tplc="041B0001" w:tentative="1">
      <w:start w:val="1"/>
      <w:numFmt w:val="bullet"/>
      <w:lvlText w:val=""/>
      <w:lvlJc w:val="left"/>
      <w:pPr>
        <w:tabs>
          <w:tab w:val="num" w:pos="2880"/>
        </w:tabs>
        <w:ind w:left="2880" w:hanging="360"/>
      </w:pPr>
      <w:rPr>
        <w:rFonts w:ascii="Symbol" w:hAnsi="Symbol" w:hint="default"/>
      </w:rPr>
    </w:lvl>
    <w:lvl w:ilvl="4" w:tplc="041B0003" w:tentative="1">
      <w:start w:val="1"/>
      <w:numFmt w:val="bullet"/>
      <w:lvlText w:val="o"/>
      <w:lvlJc w:val="left"/>
      <w:pPr>
        <w:tabs>
          <w:tab w:val="num" w:pos="3600"/>
        </w:tabs>
        <w:ind w:left="3600" w:hanging="360"/>
      </w:pPr>
      <w:rPr>
        <w:rFonts w:ascii="Courier New" w:hAnsi="Courier New" w:cs="Courier New" w:hint="default"/>
      </w:rPr>
    </w:lvl>
    <w:lvl w:ilvl="5" w:tplc="041B0005" w:tentative="1">
      <w:start w:val="1"/>
      <w:numFmt w:val="bullet"/>
      <w:lvlText w:val=""/>
      <w:lvlJc w:val="left"/>
      <w:pPr>
        <w:tabs>
          <w:tab w:val="num" w:pos="4320"/>
        </w:tabs>
        <w:ind w:left="4320" w:hanging="360"/>
      </w:pPr>
      <w:rPr>
        <w:rFonts w:ascii="Wingdings" w:hAnsi="Wingdings" w:hint="default"/>
      </w:rPr>
    </w:lvl>
    <w:lvl w:ilvl="6" w:tplc="041B0001" w:tentative="1">
      <w:start w:val="1"/>
      <w:numFmt w:val="bullet"/>
      <w:lvlText w:val=""/>
      <w:lvlJc w:val="left"/>
      <w:pPr>
        <w:tabs>
          <w:tab w:val="num" w:pos="5040"/>
        </w:tabs>
        <w:ind w:left="5040" w:hanging="360"/>
      </w:pPr>
      <w:rPr>
        <w:rFonts w:ascii="Symbol" w:hAnsi="Symbol" w:hint="default"/>
      </w:rPr>
    </w:lvl>
    <w:lvl w:ilvl="7" w:tplc="041B0003" w:tentative="1">
      <w:start w:val="1"/>
      <w:numFmt w:val="bullet"/>
      <w:lvlText w:val="o"/>
      <w:lvlJc w:val="left"/>
      <w:pPr>
        <w:tabs>
          <w:tab w:val="num" w:pos="5760"/>
        </w:tabs>
        <w:ind w:left="5760" w:hanging="360"/>
      </w:pPr>
      <w:rPr>
        <w:rFonts w:ascii="Courier New" w:hAnsi="Courier New" w:cs="Courier New" w:hint="default"/>
      </w:rPr>
    </w:lvl>
    <w:lvl w:ilvl="8" w:tplc="041B0005" w:tentative="1">
      <w:start w:val="1"/>
      <w:numFmt w:val="bullet"/>
      <w:lvlText w:val=""/>
      <w:lvlJc w:val="left"/>
      <w:pPr>
        <w:tabs>
          <w:tab w:val="num" w:pos="6480"/>
        </w:tabs>
        <w:ind w:left="6480" w:hanging="360"/>
      </w:pPr>
      <w:rPr>
        <w:rFonts w:ascii="Wingdings" w:hAnsi="Wingdings" w:hint="default"/>
      </w:rPr>
    </w:lvl>
  </w:abstractNum>
  <w:abstractNum w:abstractNumId="362">
    <w:nsid w:val="6DB041C7"/>
    <w:multiLevelType w:val="hybridMultilevel"/>
    <w:tmpl w:val="46A81406"/>
    <w:lvl w:ilvl="0" w:tplc="8D4C07C2">
      <w:start w:val="1"/>
      <w:numFmt w:val="bullet"/>
      <w:lvlText w:val=""/>
      <w:lvlJc w:val="left"/>
      <w:pPr>
        <w:tabs>
          <w:tab w:val="num" w:pos="720"/>
        </w:tabs>
        <w:ind w:left="720" w:hanging="360"/>
      </w:pPr>
      <w:rPr>
        <w:rFonts w:ascii="Wingdings" w:hAnsi="Wingdings" w:hint="default"/>
        <w:color w:val="auto"/>
      </w:rPr>
    </w:lvl>
    <w:lvl w:ilvl="1" w:tplc="C43E29AE">
      <w:start w:val="8"/>
      <w:numFmt w:val="bullet"/>
      <w:lvlText w:val="–"/>
      <w:lvlJc w:val="left"/>
      <w:pPr>
        <w:tabs>
          <w:tab w:val="num" w:pos="1800"/>
        </w:tabs>
        <w:ind w:left="1800" w:hanging="360"/>
      </w:pPr>
      <w:rPr>
        <w:rFonts w:ascii="Times New Roman" w:eastAsia="Times New Roman" w:hAnsi="Times New Roman" w:cs="Times New Roman" w:hint="default"/>
        <w:color w:val="auto"/>
      </w:rPr>
    </w:lvl>
    <w:lvl w:ilvl="2" w:tplc="041B0005" w:tentative="1">
      <w:start w:val="1"/>
      <w:numFmt w:val="bullet"/>
      <w:lvlText w:val=""/>
      <w:lvlJc w:val="left"/>
      <w:pPr>
        <w:tabs>
          <w:tab w:val="num" w:pos="2520"/>
        </w:tabs>
        <w:ind w:left="2520" w:hanging="360"/>
      </w:pPr>
      <w:rPr>
        <w:rFonts w:ascii="Wingdings" w:hAnsi="Wingdings" w:hint="default"/>
      </w:rPr>
    </w:lvl>
    <w:lvl w:ilvl="3" w:tplc="041B0001" w:tentative="1">
      <w:start w:val="1"/>
      <w:numFmt w:val="bullet"/>
      <w:lvlText w:val=""/>
      <w:lvlJc w:val="left"/>
      <w:pPr>
        <w:tabs>
          <w:tab w:val="num" w:pos="3240"/>
        </w:tabs>
        <w:ind w:left="3240" w:hanging="360"/>
      </w:pPr>
      <w:rPr>
        <w:rFonts w:ascii="Symbol" w:hAnsi="Symbol" w:hint="default"/>
      </w:rPr>
    </w:lvl>
    <w:lvl w:ilvl="4" w:tplc="041B0003" w:tentative="1">
      <w:start w:val="1"/>
      <w:numFmt w:val="bullet"/>
      <w:lvlText w:val="o"/>
      <w:lvlJc w:val="left"/>
      <w:pPr>
        <w:tabs>
          <w:tab w:val="num" w:pos="3960"/>
        </w:tabs>
        <w:ind w:left="3960" w:hanging="360"/>
      </w:pPr>
      <w:rPr>
        <w:rFonts w:ascii="Courier New" w:hAnsi="Courier New" w:cs="Courier New" w:hint="default"/>
      </w:rPr>
    </w:lvl>
    <w:lvl w:ilvl="5" w:tplc="041B0005" w:tentative="1">
      <w:start w:val="1"/>
      <w:numFmt w:val="bullet"/>
      <w:lvlText w:val=""/>
      <w:lvlJc w:val="left"/>
      <w:pPr>
        <w:tabs>
          <w:tab w:val="num" w:pos="4680"/>
        </w:tabs>
        <w:ind w:left="4680" w:hanging="360"/>
      </w:pPr>
      <w:rPr>
        <w:rFonts w:ascii="Wingdings" w:hAnsi="Wingdings" w:hint="default"/>
      </w:rPr>
    </w:lvl>
    <w:lvl w:ilvl="6" w:tplc="041B0001" w:tentative="1">
      <w:start w:val="1"/>
      <w:numFmt w:val="bullet"/>
      <w:lvlText w:val=""/>
      <w:lvlJc w:val="left"/>
      <w:pPr>
        <w:tabs>
          <w:tab w:val="num" w:pos="5400"/>
        </w:tabs>
        <w:ind w:left="5400" w:hanging="360"/>
      </w:pPr>
      <w:rPr>
        <w:rFonts w:ascii="Symbol" w:hAnsi="Symbol" w:hint="default"/>
      </w:rPr>
    </w:lvl>
    <w:lvl w:ilvl="7" w:tplc="041B0003" w:tentative="1">
      <w:start w:val="1"/>
      <w:numFmt w:val="bullet"/>
      <w:lvlText w:val="o"/>
      <w:lvlJc w:val="left"/>
      <w:pPr>
        <w:tabs>
          <w:tab w:val="num" w:pos="6120"/>
        </w:tabs>
        <w:ind w:left="6120" w:hanging="360"/>
      </w:pPr>
      <w:rPr>
        <w:rFonts w:ascii="Courier New" w:hAnsi="Courier New" w:cs="Courier New" w:hint="default"/>
      </w:rPr>
    </w:lvl>
    <w:lvl w:ilvl="8" w:tplc="041B0005" w:tentative="1">
      <w:start w:val="1"/>
      <w:numFmt w:val="bullet"/>
      <w:lvlText w:val=""/>
      <w:lvlJc w:val="left"/>
      <w:pPr>
        <w:tabs>
          <w:tab w:val="num" w:pos="6840"/>
        </w:tabs>
        <w:ind w:left="6840" w:hanging="360"/>
      </w:pPr>
      <w:rPr>
        <w:rFonts w:ascii="Wingdings" w:hAnsi="Wingdings" w:hint="default"/>
      </w:rPr>
    </w:lvl>
  </w:abstractNum>
  <w:abstractNum w:abstractNumId="363">
    <w:nsid w:val="6DE25098"/>
    <w:multiLevelType w:val="hybridMultilevel"/>
    <w:tmpl w:val="5B7E4F54"/>
    <w:lvl w:ilvl="0" w:tplc="2466B24E">
      <w:start w:val="1"/>
      <w:numFmt w:val="decimal"/>
      <w:lvlText w:val="%1."/>
      <w:lvlJc w:val="center"/>
      <w:pPr>
        <w:tabs>
          <w:tab w:val="num" w:pos="720"/>
        </w:tabs>
        <w:ind w:left="720" w:hanging="360"/>
      </w:pPr>
      <w:rPr>
        <w:rFonts w:hint="default"/>
      </w:rPr>
    </w:lvl>
    <w:lvl w:ilvl="1" w:tplc="041B0003" w:tentative="1">
      <w:start w:val="1"/>
      <w:numFmt w:val="bullet"/>
      <w:lvlText w:val="o"/>
      <w:lvlJc w:val="left"/>
      <w:pPr>
        <w:tabs>
          <w:tab w:val="num" w:pos="1440"/>
        </w:tabs>
        <w:ind w:left="1440" w:hanging="360"/>
      </w:pPr>
      <w:rPr>
        <w:rFonts w:ascii="Courier New" w:hAnsi="Courier New" w:cs="Courier New" w:hint="default"/>
      </w:rPr>
    </w:lvl>
    <w:lvl w:ilvl="2" w:tplc="041B0005" w:tentative="1">
      <w:start w:val="1"/>
      <w:numFmt w:val="bullet"/>
      <w:lvlText w:val=""/>
      <w:lvlJc w:val="left"/>
      <w:pPr>
        <w:tabs>
          <w:tab w:val="num" w:pos="2160"/>
        </w:tabs>
        <w:ind w:left="2160" w:hanging="360"/>
      </w:pPr>
      <w:rPr>
        <w:rFonts w:ascii="Wingdings" w:hAnsi="Wingdings" w:hint="default"/>
      </w:rPr>
    </w:lvl>
    <w:lvl w:ilvl="3" w:tplc="041B0001" w:tentative="1">
      <w:start w:val="1"/>
      <w:numFmt w:val="bullet"/>
      <w:lvlText w:val=""/>
      <w:lvlJc w:val="left"/>
      <w:pPr>
        <w:tabs>
          <w:tab w:val="num" w:pos="2880"/>
        </w:tabs>
        <w:ind w:left="2880" w:hanging="360"/>
      </w:pPr>
      <w:rPr>
        <w:rFonts w:ascii="Symbol" w:hAnsi="Symbol" w:hint="default"/>
      </w:rPr>
    </w:lvl>
    <w:lvl w:ilvl="4" w:tplc="041B0003" w:tentative="1">
      <w:start w:val="1"/>
      <w:numFmt w:val="bullet"/>
      <w:lvlText w:val="o"/>
      <w:lvlJc w:val="left"/>
      <w:pPr>
        <w:tabs>
          <w:tab w:val="num" w:pos="3600"/>
        </w:tabs>
        <w:ind w:left="3600" w:hanging="360"/>
      </w:pPr>
      <w:rPr>
        <w:rFonts w:ascii="Courier New" w:hAnsi="Courier New" w:cs="Courier New" w:hint="default"/>
      </w:rPr>
    </w:lvl>
    <w:lvl w:ilvl="5" w:tplc="041B0005" w:tentative="1">
      <w:start w:val="1"/>
      <w:numFmt w:val="bullet"/>
      <w:lvlText w:val=""/>
      <w:lvlJc w:val="left"/>
      <w:pPr>
        <w:tabs>
          <w:tab w:val="num" w:pos="4320"/>
        </w:tabs>
        <w:ind w:left="4320" w:hanging="360"/>
      </w:pPr>
      <w:rPr>
        <w:rFonts w:ascii="Wingdings" w:hAnsi="Wingdings" w:hint="default"/>
      </w:rPr>
    </w:lvl>
    <w:lvl w:ilvl="6" w:tplc="041B0001" w:tentative="1">
      <w:start w:val="1"/>
      <w:numFmt w:val="bullet"/>
      <w:lvlText w:val=""/>
      <w:lvlJc w:val="left"/>
      <w:pPr>
        <w:tabs>
          <w:tab w:val="num" w:pos="5040"/>
        </w:tabs>
        <w:ind w:left="5040" w:hanging="360"/>
      </w:pPr>
      <w:rPr>
        <w:rFonts w:ascii="Symbol" w:hAnsi="Symbol" w:hint="default"/>
      </w:rPr>
    </w:lvl>
    <w:lvl w:ilvl="7" w:tplc="041B0003" w:tentative="1">
      <w:start w:val="1"/>
      <w:numFmt w:val="bullet"/>
      <w:lvlText w:val="o"/>
      <w:lvlJc w:val="left"/>
      <w:pPr>
        <w:tabs>
          <w:tab w:val="num" w:pos="5760"/>
        </w:tabs>
        <w:ind w:left="5760" w:hanging="360"/>
      </w:pPr>
      <w:rPr>
        <w:rFonts w:ascii="Courier New" w:hAnsi="Courier New" w:cs="Courier New" w:hint="default"/>
      </w:rPr>
    </w:lvl>
    <w:lvl w:ilvl="8" w:tplc="041B0005" w:tentative="1">
      <w:start w:val="1"/>
      <w:numFmt w:val="bullet"/>
      <w:lvlText w:val=""/>
      <w:lvlJc w:val="left"/>
      <w:pPr>
        <w:tabs>
          <w:tab w:val="num" w:pos="6480"/>
        </w:tabs>
        <w:ind w:left="6480" w:hanging="360"/>
      </w:pPr>
      <w:rPr>
        <w:rFonts w:ascii="Wingdings" w:hAnsi="Wingdings" w:hint="default"/>
      </w:rPr>
    </w:lvl>
  </w:abstractNum>
  <w:abstractNum w:abstractNumId="364">
    <w:nsid w:val="6DF7679D"/>
    <w:multiLevelType w:val="hybridMultilevel"/>
    <w:tmpl w:val="8B28EDD8"/>
    <w:lvl w:ilvl="0" w:tplc="041B000F">
      <w:start w:val="1"/>
      <w:numFmt w:val="decimal"/>
      <w:lvlText w:val="%1."/>
      <w:lvlJc w:val="left"/>
      <w:pPr>
        <w:ind w:left="720" w:hanging="360"/>
      </w:pPr>
      <w:rPr>
        <w:rFonts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365">
    <w:nsid w:val="6ED95BF6"/>
    <w:multiLevelType w:val="hybridMultilevel"/>
    <w:tmpl w:val="783ADFE8"/>
    <w:lvl w:ilvl="0" w:tplc="041B000F">
      <w:start w:val="1"/>
      <w:numFmt w:val="decimal"/>
      <w:lvlText w:val="%1."/>
      <w:lvlJc w:val="left"/>
      <w:pPr>
        <w:tabs>
          <w:tab w:val="num" w:pos="720"/>
        </w:tabs>
        <w:ind w:left="720" w:hanging="360"/>
      </w:pPr>
      <w:rPr>
        <w:rFonts w:hint="default"/>
      </w:rPr>
    </w:lvl>
    <w:lvl w:ilvl="1" w:tplc="041B0003" w:tentative="1">
      <w:start w:val="1"/>
      <w:numFmt w:val="bullet"/>
      <w:lvlText w:val="o"/>
      <w:lvlJc w:val="left"/>
      <w:pPr>
        <w:tabs>
          <w:tab w:val="num" w:pos="1440"/>
        </w:tabs>
        <w:ind w:left="1440" w:hanging="360"/>
      </w:pPr>
      <w:rPr>
        <w:rFonts w:ascii="Courier New" w:hAnsi="Courier New" w:cs="Courier New" w:hint="default"/>
      </w:rPr>
    </w:lvl>
    <w:lvl w:ilvl="2" w:tplc="041B0005" w:tentative="1">
      <w:start w:val="1"/>
      <w:numFmt w:val="bullet"/>
      <w:lvlText w:val=""/>
      <w:lvlJc w:val="left"/>
      <w:pPr>
        <w:tabs>
          <w:tab w:val="num" w:pos="2160"/>
        </w:tabs>
        <w:ind w:left="2160" w:hanging="360"/>
      </w:pPr>
      <w:rPr>
        <w:rFonts w:ascii="Wingdings" w:hAnsi="Wingdings" w:hint="default"/>
      </w:rPr>
    </w:lvl>
    <w:lvl w:ilvl="3" w:tplc="041B0001" w:tentative="1">
      <w:start w:val="1"/>
      <w:numFmt w:val="bullet"/>
      <w:lvlText w:val=""/>
      <w:lvlJc w:val="left"/>
      <w:pPr>
        <w:tabs>
          <w:tab w:val="num" w:pos="2880"/>
        </w:tabs>
        <w:ind w:left="2880" w:hanging="360"/>
      </w:pPr>
      <w:rPr>
        <w:rFonts w:ascii="Symbol" w:hAnsi="Symbol" w:hint="default"/>
      </w:rPr>
    </w:lvl>
    <w:lvl w:ilvl="4" w:tplc="041B0003" w:tentative="1">
      <w:start w:val="1"/>
      <w:numFmt w:val="bullet"/>
      <w:lvlText w:val="o"/>
      <w:lvlJc w:val="left"/>
      <w:pPr>
        <w:tabs>
          <w:tab w:val="num" w:pos="3600"/>
        </w:tabs>
        <w:ind w:left="3600" w:hanging="360"/>
      </w:pPr>
      <w:rPr>
        <w:rFonts w:ascii="Courier New" w:hAnsi="Courier New" w:cs="Courier New" w:hint="default"/>
      </w:rPr>
    </w:lvl>
    <w:lvl w:ilvl="5" w:tplc="041B0005" w:tentative="1">
      <w:start w:val="1"/>
      <w:numFmt w:val="bullet"/>
      <w:lvlText w:val=""/>
      <w:lvlJc w:val="left"/>
      <w:pPr>
        <w:tabs>
          <w:tab w:val="num" w:pos="4320"/>
        </w:tabs>
        <w:ind w:left="4320" w:hanging="360"/>
      </w:pPr>
      <w:rPr>
        <w:rFonts w:ascii="Wingdings" w:hAnsi="Wingdings" w:hint="default"/>
      </w:rPr>
    </w:lvl>
    <w:lvl w:ilvl="6" w:tplc="041B0001" w:tentative="1">
      <w:start w:val="1"/>
      <w:numFmt w:val="bullet"/>
      <w:lvlText w:val=""/>
      <w:lvlJc w:val="left"/>
      <w:pPr>
        <w:tabs>
          <w:tab w:val="num" w:pos="5040"/>
        </w:tabs>
        <w:ind w:left="5040" w:hanging="360"/>
      </w:pPr>
      <w:rPr>
        <w:rFonts w:ascii="Symbol" w:hAnsi="Symbol" w:hint="default"/>
      </w:rPr>
    </w:lvl>
    <w:lvl w:ilvl="7" w:tplc="041B0003" w:tentative="1">
      <w:start w:val="1"/>
      <w:numFmt w:val="bullet"/>
      <w:lvlText w:val="o"/>
      <w:lvlJc w:val="left"/>
      <w:pPr>
        <w:tabs>
          <w:tab w:val="num" w:pos="5760"/>
        </w:tabs>
        <w:ind w:left="5760" w:hanging="360"/>
      </w:pPr>
      <w:rPr>
        <w:rFonts w:ascii="Courier New" w:hAnsi="Courier New" w:cs="Courier New" w:hint="default"/>
      </w:rPr>
    </w:lvl>
    <w:lvl w:ilvl="8" w:tplc="041B0005" w:tentative="1">
      <w:start w:val="1"/>
      <w:numFmt w:val="bullet"/>
      <w:lvlText w:val=""/>
      <w:lvlJc w:val="left"/>
      <w:pPr>
        <w:tabs>
          <w:tab w:val="num" w:pos="6480"/>
        </w:tabs>
        <w:ind w:left="6480" w:hanging="360"/>
      </w:pPr>
      <w:rPr>
        <w:rFonts w:ascii="Wingdings" w:hAnsi="Wingdings" w:hint="default"/>
      </w:rPr>
    </w:lvl>
  </w:abstractNum>
  <w:abstractNum w:abstractNumId="366">
    <w:nsid w:val="6F4A4303"/>
    <w:multiLevelType w:val="hybridMultilevel"/>
    <w:tmpl w:val="3E942B64"/>
    <w:lvl w:ilvl="0" w:tplc="041B0017">
      <w:start w:val="1"/>
      <w:numFmt w:val="lowerLetter"/>
      <w:lvlText w:val="%1)"/>
      <w:lvlJc w:val="left"/>
      <w:pPr>
        <w:ind w:left="1146" w:hanging="360"/>
      </w:pPr>
      <w:rPr>
        <w:rFonts w:hint="default"/>
      </w:rPr>
    </w:lvl>
    <w:lvl w:ilvl="1" w:tplc="041B0019" w:tentative="1">
      <w:start w:val="1"/>
      <w:numFmt w:val="lowerLetter"/>
      <w:lvlText w:val="%2."/>
      <w:lvlJc w:val="left"/>
      <w:pPr>
        <w:ind w:left="1866" w:hanging="360"/>
      </w:pPr>
    </w:lvl>
    <w:lvl w:ilvl="2" w:tplc="041B001B" w:tentative="1">
      <w:start w:val="1"/>
      <w:numFmt w:val="lowerRoman"/>
      <w:lvlText w:val="%3."/>
      <w:lvlJc w:val="right"/>
      <w:pPr>
        <w:ind w:left="2586" w:hanging="180"/>
      </w:pPr>
    </w:lvl>
    <w:lvl w:ilvl="3" w:tplc="041B000F" w:tentative="1">
      <w:start w:val="1"/>
      <w:numFmt w:val="decimal"/>
      <w:lvlText w:val="%4."/>
      <w:lvlJc w:val="left"/>
      <w:pPr>
        <w:ind w:left="3306" w:hanging="360"/>
      </w:pPr>
    </w:lvl>
    <w:lvl w:ilvl="4" w:tplc="041B0019" w:tentative="1">
      <w:start w:val="1"/>
      <w:numFmt w:val="lowerLetter"/>
      <w:lvlText w:val="%5."/>
      <w:lvlJc w:val="left"/>
      <w:pPr>
        <w:ind w:left="4026" w:hanging="360"/>
      </w:pPr>
    </w:lvl>
    <w:lvl w:ilvl="5" w:tplc="041B001B" w:tentative="1">
      <w:start w:val="1"/>
      <w:numFmt w:val="lowerRoman"/>
      <w:lvlText w:val="%6."/>
      <w:lvlJc w:val="right"/>
      <w:pPr>
        <w:ind w:left="4746" w:hanging="180"/>
      </w:pPr>
    </w:lvl>
    <w:lvl w:ilvl="6" w:tplc="041B000F" w:tentative="1">
      <w:start w:val="1"/>
      <w:numFmt w:val="decimal"/>
      <w:lvlText w:val="%7."/>
      <w:lvlJc w:val="left"/>
      <w:pPr>
        <w:ind w:left="5466" w:hanging="360"/>
      </w:pPr>
    </w:lvl>
    <w:lvl w:ilvl="7" w:tplc="041B0019" w:tentative="1">
      <w:start w:val="1"/>
      <w:numFmt w:val="lowerLetter"/>
      <w:lvlText w:val="%8."/>
      <w:lvlJc w:val="left"/>
      <w:pPr>
        <w:ind w:left="6186" w:hanging="360"/>
      </w:pPr>
    </w:lvl>
    <w:lvl w:ilvl="8" w:tplc="041B001B" w:tentative="1">
      <w:start w:val="1"/>
      <w:numFmt w:val="lowerRoman"/>
      <w:lvlText w:val="%9."/>
      <w:lvlJc w:val="right"/>
      <w:pPr>
        <w:ind w:left="6906" w:hanging="180"/>
      </w:pPr>
    </w:lvl>
  </w:abstractNum>
  <w:abstractNum w:abstractNumId="367">
    <w:nsid w:val="6F74052D"/>
    <w:multiLevelType w:val="hybridMultilevel"/>
    <w:tmpl w:val="ACC463AA"/>
    <w:lvl w:ilvl="0" w:tplc="F7D069CE">
      <w:numFmt w:val="bullet"/>
      <w:lvlText w:val="–"/>
      <w:lvlJc w:val="left"/>
      <w:pPr>
        <w:ind w:left="720" w:hanging="360"/>
      </w:pPr>
      <w:rPr>
        <w:rFonts w:ascii="Times New Roman" w:eastAsia="Times New Roman" w:hAnsi="Times New Roman"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368">
    <w:nsid w:val="6F8B0802"/>
    <w:multiLevelType w:val="hybridMultilevel"/>
    <w:tmpl w:val="EA0A2DC8"/>
    <w:lvl w:ilvl="0" w:tplc="041B0001">
      <w:start w:val="1"/>
      <w:numFmt w:val="bullet"/>
      <w:lvlText w:val=""/>
      <w:lvlJc w:val="left"/>
      <w:pPr>
        <w:tabs>
          <w:tab w:val="num" w:pos="720"/>
        </w:tabs>
        <w:ind w:left="720" w:hanging="360"/>
      </w:pPr>
      <w:rPr>
        <w:rFonts w:ascii="Symbol" w:hAnsi="Symbol" w:cs="Symbol" w:hint="default"/>
      </w:rPr>
    </w:lvl>
    <w:lvl w:ilvl="1" w:tplc="041B0003">
      <w:start w:val="1"/>
      <w:numFmt w:val="bullet"/>
      <w:lvlText w:val="o"/>
      <w:lvlJc w:val="left"/>
      <w:pPr>
        <w:tabs>
          <w:tab w:val="num" w:pos="1440"/>
        </w:tabs>
        <w:ind w:left="1440" w:hanging="360"/>
      </w:pPr>
      <w:rPr>
        <w:rFonts w:ascii="Courier New" w:hAnsi="Courier New" w:cs="Courier New" w:hint="default"/>
      </w:rPr>
    </w:lvl>
    <w:lvl w:ilvl="2" w:tplc="041B0005">
      <w:start w:val="1"/>
      <w:numFmt w:val="bullet"/>
      <w:lvlText w:val=""/>
      <w:lvlJc w:val="left"/>
      <w:pPr>
        <w:tabs>
          <w:tab w:val="num" w:pos="2160"/>
        </w:tabs>
        <w:ind w:left="2160" w:hanging="360"/>
      </w:pPr>
      <w:rPr>
        <w:rFonts w:ascii="Wingdings" w:hAnsi="Wingdings" w:cs="Wingdings" w:hint="default"/>
      </w:rPr>
    </w:lvl>
    <w:lvl w:ilvl="3" w:tplc="041B0001">
      <w:start w:val="1"/>
      <w:numFmt w:val="bullet"/>
      <w:lvlText w:val=""/>
      <w:lvlJc w:val="left"/>
      <w:pPr>
        <w:tabs>
          <w:tab w:val="num" w:pos="2880"/>
        </w:tabs>
        <w:ind w:left="2880" w:hanging="360"/>
      </w:pPr>
      <w:rPr>
        <w:rFonts w:ascii="Symbol" w:hAnsi="Symbol" w:cs="Symbol" w:hint="default"/>
      </w:rPr>
    </w:lvl>
    <w:lvl w:ilvl="4" w:tplc="041B0003">
      <w:start w:val="1"/>
      <w:numFmt w:val="bullet"/>
      <w:lvlText w:val="o"/>
      <w:lvlJc w:val="left"/>
      <w:pPr>
        <w:tabs>
          <w:tab w:val="num" w:pos="3600"/>
        </w:tabs>
        <w:ind w:left="3600" w:hanging="360"/>
      </w:pPr>
      <w:rPr>
        <w:rFonts w:ascii="Courier New" w:hAnsi="Courier New" w:cs="Courier New" w:hint="default"/>
      </w:rPr>
    </w:lvl>
    <w:lvl w:ilvl="5" w:tplc="041B0005">
      <w:start w:val="1"/>
      <w:numFmt w:val="bullet"/>
      <w:lvlText w:val=""/>
      <w:lvlJc w:val="left"/>
      <w:pPr>
        <w:tabs>
          <w:tab w:val="num" w:pos="4320"/>
        </w:tabs>
        <w:ind w:left="4320" w:hanging="360"/>
      </w:pPr>
      <w:rPr>
        <w:rFonts w:ascii="Wingdings" w:hAnsi="Wingdings" w:cs="Wingdings" w:hint="default"/>
      </w:rPr>
    </w:lvl>
    <w:lvl w:ilvl="6" w:tplc="041B0001">
      <w:start w:val="1"/>
      <w:numFmt w:val="bullet"/>
      <w:lvlText w:val=""/>
      <w:lvlJc w:val="left"/>
      <w:pPr>
        <w:tabs>
          <w:tab w:val="num" w:pos="5040"/>
        </w:tabs>
        <w:ind w:left="5040" w:hanging="360"/>
      </w:pPr>
      <w:rPr>
        <w:rFonts w:ascii="Symbol" w:hAnsi="Symbol" w:cs="Symbol" w:hint="default"/>
      </w:rPr>
    </w:lvl>
    <w:lvl w:ilvl="7" w:tplc="041B0003">
      <w:start w:val="1"/>
      <w:numFmt w:val="bullet"/>
      <w:lvlText w:val="o"/>
      <w:lvlJc w:val="left"/>
      <w:pPr>
        <w:tabs>
          <w:tab w:val="num" w:pos="5760"/>
        </w:tabs>
        <w:ind w:left="5760" w:hanging="360"/>
      </w:pPr>
      <w:rPr>
        <w:rFonts w:ascii="Courier New" w:hAnsi="Courier New" w:cs="Courier New" w:hint="default"/>
      </w:rPr>
    </w:lvl>
    <w:lvl w:ilvl="8" w:tplc="041B0005">
      <w:start w:val="1"/>
      <w:numFmt w:val="bullet"/>
      <w:lvlText w:val=""/>
      <w:lvlJc w:val="left"/>
      <w:pPr>
        <w:tabs>
          <w:tab w:val="num" w:pos="6480"/>
        </w:tabs>
        <w:ind w:left="6480" w:hanging="360"/>
      </w:pPr>
      <w:rPr>
        <w:rFonts w:ascii="Wingdings" w:hAnsi="Wingdings" w:cs="Wingdings" w:hint="default"/>
      </w:rPr>
    </w:lvl>
  </w:abstractNum>
  <w:abstractNum w:abstractNumId="369">
    <w:nsid w:val="6F8D3E1A"/>
    <w:multiLevelType w:val="hybridMultilevel"/>
    <w:tmpl w:val="3F04D95E"/>
    <w:lvl w:ilvl="0" w:tplc="8D4C07C2">
      <w:start w:val="1"/>
      <w:numFmt w:val="bullet"/>
      <w:lvlText w:val=""/>
      <w:lvlJc w:val="left"/>
      <w:pPr>
        <w:tabs>
          <w:tab w:val="num" w:pos="360"/>
        </w:tabs>
        <w:ind w:left="360" w:hanging="360"/>
      </w:pPr>
      <w:rPr>
        <w:rFonts w:ascii="Wingdings" w:hAnsi="Wingdings" w:hint="default"/>
        <w:color w:val="auto"/>
      </w:rPr>
    </w:lvl>
    <w:lvl w:ilvl="1" w:tplc="041B0003" w:tentative="1">
      <w:start w:val="1"/>
      <w:numFmt w:val="bullet"/>
      <w:lvlText w:val="o"/>
      <w:lvlJc w:val="left"/>
      <w:pPr>
        <w:tabs>
          <w:tab w:val="num" w:pos="1440"/>
        </w:tabs>
        <w:ind w:left="1440" w:hanging="360"/>
      </w:pPr>
      <w:rPr>
        <w:rFonts w:ascii="Courier New" w:hAnsi="Courier New" w:cs="Courier New" w:hint="default"/>
      </w:rPr>
    </w:lvl>
    <w:lvl w:ilvl="2" w:tplc="041B0005" w:tentative="1">
      <w:start w:val="1"/>
      <w:numFmt w:val="bullet"/>
      <w:lvlText w:val=""/>
      <w:lvlJc w:val="left"/>
      <w:pPr>
        <w:tabs>
          <w:tab w:val="num" w:pos="2160"/>
        </w:tabs>
        <w:ind w:left="2160" w:hanging="360"/>
      </w:pPr>
      <w:rPr>
        <w:rFonts w:ascii="Wingdings" w:hAnsi="Wingdings" w:hint="default"/>
      </w:rPr>
    </w:lvl>
    <w:lvl w:ilvl="3" w:tplc="041B0001" w:tentative="1">
      <w:start w:val="1"/>
      <w:numFmt w:val="bullet"/>
      <w:lvlText w:val=""/>
      <w:lvlJc w:val="left"/>
      <w:pPr>
        <w:tabs>
          <w:tab w:val="num" w:pos="2880"/>
        </w:tabs>
        <w:ind w:left="2880" w:hanging="360"/>
      </w:pPr>
      <w:rPr>
        <w:rFonts w:ascii="Symbol" w:hAnsi="Symbol" w:hint="default"/>
      </w:rPr>
    </w:lvl>
    <w:lvl w:ilvl="4" w:tplc="041B0003" w:tentative="1">
      <w:start w:val="1"/>
      <w:numFmt w:val="bullet"/>
      <w:lvlText w:val="o"/>
      <w:lvlJc w:val="left"/>
      <w:pPr>
        <w:tabs>
          <w:tab w:val="num" w:pos="3600"/>
        </w:tabs>
        <w:ind w:left="3600" w:hanging="360"/>
      </w:pPr>
      <w:rPr>
        <w:rFonts w:ascii="Courier New" w:hAnsi="Courier New" w:cs="Courier New" w:hint="default"/>
      </w:rPr>
    </w:lvl>
    <w:lvl w:ilvl="5" w:tplc="041B0005" w:tentative="1">
      <w:start w:val="1"/>
      <w:numFmt w:val="bullet"/>
      <w:lvlText w:val=""/>
      <w:lvlJc w:val="left"/>
      <w:pPr>
        <w:tabs>
          <w:tab w:val="num" w:pos="4320"/>
        </w:tabs>
        <w:ind w:left="4320" w:hanging="360"/>
      </w:pPr>
      <w:rPr>
        <w:rFonts w:ascii="Wingdings" w:hAnsi="Wingdings" w:hint="default"/>
      </w:rPr>
    </w:lvl>
    <w:lvl w:ilvl="6" w:tplc="041B0001" w:tentative="1">
      <w:start w:val="1"/>
      <w:numFmt w:val="bullet"/>
      <w:lvlText w:val=""/>
      <w:lvlJc w:val="left"/>
      <w:pPr>
        <w:tabs>
          <w:tab w:val="num" w:pos="5040"/>
        </w:tabs>
        <w:ind w:left="5040" w:hanging="360"/>
      </w:pPr>
      <w:rPr>
        <w:rFonts w:ascii="Symbol" w:hAnsi="Symbol" w:hint="default"/>
      </w:rPr>
    </w:lvl>
    <w:lvl w:ilvl="7" w:tplc="041B0003" w:tentative="1">
      <w:start w:val="1"/>
      <w:numFmt w:val="bullet"/>
      <w:lvlText w:val="o"/>
      <w:lvlJc w:val="left"/>
      <w:pPr>
        <w:tabs>
          <w:tab w:val="num" w:pos="5760"/>
        </w:tabs>
        <w:ind w:left="5760" w:hanging="360"/>
      </w:pPr>
      <w:rPr>
        <w:rFonts w:ascii="Courier New" w:hAnsi="Courier New" w:cs="Courier New" w:hint="default"/>
      </w:rPr>
    </w:lvl>
    <w:lvl w:ilvl="8" w:tplc="041B0005" w:tentative="1">
      <w:start w:val="1"/>
      <w:numFmt w:val="bullet"/>
      <w:lvlText w:val=""/>
      <w:lvlJc w:val="left"/>
      <w:pPr>
        <w:tabs>
          <w:tab w:val="num" w:pos="6480"/>
        </w:tabs>
        <w:ind w:left="6480" w:hanging="360"/>
      </w:pPr>
      <w:rPr>
        <w:rFonts w:ascii="Wingdings" w:hAnsi="Wingdings" w:hint="default"/>
      </w:rPr>
    </w:lvl>
  </w:abstractNum>
  <w:abstractNum w:abstractNumId="370">
    <w:nsid w:val="6FC53690"/>
    <w:multiLevelType w:val="multilevel"/>
    <w:tmpl w:val="E3BEA1DA"/>
    <w:lvl w:ilvl="0">
      <w:start w:val="1"/>
      <w:numFmt w:val="decimal"/>
      <w:lvlText w:val="%1."/>
      <w:lvlJc w:val="center"/>
      <w:pPr>
        <w:tabs>
          <w:tab w:val="num" w:pos="720"/>
        </w:tabs>
        <w:ind w:left="720" w:hanging="360"/>
      </w:pPr>
      <w:rPr>
        <w:rFonts w:hint="default"/>
        <w:u w:val="none"/>
      </w:rPr>
    </w:lvl>
    <w:lvl w:ilvl="1">
      <w:start w:val="1"/>
      <w:numFmt w:val="lowerLetter"/>
      <w:lvlText w:val="%2)"/>
      <w:lvlJc w:val="left"/>
      <w:pPr>
        <w:tabs>
          <w:tab w:val="num" w:pos="1440"/>
        </w:tabs>
        <w:ind w:left="1440" w:hanging="360"/>
      </w:pPr>
      <w:rPr>
        <w:rFonts w:cs="Times New Roman" w:hint="default"/>
      </w:rPr>
    </w:lvl>
    <w:lvl w:ilvl="2">
      <w:start w:val="1"/>
      <w:numFmt w:val="bullet"/>
      <w:lvlText w:val=""/>
      <w:lvlJc w:val="left"/>
      <w:pPr>
        <w:tabs>
          <w:tab w:val="num" w:pos="2160"/>
        </w:tabs>
        <w:ind w:left="2160" w:hanging="360"/>
      </w:pPr>
      <w:rPr>
        <w:rFonts w:ascii="Wingdings" w:hAnsi="Wingdings" w:cs="Wingdings"/>
      </w:rPr>
    </w:lvl>
    <w:lvl w:ilvl="3">
      <w:start w:val="1"/>
      <w:numFmt w:val="bullet"/>
      <w:lvlText w:val=""/>
      <w:lvlJc w:val="left"/>
      <w:pPr>
        <w:tabs>
          <w:tab w:val="num" w:pos="2880"/>
        </w:tabs>
        <w:ind w:left="2880" w:hanging="360"/>
      </w:pPr>
      <w:rPr>
        <w:rFonts w:ascii="Symbol" w:hAnsi="Symbol" w:cs="Symbol"/>
      </w:rPr>
    </w:lvl>
    <w:lvl w:ilvl="4">
      <w:start w:val="1"/>
      <w:numFmt w:val="bullet"/>
      <w:lvlText w:val="o"/>
      <w:lvlJc w:val="left"/>
      <w:pPr>
        <w:tabs>
          <w:tab w:val="num" w:pos="3600"/>
        </w:tabs>
        <w:ind w:left="3600" w:hanging="360"/>
      </w:pPr>
      <w:rPr>
        <w:rFonts w:ascii="Courier New" w:hAnsi="Courier New" w:cs="Courier New"/>
      </w:rPr>
    </w:lvl>
    <w:lvl w:ilvl="5">
      <w:start w:val="1"/>
      <w:numFmt w:val="bullet"/>
      <w:lvlText w:val=""/>
      <w:lvlJc w:val="left"/>
      <w:pPr>
        <w:tabs>
          <w:tab w:val="num" w:pos="4320"/>
        </w:tabs>
        <w:ind w:left="4320" w:hanging="360"/>
      </w:pPr>
      <w:rPr>
        <w:rFonts w:ascii="Wingdings" w:hAnsi="Wingdings" w:cs="Wingdings"/>
      </w:rPr>
    </w:lvl>
    <w:lvl w:ilvl="6">
      <w:start w:val="1"/>
      <w:numFmt w:val="bullet"/>
      <w:lvlText w:val=""/>
      <w:lvlJc w:val="left"/>
      <w:pPr>
        <w:tabs>
          <w:tab w:val="num" w:pos="5040"/>
        </w:tabs>
        <w:ind w:left="5040" w:hanging="360"/>
      </w:pPr>
      <w:rPr>
        <w:rFonts w:ascii="Symbol" w:hAnsi="Symbol" w:cs="Symbol"/>
      </w:rPr>
    </w:lvl>
    <w:lvl w:ilvl="7">
      <w:start w:val="1"/>
      <w:numFmt w:val="bullet"/>
      <w:lvlText w:val="o"/>
      <w:lvlJc w:val="left"/>
      <w:pPr>
        <w:tabs>
          <w:tab w:val="num" w:pos="5760"/>
        </w:tabs>
        <w:ind w:left="5760" w:hanging="360"/>
      </w:pPr>
      <w:rPr>
        <w:rFonts w:ascii="Courier New" w:hAnsi="Courier New" w:cs="Courier New"/>
      </w:rPr>
    </w:lvl>
    <w:lvl w:ilvl="8">
      <w:start w:val="1"/>
      <w:numFmt w:val="bullet"/>
      <w:lvlText w:val=""/>
      <w:lvlJc w:val="left"/>
      <w:pPr>
        <w:tabs>
          <w:tab w:val="num" w:pos="6480"/>
        </w:tabs>
        <w:ind w:left="6480" w:hanging="360"/>
      </w:pPr>
      <w:rPr>
        <w:rFonts w:ascii="Wingdings" w:hAnsi="Wingdings" w:cs="Wingdings"/>
      </w:rPr>
    </w:lvl>
  </w:abstractNum>
  <w:abstractNum w:abstractNumId="371">
    <w:nsid w:val="706B02D4"/>
    <w:multiLevelType w:val="hybridMultilevel"/>
    <w:tmpl w:val="C8D2AB8E"/>
    <w:lvl w:ilvl="0" w:tplc="6152E38C">
      <w:start w:val="1"/>
      <w:numFmt w:val="decimal"/>
      <w:lvlText w:val="%1.)"/>
      <w:lvlJc w:val="left"/>
      <w:pPr>
        <w:ind w:left="-1065" w:hanging="360"/>
      </w:pPr>
      <w:rPr>
        <w:rFonts w:hint="default"/>
      </w:rPr>
    </w:lvl>
    <w:lvl w:ilvl="1" w:tplc="0C070019">
      <w:start w:val="1"/>
      <w:numFmt w:val="lowerLetter"/>
      <w:lvlText w:val="%2."/>
      <w:lvlJc w:val="left"/>
      <w:pPr>
        <w:ind w:left="-345" w:hanging="360"/>
      </w:pPr>
    </w:lvl>
    <w:lvl w:ilvl="2" w:tplc="0C07001B" w:tentative="1">
      <w:start w:val="1"/>
      <w:numFmt w:val="lowerRoman"/>
      <w:lvlText w:val="%3."/>
      <w:lvlJc w:val="right"/>
      <w:pPr>
        <w:ind w:left="375" w:hanging="180"/>
      </w:pPr>
    </w:lvl>
    <w:lvl w:ilvl="3" w:tplc="0C07000F" w:tentative="1">
      <w:start w:val="1"/>
      <w:numFmt w:val="decimal"/>
      <w:lvlText w:val="%4."/>
      <w:lvlJc w:val="left"/>
      <w:pPr>
        <w:ind w:left="1095" w:hanging="360"/>
      </w:pPr>
    </w:lvl>
    <w:lvl w:ilvl="4" w:tplc="0C070019" w:tentative="1">
      <w:start w:val="1"/>
      <w:numFmt w:val="lowerLetter"/>
      <w:lvlText w:val="%5."/>
      <w:lvlJc w:val="left"/>
      <w:pPr>
        <w:ind w:left="1815" w:hanging="360"/>
      </w:pPr>
    </w:lvl>
    <w:lvl w:ilvl="5" w:tplc="0C07001B" w:tentative="1">
      <w:start w:val="1"/>
      <w:numFmt w:val="lowerRoman"/>
      <w:lvlText w:val="%6."/>
      <w:lvlJc w:val="right"/>
      <w:pPr>
        <w:ind w:left="2535" w:hanging="180"/>
      </w:pPr>
    </w:lvl>
    <w:lvl w:ilvl="6" w:tplc="0C07000F" w:tentative="1">
      <w:start w:val="1"/>
      <w:numFmt w:val="decimal"/>
      <w:lvlText w:val="%7."/>
      <w:lvlJc w:val="left"/>
      <w:pPr>
        <w:ind w:left="3255" w:hanging="360"/>
      </w:pPr>
    </w:lvl>
    <w:lvl w:ilvl="7" w:tplc="0C070019" w:tentative="1">
      <w:start w:val="1"/>
      <w:numFmt w:val="lowerLetter"/>
      <w:lvlText w:val="%8."/>
      <w:lvlJc w:val="left"/>
      <w:pPr>
        <w:ind w:left="3975" w:hanging="360"/>
      </w:pPr>
    </w:lvl>
    <w:lvl w:ilvl="8" w:tplc="0C07001B" w:tentative="1">
      <w:start w:val="1"/>
      <w:numFmt w:val="lowerRoman"/>
      <w:lvlText w:val="%9."/>
      <w:lvlJc w:val="right"/>
      <w:pPr>
        <w:ind w:left="4695" w:hanging="180"/>
      </w:pPr>
    </w:lvl>
  </w:abstractNum>
  <w:abstractNum w:abstractNumId="372">
    <w:nsid w:val="706C38D4"/>
    <w:multiLevelType w:val="hybridMultilevel"/>
    <w:tmpl w:val="C7E06718"/>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373">
    <w:nsid w:val="70D91656"/>
    <w:multiLevelType w:val="hybridMultilevel"/>
    <w:tmpl w:val="35B6D2BC"/>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374">
    <w:nsid w:val="70F418D5"/>
    <w:multiLevelType w:val="hybridMultilevel"/>
    <w:tmpl w:val="C180EE32"/>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375">
    <w:nsid w:val="7201619A"/>
    <w:multiLevelType w:val="hybridMultilevel"/>
    <w:tmpl w:val="B85C226E"/>
    <w:lvl w:ilvl="0" w:tplc="041B0001">
      <w:start w:val="1"/>
      <w:numFmt w:val="bullet"/>
      <w:lvlText w:val=""/>
      <w:lvlJc w:val="left"/>
      <w:pPr>
        <w:ind w:left="720" w:hanging="360"/>
      </w:pPr>
      <w:rPr>
        <w:rFonts w:ascii="Symbol" w:hAnsi="Symbol" w:hint="default"/>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376">
    <w:nsid w:val="72091F35"/>
    <w:multiLevelType w:val="hybridMultilevel"/>
    <w:tmpl w:val="E3DC2EE2"/>
    <w:lvl w:ilvl="0" w:tplc="CBC837A2">
      <w:start w:val="1"/>
      <w:numFmt w:val="bullet"/>
      <w:pStyle w:val="NumPar1"/>
      <w:lvlText w:val=""/>
      <w:lvlJc w:val="left"/>
      <w:pPr>
        <w:tabs>
          <w:tab w:val="num" w:pos="720"/>
        </w:tabs>
        <w:ind w:left="720" w:hanging="360"/>
      </w:pPr>
      <w:rPr>
        <w:rFonts w:ascii="Symbol" w:hAnsi="Symbol" w:cs="Symbol" w:hint="default"/>
      </w:rPr>
    </w:lvl>
    <w:lvl w:ilvl="1" w:tplc="041B0003">
      <w:start w:val="1"/>
      <w:numFmt w:val="bullet"/>
      <w:lvlText w:val="o"/>
      <w:lvlJc w:val="left"/>
      <w:pPr>
        <w:tabs>
          <w:tab w:val="num" w:pos="1440"/>
        </w:tabs>
        <w:ind w:left="1440" w:hanging="360"/>
      </w:pPr>
      <w:rPr>
        <w:rFonts w:ascii="Courier New" w:hAnsi="Courier New" w:cs="Courier New" w:hint="default"/>
      </w:rPr>
    </w:lvl>
    <w:lvl w:ilvl="2" w:tplc="041B0005">
      <w:start w:val="1"/>
      <w:numFmt w:val="bullet"/>
      <w:lvlText w:val=""/>
      <w:lvlJc w:val="left"/>
      <w:pPr>
        <w:tabs>
          <w:tab w:val="num" w:pos="2160"/>
        </w:tabs>
        <w:ind w:left="2160" w:hanging="360"/>
      </w:pPr>
      <w:rPr>
        <w:rFonts w:ascii="Wingdings" w:hAnsi="Wingdings" w:cs="Wingdings" w:hint="default"/>
      </w:rPr>
    </w:lvl>
    <w:lvl w:ilvl="3" w:tplc="041B0001">
      <w:start w:val="1"/>
      <w:numFmt w:val="bullet"/>
      <w:lvlText w:val=""/>
      <w:lvlJc w:val="left"/>
      <w:pPr>
        <w:tabs>
          <w:tab w:val="num" w:pos="2880"/>
        </w:tabs>
        <w:ind w:left="2880" w:hanging="360"/>
      </w:pPr>
      <w:rPr>
        <w:rFonts w:ascii="Symbol" w:hAnsi="Symbol" w:cs="Symbol" w:hint="default"/>
      </w:rPr>
    </w:lvl>
    <w:lvl w:ilvl="4" w:tplc="041B0003">
      <w:start w:val="1"/>
      <w:numFmt w:val="bullet"/>
      <w:lvlText w:val="o"/>
      <w:lvlJc w:val="left"/>
      <w:pPr>
        <w:tabs>
          <w:tab w:val="num" w:pos="3600"/>
        </w:tabs>
        <w:ind w:left="3600" w:hanging="360"/>
      </w:pPr>
      <w:rPr>
        <w:rFonts w:ascii="Courier New" w:hAnsi="Courier New" w:cs="Courier New" w:hint="default"/>
      </w:rPr>
    </w:lvl>
    <w:lvl w:ilvl="5" w:tplc="041B0005">
      <w:start w:val="1"/>
      <w:numFmt w:val="bullet"/>
      <w:lvlText w:val=""/>
      <w:lvlJc w:val="left"/>
      <w:pPr>
        <w:tabs>
          <w:tab w:val="num" w:pos="4320"/>
        </w:tabs>
        <w:ind w:left="4320" w:hanging="360"/>
      </w:pPr>
      <w:rPr>
        <w:rFonts w:ascii="Wingdings" w:hAnsi="Wingdings" w:cs="Wingdings" w:hint="default"/>
      </w:rPr>
    </w:lvl>
    <w:lvl w:ilvl="6" w:tplc="041B0001">
      <w:start w:val="1"/>
      <w:numFmt w:val="bullet"/>
      <w:lvlText w:val=""/>
      <w:lvlJc w:val="left"/>
      <w:pPr>
        <w:tabs>
          <w:tab w:val="num" w:pos="5040"/>
        </w:tabs>
        <w:ind w:left="5040" w:hanging="360"/>
      </w:pPr>
      <w:rPr>
        <w:rFonts w:ascii="Symbol" w:hAnsi="Symbol" w:cs="Symbol" w:hint="default"/>
      </w:rPr>
    </w:lvl>
    <w:lvl w:ilvl="7" w:tplc="041B0003">
      <w:start w:val="1"/>
      <w:numFmt w:val="bullet"/>
      <w:lvlText w:val="o"/>
      <w:lvlJc w:val="left"/>
      <w:pPr>
        <w:tabs>
          <w:tab w:val="num" w:pos="5760"/>
        </w:tabs>
        <w:ind w:left="5760" w:hanging="360"/>
      </w:pPr>
      <w:rPr>
        <w:rFonts w:ascii="Courier New" w:hAnsi="Courier New" w:cs="Courier New" w:hint="default"/>
      </w:rPr>
    </w:lvl>
    <w:lvl w:ilvl="8" w:tplc="041B0005">
      <w:start w:val="1"/>
      <w:numFmt w:val="bullet"/>
      <w:lvlText w:val=""/>
      <w:lvlJc w:val="left"/>
      <w:pPr>
        <w:tabs>
          <w:tab w:val="num" w:pos="6480"/>
        </w:tabs>
        <w:ind w:left="6480" w:hanging="360"/>
      </w:pPr>
      <w:rPr>
        <w:rFonts w:ascii="Wingdings" w:hAnsi="Wingdings" w:cs="Wingdings" w:hint="default"/>
      </w:rPr>
    </w:lvl>
  </w:abstractNum>
  <w:abstractNum w:abstractNumId="377">
    <w:nsid w:val="722E174C"/>
    <w:multiLevelType w:val="hybridMultilevel"/>
    <w:tmpl w:val="0590C856"/>
    <w:lvl w:ilvl="0" w:tplc="C03C6414">
      <w:start w:val="1"/>
      <w:numFmt w:val="lowerRoman"/>
      <w:lvlText w:val="%1."/>
      <w:lvlJc w:val="left"/>
      <w:pPr>
        <w:ind w:left="720" w:hanging="360"/>
      </w:pPr>
      <w:rPr>
        <w:rFonts w:eastAsia="Calibri" w:hint="default"/>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378">
    <w:nsid w:val="72783B70"/>
    <w:multiLevelType w:val="multilevel"/>
    <w:tmpl w:val="6DD2884A"/>
    <w:numStyleLink w:val="Aktulnyzoznam1"/>
  </w:abstractNum>
  <w:abstractNum w:abstractNumId="379">
    <w:nsid w:val="73C75D5B"/>
    <w:multiLevelType w:val="hybridMultilevel"/>
    <w:tmpl w:val="CCC6413C"/>
    <w:lvl w:ilvl="0" w:tplc="8F7C0E96">
      <w:start w:val="1"/>
      <w:numFmt w:val="decimal"/>
      <w:lvlText w:val="%1"/>
      <w:lvlJc w:val="left"/>
      <w:pPr>
        <w:ind w:left="720" w:hanging="360"/>
      </w:pPr>
      <w:rPr>
        <w:rFonts w:hint="default"/>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380">
    <w:nsid w:val="73E2083F"/>
    <w:multiLevelType w:val="hybridMultilevel"/>
    <w:tmpl w:val="947C034E"/>
    <w:lvl w:ilvl="0" w:tplc="E04A1532">
      <w:start w:val="1"/>
      <w:numFmt w:val="lowerRoman"/>
      <w:lvlText w:val="%1.)"/>
      <w:lvlJc w:val="left"/>
      <w:pPr>
        <w:ind w:left="1440" w:hanging="720"/>
      </w:pPr>
      <w:rPr>
        <w:rFonts w:cs="Times New Roman" w:hint="default"/>
      </w:rPr>
    </w:lvl>
    <w:lvl w:ilvl="1" w:tplc="041B0019">
      <w:start w:val="1"/>
      <w:numFmt w:val="lowerLetter"/>
      <w:lvlText w:val="%2."/>
      <w:lvlJc w:val="left"/>
      <w:pPr>
        <w:ind w:left="1800" w:hanging="360"/>
      </w:pPr>
      <w:rPr>
        <w:rFonts w:cs="Times New Roman"/>
      </w:rPr>
    </w:lvl>
    <w:lvl w:ilvl="2" w:tplc="041B001B">
      <w:start w:val="1"/>
      <w:numFmt w:val="lowerRoman"/>
      <w:lvlText w:val="%3."/>
      <w:lvlJc w:val="right"/>
      <w:pPr>
        <w:ind w:left="2520" w:hanging="180"/>
      </w:pPr>
      <w:rPr>
        <w:rFonts w:cs="Times New Roman"/>
      </w:rPr>
    </w:lvl>
    <w:lvl w:ilvl="3" w:tplc="041B000F" w:tentative="1">
      <w:start w:val="1"/>
      <w:numFmt w:val="decimal"/>
      <w:lvlText w:val="%4."/>
      <w:lvlJc w:val="left"/>
      <w:pPr>
        <w:ind w:left="3240" w:hanging="360"/>
      </w:pPr>
      <w:rPr>
        <w:rFonts w:cs="Times New Roman"/>
      </w:rPr>
    </w:lvl>
    <w:lvl w:ilvl="4" w:tplc="041B0019" w:tentative="1">
      <w:start w:val="1"/>
      <w:numFmt w:val="lowerLetter"/>
      <w:lvlText w:val="%5."/>
      <w:lvlJc w:val="left"/>
      <w:pPr>
        <w:ind w:left="3960" w:hanging="360"/>
      </w:pPr>
      <w:rPr>
        <w:rFonts w:cs="Times New Roman"/>
      </w:rPr>
    </w:lvl>
    <w:lvl w:ilvl="5" w:tplc="041B001B" w:tentative="1">
      <w:start w:val="1"/>
      <w:numFmt w:val="lowerRoman"/>
      <w:lvlText w:val="%6."/>
      <w:lvlJc w:val="right"/>
      <w:pPr>
        <w:ind w:left="4680" w:hanging="180"/>
      </w:pPr>
      <w:rPr>
        <w:rFonts w:cs="Times New Roman"/>
      </w:rPr>
    </w:lvl>
    <w:lvl w:ilvl="6" w:tplc="041B000F" w:tentative="1">
      <w:start w:val="1"/>
      <w:numFmt w:val="decimal"/>
      <w:lvlText w:val="%7."/>
      <w:lvlJc w:val="left"/>
      <w:pPr>
        <w:ind w:left="5400" w:hanging="360"/>
      </w:pPr>
      <w:rPr>
        <w:rFonts w:cs="Times New Roman"/>
      </w:rPr>
    </w:lvl>
    <w:lvl w:ilvl="7" w:tplc="041B0019" w:tentative="1">
      <w:start w:val="1"/>
      <w:numFmt w:val="lowerLetter"/>
      <w:lvlText w:val="%8."/>
      <w:lvlJc w:val="left"/>
      <w:pPr>
        <w:ind w:left="6120" w:hanging="360"/>
      </w:pPr>
      <w:rPr>
        <w:rFonts w:cs="Times New Roman"/>
      </w:rPr>
    </w:lvl>
    <w:lvl w:ilvl="8" w:tplc="041B001B" w:tentative="1">
      <w:start w:val="1"/>
      <w:numFmt w:val="lowerRoman"/>
      <w:lvlText w:val="%9."/>
      <w:lvlJc w:val="right"/>
      <w:pPr>
        <w:ind w:left="6840" w:hanging="180"/>
      </w:pPr>
      <w:rPr>
        <w:rFonts w:cs="Times New Roman"/>
      </w:rPr>
    </w:lvl>
  </w:abstractNum>
  <w:abstractNum w:abstractNumId="381">
    <w:nsid w:val="74762DD1"/>
    <w:multiLevelType w:val="hybridMultilevel"/>
    <w:tmpl w:val="202ED604"/>
    <w:lvl w:ilvl="0" w:tplc="041B0017">
      <w:start w:val="1"/>
      <w:numFmt w:val="lowerLetter"/>
      <w:lvlText w:val="%1)"/>
      <w:lvlJc w:val="left"/>
      <w:pPr>
        <w:ind w:left="720" w:hanging="360"/>
      </w:p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382">
    <w:nsid w:val="749A059D"/>
    <w:multiLevelType w:val="hybridMultilevel"/>
    <w:tmpl w:val="10F00350"/>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383">
    <w:nsid w:val="74CE61D0"/>
    <w:multiLevelType w:val="hybridMultilevel"/>
    <w:tmpl w:val="7BD2AC96"/>
    <w:lvl w:ilvl="0" w:tplc="4A6C7A02">
      <w:start w:val="1"/>
      <w:numFmt w:val="bullet"/>
      <w:lvlText w:val="-"/>
      <w:lvlJc w:val="left"/>
      <w:pPr>
        <w:ind w:left="720" w:hanging="360"/>
      </w:pPr>
      <w:rPr>
        <w:rFonts w:ascii="Calibri" w:eastAsia="Times New Roman" w:hAnsi="Calibri" w:cs="Calibri" w:hint="default"/>
        <w:caps/>
        <w:sz w:val="24"/>
        <w:szCs w:val="24"/>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384">
    <w:nsid w:val="754E14FF"/>
    <w:multiLevelType w:val="hybridMultilevel"/>
    <w:tmpl w:val="7B3C2734"/>
    <w:lvl w:ilvl="0" w:tplc="C9AA074A">
      <w:numFmt w:val="bullet"/>
      <w:lvlText w:val="·"/>
      <w:lvlJc w:val="left"/>
      <w:pPr>
        <w:ind w:left="720" w:hanging="360"/>
      </w:pPr>
      <w:rPr>
        <w:rFonts w:ascii="Times New Roman" w:eastAsia="Times New Roman" w:hAnsi="Times New Roman" w:cs="Times New Roman" w:hint="default"/>
        <w:color w:val="auto"/>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385">
    <w:nsid w:val="75DB13E1"/>
    <w:multiLevelType w:val="hybridMultilevel"/>
    <w:tmpl w:val="21180610"/>
    <w:lvl w:ilvl="0" w:tplc="2466B24E">
      <w:start w:val="1"/>
      <w:numFmt w:val="decimal"/>
      <w:lvlText w:val="%1."/>
      <w:lvlJc w:val="center"/>
      <w:pPr>
        <w:ind w:left="720" w:hanging="360"/>
      </w:pPr>
      <w:rPr>
        <w:rFonts w:hint="default"/>
      </w:rPr>
    </w:lvl>
    <w:lvl w:ilvl="1" w:tplc="041B0003">
      <w:start w:val="1"/>
      <w:numFmt w:val="bullet"/>
      <w:lvlText w:val="o"/>
      <w:lvlJc w:val="left"/>
      <w:pPr>
        <w:ind w:left="1440" w:hanging="360"/>
      </w:pPr>
      <w:rPr>
        <w:rFonts w:ascii="Courier New" w:hAnsi="Courier New" w:cs="Courier New" w:hint="default"/>
      </w:rPr>
    </w:lvl>
    <w:lvl w:ilvl="2" w:tplc="041B0005">
      <w:start w:val="1"/>
      <w:numFmt w:val="bullet"/>
      <w:lvlText w:val=""/>
      <w:lvlJc w:val="left"/>
      <w:pPr>
        <w:ind w:left="2160" w:hanging="360"/>
      </w:pPr>
      <w:rPr>
        <w:rFonts w:ascii="Wingdings" w:hAnsi="Wingdings" w:cs="Wingdings" w:hint="default"/>
      </w:rPr>
    </w:lvl>
    <w:lvl w:ilvl="3" w:tplc="041B0001">
      <w:start w:val="1"/>
      <w:numFmt w:val="bullet"/>
      <w:lvlText w:val=""/>
      <w:lvlJc w:val="left"/>
      <w:pPr>
        <w:ind w:left="2880" w:hanging="360"/>
      </w:pPr>
      <w:rPr>
        <w:rFonts w:ascii="Symbol" w:hAnsi="Symbol" w:cs="Symbol" w:hint="default"/>
      </w:rPr>
    </w:lvl>
    <w:lvl w:ilvl="4" w:tplc="041B0003">
      <w:start w:val="1"/>
      <w:numFmt w:val="bullet"/>
      <w:lvlText w:val="o"/>
      <w:lvlJc w:val="left"/>
      <w:pPr>
        <w:ind w:left="3600" w:hanging="360"/>
      </w:pPr>
      <w:rPr>
        <w:rFonts w:ascii="Courier New" w:hAnsi="Courier New" w:cs="Courier New" w:hint="default"/>
      </w:rPr>
    </w:lvl>
    <w:lvl w:ilvl="5" w:tplc="041B0005">
      <w:start w:val="1"/>
      <w:numFmt w:val="bullet"/>
      <w:lvlText w:val=""/>
      <w:lvlJc w:val="left"/>
      <w:pPr>
        <w:ind w:left="4320" w:hanging="360"/>
      </w:pPr>
      <w:rPr>
        <w:rFonts w:ascii="Wingdings" w:hAnsi="Wingdings" w:cs="Wingdings" w:hint="default"/>
      </w:rPr>
    </w:lvl>
    <w:lvl w:ilvl="6" w:tplc="041B0001">
      <w:start w:val="1"/>
      <w:numFmt w:val="bullet"/>
      <w:lvlText w:val=""/>
      <w:lvlJc w:val="left"/>
      <w:pPr>
        <w:ind w:left="5040" w:hanging="360"/>
      </w:pPr>
      <w:rPr>
        <w:rFonts w:ascii="Symbol" w:hAnsi="Symbol" w:cs="Symbol" w:hint="default"/>
      </w:rPr>
    </w:lvl>
    <w:lvl w:ilvl="7" w:tplc="041B0003">
      <w:start w:val="1"/>
      <w:numFmt w:val="bullet"/>
      <w:lvlText w:val="o"/>
      <w:lvlJc w:val="left"/>
      <w:pPr>
        <w:ind w:left="5760" w:hanging="360"/>
      </w:pPr>
      <w:rPr>
        <w:rFonts w:ascii="Courier New" w:hAnsi="Courier New" w:cs="Courier New" w:hint="default"/>
      </w:rPr>
    </w:lvl>
    <w:lvl w:ilvl="8" w:tplc="041B0005">
      <w:start w:val="1"/>
      <w:numFmt w:val="bullet"/>
      <w:lvlText w:val=""/>
      <w:lvlJc w:val="left"/>
      <w:pPr>
        <w:ind w:left="6480" w:hanging="360"/>
      </w:pPr>
      <w:rPr>
        <w:rFonts w:ascii="Wingdings" w:hAnsi="Wingdings" w:cs="Wingdings" w:hint="default"/>
      </w:rPr>
    </w:lvl>
  </w:abstractNum>
  <w:abstractNum w:abstractNumId="386">
    <w:nsid w:val="762D711F"/>
    <w:multiLevelType w:val="hybridMultilevel"/>
    <w:tmpl w:val="EFD20AA4"/>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387">
    <w:nsid w:val="764D331E"/>
    <w:multiLevelType w:val="hybridMultilevel"/>
    <w:tmpl w:val="810631F4"/>
    <w:lvl w:ilvl="0" w:tplc="12128602">
      <w:start w:val="8"/>
      <w:numFmt w:val="bullet"/>
      <w:lvlText w:val="-"/>
      <w:lvlJc w:val="left"/>
      <w:pPr>
        <w:ind w:left="720" w:hanging="360"/>
      </w:pPr>
      <w:rPr>
        <w:rFonts w:ascii="Times New Roman" w:eastAsia="Times New Roman" w:hAnsi="Times New Roman"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388">
    <w:nsid w:val="76BA1794"/>
    <w:multiLevelType w:val="hybridMultilevel"/>
    <w:tmpl w:val="9CE6CB54"/>
    <w:lvl w:ilvl="0" w:tplc="F61E96F2">
      <w:numFmt w:val="bullet"/>
      <w:lvlText w:val="-"/>
      <w:lvlJc w:val="left"/>
      <w:pPr>
        <w:tabs>
          <w:tab w:val="num" w:pos="720"/>
        </w:tabs>
        <w:ind w:left="720" w:hanging="360"/>
      </w:pPr>
      <w:rPr>
        <w:rFonts w:ascii="Times New Roman" w:eastAsia="Times New Roman" w:hAnsi="Times New Roman" w:hint="default"/>
      </w:rPr>
    </w:lvl>
    <w:lvl w:ilvl="1" w:tplc="8DAA4808">
      <w:numFmt w:val="bullet"/>
      <w:lvlText w:val="-"/>
      <w:lvlJc w:val="left"/>
      <w:pPr>
        <w:tabs>
          <w:tab w:val="num" w:pos="1437"/>
        </w:tabs>
        <w:ind w:left="1437" w:hanging="357"/>
      </w:pPr>
      <w:rPr>
        <w:rFonts w:ascii="Arial" w:eastAsia="Times New Roman" w:hAnsi="Arial" w:hint="default"/>
      </w:rPr>
    </w:lvl>
    <w:lvl w:ilvl="2" w:tplc="5002F20C">
      <w:numFmt w:val="bullet"/>
      <w:lvlText w:val=""/>
      <w:lvlJc w:val="left"/>
      <w:pPr>
        <w:tabs>
          <w:tab w:val="num" w:pos="2505"/>
        </w:tabs>
        <w:ind w:left="2505" w:hanging="705"/>
      </w:pPr>
      <w:rPr>
        <w:rFonts w:ascii="Symbol" w:eastAsia="Times New Roman" w:hAnsi="Symbol" w:hint="default"/>
      </w:rPr>
    </w:lvl>
    <w:lvl w:ilvl="3" w:tplc="041B0001" w:tentative="1">
      <w:start w:val="1"/>
      <w:numFmt w:val="bullet"/>
      <w:lvlText w:val=""/>
      <w:lvlJc w:val="left"/>
      <w:pPr>
        <w:tabs>
          <w:tab w:val="num" w:pos="2880"/>
        </w:tabs>
        <w:ind w:left="2880" w:hanging="360"/>
      </w:pPr>
      <w:rPr>
        <w:rFonts w:ascii="Symbol" w:hAnsi="Symbol" w:hint="default"/>
      </w:rPr>
    </w:lvl>
    <w:lvl w:ilvl="4" w:tplc="041B0003" w:tentative="1">
      <w:start w:val="1"/>
      <w:numFmt w:val="bullet"/>
      <w:lvlText w:val="o"/>
      <w:lvlJc w:val="left"/>
      <w:pPr>
        <w:tabs>
          <w:tab w:val="num" w:pos="3600"/>
        </w:tabs>
        <w:ind w:left="3600" w:hanging="360"/>
      </w:pPr>
      <w:rPr>
        <w:rFonts w:ascii="Courier New" w:hAnsi="Courier New" w:hint="default"/>
      </w:rPr>
    </w:lvl>
    <w:lvl w:ilvl="5" w:tplc="041B0005" w:tentative="1">
      <w:start w:val="1"/>
      <w:numFmt w:val="bullet"/>
      <w:lvlText w:val=""/>
      <w:lvlJc w:val="left"/>
      <w:pPr>
        <w:tabs>
          <w:tab w:val="num" w:pos="4320"/>
        </w:tabs>
        <w:ind w:left="4320" w:hanging="360"/>
      </w:pPr>
      <w:rPr>
        <w:rFonts w:ascii="Wingdings" w:hAnsi="Wingdings" w:hint="default"/>
      </w:rPr>
    </w:lvl>
    <w:lvl w:ilvl="6" w:tplc="041B0001" w:tentative="1">
      <w:start w:val="1"/>
      <w:numFmt w:val="bullet"/>
      <w:lvlText w:val=""/>
      <w:lvlJc w:val="left"/>
      <w:pPr>
        <w:tabs>
          <w:tab w:val="num" w:pos="5040"/>
        </w:tabs>
        <w:ind w:left="5040" w:hanging="360"/>
      </w:pPr>
      <w:rPr>
        <w:rFonts w:ascii="Symbol" w:hAnsi="Symbol" w:hint="default"/>
      </w:rPr>
    </w:lvl>
    <w:lvl w:ilvl="7" w:tplc="041B0003" w:tentative="1">
      <w:start w:val="1"/>
      <w:numFmt w:val="bullet"/>
      <w:lvlText w:val="o"/>
      <w:lvlJc w:val="left"/>
      <w:pPr>
        <w:tabs>
          <w:tab w:val="num" w:pos="5760"/>
        </w:tabs>
        <w:ind w:left="5760" w:hanging="360"/>
      </w:pPr>
      <w:rPr>
        <w:rFonts w:ascii="Courier New" w:hAnsi="Courier New" w:hint="default"/>
      </w:rPr>
    </w:lvl>
    <w:lvl w:ilvl="8" w:tplc="041B0005" w:tentative="1">
      <w:start w:val="1"/>
      <w:numFmt w:val="bullet"/>
      <w:lvlText w:val=""/>
      <w:lvlJc w:val="left"/>
      <w:pPr>
        <w:tabs>
          <w:tab w:val="num" w:pos="6480"/>
        </w:tabs>
        <w:ind w:left="6480" w:hanging="360"/>
      </w:pPr>
      <w:rPr>
        <w:rFonts w:ascii="Wingdings" w:hAnsi="Wingdings" w:hint="default"/>
      </w:rPr>
    </w:lvl>
  </w:abstractNum>
  <w:abstractNum w:abstractNumId="389">
    <w:nsid w:val="76C94246"/>
    <w:multiLevelType w:val="multilevel"/>
    <w:tmpl w:val="F110AAC2"/>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390">
    <w:nsid w:val="76DA4941"/>
    <w:multiLevelType w:val="hybridMultilevel"/>
    <w:tmpl w:val="F9C49A70"/>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391">
    <w:nsid w:val="76F26FB8"/>
    <w:multiLevelType w:val="hybridMultilevel"/>
    <w:tmpl w:val="FFFFFFFF"/>
    <w:lvl w:ilvl="0" w:tplc="46DE31C8">
      <w:start w:val="1"/>
      <w:numFmt w:val="bullet"/>
      <w:lvlText w:val=""/>
      <w:lvlJc w:val="left"/>
      <w:pPr>
        <w:ind w:left="720" w:hanging="360"/>
      </w:pPr>
      <w:rPr>
        <w:rFonts w:ascii="Symbol" w:hAnsi="Symbol" w:hint="default"/>
      </w:rPr>
    </w:lvl>
    <w:lvl w:ilvl="1" w:tplc="46245C70">
      <w:start w:val="1"/>
      <w:numFmt w:val="bullet"/>
      <w:lvlText w:val="o"/>
      <w:lvlJc w:val="left"/>
      <w:pPr>
        <w:ind w:left="1440" w:hanging="360"/>
      </w:pPr>
      <w:rPr>
        <w:rFonts w:ascii="Courier New" w:hAnsi="Courier New" w:hint="default"/>
      </w:rPr>
    </w:lvl>
    <w:lvl w:ilvl="2" w:tplc="B0DC991A">
      <w:start w:val="1"/>
      <w:numFmt w:val="bullet"/>
      <w:lvlText w:val=""/>
      <w:lvlJc w:val="left"/>
      <w:pPr>
        <w:ind w:left="2160" w:hanging="360"/>
      </w:pPr>
      <w:rPr>
        <w:rFonts w:ascii="Wingdings" w:hAnsi="Wingdings" w:hint="default"/>
      </w:rPr>
    </w:lvl>
    <w:lvl w:ilvl="3" w:tplc="24EE3AB8">
      <w:start w:val="1"/>
      <w:numFmt w:val="bullet"/>
      <w:lvlText w:val=""/>
      <w:lvlJc w:val="left"/>
      <w:pPr>
        <w:ind w:left="2880" w:hanging="360"/>
      </w:pPr>
      <w:rPr>
        <w:rFonts w:ascii="Symbol" w:hAnsi="Symbol" w:hint="default"/>
      </w:rPr>
    </w:lvl>
    <w:lvl w:ilvl="4" w:tplc="150CE608">
      <w:start w:val="1"/>
      <w:numFmt w:val="bullet"/>
      <w:lvlText w:val="o"/>
      <w:lvlJc w:val="left"/>
      <w:pPr>
        <w:ind w:left="3600" w:hanging="360"/>
      </w:pPr>
      <w:rPr>
        <w:rFonts w:ascii="Courier New" w:hAnsi="Courier New" w:hint="default"/>
      </w:rPr>
    </w:lvl>
    <w:lvl w:ilvl="5" w:tplc="6B168AF0">
      <w:start w:val="1"/>
      <w:numFmt w:val="bullet"/>
      <w:lvlText w:val=""/>
      <w:lvlJc w:val="left"/>
      <w:pPr>
        <w:ind w:left="4320" w:hanging="360"/>
      </w:pPr>
      <w:rPr>
        <w:rFonts w:ascii="Wingdings" w:hAnsi="Wingdings" w:hint="default"/>
      </w:rPr>
    </w:lvl>
    <w:lvl w:ilvl="6" w:tplc="ABF6ACFE">
      <w:start w:val="1"/>
      <w:numFmt w:val="bullet"/>
      <w:lvlText w:val=""/>
      <w:lvlJc w:val="left"/>
      <w:pPr>
        <w:ind w:left="5040" w:hanging="360"/>
      </w:pPr>
      <w:rPr>
        <w:rFonts w:ascii="Symbol" w:hAnsi="Symbol" w:hint="default"/>
      </w:rPr>
    </w:lvl>
    <w:lvl w:ilvl="7" w:tplc="205CE97A">
      <w:start w:val="1"/>
      <w:numFmt w:val="bullet"/>
      <w:lvlText w:val="o"/>
      <w:lvlJc w:val="left"/>
      <w:pPr>
        <w:ind w:left="5760" w:hanging="360"/>
      </w:pPr>
      <w:rPr>
        <w:rFonts w:ascii="Courier New" w:hAnsi="Courier New" w:hint="default"/>
      </w:rPr>
    </w:lvl>
    <w:lvl w:ilvl="8" w:tplc="77D83E32">
      <w:start w:val="1"/>
      <w:numFmt w:val="bullet"/>
      <w:lvlText w:val=""/>
      <w:lvlJc w:val="left"/>
      <w:pPr>
        <w:ind w:left="6480" w:hanging="360"/>
      </w:pPr>
      <w:rPr>
        <w:rFonts w:ascii="Wingdings" w:hAnsi="Wingdings" w:hint="default"/>
      </w:rPr>
    </w:lvl>
  </w:abstractNum>
  <w:abstractNum w:abstractNumId="392">
    <w:nsid w:val="77292023"/>
    <w:multiLevelType w:val="hybridMultilevel"/>
    <w:tmpl w:val="37CCDD22"/>
    <w:lvl w:ilvl="0" w:tplc="2466B24E">
      <w:start w:val="1"/>
      <w:numFmt w:val="decimal"/>
      <w:lvlText w:val="%1."/>
      <w:lvlJc w:val="center"/>
      <w:pPr>
        <w:ind w:left="720" w:hanging="360"/>
      </w:pPr>
      <w:rPr>
        <w:rFonts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3">
    <w:nsid w:val="77C45CD1"/>
    <w:multiLevelType w:val="multilevel"/>
    <w:tmpl w:val="6DD2884A"/>
    <w:numStyleLink w:val="Aktulnyzoznam1"/>
  </w:abstractNum>
  <w:abstractNum w:abstractNumId="394">
    <w:nsid w:val="77DD2BE9"/>
    <w:multiLevelType w:val="hybridMultilevel"/>
    <w:tmpl w:val="9658284C"/>
    <w:lvl w:ilvl="0" w:tplc="2E7CC912">
      <w:start w:val="1"/>
      <w:numFmt w:val="decimal"/>
      <w:lvlText w:val="%1."/>
      <w:lvlJc w:val="left"/>
      <w:pPr>
        <w:ind w:left="502" w:hanging="360"/>
      </w:pPr>
      <w:rPr>
        <w:rFonts w:hint="default"/>
      </w:rPr>
    </w:lvl>
    <w:lvl w:ilvl="1" w:tplc="041B0019" w:tentative="1">
      <w:start w:val="1"/>
      <w:numFmt w:val="lowerLetter"/>
      <w:lvlText w:val="%2."/>
      <w:lvlJc w:val="left"/>
      <w:pPr>
        <w:ind w:left="1045" w:hanging="360"/>
      </w:pPr>
    </w:lvl>
    <w:lvl w:ilvl="2" w:tplc="041B001B" w:tentative="1">
      <w:start w:val="1"/>
      <w:numFmt w:val="lowerRoman"/>
      <w:lvlText w:val="%3."/>
      <w:lvlJc w:val="right"/>
      <w:pPr>
        <w:ind w:left="1765" w:hanging="180"/>
      </w:pPr>
    </w:lvl>
    <w:lvl w:ilvl="3" w:tplc="041B000F" w:tentative="1">
      <w:start w:val="1"/>
      <w:numFmt w:val="decimal"/>
      <w:lvlText w:val="%4."/>
      <w:lvlJc w:val="left"/>
      <w:pPr>
        <w:ind w:left="2485" w:hanging="360"/>
      </w:pPr>
    </w:lvl>
    <w:lvl w:ilvl="4" w:tplc="041B0019" w:tentative="1">
      <w:start w:val="1"/>
      <w:numFmt w:val="lowerLetter"/>
      <w:lvlText w:val="%5."/>
      <w:lvlJc w:val="left"/>
      <w:pPr>
        <w:ind w:left="3205" w:hanging="360"/>
      </w:pPr>
    </w:lvl>
    <w:lvl w:ilvl="5" w:tplc="041B001B" w:tentative="1">
      <w:start w:val="1"/>
      <w:numFmt w:val="lowerRoman"/>
      <w:lvlText w:val="%6."/>
      <w:lvlJc w:val="right"/>
      <w:pPr>
        <w:ind w:left="3925" w:hanging="180"/>
      </w:pPr>
    </w:lvl>
    <w:lvl w:ilvl="6" w:tplc="041B000F" w:tentative="1">
      <w:start w:val="1"/>
      <w:numFmt w:val="decimal"/>
      <w:lvlText w:val="%7."/>
      <w:lvlJc w:val="left"/>
      <w:pPr>
        <w:ind w:left="4645" w:hanging="360"/>
      </w:pPr>
    </w:lvl>
    <w:lvl w:ilvl="7" w:tplc="041B0019" w:tentative="1">
      <w:start w:val="1"/>
      <w:numFmt w:val="lowerLetter"/>
      <w:lvlText w:val="%8."/>
      <w:lvlJc w:val="left"/>
      <w:pPr>
        <w:ind w:left="5365" w:hanging="360"/>
      </w:pPr>
    </w:lvl>
    <w:lvl w:ilvl="8" w:tplc="041B001B" w:tentative="1">
      <w:start w:val="1"/>
      <w:numFmt w:val="lowerRoman"/>
      <w:lvlText w:val="%9."/>
      <w:lvlJc w:val="right"/>
      <w:pPr>
        <w:ind w:left="6085" w:hanging="180"/>
      </w:pPr>
    </w:lvl>
  </w:abstractNum>
  <w:abstractNum w:abstractNumId="395">
    <w:nsid w:val="786A4208"/>
    <w:multiLevelType w:val="hybridMultilevel"/>
    <w:tmpl w:val="C5A8765A"/>
    <w:lvl w:ilvl="0" w:tplc="3FEA56C4">
      <w:start w:val="4"/>
      <w:numFmt w:val="decimal"/>
      <w:lvlText w:val="%1."/>
      <w:lvlJc w:val="left"/>
      <w:pPr>
        <w:ind w:left="720" w:hanging="360"/>
      </w:pPr>
      <w:rPr>
        <w:rFonts w:hint="default"/>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396">
    <w:nsid w:val="796613D2"/>
    <w:multiLevelType w:val="hybridMultilevel"/>
    <w:tmpl w:val="EFA2CF56"/>
    <w:lvl w:ilvl="0" w:tplc="041B0001">
      <w:start w:val="1"/>
      <w:numFmt w:val="bullet"/>
      <w:lvlText w:val=""/>
      <w:lvlJc w:val="left"/>
      <w:pPr>
        <w:tabs>
          <w:tab w:val="num" w:pos="720"/>
        </w:tabs>
        <w:ind w:left="720" w:hanging="360"/>
      </w:pPr>
      <w:rPr>
        <w:rFonts w:ascii="Symbol" w:hAnsi="Symbol" w:hint="default"/>
      </w:rPr>
    </w:lvl>
    <w:lvl w:ilvl="1" w:tplc="041B0003" w:tentative="1">
      <w:start w:val="1"/>
      <w:numFmt w:val="bullet"/>
      <w:lvlText w:val="o"/>
      <w:lvlJc w:val="left"/>
      <w:pPr>
        <w:tabs>
          <w:tab w:val="num" w:pos="1440"/>
        </w:tabs>
        <w:ind w:left="1440" w:hanging="360"/>
      </w:pPr>
      <w:rPr>
        <w:rFonts w:ascii="Courier New" w:hAnsi="Courier New" w:cs="Courier New" w:hint="default"/>
      </w:rPr>
    </w:lvl>
    <w:lvl w:ilvl="2" w:tplc="041B0005" w:tentative="1">
      <w:start w:val="1"/>
      <w:numFmt w:val="bullet"/>
      <w:lvlText w:val=""/>
      <w:lvlJc w:val="left"/>
      <w:pPr>
        <w:tabs>
          <w:tab w:val="num" w:pos="2160"/>
        </w:tabs>
        <w:ind w:left="2160" w:hanging="360"/>
      </w:pPr>
      <w:rPr>
        <w:rFonts w:ascii="Wingdings" w:hAnsi="Wingdings" w:hint="default"/>
      </w:rPr>
    </w:lvl>
    <w:lvl w:ilvl="3" w:tplc="041B0001" w:tentative="1">
      <w:start w:val="1"/>
      <w:numFmt w:val="bullet"/>
      <w:lvlText w:val=""/>
      <w:lvlJc w:val="left"/>
      <w:pPr>
        <w:tabs>
          <w:tab w:val="num" w:pos="2880"/>
        </w:tabs>
        <w:ind w:left="2880" w:hanging="360"/>
      </w:pPr>
      <w:rPr>
        <w:rFonts w:ascii="Symbol" w:hAnsi="Symbol" w:hint="default"/>
      </w:rPr>
    </w:lvl>
    <w:lvl w:ilvl="4" w:tplc="041B0003" w:tentative="1">
      <w:start w:val="1"/>
      <w:numFmt w:val="bullet"/>
      <w:lvlText w:val="o"/>
      <w:lvlJc w:val="left"/>
      <w:pPr>
        <w:tabs>
          <w:tab w:val="num" w:pos="3600"/>
        </w:tabs>
        <w:ind w:left="3600" w:hanging="360"/>
      </w:pPr>
      <w:rPr>
        <w:rFonts w:ascii="Courier New" w:hAnsi="Courier New" w:cs="Courier New" w:hint="default"/>
      </w:rPr>
    </w:lvl>
    <w:lvl w:ilvl="5" w:tplc="041B0005" w:tentative="1">
      <w:start w:val="1"/>
      <w:numFmt w:val="bullet"/>
      <w:lvlText w:val=""/>
      <w:lvlJc w:val="left"/>
      <w:pPr>
        <w:tabs>
          <w:tab w:val="num" w:pos="4320"/>
        </w:tabs>
        <w:ind w:left="4320" w:hanging="360"/>
      </w:pPr>
      <w:rPr>
        <w:rFonts w:ascii="Wingdings" w:hAnsi="Wingdings" w:hint="default"/>
      </w:rPr>
    </w:lvl>
    <w:lvl w:ilvl="6" w:tplc="041B0001" w:tentative="1">
      <w:start w:val="1"/>
      <w:numFmt w:val="bullet"/>
      <w:lvlText w:val=""/>
      <w:lvlJc w:val="left"/>
      <w:pPr>
        <w:tabs>
          <w:tab w:val="num" w:pos="5040"/>
        </w:tabs>
        <w:ind w:left="5040" w:hanging="360"/>
      </w:pPr>
      <w:rPr>
        <w:rFonts w:ascii="Symbol" w:hAnsi="Symbol" w:hint="default"/>
      </w:rPr>
    </w:lvl>
    <w:lvl w:ilvl="7" w:tplc="041B0003" w:tentative="1">
      <w:start w:val="1"/>
      <w:numFmt w:val="bullet"/>
      <w:lvlText w:val="o"/>
      <w:lvlJc w:val="left"/>
      <w:pPr>
        <w:tabs>
          <w:tab w:val="num" w:pos="5760"/>
        </w:tabs>
        <w:ind w:left="5760" w:hanging="360"/>
      </w:pPr>
      <w:rPr>
        <w:rFonts w:ascii="Courier New" w:hAnsi="Courier New" w:cs="Courier New" w:hint="default"/>
      </w:rPr>
    </w:lvl>
    <w:lvl w:ilvl="8" w:tplc="041B0005" w:tentative="1">
      <w:start w:val="1"/>
      <w:numFmt w:val="bullet"/>
      <w:lvlText w:val=""/>
      <w:lvlJc w:val="left"/>
      <w:pPr>
        <w:tabs>
          <w:tab w:val="num" w:pos="6480"/>
        </w:tabs>
        <w:ind w:left="6480" w:hanging="360"/>
      </w:pPr>
      <w:rPr>
        <w:rFonts w:ascii="Wingdings" w:hAnsi="Wingdings" w:hint="default"/>
      </w:rPr>
    </w:lvl>
  </w:abstractNum>
  <w:abstractNum w:abstractNumId="397">
    <w:nsid w:val="798C46FC"/>
    <w:multiLevelType w:val="hybridMultilevel"/>
    <w:tmpl w:val="FF063B30"/>
    <w:lvl w:ilvl="0" w:tplc="041B0001">
      <w:start w:val="1"/>
      <w:numFmt w:val="bullet"/>
      <w:lvlText w:val=""/>
      <w:lvlJc w:val="left"/>
      <w:pPr>
        <w:tabs>
          <w:tab w:val="num" w:pos="720"/>
        </w:tabs>
        <w:ind w:left="720" w:hanging="360"/>
      </w:pPr>
      <w:rPr>
        <w:rFonts w:ascii="Symbol" w:hAnsi="Symbol" w:hint="default"/>
      </w:rPr>
    </w:lvl>
    <w:lvl w:ilvl="1" w:tplc="041B0003" w:tentative="1">
      <w:start w:val="1"/>
      <w:numFmt w:val="bullet"/>
      <w:lvlText w:val="o"/>
      <w:lvlJc w:val="left"/>
      <w:pPr>
        <w:tabs>
          <w:tab w:val="num" w:pos="1440"/>
        </w:tabs>
        <w:ind w:left="1440" w:hanging="360"/>
      </w:pPr>
      <w:rPr>
        <w:rFonts w:ascii="Courier New" w:hAnsi="Courier New" w:cs="Courier New" w:hint="default"/>
      </w:rPr>
    </w:lvl>
    <w:lvl w:ilvl="2" w:tplc="041B0005" w:tentative="1">
      <w:start w:val="1"/>
      <w:numFmt w:val="bullet"/>
      <w:lvlText w:val=""/>
      <w:lvlJc w:val="left"/>
      <w:pPr>
        <w:tabs>
          <w:tab w:val="num" w:pos="2160"/>
        </w:tabs>
        <w:ind w:left="2160" w:hanging="360"/>
      </w:pPr>
      <w:rPr>
        <w:rFonts w:ascii="Wingdings" w:hAnsi="Wingdings" w:hint="default"/>
      </w:rPr>
    </w:lvl>
    <w:lvl w:ilvl="3" w:tplc="041B0001" w:tentative="1">
      <w:start w:val="1"/>
      <w:numFmt w:val="bullet"/>
      <w:lvlText w:val=""/>
      <w:lvlJc w:val="left"/>
      <w:pPr>
        <w:tabs>
          <w:tab w:val="num" w:pos="2880"/>
        </w:tabs>
        <w:ind w:left="2880" w:hanging="360"/>
      </w:pPr>
      <w:rPr>
        <w:rFonts w:ascii="Symbol" w:hAnsi="Symbol" w:hint="default"/>
      </w:rPr>
    </w:lvl>
    <w:lvl w:ilvl="4" w:tplc="041B0003" w:tentative="1">
      <w:start w:val="1"/>
      <w:numFmt w:val="bullet"/>
      <w:lvlText w:val="o"/>
      <w:lvlJc w:val="left"/>
      <w:pPr>
        <w:tabs>
          <w:tab w:val="num" w:pos="3600"/>
        </w:tabs>
        <w:ind w:left="3600" w:hanging="360"/>
      </w:pPr>
      <w:rPr>
        <w:rFonts w:ascii="Courier New" w:hAnsi="Courier New" w:cs="Courier New" w:hint="default"/>
      </w:rPr>
    </w:lvl>
    <w:lvl w:ilvl="5" w:tplc="041B0005" w:tentative="1">
      <w:start w:val="1"/>
      <w:numFmt w:val="bullet"/>
      <w:lvlText w:val=""/>
      <w:lvlJc w:val="left"/>
      <w:pPr>
        <w:tabs>
          <w:tab w:val="num" w:pos="4320"/>
        </w:tabs>
        <w:ind w:left="4320" w:hanging="360"/>
      </w:pPr>
      <w:rPr>
        <w:rFonts w:ascii="Wingdings" w:hAnsi="Wingdings" w:hint="default"/>
      </w:rPr>
    </w:lvl>
    <w:lvl w:ilvl="6" w:tplc="041B0001" w:tentative="1">
      <w:start w:val="1"/>
      <w:numFmt w:val="bullet"/>
      <w:lvlText w:val=""/>
      <w:lvlJc w:val="left"/>
      <w:pPr>
        <w:tabs>
          <w:tab w:val="num" w:pos="5040"/>
        </w:tabs>
        <w:ind w:left="5040" w:hanging="360"/>
      </w:pPr>
      <w:rPr>
        <w:rFonts w:ascii="Symbol" w:hAnsi="Symbol" w:hint="default"/>
      </w:rPr>
    </w:lvl>
    <w:lvl w:ilvl="7" w:tplc="041B0003" w:tentative="1">
      <w:start w:val="1"/>
      <w:numFmt w:val="bullet"/>
      <w:lvlText w:val="o"/>
      <w:lvlJc w:val="left"/>
      <w:pPr>
        <w:tabs>
          <w:tab w:val="num" w:pos="5760"/>
        </w:tabs>
        <w:ind w:left="5760" w:hanging="360"/>
      </w:pPr>
      <w:rPr>
        <w:rFonts w:ascii="Courier New" w:hAnsi="Courier New" w:cs="Courier New" w:hint="default"/>
      </w:rPr>
    </w:lvl>
    <w:lvl w:ilvl="8" w:tplc="041B0005" w:tentative="1">
      <w:start w:val="1"/>
      <w:numFmt w:val="bullet"/>
      <w:lvlText w:val=""/>
      <w:lvlJc w:val="left"/>
      <w:pPr>
        <w:tabs>
          <w:tab w:val="num" w:pos="6480"/>
        </w:tabs>
        <w:ind w:left="6480" w:hanging="360"/>
      </w:pPr>
      <w:rPr>
        <w:rFonts w:ascii="Wingdings" w:hAnsi="Wingdings" w:hint="default"/>
      </w:rPr>
    </w:lvl>
  </w:abstractNum>
  <w:abstractNum w:abstractNumId="398">
    <w:nsid w:val="7A334928"/>
    <w:multiLevelType w:val="hybridMultilevel"/>
    <w:tmpl w:val="82BA9970"/>
    <w:lvl w:ilvl="0" w:tplc="CBC837A2">
      <w:start w:val="1"/>
      <w:numFmt w:val="bullet"/>
      <w:lvlText w:val=""/>
      <w:lvlJc w:val="left"/>
      <w:pPr>
        <w:tabs>
          <w:tab w:val="num" w:pos="720"/>
        </w:tabs>
        <w:ind w:left="720" w:hanging="360"/>
      </w:pPr>
      <w:rPr>
        <w:rFonts w:ascii="Symbol" w:hAnsi="Symbol" w:hint="default"/>
      </w:rPr>
    </w:lvl>
    <w:lvl w:ilvl="1" w:tplc="041B0003" w:tentative="1">
      <w:start w:val="1"/>
      <w:numFmt w:val="bullet"/>
      <w:lvlText w:val="o"/>
      <w:lvlJc w:val="left"/>
      <w:pPr>
        <w:tabs>
          <w:tab w:val="num" w:pos="1440"/>
        </w:tabs>
        <w:ind w:left="1440" w:hanging="360"/>
      </w:pPr>
      <w:rPr>
        <w:rFonts w:ascii="Courier New" w:hAnsi="Courier New" w:cs="Courier New" w:hint="default"/>
      </w:rPr>
    </w:lvl>
    <w:lvl w:ilvl="2" w:tplc="041B0005" w:tentative="1">
      <w:start w:val="1"/>
      <w:numFmt w:val="bullet"/>
      <w:lvlText w:val=""/>
      <w:lvlJc w:val="left"/>
      <w:pPr>
        <w:tabs>
          <w:tab w:val="num" w:pos="2160"/>
        </w:tabs>
        <w:ind w:left="2160" w:hanging="360"/>
      </w:pPr>
      <w:rPr>
        <w:rFonts w:ascii="Wingdings" w:hAnsi="Wingdings" w:hint="default"/>
      </w:rPr>
    </w:lvl>
    <w:lvl w:ilvl="3" w:tplc="041B0001" w:tentative="1">
      <w:start w:val="1"/>
      <w:numFmt w:val="bullet"/>
      <w:lvlText w:val=""/>
      <w:lvlJc w:val="left"/>
      <w:pPr>
        <w:tabs>
          <w:tab w:val="num" w:pos="2880"/>
        </w:tabs>
        <w:ind w:left="2880" w:hanging="360"/>
      </w:pPr>
      <w:rPr>
        <w:rFonts w:ascii="Symbol" w:hAnsi="Symbol" w:hint="default"/>
      </w:rPr>
    </w:lvl>
    <w:lvl w:ilvl="4" w:tplc="041B0003" w:tentative="1">
      <w:start w:val="1"/>
      <w:numFmt w:val="bullet"/>
      <w:lvlText w:val="o"/>
      <w:lvlJc w:val="left"/>
      <w:pPr>
        <w:tabs>
          <w:tab w:val="num" w:pos="3600"/>
        </w:tabs>
        <w:ind w:left="3600" w:hanging="360"/>
      </w:pPr>
      <w:rPr>
        <w:rFonts w:ascii="Courier New" w:hAnsi="Courier New" w:cs="Courier New" w:hint="default"/>
      </w:rPr>
    </w:lvl>
    <w:lvl w:ilvl="5" w:tplc="041B0005" w:tentative="1">
      <w:start w:val="1"/>
      <w:numFmt w:val="bullet"/>
      <w:lvlText w:val=""/>
      <w:lvlJc w:val="left"/>
      <w:pPr>
        <w:tabs>
          <w:tab w:val="num" w:pos="4320"/>
        </w:tabs>
        <w:ind w:left="4320" w:hanging="360"/>
      </w:pPr>
      <w:rPr>
        <w:rFonts w:ascii="Wingdings" w:hAnsi="Wingdings" w:hint="default"/>
      </w:rPr>
    </w:lvl>
    <w:lvl w:ilvl="6" w:tplc="041B0001" w:tentative="1">
      <w:start w:val="1"/>
      <w:numFmt w:val="bullet"/>
      <w:lvlText w:val=""/>
      <w:lvlJc w:val="left"/>
      <w:pPr>
        <w:tabs>
          <w:tab w:val="num" w:pos="5040"/>
        </w:tabs>
        <w:ind w:left="5040" w:hanging="360"/>
      </w:pPr>
      <w:rPr>
        <w:rFonts w:ascii="Symbol" w:hAnsi="Symbol" w:hint="default"/>
      </w:rPr>
    </w:lvl>
    <w:lvl w:ilvl="7" w:tplc="041B0003" w:tentative="1">
      <w:start w:val="1"/>
      <w:numFmt w:val="bullet"/>
      <w:lvlText w:val="o"/>
      <w:lvlJc w:val="left"/>
      <w:pPr>
        <w:tabs>
          <w:tab w:val="num" w:pos="5760"/>
        </w:tabs>
        <w:ind w:left="5760" w:hanging="360"/>
      </w:pPr>
      <w:rPr>
        <w:rFonts w:ascii="Courier New" w:hAnsi="Courier New" w:cs="Courier New" w:hint="default"/>
      </w:rPr>
    </w:lvl>
    <w:lvl w:ilvl="8" w:tplc="041B0005" w:tentative="1">
      <w:start w:val="1"/>
      <w:numFmt w:val="bullet"/>
      <w:lvlText w:val=""/>
      <w:lvlJc w:val="left"/>
      <w:pPr>
        <w:tabs>
          <w:tab w:val="num" w:pos="6480"/>
        </w:tabs>
        <w:ind w:left="6480" w:hanging="360"/>
      </w:pPr>
      <w:rPr>
        <w:rFonts w:ascii="Wingdings" w:hAnsi="Wingdings" w:hint="default"/>
      </w:rPr>
    </w:lvl>
  </w:abstractNum>
  <w:abstractNum w:abstractNumId="399">
    <w:nsid w:val="7B733A9D"/>
    <w:multiLevelType w:val="multilevel"/>
    <w:tmpl w:val="6DD2884A"/>
    <w:numStyleLink w:val="Aktulnyzoznam1"/>
  </w:abstractNum>
  <w:abstractNum w:abstractNumId="400">
    <w:nsid w:val="7B7876FF"/>
    <w:multiLevelType w:val="hybridMultilevel"/>
    <w:tmpl w:val="D0DC2478"/>
    <w:lvl w:ilvl="0" w:tplc="A1B08656">
      <w:numFmt w:val="bullet"/>
      <w:lvlText w:val="•"/>
      <w:lvlJc w:val="left"/>
      <w:pPr>
        <w:ind w:left="360" w:hanging="360"/>
      </w:pPr>
      <w:rPr>
        <w:rFonts w:ascii="Calibri" w:eastAsia="Times New Roman" w:hAnsi="Calibri"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401">
    <w:nsid w:val="7B7E58BB"/>
    <w:multiLevelType w:val="multilevel"/>
    <w:tmpl w:val="14B4B090"/>
    <w:lvl w:ilvl="0">
      <w:start w:val="1"/>
      <w:numFmt w:val="lowerLetter"/>
      <w:lvlText w:val="%1)"/>
      <w:lvlJc w:val="left"/>
      <w:pPr>
        <w:tabs>
          <w:tab w:val="num" w:pos="0"/>
        </w:tabs>
        <w:ind w:left="360" w:hanging="360"/>
      </w:pPr>
      <w:rPr>
        <w:rFonts w:cs="Times New Roman" w:hint="default"/>
        <w:bCs/>
      </w:rPr>
    </w:lvl>
    <w:lvl w:ilvl="1">
      <w:start w:val="1"/>
      <w:numFmt w:val="lowerLetter"/>
      <w:lvlText w:val="%2."/>
      <w:lvlJc w:val="left"/>
      <w:pPr>
        <w:tabs>
          <w:tab w:val="num" w:pos="0"/>
        </w:tabs>
        <w:ind w:left="1080" w:hanging="360"/>
      </w:pPr>
    </w:lvl>
    <w:lvl w:ilvl="2">
      <w:start w:val="1"/>
      <w:numFmt w:val="lowerRoman"/>
      <w:lvlText w:val="%2.%3."/>
      <w:lvlJc w:val="right"/>
      <w:pPr>
        <w:tabs>
          <w:tab w:val="num" w:pos="0"/>
        </w:tabs>
        <w:ind w:left="1800" w:hanging="180"/>
      </w:pPr>
    </w:lvl>
    <w:lvl w:ilvl="3">
      <w:start w:val="1"/>
      <w:numFmt w:val="decimal"/>
      <w:lvlText w:val="%2.%3.%4."/>
      <w:lvlJc w:val="left"/>
      <w:pPr>
        <w:tabs>
          <w:tab w:val="num" w:pos="0"/>
        </w:tabs>
        <w:ind w:left="2520" w:hanging="360"/>
      </w:pPr>
    </w:lvl>
    <w:lvl w:ilvl="4">
      <w:start w:val="1"/>
      <w:numFmt w:val="lowerLetter"/>
      <w:lvlText w:val="%2.%3.%4.%5."/>
      <w:lvlJc w:val="left"/>
      <w:pPr>
        <w:tabs>
          <w:tab w:val="num" w:pos="0"/>
        </w:tabs>
        <w:ind w:left="3240" w:hanging="360"/>
      </w:pPr>
    </w:lvl>
    <w:lvl w:ilvl="5">
      <w:start w:val="1"/>
      <w:numFmt w:val="lowerRoman"/>
      <w:lvlText w:val="%2.%3.%4.%5.%6."/>
      <w:lvlJc w:val="right"/>
      <w:pPr>
        <w:tabs>
          <w:tab w:val="num" w:pos="0"/>
        </w:tabs>
        <w:ind w:left="3960" w:hanging="180"/>
      </w:pPr>
    </w:lvl>
    <w:lvl w:ilvl="6">
      <w:start w:val="1"/>
      <w:numFmt w:val="decimal"/>
      <w:lvlText w:val="%2.%3.%4.%5.%6.%7."/>
      <w:lvlJc w:val="left"/>
      <w:pPr>
        <w:tabs>
          <w:tab w:val="num" w:pos="0"/>
        </w:tabs>
        <w:ind w:left="4680" w:hanging="360"/>
      </w:pPr>
    </w:lvl>
    <w:lvl w:ilvl="7">
      <w:start w:val="1"/>
      <w:numFmt w:val="lowerLetter"/>
      <w:lvlText w:val="%2.%3.%4.%5.%6.%7.%8."/>
      <w:lvlJc w:val="left"/>
      <w:pPr>
        <w:tabs>
          <w:tab w:val="num" w:pos="0"/>
        </w:tabs>
        <w:ind w:left="5400" w:hanging="360"/>
      </w:pPr>
    </w:lvl>
    <w:lvl w:ilvl="8">
      <w:start w:val="1"/>
      <w:numFmt w:val="lowerRoman"/>
      <w:lvlText w:val="%2.%3.%4.%5.%6.%7.%8.%9."/>
      <w:lvlJc w:val="right"/>
      <w:pPr>
        <w:tabs>
          <w:tab w:val="num" w:pos="0"/>
        </w:tabs>
        <w:ind w:left="6120" w:hanging="180"/>
      </w:pPr>
    </w:lvl>
  </w:abstractNum>
  <w:abstractNum w:abstractNumId="402">
    <w:nsid w:val="7C3A2169"/>
    <w:multiLevelType w:val="hybridMultilevel"/>
    <w:tmpl w:val="D7162832"/>
    <w:lvl w:ilvl="0" w:tplc="041B0001">
      <w:start w:val="1"/>
      <w:numFmt w:val="bullet"/>
      <w:lvlText w:val=""/>
      <w:lvlJc w:val="left"/>
      <w:pPr>
        <w:tabs>
          <w:tab w:val="num" w:pos="720"/>
        </w:tabs>
        <w:ind w:left="720" w:hanging="360"/>
      </w:pPr>
      <w:rPr>
        <w:rFonts w:ascii="Symbol" w:hAnsi="Symbol" w:hint="default"/>
      </w:rPr>
    </w:lvl>
    <w:lvl w:ilvl="1" w:tplc="041B0003" w:tentative="1">
      <w:start w:val="1"/>
      <w:numFmt w:val="bullet"/>
      <w:lvlText w:val="o"/>
      <w:lvlJc w:val="left"/>
      <w:pPr>
        <w:tabs>
          <w:tab w:val="num" w:pos="1440"/>
        </w:tabs>
        <w:ind w:left="1440" w:hanging="360"/>
      </w:pPr>
      <w:rPr>
        <w:rFonts w:ascii="Courier New" w:hAnsi="Courier New" w:cs="Courier New" w:hint="default"/>
      </w:rPr>
    </w:lvl>
    <w:lvl w:ilvl="2" w:tplc="041B0005" w:tentative="1">
      <w:start w:val="1"/>
      <w:numFmt w:val="bullet"/>
      <w:lvlText w:val=""/>
      <w:lvlJc w:val="left"/>
      <w:pPr>
        <w:tabs>
          <w:tab w:val="num" w:pos="2160"/>
        </w:tabs>
        <w:ind w:left="2160" w:hanging="360"/>
      </w:pPr>
      <w:rPr>
        <w:rFonts w:ascii="Wingdings" w:hAnsi="Wingdings" w:hint="default"/>
      </w:rPr>
    </w:lvl>
    <w:lvl w:ilvl="3" w:tplc="041B0001" w:tentative="1">
      <w:start w:val="1"/>
      <w:numFmt w:val="bullet"/>
      <w:lvlText w:val=""/>
      <w:lvlJc w:val="left"/>
      <w:pPr>
        <w:tabs>
          <w:tab w:val="num" w:pos="2880"/>
        </w:tabs>
        <w:ind w:left="2880" w:hanging="360"/>
      </w:pPr>
      <w:rPr>
        <w:rFonts w:ascii="Symbol" w:hAnsi="Symbol" w:hint="default"/>
      </w:rPr>
    </w:lvl>
    <w:lvl w:ilvl="4" w:tplc="041B0003" w:tentative="1">
      <w:start w:val="1"/>
      <w:numFmt w:val="bullet"/>
      <w:lvlText w:val="o"/>
      <w:lvlJc w:val="left"/>
      <w:pPr>
        <w:tabs>
          <w:tab w:val="num" w:pos="3600"/>
        </w:tabs>
        <w:ind w:left="3600" w:hanging="360"/>
      </w:pPr>
      <w:rPr>
        <w:rFonts w:ascii="Courier New" w:hAnsi="Courier New" w:cs="Courier New" w:hint="default"/>
      </w:rPr>
    </w:lvl>
    <w:lvl w:ilvl="5" w:tplc="041B0005" w:tentative="1">
      <w:start w:val="1"/>
      <w:numFmt w:val="bullet"/>
      <w:lvlText w:val=""/>
      <w:lvlJc w:val="left"/>
      <w:pPr>
        <w:tabs>
          <w:tab w:val="num" w:pos="4320"/>
        </w:tabs>
        <w:ind w:left="4320" w:hanging="360"/>
      </w:pPr>
      <w:rPr>
        <w:rFonts w:ascii="Wingdings" w:hAnsi="Wingdings" w:hint="default"/>
      </w:rPr>
    </w:lvl>
    <w:lvl w:ilvl="6" w:tplc="041B0001" w:tentative="1">
      <w:start w:val="1"/>
      <w:numFmt w:val="bullet"/>
      <w:lvlText w:val=""/>
      <w:lvlJc w:val="left"/>
      <w:pPr>
        <w:tabs>
          <w:tab w:val="num" w:pos="5040"/>
        </w:tabs>
        <w:ind w:left="5040" w:hanging="360"/>
      </w:pPr>
      <w:rPr>
        <w:rFonts w:ascii="Symbol" w:hAnsi="Symbol" w:hint="default"/>
      </w:rPr>
    </w:lvl>
    <w:lvl w:ilvl="7" w:tplc="041B0003" w:tentative="1">
      <w:start w:val="1"/>
      <w:numFmt w:val="bullet"/>
      <w:lvlText w:val="o"/>
      <w:lvlJc w:val="left"/>
      <w:pPr>
        <w:tabs>
          <w:tab w:val="num" w:pos="5760"/>
        </w:tabs>
        <w:ind w:left="5760" w:hanging="360"/>
      </w:pPr>
      <w:rPr>
        <w:rFonts w:ascii="Courier New" w:hAnsi="Courier New" w:cs="Courier New" w:hint="default"/>
      </w:rPr>
    </w:lvl>
    <w:lvl w:ilvl="8" w:tplc="041B0005" w:tentative="1">
      <w:start w:val="1"/>
      <w:numFmt w:val="bullet"/>
      <w:lvlText w:val=""/>
      <w:lvlJc w:val="left"/>
      <w:pPr>
        <w:tabs>
          <w:tab w:val="num" w:pos="6480"/>
        </w:tabs>
        <w:ind w:left="6480" w:hanging="360"/>
      </w:pPr>
      <w:rPr>
        <w:rFonts w:ascii="Wingdings" w:hAnsi="Wingdings" w:hint="default"/>
      </w:rPr>
    </w:lvl>
  </w:abstractNum>
  <w:abstractNum w:abstractNumId="403">
    <w:nsid w:val="7C3E3CED"/>
    <w:multiLevelType w:val="hybridMultilevel"/>
    <w:tmpl w:val="08FAC6AE"/>
    <w:lvl w:ilvl="0" w:tplc="2466B24E">
      <w:start w:val="1"/>
      <w:numFmt w:val="decimal"/>
      <w:lvlText w:val="%1."/>
      <w:lvlJc w:val="center"/>
      <w:pPr>
        <w:ind w:left="720" w:hanging="360"/>
      </w:pPr>
      <w:rPr>
        <w:rFonts w:hint="default"/>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404">
    <w:nsid w:val="7C495E7A"/>
    <w:multiLevelType w:val="hybridMultilevel"/>
    <w:tmpl w:val="5866CFAC"/>
    <w:lvl w:ilvl="0" w:tplc="041B0001">
      <w:start w:val="1"/>
      <w:numFmt w:val="bullet"/>
      <w:lvlText w:val=""/>
      <w:lvlJc w:val="left"/>
      <w:pPr>
        <w:ind w:left="720" w:hanging="360"/>
      </w:pPr>
      <w:rPr>
        <w:rFonts w:ascii="Symbol" w:hAnsi="Symbol" w:hint="default"/>
      </w:rPr>
    </w:lvl>
    <w:lvl w:ilvl="1" w:tplc="924ACDC2">
      <w:start w:val="70"/>
      <w:numFmt w:val="bullet"/>
      <w:lvlText w:val="-"/>
      <w:lvlJc w:val="left"/>
      <w:pPr>
        <w:ind w:left="1440" w:hanging="360"/>
      </w:pPr>
      <w:rPr>
        <w:rFonts w:ascii="Calibri" w:eastAsia="Times New Roman" w:hAnsi="Calibri"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405">
    <w:nsid w:val="7C784C30"/>
    <w:multiLevelType w:val="hybridMultilevel"/>
    <w:tmpl w:val="2946B87E"/>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406">
    <w:nsid w:val="7C9A04F6"/>
    <w:multiLevelType w:val="hybridMultilevel"/>
    <w:tmpl w:val="F1B08946"/>
    <w:lvl w:ilvl="0" w:tplc="041B000F">
      <w:start w:val="1"/>
      <w:numFmt w:val="decimal"/>
      <w:lvlText w:val="%1."/>
      <w:lvlJc w:val="left"/>
      <w:pPr>
        <w:tabs>
          <w:tab w:val="num" w:pos="720"/>
        </w:tabs>
        <w:ind w:left="720" w:hanging="360"/>
      </w:pPr>
      <w:rPr>
        <w:rFonts w:hint="default"/>
      </w:rPr>
    </w:lvl>
    <w:lvl w:ilvl="1" w:tplc="041B0003" w:tentative="1">
      <w:start w:val="1"/>
      <w:numFmt w:val="bullet"/>
      <w:lvlText w:val="o"/>
      <w:lvlJc w:val="left"/>
      <w:pPr>
        <w:tabs>
          <w:tab w:val="num" w:pos="1440"/>
        </w:tabs>
        <w:ind w:left="1440" w:hanging="360"/>
      </w:pPr>
      <w:rPr>
        <w:rFonts w:ascii="Courier New" w:hAnsi="Courier New" w:cs="Courier New" w:hint="default"/>
      </w:rPr>
    </w:lvl>
    <w:lvl w:ilvl="2" w:tplc="041B0005" w:tentative="1">
      <w:start w:val="1"/>
      <w:numFmt w:val="bullet"/>
      <w:lvlText w:val=""/>
      <w:lvlJc w:val="left"/>
      <w:pPr>
        <w:tabs>
          <w:tab w:val="num" w:pos="2160"/>
        </w:tabs>
        <w:ind w:left="2160" w:hanging="360"/>
      </w:pPr>
      <w:rPr>
        <w:rFonts w:ascii="Wingdings" w:hAnsi="Wingdings" w:hint="default"/>
      </w:rPr>
    </w:lvl>
    <w:lvl w:ilvl="3" w:tplc="041B0001" w:tentative="1">
      <w:start w:val="1"/>
      <w:numFmt w:val="bullet"/>
      <w:lvlText w:val=""/>
      <w:lvlJc w:val="left"/>
      <w:pPr>
        <w:tabs>
          <w:tab w:val="num" w:pos="2880"/>
        </w:tabs>
        <w:ind w:left="2880" w:hanging="360"/>
      </w:pPr>
      <w:rPr>
        <w:rFonts w:ascii="Symbol" w:hAnsi="Symbol" w:hint="default"/>
      </w:rPr>
    </w:lvl>
    <w:lvl w:ilvl="4" w:tplc="041B0003" w:tentative="1">
      <w:start w:val="1"/>
      <w:numFmt w:val="bullet"/>
      <w:lvlText w:val="o"/>
      <w:lvlJc w:val="left"/>
      <w:pPr>
        <w:tabs>
          <w:tab w:val="num" w:pos="3600"/>
        </w:tabs>
        <w:ind w:left="3600" w:hanging="360"/>
      </w:pPr>
      <w:rPr>
        <w:rFonts w:ascii="Courier New" w:hAnsi="Courier New" w:cs="Courier New" w:hint="default"/>
      </w:rPr>
    </w:lvl>
    <w:lvl w:ilvl="5" w:tplc="041B0005" w:tentative="1">
      <w:start w:val="1"/>
      <w:numFmt w:val="bullet"/>
      <w:lvlText w:val=""/>
      <w:lvlJc w:val="left"/>
      <w:pPr>
        <w:tabs>
          <w:tab w:val="num" w:pos="4320"/>
        </w:tabs>
        <w:ind w:left="4320" w:hanging="360"/>
      </w:pPr>
      <w:rPr>
        <w:rFonts w:ascii="Wingdings" w:hAnsi="Wingdings" w:hint="default"/>
      </w:rPr>
    </w:lvl>
    <w:lvl w:ilvl="6" w:tplc="041B0001" w:tentative="1">
      <w:start w:val="1"/>
      <w:numFmt w:val="bullet"/>
      <w:lvlText w:val=""/>
      <w:lvlJc w:val="left"/>
      <w:pPr>
        <w:tabs>
          <w:tab w:val="num" w:pos="5040"/>
        </w:tabs>
        <w:ind w:left="5040" w:hanging="360"/>
      </w:pPr>
      <w:rPr>
        <w:rFonts w:ascii="Symbol" w:hAnsi="Symbol" w:hint="default"/>
      </w:rPr>
    </w:lvl>
    <w:lvl w:ilvl="7" w:tplc="041B0003" w:tentative="1">
      <w:start w:val="1"/>
      <w:numFmt w:val="bullet"/>
      <w:lvlText w:val="o"/>
      <w:lvlJc w:val="left"/>
      <w:pPr>
        <w:tabs>
          <w:tab w:val="num" w:pos="5760"/>
        </w:tabs>
        <w:ind w:left="5760" w:hanging="360"/>
      </w:pPr>
      <w:rPr>
        <w:rFonts w:ascii="Courier New" w:hAnsi="Courier New" w:cs="Courier New" w:hint="default"/>
      </w:rPr>
    </w:lvl>
    <w:lvl w:ilvl="8" w:tplc="041B0005" w:tentative="1">
      <w:start w:val="1"/>
      <w:numFmt w:val="bullet"/>
      <w:lvlText w:val=""/>
      <w:lvlJc w:val="left"/>
      <w:pPr>
        <w:tabs>
          <w:tab w:val="num" w:pos="6480"/>
        </w:tabs>
        <w:ind w:left="6480" w:hanging="360"/>
      </w:pPr>
      <w:rPr>
        <w:rFonts w:ascii="Wingdings" w:hAnsi="Wingdings" w:hint="default"/>
      </w:rPr>
    </w:lvl>
  </w:abstractNum>
  <w:abstractNum w:abstractNumId="407">
    <w:nsid w:val="7CD70755"/>
    <w:multiLevelType w:val="hybridMultilevel"/>
    <w:tmpl w:val="EE0844EC"/>
    <w:lvl w:ilvl="0" w:tplc="041B0001">
      <w:start w:val="1"/>
      <w:numFmt w:val="bullet"/>
      <w:lvlText w:val=""/>
      <w:lvlJc w:val="left"/>
      <w:pPr>
        <w:ind w:left="360" w:hanging="360"/>
      </w:pPr>
      <w:rPr>
        <w:rFonts w:ascii="Symbol" w:hAnsi="Symbol" w:hint="default"/>
      </w:rPr>
    </w:lvl>
    <w:lvl w:ilvl="1" w:tplc="041B0003" w:tentative="1">
      <w:start w:val="1"/>
      <w:numFmt w:val="bullet"/>
      <w:lvlText w:val="o"/>
      <w:lvlJc w:val="left"/>
      <w:pPr>
        <w:ind w:left="1080" w:hanging="360"/>
      </w:pPr>
      <w:rPr>
        <w:rFonts w:ascii="Courier New" w:hAnsi="Courier New" w:cs="Courier New" w:hint="default"/>
      </w:rPr>
    </w:lvl>
    <w:lvl w:ilvl="2" w:tplc="041B0005" w:tentative="1">
      <w:start w:val="1"/>
      <w:numFmt w:val="bullet"/>
      <w:lvlText w:val=""/>
      <w:lvlJc w:val="left"/>
      <w:pPr>
        <w:ind w:left="1800" w:hanging="360"/>
      </w:pPr>
      <w:rPr>
        <w:rFonts w:ascii="Wingdings" w:hAnsi="Wingdings" w:hint="default"/>
      </w:rPr>
    </w:lvl>
    <w:lvl w:ilvl="3" w:tplc="041B0001" w:tentative="1">
      <w:start w:val="1"/>
      <w:numFmt w:val="bullet"/>
      <w:lvlText w:val=""/>
      <w:lvlJc w:val="left"/>
      <w:pPr>
        <w:ind w:left="2520" w:hanging="360"/>
      </w:pPr>
      <w:rPr>
        <w:rFonts w:ascii="Symbol" w:hAnsi="Symbol" w:hint="default"/>
      </w:rPr>
    </w:lvl>
    <w:lvl w:ilvl="4" w:tplc="041B0003" w:tentative="1">
      <w:start w:val="1"/>
      <w:numFmt w:val="bullet"/>
      <w:lvlText w:val="o"/>
      <w:lvlJc w:val="left"/>
      <w:pPr>
        <w:ind w:left="3240" w:hanging="360"/>
      </w:pPr>
      <w:rPr>
        <w:rFonts w:ascii="Courier New" w:hAnsi="Courier New" w:cs="Courier New" w:hint="default"/>
      </w:rPr>
    </w:lvl>
    <w:lvl w:ilvl="5" w:tplc="041B0005" w:tentative="1">
      <w:start w:val="1"/>
      <w:numFmt w:val="bullet"/>
      <w:lvlText w:val=""/>
      <w:lvlJc w:val="left"/>
      <w:pPr>
        <w:ind w:left="3960" w:hanging="360"/>
      </w:pPr>
      <w:rPr>
        <w:rFonts w:ascii="Wingdings" w:hAnsi="Wingdings" w:hint="default"/>
      </w:rPr>
    </w:lvl>
    <w:lvl w:ilvl="6" w:tplc="041B0001" w:tentative="1">
      <w:start w:val="1"/>
      <w:numFmt w:val="bullet"/>
      <w:lvlText w:val=""/>
      <w:lvlJc w:val="left"/>
      <w:pPr>
        <w:ind w:left="4680" w:hanging="360"/>
      </w:pPr>
      <w:rPr>
        <w:rFonts w:ascii="Symbol" w:hAnsi="Symbol" w:hint="default"/>
      </w:rPr>
    </w:lvl>
    <w:lvl w:ilvl="7" w:tplc="041B0003" w:tentative="1">
      <w:start w:val="1"/>
      <w:numFmt w:val="bullet"/>
      <w:lvlText w:val="o"/>
      <w:lvlJc w:val="left"/>
      <w:pPr>
        <w:ind w:left="5400" w:hanging="360"/>
      </w:pPr>
      <w:rPr>
        <w:rFonts w:ascii="Courier New" w:hAnsi="Courier New" w:cs="Courier New" w:hint="default"/>
      </w:rPr>
    </w:lvl>
    <w:lvl w:ilvl="8" w:tplc="041B0005" w:tentative="1">
      <w:start w:val="1"/>
      <w:numFmt w:val="bullet"/>
      <w:lvlText w:val=""/>
      <w:lvlJc w:val="left"/>
      <w:pPr>
        <w:ind w:left="6120" w:hanging="360"/>
      </w:pPr>
      <w:rPr>
        <w:rFonts w:ascii="Wingdings" w:hAnsi="Wingdings" w:hint="default"/>
      </w:rPr>
    </w:lvl>
  </w:abstractNum>
  <w:abstractNum w:abstractNumId="408">
    <w:nsid w:val="7D2D6A3A"/>
    <w:multiLevelType w:val="hybridMultilevel"/>
    <w:tmpl w:val="14A4400A"/>
    <w:lvl w:ilvl="0" w:tplc="041B0017">
      <w:start w:val="1"/>
      <w:numFmt w:val="lowerLetter"/>
      <w:lvlText w:val="%1)"/>
      <w:lvlJc w:val="left"/>
      <w:pPr>
        <w:ind w:left="720" w:hanging="360"/>
      </w:pPr>
      <w:rPr>
        <w:rFonts w:hint="default"/>
      </w:rPr>
    </w:lvl>
    <w:lvl w:ilvl="1" w:tplc="041B0019">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409">
    <w:nsid w:val="7D2E320C"/>
    <w:multiLevelType w:val="hybridMultilevel"/>
    <w:tmpl w:val="329AADD4"/>
    <w:lvl w:ilvl="0" w:tplc="3248831A">
      <w:start w:val="1"/>
      <w:numFmt w:val="decimal"/>
      <w:lvlText w:val="%1)"/>
      <w:lvlJc w:val="left"/>
      <w:pPr>
        <w:ind w:left="720" w:hanging="360"/>
      </w:pPr>
      <w:rPr>
        <w:rFonts w:ascii="Calibri" w:eastAsia="Times New Roman" w:hAnsi="Calibri" w:cs="Times New Roman"/>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410">
    <w:nsid w:val="7D79593D"/>
    <w:multiLevelType w:val="hybridMultilevel"/>
    <w:tmpl w:val="8AAA2FCC"/>
    <w:lvl w:ilvl="0" w:tplc="12128602">
      <w:start w:val="8"/>
      <w:numFmt w:val="bullet"/>
      <w:lvlText w:val="-"/>
      <w:lvlJc w:val="left"/>
      <w:pPr>
        <w:ind w:left="720" w:hanging="360"/>
      </w:pPr>
      <w:rPr>
        <w:rFonts w:ascii="Times New Roman" w:eastAsia="Times New Roman" w:hAnsi="Times New Roman"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411">
    <w:nsid w:val="7DAC0B49"/>
    <w:multiLevelType w:val="multilevel"/>
    <w:tmpl w:val="BE2AF920"/>
    <w:lvl w:ilvl="0">
      <w:start w:val="1"/>
      <w:numFmt w:val="decimal"/>
      <w:lvlText w:val="%1."/>
      <w:lvlJc w:val="center"/>
      <w:pPr>
        <w:ind w:left="765" w:hanging="360"/>
      </w:pPr>
      <w:rPr>
        <w:rFonts w:hint="default"/>
      </w:rPr>
    </w:lvl>
    <w:lvl w:ilvl="1">
      <w:start w:val="2"/>
      <w:numFmt w:val="decimal"/>
      <w:isLgl/>
      <w:lvlText w:val="%1.%2"/>
      <w:lvlJc w:val="left"/>
      <w:pPr>
        <w:ind w:left="1065" w:hanging="660"/>
      </w:pPr>
      <w:rPr>
        <w:rFonts w:hint="default"/>
      </w:rPr>
    </w:lvl>
    <w:lvl w:ilvl="2">
      <w:start w:val="4"/>
      <w:numFmt w:val="decimal"/>
      <w:isLgl/>
      <w:lvlText w:val="%1.%2.%3"/>
      <w:lvlJc w:val="left"/>
      <w:pPr>
        <w:ind w:left="1125" w:hanging="720"/>
      </w:pPr>
      <w:rPr>
        <w:rFonts w:hint="default"/>
      </w:rPr>
    </w:lvl>
    <w:lvl w:ilvl="3">
      <w:start w:val="1"/>
      <w:numFmt w:val="decimal"/>
      <w:isLgl/>
      <w:lvlText w:val="%1.%2.%3.%4"/>
      <w:lvlJc w:val="left"/>
      <w:pPr>
        <w:ind w:left="1485" w:hanging="1080"/>
      </w:pPr>
      <w:rPr>
        <w:rFonts w:hint="default"/>
      </w:rPr>
    </w:lvl>
    <w:lvl w:ilvl="4">
      <w:start w:val="1"/>
      <w:numFmt w:val="decimal"/>
      <w:isLgl/>
      <w:lvlText w:val="%1.%2.%3.%4.%5"/>
      <w:lvlJc w:val="left"/>
      <w:pPr>
        <w:ind w:left="1485" w:hanging="1080"/>
      </w:pPr>
      <w:rPr>
        <w:rFonts w:hint="default"/>
      </w:rPr>
    </w:lvl>
    <w:lvl w:ilvl="5">
      <w:start w:val="1"/>
      <w:numFmt w:val="decimal"/>
      <w:isLgl/>
      <w:lvlText w:val="%1.%2.%3.%4.%5.%6"/>
      <w:lvlJc w:val="left"/>
      <w:pPr>
        <w:ind w:left="1845" w:hanging="1440"/>
      </w:pPr>
      <w:rPr>
        <w:rFonts w:hint="default"/>
      </w:rPr>
    </w:lvl>
    <w:lvl w:ilvl="6">
      <w:start w:val="1"/>
      <w:numFmt w:val="decimal"/>
      <w:isLgl/>
      <w:lvlText w:val="%1.%2.%3.%4.%5.%6.%7"/>
      <w:lvlJc w:val="left"/>
      <w:pPr>
        <w:ind w:left="1845" w:hanging="1440"/>
      </w:pPr>
      <w:rPr>
        <w:rFonts w:hint="default"/>
      </w:rPr>
    </w:lvl>
    <w:lvl w:ilvl="7">
      <w:start w:val="1"/>
      <w:numFmt w:val="decimal"/>
      <w:isLgl/>
      <w:lvlText w:val="%1.%2.%3.%4.%5.%6.%7.%8"/>
      <w:lvlJc w:val="left"/>
      <w:pPr>
        <w:ind w:left="2205" w:hanging="1800"/>
      </w:pPr>
      <w:rPr>
        <w:rFonts w:hint="default"/>
      </w:rPr>
    </w:lvl>
    <w:lvl w:ilvl="8">
      <w:start w:val="1"/>
      <w:numFmt w:val="decimal"/>
      <w:isLgl/>
      <w:lvlText w:val="%1.%2.%3.%4.%5.%6.%7.%8.%9"/>
      <w:lvlJc w:val="left"/>
      <w:pPr>
        <w:ind w:left="2565" w:hanging="2160"/>
      </w:pPr>
      <w:rPr>
        <w:rFonts w:hint="default"/>
      </w:rPr>
    </w:lvl>
  </w:abstractNum>
  <w:abstractNum w:abstractNumId="412">
    <w:nsid w:val="7DD111B4"/>
    <w:multiLevelType w:val="hybridMultilevel"/>
    <w:tmpl w:val="C9DEE350"/>
    <w:lvl w:ilvl="0" w:tplc="041B0017">
      <w:start w:val="1"/>
      <w:numFmt w:val="lowerLetter"/>
      <w:lvlText w:val="%1)"/>
      <w:lvlJc w:val="left"/>
      <w:pPr>
        <w:ind w:left="720" w:hanging="360"/>
      </w:p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413">
    <w:nsid w:val="7DDF1CE8"/>
    <w:multiLevelType w:val="hybridMultilevel"/>
    <w:tmpl w:val="446C73A8"/>
    <w:lvl w:ilvl="0" w:tplc="12128602">
      <w:start w:val="8"/>
      <w:numFmt w:val="bullet"/>
      <w:lvlText w:val="-"/>
      <w:lvlJc w:val="left"/>
      <w:pPr>
        <w:ind w:left="502" w:hanging="360"/>
      </w:pPr>
      <w:rPr>
        <w:rFonts w:ascii="Times New Roman" w:eastAsia="Times New Roman" w:hAnsi="Times New Roman" w:hint="default"/>
      </w:rPr>
    </w:lvl>
    <w:lvl w:ilvl="1" w:tplc="041B0003" w:tentative="1">
      <w:start w:val="1"/>
      <w:numFmt w:val="bullet"/>
      <w:lvlText w:val="o"/>
      <w:lvlJc w:val="left"/>
      <w:pPr>
        <w:ind w:left="1222" w:hanging="360"/>
      </w:pPr>
      <w:rPr>
        <w:rFonts w:ascii="Courier New" w:hAnsi="Courier New" w:cs="Courier New" w:hint="default"/>
      </w:rPr>
    </w:lvl>
    <w:lvl w:ilvl="2" w:tplc="041B0005" w:tentative="1">
      <w:start w:val="1"/>
      <w:numFmt w:val="bullet"/>
      <w:lvlText w:val=""/>
      <w:lvlJc w:val="left"/>
      <w:pPr>
        <w:ind w:left="1942" w:hanging="360"/>
      </w:pPr>
      <w:rPr>
        <w:rFonts w:ascii="Wingdings" w:hAnsi="Wingdings" w:hint="default"/>
      </w:rPr>
    </w:lvl>
    <w:lvl w:ilvl="3" w:tplc="041B0001" w:tentative="1">
      <w:start w:val="1"/>
      <w:numFmt w:val="bullet"/>
      <w:lvlText w:val=""/>
      <w:lvlJc w:val="left"/>
      <w:pPr>
        <w:ind w:left="2662" w:hanging="360"/>
      </w:pPr>
      <w:rPr>
        <w:rFonts w:ascii="Symbol" w:hAnsi="Symbol" w:hint="default"/>
      </w:rPr>
    </w:lvl>
    <w:lvl w:ilvl="4" w:tplc="041B0003" w:tentative="1">
      <w:start w:val="1"/>
      <w:numFmt w:val="bullet"/>
      <w:lvlText w:val="o"/>
      <w:lvlJc w:val="left"/>
      <w:pPr>
        <w:ind w:left="3382" w:hanging="360"/>
      </w:pPr>
      <w:rPr>
        <w:rFonts w:ascii="Courier New" w:hAnsi="Courier New" w:cs="Courier New" w:hint="default"/>
      </w:rPr>
    </w:lvl>
    <w:lvl w:ilvl="5" w:tplc="041B0005" w:tentative="1">
      <w:start w:val="1"/>
      <w:numFmt w:val="bullet"/>
      <w:lvlText w:val=""/>
      <w:lvlJc w:val="left"/>
      <w:pPr>
        <w:ind w:left="4102" w:hanging="360"/>
      </w:pPr>
      <w:rPr>
        <w:rFonts w:ascii="Wingdings" w:hAnsi="Wingdings" w:hint="default"/>
      </w:rPr>
    </w:lvl>
    <w:lvl w:ilvl="6" w:tplc="041B0001" w:tentative="1">
      <w:start w:val="1"/>
      <w:numFmt w:val="bullet"/>
      <w:lvlText w:val=""/>
      <w:lvlJc w:val="left"/>
      <w:pPr>
        <w:ind w:left="4822" w:hanging="360"/>
      </w:pPr>
      <w:rPr>
        <w:rFonts w:ascii="Symbol" w:hAnsi="Symbol" w:hint="default"/>
      </w:rPr>
    </w:lvl>
    <w:lvl w:ilvl="7" w:tplc="041B0003" w:tentative="1">
      <w:start w:val="1"/>
      <w:numFmt w:val="bullet"/>
      <w:lvlText w:val="o"/>
      <w:lvlJc w:val="left"/>
      <w:pPr>
        <w:ind w:left="5542" w:hanging="360"/>
      </w:pPr>
      <w:rPr>
        <w:rFonts w:ascii="Courier New" w:hAnsi="Courier New" w:cs="Courier New" w:hint="default"/>
      </w:rPr>
    </w:lvl>
    <w:lvl w:ilvl="8" w:tplc="041B0005" w:tentative="1">
      <w:start w:val="1"/>
      <w:numFmt w:val="bullet"/>
      <w:lvlText w:val=""/>
      <w:lvlJc w:val="left"/>
      <w:pPr>
        <w:ind w:left="6262" w:hanging="360"/>
      </w:pPr>
      <w:rPr>
        <w:rFonts w:ascii="Wingdings" w:hAnsi="Wingdings" w:hint="default"/>
      </w:rPr>
    </w:lvl>
  </w:abstractNum>
  <w:abstractNum w:abstractNumId="414">
    <w:nsid w:val="7DF447BC"/>
    <w:multiLevelType w:val="hybridMultilevel"/>
    <w:tmpl w:val="7BF60AC4"/>
    <w:lvl w:ilvl="0" w:tplc="2466B24E">
      <w:start w:val="1"/>
      <w:numFmt w:val="decimal"/>
      <w:lvlText w:val="%1."/>
      <w:lvlJc w:val="center"/>
      <w:pPr>
        <w:ind w:left="720" w:hanging="360"/>
      </w:pPr>
      <w:rPr>
        <w:rFonts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5">
    <w:nsid w:val="7ECD5B4B"/>
    <w:multiLevelType w:val="hybridMultilevel"/>
    <w:tmpl w:val="2AA8BEBA"/>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num w:numId="1">
    <w:abstractNumId w:val="151"/>
  </w:num>
  <w:num w:numId="2">
    <w:abstractNumId w:val="108"/>
  </w:num>
  <w:num w:numId="3">
    <w:abstractNumId w:val="261"/>
  </w:num>
  <w:num w:numId="4">
    <w:abstractNumId w:val="172"/>
  </w:num>
  <w:num w:numId="5">
    <w:abstractNumId w:val="164"/>
  </w:num>
  <w:num w:numId="6">
    <w:abstractNumId w:val="136"/>
  </w:num>
  <w:num w:numId="7">
    <w:abstractNumId w:val="330"/>
  </w:num>
  <w:num w:numId="8">
    <w:abstractNumId w:val="204"/>
  </w:num>
  <w:num w:numId="9">
    <w:abstractNumId w:val="302"/>
  </w:num>
  <w:num w:numId="10">
    <w:abstractNumId w:val="384"/>
  </w:num>
  <w:num w:numId="11">
    <w:abstractNumId w:val="104"/>
  </w:num>
  <w:num w:numId="12">
    <w:abstractNumId w:val="391"/>
  </w:num>
  <w:num w:numId="13">
    <w:abstractNumId w:val="332"/>
  </w:num>
  <w:num w:numId="14">
    <w:abstractNumId w:val="118"/>
  </w:num>
  <w:num w:numId="15">
    <w:abstractNumId w:val="354"/>
  </w:num>
  <w:num w:numId="16">
    <w:abstractNumId w:val="206"/>
  </w:num>
  <w:num w:numId="17">
    <w:abstractNumId w:val="200"/>
  </w:num>
  <w:num w:numId="18">
    <w:abstractNumId w:val="120"/>
  </w:num>
  <w:num w:numId="19">
    <w:abstractNumId w:val="310"/>
  </w:num>
  <w:num w:numId="20">
    <w:abstractNumId w:val="394"/>
  </w:num>
  <w:num w:numId="21">
    <w:abstractNumId w:val="381"/>
  </w:num>
  <w:num w:numId="22">
    <w:abstractNumId w:val="56"/>
  </w:num>
  <w:num w:numId="23">
    <w:abstractNumId w:val="285"/>
  </w:num>
  <w:num w:numId="24">
    <w:abstractNumId w:val="229"/>
  </w:num>
  <w:num w:numId="25">
    <w:abstractNumId w:val="175"/>
  </w:num>
  <w:num w:numId="26">
    <w:abstractNumId w:val="368"/>
  </w:num>
  <w:num w:numId="27">
    <w:abstractNumId w:val="268"/>
  </w:num>
  <w:num w:numId="28">
    <w:abstractNumId w:val="398"/>
  </w:num>
  <w:num w:numId="29">
    <w:abstractNumId w:val="2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376"/>
  </w:num>
  <w:num w:numId="31">
    <w:abstractNumId w:val="54"/>
  </w:num>
  <w:num w:numId="32">
    <w:abstractNumId w:val="349"/>
  </w:num>
  <w:num w:numId="33">
    <w:abstractNumId w:val="291"/>
  </w:num>
  <w:num w:numId="34">
    <w:abstractNumId w:val="174"/>
  </w:num>
  <w:num w:numId="35">
    <w:abstractNumId w:val="273"/>
  </w:num>
  <w:num w:numId="36">
    <w:abstractNumId w:val="336"/>
  </w:num>
  <w:num w:numId="37">
    <w:abstractNumId w:val="290"/>
  </w:num>
  <w:num w:numId="38">
    <w:abstractNumId w:val="233"/>
  </w:num>
  <w:num w:numId="39">
    <w:abstractNumId w:val="76"/>
  </w:num>
  <w:num w:numId="40">
    <w:abstractNumId w:val="234"/>
  </w:num>
  <w:num w:numId="41">
    <w:abstractNumId w:val="128"/>
  </w:num>
  <w:num w:numId="42">
    <w:abstractNumId w:val="113"/>
  </w:num>
  <w:num w:numId="43">
    <w:abstractNumId w:val="52"/>
  </w:num>
  <w:num w:numId="44">
    <w:abstractNumId w:val="271"/>
  </w:num>
  <w:num w:numId="45">
    <w:abstractNumId w:val="100"/>
  </w:num>
  <w:num w:numId="46">
    <w:abstractNumId w:val="169"/>
  </w:num>
  <w:num w:numId="47">
    <w:abstractNumId w:val="346"/>
  </w:num>
  <w:num w:numId="48">
    <w:abstractNumId w:val="215"/>
  </w:num>
  <w:num w:numId="49">
    <w:abstractNumId w:val="147"/>
  </w:num>
  <w:num w:numId="50">
    <w:abstractNumId w:val="86"/>
  </w:num>
  <w:num w:numId="51">
    <w:abstractNumId w:val="123"/>
  </w:num>
  <w:num w:numId="52">
    <w:abstractNumId w:val="42"/>
  </w:num>
  <w:num w:numId="53">
    <w:abstractNumId w:val="400"/>
  </w:num>
  <w:num w:numId="54">
    <w:abstractNumId w:val="81"/>
  </w:num>
  <w:num w:numId="55">
    <w:abstractNumId w:val="75"/>
  </w:num>
  <w:num w:numId="56">
    <w:abstractNumId w:val="250"/>
  </w:num>
  <w:num w:numId="57">
    <w:abstractNumId w:val="303"/>
  </w:num>
  <w:num w:numId="58">
    <w:abstractNumId w:val="404"/>
  </w:num>
  <w:num w:numId="59">
    <w:abstractNumId w:val="252"/>
  </w:num>
  <w:num w:numId="60">
    <w:abstractNumId w:val="239"/>
  </w:num>
  <w:num w:numId="61">
    <w:abstractNumId w:val="114"/>
  </w:num>
  <w:num w:numId="62">
    <w:abstractNumId w:val="195"/>
  </w:num>
  <w:num w:numId="63">
    <w:abstractNumId w:val="202"/>
  </w:num>
  <w:num w:numId="64">
    <w:abstractNumId w:val="341"/>
  </w:num>
  <w:num w:numId="65">
    <w:abstractNumId w:val="43"/>
  </w:num>
  <w:num w:numId="66">
    <w:abstractNumId w:val="275"/>
  </w:num>
  <w:num w:numId="67">
    <w:abstractNumId w:val="386"/>
  </w:num>
  <w:num w:numId="68">
    <w:abstractNumId w:val="389"/>
  </w:num>
  <w:num w:numId="69">
    <w:abstractNumId w:val="156"/>
  </w:num>
  <w:num w:numId="70">
    <w:abstractNumId w:val="27"/>
  </w:num>
  <w:num w:numId="71">
    <w:abstractNumId w:val="189"/>
  </w:num>
  <w:num w:numId="72">
    <w:abstractNumId w:val="110"/>
  </w:num>
  <w:num w:numId="73">
    <w:abstractNumId w:val="347"/>
  </w:num>
  <w:num w:numId="74">
    <w:abstractNumId w:val="300"/>
  </w:num>
  <w:num w:numId="75">
    <w:abstractNumId w:val="355"/>
  </w:num>
  <w:num w:numId="76">
    <w:abstractNumId w:val="283"/>
  </w:num>
  <w:num w:numId="77">
    <w:abstractNumId w:val="69"/>
  </w:num>
  <w:num w:numId="78">
    <w:abstractNumId w:val="297"/>
  </w:num>
  <w:num w:numId="79">
    <w:abstractNumId w:val="231"/>
  </w:num>
  <w:num w:numId="80">
    <w:abstractNumId w:val="165"/>
  </w:num>
  <w:num w:numId="81">
    <w:abstractNumId w:val="278"/>
  </w:num>
  <w:num w:numId="82">
    <w:abstractNumId w:val="383"/>
  </w:num>
  <w:num w:numId="83">
    <w:abstractNumId w:val="387"/>
  </w:num>
  <w:num w:numId="84">
    <w:abstractNumId w:val="307"/>
  </w:num>
  <w:num w:numId="85">
    <w:abstractNumId w:val="373"/>
  </w:num>
  <w:num w:numId="86">
    <w:abstractNumId w:val="94"/>
  </w:num>
  <w:num w:numId="87">
    <w:abstractNumId w:val="410"/>
  </w:num>
  <w:num w:numId="88">
    <w:abstractNumId w:val="88"/>
  </w:num>
  <w:num w:numId="89">
    <w:abstractNumId w:val="28"/>
  </w:num>
  <w:num w:numId="90">
    <w:abstractNumId w:val="361"/>
  </w:num>
  <w:num w:numId="91">
    <w:abstractNumId w:val="244"/>
  </w:num>
  <w:num w:numId="92">
    <w:abstractNumId w:val="33"/>
  </w:num>
  <w:num w:numId="93">
    <w:abstractNumId w:val="201"/>
  </w:num>
  <w:num w:numId="94">
    <w:abstractNumId w:val="127"/>
  </w:num>
  <w:num w:numId="95">
    <w:abstractNumId w:val="72"/>
  </w:num>
  <w:num w:numId="96">
    <w:abstractNumId w:val="131"/>
  </w:num>
  <w:num w:numId="97">
    <w:abstractNumId w:val="41"/>
  </w:num>
  <w:num w:numId="98">
    <w:abstractNumId w:val="235"/>
  </w:num>
  <w:num w:numId="99">
    <w:abstractNumId w:val="408"/>
  </w:num>
  <w:num w:numId="100">
    <w:abstractNumId w:val="220"/>
  </w:num>
  <w:num w:numId="101">
    <w:abstractNumId w:val="66"/>
  </w:num>
  <w:num w:numId="102">
    <w:abstractNumId w:val="308"/>
  </w:num>
  <w:num w:numId="103">
    <w:abstractNumId w:val="340"/>
  </w:num>
  <w:num w:numId="104">
    <w:abstractNumId w:val="352"/>
  </w:num>
  <w:num w:numId="105">
    <w:abstractNumId w:val="246"/>
  </w:num>
  <w:num w:numId="106">
    <w:abstractNumId w:val="412"/>
  </w:num>
  <w:num w:numId="107">
    <w:abstractNumId w:val="159"/>
  </w:num>
  <w:num w:numId="108">
    <w:abstractNumId w:val="211"/>
  </w:num>
  <w:num w:numId="109">
    <w:abstractNumId w:val="117"/>
  </w:num>
  <w:num w:numId="110">
    <w:abstractNumId w:val="92"/>
  </w:num>
  <w:num w:numId="111">
    <w:abstractNumId w:val="65"/>
  </w:num>
  <w:num w:numId="112">
    <w:abstractNumId w:val="331"/>
  </w:num>
  <w:num w:numId="113">
    <w:abstractNumId w:val="256"/>
  </w:num>
  <w:num w:numId="114">
    <w:abstractNumId w:val="148"/>
  </w:num>
  <w:num w:numId="115">
    <w:abstractNumId w:val="18"/>
  </w:num>
  <w:num w:numId="116">
    <w:abstractNumId w:val="149"/>
  </w:num>
  <w:num w:numId="117">
    <w:abstractNumId w:val="382"/>
  </w:num>
  <w:num w:numId="118">
    <w:abstractNumId w:val="193"/>
  </w:num>
  <w:num w:numId="119">
    <w:abstractNumId w:val="77"/>
  </w:num>
  <w:num w:numId="120">
    <w:abstractNumId w:val="363"/>
  </w:num>
  <w:num w:numId="121">
    <w:abstractNumId w:val="356"/>
  </w:num>
  <w:num w:numId="122">
    <w:abstractNumId w:val="294"/>
  </w:num>
  <w:num w:numId="123">
    <w:abstractNumId w:val="328"/>
  </w:num>
  <w:num w:numId="124">
    <w:abstractNumId w:val="119"/>
  </w:num>
  <w:num w:numId="125">
    <w:abstractNumId w:val="26"/>
  </w:num>
  <w:num w:numId="126">
    <w:abstractNumId w:val="105"/>
  </w:num>
  <w:num w:numId="127">
    <w:abstractNumId w:val="257"/>
  </w:num>
  <w:num w:numId="128">
    <w:abstractNumId w:val="415"/>
  </w:num>
  <w:num w:numId="129">
    <w:abstractNumId w:val="353"/>
  </w:num>
  <w:num w:numId="130">
    <w:abstractNumId w:val="301"/>
  </w:num>
  <w:num w:numId="131">
    <w:abstractNumId w:val="116"/>
  </w:num>
  <w:num w:numId="132">
    <w:abstractNumId w:val="255"/>
  </w:num>
  <w:num w:numId="133">
    <w:abstractNumId w:val="365"/>
  </w:num>
  <w:num w:numId="134">
    <w:abstractNumId w:val="237"/>
  </w:num>
  <w:num w:numId="135">
    <w:abstractNumId w:val="406"/>
  </w:num>
  <w:num w:numId="136">
    <w:abstractNumId w:val="286"/>
  </w:num>
  <w:num w:numId="137">
    <w:abstractNumId w:val="157"/>
  </w:num>
  <w:num w:numId="138">
    <w:abstractNumId w:val="34"/>
  </w:num>
  <w:num w:numId="139">
    <w:abstractNumId w:val="364"/>
  </w:num>
  <w:num w:numId="140">
    <w:abstractNumId w:val="366"/>
  </w:num>
  <w:num w:numId="141">
    <w:abstractNumId w:val="70"/>
  </w:num>
  <w:num w:numId="142">
    <w:abstractNumId w:val="293"/>
  </w:num>
  <w:num w:numId="143">
    <w:abstractNumId w:val="138"/>
  </w:num>
  <w:num w:numId="144">
    <w:abstractNumId w:val="298"/>
  </w:num>
  <w:num w:numId="145">
    <w:abstractNumId w:val="335"/>
  </w:num>
  <w:num w:numId="146">
    <w:abstractNumId w:val="414"/>
  </w:num>
  <w:num w:numId="147">
    <w:abstractNumId w:val="409"/>
  </w:num>
  <w:num w:numId="148">
    <w:abstractNumId w:val="45"/>
  </w:num>
  <w:num w:numId="149">
    <w:abstractNumId w:val="392"/>
  </w:num>
  <w:num w:numId="150">
    <w:abstractNumId w:val="46"/>
  </w:num>
  <w:num w:numId="151">
    <w:abstractNumId w:val="292"/>
  </w:num>
  <w:num w:numId="152">
    <w:abstractNumId w:val="236"/>
  </w:num>
  <w:num w:numId="153">
    <w:abstractNumId w:val="264"/>
  </w:num>
  <w:num w:numId="154">
    <w:abstractNumId w:val="22"/>
  </w:num>
  <w:num w:numId="155">
    <w:abstractNumId w:val="324"/>
  </w:num>
  <w:num w:numId="156">
    <w:abstractNumId w:val="85"/>
  </w:num>
  <w:num w:numId="157">
    <w:abstractNumId w:val="191"/>
  </w:num>
  <w:num w:numId="158">
    <w:abstractNumId w:val="284"/>
  </w:num>
  <w:num w:numId="159">
    <w:abstractNumId w:val="98"/>
  </w:num>
  <w:num w:numId="160">
    <w:abstractNumId w:val="216"/>
  </w:num>
  <w:num w:numId="161">
    <w:abstractNumId w:val="91"/>
  </w:num>
  <w:num w:numId="162">
    <w:abstractNumId w:val="78"/>
  </w:num>
  <w:num w:numId="163">
    <w:abstractNumId w:val="173"/>
  </w:num>
  <w:num w:numId="164">
    <w:abstractNumId w:val="322"/>
  </w:num>
  <w:num w:numId="165">
    <w:abstractNumId w:val="63"/>
  </w:num>
  <w:num w:numId="166">
    <w:abstractNumId w:val="258"/>
  </w:num>
  <w:num w:numId="167">
    <w:abstractNumId w:val="259"/>
  </w:num>
  <w:num w:numId="168">
    <w:abstractNumId w:val="222"/>
  </w:num>
  <w:num w:numId="169">
    <w:abstractNumId w:val="238"/>
  </w:num>
  <w:num w:numId="170">
    <w:abstractNumId w:val="269"/>
  </w:num>
  <w:num w:numId="171">
    <w:abstractNumId w:val="199"/>
  </w:num>
  <w:num w:numId="172">
    <w:abstractNumId w:val="143"/>
  </w:num>
  <w:num w:numId="173">
    <w:abstractNumId w:val="288"/>
  </w:num>
  <w:num w:numId="174">
    <w:abstractNumId w:val="167"/>
  </w:num>
  <w:num w:numId="175">
    <w:abstractNumId w:val="311"/>
  </w:num>
  <w:num w:numId="176">
    <w:abstractNumId w:val="109"/>
  </w:num>
  <w:num w:numId="177">
    <w:abstractNumId w:val="357"/>
  </w:num>
  <w:num w:numId="178">
    <w:abstractNumId w:val="0"/>
  </w:num>
  <w:num w:numId="179">
    <w:abstractNumId w:val="1"/>
  </w:num>
  <w:num w:numId="180">
    <w:abstractNumId w:val="2"/>
  </w:num>
  <w:num w:numId="181">
    <w:abstractNumId w:val="3"/>
  </w:num>
  <w:num w:numId="182">
    <w:abstractNumId w:val="8"/>
  </w:num>
  <w:num w:numId="183">
    <w:abstractNumId w:val="9"/>
  </w:num>
  <w:num w:numId="184">
    <w:abstractNumId w:val="112"/>
  </w:num>
  <w:num w:numId="185">
    <w:abstractNumId w:val="401"/>
  </w:num>
  <w:num w:numId="186">
    <w:abstractNumId w:val="14"/>
  </w:num>
  <w:num w:numId="187">
    <w:abstractNumId w:val="370"/>
  </w:num>
  <w:num w:numId="188">
    <w:abstractNumId w:val="129"/>
  </w:num>
  <w:num w:numId="189">
    <w:abstractNumId w:val="4"/>
  </w:num>
  <w:num w:numId="190">
    <w:abstractNumId w:val="19"/>
  </w:num>
  <w:num w:numId="191">
    <w:abstractNumId w:val="403"/>
  </w:num>
  <w:num w:numId="192">
    <w:abstractNumId w:val="161"/>
  </w:num>
  <w:num w:numId="193">
    <w:abstractNumId w:val="5"/>
  </w:num>
  <w:num w:numId="194">
    <w:abstractNumId w:val="6"/>
  </w:num>
  <w:num w:numId="195">
    <w:abstractNumId w:val="219"/>
  </w:num>
  <w:num w:numId="196">
    <w:abstractNumId w:val="12"/>
  </w:num>
  <w:num w:numId="197">
    <w:abstractNumId w:val="53"/>
  </w:num>
  <w:num w:numId="198">
    <w:abstractNumId w:val="314"/>
  </w:num>
  <w:num w:numId="199">
    <w:abstractNumId w:val="334"/>
  </w:num>
  <w:num w:numId="200">
    <w:abstractNumId w:val="265"/>
  </w:num>
  <w:num w:numId="201">
    <w:abstractNumId w:val="96"/>
  </w:num>
  <w:num w:numId="202">
    <w:abstractNumId w:val="183"/>
  </w:num>
  <w:num w:numId="203">
    <w:abstractNumId w:val="188"/>
  </w:num>
  <w:num w:numId="204">
    <w:abstractNumId w:val="385"/>
  </w:num>
  <w:num w:numId="205">
    <w:abstractNumId w:val="315"/>
  </w:num>
  <w:num w:numId="206">
    <w:abstractNumId w:val="287"/>
  </w:num>
  <w:num w:numId="207">
    <w:abstractNumId w:val="360"/>
  </w:num>
  <w:num w:numId="208">
    <w:abstractNumId w:val="226"/>
  </w:num>
  <w:num w:numId="209">
    <w:abstractNumId w:val="61"/>
  </w:num>
  <w:num w:numId="210">
    <w:abstractNumId w:val="312"/>
  </w:num>
  <w:num w:numId="211">
    <w:abstractNumId w:val="153"/>
  </w:num>
  <w:num w:numId="212">
    <w:abstractNumId w:val="176"/>
  </w:num>
  <w:num w:numId="213">
    <w:abstractNumId w:val="337"/>
  </w:num>
  <w:num w:numId="214">
    <w:abstractNumId w:val="375"/>
  </w:num>
  <w:num w:numId="215">
    <w:abstractNumId w:val="135"/>
  </w:num>
  <w:num w:numId="216">
    <w:abstractNumId w:val="218"/>
  </w:num>
  <w:num w:numId="217">
    <w:abstractNumId w:val="182"/>
  </w:num>
  <w:num w:numId="218">
    <w:abstractNumId w:val="276"/>
  </w:num>
  <w:num w:numId="219">
    <w:abstractNumId w:val="304"/>
  </w:num>
  <w:num w:numId="220">
    <w:abstractNumId w:val="15"/>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1">
    <w:abstractNumId w:val="180"/>
  </w:num>
  <w:num w:numId="222">
    <w:abstractNumId w:val="2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3">
    <w:abstractNumId w:val="411"/>
  </w:num>
  <w:num w:numId="224">
    <w:abstractNumId w:val="130"/>
  </w:num>
  <w:num w:numId="225">
    <w:abstractNumId w:val="40"/>
  </w:num>
  <w:num w:numId="226">
    <w:abstractNumId w:val="57"/>
  </w:num>
  <w:num w:numId="227">
    <w:abstractNumId w:val="84"/>
  </w:num>
  <w:num w:numId="228">
    <w:abstractNumId w:val="348"/>
  </w:num>
  <w:num w:numId="229">
    <w:abstractNumId w:val="306"/>
  </w:num>
  <w:num w:numId="230">
    <w:abstractNumId w:val="320"/>
  </w:num>
  <w:num w:numId="231">
    <w:abstractNumId w:val="248"/>
  </w:num>
  <w:num w:numId="232">
    <w:abstractNumId w:val="210"/>
  </w:num>
  <w:num w:numId="233">
    <w:abstractNumId w:val="162"/>
  </w:num>
  <w:num w:numId="234">
    <w:abstractNumId w:val="329"/>
  </w:num>
  <w:num w:numId="235">
    <w:abstractNumId w:val="405"/>
  </w:num>
  <w:num w:numId="236">
    <w:abstractNumId w:val="350"/>
  </w:num>
  <w:num w:numId="237">
    <w:abstractNumId w:val="35"/>
  </w:num>
  <w:num w:numId="238">
    <w:abstractNumId w:val="133"/>
  </w:num>
  <w:num w:numId="239">
    <w:abstractNumId w:val="274"/>
  </w:num>
  <w:num w:numId="240">
    <w:abstractNumId w:val="319"/>
  </w:num>
  <w:num w:numId="241">
    <w:abstractNumId w:val="254"/>
  </w:num>
  <w:num w:numId="242">
    <w:abstractNumId w:val="245"/>
  </w:num>
  <w:num w:numId="243">
    <w:abstractNumId w:val="228"/>
  </w:num>
  <w:num w:numId="244">
    <w:abstractNumId w:val="214"/>
  </w:num>
  <w:num w:numId="245">
    <w:abstractNumId w:val="217"/>
  </w:num>
  <w:num w:numId="246">
    <w:abstractNumId w:val="64"/>
  </w:num>
  <w:num w:numId="247">
    <w:abstractNumId w:val="141"/>
  </w:num>
  <w:num w:numId="248">
    <w:abstractNumId w:val="30"/>
  </w:num>
  <w:num w:numId="249">
    <w:abstractNumId w:val="121"/>
  </w:num>
  <w:num w:numId="250">
    <w:abstractNumId w:val="197"/>
  </w:num>
  <w:num w:numId="251">
    <w:abstractNumId w:val="279"/>
  </w:num>
  <w:num w:numId="252">
    <w:abstractNumId w:val="106"/>
  </w:num>
  <w:num w:numId="253">
    <w:abstractNumId w:val="325"/>
  </w:num>
  <w:num w:numId="254">
    <w:abstractNumId w:val="249"/>
  </w:num>
  <w:num w:numId="255">
    <w:abstractNumId w:val="251"/>
  </w:num>
  <w:num w:numId="256">
    <w:abstractNumId w:val="126"/>
  </w:num>
  <w:num w:numId="257">
    <w:abstractNumId w:val="338"/>
  </w:num>
  <w:num w:numId="258">
    <w:abstractNumId w:val="396"/>
  </w:num>
  <w:num w:numId="259">
    <w:abstractNumId w:val="266"/>
  </w:num>
  <w:num w:numId="260">
    <w:abstractNumId w:val="289"/>
  </w:num>
  <w:num w:numId="261">
    <w:abstractNumId w:val="327"/>
  </w:num>
  <w:num w:numId="262">
    <w:abstractNumId w:val="309"/>
  </w:num>
  <w:num w:numId="263">
    <w:abstractNumId w:val="362"/>
  </w:num>
  <w:num w:numId="264">
    <w:abstractNumId w:val="71"/>
  </w:num>
  <w:num w:numId="265">
    <w:abstractNumId w:val="154"/>
  </w:num>
  <w:num w:numId="266">
    <w:abstractNumId w:val="367"/>
  </w:num>
  <w:num w:numId="267">
    <w:abstractNumId w:val="140"/>
  </w:num>
  <w:num w:numId="268">
    <w:abstractNumId w:val="241"/>
  </w:num>
  <w:num w:numId="269">
    <w:abstractNumId w:val="358"/>
  </w:num>
  <w:num w:numId="270">
    <w:abstractNumId w:val="263"/>
  </w:num>
  <w:num w:numId="271">
    <w:abstractNumId w:val="272"/>
  </w:num>
  <w:num w:numId="272">
    <w:abstractNumId w:val="122"/>
  </w:num>
  <w:num w:numId="273">
    <w:abstractNumId w:val="184"/>
  </w:num>
  <w:num w:numId="274">
    <w:abstractNumId w:val="21"/>
  </w:num>
  <w:num w:numId="275">
    <w:abstractNumId w:val="38"/>
  </w:num>
  <w:num w:numId="276">
    <w:abstractNumId w:val="369"/>
  </w:num>
  <w:num w:numId="277">
    <w:abstractNumId w:val="178"/>
  </w:num>
  <w:num w:numId="278">
    <w:abstractNumId w:val="270"/>
  </w:num>
  <w:num w:numId="279">
    <w:abstractNumId w:val="213"/>
  </w:num>
  <w:num w:numId="280">
    <w:abstractNumId w:val="139"/>
  </w:num>
  <w:num w:numId="281">
    <w:abstractNumId w:val="80"/>
  </w:num>
  <w:num w:numId="282">
    <w:abstractNumId w:val="339"/>
  </w:num>
  <w:num w:numId="283">
    <w:abstractNumId w:val="31"/>
  </w:num>
  <w:num w:numId="284">
    <w:abstractNumId w:val="299"/>
  </w:num>
  <w:num w:numId="285">
    <w:abstractNumId w:val="196"/>
  </w:num>
  <w:num w:numId="286">
    <w:abstractNumId w:val="166"/>
  </w:num>
  <w:num w:numId="287">
    <w:abstractNumId w:val="82"/>
  </w:num>
  <w:num w:numId="288">
    <w:abstractNumId w:val="59"/>
  </w:num>
  <w:num w:numId="289">
    <w:abstractNumId w:val="380"/>
  </w:num>
  <w:num w:numId="290">
    <w:abstractNumId w:val="253"/>
  </w:num>
  <w:num w:numId="291">
    <w:abstractNumId w:val="280"/>
  </w:num>
  <w:num w:numId="292">
    <w:abstractNumId w:val="402"/>
  </w:num>
  <w:num w:numId="293">
    <w:abstractNumId w:val="397"/>
  </w:num>
  <w:num w:numId="294">
    <w:abstractNumId w:val="67"/>
  </w:num>
  <w:num w:numId="295">
    <w:abstractNumId w:val="345"/>
  </w:num>
  <w:num w:numId="296">
    <w:abstractNumId w:val="267"/>
  </w:num>
  <w:num w:numId="297">
    <w:abstractNumId w:val="185"/>
  </w:num>
  <w:num w:numId="298">
    <w:abstractNumId w:val="48"/>
  </w:num>
  <w:num w:numId="299">
    <w:abstractNumId w:val="333"/>
  </w:num>
  <w:num w:numId="300">
    <w:abstractNumId w:val="47"/>
  </w:num>
  <w:num w:numId="301">
    <w:abstractNumId w:val="247"/>
  </w:num>
  <w:num w:numId="302">
    <w:abstractNumId w:val="17"/>
  </w:num>
  <w:num w:numId="303">
    <w:abstractNumId w:val="124"/>
  </w:num>
  <w:num w:numId="304">
    <w:abstractNumId w:val="168"/>
  </w:num>
  <w:num w:numId="305">
    <w:abstractNumId w:val="326"/>
  </w:num>
  <w:num w:numId="306">
    <w:abstractNumId w:val="296"/>
  </w:num>
  <w:num w:numId="307">
    <w:abstractNumId w:val="97"/>
  </w:num>
  <w:num w:numId="308">
    <w:abstractNumId w:val="262"/>
  </w:num>
  <w:num w:numId="309">
    <w:abstractNumId w:val="208"/>
  </w:num>
  <w:num w:numId="310">
    <w:abstractNumId w:val="13"/>
  </w:num>
  <w:num w:numId="311">
    <w:abstractNumId w:val="132"/>
  </w:num>
  <w:num w:numId="312">
    <w:abstractNumId w:val="395"/>
  </w:num>
  <w:num w:numId="313">
    <w:abstractNumId w:val="146"/>
  </w:num>
  <w:num w:numId="314">
    <w:abstractNumId w:val="243"/>
  </w:num>
  <w:num w:numId="315">
    <w:abstractNumId w:val="192"/>
  </w:num>
  <w:num w:numId="316">
    <w:abstractNumId w:val="240"/>
  </w:num>
  <w:num w:numId="317">
    <w:abstractNumId w:val="323"/>
  </w:num>
  <w:num w:numId="318">
    <w:abstractNumId w:val="282"/>
  </w:num>
  <w:num w:numId="319">
    <w:abstractNumId w:val="37"/>
  </w:num>
  <w:num w:numId="320">
    <w:abstractNumId w:val="134"/>
  </w:num>
  <w:num w:numId="321">
    <w:abstractNumId w:val="318"/>
  </w:num>
  <w:num w:numId="322">
    <w:abstractNumId w:val="388"/>
  </w:num>
  <w:num w:numId="323">
    <w:abstractNumId w:val="232"/>
  </w:num>
  <w:num w:numId="324">
    <w:abstractNumId w:val="144"/>
  </w:num>
  <w:num w:numId="325">
    <w:abstractNumId w:val="378"/>
  </w:num>
  <w:num w:numId="326">
    <w:abstractNumId w:val="36"/>
  </w:num>
  <w:num w:numId="327">
    <w:abstractNumId w:val="99"/>
  </w:num>
  <w:num w:numId="328">
    <w:abstractNumId w:val="212"/>
  </w:num>
  <w:num w:numId="329">
    <w:abstractNumId w:val="163"/>
  </w:num>
  <w:num w:numId="330">
    <w:abstractNumId w:val="393"/>
  </w:num>
  <w:num w:numId="331">
    <w:abstractNumId w:val="73"/>
  </w:num>
  <w:num w:numId="332">
    <w:abstractNumId w:val="190"/>
  </w:num>
  <w:num w:numId="333">
    <w:abstractNumId w:val="221"/>
  </w:num>
  <w:num w:numId="334">
    <w:abstractNumId w:val="103"/>
  </w:num>
  <w:num w:numId="335">
    <w:abstractNumId w:val="170"/>
  </w:num>
  <w:num w:numId="336">
    <w:abstractNumId w:val="16"/>
  </w:num>
  <w:num w:numId="337">
    <w:abstractNumId w:val="11"/>
  </w:num>
  <w:num w:numId="338">
    <w:abstractNumId w:val="155"/>
  </w:num>
  <w:num w:numId="339">
    <w:abstractNumId w:val="399"/>
  </w:num>
  <w:num w:numId="340">
    <w:abstractNumId w:val="342"/>
  </w:num>
  <w:num w:numId="341">
    <w:abstractNumId w:val="74"/>
  </w:num>
  <w:num w:numId="342">
    <w:abstractNumId w:val="224"/>
  </w:num>
  <w:num w:numId="343">
    <w:abstractNumId w:val="6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4">
    <w:abstractNumId w:val="390"/>
  </w:num>
  <w:num w:numId="345">
    <w:abstractNumId w:val="50"/>
  </w:num>
  <w:num w:numId="346">
    <w:abstractNumId w:val="26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7">
    <w:abstractNumId w:val="23"/>
  </w:num>
  <w:num w:numId="348">
    <w:abstractNumId w:val="142"/>
  </w:num>
  <w:num w:numId="349">
    <w:abstractNumId w:val="321"/>
  </w:num>
  <w:num w:numId="350">
    <w:abstractNumId w:val="295"/>
    <w:lvlOverride w:ilvl="0">
      <w:startOverride w:val="1"/>
    </w:lvlOverride>
    <w:lvlOverride w:ilvl="1"/>
    <w:lvlOverride w:ilvl="2"/>
    <w:lvlOverride w:ilvl="3"/>
    <w:lvlOverride w:ilvl="4"/>
    <w:lvlOverride w:ilvl="5"/>
    <w:lvlOverride w:ilvl="6"/>
    <w:lvlOverride w:ilvl="7"/>
    <w:lvlOverride w:ilvl="8"/>
  </w:num>
  <w:num w:numId="351">
    <w:abstractNumId w:val="10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2">
    <w:abstractNumId w:val="19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3">
    <w:abstractNumId w:val="34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4">
    <w:abstractNumId w:val="49"/>
  </w:num>
  <w:num w:numId="355">
    <w:abstractNumId w:val="102"/>
  </w:num>
  <w:num w:numId="356">
    <w:abstractNumId w:val="203"/>
  </w:num>
  <w:num w:numId="357">
    <w:abstractNumId w:val="359"/>
  </w:num>
  <w:num w:numId="358">
    <w:abstractNumId w:val="83"/>
  </w:num>
  <w:num w:numId="359">
    <w:abstractNumId w:val="111"/>
  </w:num>
  <w:num w:numId="360">
    <w:abstractNumId w:val="277"/>
  </w:num>
  <w:num w:numId="361">
    <w:abstractNumId w:val="372"/>
  </w:num>
  <w:num w:numId="362">
    <w:abstractNumId w:val="93"/>
  </w:num>
  <w:num w:numId="363">
    <w:abstractNumId w:val="152"/>
  </w:num>
  <w:num w:numId="364">
    <w:abstractNumId w:val="374"/>
  </w:num>
  <w:num w:numId="365">
    <w:abstractNumId w:val="87"/>
  </w:num>
  <w:num w:numId="366">
    <w:abstractNumId w:val="316"/>
  </w:num>
  <w:num w:numId="367">
    <w:abstractNumId w:val="171"/>
  </w:num>
  <w:num w:numId="368">
    <w:abstractNumId w:val="317"/>
  </w:num>
  <w:num w:numId="369">
    <w:abstractNumId w:val="5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0">
    <w:abstractNumId w:val="313"/>
  </w:num>
  <w:num w:numId="371">
    <w:abstractNumId w:val="137"/>
  </w:num>
  <w:num w:numId="372">
    <w:abstractNumId w:val="160"/>
  </w:num>
  <w:num w:numId="373">
    <w:abstractNumId w:val="242"/>
  </w:num>
  <w:num w:numId="374">
    <w:abstractNumId w:val="145"/>
  </w:num>
  <w:num w:numId="375">
    <w:abstractNumId w:val="179"/>
  </w:num>
  <w:num w:numId="376">
    <w:abstractNumId w:val="230"/>
  </w:num>
  <w:num w:numId="377">
    <w:abstractNumId w:val="95"/>
  </w:num>
  <w:num w:numId="378">
    <w:abstractNumId w:val="89"/>
  </w:num>
  <w:num w:numId="379">
    <w:abstractNumId w:val="62"/>
  </w:num>
  <w:num w:numId="380">
    <w:abstractNumId w:val="205"/>
  </w:num>
  <w:num w:numId="381">
    <w:abstractNumId w:val="186"/>
  </w:num>
  <w:num w:numId="382">
    <w:abstractNumId w:val="377"/>
  </w:num>
  <w:num w:numId="383">
    <w:abstractNumId w:val="305"/>
  </w:num>
  <w:num w:numId="384">
    <w:abstractNumId w:val="351"/>
  </w:num>
  <w:num w:numId="385">
    <w:abstractNumId w:val="125"/>
  </w:num>
  <w:num w:numId="386">
    <w:abstractNumId w:val="29"/>
  </w:num>
  <w:num w:numId="387">
    <w:abstractNumId w:val="20"/>
  </w:num>
  <w:num w:numId="388">
    <w:abstractNumId w:val="207"/>
  </w:num>
  <w:num w:numId="389">
    <w:abstractNumId w:val="371"/>
  </w:num>
  <w:num w:numId="390">
    <w:abstractNumId w:val="177"/>
  </w:num>
  <w:num w:numId="391">
    <w:abstractNumId w:val="198"/>
  </w:num>
  <w:num w:numId="392">
    <w:abstractNumId w:val="158"/>
  </w:num>
  <w:num w:numId="393">
    <w:abstractNumId w:val="115"/>
  </w:num>
  <w:num w:numId="394">
    <w:abstractNumId w:val="181"/>
  </w:num>
  <w:num w:numId="395">
    <w:abstractNumId w:val="10"/>
  </w:num>
  <w:num w:numId="396">
    <w:abstractNumId w:val="107"/>
  </w:num>
  <w:num w:numId="397">
    <w:abstractNumId w:val="44"/>
  </w:num>
  <w:num w:numId="398">
    <w:abstractNumId w:val="51"/>
  </w:num>
  <w:num w:numId="399">
    <w:abstractNumId w:val="407"/>
  </w:num>
  <w:num w:numId="400">
    <w:abstractNumId w:val="209"/>
  </w:num>
  <w:num w:numId="401">
    <w:abstractNumId w:val="68"/>
  </w:num>
  <w:num w:numId="402">
    <w:abstractNumId w:val="413"/>
  </w:num>
  <w:num w:numId="403">
    <w:abstractNumId w:val="55"/>
  </w:num>
  <w:num w:numId="404">
    <w:abstractNumId w:val="150"/>
  </w:num>
  <w:num w:numId="405">
    <w:abstractNumId w:val="39"/>
  </w:num>
  <w:num w:numId="406">
    <w:abstractNumId w:val="187"/>
  </w:num>
  <w:num w:numId="407">
    <w:abstractNumId w:val="225"/>
  </w:num>
  <w:num w:numId="408">
    <w:abstractNumId w:val="343"/>
  </w:num>
  <w:num w:numId="409">
    <w:abstractNumId w:val="281"/>
  </w:num>
  <w:num w:numId="410">
    <w:abstractNumId w:val="90"/>
  </w:num>
  <w:num w:numId="411">
    <w:abstractNumId w:val="379"/>
  </w:num>
  <w:num w:numId="412">
    <w:abstractNumId w:val="25"/>
  </w:num>
  <w:num w:numId="413">
    <w:abstractNumId w:val="24"/>
  </w:num>
  <w:num w:numId="414">
    <w:abstractNumId w:val="32"/>
  </w:num>
  <w:num w:numId="415">
    <w:abstractNumId w:val="79"/>
  </w:num>
  <w:numIdMacAtCleanup w:val="40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84"/>
  <w:mirrorMargins/>
  <w:hideGrammaticalErrors/>
  <w:proofState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708"/>
  <w:hyphenationZone w:val="425"/>
  <w:drawingGridHorizontalSpacing w:val="110"/>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C553A"/>
    <w:rsid w:val="00000057"/>
    <w:rsid w:val="000022CE"/>
    <w:rsid w:val="00006FEA"/>
    <w:rsid w:val="00016B4F"/>
    <w:rsid w:val="00017EDB"/>
    <w:rsid w:val="0002138B"/>
    <w:rsid w:val="00024E82"/>
    <w:rsid w:val="000429A6"/>
    <w:rsid w:val="00050550"/>
    <w:rsid w:val="00051CB5"/>
    <w:rsid w:val="00052760"/>
    <w:rsid w:val="00053D13"/>
    <w:rsid w:val="00053EDA"/>
    <w:rsid w:val="0005530E"/>
    <w:rsid w:val="0005560D"/>
    <w:rsid w:val="00060B3A"/>
    <w:rsid w:val="00076A54"/>
    <w:rsid w:val="00081CCD"/>
    <w:rsid w:val="00086915"/>
    <w:rsid w:val="00087631"/>
    <w:rsid w:val="000905ED"/>
    <w:rsid w:val="000906C7"/>
    <w:rsid w:val="000921FF"/>
    <w:rsid w:val="00095683"/>
    <w:rsid w:val="00097DEB"/>
    <w:rsid w:val="000A2A2C"/>
    <w:rsid w:val="000A3653"/>
    <w:rsid w:val="000C553A"/>
    <w:rsid w:val="000D2ECB"/>
    <w:rsid w:val="000E44E2"/>
    <w:rsid w:val="000E5C15"/>
    <w:rsid w:val="000E76A1"/>
    <w:rsid w:val="000E7B08"/>
    <w:rsid w:val="000F31DC"/>
    <w:rsid w:val="00117051"/>
    <w:rsid w:val="0012201B"/>
    <w:rsid w:val="00125DD7"/>
    <w:rsid w:val="00130D66"/>
    <w:rsid w:val="001513BA"/>
    <w:rsid w:val="00174076"/>
    <w:rsid w:val="00195DD8"/>
    <w:rsid w:val="00197171"/>
    <w:rsid w:val="001B250D"/>
    <w:rsid w:val="001B3100"/>
    <w:rsid w:val="001B5E1A"/>
    <w:rsid w:val="001B617C"/>
    <w:rsid w:val="001B6996"/>
    <w:rsid w:val="001F3673"/>
    <w:rsid w:val="001F5283"/>
    <w:rsid w:val="00200B2C"/>
    <w:rsid w:val="00201383"/>
    <w:rsid w:val="00204D9D"/>
    <w:rsid w:val="002245DE"/>
    <w:rsid w:val="002248AD"/>
    <w:rsid w:val="00232F1B"/>
    <w:rsid w:val="00234B89"/>
    <w:rsid w:val="00242C36"/>
    <w:rsid w:val="00255E13"/>
    <w:rsid w:val="00270D1E"/>
    <w:rsid w:val="00280B5C"/>
    <w:rsid w:val="0028764B"/>
    <w:rsid w:val="00290520"/>
    <w:rsid w:val="002A743D"/>
    <w:rsid w:val="002B0505"/>
    <w:rsid w:val="002B304D"/>
    <w:rsid w:val="002B6281"/>
    <w:rsid w:val="002C53BC"/>
    <w:rsid w:val="002E2C49"/>
    <w:rsid w:val="002E6EC8"/>
    <w:rsid w:val="002E78E6"/>
    <w:rsid w:val="00310B6F"/>
    <w:rsid w:val="00311C3C"/>
    <w:rsid w:val="0031577A"/>
    <w:rsid w:val="00317BFF"/>
    <w:rsid w:val="00346468"/>
    <w:rsid w:val="00352DE6"/>
    <w:rsid w:val="00364074"/>
    <w:rsid w:val="0036421C"/>
    <w:rsid w:val="00366F96"/>
    <w:rsid w:val="00373D46"/>
    <w:rsid w:val="00377331"/>
    <w:rsid w:val="00377368"/>
    <w:rsid w:val="003818C9"/>
    <w:rsid w:val="00387040"/>
    <w:rsid w:val="00387BD1"/>
    <w:rsid w:val="003A251F"/>
    <w:rsid w:val="003A38EB"/>
    <w:rsid w:val="003A72F5"/>
    <w:rsid w:val="003A7956"/>
    <w:rsid w:val="003B11BD"/>
    <w:rsid w:val="003C04C8"/>
    <w:rsid w:val="003C4537"/>
    <w:rsid w:val="003D0842"/>
    <w:rsid w:val="003E263A"/>
    <w:rsid w:val="003E3562"/>
    <w:rsid w:val="003F0BBD"/>
    <w:rsid w:val="003F6575"/>
    <w:rsid w:val="00412F39"/>
    <w:rsid w:val="004135E6"/>
    <w:rsid w:val="0041401C"/>
    <w:rsid w:val="004157C2"/>
    <w:rsid w:val="00416400"/>
    <w:rsid w:val="00416CC7"/>
    <w:rsid w:val="00416E34"/>
    <w:rsid w:val="00425CA0"/>
    <w:rsid w:val="00426524"/>
    <w:rsid w:val="00431520"/>
    <w:rsid w:val="004325FF"/>
    <w:rsid w:val="00436A8B"/>
    <w:rsid w:val="00437817"/>
    <w:rsid w:val="00440989"/>
    <w:rsid w:val="004551B0"/>
    <w:rsid w:val="0045541C"/>
    <w:rsid w:val="00471B73"/>
    <w:rsid w:val="00473094"/>
    <w:rsid w:val="00475E91"/>
    <w:rsid w:val="004825C2"/>
    <w:rsid w:val="004B38A5"/>
    <w:rsid w:val="004B395E"/>
    <w:rsid w:val="004C3D25"/>
    <w:rsid w:val="004D2876"/>
    <w:rsid w:val="004D60B6"/>
    <w:rsid w:val="004E1075"/>
    <w:rsid w:val="004E48D8"/>
    <w:rsid w:val="004E5B0E"/>
    <w:rsid w:val="004F2B59"/>
    <w:rsid w:val="00506997"/>
    <w:rsid w:val="0052092C"/>
    <w:rsid w:val="005223B3"/>
    <w:rsid w:val="00532E41"/>
    <w:rsid w:val="005402A5"/>
    <w:rsid w:val="00541B5B"/>
    <w:rsid w:val="0054499C"/>
    <w:rsid w:val="00551D5C"/>
    <w:rsid w:val="00564D41"/>
    <w:rsid w:val="00571E56"/>
    <w:rsid w:val="005B1151"/>
    <w:rsid w:val="005C18EB"/>
    <w:rsid w:val="005C7530"/>
    <w:rsid w:val="005E09D4"/>
    <w:rsid w:val="005F08C4"/>
    <w:rsid w:val="005F1009"/>
    <w:rsid w:val="005F1407"/>
    <w:rsid w:val="005F1A9E"/>
    <w:rsid w:val="006017E9"/>
    <w:rsid w:val="00601BA5"/>
    <w:rsid w:val="0063201A"/>
    <w:rsid w:val="00632E85"/>
    <w:rsid w:val="00634452"/>
    <w:rsid w:val="00637931"/>
    <w:rsid w:val="00646537"/>
    <w:rsid w:val="00656F98"/>
    <w:rsid w:val="00657DD0"/>
    <w:rsid w:val="00660C87"/>
    <w:rsid w:val="00664E86"/>
    <w:rsid w:val="00680DF3"/>
    <w:rsid w:val="00681587"/>
    <w:rsid w:val="00682A40"/>
    <w:rsid w:val="00683128"/>
    <w:rsid w:val="00687B8E"/>
    <w:rsid w:val="00690F36"/>
    <w:rsid w:val="00693323"/>
    <w:rsid w:val="006947C5"/>
    <w:rsid w:val="00694AE5"/>
    <w:rsid w:val="006A183D"/>
    <w:rsid w:val="006A3D2D"/>
    <w:rsid w:val="006A6B3A"/>
    <w:rsid w:val="006B60DF"/>
    <w:rsid w:val="006C0DD8"/>
    <w:rsid w:val="006C71EE"/>
    <w:rsid w:val="006C75BE"/>
    <w:rsid w:val="006C7E72"/>
    <w:rsid w:val="006D1C04"/>
    <w:rsid w:val="006D4807"/>
    <w:rsid w:val="006E3D41"/>
    <w:rsid w:val="006F0121"/>
    <w:rsid w:val="006F44A7"/>
    <w:rsid w:val="006F5151"/>
    <w:rsid w:val="006F65D8"/>
    <w:rsid w:val="006F7FED"/>
    <w:rsid w:val="0070083A"/>
    <w:rsid w:val="00712EA5"/>
    <w:rsid w:val="00714A8C"/>
    <w:rsid w:val="007276E8"/>
    <w:rsid w:val="00744ED8"/>
    <w:rsid w:val="00747F8D"/>
    <w:rsid w:val="0075211A"/>
    <w:rsid w:val="00761171"/>
    <w:rsid w:val="00763663"/>
    <w:rsid w:val="00770EEA"/>
    <w:rsid w:val="00773258"/>
    <w:rsid w:val="00774550"/>
    <w:rsid w:val="00780C73"/>
    <w:rsid w:val="007867E9"/>
    <w:rsid w:val="007915B0"/>
    <w:rsid w:val="007A3B91"/>
    <w:rsid w:val="007B171D"/>
    <w:rsid w:val="007B197D"/>
    <w:rsid w:val="007B2903"/>
    <w:rsid w:val="007B3431"/>
    <w:rsid w:val="007B5045"/>
    <w:rsid w:val="007C0900"/>
    <w:rsid w:val="007D119F"/>
    <w:rsid w:val="007E0523"/>
    <w:rsid w:val="007F7CA6"/>
    <w:rsid w:val="00804224"/>
    <w:rsid w:val="008056AC"/>
    <w:rsid w:val="00807B64"/>
    <w:rsid w:val="00810F84"/>
    <w:rsid w:val="008264A1"/>
    <w:rsid w:val="00840895"/>
    <w:rsid w:val="008424BA"/>
    <w:rsid w:val="00860DD7"/>
    <w:rsid w:val="008612D8"/>
    <w:rsid w:val="008643A9"/>
    <w:rsid w:val="00865BF9"/>
    <w:rsid w:val="008676F9"/>
    <w:rsid w:val="00871C41"/>
    <w:rsid w:val="00895B36"/>
    <w:rsid w:val="008B05E0"/>
    <w:rsid w:val="008B26C9"/>
    <w:rsid w:val="008B47BC"/>
    <w:rsid w:val="008B6AA8"/>
    <w:rsid w:val="008C144E"/>
    <w:rsid w:val="008D12E7"/>
    <w:rsid w:val="008D2ACE"/>
    <w:rsid w:val="008E28C6"/>
    <w:rsid w:val="008E2B14"/>
    <w:rsid w:val="008F198F"/>
    <w:rsid w:val="008F5E7A"/>
    <w:rsid w:val="00901DF2"/>
    <w:rsid w:val="009132A9"/>
    <w:rsid w:val="0091557E"/>
    <w:rsid w:val="00916A52"/>
    <w:rsid w:val="009260E7"/>
    <w:rsid w:val="0095287E"/>
    <w:rsid w:val="00954688"/>
    <w:rsid w:val="00955DA4"/>
    <w:rsid w:val="00961CB3"/>
    <w:rsid w:val="00962FCB"/>
    <w:rsid w:val="009748BF"/>
    <w:rsid w:val="00974A19"/>
    <w:rsid w:val="00985792"/>
    <w:rsid w:val="00987C6F"/>
    <w:rsid w:val="009951B6"/>
    <w:rsid w:val="00997BE5"/>
    <w:rsid w:val="009B0266"/>
    <w:rsid w:val="009C42D1"/>
    <w:rsid w:val="009D42CC"/>
    <w:rsid w:val="009E1C9E"/>
    <w:rsid w:val="009E238E"/>
    <w:rsid w:val="009E48BB"/>
    <w:rsid w:val="00A008B6"/>
    <w:rsid w:val="00A03A77"/>
    <w:rsid w:val="00A03F52"/>
    <w:rsid w:val="00A067C4"/>
    <w:rsid w:val="00A31BD5"/>
    <w:rsid w:val="00A33901"/>
    <w:rsid w:val="00A378F5"/>
    <w:rsid w:val="00A37B18"/>
    <w:rsid w:val="00A478BA"/>
    <w:rsid w:val="00A53BCF"/>
    <w:rsid w:val="00A55745"/>
    <w:rsid w:val="00A621B3"/>
    <w:rsid w:val="00A65B79"/>
    <w:rsid w:val="00A71A12"/>
    <w:rsid w:val="00A850A4"/>
    <w:rsid w:val="00A8663D"/>
    <w:rsid w:val="00A90FE8"/>
    <w:rsid w:val="00A91F36"/>
    <w:rsid w:val="00AA10C8"/>
    <w:rsid w:val="00AA30CA"/>
    <w:rsid w:val="00AA5E01"/>
    <w:rsid w:val="00AA6566"/>
    <w:rsid w:val="00AB1994"/>
    <w:rsid w:val="00AB1B16"/>
    <w:rsid w:val="00AB1B3F"/>
    <w:rsid w:val="00AB6231"/>
    <w:rsid w:val="00AC36B4"/>
    <w:rsid w:val="00AC3B02"/>
    <w:rsid w:val="00AC40FB"/>
    <w:rsid w:val="00AD124D"/>
    <w:rsid w:val="00AD2E19"/>
    <w:rsid w:val="00AD724F"/>
    <w:rsid w:val="00AE213F"/>
    <w:rsid w:val="00AE7686"/>
    <w:rsid w:val="00AE7BD8"/>
    <w:rsid w:val="00AF67F7"/>
    <w:rsid w:val="00B0156A"/>
    <w:rsid w:val="00B205E8"/>
    <w:rsid w:val="00B21844"/>
    <w:rsid w:val="00B254D7"/>
    <w:rsid w:val="00B30F00"/>
    <w:rsid w:val="00B3442A"/>
    <w:rsid w:val="00B36C0D"/>
    <w:rsid w:val="00B4269F"/>
    <w:rsid w:val="00B51A47"/>
    <w:rsid w:val="00B54E05"/>
    <w:rsid w:val="00B57C4E"/>
    <w:rsid w:val="00B70D1F"/>
    <w:rsid w:val="00B73018"/>
    <w:rsid w:val="00B73162"/>
    <w:rsid w:val="00B82FE0"/>
    <w:rsid w:val="00B833BD"/>
    <w:rsid w:val="00B85197"/>
    <w:rsid w:val="00B96AFF"/>
    <w:rsid w:val="00B97021"/>
    <w:rsid w:val="00BA3A29"/>
    <w:rsid w:val="00BB33FC"/>
    <w:rsid w:val="00BC4D3C"/>
    <w:rsid w:val="00BD13CE"/>
    <w:rsid w:val="00BD3E87"/>
    <w:rsid w:val="00BD47BB"/>
    <w:rsid w:val="00BE36D5"/>
    <w:rsid w:val="00BF5072"/>
    <w:rsid w:val="00BF5661"/>
    <w:rsid w:val="00BF5C37"/>
    <w:rsid w:val="00C006DD"/>
    <w:rsid w:val="00C10C42"/>
    <w:rsid w:val="00C14C04"/>
    <w:rsid w:val="00C26648"/>
    <w:rsid w:val="00C32FE9"/>
    <w:rsid w:val="00C365E4"/>
    <w:rsid w:val="00C4788E"/>
    <w:rsid w:val="00C502EC"/>
    <w:rsid w:val="00C52ADA"/>
    <w:rsid w:val="00C62E6E"/>
    <w:rsid w:val="00C63197"/>
    <w:rsid w:val="00C64BC2"/>
    <w:rsid w:val="00C808B8"/>
    <w:rsid w:val="00C83A6A"/>
    <w:rsid w:val="00C84582"/>
    <w:rsid w:val="00C954F2"/>
    <w:rsid w:val="00CA1D6F"/>
    <w:rsid w:val="00CA6003"/>
    <w:rsid w:val="00CC047C"/>
    <w:rsid w:val="00CC6591"/>
    <w:rsid w:val="00CD1F18"/>
    <w:rsid w:val="00CE203B"/>
    <w:rsid w:val="00CE4F5A"/>
    <w:rsid w:val="00D01739"/>
    <w:rsid w:val="00D07D16"/>
    <w:rsid w:val="00D160C3"/>
    <w:rsid w:val="00D23FAE"/>
    <w:rsid w:val="00D40112"/>
    <w:rsid w:val="00D42D00"/>
    <w:rsid w:val="00D45053"/>
    <w:rsid w:val="00D566CE"/>
    <w:rsid w:val="00D578E2"/>
    <w:rsid w:val="00D601F6"/>
    <w:rsid w:val="00D60DA8"/>
    <w:rsid w:val="00D7771B"/>
    <w:rsid w:val="00D8027E"/>
    <w:rsid w:val="00D82D4F"/>
    <w:rsid w:val="00D84A13"/>
    <w:rsid w:val="00D855A4"/>
    <w:rsid w:val="00D905DE"/>
    <w:rsid w:val="00D9234A"/>
    <w:rsid w:val="00D9472C"/>
    <w:rsid w:val="00D95CA5"/>
    <w:rsid w:val="00DA0494"/>
    <w:rsid w:val="00DA395B"/>
    <w:rsid w:val="00DA4E63"/>
    <w:rsid w:val="00DA5476"/>
    <w:rsid w:val="00DA620D"/>
    <w:rsid w:val="00DA7200"/>
    <w:rsid w:val="00DB352A"/>
    <w:rsid w:val="00DD45E2"/>
    <w:rsid w:val="00DE6285"/>
    <w:rsid w:val="00DE7344"/>
    <w:rsid w:val="00DF7247"/>
    <w:rsid w:val="00E02BDB"/>
    <w:rsid w:val="00E24A2A"/>
    <w:rsid w:val="00E30CD7"/>
    <w:rsid w:val="00E30DE6"/>
    <w:rsid w:val="00E32F57"/>
    <w:rsid w:val="00E43137"/>
    <w:rsid w:val="00E53590"/>
    <w:rsid w:val="00E53ECC"/>
    <w:rsid w:val="00E53F6F"/>
    <w:rsid w:val="00E562D5"/>
    <w:rsid w:val="00E57287"/>
    <w:rsid w:val="00E74151"/>
    <w:rsid w:val="00E7483B"/>
    <w:rsid w:val="00E74A4E"/>
    <w:rsid w:val="00E81F0F"/>
    <w:rsid w:val="00E820E4"/>
    <w:rsid w:val="00E84986"/>
    <w:rsid w:val="00E867CB"/>
    <w:rsid w:val="00E93F82"/>
    <w:rsid w:val="00EA1298"/>
    <w:rsid w:val="00EA38B8"/>
    <w:rsid w:val="00EB4383"/>
    <w:rsid w:val="00EB5386"/>
    <w:rsid w:val="00EB5EE2"/>
    <w:rsid w:val="00EB6F57"/>
    <w:rsid w:val="00EC15F8"/>
    <w:rsid w:val="00EC1746"/>
    <w:rsid w:val="00EC29F5"/>
    <w:rsid w:val="00EC4289"/>
    <w:rsid w:val="00ED1FEE"/>
    <w:rsid w:val="00ED7832"/>
    <w:rsid w:val="00EE750E"/>
    <w:rsid w:val="00EF0AC5"/>
    <w:rsid w:val="00EF5719"/>
    <w:rsid w:val="00F05731"/>
    <w:rsid w:val="00F10564"/>
    <w:rsid w:val="00F14F63"/>
    <w:rsid w:val="00F17A8D"/>
    <w:rsid w:val="00F23596"/>
    <w:rsid w:val="00F31817"/>
    <w:rsid w:val="00F35657"/>
    <w:rsid w:val="00F36069"/>
    <w:rsid w:val="00F37247"/>
    <w:rsid w:val="00F45AC7"/>
    <w:rsid w:val="00F46887"/>
    <w:rsid w:val="00F469DE"/>
    <w:rsid w:val="00F51A18"/>
    <w:rsid w:val="00F53A78"/>
    <w:rsid w:val="00F556F3"/>
    <w:rsid w:val="00F56C91"/>
    <w:rsid w:val="00F57BCD"/>
    <w:rsid w:val="00F62550"/>
    <w:rsid w:val="00F7077F"/>
    <w:rsid w:val="00F71DEF"/>
    <w:rsid w:val="00F73AED"/>
    <w:rsid w:val="00F75666"/>
    <w:rsid w:val="00F76257"/>
    <w:rsid w:val="00F832C9"/>
    <w:rsid w:val="00F85C18"/>
    <w:rsid w:val="00F91985"/>
    <w:rsid w:val="00FB3F1A"/>
    <w:rsid w:val="00FB6BAD"/>
    <w:rsid w:val="00FE2A2D"/>
    <w:rsid w:val="00FE532D"/>
    <w:rsid w:val="00FF2889"/>
    <w:rsid w:val="00FF3D37"/>
    <w:rsid w:val="00FF4D9D"/>
    <w:rsid w:val="00FF71B6"/>
    <w:rsid w:val="00FF747C"/>
  </w:rsids>
  <m:mathPr>
    <m:mathFont m:val="Cambria Math"/>
    <m:brkBin m:val="before"/>
    <m:brkBinSub m:val="--"/>
    <m:smallFrac m:val="0"/>
    <m:dispDef/>
    <m:lMargin m:val="0"/>
    <m:rMargin m:val="0"/>
    <m:defJc m:val="centerGroup"/>
    <m:wrapIndent m:val="1440"/>
    <m:intLim m:val="subSup"/>
    <m:naryLim m:val="undOvr"/>
  </m:mathPr>
  <w:themeFontLang w:val="sk-SK"/>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metricconverter"/>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sk-SK" w:eastAsia="sk-SK" w:bidi="ar-SA"/>
      </w:rPr>
    </w:rPrDefault>
    <w:pPrDefault/>
  </w:docDefaults>
  <w:latentStyles w:defLockedState="0" w:defUIPriority="0" w:defSemiHidden="0" w:defUnhideWhenUsed="0" w:defQFormat="0" w:count="267">
    <w:lsdException w:name="Normal" w:qFormat="1"/>
    <w:lsdException w:name="heading 1" w:uiPriority="99"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99"/>
    <w:lsdException w:name="annotation text" w:uiPriority="99"/>
    <w:lsdException w:name="header" w:uiPriority="99"/>
    <w:lsdException w:name="footer" w:uiPriority="99"/>
    <w:lsdException w:name="caption" w:semiHidden="1" w:unhideWhenUsed="1" w:qFormat="1"/>
    <w:lsdException w:name="footnote reference" w:uiPriority="99"/>
    <w:lsdException w:name="annotation reference" w:uiPriority="99"/>
    <w:lsdException w:name="page number" w:uiPriority="99"/>
    <w:lsdException w:name="List Bullet" w:uiPriority="99"/>
    <w:lsdException w:name="Title" w:qFormat="1"/>
    <w:lsdException w:name="Body Text Indent" w:uiPriority="99"/>
    <w:lsdException w:name="Subtitle" w:uiPriority="11" w:qFormat="1"/>
    <w:lsdException w:name="Body Text 2" w:uiPriority="99"/>
    <w:lsdException w:name="Body Text Indent 3" w:uiPriority="99"/>
    <w:lsdException w:name="Hyperlink" w:uiPriority="99"/>
    <w:lsdException w:name="FollowedHyperlink" w:uiPriority="99"/>
    <w:lsdException w:name="Strong" w:uiPriority="22" w:qFormat="1"/>
    <w:lsdException w:name="Emphasis" w:uiPriority="20" w:qFormat="1"/>
    <w:lsdException w:name="HTML Acronym" w:uiPriority="99"/>
    <w:lsdException w:name="HTML Preformatted" w:uiPriority="99"/>
    <w:lsdException w:name="annotation subject" w:uiPriority="99"/>
    <w:lsdException w:name="No List" w:uiPriority="99"/>
    <w:lsdException w:name="Balloon Text" w:uiPriority="99"/>
    <w:lsdException w:name="Table Grid" w:uiPriority="5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lny">
    <w:name w:val="Normal"/>
    <w:qFormat/>
    <w:rsid w:val="00AA30CA"/>
    <w:pPr>
      <w:jc w:val="both"/>
    </w:pPr>
    <w:rPr>
      <w:rFonts w:asciiTheme="minorHAnsi" w:hAnsiTheme="minorHAnsi"/>
      <w:sz w:val="22"/>
      <w:szCs w:val="24"/>
    </w:rPr>
  </w:style>
  <w:style w:type="paragraph" w:styleId="Nadpis1">
    <w:name w:val="heading 1"/>
    <w:basedOn w:val="Normlny"/>
    <w:next w:val="Normlny"/>
    <w:link w:val="Nadpis1Char"/>
    <w:uiPriority w:val="99"/>
    <w:qFormat/>
    <w:rsid w:val="00E43137"/>
    <w:pPr>
      <w:keepNext/>
      <w:spacing w:before="240" w:after="60"/>
      <w:outlineLvl w:val="0"/>
    </w:pPr>
    <w:rPr>
      <w:rFonts w:ascii="Cambria" w:hAnsi="Cambria"/>
      <w:b/>
      <w:bCs/>
      <w:kern w:val="32"/>
      <w:sz w:val="32"/>
      <w:szCs w:val="32"/>
    </w:rPr>
  </w:style>
  <w:style w:type="paragraph" w:styleId="Nadpis2">
    <w:name w:val="heading 2"/>
    <w:basedOn w:val="Normlny"/>
    <w:next w:val="Normlny"/>
    <w:link w:val="Nadpis2Char"/>
    <w:qFormat/>
    <w:rsid w:val="0052092C"/>
    <w:pPr>
      <w:keepNext/>
      <w:spacing w:before="240" w:after="60"/>
      <w:outlineLvl w:val="1"/>
    </w:pPr>
    <w:rPr>
      <w:rFonts w:ascii="Arial" w:hAnsi="Arial" w:cs="Arial"/>
      <w:b/>
      <w:bCs/>
      <w:i/>
      <w:iCs/>
      <w:sz w:val="28"/>
      <w:szCs w:val="28"/>
    </w:rPr>
  </w:style>
  <w:style w:type="paragraph" w:styleId="Nadpis3">
    <w:name w:val="heading 3"/>
    <w:basedOn w:val="Normlny"/>
    <w:next w:val="Normlny"/>
    <w:link w:val="Nadpis3Char"/>
    <w:qFormat/>
    <w:rsid w:val="00E43137"/>
    <w:pPr>
      <w:keepNext/>
      <w:spacing w:before="60" w:after="120"/>
      <w:outlineLvl w:val="2"/>
    </w:pPr>
    <w:rPr>
      <w:i/>
      <w:szCs w:val="20"/>
      <w:u w:val="single"/>
      <w:lang w:val="en-GB" w:eastAsia="en-US"/>
    </w:rPr>
  </w:style>
  <w:style w:type="paragraph" w:styleId="Nadpis4">
    <w:name w:val="heading 4"/>
    <w:basedOn w:val="Normlny"/>
    <w:next w:val="Normlny"/>
    <w:link w:val="Nadpis4Char"/>
    <w:qFormat/>
    <w:rsid w:val="00E43137"/>
    <w:pPr>
      <w:keepNext/>
      <w:numPr>
        <w:ilvl w:val="3"/>
        <w:numId w:val="3"/>
      </w:numPr>
      <w:spacing w:before="60" w:after="120"/>
      <w:outlineLvl w:val="3"/>
    </w:pPr>
    <w:rPr>
      <w:i/>
      <w:szCs w:val="20"/>
      <w:lang w:val="en-GB" w:eastAsia="en-US"/>
    </w:rPr>
  </w:style>
  <w:style w:type="paragraph" w:styleId="Nadpis5">
    <w:name w:val="heading 5"/>
    <w:basedOn w:val="Normlny"/>
    <w:next w:val="Normlny"/>
    <w:link w:val="Nadpis5Char"/>
    <w:qFormat/>
    <w:rsid w:val="00E43137"/>
    <w:pPr>
      <w:numPr>
        <w:ilvl w:val="4"/>
        <w:numId w:val="3"/>
      </w:numPr>
      <w:spacing w:before="40" w:after="120"/>
      <w:outlineLvl w:val="4"/>
    </w:pPr>
    <w:rPr>
      <w:szCs w:val="20"/>
      <w:lang w:val="en-GB" w:eastAsia="en-US"/>
    </w:rPr>
  </w:style>
  <w:style w:type="paragraph" w:styleId="Nadpis6">
    <w:name w:val="heading 6"/>
    <w:basedOn w:val="Normlny"/>
    <w:next w:val="Normlny"/>
    <w:link w:val="Nadpis6Char"/>
    <w:qFormat/>
    <w:rsid w:val="00E43137"/>
    <w:pPr>
      <w:numPr>
        <w:ilvl w:val="5"/>
        <w:numId w:val="3"/>
      </w:numPr>
      <w:spacing w:before="40" w:after="120"/>
      <w:outlineLvl w:val="5"/>
    </w:pPr>
    <w:rPr>
      <w:szCs w:val="20"/>
      <w:lang w:val="en-GB" w:eastAsia="en-US"/>
    </w:rPr>
  </w:style>
  <w:style w:type="paragraph" w:styleId="Nadpis7">
    <w:name w:val="heading 7"/>
    <w:basedOn w:val="Normlny"/>
    <w:next w:val="Normlny"/>
    <w:link w:val="Nadpis7Char"/>
    <w:qFormat/>
    <w:rsid w:val="00E43137"/>
    <w:pPr>
      <w:numPr>
        <w:ilvl w:val="6"/>
        <w:numId w:val="3"/>
      </w:numPr>
      <w:spacing w:before="40" w:after="120"/>
      <w:outlineLvl w:val="6"/>
    </w:pPr>
    <w:rPr>
      <w:szCs w:val="20"/>
      <w:lang w:val="en-GB" w:eastAsia="en-US"/>
    </w:rPr>
  </w:style>
  <w:style w:type="paragraph" w:styleId="Nadpis8">
    <w:name w:val="heading 8"/>
    <w:basedOn w:val="Normlny"/>
    <w:next w:val="Normlny"/>
    <w:link w:val="Nadpis8Char"/>
    <w:qFormat/>
    <w:rsid w:val="00E43137"/>
    <w:pPr>
      <w:numPr>
        <w:ilvl w:val="7"/>
        <w:numId w:val="3"/>
      </w:numPr>
      <w:spacing w:before="40" w:after="120"/>
      <w:outlineLvl w:val="7"/>
    </w:pPr>
    <w:rPr>
      <w:szCs w:val="20"/>
      <w:lang w:val="en-GB" w:eastAsia="en-US"/>
    </w:rPr>
  </w:style>
  <w:style w:type="character" w:default="1" w:styleId="Predvolenpsmoodseku">
    <w:name w:val="Default Paragraph Font"/>
    <w:uiPriority w:val="1"/>
    <w:semiHidden/>
    <w:unhideWhenUsed/>
  </w:style>
  <w:style w:type="table" w:default="1" w:styleId="Normlnatabuka">
    <w:name w:val="Normal Table"/>
    <w:uiPriority w:val="99"/>
    <w:semiHidden/>
    <w:unhideWhenUsed/>
    <w:tblPr>
      <w:tblInd w:w="0" w:type="dxa"/>
      <w:tblCellMar>
        <w:top w:w="0" w:type="dxa"/>
        <w:left w:w="108" w:type="dxa"/>
        <w:bottom w:w="0" w:type="dxa"/>
        <w:right w:w="108" w:type="dxa"/>
      </w:tblCellMar>
    </w:tblPr>
  </w:style>
  <w:style w:type="numbering" w:default="1" w:styleId="Bezzoznamu">
    <w:name w:val="No List"/>
    <w:uiPriority w:val="99"/>
    <w:semiHidden/>
    <w:unhideWhenUsed/>
  </w:style>
  <w:style w:type="paragraph" w:customStyle="1" w:styleId="CharChar3">
    <w:name w:val="Char Char3"/>
    <w:basedOn w:val="Normlny"/>
    <w:rsid w:val="0052092C"/>
    <w:pPr>
      <w:spacing w:after="160" w:line="240" w:lineRule="exact"/>
    </w:pPr>
    <w:rPr>
      <w:rFonts w:ascii="Tahoma" w:hAnsi="Tahoma"/>
      <w:sz w:val="20"/>
      <w:szCs w:val="20"/>
      <w:lang w:val="en-US" w:eastAsia="en-US"/>
    </w:rPr>
  </w:style>
  <w:style w:type="paragraph" w:customStyle="1" w:styleId="xl25">
    <w:name w:val="xl25"/>
    <w:basedOn w:val="Normlny"/>
    <w:rsid w:val="0052092C"/>
    <w:pPr>
      <w:spacing w:before="100" w:beforeAutospacing="1" w:after="100" w:afterAutospacing="1"/>
    </w:pPr>
    <w:rPr>
      <w:rFonts w:ascii="Arial" w:hAnsi="Arial"/>
      <w:b/>
      <w:bCs/>
      <w:lang w:val="cs-CZ" w:eastAsia="cs-CZ"/>
    </w:rPr>
  </w:style>
  <w:style w:type="paragraph" w:styleId="Hlavika">
    <w:name w:val="header"/>
    <w:basedOn w:val="Normlny"/>
    <w:link w:val="HlavikaChar"/>
    <w:uiPriority w:val="99"/>
    <w:rsid w:val="00634452"/>
    <w:pPr>
      <w:tabs>
        <w:tab w:val="center" w:pos="4536"/>
        <w:tab w:val="right" w:pos="9072"/>
      </w:tabs>
    </w:pPr>
  </w:style>
  <w:style w:type="paragraph" w:styleId="Pta">
    <w:name w:val="footer"/>
    <w:basedOn w:val="Normlny"/>
    <w:link w:val="PtaChar"/>
    <w:uiPriority w:val="99"/>
    <w:rsid w:val="00634452"/>
    <w:pPr>
      <w:tabs>
        <w:tab w:val="center" w:pos="4536"/>
        <w:tab w:val="right" w:pos="9072"/>
      </w:tabs>
    </w:pPr>
  </w:style>
  <w:style w:type="table" w:styleId="Mriekatabuky">
    <w:name w:val="Table Grid"/>
    <w:basedOn w:val="Normlnatabuka"/>
    <w:uiPriority w:val="59"/>
    <w:rsid w:val="00BD3E8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Textpoznmkypodiarou">
    <w:name w:val="footnote text"/>
    <w:aliases w:val="Text poznámky pod čiarou 007,Text pozn. pod čarou Char,Schriftart: 8 pt,Text pozn. pod čarou Char1,Text pozn. pod čarou Char2 Char,Text pozn. pod čarou Char Char1 Char,Text pozn. pod čarou Char1 Char Char,Schriftart: 8 pt Char1"/>
    <w:basedOn w:val="Normlny"/>
    <w:link w:val="TextpoznmkypodiarouChar"/>
    <w:uiPriority w:val="99"/>
    <w:rsid w:val="00E43137"/>
    <w:rPr>
      <w:sz w:val="20"/>
      <w:szCs w:val="20"/>
    </w:rPr>
  </w:style>
  <w:style w:type="character" w:customStyle="1" w:styleId="TextpoznmkypodiarouChar">
    <w:name w:val="Text poznámky pod čiarou Char"/>
    <w:aliases w:val="Text poznámky pod čiarou 007 Char,Text pozn. pod čarou Char Char,Schriftart: 8 pt Char,Text pozn. pod čarou Char1 Char,Text pozn. pod čarou Char2 Char Char,Text pozn. pod čarou Char Char1 Char Char"/>
    <w:basedOn w:val="Predvolenpsmoodseku"/>
    <w:link w:val="Textpoznmkypodiarou"/>
    <w:uiPriority w:val="99"/>
    <w:rsid w:val="00E43137"/>
  </w:style>
  <w:style w:type="character" w:styleId="Odkaznapoznmkupodiarou">
    <w:name w:val="footnote reference"/>
    <w:aliases w:val="PGI Fußnote Ziffer,Footnote symbol,Footnote reference number,Footnote,Times 10 Point,Exposant 3 Point,Ref,de nota al pie,note TESI,SUPERS,EN Footnote text,EN Footnote Reference,Voetnootverwijzing,Footnote number,fr,o,FR,FR1"/>
    <w:uiPriority w:val="99"/>
    <w:rsid w:val="00E43137"/>
    <w:rPr>
      <w:vertAlign w:val="superscript"/>
    </w:rPr>
  </w:style>
  <w:style w:type="paragraph" w:customStyle="1" w:styleId="tlText2VlastnfarbaRGB31">
    <w:name w:val="Štýl Text 2 + Vlastná farba (RGB(31"/>
    <w:aliases w:val="73,125)) Rámček: (Jednoduché..."/>
    <w:basedOn w:val="Normlny"/>
    <w:rsid w:val="00E43137"/>
    <w:pPr>
      <w:spacing w:line="288" w:lineRule="auto"/>
    </w:pPr>
    <w:rPr>
      <w:rFonts w:ascii="Calibri" w:eastAsia="Calibri" w:hAnsi="Calibri"/>
      <w:color w:val="1F497D"/>
      <w:szCs w:val="20"/>
      <w:lang w:eastAsia="en-US"/>
    </w:rPr>
  </w:style>
  <w:style w:type="character" w:customStyle="1" w:styleId="PtaChar">
    <w:name w:val="Päta Char"/>
    <w:link w:val="Pta"/>
    <w:uiPriority w:val="99"/>
    <w:rsid w:val="00E43137"/>
    <w:rPr>
      <w:sz w:val="24"/>
      <w:szCs w:val="24"/>
    </w:rPr>
  </w:style>
  <w:style w:type="character" w:customStyle="1" w:styleId="Nadpis1Char">
    <w:name w:val="Nadpis 1 Char"/>
    <w:link w:val="Nadpis1"/>
    <w:uiPriority w:val="99"/>
    <w:rsid w:val="00E43137"/>
    <w:rPr>
      <w:rFonts w:ascii="Cambria" w:eastAsia="Times New Roman" w:hAnsi="Cambria" w:cs="Times New Roman"/>
      <w:b/>
      <w:bCs/>
      <w:kern w:val="32"/>
      <w:sz w:val="32"/>
      <w:szCs w:val="32"/>
    </w:rPr>
  </w:style>
  <w:style w:type="character" w:customStyle="1" w:styleId="Nadpis3Char">
    <w:name w:val="Nadpis 3 Char"/>
    <w:link w:val="Nadpis3"/>
    <w:rsid w:val="00E43137"/>
    <w:rPr>
      <w:rFonts w:asciiTheme="minorHAnsi" w:hAnsiTheme="minorHAnsi"/>
      <w:i/>
      <w:sz w:val="22"/>
      <w:u w:val="single"/>
      <w:lang w:val="en-GB" w:eastAsia="en-US"/>
    </w:rPr>
  </w:style>
  <w:style w:type="character" w:customStyle="1" w:styleId="Nadpis4Char">
    <w:name w:val="Nadpis 4 Char"/>
    <w:link w:val="Nadpis4"/>
    <w:rsid w:val="00E43137"/>
    <w:rPr>
      <w:rFonts w:asciiTheme="minorHAnsi" w:hAnsiTheme="minorHAnsi"/>
      <w:i/>
      <w:sz w:val="22"/>
      <w:lang w:val="en-GB" w:eastAsia="en-US"/>
    </w:rPr>
  </w:style>
  <w:style w:type="character" w:customStyle="1" w:styleId="Nadpis5Char">
    <w:name w:val="Nadpis 5 Char"/>
    <w:link w:val="Nadpis5"/>
    <w:rsid w:val="00E43137"/>
    <w:rPr>
      <w:rFonts w:asciiTheme="minorHAnsi" w:hAnsiTheme="minorHAnsi"/>
      <w:sz w:val="22"/>
      <w:lang w:val="en-GB" w:eastAsia="en-US"/>
    </w:rPr>
  </w:style>
  <w:style w:type="character" w:customStyle="1" w:styleId="Nadpis6Char">
    <w:name w:val="Nadpis 6 Char"/>
    <w:link w:val="Nadpis6"/>
    <w:rsid w:val="00E43137"/>
    <w:rPr>
      <w:rFonts w:asciiTheme="minorHAnsi" w:hAnsiTheme="minorHAnsi"/>
      <w:sz w:val="22"/>
      <w:lang w:val="en-GB" w:eastAsia="en-US"/>
    </w:rPr>
  </w:style>
  <w:style w:type="character" w:customStyle="1" w:styleId="Nadpis7Char">
    <w:name w:val="Nadpis 7 Char"/>
    <w:link w:val="Nadpis7"/>
    <w:rsid w:val="00E43137"/>
    <w:rPr>
      <w:rFonts w:asciiTheme="minorHAnsi" w:hAnsiTheme="minorHAnsi"/>
      <w:sz w:val="22"/>
      <w:lang w:val="en-GB" w:eastAsia="en-US"/>
    </w:rPr>
  </w:style>
  <w:style w:type="character" w:customStyle="1" w:styleId="Nadpis8Char">
    <w:name w:val="Nadpis 8 Char"/>
    <w:link w:val="Nadpis8"/>
    <w:rsid w:val="00E43137"/>
    <w:rPr>
      <w:rFonts w:asciiTheme="minorHAnsi" w:hAnsiTheme="minorHAnsi"/>
      <w:sz w:val="22"/>
      <w:lang w:val="en-GB" w:eastAsia="en-US"/>
    </w:rPr>
  </w:style>
  <w:style w:type="numbering" w:customStyle="1" w:styleId="Bezzoznamu1">
    <w:name w:val="Bez zoznamu1"/>
    <w:next w:val="Bezzoznamu"/>
    <w:uiPriority w:val="99"/>
    <w:semiHidden/>
    <w:unhideWhenUsed/>
    <w:rsid w:val="00E43137"/>
  </w:style>
  <w:style w:type="numbering" w:customStyle="1" w:styleId="Aktulnyzoznam2">
    <w:name w:val="Aktuálny zoznam2"/>
    <w:rsid w:val="00E43137"/>
    <w:pPr>
      <w:numPr>
        <w:numId w:val="4"/>
      </w:numPr>
    </w:pPr>
  </w:style>
  <w:style w:type="character" w:styleId="Odkaznakomentr">
    <w:name w:val="annotation reference"/>
    <w:uiPriority w:val="99"/>
    <w:unhideWhenUsed/>
    <w:rsid w:val="00E43137"/>
    <w:rPr>
      <w:sz w:val="16"/>
      <w:szCs w:val="16"/>
    </w:rPr>
  </w:style>
  <w:style w:type="paragraph" w:styleId="Textkomentra">
    <w:name w:val="annotation text"/>
    <w:basedOn w:val="Normlny"/>
    <w:link w:val="TextkomentraChar"/>
    <w:uiPriority w:val="99"/>
    <w:unhideWhenUsed/>
    <w:rsid w:val="00E43137"/>
    <w:rPr>
      <w:sz w:val="20"/>
      <w:szCs w:val="20"/>
    </w:rPr>
  </w:style>
  <w:style w:type="character" w:customStyle="1" w:styleId="TextkomentraChar">
    <w:name w:val="Text komentára Char"/>
    <w:basedOn w:val="Predvolenpsmoodseku"/>
    <w:link w:val="Textkomentra"/>
    <w:uiPriority w:val="99"/>
    <w:rsid w:val="00E43137"/>
  </w:style>
  <w:style w:type="paragraph" w:styleId="Predmetkomentra">
    <w:name w:val="annotation subject"/>
    <w:basedOn w:val="Textkomentra"/>
    <w:next w:val="Textkomentra"/>
    <w:link w:val="PredmetkomentraChar"/>
    <w:uiPriority w:val="99"/>
    <w:unhideWhenUsed/>
    <w:rsid w:val="00E43137"/>
    <w:rPr>
      <w:b/>
      <w:bCs/>
    </w:rPr>
  </w:style>
  <w:style w:type="character" w:customStyle="1" w:styleId="PredmetkomentraChar">
    <w:name w:val="Predmet komentára Char"/>
    <w:link w:val="Predmetkomentra"/>
    <w:uiPriority w:val="99"/>
    <w:rsid w:val="00E43137"/>
    <w:rPr>
      <w:b/>
      <w:bCs/>
    </w:rPr>
  </w:style>
  <w:style w:type="paragraph" w:styleId="Textbubliny">
    <w:name w:val="Balloon Text"/>
    <w:basedOn w:val="Normlny"/>
    <w:link w:val="TextbublinyChar"/>
    <w:uiPriority w:val="99"/>
    <w:unhideWhenUsed/>
    <w:rsid w:val="00E43137"/>
    <w:rPr>
      <w:rFonts w:ascii="Tahoma" w:hAnsi="Tahoma" w:cs="Tahoma"/>
      <w:sz w:val="16"/>
      <w:szCs w:val="16"/>
    </w:rPr>
  </w:style>
  <w:style w:type="character" w:customStyle="1" w:styleId="TextbublinyChar">
    <w:name w:val="Text bubliny Char"/>
    <w:link w:val="Textbubliny"/>
    <w:uiPriority w:val="99"/>
    <w:rsid w:val="00E43137"/>
    <w:rPr>
      <w:rFonts w:ascii="Tahoma" w:hAnsi="Tahoma" w:cs="Tahoma"/>
      <w:sz w:val="16"/>
      <w:szCs w:val="16"/>
    </w:rPr>
  </w:style>
  <w:style w:type="paragraph" w:styleId="Odsekzoznamu">
    <w:name w:val="List Paragraph"/>
    <w:basedOn w:val="Normlny"/>
    <w:link w:val="OdsekzoznamuChar"/>
    <w:uiPriority w:val="34"/>
    <w:qFormat/>
    <w:rsid w:val="00E43137"/>
    <w:pPr>
      <w:ind w:left="720"/>
      <w:contextualSpacing/>
    </w:pPr>
  </w:style>
  <w:style w:type="table" w:customStyle="1" w:styleId="Mriekatabuky1">
    <w:name w:val="Mriežka tabuľky1"/>
    <w:basedOn w:val="Normlnatabuka"/>
    <w:next w:val="Mriekatabuky"/>
    <w:uiPriority w:val="59"/>
    <w:rsid w:val="00E43137"/>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Intenzvnezvraznenie">
    <w:name w:val="Intense Emphasis"/>
    <w:uiPriority w:val="21"/>
    <w:qFormat/>
    <w:rsid w:val="00E43137"/>
    <w:rPr>
      <w:b/>
      <w:bCs/>
      <w:i/>
      <w:iCs/>
      <w:color w:val="4F81BD"/>
    </w:rPr>
  </w:style>
  <w:style w:type="paragraph" w:styleId="Popis">
    <w:name w:val="caption"/>
    <w:basedOn w:val="Normlny"/>
    <w:next w:val="Normlny"/>
    <w:link w:val="PopisChar"/>
    <w:qFormat/>
    <w:rsid w:val="00E43137"/>
    <w:rPr>
      <w:rFonts w:ascii="Calibri" w:hAnsi="Calibri"/>
      <w:i/>
      <w:sz w:val="20"/>
      <w:szCs w:val="20"/>
      <w:lang w:eastAsia="ar-SA"/>
    </w:rPr>
  </w:style>
  <w:style w:type="character" w:customStyle="1" w:styleId="PopisChar">
    <w:name w:val="Popis Char"/>
    <w:link w:val="Popis"/>
    <w:locked/>
    <w:rsid w:val="00E43137"/>
    <w:rPr>
      <w:rFonts w:ascii="Calibri" w:hAnsi="Calibri"/>
      <w:i/>
      <w:lang w:eastAsia="ar-SA"/>
    </w:rPr>
  </w:style>
  <w:style w:type="paragraph" w:styleId="PredformtovanHTML">
    <w:name w:val="HTML Preformatted"/>
    <w:basedOn w:val="Normlny"/>
    <w:link w:val="PredformtovanHTMLChar"/>
    <w:uiPriority w:val="99"/>
    <w:unhideWhenUsed/>
    <w:rsid w:val="00E4313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rPr>
  </w:style>
  <w:style w:type="character" w:customStyle="1" w:styleId="PredformtovanHTMLChar">
    <w:name w:val="Predformátované HTML Char"/>
    <w:link w:val="PredformtovanHTML"/>
    <w:uiPriority w:val="99"/>
    <w:rsid w:val="00E43137"/>
    <w:rPr>
      <w:rFonts w:ascii="Courier New" w:hAnsi="Courier New" w:cs="Courier New"/>
    </w:rPr>
  </w:style>
  <w:style w:type="paragraph" w:customStyle="1" w:styleId="Graph-Source">
    <w:name w:val="Graph-Source"/>
    <w:basedOn w:val="Normlny"/>
    <w:autoRedefine/>
    <w:rsid w:val="00E43137"/>
    <w:pPr>
      <w:keepNext/>
      <w:keepLines/>
    </w:pPr>
    <w:rPr>
      <w:rFonts w:ascii="Calibri" w:eastAsia="Calibri" w:hAnsi="Calibri"/>
      <w:szCs w:val="22"/>
      <w:lang w:eastAsia="en-US"/>
    </w:rPr>
  </w:style>
  <w:style w:type="character" w:styleId="Siln">
    <w:name w:val="Strong"/>
    <w:uiPriority w:val="22"/>
    <w:qFormat/>
    <w:rsid w:val="00E43137"/>
    <w:rPr>
      <w:b/>
      <w:bCs/>
    </w:rPr>
  </w:style>
  <w:style w:type="paragraph" w:styleId="Zkladntext2">
    <w:name w:val="Body Text 2"/>
    <w:basedOn w:val="Normlny"/>
    <w:link w:val="Zkladntext2Char"/>
    <w:uiPriority w:val="99"/>
    <w:rsid w:val="00E43137"/>
    <w:pPr>
      <w:spacing w:after="60" w:line="360" w:lineRule="auto"/>
    </w:pPr>
    <w:rPr>
      <w:szCs w:val="20"/>
    </w:rPr>
  </w:style>
  <w:style w:type="character" w:customStyle="1" w:styleId="Zkladntext2Char">
    <w:name w:val="Základný text 2 Char"/>
    <w:link w:val="Zkladntext2"/>
    <w:uiPriority w:val="99"/>
    <w:rsid w:val="00E43137"/>
    <w:rPr>
      <w:sz w:val="24"/>
    </w:rPr>
  </w:style>
  <w:style w:type="character" w:styleId="Hypertextovprepojenie">
    <w:name w:val="Hyperlink"/>
    <w:uiPriority w:val="99"/>
    <w:unhideWhenUsed/>
    <w:rsid w:val="00E43137"/>
    <w:rPr>
      <w:color w:val="0000FF"/>
      <w:u w:val="single"/>
    </w:rPr>
  </w:style>
  <w:style w:type="table" w:customStyle="1" w:styleId="GridTable1LightAccent1">
    <w:name w:val="Grid Table 1 Light Accent 1"/>
    <w:basedOn w:val="Normlnatabuka"/>
    <w:uiPriority w:val="46"/>
    <w:rsid w:val="00E43137"/>
    <w:rPr>
      <w:rFonts w:ascii="Calibri" w:eastAsia="Calibri" w:hAnsi="Calibri"/>
      <w:sz w:val="22"/>
      <w:szCs w:val="22"/>
      <w:lang w:eastAsia="en-US"/>
    </w:rPr>
    <w:tblPr>
      <w:tblStyleRowBandSize w:val="1"/>
      <w:tblStyleColBandSize w:val="1"/>
      <w:tblInd w:w="0" w:type="dxa"/>
      <w:tblBorders>
        <w:top w:val="single" w:sz="4" w:space="0" w:color="B8CCE4"/>
        <w:left w:val="single" w:sz="4" w:space="0" w:color="B8CCE4"/>
        <w:bottom w:val="single" w:sz="4" w:space="0" w:color="B8CCE4"/>
        <w:right w:val="single" w:sz="4" w:space="0" w:color="B8CCE4"/>
        <w:insideH w:val="single" w:sz="4" w:space="0" w:color="B8CCE4"/>
        <w:insideV w:val="single" w:sz="4" w:space="0" w:color="B8CCE4"/>
      </w:tblBorders>
      <w:tblCellMar>
        <w:top w:w="0" w:type="dxa"/>
        <w:left w:w="108" w:type="dxa"/>
        <w:bottom w:w="0" w:type="dxa"/>
        <w:right w:w="108" w:type="dxa"/>
      </w:tblCellMar>
    </w:tblPr>
    <w:tblStylePr w:type="firstRow">
      <w:rPr>
        <w:b/>
        <w:bCs/>
      </w:rPr>
      <w:tblPr/>
      <w:tcPr>
        <w:tcBorders>
          <w:bottom w:val="single" w:sz="12" w:space="0" w:color="95B3D7"/>
        </w:tcBorders>
      </w:tcPr>
    </w:tblStylePr>
    <w:tblStylePr w:type="lastRow">
      <w:rPr>
        <w:b/>
        <w:bCs/>
      </w:rPr>
      <w:tblPr/>
      <w:tcPr>
        <w:tcBorders>
          <w:top w:val="double" w:sz="2" w:space="0" w:color="95B3D7"/>
        </w:tcBorders>
      </w:tcPr>
    </w:tblStylePr>
    <w:tblStylePr w:type="firstCol">
      <w:rPr>
        <w:b/>
        <w:bCs/>
      </w:rPr>
    </w:tblStylePr>
    <w:tblStylePr w:type="lastCol">
      <w:rPr>
        <w:b/>
        <w:bCs/>
      </w:rPr>
    </w:tblStylePr>
  </w:style>
  <w:style w:type="character" w:customStyle="1" w:styleId="HlavikaChar">
    <w:name w:val="Hlavička Char"/>
    <w:link w:val="Hlavika"/>
    <w:uiPriority w:val="99"/>
    <w:rsid w:val="00E43137"/>
    <w:rPr>
      <w:sz w:val="24"/>
      <w:szCs w:val="24"/>
    </w:rPr>
  </w:style>
  <w:style w:type="paragraph" w:styleId="Revzia">
    <w:name w:val="Revision"/>
    <w:hidden/>
    <w:uiPriority w:val="99"/>
    <w:semiHidden/>
    <w:rsid w:val="00E43137"/>
    <w:rPr>
      <w:sz w:val="24"/>
      <w:szCs w:val="24"/>
    </w:rPr>
  </w:style>
  <w:style w:type="numbering" w:customStyle="1" w:styleId="Bezzoznamu2">
    <w:name w:val="Bez zoznamu2"/>
    <w:next w:val="Bezzoznamu"/>
    <w:uiPriority w:val="99"/>
    <w:semiHidden/>
    <w:unhideWhenUsed/>
    <w:rsid w:val="00E43137"/>
  </w:style>
  <w:style w:type="character" w:customStyle="1" w:styleId="Nadpis2Char">
    <w:name w:val="Nadpis 2 Char"/>
    <w:link w:val="Nadpis2"/>
    <w:rsid w:val="00E43137"/>
    <w:rPr>
      <w:rFonts w:ascii="Arial" w:hAnsi="Arial" w:cs="Arial"/>
      <w:b/>
      <w:bCs/>
      <w:i/>
      <w:iCs/>
      <w:sz w:val="28"/>
      <w:szCs w:val="28"/>
    </w:rPr>
  </w:style>
  <w:style w:type="paragraph" w:customStyle="1" w:styleId="Heading">
    <w:name w:val="Heading"/>
    <w:basedOn w:val="Nadpis2"/>
    <w:rsid w:val="00E43137"/>
    <w:pPr>
      <w:numPr>
        <w:ilvl w:val="1"/>
        <w:numId w:val="14"/>
      </w:numPr>
      <w:spacing w:before="0" w:after="240"/>
    </w:pPr>
    <w:rPr>
      <w:rFonts w:ascii="Calibri" w:eastAsia="Calibri" w:hAnsi="Calibri" w:cs="Times New Roman"/>
      <w:bCs w:val="0"/>
      <w:i w:val="0"/>
      <w:iCs w:val="0"/>
      <w:sz w:val="22"/>
      <w:szCs w:val="20"/>
      <w:lang w:val="en-GB" w:eastAsia="ja-JP"/>
    </w:rPr>
  </w:style>
  <w:style w:type="paragraph" w:customStyle="1" w:styleId="Heading3">
    <w:name w:val="Heading3"/>
    <w:basedOn w:val="Heading"/>
    <w:rsid w:val="00E43137"/>
    <w:pPr>
      <w:numPr>
        <w:ilvl w:val="2"/>
      </w:numPr>
      <w:tabs>
        <w:tab w:val="num" w:pos="1440"/>
      </w:tabs>
      <w:ind w:left="1224" w:hanging="504"/>
    </w:pPr>
  </w:style>
  <w:style w:type="paragraph" w:customStyle="1" w:styleId="Heading1">
    <w:name w:val="Heading 1."/>
    <w:basedOn w:val="Nadpis2"/>
    <w:rsid w:val="00E43137"/>
    <w:pPr>
      <w:spacing w:before="0" w:after="240"/>
    </w:pPr>
    <w:rPr>
      <w:rFonts w:ascii="Calibri" w:hAnsi="Calibri" w:cs="Times New Roman"/>
      <w:bCs w:val="0"/>
      <w:i w:val="0"/>
      <w:iCs w:val="0"/>
      <w:sz w:val="22"/>
      <w:szCs w:val="20"/>
      <w:lang w:val="en-GB" w:eastAsia="en-US"/>
    </w:rPr>
  </w:style>
  <w:style w:type="paragraph" w:styleId="Normlnywebov">
    <w:name w:val="Normal (Web)"/>
    <w:basedOn w:val="Normlny"/>
    <w:unhideWhenUsed/>
    <w:rsid w:val="00E43137"/>
    <w:pPr>
      <w:spacing w:before="100" w:beforeAutospacing="1" w:after="100" w:afterAutospacing="1"/>
    </w:pPr>
  </w:style>
  <w:style w:type="paragraph" w:customStyle="1" w:styleId="Odsekzoznamu1">
    <w:name w:val="Odsek zoznamu1"/>
    <w:basedOn w:val="Normlny"/>
    <w:link w:val="ListParagraphChar"/>
    <w:uiPriority w:val="99"/>
    <w:qFormat/>
    <w:rsid w:val="00E43137"/>
    <w:pPr>
      <w:spacing w:after="120"/>
      <w:ind w:left="720"/>
      <w:contextualSpacing/>
    </w:pPr>
    <w:rPr>
      <w:szCs w:val="20"/>
      <w:lang w:val="en-GB" w:eastAsia="en-US"/>
    </w:rPr>
  </w:style>
  <w:style w:type="paragraph" w:customStyle="1" w:styleId="Textbody">
    <w:name w:val="Text body"/>
    <w:basedOn w:val="Normlny"/>
    <w:uiPriority w:val="99"/>
    <w:rsid w:val="00E43137"/>
    <w:pPr>
      <w:suppressAutoHyphens/>
      <w:autoSpaceDN w:val="0"/>
      <w:textAlignment w:val="baseline"/>
    </w:pPr>
    <w:rPr>
      <w:rFonts w:eastAsia="SimSun" w:cs="Mangal"/>
      <w:kern w:val="3"/>
      <w:lang w:eastAsia="zh-CN" w:bidi="hi-IN"/>
    </w:rPr>
  </w:style>
  <w:style w:type="character" w:styleId="SkratkaHTML">
    <w:name w:val="HTML Acronym"/>
    <w:uiPriority w:val="99"/>
    <w:unhideWhenUsed/>
    <w:rsid w:val="00E43137"/>
  </w:style>
  <w:style w:type="character" w:customStyle="1" w:styleId="apple-converted-space">
    <w:name w:val="apple-converted-space"/>
    <w:rsid w:val="00E43137"/>
  </w:style>
  <w:style w:type="paragraph" w:customStyle="1" w:styleId="tlTunZa0ptRmekJednoduchAutomatick05pt">
    <w:name w:val="Štýl Tučné Za:  0 pt Rámček: (Jednoduché Automatická  05 pt Š..."/>
    <w:basedOn w:val="Normlny"/>
    <w:uiPriority w:val="99"/>
    <w:rsid w:val="00E43137"/>
    <w:pPr>
      <w:pBdr>
        <w:top w:val="single" w:sz="4" w:space="5" w:color="auto"/>
        <w:left w:val="single" w:sz="4" w:space="3" w:color="auto"/>
        <w:bottom w:val="single" w:sz="4" w:space="5" w:color="auto"/>
        <w:right w:val="single" w:sz="4" w:space="3" w:color="auto"/>
      </w:pBdr>
    </w:pPr>
    <w:rPr>
      <w:rFonts w:ascii="Calibri" w:eastAsia="Calibri" w:hAnsi="Calibri"/>
      <w:b/>
      <w:bCs/>
      <w:szCs w:val="20"/>
      <w:lang w:eastAsia="en-US"/>
    </w:rPr>
  </w:style>
  <w:style w:type="paragraph" w:customStyle="1" w:styleId="Zkladntext1">
    <w:name w:val="Základný text1"/>
    <w:basedOn w:val="Normlny"/>
    <w:next w:val="Zkladntext"/>
    <w:link w:val="ZkladntextChar"/>
    <w:uiPriority w:val="99"/>
    <w:semiHidden/>
    <w:unhideWhenUsed/>
    <w:rsid w:val="00E43137"/>
    <w:pPr>
      <w:spacing w:after="120" w:line="259" w:lineRule="auto"/>
    </w:pPr>
    <w:rPr>
      <w:sz w:val="20"/>
      <w:szCs w:val="20"/>
    </w:rPr>
  </w:style>
  <w:style w:type="character" w:customStyle="1" w:styleId="ZkladntextChar">
    <w:name w:val="Základný text Char"/>
    <w:aliases w:val="Body Text Char Char,Základní text Char Char,bt Char,heading3 Char,Body Text - Level 2 Char,Body Char,b Char"/>
    <w:link w:val="Zkladntext1"/>
    <w:rsid w:val="00E43137"/>
  </w:style>
  <w:style w:type="table" w:customStyle="1" w:styleId="Mriekatabuky2">
    <w:name w:val="Mriežka tabuľky2"/>
    <w:basedOn w:val="Normlnatabuka"/>
    <w:next w:val="Mriekatabuky"/>
    <w:uiPriority w:val="59"/>
    <w:rsid w:val="00E43137"/>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M1">
    <w:name w:val="CM1"/>
    <w:basedOn w:val="Normlny"/>
    <w:next w:val="Normlny"/>
    <w:uiPriority w:val="99"/>
    <w:rsid w:val="00E43137"/>
    <w:pPr>
      <w:autoSpaceDE w:val="0"/>
      <w:autoSpaceDN w:val="0"/>
      <w:adjustRightInd w:val="0"/>
    </w:pPr>
    <w:rPr>
      <w:rFonts w:ascii="EUAlbertina" w:eastAsia="Calibri" w:hAnsi="EUAlbertina"/>
      <w:lang w:eastAsia="en-US"/>
    </w:rPr>
  </w:style>
  <w:style w:type="paragraph" w:customStyle="1" w:styleId="CM3">
    <w:name w:val="CM3"/>
    <w:basedOn w:val="Normlny"/>
    <w:next w:val="Normlny"/>
    <w:uiPriority w:val="99"/>
    <w:rsid w:val="00E43137"/>
    <w:pPr>
      <w:autoSpaceDE w:val="0"/>
      <w:autoSpaceDN w:val="0"/>
      <w:adjustRightInd w:val="0"/>
    </w:pPr>
    <w:rPr>
      <w:rFonts w:ascii="EUAlbertina" w:eastAsia="Calibri" w:hAnsi="EUAlbertina"/>
      <w:lang w:eastAsia="en-US"/>
    </w:rPr>
  </w:style>
  <w:style w:type="paragraph" w:styleId="Zkladntext">
    <w:name w:val="Body Text"/>
    <w:aliases w:val="Body Text Char,Základní text Char,bt,heading3,Body Text - Level 2,Body,b"/>
    <w:basedOn w:val="Normlny"/>
    <w:link w:val="ZkladntextChar1"/>
    <w:rsid w:val="00E43137"/>
    <w:pPr>
      <w:spacing w:after="120"/>
    </w:pPr>
  </w:style>
  <w:style w:type="character" w:customStyle="1" w:styleId="ZkladntextChar1">
    <w:name w:val="Základný text Char1"/>
    <w:aliases w:val="Body Text Char Char1,Základní text Char Char1,bt Char1,heading3 Char1,Body Text - Level 2 Char1,Body Char1,b Char1"/>
    <w:link w:val="Zkladntext"/>
    <w:rsid w:val="00E43137"/>
    <w:rPr>
      <w:sz w:val="24"/>
      <w:szCs w:val="24"/>
    </w:rPr>
  </w:style>
  <w:style w:type="table" w:customStyle="1" w:styleId="Mriekatabuky3">
    <w:name w:val="Mriežka tabuľky3"/>
    <w:basedOn w:val="Normlnatabuka"/>
    <w:next w:val="Mriekatabuky"/>
    <w:uiPriority w:val="59"/>
    <w:rsid w:val="00E43137"/>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Mriekatabuky11">
    <w:name w:val="Mriežka tabuľky11"/>
    <w:basedOn w:val="Normlnatabuka"/>
    <w:next w:val="Mriekatabuky"/>
    <w:rsid w:val="008676F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Bezzoznamu3">
    <w:name w:val="Bez zoznamu3"/>
    <w:next w:val="Bezzoznamu"/>
    <w:uiPriority w:val="99"/>
    <w:semiHidden/>
    <w:unhideWhenUsed/>
    <w:rsid w:val="008676F9"/>
  </w:style>
  <w:style w:type="paragraph" w:customStyle="1" w:styleId="Text1">
    <w:name w:val="Text 1"/>
    <w:basedOn w:val="Normlny"/>
    <w:link w:val="Text1Char"/>
    <w:rsid w:val="008676F9"/>
    <w:pPr>
      <w:spacing w:after="240"/>
      <w:ind w:left="482"/>
    </w:pPr>
    <w:rPr>
      <w:lang w:val="en-GB" w:eastAsia="en-US"/>
    </w:rPr>
  </w:style>
  <w:style w:type="character" w:customStyle="1" w:styleId="Text1Char">
    <w:name w:val="Text 1 Char"/>
    <w:link w:val="Text1"/>
    <w:uiPriority w:val="99"/>
    <w:locked/>
    <w:rsid w:val="008676F9"/>
    <w:rPr>
      <w:sz w:val="24"/>
      <w:szCs w:val="24"/>
      <w:lang w:val="en-GB" w:eastAsia="en-US"/>
    </w:rPr>
  </w:style>
  <w:style w:type="character" w:styleId="slostrany">
    <w:name w:val="page number"/>
    <w:uiPriority w:val="99"/>
    <w:rsid w:val="008676F9"/>
  </w:style>
  <w:style w:type="table" w:customStyle="1" w:styleId="Mriekatabuky4">
    <w:name w:val="Mriežka tabuľky4"/>
    <w:basedOn w:val="Normlnatabuka"/>
    <w:next w:val="Mriekatabuky"/>
    <w:uiPriority w:val="59"/>
    <w:rsid w:val="008676F9"/>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Zarkazkladnhotextu">
    <w:name w:val="Body Text Indent"/>
    <w:basedOn w:val="Normlny"/>
    <w:link w:val="ZarkazkladnhotextuChar"/>
    <w:uiPriority w:val="99"/>
    <w:unhideWhenUsed/>
    <w:rsid w:val="008676F9"/>
    <w:pPr>
      <w:spacing w:after="120" w:line="276" w:lineRule="auto"/>
      <w:ind w:left="283"/>
    </w:pPr>
    <w:rPr>
      <w:rFonts w:ascii="Calibri" w:eastAsia="Calibri" w:hAnsi="Calibri"/>
      <w:szCs w:val="22"/>
      <w:lang w:eastAsia="en-US"/>
    </w:rPr>
  </w:style>
  <w:style w:type="character" w:customStyle="1" w:styleId="ZarkazkladnhotextuChar">
    <w:name w:val="Zarážka základného textu Char"/>
    <w:link w:val="Zarkazkladnhotextu"/>
    <w:uiPriority w:val="99"/>
    <w:rsid w:val="008676F9"/>
    <w:rPr>
      <w:rFonts w:ascii="Calibri" w:eastAsia="Calibri" w:hAnsi="Calibri"/>
      <w:sz w:val="22"/>
      <w:szCs w:val="22"/>
      <w:lang w:eastAsia="en-US"/>
    </w:rPr>
  </w:style>
  <w:style w:type="paragraph" w:styleId="Zoznamsodrkami">
    <w:name w:val="List Bullet"/>
    <w:basedOn w:val="Normlny"/>
    <w:autoRedefine/>
    <w:uiPriority w:val="99"/>
    <w:rsid w:val="008676F9"/>
    <w:pPr>
      <w:numPr>
        <w:numId w:val="27"/>
      </w:numPr>
      <w:tabs>
        <w:tab w:val="clear" w:pos="720"/>
        <w:tab w:val="decimal" w:pos="9000"/>
      </w:tabs>
      <w:overflowPunct w:val="0"/>
      <w:autoSpaceDE w:val="0"/>
      <w:autoSpaceDN w:val="0"/>
      <w:adjustRightInd w:val="0"/>
      <w:ind w:left="284" w:hanging="284"/>
      <w:textAlignment w:val="baseline"/>
    </w:pPr>
    <w:rPr>
      <w:rFonts w:ascii="Calibri" w:hAnsi="Calibri"/>
      <w:szCs w:val="22"/>
      <w:lang w:eastAsia="cs-CZ"/>
    </w:rPr>
  </w:style>
  <w:style w:type="paragraph" w:customStyle="1" w:styleId="NumPar1">
    <w:name w:val="NumPar 1"/>
    <w:basedOn w:val="Normlny"/>
    <w:next w:val="Text1"/>
    <w:rsid w:val="008676F9"/>
    <w:pPr>
      <w:numPr>
        <w:numId w:val="30"/>
      </w:numPr>
      <w:tabs>
        <w:tab w:val="num" w:pos="850"/>
        <w:tab w:val="num" w:pos="926"/>
      </w:tabs>
      <w:spacing w:before="120" w:after="120"/>
      <w:ind w:left="850" w:hanging="850"/>
    </w:pPr>
    <w:rPr>
      <w:snapToGrid w:val="0"/>
      <w:lang w:val="en-GB" w:eastAsia="fr-BE"/>
    </w:rPr>
  </w:style>
  <w:style w:type="paragraph" w:customStyle="1" w:styleId="Point1letter">
    <w:name w:val="Point 1 (letter)"/>
    <w:basedOn w:val="Normlny"/>
    <w:rsid w:val="008676F9"/>
    <w:pPr>
      <w:numPr>
        <w:ilvl w:val="3"/>
        <w:numId w:val="31"/>
      </w:numPr>
      <w:tabs>
        <w:tab w:val="num" w:pos="1134"/>
        <w:tab w:val="num" w:pos="1417"/>
        <w:tab w:val="num" w:pos="3686"/>
      </w:tabs>
      <w:spacing w:before="120" w:after="120"/>
      <w:ind w:left="1417"/>
    </w:pPr>
    <w:rPr>
      <w:snapToGrid w:val="0"/>
      <w:lang w:val="en-GB" w:eastAsia="fr-BE"/>
    </w:rPr>
  </w:style>
  <w:style w:type="paragraph" w:styleId="Bezriadkovania">
    <w:name w:val="No Spacing"/>
    <w:uiPriority w:val="1"/>
    <w:qFormat/>
    <w:rsid w:val="008676F9"/>
    <w:pPr>
      <w:jc w:val="both"/>
    </w:pPr>
    <w:rPr>
      <w:sz w:val="24"/>
      <w:szCs w:val="24"/>
      <w:lang w:val="en-GB" w:eastAsia="en-US"/>
    </w:rPr>
  </w:style>
  <w:style w:type="paragraph" w:customStyle="1" w:styleId="Point1number">
    <w:name w:val="Point 1 (number)"/>
    <w:basedOn w:val="Normlny"/>
    <w:rsid w:val="008676F9"/>
    <w:pPr>
      <w:numPr>
        <w:ilvl w:val="2"/>
        <w:numId w:val="31"/>
      </w:numPr>
      <w:tabs>
        <w:tab w:val="num" w:pos="1134"/>
        <w:tab w:val="num" w:pos="1417"/>
        <w:tab w:val="num" w:pos="2977"/>
      </w:tabs>
      <w:spacing w:before="120" w:after="120"/>
      <w:ind w:left="1417"/>
    </w:pPr>
    <w:rPr>
      <w:snapToGrid w:val="0"/>
      <w:lang w:val="en-GB" w:eastAsia="fr-BE"/>
    </w:rPr>
  </w:style>
  <w:style w:type="paragraph" w:customStyle="1" w:styleId="Obsahtabuky">
    <w:name w:val="Obsah tabuľky"/>
    <w:basedOn w:val="Normlny"/>
    <w:rsid w:val="008676F9"/>
    <w:pPr>
      <w:suppressLineNumbers/>
      <w:suppressAutoHyphens/>
    </w:pPr>
    <w:rPr>
      <w:rFonts w:eastAsia="SimSun"/>
      <w:kern w:val="1"/>
      <w:lang w:eastAsia="zh-CN"/>
    </w:rPr>
  </w:style>
  <w:style w:type="paragraph" w:customStyle="1" w:styleId="Odsekzoznamu2">
    <w:name w:val="Odsek zoznamu2"/>
    <w:basedOn w:val="Normlny"/>
    <w:rsid w:val="008676F9"/>
    <w:pPr>
      <w:spacing w:after="240"/>
      <w:ind w:left="720"/>
    </w:pPr>
    <w:rPr>
      <w:rFonts w:eastAsia="Calibri"/>
      <w:lang w:val="en-GB" w:eastAsia="en-US"/>
    </w:rPr>
  </w:style>
  <w:style w:type="paragraph" w:customStyle="1" w:styleId="mojnormalny">
    <w:name w:val="mojnormalny"/>
    <w:basedOn w:val="Normlny"/>
    <w:rsid w:val="008676F9"/>
    <w:rPr>
      <w:rFonts w:ascii="Arial" w:hAnsi="Arial" w:cs="Arial"/>
      <w:sz w:val="20"/>
      <w:szCs w:val="20"/>
    </w:rPr>
  </w:style>
  <w:style w:type="paragraph" w:customStyle="1" w:styleId="Zkladntext10">
    <w:name w:val="Základní text1"/>
    <w:basedOn w:val="Normlny"/>
    <w:rsid w:val="008676F9"/>
    <w:pPr>
      <w:widowControl w:val="0"/>
    </w:pPr>
    <w:rPr>
      <w:rFonts w:ascii="Arial" w:hAnsi="Arial"/>
      <w:szCs w:val="20"/>
    </w:rPr>
  </w:style>
  <w:style w:type="paragraph" w:customStyle="1" w:styleId="Rfrenceinterinstitutionnelle">
    <w:name w:val="Référence interinstitutionnelle"/>
    <w:basedOn w:val="Normlny"/>
    <w:next w:val="Statut"/>
    <w:uiPriority w:val="99"/>
    <w:rsid w:val="008676F9"/>
    <w:pPr>
      <w:ind w:left="5103"/>
    </w:pPr>
    <w:rPr>
      <w:lang w:eastAsia="en-US"/>
    </w:rPr>
  </w:style>
  <w:style w:type="paragraph" w:customStyle="1" w:styleId="Statut">
    <w:name w:val="Statut"/>
    <w:basedOn w:val="Normlny"/>
    <w:next w:val="Normlny"/>
    <w:uiPriority w:val="99"/>
    <w:rsid w:val="008676F9"/>
    <w:pPr>
      <w:spacing w:before="360"/>
      <w:jc w:val="center"/>
    </w:pPr>
    <w:rPr>
      <w:lang w:eastAsia="en-US"/>
    </w:rPr>
  </w:style>
  <w:style w:type="character" w:customStyle="1" w:styleId="OdsekzoznamuChar">
    <w:name w:val="Odsek zoznamu Char"/>
    <w:link w:val="Odsekzoznamu"/>
    <w:uiPriority w:val="34"/>
    <w:locked/>
    <w:rsid w:val="008676F9"/>
    <w:rPr>
      <w:sz w:val="24"/>
      <w:szCs w:val="24"/>
    </w:rPr>
  </w:style>
  <w:style w:type="paragraph" w:customStyle="1" w:styleId="Subkapitola">
    <w:name w:val="Subkapitola"/>
    <w:basedOn w:val="Normlny"/>
    <w:uiPriority w:val="99"/>
    <w:rsid w:val="008676F9"/>
    <w:pPr>
      <w:spacing w:before="240" w:line="240" w:lineRule="atLeast"/>
    </w:pPr>
    <w:rPr>
      <w:rFonts w:ascii="Swis721 AT" w:hAnsi="Swis721 AT" w:cs="Swis721 AT"/>
      <w:sz w:val="36"/>
      <w:szCs w:val="36"/>
      <w:lang w:val="cs-CZ"/>
    </w:rPr>
  </w:style>
  <w:style w:type="paragraph" w:customStyle="1" w:styleId="Default">
    <w:name w:val="Default"/>
    <w:rsid w:val="008676F9"/>
    <w:pPr>
      <w:autoSpaceDE w:val="0"/>
      <w:autoSpaceDN w:val="0"/>
      <w:adjustRightInd w:val="0"/>
    </w:pPr>
    <w:rPr>
      <w:rFonts w:ascii="Myriad Pro" w:eastAsia="Calibri" w:hAnsi="Myriad Pro" w:cs="Myriad Pro"/>
      <w:color w:val="000000"/>
      <w:sz w:val="24"/>
      <w:szCs w:val="24"/>
      <w:lang w:eastAsia="en-US"/>
    </w:rPr>
  </w:style>
  <w:style w:type="paragraph" w:customStyle="1" w:styleId="Odsekzoznamu3">
    <w:name w:val="Odsek zoznamu3"/>
    <w:basedOn w:val="Normlny"/>
    <w:uiPriority w:val="99"/>
    <w:rsid w:val="008676F9"/>
    <w:pPr>
      <w:spacing w:after="240"/>
      <w:ind w:left="720"/>
    </w:pPr>
    <w:rPr>
      <w:rFonts w:eastAsia="Calibri"/>
      <w:lang w:val="en-GB" w:eastAsia="en-US"/>
    </w:rPr>
  </w:style>
  <w:style w:type="paragraph" w:customStyle="1" w:styleId="Text">
    <w:name w:val="Text"/>
    <w:basedOn w:val="Normlny"/>
    <w:link w:val="TextChar"/>
    <w:rsid w:val="008676F9"/>
    <w:pPr>
      <w:spacing w:before="120" w:after="120"/>
    </w:pPr>
    <w:rPr>
      <w:rFonts w:ascii="Calibri" w:eastAsia="Calibri" w:hAnsi="Calibri"/>
      <w:szCs w:val="22"/>
      <w:lang w:eastAsia="en-US"/>
    </w:rPr>
  </w:style>
  <w:style w:type="character" w:customStyle="1" w:styleId="TextChar">
    <w:name w:val="Text Char"/>
    <w:link w:val="Text"/>
    <w:rsid w:val="008676F9"/>
    <w:rPr>
      <w:rFonts w:ascii="Calibri" w:eastAsia="Calibri" w:hAnsi="Calibri"/>
      <w:sz w:val="22"/>
      <w:szCs w:val="22"/>
      <w:lang w:eastAsia="en-US"/>
    </w:rPr>
  </w:style>
  <w:style w:type="paragraph" w:customStyle="1" w:styleId="CharChar3CharCharCharCharCharCharCharCharCharCharCharChar">
    <w:name w:val="Char Char3 Char Char Char Char Char Char Char Char Char Char Char Char"/>
    <w:basedOn w:val="Normlny"/>
    <w:rsid w:val="008676F9"/>
    <w:pPr>
      <w:spacing w:after="160" w:line="240" w:lineRule="exact"/>
    </w:pPr>
    <w:rPr>
      <w:rFonts w:ascii="Tahoma" w:hAnsi="Tahoma"/>
      <w:sz w:val="20"/>
      <w:szCs w:val="20"/>
      <w:lang w:val="en-US" w:eastAsia="en-US"/>
    </w:rPr>
  </w:style>
  <w:style w:type="paragraph" w:customStyle="1" w:styleId="CM4">
    <w:name w:val="CM4"/>
    <w:basedOn w:val="Normlny"/>
    <w:next w:val="Normlny"/>
    <w:rsid w:val="008676F9"/>
    <w:pPr>
      <w:autoSpaceDE w:val="0"/>
      <w:autoSpaceDN w:val="0"/>
      <w:adjustRightInd w:val="0"/>
    </w:pPr>
    <w:rPr>
      <w:rFonts w:ascii="EUAlbertina" w:hAnsi="EUAlbertina"/>
    </w:rPr>
  </w:style>
  <w:style w:type="paragraph" w:customStyle="1" w:styleId="Considrant">
    <w:name w:val="Considérant"/>
    <w:basedOn w:val="Normlny"/>
    <w:uiPriority w:val="99"/>
    <w:rsid w:val="008676F9"/>
    <w:pPr>
      <w:tabs>
        <w:tab w:val="num" w:pos="709"/>
        <w:tab w:val="num" w:pos="850"/>
        <w:tab w:val="num" w:pos="1560"/>
        <w:tab w:val="num" w:pos="1984"/>
      </w:tabs>
      <w:spacing w:before="120" w:after="120"/>
      <w:ind w:left="709" w:hanging="709"/>
    </w:pPr>
    <w:rPr>
      <w:snapToGrid w:val="0"/>
      <w:lang w:val="en-GB" w:eastAsia="fr-BE"/>
    </w:rPr>
  </w:style>
  <w:style w:type="character" w:styleId="Zvraznenie">
    <w:name w:val="Emphasis"/>
    <w:uiPriority w:val="20"/>
    <w:qFormat/>
    <w:rsid w:val="008676F9"/>
    <w:rPr>
      <w:i/>
      <w:iCs/>
    </w:rPr>
  </w:style>
  <w:style w:type="paragraph" w:styleId="Zvraznencitcia">
    <w:name w:val="Intense Quote"/>
    <w:basedOn w:val="Normlny"/>
    <w:next w:val="Normlny"/>
    <w:link w:val="ZvraznencitciaChar"/>
    <w:uiPriority w:val="30"/>
    <w:qFormat/>
    <w:rsid w:val="008676F9"/>
    <w:pPr>
      <w:pBdr>
        <w:bottom w:val="single" w:sz="4" w:space="4" w:color="4F81BD"/>
      </w:pBdr>
      <w:spacing w:before="200" w:after="280" w:line="276" w:lineRule="auto"/>
      <w:ind w:left="936" w:right="936"/>
    </w:pPr>
    <w:rPr>
      <w:rFonts w:ascii="Calibri" w:eastAsia="Calibri" w:hAnsi="Calibri"/>
      <w:b/>
      <w:bCs/>
      <w:i/>
      <w:iCs/>
      <w:color w:val="4F81BD"/>
      <w:szCs w:val="22"/>
      <w:lang w:eastAsia="en-US"/>
    </w:rPr>
  </w:style>
  <w:style w:type="character" w:customStyle="1" w:styleId="ZvraznencitciaChar">
    <w:name w:val="Zvýraznená citácia Char"/>
    <w:link w:val="Zvraznencitcia"/>
    <w:uiPriority w:val="30"/>
    <w:rsid w:val="008676F9"/>
    <w:rPr>
      <w:rFonts w:ascii="Calibri" w:eastAsia="Calibri" w:hAnsi="Calibri"/>
      <w:b/>
      <w:bCs/>
      <w:i/>
      <w:iCs/>
      <w:color w:val="4F81BD"/>
      <w:sz w:val="22"/>
      <w:szCs w:val="22"/>
      <w:lang w:eastAsia="en-US"/>
    </w:rPr>
  </w:style>
  <w:style w:type="paragraph" w:customStyle="1" w:styleId="Tab">
    <w:name w:val="Tab"/>
    <w:basedOn w:val="Normlny"/>
    <w:rsid w:val="008676F9"/>
    <w:pPr>
      <w:spacing w:before="40"/>
    </w:pPr>
    <w:rPr>
      <w:rFonts w:ascii="Arial" w:eastAsia="Calibri" w:hAnsi="Arial" w:cs="Arial"/>
      <w:sz w:val="16"/>
      <w:szCs w:val="16"/>
      <w:lang w:val="en-GB" w:eastAsia="cs-CZ"/>
    </w:rPr>
  </w:style>
  <w:style w:type="paragraph" w:customStyle="1" w:styleId="Odsekzoznamu4">
    <w:name w:val="Odsek zoznamu4"/>
    <w:basedOn w:val="Normlny"/>
    <w:rsid w:val="008676F9"/>
    <w:pPr>
      <w:spacing w:after="240"/>
      <w:ind w:left="720"/>
    </w:pPr>
    <w:rPr>
      <w:rFonts w:eastAsia="Calibri"/>
      <w:lang w:val="en-GB" w:eastAsia="en-US"/>
    </w:rPr>
  </w:style>
  <w:style w:type="paragraph" w:customStyle="1" w:styleId="Odsekzoznamu5">
    <w:name w:val="Odsek zoznamu5"/>
    <w:basedOn w:val="Normlny"/>
    <w:rsid w:val="008676F9"/>
    <w:pPr>
      <w:spacing w:after="240"/>
      <w:ind w:left="720"/>
    </w:pPr>
    <w:rPr>
      <w:rFonts w:eastAsia="Calibri"/>
      <w:lang w:val="en-GB"/>
    </w:rPr>
  </w:style>
  <w:style w:type="character" w:customStyle="1" w:styleId="PtaChar1">
    <w:name w:val="Päta Char1"/>
    <w:locked/>
    <w:rsid w:val="008676F9"/>
    <w:rPr>
      <w:rFonts w:ascii="Arial" w:eastAsia="Calibri" w:hAnsi="Arial" w:cs="Arial"/>
      <w:sz w:val="16"/>
      <w:szCs w:val="16"/>
      <w:lang w:val="en-GB" w:eastAsia="en-US" w:bidi="ar-SA"/>
    </w:rPr>
  </w:style>
  <w:style w:type="character" w:customStyle="1" w:styleId="ListParagraphChar">
    <w:name w:val="List Paragraph Char"/>
    <w:link w:val="Odsekzoznamu1"/>
    <w:uiPriority w:val="99"/>
    <w:locked/>
    <w:rsid w:val="008676F9"/>
    <w:rPr>
      <w:sz w:val="22"/>
      <w:lang w:val="en-GB" w:eastAsia="en-US"/>
    </w:rPr>
  </w:style>
  <w:style w:type="paragraph" w:customStyle="1" w:styleId="CharChar2">
    <w:name w:val="Char Char2"/>
    <w:basedOn w:val="Normlny"/>
    <w:rsid w:val="008676F9"/>
    <w:pPr>
      <w:spacing w:after="160" w:line="240" w:lineRule="exact"/>
    </w:pPr>
    <w:rPr>
      <w:rFonts w:ascii="Tahoma" w:hAnsi="Tahoma"/>
      <w:sz w:val="20"/>
      <w:szCs w:val="20"/>
      <w:lang w:val="en-US" w:eastAsia="en-US"/>
    </w:rPr>
  </w:style>
  <w:style w:type="paragraph" w:customStyle="1" w:styleId="Odsekzoznamu6">
    <w:name w:val="Odsek zoznamu6"/>
    <w:basedOn w:val="Normlny"/>
    <w:link w:val="ListParagraphChar1"/>
    <w:rsid w:val="008676F9"/>
    <w:pPr>
      <w:spacing w:after="200" w:line="276" w:lineRule="auto"/>
      <w:ind w:left="720"/>
    </w:pPr>
    <w:rPr>
      <w:rFonts w:ascii="Calibri" w:hAnsi="Calibri"/>
      <w:szCs w:val="22"/>
      <w:lang w:eastAsia="en-US"/>
    </w:rPr>
  </w:style>
  <w:style w:type="character" w:customStyle="1" w:styleId="ListParagraphChar1">
    <w:name w:val="List Paragraph Char1"/>
    <w:link w:val="Odsekzoznamu6"/>
    <w:locked/>
    <w:rsid w:val="008676F9"/>
    <w:rPr>
      <w:rFonts w:ascii="Calibri" w:hAnsi="Calibri"/>
      <w:sz w:val="22"/>
      <w:szCs w:val="22"/>
      <w:lang w:eastAsia="en-US"/>
    </w:rPr>
  </w:style>
  <w:style w:type="paragraph" w:customStyle="1" w:styleId="CharChar">
    <w:name w:val="Char Char"/>
    <w:basedOn w:val="Normlny"/>
    <w:rsid w:val="008676F9"/>
    <w:pPr>
      <w:spacing w:after="160" w:line="240" w:lineRule="exact"/>
    </w:pPr>
    <w:rPr>
      <w:rFonts w:ascii="Tahoma" w:hAnsi="Tahoma" w:cs="Tahoma"/>
      <w:sz w:val="20"/>
      <w:szCs w:val="20"/>
      <w:lang w:val="en-US" w:eastAsia="en-US"/>
    </w:rPr>
  </w:style>
  <w:style w:type="paragraph" w:customStyle="1" w:styleId="Odsekzoznamu7">
    <w:name w:val="Odsek zoznamu7"/>
    <w:basedOn w:val="Normlny"/>
    <w:rsid w:val="008676F9"/>
    <w:pPr>
      <w:spacing w:after="240"/>
      <w:ind w:left="720"/>
    </w:pPr>
    <w:rPr>
      <w:rFonts w:eastAsia="Calibri"/>
      <w:lang w:val="en-GB" w:eastAsia="en-US"/>
    </w:rPr>
  </w:style>
  <w:style w:type="character" w:customStyle="1" w:styleId="st">
    <w:name w:val="st"/>
    <w:rsid w:val="008676F9"/>
  </w:style>
  <w:style w:type="paragraph" w:customStyle="1" w:styleId="CharChar1CharChar">
    <w:name w:val="Char Char1 Char Char"/>
    <w:basedOn w:val="Normlny"/>
    <w:rsid w:val="008676F9"/>
    <w:pPr>
      <w:spacing w:after="160" w:line="240" w:lineRule="exact"/>
    </w:pPr>
    <w:rPr>
      <w:rFonts w:ascii="Tahoma" w:hAnsi="Tahoma"/>
      <w:sz w:val="20"/>
      <w:szCs w:val="20"/>
      <w:lang w:val="en-US" w:eastAsia="en-US"/>
    </w:rPr>
  </w:style>
  <w:style w:type="paragraph" w:styleId="Zarkazkladnhotextu3">
    <w:name w:val="Body Text Indent 3"/>
    <w:basedOn w:val="Normlny"/>
    <w:link w:val="Zarkazkladnhotextu3Char"/>
    <w:uiPriority w:val="99"/>
    <w:unhideWhenUsed/>
    <w:rsid w:val="008676F9"/>
    <w:pPr>
      <w:spacing w:after="120" w:line="276" w:lineRule="auto"/>
      <w:ind w:left="283"/>
    </w:pPr>
    <w:rPr>
      <w:rFonts w:ascii="Calibri" w:eastAsia="Calibri" w:hAnsi="Calibri"/>
      <w:sz w:val="16"/>
      <w:szCs w:val="16"/>
      <w:lang w:eastAsia="en-US"/>
    </w:rPr>
  </w:style>
  <w:style w:type="character" w:customStyle="1" w:styleId="Zarkazkladnhotextu3Char">
    <w:name w:val="Zarážka základného textu 3 Char"/>
    <w:link w:val="Zarkazkladnhotextu3"/>
    <w:uiPriority w:val="99"/>
    <w:rsid w:val="008676F9"/>
    <w:rPr>
      <w:rFonts w:ascii="Calibri" w:eastAsia="Calibri" w:hAnsi="Calibri"/>
      <w:sz w:val="16"/>
      <w:szCs w:val="16"/>
      <w:lang w:eastAsia="en-US"/>
    </w:rPr>
  </w:style>
  <w:style w:type="paragraph" w:customStyle="1" w:styleId="CharCharCharChar">
    <w:name w:val="Char Char Char Char"/>
    <w:basedOn w:val="Normlny"/>
    <w:rsid w:val="008676F9"/>
    <w:pPr>
      <w:spacing w:after="160" w:line="240" w:lineRule="exact"/>
    </w:pPr>
    <w:rPr>
      <w:rFonts w:ascii="Tahoma" w:hAnsi="Tahoma"/>
      <w:sz w:val="20"/>
      <w:szCs w:val="20"/>
      <w:lang w:val="en-US" w:eastAsia="en-US"/>
    </w:rPr>
  </w:style>
  <w:style w:type="paragraph" w:customStyle="1" w:styleId="TabFig">
    <w:name w:val="TabFig"/>
    <w:basedOn w:val="Normlny"/>
    <w:rsid w:val="008676F9"/>
    <w:pPr>
      <w:spacing w:before="40"/>
      <w:jc w:val="right"/>
    </w:pPr>
    <w:rPr>
      <w:rFonts w:ascii="Arial" w:hAnsi="Arial"/>
      <w:sz w:val="16"/>
      <w:szCs w:val="20"/>
      <w:lang w:val="en-GB"/>
    </w:rPr>
  </w:style>
  <w:style w:type="paragraph" w:customStyle="1" w:styleId="Normlny0">
    <w:name w:val="Norm‡lny"/>
    <w:rsid w:val="008676F9"/>
  </w:style>
  <w:style w:type="paragraph" w:customStyle="1" w:styleId="Normlnyneodsadentunnastred">
    <w:name w:val="Normálny neodsadený tučný na stred"/>
    <w:basedOn w:val="Normlny"/>
    <w:link w:val="NormlnyneodsadentunnastredChar"/>
    <w:autoRedefine/>
    <w:rsid w:val="008676F9"/>
    <w:pPr>
      <w:keepNext/>
      <w:tabs>
        <w:tab w:val="left" w:pos="1800"/>
      </w:tabs>
      <w:ind w:hanging="86"/>
      <w:jc w:val="center"/>
    </w:pPr>
    <w:rPr>
      <w:b/>
      <w:bCs/>
      <w:noProof/>
      <w:spacing w:val="4"/>
      <w:sz w:val="20"/>
      <w:szCs w:val="20"/>
    </w:rPr>
  </w:style>
  <w:style w:type="character" w:customStyle="1" w:styleId="NormlnyneodsadentunnastredChar">
    <w:name w:val="Normálny neodsadený tučný na stred Char"/>
    <w:link w:val="Normlnyneodsadentunnastred"/>
    <w:rsid w:val="008676F9"/>
    <w:rPr>
      <w:b/>
      <w:bCs/>
      <w:noProof/>
      <w:spacing w:val="4"/>
    </w:rPr>
  </w:style>
  <w:style w:type="paragraph" w:customStyle="1" w:styleId="Normlnyneodsadennastred">
    <w:name w:val="Normálny neodsadený na stred"/>
    <w:basedOn w:val="Normlny"/>
    <w:link w:val="NormlnyneodsadennastredChar"/>
    <w:autoRedefine/>
    <w:qFormat/>
    <w:rsid w:val="008676F9"/>
    <w:pPr>
      <w:keepNext/>
      <w:jc w:val="center"/>
    </w:pPr>
    <w:rPr>
      <w:noProof/>
      <w:sz w:val="20"/>
      <w:szCs w:val="20"/>
      <w:lang w:eastAsia="cs-CZ"/>
    </w:rPr>
  </w:style>
  <w:style w:type="character" w:customStyle="1" w:styleId="NormlnyneodsadennastredChar">
    <w:name w:val="Normálny neodsadený na stred Char"/>
    <w:link w:val="Normlnyneodsadennastred"/>
    <w:rsid w:val="008676F9"/>
    <w:rPr>
      <w:noProof/>
      <w:lang w:eastAsia="cs-CZ"/>
    </w:rPr>
  </w:style>
  <w:style w:type="paragraph" w:customStyle="1" w:styleId="Normlnyneodsadenvavostab">
    <w:name w:val="Normálny neodsadený vľavo s tab."/>
    <w:basedOn w:val="Normlny"/>
    <w:autoRedefine/>
    <w:rsid w:val="008676F9"/>
    <w:pPr>
      <w:keepNext/>
      <w:tabs>
        <w:tab w:val="left" w:pos="425"/>
        <w:tab w:val="left" w:pos="1134"/>
        <w:tab w:val="left" w:pos="3600"/>
        <w:tab w:val="left" w:pos="4309"/>
        <w:tab w:val="center" w:pos="7439"/>
      </w:tabs>
    </w:pPr>
    <w:rPr>
      <w:bCs/>
      <w:noProof/>
      <w:sz w:val="20"/>
    </w:rPr>
  </w:style>
  <w:style w:type="paragraph" w:customStyle="1" w:styleId="tlZoznamsodrkamiTun">
    <w:name w:val="Štýl Zoznam s odrážkami + Tučné"/>
    <w:basedOn w:val="Zoznamsodrkami"/>
    <w:autoRedefine/>
    <w:rsid w:val="008676F9"/>
    <w:pPr>
      <w:numPr>
        <w:numId w:val="47"/>
      </w:numPr>
      <w:tabs>
        <w:tab w:val="clear" w:pos="9000"/>
      </w:tabs>
      <w:overflowPunct/>
      <w:autoSpaceDE/>
      <w:autoSpaceDN/>
      <w:adjustRightInd/>
      <w:spacing w:before="60" w:after="60" w:line="320" w:lineRule="exact"/>
      <w:textAlignment w:val="auto"/>
    </w:pPr>
    <w:rPr>
      <w:rFonts w:ascii="Times New Roman" w:hAnsi="Times New Roman"/>
      <w:b/>
      <w:bCs/>
      <w:sz w:val="24"/>
      <w:szCs w:val="24"/>
    </w:rPr>
  </w:style>
  <w:style w:type="paragraph" w:customStyle="1" w:styleId="tlZoznamsodrkami">
    <w:name w:val="Štýl Zoznam s odrážkami"/>
    <w:basedOn w:val="Normlny"/>
    <w:rsid w:val="008676F9"/>
    <w:pPr>
      <w:tabs>
        <w:tab w:val="left" w:pos="709"/>
        <w:tab w:val="decimal" w:pos="4395"/>
        <w:tab w:val="decimal" w:pos="6096"/>
        <w:tab w:val="decimal" w:pos="7513"/>
      </w:tabs>
      <w:spacing w:before="60" w:after="60" w:line="320" w:lineRule="exact"/>
      <w:ind w:left="720" w:hanging="360"/>
    </w:pPr>
    <w:rPr>
      <w:lang w:eastAsia="cs-CZ"/>
    </w:rPr>
  </w:style>
  <w:style w:type="paragraph" w:styleId="Podtitul">
    <w:name w:val="Subtitle"/>
    <w:basedOn w:val="Normlny"/>
    <w:next w:val="Normlny"/>
    <w:link w:val="PodtitulChar"/>
    <w:uiPriority w:val="11"/>
    <w:qFormat/>
    <w:rsid w:val="008676F9"/>
    <w:pPr>
      <w:numPr>
        <w:ilvl w:val="1"/>
      </w:numPr>
      <w:spacing w:after="200" w:line="276" w:lineRule="auto"/>
    </w:pPr>
    <w:rPr>
      <w:rFonts w:ascii="Cambria" w:hAnsi="Cambria"/>
      <w:i/>
      <w:iCs/>
      <w:color w:val="4F81BD"/>
      <w:spacing w:val="15"/>
      <w:lang w:eastAsia="en-US"/>
    </w:rPr>
  </w:style>
  <w:style w:type="character" w:customStyle="1" w:styleId="PodtitulChar">
    <w:name w:val="Podtitul Char"/>
    <w:link w:val="Podtitul"/>
    <w:uiPriority w:val="11"/>
    <w:rsid w:val="008676F9"/>
    <w:rPr>
      <w:rFonts w:ascii="Cambria" w:hAnsi="Cambria"/>
      <w:i/>
      <w:iCs/>
      <w:color w:val="4F81BD"/>
      <w:spacing w:val="15"/>
      <w:sz w:val="24"/>
      <w:szCs w:val="24"/>
      <w:lang w:eastAsia="en-US"/>
    </w:rPr>
  </w:style>
  <w:style w:type="paragraph" w:customStyle="1" w:styleId="Odsekzoznamu8">
    <w:name w:val="Odsek zoznamu8"/>
    <w:basedOn w:val="Normlny"/>
    <w:qFormat/>
    <w:rsid w:val="008676F9"/>
    <w:pPr>
      <w:spacing w:after="200"/>
      <w:ind w:left="720"/>
    </w:pPr>
    <w:rPr>
      <w:rFonts w:ascii="Calibri" w:eastAsia="Calibri" w:hAnsi="Calibri" w:cs="Calibri"/>
      <w:szCs w:val="22"/>
      <w:lang w:eastAsia="en-US"/>
    </w:rPr>
  </w:style>
  <w:style w:type="character" w:customStyle="1" w:styleId="hps">
    <w:name w:val="hps"/>
    <w:rsid w:val="008676F9"/>
  </w:style>
  <w:style w:type="paragraph" w:customStyle="1" w:styleId="Point1">
    <w:name w:val="Point 1"/>
    <w:basedOn w:val="Normlny"/>
    <w:rsid w:val="008676F9"/>
    <w:pPr>
      <w:spacing w:before="120" w:after="120" w:line="360" w:lineRule="auto"/>
      <w:ind w:left="1417" w:hanging="567"/>
      <w:outlineLvl w:val="0"/>
    </w:pPr>
    <w:rPr>
      <w:lang w:eastAsia="en-US"/>
    </w:rPr>
  </w:style>
  <w:style w:type="character" w:customStyle="1" w:styleId="apple-style-span">
    <w:name w:val="apple-style-span"/>
    <w:rsid w:val="008676F9"/>
  </w:style>
  <w:style w:type="table" w:customStyle="1" w:styleId="Mriekatabuky12">
    <w:name w:val="Mriežka tabuľky12"/>
    <w:basedOn w:val="Normlnatabuka"/>
    <w:next w:val="Mriekatabuky"/>
    <w:uiPriority w:val="59"/>
    <w:rsid w:val="008676F9"/>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Mriekatabuky21">
    <w:name w:val="Mriežka tabuľky21"/>
    <w:basedOn w:val="Normlnatabuka"/>
    <w:next w:val="Mriekatabuky"/>
    <w:rsid w:val="008676F9"/>
    <w:pPr>
      <w:spacing w:after="200" w:line="276"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Mriekatabuky31">
    <w:name w:val="Mriežka tabuľky31"/>
    <w:basedOn w:val="Normlnatabuka"/>
    <w:next w:val="Mriekatabuky"/>
    <w:rsid w:val="008676F9"/>
    <w:pPr>
      <w:spacing w:after="200" w:line="276"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Odsekzoznamu9">
    <w:name w:val="Odsek zoznamu9"/>
    <w:basedOn w:val="Normlny"/>
    <w:link w:val="ListParagraphChar2"/>
    <w:rsid w:val="008676F9"/>
    <w:pPr>
      <w:spacing w:after="240"/>
      <w:ind w:left="720"/>
    </w:pPr>
    <w:rPr>
      <w:rFonts w:eastAsia="Calibri"/>
      <w:lang w:val="en-GB" w:eastAsia="en-US"/>
    </w:rPr>
  </w:style>
  <w:style w:type="character" w:customStyle="1" w:styleId="ListParagraphChar2">
    <w:name w:val="List Paragraph Char2"/>
    <w:link w:val="Odsekzoznamu9"/>
    <w:locked/>
    <w:rsid w:val="008676F9"/>
    <w:rPr>
      <w:rFonts w:eastAsia="Calibri"/>
      <w:sz w:val="24"/>
      <w:szCs w:val="24"/>
      <w:lang w:val="en-GB" w:eastAsia="en-US"/>
    </w:rPr>
  </w:style>
  <w:style w:type="table" w:customStyle="1" w:styleId="Mriekatabuky41">
    <w:name w:val="Mriežka tabuľky41"/>
    <w:basedOn w:val="Normlnatabuka"/>
    <w:next w:val="Mriekatabuky"/>
    <w:rsid w:val="008676F9"/>
    <w:rPr>
      <w:rFonts w:ascii="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Mriekatabuky5">
    <w:name w:val="Mriežka tabuľky5"/>
    <w:basedOn w:val="Normlnatabuka"/>
    <w:next w:val="Mriekatabuky"/>
    <w:uiPriority w:val="59"/>
    <w:rsid w:val="008676F9"/>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Odsekzoznamu10">
    <w:name w:val="Odsek zoznamu10"/>
    <w:basedOn w:val="Normlny"/>
    <w:link w:val="ListParagraphChar3"/>
    <w:rsid w:val="008676F9"/>
    <w:pPr>
      <w:spacing w:after="240"/>
      <w:ind w:left="720"/>
    </w:pPr>
    <w:rPr>
      <w:rFonts w:eastAsia="Calibri"/>
      <w:lang w:val="en-GB" w:eastAsia="en-US"/>
    </w:rPr>
  </w:style>
  <w:style w:type="character" w:customStyle="1" w:styleId="ListParagraphChar3">
    <w:name w:val="List Paragraph Char3"/>
    <w:link w:val="Odsekzoznamu10"/>
    <w:locked/>
    <w:rsid w:val="008676F9"/>
    <w:rPr>
      <w:rFonts w:eastAsia="Calibri"/>
      <w:sz w:val="24"/>
      <w:szCs w:val="24"/>
      <w:lang w:val="en-GB" w:eastAsia="en-US"/>
    </w:rPr>
  </w:style>
  <w:style w:type="table" w:customStyle="1" w:styleId="Mriekatabuky6">
    <w:name w:val="Mriežka tabuľky6"/>
    <w:basedOn w:val="Normlnatabuka"/>
    <w:next w:val="Mriekatabuky"/>
    <w:rsid w:val="008676F9"/>
    <w:pPr>
      <w:spacing w:after="200" w:line="276"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Mriekatabuky111">
    <w:name w:val="Mriežka tabuľky111"/>
    <w:basedOn w:val="Normlnatabuka"/>
    <w:next w:val="Mriekatabuky"/>
    <w:uiPriority w:val="59"/>
    <w:rsid w:val="008676F9"/>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Mriekatabuky7">
    <w:name w:val="Mriežka tabuľky7"/>
    <w:basedOn w:val="Normlnatabuka"/>
    <w:next w:val="Mriekatabuky"/>
    <w:uiPriority w:val="59"/>
    <w:rsid w:val="008676F9"/>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Bezzoznamu4">
    <w:name w:val="Bez zoznamu4"/>
    <w:next w:val="Bezzoznamu"/>
    <w:uiPriority w:val="99"/>
    <w:semiHidden/>
    <w:unhideWhenUsed/>
    <w:rsid w:val="008676F9"/>
  </w:style>
  <w:style w:type="paragraph" w:customStyle="1" w:styleId="StylTunZarovnatdoblokuVlevo0cmPedsazen1cm">
    <w:name w:val="Styl Tučné Zarovnat do bloku Vlevo:  0 cm Předsazení:  1 cm"/>
    <w:basedOn w:val="Nadpis4"/>
    <w:rsid w:val="008676F9"/>
    <w:pPr>
      <w:numPr>
        <w:ilvl w:val="0"/>
        <w:numId w:val="0"/>
      </w:numPr>
      <w:spacing w:before="240" w:after="60" w:line="276" w:lineRule="auto"/>
      <w:ind w:left="567" w:hanging="567"/>
    </w:pPr>
    <w:rPr>
      <w:rFonts w:ascii="Calibri" w:hAnsi="Calibri"/>
      <w:i w:val="0"/>
      <w:lang w:val="sk-SK"/>
    </w:rPr>
  </w:style>
  <w:style w:type="table" w:customStyle="1" w:styleId="Mriekatabuky32">
    <w:name w:val="Mriežka tabuľky32"/>
    <w:basedOn w:val="Normlnatabuka"/>
    <w:next w:val="Mriekatabuky"/>
    <w:uiPriority w:val="59"/>
    <w:rsid w:val="00BB33FC"/>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PouitHypertextovPrepojenie">
    <w:name w:val="FollowedHyperlink"/>
    <w:uiPriority w:val="99"/>
    <w:unhideWhenUsed/>
    <w:rsid w:val="00BB33FC"/>
    <w:rPr>
      <w:color w:val="800080"/>
      <w:u w:val="single"/>
    </w:rPr>
  </w:style>
  <w:style w:type="paragraph" w:customStyle="1" w:styleId="font5">
    <w:name w:val="font5"/>
    <w:basedOn w:val="Normlny"/>
    <w:rsid w:val="00BB33FC"/>
    <w:pPr>
      <w:spacing w:before="100" w:beforeAutospacing="1" w:after="100" w:afterAutospacing="1"/>
    </w:pPr>
    <w:rPr>
      <w:rFonts w:ascii="Arial" w:hAnsi="Arial" w:cs="Arial"/>
      <w:sz w:val="18"/>
      <w:szCs w:val="18"/>
    </w:rPr>
  </w:style>
  <w:style w:type="paragraph" w:customStyle="1" w:styleId="font6">
    <w:name w:val="font6"/>
    <w:basedOn w:val="Normlny"/>
    <w:rsid w:val="00BB33FC"/>
    <w:pPr>
      <w:spacing w:before="100" w:beforeAutospacing="1" w:after="100" w:afterAutospacing="1"/>
    </w:pPr>
    <w:rPr>
      <w:rFonts w:ascii="Calibri" w:hAnsi="Calibri"/>
      <w:sz w:val="18"/>
      <w:szCs w:val="18"/>
    </w:rPr>
  </w:style>
  <w:style w:type="paragraph" w:customStyle="1" w:styleId="font7">
    <w:name w:val="font7"/>
    <w:basedOn w:val="Normlny"/>
    <w:rsid w:val="00BB33FC"/>
    <w:pPr>
      <w:spacing w:before="100" w:beforeAutospacing="1" w:after="100" w:afterAutospacing="1"/>
    </w:pPr>
    <w:rPr>
      <w:rFonts w:ascii="Tahoma" w:hAnsi="Tahoma" w:cs="Tahoma"/>
      <w:color w:val="000000"/>
      <w:sz w:val="18"/>
      <w:szCs w:val="18"/>
    </w:rPr>
  </w:style>
  <w:style w:type="paragraph" w:customStyle="1" w:styleId="font8">
    <w:name w:val="font8"/>
    <w:basedOn w:val="Normlny"/>
    <w:rsid w:val="00BB33FC"/>
    <w:pPr>
      <w:spacing w:before="100" w:beforeAutospacing="1" w:after="100" w:afterAutospacing="1"/>
    </w:pPr>
    <w:rPr>
      <w:rFonts w:ascii="Tahoma" w:hAnsi="Tahoma" w:cs="Tahoma"/>
      <w:b/>
      <w:bCs/>
      <w:color w:val="000000"/>
      <w:sz w:val="18"/>
      <w:szCs w:val="18"/>
    </w:rPr>
  </w:style>
  <w:style w:type="paragraph" w:customStyle="1" w:styleId="font9">
    <w:name w:val="font9"/>
    <w:basedOn w:val="Normlny"/>
    <w:rsid w:val="00BB33FC"/>
    <w:pPr>
      <w:spacing w:before="100" w:beforeAutospacing="1" w:after="100" w:afterAutospacing="1"/>
    </w:pPr>
    <w:rPr>
      <w:rFonts w:ascii="Arial" w:hAnsi="Arial" w:cs="Arial"/>
      <w:i/>
      <w:iCs/>
      <w:color w:val="FF0000"/>
      <w:sz w:val="16"/>
      <w:szCs w:val="16"/>
    </w:rPr>
  </w:style>
  <w:style w:type="paragraph" w:customStyle="1" w:styleId="xl122">
    <w:name w:val="xl122"/>
    <w:basedOn w:val="Normlny"/>
    <w:rsid w:val="00BB33FC"/>
    <w:pPr>
      <w:pBdr>
        <w:top w:val="single" w:sz="4" w:space="0" w:color="A6A6A6"/>
        <w:bottom w:val="single" w:sz="8" w:space="0" w:color="E26B0A"/>
        <w:right w:val="single" w:sz="8" w:space="0" w:color="E26B0A"/>
      </w:pBdr>
      <w:shd w:val="clear" w:color="000000" w:fill="FDE9D9"/>
      <w:spacing w:before="100" w:beforeAutospacing="1" w:after="100" w:afterAutospacing="1"/>
    </w:pPr>
    <w:rPr>
      <w:rFonts w:ascii="Arial" w:hAnsi="Arial" w:cs="Arial"/>
      <w:sz w:val="18"/>
      <w:szCs w:val="18"/>
    </w:rPr>
  </w:style>
  <w:style w:type="paragraph" w:customStyle="1" w:styleId="xl123">
    <w:name w:val="xl123"/>
    <w:basedOn w:val="Normlny"/>
    <w:rsid w:val="00BB33FC"/>
    <w:pPr>
      <w:pBdr>
        <w:top w:val="single" w:sz="4" w:space="0" w:color="A6A6A6"/>
        <w:bottom w:val="single" w:sz="8" w:space="0" w:color="E26B0A"/>
        <w:right w:val="single" w:sz="8" w:space="0" w:color="E26B0A"/>
      </w:pBdr>
      <w:shd w:val="clear" w:color="000000" w:fill="FCD5B4"/>
      <w:spacing w:before="100" w:beforeAutospacing="1" w:after="100" w:afterAutospacing="1"/>
    </w:pPr>
    <w:rPr>
      <w:rFonts w:ascii="Arial" w:hAnsi="Arial" w:cs="Arial"/>
      <w:sz w:val="18"/>
      <w:szCs w:val="18"/>
    </w:rPr>
  </w:style>
  <w:style w:type="paragraph" w:customStyle="1" w:styleId="xl124">
    <w:name w:val="xl124"/>
    <w:basedOn w:val="Normlny"/>
    <w:rsid w:val="00BB33FC"/>
    <w:pPr>
      <w:pBdr>
        <w:top w:val="single" w:sz="4" w:space="0" w:color="A6A6A6"/>
        <w:right w:val="single" w:sz="8" w:space="0" w:color="E26B0A"/>
      </w:pBdr>
      <w:shd w:val="clear" w:color="000000" w:fill="FCD5B4"/>
      <w:spacing w:before="100" w:beforeAutospacing="1" w:after="100" w:afterAutospacing="1"/>
    </w:pPr>
    <w:rPr>
      <w:rFonts w:ascii="Arial" w:hAnsi="Arial" w:cs="Arial"/>
      <w:sz w:val="18"/>
      <w:szCs w:val="18"/>
    </w:rPr>
  </w:style>
  <w:style w:type="paragraph" w:customStyle="1" w:styleId="xl125">
    <w:name w:val="xl125"/>
    <w:basedOn w:val="Normlny"/>
    <w:rsid w:val="00BB33FC"/>
    <w:pPr>
      <w:pBdr>
        <w:top w:val="single" w:sz="8" w:space="0" w:color="E26B0A"/>
        <w:right w:val="single" w:sz="8" w:space="0" w:color="E26B0A"/>
      </w:pBdr>
      <w:spacing w:before="100" w:beforeAutospacing="1" w:after="100" w:afterAutospacing="1"/>
    </w:pPr>
    <w:rPr>
      <w:rFonts w:ascii="Arial" w:hAnsi="Arial" w:cs="Arial"/>
      <w:sz w:val="18"/>
      <w:szCs w:val="18"/>
    </w:rPr>
  </w:style>
  <w:style w:type="paragraph" w:customStyle="1" w:styleId="xl126">
    <w:name w:val="xl126"/>
    <w:basedOn w:val="Normlny"/>
    <w:rsid w:val="00BB33FC"/>
    <w:pPr>
      <w:pBdr>
        <w:bottom w:val="single" w:sz="4" w:space="0" w:color="A6A6A6"/>
        <w:right w:val="single" w:sz="8" w:space="0" w:color="E26B0A"/>
      </w:pBdr>
      <w:shd w:val="clear" w:color="000000" w:fill="FDE9D9"/>
      <w:spacing w:before="100" w:beforeAutospacing="1" w:after="100" w:afterAutospacing="1"/>
    </w:pPr>
    <w:rPr>
      <w:rFonts w:ascii="Arial" w:hAnsi="Arial" w:cs="Arial"/>
      <w:sz w:val="18"/>
      <w:szCs w:val="18"/>
    </w:rPr>
  </w:style>
  <w:style w:type="paragraph" w:customStyle="1" w:styleId="xl127">
    <w:name w:val="xl127"/>
    <w:basedOn w:val="Normlny"/>
    <w:rsid w:val="00BB33FC"/>
    <w:pPr>
      <w:pBdr>
        <w:top w:val="single" w:sz="4" w:space="0" w:color="A6A6A6"/>
        <w:right w:val="single" w:sz="8" w:space="0" w:color="E26B0A"/>
      </w:pBdr>
      <w:shd w:val="clear" w:color="000000" w:fill="FDE9D9"/>
      <w:spacing w:before="100" w:beforeAutospacing="1" w:after="100" w:afterAutospacing="1"/>
    </w:pPr>
    <w:rPr>
      <w:rFonts w:ascii="Arial" w:hAnsi="Arial" w:cs="Arial"/>
      <w:sz w:val="18"/>
      <w:szCs w:val="18"/>
    </w:rPr>
  </w:style>
  <w:style w:type="paragraph" w:customStyle="1" w:styleId="xl128">
    <w:name w:val="xl128"/>
    <w:basedOn w:val="Normlny"/>
    <w:rsid w:val="00BB33FC"/>
    <w:pPr>
      <w:pBdr>
        <w:bottom w:val="single" w:sz="8" w:space="0" w:color="E26B0A"/>
        <w:right w:val="single" w:sz="8" w:space="0" w:color="E26B0A"/>
      </w:pBdr>
      <w:shd w:val="clear" w:color="000000" w:fill="FCD5B4"/>
      <w:spacing w:before="100" w:beforeAutospacing="1" w:after="100" w:afterAutospacing="1"/>
    </w:pPr>
    <w:rPr>
      <w:rFonts w:ascii="Arial" w:hAnsi="Arial" w:cs="Arial"/>
      <w:sz w:val="18"/>
      <w:szCs w:val="18"/>
    </w:rPr>
  </w:style>
  <w:style w:type="paragraph" w:customStyle="1" w:styleId="xl129">
    <w:name w:val="xl129"/>
    <w:basedOn w:val="Normlny"/>
    <w:rsid w:val="00BB33FC"/>
    <w:pPr>
      <w:pBdr>
        <w:right w:val="single" w:sz="8" w:space="0" w:color="E26B0A"/>
      </w:pBdr>
      <w:shd w:val="clear" w:color="000000" w:fill="FCD5B4"/>
      <w:spacing w:before="100" w:beforeAutospacing="1" w:after="100" w:afterAutospacing="1"/>
    </w:pPr>
    <w:rPr>
      <w:rFonts w:ascii="Arial" w:hAnsi="Arial" w:cs="Arial"/>
      <w:sz w:val="18"/>
      <w:szCs w:val="18"/>
    </w:rPr>
  </w:style>
  <w:style w:type="paragraph" w:customStyle="1" w:styleId="xl130">
    <w:name w:val="xl130"/>
    <w:basedOn w:val="Normlny"/>
    <w:rsid w:val="00BB33FC"/>
    <w:pPr>
      <w:pBdr>
        <w:bottom w:val="single" w:sz="4" w:space="0" w:color="A6A6A6"/>
        <w:right w:val="single" w:sz="4" w:space="0" w:color="A6A6A6"/>
      </w:pBdr>
      <w:shd w:val="clear" w:color="000000" w:fill="FCD5B4"/>
      <w:spacing w:before="100" w:beforeAutospacing="1" w:after="100" w:afterAutospacing="1"/>
    </w:pPr>
    <w:rPr>
      <w:rFonts w:ascii="Arial" w:hAnsi="Arial" w:cs="Arial"/>
      <w:sz w:val="18"/>
      <w:szCs w:val="18"/>
    </w:rPr>
  </w:style>
  <w:style w:type="paragraph" w:customStyle="1" w:styleId="xl131">
    <w:name w:val="xl131"/>
    <w:basedOn w:val="Normlny"/>
    <w:rsid w:val="00BB33FC"/>
    <w:pPr>
      <w:pBdr>
        <w:right w:val="single" w:sz="4" w:space="0" w:color="A6A6A6"/>
      </w:pBdr>
      <w:shd w:val="clear" w:color="000000" w:fill="FCD5B4"/>
      <w:spacing w:before="100" w:beforeAutospacing="1" w:after="100" w:afterAutospacing="1"/>
    </w:pPr>
    <w:rPr>
      <w:rFonts w:ascii="Arial" w:hAnsi="Arial" w:cs="Arial"/>
      <w:sz w:val="18"/>
      <w:szCs w:val="18"/>
    </w:rPr>
  </w:style>
  <w:style w:type="paragraph" w:customStyle="1" w:styleId="xl132">
    <w:name w:val="xl132"/>
    <w:basedOn w:val="Normlny"/>
    <w:rsid w:val="00BB33FC"/>
    <w:pPr>
      <w:pBdr>
        <w:bottom w:val="single" w:sz="8" w:space="0" w:color="E26B0A"/>
        <w:right w:val="single" w:sz="8" w:space="0" w:color="E26B0A"/>
      </w:pBdr>
      <w:shd w:val="clear" w:color="000000" w:fill="FDE9D9"/>
      <w:spacing w:before="100" w:beforeAutospacing="1" w:after="100" w:afterAutospacing="1"/>
    </w:pPr>
    <w:rPr>
      <w:rFonts w:ascii="Arial" w:hAnsi="Arial" w:cs="Arial"/>
      <w:sz w:val="18"/>
      <w:szCs w:val="18"/>
    </w:rPr>
  </w:style>
  <w:style w:type="paragraph" w:customStyle="1" w:styleId="xl133">
    <w:name w:val="xl133"/>
    <w:basedOn w:val="Normlny"/>
    <w:rsid w:val="00BB33FC"/>
    <w:pPr>
      <w:pBdr>
        <w:right w:val="single" w:sz="8" w:space="0" w:color="E26B0A"/>
      </w:pBdr>
      <w:shd w:val="clear" w:color="000000" w:fill="FDE9D9"/>
      <w:spacing w:before="100" w:beforeAutospacing="1" w:after="100" w:afterAutospacing="1"/>
    </w:pPr>
    <w:rPr>
      <w:rFonts w:ascii="Arial" w:hAnsi="Arial" w:cs="Arial"/>
      <w:sz w:val="18"/>
      <w:szCs w:val="18"/>
    </w:rPr>
  </w:style>
  <w:style w:type="paragraph" w:customStyle="1" w:styleId="xl134">
    <w:name w:val="xl134"/>
    <w:basedOn w:val="Normlny"/>
    <w:rsid w:val="00BB33FC"/>
    <w:pPr>
      <w:pBdr>
        <w:top w:val="single" w:sz="4" w:space="0" w:color="A6A6A6"/>
        <w:bottom w:val="single" w:sz="4" w:space="0" w:color="A6A6A6"/>
        <w:right w:val="single" w:sz="8" w:space="0" w:color="E26B0A"/>
      </w:pBdr>
      <w:shd w:val="clear" w:color="000000" w:fill="FCD5B4"/>
      <w:spacing w:before="100" w:beforeAutospacing="1" w:after="100" w:afterAutospacing="1"/>
    </w:pPr>
    <w:rPr>
      <w:rFonts w:ascii="Arial" w:hAnsi="Arial" w:cs="Arial"/>
      <w:sz w:val="18"/>
      <w:szCs w:val="18"/>
    </w:rPr>
  </w:style>
  <w:style w:type="paragraph" w:customStyle="1" w:styleId="xl135">
    <w:name w:val="xl135"/>
    <w:basedOn w:val="Normlny"/>
    <w:rsid w:val="00BB33FC"/>
    <w:pPr>
      <w:spacing w:before="100" w:beforeAutospacing="1" w:after="100" w:afterAutospacing="1"/>
    </w:pPr>
    <w:rPr>
      <w:rFonts w:ascii="Arial" w:hAnsi="Arial" w:cs="Arial"/>
    </w:rPr>
  </w:style>
  <w:style w:type="paragraph" w:customStyle="1" w:styleId="xl136">
    <w:name w:val="xl136"/>
    <w:basedOn w:val="Normlny"/>
    <w:rsid w:val="00BB33FC"/>
    <w:pPr>
      <w:shd w:val="clear" w:color="000000" w:fill="FFFFFF"/>
      <w:spacing w:before="100" w:beforeAutospacing="1" w:after="100" w:afterAutospacing="1"/>
    </w:pPr>
    <w:rPr>
      <w:rFonts w:ascii="Arial" w:hAnsi="Arial" w:cs="Arial"/>
    </w:rPr>
  </w:style>
  <w:style w:type="paragraph" w:customStyle="1" w:styleId="xl137">
    <w:name w:val="xl137"/>
    <w:basedOn w:val="Normlny"/>
    <w:rsid w:val="00BB33FC"/>
    <w:pPr>
      <w:spacing w:before="100" w:beforeAutospacing="1" w:after="100" w:afterAutospacing="1"/>
    </w:pPr>
    <w:rPr>
      <w:sz w:val="32"/>
      <w:szCs w:val="32"/>
    </w:rPr>
  </w:style>
  <w:style w:type="paragraph" w:customStyle="1" w:styleId="xl138">
    <w:name w:val="xl138"/>
    <w:basedOn w:val="Normlny"/>
    <w:rsid w:val="00BB33FC"/>
    <w:pPr>
      <w:pBdr>
        <w:top w:val="single" w:sz="4" w:space="0" w:color="A6A6A6"/>
        <w:right w:val="single" w:sz="4" w:space="0" w:color="A6A6A6"/>
      </w:pBdr>
      <w:shd w:val="clear" w:color="000000" w:fill="FDE9D9"/>
      <w:spacing w:before="100" w:beforeAutospacing="1" w:after="100" w:afterAutospacing="1"/>
      <w:textAlignment w:val="top"/>
    </w:pPr>
    <w:rPr>
      <w:rFonts w:ascii="Arial" w:hAnsi="Arial" w:cs="Arial"/>
      <w:sz w:val="18"/>
      <w:szCs w:val="18"/>
    </w:rPr>
  </w:style>
  <w:style w:type="paragraph" w:customStyle="1" w:styleId="xl139">
    <w:name w:val="xl139"/>
    <w:basedOn w:val="Normlny"/>
    <w:rsid w:val="00BB33FC"/>
    <w:pPr>
      <w:pBdr>
        <w:top w:val="single" w:sz="4" w:space="0" w:color="A6A6A6"/>
        <w:bottom w:val="single" w:sz="8" w:space="0" w:color="E26B0A"/>
      </w:pBdr>
      <w:shd w:val="clear" w:color="000000" w:fill="FDE9D9"/>
      <w:spacing w:before="100" w:beforeAutospacing="1" w:after="100" w:afterAutospacing="1"/>
    </w:pPr>
    <w:rPr>
      <w:rFonts w:ascii="Arial" w:hAnsi="Arial" w:cs="Arial"/>
      <w:sz w:val="18"/>
      <w:szCs w:val="18"/>
    </w:rPr>
  </w:style>
  <w:style w:type="paragraph" w:customStyle="1" w:styleId="xl140">
    <w:name w:val="xl140"/>
    <w:basedOn w:val="Normlny"/>
    <w:rsid w:val="00BB33FC"/>
    <w:pPr>
      <w:spacing w:before="100" w:beforeAutospacing="1" w:after="100" w:afterAutospacing="1"/>
      <w:jc w:val="center"/>
    </w:pPr>
    <w:rPr>
      <w:b/>
      <w:bCs/>
    </w:rPr>
  </w:style>
  <w:style w:type="paragraph" w:customStyle="1" w:styleId="xl141">
    <w:name w:val="xl141"/>
    <w:basedOn w:val="Normlny"/>
    <w:rsid w:val="00BB33FC"/>
    <w:pPr>
      <w:pBdr>
        <w:top w:val="single" w:sz="8" w:space="0" w:color="E26B0A"/>
        <w:bottom w:val="single" w:sz="8" w:space="0" w:color="E26B0A"/>
        <w:right w:val="single" w:sz="4" w:space="0" w:color="A6A6A6"/>
      </w:pBdr>
      <w:spacing w:before="100" w:beforeAutospacing="1" w:after="100" w:afterAutospacing="1"/>
    </w:pPr>
    <w:rPr>
      <w:rFonts w:ascii="Arial" w:hAnsi="Arial" w:cs="Arial"/>
      <w:b/>
      <w:bCs/>
      <w:sz w:val="18"/>
      <w:szCs w:val="18"/>
    </w:rPr>
  </w:style>
  <w:style w:type="paragraph" w:customStyle="1" w:styleId="xl142">
    <w:name w:val="xl142"/>
    <w:basedOn w:val="Normlny"/>
    <w:rsid w:val="00BB33FC"/>
    <w:pPr>
      <w:pBdr>
        <w:top w:val="single" w:sz="8" w:space="0" w:color="E26B0A"/>
        <w:left w:val="single" w:sz="4" w:space="0" w:color="A6A6A6"/>
      </w:pBdr>
      <w:spacing w:before="100" w:beforeAutospacing="1" w:after="100" w:afterAutospacing="1"/>
    </w:pPr>
    <w:rPr>
      <w:rFonts w:ascii="Arial" w:hAnsi="Arial" w:cs="Arial"/>
      <w:sz w:val="18"/>
      <w:szCs w:val="18"/>
    </w:rPr>
  </w:style>
  <w:style w:type="paragraph" w:customStyle="1" w:styleId="xl143">
    <w:name w:val="xl143"/>
    <w:basedOn w:val="Normlny"/>
    <w:rsid w:val="00BB33FC"/>
    <w:pPr>
      <w:pBdr>
        <w:top w:val="single" w:sz="4" w:space="0" w:color="A6A6A6"/>
        <w:left w:val="single" w:sz="4" w:space="0" w:color="A6A6A6"/>
        <w:right w:val="single" w:sz="4" w:space="0" w:color="A6A6A6"/>
      </w:pBdr>
      <w:shd w:val="clear" w:color="000000" w:fill="FCD5B4"/>
      <w:spacing w:before="100" w:beforeAutospacing="1" w:after="100" w:afterAutospacing="1"/>
    </w:pPr>
    <w:rPr>
      <w:rFonts w:ascii="Arial" w:hAnsi="Arial" w:cs="Arial"/>
      <w:sz w:val="18"/>
      <w:szCs w:val="18"/>
    </w:rPr>
  </w:style>
  <w:style w:type="paragraph" w:customStyle="1" w:styleId="xl144">
    <w:name w:val="xl144"/>
    <w:basedOn w:val="Normlny"/>
    <w:rsid w:val="00BB33FC"/>
    <w:pPr>
      <w:pBdr>
        <w:top w:val="single" w:sz="4" w:space="0" w:color="A6A6A6"/>
        <w:bottom w:val="single" w:sz="8" w:space="0" w:color="E26B0A"/>
        <w:right w:val="single" w:sz="4" w:space="0" w:color="A6A6A6"/>
      </w:pBdr>
      <w:shd w:val="clear" w:color="000000" w:fill="FDE9D9"/>
      <w:spacing w:before="100" w:beforeAutospacing="1" w:after="100" w:afterAutospacing="1"/>
    </w:pPr>
    <w:rPr>
      <w:rFonts w:ascii="Arial" w:hAnsi="Arial" w:cs="Arial"/>
      <w:sz w:val="18"/>
      <w:szCs w:val="18"/>
    </w:rPr>
  </w:style>
  <w:style w:type="paragraph" w:customStyle="1" w:styleId="xl145">
    <w:name w:val="xl145"/>
    <w:basedOn w:val="Normlny"/>
    <w:rsid w:val="00BB33FC"/>
    <w:pPr>
      <w:pBdr>
        <w:top w:val="single" w:sz="8" w:space="0" w:color="E26B0A"/>
        <w:right w:val="single" w:sz="4" w:space="0" w:color="A6A6A6"/>
      </w:pBdr>
      <w:spacing w:before="100" w:beforeAutospacing="1" w:after="100" w:afterAutospacing="1"/>
    </w:pPr>
    <w:rPr>
      <w:rFonts w:ascii="Arial" w:hAnsi="Arial" w:cs="Arial"/>
      <w:sz w:val="18"/>
      <w:szCs w:val="18"/>
    </w:rPr>
  </w:style>
  <w:style w:type="paragraph" w:customStyle="1" w:styleId="xl146">
    <w:name w:val="xl146"/>
    <w:basedOn w:val="Normlny"/>
    <w:rsid w:val="00BB33FC"/>
    <w:pPr>
      <w:pBdr>
        <w:top w:val="single" w:sz="4" w:space="0" w:color="A6A6A6"/>
        <w:bottom w:val="single" w:sz="8" w:space="0" w:color="E26B0A"/>
        <w:right w:val="single" w:sz="4" w:space="0" w:color="A6A6A6"/>
      </w:pBdr>
      <w:shd w:val="clear" w:color="000000" w:fill="FCD5B4"/>
      <w:spacing w:before="100" w:beforeAutospacing="1" w:after="100" w:afterAutospacing="1"/>
    </w:pPr>
    <w:rPr>
      <w:rFonts w:ascii="Arial" w:hAnsi="Arial" w:cs="Arial"/>
      <w:sz w:val="18"/>
      <w:szCs w:val="18"/>
    </w:rPr>
  </w:style>
  <w:style w:type="paragraph" w:customStyle="1" w:styleId="xl147">
    <w:name w:val="xl147"/>
    <w:basedOn w:val="Normlny"/>
    <w:rsid w:val="00BB33FC"/>
    <w:pPr>
      <w:pBdr>
        <w:top w:val="single" w:sz="8" w:space="0" w:color="E26B0A"/>
      </w:pBdr>
      <w:spacing w:before="100" w:beforeAutospacing="1" w:after="100" w:afterAutospacing="1"/>
    </w:pPr>
    <w:rPr>
      <w:rFonts w:ascii="Arial" w:hAnsi="Arial" w:cs="Arial"/>
      <w:sz w:val="18"/>
      <w:szCs w:val="18"/>
    </w:rPr>
  </w:style>
  <w:style w:type="paragraph" w:customStyle="1" w:styleId="xl148">
    <w:name w:val="xl148"/>
    <w:basedOn w:val="Normlny"/>
    <w:rsid w:val="00BB33FC"/>
    <w:pPr>
      <w:pBdr>
        <w:bottom w:val="single" w:sz="4" w:space="0" w:color="A6A6A6"/>
        <w:right w:val="single" w:sz="4" w:space="0" w:color="A6A6A6"/>
      </w:pBdr>
      <w:shd w:val="clear" w:color="000000" w:fill="FDE9D9"/>
      <w:spacing w:before="100" w:beforeAutospacing="1" w:after="100" w:afterAutospacing="1"/>
    </w:pPr>
    <w:rPr>
      <w:rFonts w:ascii="Arial" w:hAnsi="Arial" w:cs="Arial"/>
      <w:sz w:val="18"/>
      <w:szCs w:val="18"/>
    </w:rPr>
  </w:style>
  <w:style w:type="paragraph" w:customStyle="1" w:styleId="xl149">
    <w:name w:val="xl149"/>
    <w:basedOn w:val="Normlny"/>
    <w:rsid w:val="00BB33FC"/>
    <w:pPr>
      <w:pBdr>
        <w:top w:val="single" w:sz="4" w:space="0" w:color="A6A6A6"/>
        <w:bottom w:val="single" w:sz="4" w:space="0" w:color="A6A6A6"/>
        <w:right w:val="single" w:sz="4" w:space="0" w:color="A6A6A6"/>
      </w:pBdr>
      <w:shd w:val="clear" w:color="000000" w:fill="FCD5B4"/>
      <w:spacing w:before="100" w:beforeAutospacing="1" w:after="100" w:afterAutospacing="1"/>
      <w:jc w:val="right"/>
    </w:pPr>
    <w:rPr>
      <w:rFonts w:ascii="Arial" w:hAnsi="Arial" w:cs="Arial"/>
      <w:sz w:val="18"/>
      <w:szCs w:val="18"/>
    </w:rPr>
  </w:style>
  <w:style w:type="paragraph" w:customStyle="1" w:styleId="xl150">
    <w:name w:val="xl150"/>
    <w:basedOn w:val="Normlny"/>
    <w:rsid w:val="00BB33FC"/>
    <w:pPr>
      <w:pBdr>
        <w:right w:val="single" w:sz="4" w:space="0" w:color="A6A6A6"/>
      </w:pBdr>
      <w:shd w:val="clear" w:color="000000" w:fill="FDE9D9"/>
      <w:spacing w:before="100" w:beforeAutospacing="1" w:after="100" w:afterAutospacing="1"/>
      <w:jc w:val="right"/>
    </w:pPr>
    <w:rPr>
      <w:rFonts w:ascii="Arial" w:hAnsi="Arial" w:cs="Arial"/>
      <w:sz w:val="18"/>
      <w:szCs w:val="18"/>
    </w:rPr>
  </w:style>
  <w:style w:type="paragraph" w:customStyle="1" w:styleId="xl151">
    <w:name w:val="xl151"/>
    <w:basedOn w:val="Normlny"/>
    <w:rsid w:val="00BB33FC"/>
    <w:pPr>
      <w:pBdr>
        <w:bottom w:val="single" w:sz="8" w:space="0" w:color="E26B0A"/>
        <w:right w:val="single" w:sz="4" w:space="0" w:color="A6A6A6"/>
      </w:pBdr>
      <w:shd w:val="clear" w:color="000000" w:fill="FDE9D9"/>
      <w:spacing w:before="100" w:beforeAutospacing="1" w:after="100" w:afterAutospacing="1"/>
      <w:jc w:val="right"/>
    </w:pPr>
    <w:rPr>
      <w:rFonts w:ascii="Arial" w:hAnsi="Arial" w:cs="Arial"/>
      <w:sz w:val="18"/>
      <w:szCs w:val="18"/>
    </w:rPr>
  </w:style>
  <w:style w:type="paragraph" w:customStyle="1" w:styleId="xl152">
    <w:name w:val="xl152"/>
    <w:basedOn w:val="Normlny"/>
    <w:rsid w:val="00BB33FC"/>
    <w:pPr>
      <w:pBdr>
        <w:top w:val="single" w:sz="4" w:space="0" w:color="A6A6A6"/>
        <w:right w:val="single" w:sz="4" w:space="0" w:color="A6A6A6"/>
      </w:pBdr>
      <w:shd w:val="clear" w:color="000000" w:fill="FCD5B4"/>
      <w:spacing w:before="100" w:beforeAutospacing="1" w:after="100" w:afterAutospacing="1"/>
      <w:jc w:val="right"/>
    </w:pPr>
    <w:rPr>
      <w:rFonts w:ascii="Arial" w:hAnsi="Arial" w:cs="Arial"/>
      <w:sz w:val="18"/>
      <w:szCs w:val="18"/>
    </w:rPr>
  </w:style>
  <w:style w:type="paragraph" w:customStyle="1" w:styleId="xl153">
    <w:name w:val="xl153"/>
    <w:basedOn w:val="Normlny"/>
    <w:rsid w:val="00BB33FC"/>
    <w:pPr>
      <w:pBdr>
        <w:right w:val="single" w:sz="4" w:space="0" w:color="A6A6A6"/>
      </w:pBdr>
      <w:shd w:val="clear" w:color="000000" w:fill="FCD5B4"/>
      <w:spacing w:before="100" w:beforeAutospacing="1" w:after="100" w:afterAutospacing="1"/>
      <w:jc w:val="right"/>
    </w:pPr>
    <w:rPr>
      <w:rFonts w:ascii="Arial" w:hAnsi="Arial" w:cs="Arial"/>
      <w:sz w:val="18"/>
      <w:szCs w:val="18"/>
    </w:rPr>
  </w:style>
  <w:style w:type="paragraph" w:customStyle="1" w:styleId="xl154">
    <w:name w:val="xl154"/>
    <w:basedOn w:val="Normlny"/>
    <w:rsid w:val="00BB33FC"/>
    <w:pPr>
      <w:pBdr>
        <w:bottom w:val="single" w:sz="4" w:space="0" w:color="A6A6A6"/>
        <w:right w:val="single" w:sz="4" w:space="0" w:color="A6A6A6"/>
      </w:pBdr>
      <w:shd w:val="clear" w:color="000000" w:fill="FCD5B4"/>
      <w:spacing w:before="100" w:beforeAutospacing="1" w:after="100" w:afterAutospacing="1"/>
      <w:jc w:val="right"/>
    </w:pPr>
    <w:rPr>
      <w:rFonts w:ascii="Arial" w:hAnsi="Arial" w:cs="Arial"/>
      <w:sz w:val="18"/>
      <w:szCs w:val="18"/>
    </w:rPr>
  </w:style>
  <w:style w:type="paragraph" w:customStyle="1" w:styleId="xl155">
    <w:name w:val="xl155"/>
    <w:basedOn w:val="Normlny"/>
    <w:rsid w:val="00BB33FC"/>
    <w:pPr>
      <w:pBdr>
        <w:bottom w:val="single" w:sz="8" w:space="0" w:color="E26B0A"/>
        <w:right w:val="single" w:sz="4" w:space="0" w:color="A6A6A6"/>
      </w:pBdr>
      <w:shd w:val="clear" w:color="000000" w:fill="FCD5B4"/>
      <w:spacing w:before="100" w:beforeAutospacing="1" w:after="100" w:afterAutospacing="1"/>
      <w:jc w:val="right"/>
    </w:pPr>
    <w:rPr>
      <w:rFonts w:ascii="Arial" w:hAnsi="Arial" w:cs="Arial"/>
      <w:sz w:val="18"/>
      <w:szCs w:val="18"/>
    </w:rPr>
  </w:style>
  <w:style w:type="paragraph" w:customStyle="1" w:styleId="xl156">
    <w:name w:val="xl156"/>
    <w:basedOn w:val="Normlny"/>
    <w:rsid w:val="00BB33FC"/>
    <w:pPr>
      <w:pBdr>
        <w:top w:val="single" w:sz="4" w:space="0" w:color="A6A6A6"/>
        <w:right w:val="single" w:sz="4" w:space="0" w:color="A6A6A6"/>
      </w:pBdr>
      <w:shd w:val="clear" w:color="000000" w:fill="FDE9D9"/>
      <w:spacing w:before="100" w:beforeAutospacing="1" w:after="100" w:afterAutospacing="1"/>
      <w:jc w:val="right"/>
    </w:pPr>
    <w:rPr>
      <w:rFonts w:ascii="Arial" w:hAnsi="Arial" w:cs="Arial"/>
      <w:sz w:val="18"/>
      <w:szCs w:val="18"/>
    </w:rPr>
  </w:style>
  <w:style w:type="paragraph" w:customStyle="1" w:styleId="xl157">
    <w:name w:val="xl157"/>
    <w:basedOn w:val="Normlny"/>
    <w:rsid w:val="00BB33FC"/>
    <w:pPr>
      <w:pBdr>
        <w:bottom w:val="single" w:sz="4" w:space="0" w:color="A6A6A6"/>
        <w:right w:val="single" w:sz="4" w:space="0" w:color="A6A6A6"/>
      </w:pBdr>
      <w:shd w:val="clear" w:color="000000" w:fill="FDE9D9"/>
      <w:spacing w:before="100" w:beforeAutospacing="1" w:after="100" w:afterAutospacing="1"/>
      <w:jc w:val="right"/>
    </w:pPr>
    <w:rPr>
      <w:rFonts w:ascii="Arial" w:hAnsi="Arial" w:cs="Arial"/>
      <w:sz w:val="18"/>
      <w:szCs w:val="18"/>
    </w:rPr>
  </w:style>
  <w:style w:type="paragraph" w:customStyle="1" w:styleId="xl158">
    <w:name w:val="xl158"/>
    <w:basedOn w:val="Normlny"/>
    <w:rsid w:val="00BB33FC"/>
    <w:pPr>
      <w:pBdr>
        <w:top w:val="single" w:sz="8" w:space="0" w:color="E26B0A"/>
      </w:pBdr>
      <w:spacing w:before="100" w:beforeAutospacing="1" w:after="100" w:afterAutospacing="1"/>
      <w:jc w:val="right"/>
    </w:pPr>
    <w:rPr>
      <w:rFonts w:ascii="Arial" w:hAnsi="Arial" w:cs="Arial"/>
      <w:sz w:val="18"/>
      <w:szCs w:val="18"/>
    </w:rPr>
  </w:style>
  <w:style w:type="paragraph" w:customStyle="1" w:styleId="xl159">
    <w:name w:val="xl159"/>
    <w:basedOn w:val="Normlny"/>
    <w:rsid w:val="00BB33FC"/>
    <w:pPr>
      <w:pBdr>
        <w:top w:val="single" w:sz="4" w:space="0" w:color="A6A6A6"/>
        <w:bottom w:val="single" w:sz="8" w:space="0" w:color="E26B0A"/>
      </w:pBdr>
      <w:shd w:val="clear" w:color="000000" w:fill="FDE9D9"/>
      <w:spacing w:before="100" w:beforeAutospacing="1" w:after="100" w:afterAutospacing="1"/>
      <w:jc w:val="right"/>
    </w:pPr>
    <w:rPr>
      <w:rFonts w:ascii="Arial" w:hAnsi="Arial" w:cs="Arial"/>
      <w:sz w:val="18"/>
      <w:szCs w:val="18"/>
    </w:rPr>
  </w:style>
  <w:style w:type="paragraph" w:customStyle="1" w:styleId="xl160">
    <w:name w:val="xl160"/>
    <w:basedOn w:val="Normlny"/>
    <w:rsid w:val="00BB33FC"/>
    <w:pPr>
      <w:pBdr>
        <w:top w:val="single" w:sz="4" w:space="0" w:color="A6A6A6"/>
        <w:bottom w:val="single" w:sz="8" w:space="0" w:color="E26B0A"/>
        <w:right w:val="single" w:sz="4" w:space="0" w:color="A6A6A6"/>
      </w:pBdr>
      <w:shd w:val="clear" w:color="000000" w:fill="FDE9D9"/>
      <w:spacing w:before="100" w:beforeAutospacing="1" w:after="100" w:afterAutospacing="1"/>
      <w:jc w:val="right"/>
    </w:pPr>
    <w:rPr>
      <w:rFonts w:ascii="Arial" w:hAnsi="Arial" w:cs="Arial"/>
      <w:sz w:val="18"/>
      <w:szCs w:val="18"/>
    </w:rPr>
  </w:style>
  <w:style w:type="paragraph" w:customStyle="1" w:styleId="xl161">
    <w:name w:val="xl161"/>
    <w:basedOn w:val="Normlny"/>
    <w:rsid w:val="00BB33FC"/>
    <w:pPr>
      <w:pBdr>
        <w:top w:val="single" w:sz="4" w:space="0" w:color="A6A6A6"/>
        <w:right w:val="single" w:sz="4" w:space="0" w:color="A6A6A6"/>
      </w:pBdr>
      <w:shd w:val="clear" w:color="000000" w:fill="FDE9D9"/>
      <w:spacing w:before="100" w:beforeAutospacing="1" w:after="100" w:afterAutospacing="1"/>
      <w:jc w:val="right"/>
      <w:textAlignment w:val="top"/>
    </w:pPr>
    <w:rPr>
      <w:rFonts w:ascii="Arial" w:hAnsi="Arial" w:cs="Arial"/>
      <w:sz w:val="18"/>
      <w:szCs w:val="18"/>
    </w:rPr>
  </w:style>
  <w:style w:type="paragraph" w:customStyle="1" w:styleId="xl162">
    <w:name w:val="xl162"/>
    <w:basedOn w:val="Normlny"/>
    <w:rsid w:val="00BB33FC"/>
    <w:pPr>
      <w:pBdr>
        <w:top w:val="single" w:sz="4" w:space="0" w:color="A6A6A6"/>
        <w:right w:val="single" w:sz="8" w:space="0" w:color="E26B0A"/>
      </w:pBdr>
      <w:shd w:val="clear" w:color="000000" w:fill="FDE9D9"/>
      <w:spacing w:before="100" w:beforeAutospacing="1" w:after="100" w:afterAutospacing="1"/>
      <w:textAlignment w:val="top"/>
    </w:pPr>
    <w:rPr>
      <w:rFonts w:ascii="Arial" w:hAnsi="Arial" w:cs="Arial"/>
      <w:sz w:val="18"/>
      <w:szCs w:val="18"/>
    </w:rPr>
  </w:style>
  <w:style w:type="paragraph" w:customStyle="1" w:styleId="xl163">
    <w:name w:val="xl163"/>
    <w:basedOn w:val="Normlny"/>
    <w:rsid w:val="00BB33FC"/>
    <w:pPr>
      <w:pBdr>
        <w:top w:val="single" w:sz="8" w:space="0" w:color="E26B0A"/>
      </w:pBdr>
      <w:spacing w:before="100" w:beforeAutospacing="1" w:after="100" w:afterAutospacing="1"/>
      <w:jc w:val="right"/>
    </w:pPr>
    <w:rPr>
      <w:rFonts w:ascii="Arial" w:hAnsi="Arial" w:cs="Arial"/>
      <w:sz w:val="18"/>
      <w:szCs w:val="18"/>
    </w:rPr>
  </w:style>
  <w:style w:type="paragraph" w:customStyle="1" w:styleId="xl164">
    <w:name w:val="xl164"/>
    <w:basedOn w:val="Normlny"/>
    <w:rsid w:val="00BB33FC"/>
    <w:pPr>
      <w:pBdr>
        <w:top w:val="single" w:sz="8" w:space="0" w:color="E26B0A"/>
        <w:right w:val="single" w:sz="4" w:space="0" w:color="A6A6A6"/>
      </w:pBdr>
      <w:spacing w:before="100" w:beforeAutospacing="1" w:after="100" w:afterAutospacing="1"/>
      <w:jc w:val="right"/>
    </w:pPr>
    <w:rPr>
      <w:rFonts w:ascii="Arial" w:hAnsi="Arial" w:cs="Arial"/>
      <w:sz w:val="18"/>
      <w:szCs w:val="18"/>
    </w:rPr>
  </w:style>
  <w:style w:type="paragraph" w:customStyle="1" w:styleId="xl165">
    <w:name w:val="xl165"/>
    <w:basedOn w:val="Normlny"/>
    <w:rsid w:val="00BB33FC"/>
    <w:pPr>
      <w:pBdr>
        <w:top w:val="single" w:sz="8" w:space="0" w:color="E26B0A"/>
        <w:left w:val="single" w:sz="4" w:space="0" w:color="A6A6A6"/>
        <w:right w:val="single" w:sz="4" w:space="0" w:color="A6A6A6"/>
      </w:pBdr>
      <w:spacing w:before="100" w:beforeAutospacing="1" w:after="100" w:afterAutospacing="1"/>
      <w:jc w:val="right"/>
    </w:pPr>
    <w:rPr>
      <w:rFonts w:ascii="Arial" w:hAnsi="Arial" w:cs="Arial"/>
      <w:sz w:val="18"/>
      <w:szCs w:val="18"/>
    </w:rPr>
  </w:style>
  <w:style w:type="paragraph" w:customStyle="1" w:styleId="xl166">
    <w:name w:val="xl166"/>
    <w:basedOn w:val="Normlny"/>
    <w:rsid w:val="00BB33FC"/>
    <w:pPr>
      <w:pBdr>
        <w:top w:val="single" w:sz="8" w:space="0" w:color="E26B0A"/>
        <w:left w:val="single" w:sz="4" w:space="0" w:color="A6A6A6"/>
      </w:pBdr>
      <w:spacing w:before="100" w:beforeAutospacing="1" w:after="100" w:afterAutospacing="1"/>
      <w:jc w:val="right"/>
    </w:pPr>
    <w:rPr>
      <w:rFonts w:ascii="Arial" w:hAnsi="Arial" w:cs="Arial"/>
      <w:sz w:val="18"/>
      <w:szCs w:val="18"/>
    </w:rPr>
  </w:style>
  <w:style w:type="paragraph" w:customStyle="1" w:styleId="xl167">
    <w:name w:val="xl167"/>
    <w:basedOn w:val="Normlny"/>
    <w:rsid w:val="00BB33FC"/>
    <w:pPr>
      <w:pBdr>
        <w:top w:val="single" w:sz="4" w:space="0" w:color="A6A6A6"/>
        <w:right w:val="single" w:sz="4" w:space="0" w:color="A6A6A6"/>
      </w:pBdr>
      <w:shd w:val="clear" w:color="000000" w:fill="FCD5B4"/>
      <w:spacing w:before="100" w:beforeAutospacing="1" w:after="100" w:afterAutospacing="1"/>
      <w:jc w:val="right"/>
    </w:pPr>
    <w:rPr>
      <w:rFonts w:ascii="Arial" w:hAnsi="Arial" w:cs="Arial"/>
      <w:sz w:val="18"/>
      <w:szCs w:val="18"/>
    </w:rPr>
  </w:style>
  <w:style w:type="paragraph" w:customStyle="1" w:styleId="xl168">
    <w:name w:val="xl168"/>
    <w:basedOn w:val="Normlny"/>
    <w:rsid w:val="00BB33FC"/>
    <w:pPr>
      <w:pBdr>
        <w:top w:val="single" w:sz="4" w:space="0" w:color="A6A6A6"/>
        <w:right w:val="single" w:sz="4" w:space="0" w:color="A6A6A6"/>
      </w:pBdr>
      <w:shd w:val="clear" w:color="000000" w:fill="FCD5B4"/>
      <w:spacing w:before="100" w:beforeAutospacing="1" w:after="100" w:afterAutospacing="1"/>
    </w:pPr>
    <w:rPr>
      <w:rFonts w:ascii="Arial" w:hAnsi="Arial" w:cs="Arial"/>
      <w:sz w:val="18"/>
      <w:szCs w:val="18"/>
    </w:rPr>
  </w:style>
  <w:style w:type="paragraph" w:customStyle="1" w:styleId="xl169">
    <w:name w:val="xl169"/>
    <w:basedOn w:val="Normlny"/>
    <w:rsid w:val="00BB33FC"/>
    <w:pPr>
      <w:pBdr>
        <w:top w:val="single" w:sz="4" w:space="0" w:color="A6A6A6"/>
        <w:left w:val="single" w:sz="4" w:space="0" w:color="A6A6A6"/>
        <w:bottom w:val="single" w:sz="8" w:space="0" w:color="E26B0A"/>
        <w:right w:val="single" w:sz="4" w:space="0" w:color="A6A6A6"/>
      </w:pBdr>
      <w:shd w:val="clear" w:color="000000" w:fill="FDE9D9"/>
      <w:spacing w:before="100" w:beforeAutospacing="1" w:after="100" w:afterAutospacing="1"/>
      <w:jc w:val="right"/>
    </w:pPr>
    <w:rPr>
      <w:rFonts w:ascii="Arial" w:hAnsi="Arial" w:cs="Arial"/>
      <w:sz w:val="18"/>
      <w:szCs w:val="18"/>
    </w:rPr>
  </w:style>
  <w:style w:type="paragraph" w:customStyle="1" w:styleId="xl170">
    <w:name w:val="xl170"/>
    <w:basedOn w:val="Normlny"/>
    <w:rsid w:val="00BB33FC"/>
    <w:pPr>
      <w:pBdr>
        <w:top w:val="single" w:sz="4" w:space="0" w:color="A6A6A6"/>
        <w:bottom w:val="single" w:sz="8" w:space="0" w:color="E26B0A"/>
        <w:right w:val="single" w:sz="4" w:space="0" w:color="A6A6A6"/>
      </w:pBdr>
      <w:shd w:val="clear" w:color="000000" w:fill="FCD5B4"/>
      <w:spacing w:before="100" w:beforeAutospacing="1" w:after="100" w:afterAutospacing="1"/>
      <w:jc w:val="right"/>
    </w:pPr>
    <w:rPr>
      <w:rFonts w:ascii="Arial" w:hAnsi="Arial" w:cs="Arial"/>
      <w:sz w:val="18"/>
      <w:szCs w:val="18"/>
    </w:rPr>
  </w:style>
  <w:style w:type="paragraph" w:customStyle="1" w:styleId="xl171">
    <w:name w:val="xl171"/>
    <w:basedOn w:val="Normlny"/>
    <w:rsid w:val="00BB33FC"/>
    <w:pPr>
      <w:pBdr>
        <w:top w:val="single" w:sz="4" w:space="0" w:color="A6A6A6"/>
        <w:right w:val="single" w:sz="4" w:space="0" w:color="A6A6A6"/>
      </w:pBdr>
      <w:shd w:val="clear" w:color="000000" w:fill="FDE9D9"/>
      <w:spacing w:before="100" w:beforeAutospacing="1" w:after="100" w:afterAutospacing="1"/>
    </w:pPr>
    <w:rPr>
      <w:rFonts w:ascii="Arial" w:hAnsi="Arial" w:cs="Arial"/>
      <w:sz w:val="18"/>
      <w:szCs w:val="18"/>
    </w:rPr>
  </w:style>
  <w:style w:type="paragraph" w:customStyle="1" w:styleId="xl172">
    <w:name w:val="xl172"/>
    <w:basedOn w:val="Normlny"/>
    <w:rsid w:val="00BB33FC"/>
    <w:pPr>
      <w:pBdr>
        <w:bottom w:val="single" w:sz="8" w:space="0" w:color="E26B0A"/>
        <w:right w:val="single" w:sz="4" w:space="0" w:color="A6A6A6"/>
      </w:pBdr>
      <w:shd w:val="clear" w:color="000000" w:fill="FCD5B4"/>
      <w:spacing w:before="100" w:beforeAutospacing="1" w:after="100" w:afterAutospacing="1"/>
    </w:pPr>
    <w:rPr>
      <w:rFonts w:ascii="Arial" w:hAnsi="Arial" w:cs="Arial"/>
      <w:sz w:val="18"/>
      <w:szCs w:val="18"/>
    </w:rPr>
  </w:style>
  <w:style w:type="paragraph" w:customStyle="1" w:styleId="xl173">
    <w:name w:val="xl173"/>
    <w:basedOn w:val="Normlny"/>
    <w:rsid w:val="00BB33FC"/>
    <w:pPr>
      <w:pBdr>
        <w:right w:val="single" w:sz="4" w:space="0" w:color="A6A6A6"/>
      </w:pBdr>
      <w:shd w:val="clear" w:color="000000" w:fill="FCD5B4"/>
      <w:spacing w:before="100" w:beforeAutospacing="1" w:after="100" w:afterAutospacing="1"/>
    </w:pPr>
    <w:rPr>
      <w:rFonts w:ascii="Arial" w:hAnsi="Arial" w:cs="Arial"/>
      <w:sz w:val="18"/>
      <w:szCs w:val="18"/>
    </w:rPr>
  </w:style>
  <w:style w:type="paragraph" w:customStyle="1" w:styleId="xl174">
    <w:name w:val="xl174"/>
    <w:basedOn w:val="Normlny"/>
    <w:rsid w:val="00BB33FC"/>
    <w:pPr>
      <w:pBdr>
        <w:top w:val="single" w:sz="4" w:space="0" w:color="A6A6A6"/>
        <w:right w:val="single" w:sz="4" w:space="0" w:color="A6A6A6"/>
      </w:pBdr>
      <w:shd w:val="clear" w:color="000000" w:fill="FCD5B4"/>
      <w:spacing w:before="100" w:beforeAutospacing="1" w:after="100" w:afterAutospacing="1"/>
    </w:pPr>
    <w:rPr>
      <w:rFonts w:ascii="Arial" w:hAnsi="Arial" w:cs="Arial"/>
      <w:sz w:val="18"/>
      <w:szCs w:val="18"/>
    </w:rPr>
  </w:style>
  <w:style w:type="paragraph" w:customStyle="1" w:styleId="xl175">
    <w:name w:val="xl175"/>
    <w:basedOn w:val="Normlny"/>
    <w:rsid w:val="00BB33FC"/>
    <w:pPr>
      <w:pBdr>
        <w:bottom w:val="single" w:sz="8" w:space="0" w:color="E26B0A"/>
        <w:right w:val="single" w:sz="4" w:space="0" w:color="A6A6A6"/>
      </w:pBdr>
      <w:shd w:val="clear" w:color="000000" w:fill="FDE9D9"/>
      <w:spacing w:before="100" w:beforeAutospacing="1" w:after="100" w:afterAutospacing="1"/>
    </w:pPr>
    <w:rPr>
      <w:rFonts w:ascii="Arial" w:hAnsi="Arial" w:cs="Arial"/>
      <w:sz w:val="18"/>
      <w:szCs w:val="18"/>
    </w:rPr>
  </w:style>
  <w:style w:type="paragraph" w:customStyle="1" w:styleId="xl176">
    <w:name w:val="xl176"/>
    <w:basedOn w:val="Normlny"/>
    <w:rsid w:val="00BB33FC"/>
    <w:pPr>
      <w:pBdr>
        <w:right w:val="single" w:sz="4" w:space="0" w:color="A6A6A6"/>
      </w:pBdr>
      <w:shd w:val="clear" w:color="000000" w:fill="FDE9D9"/>
      <w:spacing w:before="100" w:beforeAutospacing="1" w:after="100" w:afterAutospacing="1"/>
    </w:pPr>
    <w:rPr>
      <w:rFonts w:ascii="Arial" w:hAnsi="Arial" w:cs="Arial"/>
      <w:sz w:val="18"/>
      <w:szCs w:val="18"/>
    </w:rPr>
  </w:style>
  <w:style w:type="paragraph" w:customStyle="1" w:styleId="xl177">
    <w:name w:val="xl177"/>
    <w:basedOn w:val="Normlny"/>
    <w:rsid w:val="00BB33FC"/>
    <w:pPr>
      <w:pBdr>
        <w:top w:val="single" w:sz="4" w:space="0" w:color="A6A6A6"/>
        <w:bottom w:val="single" w:sz="4" w:space="0" w:color="A6A6A6"/>
        <w:right w:val="single" w:sz="4" w:space="0" w:color="A6A6A6"/>
      </w:pBdr>
      <w:shd w:val="clear" w:color="000000" w:fill="FCD5B4"/>
      <w:spacing w:before="100" w:beforeAutospacing="1" w:after="100" w:afterAutospacing="1"/>
    </w:pPr>
    <w:rPr>
      <w:rFonts w:ascii="Arial" w:hAnsi="Arial" w:cs="Arial"/>
      <w:sz w:val="18"/>
      <w:szCs w:val="18"/>
    </w:rPr>
  </w:style>
  <w:style w:type="paragraph" w:customStyle="1" w:styleId="xl178">
    <w:name w:val="xl178"/>
    <w:basedOn w:val="Normlny"/>
    <w:rsid w:val="00BB33FC"/>
    <w:pPr>
      <w:pBdr>
        <w:top w:val="single" w:sz="8" w:space="0" w:color="E26B0A"/>
        <w:bottom w:val="single" w:sz="8" w:space="0" w:color="E26B0A"/>
        <w:right w:val="single" w:sz="4" w:space="0" w:color="A6A6A6"/>
      </w:pBdr>
      <w:spacing w:before="100" w:beforeAutospacing="1" w:after="100" w:afterAutospacing="1"/>
      <w:jc w:val="center"/>
    </w:pPr>
    <w:rPr>
      <w:rFonts w:ascii="Arial" w:hAnsi="Arial" w:cs="Arial"/>
      <w:b/>
      <w:bCs/>
      <w:sz w:val="18"/>
      <w:szCs w:val="18"/>
    </w:rPr>
  </w:style>
  <w:style w:type="paragraph" w:customStyle="1" w:styleId="xl179">
    <w:name w:val="xl179"/>
    <w:basedOn w:val="Normlny"/>
    <w:rsid w:val="00BB33FC"/>
    <w:pPr>
      <w:spacing w:before="100" w:beforeAutospacing="1" w:after="100" w:afterAutospacing="1"/>
    </w:pPr>
  </w:style>
  <w:style w:type="paragraph" w:customStyle="1" w:styleId="xl180">
    <w:name w:val="xl180"/>
    <w:basedOn w:val="Normlny"/>
    <w:rsid w:val="00BB33FC"/>
    <w:pPr>
      <w:shd w:val="clear" w:color="000000" w:fill="FFFFFF"/>
      <w:spacing w:before="100" w:beforeAutospacing="1" w:after="100" w:afterAutospacing="1"/>
      <w:textAlignment w:val="top"/>
    </w:pPr>
    <w:rPr>
      <w:rFonts w:ascii="Arial" w:hAnsi="Arial" w:cs="Arial"/>
      <w:sz w:val="20"/>
      <w:szCs w:val="20"/>
    </w:rPr>
  </w:style>
  <w:style w:type="paragraph" w:customStyle="1" w:styleId="xl181">
    <w:name w:val="xl181"/>
    <w:basedOn w:val="Normlny"/>
    <w:rsid w:val="00BB33FC"/>
    <w:pPr>
      <w:shd w:val="clear" w:color="000000" w:fill="FCD5B4"/>
      <w:spacing w:before="100" w:beforeAutospacing="1" w:after="100" w:afterAutospacing="1"/>
    </w:pPr>
    <w:rPr>
      <w:rFonts w:ascii="Arial" w:hAnsi="Arial" w:cs="Arial"/>
      <w:sz w:val="18"/>
      <w:szCs w:val="18"/>
    </w:rPr>
  </w:style>
  <w:style w:type="paragraph" w:customStyle="1" w:styleId="xl182">
    <w:name w:val="xl182"/>
    <w:basedOn w:val="Normlny"/>
    <w:rsid w:val="00BB33FC"/>
    <w:pPr>
      <w:pBdr>
        <w:top w:val="single" w:sz="8" w:space="0" w:color="E26B0A"/>
      </w:pBdr>
      <w:spacing w:before="100" w:beforeAutospacing="1" w:after="100" w:afterAutospacing="1"/>
    </w:pPr>
    <w:rPr>
      <w:rFonts w:ascii="Arial" w:hAnsi="Arial" w:cs="Arial"/>
      <w:b/>
      <w:bCs/>
      <w:sz w:val="20"/>
      <w:szCs w:val="20"/>
    </w:rPr>
  </w:style>
  <w:style w:type="paragraph" w:customStyle="1" w:styleId="xl183">
    <w:name w:val="xl183"/>
    <w:basedOn w:val="Normlny"/>
    <w:rsid w:val="00BB33FC"/>
    <w:pPr>
      <w:pBdr>
        <w:top w:val="single" w:sz="4" w:space="0" w:color="A6A6A6"/>
        <w:bottom w:val="single" w:sz="4" w:space="0" w:color="A6A6A6"/>
        <w:right w:val="single" w:sz="4" w:space="0" w:color="A6A6A6"/>
      </w:pBdr>
      <w:shd w:val="clear" w:color="000000" w:fill="FCD5B4"/>
      <w:spacing w:before="100" w:beforeAutospacing="1" w:after="100" w:afterAutospacing="1"/>
    </w:pPr>
    <w:rPr>
      <w:rFonts w:ascii="Arial" w:hAnsi="Arial" w:cs="Arial"/>
      <w:sz w:val="20"/>
      <w:szCs w:val="20"/>
    </w:rPr>
  </w:style>
  <w:style w:type="paragraph" w:customStyle="1" w:styleId="xl184">
    <w:name w:val="xl184"/>
    <w:basedOn w:val="Normlny"/>
    <w:rsid w:val="00BB33FC"/>
    <w:pPr>
      <w:pBdr>
        <w:right w:val="single" w:sz="4" w:space="0" w:color="A6A6A6"/>
      </w:pBdr>
      <w:shd w:val="clear" w:color="000000" w:fill="FDE9D9"/>
      <w:spacing w:before="100" w:beforeAutospacing="1" w:after="100" w:afterAutospacing="1"/>
    </w:pPr>
    <w:rPr>
      <w:rFonts w:ascii="Arial" w:hAnsi="Arial" w:cs="Arial"/>
      <w:sz w:val="20"/>
      <w:szCs w:val="20"/>
    </w:rPr>
  </w:style>
  <w:style w:type="paragraph" w:customStyle="1" w:styleId="xl185">
    <w:name w:val="xl185"/>
    <w:basedOn w:val="Normlny"/>
    <w:rsid w:val="00BB33FC"/>
    <w:pPr>
      <w:pBdr>
        <w:bottom w:val="single" w:sz="8" w:space="0" w:color="E26B0A"/>
        <w:right w:val="single" w:sz="4" w:space="0" w:color="A6A6A6"/>
      </w:pBdr>
      <w:shd w:val="clear" w:color="000000" w:fill="FDE9D9"/>
      <w:spacing w:before="100" w:beforeAutospacing="1" w:after="100" w:afterAutospacing="1"/>
    </w:pPr>
    <w:rPr>
      <w:rFonts w:ascii="Arial" w:hAnsi="Arial" w:cs="Arial"/>
      <w:color w:val="A6A6A6"/>
      <w:sz w:val="16"/>
      <w:szCs w:val="16"/>
    </w:rPr>
  </w:style>
  <w:style w:type="paragraph" w:customStyle="1" w:styleId="xl186">
    <w:name w:val="xl186"/>
    <w:basedOn w:val="Normlny"/>
    <w:rsid w:val="00BB33FC"/>
    <w:pPr>
      <w:pBdr>
        <w:right w:val="single" w:sz="4" w:space="0" w:color="A6A6A6"/>
      </w:pBdr>
      <w:shd w:val="clear" w:color="000000" w:fill="FCD5B4"/>
      <w:spacing w:before="100" w:beforeAutospacing="1" w:after="100" w:afterAutospacing="1"/>
    </w:pPr>
    <w:rPr>
      <w:rFonts w:ascii="Arial" w:hAnsi="Arial" w:cs="Arial"/>
      <w:sz w:val="20"/>
      <w:szCs w:val="20"/>
    </w:rPr>
  </w:style>
  <w:style w:type="paragraph" w:customStyle="1" w:styleId="xl187">
    <w:name w:val="xl187"/>
    <w:basedOn w:val="Normlny"/>
    <w:rsid w:val="00BB33FC"/>
    <w:pPr>
      <w:pBdr>
        <w:right w:val="single" w:sz="4" w:space="0" w:color="A6A6A6"/>
      </w:pBdr>
      <w:shd w:val="clear" w:color="000000" w:fill="FDE9D9"/>
      <w:spacing w:before="100" w:beforeAutospacing="1" w:after="100" w:afterAutospacing="1"/>
    </w:pPr>
    <w:rPr>
      <w:rFonts w:ascii="Arial" w:hAnsi="Arial" w:cs="Arial"/>
      <w:sz w:val="20"/>
      <w:szCs w:val="20"/>
    </w:rPr>
  </w:style>
  <w:style w:type="paragraph" w:customStyle="1" w:styleId="xl188">
    <w:name w:val="xl188"/>
    <w:basedOn w:val="Normlny"/>
    <w:rsid w:val="00BB33FC"/>
    <w:pPr>
      <w:pBdr>
        <w:right w:val="single" w:sz="4" w:space="0" w:color="A6A6A6"/>
      </w:pBdr>
      <w:shd w:val="clear" w:color="000000" w:fill="FDE9D9"/>
      <w:spacing w:before="100" w:beforeAutospacing="1" w:after="100" w:afterAutospacing="1"/>
    </w:pPr>
    <w:rPr>
      <w:rFonts w:ascii="Arial" w:hAnsi="Arial" w:cs="Arial"/>
      <w:sz w:val="20"/>
      <w:szCs w:val="20"/>
    </w:rPr>
  </w:style>
  <w:style w:type="paragraph" w:customStyle="1" w:styleId="xl189">
    <w:name w:val="xl189"/>
    <w:basedOn w:val="Normlny"/>
    <w:rsid w:val="00BB33FC"/>
    <w:pPr>
      <w:pBdr>
        <w:right w:val="single" w:sz="4" w:space="0" w:color="A6A6A6"/>
      </w:pBdr>
      <w:shd w:val="clear" w:color="000000" w:fill="FDE9D9"/>
      <w:spacing w:before="100" w:beforeAutospacing="1" w:after="100" w:afterAutospacing="1"/>
      <w:jc w:val="right"/>
    </w:pPr>
    <w:rPr>
      <w:rFonts w:ascii="Arial" w:hAnsi="Arial" w:cs="Arial"/>
      <w:color w:val="A6A6A6"/>
      <w:sz w:val="16"/>
      <w:szCs w:val="16"/>
    </w:rPr>
  </w:style>
  <w:style w:type="paragraph" w:customStyle="1" w:styleId="xl190">
    <w:name w:val="xl190"/>
    <w:basedOn w:val="Normlny"/>
    <w:rsid w:val="00BB33FC"/>
    <w:pPr>
      <w:pBdr>
        <w:bottom w:val="single" w:sz="8" w:space="0" w:color="E26B0A"/>
        <w:right w:val="single" w:sz="4" w:space="0" w:color="A6A6A6"/>
      </w:pBdr>
      <w:shd w:val="clear" w:color="000000" w:fill="FCD5B4"/>
      <w:spacing w:before="100" w:beforeAutospacing="1" w:after="100" w:afterAutospacing="1"/>
    </w:pPr>
    <w:rPr>
      <w:rFonts w:ascii="Arial" w:hAnsi="Arial" w:cs="Arial"/>
      <w:sz w:val="18"/>
      <w:szCs w:val="18"/>
    </w:rPr>
  </w:style>
  <w:style w:type="paragraph" w:customStyle="1" w:styleId="xl191">
    <w:name w:val="xl191"/>
    <w:basedOn w:val="Normlny"/>
    <w:rsid w:val="00BB33FC"/>
    <w:pPr>
      <w:pBdr>
        <w:top w:val="single" w:sz="4" w:space="0" w:color="A6A6A6"/>
        <w:right w:val="single" w:sz="4" w:space="0" w:color="A6A6A6"/>
      </w:pBdr>
      <w:shd w:val="clear" w:color="000000" w:fill="FCD5B4"/>
      <w:spacing w:before="100" w:beforeAutospacing="1" w:after="100" w:afterAutospacing="1"/>
    </w:pPr>
    <w:rPr>
      <w:rFonts w:ascii="Arial" w:hAnsi="Arial" w:cs="Arial"/>
      <w:sz w:val="20"/>
      <w:szCs w:val="20"/>
    </w:rPr>
  </w:style>
  <w:style w:type="paragraph" w:customStyle="1" w:styleId="xl192">
    <w:name w:val="xl192"/>
    <w:basedOn w:val="Normlny"/>
    <w:rsid w:val="00BB33FC"/>
    <w:pPr>
      <w:pBdr>
        <w:top w:val="single" w:sz="4" w:space="0" w:color="A6A6A6"/>
        <w:right w:val="single" w:sz="4" w:space="0" w:color="A6A6A6"/>
      </w:pBdr>
      <w:shd w:val="clear" w:color="000000" w:fill="FDE9D9"/>
      <w:spacing w:before="100" w:beforeAutospacing="1" w:after="100" w:afterAutospacing="1"/>
      <w:textAlignment w:val="top"/>
    </w:pPr>
    <w:rPr>
      <w:rFonts w:ascii="Arial" w:hAnsi="Arial" w:cs="Arial"/>
      <w:sz w:val="20"/>
      <w:szCs w:val="20"/>
    </w:rPr>
  </w:style>
  <w:style w:type="paragraph" w:customStyle="1" w:styleId="xl193">
    <w:name w:val="xl193"/>
    <w:basedOn w:val="Normlny"/>
    <w:rsid w:val="00BB33FC"/>
    <w:pPr>
      <w:shd w:val="clear" w:color="000000" w:fill="FFCC99"/>
      <w:spacing w:before="100" w:beforeAutospacing="1" w:after="100" w:afterAutospacing="1"/>
      <w:jc w:val="right"/>
    </w:pPr>
    <w:rPr>
      <w:rFonts w:ascii="Arial" w:hAnsi="Arial" w:cs="Arial"/>
      <w:b/>
      <w:bCs/>
      <w:sz w:val="18"/>
      <w:szCs w:val="18"/>
    </w:rPr>
  </w:style>
  <w:style w:type="paragraph" w:customStyle="1" w:styleId="xl194">
    <w:name w:val="xl194"/>
    <w:basedOn w:val="Normlny"/>
    <w:rsid w:val="00BB33FC"/>
    <w:pPr>
      <w:pBdr>
        <w:top w:val="single" w:sz="8" w:space="0" w:color="E26B0A"/>
        <w:bottom w:val="single" w:sz="8" w:space="0" w:color="E26B0A"/>
        <w:right w:val="single" w:sz="4" w:space="0" w:color="A6A6A6"/>
      </w:pBdr>
      <w:spacing w:before="100" w:beforeAutospacing="1" w:after="100" w:afterAutospacing="1"/>
      <w:jc w:val="center"/>
    </w:pPr>
    <w:rPr>
      <w:rFonts w:ascii="Arial" w:hAnsi="Arial" w:cs="Arial"/>
      <w:b/>
      <w:bCs/>
      <w:sz w:val="18"/>
      <w:szCs w:val="18"/>
    </w:rPr>
  </w:style>
  <w:style w:type="paragraph" w:customStyle="1" w:styleId="xl195">
    <w:name w:val="xl195"/>
    <w:basedOn w:val="Normlny"/>
    <w:rsid w:val="00BB33FC"/>
    <w:pPr>
      <w:pBdr>
        <w:top w:val="single" w:sz="8" w:space="0" w:color="E26B0A"/>
        <w:right w:val="single" w:sz="8" w:space="0" w:color="E26B0A"/>
      </w:pBdr>
      <w:spacing w:before="100" w:beforeAutospacing="1" w:after="100" w:afterAutospacing="1"/>
    </w:pPr>
    <w:rPr>
      <w:rFonts w:ascii="Arial" w:hAnsi="Arial" w:cs="Arial"/>
      <w:b/>
      <w:bCs/>
      <w:sz w:val="18"/>
      <w:szCs w:val="18"/>
    </w:rPr>
  </w:style>
  <w:style w:type="paragraph" w:customStyle="1" w:styleId="xl196">
    <w:name w:val="xl196"/>
    <w:basedOn w:val="Normlny"/>
    <w:rsid w:val="00BB33FC"/>
    <w:pPr>
      <w:pBdr>
        <w:top w:val="single" w:sz="4" w:space="0" w:color="A6A6A6"/>
        <w:bottom w:val="single" w:sz="4" w:space="0" w:color="A6A6A6"/>
        <w:right w:val="single" w:sz="4" w:space="0" w:color="A6A6A6"/>
      </w:pBdr>
      <w:shd w:val="clear" w:color="000000" w:fill="FCD5B4"/>
      <w:spacing w:before="100" w:beforeAutospacing="1" w:after="100" w:afterAutospacing="1"/>
      <w:jc w:val="right"/>
    </w:pPr>
    <w:rPr>
      <w:rFonts w:ascii="Arial" w:hAnsi="Arial" w:cs="Arial"/>
      <w:sz w:val="18"/>
      <w:szCs w:val="18"/>
    </w:rPr>
  </w:style>
  <w:style w:type="paragraph" w:customStyle="1" w:styleId="xl197">
    <w:name w:val="xl197"/>
    <w:basedOn w:val="Normlny"/>
    <w:rsid w:val="00BB33FC"/>
    <w:pPr>
      <w:pBdr>
        <w:right w:val="single" w:sz="4" w:space="0" w:color="A6A6A6"/>
      </w:pBdr>
      <w:shd w:val="clear" w:color="000000" w:fill="FDE9D9"/>
      <w:spacing w:before="100" w:beforeAutospacing="1" w:after="100" w:afterAutospacing="1"/>
      <w:jc w:val="right"/>
    </w:pPr>
    <w:rPr>
      <w:rFonts w:ascii="Arial" w:hAnsi="Arial" w:cs="Arial"/>
      <w:sz w:val="18"/>
      <w:szCs w:val="18"/>
    </w:rPr>
  </w:style>
  <w:style w:type="paragraph" w:customStyle="1" w:styleId="xl198">
    <w:name w:val="xl198"/>
    <w:basedOn w:val="Normlny"/>
    <w:rsid w:val="00BB33FC"/>
    <w:pPr>
      <w:pBdr>
        <w:bottom w:val="single" w:sz="8" w:space="0" w:color="E26B0A"/>
        <w:right w:val="single" w:sz="4" w:space="0" w:color="A6A6A6"/>
      </w:pBdr>
      <w:shd w:val="clear" w:color="000000" w:fill="FDE9D9"/>
      <w:spacing w:before="100" w:beforeAutospacing="1" w:after="100" w:afterAutospacing="1"/>
      <w:jc w:val="right"/>
    </w:pPr>
    <w:rPr>
      <w:rFonts w:ascii="Arial" w:hAnsi="Arial" w:cs="Arial"/>
      <w:sz w:val="18"/>
      <w:szCs w:val="18"/>
    </w:rPr>
  </w:style>
  <w:style w:type="paragraph" w:customStyle="1" w:styleId="xl199">
    <w:name w:val="xl199"/>
    <w:basedOn w:val="Normlny"/>
    <w:rsid w:val="00BB33FC"/>
    <w:pPr>
      <w:pBdr>
        <w:top w:val="single" w:sz="4" w:space="0" w:color="A6A6A6"/>
        <w:right w:val="single" w:sz="4" w:space="0" w:color="A6A6A6"/>
      </w:pBdr>
      <w:shd w:val="clear" w:color="000000" w:fill="FCD5B4"/>
      <w:spacing w:before="100" w:beforeAutospacing="1" w:after="100" w:afterAutospacing="1"/>
      <w:jc w:val="right"/>
    </w:pPr>
    <w:rPr>
      <w:rFonts w:ascii="Arial" w:hAnsi="Arial" w:cs="Arial"/>
      <w:sz w:val="18"/>
      <w:szCs w:val="18"/>
    </w:rPr>
  </w:style>
  <w:style w:type="paragraph" w:customStyle="1" w:styleId="xl200">
    <w:name w:val="xl200"/>
    <w:basedOn w:val="Normlny"/>
    <w:rsid w:val="00BB33FC"/>
    <w:pPr>
      <w:pBdr>
        <w:right w:val="single" w:sz="4" w:space="0" w:color="A6A6A6"/>
      </w:pBdr>
      <w:shd w:val="clear" w:color="000000" w:fill="FCD5B4"/>
      <w:spacing w:before="100" w:beforeAutospacing="1" w:after="100" w:afterAutospacing="1"/>
      <w:jc w:val="right"/>
    </w:pPr>
    <w:rPr>
      <w:rFonts w:ascii="Arial" w:hAnsi="Arial" w:cs="Arial"/>
      <w:sz w:val="18"/>
      <w:szCs w:val="18"/>
    </w:rPr>
  </w:style>
  <w:style w:type="paragraph" w:customStyle="1" w:styleId="xl201">
    <w:name w:val="xl201"/>
    <w:basedOn w:val="Normlny"/>
    <w:rsid w:val="00BB33FC"/>
    <w:pPr>
      <w:pBdr>
        <w:right w:val="single" w:sz="4" w:space="0" w:color="A6A6A6"/>
      </w:pBdr>
      <w:shd w:val="clear" w:color="000000" w:fill="FDE9D9"/>
      <w:spacing w:before="100" w:beforeAutospacing="1" w:after="100" w:afterAutospacing="1"/>
      <w:jc w:val="right"/>
    </w:pPr>
    <w:rPr>
      <w:rFonts w:ascii="Arial" w:hAnsi="Arial" w:cs="Arial"/>
      <w:sz w:val="18"/>
      <w:szCs w:val="18"/>
    </w:rPr>
  </w:style>
  <w:style w:type="paragraph" w:customStyle="1" w:styleId="xl202">
    <w:name w:val="xl202"/>
    <w:basedOn w:val="Normlny"/>
    <w:rsid w:val="00BB33FC"/>
    <w:pPr>
      <w:pBdr>
        <w:bottom w:val="single" w:sz="8" w:space="0" w:color="E26B0A"/>
        <w:right w:val="single" w:sz="4" w:space="0" w:color="A6A6A6"/>
      </w:pBdr>
      <w:shd w:val="clear" w:color="000000" w:fill="FDE9D9"/>
      <w:spacing w:before="100" w:beforeAutospacing="1" w:after="100" w:afterAutospacing="1"/>
      <w:jc w:val="right"/>
    </w:pPr>
    <w:rPr>
      <w:rFonts w:ascii="Arial" w:hAnsi="Arial" w:cs="Arial"/>
      <w:sz w:val="18"/>
      <w:szCs w:val="18"/>
    </w:rPr>
  </w:style>
  <w:style w:type="paragraph" w:customStyle="1" w:styleId="xl203">
    <w:name w:val="xl203"/>
    <w:basedOn w:val="Normlny"/>
    <w:rsid w:val="00BB33FC"/>
    <w:pPr>
      <w:pBdr>
        <w:top w:val="single" w:sz="4" w:space="0" w:color="A6A6A6"/>
        <w:bottom w:val="single" w:sz="4" w:space="0" w:color="A6A6A6"/>
        <w:right w:val="single" w:sz="4" w:space="0" w:color="A6A6A6"/>
      </w:pBdr>
      <w:shd w:val="clear" w:color="000000" w:fill="FCD5B4"/>
      <w:spacing w:before="100" w:beforeAutospacing="1" w:after="100" w:afterAutospacing="1"/>
      <w:jc w:val="right"/>
    </w:pPr>
    <w:rPr>
      <w:rFonts w:ascii="Arial" w:hAnsi="Arial" w:cs="Arial"/>
      <w:sz w:val="18"/>
      <w:szCs w:val="18"/>
    </w:rPr>
  </w:style>
  <w:style w:type="paragraph" w:customStyle="1" w:styleId="xl204">
    <w:name w:val="xl204"/>
    <w:basedOn w:val="Normlny"/>
    <w:rsid w:val="00BB33FC"/>
    <w:pPr>
      <w:pBdr>
        <w:bottom w:val="single" w:sz="8" w:space="0" w:color="E26B0A"/>
        <w:right w:val="single" w:sz="4" w:space="0" w:color="A6A6A6"/>
      </w:pBdr>
      <w:shd w:val="clear" w:color="000000" w:fill="FCD5B4"/>
      <w:spacing w:before="100" w:beforeAutospacing="1" w:after="100" w:afterAutospacing="1"/>
      <w:jc w:val="right"/>
    </w:pPr>
    <w:rPr>
      <w:rFonts w:ascii="Arial" w:hAnsi="Arial" w:cs="Arial"/>
      <w:sz w:val="18"/>
      <w:szCs w:val="18"/>
    </w:rPr>
  </w:style>
  <w:style w:type="paragraph" w:customStyle="1" w:styleId="xl205">
    <w:name w:val="xl205"/>
    <w:basedOn w:val="Normlny"/>
    <w:rsid w:val="00BB33FC"/>
    <w:pPr>
      <w:pBdr>
        <w:top w:val="single" w:sz="4" w:space="0" w:color="A6A6A6"/>
        <w:right w:val="single" w:sz="4" w:space="0" w:color="A6A6A6"/>
      </w:pBdr>
      <w:shd w:val="clear" w:color="000000" w:fill="FDE9D9"/>
      <w:spacing w:before="100" w:beforeAutospacing="1" w:after="100" w:afterAutospacing="1"/>
      <w:jc w:val="right"/>
    </w:pPr>
    <w:rPr>
      <w:rFonts w:ascii="Arial" w:hAnsi="Arial" w:cs="Arial"/>
      <w:sz w:val="18"/>
      <w:szCs w:val="18"/>
    </w:rPr>
  </w:style>
  <w:style w:type="paragraph" w:customStyle="1" w:styleId="xl206">
    <w:name w:val="xl206"/>
    <w:basedOn w:val="Normlny"/>
    <w:rsid w:val="00BB33FC"/>
    <w:pPr>
      <w:pBdr>
        <w:bottom w:val="single" w:sz="4" w:space="0" w:color="A6A6A6"/>
        <w:right w:val="single" w:sz="4" w:space="0" w:color="A6A6A6"/>
      </w:pBdr>
      <w:shd w:val="clear" w:color="000000" w:fill="FDE9D9"/>
      <w:spacing w:before="100" w:beforeAutospacing="1" w:after="100" w:afterAutospacing="1"/>
      <w:jc w:val="right"/>
    </w:pPr>
    <w:rPr>
      <w:rFonts w:ascii="Arial" w:hAnsi="Arial" w:cs="Arial"/>
      <w:sz w:val="18"/>
      <w:szCs w:val="18"/>
    </w:rPr>
  </w:style>
  <w:style w:type="paragraph" w:customStyle="1" w:styleId="xl207">
    <w:name w:val="xl207"/>
    <w:basedOn w:val="Normlny"/>
    <w:rsid w:val="00BB33FC"/>
    <w:pPr>
      <w:pBdr>
        <w:right w:val="single" w:sz="4" w:space="0" w:color="A6A6A6"/>
      </w:pBdr>
      <w:shd w:val="clear" w:color="000000" w:fill="FCD5B4"/>
      <w:spacing w:before="100" w:beforeAutospacing="1" w:after="100" w:afterAutospacing="1"/>
      <w:jc w:val="right"/>
    </w:pPr>
    <w:rPr>
      <w:rFonts w:ascii="Arial" w:hAnsi="Arial" w:cs="Arial"/>
      <w:sz w:val="18"/>
      <w:szCs w:val="18"/>
    </w:rPr>
  </w:style>
  <w:style w:type="paragraph" w:customStyle="1" w:styleId="xl208">
    <w:name w:val="xl208"/>
    <w:basedOn w:val="Normlny"/>
    <w:rsid w:val="00BB33FC"/>
    <w:pPr>
      <w:pBdr>
        <w:bottom w:val="single" w:sz="8" w:space="0" w:color="E26B0A"/>
        <w:right w:val="single" w:sz="4" w:space="0" w:color="A6A6A6"/>
      </w:pBdr>
      <w:shd w:val="clear" w:color="000000" w:fill="FCD5B4"/>
      <w:spacing w:before="100" w:beforeAutospacing="1" w:after="100" w:afterAutospacing="1"/>
      <w:jc w:val="right"/>
    </w:pPr>
    <w:rPr>
      <w:rFonts w:ascii="Arial" w:hAnsi="Arial" w:cs="Arial"/>
      <w:sz w:val="18"/>
      <w:szCs w:val="18"/>
    </w:rPr>
  </w:style>
  <w:style w:type="paragraph" w:customStyle="1" w:styleId="xl209">
    <w:name w:val="xl209"/>
    <w:basedOn w:val="Normlny"/>
    <w:rsid w:val="00BB33FC"/>
    <w:pPr>
      <w:pBdr>
        <w:right w:val="single" w:sz="4" w:space="0" w:color="A6A6A6"/>
      </w:pBdr>
      <w:shd w:val="clear" w:color="000000" w:fill="FDE9D9"/>
      <w:spacing w:before="100" w:beforeAutospacing="1" w:after="100" w:afterAutospacing="1"/>
      <w:jc w:val="right"/>
    </w:pPr>
    <w:rPr>
      <w:rFonts w:ascii="Arial" w:hAnsi="Arial" w:cs="Arial"/>
      <w:sz w:val="18"/>
      <w:szCs w:val="18"/>
    </w:rPr>
  </w:style>
  <w:style w:type="paragraph" w:customStyle="1" w:styleId="xl210">
    <w:name w:val="xl210"/>
    <w:basedOn w:val="Normlny"/>
    <w:rsid w:val="00BB33FC"/>
    <w:pPr>
      <w:pBdr>
        <w:bottom w:val="single" w:sz="8" w:space="0" w:color="E26B0A"/>
        <w:right w:val="single" w:sz="4" w:space="0" w:color="A6A6A6"/>
      </w:pBdr>
      <w:shd w:val="clear" w:color="000000" w:fill="FDE9D9"/>
      <w:spacing w:before="100" w:beforeAutospacing="1" w:after="100" w:afterAutospacing="1"/>
      <w:jc w:val="right"/>
    </w:pPr>
    <w:rPr>
      <w:rFonts w:ascii="Arial" w:hAnsi="Arial" w:cs="Arial"/>
      <w:sz w:val="18"/>
      <w:szCs w:val="18"/>
    </w:rPr>
  </w:style>
  <w:style w:type="paragraph" w:customStyle="1" w:styleId="xl211">
    <w:name w:val="xl211"/>
    <w:basedOn w:val="Normlny"/>
    <w:rsid w:val="00BB33FC"/>
    <w:pPr>
      <w:shd w:val="clear" w:color="000000" w:fill="FDE9D9"/>
      <w:spacing w:before="100" w:beforeAutospacing="1" w:after="100" w:afterAutospacing="1"/>
    </w:pPr>
    <w:rPr>
      <w:rFonts w:ascii="Arial" w:hAnsi="Arial" w:cs="Arial"/>
      <w:sz w:val="18"/>
      <w:szCs w:val="18"/>
    </w:rPr>
  </w:style>
  <w:style w:type="paragraph" w:customStyle="1" w:styleId="xl212">
    <w:name w:val="xl212"/>
    <w:basedOn w:val="Normlny"/>
    <w:rsid w:val="00BB33FC"/>
    <w:pPr>
      <w:pBdr>
        <w:right w:val="single" w:sz="4" w:space="0" w:color="A6A6A6"/>
      </w:pBdr>
      <w:shd w:val="clear" w:color="000000" w:fill="FDE9D9"/>
      <w:spacing w:before="100" w:beforeAutospacing="1" w:after="100" w:afterAutospacing="1"/>
    </w:pPr>
    <w:rPr>
      <w:rFonts w:ascii="Arial" w:hAnsi="Arial" w:cs="Arial"/>
      <w:sz w:val="18"/>
      <w:szCs w:val="18"/>
    </w:rPr>
  </w:style>
  <w:style w:type="paragraph" w:customStyle="1" w:styleId="xl213">
    <w:name w:val="xl213"/>
    <w:basedOn w:val="Normlny"/>
    <w:rsid w:val="00BB33FC"/>
    <w:pPr>
      <w:pBdr>
        <w:top w:val="single" w:sz="4" w:space="0" w:color="A6A6A6"/>
        <w:bottom w:val="single" w:sz="4" w:space="0" w:color="A6A6A6"/>
        <w:right w:val="single" w:sz="4" w:space="0" w:color="A6A6A6"/>
      </w:pBdr>
      <w:shd w:val="clear" w:color="000000" w:fill="FCD5B4"/>
      <w:spacing w:before="100" w:beforeAutospacing="1" w:after="100" w:afterAutospacing="1"/>
    </w:pPr>
    <w:rPr>
      <w:rFonts w:ascii="Arial" w:hAnsi="Arial" w:cs="Arial"/>
      <w:sz w:val="20"/>
      <w:szCs w:val="20"/>
    </w:rPr>
  </w:style>
  <w:style w:type="paragraph" w:customStyle="1" w:styleId="xl214">
    <w:name w:val="xl214"/>
    <w:basedOn w:val="Normlny"/>
    <w:rsid w:val="00BB33FC"/>
    <w:pPr>
      <w:pBdr>
        <w:top w:val="single" w:sz="4" w:space="0" w:color="A6A6A6"/>
        <w:right w:val="single" w:sz="4" w:space="0" w:color="A6A6A6"/>
      </w:pBdr>
      <w:shd w:val="clear" w:color="000000" w:fill="FDE9D9"/>
      <w:spacing w:before="100" w:beforeAutospacing="1" w:after="100" w:afterAutospacing="1"/>
    </w:pPr>
    <w:rPr>
      <w:rFonts w:ascii="Arial" w:hAnsi="Arial" w:cs="Arial"/>
      <w:sz w:val="20"/>
      <w:szCs w:val="20"/>
    </w:rPr>
  </w:style>
  <w:style w:type="paragraph" w:customStyle="1" w:styleId="xl215">
    <w:name w:val="xl215"/>
    <w:basedOn w:val="Normlny"/>
    <w:rsid w:val="00BB33FC"/>
    <w:pPr>
      <w:pBdr>
        <w:top w:val="single" w:sz="4" w:space="0" w:color="A6A6A6"/>
        <w:right w:val="single" w:sz="4" w:space="0" w:color="A6A6A6"/>
      </w:pBdr>
      <w:shd w:val="clear" w:color="000000" w:fill="FDE9D9"/>
      <w:spacing w:before="100" w:beforeAutospacing="1" w:after="100" w:afterAutospacing="1"/>
      <w:jc w:val="right"/>
    </w:pPr>
    <w:rPr>
      <w:rFonts w:ascii="Arial" w:hAnsi="Arial" w:cs="Arial"/>
      <w:sz w:val="18"/>
      <w:szCs w:val="18"/>
    </w:rPr>
  </w:style>
  <w:style w:type="paragraph" w:customStyle="1" w:styleId="xl216">
    <w:name w:val="xl216"/>
    <w:basedOn w:val="Normlny"/>
    <w:rsid w:val="00BB33FC"/>
    <w:pPr>
      <w:pBdr>
        <w:bottom w:val="single" w:sz="8" w:space="0" w:color="E26B0A"/>
        <w:right w:val="single" w:sz="4" w:space="0" w:color="A6A6A6"/>
      </w:pBdr>
      <w:shd w:val="clear" w:color="000000" w:fill="FCD5B4"/>
      <w:spacing w:before="100" w:beforeAutospacing="1" w:after="100" w:afterAutospacing="1"/>
    </w:pPr>
    <w:rPr>
      <w:rFonts w:ascii="Arial" w:hAnsi="Arial" w:cs="Arial"/>
      <w:sz w:val="20"/>
      <w:szCs w:val="20"/>
    </w:rPr>
  </w:style>
  <w:style w:type="paragraph" w:customStyle="1" w:styleId="xl217">
    <w:name w:val="xl217"/>
    <w:basedOn w:val="Normlny"/>
    <w:rsid w:val="00BB33FC"/>
    <w:pPr>
      <w:pBdr>
        <w:right w:val="single" w:sz="4" w:space="0" w:color="A6A6A6"/>
      </w:pBdr>
      <w:shd w:val="clear" w:color="000000" w:fill="FCD5B4"/>
      <w:spacing w:before="100" w:beforeAutospacing="1" w:after="100" w:afterAutospacing="1"/>
      <w:jc w:val="right"/>
    </w:pPr>
    <w:rPr>
      <w:rFonts w:ascii="Arial" w:hAnsi="Arial" w:cs="Arial"/>
      <w:sz w:val="18"/>
      <w:szCs w:val="18"/>
    </w:rPr>
  </w:style>
  <w:style w:type="paragraph" w:customStyle="1" w:styleId="xl218">
    <w:name w:val="xl218"/>
    <w:basedOn w:val="Normlny"/>
    <w:rsid w:val="00BB33FC"/>
    <w:pPr>
      <w:pBdr>
        <w:bottom w:val="single" w:sz="8" w:space="0" w:color="E26B0A"/>
        <w:right w:val="single" w:sz="4" w:space="0" w:color="A6A6A6"/>
      </w:pBdr>
      <w:shd w:val="clear" w:color="000000" w:fill="FCD5B4"/>
      <w:spacing w:before="100" w:beforeAutospacing="1" w:after="100" w:afterAutospacing="1"/>
      <w:jc w:val="right"/>
    </w:pPr>
    <w:rPr>
      <w:rFonts w:ascii="Arial" w:hAnsi="Arial" w:cs="Arial"/>
      <w:sz w:val="18"/>
      <w:szCs w:val="18"/>
    </w:rPr>
  </w:style>
  <w:style w:type="paragraph" w:customStyle="1" w:styleId="xl219">
    <w:name w:val="xl219"/>
    <w:basedOn w:val="Normlny"/>
    <w:rsid w:val="00BB33FC"/>
    <w:pPr>
      <w:pBdr>
        <w:bottom w:val="single" w:sz="8" w:space="0" w:color="E26B0A"/>
        <w:right w:val="single" w:sz="4" w:space="0" w:color="A6A6A6"/>
      </w:pBdr>
      <w:shd w:val="clear" w:color="000000" w:fill="FDE9D9"/>
      <w:spacing w:before="100" w:beforeAutospacing="1" w:after="100" w:afterAutospacing="1"/>
    </w:pPr>
    <w:rPr>
      <w:rFonts w:ascii="Arial" w:hAnsi="Arial" w:cs="Arial"/>
      <w:sz w:val="20"/>
      <w:szCs w:val="20"/>
    </w:rPr>
  </w:style>
  <w:style w:type="paragraph" w:customStyle="1" w:styleId="xl220">
    <w:name w:val="xl220"/>
    <w:basedOn w:val="Normlny"/>
    <w:rsid w:val="00BB33FC"/>
    <w:pPr>
      <w:pBdr>
        <w:top w:val="single" w:sz="4" w:space="0" w:color="A6A6A6"/>
        <w:bottom w:val="single" w:sz="8" w:space="0" w:color="E26B0A"/>
      </w:pBdr>
      <w:shd w:val="clear" w:color="000000" w:fill="FDE9D9"/>
      <w:spacing w:before="100" w:beforeAutospacing="1" w:after="100" w:afterAutospacing="1"/>
      <w:jc w:val="right"/>
    </w:pPr>
    <w:rPr>
      <w:rFonts w:ascii="Arial" w:hAnsi="Arial" w:cs="Arial"/>
      <w:sz w:val="18"/>
      <w:szCs w:val="18"/>
    </w:rPr>
  </w:style>
  <w:style w:type="paragraph" w:customStyle="1" w:styleId="xl221">
    <w:name w:val="xl221"/>
    <w:basedOn w:val="Normlny"/>
    <w:rsid w:val="00BB33FC"/>
    <w:pPr>
      <w:pBdr>
        <w:top w:val="single" w:sz="4" w:space="0" w:color="A6A6A6"/>
      </w:pBdr>
      <w:shd w:val="clear" w:color="000000" w:fill="FDE9D9"/>
      <w:spacing w:before="100" w:beforeAutospacing="1" w:after="100" w:afterAutospacing="1"/>
    </w:pPr>
    <w:rPr>
      <w:rFonts w:ascii="Arial" w:hAnsi="Arial" w:cs="Arial"/>
      <w:sz w:val="18"/>
      <w:szCs w:val="18"/>
    </w:rPr>
  </w:style>
  <w:style w:type="paragraph" w:customStyle="1" w:styleId="xl222">
    <w:name w:val="xl222"/>
    <w:basedOn w:val="Normlny"/>
    <w:rsid w:val="00BB33FC"/>
    <w:pPr>
      <w:pBdr>
        <w:top w:val="single" w:sz="4" w:space="0" w:color="A6A6A6"/>
        <w:bottom w:val="single" w:sz="8" w:space="0" w:color="E26B0A"/>
        <w:right w:val="single" w:sz="4" w:space="0" w:color="A6A6A6"/>
      </w:pBdr>
      <w:shd w:val="clear" w:color="000000" w:fill="FDE9D9"/>
      <w:spacing w:before="100" w:beforeAutospacing="1" w:after="100" w:afterAutospacing="1"/>
      <w:textAlignment w:val="top"/>
    </w:pPr>
    <w:rPr>
      <w:rFonts w:ascii="Arial" w:hAnsi="Arial" w:cs="Arial"/>
      <w:b/>
      <w:bCs/>
      <w:sz w:val="20"/>
      <w:szCs w:val="20"/>
    </w:rPr>
  </w:style>
  <w:style w:type="paragraph" w:customStyle="1" w:styleId="xl223">
    <w:name w:val="xl223"/>
    <w:basedOn w:val="Normlny"/>
    <w:rsid w:val="00BB33FC"/>
    <w:pPr>
      <w:pBdr>
        <w:top w:val="single" w:sz="4" w:space="0" w:color="A6A6A6"/>
        <w:bottom w:val="single" w:sz="8" w:space="0" w:color="E26B0A"/>
        <w:right w:val="single" w:sz="4" w:space="0" w:color="A6A6A6"/>
      </w:pBdr>
      <w:shd w:val="clear" w:color="000000" w:fill="FDE9D9"/>
      <w:spacing w:before="100" w:beforeAutospacing="1" w:after="100" w:afterAutospacing="1"/>
      <w:jc w:val="right"/>
    </w:pPr>
    <w:rPr>
      <w:rFonts w:ascii="Arial" w:hAnsi="Arial" w:cs="Arial"/>
      <w:sz w:val="18"/>
      <w:szCs w:val="18"/>
    </w:rPr>
  </w:style>
  <w:style w:type="paragraph" w:customStyle="1" w:styleId="xl224">
    <w:name w:val="xl224"/>
    <w:basedOn w:val="Normlny"/>
    <w:rsid w:val="00BB33FC"/>
    <w:pPr>
      <w:pBdr>
        <w:top w:val="single" w:sz="4" w:space="0" w:color="A6A6A6"/>
        <w:bottom w:val="single" w:sz="8" w:space="0" w:color="E26B0A"/>
        <w:right w:val="single" w:sz="4" w:space="0" w:color="A6A6A6"/>
      </w:pBdr>
      <w:shd w:val="clear" w:color="000000" w:fill="FDE9D9"/>
      <w:spacing w:before="100" w:beforeAutospacing="1" w:after="100" w:afterAutospacing="1"/>
    </w:pPr>
    <w:rPr>
      <w:rFonts w:ascii="Arial" w:hAnsi="Arial" w:cs="Arial"/>
      <w:sz w:val="20"/>
      <w:szCs w:val="20"/>
    </w:rPr>
  </w:style>
  <w:style w:type="paragraph" w:customStyle="1" w:styleId="xl225">
    <w:name w:val="xl225"/>
    <w:basedOn w:val="Normlny"/>
    <w:rsid w:val="00BB33FC"/>
    <w:pPr>
      <w:pBdr>
        <w:top w:val="single" w:sz="4" w:space="0" w:color="A6A6A6"/>
        <w:bottom w:val="single" w:sz="8" w:space="0" w:color="E26B0A"/>
        <w:right w:val="single" w:sz="4" w:space="0" w:color="A6A6A6"/>
      </w:pBdr>
      <w:shd w:val="clear" w:color="000000" w:fill="FDE9D9"/>
      <w:spacing w:before="100" w:beforeAutospacing="1" w:after="100" w:afterAutospacing="1"/>
      <w:jc w:val="right"/>
    </w:pPr>
    <w:rPr>
      <w:rFonts w:ascii="Arial" w:hAnsi="Arial" w:cs="Arial"/>
      <w:sz w:val="18"/>
      <w:szCs w:val="18"/>
    </w:rPr>
  </w:style>
  <w:style w:type="paragraph" w:customStyle="1" w:styleId="xl226">
    <w:name w:val="xl226"/>
    <w:basedOn w:val="Normlny"/>
    <w:rsid w:val="00BB33FC"/>
    <w:pPr>
      <w:pBdr>
        <w:top w:val="single" w:sz="4" w:space="0" w:color="A6A6A6"/>
        <w:right w:val="single" w:sz="4" w:space="0" w:color="A6A6A6"/>
      </w:pBdr>
      <w:shd w:val="clear" w:color="000000" w:fill="FDE9D9"/>
      <w:spacing w:before="100" w:beforeAutospacing="1" w:after="100" w:afterAutospacing="1"/>
      <w:jc w:val="right"/>
      <w:textAlignment w:val="top"/>
    </w:pPr>
    <w:rPr>
      <w:rFonts w:ascii="Arial" w:hAnsi="Arial" w:cs="Arial"/>
      <w:sz w:val="18"/>
      <w:szCs w:val="18"/>
    </w:rPr>
  </w:style>
  <w:style w:type="paragraph" w:customStyle="1" w:styleId="xl227">
    <w:name w:val="xl227"/>
    <w:basedOn w:val="Normlny"/>
    <w:rsid w:val="00BB33FC"/>
    <w:pPr>
      <w:pBdr>
        <w:top w:val="single" w:sz="8" w:space="0" w:color="E26B0A"/>
        <w:right w:val="single" w:sz="4" w:space="0" w:color="A6A6A6"/>
      </w:pBdr>
      <w:spacing w:before="100" w:beforeAutospacing="1" w:after="100" w:afterAutospacing="1"/>
    </w:pPr>
    <w:rPr>
      <w:rFonts w:ascii="Arial" w:hAnsi="Arial" w:cs="Arial"/>
      <w:b/>
      <w:bCs/>
      <w:sz w:val="20"/>
      <w:szCs w:val="20"/>
    </w:rPr>
  </w:style>
  <w:style w:type="paragraph" w:customStyle="1" w:styleId="xl228">
    <w:name w:val="xl228"/>
    <w:basedOn w:val="Normlny"/>
    <w:rsid w:val="00BB33FC"/>
    <w:pPr>
      <w:pBdr>
        <w:right w:val="single" w:sz="4" w:space="0" w:color="A6A6A6"/>
      </w:pBdr>
      <w:shd w:val="clear" w:color="000000" w:fill="FCD5B4"/>
      <w:spacing w:before="100" w:beforeAutospacing="1" w:after="100" w:afterAutospacing="1"/>
      <w:textAlignment w:val="top"/>
    </w:pPr>
    <w:rPr>
      <w:rFonts w:ascii="Arial" w:hAnsi="Arial" w:cs="Arial"/>
      <w:sz w:val="20"/>
      <w:szCs w:val="20"/>
    </w:rPr>
  </w:style>
  <w:style w:type="paragraph" w:customStyle="1" w:styleId="xl229">
    <w:name w:val="xl229"/>
    <w:basedOn w:val="Normlny"/>
    <w:rsid w:val="00BB33FC"/>
    <w:pPr>
      <w:pBdr>
        <w:right w:val="single" w:sz="4" w:space="0" w:color="A6A6A6"/>
      </w:pBdr>
      <w:shd w:val="clear" w:color="000000" w:fill="FDE9D9"/>
      <w:spacing w:before="100" w:beforeAutospacing="1" w:after="100" w:afterAutospacing="1"/>
      <w:jc w:val="right"/>
    </w:pPr>
    <w:rPr>
      <w:rFonts w:ascii="Arial" w:hAnsi="Arial" w:cs="Arial"/>
      <w:i/>
      <w:iCs/>
      <w:color w:val="E26B0A"/>
      <w:sz w:val="16"/>
      <w:szCs w:val="16"/>
    </w:rPr>
  </w:style>
  <w:style w:type="paragraph" w:customStyle="1" w:styleId="xl230">
    <w:name w:val="xl230"/>
    <w:basedOn w:val="Normlny"/>
    <w:rsid w:val="00BB33FC"/>
    <w:pPr>
      <w:pBdr>
        <w:bottom w:val="single" w:sz="8" w:space="0" w:color="E26B0A"/>
        <w:right w:val="single" w:sz="4" w:space="0" w:color="A6A6A6"/>
      </w:pBdr>
      <w:shd w:val="clear" w:color="000000" w:fill="FDE9D9"/>
      <w:spacing w:before="100" w:beforeAutospacing="1" w:after="100" w:afterAutospacing="1"/>
      <w:jc w:val="right"/>
    </w:pPr>
    <w:rPr>
      <w:rFonts w:ascii="Arial" w:hAnsi="Arial" w:cs="Arial"/>
      <w:i/>
      <w:iCs/>
      <w:color w:val="E26B0A"/>
      <w:sz w:val="16"/>
      <w:szCs w:val="16"/>
    </w:rPr>
  </w:style>
  <w:style w:type="paragraph" w:customStyle="1" w:styleId="xl231">
    <w:name w:val="xl231"/>
    <w:basedOn w:val="Normlny"/>
    <w:rsid w:val="00BB33FC"/>
    <w:pPr>
      <w:pBdr>
        <w:right w:val="single" w:sz="4" w:space="0" w:color="A6A6A6"/>
      </w:pBdr>
      <w:shd w:val="clear" w:color="000000" w:fill="FDE9D9"/>
      <w:spacing w:before="100" w:beforeAutospacing="1" w:after="100" w:afterAutospacing="1"/>
    </w:pPr>
    <w:rPr>
      <w:rFonts w:ascii="Arial" w:hAnsi="Arial" w:cs="Arial"/>
      <w:i/>
      <w:iCs/>
      <w:color w:val="E26B0A"/>
      <w:sz w:val="16"/>
      <w:szCs w:val="16"/>
    </w:rPr>
  </w:style>
  <w:style w:type="paragraph" w:customStyle="1" w:styleId="xl232">
    <w:name w:val="xl232"/>
    <w:basedOn w:val="Normlny"/>
    <w:rsid w:val="00BB33FC"/>
    <w:pPr>
      <w:pBdr>
        <w:bottom w:val="single" w:sz="8" w:space="0" w:color="E26B0A"/>
        <w:right w:val="single" w:sz="4" w:space="0" w:color="A6A6A6"/>
      </w:pBdr>
      <w:shd w:val="clear" w:color="000000" w:fill="FDE9D9"/>
      <w:spacing w:before="100" w:beforeAutospacing="1" w:after="100" w:afterAutospacing="1"/>
    </w:pPr>
    <w:rPr>
      <w:rFonts w:ascii="Arial" w:hAnsi="Arial" w:cs="Arial"/>
      <w:i/>
      <w:iCs/>
      <w:color w:val="E26B0A"/>
      <w:sz w:val="16"/>
      <w:szCs w:val="16"/>
    </w:rPr>
  </w:style>
  <w:style w:type="paragraph" w:customStyle="1" w:styleId="xl233">
    <w:name w:val="xl233"/>
    <w:basedOn w:val="Normlny"/>
    <w:rsid w:val="00BB33FC"/>
    <w:pPr>
      <w:pBdr>
        <w:right w:val="single" w:sz="4" w:space="0" w:color="A6A6A6"/>
      </w:pBdr>
      <w:shd w:val="clear" w:color="000000" w:fill="FCD5B4"/>
      <w:spacing w:before="100" w:beforeAutospacing="1" w:after="100" w:afterAutospacing="1"/>
    </w:pPr>
    <w:rPr>
      <w:rFonts w:ascii="Arial" w:hAnsi="Arial" w:cs="Arial"/>
      <w:i/>
      <w:iCs/>
      <w:color w:val="E26B0A"/>
      <w:sz w:val="16"/>
      <w:szCs w:val="16"/>
    </w:rPr>
  </w:style>
  <w:style w:type="paragraph" w:customStyle="1" w:styleId="xl234">
    <w:name w:val="xl234"/>
    <w:basedOn w:val="Normlny"/>
    <w:rsid w:val="00BB33FC"/>
    <w:pPr>
      <w:pBdr>
        <w:bottom w:val="single" w:sz="4" w:space="0" w:color="A6A6A6"/>
        <w:right w:val="single" w:sz="4" w:space="0" w:color="A6A6A6"/>
      </w:pBdr>
      <w:shd w:val="clear" w:color="000000" w:fill="FCD5B4"/>
      <w:spacing w:before="100" w:beforeAutospacing="1" w:after="100" w:afterAutospacing="1"/>
    </w:pPr>
    <w:rPr>
      <w:rFonts w:ascii="Arial" w:hAnsi="Arial" w:cs="Arial"/>
      <w:i/>
      <w:iCs/>
      <w:color w:val="E26B0A"/>
      <w:sz w:val="16"/>
      <w:szCs w:val="16"/>
    </w:rPr>
  </w:style>
  <w:style w:type="paragraph" w:customStyle="1" w:styleId="xl235">
    <w:name w:val="xl235"/>
    <w:basedOn w:val="Normlny"/>
    <w:rsid w:val="00BB33FC"/>
    <w:pPr>
      <w:pBdr>
        <w:bottom w:val="single" w:sz="4" w:space="0" w:color="A6A6A6"/>
        <w:right w:val="single" w:sz="4" w:space="0" w:color="A6A6A6"/>
      </w:pBdr>
      <w:shd w:val="clear" w:color="000000" w:fill="FDE9D9"/>
      <w:spacing w:before="100" w:beforeAutospacing="1" w:after="100" w:afterAutospacing="1"/>
      <w:jc w:val="right"/>
    </w:pPr>
    <w:rPr>
      <w:rFonts w:ascii="Arial" w:hAnsi="Arial" w:cs="Arial"/>
      <w:i/>
      <w:iCs/>
      <w:color w:val="E26B0A"/>
      <w:sz w:val="16"/>
      <w:szCs w:val="16"/>
    </w:rPr>
  </w:style>
  <w:style w:type="paragraph" w:customStyle="1" w:styleId="xl236">
    <w:name w:val="xl236"/>
    <w:basedOn w:val="Normlny"/>
    <w:rsid w:val="00BB33FC"/>
    <w:pPr>
      <w:pBdr>
        <w:right w:val="single" w:sz="4" w:space="0" w:color="A6A6A6"/>
      </w:pBdr>
      <w:shd w:val="clear" w:color="000000" w:fill="FCD5B4"/>
      <w:spacing w:before="100" w:beforeAutospacing="1" w:after="100" w:afterAutospacing="1"/>
      <w:jc w:val="right"/>
    </w:pPr>
    <w:rPr>
      <w:rFonts w:ascii="Arial" w:hAnsi="Arial" w:cs="Arial"/>
      <w:i/>
      <w:iCs/>
      <w:color w:val="E26B0A"/>
      <w:sz w:val="16"/>
      <w:szCs w:val="16"/>
    </w:rPr>
  </w:style>
  <w:style w:type="paragraph" w:customStyle="1" w:styleId="xl237">
    <w:name w:val="xl237"/>
    <w:basedOn w:val="Normlny"/>
    <w:rsid w:val="00BB33FC"/>
    <w:pPr>
      <w:pBdr>
        <w:bottom w:val="single" w:sz="8" w:space="0" w:color="E26B0A"/>
        <w:right w:val="single" w:sz="4" w:space="0" w:color="A6A6A6"/>
      </w:pBdr>
      <w:shd w:val="clear" w:color="000000" w:fill="FCD5B4"/>
      <w:spacing w:before="100" w:beforeAutospacing="1" w:after="100" w:afterAutospacing="1"/>
      <w:jc w:val="right"/>
    </w:pPr>
    <w:rPr>
      <w:rFonts w:ascii="Arial" w:hAnsi="Arial" w:cs="Arial"/>
      <w:i/>
      <w:iCs/>
      <w:color w:val="E26B0A"/>
      <w:sz w:val="16"/>
      <w:szCs w:val="16"/>
    </w:rPr>
  </w:style>
  <w:style w:type="paragraph" w:customStyle="1" w:styleId="xl238">
    <w:name w:val="xl238"/>
    <w:basedOn w:val="Normlny"/>
    <w:rsid w:val="00BB33FC"/>
    <w:pPr>
      <w:pBdr>
        <w:top w:val="single" w:sz="4" w:space="0" w:color="A6A6A6"/>
        <w:right w:val="single" w:sz="4" w:space="0" w:color="A6A6A6"/>
      </w:pBdr>
      <w:shd w:val="clear" w:color="000000" w:fill="FCD5B4"/>
      <w:spacing w:before="100" w:beforeAutospacing="1" w:after="100" w:afterAutospacing="1"/>
      <w:jc w:val="right"/>
    </w:pPr>
    <w:rPr>
      <w:rFonts w:ascii="Arial" w:hAnsi="Arial" w:cs="Arial"/>
      <w:sz w:val="18"/>
      <w:szCs w:val="18"/>
    </w:rPr>
  </w:style>
  <w:style w:type="paragraph" w:customStyle="1" w:styleId="xl239">
    <w:name w:val="xl239"/>
    <w:basedOn w:val="Normlny"/>
    <w:rsid w:val="00BB33FC"/>
    <w:pPr>
      <w:pBdr>
        <w:top w:val="single" w:sz="4" w:space="0" w:color="A6A6A6"/>
        <w:bottom w:val="single" w:sz="8" w:space="0" w:color="E26B0A"/>
        <w:right w:val="single" w:sz="4" w:space="0" w:color="A6A6A6"/>
      </w:pBdr>
      <w:shd w:val="clear" w:color="000000" w:fill="FDE9D9"/>
      <w:spacing w:before="100" w:beforeAutospacing="1" w:after="100" w:afterAutospacing="1"/>
    </w:pPr>
    <w:rPr>
      <w:rFonts w:ascii="Arial" w:hAnsi="Arial" w:cs="Arial"/>
      <w:b/>
      <w:bCs/>
      <w:sz w:val="20"/>
      <w:szCs w:val="20"/>
    </w:rPr>
  </w:style>
  <w:style w:type="paragraph" w:customStyle="1" w:styleId="xl240">
    <w:name w:val="xl240"/>
    <w:basedOn w:val="Normlny"/>
    <w:rsid w:val="00BB33FC"/>
    <w:pPr>
      <w:pBdr>
        <w:top w:val="single" w:sz="4" w:space="0" w:color="A6A6A6"/>
        <w:bottom w:val="single" w:sz="8" w:space="0" w:color="E26B0A"/>
        <w:right w:val="single" w:sz="4" w:space="0" w:color="A6A6A6"/>
      </w:pBdr>
      <w:shd w:val="clear" w:color="000000" w:fill="FCD5B4"/>
      <w:spacing w:before="100" w:beforeAutospacing="1" w:after="100" w:afterAutospacing="1"/>
      <w:jc w:val="right"/>
    </w:pPr>
    <w:rPr>
      <w:rFonts w:ascii="Arial" w:hAnsi="Arial" w:cs="Arial"/>
      <w:sz w:val="18"/>
      <w:szCs w:val="18"/>
    </w:rPr>
  </w:style>
  <w:style w:type="paragraph" w:customStyle="1" w:styleId="xl241">
    <w:name w:val="xl241"/>
    <w:basedOn w:val="Normlny"/>
    <w:rsid w:val="00BB33FC"/>
    <w:pPr>
      <w:shd w:val="clear" w:color="000000" w:fill="FDE9D9"/>
      <w:spacing w:before="100" w:beforeAutospacing="1" w:after="100" w:afterAutospacing="1"/>
    </w:pPr>
    <w:rPr>
      <w:rFonts w:ascii="Arial" w:hAnsi="Arial" w:cs="Arial"/>
      <w:sz w:val="18"/>
      <w:szCs w:val="18"/>
    </w:rPr>
  </w:style>
  <w:style w:type="paragraph" w:customStyle="1" w:styleId="xl242">
    <w:name w:val="xl242"/>
    <w:basedOn w:val="Normlny"/>
    <w:rsid w:val="00BB33FC"/>
    <w:pPr>
      <w:pBdr>
        <w:bottom w:val="single" w:sz="8" w:space="0" w:color="E26B0A"/>
      </w:pBdr>
      <w:shd w:val="clear" w:color="000000" w:fill="FDE9D9"/>
      <w:spacing w:before="100" w:beforeAutospacing="1" w:after="100" w:afterAutospacing="1"/>
    </w:pPr>
    <w:rPr>
      <w:rFonts w:ascii="Arial" w:hAnsi="Arial" w:cs="Arial"/>
      <w:sz w:val="18"/>
      <w:szCs w:val="18"/>
    </w:rPr>
  </w:style>
  <w:style w:type="paragraph" w:customStyle="1" w:styleId="xl243">
    <w:name w:val="xl243"/>
    <w:basedOn w:val="Normlny"/>
    <w:rsid w:val="00BB33FC"/>
    <w:pPr>
      <w:pBdr>
        <w:top w:val="single" w:sz="4" w:space="0" w:color="A6A6A6"/>
        <w:left w:val="single" w:sz="8" w:space="0" w:color="E26B0A"/>
      </w:pBdr>
      <w:shd w:val="clear" w:color="000000" w:fill="FDE9D9"/>
      <w:spacing w:before="100" w:beforeAutospacing="1" w:after="100" w:afterAutospacing="1"/>
      <w:textAlignment w:val="top"/>
    </w:pPr>
    <w:rPr>
      <w:rFonts w:ascii="Arial" w:hAnsi="Arial" w:cs="Arial"/>
      <w:sz w:val="18"/>
      <w:szCs w:val="18"/>
    </w:rPr>
  </w:style>
  <w:style w:type="paragraph" w:customStyle="1" w:styleId="xl244">
    <w:name w:val="xl244"/>
    <w:basedOn w:val="Normlny"/>
    <w:rsid w:val="00BB33FC"/>
    <w:pPr>
      <w:pBdr>
        <w:top w:val="single" w:sz="4" w:space="0" w:color="A6A6A6"/>
        <w:right w:val="single" w:sz="4" w:space="0" w:color="A6A6A6"/>
      </w:pBdr>
      <w:shd w:val="clear" w:color="000000" w:fill="FDE9D9"/>
      <w:spacing w:before="100" w:beforeAutospacing="1" w:after="100" w:afterAutospacing="1"/>
      <w:textAlignment w:val="top"/>
    </w:pPr>
    <w:rPr>
      <w:rFonts w:ascii="Arial" w:hAnsi="Arial" w:cs="Arial"/>
      <w:sz w:val="18"/>
      <w:szCs w:val="18"/>
    </w:rPr>
  </w:style>
  <w:style w:type="paragraph" w:customStyle="1" w:styleId="xl245">
    <w:name w:val="xl245"/>
    <w:basedOn w:val="Normlny"/>
    <w:rsid w:val="00BB33FC"/>
    <w:pPr>
      <w:pBdr>
        <w:left w:val="single" w:sz="8" w:space="0" w:color="E26B0A"/>
      </w:pBdr>
      <w:shd w:val="clear" w:color="000000" w:fill="FDE9D9"/>
      <w:spacing w:before="100" w:beforeAutospacing="1" w:after="100" w:afterAutospacing="1"/>
      <w:textAlignment w:val="top"/>
    </w:pPr>
    <w:rPr>
      <w:rFonts w:ascii="Arial" w:hAnsi="Arial" w:cs="Arial"/>
      <w:sz w:val="18"/>
      <w:szCs w:val="18"/>
    </w:rPr>
  </w:style>
  <w:style w:type="paragraph" w:customStyle="1" w:styleId="xl246">
    <w:name w:val="xl246"/>
    <w:basedOn w:val="Normlny"/>
    <w:rsid w:val="00BB33FC"/>
    <w:pPr>
      <w:pBdr>
        <w:right w:val="single" w:sz="4" w:space="0" w:color="A6A6A6"/>
      </w:pBdr>
      <w:shd w:val="clear" w:color="000000" w:fill="FCD5B4"/>
      <w:spacing w:before="100" w:beforeAutospacing="1" w:after="100" w:afterAutospacing="1"/>
      <w:jc w:val="right"/>
    </w:pPr>
    <w:rPr>
      <w:rFonts w:ascii="Arial" w:hAnsi="Arial" w:cs="Arial"/>
      <w:sz w:val="18"/>
      <w:szCs w:val="18"/>
    </w:rPr>
  </w:style>
  <w:style w:type="paragraph" w:customStyle="1" w:styleId="xl247">
    <w:name w:val="xl247"/>
    <w:basedOn w:val="Normlny"/>
    <w:rsid w:val="00BB33FC"/>
    <w:pPr>
      <w:pBdr>
        <w:bottom w:val="single" w:sz="4" w:space="0" w:color="A6A6A6"/>
        <w:right w:val="single" w:sz="4" w:space="0" w:color="A6A6A6"/>
      </w:pBdr>
      <w:shd w:val="clear" w:color="000000" w:fill="FDE9D9"/>
      <w:spacing w:before="100" w:beforeAutospacing="1" w:after="100" w:afterAutospacing="1"/>
      <w:jc w:val="right"/>
    </w:pPr>
    <w:rPr>
      <w:rFonts w:ascii="Arial" w:hAnsi="Arial" w:cs="Arial"/>
      <w:i/>
      <w:iCs/>
      <w:color w:val="E26B0A"/>
      <w:sz w:val="16"/>
      <w:szCs w:val="16"/>
    </w:rPr>
  </w:style>
  <w:style w:type="paragraph" w:customStyle="1" w:styleId="xl248">
    <w:name w:val="xl248"/>
    <w:basedOn w:val="Normlny"/>
    <w:rsid w:val="00BB33FC"/>
    <w:pPr>
      <w:pBdr>
        <w:bottom w:val="single" w:sz="8" w:space="0" w:color="E26B0A"/>
        <w:right w:val="single" w:sz="4" w:space="0" w:color="A6A6A6"/>
      </w:pBdr>
      <w:shd w:val="clear" w:color="000000" w:fill="FCD5B4"/>
      <w:spacing w:before="100" w:beforeAutospacing="1" w:after="100" w:afterAutospacing="1"/>
      <w:jc w:val="right"/>
    </w:pPr>
    <w:rPr>
      <w:rFonts w:ascii="Arial" w:hAnsi="Arial" w:cs="Arial"/>
      <w:i/>
      <w:iCs/>
      <w:color w:val="E26B0A"/>
      <w:sz w:val="16"/>
      <w:szCs w:val="16"/>
    </w:rPr>
  </w:style>
  <w:style w:type="paragraph" w:customStyle="1" w:styleId="xl249">
    <w:name w:val="xl249"/>
    <w:basedOn w:val="Normlny"/>
    <w:rsid w:val="00BB33FC"/>
    <w:pPr>
      <w:spacing w:before="100" w:beforeAutospacing="1" w:after="100" w:afterAutospacing="1"/>
      <w:textAlignment w:val="top"/>
    </w:pPr>
    <w:rPr>
      <w:rFonts w:ascii="Arial" w:hAnsi="Arial" w:cs="Arial"/>
      <w:sz w:val="20"/>
      <w:szCs w:val="20"/>
    </w:rPr>
  </w:style>
  <w:style w:type="paragraph" w:customStyle="1" w:styleId="xl250">
    <w:name w:val="xl250"/>
    <w:basedOn w:val="Normlny"/>
    <w:rsid w:val="00BB33FC"/>
    <w:pPr>
      <w:pBdr>
        <w:top w:val="single" w:sz="4" w:space="0" w:color="A6A6A6"/>
        <w:left w:val="single" w:sz="8" w:space="0" w:color="E26B0A"/>
        <w:bottom w:val="single" w:sz="4" w:space="0" w:color="A6A6A6"/>
      </w:pBdr>
      <w:shd w:val="clear" w:color="000000" w:fill="FCD5B4"/>
      <w:spacing w:before="100" w:beforeAutospacing="1" w:after="100" w:afterAutospacing="1"/>
      <w:textAlignment w:val="top"/>
    </w:pPr>
    <w:rPr>
      <w:rFonts w:ascii="Arial" w:hAnsi="Arial" w:cs="Arial"/>
      <w:sz w:val="18"/>
      <w:szCs w:val="18"/>
    </w:rPr>
  </w:style>
  <w:style w:type="paragraph" w:customStyle="1" w:styleId="xl251">
    <w:name w:val="xl251"/>
    <w:basedOn w:val="Normlny"/>
    <w:rsid w:val="00BB33FC"/>
    <w:pPr>
      <w:shd w:val="clear" w:color="000000" w:fill="FDE9D9"/>
      <w:spacing w:before="100" w:beforeAutospacing="1" w:after="100" w:afterAutospacing="1"/>
      <w:textAlignment w:val="top"/>
    </w:pPr>
    <w:rPr>
      <w:rFonts w:ascii="Arial" w:hAnsi="Arial" w:cs="Arial"/>
      <w:sz w:val="18"/>
      <w:szCs w:val="18"/>
    </w:rPr>
  </w:style>
  <w:style w:type="paragraph" w:customStyle="1" w:styleId="xl252">
    <w:name w:val="xl252"/>
    <w:basedOn w:val="Normlny"/>
    <w:rsid w:val="00BB33FC"/>
    <w:pPr>
      <w:pBdr>
        <w:bottom w:val="single" w:sz="8" w:space="0" w:color="E26B0A"/>
      </w:pBdr>
      <w:shd w:val="clear" w:color="000000" w:fill="FDE9D9"/>
      <w:spacing w:before="100" w:beforeAutospacing="1" w:after="100" w:afterAutospacing="1"/>
      <w:textAlignment w:val="top"/>
    </w:pPr>
    <w:rPr>
      <w:rFonts w:ascii="Arial" w:hAnsi="Arial" w:cs="Arial"/>
      <w:sz w:val="18"/>
      <w:szCs w:val="18"/>
    </w:rPr>
  </w:style>
  <w:style w:type="paragraph" w:customStyle="1" w:styleId="xl253">
    <w:name w:val="xl253"/>
    <w:basedOn w:val="Normlny"/>
    <w:rsid w:val="00BB33FC"/>
    <w:pPr>
      <w:pBdr>
        <w:top w:val="single" w:sz="4" w:space="0" w:color="A6A6A6"/>
        <w:left w:val="single" w:sz="8" w:space="0" w:color="E26B0A"/>
      </w:pBdr>
      <w:shd w:val="clear" w:color="000000" w:fill="FCD5B4"/>
      <w:spacing w:before="100" w:beforeAutospacing="1" w:after="100" w:afterAutospacing="1"/>
      <w:textAlignment w:val="top"/>
    </w:pPr>
    <w:rPr>
      <w:rFonts w:ascii="Arial" w:hAnsi="Arial" w:cs="Arial"/>
      <w:sz w:val="18"/>
      <w:szCs w:val="18"/>
    </w:rPr>
  </w:style>
  <w:style w:type="paragraph" w:customStyle="1" w:styleId="xl254">
    <w:name w:val="xl254"/>
    <w:basedOn w:val="Normlny"/>
    <w:rsid w:val="00BB33FC"/>
    <w:pPr>
      <w:pBdr>
        <w:left w:val="single" w:sz="8" w:space="0" w:color="E26B0A"/>
      </w:pBdr>
      <w:shd w:val="clear" w:color="000000" w:fill="FCD5B4"/>
      <w:spacing w:before="100" w:beforeAutospacing="1" w:after="100" w:afterAutospacing="1"/>
      <w:textAlignment w:val="top"/>
    </w:pPr>
    <w:rPr>
      <w:rFonts w:ascii="Arial" w:hAnsi="Arial" w:cs="Arial"/>
      <w:sz w:val="18"/>
      <w:szCs w:val="18"/>
    </w:rPr>
  </w:style>
  <w:style w:type="paragraph" w:customStyle="1" w:styleId="xl255">
    <w:name w:val="xl255"/>
    <w:basedOn w:val="Normlny"/>
    <w:rsid w:val="00BB33FC"/>
    <w:pPr>
      <w:shd w:val="clear" w:color="000000" w:fill="FDE9D9"/>
      <w:spacing w:before="100" w:beforeAutospacing="1" w:after="100" w:afterAutospacing="1"/>
      <w:textAlignment w:val="top"/>
    </w:pPr>
    <w:rPr>
      <w:rFonts w:ascii="Arial" w:hAnsi="Arial" w:cs="Arial"/>
      <w:sz w:val="18"/>
      <w:szCs w:val="18"/>
    </w:rPr>
  </w:style>
  <w:style w:type="paragraph" w:customStyle="1" w:styleId="xl256">
    <w:name w:val="xl256"/>
    <w:basedOn w:val="Normlny"/>
    <w:rsid w:val="00BB33FC"/>
    <w:pPr>
      <w:pBdr>
        <w:left w:val="single" w:sz="8" w:space="0" w:color="E26B0A"/>
        <w:bottom w:val="single" w:sz="4" w:space="0" w:color="A6A6A6"/>
      </w:pBdr>
      <w:shd w:val="clear" w:color="000000" w:fill="FDE9D9"/>
      <w:spacing w:before="100" w:beforeAutospacing="1" w:after="100" w:afterAutospacing="1"/>
      <w:textAlignment w:val="top"/>
    </w:pPr>
    <w:rPr>
      <w:rFonts w:ascii="Arial" w:hAnsi="Arial" w:cs="Arial"/>
      <w:sz w:val="18"/>
      <w:szCs w:val="18"/>
    </w:rPr>
  </w:style>
  <w:style w:type="paragraph" w:customStyle="1" w:styleId="xl257">
    <w:name w:val="xl257"/>
    <w:basedOn w:val="Normlny"/>
    <w:rsid w:val="00BB33FC"/>
    <w:pPr>
      <w:shd w:val="clear" w:color="000000" w:fill="FCD5B4"/>
      <w:spacing w:before="100" w:beforeAutospacing="1" w:after="100" w:afterAutospacing="1"/>
      <w:textAlignment w:val="top"/>
    </w:pPr>
    <w:rPr>
      <w:rFonts w:ascii="Arial" w:hAnsi="Arial" w:cs="Arial"/>
      <w:sz w:val="18"/>
      <w:szCs w:val="18"/>
    </w:rPr>
  </w:style>
  <w:style w:type="paragraph" w:customStyle="1" w:styleId="xl258">
    <w:name w:val="xl258"/>
    <w:basedOn w:val="Normlny"/>
    <w:rsid w:val="00BB33FC"/>
    <w:pPr>
      <w:pBdr>
        <w:bottom w:val="single" w:sz="8" w:space="0" w:color="E26B0A"/>
      </w:pBdr>
      <w:shd w:val="clear" w:color="000000" w:fill="FCD5B4"/>
      <w:spacing w:before="100" w:beforeAutospacing="1" w:after="100" w:afterAutospacing="1"/>
      <w:textAlignment w:val="top"/>
    </w:pPr>
    <w:rPr>
      <w:rFonts w:ascii="Arial" w:hAnsi="Arial" w:cs="Arial"/>
      <w:sz w:val="18"/>
      <w:szCs w:val="18"/>
    </w:rPr>
  </w:style>
  <w:style w:type="paragraph" w:customStyle="1" w:styleId="xl259">
    <w:name w:val="xl259"/>
    <w:basedOn w:val="Normlny"/>
    <w:rsid w:val="00BB33FC"/>
    <w:pPr>
      <w:pBdr>
        <w:top w:val="single" w:sz="4" w:space="0" w:color="A6A6A6"/>
        <w:bottom w:val="single" w:sz="8" w:space="0" w:color="E26B0A"/>
      </w:pBdr>
      <w:shd w:val="clear" w:color="000000" w:fill="FDE9D9"/>
      <w:spacing w:before="100" w:beforeAutospacing="1" w:after="100" w:afterAutospacing="1"/>
    </w:pPr>
    <w:rPr>
      <w:rFonts w:ascii="Arial" w:hAnsi="Arial" w:cs="Arial"/>
      <w:sz w:val="18"/>
      <w:szCs w:val="18"/>
    </w:rPr>
  </w:style>
  <w:style w:type="paragraph" w:customStyle="1" w:styleId="xl260">
    <w:name w:val="xl260"/>
    <w:basedOn w:val="Normlny"/>
    <w:rsid w:val="00BB33FC"/>
    <w:pPr>
      <w:pBdr>
        <w:top w:val="single" w:sz="4" w:space="0" w:color="A6A6A6"/>
      </w:pBdr>
      <w:shd w:val="clear" w:color="000000" w:fill="FDE9D9"/>
      <w:spacing w:before="100" w:beforeAutospacing="1" w:after="100" w:afterAutospacing="1"/>
      <w:textAlignment w:val="top"/>
    </w:pPr>
    <w:rPr>
      <w:rFonts w:ascii="Arial" w:hAnsi="Arial" w:cs="Arial"/>
      <w:sz w:val="18"/>
      <w:szCs w:val="18"/>
    </w:rPr>
  </w:style>
  <w:style w:type="paragraph" w:customStyle="1" w:styleId="xl261">
    <w:name w:val="xl261"/>
    <w:basedOn w:val="Normlny"/>
    <w:rsid w:val="00BB33FC"/>
    <w:pPr>
      <w:pBdr>
        <w:top w:val="single" w:sz="4" w:space="0" w:color="A6A6A6"/>
        <w:bottom w:val="single" w:sz="4" w:space="0" w:color="A6A6A6"/>
      </w:pBdr>
      <w:shd w:val="clear" w:color="000000" w:fill="FCD5B4"/>
      <w:spacing w:before="100" w:beforeAutospacing="1" w:after="100" w:afterAutospacing="1"/>
    </w:pPr>
    <w:rPr>
      <w:rFonts w:ascii="Arial" w:hAnsi="Arial" w:cs="Arial"/>
      <w:sz w:val="18"/>
      <w:szCs w:val="18"/>
    </w:rPr>
  </w:style>
  <w:style w:type="paragraph" w:customStyle="1" w:styleId="xl262">
    <w:name w:val="xl262"/>
    <w:basedOn w:val="Normlny"/>
    <w:rsid w:val="00BB33FC"/>
    <w:pPr>
      <w:pBdr>
        <w:top w:val="single" w:sz="4" w:space="0" w:color="A6A6A6"/>
        <w:bottom w:val="single" w:sz="8" w:space="0" w:color="E26B0A"/>
      </w:pBdr>
      <w:shd w:val="clear" w:color="000000" w:fill="FDE9D9"/>
      <w:spacing w:before="100" w:beforeAutospacing="1" w:after="100" w:afterAutospacing="1"/>
      <w:textAlignment w:val="top"/>
    </w:pPr>
    <w:rPr>
      <w:rFonts w:ascii="Arial" w:hAnsi="Arial" w:cs="Arial"/>
      <w:sz w:val="18"/>
      <w:szCs w:val="18"/>
    </w:rPr>
  </w:style>
  <w:style w:type="paragraph" w:customStyle="1" w:styleId="xl263">
    <w:name w:val="xl263"/>
    <w:basedOn w:val="Normlny"/>
    <w:rsid w:val="00BB33FC"/>
    <w:pPr>
      <w:pBdr>
        <w:top w:val="single" w:sz="4" w:space="0" w:color="A6A6A6"/>
        <w:left w:val="single" w:sz="4" w:space="0" w:color="A6A6A6"/>
        <w:right w:val="single" w:sz="4" w:space="0" w:color="A6A6A6"/>
      </w:pBdr>
      <w:shd w:val="clear" w:color="000000" w:fill="FDE9D9"/>
      <w:spacing w:before="100" w:beforeAutospacing="1" w:after="100" w:afterAutospacing="1"/>
      <w:jc w:val="right"/>
    </w:pPr>
    <w:rPr>
      <w:rFonts w:ascii="Arial" w:hAnsi="Arial" w:cs="Arial"/>
      <w:sz w:val="18"/>
      <w:szCs w:val="18"/>
    </w:rPr>
  </w:style>
  <w:style w:type="paragraph" w:customStyle="1" w:styleId="xl264">
    <w:name w:val="xl264"/>
    <w:basedOn w:val="Normlny"/>
    <w:rsid w:val="00BB33FC"/>
    <w:pPr>
      <w:pBdr>
        <w:bottom w:val="single" w:sz="8" w:space="0" w:color="E26B0A"/>
      </w:pBdr>
      <w:shd w:val="clear" w:color="000000" w:fill="FDE9D9"/>
      <w:spacing w:before="100" w:beforeAutospacing="1" w:after="100" w:afterAutospacing="1"/>
    </w:pPr>
    <w:rPr>
      <w:rFonts w:ascii="Arial" w:hAnsi="Arial" w:cs="Arial"/>
      <w:sz w:val="18"/>
      <w:szCs w:val="18"/>
    </w:rPr>
  </w:style>
  <w:style w:type="paragraph" w:customStyle="1" w:styleId="xl265">
    <w:name w:val="xl265"/>
    <w:basedOn w:val="Normlny"/>
    <w:rsid w:val="00BB33FC"/>
    <w:pPr>
      <w:pBdr>
        <w:bottom w:val="single" w:sz="8" w:space="0" w:color="E26B0A"/>
      </w:pBdr>
      <w:shd w:val="clear" w:color="000000" w:fill="FDE9D9"/>
      <w:spacing w:before="100" w:beforeAutospacing="1" w:after="100" w:afterAutospacing="1"/>
      <w:textAlignment w:val="top"/>
    </w:pPr>
    <w:rPr>
      <w:rFonts w:ascii="Arial" w:hAnsi="Arial" w:cs="Arial"/>
      <w:sz w:val="18"/>
      <w:szCs w:val="18"/>
    </w:rPr>
  </w:style>
  <w:style w:type="paragraph" w:customStyle="1" w:styleId="xl266">
    <w:name w:val="xl266"/>
    <w:basedOn w:val="Normlny"/>
    <w:rsid w:val="00BB33FC"/>
    <w:pPr>
      <w:shd w:val="clear" w:color="000000" w:fill="FDE9D9"/>
      <w:spacing w:before="100" w:beforeAutospacing="1" w:after="100" w:afterAutospacing="1"/>
    </w:pPr>
    <w:rPr>
      <w:rFonts w:ascii="Arial" w:hAnsi="Arial" w:cs="Arial"/>
      <w:sz w:val="18"/>
      <w:szCs w:val="18"/>
    </w:rPr>
  </w:style>
  <w:style w:type="paragraph" w:customStyle="1" w:styleId="xl267">
    <w:name w:val="xl267"/>
    <w:basedOn w:val="Normlny"/>
    <w:rsid w:val="00BB33FC"/>
    <w:pPr>
      <w:pBdr>
        <w:top w:val="single" w:sz="4" w:space="0" w:color="A6A6A6"/>
      </w:pBdr>
      <w:shd w:val="clear" w:color="000000" w:fill="FCD5B4"/>
      <w:spacing w:before="100" w:beforeAutospacing="1" w:after="100" w:afterAutospacing="1"/>
    </w:pPr>
    <w:rPr>
      <w:rFonts w:ascii="Arial" w:hAnsi="Arial" w:cs="Arial"/>
      <w:sz w:val="18"/>
      <w:szCs w:val="18"/>
    </w:rPr>
  </w:style>
  <w:style w:type="paragraph" w:customStyle="1" w:styleId="xl268">
    <w:name w:val="xl268"/>
    <w:basedOn w:val="Normlny"/>
    <w:rsid w:val="00BB33FC"/>
    <w:pPr>
      <w:pBdr>
        <w:bottom w:val="single" w:sz="8" w:space="0" w:color="E26B0A"/>
      </w:pBdr>
      <w:shd w:val="clear" w:color="000000" w:fill="FCD5B4"/>
      <w:spacing w:before="100" w:beforeAutospacing="1" w:after="100" w:afterAutospacing="1"/>
    </w:pPr>
    <w:rPr>
      <w:rFonts w:ascii="Arial" w:hAnsi="Arial" w:cs="Arial"/>
      <w:sz w:val="18"/>
      <w:szCs w:val="18"/>
    </w:rPr>
  </w:style>
  <w:style w:type="paragraph" w:customStyle="1" w:styleId="xl269">
    <w:name w:val="xl269"/>
    <w:basedOn w:val="Normlny"/>
    <w:rsid w:val="00BB33FC"/>
    <w:pPr>
      <w:pBdr>
        <w:bottom w:val="single" w:sz="8" w:space="0" w:color="E26B0A"/>
      </w:pBdr>
      <w:shd w:val="clear" w:color="000000" w:fill="FDE9D9"/>
      <w:spacing w:before="100" w:beforeAutospacing="1" w:after="100" w:afterAutospacing="1"/>
    </w:pPr>
    <w:rPr>
      <w:rFonts w:ascii="Arial" w:hAnsi="Arial" w:cs="Arial"/>
      <w:sz w:val="18"/>
      <w:szCs w:val="18"/>
    </w:rPr>
  </w:style>
  <w:style w:type="paragraph" w:customStyle="1" w:styleId="xl270">
    <w:name w:val="xl270"/>
    <w:basedOn w:val="Normlny"/>
    <w:rsid w:val="00BB33FC"/>
    <w:pPr>
      <w:pBdr>
        <w:left w:val="single" w:sz="8" w:space="0" w:color="E26B0A"/>
        <w:right w:val="single" w:sz="8" w:space="0" w:color="E26B0A"/>
      </w:pBdr>
      <w:spacing w:before="100" w:beforeAutospacing="1" w:after="100" w:afterAutospacing="1"/>
      <w:textAlignment w:val="top"/>
    </w:pPr>
    <w:rPr>
      <w:rFonts w:ascii="Arial" w:hAnsi="Arial" w:cs="Arial"/>
      <w:b/>
      <w:bCs/>
      <w:sz w:val="20"/>
      <w:szCs w:val="20"/>
    </w:rPr>
  </w:style>
  <w:style w:type="paragraph" w:customStyle="1" w:styleId="xl271">
    <w:name w:val="xl271"/>
    <w:basedOn w:val="Normlny"/>
    <w:rsid w:val="00BB33FC"/>
    <w:pPr>
      <w:pBdr>
        <w:right w:val="single" w:sz="4" w:space="0" w:color="A6A6A6"/>
      </w:pBdr>
      <w:shd w:val="clear" w:color="000000" w:fill="FDE9D9"/>
      <w:spacing w:before="100" w:beforeAutospacing="1" w:after="100" w:afterAutospacing="1"/>
    </w:pPr>
    <w:rPr>
      <w:rFonts w:ascii="Arial" w:hAnsi="Arial" w:cs="Arial"/>
      <w:sz w:val="20"/>
      <w:szCs w:val="20"/>
    </w:rPr>
  </w:style>
  <w:style w:type="paragraph" w:customStyle="1" w:styleId="xl272">
    <w:name w:val="xl272"/>
    <w:basedOn w:val="Normlny"/>
    <w:rsid w:val="00BB33FC"/>
    <w:pPr>
      <w:pBdr>
        <w:right w:val="single" w:sz="4" w:space="0" w:color="A6A6A6"/>
      </w:pBdr>
      <w:shd w:val="clear" w:color="000000" w:fill="FCD5B4"/>
      <w:spacing w:before="100" w:beforeAutospacing="1" w:after="100" w:afterAutospacing="1"/>
    </w:pPr>
    <w:rPr>
      <w:rFonts w:ascii="Arial" w:hAnsi="Arial" w:cs="Arial"/>
      <w:i/>
      <w:iCs/>
      <w:color w:val="E26B0A"/>
      <w:sz w:val="16"/>
      <w:szCs w:val="16"/>
    </w:rPr>
  </w:style>
  <w:style w:type="paragraph" w:customStyle="1" w:styleId="xl273">
    <w:name w:val="xl273"/>
    <w:basedOn w:val="Normlny"/>
    <w:rsid w:val="00BB33FC"/>
    <w:pPr>
      <w:shd w:val="clear" w:color="000000" w:fill="FCD5B4"/>
      <w:spacing w:before="100" w:beforeAutospacing="1" w:after="100" w:afterAutospacing="1"/>
    </w:pPr>
    <w:rPr>
      <w:rFonts w:ascii="Arial" w:hAnsi="Arial" w:cs="Arial"/>
      <w:sz w:val="18"/>
      <w:szCs w:val="18"/>
    </w:rPr>
  </w:style>
  <w:style w:type="paragraph" w:customStyle="1" w:styleId="xl274">
    <w:name w:val="xl274"/>
    <w:basedOn w:val="Normlny"/>
    <w:rsid w:val="00BB33FC"/>
    <w:pPr>
      <w:pBdr>
        <w:left w:val="single" w:sz="8" w:space="0" w:color="E26B0A"/>
      </w:pBdr>
      <w:shd w:val="clear" w:color="000000" w:fill="FCD5B4"/>
      <w:spacing w:before="100" w:beforeAutospacing="1" w:after="100" w:afterAutospacing="1"/>
      <w:textAlignment w:val="top"/>
    </w:pPr>
    <w:rPr>
      <w:rFonts w:ascii="Arial" w:hAnsi="Arial" w:cs="Arial"/>
      <w:sz w:val="18"/>
      <w:szCs w:val="18"/>
    </w:rPr>
  </w:style>
  <w:style w:type="paragraph" w:customStyle="1" w:styleId="xl275">
    <w:name w:val="xl275"/>
    <w:basedOn w:val="Normlny"/>
    <w:rsid w:val="00BB33FC"/>
    <w:pPr>
      <w:shd w:val="clear" w:color="000000" w:fill="FDE9D9"/>
      <w:spacing w:before="100" w:beforeAutospacing="1" w:after="100" w:afterAutospacing="1"/>
      <w:textAlignment w:val="top"/>
    </w:pPr>
    <w:rPr>
      <w:rFonts w:ascii="Arial" w:hAnsi="Arial" w:cs="Arial"/>
      <w:sz w:val="18"/>
      <w:szCs w:val="18"/>
    </w:rPr>
  </w:style>
  <w:style w:type="paragraph" w:customStyle="1" w:styleId="xl276">
    <w:name w:val="xl276"/>
    <w:basedOn w:val="Normlny"/>
    <w:rsid w:val="00BB33FC"/>
    <w:pPr>
      <w:shd w:val="clear" w:color="000000" w:fill="FDE9D9"/>
      <w:spacing w:before="100" w:beforeAutospacing="1" w:after="100" w:afterAutospacing="1"/>
    </w:pPr>
    <w:rPr>
      <w:rFonts w:ascii="Arial" w:hAnsi="Arial" w:cs="Arial"/>
      <w:i/>
      <w:iCs/>
      <w:color w:val="E26B0A"/>
      <w:sz w:val="16"/>
      <w:szCs w:val="16"/>
    </w:rPr>
  </w:style>
  <w:style w:type="paragraph" w:customStyle="1" w:styleId="xl277">
    <w:name w:val="xl277"/>
    <w:basedOn w:val="Normlny"/>
    <w:rsid w:val="00BB33FC"/>
    <w:pPr>
      <w:shd w:val="clear" w:color="000000" w:fill="FDE9D9"/>
      <w:spacing w:before="100" w:beforeAutospacing="1" w:after="100" w:afterAutospacing="1"/>
      <w:jc w:val="right"/>
    </w:pPr>
    <w:rPr>
      <w:rFonts w:ascii="Arial" w:hAnsi="Arial" w:cs="Arial"/>
      <w:sz w:val="18"/>
      <w:szCs w:val="18"/>
    </w:rPr>
  </w:style>
  <w:style w:type="paragraph" w:customStyle="1" w:styleId="xl278">
    <w:name w:val="xl278"/>
    <w:basedOn w:val="Normlny"/>
    <w:rsid w:val="00BB33FC"/>
    <w:pPr>
      <w:pBdr>
        <w:left w:val="single" w:sz="8" w:space="0" w:color="E26B0A"/>
      </w:pBdr>
      <w:shd w:val="clear" w:color="000000" w:fill="FDE9D9"/>
      <w:spacing w:before="100" w:beforeAutospacing="1" w:after="100" w:afterAutospacing="1"/>
      <w:textAlignment w:val="top"/>
    </w:pPr>
    <w:rPr>
      <w:rFonts w:ascii="Arial" w:hAnsi="Arial" w:cs="Arial"/>
      <w:sz w:val="18"/>
      <w:szCs w:val="18"/>
    </w:rPr>
  </w:style>
  <w:style w:type="paragraph" w:customStyle="1" w:styleId="xl279">
    <w:name w:val="xl279"/>
    <w:basedOn w:val="Normlny"/>
    <w:rsid w:val="00BB33FC"/>
    <w:pPr>
      <w:pBdr>
        <w:left w:val="single" w:sz="8" w:space="0" w:color="E26B0A"/>
        <w:bottom w:val="single" w:sz="4" w:space="0" w:color="A6A6A6"/>
      </w:pBdr>
      <w:shd w:val="clear" w:color="000000" w:fill="FDE9D9"/>
      <w:spacing w:before="100" w:beforeAutospacing="1" w:after="100" w:afterAutospacing="1"/>
      <w:textAlignment w:val="top"/>
    </w:pPr>
    <w:rPr>
      <w:rFonts w:ascii="Arial" w:hAnsi="Arial" w:cs="Arial"/>
      <w:sz w:val="18"/>
      <w:szCs w:val="18"/>
    </w:rPr>
  </w:style>
  <w:style w:type="paragraph" w:customStyle="1" w:styleId="xl280">
    <w:name w:val="xl280"/>
    <w:basedOn w:val="Normlny"/>
    <w:rsid w:val="00BB33FC"/>
    <w:pPr>
      <w:shd w:val="clear" w:color="000000" w:fill="FCD5B4"/>
      <w:spacing w:before="100" w:beforeAutospacing="1" w:after="100" w:afterAutospacing="1"/>
      <w:textAlignment w:val="top"/>
    </w:pPr>
    <w:rPr>
      <w:rFonts w:ascii="Arial" w:hAnsi="Arial" w:cs="Arial"/>
      <w:sz w:val="18"/>
      <w:szCs w:val="18"/>
    </w:rPr>
  </w:style>
  <w:style w:type="paragraph" w:customStyle="1" w:styleId="xl281">
    <w:name w:val="xl281"/>
    <w:basedOn w:val="Normlny"/>
    <w:rsid w:val="00BB33FC"/>
    <w:pPr>
      <w:pBdr>
        <w:top w:val="single" w:sz="4" w:space="0" w:color="A6A6A6"/>
        <w:left w:val="single" w:sz="8" w:space="0" w:color="E26B0A"/>
      </w:pBdr>
      <w:shd w:val="clear" w:color="000000" w:fill="FDE9D9"/>
      <w:spacing w:before="100" w:beforeAutospacing="1" w:after="100" w:afterAutospacing="1"/>
      <w:textAlignment w:val="top"/>
    </w:pPr>
    <w:rPr>
      <w:rFonts w:ascii="Arial" w:hAnsi="Arial" w:cs="Arial"/>
      <w:sz w:val="18"/>
      <w:szCs w:val="18"/>
    </w:rPr>
  </w:style>
  <w:style w:type="paragraph" w:customStyle="1" w:styleId="xl282">
    <w:name w:val="xl282"/>
    <w:basedOn w:val="Normlny"/>
    <w:rsid w:val="00BB33FC"/>
    <w:pPr>
      <w:pBdr>
        <w:bottom w:val="single" w:sz="8" w:space="0" w:color="E26B0A"/>
      </w:pBdr>
      <w:shd w:val="clear" w:color="000000" w:fill="FCD5B4"/>
      <w:spacing w:before="100" w:beforeAutospacing="1" w:after="100" w:afterAutospacing="1"/>
      <w:textAlignment w:val="top"/>
    </w:pPr>
    <w:rPr>
      <w:rFonts w:ascii="Arial" w:hAnsi="Arial" w:cs="Arial"/>
      <w:sz w:val="18"/>
      <w:szCs w:val="18"/>
    </w:rPr>
  </w:style>
  <w:style w:type="paragraph" w:customStyle="1" w:styleId="xl283">
    <w:name w:val="xl283"/>
    <w:basedOn w:val="Normlny"/>
    <w:rsid w:val="00BB33FC"/>
    <w:pPr>
      <w:pBdr>
        <w:top w:val="single" w:sz="8" w:space="0" w:color="E26B0A"/>
        <w:bottom w:val="single" w:sz="8" w:space="0" w:color="E26B0A"/>
        <w:right w:val="single" w:sz="4" w:space="0" w:color="A6A6A6"/>
      </w:pBdr>
      <w:spacing w:before="100" w:beforeAutospacing="1" w:after="100" w:afterAutospacing="1"/>
      <w:jc w:val="center"/>
    </w:pPr>
    <w:rPr>
      <w:rFonts w:ascii="Arial" w:hAnsi="Arial" w:cs="Arial"/>
      <w:b/>
      <w:bCs/>
      <w:sz w:val="18"/>
      <w:szCs w:val="18"/>
    </w:rPr>
  </w:style>
  <w:style w:type="paragraph" w:customStyle="1" w:styleId="xl284">
    <w:name w:val="xl284"/>
    <w:basedOn w:val="Normlny"/>
    <w:rsid w:val="00BB33FC"/>
    <w:pPr>
      <w:pBdr>
        <w:top w:val="single" w:sz="4" w:space="0" w:color="A6A6A6"/>
        <w:bottom w:val="single" w:sz="8" w:space="0" w:color="E26B0A"/>
      </w:pBdr>
      <w:shd w:val="clear" w:color="000000" w:fill="FDE9D9"/>
      <w:spacing w:before="100" w:beforeAutospacing="1" w:after="100" w:afterAutospacing="1"/>
      <w:textAlignment w:val="top"/>
    </w:pPr>
    <w:rPr>
      <w:rFonts w:ascii="Arial" w:hAnsi="Arial" w:cs="Arial"/>
      <w:sz w:val="20"/>
      <w:szCs w:val="20"/>
    </w:rPr>
  </w:style>
  <w:style w:type="paragraph" w:customStyle="1" w:styleId="xl285">
    <w:name w:val="xl285"/>
    <w:basedOn w:val="Normlny"/>
    <w:rsid w:val="00BB33FC"/>
    <w:pPr>
      <w:pBdr>
        <w:bottom w:val="single" w:sz="8" w:space="0" w:color="E26B0A"/>
        <w:right w:val="single" w:sz="8" w:space="0" w:color="E26B0A"/>
      </w:pBdr>
      <w:shd w:val="clear" w:color="000000" w:fill="FDE9D9"/>
      <w:spacing w:before="100" w:beforeAutospacing="1" w:after="100" w:afterAutospacing="1"/>
    </w:pPr>
    <w:rPr>
      <w:rFonts w:ascii="Arial" w:hAnsi="Arial" w:cs="Arial"/>
      <w:sz w:val="18"/>
      <w:szCs w:val="18"/>
    </w:rPr>
  </w:style>
  <w:style w:type="paragraph" w:customStyle="1" w:styleId="xl286">
    <w:name w:val="xl286"/>
    <w:basedOn w:val="Normlny"/>
    <w:rsid w:val="00BB33FC"/>
    <w:pPr>
      <w:pBdr>
        <w:top w:val="single" w:sz="8" w:space="0" w:color="E26B0A"/>
        <w:bottom w:val="single" w:sz="8" w:space="0" w:color="E26B0A"/>
        <w:right w:val="single" w:sz="4" w:space="0" w:color="A6A6A6"/>
      </w:pBdr>
      <w:spacing w:before="100" w:beforeAutospacing="1" w:after="100" w:afterAutospacing="1"/>
      <w:jc w:val="center"/>
    </w:pPr>
    <w:rPr>
      <w:rFonts w:ascii="Arial" w:hAnsi="Arial" w:cs="Arial"/>
      <w:b/>
      <w:bCs/>
      <w:sz w:val="18"/>
      <w:szCs w:val="18"/>
    </w:rPr>
  </w:style>
  <w:style w:type="paragraph" w:customStyle="1" w:styleId="xl287">
    <w:name w:val="xl287"/>
    <w:basedOn w:val="Normlny"/>
    <w:rsid w:val="00BB33FC"/>
    <w:pPr>
      <w:pBdr>
        <w:bottom w:val="single" w:sz="8" w:space="0" w:color="E26B0A"/>
        <w:right w:val="single" w:sz="4" w:space="0" w:color="A6A6A6"/>
      </w:pBdr>
      <w:shd w:val="clear" w:color="000000" w:fill="FDE9D9"/>
      <w:spacing w:before="100" w:beforeAutospacing="1" w:after="100" w:afterAutospacing="1"/>
      <w:jc w:val="right"/>
    </w:pPr>
    <w:rPr>
      <w:rFonts w:ascii="Arial" w:hAnsi="Arial" w:cs="Arial"/>
      <w:i/>
      <w:iCs/>
      <w:color w:val="FF0000"/>
      <w:sz w:val="16"/>
      <w:szCs w:val="16"/>
    </w:rPr>
  </w:style>
  <w:style w:type="paragraph" w:customStyle="1" w:styleId="xl288">
    <w:name w:val="xl288"/>
    <w:basedOn w:val="Normlny"/>
    <w:rsid w:val="00BB33FC"/>
    <w:pPr>
      <w:pBdr>
        <w:right w:val="single" w:sz="4" w:space="0" w:color="A6A6A6"/>
      </w:pBdr>
      <w:shd w:val="clear" w:color="000000" w:fill="FDE9D9"/>
      <w:spacing w:before="100" w:beforeAutospacing="1" w:after="100" w:afterAutospacing="1"/>
      <w:jc w:val="right"/>
    </w:pPr>
    <w:rPr>
      <w:rFonts w:ascii="Arial" w:hAnsi="Arial" w:cs="Arial"/>
      <w:i/>
      <w:iCs/>
      <w:color w:val="FF0000"/>
      <w:sz w:val="16"/>
      <w:szCs w:val="16"/>
    </w:rPr>
  </w:style>
  <w:style w:type="paragraph" w:customStyle="1" w:styleId="xl289">
    <w:name w:val="xl289"/>
    <w:basedOn w:val="Normlny"/>
    <w:rsid w:val="00BB33FC"/>
    <w:pPr>
      <w:pBdr>
        <w:right w:val="single" w:sz="4" w:space="0" w:color="A6A6A6"/>
      </w:pBdr>
      <w:shd w:val="clear" w:color="000000" w:fill="FDE9D9"/>
      <w:spacing w:before="100" w:beforeAutospacing="1" w:after="100" w:afterAutospacing="1"/>
    </w:pPr>
    <w:rPr>
      <w:rFonts w:ascii="Arial" w:hAnsi="Arial" w:cs="Arial"/>
      <w:i/>
      <w:iCs/>
      <w:color w:val="FF0000"/>
      <w:sz w:val="16"/>
      <w:szCs w:val="16"/>
    </w:rPr>
  </w:style>
  <w:style w:type="paragraph" w:customStyle="1" w:styleId="xl290">
    <w:name w:val="xl290"/>
    <w:basedOn w:val="Normlny"/>
    <w:rsid w:val="00BB33FC"/>
    <w:pPr>
      <w:pBdr>
        <w:right w:val="single" w:sz="4" w:space="0" w:color="A6A6A6"/>
      </w:pBdr>
      <w:shd w:val="clear" w:color="000000" w:fill="FCD5B4"/>
      <w:spacing w:before="100" w:beforeAutospacing="1" w:after="100" w:afterAutospacing="1"/>
    </w:pPr>
    <w:rPr>
      <w:rFonts w:ascii="Arial" w:hAnsi="Arial" w:cs="Arial"/>
      <w:i/>
      <w:iCs/>
      <w:color w:val="FF0000"/>
      <w:sz w:val="16"/>
      <w:szCs w:val="16"/>
    </w:rPr>
  </w:style>
  <w:style w:type="paragraph" w:customStyle="1" w:styleId="xl291">
    <w:name w:val="xl291"/>
    <w:basedOn w:val="Normlny"/>
    <w:rsid w:val="00BB33FC"/>
    <w:pPr>
      <w:pBdr>
        <w:right w:val="single" w:sz="4" w:space="0" w:color="A6A6A6"/>
      </w:pBdr>
      <w:shd w:val="clear" w:color="000000" w:fill="FDE9D9"/>
      <w:spacing w:before="100" w:beforeAutospacing="1" w:after="100" w:afterAutospacing="1"/>
      <w:jc w:val="center"/>
    </w:pPr>
    <w:rPr>
      <w:rFonts w:ascii="Arial" w:hAnsi="Arial" w:cs="Arial"/>
      <w:i/>
      <w:iCs/>
      <w:color w:val="FF0000"/>
      <w:sz w:val="16"/>
      <w:szCs w:val="16"/>
    </w:rPr>
  </w:style>
  <w:style w:type="paragraph" w:customStyle="1" w:styleId="xl292">
    <w:name w:val="xl292"/>
    <w:basedOn w:val="Normlny"/>
    <w:rsid w:val="00BB33FC"/>
    <w:pPr>
      <w:pBdr>
        <w:right w:val="single" w:sz="4" w:space="0" w:color="A6A6A6"/>
      </w:pBdr>
      <w:shd w:val="clear" w:color="000000" w:fill="FCD5B4"/>
      <w:spacing w:before="100" w:beforeAutospacing="1" w:after="100" w:afterAutospacing="1"/>
      <w:jc w:val="right"/>
    </w:pPr>
    <w:rPr>
      <w:rFonts w:ascii="Arial" w:hAnsi="Arial" w:cs="Arial"/>
      <w:i/>
      <w:iCs/>
      <w:color w:val="FF0000"/>
      <w:sz w:val="16"/>
      <w:szCs w:val="16"/>
    </w:rPr>
  </w:style>
  <w:style w:type="paragraph" w:customStyle="1" w:styleId="xl293">
    <w:name w:val="xl293"/>
    <w:basedOn w:val="Normlny"/>
    <w:rsid w:val="00BB33FC"/>
    <w:pPr>
      <w:shd w:val="clear" w:color="000000" w:fill="FCD5B4"/>
      <w:spacing w:before="100" w:beforeAutospacing="1" w:after="100" w:afterAutospacing="1"/>
    </w:pPr>
    <w:rPr>
      <w:rFonts w:ascii="Arial" w:hAnsi="Arial" w:cs="Arial"/>
      <w:sz w:val="18"/>
      <w:szCs w:val="18"/>
    </w:rPr>
  </w:style>
  <w:style w:type="paragraph" w:customStyle="1" w:styleId="xl294">
    <w:name w:val="xl294"/>
    <w:basedOn w:val="Normlny"/>
    <w:rsid w:val="00BB33FC"/>
    <w:pPr>
      <w:pBdr>
        <w:right w:val="single" w:sz="4" w:space="0" w:color="A6A6A6"/>
      </w:pBdr>
      <w:shd w:val="clear" w:color="000000" w:fill="FCD5B4"/>
      <w:spacing w:before="100" w:beforeAutospacing="1" w:after="100" w:afterAutospacing="1"/>
      <w:jc w:val="right"/>
    </w:pPr>
    <w:rPr>
      <w:rFonts w:ascii="Arial" w:hAnsi="Arial" w:cs="Arial"/>
      <w:sz w:val="18"/>
      <w:szCs w:val="18"/>
    </w:rPr>
  </w:style>
  <w:style w:type="paragraph" w:customStyle="1" w:styleId="xl295">
    <w:name w:val="xl295"/>
    <w:basedOn w:val="Normlny"/>
    <w:rsid w:val="00BB33FC"/>
    <w:pPr>
      <w:pBdr>
        <w:bottom w:val="single" w:sz="8" w:space="0" w:color="E26B0A"/>
        <w:right w:val="single" w:sz="4" w:space="0" w:color="A6A6A6"/>
      </w:pBdr>
      <w:shd w:val="clear" w:color="000000" w:fill="FDE9D9"/>
      <w:spacing w:before="100" w:beforeAutospacing="1" w:after="100" w:afterAutospacing="1"/>
      <w:jc w:val="right"/>
    </w:pPr>
    <w:rPr>
      <w:rFonts w:ascii="Arial" w:hAnsi="Arial" w:cs="Arial"/>
      <w:sz w:val="18"/>
      <w:szCs w:val="18"/>
    </w:rPr>
  </w:style>
  <w:style w:type="paragraph" w:customStyle="1" w:styleId="xl296">
    <w:name w:val="xl296"/>
    <w:basedOn w:val="Normlny"/>
    <w:rsid w:val="00BB33FC"/>
    <w:pPr>
      <w:pBdr>
        <w:top w:val="single" w:sz="4" w:space="0" w:color="A6A6A6"/>
        <w:bottom w:val="single" w:sz="8" w:space="0" w:color="E26B0A"/>
        <w:right w:val="single" w:sz="4" w:space="0" w:color="A6A6A6"/>
      </w:pBdr>
      <w:shd w:val="clear" w:color="000000" w:fill="FCD5B4"/>
      <w:spacing w:before="100" w:beforeAutospacing="1" w:after="100" w:afterAutospacing="1"/>
      <w:jc w:val="right"/>
    </w:pPr>
    <w:rPr>
      <w:rFonts w:ascii="Arial" w:hAnsi="Arial" w:cs="Arial"/>
      <w:sz w:val="18"/>
      <w:szCs w:val="18"/>
    </w:rPr>
  </w:style>
  <w:style w:type="paragraph" w:customStyle="1" w:styleId="xl297">
    <w:name w:val="xl297"/>
    <w:basedOn w:val="Normlny"/>
    <w:rsid w:val="00BB33FC"/>
    <w:pPr>
      <w:pBdr>
        <w:top w:val="single" w:sz="8" w:space="0" w:color="E26B0A"/>
      </w:pBdr>
      <w:spacing w:before="100" w:beforeAutospacing="1" w:after="100" w:afterAutospacing="1"/>
      <w:jc w:val="center"/>
    </w:pPr>
    <w:rPr>
      <w:rFonts w:ascii="Arial" w:hAnsi="Arial" w:cs="Arial"/>
      <w:b/>
      <w:bCs/>
      <w:sz w:val="18"/>
      <w:szCs w:val="18"/>
    </w:rPr>
  </w:style>
  <w:style w:type="paragraph" w:customStyle="1" w:styleId="xl298">
    <w:name w:val="xl298"/>
    <w:basedOn w:val="Normlny"/>
    <w:rsid w:val="00BB33FC"/>
    <w:pPr>
      <w:pBdr>
        <w:top w:val="single" w:sz="8" w:space="0" w:color="E26B0A"/>
      </w:pBdr>
      <w:spacing w:before="100" w:beforeAutospacing="1" w:after="100" w:afterAutospacing="1"/>
    </w:pPr>
    <w:rPr>
      <w:rFonts w:ascii="Arial" w:hAnsi="Arial" w:cs="Arial"/>
      <w:b/>
      <w:bCs/>
      <w:sz w:val="18"/>
      <w:szCs w:val="18"/>
    </w:rPr>
  </w:style>
  <w:style w:type="paragraph" w:customStyle="1" w:styleId="xl299">
    <w:name w:val="xl299"/>
    <w:basedOn w:val="Normlny"/>
    <w:rsid w:val="00BB33FC"/>
    <w:pPr>
      <w:pBdr>
        <w:top w:val="single" w:sz="8" w:space="0" w:color="E26B0A"/>
      </w:pBdr>
      <w:spacing w:before="100" w:beforeAutospacing="1" w:after="100" w:afterAutospacing="1"/>
      <w:jc w:val="center"/>
    </w:pPr>
    <w:rPr>
      <w:rFonts w:ascii="Arial" w:hAnsi="Arial" w:cs="Arial"/>
      <w:b/>
      <w:bCs/>
      <w:sz w:val="18"/>
      <w:szCs w:val="18"/>
    </w:rPr>
  </w:style>
  <w:style w:type="paragraph" w:customStyle="1" w:styleId="xl300">
    <w:name w:val="xl300"/>
    <w:basedOn w:val="Normlny"/>
    <w:rsid w:val="00BB33FC"/>
    <w:pPr>
      <w:pBdr>
        <w:top w:val="single" w:sz="8" w:space="0" w:color="E26B0A"/>
        <w:right w:val="single" w:sz="8" w:space="0" w:color="E26B0A"/>
      </w:pBdr>
      <w:spacing w:before="100" w:beforeAutospacing="1" w:after="100" w:afterAutospacing="1"/>
    </w:pPr>
    <w:rPr>
      <w:rFonts w:ascii="Arial" w:hAnsi="Arial" w:cs="Arial"/>
      <w:sz w:val="18"/>
      <w:szCs w:val="18"/>
    </w:rPr>
  </w:style>
  <w:style w:type="paragraph" w:customStyle="1" w:styleId="xl301">
    <w:name w:val="xl301"/>
    <w:basedOn w:val="Normlny"/>
    <w:rsid w:val="00BB33FC"/>
    <w:pPr>
      <w:pBdr>
        <w:top w:val="single" w:sz="8" w:space="0" w:color="E26B0A"/>
      </w:pBdr>
      <w:spacing w:before="100" w:beforeAutospacing="1" w:after="100" w:afterAutospacing="1"/>
      <w:textAlignment w:val="top"/>
    </w:pPr>
    <w:rPr>
      <w:rFonts w:ascii="Arial" w:hAnsi="Arial" w:cs="Arial"/>
      <w:b/>
      <w:bCs/>
      <w:i/>
      <w:iCs/>
      <w:sz w:val="20"/>
      <w:szCs w:val="20"/>
    </w:rPr>
  </w:style>
  <w:style w:type="paragraph" w:customStyle="1" w:styleId="xl302">
    <w:name w:val="xl302"/>
    <w:basedOn w:val="Normlny"/>
    <w:rsid w:val="00BB33FC"/>
    <w:pPr>
      <w:pBdr>
        <w:top w:val="single" w:sz="8" w:space="0" w:color="E26B0A"/>
      </w:pBdr>
      <w:spacing w:before="100" w:beforeAutospacing="1" w:after="100" w:afterAutospacing="1"/>
    </w:pPr>
    <w:rPr>
      <w:rFonts w:ascii="Arial" w:hAnsi="Arial" w:cs="Arial"/>
      <w:b/>
      <w:bCs/>
      <w:i/>
      <w:iCs/>
      <w:sz w:val="20"/>
      <w:szCs w:val="20"/>
    </w:rPr>
  </w:style>
  <w:style w:type="paragraph" w:customStyle="1" w:styleId="xl303">
    <w:name w:val="xl303"/>
    <w:basedOn w:val="Normlny"/>
    <w:rsid w:val="00BB33FC"/>
    <w:pPr>
      <w:pBdr>
        <w:top w:val="single" w:sz="8" w:space="0" w:color="E26B0A"/>
        <w:left w:val="single" w:sz="8" w:space="0" w:color="E26B0A"/>
      </w:pBdr>
      <w:spacing w:before="100" w:beforeAutospacing="1" w:after="100" w:afterAutospacing="1"/>
      <w:jc w:val="center"/>
    </w:pPr>
    <w:rPr>
      <w:rFonts w:ascii="Arial" w:hAnsi="Arial" w:cs="Arial"/>
      <w:b/>
      <w:bCs/>
      <w:i/>
      <w:iCs/>
      <w:sz w:val="28"/>
      <w:szCs w:val="28"/>
    </w:rPr>
  </w:style>
  <w:style w:type="paragraph" w:customStyle="1" w:styleId="xl304">
    <w:name w:val="xl304"/>
    <w:basedOn w:val="Normlny"/>
    <w:rsid w:val="00BB33FC"/>
    <w:pPr>
      <w:pBdr>
        <w:top w:val="single" w:sz="8" w:space="0" w:color="E26B0A"/>
      </w:pBdr>
      <w:spacing w:before="100" w:beforeAutospacing="1" w:after="100" w:afterAutospacing="1"/>
      <w:jc w:val="center"/>
    </w:pPr>
    <w:rPr>
      <w:rFonts w:ascii="Arial" w:hAnsi="Arial" w:cs="Arial"/>
      <w:b/>
      <w:bCs/>
      <w:i/>
      <w:iCs/>
      <w:sz w:val="28"/>
      <w:szCs w:val="28"/>
    </w:rPr>
  </w:style>
  <w:style w:type="paragraph" w:customStyle="1" w:styleId="xl305">
    <w:name w:val="xl305"/>
    <w:basedOn w:val="Normlny"/>
    <w:rsid w:val="00BB33FC"/>
    <w:pPr>
      <w:pBdr>
        <w:top w:val="single" w:sz="8" w:space="0" w:color="E26B0A"/>
      </w:pBdr>
      <w:spacing w:before="100" w:beforeAutospacing="1" w:after="100" w:afterAutospacing="1"/>
      <w:jc w:val="center"/>
    </w:pPr>
    <w:rPr>
      <w:rFonts w:ascii="Arial" w:hAnsi="Arial" w:cs="Arial"/>
      <w:b/>
      <w:bCs/>
      <w:sz w:val="18"/>
      <w:szCs w:val="18"/>
    </w:rPr>
  </w:style>
  <w:style w:type="paragraph" w:customStyle="1" w:styleId="xl306">
    <w:name w:val="xl306"/>
    <w:basedOn w:val="Normlny"/>
    <w:rsid w:val="00BB33FC"/>
    <w:pPr>
      <w:pBdr>
        <w:top w:val="single" w:sz="8" w:space="0" w:color="E26B0A"/>
        <w:left w:val="single" w:sz="4" w:space="0" w:color="A6A6A6"/>
        <w:bottom w:val="single" w:sz="8" w:space="0" w:color="E26B0A"/>
        <w:right w:val="single" w:sz="8" w:space="0" w:color="E26B0A"/>
      </w:pBdr>
      <w:spacing w:before="100" w:beforeAutospacing="1" w:after="100" w:afterAutospacing="1"/>
    </w:pPr>
    <w:rPr>
      <w:rFonts w:ascii="Arial" w:hAnsi="Arial" w:cs="Arial"/>
      <w:b/>
      <w:bCs/>
      <w:sz w:val="18"/>
      <w:szCs w:val="18"/>
    </w:rPr>
  </w:style>
  <w:style w:type="paragraph" w:customStyle="1" w:styleId="xl307">
    <w:name w:val="xl307"/>
    <w:basedOn w:val="Normlny"/>
    <w:rsid w:val="00BB33FC"/>
    <w:pPr>
      <w:pBdr>
        <w:right w:val="single" w:sz="4" w:space="0" w:color="A6A6A6"/>
      </w:pBdr>
      <w:shd w:val="clear" w:color="000000" w:fill="CCC0DA"/>
      <w:spacing w:before="100" w:beforeAutospacing="1" w:after="100" w:afterAutospacing="1"/>
      <w:jc w:val="right"/>
    </w:pPr>
    <w:rPr>
      <w:rFonts w:ascii="Arial" w:hAnsi="Arial" w:cs="Arial"/>
      <w:sz w:val="18"/>
      <w:szCs w:val="18"/>
    </w:rPr>
  </w:style>
  <w:style w:type="paragraph" w:customStyle="1" w:styleId="xl308">
    <w:name w:val="xl308"/>
    <w:basedOn w:val="Normlny"/>
    <w:rsid w:val="00BB33FC"/>
    <w:pPr>
      <w:pBdr>
        <w:top w:val="single" w:sz="4" w:space="0" w:color="A6A6A6"/>
        <w:bottom w:val="single" w:sz="8" w:space="0" w:color="E26B0A"/>
        <w:right w:val="single" w:sz="4" w:space="0" w:color="A6A6A6"/>
      </w:pBdr>
      <w:shd w:val="clear" w:color="000000" w:fill="FDE9D9"/>
      <w:spacing w:before="100" w:beforeAutospacing="1" w:after="100" w:afterAutospacing="1"/>
      <w:jc w:val="right"/>
    </w:pPr>
    <w:rPr>
      <w:rFonts w:ascii="Arial" w:hAnsi="Arial" w:cs="Arial"/>
      <w:sz w:val="18"/>
      <w:szCs w:val="18"/>
    </w:rPr>
  </w:style>
  <w:style w:type="paragraph" w:customStyle="1" w:styleId="xl309">
    <w:name w:val="xl309"/>
    <w:basedOn w:val="Normlny"/>
    <w:rsid w:val="00BB33FC"/>
    <w:pPr>
      <w:spacing w:before="100" w:beforeAutospacing="1" w:after="100" w:afterAutospacing="1"/>
    </w:pPr>
    <w:rPr>
      <w:rFonts w:ascii="Arial" w:hAnsi="Arial" w:cs="Arial"/>
      <w:b/>
      <w:bCs/>
      <w:sz w:val="20"/>
      <w:szCs w:val="20"/>
    </w:rPr>
  </w:style>
  <w:style w:type="paragraph" w:customStyle="1" w:styleId="xl310">
    <w:name w:val="xl310"/>
    <w:basedOn w:val="Normlny"/>
    <w:rsid w:val="00BB33FC"/>
    <w:pPr>
      <w:spacing w:before="100" w:beforeAutospacing="1" w:after="100" w:afterAutospacing="1"/>
      <w:jc w:val="right"/>
    </w:pPr>
    <w:rPr>
      <w:rFonts w:ascii="Arial" w:hAnsi="Arial" w:cs="Arial"/>
      <w:sz w:val="18"/>
      <w:szCs w:val="18"/>
    </w:rPr>
  </w:style>
  <w:style w:type="paragraph" w:customStyle="1" w:styleId="xl311">
    <w:name w:val="xl311"/>
    <w:basedOn w:val="Normlny"/>
    <w:rsid w:val="00BB33FC"/>
    <w:pPr>
      <w:spacing w:before="100" w:beforeAutospacing="1" w:after="100" w:afterAutospacing="1"/>
    </w:pPr>
    <w:rPr>
      <w:rFonts w:ascii="Arial" w:hAnsi="Arial" w:cs="Arial"/>
      <w:sz w:val="18"/>
      <w:szCs w:val="18"/>
    </w:rPr>
  </w:style>
  <w:style w:type="paragraph" w:customStyle="1" w:styleId="xl312">
    <w:name w:val="xl312"/>
    <w:basedOn w:val="Normlny"/>
    <w:rsid w:val="00BB33FC"/>
    <w:pPr>
      <w:spacing w:before="100" w:beforeAutospacing="1" w:after="100" w:afterAutospacing="1"/>
      <w:jc w:val="right"/>
    </w:pPr>
    <w:rPr>
      <w:rFonts w:ascii="Arial" w:hAnsi="Arial" w:cs="Arial"/>
      <w:sz w:val="18"/>
      <w:szCs w:val="18"/>
    </w:rPr>
  </w:style>
  <w:style w:type="paragraph" w:customStyle="1" w:styleId="xl313">
    <w:name w:val="xl313"/>
    <w:basedOn w:val="Normlny"/>
    <w:rsid w:val="00BB33FC"/>
    <w:pPr>
      <w:pBdr>
        <w:right w:val="single" w:sz="8" w:space="0" w:color="E26B0A"/>
      </w:pBdr>
      <w:spacing w:before="100" w:beforeAutospacing="1" w:after="100" w:afterAutospacing="1"/>
    </w:pPr>
    <w:rPr>
      <w:rFonts w:ascii="Arial" w:hAnsi="Arial" w:cs="Arial"/>
      <w:sz w:val="18"/>
      <w:szCs w:val="18"/>
    </w:rPr>
  </w:style>
  <w:style w:type="paragraph" w:customStyle="1" w:styleId="xl314">
    <w:name w:val="xl314"/>
    <w:basedOn w:val="Normlny"/>
    <w:rsid w:val="00BB33FC"/>
    <w:pPr>
      <w:pBdr>
        <w:top w:val="single" w:sz="8" w:space="0" w:color="E26B0A"/>
      </w:pBdr>
      <w:shd w:val="clear" w:color="000000" w:fill="FFFFFF"/>
      <w:spacing w:before="100" w:beforeAutospacing="1" w:after="100" w:afterAutospacing="1"/>
    </w:pPr>
    <w:rPr>
      <w:rFonts w:ascii="Arial" w:hAnsi="Arial" w:cs="Arial"/>
      <w:b/>
      <w:bCs/>
      <w:i/>
      <w:iCs/>
      <w:sz w:val="20"/>
      <w:szCs w:val="20"/>
    </w:rPr>
  </w:style>
  <w:style w:type="paragraph" w:customStyle="1" w:styleId="xl315">
    <w:name w:val="xl315"/>
    <w:basedOn w:val="Normlny"/>
    <w:rsid w:val="00BB33FC"/>
    <w:pPr>
      <w:shd w:val="clear" w:color="000000" w:fill="FDE9D9"/>
      <w:spacing w:before="100" w:beforeAutospacing="1" w:after="100" w:afterAutospacing="1"/>
    </w:pPr>
    <w:rPr>
      <w:rFonts w:ascii="Arial" w:hAnsi="Arial" w:cs="Arial"/>
      <w:b/>
      <w:bCs/>
      <w:sz w:val="20"/>
      <w:szCs w:val="20"/>
    </w:rPr>
  </w:style>
  <w:style w:type="paragraph" w:customStyle="1" w:styleId="xl316">
    <w:name w:val="xl316"/>
    <w:basedOn w:val="Normlny"/>
    <w:rsid w:val="00BB33FC"/>
    <w:pPr>
      <w:shd w:val="clear" w:color="000000" w:fill="FDE9D9"/>
      <w:spacing w:before="100" w:beforeAutospacing="1" w:after="100" w:afterAutospacing="1"/>
      <w:jc w:val="right"/>
    </w:pPr>
    <w:rPr>
      <w:rFonts w:ascii="Arial" w:hAnsi="Arial" w:cs="Arial"/>
      <w:sz w:val="18"/>
      <w:szCs w:val="18"/>
    </w:rPr>
  </w:style>
  <w:style w:type="paragraph" w:customStyle="1" w:styleId="xl317">
    <w:name w:val="xl317"/>
    <w:basedOn w:val="Normlny"/>
    <w:rsid w:val="00BB33FC"/>
    <w:pPr>
      <w:shd w:val="clear" w:color="000000" w:fill="FDE9D9"/>
      <w:spacing w:before="100" w:beforeAutospacing="1" w:after="100" w:afterAutospacing="1"/>
    </w:pPr>
    <w:rPr>
      <w:rFonts w:ascii="Arial" w:hAnsi="Arial" w:cs="Arial"/>
      <w:sz w:val="18"/>
      <w:szCs w:val="18"/>
    </w:rPr>
  </w:style>
  <w:style w:type="paragraph" w:customStyle="1" w:styleId="xl318">
    <w:name w:val="xl318"/>
    <w:basedOn w:val="Normlny"/>
    <w:rsid w:val="00BB33FC"/>
    <w:pPr>
      <w:shd w:val="clear" w:color="000000" w:fill="FDE9D9"/>
      <w:spacing w:before="100" w:beforeAutospacing="1" w:after="100" w:afterAutospacing="1"/>
      <w:jc w:val="right"/>
    </w:pPr>
    <w:rPr>
      <w:rFonts w:ascii="Arial" w:hAnsi="Arial" w:cs="Arial"/>
      <w:sz w:val="18"/>
      <w:szCs w:val="18"/>
    </w:rPr>
  </w:style>
  <w:style w:type="paragraph" w:customStyle="1" w:styleId="xl319">
    <w:name w:val="xl319"/>
    <w:basedOn w:val="Normlny"/>
    <w:rsid w:val="00BB33FC"/>
    <w:pPr>
      <w:shd w:val="clear" w:color="000000" w:fill="FCD5B4"/>
      <w:spacing w:before="100" w:beforeAutospacing="1" w:after="100" w:afterAutospacing="1"/>
    </w:pPr>
    <w:rPr>
      <w:rFonts w:ascii="Arial" w:hAnsi="Arial" w:cs="Arial"/>
      <w:b/>
      <w:bCs/>
      <w:sz w:val="20"/>
      <w:szCs w:val="20"/>
    </w:rPr>
  </w:style>
  <w:style w:type="paragraph" w:customStyle="1" w:styleId="xl320">
    <w:name w:val="xl320"/>
    <w:basedOn w:val="Normlny"/>
    <w:rsid w:val="00BB33FC"/>
    <w:pPr>
      <w:shd w:val="clear" w:color="000000" w:fill="FCD5B4"/>
      <w:spacing w:before="100" w:beforeAutospacing="1" w:after="100" w:afterAutospacing="1"/>
      <w:jc w:val="right"/>
    </w:pPr>
    <w:rPr>
      <w:rFonts w:ascii="Arial" w:hAnsi="Arial" w:cs="Arial"/>
      <w:sz w:val="18"/>
      <w:szCs w:val="18"/>
    </w:rPr>
  </w:style>
  <w:style w:type="paragraph" w:customStyle="1" w:styleId="xl321">
    <w:name w:val="xl321"/>
    <w:basedOn w:val="Normlny"/>
    <w:rsid w:val="00BB33FC"/>
    <w:pPr>
      <w:shd w:val="clear" w:color="000000" w:fill="FCD5B4"/>
      <w:spacing w:before="100" w:beforeAutospacing="1" w:after="100" w:afterAutospacing="1"/>
    </w:pPr>
    <w:rPr>
      <w:rFonts w:ascii="Arial" w:hAnsi="Arial" w:cs="Arial"/>
      <w:sz w:val="18"/>
      <w:szCs w:val="18"/>
    </w:rPr>
  </w:style>
  <w:style w:type="paragraph" w:customStyle="1" w:styleId="xl322">
    <w:name w:val="xl322"/>
    <w:basedOn w:val="Normlny"/>
    <w:rsid w:val="00BB33FC"/>
    <w:pPr>
      <w:shd w:val="clear" w:color="000000" w:fill="FCD5B4"/>
      <w:spacing w:before="100" w:beforeAutospacing="1" w:after="100" w:afterAutospacing="1"/>
      <w:jc w:val="right"/>
    </w:pPr>
    <w:rPr>
      <w:rFonts w:ascii="Arial" w:hAnsi="Arial" w:cs="Arial"/>
      <w:sz w:val="18"/>
      <w:szCs w:val="18"/>
    </w:rPr>
  </w:style>
  <w:style w:type="paragraph" w:customStyle="1" w:styleId="xl323">
    <w:name w:val="xl323"/>
    <w:basedOn w:val="Normlny"/>
    <w:rsid w:val="00BB33FC"/>
    <w:pPr>
      <w:shd w:val="clear" w:color="000000" w:fill="FCD5B4"/>
      <w:spacing w:before="100" w:beforeAutospacing="1" w:after="100" w:afterAutospacing="1"/>
      <w:jc w:val="right"/>
    </w:pPr>
    <w:rPr>
      <w:rFonts w:ascii="Arial" w:hAnsi="Arial" w:cs="Arial"/>
      <w:sz w:val="18"/>
      <w:szCs w:val="18"/>
    </w:rPr>
  </w:style>
  <w:style w:type="paragraph" w:customStyle="1" w:styleId="xl324">
    <w:name w:val="xl324"/>
    <w:basedOn w:val="Normlny"/>
    <w:rsid w:val="00BB33FC"/>
    <w:pPr>
      <w:shd w:val="clear" w:color="000000" w:fill="FCD5B4"/>
      <w:spacing w:before="100" w:beforeAutospacing="1" w:after="100" w:afterAutospacing="1"/>
      <w:textAlignment w:val="center"/>
    </w:pPr>
    <w:rPr>
      <w:rFonts w:ascii="Arial" w:hAnsi="Arial" w:cs="Arial"/>
      <w:b/>
      <w:bCs/>
      <w:sz w:val="16"/>
      <w:szCs w:val="16"/>
    </w:rPr>
  </w:style>
  <w:style w:type="paragraph" w:customStyle="1" w:styleId="xl325">
    <w:name w:val="xl325"/>
    <w:basedOn w:val="Normlny"/>
    <w:rsid w:val="00BB33FC"/>
    <w:pPr>
      <w:shd w:val="clear" w:color="000000" w:fill="FCD5B4"/>
      <w:spacing w:before="100" w:beforeAutospacing="1" w:after="100" w:afterAutospacing="1"/>
      <w:textAlignment w:val="center"/>
    </w:pPr>
    <w:rPr>
      <w:rFonts w:ascii="Arial" w:hAnsi="Arial" w:cs="Arial"/>
      <w:b/>
      <w:bCs/>
      <w:sz w:val="20"/>
      <w:szCs w:val="20"/>
    </w:rPr>
  </w:style>
  <w:style w:type="paragraph" w:customStyle="1" w:styleId="xl326">
    <w:name w:val="xl326"/>
    <w:basedOn w:val="Normlny"/>
    <w:rsid w:val="00BB33FC"/>
    <w:pPr>
      <w:pBdr>
        <w:right w:val="single" w:sz="8" w:space="0" w:color="E26B0A"/>
      </w:pBdr>
      <w:shd w:val="clear" w:color="000000" w:fill="FCD5B4"/>
      <w:spacing w:before="100" w:beforeAutospacing="1" w:after="100" w:afterAutospacing="1"/>
      <w:textAlignment w:val="center"/>
    </w:pPr>
    <w:rPr>
      <w:rFonts w:ascii="Arial" w:hAnsi="Arial" w:cs="Arial"/>
      <w:b/>
      <w:bCs/>
      <w:sz w:val="20"/>
      <w:szCs w:val="20"/>
    </w:rPr>
  </w:style>
  <w:style w:type="paragraph" w:customStyle="1" w:styleId="xl327">
    <w:name w:val="xl327"/>
    <w:basedOn w:val="Normlny"/>
    <w:rsid w:val="00BB33FC"/>
    <w:pPr>
      <w:pBdr>
        <w:bottom w:val="single" w:sz="8" w:space="0" w:color="E26B0A"/>
      </w:pBdr>
      <w:shd w:val="clear" w:color="000000" w:fill="FDE9D9"/>
      <w:spacing w:before="100" w:beforeAutospacing="1" w:after="100" w:afterAutospacing="1"/>
    </w:pPr>
    <w:rPr>
      <w:rFonts w:ascii="Arial" w:hAnsi="Arial" w:cs="Arial"/>
      <w:sz w:val="16"/>
      <w:szCs w:val="16"/>
    </w:rPr>
  </w:style>
  <w:style w:type="paragraph" w:customStyle="1" w:styleId="xl328">
    <w:name w:val="xl328"/>
    <w:basedOn w:val="Normlny"/>
    <w:rsid w:val="00BB33FC"/>
    <w:pPr>
      <w:pBdr>
        <w:bottom w:val="single" w:sz="8" w:space="0" w:color="E26B0A"/>
      </w:pBdr>
      <w:shd w:val="clear" w:color="000000" w:fill="FDE9D9"/>
      <w:spacing w:before="100" w:beforeAutospacing="1" w:after="100" w:afterAutospacing="1"/>
    </w:pPr>
    <w:rPr>
      <w:rFonts w:ascii="Arial" w:hAnsi="Arial" w:cs="Arial"/>
      <w:sz w:val="20"/>
      <w:szCs w:val="20"/>
    </w:rPr>
  </w:style>
  <w:style w:type="paragraph" w:customStyle="1" w:styleId="xl329">
    <w:name w:val="xl329"/>
    <w:basedOn w:val="Normlny"/>
    <w:rsid w:val="00BB33FC"/>
    <w:pPr>
      <w:pBdr>
        <w:bottom w:val="single" w:sz="8" w:space="0" w:color="E26B0A"/>
      </w:pBdr>
      <w:shd w:val="clear" w:color="000000" w:fill="FDE9D9"/>
      <w:spacing w:before="100" w:beforeAutospacing="1" w:after="100" w:afterAutospacing="1"/>
      <w:jc w:val="right"/>
    </w:pPr>
    <w:rPr>
      <w:rFonts w:ascii="Arial" w:hAnsi="Arial" w:cs="Arial"/>
      <w:sz w:val="18"/>
      <w:szCs w:val="18"/>
    </w:rPr>
  </w:style>
  <w:style w:type="paragraph" w:customStyle="1" w:styleId="xl330">
    <w:name w:val="xl330"/>
    <w:basedOn w:val="Normlny"/>
    <w:rsid w:val="00BB33FC"/>
    <w:pPr>
      <w:pBdr>
        <w:bottom w:val="single" w:sz="8" w:space="0" w:color="E26B0A"/>
      </w:pBdr>
      <w:shd w:val="clear" w:color="000000" w:fill="FDE9D9"/>
      <w:spacing w:before="100" w:beforeAutospacing="1" w:after="100" w:afterAutospacing="1"/>
    </w:pPr>
    <w:rPr>
      <w:rFonts w:ascii="Arial" w:hAnsi="Arial" w:cs="Arial"/>
      <w:sz w:val="18"/>
      <w:szCs w:val="18"/>
    </w:rPr>
  </w:style>
  <w:style w:type="paragraph" w:customStyle="1" w:styleId="xl331">
    <w:name w:val="xl331"/>
    <w:basedOn w:val="Normlny"/>
    <w:rsid w:val="00BB33FC"/>
    <w:pPr>
      <w:pBdr>
        <w:bottom w:val="single" w:sz="8" w:space="0" w:color="E26B0A"/>
      </w:pBdr>
      <w:shd w:val="clear" w:color="000000" w:fill="FDE9D9"/>
      <w:spacing w:before="100" w:beforeAutospacing="1" w:after="100" w:afterAutospacing="1"/>
      <w:jc w:val="right"/>
    </w:pPr>
    <w:rPr>
      <w:rFonts w:ascii="Arial" w:hAnsi="Arial" w:cs="Arial"/>
      <w:sz w:val="18"/>
      <w:szCs w:val="18"/>
    </w:rPr>
  </w:style>
  <w:style w:type="paragraph" w:customStyle="1" w:styleId="xl332">
    <w:name w:val="xl332"/>
    <w:basedOn w:val="Normlny"/>
    <w:rsid w:val="00BB33FC"/>
    <w:pPr>
      <w:pBdr>
        <w:bottom w:val="single" w:sz="8" w:space="0" w:color="E26B0A"/>
        <w:right w:val="single" w:sz="4" w:space="0" w:color="A6A6A6"/>
      </w:pBdr>
      <w:shd w:val="clear" w:color="000000" w:fill="FDE9D9"/>
      <w:spacing w:before="100" w:beforeAutospacing="1" w:after="100" w:afterAutospacing="1"/>
    </w:pPr>
    <w:rPr>
      <w:rFonts w:ascii="Arial" w:hAnsi="Arial" w:cs="Arial"/>
      <w:sz w:val="18"/>
      <w:szCs w:val="18"/>
    </w:rPr>
  </w:style>
  <w:style w:type="paragraph" w:customStyle="1" w:styleId="xl333">
    <w:name w:val="xl333"/>
    <w:basedOn w:val="Normlny"/>
    <w:rsid w:val="00BB33FC"/>
    <w:pPr>
      <w:pBdr>
        <w:top w:val="single" w:sz="4" w:space="0" w:color="A6A6A6"/>
      </w:pBdr>
      <w:shd w:val="clear" w:color="000000" w:fill="FDE9D9"/>
      <w:spacing w:before="100" w:beforeAutospacing="1" w:after="100" w:afterAutospacing="1"/>
    </w:pPr>
    <w:rPr>
      <w:rFonts w:ascii="Arial" w:hAnsi="Arial" w:cs="Arial"/>
      <w:sz w:val="18"/>
      <w:szCs w:val="18"/>
    </w:rPr>
  </w:style>
  <w:style w:type="paragraph" w:customStyle="1" w:styleId="xl334">
    <w:name w:val="xl334"/>
    <w:basedOn w:val="Normlny"/>
    <w:rsid w:val="00BB33FC"/>
    <w:pPr>
      <w:pBdr>
        <w:top w:val="single" w:sz="4" w:space="0" w:color="A6A6A6"/>
        <w:right w:val="single" w:sz="4" w:space="0" w:color="A6A6A6"/>
      </w:pBdr>
      <w:shd w:val="clear" w:color="000000" w:fill="FDE9D9"/>
      <w:spacing w:before="100" w:beforeAutospacing="1" w:after="100" w:afterAutospacing="1"/>
    </w:pPr>
    <w:rPr>
      <w:rFonts w:ascii="Arial" w:hAnsi="Arial" w:cs="Arial"/>
      <w:sz w:val="18"/>
      <w:szCs w:val="18"/>
    </w:rPr>
  </w:style>
  <w:style w:type="paragraph" w:customStyle="1" w:styleId="xl335">
    <w:name w:val="xl335"/>
    <w:basedOn w:val="Normlny"/>
    <w:rsid w:val="00BB33FC"/>
    <w:pPr>
      <w:pBdr>
        <w:right w:val="single" w:sz="4" w:space="0" w:color="A6A6A6"/>
      </w:pBdr>
      <w:shd w:val="clear" w:color="000000" w:fill="FCD5B4"/>
      <w:spacing w:before="100" w:beforeAutospacing="1" w:after="100" w:afterAutospacing="1"/>
    </w:pPr>
    <w:rPr>
      <w:rFonts w:ascii="Arial" w:hAnsi="Arial" w:cs="Arial"/>
      <w:sz w:val="18"/>
      <w:szCs w:val="18"/>
    </w:rPr>
  </w:style>
  <w:style w:type="paragraph" w:customStyle="1" w:styleId="xl336">
    <w:name w:val="xl336"/>
    <w:basedOn w:val="Normlny"/>
    <w:rsid w:val="00BB33FC"/>
    <w:pPr>
      <w:pBdr>
        <w:bottom w:val="single" w:sz="8" w:space="0" w:color="E26B0A"/>
        <w:right w:val="single" w:sz="4" w:space="0" w:color="A6A6A6"/>
      </w:pBdr>
      <w:shd w:val="clear" w:color="000000" w:fill="FDE9D9"/>
      <w:spacing w:before="100" w:beforeAutospacing="1" w:after="100" w:afterAutospacing="1"/>
    </w:pPr>
    <w:rPr>
      <w:rFonts w:ascii="Arial" w:hAnsi="Arial" w:cs="Arial"/>
      <w:sz w:val="18"/>
      <w:szCs w:val="18"/>
    </w:rPr>
  </w:style>
  <w:style w:type="paragraph" w:customStyle="1" w:styleId="xl337">
    <w:name w:val="xl337"/>
    <w:basedOn w:val="Normlny"/>
    <w:rsid w:val="00BB33FC"/>
    <w:pPr>
      <w:pBdr>
        <w:top w:val="single" w:sz="8" w:space="0" w:color="E26B0A"/>
        <w:bottom w:val="single" w:sz="4" w:space="0" w:color="A6A6A6"/>
      </w:pBdr>
      <w:spacing w:before="100" w:beforeAutospacing="1" w:after="100" w:afterAutospacing="1"/>
    </w:pPr>
    <w:rPr>
      <w:rFonts w:ascii="Arial" w:hAnsi="Arial" w:cs="Arial"/>
      <w:b/>
      <w:bCs/>
      <w:i/>
      <w:iCs/>
      <w:sz w:val="20"/>
      <w:szCs w:val="20"/>
    </w:rPr>
  </w:style>
  <w:style w:type="paragraph" w:customStyle="1" w:styleId="xl338">
    <w:name w:val="xl338"/>
    <w:basedOn w:val="Normlny"/>
    <w:rsid w:val="00BB33FC"/>
    <w:pPr>
      <w:pBdr>
        <w:top w:val="single" w:sz="8" w:space="0" w:color="E26B0A"/>
        <w:bottom w:val="single" w:sz="4" w:space="0" w:color="A6A6A6"/>
        <w:right w:val="single" w:sz="8" w:space="0" w:color="E26B0A"/>
      </w:pBdr>
      <w:spacing w:before="100" w:beforeAutospacing="1" w:after="100" w:afterAutospacing="1"/>
    </w:pPr>
    <w:rPr>
      <w:rFonts w:ascii="Arial" w:hAnsi="Arial" w:cs="Arial"/>
      <w:b/>
      <w:bCs/>
      <w:i/>
      <w:iCs/>
      <w:sz w:val="20"/>
      <w:szCs w:val="20"/>
    </w:rPr>
  </w:style>
  <w:style w:type="paragraph" w:customStyle="1" w:styleId="xl339">
    <w:name w:val="xl339"/>
    <w:basedOn w:val="Normlny"/>
    <w:rsid w:val="00BB33FC"/>
    <w:pPr>
      <w:pBdr>
        <w:bottom w:val="single" w:sz="8" w:space="0" w:color="E26B0A"/>
      </w:pBdr>
      <w:shd w:val="clear" w:color="000000" w:fill="FCD5B4"/>
      <w:spacing w:before="100" w:beforeAutospacing="1" w:after="100" w:afterAutospacing="1"/>
    </w:pPr>
    <w:rPr>
      <w:rFonts w:ascii="Arial" w:hAnsi="Arial" w:cs="Arial"/>
      <w:sz w:val="18"/>
      <w:szCs w:val="18"/>
    </w:rPr>
  </w:style>
  <w:style w:type="paragraph" w:customStyle="1" w:styleId="xl340">
    <w:name w:val="xl340"/>
    <w:basedOn w:val="Normlny"/>
    <w:rsid w:val="00BB33FC"/>
    <w:pPr>
      <w:pBdr>
        <w:bottom w:val="single" w:sz="8" w:space="0" w:color="E26B0A"/>
        <w:right w:val="single" w:sz="4" w:space="0" w:color="A6A6A6"/>
      </w:pBdr>
      <w:shd w:val="clear" w:color="000000" w:fill="FCD5B4"/>
      <w:spacing w:before="100" w:beforeAutospacing="1" w:after="100" w:afterAutospacing="1"/>
    </w:pPr>
    <w:rPr>
      <w:rFonts w:ascii="Arial" w:hAnsi="Arial" w:cs="Arial"/>
      <w:sz w:val="18"/>
      <w:szCs w:val="18"/>
    </w:rPr>
  </w:style>
  <w:style w:type="paragraph" w:customStyle="1" w:styleId="xl341">
    <w:name w:val="xl341"/>
    <w:basedOn w:val="Normlny"/>
    <w:rsid w:val="00BB33FC"/>
    <w:pPr>
      <w:pBdr>
        <w:top w:val="single" w:sz="4" w:space="0" w:color="A6A6A6"/>
        <w:right w:val="single" w:sz="4" w:space="0" w:color="A6A6A6"/>
      </w:pBdr>
      <w:shd w:val="clear" w:color="000000" w:fill="FDE9D9"/>
      <w:spacing w:before="100" w:beforeAutospacing="1" w:after="100" w:afterAutospacing="1"/>
    </w:pPr>
    <w:rPr>
      <w:rFonts w:ascii="Arial" w:hAnsi="Arial" w:cs="Arial"/>
      <w:sz w:val="18"/>
      <w:szCs w:val="18"/>
    </w:rPr>
  </w:style>
  <w:style w:type="paragraph" w:customStyle="1" w:styleId="xl342">
    <w:name w:val="xl342"/>
    <w:basedOn w:val="Normlny"/>
    <w:rsid w:val="00BB33FC"/>
    <w:pPr>
      <w:pBdr>
        <w:right w:val="single" w:sz="4" w:space="0" w:color="A6A6A6"/>
      </w:pBdr>
      <w:shd w:val="clear" w:color="000000" w:fill="FCD5B4"/>
      <w:spacing w:before="100" w:beforeAutospacing="1" w:after="100" w:afterAutospacing="1"/>
    </w:pPr>
    <w:rPr>
      <w:rFonts w:ascii="Arial" w:hAnsi="Arial" w:cs="Arial"/>
      <w:sz w:val="18"/>
      <w:szCs w:val="18"/>
    </w:rPr>
  </w:style>
  <w:style w:type="paragraph" w:customStyle="1" w:styleId="xl343">
    <w:name w:val="xl343"/>
    <w:basedOn w:val="Normlny"/>
    <w:rsid w:val="00BB33FC"/>
    <w:pPr>
      <w:pBdr>
        <w:right w:val="single" w:sz="4" w:space="0" w:color="A6A6A6"/>
      </w:pBdr>
      <w:shd w:val="clear" w:color="000000" w:fill="FDE9D9"/>
      <w:spacing w:before="100" w:beforeAutospacing="1" w:after="100" w:afterAutospacing="1"/>
    </w:pPr>
    <w:rPr>
      <w:rFonts w:ascii="Arial" w:hAnsi="Arial" w:cs="Arial"/>
      <w:sz w:val="18"/>
      <w:szCs w:val="18"/>
    </w:rPr>
  </w:style>
  <w:style w:type="paragraph" w:customStyle="1" w:styleId="xl344">
    <w:name w:val="xl344"/>
    <w:basedOn w:val="Normlny"/>
    <w:rsid w:val="00BB33FC"/>
    <w:pPr>
      <w:pBdr>
        <w:top w:val="single" w:sz="4" w:space="0" w:color="A6A6A6"/>
      </w:pBdr>
      <w:shd w:val="clear" w:color="000000" w:fill="FCD5B4"/>
      <w:spacing w:before="100" w:beforeAutospacing="1" w:after="100" w:afterAutospacing="1"/>
    </w:pPr>
    <w:rPr>
      <w:rFonts w:ascii="Arial" w:hAnsi="Arial" w:cs="Arial"/>
      <w:sz w:val="18"/>
      <w:szCs w:val="18"/>
    </w:rPr>
  </w:style>
  <w:style w:type="paragraph" w:customStyle="1" w:styleId="xl345">
    <w:name w:val="xl345"/>
    <w:basedOn w:val="Normlny"/>
    <w:rsid w:val="00BB33FC"/>
    <w:pPr>
      <w:pBdr>
        <w:top w:val="single" w:sz="4" w:space="0" w:color="A6A6A6"/>
        <w:right w:val="single" w:sz="4" w:space="0" w:color="A6A6A6"/>
      </w:pBdr>
      <w:shd w:val="clear" w:color="000000" w:fill="FCD5B4"/>
      <w:spacing w:before="100" w:beforeAutospacing="1" w:after="100" w:afterAutospacing="1"/>
    </w:pPr>
    <w:rPr>
      <w:rFonts w:ascii="Arial" w:hAnsi="Arial" w:cs="Arial"/>
      <w:sz w:val="18"/>
      <w:szCs w:val="18"/>
    </w:rPr>
  </w:style>
  <w:style w:type="paragraph" w:customStyle="1" w:styleId="xl346">
    <w:name w:val="xl346"/>
    <w:basedOn w:val="Normlny"/>
    <w:rsid w:val="00BB33FC"/>
    <w:pPr>
      <w:pBdr>
        <w:right w:val="single" w:sz="4" w:space="0" w:color="A6A6A6"/>
      </w:pBdr>
      <w:shd w:val="clear" w:color="000000" w:fill="FDE9D9"/>
      <w:spacing w:before="100" w:beforeAutospacing="1" w:after="100" w:afterAutospacing="1"/>
    </w:pPr>
    <w:rPr>
      <w:rFonts w:ascii="Arial" w:hAnsi="Arial" w:cs="Arial"/>
      <w:sz w:val="18"/>
      <w:szCs w:val="18"/>
    </w:rPr>
  </w:style>
  <w:style w:type="paragraph" w:customStyle="1" w:styleId="xl347">
    <w:name w:val="xl347"/>
    <w:basedOn w:val="Normlny"/>
    <w:rsid w:val="00BB33FC"/>
    <w:pPr>
      <w:pBdr>
        <w:top w:val="single" w:sz="8" w:space="0" w:color="E26B0A"/>
        <w:left w:val="single" w:sz="8" w:space="0" w:color="E26B0A"/>
      </w:pBdr>
      <w:spacing w:before="100" w:beforeAutospacing="1" w:after="100" w:afterAutospacing="1"/>
      <w:textAlignment w:val="top"/>
    </w:pPr>
    <w:rPr>
      <w:rFonts w:ascii="Arial" w:hAnsi="Arial" w:cs="Arial"/>
      <w:b/>
      <w:bCs/>
      <w:sz w:val="20"/>
      <w:szCs w:val="20"/>
    </w:rPr>
  </w:style>
  <w:style w:type="paragraph" w:customStyle="1" w:styleId="xl348">
    <w:name w:val="xl348"/>
    <w:basedOn w:val="Normlny"/>
    <w:rsid w:val="00BB33FC"/>
    <w:pPr>
      <w:pBdr>
        <w:left w:val="single" w:sz="8" w:space="0" w:color="E26B0A"/>
        <w:bottom w:val="single" w:sz="8" w:space="0" w:color="E26B0A"/>
      </w:pBdr>
      <w:spacing w:before="100" w:beforeAutospacing="1" w:after="100" w:afterAutospacing="1"/>
      <w:textAlignment w:val="top"/>
    </w:pPr>
    <w:rPr>
      <w:rFonts w:ascii="Arial" w:hAnsi="Arial" w:cs="Arial"/>
      <w:b/>
      <w:bCs/>
      <w:sz w:val="20"/>
      <w:szCs w:val="20"/>
    </w:rPr>
  </w:style>
  <w:style w:type="paragraph" w:customStyle="1" w:styleId="xl349">
    <w:name w:val="xl349"/>
    <w:basedOn w:val="Normlny"/>
    <w:rsid w:val="00BB33FC"/>
    <w:pPr>
      <w:pBdr>
        <w:top w:val="single" w:sz="4" w:space="0" w:color="A6A6A6"/>
        <w:bottom w:val="single" w:sz="8" w:space="0" w:color="E26B0A"/>
      </w:pBdr>
      <w:shd w:val="clear" w:color="000000" w:fill="FCD5B4"/>
      <w:spacing w:before="100" w:beforeAutospacing="1" w:after="100" w:afterAutospacing="1"/>
    </w:pPr>
    <w:rPr>
      <w:rFonts w:ascii="Arial" w:hAnsi="Arial" w:cs="Arial"/>
      <w:sz w:val="18"/>
      <w:szCs w:val="18"/>
    </w:rPr>
  </w:style>
  <w:style w:type="paragraph" w:customStyle="1" w:styleId="xl350">
    <w:name w:val="xl350"/>
    <w:basedOn w:val="Normlny"/>
    <w:rsid w:val="00BB33FC"/>
    <w:pPr>
      <w:pBdr>
        <w:top w:val="single" w:sz="4" w:space="0" w:color="A6A6A6"/>
        <w:bottom w:val="single" w:sz="8" w:space="0" w:color="E26B0A"/>
        <w:right w:val="single" w:sz="4" w:space="0" w:color="A6A6A6"/>
      </w:pBdr>
      <w:shd w:val="clear" w:color="000000" w:fill="FCD5B4"/>
      <w:spacing w:before="100" w:beforeAutospacing="1" w:after="100" w:afterAutospacing="1"/>
    </w:pPr>
    <w:rPr>
      <w:rFonts w:ascii="Arial" w:hAnsi="Arial" w:cs="Arial"/>
      <w:sz w:val="18"/>
      <w:szCs w:val="18"/>
    </w:rPr>
  </w:style>
  <w:style w:type="paragraph" w:customStyle="1" w:styleId="xl351">
    <w:name w:val="xl351"/>
    <w:basedOn w:val="Normlny"/>
    <w:rsid w:val="00BB33FC"/>
    <w:pPr>
      <w:pBdr>
        <w:top w:val="single" w:sz="8" w:space="0" w:color="E26B0A"/>
        <w:bottom w:val="single" w:sz="4" w:space="0" w:color="A6A6A6"/>
      </w:pBdr>
      <w:spacing w:before="100" w:beforeAutospacing="1" w:after="100" w:afterAutospacing="1"/>
    </w:pPr>
    <w:rPr>
      <w:rFonts w:ascii="Arial" w:hAnsi="Arial" w:cs="Arial"/>
      <w:b/>
      <w:bCs/>
      <w:sz w:val="20"/>
      <w:szCs w:val="20"/>
    </w:rPr>
  </w:style>
  <w:style w:type="paragraph" w:customStyle="1" w:styleId="xl352">
    <w:name w:val="xl352"/>
    <w:basedOn w:val="Normlny"/>
    <w:rsid w:val="00BB33FC"/>
    <w:pPr>
      <w:pBdr>
        <w:left w:val="single" w:sz="8" w:space="0" w:color="E26B0A"/>
      </w:pBdr>
      <w:spacing w:before="100" w:beforeAutospacing="1" w:after="100" w:afterAutospacing="1"/>
      <w:textAlignment w:val="top"/>
    </w:pPr>
    <w:rPr>
      <w:rFonts w:ascii="Arial" w:hAnsi="Arial" w:cs="Arial"/>
      <w:b/>
      <w:bCs/>
      <w:sz w:val="20"/>
      <w:szCs w:val="20"/>
    </w:rPr>
  </w:style>
  <w:style w:type="paragraph" w:customStyle="1" w:styleId="xl353">
    <w:name w:val="xl353"/>
    <w:basedOn w:val="Normlny"/>
    <w:rsid w:val="00BB33FC"/>
    <w:pPr>
      <w:pBdr>
        <w:top w:val="single" w:sz="8" w:space="0" w:color="E26B0A"/>
        <w:bottom w:val="single" w:sz="4" w:space="0" w:color="A6A6A6"/>
      </w:pBdr>
      <w:spacing w:before="100" w:beforeAutospacing="1" w:after="100" w:afterAutospacing="1"/>
    </w:pPr>
    <w:rPr>
      <w:rFonts w:ascii="Arial" w:hAnsi="Arial" w:cs="Arial"/>
      <w:b/>
      <w:bCs/>
      <w:i/>
      <w:iCs/>
      <w:sz w:val="20"/>
      <w:szCs w:val="20"/>
    </w:rPr>
  </w:style>
  <w:style w:type="paragraph" w:customStyle="1" w:styleId="xl354">
    <w:name w:val="xl354"/>
    <w:basedOn w:val="Normlny"/>
    <w:rsid w:val="00BB33FC"/>
    <w:pPr>
      <w:pBdr>
        <w:top w:val="single" w:sz="4" w:space="0" w:color="A6A6A6"/>
        <w:right w:val="single" w:sz="4" w:space="0" w:color="A6A6A6"/>
      </w:pBdr>
      <w:shd w:val="clear" w:color="000000" w:fill="FCD5B4"/>
      <w:spacing w:before="100" w:beforeAutospacing="1" w:after="100" w:afterAutospacing="1"/>
    </w:pPr>
    <w:rPr>
      <w:rFonts w:ascii="Arial" w:hAnsi="Arial" w:cs="Arial"/>
      <w:sz w:val="18"/>
      <w:szCs w:val="18"/>
    </w:rPr>
  </w:style>
  <w:style w:type="paragraph" w:customStyle="1" w:styleId="xl355">
    <w:name w:val="xl355"/>
    <w:basedOn w:val="Normlny"/>
    <w:rsid w:val="00BB33FC"/>
    <w:pPr>
      <w:pBdr>
        <w:bottom w:val="single" w:sz="8" w:space="0" w:color="E26B0A"/>
        <w:right w:val="single" w:sz="4" w:space="0" w:color="A6A6A6"/>
      </w:pBdr>
      <w:shd w:val="clear" w:color="000000" w:fill="FDE9D9"/>
      <w:spacing w:before="100" w:beforeAutospacing="1" w:after="100" w:afterAutospacing="1"/>
      <w:textAlignment w:val="top"/>
    </w:pPr>
    <w:rPr>
      <w:rFonts w:ascii="Arial" w:hAnsi="Arial" w:cs="Arial"/>
      <w:sz w:val="18"/>
      <w:szCs w:val="18"/>
    </w:rPr>
  </w:style>
  <w:style w:type="paragraph" w:customStyle="1" w:styleId="xl356">
    <w:name w:val="xl356"/>
    <w:basedOn w:val="Normlny"/>
    <w:rsid w:val="00BB33FC"/>
    <w:pPr>
      <w:pBdr>
        <w:top w:val="single" w:sz="4" w:space="0" w:color="A6A6A6"/>
      </w:pBdr>
      <w:shd w:val="clear" w:color="000000" w:fill="FDE9D9"/>
      <w:spacing w:before="100" w:beforeAutospacing="1" w:after="100" w:afterAutospacing="1"/>
      <w:textAlignment w:val="top"/>
    </w:pPr>
    <w:rPr>
      <w:rFonts w:ascii="Arial" w:hAnsi="Arial" w:cs="Arial"/>
      <w:sz w:val="18"/>
      <w:szCs w:val="18"/>
    </w:rPr>
  </w:style>
  <w:style w:type="paragraph" w:customStyle="1" w:styleId="xl357">
    <w:name w:val="xl357"/>
    <w:basedOn w:val="Normlny"/>
    <w:rsid w:val="00BB33FC"/>
    <w:pPr>
      <w:pBdr>
        <w:top w:val="single" w:sz="4" w:space="0" w:color="A6A6A6"/>
        <w:right w:val="single" w:sz="4" w:space="0" w:color="A6A6A6"/>
      </w:pBdr>
      <w:shd w:val="clear" w:color="000000" w:fill="FDE9D9"/>
      <w:spacing w:before="100" w:beforeAutospacing="1" w:after="100" w:afterAutospacing="1"/>
      <w:textAlignment w:val="top"/>
    </w:pPr>
    <w:rPr>
      <w:rFonts w:ascii="Arial" w:hAnsi="Arial" w:cs="Arial"/>
      <w:sz w:val="18"/>
      <w:szCs w:val="18"/>
    </w:rPr>
  </w:style>
  <w:style w:type="paragraph" w:customStyle="1" w:styleId="xl358">
    <w:name w:val="xl358"/>
    <w:basedOn w:val="Normlny"/>
    <w:rsid w:val="00BB33FC"/>
    <w:pPr>
      <w:pBdr>
        <w:top w:val="single" w:sz="8" w:space="0" w:color="E26B0A"/>
      </w:pBdr>
      <w:spacing w:before="100" w:beforeAutospacing="1" w:after="100" w:afterAutospacing="1"/>
      <w:textAlignment w:val="center"/>
    </w:pPr>
    <w:rPr>
      <w:rFonts w:ascii="Arial" w:hAnsi="Arial" w:cs="Arial"/>
      <w:b/>
      <w:bCs/>
      <w:i/>
      <w:iCs/>
      <w:sz w:val="20"/>
      <w:szCs w:val="20"/>
    </w:rPr>
  </w:style>
  <w:style w:type="paragraph" w:customStyle="1" w:styleId="xl359">
    <w:name w:val="xl359"/>
    <w:basedOn w:val="Normlny"/>
    <w:rsid w:val="00BB33FC"/>
    <w:pPr>
      <w:pBdr>
        <w:top w:val="single" w:sz="8" w:space="0" w:color="E26B0A"/>
        <w:right w:val="single" w:sz="8" w:space="0" w:color="E26B0A"/>
      </w:pBdr>
      <w:spacing w:before="100" w:beforeAutospacing="1" w:after="100" w:afterAutospacing="1"/>
      <w:textAlignment w:val="center"/>
    </w:pPr>
    <w:rPr>
      <w:rFonts w:ascii="Arial" w:hAnsi="Arial" w:cs="Arial"/>
      <w:b/>
      <w:bCs/>
      <w:i/>
      <w:iCs/>
      <w:sz w:val="20"/>
      <w:szCs w:val="20"/>
    </w:rPr>
  </w:style>
  <w:style w:type="paragraph" w:customStyle="1" w:styleId="xl360">
    <w:name w:val="xl360"/>
    <w:basedOn w:val="Normlny"/>
    <w:rsid w:val="00BB33FC"/>
    <w:pPr>
      <w:pBdr>
        <w:top w:val="single" w:sz="8" w:space="0" w:color="E26B0A"/>
        <w:bottom w:val="single" w:sz="4" w:space="0" w:color="A6A6A6"/>
      </w:pBdr>
      <w:spacing w:before="100" w:beforeAutospacing="1" w:after="100" w:afterAutospacing="1"/>
      <w:textAlignment w:val="center"/>
    </w:pPr>
    <w:rPr>
      <w:rFonts w:ascii="Arial" w:hAnsi="Arial" w:cs="Arial"/>
      <w:b/>
      <w:bCs/>
      <w:i/>
      <w:iCs/>
      <w:sz w:val="20"/>
      <w:szCs w:val="20"/>
    </w:rPr>
  </w:style>
  <w:style w:type="paragraph" w:customStyle="1" w:styleId="xl361">
    <w:name w:val="xl361"/>
    <w:basedOn w:val="Normlny"/>
    <w:rsid w:val="00BB33FC"/>
    <w:pPr>
      <w:pBdr>
        <w:top w:val="single" w:sz="8" w:space="0" w:color="E26B0A"/>
        <w:bottom w:val="single" w:sz="4" w:space="0" w:color="A6A6A6"/>
        <w:right w:val="single" w:sz="8" w:space="0" w:color="E26B0A"/>
      </w:pBdr>
      <w:spacing w:before="100" w:beforeAutospacing="1" w:after="100" w:afterAutospacing="1"/>
      <w:textAlignment w:val="center"/>
    </w:pPr>
    <w:rPr>
      <w:rFonts w:ascii="Arial" w:hAnsi="Arial" w:cs="Arial"/>
      <w:b/>
      <w:bCs/>
      <w:i/>
      <w:iCs/>
      <w:sz w:val="20"/>
      <w:szCs w:val="20"/>
    </w:rPr>
  </w:style>
  <w:style w:type="paragraph" w:customStyle="1" w:styleId="xl362">
    <w:name w:val="xl362"/>
    <w:basedOn w:val="Normlny"/>
    <w:rsid w:val="00BB33FC"/>
    <w:pPr>
      <w:pBdr>
        <w:top w:val="single" w:sz="8" w:space="0" w:color="E26B0A"/>
        <w:left w:val="single" w:sz="8" w:space="0" w:color="E26B0A"/>
        <w:bottom w:val="single" w:sz="8" w:space="0" w:color="E26B0A"/>
      </w:pBdr>
      <w:spacing w:before="100" w:beforeAutospacing="1" w:after="100" w:afterAutospacing="1"/>
      <w:jc w:val="center"/>
    </w:pPr>
    <w:rPr>
      <w:rFonts w:ascii="Arial" w:hAnsi="Arial" w:cs="Arial"/>
      <w:b/>
      <w:bCs/>
      <w:i/>
      <w:iCs/>
      <w:sz w:val="28"/>
      <w:szCs w:val="28"/>
    </w:rPr>
  </w:style>
  <w:style w:type="paragraph" w:customStyle="1" w:styleId="xl363">
    <w:name w:val="xl363"/>
    <w:basedOn w:val="Normlny"/>
    <w:rsid w:val="00BB33FC"/>
    <w:pPr>
      <w:pBdr>
        <w:top w:val="single" w:sz="8" w:space="0" w:color="E26B0A"/>
        <w:bottom w:val="single" w:sz="8" w:space="0" w:color="E26B0A"/>
      </w:pBdr>
      <w:spacing w:before="100" w:beforeAutospacing="1" w:after="100" w:afterAutospacing="1"/>
      <w:jc w:val="center"/>
    </w:pPr>
    <w:rPr>
      <w:rFonts w:ascii="Arial" w:hAnsi="Arial" w:cs="Arial"/>
      <w:b/>
      <w:bCs/>
      <w:i/>
      <w:iCs/>
      <w:sz w:val="28"/>
      <w:szCs w:val="28"/>
    </w:rPr>
  </w:style>
  <w:style w:type="paragraph" w:customStyle="1" w:styleId="xl364">
    <w:name w:val="xl364"/>
    <w:basedOn w:val="Normlny"/>
    <w:rsid w:val="00BB33FC"/>
    <w:pPr>
      <w:pBdr>
        <w:top w:val="single" w:sz="8" w:space="0" w:color="E26B0A"/>
        <w:bottom w:val="single" w:sz="8" w:space="0" w:color="E26B0A"/>
        <w:right w:val="single" w:sz="4" w:space="0" w:color="A6A6A6"/>
      </w:pBdr>
      <w:spacing w:before="100" w:beforeAutospacing="1" w:after="100" w:afterAutospacing="1"/>
      <w:jc w:val="center"/>
    </w:pPr>
    <w:rPr>
      <w:rFonts w:ascii="Arial" w:hAnsi="Arial" w:cs="Arial"/>
      <w:b/>
      <w:bCs/>
      <w:i/>
      <w:iCs/>
      <w:sz w:val="28"/>
      <w:szCs w:val="28"/>
    </w:rPr>
  </w:style>
  <w:style w:type="paragraph" w:customStyle="1" w:styleId="xl365">
    <w:name w:val="xl365"/>
    <w:basedOn w:val="Normlny"/>
    <w:rsid w:val="00BB33FC"/>
    <w:pPr>
      <w:pBdr>
        <w:top w:val="single" w:sz="8" w:space="0" w:color="E26B0A"/>
        <w:right w:val="single" w:sz="8" w:space="0" w:color="E26B0A"/>
      </w:pBdr>
      <w:spacing w:before="100" w:beforeAutospacing="1" w:after="100" w:afterAutospacing="1"/>
    </w:pPr>
    <w:rPr>
      <w:rFonts w:ascii="Arial" w:hAnsi="Arial" w:cs="Arial"/>
      <w:b/>
      <w:bCs/>
      <w:i/>
      <w:iCs/>
      <w:sz w:val="20"/>
      <w:szCs w:val="20"/>
    </w:rPr>
  </w:style>
  <w:style w:type="paragraph" w:customStyle="1" w:styleId="xl366">
    <w:name w:val="xl366"/>
    <w:basedOn w:val="Normlny"/>
    <w:rsid w:val="00BB33FC"/>
    <w:pPr>
      <w:pBdr>
        <w:top w:val="single" w:sz="8" w:space="0" w:color="E26B0A"/>
        <w:right w:val="single" w:sz="8" w:space="0" w:color="E26B0A"/>
      </w:pBdr>
      <w:spacing w:before="100" w:beforeAutospacing="1" w:after="100" w:afterAutospacing="1"/>
      <w:textAlignment w:val="top"/>
    </w:pPr>
    <w:rPr>
      <w:rFonts w:ascii="Arial" w:hAnsi="Arial" w:cs="Arial"/>
      <w:b/>
      <w:bCs/>
      <w:i/>
      <w:iCs/>
      <w:sz w:val="20"/>
      <w:szCs w:val="20"/>
    </w:rPr>
  </w:style>
  <w:style w:type="paragraph" w:customStyle="1" w:styleId="xl367">
    <w:name w:val="xl367"/>
    <w:basedOn w:val="Normlny"/>
    <w:rsid w:val="00BB33FC"/>
    <w:pPr>
      <w:pBdr>
        <w:top w:val="single" w:sz="8" w:space="0" w:color="E26B0A"/>
        <w:left w:val="single" w:sz="8" w:space="0" w:color="E26B0A"/>
        <w:bottom w:val="single" w:sz="4" w:space="0" w:color="A6A6A6"/>
      </w:pBdr>
      <w:shd w:val="clear" w:color="000000" w:fill="FFFFFF"/>
      <w:spacing w:before="100" w:beforeAutospacing="1" w:after="100" w:afterAutospacing="1"/>
    </w:pPr>
    <w:rPr>
      <w:rFonts w:ascii="Arial" w:hAnsi="Arial" w:cs="Arial"/>
      <w:b/>
      <w:bCs/>
      <w:i/>
      <w:iCs/>
      <w:sz w:val="20"/>
      <w:szCs w:val="20"/>
    </w:rPr>
  </w:style>
  <w:style w:type="paragraph" w:customStyle="1" w:styleId="xl368">
    <w:name w:val="xl368"/>
    <w:basedOn w:val="Normlny"/>
    <w:rsid w:val="00BB33FC"/>
    <w:pPr>
      <w:pBdr>
        <w:top w:val="single" w:sz="8" w:space="0" w:color="E26B0A"/>
        <w:bottom w:val="single" w:sz="4" w:space="0" w:color="A6A6A6"/>
      </w:pBdr>
      <w:shd w:val="clear" w:color="000000" w:fill="FFFFFF"/>
      <w:spacing w:before="100" w:beforeAutospacing="1" w:after="100" w:afterAutospacing="1"/>
    </w:pPr>
    <w:rPr>
      <w:rFonts w:ascii="Arial" w:hAnsi="Arial" w:cs="Arial"/>
      <w:b/>
      <w:bCs/>
      <w:i/>
      <w:iCs/>
      <w:sz w:val="20"/>
      <w:szCs w:val="20"/>
    </w:rPr>
  </w:style>
  <w:style w:type="paragraph" w:customStyle="1" w:styleId="xl369">
    <w:name w:val="xl369"/>
    <w:basedOn w:val="Normlny"/>
    <w:rsid w:val="00BB33FC"/>
    <w:pPr>
      <w:pBdr>
        <w:top w:val="single" w:sz="8" w:space="0" w:color="E26B0A"/>
        <w:bottom w:val="single" w:sz="4" w:space="0" w:color="A6A6A6"/>
        <w:right w:val="single" w:sz="8" w:space="0" w:color="E26B0A"/>
      </w:pBdr>
      <w:shd w:val="clear" w:color="000000" w:fill="FFFFFF"/>
      <w:spacing w:before="100" w:beforeAutospacing="1" w:after="100" w:afterAutospacing="1"/>
    </w:pPr>
    <w:rPr>
      <w:rFonts w:ascii="Arial" w:hAnsi="Arial" w:cs="Arial"/>
      <w:b/>
      <w:bCs/>
      <w:i/>
      <w:iCs/>
      <w:sz w:val="20"/>
      <w:szCs w:val="20"/>
    </w:rPr>
  </w:style>
  <w:style w:type="paragraph" w:customStyle="1" w:styleId="xl370">
    <w:name w:val="xl370"/>
    <w:basedOn w:val="Normlny"/>
    <w:rsid w:val="00BB33FC"/>
    <w:pPr>
      <w:pBdr>
        <w:top w:val="single" w:sz="8" w:space="0" w:color="E26B0A"/>
        <w:left w:val="single" w:sz="8" w:space="0" w:color="E26B0A"/>
        <w:right w:val="single" w:sz="8" w:space="0" w:color="E26B0A"/>
      </w:pBdr>
      <w:spacing w:before="100" w:beforeAutospacing="1" w:after="100" w:afterAutospacing="1"/>
      <w:textAlignment w:val="top"/>
    </w:pPr>
    <w:rPr>
      <w:rFonts w:ascii="Arial" w:hAnsi="Arial" w:cs="Arial"/>
      <w:b/>
      <w:bCs/>
      <w:sz w:val="20"/>
      <w:szCs w:val="20"/>
    </w:rPr>
  </w:style>
  <w:style w:type="paragraph" w:customStyle="1" w:styleId="xl371">
    <w:name w:val="xl371"/>
    <w:basedOn w:val="Normlny"/>
    <w:rsid w:val="00BB33FC"/>
    <w:pPr>
      <w:pBdr>
        <w:left w:val="single" w:sz="8" w:space="0" w:color="E26B0A"/>
        <w:bottom w:val="single" w:sz="8" w:space="0" w:color="E26B0A"/>
        <w:right w:val="single" w:sz="8" w:space="0" w:color="E26B0A"/>
      </w:pBdr>
      <w:spacing w:before="100" w:beforeAutospacing="1" w:after="100" w:afterAutospacing="1"/>
      <w:textAlignment w:val="top"/>
    </w:pPr>
    <w:rPr>
      <w:rFonts w:ascii="Arial" w:hAnsi="Arial" w:cs="Arial"/>
      <w:b/>
      <w:bCs/>
      <w:sz w:val="20"/>
      <w:szCs w:val="20"/>
    </w:rPr>
  </w:style>
  <w:style w:type="paragraph" w:customStyle="1" w:styleId="xl372">
    <w:name w:val="xl372"/>
    <w:basedOn w:val="Normlny"/>
    <w:rsid w:val="00BB33FC"/>
    <w:pPr>
      <w:pBdr>
        <w:top w:val="single" w:sz="4" w:space="0" w:color="A6A6A6"/>
        <w:left w:val="single" w:sz="8" w:space="0" w:color="E26B0A"/>
        <w:bottom w:val="single" w:sz="4" w:space="0" w:color="A6A6A6"/>
      </w:pBdr>
      <w:shd w:val="clear" w:color="000000" w:fill="FCD5B4"/>
      <w:spacing w:before="100" w:beforeAutospacing="1" w:after="100" w:afterAutospacing="1"/>
    </w:pPr>
    <w:rPr>
      <w:rFonts w:ascii="Arial" w:hAnsi="Arial" w:cs="Arial"/>
      <w:sz w:val="18"/>
      <w:szCs w:val="18"/>
    </w:rPr>
  </w:style>
  <w:style w:type="paragraph" w:customStyle="1" w:styleId="xl373">
    <w:name w:val="xl373"/>
    <w:basedOn w:val="Normlny"/>
    <w:rsid w:val="00BB33FC"/>
    <w:pPr>
      <w:pBdr>
        <w:top w:val="single" w:sz="4" w:space="0" w:color="A6A6A6"/>
        <w:bottom w:val="single" w:sz="4" w:space="0" w:color="A6A6A6"/>
        <w:right w:val="single" w:sz="4" w:space="0" w:color="A6A6A6"/>
      </w:pBdr>
      <w:shd w:val="clear" w:color="000000" w:fill="FCD5B4"/>
      <w:spacing w:before="100" w:beforeAutospacing="1" w:after="100" w:afterAutospacing="1"/>
    </w:pPr>
    <w:rPr>
      <w:rFonts w:ascii="Arial" w:hAnsi="Arial" w:cs="Arial"/>
      <w:sz w:val="18"/>
      <w:szCs w:val="18"/>
    </w:rPr>
  </w:style>
  <w:style w:type="paragraph" w:customStyle="1" w:styleId="xl374">
    <w:name w:val="xl374"/>
    <w:basedOn w:val="Normlny"/>
    <w:rsid w:val="00BB33FC"/>
    <w:pPr>
      <w:pBdr>
        <w:left w:val="single" w:sz="8" w:space="0" w:color="E26B0A"/>
      </w:pBdr>
      <w:shd w:val="clear" w:color="000000" w:fill="FDE9D9"/>
      <w:spacing w:before="100" w:beforeAutospacing="1" w:after="100" w:afterAutospacing="1"/>
    </w:pPr>
    <w:rPr>
      <w:rFonts w:ascii="Arial" w:hAnsi="Arial" w:cs="Arial"/>
      <w:sz w:val="18"/>
      <w:szCs w:val="18"/>
    </w:rPr>
  </w:style>
  <w:style w:type="paragraph" w:customStyle="1" w:styleId="xl375">
    <w:name w:val="xl375"/>
    <w:basedOn w:val="Normlny"/>
    <w:rsid w:val="00BB33FC"/>
    <w:pPr>
      <w:pBdr>
        <w:left w:val="single" w:sz="8" w:space="0" w:color="E26B0A"/>
      </w:pBdr>
      <w:shd w:val="clear" w:color="000000" w:fill="FCD5B4"/>
      <w:spacing w:before="100" w:beforeAutospacing="1" w:after="100" w:afterAutospacing="1"/>
    </w:pPr>
    <w:rPr>
      <w:rFonts w:ascii="Arial" w:hAnsi="Arial" w:cs="Arial"/>
      <w:sz w:val="18"/>
      <w:szCs w:val="18"/>
    </w:rPr>
  </w:style>
  <w:style w:type="paragraph" w:customStyle="1" w:styleId="xl376">
    <w:name w:val="xl376"/>
    <w:basedOn w:val="Normlny"/>
    <w:rsid w:val="00BB33FC"/>
    <w:pPr>
      <w:pBdr>
        <w:top w:val="single" w:sz="8" w:space="0" w:color="E26B0A"/>
        <w:left w:val="single" w:sz="8" w:space="0" w:color="E26B0A"/>
      </w:pBdr>
      <w:shd w:val="clear" w:color="000000" w:fill="FFFFFF"/>
      <w:spacing w:before="100" w:beforeAutospacing="1" w:after="100" w:afterAutospacing="1"/>
    </w:pPr>
    <w:rPr>
      <w:rFonts w:ascii="Arial" w:hAnsi="Arial" w:cs="Arial"/>
      <w:b/>
      <w:bCs/>
      <w:i/>
      <w:iCs/>
      <w:sz w:val="20"/>
      <w:szCs w:val="20"/>
    </w:rPr>
  </w:style>
  <w:style w:type="paragraph" w:customStyle="1" w:styleId="xl377">
    <w:name w:val="xl377"/>
    <w:basedOn w:val="Normlny"/>
    <w:rsid w:val="00BB33FC"/>
    <w:pPr>
      <w:pBdr>
        <w:top w:val="single" w:sz="8" w:space="0" w:color="E26B0A"/>
        <w:right w:val="single" w:sz="8" w:space="0" w:color="E26B0A"/>
      </w:pBdr>
      <w:shd w:val="clear" w:color="000000" w:fill="FFFFFF"/>
      <w:spacing w:before="100" w:beforeAutospacing="1" w:after="100" w:afterAutospacing="1"/>
    </w:pPr>
    <w:rPr>
      <w:rFonts w:ascii="Arial" w:hAnsi="Arial" w:cs="Arial"/>
      <w:b/>
      <w:bCs/>
      <w:i/>
      <w:iCs/>
      <w:sz w:val="20"/>
      <w:szCs w:val="20"/>
    </w:rPr>
  </w:style>
  <w:style w:type="paragraph" w:customStyle="1" w:styleId="xl378">
    <w:name w:val="xl378"/>
    <w:basedOn w:val="Normlny"/>
    <w:rsid w:val="00BB33FC"/>
    <w:pPr>
      <w:pBdr>
        <w:top w:val="single" w:sz="8" w:space="0" w:color="E26B0A"/>
        <w:left w:val="single" w:sz="8" w:space="0" w:color="E26B0A"/>
        <w:bottom w:val="single" w:sz="4" w:space="0" w:color="A6A6A6"/>
      </w:pBdr>
      <w:spacing w:before="100" w:beforeAutospacing="1" w:after="100" w:afterAutospacing="1"/>
    </w:pPr>
    <w:rPr>
      <w:rFonts w:ascii="Arial" w:hAnsi="Arial" w:cs="Arial"/>
      <w:b/>
      <w:bCs/>
      <w:i/>
      <w:iCs/>
      <w:sz w:val="20"/>
      <w:szCs w:val="20"/>
    </w:rPr>
  </w:style>
  <w:style w:type="paragraph" w:customStyle="1" w:styleId="xl379">
    <w:name w:val="xl379"/>
    <w:basedOn w:val="Normlny"/>
    <w:rsid w:val="00BB33FC"/>
    <w:pPr>
      <w:pBdr>
        <w:top w:val="single" w:sz="8" w:space="0" w:color="E26B0A"/>
        <w:left w:val="single" w:sz="8" w:space="0" w:color="E26B0A"/>
        <w:bottom w:val="single" w:sz="4" w:space="0" w:color="A6A6A6"/>
      </w:pBdr>
      <w:spacing w:before="100" w:beforeAutospacing="1" w:after="100" w:afterAutospacing="1"/>
    </w:pPr>
    <w:rPr>
      <w:rFonts w:ascii="Arial" w:hAnsi="Arial" w:cs="Arial"/>
      <w:b/>
      <w:bCs/>
      <w:i/>
      <w:iCs/>
      <w:sz w:val="20"/>
      <w:szCs w:val="20"/>
    </w:rPr>
  </w:style>
  <w:style w:type="paragraph" w:customStyle="1" w:styleId="xl380">
    <w:name w:val="xl380"/>
    <w:basedOn w:val="Normlny"/>
    <w:rsid w:val="00BB33FC"/>
    <w:pPr>
      <w:pBdr>
        <w:top w:val="single" w:sz="8" w:space="0" w:color="E26B0A"/>
        <w:bottom w:val="single" w:sz="4" w:space="0" w:color="A6A6A6"/>
      </w:pBdr>
      <w:spacing w:before="100" w:beforeAutospacing="1" w:after="100" w:afterAutospacing="1"/>
    </w:pPr>
    <w:rPr>
      <w:rFonts w:ascii="Arial" w:hAnsi="Arial" w:cs="Arial"/>
      <w:b/>
      <w:bCs/>
      <w:i/>
      <w:iCs/>
      <w:sz w:val="20"/>
      <w:szCs w:val="20"/>
    </w:rPr>
  </w:style>
  <w:style w:type="paragraph" w:customStyle="1" w:styleId="xl381">
    <w:name w:val="xl381"/>
    <w:basedOn w:val="Normlny"/>
    <w:rsid w:val="00BB33FC"/>
    <w:pPr>
      <w:pBdr>
        <w:top w:val="single" w:sz="8" w:space="0" w:color="E26B0A"/>
        <w:bottom w:val="single" w:sz="4" w:space="0" w:color="A6A6A6"/>
        <w:right w:val="single" w:sz="8" w:space="0" w:color="E26B0A"/>
      </w:pBdr>
      <w:spacing w:before="100" w:beforeAutospacing="1" w:after="100" w:afterAutospacing="1"/>
    </w:pPr>
    <w:rPr>
      <w:rFonts w:ascii="Arial" w:hAnsi="Arial" w:cs="Arial"/>
      <w:b/>
      <w:bCs/>
      <w:i/>
      <w:iCs/>
      <w:sz w:val="20"/>
      <w:szCs w:val="20"/>
    </w:rPr>
  </w:style>
  <w:style w:type="paragraph" w:customStyle="1" w:styleId="xl382">
    <w:name w:val="xl382"/>
    <w:basedOn w:val="Normlny"/>
    <w:rsid w:val="00BB33FC"/>
    <w:pPr>
      <w:pBdr>
        <w:top w:val="single" w:sz="8" w:space="0" w:color="E26B0A"/>
        <w:left w:val="single" w:sz="8" w:space="0" w:color="E26B0A"/>
        <w:right w:val="single" w:sz="8" w:space="0" w:color="E26B0A"/>
      </w:pBdr>
      <w:spacing w:before="100" w:beforeAutospacing="1" w:after="100" w:afterAutospacing="1"/>
      <w:textAlignment w:val="top"/>
    </w:pPr>
    <w:rPr>
      <w:rFonts w:ascii="Arial" w:hAnsi="Arial" w:cs="Arial"/>
      <w:b/>
      <w:bCs/>
      <w:sz w:val="20"/>
      <w:szCs w:val="20"/>
    </w:rPr>
  </w:style>
  <w:style w:type="paragraph" w:customStyle="1" w:styleId="xl383">
    <w:name w:val="xl383"/>
    <w:basedOn w:val="Normlny"/>
    <w:rsid w:val="00BB33FC"/>
    <w:pPr>
      <w:pBdr>
        <w:left w:val="single" w:sz="8" w:space="0" w:color="E26B0A"/>
        <w:right w:val="single" w:sz="8" w:space="0" w:color="E26B0A"/>
      </w:pBdr>
      <w:spacing w:before="100" w:beforeAutospacing="1" w:after="100" w:afterAutospacing="1"/>
      <w:textAlignment w:val="top"/>
    </w:pPr>
    <w:rPr>
      <w:rFonts w:ascii="Arial" w:hAnsi="Arial" w:cs="Arial"/>
      <w:b/>
      <w:bCs/>
      <w:sz w:val="20"/>
      <w:szCs w:val="20"/>
    </w:rPr>
  </w:style>
  <w:style w:type="paragraph" w:customStyle="1" w:styleId="xl384">
    <w:name w:val="xl384"/>
    <w:basedOn w:val="Normlny"/>
    <w:rsid w:val="00BB33FC"/>
    <w:pPr>
      <w:pBdr>
        <w:left w:val="single" w:sz="8" w:space="0" w:color="E26B0A"/>
        <w:bottom w:val="single" w:sz="8" w:space="0" w:color="E26B0A"/>
        <w:right w:val="single" w:sz="8" w:space="0" w:color="E26B0A"/>
      </w:pBdr>
      <w:spacing w:before="100" w:beforeAutospacing="1" w:after="100" w:afterAutospacing="1"/>
      <w:textAlignment w:val="top"/>
    </w:pPr>
    <w:rPr>
      <w:rFonts w:ascii="Arial" w:hAnsi="Arial" w:cs="Arial"/>
      <w:b/>
      <w:bCs/>
      <w:sz w:val="20"/>
      <w:szCs w:val="20"/>
    </w:rPr>
  </w:style>
  <w:style w:type="paragraph" w:customStyle="1" w:styleId="xl385">
    <w:name w:val="xl385"/>
    <w:basedOn w:val="Normlny"/>
    <w:rsid w:val="00BB33FC"/>
    <w:pPr>
      <w:pBdr>
        <w:top w:val="single" w:sz="8" w:space="0" w:color="E26B0A"/>
        <w:left w:val="single" w:sz="8" w:space="0" w:color="E26B0A"/>
        <w:bottom w:val="single" w:sz="4" w:space="0" w:color="A6A6A6"/>
      </w:pBdr>
      <w:spacing w:before="100" w:beforeAutospacing="1" w:after="100" w:afterAutospacing="1"/>
      <w:textAlignment w:val="top"/>
    </w:pPr>
    <w:rPr>
      <w:rFonts w:ascii="Arial" w:hAnsi="Arial" w:cs="Arial"/>
      <w:b/>
      <w:bCs/>
      <w:i/>
      <w:iCs/>
      <w:sz w:val="20"/>
      <w:szCs w:val="20"/>
    </w:rPr>
  </w:style>
  <w:style w:type="paragraph" w:customStyle="1" w:styleId="xl386">
    <w:name w:val="xl386"/>
    <w:basedOn w:val="Normlny"/>
    <w:rsid w:val="00BB33FC"/>
    <w:pPr>
      <w:pBdr>
        <w:top w:val="single" w:sz="8" w:space="0" w:color="E26B0A"/>
        <w:bottom w:val="single" w:sz="4" w:space="0" w:color="A6A6A6"/>
      </w:pBdr>
      <w:spacing w:before="100" w:beforeAutospacing="1" w:after="100" w:afterAutospacing="1"/>
      <w:textAlignment w:val="top"/>
    </w:pPr>
    <w:rPr>
      <w:rFonts w:ascii="Arial" w:hAnsi="Arial" w:cs="Arial"/>
      <w:b/>
      <w:bCs/>
      <w:i/>
      <w:iCs/>
      <w:sz w:val="20"/>
      <w:szCs w:val="20"/>
    </w:rPr>
  </w:style>
  <w:style w:type="paragraph" w:customStyle="1" w:styleId="xl387">
    <w:name w:val="xl387"/>
    <w:basedOn w:val="Normlny"/>
    <w:rsid w:val="00BB33FC"/>
    <w:pPr>
      <w:pBdr>
        <w:top w:val="single" w:sz="8" w:space="0" w:color="E26B0A"/>
        <w:bottom w:val="single" w:sz="4" w:space="0" w:color="A6A6A6"/>
        <w:right w:val="single" w:sz="8" w:space="0" w:color="E26B0A"/>
      </w:pBdr>
      <w:spacing w:before="100" w:beforeAutospacing="1" w:after="100" w:afterAutospacing="1"/>
      <w:textAlignment w:val="top"/>
    </w:pPr>
    <w:rPr>
      <w:rFonts w:ascii="Arial" w:hAnsi="Arial" w:cs="Arial"/>
      <w:b/>
      <w:bCs/>
      <w:i/>
      <w:iCs/>
      <w:sz w:val="20"/>
      <w:szCs w:val="20"/>
    </w:rPr>
  </w:style>
  <w:style w:type="paragraph" w:customStyle="1" w:styleId="xl388">
    <w:name w:val="xl388"/>
    <w:basedOn w:val="Normlny"/>
    <w:rsid w:val="00BB33FC"/>
    <w:pPr>
      <w:pBdr>
        <w:top w:val="single" w:sz="8" w:space="0" w:color="E26B0A"/>
        <w:left w:val="single" w:sz="8" w:space="0" w:color="E26B0A"/>
        <w:bottom w:val="single" w:sz="4" w:space="0" w:color="A6A6A6"/>
      </w:pBdr>
      <w:shd w:val="clear" w:color="000000" w:fill="FFFFFF"/>
      <w:spacing w:before="100" w:beforeAutospacing="1" w:after="100" w:afterAutospacing="1"/>
    </w:pPr>
    <w:rPr>
      <w:rFonts w:ascii="Arial" w:hAnsi="Arial" w:cs="Arial"/>
      <w:b/>
      <w:bCs/>
      <w:i/>
      <w:iCs/>
      <w:sz w:val="20"/>
      <w:szCs w:val="20"/>
    </w:rPr>
  </w:style>
  <w:style w:type="paragraph" w:customStyle="1" w:styleId="xl389">
    <w:name w:val="xl389"/>
    <w:basedOn w:val="Normlny"/>
    <w:rsid w:val="00BB33FC"/>
    <w:pPr>
      <w:pBdr>
        <w:top w:val="single" w:sz="8" w:space="0" w:color="E26B0A"/>
        <w:bottom w:val="single" w:sz="4" w:space="0" w:color="A6A6A6"/>
      </w:pBdr>
      <w:shd w:val="clear" w:color="000000" w:fill="FFFFFF"/>
      <w:spacing w:before="100" w:beforeAutospacing="1" w:after="100" w:afterAutospacing="1"/>
    </w:pPr>
    <w:rPr>
      <w:rFonts w:ascii="Arial" w:hAnsi="Arial" w:cs="Arial"/>
      <w:b/>
      <w:bCs/>
      <w:i/>
      <w:iCs/>
      <w:sz w:val="20"/>
      <w:szCs w:val="20"/>
    </w:rPr>
  </w:style>
  <w:style w:type="paragraph" w:customStyle="1" w:styleId="xl390">
    <w:name w:val="xl390"/>
    <w:basedOn w:val="Normlny"/>
    <w:rsid w:val="00BB33FC"/>
    <w:pPr>
      <w:pBdr>
        <w:top w:val="single" w:sz="8" w:space="0" w:color="E26B0A"/>
        <w:bottom w:val="single" w:sz="4" w:space="0" w:color="A6A6A6"/>
        <w:right w:val="single" w:sz="8" w:space="0" w:color="E26B0A"/>
      </w:pBdr>
      <w:shd w:val="clear" w:color="000000" w:fill="FFFFFF"/>
      <w:spacing w:before="100" w:beforeAutospacing="1" w:after="100" w:afterAutospacing="1"/>
    </w:pPr>
    <w:rPr>
      <w:rFonts w:ascii="Arial" w:hAnsi="Arial" w:cs="Arial"/>
      <w:b/>
      <w:bCs/>
      <w:i/>
      <w:iCs/>
      <w:sz w:val="20"/>
      <w:szCs w:val="20"/>
    </w:rPr>
  </w:style>
  <w:style w:type="paragraph" w:customStyle="1" w:styleId="xl391">
    <w:name w:val="xl391"/>
    <w:basedOn w:val="Normlny"/>
    <w:rsid w:val="00BB33FC"/>
    <w:pPr>
      <w:pBdr>
        <w:top w:val="single" w:sz="8" w:space="0" w:color="E26B0A"/>
        <w:left w:val="single" w:sz="8" w:space="0" w:color="E26B0A"/>
      </w:pBdr>
      <w:shd w:val="clear" w:color="000000" w:fill="FFFFFF"/>
      <w:spacing w:before="100" w:beforeAutospacing="1" w:after="100" w:afterAutospacing="1"/>
    </w:pPr>
    <w:rPr>
      <w:rFonts w:ascii="Arial" w:hAnsi="Arial" w:cs="Arial"/>
      <w:b/>
      <w:bCs/>
      <w:i/>
      <w:iCs/>
      <w:sz w:val="20"/>
      <w:szCs w:val="20"/>
    </w:rPr>
  </w:style>
  <w:style w:type="paragraph" w:customStyle="1" w:styleId="xl392">
    <w:name w:val="xl392"/>
    <w:basedOn w:val="Normlny"/>
    <w:rsid w:val="00BB33FC"/>
    <w:pPr>
      <w:pBdr>
        <w:top w:val="single" w:sz="8" w:space="0" w:color="E26B0A"/>
      </w:pBdr>
      <w:shd w:val="clear" w:color="000000" w:fill="FFFFFF"/>
      <w:spacing w:before="100" w:beforeAutospacing="1" w:after="100" w:afterAutospacing="1"/>
    </w:pPr>
    <w:rPr>
      <w:rFonts w:ascii="Arial" w:hAnsi="Arial" w:cs="Arial"/>
      <w:b/>
      <w:bCs/>
      <w:i/>
      <w:iCs/>
      <w:sz w:val="20"/>
      <w:szCs w:val="20"/>
    </w:rPr>
  </w:style>
  <w:style w:type="paragraph" w:customStyle="1" w:styleId="xl393">
    <w:name w:val="xl393"/>
    <w:basedOn w:val="Normlny"/>
    <w:rsid w:val="00BB33FC"/>
    <w:pPr>
      <w:pBdr>
        <w:top w:val="single" w:sz="8" w:space="0" w:color="E26B0A"/>
        <w:right w:val="single" w:sz="8" w:space="0" w:color="E26B0A"/>
      </w:pBdr>
      <w:shd w:val="clear" w:color="000000" w:fill="FFFFFF"/>
      <w:spacing w:before="100" w:beforeAutospacing="1" w:after="100" w:afterAutospacing="1"/>
    </w:pPr>
    <w:rPr>
      <w:rFonts w:ascii="Arial" w:hAnsi="Arial" w:cs="Arial"/>
      <w:b/>
      <w:bCs/>
      <w:i/>
      <w:iCs/>
      <w:sz w:val="20"/>
      <w:szCs w:val="20"/>
    </w:rPr>
  </w:style>
  <w:style w:type="paragraph" w:customStyle="1" w:styleId="xl394">
    <w:name w:val="xl394"/>
    <w:basedOn w:val="Normlny"/>
    <w:rsid w:val="00BB33FC"/>
    <w:pPr>
      <w:pBdr>
        <w:left w:val="single" w:sz="8" w:space="0" w:color="E26B0A"/>
      </w:pBdr>
      <w:shd w:val="clear" w:color="000000" w:fill="FDE9D9"/>
      <w:spacing w:before="100" w:beforeAutospacing="1" w:after="100" w:afterAutospacing="1"/>
      <w:textAlignment w:val="top"/>
    </w:pPr>
    <w:rPr>
      <w:rFonts w:ascii="Arial" w:hAnsi="Arial" w:cs="Arial"/>
      <w:sz w:val="18"/>
      <w:szCs w:val="18"/>
    </w:rPr>
  </w:style>
  <w:style w:type="table" w:styleId="Strednpodfarbenie1zvraznenie3">
    <w:name w:val="Medium Shading 1 Accent 3"/>
    <w:basedOn w:val="Normlnatabuka"/>
    <w:uiPriority w:val="63"/>
    <w:rsid w:val="00B833BD"/>
    <w:rPr>
      <w:sz w:val="22"/>
      <w:szCs w:val="22"/>
    </w:rPr>
    <w:tblPr>
      <w:tblStyleRowBandSize w:val="1"/>
      <w:tblStyleColBandSize w:val="1"/>
      <w:tblInd w:w="0" w:type="dxa"/>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2Horz">
      <w:tblPr/>
      <w:tcPr>
        <w:tcBorders>
          <w:insideH w:val="nil"/>
          <w:insideV w:val="nil"/>
        </w:tcBorders>
      </w:tcPr>
    </w:tblStylePr>
  </w:style>
  <w:style w:type="table" w:styleId="Svetlzoznamzvraznenie3">
    <w:name w:val="Light List Accent 3"/>
    <w:basedOn w:val="Normlnatabuka"/>
    <w:uiPriority w:val="61"/>
    <w:rsid w:val="00B833BD"/>
    <w:rPr>
      <w:sz w:val="22"/>
      <w:szCs w:val="22"/>
    </w:r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character" w:customStyle="1" w:styleId="hpsatn">
    <w:name w:val="hps atn"/>
    <w:basedOn w:val="Predvolenpsmoodseku"/>
    <w:rsid w:val="00A03F52"/>
  </w:style>
  <w:style w:type="paragraph" w:styleId="Obsah1">
    <w:name w:val="toc 1"/>
    <w:basedOn w:val="Normlny"/>
    <w:next w:val="Normlny"/>
    <w:autoRedefine/>
    <w:uiPriority w:val="39"/>
    <w:rsid w:val="00197171"/>
    <w:pPr>
      <w:tabs>
        <w:tab w:val="left" w:pos="0"/>
        <w:tab w:val="right" w:leader="dot" w:pos="9062"/>
      </w:tabs>
      <w:spacing w:after="100"/>
    </w:pPr>
    <w:rPr>
      <w:rFonts w:ascii="Calibri" w:hAnsi="Calibri"/>
      <w:b/>
      <w:noProof/>
      <w:sz w:val="24"/>
      <w:szCs w:val="22"/>
      <w:lang w:eastAsia="en-US"/>
    </w:rPr>
  </w:style>
  <w:style w:type="paragraph" w:styleId="Obsah2">
    <w:name w:val="toc 2"/>
    <w:basedOn w:val="Normlny"/>
    <w:next w:val="Normlny"/>
    <w:autoRedefine/>
    <w:uiPriority w:val="39"/>
    <w:rsid w:val="00AA30CA"/>
    <w:pPr>
      <w:tabs>
        <w:tab w:val="right" w:leader="dot" w:pos="9062"/>
      </w:tabs>
      <w:spacing w:after="100"/>
    </w:pPr>
  </w:style>
  <w:style w:type="paragraph" w:styleId="Obsah3">
    <w:name w:val="toc 3"/>
    <w:basedOn w:val="Normlny"/>
    <w:next w:val="Normlny"/>
    <w:autoRedefine/>
    <w:uiPriority w:val="39"/>
    <w:rsid w:val="000A3653"/>
    <w:pPr>
      <w:tabs>
        <w:tab w:val="left" w:pos="2655"/>
        <w:tab w:val="right" w:leader="dot" w:pos="9062"/>
      </w:tabs>
      <w:spacing w:after="120"/>
      <w:jc w:val="left"/>
      <w:outlineLvl w:val="0"/>
    </w:pPr>
    <w:rPr>
      <w:noProof/>
    </w:rPr>
  </w:style>
  <w:style w:type="paragraph" w:styleId="Obsah4">
    <w:name w:val="toc 4"/>
    <w:basedOn w:val="Normlny"/>
    <w:next w:val="Normlny"/>
    <w:autoRedefine/>
    <w:uiPriority w:val="39"/>
    <w:unhideWhenUsed/>
    <w:rsid w:val="00E30CD7"/>
    <w:pPr>
      <w:spacing w:after="100" w:line="276" w:lineRule="auto"/>
      <w:ind w:left="660"/>
    </w:pPr>
    <w:rPr>
      <w:rFonts w:eastAsiaTheme="minorEastAsia" w:cstheme="minorBidi"/>
      <w:szCs w:val="22"/>
    </w:rPr>
  </w:style>
  <w:style w:type="paragraph" w:styleId="Obsah5">
    <w:name w:val="toc 5"/>
    <w:basedOn w:val="Normlny"/>
    <w:next w:val="Normlny"/>
    <w:autoRedefine/>
    <w:uiPriority w:val="39"/>
    <w:unhideWhenUsed/>
    <w:rsid w:val="00E30CD7"/>
    <w:pPr>
      <w:spacing w:after="100" w:line="276" w:lineRule="auto"/>
      <w:ind w:left="880"/>
    </w:pPr>
    <w:rPr>
      <w:rFonts w:eastAsiaTheme="minorEastAsia" w:cstheme="minorBidi"/>
      <w:szCs w:val="22"/>
    </w:rPr>
  </w:style>
  <w:style w:type="paragraph" w:styleId="Obsah6">
    <w:name w:val="toc 6"/>
    <w:basedOn w:val="Normlny"/>
    <w:next w:val="Normlny"/>
    <w:autoRedefine/>
    <w:uiPriority w:val="39"/>
    <w:unhideWhenUsed/>
    <w:rsid w:val="00E30CD7"/>
    <w:pPr>
      <w:spacing w:after="100" w:line="276" w:lineRule="auto"/>
      <w:ind w:left="1100"/>
    </w:pPr>
    <w:rPr>
      <w:rFonts w:eastAsiaTheme="minorEastAsia" w:cstheme="minorBidi"/>
      <w:szCs w:val="22"/>
    </w:rPr>
  </w:style>
  <w:style w:type="paragraph" w:styleId="Obsah7">
    <w:name w:val="toc 7"/>
    <w:basedOn w:val="Normlny"/>
    <w:next w:val="Normlny"/>
    <w:autoRedefine/>
    <w:uiPriority w:val="39"/>
    <w:unhideWhenUsed/>
    <w:rsid w:val="00E30CD7"/>
    <w:pPr>
      <w:spacing w:after="100" w:line="276" w:lineRule="auto"/>
      <w:ind w:left="1320"/>
    </w:pPr>
    <w:rPr>
      <w:rFonts w:eastAsiaTheme="minorEastAsia" w:cstheme="minorBidi"/>
      <w:szCs w:val="22"/>
    </w:rPr>
  </w:style>
  <w:style w:type="paragraph" w:styleId="Obsah8">
    <w:name w:val="toc 8"/>
    <w:basedOn w:val="Normlny"/>
    <w:next w:val="Normlny"/>
    <w:autoRedefine/>
    <w:uiPriority w:val="39"/>
    <w:unhideWhenUsed/>
    <w:rsid w:val="00E30CD7"/>
    <w:pPr>
      <w:spacing w:after="100" w:line="276" w:lineRule="auto"/>
      <w:ind w:left="1540"/>
    </w:pPr>
    <w:rPr>
      <w:rFonts w:eastAsiaTheme="minorEastAsia" w:cstheme="minorBidi"/>
      <w:szCs w:val="22"/>
    </w:rPr>
  </w:style>
  <w:style w:type="paragraph" w:styleId="Obsah9">
    <w:name w:val="toc 9"/>
    <w:basedOn w:val="Normlny"/>
    <w:next w:val="Normlny"/>
    <w:autoRedefine/>
    <w:uiPriority w:val="39"/>
    <w:unhideWhenUsed/>
    <w:rsid w:val="00E30CD7"/>
    <w:pPr>
      <w:spacing w:after="100" w:line="276" w:lineRule="auto"/>
      <w:ind w:left="1760"/>
    </w:pPr>
    <w:rPr>
      <w:rFonts w:eastAsiaTheme="minorEastAsia" w:cstheme="minorBidi"/>
      <w:szCs w:val="22"/>
    </w:rPr>
  </w:style>
  <w:style w:type="paragraph" w:customStyle="1" w:styleId="Hlavn">
    <w:name w:val="Hlavný"/>
    <w:basedOn w:val="Normlny"/>
    <w:autoRedefine/>
    <w:qFormat/>
    <w:rsid w:val="00366F96"/>
    <w:pPr>
      <w:ind w:left="567" w:hanging="567"/>
    </w:pPr>
    <w:rPr>
      <w:rFonts w:ascii="Calibri" w:hAnsi="Calibri"/>
      <w:b/>
      <w:sz w:val="28"/>
      <w:lang w:eastAsia="en-US"/>
    </w:rPr>
  </w:style>
  <w:style w:type="paragraph" w:customStyle="1" w:styleId="Pod">
    <w:name w:val="Pod"/>
    <w:basedOn w:val="Normlny"/>
    <w:qFormat/>
    <w:rsid w:val="00AA30CA"/>
    <w:rPr>
      <w:rFonts w:ascii="Calibri" w:hAnsi="Calibri"/>
      <w:b/>
      <w:smallCaps/>
      <w:sz w:val="26"/>
    </w:rPr>
  </w:style>
  <w:style w:type="paragraph" w:customStyle="1" w:styleId="Hlavn1">
    <w:name w:val="Hlavný1"/>
    <w:basedOn w:val="Normlny"/>
    <w:next w:val="Hlavn"/>
    <w:qFormat/>
    <w:rsid w:val="008B05E0"/>
    <w:rPr>
      <w:rFonts w:ascii="Calibri" w:hAnsi="Calibri"/>
      <w:b/>
      <w:caps/>
    </w:rPr>
  </w:style>
  <w:style w:type="paragraph" w:customStyle="1" w:styleId="Podpod">
    <w:name w:val="Pod pod"/>
    <w:basedOn w:val="Normlny"/>
    <w:qFormat/>
    <w:rsid w:val="00AA30CA"/>
    <w:rPr>
      <w:rFonts w:ascii="Calibri" w:eastAsia="Calibri" w:hAnsi="Calibri" w:cs="Calibri"/>
      <w:b/>
      <w:szCs w:val="22"/>
      <w:lang w:eastAsia="en-US"/>
    </w:rPr>
  </w:style>
  <w:style w:type="paragraph" w:customStyle="1" w:styleId="Podpodpod">
    <w:name w:val="Pod pod pod"/>
    <w:basedOn w:val="Normlny"/>
    <w:qFormat/>
    <w:rsid w:val="00AA30CA"/>
    <w:pPr>
      <w:autoSpaceDE w:val="0"/>
      <w:autoSpaceDN w:val="0"/>
      <w:adjustRightInd w:val="0"/>
      <w:ind w:left="2835" w:hanging="2835"/>
    </w:pPr>
    <w:rPr>
      <w:rFonts w:ascii="Calibri" w:eastAsia="Calibri" w:hAnsi="Calibri"/>
      <w:b/>
      <w:szCs w:val="22"/>
      <w:lang w:eastAsia="en-US"/>
    </w:rPr>
  </w:style>
  <w:style w:type="paragraph" w:customStyle="1" w:styleId="Opatrenie">
    <w:name w:val="Opatrenie"/>
    <w:basedOn w:val="Nadpis1"/>
    <w:qFormat/>
    <w:rsid w:val="00AA30CA"/>
    <w:pPr>
      <w:shd w:val="clear" w:color="auto" w:fill="DDD9C3"/>
      <w:spacing w:before="0" w:after="0"/>
      <w:ind w:left="432" w:hanging="432"/>
    </w:pPr>
    <w:rPr>
      <w:rFonts w:ascii="Calibri" w:hAnsi="Calibri" w:cs="Calibri"/>
      <w:caps/>
      <w:sz w:val="28"/>
      <w:szCs w:val="28"/>
      <w:lang w:eastAsia="en-US"/>
    </w:rPr>
  </w:style>
  <w:style w:type="paragraph" w:styleId="Hlavikaobsahu">
    <w:name w:val="TOC Heading"/>
    <w:basedOn w:val="Nadpis1"/>
    <w:next w:val="Normlny"/>
    <w:uiPriority w:val="39"/>
    <w:semiHidden/>
    <w:unhideWhenUsed/>
    <w:qFormat/>
    <w:rsid w:val="00AA30CA"/>
    <w:pPr>
      <w:keepLines/>
      <w:spacing w:before="480" w:after="0" w:line="276" w:lineRule="auto"/>
      <w:outlineLvl w:val="9"/>
    </w:pPr>
    <w:rPr>
      <w:rFonts w:asciiTheme="majorHAnsi" w:eastAsiaTheme="majorEastAsia" w:hAnsiTheme="majorHAnsi" w:cstheme="majorBidi"/>
      <w:color w:val="365F91" w:themeColor="accent1" w:themeShade="BF"/>
      <w:kern w:val="0"/>
      <w:sz w:val="28"/>
      <w:szCs w:val="28"/>
    </w:rPr>
  </w:style>
  <w:style w:type="numbering" w:customStyle="1" w:styleId="Aktulnyzoznam1">
    <w:name w:val="Aktuálny zoznam1"/>
    <w:rsid w:val="00C808B8"/>
    <w:pPr>
      <w:numPr>
        <w:numId w:val="323"/>
      </w:numPr>
    </w:pPr>
  </w:style>
  <w:style w:type="character" w:customStyle="1" w:styleId="NadpisCalibri115Char">
    <w:name w:val="Nadpis Calibri 115 Char"/>
    <w:link w:val="NadpisCalibri115"/>
    <w:uiPriority w:val="99"/>
    <w:locked/>
    <w:rsid w:val="00A53BCF"/>
    <w:rPr>
      <w:rFonts w:ascii="Calibri" w:hAnsi="Calibri"/>
      <w:b/>
      <w:kern w:val="1"/>
      <w:sz w:val="23"/>
      <w:u w:val="single"/>
      <w:lang w:eastAsia="ar-SA"/>
    </w:rPr>
  </w:style>
  <w:style w:type="paragraph" w:customStyle="1" w:styleId="NadpisCalibri115">
    <w:name w:val="Nadpis Calibri 115"/>
    <w:basedOn w:val="Normlny"/>
    <w:next w:val="Normlny"/>
    <w:link w:val="NadpisCalibri115Char"/>
    <w:uiPriority w:val="99"/>
    <w:rsid w:val="00A53BCF"/>
    <w:pPr>
      <w:keepNext/>
      <w:suppressAutoHyphens/>
      <w:jc w:val="left"/>
    </w:pPr>
    <w:rPr>
      <w:rFonts w:ascii="Calibri" w:hAnsi="Calibri"/>
      <w:b/>
      <w:kern w:val="1"/>
      <w:sz w:val="23"/>
      <w:szCs w:val="20"/>
      <w:u w:val="single"/>
      <w:lang w:eastAsia="ar-SA"/>
    </w:rPr>
  </w:style>
  <w:style w:type="character" w:customStyle="1" w:styleId="OdsekCalibri115Char">
    <w:name w:val="Odsek Calibri 115 Char"/>
    <w:uiPriority w:val="99"/>
    <w:locked/>
    <w:rsid w:val="00A53BCF"/>
    <w:rPr>
      <w:rFonts w:ascii="Calibri" w:hAnsi="Calibri"/>
      <w:kern w:val="1"/>
      <w:sz w:val="22"/>
      <w:lang w:val="sk-SK" w:eastAsia="ar-SA" w:bidi="ar-SA"/>
    </w:rPr>
  </w:style>
  <w:style w:type="paragraph" w:customStyle="1" w:styleId="TucneCalibri115">
    <w:name w:val="Tucne Calibri 115"/>
    <w:basedOn w:val="Normlny"/>
    <w:next w:val="Normlny"/>
    <w:uiPriority w:val="99"/>
    <w:rsid w:val="00A53BCF"/>
    <w:pPr>
      <w:keepNext/>
      <w:suppressAutoHyphens/>
    </w:pPr>
    <w:rPr>
      <w:rFonts w:ascii="Calibri" w:hAnsi="Calibri"/>
      <w:b/>
      <w:kern w:val="1"/>
      <w:sz w:val="23"/>
      <w:szCs w:val="20"/>
      <w:lang w:eastAsia="ar-SA"/>
    </w:rPr>
  </w:style>
  <w:style w:type="paragraph" w:customStyle="1" w:styleId="CarCharCharChar">
    <w:name w:val="Car Char Char Char"/>
    <w:basedOn w:val="Normlny"/>
    <w:rsid w:val="00242C36"/>
    <w:pPr>
      <w:spacing w:after="160" w:line="240" w:lineRule="exact"/>
      <w:jc w:val="left"/>
    </w:pPr>
    <w:rPr>
      <w:rFonts w:ascii="Tahoma" w:hAnsi="Tahoma" w:cs="Tahoma"/>
      <w:sz w:val="20"/>
      <w:szCs w:val="20"/>
      <w:lang w:val="en-US" w:eastAsia="en-US"/>
    </w:rPr>
  </w:style>
  <w:style w:type="paragraph" w:customStyle="1" w:styleId="Obsahtabulky">
    <w:name w:val="Obsah tabulky"/>
    <w:basedOn w:val="Normlny"/>
    <w:uiPriority w:val="99"/>
    <w:rsid w:val="00242C36"/>
    <w:pPr>
      <w:jc w:val="left"/>
    </w:pPr>
    <w:rPr>
      <w:rFonts w:ascii="Calibri" w:eastAsia="Calibri" w:hAnsi="Calibri" w:cs="Arial"/>
      <w:sz w:val="18"/>
      <w:szCs w:val="20"/>
    </w:rPr>
  </w:style>
  <w:style w:type="paragraph" w:customStyle="1" w:styleId="normlnneodsaden">
    <w:name w:val="normlnneodsaden"/>
    <w:basedOn w:val="Normlny"/>
    <w:rsid w:val="00242C36"/>
    <w:pPr>
      <w:spacing w:before="100" w:beforeAutospacing="1" w:after="100" w:afterAutospacing="1"/>
      <w:jc w:val="left"/>
    </w:pPr>
    <w:rPr>
      <w:rFonts w:ascii="Times New Roman" w:hAnsi="Times New Roman"/>
      <w:color w:val="000000"/>
      <w:sz w:val="24"/>
    </w:rPr>
  </w:style>
  <w:style w:type="paragraph" w:customStyle="1" w:styleId="tlnormlnyneodsadentunvavo">
    <w:name w:val="tlnormlnyneodsadentunvavo"/>
    <w:basedOn w:val="Normlny"/>
    <w:rsid w:val="00242C36"/>
    <w:pPr>
      <w:spacing w:before="100" w:beforeAutospacing="1" w:after="100" w:afterAutospacing="1"/>
      <w:jc w:val="left"/>
    </w:pPr>
    <w:rPr>
      <w:rFonts w:ascii="Times New Roman" w:hAnsi="Times New Roman"/>
      <w:color w:val="000000"/>
      <w:sz w:val="24"/>
    </w:rPr>
  </w:style>
  <w:style w:type="paragraph" w:customStyle="1" w:styleId="normlnyneodsadentunnastred0">
    <w:name w:val="normlnyneodsadentunnastred"/>
    <w:basedOn w:val="Normlny"/>
    <w:rsid w:val="00242C36"/>
    <w:pPr>
      <w:spacing w:before="100" w:beforeAutospacing="1" w:after="100" w:afterAutospacing="1"/>
      <w:jc w:val="left"/>
    </w:pPr>
    <w:rPr>
      <w:rFonts w:ascii="Times New Roman" w:hAnsi="Times New Roman"/>
      <w:color w:val="000000"/>
      <w:sz w:val="24"/>
    </w:rPr>
  </w:style>
  <w:style w:type="paragraph" w:customStyle="1" w:styleId="normlnyneodsadenvavostab0">
    <w:name w:val="normlnyneodsadenvavostab"/>
    <w:basedOn w:val="Normlny"/>
    <w:rsid w:val="00242C36"/>
    <w:pPr>
      <w:spacing w:before="100" w:beforeAutospacing="1" w:after="100" w:afterAutospacing="1"/>
      <w:jc w:val="left"/>
    </w:pPr>
    <w:rPr>
      <w:rFonts w:ascii="Times New Roman" w:hAnsi="Times New Roman"/>
      <w:color w:val="000000"/>
      <w:sz w:val="24"/>
    </w:rPr>
  </w:style>
  <w:style w:type="paragraph" w:customStyle="1" w:styleId="normlnyneodsadenvpravo">
    <w:name w:val="normlnyneodsadenvpravo"/>
    <w:basedOn w:val="Normlny"/>
    <w:rsid w:val="00242C36"/>
    <w:pPr>
      <w:spacing w:before="100" w:beforeAutospacing="1" w:after="100" w:afterAutospacing="1"/>
      <w:jc w:val="left"/>
    </w:pPr>
    <w:rPr>
      <w:rFonts w:ascii="Times New Roman" w:hAnsi="Times New Roman"/>
      <w:color w:val="000000"/>
      <w:sz w:val="24"/>
    </w:rPr>
  </w:style>
  <w:style w:type="paragraph" w:customStyle="1" w:styleId="prame">
    <w:name w:val="prame"/>
    <w:basedOn w:val="Normlny"/>
    <w:rsid w:val="00242C36"/>
    <w:pPr>
      <w:spacing w:before="100" w:beforeAutospacing="1" w:after="100" w:afterAutospacing="1"/>
      <w:jc w:val="left"/>
    </w:pPr>
    <w:rPr>
      <w:rFonts w:ascii="Times New Roman" w:hAnsi="Times New Roman"/>
      <w:color w:val="000000"/>
      <w:sz w:val="24"/>
    </w:rPr>
  </w:style>
  <w:style w:type="paragraph" w:customStyle="1" w:styleId="CharCharCharCharCharChar">
    <w:name w:val="Char Char Char Char Char Char"/>
    <w:basedOn w:val="Normlny"/>
    <w:rsid w:val="00242C36"/>
    <w:pPr>
      <w:jc w:val="left"/>
    </w:pPr>
    <w:rPr>
      <w:rFonts w:ascii="Times New Roman" w:hAnsi="Times New Roman"/>
      <w:sz w:val="24"/>
      <w:lang w:val="pl-PL" w:eastAsia="pl-PL"/>
    </w:rPr>
  </w:style>
  <w:style w:type="paragraph" w:customStyle="1" w:styleId="Text2">
    <w:name w:val="Text 2"/>
    <w:basedOn w:val="Normlny"/>
    <w:link w:val="Text2Char"/>
    <w:uiPriority w:val="99"/>
    <w:rsid w:val="00242C36"/>
    <w:pPr>
      <w:spacing w:line="288" w:lineRule="auto"/>
    </w:pPr>
    <w:rPr>
      <w:rFonts w:ascii="Calibri" w:eastAsia="Calibri" w:hAnsi="Calibri"/>
      <w:szCs w:val="20"/>
      <w:lang w:val="en-GB" w:eastAsia="en-US"/>
    </w:rPr>
  </w:style>
  <w:style w:type="character" w:customStyle="1" w:styleId="Text2Char">
    <w:name w:val="Text 2 Char"/>
    <w:link w:val="Text2"/>
    <w:uiPriority w:val="99"/>
    <w:locked/>
    <w:rsid w:val="00242C36"/>
    <w:rPr>
      <w:rFonts w:ascii="Calibri" w:eastAsia="Calibri" w:hAnsi="Calibri"/>
      <w:sz w:val="22"/>
      <w:lang w:val="en-GB" w:eastAsia="en-US"/>
    </w:rPr>
  </w:style>
  <w:style w:type="table" w:customStyle="1" w:styleId="Tabellenraster16">
    <w:name w:val="Tabellenraster16"/>
    <w:basedOn w:val="Normlnatabuka"/>
    <w:next w:val="Mriekatabuky"/>
    <w:uiPriority w:val="59"/>
    <w:rsid w:val="00DA5476"/>
    <w:rPr>
      <w:rFonts w:ascii="Calibri" w:eastAsia="Calibri" w:hAnsi="Calibri"/>
      <w:sz w:val="22"/>
      <w:szCs w:val="22"/>
      <w:lang w:val="de-AT"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raster17">
    <w:name w:val="Tabellenraster17"/>
    <w:basedOn w:val="Normlnatabuka"/>
    <w:next w:val="Mriekatabuky"/>
    <w:uiPriority w:val="59"/>
    <w:rsid w:val="00DA5476"/>
    <w:rPr>
      <w:rFonts w:ascii="Calibri" w:eastAsia="Calibri" w:hAnsi="Calibri"/>
      <w:sz w:val="22"/>
      <w:szCs w:val="22"/>
      <w:lang w:val="de-AT"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Style31">
    <w:name w:val="Style31"/>
    <w:basedOn w:val="Normlny"/>
    <w:uiPriority w:val="99"/>
    <w:rsid w:val="007B197D"/>
    <w:pPr>
      <w:widowControl w:val="0"/>
      <w:autoSpaceDE w:val="0"/>
      <w:autoSpaceDN w:val="0"/>
      <w:adjustRightInd w:val="0"/>
      <w:jc w:val="left"/>
    </w:pPr>
    <w:rPr>
      <w:rFonts w:ascii="Times New Roman" w:eastAsiaTheme="minorEastAsia" w:hAnsi="Times New Roman"/>
      <w:sz w:val="24"/>
    </w:rPr>
  </w:style>
  <w:style w:type="paragraph" w:customStyle="1" w:styleId="Text4">
    <w:name w:val="Text 4"/>
    <w:basedOn w:val="Normlny"/>
    <w:rsid w:val="00BD47BB"/>
    <w:pPr>
      <w:spacing w:after="120"/>
    </w:pPr>
    <w:rPr>
      <w:rFonts w:ascii="Times New Roman" w:hAnsi="Times New Roman"/>
      <w:szCs w:val="20"/>
      <w:lang w:eastAsia="en-US"/>
    </w:rPr>
  </w:style>
  <w:style w:type="paragraph" w:customStyle="1" w:styleId="HeadingIVX">
    <w:name w:val="Heading IVX"/>
    <w:basedOn w:val="Normlny"/>
    <w:next w:val="Normlny"/>
    <w:rsid w:val="00BD47BB"/>
    <w:pPr>
      <w:numPr>
        <w:numId w:val="405"/>
      </w:numPr>
      <w:autoSpaceDE w:val="0"/>
      <w:autoSpaceDN w:val="0"/>
      <w:adjustRightInd w:val="0"/>
      <w:spacing w:before="360" w:after="120" w:line="360" w:lineRule="auto"/>
      <w:jc w:val="left"/>
      <w:outlineLvl w:val="0"/>
    </w:pPr>
    <w:rPr>
      <w:rFonts w:ascii="Times New Roman" w:hAnsi="Times New Roman"/>
      <w:b/>
      <w:bCs/>
      <w:caps/>
      <w:sz w:val="24"/>
      <w:u w:val="single"/>
      <w:lang w:eastAsia="fr-BE"/>
    </w:rPr>
  </w:style>
  <w:style w:type="paragraph" w:customStyle="1" w:styleId="Vchodzie">
    <w:name w:val="Východzie"/>
    <w:rsid w:val="0075211A"/>
    <w:pPr>
      <w:suppressAutoHyphens/>
      <w:overflowPunct w:val="0"/>
      <w:spacing w:before="120" w:after="120" w:line="276" w:lineRule="auto"/>
      <w:jc w:val="both"/>
    </w:pPr>
    <w:rPr>
      <w:rFonts w:ascii="Calibri" w:eastAsiaTheme="minorEastAsia" w:hAnsi="Calibri" w:cs="Mangal"/>
      <w:color w:val="00000A"/>
      <w:sz w:val="22"/>
      <w:szCs w:val="24"/>
      <w:lang w:eastAsia="en-US"/>
    </w:rPr>
  </w:style>
  <w:style w:type="numbering" w:customStyle="1" w:styleId="Bezzoznamu5">
    <w:name w:val="Bez zoznamu5"/>
    <w:next w:val="Bezzoznamu"/>
    <w:uiPriority w:val="99"/>
    <w:semiHidden/>
    <w:unhideWhenUsed/>
    <w:rsid w:val="009B0266"/>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sk-SK" w:eastAsia="sk-SK" w:bidi="ar-SA"/>
      </w:rPr>
    </w:rPrDefault>
    <w:pPrDefault/>
  </w:docDefaults>
  <w:latentStyles w:defLockedState="0" w:defUIPriority="0" w:defSemiHidden="0" w:defUnhideWhenUsed="0" w:defQFormat="0" w:count="267">
    <w:lsdException w:name="Normal" w:qFormat="1"/>
    <w:lsdException w:name="heading 1" w:uiPriority="99"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99"/>
    <w:lsdException w:name="annotation text" w:uiPriority="99"/>
    <w:lsdException w:name="header" w:uiPriority="99"/>
    <w:lsdException w:name="footer" w:uiPriority="99"/>
    <w:lsdException w:name="caption" w:semiHidden="1" w:unhideWhenUsed="1" w:qFormat="1"/>
    <w:lsdException w:name="footnote reference" w:uiPriority="99"/>
    <w:lsdException w:name="annotation reference" w:uiPriority="99"/>
    <w:lsdException w:name="page number" w:uiPriority="99"/>
    <w:lsdException w:name="List Bullet" w:uiPriority="99"/>
    <w:lsdException w:name="Title" w:qFormat="1"/>
    <w:lsdException w:name="Body Text Indent" w:uiPriority="99"/>
    <w:lsdException w:name="Subtitle" w:uiPriority="11" w:qFormat="1"/>
    <w:lsdException w:name="Body Text 2" w:uiPriority="99"/>
    <w:lsdException w:name="Body Text Indent 3" w:uiPriority="99"/>
    <w:lsdException w:name="Hyperlink" w:uiPriority="99"/>
    <w:lsdException w:name="FollowedHyperlink" w:uiPriority="99"/>
    <w:lsdException w:name="Strong" w:uiPriority="22" w:qFormat="1"/>
    <w:lsdException w:name="Emphasis" w:uiPriority="20" w:qFormat="1"/>
    <w:lsdException w:name="HTML Acronym" w:uiPriority="99"/>
    <w:lsdException w:name="HTML Preformatted" w:uiPriority="99"/>
    <w:lsdException w:name="annotation subject" w:uiPriority="99"/>
    <w:lsdException w:name="No List" w:uiPriority="99"/>
    <w:lsdException w:name="Balloon Text" w:uiPriority="99"/>
    <w:lsdException w:name="Table Grid" w:uiPriority="5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lny">
    <w:name w:val="Normal"/>
    <w:qFormat/>
    <w:rsid w:val="00AA30CA"/>
    <w:pPr>
      <w:jc w:val="both"/>
    </w:pPr>
    <w:rPr>
      <w:rFonts w:asciiTheme="minorHAnsi" w:hAnsiTheme="minorHAnsi"/>
      <w:sz w:val="22"/>
      <w:szCs w:val="24"/>
    </w:rPr>
  </w:style>
  <w:style w:type="paragraph" w:styleId="Nadpis1">
    <w:name w:val="heading 1"/>
    <w:basedOn w:val="Normlny"/>
    <w:next w:val="Normlny"/>
    <w:link w:val="Nadpis1Char"/>
    <w:uiPriority w:val="99"/>
    <w:qFormat/>
    <w:rsid w:val="00E43137"/>
    <w:pPr>
      <w:keepNext/>
      <w:spacing w:before="240" w:after="60"/>
      <w:outlineLvl w:val="0"/>
    </w:pPr>
    <w:rPr>
      <w:rFonts w:ascii="Cambria" w:hAnsi="Cambria"/>
      <w:b/>
      <w:bCs/>
      <w:kern w:val="32"/>
      <w:sz w:val="32"/>
      <w:szCs w:val="32"/>
    </w:rPr>
  </w:style>
  <w:style w:type="paragraph" w:styleId="Nadpis2">
    <w:name w:val="heading 2"/>
    <w:basedOn w:val="Normlny"/>
    <w:next w:val="Normlny"/>
    <w:link w:val="Nadpis2Char"/>
    <w:qFormat/>
    <w:rsid w:val="0052092C"/>
    <w:pPr>
      <w:keepNext/>
      <w:spacing w:before="240" w:after="60"/>
      <w:outlineLvl w:val="1"/>
    </w:pPr>
    <w:rPr>
      <w:rFonts w:ascii="Arial" w:hAnsi="Arial" w:cs="Arial"/>
      <w:b/>
      <w:bCs/>
      <w:i/>
      <w:iCs/>
      <w:sz w:val="28"/>
      <w:szCs w:val="28"/>
    </w:rPr>
  </w:style>
  <w:style w:type="paragraph" w:styleId="Nadpis3">
    <w:name w:val="heading 3"/>
    <w:basedOn w:val="Normlny"/>
    <w:next w:val="Normlny"/>
    <w:link w:val="Nadpis3Char"/>
    <w:qFormat/>
    <w:rsid w:val="00E43137"/>
    <w:pPr>
      <w:keepNext/>
      <w:spacing w:before="60" w:after="120"/>
      <w:outlineLvl w:val="2"/>
    </w:pPr>
    <w:rPr>
      <w:i/>
      <w:szCs w:val="20"/>
      <w:u w:val="single"/>
      <w:lang w:val="en-GB" w:eastAsia="en-US"/>
    </w:rPr>
  </w:style>
  <w:style w:type="paragraph" w:styleId="Nadpis4">
    <w:name w:val="heading 4"/>
    <w:basedOn w:val="Normlny"/>
    <w:next w:val="Normlny"/>
    <w:link w:val="Nadpis4Char"/>
    <w:qFormat/>
    <w:rsid w:val="00E43137"/>
    <w:pPr>
      <w:keepNext/>
      <w:numPr>
        <w:ilvl w:val="3"/>
        <w:numId w:val="3"/>
      </w:numPr>
      <w:spacing w:before="60" w:after="120"/>
      <w:outlineLvl w:val="3"/>
    </w:pPr>
    <w:rPr>
      <w:i/>
      <w:szCs w:val="20"/>
      <w:lang w:val="en-GB" w:eastAsia="en-US"/>
    </w:rPr>
  </w:style>
  <w:style w:type="paragraph" w:styleId="Nadpis5">
    <w:name w:val="heading 5"/>
    <w:basedOn w:val="Normlny"/>
    <w:next w:val="Normlny"/>
    <w:link w:val="Nadpis5Char"/>
    <w:qFormat/>
    <w:rsid w:val="00E43137"/>
    <w:pPr>
      <w:numPr>
        <w:ilvl w:val="4"/>
        <w:numId w:val="3"/>
      </w:numPr>
      <w:spacing w:before="40" w:after="120"/>
      <w:outlineLvl w:val="4"/>
    </w:pPr>
    <w:rPr>
      <w:szCs w:val="20"/>
      <w:lang w:val="en-GB" w:eastAsia="en-US"/>
    </w:rPr>
  </w:style>
  <w:style w:type="paragraph" w:styleId="Nadpis6">
    <w:name w:val="heading 6"/>
    <w:basedOn w:val="Normlny"/>
    <w:next w:val="Normlny"/>
    <w:link w:val="Nadpis6Char"/>
    <w:qFormat/>
    <w:rsid w:val="00E43137"/>
    <w:pPr>
      <w:numPr>
        <w:ilvl w:val="5"/>
        <w:numId w:val="3"/>
      </w:numPr>
      <w:spacing w:before="40" w:after="120"/>
      <w:outlineLvl w:val="5"/>
    </w:pPr>
    <w:rPr>
      <w:szCs w:val="20"/>
      <w:lang w:val="en-GB" w:eastAsia="en-US"/>
    </w:rPr>
  </w:style>
  <w:style w:type="paragraph" w:styleId="Nadpis7">
    <w:name w:val="heading 7"/>
    <w:basedOn w:val="Normlny"/>
    <w:next w:val="Normlny"/>
    <w:link w:val="Nadpis7Char"/>
    <w:qFormat/>
    <w:rsid w:val="00E43137"/>
    <w:pPr>
      <w:numPr>
        <w:ilvl w:val="6"/>
        <w:numId w:val="3"/>
      </w:numPr>
      <w:spacing w:before="40" w:after="120"/>
      <w:outlineLvl w:val="6"/>
    </w:pPr>
    <w:rPr>
      <w:szCs w:val="20"/>
      <w:lang w:val="en-GB" w:eastAsia="en-US"/>
    </w:rPr>
  </w:style>
  <w:style w:type="paragraph" w:styleId="Nadpis8">
    <w:name w:val="heading 8"/>
    <w:basedOn w:val="Normlny"/>
    <w:next w:val="Normlny"/>
    <w:link w:val="Nadpis8Char"/>
    <w:qFormat/>
    <w:rsid w:val="00E43137"/>
    <w:pPr>
      <w:numPr>
        <w:ilvl w:val="7"/>
        <w:numId w:val="3"/>
      </w:numPr>
      <w:spacing w:before="40" w:after="120"/>
      <w:outlineLvl w:val="7"/>
    </w:pPr>
    <w:rPr>
      <w:szCs w:val="20"/>
      <w:lang w:val="en-GB" w:eastAsia="en-US"/>
    </w:rPr>
  </w:style>
  <w:style w:type="character" w:default="1" w:styleId="Predvolenpsmoodseku">
    <w:name w:val="Default Paragraph Font"/>
    <w:uiPriority w:val="1"/>
    <w:semiHidden/>
    <w:unhideWhenUsed/>
  </w:style>
  <w:style w:type="table" w:default="1" w:styleId="Normlnatabuka">
    <w:name w:val="Normal Table"/>
    <w:uiPriority w:val="99"/>
    <w:semiHidden/>
    <w:unhideWhenUsed/>
    <w:tblPr>
      <w:tblInd w:w="0" w:type="dxa"/>
      <w:tblCellMar>
        <w:top w:w="0" w:type="dxa"/>
        <w:left w:w="108" w:type="dxa"/>
        <w:bottom w:w="0" w:type="dxa"/>
        <w:right w:w="108" w:type="dxa"/>
      </w:tblCellMar>
    </w:tblPr>
  </w:style>
  <w:style w:type="numbering" w:default="1" w:styleId="Bezzoznamu">
    <w:name w:val="No List"/>
    <w:uiPriority w:val="99"/>
    <w:semiHidden/>
    <w:unhideWhenUsed/>
  </w:style>
  <w:style w:type="paragraph" w:customStyle="1" w:styleId="CharChar3">
    <w:name w:val="Char Char3"/>
    <w:basedOn w:val="Normlny"/>
    <w:rsid w:val="0052092C"/>
    <w:pPr>
      <w:spacing w:after="160" w:line="240" w:lineRule="exact"/>
    </w:pPr>
    <w:rPr>
      <w:rFonts w:ascii="Tahoma" w:hAnsi="Tahoma"/>
      <w:sz w:val="20"/>
      <w:szCs w:val="20"/>
      <w:lang w:val="en-US" w:eastAsia="en-US"/>
    </w:rPr>
  </w:style>
  <w:style w:type="paragraph" w:customStyle="1" w:styleId="xl25">
    <w:name w:val="xl25"/>
    <w:basedOn w:val="Normlny"/>
    <w:rsid w:val="0052092C"/>
    <w:pPr>
      <w:spacing w:before="100" w:beforeAutospacing="1" w:after="100" w:afterAutospacing="1"/>
    </w:pPr>
    <w:rPr>
      <w:rFonts w:ascii="Arial" w:hAnsi="Arial"/>
      <w:b/>
      <w:bCs/>
      <w:lang w:val="cs-CZ" w:eastAsia="cs-CZ"/>
    </w:rPr>
  </w:style>
  <w:style w:type="paragraph" w:styleId="Hlavika">
    <w:name w:val="header"/>
    <w:basedOn w:val="Normlny"/>
    <w:link w:val="HlavikaChar"/>
    <w:uiPriority w:val="99"/>
    <w:rsid w:val="00634452"/>
    <w:pPr>
      <w:tabs>
        <w:tab w:val="center" w:pos="4536"/>
        <w:tab w:val="right" w:pos="9072"/>
      </w:tabs>
    </w:pPr>
  </w:style>
  <w:style w:type="paragraph" w:styleId="Pta">
    <w:name w:val="footer"/>
    <w:basedOn w:val="Normlny"/>
    <w:link w:val="PtaChar"/>
    <w:uiPriority w:val="99"/>
    <w:rsid w:val="00634452"/>
    <w:pPr>
      <w:tabs>
        <w:tab w:val="center" w:pos="4536"/>
        <w:tab w:val="right" w:pos="9072"/>
      </w:tabs>
    </w:pPr>
  </w:style>
  <w:style w:type="table" w:styleId="Mriekatabuky">
    <w:name w:val="Table Grid"/>
    <w:basedOn w:val="Normlnatabuka"/>
    <w:uiPriority w:val="59"/>
    <w:rsid w:val="00BD3E8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Textpoznmkypodiarou">
    <w:name w:val="footnote text"/>
    <w:aliases w:val="Text poznámky pod čiarou 007,Text pozn. pod čarou Char,Schriftart: 8 pt,Text pozn. pod čarou Char1,Text pozn. pod čarou Char2 Char,Text pozn. pod čarou Char Char1 Char,Text pozn. pod čarou Char1 Char Char,Schriftart: 8 pt Char1"/>
    <w:basedOn w:val="Normlny"/>
    <w:link w:val="TextpoznmkypodiarouChar"/>
    <w:uiPriority w:val="99"/>
    <w:rsid w:val="00E43137"/>
    <w:rPr>
      <w:sz w:val="20"/>
      <w:szCs w:val="20"/>
    </w:rPr>
  </w:style>
  <w:style w:type="character" w:customStyle="1" w:styleId="TextpoznmkypodiarouChar">
    <w:name w:val="Text poznámky pod čiarou Char"/>
    <w:aliases w:val="Text poznámky pod čiarou 007 Char,Text pozn. pod čarou Char Char,Schriftart: 8 pt Char,Text pozn. pod čarou Char1 Char,Text pozn. pod čarou Char2 Char Char,Text pozn. pod čarou Char Char1 Char Char"/>
    <w:basedOn w:val="Predvolenpsmoodseku"/>
    <w:link w:val="Textpoznmkypodiarou"/>
    <w:uiPriority w:val="99"/>
    <w:rsid w:val="00E43137"/>
  </w:style>
  <w:style w:type="character" w:styleId="Odkaznapoznmkupodiarou">
    <w:name w:val="footnote reference"/>
    <w:aliases w:val="PGI Fußnote Ziffer,Footnote symbol,Footnote reference number,Footnote,Times 10 Point,Exposant 3 Point,Ref,de nota al pie,note TESI,SUPERS,EN Footnote text,EN Footnote Reference,Voetnootverwijzing,Footnote number,fr,o,FR,FR1"/>
    <w:uiPriority w:val="99"/>
    <w:rsid w:val="00E43137"/>
    <w:rPr>
      <w:vertAlign w:val="superscript"/>
    </w:rPr>
  </w:style>
  <w:style w:type="paragraph" w:customStyle="1" w:styleId="tlText2VlastnfarbaRGB31">
    <w:name w:val="Štýl Text 2 + Vlastná farba (RGB(31"/>
    <w:aliases w:val="73,125)) Rámček: (Jednoduché..."/>
    <w:basedOn w:val="Normlny"/>
    <w:rsid w:val="00E43137"/>
    <w:pPr>
      <w:spacing w:line="288" w:lineRule="auto"/>
    </w:pPr>
    <w:rPr>
      <w:rFonts w:ascii="Calibri" w:eastAsia="Calibri" w:hAnsi="Calibri"/>
      <w:color w:val="1F497D"/>
      <w:szCs w:val="20"/>
      <w:lang w:eastAsia="en-US"/>
    </w:rPr>
  </w:style>
  <w:style w:type="character" w:customStyle="1" w:styleId="PtaChar">
    <w:name w:val="Päta Char"/>
    <w:link w:val="Pta"/>
    <w:uiPriority w:val="99"/>
    <w:rsid w:val="00E43137"/>
    <w:rPr>
      <w:sz w:val="24"/>
      <w:szCs w:val="24"/>
    </w:rPr>
  </w:style>
  <w:style w:type="character" w:customStyle="1" w:styleId="Nadpis1Char">
    <w:name w:val="Nadpis 1 Char"/>
    <w:link w:val="Nadpis1"/>
    <w:uiPriority w:val="99"/>
    <w:rsid w:val="00E43137"/>
    <w:rPr>
      <w:rFonts w:ascii="Cambria" w:eastAsia="Times New Roman" w:hAnsi="Cambria" w:cs="Times New Roman"/>
      <w:b/>
      <w:bCs/>
      <w:kern w:val="32"/>
      <w:sz w:val="32"/>
      <w:szCs w:val="32"/>
    </w:rPr>
  </w:style>
  <w:style w:type="character" w:customStyle="1" w:styleId="Nadpis3Char">
    <w:name w:val="Nadpis 3 Char"/>
    <w:link w:val="Nadpis3"/>
    <w:rsid w:val="00E43137"/>
    <w:rPr>
      <w:rFonts w:asciiTheme="minorHAnsi" w:hAnsiTheme="minorHAnsi"/>
      <w:i/>
      <w:sz w:val="22"/>
      <w:u w:val="single"/>
      <w:lang w:val="en-GB" w:eastAsia="en-US"/>
    </w:rPr>
  </w:style>
  <w:style w:type="character" w:customStyle="1" w:styleId="Nadpis4Char">
    <w:name w:val="Nadpis 4 Char"/>
    <w:link w:val="Nadpis4"/>
    <w:rsid w:val="00E43137"/>
    <w:rPr>
      <w:rFonts w:asciiTheme="minorHAnsi" w:hAnsiTheme="minorHAnsi"/>
      <w:i/>
      <w:sz w:val="22"/>
      <w:lang w:val="en-GB" w:eastAsia="en-US"/>
    </w:rPr>
  </w:style>
  <w:style w:type="character" w:customStyle="1" w:styleId="Nadpis5Char">
    <w:name w:val="Nadpis 5 Char"/>
    <w:link w:val="Nadpis5"/>
    <w:rsid w:val="00E43137"/>
    <w:rPr>
      <w:rFonts w:asciiTheme="minorHAnsi" w:hAnsiTheme="minorHAnsi"/>
      <w:sz w:val="22"/>
      <w:lang w:val="en-GB" w:eastAsia="en-US"/>
    </w:rPr>
  </w:style>
  <w:style w:type="character" w:customStyle="1" w:styleId="Nadpis6Char">
    <w:name w:val="Nadpis 6 Char"/>
    <w:link w:val="Nadpis6"/>
    <w:rsid w:val="00E43137"/>
    <w:rPr>
      <w:rFonts w:asciiTheme="minorHAnsi" w:hAnsiTheme="minorHAnsi"/>
      <w:sz w:val="22"/>
      <w:lang w:val="en-GB" w:eastAsia="en-US"/>
    </w:rPr>
  </w:style>
  <w:style w:type="character" w:customStyle="1" w:styleId="Nadpis7Char">
    <w:name w:val="Nadpis 7 Char"/>
    <w:link w:val="Nadpis7"/>
    <w:rsid w:val="00E43137"/>
    <w:rPr>
      <w:rFonts w:asciiTheme="minorHAnsi" w:hAnsiTheme="minorHAnsi"/>
      <w:sz w:val="22"/>
      <w:lang w:val="en-GB" w:eastAsia="en-US"/>
    </w:rPr>
  </w:style>
  <w:style w:type="character" w:customStyle="1" w:styleId="Nadpis8Char">
    <w:name w:val="Nadpis 8 Char"/>
    <w:link w:val="Nadpis8"/>
    <w:rsid w:val="00E43137"/>
    <w:rPr>
      <w:rFonts w:asciiTheme="minorHAnsi" w:hAnsiTheme="minorHAnsi"/>
      <w:sz w:val="22"/>
      <w:lang w:val="en-GB" w:eastAsia="en-US"/>
    </w:rPr>
  </w:style>
  <w:style w:type="numbering" w:customStyle="1" w:styleId="Bezzoznamu1">
    <w:name w:val="Bez zoznamu1"/>
    <w:next w:val="Bezzoznamu"/>
    <w:uiPriority w:val="99"/>
    <w:semiHidden/>
    <w:unhideWhenUsed/>
    <w:rsid w:val="00E43137"/>
  </w:style>
  <w:style w:type="numbering" w:customStyle="1" w:styleId="Aktulnyzoznam2">
    <w:name w:val="Aktuálny zoznam2"/>
    <w:rsid w:val="00E43137"/>
    <w:pPr>
      <w:numPr>
        <w:numId w:val="4"/>
      </w:numPr>
    </w:pPr>
  </w:style>
  <w:style w:type="character" w:styleId="Odkaznakomentr">
    <w:name w:val="annotation reference"/>
    <w:uiPriority w:val="99"/>
    <w:unhideWhenUsed/>
    <w:rsid w:val="00E43137"/>
    <w:rPr>
      <w:sz w:val="16"/>
      <w:szCs w:val="16"/>
    </w:rPr>
  </w:style>
  <w:style w:type="paragraph" w:styleId="Textkomentra">
    <w:name w:val="annotation text"/>
    <w:basedOn w:val="Normlny"/>
    <w:link w:val="TextkomentraChar"/>
    <w:uiPriority w:val="99"/>
    <w:unhideWhenUsed/>
    <w:rsid w:val="00E43137"/>
    <w:rPr>
      <w:sz w:val="20"/>
      <w:szCs w:val="20"/>
    </w:rPr>
  </w:style>
  <w:style w:type="character" w:customStyle="1" w:styleId="TextkomentraChar">
    <w:name w:val="Text komentára Char"/>
    <w:basedOn w:val="Predvolenpsmoodseku"/>
    <w:link w:val="Textkomentra"/>
    <w:uiPriority w:val="99"/>
    <w:rsid w:val="00E43137"/>
  </w:style>
  <w:style w:type="paragraph" w:styleId="Predmetkomentra">
    <w:name w:val="annotation subject"/>
    <w:basedOn w:val="Textkomentra"/>
    <w:next w:val="Textkomentra"/>
    <w:link w:val="PredmetkomentraChar"/>
    <w:uiPriority w:val="99"/>
    <w:unhideWhenUsed/>
    <w:rsid w:val="00E43137"/>
    <w:rPr>
      <w:b/>
      <w:bCs/>
    </w:rPr>
  </w:style>
  <w:style w:type="character" w:customStyle="1" w:styleId="PredmetkomentraChar">
    <w:name w:val="Predmet komentára Char"/>
    <w:link w:val="Predmetkomentra"/>
    <w:uiPriority w:val="99"/>
    <w:rsid w:val="00E43137"/>
    <w:rPr>
      <w:b/>
      <w:bCs/>
    </w:rPr>
  </w:style>
  <w:style w:type="paragraph" w:styleId="Textbubliny">
    <w:name w:val="Balloon Text"/>
    <w:basedOn w:val="Normlny"/>
    <w:link w:val="TextbublinyChar"/>
    <w:uiPriority w:val="99"/>
    <w:unhideWhenUsed/>
    <w:rsid w:val="00E43137"/>
    <w:rPr>
      <w:rFonts w:ascii="Tahoma" w:hAnsi="Tahoma" w:cs="Tahoma"/>
      <w:sz w:val="16"/>
      <w:szCs w:val="16"/>
    </w:rPr>
  </w:style>
  <w:style w:type="character" w:customStyle="1" w:styleId="TextbublinyChar">
    <w:name w:val="Text bubliny Char"/>
    <w:link w:val="Textbubliny"/>
    <w:uiPriority w:val="99"/>
    <w:rsid w:val="00E43137"/>
    <w:rPr>
      <w:rFonts w:ascii="Tahoma" w:hAnsi="Tahoma" w:cs="Tahoma"/>
      <w:sz w:val="16"/>
      <w:szCs w:val="16"/>
    </w:rPr>
  </w:style>
  <w:style w:type="paragraph" w:styleId="Odsekzoznamu">
    <w:name w:val="List Paragraph"/>
    <w:basedOn w:val="Normlny"/>
    <w:link w:val="OdsekzoznamuChar"/>
    <w:uiPriority w:val="34"/>
    <w:qFormat/>
    <w:rsid w:val="00E43137"/>
    <w:pPr>
      <w:ind w:left="720"/>
      <w:contextualSpacing/>
    </w:pPr>
  </w:style>
  <w:style w:type="table" w:customStyle="1" w:styleId="Mriekatabuky1">
    <w:name w:val="Mriežka tabuľky1"/>
    <w:basedOn w:val="Normlnatabuka"/>
    <w:next w:val="Mriekatabuky"/>
    <w:uiPriority w:val="59"/>
    <w:rsid w:val="00E43137"/>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Intenzvnezvraznenie">
    <w:name w:val="Intense Emphasis"/>
    <w:uiPriority w:val="21"/>
    <w:qFormat/>
    <w:rsid w:val="00E43137"/>
    <w:rPr>
      <w:b/>
      <w:bCs/>
      <w:i/>
      <w:iCs/>
      <w:color w:val="4F81BD"/>
    </w:rPr>
  </w:style>
  <w:style w:type="paragraph" w:styleId="Popis">
    <w:name w:val="caption"/>
    <w:basedOn w:val="Normlny"/>
    <w:next w:val="Normlny"/>
    <w:link w:val="PopisChar"/>
    <w:qFormat/>
    <w:rsid w:val="00E43137"/>
    <w:rPr>
      <w:rFonts w:ascii="Calibri" w:hAnsi="Calibri"/>
      <w:i/>
      <w:sz w:val="20"/>
      <w:szCs w:val="20"/>
      <w:lang w:eastAsia="ar-SA"/>
    </w:rPr>
  </w:style>
  <w:style w:type="character" w:customStyle="1" w:styleId="PopisChar">
    <w:name w:val="Popis Char"/>
    <w:link w:val="Popis"/>
    <w:locked/>
    <w:rsid w:val="00E43137"/>
    <w:rPr>
      <w:rFonts w:ascii="Calibri" w:hAnsi="Calibri"/>
      <w:i/>
      <w:lang w:eastAsia="ar-SA"/>
    </w:rPr>
  </w:style>
  <w:style w:type="paragraph" w:styleId="PredformtovanHTML">
    <w:name w:val="HTML Preformatted"/>
    <w:basedOn w:val="Normlny"/>
    <w:link w:val="PredformtovanHTMLChar"/>
    <w:uiPriority w:val="99"/>
    <w:unhideWhenUsed/>
    <w:rsid w:val="00E4313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rPr>
  </w:style>
  <w:style w:type="character" w:customStyle="1" w:styleId="PredformtovanHTMLChar">
    <w:name w:val="Predformátované HTML Char"/>
    <w:link w:val="PredformtovanHTML"/>
    <w:uiPriority w:val="99"/>
    <w:rsid w:val="00E43137"/>
    <w:rPr>
      <w:rFonts w:ascii="Courier New" w:hAnsi="Courier New" w:cs="Courier New"/>
    </w:rPr>
  </w:style>
  <w:style w:type="paragraph" w:customStyle="1" w:styleId="Graph-Source">
    <w:name w:val="Graph-Source"/>
    <w:basedOn w:val="Normlny"/>
    <w:autoRedefine/>
    <w:rsid w:val="00E43137"/>
    <w:pPr>
      <w:keepNext/>
      <w:keepLines/>
    </w:pPr>
    <w:rPr>
      <w:rFonts w:ascii="Calibri" w:eastAsia="Calibri" w:hAnsi="Calibri"/>
      <w:szCs w:val="22"/>
      <w:lang w:eastAsia="en-US"/>
    </w:rPr>
  </w:style>
  <w:style w:type="character" w:styleId="Siln">
    <w:name w:val="Strong"/>
    <w:uiPriority w:val="22"/>
    <w:qFormat/>
    <w:rsid w:val="00E43137"/>
    <w:rPr>
      <w:b/>
      <w:bCs/>
    </w:rPr>
  </w:style>
  <w:style w:type="paragraph" w:styleId="Zkladntext2">
    <w:name w:val="Body Text 2"/>
    <w:basedOn w:val="Normlny"/>
    <w:link w:val="Zkladntext2Char"/>
    <w:uiPriority w:val="99"/>
    <w:rsid w:val="00E43137"/>
    <w:pPr>
      <w:spacing w:after="60" w:line="360" w:lineRule="auto"/>
    </w:pPr>
    <w:rPr>
      <w:szCs w:val="20"/>
    </w:rPr>
  </w:style>
  <w:style w:type="character" w:customStyle="1" w:styleId="Zkladntext2Char">
    <w:name w:val="Základný text 2 Char"/>
    <w:link w:val="Zkladntext2"/>
    <w:uiPriority w:val="99"/>
    <w:rsid w:val="00E43137"/>
    <w:rPr>
      <w:sz w:val="24"/>
    </w:rPr>
  </w:style>
  <w:style w:type="character" w:styleId="Hypertextovprepojenie">
    <w:name w:val="Hyperlink"/>
    <w:uiPriority w:val="99"/>
    <w:unhideWhenUsed/>
    <w:rsid w:val="00E43137"/>
    <w:rPr>
      <w:color w:val="0000FF"/>
      <w:u w:val="single"/>
    </w:rPr>
  </w:style>
  <w:style w:type="table" w:customStyle="1" w:styleId="GridTable1LightAccent1">
    <w:name w:val="Grid Table 1 Light Accent 1"/>
    <w:basedOn w:val="Normlnatabuka"/>
    <w:uiPriority w:val="46"/>
    <w:rsid w:val="00E43137"/>
    <w:rPr>
      <w:rFonts w:ascii="Calibri" w:eastAsia="Calibri" w:hAnsi="Calibri"/>
      <w:sz w:val="22"/>
      <w:szCs w:val="22"/>
      <w:lang w:eastAsia="en-US"/>
    </w:rPr>
    <w:tblPr>
      <w:tblStyleRowBandSize w:val="1"/>
      <w:tblStyleColBandSize w:val="1"/>
      <w:tblInd w:w="0" w:type="dxa"/>
      <w:tblBorders>
        <w:top w:val="single" w:sz="4" w:space="0" w:color="B8CCE4"/>
        <w:left w:val="single" w:sz="4" w:space="0" w:color="B8CCE4"/>
        <w:bottom w:val="single" w:sz="4" w:space="0" w:color="B8CCE4"/>
        <w:right w:val="single" w:sz="4" w:space="0" w:color="B8CCE4"/>
        <w:insideH w:val="single" w:sz="4" w:space="0" w:color="B8CCE4"/>
        <w:insideV w:val="single" w:sz="4" w:space="0" w:color="B8CCE4"/>
      </w:tblBorders>
      <w:tblCellMar>
        <w:top w:w="0" w:type="dxa"/>
        <w:left w:w="108" w:type="dxa"/>
        <w:bottom w:w="0" w:type="dxa"/>
        <w:right w:w="108" w:type="dxa"/>
      </w:tblCellMar>
    </w:tblPr>
    <w:tblStylePr w:type="firstRow">
      <w:rPr>
        <w:b/>
        <w:bCs/>
      </w:rPr>
      <w:tblPr/>
      <w:tcPr>
        <w:tcBorders>
          <w:bottom w:val="single" w:sz="12" w:space="0" w:color="95B3D7"/>
        </w:tcBorders>
      </w:tcPr>
    </w:tblStylePr>
    <w:tblStylePr w:type="lastRow">
      <w:rPr>
        <w:b/>
        <w:bCs/>
      </w:rPr>
      <w:tblPr/>
      <w:tcPr>
        <w:tcBorders>
          <w:top w:val="double" w:sz="2" w:space="0" w:color="95B3D7"/>
        </w:tcBorders>
      </w:tcPr>
    </w:tblStylePr>
    <w:tblStylePr w:type="firstCol">
      <w:rPr>
        <w:b/>
        <w:bCs/>
      </w:rPr>
    </w:tblStylePr>
    <w:tblStylePr w:type="lastCol">
      <w:rPr>
        <w:b/>
        <w:bCs/>
      </w:rPr>
    </w:tblStylePr>
  </w:style>
  <w:style w:type="character" w:customStyle="1" w:styleId="HlavikaChar">
    <w:name w:val="Hlavička Char"/>
    <w:link w:val="Hlavika"/>
    <w:uiPriority w:val="99"/>
    <w:rsid w:val="00E43137"/>
    <w:rPr>
      <w:sz w:val="24"/>
      <w:szCs w:val="24"/>
    </w:rPr>
  </w:style>
  <w:style w:type="paragraph" w:styleId="Revzia">
    <w:name w:val="Revision"/>
    <w:hidden/>
    <w:uiPriority w:val="99"/>
    <w:semiHidden/>
    <w:rsid w:val="00E43137"/>
    <w:rPr>
      <w:sz w:val="24"/>
      <w:szCs w:val="24"/>
    </w:rPr>
  </w:style>
  <w:style w:type="numbering" w:customStyle="1" w:styleId="Bezzoznamu2">
    <w:name w:val="Bez zoznamu2"/>
    <w:next w:val="Bezzoznamu"/>
    <w:uiPriority w:val="99"/>
    <w:semiHidden/>
    <w:unhideWhenUsed/>
    <w:rsid w:val="00E43137"/>
  </w:style>
  <w:style w:type="character" w:customStyle="1" w:styleId="Nadpis2Char">
    <w:name w:val="Nadpis 2 Char"/>
    <w:link w:val="Nadpis2"/>
    <w:rsid w:val="00E43137"/>
    <w:rPr>
      <w:rFonts w:ascii="Arial" w:hAnsi="Arial" w:cs="Arial"/>
      <w:b/>
      <w:bCs/>
      <w:i/>
      <w:iCs/>
      <w:sz w:val="28"/>
      <w:szCs w:val="28"/>
    </w:rPr>
  </w:style>
  <w:style w:type="paragraph" w:customStyle="1" w:styleId="Heading">
    <w:name w:val="Heading"/>
    <w:basedOn w:val="Nadpis2"/>
    <w:rsid w:val="00E43137"/>
    <w:pPr>
      <w:numPr>
        <w:ilvl w:val="1"/>
        <w:numId w:val="14"/>
      </w:numPr>
      <w:spacing w:before="0" w:after="240"/>
    </w:pPr>
    <w:rPr>
      <w:rFonts w:ascii="Calibri" w:eastAsia="Calibri" w:hAnsi="Calibri" w:cs="Times New Roman"/>
      <w:bCs w:val="0"/>
      <w:i w:val="0"/>
      <w:iCs w:val="0"/>
      <w:sz w:val="22"/>
      <w:szCs w:val="20"/>
      <w:lang w:val="en-GB" w:eastAsia="ja-JP"/>
    </w:rPr>
  </w:style>
  <w:style w:type="paragraph" w:customStyle="1" w:styleId="Heading3">
    <w:name w:val="Heading3"/>
    <w:basedOn w:val="Heading"/>
    <w:rsid w:val="00E43137"/>
    <w:pPr>
      <w:numPr>
        <w:ilvl w:val="2"/>
      </w:numPr>
      <w:tabs>
        <w:tab w:val="num" w:pos="1440"/>
      </w:tabs>
      <w:ind w:left="1224" w:hanging="504"/>
    </w:pPr>
  </w:style>
  <w:style w:type="paragraph" w:customStyle="1" w:styleId="Heading1">
    <w:name w:val="Heading 1."/>
    <w:basedOn w:val="Nadpis2"/>
    <w:rsid w:val="00E43137"/>
    <w:pPr>
      <w:spacing w:before="0" w:after="240"/>
    </w:pPr>
    <w:rPr>
      <w:rFonts w:ascii="Calibri" w:hAnsi="Calibri" w:cs="Times New Roman"/>
      <w:bCs w:val="0"/>
      <w:i w:val="0"/>
      <w:iCs w:val="0"/>
      <w:sz w:val="22"/>
      <w:szCs w:val="20"/>
      <w:lang w:val="en-GB" w:eastAsia="en-US"/>
    </w:rPr>
  </w:style>
  <w:style w:type="paragraph" w:styleId="Normlnywebov">
    <w:name w:val="Normal (Web)"/>
    <w:basedOn w:val="Normlny"/>
    <w:unhideWhenUsed/>
    <w:rsid w:val="00E43137"/>
    <w:pPr>
      <w:spacing w:before="100" w:beforeAutospacing="1" w:after="100" w:afterAutospacing="1"/>
    </w:pPr>
  </w:style>
  <w:style w:type="paragraph" w:customStyle="1" w:styleId="Odsekzoznamu1">
    <w:name w:val="Odsek zoznamu1"/>
    <w:basedOn w:val="Normlny"/>
    <w:link w:val="ListParagraphChar"/>
    <w:uiPriority w:val="99"/>
    <w:qFormat/>
    <w:rsid w:val="00E43137"/>
    <w:pPr>
      <w:spacing w:after="120"/>
      <w:ind w:left="720"/>
      <w:contextualSpacing/>
    </w:pPr>
    <w:rPr>
      <w:szCs w:val="20"/>
      <w:lang w:val="en-GB" w:eastAsia="en-US"/>
    </w:rPr>
  </w:style>
  <w:style w:type="paragraph" w:customStyle="1" w:styleId="Textbody">
    <w:name w:val="Text body"/>
    <w:basedOn w:val="Normlny"/>
    <w:uiPriority w:val="99"/>
    <w:rsid w:val="00E43137"/>
    <w:pPr>
      <w:suppressAutoHyphens/>
      <w:autoSpaceDN w:val="0"/>
      <w:textAlignment w:val="baseline"/>
    </w:pPr>
    <w:rPr>
      <w:rFonts w:eastAsia="SimSun" w:cs="Mangal"/>
      <w:kern w:val="3"/>
      <w:lang w:eastAsia="zh-CN" w:bidi="hi-IN"/>
    </w:rPr>
  </w:style>
  <w:style w:type="character" w:styleId="SkratkaHTML">
    <w:name w:val="HTML Acronym"/>
    <w:uiPriority w:val="99"/>
    <w:unhideWhenUsed/>
    <w:rsid w:val="00E43137"/>
  </w:style>
  <w:style w:type="character" w:customStyle="1" w:styleId="apple-converted-space">
    <w:name w:val="apple-converted-space"/>
    <w:rsid w:val="00E43137"/>
  </w:style>
  <w:style w:type="paragraph" w:customStyle="1" w:styleId="tlTunZa0ptRmekJednoduchAutomatick05pt">
    <w:name w:val="Štýl Tučné Za:  0 pt Rámček: (Jednoduché Automatická  05 pt Š..."/>
    <w:basedOn w:val="Normlny"/>
    <w:uiPriority w:val="99"/>
    <w:rsid w:val="00E43137"/>
    <w:pPr>
      <w:pBdr>
        <w:top w:val="single" w:sz="4" w:space="5" w:color="auto"/>
        <w:left w:val="single" w:sz="4" w:space="3" w:color="auto"/>
        <w:bottom w:val="single" w:sz="4" w:space="5" w:color="auto"/>
        <w:right w:val="single" w:sz="4" w:space="3" w:color="auto"/>
      </w:pBdr>
    </w:pPr>
    <w:rPr>
      <w:rFonts w:ascii="Calibri" w:eastAsia="Calibri" w:hAnsi="Calibri"/>
      <w:b/>
      <w:bCs/>
      <w:szCs w:val="20"/>
      <w:lang w:eastAsia="en-US"/>
    </w:rPr>
  </w:style>
  <w:style w:type="paragraph" w:customStyle="1" w:styleId="Zkladntext1">
    <w:name w:val="Základný text1"/>
    <w:basedOn w:val="Normlny"/>
    <w:next w:val="Zkladntext"/>
    <w:link w:val="ZkladntextChar"/>
    <w:uiPriority w:val="99"/>
    <w:semiHidden/>
    <w:unhideWhenUsed/>
    <w:rsid w:val="00E43137"/>
    <w:pPr>
      <w:spacing w:after="120" w:line="259" w:lineRule="auto"/>
    </w:pPr>
    <w:rPr>
      <w:sz w:val="20"/>
      <w:szCs w:val="20"/>
    </w:rPr>
  </w:style>
  <w:style w:type="character" w:customStyle="1" w:styleId="ZkladntextChar">
    <w:name w:val="Základný text Char"/>
    <w:aliases w:val="Body Text Char Char,Základní text Char Char,bt Char,heading3 Char,Body Text - Level 2 Char,Body Char,b Char"/>
    <w:link w:val="Zkladntext1"/>
    <w:rsid w:val="00E43137"/>
  </w:style>
  <w:style w:type="table" w:customStyle="1" w:styleId="Mriekatabuky2">
    <w:name w:val="Mriežka tabuľky2"/>
    <w:basedOn w:val="Normlnatabuka"/>
    <w:next w:val="Mriekatabuky"/>
    <w:uiPriority w:val="59"/>
    <w:rsid w:val="00E43137"/>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M1">
    <w:name w:val="CM1"/>
    <w:basedOn w:val="Normlny"/>
    <w:next w:val="Normlny"/>
    <w:uiPriority w:val="99"/>
    <w:rsid w:val="00E43137"/>
    <w:pPr>
      <w:autoSpaceDE w:val="0"/>
      <w:autoSpaceDN w:val="0"/>
      <w:adjustRightInd w:val="0"/>
    </w:pPr>
    <w:rPr>
      <w:rFonts w:ascii="EUAlbertina" w:eastAsia="Calibri" w:hAnsi="EUAlbertina"/>
      <w:lang w:eastAsia="en-US"/>
    </w:rPr>
  </w:style>
  <w:style w:type="paragraph" w:customStyle="1" w:styleId="CM3">
    <w:name w:val="CM3"/>
    <w:basedOn w:val="Normlny"/>
    <w:next w:val="Normlny"/>
    <w:uiPriority w:val="99"/>
    <w:rsid w:val="00E43137"/>
    <w:pPr>
      <w:autoSpaceDE w:val="0"/>
      <w:autoSpaceDN w:val="0"/>
      <w:adjustRightInd w:val="0"/>
    </w:pPr>
    <w:rPr>
      <w:rFonts w:ascii="EUAlbertina" w:eastAsia="Calibri" w:hAnsi="EUAlbertina"/>
      <w:lang w:eastAsia="en-US"/>
    </w:rPr>
  </w:style>
  <w:style w:type="paragraph" w:styleId="Zkladntext">
    <w:name w:val="Body Text"/>
    <w:aliases w:val="Body Text Char,Základní text Char,bt,heading3,Body Text - Level 2,Body,b"/>
    <w:basedOn w:val="Normlny"/>
    <w:link w:val="ZkladntextChar1"/>
    <w:rsid w:val="00E43137"/>
    <w:pPr>
      <w:spacing w:after="120"/>
    </w:pPr>
  </w:style>
  <w:style w:type="character" w:customStyle="1" w:styleId="ZkladntextChar1">
    <w:name w:val="Základný text Char1"/>
    <w:aliases w:val="Body Text Char Char1,Základní text Char Char1,bt Char1,heading3 Char1,Body Text - Level 2 Char1,Body Char1,b Char1"/>
    <w:link w:val="Zkladntext"/>
    <w:rsid w:val="00E43137"/>
    <w:rPr>
      <w:sz w:val="24"/>
      <w:szCs w:val="24"/>
    </w:rPr>
  </w:style>
  <w:style w:type="table" w:customStyle="1" w:styleId="Mriekatabuky3">
    <w:name w:val="Mriežka tabuľky3"/>
    <w:basedOn w:val="Normlnatabuka"/>
    <w:next w:val="Mriekatabuky"/>
    <w:uiPriority w:val="59"/>
    <w:rsid w:val="00E43137"/>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Mriekatabuky11">
    <w:name w:val="Mriežka tabuľky11"/>
    <w:basedOn w:val="Normlnatabuka"/>
    <w:next w:val="Mriekatabuky"/>
    <w:rsid w:val="008676F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Bezzoznamu3">
    <w:name w:val="Bez zoznamu3"/>
    <w:next w:val="Bezzoznamu"/>
    <w:uiPriority w:val="99"/>
    <w:semiHidden/>
    <w:unhideWhenUsed/>
    <w:rsid w:val="008676F9"/>
  </w:style>
  <w:style w:type="paragraph" w:customStyle="1" w:styleId="Text1">
    <w:name w:val="Text 1"/>
    <w:basedOn w:val="Normlny"/>
    <w:link w:val="Text1Char"/>
    <w:rsid w:val="008676F9"/>
    <w:pPr>
      <w:spacing w:after="240"/>
      <w:ind w:left="482"/>
    </w:pPr>
    <w:rPr>
      <w:lang w:val="en-GB" w:eastAsia="en-US"/>
    </w:rPr>
  </w:style>
  <w:style w:type="character" w:customStyle="1" w:styleId="Text1Char">
    <w:name w:val="Text 1 Char"/>
    <w:link w:val="Text1"/>
    <w:uiPriority w:val="99"/>
    <w:locked/>
    <w:rsid w:val="008676F9"/>
    <w:rPr>
      <w:sz w:val="24"/>
      <w:szCs w:val="24"/>
      <w:lang w:val="en-GB" w:eastAsia="en-US"/>
    </w:rPr>
  </w:style>
  <w:style w:type="character" w:styleId="slostrany">
    <w:name w:val="page number"/>
    <w:uiPriority w:val="99"/>
    <w:rsid w:val="008676F9"/>
  </w:style>
  <w:style w:type="table" w:customStyle="1" w:styleId="Mriekatabuky4">
    <w:name w:val="Mriežka tabuľky4"/>
    <w:basedOn w:val="Normlnatabuka"/>
    <w:next w:val="Mriekatabuky"/>
    <w:uiPriority w:val="59"/>
    <w:rsid w:val="008676F9"/>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Zarkazkladnhotextu">
    <w:name w:val="Body Text Indent"/>
    <w:basedOn w:val="Normlny"/>
    <w:link w:val="ZarkazkladnhotextuChar"/>
    <w:uiPriority w:val="99"/>
    <w:unhideWhenUsed/>
    <w:rsid w:val="008676F9"/>
    <w:pPr>
      <w:spacing w:after="120" w:line="276" w:lineRule="auto"/>
      <w:ind w:left="283"/>
    </w:pPr>
    <w:rPr>
      <w:rFonts w:ascii="Calibri" w:eastAsia="Calibri" w:hAnsi="Calibri"/>
      <w:szCs w:val="22"/>
      <w:lang w:eastAsia="en-US"/>
    </w:rPr>
  </w:style>
  <w:style w:type="character" w:customStyle="1" w:styleId="ZarkazkladnhotextuChar">
    <w:name w:val="Zarážka základného textu Char"/>
    <w:link w:val="Zarkazkladnhotextu"/>
    <w:uiPriority w:val="99"/>
    <w:rsid w:val="008676F9"/>
    <w:rPr>
      <w:rFonts w:ascii="Calibri" w:eastAsia="Calibri" w:hAnsi="Calibri"/>
      <w:sz w:val="22"/>
      <w:szCs w:val="22"/>
      <w:lang w:eastAsia="en-US"/>
    </w:rPr>
  </w:style>
  <w:style w:type="paragraph" w:styleId="Zoznamsodrkami">
    <w:name w:val="List Bullet"/>
    <w:basedOn w:val="Normlny"/>
    <w:autoRedefine/>
    <w:uiPriority w:val="99"/>
    <w:rsid w:val="008676F9"/>
    <w:pPr>
      <w:numPr>
        <w:numId w:val="27"/>
      </w:numPr>
      <w:tabs>
        <w:tab w:val="clear" w:pos="720"/>
        <w:tab w:val="decimal" w:pos="9000"/>
      </w:tabs>
      <w:overflowPunct w:val="0"/>
      <w:autoSpaceDE w:val="0"/>
      <w:autoSpaceDN w:val="0"/>
      <w:adjustRightInd w:val="0"/>
      <w:ind w:left="284" w:hanging="284"/>
      <w:textAlignment w:val="baseline"/>
    </w:pPr>
    <w:rPr>
      <w:rFonts w:ascii="Calibri" w:hAnsi="Calibri"/>
      <w:szCs w:val="22"/>
      <w:lang w:eastAsia="cs-CZ"/>
    </w:rPr>
  </w:style>
  <w:style w:type="paragraph" w:customStyle="1" w:styleId="NumPar1">
    <w:name w:val="NumPar 1"/>
    <w:basedOn w:val="Normlny"/>
    <w:next w:val="Text1"/>
    <w:rsid w:val="008676F9"/>
    <w:pPr>
      <w:numPr>
        <w:numId w:val="30"/>
      </w:numPr>
      <w:tabs>
        <w:tab w:val="num" w:pos="850"/>
        <w:tab w:val="num" w:pos="926"/>
      </w:tabs>
      <w:spacing w:before="120" w:after="120"/>
      <w:ind w:left="850" w:hanging="850"/>
    </w:pPr>
    <w:rPr>
      <w:snapToGrid w:val="0"/>
      <w:lang w:val="en-GB" w:eastAsia="fr-BE"/>
    </w:rPr>
  </w:style>
  <w:style w:type="paragraph" w:customStyle="1" w:styleId="Point1letter">
    <w:name w:val="Point 1 (letter)"/>
    <w:basedOn w:val="Normlny"/>
    <w:rsid w:val="008676F9"/>
    <w:pPr>
      <w:numPr>
        <w:ilvl w:val="3"/>
        <w:numId w:val="31"/>
      </w:numPr>
      <w:tabs>
        <w:tab w:val="num" w:pos="1134"/>
        <w:tab w:val="num" w:pos="1417"/>
        <w:tab w:val="num" w:pos="3686"/>
      </w:tabs>
      <w:spacing w:before="120" w:after="120"/>
      <w:ind w:left="1417"/>
    </w:pPr>
    <w:rPr>
      <w:snapToGrid w:val="0"/>
      <w:lang w:val="en-GB" w:eastAsia="fr-BE"/>
    </w:rPr>
  </w:style>
  <w:style w:type="paragraph" w:styleId="Bezriadkovania">
    <w:name w:val="No Spacing"/>
    <w:uiPriority w:val="1"/>
    <w:qFormat/>
    <w:rsid w:val="008676F9"/>
    <w:pPr>
      <w:jc w:val="both"/>
    </w:pPr>
    <w:rPr>
      <w:sz w:val="24"/>
      <w:szCs w:val="24"/>
      <w:lang w:val="en-GB" w:eastAsia="en-US"/>
    </w:rPr>
  </w:style>
  <w:style w:type="paragraph" w:customStyle="1" w:styleId="Point1number">
    <w:name w:val="Point 1 (number)"/>
    <w:basedOn w:val="Normlny"/>
    <w:rsid w:val="008676F9"/>
    <w:pPr>
      <w:numPr>
        <w:ilvl w:val="2"/>
        <w:numId w:val="31"/>
      </w:numPr>
      <w:tabs>
        <w:tab w:val="num" w:pos="1134"/>
        <w:tab w:val="num" w:pos="1417"/>
        <w:tab w:val="num" w:pos="2977"/>
      </w:tabs>
      <w:spacing w:before="120" w:after="120"/>
      <w:ind w:left="1417"/>
    </w:pPr>
    <w:rPr>
      <w:snapToGrid w:val="0"/>
      <w:lang w:val="en-GB" w:eastAsia="fr-BE"/>
    </w:rPr>
  </w:style>
  <w:style w:type="paragraph" w:customStyle="1" w:styleId="Obsahtabuky">
    <w:name w:val="Obsah tabuľky"/>
    <w:basedOn w:val="Normlny"/>
    <w:rsid w:val="008676F9"/>
    <w:pPr>
      <w:suppressLineNumbers/>
      <w:suppressAutoHyphens/>
    </w:pPr>
    <w:rPr>
      <w:rFonts w:eastAsia="SimSun"/>
      <w:kern w:val="1"/>
      <w:lang w:eastAsia="zh-CN"/>
    </w:rPr>
  </w:style>
  <w:style w:type="paragraph" w:customStyle="1" w:styleId="Odsekzoznamu2">
    <w:name w:val="Odsek zoznamu2"/>
    <w:basedOn w:val="Normlny"/>
    <w:rsid w:val="008676F9"/>
    <w:pPr>
      <w:spacing w:after="240"/>
      <w:ind w:left="720"/>
    </w:pPr>
    <w:rPr>
      <w:rFonts w:eastAsia="Calibri"/>
      <w:lang w:val="en-GB" w:eastAsia="en-US"/>
    </w:rPr>
  </w:style>
  <w:style w:type="paragraph" w:customStyle="1" w:styleId="mojnormalny">
    <w:name w:val="mojnormalny"/>
    <w:basedOn w:val="Normlny"/>
    <w:rsid w:val="008676F9"/>
    <w:rPr>
      <w:rFonts w:ascii="Arial" w:hAnsi="Arial" w:cs="Arial"/>
      <w:sz w:val="20"/>
      <w:szCs w:val="20"/>
    </w:rPr>
  </w:style>
  <w:style w:type="paragraph" w:customStyle="1" w:styleId="Zkladntext10">
    <w:name w:val="Základní text1"/>
    <w:basedOn w:val="Normlny"/>
    <w:rsid w:val="008676F9"/>
    <w:pPr>
      <w:widowControl w:val="0"/>
    </w:pPr>
    <w:rPr>
      <w:rFonts w:ascii="Arial" w:hAnsi="Arial"/>
      <w:szCs w:val="20"/>
    </w:rPr>
  </w:style>
  <w:style w:type="paragraph" w:customStyle="1" w:styleId="Rfrenceinterinstitutionnelle">
    <w:name w:val="Référence interinstitutionnelle"/>
    <w:basedOn w:val="Normlny"/>
    <w:next w:val="Statut"/>
    <w:uiPriority w:val="99"/>
    <w:rsid w:val="008676F9"/>
    <w:pPr>
      <w:ind w:left="5103"/>
    </w:pPr>
    <w:rPr>
      <w:lang w:eastAsia="en-US"/>
    </w:rPr>
  </w:style>
  <w:style w:type="paragraph" w:customStyle="1" w:styleId="Statut">
    <w:name w:val="Statut"/>
    <w:basedOn w:val="Normlny"/>
    <w:next w:val="Normlny"/>
    <w:uiPriority w:val="99"/>
    <w:rsid w:val="008676F9"/>
    <w:pPr>
      <w:spacing w:before="360"/>
      <w:jc w:val="center"/>
    </w:pPr>
    <w:rPr>
      <w:lang w:eastAsia="en-US"/>
    </w:rPr>
  </w:style>
  <w:style w:type="character" w:customStyle="1" w:styleId="OdsekzoznamuChar">
    <w:name w:val="Odsek zoznamu Char"/>
    <w:link w:val="Odsekzoznamu"/>
    <w:uiPriority w:val="34"/>
    <w:locked/>
    <w:rsid w:val="008676F9"/>
    <w:rPr>
      <w:sz w:val="24"/>
      <w:szCs w:val="24"/>
    </w:rPr>
  </w:style>
  <w:style w:type="paragraph" w:customStyle="1" w:styleId="Subkapitola">
    <w:name w:val="Subkapitola"/>
    <w:basedOn w:val="Normlny"/>
    <w:uiPriority w:val="99"/>
    <w:rsid w:val="008676F9"/>
    <w:pPr>
      <w:spacing w:before="240" w:line="240" w:lineRule="atLeast"/>
    </w:pPr>
    <w:rPr>
      <w:rFonts w:ascii="Swis721 AT" w:hAnsi="Swis721 AT" w:cs="Swis721 AT"/>
      <w:sz w:val="36"/>
      <w:szCs w:val="36"/>
      <w:lang w:val="cs-CZ"/>
    </w:rPr>
  </w:style>
  <w:style w:type="paragraph" w:customStyle="1" w:styleId="Default">
    <w:name w:val="Default"/>
    <w:rsid w:val="008676F9"/>
    <w:pPr>
      <w:autoSpaceDE w:val="0"/>
      <w:autoSpaceDN w:val="0"/>
      <w:adjustRightInd w:val="0"/>
    </w:pPr>
    <w:rPr>
      <w:rFonts w:ascii="Myriad Pro" w:eastAsia="Calibri" w:hAnsi="Myriad Pro" w:cs="Myriad Pro"/>
      <w:color w:val="000000"/>
      <w:sz w:val="24"/>
      <w:szCs w:val="24"/>
      <w:lang w:eastAsia="en-US"/>
    </w:rPr>
  </w:style>
  <w:style w:type="paragraph" w:customStyle="1" w:styleId="Odsekzoznamu3">
    <w:name w:val="Odsek zoznamu3"/>
    <w:basedOn w:val="Normlny"/>
    <w:uiPriority w:val="99"/>
    <w:rsid w:val="008676F9"/>
    <w:pPr>
      <w:spacing w:after="240"/>
      <w:ind w:left="720"/>
    </w:pPr>
    <w:rPr>
      <w:rFonts w:eastAsia="Calibri"/>
      <w:lang w:val="en-GB" w:eastAsia="en-US"/>
    </w:rPr>
  </w:style>
  <w:style w:type="paragraph" w:customStyle="1" w:styleId="Text">
    <w:name w:val="Text"/>
    <w:basedOn w:val="Normlny"/>
    <w:link w:val="TextChar"/>
    <w:rsid w:val="008676F9"/>
    <w:pPr>
      <w:spacing w:before="120" w:after="120"/>
    </w:pPr>
    <w:rPr>
      <w:rFonts w:ascii="Calibri" w:eastAsia="Calibri" w:hAnsi="Calibri"/>
      <w:szCs w:val="22"/>
      <w:lang w:eastAsia="en-US"/>
    </w:rPr>
  </w:style>
  <w:style w:type="character" w:customStyle="1" w:styleId="TextChar">
    <w:name w:val="Text Char"/>
    <w:link w:val="Text"/>
    <w:rsid w:val="008676F9"/>
    <w:rPr>
      <w:rFonts w:ascii="Calibri" w:eastAsia="Calibri" w:hAnsi="Calibri"/>
      <w:sz w:val="22"/>
      <w:szCs w:val="22"/>
      <w:lang w:eastAsia="en-US"/>
    </w:rPr>
  </w:style>
  <w:style w:type="paragraph" w:customStyle="1" w:styleId="CharChar3CharCharCharCharCharCharCharCharCharCharCharChar">
    <w:name w:val="Char Char3 Char Char Char Char Char Char Char Char Char Char Char Char"/>
    <w:basedOn w:val="Normlny"/>
    <w:rsid w:val="008676F9"/>
    <w:pPr>
      <w:spacing w:after="160" w:line="240" w:lineRule="exact"/>
    </w:pPr>
    <w:rPr>
      <w:rFonts w:ascii="Tahoma" w:hAnsi="Tahoma"/>
      <w:sz w:val="20"/>
      <w:szCs w:val="20"/>
      <w:lang w:val="en-US" w:eastAsia="en-US"/>
    </w:rPr>
  </w:style>
  <w:style w:type="paragraph" w:customStyle="1" w:styleId="CM4">
    <w:name w:val="CM4"/>
    <w:basedOn w:val="Normlny"/>
    <w:next w:val="Normlny"/>
    <w:rsid w:val="008676F9"/>
    <w:pPr>
      <w:autoSpaceDE w:val="0"/>
      <w:autoSpaceDN w:val="0"/>
      <w:adjustRightInd w:val="0"/>
    </w:pPr>
    <w:rPr>
      <w:rFonts w:ascii="EUAlbertina" w:hAnsi="EUAlbertina"/>
    </w:rPr>
  </w:style>
  <w:style w:type="paragraph" w:customStyle="1" w:styleId="Considrant">
    <w:name w:val="Considérant"/>
    <w:basedOn w:val="Normlny"/>
    <w:uiPriority w:val="99"/>
    <w:rsid w:val="008676F9"/>
    <w:pPr>
      <w:tabs>
        <w:tab w:val="num" w:pos="709"/>
        <w:tab w:val="num" w:pos="850"/>
        <w:tab w:val="num" w:pos="1560"/>
        <w:tab w:val="num" w:pos="1984"/>
      </w:tabs>
      <w:spacing w:before="120" w:after="120"/>
      <w:ind w:left="709" w:hanging="709"/>
    </w:pPr>
    <w:rPr>
      <w:snapToGrid w:val="0"/>
      <w:lang w:val="en-GB" w:eastAsia="fr-BE"/>
    </w:rPr>
  </w:style>
  <w:style w:type="character" w:styleId="Zvraznenie">
    <w:name w:val="Emphasis"/>
    <w:uiPriority w:val="20"/>
    <w:qFormat/>
    <w:rsid w:val="008676F9"/>
    <w:rPr>
      <w:i/>
      <w:iCs/>
    </w:rPr>
  </w:style>
  <w:style w:type="paragraph" w:styleId="Zvraznencitcia">
    <w:name w:val="Intense Quote"/>
    <w:basedOn w:val="Normlny"/>
    <w:next w:val="Normlny"/>
    <w:link w:val="ZvraznencitciaChar"/>
    <w:uiPriority w:val="30"/>
    <w:qFormat/>
    <w:rsid w:val="008676F9"/>
    <w:pPr>
      <w:pBdr>
        <w:bottom w:val="single" w:sz="4" w:space="4" w:color="4F81BD"/>
      </w:pBdr>
      <w:spacing w:before="200" w:after="280" w:line="276" w:lineRule="auto"/>
      <w:ind w:left="936" w:right="936"/>
    </w:pPr>
    <w:rPr>
      <w:rFonts w:ascii="Calibri" w:eastAsia="Calibri" w:hAnsi="Calibri"/>
      <w:b/>
      <w:bCs/>
      <w:i/>
      <w:iCs/>
      <w:color w:val="4F81BD"/>
      <w:szCs w:val="22"/>
      <w:lang w:eastAsia="en-US"/>
    </w:rPr>
  </w:style>
  <w:style w:type="character" w:customStyle="1" w:styleId="ZvraznencitciaChar">
    <w:name w:val="Zvýraznená citácia Char"/>
    <w:link w:val="Zvraznencitcia"/>
    <w:uiPriority w:val="30"/>
    <w:rsid w:val="008676F9"/>
    <w:rPr>
      <w:rFonts w:ascii="Calibri" w:eastAsia="Calibri" w:hAnsi="Calibri"/>
      <w:b/>
      <w:bCs/>
      <w:i/>
      <w:iCs/>
      <w:color w:val="4F81BD"/>
      <w:sz w:val="22"/>
      <w:szCs w:val="22"/>
      <w:lang w:eastAsia="en-US"/>
    </w:rPr>
  </w:style>
  <w:style w:type="paragraph" w:customStyle="1" w:styleId="Tab">
    <w:name w:val="Tab"/>
    <w:basedOn w:val="Normlny"/>
    <w:rsid w:val="008676F9"/>
    <w:pPr>
      <w:spacing w:before="40"/>
    </w:pPr>
    <w:rPr>
      <w:rFonts w:ascii="Arial" w:eastAsia="Calibri" w:hAnsi="Arial" w:cs="Arial"/>
      <w:sz w:val="16"/>
      <w:szCs w:val="16"/>
      <w:lang w:val="en-GB" w:eastAsia="cs-CZ"/>
    </w:rPr>
  </w:style>
  <w:style w:type="paragraph" w:customStyle="1" w:styleId="Odsekzoznamu4">
    <w:name w:val="Odsek zoznamu4"/>
    <w:basedOn w:val="Normlny"/>
    <w:rsid w:val="008676F9"/>
    <w:pPr>
      <w:spacing w:after="240"/>
      <w:ind w:left="720"/>
    </w:pPr>
    <w:rPr>
      <w:rFonts w:eastAsia="Calibri"/>
      <w:lang w:val="en-GB" w:eastAsia="en-US"/>
    </w:rPr>
  </w:style>
  <w:style w:type="paragraph" w:customStyle="1" w:styleId="Odsekzoznamu5">
    <w:name w:val="Odsek zoznamu5"/>
    <w:basedOn w:val="Normlny"/>
    <w:rsid w:val="008676F9"/>
    <w:pPr>
      <w:spacing w:after="240"/>
      <w:ind w:left="720"/>
    </w:pPr>
    <w:rPr>
      <w:rFonts w:eastAsia="Calibri"/>
      <w:lang w:val="en-GB"/>
    </w:rPr>
  </w:style>
  <w:style w:type="character" w:customStyle="1" w:styleId="PtaChar1">
    <w:name w:val="Päta Char1"/>
    <w:locked/>
    <w:rsid w:val="008676F9"/>
    <w:rPr>
      <w:rFonts w:ascii="Arial" w:eastAsia="Calibri" w:hAnsi="Arial" w:cs="Arial"/>
      <w:sz w:val="16"/>
      <w:szCs w:val="16"/>
      <w:lang w:val="en-GB" w:eastAsia="en-US" w:bidi="ar-SA"/>
    </w:rPr>
  </w:style>
  <w:style w:type="character" w:customStyle="1" w:styleId="ListParagraphChar">
    <w:name w:val="List Paragraph Char"/>
    <w:link w:val="Odsekzoznamu1"/>
    <w:uiPriority w:val="99"/>
    <w:locked/>
    <w:rsid w:val="008676F9"/>
    <w:rPr>
      <w:sz w:val="22"/>
      <w:lang w:val="en-GB" w:eastAsia="en-US"/>
    </w:rPr>
  </w:style>
  <w:style w:type="paragraph" w:customStyle="1" w:styleId="CharChar2">
    <w:name w:val="Char Char2"/>
    <w:basedOn w:val="Normlny"/>
    <w:rsid w:val="008676F9"/>
    <w:pPr>
      <w:spacing w:after="160" w:line="240" w:lineRule="exact"/>
    </w:pPr>
    <w:rPr>
      <w:rFonts w:ascii="Tahoma" w:hAnsi="Tahoma"/>
      <w:sz w:val="20"/>
      <w:szCs w:val="20"/>
      <w:lang w:val="en-US" w:eastAsia="en-US"/>
    </w:rPr>
  </w:style>
  <w:style w:type="paragraph" w:customStyle="1" w:styleId="Odsekzoznamu6">
    <w:name w:val="Odsek zoznamu6"/>
    <w:basedOn w:val="Normlny"/>
    <w:link w:val="ListParagraphChar1"/>
    <w:rsid w:val="008676F9"/>
    <w:pPr>
      <w:spacing w:after="200" w:line="276" w:lineRule="auto"/>
      <w:ind w:left="720"/>
    </w:pPr>
    <w:rPr>
      <w:rFonts w:ascii="Calibri" w:hAnsi="Calibri"/>
      <w:szCs w:val="22"/>
      <w:lang w:eastAsia="en-US"/>
    </w:rPr>
  </w:style>
  <w:style w:type="character" w:customStyle="1" w:styleId="ListParagraphChar1">
    <w:name w:val="List Paragraph Char1"/>
    <w:link w:val="Odsekzoznamu6"/>
    <w:locked/>
    <w:rsid w:val="008676F9"/>
    <w:rPr>
      <w:rFonts w:ascii="Calibri" w:hAnsi="Calibri"/>
      <w:sz w:val="22"/>
      <w:szCs w:val="22"/>
      <w:lang w:eastAsia="en-US"/>
    </w:rPr>
  </w:style>
  <w:style w:type="paragraph" w:customStyle="1" w:styleId="CharChar">
    <w:name w:val="Char Char"/>
    <w:basedOn w:val="Normlny"/>
    <w:rsid w:val="008676F9"/>
    <w:pPr>
      <w:spacing w:after="160" w:line="240" w:lineRule="exact"/>
    </w:pPr>
    <w:rPr>
      <w:rFonts w:ascii="Tahoma" w:hAnsi="Tahoma" w:cs="Tahoma"/>
      <w:sz w:val="20"/>
      <w:szCs w:val="20"/>
      <w:lang w:val="en-US" w:eastAsia="en-US"/>
    </w:rPr>
  </w:style>
  <w:style w:type="paragraph" w:customStyle="1" w:styleId="Odsekzoznamu7">
    <w:name w:val="Odsek zoznamu7"/>
    <w:basedOn w:val="Normlny"/>
    <w:rsid w:val="008676F9"/>
    <w:pPr>
      <w:spacing w:after="240"/>
      <w:ind w:left="720"/>
    </w:pPr>
    <w:rPr>
      <w:rFonts w:eastAsia="Calibri"/>
      <w:lang w:val="en-GB" w:eastAsia="en-US"/>
    </w:rPr>
  </w:style>
  <w:style w:type="character" w:customStyle="1" w:styleId="st">
    <w:name w:val="st"/>
    <w:rsid w:val="008676F9"/>
  </w:style>
  <w:style w:type="paragraph" w:customStyle="1" w:styleId="CharChar1CharChar">
    <w:name w:val="Char Char1 Char Char"/>
    <w:basedOn w:val="Normlny"/>
    <w:rsid w:val="008676F9"/>
    <w:pPr>
      <w:spacing w:after="160" w:line="240" w:lineRule="exact"/>
    </w:pPr>
    <w:rPr>
      <w:rFonts w:ascii="Tahoma" w:hAnsi="Tahoma"/>
      <w:sz w:val="20"/>
      <w:szCs w:val="20"/>
      <w:lang w:val="en-US" w:eastAsia="en-US"/>
    </w:rPr>
  </w:style>
  <w:style w:type="paragraph" w:styleId="Zarkazkladnhotextu3">
    <w:name w:val="Body Text Indent 3"/>
    <w:basedOn w:val="Normlny"/>
    <w:link w:val="Zarkazkladnhotextu3Char"/>
    <w:uiPriority w:val="99"/>
    <w:unhideWhenUsed/>
    <w:rsid w:val="008676F9"/>
    <w:pPr>
      <w:spacing w:after="120" w:line="276" w:lineRule="auto"/>
      <w:ind w:left="283"/>
    </w:pPr>
    <w:rPr>
      <w:rFonts w:ascii="Calibri" w:eastAsia="Calibri" w:hAnsi="Calibri"/>
      <w:sz w:val="16"/>
      <w:szCs w:val="16"/>
      <w:lang w:eastAsia="en-US"/>
    </w:rPr>
  </w:style>
  <w:style w:type="character" w:customStyle="1" w:styleId="Zarkazkladnhotextu3Char">
    <w:name w:val="Zarážka základného textu 3 Char"/>
    <w:link w:val="Zarkazkladnhotextu3"/>
    <w:uiPriority w:val="99"/>
    <w:rsid w:val="008676F9"/>
    <w:rPr>
      <w:rFonts w:ascii="Calibri" w:eastAsia="Calibri" w:hAnsi="Calibri"/>
      <w:sz w:val="16"/>
      <w:szCs w:val="16"/>
      <w:lang w:eastAsia="en-US"/>
    </w:rPr>
  </w:style>
  <w:style w:type="paragraph" w:customStyle="1" w:styleId="CharCharCharChar">
    <w:name w:val="Char Char Char Char"/>
    <w:basedOn w:val="Normlny"/>
    <w:rsid w:val="008676F9"/>
    <w:pPr>
      <w:spacing w:after="160" w:line="240" w:lineRule="exact"/>
    </w:pPr>
    <w:rPr>
      <w:rFonts w:ascii="Tahoma" w:hAnsi="Tahoma"/>
      <w:sz w:val="20"/>
      <w:szCs w:val="20"/>
      <w:lang w:val="en-US" w:eastAsia="en-US"/>
    </w:rPr>
  </w:style>
  <w:style w:type="paragraph" w:customStyle="1" w:styleId="TabFig">
    <w:name w:val="TabFig"/>
    <w:basedOn w:val="Normlny"/>
    <w:rsid w:val="008676F9"/>
    <w:pPr>
      <w:spacing w:before="40"/>
      <w:jc w:val="right"/>
    </w:pPr>
    <w:rPr>
      <w:rFonts w:ascii="Arial" w:hAnsi="Arial"/>
      <w:sz w:val="16"/>
      <w:szCs w:val="20"/>
      <w:lang w:val="en-GB"/>
    </w:rPr>
  </w:style>
  <w:style w:type="paragraph" w:customStyle="1" w:styleId="Normlny0">
    <w:name w:val="Norm‡lny"/>
    <w:rsid w:val="008676F9"/>
  </w:style>
  <w:style w:type="paragraph" w:customStyle="1" w:styleId="Normlnyneodsadentunnastred">
    <w:name w:val="Normálny neodsadený tučný na stred"/>
    <w:basedOn w:val="Normlny"/>
    <w:link w:val="NormlnyneodsadentunnastredChar"/>
    <w:autoRedefine/>
    <w:rsid w:val="008676F9"/>
    <w:pPr>
      <w:keepNext/>
      <w:tabs>
        <w:tab w:val="left" w:pos="1800"/>
      </w:tabs>
      <w:ind w:hanging="86"/>
      <w:jc w:val="center"/>
    </w:pPr>
    <w:rPr>
      <w:b/>
      <w:bCs/>
      <w:noProof/>
      <w:spacing w:val="4"/>
      <w:sz w:val="20"/>
      <w:szCs w:val="20"/>
    </w:rPr>
  </w:style>
  <w:style w:type="character" w:customStyle="1" w:styleId="NormlnyneodsadentunnastredChar">
    <w:name w:val="Normálny neodsadený tučný na stred Char"/>
    <w:link w:val="Normlnyneodsadentunnastred"/>
    <w:rsid w:val="008676F9"/>
    <w:rPr>
      <w:b/>
      <w:bCs/>
      <w:noProof/>
      <w:spacing w:val="4"/>
    </w:rPr>
  </w:style>
  <w:style w:type="paragraph" w:customStyle="1" w:styleId="Normlnyneodsadennastred">
    <w:name w:val="Normálny neodsadený na stred"/>
    <w:basedOn w:val="Normlny"/>
    <w:link w:val="NormlnyneodsadennastredChar"/>
    <w:autoRedefine/>
    <w:qFormat/>
    <w:rsid w:val="008676F9"/>
    <w:pPr>
      <w:keepNext/>
      <w:jc w:val="center"/>
    </w:pPr>
    <w:rPr>
      <w:noProof/>
      <w:sz w:val="20"/>
      <w:szCs w:val="20"/>
      <w:lang w:eastAsia="cs-CZ"/>
    </w:rPr>
  </w:style>
  <w:style w:type="character" w:customStyle="1" w:styleId="NormlnyneodsadennastredChar">
    <w:name w:val="Normálny neodsadený na stred Char"/>
    <w:link w:val="Normlnyneodsadennastred"/>
    <w:rsid w:val="008676F9"/>
    <w:rPr>
      <w:noProof/>
      <w:lang w:eastAsia="cs-CZ"/>
    </w:rPr>
  </w:style>
  <w:style w:type="paragraph" w:customStyle="1" w:styleId="Normlnyneodsadenvavostab">
    <w:name w:val="Normálny neodsadený vľavo s tab."/>
    <w:basedOn w:val="Normlny"/>
    <w:autoRedefine/>
    <w:rsid w:val="008676F9"/>
    <w:pPr>
      <w:keepNext/>
      <w:tabs>
        <w:tab w:val="left" w:pos="425"/>
        <w:tab w:val="left" w:pos="1134"/>
        <w:tab w:val="left" w:pos="3600"/>
        <w:tab w:val="left" w:pos="4309"/>
        <w:tab w:val="center" w:pos="7439"/>
      </w:tabs>
    </w:pPr>
    <w:rPr>
      <w:bCs/>
      <w:noProof/>
      <w:sz w:val="20"/>
    </w:rPr>
  </w:style>
  <w:style w:type="paragraph" w:customStyle="1" w:styleId="tlZoznamsodrkamiTun">
    <w:name w:val="Štýl Zoznam s odrážkami + Tučné"/>
    <w:basedOn w:val="Zoznamsodrkami"/>
    <w:autoRedefine/>
    <w:rsid w:val="008676F9"/>
    <w:pPr>
      <w:numPr>
        <w:numId w:val="47"/>
      </w:numPr>
      <w:tabs>
        <w:tab w:val="clear" w:pos="9000"/>
      </w:tabs>
      <w:overflowPunct/>
      <w:autoSpaceDE/>
      <w:autoSpaceDN/>
      <w:adjustRightInd/>
      <w:spacing w:before="60" w:after="60" w:line="320" w:lineRule="exact"/>
      <w:textAlignment w:val="auto"/>
    </w:pPr>
    <w:rPr>
      <w:rFonts w:ascii="Times New Roman" w:hAnsi="Times New Roman"/>
      <w:b/>
      <w:bCs/>
      <w:sz w:val="24"/>
      <w:szCs w:val="24"/>
    </w:rPr>
  </w:style>
  <w:style w:type="paragraph" w:customStyle="1" w:styleId="tlZoznamsodrkami">
    <w:name w:val="Štýl Zoznam s odrážkami"/>
    <w:basedOn w:val="Normlny"/>
    <w:rsid w:val="008676F9"/>
    <w:pPr>
      <w:tabs>
        <w:tab w:val="left" w:pos="709"/>
        <w:tab w:val="decimal" w:pos="4395"/>
        <w:tab w:val="decimal" w:pos="6096"/>
        <w:tab w:val="decimal" w:pos="7513"/>
      </w:tabs>
      <w:spacing w:before="60" w:after="60" w:line="320" w:lineRule="exact"/>
      <w:ind w:left="720" w:hanging="360"/>
    </w:pPr>
    <w:rPr>
      <w:lang w:eastAsia="cs-CZ"/>
    </w:rPr>
  </w:style>
  <w:style w:type="paragraph" w:styleId="Podtitul">
    <w:name w:val="Subtitle"/>
    <w:basedOn w:val="Normlny"/>
    <w:next w:val="Normlny"/>
    <w:link w:val="PodtitulChar"/>
    <w:uiPriority w:val="11"/>
    <w:qFormat/>
    <w:rsid w:val="008676F9"/>
    <w:pPr>
      <w:numPr>
        <w:ilvl w:val="1"/>
      </w:numPr>
      <w:spacing w:after="200" w:line="276" w:lineRule="auto"/>
    </w:pPr>
    <w:rPr>
      <w:rFonts w:ascii="Cambria" w:hAnsi="Cambria"/>
      <w:i/>
      <w:iCs/>
      <w:color w:val="4F81BD"/>
      <w:spacing w:val="15"/>
      <w:lang w:eastAsia="en-US"/>
    </w:rPr>
  </w:style>
  <w:style w:type="character" w:customStyle="1" w:styleId="PodtitulChar">
    <w:name w:val="Podtitul Char"/>
    <w:link w:val="Podtitul"/>
    <w:uiPriority w:val="11"/>
    <w:rsid w:val="008676F9"/>
    <w:rPr>
      <w:rFonts w:ascii="Cambria" w:hAnsi="Cambria"/>
      <w:i/>
      <w:iCs/>
      <w:color w:val="4F81BD"/>
      <w:spacing w:val="15"/>
      <w:sz w:val="24"/>
      <w:szCs w:val="24"/>
      <w:lang w:eastAsia="en-US"/>
    </w:rPr>
  </w:style>
  <w:style w:type="paragraph" w:customStyle="1" w:styleId="Odsekzoznamu8">
    <w:name w:val="Odsek zoznamu8"/>
    <w:basedOn w:val="Normlny"/>
    <w:qFormat/>
    <w:rsid w:val="008676F9"/>
    <w:pPr>
      <w:spacing w:after="200"/>
      <w:ind w:left="720"/>
    </w:pPr>
    <w:rPr>
      <w:rFonts w:ascii="Calibri" w:eastAsia="Calibri" w:hAnsi="Calibri" w:cs="Calibri"/>
      <w:szCs w:val="22"/>
      <w:lang w:eastAsia="en-US"/>
    </w:rPr>
  </w:style>
  <w:style w:type="character" w:customStyle="1" w:styleId="hps">
    <w:name w:val="hps"/>
    <w:rsid w:val="008676F9"/>
  </w:style>
  <w:style w:type="paragraph" w:customStyle="1" w:styleId="Point1">
    <w:name w:val="Point 1"/>
    <w:basedOn w:val="Normlny"/>
    <w:rsid w:val="008676F9"/>
    <w:pPr>
      <w:spacing w:before="120" w:after="120" w:line="360" w:lineRule="auto"/>
      <w:ind w:left="1417" w:hanging="567"/>
      <w:outlineLvl w:val="0"/>
    </w:pPr>
    <w:rPr>
      <w:lang w:eastAsia="en-US"/>
    </w:rPr>
  </w:style>
  <w:style w:type="character" w:customStyle="1" w:styleId="apple-style-span">
    <w:name w:val="apple-style-span"/>
    <w:rsid w:val="008676F9"/>
  </w:style>
  <w:style w:type="table" w:customStyle="1" w:styleId="Mriekatabuky12">
    <w:name w:val="Mriežka tabuľky12"/>
    <w:basedOn w:val="Normlnatabuka"/>
    <w:next w:val="Mriekatabuky"/>
    <w:uiPriority w:val="59"/>
    <w:rsid w:val="008676F9"/>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Mriekatabuky21">
    <w:name w:val="Mriežka tabuľky21"/>
    <w:basedOn w:val="Normlnatabuka"/>
    <w:next w:val="Mriekatabuky"/>
    <w:rsid w:val="008676F9"/>
    <w:pPr>
      <w:spacing w:after="200" w:line="276"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Mriekatabuky31">
    <w:name w:val="Mriežka tabuľky31"/>
    <w:basedOn w:val="Normlnatabuka"/>
    <w:next w:val="Mriekatabuky"/>
    <w:rsid w:val="008676F9"/>
    <w:pPr>
      <w:spacing w:after="200" w:line="276"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Odsekzoznamu9">
    <w:name w:val="Odsek zoznamu9"/>
    <w:basedOn w:val="Normlny"/>
    <w:link w:val="ListParagraphChar2"/>
    <w:rsid w:val="008676F9"/>
    <w:pPr>
      <w:spacing w:after="240"/>
      <w:ind w:left="720"/>
    </w:pPr>
    <w:rPr>
      <w:rFonts w:eastAsia="Calibri"/>
      <w:lang w:val="en-GB" w:eastAsia="en-US"/>
    </w:rPr>
  </w:style>
  <w:style w:type="character" w:customStyle="1" w:styleId="ListParagraphChar2">
    <w:name w:val="List Paragraph Char2"/>
    <w:link w:val="Odsekzoznamu9"/>
    <w:locked/>
    <w:rsid w:val="008676F9"/>
    <w:rPr>
      <w:rFonts w:eastAsia="Calibri"/>
      <w:sz w:val="24"/>
      <w:szCs w:val="24"/>
      <w:lang w:val="en-GB" w:eastAsia="en-US"/>
    </w:rPr>
  </w:style>
  <w:style w:type="table" w:customStyle="1" w:styleId="Mriekatabuky41">
    <w:name w:val="Mriežka tabuľky41"/>
    <w:basedOn w:val="Normlnatabuka"/>
    <w:next w:val="Mriekatabuky"/>
    <w:rsid w:val="008676F9"/>
    <w:rPr>
      <w:rFonts w:ascii="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Mriekatabuky5">
    <w:name w:val="Mriežka tabuľky5"/>
    <w:basedOn w:val="Normlnatabuka"/>
    <w:next w:val="Mriekatabuky"/>
    <w:uiPriority w:val="59"/>
    <w:rsid w:val="008676F9"/>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Odsekzoznamu10">
    <w:name w:val="Odsek zoznamu10"/>
    <w:basedOn w:val="Normlny"/>
    <w:link w:val="ListParagraphChar3"/>
    <w:rsid w:val="008676F9"/>
    <w:pPr>
      <w:spacing w:after="240"/>
      <w:ind w:left="720"/>
    </w:pPr>
    <w:rPr>
      <w:rFonts w:eastAsia="Calibri"/>
      <w:lang w:val="en-GB" w:eastAsia="en-US"/>
    </w:rPr>
  </w:style>
  <w:style w:type="character" w:customStyle="1" w:styleId="ListParagraphChar3">
    <w:name w:val="List Paragraph Char3"/>
    <w:link w:val="Odsekzoznamu10"/>
    <w:locked/>
    <w:rsid w:val="008676F9"/>
    <w:rPr>
      <w:rFonts w:eastAsia="Calibri"/>
      <w:sz w:val="24"/>
      <w:szCs w:val="24"/>
      <w:lang w:val="en-GB" w:eastAsia="en-US"/>
    </w:rPr>
  </w:style>
  <w:style w:type="table" w:customStyle="1" w:styleId="Mriekatabuky6">
    <w:name w:val="Mriežka tabuľky6"/>
    <w:basedOn w:val="Normlnatabuka"/>
    <w:next w:val="Mriekatabuky"/>
    <w:rsid w:val="008676F9"/>
    <w:pPr>
      <w:spacing w:after="200" w:line="276"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Mriekatabuky111">
    <w:name w:val="Mriežka tabuľky111"/>
    <w:basedOn w:val="Normlnatabuka"/>
    <w:next w:val="Mriekatabuky"/>
    <w:uiPriority w:val="59"/>
    <w:rsid w:val="008676F9"/>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Mriekatabuky7">
    <w:name w:val="Mriežka tabuľky7"/>
    <w:basedOn w:val="Normlnatabuka"/>
    <w:next w:val="Mriekatabuky"/>
    <w:uiPriority w:val="59"/>
    <w:rsid w:val="008676F9"/>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Bezzoznamu4">
    <w:name w:val="Bez zoznamu4"/>
    <w:next w:val="Bezzoznamu"/>
    <w:uiPriority w:val="99"/>
    <w:semiHidden/>
    <w:unhideWhenUsed/>
    <w:rsid w:val="008676F9"/>
  </w:style>
  <w:style w:type="paragraph" w:customStyle="1" w:styleId="StylTunZarovnatdoblokuVlevo0cmPedsazen1cm">
    <w:name w:val="Styl Tučné Zarovnat do bloku Vlevo:  0 cm Předsazení:  1 cm"/>
    <w:basedOn w:val="Nadpis4"/>
    <w:rsid w:val="008676F9"/>
    <w:pPr>
      <w:numPr>
        <w:ilvl w:val="0"/>
        <w:numId w:val="0"/>
      </w:numPr>
      <w:spacing w:before="240" w:after="60" w:line="276" w:lineRule="auto"/>
      <w:ind w:left="567" w:hanging="567"/>
    </w:pPr>
    <w:rPr>
      <w:rFonts w:ascii="Calibri" w:hAnsi="Calibri"/>
      <w:i w:val="0"/>
      <w:lang w:val="sk-SK"/>
    </w:rPr>
  </w:style>
  <w:style w:type="table" w:customStyle="1" w:styleId="Mriekatabuky32">
    <w:name w:val="Mriežka tabuľky32"/>
    <w:basedOn w:val="Normlnatabuka"/>
    <w:next w:val="Mriekatabuky"/>
    <w:uiPriority w:val="59"/>
    <w:rsid w:val="00BB33FC"/>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PouitHypertextovPrepojenie">
    <w:name w:val="FollowedHyperlink"/>
    <w:uiPriority w:val="99"/>
    <w:unhideWhenUsed/>
    <w:rsid w:val="00BB33FC"/>
    <w:rPr>
      <w:color w:val="800080"/>
      <w:u w:val="single"/>
    </w:rPr>
  </w:style>
  <w:style w:type="paragraph" w:customStyle="1" w:styleId="font5">
    <w:name w:val="font5"/>
    <w:basedOn w:val="Normlny"/>
    <w:rsid w:val="00BB33FC"/>
    <w:pPr>
      <w:spacing w:before="100" w:beforeAutospacing="1" w:after="100" w:afterAutospacing="1"/>
    </w:pPr>
    <w:rPr>
      <w:rFonts w:ascii="Arial" w:hAnsi="Arial" w:cs="Arial"/>
      <w:sz w:val="18"/>
      <w:szCs w:val="18"/>
    </w:rPr>
  </w:style>
  <w:style w:type="paragraph" w:customStyle="1" w:styleId="font6">
    <w:name w:val="font6"/>
    <w:basedOn w:val="Normlny"/>
    <w:rsid w:val="00BB33FC"/>
    <w:pPr>
      <w:spacing w:before="100" w:beforeAutospacing="1" w:after="100" w:afterAutospacing="1"/>
    </w:pPr>
    <w:rPr>
      <w:rFonts w:ascii="Calibri" w:hAnsi="Calibri"/>
      <w:sz w:val="18"/>
      <w:szCs w:val="18"/>
    </w:rPr>
  </w:style>
  <w:style w:type="paragraph" w:customStyle="1" w:styleId="font7">
    <w:name w:val="font7"/>
    <w:basedOn w:val="Normlny"/>
    <w:rsid w:val="00BB33FC"/>
    <w:pPr>
      <w:spacing w:before="100" w:beforeAutospacing="1" w:after="100" w:afterAutospacing="1"/>
    </w:pPr>
    <w:rPr>
      <w:rFonts w:ascii="Tahoma" w:hAnsi="Tahoma" w:cs="Tahoma"/>
      <w:color w:val="000000"/>
      <w:sz w:val="18"/>
      <w:szCs w:val="18"/>
    </w:rPr>
  </w:style>
  <w:style w:type="paragraph" w:customStyle="1" w:styleId="font8">
    <w:name w:val="font8"/>
    <w:basedOn w:val="Normlny"/>
    <w:rsid w:val="00BB33FC"/>
    <w:pPr>
      <w:spacing w:before="100" w:beforeAutospacing="1" w:after="100" w:afterAutospacing="1"/>
    </w:pPr>
    <w:rPr>
      <w:rFonts w:ascii="Tahoma" w:hAnsi="Tahoma" w:cs="Tahoma"/>
      <w:b/>
      <w:bCs/>
      <w:color w:val="000000"/>
      <w:sz w:val="18"/>
      <w:szCs w:val="18"/>
    </w:rPr>
  </w:style>
  <w:style w:type="paragraph" w:customStyle="1" w:styleId="font9">
    <w:name w:val="font9"/>
    <w:basedOn w:val="Normlny"/>
    <w:rsid w:val="00BB33FC"/>
    <w:pPr>
      <w:spacing w:before="100" w:beforeAutospacing="1" w:after="100" w:afterAutospacing="1"/>
    </w:pPr>
    <w:rPr>
      <w:rFonts w:ascii="Arial" w:hAnsi="Arial" w:cs="Arial"/>
      <w:i/>
      <w:iCs/>
      <w:color w:val="FF0000"/>
      <w:sz w:val="16"/>
      <w:szCs w:val="16"/>
    </w:rPr>
  </w:style>
  <w:style w:type="paragraph" w:customStyle="1" w:styleId="xl122">
    <w:name w:val="xl122"/>
    <w:basedOn w:val="Normlny"/>
    <w:rsid w:val="00BB33FC"/>
    <w:pPr>
      <w:pBdr>
        <w:top w:val="single" w:sz="4" w:space="0" w:color="A6A6A6"/>
        <w:bottom w:val="single" w:sz="8" w:space="0" w:color="E26B0A"/>
        <w:right w:val="single" w:sz="8" w:space="0" w:color="E26B0A"/>
      </w:pBdr>
      <w:shd w:val="clear" w:color="000000" w:fill="FDE9D9"/>
      <w:spacing w:before="100" w:beforeAutospacing="1" w:after="100" w:afterAutospacing="1"/>
    </w:pPr>
    <w:rPr>
      <w:rFonts w:ascii="Arial" w:hAnsi="Arial" w:cs="Arial"/>
      <w:sz w:val="18"/>
      <w:szCs w:val="18"/>
    </w:rPr>
  </w:style>
  <w:style w:type="paragraph" w:customStyle="1" w:styleId="xl123">
    <w:name w:val="xl123"/>
    <w:basedOn w:val="Normlny"/>
    <w:rsid w:val="00BB33FC"/>
    <w:pPr>
      <w:pBdr>
        <w:top w:val="single" w:sz="4" w:space="0" w:color="A6A6A6"/>
        <w:bottom w:val="single" w:sz="8" w:space="0" w:color="E26B0A"/>
        <w:right w:val="single" w:sz="8" w:space="0" w:color="E26B0A"/>
      </w:pBdr>
      <w:shd w:val="clear" w:color="000000" w:fill="FCD5B4"/>
      <w:spacing w:before="100" w:beforeAutospacing="1" w:after="100" w:afterAutospacing="1"/>
    </w:pPr>
    <w:rPr>
      <w:rFonts w:ascii="Arial" w:hAnsi="Arial" w:cs="Arial"/>
      <w:sz w:val="18"/>
      <w:szCs w:val="18"/>
    </w:rPr>
  </w:style>
  <w:style w:type="paragraph" w:customStyle="1" w:styleId="xl124">
    <w:name w:val="xl124"/>
    <w:basedOn w:val="Normlny"/>
    <w:rsid w:val="00BB33FC"/>
    <w:pPr>
      <w:pBdr>
        <w:top w:val="single" w:sz="4" w:space="0" w:color="A6A6A6"/>
        <w:right w:val="single" w:sz="8" w:space="0" w:color="E26B0A"/>
      </w:pBdr>
      <w:shd w:val="clear" w:color="000000" w:fill="FCD5B4"/>
      <w:spacing w:before="100" w:beforeAutospacing="1" w:after="100" w:afterAutospacing="1"/>
    </w:pPr>
    <w:rPr>
      <w:rFonts w:ascii="Arial" w:hAnsi="Arial" w:cs="Arial"/>
      <w:sz w:val="18"/>
      <w:szCs w:val="18"/>
    </w:rPr>
  </w:style>
  <w:style w:type="paragraph" w:customStyle="1" w:styleId="xl125">
    <w:name w:val="xl125"/>
    <w:basedOn w:val="Normlny"/>
    <w:rsid w:val="00BB33FC"/>
    <w:pPr>
      <w:pBdr>
        <w:top w:val="single" w:sz="8" w:space="0" w:color="E26B0A"/>
        <w:right w:val="single" w:sz="8" w:space="0" w:color="E26B0A"/>
      </w:pBdr>
      <w:spacing w:before="100" w:beforeAutospacing="1" w:after="100" w:afterAutospacing="1"/>
    </w:pPr>
    <w:rPr>
      <w:rFonts w:ascii="Arial" w:hAnsi="Arial" w:cs="Arial"/>
      <w:sz w:val="18"/>
      <w:szCs w:val="18"/>
    </w:rPr>
  </w:style>
  <w:style w:type="paragraph" w:customStyle="1" w:styleId="xl126">
    <w:name w:val="xl126"/>
    <w:basedOn w:val="Normlny"/>
    <w:rsid w:val="00BB33FC"/>
    <w:pPr>
      <w:pBdr>
        <w:bottom w:val="single" w:sz="4" w:space="0" w:color="A6A6A6"/>
        <w:right w:val="single" w:sz="8" w:space="0" w:color="E26B0A"/>
      </w:pBdr>
      <w:shd w:val="clear" w:color="000000" w:fill="FDE9D9"/>
      <w:spacing w:before="100" w:beforeAutospacing="1" w:after="100" w:afterAutospacing="1"/>
    </w:pPr>
    <w:rPr>
      <w:rFonts w:ascii="Arial" w:hAnsi="Arial" w:cs="Arial"/>
      <w:sz w:val="18"/>
      <w:szCs w:val="18"/>
    </w:rPr>
  </w:style>
  <w:style w:type="paragraph" w:customStyle="1" w:styleId="xl127">
    <w:name w:val="xl127"/>
    <w:basedOn w:val="Normlny"/>
    <w:rsid w:val="00BB33FC"/>
    <w:pPr>
      <w:pBdr>
        <w:top w:val="single" w:sz="4" w:space="0" w:color="A6A6A6"/>
        <w:right w:val="single" w:sz="8" w:space="0" w:color="E26B0A"/>
      </w:pBdr>
      <w:shd w:val="clear" w:color="000000" w:fill="FDE9D9"/>
      <w:spacing w:before="100" w:beforeAutospacing="1" w:after="100" w:afterAutospacing="1"/>
    </w:pPr>
    <w:rPr>
      <w:rFonts w:ascii="Arial" w:hAnsi="Arial" w:cs="Arial"/>
      <w:sz w:val="18"/>
      <w:szCs w:val="18"/>
    </w:rPr>
  </w:style>
  <w:style w:type="paragraph" w:customStyle="1" w:styleId="xl128">
    <w:name w:val="xl128"/>
    <w:basedOn w:val="Normlny"/>
    <w:rsid w:val="00BB33FC"/>
    <w:pPr>
      <w:pBdr>
        <w:bottom w:val="single" w:sz="8" w:space="0" w:color="E26B0A"/>
        <w:right w:val="single" w:sz="8" w:space="0" w:color="E26B0A"/>
      </w:pBdr>
      <w:shd w:val="clear" w:color="000000" w:fill="FCD5B4"/>
      <w:spacing w:before="100" w:beforeAutospacing="1" w:after="100" w:afterAutospacing="1"/>
    </w:pPr>
    <w:rPr>
      <w:rFonts w:ascii="Arial" w:hAnsi="Arial" w:cs="Arial"/>
      <w:sz w:val="18"/>
      <w:szCs w:val="18"/>
    </w:rPr>
  </w:style>
  <w:style w:type="paragraph" w:customStyle="1" w:styleId="xl129">
    <w:name w:val="xl129"/>
    <w:basedOn w:val="Normlny"/>
    <w:rsid w:val="00BB33FC"/>
    <w:pPr>
      <w:pBdr>
        <w:right w:val="single" w:sz="8" w:space="0" w:color="E26B0A"/>
      </w:pBdr>
      <w:shd w:val="clear" w:color="000000" w:fill="FCD5B4"/>
      <w:spacing w:before="100" w:beforeAutospacing="1" w:after="100" w:afterAutospacing="1"/>
    </w:pPr>
    <w:rPr>
      <w:rFonts w:ascii="Arial" w:hAnsi="Arial" w:cs="Arial"/>
      <w:sz w:val="18"/>
      <w:szCs w:val="18"/>
    </w:rPr>
  </w:style>
  <w:style w:type="paragraph" w:customStyle="1" w:styleId="xl130">
    <w:name w:val="xl130"/>
    <w:basedOn w:val="Normlny"/>
    <w:rsid w:val="00BB33FC"/>
    <w:pPr>
      <w:pBdr>
        <w:bottom w:val="single" w:sz="4" w:space="0" w:color="A6A6A6"/>
        <w:right w:val="single" w:sz="4" w:space="0" w:color="A6A6A6"/>
      </w:pBdr>
      <w:shd w:val="clear" w:color="000000" w:fill="FCD5B4"/>
      <w:spacing w:before="100" w:beforeAutospacing="1" w:after="100" w:afterAutospacing="1"/>
    </w:pPr>
    <w:rPr>
      <w:rFonts w:ascii="Arial" w:hAnsi="Arial" w:cs="Arial"/>
      <w:sz w:val="18"/>
      <w:szCs w:val="18"/>
    </w:rPr>
  </w:style>
  <w:style w:type="paragraph" w:customStyle="1" w:styleId="xl131">
    <w:name w:val="xl131"/>
    <w:basedOn w:val="Normlny"/>
    <w:rsid w:val="00BB33FC"/>
    <w:pPr>
      <w:pBdr>
        <w:right w:val="single" w:sz="4" w:space="0" w:color="A6A6A6"/>
      </w:pBdr>
      <w:shd w:val="clear" w:color="000000" w:fill="FCD5B4"/>
      <w:spacing w:before="100" w:beforeAutospacing="1" w:after="100" w:afterAutospacing="1"/>
    </w:pPr>
    <w:rPr>
      <w:rFonts w:ascii="Arial" w:hAnsi="Arial" w:cs="Arial"/>
      <w:sz w:val="18"/>
      <w:szCs w:val="18"/>
    </w:rPr>
  </w:style>
  <w:style w:type="paragraph" w:customStyle="1" w:styleId="xl132">
    <w:name w:val="xl132"/>
    <w:basedOn w:val="Normlny"/>
    <w:rsid w:val="00BB33FC"/>
    <w:pPr>
      <w:pBdr>
        <w:bottom w:val="single" w:sz="8" w:space="0" w:color="E26B0A"/>
        <w:right w:val="single" w:sz="8" w:space="0" w:color="E26B0A"/>
      </w:pBdr>
      <w:shd w:val="clear" w:color="000000" w:fill="FDE9D9"/>
      <w:spacing w:before="100" w:beforeAutospacing="1" w:after="100" w:afterAutospacing="1"/>
    </w:pPr>
    <w:rPr>
      <w:rFonts w:ascii="Arial" w:hAnsi="Arial" w:cs="Arial"/>
      <w:sz w:val="18"/>
      <w:szCs w:val="18"/>
    </w:rPr>
  </w:style>
  <w:style w:type="paragraph" w:customStyle="1" w:styleId="xl133">
    <w:name w:val="xl133"/>
    <w:basedOn w:val="Normlny"/>
    <w:rsid w:val="00BB33FC"/>
    <w:pPr>
      <w:pBdr>
        <w:right w:val="single" w:sz="8" w:space="0" w:color="E26B0A"/>
      </w:pBdr>
      <w:shd w:val="clear" w:color="000000" w:fill="FDE9D9"/>
      <w:spacing w:before="100" w:beforeAutospacing="1" w:after="100" w:afterAutospacing="1"/>
    </w:pPr>
    <w:rPr>
      <w:rFonts w:ascii="Arial" w:hAnsi="Arial" w:cs="Arial"/>
      <w:sz w:val="18"/>
      <w:szCs w:val="18"/>
    </w:rPr>
  </w:style>
  <w:style w:type="paragraph" w:customStyle="1" w:styleId="xl134">
    <w:name w:val="xl134"/>
    <w:basedOn w:val="Normlny"/>
    <w:rsid w:val="00BB33FC"/>
    <w:pPr>
      <w:pBdr>
        <w:top w:val="single" w:sz="4" w:space="0" w:color="A6A6A6"/>
        <w:bottom w:val="single" w:sz="4" w:space="0" w:color="A6A6A6"/>
        <w:right w:val="single" w:sz="8" w:space="0" w:color="E26B0A"/>
      </w:pBdr>
      <w:shd w:val="clear" w:color="000000" w:fill="FCD5B4"/>
      <w:spacing w:before="100" w:beforeAutospacing="1" w:after="100" w:afterAutospacing="1"/>
    </w:pPr>
    <w:rPr>
      <w:rFonts w:ascii="Arial" w:hAnsi="Arial" w:cs="Arial"/>
      <w:sz w:val="18"/>
      <w:szCs w:val="18"/>
    </w:rPr>
  </w:style>
  <w:style w:type="paragraph" w:customStyle="1" w:styleId="xl135">
    <w:name w:val="xl135"/>
    <w:basedOn w:val="Normlny"/>
    <w:rsid w:val="00BB33FC"/>
    <w:pPr>
      <w:spacing w:before="100" w:beforeAutospacing="1" w:after="100" w:afterAutospacing="1"/>
    </w:pPr>
    <w:rPr>
      <w:rFonts w:ascii="Arial" w:hAnsi="Arial" w:cs="Arial"/>
    </w:rPr>
  </w:style>
  <w:style w:type="paragraph" w:customStyle="1" w:styleId="xl136">
    <w:name w:val="xl136"/>
    <w:basedOn w:val="Normlny"/>
    <w:rsid w:val="00BB33FC"/>
    <w:pPr>
      <w:shd w:val="clear" w:color="000000" w:fill="FFFFFF"/>
      <w:spacing w:before="100" w:beforeAutospacing="1" w:after="100" w:afterAutospacing="1"/>
    </w:pPr>
    <w:rPr>
      <w:rFonts w:ascii="Arial" w:hAnsi="Arial" w:cs="Arial"/>
    </w:rPr>
  </w:style>
  <w:style w:type="paragraph" w:customStyle="1" w:styleId="xl137">
    <w:name w:val="xl137"/>
    <w:basedOn w:val="Normlny"/>
    <w:rsid w:val="00BB33FC"/>
    <w:pPr>
      <w:spacing w:before="100" w:beforeAutospacing="1" w:after="100" w:afterAutospacing="1"/>
    </w:pPr>
    <w:rPr>
      <w:sz w:val="32"/>
      <w:szCs w:val="32"/>
    </w:rPr>
  </w:style>
  <w:style w:type="paragraph" w:customStyle="1" w:styleId="xl138">
    <w:name w:val="xl138"/>
    <w:basedOn w:val="Normlny"/>
    <w:rsid w:val="00BB33FC"/>
    <w:pPr>
      <w:pBdr>
        <w:top w:val="single" w:sz="4" w:space="0" w:color="A6A6A6"/>
        <w:right w:val="single" w:sz="4" w:space="0" w:color="A6A6A6"/>
      </w:pBdr>
      <w:shd w:val="clear" w:color="000000" w:fill="FDE9D9"/>
      <w:spacing w:before="100" w:beforeAutospacing="1" w:after="100" w:afterAutospacing="1"/>
      <w:textAlignment w:val="top"/>
    </w:pPr>
    <w:rPr>
      <w:rFonts w:ascii="Arial" w:hAnsi="Arial" w:cs="Arial"/>
      <w:sz w:val="18"/>
      <w:szCs w:val="18"/>
    </w:rPr>
  </w:style>
  <w:style w:type="paragraph" w:customStyle="1" w:styleId="xl139">
    <w:name w:val="xl139"/>
    <w:basedOn w:val="Normlny"/>
    <w:rsid w:val="00BB33FC"/>
    <w:pPr>
      <w:pBdr>
        <w:top w:val="single" w:sz="4" w:space="0" w:color="A6A6A6"/>
        <w:bottom w:val="single" w:sz="8" w:space="0" w:color="E26B0A"/>
      </w:pBdr>
      <w:shd w:val="clear" w:color="000000" w:fill="FDE9D9"/>
      <w:spacing w:before="100" w:beforeAutospacing="1" w:after="100" w:afterAutospacing="1"/>
    </w:pPr>
    <w:rPr>
      <w:rFonts w:ascii="Arial" w:hAnsi="Arial" w:cs="Arial"/>
      <w:sz w:val="18"/>
      <w:szCs w:val="18"/>
    </w:rPr>
  </w:style>
  <w:style w:type="paragraph" w:customStyle="1" w:styleId="xl140">
    <w:name w:val="xl140"/>
    <w:basedOn w:val="Normlny"/>
    <w:rsid w:val="00BB33FC"/>
    <w:pPr>
      <w:spacing w:before="100" w:beforeAutospacing="1" w:after="100" w:afterAutospacing="1"/>
      <w:jc w:val="center"/>
    </w:pPr>
    <w:rPr>
      <w:b/>
      <w:bCs/>
    </w:rPr>
  </w:style>
  <w:style w:type="paragraph" w:customStyle="1" w:styleId="xl141">
    <w:name w:val="xl141"/>
    <w:basedOn w:val="Normlny"/>
    <w:rsid w:val="00BB33FC"/>
    <w:pPr>
      <w:pBdr>
        <w:top w:val="single" w:sz="8" w:space="0" w:color="E26B0A"/>
        <w:bottom w:val="single" w:sz="8" w:space="0" w:color="E26B0A"/>
        <w:right w:val="single" w:sz="4" w:space="0" w:color="A6A6A6"/>
      </w:pBdr>
      <w:spacing w:before="100" w:beforeAutospacing="1" w:after="100" w:afterAutospacing="1"/>
    </w:pPr>
    <w:rPr>
      <w:rFonts w:ascii="Arial" w:hAnsi="Arial" w:cs="Arial"/>
      <w:b/>
      <w:bCs/>
      <w:sz w:val="18"/>
      <w:szCs w:val="18"/>
    </w:rPr>
  </w:style>
  <w:style w:type="paragraph" w:customStyle="1" w:styleId="xl142">
    <w:name w:val="xl142"/>
    <w:basedOn w:val="Normlny"/>
    <w:rsid w:val="00BB33FC"/>
    <w:pPr>
      <w:pBdr>
        <w:top w:val="single" w:sz="8" w:space="0" w:color="E26B0A"/>
        <w:left w:val="single" w:sz="4" w:space="0" w:color="A6A6A6"/>
      </w:pBdr>
      <w:spacing w:before="100" w:beforeAutospacing="1" w:after="100" w:afterAutospacing="1"/>
    </w:pPr>
    <w:rPr>
      <w:rFonts w:ascii="Arial" w:hAnsi="Arial" w:cs="Arial"/>
      <w:sz w:val="18"/>
      <w:szCs w:val="18"/>
    </w:rPr>
  </w:style>
  <w:style w:type="paragraph" w:customStyle="1" w:styleId="xl143">
    <w:name w:val="xl143"/>
    <w:basedOn w:val="Normlny"/>
    <w:rsid w:val="00BB33FC"/>
    <w:pPr>
      <w:pBdr>
        <w:top w:val="single" w:sz="4" w:space="0" w:color="A6A6A6"/>
        <w:left w:val="single" w:sz="4" w:space="0" w:color="A6A6A6"/>
        <w:right w:val="single" w:sz="4" w:space="0" w:color="A6A6A6"/>
      </w:pBdr>
      <w:shd w:val="clear" w:color="000000" w:fill="FCD5B4"/>
      <w:spacing w:before="100" w:beforeAutospacing="1" w:after="100" w:afterAutospacing="1"/>
    </w:pPr>
    <w:rPr>
      <w:rFonts w:ascii="Arial" w:hAnsi="Arial" w:cs="Arial"/>
      <w:sz w:val="18"/>
      <w:szCs w:val="18"/>
    </w:rPr>
  </w:style>
  <w:style w:type="paragraph" w:customStyle="1" w:styleId="xl144">
    <w:name w:val="xl144"/>
    <w:basedOn w:val="Normlny"/>
    <w:rsid w:val="00BB33FC"/>
    <w:pPr>
      <w:pBdr>
        <w:top w:val="single" w:sz="4" w:space="0" w:color="A6A6A6"/>
        <w:bottom w:val="single" w:sz="8" w:space="0" w:color="E26B0A"/>
        <w:right w:val="single" w:sz="4" w:space="0" w:color="A6A6A6"/>
      </w:pBdr>
      <w:shd w:val="clear" w:color="000000" w:fill="FDE9D9"/>
      <w:spacing w:before="100" w:beforeAutospacing="1" w:after="100" w:afterAutospacing="1"/>
    </w:pPr>
    <w:rPr>
      <w:rFonts w:ascii="Arial" w:hAnsi="Arial" w:cs="Arial"/>
      <w:sz w:val="18"/>
      <w:szCs w:val="18"/>
    </w:rPr>
  </w:style>
  <w:style w:type="paragraph" w:customStyle="1" w:styleId="xl145">
    <w:name w:val="xl145"/>
    <w:basedOn w:val="Normlny"/>
    <w:rsid w:val="00BB33FC"/>
    <w:pPr>
      <w:pBdr>
        <w:top w:val="single" w:sz="8" w:space="0" w:color="E26B0A"/>
        <w:right w:val="single" w:sz="4" w:space="0" w:color="A6A6A6"/>
      </w:pBdr>
      <w:spacing w:before="100" w:beforeAutospacing="1" w:after="100" w:afterAutospacing="1"/>
    </w:pPr>
    <w:rPr>
      <w:rFonts w:ascii="Arial" w:hAnsi="Arial" w:cs="Arial"/>
      <w:sz w:val="18"/>
      <w:szCs w:val="18"/>
    </w:rPr>
  </w:style>
  <w:style w:type="paragraph" w:customStyle="1" w:styleId="xl146">
    <w:name w:val="xl146"/>
    <w:basedOn w:val="Normlny"/>
    <w:rsid w:val="00BB33FC"/>
    <w:pPr>
      <w:pBdr>
        <w:top w:val="single" w:sz="4" w:space="0" w:color="A6A6A6"/>
        <w:bottom w:val="single" w:sz="8" w:space="0" w:color="E26B0A"/>
        <w:right w:val="single" w:sz="4" w:space="0" w:color="A6A6A6"/>
      </w:pBdr>
      <w:shd w:val="clear" w:color="000000" w:fill="FCD5B4"/>
      <w:spacing w:before="100" w:beforeAutospacing="1" w:after="100" w:afterAutospacing="1"/>
    </w:pPr>
    <w:rPr>
      <w:rFonts w:ascii="Arial" w:hAnsi="Arial" w:cs="Arial"/>
      <w:sz w:val="18"/>
      <w:szCs w:val="18"/>
    </w:rPr>
  </w:style>
  <w:style w:type="paragraph" w:customStyle="1" w:styleId="xl147">
    <w:name w:val="xl147"/>
    <w:basedOn w:val="Normlny"/>
    <w:rsid w:val="00BB33FC"/>
    <w:pPr>
      <w:pBdr>
        <w:top w:val="single" w:sz="8" w:space="0" w:color="E26B0A"/>
      </w:pBdr>
      <w:spacing w:before="100" w:beforeAutospacing="1" w:after="100" w:afterAutospacing="1"/>
    </w:pPr>
    <w:rPr>
      <w:rFonts w:ascii="Arial" w:hAnsi="Arial" w:cs="Arial"/>
      <w:sz w:val="18"/>
      <w:szCs w:val="18"/>
    </w:rPr>
  </w:style>
  <w:style w:type="paragraph" w:customStyle="1" w:styleId="xl148">
    <w:name w:val="xl148"/>
    <w:basedOn w:val="Normlny"/>
    <w:rsid w:val="00BB33FC"/>
    <w:pPr>
      <w:pBdr>
        <w:bottom w:val="single" w:sz="4" w:space="0" w:color="A6A6A6"/>
        <w:right w:val="single" w:sz="4" w:space="0" w:color="A6A6A6"/>
      </w:pBdr>
      <w:shd w:val="clear" w:color="000000" w:fill="FDE9D9"/>
      <w:spacing w:before="100" w:beforeAutospacing="1" w:after="100" w:afterAutospacing="1"/>
    </w:pPr>
    <w:rPr>
      <w:rFonts w:ascii="Arial" w:hAnsi="Arial" w:cs="Arial"/>
      <w:sz w:val="18"/>
      <w:szCs w:val="18"/>
    </w:rPr>
  </w:style>
  <w:style w:type="paragraph" w:customStyle="1" w:styleId="xl149">
    <w:name w:val="xl149"/>
    <w:basedOn w:val="Normlny"/>
    <w:rsid w:val="00BB33FC"/>
    <w:pPr>
      <w:pBdr>
        <w:top w:val="single" w:sz="4" w:space="0" w:color="A6A6A6"/>
        <w:bottom w:val="single" w:sz="4" w:space="0" w:color="A6A6A6"/>
        <w:right w:val="single" w:sz="4" w:space="0" w:color="A6A6A6"/>
      </w:pBdr>
      <w:shd w:val="clear" w:color="000000" w:fill="FCD5B4"/>
      <w:spacing w:before="100" w:beforeAutospacing="1" w:after="100" w:afterAutospacing="1"/>
      <w:jc w:val="right"/>
    </w:pPr>
    <w:rPr>
      <w:rFonts w:ascii="Arial" w:hAnsi="Arial" w:cs="Arial"/>
      <w:sz w:val="18"/>
      <w:szCs w:val="18"/>
    </w:rPr>
  </w:style>
  <w:style w:type="paragraph" w:customStyle="1" w:styleId="xl150">
    <w:name w:val="xl150"/>
    <w:basedOn w:val="Normlny"/>
    <w:rsid w:val="00BB33FC"/>
    <w:pPr>
      <w:pBdr>
        <w:right w:val="single" w:sz="4" w:space="0" w:color="A6A6A6"/>
      </w:pBdr>
      <w:shd w:val="clear" w:color="000000" w:fill="FDE9D9"/>
      <w:spacing w:before="100" w:beforeAutospacing="1" w:after="100" w:afterAutospacing="1"/>
      <w:jc w:val="right"/>
    </w:pPr>
    <w:rPr>
      <w:rFonts w:ascii="Arial" w:hAnsi="Arial" w:cs="Arial"/>
      <w:sz w:val="18"/>
      <w:szCs w:val="18"/>
    </w:rPr>
  </w:style>
  <w:style w:type="paragraph" w:customStyle="1" w:styleId="xl151">
    <w:name w:val="xl151"/>
    <w:basedOn w:val="Normlny"/>
    <w:rsid w:val="00BB33FC"/>
    <w:pPr>
      <w:pBdr>
        <w:bottom w:val="single" w:sz="8" w:space="0" w:color="E26B0A"/>
        <w:right w:val="single" w:sz="4" w:space="0" w:color="A6A6A6"/>
      </w:pBdr>
      <w:shd w:val="clear" w:color="000000" w:fill="FDE9D9"/>
      <w:spacing w:before="100" w:beforeAutospacing="1" w:after="100" w:afterAutospacing="1"/>
      <w:jc w:val="right"/>
    </w:pPr>
    <w:rPr>
      <w:rFonts w:ascii="Arial" w:hAnsi="Arial" w:cs="Arial"/>
      <w:sz w:val="18"/>
      <w:szCs w:val="18"/>
    </w:rPr>
  </w:style>
  <w:style w:type="paragraph" w:customStyle="1" w:styleId="xl152">
    <w:name w:val="xl152"/>
    <w:basedOn w:val="Normlny"/>
    <w:rsid w:val="00BB33FC"/>
    <w:pPr>
      <w:pBdr>
        <w:top w:val="single" w:sz="4" w:space="0" w:color="A6A6A6"/>
        <w:right w:val="single" w:sz="4" w:space="0" w:color="A6A6A6"/>
      </w:pBdr>
      <w:shd w:val="clear" w:color="000000" w:fill="FCD5B4"/>
      <w:spacing w:before="100" w:beforeAutospacing="1" w:after="100" w:afterAutospacing="1"/>
      <w:jc w:val="right"/>
    </w:pPr>
    <w:rPr>
      <w:rFonts w:ascii="Arial" w:hAnsi="Arial" w:cs="Arial"/>
      <w:sz w:val="18"/>
      <w:szCs w:val="18"/>
    </w:rPr>
  </w:style>
  <w:style w:type="paragraph" w:customStyle="1" w:styleId="xl153">
    <w:name w:val="xl153"/>
    <w:basedOn w:val="Normlny"/>
    <w:rsid w:val="00BB33FC"/>
    <w:pPr>
      <w:pBdr>
        <w:right w:val="single" w:sz="4" w:space="0" w:color="A6A6A6"/>
      </w:pBdr>
      <w:shd w:val="clear" w:color="000000" w:fill="FCD5B4"/>
      <w:spacing w:before="100" w:beforeAutospacing="1" w:after="100" w:afterAutospacing="1"/>
      <w:jc w:val="right"/>
    </w:pPr>
    <w:rPr>
      <w:rFonts w:ascii="Arial" w:hAnsi="Arial" w:cs="Arial"/>
      <w:sz w:val="18"/>
      <w:szCs w:val="18"/>
    </w:rPr>
  </w:style>
  <w:style w:type="paragraph" w:customStyle="1" w:styleId="xl154">
    <w:name w:val="xl154"/>
    <w:basedOn w:val="Normlny"/>
    <w:rsid w:val="00BB33FC"/>
    <w:pPr>
      <w:pBdr>
        <w:bottom w:val="single" w:sz="4" w:space="0" w:color="A6A6A6"/>
        <w:right w:val="single" w:sz="4" w:space="0" w:color="A6A6A6"/>
      </w:pBdr>
      <w:shd w:val="clear" w:color="000000" w:fill="FCD5B4"/>
      <w:spacing w:before="100" w:beforeAutospacing="1" w:after="100" w:afterAutospacing="1"/>
      <w:jc w:val="right"/>
    </w:pPr>
    <w:rPr>
      <w:rFonts w:ascii="Arial" w:hAnsi="Arial" w:cs="Arial"/>
      <w:sz w:val="18"/>
      <w:szCs w:val="18"/>
    </w:rPr>
  </w:style>
  <w:style w:type="paragraph" w:customStyle="1" w:styleId="xl155">
    <w:name w:val="xl155"/>
    <w:basedOn w:val="Normlny"/>
    <w:rsid w:val="00BB33FC"/>
    <w:pPr>
      <w:pBdr>
        <w:bottom w:val="single" w:sz="8" w:space="0" w:color="E26B0A"/>
        <w:right w:val="single" w:sz="4" w:space="0" w:color="A6A6A6"/>
      </w:pBdr>
      <w:shd w:val="clear" w:color="000000" w:fill="FCD5B4"/>
      <w:spacing w:before="100" w:beforeAutospacing="1" w:after="100" w:afterAutospacing="1"/>
      <w:jc w:val="right"/>
    </w:pPr>
    <w:rPr>
      <w:rFonts w:ascii="Arial" w:hAnsi="Arial" w:cs="Arial"/>
      <w:sz w:val="18"/>
      <w:szCs w:val="18"/>
    </w:rPr>
  </w:style>
  <w:style w:type="paragraph" w:customStyle="1" w:styleId="xl156">
    <w:name w:val="xl156"/>
    <w:basedOn w:val="Normlny"/>
    <w:rsid w:val="00BB33FC"/>
    <w:pPr>
      <w:pBdr>
        <w:top w:val="single" w:sz="4" w:space="0" w:color="A6A6A6"/>
        <w:right w:val="single" w:sz="4" w:space="0" w:color="A6A6A6"/>
      </w:pBdr>
      <w:shd w:val="clear" w:color="000000" w:fill="FDE9D9"/>
      <w:spacing w:before="100" w:beforeAutospacing="1" w:after="100" w:afterAutospacing="1"/>
      <w:jc w:val="right"/>
    </w:pPr>
    <w:rPr>
      <w:rFonts w:ascii="Arial" w:hAnsi="Arial" w:cs="Arial"/>
      <w:sz w:val="18"/>
      <w:szCs w:val="18"/>
    </w:rPr>
  </w:style>
  <w:style w:type="paragraph" w:customStyle="1" w:styleId="xl157">
    <w:name w:val="xl157"/>
    <w:basedOn w:val="Normlny"/>
    <w:rsid w:val="00BB33FC"/>
    <w:pPr>
      <w:pBdr>
        <w:bottom w:val="single" w:sz="4" w:space="0" w:color="A6A6A6"/>
        <w:right w:val="single" w:sz="4" w:space="0" w:color="A6A6A6"/>
      </w:pBdr>
      <w:shd w:val="clear" w:color="000000" w:fill="FDE9D9"/>
      <w:spacing w:before="100" w:beforeAutospacing="1" w:after="100" w:afterAutospacing="1"/>
      <w:jc w:val="right"/>
    </w:pPr>
    <w:rPr>
      <w:rFonts w:ascii="Arial" w:hAnsi="Arial" w:cs="Arial"/>
      <w:sz w:val="18"/>
      <w:szCs w:val="18"/>
    </w:rPr>
  </w:style>
  <w:style w:type="paragraph" w:customStyle="1" w:styleId="xl158">
    <w:name w:val="xl158"/>
    <w:basedOn w:val="Normlny"/>
    <w:rsid w:val="00BB33FC"/>
    <w:pPr>
      <w:pBdr>
        <w:top w:val="single" w:sz="8" w:space="0" w:color="E26B0A"/>
      </w:pBdr>
      <w:spacing w:before="100" w:beforeAutospacing="1" w:after="100" w:afterAutospacing="1"/>
      <w:jc w:val="right"/>
    </w:pPr>
    <w:rPr>
      <w:rFonts w:ascii="Arial" w:hAnsi="Arial" w:cs="Arial"/>
      <w:sz w:val="18"/>
      <w:szCs w:val="18"/>
    </w:rPr>
  </w:style>
  <w:style w:type="paragraph" w:customStyle="1" w:styleId="xl159">
    <w:name w:val="xl159"/>
    <w:basedOn w:val="Normlny"/>
    <w:rsid w:val="00BB33FC"/>
    <w:pPr>
      <w:pBdr>
        <w:top w:val="single" w:sz="4" w:space="0" w:color="A6A6A6"/>
        <w:bottom w:val="single" w:sz="8" w:space="0" w:color="E26B0A"/>
      </w:pBdr>
      <w:shd w:val="clear" w:color="000000" w:fill="FDE9D9"/>
      <w:spacing w:before="100" w:beforeAutospacing="1" w:after="100" w:afterAutospacing="1"/>
      <w:jc w:val="right"/>
    </w:pPr>
    <w:rPr>
      <w:rFonts w:ascii="Arial" w:hAnsi="Arial" w:cs="Arial"/>
      <w:sz w:val="18"/>
      <w:szCs w:val="18"/>
    </w:rPr>
  </w:style>
  <w:style w:type="paragraph" w:customStyle="1" w:styleId="xl160">
    <w:name w:val="xl160"/>
    <w:basedOn w:val="Normlny"/>
    <w:rsid w:val="00BB33FC"/>
    <w:pPr>
      <w:pBdr>
        <w:top w:val="single" w:sz="4" w:space="0" w:color="A6A6A6"/>
        <w:bottom w:val="single" w:sz="8" w:space="0" w:color="E26B0A"/>
        <w:right w:val="single" w:sz="4" w:space="0" w:color="A6A6A6"/>
      </w:pBdr>
      <w:shd w:val="clear" w:color="000000" w:fill="FDE9D9"/>
      <w:spacing w:before="100" w:beforeAutospacing="1" w:after="100" w:afterAutospacing="1"/>
      <w:jc w:val="right"/>
    </w:pPr>
    <w:rPr>
      <w:rFonts w:ascii="Arial" w:hAnsi="Arial" w:cs="Arial"/>
      <w:sz w:val="18"/>
      <w:szCs w:val="18"/>
    </w:rPr>
  </w:style>
  <w:style w:type="paragraph" w:customStyle="1" w:styleId="xl161">
    <w:name w:val="xl161"/>
    <w:basedOn w:val="Normlny"/>
    <w:rsid w:val="00BB33FC"/>
    <w:pPr>
      <w:pBdr>
        <w:top w:val="single" w:sz="4" w:space="0" w:color="A6A6A6"/>
        <w:right w:val="single" w:sz="4" w:space="0" w:color="A6A6A6"/>
      </w:pBdr>
      <w:shd w:val="clear" w:color="000000" w:fill="FDE9D9"/>
      <w:spacing w:before="100" w:beforeAutospacing="1" w:after="100" w:afterAutospacing="1"/>
      <w:jc w:val="right"/>
      <w:textAlignment w:val="top"/>
    </w:pPr>
    <w:rPr>
      <w:rFonts w:ascii="Arial" w:hAnsi="Arial" w:cs="Arial"/>
      <w:sz w:val="18"/>
      <w:szCs w:val="18"/>
    </w:rPr>
  </w:style>
  <w:style w:type="paragraph" w:customStyle="1" w:styleId="xl162">
    <w:name w:val="xl162"/>
    <w:basedOn w:val="Normlny"/>
    <w:rsid w:val="00BB33FC"/>
    <w:pPr>
      <w:pBdr>
        <w:top w:val="single" w:sz="4" w:space="0" w:color="A6A6A6"/>
        <w:right w:val="single" w:sz="8" w:space="0" w:color="E26B0A"/>
      </w:pBdr>
      <w:shd w:val="clear" w:color="000000" w:fill="FDE9D9"/>
      <w:spacing w:before="100" w:beforeAutospacing="1" w:after="100" w:afterAutospacing="1"/>
      <w:textAlignment w:val="top"/>
    </w:pPr>
    <w:rPr>
      <w:rFonts w:ascii="Arial" w:hAnsi="Arial" w:cs="Arial"/>
      <w:sz w:val="18"/>
      <w:szCs w:val="18"/>
    </w:rPr>
  </w:style>
  <w:style w:type="paragraph" w:customStyle="1" w:styleId="xl163">
    <w:name w:val="xl163"/>
    <w:basedOn w:val="Normlny"/>
    <w:rsid w:val="00BB33FC"/>
    <w:pPr>
      <w:pBdr>
        <w:top w:val="single" w:sz="8" w:space="0" w:color="E26B0A"/>
      </w:pBdr>
      <w:spacing w:before="100" w:beforeAutospacing="1" w:after="100" w:afterAutospacing="1"/>
      <w:jc w:val="right"/>
    </w:pPr>
    <w:rPr>
      <w:rFonts w:ascii="Arial" w:hAnsi="Arial" w:cs="Arial"/>
      <w:sz w:val="18"/>
      <w:szCs w:val="18"/>
    </w:rPr>
  </w:style>
  <w:style w:type="paragraph" w:customStyle="1" w:styleId="xl164">
    <w:name w:val="xl164"/>
    <w:basedOn w:val="Normlny"/>
    <w:rsid w:val="00BB33FC"/>
    <w:pPr>
      <w:pBdr>
        <w:top w:val="single" w:sz="8" w:space="0" w:color="E26B0A"/>
        <w:right w:val="single" w:sz="4" w:space="0" w:color="A6A6A6"/>
      </w:pBdr>
      <w:spacing w:before="100" w:beforeAutospacing="1" w:after="100" w:afterAutospacing="1"/>
      <w:jc w:val="right"/>
    </w:pPr>
    <w:rPr>
      <w:rFonts w:ascii="Arial" w:hAnsi="Arial" w:cs="Arial"/>
      <w:sz w:val="18"/>
      <w:szCs w:val="18"/>
    </w:rPr>
  </w:style>
  <w:style w:type="paragraph" w:customStyle="1" w:styleId="xl165">
    <w:name w:val="xl165"/>
    <w:basedOn w:val="Normlny"/>
    <w:rsid w:val="00BB33FC"/>
    <w:pPr>
      <w:pBdr>
        <w:top w:val="single" w:sz="8" w:space="0" w:color="E26B0A"/>
        <w:left w:val="single" w:sz="4" w:space="0" w:color="A6A6A6"/>
        <w:right w:val="single" w:sz="4" w:space="0" w:color="A6A6A6"/>
      </w:pBdr>
      <w:spacing w:before="100" w:beforeAutospacing="1" w:after="100" w:afterAutospacing="1"/>
      <w:jc w:val="right"/>
    </w:pPr>
    <w:rPr>
      <w:rFonts w:ascii="Arial" w:hAnsi="Arial" w:cs="Arial"/>
      <w:sz w:val="18"/>
      <w:szCs w:val="18"/>
    </w:rPr>
  </w:style>
  <w:style w:type="paragraph" w:customStyle="1" w:styleId="xl166">
    <w:name w:val="xl166"/>
    <w:basedOn w:val="Normlny"/>
    <w:rsid w:val="00BB33FC"/>
    <w:pPr>
      <w:pBdr>
        <w:top w:val="single" w:sz="8" w:space="0" w:color="E26B0A"/>
        <w:left w:val="single" w:sz="4" w:space="0" w:color="A6A6A6"/>
      </w:pBdr>
      <w:spacing w:before="100" w:beforeAutospacing="1" w:after="100" w:afterAutospacing="1"/>
      <w:jc w:val="right"/>
    </w:pPr>
    <w:rPr>
      <w:rFonts w:ascii="Arial" w:hAnsi="Arial" w:cs="Arial"/>
      <w:sz w:val="18"/>
      <w:szCs w:val="18"/>
    </w:rPr>
  </w:style>
  <w:style w:type="paragraph" w:customStyle="1" w:styleId="xl167">
    <w:name w:val="xl167"/>
    <w:basedOn w:val="Normlny"/>
    <w:rsid w:val="00BB33FC"/>
    <w:pPr>
      <w:pBdr>
        <w:top w:val="single" w:sz="4" w:space="0" w:color="A6A6A6"/>
        <w:right w:val="single" w:sz="4" w:space="0" w:color="A6A6A6"/>
      </w:pBdr>
      <w:shd w:val="clear" w:color="000000" w:fill="FCD5B4"/>
      <w:spacing w:before="100" w:beforeAutospacing="1" w:after="100" w:afterAutospacing="1"/>
      <w:jc w:val="right"/>
    </w:pPr>
    <w:rPr>
      <w:rFonts w:ascii="Arial" w:hAnsi="Arial" w:cs="Arial"/>
      <w:sz w:val="18"/>
      <w:szCs w:val="18"/>
    </w:rPr>
  </w:style>
  <w:style w:type="paragraph" w:customStyle="1" w:styleId="xl168">
    <w:name w:val="xl168"/>
    <w:basedOn w:val="Normlny"/>
    <w:rsid w:val="00BB33FC"/>
    <w:pPr>
      <w:pBdr>
        <w:top w:val="single" w:sz="4" w:space="0" w:color="A6A6A6"/>
        <w:right w:val="single" w:sz="4" w:space="0" w:color="A6A6A6"/>
      </w:pBdr>
      <w:shd w:val="clear" w:color="000000" w:fill="FCD5B4"/>
      <w:spacing w:before="100" w:beforeAutospacing="1" w:after="100" w:afterAutospacing="1"/>
    </w:pPr>
    <w:rPr>
      <w:rFonts w:ascii="Arial" w:hAnsi="Arial" w:cs="Arial"/>
      <w:sz w:val="18"/>
      <w:szCs w:val="18"/>
    </w:rPr>
  </w:style>
  <w:style w:type="paragraph" w:customStyle="1" w:styleId="xl169">
    <w:name w:val="xl169"/>
    <w:basedOn w:val="Normlny"/>
    <w:rsid w:val="00BB33FC"/>
    <w:pPr>
      <w:pBdr>
        <w:top w:val="single" w:sz="4" w:space="0" w:color="A6A6A6"/>
        <w:left w:val="single" w:sz="4" w:space="0" w:color="A6A6A6"/>
        <w:bottom w:val="single" w:sz="8" w:space="0" w:color="E26B0A"/>
        <w:right w:val="single" w:sz="4" w:space="0" w:color="A6A6A6"/>
      </w:pBdr>
      <w:shd w:val="clear" w:color="000000" w:fill="FDE9D9"/>
      <w:spacing w:before="100" w:beforeAutospacing="1" w:after="100" w:afterAutospacing="1"/>
      <w:jc w:val="right"/>
    </w:pPr>
    <w:rPr>
      <w:rFonts w:ascii="Arial" w:hAnsi="Arial" w:cs="Arial"/>
      <w:sz w:val="18"/>
      <w:szCs w:val="18"/>
    </w:rPr>
  </w:style>
  <w:style w:type="paragraph" w:customStyle="1" w:styleId="xl170">
    <w:name w:val="xl170"/>
    <w:basedOn w:val="Normlny"/>
    <w:rsid w:val="00BB33FC"/>
    <w:pPr>
      <w:pBdr>
        <w:top w:val="single" w:sz="4" w:space="0" w:color="A6A6A6"/>
        <w:bottom w:val="single" w:sz="8" w:space="0" w:color="E26B0A"/>
        <w:right w:val="single" w:sz="4" w:space="0" w:color="A6A6A6"/>
      </w:pBdr>
      <w:shd w:val="clear" w:color="000000" w:fill="FCD5B4"/>
      <w:spacing w:before="100" w:beforeAutospacing="1" w:after="100" w:afterAutospacing="1"/>
      <w:jc w:val="right"/>
    </w:pPr>
    <w:rPr>
      <w:rFonts w:ascii="Arial" w:hAnsi="Arial" w:cs="Arial"/>
      <w:sz w:val="18"/>
      <w:szCs w:val="18"/>
    </w:rPr>
  </w:style>
  <w:style w:type="paragraph" w:customStyle="1" w:styleId="xl171">
    <w:name w:val="xl171"/>
    <w:basedOn w:val="Normlny"/>
    <w:rsid w:val="00BB33FC"/>
    <w:pPr>
      <w:pBdr>
        <w:top w:val="single" w:sz="4" w:space="0" w:color="A6A6A6"/>
        <w:right w:val="single" w:sz="4" w:space="0" w:color="A6A6A6"/>
      </w:pBdr>
      <w:shd w:val="clear" w:color="000000" w:fill="FDE9D9"/>
      <w:spacing w:before="100" w:beforeAutospacing="1" w:after="100" w:afterAutospacing="1"/>
    </w:pPr>
    <w:rPr>
      <w:rFonts w:ascii="Arial" w:hAnsi="Arial" w:cs="Arial"/>
      <w:sz w:val="18"/>
      <w:szCs w:val="18"/>
    </w:rPr>
  </w:style>
  <w:style w:type="paragraph" w:customStyle="1" w:styleId="xl172">
    <w:name w:val="xl172"/>
    <w:basedOn w:val="Normlny"/>
    <w:rsid w:val="00BB33FC"/>
    <w:pPr>
      <w:pBdr>
        <w:bottom w:val="single" w:sz="8" w:space="0" w:color="E26B0A"/>
        <w:right w:val="single" w:sz="4" w:space="0" w:color="A6A6A6"/>
      </w:pBdr>
      <w:shd w:val="clear" w:color="000000" w:fill="FCD5B4"/>
      <w:spacing w:before="100" w:beforeAutospacing="1" w:after="100" w:afterAutospacing="1"/>
    </w:pPr>
    <w:rPr>
      <w:rFonts w:ascii="Arial" w:hAnsi="Arial" w:cs="Arial"/>
      <w:sz w:val="18"/>
      <w:szCs w:val="18"/>
    </w:rPr>
  </w:style>
  <w:style w:type="paragraph" w:customStyle="1" w:styleId="xl173">
    <w:name w:val="xl173"/>
    <w:basedOn w:val="Normlny"/>
    <w:rsid w:val="00BB33FC"/>
    <w:pPr>
      <w:pBdr>
        <w:right w:val="single" w:sz="4" w:space="0" w:color="A6A6A6"/>
      </w:pBdr>
      <w:shd w:val="clear" w:color="000000" w:fill="FCD5B4"/>
      <w:spacing w:before="100" w:beforeAutospacing="1" w:after="100" w:afterAutospacing="1"/>
    </w:pPr>
    <w:rPr>
      <w:rFonts w:ascii="Arial" w:hAnsi="Arial" w:cs="Arial"/>
      <w:sz w:val="18"/>
      <w:szCs w:val="18"/>
    </w:rPr>
  </w:style>
  <w:style w:type="paragraph" w:customStyle="1" w:styleId="xl174">
    <w:name w:val="xl174"/>
    <w:basedOn w:val="Normlny"/>
    <w:rsid w:val="00BB33FC"/>
    <w:pPr>
      <w:pBdr>
        <w:top w:val="single" w:sz="4" w:space="0" w:color="A6A6A6"/>
        <w:right w:val="single" w:sz="4" w:space="0" w:color="A6A6A6"/>
      </w:pBdr>
      <w:shd w:val="clear" w:color="000000" w:fill="FCD5B4"/>
      <w:spacing w:before="100" w:beforeAutospacing="1" w:after="100" w:afterAutospacing="1"/>
    </w:pPr>
    <w:rPr>
      <w:rFonts w:ascii="Arial" w:hAnsi="Arial" w:cs="Arial"/>
      <w:sz w:val="18"/>
      <w:szCs w:val="18"/>
    </w:rPr>
  </w:style>
  <w:style w:type="paragraph" w:customStyle="1" w:styleId="xl175">
    <w:name w:val="xl175"/>
    <w:basedOn w:val="Normlny"/>
    <w:rsid w:val="00BB33FC"/>
    <w:pPr>
      <w:pBdr>
        <w:bottom w:val="single" w:sz="8" w:space="0" w:color="E26B0A"/>
        <w:right w:val="single" w:sz="4" w:space="0" w:color="A6A6A6"/>
      </w:pBdr>
      <w:shd w:val="clear" w:color="000000" w:fill="FDE9D9"/>
      <w:spacing w:before="100" w:beforeAutospacing="1" w:after="100" w:afterAutospacing="1"/>
    </w:pPr>
    <w:rPr>
      <w:rFonts w:ascii="Arial" w:hAnsi="Arial" w:cs="Arial"/>
      <w:sz w:val="18"/>
      <w:szCs w:val="18"/>
    </w:rPr>
  </w:style>
  <w:style w:type="paragraph" w:customStyle="1" w:styleId="xl176">
    <w:name w:val="xl176"/>
    <w:basedOn w:val="Normlny"/>
    <w:rsid w:val="00BB33FC"/>
    <w:pPr>
      <w:pBdr>
        <w:right w:val="single" w:sz="4" w:space="0" w:color="A6A6A6"/>
      </w:pBdr>
      <w:shd w:val="clear" w:color="000000" w:fill="FDE9D9"/>
      <w:spacing w:before="100" w:beforeAutospacing="1" w:after="100" w:afterAutospacing="1"/>
    </w:pPr>
    <w:rPr>
      <w:rFonts w:ascii="Arial" w:hAnsi="Arial" w:cs="Arial"/>
      <w:sz w:val="18"/>
      <w:szCs w:val="18"/>
    </w:rPr>
  </w:style>
  <w:style w:type="paragraph" w:customStyle="1" w:styleId="xl177">
    <w:name w:val="xl177"/>
    <w:basedOn w:val="Normlny"/>
    <w:rsid w:val="00BB33FC"/>
    <w:pPr>
      <w:pBdr>
        <w:top w:val="single" w:sz="4" w:space="0" w:color="A6A6A6"/>
        <w:bottom w:val="single" w:sz="4" w:space="0" w:color="A6A6A6"/>
        <w:right w:val="single" w:sz="4" w:space="0" w:color="A6A6A6"/>
      </w:pBdr>
      <w:shd w:val="clear" w:color="000000" w:fill="FCD5B4"/>
      <w:spacing w:before="100" w:beforeAutospacing="1" w:after="100" w:afterAutospacing="1"/>
    </w:pPr>
    <w:rPr>
      <w:rFonts w:ascii="Arial" w:hAnsi="Arial" w:cs="Arial"/>
      <w:sz w:val="18"/>
      <w:szCs w:val="18"/>
    </w:rPr>
  </w:style>
  <w:style w:type="paragraph" w:customStyle="1" w:styleId="xl178">
    <w:name w:val="xl178"/>
    <w:basedOn w:val="Normlny"/>
    <w:rsid w:val="00BB33FC"/>
    <w:pPr>
      <w:pBdr>
        <w:top w:val="single" w:sz="8" w:space="0" w:color="E26B0A"/>
        <w:bottom w:val="single" w:sz="8" w:space="0" w:color="E26B0A"/>
        <w:right w:val="single" w:sz="4" w:space="0" w:color="A6A6A6"/>
      </w:pBdr>
      <w:spacing w:before="100" w:beforeAutospacing="1" w:after="100" w:afterAutospacing="1"/>
      <w:jc w:val="center"/>
    </w:pPr>
    <w:rPr>
      <w:rFonts w:ascii="Arial" w:hAnsi="Arial" w:cs="Arial"/>
      <w:b/>
      <w:bCs/>
      <w:sz w:val="18"/>
      <w:szCs w:val="18"/>
    </w:rPr>
  </w:style>
  <w:style w:type="paragraph" w:customStyle="1" w:styleId="xl179">
    <w:name w:val="xl179"/>
    <w:basedOn w:val="Normlny"/>
    <w:rsid w:val="00BB33FC"/>
    <w:pPr>
      <w:spacing w:before="100" w:beforeAutospacing="1" w:after="100" w:afterAutospacing="1"/>
    </w:pPr>
  </w:style>
  <w:style w:type="paragraph" w:customStyle="1" w:styleId="xl180">
    <w:name w:val="xl180"/>
    <w:basedOn w:val="Normlny"/>
    <w:rsid w:val="00BB33FC"/>
    <w:pPr>
      <w:shd w:val="clear" w:color="000000" w:fill="FFFFFF"/>
      <w:spacing w:before="100" w:beforeAutospacing="1" w:after="100" w:afterAutospacing="1"/>
      <w:textAlignment w:val="top"/>
    </w:pPr>
    <w:rPr>
      <w:rFonts w:ascii="Arial" w:hAnsi="Arial" w:cs="Arial"/>
      <w:sz w:val="20"/>
      <w:szCs w:val="20"/>
    </w:rPr>
  </w:style>
  <w:style w:type="paragraph" w:customStyle="1" w:styleId="xl181">
    <w:name w:val="xl181"/>
    <w:basedOn w:val="Normlny"/>
    <w:rsid w:val="00BB33FC"/>
    <w:pPr>
      <w:shd w:val="clear" w:color="000000" w:fill="FCD5B4"/>
      <w:spacing w:before="100" w:beforeAutospacing="1" w:after="100" w:afterAutospacing="1"/>
    </w:pPr>
    <w:rPr>
      <w:rFonts w:ascii="Arial" w:hAnsi="Arial" w:cs="Arial"/>
      <w:sz w:val="18"/>
      <w:szCs w:val="18"/>
    </w:rPr>
  </w:style>
  <w:style w:type="paragraph" w:customStyle="1" w:styleId="xl182">
    <w:name w:val="xl182"/>
    <w:basedOn w:val="Normlny"/>
    <w:rsid w:val="00BB33FC"/>
    <w:pPr>
      <w:pBdr>
        <w:top w:val="single" w:sz="8" w:space="0" w:color="E26B0A"/>
      </w:pBdr>
      <w:spacing w:before="100" w:beforeAutospacing="1" w:after="100" w:afterAutospacing="1"/>
    </w:pPr>
    <w:rPr>
      <w:rFonts w:ascii="Arial" w:hAnsi="Arial" w:cs="Arial"/>
      <w:b/>
      <w:bCs/>
      <w:sz w:val="20"/>
      <w:szCs w:val="20"/>
    </w:rPr>
  </w:style>
  <w:style w:type="paragraph" w:customStyle="1" w:styleId="xl183">
    <w:name w:val="xl183"/>
    <w:basedOn w:val="Normlny"/>
    <w:rsid w:val="00BB33FC"/>
    <w:pPr>
      <w:pBdr>
        <w:top w:val="single" w:sz="4" w:space="0" w:color="A6A6A6"/>
        <w:bottom w:val="single" w:sz="4" w:space="0" w:color="A6A6A6"/>
        <w:right w:val="single" w:sz="4" w:space="0" w:color="A6A6A6"/>
      </w:pBdr>
      <w:shd w:val="clear" w:color="000000" w:fill="FCD5B4"/>
      <w:spacing w:before="100" w:beforeAutospacing="1" w:after="100" w:afterAutospacing="1"/>
    </w:pPr>
    <w:rPr>
      <w:rFonts w:ascii="Arial" w:hAnsi="Arial" w:cs="Arial"/>
      <w:sz w:val="20"/>
      <w:szCs w:val="20"/>
    </w:rPr>
  </w:style>
  <w:style w:type="paragraph" w:customStyle="1" w:styleId="xl184">
    <w:name w:val="xl184"/>
    <w:basedOn w:val="Normlny"/>
    <w:rsid w:val="00BB33FC"/>
    <w:pPr>
      <w:pBdr>
        <w:right w:val="single" w:sz="4" w:space="0" w:color="A6A6A6"/>
      </w:pBdr>
      <w:shd w:val="clear" w:color="000000" w:fill="FDE9D9"/>
      <w:spacing w:before="100" w:beforeAutospacing="1" w:after="100" w:afterAutospacing="1"/>
    </w:pPr>
    <w:rPr>
      <w:rFonts w:ascii="Arial" w:hAnsi="Arial" w:cs="Arial"/>
      <w:sz w:val="20"/>
      <w:szCs w:val="20"/>
    </w:rPr>
  </w:style>
  <w:style w:type="paragraph" w:customStyle="1" w:styleId="xl185">
    <w:name w:val="xl185"/>
    <w:basedOn w:val="Normlny"/>
    <w:rsid w:val="00BB33FC"/>
    <w:pPr>
      <w:pBdr>
        <w:bottom w:val="single" w:sz="8" w:space="0" w:color="E26B0A"/>
        <w:right w:val="single" w:sz="4" w:space="0" w:color="A6A6A6"/>
      </w:pBdr>
      <w:shd w:val="clear" w:color="000000" w:fill="FDE9D9"/>
      <w:spacing w:before="100" w:beforeAutospacing="1" w:after="100" w:afterAutospacing="1"/>
    </w:pPr>
    <w:rPr>
      <w:rFonts w:ascii="Arial" w:hAnsi="Arial" w:cs="Arial"/>
      <w:color w:val="A6A6A6"/>
      <w:sz w:val="16"/>
      <w:szCs w:val="16"/>
    </w:rPr>
  </w:style>
  <w:style w:type="paragraph" w:customStyle="1" w:styleId="xl186">
    <w:name w:val="xl186"/>
    <w:basedOn w:val="Normlny"/>
    <w:rsid w:val="00BB33FC"/>
    <w:pPr>
      <w:pBdr>
        <w:right w:val="single" w:sz="4" w:space="0" w:color="A6A6A6"/>
      </w:pBdr>
      <w:shd w:val="clear" w:color="000000" w:fill="FCD5B4"/>
      <w:spacing w:before="100" w:beforeAutospacing="1" w:after="100" w:afterAutospacing="1"/>
    </w:pPr>
    <w:rPr>
      <w:rFonts w:ascii="Arial" w:hAnsi="Arial" w:cs="Arial"/>
      <w:sz w:val="20"/>
      <w:szCs w:val="20"/>
    </w:rPr>
  </w:style>
  <w:style w:type="paragraph" w:customStyle="1" w:styleId="xl187">
    <w:name w:val="xl187"/>
    <w:basedOn w:val="Normlny"/>
    <w:rsid w:val="00BB33FC"/>
    <w:pPr>
      <w:pBdr>
        <w:right w:val="single" w:sz="4" w:space="0" w:color="A6A6A6"/>
      </w:pBdr>
      <w:shd w:val="clear" w:color="000000" w:fill="FDE9D9"/>
      <w:spacing w:before="100" w:beforeAutospacing="1" w:after="100" w:afterAutospacing="1"/>
    </w:pPr>
    <w:rPr>
      <w:rFonts w:ascii="Arial" w:hAnsi="Arial" w:cs="Arial"/>
      <w:sz w:val="20"/>
      <w:szCs w:val="20"/>
    </w:rPr>
  </w:style>
  <w:style w:type="paragraph" w:customStyle="1" w:styleId="xl188">
    <w:name w:val="xl188"/>
    <w:basedOn w:val="Normlny"/>
    <w:rsid w:val="00BB33FC"/>
    <w:pPr>
      <w:pBdr>
        <w:right w:val="single" w:sz="4" w:space="0" w:color="A6A6A6"/>
      </w:pBdr>
      <w:shd w:val="clear" w:color="000000" w:fill="FDE9D9"/>
      <w:spacing w:before="100" w:beforeAutospacing="1" w:after="100" w:afterAutospacing="1"/>
    </w:pPr>
    <w:rPr>
      <w:rFonts w:ascii="Arial" w:hAnsi="Arial" w:cs="Arial"/>
      <w:sz w:val="20"/>
      <w:szCs w:val="20"/>
    </w:rPr>
  </w:style>
  <w:style w:type="paragraph" w:customStyle="1" w:styleId="xl189">
    <w:name w:val="xl189"/>
    <w:basedOn w:val="Normlny"/>
    <w:rsid w:val="00BB33FC"/>
    <w:pPr>
      <w:pBdr>
        <w:right w:val="single" w:sz="4" w:space="0" w:color="A6A6A6"/>
      </w:pBdr>
      <w:shd w:val="clear" w:color="000000" w:fill="FDE9D9"/>
      <w:spacing w:before="100" w:beforeAutospacing="1" w:after="100" w:afterAutospacing="1"/>
      <w:jc w:val="right"/>
    </w:pPr>
    <w:rPr>
      <w:rFonts w:ascii="Arial" w:hAnsi="Arial" w:cs="Arial"/>
      <w:color w:val="A6A6A6"/>
      <w:sz w:val="16"/>
      <w:szCs w:val="16"/>
    </w:rPr>
  </w:style>
  <w:style w:type="paragraph" w:customStyle="1" w:styleId="xl190">
    <w:name w:val="xl190"/>
    <w:basedOn w:val="Normlny"/>
    <w:rsid w:val="00BB33FC"/>
    <w:pPr>
      <w:pBdr>
        <w:bottom w:val="single" w:sz="8" w:space="0" w:color="E26B0A"/>
        <w:right w:val="single" w:sz="4" w:space="0" w:color="A6A6A6"/>
      </w:pBdr>
      <w:shd w:val="clear" w:color="000000" w:fill="FCD5B4"/>
      <w:spacing w:before="100" w:beforeAutospacing="1" w:after="100" w:afterAutospacing="1"/>
    </w:pPr>
    <w:rPr>
      <w:rFonts w:ascii="Arial" w:hAnsi="Arial" w:cs="Arial"/>
      <w:sz w:val="18"/>
      <w:szCs w:val="18"/>
    </w:rPr>
  </w:style>
  <w:style w:type="paragraph" w:customStyle="1" w:styleId="xl191">
    <w:name w:val="xl191"/>
    <w:basedOn w:val="Normlny"/>
    <w:rsid w:val="00BB33FC"/>
    <w:pPr>
      <w:pBdr>
        <w:top w:val="single" w:sz="4" w:space="0" w:color="A6A6A6"/>
        <w:right w:val="single" w:sz="4" w:space="0" w:color="A6A6A6"/>
      </w:pBdr>
      <w:shd w:val="clear" w:color="000000" w:fill="FCD5B4"/>
      <w:spacing w:before="100" w:beforeAutospacing="1" w:after="100" w:afterAutospacing="1"/>
    </w:pPr>
    <w:rPr>
      <w:rFonts w:ascii="Arial" w:hAnsi="Arial" w:cs="Arial"/>
      <w:sz w:val="20"/>
      <w:szCs w:val="20"/>
    </w:rPr>
  </w:style>
  <w:style w:type="paragraph" w:customStyle="1" w:styleId="xl192">
    <w:name w:val="xl192"/>
    <w:basedOn w:val="Normlny"/>
    <w:rsid w:val="00BB33FC"/>
    <w:pPr>
      <w:pBdr>
        <w:top w:val="single" w:sz="4" w:space="0" w:color="A6A6A6"/>
        <w:right w:val="single" w:sz="4" w:space="0" w:color="A6A6A6"/>
      </w:pBdr>
      <w:shd w:val="clear" w:color="000000" w:fill="FDE9D9"/>
      <w:spacing w:before="100" w:beforeAutospacing="1" w:after="100" w:afterAutospacing="1"/>
      <w:textAlignment w:val="top"/>
    </w:pPr>
    <w:rPr>
      <w:rFonts w:ascii="Arial" w:hAnsi="Arial" w:cs="Arial"/>
      <w:sz w:val="20"/>
      <w:szCs w:val="20"/>
    </w:rPr>
  </w:style>
  <w:style w:type="paragraph" w:customStyle="1" w:styleId="xl193">
    <w:name w:val="xl193"/>
    <w:basedOn w:val="Normlny"/>
    <w:rsid w:val="00BB33FC"/>
    <w:pPr>
      <w:shd w:val="clear" w:color="000000" w:fill="FFCC99"/>
      <w:spacing w:before="100" w:beforeAutospacing="1" w:after="100" w:afterAutospacing="1"/>
      <w:jc w:val="right"/>
    </w:pPr>
    <w:rPr>
      <w:rFonts w:ascii="Arial" w:hAnsi="Arial" w:cs="Arial"/>
      <w:b/>
      <w:bCs/>
      <w:sz w:val="18"/>
      <w:szCs w:val="18"/>
    </w:rPr>
  </w:style>
  <w:style w:type="paragraph" w:customStyle="1" w:styleId="xl194">
    <w:name w:val="xl194"/>
    <w:basedOn w:val="Normlny"/>
    <w:rsid w:val="00BB33FC"/>
    <w:pPr>
      <w:pBdr>
        <w:top w:val="single" w:sz="8" w:space="0" w:color="E26B0A"/>
        <w:bottom w:val="single" w:sz="8" w:space="0" w:color="E26B0A"/>
        <w:right w:val="single" w:sz="4" w:space="0" w:color="A6A6A6"/>
      </w:pBdr>
      <w:spacing w:before="100" w:beforeAutospacing="1" w:after="100" w:afterAutospacing="1"/>
      <w:jc w:val="center"/>
    </w:pPr>
    <w:rPr>
      <w:rFonts w:ascii="Arial" w:hAnsi="Arial" w:cs="Arial"/>
      <w:b/>
      <w:bCs/>
      <w:sz w:val="18"/>
      <w:szCs w:val="18"/>
    </w:rPr>
  </w:style>
  <w:style w:type="paragraph" w:customStyle="1" w:styleId="xl195">
    <w:name w:val="xl195"/>
    <w:basedOn w:val="Normlny"/>
    <w:rsid w:val="00BB33FC"/>
    <w:pPr>
      <w:pBdr>
        <w:top w:val="single" w:sz="8" w:space="0" w:color="E26B0A"/>
        <w:right w:val="single" w:sz="8" w:space="0" w:color="E26B0A"/>
      </w:pBdr>
      <w:spacing w:before="100" w:beforeAutospacing="1" w:after="100" w:afterAutospacing="1"/>
    </w:pPr>
    <w:rPr>
      <w:rFonts w:ascii="Arial" w:hAnsi="Arial" w:cs="Arial"/>
      <w:b/>
      <w:bCs/>
      <w:sz w:val="18"/>
      <w:szCs w:val="18"/>
    </w:rPr>
  </w:style>
  <w:style w:type="paragraph" w:customStyle="1" w:styleId="xl196">
    <w:name w:val="xl196"/>
    <w:basedOn w:val="Normlny"/>
    <w:rsid w:val="00BB33FC"/>
    <w:pPr>
      <w:pBdr>
        <w:top w:val="single" w:sz="4" w:space="0" w:color="A6A6A6"/>
        <w:bottom w:val="single" w:sz="4" w:space="0" w:color="A6A6A6"/>
        <w:right w:val="single" w:sz="4" w:space="0" w:color="A6A6A6"/>
      </w:pBdr>
      <w:shd w:val="clear" w:color="000000" w:fill="FCD5B4"/>
      <w:spacing w:before="100" w:beforeAutospacing="1" w:after="100" w:afterAutospacing="1"/>
      <w:jc w:val="right"/>
    </w:pPr>
    <w:rPr>
      <w:rFonts w:ascii="Arial" w:hAnsi="Arial" w:cs="Arial"/>
      <w:sz w:val="18"/>
      <w:szCs w:val="18"/>
    </w:rPr>
  </w:style>
  <w:style w:type="paragraph" w:customStyle="1" w:styleId="xl197">
    <w:name w:val="xl197"/>
    <w:basedOn w:val="Normlny"/>
    <w:rsid w:val="00BB33FC"/>
    <w:pPr>
      <w:pBdr>
        <w:right w:val="single" w:sz="4" w:space="0" w:color="A6A6A6"/>
      </w:pBdr>
      <w:shd w:val="clear" w:color="000000" w:fill="FDE9D9"/>
      <w:spacing w:before="100" w:beforeAutospacing="1" w:after="100" w:afterAutospacing="1"/>
      <w:jc w:val="right"/>
    </w:pPr>
    <w:rPr>
      <w:rFonts w:ascii="Arial" w:hAnsi="Arial" w:cs="Arial"/>
      <w:sz w:val="18"/>
      <w:szCs w:val="18"/>
    </w:rPr>
  </w:style>
  <w:style w:type="paragraph" w:customStyle="1" w:styleId="xl198">
    <w:name w:val="xl198"/>
    <w:basedOn w:val="Normlny"/>
    <w:rsid w:val="00BB33FC"/>
    <w:pPr>
      <w:pBdr>
        <w:bottom w:val="single" w:sz="8" w:space="0" w:color="E26B0A"/>
        <w:right w:val="single" w:sz="4" w:space="0" w:color="A6A6A6"/>
      </w:pBdr>
      <w:shd w:val="clear" w:color="000000" w:fill="FDE9D9"/>
      <w:spacing w:before="100" w:beforeAutospacing="1" w:after="100" w:afterAutospacing="1"/>
      <w:jc w:val="right"/>
    </w:pPr>
    <w:rPr>
      <w:rFonts w:ascii="Arial" w:hAnsi="Arial" w:cs="Arial"/>
      <w:sz w:val="18"/>
      <w:szCs w:val="18"/>
    </w:rPr>
  </w:style>
  <w:style w:type="paragraph" w:customStyle="1" w:styleId="xl199">
    <w:name w:val="xl199"/>
    <w:basedOn w:val="Normlny"/>
    <w:rsid w:val="00BB33FC"/>
    <w:pPr>
      <w:pBdr>
        <w:top w:val="single" w:sz="4" w:space="0" w:color="A6A6A6"/>
        <w:right w:val="single" w:sz="4" w:space="0" w:color="A6A6A6"/>
      </w:pBdr>
      <w:shd w:val="clear" w:color="000000" w:fill="FCD5B4"/>
      <w:spacing w:before="100" w:beforeAutospacing="1" w:after="100" w:afterAutospacing="1"/>
      <w:jc w:val="right"/>
    </w:pPr>
    <w:rPr>
      <w:rFonts w:ascii="Arial" w:hAnsi="Arial" w:cs="Arial"/>
      <w:sz w:val="18"/>
      <w:szCs w:val="18"/>
    </w:rPr>
  </w:style>
  <w:style w:type="paragraph" w:customStyle="1" w:styleId="xl200">
    <w:name w:val="xl200"/>
    <w:basedOn w:val="Normlny"/>
    <w:rsid w:val="00BB33FC"/>
    <w:pPr>
      <w:pBdr>
        <w:right w:val="single" w:sz="4" w:space="0" w:color="A6A6A6"/>
      </w:pBdr>
      <w:shd w:val="clear" w:color="000000" w:fill="FCD5B4"/>
      <w:spacing w:before="100" w:beforeAutospacing="1" w:after="100" w:afterAutospacing="1"/>
      <w:jc w:val="right"/>
    </w:pPr>
    <w:rPr>
      <w:rFonts w:ascii="Arial" w:hAnsi="Arial" w:cs="Arial"/>
      <w:sz w:val="18"/>
      <w:szCs w:val="18"/>
    </w:rPr>
  </w:style>
  <w:style w:type="paragraph" w:customStyle="1" w:styleId="xl201">
    <w:name w:val="xl201"/>
    <w:basedOn w:val="Normlny"/>
    <w:rsid w:val="00BB33FC"/>
    <w:pPr>
      <w:pBdr>
        <w:right w:val="single" w:sz="4" w:space="0" w:color="A6A6A6"/>
      </w:pBdr>
      <w:shd w:val="clear" w:color="000000" w:fill="FDE9D9"/>
      <w:spacing w:before="100" w:beforeAutospacing="1" w:after="100" w:afterAutospacing="1"/>
      <w:jc w:val="right"/>
    </w:pPr>
    <w:rPr>
      <w:rFonts w:ascii="Arial" w:hAnsi="Arial" w:cs="Arial"/>
      <w:sz w:val="18"/>
      <w:szCs w:val="18"/>
    </w:rPr>
  </w:style>
  <w:style w:type="paragraph" w:customStyle="1" w:styleId="xl202">
    <w:name w:val="xl202"/>
    <w:basedOn w:val="Normlny"/>
    <w:rsid w:val="00BB33FC"/>
    <w:pPr>
      <w:pBdr>
        <w:bottom w:val="single" w:sz="8" w:space="0" w:color="E26B0A"/>
        <w:right w:val="single" w:sz="4" w:space="0" w:color="A6A6A6"/>
      </w:pBdr>
      <w:shd w:val="clear" w:color="000000" w:fill="FDE9D9"/>
      <w:spacing w:before="100" w:beforeAutospacing="1" w:after="100" w:afterAutospacing="1"/>
      <w:jc w:val="right"/>
    </w:pPr>
    <w:rPr>
      <w:rFonts w:ascii="Arial" w:hAnsi="Arial" w:cs="Arial"/>
      <w:sz w:val="18"/>
      <w:szCs w:val="18"/>
    </w:rPr>
  </w:style>
  <w:style w:type="paragraph" w:customStyle="1" w:styleId="xl203">
    <w:name w:val="xl203"/>
    <w:basedOn w:val="Normlny"/>
    <w:rsid w:val="00BB33FC"/>
    <w:pPr>
      <w:pBdr>
        <w:top w:val="single" w:sz="4" w:space="0" w:color="A6A6A6"/>
        <w:bottom w:val="single" w:sz="4" w:space="0" w:color="A6A6A6"/>
        <w:right w:val="single" w:sz="4" w:space="0" w:color="A6A6A6"/>
      </w:pBdr>
      <w:shd w:val="clear" w:color="000000" w:fill="FCD5B4"/>
      <w:spacing w:before="100" w:beforeAutospacing="1" w:after="100" w:afterAutospacing="1"/>
      <w:jc w:val="right"/>
    </w:pPr>
    <w:rPr>
      <w:rFonts w:ascii="Arial" w:hAnsi="Arial" w:cs="Arial"/>
      <w:sz w:val="18"/>
      <w:szCs w:val="18"/>
    </w:rPr>
  </w:style>
  <w:style w:type="paragraph" w:customStyle="1" w:styleId="xl204">
    <w:name w:val="xl204"/>
    <w:basedOn w:val="Normlny"/>
    <w:rsid w:val="00BB33FC"/>
    <w:pPr>
      <w:pBdr>
        <w:bottom w:val="single" w:sz="8" w:space="0" w:color="E26B0A"/>
        <w:right w:val="single" w:sz="4" w:space="0" w:color="A6A6A6"/>
      </w:pBdr>
      <w:shd w:val="clear" w:color="000000" w:fill="FCD5B4"/>
      <w:spacing w:before="100" w:beforeAutospacing="1" w:after="100" w:afterAutospacing="1"/>
      <w:jc w:val="right"/>
    </w:pPr>
    <w:rPr>
      <w:rFonts w:ascii="Arial" w:hAnsi="Arial" w:cs="Arial"/>
      <w:sz w:val="18"/>
      <w:szCs w:val="18"/>
    </w:rPr>
  </w:style>
  <w:style w:type="paragraph" w:customStyle="1" w:styleId="xl205">
    <w:name w:val="xl205"/>
    <w:basedOn w:val="Normlny"/>
    <w:rsid w:val="00BB33FC"/>
    <w:pPr>
      <w:pBdr>
        <w:top w:val="single" w:sz="4" w:space="0" w:color="A6A6A6"/>
        <w:right w:val="single" w:sz="4" w:space="0" w:color="A6A6A6"/>
      </w:pBdr>
      <w:shd w:val="clear" w:color="000000" w:fill="FDE9D9"/>
      <w:spacing w:before="100" w:beforeAutospacing="1" w:after="100" w:afterAutospacing="1"/>
      <w:jc w:val="right"/>
    </w:pPr>
    <w:rPr>
      <w:rFonts w:ascii="Arial" w:hAnsi="Arial" w:cs="Arial"/>
      <w:sz w:val="18"/>
      <w:szCs w:val="18"/>
    </w:rPr>
  </w:style>
  <w:style w:type="paragraph" w:customStyle="1" w:styleId="xl206">
    <w:name w:val="xl206"/>
    <w:basedOn w:val="Normlny"/>
    <w:rsid w:val="00BB33FC"/>
    <w:pPr>
      <w:pBdr>
        <w:bottom w:val="single" w:sz="4" w:space="0" w:color="A6A6A6"/>
        <w:right w:val="single" w:sz="4" w:space="0" w:color="A6A6A6"/>
      </w:pBdr>
      <w:shd w:val="clear" w:color="000000" w:fill="FDE9D9"/>
      <w:spacing w:before="100" w:beforeAutospacing="1" w:after="100" w:afterAutospacing="1"/>
      <w:jc w:val="right"/>
    </w:pPr>
    <w:rPr>
      <w:rFonts w:ascii="Arial" w:hAnsi="Arial" w:cs="Arial"/>
      <w:sz w:val="18"/>
      <w:szCs w:val="18"/>
    </w:rPr>
  </w:style>
  <w:style w:type="paragraph" w:customStyle="1" w:styleId="xl207">
    <w:name w:val="xl207"/>
    <w:basedOn w:val="Normlny"/>
    <w:rsid w:val="00BB33FC"/>
    <w:pPr>
      <w:pBdr>
        <w:right w:val="single" w:sz="4" w:space="0" w:color="A6A6A6"/>
      </w:pBdr>
      <w:shd w:val="clear" w:color="000000" w:fill="FCD5B4"/>
      <w:spacing w:before="100" w:beforeAutospacing="1" w:after="100" w:afterAutospacing="1"/>
      <w:jc w:val="right"/>
    </w:pPr>
    <w:rPr>
      <w:rFonts w:ascii="Arial" w:hAnsi="Arial" w:cs="Arial"/>
      <w:sz w:val="18"/>
      <w:szCs w:val="18"/>
    </w:rPr>
  </w:style>
  <w:style w:type="paragraph" w:customStyle="1" w:styleId="xl208">
    <w:name w:val="xl208"/>
    <w:basedOn w:val="Normlny"/>
    <w:rsid w:val="00BB33FC"/>
    <w:pPr>
      <w:pBdr>
        <w:bottom w:val="single" w:sz="8" w:space="0" w:color="E26B0A"/>
        <w:right w:val="single" w:sz="4" w:space="0" w:color="A6A6A6"/>
      </w:pBdr>
      <w:shd w:val="clear" w:color="000000" w:fill="FCD5B4"/>
      <w:spacing w:before="100" w:beforeAutospacing="1" w:after="100" w:afterAutospacing="1"/>
      <w:jc w:val="right"/>
    </w:pPr>
    <w:rPr>
      <w:rFonts w:ascii="Arial" w:hAnsi="Arial" w:cs="Arial"/>
      <w:sz w:val="18"/>
      <w:szCs w:val="18"/>
    </w:rPr>
  </w:style>
  <w:style w:type="paragraph" w:customStyle="1" w:styleId="xl209">
    <w:name w:val="xl209"/>
    <w:basedOn w:val="Normlny"/>
    <w:rsid w:val="00BB33FC"/>
    <w:pPr>
      <w:pBdr>
        <w:right w:val="single" w:sz="4" w:space="0" w:color="A6A6A6"/>
      </w:pBdr>
      <w:shd w:val="clear" w:color="000000" w:fill="FDE9D9"/>
      <w:spacing w:before="100" w:beforeAutospacing="1" w:after="100" w:afterAutospacing="1"/>
      <w:jc w:val="right"/>
    </w:pPr>
    <w:rPr>
      <w:rFonts w:ascii="Arial" w:hAnsi="Arial" w:cs="Arial"/>
      <w:sz w:val="18"/>
      <w:szCs w:val="18"/>
    </w:rPr>
  </w:style>
  <w:style w:type="paragraph" w:customStyle="1" w:styleId="xl210">
    <w:name w:val="xl210"/>
    <w:basedOn w:val="Normlny"/>
    <w:rsid w:val="00BB33FC"/>
    <w:pPr>
      <w:pBdr>
        <w:bottom w:val="single" w:sz="8" w:space="0" w:color="E26B0A"/>
        <w:right w:val="single" w:sz="4" w:space="0" w:color="A6A6A6"/>
      </w:pBdr>
      <w:shd w:val="clear" w:color="000000" w:fill="FDE9D9"/>
      <w:spacing w:before="100" w:beforeAutospacing="1" w:after="100" w:afterAutospacing="1"/>
      <w:jc w:val="right"/>
    </w:pPr>
    <w:rPr>
      <w:rFonts w:ascii="Arial" w:hAnsi="Arial" w:cs="Arial"/>
      <w:sz w:val="18"/>
      <w:szCs w:val="18"/>
    </w:rPr>
  </w:style>
  <w:style w:type="paragraph" w:customStyle="1" w:styleId="xl211">
    <w:name w:val="xl211"/>
    <w:basedOn w:val="Normlny"/>
    <w:rsid w:val="00BB33FC"/>
    <w:pPr>
      <w:shd w:val="clear" w:color="000000" w:fill="FDE9D9"/>
      <w:spacing w:before="100" w:beforeAutospacing="1" w:after="100" w:afterAutospacing="1"/>
    </w:pPr>
    <w:rPr>
      <w:rFonts w:ascii="Arial" w:hAnsi="Arial" w:cs="Arial"/>
      <w:sz w:val="18"/>
      <w:szCs w:val="18"/>
    </w:rPr>
  </w:style>
  <w:style w:type="paragraph" w:customStyle="1" w:styleId="xl212">
    <w:name w:val="xl212"/>
    <w:basedOn w:val="Normlny"/>
    <w:rsid w:val="00BB33FC"/>
    <w:pPr>
      <w:pBdr>
        <w:right w:val="single" w:sz="4" w:space="0" w:color="A6A6A6"/>
      </w:pBdr>
      <w:shd w:val="clear" w:color="000000" w:fill="FDE9D9"/>
      <w:spacing w:before="100" w:beforeAutospacing="1" w:after="100" w:afterAutospacing="1"/>
    </w:pPr>
    <w:rPr>
      <w:rFonts w:ascii="Arial" w:hAnsi="Arial" w:cs="Arial"/>
      <w:sz w:val="18"/>
      <w:szCs w:val="18"/>
    </w:rPr>
  </w:style>
  <w:style w:type="paragraph" w:customStyle="1" w:styleId="xl213">
    <w:name w:val="xl213"/>
    <w:basedOn w:val="Normlny"/>
    <w:rsid w:val="00BB33FC"/>
    <w:pPr>
      <w:pBdr>
        <w:top w:val="single" w:sz="4" w:space="0" w:color="A6A6A6"/>
        <w:bottom w:val="single" w:sz="4" w:space="0" w:color="A6A6A6"/>
        <w:right w:val="single" w:sz="4" w:space="0" w:color="A6A6A6"/>
      </w:pBdr>
      <w:shd w:val="clear" w:color="000000" w:fill="FCD5B4"/>
      <w:spacing w:before="100" w:beforeAutospacing="1" w:after="100" w:afterAutospacing="1"/>
    </w:pPr>
    <w:rPr>
      <w:rFonts w:ascii="Arial" w:hAnsi="Arial" w:cs="Arial"/>
      <w:sz w:val="20"/>
      <w:szCs w:val="20"/>
    </w:rPr>
  </w:style>
  <w:style w:type="paragraph" w:customStyle="1" w:styleId="xl214">
    <w:name w:val="xl214"/>
    <w:basedOn w:val="Normlny"/>
    <w:rsid w:val="00BB33FC"/>
    <w:pPr>
      <w:pBdr>
        <w:top w:val="single" w:sz="4" w:space="0" w:color="A6A6A6"/>
        <w:right w:val="single" w:sz="4" w:space="0" w:color="A6A6A6"/>
      </w:pBdr>
      <w:shd w:val="clear" w:color="000000" w:fill="FDE9D9"/>
      <w:spacing w:before="100" w:beforeAutospacing="1" w:after="100" w:afterAutospacing="1"/>
    </w:pPr>
    <w:rPr>
      <w:rFonts w:ascii="Arial" w:hAnsi="Arial" w:cs="Arial"/>
      <w:sz w:val="20"/>
      <w:szCs w:val="20"/>
    </w:rPr>
  </w:style>
  <w:style w:type="paragraph" w:customStyle="1" w:styleId="xl215">
    <w:name w:val="xl215"/>
    <w:basedOn w:val="Normlny"/>
    <w:rsid w:val="00BB33FC"/>
    <w:pPr>
      <w:pBdr>
        <w:top w:val="single" w:sz="4" w:space="0" w:color="A6A6A6"/>
        <w:right w:val="single" w:sz="4" w:space="0" w:color="A6A6A6"/>
      </w:pBdr>
      <w:shd w:val="clear" w:color="000000" w:fill="FDE9D9"/>
      <w:spacing w:before="100" w:beforeAutospacing="1" w:after="100" w:afterAutospacing="1"/>
      <w:jc w:val="right"/>
    </w:pPr>
    <w:rPr>
      <w:rFonts w:ascii="Arial" w:hAnsi="Arial" w:cs="Arial"/>
      <w:sz w:val="18"/>
      <w:szCs w:val="18"/>
    </w:rPr>
  </w:style>
  <w:style w:type="paragraph" w:customStyle="1" w:styleId="xl216">
    <w:name w:val="xl216"/>
    <w:basedOn w:val="Normlny"/>
    <w:rsid w:val="00BB33FC"/>
    <w:pPr>
      <w:pBdr>
        <w:bottom w:val="single" w:sz="8" w:space="0" w:color="E26B0A"/>
        <w:right w:val="single" w:sz="4" w:space="0" w:color="A6A6A6"/>
      </w:pBdr>
      <w:shd w:val="clear" w:color="000000" w:fill="FCD5B4"/>
      <w:spacing w:before="100" w:beforeAutospacing="1" w:after="100" w:afterAutospacing="1"/>
    </w:pPr>
    <w:rPr>
      <w:rFonts w:ascii="Arial" w:hAnsi="Arial" w:cs="Arial"/>
      <w:sz w:val="20"/>
      <w:szCs w:val="20"/>
    </w:rPr>
  </w:style>
  <w:style w:type="paragraph" w:customStyle="1" w:styleId="xl217">
    <w:name w:val="xl217"/>
    <w:basedOn w:val="Normlny"/>
    <w:rsid w:val="00BB33FC"/>
    <w:pPr>
      <w:pBdr>
        <w:right w:val="single" w:sz="4" w:space="0" w:color="A6A6A6"/>
      </w:pBdr>
      <w:shd w:val="clear" w:color="000000" w:fill="FCD5B4"/>
      <w:spacing w:before="100" w:beforeAutospacing="1" w:after="100" w:afterAutospacing="1"/>
      <w:jc w:val="right"/>
    </w:pPr>
    <w:rPr>
      <w:rFonts w:ascii="Arial" w:hAnsi="Arial" w:cs="Arial"/>
      <w:sz w:val="18"/>
      <w:szCs w:val="18"/>
    </w:rPr>
  </w:style>
  <w:style w:type="paragraph" w:customStyle="1" w:styleId="xl218">
    <w:name w:val="xl218"/>
    <w:basedOn w:val="Normlny"/>
    <w:rsid w:val="00BB33FC"/>
    <w:pPr>
      <w:pBdr>
        <w:bottom w:val="single" w:sz="8" w:space="0" w:color="E26B0A"/>
        <w:right w:val="single" w:sz="4" w:space="0" w:color="A6A6A6"/>
      </w:pBdr>
      <w:shd w:val="clear" w:color="000000" w:fill="FCD5B4"/>
      <w:spacing w:before="100" w:beforeAutospacing="1" w:after="100" w:afterAutospacing="1"/>
      <w:jc w:val="right"/>
    </w:pPr>
    <w:rPr>
      <w:rFonts w:ascii="Arial" w:hAnsi="Arial" w:cs="Arial"/>
      <w:sz w:val="18"/>
      <w:szCs w:val="18"/>
    </w:rPr>
  </w:style>
  <w:style w:type="paragraph" w:customStyle="1" w:styleId="xl219">
    <w:name w:val="xl219"/>
    <w:basedOn w:val="Normlny"/>
    <w:rsid w:val="00BB33FC"/>
    <w:pPr>
      <w:pBdr>
        <w:bottom w:val="single" w:sz="8" w:space="0" w:color="E26B0A"/>
        <w:right w:val="single" w:sz="4" w:space="0" w:color="A6A6A6"/>
      </w:pBdr>
      <w:shd w:val="clear" w:color="000000" w:fill="FDE9D9"/>
      <w:spacing w:before="100" w:beforeAutospacing="1" w:after="100" w:afterAutospacing="1"/>
    </w:pPr>
    <w:rPr>
      <w:rFonts w:ascii="Arial" w:hAnsi="Arial" w:cs="Arial"/>
      <w:sz w:val="20"/>
      <w:szCs w:val="20"/>
    </w:rPr>
  </w:style>
  <w:style w:type="paragraph" w:customStyle="1" w:styleId="xl220">
    <w:name w:val="xl220"/>
    <w:basedOn w:val="Normlny"/>
    <w:rsid w:val="00BB33FC"/>
    <w:pPr>
      <w:pBdr>
        <w:top w:val="single" w:sz="4" w:space="0" w:color="A6A6A6"/>
        <w:bottom w:val="single" w:sz="8" w:space="0" w:color="E26B0A"/>
      </w:pBdr>
      <w:shd w:val="clear" w:color="000000" w:fill="FDE9D9"/>
      <w:spacing w:before="100" w:beforeAutospacing="1" w:after="100" w:afterAutospacing="1"/>
      <w:jc w:val="right"/>
    </w:pPr>
    <w:rPr>
      <w:rFonts w:ascii="Arial" w:hAnsi="Arial" w:cs="Arial"/>
      <w:sz w:val="18"/>
      <w:szCs w:val="18"/>
    </w:rPr>
  </w:style>
  <w:style w:type="paragraph" w:customStyle="1" w:styleId="xl221">
    <w:name w:val="xl221"/>
    <w:basedOn w:val="Normlny"/>
    <w:rsid w:val="00BB33FC"/>
    <w:pPr>
      <w:pBdr>
        <w:top w:val="single" w:sz="4" w:space="0" w:color="A6A6A6"/>
      </w:pBdr>
      <w:shd w:val="clear" w:color="000000" w:fill="FDE9D9"/>
      <w:spacing w:before="100" w:beforeAutospacing="1" w:after="100" w:afterAutospacing="1"/>
    </w:pPr>
    <w:rPr>
      <w:rFonts w:ascii="Arial" w:hAnsi="Arial" w:cs="Arial"/>
      <w:sz w:val="18"/>
      <w:szCs w:val="18"/>
    </w:rPr>
  </w:style>
  <w:style w:type="paragraph" w:customStyle="1" w:styleId="xl222">
    <w:name w:val="xl222"/>
    <w:basedOn w:val="Normlny"/>
    <w:rsid w:val="00BB33FC"/>
    <w:pPr>
      <w:pBdr>
        <w:top w:val="single" w:sz="4" w:space="0" w:color="A6A6A6"/>
        <w:bottom w:val="single" w:sz="8" w:space="0" w:color="E26B0A"/>
        <w:right w:val="single" w:sz="4" w:space="0" w:color="A6A6A6"/>
      </w:pBdr>
      <w:shd w:val="clear" w:color="000000" w:fill="FDE9D9"/>
      <w:spacing w:before="100" w:beforeAutospacing="1" w:after="100" w:afterAutospacing="1"/>
      <w:textAlignment w:val="top"/>
    </w:pPr>
    <w:rPr>
      <w:rFonts w:ascii="Arial" w:hAnsi="Arial" w:cs="Arial"/>
      <w:b/>
      <w:bCs/>
      <w:sz w:val="20"/>
      <w:szCs w:val="20"/>
    </w:rPr>
  </w:style>
  <w:style w:type="paragraph" w:customStyle="1" w:styleId="xl223">
    <w:name w:val="xl223"/>
    <w:basedOn w:val="Normlny"/>
    <w:rsid w:val="00BB33FC"/>
    <w:pPr>
      <w:pBdr>
        <w:top w:val="single" w:sz="4" w:space="0" w:color="A6A6A6"/>
        <w:bottom w:val="single" w:sz="8" w:space="0" w:color="E26B0A"/>
        <w:right w:val="single" w:sz="4" w:space="0" w:color="A6A6A6"/>
      </w:pBdr>
      <w:shd w:val="clear" w:color="000000" w:fill="FDE9D9"/>
      <w:spacing w:before="100" w:beforeAutospacing="1" w:after="100" w:afterAutospacing="1"/>
      <w:jc w:val="right"/>
    </w:pPr>
    <w:rPr>
      <w:rFonts w:ascii="Arial" w:hAnsi="Arial" w:cs="Arial"/>
      <w:sz w:val="18"/>
      <w:szCs w:val="18"/>
    </w:rPr>
  </w:style>
  <w:style w:type="paragraph" w:customStyle="1" w:styleId="xl224">
    <w:name w:val="xl224"/>
    <w:basedOn w:val="Normlny"/>
    <w:rsid w:val="00BB33FC"/>
    <w:pPr>
      <w:pBdr>
        <w:top w:val="single" w:sz="4" w:space="0" w:color="A6A6A6"/>
        <w:bottom w:val="single" w:sz="8" w:space="0" w:color="E26B0A"/>
        <w:right w:val="single" w:sz="4" w:space="0" w:color="A6A6A6"/>
      </w:pBdr>
      <w:shd w:val="clear" w:color="000000" w:fill="FDE9D9"/>
      <w:spacing w:before="100" w:beforeAutospacing="1" w:after="100" w:afterAutospacing="1"/>
    </w:pPr>
    <w:rPr>
      <w:rFonts w:ascii="Arial" w:hAnsi="Arial" w:cs="Arial"/>
      <w:sz w:val="20"/>
      <w:szCs w:val="20"/>
    </w:rPr>
  </w:style>
  <w:style w:type="paragraph" w:customStyle="1" w:styleId="xl225">
    <w:name w:val="xl225"/>
    <w:basedOn w:val="Normlny"/>
    <w:rsid w:val="00BB33FC"/>
    <w:pPr>
      <w:pBdr>
        <w:top w:val="single" w:sz="4" w:space="0" w:color="A6A6A6"/>
        <w:bottom w:val="single" w:sz="8" w:space="0" w:color="E26B0A"/>
        <w:right w:val="single" w:sz="4" w:space="0" w:color="A6A6A6"/>
      </w:pBdr>
      <w:shd w:val="clear" w:color="000000" w:fill="FDE9D9"/>
      <w:spacing w:before="100" w:beforeAutospacing="1" w:after="100" w:afterAutospacing="1"/>
      <w:jc w:val="right"/>
    </w:pPr>
    <w:rPr>
      <w:rFonts w:ascii="Arial" w:hAnsi="Arial" w:cs="Arial"/>
      <w:sz w:val="18"/>
      <w:szCs w:val="18"/>
    </w:rPr>
  </w:style>
  <w:style w:type="paragraph" w:customStyle="1" w:styleId="xl226">
    <w:name w:val="xl226"/>
    <w:basedOn w:val="Normlny"/>
    <w:rsid w:val="00BB33FC"/>
    <w:pPr>
      <w:pBdr>
        <w:top w:val="single" w:sz="4" w:space="0" w:color="A6A6A6"/>
        <w:right w:val="single" w:sz="4" w:space="0" w:color="A6A6A6"/>
      </w:pBdr>
      <w:shd w:val="clear" w:color="000000" w:fill="FDE9D9"/>
      <w:spacing w:before="100" w:beforeAutospacing="1" w:after="100" w:afterAutospacing="1"/>
      <w:jc w:val="right"/>
      <w:textAlignment w:val="top"/>
    </w:pPr>
    <w:rPr>
      <w:rFonts w:ascii="Arial" w:hAnsi="Arial" w:cs="Arial"/>
      <w:sz w:val="18"/>
      <w:szCs w:val="18"/>
    </w:rPr>
  </w:style>
  <w:style w:type="paragraph" w:customStyle="1" w:styleId="xl227">
    <w:name w:val="xl227"/>
    <w:basedOn w:val="Normlny"/>
    <w:rsid w:val="00BB33FC"/>
    <w:pPr>
      <w:pBdr>
        <w:top w:val="single" w:sz="8" w:space="0" w:color="E26B0A"/>
        <w:right w:val="single" w:sz="4" w:space="0" w:color="A6A6A6"/>
      </w:pBdr>
      <w:spacing w:before="100" w:beforeAutospacing="1" w:after="100" w:afterAutospacing="1"/>
    </w:pPr>
    <w:rPr>
      <w:rFonts w:ascii="Arial" w:hAnsi="Arial" w:cs="Arial"/>
      <w:b/>
      <w:bCs/>
      <w:sz w:val="20"/>
      <w:szCs w:val="20"/>
    </w:rPr>
  </w:style>
  <w:style w:type="paragraph" w:customStyle="1" w:styleId="xl228">
    <w:name w:val="xl228"/>
    <w:basedOn w:val="Normlny"/>
    <w:rsid w:val="00BB33FC"/>
    <w:pPr>
      <w:pBdr>
        <w:right w:val="single" w:sz="4" w:space="0" w:color="A6A6A6"/>
      </w:pBdr>
      <w:shd w:val="clear" w:color="000000" w:fill="FCD5B4"/>
      <w:spacing w:before="100" w:beforeAutospacing="1" w:after="100" w:afterAutospacing="1"/>
      <w:textAlignment w:val="top"/>
    </w:pPr>
    <w:rPr>
      <w:rFonts w:ascii="Arial" w:hAnsi="Arial" w:cs="Arial"/>
      <w:sz w:val="20"/>
      <w:szCs w:val="20"/>
    </w:rPr>
  </w:style>
  <w:style w:type="paragraph" w:customStyle="1" w:styleId="xl229">
    <w:name w:val="xl229"/>
    <w:basedOn w:val="Normlny"/>
    <w:rsid w:val="00BB33FC"/>
    <w:pPr>
      <w:pBdr>
        <w:right w:val="single" w:sz="4" w:space="0" w:color="A6A6A6"/>
      </w:pBdr>
      <w:shd w:val="clear" w:color="000000" w:fill="FDE9D9"/>
      <w:spacing w:before="100" w:beforeAutospacing="1" w:after="100" w:afterAutospacing="1"/>
      <w:jc w:val="right"/>
    </w:pPr>
    <w:rPr>
      <w:rFonts w:ascii="Arial" w:hAnsi="Arial" w:cs="Arial"/>
      <w:i/>
      <w:iCs/>
      <w:color w:val="E26B0A"/>
      <w:sz w:val="16"/>
      <w:szCs w:val="16"/>
    </w:rPr>
  </w:style>
  <w:style w:type="paragraph" w:customStyle="1" w:styleId="xl230">
    <w:name w:val="xl230"/>
    <w:basedOn w:val="Normlny"/>
    <w:rsid w:val="00BB33FC"/>
    <w:pPr>
      <w:pBdr>
        <w:bottom w:val="single" w:sz="8" w:space="0" w:color="E26B0A"/>
        <w:right w:val="single" w:sz="4" w:space="0" w:color="A6A6A6"/>
      </w:pBdr>
      <w:shd w:val="clear" w:color="000000" w:fill="FDE9D9"/>
      <w:spacing w:before="100" w:beforeAutospacing="1" w:after="100" w:afterAutospacing="1"/>
      <w:jc w:val="right"/>
    </w:pPr>
    <w:rPr>
      <w:rFonts w:ascii="Arial" w:hAnsi="Arial" w:cs="Arial"/>
      <w:i/>
      <w:iCs/>
      <w:color w:val="E26B0A"/>
      <w:sz w:val="16"/>
      <w:szCs w:val="16"/>
    </w:rPr>
  </w:style>
  <w:style w:type="paragraph" w:customStyle="1" w:styleId="xl231">
    <w:name w:val="xl231"/>
    <w:basedOn w:val="Normlny"/>
    <w:rsid w:val="00BB33FC"/>
    <w:pPr>
      <w:pBdr>
        <w:right w:val="single" w:sz="4" w:space="0" w:color="A6A6A6"/>
      </w:pBdr>
      <w:shd w:val="clear" w:color="000000" w:fill="FDE9D9"/>
      <w:spacing w:before="100" w:beforeAutospacing="1" w:after="100" w:afterAutospacing="1"/>
    </w:pPr>
    <w:rPr>
      <w:rFonts w:ascii="Arial" w:hAnsi="Arial" w:cs="Arial"/>
      <w:i/>
      <w:iCs/>
      <w:color w:val="E26B0A"/>
      <w:sz w:val="16"/>
      <w:szCs w:val="16"/>
    </w:rPr>
  </w:style>
  <w:style w:type="paragraph" w:customStyle="1" w:styleId="xl232">
    <w:name w:val="xl232"/>
    <w:basedOn w:val="Normlny"/>
    <w:rsid w:val="00BB33FC"/>
    <w:pPr>
      <w:pBdr>
        <w:bottom w:val="single" w:sz="8" w:space="0" w:color="E26B0A"/>
        <w:right w:val="single" w:sz="4" w:space="0" w:color="A6A6A6"/>
      </w:pBdr>
      <w:shd w:val="clear" w:color="000000" w:fill="FDE9D9"/>
      <w:spacing w:before="100" w:beforeAutospacing="1" w:after="100" w:afterAutospacing="1"/>
    </w:pPr>
    <w:rPr>
      <w:rFonts w:ascii="Arial" w:hAnsi="Arial" w:cs="Arial"/>
      <w:i/>
      <w:iCs/>
      <w:color w:val="E26B0A"/>
      <w:sz w:val="16"/>
      <w:szCs w:val="16"/>
    </w:rPr>
  </w:style>
  <w:style w:type="paragraph" w:customStyle="1" w:styleId="xl233">
    <w:name w:val="xl233"/>
    <w:basedOn w:val="Normlny"/>
    <w:rsid w:val="00BB33FC"/>
    <w:pPr>
      <w:pBdr>
        <w:right w:val="single" w:sz="4" w:space="0" w:color="A6A6A6"/>
      </w:pBdr>
      <w:shd w:val="clear" w:color="000000" w:fill="FCD5B4"/>
      <w:spacing w:before="100" w:beforeAutospacing="1" w:after="100" w:afterAutospacing="1"/>
    </w:pPr>
    <w:rPr>
      <w:rFonts w:ascii="Arial" w:hAnsi="Arial" w:cs="Arial"/>
      <w:i/>
      <w:iCs/>
      <w:color w:val="E26B0A"/>
      <w:sz w:val="16"/>
      <w:szCs w:val="16"/>
    </w:rPr>
  </w:style>
  <w:style w:type="paragraph" w:customStyle="1" w:styleId="xl234">
    <w:name w:val="xl234"/>
    <w:basedOn w:val="Normlny"/>
    <w:rsid w:val="00BB33FC"/>
    <w:pPr>
      <w:pBdr>
        <w:bottom w:val="single" w:sz="4" w:space="0" w:color="A6A6A6"/>
        <w:right w:val="single" w:sz="4" w:space="0" w:color="A6A6A6"/>
      </w:pBdr>
      <w:shd w:val="clear" w:color="000000" w:fill="FCD5B4"/>
      <w:spacing w:before="100" w:beforeAutospacing="1" w:after="100" w:afterAutospacing="1"/>
    </w:pPr>
    <w:rPr>
      <w:rFonts w:ascii="Arial" w:hAnsi="Arial" w:cs="Arial"/>
      <w:i/>
      <w:iCs/>
      <w:color w:val="E26B0A"/>
      <w:sz w:val="16"/>
      <w:szCs w:val="16"/>
    </w:rPr>
  </w:style>
  <w:style w:type="paragraph" w:customStyle="1" w:styleId="xl235">
    <w:name w:val="xl235"/>
    <w:basedOn w:val="Normlny"/>
    <w:rsid w:val="00BB33FC"/>
    <w:pPr>
      <w:pBdr>
        <w:bottom w:val="single" w:sz="4" w:space="0" w:color="A6A6A6"/>
        <w:right w:val="single" w:sz="4" w:space="0" w:color="A6A6A6"/>
      </w:pBdr>
      <w:shd w:val="clear" w:color="000000" w:fill="FDE9D9"/>
      <w:spacing w:before="100" w:beforeAutospacing="1" w:after="100" w:afterAutospacing="1"/>
      <w:jc w:val="right"/>
    </w:pPr>
    <w:rPr>
      <w:rFonts w:ascii="Arial" w:hAnsi="Arial" w:cs="Arial"/>
      <w:i/>
      <w:iCs/>
      <w:color w:val="E26B0A"/>
      <w:sz w:val="16"/>
      <w:szCs w:val="16"/>
    </w:rPr>
  </w:style>
  <w:style w:type="paragraph" w:customStyle="1" w:styleId="xl236">
    <w:name w:val="xl236"/>
    <w:basedOn w:val="Normlny"/>
    <w:rsid w:val="00BB33FC"/>
    <w:pPr>
      <w:pBdr>
        <w:right w:val="single" w:sz="4" w:space="0" w:color="A6A6A6"/>
      </w:pBdr>
      <w:shd w:val="clear" w:color="000000" w:fill="FCD5B4"/>
      <w:spacing w:before="100" w:beforeAutospacing="1" w:after="100" w:afterAutospacing="1"/>
      <w:jc w:val="right"/>
    </w:pPr>
    <w:rPr>
      <w:rFonts w:ascii="Arial" w:hAnsi="Arial" w:cs="Arial"/>
      <w:i/>
      <w:iCs/>
      <w:color w:val="E26B0A"/>
      <w:sz w:val="16"/>
      <w:szCs w:val="16"/>
    </w:rPr>
  </w:style>
  <w:style w:type="paragraph" w:customStyle="1" w:styleId="xl237">
    <w:name w:val="xl237"/>
    <w:basedOn w:val="Normlny"/>
    <w:rsid w:val="00BB33FC"/>
    <w:pPr>
      <w:pBdr>
        <w:bottom w:val="single" w:sz="8" w:space="0" w:color="E26B0A"/>
        <w:right w:val="single" w:sz="4" w:space="0" w:color="A6A6A6"/>
      </w:pBdr>
      <w:shd w:val="clear" w:color="000000" w:fill="FCD5B4"/>
      <w:spacing w:before="100" w:beforeAutospacing="1" w:after="100" w:afterAutospacing="1"/>
      <w:jc w:val="right"/>
    </w:pPr>
    <w:rPr>
      <w:rFonts w:ascii="Arial" w:hAnsi="Arial" w:cs="Arial"/>
      <w:i/>
      <w:iCs/>
      <w:color w:val="E26B0A"/>
      <w:sz w:val="16"/>
      <w:szCs w:val="16"/>
    </w:rPr>
  </w:style>
  <w:style w:type="paragraph" w:customStyle="1" w:styleId="xl238">
    <w:name w:val="xl238"/>
    <w:basedOn w:val="Normlny"/>
    <w:rsid w:val="00BB33FC"/>
    <w:pPr>
      <w:pBdr>
        <w:top w:val="single" w:sz="4" w:space="0" w:color="A6A6A6"/>
        <w:right w:val="single" w:sz="4" w:space="0" w:color="A6A6A6"/>
      </w:pBdr>
      <w:shd w:val="clear" w:color="000000" w:fill="FCD5B4"/>
      <w:spacing w:before="100" w:beforeAutospacing="1" w:after="100" w:afterAutospacing="1"/>
      <w:jc w:val="right"/>
    </w:pPr>
    <w:rPr>
      <w:rFonts w:ascii="Arial" w:hAnsi="Arial" w:cs="Arial"/>
      <w:sz w:val="18"/>
      <w:szCs w:val="18"/>
    </w:rPr>
  </w:style>
  <w:style w:type="paragraph" w:customStyle="1" w:styleId="xl239">
    <w:name w:val="xl239"/>
    <w:basedOn w:val="Normlny"/>
    <w:rsid w:val="00BB33FC"/>
    <w:pPr>
      <w:pBdr>
        <w:top w:val="single" w:sz="4" w:space="0" w:color="A6A6A6"/>
        <w:bottom w:val="single" w:sz="8" w:space="0" w:color="E26B0A"/>
        <w:right w:val="single" w:sz="4" w:space="0" w:color="A6A6A6"/>
      </w:pBdr>
      <w:shd w:val="clear" w:color="000000" w:fill="FDE9D9"/>
      <w:spacing w:before="100" w:beforeAutospacing="1" w:after="100" w:afterAutospacing="1"/>
    </w:pPr>
    <w:rPr>
      <w:rFonts w:ascii="Arial" w:hAnsi="Arial" w:cs="Arial"/>
      <w:b/>
      <w:bCs/>
      <w:sz w:val="20"/>
      <w:szCs w:val="20"/>
    </w:rPr>
  </w:style>
  <w:style w:type="paragraph" w:customStyle="1" w:styleId="xl240">
    <w:name w:val="xl240"/>
    <w:basedOn w:val="Normlny"/>
    <w:rsid w:val="00BB33FC"/>
    <w:pPr>
      <w:pBdr>
        <w:top w:val="single" w:sz="4" w:space="0" w:color="A6A6A6"/>
        <w:bottom w:val="single" w:sz="8" w:space="0" w:color="E26B0A"/>
        <w:right w:val="single" w:sz="4" w:space="0" w:color="A6A6A6"/>
      </w:pBdr>
      <w:shd w:val="clear" w:color="000000" w:fill="FCD5B4"/>
      <w:spacing w:before="100" w:beforeAutospacing="1" w:after="100" w:afterAutospacing="1"/>
      <w:jc w:val="right"/>
    </w:pPr>
    <w:rPr>
      <w:rFonts w:ascii="Arial" w:hAnsi="Arial" w:cs="Arial"/>
      <w:sz w:val="18"/>
      <w:szCs w:val="18"/>
    </w:rPr>
  </w:style>
  <w:style w:type="paragraph" w:customStyle="1" w:styleId="xl241">
    <w:name w:val="xl241"/>
    <w:basedOn w:val="Normlny"/>
    <w:rsid w:val="00BB33FC"/>
    <w:pPr>
      <w:shd w:val="clear" w:color="000000" w:fill="FDE9D9"/>
      <w:spacing w:before="100" w:beforeAutospacing="1" w:after="100" w:afterAutospacing="1"/>
    </w:pPr>
    <w:rPr>
      <w:rFonts w:ascii="Arial" w:hAnsi="Arial" w:cs="Arial"/>
      <w:sz w:val="18"/>
      <w:szCs w:val="18"/>
    </w:rPr>
  </w:style>
  <w:style w:type="paragraph" w:customStyle="1" w:styleId="xl242">
    <w:name w:val="xl242"/>
    <w:basedOn w:val="Normlny"/>
    <w:rsid w:val="00BB33FC"/>
    <w:pPr>
      <w:pBdr>
        <w:bottom w:val="single" w:sz="8" w:space="0" w:color="E26B0A"/>
      </w:pBdr>
      <w:shd w:val="clear" w:color="000000" w:fill="FDE9D9"/>
      <w:spacing w:before="100" w:beforeAutospacing="1" w:after="100" w:afterAutospacing="1"/>
    </w:pPr>
    <w:rPr>
      <w:rFonts w:ascii="Arial" w:hAnsi="Arial" w:cs="Arial"/>
      <w:sz w:val="18"/>
      <w:szCs w:val="18"/>
    </w:rPr>
  </w:style>
  <w:style w:type="paragraph" w:customStyle="1" w:styleId="xl243">
    <w:name w:val="xl243"/>
    <w:basedOn w:val="Normlny"/>
    <w:rsid w:val="00BB33FC"/>
    <w:pPr>
      <w:pBdr>
        <w:top w:val="single" w:sz="4" w:space="0" w:color="A6A6A6"/>
        <w:left w:val="single" w:sz="8" w:space="0" w:color="E26B0A"/>
      </w:pBdr>
      <w:shd w:val="clear" w:color="000000" w:fill="FDE9D9"/>
      <w:spacing w:before="100" w:beforeAutospacing="1" w:after="100" w:afterAutospacing="1"/>
      <w:textAlignment w:val="top"/>
    </w:pPr>
    <w:rPr>
      <w:rFonts w:ascii="Arial" w:hAnsi="Arial" w:cs="Arial"/>
      <w:sz w:val="18"/>
      <w:szCs w:val="18"/>
    </w:rPr>
  </w:style>
  <w:style w:type="paragraph" w:customStyle="1" w:styleId="xl244">
    <w:name w:val="xl244"/>
    <w:basedOn w:val="Normlny"/>
    <w:rsid w:val="00BB33FC"/>
    <w:pPr>
      <w:pBdr>
        <w:top w:val="single" w:sz="4" w:space="0" w:color="A6A6A6"/>
        <w:right w:val="single" w:sz="4" w:space="0" w:color="A6A6A6"/>
      </w:pBdr>
      <w:shd w:val="clear" w:color="000000" w:fill="FDE9D9"/>
      <w:spacing w:before="100" w:beforeAutospacing="1" w:after="100" w:afterAutospacing="1"/>
      <w:textAlignment w:val="top"/>
    </w:pPr>
    <w:rPr>
      <w:rFonts w:ascii="Arial" w:hAnsi="Arial" w:cs="Arial"/>
      <w:sz w:val="18"/>
      <w:szCs w:val="18"/>
    </w:rPr>
  </w:style>
  <w:style w:type="paragraph" w:customStyle="1" w:styleId="xl245">
    <w:name w:val="xl245"/>
    <w:basedOn w:val="Normlny"/>
    <w:rsid w:val="00BB33FC"/>
    <w:pPr>
      <w:pBdr>
        <w:left w:val="single" w:sz="8" w:space="0" w:color="E26B0A"/>
      </w:pBdr>
      <w:shd w:val="clear" w:color="000000" w:fill="FDE9D9"/>
      <w:spacing w:before="100" w:beforeAutospacing="1" w:after="100" w:afterAutospacing="1"/>
      <w:textAlignment w:val="top"/>
    </w:pPr>
    <w:rPr>
      <w:rFonts w:ascii="Arial" w:hAnsi="Arial" w:cs="Arial"/>
      <w:sz w:val="18"/>
      <w:szCs w:val="18"/>
    </w:rPr>
  </w:style>
  <w:style w:type="paragraph" w:customStyle="1" w:styleId="xl246">
    <w:name w:val="xl246"/>
    <w:basedOn w:val="Normlny"/>
    <w:rsid w:val="00BB33FC"/>
    <w:pPr>
      <w:pBdr>
        <w:right w:val="single" w:sz="4" w:space="0" w:color="A6A6A6"/>
      </w:pBdr>
      <w:shd w:val="clear" w:color="000000" w:fill="FCD5B4"/>
      <w:spacing w:before="100" w:beforeAutospacing="1" w:after="100" w:afterAutospacing="1"/>
      <w:jc w:val="right"/>
    </w:pPr>
    <w:rPr>
      <w:rFonts w:ascii="Arial" w:hAnsi="Arial" w:cs="Arial"/>
      <w:sz w:val="18"/>
      <w:szCs w:val="18"/>
    </w:rPr>
  </w:style>
  <w:style w:type="paragraph" w:customStyle="1" w:styleId="xl247">
    <w:name w:val="xl247"/>
    <w:basedOn w:val="Normlny"/>
    <w:rsid w:val="00BB33FC"/>
    <w:pPr>
      <w:pBdr>
        <w:bottom w:val="single" w:sz="4" w:space="0" w:color="A6A6A6"/>
        <w:right w:val="single" w:sz="4" w:space="0" w:color="A6A6A6"/>
      </w:pBdr>
      <w:shd w:val="clear" w:color="000000" w:fill="FDE9D9"/>
      <w:spacing w:before="100" w:beforeAutospacing="1" w:after="100" w:afterAutospacing="1"/>
      <w:jc w:val="right"/>
    </w:pPr>
    <w:rPr>
      <w:rFonts w:ascii="Arial" w:hAnsi="Arial" w:cs="Arial"/>
      <w:i/>
      <w:iCs/>
      <w:color w:val="E26B0A"/>
      <w:sz w:val="16"/>
      <w:szCs w:val="16"/>
    </w:rPr>
  </w:style>
  <w:style w:type="paragraph" w:customStyle="1" w:styleId="xl248">
    <w:name w:val="xl248"/>
    <w:basedOn w:val="Normlny"/>
    <w:rsid w:val="00BB33FC"/>
    <w:pPr>
      <w:pBdr>
        <w:bottom w:val="single" w:sz="8" w:space="0" w:color="E26B0A"/>
        <w:right w:val="single" w:sz="4" w:space="0" w:color="A6A6A6"/>
      </w:pBdr>
      <w:shd w:val="clear" w:color="000000" w:fill="FCD5B4"/>
      <w:spacing w:before="100" w:beforeAutospacing="1" w:after="100" w:afterAutospacing="1"/>
      <w:jc w:val="right"/>
    </w:pPr>
    <w:rPr>
      <w:rFonts w:ascii="Arial" w:hAnsi="Arial" w:cs="Arial"/>
      <w:i/>
      <w:iCs/>
      <w:color w:val="E26B0A"/>
      <w:sz w:val="16"/>
      <w:szCs w:val="16"/>
    </w:rPr>
  </w:style>
  <w:style w:type="paragraph" w:customStyle="1" w:styleId="xl249">
    <w:name w:val="xl249"/>
    <w:basedOn w:val="Normlny"/>
    <w:rsid w:val="00BB33FC"/>
    <w:pPr>
      <w:spacing w:before="100" w:beforeAutospacing="1" w:after="100" w:afterAutospacing="1"/>
      <w:textAlignment w:val="top"/>
    </w:pPr>
    <w:rPr>
      <w:rFonts w:ascii="Arial" w:hAnsi="Arial" w:cs="Arial"/>
      <w:sz w:val="20"/>
      <w:szCs w:val="20"/>
    </w:rPr>
  </w:style>
  <w:style w:type="paragraph" w:customStyle="1" w:styleId="xl250">
    <w:name w:val="xl250"/>
    <w:basedOn w:val="Normlny"/>
    <w:rsid w:val="00BB33FC"/>
    <w:pPr>
      <w:pBdr>
        <w:top w:val="single" w:sz="4" w:space="0" w:color="A6A6A6"/>
        <w:left w:val="single" w:sz="8" w:space="0" w:color="E26B0A"/>
        <w:bottom w:val="single" w:sz="4" w:space="0" w:color="A6A6A6"/>
      </w:pBdr>
      <w:shd w:val="clear" w:color="000000" w:fill="FCD5B4"/>
      <w:spacing w:before="100" w:beforeAutospacing="1" w:after="100" w:afterAutospacing="1"/>
      <w:textAlignment w:val="top"/>
    </w:pPr>
    <w:rPr>
      <w:rFonts w:ascii="Arial" w:hAnsi="Arial" w:cs="Arial"/>
      <w:sz w:val="18"/>
      <w:szCs w:val="18"/>
    </w:rPr>
  </w:style>
  <w:style w:type="paragraph" w:customStyle="1" w:styleId="xl251">
    <w:name w:val="xl251"/>
    <w:basedOn w:val="Normlny"/>
    <w:rsid w:val="00BB33FC"/>
    <w:pPr>
      <w:shd w:val="clear" w:color="000000" w:fill="FDE9D9"/>
      <w:spacing w:before="100" w:beforeAutospacing="1" w:after="100" w:afterAutospacing="1"/>
      <w:textAlignment w:val="top"/>
    </w:pPr>
    <w:rPr>
      <w:rFonts w:ascii="Arial" w:hAnsi="Arial" w:cs="Arial"/>
      <w:sz w:val="18"/>
      <w:szCs w:val="18"/>
    </w:rPr>
  </w:style>
  <w:style w:type="paragraph" w:customStyle="1" w:styleId="xl252">
    <w:name w:val="xl252"/>
    <w:basedOn w:val="Normlny"/>
    <w:rsid w:val="00BB33FC"/>
    <w:pPr>
      <w:pBdr>
        <w:bottom w:val="single" w:sz="8" w:space="0" w:color="E26B0A"/>
      </w:pBdr>
      <w:shd w:val="clear" w:color="000000" w:fill="FDE9D9"/>
      <w:spacing w:before="100" w:beforeAutospacing="1" w:after="100" w:afterAutospacing="1"/>
      <w:textAlignment w:val="top"/>
    </w:pPr>
    <w:rPr>
      <w:rFonts w:ascii="Arial" w:hAnsi="Arial" w:cs="Arial"/>
      <w:sz w:val="18"/>
      <w:szCs w:val="18"/>
    </w:rPr>
  </w:style>
  <w:style w:type="paragraph" w:customStyle="1" w:styleId="xl253">
    <w:name w:val="xl253"/>
    <w:basedOn w:val="Normlny"/>
    <w:rsid w:val="00BB33FC"/>
    <w:pPr>
      <w:pBdr>
        <w:top w:val="single" w:sz="4" w:space="0" w:color="A6A6A6"/>
        <w:left w:val="single" w:sz="8" w:space="0" w:color="E26B0A"/>
      </w:pBdr>
      <w:shd w:val="clear" w:color="000000" w:fill="FCD5B4"/>
      <w:spacing w:before="100" w:beforeAutospacing="1" w:after="100" w:afterAutospacing="1"/>
      <w:textAlignment w:val="top"/>
    </w:pPr>
    <w:rPr>
      <w:rFonts w:ascii="Arial" w:hAnsi="Arial" w:cs="Arial"/>
      <w:sz w:val="18"/>
      <w:szCs w:val="18"/>
    </w:rPr>
  </w:style>
  <w:style w:type="paragraph" w:customStyle="1" w:styleId="xl254">
    <w:name w:val="xl254"/>
    <w:basedOn w:val="Normlny"/>
    <w:rsid w:val="00BB33FC"/>
    <w:pPr>
      <w:pBdr>
        <w:left w:val="single" w:sz="8" w:space="0" w:color="E26B0A"/>
      </w:pBdr>
      <w:shd w:val="clear" w:color="000000" w:fill="FCD5B4"/>
      <w:spacing w:before="100" w:beforeAutospacing="1" w:after="100" w:afterAutospacing="1"/>
      <w:textAlignment w:val="top"/>
    </w:pPr>
    <w:rPr>
      <w:rFonts w:ascii="Arial" w:hAnsi="Arial" w:cs="Arial"/>
      <w:sz w:val="18"/>
      <w:szCs w:val="18"/>
    </w:rPr>
  </w:style>
  <w:style w:type="paragraph" w:customStyle="1" w:styleId="xl255">
    <w:name w:val="xl255"/>
    <w:basedOn w:val="Normlny"/>
    <w:rsid w:val="00BB33FC"/>
    <w:pPr>
      <w:shd w:val="clear" w:color="000000" w:fill="FDE9D9"/>
      <w:spacing w:before="100" w:beforeAutospacing="1" w:after="100" w:afterAutospacing="1"/>
      <w:textAlignment w:val="top"/>
    </w:pPr>
    <w:rPr>
      <w:rFonts w:ascii="Arial" w:hAnsi="Arial" w:cs="Arial"/>
      <w:sz w:val="18"/>
      <w:szCs w:val="18"/>
    </w:rPr>
  </w:style>
  <w:style w:type="paragraph" w:customStyle="1" w:styleId="xl256">
    <w:name w:val="xl256"/>
    <w:basedOn w:val="Normlny"/>
    <w:rsid w:val="00BB33FC"/>
    <w:pPr>
      <w:pBdr>
        <w:left w:val="single" w:sz="8" w:space="0" w:color="E26B0A"/>
        <w:bottom w:val="single" w:sz="4" w:space="0" w:color="A6A6A6"/>
      </w:pBdr>
      <w:shd w:val="clear" w:color="000000" w:fill="FDE9D9"/>
      <w:spacing w:before="100" w:beforeAutospacing="1" w:after="100" w:afterAutospacing="1"/>
      <w:textAlignment w:val="top"/>
    </w:pPr>
    <w:rPr>
      <w:rFonts w:ascii="Arial" w:hAnsi="Arial" w:cs="Arial"/>
      <w:sz w:val="18"/>
      <w:szCs w:val="18"/>
    </w:rPr>
  </w:style>
  <w:style w:type="paragraph" w:customStyle="1" w:styleId="xl257">
    <w:name w:val="xl257"/>
    <w:basedOn w:val="Normlny"/>
    <w:rsid w:val="00BB33FC"/>
    <w:pPr>
      <w:shd w:val="clear" w:color="000000" w:fill="FCD5B4"/>
      <w:spacing w:before="100" w:beforeAutospacing="1" w:after="100" w:afterAutospacing="1"/>
      <w:textAlignment w:val="top"/>
    </w:pPr>
    <w:rPr>
      <w:rFonts w:ascii="Arial" w:hAnsi="Arial" w:cs="Arial"/>
      <w:sz w:val="18"/>
      <w:szCs w:val="18"/>
    </w:rPr>
  </w:style>
  <w:style w:type="paragraph" w:customStyle="1" w:styleId="xl258">
    <w:name w:val="xl258"/>
    <w:basedOn w:val="Normlny"/>
    <w:rsid w:val="00BB33FC"/>
    <w:pPr>
      <w:pBdr>
        <w:bottom w:val="single" w:sz="8" w:space="0" w:color="E26B0A"/>
      </w:pBdr>
      <w:shd w:val="clear" w:color="000000" w:fill="FCD5B4"/>
      <w:spacing w:before="100" w:beforeAutospacing="1" w:after="100" w:afterAutospacing="1"/>
      <w:textAlignment w:val="top"/>
    </w:pPr>
    <w:rPr>
      <w:rFonts w:ascii="Arial" w:hAnsi="Arial" w:cs="Arial"/>
      <w:sz w:val="18"/>
      <w:szCs w:val="18"/>
    </w:rPr>
  </w:style>
  <w:style w:type="paragraph" w:customStyle="1" w:styleId="xl259">
    <w:name w:val="xl259"/>
    <w:basedOn w:val="Normlny"/>
    <w:rsid w:val="00BB33FC"/>
    <w:pPr>
      <w:pBdr>
        <w:top w:val="single" w:sz="4" w:space="0" w:color="A6A6A6"/>
        <w:bottom w:val="single" w:sz="8" w:space="0" w:color="E26B0A"/>
      </w:pBdr>
      <w:shd w:val="clear" w:color="000000" w:fill="FDE9D9"/>
      <w:spacing w:before="100" w:beforeAutospacing="1" w:after="100" w:afterAutospacing="1"/>
    </w:pPr>
    <w:rPr>
      <w:rFonts w:ascii="Arial" w:hAnsi="Arial" w:cs="Arial"/>
      <w:sz w:val="18"/>
      <w:szCs w:val="18"/>
    </w:rPr>
  </w:style>
  <w:style w:type="paragraph" w:customStyle="1" w:styleId="xl260">
    <w:name w:val="xl260"/>
    <w:basedOn w:val="Normlny"/>
    <w:rsid w:val="00BB33FC"/>
    <w:pPr>
      <w:pBdr>
        <w:top w:val="single" w:sz="4" w:space="0" w:color="A6A6A6"/>
      </w:pBdr>
      <w:shd w:val="clear" w:color="000000" w:fill="FDE9D9"/>
      <w:spacing w:before="100" w:beforeAutospacing="1" w:after="100" w:afterAutospacing="1"/>
      <w:textAlignment w:val="top"/>
    </w:pPr>
    <w:rPr>
      <w:rFonts w:ascii="Arial" w:hAnsi="Arial" w:cs="Arial"/>
      <w:sz w:val="18"/>
      <w:szCs w:val="18"/>
    </w:rPr>
  </w:style>
  <w:style w:type="paragraph" w:customStyle="1" w:styleId="xl261">
    <w:name w:val="xl261"/>
    <w:basedOn w:val="Normlny"/>
    <w:rsid w:val="00BB33FC"/>
    <w:pPr>
      <w:pBdr>
        <w:top w:val="single" w:sz="4" w:space="0" w:color="A6A6A6"/>
        <w:bottom w:val="single" w:sz="4" w:space="0" w:color="A6A6A6"/>
      </w:pBdr>
      <w:shd w:val="clear" w:color="000000" w:fill="FCD5B4"/>
      <w:spacing w:before="100" w:beforeAutospacing="1" w:after="100" w:afterAutospacing="1"/>
    </w:pPr>
    <w:rPr>
      <w:rFonts w:ascii="Arial" w:hAnsi="Arial" w:cs="Arial"/>
      <w:sz w:val="18"/>
      <w:szCs w:val="18"/>
    </w:rPr>
  </w:style>
  <w:style w:type="paragraph" w:customStyle="1" w:styleId="xl262">
    <w:name w:val="xl262"/>
    <w:basedOn w:val="Normlny"/>
    <w:rsid w:val="00BB33FC"/>
    <w:pPr>
      <w:pBdr>
        <w:top w:val="single" w:sz="4" w:space="0" w:color="A6A6A6"/>
        <w:bottom w:val="single" w:sz="8" w:space="0" w:color="E26B0A"/>
      </w:pBdr>
      <w:shd w:val="clear" w:color="000000" w:fill="FDE9D9"/>
      <w:spacing w:before="100" w:beforeAutospacing="1" w:after="100" w:afterAutospacing="1"/>
      <w:textAlignment w:val="top"/>
    </w:pPr>
    <w:rPr>
      <w:rFonts w:ascii="Arial" w:hAnsi="Arial" w:cs="Arial"/>
      <w:sz w:val="18"/>
      <w:szCs w:val="18"/>
    </w:rPr>
  </w:style>
  <w:style w:type="paragraph" w:customStyle="1" w:styleId="xl263">
    <w:name w:val="xl263"/>
    <w:basedOn w:val="Normlny"/>
    <w:rsid w:val="00BB33FC"/>
    <w:pPr>
      <w:pBdr>
        <w:top w:val="single" w:sz="4" w:space="0" w:color="A6A6A6"/>
        <w:left w:val="single" w:sz="4" w:space="0" w:color="A6A6A6"/>
        <w:right w:val="single" w:sz="4" w:space="0" w:color="A6A6A6"/>
      </w:pBdr>
      <w:shd w:val="clear" w:color="000000" w:fill="FDE9D9"/>
      <w:spacing w:before="100" w:beforeAutospacing="1" w:after="100" w:afterAutospacing="1"/>
      <w:jc w:val="right"/>
    </w:pPr>
    <w:rPr>
      <w:rFonts w:ascii="Arial" w:hAnsi="Arial" w:cs="Arial"/>
      <w:sz w:val="18"/>
      <w:szCs w:val="18"/>
    </w:rPr>
  </w:style>
  <w:style w:type="paragraph" w:customStyle="1" w:styleId="xl264">
    <w:name w:val="xl264"/>
    <w:basedOn w:val="Normlny"/>
    <w:rsid w:val="00BB33FC"/>
    <w:pPr>
      <w:pBdr>
        <w:bottom w:val="single" w:sz="8" w:space="0" w:color="E26B0A"/>
      </w:pBdr>
      <w:shd w:val="clear" w:color="000000" w:fill="FDE9D9"/>
      <w:spacing w:before="100" w:beforeAutospacing="1" w:after="100" w:afterAutospacing="1"/>
    </w:pPr>
    <w:rPr>
      <w:rFonts w:ascii="Arial" w:hAnsi="Arial" w:cs="Arial"/>
      <w:sz w:val="18"/>
      <w:szCs w:val="18"/>
    </w:rPr>
  </w:style>
  <w:style w:type="paragraph" w:customStyle="1" w:styleId="xl265">
    <w:name w:val="xl265"/>
    <w:basedOn w:val="Normlny"/>
    <w:rsid w:val="00BB33FC"/>
    <w:pPr>
      <w:pBdr>
        <w:bottom w:val="single" w:sz="8" w:space="0" w:color="E26B0A"/>
      </w:pBdr>
      <w:shd w:val="clear" w:color="000000" w:fill="FDE9D9"/>
      <w:spacing w:before="100" w:beforeAutospacing="1" w:after="100" w:afterAutospacing="1"/>
      <w:textAlignment w:val="top"/>
    </w:pPr>
    <w:rPr>
      <w:rFonts w:ascii="Arial" w:hAnsi="Arial" w:cs="Arial"/>
      <w:sz w:val="18"/>
      <w:szCs w:val="18"/>
    </w:rPr>
  </w:style>
  <w:style w:type="paragraph" w:customStyle="1" w:styleId="xl266">
    <w:name w:val="xl266"/>
    <w:basedOn w:val="Normlny"/>
    <w:rsid w:val="00BB33FC"/>
    <w:pPr>
      <w:shd w:val="clear" w:color="000000" w:fill="FDE9D9"/>
      <w:spacing w:before="100" w:beforeAutospacing="1" w:after="100" w:afterAutospacing="1"/>
    </w:pPr>
    <w:rPr>
      <w:rFonts w:ascii="Arial" w:hAnsi="Arial" w:cs="Arial"/>
      <w:sz w:val="18"/>
      <w:szCs w:val="18"/>
    </w:rPr>
  </w:style>
  <w:style w:type="paragraph" w:customStyle="1" w:styleId="xl267">
    <w:name w:val="xl267"/>
    <w:basedOn w:val="Normlny"/>
    <w:rsid w:val="00BB33FC"/>
    <w:pPr>
      <w:pBdr>
        <w:top w:val="single" w:sz="4" w:space="0" w:color="A6A6A6"/>
      </w:pBdr>
      <w:shd w:val="clear" w:color="000000" w:fill="FCD5B4"/>
      <w:spacing w:before="100" w:beforeAutospacing="1" w:after="100" w:afterAutospacing="1"/>
    </w:pPr>
    <w:rPr>
      <w:rFonts w:ascii="Arial" w:hAnsi="Arial" w:cs="Arial"/>
      <w:sz w:val="18"/>
      <w:szCs w:val="18"/>
    </w:rPr>
  </w:style>
  <w:style w:type="paragraph" w:customStyle="1" w:styleId="xl268">
    <w:name w:val="xl268"/>
    <w:basedOn w:val="Normlny"/>
    <w:rsid w:val="00BB33FC"/>
    <w:pPr>
      <w:pBdr>
        <w:bottom w:val="single" w:sz="8" w:space="0" w:color="E26B0A"/>
      </w:pBdr>
      <w:shd w:val="clear" w:color="000000" w:fill="FCD5B4"/>
      <w:spacing w:before="100" w:beforeAutospacing="1" w:after="100" w:afterAutospacing="1"/>
    </w:pPr>
    <w:rPr>
      <w:rFonts w:ascii="Arial" w:hAnsi="Arial" w:cs="Arial"/>
      <w:sz w:val="18"/>
      <w:szCs w:val="18"/>
    </w:rPr>
  </w:style>
  <w:style w:type="paragraph" w:customStyle="1" w:styleId="xl269">
    <w:name w:val="xl269"/>
    <w:basedOn w:val="Normlny"/>
    <w:rsid w:val="00BB33FC"/>
    <w:pPr>
      <w:pBdr>
        <w:bottom w:val="single" w:sz="8" w:space="0" w:color="E26B0A"/>
      </w:pBdr>
      <w:shd w:val="clear" w:color="000000" w:fill="FDE9D9"/>
      <w:spacing w:before="100" w:beforeAutospacing="1" w:after="100" w:afterAutospacing="1"/>
    </w:pPr>
    <w:rPr>
      <w:rFonts w:ascii="Arial" w:hAnsi="Arial" w:cs="Arial"/>
      <w:sz w:val="18"/>
      <w:szCs w:val="18"/>
    </w:rPr>
  </w:style>
  <w:style w:type="paragraph" w:customStyle="1" w:styleId="xl270">
    <w:name w:val="xl270"/>
    <w:basedOn w:val="Normlny"/>
    <w:rsid w:val="00BB33FC"/>
    <w:pPr>
      <w:pBdr>
        <w:left w:val="single" w:sz="8" w:space="0" w:color="E26B0A"/>
        <w:right w:val="single" w:sz="8" w:space="0" w:color="E26B0A"/>
      </w:pBdr>
      <w:spacing w:before="100" w:beforeAutospacing="1" w:after="100" w:afterAutospacing="1"/>
      <w:textAlignment w:val="top"/>
    </w:pPr>
    <w:rPr>
      <w:rFonts w:ascii="Arial" w:hAnsi="Arial" w:cs="Arial"/>
      <w:b/>
      <w:bCs/>
      <w:sz w:val="20"/>
      <w:szCs w:val="20"/>
    </w:rPr>
  </w:style>
  <w:style w:type="paragraph" w:customStyle="1" w:styleId="xl271">
    <w:name w:val="xl271"/>
    <w:basedOn w:val="Normlny"/>
    <w:rsid w:val="00BB33FC"/>
    <w:pPr>
      <w:pBdr>
        <w:right w:val="single" w:sz="4" w:space="0" w:color="A6A6A6"/>
      </w:pBdr>
      <w:shd w:val="clear" w:color="000000" w:fill="FDE9D9"/>
      <w:spacing w:before="100" w:beforeAutospacing="1" w:after="100" w:afterAutospacing="1"/>
    </w:pPr>
    <w:rPr>
      <w:rFonts w:ascii="Arial" w:hAnsi="Arial" w:cs="Arial"/>
      <w:sz w:val="20"/>
      <w:szCs w:val="20"/>
    </w:rPr>
  </w:style>
  <w:style w:type="paragraph" w:customStyle="1" w:styleId="xl272">
    <w:name w:val="xl272"/>
    <w:basedOn w:val="Normlny"/>
    <w:rsid w:val="00BB33FC"/>
    <w:pPr>
      <w:pBdr>
        <w:right w:val="single" w:sz="4" w:space="0" w:color="A6A6A6"/>
      </w:pBdr>
      <w:shd w:val="clear" w:color="000000" w:fill="FCD5B4"/>
      <w:spacing w:before="100" w:beforeAutospacing="1" w:after="100" w:afterAutospacing="1"/>
    </w:pPr>
    <w:rPr>
      <w:rFonts w:ascii="Arial" w:hAnsi="Arial" w:cs="Arial"/>
      <w:i/>
      <w:iCs/>
      <w:color w:val="E26B0A"/>
      <w:sz w:val="16"/>
      <w:szCs w:val="16"/>
    </w:rPr>
  </w:style>
  <w:style w:type="paragraph" w:customStyle="1" w:styleId="xl273">
    <w:name w:val="xl273"/>
    <w:basedOn w:val="Normlny"/>
    <w:rsid w:val="00BB33FC"/>
    <w:pPr>
      <w:shd w:val="clear" w:color="000000" w:fill="FCD5B4"/>
      <w:spacing w:before="100" w:beforeAutospacing="1" w:after="100" w:afterAutospacing="1"/>
    </w:pPr>
    <w:rPr>
      <w:rFonts w:ascii="Arial" w:hAnsi="Arial" w:cs="Arial"/>
      <w:sz w:val="18"/>
      <w:szCs w:val="18"/>
    </w:rPr>
  </w:style>
  <w:style w:type="paragraph" w:customStyle="1" w:styleId="xl274">
    <w:name w:val="xl274"/>
    <w:basedOn w:val="Normlny"/>
    <w:rsid w:val="00BB33FC"/>
    <w:pPr>
      <w:pBdr>
        <w:left w:val="single" w:sz="8" w:space="0" w:color="E26B0A"/>
      </w:pBdr>
      <w:shd w:val="clear" w:color="000000" w:fill="FCD5B4"/>
      <w:spacing w:before="100" w:beforeAutospacing="1" w:after="100" w:afterAutospacing="1"/>
      <w:textAlignment w:val="top"/>
    </w:pPr>
    <w:rPr>
      <w:rFonts w:ascii="Arial" w:hAnsi="Arial" w:cs="Arial"/>
      <w:sz w:val="18"/>
      <w:szCs w:val="18"/>
    </w:rPr>
  </w:style>
  <w:style w:type="paragraph" w:customStyle="1" w:styleId="xl275">
    <w:name w:val="xl275"/>
    <w:basedOn w:val="Normlny"/>
    <w:rsid w:val="00BB33FC"/>
    <w:pPr>
      <w:shd w:val="clear" w:color="000000" w:fill="FDE9D9"/>
      <w:spacing w:before="100" w:beforeAutospacing="1" w:after="100" w:afterAutospacing="1"/>
      <w:textAlignment w:val="top"/>
    </w:pPr>
    <w:rPr>
      <w:rFonts w:ascii="Arial" w:hAnsi="Arial" w:cs="Arial"/>
      <w:sz w:val="18"/>
      <w:szCs w:val="18"/>
    </w:rPr>
  </w:style>
  <w:style w:type="paragraph" w:customStyle="1" w:styleId="xl276">
    <w:name w:val="xl276"/>
    <w:basedOn w:val="Normlny"/>
    <w:rsid w:val="00BB33FC"/>
    <w:pPr>
      <w:shd w:val="clear" w:color="000000" w:fill="FDE9D9"/>
      <w:spacing w:before="100" w:beforeAutospacing="1" w:after="100" w:afterAutospacing="1"/>
    </w:pPr>
    <w:rPr>
      <w:rFonts w:ascii="Arial" w:hAnsi="Arial" w:cs="Arial"/>
      <w:i/>
      <w:iCs/>
      <w:color w:val="E26B0A"/>
      <w:sz w:val="16"/>
      <w:szCs w:val="16"/>
    </w:rPr>
  </w:style>
  <w:style w:type="paragraph" w:customStyle="1" w:styleId="xl277">
    <w:name w:val="xl277"/>
    <w:basedOn w:val="Normlny"/>
    <w:rsid w:val="00BB33FC"/>
    <w:pPr>
      <w:shd w:val="clear" w:color="000000" w:fill="FDE9D9"/>
      <w:spacing w:before="100" w:beforeAutospacing="1" w:after="100" w:afterAutospacing="1"/>
      <w:jc w:val="right"/>
    </w:pPr>
    <w:rPr>
      <w:rFonts w:ascii="Arial" w:hAnsi="Arial" w:cs="Arial"/>
      <w:sz w:val="18"/>
      <w:szCs w:val="18"/>
    </w:rPr>
  </w:style>
  <w:style w:type="paragraph" w:customStyle="1" w:styleId="xl278">
    <w:name w:val="xl278"/>
    <w:basedOn w:val="Normlny"/>
    <w:rsid w:val="00BB33FC"/>
    <w:pPr>
      <w:pBdr>
        <w:left w:val="single" w:sz="8" w:space="0" w:color="E26B0A"/>
      </w:pBdr>
      <w:shd w:val="clear" w:color="000000" w:fill="FDE9D9"/>
      <w:spacing w:before="100" w:beforeAutospacing="1" w:after="100" w:afterAutospacing="1"/>
      <w:textAlignment w:val="top"/>
    </w:pPr>
    <w:rPr>
      <w:rFonts w:ascii="Arial" w:hAnsi="Arial" w:cs="Arial"/>
      <w:sz w:val="18"/>
      <w:szCs w:val="18"/>
    </w:rPr>
  </w:style>
  <w:style w:type="paragraph" w:customStyle="1" w:styleId="xl279">
    <w:name w:val="xl279"/>
    <w:basedOn w:val="Normlny"/>
    <w:rsid w:val="00BB33FC"/>
    <w:pPr>
      <w:pBdr>
        <w:left w:val="single" w:sz="8" w:space="0" w:color="E26B0A"/>
        <w:bottom w:val="single" w:sz="4" w:space="0" w:color="A6A6A6"/>
      </w:pBdr>
      <w:shd w:val="clear" w:color="000000" w:fill="FDE9D9"/>
      <w:spacing w:before="100" w:beforeAutospacing="1" w:after="100" w:afterAutospacing="1"/>
      <w:textAlignment w:val="top"/>
    </w:pPr>
    <w:rPr>
      <w:rFonts w:ascii="Arial" w:hAnsi="Arial" w:cs="Arial"/>
      <w:sz w:val="18"/>
      <w:szCs w:val="18"/>
    </w:rPr>
  </w:style>
  <w:style w:type="paragraph" w:customStyle="1" w:styleId="xl280">
    <w:name w:val="xl280"/>
    <w:basedOn w:val="Normlny"/>
    <w:rsid w:val="00BB33FC"/>
    <w:pPr>
      <w:shd w:val="clear" w:color="000000" w:fill="FCD5B4"/>
      <w:spacing w:before="100" w:beforeAutospacing="1" w:after="100" w:afterAutospacing="1"/>
      <w:textAlignment w:val="top"/>
    </w:pPr>
    <w:rPr>
      <w:rFonts w:ascii="Arial" w:hAnsi="Arial" w:cs="Arial"/>
      <w:sz w:val="18"/>
      <w:szCs w:val="18"/>
    </w:rPr>
  </w:style>
  <w:style w:type="paragraph" w:customStyle="1" w:styleId="xl281">
    <w:name w:val="xl281"/>
    <w:basedOn w:val="Normlny"/>
    <w:rsid w:val="00BB33FC"/>
    <w:pPr>
      <w:pBdr>
        <w:top w:val="single" w:sz="4" w:space="0" w:color="A6A6A6"/>
        <w:left w:val="single" w:sz="8" w:space="0" w:color="E26B0A"/>
      </w:pBdr>
      <w:shd w:val="clear" w:color="000000" w:fill="FDE9D9"/>
      <w:spacing w:before="100" w:beforeAutospacing="1" w:after="100" w:afterAutospacing="1"/>
      <w:textAlignment w:val="top"/>
    </w:pPr>
    <w:rPr>
      <w:rFonts w:ascii="Arial" w:hAnsi="Arial" w:cs="Arial"/>
      <w:sz w:val="18"/>
      <w:szCs w:val="18"/>
    </w:rPr>
  </w:style>
  <w:style w:type="paragraph" w:customStyle="1" w:styleId="xl282">
    <w:name w:val="xl282"/>
    <w:basedOn w:val="Normlny"/>
    <w:rsid w:val="00BB33FC"/>
    <w:pPr>
      <w:pBdr>
        <w:bottom w:val="single" w:sz="8" w:space="0" w:color="E26B0A"/>
      </w:pBdr>
      <w:shd w:val="clear" w:color="000000" w:fill="FCD5B4"/>
      <w:spacing w:before="100" w:beforeAutospacing="1" w:after="100" w:afterAutospacing="1"/>
      <w:textAlignment w:val="top"/>
    </w:pPr>
    <w:rPr>
      <w:rFonts w:ascii="Arial" w:hAnsi="Arial" w:cs="Arial"/>
      <w:sz w:val="18"/>
      <w:szCs w:val="18"/>
    </w:rPr>
  </w:style>
  <w:style w:type="paragraph" w:customStyle="1" w:styleId="xl283">
    <w:name w:val="xl283"/>
    <w:basedOn w:val="Normlny"/>
    <w:rsid w:val="00BB33FC"/>
    <w:pPr>
      <w:pBdr>
        <w:top w:val="single" w:sz="8" w:space="0" w:color="E26B0A"/>
        <w:bottom w:val="single" w:sz="8" w:space="0" w:color="E26B0A"/>
        <w:right w:val="single" w:sz="4" w:space="0" w:color="A6A6A6"/>
      </w:pBdr>
      <w:spacing w:before="100" w:beforeAutospacing="1" w:after="100" w:afterAutospacing="1"/>
      <w:jc w:val="center"/>
    </w:pPr>
    <w:rPr>
      <w:rFonts w:ascii="Arial" w:hAnsi="Arial" w:cs="Arial"/>
      <w:b/>
      <w:bCs/>
      <w:sz w:val="18"/>
      <w:szCs w:val="18"/>
    </w:rPr>
  </w:style>
  <w:style w:type="paragraph" w:customStyle="1" w:styleId="xl284">
    <w:name w:val="xl284"/>
    <w:basedOn w:val="Normlny"/>
    <w:rsid w:val="00BB33FC"/>
    <w:pPr>
      <w:pBdr>
        <w:top w:val="single" w:sz="4" w:space="0" w:color="A6A6A6"/>
        <w:bottom w:val="single" w:sz="8" w:space="0" w:color="E26B0A"/>
      </w:pBdr>
      <w:shd w:val="clear" w:color="000000" w:fill="FDE9D9"/>
      <w:spacing w:before="100" w:beforeAutospacing="1" w:after="100" w:afterAutospacing="1"/>
      <w:textAlignment w:val="top"/>
    </w:pPr>
    <w:rPr>
      <w:rFonts w:ascii="Arial" w:hAnsi="Arial" w:cs="Arial"/>
      <w:sz w:val="20"/>
      <w:szCs w:val="20"/>
    </w:rPr>
  </w:style>
  <w:style w:type="paragraph" w:customStyle="1" w:styleId="xl285">
    <w:name w:val="xl285"/>
    <w:basedOn w:val="Normlny"/>
    <w:rsid w:val="00BB33FC"/>
    <w:pPr>
      <w:pBdr>
        <w:bottom w:val="single" w:sz="8" w:space="0" w:color="E26B0A"/>
        <w:right w:val="single" w:sz="8" w:space="0" w:color="E26B0A"/>
      </w:pBdr>
      <w:shd w:val="clear" w:color="000000" w:fill="FDE9D9"/>
      <w:spacing w:before="100" w:beforeAutospacing="1" w:after="100" w:afterAutospacing="1"/>
    </w:pPr>
    <w:rPr>
      <w:rFonts w:ascii="Arial" w:hAnsi="Arial" w:cs="Arial"/>
      <w:sz w:val="18"/>
      <w:szCs w:val="18"/>
    </w:rPr>
  </w:style>
  <w:style w:type="paragraph" w:customStyle="1" w:styleId="xl286">
    <w:name w:val="xl286"/>
    <w:basedOn w:val="Normlny"/>
    <w:rsid w:val="00BB33FC"/>
    <w:pPr>
      <w:pBdr>
        <w:top w:val="single" w:sz="8" w:space="0" w:color="E26B0A"/>
        <w:bottom w:val="single" w:sz="8" w:space="0" w:color="E26B0A"/>
        <w:right w:val="single" w:sz="4" w:space="0" w:color="A6A6A6"/>
      </w:pBdr>
      <w:spacing w:before="100" w:beforeAutospacing="1" w:after="100" w:afterAutospacing="1"/>
      <w:jc w:val="center"/>
    </w:pPr>
    <w:rPr>
      <w:rFonts w:ascii="Arial" w:hAnsi="Arial" w:cs="Arial"/>
      <w:b/>
      <w:bCs/>
      <w:sz w:val="18"/>
      <w:szCs w:val="18"/>
    </w:rPr>
  </w:style>
  <w:style w:type="paragraph" w:customStyle="1" w:styleId="xl287">
    <w:name w:val="xl287"/>
    <w:basedOn w:val="Normlny"/>
    <w:rsid w:val="00BB33FC"/>
    <w:pPr>
      <w:pBdr>
        <w:bottom w:val="single" w:sz="8" w:space="0" w:color="E26B0A"/>
        <w:right w:val="single" w:sz="4" w:space="0" w:color="A6A6A6"/>
      </w:pBdr>
      <w:shd w:val="clear" w:color="000000" w:fill="FDE9D9"/>
      <w:spacing w:before="100" w:beforeAutospacing="1" w:after="100" w:afterAutospacing="1"/>
      <w:jc w:val="right"/>
    </w:pPr>
    <w:rPr>
      <w:rFonts w:ascii="Arial" w:hAnsi="Arial" w:cs="Arial"/>
      <w:i/>
      <w:iCs/>
      <w:color w:val="FF0000"/>
      <w:sz w:val="16"/>
      <w:szCs w:val="16"/>
    </w:rPr>
  </w:style>
  <w:style w:type="paragraph" w:customStyle="1" w:styleId="xl288">
    <w:name w:val="xl288"/>
    <w:basedOn w:val="Normlny"/>
    <w:rsid w:val="00BB33FC"/>
    <w:pPr>
      <w:pBdr>
        <w:right w:val="single" w:sz="4" w:space="0" w:color="A6A6A6"/>
      </w:pBdr>
      <w:shd w:val="clear" w:color="000000" w:fill="FDE9D9"/>
      <w:spacing w:before="100" w:beforeAutospacing="1" w:after="100" w:afterAutospacing="1"/>
      <w:jc w:val="right"/>
    </w:pPr>
    <w:rPr>
      <w:rFonts w:ascii="Arial" w:hAnsi="Arial" w:cs="Arial"/>
      <w:i/>
      <w:iCs/>
      <w:color w:val="FF0000"/>
      <w:sz w:val="16"/>
      <w:szCs w:val="16"/>
    </w:rPr>
  </w:style>
  <w:style w:type="paragraph" w:customStyle="1" w:styleId="xl289">
    <w:name w:val="xl289"/>
    <w:basedOn w:val="Normlny"/>
    <w:rsid w:val="00BB33FC"/>
    <w:pPr>
      <w:pBdr>
        <w:right w:val="single" w:sz="4" w:space="0" w:color="A6A6A6"/>
      </w:pBdr>
      <w:shd w:val="clear" w:color="000000" w:fill="FDE9D9"/>
      <w:spacing w:before="100" w:beforeAutospacing="1" w:after="100" w:afterAutospacing="1"/>
    </w:pPr>
    <w:rPr>
      <w:rFonts w:ascii="Arial" w:hAnsi="Arial" w:cs="Arial"/>
      <w:i/>
      <w:iCs/>
      <w:color w:val="FF0000"/>
      <w:sz w:val="16"/>
      <w:szCs w:val="16"/>
    </w:rPr>
  </w:style>
  <w:style w:type="paragraph" w:customStyle="1" w:styleId="xl290">
    <w:name w:val="xl290"/>
    <w:basedOn w:val="Normlny"/>
    <w:rsid w:val="00BB33FC"/>
    <w:pPr>
      <w:pBdr>
        <w:right w:val="single" w:sz="4" w:space="0" w:color="A6A6A6"/>
      </w:pBdr>
      <w:shd w:val="clear" w:color="000000" w:fill="FCD5B4"/>
      <w:spacing w:before="100" w:beforeAutospacing="1" w:after="100" w:afterAutospacing="1"/>
    </w:pPr>
    <w:rPr>
      <w:rFonts w:ascii="Arial" w:hAnsi="Arial" w:cs="Arial"/>
      <w:i/>
      <w:iCs/>
      <w:color w:val="FF0000"/>
      <w:sz w:val="16"/>
      <w:szCs w:val="16"/>
    </w:rPr>
  </w:style>
  <w:style w:type="paragraph" w:customStyle="1" w:styleId="xl291">
    <w:name w:val="xl291"/>
    <w:basedOn w:val="Normlny"/>
    <w:rsid w:val="00BB33FC"/>
    <w:pPr>
      <w:pBdr>
        <w:right w:val="single" w:sz="4" w:space="0" w:color="A6A6A6"/>
      </w:pBdr>
      <w:shd w:val="clear" w:color="000000" w:fill="FDE9D9"/>
      <w:spacing w:before="100" w:beforeAutospacing="1" w:after="100" w:afterAutospacing="1"/>
      <w:jc w:val="center"/>
    </w:pPr>
    <w:rPr>
      <w:rFonts w:ascii="Arial" w:hAnsi="Arial" w:cs="Arial"/>
      <w:i/>
      <w:iCs/>
      <w:color w:val="FF0000"/>
      <w:sz w:val="16"/>
      <w:szCs w:val="16"/>
    </w:rPr>
  </w:style>
  <w:style w:type="paragraph" w:customStyle="1" w:styleId="xl292">
    <w:name w:val="xl292"/>
    <w:basedOn w:val="Normlny"/>
    <w:rsid w:val="00BB33FC"/>
    <w:pPr>
      <w:pBdr>
        <w:right w:val="single" w:sz="4" w:space="0" w:color="A6A6A6"/>
      </w:pBdr>
      <w:shd w:val="clear" w:color="000000" w:fill="FCD5B4"/>
      <w:spacing w:before="100" w:beforeAutospacing="1" w:after="100" w:afterAutospacing="1"/>
      <w:jc w:val="right"/>
    </w:pPr>
    <w:rPr>
      <w:rFonts w:ascii="Arial" w:hAnsi="Arial" w:cs="Arial"/>
      <w:i/>
      <w:iCs/>
      <w:color w:val="FF0000"/>
      <w:sz w:val="16"/>
      <w:szCs w:val="16"/>
    </w:rPr>
  </w:style>
  <w:style w:type="paragraph" w:customStyle="1" w:styleId="xl293">
    <w:name w:val="xl293"/>
    <w:basedOn w:val="Normlny"/>
    <w:rsid w:val="00BB33FC"/>
    <w:pPr>
      <w:shd w:val="clear" w:color="000000" w:fill="FCD5B4"/>
      <w:spacing w:before="100" w:beforeAutospacing="1" w:after="100" w:afterAutospacing="1"/>
    </w:pPr>
    <w:rPr>
      <w:rFonts w:ascii="Arial" w:hAnsi="Arial" w:cs="Arial"/>
      <w:sz w:val="18"/>
      <w:szCs w:val="18"/>
    </w:rPr>
  </w:style>
  <w:style w:type="paragraph" w:customStyle="1" w:styleId="xl294">
    <w:name w:val="xl294"/>
    <w:basedOn w:val="Normlny"/>
    <w:rsid w:val="00BB33FC"/>
    <w:pPr>
      <w:pBdr>
        <w:right w:val="single" w:sz="4" w:space="0" w:color="A6A6A6"/>
      </w:pBdr>
      <w:shd w:val="clear" w:color="000000" w:fill="FCD5B4"/>
      <w:spacing w:before="100" w:beforeAutospacing="1" w:after="100" w:afterAutospacing="1"/>
      <w:jc w:val="right"/>
    </w:pPr>
    <w:rPr>
      <w:rFonts w:ascii="Arial" w:hAnsi="Arial" w:cs="Arial"/>
      <w:sz w:val="18"/>
      <w:szCs w:val="18"/>
    </w:rPr>
  </w:style>
  <w:style w:type="paragraph" w:customStyle="1" w:styleId="xl295">
    <w:name w:val="xl295"/>
    <w:basedOn w:val="Normlny"/>
    <w:rsid w:val="00BB33FC"/>
    <w:pPr>
      <w:pBdr>
        <w:bottom w:val="single" w:sz="8" w:space="0" w:color="E26B0A"/>
        <w:right w:val="single" w:sz="4" w:space="0" w:color="A6A6A6"/>
      </w:pBdr>
      <w:shd w:val="clear" w:color="000000" w:fill="FDE9D9"/>
      <w:spacing w:before="100" w:beforeAutospacing="1" w:after="100" w:afterAutospacing="1"/>
      <w:jc w:val="right"/>
    </w:pPr>
    <w:rPr>
      <w:rFonts w:ascii="Arial" w:hAnsi="Arial" w:cs="Arial"/>
      <w:sz w:val="18"/>
      <w:szCs w:val="18"/>
    </w:rPr>
  </w:style>
  <w:style w:type="paragraph" w:customStyle="1" w:styleId="xl296">
    <w:name w:val="xl296"/>
    <w:basedOn w:val="Normlny"/>
    <w:rsid w:val="00BB33FC"/>
    <w:pPr>
      <w:pBdr>
        <w:top w:val="single" w:sz="4" w:space="0" w:color="A6A6A6"/>
        <w:bottom w:val="single" w:sz="8" w:space="0" w:color="E26B0A"/>
        <w:right w:val="single" w:sz="4" w:space="0" w:color="A6A6A6"/>
      </w:pBdr>
      <w:shd w:val="clear" w:color="000000" w:fill="FCD5B4"/>
      <w:spacing w:before="100" w:beforeAutospacing="1" w:after="100" w:afterAutospacing="1"/>
      <w:jc w:val="right"/>
    </w:pPr>
    <w:rPr>
      <w:rFonts w:ascii="Arial" w:hAnsi="Arial" w:cs="Arial"/>
      <w:sz w:val="18"/>
      <w:szCs w:val="18"/>
    </w:rPr>
  </w:style>
  <w:style w:type="paragraph" w:customStyle="1" w:styleId="xl297">
    <w:name w:val="xl297"/>
    <w:basedOn w:val="Normlny"/>
    <w:rsid w:val="00BB33FC"/>
    <w:pPr>
      <w:pBdr>
        <w:top w:val="single" w:sz="8" w:space="0" w:color="E26B0A"/>
      </w:pBdr>
      <w:spacing w:before="100" w:beforeAutospacing="1" w:after="100" w:afterAutospacing="1"/>
      <w:jc w:val="center"/>
    </w:pPr>
    <w:rPr>
      <w:rFonts w:ascii="Arial" w:hAnsi="Arial" w:cs="Arial"/>
      <w:b/>
      <w:bCs/>
      <w:sz w:val="18"/>
      <w:szCs w:val="18"/>
    </w:rPr>
  </w:style>
  <w:style w:type="paragraph" w:customStyle="1" w:styleId="xl298">
    <w:name w:val="xl298"/>
    <w:basedOn w:val="Normlny"/>
    <w:rsid w:val="00BB33FC"/>
    <w:pPr>
      <w:pBdr>
        <w:top w:val="single" w:sz="8" w:space="0" w:color="E26B0A"/>
      </w:pBdr>
      <w:spacing w:before="100" w:beforeAutospacing="1" w:after="100" w:afterAutospacing="1"/>
    </w:pPr>
    <w:rPr>
      <w:rFonts w:ascii="Arial" w:hAnsi="Arial" w:cs="Arial"/>
      <w:b/>
      <w:bCs/>
      <w:sz w:val="18"/>
      <w:szCs w:val="18"/>
    </w:rPr>
  </w:style>
  <w:style w:type="paragraph" w:customStyle="1" w:styleId="xl299">
    <w:name w:val="xl299"/>
    <w:basedOn w:val="Normlny"/>
    <w:rsid w:val="00BB33FC"/>
    <w:pPr>
      <w:pBdr>
        <w:top w:val="single" w:sz="8" w:space="0" w:color="E26B0A"/>
      </w:pBdr>
      <w:spacing w:before="100" w:beforeAutospacing="1" w:after="100" w:afterAutospacing="1"/>
      <w:jc w:val="center"/>
    </w:pPr>
    <w:rPr>
      <w:rFonts w:ascii="Arial" w:hAnsi="Arial" w:cs="Arial"/>
      <w:b/>
      <w:bCs/>
      <w:sz w:val="18"/>
      <w:szCs w:val="18"/>
    </w:rPr>
  </w:style>
  <w:style w:type="paragraph" w:customStyle="1" w:styleId="xl300">
    <w:name w:val="xl300"/>
    <w:basedOn w:val="Normlny"/>
    <w:rsid w:val="00BB33FC"/>
    <w:pPr>
      <w:pBdr>
        <w:top w:val="single" w:sz="8" w:space="0" w:color="E26B0A"/>
        <w:right w:val="single" w:sz="8" w:space="0" w:color="E26B0A"/>
      </w:pBdr>
      <w:spacing w:before="100" w:beforeAutospacing="1" w:after="100" w:afterAutospacing="1"/>
    </w:pPr>
    <w:rPr>
      <w:rFonts w:ascii="Arial" w:hAnsi="Arial" w:cs="Arial"/>
      <w:sz w:val="18"/>
      <w:szCs w:val="18"/>
    </w:rPr>
  </w:style>
  <w:style w:type="paragraph" w:customStyle="1" w:styleId="xl301">
    <w:name w:val="xl301"/>
    <w:basedOn w:val="Normlny"/>
    <w:rsid w:val="00BB33FC"/>
    <w:pPr>
      <w:pBdr>
        <w:top w:val="single" w:sz="8" w:space="0" w:color="E26B0A"/>
      </w:pBdr>
      <w:spacing w:before="100" w:beforeAutospacing="1" w:after="100" w:afterAutospacing="1"/>
      <w:textAlignment w:val="top"/>
    </w:pPr>
    <w:rPr>
      <w:rFonts w:ascii="Arial" w:hAnsi="Arial" w:cs="Arial"/>
      <w:b/>
      <w:bCs/>
      <w:i/>
      <w:iCs/>
      <w:sz w:val="20"/>
      <w:szCs w:val="20"/>
    </w:rPr>
  </w:style>
  <w:style w:type="paragraph" w:customStyle="1" w:styleId="xl302">
    <w:name w:val="xl302"/>
    <w:basedOn w:val="Normlny"/>
    <w:rsid w:val="00BB33FC"/>
    <w:pPr>
      <w:pBdr>
        <w:top w:val="single" w:sz="8" w:space="0" w:color="E26B0A"/>
      </w:pBdr>
      <w:spacing w:before="100" w:beforeAutospacing="1" w:after="100" w:afterAutospacing="1"/>
    </w:pPr>
    <w:rPr>
      <w:rFonts w:ascii="Arial" w:hAnsi="Arial" w:cs="Arial"/>
      <w:b/>
      <w:bCs/>
      <w:i/>
      <w:iCs/>
      <w:sz w:val="20"/>
      <w:szCs w:val="20"/>
    </w:rPr>
  </w:style>
  <w:style w:type="paragraph" w:customStyle="1" w:styleId="xl303">
    <w:name w:val="xl303"/>
    <w:basedOn w:val="Normlny"/>
    <w:rsid w:val="00BB33FC"/>
    <w:pPr>
      <w:pBdr>
        <w:top w:val="single" w:sz="8" w:space="0" w:color="E26B0A"/>
        <w:left w:val="single" w:sz="8" w:space="0" w:color="E26B0A"/>
      </w:pBdr>
      <w:spacing w:before="100" w:beforeAutospacing="1" w:after="100" w:afterAutospacing="1"/>
      <w:jc w:val="center"/>
    </w:pPr>
    <w:rPr>
      <w:rFonts w:ascii="Arial" w:hAnsi="Arial" w:cs="Arial"/>
      <w:b/>
      <w:bCs/>
      <w:i/>
      <w:iCs/>
      <w:sz w:val="28"/>
      <w:szCs w:val="28"/>
    </w:rPr>
  </w:style>
  <w:style w:type="paragraph" w:customStyle="1" w:styleId="xl304">
    <w:name w:val="xl304"/>
    <w:basedOn w:val="Normlny"/>
    <w:rsid w:val="00BB33FC"/>
    <w:pPr>
      <w:pBdr>
        <w:top w:val="single" w:sz="8" w:space="0" w:color="E26B0A"/>
      </w:pBdr>
      <w:spacing w:before="100" w:beforeAutospacing="1" w:after="100" w:afterAutospacing="1"/>
      <w:jc w:val="center"/>
    </w:pPr>
    <w:rPr>
      <w:rFonts w:ascii="Arial" w:hAnsi="Arial" w:cs="Arial"/>
      <w:b/>
      <w:bCs/>
      <w:i/>
      <w:iCs/>
      <w:sz w:val="28"/>
      <w:szCs w:val="28"/>
    </w:rPr>
  </w:style>
  <w:style w:type="paragraph" w:customStyle="1" w:styleId="xl305">
    <w:name w:val="xl305"/>
    <w:basedOn w:val="Normlny"/>
    <w:rsid w:val="00BB33FC"/>
    <w:pPr>
      <w:pBdr>
        <w:top w:val="single" w:sz="8" w:space="0" w:color="E26B0A"/>
      </w:pBdr>
      <w:spacing w:before="100" w:beforeAutospacing="1" w:after="100" w:afterAutospacing="1"/>
      <w:jc w:val="center"/>
    </w:pPr>
    <w:rPr>
      <w:rFonts w:ascii="Arial" w:hAnsi="Arial" w:cs="Arial"/>
      <w:b/>
      <w:bCs/>
      <w:sz w:val="18"/>
      <w:szCs w:val="18"/>
    </w:rPr>
  </w:style>
  <w:style w:type="paragraph" w:customStyle="1" w:styleId="xl306">
    <w:name w:val="xl306"/>
    <w:basedOn w:val="Normlny"/>
    <w:rsid w:val="00BB33FC"/>
    <w:pPr>
      <w:pBdr>
        <w:top w:val="single" w:sz="8" w:space="0" w:color="E26B0A"/>
        <w:left w:val="single" w:sz="4" w:space="0" w:color="A6A6A6"/>
        <w:bottom w:val="single" w:sz="8" w:space="0" w:color="E26B0A"/>
        <w:right w:val="single" w:sz="8" w:space="0" w:color="E26B0A"/>
      </w:pBdr>
      <w:spacing w:before="100" w:beforeAutospacing="1" w:after="100" w:afterAutospacing="1"/>
    </w:pPr>
    <w:rPr>
      <w:rFonts w:ascii="Arial" w:hAnsi="Arial" w:cs="Arial"/>
      <w:b/>
      <w:bCs/>
      <w:sz w:val="18"/>
      <w:szCs w:val="18"/>
    </w:rPr>
  </w:style>
  <w:style w:type="paragraph" w:customStyle="1" w:styleId="xl307">
    <w:name w:val="xl307"/>
    <w:basedOn w:val="Normlny"/>
    <w:rsid w:val="00BB33FC"/>
    <w:pPr>
      <w:pBdr>
        <w:right w:val="single" w:sz="4" w:space="0" w:color="A6A6A6"/>
      </w:pBdr>
      <w:shd w:val="clear" w:color="000000" w:fill="CCC0DA"/>
      <w:spacing w:before="100" w:beforeAutospacing="1" w:after="100" w:afterAutospacing="1"/>
      <w:jc w:val="right"/>
    </w:pPr>
    <w:rPr>
      <w:rFonts w:ascii="Arial" w:hAnsi="Arial" w:cs="Arial"/>
      <w:sz w:val="18"/>
      <w:szCs w:val="18"/>
    </w:rPr>
  </w:style>
  <w:style w:type="paragraph" w:customStyle="1" w:styleId="xl308">
    <w:name w:val="xl308"/>
    <w:basedOn w:val="Normlny"/>
    <w:rsid w:val="00BB33FC"/>
    <w:pPr>
      <w:pBdr>
        <w:top w:val="single" w:sz="4" w:space="0" w:color="A6A6A6"/>
        <w:bottom w:val="single" w:sz="8" w:space="0" w:color="E26B0A"/>
        <w:right w:val="single" w:sz="4" w:space="0" w:color="A6A6A6"/>
      </w:pBdr>
      <w:shd w:val="clear" w:color="000000" w:fill="FDE9D9"/>
      <w:spacing w:before="100" w:beforeAutospacing="1" w:after="100" w:afterAutospacing="1"/>
      <w:jc w:val="right"/>
    </w:pPr>
    <w:rPr>
      <w:rFonts w:ascii="Arial" w:hAnsi="Arial" w:cs="Arial"/>
      <w:sz w:val="18"/>
      <w:szCs w:val="18"/>
    </w:rPr>
  </w:style>
  <w:style w:type="paragraph" w:customStyle="1" w:styleId="xl309">
    <w:name w:val="xl309"/>
    <w:basedOn w:val="Normlny"/>
    <w:rsid w:val="00BB33FC"/>
    <w:pPr>
      <w:spacing w:before="100" w:beforeAutospacing="1" w:after="100" w:afterAutospacing="1"/>
    </w:pPr>
    <w:rPr>
      <w:rFonts w:ascii="Arial" w:hAnsi="Arial" w:cs="Arial"/>
      <w:b/>
      <w:bCs/>
      <w:sz w:val="20"/>
      <w:szCs w:val="20"/>
    </w:rPr>
  </w:style>
  <w:style w:type="paragraph" w:customStyle="1" w:styleId="xl310">
    <w:name w:val="xl310"/>
    <w:basedOn w:val="Normlny"/>
    <w:rsid w:val="00BB33FC"/>
    <w:pPr>
      <w:spacing w:before="100" w:beforeAutospacing="1" w:after="100" w:afterAutospacing="1"/>
      <w:jc w:val="right"/>
    </w:pPr>
    <w:rPr>
      <w:rFonts w:ascii="Arial" w:hAnsi="Arial" w:cs="Arial"/>
      <w:sz w:val="18"/>
      <w:szCs w:val="18"/>
    </w:rPr>
  </w:style>
  <w:style w:type="paragraph" w:customStyle="1" w:styleId="xl311">
    <w:name w:val="xl311"/>
    <w:basedOn w:val="Normlny"/>
    <w:rsid w:val="00BB33FC"/>
    <w:pPr>
      <w:spacing w:before="100" w:beforeAutospacing="1" w:after="100" w:afterAutospacing="1"/>
    </w:pPr>
    <w:rPr>
      <w:rFonts w:ascii="Arial" w:hAnsi="Arial" w:cs="Arial"/>
      <w:sz w:val="18"/>
      <w:szCs w:val="18"/>
    </w:rPr>
  </w:style>
  <w:style w:type="paragraph" w:customStyle="1" w:styleId="xl312">
    <w:name w:val="xl312"/>
    <w:basedOn w:val="Normlny"/>
    <w:rsid w:val="00BB33FC"/>
    <w:pPr>
      <w:spacing w:before="100" w:beforeAutospacing="1" w:after="100" w:afterAutospacing="1"/>
      <w:jc w:val="right"/>
    </w:pPr>
    <w:rPr>
      <w:rFonts w:ascii="Arial" w:hAnsi="Arial" w:cs="Arial"/>
      <w:sz w:val="18"/>
      <w:szCs w:val="18"/>
    </w:rPr>
  </w:style>
  <w:style w:type="paragraph" w:customStyle="1" w:styleId="xl313">
    <w:name w:val="xl313"/>
    <w:basedOn w:val="Normlny"/>
    <w:rsid w:val="00BB33FC"/>
    <w:pPr>
      <w:pBdr>
        <w:right w:val="single" w:sz="8" w:space="0" w:color="E26B0A"/>
      </w:pBdr>
      <w:spacing w:before="100" w:beforeAutospacing="1" w:after="100" w:afterAutospacing="1"/>
    </w:pPr>
    <w:rPr>
      <w:rFonts w:ascii="Arial" w:hAnsi="Arial" w:cs="Arial"/>
      <w:sz w:val="18"/>
      <w:szCs w:val="18"/>
    </w:rPr>
  </w:style>
  <w:style w:type="paragraph" w:customStyle="1" w:styleId="xl314">
    <w:name w:val="xl314"/>
    <w:basedOn w:val="Normlny"/>
    <w:rsid w:val="00BB33FC"/>
    <w:pPr>
      <w:pBdr>
        <w:top w:val="single" w:sz="8" w:space="0" w:color="E26B0A"/>
      </w:pBdr>
      <w:shd w:val="clear" w:color="000000" w:fill="FFFFFF"/>
      <w:spacing w:before="100" w:beforeAutospacing="1" w:after="100" w:afterAutospacing="1"/>
    </w:pPr>
    <w:rPr>
      <w:rFonts w:ascii="Arial" w:hAnsi="Arial" w:cs="Arial"/>
      <w:b/>
      <w:bCs/>
      <w:i/>
      <w:iCs/>
      <w:sz w:val="20"/>
      <w:szCs w:val="20"/>
    </w:rPr>
  </w:style>
  <w:style w:type="paragraph" w:customStyle="1" w:styleId="xl315">
    <w:name w:val="xl315"/>
    <w:basedOn w:val="Normlny"/>
    <w:rsid w:val="00BB33FC"/>
    <w:pPr>
      <w:shd w:val="clear" w:color="000000" w:fill="FDE9D9"/>
      <w:spacing w:before="100" w:beforeAutospacing="1" w:after="100" w:afterAutospacing="1"/>
    </w:pPr>
    <w:rPr>
      <w:rFonts w:ascii="Arial" w:hAnsi="Arial" w:cs="Arial"/>
      <w:b/>
      <w:bCs/>
      <w:sz w:val="20"/>
      <w:szCs w:val="20"/>
    </w:rPr>
  </w:style>
  <w:style w:type="paragraph" w:customStyle="1" w:styleId="xl316">
    <w:name w:val="xl316"/>
    <w:basedOn w:val="Normlny"/>
    <w:rsid w:val="00BB33FC"/>
    <w:pPr>
      <w:shd w:val="clear" w:color="000000" w:fill="FDE9D9"/>
      <w:spacing w:before="100" w:beforeAutospacing="1" w:after="100" w:afterAutospacing="1"/>
      <w:jc w:val="right"/>
    </w:pPr>
    <w:rPr>
      <w:rFonts w:ascii="Arial" w:hAnsi="Arial" w:cs="Arial"/>
      <w:sz w:val="18"/>
      <w:szCs w:val="18"/>
    </w:rPr>
  </w:style>
  <w:style w:type="paragraph" w:customStyle="1" w:styleId="xl317">
    <w:name w:val="xl317"/>
    <w:basedOn w:val="Normlny"/>
    <w:rsid w:val="00BB33FC"/>
    <w:pPr>
      <w:shd w:val="clear" w:color="000000" w:fill="FDE9D9"/>
      <w:spacing w:before="100" w:beforeAutospacing="1" w:after="100" w:afterAutospacing="1"/>
    </w:pPr>
    <w:rPr>
      <w:rFonts w:ascii="Arial" w:hAnsi="Arial" w:cs="Arial"/>
      <w:sz w:val="18"/>
      <w:szCs w:val="18"/>
    </w:rPr>
  </w:style>
  <w:style w:type="paragraph" w:customStyle="1" w:styleId="xl318">
    <w:name w:val="xl318"/>
    <w:basedOn w:val="Normlny"/>
    <w:rsid w:val="00BB33FC"/>
    <w:pPr>
      <w:shd w:val="clear" w:color="000000" w:fill="FDE9D9"/>
      <w:spacing w:before="100" w:beforeAutospacing="1" w:after="100" w:afterAutospacing="1"/>
      <w:jc w:val="right"/>
    </w:pPr>
    <w:rPr>
      <w:rFonts w:ascii="Arial" w:hAnsi="Arial" w:cs="Arial"/>
      <w:sz w:val="18"/>
      <w:szCs w:val="18"/>
    </w:rPr>
  </w:style>
  <w:style w:type="paragraph" w:customStyle="1" w:styleId="xl319">
    <w:name w:val="xl319"/>
    <w:basedOn w:val="Normlny"/>
    <w:rsid w:val="00BB33FC"/>
    <w:pPr>
      <w:shd w:val="clear" w:color="000000" w:fill="FCD5B4"/>
      <w:spacing w:before="100" w:beforeAutospacing="1" w:after="100" w:afterAutospacing="1"/>
    </w:pPr>
    <w:rPr>
      <w:rFonts w:ascii="Arial" w:hAnsi="Arial" w:cs="Arial"/>
      <w:b/>
      <w:bCs/>
      <w:sz w:val="20"/>
      <w:szCs w:val="20"/>
    </w:rPr>
  </w:style>
  <w:style w:type="paragraph" w:customStyle="1" w:styleId="xl320">
    <w:name w:val="xl320"/>
    <w:basedOn w:val="Normlny"/>
    <w:rsid w:val="00BB33FC"/>
    <w:pPr>
      <w:shd w:val="clear" w:color="000000" w:fill="FCD5B4"/>
      <w:spacing w:before="100" w:beforeAutospacing="1" w:after="100" w:afterAutospacing="1"/>
      <w:jc w:val="right"/>
    </w:pPr>
    <w:rPr>
      <w:rFonts w:ascii="Arial" w:hAnsi="Arial" w:cs="Arial"/>
      <w:sz w:val="18"/>
      <w:szCs w:val="18"/>
    </w:rPr>
  </w:style>
  <w:style w:type="paragraph" w:customStyle="1" w:styleId="xl321">
    <w:name w:val="xl321"/>
    <w:basedOn w:val="Normlny"/>
    <w:rsid w:val="00BB33FC"/>
    <w:pPr>
      <w:shd w:val="clear" w:color="000000" w:fill="FCD5B4"/>
      <w:spacing w:before="100" w:beforeAutospacing="1" w:after="100" w:afterAutospacing="1"/>
    </w:pPr>
    <w:rPr>
      <w:rFonts w:ascii="Arial" w:hAnsi="Arial" w:cs="Arial"/>
      <w:sz w:val="18"/>
      <w:szCs w:val="18"/>
    </w:rPr>
  </w:style>
  <w:style w:type="paragraph" w:customStyle="1" w:styleId="xl322">
    <w:name w:val="xl322"/>
    <w:basedOn w:val="Normlny"/>
    <w:rsid w:val="00BB33FC"/>
    <w:pPr>
      <w:shd w:val="clear" w:color="000000" w:fill="FCD5B4"/>
      <w:spacing w:before="100" w:beforeAutospacing="1" w:after="100" w:afterAutospacing="1"/>
      <w:jc w:val="right"/>
    </w:pPr>
    <w:rPr>
      <w:rFonts w:ascii="Arial" w:hAnsi="Arial" w:cs="Arial"/>
      <w:sz w:val="18"/>
      <w:szCs w:val="18"/>
    </w:rPr>
  </w:style>
  <w:style w:type="paragraph" w:customStyle="1" w:styleId="xl323">
    <w:name w:val="xl323"/>
    <w:basedOn w:val="Normlny"/>
    <w:rsid w:val="00BB33FC"/>
    <w:pPr>
      <w:shd w:val="clear" w:color="000000" w:fill="FCD5B4"/>
      <w:spacing w:before="100" w:beforeAutospacing="1" w:after="100" w:afterAutospacing="1"/>
      <w:jc w:val="right"/>
    </w:pPr>
    <w:rPr>
      <w:rFonts w:ascii="Arial" w:hAnsi="Arial" w:cs="Arial"/>
      <w:sz w:val="18"/>
      <w:szCs w:val="18"/>
    </w:rPr>
  </w:style>
  <w:style w:type="paragraph" w:customStyle="1" w:styleId="xl324">
    <w:name w:val="xl324"/>
    <w:basedOn w:val="Normlny"/>
    <w:rsid w:val="00BB33FC"/>
    <w:pPr>
      <w:shd w:val="clear" w:color="000000" w:fill="FCD5B4"/>
      <w:spacing w:before="100" w:beforeAutospacing="1" w:after="100" w:afterAutospacing="1"/>
      <w:textAlignment w:val="center"/>
    </w:pPr>
    <w:rPr>
      <w:rFonts w:ascii="Arial" w:hAnsi="Arial" w:cs="Arial"/>
      <w:b/>
      <w:bCs/>
      <w:sz w:val="16"/>
      <w:szCs w:val="16"/>
    </w:rPr>
  </w:style>
  <w:style w:type="paragraph" w:customStyle="1" w:styleId="xl325">
    <w:name w:val="xl325"/>
    <w:basedOn w:val="Normlny"/>
    <w:rsid w:val="00BB33FC"/>
    <w:pPr>
      <w:shd w:val="clear" w:color="000000" w:fill="FCD5B4"/>
      <w:spacing w:before="100" w:beforeAutospacing="1" w:after="100" w:afterAutospacing="1"/>
      <w:textAlignment w:val="center"/>
    </w:pPr>
    <w:rPr>
      <w:rFonts w:ascii="Arial" w:hAnsi="Arial" w:cs="Arial"/>
      <w:b/>
      <w:bCs/>
      <w:sz w:val="20"/>
      <w:szCs w:val="20"/>
    </w:rPr>
  </w:style>
  <w:style w:type="paragraph" w:customStyle="1" w:styleId="xl326">
    <w:name w:val="xl326"/>
    <w:basedOn w:val="Normlny"/>
    <w:rsid w:val="00BB33FC"/>
    <w:pPr>
      <w:pBdr>
        <w:right w:val="single" w:sz="8" w:space="0" w:color="E26B0A"/>
      </w:pBdr>
      <w:shd w:val="clear" w:color="000000" w:fill="FCD5B4"/>
      <w:spacing w:before="100" w:beforeAutospacing="1" w:after="100" w:afterAutospacing="1"/>
      <w:textAlignment w:val="center"/>
    </w:pPr>
    <w:rPr>
      <w:rFonts w:ascii="Arial" w:hAnsi="Arial" w:cs="Arial"/>
      <w:b/>
      <w:bCs/>
      <w:sz w:val="20"/>
      <w:szCs w:val="20"/>
    </w:rPr>
  </w:style>
  <w:style w:type="paragraph" w:customStyle="1" w:styleId="xl327">
    <w:name w:val="xl327"/>
    <w:basedOn w:val="Normlny"/>
    <w:rsid w:val="00BB33FC"/>
    <w:pPr>
      <w:pBdr>
        <w:bottom w:val="single" w:sz="8" w:space="0" w:color="E26B0A"/>
      </w:pBdr>
      <w:shd w:val="clear" w:color="000000" w:fill="FDE9D9"/>
      <w:spacing w:before="100" w:beforeAutospacing="1" w:after="100" w:afterAutospacing="1"/>
    </w:pPr>
    <w:rPr>
      <w:rFonts w:ascii="Arial" w:hAnsi="Arial" w:cs="Arial"/>
      <w:sz w:val="16"/>
      <w:szCs w:val="16"/>
    </w:rPr>
  </w:style>
  <w:style w:type="paragraph" w:customStyle="1" w:styleId="xl328">
    <w:name w:val="xl328"/>
    <w:basedOn w:val="Normlny"/>
    <w:rsid w:val="00BB33FC"/>
    <w:pPr>
      <w:pBdr>
        <w:bottom w:val="single" w:sz="8" w:space="0" w:color="E26B0A"/>
      </w:pBdr>
      <w:shd w:val="clear" w:color="000000" w:fill="FDE9D9"/>
      <w:spacing w:before="100" w:beforeAutospacing="1" w:after="100" w:afterAutospacing="1"/>
    </w:pPr>
    <w:rPr>
      <w:rFonts w:ascii="Arial" w:hAnsi="Arial" w:cs="Arial"/>
      <w:sz w:val="20"/>
      <w:szCs w:val="20"/>
    </w:rPr>
  </w:style>
  <w:style w:type="paragraph" w:customStyle="1" w:styleId="xl329">
    <w:name w:val="xl329"/>
    <w:basedOn w:val="Normlny"/>
    <w:rsid w:val="00BB33FC"/>
    <w:pPr>
      <w:pBdr>
        <w:bottom w:val="single" w:sz="8" w:space="0" w:color="E26B0A"/>
      </w:pBdr>
      <w:shd w:val="clear" w:color="000000" w:fill="FDE9D9"/>
      <w:spacing w:before="100" w:beforeAutospacing="1" w:after="100" w:afterAutospacing="1"/>
      <w:jc w:val="right"/>
    </w:pPr>
    <w:rPr>
      <w:rFonts w:ascii="Arial" w:hAnsi="Arial" w:cs="Arial"/>
      <w:sz w:val="18"/>
      <w:szCs w:val="18"/>
    </w:rPr>
  </w:style>
  <w:style w:type="paragraph" w:customStyle="1" w:styleId="xl330">
    <w:name w:val="xl330"/>
    <w:basedOn w:val="Normlny"/>
    <w:rsid w:val="00BB33FC"/>
    <w:pPr>
      <w:pBdr>
        <w:bottom w:val="single" w:sz="8" w:space="0" w:color="E26B0A"/>
      </w:pBdr>
      <w:shd w:val="clear" w:color="000000" w:fill="FDE9D9"/>
      <w:spacing w:before="100" w:beforeAutospacing="1" w:after="100" w:afterAutospacing="1"/>
    </w:pPr>
    <w:rPr>
      <w:rFonts w:ascii="Arial" w:hAnsi="Arial" w:cs="Arial"/>
      <w:sz w:val="18"/>
      <w:szCs w:val="18"/>
    </w:rPr>
  </w:style>
  <w:style w:type="paragraph" w:customStyle="1" w:styleId="xl331">
    <w:name w:val="xl331"/>
    <w:basedOn w:val="Normlny"/>
    <w:rsid w:val="00BB33FC"/>
    <w:pPr>
      <w:pBdr>
        <w:bottom w:val="single" w:sz="8" w:space="0" w:color="E26B0A"/>
      </w:pBdr>
      <w:shd w:val="clear" w:color="000000" w:fill="FDE9D9"/>
      <w:spacing w:before="100" w:beforeAutospacing="1" w:after="100" w:afterAutospacing="1"/>
      <w:jc w:val="right"/>
    </w:pPr>
    <w:rPr>
      <w:rFonts w:ascii="Arial" w:hAnsi="Arial" w:cs="Arial"/>
      <w:sz w:val="18"/>
      <w:szCs w:val="18"/>
    </w:rPr>
  </w:style>
  <w:style w:type="paragraph" w:customStyle="1" w:styleId="xl332">
    <w:name w:val="xl332"/>
    <w:basedOn w:val="Normlny"/>
    <w:rsid w:val="00BB33FC"/>
    <w:pPr>
      <w:pBdr>
        <w:bottom w:val="single" w:sz="8" w:space="0" w:color="E26B0A"/>
        <w:right w:val="single" w:sz="4" w:space="0" w:color="A6A6A6"/>
      </w:pBdr>
      <w:shd w:val="clear" w:color="000000" w:fill="FDE9D9"/>
      <w:spacing w:before="100" w:beforeAutospacing="1" w:after="100" w:afterAutospacing="1"/>
    </w:pPr>
    <w:rPr>
      <w:rFonts w:ascii="Arial" w:hAnsi="Arial" w:cs="Arial"/>
      <w:sz w:val="18"/>
      <w:szCs w:val="18"/>
    </w:rPr>
  </w:style>
  <w:style w:type="paragraph" w:customStyle="1" w:styleId="xl333">
    <w:name w:val="xl333"/>
    <w:basedOn w:val="Normlny"/>
    <w:rsid w:val="00BB33FC"/>
    <w:pPr>
      <w:pBdr>
        <w:top w:val="single" w:sz="4" w:space="0" w:color="A6A6A6"/>
      </w:pBdr>
      <w:shd w:val="clear" w:color="000000" w:fill="FDE9D9"/>
      <w:spacing w:before="100" w:beforeAutospacing="1" w:after="100" w:afterAutospacing="1"/>
    </w:pPr>
    <w:rPr>
      <w:rFonts w:ascii="Arial" w:hAnsi="Arial" w:cs="Arial"/>
      <w:sz w:val="18"/>
      <w:szCs w:val="18"/>
    </w:rPr>
  </w:style>
  <w:style w:type="paragraph" w:customStyle="1" w:styleId="xl334">
    <w:name w:val="xl334"/>
    <w:basedOn w:val="Normlny"/>
    <w:rsid w:val="00BB33FC"/>
    <w:pPr>
      <w:pBdr>
        <w:top w:val="single" w:sz="4" w:space="0" w:color="A6A6A6"/>
        <w:right w:val="single" w:sz="4" w:space="0" w:color="A6A6A6"/>
      </w:pBdr>
      <w:shd w:val="clear" w:color="000000" w:fill="FDE9D9"/>
      <w:spacing w:before="100" w:beforeAutospacing="1" w:after="100" w:afterAutospacing="1"/>
    </w:pPr>
    <w:rPr>
      <w:rFonts w:ascii="Arial" w:hAnsi="Arial" w:cs="Arial"/>
      <w:sz w:val="18"/>
      <w:szCs w:val="18"/>
    </w:rPr>
  </w:style>
  <w:style w:type="paragraph" w:customStyle="1" w:styleId="xl335">
    <w:name w:val="xl335"/>
    <w:basedOn w:val="Normlny"/>
    <w:rsid w:val="00BB33FC"/>
    <w:pPr>
      <w:pBdr>
        <w:right w:val="single" w:sz="4" w:space="0" w:color="A6A6A6"/>
      </w:pBdr>
      <w:shd w:val="clear" w:color="000000" w:fill="FCD5B4"/>
      <w:spacing w:before="100" w:beforeAutospacing="1" w:after="100" w:afterAutospacing="1"/>
    </w:pPr>
    <w:rPr>
      <w:rFonts w:ascii="Arial" w:hAnsi="Arial" w:cs="Arial"/>
      <w:sz w:val="18"/>
      <w:szCs w:val="18"/>
    </w:rPr>
  </w:style>
  <w:style w:type="paragraph" w:customStyle="1" w:styleId="xl336">
    <w:name w:val="xl336"/>
    <w:basedOn w:val="Normlny"/>
    <w:rsid w:val="00BB33FC"/>
    <w:pPr>
      <w:pBdr>
        <w:bottom w:val="single" w:sz="8" w:space="0" w:color="E26B0A"/>
        <w:right w:val="single" w:sz="4" w:space="0" w:color="A6A6A6"/>
      </w:pBdr>
      <w:shd w:val="clear" w:color="000000" w:fill="FDE9D9"/>
      <w:spacing w:before="100" w:beforeAutospacing="1" w:after="100" w:afterAutospacing="1"/>
    </w:pPr>
    <w:rPr>
      <w:rFonts w:ascii="Arial" w:hAnsi="Arial" w:cs="Arial"/>
      <w:sz w:val="18"/>
      <w:szCs w:val="18"/>
    </w:rPr>
  </w:style>
  <w:style w:type="paragraph" w:customStyle="1" w:styleId="xl337">
    <w:name w:val="xl337"/>
    <w:basedOn w:val="Normlny"/>
    <w:rsid w:val="00BB33FC"/>
    <w:pPr>
      <w:pBdr>
        <w:top w:val="single" w:sz="8" w:space="0" w:color="E26B0A"/>
        <w:bottom w:val="single" w:sz="4" w:space="0" w:color="A6A6A6"/>
      </w:pBdr>
      <w:spacing w:before="100" w:beforeAutospacing="1" w:after="100" w:afterAutospacing="1"/>
    </w:pPr>
    <w:rPr>
      <w:rFonts w:ascii="Arial" w:hAnsi="Arial" w:cs="Arial"/>
      <w:b/>
      <w:bCs/>
      <w:i/>
      <w:iCs/>
      <w:sz w:val="20"/>
      <w:szCs w:val="20"/>
    </w:rPr>
  </w:style>
  <w:style w:type="paragraph" w:customStyle="1" w:styleId="xl338">
    <w:name w:val="xl338"/>
    <w:basedOn w:val="Normlny"/>
    <w:rsid w:val="00BB33FC"/>
    <w:pPr>
      <w:pBdr>
        <w:top w:val="single" w:sz="8" w:space="0" w:color="E26B0A"/>
        <w:bottom w:val="single" w:sz="4" w:space="0" w:color="A6A6A6"/>
        <w:right w:val="single" w:sz="8" w:space="0" w:color="E26B0A"/>
      </w:pBdr>
      <w:spacing w:before="100" w:beforeAutospacing="1" w:after="100" w:afterAutospacing="1"/>
    </w:pPr>
    <w:rPr>
      <w:rFonts w:ascii="Arial" w:hAnsi="Arial" w:cs="Arial"/>
      <w:b/>
      <w:bCs/>
      <w:i/>
      <w:iCs/>
      <w:sz w:val="20"/>
      <w:szCs w:val="20"/>
    </w:rPr>
  </w:style>
  <w:style w:type="paragraph" w:customStyle="1" w:styleId="xl339">
    <w:name w:val="xl339"/>
    <w:basedOn w:val="Normlny"/>
    <w:rsid w:val="00BB33FC"/>
    <w:pPr>
      <w:pBdr>
        <w:bottom w:val="single" w:sz="8" w:space="0" w:color="E26B0A"/>
      </w:pBdr>
      <w:shd w:val="clear" w:color="000000" w:fill="FCD5B4"/>
      <w:spacing w:before="100" w:beforeAutospacing="1" w:after="100" w:afterAutospacing="1"/>
    </w:pPr>
    <w:rPr>
      <w:rFonts w:ascii="Arial" w:hAnsi="Arial" w:cs="Arial"/>
      <w:sz w:val="18"/>
      <w:szCs w:val="18"/>
    </w:rPr>
  </w:style>
  <w:style w:type="paragraph" w:customStyle="1" w:styleId="xl340">
    <w:name w:val="xl340"/>
    <w:basedOn w:val="Normlny"/>
    <w:rsid w:val="00BB33FC"/>
    <w:pPr>
      <w:pBdr>
        <w:bottom w:val="single" w:sz="8" w:space="0" w:color="E26B0A"/>
        <w:right w:val="single" w:sz="4" w:space="0" w:color="A6A6A6"/>
      </w:pBdr>
      <w:shd w:val="clear" w:color="000000" w:fill="FCD5B4"/>
      <w:spacing w:before="100" w:beforeAutospacing="1" w:after="100" w:afterAutospacing="1"/>
    </w:pPr>
    <w:rPr>
      <w:rFonts w:ascii="Arial" w:hAnsi="Arial" w:cs="Arial"/>
      <w:sz w:val="18"/>
      <w:szCs w:val="18"/>
    </w:rPr>
  </w:style>
  <w:style w:type="paragraph" w:customStyle="1" w:styleId="xl341">
    <w:name w:val="xl341"/>
    <w:basedOn w:val="Normlny"/>
    <w:rsid w:val="00BB33FC"/>
    <w:pPr>
      <w:pBdr>
        <w:top w:val="single" w:sz="4" w:space="0" w:color="A6A6A6"/>
        <w:right w:val="single" w:sz="4" w:space="0" w:color="A6A6A6"/>
      </w:pBdr>
      <w:shd w:val="clear" w:color="000000" w:fill="FDE9D9"/>
      <w:spacing w:before="100" w:beforeAutospacing="1" w:after="100" w:afterAutospacing="1"/>
    </w:pPr>
    <w:rPr>
      <w:rFonts w:ascii="Arial" w:hAnsi="Arial" w:cs="Arial"/>
      <w:sz w:val="18"/>
      <w:szCs w:val="18"/>
    </w:rPr>
  </w:style>
  <w:style w:type="paragraph" w:customStyle="1" w:styleId="xl342">
    <w:name w:val="xl342"/>
    <w:basedOn w:val="Normlny"/>
    <w:rsid w:val="00BB33FC"/>
    <w:pPr>
      <w:pBdr>
        <w:right w:val="single" w:sz="4" w:space="0" w:color="A6A6A6"/>
      </w:pBdr>
      <w:shd w:val="clear" w:color="000000" w:fill="FCD5B4"/>
      <w:spacing w:before="100" w:beforeAutospacing="1" w:after="100" w:afterAutospacing="1"/>
    </w:pPr>
    <w:rPr>
      <w:rFonts w:ascii="Arial" w:hAnsi="Arial" w:cs="Arial"/>
      <w:sz w:val="18"/>
      <w:szCs w:val="18"/>
    </w:rPr>
  </w:style>
  <w:style w:type="paragraph" w:customStyle="1" w:styleId="xl343">
    <w:name w:val="xl343"/>
    <w:basedOn w:val="Normlny"/>
    <w:rsid w:val="00BB33FC"/>
    <w:pPr>
      <w:pBdr>
        <w:right w:val="single" w:sz="4" w:space="0" w:color="A6A6A6"/>
      </w:pBdr>
      <w:shd w:val="clear" w:color="000000" w:fill="FDE9D9"/>
      <w:spacing w:before="100" w:beforeAutospacing="1" w:after="100" w:afterAutospacing="1"/>
    </w:pPr>
    <w:rPr>
      <w:rFonts w:ascii="Arial" w:hAnsi="Arial" w:cs="Arial"/>
      <w:sz w:val="18"/>
      <w:szCs w:val="18"/>
    </w:rPr>
  </w:style>
  <w:style w:type="paragraph" w:customStyle="1" w:styleId="xl344">
    <w:name w:val="xl344"/>
    <w:basedOn w:val="Normlny"/>
    <w:rsid w:val="00BB33FC"/>
    <w:pPr>
      <w:pBdr>
        <w:top w:val="single" w:sz="4" w:space="0" w:color="A6A6A6"/>
      </w:pBdr>
      <w:shd w:val="clear" w:color="000000" w:fill="FCD5B4"/>
      <w:spacing w:before="100" w:beforeAutospacing="1" w:after="100" w:afterAutospacing="1"/>
    </w:pPr>
    <w:rPr>
      <w:rFonts w:ascii="Arial" w:hAnsi="Arial" w:cs="Arial"/>
      <w:sz w:val="18"/>
      <w:szCs w:val="18"/>
    </w:rPr>
  </w:style>
  <w:style w:type="paragraph" w:customStyle="1" w:styleId="xl345">
    <w:name w:val="xl345"/>
    <w:basedOn w:val="Normlny"/>
    <w:rsid w:val="00BB33FC"/>
    <w:pPr>
      <w:pBdr>
        <w:top w:val="single" w:sz="4" w:space="0" w:color="A6A6A6"/>
        <w:right w:val="single" w:sz="4" w:space="0" w:color="A6A6A6"/>
      </w:pBdr>
      <w:shd w:val="clear" w:color="000000" w:fill="FCD5B4"/>
      <w:spacing w:before="100" w:beforeAutospacing="1" w:after="100" w:afterAutospacing="1"/>
    </w:pPr>
    <w:rPr>
      <w:rFonts w:ascii="Arial" w:hAnsi="Arial" w:cs="Arial"/>
      <w:sz w:val="18"/>
      <w:szCs w:val="18"/>
    </w:rPr>
  </w:style>
  <w:style w:type="paragraph" w:customStyle="1" w:styleId="xl346">
    <w:name w:val="xl346"/>
    <w:basedOn w:val="Normlny"/>
    <w:rsid w:val="00BB33FC"/>
    <w:pPr>
      <w:pBdr>
        <w:right w:val="single" w:sz="4" w:space="0" w:color="A6A6A6"/>
      </w:pBdr>
      <w:shd w:val="clear" w:color="000000" w:fill="FDE9D9"/>
      <w:spacing w:before="100" w:beforeAutospacing="1" w:after="100" w:afterAutospacing="1"/>
    </w:pPr>
    <w:rPr>
      <w:rFonts w:ascii="Arial" w:hAnsi="Arial" w:cs="Arial"/>
      <w:sz w:val="18"/>
      <w:szCs w:val="18"/>
    </w:rPr>
  </w:style>
  <w:style w:type="paragraph" w:customStyle="1" w:styleId="xl347">
    <w:name w:val="xl347"/>
    <w:basedOn w:val="Normlny"/>
    <w:rsid w:val="00BB33FC"/>
    <w:pPr>
      <w:pBdr>
        <w:top w:val="single" w:sz="8" w:space="0" w:color="E26B0A"/>
        <w:left w:val="single" w:sz="8" w:space="0" w:color="E26B0A"/>
      </w:pBdr>
      <w:spacing w:before="100" w:beforeAutospacing="1" w:after="100" w:afterAutospacing="1"/>
      <w:textAlignment w:val="top"/>
    </w:pPr>
    <w:rPr>
      <w:rFonts w:ascii="Arial" w:hAnsi="Arial" w:cs="Arial"/>
      <w:b/>
      <w:bCs/>
      <w:sz w:val="20"/>
      <w:szCs w:val="20"/>
    </w:rPr>
  </w:style>
  <w:style w:type="paragraph" w:customStyle="1" w:styleId="xl348">
    <w:name w:val="xl348"/>
    <w:basedOn w:val="Normlny"/>
    <w:rsid w:val="00BB33FC"/>
    <w:pPr>
      <w:pBdr>
        <w:left w:val="single" w:sz="8" w:space="0" w:color="E26B0A"/>
        <w:bottom w:val="single" w:sz="8" w:space="0" w:color="E26B0A"/>
      </w:pBdr>
      <w:spacing w:before="100" w:beforeAutospacing="1" w:after="100" w:afterAutospacing="1"/>
      <w:textAlignment w:val="top"/>
    </w:pPr>
    <w:rPr>
      <w:rFonts w:ascii="Arial" w:hAnsi="Arial" w:cs="Arial"/>
      <w:b/>
      <w:bCs/>
      <w:sz w:val="20"/>
      <w:szCs w:val="20"/>
    </w:rPr>
  </w:style>
  <w:style w:type="paragraph" w:customStyle="1" w:styleId="xl349">
    <w:name w:val="xl349"/>
    <w:basedOn w:val="Normlny"/>
    <w:rsid w:val="00BB33FC"/>
    <w:pPr>
      <w:pBdr>
        <w:top w:val="single" w:sz="4" w:space="0" w:color="A6A6A6"/>
        <w:bottom w:val="single" w:sz="8" w:space="0" w:color="E26B0A"/>
      </w:pBdr>
      <w:shd w:val="clear" w:color="000000" w:fill="FCD5B4"/>
      <w:spacing w:before="100" w:beforeAutospacing="1" w:after="100" w:afterAutospacing="1"/>
    </w:pPr>
    <w:rPr>
      <w:rFonts w:ascii="Arial" w:hAnsi="Arial" w:cs="Arial"/>
      <w:sz w:val="18"/>
      <w:szCs w:val="18"/>
    </w:rPr>
  </w:style>
  <w:style w:type="paragraph" w:customStyle="1" w:styleId="xl350">
    <w:name w:val="xl350"/>
    <w:basedOn w:val="Normlny"/>
    <w:rsid w:val="00BB33FC"/>
    <w:pPr>
      <w:pBdr>
        <w:top w:val="single" w:sz="4" w:space="0" w:color="A6A6A6"/>
        <w:bottom w:val="single" w:sz="8" w:space="0" w:color="E26B0A"/>
        <w:right w:val="single" w:sz="4" w:space="0" w:color="A6A6A6"/>
      </w:pBdr>
      <w:shd w:val="clear" w:color="000000" w:fill="FCD5B4"/>
      <w:spacing w:before="100" w:beforeAutospacing="1" w:after="100" w:afterAutospacing="1"/>
    </w:pPr>
    <w:rPr>
      <w:rFonts w:ascii="Arial" w:hAnsi="Arial" w:cs="Arial"/>
      <w:sz w:val="18"/>
      <w:szCs w:val="18"/>
    </w:rPr>
  </w:style>
  <w:style w:type="paragraph" w:customStyle="1" w:styleId="xl351">
    <w:name w:val="xl351"/>
    <w:basedOn w:val="Normlny"/>
    <w:rsid w:val="00BB33FC"/>
    <w:pPr>
      <w:pBdr>
        <w:top w:val="single" w:sz="8" w:space="0" w:color="E26B0A"/>
        <w:bottom w:val="single" w:sz="4" w:space="0" w:color="A6A6A6"/>
      </w:pBdr>
      <w:spacing w:before="100" w:beforeAutospacing="1" w:after="100" w:afterAutospacing="1"/>
    </w:pPr>
    <w:rPr>
      <w:rFonts w:ascii="Arial" w:hAnsi="Arial" w:cs="Arial"/>
      <w:b/>
      <w:bCs/>
      <w:sz w:val="20"/>
      <w:szCs w:val="20"/>
    </w:rPr>
  </w:style>
  <w:style w:type="paragraph" w:customStyle="1" w:styleId="xl352">
    <w:name w:val="xl352"/>
    <w:basedOn w:val="Normlny"/>
    <w:rsid w:val="00BB33FC"/>
    <w:pPr>
      <w:pBdr>
        <w:left w:val="single" w:sz="8" w:space="0" w:color="E26B0A"/>
      </w:pBdr>
      <w:spacing w:before="100" w:beforeAutospacing="1" w:after="100" w:afterAutospacing="1"/>
      <w:textAlignment w:val="top"/>
    </w:pPr>
    <w:rPr>
      <w:rFonts w:ascii="Arial" w:hAnsi="Arial" w:cs="Arial"/>
      <w:b/>
      <w:bCs/>
      <w:sz w:val="20"/>
      <w:szCs w:val="20"/>
    </w:rPr>
  </w:style>
  <w:style w:type="paragraph" w:customStyle="1" w:styleId="xl353">
    <w:name w:val="xl353"/>
    <w:basedOn w:val="Normlny"/>
    <w:rsid w:val="00BB33FC"/>
    <w:pPr>
      <w:pBdr>
        <w:top w:val="single" w:sz="8" w:space="0" w:color="E26B0A"/>
        <w:bottom w:val="single" w:sz="4" w:space="0" w:color="A6A6A6"/>
      </w:pBdr>
      <w:spacing w:before="100" w:beforeAutospacing="1" w:after="100" w:afterAutospacing="1"/>
    </w:pPr>
    <w:rPr>
      <w:rFonts w:ascii="Arial" w:hAnsi="Arial" w:cs="Arial"/>
      <w:b/>
      <w:bCs/>
      <w:i/>
      <w:iCs/>
      <w:sz w:val="20"/>
      <w:szCs w:val="20"/>
    </w:rPr>
  </w:style>
  <w:style w:type="paragraph" w:customStyle="1" w:styleId="xl354">
    <w:name w:val="xl354"/>
    <w:basedOn w:val="Normlny"/>
    <w:rsid w:val="00BB33FC"/>
    <w:pPr>
      <w:pBdr>
        <w:top w:val="single" w:sz="4" w:space="0" w:color="A6A6A6"/>
        <w:right w:val="single" w:sz="4" w:space="0" w:color="A6A6A6"/>
      </w:pBdr>
      <w:shd w:val="clear" w:color="000000" w:fill="FCD5B4"/>
      <w:spacing w:before="100" w:beforeAutospacing="1" w:after="100" w:afterAutospacing="1"/>
    </w:pPr>
    <w:rPr>
      <w:rFonts w:ascii="Arial" w:hAnsi="Arial" w:cs="Arial"/>
      <w:sz w:val="18"/>
      <w:szCs w:val="18"/>
    </w:rPr>
  </w:style>
  <w:style w:type="paragraph" w:customStyle="1" w:styleId="xl355">
    <w:name w:val="xl355"/>
    <w:basedOn w:val="Normlny"/>
    <w:rsid w:val="00BB33FC"/>
    <w:pPr>
      <w:pBdr>
        <w:bottom w:val="single" w:sz="8" w:space="0" w:color="E26B0A"/>
        <w:right w:val="single" w:sz="4" w:space="0" w:color="A6A6A6"/>
      </w:pBdr>
      <w:shd w:val="clear" w:color="000000" w:fill="FDE9D9"/>
      <w:spacing w:before="100" w:beforeAutospacing="1" w:after="100" w:afterAutospacing="1"/>
      <w:textAlignment w:val="top"/>
    </w:pPr>
    <w:rPr>
      <w:rFonts w:ascii="Arial" w:hAnsi="Arial" w:cs="Arial"/>
      <w:sz w:val="18"/>
      <w:szCs w:val="18"/>
    </w:rPr>
  </w:style>
  <w:style w:type="paragraph" w:customStyle="1" w:styleId="xl356">
    <w:name w:val="xl356"/>
    <w:basedOn w:val="Normlny"/>
    <w:rsid w:val="00BB33FC"/>
    <w:pPr>
      <w:pBdr>
        <w:top w:val="single" w:sz="4" w:space="0" w:color="A6A6A6"/>
      </w:pBdr>
      <w:shd w:val="clear" w:color="000000" w:fill="FDE9D9"/>
      <w:spacing w:before="100" w:beforeAutospacing="1" w:after="100" w:afterAutospacing="1"/>
      <w:textAlignment w:val="top"/>
    </w:pPr>
    <w:rPr>
      <w:rFonts w:ascii="Arial" w:hAnsi="Arial" w:cs="Arial"/>
      <w:sz w:val="18"/>
      <w:szCs w:val="18"/>
    </w:rPr>
  </w:style>
  <w:style w:type="paragraph" w:customStyle="1" w:styleId="xl357">
    <w:name w:val="xl357"/>
    <w:basedOn w:val="Normlny"/>
    <w:rsid w:val="00BB33FC"/>
    <w:pPr>
      <w:pBdr>
        <w:top w:val="single" w:sz="4" w:space="0" w:color="A6A6A6"/>
        <w:right w:val="single" w:sz="4" w:space="0" w:color="A6A6A6"/>
      </w:pBdr>
      <w:shd w:val="clear" w:color="000000" w:fill="FDE9D9"/>
      <w:spacing w:before="100" w:beforeAutospacing="1" w:after="100" w:afterAutospacing="1"/>
      <w:textAlignment w:val="top"/>
    </w:pPr>
    <w:rPr>
      <w:rFonts w:ascii="Arial" w:hAnsi="Arial" w:cs="Arial"/>
      <w:sz w:val="18"/>
      <w:szCs w:val="18"/>
    </w:rPr>
  </w:style>
  <w:style w:type="paragraph" w:customStyle="1" w:styleId="xl358">
    <w:name w:val="xl358"/>
    <w:basedOn w:val="Normlny"/>
    <w:rsid w:val="00BB33FC"/>
    <w:pPr>
      <w:pBdr>
        <w:top w:val="single" w:sz="8" w:space="0" w:color="E26B0A"/>
      </w:pBdr>
      <w:spacing w:before="100" w:beforeAutospacing="1" w:after="100" w:afterAutospacing="1"/>
      <w:textAlignment w:val="center"/>
    </w:pPr>
    <w:rPr>
      <w:rFonts w:ascii="Arial" w:hAnsi="Arial" w:cs="Arial"/>
      <w:b/>
      <w:bCs/>
      <w:i/>
      <w:iCs/>
      <w:sz w:val="20"/>
      <w:szCs w:val="20"/>
    </w:rPr>
  </w:style>
  <w:style w:type="paragraph" w:customStyle="1" w:styleId="xl359">
    <w:name w:val="xl359"/>
    <w:basedOn w:val="Normlny"/>
    <w:rsid w:val="00BB33FC"/>
    <w:pPr>
      <w:pBdr>
        <w:top w:val="single" w:sz="8" w:space="0" w:color="E26B0A"/>
        <w:right w:val="single" w:sz="8" w:space="0" w:color="E26B0A"/>
      </w:pBdr>
      <w:spacing w:before="100" w:beforeAutospacing="1" w:after="100" w:afterAutospacing="1"/>
      <w:textAlignment w:val="center"/>
    </w:pPr>
    <w:rPr>
      <w:rFonts w:ascii="Arial" w:hAnsi="Arial" w:cs="Arial"/>
      <w:b/>
      <w:bCs/>
      <w:i/>
      <w:iCs/>
      <w:sz w:val="20"/>
      <w:szCs w:val="20"/>
    </w:rPr>
  </w:style>
  <w:style w:type="paragraph" w:customStyle="1" w:styleId="xl360">
    <w:name w:val="xl360"/>
    <w:basedOn w:val="Normlny"/>
    <w:rsid w:val="00BB33FC"/>
    <w:pPr>
      <w:pBdr>
        <w:top w:val="single" w:sz="8" w:space="0" w:color="E26B0A"/>
        <w:bottom w:val="single" w:sz="4" w:space="0" w:color="A6A6A6"/>
      </w:pBdr>
      <w:spacing w:before="100" w:beforeAutospacing="1" w:after="100" w:afterAutospacing="1"/>
      <w:textAlignment w:val="center"/>
    </w:pPr>
    <w:rPr>
      <w:rFonts w:ascii="Arial" w:hAnsi="Arial" w:cs="Arial"/>
      <w:b/>
      <w:bCs/>
      <w:i/>
      <w:iCs/>
      <w:sz w:val="20"/>
      <w:szCs w:val="20"/>
    </w:rPr>
  </w:style>
  <w:style w:type="paragraph" w:customStyle="1" w:styleId="xl361">
    <w:name w:val="xl361"/>
    <w:basedOn w:val="Normlny"/>
    <w:rsid w:val="00BB33FC"/>
    <w:pPr>
      <w:pBdr>
        <w:top w:val="single" w:sz="8" w:space="0" w:color="E26B0A"/>
        <w:bottom w:val="single" w:sz="4" w:space="0" w:color="A6A6A6"/>
        <w:right w:val="single" w:sz="8" w:space="0" w:color="E26B0A"/>
      </w:pBdr>
      <w:spacing w:before="100" w:beforeAutospacing="1" w:after="100" w:afterAutospacing="1"/>
      <w:textAlignment w:val="center"/>
    </w:pPr>
    <w:rPr>
      <w:rFonts w:ascii="Arial" w:hAnsi="Arial" w:cs="Arial"/>
      <w:b/>
      <w:bCs/>
      <w:i/>
      <w:iCs/>
      <w:sz w:val="20"/>
      <w:szCs w:val="20"/>
    </w:rPr>
  </w:style>
  <w:style w:type="paragraph" w:customStyle="1" w:styleId="xl362">
    <w:name w:val="xl362"/>
    <w:basedOn w:val="Normlny"/>
    <w:rsid w:val="00BB33FC"/>
    <w:pPr>
      <w:pBdr>
        <w:top w:val="single" w:sz="8" w:space="0" w:color="E26B0A"/>
        <w:left w:val="single" w:sz="8" w:space="0" w:color="E26B0A"/>
        <w:bottom w:val="single" w:sz="8" w:space="0" w:color="E26B0A"/>
      </w:pBdr>
      <w:spacing w:before="100" w:beforeAutospacing="1" w:after="100" w:afterAutospacing="1"/>
      <w:jc w:val="center"/>
    </w:pPr>
    <w:rPr>
      <w:rFonts w:ascii="Arial" w:hAnsi="Arial" w:cs="Arial"/>
      <w:b/>
      <w:bCs/>
      <w:i/>
      <w:iCs/>
      <w:sz w:val="28"/>
      <w:szCs w:val="28"/>
    </w:rPr>
  </w:style>
  <w:style w:type="paragraph" w:customStyle="1" w:styleId="xl363">
    <w:name w:val="xl363"/>
    <w:basedOn w:val="Normlny"/>
    <w:rsid w:val="00BB33FC"/>
    <w:pPr>
      <w:pBdr>
        <w:top w:val="single" w:sz="8" w:space="0" w:color="E26B0A"/>
        <w:bottom w:val="single" w:sz="8" w:space="0" w:color="E26B0A"/>
      </w:pBdr>
      <w:spacing w:before="100" w:beforeAutospacing="1" w:after="100" w:afterAutospacing="1"/>
      <w:jc w:val="center"/>
    </w:pPr>
    <w:rPr>
      <w:rFonts w:ascii="Arial" w:hAnsi="Arial" w:cs="Arial"/>
      <w:b/>
      <w:bCs/>
      <w:i/>
      <w:iCs/>
      <w:sz w:val="28"/>
      <w:szCs w:val="28"/>
    </w:rPr>
  </w:style>
  <w:style w:type="paragraph" w:customStyle="1" w:styleId="xl364">
    <w:name w:val="xl364"/>
    <w:basedOn w:val="Normlny"/>
    <w:rsid w:val="00BB33FC"/>
    <w:pPr>
      <w:pBdr>
        <w:top w:val="single" w:sz="8" w:space="0" w:color="E26B0A"/>
        <w:bottom w:val="single" w:sz="8" w:space="0" w:color="E26B0A"/>
        <w:right w:val="single" w:sz="4" w:space="0" w:color="A6A6A6"/>
      </w:pBdr>
      <w:spacing w:before="100" w:beforeAutospacing="1" w:after="100" w:afterAutospacing="1"/>
      <w:jc w:val="center"/>
    </w:pPr>
    <w:rPr>
      <w:rFonts w:ascii="Arial" w:hAnsi="Arial" w:cs="Arial"/>
      <w:b/>
      <w:bCs/>
      <w:i/>
      <w:iCs/>
      <w:sz w:val="28"/>
      <w:szCs w:val="28"/>
    </w:rPr>
  </w:style>
  <w:style w:type="paragraph" w:customStyle="1" w:styleId="xl365">
    <w:name w:val="xl365"/>
    <w:basedOn w:val="Normlny"/>
    <w:rsid w:val="00BB33FC"/>
    <w:pPr>
      <w:pBdr>
        <w:top w:val="single" w:sz="8" w:space="0" w:color="E26B0A"/>
        <w:right w:val="single" w:sz="8" w:space="0" w:color="E26B0A"/>
      </w:pBdr>
      <w:spacing w:before="100" w:beforeAutospacing="1" w:after="100" w:afterAutospacing="1"/>
    </w:pPr>
    <w:rPr>
      <w:rFonts w:ascii="Arial" w:hAnsi="Arial" w:cs="Arial"/>
      <w:b/>
      <w:bCs/>
      <w:i/>
      <w:iCs/>
      <w:sz w:val="20"/>
      <w:szCs w:val="20"/>
    </w:rPr>
  </w:style>
  <w:style w:type="paragraph" w:customStyle="1" w:styleId="xl366">
    <w:name w:val="xl366"/>
    <w:basedOn w:val="Normlny"/>
    <w:rsid w:val="00BB33FC"/>
    <w:pPr>
      <w:pBdr>
        <w:top w:val="single" w:sz="8" w:space="0" w:color="E26B0A"/>
        <w:right w:val="single" w:sz="8" w:space="0" w:color="E26B0A"/>
      </w:pBdr>
      <w:spacing w:before="100" w:beforeAutospacing="1" w:after="100" w:afterAutospacing="1"/>
      <w:textAlignment w:val="top"/>
    </w:pPr>
    <w:rPr>
      <w:rFonts w:ascii="Arial" w:hAnsi="Arial" w:cs="Arial"/>
      <w:b/>
      <w:bCs/>
      <w:i/>
      <w:iCs/>
      <w:sz w:val="20"/>
      <w:szCs w:val="20"/>
    </w:rPr>
  </w:style>
  <w:style w:type="paragraph" w:customStyle="1" w:styleId="xl367">
    <w:name w:val="xl367"/>
    <w:basedOn w:val="Normlny"/>
    <w:rsid w:val="00BB33FC"/>
    <w:pPr>
      <w:pBdr>
        <w:top w:val="single" w:sz="8" w:space="0" w:color="E26B0A"/>
        <w:left w:val="single" w:sz="8" w:space="0" w:color="E26B0A"/>
        <w:bottom w:val="single" w:sz="4" w:space="0" w:color="A6A6A6"/>
      </w:pBdr>
      <w:shd w:val="clear" w:color="000000" w:fill="FFFFFF"/>
      <w:spacing w:before="100" w:beforeAutospacing="1" w:after="100" w:afterAutospacing="1"/>
    </w:pPr>
    <w:rPr>
      <w:rFonts w:ascii="Arial" w:hAnsi="Arial" w:cs="Arial"/>
      <w:b/>
      <w:bCs/>
      <w:i/>
      <w:iCs/>
      <w:sz w:val="20"/>
      <w:szCs w:val="20"/>
    </w:rPr>
  </w:style>
  <w:style w:type="paragraph" w:customStyle="1" w:styleId="xl368">
    <w:name w:val="xl368"/>
    <w:basedOn w:val="Normlny"/>
    <w:rsid w:val="00BB33FC"/>
    <w:pPr>
      <w:pBdr>
        <w:top w:val="single" w:sz="8" w:space="0" w:color="E26B0A"/>
        <w:bottom w:val="single" w:sz="4" w:space="0" w:color="A6A6A6"/>
      </w:pBdr>
      <w:shd w:val="clear" w:color="000000" w:fill="FFFFFF"/>
      <w:spacing w:before="100" w:beforeAutospacing="1" w:after="100" w:afterAutospacing="1"/>
    </w:pPr>
    <w:rPr>
      <w:rFonts w:ascii="Arial" w:hAnsi="Arial" w:cs="Arial"/>
      <w:b/>
      <w:bCs/>
      <w:i/>
      <w:iCs/>
      <w:sz w:val="20"/>
      <w:szCs w:val="20"/>
    </w:rPr>
  </w:style>
  <w:style w:type="paragraph" w:customStyle="1" w:styleId="xl369">
    <w:name w:val="xl369"/>
    <w:basedOn w:val="Normlny"/>
    <w:rsid w:val="00BB33FC"/>
    <w:pPr>
      <w:pBdr>
        <w:top w:val="single" w:sz="8" w:space="0" w:color="E26B0A"/>
        <w:bottom w:val="single" w:sz="4" w:space="0" w:color="A6A6A6"/>
        <w:right w:val="single" w:sz="8" w:space="0" w:color="E26B0A"/>
      </w:pBdr>
      <w:shd w:val="clear" w:color="000000" w:fill="FFFFFF"/>
      <w:spacing w:before="100" w:beforeAutospacing="1" w:after="100" w:afterAutospacing="1"/>
    </w:pPr>
    <w:rPr>
      <w:rFonts w:ascii="Arial" w:hAnsi="Arial" w:cs="Arial"/>
      <w:b/>
      <w:bCs/>
      <w:i/>
      <w:iCs/>
      <w:sz w:val="20"/>
      <w:szCs w:val="20"/>
    </w:rPr>
  </w:style>
  <w:style w:type="paragraph" w:customStyle="1" w:styleId="xl370">
    <w:name w:val="xl370"/>
    <w:basedOn w:val="Normlny"/>
    <w:rsid w:val="00BB33FC"/>
    <w:pPr>
      <w:pBdr>
        <w:top w:val="single" w:sz="8" w:space="0" w:color="E26B0A"/>
        <w:left w:val="single" w:sz="8" w:space="0" w:color="E26B0A"/>
        <w:right w:val="single" w:sz="8" w:space="0" w:color="E26B0A"/>
      </w:pBdr>
      <w:spacing w:before="100" w:beforeAutospacing="1" w:after="100" w:afterAutospacing="1"/>
      <w:textAlignment w:val="top"/>
    </w:pPr>
    <w:rPr>
      <w:rFonts w:ascii="Arial" w:hAnsi="Arial" w:cs="Arial"/>
      <w:b/>
      <w:bCs/>
      <w:sz w:val="20"/>
      <w:szCs w:val="20"/>
    </w:rPr>
  </w:style>
  <w:style w:type="paragraph" w:customStyle="1" w:styleId="xl371">
    <w:name w:val="xl371"/>
    <w:basedOn w:val="Normlny"/>
    <w:rsid w:val="00BB33FC"/>
    <w:pPr>
      <w:pBdr>
        <w:left w:val="single" w:sz="8" w:space="0" w:color="E26B0A"/>
        <w:bottom w:val="single" w:sz="8" w:space="0" w:color="E26B0A"/>
        <w:right w:val="single" w:sz="8" w:space="0" w:color="E26B0A"/>
      </w:pBdr>
      <w:spacing w:before="100" w:beforeAutospacing="1" w:after="100" w:afterAutospacing="1"/>
      <w:textAlignment w:val="top"/>
    </w:pPr>
    <w:rPr>
      <w:rFonts w:ascii="Arial" w:hAnsi="Arial" w:cs="Arial"/>
      <w:b/>
      <w:bCs/>
      <w:sz w:val="20"/>
      <w:szCs w:val="20"/>
    </w:rPr>
  </w:style>
  <w:style w:type="paragraph" w:customStyle="1" w:styleId="xl372">
    <w:name w:val="xl372"/>
    <w:basedOn w:val="Normlny"/>
    <w:rsid w:val="00BB33FC"/>
    <w:pPr>
      <w:pBdr>
        <w:top w:val="single" w:sz="4" w:space="0" w:color="A6A6A6"/>
        <w:left w:val="single" w:sz="8" w:space="0" w:color="E26B0A"/>
        <w:bottom w:val="single" w:sz="4" w:space="0" w:color="A6A6A6"/>
      </w:pBdr>
      <w:shd w:val="clear" w:color="000000" w:fill="FCD5B4"/>
      <w:spacing w:before="100" w:beforeAutospacing="1" w:after="100" w:afterAutospacing="1"/>
    </w:pPr>
    <w:rPr>
      <w:rFonts w:ascii="Arial" w:hAnsi="Arial" w:cs="Arial"/>
      <w:sz w:val="18"/>
      <w:szCs w:val="18"/>
    </w:rPr>
  </w:style>
  <w:style w:type="paragraph" w:customStyle="1" w:styleId="xl373">
    <w:name w:val="xl373"/>
    <w:basedOn w:val="Normlny"/>
    <w:rsid w:val="00BB33FC"/>
    <w:pPr>
      <w:pBdr>
        <w:top w:val="single" w:sz="4" w:space="0" w:color="A6A6A6"/>
        <w:bottom w:val="single" w:sz="4" w:space="0" w:color="A6A6A6"/>
        <w:right w:val="single" w:sz="4" w:space="0" w:color="A6A6A6"/>
      </w:pBdr>
      <w:shd w:val="clear" w:color="000000" w:fill="FCD5B4"/>
      <w:spacing w:before="100" w:beforeAutospacing="1" w:after="100" w:afterAutospacing="1"/>
    </w:pPr>
    <w:rPr>
      <w:rFonts w:ascii="Arial" w:hAnsi="Arial" w:cs="Arial"/>
      <w:sz w:val="18"/>
      <w:szCs w:val="18"/>
    </w:rPr>
  </w:style>
  <w:style w:type="paragraph" w:customStyle="1" w:styleId="xl374">
    <w:name w:val="xl374"/>
    <w:basedOn w:val="Normlny"/>
    <w:rsid w:val="00BB33FC"/>
    <w:pPr>
      <w:pBdr>
        <w:left w:val="single" w:sz="8" w:space="0" w:color="E26B0A"/>
      </w:pBdr>
      <w:shd w:val="clear" w:color="000000" w:fill="FDE9D9"/>
      <w:spacing w:before="100" w:beforeAutospacing="1" w:after="100" w:afterAutospacing="1"/>
    </w:pPr>
    <w:rPr>
      <w:rFonts w:ascii="Arial" w:hAnsi="Arial" w:cs="Arial"/>
      <w:sz w:val="18"/>
      <w:szCs w:val="18"/>
    </w:rPr>
  </w:style>
  <w:style w:type="paragraph" w:customStyle="1" w:styleId="xl375">
    <w:name w:val="xl375"/>
    <w:basedOn w:val="Normlny"/>
    <w:rsid w:val="00BB33FC"/>
    <w:pPr>
      <w:pBdr>
        <w:left w:val="single" w:sz="8" w:space="0" w:color="E26B0A"/>
      </w:pBdr>
      <w:shd w:val="clear" w:color="000000" w:fill="FCD5B4"/>
      <w:spacing w:before="100" w:beforeAutospacing="1" w:after="100" w:afterAutospacing="1"/>
    </w:pPr>
    <w:rPr>
      <w:rFonts w:ascii="Arial" w:hAnsi="Arial" w:cs="Arial"/>
      <w:sz w:val="18"/>
      <w:szCs w:val="18"/>
    </w:rPr>
  </w:style>
  <w:style w:type="paragraph" w:customStyle="1" w:styleId="xl376">
    <w:name w:val="xl376"/>
    <w:basedOn w:val="Normlny"/>
    <w:rsid w:val="00BB33FC"/>
    <w:pPr>
      <w:pBdr>
        <w:top w:val="single" w:sz="8" w:space="0" w:color="E26B0A"/>
        <w:left w:val="single" w:sz="8" w:space="0" w:color="E26B0A"/>
      </w:pBdr>
      <w:shd w:val="clear" w:color="000000" w:fill="FFFFFF"/>
      <w:spacing w:before="100" w:beforeAutospacing="1" w:after="100" w:afterAutospacing="1"/>
    </w:pPr>
    <w:rPr>
      <w:rFonts w:ascii="Arial" w:hAnsi="Arial" w:cs="Arial"/>
      <w:b/>
      <w:bCs/>
      <w:i/>
      <w:iCs/>
      <w:sz w:val="20"/>
      <w:szCs w:val="20"/>
    </w:rPr>
  </w:style>
  <w:style w:type="paragraph" w:customStyle="1" w:styleId="xl377">
    <w:name w:val="xl377"/>
    <w:basedOn w:val="Normlny"/>
    <w:rsid w:val="00BB33FC"/>
    <w:pPr>
      <w:pBdr>
        <w:top w:val="single" w:sz="8" w:space="0" w:color="E26B0A"/>
        <w:right w:val="single" w:sz="8" w:space="0" w:color="E26B0A"/>
      </w:pBdr>
      <w:shd w:val="clear" w:color="000000" w:fill="FFFFFF"/>
      <w:spacing w:before="100" w:beforeAutospacing="1" w:after="100" w:afterAutospacing="1"/>
    </w:pPr>
    <w:rPr>
      <w:rFonts w:ascii="Arial" w:hAnsi="Arial" w:cs="Arial"/>
      <w:b/>
      <w:bCs/>
      <w:i/>
      <w:iCs/>
      <w:sz w:val="20"/>
      <w:szCs w:val="20"/>
    </w:rPr>
  </w:style>
  <w:style w:type="paragraph" w:customStyle="1" w:styleId="xl378">
    <w:name w:val="xl378"/>
    <w:basedOn w:val="Normlny"/>
    <w:rsid w:val="00BB33FC"/>
    <w:pPr>
      <w:pBdr>
        <w:top w:val="single" w:sz="8" w:space="0" w:color="E26B0A"/>
        <w:left w:val="single" w:sz="8" w:space="0" w:color="E26B0A"/>
        <w:bottom w:val="single" w:sz="4" w:space="0" w:color="A6A6A6"/>
      </w:pBdr>
      <w:spacing w:before="100" w:beforeAutospacing="1" w:after="100" w:afterAutospacing="1"/>
    </w:pPr>
    <w:rPr>
      <w:rFonts w:ascii="Arial" w:hAnsi="Arial" w:cs="Arial"/>
      <w:b/>
      <w:bCs/>
      <w:i/>
      <w:iCs/>
      <w:sz w:val="20"/>
      <w:szCs w:val="20"/>
    </w:rPr>
  </w:style>
  <w:style w:type="paragraph" w:customStyle="1" w:styleId="xl379">
    <w:name w:val="xl379"/>
    <w:basedOn w:val="Normlny"/>
    <w:rsid w:val="00BB33FC"/>
    <w:pPr>
      <w:pBdr>
        <w:top w:val="single" w:sz="8" w:space="0" w:color="E26B0A"/>
        <w:left w:val="single" w:sz="8" w:space="0" w:color="E26B0A"/>
        <w:bottom w:val="single" w:sz="4" w:space="0" w:color="A6A6A6"/>
      </w:pBdr>
      <w:spacing w:before="100" w:beforeAutospacing="1" w:after="100" w:afterAutospacing="1"/>
    </w:pPr>
    <w:rPr>
      <w:rFonts w:ascii="Arial" w:hAnsi="Arial" w:cs="Arial"/>
      <w:b/>
      <w:bCs/>
      <w:i/>
      <w:iCs/>
      <w:sz w:val="20"/>
      <w:szCs w:val="20"/>
    </w:rPr>
  </w:style>
  <w:style w:type="paragraph" w:customStyle="1" w:styleId="xl380">
    <w:name w:val="xl380"/>
    <w:basedOn w:val="Normlny"/>
    <w:rsid w:val="00BB33FC"/>
    <w:pPr>
      <w:pBdr>
        <w:top w:val="single" w:sz="8" w:space="0" w:color="E26B0A"/>
        <w:bottom w:val="single" w:sz="4" w:space="0" w:color="A6A6A6"/>
      </w:pBdr>
      <w:spacing w:before="100" w:beforeAutospacing="1" w:after="100" w:afterAutospacing="1"/>
    </w:pPr>
    <w:rPr>
      <w:rFonts w:ascii="Arial" w:hAnsi="Arial" w:cs="Arial"/>
      <w:b/>
      <w:bCs/>
      <w:i/>
      <w:iCs/>
      <w:sz w:val="20"/>
      <w:szCs w:val="20"/>
    </w:rPr>
  </w:style>
  <w:style w:type="paragraph" w:customStyle="1" w:styleId="xl381">
    <w:name w:val="xl381"/>
    <w:basedOn w:val="Normlny"/>
    <w:rsid w:val="00BB33FC"/>
    <w:pPr>
      <w:pBdr>
        <w:top w:val="single" w:sz="8" w:space="0" w:color="E26B0A"/>
        <w:bottom w:val="single" w:sz="4" w:space="0" w:color="A6A6A6"/>
        <w:right w:val="single" w:sz="8" w:space="0" w:color="E26B0A"/>
      </w:pBdr>
      <w:spacing w:before="100" w:beforeAutospacing="1" w:after="100" w:afterAutospacing="1"/>
    </w:pPr>
    <w:rPr>
      <w:rFonts w:ascii="Arial" w:hAnsi="Arial" w:cs="Arial"/>
      <w:b/>
      <w:bCs/>
      <w:i/>
      <w:iCs/>
      <w:sz w:val="20"/>
      <w:szCs w:val="20"/>
    </w:rPr>
  </w:style>
  <w:style w:type="paragraph" w:customStyle="1" w:styleId="xl382">
    <w:name w:val="xl382"/>
    <w:basedOn w:val="Normlny"/>
    <w:rsid w:val="00BB33FC"/>
    <w:pPr>
      <w:pBdr>
        <w:top w:val="single" w:sz="8" w:space="0" w:color="E26B0A"/>
        <w:left w:val="single" w:sz="8" w:space="0" w:color="E26B0A"/>
        <w:right w:val="single" w:sz="8" w:space="0" w:color="E26B0A"/>
      </w:pBdr>
      <w:spacing w:before="100" w:beforeAutospacing="1" w:after="100" w:afterAutospacing="1"/>
      <w:textAlignment w:val="top"/>
    </w:pPr>
    <w:rPr>
      <w:rFonts w:ascii="Arial" w:hAnsi="Arial" w:cs="Arial"/>
      <w:b/>
      <w:bCs/>
      <w:sz w:val="20"/>
      <w:szCs w:val="20"/>
    </w:rPr>
  </w:style>
  <w:style w:type="paragraph" w:customStyle="1" w:styleId="xl383">
    <w:name w:val="xl383"/>
    <w:basedOn w:val="Normlny"/>
    <w:rsid w:val="00BB33FC"/>
    <w:pPr>
      <w:pBdr>
        <w:left w:val="single" w:sz="8" w:space="0" w:color="E26B0A"/>
        <w:right w:val="single" w:sz="8" w:space="0" w:color="E26B0A"/>
      </w:pBdr>
      <w:spacing w:before="100" w:beforeAutospacing="1" w:after="100" w:afterAutospacing="1"/>
      <w:textAlignment w:val="top"/>
    </w:pPr>
    <w:rPr>
      <w:rFonts w:ascii="Arial" w:hAnsi="Arial" w:cs="Arial"/>
      <w:b/>
      <w:bCs/>
      <w:sz w:val="20"/>
      <w:szCs w:val="20"/>
    </w:rPr>
  </w:style>
  <w:style w:type="paragraph" w:customStyle="1" w:styleId="xl384">
    <w:name w:val="xl384"/>
    <w:basedOn w:val="Normlny"/>
    <w:rsid w:val="00BB33FC"/>
    <w:pPr>
      <w:pBdr>
        <w:left w:val="single" w:sz="8" w:space="0" w:color="E26B0A"/>
        <w:bottom w:val="single" w:sz="8" w:space="0" w:color="E26B0A"/>
        <w:right w:val="single" w:sz="8" w:space="0" w:color="E26B0A"/>
      </w:pBdr>
      <w:spacing w:before="100" w:beforeAutospacing="1" w:after="100" w:afterAutospacing="1"/>
      <w:textAlignment w:val="top"/>
    </w:pPr>
    <w:rPr>
      <w:rFonts w:ascii="Arial" w:hAnsi="Arial" w:cs="Arial"/>
      <w:b/>
      <w:bCs/>
      <w:sz w:val="20"/>
      <w:szCs w:val="20"/>
    </w:rPr>
  </w:style>
  <w:style w:type="paragraph" w:customStyle="1" w:styleId="xl385">
    <w:name w:val="xl385"/>
    <w:basedOn w:val="Normlny"/>
    <w:rsid w:val="00BB33FC"/>
    <w:pPr>
      <w:pBdr>
        <w:top w:val="single" w:sz="8" w:space="0" w:color="E26B0A"/>
        <w:left w:val="single" w:sz="8" w:space="0" w:color="E26B0A"/>
        <w:bottom w:val="single" w:sz="4" w:space="0" w:color="A6A6A6"/>
      </w:pBdr>
      <w:spacing w:before="100" w:beforeAutospacing="1" w:after="100" w:afterAutospacing="1"/>
      <w:textAlignment w:val="top"/>
    </w:pPr>
    <w:rPr>
      <w:rFonts w:ascii="Arial" w:hAnsi="Arial" w:cs="Arial"/>
      <w:b/>
      <w:bCs/>
      <w:i/>
      <w:iCs/>
      <w:sz w:val="20"/>
      <w:szCs w:val="20"/>
    </w:rPr>
  </w:style>
  <w:style w:type="paragraph" w:customStyle="1" w:styleId="xl386">
    <w:name w:val="xl386"/>
    <w:basedOn w:val="Normlny"/>
    <w:rsid w:val="00BB33FC"/>
    <w:pPr>
      <w:pBdr>
        <w:top w:val="single" w:sz="8" w:space="0" w:color="E26B0A"/>
        <w:bottom w:val="single" w:sz="4" w:space="0" w:color="A6A6A6"/>
      </w:pBdr>
      <w:spacing w:before="100" w:beforeAutospacing="1" w:after="100" w:afterAutospacing="1"/>
      <w:textAlignment w:val="top"/>
    </w:pPr>
    <w:rPr>
      <w:rFonts w:ascii="Arial" w:hAnsi="Arial" w:cs="Arial"/>
      <w:b/>
      <w:bCs/>
      <w:i/>
      <w:iCs/>
      <w:sz w:val="20"/>
      <w:szCs w:val="20"/>
    </w:rPr>
  </w:style>
  <w:style w:type="paragraph" w:customStyle="1" w:styleId="xl387">
    <w:name w:val="xl387"/>
    <w:basedOn w:val="Normlny"/>
    <w:rsid w:val="00BB33FC"/>
    <w:pPr>
      <w:pBdr>
        <w:top w:val="single" w:sz="8" w:space="0" w:color="E26B0A"/>
        <w:bottom w:val="single" w:sz="4" w:space="0" w:color="A6A6A6"/>
        <w:right w:val="single" w:sz="8" w:space="0" w:color="E26B0A"/>
      </w:pBdr>
      <w:spacing w:before="100" w:beforeAutospacing="1" w:after="100" w:afterAutospacing="1"/>
      <w:textAlignment w:val="top"/>
    </w:pPr>
    <w:rPr>
      <w:rFonts w:ascii="Arial" w:hAnsi="Arial" w:cs="Arial"/>
      <w:b/>
      <w:bCs/>
      <w:i/>
      <w:iCs/>
      <w:sz w:val="20"/>
      <w:szCs w:val="20"/>
    </w:rPr>
  </w:style>
  <w:style w:type="paragraph" w:customStyle="1" w:styleId="xl388">
    <w:name w:val="xl388"/>
    <w:basedOn w:val="Normlny"/>
    <w:rsid w:val="00BB33FC"/>
    <w:pPr>
      <w:pBdr>
        <w:top w:val="single" w:sz="8" w:space="0" w:color="E26B0A"/>
        <w:left w:val="single" w:sz="8" w:space="0" w:color="E26B0A"/>
        <w:bottom w:val="single" w:sz="4" w:space="0" w:color="A6A6A6"/>
      </w:pBdr>
      <w:shd w:val="clear" w:color="000000" w:fill="FFFFFF"/>
      <w:spacing w:before="100" w:beforeAutospacing="1" w:after="100" w:afterAutospacing="1"/>
    </w:pPr>
    <w:rPr>
      <w:rFonts w:ascii="Arial" w:hAnsi="Arial" w:cs="Arial"/>
      <w:b/>
      <w:bCs/>
      <w:i/>
      <w:iCs/>
      <w:sz w:val="20"/>
      <w:szCs w:val="20"/>
    </w:rPr>
  </w:style>
  <w:style w:type="paragraph" w:customStyle="1" w:styleId="xl389">
    <w:name w:val="xl389"/>
    <w:basedOn w:val="Normlny"/>
    <w:rsid w:val="00BB33FC"/>
    <w:pPr>
      <w:pBdr>
        <w:top w:val="single" w:sz="8" w:space="0" w:color="E26B0A"/>
        <w:bottom w:val="single" w:sz="4" w:space="0" w:color="A6A6A6"/>
      </w:pBdr>
      <w:shd w:val="clear" w:color="000000" w:fill="FFFFFF"/>
      <w:spacing w:before="100" w:beforeAutospacing="1" w:after="100" w:afterAutospacing="1"/>
    </w:pPr>
    <w:rPr>
      <w:rFonts w:ascii="Arial" w:hAnsi="Arial" w:cs="Arial"/>
      <w:b/>
      <w:bCs/>
      <w:i/>
      <w:iCs/>
      <w:sz w:val="20"/>
      <w:szCs w:val="20"/>
    </w:rPr>
  </w:style>
  <w:style w:type="paragraph" w:customStyle="1" w:styleId="xl390">
    <w:name w:val="xl390"/>
    <w:basedOn w:val="Normlny"/>
    <w:rsid w:val="00BB33FC"/>
    <w:pPr>
      <w:pBdr>
        <w:top w:val="single" w:sz="8" w:space="0" w:color="E26B0A"/>
        <w:bottom w:val="single" w:sz="4" w:space="0" w:color="A6A6A6"/>
        <w:right w:val="single" w:sz="8" w:space="0" w:color="E26B0A"/>
      </w:pBdr>
      <w:shd w:val="clear" w:color="000000" w:fill="FFFFFF"/>
      <w:spacing w:before="100" w:beforeAutospacing="1" w:after="100" w:afterAutospacing="1"/>
    </w:pPr>
    <w:rPr>
      <w:rFonts w:ascii="Arial" w:hAnsi="Arial" w:cs="Arial"/>
      <w:b/>
      <w:bCs/>
      <w:i/>
      <w:iCs/>
      <w:sz w:val="20"/>
      <w:szCs w:val="20"/>
    </w:rPr>
  </w:style>
  <w:style w:type="paragraph" w:customStyle="1" w:styleId="xl391">
    <w:name w:val="xl391"/>
    <w:basedOn w:val="Normlny"/>
    <w:rsid w:val="00BB33FC"/>
    <w:pPr>
      <w:pBdr>
        <w:top w:val="single" w:sz="8" w:space="0" w:color="E26B0A"/>
        <w:left w:val="single" w:sz="8" w:space="0" w:color="E26B0A"/>
      </w:pBdr>
      <w:shd w:val="clear" w:color="000000" w:fill="FFFFFF"/>
      <w:spacing w:before="100" w:beforeAutospacing="1" w:after="100" w:afterAutospacing="1"/>
    </w:pPr>
    <w:rPr>
      <w:rFonts w:ascii="Arial" w:hAnsi="Arial" w:cs="Arial"/>
      <w:b/>
      <w:bCs/>
      <w:i/>
      <w:iCs/>
      <w:sz w:val="20"/>
      <w:szCs w:val="20"/>
    </w:rPr>
  </w:style>
  <w:style w:type="paragraph" w:customStyle="1" w:styleId="xl392">
    <w:name w:val="xl392"/>
    <w:basedOn w:val="Normlny"/>
    <w:rsid w:val="00BB33FC"/>
    <w:pPr>
      <w:pBdr>
        <w:top w:val="single" w:sz="8" w:space="0" w:color="E26B0A"/>
      </w:pBdr>
      <w:shd w:val="clear" w:color="000000" w:fill="FFFFFF"/>
      <w:spacing w:before="100" w:beforeAutospacing="1" w:after="100" w:afterAutospacing="1"/>
    </w:pPr>
    <w:rPr>
      <w:rFonts w:ascii="Arial" w:hAnsi="Arial" w:cs="Arial"/>
      <w:b/>
      <w:bCs/>
      <w:i/>
      <w:iCs/>
      <w:sz w:val="20"/>
      <w:szCs w:val="20"/>
    </w:rPr>
  </w:style>
  <w:style w:type="paragraph" w:customStyle="1" w:styleId="xl393">
    <w:name w:val="xl393"/>
    <w:basedOn w:val="Normlny"/>
    <w:rsid w:val="00BB33FC"/>
    <w:pPr>
      <w:pBdr>
        <w:top w:val="single" w:sz="8" w:space="0" w:color="E26B0A"/>
        <w:right w:val="single" w:sz="8" w:space="0" w:color="E26B0A"/>
      </w:pBdr>
      <w:shd w:val="clear" w:color="000000" w:fill="FFFFFF"/>
      <w:spacing w:before="100" w:beforeAutospacing="1" w:after="100" w:afterAutospacing="1"/>
    </w:pPr>
    <w:rPr>
      <w:rFonts w:ascii="Arial" w:hAnsi="Arial" w:cs="Arial"/>
      <w:b/>
      <w:bCs/>
      <w:i/>
      <w:iCs/>
      <w:sz w:val="20"/>
      <w:szCs w:val="20"/>
    </w:rPr>
  </w:style>
  <w:style w:type="paragraph" w:customStyle="1" w:styleId="xl394">
    <w:name w:val="xl394"/>
    <w:basedOn w:val="Normlny"/>
    <w:rsid w:val="00BB33FC"/>
    <w:pPr>
      <w:pBdr>
        <w:left w:val="single" w:sz="8" w:space="0" w:color="E26B0A"/>
      </w:pBdr>
      <w:shd w:val="clear" w:color="000000" w:fill="FDE9D9"/>
      <w:spacing w:before="100" w:beforeAutospacing="1" w:after="100" w:afterAutospacing="1"/>
      <w:textAlignment w:val="top"/>
    </w:pPr>
    <w:rPr>
      <w:rFonts w:ascii="Arial" w:hAnsi="Arial" w:cs="Arial"/>
      <w:sz w:val="18"/>
      <w:szCs w:val="18"/>
    </w:rPr>
  </w:style>
  <w:style w:type="table" w:styleId="Strednpodfarbenie1zvraznenie3">
    <w:name w:val="Medium Shading 1 Accent 3"/>
    <w:basedOn w:val="Normlnatabuka"/>
    <w:uiPriority w:val="63"/>
    <w:rsid w:val="00B833BD"/>
    <w:rPr>
      <w:sz w:val="22"/>
      <w:szCs w:val="22"/>
    </w:rPr>
    <w:tblPr>
      <w:tblStyleRowBandSize w:val="1"/>
      <w:tblStyleColBandSize w:val="1"/>
      <w:tblInd w:w="0" w:type="dxa"/>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2Horz">
      <w:tblPr/>
      <w:tcPr>
        <w:tcBorders>
          <w:insideH w:val="nil"/>
          <w:insideV w:val="nil"/>
        </w:tcBorders>
      </w:tcPr>
    </w:tblStylePr>
  </w:style>
  <w:style w:type="table" w:styleId="Svetlzoznamzvraznenie3">
    <w:name w:val="Light List Accent 3"/>
    <w:basedOn w:val="Normlnatabuka"/>
    <w:uiPriority w:val="61"/>
    <w:rsid w:val="00B833BD"/>
    <w:rPr>
      <w:sz w:val="22"/>
      <w:szCs w:val="22"/>
    </w:r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character" w:customStyle="1" w:styleId="hpsatn">
    <w:name w:val="hps atn"/>
    <w:basedOn w:val="Predvolenpsmoodseku"/>
    <w:rsid w:val="00A03F52"/>
  </w:style>
  <w:style w:type="paragraph" w:styleId="Obsah1">
    <w:name w:val="toc 1"/>
    <w:basedOn w:val="Normlny"/>
    <w:next w:val="Normlny"/>
    <w:autoRedefine/>
    <w:uiPriority w:val="39"/>
    <w:rsid w:val="00197171"/>
    <w:pPr>
      <w:tabs>
        <w:tab w:val="left" w:pos="0"/>
        <w:tab w:val="right" w:leader="dot" w:pos="9062"/>
      </w:tabs>
      <w:spacing w:after="100"/>
    </w:pPr>
    <w:rPr>
      <w:rFonts w:ascii="Calibri" w:hAnsi="Calibri"/>
      <w:b/>
      <w:noProof/>
      <w:sz w:val="24"/>
      <w:szCs w:val="22"/>
      <w:lang w:eastAsia="en-US"/>
    </w:rPr>
  </w:style>
  <w:style w:type="paragraph" w:styleId="Obsah2">
    <w:name w:val="toc 2"/>
    <w:basedOn w:val="Normlny"/>
    <w:next w:val="Normlny"/>
    <w:autoRedefine/>
    <w:uiPriority w:val="39"/>
    <w:rsid w:val="00AA30CA"/>
    <w:pPr>
      <w:tabs>
        <w:tab w:val="right" w:leader="dot" w:pos="9062"/>
      </w:tabs>
      <w:spacing w:after="100"/>
    </w:pPr>
  </w:style>
  <w:style w:type="paragraph" w:styleId="Obsah3">
    <w:name w:val="toc 3"/>
    <w:basedOn w:val="Normlny"/>
    <w:next w:val="Normlny"/>
    <w:autoRedefine/>
    <w:uiPriority w:val="39"/>
    <w:rsid w:val="000A3653"/>
    <w:pPr>
      <w:tabs>
        <w:tab w:val="left" w:pos="2655"/>
        <w:tab w:val="right" w:leader="dot" w:pos="9062"/>
      </w:tabs>
      <w:spacing w:after="120"/>
      <w:jc w:val="left"/>
      <w:outlineLvl w:val="0"/>
    </w:pPr>
    <w:rPr>
      <w:noProof/>
    </w:rPr>
  </w:style>
  <w:style w:type="paragraph" w:styleId="Obsah4">
    <w:name w:val="toc 4"/>
    <w:basedOn w:val="Normlny"/>
    <w:next w:val="Normlny"/>
    <w:autoRedefine/>
    <w:uiPriority w:val="39"/>
    <w:unhideWhenUsed/>
    <w:rsid w:val="00E30CD7"/>
    <w:pPr>
      <w:spacing w:after="100" w:line="276" w:lineRule="auto"/>
      <w:ind w:left="660"/>
    </w:pPr>
    <w:rPr>
      <w:rFonts w:eastAsiaTheme="minorEastAsia" w:cstheme="minorBidi"/>
      <w:szCs w:val="22"/>
    </w:rPr>
  </w:style>
  <w:style w:type="paragraph" w:styleId="Obsah5">
    <w:name w:val="toc 5"/>
    <w:basedOn w:val="Normlny"/>
    <w:next w:val="Normlny"/>
    <w:autoRedefine/>
    <w:uiPriority w:val="39"/>
    <w:unhideWhenUsed/>
    <w:rsid w:val="00E30CD7"/>
    <w:pPr>
      <w:spacing w:after="100" w:line="276" w:lineRule="auto"/>
      <w:ind w:left="880"/>
    </w:pPr>
    <w:rPr>
      <w:rFonts w:eastAsiaTheme="minorEastAsia" w:cstheme="minorBidi"/>
      <w:szCs w:val="22"/>
    </w:rPr>
  </w:style>
  <w:style w:type="paragraph" w:styleId="Obsah6">
    <w:name w:val="toc 6"/>
    <w:basedOn w:val="Normlny"/>
    <w:next w:val="Normlny"/>
    <w:autoRedefine/>
    <w:uiPriority w:val="39"/>
    <w:unhideWhenUsed/>
    <w:rsid w:val="00E30CD7"/>
    <w:pPr>
      <w:spacing w:after="100" w:line="276" w:lineRule="auto"/>
      <w:ind w:left="1100"/>
    </w:pPr>
    <w:rPr>
      <w:rFonts w:eastAsiaTheme="minorEastAsia" w:cstheme="minorBidi"/>
      <w:szCs w:val="22"/>
    </w:rPr>
  </w:style>
  <w:style w:type="paragraph" w:styleId="Obsah7">
    <w:name w:val="toc 7"/>
    <w:basedOn w:val="Normlny"/>
    <w:next w:val="Normlny"/>
    <w:autoRedefine/>
    <w:uiPriority w:val="39"/>
    <w:unhideWhenUsed/>
    <w:rsid w:val="00E30CD7"/>
    <w:pPr>
      <w:spacing w:after="100" w:line="276" w:lineRule="auto"/>
      <w:ind w:left="1320"/>
    </w:pPr>
    <w:rPr>
      <w:rFonts w:eastAsiaTheme="minorEastAsia" w:cstheme="minorBidi"/>
      <w:szCs w:val="22"/>
    </w:rPr>
  </w:style>
  <w:style w:type="paragraph" w:styleId="Obsah8">
    <w:name w:val="toc 8"/>
    <w:basedOn w:val="Normlny"/>
    <w:next w:val="Normlny"/>
    <w:autoRedefine/>
    <w:uiPriority w:val="39"/>
    <w:unhideWhenUsed/>
    <w:rsid w:val="00E30CD7"/>
    <w:pPr>
      <w:spacing w:after="100" w:line="276" w:lineRule="auto"/>
      <w:ind w:left="1540"/>
    </w:pPr>
    <w:rPr>
      <w:rFonts w:eastAsiaTheme="minorEastAsia" w:cstheme="minorBidi"/>
      <w:szCs w:val="22"/>
    </w:rPr>
  </w:style>
  <w:style w:type="paragraph" w:styleId="Obsah9">
    <w:name w:val="toc 9"/>
    <w:basedOn w:val="Normlny"/>
    <w:next w:val="Normlny"/>
    <w:autoRedefine/>
    <w:uiPriority w:val="39"/>
    <w:unhideWhenUsed/>
    <w:rsid w:val="00E30CD7"/>
    <w:pPr>
      <w:spacing w:after="100" w:line="276" w:lineRule="auto"/>
      <w:ind w:left="1760"/>
    </w:pPr>
    <w:rPr>
      <w:rFonts w:eastAsiaTheme="minorEastAsia" w:cstheme="minorBidi"/>
      <w:szCs w:val="22"/>
    </w:rPr>
  </w:style>
  <w:style w:type="paragraph" w:customStyle="1" w:styleId="Hlavn">
    <w:name w:val="Hlavný"/>
    <w:basedOn w:val="Normlny"/>
    <w:autoRedefine/>
    <w:qFormat/>
    <w:rsid w:val="00366F96"/>
    <w:pPr>
      <w:ind w:left="567" w:hanging="567"/>
    </w:pPr>
    <w:rPr>
      <w:rFonts w:ascii="Calibri" w:hAnsi="Calibri"/>
      <w:b/>
      <w:sz w:val="28"/>
      <w:lang w:eastAsia="en-US"/>
    </w:rPr>
  </w:style>
  <w:style w:type="paragraph" w:customStyle="1" w:styleId="Pod">
    <w:name w:val="Pod"/>
    <w:basedOn w:val="Normlny"/>
    <w:qFormat/>
    <w:rsid w:val="00AA30CA"/>
    <w:rPr>
      <w:rFonts w:ascii="Calibri" w:hAnsi="Calibri"/>
      <w:b/>
      <w:smallCaps/>
      <w:sz w:val="26"/>
    </w:rPr>
  </w:style>
  <w:style w:type="paragraph" w:customStyle="1" w:styleId="Hlavn1">
    <w:name w:val="Hlavný1"/>
    <w:basedOn w:val="Normlny"/>
    <w:next w:val="Hlavn"/>
    <w:qFormat/>
    <w:rsid w:val="008B05E0"/>
    <w:rPr>
      <w:rFonts w:ascii="Calibri" w:hAnsi="Calibri"/>
      <w:b/>
      <w:caps/>
    </w:rPr>
  </w:style>
  <w:style w:type="paragraph" w:customStyle="1" w:styleId="Podpod">
    <w:name w:val="Pod pod"/>
    <w:basedOn w:val="Normlny"/>
    <w:qFormat/>
    <w:rsid w:val="00AA30CA"/>
    <w:rPr>
      <w:rFonts w:ascii="Calibri" w:eastAsia="Calibri" w:hAnsi="Calibri" w:cs="Calibri"/>
      <w:b/>
      <w:szCs w:val="22"/>
      <w:lang w:eastAsia="en-US"/>
    </w:rPr>
  </w:style>
  <w:style w:type="paragraph" w:customStyle="1" w:styleId="Podpodpod">
    <w:name w:val="Pod pod pod"/>
    <w:basedOn w:val="Normlny"/>
    <w:qFormat/>
    <w:rsid w:val="00AA30CA"/>
    <w:pPr>
      <w:autoSpaceDE w:val="0"/>
      <w:autoSpaceDN w:val="0"/>
      <w:adjustRightInd w:val="0"/>
      <w:ind w:left="2835" w:hanging="2835"/>
    </w:pPr>
    <w:rPr>
      <w:rFonts w:ascii="Calibri" w:eastAsia="Calibri" w:hAnsi="Calibri"/>
      <w:b/>
      <w:szCs w:val="22"/>
      <w:lang w:eastAsia="en-US"/>
    </w:rPr>
  </w:style>
  <w:style w:type="paragraph" w:customStyle="1" w:styleId="Opatrenie">
    <w:name w:val="Opatrenie"/>
    <w:basedOn w:val="Nadpis1"/>
    <w:qFormat/>
    <w:rsid w:val="00AA30CA"/>
    <w:pPr>
      <w:shd w:val="clear" w:color="auto" w:fill="DDD9C3"/>
      <w:spacing w:before="0" w:after="0"/>
      <w:ind w:left="432" w:hanging="432"/>
    </w:pPr>
    <w:rPr>
      <w:rFonts w:ascii="Calibri" w:hAnsi="Calibri" w:cs="Calibri"/>
      <w:caps/>
      <w:sz w:val="28"/>
      <w:szCs w:val="28"/>
      <w:lang w:eastAsia="en-US"/>
    </w:rPr>
  </w:style>
  <w:style w:type="paragraph" w:styleId="Hlavikaobsahu">
    <w:name w:val="TOC Heading"/>
    <w:basedOn w:val="Nadpis1"/>
    <w:next w:val="Normlny"/>
    <w:uiPriority w:val="39"/>
    <w:semiHidden/>
    <w:unhideWhenUsed/>
    <w:qFormat/>
    <w:rsid w:val="00AA30CA"/>
    <w:pPr>
      <w:keepLines/>
      <w:spacing w:before="480" w:after="0" w:line="276" w:lineRule="auto"/>
      <w:outlineLvl w:val="9"/>
    </w:pPr>
    <w:rPr>
      <w:rFonts w:asciiTheme="majorHAnsi" w:eastAsiaTheme="majorEastAsia" w:hAnsiTheme="majorHAnsi" w:cstheme="majorBidi"/>
      <w:color w:val="365F91" w:themeColor="accent1" w:themeShade="BF"/>
      <w:kern w:val="0"/>
      <w:sz w:val="28"/>
      <w:szCs w:val="28"/>
    </w:rPr>
  </w:style>
  <w:style w:type="numbering" w:customStyle="1" w:styleId="Aktulnyzoznam1">
    <w:name w:val="Aktuálny zoznam1"/>
    <w:rsid w:val="00C808B8"/>
    <w:pPr>
      <w:numPr>
        <w:numId w:val="323"/>
      </w:numPr>
    </w:pPr>
  </w:style>
  <w:style w:type="character" w:customStyle="1" w:styleId="NadpisCalibri115Char">
    <w:name w:val="Nadpis Calibri 115 Char"/>
    <w:link w:val="NadpisCalibri115"/>
    <w:uiPriority w:val="99"/>
    <w:locked/>
    <w:rsid w:val="00A53BCF"/>
    <w:rPr>
      <w:rFonts w:ascii="Calibri" w:hAnsi="Calibri"/>
      <w:b/>
      <w:kern w:val="1"/>
      <w:sz w:val="23"/>
      <w:u w:val="single"/>
      <w:lang w:eastAsia="ar-SA"/>
    </w:rPr>
  </w:style>
  <w:style w:type="paragraph" w:customStyle="1" w:styleId="NadpisCalibri115">
    <w:name w:val="Nadpis Calibri 115"/>
    <w:basedOn w:val="Normlny"/>
    <w:next w:val="Normlny"/>
    <w:link w:val="NadpisCalibri115Char"/>
    <w:uiPriority w:val="99"/>
    <w:rsid w:val="00A53BCF"/>
    <w:pPr>
      <w:keepNext/>
      <w:suppressAutoHyphens/>
      <w:jc w:val="left"/>
    </w:pPr>
    <w:rPr>
      <w:rFonts w:ascii="Calibri" w:hAnsi="Calibri"/>
      <w:b/>
      <w:kern w:val="1"/>
      <w:sz w:val="23"/>
      <w:szCs w:val="20"/>
      <w:u w:val="single"/>
      <w:lang w:eastAsia="ar-SA"/>
    </w:rPr>
  </w:style>
  <w:style w:type="character" w:customStyle="1" w:styleId="OdsekCalibri115Char">
    <w:name w:val="Odsek Calibri 115 Char"/>
    <w:uiPriority w:val="99"/>
    <w:locked/>
    <w:rsid w:val="00A53BCF"/>
    <w:rPr>
      <w:rFonts w:ascii="Calibri" w:hAnsi="Calibri"/>
      <w:kern w:val="1"/>
      <w:sz w:val="22"/>
      <w:lang w:val="sk-SK" w:eastAsia="ar-SA" w:bidi="ar-SA"/>
    </w:rPr>
  </w:style>
  <w:style w:type="paragraph" w:customStyle="1" w:styleId="TucneCalibri115">
    <w:name w:val="Tucne Calibri 115"/>
    <w:basedOn w:val="Normlny"/>
    <w:next w:val="Normlny"/>
    <w:uiPriority w:val="99"/>
    <w:rsid w:val="00A53BCF"/>
    <w:pPr>
      <w:keepNext/>
      <w:suppressAutoHyphens/>
    </w:pPr>
    <w:rPr>
      <w:rFonts w:ascii="Calibri" w:hAnsi="Calibri"/>
      <w:b/>
      <w:kern w:val="1"/>
      <w:sz w:val="23"/>
      <w:szCs w:val="20"/>
      <w:lang w:eastAsia="ar-SA"/>
    </w:rPr>
  </w:style>
  <w:style w:type="paragraph" w:customStyle="1" w:styleId="CarCharCharChar">
    <w:name w:val="Car Char Char Char"/>
    <w:basedOn w:val="Normlny"/>
    <w:rsid w:val="00242C36"/>
    <w:pPr>
      <w:spacing w:after="160" w:line="240" w:lineRule="exact"/>
      <w:jc w:val="left"/>
    </w:pPr>
    <w:rPr>
      <w:rFonts w:ascii="Tahoma" w:hAnsi="Tahoma" w:cs="Tahoma"/>
      <w:sz w:val="20"/>
      <w:szCs w:val="20"/>
      <w:lang w:val="en-US" w:eastAsia="en-US"/>
    </w:rPr>
  </w:style>
  <w:style w:type="paragraph" w:customStyle="1" w:styleId="Obsahtabulky">
    <w:name w:val="Obsah tabulky"/>
    <w:basedOn w:val="Normlny"/>
    <w:uiPriority w:val="99"/>
    <w:rsid w:val="00242C36"/>
    <w:pPr>
      <w:jc w:val="left"/>
    </w:pPr>
    <w:rPr>
      <w:rFonts w:ascii="Calibri" w:eastAsia="Calibri" w:hAnsi="Calibri" w:cs="Arial"/>
      <w:sz w:val="18"/>
      <w:szCs w:val="20"/>
    </w:rPr>
  </w:style>
  <w:style w:type="paragraph" w:customStyle="1" w:styleId="normlnneodsaden">
    <w:name w:val="normlnneodsaden"/>
    <w:basedOn w:val="Normlny"/>
    <w:rsid w:val="00242C36"/>
    <w:pPr>
      <w:spacing w:before="100" w:beforeAutospacing="1" w:after="100" w:afterAutospacing="1"/>
      <w:jc w:val="left"/>
    </w:pPr>
    <w:rPr>
      <w:rFonts w:ascii="Times New Roman" w:hAnsi="Times New Roman"/>
      <w:color w:val="000000"/>
      <w:sz w:val="24"/>
    </w:rPr>
  </w:style>
  <w:style w:type="paragraph" w:customStyle="1" w:styleId="tlnormlnyneodsadentunvavo">
    <w:name w:val="tlnormlnyneodsadentunvavo"/>
    <w:basedOn w:val="Normlny"/>
    <w:rsid w:val="00242C36"/>
    <w:pPr>
      <w:spacing w:before="100" w:beforeAutospacing="1" w:after="100" w:afterAutospacing="1"/>
      <w:jc w:val="left"/>
    </w:pPr>
    <w:rPr>
      <w:rFonts w:ascii="Times New Roman" w:hAnsi="Times New Roman"/>
      <w:color w:val="000000"/>
      <w:sz w:val="24"/>
    </w:rPr>
  </w:style>
  <w:style w:type="paragraph" w:customStyle="1" w:styleId="normlnyneodsadentunnastred0">
    <w:name w:val="normlnyneodsadentunnastred"/>
    <w:basedOn w:val="Normlny"/>
    <w:rsid w:val="00242C36"/>
    <w:pPr>
      <w:spacing w:before="100" w:beforeAutospacing="1" w:after="100" w:afterAutospacing="1"/>
      <w:jc w:val="left"/>
    </w:pPr>
    <w:rPr>
      <w:rFonts w:ascii="Times New Roman" w:hAnsi="Times New Roman"/>
      <w:color w:val="000000"/>
      <w:sz w:val="24"/>
    </w:rPr>
  </w:style>
  <w:style w:type="paragraph" w:customStyle="1" w:styleId="normlnyneodsadenvavostab0">
    <w:name w:val="normlnyneodsadenvavostab"/>
    <w:basedOn w:val="Normlny"/>
    <w:rsid w:val="00242C36"/>
    <w:pPr>
      <w:spacing w:before="100" w:beforeAutospacing="1" w:after="100" w:afterAutospacing="1"/>
      <w:jc w:val="left"/>
    </w:pPr>
    <w:rPr>
      <w:rFonts w:ascii="Times New Roman" w:hAnsi="Times New Roman"/>
      <w:color w:val="000000"/>
      <w:sz w:val="24"/>
    </w:rPr>
  </w:style>
  <w:style w:type="paragraph" w:customStyle="1" w:styleId="normlnyneodsadenvpravo">
    <w:name w:val="normlnyneodsadenvpravo"/>
    <w:basedOn w:val="Normlny"/>
    <w:rsid w:val="00242C36"/>
    <w:pPr>
      <w:spacing w:before="100" w:beforeAutospacing="1" w:after="100" w:afterAutospacing="1"/>
      <w:jc w:val="left"/>
    </w:pPr>
    <w:rPr>
      <w:rFonts w:ascii="Times New Roman" w:hAnsi="Times New Roman"/>
      <w:color w:val="000000"/>
      <w:sz w:val="24"/>
    </w:rPr>
  </w:style>
  <w:style w:type="paragraph" w:customStyle="1" w:styleId="prame">
    <w:name w:val="prame"/>
    <w:basedOn w:val="Normlny"/>
    <w:rsid w:val="00242C36"/>
    <w:pPr>
      <w:spacing w:before="100" w:beforeAutospacing="1" w:after="100" w:afterAutospacing="1"/>
      <w:jc w:val="left"/>
    </w:pPr>
    <w:rPr>
      <w:rFonts w:ascii="Times New Roman" w:hAnsi="Times New Roman"/>
      <w:color w:val="000000"/>
      <w:sz w:val="24"/>
    </w:rPr>
  </w:style>
  <w:style w:type="paragraph" w:customStyle="1" w:styleId="CharCharCharCharCharChar">
    <w:name w:val="Char Char Char Char Char Char"/>
    <w:basedOn w:val="Normlny"/>
    <w:rsid w:val="00242C36"/>
    <w:pPr>
      <w:jc w:val="left"/>
    </w:pPr>
    <w:rPr>
      <w:rFonts w:ascii="Times New Roman" w:hAnsi="Times New Roman"/>
      <w:sz w:val="24"/>
      <w:lang w:val="pl-PL" w:eastAsia="pl-PL"/>
    </w:rPr>
  </w:style>
  <w:style w:type="paragraph" w:customStyle="1" w:styleId="Text2">
    <w:name w:val="Text 2"/>
    <w:basedOn w:val="Normlny"/>
    <w:link w:val="Text2Char"/>
    <w:uiPriority w:val="99"/>
    <w:rsid w:val="00242C36"/>
    <w:pPr>
      <w:spacing w:line="288" w:lineRule="auto"/>
    </w:pPr>
    <w:rPr>
      <w:rFonts w:ascii="Calibri" w:eastAsia="Calibri" w:hAnsi="Calibri"/>
      <w:szCs w:val="20"/>
      <w:lang w:val="en-GB" w:eastAsia="en-US"/>
    </w:rPr>
  </w:style>
  <w:style w:type="character" w:customStyle="1" w:styleId="Text2Char">
    <w:name w:val="Text 2 Char"/>
    <w:link w:val="Text2"/>
    <w:uiPriority w:val="99"/>
    <w:locked/>
    <w:rsid w:val="00242C36"/>
    <w:rPr>
      <w:rFonts w:ascii="Calibri" w:eastAsia="Calibri" w:hAnsi="Calibri"/>
      <w:sz w:val="22"/>
      <w:lang w:val="en-GB" w:eastAsia="en-US"/>
    </w:rPr>
  </w:style>
  <w:style w:type="table" w:customStyle="1" w:styleId="Tabellenraster16">
    <w:name w:val="Tabellenraster16"/>
    <w:basedOn w:val="Normlnatabuka"/>
    <w:next w:val="Mriekatabuky"/>
    <w:uiPriority w:val="59"/>
    <w:rsid w:val="00DA5476"/>
    <w:rPr>
      <w:rFonts w:ascii="Calibri" w:eastAsia="Calibri" w:hAnsi="Calibri"/>
      <w:sz w:val="22"/>
      <w:szCs w:val="22"/>
      <w:lang w:val="de-AT"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raster17">
    <w:name w:val="Tabellenraster17"/>
    <w:basedOn w:val="Normlnatabuka"/>
    <w:next w:val="Mriekatabuky"/>
    <w:uiPriority w:val="59"/>
    <w:rsid w:val="00DA5476"/>
    <w:rPr>
      <w:rFonts w:ascii="Calibri" w:eastAsia="Calibri" w:hAnsi="Calibri"/>
      <w:sz w:val="22"/>
      <w:szCs w:val="22"/>
      <w:lang w:val="de-AT"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Style31">
    <w:name w:val="Style31"/>
    <w:basedOn w:val="Normlny"/>
    <w:uiPriority w:val="99"/>
    <w:rsid w:val="007B197D"/>
    <w:pPr>
      <w:widowControl w:val="0"/>
      <w:autoSpaceDE w:val="0"/>
      <w:autoSpaceDN w:val="0"/>
      <w:adjustRightInd w:val="0"/>
      <w:jc w:val="left"/>
    </w:pPr>
    <w:rPr>
      <w:rFonts w:ascii="Times New Roman" w:eastAsiaTheme="minorEastAsia" w:hAnsi="Times New Roman"/>
      <w:sz w:val="24"/>
    </w:rPr>
  </w:style>
  <w:style w:type="paragraph" w:customStyle="1" w:styleId="Text4">
    <w:name w:val="Text 4"/>
    <w:basedOn w:val="Normlny"/>
    <w:rsid w:val="00BD47BB"/>
    <w:pPr>
      <w:spacing w:after="120"/>
    </w:pPr>
    <w:rPr>
      <w:rFonts w:ascii="Times New Roman" w:hAnsi="Times New Roman"/>
      <w:szCs w:val="20"/>
      <w:lang w:eastAsia="en-US"/>
    </w:rPr>
  </w:style>
  <w:style w:type="paragraph" w:customStyle="1" w:styleId="HeadingIVX">
    <w:name w:val="Heading IVX"/>
    <w:basedOn w:val="Normlny"/>
    <w:next w:val="Normlny"/>
    <w:rsid w:val="00BD47BB"/>
    <w:pPr>
      <w:numPr>
        <w:numId w:val="405"/>
      </w:numPr>
      <w:autoSpaceDE w:val="0"/>
      <w:autoSpaceDN w:val="0"/>
      <w:adjustRightInd w:val="0"/>
      <w:spacing w:before="360" w:after="120" w:line="360" w:lineRule="auto"/>
      <w:jc w:val="left"/>
      <w:outlineLvl w:val="0"/>
    </w:pPr>
    <w:rPr>
      <w:rFonts w:ascii="Times New Roman" w:hAnsi="Times New Roman"/>
      <w:b/>
      <w:bCs/>
      <w:caps/>
      <w:sz w:val="24"/>
      <w:u w:val="single"/>
      <w:lang w:eastAsia="fr-BE"/>
    </w:rPr>
  </w:style>
  <w:style w:type="paragraph" w:customStyle="1" w:styleId="Vchodzie">
    <w:name w:val="Východzie"/>
    <w:rsid w:val="0075211A"/>
    <w:pPr>
      <w:suppressAutoHyphens/>
      <w:overflowPunct w:val="0"/>
      <w:spacing w:before="120" w:after="120" w:line="276" w:lineRule="auto"/>
      <w:jc w:val="both"/>
    </w:pPr>
    <w:rPr>
      <w:rFonts w:ascii="Calibri" w:eastAsiaTheme="minorEastAsia" w:hAnsi="Calibri" w:cs="Mangal"/>
      <w:color w:val="00000A"/>
      <w:sz w:val="22"/>
      <w:szCs w:val="24"/>
      <w:lang w:eastAsia="en-US"/>
    </w:rPr>
  </w:style>
  <w:style w:type="numbering" w:customStyle="1" w:styleId="Bezzoznamu5">
    <w:name w:val="Bez zoznamu5"/>
    <w:next w:val="Bezzoznamu"/>
    <w:uiPriority w:val="99"/>
    <w:semiHidden/>
    <w:unhideWhenUsed/>
    <w:rsid w:val="009B026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47087210">
      <w:bodyDiv w:val="1"/>
      <w:marLeft w:val="0"/>
      <w:marRight w:val="0"/>
      <w:marTop w:val="0"/>
      <w:marBottom w:val="0"/>
      <w:divBdr>
        <w:top w:val="none" w:sz="0" w:space="0" w:color="auto"/>
        <w:left w:val="none" w:sz="0" w:space="0" w:color="auto"/>
        <w:bottom w:val="none" w:sz="0" w:space="0" w:color="auto"/>
        <w:right w:val="none" w:sz="0" w:space="0" w:color="auto"/>
      </w:divBdr>
    </w:div>
    <w:div w:id="970676128">
      <w:bodyDiv w:val="1"/>
      <w:marLeft w:val="0"/>
      <w:marRight w:val="0"/>
      <w:marTop w:val="0"/>
      <w:marBottom w:val="0"/>
      <w:divBdr>
        <w:top w:val="none" w:sz="0" w:space="0" w:color="auto"/>
        <w:left w:val="none" w:sz="0" w:space="0" w:color="auto"/>
        <w:bottom w:val="none" w:sz="0" w:space="0" w:color="auto"/>
        <w:right w:val="none" w:sz="0" w:space="0" w:color="auto"/>
      </w:divBdr>
    </w:div>
    <w:div w:id="1166166583">
      <w:bodyDiv w:val="1"/>
      <w:marLeft w:val="0"/>
      <w:marRight w:val="0"/>
      <w:marTop w:val="0"/>
      <w:marBottom w:val="0"/>
      <w:divBdr>
        <w:top w:val="none" w:sz="0" w:space="0" w:color="auto"/>
        <w:left w:val="none" w:sz="0" w:space="0" w:color="auto"/>
        <w:bottom w:val="none" w:sz="0" w:space="0" w:color="auto"/>
        <w:right w:val="none" w:sz="0" w:space="0" w:color="auto"/>
      </w:divBdr>
    </w:div>
    <w:div w:id="152956395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5.wmf"/><Relationship Id="rId21" Type="http://schemas.openxmlformats.org/officeDocument/2006/relationships/image" Target="media/image11.wmf"/><Relationship Id="rId42" Type="http://schemas.openxmlformats.org/officeDocument/2006/relationships/hyperlink" Target="http://www.epi.sk/Main/Default.aspx?Template=~%2FMain%2FTArticles.ascx&amp;LngID=0&amp;zzsrlnkid=4654186&amp;phContent=~%2FZzSR%2FShowRule.ascx&amp;RuleId=14927&amp;pa=13597" TargetMode="External"/><Relationship Id="rId47" Type="http://schemas.openxmlformats.org/officeDocument/2006/relationships/hyperlink" Target="http://www.rokovania.sk/Rokovanie.aspx/BodRokovaniaDetail?idMaterial=23180" TargetMode="External"/><Relationship Id="rId63" Type="http://schemas.openxmlformats.org/officeDocument/2006/relationships/hyperlink" Target="http://www.minzp.sk/sekcie/temy-oblasti/voda/ochrana-pred-povodnami/manazment-povodnovych-rizik/povodnove-mapy.html" TargetMode="External"/><Relationship Id="rId68" Type="http://schemas.openxmlformats.org/officeDocument/2006/relationships/hyperlink" Target="http://www.urso.gov.sk/doc/urad/RegulacnaPolitika_2012-2016.pdf" TargetMode="External"/><Relationship Id="rId84" Type="http://schemas.openxmlformats.org/officeDocument/2006/relationships/header" Target="header5.xml"/><Relationship Id="rId89" Type="http://schemas.openxmlformats.org/officeDocument/2006/relationships/header" Target="header8.xml"/><Relationship Id="rId16" Type="http://schemas.openxmlformats.org/officeDocument/2006/relationships/image" Target="media/image6.emf"/><Relationship Id="rId107" Type="http://schemas.openxmlformats.org/officeDocument/2006/relationships/customXml" Target="../customXml/item3.xml"/><Relationship Id="rId11" Type="http://schemas.openxmlformats.org/officeDocument/2006/relationships/oleObject" Target="embeddings/oleObject1.bin"/><Relationship Id="rId32" Type="http://schemas.openxmlformats.org/officeDocument/2006/relationships/hyperlink" Target="http://www.podnemapy.sk/portal/verejnost/kompakcia/kompakcia.aspx" TargetMode="External"/><Relationship Id="rId37" Type="http://schemas.openxmlformats.org/officeDocument/2006/relationships/hyperlink" Target="http://www.siea.sk/materials/files/vzdelavanie/energeticky_auditor/zak_476_2008.pdf" TargetMode="External"/><Relationship Id="rId53" Type="http://schemas.openxmlformats.org/officeDocument/2006/relationships/hyperlink" Target="http://www.uvo.gov.sk/najcastejsie-nedostatky-stene-uvo" TargetMode="External"/><Relationship Id="rId58" Type="http://schemas.openxmlformats.org/officeDocument/2006/relationships/hyperlink" Target="http://www.minv.sk/?Dokumenty_na_stiahnutie_CO" TargetMode="External"/><Relationship Id="rId74" Type="http://schemas.openxmlformats.org/officeDocument/2006/relationships/hyperlink" Target="http://www.rokovania.sk/Rokovanie.aspx/BodRokovaniaDetail?idMaterial=23177" TargetMode="External"/><Relationship Id="rId79" Type="http://schemas.openxmlformats.org/officeDocument/2006/relationships/hyperlink" Target="http://www.zakonypreludi.sk/zz/2006-25/znenie-20130701" TargetMode="External"/><Relationship Id="rId102" Type="http://schemas.openxmlformats.org/officeDocument/2006/relationships/header" Target="header13.xml"/><Relationship Id="rId5" Type="http://schemas.openxmlformats.org/officeDocument/2006/relationships/settings" Target="settings.xml"/><Relationship Id="rId90" Type="http://schemas.openxmlformats.org/officeDocument/2006/relationships/footer" Target="footer8.xml"/><Relationship Id="rId95" Type="http://schemas.openxmlformats.org/officeDocument/2006/relationships/header" Target="header11.xml"/><Relationship Id="rId22" Type="http://schemas.openxmlformats.org/officeDocument/2006/relationships/image" Target="media/image12.wmf"/><Relationship Id="rId27" Type="http://schemas.openxmlformats.org/officeDocument/2006/relationships/image" Target="media/image16.png"/><Relationship Id="rId43" Type="http://schemas.openxmlformats.org/officeDocument/2006/relationships/hyperlink" Target="http://www.gender.gov.sk/?page_id=72" TargetMode="External"/><Relationship Id="rId48" Type="http://schemas.openxmlformats.org/officeDocument/2006/relationships/hyperlink" Target="http://www.uvo.gov.sk/legislativa/-/document_library_display/74gW/view/706651?_110_INSTANCE_74gW_redirect=http%3A%2F%2Fwww.uvo.gov.sk%2Flegislativa%3Fp_p_id%3D110_INSTANCE_74gW%26p_p_lifecycle%3D0%26p_p_state%3Dnormal%26p_p_mode%3Dview%26p_p_col_id%3Dcolumn-2%26p_p_col_count%3D1" TargetMode="External"/><Relationship Id="rId64" Type="http://schemas.openxmlformats.org/officeDocument/2006/relationships/hyperlink" Target="http://www.telecom.gov.sk/index/index.php?ids=83478" TargetMode="External"/><Relationship Id="rId69" Type="http://schemas.openxmlformats.org/officeDocument/2006/relationships/hyperlink" Target="http://www.vuvh.sk/rsv2/index.php?option=com_content&amp;view=article&amp;id=67&amp;Itemid=87&amp;lang=sk" TargetMode="External"/><Relationship Id="rId80" Type="http://schemas.openxmlformats.org/officeDocument/2006/relationships/header" Target="header3.xml"/><Relationship Id="rId85" Type="http://schemas.openxmlformats.org/officeDocument/2006/relationships/header" Target="header6.xml"/><Relationship Id="rId12" Type="http://schemas.openxmlformats.org/officeDocument/2006/relationships/image" Target="media/image4.png"/><Relationship Id="rId17" Type="http://schemas.openxmlformats.org/officeDocument/2006/relationships/image" Target="media/image7.emf"/><Relationship Id="rId33" Type="http://schemas.openxmlformats.org/officeDocument/2006/relationships/image" Target="media/image18.png"/><Relationship Id="rId38" Type="http://schemas.openxmlformats.org/officeDocument/2006/relationships/header" Target="header2.xml"/><Relationship Id="rId59" Type="http://schemas.openxmlformats.org/officeDocument/2006/relationships/hyperlink" Target="http://www.minv.sk/?Dokumenty_na_stiahnutie_CO&amp;subor=175547" TargetMode="External"/><Relationship Id="rId103" Type="http://schemas.openxmlformats.org/officeDocument/2006/relationships/footer" Target="footer11.xml"/><Relationship Id="rId108" Type="http://schemas.openxmlformats.org/officeDocument/2006/relationships/customXml" Target="../customXml/item4.xml"/><Relationship Id="rId20" Type="http://schemas.openxmlformats.org/officeDocument/2006/relationships/image" Target="media/image10.png"/><Relationship Id="rId41" Type="http://schemas.openxmlformats.org/officeDocument/2006/relationships/image" Target="media/image22.png"/><Relationship Id="rId54" Type="http://schemas.openxmlformats.org/officeDocument/2006/relationships/hyperlink" Target="http://www.uvo.gov.sk/domov" TargetMode="External"/><Relationship Id="rId62" Type="http://schemas.openxmlformats.org/officeDocument/2006/relationships/hyperlink" Target="http://www.rokovania.sk/File.aspx/ViewDocumentHtml/Mater-Dokum-161227?prefixFile=m_" TargetMode="External"/><Relationship Id="rId70" Type="http://schemas.openxmlformats.org/officeDocument/2006/relationships/hyperlink" Target="http://www.vuvh.sk/rsv2/index.php?option=com_content&amp;view=article&amp;id=51&amp;Itemid=58&amp;lang=sk" TargetMode="External"/><Relationship Id="rId75" Type="http://schemas.openxmlformats.org/officeDocument/2006/relationships/hyperlink" Target="http://www.rokovania.sk/Rokovanie.aspx/BodRokovaniaDetail?idMaterial=23177" TargetMode="External"/><Relationship Id="rId83" Type="http://schemas.openxmlformats.org/officeDocument/2006/relationships/footer" Target="footer6.xml"/><Relationship Id="rId88" Type="http://schemas.openxmlformats.org/officeDocument/2006/relationships/header" Target="header7.xml"/><Relationship Id="rId91" Type="http://schemas.openxmlformats.org/officeDocument/2006/relationships/header" Target="header9.xml"/><Relationship Id="rId96" Type="http://schemas.openxmlformats.org/officeDocument/2006/relationships/footer" Target="footer10.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hyperlink" Target="http://www.znackakvality.sk" TargetMode="External"/><Relationship Id="rId28" Type="http://schemas.openxmlformats.org/officeDocument/2006/relationships/header" Target="header1.xml"/><Relationship Id="rId36" Type="http://schemas.openxmlformats.org/officeDocument/2006/relationships/image" Target="media/image21.png"/><Relationship Id="rId49" Type="http://schemas.openxmlformats.org/officeDocument/2006/relationships/hyperlink" Target="http://www.upsvar.sk/buxus/docs//urady/VK/vo/13-z095.pdf" TargetMode="External"/><Relationship Id="rId57" Type="http://schemas.openxmlformats.org/officeDocument/2006/relationships/hyperlink" Target="http://www.sazp.sk/public/index/go.php?id=81&amp;prm3=686" TargetMode="External"/><Relationship Id="rId106" Type="http://schemas.openxmlformats.org/officeDocument/2006/relationships/customXml" Target="../customXml/item2.xml"/><Relationship Id="rId10" Type="http://schemas.openxmlformats.org/officeDocument/2006/relationships/image" Target="media/image3.png"/><Relationship Id="rId31" Type="http://schemas.openxmlformats.org/officeDocument/2006/relationships/image" Target="media/image17.emf"/><Relationship Id="rId44" Type="http://schemas.openxmlformats.org/officeDocument/2006/relationships/hyperlink" Target="http://www.gender.gov.sk/?page_id=347" TargetMode="External"/><Relationship Id="rId52" Type="http://schemas.openxmlformats.org/officeDocument/2006/relationships/hyperlink" Target="http://www.ropka.sk/sk/verejne-obstaravania/" TargetMode="External"/><Relationship Id="rId60" Type="http://schemas.openxmlformats.org/officeDocument/2006/relationships/hyperlink" Target="http://www.minzp.sk/sekcie/temy-oblasti/voda/ochrana-pred-povodnami/manazment-povodnovych-rizik/" TargetMode="External"/><Relationship Id="rId65" Type="http://schemas.openxmlformats.org/officeDocument/2006/relationships/hyperlink" Target="http://www.telecom.gov.sk/index/index.php?ids=83478" TargetMode="External"/><Relationship Id="rId73" Type="http://schemas.openxmlformats.org/officeDocument/2006/relationships/hyperlink" Target="http://ec.europa.eu/energy/renewables/transparency_platform/doc/dir_2009_0028_action_plan_slovakia.zip" TargetMode="External"/><Relationship Id="rId78" Type="http://schemas.openxmlformats.org/officeDocument/2006/relationships/hyperlink" Target="http://www.zakonypreludi.sk/zz/2006-25/znenie-20130701" TargetMode="External"/><Relationship Id="rId81" Type="http://schemas.openxmlformats.org/officeDocument/2006/relationships/footer" Target="footer5.xml"/><Relationship Id="rId86" Type="http://schemas.openxmlformats.org/officeDocument/2006/relationships/hyperlink" Target="http://www.land.gov.sk" TargetMode="External"/><Relationship Id="rId94" Type="http://schemas.openxmlformats.org/officeDocument/2006/relationships/image" Target="media/image23.wmf"/><Relationship Id="rId99" Type="http://schemas.openxmlformats.org/officeDocument/2006/relationships/hyperlink" Target="http://ec.europa.eu/anti_fraud/" TargetMode="External"/><Relationship Id="rId101" Type="http://schemas.openxmlformats.org/officeDocument/2006/relationships/hyperlink" Target="http://www.vuvh.sk/" TargetMode="External"/><Relationship Id="rId4" Type="http://schemas.microsoft.com/office/2007/relationships/stylesWithEffects" Target="stylesWithEffects.xml"/><Relationship Id="rId9" Type="http://schemas.openxmlformats.org/officeDocument/2006/relationships/image" Target="media/image2.png"/><Relationship Id="rId13" Type="http://schemas.openxmlformats.org/officeDocument/2006/relationships/oleObject" Target="embeddings/oleObject2.bin"/><Relationship Id="rId18" Type="http://schemas.openxmlformats.org/officeDocument/2006/relationships/image" Target="media/image8.emf"/><Relationship Id="rId39" Type="http://schemas.openxmlformats.org/officeDocument/2006/relationships/footer" Target="footer3.xml"/><Relationship Id="rId34" Type="http://schemas.openxmlformats.org/officeDocument/2006/relationships/image" Target="media/image19.png"/><Relationship Id="rId50" Type="http://schemas.openxmlformats.org/officeDocument/2006/relationships/hyperlink" Target="http://www.rokovania.sk/Rokovanie.aspx/BodRokovaniaDetail?idMaterial=21941" TargetMode="External"/><Relationship Id="rId55" Type="http://schemas.openxmlformats.org/officeDocument/2006/relationships/hyperlink" Target="http://www.uvo.gov.sk/metodicke-usmernenia" TargetMode="External"/><Relationship Id="rId76" Type="http://schemas.openxmlformats.org/officeDocument/2006/relationships/hyperlink" Target="http://www.rokovania.sk/Rokovanie.aspx/BodRokovaniaDetail?idMaterial=23177" TargetMode="External"/><Relationship Id="rId97" Type="http://schemas.openxmlformats.org/officeDocument/2006/relationships/header" Target="header12.xml"/><Relationship Id="rId104"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hyperlink" Target="http://www.mhsr.sk/obnovitelne-zdroje-energie-a-kombinovana-vyroba/130978s" TargetMode="External"/><Relationship Id="rId92" Type="http://schemas.openxmlformats.org/officeDocument/2006/relationships/header" Target="header10.xml"/><Relationship Id="rId2" Type="http://schemas.openxmlformats.org/officeDocument/2006/relationships/numbering" Target="numbering.xml"/><Relationship Id="rId29" Type="http://schemas.openxmlformats.org/officeDocument/2006/relationships/footer" Target="footer1.xml"/><Relationship Id="rId24" Type="http://schemas.openxmlformats.org/officeDocument/2006/relationships/image" Target="media/image13.png"/><Relationship Id="rId40" Type="http://schemas.openxmlformats.org/officeDocument/2006/relationships/footer" Target="footer4.xml"/><Relationship Id="rId45" Type="http://schemas.openxmlformats.org/officeDocument/2006/relationships/hyperlink" Target="http://www.gender.gov.sk/?page_id=347" TargetMode="External"/><Relationship Id="rId66" Type="http://schemas.openxmlformats.org/officeDocument/2006/relationships/hyperlink" Target="http://www.rokovania.sk/Rokovanie.aspx/BodRokovaniaDetail?idMaterial=22344" TargetMode="External"/><Relationship Id="rId87" Type="http://schemas.openxmlformats.org/officeDocument/2006/relationships/footer" Target="footer7.xml"/><Relationship Id="rId61" Type="http://schemas.openxmlformats.org/officeDocument/2006/relationships/hyperlink" Target="http://www.minv.sk/?zmluvny-system-slovenskej-republiky-pre-mimoriadne-udalosti" TargetMode="External"/><Relationship Id="rId82" Type="http://schemas.openxmlformats.org/officeDocument/2006/relationships/header" Target="header4.xml"/><Relationship Id="rId19" Type="http://schemas.openxmlformats.org/officeDocument/2006/relationships/image" Target="media/image9.emf"/><Relationship Id="rId14" Type="http://schemas.openxmlformats.org/officeDocument/2006/relationships/hyperlink" Target="http://ec.europa.eu/digital-agenda/en/graphs/" TargetMode="External"/><Relationship Id="rId30" Type="http://schemas.openxmlformats.org/officeDocument/2006/relationships/footer" Target="footer2.xml"/><Relationship Id="rId35" Type="http://schemas.openxmlformats.org/officeDocument/2006/relationships/image" Target="media/image20.png"/><Relationship Id="rId56" Type="http://schemas.openxmlformats.org/officeDocument/2006/relationships/hyperlink" Target="http://www.jaspi.justice.gov.sk" TargetMode="External"/><Relationship Id="rId77" Type="http://schemas.openxmlformats.org/officeDocument/2006/relationships/hyperlink" Target="http://www.rokovania.sk/Rokovanie.aspx/BodRokovaniaDetail?idMaterial=23177" TargetMode="External"/><Relationship Id="rId100" Type="http://schemas.openxmlformats.org/officeDocument/2006/relationships/hyperlink" Target="http://www.skgeodesy.sk/sk/" TargetMode="External"/><Relationship Id="rId105"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hyperlink" Target="http://www.opzp.sk/dokumenty/projektove-dokumenty/rozhodnutia-uvo-sr-v-procesoch-vo-v-ramci-projketov-op-zp-v-programovom-obdobi-2007-2013/" TargetMode="External"/><Relationship Id="rId72" Type="http://schemas.openxmlformats.org/officeDocument/2006/relationships/hyperlink" Target="http://www.urso.gov.sk/sites/default/files/vyhl_225-2011.pdf" TargetMode="External"/><Relationship Id="rId93" Type="http://schemas.openxmlformats.org/officeDocument/2006/relationships/footer" Target="footer9.xml"/><Relationship Id="rId98" Type="http://schemas.openxmlformats.org/officeDocument/2006/relationships/hyperlink" Target="http://www.vupop.sk/" TargetMode="External"/><Relationship Id="rId3" Type="http://schemas.openxmlformats.org/officeDocument/2006/relationships/styles" Target="styles.xml"/><Relationship Id="rId25" Type="http://schemas.openxmlformats.org/officeDocument/2006/relationships/image" Target="media/image14.wmf"/><Relationship Id="rId46" Type="http://schemas.openxmlformats.org/officeDocument/2006/relationships/hyperlink" Target="http://www.gender.gov.sk/?page_id=294" TargetMode="External"/><Relationship Id="rId67" Type="http://schemas.openxmlformats.org/officeDocument/2006/relationships/hyperlink" Target="https://lt.justice.gov.sk/Attachment/vlastn%C3%BD%20materi%C3%A1l_doc.pdf?instEID=-1&amp;attEID=29620&amp;docEID=144483&amp;matEID=3384&amp;langEID=1&amp;tStamp=20101129113946687" TargetMode="External"/></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Motív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ct:contentTypeSchema xmlns:ct="http://schemas.microsoft.com/office/2006/metadata/contentType" xmlns:ma="http://schemas.microsoft.com/office/2006/metadata/properties/metaAttributes" ct:_="" ma:_="" ma:contentTypeName="Unknown Document Type" ma:contentTypeID="0x010104" ma:contentTypeVersion="0" ma:contentTypeDescription="" ma:contentTypeScope="" ma:versionID="7a63ae98c9331042c85a0ce3caf3b722">
  <xsd:schema xmlns:xsd="http://www.w3.org/2001/XMLSchema" xmlns:p="http://schemas.microsoft.com/office/2006/metadata/properties" targetNamespace="http://schemas.microsoft.com/office/2006/metadata/properties" ma:root="true" ma:fieldsID="643ad641ad674e858ec36190b61f65cd">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office/internal/2005/internalDocumentation"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ma:readOnly="true"/>
        <xsd:element ref="dc:title" minOccurs="0" maxOccurs="1" ma:index="3"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lastPrinted" minOccurs="0" maxOccurs="1" type="xsd:dateTime"/>
        <xsd:element name="contentStatus" minOccurs="0" maxOccurs="1" type="xsd:string"/>
      </xsd:all>
    </xsd:complexType>
  </xsd: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documentManagement/>
</p:properties>
</file>

<file path=customXml/itemProps1.xml><?xml version="1.0" encoding="utf-8"?>
<ds:datastoreItem xmlns:ds="http://schemas.openxmlformats.org/officeDocument/2006/customXml" ds:itemID="{E6009727-78AF-4FEE-B372-A2426DF0E282}"/>
</file>

<file path=customXml/itemProps2.xml><?xml version="1.0" encoding="utf-8"?>
<ds:datastoreItem xmlns:ds="http://schemas.openxmlformats.org/officeDocument/2006/customXml" ds:itemID="{2A46502D-DC25-4126-9AC7-16CCD51B164D}"/>
</file>

<file path=customXml/itemProps3.xml><?xml version="1.0" encoding="utf-8"?>
<ds:datastoreItem xmlns:ds="http://schemas.openxmlformats.org/officeDocument/2006/customXml" ds:itemID="{4FA874CD-C5F2-4E41-BB7D-67FE9D7CC8E1}"/>
</file>

<file path=customXml/itemProps4.xml><?xml version="1.0" encoding="utf-8"?>
<ds:datastoreItem xmlns:ds="http://schemas.openxmlformats.org/officeDocument/2006/customXml" ds:itemID="{68BAA8A8-41D3-4975-A097-8BE46EE06964}"/>
</file>

<file path=docProps/app.xml><?xml version="1.0" encoding="utf-8"?>
<Properties xmlns="http://schemas.openxmlformats.org/officeDocument/2006/extended-properties" xmlns:vt="http://schemas.openxmlformats.org/officeDocument/2006/docPropsVTypes">
  <Template>Normal</Template>
  <TotalTime>61</TotalTime>
  <Pages>1</Pages>
  <Words>176778</Words>
  <Characters>1007640</Characters>
  <Application>Microsoft Office Word</Application>
  <DocSecurity>0</DocSecurity>
  <Lines>8397</Lines>
  <Paragraphs>2364</Paragraphs>
  <ScaleCrop>false</ScaleCrop>
  <HeadingPairs>
    <vt:vector size="2" baseType="variant">
      <vt:variant>
        <vt:lpstr>Názov</vt:lpstr>
      </vt:variant>
      <vt:variant>
        <vt:i4>1</vt:i4>
      </vt:variant>
    </vt:vector>
  </HeadingPairs>
  <TitlesOfParts>
    <vt:vector size="1" baseType="lpstr">
      <vt:lpstr>Obsah:</vt:lpstr>
    </vt:vector>
  </TitlesOfParts>
  <Company>MP SR</Company>
  <LinksUpToDate>false</LinksUpToDate>
  <CharactersWithSpaces>1182054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Obsah:</dc:title>
  <dc:creator>lydia.fresova</dc:creator>
  <cp:lastModifiedBy>andrea.tvrda</cp:lastModifiedBy>
  <cp:revision>6</cp:revision>
  <cp:lastPrinted>2014-04-01T13:43:00Z</cp:lastPrinted>
  <dcterms:created xsi:type="dcterms:W3CDTF">2014-05-12T08:35:00Z</dcterms:created>
  <dcterms:modified xsi:type="dcterms:W3CDTF">2014-05-12T12:37:00Z</dcterms:modified>
</cp:coreProperties>
</file>